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1"/>
        <w:rPr>
          <w:sz w:val="20"/>
        </w:rPr>
      </w:pPr>
      <w:r>
        <w:rPr>
          <w:sz w:val="20"/>
        </w:rPr>
        <w:drawing>
          <wp:inline distT="0" distB="0" distL="0" distR="0">
            <wp:extent cx="915432" cy="108127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5432" cy="1081277"/>
                    </a:xfrm>
                    <a:prstGeom prst="rect">
                      <a:avLst/>
                    </a:prstGeom>
                  </pic:spPr>
                </pic:pic>
              </a:graphicData>
            </a:graphic>
          </wp:inline>
        </w:drawing>
      </w:r>
      <w:r>
        <w:rPr>
          <w:sz w:val="20"/>
        </w:rPr>
      </w:r>
    </w:p>
    <w:p>
      <w:pPr>
        <w:pStyle w:val="BodyText"/>
        <w:spacing w:before="7"/>
        <w:rPr>
          <w:sz w:val="29"/>
        </w:rPr>
      </w:pPr>
    </w:p>
    <w:p>
      <w:pPr>
        <w:pStyle w:val="Title"/>
      </w:pPr>
      <w:r>
        <w:rPr>
          <w:spacing w:val="-14"/>
        </w:rPr>
        <w:t>ПРАВИТЕЛЬСТВО</w:t>
      </w:r>
      <w:r>
        <w:rPr>
          <w:spacing w:val="46"/>
        </w:rPr>
        <w:t> </w:t>
      </w:r>
      <w:r>
        <w:rPr>
          <w:spacing w:val="-14"/>
        </w:rPr>
        <w:t>РОССИЙСКОЙ</w:t>
      </w:r>
      <w:r>
        <w:rPr>
          <w:spacing w:val="47"/>
        </w:rPr>
        <w:t> </w:t>
      </w:r>
      <w:r>
        <w:rPr>
          <w:spacing w:val="-14"/>
        </w:rPr>
        <w:t>ФЕДЕРАЦИИ</w:t>
      </w:r>
    </w:p>
    <w:p>
      <w:pPr>
        <w:spacing w:before="234"/>
        <w:ind w:left="278" w:right="261" w:firstLine="0"/>
        <w:jc w:val="center"/>
        <w:rPr>
          <w:sz w:val="30"/>
        </w:rPr>
      </w:pPr>
      <w:r>
        <w:rPr>
          <w:sz w:val="30"/>
        </w:rPr>
        <w:t>П</w:t>
      </w:r>
      <w:r>
        <w:rPr>
          <w:spacing w:val="-31"/>
          <w:sz w:val="30"/>
        </w:rPr>
        <w:t> </w:t>
      </w:r>
      <w:r>
        <w:rPr>
          <w:sz w:val="30"/>
        </w:rPr>
        <w:t>О</w:t>
      </w:r>
      <w:r>
        <w:rPr>
          <w:spacing w:val="-28"/>
          <w:sz w:val="30"/>
        </w:rPr>
        <w:t> </w:t>
      </w:r>
      <w:r>
        <w:rPr>
          <w:sz w:val="30"/>
        </w:rPr>
        <w:t>С</w:t>
      </w:r>
      <w:r>
        <w:rPr>
          <w:spacing w:val="-28"/>
          <w:sz w:val="30"/>
        </w:rPr>
        <w:t> </w:t>
      </w:r>
      <w:r>
        <w:rPr>
          <w:sz w:val="30"/>
        </w:rPr>
        <w:t>Т</w:t>
      </w:r>
      <w:r>
        <w:rPr>
          <w:spacing w:val="-28"/>
          <w:sz w:val="30"/>
        </w:rPr>
        <w:t> </w:t>
      </w:r>
      <w:r>
        <w:rPr>
          <w:sz w:val="30"/>
        </w:rPr>
        <w:t>А</w:t>
      </w:r>
      <w:r>
        <w:rPr>
          <w:spacing w:val="-28"/>
          <w:sz w:val="30"/>
        </w:rPr>
        <w:t> </w:t>
      </w:r>
      <w:r>
        <w:rPr>
          <w:sz w:val="30"/>
        </w:rPr>
        <w:t>Н</w:t>
      </w:r>
      <w:r>
        <w:rPr>
          <w:spacing w:val="-28"/>
          <w:sz w:val="30"/>
        </w:rPr>
        <w:t> </w:t>
      </w:r>
      <w:r>
        <w:rPr>
          <w:sz w:val="30"/>
        </w:rPr>
        <w:t>О</w:t>
      </w:r>
      <w:r>
        <w:rPr>
          <w:spacing w:val="-28"/>
          <w:sz w:val="30"/>
        </w:rPr>
        <w:t> </w:t>
      </w:r>
      <w:r>
        <w:rPr>
          <w:sz w:val="30"/>
        </w:rPr>
        <w:t>В</w:t>
      </w:r>
      <w:r>
        <w:rPr>
          <w:spacing w:val="-31"/>
          <w:sz w:val="30"/>
        </w:rPr>
        <w:t> </w:t>
      </w:r>
      <w:r>
        <w:rPr>
          <w:sz w:val="30"/>
        </w:rPr>
        <w:t>Л</w:t>
      </w:r>
      <w:r>
        <w:rPr>
          <w:spacing w:val="-25"/>
          <w:sz w:val="30"/>
        </w:rPr>
        <w:t> </w:t>
      </w:r>
      <w:r>
        <w:rPr>
          <w:sz w:val="30"/>
        </w:rPr>
        <w:t>Е</w:t>
      </w:r>
      <w:r>
        <w:rPr>
          <w:spacing w:val="-31"/>
          <w:sz w:val="30"/>
        </w:rPr>
        <w:t> </w:t>
      </w:r>
      <w:r>
        <w:rPr>
          <w:sz w:val="30"/>
        </w:rPr>
        <w:t>Н</w:t>
      </w:r>
      <w:r>
        <w:rPr>
          <w:spacing w:val="-28"/>
          <w:sz w:val="30"/>
        </w:rPr>
        <w:t> </w:t>
      </w:r>
      <w:r>
        <w:rPr>
          <w:sz w:val="30"/>
        </w:rPr>
        <w:t>И</w:t>
      </w:r>
      <w:r>
        <w:rPr>
          <w:spacing w:val="-28"/>
          <w:sz w:val="30"/>
        </w:rPr>
        <w:t> </w:t>
      </w:r>
      <w:r>
        <w:rPr>
          <w:spacing w:val="-10"/>
          <w:sz w:val="30"/>
        </w:rPr>
        <w:t>Е</w:t>
      </w:r>
    </w:p>
    <w:p>
      <w:pPr>
        <w:pStyle w:val="BodyText"/>
        <w:spacing w:before="3"/>
      </w:pPr>
    </w:p>
    <w:p>
      <w:pPr>
        <w:pStyle w:val="BodyText"/>
        <w:ind w:left="261" w:right="261"/>
        <w:jc w:val="center"/>
      </w:pPr>
      <w:r>
        <w:rPr/>
        <w:t>от</w:t>
      </w:r>
      <w:r>
        <w:rPr>
          <w:spacing w:val="-5"/>
        </w:rPr>
        <w:t> </w:t>
      </w:r>
      <w:r>
        <w:rPr/>
        <w:t>28</w:t>
      </w:r>
      <w:r>
        <w:rPr>
          <w:spacing w:val="-1"/>
        </w:rPr>
        <w:t> </w:t>
      </w:r>
      <w:r>
        <w:rPr/>
        <w:t>декабря</w:t>
      </w:r>
      <w:r>
        <w:rPr>
          <w:spacing w:val="-2"/>
        </w:rPr>
        <w:t> </w:t>
      </w:r>
      <w:r>
        <w:rPr/>
        <w:t>2021</w:t>
      </w:r>
      <w:r>
        <w:rPr>
          <w:spacing w:val="-1"/>
        </w:rPr>
        <w:t> </w:t>
      </w:r>
      <w:r>
        <w:rPr/>
        <w:t>г.</w:t>
      </w:r>
      <w:r>
        <w:rPr>
          <w:spacing w:val="65"/>
        </w:rPr>
        <w:t> </w:t>
      </w:r>
      <w:r>
        <w:rPr/>
        <w:t>№</w:t>
      </w:r>
      <w:r>
        <w:rPr>
          <w:spacing w:val="66"/>
        </w:rPr>
        <w:t> </w:t>
      </w:r>
      <w:r>
        <w:rPr>
          <w:spacing w:val="-4"/>
        </w:rPr>
        <w:t>2505</w:t>
      </w:r>
    </w:p>
    <w:p>
      <w:pPr>
        <w:spacing w:before="199"/>
        <w:ind w:left="4170" w:right="4179" w:firstLine="0"/>
        <w:jc w:val="center"/>
        <w:rPr>
          <w:sz w:val="20"/>
        </w:rPr>
      </w:pPr>
      <w:r>
        <w:rPr>
          <w:spacing w:val="9"/>
          <w:sz w:val="20"/>
        </w:rPr>
        <w:t>МОСКВА</w:t>
      </w:r>
    </w:p>
    <w:p>
      <w:pPr>
        <w:pStyle w:val="BodyText"/>
        <w:rPr>
          <w:sz w:val="22"/>
        </w:rPr>
      </w:pPr>
    </w:p>
    <w:p>
      <w:pPr>
        <w:pStyle w:val="BodyText"/>
        <w:rPr>
          <w:sz w:val="22"/>
        </w:rPr>
      </w:pPr>
    </w:p>
    <w:p>
      <w:pPr>
        <w:spacing w:before="142"/>
        <w:ind w:left="262" w:right="261" w:firstLine="0"/>
        <w:jc w:val="center"/>
        <w:rPr>
          <w:b/>
          <w:sz w:val="28"/>
        </w:rPr>
      </w:pPr>
      <w:r>
        <w:rPr>
          <w:b/>
          <w:sz w:val="28"/>
        </w:rPr>
        <w:t>О</w:t>
      </w:r>
      <w:r>
        <w:rPr>
          <w:b/>
          <w:spacing w:val="-7"/>
          <w:sz w:val="28"/>
        </w:rPr>
        <w:t> </w:t>
      </w:r>
      <w:r>
        <w:rPr>
          <w:b/>
          <w:sz w:val="28"/>
        </w:rPr>
        <w:t>Программе</w:t>
      </w:r>
      <w:r>
        <w:rPr>
          <w:b/>
          <w:spacing w:val="-7"/>
          <w:sz w:val="28"/>
        </w:rPr>
        <w:t> </w:t>
      </w:r>
      <w:r>
        <w:rPr>
          <w:b/>
          <w:sz w:val="28"/>
        </w:rPr>
        <w:t>государственных</w:t>
      </w:r>
      <w:r>
        <w:rPr>
          <w:b/>
          <w:spacing w:val="-7"/>
          <w:sz w:val="28"/>
        </w:rPr>
        <w:t> </w:t>
      </w:r>
      <w:r>
        <w:rPr>
          <w:b/>
          <w:sz w:val="28"/>
        </w:rPr>
        <w:t>гарантий</w:t>
      </w:r>
      <w:r>
        <w:rPr>
          <w:b/>
          <w:spacing w:val="-8"/>
          <w:sz w:val="28"/>
        </w:rPr>
        <w:t> </w:t>
      </w:r>
      <w:r>
        <w:rPr>
          <w:b/>
          <w:sz w:val="28"/>
        </w:rPr>
        <w:t>бесплатного</w:t>
      </w:r>
      <w:r>
        <w:rPr>
          <w:b/>
          <w:spacing w:val="-7"/>
          <w:sz w:val="28"/>
        </w:rPr>
        <w:t> </w:t>
      </w:r>
      <w:r>
        <w:rPr>
          <w:b/>
          <w:sz w:val="28"/>
        </w:rPr>
        <w:t>оказания гражданам медицинской помощи на 2022 год</w:t>
      </w:r>
    </w:p>
    <w:p>
      <w:pPr>
        <w:spacing w:before="2"/>
        <w:ind w:left="261" w:right="261" w:firstLine="0"/>
        <w:jc w:val="center"/>
        <w:rPr>
          <w:b/>
          <w:sz w:val="28"/>
        </w:rPr>
      </w:pPr>
      <w:r>
        <w:rPr>
          <w:b/>
          <w:sz w:val="28"/>
        </w:rPr>
        <w:t>и</w:t>
      </w:r>
      <w:r>
        <w:rPr>
          <w:b/>
          <w:spacing w:val="-5"/>
          <w:sz w:val="28"/>
        </w:rPr>
        <w:t> </w:t>
      </w:r>
      <w:r>
        <w:rPr>
          <w:b/>
          <w:sz w:val="28"/>
        </w:rPr>
        <w:t>на</w:t>
      </w:r>
      <w:r>
        <w:rPr>
          <w:b/>
          <w:spacing w:val="-2"/>
          <w:sz w:val="28"/>
        </w:rPr>
        <w:t> </w:t>
      </w:r>
      <w:r>
        <w:rPr>
          <w:b/>
          <w:sz w:val="28"/>
        </w:rPr>
        <w:t>плановый</w:t>
      </w:r>
      <w:r>
        <w:rPr>
          <w:b/>
          <w:spacing w:val="-4"/>
          <w:sz w:val="28"/>
        </w:rPr>
        <w:t> </w:t>
      </w:r>
      <w:r>
        <w:rPr>
          <w:b/>
          <w:sz w:val="28"/>
        </w:rPr>
        <w:t>период</w:t>
      </w:r>
      <w:r>
        <w:rPr>
          <w:b/>
          <w:spacing w:val="-4"/>
          <w:sz w:val="28"/>
        </w:rPr>
        <w:t> </w:t>
      </w:r>
      <w:r>
        <w:rPr>
          <w:b/>
          <w:sz w:val="28"/>
        </w:rPr>
        <w:t>2023</w:t>
      </w:r>
      <w:r>
        <w:rPr>
          <w:b/>
          <w:spacing w:val="-2"/>
          <w:sz w:val="28"/>
        </w:rPr>
        <w:t> </w:t>
      </w:r>
      <w:r>
        <w:rPr>
          <w:b/>
          <w:sz w:val="28"/>
        </w:rPr>
        <w:t>и</w:t>
      </w:r>
      <w:r>
        <w:rPr>
          <w:b/>
          <w:spacing w:val="-5"/>
          <w:sz w:val="28"/>
        </w:rPr>
        <w:t> </w:t>
      </w:r>
      <w:r>
        <w:rPr>
          <w:b/>
          <w:sz w:val="28"/>
        </w:rPr>
        <w:t>2024</w:t>
      </w:r>
      <w:r>
        <w:rPr>
          <w:b/>
          <w:spacing w:val="-2"/>
          <w:sz w:val="28"/>
        </w:rPr>
        <w:t> </w:t>
      </w:r>
      <w:r>
        <w:rPr>
          <w:b/>
          <w:spacing w:val="-4"/>
          <w:sz w:val="28"/>
        </w:rPr>
        <w:t>годов</w:t>
      </w:r>
    </w:p>
    <w:p>
      <w:pPr>
        <w:pStyle w:val="BodyText"/>
        <w:rPr>
          <w:b/>
          <w:sz w:val="30"/>
        </w:rPr>
      </w:pPr>
    </w:p>
    <w:p>
      <w:pPr>
        <w:pStyle w:val="BodyText"/>
        <w:spacing w:before="10"/>
        <w:rPr>
          <w:b/>
        </w:rPr>
      </w:pPr>
    </w:p>
    <w:p>
      <w:pPr>
        <w:pStyle w:val="BodyText"/>
        <w:spacing w:line="268" w:lineRule="auto"/>
        <w:ind w:left="118" w:right="118" w:firstLine="707"/>
        <w:jc w:val="both"/>
        <w:rPr>
          <w:b/>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rPr>
        <w:t>п о с т а н о в л я е т :</w:t>
      </w:r>
    </w:p>
    <w:p>
      <w:pPr>
        <w:pStyle w:val="ListParagraph"/>
        <w:numPr>
          <w:ilvl w:val="0"/>
          <w:numId w:val="1"/>
        </w:numPr>
        <w:tabs>
          <w:tab w:pos="1108" w:val="left" w:leader="none"/>
        </w:tabs>
        <w:spacing w:line="268" w:lineRule="auto" w:before="0" w:after="0"/>
        <w:ind w:left="118" w:right="110" w:firstLine="707"/>
        <w:jc w:val="both"/>
        <w:rPr>
          <w:sz w:val="28"/>
        </w:rPr>
      </w:pPr>
      <w:r>
        <w:rPr>
          <w:sz w:val="28"/>
        </w:rPr>
        <w:t>Утвердить прилагаемую Программу государственных гарантий бесплатного</w:t>
      </w:r>
      <w:r>
        <w:rPr>
          <w:spacing w:val="80"/>
          <w:w w:val="150"/>
          <w:sz w:val="28"/>
        </w:rPr>
        <w:t> </w:t>
      </w:r>
      <w:r>
        <w:rPr>
          <w:sz w:val="28"/>
        </w:rPr>
        <w:t>оказания</w:t>
      </w:r>
      <w:r>
        <w:rPr>
          <w:spacing w:val="40"/>
          <w:sz w:val="28"/>
        </w:rPr>
        <w:t>  </w:t>
      </w:r>
      <w:r>
        <w:rPr>
          <w:sz w:val="28"/>
        </w:rPr>
        <w:t>гражданам</w:t>
      </w:r>
      <w:r>
        <w:rPr>
          <w:spacing w:val="40"/>
          <w:sz w:val="28"/>
        </w:rPr>
        <w:t>  </w:t>
      </w:r>
      <w:r>
        <w:rPr>
          <w:sz w:val="28"/>
        </w:rPr>
        <w:t>медицинской</w:t>
      </w:r>
      <w:r>
        <w:rPr>
          <w:spacing w:val="80"/>
          <w:w w:val="150"/>
          <w:sz w:val="28"/>
        </w:rPr>
        <w:t> </w:t>
      </w:r>
      <w:r>
        <w:rPr>
          <w:sz w:val="28"/>
        </w:rPr>
        <w:t>помощи</w:t>
      </w:r>
      <w:r>
        <w:rPr>
          <w:spacing w:val="80"/>
          <w:w w:val="150"/>
          <w:sz w:val="28"/>
        </w:rPr>
        <w:t> </w:t>
      </w:r>
      <w:r>
        <w:rPr>
          <w:sz w:val="28"/>
        </w:rPr>
        <w:t>на</w:t>
      </w:r>
      <w:r>
        <w:rPr>
          <w:spacing w:val="80"/>
          <w:w w:val="150"/>
          <w:sz w:val="28"/>
        </w:rPr>
        <w:t> </w:t>
      </w:r>
      <w:r>
        <w:rPr>
          <w:sz w:val="28"/>
        </w:rPr>
        <w:t>2022 год</w:t>
      </w:r>
      <w:r>
        <w:rPr>
          <w:spacing w:val="40"/>
          <w:sz w:val="28"/>
        </w:rPr>
        <w:t> </w:t>
      </w:r>
      <w:r>
        <w:rPr>
          <w:sz w:val="28"/>
        </w:rPr>
        <w:t>и на плановый период 2023 и 2024 годов.</w:t>
      </w:r>
    </w:p>
    <w:p>
      <w:pPr>
        <w:pStyle w:val="ListParagraph"/>
        <w:numPr>
          <w:ilvl w:val="0"/>
          <w:numId w:val="1"/>
        </w:numPr>
        <w:tabs>
          <w:tab w:pos="1108" w:val="left" w:leader="none"/>
        </w:tabs>
        <w:spacing w:line="320" w:lineRule="exact" w:before="0" w:after="0"/>
        <w:ind w:left="1107" w:right="0" w:hanging="282"/>
        <w:jc w:val="both"/>
        <w:rPr>
          <w:sz w:val="28"/>
        </w:rPr>
      </w:pPr>
      <w:r>
        <w:rPr>
          <w:sz w:val="28"/>
        </w:rPr>
        <w:t>Министерству</w:t>
      </w:r>
      <w:r>
        <w:rPr>
          <w:spacing w:val="-16"/>
          <w:sz w:val="28"/>
        </w:rPr>
        <w:t> </w:t>
      </w:r>
      <w:r>
        <w:rPr>
          <w:sz w:val="28"/>
        </w:rPr>
        <w:t>здравоохранения</w:t>
      </w:r>
      <w:r>
        <w:rPr>
          <w:spacing w:val="-11"/>
          <w:sz w:val="28"/>
        </w:rPr>
        <w:t> </w:t>
      </w:r>
      <w:r>
        <w:rPr>
          <w:sz w:val="28"/>
        </w:rPr>
        <w:t>Российской</w:t>
      </w:r>
      <w:r>
        <w:rPr>
          <w:spacing w:val="-10"/>
          <w:sz w:val="28"/>
        </w:rPr>
        <w:t> </w:t>
      </w:r>
      <w:r>
        <w:rPr>
          <w:spacing w:val="-2"/>
          <w:sz w:val="28"/>
        </w:rPr>
        <w:t>Федерации:</w:t>
      </w:r>
    </w:p>
    <w:p>
      <w:pPr>
        <w:pStyle w:val="BodyText"/>
        <w:spacing w:line="268" w:lineRule="auto" w:before="36"/>
        <w:ind w:left="118" w:right="115" w:firstLine="707"/>
        <w:jc w:val="both"/>
      </w:pPr>
      <w:r>
        <w:rPr/>
        <w:t>а)</w:t>
      </w:r>
      <w:r>
        <w:rPr>
          <w:spacing w:val="-3"/>
        </w:rPr>
        <w:t> </w:t>
      </w:r>
      <w:r>
        <w:rPr/>
        <w:t>внести в установленном порядке в Правительство Российской </w:t>
      </w:r>
      <w:r>
        <w:rPr>
          <w:spacing w:val="-2"/>
        </w:rPr>
        <w:t>Федерации:</w:t>
      </w:r>
    </w:p>
    <w:p>
      <w:pPr>
        <w:pStyle w:val="BodyText"/>
        <w:spacing w:line="268" w:lineRule="auto"/>
        <w:ind w:left="118" w:right="110" w:firstLine="707"/>
        <w:jc w:val="both"/>
      </w:pPr>
      <w:r>
        <w:rPr/>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w:t>
      </w:r>
      <w:r>
        <w:rPr>
          <w:spacing w:val="80"/>
        </w:rPr>
        <w:t> </w:t>
      </w:r>
      <w:r>
        <w:rPr/>
        <w:t>постановлением</w:t>
      </w:r>
      <w:r>
        <w:rPr>
          <w:spacing w:val="80"/>
        </w:rPr>
        <w:t> </w:t>
      </w:r>
      <w:r>
        <w:rPr/>
        <w:t>Правительства</w:t>
      </w:r>
      <w:r>
        <w:rPr>
          <w:spacing w:val="80"/>
        </w:rPr>
        <w:t> </w:t>
      </w:r>
      <w:r>
        <w:rPr/>
        <w:t>Российской</w:t>
      </w:r>
      <w:r>
        <w:rPr>
          <w:spacing w:val="80"/>
        </w:rPr>
        <w:t> </w:t>
      </w:r>
      <w:r>
        <w:rPr/>
        <w:t>Федерации</w:t>
      </w:r>
      <w:r>
        <w:rPr>
          <w:spacing w:val="80"/>
        </w:rPr>
        <w:t> </w:t>
      </w:r>
      <w:r>
        <w:rPr/>
        <w:t>от 28 декабря 2020 г. № 2299 "О Программе государственных гарантий бесплатного</w:t>
      </w:r>
      <w:r>
        <w:rPr>
          <w:spacing w:val="80"/>
          <w:w w:val="150"/>
        </w:rPr>
        <w:t> </w:t>
      </w:r>
      <w:r>
        <w:rPr/>
        <w:t>оказания</w:t>
      </w:r>
      <w:r>
        <w:rPr>
          <w:spacing w:val="80"/>
          <w:w w:val="150"/>
        </w:rPr>
        <w:t> </w:t>
      </w:r>
      <w:r>
        <w:rPr/>
        <w:t>гражданам</w:t>
      </w:r>
      <w:r>
        <w:rPr>
          <w:spacing w:val="40"/>
        </w:rPr>
        <w:t>  </w:t>
      </w:r>
      <w:r>
        <w:rPr/>
        <w:t>медицинской</w:t>
      </w:r>
      <w:r>
        <w:rPr>
          <w:spacing w:val="80"/>
          <w:w w:val="150"/>
        </w:rPr>
        <w:t> </w:t>
      </w:r>
      <w:r>
        <w:rPr/>
        <w:t>помощи</w:t>
      </w:r>
      <w:r>
        <w:rPr>
          <w:spacing w:val="80"/>
          <w:w w:val="150"/>
        </w:rPr>
        <w:t> </w:t>
      </w:r>
      <w:r>
        <w:rPr/>
        <w:t>на</w:t>
      </w:r>
      <w:r>
        <w:rPr>
          <w:spacing w:val="80"/>
          <w:w w:val="150"/>
        </w:rPr>
        <w:t> </w:t>
      </w:r>
      <w:r>
        <w:rPr/>
        <w:t>2021 год</w:t>
      </w:r>
      <w:r>
        <w:rPr>
          <w:spacing w:val="80"/>
        </w:rPr>
        <w:t> </w:t>
      </w:r>
      <w:r>
        <w:rPr/>
        <w:t>и на плановый период 2022 и 2023 годов";</w:t>
      </w:r>
    </w:p>
    <w:p>
      <w:pPr>
        <w:pStyle w:val="BodyText"/>
        <w:spacing w:line="268" w:lineRule="auto"/>
        <w:ind w:left="118" w:right="110" w:firstLine="707"/>
        <w:jc w:val="both"/>
      </w:pPr>
      <w:r>
        <w:rPr/>
        <w:t>до 1 октября 2022 г. - проект программы государственных гарантий бесплатного</w:t>
      </w:r>
      <w:r>
        <w:rPr>
          <w:spacing w:val="80"/>
          <w:w w:val="150"/>
        </w:rPr>
        <w:t> </w:t>
      </w:r>
      <w:r>
        <w:rPr/>
        <w:t>оказания</w:t>
      </w:r>
      <w:r>
        <w:rPr>
          <w:spacing w:val="80"/>
          <w:w w:val="150"/>
        </w:rPr>
        <w:t> </w:t>
      </w:r>
      <w:r>
        <w:rPr/>
        <w:t>гражданам</w:t>
      </w:r>
      <w:r>
        <w:rPr>
          <w:spacing w:val="40"/>
        </w:rPr>
        <w:t>  </w:t>
      </w:r>
      <w:r>
        <w:rPr/>
        <w:t>медицинской</w:t>
      </w:r>
      <w:r>
        <w:rPr>
          <w:spacing w:val="80"/>
          <w:w w:val="150"/>
        </w:rPr>
        <w:t> </w:t>
      </w:r>
      <w:r>
        <w:rPr/>
        <w:t>помощи</w:t>
      </w:r>
      <w:r>
        <w:rPr>
          <w:spacing w:val="80"/>
          <w:w w:val="150"/>
        </w:rPr>
        <w:t> </w:t>
      </w:r>
      <w:r>
        <w:rPr/>
        <w:t>на</w:t>
      </w:r>
      <w:r>
        <w:rPr>
          <w:spacing w:val="80"/>
          <w:w w:val="150"/>
        </w:rPr>
        <w:t> </w:t>
      </w:r>
      <w:r>
        <w:rPr/>
        <w:t>2023 год</w:t>
      </w:r>
      <w:r>
        <w:rPr>
          <w:spacing w:val="80"/>
        </w:rPr>
        <w:t> </w:t>
      </w:r>
      <w:r>
        <w:rPr/>
        <w:t>и на плановый период 2024 и 2025 годов;</w:t>
      </w:r>
    </w:p>
    <w:p>
      <w:pPr>
        <w:pStyle w:val="BodyText"/>
        <w:spacing w:line="268" w:lineRule="auto"/>
        <w:ind w:left="118" w:right="121" w:firstLine="707"/>
        <w:jc w:val="both"/>
      </w:pPr>
      <w:r>
        <w:rPr/>
        <w:t>б)</w:t>
      </w:r>
      <w:r>
        <w:rPr>
          <w:spacing w:val="-4"/>
        </w:rPr>
        <w:t> </w:t>
      </w:r>
      <w:r>
        <w:rPr/>
        <w:t>совместно с Федеральным фондом обязательного медицинского страхования давать разъяснения по следующим вопросам:</w:t>
      </w:r>
    </w:p>
    <w:p>
      <w:pPr>
        <w:spacing w:after="0" w:line="268" w:lineRule="auto"/>
        <w:jc w:val="both"/>
        <w:sectPr>
          <w:type w:val="continuous"/>
          <w:pgSz w:w="11910" w:h="16850"/>
          <w:pgMar w:top="1080" w:bottom="280" w:left="1300" w:right="1300"/>
        </w:sectPr>
      </w:pPr>
    </w:p>
    <w:p>
      <w:pPr>
        <w:pStyle w:val="BodyText"/>
        <w:spacing w:before="4"/>
        <w:rPr>
          <w:sz w:val="24"/>
        </w:rPr>
      </w:pPr>
    </w:p>
    <w:p>
      <w:pPr>
        <w:pStyle w:val="BodyText"/>
        <w:spacing w:line="268" w:lineRule="auto" w:before="89"/>
        <w:ind w:left="118" w:right="109" w:firstLine="707"/>
        <w:jc w:val="both"/>
      </w:pPr>
      <w:r>
        <w:rPr/>
        <w:t>формирование и экономическое обоснование территориальных программ государственных гарантий бесплатного оказания гражданам медицинской</w:t>
      </w:r>
      <w:r>
        <w:rPr>
          <w:spacing w:val="80"/>
        </w:rPr>
        <w:t>  </w:t>
      </w:r>
      <w:r>
        <w:rPr/>
        <w:t>помощи</w:t>
      </w:r>
      <w:r>
        <w:rPr>
          <w:spacing w:val="80"/>
        </w:rPr>
        <w:t>  </w:t>
      </w:r>
      <w:r>
        <w:rPr/>
        <w:t>на</w:t>
      </w:r>
      <w:r>
        <w:rPr>
          <w:spacing w:val="80"/>
        </w:rPr>
        <w:t>  </w:t>
      </w:r>
      <w:r>
        <w:rPr/>
        <w:t>2022</w:t>
      </w:r>
      <w:r>
        <w:rPr>
          <w:spacing w:val="80"/>
        </w:rPr>
        <w:t>  </w:t>
      </w:r>
      <w:r>
        <w:rPr/>
        <w:t>год</w:t>
      </w:r>
      <w:r>
        <w:rPr>
          <w:spacing w:val="80"/>
        </w:rPr>
        <w:t>  </w:t>
      </w:r>
      <w:r>
        <w:rPr/>
        <w:t>и</w:t>
      </w:r>
      <w:r>
        <w:rPr>
          <w:spacing w:val="80"/>
        </w:rPr>
        <w:t>  </w:t>
      </w:r>
      <w:r>
        <w:rPr/>
        <w:t>на</w:t>
      </w:r>
      <w:r>
        <w:rPr>
          <w:spacing w:val="80"/>
        </w:rPr>
        <w:t>  </w:t>
      </w:r>
      <w:r>
        <w:rPr/>
        <w:t>плановый</w:t>
      </w:r>
      <w:r>
        <w:rPr>
          <w:spacing w:val="80"/>
        </w:rPr>
        <w:t>  </w:t>
      </w:r>
      <w:r>
        <w:rPr/>
        <w:t>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BodyText"/>
        <w:spacing w:line="268" w:lineRule="auto"/>
        <w:ind w:left="118" w:right="119" w:firstLine="707"/>
        <w:jc w:val="both"/>
      </w:pPr>
      <w:r>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BodyText"/>
        <w:spacing w:line="268" w:lineRule="auto"/>
        <w:ind w:left="118" w:right="109" w:firstLine="707"/>
        <w:jc w:val="both"/>
      </w:pPr>
      <w:r>
        <w:rPr/>
        <w:t>в)</w:t>
      </w:r>
      <w:r>
        <w:rPr>
          <w:spacing w:val="-3"/>
        </w:rPr>
        <w:t> </w:t>
      </w:r>
      <w:r>
        <w:rPr/>
        <w:t>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w:t>
      </w:r>
      <w:r>
        <w:rPr>
          <w:spacing w:val="-2"/>
        </w:rPr>
        <w:t>страхования;</w:t>
      </w:r>
    </w:p>
    <w:p>
      <w:pPr>
        <w:pStyle w:val="BodyText"/>
        <w:spacing w:line="268" w:lineRule="auto"/>
        <w:ind w:left="118" w:right="114" w:firstLine="707"/>
        <w:jc w:val="both"/>
      </w:pPr>
      <w:r>
        <w:rPr/>
        <w:t>г)</w:t>
      </w:r>
      <w:r>
        <w:rPr>
          <w:spacing w:val="40"/>
        </w:rPr>
        <w:t> </w:t>
      </w:r>
      <w:r>
        <w:rPr/>
        <w:t>внести до</w:t>
      </w:r>
      <w:r>
        <w:rPr>
          <w:spacing w:val="-1"/>
        </w:rPr>
        <w:t> </w:t>
      </w:r>
      <w:r>
        <w:rPr/>
        <w:t>1 марта</w:t>
      </w:r>
      <w:r>
        <w:rPr>
          <w:spacing w:val="-1"/>
        </w:rPr>
        <w:t> </w:t>
      </w:r>
      <w:r>
        <w:rPr/>
        <w:t>2022 г.</w:t>
      </w:r>
      <w:r>
        <w:rPr>
          <w:spacing w:val="40"/>
        </w:rPr>
        <w:t> </w:t>
      </w:r>
      <w:r>
        <w:rPr/>
        <w:t>в</w:t>
      </w:r>
      <w:r>
        <w:rPr>
          <w:spacing w:val="-2"/>
        </w:rPr>
        <w:t> </w:t>
      </w:r>
      <w:r>
        <w:rPr/>
        <w:t>Правительство Российской</w:t>
      </w:r>
      <w:r>
        <w:rPr>
          <w:spacing w:val="-2"/>
        </w:rPr>
        <w:t> </w:t>
      </w:r>
      <w:r>
        <w:rPr/>
        <w:t>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w:t>
      </w:r>
      <w:r>
        <w:rPr>
          <w:spacing w:val="76"/>
        </w:rPr>
        <w:t>   </w:t>
      </w:r>
      <w:r>
        <w:rPr/>
        <w:t>оказываемой</w:t>
      </w:r>
      <w:r>
        <w:rPr>
          <w:spacing w:val="77"/>
        </w:rPr>
        <w:t>   </w:t>
      </w:r>
      <w:r>
        <w:rPr/>
        <w:t>медицинскими</w:t>
      </w:r>
      <w:r>
        <w:rPr>
          <w:spacing w:val="76"/>
        </w:rPr>
        <w:t>   </w:t>
      </w:r>
      <w:r>
        <w:rPr/>
        <w:t>организациями,</w:t>
      </w:r>
      <w:r>
        <w:rPr>
          <w:spacing w:val="77"/>
        </w:rPr>
        <w:t>   </w:t>
      </w:r>
      <w:r>
        <w:rPr/>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w:t>
      </w:r>
      <w:r>
        <w:rPr>
          <w:spacing w:val="40"/>
        </w:rPr>
        <w:t> </w:t>
      </w:r>
      <w:r>
        <w:rPr/>
        <w:t>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pPr>
        <w:pStyle w:val="ListParagraph"/>
        <w:numPr>
          <w:ilvl w:val="0"/>
          <w:numId w:val="1"/>
        </w:numPr>
        <w:tabs>
          <w:tab w:pos="1108" w:val="left" w:leader="none"/>
        </w:tabs>
        <w:spacing w:line="268" w:lineRule="auto" w:before="0" w:after="0"/>
        <w:ind w:left="118" w:right="112" w:firstLine="707"/>
        <w:jc w:val="both"/>
        <w:rPr>
          <w:sz w:val="28"/>
        </w:rPr>
      </w:pPr>
      <w:r>
        <w:rPr>
          <w:sz w:val="28"/>
        </w:rPr>
        <w:t>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w:t>
      </w:r>
      <w:r>
        <w:rPr>
          <w:spacing w:val="65"/>
          <w:w w:val="150"/>
          <w:sz w:val="28"/>
        </w:rPr>
        <w:t> </w:t>
      </w:r>
      <w:r>
        <w:rPr>
          <w:sz w:val="28"/>
        </w:rPr>
        <w:t>мер</w:t>
      </w:r>
      <w:r>
        <w:rPr>
          <w:spacing w:val="69"/>
          <w:w w:val="150"/>
          <w:sz w:val="28"/>
        </w:rPr>
        <w:t> </w:t>
      </w:r>
      <w:r>
        <w:rPr>
          <w:sz w:val="28"/>
        </w:rPr>
        <w:t>по</w:t>
      </w:r>
      <w:r>
        <w:rPr>
          <w:spacing w:val="69"/>
          <w:w w:val="150"/>
          <w:sz w:val="28"/>
        </w:rPr>
        <w:t> </w:t>
      </w:r>
      <w:r>
        <w:rPr>
          <w:sz w:val="28"/>
        </w:rPr>
        <w:t>обеспечению</w:t>
      </w:r>
      <w:r>
        <w:rPr>
          <w:spacing w:val="68"/>
          <w:w w:val="150"/>
          <w:sz w:val="28"/>
        </w:rPr>
        <w:t> </w:t>
      </w:r>
      <w:r>
        <w:rPr>
          <w:sz w:val="28"/>
        </w:rPr>
        <w:t>санитарно-</w:t>
      </w:r>
      <w:r>
        <w:rPr>
          <w:spacing w:val="-2"/>
          <w:sz w:val="28"/>
        </w:rPr>
        <w:t>эпидемиологического</w:t>
      </w:r>
    </w:p>
    <w:p>
      <w:pPr>
        <w:spacing w:after="0" w:line="268" w:lineRule="auto"/>
        <w:jc w:val="both"/>
        <w:rPr>
          <w:sz w:val="28"/>
        </w:rPr>
        <w:sectPr>
          <w:headerReference w:type="default" r:id="rId6"/>
          <w:pgSz w:w="11910" w:h="16850"/>
          <w:pgMar w:header="753" w:footer="0" w:top="1080" w:bottom="280" w:left="1300" w:right="1300"/>
          <w:pgNumType w:start="2"/>
        </w:sectPr>
      </w:pPr>
    </w:p>
    <w:p>
      <w:pPr>
        <w:pStyle w:val="BodyText"/>
        <w:spacing w:before="4"/>
        <w:rPr>
          <w:sz w:val="24"/>
        </w:rPr>
      </w:pPr>
    </w:p>
    <w:p>
      <w:pPr>
        <w:pStyle w:val="BodyText"/>
        <w:spacing w:line="268" w:lineRule="auto" w:before="89"/>
        <w:ind w:left="118" w:right="113"/>
        <w:jc w:val="both"/>
      </w:pPr>
      <w:r>
        <w:rPr/>
        <w:t>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pPr>
        <w:pStyle w:val="ListParagraph"/>
        <w:numPr>
          <w:ilvl w:val="0"/>
          <w:numId w:val="1"/>
        </w:numPr>
        <w:tabs>
          <w:tab w:pos="1108" w:val="left" w:leader="none"/>
        </w:tabs>
        <w:spacing w:line="268" w:lineRule="auto" w:before="0" w:after="0"/>
        <w:ind w:left="118" w:right="111" w:firstLine="707"/>
        <w:jc w:val="both"/>
        <w:rPr>
          <w:sz w:val="28"/>
        </w:rPr>
      </w:pPr>
      <w:r>
        <w:rPr>
          <w:sz w:val="28"/>
        </w:rPr>
        <w:t>Установить, что в январе 2022 г. авансирование медицинских организаций,</w:t>
      </w:r>
      <w:r>
        <w:rPr>
          <w:spacing w:val="-1"/>
          <w:sz w:val="28"/>
        </w:rPr>
        <w:t> </w:t>
      </w:r>
      <w:r>
        <w:rPr>
          <w:sz w:val="28"/>
        </w:rPr>
        <w:t>оказывающих медицинскую</w:t>
      </w:r>
      <w:r>
        <w:rPr>
          <w:spacing w:val="-2"/>
          <w:sz w:val="28"/>
        </w:rPr>
        <w:t> </w:t>
      </w:r>
      <w:r>
        <w:rPr>
          <w:sz w:val="28"/>
        </w:rPr>
        <w:t>помощь</w:t>
      </w:r>
      <w:r>
        <w:rPr>
          <w:spacing w:val="-2"/>
          <w:sz w:val="28"/>
        </w:rPr>
        <w:t> </w:t>
      </w:r>
      <w:r>
        <w:rPr>
          <w:sz w:val="28"/>
        </w:rPr>
        <w:t>по договору</w:t>
      </w:r>
      <w:r>
        <w:rPr>
          <w:spacing w:val="-5"/>
          <w:sz w:val="28"/>
        </w:rPr>
        <w:t> </w:t>
      </w:r>
      <w:r>
        <w:rPr>
          <w:sz w:val="28"/>
        </w:rPr>
        <w:t>на</w:t>
      </w:r>
      <w:r>
        <w:rPr>
          <w:spacing w:val="-1"/>
          <w:sz w:val="28"/>
        </w:rPr>
        <w:t> </w:t>
      </w:r>
      <w:r>
        <w:rPr>
          <w:sz w:val="28"/>
        </w:rPr>
        <w:t>оказание и</w:t>
      </w:r>
      <w:r>
        <w:rPr>
          <w:spacing w:val="-2"/>
          <w:sz w:val="28"/>
        </w:rPr>
        <w:t> </w:t>
      </w:r>
      <w:r>
        <w:rPr>
          <w:sz w:val="28"/>
        </w:rPr>
        <w:t>оплату</w:t>
      </w:r>
      <w:r>
        <w:rPr>
          <w:spacing w:val="-4"/>
          <w:sz w:val="28"/>
        </w:rPr>
        <w:t> </w:t>
      </w:r>
      <w:r>
        <w:rPr>
          <w:sz w:val="28"/>
        </w:rPr>
        <w:t>медицинской</w:t>
      </w:r>
      <w:r>
        <w:rPr>
          <w:spacing w:val="-2"/>
          <w:sz w:val="28"/>
        </w:rPr>
        <w:t> </w:t>
      </w:r>
      <w:r>
        <w:rPr>
          <w:sz w:val="28"/>
        </w:rPr>
        <w:t>помощи</w:t>
      </w:r>
      <w:r>
        <w:rPr>
          <w:spacing w:val="-3"/>
          <w:sz w:val="28"/>
        </w:rPr>
        <w:t> </w:t>
      </w:r>
      <w:r>
        <w:rPr>
          <w:sz w:val="28"/>
        </w:rPr>
        <w:t>в</w:t>
      </w:r>
      <w:r>
        <w:rPr>
          <w:spacing w:val="-4"/>
          <w:sz w:val="28"/>
        </w:rPr>
        <w:t> </w:t>
      </w:r>
      <w:r>
        <w:rPr>
          <w:sz w:val="28"/>
        </w:rPr>
        <w:t>рамках</w:t>
      </w:r>
      <w:r>
        <w:rPr>
          <w:spacing w:val="-2"/>
          <w:sz w:val="28"/>
        </w:rPr>
        <w:t> </w:t>
      </w:r>
      <w:r>
        <w:rPr>
          <w:sz w:val="28"/>
        </w:rPr>
        <w:t>базовой</w:t>
      </w:r>
      <w:r>
        <w:rPr>
          <w:spacing w:val="-3"/>
          <w:sz w:val="28"/>
        </w:rPr>
        <w:t> </w:t>
      </w:r>
      <w:r>
        <w:rPr>
          <w:sz w:val="28"/>
        </w:rPr>
        <w:t>программы</w:t>
      </w:r>
      <w:r>
        <w:rPr>
          <w:spacing w:val="-2"/>
          <w:sz w:val="28"/>
        </w:rPr>
        <w:t> </w:t>
      </w:r>
      <w:r>
        <w:rPr>
          <w:sz w:val="28"/>
        </w:rPr>
        <w:t>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w:t>
      </w:r>
      <w:r>
        <w:rPr>
          <w:spacing w:val="80"/>
          <w:sz w:val="28"/>
        </w:rPr>
        <w:t> </w:t>
      </w:r>
      <w:r>
        <w:rPr>
          <w:sz w:val="28"/>
        </w:rPr>
        <w:t>на 2022</w:t>
      </w:r>
      <w:r>
        <w:rPr>
          <w:spacing w:val="-1"/>
          <w:sz w:val="28"/>
        </w:rPr>
        <w:t> </w:t>
      </w:r>
      <w:r>
        <w:rPr>
          <w:sz w:val="28"/>
        </w:rPr>
        <w:t>год, распределенного медицинской организации в порядке, предусмотренном</w:t>
      </w:r>
      <w:r>
        <w:rPr>
          <w:spacing w:val="80"/>
          <w:sz w:val="28"/>
        </w:rPr>
        <w:t>  </w:t>
      </w:r>
      <w:r>
        <w:rPr>
          <w:sz w:val="28"/>
        </w:rPr>
        <w:t>частью</w:t>
      </w:r>
      <w:r>
        <w:rPr>
          <w:spacing w:val="80"/>
          <w:sz w:val="28"/>
        </w:rPr>
        <w:t>  </w:t>
      </w:r>
      <w:r>
        <w:rPr>
          <w:sz w:val="28"/>
        </w:rPr>
        <w:t>3</w:t>
      </w:r>
      <w:r>
        <w:rPr>
          <w:sz w:val="28"/>
          <w:vertAlign w:val="superscript"/>
        </w:rPr>
        <w:t>2</w:t>
      </w:r>
      <w:r>
        <w:rPr>
          <w:spacing w:val="80"/>
          <w:sz w:val="28"/>
          <w:vertAlign w:val="baseline"/>
        </w:rPr>
        <w:t>  </w:t>
      </w:r>
      <w:r>
        <w:rPr>
          <w:sz w:val="28"/>
          <w:vertAlign w:val="baseline"/>
        </w:rPr>
        <w:t>статьи</w:t>
      </w:r>
      <w:r>
        <w:rPr>
          <w:spacing w:val="80"/>
          <w:sz w:val="28"/>
          <w:vertAlign w:val="baseline"/>
        </w:rPr>
        <w:t>  </w:t>
      </w:r>
      <w:r>
        <w:rPr>
          <w:sz w:val="28"/>
          <w:vertAlign w:val="baseline"/>
        </w:rPr>
        <w:t>35</w:t>
      </w:r>
      <w:r>
        <w:rPr>
          <w:spacing w:val="80"/>
          <w:sz w:val="28"/>
          <w:vertAlign w:val="baseline"/>
        </w:rPr>
        <w:t>  </w:t>
      </w:r>
      <w:r>
        <w:rPr>
          <w:sz w:val="28"/>
          <w:vertAlign w:val="baseline"/>
        </w:rPr>
        <w:t>Федерального</w:t>
      </w:r>
      <w:r>
        <w:rPr>
          <w:spacing w:val="80"/>
          <w:sz w:val="28"/>
          <w:vertAlign w:val="baseline"/>
        </w:rPr>
        <w:t>  </w:t>
      </w:r>
      <w:r>
        <w:rPr>
          <w:sz w:val="28"/>
          <w:vertAlign w:val="baseline"/>
        </w:rPr>
        <w:t>закона</w:t>
      </w:r>
      <w:r>
        <w:rPr>
          <w:spacing w:val="80"/>
          <w:sz w:val="28"/>
          <w:vertAlign w:val="baseline"/>
        </w:rPr>
        <w:t> </w:t>
      </w:r>
      <w:r>
        <w:rPr>
          <w:sz w:val="28"/>
          <w:vertAlign w:val="baseline"/>
        </w:rPr>
        <w:t>"Об обязательном медицинском страховании в Российской Федерации".</w:t>
      </w:r>
    </w:p>
    <w:p>
      <w:pPr>
        <w:pStyle w:val="ListParagraph"/>
        <w:numPr>
          <w:ilvl w:val="0"/>
          <w:numId w:val="1"/>
        </w:numPr>
        <w:tabs>
          <w:tab w:pos="1119" w:val="left" w:leader="none"/>
        </w:tabs>
        <w:spacing w:line="268" w:lineRule="auto" w:before="0" w:after="0"/>
        <w:ind w:left="118" w:right="116" w:firstLine="707"/>
        <w:jc w:val="both"/>
        <w:rPr>
          <w:sz w:val="28"/>
        </w:rPr>
      </w:pPr>
      <w:r>
        <w:rPr>
          <w:sz w:val="28"/>
        </w:rPr>
        <w:t>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w:t>
      </w:r>
      <w:r>
        <w:rPr>
          <w:spacing w:val="40"/>
          <w:sz w:val="28"/>
        </w:rPr>
        <w:t> </w:t>
      </w:r>
      <w:r>
        <w:rPr>
          <w:sz w:val="28"/>
        </w:rPr>
        <w:t>обеспечение</w:t>
      </w:r>
      <w:r>
        <w:rPr>
          <w:spacing w:val="-1"/>
          <w:sz w:val="28"/>
        </w:rPr>
        <w:t> </w:t>
      </w:r>
      <w:r>
        <w:rPr>
          <w:sz w:val="28"/>
        </w:rPr>
        <w:t>которой осуществляется в</w:t>
      </w:r>
      <w:r>
        <w:rPr>
          <w:spacing w:val="-2"/>
          <w:sz w:val="28"/>
        </w:rPr>
        <w:t> </w:t>
      </w:r>
      <w:r>
        <w:rPr>
          <w:sz w:val="28"/>
        </w:rPr>
        <w:t>соответствии с</w:t>
      </w:r>
      <w:r>
        <w:rPr>
          <w:spacing w:val="-1"/>
          <w:sz w:val="28"/>
        </w:rPr>
        <w:t> </w:t>
      </w:r>
      <w:r>
        <w:rPr>
          <w:sz w:val="28"/>
        </w:rPr>
        <w:t>пунктом 11 статьи</w:t>
      </w:r>
      <w:r>
        <w:rPr>
          <w:spacing w:val="-1"/>
          <w:sz w:val="28"/>
        </w:rPr>
        <w:t> </w:t>
      </w:r>
      <w:r>
        <w:rPr>
          <w:sz w:val="28"/>
        </w:rPr>
        <w:t>5 Федерального</w:t>
      </w:r>
      <w:r>
        <w:rPr>
          <w:spacing w:val="66"/>
          <w:sz w:val="28"/>
        </w:rPr>
        <w:t>  </w:t>
      </w:r>
      <w:r>
        <w:rPr>
          <w:sz w:val="28"/>
        </w:rPr>
        <w:t>закона</w:t>
      </w:r>
      <w:r>
        <w:rPr>
          <w:spacing w:val="64"/>
          <w:sz w:val="28"/>
        </w:rPr>
        <w:t>  </w:t>
      </w:r>
      <w:r>
        <w:rPr>
          <w:sz w:val="28"/>
        </w:rPr>
        <w:t>"Об</w:t>
      </w:r>
      <w:r>
        <w:rPr>
          <w:spacing w:val="65"/>
          <w:sz w:val="28"/>
        </w:rPr>
        <w:t>  </w:t>
      </w:r>
      <w:r>
        <w:rPr>
          <w:sz w:val="28"/>
        </w:rPr>
        <w:t>обязательном</w:t>
      </w:r>
      <w:r>
        <w:rPr>
          <w:spacing w:val="66"/>
          <w:sz w:val="28"/>
        </w:rPr>
        <w:t>  </w:t>
      </w:r>
      <w:r>
        <w:rPr>
          <w:sz w:val="28"/>
        </w:rPr>
        <w:t>медицинском</w:t>
      </w:r>
      <w:r>
        <w:rPr>
          <w:spacing w:val="66"/>
          <w:sz w:val="28"/>
        </w:rPr>
        <w:t>  </w:t>
      </w:r>
      <w:r>
        <w:rPr>
          <w:sz w:val="28"/>
        </w:rPr>
        <w:t>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pPr>
        <w:pStyle w:val="ListParagraph"/>
        <w:numPr>
          <w:ilvl w:val="0"/>
          <w:numId w:val="1"/>
        </w:numPr>
        <w:tabs>
          <w:tab w:pos="1108" w:val="left" w:leader="none"/>
        </w:tabs>
        <w:spacing w:line="268" w:lineRule="auto" w:before="0" w:after="0"/>
        <w:ind w:left="118" w:right="114" w:firstLine="707"/>
        <w:jc w:val="both"/>
        <w:rPr>
          <w:sz w:val="28"/>
        </w:rPr>
      </w:pPr>
      <w:r>
        <w:rPr>
          <w:sz w:val="28"/>
        </w:rPr>
        <w:t>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w:t>
      </w:r>
      <w:r>
        <w:rPr>
          <w:spacing w:val="80"/>
          <w:sz w:val="28"/>
        </w:rPr>
        <w:t>  </w:t>
      </w:r>
      <w:r>
        <w:rPr>
          <w:sz w:val="28"/>
        </w:rPr>
        <w:t>помощи</w:t>
      </w:r>
      <w:r>
        <w:rPr>
          <w:spacing w:val="80"/>
          <w:sz w:val="28"/>
        </w:rPr>
        <w:t>  </w:t>
      </w:r>
      <w:r>
        <w:rPr>
          <w:sz w:val="28"/>
        </w:rPr>
        <w:t>на</w:t>
      </w:r>
      <w:r>
        <w:rPr>
          <w:spacing w:val="80"/>
          <w:sz w:val="28"/>
        </w:rPr>
        <w:t>  </w:t>
      </w:r>
      <w:r>
        <w:rPr>
          <w:sz w:val="28"/>
        </w:rPr>
        <w:t>2022 год</w:t>
      </w:r>
      <w:r>
        <w:rPr>
          <w:spacing w:val="80"/>
          <w:sz w:val="28"/>
        </w:rPr>
        <w:t>  </w:t>
      </w:r>
      <w:r>
        <w:rPr>
          <w:sz w:val="28"/>
        </w:rPr>
        <w:t>и</w:t>
      </w:r>
      <w:r>
        <w:rPr>
          <w:spacing w:val="80"/>
          <w:sz w:val="28"/>
        </w:rPr>
        <w:t>  </w:t>
      </w:r>
      <w:r>
        <w:rPr>
          <w:sz w:val="28"/>
        </w:rPr>
        <w:t>на</w:t>
      </w:r>
      <w:r>
        <w:rPr>
          <w:spacing w:val="80"/>
          <w:sz w:val="28"/>
        </w:rPr>
        <w:t>  </w:t>
      </w:r>
      <w:r>
        <w:rPr>
          <w:sz w:val="28"/>
        </w:rPr>
        <w:t>плановый</w:t>
      </w:r>
      <w:r>
        <w:rPr>
          <w:spacing w:val="80"/>
          <w:sz w:val="28"/>
        </w:rPr>
        <w:t>  </w:t>
      </w:r>
      <w:r>
        <w:rPr>
          <w:sz w:val="28"/>
        </w:rPr>
        <w:t>период</w:t>
      </w:r>
      <w:r>
        <w:rPr>
          <w:spacing w:val="80"/>
          <w:sz w:val="28"/>
        </w:rPr>
        <w:t> </w:t>
      </w:r>
      <w:r>
        <w:rPr>
          <w:sz w:val="28"/>
        </w:rPr>
        <w:t>2023 и 2024 годов.</w:t>
      </w:r>
    </w:p>
    <w:p>
      <w:pPr>
        <w:pStyle w:val="BodyText"/>
        <w:rPr>
          <w:sz w:val="30"/>
        </w:rPr>
      </w:pPr>
    </w:p>
    <w:p>
      <w:pPr>
        <w:pStyle w:val="BodyText"/>
        <w:spacing w:line="322" w:lineRule="exact" w:before="240"/>
        <w:ind w:left="140"/>
        <w:jc w:val="both"/>
      </w:pPr>
      <w:r>
        <w:rPr/>
        <w:t>Председатель</w:t>
      </w:r>
      <w:r>
        <w:rPr>
          <w:spacing w:val="-9"/>
        </w:rPr>
        <w:t> </w:t>
      </w:r>
      <w:r>
        <w:rPr>
          <w:spacing w:val="-2"/>
        </w:rPr>
        <w:t>Правительства</w:t>
      </w:r>
    </w:p>
    <w:p>
      <w:pPr>
        <w:pStyle w:val="BodyText"/>
        <w:tabs>
          <w:tab w:pos="7571" w:val="left" w:leader="none"/>
        </w:tabs>
        <w:ind w:left="481"/>
      </w:pPr>
      <w:r>
        <w:rPr/>
        <w:t>Российской</w:t>
      </w:r>
      <w:r>
        <w:rPr>
          <w:spacing w:val="-8"/>
        </w:rPr>
        <w:t> </w:t>
      </w:r>
      <w:r>
        <w:rPr>
          <w:spacing w:val="-2"/>
        </w:rPr>
        <w:t>Федерации</w:t>
      </w:r>
      <w:r>
        <w:rPr/>
        <w:tab/>
      </w:r>
      <w:r>
        <w:rPr>
          <w:spacing w:val="-2"/>
        </w:rPr>
        <w:t>М.Мишустин</w:t>
      </w:r>
    </w:p>
    <w:p>
      <w:pPr>
        <w:spacing w:after="0"/>
        <w:sectPr>
          <w:pgSz w:w="11910" w:h="16850"/>
          <w:pgMar w:header="753" w:footer="0" w:top="1080" w:bottom="280" w:left="1300" w:right="1300"/>
        </w:sectPr>
      </w:pPr>
    </w:p>
    <w:p>
      <w:pPr>
        <w:pStyle w:val="BodyText"/>
        <w:spacing w:before="171"/>
        <w:ind w:left="5254" w:right="261"/>
        <w:jc w:val="center"/>
      </w:pPr>
      <w:r>
        <w:rPr>
          <w:spacing w:val="-2"/>
        </w:rPr>
        <w:t>УТВЕРЖДЕНА</w:t>
      </w:r>
    </w:p>
    <w:p>
      <w:pPr>
        <w:pStyle w:val="BodyText"/>
        <w:spacing w:before="38"/>
        <w:ind w:left="5258" w:right="261"/>
        <w:jc w:val="center"/>
      </w:pPr>
      <w:r>
        <w:rPr/>
        <w:t>постановлением</w:t>
      </w:r>
      <w:r>
        <w:rPr>
          <w:spacing w:val="-18"/>
        </w:rPr>
        <w:t> </w:t>
      </w:r>
      <w:r>
        <w:rPr/>
        <w:t>Правительства Российской Федерации</w:t>
      </w:r>
    </w:p>
    <w:p>
      <w:pPr>
        <w:pStyle w:val="BodyText"/>
        <w:spacing w:line="321" w:lineRule="exact"/>
        <w:ind w:left="5258" w:right="198"/>
        <w:jc w:val="center"/>
      </w:pPr>
      <w:r>
        <w:rPr/>
        <w:t>от</w:t>
      </w:r>
      <w:r>
        <w:rPr>
          <w:spacing w:val="-3"/>
        </w:rPr>
        <w:t> </w:t>
      </w:r>
      <w:r>
        <w:rPr/>
        <w:t>28</w:t>
      </w:r>
      <w:r>
        <w:rPr>
          <w:spacing w:val="-1"/>
        </w:rPr>
        <w:t> </w:t>
      </w:r>
      <w:r>
        <w:rPr/>
        <w:t>декабря</w:t>
      </w:r>
      <w:r>
        <w:rPr>
          <w:spacing w:val="-2"/>
        </w:rPr>
        <w:t> </w:t>
      </w:r>
      <w:r>
        <w:rPr/>
        <w:t>2021</w:t>
      </w:r>
      <w:r>
        <w:rPr>
          <w:spacing w:val="-1"/>
        </w:rPr>
        <w:t> </w:t>
      </w:r>
      <w:r>
        <w:rPr/>
        <w:t>г.</w:t>
      </w:r>
      <w:r>
        <w:rPr>
          <w:spacing w:val="66"/>
        </w:rPr>
        <w:t> </w:t>
      </w:r>
      <w:r>
        <w:rPr/>
        <w:t>№</w:t>
      </w:r>
      <w:r>
        <w:rPr>
          <w:spacing w:val="66"/>
        </w:rPr>
        <w:t> </w:t>
      </w:r>
      <w:r>
        <w:rPr>
          <w:spacing w:val="-4"/>
        </w:rPr>
        <w:t>2505</w:t>
      </w:r>
    </w:p>
    <w:p>
      <w:pPr>
        <w:pStyle w:val="BodyText"/>
        <w:rPr>
          <w:sz w:val="30"/>
        </w:rPr>
      </w:pPr>
    </w:p>
    <w:p>
      <w:pPr>
        <w:pStyle w:val="BodyText"/>
        <w:rPr>
          <w:sz w:val="30"/>
        </w:rPr>
      </w:pPr>
    </w:p>
    <w:p>
      <w:pPr>
        <w:pStyle w:val="BodyText"/>
        <w:rPr>
          <w:sz w:val="30"/>
        </w:rPr>
      </w:pPr>
    </w:p>
    <w:p>
      <w:pPr>
        <w:pStyle w:val="BodyText"/>
        <w:spacing w:before="3"/>
        <w:rPr>
          <w:sz w:val="32"/>
        </w:rPr>
      </w:pPr>
    </w:p>
    <w:p>
      <w:pPr>
        <w:pStyle w:val="Heading1"/>
        <w:ind w:left="264" w:right="261"/>
      </w:pPr>
      <w:r>
        <w:rPr/>
        <w:t>П Р</w:t>
      </w:r>
      <w:r>
        <w:rPr>
          <w:spacing w:val="-2"/>
        </w:rPr>
        <w:t> </w:t>
      </w:r>
      <w:r>
        <w:rPr/>
        <w:t>О</w:t>
      </w:r>
      <w:r>
        <w:rPr>
          <w:spacing w:val="-1"/>
        </w:rPr>
        <w:t> </w:t>
      </w:r>
      <w:r>
        <w:rPr/>
        <w:t>Г</w:t>
      </w:r>
      <w:r>
        <w:rPr>
          <w:spacing w:val="-1"/>
        </w:rPr>
        <w:t> </w:t>
      </w:r>
      <w:r>
        <w:rPr/>
        <w:t>Р</w:t>
      </w:r>
      <w:r>
        <w:rPr>
          <w:spacing w:val="-2"/>
        </w:rPr>
        <w:t> </w:t>
      </w:r>
      <w:r>
        <w:rPr/>
        <w:t>А М</w:t>
      </w:r>
      <w:r>
        <w:rPr>
          <w:spacing w:val="-1"/>
        </w:rPr>
        <w:t> </w:t>
      </w:r>
      <w:r>
        <w:rPr/>
        <w:t>М</w:t>
      </w:r>
      <w:r>
        <w:rPr>
          <w:spacing w:val="-2"/>
        </w:rPr>
        <w:t> </w:t>
      </w:r>
      <w:r>
        <w:rPr>
          <w:spacing w:val="-10"/>
        </w:rPr>
        <w:t>А</w:t>
      </w:r>
    </w:p>
    <w:p>
      <w:pPr>
        <w:spacing w:before="120"/>
        <w:ind w:left="1501" w:right="1498" w:firstLine="0"/>
        <w:jc w:val="center"/>
        <w:rPr>
          <w:b/>
          <w:sz w:val="28"/>
        </w:rPr>
      </w:pPr>
      <w:r>
        <w:rPr>
          <w:b/>
          <w:sz w:val="28"/>
        </w:rPr>
        <w:t>государственных</w:t>
      </w:r>
      <w:r>
        <w:rPr>
          <w:b/>
          <w:spacing w:val="-10"/>
          <w:sz w:val="28"/>
        </w:rPr>
        <w:t> </w:t>
      </w:r>
      <w:r>
        <w:rPr>
          <w:b/>
          <w:sz w:val="28"/>
        </w:rPr>
        <w:t>гарантий</w:t>
      </w:r>
      <w:r>
        <w:rPr>
          <w:b/>
          <w:spacing w:val="-12"/>
          <w:sz w:val="28"/>
        </w:rPr>
        <w:t> </w:t>
      </w:r>
      <w:r>
        <w:rPr>
          <w:b/>
          <w:sz w:val="28"/>
        </w:rPr>
        <w:t>бесплатного</w:t>
      </w:r>
      <w:r>
        <w:rPr>
          <w:b/>
          <w:spacing w:val="-11"/>
          <w:sz w:val="28"/>
        </w:rPr>
        <w:t> </w:t>
      </w:r>
      <w:r>
        <w:rPr>
          <w:b/>
          <w:sz w:val="28"/>
        </w:rPr>
        <w:t>оказания гражданам медицинской помощи на 2022 год</w:t>
      </w:r>
    </w:p>
    <w:p>
      <w:pPr>
        <w:spacing w:line="321" w:lineRule="exact" w:before="0"/>
        <w:ind w:left="261" w:right="261" w:firstLine="0"/>
        <w:jc w:val="center"/>
        <w:rPr>
          <w:b/>
          <w:sz w:val="28"/>
        </w:rPr>
      </w:pPr>
      <w:r>
        <w:rPr>
          <w:b/>
          <w:sz w:val="28"/>
        </w:rPr>
        <w:t>и</w:t>
      </w:r>
      <w:r>
        <w:rPr>
          <w:b/>
          <w:spacing w:val="-5"/>
          <w:sz w:val="28"/>
        </w:rPr>
        <w:t> </w:t>
      </w:r>
      <w:r>
        <w:rPr>
          <w:b/>
          <w:sz w:val="28"/>
        </w:rPr>
        <w:t>на</w:t>
      </w:r>
      <w:r>
        <w:rPr>
          <w:b/>
          <w:spacing w:val="-2"/>
          <w:sz w:val="28"/>
        </w:rPr>
        <w:t> </w:t>
      </w:r>
      <w:r>
        <w:rPr>
          <w:b/>
          <w:sz w:val="28"/>
        </w:rPr>
        <w:t>плановый</w:t>
      </w:r>
      <w:r>
        <w:rPr>
          <w:b/>
          <w:spacing w:val="-4"/>
          <w:sz w:val="28"/>
        </w:rPr>
        <w:t> </w:t>
      </w:r>
      <w:r>
        <w:rPr>
          <w:b/>
          <w:sz w:val="28"/>
        </w:rPr>
        <w:t>период</w:t>
      </w:r>
      <w:r>
        <w:rPr>
          <w:b/>
          <w:spacing w:val="-4"/>
          <w:sz w:val="28"/>
        </w:rPr>
        <w:t> </w:t>
      </w:r>
      <w:r>
        <w:rPr>
          <w:b/>
          <w:sz w:val="28"/>
        </w:rPr>
        <w:t>2023</w:t>
      </w:r>
      <w:r>
        <w:rPr>
          <w:b/>
          <w:spacing w:val="-2"/>
          <w:sz w:val="28"/>
        </w:rPr>
        <w:t> </w:t>
      </w:r>
      <w:r>
        <w:rPr>
          <w:b/>
          <w:sz w:val="28"/>
        </w:rPr>
        <w:t>и</w:t>
      </w:r>
      <w:r>
        <w:rPr>
          <w:b/>
          <w:spacing w:val="-5"/>
          <w:sz w:val="28"/>
        </w:rPr>
        <w:t> </w:t>
      </w:r>
      <w:r>
        <w:rPr>
          <w:b/>
          <w:sz w:val="28"/>
        </w:rPr>
        <w:t>2024</w:t>
      </w:r>
      <w:r>
        <w:rPr>
          <w:b/>
          <w:spacing w:val="-2"/>
          <w:sz w:val="28"/>
        </w:rPr>
        <w:t> </w:t>
      </w:r>
      <w:r>
        <w:rPr>
          <w:b/>
          <w:spacing w:val="-4"/>
          <w:sz w:val="28"/>
        </w:rPr>
        <w:t>годов</w:t>
      </w:r>
    </w:p>
    <w:p>
      <w:pPr>
        <w:pStyle w:val="BodyText"/>
        <w:rPr>
          <w:b/>
          <w:sz w:val="30"/>
        </w:rPr>
      </w:pPr>
    </w:p>
    <w:p>
      <w:pPr>
        <w:pStyle w:val="BodyText"/>
        <w:spacing w:before="2"/>
        <w:rPr>
          <w:b/>
          <w:sz w:val="32"/>
        </w:rPr>
      </w:pPr>
    </w:p>
    <w:p>
      <w:pPr>
        <w:pStyle w:val="ListParagraph"/>
        <w:numPr>
          <w:ilvl w:val="1"/>
          <w:numId w:val="1"/>
        </w:numPr>
        <w:tabs>
          <w:tab w:pos="3662" w:val="left" w:leader="none"/>
        </w:tabs>
        <w:spacing w:line="240" w:lineRule="auto" w:before="0" w:after="0"/>
        <w:ind w:left="3661" w:right="0" w:hanging="233"/>
        <w:jc w:val="left"/>
        <w:rPr>
          <w:sz w:val="28"/>
        </w:rPr>
      </w:pPr>
      <w:r>
        <w:rPr>
          <w:sz w:val="28"/>
        </w:rPr>
        <w:t>Общие</w:t>
      </w:r>
      <w:r>
        <w:rPr>
          <w:spacing w:val="-5"/>
          <w:sz w:val="28"/>
        </w:rPr>
        <w:t> </w:t>
      </w:r>
      <w:r>
        <w:rPr>
          <w:spacing w:val="-2"/>
          <w:sz w:val="28"/>
        </w:rPr>
        <w:t>положения</w:t>
      </w:r>
    </w:p>
    <w:p>
      <w:pPr>
        <w:pStyle w:val="BodyText"/>
        <w:spacing w:before="5"/>
        <w:rPr>
          <w:sz w:val="31"/>
        </w:rPr>
      </w:pPr>
    </w:p>
    <w:p>
      <w:pPr>
        <w:pStyle w:val="BodyText"/>
        <w:spacing w:line="268" w:lineRule="auto" w:before="1"/>
        <w:ind w:left="118" w:right="115" w:firstLine="707"/>
        <w:jc w:val="both"/>
      </w:pPr>
      <w:r>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BodyText"/>
        <w:spacing w:line="268" w:lineRule="auto"/>
        <w:ind w:left="118" w:right="112" w:firstLine="707"/>
        <w:jc w:val="both"/>
      </w:pPr>
      <w:r>
        <w:rPr/>
        <w:t>Программа государственных гарантий бесплатного оказания гражданам</w:t>
      </w:r>
      <w:r>
        <w:rPr>
          <w:spacing w:val="40"/>
        </w:rPr>
        <w:t> </w:t>
      </w:r>
      <w:r>
        <w:rPr/>
        <w:t>медицинской</w:t>
      </w:r>
      <w:r>
        <w:rPr>
          <w:spacing w:val="40"/>
        </w:rPr>
        <w:t> </w:t>
      </w:r>
      <w:r>
        <w:rPr/>
        <w:t>помощи</w:t>
      </w:r>
      <w:r>
        <w:rPr>
          <w:spacing w:val="40"/>
        </w:rPr>
        <w:t> </w:t>
      </w:r>
      <w:r>
        <w:rPr/>
        <w:t>на</w:t>
      </w:r>
      <w:r>
        <w:rPr>
          <w:spacing w:val="40"/>
        </w:rPr>
        <w:t> </w:t>
      </w:r>
      <w:r>
        <w:rPr/>
        <w:t>2022</w:t>
      </w:r>
      <w:r>
        <w:rPr>
          <w:spacing w:val="40"/>
        </w:rPr>
        <w:t> </w:t>
      </w:r>
      <w:r>
        <w:rPr/>
        <w:t>год</w:t>
      </w:r>
      <w:r>
        <w:rPr>
          <w:spacing w:val="40"/>
        </w:rPr>
        <w:t> </w:t>
      </w:r>
      <w:r>
        <w:rPr/>
        <w:t>и</w:t>
      </w:r>
      <w:r>
        <w:rPr>
          <w:spacing w:val="40"/>
        </w:rPr>
        <w:t> </w:t>
      </w:r>
      <w:r>
        <w:rPr/>
        <w:t>на</w:t>
      </w:r>
      <w:r>
        <w:rPr>
          <w:spacing w:val="40"/>
        </w:rPr>
        <w:t> </w:t>
      </w:r>
      <w:r>
        <w:rPr/>
        <w:t>плановый</w:t>
      </w:r>
      <w:r>
        <w:rPr>
          <w:spacing w:val="40"/>
        </w:rPr>
        <w:t> </w:t>
      </w:r>
      <w:r>
        <w:rPr/>
        <w:t>период 2023 и 2024 годов (далее - Программа) устанавливает перечень видов,</w:t>
      </w:r>
      <w:r>
        <w:rPr>
          <w:spacing w:val="40"/>
        </w:rPr>
        <w:t> </w:t>
      </w:r>
      <w:r>
        <w:rPr/>
        <w:t>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w:t>
      </w:r>
      <w:r>
        <w:rPr>
          <w:spacing w:val="40"/>
        </w:rPr>
        <w:t> </w:t>
      </w:r>
      <w:r>
        <w:rPr/>
        <w:t>тарифов</w:t>
      </w:r>
      <w:r>
        <w:rPr>
          <w:spacing w:val="40"/>
        </w:rPr>
        <w:t> </w:t>
      </w:r>
      <w:r>
        <w:rPr/>
        <w:t>на</w:t>
      </w:r>
      <w:r>
        <w:rPr>
          <w:spacing w:val="40"/>
        </w:rPr>
        <w:t> </w:t>
      </w:r>
      <w:r>
        <w:rPr/>
        <w:t>медицинскую</w:t>
      </w:r>
      <w:r>
        <w:rPr>
          <w:spacing w:val="40"/>
        </w:rPr>
        <w:t> </w:t>
      </w:r>
      <w:r>
        <w:rPr/>
        <w:t>помощь</w:t>
      </w:r>
      <w:r>
        <w:rPr>
          <w:spacing w:val="40"/>
        </w:rPr>
        <w:t> </w:t>
      </w:r>
      <w:r>
        <w:rPr/>
        <w:t>и</w:t>
      </w:r>
      <w:r>
        <w:rPr>
          <w:spacing w:val="40"/>
        </w:rPr>
        <w:t> </w:t>
      </w:r>
      <w:r>
        <w:rPr/>
        <w:t>способы</w:t>
      </w:r>
      <w:r>
        <w:rPr>
          <w:spacing w:val="40"/>
        </w:rPr>
        <w:t> </w:t>
      </w:r>
      <w:r>
        <w:rPr/>
        <w:t>ее</w:t>
      </w:r>
      <w:r>
        <w:rPr>
          <w:spacing w:val="40"/>
        </w:rPr>
        <w:t> </w:t>
      </w:r>
      <w:r>
        <w:rPr/>
        <w:t>оплаты,</w:t>
      </w:r>
      <w:r>
        <w:rPr>
          <w:spacing w:val="80"/>
          <w:w w:val="150"/>
        </w:rPr>
        <w:t> </w:t>
      </w:r>
      <w:r>
        <w:rPr/>
        <w:t>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spacing w:after="0" w:line="268" w:lineRule="auto"/>
        <w:jc w:val="both"/>
        <w:sectPr>
          <w:headerReference w:type="default" r:id="rId7"/>
          <w:pgSz w:w="11910" w:h="16850"/>
          <w:pgMar w:header="0" w:footer="0" w:top="1600" w:bottom="280" w:left="1300" w:right="1300"/>
        </w:sectPr>
      </w:pPr>
    </w:p>
    <w:p>
      <w:pPr>
        <w:pStyle w:val="BodyText"/>
        <w:spacing w:before="4"/>
        <w:rPr>
          <w:sz w:val="24"/>
        </w:rPr>
      </w:pPr>
    </w:p>
    <w:p>
      <w:pPr>
        <w:pStyle w:val="BodyText"/>
        <w:spacing w:line="268" w:lineRule="auto" w:before="89"/>
        <w:ind w:left="118" w:right="115" w:firstLine="707"/>
        <w:jc w:val="both"/>
      </w:pPr>
      <w:r>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BodyText"/>
        <w:spacing w:line="268" w:lineRule="auto"/>
        <w:ind w:left="118" w:right="113" w:firstLine="707"/>
        <w:jc w:val="both"/>
      </w:pPr>
      <w:r>
        <w:rPr/>
        <w:t>Органы</w:t>
      </w:r>
      <w:r>
        <w:rPr>
          <w:spacing w:val="40"/>
        </w:rPr>
        <w:t> </w:t>
      </w:r>
      <w:r>
        <w:rPr/>
        <w:t>государственной</w:t>
      </w:r>
      <w:r>
        <w:rPr>
          <w:spacing w:val="40"/>
        </w:rPr>
        <w:t> </w:t>
      </w:r>
      <w:r>
        <w:rPr/>
        <w:t>власти</w:t>
      </w:r>
      <w:r>
        <w:rPr>
          <w:spacing w:val="40"/>
        </w:rPr>
        <w:t> </w:t>
      </w:r>
      <w:r>
        <w:rPr/>
        <w:t>субъектов</w:t>
      </w:r>
      <w:r>
        <w:rPr>
          <w:spacing w:val="40"/>
        </w:rPr>
        <w:t> </w:t>
      </w:r>
      <w:r>
        <w:rPr/>
        <w:t>Российской</w:t>
      </w:r>
      <w:r>
        <w:rPr>
          <w:spacing w:val="40"/>
        </w:rPr>
        <w:t> </w:t>
      </w:r>
      <w:r>
        <w:rPr/>
        <w:t>Федерации</w:t>
      </w:r>
      <w:r>
        <w:rPr>
          <w:spacing w:val="40"/>
        </w:rPr>
        <w:t> </w:t>
      </w:r>
      <w:r>
        <w:rPr/>
        <w:t>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w:t>
      </w:r>
      <w:r>
        <w:rPr>
          <w:spacing w:val="80"/>
          <w:w w:val="150"/>
        </w:rPr>
        <w:t> </w:t>
      </w:r>
      <w:r>
        <w:rPr/>
        <w:t>с законодательством Российской Федерации об обязательном</w:t>
      </w:r>
      <w:r>
        <w:rPr>
          <w:spacing w:val="80"/>
        </w:rPr>
        <w:t> </w:t>
      </w:r>
      <w:r>
        <w:rPr/>
        <w:t>медицинском страховании (далее - территориальная программа обязательного медицинского страхования).</w:t>
      </w:r>
    </w:p>
    <w:p>
      <w:pPr>
        <w:pStyle w:val="BodyText"/>
        <w:spacing w:line="268" w:lineRule="auto"/>
        <w:ind w:left="118" w:right="111" w:firstLine="707"/>
        <w:jc w:val="both"/>
      </w:pPr>
      <w:r>
        <w:rPr/>
        <w:t>В</w:t>
      </w:r>
      <w:r>
        <w:rPr>
          <w:spacing w:val="-4"/>
        </w:rPr>
        <w:t> </w:t>
      </w:r>
      <w:r>
        <w:rPr/>
        <w:t>соответствии</w:t>
      </w:r>
      <w:r>
        <w:rPr>
          <w:spacing w:val="-4"/>
        </w:rPr>
        <w:t> </w:t>
      </w:r>
      <w:r>
        <w:rPr/>
        <w:t>с</w:t>
      </w:r>
      <w:r>
        <w:rPr>
          <w:spacing w:val="-5"/>
        </w:rPr>
        <w:t> </w:t>
      </w:r>
      <w:r>
        <w:rPr/>
        <w:t>Конституцией</w:t>
      </w:r>
      <w:r>
        <w:rPr>
          <w:spacing w:val="-4"/>
        </w:rPr>
        <w:t> </w:t>
      </w:r>
      <w:r>
        <w:rPr/>
        <w:t>Российской</w:t>
      </w:r>
      <w:r>
        <w:rPr>
          <w:spacing w:val="-4"/>
        </w:rPr>
        <w:t> </w:t>
      </w:r>
      <w:r>
        <w:rPr/>
        <w:t>Федерации</w:t>
      </w:r>
      <w:r>
        <w:rPr>
          <w:spacing w:val="-4"/>
        </w:rPr>
        <w:t> </w:t>
      </w:r>
      <w:r>
        <w:rPr/>
        <w:t>в</w:t>
      </w:r>
      <w:r>
        <w:rPr>
          <w:spacing w:val="-5"/>
        </w:rPr>
        <w:t> </w:t>
      </w:r>
      <w:r>
        <w:rPr/>
        <w:t>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pPr>
        <w:pStyle w:val="BodyText"/>
        <w:spacing w:line="268" w:lineRule="auto"/>
        <w:ind w:left="118" w:right="115" w:firstLine="707"/>
        <w:jc w:val="both"/>
      </w:pPr>
      <w:r>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BodyText"/>
        <w:spacing w:line="268" w:lineRule="auto"/>
        <w:ind w:left="118" w:right="116" w:firstLine="707"/>
        <w:jc w:val="both"/>
      </w:pPr>
      <w:r>
        <w:rPr/>
        <w:t>Индексация заработной платы осуществляется с учетом фактически сложившегося уровня отношения средней заработной платы медицинских работников</w:t>
      </w:r>
      <w:r>
        <w:rPr>
          <w:spacing w:val="39"/>
        </w:rPr>
        <w:t> </w:t>
      </w:r>
      <w:r>
        <w:rPr/>
        <w:t>к</w:t>
      </w:r>
      <w:r>
        <w:rPr>
          <w:spacing w:val="40"/>
        </w:rPr>
        <w:t> </w:t>
      </w:r>
      <w:r>
        <w:rPr/>
        <w:t>среднемесячной</w:t>
      </w:r>
      <w:r>
        <w:rPr>
          <w:spacing w:val="38"/>
        </w:rPr>
        <w:t> </w:t>
      </w:r>
      <w:r>
        <w:rPr/>
        <w:t>начисленной</w:t>
      </w:r>
      <w:r>
        <w:rPr>
          <w:spacing w:val="40"/>
        </w:rPr>
        <w:t> </w:t>
      </w:r>
      <w:r>
        <w:rPr/>
        <w:t>заработной</w:t>
      </w:r>
      <w:r>
        <w:rPr>
          <w:spacing w:val="38"/>
        </w:rPr>
        <w:t> </w:t>
      </w:r>
      <w:r>
        <w:rPr/>
        <w:t>плате</w:t>
      </w:r>
      <w:r>
        <w:rPr>
          <w:spacing w:val="39"/>
        </w:rPr>
        <w:t> </w:t>
      </w:r>
      <w:r>
        <w:rPr/>
        <w:t>работников в</w:t>
      </w:r>
      <w:r>
        <w:rPr>
          <w:spacing w:val="39"/>
        </w:rPr>
        <w:t> </w:t>
      </w:r>
      <w:r>
        <w:rPr/>
        <w:t>организациях,</w:t>
      </w:r>
      <w:r>
        <w:rPr>
          <w:spacing w:val="40"/>
        </w:rPr>
        <w:t> </w:t>
      </w:r>
      <w:r>
        <w:rPr/>
        <w:t>у</w:t>
      </w:r>
      <w:r>
        <w:rPr>
          <w:spacing w:val="39"/>
        </w:rPr>
        <w:t> </w:t>
      </w:r>
      <w:r>
        <w:rPr/>
        <w:t>индивидуальных</w:t>
      </w:r>
      <w:r>
        <w:rPr>
          <w:spacing w:val="42"/>
        </w:rPr>
        <w:t> </w:t>
      </w:r>
      <w:r>
        <w:rPr/>
        <w:t>предпринимателей</w:t>
      </w:r>
      <w:r>
        <w:rPr>
          <w:spacing w:val="41"/>
        </w:rPr>
        <w:t> </w:t>
      </w:r>
      <w:r>
        <w:rPr/>
        <w:t>и</w:t>
      </w:r>
      <w:r>
        <w:rPr>
          <w:spacing w:val="39"/>
        </w:rPr>
        <w:t> </w:t>
      </w:r>
      <w:r>
        <w:rPr/>
        <w:t>физических</w:t>
      </w:r>
      <w:r>
        <w:rPr>
          <w:spacing w:val="42"/>
        </w:rPr>
        <w:t> </w:t>
      </w:r>
      <w:r>
        <w:rPr>
          <w:spacing w:val="-5"/>
        </w:rPr>
        <w:t>лиц</w:t>
      </w:r>
    </w:p>
    <w:p>
      <w:pPr>
        <w:spacing w:after="0" w:line="268" w:lineRule="auto"/>
        <w:jc w:val="both"/>
        <w:sectPr>
          <w:headerReference w:type="default" r:id="rId8"/>
          <w:pgSz w:w="11910" w:h="16850"/>
          <w:pgMar w:header="753" w:footer="0" w:top="1080" w:bottom="280" w:left="1300" w:right="1300"/>
          <w:pgNumType w:start="2"/>
        </w:sectPr>
      </w:pPr>
    </w:p>
    <w:p>
      <w:pPr>
        <w:pStyle w:val="BodyText"/>
        <w:spacing w:before="4"/>
        <w:rPr>
          <w:sz w:val="24"/>
        </w:rPr>
      </w:pPr>
    </w:p>
    <w:p>
      <w:pPr>
        <w:pStyle w:val="BodyText"/>
        <w:spacing w:line="268" w:lineRule="auto" w:before="89"/>
        <w:ind w:left="118" w:right="117"/>
        <w:jc w:val="both"/>
      </w:pPr>
      <w:r>
        <w:rPr/>
        <w:t>(среднемесячному доходу от трудовой деятельности) по субъекту Российской Федерации.</w:t>
      </w:r>
    </w:p>
    <w:p>
      <w:pPr>
        <w:pStyle w:val="BodyText"/>
        <w:spacing w:line="268" w:lineRule="auto"/>
        <w:ind w:left="118" w:right="116" w:firstLine="707"/>
        <w:jc w:val="both"/>
      </w:pPr>
      <w:r>
        <w:rPr/>
        <w:t>При формировании территориальной программы государственных гарантий</w:t>
      </w:r>
      <w:r>
        <w:rPr>
          <w:spacing w:val="71"/>
          <w:w w:val="150"/>
        </w:rPr>
        <w:t>  </w:t>
      </w:r>
      <w:r>
        <w:rPr/>
        <w:t>учитываются</w:t>
      </w:r>
      <w:r>
        <w:rPr>
          <w:spacing w:val="71"/>
          <w:w w:val="150"/>
        </w:rPr>
        <w:t>  </w:t>
      </w:r>
      <w:r>
        <w:rPr/>
        <w:t>порядки</w:t>
      </w:r>
      <w:r>
        <w:rPr>
          <w:spacing w:val="70"/>
          <w:w w:val="150"/>
        </w:rPr>
        <w:t>  </w:t>
      </w:r>
      <w:r>
        <w:rPr/>
        <w:t>оказания</w:t>
      </w:r>
      <w:r>
        <w:rPr>
          <w:spacing w:val="70"/>
          <w:w w:val="150"/>
        </w:rPr>
        <w:t>  </w:t>
      </w:r>
      <w:r>
        <w:rPr/>
        <w:t>медицинской</w:t>
      </w:r>
      <w:r>
        <w:rPr>
          <w:spacing w:val="71"/>
          <w:w w:val="150"/>
        </w:rPr>
        <w:t>  </w:t>
      </w:r>
      <w:r>
        <w:rPr/>
        <w:t>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w:t>
      </w:r>
      <w:r>
        <w:rPr>
          <w:spacing w:val="40"/>
        </w:rPr>
        <w:t> </w:t>
      </w:r>
      <w:r>
        <w:rPr/>
        <w:t>Федерации,</w:t>
      </w:r>
      <w:r>
        <w:rPr>
          <w:spacing w:val="39"/>
        </w:rPr>
        <w:t> </w:t>
      </w:r>
      <w:r>
        <w:rPr/>
        <w:t>основанные</w:t>
      </w:r>
      <w:r>
        <w:rPr>
          <w:spacing w:val="40"/>
        </w:rPr>
        <w:t> </w:t>
      </w:r>
      <w:r>
        <w:rPr/>
        <w:t>на</w:t>
      </w:r>
      <w:r>
        <w:rPr>
          <w:spacing w:val="40"/>
        </w:rPr>
        <w:t> </w:t>
      </w:r>
      <w:r>
        <w:rPr/>
        <w:t>данных</w:t>
      </w:r>
      <w:r>
        <w:rPr>
          <w:spacing w:val="40"/>
        </w:rPr>
        <w:t> </w:t>
      </w:r>
      <w:r>
        <w:rPr/>
        <w:t>медицинской</w:t>
      </w:r>
      <w:r>
        <w:rPr>
          <w:spacing w:val="40"/>
        </w:rPr>
        <w:t> </w:t>
      </w:r>
      <w:r>
        <w:rPr/>
        <w:t>статистики, а</w:t>
      </w:r>
      <w:r>
        <w:rPr>
          <w:spacing w:val="80"/>
          <w:w w:val="150"/>
        </w:rPr>
        <w:t>  </w:t>
      </w:r>
      <w:r>
        <w:rPr/>
        <w:t>также</w:t>
      </w:r>
      <w:r>
        <w:rPr>
          <w:spacing w:val="80"/>
          <w:w w:val="150"/>
        </w:rPr>
        <w:t>  </w:t>
      </w:r>
      <w:r>
        <w:rPr/>
        <w:t>климатические,</w:t>
      </w:r>
      <w:r>
        <w:rPr>
          <w:spacing w:val="80"/>
          <w:w w:val="150"/>
        </w:rPr>
        <w:t>  </w:t>
      </w:r>
      <w:r>
        <w:rPr/>
        <w:t>географические</w:t>
      </w:r>
      <w:r>
        <w:rPr>
          <w:spacing w:val="80"/>
          <w:w w:val="150"/>
        </w:rPr>
        <w:t>  </w:t>
      </w:r>
      <w:r>
        <w:rPr/>
        <w:t>особенности</w:t>
      </w:r>
      <w:r>
        <w:rPr>
          <w:spacing w:val="80"/>
          <w:w w:val="150"/>
        </w:rPr>
        <w:t>  </w:t>
      </w:r>
      <w:r>
        <w:rPr/>
        <w:t>региона</w:t>
      </w:r>
      <w:r>
        <w:rPr>
          <w:spacing w:val="40"/>
        </w:rPr>
        <w:t> </w:t>
      </w:r>
      <w:r>
        <w:rPr/>
        <w:t>и транспортная доступность медицинских организаций.</w:t>
      </w:r>
    </w:p>
    <w:p>
      <w:pPr>
        <w:pStyle w:val="BodyText"/>
        <w:spacing w:line="268" w:lineRule="auto"/>
        <w:ind w:left="118" w:right="114" w:firstLine="707"/>
        <w:jc w:val="both"/>
      </w:pPr>
      <w:r>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w:t>
      </w:r>
      <w:r>
        <w:rPr>
          <w:spacing w:val="-2"/>
        </w:rPr>
        <w:t>страхования.</w:t>
      </w:r>
    </w:p>
    <w:p>
      <w:pPr>
        <w:pStyle w:val="BodyText"/>
        <w:spacing w:before="11"/>
        <w:rPr>
          <w:sz w:val="23"/>
        </w:rPr>
      </w:pPr>
    </w:p>
    <w:p>
      <w:pPr>
        <w:pStyle w:val="ListParagraph"/>
        <w:numPr>
          <w:ilvl w:val="1"/>
          <w:numId w:val="1"/>
        </w:numPr>
        <w:tabs>
          <w:tab w:pos="477" w:val="left" w:leader="none"/>
        </w:tabs>
        <w:spacing w:line="240" w:lineRule="auto" w:before="0" w:after="0"/>
        <w:ind w:left="1981" w:right="148" w:hanging="1832"/>
        <w:jc w:val="left"/>
        <w:rPr>
          <w:sz w:val="28"/>
        </w:rPr>
      </w:pPr>
      <w:r>
        <w:rPr>
          <w:sz w:val="28"/>
        </w:rPr>
        <w:t>Перечень</w:t>
      </w:r>
      <w:r>
        <w:rPr>
          <w:spacing w:val="-5"/>
          <w:sz w:val="28"/>
        </w:rPr>
        <w:t> </w:t>
      </w:r>
      <w:r>
        <w:rPr>
          <w:sz w:val="28"/>
        </w:rPr>
        <w:t>видов,</w:t>
      </w:r>
      <w:r>
        <w:rPr>
          <w:spacing w:val="-9"/>
          <w:sz w:val="28"/>
        </w:rPr>
        <w:t> </w:t>
      </w:r>
      <w:r>
        <w:rPr>
          <w:sz w:val="28"/>
        </w:rPr>
        <w:t>форм</w:t>
      </w:r>
      <w:r>
        <w:rPr>
          <w:spacing w:val="-4"/>
          <w:sz w:val="28"/>
        </w:rPr>
        <w:t> </w:t>
      </w:r>
      <w:r>
        <w:rPr>
          <w:sz w:val="28"/>
        </w:rPr>
        <w:t>и</w:t>
      </w:r>
      <w:r>
        <w:rPr>
          <w:spacing w:val="-4"/>
          <w:sz w:val="28"/>
        </w:rPr>
        <w:t> </w:t>
      </w:r>
      <w:r>
        <w:rPr>
          <w:sz w:val="28"/>
        </w:rPr>
        <w:t>условий</w:t>
      </w:r>
      <w:r>
        <w:rPr>
          <w:spacing w:val="-6"/>
          <w:sz w:val="28"/>
        </w:rPr>
        <w:t> </w:t>
      </w:r>
      <w:r>
        <w:rPr>
          <w:sz w:val="28"/>
        </w:rPr>
        <w:t>предоставления</w:t>
      </w:r>
      <w:r>
        <w:rPr>
          <w:spacing w:val="-4"/>
          <w:sz w:val="28"/>
        </w:rPr>
        <w:t> </w:t>
      </w:r>
      <w:r>
        <w:rPr>
          <w:sz w:val="28"/>
        </w:rPr>
        <w:t>медицинской</w:t>
      </w:r>
      <w:r>
        <w:rPr>
          <w:spacing w:val="-7"/>
          <w:sz w:val="28"/>
        </w:rPr>
        <w:t> </w:t>
      </w:r>
      <w:r>
        <w:rPr>
          <w:sz w:val="28"/>
        </w:rPr>
        <w:t>помощи, оказание которой осуществляется бесплатно</w:t>
      </w:r>
    </w:p>
    <w:p>
      <w:pPr>
        <w:pStyle w:val="BodyText"/>
        <w:spacing w:before="3"/>
        <w:rPr>
          <w:sz w:val="31"/>
        </w:rPr>
      </w:pPr>
    </w:p>
    <w:p>
      <w:pPr>
        <w:pStyle w:val="BodyText"/>
        <w:spacing w:line="268" w:lineRule="auto"/>
        <w:ind w:left="118" w:right="117" w:firstLine="707"/>
        <w:jc w:val="both"/>
      </w:pPr>
      <w:r>
        <w:rPr/>
        <w:t>В рамках Программы (за исключением медицинской помощи, оказываемой в рамках клинической апробации) бесплатно </w:t>
      </w:r>
      <w:r>
        <w:rPr>
          <w:spacing w:val="-2"/>
        </w:rPr>
        <w:t>предоставляются:</w:t>
      </w:r>
    </w:p>
    <w:p>
      <w:pPr>
        <w:pStyle w:val="BodyText"/>
        <w:spacing w:line="268" w:lineRule="auto"/>
        <w:ind w:left="118" w:right="114" w:firstLine="707"/>
        <w:jc w:val="both"/>
      </w:pPr>
      <w:r>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BodyText"/>
        <w:spacing w:line="268" w:lineRule="auto"/>
        <w:ind w:left="118" w:right="116" w:firstLine="707"/>
        <w:jc w:val="both"/>
      </w:pPr>
      <w:r>
        <w:rPr/>
        <w:t>специализированная, в том числе высокотехнологичная,</w:t>
      </w:r>
      <w:r>
        <w:rPr>
          <w:spacing w:val="40"/>
        </w:rPr>
        <w:t> </w:t>
      </w:r>
      <w:r>
        <w:rPr/>
        <w:t>медицинская помощь;</w:t>
      </w:r>
    </w:p>
    <w:p>
      <w:pPr>
        <w:pStyle w:val="BodyText"/>
        <w:spacing w:line="268" w:lineRule="auto"/>
        <w:ind w:left="118" w:right="116" w:firstLine="707"/>
        <w:jc w:val="both"/>
      </w:pPr>
      <w:r>
        <w:rPr/>
        <w:t>скорая, в том числе скорая специализированная, медицинская </w:t>
      </w:r>
      <w:r>
        <w:rPr>
          <w:spacing w:val="-2"/>
        </w:rPr>
        <w:t>помощь;</w:t>
      </w:r>
    </w:p>
    <w:p>
      <w:pPr>
        <w:pStyle w:val="BodyText"/>
        <w:spacing w:line="268" w:lineRule="auto"/>
        <w:ind w:left="118" w:right="118" w:firstLine="707"/>
        <w:jc w:val="both"/>
      </w:pPr>
      <w:r>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BodyText"/>
        <w:spacing w:line="268" w:lineRule="auto"/>
        <w:ind w:left="118" w:right="111" w:firstLine="707"/>
        <w:jc w:val="both"/>
      </w:pPr>
      <w:r>
        <w:rPr/>
        <w:t>Понятие</w:t>
      </w:r>
      <w:r>
        <w:rPr>
          <w:spacing w:val="80"/>
          <w:w w:val="150"/>
        </w:rPr>
        <w:t> </w:t>
      </w:r>
      <w:r>
        <w:rPr/>
        <w:t>"медицинская</w:t>
      </w:r>
      <w:r>
        <w:rPr>
          <w:spacing w:val="80"/>
          <w:w w:val="150"/>
        </w:rPr>
        <w:t> </w:t>
      </w:r>
      <w:r>
        <w:rPr/>
        <w:t>организация"</w:t>
      </w:r>
      <w:r>
        <w:rPr>
          <w:spacing w:val="80"/>
          <w:w w:val="150"/>
        </w:rPr>
        <w:t> </w:t>
      </w:r>
      <w:r>
        <w:rPr/>
        <w:t>используется</w:t>
      </w:r>
      <w:r>
        <w:rPr>
          <w:spacing w:val="80"/>
          <w:w w:val="150"/>
        </w:rPr>
        <w:t> </w:t>
      </w:r>
      <w:r>
        <w:rPr/>
        <w:t>в</w:t>
      </w:r>
      <w:r>
        <w:rPr>
          <w:spacing w:val="80"/>
          <w:w w:val="150"/>
        </w:rPr>
        <w:t> </w:t>
      </w:r>
      <w:r>
        <w:rPr/>
        <w:t>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BodyText"/>
        <w:spacing w:line="268" w:lineRule="auto"/>
        <w:ind w:left="118" w:right="116" w:firstLine="707"/>
        <w:jc w:val="both"/>
      </w:pPr>
      <w:r>
        <w:rPr/>
        <w:t>Первичная медико-санитарная помощь является основой системы оказания</w:t>
      </w:r>
      <w:r>
        <w:rPr>
          <w:spacing w:val="68"/>
        </w:rPr>
        <w:t>  </w:t>
      </w:r>
      <w:r>
        <w:rPr/>
        <w:t>медицинской</w:t>
      </w:r>
      <w:r>
        <w:rPr>
          <w:spacing w:val="40"/>
        </w:rPr>
        <w:t>  </w:t>
      </w:r>
      <w:r>
        <w:rPr/>
        <w:t>помощи</w:t>
      </w:r>
      <w:r>
        <w:rPr>
          <w:spacing w:val="40"/>
        </w:rPr>
        <w:t>  </w:t>
      </w:r>
      <w:r>
        <w:rPr/>
        <w:t>и</w:t>
      </w:r>
      <w:r>
        <w:rPr>
          <w:spacing w:val="40"/>
        </w:rPr>
        <w:t>  </w:t>
      </w:r>
      <w:r>
        <w:rPr/>
        <w:t>включает</w:t>
      </w:r>
      <w:r>
        <w:rPr>
          <w:spacing w:val="40"/>
        </w:rPr>
        <w:t>  </w:t>
      </w:r>
      <w:r>
        <w:rPr/>
        <w:t>в</w:t>
      </w:r>
      <w:r>
        <w:rPr>
          <w:spacing w:val="40"/>
        </w:rPr>
        <w:t>  </w:t>
      </w:r>
      <w:r>
        <w:rPr/>
        <w:t>себя</w:t>
      </w:r>
      <w:r>
        <w:rPr>
          <w:spacing w:val="68"/>
        </w:rPr>
        <w:t>  </w:t>
      </w:r>
      <w:r>
        <w:rPr/>
        <w:t>мероприятия по</w:t>
      </w:r>
      <w:r>
        <w:rPr>
          <w:spacing w:val="50"/>
        </w:rPr>
        <w:t>  </w:t>
      </w:r>
      <w:r>
        <w:rPr/>
        <w:t>профилактике,</w:t>
      </w:r>
      <w:r>
        <w:rPr>
          <w:spacing w:val="52"/>
        </w:rPr>
        <w:t>  </w:t>
      </w:r>
      <w:r>
        <w:rPr/>
        <w:t>диагностике,</w:t>
      </w:r>
      <w:r>
        <w:rPr>
          <w:spacing w:val="52"/>
        </w:rPr>
        <w:t>  </w:t>
      </w:r>
      <w:r>
        <w:rPr/>
        <w:t>лечению</w:t>
      </w:r>
      <w:r>
        <w:rPr>
          <w:spacing w:val="51"/>
        </w:rPr>
        <w:t>  </w:t>
      </w:r>
      <w:r>
        <w:rPr/>
        <w:t>заболеваний</w:t>
      </w:r>
      <w:r>
        <w:rPr>
          <w:spacing w:val="51"/>
        </w:rPr>
        <w:t>  </w:t>
      </w:r>
      <w:r>
        <w:rPr/>
        <w:t>и</w:t>
      </w:r>
      <w:r>
        <w:rPr>
          <w:spacing w:val="52"/>
        </w:rPr>
        <w:t>  </w:t>
      </w:r>
      <w:r>
        <w:rPr>
          <w:spacing w:val="-2"/>
        </w:rPr>
        <w:t>состояний,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jc w:val="both"/>
      </w:pPr>
      <w:r>
        <w:rPr/>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BodyText"/>
        <w:spacing w:line="268" w:lineRule="auto"/>
        <w:ind w:left="118" w:right="116" w:firstLine="707"/>
        <w:jc w:val="both"/>
      </w:pPr>
      <w:r>
        <w:rPr/>
        <w:t>Первичная</w:t>
      </w:r>
      <w:r>
        <w:rPr>
          <w:spacing w:val="69"/>
        </w:rPr>
        <w:t>  </w:t>
      </w:r>
      <w:r>
        <w:rPr/>
        <w:t>медико-санитарная</w:t>
      </w:r>
      <w:r>
        <w:rPr>
          <w:spacing w:val="69"/>
        </w:rPr>
        <w:t>  </w:t>
      </w:r>
      <w:r>
        <w:rPr/>
        <w:t>помощь</w:t>
      </w:r>
      <w:r>
        <w:rPr>
          <w:spacing w:val="69"/>
        </w:rPr>
        <w:t>  </w:t>
      </w:r>
      <w:r>
        <w:rPr/>
        <w:t>оказывается</w:t>
      </w:r>
      <w:r>
        <w:rPr>
          <w:spacing w:val="40"/>
        </w:rPr>
        <w:t>  </w:t>
      </w:r>
      <w:r>
        <w:rPr/>
        <w:t>бесплатно в</w:t>
      </w:r>
      <w:r>
        <w:rPr>
          <w:spacing w:val="72"/>
        </w:rPr>
        <w:t> </w:t>
      </w:r>
      <w:r>
        <w:rPr/>
        <w:t>амбулаторных</w:t>
      </w:r>
      <w:r>
        <w:rPr>
          <w:spacing w:val="73"/>
        </w:rPr>
        <w:t> </w:t>
      </w:r>
      <w:r>
        <w:rPr/>
        <w:t>условиях</w:t>
      </w:r>
      <w:r>
        <w:rPr>
          <w:spacing w:val="73"/>
        </w:rPr>
        <w:t> </w:t>
      </w:r>
      <w:r>
        <w:rPr/>
        <w:t>и</w:t>
      </w:r>
      <w:r>
        <w:rPr>
          <w:spacing w:val="71"/>
        </w:rPr>
        <w:t> </w:t>
      </w:r>
      <w:r>
        <w:rPr/>
        <w:t>условиях</w:t>
      </w:r>
      <w:r>
        <w:rPr>
          <w:spacing w:val="71"/>
        </w:rPr>
        <w:t> </w:t>
      </w:r>
      <w:r>
        <w:rPr/>
        <w:t>дневного</w:t>
      </w:r>
      <w:r>
        <w:rPr>
          <w:spacing w:val="71"/>
        </w:rPr>
        <w:t> </w:t>
      </w:r>
      <w:r>
        <w:rPr/>
        <w:t>стационара</w:t>
      </w:r>
      <w:r>
        <w:rPr>
          <w:spacing w:val="73"/>
        </w:rPr>
        <w:t> </w:t>
      </w:r>
      <w:r>
        <w:rPr/>
        <w:t>в</w:t>
      </w:r>
      <w:r>
        <w:rPr>
          <w:spacing w:val="40"/>
        </w:rPr>
        <w:t> </w:t>
      </w:r>
      <w:r>
        <w:rPr/>
        <w:t>плановой и неотложной формах.</w:t>
      </w:r>
    </w:p>
    <w:p>
      <w:pPr>
        <w:pStyle w:val="BodyText"/>
        <w:spacing w:line="268" w:lineRule="auto"/>
        <w:ind w:left="118" w:right="113" w:firstLine="707"/>
        <w:jc w:val="both"/>
      </w:pPr>
      <w:r>
        <w:rPr/>
        <w:t>Первичная доврачебная медико-санитарная помощь оказывается фельдшерами,</w:t>
      </w:r>
      <w:r>
        <w:rPr>
          <w:spacing w:val="78"/>
        </w:rPr>
        <w:t>  </w:t>
      </w:r>
      <w:r>
        <w:rPr/>
        <w:t>акушерами</w:t>
      </w:r>
      <w:r>
        <w:rPr>
          <w:spacing w:val="78"/>
        </w:rPr>
        <w:t>  </w:t>
      </w:r>
      <w:r>
        <w:rPr/>
        <w:t>и</w:t>
      </w:r>
      <w:r>
        <w:rPr>
          <w:spacing w:val="79"/>
        </w:rPr>
        <w:t>  </w:t>
      </w:r>
      <w:r>
        <w:rPr/>
        <w:t>другими</w:t>
      </w:r>
      <w:r>
        <w:rPr>
          <w:spacing w:val="79"/>
        </w:rPr>
        <w:t>  </w:t>
      </w:r>
      <w:r>
        <w:rPr/>
        <w:t>медицинскими</w:t>
      </w:r>
      <w:r>
        <w:rPr>
          <w:spacing w:val="78"/>
        </w:rPr>
        <w:t>  </w:t>
      </w:r>
      <w:r>
        <w:rPr/>
        <w:t>работниками со средним медицинским образованием.</w:t>
      </w:r>
    </w:p>
    <w:p>
      <w:pPr>
        <w:pStyle w:val="BodyText"/>
        <w:spacing w:line="268" w:lineRule="auto"/>
        <w:ind w:left="118" w:right="107" w:firstLine="707"/>
        <w:jc w:val="both"/>
      </w:pPr>
      <w:r>
        <w:rP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pPr>
        <w:pStyle w:val="BodyText"/>
        <w:spacing w:line="268" w:lineRule="auto"/>
        <w:ind w:left="118" w:right="110" w:firstLine="707"/>
        <w:jc w:val="both"/>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BodyText"/>
        <w:tabs>
          <w:tab w:pos="555" w:val="left" w:leader="none"/>
          <w:tab w:pos="1144" w:val="left" w:leader="none"/>
          <w:tab w:pos="1301" w:val="left" w:leader="none"/>
          <w:tab w:pos="2287" w:val="left" w:leader="none"/>
          <w:tab w:pos="2489" w:val="left" w:leader="none"/>
          <w:tab w:pos="2690" w:val="left" w:leader="none"/>
          <w:tab w:pos="2913" w:val="left" w:leader="none"/>
          <w:tab w:pos="3815" w:val="left" w:leader="none"/>
          <w:tab w:pos="3872" w:val="left" w:leader="none"/>
          <w:tab w:pos="4502" w:val="left" w:leader="none"/>
          <w:tab w:pos="5092" w:val="left" w:leader="none"/>
          <w:tab w:pos="5531" w:val="left" w:leader="none"/>
          <w:tab w:pos="5618" w:val="left" w:leader="none"/>
          <w:tab w:pos="6515" w:val="left" w:leader="none"/>
          <w:tab w:pos="6783" w:val="left" w:leader="none"/>
          <w:tab w:pos="7786" w:val="left" w:leader="none"/>
          <w:tab w:pos="8083" w:val="left" w:leader="none"/>
          <w:tab w:pos="8142" w:val="left" w:leader="none"/>
          <w:tab w:pos="8481" w:val="left" w:leader="none"/>
        </w:tabs>
        <w:spacing w:line="268" w:lineRule="auto"/>
        <w:ind w:left="118" w:right="109" w:firstLine="707"/>
        <w:jc w:val="right"/>
      </w:pPr>
      <w:r>
        <w:rPr/>
        <w:t>Специализированная</w:t>
      </w:r>
      <w:r>
        <w:rPr>
          <w:spacing w:val="40"/>
        </w:rPr>
        <w:t> </w:t>
      </w:r>
      <w:r>
        <w:rPr/>
        <w:t>медицинская</w:t>
      </w:r>
      <w:r>
        <w:rPr>
          <w:spacing w:val="40"/>
        </w:rPr>
        <w:t> </w:t>
      </w:r>
      <w:r>
        <w:rPr/>
        <w:t>помощь</w:t>
      </w:r>
      <w:r>
        <w:rPr>
          <w:spacing w:val="40"/>
        </w:rPr>
        <w:t> </w:t>
      </w:r>
      <w:r>
        <w:rPr/>
        <w:t>оказывается</w:t>
      </w:r>
      <w:r>
        <w:rPr>
          <w:spacing w:val="40"/>
        </w:rPr>
        <w:t> </w:t>
      </w:r>
      <w:r>
        <w:rPr/>
        <w:t>бесплатно</w:t>
      </w:r>
      <w:r>
        <w:rPr>
          <w:spacing w:val="80"/>
        </w:rPr>
        <w:t> </w:t>
      </w:r>
      <w:r>
        <w:rPr/>
        <w:t>в</w:t>
      </w:r>
      <w:r>
        <w:rPr>
          <w:spacing w:val="80"/>
        </w:rPr>
        <w:t> </w:t>
      </w:r>
      <w:r>
        <w:rPr/>
        <w:t>стационарных</w:t>
      </w:r>
      <w:r>
        <w:rPr>
          <w:spacing w:val="80"/>
        </w:rPr>
        <w:t> </w:t>
      </w:r>
      <w:r>
        <w:rPr/>
        <w:t>условиях</w:t>
      </w:r>
      <w:r>
        <w:rPr>
          <w:spacing w:val="80"/>
        </w:rPr>
        <w:t> </w:t>
      </w:r>
      <w:r>
        <w:rPr/>
        <w:t>и</w:t>
      </w:r>
      <w:r>
        <w:rPr>
          <w:spacing w:val="80"/>
        </w:rPr>
        <w:t> </w:t>
      </w:r>
      <w:r>
        <w:rPr/>
        <w:t>условиях</w:t>
      </w:r>
      <w:r>
        <w:rPr>
          <w:spacing w:val="80"/>
        </w:rPr>
        <w:t> </w:t>
      </w:r>
      <w:r>
        <w:rPr/>
        <w:t>дневного</w:t>
      </w:r>
      <w:r>
        <w:rPr>
          <w:spacing w:val="80"/>
        </w:rPr>
        <w:t> </w:t>
      </w:r>
      <w:r>
        <w:rPr/>
        <w:t>стационара</w:t>
      </w:r>
      <w:r>
        <w:rPr>
          <w:spacing w:val="80"/>
        </w:rPr>
        <w:t> </w:t>
      </w:r>
      <w:r>
        <w:rPr/>
        <w:t>врачами-</w:t>
      </w:r>
      <w:r>
        <w:rPr>
          <w:spacing w:val="80"/>
        </w:rPr>
        <w:t> </w:t>
      </w:r>
      <w:r>
        <w:rPr/>
        <w:t>специалистами</w:t>
      </w:r>
      <w:r>
        <w:rPr>
          <w:spacing w:val="40"/>
        </w:rPr>
        <w:t> </w:t>
      </w:r>
      <w:r>
        <w:rPr/>
        <w:t>и</w:t>
      </w:r>
      <w:r>
        <w:rPr>
          <w:spacing w:val="40"/>
        </w:rPr>
        <w:t> </w:t>
      </w:r>
      <w:r>
        <w:rPr/>
        <w:t>включает</w:t>
      </w:r>
      <w:r>
        <w:rPr>
          <w:spacing w:val="40"/>
        </w:rPr>
        <w:t> </w:t>
      </w:r>
      <w:r>
        <w:rPr/>
        <w:t>в</w:t>
      </w:r>
      <w:r>
        <w:rPr>
          <w:spacing w:val="40"/>
        </w:rPr>
        <w:t> </w:t>
      </w:r>
      <w:r>
        <w:rPr/>
        <w:t>себя</w:t>
      </w:r>
      <w:r>
        <w:rPr>
          <w:spacing w:val="40"/>
        </w:rPr>
        <w:t> </w:t>
      </w:r>
      <w:r>
        <w:rPr/>
        <w:t>профилактику,</w:t>
      </w:r>
      <w:r>
        <w:rPr>
          <w:spacing w:val="40"/>
        </w:rPr>
        <w:t> </w:t>
      </w:r>
      <w:r>
        <w:rPr/>
        <w:t>диагностику</w:t>
      </w:r>
      <w:r>
        <w:rPr>
          <w:spacing w:val="40"/>
        </w:rPr>
        <w:t> </w:t>
      </w:r>
      <w:r>
        <w:rPr/>
        <w:t>и</w:t>
      </w:r>
      <w:r>
        <w:rPr>
          <w:spacing w:val="40"/>
        </w:rPr>
        <w:t> </w:t>
      </w:r>
      <w:r>
        <w:rPr/>
        <w:t>лечение заболеваний</w:t>
      </w:r>
      <w:r>
        <w:rPr>
          <w:spacing w:val="80"/>
        </w:rPr>
        <w:t> </w:t>
      </w:r>
      <w:r>
        <w:rPr/>
        <w:t>и</w:t>
      </w:r>
      <w:r>
        <w:rPr>
          <w:spacing w:val="80"/>
        </w:rPr>
        <w:t> </w:t>
      </w:r>
      <w:r>
        <w:rPr/>
        <w:t>состояний</w:t>
      </w:r>
      <w:r>
        <w:rPr>
          <w:spacing w:val="80"/>
        </w:rPr>
        <w:t> </w:t>
      </w:r>
      <w:r>
        <w:rPr/>
        <w:t>(в</w:t>
      </w:r>
      <w:r>
        <w:rPr>
          <w:spacing w:val="80"/>
        </w:rPr>
        <w:t> </w:t>
      </w:r>
      <w:r>
        <w:rPr/>
        <w:t>том</w:t>
      </w:r>
      <w:r>
        <w:rPr>
          <w:spacing w:val="80"/>
        </w:rPr>
        <w:t> </w:t>
      </w:r>
      <w:r>
        <w:rPr/>
        <w:t>числе</w:t>
      </w:r>
      <w:r>
        <w:rPr>
          <w:spacing w:val="80"/>
        </w:rPr>
        <w:t> </w:t>
      </w:r>
      <w:r>
        <w:rPr/>
        <w:t>в</w:t>
      </w:r>
      <w:r>
        <w:rPr>
          <w:spacing w:val="80"/>
        </w:rPr>
        <w:t> </w:t>
      </w:r>
      <w:r>
        <w:rPr/>
        <w:t>период</w:t>
      </w:r>
      <w:r>
        <w:rPr>
          <w:spacing w:val="80"/>
        </w:rPr>
        <w:t> </w:t>
      </w:r>
      <w:r>
        <w:rPr/>
        <w:t>беременности,</w:t>
      </w:r>
      <w:r>
        <w:rPr>
          <w:spacing w:val="80"/>
        </w:rPr>
        <w:t> </w:t>
      </w:r>
      <w:r>
        <w:rPr/>
        <w:t>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w:t>
      </w:r>
      <w:r>
        <w:rPr>
          <w:spacing w:val="80"/>
        </w:rPr>
        <w:t> </w:t>
      </w:r>
      <w:r>
        <w:rPr/>
        <w:t>медицинская</w:t>
      </w:r>
      <w:r>
        <w:rPr>
          <w:spacing w:val="80"/>
        </w:rPr>
        <w:t> </w:t>
      </w:r>
      <w:r>
        <w:rPr/>
        <w:t>помощь,</w:t>
      </w:r>
      <w:r>
        <w:rPr>
          <w:spacing w:val="80"/>
        </w:rPr>
        <w:t> </w:t>
      </w:r>
      <w:r>
        <w:rPr/>
        <w:t>являющаяся</w:t>
      </w:r>
      <w:r>
        <w:rPr>
          <w:spacing w:val="80"/>
        </w:rPr>
        <w:t> </w:t>
      </w:r>
      <w:r>
        <w:rPr/>
        <w:t>частью специализированной</w:t>
      </w:r>
      <w:r>
        <w:rPr>
          <w:spacing w:val="40"/>
        </w:rPr>
        <w:t> </w:t>
      </w:r>
      <w:r>
        <w:rPr/>
        <w:t>медицинской</w:t>
      </w:r>
      <w:r>
        <w:rPr>
          <w:spacing w:val="40"/>
        </w:rPr>
        <w:t> </w:t>
      </w:r>
      <w:r>
        <w:rPr/>
        <w:t>помощи,</w:t>
      </w:r>
      <w:r>
        <w:rPr>
          <w:spacing w:val="40"/>
        </w:rPr>
        <w:t> </w:t>
      </w:r>
      <w:r>
        <w:rPr/>
        <w:t>включает</w:t>
      </w:r>
      <w:r>
        <w:rPr>
          <w:spacing w:val="40"/>
        </w:rPr>
        <w:t> </w:t>
      </w:r>
      <w:r>
        <w:rPr/>
        <w:t>в</w:t>
      </w:r>
      <w:r>
        <w:rPr>
          <w:spacing w:val="40"/>
        </w:rPr>
        <w:t> </w:t>
      </w:r>
      <w:r>
        <w:rPr/>
        <w:t>себя</w:t>
      </w:r>
      <w:r>
        <w:rPr>
          <w:spacing w:val="40"/>
        </w:rPr>
        <w:t> </w:t>
      </w:r>
      <w:r>
        <w:rPr/>
        <w:t>применение </w:t>
      </w:r>
      <w:r>
        <w:rPr>
          <w:spacing w:val="-2"/>
        </w:rPr>
        <w:t>новых</w:t>
      </w:r>
      <w:r>
        <w:rPr/>
        <w:tab/>
      </w:r>
      <w:r>
        <w:rPr>
          <w:spacing w:val="-2"/>
        </w:rPr>
        <w:t>сложных</w:t>
      </w:r>
      <w:r>
        <w:rPr/>
        <w:tab/>
        <w:tab/>
      </w:r>
      <w:r>
        <w:rPr>
          <w:spacing w:val="-10"/>
        </w:rPr>
        <w:t>и</w:t>
      </w:r>
      <w:r>
        <w:rPr/>
        <w:tab/>
        <w:tab/>
      </w:r>
      <w:r>
        <w:rPr>
          <w:spacing w:val="-4"/>
        </w:rPr>
        <w:t>(или)</w:t>
      </w:r>
      <w:r>
        <w:rPr/>
        <w:tab/>
      </w:r>
      <w:r>
        <w:rPr>
          <w:spacing w:val="-2"/>
        </w:rPr>
        <w:t>уникальных</w:t>
      </w:r>
      <w:r>
        <w:rPr/>
        <w:tab/>
      </w:r>
      <w:r>
        <w:rPr>
          <w:spacing w:val="-2"/>
        </w:rPr>
        <w:t>методов</w:t>
      </w:r>
      <w:r>
        <w:rPr/>
        <w:tab/>
        <w:tab/>
      </w:r>
      <w:r>
        <w:rPr>
          <w:spacing w:val="-2"/>
        </w:rPr>
        <w:t>лечения,</w:t>
      </w:r>
      <w:r>
        <w:rPr/>
        <w:tab/>
      </w:r>
      <w:r>
        <w:rPr>
          <w:spacing w:val="-10"/>
        </w:rPr>
        <w:t>а</w:t>
      </w:r>
      <w:r>
        <w:rPr/>
        <w:tab/>
      </w:r>
      <w:r>
        <w:rPr>
          <w:spacing w:val="-2"/>
        </w:rPr>
        <w:t>также </w:t>
      </w:r>
      <w:r>
        <w:rPr/>
        <w:t>ресурсоемких</w:t>
      </w:r>
      <w:r>
        <w:rPr>
          <w:spacing w:val="80"/>
        </w:rPr>
        <w:t> </w:t>
      </w:r>
      <w:r>
        <w:rPr/>
        <w:t>методов</w:t>
      </w:r>
      <w:r>
        <w:rPr>
          <w:spacing w:val="80"/>
        </w:rPr>
        <w:t> </w:t>
      </w:r>
      <w:r>
        <w:rPr/>
        <w:t>лечения</w:t>
      </w:r>
      <w:r>
        <w:rPr>
          <w:spacing w:val="80"/>
        </w:rPr>
        <w:t> </w:t>
      </w:r>
      <w:r>
        <w:rPr/>
        <w:t>с</w:t>
      </w:r>
      <w:r>
        <w:rPr>
          <w:spacing w:val="80"/>
        </w:rPr>
        <w:t> </w:t>
      </w:r>
      <w:r>
        <w:rPr/>
        <w:t>научно</w:t>
      </w:r>
      <w:r>
        <w:rPr>
          <w:spacing w:val="80"/>
        </w:rPr>
        <w:t> </w:t>
      </w:r>
      <w:r>
        <w:rPr/>
        <w:t>доказанной</w:t>
      </w:r>
      <w:r>
        <w:rPr>
          <w:spacing w:val="80"/>
        </w:rPr>
        <w:t> </w:t>
      </w:r>
      <w:r>
        <w:rPr/>
        <w:t>эффективностью,</w:t>
      </w:r>
      <w:r>
        <w:rPr>
          <w:spacing w:val="40"/>
        </w:rPr>
        <w:t> </w:t>
      </w:r>
      <w:r>
        <w:rPr>
          <w:spacing w:val="-10"/>
        </w:rPr>
        <w:t>в</w:t>
      </w:r>
      <w:r>
        <w:rPr/>
        <w:tab/>
      </w:r>
      <w:r>
        <w:rPr>
          <w:spacing w:val="-4"/>
        </w:rPr>
        <w:t>том</w:t>
      </w:r>
      <w:r>
        <w:rPr/>
        <w:tab/>
        <w:tab/>
      </w:r>
      <w:r>
        <w:rPr>
          <w:spacing w:val="-4"/>
        </w:rPr>
        <w:t>числе</w:t>
      </w:r>
      <w:r>
        <w:rPr/>
        <w:tab/>
      </w:r>
      <w:r>
        <w:rPr>
          <w:spacing w:val="-2"/>
        </w:rPr>
        <w:t>клеточных</w:t>
      </w:r>
      <w:r>
        <w:rPr/>
        <w:tab/>
        <w:tab/>
      </w:r>
      <w:r>
        <w:rPr>
          <w:spacing w:val="-2"/>
        </w:rPr>
        <w:t>технологий,</w:t>
      </w:r>
      <w:r>
        <w:rPr/>
        <w:tab/>
        <w:tab/>
      </w:r>
      <w:r>
        <w:rPr>
          <w:spacing w:val="-2"/>
        </w:rPr>
        <w:t>роботизированной</w:t>
      </w:r>
      <w:r>
        <w:rPr/>
        <w:tab/>
        <w:tab/>
      </w:r>
      <w:r>
        <w:rPr>
          <w:spacing w:val="-2"/>
        </w:rPr>
        <w:t>техники, информационных</w:t>
      </w:r>
      <w:r>
        <w:rPr/>
        <w:tab/>
        <w:tab/>
        <w:tab/>
      </w:r>
      <w:r>
        <w:rPr>
          <w:spacing w:val="-2"/>
        </w:rPr>
        <w:t>технологий</w:t>
      </w:r>
      <w:r>
        <w:rPr/>
        <w:tab/>
      </w:r>
      <w:r>
        <w:rPr>
          <w:spacing w:val="-10"/>
        </w:rPr>
        <w:t>и</w:t>
      </w:r>
      <w:r>
        <w:rPr/>
        <w:tab/>
      </w:r>
      <w:r>
        <w:rPr>
          <w:spacing w:val="-2"/>
        </w:rPr>
        <w:t>методов</w:t>
      </w:r>
      <w:r>
        <w:rPr/>
        <w:tab/>
      </w:r>
      <w:r>
        <w:rPr>
          <w:spacing w:val="-2"/>
        </w:rPr>
        <w:t>генной</w:t>
      </w:r>
      <w:r>
        <w:rPr/>
        <w:tab/>
      </w:r>
      <w:r>
        <w:rPr>
          <w:spacing w:val="-2"/>
        </w:rPr>
        <w:t>инженерии, </w:t>
      </w:r>
      <w:r>
        <w:rPr/>
        <w:t>разработанных</w:t>
      </w:r>
      <w:r>
        <w:rPr>
          <w:spacing w:val="60"/>
          <w:w w:val="150"/>
        </w:rPr>
        <w:t> </w:t>
      </w:r>
      <w:r>
        <w:rPr/>
        <w:t>на</w:t>
      </w:r>
      <w:r>
        <w:rPr>
          <w:spacing w:val="60"/>
          <w:w w:val="150"/>
        </w:rPr>
        <w:t> </w:t>
      </w:r>
      <w:r>
        <w:rPr/>
        <w:t>основе</w:t>
      </w:r>
      <w:r>
        <w:rPr>
          <w:spacing w:val="59"/>
          <w:w w:val="150"/>
        </w:rPr>
        <w:t> </w:t>
      </w:r>
      <w:r>
        <w:rPr/>
        <w:t>достижений</w:t>
      </w:r>
      <w:r>
        <w:rPr>
          <w:spacing w:val="59"/>
          <w:w w:val="150"/>
        </w:rPr>
        <w:t> </w:t>
      </w:r>
      <w:r>
        <w:rPr/>
        <w:t>медицинской</w:t>
      </w:r>
      <w:r>
        <w:rPr>
          <w:spacing w:val="60"/>
          <w:w w:val="150"/>
        </w:rPr>
        <w:t> </w:t>
      </w:r>
      <w:r>
        <w:rPr/>
        <w:t>науки</w:t>
      </w:r>
      <w:r>
        <w:rPr>
          <w:spacing w:val="61"/>
          <w:w w:val="150"/>
        </w:rPr>
        <w:t> </w:t>
      </w:r>
      <w:r>
        <w:rPr/>
        <w:t>и</w:t>
      </w:r>
      <w:r>
        <w:rPr>
          <w:spacing w:val="62"/>
          <w:w w:val="150"/>
        </w:rPr>
        <w:t> </w:t>
      </w:r>
      <w:r>
        <w:rPr>
          <w:spacing w:val="-2"/>
        </w:rPr>
        <w:t>смежных</w:t>
      </w:r>
    </w:p>
    <w:p>
      <w:pPr>
        <w:pStyle w:val="BodyText"/>
        <w:spacing w:line="315" w:lineRule="exact"/>
        <w:ind w:left="118"/>
        <w:jc w:val="both"/>
      </w:pPr>
      <w:r>
        <w:rPr/>
        <w:t>отраслей</w:t>
      </w:r>
      <w:r>
        <w:rPr>
          <w:spacing w:val="-5"/>
        </w:rPr>
        <w:t> </w:t>
      </w:r>
      <w:r>
        <w:rPr/>
        <w:t>науки</w:t>
      </w:r>
      <w:r>
        <w:rPr>
          <w:spacing w:val="-1"/>
        </w:rPr>
        <w:t> </w:t>
      </w:r>
      <w:r>
        <w:rPr/>
        <w:t>и</w:t>
      </w:r>
      <w:r>
        <w:rPr>
          <w:spacing w:val="-2"/>
        </w:rPr>
        <w:t> техники.</w:t>
      </w:r>
    </w:p>
    <w:p>
      <w:pPr>
        <w:pStyle w:val="BodyText"/>
        <w:spacing w:line="268" w:lineRule="auto" w:before="29"/>
        <w:ind w:left="118" w:right="113" w:firstLine="707"/>
        <w:jc w:val="both"/>
      </w:pPr>
      <w:r>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w:t>
      </w:r>
      <w:r>
        <w:rPr>
          <w:spacing w:val="40"/>
        </w:rPr>
        <w:t>  </w:t>
      </w:r>
      <w:r>
        <w:rPr/>
        <w:t>помощи,</w:t>
      </w:r>
      <w:r>
        <w:rPr>
          <w:spacing w:val="40"/>
        </w:rPr>
        <w:t>  </w:t>
      </w:r>
      <w:r>
        <w:rPr/>
        <w:t>содержащим</w:t>
      </w:r>
      <w:r>
        <w:rPr>
          <w:spacing w:val="40"/>
        </w:rPr>
        <w:t>  </w:t>
      </w:r>
      <w:r>
        <w:rPr/>
        <w:t>в</w:t>
      </w:r>
      <w:r>
        <w:rPr>
          <w:spacing w:val="40"/>
        </w:rPr>
        <w:t>  </w:t>
      </w:r>
      <w:r>
        <w:rPr/>
        <w:t>том</w:t>
      </w:r>
      <w:r>
        <w:rPr>
          <w:spacing w:val="40"/>
        </w:rPr>
        <w:t>  </w:t>
      </w:r>
      <w:r>
        <w:rPr/>
        <w:t>числе</w:t>
      </w:r>
      <w:r>
        <w:rPr>
          <w:spacing w:val="40"/>
        </w:rPr>
        <w:t>  </w:t>
      </w:r>
      <w:r>
        <w:rPr/>
        <w:t>методы</w:t>
      </w:r>
      <w:r>
        <w:rPr>
          <w:spacing w:val="40"/>
        </w:rPr>
        <w:t>  </w:t>
      </w:r>
      <w:r>
        <w:rPr/>
        <w:t>лечения</w:t>
      </w:r>
      <w:r>
        <w:rPr>
          <w:spacing w:val="80"/>
          <w:w w:val="150"/>
        </w:rPr>
        <w:t> </w:t>
      </w:r>
      <w:r>
        <w:rPr/>
        <w:t>и</w:t>
      </w:r>
      <w:r>
        <w:rPr>
          <w:spacing w:val="-5"/>
        </w:rPr>
        <w:t> </w:t>
      </w:r>
      <w:r>
        <w:rPr/>
        <w:t>источники</w:t>
      </w:r>
      <w:r>
        <w:rPr>
          <w:spacing w:val="-5"/>
        </w:rPr>
        <w:t> </w:t>
      </w:r>
      <w:r>
        <w:rPr/>
        <w:t>финансового</w:t>
      </w:r>
      <w:r>
        <w:rPr>
          <w:spacing w:val="-6"/>
        </w:rPr>
        <w:t> </w:t>
      </w:r>
      <w:r>
        <w:rPr/>
        <w:t>обеспечения</w:t>
      </w:r>
      <w:r>
        <w:rPr>
          <w:spacing w:val="-5"/>
        </w:rPr>
        <w:t> </w:t>
      </w:r>
      <w:r>
        <w:rPr/>
        <w:t>высокотехнологичной</w:t>
      </w:r>
      <w:r>
        <w:rPr>
          <w:spacing w:val="-5"/>
        </w:rPr>
        <w:t> </w:t>
      </w:r>
      <w:r>
        <w:rPr/>
        <w:t>медицинской помощи, согласно приложению № 1 (далее - перечень видов высокотехнологичной медицинской помощи).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BodyText"/>
        <w:spacing w:line="268" w:lineRule="auto"/>
        <w:ind w:left="118" w:right="111" w:firstLine="707"/>
        <w:jc w:val="both"/>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BodyText"/>
        <w:spacing w:line="268" w:lineRule="auto"/>
        <w:ind w:left="118" w:right="117" w:firstLine="707"/>
        <w:jc w:val="both"/>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Pr>
          <w:spacing w:val="34"/>
        </w:rPr>
        <w:t> </w:t>
      </w:r>
      <w:r>
        <w:rPr/>
        <w:t>том</w:t>
      </w:r>
      <w:r>
        <w:rPr>
          <w:spacing w:val="32"/>
        </w:rPr>
        <w:t> </w:t>
      </w:r>
      <w:r>
        <w:rPr/>
        <w:t>числе</w:t>
      </w:r>
      <w:r>
        <w:rPr>
          <w:spacing w:val="34"/>
        </w:rPr>
        <w:t> </w:t>
      </w:r>
      <w:r>
        <w:rPr/>
        <w:t>лиц,</w:t>
      </w:r>
      <w:r>
        <w:rPr>
          <w:spacing w:val="31"/>
        </w:rPr>
        <w:t> </w:t>
      </w:r>
      <w:r>
        <w:rPr/>
        <w:t>находящихся</w:t>
      </w:r>
      <w:r>
        <w:rPr>
          <w:spacing w:val="32"/>
        </w:rPr>
        <w:t> </w:t>
      </w:r>
      <w:r>
        <w:rPr/>
        <w:t>на</w:t>
      </w:r>
      <w:r>
        <w:rPr>
          <w:spacing w:val="34"/>
        </w:rPr>
        <w:t> </w:t>
      </w:r>
      <w:r>
        <w:rPr/>
        <w:t>лечении</w:t>
      </w:r>
      <w:r>
        <w:rPr>
          <w:spacing w:val="35"/>
        </w:rPr>
        <w:t> </w:t>
      </w:r>
      <w:r>
        <w:rPr/>
        <w:t>в</w:t>
      </w:r>
      <w:r>
        <w:rPr>
          <w:spacing w:val="31"/>
        </w:rPr>
        <w:t> </w:t>
      </w:r>
      <w:r>
        <w:rPr/>
        <w:t>медицинских</w:t>
      </w:r>
      <w:r>
        <w:rPr>
          <w:spacing w:val="33"/>
        </w:rPr>
        <w:t> </w:t>
      </w:r>
      <w:r>
        <w:rPr/>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w:t>
      </w:r>
      <w:r>
        <w:rPr>
          <w:spacing w:val="-3"/>
        </w:rPr>
        <w:t> </w:t>
      </w:r>
      <w:r>
        <w:rPr/>
        <w:t>родов,</w:t>
      </w:r>
      <w:r>
        <w:rPr>
          <w:spacing w:val="-4"/>
        </w:rPr>
        <w:t> </w:t>
      </w:r>
      <w:r>
        <w:rPr/>
        <w:t>послеродовой</w:t>
      </w:r>
      <w:r>
        <w:rPr>
          <w:spacing w:val="-4"/>
        </w:rPr>
        <w:t> </w:t>
      </w:r>
      <w:r>
        <w:rPr/>
        <w:t>период</w:t>
      </w:r>
      <w:r>
        <w:rPr>
          <w:spacing w:val="-2"/>
        </w:rPr>
        <w:t> </w:t>
      </w:r>
      <w:r>
        <w:rPr/>
        <w:t>и</w:t>
      </w:r>
      <w:r>
        <w:rPr>
          <w:spacing w:val="-4"/>
        </w:rPr>
        <w:t> </w:t>
      </w:r>
      <w:r>
        <w:rPr/>
        <w:t>новорожденных,</w:t>
      </w:r>
      <w:r>
        <w:rPr>
          <w:spacing w:val="-3"/>
        </w:rPr>
        <w:t> </w:t>
      </w:r>
      <w:r>
        <w:rPr/>
        <w:t>а</w:t>
      </w:r>
      <w:r>
        <w:rPr>
          <w:spacing w:val="-3"/>
        </w:rPr>
        <w:t> </w:t>
      </w:r>
      <w:r>
        <w:rPr/>
        <w:t>также</w:t>
      </w:r>
      <w:r>
        <w:rPr>
          <w:spacing w:val="-3"/>
        </w:rPr>
        <w:t> </w:t>
      </w:r>
      <w:r>
        <w:rPr/>
        <w:t>лиц, пострадавших в результате чрезвычайных ситуаций и стихийных </w:t>
      </w:r>
      <w:r>
        <w:rPr>
          <w:spacing w:val="-2"/>
        </w:rPr>
        <w:t>бедствий).</w:t>
      </w:r>
    </w:p>
    <w:p>
      <w:pPr>
        <w:pStyle w:val="BodyText"/>
        <w:spacing w:line="268" w:lineRule="auto"/>
        <w:ind w:left="118" w:right="117" w:firstLine="707"/>
        <w:jc w:val="both"/>
      </w:pPr>
      <w:r>
        <w:rPr/>
        <w:t>Медицинская эвакуация осуществляется выездными бригадами скорой медицинской помощи с проведением во время транспортировки мероприятий</w:t>
      </w:r>
      <w:r>
        <w:rPr>
          <w:spacing w:val="80"/>
        </w:rPr>
        <w:t>  </w:t>
      </w:r>
      <w:r>
        <w:rPr/>
        <w:t>по</w:t>
      </w:r>
      <w:r>
        <w:rPr>
          <w:spacing w:val="80"/>
        </w:rPr>
        <w:t>  </w:t>
      </w:r>
      <w:r>
        <w:rPr/>
        <w:t>оказанию</w:t>
      </w:r>
      <w:r>
        <w:rPr>
          <w:spacing w:val="80"/>
        </w:rPr>
        <w:t>  </w:t>
      </w:r>
      <w:r>
        <w:rPr/>
        <w:t>медицинской</w:t>
      </w:r>
      <w:r>
        <w:rPr>
          <w:spacing w:val="80"/>
        </w:rPr>
        <w:t>  </w:t>
      </w:r>
      <w:r>
        <w:rPr/>
        <w:t>помощи,</w:t>
      </w:r>
      <w:r>
        <w:rPr>
          <w:spacing w:val="80"/>
        </w:rPr>
        <w:t>  </w:t>
      </w:r>
      <w:r>
        <w:rPr/>
        <w:t>в</w:t>
      </w:r>
      <w:r>
        <w:rPr>
          <w:spacing w:val="80"/>
        </w:rPr>
        <w:t>  </w:t>
      </w:r>
      <w:r>
        <w:rPr/>
        <w:t>том</w:t>
      </w:r>
      <w:r>
        <w:rPr>
          <w:spacing w:val="80"/>
        </w:rPr>
        <w:t>  </w:t>
      </w:r>
      <w:r>
        <w:rPr/>
        <w:t>числе с применением медицинского оборудования.</w:t>
      </w:r>
    </w:p>
    <w:p>
      <w:pPr>
        <w:pStyle w:val="BodyText"/>
        <w:spacing w:line="268" w:lineRule="auto"/>
        <w:ind w:left="118" w:right="115" w:firstLine="707"/>
        <w:jc w:val="both"/>
      </w:pPr>
      <w:r>
        <w:rPr/>
        <w:t>Паллиативная</w:t>
      </w:r>
      <w:r>
        <w:rPr>
          <w:spacing w:val="78"/>
          <w:w w:val="150"/>
        </w:rPr>
        <w:t>  </w:t>
      </w:r>
      <w:r>
        <w:rPr/>
        <w:t>медицинская</w:t>
      </w:r>
      <w:r>
        <w:rPr>
          <w:spacing w:val="77"/>
          <w:w w:val="150"/>
        </w:rPr>
        <w:t>  </w:t>
      </w:r>
      <w:r>
        <w:rPr/>
        <w:t>помощь</w:t>
      </w:r>
      <w:r>
        <w:rPr>
          <w:spacing w:val="78"/>
          <w:w w:val="150"/>
        </w:rPr>
        <w:t>  </w:t>
      </w:r>
      <w:r>
        <w:rPr/>
        <w:t>оказывается</w:t>
      </w:r>
      <w:r>
        <w:rPr>
          <w:spacing w:val="77"/>
          <w:w w:val="150"/>
        </w:rPr>
        <w:t>  </w:t>
      </w:r>
      <w:r>
        <w:rPr/>
        <w:t>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BodyText"/>
        <w:spacing w:line="268" w:lineRule="auto"/>
        <w:ind w:left="118" w:right="116" w:firstLine="707"/>
        <w:jc w:val="both"/>
      </w:pPr>
      <w:r>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w:t>
      </w:r>
      <w:r>
        <w:rPr>
          <w:spacing w:val="80"/>
        </w:rPr>
        <w:t> </w:t>
      </w:r>
      <w:r>
        <w:rPr/>
        <w:t>6</w:t>
      </w:r>
      <w:r>
        <w:rPr>
          <w:spacing w:val="80"/>
        </w:rPr>
        <w:t> </w:t>
      </w:r>
      <w:r>
        <w:rPr/>
        <w:t>Федерального</w:t>
      </w:r>
      <w:r>
        <w:rPr>
          <w:spacing w:val="80"/>
        </w:rPr>
        <w:t> </w:t>
      </w:r>
      <w:r>
        <w:rPr/>
        <w:t>закона</w:t>
      </w:r>
      <w:r>
        <w:rPr>
          <w:spacing w:val="80"/>
        </w:rPr>
        <w:t> </w:t>
      </w:r>
      <w:r>
        <w:rPr/>
        <w:t>"Об</w:t>
      </w:r>
      <w:r>
        <w:rPr>
          <w:spacing w:val="80"/>
        </w:rPr>
        <w:t> </w:t>
      </w:r>
      <w:r>
        <w:rPr/>
        <w:t>основах</w:t>
      </w:r>
      <w:r>
        <w:rPr>
          <w:spacing w:val="80"/>
        </w:rPr>
        <w:t> </w:t>
      </w:r>
      <w:r>
        <w:rPr/>
        <w:t>охраны</w:t>
      </w:r>
      <w:r>
        <w:rPr>
          <w:spacing w:val="80"/>
        </w:rPr>
        <w:t> </w:t>
      </w:r>
      <w:r>
        <w:rPr/>
        <w:t>здоровья</w:t>
      </w:r>
      <w:r>
        <w:rPr>
          <w:spacing w:val="80"/>
        </w:rPr>
        <w:t> </w:t>
      </w:r>
      <w:r>
        <w:rPr/>
        <w:t>граждан в Российской Федерации", в том числе в целях предоставления такому пациенту</w:t>
      </w:r>
      <w:r>
        <w:rPr>
          <w:spacing w:val="40"/>
        </w:rPr>
        <w:t>  </w:t>
      </w:r>
      <w:r>
        <w:rPr/>
        <w:t>социальных</w:t>
      </w:r>
      <w:r>
        <w:rPr>
          <w:spacing w:val="40"/>
        </w:rPr>
        <w:t>  </w:t>
      </w:r>
      <w:r>
        <w:rPr/>
        <w:t>услуг,</w:t>
      </w:r>
      <w:r>
        <w:rPr>
          <w:spacing w:val="40"/>
        </w:rPr>
        <w:t>  </w:t>
      </w:r>
      <w:r>
        <w:rPr/>
        <w:t>мер</w:t>
      </w:r>
      <w:r>
        <w:rPr>
          <w:spacing w:val="40"/>
        </w:rPr>
        <w:t>  </w:t>
      </w:r>
      <w:r>
        <w:rPr/>
        <w:t>социальной</w:t>
      </w:r>
      <w:r>
        <w:rPr>
          <w:spacing w:val="40"/>
        </w:rPr>
        <w:t>  </w:t>
      </w:r>
      <w:r>
        <w:rPr/>
        <w:t>защиты</w:t>
      </w:r>
      <w:r>
        <w:rPr>
          <w:spacing w:val="40"/>
        </w:rPr>
        <w:t>  </w:t>
      </w:r>
      <w:r>
        <w:rPr/>
        <w:t>(поддержки)</w:t>
      </w:r>
      <w:r>
        <w:rPr>
          <w:spacing w:val="80"/>
        </w:rPr>
        <w:t> </w:t>
      </w:r>
      <w:r>
        <w:rPr/>
        <w:t>в соответствии с законодательством Российской Федерации, мер психологической поддержки и духовной помощи.</w:t>
      </w:r>
    </w:p>
    <w:p>
      <w:pPr>
        <w:pStyle w:val="BodyText"/>
        <w:spacing w:line="268" w:lineRule="auto"/>
        <w:ind w:left="118" w:right="114" w:firstLine="707"/>
        <w:jc w:val="both"/>
      </w:pPr>
      <w:r>
        <w:rPr/>
        <w:t>Медицинская организация, к которой пациент прикреплен для получения</w:t>
      </w:r>
      <w:r>
        <w:rPr>
          <w:spacing w:val="72"/>
        </w:rPr>
        <w:t> </w:t>
      </w:r>
      <w:r>
        <w:rPr/>
        <w:t>первичной</w:t>
      </w:r>
      <w:r>
        <w:rPr>
          <w:spacing w:val="76"/>
        </w:rPr>
        <w:t> </w:t>
      </w:r>
      <w:r>
        <w:rPr/>
        <w:t>медико-санитарной</w:t>
      </w:r>
      <w:r>
        <w:rPr>
          <w:spacing w:val="75"/>
        </w:rPr>
        <w:t> </w:t>
      </w:r>
      <w:r>
        <w:rPr/>
        <w:t>помощи,</w:t>
      </w:r>
      <w:r>
        <w:rPr>
          <w:spacing w:val="74"/>
        </w:rPr>
        <w:t> </w:t>
      </w:r>
      <w:r>
        <w:rPr/>
        <w:t>организует</w:t>
      </w:r>
      <w:r>
        <w:rPr>
          <w:spacing w:val="77"/>
        </w:rPr>
        <w:t> </w:t>
      </w:r>
      <w:r>
        <w:rPr>
          <w:spacing w:val="-2"/>
        </w:rPr>
        <w:t>оказание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jc w:val="both"/>
      </w:pPr>
      <w:r>
        <w:rPr/>
        <w:t>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w:t>
      </w:r>
      <w:r>
        <w:rPr>
          <w:spacing w:val="80"/>
        </w:rPr>
        <w:t>   </w:t>
      </w:r>
      <w:r>
        <w:rPr/>
        <w:t>медицинскую</w:t>
      </w:r>
      <w:r>
        <w:rPr>
          <w:spacing w:val="80"/>
        </w:rPr>
        <w:t>   </w:t>
      </w:r>
      <w:r>
        <w:rPr/>
        <w:t>помощь,</w:t>
      </w:r>
      <w:r>
        <w:rPr>
          <w:spacing w:val="80"/>
        </w:rPr>
        <w:t>   </w:t>
      </w:r>
      <w:r>
        <w:rPr/>
        <w:t>и</w:t>
      </w:r>
      <w:r>
        <w:rPr>
          <w:spacing w:val="80"/>
        </w:rPr>
        <w:t>   </w:t>
      </w:r>
      <w:r>
        <w:rPr/>
        <w:t>во</w:t>
      </w:r>
      <w:r>
        <w:rPr>
          <w:spacing w:val="80"/>
        </w:rPr>
        <w:t>   </w:t>
      </w:r>
      <w:r>
        <w:rPr/>
        <w:t>взаимодействии с медицинскими организациями, оказывающими паллиативную специализированную медицинскую помощь.</w:t>
      </w:r>
    </w:p>
    <w:p>
      <w:pPr>
        <w:pStyle w:val="BodyText"/>
        <w:spacing w:line="268" w:lineRule="auto"/>
        <w:ind w:left="118" w:right="113" w:firstLine="707"/>
        <w:jc w:val="both"/>
      </w:pPr>
      <w:r>
        <w:rPr/>
        <w:t>Медицинские организации, оказывающие специализированную медицинскую помощь, в том числе паллиативную, в случае выявления пациента,</w:t>
      </w:r>
      <w:r>
        <w:rPr>
          <w:spacing w:val="-1"/>
        </w:rPr>
        <w:t> </w:t>
      </w:r>
      <w:r>
        <w:rPr/>
        <w:t>нуждающегося в</w:t>
      </w:r>
      <w:r>
        <w:rPr>
          <w:spacing w:val="-1"/>
        </w:rPr>
        <w:t> </w:t>
      </w:r>
      <w:r>
        <w:rPr/>
        <w:t>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w:t>
      </w:r>
      <w:r>
        <w:rPr>
          <w:spacing w:val="40"/>
        </w:rPr>
        <w:t> </w:t>
      </w:r>
      <w:r>
        <w:rPr/>
        <w:t>медицинскую</w:t>
      </w:r>
      <w:r>
        <w:rPr>
          <w:spacing w:val="40"/>
        </w:rPr>
        <w:t> </w:t>
      </w:r>
      <w:r>
        <w:rPr/>
        <w:t>помощь,</w:t>
      </w:r>
      <w:r>
        <w:rPr>
          <w:spacing w:val="40"/>
        </w:rPr>
        <w:t> </w:t>
      </w:r>
      <w:r>
        <w:rPr/>
        <w:t>в</w:t>
      </w:r>
      <w:r>
        <w:rPr>
          <w:spacing w:val="40"/>
        </w:rPr>
        <w:t> </w:t>
      </w:r>
      <w:r>
        <w:rPr/>
        <w:t>том</w:t>
      </w:r>
      <w:r>
        <w:rPr>
          <w:spacing w:val="40"/>
        </w:rPr>
        <w:t> </w:t>
      </w:r>
      <w:r>
        <w:rPr/>
        <w:t>числе</w:t>
      </w:r>
      <w:r>
        <w:rPr>
          <w:spacing w:val="40"/>
        </w:rPr>
        <w:t> </w:t>
      </w:r>
      <w:r>
        <w:rPr/>
        <w:t>паллиативную, в стационарных условиях и условиях дневного стационара, информируют</w:t>
      </w:r>
      <w:r>
        <w:rPr>
          <w:spacing w:val="40"/>
        </w:rPr>
        <w:t> </w:t>
      </w:r>
      <w:r>
        <w:rPr/>
        <w:t>о</w:t>
      </w:r>
      <w:r>
        <w:rPr>
          <w:spacing w:val="-2"/>
        </w:rPr>
        <w:t> </w:t>
      </w:r>
      <w:r>
        <w:rPr/>
        <w:t>нем</w:t>
      </w:r>
      <w:r>
        <w:rPr>
          <w:spacing w:val="-3"/>
        </w:rPr>
        <w:t> </w:t>
      </w:r>
      <w:r>
        <w:rPr/>
        <w:t>медицинскую</w:t>
      </w:r>
      <w:r>
        <w:rPr>
          <w:spacing w:val="-3"/>
        </w:rPr>
        <w:t> </w:t>
      </w:r>
      <w:r>
        <w:rPr/>
        <w:t>организацию,</w:t>
      </w:r>
      <w:r>
        <w:rPr>
          <w:spacing w:val="-4"/>
        </w:rPr>
        <w:t> </w:t>
      </w:r>
      <w:r>
        <w:rPr/>
        <w:t>к</w:t>
      </w:r>
      <w:r>
        <w:rPr>
          <w:spacing w:val="-3"/>
        </w:rPr>
        <w:t> </w:t>
      </w:r>
      <w:r>
        <w:rPr/>
        <w:t>которой</w:t>
      </w:r>
      <w:r>
        <w:rPr>
          <w:spacing w:val="-3"/>
        </w:rPr>
        <w:t> </w:t>
      </w:r>
      <w:r>
        <w:rPr/>
        <w:t>такой</w:t>
      </w:r>
      <w:r>
        <w:rPr>
          <w:spacing w:val="-6"/>
        </w:rPr>
        <w:t> </w:t>
      </w:r>
      <w:r>
        <w:rPr/>
        <w:t>пациент</w:t>
      </w:r>
      <w:r>
        <w:rPr>
          <w:spacing w:val="-4"/>
        </w:rPr>
        <w:t> </w:t>
      </w:r>
      <w:r>
        <w:rPr/>
        <w:t>прикреплен</w:t>
      </w:r>
      <w:r>
        <w:rPr>
          <w:spacing w:val="-3"/>
        </w:rPr>
        <w:t> </w:t>
      </w:r>
      <w:r>
        <w:rPr/>
        <w:t>для получения</w:t>
      </w:r>
      <w:r>
        <w:rPr>
          <w:spacing w:val="80"/>
          <w:w w:val="150"/>
        </w:rPr>
        <w:t> </w:t>
      </w:r>
      <w:r>
        <w:rPr/>
        <w:t>первичной</w:t>
      </w:r>
      <w:r>
        <w:rPr>
          <w:spacing w:val="80"/>
          <w:w w:val="150"/>
        </w:rPr>
        <w:t> </w:t>
      </w:r>
      <w:r>
        <w:rPr/>
        <w:t>медико-санитарной</w:t>
      </w:r>
      <w:r>
        <w:rPr>
          <w:spacing w:val="80"/>
          <w:w w:val="150"/>
        </w:rPr>
        <w:t> </w:t>
      </w:r>
      <w:r>
        <w:rPr/>
        <w:t>помощи,</w:t>
      </w:r>
      <w:r>
        <w:rPr>
          <w:spacing w:val="80"/>
        </w:rPr>
        <w:t> </w:t>
      </w:r>
      <w:r>
        <w:rPr/>
        <w:t>или</w:t>
      </w:r>
      <w:r>
        <w:rPr>
          <w:spacing w:val="80"/>
          <w:w w:val="150"/>
        </w:rPr>
        <w:t> </w:t>
      </w:r>
      <w:r>
        <w:rPr/>
        <w:t>близлежащую к месту его пребывания медицинскую организацию, оказывающую первичную медико-санитарную помощь.</w:t>
      </w:r>
    </w:p>
    <w:p>
      <w:pPr>
        <w:pStyle w:val="BodyText"/>
        <w:spacing w:line="268" w:lineRule="auto"/>
        <w:ind w:left="118" w:right="115" w:firstLine="707"/>
        <w:jc w:val="both"/>
      </w:pPr>
      <w:r>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BodyText"/>
        <w:spacing w:line="268" w:lineRule="auto"/>
        <w:ind w:left="118" w:right="113" w:firstLine="707"/>
        <w:jc w:val="both"/>
      </w:pPr>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w:t>
      </w:r>
      <w:r>
        <w:rPr>
          <w:spacing w:val="80"/>
        </w:rPr>
        <w:t>  </w:t>
      </w:r>
      <w:r>
        <w:rPr/>
        <w:t>субъектов</w:t>
      </w:r>
      <w:r>
        <w:rPr>
          <w:spacing w:val="78"/>
        </w:rPr>
        <w:t>  </w:t>
      </w:r>
      <w:r>
        <w:rPr/>
        <w:t>Российской</w:t>
      </w:r>
      <w:r>
        <w:rPr>
          <w:spacing w:val="79"/>
        </w:rPr>
        <w:t>  </w:t>
      </w:r>
      <w:r>
        <w:rPr/>
        <w:t>Федерации</w:t>
      </w:r>
      <w:r>
        <w:rPr>
          <w:spacing w:val="79"/>
        </w:rPr>
        <w:t>  </w:t>
      </w:r>
      <w:r>
        <w:rPr/>
        <w:t>вправе</w:t>
      </w:r>
      <w:r>
        <w:rPr>
          <w:spacing w:val="79"/>
        </w:rPr>
        <w:t>  </w:t>
      </w:r>
      <w:r>
        <w:rPr/>
        <w:t>в</w:t>
      </w:r>
      <w:r>
        <w:rPr>
          <w:spacing w:val="80"/>
        </w:rPr>
        <w:t>  </w:t>
      </w:r>
      <w:r>
        <w:rPr/>
        <w:t>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w:t>
      </w:r>
      <w:r>
        <w:rPr>
          <w:spacing w:val="80"/>
        </w:rPr>
        <w:t> </w:t>
      </w:r>
      <w:r>
        <w:rPr/>
        <w:t>препаратов</w:t>
      </w:r>
      <w:r>
        <w:rPr>
          <w:spacing w:val="80"/>
        </w:rPr>
        <w:t> </w:t>
      </w:r>
      <w:r>
        <w:rPr/>
        <w:t>и</w:t>
      </w:r>
      <w:r>
        <w:rPr>
          <w:spacing w:val="80"/>
        </w:rPr>
        <w:t> </w:t>
      </w:r>
      <w:r>
        <w:rPr/>
        <w:t>психотропных</w:t>
      </w:r>
      <w:r>
        <w:rPr>
          <w:spacing w:val="80"/>
        </w:rPr>
        <w:t> </w:t>
      </w:r>
      <w:r>
        <w:rPr/>
        <w:t>лекарственных</w:t>
      </w:r>
      <w:r>
        <w:rPr>
          <w:spacing w:val="80"/>
        </w:rPr>
        <w:t> </w:t>
      </w:r>
      <w:r>
        <w:rPr/>
        <w:t>препаратов в неинвазивных лекарственных формах, в том числе применяемых у</w:t>
      </w:r>
      <w:r>
        <w:rPr>
          <w:spacing w:val="-1"/>
        </w:rPr>
        <w:t> </w:t>
      </w:r>
      <w:r>
        <w:rPr/>
        <w:t>детей.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8" w:firstLine="707"/>
        <w:jc w:val="both"/>
      </w:pPr>
      <w:r>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BodyText"/>
        <w:spacing w:line="268" w:lineRule="auto"/>
        <w:ind w:left="118" w:right="115" w:firstLine="707"/>
        <w:jc w:val="both"/>
      </w:pPr>
      <w:r>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w:t>
      </w:r>
      <w:r>
        <w:rPr>
          <w:spacing w:val="-2"/>
        </w:rPr>
        <w:t>организациями.</w:t>
      </w:r>
    </w:p>
    <w:p>
      <w:pPr>
        <w:pStyle w:val="BodyText"/>
        <w:tabs>
          <w:tab w:pos="880" w:val="left" w:leader="none"/>
          <w:tab w:pos="1227" w:val="left" w:leader="none"/>
          <w:tab w:pos="2442" w:val="left" w:leader="none"/>
          <w:tab w:pos="2783" w:val="left" w:leader="none"/>
          <w:tab w:pos="2842" w:val="left" w:leader="none"/>
          <w:tab w:pos="3240" w:val="left" w:leader="none"/>
          <w:tab w:pos="3503" w:val="left" w:leader="none"/>
          <w:tab w:pos="3952" w:val="left" w:leader="none"/>
          <w:tab w:pos="5226" w:val="left" w:leader="none"/>
          <w:tab w:pos="5301" w:val="left" w:leader="none"/>
          <w:tab w:pos="5646" w:val="left" w:leader="none"/>
          <w:tab w:pos="6283" w:val="left" w:leader="none"/>
          <w:tab w:pos="6593" w:val="left" w:leader="none"/>
          <w:tab w:pos="6702" w:val="left" w:leader="none"/>
          <w:tab w:pos="7562" w:val="left" w:leader="none"/>
          <w:tab w:pos="7617" w:val="left" w:leader="none"/>
        </w:tabs>
        <w:spacing w:line="268" w:lineRule="auto"/>
        <w:ind w:left="118" w:right="111" w:firstLine="707"/>
        <w:jc w:val="right"/>
      </w:pPr>
      <w:r>
        <w:rPr>
          <w:spacing w:val="-10"/>
        </w:rPr>
        <w:t>В</w:t>
      </w:r>
      <w:r>
        <w:rPr/>
        <w:tab/>
      </w:r>
      <w:r>
        <w:rPr>
          <w:spacing w:val="-2"/>
        </w:rPr>
        <w:t>отношении</w:t>
      </w:r>
      <w:r>
        <w:rPr/>
        <w:tab/>
      </w:r>
      <w:r>
        <w:rPr>
          <w:spacing w:val="-4"/>
        </w:rPr>
        <w:t>лиц,</w:t>
      </w:r>
      <w:r>
        <w:rPr/>
        <w:tab/>
      </w:r>
      <w:r>
        <w:rPr>
          <w:spacing w:val="-2"/>
        </w:rPr>
        <w:t>находящихся</w:t>
      </w:r>
      <w:r>
        <w:rPr/>
        <w:tab/>
        <w:tab/>
      </w:r>
      <w:r>
        <w:rPr>
          <w:spacing w:val="-10"/>
        </w:rPr>
        <w:t>в</w:t>
      </w:r>
      <w:r>
        <w:rPr/>
        <w:tab/>
      </w:r>
      <w:r>
        <w:rPr>
          <w:spacing w:val="-2"/>
        </w:rPr>
        <w:t>стационарных</w:t>
      </w:r>
      <w:r>
        <w:rPr/>
        <w:tab/>
      </w:r>
      <w:r>
        <w:rPr>
          <w:spacing w:val="-2"/>
        </w:rPr>
        <w:t>организациях </w:t>
      </w:r>
      <w:r>
        <w:rPr/>
        <w:t>социального</w:t>
      </w:r>
      <w:r>
        <w:rPr>
          <w:spacing w:val="40"/>
        </w:rPr>
        <w:t> </w:t>
      </w:r>
      <w:r>
        <w:rPr/>
        <w:t>обслуживания,</w:t>
      </w:r>
      <w:r>
        <w:rPr>
          <w:spacing w:val="40"/>
        </w:rPr>
        <w:t> </w:t>
      </w:r>
      <w:r>
        <w:rPr/>
        <w:t>в</w:t>
      </w:r>
      <w:r>
        <w:rPr>
          <w:spacing w:val="40"/>
        </w:rPr>
        <w:t> </w:t>
      </w:r>
      <w:r>
        <w:rPr/>
        <w:t>рамках</w:t>
      </w:r>
      <w:r>
        <w:rPr>
          <w:spacing w:val="40"/>
        </w:rPr>
        <w:t> </w:t>
      </w:r>
      <w:r>
        <w:rPr/>
        <w:t>базовой</w:t>
      </w:r>
      <w:r>
        <w:rPr>
          <w:spacing w:val="40"/>
        </w:rPr>
        <w:t> </w:t>
      </w:r>
      <w:r>
        <w:rPr/>
        <w:t>программы</w:t>
      </w:r>
      <w:r>
        <w:rPr>
          <w:spacing w:val="40"/>
        </w:rPr>
        <w:t> </w:t>
      </w:r>
      <w:r>
        <w:rPr/>
        <w:t>обязательного медицинского</w:t>
      </w:r>
      <w:r>
        <w:rPr>
          <w:spacing w:val="40"/>
        </w:rPr>
        <w:t> </w:t>
      </w:r>
      <w:r>
        <w:rPr/>
        <w:t>страхования</w:t>
      </w:r>
      <w:r>
        <w:rPr>
          <w:spacing w:val="40"/>
        </w:rPr>
        <w:t> </w:t>
      </w:r>
      <w:r>
        <w:rPr/>
        <w:t>с</w:t>
      </w:r>
      <w:r>
        <w:rPr>
          <w:spacing w:val="40"/>
        </w:rPr>
        <w:t> </w:t>
      </w:r>
      <w:r>
        <w:rPr/>
        <w:t>привлечением</w:t>
      </w:r>
      <w:r>
        <w:rPr>
          <w:spacing w:val="40"/>
        </w:rPr>
        <w:t> </w:t>
      </w:r>
      <w:r>
        <w:rPr/>
        <w:t>близлежащих</w:t>
      </w:r>
      <w:r>
        <w:rPr>
          <w:spacing w:val="80"/>
        </w:rPr>
        <w:t> </w:t>
      </w:r>
      <w:r>
        <w:rPr/>
        <w:t>медицинских</w:t>
      </w:r>
      <w:r>
        <w:rPr>
          <w:spacing w:val="40"/>
        </w:rPr>
        <w:t> </w:t>
      </w:r>
      <w:r>
        <w:rPr/>
        <w:t>организаций</w:t>
      </w:r>
      <w:r>
        <w:rPr>
          <w:spacing w:val="40"/>
        </w:rPr>
        <w:t> </w:t>
      </w:r>
      <w:r>
        <w:rPr/>
        <w:t>проводится</w:t>
      </w:r>
      <w:r>
        <w:rPr>
          <w:spacing w:val="40"/>
        </w:rPr>
        <w:t> </w:t>
      </w:r>
      <w:r>
        <w:rPr/>
        <w:t>диспансеризация,</w:t>
      </w:r>
      <w:r>
        <w:rPr>
          <w:spacing w:val="40"/>
        </w:rPr>
        <w:t> </w:t>
      </w:r>
      <w:r>
        <w:rPr/>
        <w:t>а</w:t>
      </w:r>
      <w:r>
        <w:rPr>
          <w:spacing w:val="40"/>
        </w:rPr>
        <w:t> </w:t>
      </w:r>
      <w:r>
        <w:rPr/>
        <w:t>при</w:t>
      </w:r>
      <w:r>
        <w:rPr>
          <w:spacing w:val="40"/>
        </w:rPr>
        <w:t> </w:t>
      </w:r>
      <w:r>
        <w:rPr/>
        <w:t>наличии</w:t>
      </w:r>
      <w:r>
        <w:rPr>
          <w:spacing w:val="40"/>
        </w:rPr>
        <w:t> </w:t>
      </w:r>
      <w:r>
        <w:rPr/>
        <w:t>хронических</w:t>
      </w:r>
      <w:r>
        <w:rPr>
          <w:spacing w:val="80"/>
        </w:rPr>
        <w:t> </w:t>
      </w:r>
      <w:r>
        <w:rPr/>
        <w:t>заболеваний</w:t>
      </w:r>
      <w:r>
        <w:rPr>
          <w:spacing w:val="80"/>
        </w:rPr>
        <w:t> </w:t>
      </w:r>
      <w:r>
        <w:rPr/>
        <w:t>-</w:t>
      </w:r>
      <w:r>
        <w:rPr>
          <w:spacing w:val="80"/>
        </w:rPr>
        <w:t> </w:t>
      </w:r>
      <w:r>
        <w:rPr/>
        <w:t>диспансерное</w:t>
      </w:r>
      <w:r>
        <w:rPr>
          <w:spacing w:val="80"/>
        </w:rPr>
        <w:t> </w:t>
      </w:r>
      <w:r>
        <w:rPr/>
        <w:t>наблюдение</w:t>
      </w:r>
      <w:r>
        <w:rPr>
          <w:spacing w:val="80"/>
        </w:rPr>
        <w:t> </w:t>
      </w:r>
      <w:r>
        <w:rPr/>
        <w:t>в</w:t>
      </w:r>
      <w:r>
        <w:rPr>
          <w:spacing w:val="80"/>
        </w:rPr>
        <w:t> </w:t>
      </w:r>
      <w:r>
        <w:rPr/>
        <w:t>соответствии</w:t>
      </w:r>
      <w:r>
        <w:rPr>
          <w:spacing w:val="80"/>
        </w:rPr>
        <w:t> </w:t>
      </w:r>
      <w:r>
        <w:rPr/>
        <w:t>с</w:t>
      </w:r>
      <w:r>
        <w:rPr>
          <w:spacing w:val="80"/>
        </w:rPr>
        <w:t> </w:t>
      </w:r>
      <w:r>
        <w:rPr/>
        <w:t>порядками, установленными Министерством здравоохранения Российской Федерации. </w:t>
      </w:r>
      <w:r>
        <w:rPr>
          <w:spacing w:val="-4"/>
        </w:rPr>
        <w:t>При</w:t>
      </w:r>
      <w:r>
        <w:rPr/>
        <w:tab/>
      </w:r>
      <w:r>
        <w:rPr>
          <w:spacing w:val="-2"/>
        </w:rPr>
        <w:t>выявлении</w:t>
      </w:r>
      <w:r>
        <w:rPr/>
        <w:tab/>
      </w:r>
      <w:r>
        <w:rPr>
          <w:spacing w:val="-10"/>
        </w:rPr>
        <w:t>в</w:t>
      </w:r>
      <w:r>
        <w:rPr/>
        <w:tab/>
        <w:tab/>
      </w:r>
      <w:r>
        <w:rPr>
          <w:spacing w:val="-2"/>
        </w:rPr>
        <w:t>рамках</w:t>
      </w:r>
      <w:r>
        <w:rPr/>
        <w:tab/>
      </w:r>
      <w:r>
        <w:rPr>
          <w:spacing w:val="-2"/>
        </w:rPr>
        <w:t>диспансеризации</w:t>
      </w:r>
      <w:r>
        <w:rPr/>
        <w:tab/>
      </w:r>
      <w:r>
        <w:rPr>
          <w:spacing w:val="-10"/>
        </w:rPr>
        <w:t>и</w:t>
      </w:r>
      <w:r>
        <w:rPr/>
        <w:tab/>
        <w:tab/>
      </w:r>
      <w:r>
        <w:rPr>
          <w:spacing w:val="-2"/>
        </w:rPr>
        <w:t>диспансерного </w:t>
      </w:r>
      <w:r>
        <w:rPr/>
        <w:t>наблюдения</w:t>
      </w:r>
      <w:r>
        <w:rPr>
          <w:spacing w:val="80"/>
        </w:rPr>
        <w:t> </w:t>
      </w:r>
      <w:r>
        <w:rPr/>
        <w:t>показаний</w:t>
      </w:r>
      <w:r>
        <w:rPr>
          <w:spacing w:val="80"/>
        </w:rPr>
        <w:t> </w:t>
      </w:r>
      <w:r>
        <w:rPr/>
        <w:t>к</w:t>
      </w:r>
      <w:r>
        <w:rPr>
          <w:spacing w:val="80"/>
        </w:rPr>
        <w:t> </w:t>
      </w:r>
      <w:r>
        <w:rPr/>
        <w:t>оказанию</w:t>
      </w:r>
      <w:r>
        <w:rPr>
          <w:spacing w:val="80"/>
        </w:rPr>
        <w:t> </w:t>
      </w:r>
      <w:r>
        <w:rPr/>
        <w:t>специализированной,</w:t>
      </w:r>
      <w:r>
        <w:rPr>
          <w:spacing w:val="80"/>
        </w:rPr>
        <w:t> </w:t>
      </w:r>
      <w:r>
        <w:rPr/>
        <w:t>в</w:t>
      </w:r>
      <w:r>
        <w:rPr>
          <w:spacing w:val="80"/>
        </w:rPr>
        <w:t> </w:t>
      </w:r>
      <w:r>
        <w:rPr/>
        <w:t>том</w:t>
      </w:r>
      <w:r>
        <w:rPr>
          <w:spacing w:val="80"/>
        </w:rPr>
        <w:t> </w:t>
      </w:r>
      <w:r>
        <w:rPr/>
        <w:t>числе </w:t>
      </w:r>
      <w:r>
        <w:rPr>
          <w:spacing w:val="-2"/>
        </w:rPr>
        <w:t>высокотехнологичной,</w:t>
      </w:r>
      <w:r>
        <w:rPr/>
        <w:tab/>
      </w:r>
      <w:r>
        <w:rPr>
          <w:spacing w:val="-2"/>
        </w:rPr>
        <w:t>медицинской</w:t>
      </w:r>
      <w:r>
        <w:rPr/>
        <w:tab/>
      </w:r>
      <w:r>
        <w:rPr>
          <w:spacing w:val="-2"/>
        </w:rPr>
        <w:t>помощи</w:t>
      </w:r>
      <w:r>
        <w:rPr/>
        <w:tab/>
        <w:tab/>
      </w:r>
      <w:r>
        <w:rPr>
          <w:spacing w:val="-2"/>
        </w:rPr>
        <w:t>лица,</w:t>
      </w:r>
      <w:r>
        <w:rPr/>
        <w:tab/>
        <w:tab/>
      </w:r>
      <w:r>
        <w:rPr>
          <w:spacing w:val="-2"/>
        </w:rPr>
        <w:t>находящиеся </w:t>
      </w:r>
      <w:r>
        <w:rPr/>
        <w:t>в</w:t>
      </w:r>
      <w:r>
        <w:rPr>
          <w:spacing w:val="80"/>
        </w:rPr>
        <w:t> </w:t>
      </w:r>
      <w:r>
        <w:rPr/>
        <w:t>стационарных</w:t>
      </w:r>
      <w:r>
        <w:rPr>
          <w:spacing w:val="80"/>
        </w:rPr>
        <w:t> </w:t>
      </w:r>
      <w:r>
        <w:rPr/>
        <w:t>организациях</w:t>
      </w:r>
      <w:r>
        <w:rPr>
          <w:spacing w:val="80"/>
        </w:rPr>
        <w:t> </w:t>
      </w:r>
      <w:r>
        <w:rPr/>
        <w:t>социального</w:t>
      </w:r>
      <w:r>
        <w:rPr>
          <w:spacing w:val="80"/>
        </w:rPr>
        <w:t> </w:t>
      </w:r>
      <w:r>
        <w:rPr/>
        <w:t>обслуживания,</w:t>
      </w:r>
      <w:r>
        <w:rPr>
          <w:spacing w:val="80"/>
        </w:rPr>
        <w:t> </w:t>
      </w:r>
      <w:r>
        <w:rPr/>
        <w:t>переводятся в</w:t>
      </w:r>
      <w:r>
        <w:rPr>
          <w:spacing w:val="28"/>
        </w:rPr>
        <w:t> </w:t>
      </w:r>
      <w:r>
        <w:rPr/>
        <w:t>специализированные</w:t>
      </w:r>
      <w:r>
        <w:rPr>
          <w:spacing w:val="29"/>
        </w:rPr>
        <w:t> </w:t>
      </w:r>
      <w:r>
        <w:rPr/>
        <w:t>медицинские</w:t>
      </w:r>
      <w:r>
        <w:rPr>
          <w:spacing w:val="27"/>
        </w:rPr>
        <w:t> </w:t>
      </w:r>
      <w:r>
        <w:rPr/>
        <w:t>организации</w:t>
      </w:r>
      <w:r>
        <w:rPr>
          <w:spacing w:val="29"/>
        </w:rPr>
        <w:t> </w:t>
      </w:r>
      <w:r>
        <w:rPr/>
        <w:t>в</w:t>
      </w:r>
      <w:r>
        <w:rPr>
          <w:spacing w:val="29"/>
        </w:rPr>
        <w:t> </w:t>
      </w:r>
      <w:r>
        <w:rPr/>
        <w:t>сроки,</w:t>
      </w:r>
      <w:r>
        <w:rPr>
          <w:spacing w:val="34"/>
        </w:rPr>
        <w:t> </w:t>
      </w:r>
      <w:r>
        <w:rPr>
          <w:spacing w:val="-2"/>
        </w:rPr>
        <w:t>установленные</w:t>
      </w:r>
    </w:p>
    <w:p>
      <w:pPr>
        <w:pStyle w:val="BodyText"/>
        <w:spacing w:line="316" w:lineRule="exact"/>
        <w:ind w:left="118"/>
        <w:jc w:val="both"/>
      </w:pPr>
      <w:r>
        <w:rPr/>
        <w:t>настоящей</w:t>
      </w:r>
      <w:r>
        <w:rPr>
          <w:spacing w:val="-5"/>
        </w:rPr>
        <w:t> </w:t>
      </w:r>
      <w:r>
        <w:rPr>
          <w:spacing w:val="-2"/>
        </w:rPr>
        <w:t>Программой.</w:t>
      </w:r>
    </w:p>
    <w:p>
      <w:pPr>
        <w:pStyle w:val="BodyText"/>
        <w:tabs>
          <w:tab w:pos="2637" w:val="left" w:leader="none"/>
          <w:tab w:pos="5255" w:val="left" w:leader="none"/>
          <w:tab w:pos="7851" w:val="left" w:leader="none"/>
        </w:tabs>
        <w:spacing w:line="268" w:lineRule="auto" w:before="33"/>
        <w:ind w:left="118" w:right="109" w:firstLine="707"/>
        <w:jc w:val="both"/>
      </w:pPr>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w:t>
      </w:r>
      <w:r>
        <w:rPr>
          <w:spacing w:val="80"/>
        </w:rPr>
        <w:t> </w:t>
      </w:r>
      <w:r>
        <w:rPr/>
        <w:t>субъектов Российской Федерации проводится диспансерное наблюдение </w:t>
      </w:r>
      <w:r>
        <w:rPr>
          <w:spacing w:val="-2"/>
        </w:rPr>
        <w:t>медицинскими</w:t>
      </w:r>
      <w:r>
        <w:rPr/>
        <w:tab/>
      </w:r>
      <w:r>
        <w:rPr>
          <w:spacing w:val="-2"/>
        </w:rPr>
        <w:t>организациями,</w:t>
      </w:r>
      <w:r>
        <w:rPr/>
        <w:tab/>
      </w:r>
      <w:r>
        <w:rPr>
          <w:spacing w:val="-2"/>
        </w:rPr>
        <w:t>оказывающими</w:t>
      </w:r>
      <w:r>
        <w:rPr/>
        <w:tab/>
      </w:r>
      <w:r>
        <w:rPr>
          <w:spacing w:val="-2"/>
        </w:rPr>
        <w:t>первичную </w:t>
      </w:r>
      <w:r>
        <w:rPr/>
        <w:t>специализированную медико-санитарную помощь при психических расстройствах и расстройствах поведения, во взаимодействии с врачами- психиатрами</w:t>
      </w:r>
      <w:r>
        <w:rPr>
          <w:spacing w:val="40"/>
        </w:rPr>
        <w:t>  </w:t>
      </w:r>
      <w:r>
        <w:rPr/>
        <w:t>стационарных</w:t>
      </w:r>
      <w:r>
        <w:rPr>
          <w:spacing w:val="40"/>
        </w:rPr>
        <w:t>  </w:t>
      </w:r>
      <w:r>
        <w:rPr/>
        <w:t>организаций</w:t>
      </w:r>
      <w:r>
        <w:rPr>
          <w:spacing w:val="40"/>
        </w:rPr>
        <w:t>  </w:t>
      </w:r>
      <w:r>
        <w:rPr/>
        <w:t>социального</w:t>
      </w:r>
      <w:r>
        <w:rPr>
          <w:spacing w:val="40"/>
        </w:rPr>
        <w:t>  </w:t>
      </w:r>
      <w:r>
        <w:rPr/>
        <w:t>обслуживания</w:t>
      </w:r>
      <w:r>
        <w:rPr>
          <w:spacing w:val="80"/>
        </w:rPr>
        <w:t> </w:t>
      </w:r>
      <w:r>
        <w:rPr/>
        <w:t>в порядке, установленном Министерством здравоохранения Российской </w:t>
      </w:r>
      <w:r>
        <w:rPr>
          <w:spacing w:val="-2"/>
        </w:rPr>
        <w:t>Федерации.</w:t>
      </w:r>
    </w:p>
    <w:p>
      <w:pPr>
        <w:pStyle w:val="BodyText"/>
        <w:spacing w:line="268" w:lineRule="auto"/>
        <w:ind w:left="118" w:right="114" w:firstLine="707"/>
        <w:jc w:val="both"/>
      </w:pPr>
      <w:r>
        <w:rPr/>
        <w:t>Для лиц с психическими расстройствами и расстройствами поведения,</w:t>
      </w:r>
      <w:r>
        <w:rPr>
          <w:spacing w:val="40"/>
        </w:rPr>
        <w:t>  </w:t>
      </w:r>
      <w:r>
        <w:rPr/>
        <w:t>проживающих</w:t>
      </w:r>
      <w:r>
        <w:rPr>
          <w:spacing w:val="40"/>
        </w:rPr>
        <w:t>  </w:t>
      </w:r>
      <w:r>
        <w:rPr/>
        <w:t>в</w:t>
      </w:r>
      <w:r>
        <w:rPr>
          <w:spacing w:val="40"/>
        </w:rPr>
        <w:t>  </w:t>
      </w:r>
      <w:r>
        <w:rPr/>
        <w:t>сельской</w:t>
      </w:r>
      <w:r>
        <w:rPr>
          <w:spacing w:val="40"/>
        </w:rPr>
        <w:t>  </w:t>
      </w:r>
      <w:r>
        <w:rPr/>
        <w:t>местности,</w:t>
      </w:r>
      <w:r>
        <w:rPr>
          <w:spacing w:val="40"/>
        </w:rPr>
        <w:t>  </w:t>
      </w:r>
      <w:r>
        <w:rPr/>
        <w:t>рабочих</w:t>
      </w:r>
      <w:r>
        <w:rPr>
          <w:spacing w:val="40"/>
        </w:rPr>
        <w:t>  </w:t>
      </w:r>
      <w:r>
        <w:rPr/>
        <w:t>поселках и поселках городского типа, организация медицинской помощи, в том числе</w:t>
      </w:r>
      <w:r>
        <w:rPr>
          <w:spacing w:val="25"/>
        </w:rPr>
        <w:t>  </w:t>
      </w:r>
      <w:r>
        <w:rPr/>
        <w:t>по</w:t>
      </w:r>
      <w:r>
        <w:rPr>
          <w:spacing w:val="29"/>
        </w:rPr>
        <w:t>  </w:t>
      </w:r>
      <w:r>
        <w:rPr/>
        <w:t>профилю</w:t>
      </w:r>
      <w:r>
        <w:rPr>
          <w:spacing w:val="29"/>
        </w:rPr>
        <w:t>  </w:t>
      </w:r>
      <w:r>
        <w:rPr/>
        <w:t>"психиатрия",</w:t>
      </w:r>
      <w:r>
        <w:rPr>
          <w:spacing w:val="28"/>
        </w:rPr>
        <w:t>  </w:t>
      </w:r>
      <w:r>
        <w:rPr/>
        <w:t>осуществляется</w:t>
      </w:r>
      <w:r>
        <w:rPr>
          <w:spacing w:val="30"/>
        </w:rPr>
        <w:t>  </w:t>
      </w:r>
      <w:r>
        <w:rPr/>
        <w:t>во</w:t>
      </w:r>
      <w:r>
        <w:rPr>
          <w:spacing w:val="29"/>
        </w:rPr>
        <w:t>  </w:t>
      </w:r>
      <w:r>
        <w:rPr>
          <w:spacing w:val="-2"/>
        </w:rPr>
        <w:t>взаимодействии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медицинских работников, включая медицинских работников</w:t>
      </w:r>
      <w:r>
        <w:rPr>
          <w:spacing w:val="40"/>
        </w:rPr>
        <w:t> </w:t>
      </w:r>
      <w:r>
        <w:rPr/>
        <w:t>фельдшерских пунктов, фельдшерско-акушерских пунктов, врачебных амбулаторий</w:t>
      </w:r>
      <w:r>
        <w:rPr>
          <w:spacing w:val="-4"/>
        </w:rPr>
        <w:t> </w:t>
      </w:r>
      <w:r>
        <w:rPr/>
        <w:t>и</w:t>
      </w:r>
      <w:r>
        <w:rPr>
          <w:spacing w:val="-4"/>
        </w:rPr>
        <w:t> </w:t>
      </w:r>
      <w:r>
        <w:rPr/>
        <w:t>отделений</w:t>
      </w:r>
      <w:r>
        <w:rPr>
          <w:spacing w:val="-2"/>
        </w:rPr>
        <w:t> </w:t>
      </w:r>
      <w:r>
        <w:rPr/>
        <w:t>(центров,</w:t>
      </w:r>
      <w:r>
        <w:rPr>
          <w:spacing w:val="-4"/>
        </w:rPr>
        <w:t> </w:t>
      </w:r>
      <w:r>
        <w:rPr/>
        <w:t>кабинетов)</w:t>
      </w:r>
      <w:r>
        <w:rPr>
          <w:spacing w:val="-6"/>
        </w:rPr>
        <w:t> </w:t>
      </w:r>
      <w:r>
        <w:rPr/>
        <w:t>общей</w:t>
      </w:r>
      <w:r>
        <w:rPr>
          <w:spacing w:val="-2"/>
        </w:rPr>
        <w:t> </w:t>
      </w:r>
      <w:r>
        <w:rPr/>
        <w:t>врачебной</w:t>
      </w:r>
      <w:r>
        <w:rPr>
          <w:spacing w:val="-4"/>
        </w:rPr>
        <w:t> </w:t>
      </w:r>
      <w:r>
        <w:rPr/>
        <w:t>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BodyText"/>
        <w:spacing w:line="268" w:lineRule="auto"/>
        <w:ind w:left="118" w:right="114" w:firstLine="707"/>
        <w:jc w:val="both"/>
      </w:pPr>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w:t>
      </w:r>
      <w:r>
        <w:rPr>
          <w:spacing w:val="40"/>
        </w:rPr>
        <w:t>  </w:t>
      </w:r>
      <w:r>
        <w:rPr/>
        <w:t>проживающим</w:t>
      </w:r>
      <w:r>
        <w:rPr>
          <w:spacing w:val="40"/>
        </w:rPr>
        <w:t>  </w:t>
      </w:r>
      <w:r>
        <w:rPr/>
        <w:t>в</w:t>
      </w:r>
      <w:r>
        <w:rPr>
          <w:spacing w:val="40"/>
        </w:rPr>
        <w:t>  </w:t>
      </w:r>
      <w:r>
        <w:rPr/>
        <w:t>сельской</w:t>
      </w:r>
      <w:r>
        <w:rPr>
          <w:spacing w:val="40"/>
        </w:rPr>
        <w:t>  </w:t>
      </w:r>
      <w:r>
        <w:rPr/>
        <w:t>местности,</w:t>
      </w:r>
      <w:r>
        <w:rPr>
          <w:spacing w:val="40"/>
        </w:rPr>
        <w:t>  </w:t>
      </w:r>
      <w:r>
        <w:rPr/>
        <w:t>рабочих</w:t>
      </w:r>
      <w:r>
        <w:rPr>
          <w:spacing w:val="40"/>
        </w:rPr>
        <w:t>  </w:t>
      </w:r>
      <w:r>
        <w:rPr/>
        <w:t>поселках и поселках городского типа, осуществляется лекарственное обеспечение таких пациентов, в</w:t>
      </w:r>
      <w:r>
        <w:rPr>
          <w:spacing w:val="-2"/>
        </w:rPr>
        <w:t> </w:t>
      </w:r>
      <w:r>
        <w:rPr/>
        <w:t>том числе</w:t>
      </w:r>
      <w:r>
        <w:rPr>
          <w:spacing w:val="-1"/>
        </w:rPr>
        <w:t> </w:t>
      </w:r>
      <w:r>
        <w:rPr/>
        <w:t>доставка</w:t>
      </w:r>
      <w:r>
        <w:rPr>
          <w:spacing w:val="-1"/>
        </w:rPr>
        <w:t> </w:t>
      </w:r>
      <w:r>
        <w:rPr/>
        <w:t>лекарственных препаратов по месту </w:t>
      </w:r>
      <w:r>
        <w:rPr>
          <w:spacing w:val="-2"/>
        </w:rPr>
        <w:t>жительства.</w:t>
      </w:r>
    </w:p>
    <w:p>
      <w:pPr>
        <w:pStyle w:val="BodyText"/>
        <w:spacing w:line="318" w:lineRule="exact"/>
        <w:ind w:left="826"/>
        <w:jc w:val="both"/>
      </w:pPr>
      <w:r>
        <w:rPr/>
        <w:t>Медицинская</w:t>
      </w:r>
      <w:r>
        <w:rPr>
          <w:spacing w:val="-9"/>
        </w:rPr>
        <w:t> </w:t>
      </w:r>
      <w:r>
        <w:rPr/>
        <w:t>помощь</w:t>
      </w:r>
      <w:r>
        <w:rPr>
          <w:spacing w:val="-6"/>
        </w:rPr>
        <w:t> </w:t>
      </w:r>
      <w:r>
        <w:rPr/>
        <w:t>оказывается</w:t>
      </w:r>
      <w:r>
        <w:rPr>
          <w:spacing w:val="-5"/>
        </w:rPr>
        <w:t> </w:t>
      </w:r>
      <w:r>
        <w:rPr/>
        <w:t>в</w:t>
      </w:r>
      <w:r>
        <w:rPr>
          <w:spacing w:val="-7"/>
        </w:rPr>
        <w:t> </w:t>
      </w:r>
      <w:r>
        <w:rPr/>
        <w:t>следующих</w:t>
      </w:r>
      <w:r>
        <w:rPr>
          <w:spacing w:val="-3"/>
        </w:rPr>
        <w:t> </w:t>
      </w:r>
      <w:r>
        <w:rPr>
          <w:spacing w:val="-2"/>
        </w:rPr>
        <w:t>формах:</w:t>
      </w:r>
    </w:p>
    <w:p>
      <w:pPr>
        <w:pStyle w:val="BodyText"/>
        <w:spacing w:line="268" w:lineRule="auto" w:before="34"/>
        <w:ind w:left="118" w:right="114" w:firstLine="707"/>
        <w:jc w:val="both"/>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BodyText"/>
        <w:spacing w:line="268" w:lineRule="auto"/>
        <w:ind w:left="118" w:right="117" w:firstLine="707"/>
        <w:jc w:val="both"/>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BodyText"/>
        <w:spacing w:line="268" w:lineRule="auto"/>
        <w:ind w:left="118" w:right="116" w:firstLine="707"/>
        <w:jc w:val="both"/>
      </w:pPr>
      <w:r>
        <w:rPr/>
        <w:t>плановая - медицинская помощь, оказываемая при проведении профилактических</w:t>
      </w:r>
      <w:r>
        <w:rPr>
          <w:spacing w:val="80"/>
        </w:rPr>
        <w:t>  </w:t>
      </w:r>
      <w:r>
        <w:rPr/>
        <w:t>мероприятий,</w:t>
      </w:r>
      <w:r>
        <w:rPr>
          <w:spacing w:val="80"/>
        </w:rPr>
        <w:t>  </w:t>
      </w:r>
      <w:r>
        <w:rPr/>
        <w:t>при</w:t>
      </w:r>
      <w:r>
        <w:rPr>
          <w:spacing w:val="80"/>
        </w:rPr>
        <w:t>  </w:t>
      </w:r>
      <w:r>
        <w:rPr/>
        <w:t>заболеваниях</w:t>
      </w:r>
      <w:r>
        <w:rPr>
          <w:spacing w:val="80"/>
        </w:rPr>
        <w:t>  </w:t>
      </w:r>
      <w:r>
        <w:rPr/>
        <w:t>и</w:t>
      </w:r>
      <w:r>
        <w:rPr>
          <w:spacing w:val="80"/>
        </w:rPr>
        <w:t>  </w:t>
      </w:r>
      <w:r>
        <w:rPr/>
        <w:t>состояниях, не сопровождающихся угрозой жизни</w:t>
      </w:r>
      <w:r>
        <w:rPr>
          <w:spacing w:val="-1"/>
        </w:rPr>
        <w:t> </w:t>
      </w:r>
      <w:r>
        <w:rPr/>
        <w:t>пациента, не требующих экстренной и</w:t>
      </w:r>
      <w:r>
        <w:rPr>
          <w:spacing w:val="71"/>
        </w:rPr>
        <w:t>  </w:t>
      </w:r>
      <w:r>
        <w:rPr/>
        <w:t>неотложной</w:t>
      </w:r>
      <w:r>
        <w:rPr>
          <w:spacing w:val="71"/>
        </w:rPr>
        <w:t>  </w:t>
      </w:r>
      <w:r>
        <w:rPr/>
        <w:t>медицинской</w:t>
      </w:r>
      <w:r>
        <w:rPr>
          <w:spacing w:val="71"/>
        </w:rPr>
        <w:t>  </w:t>
      </w:r>
      <w:r>
        <w:rPr/>
        <w:t>помощи,</w:t>
      </w:r>
      <w:r>
        <w:rPr>
          <w:spacing w:val="71"/>
        </w:rPr>
        <w:t>  </w:t>
      </w:r>
      <w:r>
        <w:rPr/>
        <w:t>отсрочка</w:t>
      </w:r>
      <w:r>
        <w:rPr>
          <w:spacing w:val="71"/>
        </w:rPr>
        <w:t>  </w:t>
      </w:r>
      <w:r>
        <w:rPr/>
        <w:t>оказания</w:t>
      </w:r>
      <w:r>
        <w:rPr>
          <w:spacing w:val="71"/>
        </w:rPr>
        <w:t>  </w:t>
      </w:r>
      <w:r>
        <w:rPr/>
        <w:t>которой на определенное время не повлечет за собой ухудшение состояния пациента, угрозу его жизни и здоровью.</w:t>
      </w:r>
    </w:p>
    <w:p>
      <w:pPr>
        <w:pStyle w:val="BodyText"/>
        <w:spacing w:line="268" w:lineRule="auto"/>
        <w:ind w:left="118" w:right="109" w:firstLine="707"/>
        <w:jc w:val="both"/>
      </w:pPr>
      <w:r>
        <w:rPr/>
        <w:t>При оказании в рамках реализации Программы первичной медико- 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w:t>
      </w:r>
      <w:r>
        <w:rPr>
          <w:spacing w:val="75"/>
          <w:w w:val="150"/>
        </w:rPr>
        <w:t>   </w:t>
      </w:r>
      <w:r>
        <w:rPr/>
        <w:t>помощи,</w:t>
      </w:r>
      <w:r>
        <w:rPr>
          <w:spacing w:val="75"/>
          <w:w w:val="150"/>
        </w:rPr>
        <w:t>   </w:t>
      </w:r>
      <w:r>
        <w:rPr/>
        <w:t>паллиативной</w:t>
      </w:r>
      <w:r>
        <w:rPr>
          <w:spacing w:val="76"/>
          <w:w w:val="150"/>
        </w:rPr>
        <w:t>   </w:t>
      </w:r>
      <w:r>
        <w:rPr/>
        <w:t>медицинской</w:t>
      </w:r>
      <w:r>
        <w:rPr>
          <w:spacing w:val="75"/>
          <w:w w:val="150"/>
        </w:rPr>
        <w:t>   </w:t>
      </w:r>
      <w:r>
        <w:rPr/>
        <w:t>помощи в стационарных условиях, условиях дневного стационара и при посещениях на дому осуществляется обеспечение граждан</w:t>
      </w:r>
      <w:r>
        <w:rPr>
          <w:spacing w:val="40"/>
        </w:rPr>
        <w:t> </w:t>
      </w:r>
      <w:r>
        <w:rPr/>
        <w:t>лекарственными препаратами для медицинского применения и медицинскими</w:t>
      </w:r>
      <w:r>
        <w:rPr>
          <w:spacing w:val="7"/>
        </w:rPr>
        <w:t> </w:t>
      </w:r>
      <w:r>
        <w:rPr/>
        <w:t>изделиями,</w:t>
      </w:r>
      <w:r>
        <w:rPr>
          <w:spacing w:val="8"/>
        </w:rPr>
        <w:t> </w:t>
      </w:r>
      <w:r>
        <w:rPr/>
        <w:t>включенными</w:t>
      </w:r>
      <w:r>
        <w:rPr>
          <w:spacing w:val="8"/>
        </w:rPr>
        <w:t> </w:t>
      </w:r>
      <w:r>
        <w:rPr/>
        <w:t>в</w:t>
      </w:r>
      <w:r>
        <w:rPr>
          <w:spacing w:val="8"/>
        </w:rPr>
        <w:t> </w:t>
      </w:r>
      <w:r>
        <w:rPr/>
        <w:t>утвержденные</w:t>
      </w:r>
      <w:r>
        <w:rPr>
          <w:spacing w:val="8"/>
        </w:rPr>
        <w:t> </w:t>
      </w:r>
      <w:r>
        <w:rPr>
          <w:spacing w:val="-2"/>
        </w:rPr>
        <w:t>Правительством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BodyText"/>
        <w:spacing w:line="268" w:lineRule="auto"/>
        <w:ind w:left="118" w:right="117" w:firstLine="707"/>
        <w:jc w:val="both"/>
      </w:pPr>
      <w:r>
        <w:rPr/>
        <w:t>Порядок</w:t>
      </w:r>
      <w:r>
        <w:rPr>
          <w:spacing w:val="80"/>
          <w:w w:val="150"/>
        </w:rPr>
        <w:t>  </w:t>
      </w:r>
      <w:r>
        <w:rPr/>
        <w:t>передачи</w:t>
      </w:r>
      <w:r>
        <w:rPr>
          <w:spacing w:val="80"/>
          <w:w w:val="150"/>
        </w:rPr>
        <w:t>  </w:t>
      </w:r>
      <w:r>
        <w:rPr/>
        <w:t>медицинской</w:t>
      </w:r>
      <w:r>
        <w:rPr>
          <w:spacing w:val="80"/>
          <w:w w:val="150"/>
        </w:rPr>
        <w:t>  </w:t>
      </w:r>
      <w:r>
        <w:rPr/>
        <w:t>организацией</w:t>
      </w:r>
      <w:r>
        <w:rPr>
          <w:spacing w:val="80"/>
          <w:w w:val="150"/>
        </w:rPr>
        <w:t>  </w:t>
      </w:r>
      <w:r>
        <w:rPr/>
        <w:t>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BodyText"/>
        <w:rPr>
          <w:sz w:val="24"/>
        </w:rPr>
      </w:pPr>
    </w:p>
    <w:p>
      <w:pPr>
        <w:pStyle w:val="ListParagraph"/>
        <w:numPr>
          <w:ilvl w:val="1"/>
          <w:numId w:val="1"/>
        </w:numPr>
        <w:tabs>
          <w:tab w:pos="806" w:val="left" w:leader="none"/>
        </w:tabs>
        <w:spacing w:line="240" w:lineRule="auto" w:before="1" w:after="0"/>
        <w:ind w:left="361" w:right="361" w:firstLine="24"/>
        <w:jc w:val="left"/>
        <w:rPr>
          <w:sz w:val="28"/>
        </w:rPr>
      </w:pPr>
      <w:r>
        <w:rPr>
          <w:sz w:val="28"/>
        </w:rPr>
        <w:t>Перечень</w:t>
      </w:r>
      <w:r>
        <w:rPr>
          <w:spacing w:val="-3"/>
          <w:sz w:val="28"/>
        </w:rPr>
        <w:t> </w:t>
      </w:r>
      <w:r>
        <w:rPr>
          <w:sz w:val="28"/>
        </w:rPr>
        <w:t>заболеваний</w:t>
      </w:r>
      <w:r>
        <w:rPr>
          <w:spacing w:val="-2"/>
          <w:sz w:val="28"/>
        </w:rPr>
        <w:t> </w:t>
      </w:r>
      <w:r>
        <w:rPr>
          <w:sz w:val="28"/>
        </w:rPr>
        <w:t>и</w:t>
      </w:r>
      <w:r>
        <w:rPr>
          <w:spacing w:val="-2"/>
          <w:sz w:val="28"/>
        </w:rPr>
        <w:t> </w:t>
      </w:r>
      <w:r>
        <w:rPr>
          <w:sz w:val="28"/>
        </w:rPr>
        <w:t>состояний,</w:t>
      </w:r>
      <w:r>
        <w:rPr>
          <w:spacing w:val="-3"/>
          <w:sz w:val="28"/>
        </w:rPr>
        <w:t> </w:t>
      </w:r>
      <w:r>
        <w:rPr>
          <w:sz w:val="28"/>
        </w:rPr>
        <w:t>оказание</w:t>
      </w:r>
      <w:r>
        <w:rPr>
          <w:spacing w:val="-2"/>
          <w:sz w:val="28"/>
        </w:rPr>
        <w:t> </w:t>
      </w:r>
      <w:r>
        <w:rPr>
          <w:sz w:val="28"/>
        </w:rPr>
        <w:t>медицинской</w:t>
      </w:r>
      <w:r>
        <w:rPr>
          <w:spacing w:val="-5"/>
          <w:sz w:val="28"/>
        </w:rPr>
        <w:t> </w:t>
      </w:r>
      <w:r>
        <w:rPr>
          <w:sz w:val="28"/>
        </w:rPr>
        <w:t>помощи при</w:t>
      </w:r>
      <w:r>
        <w:rPr>
          <w:spacing w:val="-5"/>
          <w:sz w:val="28"/>
        </w:rPr>
        <w:t> </w:t>
      </w:r>
      <w:r>
        <w:rPr>
          <w:sz w:val="28"/>
        </w:rPr>
        <w:t>которых</w:t>
      </w:r>
      <w:r>
        <w:rPr>
          <w:spacing w:val="-7"/>
          <w:sz w:val="28"/>
        </w:rPr>
        <w:t> </w:t>
      </w:r>
      <w:r>
        <w:rPr>
          <w:sz w:val="28"/>
        </w:rPr>
        <w:t>осуществляется</w:t>
      </w:r>
      <w:r>
        <w:rPr>
          <w:spacing w:val="-5"/>
          <w:sz w:val="28"/>
        </w:rPr>
        <w:t> </w:t>
      </w:r>
      <w:r>
        <w:rPr>
          <w:sz w:val="28"/>
        </w:rPr>
        <w:t>бесплатно,</w:t>
      </w:r>
      <w:r>
        <w:rPr>
          <w:spacing w:val="-8"/>
          <w:sz w:val="28"/>
        </w:rPr>
        <w:t> </w:t>
      </w:r>
      <w:r>
        <w:rPr>
          <w:sz w:val="28"/>
        </w:rPr>
        <w:t>и</w:t>
      </w:r>
      <w:r>
        <w:rPr>
          <w:spacing w:val="-5"/>
          <w:sz w:val="28"/>
        </w:rPr>
        <w:t> </w:t>
      </w:r>
      <w:r>
        <w:rPr>
          <w:sz w:val="28"/>
        </w:rPr>
        <w:t>категории</w:t>
      </w:r>
      <w:r>
        <w:rPr>
          <w:spacing w:val="-5"/>
          <w:sz w:val="28"/>
        </w:rPr>
        <w:t> </w:t>
      </w:r>
      <w:r>
        <w:rPr>
          <w:sz w:val="28"/>
        </w:rPr>
        <w:t>граждан,</w:t>
      </w:r>
      <w:r>
        <w:rPr>
          <w:spacing w:val="-6"/>
          <w:sz w:val="28"/>
        </w:rPr>
        <w:t> </w:t>
      </w:r>
      <w:r>
        <w:rPr>
          <w:sz w:val="28"/>
        </w:rPr>
        <w:t>оказание</w:t>
      </w:r>
    </w:p>
    <w:p>
      <w:pPr>
        <w:pStyle w:val="BodyText"/>
        <w:spacing w:line="321" w:lineRule="exact"/>
        <w:ind w:left="1155"/>
      </w:pPr>
      <w:r>
        <w:rPr/>
        <w:t>медицинской</w:t>
      </w:r>
      <w:r>
        <w:rPr>
          <w:spacing w:val="-6"/>
        </w:rPr>
        <w:t> </w:t>
      </w:r>
      <w:r>
        <w:rPr/>
        <w:t>помощи</w:t>
      </w:r>
      <w:r>
        <w:rPr>
          <w:spacing w:val="-8"/>
        </w:rPr>
        <w:t> </w:t>
      </w:r>
      <w:r>
        <w:rPr/>
        <w:t>которым</w:t>
      </w:r>
      <w:r>
        <w:rPr>
          <w:spacing w:val="-8"/>
        </w:rPr>
        <w:t> </w:t>
      </w:r>
      <w:r>
        <w:rPr/>
        <w:t>осуществляется</w:t>
      </w:r>
      <w:r>
        <w:rPr>
          <w:spacing w:val="-7"/>
        </w:rPr>
        <w:t> </w:t>
      </w:r>
      <w:r>
        <w:rPr>
          <w:spacing w:val="-2"/>
        </w:rPr>
        <w:t>бесплатно</w:t>
      </w:r>
    </w:p>
    <w:p>
      <w:pPr>
        <w:pStyle w:val="BodyText"/>
        <w:spacing w:before="5"/>
        <w:rPr>
          <w:sz w:val="31"/>
        </w:rPr>
      </w:pPr>
    </w:p>
    <w:p>
      <w:pPr>
        <w:pStyle w:val="BodyText"/>
        <w:spacing w:line="268" w:lineRule="auto"/>
        <w:ind w:left="118" w:right="117" w:firstLine="707"/>
        <w:jc w:val="both"/>
      </w:pPr>
      <w:r>
        <w:rPr/>
        <w:t>Гражданин имеет право на бесплатное получение медицинской помощи</w:t>
      </w:r>
      <w:r>
        <w:rPr>
          <w:spacing w:val="80"/>
          <w:w w:val="150"/>
        </w:rPr>
        <w:t> </w:t>
      </w:r>
      <w:r>
        <w:rPr/>
        <w:t>по</w:t>
      </w:r>
      <w:r>
        <w:rPr>
          <w:spacing w:val="80"/>
          <w:w w:val="150"/>
        </w:rPr>
        <w:t> </w:t>
      </w:r>
      <w:r>
        <w:rPr/>
        <w:t>видам,</w:t>
      </w:r>
      <w:r>
        <w:rPr>
          <w:spacing w:val="80"/>
          <w:w w:val="150"/>
        </w:rPr>
        <w:t> </w:t>
      </w:r>
      <w:r>
        <w:rPr/>
        <w:t>формам</w:t>
      </w:r>
      <w:r>
        <w:rPr>
          <w:spacing w:val="80"/>
          <w:w w:val="150"/>
        </w:rPr>
        <w:t> </w:t>
      </w:r>
      <w:r>
        <w:rPr/>
        <w:t>и</w:t>
      </w:r>
      <w:r>
        <w:rPr>
          <w:spacing w:val="80"/>
          <w:w w:val="150"/>
        </w:rPr>
        <w:t> </w:t>
      </w:r>
      <w:r>
        <w:rPr/>
        <w:t>условиям</w:t>
      </w:r>
      <w:r>
        <w:rPr>
          <w:spacing w:val="80"/>
          <w:w w:val="150"/>
        </w:rPr>
        <w:t> </w:t>
      </w:r>
      <w:r>
        <w:rPr/>
        <w:t>ее</w:t>
      </w:r>
      <w:r>
        <w:rPr>
          <w:spacing w:val="80"/>
          <w:w w:val="150"/>
        </w:rPr>
        <w:t> </w:t>
      </w:r>
      <w:r>
        <w:rPr/>
        <w:t>оказания</w:t>
      </w:r>
      <w:r>
        <w:rPr>
          <w:spacing w:val="80"/>
          <w:w w:val="150"/>
        </w:rPr>
        <w:t> </w:t>
      </w:r>
      <w:r>
        <w:rPr/>
        <w:t>в</w:t>
      </w:r>
      <w:r>
        <w:rPr>
          <w:spacing w:val="80"/>
          <w:w w:val="150"/>
        </w:rPr>
        <w:t> </w:t>
      </w:r>
      <w:r>
        <w:rPr/>
        <w:t>соответствии с разделом II Программы при следующих заболеваниях и состояниях:</w:t>
      </w:r>
    </w:p>
    <w:p>
      <w:pPr>
        <w:pStyle w:val="BodyText"/>
        <w:spacing w:line="268" w:lineRule="auto"/>
        <w:ind w:left="826" w:right="1613"/>
      </w:pPr>
      <w:r>
        <w:rPr/>
        <w:t>инфекционные</w:t>
      </w:r>
      <w:r>
        <w:rPr>
          <w:spacing w:val="-11"/>
        </w:rPr>
        <w:t> </w:t>
      </w:r>
      <w:r>
        <w:rPr/>
        <w:t>и</w:t>
      </w:r>
      <w:r>
        <w:rPr>
          <w:spacing w:val="-13"/>
        </w:rPr>
        <w:t> </w:t>
      </w:r>
      <w:r>
        <w:rPr/>
        <w:t>паразитарные</w:t>
      </w:r>
      <w:r>
        <w:rPr>
          <w:spacing w:val="-11"/>
        </w:rPr>
        <w:t> </w:t>
      </w:r>
      <w:r>
        <w:rPr/>
        <w:t>болезни; </w:t>
      </w:r>
      <w:r>
        <w:rPr>
          <w:spacing w:val="-2"/>
        </w:rPr>
        <w:t>новообразования;</w:t>
      </w:r>
    </w:p>
    <w:p>
      <w:pPr>
        <w:pStyle w:val="BodyText"/>
        <w:spacing w:line="321" w:lineRule="exact"/>
        <w:ind w:left="826"/>
      </w:pPr>
      <w:r>
        <w:rPr/>
        <w:t>болезни</w:t>
      </w:r>
      <w:r>
        <w:rPr>
          <w:spacing w:val="-9"/>
        </w:rPr>
        <w:t> </w:t>
      </w:r>
      <w:r>
        <w:rPr/>
        <w:t>эндокринной</w:t>
      </w:r>
      <w:r>
        <w:rPr>
          <w:spacing w:val="-9"/>
        </w:rPr>
        <w:t> </w:t>
      </w:r>
      <w:r>
        <w:rPr>
          <w:spacing w:val="-2"/>
        </w:rPr>
        <w:t>системы;</w:t>
      </w:r>
    </w:p>
    <w:p>
      <w:pPr>
        <w:pStyle w:val="BodyText"/>
        <w:spacing w:line="268" w:lineRule="auto" w:before="37"/>
        <w:ind w:left="826" w:right="1613"/>
      </w:pPr>
      <w:r>
        <w:rPr/>
        <w:t>расстройства</w:t>
      </w:r>
      <w:r>
        <w:rPr>
          <w:spacing w:val="-6"/>
        </w:rPr>
        <w:t> </w:t>
      </w:r>
      <w:r>
        <w:rPr/>
        <w:t>питания</w:t>
      </w:r>
      <w:r>
        <w:rPr>
          <w:spacing w:val="-6"/>
        </w:rPr>
        <w:t> </w:t>
      </w:r>
      <w:r>
        <w:rPr/>
        <w:t>и</w:t>
      </w:r>
      <w:r>
        <w:rPr>
          <w:spacing w:val="-9"/>
        </w:rPr>
        <w:t> </w:t>
      </w:r>
      <w:r>
        <w:rPr/>
        <w:t>нарушения</w:t>
      </w:r>
      <w:r>
        <w:rPr>
          <w:spacing w:val="-9"/>
        </w:rPr>
        <w:t> </w:t>
      </w:r>
      <w:r>
        <w:rPr/>
        <w:t>обмена</w:t>
      </w:r>
      <w:r>
        <w:rPr>
          <w:spacing w:val="-6"/>
        </w:rPr>
        <w:t> </w:t>
      </w:r>
      <w:r>
        <w:rPr/>
        <w:t>веществ; болезни нервной системы;</w:t>
      </w:r>
    </w:p>
    <w:p>
      <w:pPr>
        <w:pStyle w:val="BodyText"/>
        <w:spacing w:line="321" w:lineRule="exact"/>
        <w:ind w:left="826"/>
      </w:pPr>
      <w:r>
        <w:rPr/>
        <w:t>болезни</w:t>
      </w:r>
      <w:r>
        <w:rPr>
          <w:spacing w:val="-9"/>
        </w:rPr>
        <w:t> </w:t>
      </w:r>
      <w:r>
        <w:rPr/>
        <w:t>крови,</w:t>
      </w:r>
      <w:r>
        <w:rPr>
          <w:spacing w:val="-8"/>
        </w:rPr>
        <w:t> </w:t>
      </w:r>
      <w:r>
        <w:rPr/>
        <w:t>кроветворных</w:t>
      </w:r>
      <w:r>
        <w:rPr>
          <w:spacing w:val="-11"/>
        </w:rPr>
        <w:t> </w:t>
      </w:r>
      <w:r>
        <w:rPr>
          <w:spacing w:val="-2"/>
        </w:rPr>
        <w:t>органов;</w:t>
      </w:r>
    </w:p>
    <w:p>
      <w:pPr>
        <w:pStyle w:val="BodyText"/>
        <w:spacing w:line="268" w:lineRule="auto" w:before="38"/>
        <w:ind w:left="826" w:right="513"/>
      </w:pPr>
      <w:r>
        <w:rPr/>
        <w:t>отдельные</w:t>
      </w:r>
      <w:r>
        <w:rPr>
          <w:spacing w:val="-11"/>
        </w:rPr>
        <w:t> </w:t>
      </w:r>
      <w:r>
        <w:rPr/>
        <w:t>нарушения,</w:t>
      </w:r>
      <w:r>
        <w:rPr>
          <w:spacing w:val="-8"/>
        </w:rPr>
        <w:t> </w:t>
      </w:r>
      <w:r>
        <w:rPr/>
        <w:t>вовлекающие</w:t>
      </w:r>
      <w:r>
        <w:rPr>
          <w:spacing w:val="-11"/>
        </w:rPr>
        <w:t> </w:t>
      </w:r>
      <w:r>
        <w:rPr/>
        <w:t>иммунный</w:t>
      </w:r>
      <w:r>
        <w:rPr>
          <w:spacing w:val="-8"/>
        </w:rPr>
        <w:t> </w:t>
      </w:r>
      <w:r>
        <w:rPr/>
        <w:t>механизм; болезни глаза и его придаточного аппарата;</w:t>
      </w:r>
    </w:p>
    <w:p>
      <w:pPr>
        <w:pStyle w:val="BodyText"/>
        <w:spacing w:line="268" w:lineRule="auto"/>
        <w:ind w:left="826" w:right="3788"/>
      </w:pPr>
      <w:r>
        <w:rPr/>
        <w:t>болезни</w:t>
      </w:r>
      <w:r>
        <w:rPr>
          <w:spacing w:val="-9"/>
        </w:rPr>
        <w:t> </w:t>
      </w:r>
      <w:r>
        <w:rPr/>
        <w:t>уха</w:t>
      </w:r>
      <w:r>
        <w:rPr>
          <w:spacing w:val="-9"/>
        </w:rPr>
        <w:t> </w:t>
      </w:r>
      <w:r>
        <w:rPr/>
        <w:t>и</w:t>
      </w:r>
      <w:r>
        <w:rPr>
          <w:spacing w:val="-9"/>
        </w:rPr>
        <w:t> </w:t>
      </w:r>
      <w:r>
        <w:rPr/>
        <w:t>сосцевидного</w:t>
      </w:r>
      <w:r>
        <w:rPr>
          <w:spacing w:val="-11"/>
        </w:rPr>
        <w:t> </w:t>
      </w:r>
      <w:r>
        <w:rPr/>
        <w:t>отростка; болезни системы кровообращения; болезни органов дыхания;</w:t>
      </w:r>
    </w:p>
    <w:p>
      <w:pPr>
        <w:pStyle w:val="BodyText"/>
        <w:spacing w:line="268" w:lineRule="auto"/>
        <w:ind w:left="118" w:right="119" w:firstLine="707"/>
      </w:pPr>
      <w:r>
        <w:rPr/>
        <w:t>болезни</w:t>
      </w:r>
      <w:r>
        <w:rPr>
          <w:spacing w:val="40"/>
        </w:rPr>
        <w:t> </w:t>
      </w:r>
      <w:r>
        <w:rPr/>
        <w:t>органов</w:t>
      </w:r>
      <w:r>
        <w:rPr>
          <w:spacing w:val="40"/>
        </w:rPr>
        <w:t> </w:t>
      </w:r>
      <w:r>
        <w:rPr/>
        <w:t>пищеварения,</w:t>
      </w:r>
      <w:r>
        <w:rPr>
          <w:spacing w:val="40"/>
        </w:rPr>
        <w:t> </w:t>
      </w:r>
      <w:r>
        <w:rPr/>
        <w:t>в</w:t>
      </w:r>
      <w:r>
        <w:rPr>
          <w:spacing w:val="40"/>
        </w:rPr>
        <w:t> </w:t>
      </w:r>
      <w:r>
        <w:rPr/>
        <w:t>том</w:t>
      </w:r>
      <w:r>
        <w:rPr>
          <w:spacing w:val="40"/>
        </w:rPr>
        <w:t> </w:t>
      </w:r>
      <w:r>
        <w:rPr/>
        <w:t>числе</w:t>
      </w:r>
      <w:r>
        <w:rPr>
          <w:spacing w:val="40"/>
        </w:rPr>
        <w:t> </w:t>
      </w:r>
      <w:r>
        <w:rPr/>
        <w:t>болезни</w:t>
      </w:r>
      <w:r>
        <w:rPr>
          <w:spacing w:val="40"/>
        </w:rPr>
        <w:t> </w:t>
      </w:r>
      <w:r>
        <w:rPr/>
        <w:t>полости</w:t>
      </w:r>
      <w:r>
        <w:rPr>
          <w:spacing w:val="40"/>
        </w:rPr>
        <w:t> </w:t>
      </w:r>
      <w:r>
        <w:rPr/>
        <w:t>рта,</w:t>
      </w:r>
      <w:r>
        <w:rPr>
          <w:spacing w:val="80"/>
        </w:rPr>
        <w:t> </w:t>
      </w:r>
      <w:r>
        <w:rPr/>
        <w:t>слюнных желез и челюстей (за исключением зубного протезирования);</w:t>
      </w:r>
    </w:p>
    <w:p>
      <w:pPr>
        <w:pStyle w:val="BodyText"/>
        <w:spacing w:line="268" w:lineRule="auto"/>
        <w:ind w:left="826" w:right="3788"/>
      </w:pPr>
      <w:r>
        <w:rPr/>
        <w:t>болезни мочеполовой системы; болезни</w:t>
      </w:r>
      <w:r>
        <w:rPr>
          <w:spacing w:val="-8"/>
        </w:rPr>
        <w:t> </w:t>
      </w:r>
      <w:r>
        <w:rPr/>
        <w:t>кожи</w:t>
      </w:r>
      <w:r>
        <w:rPr>
          <w:spacing w:val="-7"/>
        </w:rPr>
        <w:t> </w:t>
      </w:r>
      <w:r>
        <w:rPr/>
        <w:t>и</w:t>
      </w:r>
      <w:r>
        <w:rPr>
          <w:spacing w:val="-11"/>
        </w:rPr>
        <w:t> </w:t>
      </w:r>
      <w:r>
        <w:rPr/>
        <w:t>подкожной</w:t>
      </w:r>
      <w:r>
        <w:rPr>
          <w:spacing w:val="-8"/>
        </w:rPr>
        <w:t> </w:t>
      </w:r>
      <w:r>
        <w:rPr/>
        <w:t>клетчатки;</w:t>
      </w:r>
    </w:p>
    <w:p>
      <w:pPr>
        <w:pStyle w:val="BodyText"/>
        <w:spacing w:line="268" w:lineRule="auto"/>
        <w:ind w:left="826" w:right="118"/>
      </w:pPr>
      <w:r>
        <w:rPr/>
        <w:t>болезни костно-мышечной системы и соединительной ткани;</w:t>
      </w:r>
      <w:r>
        <w:rPr>
          <w:spacing w:val="40"/>
        </w:rPr>
        <w:t> </w:t>
      </w:r>
      <w:r>
        <w:rPr/>
        <w:t>травмы,</w:t>
      </w:r>
      <w:r>
        <w:rPr>
          <w:spacing w:val="72"/>
        </w:rPr>
        <w:t> </w:t>
      </w:r>
      <w:r>
        <w:rPr/>
        <w:t>отравления</w:t>
      </w:r>
      <w:r>
        <w:rPr>
          <w:spacing w:val="71"/>
        </w:rPr>
        <w:t> </w:t>
      </w:r>
      <w:r>
        <w:rPr/>
        <w:t>и</w:t>
      </w:r>
      <w:r>
        <w:rPr>
          <w:spacing w:val="74"/>
        </w:rPr>
        <w:t> </w:t>
      </w:r>
      <w:r>
        <w:rPr/>
        <w:t>некоторые</w:t>
      </w:r>
      <w:r>
        <w:rPr>
          <w:spacing w:val="71"/>
        </w:rPr>
        <w:t> </w:t>
      </w:r>
      <w:r>
        <w:rPr/>
        <w:t>другие</w:t>
      </w:r>
      <w:r>
        <w:rPr>
          <w:spacing w:val="73"/>
        </w:rPr>
        <w:t> </w:t>
      </w:r>
      <w:r>
        <w:rPr/>
        <w:t>последствия</w:t>
      </w:r>
      <w:r>
        <w:rPr>
          <w:spacing w:val="73"/>
        </w:rPr>
        <w:t> </w:t>
      </w:r>
      <w:r>
        <w:rPr/>
        <w:t>воздействия</w:t>
      </w:r>
    </w:p>
    <w:p>
      <w:pPr>
        <w:pStyle w:val="BodyText"/>
        <w:spacing w:line="321" w:lineRule="exact"/>
        <w:ind w:left="118"/>
      </w:pPr>
      <w:r>
        <w:rPr/>
        <w:t>внешних</w:t>
      </w:r>
      <w:r>
        <w:rPr>
          <w:spacing w:val="-7"/>
        </w:rPr>
        <w:t> </w:t>
      </w:r>
      <w:r>
        <w:rPr>
          <w:spacing w:val="-2"/>
        </w:rPr>
        <w:t>причин;</w:t>
      </w:r>
    </w:p>
    <w:p>
      <w:pPr>
        <w:pStyle w:val="BodyText"/>
        <w:spacing w:before="33"/>
        <w:ind w:left="826"/>
      </w:pPr>
      <w:r>
        <w:rPr/>
        <w:t>врожденные</w:t>
      </w:r>
      <w:r>
        <w:rPr>
          <w:spacing w:val="-9"/>
        </w:rPr>
        <w:t> </w:t>
      </w:r>
      <w:r>
        <w:rPr/>
        <w:t>аномалии</w:t>
      </w:r>
      <w:r>
        <w:rPr>
          <w:spacing w:val="-9"/>
        </w:rPr>
        <w:t> </w:t>
      </w:r>
      <w:r>
        <w:rPr/>
        <w:t>(пороки</w:t>
      </w:r>
      <w:r>
        <w:rPr>
          <w:spacing w:val="-9"/>
        </w:rPr>
        <w:t> </w:t>
      </w:r>
      <w:r>
        <w:rPr>
          <w:spacing w:val="-2"/>
        </w:rPr>
        <w:t>развития);</w:t>
      </w:r>
    </w:p>
    <w:p>
      <w:pPr>
        <w:spacing w:after="0"/>
        <w:sectPr>
          <w:pgSz w:w="11910" w:h="16850"/>
          <w:pgMar w:header="753" w:footer="0" w:top="1080" w:bottom="280" w:left="1300" w:right="1300"/>
        </w:sectPr>
      </w:pPr>
    </w:p>
    <w:p>
      <w:pPr>
        <w:pStyle w:val="BodyText"/>
        <w:spacing w:before="4"/>
        <w:rPr>
          <w:sz w:val="24"/>
        </w:rPr>
      </w:pPr>
    </w:p>
    <w:p>
      <w:pPr>
        <w:pStyle w:val="BodyText"/>
        <w:spacing w:line="268" w:lineRule="auto" w:before="89"/>
        <w:ind w:left="826" w:right="2138"/>
        <w:jc w:val="both"/>
      </w:pPr>
      <w:r>
        <w:rPr/>
        <w:t>деформации и хромосомные нарушения; беременность,</w:t>
      </w:r>
      <w:r>
        <w:rPr>
          <w:spacing w:val="-10"/>
        </w:rPr>
        <w:t> </w:t>
      </w:r>
      <w:r>
        <w:rPr/>
        <w:t>роды,</w:t>
      </w:r>
      <w:r>
        <w:rPr>
          <w:spacing w:val="-7"/>
        </w:rPr>
        <w:t> </w:t>
      </w:r>
      <w:r>
        <w:rPr/>
        <w:t>послеродовой</w:t>
      </w:r>
      <w:r>
        <w:rPr>
          <w:spacing w:val="-7"/>
        </w:rPr>
        <w:t> </w:t>
      </w:r>
      <w:r>
        <w:rPr/>
        <w:t>период</w:t>
      </w:r>
      <w:r>
        <w:rPr>
          <w:spacing w:val="-8"/>
        </w:rPr>
        <w:t> </w:t>
      </w:r>
      <w:r>
        <w:rPr/>
        <w:t>и</w:t>
      </w:r>
      <w:r>
        <w:rPr>
          <w:spacing w:val="-6"/>
        </w:rPr>
        <w:t> </w:t>
      </w:r>
      <w:r>
        <w:rPr>
          <w:spacing w:val="-2"/>
        </w:rPr>
        <w:t>аборты;</w:t>
      </w:r>
    </w:p>
    <w:p>
      <w:pPr>
        <w:pStyle w:val="BodyText"/>
        <w:spacing w:line="268" w:lineRule="auto"/>
        <w:ind w:left="118" w:right="117" w:firstLine="707"/>
        <w:jc w:val="both"/>
      </w:pPr>
      <w:r>
        <w:rPr/>
        <w:t>отдельные состояния, возникающие у детей в перинатальный</w:t>
      </w:r>
      <w:r>
        <w:rPr>
          <w:spacing w:val="80"/>
        </w:rPr>
        <w:t> </w:t>
      </w:r>
      <w:r>
        <w:rPr>
          <w:spacing w:val="-2"/>
        </w:rPr>
        <w:t>период;</w:t>
      </w:r>
    </w:p>
    <w:p>
      <w:pPr>
        <w:pStyle w:val="BodyText"/>
        <w:spacing w:line="321" w:lineRule="exact"/>
        <w:ind w:left="826"/>
        <w:jc w:val="both"/>
      </w:pPr>
      <w:r>
        <w:rPr/>
        <w:t>психические</w:t>
      </w:r>
      <w:r>
        <w:rPr>
          <w:spacing w:val="-12"/>
        </w:rPr>
        <w:t> </w:t>
      </w:r>
      <w:r>
        <w:rPr/>
        <w:t>расстройства</w:t>
      </w:r>
      <w:r>
        <w:rPr>
          <w:spacing w:val="-6"/>
        </w:rPr>
        <w:t> </w:t>
      </w:r>
      <w:r>
        <w:rPr/>
        <w:t>и</w:t>
      </w:r>
      <w:r>
        <w:rPr>
          <w:spacing w:val="-6"/>
        </w:rPr>
        <w:t> </w:t>
      </w:r>
      <w:r>
        <w:rPr/>
        <w:t>расстройства</w:t>
      </w:r>
      <w:r>
        <w:rPr>
          <w:spacing w:val="-8"/>
        </w:rPr>
        <w:t> </w:t>
      </w:r>
      <w:r>
        <w:rPr>
          <w:spacing w:val="-2"/>
        </w:rPr>
        <w:t>поведения;</w:t>
      </w:r>
    </w:p>
    <w:p>
      <w:pPr>
        <w:pStyle w:val="BodyText"/>
        <w:spacing w:line="268" w:lineRule="auto" w:before="37"/>
        <w:ind w:left="118" w:right="122" w:firstLine="707"/>
        <w:jc w:val="both"/>
      </w:pPr>
      <w:r>
        <w:rPr/>
        <w:t>симптомы,</w:t>
      </w:r>
      <w:r>
        <w:rPr>
          <w:spacing w:val="40"/>
        </w:rPr>
        <w:t>  </w:t>
      </w:r>
      <w:r>
        <w:rPr/>
        <w:t>признаки</w:t>
      </w:r>
      <w:r>
        <w:rPr>
          <w:spacing w:val="40"/>
        </w:rPr>
        <w:t>  </w:t>
      </w:r>
      <w:r>
        <w:rPr/>
        <w:t>и</w:t>
      </w:r>
      <w:r>
        <w:rPr>
          <w:spacing w:val="40"/>
        </w:rPr>
        <w:t>  </w:t>
      </w:r>
      <w:r>
        <w:rPr/>
        <w:t>отклонения</w:t>
      </w:r>
      <w:r>
        <w:rPr>
          <w:spacing w:val="40"/>
        </w:rPr>
        <w:t>  </w:t>
      </w:r>
      <w:r>
        <w:rPr/>
        <w:t>от</w:t>
      </w:r>
      <w:r>
        <w:rPr>
          <w:spacing w:val="40"/>
        </w:rPr>
        <w:t>  </w:t>
      </w:r>
      <w:r>
        <w:rPr/>
        <w:t>нормы,</w:t>
      </w:r>
      <w:r>
        <w:rPr>
          <w:spacing w:val="40"/>
        </w:rPr>
        <w:t>  </w:t>
      </w:r>
      <w:r>
        <w:rPr/>
        <w:t>не</w:t>
      </w:r>
      <w:r>
        <w:rPr>
          <w:spacing w:val="40"/>
        </w:rPr>
        <w:t>  </w:t>
      </w:r>
      <w:r>
        <w:rPr/>
        <w:t>отнесенные к заболеваниям и состояниям.</w:t>
      </w:r>
    </w:p>
    <w:p>
      <w:pPr>
        <w:pStyle w:val="BodyText"/>
        <w:spacing w:line="268" w:lineRule="auto"/>
        <w:ind w:left="118" w:right="116" w:firstLine="707"/>
        <w:jc w:val="both"/>
      </w:pPr>
      <w:r>
        <w:rPr/>
        <w:t>Гражданин имеет право не реже одного раза в год на бесплатный профилактический медицинский осмотр, в том числе в рамках </w:t>
      </w:r>
      <w:r>
        <w:rPr>
          <w:spacing w:val="-2"/>
        </w:rPr>
        <w:t>диспансеризации.</w:t>
      </w:r>
    </w:p>
    <w:p>
      <w:pPr>
        <w:pStyle w:val="BodyText"/>
        <w:spacing w:line="268" w:lineRule="auto"/>
        <w:ind w:left="118" w:right="117" w:firstLine="707"/>
        <w:jc w:val="both"/>
      </w:pPr>
      <w:r>
        <w:rPr/>
        <w:t>В соответствии с законодательством Российской Федерации отдельные категории граждан имеют право:</w:t>
      </w:r>
    </w:p>
    <w:p>
      <w:pPr>
        <w:pStyle w:val="BodyText"/>
        <w:spacing w:line="268" w:lineRule="auto"/>
        <w:ind w:left="118" w:right="113" w:firstLine="707"/>
        <w:jc w:val="both"/>
      </w:pPr>
      <w:r>
        <w:rPr/>
        <w:t>на</w:t>
      </w:r>
      <w:r>
        <w:rPr>
          <w:spacing w:val="64"/>
        </w:rPr>
        <w:t>  </w:t>
      </w:r>
      <w:r>
        <w:rPr/>
        <w:t>обеспечение</w:t>
      </w:r>
      <w:r>
        <w:rPr>
          <w:spacing w:val="64"/>
        </w:rPr>
        <w:t>  </w:t>
      </w:r>
      <w:r>
        <w:rPr/>
        <w:t>лекарственными</w:t>
      </w:r>
      <w:r>
        <w:rPr>
          <w:spacing w:val="63"/>
        </w:rPr>
        <w:t>  </w:t>
      </w:r>
      <w:r>
        <w:rPr/>
        <w:t>препаратами</w:t>
      </w:r>
      <w:r>
        <w:rPr>
          <w:spacing w:val="64"/>
        </w:rPr>
        <w:t>  </w:t>
      </w:r>
      <w:r>
        <w:rPr/>
        <w:t>в</w:t>
      </w:r>
      <w:r>
        <w:rPr>
          <w:spacing w:val="63"/>
        </w:rPr>
        <w:t>  </w:t>
      </w:r>
      <w:r>
        <w:rPr/>
        <w:t>соответствии с разделом V Программы;</w:t>
      </w:r>
    </w:p>
    <w:p>
      <w:pPr>
        <w:pStyle w:val="BodyText"/>
        <w:spacing w:line="268" w:lineRule="auto"/>
        <w:ind w:left="118" w:right="109" w:firstLine="707"/>
        <w:jc w:val="both"/>
      </w:pPr>
      <w:r>
        <w:rPr/>
        <w:t>на профилактические медицинские осмотры и диспансеризацию - определенные группы взрослого населения (в возрасте 18 лет и старше), включающие</w:t>
      </w:r>
      <w:r>
        <w:rPr>
          <w:spacing w:val="40"/>
        </w:rPr>
        <w:t>  </w:t>
      </w:r>
      <w:r>
        <w:rPr/>
        <w:t>работающих</w:t>
      </w:r>
      <w:r>
        <w:rPr>
          <w:spacing w:val="40"/>
        </w:rPr>
        <w:t>  </w:t>
      </w:r>
      <w:r>
        <w:rPr/>
        <w:t>и</w:t>
      </w:r>
      <w:r>
        <w:rPr>
          <w:spacing w:val="40"/>
        </w:rPr>
        <w:t>  </w:t>
      </w:r>
      <w:r>
        <w:rPr/>
        <w:t>неработающих</w:t>
      </w:r>
      <w:r>
        <w:rPr>
          <w:spacing w:val="40"/>
        </w:rPr>
        <w:t>  </w:t>
      </w:r>
      <w:r>
        <w:rPr/>
        <w:t>граждан,</w:t>
      </w:r>
      <w:r>
        <w:rPr>
          <w:spacing w:val="40"/>
        </w:rPr>
        <w:t>  </w:t>
      </w:r>
      <w:r>
        <w:rPr/>
        <w:t>обучающихся</w:t>
      </w:r>
      <w:r>
        <w:rPr>
          <w:spacing w:val="80"/>
          <w:w w:val="150"/>
        </w:rPr>
        <w:t> </w:t>
      </w:r>
      <w:r>
        <w:rPr/>
        <w:t>в образовательных организациях по очной форме;</w:t>
      </w:r>
    </w:p>
    <w:p>
      <w:pPr>
        <w:pStyle w:val="BodyText"/>
        <w:spacing w:line="268" w:lineRule="auto"/>
        <w:ind w:left="118" w:right="119" w:firstLine="707"/>
        <w:jc w:val="both"/>
      </w:pPr>
      <w:r>
        <w:rPr/>
        <w:t>на медицинские осмотры, в том числе профилактические медицинские</w:t>
      </w:r>
      <w:r>
        <w:rPr>
          <w:spacing w:val="40"/>
        </w:rPr>
        <w:t>  </w:t>
      </w:r>
      <w:r>
        <w:rPr/>
        <w:t>осмотры,</w:t>
      </w:r>
      <w:r>
        <w:rPr>
          <w:spacing w:val="40"/>
        </w:rPr>
        <w:t>  </w:t>
      </w:r>
      <w:r>
        <w:rPr/>
        <w:t>в</w:t>
      </w:r>
      <w:r>
        <w:rPr>
          <w:spacing w:val="40"/>
        </w:rPr>
        <w:t>  </w:t>
      </w:r>
      <w:r>
        <w:rPr/>
        <w:t>связи</w:t>
      </w:r>
      <w:r>
        <w:rPr>
          <w:spacing w:val="40"/>
        </w:rPr>
        <w:t>  </w:t>
      </w:r>
      <w:r>
        <w:rPr/>
        <w:t>с</w:t>
      </w:r>
      <w:r>
        <w:rPr>
          <w:spacing w:val="40"/>
        </w:rPr>
        <w:t>  </w:t>
      </w:r>
      <w:r>
        <w:rPr/>
        <w:t>занятиями</w:t>
      </w:r>
      <w:r>
        <w:rPr>
          <w:spacing w:val="40"/>
        </w:rPr>
        <w:t>  </w:t>
      </w:r>
      <w:r>
        <w:rPr/>
        <w:t>физической</w:t>
      </w:r>
      <w:r>
        <w:rPr>
          <w:spacing w:val="40"/>
        </w:rPr>
        <w:t>  </w:t>
      </w:r>
      <w:r>
        <w:rPr/>
        <w:t>культурой и спортом - несовершеннолетние граждане;</w:t>
      </w:r>
    </w:p>
    <w:p>
      <w:pPr>
        <w:pStyle w:val="BodyText"/>
        <w:spacing w:line="268" w:lineRule="auto"/>
        <w:ind w:left="118" w:right="117" w:firstLine="707"/>
        <w:jc w:val="both"/>
      </w:pPr>
      <w:r>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w:t>
      </w:r>
      <w:r>
        <w:rPr>
          <w:spacing w:val="80"/>
          <w:w w:val="150"/>
        </w:rPr>
        <w:t> </w:t>
      </w:r>
      <w:r>
        <w:rPr/>
        <w:t>(удочеренные),</w:t>
      </w:r>
      <w:r>
        <w:rPr>
          <w:spacing w:val="80"/>
          <w:w w:val="150"/>
        </w:rPr>
        <w:t> </w:t>
      </w:r>
      <w:r>
        <w:rPr/>
        <w:t>принятые</w:t>
      </w:r>
      <w:r>
        <w:rPr>
          <w:spacing w:val="80"/>
          <w:w w:val="150"/>
        </w:rPr>
        <w:t> </w:t>
      </w:r>
      <w:r>
        <w:rPr/>
        <w:t>под</w:t>
      </w:r>
      <w:r>
        <w:rPr>
          <w:spacing w:val="80"/>
          <w:w w:val="150"/>
        </w:rPr>
        <w:t> </w:t>
      </w:r>
      <w:r>
        <w:rPr/>
        <w:t>опеку</w:t>
      </w:r>
      <w:r>
        <w:rPr>
          <w:spacing w:val="80"/>
          <w:w w:val="150"/>
        </w:rPr>
        <w:t> </w:t>
      </w:r>
      <w:r>
        <w:rPr/>
        <w:t>(попечительство)</w:t>
      </w:r>
      <w:r>
        <w:rPr>
          <w:spacing w:val="80"/>
        </w:rPr>
        <w:t> </w:t>
      </w:r>
      <w:r>
        <w:rPr/>
        <w:t>в приемную или патронатную семью;</w:t>
      </w:r>
    </w:p>
    <w:p>
      <w:pPr>
        <w:pStyle w:val="BodyText"/>
        <w:spacing w:line="268" w:lineRule="auto"/>
        <w:ind w:left="118" w:right="113" w:firstLine="707"/>
        <w:jc w:val="both"/>
      </w:pPr>
      <w:r>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w:t>
      </w:r>
      <w:r>
        <w:rPr>
          <w:spacing w:val="40"/>
        </w:rPr>
        <w:t> </w:t>
      </w:r>
      <w:r>
        <w:rPr/>
        <w:t>заболеваниями, функциональными расстройствами и иными состояниями;</w:t>
      </w:r>
    </w:p>
    <w:p>
      <w:pPr>
        <w:pStyle w:val="BodyText"/>
        <w:spacing w:line="268" w:lineRule="auto"/>
        <w:ind w:left="118" w:right="114" w:firstLine="707"/>
        <w:jc w:val="both"/>
      </w:pPr>
      <w:r>
        <w:rPr/>
        <w:t>на пренатальную (дородовую) диагностику нарушений развития ребенка - беременные женщины;</w:t>
      </w:r>
    </w:p>
    <w:p>
      <w:pPr>
        <w:pStyle w:val="BodyText"/>
        <w:spacing w:line="268" w:lineRule="auto"/>
        <w:ind w:left="118" w:right="118" w:firstLine="707"/>
        <w:jc w:val="both"/>
      </w:pPr>
      <w:r>
        <w:rPr/>
        <w:t>на аудиологический скрининг - новорожденные дети и дети первого года жизни;</w:t>
      </w:r>
    </w:p>
    <w:p>
      <w:pPr>
        <w:pStyle w:val="BodyText"/>
        <w:spacing w:line="268" w:lineRule="auto"/>
        <w:ind w:left="118" w:right="116" w:firstLine="707"/>
        <w:jc w:val="both"/>
      </w:pPr>
      <w:r>
        <w:rPr/>
        <w:t>на неонатальный скрининг на 5 наследственных и врожденных заболеваний. С 2022 года осуществляется подготовка и оснащение необходимым</w:t>
      </w:r>
      <w:r>
        <w:rPr>
          <w:spacing w:val="80"/>
          <w:w w:val="150"/>
        </w:rPr>
        <w:t> </w:t>
      </w:r>
      <w:r>
        <w:rPr/>
        <w:t>оборудованием</w:t>
      </w:r>
      <w:r>
        <w:rPr>
          <w:spacing w:val="80"/>
          <w:w w:val="150"/>
        </w:rPr>
        <w:t> </w:t>
      </w:r>
      <w:r>
        <w:rPr/>
        <w:t>центров</w:t>
      </w:r>
      <w:r>
        <w:rPr>
          <w:spacing w:val="80"/>
          <w:w w:val="150"/>
        </w:rPr>
        <w:t> </w:t>
      </w:r>
      <w:r>
        <w:rPr/>
        <w:t>для</w:t>
      </w:r>
      <w:r>
        <w:rPr>
          <w:spacing w:val="80"/>
          <w:w w:val="150"/>
        </w:rPr>
        <w:t> </w:t>
      </w:r>
      <w:r>
        <w:rPr/>
        <w:t>проведения</w:t>
      </w:r>
      <w:r>
        <w:rPr>
          <w:spacing w:val="80"/>
          <w:w w:val="150"/>
        </w:rPr>
        <w:t> </w:t>
      </w:r>
      <w:r>
        <w:rPr/>
        <w:t>расширенного</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3"/>
        <w:jc w:val="both"/>
      </w:pPr>
      <w:r>
        <w:rPr/>
        <w:t>неонатального скрининга, с 2023 года - проведение расширенного неонатального скрининга.</w:t>
      </w:r>
    </w:p>
    <w:p>
      <w:pPr>
        <w:pStyle w:val="BodyText"/>
        <w:spacing w:line="268" w:lineRule="auto"/>
        <w:ind w:left="118" w:right="116" w:firstLine="707"/>
        <w:jc w:val="both"/>
      </w:pPr>
      <w:r>
        <w:rPr/>
        <w:t>Беременные женщины, обратившиеся в медицинские организации, оказывающие</w:t>
      </w:r>
      <w:r>
        <w:rPr>
          <w:spacing w:val="80"/>
          <w:w w:val="150"/>
        </w:rPr>
        <w:t>  </w:t>
      </w:r>
      <w:r>
        <w:rPr/>
        <w:t>медицинскую</w:t>
      </w:r>
      <w:r>
        <w:rPr>
          <w:spacing w:val="80"/>
          <w:w w:val="150"/>
        </w:rPr>
        <w:t>  </w:t>
      </w:r>
      <w:r>
        <w:rPr/>
        <w:t>помощь</w:t>
      </w:r>
      <w:r>
        <w:rPr>
          <w:spacing w:val="80"/>
          <w:w w:val="150"/>
        </w:rPr>
        <w:t>  </w:t>
      </w:r>
      <w:r>
        <w:rPr/>
        <w:t>по</w:t>
      </w:r>
      <w:r>
        <w:rPr>
          <w:spacing w:val="80"/>
          <w:w w:val="150"/>
        </w:rPr>
        <w:t>  </w:t>
      </w:r>
      <w:r>
        <w:rPr/>
        <w:t>профилю</w:t>
      </w:r>
      <w:r>
        <w:rPr>
          <w:spacing w:val="80"/>
          <w:w w:val="150"/>
        </w:rPr>
        <w:t>  </w:t>
      </w:r>
      <w:r>
        <w:rPr/>
        <w:t>"акушерство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BodyText"/>
        <w:spacing w:line="268" w:lineRule="auto"/>
        <w:ind w:left="118" w:right="109" w:firstLine="707"/>
        <w:jc w:val="both"/>
      </w:pPr>
      <w:r>
        <w:rPr/>
        <w:t>Дополнительно к объемам медицинской помощи, оказываемой гражданам в рамках Программы, осуществляется дополнительное финансовое</w:t>
      </w:r>
      <w:r>
        <w:rPr>
          <w:spacing w:val="80"/>
          <w:w w:val="150"/>
        </w:rPr>
        <w:t>   </w:t>
      </w:r>
      <w:r>
        <w:rPr/>
        <w:t>обеспечение</w:t>
      </w:r>
      <w:r>
        <w:rPr>
          <w:spacing w:val="80"/>
          <w:w w:val="150"/>
        </w:rPr>
        <w:t>   </w:t>
      </w:r>
      <w:r>
        <w:rPr/>
        <w:t>оказания</w:t>
      </w:r>
      <w:r>
        <w:rPr>
          <w:spacing w:val="80"/>
          <w:w w:val="150"/>
        </w:rPr>
        <w:t>   </w:t>
      </w:r>
      <w:r>
        <w:rPr/>
        <w:t>медицинской</w:t>
      </w:r>
      <w:r>
        <w:rPr>
          <w:spacing w:val="80"/>
          <w:w w:val="150"/>
        </w:rPr>
        <w:t>   </w:t>
      </w:r>
      <w:r>
        <w:rPr/>
        <w:t>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w:t>
      </w:r>
      <w:r>
        <w:rPr>
          <w:spacing w:val="75"/>
        </w:rPr>
        <w:t>  </w:t>
      </w:r>
      <w:r>
        <w:rPr/>
        <w:t>включая</w:t>
      </w:r>
      <w:r>
        <w:rPr>
          <w:spacing w:val="76"/>
        </w:rPr>
        <w:t>  </w:t>
      </w:r>
      <w:r>
        <w:rPr/>
        <w:t>обеспечение</w:t>
      </w:r>
      <w:r>
        <w:rPr>
          <w:spacing w:val="76"/>
        </w:rPr>
        <w:t>  </w:t>
      </w:r>
      <w:r>
        <w:rPr/>
        <w:t>лекарственными</w:t>
      </w:r>
      <w:r>
        <w:rPr>
          <w:spacing w:val="75"/>
        </w:rPr>
        <w:t>  </w:t>
      </w:r>
      <w:r>
        <w:rPr/>
        <w:t>препаратами и</w:t>
      </w:r>
      <w:r>
        <w:rPr>
          <w:spacing w:val="40"/>
        </w:rPr>
        <w:t>  </w:t>
      </w:r>
      <w:r>
        <w:rPr/>
        <w:t>медицинскими</w:t>
      </w:r>
      <w:r>
        <w:rPr>
          <w:spacing w:val="40"/>
        </w:rPr>
        <w:t>  </w:t>
      </w:r>
      <w:r>
        <w:rPr/>
        <w:t>изделиями,</w:t>
      </w:r>
      <w:r>
        <w:rPr>
          <w:spacing w:val="40"/>
        </w:rPr>
        <w:t>  </w:t>
      </w:r>
      <w:r>
        <w:rPr/>
        <w:t>в</w:t>
      </w:r>
      <w:r>
        <w:rPr>
          <w:spacing w:val="40"/>
        </w:rPr>
        <w:t>  </w:t>
      </w:r>
      <w:r>
        <w:rPr/>
        <w:t>том</w:t>
      </w:r>
      <w:r>
        <w:rPr>
          <w:spacing w:val="40"/>
        </w:rPr>
        <w:t>  </w:t>
      </w:r>
      <w:r>
        <w:rPr/>
        <w:t>числе</w:t>
      </w:r>
      <w:r>
        <w:rPr>
          <w:spacing w:val="40"/>
        </w:rPr>
        <w:t>  </w:t>
      </w:r>
      <w:r>
        <w:rPr/>
        <w:t>не</w:t>
      </w:r>
      <w:r>
        <w:rPr>
          <w:spacing w:val="40"/>
        </w:rPr>
        <w:t>  </w:t>
      </w:r>
      <w:r>
        <w:rPr/>
        <w:t>зарегистрированными в Российской Федерации, а также техническими средствами реабилитации, не</w:t>
      </w:r>
      <w:r>
        <w:rPr>
          <w:spacing w:val="-2"/>
        </w:rPr>
        <w:t> </w:t>
      </w:r>
      <w:r>
        <w:rPr/>
        <w:t>включенными</w:t>
      </w:r>
      <w:r>
        <w:rPr>
          <w:spacing w:val="-1"/>
        </w:rPr>
        <w:t> </w:t>
      </w:r>
      <w:r>
        <w:rPr/>
        <w:t>в</w:t>
      </w:r>
      <w:r>
        <w:rPr>
          <w:spacing w:val="-3"/>
        </w:rPr>
        <w:t> </w:t>
      </w:r>
      <w:r>
        <w:rPr/>
        <w:t>федеральный</w:t>
      </w:r>
      <w:r>
        <w:rPr>
          <w:spacing w:val="-1"/>
        </w:rPr>
        <w:t> </w:t>
      </w:r>
      <w:r>
        <w:rPr/>
        <w:t>перечень</w:t>
      </w:r>
      <w:r>
        <w:rPr>
          <w:spacing w:val="-3"/>
        </w:rPr>
        <w:t> </w:t>
      </w:r>
      <w:r>
        <w:rPr/>
        <w:t>реабилитационных</w:t>
      </w:r>
      <w:r>
        <w:rPr>
          <w:spacing w:val="-1"/>
        </w:rPr>
        <w:t> </w:t>
      </w:r>
      <w:r>
        <w:rPr/>
        <w:t>мероприятий и услуг, предоставляемых инвалиду.</w:t>
      </w:r>
    </w:p>
    <w:p>
      <w:pPr>
        <w:pStyle w:val="BodyText"/>
        <w:spacing w:line="268" w:lineRule="auto"/>
        <w:ind w:left="118" w:right="111" w:firstLine="707"/>
        <w:jc w:val="both"/>
      </w:pPr>
      <w:r>
        <w:rPr/>
        <w:t>Регистрация</w:t>
      </w:r>
      <w:r>
        <w:rPr>
          <w:spacing w:val="80"/>
        </w:rPr>
        <w:t>   </w:t>
      </w:r>
      <w:r>
        <w:rPr/>
        <w:t>и</w:t>
      </w:r>
      <w:r>
        <w:rPr>
          <w:spacing w:val="80"/>
        </w:rPr>
        <w:t>   </w:t>
      </w:r>
      <w:r>
        <w:rPr/>
        <w:t>учет</w:t>
      </w:r>
      <w:r>
        <w:rPr>
          <w:spacing w:val="80"/>
        </w:rPr>
        <w:t>   </w:t>
      </w:r>
      <w:r>
        <w:rPr/>
        <w:t>впервые</w:t>
      </w:r>
      <w:r>
        <w:rPr>
          <w:spacing w:val="80"/>
        </w:rPr>
        <w:t>   </w:t>
      </w:r>
      <w:r>
        <w:rPr/>
        <w:t>выявленных</w:t>
      </w:r>
      <w:r>
        <w:rPr>
          <w:spacing w:val="80"/>
        </w:rPr>
        <w:t>   </w:t>
      </w:r>
      <w:r>
        <w:rPr/>
        <w:t>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BodyText"/>
        <w:spacing w:line="268" w:lineRule="auto"/>
        <w:ind w:left="118" w:right="117" w:firstLine="707"/>
        <w:jc w:val="both"/>
      </w:pPr>
      <w:r>
        <w:rPr/>
        <w:t>Пациентам в возрасте до 21 года при отдельных онкологических заболеваниях</w:t>
      </w:r>
      <w:r>
        <w:rPr>
          <w:spacing w:val="13"/>
        </w:rPr>
        <w:t> </w:t>
      </w:r>
      <w:r>
        <w:rPr/>
        <w:t>с</w:t>
      </w:r>
      <w:r>
        <w:rPr>
          <w:spacing w:val="13"/>
        </w:rPr>
        <w:t> </w:t>
      </w:r>
      <w:r>
        <w:rPr/>
        <w:t>целью</w:t>
      </w:r>
      <w:r>
        <w:rPr>
          <w:spacing w:val="11"/>
        </w:rPr>
        <w:t> </w:t>
      </w:r>
      <w:r>
        <w:rPr/>
        <w:t>продолжения</w:t>
      </w:r>
      <w:r>
        <w:rPr>
          <w:spacing w:val="13"/>
        </w:rPr>
        <w:t> </w:t>
      </w:r>
      <w:r>
        <w:rPr/>
        <w:t>лечения,</w:t>
      </w:r>
      <w:r>
        <w:rPr>
          <w:spacing w:val="11"/>
        </w:rPr>
        <w:t> </w:t>
      </w:r>
      <w:r>
        <w:rPr/>
        <w:t>которое</w:t>
      </w:r>
      <w:r>
        <w:rPr>
          <w:spacing w:val="13"/>
        </w:rPr>
        <w:t> </w:t>
      </w:r>
      <w:r>
        <w:rPr/>
        <w:t>начато</w:t>
      </w:r>
      <w:r>
        <w:rPr>
          <w:spacing w:val="13"/>
        </w:rPr>
        <w:t> </w:t>
      </w:r>
      <w:r>
        <w:rPr/>
        <w:t>в</w:t>
      </w:r>
      <w:r>
        <w:rPr>
          <w:spacing w:val="12"/>
        </w:rPr>
        <w:t> </w:t>
      </w:r>
      <w:r>
        <w:rPr/>
        <w:t>возрасте</w:t>
      </w:r>
      <w:r>
        <w:rPr>
          <w:spacing w:val="10"/>
        </w:rPr>
        <w:t> </w:t>
      </w:r>
      <w:r>
        <w:rPr>
          <w:spacing w:val="-5"/>
        </w:rPr>
        <w:t>до</w:t>
      </w:r>
    </w:p>
    <w:p>
      <w:pPr>
        <w:pStyle w:val="BodyText"/>
        <w:spacing w:line="268" w:lineRule="auto"/>
        <w:ind w:left="118" w:right="111"/>
        <w:jc w:val="both"/>
      </w:pPr>
      <w:r>
        <w:rPr/>
        <w:t>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w:t>
      </w:r>
      <w:r>
        <w:rPr>
          <w:spacing w:val="33"/>
        </w:rPr>
        <w:t> </w:t>
      </w:r>
      <w:r>
        <w:rPr/>
        <w:t>помощь</w:t>
      </w:r>
      <w:r>
        <w:rPr>
          <w:spacing w:val="33"/>
        </w:rPr>
        <w:t> </w:t>
      </w:r>
      <w:r>
        <w:rPr/>
        <w:t>детям</w:t>
      </w:r>
      <w:r>
        <w:rPr>
          <w:spacing w:val="32"/>
        </w:rPr>
        <w:t> </w:t>
      </w:r>
      <w:r>
        <w:rPr/>
        <w:t>по</w:t>
      </w:r>
      <w:r>
        <w:rPr>
          <w:spacing w:val="35"/>
        </w:rPr>
        <w:t> </w:t>
      </w:r>
      <w:r>
        <w:rPr/>
        <w:t>профилю</w:t>
      </w:r>
      <w:r>
        <w:rPr>
          <w:spacing w:val="33"/>
        </w:rPr>
        <w:t> </w:t>
      </w:r>
      <w:r>
        <w:rPr/>
        <w:t>"детская</w:t>
      </w:r>
      <w:r>
        <w:rPr>
          <w:spacing w:val="32"/>
        </w:rPr>
        <w:t> </w:t>
      </w:r>
      <w:r>
        <w:rPr/>
        <w:t>онкология",</w:t>
      </w:r>
      <w:r>
        <w:rPr>
          <w:spacing w:val="33"/>
        </w:rPr>
        <w:t> </w:t>
      </w:r>
      <w:r>
        <w:rPr/>
        <w:t>в</w:t>
      </w:r>
      <w:r>
        <w:rPr>
          <w:spacing w:val="34"/>
        </w:rPr>
        <w:t> </w:t>
      </w:r>
      <w:r>
        <w:rPr/>
        <w:t>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spacing w:after="0" w:line="268" w:lineRule="auto"/>
        <w:jc w:val="both"/>
        <w:sectPr>
          <w:pgSz w:w="11910" w:h="16850"/>
          <w:pgMar w:header="753" w:footer="0" w:top="1080" w:bottom="280" w:left="1300" w:right="1300"/>
        </w:sectPr>
      </w:pPr>
    </w:p>
    <w:p>
      <w:pPr>
        <w:pStyle w:val="BodyText"/>
        <w:rPr>
          <w:sz w:val="21"/>
        </w:rPr>
      </w:pPr>
    </w:p>
    <w:p>
      <w:pPr>
        <w:pStyle w:val="ListParagraph"/>
        <w:numPr>
          <w:ilvl w:val="1"/>
          <w:numId w:val="1"/>
        </w:numPr>
        <w:tabs>
          <w:tab w:pos="1187" w:val="left" w:leader="none"/>
        </w:tabs>
        <w:spacing w:line="240" w:lineRule="auto" w:before="89" w:after="0"/>
        <w:ind w:left="1186" w:right="0" w:hanging="435"/>
        <w:jc w:val="left"/>
        <w:rPr>
          <w:sz w:val="28"/>
        </w:rPr>
      </w:pPr>
      <w:r>
        <w:rPr>
          <w:sz w:val="28"/>
        </w:rPr>
        <w:t>Базовая</w:t>
      </w:r>
      <w:r>
        <w:rPr>
          <w:spacing w:val="-12"/>
          <w:sz w:val="28"/>
        </w:rPr>
        <w:t> </w:t>
      </w:r>
      <w:r>
        <w:rPr>
          <w:sz w:val="28"/>
        </w:rPr>
        <w:t>программа</w:t>
      </w:r>
      <w:r>
        <w:rPr>
          <w:spacing w:val="-10"/>
          <w:sz w:val="28"/>
        </w:rPr>
        <w:t> </w:t>
      </w:r>
      <w:r>
        <w:rPr>
          <w:sz w:val="28"/>
        </w:rPr>
        <w:t>обязательного</w:t>
      </w:r>
      <w:r>
        <w:rPr>
          <w:spacing w:val="-9"/>
          <w:sz w:val="28"/>
        </w:rPr>
        <w:t> </w:t>
      </w:r>
      <w:r>
        <w:rPr>
          <w:sz w:val="28"/>
        </w:rPr>
        <w:t>медицинского</w:t>
      </w:r>
      <w:r>
        <w:rPr>
          <w:spacing w:val="-8"/>
          <w:sz w:val="28"/>
        </w:rPr>
        <w:t> </w:t>
      </w:r>
      <w:r>
        <w:rPr>
          <w:spacing w:val="-2"/>
          <w:sz w:val="28"/>
        </w:rPr>
        <w:t>страхования</w:t>
      </w:r>
    </w:p>
    <w:p>
      <w:pPr>
        <w:pStyle w:val="BodyText"/>
        <w:spacing w:before="3"/>
        <w:rPr>
          <w:sz w:val="31"/>
        </w:rPr>
      </w:pPr>
    </w:p>
    <w:p>
      <w:pPr>
        <w:pStyle w:val="BodyText"/>
        <w:spacing w:line="268" w:lineRule="auto"/>
        <w:ind w:left="118" w:right="119" w:firstLine="707"/>
        <w:jc w:val="both"/>
      </w:pPr>
      <w:r>
        <w:rPr/>
        <w:t>Базовая программа обязательного медицинского страхования является составной частью Программы.</w:t>
      </w:r>
    </w:p>
    <w:p>
      <w:pPr>
        <w:pStyle w:val="BodyText"/>
        <w:spacing w:line="268" w:lineRule="auto"/>
        <w:ind w:left="118" w:right="117" w:firstLine="707"/>
        <w:jc w:val="both"/>
      </w:pPr>
      <w:r>
        <w:rPr/>
        <w:t>В рамках базовой программы обязательного медицинского </w:t>
      </w:r>
      <w:r>
        <w:rPr>
          <w:spacing w:val="-2"/>
        </w:rPr>
        <w:t>страхования:</w:t>
      </w:r>
    </w:p>
    <w:p>
      <w:pPr>
        <w:pStyle w:val="BodyText"/>
        <w:spacing w:line="268" w:lineRule="auto"/>
        <w:ind w:left="118" w:right="107" w:firstLine="707"/>
        <w:jc w:val="both"/>
      </w:pPr>
      <w:r>
        <w:rP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w:t>
      </w:r>
      <w:r>
        <w:rPr>
          <w:spacing w:val="80"/>
        </w:rPr>
        <w:t> </w:t>
      </w:r>
      <w:r>
        <w:rPr/>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Pr>
          <w:spacing w:val="-2"/>
        </w:rPr>
        <w:t>поведения;</w:t>
      </w:r>
    </w:p>
    <w:p>
      <w:pPr>
        <w:pStyle w:val="BodyText"/>
        <w:spacing w:line="268" w:lineRule="auto"/>
        <w:ind w:left="118" w:right="114" w:firstLine="707"/>
        <w:jc w:val="both"/>
      </w:pPr>
      <w:r>
        <w:rPr/>
        <w:t>осуществляются профилактические мероприятия, включая диспансеризацию,</w:t>
      </w:r>
      <w:r>
        <w:rPr>
          <w:spacing w:val="80"/>
          <w:w w:val="150"/>
        </w:rPr>
        <w:t>  </w:t>
      </w:r>
      <w:r>
        <w:rPr/>
        <w:t>диспансерное</w:t>
      </w:r>
      <w:r>
        <w:rPr>
          <w:spacing w:val="80"/>
          <w:w w:val="150"/>
        </w:rPr>
        <w:t>  </w:t>
      </w:r>
      <w:r>
        <w:rPr/>
        <w:t>наблюдение</w:t>
      </w:r>
      <w:r>
        <w:rPr>
          <w:spacing w:val="80"/>
          <w:w w:val="150"/>
        </w:rPr>
        <w:t>  </w:t>
      </w:r>
      <w:r>
        <w:rPr/>
        <w:t>(при</w:t>
      </w:r>
      <w:r>
        <w:rPr>
          <w:spacing w:val="80"/>
          <w:w w:val="150"/>
        </w:rPr>
        <w:t>  </w:t>
      </w:r>
      <w:r>
        <w:rPr/>
        <w:t>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r>
        <w:rPr>
          <w:spacing w:val="80"/>
        </w:rPr>
        <w:t>  </w:t>
      </w:r>
      <w:r>
        <w:rPr/>
        <w:t>психических</w:t>
      </w:r>
      <w:r>
        <w:rPr>
          <w:spacing w:val="80"/>
        </w:rPr>
        <w:t>  </w:t>
      </w:r>
      <w:r>
        <w:rPr/>
        <w:t>расстройств</w:t>
      </w:r>
      <w:r>
        <w:rPr>
          <w:spacing w:val="80"/>
        </w:rPr>
        <w:t>  </w:t>
      </w:r>
      <w:r>
        <w:rPr/>
        <w:t>и</w:t>
      </w:r>
      <w:r>
        <w:rPr>
          <w:spacing w:val="80"/>
        </w:rPr>
        <w:t>  </w:t>
      </w:r>
      <w:r>
        <w:rPr/>
        <w:t>расстройств</w:t>
      </w:r>
      <w:r>
        <w:rPr>
          <w:spacing w:val="80"/>
        </w:rPr>
        <w:t>  </w:t>
      </w:r>
      <w:r>
        <w:rPr/>
        <w:t>поведения) и профилактические медицинские осмотры граждан, в том числе их отдельных</w:t>
      </w:r>
      <w:r>
        <w:rPr>
          <w:spacing w:val="40"/>
        </w:rPr>
        <w:t> </w:t>
      </w:r>
      <w:r>
        <w:rPr/>
        <w:t>категорий,</w:t>
      </w:r>
      <w:r>
        <w:rPr>
          <w:spacing w:val="40"/>
        </w:rPr>
        <w:t> </w:t>
      </w:r>
      <w:r>
        <w:rPr/>
        <w:t>указанных</w:t>
      </w:r>
      <w:r>
        <w:rPr>
          <w:spacing w:val="40"/>
        </w:rPr>
        <w:t> </w:t>
      </w:r>
      <w:r>
        <w:rPr/>
        <w:t>в разделе</w:t>
      </w:r>
      <w:r>
        <w:rPr>
          <w:spacing w:val="40"/>
        </w:rPr>
        <w:t> </w:t>
      </w:r>
      <w:r>
        <w:rPr/>
        <w:t>III</w:t>
      </w:r>
      <w:r>
        <w:rPr>
          <w:spacing w:val="40"/>
        </w:rPr>
        <w:t> </w:t>
      </w:r>
      <w:r>
        <w:rPr/>
        <w:t>Программы,</w:t>
      </w:r>
      <w:r>
        <w:rPr>
          <w:spacing w:val="40"/>
        </w:rPr>
        <w:t> </w:t>
      </w:r>
      <w:r>
        <w:rPr/>
        <w:t>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w:t>
      </w:r>
      <w:r>
        <w:rPr>
          <w:spacing w:val="80"/>
          <w:w w:val="150"/>
        </w:rPr>
        <w:t> </w:t>
      </w:r>
      <w:r>
        <w:rPr/>
        <w:t>включая</w:t>
      </w:r>
      <w:r>
        <w:rPr>
          <w:spacing w:val="80"/>
          <w:w w:val="150"/>
        </w:rPr>
        <w:t> </w:t>
      </w:r>
      <w:r>
        <w:rPr/>
        <w:t>обеспечение</w:t>
      </w:r>
      <w:r>
        <w:rPr>
          <w:spacing w:val="80"/>
          <w:w w:val="150"/>
        </w:rPr>
        <w:t> </w:t>
      </w:r>
      <w:r>
        <w:rPr/>
        <w:t>лекарственными</w:t>
      </w:r>
      <w:r>
        <w:rPr>
          <w:spacing w:val="80"/>
          <w:w w:val="150"/>
        </w:rPr>
        <w:t> </w:t>
      </w:r>
      <w:r>
        <w:rPr/>
        <w:t>препаратами</w:t>
      </w:r>
      <w:r>
        <w:rPr>
          <w:spacing w:val="80"/>
        </w:rPr>
        <w:t> </w:t>
      </w:r>
      <w:r>
        <w:rPr/>
        <w:t>в соответствии с законодательством Российской Федерации.</w:t>
      </w:r>
    </w:p>
    <w:p>
      <w:pPr>
        <w:pStyle w:val="BodyText"/>
        <w:spacing w:line="268" w:lineRule="auto"/>
        <w:ind w:left="118" w:right="116" w:firstLine="707"/>
        <w:jc w:val="both"/>
      </w:pPr>
      <w:r>
        <w:rPr/>
        <w:t>Граждане, переболевшие новой коронавирусной инфекцией</w:t>
      </w:r>
      <w:r>
        <w:rPr>
          <w:spacing w:val="80"/>
        </w:rPr>
        <w:t> </w:t>
      </w:r>
      <w:r>
        <w:rPr/>
        <w:t>(COVID-19), вправе пройти углубленную диспансеризацию, включающую исследования и иные медицинские вмешательства по перечню согласно приложению № 2.</w:t>
      </w:r>
    </w:p>
    <w:p>
      <w:pPr>
        <w:pStyle w:val="BodyText"/>
        <w:spacing w:line="268" w:lineRule="auto"/>
        <w:ind w:left="118" w:right="115" w:firstLine="707"/>
        <w:jc w:val="both"/>
      </w:pPr>
      <w:r>
        <w:rPr/>
        <w:t>Углубленная</w:t>
      </w:r>
      <w:r>
        <w:rPr>
          <w:spacing w:val="40"/>
        </w:rPr>
        <w:t>  </w:t>
      </w:r>
      <w:r>
        <w:rPr/>
        <w:t>диспансеризация</w:t>
      </w:r>
      <w:r>
        <w:rPr>
          <w:spacing w:val="40"/>
        </w:rPr>
        <w:t>  </w:t>
      </w:r>
      <w:r>
        <w:rPr/>
        <w:t>также</w:t>
      </w:r>
      <w:r>
        <w:rPr>
          <w:spacing w:val="40"/>
        </w:rPr>
        <w:t>  </w:t>
      </w:r>
      <w:r>
        <w:rPr/>
        <w:t>может</w:t>
      </w:r>
      <w:r>
        <w:rPr>
          <w:spacing w:val="40"/>
        </w:rPr>
        <w:t>  </w:t>
      </w:r>
      <w:r>
        <w:rPr/>
        <w:t>быть</w:t>
      </w:r>
      <w:r>
        <w:rPr>
          <w:spacing w:val="40"/>
        </w:rPr>
        <w:t>  </w:t>
      </w:r>
      <w:r>
        <w:rPr/>
        <w:t>проведена</w:t>
      </w:r>
      <w:r>
        <w:rPr>
          <w:spacing w:val="80"/>
          <w:w w:val="150"/>
        </w:rPr>
        <w:t> </w:t>
      </w:r>
      <w:r>
        <w:rPr/>
        <w:t>по</w:t>
      </w:r>
      <w:r>
        <w:rPr>
          <w:spacing w:val="29"/>
        </w:rPr>
        <w:t> </w:t>
      </w:r>
      <w:r>
        <w:rPr/>
        <w:t>инициативе</w:t>
      </w:r>
      <w:r>
        <w:rPr>
          <w:spacing w:val="32"/>
        </w:rPr>
        <w:t> </w:t>
      </w:r>
      <w:r>
        <w:rPr/>
        <w:t>гражданина,</w:t>
      </w:r>
      <w:r>
        <w:rPr>
          <w:spacing w:val="33"/>
        </w:rPr>
        <w:t> </w:t>
      </w:r>
      <w:r>
        <w:rPr/>
        <w:t>в</w:t>
      </w:r>
      <w:r>
        <w:rPr>
          <w:spacing w:val="32"/>
        </w:rPr>
        <w:t> </w:t>
      </w:r>
      <w:r>
        <w:rPr/>
        <w:t>отношении</w:t>
      </w:r>
      <w:r>
        <w:rPr>
          <w:spacing w:val="34"/>
        </w:rPr>
        <w:t> </w:t>
      </w:r>
      <w:r>
        <w:rPr/>
        <w:t>которого</w:t>
      </w:r>
      <w:r>
        <w:rPr>
          <w:spacing w:val="31"/>
        </w:rPr>
        <w:t> </w:t>
      </w:r>
      <w:r>
        <w:rPr/>
        <w:t>отсутствуют</w:t>
      </w:r>
      <w:r>
        <w:rPr>
          <w:spacing w:val="33"/>
        </w:rPr>
        <w:t> </w:t>
      </w:r>
      <w:r>
        <w:rPr>
          <w:spacing w:val="-2"/>
        </w:rPr>
        <w:t>сведения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614" w:val="left" w:leader="none"/>
          <w:tab w:pos="2648" w:val="left" w:leader="none"/>
          <w:tab w:pos="4490" w:val="left" w:leader="none"/>
          <w:tab w:pos="5557" w:val="left" w:leader="none"/>
          <w:tab w:pos="7868" w:val="left" w:leader="none"/>
        </w:tabs>
        <w:spacing w:line="268" w:lineRule="auto" w:before="89"/>
        <w:ind w:left="118" w:right="119"/>
      </w:pPr>
      <w:r>
        <w:rPr>
          <w:spacing w:val="-10"/>
        </w:rPr>
        <w:t>о</w:t>
      </w:r>
      <w:r>
        <w:rPr/>
        <w:tab/>
      </w:r>
      <w:r>
        <w:rPr>
          <w:spacing w:val="-2"/>
        </w:rPr>
        <w:t>перенесенном</w:t>
      </w:r>
      <w:r>
        <w:rPr/>
        <w:tab/>
      </w:r>
      <w:r>
        <w:rPr>
          <w:spacing w:val="-2"/>
        </w:rPr>
        <w:t>заболевании</w:t>
      </w:r>
      <w:r>
        <w:rPr/>
        <w:tab/>
      </w:r>
      <w:r>
        <w:rPr>
          <w:spacing w:val="-4"/>
        </w:rPr>
        <w:t>новой</w:t>
      </w:r>
      <w:r>
        <w:rPr/>
        <w:tab/>
      </w:r>
      <w:r>
        <w:rPr>
          <w:spacing w:val="-2"/>
        </w:rPr>
        <w:t>коронавирусной</w:t>
      </w:r>
      <w:r>
        <w:rPr/>
        <w:tab/>
      </w:r>
      <w:r>
        <w:rPr>
          <w:spacing w:val="-2"/>
        </w:rPr>
        <w:t>инфекцией (COVID-19).</w:t>
      </w:r>
    </w:p>
    <w:p>
      <w:pPr>
        <w:pStyle w:val="BodyText"/>
        <w:spacing w:line="268" w:lineRule="auto"/>
        <w:ind w:left="118" w:right="116" w:firstLine="707"/>
        <w:jc w:val="both"/>
      </w:pPr>
      <w:r>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BodyText"/>
        <w:spacing w:line="268" w:lineRule="auto"/>
        <w:ind w:left="118" w:right="109" w:firstLine="707"/>
        <w:jc w:val="both"/>
      </w:pPr>
      <w:r>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BodyText"/>
        <w:spacing w:line="268" w:lineRule="auto"/>
        <w:ind w:left="118" w:right="107" w:firstLine="707"/>
        <w:jc w:val="both"/>
      </w:pPr>
      <w:r>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 сообщения) и иных доступных средств связи.</w:t>
      </w:r>
    </w:p>
    <w:p>
      <w:pPr>
        <w:pStyle w:val="BodyText"/>
        <w:spacing w:line="268" w:lineRule="auto"/>
        <w:ind w:left="118" w:right="116" w:firstLine="707"/>
        <w:jc w:val="both"/>
      </w:pPr>
      <w:r>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BodyText"/>
        <w:spacing w:line="268" w:lineRule="auto"/>
        <w:ind w:left="118" w:right="110" w:firstLine="707"/>
        <w:jc w:val="both"/>
      </w:pPr>
      <w:r>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w:t>
      </w:r>
      <w:r>
        <w:rPr>
          <w:spacing w:val="40"/>
        </w:rPr>
        <w:t> </w:t>
      </w:r>
      <w:r>
        <w:rPr/>
        <w:t>в</w:t>
      </w:r>
      <w:r>
        <w:rPr>
          <w:spacing w:val="40"/>
        </w:rPr>
        <w:t> </w:t>
      </w:r>
      <w:r>
        <w:rPr/>
        <w:t>соответствии</w:t>
      </w:r>
      <w:r>
        <w:rPr>
          <w:spacing w:val="40"/>
        </w:rPr>
        <w:t> </w:t>
      </w:r>
      <w:r>
        <w:rPr/>
        <w:t>с</w:t>
      </w:r>
      <w:r>
        <w:rPr>
          <w:spacing w:val="40"/>
        </w:rPr>
        <w:t> </w:t>
      </w:r>
      <w:r>
        <w:rPr/>
        <w:t>пунктом 1</w:t>
      </w:r>
      <w:r>
        <w:rPr>
          <w:spacing w:val="40"/>
        </w:rPr>
        <w:t> </w:t>
      </w:r>
      <w:r>
        <w:rPr/>
        <w:t>приложения</w:t>
      </w:r>
      <w:r>
        <w:rPr>
          <w:spacing w:val="40"/>
        </w:rPr>
        <w:t> </w:t>
      </w:r>
      <w:r>
        <w:rPr/>
        <w:t>№ 2</w:t>
      </w:r>
      <w:r>
        <w:rPr>
          <w:spacing w:val="40"/>
        </w:rPr>
        <w:t> </w:t>
      </w:r>
      <w:r>
        <w:rPr/>
        <w:t>к Программе в течение одного дня.</w:t>
      </w:r>
    </w:p>
    <w:p>
      <w:pPr>
        <w:pStyle w:val="BodyText"/>
        <w:spacing w:line="268" w:lineRule="auto"/>
        <w:ind w:left="118" w:right="109" w:firstLine="707"/>
        <w:jc w:val="both"/>
      </w:pPr>
      <w:r>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w:t>
      </w:r>
      <w:r>
        <w:rPr>
          <w:spacing w:val="51"/>
          <w:w w:val="150"/>
        </w:rPr>
        <w:t>  </w:t>
      </w:r>
      <w:r>
        <w:rPr/>
        <w:t>в</w:t>
      </w:r>
      <w:r>
        <w:rPr>
          <w:spacing w:val="53"/>
          <w:w w:val="150"/>
        </w:rPr>
        <w:t>  </w:t>
      </w:r>
      <w:r>
        <w:rPr/>
        <w:t>установленном</w:t>
      </w:r>
      <w:r>
        <w:rPr>
          <w:spacing w:val="51"/>
          <w:w w:val="150"/>
        </w:rPr>
        <w:t>  </w:t>
      </w:r>
      <w:r>
        <w:rPr/>
        <w:t>порядке</w:t>
      </w:r>
      <w:r>
        <w:rPr>
          <w:spacing w:val="54"/>
          <w:w w:val="150"/>
        </w:rPr>
        <w:t>  </w:t>
      </w:r>
      <w:r>
        <w:rPr/>
        <w:t>ставится</w:t>
      </w:r>
      <w:r>
        <w:rPr>
          <w:spacing w:val="52"/>
          <w:w w:val="150"/>
        </w:rPr>
        <w:t>  </w:t>
      </w:r>
      <w:r>
        <w:rPr/>
        <w:t>на</w:t>
      </w:r>
      <w:r>
        <w:rPr>
          <w:spacing w:val="55"/>
          <w:w w:val="150"/>
        </w:rPr>
        <w:t>  </w:t>
      </w:r>
      <w:r>
        <w:rPr>
          <w:spacing w:val="-2"/>
        </w:rPr>
        <w:t>диспансерное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BodyText"/>
        <w:spacing w:line="268" w:lineRule="auto"/>
        <w:ind w:left="118" w:right="113" w:firstLine="707"/>
        <w:jc w:val="both"/>
      </w:pPr>
      <w:r>
        <w:rPr/>
        <w:t>Федеральный</w:t>
      </w:r>
      <w:r>
        <w:rPr>
          <w:spacing w:val="40"/>
        </w:rPr>
        <w:t> </w:t>
      </w:r>
      <w:r>
        <w:rPr/>
        <w:t>фонд</w:t>
      </w:r>
      <w:r>
        <w:rPr>
          <w:spacing w:val="40"/>
        </w:rPr>
        <w:t> </w:t>
      </w:r>
      <w:r>
        <w:rPr/>
        <w:t>обязательного</w:t>
      </w:r>
      <w:r>
        <w:rPr>
          <w:spacing w:val="40"/>
        </w:rPr>
        <w:t> </w:t>
      </w:r>
      <w:r>
        <w:rPr/>
        <w:t>медицинского</w:t>
      </w:r>
      <w:r>
        <w:rPr>
          <w:spacing w:val="40"/>
        </w:rPr>
        <w:t> </w:t>
      </w:r>
      <w:r>
        <w:rPr/>
        <w:t>страхования</w:t>
      </w:r>
      <w:r>
        <w:rPr>
          <w:spacing w:val="40"/>
        </w:rPr>
        <w:t> </w:t>
      </w:r>
      <w:r>
        <w:rPr/>
        <w:t>(далее - Фонд) осуществляет взаимодействие с территориальными</w:t>
      </w:r>
      <w:r>
        <w:rPr>
          <w:spacing w:val="40"/>
        </w:rPr>
        <w:t> </w:t>
      </w:r>
      <w:r>
        <w:rPr/>
        <w:t>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BodyText"/>
        <w:spacing w:line="268" w:lineRule="auto"/>
        <w:ind w:left="118" w:right="116" w:firstLine="707"/>
        <w:jc w:val="both"/>
      </w:pPr>
      <w:r>
        <w:rPr/>
        <w:t>При</w:t>
      </w:r>
      <w:r>
        <w:rPr>
          <w:spacing w:val="80"/>
        </w:rPr>
        <w:t> </w:t>
      </w:r>
      <w:r>
        <w:rPr/>
        <w:t>необходимости</w:t>
      </w:r>
      <w:r>
        <w:rPr>
          <w:spacing w:val="80"/>
        </w:rPr>
        <w:t> </w:t>
      </w:r>
      <w:r>
        <w:rPr/>
        <w:t>для</w:t>
      </w:r>
      <w:r>
        <w:rPr>
          <w:spacing w:val="80"/>
        </w:rPr>
        <w:t> </w:t>
      </w:r>
      <w:r>
        <w:rPr/>
        <w:t>проведения</w:t>
      </w:r>
      <w:r>
        <w:rPr>
          <w:spacing w:val="80"/>
        </w:rPr>
        <w:t> </w:t>
      </w:r>
      <w:r>
        <w:rPr/>
        <w:t>медицинских</w:t>
      </w:r>
      <w:r>
        <w:rPr>
          <w:spacing w:val="80"/>
        </w:rPr>
        <w:t> </w:t>
      </w:r>
      <w:r>
        <w:rPr/>
        <w:t>исследований</w:t>
      </w:r>
      <w:r>
        <w:rPr>
          <w:spacing w:val="80"/>
          <w:w w:val="150"/>
        </w:rPr>
        <w:t> </w:t>
      </w:r>
      <w:r>
        <w:rPr/>
        <w:t>в</w:t>
      </w:r>
      <w:r>
        <w:rPr>
          <w:spacing w:val="80"/>
        </w:rPr>
        <w:t>  </w:t>
      </w:r>
      <w:r>
        <w:rPr/>
        <w:t>рамках</w:t>
      </w:r>
      <w:r>
        <w:rPr>
          <w:spacing w:val="80"/>
        </w:rPr>
        <w:t>  </w:t>
      </w:r>
      <w:r>
        <w:rPr/>
        <w:t>прохождения</w:t>
      </w:r>
      <w:r>
        <w:rPr>
          <w:spacing w:val="80"/>
        </w:rPr>
        <w:t>  </w:t>
      </w:r>
      <w:r>
        <w:rPr/>
        <w:t>профилактических</w:t>
      </w:r>
      <w:r>
        <w:rPr>
          <w:spacing w:val="80"/>
        </w:rPr>
        <w:t>  </w:t>
      </w:r>
      <w:r>
        <w:rPr/>
        <w:t>медицинских</w:t>
      </w:r>
      <w:r>
        <w:rPr>
          <w:spacing w:val="80"/>
        </w:rPr>
        <w:t>  </w:t>
      </w:r>
      <w:r>
        <w:rPr/>
        <w:t>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BodyText"/>
        <w:spacing w:line="268" w:lineRule="auto"/>
        <w:ind w:left="118" w:right="109" w:firstLine="707"/>
        <w:jc w:val="both"/>
      </w:pPr>
      <w:r>
        <w:rPr/>
        <w:t>В случаях установления Правительством Российской Федерации особенностей реализации</w:t>
      </w:r>
      <w:r>
        <w:rPr>
          <w:spacing w:val="-1"/>
        </w:rPr>
        <w:t> </w:t>
      </w:r>
      <w:r>
        <w:rPr/>
        <w:t>базовой программы</w:t>
      </w:r>
      <w:r>
        <w:rPr>
          <w:spacing w:val="-1"/>
        </w:rPr>
        <w:t> </w:t>
      </w:r>
      <w:r>
        <w:rPr/>
        <w:t>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w:t>
      </w:r>
      <w:r>
        <w:rPr>
          <w:spacing w:val="-4"/>
        </w:rPr>
        <w:t> </w:t>
      </w:r>
      <w:r>
        <w:rPr/>
        <w:t>базовой</w:t>
      </w:r>
      <w:r>
        <w:rPr>
          <w:spacing w:val="-4"/>
        </w:rPr>
        <w:t> </w:t>
      </w:r>
      <w:r>
        <w:rPr/>
        <w:t>программы</w:t>
      </w:r>
      <w:r>
        <w:rPr>
          <w:spacing w:val="-4"/>
        </w:rPr>
        <w:t> </w:t>
      </w:r>
      <w:r>
        <w:rPr/>
        <w:t>обязательного</w:t>
      </w:r>
      <w:r>
        <w:rPr>
          <w:spacing w:val="-2"/>
        </w:rPr>
        <w:t> </w:t>
      </w:r>
      <w:r>
        <w:rPr/>
        <w:t>медицинского</w:t>
      </w:r>
      <w:r>
        <w:rPr>
          <w:spacing w:val="-4"/>
        </w:rPr>
        <w:t> </w:t>
      </w:r>
      <w:r>
        <w:rPr/>
        <w:t>страхования</w:t>
      </w:r>
      <w:r>
        <w:rPr>
          <w:spacing w:val="-5"/>
        </w:rPr>
        <w:t> </w:t>
      </w:r>
      <w:r>
        <w:rPr/>
        <w:t>в 2022 году будет осуществляться с учетом таких особенностей.</w:t>
      </w:r>
    </w:p>
    <w:p>
      <w:pPr>
        <w:pStyle w:val="BodyText"/>
        <w:spacing w:line="268" w:lineRule="auto"/>
        <w:ind w:left="118" w:right="112" w:firstLine="707"/>
        <w:jc w:val="both"/>
      </w:pPr>
      <w:r>
        <w:rPr/>
        <w:t>Порядок формирования и структура тарифа на оплату медицинской помощи</w:t>
      </w:r>
      <w:r>
        <w:rPr>
          <w:spacing w:val="40"/>
        </w:rPr>
        <w:t> </w:t>
      </w:r>
      <w:r>
        <w:rPr/>
        <w:t>по</w:t>
      </w:r>
      <w:r>
        <w:rPr>
          <w:spacing w:val="40"/>
        </w:rPr>
        <w:t> </w:t>
      </w:r>
      <w:r>
        <w:rPr/>
        <w:t>обязательному</w:t>
      </w:r>
      <w:r>
        <w:rPr>
          <w:spacing w:val="40"/>
        </w:rPr>
        <w:t> </w:t>
      </w:r>
      <w:r>
        <w:rPr/>
        <w:t>медицинскому</w:t>
      </w:r>
      <w:r>
        <w:rPr>
          <w:spacing w:val="40"/>
        </w:rPr>
        <w:t> </w:t>
      </w:r>
      <w:r>
        <w:rPr/>
        <w:t>страхованию</w:t>
      </w:r>
      <w:r>
        <w:rPr>
          <w:spacing w:val="40"/>
        </w:rPr>
        <w:t> </w:t>
      </w:r>
      <w:r>
        <w:rPr/>
        <w:t>устанавливаются в соответствии с Федеральным законом "Об обязательном медицинском страховании в Российской Федерации".</w:t>
      </w:r>
    </w:p>
    <w:p>
      <w:pPr>
        <w:pStyle w:val="BodyText"/>
        <w:spacing w:line="268" w:lineRule="auto"/>
        <w:ind w:left="118" w:right="115" w:firstLine="707"/>
        <w:jc w:val="both"/>
      </w:pPr>
      <w:r>
        <w:rPr/>
        <w:t>Тарифы на оплату медицинской помощи, за исключением тарифов</w:t>
      </w:r>
      <w:r>
        <w:rPr>
          <w:spacing w:val="80"/>
        </w:rPr>
        <w:t> </w:t>
      </w:r>
      <w:r>
        <w:rPr/>
        <w:t>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w:t>
      </w:r>
      <w:r>
        <w:rPr>
          <w:spacing w:val="40"/>
        </w:rPr>
        <w:t> </w:t>
      </w:r>
      <w:r>
        <w:rPr/>
        <w:t>территориальным</w:t>
      </w:r>
      <w:r>
        <w:rPr>
          <w:spacing w:val="53"/>
        </w:rPr>
        <w:t>  </w:t>
      </w:r>
      <w:r>
        <w:rPr/>
        <w:t>фондом</w:t>
      </w:r>
      <w:r>
        <w:rPr>
          <w:spacing w:val="56"/>
        </w:rPr>
        <w:t>  </w:t>
      </w:r>
      <w:r>
        <w:rPr/>
        <w:t>обязательного</w:t>
      </w:r>
      <w:r>
        <w:rPr>
          <w:spacing w:val="57"/>
        </w:rPr>
        <w:t>  </w:t>
      </w:r>
      <w:r>
        <w:rPr/>
        <w:t>медицинского</w:t>
      </w:r>
      <w:r>
        <w:rPr>
          <w:spacing w:val="58"/>
        </w:rPr>
        <w:t>  </w:t>
      </w:r>
      <w:r>
        <w:rPr>
          <w:spacing w:val="-2"/>
        </w:rPr>
        <w:t>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1"/>
        <w:jc w:val="both"/>
      </w:pPr>
      <w:r>
        <w:rPr/>
        <w:t>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BodyText"/>
        <w:spacing w:line="268" w:lineRule="auto"/>
        <w:ind w:left="118" w:right="115" w:firstLine="707"/>
        <w:jc w:val="both"/>
      </w:pPr>
      <w:r>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 3.</w:t>
      </w:r>
    </w:p>
    <w:p>
      <w:pPr>
        <w:pStyle w:val="BodyText"/>
        <w:spacing w:line="268" w:lineRule="auto"/>
        <w:ind w:left="118" w:right="115" w:firstLine="707"/>
        <w:jc w:val="both"/>
      </w:pPr>
      <w:r>
        <w:rPr/>
        <w:t>В субъекте Российской Федерации тарифы на оплату медицинской помощи</w:t>
      </w:r>
      <w:r>
        <w:rPr>
          <w:spacing w:val="80"/>
          <w:w w:val="150"/>
        </w:rPr>
        <w:t> </w:t>
      </w:r>
      <w:r>
        <w:rPr/>
        <w:t>по</w:t>
      </w:r>
      <w:r>
        <w:rPr>
          <w:spacing w:val="80"/>
          <w:w w:val="150"/>
        </w:rPr>
        <w:t> </w:t>
      </w:r>
      <w:r>
        <w:rPr/>
        <w:t>обязательному</w:t>
      </w:r>
      <w:r>
        <w:rPr>
          <w:spacing w:val="80"/>
          <w:w w:val="150"/>
        </w:rPr>
        <w:t> </w:t>
      </w:r>
      <w:r>
        <w:rPr/>
        <w:t>медицинскому</w:t>
      </w:r>
      <w:r>
        <w:rPr>
          <w:spacing w:val="80"/>
          <w:w w:val="150"/>
        </w:rPr>
        <w:t> </w:t>
      </w:r>
      <w:r>
        <w:rPr/>
        <w:t>страхованию</w:t>
      </w:r>
      <w:r>
        <w:rPr>
          <w:spacing w:val="80"/>
          <w:w w:val="150"/>
        </w:rPr>
        <w:t> </w:t>
      </w:r>
      <w:r>
        <w:rPr/>
        <w:t>формируются в соответствии с принятыми в территориальной программе обязательного медицинского</w:t>
      </w:r>
      <w:r>
        <w:rPr>
          <w:spacing w:val="80"/>
          <w:w w:val="150"/>
        </w:rPr>
        <w:t> </w:t>
      </w:r>
      <w:r>
        <w:rPr/>
        <w:t>страхования</w:t>
      </w:r>
      <w:r>
        <w:rPr>
          <w:spacing w:val="80"/>
          <w:w w:val="150"/>
        </w:rPr>
        <w:t> </w:t>
      </w:r>
      <w:r>
        <w:rPr/>
        <w:t>способами</w:t>
      </w:r>
      <w:r>
        <w:rPr>
          <w:spacing w:val="80"/>
          <w:w w:val="150"/>
        </w:rPr>
        <w:t> </w:t>
      </w:r>
      <w:r>
        <w:rPr/>
        <w:t>оплаты</w:t>
      </w:r>
      <w:r>
        <w:rPr>
          <w:spacing w:val="80"/>
          <w:w w:val="150"/>
        </w:rPr>
        <w:t> </w:t>
      </w:r>
      <w:r>
        <w:rPr/>
        <w:t>медицинской</w:t>
      </w:r>
      <w:r>
        <w:rPr>
          <w:spacing w:val="80"/>
          <w:w w:val="150"/>
        </w:rPr>
        <w:t> </w:t>
      </w:r>
      <w:r>
        <w:rPr/>
        <w:t>помощи</w:t>
      </w:r>
      <w:r>
        <w:rPr>
          <w:spacing w:val="80"/>
          <w:w w:val="150"/>
        </w:rPr>
        <w:t> </w:t>
      </w:r>
      <w:r>
        <w:rPr/>
        <w:t>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BodyText"/>
        <w:spacing w:line="268" w:lineRule="auto"/>
        <w:ind w:left="118" w:right="111" w:firstLine="707"/>
        <w:jc w:val="both"/>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r>
        <w:rPr>
          <w:spacing w:val="40"/>
        </w:rPr>
        <w:t> </w:t>
      </w:r>
      <w:r>
        <w:rPr/>
        <w:t>и</w:t>
      </w:r>
      <w:r>
        <w:rPr>
          <w:spacing w:val="80"/>
          <w:w w:val="150"/>
        </w:rPr>
        <w:t> </w:t>
      </w:r>
      <w:r>
        <w:rPr/>
        <w:t>медицинским</w:t>
      </w:r>
      <w:r>
        <w:rPr>
          <w:spacing w:val="80"/>
          <w:w w:val="150"/>
        </w:rPr>
        <w:t> </w:t>
      </w:r>
      <w:r>
        <w:rPr/>
        <w:t>сестрам</w:t>
      </w:r>
      <w:r>
        <w:rPr>
          <w:spacing w:val="80"/>
          <w:w w:val="150"/>
        </w:rPr>
        <w:t> </w:t>
      </w:r>
      <w:r>
        <w:rPr/>
        <w:t>врачей</w:t>
      </w:r>
      <w:r>
        <w:rPr>
          <w:spacing w:val="80"/>
          <w:w w:val="150"/>
        </w:rPr>
        <w:t> </w:t>
      </w:r>
      <w:r>
        <w:rPr/>
        <w:t>общей</w:t>
      </w:r>
      <w:r>
        <w:rPr>
          <w:spacing w:val="80"/>
          <w:w w:val="150"/>
        </w:rPr>
        <w:t> </w:t>
      </w:r>
      <w:r>
        <w:rPr/>
        <w:t>практики</w:t>
      </w:r>
      <w:r>
        <w:rPr>
          <w:spacing w:val="80"/>
          <w:w w:val="150"/>
        </w:rPr>
        <w:t> </w:t>
      </w:r>
      <w:r>
        <w:rPr/>
        <w:t>(семейных</w:t>
      </w:r>
      <w:r>
        <w:rPr>
          <w:spacing w:val="80"/>
          <w:w w:val="150"/>
        </w:rPr>
        <w:t> </w:t>
      </w:r>
      <w:r>
        <w:rPr/>
        <w:t>врачей) за оказанную медицинскую помощь в амбулаторных условиях;</w:t>
      </w:r>
    </w:p>
    <w:p>
      <w:pPr>
        <w:pStyle w:val="BodyText"/>
        <w:spacing w:line="268" w:lineRule="auto"/>
        <w:ind w:left="118" w:right="110" w:firstLine="707"/>
        <w:jc w:val="both"/>
      </w:pPr>
      <w:r>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rPr>
          <w:spacing w:val="-2"/>
        </w:rPr>
        <w:t>условиях;</w:t>
      </w:r>
    </w:p>
    <w:p>
      <w:pPr>
        <w:pStyle w:val="BodyText"/>
        <w:spacing w:line="268" w:lineRule="auto"/>
        <w:ind w:left="118" w:right="117" w:firstLine="707"/>
        <w:jc w:val="both"/>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BodyText"/>
        <w:spacing w:line="268" w:lineRule="auto"/>
        <w:ind w:left="118" w:right="116" w:firstLine="707"/>
        <w:jc w:val="both"/>
      </w:pPr>
      <w:r>
        <w:rPr/>
        <w:t>врачам-специалистам</w:t>
      </w:r>
      <w:r>
        <w:rPr>
          <w:spacing w:val="80"/>
          <w:w w:val="150"/>
        </w:rPr>
        <w:t>  </w:t>
      </w:r>
      <w:r>
        <w:rPr/>
        <w:t>за</w:t>
      </w:r>
      <w:r>
        <w:rPr>
          <w:spacing w:val="80"/>
          <w:w w:val="150"/>
        </w:rPr>
        <w:t>  </w:t>
      </w:r>
      <w:r>
        <w:rPr/>
        <w:t>оказанную</w:t>
      </w:r>
      <w:r>
        <w:rPr>
          <w:spacing w:val="80"/>
          <w:w w:val="150"/>
        </w:rPr>
        <w:t>  </w:t>
      </w:r>
      <w:r>
        <w:rPr/>
        <w:t>медицинскую</w:t>
      </w:r>
      <w:r>
        <w:rPr>
          <w:spacing w:val="80"/>
          <w:w w:val="150"/>
        </w:rPr>
        <w:t>  </w:t>
      </w:r>
      <w:r>
        <w:rPr/>
        <w:t>помощь</w:t>
      </w:r>
      <w:r>
        <w:rPr>
          <w:spacing w:val="40"/>
        </w:rPr>
        <w:t> </w:t>
      </w:r>
      <w:r>
        <w:rPr/>
        <w:t>в амбулаторных условиях.</w:t>
      </w:r>
    </w:p>
    <w:p>
      <w:pPr>
        <w:pStyle w:val="BodyText"/>
        <w:spacing w:line="268" w:lineRule="auto"/>
        <w:ind w:left="118" w:right="117" w:firstLine="707"/>
        <w:jc w:val="both"/>
      </w:pPr>
      <w:r>
        <w:rPr/>
        <w:t>Примерный перечень заболеваний, состояний (групп заболеваний, состояний), при которых оказывается специализированная медицинская помощь</w:t>
      </w:r>
      <w:r>
        <w:rPr>
          <w:spacing w:val="51"/>
          <w:w w:val="150"/>
        </w:rPr>
        <w:t> </w:t>
      </w:r>
      <w:r>
        <w:rPr/>
        <w:t>(за</w:t>
      </w:r>
      <w:r>
        <w:rPr>
          <w:spacing w:val="55"/>
          <w:w w:val="150"/>
        </w:rPr>
        <w:t> </w:t>
      </w:r>
      <w:r>
        <w:rPr/>
        <w:t>исключением</w:t>
      </w:r>
      <w:r>
        <w:rPr>
          <w:spacing w:val="55"/>
          <w:w w:val="150"/>
        </w:rPr>
        <w:t> </w:t>
      </w:r>
      <w:r>
        <w:rPr/>
        <w:t>высокотехнологичной</w:t>
      </w:r>
      <w:r>
        <w:rPr>
          <w:spacing w:val="56"/>
          <w:w w:val="150"/>
        </w:rPr>
        <w:t> </w:t>
      </w:r>
      <w:r>
        <w:rPr/>
        <w:t>медицинской</w:t>
      </w:r>
      <w:r>
        <w:rPr>
          <w:spacing w:val="56"/>
          <w:w w:val="150"/>
        </w:rPr>
        <w:t> </w:t>
      </w:r>
      <w:r>
        <w:rPr>
          <w:spacing w:val="-2"/>
        </w:rPr>
        <w:t>помощи)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9"/>
        <w:jc w:val="both"/>
      </w:pPr>
      <w:r>
        <w:rPr/>
        <w:t>в</w:t>
      </w:r>
      <w:r>
        <w:rPr>
          <w:spacing w:val="-3"/>
        </w:rPr>
        <w:t> </w:t>
      </w:r>
      <w:r>
        <w:rPr/>
        <w:t>стационарных</w:t>
      </w:r>
      <w:r>
        <w:rPr>
          <w:spacing w:val="77"/>
        </w:rPr>
        <w:t> </w:t>
      </w:r>
      <w:r>
        <w:rPr/>
        <w:t>условиях</w:t>
      </w:r>
      <w:r>
        <w:rPr>
          <w:spacing w:val="76"/>
        </w:rPr>
        <w:t> </w:t>
      </w:r>
      <w:r>
        <w:rPr/>
        <w:t>и</w:t>
      </w:r>
      <w:r>
        <w:rPr>
          <w:spacing w:val="78"/>
        </w:rPr>
        <w:t> </w:t>
      </w:r>
      <w:r>
        <w:rPr/>
        <w:t>в</w:t>
      </w:r>
      <w:r>
        <w:rPr>
          <w:spacing w:val="77"/>
        </w:rPr>
        <w:t> </w:t>
      </w:r>
      <w:r>
        <w:rPr/>
        <w:t>условиях</w:t>
      </w:r>
      <w:r>
        <w:rPr>
          <w:spacing w:val="77"/>
        </w:rPr>
        <w:t> </w:t>
      </w:r>
      <w:r>
        <w:rPr/>
        <w:t>дневного</w:t>
      </w:r>
      <w:r>
        <w:rPr>
          <w:spacing w:val="79"/>
        </w:rPr>
        <w:t> </w:t>
      </w:r>
      <w:r>
        <w:rPr/>
        <w:t>стационара,</w:t>
      </w:r>
      <w:r>
        <w:rPr>
          <w:spacing w:val="75"/>
        </w:rPr>
        <w:t> </w:t>
      </w:r>
      <w:r>
        <w:rPr/>
        <w:t>приведен в приложении № 4.</w:t>
      </w:r>
    </w:p>
    <w:p>
      <w:pPr>
        <w:pStyle w:val="BodyText"/>
        <w:spacing w:line="268" w:lineRule="auto"/>
        <w:ind w:left="118" w:right="113" w:firstLine="707"/>
        <w:jc w:val="both"/>
      </w:pPr>
      <w:r>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w:t>
      </w:r>
      <w:r>
        <w:rPr>
          <w:spacing w:val="-1"/>
        </w:rPr>
        <w:t> </w:t>
      </w:r>
      <w:r>
        <w:rPr/>
        <w:t>базовой программы</w:t>
      </w:r>
      <w:r>
        <w:rPr>
          <w:spacing w:val="-1"/>
        </w:rPr>
        <w:t> </w:t>
      </w:r>
      <w:r>
        <w:rPr/>
        <w:t>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w:t>
      </w:r>
      <w:r>
        <w:rPr>
          <w:spacing w:val="80"/>
        </w:rPr>
        <w:t> </w:t>
      </w:r>
      <w:r>
        <w:rPr/>
        <w:t>диспансеризации,</w:t>
      </w:r>
      <w:r>
        <w:rPr>
          <w:spacing w:val="80"/>
        </w:rPr>
        <w:t> </w:t>
      </w:r>
      <w:r>
        <w:rPr/>
        <w:t>в</w:t>
      </w:r>
      <w:r>
        <w:rPr>
          <w:spacing w:val="80"/>
        </w:rPr>
        <w:t> </w:t>
      </w:r>
      <w:r>
        <w:rPr/>
        <w:t>том</w:t>
      </w:r>
      <w:r>
        <w:rPr>
          <w:spacing w:val="80"/>
        </w:rPr>
        <w:t> </w:t>
      </w:r>
      <w:r>
        <w:rPr/>
        <w:t>числе</w:t>
      </w:r>
      <w:r>
        <w:rPr>
          <w:spacing w:val="80"/>
        </w:rPr>
        <w:t> </w:t>
      </w:r>
      <w:r>
        <w:rPr/>
        <w:t>в</w:t>
      </w:r>
      <w:r>
        <w:rPr>
          <w:spacing w:val="80"/>
        </w:rPr>
        <w:t> </w:t>
      </w:r>
      <w:r>
        <w:rPr/>
        <w:t>вечерние</w:t>
      </w:r>
      <w:r>
        <w:rPr>
          <w:spacing w:val="80"/>
        </w:rPr>
        <w:t> </w:t>
      </w:r>
      <w:r>
        <w:rPr/>
        <w:t>часы</w:t>
      </w:r>
      <w:r>
        <w:rPr>
          <w:spacing w:val="80"/>
        </w:rPr>
        <w:t> </w:t>
      </w:r>
      <w:r>
        <w:rPr/>
        <w:t>и</w:t>
      </w:r>
      <w:r>
        <w:rPr>
          <w:spacing w:val="80"/>
        </w:rPr>
        <w:t> </w:t>
      </w:r>
      <w:r>
        <w:rPr/>
        <w:t>субботу,</w:t>
      </w:r>
      <w:r>
        <w:rPr>
          <w:spacing w:val="40"/>
        </w:rPr>
        <w:t> </w:t>
      </w:r>
      <w:r>
        <w:rPr/>
        <w:t>а также предоставляют гражданам возможность дистанционной записи на медицинские исследования.</w:t>
      </w:r>
    </w:p>
    <w:p>
      <w:pPr>
        <w:pStyle w:val="BodyText"/>
        <w:spacing w:line="268" w:lineRule="auto"/>
        <w:ind w:left="118" w:right="118" w:firstLine="707"/>
        <w:jc w:val="both"/>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BodyText"/>
        <w:spacing w:line="268" w:lineRule="auto"/>
        <w:ind w:left="118" w:right="115" w:firstLine="707"/>
        <w:jc w:val="both"/>
      </w:pPr>
      <w:r>
        <w:rPr/>
        <w:t>Органы</w:t>
      </w:r>
      <w:r>
        <w:rPr>
          <w:spacing w:val="40"/>
        </w:rPr>
        <w:t> </w:t>
      </w:r>
      <w:r>
        <w:rPr/>
        <w:t>исполнительной</w:t>
      </w:r>
      <w:r>
        <w:rPr>
          <w:spacing w:val="40"/>
        </w:rPr>
        <w:t> </w:t>
      </w:r>
      <w:r>
        <w:rPr/>
        <w:t>власти</w:t>
      </w:r>
      <w:r>
        <w:rPr>
          <w:spacing w:val="40"/>
        </w:rPr>
        <w:t> </w:t>
      </w:r>
      <w:r>
        <w:rPr/>
        <w:t>субъектов</w:t>
      </w:r>
      <w:r>
        <w:rPr>
          <w:spacing w:val="40"/>
        </w:rPr>
        <w:t> </w:t>
      </w:r>
      <w:r>
        <w:rPr/>
        <w:t>Российской</w:t>
      </w:r>
      <w:r>
        <w:rPr>
          <w:spacing w:val="40"/>
        </w:rPr>
        <w:t> </w:t>
      </w:r>
      <w:r>
        <w:rPr/>
        <w:t>Федерации</w:t>
      </w:r>
      <w:r>
        <w:rPr>
          <w:spacing w:val="80"/>
        </w:rPr>
        <w:t> </w:t>
      </w:r>
      <w:r>
        <w:rPr/>
        <w:t>в</w:t>
      </w:r>
      <w:r>
        <w:rPr>
          <w:spacing w:val="80"/>
          <w:w w:val="150"/>
        </w:rPr>
        <w:t> </w:t>
      </w:r>
      <w:r>
        <w:rPr/>
        <w:t>сфере</w:t>
      </w:r>
      <w:r>
        <w:rPr>
          <w:spacing w:val="80"/>
          <w:w w:val="150"/>
        </w:rPr>
        <w:t> </w:t>
      </w:r>
      <w:r>
        <w:rPr/>
        <w:t>охраны</w:t>
      </w:r>
      <w:r>
        <w:rPr>
          <w:spacing w:val="80"/>
          <w:w w:val="150"/>
        </w:rPr>
        <w:t> </w:t>
      </w:r>
      <w:r>
        <w:rPr/>
        <w:t>здоровья</w:t>
      </w:r>
      <w:r>
        <w:rPr>
          <w:spacing w:val="80"/>
          <w:w w:val="150"/>
        </w:rPr>
        <w:t> </w:t>
      </w:r>
      <w:r>
        <w:rPr/>
        <w:t>размещают</w:t>
      </w:r>
      <w:r>
        <w:rPr>
          <w:spacing w:val="80"/>
          <w:w w:val="150"/>
        </w:rPr>
        <w:t> </w:t>
      </w:r>
      <w:r>
        <w:rPr/>
        <w:t>на</w:t>
      </w:r>
      <w:r>
        <w:rPr>
          <w:spacing w:val="80"/>
          <w:w w:val="150"/>
        </w:rPr>
        <w:t> </w:t>
      </w:r>
      <w:r>
        <w:rPr/>
        <w:t>своих</w:t>
      </w:r>
      <w:r>
        <w:rPr>
          <w:spacing w:val="80"/>
          <w:w w:val="150"/>
        </w:rPr>
        <w:t> </w:t>
      </w:r>
      <w:r>
        <w:rPr/>
        <w:t>официальных</w:t>
      </w:r>
      <w:r>
        <w:rPr>
          <w:spacing w:val="80"/>
          <w:w w:val="150"/>
        </w:rPr>
        <w:t> </w:t>
      </w:r>
      <w:r>
        <w:rPr/>
        <w:t>сайтах в</w:t>
      </w:r>
      <w:r>
        <w:rPr>
          <w:spacing w:val="40"/>
        </w:rPr>
        <w:t> </w:t>
      </w:r>
      <w:r>
        <w:rPr/>
        <w:t>информационно-телекоммуникационной</w:t>
      </w:r>
      <w:r>
        <w:rPr>
          <w:spacing w:val="40"/>
        </w:rPr>
        <w:t> </w:t>
      </w:r>
      <w:r>
        <w:rPr/>
        <w:t>сети</w:t>
      </w:r>
      <w:r>
        <w:rPr>
          <w:spacing w:val="40"/>
        </w:rPr>
        <w:t> </w:t>
      </w:r>
      <w:r>
        <w:rPr/>
        <w:t>"Интернет"</w:t>
      </w:r>
      <w:r>
        <w:rPr>
          <w:spacing w:val="40"/>
        </w:rPr>
        <w:t> </w:t>
      </w:r>
      <w:r>
        <w:rPr/>
        <w:t>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BodyText"/>
        <w:spacing w:line="268" w:lineRule="auto"/>
        <w:ind w:left="118" w:right="115" w:firstLine="707"/>
        <w:jc w:val="both"/>
      </w:pPr>
      <w:r>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w:t>
      </w:r>
      <w:r>
        <w:rPr>
          <w:spacing w:val="40"/>
        </w:rPr>
        <w:t> </w:t>
      </w:r>
      <w:r>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BodyText"/>
        <w:spacing w:line="268" w:lineRule="auto"/>
        <w:ind w:left="118" w:right="111" w:firstLine="707"/>
        <w:jc w:val="both"/>
      </w:pPr>
      <w:r>
        <w:rPr/>
        <w:t>При реализации территориальной программы обязательного медицинского страхования применяются следующие способы оплаты медицинской</w:t>
      </w:r>
      <w:r>
        <w:rPr>
          <w:spacing w:val="80"/>
        </w:rPr>
        <w:t>   </w:t>
      </w:r>
      <w:r>
        <w:rPr/>
        <w:t>помощи,</w:t>
      </w:r>
      <w:r>
        <w:rPr>
          <w:spacing w:val="80"/>
        </w:rPr>
        <w:t>   </w:t>
      </w:r>
      <w:r>
        <w:rPr/>
        <w:t>оказываемой</w:t>
      </w:r>
      <w:r>
        <w:rPr>
          <w:spacing w:val="80"/>
        </w:rPr>
        <w:t>   </w:t>
      </w:r>
      <w:r>
        <w:rPr/>
        <w:t>застрахованным</w:t>
      </w:r>
      <w:r>
        <w:rPr>
          <w:spacing w:val="80"/>
        </w:rPr>
        <w:t>   </w:t>
      </w:r>
      <w:r>
        <w:rPr/>
        <w:t>лицам</w:t>
      </w:r>
      <w:r>
        <w:rPr>
          <w:spacing w:val="80"/>
          <w:w w:val="150"/>
        </w:rPr>
        <w:t> </w:t>
      </w:r>
      <w:r>
        <w:rPr/>
        <w:t>по обязательному медицинскому страхованию в Российской Федерации:</w:t>
      </w:r>
    </w:p>
    <w:p>
      <w:pPr>
        <w:pStyle w:val="BodyText"/>
        <w:spacing w:line="268" w:lineRule="auto"/>
        <w:ind w:left="118" w:right="120" w:firstLine="707"/>
        <w:jc w:val="both"/>
      </w:pPr>
      <w:r>
        <w:rPr/>
        <w:t>при оплате медицинской помощи, оказанной в амбулаторных </w:t>
      </w:r>
      <w:r>
        <w:rPr>
          <w:spacing w:val="-2"/>
        </w:rPr>
        <w:t>условиях:</w:t>
      </w:r>
    </w:p>
    <w:p>
      <w:pPr>
        <w:pStyle w:val="BodyText"/>
        <w:spacing w:line="268" w:lineRule="auto"/>
        <w:ind w:left="118" w:right="116" w:firstLine="707"/>
        <w:jc w:val="both"/>
      </w:pPr>
      <w:r>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w:t>
      </w:r>
      <w:r>
        <w:rPr>
          <w:spacing w:val="76"/>
        </w:rPr>
        <w:t>   </w:t>
      </w:r>
      <w:r>
        <w:rPr/>
        <w:t>системы,</w:t>
      </w:r>
      <w:r>
        <w:rPr>
          <w:spacing w:val="77"/>
        </w:rPr>
        <w:t>   </w:t>
      </w:r>
      <w:r>
        <w:rPr/>
        <w:t>эндоскопических</w:t>
      </w:r>
      <w:r>
        <w:rPr>
          <w:spacing w:val="76"/>
        </w:rPr>
        <w:t>   </w:t>
      </w:r>
      <w:r>
        <w:rPr>
          <w:spacing w:val="-2"/>
        </w:rPr>
        <w:t>диагностических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2603" w:val="left" w:leader="none"/>
          <w:tab w:pos="6622" w:val="left" w:leader="none"/>
          <w:tab w:pos="9036" w:val="left" w:leader="none"/>
        </w:tabs>
        <w:spacing w:line="268" w:lineRule="auto" w:before="89"/>
        <w:ind w:left="118" w:right="109"/>
        <w:jc w:val="both"/>
      </w:pPr>
      <w:r>
        <w:rPr>
          <w:spacing w:val="-2"/>
        </w:rPr>
        <w:t>исследований,</w:t>
      </w:r>
      <w:r>
        <w:rPr/>
        <w:tab/>
      </w:r>
      <w:r>
        <w:rPr>
          <w:spacing w:val="-2"/>
        </w:rPr>
        <w:t>молекулярно-генетических</w:t>
      </w:r>
      <w:r>
        <w:rPr/>
        <w:tab/>
      </w:r>
      <w:r>
        <w:rPr>
          <w:spacing w:val="-2"/>
        </w:rPr>
        <w:t>исследований</w:t>
      </w:r>
      <w:r>
        <w:rPr/>
        <w:tab/>
      </w:r>
      <w:r>
        <w:rPr>
          <w:spacing w:val="-10"/>
        </w:rPr>
        <w:t>и </w:t>
      </w:r>
      <w:r>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 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BodyText"/>
        <w:spacing w:line="268" w:lineRule="auto"/>
        <w:ind w:left="118" w:right="116" w:firstLine="707"/>
        <w:jc w:val="both"/>
      </w:pPr>
      <w:r>
        <w:rPr/>
        <w:t>за единицу объема медицинской помощи - за медицинскую услугу, посещение, обращение (законченный случай) при оплате:</w:t>
      </w:r>
    </w:p>
    <w:p>
      <w:pPr>
        <w:pStyle w:val="BodyText"/>
        <w:spacing w:line="268" w:lineRule="auto"/>
        <w:ind w:left="118" w:right="114" w:firstLine="707"/>
        <w:jc w:val="both"/>
      </w:pPr>
      <w:r>
        <w:rPr/>
        <w:t>медицинской помощи, оказанной застрахованным лицам за пределами субъекта Российской Федерации, на территории которого</w:t>
      </w:r>
      <w:r>
        <w:rPr>
          <w:spacing w:val="80"/>
        </w:rPr>
        <w:t> </w:t>
      </w:r>
      <w:r>
        <w:rPr/>
        <w:t>выдан полис обязательного медицинского страхования;</w:t>
      </w:r>
    </w:p>
    <w:p>
      <w:pPr>
        <w:pStyle w:val="BodyText"/>
        <w:spacing w:line="268" w:lineRule="auto"/>
        <w:ind w:left="118" w:right="120" w:firstLine="707"/>
        <w:jc w:val="both"/>
      </w:pPr>
      <w:r>
        <w:rPr/>
        <w:t>медицинской помощи, оказанной в медицинских организациях, не имеющих прикрепившихся лиц;</w:t>
      </w:r>
    </w:p>
    <w:p>
      <w:pPr>
        <w:pStyle w:val="BodyText"/>
        <w:spacing w:line="268" w:lineRule="auto"/>
        <w:ind w:left="118" w:right="112" w:firstLine="707"/>
        <w:jc w:val="both"/>
      </w:pPr>
      <w:r>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BodyText"/>
        <w:spacing w:line="268" w:lineRule="auto"/>
        <w:ind w:left="118" w:right="109" w:firstLine="707"/>
        <w:jc w:val="both"/>
      </w:pPr>
      <w:r>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BodyText"/>
        <w:spacing w:line="318" w:lineRule="exact"/>
        <w:ind w:left="826"/>
        <w:jc w:val="both"/>
      </w:pPr>
      <w:r>
        <w:rPr/>
        <w:t>углубленной</w:t>
      </w:r>
      <w:r>
        <w:rPr>
          <w:spacing w:val="-12"/>
        </w:rPr>
        <w:t> </w:t>
      </w:r>
      <w:r>
        <w:rPr>
          <w:spacing w:val="-2"/>
        </w:rPr>
        <w:t>диспансеризации;</w:t>
      </w:r>
    </w:p>
    <w:p>
      <w:pPr>
        <w:pStyle w:val="BodyText"/>
        <w:spacing w:line="268" w:lineRule="auto" w:before="24"/>
        <w:ind w:left="118" w:right="115" w:firstLine="707"/>
        <w:jc w:val="both"/>
      </w:pPr>
      <w:r>
        <w:rPr/>
        <w:t>при оплате медицинской помощи, оказанной в стационарных условиях,</w:t>
      </w:r>
      <w:r>
        <w:rPr>
          <w:spacing w:val="58"/>
          <w:w w:val="150"/>
        </w:rPr>
        <w:t>   </w:t>
      </w:r>
      <w:r>
        <w:rPr/>
        <w:t>в</w:t>
      </w:r>
      <w:r>
        <w:rPr>
          <w:spacing w:val="58"/>
          <w:w w:val="150"/>
        </w:rPr>
        <w:t>   </w:t>
      </w:r>
      <w:r>
        <w:rPr/>
        <w:t>том</w:t>
      </w:r>
      <w:r>
        <w:rPr>
          <w:spacing w:val="59"/>
          <w:w w:val="150"/>
        </w:rPr>
        <w:t>   </w:t>
      </w:r>
      <w:r>
        <w:rPr/>
        <w:t>числе</w:t>
      </w:r>
      <w:r>
        <w:rPr>
          <w:spacing w:val="58"/>
          <w:w w:val="150"/>
        </w:rPr>
        <w:t>   </w:t>
      </w:r>
      <w:r>
        <w:rPr/>
        <w:t>для</w:t>
      </w:r>
      <w:r>
        <w:rPr>
          <w:spacing w:val="58"/>
          <w:w w:val="150"/>
        </w:rPr>
        <w:t>   </w:t>
      </w:r>
      <w:r>
        <w:rPr/>
        <w:t>медицинской</w:t>
      </w:r>
      <w:r>
        <w:rPr>
          <w:spacing w:val="58"/>
          <w:w w:val="150"/>
        </w:rPr>
        <w:t>   </w:t>
      </w:r>
      <w:r>
        <w:rPr/>
        <w:t>реабилитации в специализированных медицинских организациях (структурных </w:t>
      </w:r>
      <w:r>
        <w:rPr>
          <w:spacing w:val="-2"/>
        </w:rPr>
        <w:t>подразделениях):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5" w:firstLine="707"/>
        <w:jc w:val="both"/>
      </w:pPr>
      <w:r>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BodyText"/>
        <w:spacing w:line="268" w:lineRule="auto"/>
        <w:ind w:left="118" w:right="113" w:firstLine="707"/>
        <w:jc w:val="both"/>
      </w:pPr>
      <w:r>
        <w:rPr/>
        <w:t>за</w:t>
      </w:r>
      <w:r>
        <w:rPr>
          <w:spacing w:val="-4"/>
        </w:rPr>
        <w:t> </w:t>
      </w:r>
      <w:r>
        <w:rPr/>
        <w:t>прерванный</w:t>
      </w:r>
      <w:r>
        <w:rPr>
          <w:spacing w:val="-3"/>
        </w:rPr>
        <w:t> </w:t>
      </w:r>
      <w:r>
        <w:rPr/>
        <w:t>случай</w:t>
      </w:r>
      <w:r>
        <w:rPr>
          <w:spacing w:val="-3"/>
        </w:rPr>
        <w:t> </w:t>
      </w:r>
      <w:r>
        <w:rPr/>
        <w:t>госпитализации</w:t>
      </w:r>
      <w:r>
        <w:rPr>
          <w:spacing w:val="-3"/>
        </w:rPr>
        <w:t> </w:t>
      </w:r>
      <w:r>
        <w:rPr/>
        <w:t>в случаях</w:t>
      </w:r>
      <w:r>
        <w:rPr>
          <w:spacing w:val="-3"/>
        </w:rPr>
        <w:t> </w:t>
      </w:r>
      <w:r>
        <w:rPr/>
        <w:t>прерывания</w:t>
      </w:r>
      <w:r>
        <w:rPr>
          <w:spacing w:val="-3"/>
        </w:rPr>
        <w:t> </w:t>
      </w:r>
      <w:r>
        <w:rPr/>
        <w:t>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w:t>
      </w:r>
      <w:r>
        <w:rPr>
          <w:spacing w:val="80"/>
          <w:w w:val="150"/>
        </w:rPr>
        <w:t> </w:t>
      </w:r>
      <w:r>
        <w:rPr/>
        <w:t>помощь</w:t>
      </w:r>
      <w:r>
        <w:rPr>
          <w:spacing w:val="80"/>
          <w:w w:val="150"/>
        </w:rPr>
        <w:t> </w:t>
      </w:r>
      <w:r>
        <w:rPr/>
        <w:t>по</w:t>
      </w:r>
      <w:r>
        <w:rPr>
          <w:spacing w:val="80"/>
          <w:w w:val="150"/>
        </w:rPr>
        <w:t> </w:t>
      </w:r>
      <w:r>
        <w:rPr/>
        <w:t>объективным</w:t>
      </w:r>
      <w:r>
        <w:rPr>
          <w:spacing w:val="80"/>
          <w:w w:val="150"/>
        </w:rPr>
        <w:t> </w:t>
      </w:r>
      <w:r>
        <w:rPr/>
        <w:t>причинам</w:t>
      </w:r>
      <w:r>
        <w:rPr>
          <w:spacing w:val="80"/>
          <w:w w:val="150"/>
        </w:rPr>
        <w:t> </w:t>
      </w:r>
      <w:r>
        <w:rPr/>
        <w:t>оказана</w:t>
      </w:r>
      <w:r>
        <w:rPr>
          <w:spacing w:val="80"/>
          <w:w w:val="150"/>
        </w:rPr>
        <w:t> </w:t>
      </w:r>
      <w:r>
        <w:rPr/>
        <w:t>пациенту</w:t>
      </w:r>
      <w:r>
        <w:rPr>
          <w:spacing w:val="80"/>
        </w:rPr>
        <w:t> </w:t>
      </w:r>
      <w:r>
        <w:rPr/>
        <w:t>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w:t>
      </w:r>
      <w:r>
        <w:rPr>
          <w:spacing w:val="80"/>
        </w:rPr>
        <w:t> </w:t>
      </w:r>
      <w:r>
        <w:rPr/>
        <w:t>не купируемых при проведении симптоматического лечения, перевода пациента в другую медицинскую организацию, преждевременной выписки пациента</w:t>
      </w:r>
      <w:r>
        <w:rPr>
          <w:spacing w:val="40"/>
        </w:rPr>
        <w:t> </w:t>
      </w:r>
      <w:r>
        <w:rPr/>
        <w:t>из</w:t>
      </w:r>
      <w:r>
        <w:rPr>
          <w:spacing w:val="40"/>
        </w:rPr>
        <w:t> </w:t>
      </w:r>
      <w:r>
        <w:rPr/>
        <w:t>медицинской</w:t>
      </w:r>
      <w:r>
        <w:rPr>
          <w:spacing w:val="40"/>
        </w:rPr>
        <w:t> </w:t>
      </w:r>
      <w:r>
        <w:rPr/>
        <w:t>организации</w:t>
      </w:r>
      <w:r>
        <w:rPr>
          <w:spacing w:val="40"/>
        </w:rPr>
        <w:t> </w:t>
      </w:r>
      <w:r>
        <w:rPr/>
        <w:t>в</w:t>
      </w:r>
      <w:r>
        <w:rPr>
          <w:spacing w:val="40"/>
        </w:rPr>
        <w:t> </w:t>
      </w:r>
      <w:r>
        <w:rPr/>
        <w:t>случае</w:t>
      </w:r>
      <w:r>
        <w:rPr>
          <w:spacing w:val="40"/>
        </w:rPr>
        <w:t> </w:t>
      </w:r>
      <w:r>
        <w:rPr/>
        <w:t>его</w:t>
      </w:r>
      <w:r>
        <w:rPr>
          <w:spacing w:val="40"/>
        </w:rPr>
        <w:t> </w:t>
      </w:r>
      <w:r>
        <w:rPr/>
        <w:t>письменного</w:t>
      </w:r>
      <w:r>
        <w:rPr>
          <w:spacing w:val="40"/>
        </w:rPr>
        <w:t> </w:t>
      </w:r>
      <w:r>
        <w:rPr/>
        <w:t>отказа от</w:t>
      </w:r>
      <w:r>
        <w:rPr>
          <w:spacing w:val="80"/>
        </w:rPr>
        <w:t>  </w:t>
      </w:r>
      <w:r>
        <w:rPr/>
        <w:t>дальнейшего</w:t>
      </w:r>
      <w:r>
        <w:rPr>
          <w:spacing w:val="80"/>
        </w:rPr>
        <w:t>  </w:t>
      </w:r>
      <w:r>
        <w:rPr/>
        <w:t>лечения,</w:t>
      </w:r>
      <w:r>
        <w:rPr>
          <w:spacing w:val="80"/>
        </w:rPr>
        <w:t>  </w:t>
      </w:r>
      <w:r>
        <w:rPr/>
        <w:t>летального</w:t>
      </w:r>
      <w:r>
        <w:rPr>
          <w:spacing w:val="80"/>
        </w:rPr>
        <w:t>  </w:t>
      </w:r>
      <w:r>
        <w:rPr/>
        <w:t>исхода,</w:t>
      </w:r>
      <w:r>
        <w:rPr>
          <w:spacing w:val="80"/>
        </w:rPr>
        <w:t>  </w:t>
      </w:r>
      <w:r>
        <w:rPr/>
        <w:t>выписки</w:t>
      </w:r>
      <w:r>
        <w:rPr>
          <w:spacing w:val="80"/>
        </w:rPr>
        <w:t>  </w:t>
      </w:r>
      <w:r>
        <w:rPr/>
        <w:t>пациента до истечения 3 дней (включительно) со дня госпитализации (начала лечения),</w:t>
      </w:r>
      <w:r>
        <w:rPr>
          <w:spacing w:val="40"/>
        </w:rPr>
        <w:t>  </w:t>
      </w:r>
      <w:r>
        <w:rPr/>
        <w:t>за</w:t>
      </w:r>
      <w:r>
        <w:rPr>
          <w:spacing w:val="80"/>
          <w:w w:val="150"/>
        </w:rPr>
        <w:t> </w:t>
      </w:r>
      <w:r>
        <w:rPr/>
        <w:t>исключением</w:t>
      </w:r>
      <w:r>
        <w:rPr>
          <w:spacing w:val="40"/>
        </w:rPr>
        <w:t>  </w:t>
      </w:r>
      <w:r>
        <w:rPr/>
        <w:t>случаев</w:t>
      </w:r>
      <w:r>
        <w:rPr>
          <w:spacing w:val="40"/>
        </w:rPr>
        <w:t>  </w:t>
      </w:r>
      <w:r>
        <w:rPr/>
        <w:t>оказания</w:t>
      </w:r>
      <w:r>
        <w:rPr>
          <w:spacing w:val="40"/>
        </w:rPr>
        <w:t>  </w:t>
      </w:r>
      <w:r>
        <w:rPr/>
        <w:t>медицинской</w:t>
      </w:r>
      <w:r>
        <w:rPr>
          <w:spacing w:val="40"/>
        </w:rPr>
        <w:t>  </w:t>
      </w:r>
      <w:r>
        <w:rPr/>
        <w:t>помощи по группам заболеваний, состояний, приведенных в приложении № 5;</w:t>
      </w:r>
    </w:p>
    <w:p>
      <w:pPr>
        <w:pStyle w:val="BodyText"/>
        <w:spacing w:line="268" w:lineRule="auto"/>
        <w:ind w:left="118" w:right="119" w:firstLine="707"/>
        <w:jc w:val="both"/>
      </w:pPr>
      <w:r>
        <w:rPr/>
        <w:t>при оплате медицинской помощи, оказанной в условиях дневного </w:t>
      </w:r>
      <w:r>
        <w:rPr>
          <w:spacing w:val="-2"/>
        </w:rPr>
        <w:t>стационара:</w:t>
      </w:r>
    </w:p>
    <w:p>
      <w:pPr>
        <w:pStyle w:val="BodyText"/>
        <w:spacing w:line="268" w:lineRule="auto"/>
        <w:ind w:left="118" w:right="109" w:firstLine="707"/>
        <w:jc w:val="both"/>
      </w:pPr>
      <w:r>
        <w:rPr/>
        <w:t>за случай (законченный случай) лечения заболевания, включенного</w:t>
      </w:r>
      <w:r>
        <w:rPr>
          <w:spacing w:val="80"/>
          <w:w w:val="150"/>
        </w:rPr>
        <w:t> </w:t>
      </w:r>
      <w:r>
        <w:rPr/>
        <w:t>в соответствующую группу заболеваний (в том числе клинико- статистические группы заболеваний);</w:t>
      </w:r>
    </w:p>
    <w:p>
      <w:pPr>
        <w:pStyle w:val="BodyText"/>
        <w:spacing w:line="268" w:lineRule="auto"/>
        <w:ind w:left="118" w:right="110" w:firstLine="707"/>
        <w:jc w:val="both"/>
      </w:pPr>
      <w:r>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w:t>
      </w:r>
      <w:r>
        <w:rPr>
          <w:spacing w:val="75"/>
        </w:rPr>
        <w:t>  </w:t>
      </w:r>
      <w:r>
        <w:rPr/>
        <w:t>медицинской</w:t>
      </w:r>
      <w:r>
        <w:rPr>
          <w:spacing w:val="73"/>
        </w:rPr>
        <w:t>  </w:t>
      </w:r>
      <w:r>
        <w:rPr/>
        <w:t>помощи</w:t>
      </w:r>
      <w:r>
        <w:rPr>
          <w:spacing w:val="74"/>
        </w:rPr>
        <w:t>  </w:t>
      </w:r>
      <w:r>
        <w:rPr/>
        <w:t>пациенту</w:t>
      </w:r>
      <w:r>
        <w:rPr>
          <w:spacing w:val="72"/>
        </w:rPr>
        <w:t>  </w:t>
      </w:r>
      <w:r>
        <w:rPr/>
        <w:t>с</w:t>
      </w:r>
      <w:r>
        <w:rPr>
          <w:spacing w:val="75"/>
        </w:rPr>
        <w:t>  </w:t>
      </w:r>
      <w:r>
        <w:rPr/>
        <w:t>дневного</w:t>
      </w:r>
      <w:r>
        <w:rPr>
          <w:spacing w:val="75"/>
        </w:rPr>
        <w:t>  </w:t>
      </w:r>
      <w:r>
        <w:rPr/>
        <w:t>стационара на</w:t>
      </w:r>
      <w:r>
        <w:rPr>
          <w:spacing w:val="80"/>
          <w:w w:val="150"/>
        </w:rPr>
        <w:t>  </w:t>
      </w:r>
      <w:r>
        <w:rPr/>
        <w:t>круглосуточный</w:t>
      </w:r>
      <w:r>
        <w:rPr>
          <w:spacing w:val="80"/>
          <w:w w:val="150"/>
        </w:rPr>
        <w:t>  </w:t>
      </w:r>
      <w:r>
        <w:rPr/>
        <w:t>стационар,</w:t>
      </w:r>
      <w:r>
        <w:rPr>
          <w:spacing w:val="80"/>
          <w:w w:val="150"/>
        </w:rPr>
        <w:t>  </w:t>
      </w:r>
      <w:r>
        <w:rPr/>
        <w:t>оказания</w:t>
      </w:r>
      <w:r>
        <w:rPr>
          <w:spacing w:val="80"/>
          <w:w w:val="150"/>
        </w:rPr>
        <w:t>  </w:t>
      </w:r>
      <w:r>
        <w:rPr/>
        <w:t>медицинской</w:t>
      </w:r>
      <w:r>
        <w:rPr>
          <w:spacing w:val="80"/>
          <w:w w:val="150"/>
        </w:rPr>
        <w:t>  </w:t>
      </w:r>
      <w:r>
        <w:rPr/>
        <w:t>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w:t>
      </w:r>
      <w:r>
        <w:rPr>
          <w:spacing w:val="40"/>
        </w:rPr>
        <w:t> </w:t>
      </w:r>
      <w:r>
        <w:rPr/>
        <w:t>выбранной для оплаты схемой лекарственной терапии, в том числе в</w:t>
      </w:r>
      <w:r>
        <w:rPr>
          <w:spacing w:val="40"/>
        </w:rPr>
        <w:t> </w:t>
      </w:r>
      <w:r>
        <w:rPr/>
        <w:t>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w:t>
      </w:r>
      <w:r>
        <w:rPr>
          <w:spacing w:val="48"/>
        </w:rPr>
        <w:t>  </w:t>
      </w:r>
      <w:r>
        <w:rPr/>
        <w:t>организацию,</w:t>
      </w:r>
      <w:r>
        <w:rPr>
          <w:spacing w:val="49"/>
        </w:rPr>
        <w:t>  </w:t>
      </w:r>
      <w:r>
        <w:rPr/>
        <w:t>преждевременной</w:t>
      </w:r>
      <w:r>
        <w:rPr>
          <w:spacing w:val="49"/>
        </w:rPr>
        <w:t>  </w:t>
      </w:r>
      <w:r>
        <w:rPr/>
        <w:t>выписки</w:t>
      </w:r>
      <w:r>
        <w:rPr>
          <w:spacing w:val="49"/>
        </w:rPr>
        <w:t>  </w:t>
      </w:r>
      <w:r>
        <w:rPr/>
        <w:t>пациента</w:t>
      </w:r>
      <w:r>
        <w:rPr>
          <w:spacing w:val="49"/>
        </w:rPr>
        <w:t>  </w:t>
      </w:r>
      <w:r>
        <w:rPr>
          <w:spacing w:val="-5"/>
        </w:rPr>
        <w:t>из</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9"/>
        <w:jc w:val="both"/>
      </w:pPr>
      <w:r>
        <w:rPr/>
        <w:t>медицинской организации в случае его письменного отказа от</w:t>
      </w:r>
      <w:r>
        <w:rPr>
          <w:spacing w:val="40"/>
        </w:rPr>
        <w:t> </w:t>
      </w:r>
      <w:r>
        <w:rPr/>
        <w:t>дальнейшего</w:t>
      </w:r>
      <w:r>
        <w:rPr>
          <w:spacing w:val="15"/>
        </w:rPr>
        <w:t> </w:t>
      </w:r>
      <w:r>
        <w:rPr/>
        <w:t>лечения,</w:t>
      </w:r>
      <w:r>
        <w:rPr>
          <w:spacing w:val="17"/>
        </w:rPr>
        <w:t> </w:t>
      </w:r>
      <w:r>
        <w:rPr/>
        <w:t>летального</w:t>
      </w:r>
      <w:r>
        <w:rPr>
          <w:spacing w:val="18"/>
        </w:rPr>
        <w:t> </w:t>
      </w:r>
      <w:r>
        <w:rPr/>
        <w:t>исхода,</w:t>
      </w:r>
      <w:r>
        <w:rPr>
          <w:spacing w:val="16"/>
        </w:rPr>
        <w:t> </w:t>
      </w:r>
      <w:r>
        <w:rPr/>
        <w:t>выписки</w:t>
      </w:r>
      <w:r>
        <w:rPr>
          <w:spacing w:val="16"/>
        </w:rPr>
        <w:t> </w:t>
      </w:r>
      <w:r>
        <w:rPr/>
        <w:t>пациента</w:t>
      </w:r>
      <w:r>
        <w:rPr>
          <w:spacing w:val="17"/>
        </w:rPr>
        <w:t> </w:t>
      </w:r>
      <w:r>
        <w:rPr/>
        <w:t>до</w:t>
      </w:r>
      <w:r>
        <w:rPr>
          <w:spacing w:val="18"/>
        </w:rPr>
        <w:t> </w:t>
      </w:r>
      <w:r>
        <w:rPr>
          <w:spacing w:val="-2"/>
        </w:rPr>
        <w:t>истечения</w:t>
      </w:r>
    </w:p>
    <w:p>
      <w:pPr>
        <w:pStyle w:val="BodyText"/>
        <w:spacing w:line="268" w:lineRule="auto"/>
        <w:ind w:left="118" w:right="116"/>
        <w:jc w:val="both"/>
      </w:pPr>
      <w:r>
        <w:rPr/>
        <w:t>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 5;</w:t>
      </w:r>
    </w:p>
    <w:p>
      <w:pPr>
        <w:pStyle w:val="BodyText"/>
        <w:spacing w:line="268" w:lineRule="auto"/>
        <w:ind w:left="118" w:right="112" w:firstLine="707"/>
        <w:jc w:val="both"/>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BodyText"/>
        <w:spacing w:line="320" w:lineRule="exact"/>
        <w:ind w:left="826"/>
        <w:jc w:val="both"/>
      </w:pPr>
      <w:r>
        <w:rPr/>
        <w:t>по</w:t>
      </w:r>
      <w:r>
        <w:rPr>
          <w:spacing w:val="-6"/>
        </w:rPr>
        <w:t> </w:t>
      </w:r>
      <w:r>
        <w:rPr/>
        <w:t>подушевому</w:t>
      </w:r>
      <w:r>
        <w:rPr>
          <w:spacing w:val="-6"/>
        </w:rPr>
        <w:t> </w:t>
      </w:r>
      <w:r>
        <w:rPr/>
        <w:t>нормативу</w:t>
      </w:r>
      <w:r>
        <w:rPr>
          <w:spacing w:val="-6"/>
        </w:rPr>
        <w:t> </w:t>
      </w:r>
      <w:r>
        <w:rPr>
          <w:spacing w:val="-2"/>
        </w:rPr>
        <w:t>финансирования;</w:t>
      </w:r>
    </w:p>
    <w:p>
      <w:pPr>
        <w:pStyle w:val="BodyText"/>
        <w:spacing w:line="268" w:lineRule="auto" w:before="35"/>
        <w:ind w:left="118" w:right="112" w:firstLine="707"/>
        <w:jc w:val="both"/>
      </w:pPr>
      <w:r>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BodyText"/>
        <w:spacing w:line="268" w:lineRule="auto"/>
        <w:ind w:left="118" w:right="109" w:firstLine="707"/>
        <w:jc w:val="both"/>
      </w:pPr>
      <w:r>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w:t>
      </w:r>
      <w:r>
        <w:rPr>
          <w:spacing w:val="80"/>
        </w:rPr>
        <w:t>  </w:t>
      </w:r>
      <w:r>
        <w:rPr/>
        <w:t>нормативы</w:t>
      </w:r>
      <w:r>
        <w:rPr>
          <w:spacing w:val="80"/>
        </w:rPr>
        <w:t>  </w:t>
      </w:r>
      <w:r>
        <w:rPr/>
        <w:t>финансирования</w:t>
      </w:r>
      <w:r>
        <w:rPr>
          <w:spacing w:val="80"/>
        </w:rPr>
        <w:t>  </w:t>
      </w:r>
      <w:r>
        <w:rPr/>
        <w:t>на</w:t>
      </w:r>
      <w:r>
        <w:rPr>
          <w:spacing w:val="80"/>
        </w:rPr>
        <w:t>  </w:t>
      </w:r>
      <w:r>
        <w:rPr/>
        <w:t>прикрепившихся</w:t>
      </w:r>
      <w:r>
        <w:rPr>
          <w:spacing w:val="80"/>
        </w:rPr>
        <w:t>  </w:t>
      </w:r>
      <w:r>
        <w:rPr/>
        <w:t>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w:t>
      </w:r>
      <w:r>
        <w:rPr>
          <w:spacing w:val="80"/>
          <w:w w:val="150"/>
        </w:rPr>
        <w:t>  </w:t>
      </w:r>
      <w:r>
        <w:rPr/>
        <w:t>помощи,</w:t>
      </w:r>
      <w:r>
        <w:rPr>
          <w:spacing w:val="80"/>
          <w:w w:val="150"/>
        </w:rPr>
        <w:t>  </w:t>
      </w:r>
      <w:r>
        <w:rPr/>
        <w:t>оказанной</w:t>
      </w:r>
      <w:r>
        <w:rPr>
          <w:spacing w:val="80"/>
          <w:w w:val="150"/>
        </w:rPr>
        <w:t>  </w:t>
      </w:r>
      <w:r>
        <w:rPr/>
        <w:t>в</w:t>
      </w:r>
      <w:r>
        <w:rPr>
          <w:spacing w:val="80"/>
          <w:w w:val="150"/>
        </w:rPr>
        <w:t>  </w:t>
      </w:r>
      <w:r>
        <w:rPr/>
        <w:t>амбулаторных</w:t>
      </w:r>
      <w:r>
        <w:rPr>
          <w:spacing w:val="80"/>
          <w:w w:val="150"/>
        </w:rPr>
        <w:t>  </w:t>
      </w:r>
      <w:r>
        <w:rPr/>
        <w:t>условиях</w:t>
      </w:r>
      <w:r>
        <w:rPr>
          <w:spacing w:val="80"/>
        </w:rPr>
        <w:t> </w:t>
      </w:r>
      <w:r>
        <w:rPr/>
        <w:t>(за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r>
        <w:rPr>
          <w:spacing w:val="79"/>
        </w:rPr>
        <w:t>  </w:t>
      </w:r>
      <w:r>
        <w:rPr/>
        <w:t>осуществляется</w:t>
      </w:r>
      <w:r>
        <w:rPr>
          <w:spacing w:val="79"/>
        </w:rPr>
        <w:t>  </w:t>
      </w:r>
      <w:r>
        <w:rPr/>
        <w:t>по</w:t>
      </w:r>
      <w:r>
        <w:rPr>
          <w:spacing w:val="78"/>
        </w:rPr>
        <w:t>  </w:t>
      </w:r>
      <w:r>
        <w:rPr/>
        <w:t>подушевому</w:t>
      </w:r>
      <w:r>
        <w:rPr>
          <w:spacing w:val="77"/>
        </w:rPr>
        <w:t>  </w:t>
      </w:r>
      <w:r>
        <w:rPr/>
        <w:t>нормативу</w:t>
      </w:r>
      <w:r>
        <w:rPr>
          <w:spacing w:val="77"/>
        </w:rPr>
        <w:t>  </w:t>
      </w:r>
      <w:r>
        <w:rPr/>
        <w:t>финансирования на прикрепившихся лиц, рассчитанному с учетом выделения объемов финансового обеспечения оказания медицинской помощи в амбулаторных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условиях по профилю "акушерство и гинекология" и (или) "стоматология" в отдельные подушевые нормативы финансирования на прикрепившихся лиц.</w:t>
      </w:r>
      <w:r>
        <w:rPr>
          <w:spacing w:val="40"/>
        </w:rPr>
        <w:t> </w:t>
      </w:r>
      <w:r>
        <w:rPr/>
        <w:t>В</w:t>
      </w:r>
      <w:r>
        <w:rPr>
          <w:spacing w:val="40"/>
        </w:rPr>
        <w:t> </w:t>
      </w:r>
      <w:r>
        <w:rPr/>
        <w:t>подушевые</w:t>
      </w:r>
      <w:r>
        <w:rPr>
          <w:spacing w:val="40"/>
        </w:rPr>
        <w:t> </w:t>
      </w:r>
      <w:r>
        <w:rPr/>
        <w:t>нормативы</w:t>
      </w:r>
      <w:r>
        <w:rPr>
          <w:spacing w:val="40"/>
        </w:rPr>
        <w:t> </w:t>
      </w:r>
      <w:r>
        <w:rPr/>
        <w:t>финансирования</w:t>
      </w:r>
      <w:r>
        <w:rPr>
          <w:spacing w:val="40"/>
        </w:rPr>
        <w:t> </w:t>
      </w:r>
      <w:r>
        <w:rPr/>
        <w:t>на</w:t>
      </w:r>
      <w:r>
        <w:rPr>
          <w:spacing w:val="40"/>
        </w:rPr>
        <w:t> </w:t>
      </w:r>
      <w:r>
        <w:rPr/>
        <w:t>прикрепившихся</w:t>
      </w:r>
      <w:r>
        <w:rPr>
          <w:spacing w:val="40"/>
        </w:rPr>
        <w:t> </w:t>
      </w:r>
      <w:r>
        <w:rPr/>
        <w:t>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BodyText"/>
        <w:spacing w:line="268" w:lineRule="auto"/>
        <w:ind w:left="118" w:right="113" w:firstLine="707"/>
        <w:jc w:val="both"/>
      </w:pPr>
      <w:r>
        <w:rPr/>
        <w:t>Финансовое обеспечение профилактических медицинских осмотров</w:t>
      </w:r>
      <w:r>
        <w:rPr>
          <w:spacing w:val="40"/>
        </w:rPr>
        <w:t> </w:t>
      </w:r>
      <w:r>
        <w:rPr/>
        <w:t>и</w:t>
      </w:r>
      <w:r>
        <w:rPr>
          <w:spacing w:val="40"/>
        </w:rPr>
        <w:t> </w:t>
      </w:r>
      <w:r>
        <w:rPr/>
        <w:t>диспансеризации</w:t>
      </w:r>
      <w:r>
        <w:rPr>
          <w:spacing w:val="40"/>
        </w:rPr>
        <w:t> </w:t>
      </w:r>
      <w:r>
        <w:rPr/>
        <w:t>включается</w:t>
      </w:r>
      <w:r>
        <w:rPr>
          <w:spacing w:val="40"/>
        </w:rPr>
        <w:t> </w:t>
      </w:r>
      <w:r>
        <w:rPr/>
        <w:t>в</w:t>
      </w:r>
      <w:r>
        <w:rPr>
          <w:spacing w:val="40"/>
        </w:rPr>
        <w:t> </w:t>
      </w:r>
      <w:r>
        <w:rPr/>
        <w:t>подушевой</w:t>
      </w:r>
      <w:r>
        <w:rPr>
          <w:spacing w:val="40"/>
        </w:rPr>
        <w:t> </w:t>
      </w:r>
      <w:r>
        <w:rPr/>
        <w:t>норматив</w:t>
      </w:r>
      <w:r>
        <w:rPr>
          <w:spacing w:val="40"/>
        </w:rPr>
        <w:t> </w:t>
      </w:r>
      <w:r>
        <w:rPr/>
        <w:t>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w:t>
      </w:r>
      <w:r>
        <w:rPr>
          <w:spacing w:val="40"/>
        </w:rPr>
        <w:t> </w:t>
      </w:r>
      <w:r>
        <w:rPr/>
        <w:t>в соответствии с Федеральным законом "Об основах охраны здоровья граждан в Российской Федерации".</w:t>
      </w:r>
    </w:p>
    <w:p>
      <w:pPr>
        <w:pStyle w:val="BodyText"/>
        <w:tabs>
          <w:tab w:pos="3061" w:val="left" w:leader="none"/>
          <w:tab w:pos="7536" w:val="left" w:leader="none"/>
        </w:tabs>
        <w:spacing w:line="268" w:lineRule="auto"/>
        <w:ind w:left="118" w:right="111" w:firstLine="707"/>
        <w:jc w:val="both"/>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w:t>
      </w:r>
      <w:r>
        <w:rPr>
          <w:spacing w:val="80"/>
        </w:rPr>
        <w:t>   </w:t>
      </w:r>
      <w:r>
        <w:rPr/>
        <w:t>оплаты</w:t>
      </w:r>
      <w:r>
        <w:rPr>
          <w:spacing w:val="80"/>
        </w:rPr>
        <w:t>   </w:t>
      </w:r>
      <w:r>
        <w:rPr/>
        <w:t>по</w:t>
      </w:r>
      <w:r>
        <w:rPr>
          <w:spacing w:val="80"/>
        </w:rPr>
        <w:t>   </w:t>
      </w:r>
      <w:r>
        <w:rPr/>
        <w:t>подушевому</w:t>
      </w:r>
      <w:r>
        <w:rPr>
          <w:spacing w:val="80"/>
        </w:rPr>
        <w:t>   </w:t>
      </w:r>
      <w:r>
        <w:rPr/>
        <w:t>нормативу</w:t>
      </w:r>
      <w:r>
        <w:rPr>
          <w:spacing w:val="80"/>
        </w:rPr>
        <w:t>   </w:t>
      </w:r>
      <w:r>
        <w:rPr/>
        <w:t>финансирования на прикрепившихся к такой медицинской организации лиц, включая</w:t>
      </w:r>
      <w:r>
        <w:rPr>
          <w:spacing w:val="40"/>
        </w:rPr>
        <w:t> </w:t>
      </w:r>
      <w:r>
        <w:rPr/>
        <w:t>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w:t>
      </w:r>
      <w:r>
        <w:rPr>
          <w:spacing w:val="40"/>
        </w:rPr>
        <w:t> </w:t>
      </w:r>
      <w:r>
        <w:rPr/>
        <w:t>на финансовое обеспечение медицинской помощи в амбулаторных условиях</w:t>
      </w:r>
      <w:r>
        <w:rPr>
          <w:spacing w:val="-2"/>
        </w:rPr>
        <w:t> </w:t>
      </w:r>
      <w:r>
        <w:rPr/>
        <w:t>исключаются</w:t>
      </w:r>
      <w:r>
        <w:rPr>
          <w:spacing w:val="-2"/>
        </w:rPr>
        <w:t> </w:t>
      </w:r>
      <w:r>
        <w:rPr/>
        <w:t>расходы</w:t>
      </w:r>
      <w:r>
        <w:rPr>
          <w:spacing w:val="-2"/>
        </w:rPr>
        <w:t> </w:t>
      </w:r>
      <w:r>
        <w:rPr/>
        <w:t>на</w:t>
      </w:r>
      <w:r>
        <w:rPr>
          <w:spacing w:val="-2"/>
        </w:rPr>
        <w:t> </w:t>
      </w:r>
      <w:r>
        <w:rPr/>
        <w:t>проведение</w:t>
      </w:r>
      <w:r>
        <w:rPr>
          <w:spacing w:val="-3"/>
        </w:rPr>
        <w:t> </w:t>
      </w:r>
      <w:r>
        <w:rPr/>
        <w:t>компьютерной</w:t>
      </w:r>
      <w:r>
        <w:rPr>
          <w:spacing w:val="-2"/>
        </w:rPr>
        <w:t> </w:t>
      </w:r>
      <w:r>
        <w:rPr/>
        <w:t>томографии, магнитно-резонансной томографии, ультразвукового исследования сердечно-сосудистой системы, эндоскопических диагностических </w:t>
      </w:r>
      <w:r>
        <w:rPr>
          <w:spacing w:val="-2"/>
        </w:rPr>
        <w:t>исследований,</w:t>
      </w:r>
      <w:r>
        <w:rPr/>
        <w:tab/>
      </w:r>
      <w:r>
        <w:rPr>
          <w:spacing w:val="-2"/>
        </w:rPr>
        <w:t>молекулярно-генетических</w:t>
      </w:r>
      <w:r>
        <w:rPr/>
        <w:tab/>
      </w:r>
      <w:r>
        <w:rPr>
          <w:spacing w:val="-2"/>
        </w:rPr>
        <w:t>исследований </w:t>
      </w:r>
      <w:r>
        <w:rPr/>
        <w:t>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w:t>
      </w:r>
      <w:r>
        <w:rPr>
          <w:spacing w:val="-2"/>
        </w:rPr>
        <w:t>пунктов.</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firstLine="707"/>
        <w:jc w:val="both"/>
      </w:pPr>
      <w:r>
        <w:rPr/>
        <w:t>Подушевой норматив финансирования на прикрепившихся лиц включает</w:t>
      </w:r>
      <w:r>
        <w:rPr>
          <w:spacing w:val="40"/>
        </w:rPr>
        <w:t>  </w:t>
      </w:r>
      <w:r>
        <w:rPr/>
        <w:t>в</w:t>
      </w:r>
      <w:r>
        <w:rPr>
          <w:spacing w:val="39"/>
        </w:rPr>
        <w:t>  </w:t>
      </w:r>
      <w:r>
        <w:rPr/>
        <w:t>том</w:t>
      </w:r>
      <w:r>
        <w:rPr>
          <w:spacing w:val="39"/>
        </w:rPr>
        <w:t>  </w:t>
      </w:r>
      <w:r>
        <w:rPr/>
        <w:t>числе</w:t>
      </w:r>
      <w:r>
        <w:rPr>
          <w:spacing w:val="39"/>
        </w:rPr>
        <w:t>  </w:t>
      </w:r>
      <w:r>
        <w:rPr/>
        <w:t>расходы</w:t>
      </w:r>
      <w:r>
        <w:rPr>
          <w:spacing w:val="39"/>
        </w:rPr>
        <w:t>  </w:t>
      </w:r>
      <w:r>
        <w:rPr/>
        <w:t>на</w:t>
      </w:r>
      <w:r>
        <w:rPr>
          <w:spacing w:val="38"/>
        </w:rPr>
        <w:t>  </w:t>
      </w:r>
      <w:r>
        <w:rPr/>
        <w:t>оказание</w:t>
      </w:r>
      <w:r>
        <w:rPr>
          <w:spacing w:val="40"/>
        </w:rPr>
        <w:t>  </w:t>
      </w:r>
      <w:r>
        <w:rPr/>
        <w:t>медицинской</w:t>
      </w:r>
      <w:r>
        <w:rPr>
          <w:spacing w:val="40"/>
        </w:rPr>
        <w:t>  </w:t>
      </w:r>
      <w:r>
        <w:rPr/>
        <w:t>помощи с применением телемедицинских технологий.</w:t>
      </w:r>
    </w:p>
    <w:p>
      <w:pPr>
        <w:pStyle w:val="BodyText"/>
        <w:spacing w:line="268" w:lineRule="auto"/>
        <w:ind w:left="118" w:right="109" w:firstLine="707"/>
        <w:jc w:val="both"/>
      </w:pPr>
      <w:r>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w:t>
      </w:r>
      <w:r>
        <w:rPr>
          <w:spacing w:val="80"/>
        </w:rPr>
        <w:t>  </w:t>
      </w:r>
      <w:r>
        <w:rPr/>
        <w:t>лицензии</w:t>
      </w:r>
      <w:r>
        <w:rPr>
          <w:spacing w:val="80"/>
        </w:rPr>
        <w:t>  </w:t>
      </w:r>
      <w:r>
        <w:rPr/>
        <w:t>на</w:t>
      </w:r>
      <w:r>
        <w:rPr>
          <w:spacing w:val="80"/>
        </w:rPr>
        <w:t>  </w:t>
      </w:r>
      <w:r>
        <w:rPr/>
        <w:t>медицинскую</w:t>
      </w:r>
      <w:r>
        <w:rPr>
          <w:spacing w:val="80"/>
        </w:rPr>
        <w:t>  </w:t>
      </w:r>
      <w:r>
        <w:rPr/>
        <w:t>деятельность</w:t>
      </w:r>
      <w:r>
        <w:rPr>
          <w:spacing w:val="80"/>
        </w:rPr>
        <w:t>  </w:t>
      </w:r>
      <w:r>
        <w:rPr/>
        <w:t>указания</w:t>
      </w:r>
      <w:r>
        <w:rPr>
          <w:spacing w:val="80"/>
          <w:w w:val="150"/>
        </w:rPr>
        <w:t> </w:t>
      </w:r>
      <w:r>
        <w:rPr/>
        <w:t>на соответствующие работы (услуги).</w:t>
      </w:r>
    </w:p>
    <w:p>
      <w:pPr>
        <w:pStyle w:val="BodyText"/>
        <w:spacing w:line="268" w:lineRule="auto"/>
        <w:ind w:left="118" w:right="109" w:firstLine="707"/>
        <w:jc w:val="both"/>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осуществляется лечащим</w:t>
      </w:r>
      <w:r>
        <w:rPr>
          <w:spacing w:val="40"/>
        </w:rPr>
        <w:t> </w:t>
      </w:r>
      <w:r>
        <w:rPr/>
        <w:t>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BodyText"/>
        <w:spacing w:line="268" w:lineRule="auto"/>
        <w:ind w:left="118" w:right="113" w:firstLine="707"/>
        <w:jc w:val="both"/>
      </w:pPr>
      <w:r>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BodyText"/>
        <w:spacing w:line="268" w:lineRule="auto"/>
        <w:ind w:left="118" w:right="115" w:firstLine="707"/>
        <w:jc w:val="both"/>
      </w:pPr>
      <w:r>
        <w:rPr/>
        <w:t>наличия у застрахованных граждан признаков острого простудного заболевания</w:t>
      </w:r>
      <w:r>
        <w:rPr>
          <w:spacing w:val="80"/>
        </w:rPr>
        <w:t>   </w:t>
      </w:r>
      <w:r>
        <w:rPr/>
        <w:t>неясной</w:t>
      </w:r>
      <w:r>
        <w:rPr>
          <w:spacing w:val="80"/>
        </w:rPr>
        <w:t>   </w:t>
      </w:r>
      <w:r>
        <w:rPr/>
        <w:t>этиологии</w:t>
      </w:r>
      <w:r>
        <w:rPr>
          <w:spacing w:val="80"/>
        </w:rPr>
        <w:t>   </w:t>
      </w:r>
      <w:r>
        <w:rPr/>
        <w:t>при</w:t>
      </w:r>
      <w:r>
        <w:rPr>
          <w:spacing w:val="80"/>
        </w:rPr>
        <w:t>   </w:t>
      </w:r>
      <w:r>
        <w:rPr/>
        <w:t>появлении</w:t>
      </w:r>
      <w:r>
        <w:rPr>
          <w:spacing w:val="80"/>
        </w:rPr>
        <w:t>   </w:t>
      </w:r>
      <w:r>
        <w:rPr/>
        <w:t>симптомов, не исключающих наличие новой коронавирусной инфекции (COVID-19);</w:t>
      </w:r>
    </w:p>
    <w:p>
      <w:pPr>
        <w:pStyle w:val="BodyText"/>
        <w:spacing w:line="268" w:lineRule="auto"/>
        <w:ind w:left="118" w:right="121" w:firstLine="707"/>
        <w:jc w:val="both"/>
      </w:pPr>
      <w:r>
        <w:rPr/>
        <w:t>наличия у застрахованных граждан новой коронавирусной инфекции (COVID-19), в том числе для оценки результатов проводимого лечения;</w:t>
      </w:r>
    </w:p>
    <w:p>
      <w:pPr>
        <w:pStyle w:val="BodyText"/>
        <w:spacing w:line="268" w:lineRule="auto"/>
        <w:ind w:left="118" w:right="111" w:firstLine="707"/>
        <w:jc w:val="both"/>
      </w:pPr>
      <w:r>
        <w:rPr/>
        <w:t>положительного результата исследования на выявление возбудителя новой</w:t>
      </w:r>
      <w:r>
        <w:rPr>
          <w:spacing w:val="80"/>
        </w:rPr>
        <w:t>   </w:t>
      </w:r>
      <w:r>
        <w:rPr/>
        <w:t>коронавирусной</w:t>
      </w:r>
      <w:r>
        <w:rPr>
          <w:spacing w:val="80"/>
        </w:rPr>
        <w:t>   </w:t>
      </w:r>
      <w:r>
        <w:rPr/>
        <w:t>инфекцией</w:t>
      </w:r>
      <w:r>
        <w:rPr>
          <w:spacing w:val="80"/>
        </w:rPr>
        <w:t>   </w:t>
      </w:r>
      <w:r>
        <w:rPr/>
        <w:t>(COVID-19),</w:t>
      </w:r>
      <w:r>
        <w:rPr>
          <w:spacing w:val="80"/>
        </w:rPr>
        <w:t>   </w:t>
      </w:r>
      <w:r>
        <w:rPr/>
        <w:t>полученного</w:t>
      </w:r>
      <w:r>
        <w:rPr>
          <w:spacing w:val="80"/>
          <w:w w:val="150"/>
        </w:rPr>
        <w:t> </w:t>
      </w:r>
      <w:r>
        <w:rPr/>
        <w:t>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w:t>
      </w:r>
      <w:r>
        <w:rPr>
          <w:spacing w:val="-2"/>
        </w:rPr>
        <w:t>(COVID-19).</w:t>
      </w:r>
    </w:p>
    <w:p>
      <w:pPr>
        <w:pStyle w:val="BodyText"/>
        <w:spacing w:line="268" w:lineRule="auto"/>
        <w:ind w:left="118" w:right="110" w:firstLine="707"/>
        <w:jc w:val="both"/>
      </w:pPr>
      <w:r>
        <w:rPr/>
        <w:t>Порядок</w:t>
      </w:r>
      <w:r>
        <w:rPr>
          <w:spacing w:val="80"/>
          <w:w w:val="150"/>
        </w:rPr>
        <w:t> </w:t>
      </w:r>
      <w:r>
        <w:rPr/>
        <w:t>установления</w:t>
      </w:r>
      <w:r>
        <w:rPr>
          <w:spacing w:val="80"/>
          <w:w w:val="150"/>
        </w:rPr>
        <w:t> </w:t>
      </w:r>
      <w:r>
        <w:rPr/>
        <w:t>тарифов</w:t>
      </w:r>
      <w:r>
        <w:rPr>
          <w:spacing w:val="80"/>
          <w:w w:val="150"/>
        </w:rPr>
        <w:t> </w:t>
      </w:r>
      <w:r>
        <w:rPr/>
        <w:t>на</w:t>
      </w:r>
      <w:r>
        <w:rPr>
          <w:spacing w:val="80"/>
          <w:w w:val="150"/>
        </w:rPr>
        <w:t> </w:t>
      </w:r>
      <w:r>
        <w:rPr/>
        <w:t>оплату</w:t>
      </w:r>
      <w:r>
        <w:rPr>
          <w:spacing w:val="80"/>
          <w:w w:val="150"/>
        </w:rPr>
        <w:t> </w:t>
      </w:r>
      <w:r>
        <w:rPr/>
        <w:t>специализированной, в том числе высокотехнологичной, медицинской помощи, оказываемой медицинскими</w:t>
      </w:r>
      <w:r>
        <w:rPr>
          <w:spacing w:val="40"/>
        </w:rPr>
        <w:t>  </w:t>
      </w:r>
      <w:r>
        <w:rPr/>
        <w:t>организациями,</w:t>
      </w:r>
      <w:r>
        <w:rPr>
          <w:spacing w:val="40"/>
        </w:rPr>
        <w:t>  </w:t>
      </w:r>
      <w:r>
        <w:rPr/>
        <w:t>функции</w:t>
      </w:r>
      <w:r>
        <w:rPr>
          <w:spacing w:val="40"/>
        </w:rPr>
        <w:t>  </w:t>
      </w:r>
      <w:r>
        <w:rPr/>
        <w:t>и</w:t>
      </w:r>
      <w:r>
        <w:rPr>
          <w:spacing w:val="40"/>
        </w:rPr>
        <w:t>  </w:t>
      </w:r>
      <w:r>
        <w:rPr/>
        <w:t>полномочия</w:t>
      </w:r>
      <w:r>
        <w:rPr>
          <w:spacing w:val="40"/>
        </w:rPr>
        <w:t>  </w:t>
      </w:r>
      <w:r>
        <w:rPr/>
        <w:t>учредителей в отношении которых осуществляют Правительство Российской Федерации</w:t>
      </w:r>
      <w:r>
        <w:rPr>
          <w:spacing w:val="80"/>
          <w:w w:val="150"/>
        </w:rPr>
        <w:t>  </w:t>
      </w:r>
      <w:r>
        <w:rPr/>
        <w:t>или</w:t>
      </w:r>
      <w:r>
        <w:rPr>
          <w:spacing w:val="80"/>
          <w:w w:val="150"/>
        </w:rPr>
        <w:t>  </w:t>
      </w:r>
      <w:r>
        <w:rPr/>
        <w:t>федеральные</w:t>
      </w:r>
      <w:r>
        <w:rPr>
          <w:spacing w:val="80"/>
          <w:w w:val="150"/>
        </w:rPr>
        <w:t>  </w:t>
      </w:r>
      <w:r>
        <w:rPr/>
        <w:t>органы</w:t>
      </w:r>
      <w:r>
        <w:rPr>
          <w:spacing w:val="80"/>
          <w:w w:val="150"/>
        </w:rPr>
        <w:t>  </w:t>
      </w:r>
      <w:r>
        <w:rPr/>
        <w:t>исполнительной</w:t>
      </w:r>
      <w:r>
        <w:rPr>
          <w:spacing w:val="80"/>
          <w:w w:val="150"/>
        </w:rPr>
        <w:t>  </w:t>
      </w:r>
      <w:r>
        <w:rPr/>
        <w:t>власти,</w:t>
      </w:r>
      <w:r>
        <w:rPr>
          <w:spacing w:val="80"/>
        </w:rPr>
        <w:t> </w:t>
      </w:r>
      <w:r>
        <w:rPr/>
        <w:t>в соответствии с едиными требованиями базовой программы</w:t>
      </w:r>
      <w:r>
        <w:rPr>
          <w:spacing w:val="40"/>
        </w:rPr>
        <w:t> </w:t>
      </w:r>
      <w:r>
        <w:rPr/>
        <w:t>обязательного медицинского страхования предусматривается</w:t>
      </w:r>
      <w:r>
        <w:rPr>
          <w:spacing w:val="40"/>
        </w:rPr>
        <w:t> </w:t>
      </w:r>
      <w:r>
        <w:rPr/>
        <w:t>приложением № 3 к Программе.</w:t>
      </w:r>
    </w:p>
    <w:p>
      <w:pPr>
        <w:pStyle w:val="BodyText"/>
        <w:spacing w:line="268" w:lineRule="auto"/>
        <w:ind w:left="118" w:right="112" w:firstLine="707"/>
        <w:jc w:val="both"/>
      </w:pPr>
      <w:r>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w:t>
      </w:r>
      <w:r>
        <w:rPr>
          <w:spacing w:val="80"/>
        </w:rPr>
        <w:t> </w:t>
      </w:r>
      <w:r>
        <w:rPr/>
        <w:t>и</w:t>
      </w:r>
      <w:r>
        <w:rPr>
          <w:spacing w:val="80"/>
        </w:rPr>
        <w:t> </w:t>
      </w:r>
      <w:r>
        <w:rPr/>
        <w:t>трансплантации</w:t>
      </w:r>
      <w:r>
        <w:rPr>
          <w:spacing w:val="80"/>
        </w:rPr>
        <w:t> </w:t>
      </w:r>
      <w:r>
        <w:rPr/>
        <w:t>органов,</w:t>
      </w:r>
      <w:r>
        <w:rPr>
          <w:spacing w:val="80"/>
        </w:rPr>
        <w:t> </w:t>
      </w:r>
      <w:r>
        <w:rPr/>
        <w:t>по</w:t>
      </w:r>
      <w:r>
        <w:rPr>
          <w:spacing w:val="80"/>
        </w:rPr>
        <w:t> </w:t>
      </w:r>
      <w:r>
        <w:rPr/>
        <w:t>перечню</w:t>
      </w:r>
      <w:r>
        <w:rPr>
          <w:spacing w:val="80"/>
        </w:rPr>
        <w:t> </w:t>
      </w:r>
      <w:r>
        <w:rPr/>
        <w:t>согласно</w:t>
      </w:r>
      <w:r>
        <w:rPr>
          <w:spacing w:val="40"/>
        </w:rPr>
        <w:t> </w:t>
      </w:r>
      <w:r>
        <w:rPr/>
        <w:t>приложению № 6.</w:t>
      </w:r>
    </w:p>
    <w:p>
      <w:pPr>
        <w:pStyle w:val="BodyText"/>
        <w:spacing w:line="268" w:lineRule="auto"/>
        <w:ind w:left="118" w:right="109" w:firstLine="707"/>
        <w:jc w:val="both"/>
      </w:pPr>
      <w:r>
        <w:rPr/>
        <w:t>Федеральная медицинская организация вправе оказывать первичную медико-санитарную помощь и скорую, в том числе скорую специализированную,</w:t>
      </w:r>
      <w:r>
        <w:rPr>
          <w:spacing w:val="69"/>
          <w:w w:val="150"/>
        </w:rPr>
        <w:t>   </w:t>
      </w:r>
      <w:r>
        <w:rPr/>
        <w:t>медицинскую</w:t>
      </w:r>
      <w:r>
        <w:rPr>
          <w:spacing w:val="69"/>
          <w:w w:val="150"/>
        </w:rPr>
        <w:t>   </w:t>
      </w:r>
      <w:r>
        <w:rPr/>
        <w:t>помощь</w:t>
      </w:r>
      <w:r>
        <w:rPr>
          <w:spacing w:val="69"/>
          <w:w w:val="150"/>
        </w:rPr>
        <w:t>   </w:t>
      </w:r>
      <w:r>
        <w:rPr/>
        <w:t>в</w:t>
      </w:r>
      <w:r>
        <w:rPr>
          <w:spacing w:val="69"/>
          <w:w w:val="150"/>
        </w:rPr>
        <w:t>   </w:t>
      </w:r>
      <w:r>
        <w:rPr/>
        <w:t>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w:t>
      </w:r>
      <w:r>
        <w:rPr>
          <w:spacing w:val="80"/>
        </w:rPr>
        <w:t> </w:t>
      </w:r>
      <w:r>
        <w:rPr/>
        <w:t>медицинской</w:t>
      </w:r>
      <w:r>
        <w:rPr>
          <w:spacing w:val="80"/>
        </w:rPr>
        <w:t> </w:t>
      </w:r>
      <w:r>
        <w:rPr/>
        <w:t>помощи</w:t>
      </w:r>
      <w:r>
        <w:rPr>
          <w:spacing w:val="80"/>
        </w:rPr>
        <w:t> </w:t>
      </w:r>
      <w:r>
        <w:rPr/>
        <w:t>в</w:t>
      </w:r>
      <w:r>
        <w:rPr>
          <w:spacing w:val="80"/>
        </w:rPr>
        <w:t> </w:t>
      </w:r>
      <w:r>
        <w:rPr/>
        <w:t>соответствии</w:t>
      </w:r>
      <w:r>
        <w:rPr>
          <w:spacing w:val="80"/>
        </w:rPr>
        <w:t> </w:t>
      </w:r>
      <w:r>
        <w:rPr/>
        <w:t>с</w:t>
      </w:r>
      <w:r>
        <w:rPr>
          <w:spacing w:val="80"/>
        </w:rPr>
        <w:t> </w:t>
      </w:r>
      <w:r>
        <w:rPr/>
        <w:t>частью 10 статьи</w:t>
      </w:r>
      <w:r>
        <w:rPr>
          <w:spacing w:val="-1"/>
        </w:rPr>
        <w:t> </w:t>
      </w:r>
      <w:r>
        <w:rPr/>
        <w:t>36 Федерального закона "Об обязательном медицинском страховании в Российской Федерации".</w:t>
      </w:r>
    </w:p>
    <w:p>
      <w:pPr>
        <w:pStyle w:val="BodyText"/>
        <w:spacing w:line="268" w:lineRule="auto"/>
        <w:ind w:left="118" w:right="114" w:firstLine="707"/>
        <w:jc w:val="both"/>
      </w:pPr>
      <w:r>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w:t>
      </w:r>
      <w:r>
        <w:rPr>
          <w:spacing w:val="50"/>
        </w:rPr>
        <w:t> </w:t>
      </w:r>
      <w:r>
        <w:rPr/>
        <w:t>и</w:t>
      </w:r>
      <w:r>
        <w:rPr>
          <w:spacing w:val="47"/>
        </w:rPr>
        <w:t> </w:t>
      </w:r>
      <w:r>
        <w:rPr/>
        <w:t>оплачивается</w:t>
      </w:r>
      <w:r>
        <w:rPr>
          <w:spacing w:val="50"/>
        </w:rPr>
        <w:t> </w:t>
      </w:r>
      <w:r>
        <w:rPr/>
        <w:t>по</w:t>
      </w:r>
      <w:r>
        <w:rPr>
          <w:spacing w:val="50"/>
        </w:rPr>
        <w:t> </w:t>
      </w:r>
      <w:r>
        <w:rPr/>
        <w:t>тарифам</w:t>
      </w:r>
      <w:r>
        <w:rPr>
          <w:spacing w:val="49"/>
        </w:rPr>
        <w:t> </w:t>
      </w:r>
      <w:r>
        <w:rPr/>
        <w:t>в</w:t>
      </w:r>
      <w:r>
        <w:rPr>
          <w:spacing w:val="49"/>
        </w:rPr>
        <w:t> </w:t>
      </w:r>
      <w:r>
        <w:rPr/>
        <w:t>соответствии</w:t>
      </w:r>
      <w:r>
        <w:rPr>
          <w:spacing w:val="49"/>
        </w:rPr>
        <w:t> </w:t>
      </w:r>
      <w:r>
        <w:rPr/>
        <w:t>с</w:t>
      </w:r>
      <w:r>
        <w:rPr>
          <w:spacing w:val="48"/>
        </w:rPr>
        <w:t> </w:t>
      </w:r>
      <w:r>
        <w:rPr>
          <w:spacing w:val="-2"/>
        </w:rPr>
        <w:t>порядком,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приведенным в приложении №</w:t>
      </w:r>
      <w:r>
        <w:rPr>
          <w:spacing w:val="-1"/>
        </w:rPr>
        <w:t> </w:t>
      </w:r>
      <w:r>
        <w:rPr/>
        <w:t>3 к Программе, и примерным перечнем, приведенным в приложении № 4 к Программе.</w:t>
      </w:r>
    </w:p>
    <w:p>
      <w:pPr>
        <w:pStyle w:val="BodyText"/>
        <w:spacing w:line="268" w:lineRule="auto"/>
        <w:ind w:left="118" w:right="115" w:firstLine="707"/>
        <w:jc w:val="both"/>
      </w:pPr>
      <w:r>
        <w:rPr/>
        <w:t>В случае выявления у пациента, которому оказывается специализированная медицинская помощь в федеральной медицинской организации,</w:t>
      </w:r>
      <w:r>
        <w:rPr>
          <w:spacing w:val="80"/>
        </w:rPr>
        <w:t>   </w:t>
      </w:r>
      <w:r>
        <w:rPr/>
        <w:t>иного</w:t>
      </w:r>
      <w:r>
        <w:rPr>
          <w:spacing w:val="80"/>
        </w:rPr>
        <w:t>   </w:t>
      </w:r>
      <w:r>
        <w:rPr/>
        <w:t>заболевания</w:t>
      </w:r>
      <w:r>
        <w:rPr>
          <w:spacing w:val="80"/>
        </w:rPr>
        <w:t>   </w:t>
      </w:r>
      <w:r>
        <w:rPr/>
        <w:t>в</w:t>
      </w:r>
      <w:r>
        <w:rPr>
          <w:spacing w:val="80"/>
        </w:rPr>
        <w:t>   </w:t>
      </w:r>
      <w:r>
        <w:rPr/>
        <w:t>стадии</w:t>
      </w:r>
      <w:r>
        <w:rPr>
          <w:spacing w:val="80"/>
        </w:rPr>
        <w:t>   </w:t>
      </w:r>
      <w:r>
        <w:rPr/>
        <w:t>декомпенсации, не</w:t>
      </w:r>
      <w:r>
        <w:rPr>
          <w:spacing w:val="40"/>
        </w:rPr>
        <w:t> </w:t>
      </w:r>
      <w:r>
        <w:rPr/>
        <w:t>позволяющего</w:t>
      </w:r>
      <w:r>
        <w:rPr>
          <w:spacing w:val="40"/>
        </w:rPr>
        <w:t> </w:t>
      </w:r>
      <w:r>
        <w:rPr/>
        <w:t>оказать</w:t>
      </w:r>
      <w:r>
        <w:rPr>
          <w:spacing w:val="40"/>
        </w:rPr>
        <w:t> </w:t>
      </w:r>
      <w:r>
        <w:rPr/>
        <w:t>ему</w:t>
      </w:r>
      <w:r>
        <w:rPr>
          <w:spacing w:val="40"/>
        </w:rPr>
        <w:t> </w:t>
      </w:r>
      <w:r>
        <w:rPr/>
        <w:t>медицинскую</w:t>
      </w:r>
      <w:r>
        <w:rPr>
          <w:spacing w:val="40"/>
        </w:rPr>
        <w:t> </w:t>
      </w:r>
      <w:r>
        <w:rPr/>
        <w:t>помощь</w:t>
      </w:r>
      <w:r>
        <w:rPr>
          <w:spacing w:val="40"/>
        </w:rPr>
        <w:t> </w:t>
      </w:r>
      <w:r>
        <w:rPr/>
        <w:t>в</w:t>
      </w:r>
      <w:r>
        <w:rPr>
          <w:spacing w:val="40"/>
        </w:rPr>
        <w:t> </w:t>
      </w:r>
      <w:r>
        <w:rPr/>
        <w:t>плановой</w:t>
      </w:r>
      <w:r>
        <w:rPr>
          <w:spacing w:val="40"/>
        </w:rPr>
        <w:t> </w:t>
      </w:r>
      <w:r>
        <w:rPr/>
        <w:t>форме</w:t>
      </w:r>
      <w:r>
        <w:rPr>
          <w:spacing w:val="80"/>
        </w:rPr>
        <w:t> </w:t>
      </w:r>
      <w:r>
        <w:rPr/>
        <w:t>в этой федеральной медицинской организации, или заболевания, требующего медицинского наблюдения в условиях круглосуточного стационара,</w:t>
      </w:r>
      <w:r>
        <w:rPr>
          <w:spacing w:val="69"/>
        </w:rPr>
        <w:t>  </w:t>
      </w:r>
      <w:r>
        <w:rPr/>
        <w:t>не</w:t>
      </w:r>
      <w:r>
        <w:rPr>
          <w:spacing w:val="69"/>
        </w:rPr>
        <w:t>  </w:t>
      </w:r>
      <w:r>
        <w:rPr/>
        <w:t>позволяющего</w:t>
      </w:r>
      <w:r>
        <w:rPr>
          <w:spacing w:val="68"/>
        </w:rPr>
        <w:t>  </w:t>
      </w:r>
      <w:r>
        <w:rPr/>
        <w:t>оказать</w:t>
      </w:r>
      <w:r>
        <w:rPr>
          <w:spacing w:val="68"/>
        </w:rPr>
        <w:t>  </w:t>
      </w:r>
      <w:r>
        <w:rPr/>
        <w:t>ему</w:t>
      </w:r>
      <w:r>
        <w:rPr>
          <w:spacing w:val="67"/>
        </w:rPr>
        <w:t>  </w:t>
      </w:r>
      <w:r>
        <w:rPr/>
        <w:t>медицинскую</w:t>
      </w:r>
      <w:r>
        <w:rPr>
          <w:spacing w:val="69"/>
        </w:rPr>
        <w:t>  </w:t>
      </w:r>
      <w:r>
        <w:rPr/>
        <w:t>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BodyText"/>
        <w:spacing w:line="268" w:lineRule="auto"/>
        <w:ind w:left="118" w:right="119" w:firstLine="707"/>
        <w:jc w:val="both"/>
      </w:pPr>
      <w:r>
        <w:rPr/>
        <w:t>Базовая программа обязательного медицинского страхования </w:t>
      </w:r>
      <w:r>
        <w:rPr>
          <w:spacing w:val="-2"/>
        </w:rPr>
        <w:t>включает:</w:t>
      </w:r>
    </w:p>
    <w:p>
      <w:pPr>
        <w:pStyle w:val="BodyText"/>
        <w:spacing w:line="268" w:lineRule="auto"/>
        <w:ind w:left="118" w:right="111" w:firstLine="707"/>
        <w:jc w:val="both"/>
      </w:pPr>
      <w:r>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w:t>
      </w:r>
      <w:r>
        <w:rPr>
          <w:spacing w:val="80"/>
        </w:rPr>
        <w:t> </w:t>
      </w:r>
      <w:r>
        <w:rPr/>
        <w:t>федеральными</w:t>
      </w:r>
      <w:r>
        <w:rPr>
          <w:spacing w:val="80"/>
        </w:rPr>
        <w:t> </w:t>
      </w:r>
      <w:r>
        <w:rPr/>
        <w:t>медицинскими</w:t>
      </w:r>
      <w:r>
        <w:rPr>
          <w:spacing w:val="80"/>
        </w:rPr>
        <w:t> </w:t>
      </w:r>
      <w:r>
        <w:rPr/>
        <w:t>организациями,</w:t>
      </w:r>
      <w:r>
        <w:rPr>
          <w:spacing w:val="80"/>
        </w:rPr>
        <w:t> </w:t>
      </w:r>
      <w:r>
        <w:rPr/>
        <w:t>в</w:t>
      </w:r>
      <w:r>
        <w:rPr>
          <w:spacing w:val="80"/>
        </w:rPr>
        <w:t> </w:t>
      </w:r>
      <w:r>
        <w:rPr/>
        <w:t>расчете</w:t>
      </w:r>
      <w:r>
        <w:rPr>
          <w:spacing w:val="40"/>
        </w:rPr>
        <w:t> </w:t>
      </w:r>
      <w:r>
        <w:rPr/>
        <w:t>на одно застрахованное лицо, согласно приложению № 7;</w:t>
      </w:r>
    </w:p>
    <w:p>
      <w:pPr>
        <w:pStyle w:val="BodyText"/>
        <w:spacing w:line="268" w:lineRule="auto"/>
        <w:ind w:left="118" w:right="115" w:firstLine="707"/>
        <w:jc w:val="both"/>
      </w:pPr>
      <w:r>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 7 к Программе;</w:t>
      </w:r>
    </w:p>
    <w:p>
      <w:pPr>
        <w:pStyle w:val="BodyText"/>
        <w:spacing w:line="268" w:lineRule="auto"/>
        <w:ind w:left="118" w:right="120" w:firstLine="707"/>
        <w:jc w:val="both"/>
      </w:pPr>
      <w:r>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 7 к Программе;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8" w:firstLine="707"/>
        <w:jc w:val="both"/>
      </w:pPr>
      <w:r>
        <w:rP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pPr>
        <w:pStyle w:val="BodyText"/>
        <w:spacing w:line="268" w:lineRule="auto"/>
        <w:ind w:left="118" w:right="116" w:firstLine="707"/>
        <w:jc w:val="both"/>
      </w:pPr>
      <w:r>
        <w:rPr/>
        <w:t>критерии доступности и качества медицинской помощи, предусмотренные разделом VIII Программы.</w:t>
      </w:r>
    </w:p>
    <w:p>
      <w:pPr>
        <w:pStyle w:val="BodyText"/>
        <w:spacing w:line="268" w:lineRule="auto"/>
        <w:ind w:left="118" w:right="117" w:firstLine="707"/>
        <w:jc w:val="both"/>
      </w:pPr>
      <w:r>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BodyText"/>
        <w:spacing w:line="268" w:lineRule="auto"/>
        <w:ind w:left="118" w:right="112" w:firstLine="707"/>
        <w:jc w:val="both"/>
      </w:pPr>
      <w:r>
        <w:rPr/>
        <w:t>Нормативы</w:t>
      </w:r>
      <w:r>
        <w:rPr>
          <w:spacing w:val="80"/>
          <w:w w:val="150"/>
        </w:rPr>
        <w:t>  </w:t>
      </w:r>
      <w:r>
        <w:rPr/>
        <w:t>объема</w:t>
      </w:r>
      <w:r>
        <w:rPr>
          <w:spacing w:val="80"/>
          <w:w w:val="150"/>
        </w:rPr>
        <w:t>  </w:t>
      </w:r>
      <w:r>
        <w:rPr/>
        <w:t>предоставления</w:t>
      </w:r>
      <w:r>
        <w:rPr>
          <w:spacing w:val="80"/>
          <w:w w:val="150"/>
        </w:rPr>
        <w:t>  </w:t>
      </w:r>
      <w:r>
        <w:rPr/>
        <w:t>медицинской</w:t>
      </w:r>
      <w:r>
        <w:rPr>
          <w:spacing w:val="80"/>
          <w:w w:val="150"/>
        </w:rPr>
        <w:t>  </w:t>
      </w:r>
      <w:r>
        <w:rPr/>
        <w:t>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w:t>
      </w:r>
      <w:r>
        <w:rPr>
          <w:spacing w:val="40"/>
        </w:rPr>
        <w:t> </w:t>
      </w:r>
      <w:r>
        <w:rPr/>
        <w:t>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BodyText"/>
        <w:spacing w:line="268" w:lineRule="auto"/>
        <w:ind w:left="118" w:right="111" w:firstLine="707"/>
        <w:jc w:val="both"/>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w:t>
      </w:r>
      <w:r>
        <w:rPr>
          <w:spacing w:val="80"/>
        </w:rPr>
        <w:t> </w:t>
      </w:r>
      <w:r>
        <w:rPr/>
        <w:t>обязательного</w:t>
      </w:r>
      <w:r>
        <w:rPr>
          <w:spacing w:val="80"/>
        </w:rPr>
        <w:t> </w:t>
      </w:r>
      <w:r>
        <w:rPr/>
        <w:t>медицинского</w:t>
      </w:r>
      <w:r>
        <w:rPr>
          <w:spacing w:val="80"/>
        </w:rPr>
        <w:t> </w:t>
      </w:r>
      <w:r>
        <w:rPr/>
        <w:t>страхования</w:t>
      </w:r>
      <w:r>
        <w:rPr>
          <w:spacing w:val="80"/>
        </w:rPr>
        <w:t> </w:t>
      </w:r>
      <w:r>
        <w:rPr/>
        <w:t>должна</w:t>
      </w:r>
      <w:r>
        <w:rPr>
          <w:spacing w:val="80"/>
        </w:rPr>
        <w:t> </w:t>
      </w:r>
      <w:r>
        <w:rPr/>
        <w:t>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spacing w:after="0" w:line="268" w:lineRule="auto"/>
        <w:jc w:val="both"/>
        <w:sectPr>
          <w:pgSz w:w="11910" w:h="16850"/>
          <w:pgMar w:header="753" w:footer="0" w:top="1080" w:bottom="280" w:left="1300" w:right="1300"/>
        </w:sectPr>
      </w:pPr>
    </w:p>
    <w:p>
      <w:pPr>
        <w:pStyle w:val="BodyText"/>
        <w:rPr>
          <w:sz w:val="21"/>
        </w:rPr>
      </w:pPr>
    </w:p>
    <w:p>
      <w:pPr>
        <w:pStyle w:val="ListParagraph"/>
        <w:numPr>
          <w:ilvl w:val="1"/>
          <w:numId w:val="1"/>
        </w:numPr>
        <w:tabs>
          <w:tab w:pos="2577" w:val="left" w:leader="none"/>
        </w:tabs>
        <w:spacing w:line="240" w:lineRule="auto" w:before="89" w:after="0"/>
        <w:ind w:left="2576" w:right="0" w:hanging="342"/>
        <w:jc w:val="left"/>
        <w:rPr>
          <w:sz w:val="28"/>
        </w:rPr>
      </w:pPr>
      <w:r>
        <w:rPr>
          <w:sz w:val="28"/>
        </w:rPr>
        <w:t>Финансовое</w:t>
      </w:r>
      <w:r>
        <w:rPr>
          <w:spacing w:val="-9"/>
          <w:sz w:val="28"/>
        </w:rPr>
        <w:t> </w:t>
      </w:r>
      <w:r>
        <w:rPr>
          <w:sz w:val="28"/>
        </w:rPr>
        <w:t>обеспечение</w:t>
      </w:r>
      <w:r>
        <w:rPr>
          <w:spacing w:val="-8"/>
          <w:sz w:val="28"/>
        </w:rPr>
        <w:t> </w:t>
      </w:r>
      <w:r>
        <w:rPr>
          <w:spacing w:val="-2"/>
          <w:sz w:val="28"/>
        </w:rPr>
        <w:t>Программы</w:t>
      </w:r>
    </w:p>
    <w:p>
      <w:pPr>
        <w:pStyle w:val="BodyText"/>
        <w:spacing w:before="3"/>
        <w:rPr>
          <w:sz w:val="31"/>
        </w:rPr>
      </w:pPr>
    </w:p>
    <w:p>
      <w:pPr>
        <w:pStyle w:val="BodyText"/>
        <w:spacing w:line="268" w:lineRule="auto"/>
        <w:ind w:left="118" w:right="114" w:firstLine="707"/>
        <w:jc w:val="both"/>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w:t>
      </w:r>
      <w:r>
        <w:rPr>
          <w:spacing w:val="-2"/>
        </w:rPr>
        <w:t>страхования.</w:t>
      </w:r>
    </w:p>
    <w:p>
      <w:pPr>
        <w:pStyle w:val="BodyText"/>
        <w:spacing w:line="268" w:lineRule="auto"/>
        <w:ind w:left="118" w:right="116" w:firstLine="707"/>
        <w:jc w:val="both"/>
      </w:pPr>
      <w:r>
        <w:rPr/>
        <w:t>За счет средств обязательного медицинского страхования в рамках базовой программы обязательного медицинского страхования:</w:t>
      </w:r>
    </w:p>
    <w:p>
      <w:pPr>
        <w:pStyle w:val="BodyText"/>
        <w:spacing w:line="268" w:lineRule="auto"/>
        <w:ind w:left="118" w:right="109" w:firstLine="707"/>
        <w:jc w:val="both"/>
      </w:pPr>
      <w:r>
        <w:rPr/>
        <w:t>застрахованным лицам, в том числе находящимся в стационарных организациях социального обслуживания, оказываются первичная медико- санитарная помощь, включая профилактическую помощь, скорая медицинская помощь (за исключением санитарно-авиационной</w:t>
      </w:r>
      <w:r>
        <w:rPr>
          <w:spacing w:val="80"/>
        </w:rPr>
        <w:t> </w:t>
      </w:r>
      <w:r>
        <w:rPr/>
        <w:t>эвакуации), специализированная медицинская помощь, в том числе высокотехнологичная медицинская помощь, включенная в раздел I</w:t>
      </w:r>
      <w:r>
        <w:rPr>
          <w:spacing w:val="40"/>
        </w:rPr>
        <w:t> </w:t>
      </w:r>
      <w:r>
        <w:rPr/>
        <w:t>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Pr>
          <w:spacing w:val="-2"/>
        </w:rPr>
        <w:t>поведения;</w:t>
      </w:r>
    </w:p>
    <w:p>
      <w:pPr>
        <w:pStyle w:val="BodyText"/>
        <w:spacing w:line="268" w:lineRule="auto"/>
        <w:ind w:left="118" w:right="112" w:firstLine="707"/>
        <w:jc w:val="both"/>
      </w:pPr>
      <w:r>
        <w:rPr/>
        <w:t>осуществляется финансовое обеспечение профилактических мероприятий,</w:t>
      </w:r>
      <w:r>
        <w:rPr>
          <w:spacing w:val="-3"/>
        </w:rPr>
        <w:t> </w:t>
      </w:r>
      <w:r>
        <w:rPr/>
        <w:t>включая</w:t>
      </w:r>
      <w:r>
        <w:rPr>
          <w:spacing w:val="-2"/>
        </w:rPr>
        <w:t> </w:t>
      </w:r>
      <w:r>
        <w:rPr/>
        <w:t>профилактические</w:t>
      </w:r>
      <w:r>
        <w:rPr>
          <w:spacing w:val="-3"/>
        </w:rPr>
        <w:t> </w:t>
      </w:r>
      <w:r>
        <w:rPr/>
        <w:t>медицинские</w:t>
      </w:r>
      <w:r>
        <w:rPr>
          <w:spacing w:val="-3"/>
        </w:rPr>
        <w:t> </w:t>
      </w:r>
      <w:r>
        <w:rPr/>
        <w:t>осмотры</w:t>
      </w:r>
      <w:r>
        <w:rPr>
          <w:spacing w:val="-2"/>
        </w:rPr>
        <w:t> </w:t>
      </w:r>
      <w:r>
        <w:rPr/>
        <w:t>граждан</w:t>
      </w:r>
      <w:r>
        <w:rPr>
          <w:spacing w:val="-3"/>
        </w:rPr>
        <w:t> </w:t>
      </w:r>
      <w:r>
        <w:rPr/>
        <w:t>и их отдельных категорий, указанных в разделе III Программы, в том числе</w:t>
      </w:r>
      <w:r>
        <w:rPr>
          <w:spacing w:val="80"/>
        </w:rPr>
        <w:t> </w:t>
      </w:r>
      <w:r>
        <w:rPr/>
        <w:t>в рамках диспансеризации, диспансеризацию, диспансерное наблюдение (при</w:t>
      </w:r>
      <w:r>
        <w:rPr>
          <w:spacing w:val="80"/>
        </w:rPr>
        <w:t> </w:t>
      </w:r>
      <w:r>
        <w:rPr/>
        <w:t>заболеваниях</w:t>
      </w:r>
      <w:r>
        <w:rPr>
          <w:spacing w:val="80"/>
        </w:rPr>
        <w:t> </w:t>
      </w:r>
      <w:r>
        <w:rPr/>
        <w:t>и</w:t>
      </w:r>
      <w:r>
        <w:rPr>
          <w:spacing w:val="80"/>
        </w:rPr>
        <w:t> </w:t>
      </w:r>
      <w:r>
        <w:rPr/>
        <w:t>состояниях,</w:t>
      </w:r>
      <w:r>
        <w:rPr>
          <w:spacing w:val="80"/>
        </w:rPr>
        <w:t> </w:t>
      </w:r>
      <w:r>
        <w:rPr/>
        <w:t>указанных</w:t>
      </w:r>
      <w:r>
        <w:rPr>
          <w:spacing w:val="80"/>
        </w:rPr>
        <w:t> </w:t>
      </w:r>
      <w:r>
        <w:rPr/>
        <w:t>в</w:t>
      </w:r>
      <w:r>
        <w:rPr>
          <w:spacing w:val="80"/>
        </w:rPr>
        <w:t> </w:t>
      </w:r>
      <w:r>
        <w:rPr/>
        <w:t>разделе</w:t>
      </w:r>
      <w:r>
        <w:rPr>
          <w:spacing w:val="80"/>
        </w:rPr>
        <w:t> </w:t>
      </w:r>
      <w:r>
        <w:rPr/>
        <w:t>III</w:t>
      </w:r>
      <w:r>
        <w:rPr>
          <w:spacing w:val="80"/>
        </w:rPr>
        <w:t> </w:t>
      </w:r>
      <w:r>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w:t>
      </w:r>
      <w:r>
        <w:rPr>
          <w:spacing w:val="-1"/>
        </w:rPr>
        <w:t> </w:t>
      </w:r>
      <w:r>
        <w:rPr/>
        <w:t>стационарно и в условиях дневного стационара, аудиологическому скринингу, применению вспомогательных репродуктивных технологий (экстракорпорального</w:t>
      </w:r>
      <w:r>
        <w:rPr>
          <w:spacing w:val="78"/>
        </w:rPr>
        <w:t>    </w:t>
      </w:r>
      <w:r>
        <w:rPr/>
        <w:t>оплодотворения),</w:t>
      </w:r>
      <w:r>
        <w:rPr>
          <w:spacing w:val="79"/>
        </w:rPr>
        <w:t>    </w:t>
      </w:r>
      <w:r>
        <w:rPr/>
        <w:t>включая</w:t>
      </w:r>
      <w:r>
        <w:rPr>
          <w:spacing w:val="78"/>
        </w:rPr>
        <w:t>    </w:t>
      </w:r>
      <w:r>
        <w:rPr>
          <w:spacing w:val="-2"/>
        </w:rPr>
        <w:t>обеспечение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5"/>
        <w:jc w:val="both"/>
      </w:pPr>
      <w:r>
        <w:rPr/>
        <w:t>лекарственными препаратами в соответствии с законодательством Российской Федерации.</w:t>
      </w:r>
    </w:p>
    <w:p>
      <w:pPr>
        <w:pStyle w:val="BodyText"/>
        <w:spacing w:line="268" w:lineRule="auto"/>
        <w:ind w:left="118" w:right="113" w:firstLine="707"/>
        <w:jc w:val="both"/>
      </w:pPr>
      <w:r>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w:t>
      </w:r>
      <w:r>
        <w:rPr>
          <w:spacing w:val="-2"/>
        </w:rPr>
        <w:t>обеспечение:</w:t>
      </w:r>
    </w:p>
    <w:p>
      <w:pPr>
        <w:pStyle w:val="BodyText"/>
        <w:spacing w:line="268" w:lineRule="auto"/>
        <w:ind w:left="118" w:right="112" w:firstLine="707"/>
        <w:jc w:val="both"/>
      </w:pPr>
      <w:r>
        <w:rPr/>
        <w:t>оказания медицинской помощи больным онкологическими заболеваниями в соответствии с клиническими рекомендациями;</w:t>
      </w:r>
    </w:p>
    <w:p>
      <w:pPr>
        <w:pStyle w:val="BodyText"/>
        <w:spacing w:line="268" w:lineRule="auto"/>
        <w:ind w:left="826" w:right="3286"/>
        <w:jc w:val="both"/>
      </w:pPr>
      <w:r>
        <w:rPr/>
        <w:t>проведения</w:t>
      </w:r>
      <w:r>
        <w:rPr>
          <w:spacing w:val="-18"/>
        </w:rPr>
        <w:t> </w:t>
      </w:r>
      <w:r>
        <w:rPr/>
        <w:t>углубленной</w:t>
      </w:r>
      <w:r>
        <w:rPr>
          <w:spacing w:val="-17"/>
        </w:rPr>
        <w:t> </w:t>
      </w:r>
      <w:r>
        <w:rPr/>
        <w:t>диспансеризации; проведения медицинской реабилитации.</w:t>
      </w:r>
    </w:p>
    <w:p>
      <w:pPr>
        <w:pStyle w:val="BodyText"/>
        <w:spacing w:line="268" w:lineRule="auto"/>
        <w:ind w:left="118" w:right="111" w:firstLine="707"/>
        <w:jc w:val="both"/>
      </w:pPr>
      <w:r>
        <w:rPr/>
        <w:t>За счет бюджетных ассигнований федерального бюджета, в том</w:t>
      </w:r>
      <w:r>
        <w:rPr>
          <w:spacing w:val="40"/>
        </w:rPr>
        <w:t> </w:t>
      </w:r>
      <w:r>
        <w:rPr/>
        <w:t>числе за счет межбюджетных трансфертов федерального бюджета</w:t>
      </w:r>
      <w:r>
        <w:rPr>
          <w:spacing w:val="40"/>
        </w:rPr>
        <w:t> </w:t>
      </w:r>
      <w:r>
        <w:rPr/>
        <w:t>бюджету Фонда, осуществляется финансовое обеспечение высокотехнологичной медицинской помощи, не включенной в базовую программу</w:t>
      </w:r>
      <w:r>
        <w:rPr>
          <w:spacing w:val="80"/>
          <w:w w:val="150"/>
        </w:rPr>
        <w:t> </w:t>
      </w:r>
      <w:r>
        <w:rPr/>
        <w:t>обязательного</w:t>
      </w:r>
      <w:r>
        <w:rPr>
          <w:spacing w:val="80"/>
          <w:w w:val="150"/>
        </w:rPr>
        <w:t> </w:t>
      </w:r>
      <w:r>
        <w:rPr/>
        <w:t>медицинского</w:t>
      </w:r>
      <w:r>
        <w:rPr>
          <w:spacing w:val="80"/>
          <w:w w:val="150"/>
        </w:rPr>
        <w:t> </w:t>
      </w:r>
      <w:r>
        <w:rPr/>
        <w:t>страхования,</w:t>
      </w:r>
      <w:r>
        <w:rPr>
          <w:spacing w:val="80"/>
          <w:w w:val="150"/>
        </w:rPr>
        <w:t> </w:t>
      </w:r>
      <w:r>
        <w:rPr/>
        <w:t>в</w:t>
      </w:r>
      <w:r>
        <w:rPr>
          <w:spacing w:val="80"/>
          <w:w w:val="150"/>
        </w:rPr>
        <w:t> </w:t>
      </w:r>
      <w:r>
        <w:rPr/>
        <w:t>соответствии</w:t>
      </w:r>
      <w:r>
        <w:rPr>
          <w:spacing w:val="40"/>
        </w:rPr>
        <w:t> </w:t>
      </w:r>
      <w:r>
        <w:rPr/>
        <w:t>с разделом II перечня видов высокотехнологичной медицинской помощи, </w:t>
      </w:r>
      <w:r>
        <w:rPr>
          <w:spacing w:val="-2"/>
        </w:rPr>
        <w:t>оказываемой:</w:t>
      </w:r>
    </w:p>
    <w:p>
      <w:pPr>
        <w:pStyle w:val="BodyText"/>
        <w:spacing w:line="268" w:lineRule="auto"/>
        <w:ind w:left="118" w:right="117" w:firstLine="707"/>
        <w:jc w:val="both"/>
      </w:pPr>
      <w:r>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w:t>
      </w:r>
      <w:r>
        <w:rPr>
          <w:spacing w:val="-2"/>
        </w:rPr>
        <w:t>Федерации;</w:t>
      </w:r>
    </w:p>
    <w:p>
      <w:pPr>
        <w:pStyle w:val="BodyText"/>
        <w:tabs>
          <w:tab w:pos="3724" w:val="left" w:leader="none"/>
          <w:tab w:pos="6720" w:val="left" w:leader="none"/>
        </w:tabs>
        <w:spacing w:line="268" w:lineRule="auto"/>
        <w:ind w:left="118" w:right="111" w:firstLine="707"/>
        <w:jc w:val="both"/>
      </w:pPr>
      <w:r>
        <w:rPr>
          <w:spacing w:val="-2"/>
        </w:rPr>
        <w:t>медицинскими</w:t>
      </w:r>
      <w:r>
        <w:rPr/>
        <w:tab/>
      </w:r>
      <w:r>
        <w:rPr>
          <w:spacing w:val="-2"/>
        </w:rPr>
        <w:t>организациями,</w:t>
      </w:r>
      <w:r>
        <w:rPr/>
        <w:tab/>
      </w:r>
      <w:r>
        <w:rPr>
          <w:spacing w:val="-2"/>
        </w:rPr>
        <w:t>подведомственными </w:t>
      </w:r>
      <w:r>
        <w:rPr/>
        <w:t>исполнительным органам государственной власти субъектов Российской </w:t>
      </w:r>
      <w:r>
        <w:rPr>
          <w:spacing w:val="-2"/>
        </w:rPr>
        <w:t>Федерации.</w:t>
      </w:r>
    </w:p>
    <w:p>
      <w:pPr>
        <w:pStyle w:val="BodyText"/>
        <w:spacing w:line="268" w:lineRule="auto"/>
        <w:ind w:left="118" w:right="118" w:firstLine="707"/>
        <w:jc w:val="both"/>
      </w:pPr>
      <w:r>
        <w:rPr/>
        <w:t>За счет бюджетных ассигнований федерального бюджета осуществляется финансовое обеспечение:</w:t>
      </w:r>
    </w:p>
    <w:p>
      <w:pPr>
        <w:pStyle w:val="BodyText"/>
        <w:spacing w:line="268" w:lineRule="auto"/>
        <w:ind w:left="118" w:right="114"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w:t>
      </w:r>
      <w:r>
        <w:rPr>
          <w:spacing w:val="47"/>
        </w:rPr>
        <w:t> </w:t>
      </w:r>
      <w:r>
        <w:rPr/>
        <w:t>в</w:t>
      </w:r>
      <w:r>
        <w:rPr>
          <w:spacing w:val="45"/>
        </w:rPr>
        <w:t> </w:t>
      </w:r>
      <w:r>
        <w:rPr/>
        <w:t>части</w:t>
      </w:r>
      <w:r>
        <w:rPr>
          <w:spacing w:val="50"/>
        </w:rPr>
        <w:t> </w:t>
      </w:r>
      <w:r>
        <w:rPr/>
        <w:t>расходов,</w:t>
      </w:r>
      <w:r>
        <w:rPr>
          <w:spacing w:val="47"/>
        </w:rPr>
        <w:t> </w:t>
      </w:r>
      <w:r>
        <w:rPr/>
        <w:t>не</w:t>
      </w:r>
      <w:r>
        <w:rPr>
          <w:spacing w:val="49"/>
        </w:rPr>
        <w:t> </w:t>
      </w:r>
      <w:r>
        <w:rPr/>
        <w:t>включенных</w:t>
      </w:r>
      <w:r>
        <w:rPr>
          <w:spacing w:val="51"/>
        </w:rPr>
        <w:t> </w:t>
      </w:r>
      <w:r>
        <w:rPr/>
        <w:t>в</w:t>
      </w:r>
      <w:r>
        <w:rPr>
          <w:spacing w:val="45"/>
        </w:rPr>
        <w:t> </w:t>
      </w:r>
      <w:r>
        <w:rPr/>
        <w:t>структуру</w:t>
      </w:r>
      <w:r>
        <w:rPr>
          <w:spacing w:val="46"/>
        </w:rPr>
        <w:t> </w:t>
      </w:r>
      <w:r>
        <w:rPr/>
        <w:t>тарифов</w:t>
      </w:r>
      <w:r>
        <w:rPr>
          <w:spacing w:val="48"/>
        </w:rPr>
        <w:t> </w:t>
      </w:r>
      <w:r>
        <w:rPr/>
        <w:t>на</w:t>
      </w:r>
      <w:r>
        <w:rPr>
          <w:spacing w:val="47"/>
        </w:rPr>
        <w:t> </w:t>
      </w:r>
      <w:r>
        <w:rPr>
          <w:spacing w:val="-2"/>
        </w:rPr>
        <w:t>оплату</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jc w:val="both"/>
      </w:pPr>
      <w:r>
        <w:rPr/>
        <w:t>медицинской помощи, предусмотренную базовой программой обязательного медицинского страхования);</w:t>
      </w:r>
    </w:p>
    <w:p>
      <w:pPr>
        <w:pStyle w:val="BodyText"/>
        <w:spacing w:line="268" w:lineRule="auto"/>
        <w:ind w:left="118" w:right="116" w:firstLine="707"/>
        <w:jc w:val="both"/>
      </w:pPr>
      <w:r>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BodyText"/>
        <w:spacing w:line="268" w:lineRule="auto"/>
        <w:ind w:left="118" w:right="112"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w:t>
      </w:r>
      <w:r>
        <w:rPr>
          <w:spacing w:val="80"/>
        </w:rPr>
        <w:t> </w:t>
      </w:r>
      <w:r>
        <w:rPr/>
        <w:t>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w:t>
      </w:r>
      <w:r>
        <w:rPr>
          <w:spacing w:val="80"/>
        </w:rPr>
        <w:t> </w:t>
      </w:r>
      <w:r>
        <w:rPr/>
        <w:t>медицинского</w:t>
      </w:r>
      <w:r>
        <w:rPr>
          <w:spacing w:val="80"/>
        </w:rPr>
        <w:t> </w:t>
      </w:r>
      <w:r>
        <w:rPr/>
        <w:t>страхования,</w:t>
      </w:r>
      <w:r>
        <w:rPr>
          <w:spacing w:val="80"/>
        </w:rPr>
        <w:t> </w:t>
      </w:r>
      <w:r>
        <w:rPr/>
        <w:t>а</w:t>
      </w:r>
      <w:r>
        <w:rPr>
          <w:spacing w:val="80"/>
        </w:rPr>
        <w:t> </w:t>
      </w:r>
      <w:r>
        <w:rPr/>
        <w:t>также</w:t>
      </w:r>
      <w:r>
        <w:rPr>
          <w:spacing w:val="80"/>
        </w:rPr>
        <w:t> </w:t>
      </w:r>
      <w:r>
        <w:rPr/>
        <w:t>в</w:t>
      </w:r>
      <w:r>
        <w:rPr>
          <w:spacing w:val="80"/>
        </w:rPr>
        <w:t> </w:t>
      </w:r>
      <w:r>
        <w:rPr/>
        <w:t>части</w:t>
      </w:r>
      <w:r>
        <w:rPr>
          <w:spacing w:val="80"/>
        </w:rPr>
        <w:t> </w:t>
      </w:r>
      <w:r>
        <w:rPr/>
        <w:t>расходов,</w:t>
      </w:r>
      <w:r>
        <w:rPr>
          <w:spacing w:val="40"/>
        </w:rPr>
        <w:t> </w:t>
      </w:r>
      <w:r>
        <w:rPr/>
        <w:t>не</w:t>
      </w:r>
      <w:r>
        <w:rPr>
          <w:spacing w:val="-2"/>
        </w:rPr>
        <w:t> </w:t>
      </w:r>
      <w:r>
        <w:rPr/>
        <w:t>включенных в структуру тарифов на оплату медицинской помощи, предусмотренную базовой программой обязательного медицинского </w:t>
      </w:r>
      <w:r>
        <w:rPr>
          <w:spacing w:val="-2"/>
        </w:rPr>
        <w:t>страхования);</w:t>
      </w:r>
    </w:p>
    <w:p>
      <w:pPr>
        <w:pStyle w:val="BodyText"/>
        <w:spacing w:line="268" w:lineRule="auto"/>
        <w:ind w:left="118" w:right="117" w:firstLine="707"/>
        <w:jc w:val="both"/>
      </w:pPr>
      <w:r>
        <w:rPr/>
        <w:t>медицинской помощи, предусмотренной федеральными законами</w:t>
      </w:r>
      <w:r>
        <w:rPr>
          <w:spacing w:val="40"/>
        </w:rPr>
        <w:t> </w:t>
      </w:r>
      <w:r>
        <w:rPr/>
        <w:t>для определенных категорий граждан, оказываемой в медицинских организациях, подведомственных федеральным органам исполнительной </w:t>
      </w:r>
      <w:r>
        <w:rPr>
          <w:spacing w:val="-2"/>
        </w:rPr>
        <w:t>власти;</w:t>
      </w:r>
    </w:p>
    <w:p>
      <w:pPr>
        <w:pStyle w:val="BodyText"/>
        <w:spacing w:line="268" w:lineRule="auto"/>
        <w:ind w:left="118" w:right="116" w:firstLine="707"/>
        <w:jc w:val="both"/>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BodyText"/>
        <w:spacing w:line="268" w:lineRule="auto"/>
        <w:ind w:left="118" w:right="118" w:firstLine="707"/>
        <w:jc w:val="both"/>
      </w:pPr>
      <w:r>
        <w:rPr/>
        <w:t>санаторно-курортного</w:t>
      </w:r>
      <w:r>
        <w:rPr>
          <w:spacing w:val="80"/>
        </w:rPr>
        <w:t>  </w:t>
      </w:r>
      <w:r>
        <w:rPr/>
        <w:t>лечения</w:t>
      </w:r>
      <w:r>
        <w:rPr>
          <w:spacing w:val="80"/>
        </w:rPr>
        <w:t>  </w:t>
      </w:r>
      <w:r>
        <w:rPr/>
        <w:t>отдельных</w:t>
      </w:r>
      <w:r>
        <w:rPr>
          <w:spacing w:val="80"/>
        </w:rPr>
        <w:t>  </w:t>
      </w:r>
      <w:r>
        <w:rPr/>
        <w:t>категорий</w:t>
      </w:r>
      <w:r>
        <w:rPr>
          <w:spacing w:val="80"/>
        </w:rPr>
        <w:t>  </w:t>
      </w:r>
      <w:r>
        <w:rPr/>
        <w:t>граждан в соответствии с законодательством Российской Федерации;</w:t>
      </w:r>
    </w:p>
    <w:p>
      <w:pPr>
        <w:pStyle w:val="BodyText"/>
        <w:spacing w:line="268" w:lineRule="auto"/>
        <w:ind w:left="118" w:right="110" w:firstLine="707"/>
        <w:jc w:val="both"/>
      </w:pPr>
      <w:r>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w:t>
      </w:r>
      <w:r>
        <w:rPr>
          <w:spacing w:val="40"/>
        </w:rPr>
        <w:t> </w:t>
      </w:r>
      <w:r>
        <w:rPr/>
        <w:t>наследственным</w:t>
      </w:r>
      <w:r>
        <w:rPr>
          <w:spacing w:val="40"/>
        </w:rPr>
        <w:t> </w:t>
      </w:r>
      <w:r>
        <w:rPr/>
        <w:t>дефицитом</w:t>
      </w:r>
      <w:r>
        <w:rPr>
          <w:spacing w:val="40"/>
        </w:rPr>
        <w:t> </w:t>
      </w:r>
      <w:r>
        <w:rPr/>
        <w:t>факторов</w:t>
      </w:r>
      <w:r>
        <w:rPr>
          <w:spacing w:val="40"/>
        </w:rPr>
        <w:t> </w:t>
      </w:r>
      <w:r>
        <w:rPr/>
        <w:t>II</w:t>
      </w:r>
      <w:r>
        <w:rPr>
          <w:spacing w:val="40"/>
        </w:rPr>
        <w:t> </w:t>
      </w:r>
      <w:r>
        <w:rPr/>
        <w:t>(фибриногена), VII</w:t>
      </w:r>
      <w:r>
        <w:rPr>
          <w:spacing w:val="69"/>
          <w:w w:val="150"/>
        </w:rPr>
        <w:t> </w:t>
      </w:r>
      <w:r>
        <w:rPr/>
        <w:t>(лабильного),</w:t>
      </w:r>
      <w:r>
        <w:rPr>
          <w:spacing w:val="71"/>
          <w:w w:val="150"/>
        </w:rPr>
        <w:t> </w:t>
      </w:r>
      <w:r>
        <w:rPr/>
        <w:t>X</w:t>
      </w:r>
      <w:r>
        <w:rPr>
          <w:spacing w:val="71"/>
          <w:w w:val="150"/>
        </w:rPr>
        <w:t> </w:t>
      </w:r>
      <w:r>
        <w:rPr/>
        <w:t>(Стюарта</w:t>
      </w:r>
      <w:r>
        <w:rPr>
          <w:spacing w:val="74"/>
          <w:w w:val="150"/>
        </w:rPr>
        <w:t> </w:t>
      </w:r>
      <w:r>
        <w:rPr/>
        <w:t>-</w:t>
      </w:r>
      <w:r>
        <w:rPr>
          <w:spacing w:val="72"/>
          <w:w w:val="150"/>
        </w:rPr>
        <w:t> </w:t>
      </w:r>
      <w:r>
        <w:rPr/>
        <w:t>Прауэра),</w:t>
      </w:r>
      <w:r>
        <w:rPr>
          <w:spacing w:val="72"/>
          <w:w w:val="150"/>
        </w:rPr>
        <w:t> </w:t>
      </w:r>
      <w:r>
        <w:rPr/>
        <w:t>лиц</w:t>
      </w:r>
      <w:r>
        <w:rPr>
          <w:spacing w:val="72"/>
          <w:w w:val="150"/>
        </w:rPr>
        <w:t> </w:t>
      </w:r>
      <w:r>
        <w:rPr/>
        <w:t>после</w:t>
      </w:r>
      <w:r>
        <w:rPr>
          <w:spacing w:val="69"/>
          <w:w w:val="150"/>
        </w:rPr>
        <w:t> </w:t>
      </w:r>
      <w:r>
        <w:rPr>
          <w:spacing w:val="-2"/>
        </w:rPr>
        <w:t>трансплантации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jc w:val="both"/>
      </w:pPr>
      <w:r>
        <w:rPr/>
        <w:t>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BodyText"/>
        <w:spacing w:line="268" w:lineRule="auto"/>
        <w:ind w:left="118" w:right="115" w:firstLine="707"/>
        <w:jc w:val="both"/>
      </w:pPr>
      <w:r>
        <w:rPr/>
        <w:t>закупки антивирусных лекарственных препаратов для медицинского применения,</w:t>
      </w:r>
      <w:r>
        <w:rPr>
          <w:spacing w:val="-3"/>
        </w:rPr>
        <w:t> </w:t>
      </w:r>
      <w:r>
        <w:rPr/>
        <w:t>включенных</w:t>
      </w:r>
      <w:r>
        <w:rPr>
          <w:spacing w:val="-2"/>
        </w:rPr>
        <w:t> </w:t>
      </w:r>
      <w:r>
        <w:rPr/>
        <w:t>в</w:t>
      </w:r>
      <w:r>
        <w:rPr>
          <w:spacing w:val="-4"/>
        </w:rPr>
        <w:t> </w:t>
      </w:r>
      <w:r>
        <w:rPr/>
        <w:t>перечень</w:t>
      </w:r>
      <w:r>
        <w:rPr>
          <w:spacing w:val="-5"/>
        </w:rPr>
        <w:t> </w:t>
      </w:r>
      <w:r>
        <w:rPr/>
        <w:t>жизненно</w:t>
      </w:r>
      <w:r>
        <w:rPr>
          <w:spacing w:val="-3"/>
        </w:rPr>
        <w:t> </w:t>
      </w:r>
      <w:r>
        <w:rPr/>
        <w:t>необходимых</w:t>
      </w:r>
      <w:r>
        <w:rPr>
          <w:spacing w:val="-3"/>
        </w:rPr>
        <w:t> </w:t>
      </w:r>
      <w:r>
        <w:rPr/>
        <w:t>и</w:t>
      </w:r>
      <w:r>
        <w:rPr>
          <w:spacing w:val="-2"/>
        </w:rPr>
        <w:t> </w:t>
      </w:r>
      <w:r>
        <w:rPr/>
        <w:t>важнейших лекарственных препаратов, для лечения лиц, инфицированных вирусом иммунодефицита</w:t>
      </w:r>
      <w:r>
        <w:rPr>
          <w:spacing w:val="40"/>
        </w:rPr>
        <w:t> </w:t>
      </w:r>
      <w:r>
        <w:rPr/>
        <w:t>человека,</w:t>
      </w:r>
      <w:r>
        <w:rPr>
          <w:spacing w:val="40"/>
        </w:rPr>
        <w:t> </w:t>
      </w:r>
      <w:r>
        <w:rPr/>
        <w:t>в</w:t>
      </w:r>
      <w:r>
        <w:rPr>
          <w:spacing w:val="40"/>
        </w:rPr>
        <w:t> </w:t>
      </w:r>
      <w:r>
        <w:rPr/>
        <w:t>том</w:t>
      </w:r>
      <w:r>
        <w:rPr>
          <w:spacing w:val="40"/>
        </w:rPr>
        <w:t> </w:t>
      </w:r>
      <w:r>
        <w:rPr/>
        <w:t>числе</w:t>
      </w:r>
      <w:r>
        <w:rPr>
          <w:spacing w:val="40"/>
        </w:rPr>
        <w:t> </w:t>
      </w:r>
      <w:r>
        <w:rPr/>
        <w:t>в</w:t>
      </w:r>
      <w:r>
        <w:rPr>
          <w:spacing w:val="40"/>
        </w:rPr>
        <w:t> </w:t>
      </w:r>
      <w:r>
        <w:rPr/>
        <w:t>сочетании</w:t>
      </w:r>
      <w:r>
        <w:rPr>
          <w:spacing w:val="40"/>
        </w:rPr>
        <w:t> </w:t>
      </w:r>
      <w:r>
        <w:rPr/>
        <w:t>с</w:t>
      </w:r>
      <w:r>
        <w:rPr>
          <w:spacing w:val="40"/>
        </w:rPr>
        <w:t> </w:t>
      </w:r>
      <w:r>
        <w:rPr/>
        <w:t>вирусами гепатитов B и C;</w:t>
      </w:r>
    </w:p>
    <w:p>
      <w:pPr>
        <w:pStyle w:val="BodyText"/>
        <w:spacing w:line="268" w:lineRule="auto"/>
        <w:ind w:left="118" w:right="117" w:firstLine="707"/>
        <w:jc w:val="both"/>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BodyText"/>
        <w:spacing w:line="268" w:lineRule="auto"/>
        <w:ind w:left="118" w:right="109" w:firstLine="707"/>
        <w:jc w:val="both"/>
      </w:pPr>
      <w:r>
        <w:rPr/>
        <w:t>предоставления в установленном порядке бюджетам субъектов Российской Федерации и бюджету г. Байконура субвенций на оказание государственной</w:t>
      </w:r>
      <w:r>
        <w:rPr>
          <w:spacing w:val="80"/>
          <w:w w:val="150"/>
        </w:rPr>
        <w:t> </w:t>
      </w:r>
      <w:r>
        <w:rPr/>
        <w:t>социальной</w:t>
      </w:r>
      <w:r>
        <w:rPr>
          <w:spacing w:val="80"/>
          <w:w w:val="150"/>
        </w:rPr>
        <w:t> </w:t>
      </w:r>
      <w:r>
        <w:rPr/>
        <w:t>помощи</w:t>
      </w:r>
      <w:r>
        <w:rPr>
          <w:spacing w:val="80"/>
          <w:w w:val="150"/>
        </w:rPr>
        <w:t> </w:t>
      </w:r>
      <w:r>
        <w:rPr/>
        <w:t>отдельным</w:t>
      </w:r>
      <w:r>
        <w:rPr>
          <w:spacing w:val="80"/>
          <w:w w:val="150"/>
        </w:rPr>
        <w:t> </w:t>
      </w:r>
      <w:r>
        <w:rPr/>
        <w:t>категориям</w:t>
      </w:r>
      <w:r>
        <w:rPr>
          <w:spacing w:val="80"/>
          <w:w w:val="150"/>
        </w:rPr>
        <w:t> </w:t>
      </w:r>
      <w:r>
        <w:rPr/>
        <w:t>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w:t>
      </w:r>
      <w:r>
        <w:rPr>
          <w:vertAlign w:val="superscript"/>
        </w:rPr>
        <w:t>2</w:t>
      </w:r>
      <w:r>
        <w:rPr>
          <w:vertAlign w:val="baseline"/>
        </w:rPr>
        <w:t> Федерального закона "О государственной социальной помощи";</w:t>
      </w:r>
    </w:p>
    <w:p>
      <w:pPr>
        <w:pStyle w:val="BodyText"/>
        <w:spacing w:line="268" w:lineRule="auto"/>
        <w:ind w:left="118" w:right="116" w:firstLine="707"/>
        <w:jc w:val="both"/>
      </w:pPr>
      <w:r>
        <w:rPr/>
        <w:t>мероприятий, предусмотренных национальным календарем профилактических прививок в рамках подпрограммы "Совершенствование оказания</w:t>
      </w:r>
      <w:r>
        <w:rPr>
          <w:spacing w:val="80"/>
          <w:w w:val="150"/>
        </w:rPr>
        <w:t> </w:t>
      </w:r>
      <w:r>
        <w:rPr/>
        <w:t>медицинской</w:t>
      </w:r>
      <w:r>
        <w:rPr>
          <w:spacing w:val="80"/>
          <w:w w:val="150"/>
        </w:rPr>
        <w:t> </w:t>
      </w:r>
      <w:r>
        <w:rPr/>
        <w:t>помощи,</w:t>
      </w:r>
      <w:r>
        <w:rPr>
          <w:spacing w:val="80"/>
          <w:w w:val="150"/>
        </w:rPr>
        <w:t> </w:t>
      </w:r>
      <w:r>
        <w:rPr/>
        <w:t>включая</w:t>
      </w:r>
      <w:r>
        <w:rPr>
          <w:spacing w:val="80"/>
          <w:w w:val="150"/>
        </w:rPr>
        <w:t> </w:t>
      </w:r>
      <w:r>
        <w:rPr/>
        <w:t>профилактику</w:t>
      </w:r>
      <w:r>
        <w:rPr>
          <w:spacing w:val="80"/>
          <w:w w:val="150"/>
        </w:rPr>
        <w:t> </w:t>
      </w:r>
      <w:r>
        <w:rPr/>
        <w:t>заболеваний</w:t>
      </w:r>
      <w:r>
        <w:rPr>
          <w:spacing w:val="80"/>
        </w:rPr>
        <w:t> </w:t>
      </w:r>
      <w:r>
        <w:rPr/>
        <w:t>и формирование здорового образа жизни" государственной программы Российской Федерации "Развитие здравоохранения", утвержденной постановлением</w:t>
      </w:r>
      <w:r>
        <w:rPr>
          <w:spacing w:val="40"/>
        </w:rPr>
        <w:t> </w:t>
      </w:r>
      <w:r>
        <w:rPr/>
        <w:t>Правительства</w:t>
      </w:r>
      <w:r>
        <w:rPr>
          <w:spacing w:val="40"/>
        </w:rPr>
        <w:t> </w:t>
      </w:r>
      <w:r>
        <w:rPr/>
        <w:t>Российской</w:t>
      </w:r>
      <w:r>
        <w:rPr>
          <w:spacing w:val="40"/>
        </w:rPr>
        <w:t> </w:t>
      </w:r>
      <w:r>
        <w:rPr/>
        <w:t>Федерации</w:t>
      </w:r>
      <w:r>
        <w:rPr>
          <w:spacing w:val="40"/>
        </w:rPr>
        <w:t> </w:t>
      </w:r>
      <w:r>
        <w:rPr/>
        <w:t>от</w:t>
      </w:r>
      <w:r>
        <w:rPr>
          <w:spacing w:val="40"/>
        </w:rPr>
        <w:t> </w:t>
      </w:r>
      <w:r>
        <w:rPr/>
        <w:t>26</w:t>
      </w:r>
      <w:r>
        <w:rPr>
          <w:spacing w:val="40"/>
        </w:rPr>
        <w:t> </w:t>
      </w:r>
      <w:r>
        <w:rPr/>
        <w:t>декабря 2017</w:t>
      </w:r>
      <w:r>
        <w:rPr>
          <w:spacing w:val="-3"/>
        </w:rPr>
        <w:t> </w:t>
      </w:r>
      <w:r>
        <w:rPr/>
        <w:t>г. № 1640 "Об утверждении государственной программы Российской Федерации "Развитие здравоохранения";</w:t>
      </w:r>
    </w:p>
    <w:p>
      <w:pPr>
        <w:pStyle w:val="BodyText"/>
        <w:spacing w:line="268" w:lineRule="auto"/>
        <w:ind w:left="118" w:right="112" w:firstLine="707"/>
        <w:jc w:val="both"/>
      </w:pPr>
      <w:r>
        <w:rPr/>
        <w:t>дополнительных</w:t>
      </w:r>
      <w:r>
        <w:rPr>
          <w:spacing w:val="72"/>
        </w:rPr>
        <w:t>  </w:t>
      </w:r>
      <w:r>
        <w:rPr/>
        <w:t>мероприятий,</w:t>
      </w:r>
      <w:r>
        <w:rPr>
          <w:spacing w:val="73"/>
        </w:rPr>
        <w:t>  </w:t>
      </w:r>
      <w:r>
        <w:rPr/>
        <w:t>установленных</w:t>
      </w:r>
      <w:r>
        <w:rPr>
          <w:spacing w:val="74"/>
        </w:rPr>
        <w:t>  </w:t>
      </w:r>
      <w:r>
        <w:rPr/>
        <w:t>в</w:t>
      </w:r>
      <w:r>
        <w:rPr>
          <w:spacing w:val="73"/>
        </w:rPr>
        <w:t>  </w:t>
      </w:r>
      <w:r>
        <w:rPr/>
        <w:t>соответствии с законодательством Российской Федерации, включая оказание медицинской помощи (при необходимости за пределами Российской Федерации)</w:t>
      </w:r>
      <w:r>
        <w:rPr>
          <w:spacing w:val="80"/>
          <w:w w:val="150"/>
        </w:rPr>
        <w:t>  </w:t>
      </w:r>
      <w:r>
        <w:rPr/>
        <w:t>детям,</w:t>
      </w:r>
      <w:r>
        <w:rPr>
          <w:spacing w:val="80"/>
          <w:w w:val="150"/>
        </w:rPr>
        <w:t>  </w:t>
      </w:r>
      <w:r>
        <w:rPr/>
        <w:t>страдающим</w:t>
      </w:r>
      <w:r>
        <w:rPr>
          <w:spacing w:val="80"/>
          <w:w w:val="150"/>
        </w:rPr>
        <w:t>  </w:t>
      </w:r>
      <w:r>
        <w:rPr/>
        <w:t>тяжелыми</w:t>
      </w:r>
      <w:r>
        <w:rPr>
          <w:spacing w:val="80"/>
          <w:w w:val="150"/>
        </w:rPr>
        <w:t>  </w:t>
      </w:r>
      <w:r>
        <w:rPr/>
        <w:t>жизнеугрожающими</w:t>
      </w:r>
      <w:r>
        <w:rPr>
          <w:spacing w:val="40"/>
        </w:rPr>
        <w:t> </w:t>
      </w:r>
      <w:r>
        <w:rPr/>
        <w:t>и хроническими заболеваниями, в том числе прогрессирующими редкими (орфанными) заболеваниями, включая обеспечение лекарственными препаратами</w:t>
      </w:r>
      <w:r>
        <w:rPr>
          <w:spacing w:val="80"/>
        </w:rPr>
        <w:t>   </w:t>
      </w:r>
      <w:r>
        <w:rPr/>
        <w:t>и</w:t>
      </w:r>
      <w:r>
        <w:rPr>
          <w:spacing w:val="80"/>
        </w:rPr>
        <w:t>   </w:t>
      </w:r>
      <w:r>
        <w:rPr/>
        <w:t>медицинскими</w:t>
      </w:r>
      <w:r>
        <w:rPr>
          <w:spacing w:val="80"/>
        </w:rPr>
        <w:t>   </w:t>
      </w:r>
      <w:r>
        <w:rPr/>
        <w:t>изделиями,</w:t>
      </w:r>
      <w:r>
        <w:rPr>
          <w:spacing w:val="80"/>
        </w:rPr>
        <w:t>   </w:t>
      </w:r>
      <w:r>
        <w:rPr/>
        <w:t>в</w:t>
      </w:r>
      <w:r>
        <w:rPr>
          <w:spacing w:val="80"/>
        </w:rPr>
        <w:t>   </w:t>
      </w:r>
      <w:r>
        <w:rPr/>
        <w:t>том</w:t>
      </w:r>
      <w:r>
        <w:rPr>
          <w:spacing w:val="80"/>
        </w:rPr>
        <w:t>   </w:t>
      </w:r>
      <w:r>
        <w:rPr/>
        <w:t>числе</w:t>
      </w:r>
      <w:r>
        <w:rPr>
          <w:spacing w:val="40"/>
        </w:rPr>
        <w:t> </w:t>
      </w:r>
      <w:r>
        <w:rPr/>
        <w:t>не</w:t>
      </w:r>
      <w:r>
        <w:rPr>
          <w:spacing w:val="22"/>
        </w:rPr>
        <w:t> </w:t>
      </w:r>
      <w:r>
        <w:rPr/>
        <w:t>зарегистрированными</w:t>
      </w:r>
      <w:r>
        <w:rPr>
          <w:spacing w:val="26"/>
        </w:rPr>
        <w:t> </w:t>
      </w:r>
      <w:r>
        <w:rPr/>
        <w:t>в</w:t>
      </w:r>
      <w:r>
        <w:rPr>
          <w:spacing w:val="24"/>
        </w:rPr>
        <w:t> </w:t>
      </w:r>
      <w:r>
        <w:rPr/>
        <w:t>Российской</w:t>
      </w:r>
      <w:r>
        <w:rPr>
          <w:spacing w:val="23"/>
        </w:rPr>
        <w:t> </w:t>
      </w:r>
      <w:r>
        <w:rPr/>
        <w:t>Федерации,</w:t>
      </w:r>
      <w:r>
        <w:rPr>
          <w:spacing w:val="24"/>
        </w:rPr>
        <w:t> </w:t>
      </w:r>
      <w:r>
        <w:rPr/>
        <w:t>а</w:t>
      </w:r>
      <w:r>
        <w:rPr>
          <w:spacing w:val="25"/>
        </w:rPr>
        <w:t> </w:t>
      </w:r>
      <w:r>
        <w:rPr/>
        <w:t>также</w:t>
      </w:r>
      <w:r>
        <w:rPr>
          <w:spacing w:val="25"/>
        </w:rPr>
        <w:t> </w:t>
      </w:r>
      <w:r>
        <w:rPr>
          <w:spacing w:val="-2"/>
        </w:rPr>
        <w:t>техническими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средствами реабилитации, не включенными в федеральный перечень реабилитационных мероприятий и услуг, предоставляемых инвалиду;</w:t>
      </w:r>
    </w:p>
    <w:p>
      <w:pPr>
        <w:pStyle w:val="BodyText"/>
        <w:spacing w:line="268" w:lineRule="auto"/>
        <w:ind w:left="118" w:right="119" w:firstLine="707"/>
        <w:jc w:val="both"/>
      </w:pPr>
      <w:r>
        <w:rPr/>
        <w:t>медицинской</w:t>
      </w:r>
      <w:r>
        <w:rPr>
          <w:spacing w:val="68"/>
        </w:rPr>
        <w:t>  </w:t>
      </w:r>
      <w:r>
        <w:rPr/>
        <w:t>деятельности,</w:t>
      </w:r>
      <w:r>
        <w:rPr>
          <w:spacing w:val="68"/>
        </w:rPr>
        <w:t>  </w:t>
      </w:r>
      <w:r>
        <w:rPr/>
        <w:t>связанной</w:t>
      </w:r>
      <w:r>
        <w:rPr>
          <w:spacing w:val="68"/>
        </w:rPr>
        <w:t>  </w:t>
      </w:r>
      <w:r>
        <w:rPr/>
        <w:t>с</w:t>
      </w:r>
      <w:r>
        <w:rPr>
          <w:spacing w:val="67"/>
        </w:rPr>
        <w:t>  </w:t>
      </w:r>
      <w:r>
        <w:rPr/>
        <w:t>донорством</w:t>
      </w:r>
      <w:r>
        <w:rPr>
          <w:spacing w:val="67"/>
        </w:rPr>
        <w:t>  </w:t>
      </w:r>
      <w:r>
        <w:rPr/>
        <w:t>органов и тканей человека в целях трансплантации (пересадки).</w:t>
      </w:r>
    </w:p>
    <w:p>
      <w:pPr>
        <w:pStyle w:val="BodyText"/>
        <w:spacing w:line="268" w:lineRule="auto"/>
        <w:ind w:left="118" w:right="117" w:firstLine="707"/>
        <w:jc w:val="both"/>
      </w:pPr>
      <w:r>
        <w:rPr/>
        <w:t>За счет бюджетных ассигнований бюджетов субъектов Российской Федерации осуществляется финансовое обеспечение:</w:t>
      </w:r>
    </w:p>
    <w:p>
      <w:pPr>
        <w:pStyle w:val="BodyText"/>
        <w:spacing w:line="268" w:lineRule="auto"/>
        <w:ind w:left="118" w:right="110" w:firstLine="707"/>
        <w:jc w:val="both"/>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w:t>
      </w:r>
      <w:r>
        <w:rPr>
          <w:spacing w:val="40"/>
        </w:rPr>
        <w:t> </w:t>
      </w:r>
      <w:r>
        <w:rPr/>
        <w:t>воздушными</w:t>
      </w:r>
      <w:r>
        <w:rPr>
          <w:spacing w:val="40"/>
        </w:rPr>
        <w:t> </w:t>
      </w:r>
      <w:r>
        <w:rPr/>
        <w:t>судами,</w:t>
      </w:r>
      <w:r>
        <w:rPr>
          <w:spacing w:val="40"/>
        </w:rPr>
        <w:t> </w:t>
      </w:r>
      <w:r>
        <w:rPr/>
        <w:t>а</w:t>
      </w:r>
      <w:r>
        <w:rPr>
          <w:spacing w:val="40"/>
        </w:rPr>
        <w:t> </w:t>
      </w:r>
      <w:r>
        <w:rPr/>
        <w:t>также</w:t>
      </w:r>
      <w:r>
        <w:rPr>
          <w:spacing w:val="40"/>
        </w:rPr>
        <w:t> </w:t>
      </w:r>
      <w:r>
        <w:rPr/>
        <w:t>расходов,</w:t>
      </w:r>
      <w:r>
        <w:rPr>
          <w:spacing w:val="40"/>
        </w:rPr>
        <w:t> </w:t>
      </w:r>
      <w:r>
        <w:rPr/>
        <w:t>не</w:t>
      </w:r>
      <w:r>
        <w:rPr>
          <w:spacing w:val="40"/>
        </w:rPr>
        <w:t> </w:t>
      </w:r>
      <w:r>
        <w:rPr/>
        <w:t>включенных в</w:t>
      </w:r>
      <w:r>
        <w:rPr>
          <w:spacing w:val="40"/>
        </w:rPr>
        <w:t> </w:t>
      </w:r>
      <w:r>
        <w:rPr/>
        <w:t>структуру</w:t>
      </w:r>
      <w:r>
        <w:rPr>
          <w:spacing w:val="40"/>
        </w:rPr>
        <w:t> </w:t>
      </w:r>
      <w:r>
        <w:rPr/>
        <w:t>тарифов</w:t>
      </w:r>
      <w:r>
        <w:rPr>
          <w:spacing w:val="40"/>
        </w:rPr>
        <w:t> </w:t>
      </w:r>
      <w:r>
        <w:rPr/>
        <w:t>на</w:t>
      </w:r>
      <w:r>
        <w:rPr>
          <w:spacing w:val="40"/>
        </w:rPr>
        <w:t> </w:t>
      </w:r>
      <w:r>
        <w:rPr/>
        <w:t>оплату</w:t>
      </w:r>
      <w:r>
        <w:rPr>
          <w:spacing w:val="40"/>
        </w:rPr>
        <w:t> </w:t>
      </w:r>
      <w:r>
        <w:rPr/>
        <w:t>медицинской</w:t>
      </w:r>
      <w:r>
        <w:rPr>
          <w:spacing w:val="40"/>
        </w:rPr>
        <w:t> </w:t>
      </w:r>
      <w:r>
        <w:rPr/>
        <w:t>помощи,</w:t>
      </w:r>
      <w:r>
        <w:rPr>
          <w:spacing w:val="40"/>
        </w:rPr>
        <w:t> </w:t>
      </w:r>
      <w:r>
        <w:rPr/>
        <w:t>предусмотренную в территориальных программах обязательного медицинского страхования;</w:t>
      </w:r>
    </w:p>
    <w:p>
      <w:pPr>
        <w:pStyle w:val="BodyText"/>
        <w:spacing w:line="268" w:lineRule="auto"/>
        <w:ind w:left="118" w:right="117" w:firstLine="707"/>
        <w:jc w:val="both"/>
      </w:pPr>
      <w:r>
        <w:rPr/>
        <w:t>скорой, в том числе скорой специализированной, медицинской помощи не застрахованным по обязательному медицинскому страхованию </w:t>
      </w:r>
      <w:r>
        <w:rPr>
          <w:spacing w:val="-2"/>
        </w:rPr>
        <w:t>лицам;</w:t>
      </w:r>
    </w:p>
    <w:p>
      <w:pPr>
        <w:pStyle w:val="BodyText"/>
        <w:tabs>
          <w:tab w:pos="3205" w:val="left" w:leader="none"/>
          <w:tab w:pos="5640" w:val="left" w:leader="none"/>
          <w:tab w:pos="7528" w:val="left" w:leader="none"/>
        </w:tabs>
        <w:spacing w:line="268" w:lineRule="auto"/>
        <w:ind w:left="118" w:right="111" w:firstLine="707"/>
        <w:jc w:val="both"/>
      </w:pPr>
      <w:r>
        <w:rPr/>
        <w:t>первичной медико-санитарной и специализированной медицинской помощи</w:t>
      </w:r>
      <w:r>
        <w:rPr>
          <w:spacing w:val="32"/>
        </w:rPr>
        <w:t> </w:t>
      </w:r>
      <w:r>
        <w:rPr/>
        <w:t>в</w:t>
      </w:r>
      <w:r>
        <w:rPr>
          <w:spacing w:val="29"/>
        </w:rPr>
        <w:t> </w:t>
      </w:r>
      <w:r>
        <w:rPr/>
        <w:t>части</w:t>
      </w:r>
      <w:r>
        <w:rPr>
          <w:spacing w:val="32"/>
        </w:rPr>
        <w:t> </w:t>
      </w:r>
      <w:r>
        <w:rPr/>
        <w:t>медицинской</w:t>
      </w:r>
      <w:r>
        <w:rPr>
          <w:spacing w:val="30"/>
        </w:rPr>
        <w:t> </w:t>
      </w:r>
      <w:r>
        <w:rPr/>
        <w:t>помощи</w:t>
      </w:r>
      <w:r>
        <w:rPr>
          <w:spacing w:val="30"/>
        </w:rPr>
        <w:t> </w:t>
      </w:r>
      <w:r>
        <w:rPr/>
        <w:t>при</w:t>
      </w:r>
      <w:r>
        <w:rPr>
          <w:spacing w:val="32"/>
        </w:rPr>
        <w:t> </w:t>
      </w:r>
      <w:r>
        <w:rPr/>
        <w:t>заболеваниях,</w:t>
      </w:r>
      <w:r>
        <w:rPr>
          <w:spacing w:val="29"/>
        </w:rPr>
        <w:t> </w:t>
      </w:r>
      <w:r>
        <w:rPr/>
        <w:t>не</w:t>
      </w:r>
      <w:r>
        <w:rPr>
          <w:spacing w:val="32"/>
        </w:rPr>
        <w:t> </w:t>
      </w:r>
      <w:r>
        <w:rPr/>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rPr>
          <w:spacing w:val="-2"/>
        </w:rPr>
        <w:t>профилактические</w:t>
      </w:r>
      <w:r>
        <w:rPr/>
        <w:tab/>
      </w:r>
      <w:r>
        <w:rPr>
          <w:spacing w:val="-2"/>
        </w:rPr>
        <w:t>медицинские</w:t>
      </w:r>
      <w:r>
        <w:rPr/>
        <w:tab/>
      </w:r>
      <w:r>
        <w:rPr>
          <w:spacing w:val="-2"/>
        </w:rPr>
        <w:t>осмотры</w:t>
      </w:r>
      <w:r>
        <w:rPr/>
        <w:tab/>
      </w:r>
      <w:r>
        <w:rPr>
          <w:spacing w:val="-2"/>
        </w:rPr>
        <w:t>обучающихся </w:t>
      </w:r>
      <w:r>
        <w:rPr/>
        <w:t>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w:t>
      </w:r>
      <w:r>
        <w:rPr>
          <w:spacing w:val="-1"/>
        </w:rPr>
        <w:t> </w:t>
      </w:r>
      <w:r>
        <w:rPr/>
        <w:t>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 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BodyText"/>
        <w:spacing w:line="268" w:lineRule="auto"/>
        <w:ind w:left="118" w:right="118" w:firstLine="707"/>
        <w:jc w:val="both"/>
      </w:pPr>
      <w:r>
        <w:rPr/>
        <w:t>паллиативной</w:t>
      </w:r>
      <w:r>
        <w:rPr>
          <w:spacing w:val="80"/>
          <w:w w:val="150"/>
        </w:rPr>
        <w:t> </w:t>
      </w:r>
      <w:r>
        <w:rPr/>
        <w:t>медицинской</w:t>
      </w:r>
      <w:r>
        <w:rPr>
          <w:spacing w:val="80"/>
          <w:w w:val="150"/>
        </w:rPr>
        <w:t> </w:t>
      </w:r>
      <w:r>
        <w:rPr/>
        <w:t>помощи,</w:t>
      </w:r>
      <w:r>
        <w:rPr>
          <w:spacing w:val="80"/>
          <w:w w:val="150"/>
        </w:rPr>
        <w:t> </w:t>
      </w:r>
      <w:r>
        <w:rPr/>
        <w:t>оказываемой</w:t>
      </w:r>
      <w:r>
        <w:rPr>
          <w:spacing w:val="80"/>
          <w:w w:val="150"/>
        </w:rPr>
        <w:t> </w:t>
      </w:r>
      <w:r>
        <w:rPr/>
        <w:t>амбулаторно,</w:t>
      </w:r>
      <w:r>
        <w:rPr>
          <w:spacing w:val="40"/>
        </w:rPr>
        <w:t> </w:t>
      </w:r>
      <w:r>
        <w:rPr/>
        <w:t>в том числе на дому, включая медицинскую помощь, оказываемую выездными</w:t>
      </w:r>
      <w:r>
        <w:rPr>
          <w:spacing w:val="65"/>
        </w:rPr>
        <w:t>   </w:t>
      </w:r>
      <w:r>
        <w:rPr/>
        <w:t>патронажными</w:t>
      </w:r>
      <w:r>
        <w:rPr>
          <w:spacing w:val="65"/>
        </w:rPr>
        <w:t>   </w:t>
      </w:r>
      <w:r>
        <w:rPr/>
        <w:t>бригадами,</w:t>
      </w:r>
      <w:r>
        <w:rPr>
          <w:spacing w:val="65"/>
        </w:rPr>
        <w:t>   </w:t>
      </w:r>
      <w:r>
        <w:rPr/>
        <w:t>в</w:t>
      </w:r>
      <w:r>
        <w:rPr>
          <w:spacing w:val="65"/>
        </w:rPr>
        <w:t>   </w:t>
      </w:r>
      <w:r>
        <w:rPr/>
        <w:t>дневном</w:t>
      </w:r>
      <w:r>
        <w:rPr>
          <w:spacing w:val="65"/>
        </w:rPr>
        <w:t>   </w:t>
      </w:r>
      <w:r>
        <w:rPr>
          <w:spacing w:val="-2"/>
        </w:rPr>
        <w:t>стационаре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и стационарно, включая койки паллиативной медицинской помощи и койки сестринского ухода;</w:t>
      </w:r>
    </w:p>
    <w:p>
      <w:pPr>
        <w:pStyle w:val="BodyText"/>
        <w:spacing w:line="268" w:lineRule="auto"/>
        <w:ind w:left="118" w:right="112" w:firstLine="707"/>
        <w:jc w:val="both"/>
      </w:pPr>
      <w:r>
        <w:rPr/>
        <w:t>высокотехнологичной</w:t>
      </w:r>
      <w:r>
        <w:rPr>
          <w:spacing w:val="80"/>
        </w:rPr>
        <w:t>   </w:t>
      </w:r>
      <w:r>
        <w:rPr/>
        <w:t>медицинской</w:t>
      </w:r>
      <w:r>
        <w:rPr>
          <w:spacing w:val="80"/>
        </w:rPr>
        <w:t>   </w:t>
      </w:r>
      <w:r>
        <w:rPr/>
        <w:t>помощи,</w:t>
      </w:r>
      <w:r>
        <w:rPr>
          <w:spacing w:val="80"/>
        </w:rPr>
        <w:t>   </w:t>
      </w:r>
      <w:r>
        <w:rPr/>
        <w:t>оказываемой</w:t>
      </w:r>
      <w:r>
        <w:rPr>
          <w:spacing w:val="40"/>
        </w:rPr>
        <w:t> </w:t>
      </w:r>
      <w:r>
        <w:rPr/>
        <w:t>в</w:t>
      </w:r>
      <w:r>
        <w:rPr>
          <w:spacing w:val="-2"/>
        </w:rPr>
        <w:t> </w:t>
      </w:r>
      <w:r>
        <w:rPr/>
        <w:t>медицинских</w:t>
      </w:r>
      <w:r>
        <w:rPr>
          <w:spacing w:val="-3"/>
        </w:rPr>
        <w:t> </w:t>
      </w:r>
      <w:r>
        <w:rPr/>
        <w:t>организациях,</w:t>
      </w:r>
      <w:r>
        <w:rPr>
          <w:spacing w:val="-4"/>
        </w:rPr>
        <w:t> </w:t>
      </w:r>
      <w:r>
        <w:rPr/>
        <w:t>подведомственных</w:t>
      </w:r>
      <w:r>
        <w:rPr>
          <w:spacing w:val="-1"/>
        </w:rPr>
        <w:t> </w:t>
      </w:r>
      <w:r>
        <w:rPr/>
        <w:t>исполнительным</w:t>
      </w:r>
      <w:r>
        <w:rPr>
          <w:spacing w:val="-4"/>
        </w:rPr>
        <w:t> </w:t>
      </w:r>
      <w:r>
        <w:rPr/>
        <w:t>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pPr>
        <w:pStyle w:val="BodyText"/>
        <w:spacing w:line="268" w:lineRule="auto"/>
        <w:ind w:left="118" w:right="112" w:firstLine="707"/>
        <w:jc w:val="both"/>
      </w:pPr>
      <w:r>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BodyText"/>
        <w:spacing w:line="268" w:lineRule="auto"/>
        <w:ind w:left="118" w:right="114" w:firstLine="707"/>
        <w:jc w:val="both"/>
      </w:pPr>
      <w:r>
        <w:rPr/>
        <w:t>Финансовое</w:t>
      </w:r>
      <w:r>
        <w:rPr>
          <w:spacing w:val="80"/>
          <w:w w:val="150"/>
        </w:rPr>
        <w:t>   </w:t>
      </w:r>
      <w:r>
        <w:rPr/>
        <w:t>обеспечение</w:t>
      </w:r>
      <w:r>
        <w:rPr>
          <w:spacing w:val="79"/>
          <w:w w:val="150"/>
        </w:rPr>
        <w:t>   </w:t>
      </w:r>
      <w:r>
        <w:rPr/>
        <w:t>оказания</w:t>
      </w:r>
      <w:r>
        <w:rPr>
          <w:spacing w:val="80"/>
          <w:w w:val="150"/>
        </w:rPr>
        <w:t>   </w:t>
      </w:r>
      <w:r>
        <w:rPr/>
        <w:t>социальных</w:t>
      </w:r>
      <w:r>
        <w:rPr>
          <w:spacing w:val="80"/>
          <w:w w:val="150"/>
        </w:rPr>
        <w:t>   </w:t>
      </w:r>
      <w:r>
        <w:rPr/>
        <w:t>услуг и</w:t>
      </w:r>
      <w:r>
        <w:rPr>
          <w:spacing w:val="61"/>
        </w:rPr>
        <w:t>  </w:t>
      </w:r>
      <w:r>
        <w:rPr/>
        <w:t>предоставления</w:t>
      </w:r>
      <w:r>
        <w:rPr>
          <w:spacing w:val="60"/>
        </w:rPr>
        <w:t>  </w:t>
      </w:r>
      <w:r>
        <w:rPr/>
        <w:t>мер</w:t>
      </w:r>
      <w:r>
        <w:rPr>
          <w:spacing w:val="62"/>
        </w:rPr>
        <w:t>  </w:t>
      </w:r>
      <w:r>
        <w:rPr/>
        <w:t>социальной</w:t>
      </w:r>
      <w:r>
        <w:rPr>
          <w:spacing w:val="61"/>
        </w:rPr>
        <w:t>  </w:t>
      </w:r>
      <w:r>
        <w:rPr/>
        <w:t>защиты</w:t>
      </w:r>
      <w:r>
        <w:rPr>
          <w:spacing w:val="62"/>
        </w:rPr>
        <w:t>  </w:t>
      </w:r>
      <w:r>
        <w:rPr/>
        <w:t>(поддержки)</w:t>
      </w:r>
      <w:r>
        <w:rPr>
          <w:spacing w:val="60"/>
        </w:rPr>
        <w:t>  </w:t>
      </w:r>
      <w:r>
        <w:rPr/>
        <w:t>пациента, в том числе в рамках деятельности выездных патронажных бригад, осуществляется в соответствии с законодательством Российской </w:t>
      </w:r>
      <w:r>
        <w:rPr>
          <w:spacing w:val="-2"/>
        </w:rPr>
        <w:t>Федерации.</w:t>
      </w:r>
    </w:p>
    <w:p>
      <w:pPr>
        <w:pStyle w:val="BodyText"/>
        <w:spacing w:line="268" w:lineRule="auto"/>
        <w:ind w:left="118" w:right="111" w:firstLine="707"/>
        <w:jc w:val="both"/>
      </w:pPr>
      <w:r>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w:t>
      </w:r>
      <w:r>
        <w:rPr>
          <w:spacing w:val="80"/>
          <w:w w:val="150"/>
        </w:rPr>
        <w:t>  </w:t>
      </w:r>
      <w:r>
        <w:rPr/>
        <w:t>возмещение</w:t>
      </w:r>
      <w:r>
        <w:rPr>
          <w:spacing w:val="80"/>
          <w:w w:val="150"/>
        </w:rPr>
        <w:t>  </w:t>
      </w:r>
      <w:r>
        <w:rPr/>
        <w:t>субъекту</w:t>
      </w:r>
      <w:r>
        <w:rPr>
          <w:spacing w:val="80"/>
          <w:w w:val="150"/>
        </w:rPr>
        <w:t>  </w:t>
      </w:r>
      <w:r>
        <w:rPr/>
        <w:t>Российской</w:t>
      </w:r>
      <w:r>
        <w:rPr>
          <w:spacing w:val="80"/>
          <w:w w:val="150"/>
        </w:rPr>
        <w:t>  </w:t>
      </w:r>
      <w:r>
        <w:rPr/>
        <w:t>Федерации,</w:t>
      </w:r>
      <w:r>
        <w:rPr>
          <w:spacing w:val="80"/>
          <w:w w:val="150"/>
        </w:rPr>
        <w:t> </w:t>
      </w:r>
      <w:r>
        <w:rPr/>
        <w:t>на</w:t>
      </w:r>
      <w:r>
        <w:rPr>
          <w:spacing w:val="-4"/>
        </w:rPr>
        <w:t> </w:t>
      </w:r>
      <w:r>
        <w:rPr/>
        <w:t>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w:t>
      </w:r>
      <w:r>
        <w:rPr>
          <w:spacing w:val="40"/>
        </w:rPr>
        <w:t>  </w:t>
      </w:r>
      <w:r>
        <w:rPr/>
        <w:t>страхования,</w:t>
      </w:r>
      <w:r>
        <w:rPr>
          <w:spacing w:val="40"/>
        </w:rPr>
        <w:t>  </w:t>
      </w:r>
      <w:r>
        <w:rPr/>
        <w:t>и</w:t>
      </w:r>
      <w:r>
        <w:rPr>
          <w:spacing w:val="40"/>
        </w:rPr>
        <w:t>  </w:t>
      </w:r>
      <w:r>
        <w:rPr/>
        <w:t>паллиативной</w:t>
      </w:r>
      <w:r>
        <w:rPr>
          <w:spacing w:val="40"/>
        </w:rPr>
        <w:t>  </w:t>
      </w:r>
      <w:r>
        <w:rPr/>
        <w:t>медицинской</w:t>
      </w:r>
      <w:r>
        <w:rPr>
          <w:spacing w:val="40"/>
        </w:rPr>
        <w:t>  </w:t>
      </w:r>
      <w:r>
        <w:rPr/>
        <w:t>помощи, на</w:t>
      </w:r>
      <w:r>
        <w:rPr>
          <w:spacing w:val="-4"/>
        </w:rPr>
        <w:t> </w:t>
      </w:r>
      <w:r>
        <w:rPr/>
        <w:t>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BodyText"/>
        <w:spacing w:line="268" w:lineRule="auto"/>
        <w:ind w:left="118" w:right="117" w:firstLine="707"/>
        <w:jc w:val="both"/>
      </w:pPr>
      <w:r>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BodyText"/>
        <w:spacing w:line="268" w:lineRule="auto"/>
        <w:ind w:left="118" w:right="120" w:firstLine="707"/>
        <w:jc w:val="both"/>
      </w:pPr>
      <w:r>
        <w:rPr/>
        <w:t>За счет бюджетных ассигнований бюджетов субъектов Российской Федерации осуществляются: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firstLine="707"/>
        <w:jc w:val="both"/>
      </w:pPr>
      <w:r>
        <w:rPr/>
        <w:t>обеспечение граждан зарегистрированными в установленном</w:t>
      </w:r>
      <w:r>
        <w:rPr>
          <w:spacing w:val="40"/>
        </w:rPr>
        <w:t> </w:t>
      </w:r>
      <w:r>
        <w:rPr/>
        <w:t>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BodyText"/>
        <w:spacing w:line="268" w:lineRule="auto"/>
        <w:ind w:left="118" w:right="115" w:firstLine="707"/>
        <w:jc w:val="both"/>
      </w:pPr>
      <w:r>
        <w:rPr/>
        <w:t>обеспечение</w:t>
      </w:r>
      <w:r>
        <w:rPr>
          <w:spacing w:val="80"/>
          <w:w w:val="150"/>
        </w:rPr>
        <w:t>  </w:t>
      </w:r>
      <w:r>
        <w:rPr/>
        <w:t>лекарственными</w:t>
      </w:r>
      <w:r>
        <w:rPr>
          <w:spacing w:val="80"/>
          <w:w w:val="150"/>
        </w:rPr>
        <w:t>  </w:t>
      </w:r>
      <w:r>
        <w:rPr/>
        <w:t>препаратами</w:t>
      </w:r>
      <w:r>
        <w:rPr>
          <w:spacing w:val="80"/>
          <w:w w:val="150"/>
        </w:rPr>
        <w:t>  </w:t>
      </w:r>
      <w:r>
        <w:rPr/>
        <w:t>в</w:t>
      </w:r>
      <w:r>
        <w:rPr>
          <w:spacing w:val="80"/>
          <w:w w:val="150"/>
        </w:rPr>
        <w:t>  </w:t>
      </w:r>
      <w:r>
        <w:rPr/>
        <w:t>соответствии</w:t>
      </w:r>
      <w:r>
        <w:rPr>
          <w:spacing w:val="40"/>
        </w:rPr>
        <w:t> </w:t>
      </w:r>
      <w:r>
        <w:rPr/>
        <w:t>с перечнем групп населения и категорий заболеваний, при амбулаторном лечении</w:t>
      </w:r>
      <w:r>
        <w:rPr>
          <w:spacing w:val="80"/>
          <w:w w:val="150"/>
        </w:rPr>
        <w:t> </w:t>
      </w:r>
      <w:r>
        <w:rPr/>
        <w:t>которых</w:t>
      </w:r>
      <w:r>
        <w:rPr>
          <w:spacing w:val="80"/>
          <w:w w:val="150"/>
        </w:rPr>
        <w:t> </w:t>
      </w:r>
      <w:r>
        <w:rPr/>
        <w:t>лекарственные</w:t>
      </w:r>
      <w:r>
        <w:rPr>
          <w:spacing w:val="80"/>
          <w:w w:val="150"/>
        </w:rPr>
        <w:t> </w:t>
      </w:r>
      <w:r>
        <w:rPr/>
        <w:t>препараты</w:t>
      </w:r>
      <w:r>
        <w:rPr>
          <w:spacing w:val="80"/>
          <w:w w:val="150"/>
        </w:rPr>
        <w:t> </w:t>
      </w:r>
      <w:r>
        <w:rPr/>
        <w:t>и</w:t>
      </w:r>
      <w:r>
        <w:rPr>
          <w:spacing w:val="80"/>
          <w:w w:val="150"/>
        </w:rPr>
        <w:t> </w:t>
      </w:r>
      <w:r>
        <w:rPr/>
        <w:t>медицинские</w:t>
      </w:r>
      <w:r>
        <w:rPr>
          <w:spacing w:val="80"/>
          <w:w w:val="150"/>
        </w:rPr>
        <w:t> </w:t>
      </w:r>
      <w:r>
        <w:rPr/>
        <w:t>изделия</w:t>
      </w:r>
      <w:r>
        <w:rPr>
          <w:spacing w:val="80"/>
          <w:w w:val="150"/>
        </w:rPr>
        <w:t> </w:t>
      </w:r>
      <w:r>
        <w:rPr/>
        <w:t>в соответствии с законодательством Российской Федерации отпускаются по рецептам врачей бесплатно;</w:t>
      </w:r>
    </w:p>
    <w:p>
      <w:pPr>
        <w:pStyle w:val="BodyText"/>
        <w:spacing w:line="268" w:lineRule="auto"/>
        <w:ind w:left="118" w:right="110" w:firstLine="707"/>
        <w:jc w:val="both"/>
      </w:pPr>
      <w:r>
        <w:rPr/>
        <w:t>обеспечение</w:t>
      </w:r>
      <w:r>
        <w:rPr>
          <w:spacing w:val="80"/>
          <w:w w:val="150"/>
        </w:rPr>
        <w:t>  </w:t>
      </w:r>
      <w:r>
        <w:rPr/>
        <w:t>лекарственными</w:t>
      </w:r>
      <w:r>
        <w:rPr>
          <w:spacing w:val="80"/>
          <w:w w:val="150"/>
        </w:rPr>
        <w:t>  </w:t>
      </w:r>
      <w:r>
        <w:rPr/>
        <w:t>препаратами</w:t>
      </w:r>
      <w:r>
        <w:rPr>
          <w:spacing w:val="80"/>
          <w:w w:val="150"/>
        </w:rPr>
        <w:t>  </w:t>
      </w:r>
      <w:r>
        <w:rPr/>
        <w:t>в</w:t>
      </w:r>
      <w:r>
        <w:rPr>
          <w:spacing w:val="80"/>
          <w:w w:val="150"/>
        </w:rPr>
        <w:t>  </w:t>
      </w:r>
      <w:r>
        <w:rPr/>
        <w:t>соответствии</w:t>
      </w:r>
      <w:r>
        <w:rPr>
          <w:spacing w:val="40"/>
        </w:rPr>
        <w:t> </w:t>
      </w:r>
      <w:r>
        <w:rPr/>
        <w:t>с перечнем групп населения, при амбулаторном лечении которых лекарственные</w:t>
      </w:r>
      <w:r>
        <w:rPr>
          <w:spacing w:val="80"/>
        </w:rPr>
        <w:t>   </w:t>
      </w:r>
      <w:r>
        <w:rPr/>
        <w:t>препараты</w:t>
      </w:r>
      <w:r>
        <w:rPr>
          <w:spacing w:val="80"/>
        </w:rPr>
        <w:t>   </w:t>
      </w:r>
      <w:r>
        <w:rPr/>
        <w:t>отпускаются</w:t>
      </w:r>
      <w:r>
        <w:rPr>
          <w:spacing w:val="80"/>
        </w:rPr>
        <w:t>   </w:t>
      </w:r>
      <w:r>
        <w:rPr/>
        <w:t>по</w:t>
      </w:r>
      <w:r>
        <w:rPr>
          <w:spacing w:val="80"/>
        </w:rPr>
        <w:t>   </w:t>
      </w:r>
      <w:r>
        <w:rPr/>
        <w:t>рецептам</w:t>
      </w:r>
      <w:r>
        <w:rPr>
          <w:spacing w:val="80"/>
        </w:rPr>
        <w:t>   </w:t>
      </w:r>
      <w:r>
        <w:rPr/>
        <w:t>врачей с 50-процентной скидкой;</w:t>
      </w:r>
    </w:p>
    <w:p>
      <w:pPr>
        <w:pStyle w:val="BodyText"/>
        <w:spacing w:line="268" w:lineRule="auto"/>
        <w:ind w:left="118" w:right="114" w:firstLine="707"/>
        <w:jc w:val="both"/>
      </w:pPr>
      <w:r>
        <w:rPr/>
        <w:t>пренатальная (дородовая) диагностика нарушений развития ребенка</w:t>
      </w:r>
      <w:r>
        <w:rPr>
          <w:spacing w:val="40"/>
        </w:rPr>
        <w:t> </w:t>
      </w:r>
      <w:r>
        <w:rPr/>
        <w:t>у</w:t>
      </w:r>
      <w:r>
        <w:rPr>
          <w:spacing w:val="80"/>
        </w:rPr>
        <w:t> </w:t>
      </w:r>
      <w:r>
        <w:rPr/>
        <w:t>беременных</w:t>
      </w:r>
      <w:r>
        <w:rPr>
          <w:spacing w:val="80"/>
        </w:rPr>
        <w:t> </w:t>
      </w:r>
      <w:r>
        <w:rPr/>
        <w:t>женщин,</w:t>
      </w:r>
      <w:r>
        <w:rPr>
          <w:spacing w:val="80"/>
        </w:rPr>
        <w:t> </w:t>
      </w:r>
      <w:r>
        <w:rPr/>
        <w:t>неонатальный</w:t>
      </w:r>
      <w:r>
        <w:rPr>
          <w:spacing w:val="80"/>
        </w:rPr>
        <w:t> </w:t>
      </w:r>
      <w:r>
        <w:rPr/>
        <w:t>скрининг</w:t>
      </w:r>
      <w:r>
        <w:rPr>
          <w:spacing w:val="80"/>
        </w:rPr>
        <w:t> </w:t>
      </w:r>
      <w:r>
        <w:rPr/>
        <w:t>на</w:t>
      </w:r>
      <w:r>
        <w:rPr>
          <w:spacing w:val="80"/>
        </w:rPr>
        <w:t> </w:t>
      </w:r>
      <w:r>
        <w:rPr/>
        <w:t>5</w:t>
      </w:r>
      <w:r>
        <w:rPr>
          <w:spacing w:val="80"/>
        </w:rPr>
        <w:t> </w:t>
      </w:r>
      <w:r>
        <w:rPr/>
        <w:t>наследственных</w:t>
      </w:r>
      <w:r>
        <w:rPr>
          <w:spacing w:val="80"/>
        </w:rPr>
        <w:t> </w:t>
      </w:r>
      <w:r>
        <w:rPr/>
        <w:t>и врожденных заболеваний в части исследований и консультаций, осуществляемых</w:t>
      </w:r>
      <w:r>
        <w:rPr>
          <w:spacing w:val="80"/>
        </w:rPr>
        <w:t>  </w:t>
      </w:r>
      <w:r>
        <w:rPr/>
        <w:t>медико-генетическими</w:t>
      </w:r>
      <w:r>
        <w:rPr>
          <w:spacing w:val="80"/>
        </w:rPr>
        <w:t>  </w:t>
      </w:r>
      <w:r>
        <w:rPr/>
        <w:t>центрами</w:t>
      </w:r>
      <w:r>
        <w:rPr>
          <w:spacing w:val="80"/>
        </w:rPr>
        <w:t>  </w:t>
      </w:r>
      <w:r>
        <w:rPr/>
        <w:t>(консультациями), а также медико-генетических исследований в соответствующих структурных подразделениях медицинских организаций;</w:t>
      </w:r>
    </w:p>
    <w:p>
      <w:pPr>
        <w:pStyle w:val="BodyText"/>
        <w:spacing w:line="268" w:lineRule="auto"/>
        <w:ind w:left="118" w:right="118" w:firstLine="707"/>
        <w:jc w:val="both"/>
      </w:pPr>
      <w:r>
        <w:rPr/>
        <w:t>зубное</w:t>
      </w:r>
      <w:r>
        <w:rPr>
          <w:spacing w:val="80"/>
        </w:rPr>
        <w:t>   </w:t>
      </w:r>
      <w:r>
        <w:rPr/>
        <w:t>протезирование</w:t>
      </w:r>
      <w:r>
        <w:rPr>
          <w:spacing w:val="80"/>
        </w:rPr>
        <w:t>   </w:t>
      </w:r>
      <w:r>
        <w:rPr/>
        <w:t>отдельным</w:t>
      </w:r>
      <w:r>
        <w:rPr>
          <w:spacing w:val="80"/>
        </w:rPr>
        <w:t>   </w:t>
      </w:r>
      <w:r>
        <w:rPr/>
        <w:t>категориям</w:t>
      </w:r>
      <w:r>
        <w:rPr>
          <w:spacing w:val="80"/>
        </w:rPr>
        <w:t>   </w:t>
      </w:r>
      <w:r>
        <w:rPr/>
        <w:t>граждан</w:t>
      </w:r>
      <w:r>
        <w:rPr>
          <w:spacing w:val="80"/>
        </w:rPr>
        <w:t> </w:t>
      </w:r>
      <w:r>
        <w:rPr/>
        <w:t>в соответствии с законодательством Российской Федерации, в том числе лицам, находящимся в стационарных организациях социального </w:t>
      </w:r>
      <w:r>
        <w:rPr>
          <w:spacing w:val="-2"/>
        </w:rPr>
        <w:t>обслуживания;</w:t>
      </w:r>
    </w:p>
    <w:p>
      <w:pPr>
        <w:pStyle w:val="BodyText"/>
        <w:spacing w:line="268" w:lineRule="auto"/>
        <w:ind w:left="118" w:right="116" w:firstLine="707"/>
        <w:jc w:val="both"/>
      </w:pPr>
      <w:r>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w:t>
      </w:r>
      <w:r>
        <w:rPr>
          <w:spacing w:val="-1"/>
        </w:rPr>
        <w:t> </w:t>
      </w:r>
      <w:r>
        <w:rPr/>
        <w:t>Федерации,</w:t>
      </w:r>
      <w:r>
        <w:rPr>
          <w:spacing w:val="-2"/>
        </w:rPr>
        <w:t> </w:t>
      </w:r>
      <w:r>
        <w:rPr/>
        <w:t>а</w:t>
      </w:r>
      <w:r>
        <w:rPr>
          <w:spacing w:val="-1"/>
        </w:rPr>
        <w:t> </w:t>
      </w:r>
      <w:r>
        <w:rPr/>
        <w:t>также</w:t>
      </w:r>
      <w:r>
        <w:rPr>
          <w:spacing w:val="-1"/>
        </w:rPr>
        <w:t> </w:t>
      </w:r>
      <w:r>
        <w:rPr/>
        <w:t>обеспечение</w:t>
      </w:r>
      <w:r>
        <w:rPr>
          <w:spacing w:val="-1"/>
        </w:rPr>
        <w:t> </w:t>
      </w:r>
      <w:r>
        <w:rPr/>
        <w:t>лекарственными препаратами для</w:t>
      </w:r>
      <w:r>
        <w:rPr>
          <w:spacing w:val="80"/>
        </w:rPr>
        <w:t> </w:t>
      </w:r>
      <w:r>
        <w:rPr/>
        <w:t>обезболивания,</w:t>
      </w:r>
      <w:r>
        <w:rPr>
          <w:spacing w:val="80"/>
        </w:rPr>
        <w:t> </w:t>
      </w:r>
      <w:r>
        <w:rPr/>
        <w:t>включая</w:t>
      </w:r>
      <w:r>
        <w:rPr>
          <w:spacing w:val="80"/>
        </w:rPr>
        <w:t> </w:t>
      </w:r>
      <w:r>
        <w:rPr/>
        <w:t>наркотические</w:t>
      </w:r>
      <w:r>
        <w:rPr>
          <w:spacing w:val="80"/>
        </w:rPr>
        <w:t> </w:t>
      </w:r>
      <w:r>
        <w:rPr/>
        <w:t>лекарственные</w:t>
      </w:r>
      <w:r>
        <w:rPr>
          <w:spacing w:val="80"/>
        </w:rPr>
        <w:t> </w:t>
      </w:r>
      <w:r>
        <w:rPr/>
        <w:t>препараты</w:t>
      </w:r>
      <w:r>
        <w:rPr>
          <w:spacing w:val="80"/>
        </w:rPr>
        <w:t> </w:t>
      </w:r>
      <w:r>
        <w:rPr/>
        <w:t>и психотропные лекарственные препараты, при посещениях на дому;</w:t>
      </w:r>
    </w:p>
    <w:p>
      <w:pPr>
        <w:pStyle w:val="BodyText"/>
        <w:spacing w:line="268" w:lineRule="auto"/>
        <w:ind w:left="118" w:right="118" w:firstLine="707"/>
        <w:jc w:val="both"/>
      </w:pPr>
      <w:r>
        <w:rPr/>
        <w:t>обеспечение медицинской деятельности, связанной с донорством органов</w:t>
      </w:r>
      <w:r>
        <w:rPr>
          <w:spacing w:val="63"/>
        </w:rPr>
        <w:t>  </w:t>
      </w:r>
      <w:r>
        <w:rPr/>
        <w:t>и</w:t>
      </w:r>
      <w:r>
        <w:rPr>
          <w:spacing w:val="63"/>
        </w:rPr>
        <w:t>  </w:t>
      </w:r>
      <w:r>
        <w:rPr/>
        <w:t>тканей</w:t>
      </w:r>
      <w:r>
        <w:rPr>
          <w:spacing w:val="62"/>
        </w:rPr>
        <w:t>  </w:t>
      </w:r>
      <w:r>
        <w:rPr/>
        <w:t>человека</w:t>
      </w:r>
      <w:r>
        <w:rPr>
          <w:spacing w:val="63"/>
        </w:rPr>
        <w:t>  </w:t>
      </w:r>
      <w:r>
        <w:rPr/>
        <w:t>в</w:t>
      </w:r>
      <w:r>
        <w:rPr>
          <w:spacing w:val="63"/>
        </w:rPr>
        <w:t>  </w:t>
      </w:r>
      <w:r>
        <w:rPr/>
        <w:t>целях</w:t>
      </w:r>
      <w:r>
        <w:rPr>
          <w:spacing w:val="64"/>
        </w:rPr>
        <w:t>  </w:t>
      </w:r>
      <w:r>
        <w:rPr/>
        <w:t>трансплантации</w:t>
      </w:r>
      <w:r>
        <w:rPr>
          <w:spacing w:val="63"/>
        </w:rPr>
        <w:t>  </w:t>
      </w:r>
      <w:r>
        <w:rPr/>
        <w:t>(пересадки), в</w:t>
      </w:r>
      <w:r>
        <w:rPr>
          <w:spacing w:val="-3"/>
        </w:rPr>
        <w:t> </w:t>
      </w:r>
      <w:r>
        <w:rPr/>
        <w:t>медицинских</w:t>
      </w:r>
      <w:r>
        <w:rPr>
          <w:spacing w:val="-4"/>
        </w:rPr>
        <w:t> </w:t>
      </w:r>
      <w:r>
        <w:rPr/>
        <w:t>организациях,</w:t>
      </w:r>
      <w:r>
        <w:rPr>
          <w:spacing w:val="-5"/>
        </w:rPr>
        <w:t> </w:t>
      </w:r>
      <w:r>
        <w:rPr/>
        <w:t>подведомственных</w:t>
      </w:r>
      <w:r>
        <w:rPr>
          <w:spacing w:val="-2"/>
        </w:rPr>
        <w:t> </w:t>
      </w:r>
      <w:r>
        <w:rPr/>
        <w:t>исполнительным</w:t>
      </w:r>
      <w:r>
        <w:rPr>
          <w:spacing w:val="-5"/>
        </w:rPr>
        <w:t> </w:t>
      </w:r>
      <w:r>
        <w:rPr/>
        <w:t>органам государственной власти субъектов Российской Федерации.</w:t>
      </w:r>
    </w:p>
    <w:p>
      <w:pPr>
        <w:pStyle w:val="BodyText"/>
        <w:spacing w:line="268" w:lineRule="auto"/>
        <w:ind w:left="118" w:right="118" w:firstLine="707"/>
        <w:jc w:val="both"/>
      </w:pPr>
      <w:r>
        <w:rPr/>
        <w:t>В</w:t>
      </w:r>
      <w:r>
        <w:rPr>
          <w:spacing w:val="40"/>
        </w:rPr>
        <w:t> </w:t>
      </w:r>
      <w:r>
        <w:rPr/>
        <w:t>рамках</w:t>
      </w:r>
      <w:r>
        <w:rPr>
          <w:spacing w:val="40"/>
        </w:rPr>
        <w:t> </w:t>
      </w:r>
      <w:r>
        <w:rPr/>
        <w:t>территориальной</w:t>
      </w:r>
      <w:r>
        <w:rPr>
          <w:spacing w:val="40"/>
        </w:rPr>
        <w:t> </w:t>
      </w:r>
      <w:r>
        <w:rPr/>
        <w:t>программы</w:t>
      </w:r>
      <w:r>
        <w:rPr>
          <w:spacing w:val="40"/>
        </w:rPr>
        <w:t> </w:t>
      </w:r>
      <w:r>
        <w:rPr/>
        <w:t>государственных</w:t>
      </w:r>
      <w:r>
        <w:rPr>
          <w:spacing w:val="40"/>
        </w:rPr>
        <w:t> </w:t>
      </w:r>
      <w:r>
        <w:rPr/>
        <w:t>гарантий за</w:t>
      </w:r>
      <w:r>
        <w:rPr>
          <w:spacing w:val="47"/>
        </w:rPr>
        <w:t>  </w:t>
      </w:r>
      <w:r>
        <w:rPr/>
        <w:t>счет</w:t>
      </w:r>
      <w:r>
        <w:rPr>
          <w:spacing w:val="49"/>
        </w:rPr>
        <w:t>  </w:t>
      </w:r>
      <w:r>
        <w:rPr/>
        <w:t>бюджетных</w:t>
      </w:r>
      <w:r>
        <w:rPr>
          <w:spacing w:val="49"/>
        </w:rPr>
        <w:t>  </w:t>
      </w:r>
      <w:r>
        <w:rPr/>
        <w:t>ассигнований</w:t>
      </w:r>
      <w:r>
        <w:rPr>
          <w:spacing w:val="48"/>
        </w:rPr>
        <w:t>  </w:t>
      </w:r>
      <w:r>
        <w:rPr/>
        <w:t>бюджетов</w:t>
      </w:r>
      <w:r>
        <w:rPr>
          <w:spacing w:val="49"/>
        </w:rPr>
        <w:t>  </w:t>
      </w:r>
      <w:r>
        <w:rPr/>
        <w:t>субъектов</w:t>
      </w:r>
      <w:r>
        <w:rPr>
          <w:spacing w:val="49"/>
        </w:rPr>
        <w:t>  </w:t>
      </w:r>
      <w:r>
        <w:rPr>
          <w:spacing w:val="-2"/>
        </w:rPr>
        <w:t>Российской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w:t>
      </w:r>
      <w:r>
        <w:rPr>
          <w:spacing w:val="40"/>
        </w:rPr>
        <w:t> </w:t>
      </w:r>
      <w:r>
        <w:rPr/>
        <w:t>родителей,</w:t>
      </w:r>
      <w:r>
        <w:rPr>
          <w:spacing w:val="40"/>
        </w:rPr>
        <w:t> </w:t>
      </w:r>
      <w:r>
        <w:rPr/>
        <w:t>помещаемых</w:t>
      </w:r>
      <w:r>
        <w:rPr>
          <w:spacing w:val="40"/>
        </w:rPr>
        <w:t> </w:t>
      </w:r>
      <w:r>
        <w:rPr/>
        <w:t>под</w:t>
      </w:r>
      <w:r>
        <w:rPr>
          <w:spacing w:val="40"/>
        </w:rPr>
        <w:t> </w:t>
      </w:r>
      <w:r>
        <w:rPr/>
        <w:t>надзор</w:t>
      </w:r>
      <w:r>
        <w:rPr>
          <w:spacing w:val="40"/>
        </w:rPr>
        <w:t> </w:t>
      </w:r>
      <w:r>
        <w:rPr/>
        <w:t>в</w:t>
      </w:r>
      <w:r>
        <w:rPr>
          <w:spacing w:val="40"/>
        </w:rPr>
        <w:t> </w:t>
      </w:r>
      <w:r>
        <w:rPr/>
        <w:t>организацию</w:t>
      </w:r>
      <w:r>
        <w:rPr>
          <w:spacing w:val="40"/>
        </w:rPr>
        <w:t> </w:t>
      </w:r>
      <w:r>
        <w:rPr/>
        <w:t>для</w:t>
      </w:r>
      <w:r>
        <w:rPr>
          <w:spacing w:val="80"/>
        </w:rPr>
        <w:t> </w:t>
      </w:r>
      <w:r>
        <w:rPr/>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w:t>
      </w:r>
      <w:r>
        <w:rPr>
          <w:spacing w:val="80"/>
        </w:rPr>
        <w:t> </w:t>
      </w:r>
      <w:r>
        <w:rPr/>
        <w:t>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w:t>
      </w:r>
      <w:r>
        <w:rPr>
          <w:spacing w:val="-3"/>
        </w:rPr>
        <w:t> </w:t>
      </w:r>
      <w:r>
        <w:rPr/>
        <w:t>исключением медицинского освидетельствования в целях определения годности граждан к военной или приравненной к ней службе.</w:t>
      </w:r>
    </w:p>
    <w:p>
      <w:pPr>
        <w:pStyle w:val="BodyText"/>
        <w:spacing w:line="305" w:lineRule="exact"/>
        <w:ind w:left="826"/>
        <w:jc w:val="both"/>
      </w:pPr>
      <w:r>
        <w:rPr/>
        <w:t>Кроме</w:t>
      </w:r>
      <w:r>
        <w:rPr>
          <w:spacing w:val="-7"/>
        </w:rPr>
        <w:t> </w:t>
      </w:r>
      <w:r>
        <w:rPr/>
        <w:t>того,</w:t>
      </w:r>
      <w:r>
        <w:rPr>
          <w:spacing w:val="-4"/>
        </w:rPr>
        <w:t> </w:t>
      </w:r>
      <w:r>
        <w:rPr/>
        <w:t>за</w:t>
      </w:r>
      <w:r>
        <w:rPr>
          <w:spacing w:val="-4"/>
        </w:rPr>
        <w:t> </w:t>
      </w:r>
      <w:r>
        <w:rPr/>
        <w:t>счет</w:t>
      </w:r>
      <w:r>
        <w:rPr>
          <w:spacing w:val="-5"/>
        </w:rPr>
        <w:t> </w:t>
      </w:r>
      <w:r>
        <w:rPr/>
        <w:t>бюджетных</w:t>
      </w:r>
      <w:r>
        <w:rPr>
          <w:spacing w:val="-3"/>
        </w:rPr>
        <w:t> </w:t>
      </w:r>
      <w:r>
        <w:rPr/>
        <w:t>ассигнований</w:t>
      </w:r>
      <w:r>
        <w:rPr>
          <w:spacing w:val="-3"/>
        </w:rPr>
        <w:t> </w:t>
      </w:r>
      <w:r>
        <w:rPr/>
        <w:t>федерального</w:t>
      </w:r>
      <w:r>
        <w:rPr>
          <w:spacing w:val="-5"/>
        </w:rPr>
        <w:t> </w:t>
      </w:r>
      <w:r>
        <w:rPr>
          <w:spacing w:val="-2"/>
        </w:rPr>
        <w:t>бюджета</w:t>
      </w:r>
    </w:p>
    <w:p>
      <w:pPr>
        <w:pStyle w:val="BodyText"/>
        <w:spacing w:line="268" w:lineRule="auto" w:before="38"/>
        <w:ind w:left="118" w:right="113"/>
        <w:jc w:val="both"/>
      </w:pPr>
      <w:r>
        <w:rPr/>
        <w:t>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w:t>
      </w:r>
      <w:r>
        <w:rPr>
          <w:spacing w:val="74"/>
        </w:rPr>
        <w:t>   </w:t>
      </w:r>
      <w:r>
        <w:rPr/>
        <w:t>Федерации</w:t>
      </w:r>
      <w:r>
        <w:rPr>
          <w:spacing w:val="74"/>
        </w:rPr>
        <w:t>   </w:t>
      </w:r>
      <w:r>
        <w:rPr/>
        <w:t>и</w:t>
      </w:r>
      <w:r>
        <w:rPr>
          <w:spacing w:val="73"/>
        </w:rPr>
        <w:t>   </w:t>
      </w:r>
      <w:r>
        <w:rPr/>
        <w:t>органам</w:t>
      </w:r>
      <w:r>
        <w:rPr>
          <w:spacing w:val="74"/>
        </w:rPr>
        <w:t>   </w:t>
      </w:r>
      <w:r>
        <w:rPr/>
        <w:t>местного</w:t>
      </w:r>
      <w:r>
        <w:rPr>
          <w:spacing w:val="73"/>
        </w:rPr>
        <w:t>   </w:t>
      </w:r>
      <w:r>
        <w:rPr>
          <w:spacing w:val="-2"/>
        </w:rPr>
        <w:t>самоуправления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2617" w:val="left" w:leader="none"/>
          <w:tab w:pos="4175" w:val="left" w:leader="none"/>
          <w:tab w:pos="7754" w:val="left" w:leader="none"/>
        </w:tabs>
        <w:spacing w:line="268" w:lineRule="auto" w:before="89"/>
        <w:ind w:left="118" w:right="109"/>
        <w:jc w:val="both"/>
      </w:pPr>
      <w:r>
        <w:rPr/>
        <w:t>соответственно, за исключением видов медицинской помощи,</w:t>
      </w:r>
      <w:r>
        <w:rPr>
          <w:spacing w:val="80"/>
        </w:rPr>
        <w:t> </w:t>
      </w:r>
      <w:r>
        <w:rPr/>
        <w:t>оказываемой</w:t>
      </w:r>
      <w:r>
        <w:rPr>
          <w:spacing w:val="40"/>
        </w:rPr>
        <w:t> </w:t>
      </w:r>
      <w:r>
        <w:rPr/>
        <w:t>за</w:t>
      </w:r>
      <w:r>
        <w:rPr>
          <w:spacing w:val="78"/>
        </w:rPr>
        <w:t> </w:t>
      </w:r>
      <w:r>
        <w:rPr/>
        <w:t>счет</w:t>
      </w:r>
      <w:r>
        <w:rPr>
          <w:spacing w:val="78"/>
        </w:rPr>
        <w:t> </w:t>
      </w:r>
      <w:r>
        <w:rPr/>
        <w:t>средств</w:t>
      </w:r>
      <w:r>
        <w:rPr>
          <w:spacing w:val="40"/>
        </w:rPr>
        <w:t> </w:t>
      </w:r>
      <w:r>
        <w:rPr/>
        <w:t>обязательного</w:t>
      </w:r>
      <w:r>
        <w:rPr>
          <w:spacing w:val="79"/>
        </w:rPr>
        <w:t> </w:t>
      </w:r>
      <w:r>
        <w:rPr/>
        <w:t>медицинского</w:t>
      </w:r>
      <w:r>
        <w:rPr>
          <w:spacing w:val="79"/>
        </w:rPr>
        <w:t> </w:t>
      </w:r>
      <w:r>
        <w:rPr/>
        <w:t>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w:t>
      </w:r>
      <w:r>
        <w:rPr>
          <w:spacing w:val="80"/>
        </w:rPr>
        <w:t> </w:t>
      </w:r>
      <w:r>
        <w:rPr/>
        <w:t>диспансерах,</w:t>
      </w:r>
      <w:r>
        <w:rPr>
          <w:spacing w:val="80"/>
        </w:rPr>
        <w:t> </w:t>
      </w:r>
      <w:r>
        <w:rPr/>
        <w:t>центрах</w:t>
      </w:r>
      <w:r>
        <w:rPr>
          <w:spacing w:val="80"/>
        </w:rPr>
        <w:t> </w:t>
      </w:r>
      <w:r>
        <w:rPr/>
        <w:t>охраны</w:t>
      </w:r>
      <w:r>
        <w:rPr>
          <w:spacing w:val="80"/>
        </w:rPr>
        <w:t> </w:t>
      </w:r>
      <w:r>
        <w:rPr/>
        <w:t>здоровья</w:t>
      </w:r>
      <w:r>
        <w:rPr>
          <w:spacing w:val="80"/>
        </w:rPr>
        <w:t> </w:t>
      </w:r>
      <w:r>
        <w:rPr/>
        <w:t>семьи и</w:t>
      </w:r>
      <w:r>
        <w:rPr>
          <w:spacing w:val="79"/>
        </w:rPr>
        <w:t>   </w:t>
      </w:r>
      <w:r>
        <w:rPr/>
        <w:t>репродукции,</w:t>
      </w:r>
      <w:r>
        <w:rPr>
          <w:spacing w:val="78"/>
        </w:rPr>
        <w:t>   </w:t>
      </w:r>
      <w:r>
        <w:rPr/>
        <w:t>медико-генетических</w:t>
      </w:r>
      <w:r>
        <w:rPr>
          <w:spacing w:val="79"/>
        </w:rPr>
        <w:t>   </w:t>
      </w:r>
      <w:r>
        <w:rPr/>
        <w:t>центрах</w:t>
      </w:r>
      <w:r>
        <w:rPr>
          <w:spacing w:val="78"/>
        </w:rPr>
        <w:t>   </w:t>
      </w:r>
      <w:r>
        <w:rPr/>
        <w:t>(консультациях)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 санитарной помощи, включенной в базовую программу обязательного медицинского</w:t>
      </w:r>
      <w:r>
        <w:rPr>
          <w:spacing w:val="80"/>
        </w:rPr>
        <w:t>  </w:t>
      </w:r>
      <w:r>
        <w:rPr/>
        <w:t>страхования),</w:t>
      </w:r>
      <w:r>
        <w:rPr>
          <w:spacing w:val="80"/>
        </w:rPr>
        <w:t>  </w:t>
      </w:r>
      <w:r>
        <w:rPr/>
        <w:t>центрах</w:t>
      </w:r>
      <w:r>
        <w:rPr>
          <w:spacing w:val="80"/>
        </w:rPr>
        <w:t>  </w:t>
      </w:r>
      <w:r>
        <w:rPr/>
        <w:t>профессиональной</w:t>
      </w:r>
      <w:r>
        <w:rPr>
          <w:spacing w:val="80"/>
        </w:rPr>
        <w:t>  </w:t>
      </w:r>
      <w:r>
        <w:rPr/>
        <w:t>патологии и в соответствующих структурных подразделениях медицинских </w:t>
      </w:r>
      <w:r>
        <w:rPr>
          <w:spacing w:val="-2"/>
        </w:rPr>
        <w:t>организаций,</w:t>
      </w:r>
      <w:r>
        <w:rPr/>
        <w:tab/>
      </w:r>
      <w:r>
        <w:rPr>
          <w:spacing w:val="-4"/>
        </w:rPr>
        <w:t>бюро</w:t>
      </w:r>
      <w:r>
        <w:rPr/>
        <w:tab/>
      </w:r>
      <w:r>
        <w:rPr>
          <w:spacing w:val="-2"/>
        </w:rPr>
        <w:t>судебно-медицинской</w:t>
      </w:r>
      <w:r>
        <w:rPr/>
        <w:tab/>
      </w:r>
      <w:r>
        <w:rPr>
          <w:spacing w:val="-2"/>
        </w:rPr>
        <w:t>экспертизы, </w:t>
      </w:r>
      <w:r>
        <w:rP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w:t>
      </w:r>
      <w:r>
        <w:rPr>
          <w:spacing w:val="40"/>
        </w:rPr>
        <w:t> </w:t>
      </w:r>
      <w:r>
        <w:rPr/>
        <w:t>центрах,</w:t>
      </w:r>
      <w:r>
        <w:rPr>
          <w:spacing w:val="40"/>
        </w:rPr>
        <w:t> </w:t>
      </w:r>
      <w:r>
        <w:rPr/>
        <w:t>бюро</w:t>
      </w:r>
      <w:r>
        <w:rPr>
          <w:spacing w:val="40"/>
        </w:rPr>
        <w:t> </w:t>
      </w:r>
      <w:r>
        <w:rPr/>
        <w:t>медицинской</w:t>
      </w:r>
      <w:r>
        <w:rPr>
          <w:spacing w:val="40"/>
        </w:rPr>
        <w:t> </w:t>
      </w:r>
      <w:r>
        <w:rPr/>
        <w:t>статистики,</w:t>
      </w:r>
      <w:r>
        <w:rPr>
          <w:spacing w:val="40"/>
        </w:rPr>
        <w:t> </w:t>
      </w:r>
      <w:r>
        <w:rPr/>
        <w:t>в</w:t>
      </w:r>
      <w:r>
        <w:rPr>
          <w:spacing w:val="-2"/>
        </w:rPr>
        <w:t> </w:t>
      </w:r>
      <w:r>
        <w:rPr/>
        <w:t>центрах крови, на станциях переливания крови, в домах ребенка,</w:t>
      </w:r>
      <w:r>
        <w:rPr>
          <w:spacing w:val="80"/>
        </w:rPr>
        <w:t> </w:t>
      </w:r>
      <w:r>
        <w:rPr/>
        <w:t>включая специализированные, в молочных кухнях и прочих медицинских организациях, входящих в номенклатуру медицинских организаций, утверждаемую</w:t>
      </w:r>
      <w:r>
        <w:rPr>
          <w:spacing w:val="40"/>
        </w:rPr>
        <w:t> </w:t>
      </w:r>
      <w:r>
        <w:rPr/>
        <w:t>Министерством</w:t>
      </w:r>
      <w:r>
        <w:rPr>
          <w:spacing w:val="40"/>
        </w:rPr>
        <w:t> </w:t>
      </w:r>
      <w:r>
        <w:rPr/>
        <w:t>здравоохранения</w:t>
      </w:r>
      <w:r>
        <w:rPr>
          <w:spacing w:val="40"/>
        </w:rPr>
        <w:t> </w:t>
      </w:r>
      <w:r>
        <w:rPr/>
        <w:t>Российской</w:t>
      </w:r>
      <w:r>
        <w:rPr>
          <w:spacing w:val="40"/>
        </w:rPr>
        <w:t> </w:t>
      </w:r>
      <w:r>
        <w:rPr/>
        <w:t>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w:t>
      </w:r>
      <w:r>
        <w:rPr>
          <w:spacing w:val="80"/>
          <w:w w:val="150"/>
        </w:rPr>
        <w:t> </w:t>
      </w:r>
      <w:r>
        <w:rPr/>
        <w:t>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3"/>
        <w:jc w:val="both"/>
      </w:pPr>
      <w:r>
        <w:rPr/>
        <w:t>применения телемедицинских технологий при оказании медицинской </w:t>
      </w:r>
      <w:r>
        <w:rPr>
          <w:spacing w:val="-2"/>
        </w:rPr>
        <w:t>помощи.</w:t>
      </w:r>
    </w:p>
    <w:p>
      <w:pPr>
        <w:pStyle w:val="BodyText"/>
        <w:spacing w:line="268" w:lineRule="auto"/>
        <w:ind w:left="118" w:right="112" w:firstLine="707"/>
        <w:jc w:val="both"/>
      </w:pPr>
      <w:r>
        <w:rPr/>
        <w:t>За</w:t>
      </w:r>
      <w:r>
        <w:rPr>
          <w:spacing w:val="-3"/>
        </w:rPr>
        <w:t> </w:t>
      </w:r>
      <w:r>
        <w:rPr/>
        <w:t>счет</w:t>
      </w:r>
      <w:r>
        <w:rPr>
          <w:spacing w:val="-3"/>
        </w:rPr>
        <w:t> </w:t>
      </w:r>
      <w:r>
        <w:rPr/>
        <w:t>бюджетных</w:t>
      </w:r>
      <w:r>
        <w:rPr>
          <w:spacing w:val="-3"/>
        </w:rPr>
        <w:t> </w:t>
      </w:r>
      <w:r>
        <w:rPr/>
        <w:t>ассигнований</w:t>
      </w:r>
      <w:r>
        <w:rPr>
          <w:spacing w:val="-2"/>
        </w:rPr>
        <w:t> </w:t>
      </w:r>
      <w:r>
        <w:rPr/>
        <w:t>соответствующих</w:t>
      </w:r>
      <w:r>
        <w:rPr>
          <w:spacing w:val="-1"/>
        </w:rPr>
        <w:t> </w:t>
      </w:r>
      <w:r>
        <w:rPr/>
        <w:t>бюджетов</w:t>
      </w:r>
      <w:r>
        <w:rPr>
          <w:spacing w:val="-4"/>
        </w:rPr>
        <w:t> </w:t>
      </w:r>
      <w:r>
        <w:rPr/>
        <w:t>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w:t>
      </w:r>
      <w:r>
        <w:rPr>
          <w:spacing w:val="-6"/>
        </w:rPr>
        <w:t> </w:t>
      </w:r>
      <w:r>
        <w:rPr/>
        <w:t>оказывается</w:t>
      </w:r>
      <w:r>
        <w:rPr>
          <w:spacing w:val="-5"/>
        </w:rPr>
        <w:t> </w:t>
      </w:r>
      <w:r>
        <w:rPr/>
        <w:t>методом</w:t>
      </w:r>
      <w:r>
        <w:rPr>
          <w:spacing w:val="-6"/>
        </w:rPr>
        <w:t> </w:t>
      </w:r>
      <w:r>
        <w:rPr/>
        <w:t>заместительной</w:t>
      </w:r>
      <w:r>
        <w:rPr>
          <w:spacing w:val="-5"/>
        </w:rPr>
        <w:t> </w:t>
      </w:r>
      <w:r>
        <w:rPr/>
        <w:t>почечной</w:t>
      </w:r>
      <w:r>
        <w:rPr>
          <w:spacing w:val="-6"/>
        </w:rPr>
        <w:t> </w:t>
      </w:r>
      <w:r>
        <w:rPr/>
        <w:t>терапии</w:t>
      </w:r>
      <w:r>
        <w:rPr>
          <w:spacing w:val="-5"/>
        </w:rPr>
        <w:t> </w:t>
      </w:r>
      <w:r>
        <w:rPr/>
        <w:t>и</w:t>
      </w:r>
      <w:r>
        <w:rPr>
          <w:spacing w:val="-5"/>
        </w:rPr>
        <w:t> </w:t>
      </w:r>
      <w:r>
        <w:rPr>
          <w:spacing w:val="-2"/>
        </w:rPr>
        <w:t>обратно.</w:t>
      </w:r>
    </w:p>
    <w:p>
      <w:pPr>
        <w:pStyle w:val="BodyText"/>
        <w:spacing w:before="3"/>
        <w:rPr>
          <w:sz w:val="24"/>
        </w:rPr>
      </w:pPr>
    </w:p>
    <w:p>
      <w:pPr>
        <w:pStyle w:val="ListParagraph"/>
        <w:numPr>
          <w:ilvl w:val="1"/>
          <w:numId w:val="1"/>
        </w:numPr>
        <w:tabs>
          <w:tab w:pos="1816" w:val="left" w:leader="none"/>
        </w:tabs>
        <w:spacing w:line="240" w:lineRule="auto" w:before="0" w:after="0"/>
        <w:ind w:left="1815" w:right="0" w:hanging="435"/>
        <w:jc w:val="left"/>
        <w:rPr>
          <w:sz w:val="28"/>
        </w:rPr>
      </w:pPr>
      <w:r>
        <w:rPr>
          <w:sz w:val="28"/>
        </w:rPr>
        <w:t>Средние</w:t>
      </w:r>
      <w:r>
        <w:rPr>
          <w:spacing w:val="-9"/>
          <w:sz w:val="28"/>
        </w:rPr>
        <w:t> </w:t>
      </w:r>
      <w:r>
        <w:rPr>
          <w:sz w:val="28"/>
        </w:rPr>
        <w:t>нормативы</w:t>
      </w:r>
      <w:r>
        <w:rPr>
          <w:spacing w:val="-10"/>
          <w:sz w:val="28"/>
        </w:rPr>
        <w:t> </w:t>
      </w:r>
      <w:r>
        <w:rPr>
          <w:sz w:val="28"/>
        </w:rPr>
        <w:t>объема</w:t>
      </w:r>
      <w:r>
        <w:rPr>
          <w:spacing w:val="-7"/>
          <w:sz w:val="28"/>
        </w:rPr>
        <w:t> </w:t>
      </w:r>
      <w:r>
        <w:rPr>
          <w:sz w:val="28"/>
        </w:rPr>
        <w:t>медицинской</w:t>
      </w:r>
      <w:r>
        <w:rPr>
          <w:spacing w:val="-9"/>
          <w:sz w:val="28"/>
        </w:rPr>
        <w:t> </w:t>
      </w:r>
      <w:r>
        <w:rPr>
          <w:spacing w:val="-2"/>
          <w:sz w:val="28"/>
        </w:rPr>
        <w:t>помощи,</w:t>
      </w:r>
    </w:p>
    <w:p>
      <w:pPr>
        <w:pStyle w:val="BodyText"/>
        <w:ind w:left="1177" w:hanging="884"/>
      </w:pPr>
      <w:r>
        <w:rPr/>
        <w:t>средние</w:t>
      </w:r>
      <w:r>
        <w:rPr>
          <w:spacing w:val="-4"/>
        </w:rPr>
        <w:t> </w:t>
      </w:r>
      <w:r>
        <w:rPr/>
        <w:t>нормативы</w:t>
      </w:r>
      <w:r>
        <w:rPr>
          <w:spacing w:val="-7"/>
        </w:rPr>
        <w:t> </w:t>
      </w:r>
      <w:r>
        <w:rPr/>
        <w:t>финансовых</w:t>
      </w:r>
      <w:r>
        <w:rPr>
          <w:spacing w:val="-3"/>
        </w:rPr>
        <w:t> </w:t>
      </w:r>
      <w:r>
        <w:rPr/>
        <w:t>затрат</w:t>
      </w:r>
      <w:r>
        <w:rPr>
          <w:spacing w:val="-7"/>
        </w:rPr>
        <w:t> </w:t>
      </w:r>
      <w:r>
        <w:rPr/>
        <w:t>на</w:t>
      </w:r>
      <w:r>
        <w:rPr>
          <w:spacing w:val="-4"/>
        </w:rPr>
        <w:t> </w:t>
      </w:r>
      <w:r>
        <w:rPr/>
        <w:t>единицу</w:t>
      </w:r>
      <w:r>
        <w:rPr>
          <w:spacing w:val="-8"/>
        </w:rPr>
        <w:t> </w:t>
      </w:r>
      <w:r>
        <w:rPr/>
        <w:t>объема</w:t>
      </w:r>
      <w:r>
        <w:rPr>
          <w:spacing w:val="-7"/>
        </w:rPr>
        <w:t> </w:t>
      </w:r>
      <w:r>
        <w:rPr/>
        <w:t>медицинской помощи, средние подушевые нормативы финансирования</w:t>
      </w:r>
    </w:p>
    <w:p>
      <w:pPr>
        <w:pStyle w:val="BodyText"/>
        <w:spacing w:before="5"/>
        <w:rPr>
          <w:sz w:val="31"/>
        </w:rPr>
      </w:pPr>
    </w:p>
    <w:p>
      <w:pPr>
        <w:pStyle w:val="BodyText"/>
        <w:spacing w:line="268" w:lineRule="auto"/>
        <w:ind w:left="118" w:right="119" w:firstLine="707"/>
        <w:jc w:val="both"/>
      </w:pPr>
      <w:r>
        <w:rPr/>
        <w:t>Средние нормативы объема медицинской помощи и средние нормативы финансовых затрат на единицу объема медицинской помощи приведены в приложении № 7 к Программе.</w:t>
      </w:r>
    </w:p>
    <w:p>
      <w:pPr>
        <w:pStyle w:val="BodyText"/>
        <w:spacing w:line="268" w:lineRule="auto"/>
        <w:ind w:left="118" w:right="113" w:firstLine="707"/>
        <w:jc w:val="both"/>
      </w:pPr>
      <w:r>
        <w:rPr/>
        <w:t>Средние нормативы объема медицинской помощи по видам, условиям</w:t>
      </w:r>
      <w:r>
        <w:rPr>
          <w:spacing w:val="77"/>
        </w:rPr>
        <w:t> </w:t>
      </w:r>
      <w:r>
        <w:rPr/>
        <w:t>и</w:t>
      </w:r>
      <w:r>
        <w:rPr>
          <w:spacing w:val="78"/>
        </w:rPr>
        <w:t> </w:t>
      </w:r>
      <w:r>
        <w:rPr/>
        <w:t>формам</w:t>
      </w:r>
      <w:r>
        <w:rPr>
          <w:spacing w:val="77"/>
        </w:rPr>
        <w:t> </w:t>
      </w:r>
      <w:r>
        <w:rPr/>
        <w:t>ее</w:t>
      </w:r>
      <w:r>
        <w:rPr>
          <w:spacing w:val="78"/>
        </w:rPr>
        <w:t> </w:t>
      </w:r>
      <w:r>
        <w:rPr/>
        <w:t>оказания</w:t>
      </w:r>
      <w:r>
        <w:rPr>
          <w:spacing w:val="78"/>
        </w:rPr>
        <w:t> </w:t>
      </w:r>
      <w:r>
        <w:rPr/>
        <w:t>в</w:t>
      </w:r>
      <w:r>
        <w:rPr>
          <w:spacing w:val="77"/>
        </w:rPr>
        <w:t> </w:t>
      </w:r>
      <w:r>
        <w:rPr/>
        <w:t>целом</w:t>
      </w:r>
      <w:r>
        <w:rPr>
          <w:spacing w:val="78"/>
        </w:rPr>
        <w:t> </w:t>
      </w:r>
      <w:r>
        <w:rPr/>
        <w:t>по</w:t>
      </w:r>
      <w:r>
        <w:rPr>
          <w:spacing w:val="78"/>
        </w:rPr>
        <w:t> </w:t>
      </w:r>
      <w:r>
        <w:rPr/>
        <w:t>Программе</w:t>
      </w:r>
      <w:r>
        <w:rPr>
          <w:spacing w:val="78"/>
        </w:rPr>
        <w:t> </w:t>
      </w:r>
      <w:r>
        <w:rPr/>
        <w:t>определяются в</w:t>
      </w:r>
      <w:r>
        <w:rPr>
          <w:spacing w:val="-4"/>
        </w:rPr>
        <w:t> </w:t>
      </w:r>
      <w:r>
        <w:rPr/>
        <w:t>единицах</w:t>
      </w:r>
      <w:r>
        <w:rPr>
          <w:spacing w:val="-4"/>
        </w:rPr>
        <w:t> </w:t>
      </w:r>
      <w:r>
        <w:rPr/>
        <w:t>объема</w:t>
      </w:r>
      <w:r>
        <w:rPr>
          <w:spacing w:val="-2"/>
        </w:rPr>
        <w:t> </w:t>
      </w:r>
      <w:r>
        <w:rPr/>
        <w:t>в</w:t>
      </w:r>
      <w:r>
        <w:rPr>
          <w:spacing w:val="-3"/>
        </w:rPr>
        <w:t> </w:t>
      </w:r>
      <w:r>
        <w:rPr/>
        <w:t>расчете</w:t>
      </w:r>
      <w:r>
        <w:rPr>
          <w:spacing w:val="-5"/>
        </w:rPr>
        <w:t> </w:t>
      </w:r>
      <w:r>
        <w:rPr/>
        <w:t>на</w:t>
      </w:r>
      <w:r>
        <w:rPr>
          <w:spacing w:val="-2"/>
        </w:rPr>
        <w:t> </w:t>
      </w:r>
      <w:r>
        <w:rPr/>
        <w:t>одного</w:t>
      </w:r>
      <w:r>
        <w:rPr>
          <w:spacing w:val="-1"/>
        </w:rPr>
        <w:t> </w:t>
      </w:r>
      <w:r>
        <w:rPr/>
        <w:t>жителя</w:t>
      </w:r>
      <w:r>
        <w:rPr>
          <w:spacing w:val="-2"/>
        </w:rPr>
        <w:t> </w:t>
      </w:r>
      <w:r>
        <w:rPr/>
        <w:t>в</w:t>
      </w:r>
      <w:r>
        <w:rPr>
          <w:spacing w:val="-3"/>
        </w:rPr>
        <w:t> </w:t>
      </w:r>
      <w:r>
        <w:rPr/>
        <w:t>год,</w:t>
      </w:r>
      <w:r>
        <w:rPr>
          <w:spacing w:val="-3"/>
        </w:rPr>
        <w:t> </w:t>
      </w:r>
      <w:r>
        <w:rPr/>
        <w:t>по</w:t>
      </w:r>
      <w:r>
        <w:rPr>
          <w:spacing w:val="-5"/>
        </w:rPr>
        <w:t> </w:t>
      </w:r>
      <w:r>
        <w:rPr/>
        <w:t>базовой</w:t>
      </w:r>
      <w:r>
        <w:rPr>
          <w:spacing w:val="-2"/>
        </w:rPr>
        <w:t> </w:t>
      </w:r>
      <w:r>
        <w:rPr/>
        <w:t>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BodyText"/>
        <w:spacing w:line="268" w:lineRule="auto"/>
        <w:ind w:left="118" w:right="115" w:firstLine="707"/>
        <w:jc w:val="both"/>
      </w:pPr>
      <w:r>
        <w:rPr/>
        <w:t>В средние нормативы объема медицинской помощи за счет бюджетных</w:t>
      </w:r>
      <w:r>
        <w:rPr>
          <w:spacing w:val="40"/>
        </w:rPr>
        <w:t>  </w:t>
      </w:r>
      <w:r>
        <w:rPr/>
        <w:t>ассигнований</w:t>
      </w:r>
      <w:r>
        <w:rPr>
          <w:spacing w:val="40"/>
        </w:rPr>
        <w:t>  </w:t>
      </w:r>
      <w:r>
        <w:rPr/>
        <w:t>соответствующих</w:t>
      </w:r>
      <w:r>
        <w:rPr>
          <w:spacing w:val="40"/>
        </w:rPr>
        <w:t>  </w:t>
      </w:r>
      <w:r>
        <w:rPr/>
        <w:t>бюджетов,</w:t>
      </w:r>
      <w:r>
        <w:rPr>
          <w:spacing w:val="40"/>
        </w:rPr>
        <w:t>  </w:t>
      </w:r>
      <w:r>
        <w:rPr/>
        <w:t>оказываемой</w:t>
      </w:r>
      <w:r>
        <w:rPr>
          <w:spacing w:val="40"/>
        </w:rPr>
        <w:t> </w:t>
      </w:r>
      <w:r>
        <w:rPr/>
        <w:t>в амбулаторных и стационарных условиях, включаются объемы медицинской помощи, оказываемой не застрахованным по обязательному медицинскому</w:t>
      </w:r>
      <w:r>
        <w:rPr>
          <w:spacing w:val="-6"/>
        </w:rPr>
        <w:t> </w:t>
      </w:r>
      <w:r>
        <w:rPr/>
        <w:t>страхованию</w:t>
      </w:r>
      <w:r>
        <w:rPr>
          <w:spacing w:val="-4"/>
        </w:rPr>
        <w:t> </w:t>
      </w:r>
      <w:r>
        <w:rPr/>
        <w:t>гражданам</w:t>
      </w:r>
      <w:r>
        <w:rPr>
          <w:spacing w:val="-5"/>
        </w:rPr>
        <w:t> </w:t>
      </w:r>
      <w:r>
        <w:rPr/>
        <w:t>в</w:t>
      </w:r>
      <w:r>
        <w:rPr>
          <w:spacing w:val="-4"/>
        </w:rPr>
        <w:t> </w:t>
      </w:r>
      <w:r>
        <w:rPr/>
        <w:t>экстренной</w:t>
      </w:r>
      <w:r>
        <w:rPr>
          <w:spacing w:val="-2"/>
        </w:rPr>
        <w:t> </w:t>
      </w:r>
      <w:r>
        <w:rPr/>
        <w:t>форме</w:t>
      </w:r>
      <w:r>
        <w:rPr>
          <w:spacing w:val="-3"/>
        </w:rPr>
        <w:t> </w:t>
      </w:r>
      <w:r>
        <w:rPr/>
        <w:t>при</w:t>
      </w:r>
      <w:r>
        <w:rPr>
          <w:spacing w:val="-2"/>
        </w:rPr>
        <w:t> </w:t>
      </w:r>
      <w:r>
        <w:rPr/>
        <w:t>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BodyText"/>
        <w:spacing w:line="268" w:lineRule="auto"/>
        <w:ind w:left="118" w:right="115" w:firstLine="707"/>
        <w:jc w:val="both"/>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BodyText"/>
        <w:spacing w:line="268" w:lineRule="auto"/>
        <w:ind w:left="118" w:right="113" w:firstLine="707"/>
        <w:jc w:val="both"/>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w:t>
      </w:r>
      <w:r>
        <w:rPr>
          <w:spacing w:val="47"/>
          <w:w w:val="150"/>
        </w:rPr>
        <w:t> </w:t>
      </w:r>
      <w:r>
        <w:rPr/>
        <w:t>на</w:t>
      </w:r>
      <w:r>
        <w:rPr>
          <w:spacing w:val="46"/>
          <w:w w:val="150"/>
        </w:rPr>
        <w:t> </w:t>
      </w:r>
      <w:r>
        <w:rPr/>
        <w:t>одного</w:t>
      </w:r>
      <w:r>
        <w:rPr>
          <w:spacing w:val="45"/>
          <w:w w:val="150"/>
        </w:rPr>
        <w:t> </w:t>
      </w:r>
      <w:r>
        <w:rPr/>
        <w:t>жителя</w:t>
      </w:r>
      <w:r>
        <w:rPr>
          <w:spacing w:val="79"/>
        </w:rPr>
        <w:t> </w:t>
      </w:r>
      <w:r>
        <w:rPr/>
        <w:t>и</w:t>
      </w:r>
      <w:r>
        <w:rPr>
          <w:spacing w:val="79"/>
        </w:rPr>
        <w:t> </w:t>
      </w:r>
      <w:r>
        <w:rPr/>
        <w:t>нормативы</w:t>
      </w:r>
      <w:r>
        <w:rPr>
          <w:spacing w:val="79"/>
        </w:rPr>
        <w:t> </w:t>
      </w:r>
      <w:r>
        <w:rPr/>
        <w:t>объема</w:t>
      </w:r>
      <w:r>
        <w:rPr>
          <w:spacing w:val="46"/>
          <w:w w:val="150"/>
        </w:rPr>
        <w:t> </w:t>
      </w:r>
      <w:r>
        <w:rPr/>
        <w:t>медицинской</w:t>
      </w:r>
      <w:r>
        <w:rPr>
          <w:spacing w:val="80"/>
        </w:rPr>
        <w:t> </w:t>
      </w:r>
      <w:r>
        <w:rPr>
          <w:spacing w:val="-2"/>
        </w:rPr>
        <w:t>помощи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jc w:val="both"/>
      </w:pPr>
      <w:r>
        <w:rPr/>
        <w:t>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BodyText"/>
        <w:tabs>
          <w:tab w:pos="3018" w:val="left" w:leader="none"/>
          <w:tab w:pos="5249" w:val="left" w:leader="none"/>
          <w:tab w:pos="8111" w:val="left" w:leader="none"/>
        </w:tabs>
        <w:spacing w:line="268" w:lineRule="auto"/>
        <w:ind w:left="118" w:right="113" w:firstLine="707"/>
        <w:jc w:val="both"/>
      </w:pPr>
      <w:r>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w:t>
      </w:r>
      <w:r>
        <w:rPr>
          <w:spacing w:val="80"/>
        </w:rPr>
        <w:t> </w:t>
      </w:r>
      <w:r>
        <w:rPr/>
        <w:t>заболеваемости и смертности населения от социально значимых заболеваний на основе реальной потребности населения, установленные в </w:t>
      </w:r>
      <w:r>
        <w:rPr>
          <w:spacing w:val="-2"/>
        </w:rPr>
        <w:t>территориальных</w:t>
      </w:r>
      <w:r>
        <w:rPr/>
        <w:tab/>
      </w:r>
      <w:r>
        <w:rPr>
          <w:spacing w:val="-2"/>
        </w:rPr>
        <w:t>программах</w:t>
      </w:r>
      <w:r>
        <w:rPr/>
        <w:tab/>
      </w:r>
      <w:r>
        <w:rPr>
          <w:spacing w:val="-2"/>
        </w:rPr>
        <w:t>государственных</w:t>
      </w:r>
      <w:r>
        <w:rPr/>
        <w:tab/>
      </w:r>
      <w:r>
        <w:rPr>
          <w:spacing w:val="-2"/>
        </w:rPr>
        <w:t>гарантий </w:t>
      </w:r>
      <w:r>
        <w:rPr/>
        <w:t>дифференцированные нормативы объема медицинской помощи могут</w:t>
      </w:r>
      <w:r>
        <w:rPr>
          <w:spacing w:val="40"/>
        </w:rPr>
        <w:t> </w:t>
      </w:r>
      <w:r>
        <w:rPr/>
        <w:t>быть обоснованно ниже средних нормативов, предусмотренных приложением № 7 к Программе.</w:t>
      </w:r>
    </w:p>
    <w:p>
      <w:pPr>
        <w:pStyle w:val="BodyText"/>
        <w:spacing w:line="268" w:lineRule="auto"/>
        <w:ind w:left="118" w:right="110" w:firstLine="707"/>
        <w:jc w:val="both"/>
      </w:pPr>
      <w:r>
        <w:rPr/>
        <w:t>В целях обеспечения доступности медицинской помощи гражданам, проживающим в том числе в малонаселенных, отдаленных и (или) труднодоступных</w:t>
      </w:r>
      <w:r>
        <w:rPr>
          <w:spacing w:val="80"/>
        </w:rPr>
        <w:t> </w:t>
      </w:r>
      <w:r>
        <w:rPr/>
        <w:t>населенных</w:t>
      </w:r>
      <w:r>
        <w:rPr>
          <w:spacing w:val="80"/>
        </w:rPr>
        <w:t> </w:t>
      </w:r>
      <w:r>
        <w:rPr/>
        <w:t>пунктах,</w:t>
      </w:r>
      <w:r>
        <w:rPr>
          <w:spacing w:val="80"/>
        </w:rPr>
        <w:t> </w:t>
      </w:r>
      <w:r>
        <w:rPr/>
        <w:t>а</w:t>
      </w:r>
      <w:r>
        <w:rPr>
          <w:spacing w:val="80"/>
        </w:rPr>
        <w:t> </w:t>
      </w:r>
      <w:r>
        <w:rPr/>
        <w:t>также</w:t>
      </w:r>
      <w:r>
        <w:rPr>
          <w:spacing w:val="80"/>
        </w:rPr>
        <w:t> </w:t>
      </w:r>
      <w:r>
        <w:rPr/>
        <w:t>в</w:t>
      </w:r>
      <w:r>
        <w:rPr>
          <w:spacing w:val="80"/>
        </w:rPr>
        <w:t> </w:t>
      </w:r>
      <w:r>
        <w:rPr/>
        <w:t>сельской</w:t>
      </w:r>
      <w:r>
        <w:rPr>
          <w:spacing w:val="80"/>
        </w:rPr>
        <w:t> </w:t>
      </w:r>
      <w:r>
        <w:rPr/>
        <w:t>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BodyText"/>
        <w:spacing w:line="268" w:lineRule="auto"/>
        <w:ind w:left="118" w:right="113" w:firstLine="707"/>
        <w:jc w:val="both"/>
      </w:pPr>
      <w:r>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 7 к </w:t>
      </w:r>
      <w:r>
        <w:rPr>
          <w:spacing w:val="-2"/>
        </w:rPr>
        <w:t>Программе.</w:t>
      </w:r>
    </w:p>
    <w:p>
      <w:pPr>
        <w:pStyle w:val="BodyText"/>
        <w:spacing w:line="268" w:lineRule="auto"/>
        <w:ind w:left="118" w:right="113" w:firstLine="707"/>
        <w:jc w:val="both"/>
      </w:pPr>
      <w:r>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 7 к Программе.</w:t>
      </w:r>
    </w:p>
    <w:p>
      <w:pPr>
        <w:pStyle w:val="BodyText"/>
        <w:spacing w:line="268" w:lineRule="auto"/>
        <w:ind w:left="118" w:right="117" w:firstLine="707"/>
        <w:jc w:val="both"/>
      </w:pPr>
      <w:r>
        <w:rPr/>
        <w:t>Субъект Российской Федерации осуществляет планирование объема и</w:t>
      </w:r>
      <w:r>
        <w:rPr>
          <w:spacing w:val="60"/>
          <w:w w:val="150"/>
        </w:rPr>
        <w:t> </w:t>
      </w:r>
      <w:r>
        <w:rPr/>
        <w:t>финансового</w:t>
      </w:r>
      <w:r>
        <w:rPr>
          <w:spacing w:val="60"/>
          <w:w w:val="150"/>
        </w:rPr>
        <w:t> </w:t>
      </w:r>
      <w:r>
        <w:rPr/>
        <w:t>обеспечения</w:t>
      </w:r>
      <w:r>
        <w:rPr>
          <w:spacing w:val="59"/>
          <w:w w:val="150"/>
        </w:rPr>
        <w:t> </w:t>
      </w:r>
      <w:r>
        <w:rPr/>
        <w:t>медицинской</w:t>
      </w:r>
      <w:r>
        <w:rPr>
          <w:spacing w:val="59"/>
          <w:w w:val="150"/>
        </w:rPr>
        <w:t> </w:t>
      </w:r>
      <w:r>
        <w:rPr/>
        <w:t>помощи</w:t>
      </w:r>
      <w:r>
        <w:rPr>
          <w:spacing w:val="59"/>
          <w:w w:val="150"/>
        </w:rPr>
        <w:t> </w:t>
      </w:r>
      <w:r>
        <w:rPr/>
        <w:t>пациентам</w:t>
      </w:r>
      <w:r>
        <w:rPr>
          <w:spacing w:val="58"/>
          <w:w w:val="150"/>
        </w:rPr>
        <w:t> </w:t>
      </w:r>
      <w:r>
        <w:rPr/>
        <w:t>с</w:t>
      </w:r>
      <w:r>
        <w:rPr>
          <w:spacing w:val="60"/>
          <w:w w:val="150"/>
        </w:rPr>
        <w:t> </w:t>
      </w:r>
      <w:r>
        <w:rPr>
          <w:spacing w:val="-2"/>
        </w:rPr>
        <w:t>новой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1"/>
        <w:jc w:val="both"/>
      </w:pPr>
      <w:r>
        <w:rPr/>
        <w:t>коронавирусной</w:t>
      </w:r>
      <w:r>
        <w:rPr>
          <w:spacing w:val="75"/>
        </w:rPr>
        <w:t>  </w:t>
      </w:r>
      <w:r>
        <w:rPr/>
        <w:t>инфекцией</w:t>
      </w:r>
      <w:r>
        <w:rPr>
          <w:spacing w:val="75"/>
        </w:rPr>
        <w:t>  </w:t>
      </w:r>
      <w:r>
        <w:rPr/>
        <w:t>(COVID-19)</w:t>
      </w:r>
      <w:r>
        <w:rPr>
          <w:spacing w:val="76"/>
        </w:rPr>
        <w:t>  </w:t>
      </w:r>
      <w:r>
        <w:rPr/>
        <w:t>в</w:t>
      </w:r>
      <w:r>
        <w:rPr>
          <w:spacing w:val="74"/>
        </w:rPr>
        <w:t>  </w:t>
      </w:r>
      <w:r>
        <w:rPr/>
        <w:t>рамках,</w:t>
      </w:r>
      <w:r>
        <w:rPr>
          <w:spacing w:val="74"/>
        </w:rPr>
        <w:t>  </w:t>
      </w:r>
      <w:r>
        <w:rPr/>
        <w:t>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w:t>
      </w:r>
      <w:r>
        <w:rPr>
          <w:spacing w:val="-2"/>
        </w:rPr>
        <w:t> </w:t>
      </w:r>
      <w:r>
        <w:rPr/>
        <w:t>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w:t>
      </w:r>
      <w:r>
        <w:rPr>
          <w:spacing w:val="-1"/>
        </w:rPr>
        <w:t> </w:t>
      </w:r>
      <w:r>
        <w:rPr/>
        <w:t>исследований</w:t>
      </w:r>
      <w:r>
        <w:rPr>
          <w:spacing w:val="-2"/>
        </w:rPr>
        <w:t> </w:t>
      </w:r>
      <w:r>
        <w:rPr/>
        <w:t>на</w:t>
      </w:r>
      <w:r>
        <w:rPr>
          <w:spacing w:val="-3"/>
        </w:rPr>
        <w:t> </w:t>
      </w:r>
      <w:r>
        <w:rPr/>
        <w:t>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BodyText"/>
        <w:spacing w:line="268" w:lineRule="auto"/>
        <w:ind w:left="118" w:right="113" w:firstLine="707"/>
        <w:jc w:val="both"/>
      </w:pPr>
      <w:r>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BodyText"/>
        <w:spacing w:line="268" w:lineRule="auto"/>
        <w:ind w:left="118" w:right="111" w:firstLine="707"/>
        <w:jc w:val="both"/>
      </w:pPr>
      <w:r>
        <w:rPr/>
        <w:t>Субъекты Российской Федерации устанавливают нормативы объема и нормативы финансовых затрат</w:t>
      </w:r>
      <w:r>
        <w:rPr>
          <w:spacing w:val="-1"/>
        </w:rPr>
        <w:t> </w:t>
      </w:r>
      <w:r>
        <w:rPr/>
        <w:t>на</w:t>
      </w:r>
      <w:r>
        <w:rPr>
          <w:spacing w:val="-1"/>
        </w:rPr>
        <w:t> </w:t>
      </w:r>
      <w:r>
        <w:rPr/>
        <w:t>единицу</w:t>
      </w:r>
      <w:r>
        <w:rPr>
          <w:spacing w:val="-5"/>
        </w:rPr>
        <w:t> </w:t>
      </w:r>
      <w:r>
        <w:rPr/>
        <w:t>объема</w:t>
      </w:r>
      <w:r>
        <w:rPr>
          <w:spacing w:val="-1"/>
        </w:rPr>
        <w:t> </w:t>
      </w:r>
      <w:r>
        <w:rPr/>
        <w:t>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w:t>
      </w:r>
      <w:r>
        <w:rPr>
          <w:spacing w:val="-4"/>
        </w:rPr>
        <w:t> </w:t>
      </w:r>
      <w:r>
        <w:rPr/>
        <w:t>с</w:t>
      </w:r>
      <w:r>
        <w:rPr>
          <w:spacing w:val="-3"/>
        </w:rPr>
        <w:t> </w:t>
      </w:r>
      <w:r>
        <w:rPr/>
        <w:t>целью</w:t>
      </w:r>
      <w:r>
        <w:rPr>
          <w:spacing w:val="-4"/>
        </w:rPr>
        <w:t> </w:t>
      </w:r>
      <w:r>
        <w:rPr/>
        <w:t>диагностики</w:t>
      </w:r>
      <w:r>
        <w:rPr>
          <w:spacing w:val="-4"/>
        </w:rPr>
        <w:t> </w:t>
      </w:r>
      <w:r>
        <w:rPr/>
        <w:t>онкологических</w:t>
      </w:r>
      <w:r>
        <w:rPr>
          <w:spacing w:val="-2"/>
        </w:rPr>
        <w:t> </w:t>
      </w:r>
      <w:r>
        <w:rPr/>
        <w:t>заболеваний</w:t>
      </w:r>
      <w:r>
        <w:rPr>
          <w:spacing w:val="-4"/>
        </w:rPr>
        <w:t> </w:t>
      </w:r>
      <w:r>
        <w:rPr/>
        <w:t>и</w:t>
      </w:r>
      <w:r>
        <w:rPr>
          <w:spacing w:val="-2"/>
        </w:rPr>
        <w:t> </w:t>
      </w:r>
      <w:r>
        <w:rPr/>
        <w:t>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BodyText"/>
        <w:spacing w:line="268" w:lineRule="auto"/>
        <w:ind w:left="118" w:right="115" w:firstLine="707"/>
        <w:jc w:val="both"/>
      </w:pPr>
      <w:r>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w:t>
      </w:r>
      <w:r>
        <w:rPr>
          <w:spacing w:val="-2"/>
        </w:rPr>
        <w:t>Федерации.</w:t>
      </w:r>
    </w:p>
    <w:p>
      <w:pPr>
        <w:pStyle w:val="BodyText"/>
        <w:spacing w:line="268" w:lineRule="auto"/>
        <w:ind w:left="118" w:right="116" w:firstLine="707"/>
        <w:jc w:val="both"/>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8" w:firstLine="707"/>
        <w:jc w:val="both"/>
      </w:pPr>
      <w:r>
        <w:rPr/>
        <w:t>Подушевые нормативы финансирования за счет средств обязательного медицинского страхования на финансирование базовой программы</w:t>
      </w:r>
      <w:r>
        <w:rPr>
          <w:spacing w:val="40"/>
        </w:rPr>
        <w:t> </w:t>
      </w:r>
      <w:r>
        <w:rPr/>
        <w:t>обязательного</w:t>
      </w:r>
      <w:r>
        <w:rPr>
          <w:spacing w:val="40"/>
        </w:rPr>
        <w:t> </w:t>
      </w:r>
      <w:r>
        <w:rPr/>
        <w:t>медицинского</w:t>
      </w:r>
      <w:r>
        <w:rPr>
          <w:spacing w:val="40"/>
        </w:rPr>
        <w:t> </w:t>
      </w:r>
      <w:r>
        <w:rPr/>
        <w:t>страхования</w:t>
      </w:r>
      <w:r>
        <w:rPr>
          <w:spacing w:val="40"/>
        </w:rPr>
        <w:t> </w:t>
      </w:r>
      <w:r>
        <w:rPr/>
        <w:t>за</w:t>
      </w:r>
      <w:r>
        <w:rPr>
          <w:spacing w:val="40"/>
        </w:rPr>
        <w:t> </w:t>
      </w:r>
      <w:r>
        <w:rPr/>
        <w:t>счет</w:t>
      </w:r>
      <w:r>
        <w:rPr>
          <w:spacing w:val="40"/>
        </w:rPr>
        <w:t> </w:t>
      </w:r>
      <w:r>
        <w:rPr/>
        <w:t>субвенций из бюджета Фонда устанавливаются с учетом соответствующих коэффициентов</w:t>
      </w:r>
      <w:r>
        <w:rPr>
          <w:spacing w:val="80"/>
          <w:w w:val="150"/>
        </w:rPr>
        <w:t>  </w:t>
      </w:r>
      <w:r>
        <w:rPr/>
        <w:t>дифференциации,</w:t>
      </w:r>
      <w:r>
        <w:rPr>
          <w:spacing w:val="80"/>
          <w:w w:val="150"/>
        </w:rPr>
        <w:t>  </w:t>
      </w:r>
      <w:r>
        <w:rPr/>
        <w:t>рассчитанных</w:t>
      </w:r>
      <w:r>
        <w:rPr>
          <w:spacing w:val="80"/>
          <w:w w:val="150"/>
        </w:rPr>
        <w:t>  </w:t>
      </w:r>
      <w:r>
        <w:rPr/>
        <w:t>в</w:t>
      </w:r>
      <w:r>
        <w:rPr>
          <w:spacing w:val="80"/>
          <w:w w:val="150"/>
        </w:rPr>
        <w:t>  </w:t>
      </w:r>
      <w:r>
        <w:rPr/>
        <w:t>соответствии</w:t>
      </w:r>
      <w:r>
        <w:rPr>
          <w:spacing w:val="80"/>
        </w:rPr>
        <w:t> </w:t>
      </w:r>
      <w:r>
        <w:rPr/>
        <w:t>с</w:t>
      </w:r>
      <w:r>
        <w:rPr>
          <w:spacing w:val="31"/>
        </w:rPr>
        <w:t> </w:t>
      </w:r>
      <w:r>
        <w:rPr/>
        <w:t>постановлением</w:t>
      </w:r>
      <w:r>
        <w:rPr>
          <w:spacing w:val="31"/>
        </w:rPr>
        <w:t> </w:t>
      </w:r>
      <w:r>
        <w:rPr/>
        <w:t>Правительства</w:t>
      </w:r>
      <w:r>
        <w:rPr>
          <w:spacing w:val="33"/>
        </w:rPr>
        <w:t> </w:t>
      </w:r>
      <w:r>
        <w:rPr/>
        <w:t>Российской</w:t>
      </w:r>
      <w:r>
        <w:rPr>
          <w:spacing w:val="34"/>
        </w:rPr>
        <w:t> </w:t>
      </w:r>
      <w:r>
        <w:rPr/>
        <w:t>Федерации</w:t>
      </w:r>
      <w:r>
        <w:rPr>
          <w:spacing w:val="32"/>
        </w:rPr>
        <w:t> </w:t>
      </w:r>
      <w:r>
        <w:rPr/>
        <w:t>от</w:t>
      </w:r>
      <w:r>
        <w:rPr>
          <w:spacing w:val="33"/>
        </w:rPr>
        <w:t> </w:t>
      </w:r>
      <w:r>
        <w:rPr/>
        <w:t>5</w:t>
      </w:r>
      <w:r>
        <w:rPr>
          <w:spacing w:val="34"/>
        </w:rPr>
        <w:t> </w:t>
      </w:r>
      <w:r>
        <w:rPr/>
        <w:t>мая</w:t>
      </w:r>
      <w:r>
        <w:rPr>
          <w:spacing w:val="34"/>
        </w:rPr>
        <w:t> </w:t>
      </w:r>
      <w:r>
        <w:rPr/>
        <w:t>2012</w:t>
      </w:r>
      <w:r>
        <w:rPr>
          <w:spacing w:val="1"/>
        </w:rPr>
        <w:t> </w:t>
      </w:r>
      <w:r>
        <w:rPr>
          <w:spacing w:val="-5"/>
        </w:rPr>
        <w:t>г.</w:t>
      </w:r>
    </w:p>
    <w:p>
      <w:pPr>
        <w:pStyle w:val="BodyText"/>
        <w:tabs>
          <w:tab w:pos="1131" w:val="left" w:leader="none"/>
          <w:tab w:pos="1701" w:val="left" w:leader="none"/>
          <w:tab w:pos="1824" w:val="left" w:leader="none"/>
          <w:tab w:pos="1967" w:val="left" w:leader="none"/>
          <w:tab w:pos="2011" w:val="left" w:leader="none"/>
          <w:tab w:pos="2041" w:val="left" w:leader="none"/>
          <w:tab w:pos="2099" w:val="left" w:leader="none"/>
          <w:tab w:pos="2915" w:val="left" w:leader="none"/>
          <w:tab w:pos="3443" w:val="left" w:leader="none"/>
          <w:tab w:pos="3666" w:val="left" w:leader="none"/>
          <w:tab w:pos="3855" w:val="left" w:leader="none"/>
          <w:tab w:pos="3907" w:val="left" w:leader="none"/>
          <w:tab w:pos="4293" w:val="left" w:leader="none"/>
          <w:tab w:pos="4409" w:val="left" w:leader="none"/>
          <w:tab w:pos="5000" w:val="left" w:leader="none"/>
          <w:tab w:pos="5730" w:val="left" w:leader="none"/>
          <w:tab w:pos="6179" w:val="left" w:leader="none"/>
          <w:tab w:pos="6211" w:val="left" w:leader="none"/>
          <w:tab w:pos="6258" w:val="left" w:leader="none"/>
          <w:tab w:pos="6501" w:val="left" w:leader="none"/>
          <w:tab w:pos="7065" w:val="left" w:leader="none"/>
          <w:tab w:pos="7144" w:val="left" w:leader="none"/>
          <w:tab w:pos="7481" w:val="left" w:leader="none"/>
          <w:tab w:pos="7549" w:val="left" w:leader="none"/>
          <w:tab w:pos="7892" w:val="left" w:leader="none"/>
          <w:tab w:pos="8002" w:val="left" w:leader="none"/>
          <w:tab w:pos="8219" w:val="left" w:leader="none"/>
          <w:tab w:pos="8343" w:val="left" w:leader="none"/>
        </w:tabs>
        <w:spacing w:line="268" w:lineRule="auto"/>
        <w:ind w:left="118" w:right="109"/>
        <w:jc w:val="right"/>
      </w:pPr>
      <w:r>
        <w:rPr/>
        <w:t>№ 462</w:t>
        <w:tab/>
      </w:r>
      <w:r>
        <w:rPr>
          <w:spacing w:val="-6"/>
        </w:rPr>
        <w:t>"О</w:t>
      </w:r>
      <w:r>
        <w:rPr/>
        <w:tab/>
      </w:r>
      <w:r>
        <w:rPr>
          <w:spacing w:val="-2"/>
        </w:rPr>
        <w:t>порядке</w:t>
      </w:r>
      <w:r>
        <w:rPr/>
        <w:tab/>
      </w:r>
      <w:r>
        <w:rPr>
          <w:spacing w:val="-2"/>
        </w:rPr>
        <w:t>распределения,</w:t>
      </w:r>
      <w:r>
        <w:rPr/>
        <w:tab/>
      </w:r>
      <w:r>
        <w:rPr>
          <w:spacing w:val="-2"/>
        </w:rPr>
        <w:t>предоставления</w:t>
      </w:r>
      <w:r>
        <w:rPr/>
        <w:tab/>
        <w:tab/>
      </w:r>
      <w:r>
        <w:rPr>
          <w:spacing w:val="-10"/>
        </w:rPr>
        <w:t>и</w:t>
      </w:r>
      <w:r>
        <w:rPr/>
        <w:tab/>
        <w:tab/>
      </w:r>
      <w:r>
        <w:rPr>
          <w:spacing w:val="-2"/>
        </w:rPr>
        <w:t>расходования </w:t>
      </w:r>
      <w:r>
        <w:rPr/>
        <w:t>субвенций</w:t>
      </w:r>
      <w:r>
        <w:rPr>
          <w:spacing w:val="34"/>
        </w:rPr>
        <w:t> </w:t>
      </w:r>
      <w:r>
        <w:rPr/>
        <w:t>из</w:t>
      </w:r>
      <w:r>
        <w:rPr>
          <w:spacing w:val="35"/>
        </w:rPr>
        <w:t> </w:t>
      </w:r>
      <w:r>
        <w:rPr/>
        <w:t>бюджета</w:t>
      </w:r>
      <w:r>
        <w:rPr>
          <w:spacing w:val="36"/>
        </w:rPr>
        <w:t> </w:t>
      </w:r>
      <w:r>
        <w:rPr/>
        <w:t>Федерального</w:t>
      </w:r>
      <w:r>
        <w:rPr>
          <w:spacing w:val="34"/>
        </w:rPr>
        <w:t> </w:t>
      </w:r>
      <w:r>
        <w:rPr/>
        <w:t>фонда обязательного</w:t>
      </w:r>
      <w:r>
        <w:rPr>
          <w:spacing w:val="36"/>
        </w:rPr>
        <w:t> </w:t>
      </w:r>
      <w:r>
        <w:rPr/>
        <w:t>медицинского </w:t>
      </w:r>
      <w:r>
        <w:rPr>
          <w:spacing w:val="-2"/>
        </w:rPr>
        <w:t>страхования</w:t>
      </w:r>
      <w:r>
        <w:rPr/>
        <w:tab/>
        <w:tab/>
        <w:tab/>
        <w:tab/>
      </w:r>
      <w:r>
        <w:rPr>
          <w:spacing w:val="-2"/>
        </w:rPr>
        <w:t>бюджетам</w:t>
      </w:r>
      <w:r>
        <w:rPr/>
        <w:tab/>
        <w:tab/>
      </w:r>
      <w:r>
        <w:rPr>
          <w:spacing w:val="-2"/>
        </w:rPr>
        <w:t>территориальных</w:t>
      </w:r>
      <w:r>
        <w:rPr/>
        <w:tab/>
      </w:r>
      <w:r>
        <w:rPr>
          <w:spacing w:val="-2"/>
        </w:rPr>
        <w:t>фондов</w:t>
      </w:r>
      <w:r>
        <w:rPr/>
        <w:tab/>
        <w:tab/>
      </w:r>
      <w:r>
        <w:rPr>
          <w:spacing w:val="-2"/>
        </w:rPr>
        <w:t>обязательного медицинского</w:t>
      </w:r>
      <w:r>
        <w:rPr/>
        <w:tab/>
        <w:tab/>
        <w:tab/>
        <w:tab/>
        <w:tab/>
      </w:r>
      <w:r>
        <w:rPr>
          <w:spacing w:val="-2"/>
        </w:rPr>
        <w:t>страхования</w:t>
      </w:r>
      <w:r>
        <w:rPr/>
        <w:tab/>
        <w:tab/>
      </w:r>
      <w:r>
        <w:rPr>
          <w:spacing w:val="-6"/>
        </w:rPr>
        <w:t>на</w:t>
      </w:r>
      <w:r>
        <w:rPr/>
        <w:tab/>
        <w:tab/>
      </w:r>
      <w:r>
        <w:rPr>
          <w:spacing w:val="-2"/>
        </w:rPr>
        <w:t>осуществление</w:t>
      </w:r>
      <w:r>
        <w:rPr/>
        <w:tab/>
        <w:tab/>
        <w:tab/>
      </w:r>
      <w:r>
        <w:rPr>
          <w:spacing w:val="-2"/>
        </w:rPr>
        <w:t>переданных</w:t>
      </w:r>
      <w:r>
        <w:rPr/>
        <w:tab/>
        <w:tab/>
      </w:r>
      <w:r>
        <w:rPr>
          <w:spacing w:val="-2"/>
        </w:rPr>
        <w:t>органам </w:t>
      </w:r>
      <w:r>
        <w:rPr/>
        <w:t>государственной</w:t>
      </w:r>
      <w:r>
        <w:rPr>
          <w:spacing w:val="80"/>
        </w:rPr>
        <w:t> </w:t>
      </w:r>
      <w:r>
        <w:rPr/>
        <w:t>власти</w:t>
      </w:r>
      <w:r>
        <w:rPr>
          <w:spacing w:val="80"/>
        </w:rPr>
        <w:t> </w:t>
      </w:r>
      <w:r>
        <w:rPr/>
        <w:t>субъектов</w:t>
      </w:r>
      <w:r>
        <w:rPr>
          <w:spacing w:val="40"/>
        </w:rPr>
        <w:t> </w:t>
      </w:r>
      <w:r>
        <w:rPr/>
        <w:t>Российской</w:t>
      </w:r>
      <w:r>
        <w:rPr>
          <w:spacing w:val="80"/>
        </w:rPr>
        <w:t> </w:t>
      </w:r>
      <w:r>
        <w:rPr/>
        <w:t>Федерации</w:t>
      </w:r>
      <w:r>
        <w:rPr>
          <w:spacing w:val="80"/>
        </w:rPr>
        <w:t> </w:t>
      </w:r>
      <w:r>
        <w:rPr/>
        <w:t>полномочий Российской Федерации в сфере обязательного медицинского страхования". </w:t>
      </w:r>
      <w:r>
        <w:rPr>
          <w:spacing w:val="-2"/>
        </w:rPr>
        <w:t>Подушевые</w:t>
      </w:r>
      <w:r>
        <w:rPr/>
        <w:tab/>
        <w:tab/>
      </w:r>
      <w:r>
        <w:rPr>
          <w:spacing w:val="-2"/>
        </w:rPr>
        <w:t>нормативы</w:t>
      </w:r>
      <w:r>
        <w:rPr/>
        <w:tab/>
      </w:r>
      <w:r>
        <w:rPr>
          <w:spacing w:val="-2"/>
        </w:rPr>
        <w:t>финансирования</w:t>
      </w:r>
      <w:r>
        <w:rPr/>
        <w:tab/>
      </w:r>
      <w:r>
        <w:rPr>
          <w:spacing w:val="-6"/>
        </w:rPr>
        <w:t>за</w:t>
      </w:r>
      <w:r>
        <w:rPr/>
        <w:tab/>
        <w:tab/>
        <w:tab/>
      </w:r>
      <w:r>
        <w:rPr>
          <w:spacing w:val="-4"/>
        </w:rPr>
        <w:t>счет</w:t>
      </w:r>
      <w:r>
        <w:rPr/>
        <w:tab/>
      </w:r>
      <w:r>
        <w:rPr>
          <w:spacing w:val="-2"/>
        </w:rPr>
        <w:t>бюджетных ассигнований</w:t>
      </w:r>
      <w:r>
        <w:rPr/>
        <w:tab/>
        <w:tab/>
      </w:r>
      <w:r>
        <w:rPr>
          <w:spacing w:val="-2"/>
        </w:rPr>
        <w:t>соответствующих</w:t>
      </w:r>
      <w:r>
        <w:rPr/>
        <w:tab/>
      </w:r>
      <w:r>
        <w:rPr>
          <w:spacing w:val="-44"/>
        </w:rPr>
        <w:t> </w:t>
      </w:r>
      <w:r>
        <w:rPr/>
        <w:t>бюджетов</w:t>
        <w:tab/>
      </w:r>
      <w:r>
        <w:rPr>
          <w:spacing w:val="-61"/>
        </w:rPr>
        <w:t> </w:t>
      </w:r>
      <w:r>
        <w:rPr>
          <w:spacing w:val="-2"/>
        </w:rPr>
        <w:t>устанавливаются</w:t>
      </w:r>
      <w:r>
        <w:rPr/>
        <w:tab/>
        <w:tab/>
      </w:r>
      <w:r>
        <w:rPr>
          <w:spacing w:val="-10"/>
        </w:rPr>
        <w:t>с</w:t>
      </w:r>
      <w:r>
        <w:rPr/>
        <w:tab/>
        <w:tab/>
      </w:r>
      <w:r>
        <w:rPr>
          <w:spacing w:val="-2"/>
        </w:rPr>
        <w:t>учетом региональных</w:t>
      </w:r>
      <w:r>
        <w:rPr/>
        <w:tab/>
        <w:tab/>
        <w:tab/>
        <w:tab/>
      </w:r>
      <w:r>
        <w:rPr>
          <w:spacing w:val="-2"/>
        </w:rPr>
        <w:t>особенностей</w:t>
      </w:r>
      <w:r>
        <w:rPr/>
        <w:tab/>
        <w:tab/>
      </w:r>
      <w:r>
        <w:rPr>
          <w:spacing w:val="-10"/>
        </w:rPr>
        <w:t>и</w:t>
      </w:r>
      <w:r>
        <w:rPr/>
        <w:tab/>
      </w:r>
      <w:r>
        <w:rPr>
          <w:spacing w:val="-2"/>
        </w:rPr>
        <w:t>обеспечивают</w:t>
      </w:r>
      <w:r>
        <w:rPr/>
        <w:tab/>
        <w:tab/>
      </w:r>
      <w:r>
        <w:rPr>
          <w:spacing w:val="-2"/>
        </w:rPr>
        <w:t>выполнение</w:t>
      </w:r>
      <w:r>
        <w:rPr/>
        <w:tab/>
      </w:r>
      <w:r>
        <w:rPr>
          <w:spacing w:val="-2"/>
        </w:rPr>
        <w:t>расходных </w:t>
      </w:r>
      <w:r>
        <w:rPr/>
        <w:t>обязательств</w:t>
      </w:r>
      <w:r>
        <w:rPr>
          <w:spacing w:val="77"/>
          <w:w w:val="150"/>
        </w:rPr>
        <w:t> </w:t>
      </w:r>
      <w:r>
        <w:rPr/>
        <w:t>субъектов</w:t>
      </w:r>
      <w:r>
        <w:rPr>
          <w:spacing w:val="77"/>
          <w:w w:val="150"/>
        </w:rPr>
        <w:t> </w:t>
      </w:r>
      <w:r>
        <w:rPr/>
        <w:t>Российской</w:t>
      </w:r>
      <w:r>
        <w:rPr>
          <w:spacing w:val="75"/>
          <w:w w:val="150"/>
        </w:rPr>
        <w:t> </w:t>
      </w:r>
      <w:r>
        <w:rPr/>
        <w:t>Федерации,</w:t>
      </w:r>
      <w:r>
        <w:rPr>
          <w:spacing w:val="74"/>
          <w:w w:val="150"/>
        </w:rPr>
        <w:t> </w:t>
      </w:r>
      <w:r>
        <w:rPr/>
        <w:t>в</w:t>
      </w:r>
      <w:r>
        <w:rPr>
          <w:spacing w:val="77"/>
          <w:w w:val="150"/>
        </w:rPr>
        <w:t> </w:t>
      </w:r>
      <w:r>
        <w:rPr/>
        <w:t>том</w:t>
      </w:r>
      <w:r>
        <w:rPr>
          <w:spacing w:val="76"/>
          <w:w w:val="150"/>
        </w:rPr>
        <w:t> </w:t>
      </w:r>
      <w:r>
        <w:rPr/>
        <w:t>числе</w:t>
      </w:r>
      <w:r>
        <w:rPr>
          <w:spacing w:val="74"/>
          <w:w w:val="150"/>
        </w:rPr>
        <w:t> </w:t>
      </w:r>
      <w:r>
        <w:rPr/>
        <w:t>в</w:t>
      </w:r>
      <w:r>
        <w:rPr>
          <w:spacing w:val="78"/>
          <w:w w:val="150"/>
        </w:rPr>
        <w:t> </w:t>
      </w:r>
      <w:r>
        <w:rPr>
          <w:spacing w:val="-2"/>
        </w:rPr>
        <w:t>части</w:t>
      </w:r>
    </w:p>
    <w:p>
      <w:pPr>
        <w:pStyle w:val="BodyText"/>
        <w:spacing w:line="316" w:lineRule="exact"/>
        <w:ind w:left="118"/>
        <w:jc w:val="both"/>
      </w:pPr>
      <w:r>
        <w:rPr/>
        <w:t>заработной</w:t>
      </w:r>
      <w:r>
        <w:rPr>
          <w:spacing w:val="-9"/>
        </w:rPr>
        <w:t> </w:t>
      </w:r>
      <w:r>
        <w:rPr/>
        <w:t>платы</w:t>
      </w:r>
      <w:r>
        <w:rPr>
          <w:spacing w:val="-9"/>
        </w:rPr>
        <w:t> </w:t>
      </w:r>
      <w:r>
        <w:rPr/>
        <w:t>медицинских</w:t>
      </w:r>
      <w:r>
        <w:rPr>
          <w:spacing w:val="-8"/>
        </w:rPr>
        <w:t> </w:t>
      </w:r>
      <w:r>
        <w:rPr>
          <w:spacing w:val="-2"/>
        </w:rPr>
        <w:t>работников.</w:t>
      </w:r>
    </w:p>
    <w:p>
      <w:pPr>
        <w:pStyle w:val="BodyText"/>
        <w:spacing w:line="268" w:lineRule="auto" w:before="35"/>
        <w:ind w:left="118" w:right="117" w:firstLine="707"/>
        <w:jc w:val="both"/>
      </w:pPr>
      <w:r>
        <w:rPr/>
        <w:t>Средние подушевые нормативы финансирования, предусмотренные Программой (без учета расходов федерального бюджета), составляют:</w:t>
      </w:r>
    </w:p>
    <w:p>
      <w:pPr>
        <w:pStyle w:val="BodyText"/>
        <w:spacing w:line="268" w:lineRule="auto"/>
        <w:ind w:left="118" w:right="112" w:firstLine="707"/>
        <w:jc w:val="both"/>
      </w:pPr>
      <w:r>
        <w:rPr/>
        <w:t>за</w:t>
      </w:r>
      <w:r>
        <w:rPr>
          <w:spacing w:val="80"/>
          <w:w w:val="150"/>
        </w:rPr>
        <w:t> </w:t>
      </w:r>
      <w:r>
        <w:rPr/>
        <w:t>счет</w:t>
      </w:r>
      <w:r>
        <w:rPr>
          <w:spacing w:val="80"/>
          <w:w w:val="150"/>
        </w:rPr>
        <w:t> </w:t>
      </w:r>
      <w:r>
        <w:rPr/>
        <w:t>бюджетных</w:t>
      </w:r>
      <w:r>
        <w:rPr>
          <w:spacing w:val="80"/>
          <w:w w:val="150"/>
        </w:rPr>
        <w:t> </w:t>
      </w:r>
      <w:r>
        <w:rPr/>
        <w:t>ассигнований</w:t>
      </w:r>
      <w:r>
        <w:rPr>
          <w:spacing w:val="80"/>
          <w:w w:val="150"/>
        </w:rPr>
        <w:t> </w:t>
      </w:r>
      <w:r>
        <w:rPr/>
        <w:t>соответствующих</w:t>
      </w:r>
      <w:r>
        <w:rPr>
          <w:spacing w:val="80"/>
          <w:w w:val="150"/>
        </w:rPr>
        <w:t> </w:t>
      </w:r>
      <w:r>
        <w:rPr/>
        <w:t>бюджетов</w:t>
      </w:r>
      <w:r>
        <w:rPr>
          <w:spacing w:val="80"/>
        </w:rPr>
        <w:t> </w:t>
      </w:r>
      <w:r>
        <w:rPr/>
        <w:t>(в</w:t>
      </w:r>
      <w:r>
        <w:rPr>
          <w:spacing w:val="40"/>
        </w:rPr>
        <w:t> </w:t>
      </w:r>
      <w:r>
        <w:rPr/>
        <w:t>расчете</w:t>
      </w:r>
      <w:r>
        <w:rPr>
          <w:spacing w:val="40"/>
        </w:rPr>
        <w:t> </w:t>
      </w:r>
      <w:r>
        <w:rPr/>
        <w:t>на</w:t>
      </w:r>
      <w:r>
        <w:rPr>
          <w:spacing w:val="40"/>
        </w:rPr>
        <w:t> </w:t>
      </w:r>
      <w:r>
        <w:rPr/>
        <w:t>одного</w:t>
      </w:r>
      <w:r>
        <w:rPr>
          <w:spacing w:val="40"/>
        </w:rPr>
        <w:t> </w:t>
      </w:r>
      <w:r>
        <w:rPr/>
        <w:t>жителя)</w:t>
      </w:r>
      <w:r>
        <w:rPr>
          <w:spacing w:val="40"/>
        </w:rPr>
        <w:t> </w:t>
      </w:r>
      <w:r>
        <w:rPr/>
        <w:t>в</w:t>
      </w:r>
      <w:r>
        <w:rPr>
          <w:spacing w:val="40"/>
        </w:rPr>
        <w:t> </w:t>
      </w:r>
      <w:r>
        <w:rPr/>
        <w:t>2022</w:t>
      </w:r>
      <w:r>
        <w:rPr>
          <w:spacing w:val="40"/>
        </w:rPr>
        <w:t> </w:t>
      </w:r>
      <w:r>
        <w:rPr/>
        <w:t>году</w:t>
      </w:r>
      <w:r>
        <w:rPr>
          <w:spacing w:val="40"/>
        </w:rPr>
        <w:t> </w:t>
      </w:r>
      <w:r>
        <w:rPr/>
        <w:t>-</w:t>
      </w:r>
      <w:r>
        <w:rPr>
          <w:spacing w:val="40"/>
        </w:rPr>
        <w:t> </w:t>
      </w:r>
      <w:r>
        <w:rPr/>
        <w:t>3875,3</w:t>
      </w:r>
      <w:r>
        <w:rPr>
          <w:spacing w:val="40"/>
        </w:rPr>
        <w:t> </w:t>
      </w:r>
      <w:r>
        <w:rPr/>
        <w:t>рубля,</w:t>
      </w:r>
      <w:r>
        <w:rPr>
          <w:spacing w:val="40"/>
        </w:rPr>
        <w:t> </w:t>
      </w:r>
      <w:r>
        <w:rPr/>
        <w:t>2023</w:t>
      </w:r>
      <w:r>
        <w:rPr>
          <w:spacing w:val="40"/>
        </w:rPr>
        <w:t> </w:t>
      </w:r>
      <w:r>
        <w:rPr/>
        <w:t>году</w:t>
      </w:r>
      <w:r>
        <w:rPr>
          <w:spacing w:val="40"/>
        </w:rPr>
        <w:t> </w:t>
      </w:r>
      <w:r>
        <w:rPr/>
        <w:t>- 4030,3 рубля и 2024 году - 4191,5 рубля;</w:t>
      </w:r>
    </w:p>
    <w:p>
      <w:pPr>
        <w:pStyle w:val="BodyText"/>
        <w:spacing w:line="268" w:lineRule="auto"/>
        <w:ind w:left="118" w:right="111" w:firstLine="707"/>
        <w:jc w:val="both"/>
      </w:pPr>
      <w:r>
        <w:rPr/>
        <w:t>за счет средств обязательного медицинского страхования на финансирование базовой программы обязательного медицинского страхования</w:t>
      </w:r>
      <w:r>
        <w:rPr>
          <w:spacing w:val="40"/>
        </w:rPr>
        <w:t> </w:t>
      </w:r>
      <w:r>
        <w:rPr/>
        <w:t>(в</w:t>
      </w:r>
      <w:r>
        <w:rPr>
          <w:spacing w:val="40"/>
        </w:rPr>
        <w:t> </w:t>
      </w:r>
      <w:r>
        <w:rPr/>
        <w:t>расчете</w:t>
      </w:r>
      <w:r>
        <w:rPr>
          <w:spacing w:val="40"/>
        </w:rPr>
        <w:t> </w:t>
      </w:r>
      <w:r>
        <w:rPr/>
        <w:t>на</w:t>
      </w:r>
      <w:r>
        <w:rPr>
          <w:spacing w:val="40"/>
        </w:rPr>
        <w:t> </w:t>
      </w:r>
      <w:r>
        <w:rPr/>
        <w:t>одно</w:t>
      </w:r>
      <w:r>
        <w:rPr>
          <w:spacing w:val="40"/>
        </w:rPr>
        <w:t> </w:t>
      </w:r>
      <w:r>
        <w:rPr/>
        <w:t>застрахованное</w:t>
      </w:r>
      <w:r>
        <w:rPr>
          <w:spacing w:val="40"/>
        </w:rPr>
        <w:t> </w:t>
      </w:r>
      <w:r>
        <w:rPr/>
        <w:t>лицо)</w:t>
      </w:r>
      <w:r>
        <w:rPr>
          <w:spacing w:val="40"/>
        </w:rPr>
        <w:t> </w:t>
      </w:r>
      <w:r>
        <w:rPr/>
        <w:t>в</w:t>
      </w:r>
      <w:r>
        <w:rPr>
          <w:spacing w:val="40"/>
        </w:rPr>
        <w:t> </w:t>
      </w:r>
      <w:r>
        <w:rPr/>
        <w:t>2022</w:t>
      </w:r>
      <w:r>
        <w:rPr>
          <w:spacing w:val="40"/>
        </w:rPr>
        <w:t> </w:t>
      </w:r>
      <w:r>
        <w:rPr/>
        <w:t>году</w:t>
      </w:r>
      <w:r>
        <w:rPr>
          <w:spacing w:val="40"/>
        </w:rPr>
        <w:t> </w:t>
      </w:r>
      <w:r>
        <w:rPr/>
        <w:t>- 15062,9</w:t>
      </w:r>
      <w:r>
        <w:rPr>
          <w:spacing w:val="22"/>
        </w:rPr>
        <w:t> </w:t>
      </w:r>
      <w:r>
        <w:rPr/>
        <w:t>рубля,</w:t>
      </w:r>
      <w:r>
        <w:rPr>
          <w:spacing w:val="23"/>
        </w:rPr>
        <w:t> </w:t>
      </w:r>
      <w:r>
        <w:rPr/>
        <w:t>в</w:t>
      </w:r>
      <w:r>
        <w:rPr>
          <w:spacing w:val="23"/>
        </w:rPr>
        <w:t> </w:t>
      </w:r>
      <w:r>
        <w:rPr/>
        <w:t>2023</w:t>
      </w:r>
      <w:r>
        <w:rPr>
          <w:spacing w:val="22"/>
        </w:rPr>
        <w:t> </w:t>
      </w:r>
      <w:r>
        <w:rPr/>
        <w:t>году</w:t>
      </w:r>
      <w:r>
        <w:rPr>
          <w:spacing w:val="24"/>
        </w:rPr>
        <w:t> </w:t>
      </w:r>
      <w:r>
        <w:rPr/>
        <w:t>-</w:t>
      </w:r>
      <w:r>
        <w:rPr>
          <w:spacing w:val="24"/>
        </w:rPr>
        <w:t> </w:t>
      </w:r>
      <w:r>
        <w:rPr/>
        <w:t>15887,8</w:t>
      </w:r>
      <w:r>
        <w:rPr>
          <w:spacing w:val="22"/>
        </w:rPr>
        <w:t> </w:t>
      </w:r>
      <w:r>
        <w:rPr/>
        <w:t>рубля</w:t>
      </w:r>
      <w:r>
        <w:rPr>
          <w:spacing w:val="24"/>
        </w:rPr>
        <w:t> </w:t>
      </w:r>
      <w:r>
        <w:rPr/>
        <w:t>и</w:t>
      </w:r>
      <w:r>
        <w:rPr>
          <w:spacing w:val="24"/>
        </w:rPr>
        <w:t> </w:t>
      </w:r>
      <w:r>
        <w:rPr/>
        <w:t>в</w:t>
      </w:r>
      <w:r>
        <w:rPr>
          <w:spacing w:val="20"/>
        </w:rPr>
        <w:t> </w:t>
      </w:r>
      <w:r>
        <w:rPr/>
        <w:t>2024</w:t>
      </w:r>
      <w:r>
        <w:rPr>
          <w:spacing w:val="24"/>
        </w:rPr>
        <w:t> </w:t>
      </w:r>
      <w:r>
        <w:rPr/>
        <w:t>году</w:t>
      </w:r>
      <w:r>
        <w:rPr>
          <w:spacing w:val="24"/>
        </w:rPr>
        <w:t> </w:t>
      </w:r>
      <w:r>
        <w:rPr/>
        <w:t>-</w:t>
      </w:r>
      <w:r>
        <w:rPr>
          <w:spacing w:val="24"/>
        </w:rPr>
        <w:t> </w:t>
      </w:r>
      <w:r>
        <w:rPr/>
        <w:t>16827,9</w:t>
      </w:r>
      <w:r>
        <w:rPr>
          <w:spacing w:val="22"/>
        </w:rPr>
        <w:t> </w:t>
      </w:r>
      <w:r>
        <w:rPr/>
        <w:t>рубля, в том числе:</w:t>
      </w:r>
    </w:p>
    <w:p>
      <w:pPr>
        <w:pStyle w:val="BodyText"/>
        <w:spacing w:line="268" w:lineRule="auto"/>
        <w:ind w:left="118" w:right="113" w:firstLine="707"/>
        <w:jc w:val="both"/>
      </w:pPr>
      <w:r>
        <w:rPr/>
        <w:t>на оказание медицинской помощи федеральными медицинскими организациями</w:t>
      </w:r>
      <w:r>
        <w:rPr>
          <w:spacing w:val="80"/>
          <w:w w:val="150"/>
        </w:rPr>
        <w:t> </w:t>
      </w:r>
      <w:r>
        <w:rPr/>
        <w:t>в</w:t>
      </w:r>
      <w:r>
        <w:rPr>
          <w:spacing w:val="80"/>
          <w:w w:val="150"/>
        </w:rPr>
        <w:t> </w:t>
      </w:r>
      <w:r>
        <w:rPr/>
        <w:t>2022 году</w:t>
      </w:r>
      <w:r>
        <w:rPr>
          <w:spacing w:val="80"/>
          <w:w w:val="150"/>
        </w:rPr>
        <w:t> </w:t>
      </w:r>
      <w:r>
        <w:rPr/>
        <w:t>-</w:t>
      </w:r>
      <w:r>
        <w:rPr>
          <w:spacing w:val="80"/>
          <w:w w:val="150"/>
        </w:rPr>
        <w:t> </w:t>
      </w:r>
      <w:r>
        <w:rPr/>
        <w:t>889 рублей,</w:t>
      </w:r>
      <w:r>
        <w:rPr>
          <w:spacing w:val="80"/>
          <w:w w:val="150"/>
        </w:rPr>
        <w:t> </w:t>
      </w:r>
      <w:r>
        <w:rPr/>
        <w:t>в</w:t>
      </w:r>
      <w:r>
        <w:rPr>
          <w:spacing w:val="80"/>
          <w:w w:val="150"/>
        </w:rPr>
        <w:t> </w:t>
      </w:r>
      <w:r>
        <w:rPr/>
        <w:t>2023 году</w:t>
      </w:r>
      <w:r>
        <w:rPr>
          <w:spacing w:val="80"/>
          <w:w w:val="150"/>
        </w:rPr>
        <w:t> </w:t>
      </w:r>
      <w:r>
        <w:rPr/>
        <w:t>-</w:t>
      </w:r>
      <w:r>
        <w:rPr>
          <w:spacing w:val="80"/>
          <w:w w:val="150"/>
        </w:rPr>
        <w:t> </w:t>
      </w:r>
      <w:r>
        <w:rPr/>
        <w:t>937,9 рубля</w:t>
      </w:r>
      <w:r>
        <w:rPr>
          <w:spacing w:val="40"/>
        </w:rPr>
        <w:t> </w:t>
      </w:r>
      <w:r>
        <w:rPr/>
        <w:t>и в 2024 году - 993,2 рубля;</w:t>
      </w:r>
    </w:p>
    <w:p>
      <w:pPr>
        <w:pStyle w:val="BodyText"/>
        <w:spacing w:line="268" w:lineRule="auto"/>
        <w:ind w:left="118" w:right="114" w:firstLine="707"/>
        <w:jc w:val="both"/>
      </w:pPr>
      <w:r>
        <w:rPr/>
        <w:t>на</w:t>
      </w:r>
      <w:r>
        <w:rPr>
          <w:spacing w:val="40"/>
        </w:rPr>
        <w:t> </w:t>
      </w:r>
      <w:r>
        <w:rPr/>
        <w:t>оказание</w:t>
      </w:r>
      <w:r>
        <w:rPr>
          <w:spacing w:val="40"/>
        </w:rPr>
        <w:t> </w:t>
      </w:r>
      <w:r>
        <w:rPr/>
        <w:t>медицинской</w:t>
      </w:r>
      <w:r>
        <w:rPr>
          <w:spacing w:val="40"/>
        </w:rPr>
        <w:t> </w:t>
      </w:r>
      <w:r>
        <w:rPr/>
        <w:t>помощи</w:t>
      </w:r>
      <w:r>
        <w:rPr>
          <w:spacing w:val="40"/>
        </w:rPr>
        <w:t> </w:t>
      </w:r>
      <w:r>
        <w:rPr/>
        <w:t>медицинскими</w:t>
      </w:r>
      <w:r>
        <w:rPr>
          <w:spacing w:val="40"/>
        </w:rPr>
        <w:t> </w:t>
      </w:r>
      <w:r>
        <w:rPr/>
        <w:t>организациями (за исключением федеральных медицинских организаций) в 2022 году - 14173,9 рубля, в 2023 году - 14949,9 рубля, в 2024 году - 15834,7 рубля.</w:t>
      </w:r>
    </w:p>
    <w:p>
      <w:pPr>
        <w:pStyle w:val="BodyText"/>
        <w:spacing w:line="268" w:lineRule="auto"/>
        <w:ind w:left="118" w:right="110" w:firstLine="707"/>
        <w:jc w:val="both"/>
      </w:pPr>
      <w:r>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w:t>
      </w:r>
      <w:r>
        <w:rPr>
          <w:spacing w:val="12"/>
        </w:rPr>
        <w:t> </w:t>
      </w:r>
      <w:r>
        <w:rPr/>
        <w:t>бюджетных</w:t>
      </w:r>
      <w:r>
        <w:rPr>
          <w:spacing w:val="16"/>
        </w:rPr>
        <w:t> </w:t>
      </w:r>
      <w:r>
        <w:rPr/>
        <w:t>ассигнований</w:t>
      </w:r>
      <w:r>
        <w:rPr>
          <w:spacing w:val="15"/>
        </w:rPr>
        <w:t> </w:t>
      </w:r>
      <w:r>
        <w:rPr/>
        <w:t>соответствующих</w:t>
      </w:r>
      <w:r>
        <w:rPr>
          <w:spacing w:val="14"/>
        </w:rPr>
        <w:t> </w:t>
      </w:r>
      <w:r>
        <w:rPr>
          <w:spacing w:val="-2"/>
        </w:rPr>
        <w:t>бюджетов</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BodyText"/>
        <w:spacing w:line="268" w:lineRule="auto"/>
        <w:ind w:left="118" w:right="112" w:firstLine="707"/>
        <w:jc w:val="both"/>
      </w:pPr>
      <w:r>
        <w:rPr/>
        <w:t>Средние подушевые нормативы финансирования</w:t>
      </w:r>
      <w:r>
        <w:rPr>
          <w:spacing w:val="-2"/>
        </w:rPr>
        <w:t> </w:t>
      </w:r>
      <w:r>
        <w:rPr/>
        <w:t>базовой программы обязательного медицинского страхования за счет субвенций из бюджета Фонда</w:t>
      </w:r>
      <w:r>
        <w:rPr>
          <w:spacing w:val="40"/>
        </w:rPr>
        <w:t> </w:t>
      </w:r>
      <w:r>
        <w:rPr/>
        <w:t>сформированы</w:t>
      </w:r>
      <w:r>
        <w:rPr>
          <w:spacing w:val="40"/>
        </w:rPr>
        <w:t> </w:t>
      </w:r>
      <w:r>
        <w:rPr/>
        <w:t>без</w:t>
      </w:r>
      <w:r>
        <w:rPr>
          <w:spacing w:val="40"/>
        </w:rPr>
        <w:t> </w:t>
      </w:r>
      <w:r>
        <w:rPr/>
        <w:t>учета</w:t>
      </w:r>
      <w:r>
        <w:rPr>
          <w:spacing w:val="40"/>
        </w:rPr>
        <w:t> </w:t>
      </w:r>
      <w:r>
        <w:rPr/>
        <w:t>средств</w:t>
      </w:r>
      <w:r>
        <w:rPr>
          <w:spacing w:val="40"/>
        </w:rPr>
        <w:t> </w:t>
      </w:r>
      <w:r>
        <w:rPr/>
        <w:t>бюджета</w:t>
      </w:r>
      <w:r>
        <w:rPr>
          <w:spacing w:val="40"/>
        </w:rPr>
        <w:t> </w:t>
      </w:r>
      <w:r>
        <w:rPr/>
        <w:t>Фонда,</w:t>
      </w:r>
      <w:r>
        <w:rPr>
          <w:spacing w:val="40"/>
        </w:rPr>
        <w:t> </w:t>
      </w:r>
      <w:r>
        <w:rPr/>
        <w:t>направляемых на</w:t>
      </w:r>
      <w:r>
        <w:rPr>
          <w:spacing w:val="40"/>
        </w:rPr>
        <w:t> </w:t>
      </w:r>
      <w:r>
        <w:rPr/>
        <w:t>оказание</w:t>
      </w:r>
      <w:r>
        <w:rPr>
          <w:spacing w:val="40"/>
        </w:rPr>
        <w:t> </w:t>
      </w:r>
      <w:r>
        <w:rPr/>
        <w:t>высокотехнологичной</w:t>
      </w:r>
      <w:r>
        <w:rPr>
          <w:spacing w:val="40"/>
        </w:rPr>
        <w:t> </w:t>
      </w:r>
      <w:r>
        <w:rPr/>
        <w:t>медицинской</w:t>
      </w:r>
      <w:r>
        <w:rPr>
          <w:spacing w:val="40"/>
        </w:rPr>
        <w:t> </w:t>
      </w:r>
      <w:r>
        <w:rPr/>
        <w:t>помощи,</w:t>
      </w:r>
      <w:r>
        <w:rPr>
          <w:spacing w:val="39"/>
        </w:rPr>
        <w:t> </w:t>
      </w:r>
      <w:r>
        <w:rPr/>
        <w:t>не</w:t>
      </w:r>
      <w:r>
        <w:rPr>
          <w:spacing w:val="40"/>
        </w:rPr>
        <w:t> </w:t>
      </w:r>
      <w:r>
        <w:rPr/>
        <w:t>включенной в</w:t>
      </w:r>
      <w:r>
        <w:rPr>
          <w:spacing w:val="80"/>
        </w:rPr>
        <w:t>  </w:t>
      </w:r>
      <w:r>
        <w:rPr/>
        <w:t>базовую</w:t>
      </w:r>
      <w:r>
        <w:rPr>
          <w:spacing w:val="80"/>
        </w:rPr>
        <w:t>  </w:t>
      </w:r>
      <w:r>
        <w:rPr/>
        <w:t>программу</w:t>
      </w:r>
      <w:r>
        <w:rPr>
          <w:spacing w:val="80"/>
        </w:rPr>
        <w:t>  </w:t>
      </w:r>
      <w:r>
        <w:rPr/>
        <w:t>обязательного</w:t>
      </w:r>
      <w:r>
        <w:rPr>
          <w:spacing w:val="80"/>
        </w:rPr>
        <w:t>  </w:t>
      </w:r>
      <w:r>
        <w:rPr/>
        <w:t>медицинского</w:t>
      </w:r>
      <w:r>
        <w:rPr>
          <w:spacing w:val="80"/>
        </w:rPr>
        <w:t>  </w:t>
      </w:r>
      <w:r>
        <w:rPr/>
        <w:t>страхования,</w:t>
      </w:r>
      <w:r>
        <w:rPr>
          <w:spacing w:val="40"/>
        </w:rPr>
        <w:t> </w:t>
      </w:r>
      <w:r>
        <w:rPr/>
        <w:t>в соответствии с разделом II перечня видов высокотехнологичной медицинской помощи.</w:t>
      </w:r>
    </w:p>
    <w:p>
      <w:pPr>
        <w:pStyle w:val="BodyText"/>
        <w:spacing w:line="268" w:lineRule="auto"/>
        <w:ind w:left="118" w:right="112" w:firstLine="707"/>
        <w:jc w:val="both"/>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w:t>
      </w:r>
      <w:r>
        <w:rPr>
          <w:spacing w:val="-2"/>
        </w:rPr>
        <w:t> </w:t>
      </w:r>
      <w:r>
        <w:rPr/>
        <w:t>установления</w:t>
      </w:r>
      <w:r>
        <w:rPr>
          <w:spacing w:val="-4"/>
        </w:rPr>
        <w:t> </w:t>
      </w:r>
      <w:r>
        <w:rPr/>
        <w:t>перечня</w:t>
      </w:r>
      <w:r>
        <w:rPr>
          <w:spacing w:val="-4"/>
        </w:rPr>
        <w:t> </w:t>
      </w:r>
      <w:r>
        <w:rPr/>
        <w:t>страховых</w:t>
      </w:r>
      <w:r>
        <w:rPr>
          <w:spacing w:val="-3"/>
        </w:rPr>
        <w:t> </w:t>
      </w:r>
      <w:r>
        <w:rPr/>
        <w:t>случаев,</w:t>
      </w:r>
      <w:r>
        <w:rPr>
          <w:spacing w:val="-5"/>
        </w:rPr>
        <w:t> </w:t>
      </w:r>
      <w:r>
        <w:rPr/>
        <w:t>видов</w:t>
      </w:r>
      <w:r>
        <w:rPr>
          <w:spacing w:val="-6"/>
        </w:rPr>
        <w:t> </w:t>
      </w:r>
      <w:r>
        <w:rPr/>
        <w:t>и</w:t>
      </w:r>
      <w:r>
        <w:rPr>
          <w:spacing w:val="-4"/>
        </w:rPr>
        <w:t> </w:t>
      </w:r>
      <w:r>
        <w:rPr/>
        <w:t>условий</w:t>
      </w:r>
      <w:r>
        <w:rPr>
          <w:spacing w:val="-4"/>
        </w:rPr>
        <w:t> </w:t>
      </w:r>
      <w:r>
        <w:rPr/>
        <w:t>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w:t>
      </w:r>
      <w:r>
        <w:rPr>
          <w:spacing w:val="-2"/>
        </w:rPr>
        <w:t> </w:t>
      </w:r>
      <w:r>
        <w:rPr/>
        <w:t>случаях</w:t>
      </w:r>
      <w:r>
        <w:rPr>
          <w:spacing w:val="-3"/>
        </w:rPr>
        <w:t> </w:t>
      </w:r>
      <w:r>
        <w:rPr/>
        <w:t>осуществляется</w:t>
      </w:r>
      <w:r>
        <w:rPr>
          <w:spacing w:val="-2"/>
        </w:rPr>
        <w:t> </w:t>
      </w:r>
      <w:r>
        <w:rPr/>
        <w:t>за</w:t>
      </w:r>
      <w:r>
        <w:rPr>
          <w:spacing w:val="-3"/>
        </w:rPr>
        <w:t> </w:t>
      </w:r>
      <w:r>
        <w:rPr/>
        <w:t>счет</w:t>
      </w:r>
      <w:r>
        <w:rPr>
          <w:spacing w:val="-3"/>
        </w:rPr>
        <w:t> </w:t>
      </w:r>
      <w:r>
        <w:rPr/>
        <w:t>платежей</w:t>
      </w:r>
      <w:r>
        <w:rPr>
          <w:spacing w:val="-2"/>
        </w:rPr>
        <w:t> </w:t>
      </w:r>
      <w:r>
        <w:rPr/>
        <w:t>субъектов</w:t>
      </w:r>
      <w:r>
        <w:rPr>
          <w:spacing w:val="-4"/>
        </w:rPr>
        <w:t> </w:t>
      </w:r>
      <w:r>
        <w:rPr/>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BodyText"/>
        <w:spacing w:line="268" w:lineRule="auto"/>
        <w:ind w:left="118" w:right="118" w:firstLine="707"/>
        <w:jc w:val="both"/>
      </w:pPr>
      <w:r>
        <w:rPr/>
        <w:t>Стоимость утвержденной территориальной программы</w:t>
      </w:r>
      <w:r>
        <w:rPr>
          <w:spacing w:val="40"/>
        </w:rPr>
        <w:t> </w:t>
      </w:r>
      <w:r>
        <w:rPr/>
        <w:t>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1788" w:val="left" w:leader="none"/>
          <w:tab w:pos="3920" w:val="left" w:leader="none"/>
          <w:tab w:pos="5980" w:val="left" w:leader="none"/>
        </w:tabs>
        <w:spacing w:line="268" w:lineRule="auto" w:before="89"/>
        <w:ind w:left="118" w:right="109" w:firstLine="707"/>
        <w:jc w:val="both"/>
      </w:pPr>
      <w:r>
        <w:rPr/>
        <w:t>В рамках подушевого норматива финансового обеспечения территориальной программы обязательного медицинского страхования </w:t>
      </w:r>
      <w:r>
        <w:rPr>
          <w:spacing w:val="-2"/>
        </w:rPr>
        <w:t>субъект</w:t>
      </w:r>
      <w:r>
        <w:rPr/>
        <w:tab/>
      </w:r>
      <w:r>
        <w:rPr>
          <w:spacing w:val="-2"/>
        </w:rPr>
        <w:t>Российской</w:t>
      </w:r>
      <w:r>
        <w:rPr/>
        <w:tab/>
      </w:r>
      <w:r>
        <w:rPr>
          <w:spacing w:val="-2"/>
        </w:rPr>
        <w:t>Федерации</w:t>
      </w:r>
      <w:r>
        <w:rPr/>
        <w:tab/>
        <w:t>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BodyText"/>
        <w:spacing w:line="268" w:lineRule="auto"/>
        <w:ind w:left="118" w:right="110" w:firstLine="707"/>
        <w:jc w:val="both"/>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w:t>
      </w:r>
      <w:r>
        <w:rPr>
          <w:spacing w:val="80"/>
        </w:rPr>
        <w:t>   </w:t>
      </w:r>
      <w:r>
        <w:rPr/>
        <w:t>к</w:t>
      </w:r>
      <w:r>
        <w:rPr>
          <w:spacing w:val="80"/>
        </w:rPr>
        <w:t>   </w:t>
      </w:r>
      <w:r>
        <w:rPr/>
        <w:t>подушевому</w:t>
      </w:r>
      <w:r>
        <w:rPr>
          <w:spacing w:val="80"/>
        </w:rPr>
        <w:t>   </w:t>
      </w:r>
      <w:r>
        <w:rPr/>
        <w:t>нормативу</w:t>
      </w:r>
      <w:r>
        <w:rPr>
          <w:spacing w:val="80"/>
        </w:rPr>
        <w:t>   </w:t>
      </w:r>
      <w:r>
        <w:rPr/>
        <w:t>финансирования</w:t>
      </w:r>
      <w:r>
        <w:rPr>
          <w:spacing w:val="40"/>
        </w:rPr>
        <w:t> </w:t>
      </w:r>
      <w:r>
        <w:rPr/>
        <w:t>на прикрепившихся лиц с учетом реальной потребности населения, обусловленной уровнем и структурой заболеваемости, особенностями половозрастного</w:t>
      </w:r>
      <w:r>
        <w:rPr>
          <w:spacing w:val="40"/>
        </w:rPr>
        <w:t> </w:t>
      </w:r>
      <w:r>
        <w:rPr/>
        <w:t>состава,</w:t>
      </w:r>
      <w:r>
        <w:rPr>
          <w:spacing w:val="40"/>
        </w:rPr>
        <w:t> </w:t>
      </w:r>
      <w:r>
        <w:rPr/>
        <w:t>в</w:t>
      </w:r>
      <w:r>
        <w:rPr>
          <w:spacing w:val="40"/>
        </w:rPr>
        <w:t> </w:t>
      </w:r>
      <w:r>
        <w:rPr/>
        <w:t>том числе численности</w:t>
      </w:r>
      <w:r>
        <w:rPr>
          <w:spacing w:val="40"/>
        </w:rPr>
        <w:t> </w:t>
      </w:r>
      <w:r>
        <w:rPr/>
        <w:t>населения</w:t>
      </w:r>
      <w:r>
        <w:rPr>
          <w:spacing w:val="40"/>
        </w:rPr>
        <w:t> </w:t>
      </w:r>
      <w:r>
        <w:rPr/>
        <w:t>в</w:t>
      </w:r>
      <w:r>
        <w:rPr>
          <w:spacing w:val="40"/>
        </w:rPr>
        <w:t> </w:t>
      </w:r>
      <w:r>
        <w:rPr/>
        <w:t>возрасте 65</w:t>
      </w:r>
      <w:r>
        <w:rPr>
          <w:spacing w:val="-1"/>
        </w:rPr>
        <w:t> </w:t>
      </w:r>
      <w:r>
        <w:rPr/>
        <w:t>лет и старше, плотности населения, транспортной доступности медицинских</w:t>
      </w:r>
      <w:r>
        <w:rPr>
          <w:spacing w:val="40"/>
        </w:rPr>
        <w:t>  </w:t>
      </w:r>
      <w:r>
        <w:rPr/>
        <w:t>организаций,</w:t>
      </w:r>
      <w:r>
        <w:rPr>
          <w:spacing w:val="40"/>
        </w:rPr>
        <w:t>  </w:t>
      </w:r>
      <w:r>
        <w:rPr/>
        <w:t>количества</w:t>
      </w:r>
      <w:r>
        <w:rPr>
          <w:spacing w:val="40"/>
        </w:rPr>
        <w:t>  </w:t>
      </w:r>
      <w:r>
        <w:rPr/>
        <w:t>структурных</w:t>
      </w:r>
      <w:r>
        <w:rPr>
          <w:spacing w:val="40"/>
        </w:rPr>
        <w:t>  </w:t>
      </w:r>
      <w:r>
        <w:rPr/>
        <w:t>подразделений,</w:t>
      </w:r>
      <w:r>
        <w:rPr>
          <w:spacing w:val="40"/>
        </w:rPr>
        <w:t> </w:t>
      </w:r>
      <w:r>
        <w:rPr/>
        <w:t>за исключением количества фельдшерских, фельдшерско-акушерских пунктов, а также маршрутизации пациентов при оказании медицинской </w:t>
      </w:r>
      <w:r>
        <w:rPr>
          <w:spacing w:val="-2"/>
        </w:rPr>
        <w:t>помощи.</w:t>
      </w:r>
    </w:p>
    <w:p>
      <w:pPr>
        <w:pStyle w:val="BodyText"/>
        <w:spacing w:line="268" w:lineRule="auto"/>
        <w:ind w:left="118" w:right="114" w:firstLine="707"/>
        <w:jc w:val="both"/>
      </w:pPr>
      <w:r>
        <w:rPr/>
        <w:t>Для</w:t>
      </w:r>
      <w:r>
        <w:rPr>
          <w:spacing w:val="80"/>
        </w:rPr>
        <w:t>  </w:t>
      </w:r>
      <w:r>
        <w:rPr/>
        <w:t>расчета</w:t>
      </w:r>
      <w:r>
        <w:rPr>
          <w:spacing w:val="80"/>
        </w:rPr>
        <w:t>  </w:t>
      </w:r>
      <w:r>
        <w:rPr/>
        <w:t>стоимости</w:t>
      </w:r>
      <w:r>
        <w:rPr>
          <w:spacing w:val="80"/>
        </w:rPr>
        <w:t>  </w:t>
      </w:r>
      <w:r>
        <w:rPr/>
        <w:t>медицинской</w:t>
      </w:r>
      <w:r>
        <w:rPr>
          <w:spacing w:val="80"/>
        </w:rPr>
        <w:t>  </w:t>
      </w:r>
      <w:r>
        <w:rPr/>
        <w:t>помощи,</w:t>
      </w:r>
      <w:r>
        <w:rPr>
          <w:spacing w:val="80"/>
        </w:rPr>
        <w:t>  </w:t>
      </w:r>
      <w:r>
        <w:rPr/>
        <w:t>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w:t>
      </w:r>
      <w:r>
        <w:rPr>
          <w:spacing w:val="80"/>
        </w:rPr>
        <w:t>  </w:t>
      </w:r>
      <w:r>
        <w:rPr/>
        <w:t>типа</w:t>
      </w:r>
      <w:r>
        <w:rPr>
          <w:spacing w:val="80"/>
        </w:rPr>
        <w:t>  </w:t>
      </w:r>
      <w:r>
        <w:rPr/>
        <w:t>и</w:t>
      </w:r>
      <w:r>
        <w:rPr>
          <w:spacing w:val="80"/>
        </w:rPr>
        <w:t>  </w:t>
      </w:r>
      <w:r>
        <w:rPr/>
        <w:t>малых</w:t>
      </w:r>
      <w:r>
        <w:rPr>
          <w:spacing w:val="80"/>
        </w:rPr>
        <w:t>  </w:t>
      </w:r>
      <w:r>
        <w:rPr/>
        <w:t>городах</w:t>
      </w:r>
      <w:r>
        <w:rPr>
          <w:spacing w:val="80"/>
        </w:rPr>
        <w:t>  </w:t>
      </w:r>
      <w:r>
        <w:rPr/>
        <w:t>с</w:t>
      </w:r>
      <w:r>
        <w:rPr>
          <w:spacing w:val="80"/>
        </w:rPr>
        <w:t>  </w:t>
      </w:r>
      <w:r>
        <w:rPr/>
        <w:t>численностью</w:t>
      </w:r>
      <w:r>
        <w:rPr>
          <w:spacing w:val="80"/>
        </w:rPr>
        <w:t>  </w:t>
      </w:r>
      <w:r>
        <w:rPr/>
        <w:t>населения до</w:t>
      </w:r>
      <w:r>
        <w:rPr>
          <w:spacing w:val="40"/>
        </w:rPr>
        <w:t> </w:t>
      </w:r>
      <w:r>
        <w:rPr/>
        <w:t>50</w:t>
      </w:r>
      <w:r>
        <w:rPr>
          <w:spacing w:val="-1"/>
        </w:rPr>
        <w:t> </w:t>
      </w:r>
      <w:r>
        <w:rPr/>
        <w:t>тыс.</w:t>
      </w:r>
      <w:r>
        <w:rPr>
          <w:spacing w:val="-3"/>
        </w:rPr>
        <w:t> </w:t>
      </w:r>
      <w:r>
        <w:rPr/>
        <w:t>человек,</w:t>
      </w:r>
      <w:r>
        <w:rPr>
          <w:spacing w:val="40"/>
        </w:rPr>
        <w:t> </w:t>
      </w:r>
      <w:r>
        <w:rPr/>
        <w:t>применяются</w:t>
      </w:r>
      <w:r>
        <w:rPr>
          <w:spacing w:val="40"/>
        </w:rPr>
        <w:t> </w:t>
      </w:r>
      <w:r>
        <w:rPr/>
        <w:t>следующие</w:t>
      </w:r>
      <w:r>
        <w:rPr>
          <w:spacing w:val="40"/>
        </w:rPr>
        <w:t> </w:t>
      </w:r>
      <w:r>
        <w:rPr/>
        <w:t>коэффициенты дифференциации</w:t>
      </w:r>
      <w:r>
        <w:rPr>
          <w:spacing w:val="80"/>
        </w:rPr>
        <w:t>   </w:t>
      </w:r>
      <w:r>
        <w:rPr/>
        <w:t>к</w:t>
      </w:r>
      <w:r>
        <w:rPr>
          <w:spacing w:val="80"/>
        </w:rPr>
        <w:t>   </w:t>
      </w:r>
      <w:r>
        <w:rPr/>
        <w:t>подушевому</w:t>
      </w:r>
      <w:r>
        <w:rPr>
          <w:spacing w:val="80"/>
        </w:rPr>
        <w:t>   </w:t>
      </w:r>
      <w:r>
        <w:rPr/>
        <w:t>нормативу</w:t>
      </w:r>
      <w:r>
        <w:rPr>
          <w:spacing w:val="80"/>
        </w:rPr>
        <w:t>   </w:t>
      </w:r>
      <w:r>
        <w:rPr/>
        <w:t>финансирования на прикрепившихся к медицинской организации лиц с учетом наличия указанных подразделений и расходов на их содержание и оплату труда </w:t>
      </w:r>
      <w:r>
        <w:rPr>
          <w:spacing w:val="-2"/>
        </w:rPr>
        <w:t>персонала:</w:t>
      </w:r>
    </w:p>
    <w:p>
      <w:pPr>
        <w:pStyle w:val="BodyText"/>
        <w:spacing w:line="268" w:lineRule="auto"/>
        <w:ind w:left="118" w:right="109" w:firstLine="707"/>
        <w:jc w:val="both"/>
      </w:pPr>
      <w:r>
        <w:rPr/>
        <w:t>для медицинских организаций,</w:t>
      </w:r>
      <w:r>
        <w:rPr>
          <w:spacing w:val="-1"/>
        </w:rPr>
        <w:t> </w:t>
      </w:r>
      <w:r>
        <w:rPr/>
        <w:t>обслуживающих до 20 тыс. человек, - не менее 1,113;</w:t>
      </w:r>
    </w:p>
    <w:p>
      <w:pPr>
        <w:pStyle w:val="BodyText"/>
        <w:spacing w:line="268" w:lineRule="auto"/>
        <w:ind w:left="118" w:right="116" w:firstLine="707"/>
        <w:jc w:val="both"/>
      </w:pPr>
      <w:r>
        <w:rPr/>
        <w:t>для</w:t>
      </w:r>
      <w:r>
        <w:rPr>
          <w:spacing w:val="80"/>
        </w:rPr>
        <w:t>   </w:t>
      </w:r>
      <w:r>
        <w:rPr/>
        <w:t>медицинских</w:t>
      </w:r>
      <w:r>
        <w:rPr>
          <w:spacing w:val="80"/>
        </w:rPr>
        <w:t>   </w:t>
      </w:r>
      <w:r>
        <w:rPr/>
        <w:t>организаций,</w:t>
      </w:r>
      <w:r>
        <w:rPr>
          <w:spacing w:val="80"/>
        </w:rPr>
        <w:t>   </w:t>
      </w:r>
      <w:r>
        <w:rPr/>
        <w:t>обслуживающих</w:t>
      </w:r>
      <w:r>
        <w:rPr>
          <w:spacing w:val="80"/>
        </w:rPr>
        <w:t>   </w:t>
      </w:r>
      <w:r>
        <w:rPr/>
        <w:t>свыше 20 тыс. человек, - не менее 1,04.</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firstLine="707"/>
        <w:jc w:val="both"/>
      </w:pPr>
      <w:r>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w:t>
      </w:r>
      <w:r>
        <w:rPr>
          <w:spacing w:val="80"/>
        </w:rPr>
        <w:t> </w:t>
      </w:r>
      <w:r>
        <w:rPr/>
        <w:t>на</w:t>
      </w:r>
      <w:r>
        <w:rPr>
          <w:spacing w:val="80"/>
        </w:rPr>
        <w:t> </w:t>
      </w:r>
      <w:r>
        <w:rPr/>
        <w:t>прикрепившихся</w:t>
      </w:r>
      <w:r>
        <w:rPr>
          <w:spacing w:val="80"/>
        </w:rPr>
        <w:t> </w:t>
      </w:r>
      <w:r>
        <w:rPr/>
        <w:t>к</w:t>
      </w:r>
      <w:r>
        <w:rPr>
          <w:spacing w:val="80"/>
        </w:rPr>
        <w:t> </w:t>
      </w:r>
      <w:r>
        <w:rPr/>
        <w:t>медицинской</w:t>
      </w:r>
      <w:r>
        <w:rPr>
          <w:spacing w:val="80"/>
        </w:rPr>
        <w:t> </w:t>
      </w:r>
      <w:r>
        <w:rPr/>
        <w:t>организации</w:t>
      </w:r>
      <w:r>
        <w:rPr>
          <w:spacing w:val="80"/>
        </w:rPr>
        <w:t> </w:t>
      </w:r>
      <w:r>
        <w:rPr/>
        <w:t>лиц не менее 1,6.</w:t>
      </w:r>
    </w:p>
    <w:p>
      <w:pPr>
        <w:pStyle w:val="BodyText"/>
        <w:spacing w:line="268" w:lineRule="auto"/>
        <w:ind w:left="118" w:right="107" w:firstLine="707"/>
        <w:jc w:val="both"/>
      </w:pPr>
      <w:r>
        <w:rPr/>
        <w:t>Размер финансового обеспечения фельдшерских и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здравоохранения</w:t>
      </w:r>
      <w:r>
        <w:rPr>
          <w:spacing w:val="-18"/>
        </w:rPr>
        <w:t> </w:t>
      </w:r>
      <w:r>
        <w:rPr/>
        <w:t>Российской</w:t>
      </w:r>
      <w:r>
        <w:rPr>
          <w:spacing w:val="-17"/>
        </w:rPr>
        <w:t> </w:t>
      </w:r>
      <w:r>
        <w:rPr/>
        <w:t>Федерации,</w:t>
      </w:r>
      <w:r>
        <w:rPr>
          <w:spacing w:val="-18"/>
        </w:rPr>
        <w:t> </w:t>
      </w:r>
      <w:r>
        <w:rPr/>
        <w:t>составляет</w:t>
      </w:r>
      <w:r>
        <w:rPr>
          <w:spacing w:val="-17"/>
        </w:rPr>
        <w:t> </w:t>
      </w:r>
      <w:r>
        <w:rPr/>
        <w:t>в</w:t>
      </w:r>
      <w:r>
        <w:rPr>
          <w:spacing w:val="-18"/>
        </w:rPr>
        <w:t> </w:t>
      </w:r>
      <w:r>
        <w:rPr/>
        <w:t>среднем</w:t>
      </w:r>
      <w:r>
        <w:rPr>
          <w:spacing w:val="-17"/>
        </w:rPr>
        <w:t> </w:t>
      </w:r>
      <w:r>
        <w:rPr/>
        <w:t>на</w:t>
      </w:r>
      <w:r>
        <w:rPr>
          <w:spacing w:val="-18"/>
        </w:rPr>
        <w:t> </w:t>
      </w:r>
      <w:r>
        <w:rPr/>
        <w:t>2022</w:t>
      </w:r>
      <w:r>
        <w:rPr>
          <w:spacing w:val="-17"/>
        </w:rPr>
        <w:t> </w:t>
      </w:r>
      <w:r>
        <w:rPr/>
        <w:t>год:</w:t>
      </w:r>
    </w:p>
    <w:p>
      <w:pPr>
        <w:pStyle w:val="BodyText"/>
        <w:spacing w:line="268" w:lineRule="auto"/>
        <w:ind w:left="118" w:right="113" w:firstLine="707"/>
        <w:jc w:val="both"/>
      </w:pPr>
      <w:r>
        <w:rPr/>
        <w:t>для фельдшерского или фельдшерско-акушерского пункта, обслуживающего от 100 до 900 жителей, - 1087,7 тыс. рублей;</w:t>
      </w:r>
    </w:p>
    <w:p>
      <w:pPr>
        <w:pStyle w:val="BodyText"/>
        <w:spacing w:line="268" w:lineRule="auto"/>
        <w:ind w:left="118" w:right="113" w:firstLine="707"/>
        <w:jc w:val="both"/>
      </w:pPr>
      <w:r>
        <w:rPr/>
        <w:t>для фельдшерского или фельдшерско-акушерского пункта, обслуживающего от 900 до 1500 жителей, - 1723,1 тыс. рублей;</w:t>
      </w:r>
    </w:p>
    <w:p>
      <w:pPr>
        <w:pStyle w:val="BodyText"/>
        <w:spacing w:line="268" w:lineRule="auto"/>
        <w:ind w:left="118" w:right="113" w:firstLine="707"/>
        <w:jc w:val="both"/>
      </w:pPr>
      <w:r>
        <w:rPr/>
        <w:t>для фельдшерского или фельдшерско-акушерского пункта, обслуживающего от 1500 до 2000 жителей, - 1934,9 тыс. рублей.</w:t>
      </w:r>
    </w:p>
    <w:p>
      <w:pPr>
        <w:pStyle w:val="BodyText"/>
        <w:spacing w:line="268" w:lineRule="auto"/>
        <w:ind w:left="118" w:right="112" w:firstLine="707"/>
        <w:jc w:val="both"/>
      </w:pPr>
      <w:r>
        <w:rPr/>
        <w:t>Размер финансового обеспечения фельдшерских, фельдшерско- 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BodyText"/>
        <w:spacing w:line="268" w:lineRule="auto"/>
        <w:ind w:left="118" w:right="112" w:firstLine="707"/>
        <w:jc w:val="both"/>
      </w:pPr>
      <w:r>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w:t>
      </w:r>
      <w:r>
        <w:rPr>
          <w:spacing w:val="80"/>
          <w:w w:val="150"/>
        </w:rPr>
        <w:t>  </w:t>
      </w:r>
      <w:r>
        <w:rPr/>
        <w:t>Российской</w:t>
      </w:r>
      <w:r>
        <w:rPr>
          <w:spacing w:val="80"/>
          <w:w w:val="150"/>
        </w:rPr>
        <w:t>  </w:t>
      </w:r>
      <w:r>
        <w:rPr/>
        <w:t>Федерации</w:t>
      </w:r>
      <w:r>
        <w:rPr>
          <w:spacing w:val="80"/>
          <w:w w:val="150"/>
        </w:rPr>
        <w:t>  </w:t>
      </w:r>
      <w:r>
        <w:rPr/>
        <w:t>от</w:t>
      </w:r>
      <w:r>
        <w:rPr>
          <w:spacing w:val="80"/>
          <w:w w:val="150"/>
        </w:rPr>
        <w:t>  </w:t>
      </w:r>
      <w:r>
        <w:rPr/>
        <w:t>7 мая</w:t>
      </w:r>
      <w:r>
        <w:rPr>
          <w:spacing w:val="80"/>
          <w:w w:val="150"/>
        </w:rPr>
        <w:t>  </w:t>
      </w:r>
      <w:r>
        <w:rPr/>
        <w:t>2012 г.</w:t>
      </w:r>
      <w:r>
        <w:rPr>
          <w:spacing w:val="80"/>
          <w:w w:val="150"/>
        </w:rPr>
        <w:t>  </w:t>
      </w:r>
      <w:r>
        <w:rPr/>
        <w:t>№</w:t>
      </w:r>
      <w:r>
        <w:rPr>
          <w:spacing w:val="-1"/>
        </w:rPr>
        <w:t> </w:t>
      </w:r>
      <w:r>
        <w:rPr/>
        <w:t>597 "О мероприятиях по реализации государственной социальной политики",</w:t>
      </w:r>
      <w:r>
        <w:rPr>
          <w:spacing w:val="80"/>
          <w:w w:val="150"/>
        </w:rPr>
        <w:t> </w:t>
      </w:r>
      <w:r>
        <w:rPr/>
        <w:t>и уровнем средней заработной платы в соответствующем регионе.</w:t>
      </w:r>
    </w:p>
    <w:p>
      <w:pPr>
        <w:pStyle w:val="BodyText"/>
        <w:spacing w:line="268" w:lineRule="auto"/>
        <w:ind w:left="118" w:right="109" w:firstLine="707"/>
        <w:jc w:val="both"/>
      </w:pPr>
      <w:r>
        <w:rPr/>
        <w:t>Размер</w:t>
      </w:r>
      <w:r>
        <w:rPr>
          <w:spacing w:val="80"/>
        </w:rPr>
        <w:t>  </w:t>
      </w:r>
      <w:r>
        <w:rPr/>
        <w:t>финансового</w:t>
      </w:r>
      <w:r>
        <w:rPr>
          <w:spacing w:val="80"/>
        </w:rPr>
        <w:t>  </w:t>
      </w:r>
      <w:r>
        <w:rPr/>
        <w:t>обеспечения</w:t>
      </w:r>
      <w:r>
        <w:rPr>
          <w:spacing w:val="80"/>
        </w:rPr>
        <w:t>  </w:t>
      </w:r>
      <w:r>
        <w:rPr/>
        <w:t>медицинской</w:t>
      </w:r>
      <w:r>
        <w:rPr>
          <w:spacing w:val="80"/>
        </w:rPr>
        <w:t>  </w:t>
      </w:r>
      <w:r>
        <w:rPr/>
        <w:t>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spacing w:after="0" w:line="268" w:lineRule="auto"/>
        <w:jc w:val="both"/>
        <w:sectPr>
          <w:pgSz w:w="11910" w:h="16850"/>
          <w:pgMar w:header="753" w:footer="0" w:top="1080" w:bottom="280" w:left="1300" w:right="1300"/>
        </w:sectPr>
      </w:pPr>
    </w:p>
    <w:p>
      <w:pPr>
        <w:pStyle w:val="BodyText"/>
        <w:rPr>
          <w:sz w:val="21"/>
        </w:rPr>
      </w:pPr>
    </w:p>
    <w:p>
      <w:pPr>
        <w:pStyle w:val="ListParagraph"/>
        <w:numPr>
          <w:ilvl w:val="1"/>
          <w:numId w:val="1"/>
        </w:numPr>
        <w:tabs>
          <w:tab w:pos="731" w:val="left" w:leader="none"/>
        </w:tabs>
        <w:spacing w:line="240" w:lineRule="auto" w:before="89" w:after="0"/>
        <w:ind w:left="541" w:right="201" w:hanging="339"/>
        <w:jc w:val="left"/>
        <w:rPr>
          <w:sz w:val="28"/>
        </w:rPr>
      </w:pPr>
      <w:r>
        <w:rPr>
          <w:sz w:val="28"/>
        </w:rPr>
        <w:t>Требования</w:t>
      </w:r>
      <w:r>
        <w:rPr>
          <w:spacing w:val="-6"/>
          <w:sz w:val="28"/>
        </w:rPr>
        <w:t> </w:t>
      </w:r>
      <w:r>
        <w:rPr>
          <w:sz w:val="28"/>
        </w:rPr>
        <w:t>к</w:t>
      </w:r>
      <w:r>
        <w:rPr>
          <w:spacing w:val="-6"/>
          <w:sz w:val="28"/>
        </w:rPr>
        <w:t> </w:t>
      </w:r>
      <w:r>
        <w:rPr>
          <w:sz w:val="28"/>
        </w:rPr>
        <w:t>территориальной</w:t>
      </w:r>
      <w:r>
        <w:rPr>
          <w:spacing w:val="-9"/>
          <w:sz w:val="28"/>
        </w:rPr>
        <w:t> </w:t>
      </w:r>
      <w:r>
        <w:rPr>
          <w:sz w:val="28"/>
        </w:rPr>
        <w:t>программе</w:t>
      </w:r>
      <w:r>
        <w:rPr>
          <w:spacing w:val="-6"/>
          <w:sz w:val="28"/>
        </w:rPr>
        <w:t> </w:t>
      </w:r>
      <w:r>
        <w:rPr>
          <w:sz w:val="28"/>
        </w:rPr>
        <w:t>государственных</w:t>
      </w:r>
      <w:r>
        <w:rPr>
          <w:spacing w:val="-5"/>
          <w:sz w:val="28"/>
        </w:rPr>
        <w:t> </w:t>
      </w:r>
      <w:r>
        <w:rPr>
          <w:sz w:val="28"/>
        </w:rPr>
        <w:t>гарантий в части определения порядка, условий предоставления медицинской помощи, критериев доступности и качества медицинской помощи</w:t>
      </w:r>
    </w:p>
    <w:p>
      <w:pPr>
        <w:pStyle w:val="BodyText"/>
        <w:spacing w:line="268" w:lineRule="auto" w:before="239"/>
        <w:ind w:left="118" w:right="114" w:firstLine="707"/>
        <w:jc w:val="both"/>
      </w:pPr>
      <w:r>
        <w:rPr/>
        <w:t>Территориальная программа государственных гарантий в части определения порядка и условий оказания медицинской помощи должна </w:t>
      </w:r>
      <w:r>
        <w:rPr>
          <w:spacing w:val="-2"/>
        </w:rPr>
        <w:t>включать:</w:t>
      </w:r>
    </w:p>
    <w:p>
      <w:pPr>
        <w:pStyle w:val="BodyText"/>
        <w:spacing w:line="268" w:lineRule="auto"/>
        <w:ind w:left="118" w:right="118" w:firstLine="707"/>
        <w:jc w:val="both"/>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BodyText"/>
        <w:spacing w:line="268" w:lineRule="auto"/>
        <w:ind w:left="118" w:right="112" w:firstLine="707"/>
        <w:jc w:val="both"/>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w:t>
      </w:r>
      <w:r>
        <w:rPr>
          <w:spacing w:val="80"/>
        </w:rPr>
        <w:t> </w:t>
      </w:r>
      <w:r>
        <w:rPr/>
        <w:t>находящихся на территории субъекта Российской Федерации;</w:t>
      </w:r>
    </w:p>
    <w:p>
      <w:pPr>
        <w:pStyle w:val="BodyText"/>
        <w:spacing w:line="268" w:lineRule="auto"/>
        <w:ind w:left="118" w:right="111" w:firstLine="707"/>
        <w:jc w:val="both"/>
      </w:pPr>
      <w:r>
        <w:rPr/>
        <w:t>перечень</w:t>
      </w:r>
      <w:r>
        <w:rPr>
          <w:spacing w:val="77"/>
        </w:rPr>
        <w:t>  </w:t>
      </w:r>
      <w:r>
        <w:rPr/>
        <w:t>лекарственных</w:t>
      </w:r>
      <w:r>
        <w:rPr>
          <w:spacing w:val="77"/>
        </w:rPr>
        <w:t>  </w:t>
      </w:r>
      <w:r>
        <w:rPr/>
        <w:t>препаратов,</w:t>
      </w:r>
      <w:r>
        <w:rPr>
          <w:spacing w:val="77"/>
        </w:rPr>
        <w:t>  </w:t>
      </w:r>
      <w:r>
        <w:rPr/>
        <w:t>отпускаемых</w:t>
      </w:r>
      <w:r>
        <w:rPr>
          <w:spacing w:val="77"/>
        </w:rPr>
        <w:t>  </w:t>
      </w:r>
      <w:r>
        <w:rPr/>
        <w:t>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w:t>
      </w:r>
      <w:r>
        <w:rPr>
          <w:spacing w:val="80"/>
        </w:rPr>
        <w:t>  </w:t>
      </w:r>
      <w:r>
        <w:rPr/>
        <w:t>отпускаются</w:t>
      </w:r>
      <w:r>
        <w:rPr>
          <w:spacing w:val="80"/>
        </w:rPr>
        <w:t>  </w:t>
      </w:r>
      <w:r>
        <w:rPr/>
        <w:t>по</w:t>
      </w:r>
      <w:r>
        <w:rPr>
          <w:spacing w:val="80"/>
        </w:rPr>
        <w:t>  </w:t>
      </w:r>
      <w:r>
        <w:rPr/>
        <w:t>рецептам</w:t>
      </w:r>
      <w:r>
        <w:rPr>
          <w:spacing w:val="80"/>
        </w:rPr>
        <w:t>  </w:t>
      </w:r>
      <w:r>
        <w:rPr/>
        <w:t>врачей</w:t>
      </w:r>
      <w:r>
        <w:rPr>
          <w:spacing w:val="80"/>
        </w:rPr>
        <w:t>  </w:t>
      </w:r>
      <w:r>
        <w:rPr/>
        <w:t>бесплатно,</w:t>
      </w:r>
      <w:r>
        <w:rPr>
          <w:spacing w:val="80"/>
        </w:rPr>
        <w:t>  </w:t>
      </w:r>
      <w:r>
        <w:rPr/>
        <w:t>а</w:t>
      </w:r>
      <w:r>
        <w:rPr>
          <w:spacing w:val="80"/>
        </w:rPr>
        <w:t>  </w:t>
      </w:r>
      <w:r>
        <w:rPr/>
        <w:t>также</w:t>
      </w:r>
      <w:r>
        <w:rPr>
          <w:spacing w:val="40"/>
        </w:rPr>
        <w:t> </w:t>
      </w:r>
      <w:r>
        <w:rPr/>
        <w:t>в соответствии с перечнем групп населения, при амбулаторном лечении которых</w:t>
      </w:r>
      <w:r>
        <w:rPr>
          <w:spacing w:val="80"/>
          <w:w w:val="150"/>
        </w:rPr>
        <w:t> </w:t>
      </w:r>
      <w:r>
        <w:rPr/>
        <w:t>лекарственные</w:t>
      </w:r>
      <w:r>
        <w:rPr>
          <w:spacing w:val="80"/>
          <w:w w:val="150"/>
        </w:rPr>
        <w:t> </w:t>
      </w:r>
      <w:r>
        <w:rPr/>
        <w:t>препараты</w:t>
      </w:r>
      <w:r>
        <w:rPr>
          <w:spacing w:val="80"/>
          <w:w w:val="150"/>
        </w:rPr>
        <w:t> </w:t>
      </w:r>
      <w:r>
        <w:rPr/>
        <w:t>отпускаются</w:t>
      </w:r>
      <w:r>
        <w:rPr>
          <w:spacing w:val="80"/>
          <w:w w:val="150"/>
        </w:rPr>
        <w:t> </w:t>
      </w:r>
      <w:r>
        <w:rPr/>
        <w:t>по</w:t>
      </w:r>
      <w:r>
        <w:rPr>
          <w:spacing w:val="80"/>
          <w:w w:val="150"/>
        </w:rPr>
        <w:t> </w:t>
      </w:r>
      <w:r>
        <w:rPr/>
        <w:t>рецептам</w:t>
      </w:r>
      <w:r>
        <w:rPr>
          <w:spacing w:val="80"/>
          <w:w w:val="150"/>
        </w:rPr>
        <w:t> </w:t>
      </w:r>
      <w:r>
        <w:rPr/>
        <w:t>врачей</w:t>
      </w:r>
      <w:r>
        <w:rPr>
          <w:spacing w:val="40"/>
        </w:rPr>
        <w:t> </w:t>
      </w:r>
      <w:r>
        <w:rPr/>
        <w:t>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w:t>
      </w:r>
      <w:r>
        <w:rPr>
          <w:spacing w:val="80"/>
        </w:rPr>
        <w:t> </w:t>
      </w:r>
      <w:r>
        <w:rPr/>
        <w:t>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BodyText"/>
        <w:spacing w:line="268" w:lineRule="auto"/>
        <w:ind w:left="118" w:right="114" w:firstLine="707"/>
        <w:jc w:val="both"/>
      </w:pPr>
      <w:r>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w:t>
      </w:r>
      <w:r>
        <w:rPr>
          <w:spacing w:val="80"/>
        </w:rPr>
        <w:t> </w:t>
      </w:r>
      <w:r>
        <w:rPr/>
        <w:t>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w:t>
      </w:r>
      <w:r>
        <w:rPr>
          <w:spacing w:val="43"/>
        </w:rPr>
        <w:t> </w:t>
      </w:r>
      <w:r>
        <w:rPr/>
        <w:t>условий</w:t>
      </w:r>
      <w:r>
        <w:rPr>
          <w:spacing w:val="49"/>
        </w:rPr>
        <w:t> </w:t>
      </w:r>
      <w:r>
        <w:rPr/>
        <w:t>и</w:t>
      </w:r>
      <w:r>
        <w:rPr>
          <w:spacing w:val="46"/>
        </w:rPr>
        <w:t> </w:t>
      </w:r>
      <w:r>
        <w:rPr/>
        <w:t>форм</w:t>
      </w:r>
      <w:r>
        <w:rPr>
          <w:spacing w:val="45"/>
        </w:rPr>
        <w:t> </w:t>
      </w:r>
      <w:r>
        <w:rPr/>
        <w:t>оказания</w:t>
      </w:r>
      <w:r>
        <w:rPr>
          <w:spacing w:val="47"/>
        </w:rPr>
        <w:t> </w:t>
      </w:r>
      <w:r>
        <w:rPr/>
        <w:t>медицинской</w:t>
      </w:r>
      <w:r>
        <w:rPr>
          <w:spacing w:val="46"/>
        </w:rPr>
        <w:t> </w:t>
      </w:r>
      <w:r>
        <w:rPr/>
        <w:t>помощи,</w:t>
      </w:r>
      <w:r>
        <w:rPr>
          <w:spacing w:val="48"/>
        </w:rPr>
        <w:t> </w:t>
      </w:r>
      <w:r>
        <w:rPr/>
        <w:t>за</w:t>
      </w:r>
      <w:r>
        <w:rPr>
          <w:spacing w:val="48"/>
        </w:rPr>
        <w:t> </w:t>
      </w:r>
      <w:r>
        <w:rPr>
          <w:spacing w:val="-2"/>
        </w:rPr>
        <w:t>исключением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jc w:val="both"/>
      </w:pPr>
      <w:r>
        <w:rPr/>
        <w:t>лечебного питания, в том числе специализированных продуктов лечебного питания (по желанию пациента);</w:t>
      </w:r>
    </w:p>
    <w:p>
      <w:pPr>
        <w:pStyle w:val="BodyText"/>
        <w:spacing w:line="268" w:lineRule="auto"/>
        <w:ind w:left="118" w:right="113" w:firstLine="707"/>
        <w:jc w:val="both"/>
      </w:pPr>
      <w:r>
        <w:rPr/>
        <w:t>порядок обеспечения граждан в рамках оказания паллиативной медицинской помощи для использования на дому медицинскими изделиями,</w:t>
      </w:r>
      <w:r>
        <w:rPr>
          <w:spacing w:val="71"/>
        </w:rPr>
        <w:t>  </w:t>
      </w:r>
      <w:r>
        <w:rPr/>
        <w:t>предназначенными</w:t>
      </w:r>
      <w:r>
        <w:rPr>
          <w:spacing w:val="70"/>
        </w:rPr>
        <w:t>  </w:t>
      </w:r>
      <w:r>
        <w:rPr/>
        <w:t>для</w:t>
      </w:r>
      <w:r>
        <w:rPr>
          <w:spacing w:val="70"/>
        </w:rPr>
        <w:t>  </w:t>
      </w:r>
      <w:r>
        <w:rPr/>
        <w:t>поддержания</w:t>
      </w:r>
      <w:r>
        <w:rPr>
          <w:spacing w:val="71"/>
        </w:rPr>
        <w:t>  </w:t>
      </w:r>
      <w:r>
        <w:rPr/>
        <w:t>функций</w:t>
      </w:r>
      <w:r>
        <w:rPr>
          <w:spacing w:val="70"/>
        </w:rPr>
        <w:t>  </w:t>
      </w:r>
      <w:r>
        <w:rPr/>
        <w:t>органов и систем организма человека, а также наркотическими лекарственными препаратами</w:t>
      </w:r>
      <w:r>
        <w:rPr>
          <w:spacing w:val="80"/>
          <w:w w:val="150"/>
        </w:rPr>
        <w:t>  </w:t>
      </w:r>
      <w:r>
        <w:rPr/>
        <w:t>и</w:t>
      </w:r>
      <w:r>
        <w:rPr>
          <w:spacing w:val="80"/>
          <w:w w:val="150"/>
        </w:rPr>
        <w:t>  </w:t>
      </w:r>
      <w:r>
        <w:rPr/>
        <w:t>психотропными</w:t>
      </w:r>
      <w:r>
        <w:rPr>
          <w:spacing w:val="80"/>
          <w:w w:val="150"/>
        </w:rPr>
        <w:t>  </w:t>
      </w:r>
      <w:r>
        <w:rPr/>
        <w:t>лекарственными</w:t>
      </w:r>
      <w:r>
        <w:rPr>
          <w:spacing w:val="80"/>
          <w:w w:val="150"/>
        </w:rPr>
        <w:t>  </w:t>
      </w:r>
      <w:r>
        <w:rPr/>
        <w:t>препаратами</w:t>
      </w:r>
      <w:r>
        <w:rPr>
          <w:spacing w:val="40"/>
        </w:rPr>
        <w:t> </w:t>
      </w:r>
      <w:r>
        <w:rPr/>
        <w:t>при посещениях на дому;</w:t>
      </w:r>
    </w:p>
    <w:p>
      <w:pPr>
        <w:pStyle w:val="BodyText"/>
        <w:spacing w:line="268" w:lineRule="auto"/>
        <w:ind w:left="118" w:right="113" w:firstLine="707"/>
        <w:jc w:val="both"/>
      </w:pPr>
      <w:r>
        <w:rPr/>
        <w:t>перечень</w:t>
      </w:r>
      <w:r>
        <w:rPr>
          <w:spacing w:val="78"/>
          <w:w w:val="150"/>
        </w:rPr>
        <w:t>   </w:t>
      </w:r>
      <w:r>
        <w:rPr/>
        <w:t>мероприятий</w:t>
      </w:r>
      <w:r>
        <w:rPr>
          <w:spacing w:val="79"/>
          <w:w w:val="150"/>
        </w:rPr>
        <w:t>   </w:t>
      </w:r>
      <w:r>
        <w:rPr/>
        <w:t>по</w:t>
      </w:r>
      <w:r>
        <w:rPr>
          <w:spacing w:val="79"/>
          <w:w w:val="150"/>
        </w:rPr>
        <w:t>   </w:t>
      </w:r>
      <w:r>
        <w:rPr/>
        <w:t>профилактике</w:t>
      </w:r>
      <w:r>
        <w:rPr>
          <w:spacing w:val="79"/>
          <w:w w:val="150"/>
        </w:rPr>
        <w:t>   </w:t>
      </w:r>
      <w:r>
        <w:rPr/>
        <w:t>заболеваний и формированию здорового образа жизни, осуществляемых в рамках территориальной программы государственных гарантий;</w:t>
      </w:r>
    </w:p>
    <w:p>
      <w:pPr>
        <w:pStyle w:val="BodyText"/>
        <w:spacing w:line="268" w:lineRule="auto"/>
        <w:ind w:left="118" w:right="112" w:firstLine="707"/>
        <w:jc w:val="both"/>
      </w:pPr>
      <w:r>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BodyText"/>
        <w:spacing w:line="268" w:lineRule="auto"/>
        <w:ind w:left="118" w:right="110" w:firstLine="707"/>
        <w:jc w:val="both"/>
      </w:pPr>
      <w:r>
        <w:rPr/>
        <w:t>условия пребывания в медицинских организациях при оказании медицинской помощи в стационарных условиях, включая предоставление спального</w:t>
      </w:r>
      <w:r>
        <w:rPr>
          <w:spacing w:val="40"/>
        </w:rPr>
        <w:t>  </w:t>
      </w:r>
      <w:r>
        <w:rPr/>
        <w:t>места</w:t>
      </w:r>
      <w:r>
        <w:rPr>
          <w:spacing w:val="40"/>
        </w:rPr>
        <w:t>  </w:t>
      </w:r>
      <w:r>
        <w:rPr/>
        <w:t>и</w:t>
      </w:r>
      <w:r>
        <w:rPr>
          <w:spacing w:val="40"/>
        </w:rPr>
        <w:t>  </w:t>
      </w:r>
      <w:r>
        <w:rPr/>
        <w:t>питания,</w:t>
      </w:r>
      <w:r>
        <w:rPr>
          <w:spacing w:val="40"/>
        </w:rPr>
        <w:t>  </w:t>
      </w:r>
      <w:r>
        <w:rPr/>
        <w:t>при</w:t>
      </w:r>
      <w:r>
        <w:rPr>
          <w:spacing w:val="40"/>
        </w:rPr>
        <w:t>  </w:t>
      </w:r>
      <w:r>
        <w:rPr/>
        <w:t>совместном</w:t>
      </w:r>
      <w:r>
        <w:rPr>
          <w:spacing w:val="40"/>
        </w:rPr>
        <w:t>  </w:t>
      </w:r>
      <w:r>
        <w:rPr/>
        <w:t>нахождении</w:t>
      </w:r>
      <w:r>
        <w:rPr>
          <w:spacing w:val="40"/>
        </w:rPr>
        <w:t>  </w:t>
      </w:r>
      <w:r>
        <w:rPr/>
        <w:t>одного</w:t>
      </w:r>
      <w:r>
        <w:rPr>
          <w:spacing w:val="40"/>
        </w:rPr>
        <w:t> </w:t>
      </w:r>
      <w:r>
        <w:rPr/>
        <w:t>из</w:t>
      </w:r>
      <w:r>
        <w:rPr>
          <w:spacing w:val="80"/>
        </w:rPr>
        <w:t> </w:t>
      </w:r>
      <w:r>
        <w:rPr/>
        <w:t>родителей,</w:t>
      </w:r>
      <w:r>
        <w:rPr>
          <w:spacing w:val="80"/>
        </w:rPr>
        <w:t> </w:t>
      </w:r>
      <w:r>
        <w:rPr/>
        <w:t>иного</w:t>
      </w:r>
      <w:r>
        <w:rPr>
          <w:spacing w:val="80"/>
        </w:rPr>
        <w:t> </w:t>
      </w:r>
      <w:r>
        <w:rPr/>
        <w:t>члена</w:t>
      </w:r>
      <w:r>
        <w:rPr>
          <w:spacing w:val="80"/>
        </w:rPr>
        <w:t> </w:t>
      </w:r>
      <w:r>
        <w:rPr/>
        <w:t>семьи</w:t>
      </w:r>
      <w:r>
        <w:rPr>
          <w:spacing w:val="80"/>
        </w:rPr>
        <w:t> </w:t>
      </w:r>
      <w:r>
        <w:rPr/>
        <w:t>или</w:t>
      </w:r>
      <w:r>
        <w:rPr>
          <w:spacing w:val="80"/>
        </w:rPr>
        <w:t> </w:t>
      </w:r>
      <w:r>
        <w:rPr/>
        <w:t>иного</w:t>
      </w:r>
      <w:r>
        <w:rPr>
          <w:spacing w:val="80"/>
        </w:rPr>
        <w:t> </w:t>
      </w:r>
      <w:r>
        <w:rPr/>
        <w:t>законного</w:t>
      </w:r>
      <w:r>
        <w:rPr>
          <w:spacing w:val="80"/>
        </w:rPr>
        <w:t> </w:t>
      </w:r>
      <w:r>
        <w:rPr/>
        <w:t>представителя</w:t>
      </w:r>
      <w:r>
        <w:rPr>
          <w:spacing w:val="40"/>
        </w:rPr>
        <w:t> </w:t>
      </w:r>
      <w:r>
        <w:rPr/>
        <w:t>в</w:t>
      </w:r>
      <w:r>
        <w:rPr>
          <w:spacing w:val="80"/>
          <w:w w:val="150"/>
        </w:rPr>
        <w:t> </w:t>
      </w:r>
      <w:r>
        <w:rPr/>
        <w:t>медицинской</w:t>
      </w:r>
      <w:r>
        <w:rPr>
          <w:spacing w:val="80"/>
          <w:w w:val="150"/>
        </w:rPr>
        <w:t> </w:t>
      </w:r>
      <w:r>
        <w:rPr/>
        <w:t>организации</w:t>
      </w:r>
      <w:r>
        <w:rPr>
          <w:spacing w:val="80"/>
          <w:w w:val="150"/>
        </w:rPr>
        <w:t> </w:t>
      </w:r>
      <w:r>
        <w:rPr/>
        <w:t>в</w:t>
      </w:r>
      <w:r>
        <w:rPr>
          <w:spacing w:val="80"/>
          <w:w w:val="150"/>
        </w:rPr>
        <w:t> </w:t>
      </w:r>
      <w:r>
        <w:rPr/>
        <w:t>стационарных</w:t>
      </w:r>
      <w:r>
        <w:rPr>
          <w:spacing w:val="80"/>
          <w:w w:val="150"/>
        </w:rPr>
        <w:t> </w:t>
      </w:r>
      <w:r>
        <w:rPr/>
        <w:t>условиях</w:t>
      </w:r>
      <w:r>
        <w:rPr>
          <w:spacing w:val="80"/>
          <w:w w:val="150"/>
        </w:rPr>
        <w:t> </w:t>
      </w:r>
      <w:r>
        <w:rPr/>
        <w:t>с</w:t>
      </w:r>
      <w:r>
        <w:rPr>
          <w:spacing w:val="80"/>
          <w:w w:val="150"/>
        </w:rPr>
        <w:t> </w:t>
      </w:r>
      <w:r>
        <w:rPr/>
        <w:t>ребенком</w:t>
      </w:r>
      <w:r>
        <w:rPr>
          <w:spacing w:val="80"/>
        </w:rPr>
        <w:t> </w:t>
      </w:r>
      <w:r>
        <w:rPr/>
        <w:t>до</w:t>
      </w:r>
      <w:r>
        <w:rPr>
          <w:spacing w:val="40"/>
        </w:rPr>
        <w:t> </w:t>
      </w:r>
      <w:r>
        <w:rPr/>
        <w:t>достижения</w:t>
      </w:r>
      <w:r>
        <w:rPr>
          <w:spacing w:val="40"/>
        </w:rPr>
        <w:t> </w:t>
      </w:r>
      <w:r>
        <w:rPr/>
        <w:t>им</w:t>
      </w:r>
      <w:r>
        <w:rPr>
          <w:spacing w:val="40"/>
        </w:rPr>
        <w:t> </w:t>
      </w:r>
      <w:r>
        <w:rPr/>
        <w:t>возраста</w:t>
      </w:r>
      <w:r>
        <w:rPr>
          <w:spacing w:val="40"/>
        </w:rPr>
        <w:t> </w:t>
      </w:r>
      <w:r>
        <w:rPr/>
        <w:t>4</w:t>
      </w:r>
      <w:r>
        <w:rPr>
          <w:spacing w:val="40"/>
        </w:rPr>
        <w:t> </w:t>
      </w:r>
      <w:r>
        <w:rPr/>
        <w:t>лет,</w:t>
      </w:r>
      <w:r>
        <w:rPr>
          <w:spacing w:val="40"/>
        </w:rPr>
        <w:t> </w:t>
      </w:r>
      <w:r>
        <w:rPr/>
        <w:t>а</w:t>
      </w:r>
      <w:r>
        <w:rPr>
          <w:spacing w:val="40"/>
        </w:rPr>
        <w:t> </w:t>
      </w:r>
      <w:r>
        <w:rPr/>
        <w:t>с</w:t>
      </w:r>
      <w:r>
        <w:rPr>
          <w:spacing w:val="40"/>
        </w:rPr>
        <w:t> </w:t>
      </w:r>
      <w:r>
        <w:rPr/>
        <w:t>ребенком</w:t>
      </w:r>
      <w:r>
        <w:rPr>
          <w:spacing w:val="40"/>
        </w:rPr>
        <w:t> </w:t>
      </w:r>
      <w:r>
        <w:rPr/>
        <w:t>старше</w:t>
      </w:r>
      <w:r>
        <w:rPr>
          <w:spacing w:val="40"/>
        </w:rPr>
        <w:t> </w:t>
      </w:r>
      <w:r>
        <w:rPr/>
        <w:t>указанного возраста - при наличии медицинских показаний;</w:t>
      </w:r>
    </w:p>
    <w:p>
      <w:pPr>
        <w:pStyle w:val="BodyText"/>
        <w:spacing w:line="268" w:lineRule="auto"/>
        <w:ind w:left="118" w:right="118" w:firstLine="707"/>
        <w:jc w:val="both"/>
      </w:pPr>
      <w:r>
        <w:rPr/>
        <w:t>условия</w:t>
      </w:r>
      <w:r>
        <w:rPr>
          <w:spacing w:val="40"/>
        </w:rPr>
        <w:t> </w:t>
      </w:r>
      <w:r>
        <w:rPr/>
        <w:t>размещения</w:t>
      </w:r>
      <w:r>
        <w:rPr>
          <w:spacing w:val="40"/>
        </w:rPr>
        <w:t> </w:t>
      </w:r>
      <w:r>
        <w:rPr/>
        <w:t>пациентов</w:t>
      </w:r>
      <w:r>
        <w:rPr>
          <w:spacing w:val="40"/>
        </w:rPr>
        <w:t> </w:t>
      </w:r>
      <w:r>
        <w:rPr/>
        <w:t>в</w:t>
      </w:r>
      <w:r>
        <w:rPr>
          <w:spacing w:val="40"/>
        </w:rPr>
        <w:t> </w:t>
      </w:r>
      <w:r>
        <w:rPr/>
        <w:t>маломестных</w:t>
      </w:r>
      <w:r>
        <w:rPr>
          <w:spacing w:val="40"/>
        </w:rPr>
        <w:t> </w:t>
      </w:r>
      <w:r>
        <w:rPr/>
        <w:t>палатах</w:t>
      </w:r>
      <w:r>
        <w:rPr>
          <w:spacing w:val="40"/>
        </w:rPr>
        <w:t> </w:t>
      </w:r>
      <w:r>
        <w:rPr/>
        <w:t>(боксах)</w:t>
      </w:r>
      <w:r>
        <w:rPr>
          <w:spacing w:val="80"/>
          <w:w w:val="150"/>
        </w:rPr>
        <w:t> </w:t>
      </w:r>
      <w:r>
        <w:rPr/>
        <w:t>по медицинским и (или) эпидемиологическим показаниям, установленным Министерством здравоохранения Российской Федерации;</w:t>
      </w:r>
    </w:p>
    <w:p>
      <w:pPr>
        <w:pStyle w:val="BodyText"/>
        <w:spacing w:line="268" w:lineRule="auto"/>
        <w:ind w:left="118" w:right="115" w:firstLine="707"/>
        <w:jc w:val="both"/>
      </w:pPr>
      <w:r>
        <w:rPr/>
        <w:t>условия</w:t>
      </w:r>
      <w:r>
        <w:rPr>
          <w:spacing w:val="80"/>
          <w:w w:val="150"/>
        </w:rPr>
        <w:t> </w:t>
      </w:r>
      <w:r>
        <w:rPr/>
        <w:t>предоставления</w:t>
      </w:r>
      <w:r>
        <w:rPr>
          <w:spacing w:val="80"/>
          <w:w w:val="150"/>
        </w:rPr>
        <w:t> </w:t>
      </w:r>
      <w:r>
        <w:rPr/>
        <w:t>детям-сиротам</w:t>
      </w:r>
      <w:r>
        <w:rPr>
          <w:spacing w:val="80"/>
          <w:w w:val="150"/>
        </w:rPr>
        <w:t> </w:t>
      </w:r>
      <w:r>
        <w:rPr/>
        <w:t>и</w:t>
      </w:r>
      <w:r>
        <w:rPr>
          <w:spacing w:val="80"/>
          <w:w w:val="150"/>
        </w:rPr>
        <w:t> </w:t>
      </w:r>
      <w:r>
        <w:rPr/>
        <w:t>детям,</w:t>
      </w:r>
      <w:r>
        <w:rPr>
          <w:spacing w:val="80"/>
          <w:w w:val="150"/>
        </w:rPr>
        <w:t> </w:t>
      </w:r>
      <w:r>
        <w:rPr/>
        <w:t>оставшимся</w:t>
      </w:r>
      <w:r>
        <w:rPr>
          <w:spacing w:val="80"/>
        </w:rPr>
        <w:t> </w:t>
      </w:r>
      <w:r>
        <w:rPr/>
        <w:t>без попечения родителей, в случае выявления у них заболеваний медицинской помощи всех видов, включая специализированную, в том числе</w:t>
      </w:r>
      <w:r>
        <w:rPr>
          <w:spacing w:val="-1"/>
        </w:rPr>
        <w:t> </w:t>
      </w:r>
      <w:r>
        <w:rPr/>
        <w:t>высокотехнологичную,</w:t>
      </w:r>
      <w:r>
        <w:rPr>
          <w:spacing w:val="-1"/>
        </w:rPr>
        <w:t> </w:t>
      </w:r>
      <w:r>
        <w:rPr/>
        <w:t>медицинскую</w:t>
      </w:r>
      <w:r>
        <w:rPr>
          <w:spacing w:val="-2"/>
        </w:rPr>
        <w:t> </w:t>
      </w:r>
      <w:r>
        <w:rPr/>
        <w:t>помощь,</w:t>
      </w:r>
      <w:r>
        <w:rPr>
          <w:spacing w:val="-1"/>
        </w:rPr>
        <w:t> </w:t>
      </w:r>
      <w:r>
        <w:rPr/>
        <w:t>а</w:t>
      </w:r>
      <w:r>
        <w:rPr>
          <w:spacing w:val="-1"/>
        </w:rPr>
        <w:t> </w:t>
      </w:r>
      <w:r>
        <w:rPr/>
        <w:t>также</w:t>
      </w:r>
      <w:r>
        <w:rPr>
          <w:spacing w:val="-1"/>
        </w:rPr>
        <w:t> </w:t>
      </w:r>
      <w:r>
        <w:rPr/>
        <w:t>медицинскую </w:t>
      </w:r>
      <w:r>
        <w:rPr>
          <w:spacing w:val="-2"/>
        </w:rPr>
        <w:t>реабилитацию;</w:t>
      </w:r>
    </w:p>
    <w:p>
      <w:pPr>
        <w:pStyle w:val="BodyText"/>
        <w:spacing w:line="268" w:lineRule="auto"/>
        <w:ind w:left="118" w:right="114" w:firstLine="707"/>
        <w:jc w:val="both"/>
      </w:pPr>
      <w:r>
        <w:rPr/>
        <w:t>порядок предоставления транспортных услуг при сопровождении медицинским</w:t>
      </w:r>
      <w:r>
        <w:rPr>
          <w:spacing w:val="80"/>
          <w:w w:val="150"/>
        </w:rPr>
        <w:t>  </w:t>
      </w:r>
      <w:r>
        <w:rPr/>
        <w:t>работником</w:t>
      </w:r>
      <w:r>
        <w:rPr>
          <w:spacing w:val="80"/>
          <w:w w:val="150"/>
        </w:rPr>
        <w:t>  </w:t>
      </w:r>
      <w:r>
        <w:rPr/>
        <w:t>пациента,</w:t>
      </w:r>
      <w:r>
        <w:rPr>
          <w:spacing w:val="80"/>
          <w:w w:val="150"/>
        </w:rPr>
        <w:t>  </w:t>
      </w:r>
      <w:r>
        <w:rPr/>
        <w:t>находящегося</w:t>
      </w:r>
      <w:r>
        <w:rPr>
          <w:spacing w:val="80"/>
          <w:w w:val="150"/>
        </w:rPr>
        <w:t>  </w:t>
      </w:r>
      <w:r>
        <w:rPr/>
        <w:t>на</w:t>
      </w:r>
      <w:r>
        <w:rPr>
          <w:spacing w:val="80"/>
          <w:w w:val="150"/>
        </w:rPr>
        <w:t>  </w:t>
      </w:r>
      <w:r>
        <w:rPr/>
        <w:t>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firstLine="707"/>
        <w:jc w:val="both"/>
      </w:pPr>
      <w:r>
        <w:rPr/>
        <w:t>условия и сроки диспансеризации для отдельных категорий населения, а также профилактических осмотров несовершеннолетних;</w:t>
      </w:r>
    </w:p>
    <w:p>
      <w:pPr>
        <w:pStyle w:val="BodyText"/>
        <w:spacing w:line="268" w:lineRule="auto"/>
        <w:ind w:left="118" w:right="118" w:firstLine="707"/>
        <w:jc w:val="both"/>
      </w:pPr>
      <w:r>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BodyText"/>
        <w:spacing w:line="268" w:lineRule="auto"/>
        <w:ind w:left="118" w:right="114" w:firstLine="707"/>
        <w:jc w:val="both"/>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BodyText"/>
        <w:spacing w:line="268" w:lineRule="auto"/>
        <w:ind w:left="118" w:right="117" w:firstLine="707"/>
        <w:jc w:val="both"/>
      </w:pPr>
      <w:r>
        <w:rPr/>
        <w:t>сроки ожидания медицинской помощи, оказываемой в плановой форме,</w:t>
      </w:r>
      <w:r>
        <w:rPr>
          <w:spacing w:val="76"/>
          <w:w w:val="150"/>
        </w:rPr>
        <w:t> </w:t>
      </w:r>
      <w:r>
        <w:rPr/>
        <w:t>в</w:t>
      </w:r>
      <w:r>
        <w:rPr>
          <w:spacing w:val="74"/>
          <w:w w:val="150"/>
        </w:rPr>
        <w:t> </w:t>
      </w:r>
      <w:r>
        <w:rPr/>
        <w:t>том</w:t>
      </w:r>
      <w:r>
        <w:rPr>
          <w:spacing w:val="76"/>
          <w:w w:val="150"/>
        </w:rPr>
        <w:t> </w:t>
      </w:r>
      <w:r>
        <w:rPr/>
        <w:t>числе</w:t>
      </w:r>
      <w:r>
        <w:rPr>
          <w:spacing w:val="77"/>
          <w:w w:val="150"/>
        </w:rPr>
        <w:t> </w:t>
      </w:r>
      <w:r>
        <w:rPr/>
        <w:t>сроки</w:t>
      </w:r>
      <w:r>
        <w:rPr>
          <w:spacing w:val="75"/>
          <w:w w:val="150"/>
        </w:rPr>
        <w:t> </w:t>
      </w:r>
      <w:r>
        <w:rPr/>
        <w:t>ожидания</w:t>
      </w:r>
      <w:r>
        <w:rPr>
          <w:spacing w:val="77"/>
          <w:w w:val="150"/>
        </w:rPr>
        <w:t> </w:t>
      </w:r>
      <w:r>
        <w:rPr/>
        <w:t>оказания</w:t>
      </w:r>
      <w:r>
        <w:rPr>
          <w:spacing w:val="77"/>
          <w:w w:val="150"/>
        </w:rPr>
        <w:t> </w:t>
      </w:r>
      <w:r>
        <w:rPr/>
        <w:t>медицинской</w:t>
      </w:r>
      <w:r>
        <w:rPr>
          <w:spacing w:val="75"/>
          <w:w w:val="150"/>
        </w:rPr>
        <w:t> </w:t>
      </w:r>
      <w:r>
        <w:rPr/>
        <w:t>помощи в стационарных условиях, проведения отдельных диагностических обследований и консультаций врачей-специалистов. При этом:</w:t>
      </w:r>
    </w:p>
    <w:p>
      <w:pPr>
        <w:pStyle w:val="BodyText"/>
        <w:spacing w:line="268" w:lineRule="auto"/>
        <w:ind w:left="118" w:right="112" w:firstLine="707"/>
        <w:jc w:val="both"/>
      </w:pPr>
      <w:r>
        <w:rPr/>
        <w:t>сроки ожидания приема врачами-терапевтами участковыми, врачами общей практики (семейными врачами), врачами-педиатрами участковыми не</w:t>
      </w:r>
      <w:r>
        <w:rPr>
          <w:spacing w:val="64"/>
        </w:rPr>
        <w:t>  </w:t>
      </w:r>
      <w:r>
        <w:rPr/>
        <w:t>должны</w:t>
      </w:r>
      <w:r>
        <w:rPr>
          <w:spacing w:val="64"/>
        </w:rPr>
        <w:t>  </w:t>
      </w:r>
      <w:r>
        <w:rPr/>
        <w:t>превышать</w:t>
      </w:r>
      <w:r>
        <w:rPr>
          <w:spacing w:val="63"/>
        </w:rPr>
        <w:t>  </w:t>
      </w:r>
      <w:r>
        <w:rPr/>
        <w:t>24</w:t>
      </w:r>
      <w:r>
        <w:rPr>
          <w:spacing w:val="66"/>
        </w:rPr>
        <w:t>  </w:t>
      </w:r>
      <w:r>
        <w:rPr/>
        <w:t>часа</w:t>
      </w:r>
      <w:r>
        <w:rPr>
          <w:spacing w:val="63"/>
        </w:rPr>
        <w:t>  </w:t>
      </w:r>
      <w:r>
        <w:rPr/>
        <w:t>с</w:t>
      </w:r>
      <w:r>
        <w:rPr>
          <w:spacing w:val="64"/>
        </w:rPr>
        <w:t>  </w:t>
      </w:r>
      <w:r>
        <w:rPr/>
        <w:t>момента</w:t>
      </w:r>
      <w:r>
        <w:rPr>
          <w:spacing w:val="63"/>
        </w:rPr>
        <w:t>  </w:t>
      </w:r>
      <w:r>
        <w:rPr/>
        <w:t>обращения</w:t>
      </w:r>
      <w:r>
        <w:rPr>
          <w:spacing w:val="64"/>
        </w:rPr>
        <w:t>  </w:t>
      </w:r>
      <w:r>
        <w:rPr/>
        <w:t>пациента в медицинскую организацию;</w:t>
      </w:r>
    </w:p>
    <w:p>
      <w:pPr>
        <w:pStyle w:val="BodyText"/>
        <w:spacing w:line="268" w:lineRule="auto"/>
        <w:ind w:left="118" w:right="112" w:firstLine="707"/>
        <w:jc w:val="both"/>
      </w:pPr>
      <w:r>
        <w:rPr/>
        <w:t>сроки</w:t>
      </w:r>
      <w:r>
        <w:rPr>
          <w:spacing w:val="80"/>
        </w:rPr>
        <w:t> </w:t>
      </w:r>
      <w:r>
        <w:rPr/>
        <w:t>ожидания</w:t>
      </w:r>
      <w:r>
        <w:rPr>
          <w:spacing w:val="80"/>
        </w:rPr>
        <w:t> </w:t>
      </w:r>
      <w:r>
        <w:rPr/>
        <w:t>оказания</w:t>
      </w:r>
      <w:r>
        <w:rPr>
          <w:spacing w:val="80"/>
        </w:rPr>
        <w:t> </w:t>
      </w:r>
      <w:r>
        <w:rPr/>
        <w:t>первичной</w:t>
      </w:r>
      <w:r>
        <w:rPr>
          <w:spacing w:val="80"/>
        </w:rPr>
        <w:t> </w:t>
      </w:r>
      <w:r>
        <w:rPr/>
        <w:t>медико-санитарной</w:t>
      </w:r>
      <w:r>
        <w:rPr>
          <w:spacing w:val="80"/>
        </w:rPr>
        <w:t> </w:t>
      </w:r>
      <w:r>
        <w:rPr/>
        <w:t>помощи в неотложной форме не должны превышать 2 часа с момента обращения пациента в медицинскую организацию;</w:t>
      </w:r>
    </w:p>
    <w:p>
      <w:pPr>
        <w:pStyle w:val="BodyText"/>
        <w:spacing w:line="268" w:lineRule="auto"/>
        <w:ind w:left="118" w:right="113" w:firstLine="707"/>
        <w:jc w:val="both"/>
      </w:pPr>
      <w:r>
        <w:rPr/>
        <w:t>сроки</w:t>
      </w:r>
      <w:r>
        <w:rPr>
          <w:spacing w:val="80"/>
          <w:w w:val="150"/>
        </w:rPr>
        <w:t>   </w:t>
      </w:r>
      <w:r>
        <w:rPr/>
        <w:t>проведения</w:t>
      </w:r>
      <w:r>
        <w:rPr>
          <w:spacing w:val="80"/>
          <w:w w:val="150"/>
        </w:rPr>
        <w:t>   </w:t>
      </w:r>
      <w:r>
        <w:rPr/>
        <w:t>консультаций</w:t>
      </w:r>
      <w:r>
        <w:rPr>
          <w:spacing w:val="80"/>
          <w:w w:val="150"/>
        </w:rPr>
        <w:t>   </w:t>
      </w:r>
      <w:r>
        <w:rPr/>
        <w:t>врачей-специалистов</w:t>
      </w:r>
      <w:r>
        <w:rPr>
          <w:spacing w:val="80"/>
          <w:w w:val="150"/>
        </w:rPr>
        <w:t> </w:t>
      </w:r>
      <w:r>
        <w:rPr/>
        <w:t>(за исключением подозрения на онкологическое заболевание) не должны превышать 14 рабочих дней со дня обращения пациента в медицинскую </w:t>
      </w:r>
      <w:r>
        <w:rPr>
          <w:spacing w:val="-2"/>
        </w:rPr>
        <w:t>организацию;</w:t>
      </w:r>
    </w:p>
    <w:p>
      <w:pPr>
        <w:pStyle w:val="BodyText"/>
        <w:spacing w:line="268" w:lineRule="auto"/>
        <w:ind w:left="118" w:right="111" w:firstLine="707"/>
        <w:jc w:val="both"/>
      </w:pPr>
      <w:r>
        <w:rPr/>
        <w:t>сроки проведения консультаций врачей-специалистов в случае подозрения</w:t>
      </w:r>
      <w:r>
        <w:rPr>
          <w:spacing w:val="40"/>
        </w:rPr>
        <w:t>  </w:t>
      </w:r>
      <w:r>
        <w:rPr/>
        <w:t>на</w:t>
      </w:r>
      <w:r>
        <w:rPr>
          <w:spacing w:val="40"/>
        </w:rPr>
        <w:t>  </w:t>
      </w:r>
      <w:r>
        <w:rPr/>
        <w:t>онкологическое</w:t>
      </w:r>
      <w:r>
        <w:rPr>
          <w:spacing w:val="40"/>
        </w:rPr>
        <w:t>  </w:t>
      </w:r>
      <w:r>
        <w:rPr/>
        <w:t>заболевание</w:t>
      </w:r>
      <w:r>
        <w:rPr>
          <w:spacing w:val="40"/>
        </w:rPr>
        <w:t>  </w:t>
      </w:r>
      <w:r>
        <w:rPr/>
        <w:t>не</w:t>
      </w:r>
      <w:r>
        <w:rPr>
          <w:spacing w:val="40"/>
        </w:rPr>
        <w:t>  </w:t>
      </w:r>
      <w:r>
        <w:rPr/>
        <w:t>должны</w:t>
      </w:r>
      <w:r>
        <w:rPr>
          <w:spacing w:val="40"/>
        </w:rPr>
        <w:t>  </w:t>
      </w:r>
      <w:r>
        <w:rPr/>
        <w:t>превышать</w:t>
      </w:r>
      <w:r>
        <w:rPr>
          <w:spacing w:val="40"/>
        </w:rPr>
        <w:t> </w:t>
      </w:r>
      <w:r>
        <w:rPr/>
        <w:t>3 рабочих дня;</w:t>
      </w:r>
    </w:p>
    <w:p>
      <w:pPr>
        <w:pStyle w:val="BodyText"/>
        <w:spacing w:line="268" w:lineRule="auto"/>
        <w:ind w:left="118" w:right="109" w:firstLine="707"/>
        <w:jc w:val="both"/>
      </w:pPr>
      <w:r>
        <w:rPr/>
        <w:t>сроки проведения диагностических инструментальных (рентгенографические исследования, включая маммографию, функциональная</w:t>
      </w:r>
      <w:r>
        <w:rPr>
          <w:spacing w:val="80"/>
          <w:w w:val="150"/>
        </w:rPr>
        <w:t>   </w:t>
      </w:r>
      <w:r>
        <w:rPr/>
        <w:t>диагностика,</w:t>
      </w:r>
      <w:r>
        <w:rPr>
          <w:spacing w:val="80"/>
          <w:w w:val="150"/>
        </w:rPr>
        <w:t>   </w:t>
      </w:r>
      <w:r>
        <w:rPr/>
        <w:t>ультразвуковые</w:t>
      </w:r>
      <w:r>
        <w:rPr>
          <w:spacing w:val="80"/>
          <w:w w:val="150"/>
        </w:rPr>
        <w:t>   </w:t>
      </w:r>
      <w:r>
        <w:rPr/>
        <w:t>исследования)</w:t>
      </w:r>
      <w:r>
        <w:rPr>
          <w:spacing w:val="80"/>
        </w:rPr>
        <w:t> </w:t>
      </w:r>
      <w:r>
        <w:rPr/>
        <w:t>и</w:t>
      </w:r>
      <w:r>
        <w:rPr>
          <w:spacing w:val="40"/>
        </w:rPr>
        <w:t> </w:t>
      </w:r>
      <w:r>
        <w:rPr/>
        <w:t>лабораторных исследований при оказании первичной медико- 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BodyText"/>
        <w:spacing w:line="268" w:lineRule="auto"/>
        <w:ind w:left="118" w:right="109" w:firstLine="707"/>
        <w:jc w:val="both"/>
      </w:pPr>
      <w:r>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w:t>
      </w:r>
      <w:r>
        <w:rPr>
          <w:spacing w:val="80"/>
          <w:w w:val="150"/>
        </w:rPr>
        <w:t> </w:t>
      </w:r>
      <w:r>
        <w:rPr/>
        <w:t>помощи</w:t>
      </w:r>
      <w:r>
        <w:rPr>
          <w:spacing w:val="80"/>
          <w:w w:val="150"/>
        </w:rPr>
        <w:t> </w:t>
      </w:r>
      <w:r>
        <w:rPr/>
        <w:t>(за</w:t>
      </w:r>
      <w:r>
        <w:rPr>
          <w:spacing w:val="80"/>
          <w:w w:val="150"/>
        </w:rPr>
        <w:t> </w:t>
      </w:r>
      <w:r>
        <w:rPr/>
        <w:t>исключением</w:t>
      </w:r>
      <w:r>
        <w:rPr>
          <w:spacing w:val="80"/>
          <w:w w:val="150"/>
        </w:rPr>
        <w:t> </w:t>
      </w:r>
      <w:r>
        <w:rPr/>
        <w:t>исследований</w:t>
      </w:r>
      <w:r>
        <w:rPr>
          <w:spacing w:val="80"/>
          <w:w w:val="150"/>
        </w:rPr>
        <w:t> </w:t>
      </w:r>
      <w:r>
        <w:rPr/>
        <w:t>при</w:t>
      </w:r>
      <w:r>
        <w:rPr>
          <w:spacing w:val="80"/>
          <w:w w:val="150"/>
        </w:rPr>
        <w:t> </w:t>
      </w:r>
      <w:r>
        <w:rPr/>
        <w:t>подозрении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jc w:val="both"/>
      </w:pPr>
      <w:r>
        <w:rPr/>
        <w:t>на</w:t>
      </w:r>
      <w:r>
        <w:rPr>
          <w:spacing w:val="40"/>
        </w:rPr>
        <w:t> </w:t>
      </w:r>
      <w:r>
        <w:rPr/>
        <w:t>онкологическое</w:t>
      </w:r>
      <w:r>
        <w:rPr>
          <w:spacing w:val="40"/>
        </w:rPr>
        <w:t> </w:t>
      </w:r>
      <w:r>
        <w:rPr/>
        <w:t>заболевание)</w:t>
      </w:r>
      <w:r>
        <w:rPr>
          <w:spacing w:val="40"/>
        </w:rPr>
        <w:t> </w:t>
      </w:r>
      <w:r>
        <w:rPr/>
        <w:t>не должны превышать 14</w:t>
      </w:r>
      <w:r>
        <w:rPr>
          <w:spacing w:val="40"/>
        </w:rPr>
        <w:t> </w:t>
      </w:r>
      <w:r>
        <w:rPr/>
        <w:t>рабочих</w:t>
      </w:r>
      <w:r>
        <w:rPr>
          <w:spacing w:val="40"/>
        </w:rPr>
        <w:t> </w:t>
      </w:r>
      <w:r>
        <w:rPr/>
        <w:t>дней со дня назначения;</w:t>
      </w:r>
    </w:p>
    <w:p>
      <w:pPr>
        <w:pStyle w:val="BodyText"/>
        <w:spacing w:line="268" w:lineRule="auto"/>
        <w:ind w:left="118" w:right="117" w:firstLine="707"/>
        <w:jc w:val="both"/>
      </w:pPr>
      <w:r>
        <w:rPr/>
        <w:t>сроки</w:t>
      </w:r>
      <w:r>
        <w:rPr>
          <w:spacing w:val="80"/>
        </w:rPr>
        <w:t>    </w:t>
      </w:r>
      <w:r>
        <w:rPr/>
        <w:t>проведения</w:t>
      </w:r>
      <w:r>
        <w:rPr>
          <w:spacing w:val="80"/>
        </w:rPr>
        <w:t>    </w:t>
      </w:r>
      <w:r>
        <w:rPr/>
        <w:t>диагностических</w:t>
      </w:r>
      <w:r>
        <w:rPr>
          <w:spacing w:val="80"/>
        </w:rPr>
        <w:t>    </w:t>
      </w:r>
      <w:r>
        <w:rPr/>
        <w:t>инструментальных</w:t>
      </w:r>
      <w:r>
        <w:rPr>
          <w:spacing w:val="40"/>
        </w:rPr>
        <w:t> </w:t>
      </w:r>
      <w:r>
        <w:rPr/>
        <w:t>и лабораторных исследований в случае подозрения на онкологические заболевания не должны превышать 7 рабочих дней со дня назначения </w:t>
      </w:r>
      <w:r>
        <w:rPr>
          <w:spacing w:val="-2"/>
        </w:rPr>
        <w:t>исследований;</w:t>
      </w:r>
    </w:p>
    <w:p>
      <w:pPr>
        <w:pStyle w:val="BodyText"/>
        <w:spacing w:line="268" w:lineRule="auto"/>
        <w:ind w:left="118" w:right="113" w:firstLine="707"/>
        <w:jc w:val="both"/>
      </w:pPr>
      <w:r>
        <w:rPr/>
        <w:t>срок</w:t>
      </w:r>
      <w:r>
        <w:rPr>
          <w:spacing w:val="40"/>
        </w:rPr>
        <w:t>  </w:t>
      </w:r>
      <w:r>
        <w:rPr/>
        <w:t>установления</w:t>
      </w:r>
      <w:r>
        <w:rPr>
          <w:spacing w:val="40"/>
        </w:rPr>
        <w:t>  </w:t>
      </w:r>
      <w:r>
        <w:rPr/>
        <w:t>диспансерного</w:t>
      </w:r>
      <w:r>
        <w:rPr>
          <w:spacing w:val="40"/>
        </w:rPr>
        <w:t>  </w:t>
      </w:r>
      <w:r>
        <w:rPr/>
        <w:t>наблюдения</w:t>
      </w:r>
      <w:r>
        <w:rPr>
          <w:spacing w:val="40"/>
        </w:rPr>
        <w:t>  </w:t>
      </w:r>
      <w:r>
        <w:rPr/>
        <w:t>врача-онколога за пациентом с выявленным онкологическим заболеванием не должен превышать 3 рабочих дня с момента постановки диагноза онкологического </w:t>
      </w:r>
      <w:r>
        <w:rPr>
          <w:spacing w:val="-2"/>
        </w:rPr>
        <w:t>заболевания;</w:t>
      </w:r>
    </w:p>
    <w:p>
      <w:pPr>
        <w:pStyle w:val="BodyText"/>
        <w:spacing w:line="268" w:lineRule="auto"/>
        <w:ind w:left="118" w:right="111" w:firstLine="707"/>
        <w:jc w:val="both"/>
      </w:pPr>
      <w:r>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BodyText"/>
        <w:spacing w:line="268" w:lineRule="auto"/>
        <w:ind w:left="118" w:right="116" w:firstLine="707"/>
        <w:jc w:val="both"/>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BodyText"/>
        <w:spacing w:line="268" w:lineRule="auto"/>
        <w:ind w:left="118" w:right="118" w:firstLine="707"/>
        <w:jc w:val="both"/>
      </w:pPr>
      <w:r>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BodyText"/>
        <w:spacing w:line="268" w:lineRule="auto"/>
        <w:ind w:left="118" w:right="110" w:firstLine="707"/>
        <w:jc w:val="both"/>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w:t>
      </w:r>
      <w:r>
        <w:rPr>
          <w:spacing w:val="40"/>
        </w:rPr>
        <w:t> </w:t>
      </w:r>
      <w:r>
        <w:rPr/>
        <w:t>и</w:t>
      </w:r>
      <w:r>
        <w:rPr>
          <w:spacing w:val="40"/>
        </w:rPr>
        <w:t> </w:t>
      </w:r>
      <w:r>
        <w:rPr/>
        <w:t>осуществляется</w:t>
      </w:r>
      <w:r>
        <w:rPr>
          <w:spacing w:val="40"/>
        </w:rPr>
        <w:t> </w:t>
      </w:r>
      <w:r>
        <w:rPr/>
        <w:t>информирование</w:t>
      </w:r>
      <w:r>
        <w:rPr>
          <w:spacing w:val="40"/>
        </w:rPr>
        <w:t> </w:t>
      </w:r>
      <w:r>
        <w:rPr/>
        <w:t>граждан</w:t>
      </w:r>
      <w:r>
        <w:rPr>
          <w:spacing w:val="40"/>
        </w:rPr>
        <w:t> </w:t>
      </w:r>
      <w:r>
        <w:rPr/>
        <w:t>в</w:t>
      </w:r>
      <w:r>
        <w:rPr>
          <w:spacing w:val="40"/>
        </w:rPr>
        <w:t> </w:t>
      </w:r>
      <w:r>
        <w:rPr/>
        <w:t>доступной</w:t>
      </w:r>
      <w:r>
        <w:rPr>
          <w:spacing w:val="40"/>
        </w:rPr>
        <w:t> </w:t>
      </w:r>
      <w:r>
        <w:rPr/>
        <w:t>форме,</w:t>
      </w:r>
      <w:r>
        <w:rPr>
          <w:spacing w:val="40"/>
        </w:rPr>
        <w:t> </w:t>
      </w:r>
      <w:r>
        <w:rPr/>
        <w:t>в том числе с использованием информационно-телекоммуникационной сети</w:t>
      </w:r>
      <w:r>
        <w:rPr>
          <w:spacing w:val="46"/>
        </w:rPr>
        <w:t>  </w:t>
      </w:r>
      <w:r>
        <w:rPr/>
        <w:t>"Интернет",</w:t>
      </w:r>
      <w:r>
        <w:rPr>
          <w:spacing w:val="45"/>
        </w:rPr>
        <w:t>  </w:t>
      </w:r>
      <w:r>
        <w:rPr/>
        <w:t>о</w:t>
      </w:r>
      <w:r>
        <w:rPr>
          <w:spacing w:val="47"/>
        </w:rPr>
        <w:t>  </w:t>
      </w:r>
      <w:r>
        <w:rPr/>
        <w:t>сроках</w:t>
      </w:r>
      <w:r>
        <w:rPr>
          <w:spacing w:val="46"/>
        </w:rPr>
        <w:t>  </w:t>
      </w:r>
      <w:r>
        <w:rPr/>
        <w:t>ожидания</w:t>
      </w:r>
      <w:r>
        <w:rPr>
          <w:spacing w:val="47"/>
        </w:rPr>
        <w:t>  </w:t>
      </w:r>
      <w:r>
        <w:rPr/>
        <w:t>оказания</w:t>
      </w:r>
      <w:r>
        <w:rPr>
          <w:spacing w:val="46"/>
        </w:rPr>
        <w:t>  </w:t>
      </w:r>
      <w:r>
        <w:rPr>
          <w:spacing w:val="-2"/>
        </w:rPr>
        <w:t>специализированной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медицинской помощи с учетом требований законодательства Российской Федерации в области персональных данных.</w:t>
      </w:r>
    </w:p>
    <w:p>
      <w:pPr>
        <w:pStyle w:val="BodyText"/>
        <w:spacing w:line="268" w:lineRule="auto"/>
        <w:ind w:left="118" w:right="120" w:firstLine="707"/>
        <w:jc w:val="both"/>
      </w:pPr>
      <w:r>
        <w:rPr/>
        <w:t>При формировании территориальной программы государственных гарантий учитываются:</w:t>
      </w:r>
    </w:p>
    <w:p>
      <w:pPr>
        <w:pStyle w:val="BodyText"/>
        <w:spacing w:line="268" w:lineRule="auto"/>
        <w:ind w:left="118" w:right="121" w:firstLine="707"/>
        <w:jc w:val="both"/>
      </w:pPr>
      <w:r>
        <w:rPr/>
        <w:t>порядки оказания медицинской помощи, стандарты медицинской помощи и клинические рекомендации;</w:t>
      </w:r>
    </w:p>
    <w:p>
      <w:pPr>
        <w:pStyle w:val="BodyText"/>
        <w:spacing w:line="268" w:lineRule="auto"/>
        <w:ind w:left="118" w:right="121" w:firstLine="707"/>
        <w:jc w:val="both"/>
      </w:pPr>
      <w:r>
        <w:rPr/>
        <w:t>особенности половозрастного состава населения субъекта Российской Федерации;</w:t>
      </w:r>
    </w:p>
    <w:p>
      <w:pPr>
        <w:pStyle w:val="BodyText"/>
        <w:spacing w:line="268" w:lineRule="auto"/>
        <w:ind w:left="118" w:right="116" w:firstLine="707"/>
        <w:jc w:val="both"/>
      </w:pPr>
      <w:r>
        <w:rPr/>
        <w:t>уровень и структура заболеваемости населения субъекта Российской Федерации, основанные на данных медицинской статистики;</w:t>
      </w:r>
    </w:p>
    <w:p>
      <w:pPr>
        <w:pStyle w:val="BodyText"/>
        <w:spacing w:line="268" w:lineRule="auto"/>
        <w:ind w:left="118" w:right="113" w:firstLine="707"/>
        <w:jc w:val="both"/>
      </w:pPr>
      <w:r>
        <w:rPr/>
        <w:t>климатические</w:t>
      </w:r>
      <w:r>
        <w:rPr>
          <w:spacing w:val="80"/>
        </w:rPr>
        <w:t>   </w:t>
      </w:r>
      <w:r>
        <w:rPr/>
        <w:t>и</w:t>
      </w:r>
      <w:r>
        <w:rPr>
          <w:spacing w:val="80"/>
        </w:rPr>
        <w:t>   </w:t>
      </w:r>
      <w:r>
        <w:rPr/>
        <w:t>географические</w:t>
      </w:r>
      <w:r>
        <w:rPr>
          <w:spacing w:val="80"/>
        </w:rPr>
        <w:t>   </w:t>
      </w:r>
      <w:r>
        <w:rPr/>
        <w:t>особенности</w:t>
      </w:r>
      <w:r>
        <w:rPr>
          <w:spacing w:val="80"/>
        </w:rPr>
        <w:t>   </w:t>
      </w:r>
      <w:r>
        <w:rPr/>
        <w:t>региона</w:t>
      </w:r>
      <w:r>
        <w:rPr>
          <w:spacing w:val="80"/>
          <w:w w:val="150"/>
        </w:rPr>
        <w:t> </w:t>
      </w:r>
      <w:r>
        <w:rPr/>
        <w:t>и транспортная доступность медицинских организаций;</w:t>
      </w:r>
    </w:p>
    <w:p>
      <w:pPr>
        <w:pStyle w:val="BodyText"/>
        <w:tabs>
          <w:tab w:pos="2685" w:val="left" w:leader="none"/>
          <w:tab w:pos="5718" w:val="left" w:leader="none"/>
          <w:tab w:pos="7863" w:val="left" w:leader="none"/>
        </w:tabs>
        <w:spacing w:line="268" w:lineRule="auto"/>
        <w:ind w:left="118" w:right="111" w:firstLine="707"/>
        <w:jc w:val="both"/>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w:t>
      </w:r>
      <w:r>
        <w:rPr>
          <w:spacing w:val="-2"/>
        </w:rPr>
        <w:t>установленном</w:t>
      </w:r>
      <w:r>
        <w:rPr/>
        <w:tab/>
      </w:r>
      <w:r>
        <w:rPr>
          <w:spacing w:val="-2"/>
        </w:rPr>
        <w:t>законодательством</w:t>
      </w:r>
      <w:r>
        <w:rPr/>
        <w:tab/>
      </w:r>
      <w:r>
        <w:rPr>
          <w:spacing w:val="-2"/>
        </w:rPr>
        <w:t>Российской</w:t>
      </w:r>
      <w:r>
        <w:rPr/>
        <w:tab/>
      </w:r>
      <w:r>
        <w:rPr>
          <w:spacing w:val="-2"/>
        </w:rPr>
        <w:t>Федерации </w:t>
      </w:r>
      <w:r>
        <w:rPr/>
        <w:t>об обязательном медицинском страховании;</w:t>
      </w:r>
    </w:p>
    <w:p>
      <w:pPr>
        <w:pStyle w:val="BodyText"/>
        <w:spacing w:line="268" w:lineRule="auto"/>
        <w:ind w:left="118" w:right="117" w:firstLine="707"/>
        <w:jc w:val="both"/>
      </w:pPr>
      <w:r>
        <w:rPr/>
        <w:t>положения региональной программы модернизации первичного</w:t>
      </w:r>
      <w:r>
        <w:rPr>
          <w:spacing w:val="40"/>
        </w:rPr>
        <w:t> </w:t>
      </w:r>
      <w:r>
        <w:rPr/>
        <w:t>звена</w:t>
      </w:r>
      <w:r>
        <w:rPr>
          <w:spacing w:val="80"/>
        </w:rPr>
        <w:t> </w:t>
      </w:r>
      <w:r>
        <w:rPr/>
        <w:t>здравоохранения,</w:t>
      </w:r>
      <w:r>
        <w:rPr>
          <w:spacing w:val="80"/>
        </w:rPr>
        <w:t> </w:t>
      </w:r>
      <w:r>
        <w:rPr/>
        <w:t>в</w:t>
      </w:r>
      <w:r>
        <w:rPr>
          <w:spacing w:val="80"/>
        </w:rPr>
        <w:t> </w:t>
      </w:r>
      <w:r>
        <w:rPr/>
        <w:t>том</w:t>
      </w:r>
      <w:r>
        <w:rPr>
          <w:spacing w:val="80"/>
        </w:rPr>
        <w:t> </w:t>
      </w:r>
      <w:r>
        <w:rPr/>
        <w:t>числе</w:t>
      </w:r>
      <w:r>
        <w:rPr>
          <w:spacing w:val="80"/>
        </w:rPr>
        <w:t> </w:t>
      </w:r>
      <w:r>
        <w:rPr/>
        <w:t>в</w:t>
      </w:r>
      <w:r>
        <w:rPr>
          <w:spacing w:val="80"/>
        </w:rPr>
        <w:t> </w:t>
      </w:r>
      <w:r>
        <w:rPr/>
        <w:t>части</w:t>
      </w:r>
      <w:r>
        <w:rPr>
          <w:spacing w:val="80"/>
        </w:rPr>
        <w:t> </w:t>
      </w:r>
      <w:r>
        <w:rPr/>
        <w:t>обеспечения</w:t>
      </w:r>
      <w:r>
        <w:rPr>
          <w:spacing w:val="80"/>
        </w:rPr>
        <w:t> </w:t>
      </w:r>
      <w:r>
        <w:rPr/>
        <w:t>создаваемой и модернизируемой инфраструктуры медицинских организаций.</w:t>
      </w:r>
    </w:p>
    <w:p>
      <w:pPr>
        <w:pStyle w:val="BodyText"/>
        <w:spacing w:before="7"/>
        <w:rPr>
          <w:sz w:val="23"/>
        </w:rPr>
      </w:pPr>
    </w:p>
    <w:p>
      <w:pPr>
        <w:pStyle w:val="ListParagraph"/>
        <w:numPr>
          <w:ilvl w:val="1"/>
          <w:numId w:val="1"/>
        </w:numPr>
        <w:tabs>
          <w:tab w:pos="1586" w:val="left" w:leader="none"/>
        </w:tabs>
        <w:spacing w:line="240" w:lineRule="auto" w:before="1" w:after="0"/>
        <w:ind w:left="1585" w:right="0" w:hanging="623"/>
        <w:jc w:val="left"/>
        <w:rPr>
          <w:sz w:val="28"/>
        </w:rPr>
      </w:pPr>
      <w:r>
        <w:rPr>
          <w:sz w:val="28"/>
        </w:rPr>
        <w:t>Критерии</w:t>
      </w:r>
      <w:r>
        <w:rPr>
          <w:spacing w:val="-8"/>
          <w:sz w:val="28"/>
        </w:rPr>
        <w:t> </w:t>
      </w:r>
      <w:r>
        <w:rPr>
          <w:sz w:val="28"/>
        </w:rPr>
        <w:t>доступности</w:t>
      </w:r>
      <w:r>
        <w:rPr>
          <w:spacing w:val="-7"/>
          <w:sz w:val="28"/>
        </w:rPr>
        <w:t> </w:t>
      </w:r>
      <w:r>
        <w:rPr>
          <w:sz w:val="28"/>
        </w:rPr>
        <w:t>и</w:t>
      </w:r>
      <w:r>
        <w:rPr>
          <w:spacing w:val="-6"/>
          <w:sz w:val="28"/>
        </w:rPr>
        <w:t> </w:t>
      </w:r>
      <w:r>
        <w:rPr>
          <w:sz w:val="28"/>
        </w:rPr>
        <w:t>качества</w:t>
      </w:r>
      <w:r>
        <w:rPr>
          <w:spacing w:val="-8"/>
          <w:sz w:val="28"/>
        </w:rPr>
        <w:t> </w:t>
      </w:r>
      <w:r>
        <w:rPr>
          <w:sz w:val="28"/>
        </w:rPr>
        <w:t>медицинской</w:t>
      </w:r>
      <w:r>
        <w:rPr>
          <w:spacing w:val="-5"/>
          <w:sz w:val="28"/>
        </w:rPr>
        <w:t> </w:t>
      </w:r>
      <w:r>
        <w:rPr>
          <w:spacing w:val="-2"/>
          <w:sz w:val="28"/>
        </w:rPr>
        <w:t>помощи</w:t>
      </w:r>
    </w:p>
    <w:p>
      <w:pPr>
        <w:pStyle w:val="BodyText"/>
        <w:spacing w:before="3"/>
        <w:rPr>
          <w:sz w:val="31"/>
        </w:rPr>
      </w:pPr>
    </w:p>
    <w:p>
      <w:pPr>
        <w:pStyle w:val="BodyText"/>
        <w:spacing w:line="268" w:lineRule="auto"/>
        <w:ind w:left="826" w:right="119"/>
        <w:jc w:val="both"/>
      </w:pPr>
      <w:r>
        <w:rPr/>
        <w:t>Критериями доступности медицинской помощи являются: удовлетворенность</w:t>
      </w:r>
      <w:r>
        <w:rPr>
          <w:spacing w:val="47"/>
        </w:rPr>
        <w:t> </w:t>
      </w:r>
      <w:r>
        <w:rPr/>
        <w:t>населения</w:t>
      </w:r>
      <w:r>
        <w:rPr>
          <w:spacing w:val="52"/>
        </w:rPr>
        <w:t> </w:t>
      </w:r>
      <w:r>
        <w:rPr/>
        <w:t>доступностью</w:t>
      </w:r>
      <w:r>
        <w:rPr>
          <w:spacing w:val="51"/>
        </w:rPr>
        <w:t> </w:t>
      </w:r>
      <w:r>
        <w:rPr/>
        <w:t>медицинской</w:t>
      </w:r>
      <w:r>
        <w:rPr>
          <w:spacing w:val="51"/>
        </w:rPr>
        <w:t> </w:t>
      </w:r>
      <w:r>
        <w:rPr>
          <w:spacing w:val="-2"/>
        </w:rPr>
        <w:t>помощи,</w:t>
      </w:r>
    </w:p>
    <w:p>
      <w:pPr>
        <w:pStyle w:val="BodyText"/>
        <w:spacing w:line="268" w:lineRule="auto"/>
        <w:ind w:left="118" w:right="113"/>
        <w:jc w:val="both"/>
      </w:pPr>
      <w:r>
        <w:rPr/>
        <w:t>в том числе городского и сельского населения (процентов числа </w:t>
      </w:r>
      <w:r>
        <w:rPr>
          <w:spacing w:val="-2"/>
        </w:rPr>
        <w:t>опрошенных);</w:t>
      </w:r>
    </w:p>
    <w:p>
      <w:pPr>
        <w:pStyle w:val="BodyText"/>
        <w:spacing w:line="268" w:lineRule="auto"/>
        <w:ind w:left="118" w:right="117" w:firstLine="707"/>
        <w:jc w:val="both"/>
      </w:pPr>
      <w:r>
        <w:rPr/>
        <w:t>доля</w:t>
      </w:r>
      <w:r>
        <w:rPr>
          <w:spacing w:val="-3"/>
        </w:rPr>
        <w:t> </w:t>
      </w:r>
      <w:r>
        <w:rPr/>
        <w:t>расходов</w:t>
      </w:r>
      <w:r>
        <w:rPr>
          <w:spacing w:val="-5"/>
        </w:rPr>
        <w:t> </w:t>
      </w:r>
      <w:r>
        <w:rPr/>
        <w:t>на</w:t>
      </w:r>
      <w:r>
        <w:rPr>
          <w:spacing w:val="-3"/>
        </w:rPr>
        <w:t> </w:t>
      </w:r>
      <w:r>
        <w:rPr/>
        <w:t>оказание</w:t>
      </w:r>
      <w:r>
        <w:rPr>
          <w:spacing w:val="-2"/>
        </w:rPr>
        <w:t> </w:t>
      </w:r>
      <w:r>
        <w:rPr/>
        <w:t>медицинской</w:t>
      </w:r>
      <w:r>
        <w:rPr>
          <w:spacing w:val="-3"/>
        </w:rPr>
        <w:t> </w:t>
      </w:r>
      <w:r>
        <w:rPr/>
        <w:t>помощи</w:t>
      </w:r>
      <w:r>
        <w:rPr>
          <w:spacing w:val="-1"/>
        </w:rPr>
        <w:t> </w:t>
      </w:r>
      <w:r>
        <w:rPr/>
        <w:t>в</w:t>
      </w:r>
      <w:r>
        <w:rPr>
          <w:spacing w:val="-3"/>
        </w:rPr>
        <w:t> </w:t>
      </w:r>
      <w:r>
        <w:rPr/>
        <w:t>условиях</w:t>
      </w:r>
      <w:r>
        <w:rPr>
          <w:spacing w:val="-3"/>
        </w:rPr>
        <w:t> </w:t>
      </w:r>
      <w:r>
        <w:rPr/>
        <w:t>дневных стационаров в общих расходах на территориальную программу государственных гарантий;</w:t>
      </w:r>
    </w:p>
    <w:p>
      <w:pPr>
        <w:pStyle w:val="BodyText"/>
        <w:spacing w:line="268" w:lineRule="auto"/>
        <w:ind w:left="118" w:right="115" w:firstLine="707"/>
        <w:jc w:val="both"/>
      </w:pPr>
      <w:r>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BodyText"/>
        <w:spacing w:line="268" w:lineRule="auto"/>
        <w:ind w:left="118" w:right="110" w:firstLine="707"/>
        <w:jc w:val="both"/>
      </w:pPr>
      <w:r>
        <w:rPr/>
        <w:t>доля пациентов, получивших специализированную медицинскую помощь в стационарных условиях в медицинских организациях, подведомственных</w:t>
      </w:r>
      <w:r>
        <w:rPr>
          <w:spacing w:val="-2"/>
        </w:rPr>
        <w:t> </w:t>
      </w:r>
      <w:r>
        <w:rPr/>
        <w:t>федеральным</w:t>
      </w:r>
      <w:r>
        <w:rPr>
          <w:spacing w:val="-3"/>
        </w:rPr>
        <w:t> </w:t>
      </w:r>
      <w:r>
        <w:rPr/>
        <w:t>органам исполнительной власти, в</w:t>
      </w:r>
      <w:r>
        <w:rPr>
          <w:spacing w:val="-1"/>
        </w:rPr>
        <w:t> </w:t>
      </w:r>
      <w:r>
        <w:rPr/>
        <w:t>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firstLine="707"/>
        <w:jc w:val="both"/>
      </w:pPr>
      <w:r>
        <w:rPr/>
        <w:t>доля посещений выездной патронажной службой на дому для оказания</w:t>
      </w:r>
      <w:r>
        <w:rPr>
          <w:spacing w:val="64"/>
        </w:rPr>
        <w:t>  </w:t>
      </w:r>
      <w:r>
        <w:rPr/>
        <w:t>паллиативной</w:t>
      </w:r>
      <w:r>
        <w:rPr>
          <w:spacing w:val="64"/>
        </w:rPr>
        <w:t>  </w:t>
      </w:r>
      <w:r>
        <w:rPr/>
        <w:t>медицинской</w:t>
      </w:r>
      <w:r>
        <w:rPr>
          <w:spacing w:val="40"/>
        </w:rPr>
        <w:t>  </w:t>
      </w:r>
      <w:r>
        <w:rPr/>
        <w:t>помощи</w:t>
      </w:r>
      <w:r>
        <w:rPr>
          <w:spacing w:val="64"/>
        </w:rPr>
        <w:t>  </w:t>
      </w:r>
      <w:r>
        <w:rPr/>
        <w:t>детскому</w:t>
      </w:r>
      <w:r>
        <w:rPr>
          <w:spacing w:val="40"/>
        </w:rPr>
        <w:t>  </w:t>
      </w:r>
      <w:r>
        <w:rPr/>
        <w:t>населению в общем количестве посещений по паллиативной медицинской помощи детскому населению;</w:t>
      </w:r>
    </w:p>
    <w:p>
      <w:pPr>
        <w:pStyle w:val="BodyText"/>
        <w:spacing w:line="268" w:lineRule="auto"/>
        <w:ind w:left="118" w:right="118" w:firstLine="707"/>
        <w:jc w:val="both"/>
      </w:pPr>
      <w:r>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BodyText"/>
        <w:spacing w:line="268" w:lineRule="auto"/>
        <w:ind w:left="118" w:right="114" w:firstLine="707"/>
        <w:jc w:val="both"/>
      </w:pPr>
      <w:r>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BodyText"/>
        <w:spacing w:line="268" w:lineRule="auto"/>
        <w:ind w:left="118" w:right="117" w:firstLine="707"/>
        <w:jc w:val="both"/>
      </w:pPr>
      <w:r>
        <w:rPr/>
        <w:t>доля пациентов, страдающих хроническими неинфекционными заболеваниями,</w:t>
      </w:r>
      <w:r>
        <w:rPr>
          <w:spacing w:val="-1"/>
        </w:rPr>
        <w:t> </w:t>
      </w:r>
      <w:r>
        <w:rPr/>
        <w:t>взятых</w:t>
      </w:r>
      <w:r>
        <w:rPr>
          <w:spacing w:val="-2"/>
        </w:rPr>
        <w:t> </w:t>
      </w:r>
      <w:r>
        <w:rPr/>
        <w:t>под</w:t>
      </w:r>
      <w:r>
        <w:rPr>
          <w:spacing w:val="-2"/>
        </w:rPr>
        <w:t> </w:t>
      </w:r>
      <w:r>
        <w:rPr/>
        <w:t>диспансерное</w:t>
      </w:r>
      <w:r>
        <w:rPr>
          <w:spacing w:val="-1"/>
        </w:rPr>
        <w:t> </w:t>
      </w:r>
      <w:r>
        <w:rPr/>
        <w:t>наблюдение,</w:t>
      </w:r>
      <w:r>
        <w:rPr>
          <w:spacing w:val="-1"/>
        </w:rPr>
        <w:t> </w:t>
      </w:r>
      <w:r>
        <w:rPr/>
        <w:t>в</w:t>
      </w:r>
      <w:r>
        <w:rPr>
          <w:spacing w:val="-1"/>
        </w:rPr>
        <w:t> </w:t>
      </w:r>
      <w:r>
        <w:rPr/>
        <w:t>общем</w:t>
      </w:r>
      <w:r>
        <w:rPr>
          <w:spacing w:val="-1"/>
        </w:rPr>
        <w:t> </w:t>
      </w:r>
      <w:r>
        <w:rPr/>
        <w:t>количестве пациентов, страдающих хроническими неинфекционными заболеваниями;</w:t>
      </w:r>
    </w:p>
    <w:p>
      <w:pPr>
        <w:pStyle w:val="BodyText"/>
        <w:spacing w:line="268" w:lineRule="auto"/>
        <w:ind w:left="118" w:right="116" w:firstLine="707"/>
        <w:jc w:val="both"/>
      </w:pPr>
      <w:r>
        <w:rPr/>
        <w:t>доля граждан, обеспеченных лекарственными препаратами, в общем количестве льготных категорий граждан.</w:t>
      </w:r>
    </w:p>
    <w:p>
      <w:pPr>
        <w:pStyle w:val="BodyText"/>
        <w:spacing w:line="321" w:lineRule="exact"/>
        <w:ind w:left="826"/>
        <w:jc w:val="both"/>
      </w:pPr>
      <w:r>
        <w:rPr/>
        <w:t>Критериями</w:t>
      </w:r>
      <w:r>
        <w:rPr>
          <w:spacing w:val="-9"/>
        </w:rPr>
        <w:t> </w:t>
      </w:r>
      <w:r>
        <w:rPr/>
        <w:t>качества</w:t>
      </w:r>
      <w:r>
        <w:rPr>
          <w:spacing w:val="-7"/>
        </w:rPr>
        <w:t> </w:t>
      </w:r>
      <w:r>
        <w:rPr/>
        <w:t>медицинской</w:t>
      </w:r>
      <w:r>
        <w:rPr>
          <w:spacing w:val="-6"/>
        </w:rPr>
        <w:t> </w:t>
      </w:r>
      <w:r>
        <w:rPr/>
        <w:t>помощи</w:t>
      </w:r>
      <w:r>
        <w:rPr>
          <w:spacing w:val="-9"/>
        </w:rPr>
        <w:t> </w:t>
      </w:r>
      <w:r>
        <w:rPr>
          <w:spacing w:val="-2"/>
        </w:rPr>
        <w:t>являются:</w:t>
      </w:r>
    </w:p>
    <w:p>
      <w:pPr>
        <w:pStyle w:val="BodyText"/>
        <w:spacing w:line="268" w:lineRule="auto" w:before="29"/>
        <w:ind w:left="118" w:right="113" w:firstLine="707"/>
        <w:jc w:val="both"/>
      </w:pPr>
      <w:r>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w:t>
      </w:r>
      <w:r>
        <w:rPr>
          <w:spacing w:val="-4"/>
        </w:rPr>
        <w:t>года;</w:t>
      </w:r>
    </w:p>
    <w:p>
      <w:pPr>
        <w:pStyle w:val="BodyText"/>
        <w:spacing w:line="268" w:lineRule="auto"/>
        <w:ind w:left="118" w:right="112" w:firstLine="707"/>
        <w:jc w:val="both"/>
      </w:pPr>
      <w:r>
        <w:rPr/>
        <w:t>доля впервые выявленных заболеваний при профилактических медицинских осмотрах несовершеннолетних в общем количестве впервые в</w:t>
      </w:r>
      <w:r>
        <w:rPr>
          <w:spacing w:val="75"/>
        </w:rPr>
        <w:t>   </w:t>
      </w:r>
      <w:r>
        <w:rPr/>
        <w:t>жизни</w:t>
      </w:r>
      <w:r>
        <w:rPr>
          <w:spacing w:val="74"/>
        </w:rPr>
        <w:t>   </w:t>
      </w:r>
      <w:r>
        <w:rPr/>
        <w:t>зарегистрированных</w:t>
      </w:r>
      <w:r>
        <w:rPr>
          <w:spacing w:val="75"/>
        </w:rPr>
        <w:t>   </w:t>
      </w:r>
      <w:r>
        <w:rPr/>
        <w:t>заболеваний</w:t>
      </w:r>
      <w:r>
        <w:rPr>
          <w:spacing w:val="74"/>
        </w:rPr>
        <w:t>   </w:t>
      </w:r>
      <w:r>
        <w:rPr/>
        <w:t>в</w:t>
      </w:r>
      <w:r>
        <w:rPr>
          <w:spacing w:val="74"/>
        </w:rPr>
        <w:t>   </w:t>
      </w:r>
      <w:r>
        <w:rPr/>
        <w:t>течение</w:t>
      </w:r>
      <w:r>
        <w:rPr>
          <w:spacing w:val="74"/>
        </w:rPr>
        <w:t>   </w:t>
      </w:r>
      <w:r>
        <w:rPr/>
        <w:t>года у несовершеннолетних;</w:t>
      </w:r>
    </w:p>
    <w:p>
      <w:pPr>
        <w:pStyle w:val="BodyText"/>
        <w:spacing w:line="268" w:lineRule="auto"/>
        <w:ind w:left="118" w:right="111" w:firstLine="707"/>
        <w:jc w:val="both"/>
      </w:pPr>
      <w:r>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BodyText"/>
        <w:spacing w:line="268" w:lineRule="auto"/>
        <w:ind w:left="118" w:right="117" w:firstLine="707"/>
        <w:jc w:val="both"/>
      </w:pPr>
      <w:r>
        <w:rPr/>
        <w:t>доля пациентов со злокачественными новообразованиями, взятых</w:t>
      </w:r>
      <w:r>
        <w:rPr>
          <w:spacing w:val="40"/>
        </w:rPr>
        <w:t> </w:t>
      </w:r>
      <w:r>
        <w:rPr/>
        <w:t>под</w:t>
      </w:r>
      <w:r>
        <w:rPr>
          <w:spacing w:val="80"/>
        </w:rPr>
        <w:t>  </w:t>
      </w:r>
      <w:r>
        <w:rPr/>
        <w:t>диспансерное</w:t>
      </w:r>
      <w:r>
        <w:rPr>
          <w:spacing w:val="80"/>
        </w:rPr>
        <w:t>  </w:t>
      </w:r>
      <w:r>
        <w:rPr/>
        <w:t>наблюдение,</w:t>
      </w:r>
      <w:r>
        <w:rPr>
          <w:spacing w:val="80"/>
        </w:rPr>
        <w:t>  </w:t>
      </w:r>
      <w:r>
        <w:rPr/>
        <w:t>в</w:t>
      </w:r>
      <w:r>
        <w:rPr>
          <w:spacing w:val="80"/>
        </w:rPr>
        <w:t>  </w:t>
      </w:r>
      <w:r>
        <w:rPr/>
        <w:t>общем</w:t>
      </w:r>
      <w:r>
        <w:rPr>
          <w:spacing w:val="80"/>
        </w:rPr>
        <w:t>  </w:t>
      </w:r>
      <w:r>
        <w:rPr/>
        <w:t>количестве</w:t>
      </w:r>
      <w:r>
        <w:rPr>
          <w:spacing w:val="80"/>
        </w:rPr>
        <w:t>  </w:t>
      </w:r>
      <w:r>
        <w:rPr/>
        <w:t>пациентов со злокачественными новообразованиями;</w:t>
      </w:r>
    </w:p>
    <w:p>
      <w:pPr>
        <w:pStyle w:val="BodyText"/>
        <w:spacing w:line="268" w:lineRule="auto"/>
        <w:ind w:left="118" w:right="116" w:firstLine="707"/>
        <w:jc w:val="both"/>
      </w:pPr>
      <w:r>
        <w:rPr/>
        <w:t>доля</w:t>
      </w:r>
      <w:r>
        <w:rPr>
          <w:spacing w:val="40"/>
        </w:rPr>
        <w:t>  </w:t>
      </w:r>
      <w:r>
        <w:rPr/>
        <w:t>пациентов</w:t>
      </w:r>
      <w:r>
        <w:rPr>
          <w:spacing w:val="40"/>
        </w:rPr>
        <w:t>  </w:t>
      </w:r>
      <w:r>
        <w:rPr/>
        <w:t>с</w:t>
      </w:r>
      <w:r>
        <w:rPr>
          <w:spacing w:val="40"/>
        </w:rPr>
        <w:t>  </w:t>
      </w:r>
      <w:r>
        <w:rPr/>
        <w:t>инфарктом</w:t>
      </w:r>
      <w:r>
        <w:rPr>
          <w:spacing w:val="40"/>
        </w:rPr>
        <w:t>  </w:t>
      </w:r>
      <w:r>
        <w:rPr/>
        <w:t>миокарда,</w:t>
      </w:r>
      <w:r>
        <w:rPr>
          <w:spacing w:val="40"/>
        </w:rPr>
        <w:t>  </w:t>
      </w:r>
      <w:r>
        <w:rPr/>
        <w:t>госпитализированных</w:t>
      </w:r>
      <w:r>
        <w:rPr>
          <w:spacing w:val="40"/>
        </w:rPr>
        <w:t> </w:t>
      </w:r>
      <w:r>
        <w:rPr/>
        <w:t>в первые 12 часов от начала заболевания, в общем количестве госпитализированных пациентов с инфарктом миокарда;</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firstLine="707"/>
        <w:jc w:val="both"/>
      </w:pPr>
      <w:r>
        <w:rPr/>
        <w:t>доля пациентов с острым инфарктом миокарда, которым проведено стентирование</w:t>
      </w:r>
      <w:r>
        <w:rPr>
          <w:spacing w:val="80"/>
          <w:w w:val="150"/>
        </w:rPr>
        <w:t> </w:t>
      </w:r>
      <w:r>
        <w:rPr/>
        <w:t>коронарных</w:t>
      </w:r>
      <w:r>
        <w:rPr>
          <w:spacing w:val="80"/>
          <w:w w:val="150"/>
        </w:rPr>
        <w:t> </w:t>
      </w:r>
      <w:r>
        <w:rPr/>
        <w:t>артерий,</w:t>
      </w:r>
      <w:r>
        <w:rPr>
          <w:spacing w:val="80"/>
          <w:w w:val="150"/>
        </w:rPr>
        <w:t> </w:t>
      </w:r>
      <w:r>
        <w:rPr/>
        <w:t>в</w:t>
      </w:r>
      <w:r>
        <w:rPr>
          <w:spacing w:val="80"/>
          <w:w w:val="150"/>
        </w:rPr>
        <w:t> </w:t>
      </w:r>
      <w:r>
        <w:rPr/>
        <w:t>общем</w:t>
      </w:r>
      <w:r>
        <w:rPr>
          <w:spacing w:val="80"/>
          <w:w w:val="150"/>
        </w:rPr>
        <w:t> </w:t>
      </w:r>
      <w:r>
        <w:rPr/>
        <w:t>количестве</w:t>
      </w:r>
      <w:r>
        <w:rPr>
          <w:spacing w:val="80"/>
          <w:w w:val="150"/>
        </w:rPr>
        <w:t> </w:t>
      </w:r>
      <w:r>
        <w:rPr/>
        <w:t>пациентов</w:t>
      </w:r>
      <w:r>
        <w:rPr>
          <w:spacing w:val="80"/>
          <w:w w:val="150"/>
        </w:rPr>
        <w:t> </w:t>
      </w:r>
      <w:r>
        <w:rPr/>
        <w:t>с острым инфарктом миокарда, имеющих показания к его проведению;</w:t>
      </w:r>
    </w:p>
    <w:p>
      <w:pPr>
        <w:pStyle w:val="BodyText"/>
        <w:spacing w:line="268" w:lineRule="auto"/>
        <w:ind w:left="118" w:right="110" w:firstLine="707"/>
        <w:jc w:val="both"/>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w:t>
      </w:r>
      <w:r>
        <w:rPr>
          <w:spacing w:val="-2"/>
        </w:rPr>
        <w:t>помощи;</w:t>
      </w:r>
    </w:p>
    <w:p>
      <w:pPr>
        <w:pStyle w:val="BodyText"/>
        <w:spacing w:line="268" w:lineRule="auto"/>
        <w:ind w:left="118" w:right="111" w:firstLine="707"/>
        <w:jc w:val="both"/>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BodyText"/>
        <w:spacing w:line="268" w:lineRule="auto"/>
        <w:ind w:left="118" w:right="110" w:firstLine="707"/>
        <w:jc w:val="both"/>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BodyText"/>
        <w:spacing w:line="268" w:lineRule="auto"/>
        <w:ind w:left="118" w:right="112" w:firstLine="707"/>
        <w:jc w:val="both"/>
      </w:pPr>
      <w:r>
        <w:rPr/>
        <w:t>доля пациентов с острым ишемическим инсультом, которым проведена</w:t>
      </w:r>
      <w:r>
        <w:rPr>
          <w:spacing w:val="80"/>
        </w:rPr>
        <w:t> </w:t>
      </w:r>
      <w:r>
        <w:rPr/>
        <w:t>тромболитическая</w:t>
      </w:r>
      <w:r>
        <w:rPr>
          <w:spacing w:val="80"/>
        </w:rPr>
        <w:t> </w:t>
      </w:r>
      <w:r>
        <w:rPr/>
        <w:t>терапия,</w:t>
      </w:r>
      <w:r>
        <w:rPr>
          <w:spacing w:val="80"/>
        </w:rPr>
        <w:t> </w:t>
      </w:r>
      <w:r>
        <w:rPr/>
        <w:t>в</w:t>
      </w:r>
      <w:r>
        <w:rPr>
          <w:spacing w:val="80"/>
        </w:rPr>
        <w:t> </w:t>
      </w:r>
      <w:r>
        <w:rPr/>
        <w:t>общем</w:t>
      </w:r>
      <w:r>
        <w:rPr>
          <w:spacing w:val="80"/>
        </w:rPr>
        <w:t> </w:t>
      </w:r>
      <w:r>
        <w:rPr/>
        <w:t>количестве</w:t>
      </w:r>
      <w:r>
        <w:rPr>
          <w:spacing w:val="80"/>
        </w:rPr>
        <w:t> </w:t>
      </w:r>
      <w:r>
        <w:rPr/>
        <w:t>пациентов</w:t>
      </w:r>
      <w:r>
        <w:rPr>
          <w:spacing w:val="80"/>
        </w:rPr>
        <w:t> </w:t>
      </w:r>
      <w:r>
        <w:rPr/>
        <w:t>с острым ишемическим инсультом, госпитализированных в первичные сосудистые</w:t>
      </w:r>
      <w:r>
        <w:rPr>
          <w:spacing w:val="80"/>
        </w:rPr>
        <w:t> </w:t>
      </w:r>
      <w:r>
        <w:rPr/>
        <w:t>отделения</w:t>
      </w:r>
      <w:r>
        <w:rPr>
          <w:spacing w:val="80"/>
        </w:rPr>
        <w:t> </w:t>
      </w:r>
      <w:r>
        <w:rPr/>
        <w:t>или</w:t>
      </w:r>
      <w:r>
        <w:rPr>
          <w:spacing w:val="80"/>
        </w:rPr>
        <w:t> </w:t>
      </w:r>
      <w:r>
        <w:rPr/>
        <w:t>региональные</w:t>
      </w:r>
      <w:r>
        <w:rPr>
          <w:spacing w:val="80"/>
        </w:rPr>
        <w:t> </w:t>
      </w:r>
      <w:r>
        <w:rPr/>
        <w:t>сосудистые</w:t>
      </w:r>
      <w:r>
        <w:rPr>
          <w:spacing w:val="80"/>
        </w:rPr>
        <w:t> </w:t>
      </w:r>
      <w:r>
        <w:rPr/>
        <w:t>центры</w:t>
      </w:r>
      <w:r>
        <w:rPr>
          <w:spacing w:val="80"/>
        </w:rPr>
        <w:t> </w:t>
      </w:r>
      <w:r>
        <w:rPr/>
        <w:t>в</w:t>
      </w:r>
      <w:r>
        <w:rPr>
          <w:spacing w:val="80"/>
        </w:rPr>
        <w:t> </w:t>
      </w:r>
      <w:r>
        <w:rPr/>
        <w:t>первые 6 часов от начала заболевания;</w:t>
      </w:r>
    </w:p>
    <w:p>
      <w:pPr>
        <w:pStyle w:val="BodyText"/>
        <w:spacing w:line="268" w:lineRule="auto"/>
        <w:ind w:left="118" w:right="115" w:firstLine="707"/>
        <w:jc w:val="both"/>
      </w:pPr>
      <w:r>
        <w:rPr/>
        <w:t>доля пациентов с острым ишемическим инсультом, которым проведена</w:t>
      </w:r>
      <w:r>
        <w:rPr>
          <w:spacing w:val="80"/>
        </w:rPr>
        <w:t> </w:t>
      </w:r>
      <w:r>
        <w:rPr/>
        <w:t>тромболитическая</w:t>
      </w:r>
      <w:r>
        <w:rPr>
          <w:spacing w:val="80"/>
        </w:rPr>
        <w:t> </w:t>
      </w:r>
      <w:r>
        <w:rPr/>
        <w:t>терапия,</w:t>
      </w:r>
      <w:r>
        <w:rPr>
          <w:spacing w:val="80"/>
        </w:rPr>
        <w:t> </w:t>
      </w:r>
      <w:r>
        <w:rPr/>
        <w:t>в</w:t>
      </w:r>
      <w:r>
        <w:rPr>
          <w:spacing w:val="80"/>
        </w:rPr>
        <w:t> </w:t>
      </w:r>
      <w:r>
        <w:rPr/>
        <w:t>общем</w:t>
      </w:r>
      <w:r>
        <w:rPr>
          <w:spacing w:val="80"/>
        </w:rPr>
        <w:t> </w:t>
      </w:r>
      <w:r>
        <w:rPr/>
        <w:t>количестве</w:t>
      </w:r>
      <w:r>
        <w:rPr>
          <w:spacing w:val="80"/>
        </w:rPr>
        <w:t> </w:t>
      </w:r>
      <w:r>
        <w:rPr/>
        <w:t>пациентов</w:t>
      </w:r>
      <w:r>
        <w:rPr>
          <w:spacing w:val="80"/>
        </w:rPr>
        <w:t> </w:t>
      </w:r>
      <w:r>
        <w:rPr/>
        <w:t>с острым ишемическим инсультом, госпитализированных в первичные сосудистые отделения или региональные сосудистые центры;</w:t>
      </w:r>
    </w:p>
    <w:p>
      <w:pPr>
        <w:pStyle w:val="BodyText"/>
        <w:spacing w:line="268" w:lineRule="auto"/>
        <w:ind w:left="118" w:right="114" w:firstLine="707"/>
        <w:jc w:val="both"/>
      </w:pPr>
      <w: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w:t>
      </w:r>
      <w:r>
        <w:rPr>
          <w:spacing w:val="-2"/>
        </w:rPr>
        <w:t>помощи;</w:t>
      </w:r>
    </w:p>
    <w:p>
      <w:pPr>
        <w:pStyle w:val="BodyText"/>
        <w:spacing w:line="268" w:lineRule="auto"/>
        <w:ind w:left="118" w:right="117" w:firstLine="707"/>
        <w:jc w:val="both"/>
      </w:pPr>
      <w:r>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w:t>
      </w:r>
      <w:r>
        <w:rPr>
          <w:spacing w:val="-2"/>
        </w:rPr>
        <w:t>гарантий.</w:t>
      </w:r>
    </w:p>
    <w:p>
      <w:pPr>
        <w:pStyle w:val="BodyText"/>
        <w:spacing w:line="268" w:lineRule="auto"/>
        <w:ind w:left="118" w:right="116" w:firstLine="707"/>
        <w:jc w:val="both"/>
      </w:pPr>
      <w:r>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8" w:firstLine="707"/>
        <w:jc w:val="both"/>
      </w:pPr>
      <w:r>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BodyText"/>
        <w:spacing w:line="268" w:lineRule="auto"/>
        <w:ind w:left="118" w:right="117" w:firstLine="707"/>
        <w:jc w:val="both"/>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w:t>
      </w:r>
      <w:r>
        <w:rPr>
          <w:spacing w:val="-2"/>
        </w:rPr>
        <w:t>фонда).</w:t>
      </w:r>
    </w:p>
    <w:p>
      <w:pPr>
        <w:pStyle w:val="BodyText"/>
        <w:spacing w:line="268" w:lineRule="auto"/>
        <w:ind w:left="118" w:right="120" w:firstLine="707"/>
        <w:jc w:val="both"/>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BodyText"/>
        <w:spacing w:line="268" w:lineRule="auto"/>
        <w:ind w:left="118" w:right="109" w:firstLine="707"/>
        <w:jc w:val="both"/>
      </w:pPr>
      <w:r>
        <w:rPr/>
        <w:t>доля объема специализированной, в том числе</w:t>
      </w:r>
      <w:r>
        <w:rPr>
          <w:spacing w:val="80"/>
        </w:rPr>
        <w:t> </w:t>
      </w:r>
      <w:r>
        <w:rPr/>
        <w:t>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r>
        <w:rPr>
          <w:spacing w:val="67"/>
        </w:rPr>
        <w:t> </w:t>
      </w:r>
      <w:r>
        <w:rPr/>
        <w:t>(в</w:t>
      </w:r>
      <w:r>
        <w:rPr>
          <w:spacing w:val="66"/>
        </w:rPr>
        <w:t> </w:t>
      </w:r>
      <w:r>
        <w:rPr/>
        <w:t>2022</w:t>
      </w:r>
      <w:r>
        <w:rPr>
          <w:spacing w:val="67"/>
        </w:rPr>
        <w:t> </w:t>
      </w:r>
      <w:r>
        <w:rPr/>
        <w:t>году</w:t>
      </w:r>
      <w:r>
        <w:rPr>
          <w:spacing w:val="66"/>
        </w:rPr>
        <w:t> </w:t>
      </w:r>
      <w:r>
        <w:rPr/>
        <w:t>-</w:t>
      </w:r>
      <w:r>
        <w:rPr>
          <w:spacing w:val="67"/>
        </w:rPr>
        <w:t> </w:t>
      </w:r>
      <w:r>
        <w:rPr/>
        <w:t>не</w:t>
      </w:r>
      <w:r>
        <w:rPr>
          <w:spacing w:val="67"/>
        </w:rPr>
        <w:t> </w:t>
      </w:r>
      <w:r>
        <w:rPr/>
        <w:t>менее</w:t>
      </w:r>
      <w:r>
        <w:rPr>
          <w:spacing w:val="40"/>
        </w:rPr>
        <w:t> </w:t>
      </w:r>
      <w:r>
        <w:rPr/>
        <w:t>60</w:t>
      </w:r>
      <w:r>
        <w:rPr>
          <w:spacing w:val="40"/>
        </w:rPr>
        <w:t> </w:t>
      </w:r>
      <w:r>
        <w:rPr/>
        <w:t>процентов,</w:t>
      </w:r>
      <w:r>
        <w:rPr>
          <w:spacing w:val="40"/>
        </w:rPr>
        <w:t> </w:t>
      </w:r>
      <w:r>
        <w:rPr/>
        <w:t>в</w:t>
      </w:r>
      <w:r>
        <w:rPr>
          <w:spacing w:val="66"/>
        </w:rPr>
        <w:t> </w:t>
      </w:r>
      <w:r>
        <w:rPr/>
        <w:t>2023</w:t>
      </w:r>
      <w:r>
        <w:rPr>
          <w:spacing w:val="40"/>
        </w:rPr>
        <w:t> </w:t>
      </w:r>
      <w:r>
        <w:rPr/>
        <w:t>и</w:t>
      </w:r>
      <w:r>
        <w:rPr>
          <w:spacing w:val="67"/>
        </w:rPr>
        <w:t> </w:t>
      </w:r>
      <w:r>
        <w:rPr/>
        <w:t>2024</w:t>
      </w:r>
      <w:r>
        <w:rPr>
          <w:spacing w:val="67"/>
        </w:rPr>
        <w:t> </w:t>
      </w:r>
      <w:r>
        <w:rPr/>
        <w:t>годах</w:t>
      </w:r>
      <w:r>
        <w:rPr>
          <w:spacing w:val="76"/>
        </w:rPr>
        <w:t> </w:t>
      </w:r>
      <w:r>
        <w:rPr/>
        <w:t>- не менее 70 процентов);</w:t>
      </w:r>
    </w:p>
    <w:p>
      <w:pPr>
        <w:pStyle w:val="BodyText"/>
        <w:spacing w:line="268" w:lineRule="auto"/>
        <w:ind w:left="118" w:right="115" w:firstLine="707"/>
        <w:jc w:val="both"/>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BodyText"/>
        <w:rPr>
          <w:sz w:val="20"/>
        </w:rPr>
      </w:pPr>
    </w:p>
    <w:p>
      <w:pPr>
        <w:pStyle w:val="BodyText"/>
        <w:rPr>
          <w:sz w:val="20"/>
        </w:rPr>
      </w:pPr>
    </w:p>
    <w:p>
      <w:pPr>
        <w:pStyle w:val="BodyText"/>
        <w:rPr>
          <w:sz w:val="26"/>
        </w:rPr>
      </w:pPr>
      <w:r>
        <w:rPr/>
        <w:pict>
          <v:shape style="position:absolute;margin-left:255.770004pt;margin-top:16.148731pt;width:84.05pt;height:.1pt;mso-position-horizontal-relative:page;mso-position-vertical-relative:paragraph;z-index:-15728640;mso-wrap-distance-left:0;mso-wrap-distance-right:0" id="docshape3" coordorigin="5115,323" coordsize="1681,0" path="m5115,323l6796,323e" filled="false" stroked="true" strokeweight=".5616pt" strokecolor="#000000">
            <v:path arrowok="t"/>
            <v:stroke dashstyle="solid"/>
            <w10:wrap type="topAndBottom"/>
          </v:shape>
        </w:pict>
      </w:r>
    </w:p>
    <w:p>
      <w:pPr>
        <w:spacing w:after="0"/>
        <w:rPr>
          <w:sz w:val="26"/>
        </w:rPr>
        <w:sectPr>
          <w:pgSz w:w="11910" w:h="16850"/>
          <w:pgMar w:header="753" w:footer="0" w:top="1080" w:bottom="280" w:left="1300" w:right="1300"/>
        </w:sectPr>
      </w:pPr>
    </w:p>
    <w:p>
      <w:pPr>
        <w:pStyle w:val="BodyText"/>
        <w:spacing w:before="59"/>
        <w:ind w:left="10977" w:right="204"/>
        <w:jc w:val="center"/>
      </w:pPr>
      <w:r>
        <w:rPr/>
        <w:t>ПРИЛОЖЕНИЕ</w:t>
      </w:r>
      <w:r>
        <w:rPr>
          <w:spacing w:val="-6"/>
        </w:rPr>
        <w:t> </w:t>
      </w:r>
      <w:r>
        <w:rPr/>
        <w:t>№</w:t>
      </w:r>
      <w:r>
        <w:rPr>
          <w:spacing w:val="-6"/>
        </w:rPr>
        <w:t> </w:t>
      </w:r>
      <w:r>
        <w:rPr>
          <w:spacing w:val="-10"/>
        </w:rPr>
        <w:t>1</w:t>
      </w:r>
    </w:p>
    <w:p>
      <w:pPr>
        <w:pStyle w:val="BodyText"/>
        <w:spacing w:before="3"/>
        <w:ind w:left="10977" w:right="204"/>
        <w:jc w:val="center"/>
      </w:pPr>
      <w:r>
        <w:rPr/>
        <w:t>к</w:t>
      </w:r>
      <w:r>
        <w:rPr>
          <w:spacing w:val="-11"/>
        </w:rPr>
        <w:t> </w:t>
      </w:r>
      <w:r>
        <w:rPr/>
        <w:t>Программе</w:t>
      </w:r>
      <w:r>
        <w:rPr>
          <w:spacing w:val="-11"/>
        </w:rPr>
        <w:t> </w:t>
      </w:r>
      <w:r>
        <w:rPr/>
        <w:t>государственных</w:t>
      </w:r>
      <w:r>
        <w:rPr>
          <w:spacing w:val="-10"/>
        </w:rPr>
        <w:t> </w:t>
      </w:r>
      <w:r>
        <w:rPr/>
        <w:t>гарантий бесплатного оказания гражданам медицинской помощи на 2022 год</w:t>
      </w:r>
    </w:p>
    <w:p>
      <w:pPr>
        <w:pStyle w:val="BodyText"/>
        <w:spacing w:line="321" w:lineRule="exact"/>
        <w:ind w:left="10977" w:right="208"/>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rPr>
          <w:sz w:val="30"/>
        </w:rPr>
      </w:pPr>
    </w:p>
    <w:p>
      <w:pPr>
        <w:pStyle w:val="BodyText"/>
        <w:spacing w:before="11"/>
        <w:rPr>
          <w:sz w:val="32"/>
        </w:rPr>
      </w:pPr>
    </w:p>
    <w:p>
      <w:pPr>
        <w:pStyle w:val="Heading1"/>
        <w:ind w:left="207" w:right="208"/>
      </w:pPr>
      <w:r>
        <w:rPr/>
        <w:t>П Е</w:t>
      </w:r>
      <w:r>
        <w:rPr>
          <w:spacing w:val="-2"/>
        </w:rPr>
        <w:t> </w:t>
      </w:r>
      <w:r>
        <w:rPr/>
        <w:t>Р</w:t>
      </w:r>
      <w:r>
        <w:rPr>
          <w:spacing w:val="-1"/>
        </w:rPr>
        <w:t> </w:t>
      </w:r>
      <w:r>
        <w:rPr/>
        <w:t>Е</w:t>
      </w:r>
      <w:r>
        <w:rPr>
          <w:spacing w:val="-2"/>
        </w:rPr>
        <w:t> </w:t>
      </w:r>
      <w:r>
        <w:rPr/>
        <w:t>Ч Е</w:t>
      </w:r>
      <w:r>
        <w:rPr>
          <w:spacing w:val="-1"/>
        </w:rPr>
        <w:t> </w:t>
      </w:r>
      <w:r>
        <w:rPr/>
        <w:t>Н </w:t>
      </w:r>
      <w:r>
        <w:rPr>
          <w:spacing w:val="-10"/>
        </w:rPr>
        <w:t>Ь</w:t>
      </w:r>
    </w:p>
    <w:p>
      <w:pPr>
        <w:spacing w:line="242" w:lineRule="auto" w:before="120"/>
        <w:ind w:left="2056" w:right="2055" w:firstLine="0"/>
        <w:jc w:val="center"/>
        <w:rPr>
          <w:b/>
          <w:sz w:val="28"/>
        </w:rPr>
      </w:pPr>
      <w:r>
        <w:rPr>
          <w:b/>
          <w:sz w:val="28"/>
        </w:rPr>
        <w:t>видов</w:t>
      </w:r>
      <w:r>
        <w:rPr>
          <w:b/>
          <w:spacing w:val="-3"/>
          <w:sz w:val="28"/>
        </w:rPr>
        <w:t> </w:t>
      </w:r>
      <w:r>
        <w:rPr>
          <w:b/>
          <w:sz w:val="28"/>
        </w:rPr>
        <w:t>высокотехнологичной</w:t>
      </w:r>
      <w:r>
        <w:rPr>
          <w:b/>
          <w:spacing w:val="-4"/>
          <w:sz w:val="28"/>
        </w:rPr>
        <w:t> </w:t>
      </w:r>
      <w:r>
        <w:rPr>
          <w:b/>
          <w:sz w:val="28"/>
        </w:rPr>
        <w:t>медицинской</w:t>
      </w:r>
      <w:r>
        <w:rPr>
          <w:b/>
          <w:spacing w:val="-3"/>
          <w:sz w:val="28"/>
        </w:rPr>
        <w:t> </w:t>
      </w:r>
      <w:r>
        <w:rPr>
          <w:b/>
          <w:sz w:val="28"/>
        </w:rPr>
        <w:t>помощи,</w:t>
      </w:r>
      <w:r>
        <w:rPr>
          <w:b/>
          <w:spacing w:val="-4"/>
          <w:sz w:val="28"/>
        </w:rPr>
        <w:t> </w:t>
      </w:r>
      <w:r>
        <w:rPr>
          <w:b/>
          <w:sz w:val="28"/>
        </w:rPr>
        <w:t>содержащий</w:t>
      </w:r>
      <w:r>
        <w:rPr>
          <w:b/>
          <w:spacing w:val="-4"/>
          <w:sz w:val="28"/>
        </w:rPr>
        <w:t> </w:t>
      </w:r>
      <w:r>
        <w:rPr>
          <w:b/>
          <w:sz w:val="28"/>
        </w:rPr>
        <w:t>в</w:t>
      </w:r>
      <w:r>
        <w:rPr>
          <w:b/>
          <w:spacing w:val="-4"/>
          <w:sz w:val="28"/>
        </w:rPr>
        <w:t> </w:t>
      </w:r>
      <w:r>
        <w:rPr>
          <w:b/>
          <w:sz w:val="28"/>
        </w:rPr>
        <w:t>том</w:t>
      </w:r>
      <w:r>
        <w:rPr>
          <w:b/>
          <w:spacing w:val="-3"/>
          <w:sz w:val="28"/>
        </w:rPr>
        <w:t> </w:t>
      </w:r>
      <w:r>
        <w:rPr>
          <w:b/>
          <w:sz w:val="28"/>
        </w:rPr>
        <w:t>числе</w:t>
      </w:r>
      <w:r>
        <w:rPr>
          <w:b/>
          <w:spacing w:val="-3"/>
          <w:sz w:val="28"/>
        </w:rPr>
        <w:t> </w:t>
      </w:r>
      <w:r>
        <w:rPr>
          <w:b/>
          <w:sz w:val="28"/>
        </w:rPr>
        <w:t>методы</w:t>
      </w:r>
      <w:r>
        <w:rPr>
          <w:b/>
          <w:spacing w:val="-5"/>
          <w:sz w:val="28"/>
        </w:rPr>
        <w:t> </w:t>
      </w:r>
      <w:r>
        <w:rPr>
          <w:b/>
          <w:sz w:val="28"/>
        </w:rPr>
        <w:t>лечения и источники финансового обеспечения высокотехнологичной медицинской помощи</w:t>
      </w:r>
    </w:p>
    <w:p>
      <w:pPr>
        <w:pStyle w:val="BodyText"/>
        <w:spacing w:before="5"/>
        <w:rPr>
          <w:b/>
          <w:sz w:val="30"/>
        </w:rPr>
      </w:pPr>
    </w:p>
    <w:p>
      <w:pPr>
        <w:pStyle w:val="BodyText"/>
        <w:spacing w:before="1"/>
        <w:ind w:left="192" w:right="200" w:hanging="5"/>
        <w:jc w:val="center"/>
      </w:pPr>
      <w:r>
        <w:rPr/>
        <w:t>Раздел I. Перечень видов высокотехнологичной медицинской помощи, включенных в базовую программу обязательного медицинского</w:t>
      </w:r>
      <w:r>
        <w:rPr>
          <w:spacing w:val="-1"/>
        </w:rPr>
        <w:t> </w:t>
      </w:r>
      <w:r>
        <w:rPr/>
        <w:t>страхования,</w:t>
      </w:r>
      <w:r>
        <w:rPr>
          <w:spacing w:val="-2"/>
        </w:rPr>
        <w:t> </w:t>
      </w:r>
      <w:r>
        <w:rPr/>
        <w:t>финансовое</w:t>
      </w:r>
      <w:r>
        <w:rPr>
          <w:spacing w:val="-5"/>
        </w:rPr>
        <w:t> </w:t>
      </w:r>
      <w:r>
        <w:rPr/>
        <w:t>обеспечение</w:t>
      </w:r>
      <w:r>
        <w:rPr>
          <w:spacing w:val="-5"/>
        </w:rPr>
        <w:t> </w:t>
      </w:r>
      <w:r>
        <w:rPr/>
        <w:t>которых</w:t>
      </w:r>
      <w:r>
        <w:rPr>
          <w:spacing w:val="-1"/>
        </w:rPr>
        <w:t> </w:t>
      </w:r>
      <w:r>
        <w:rPr/>
        <w:t>осуществляется</w:t>
      </w:r>
      <w:r>
        <w:rPr>
          <w:spacing w:val="-2"/>
        </w:rPr>
        <w:t> </w:t>
      </w:r>
      <w:r>
        <w:rPr/>
        <w:t>за</w:t>
      </w:r>
      <w:r>
        <w:rPr>
          <w:spacing w:val="-5"/>
        </w:rPr>
        <w:t> </w:t>
      </w:r>
      <w:r>
        <w:rPr/>
        <w:t>счет</w:t>
      </w:r>
      <w:r>
        <w:rPr>
          <w:spacing w:val="-3"/>
        </w:rPr>
        <w:t> </w:t>
      </w:r>
      <w:r>
        <w:rPr/>
        <w:t>субвенции</w:t>
      </w:r>
      <w:r>
        <w:rPr>
          <w:spacing w:val="-5"/>
        </w:rPr>
        <w:t> </w:t>
      </w:r>
      <w:r>
        <w:rPr/>
        <w:t>из</w:t>
      </w:r>
      <w:r>
        <w:rPr>
          <w:spacing w:val="-3"/>
        </w:rPr>
        <w:t> </w:t>
      </w:r>
      <w:r>
        <w:rPr/>
        <w:t>бюджета</w:t>
      </w:r>
      <w:r>
        <w:rPr>
          <w:spacing w:val="-2"/>
        </w:rPr>
        <w:t> </w:t>
      </w:r>
      <w:r>
        <w:rPr/>
        <w:t>Федерального</w:t>
      </w:r>
      <w:r>
        <w:rPr>
          <w:spacing w:val="-4"/>
        </w:rPr>
        <w:t> </w:t>
      </w:r>
      <w:r>
        <w:rPr/>
        <w:t>фонда обязательного медицинского страхования бюджетам территориальных фондов обязательного медицинского страхования</w:t>
      </w:r>
    </w:p>
    <w:p>
      <w:pPr>
        <w:pStyle w:val="BodyText"/>
        <w:rPr>
          <w:sz w:val="20"/>
        </w:rPr>
      </w:pPr>
    </w:p>
    <w:p>
      <w:pPr>
        <w:pStyle w:val="BodyText"/>
        <w:spacing w:before="9"/>
        <w:rPr>
          <w:sz w:val="1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199" w:hRule="atLeast"/>
        </w:trPr>
        <w:tc>
          <w:tcPr>
            <w:tcW w:w="814" w:type="dxa"/>
            <w:tcBorders>
              <w:left w:val="nil"/>
            </w:tcBorders>
          </w:tcPr>
          <w:p>
            <w:pPr>
              <w:pStyle w:val="TableParagraph"/>
              <w:spacing w:before="4"/>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4"/>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2"/>
              <w:rPr>
                <w:sz w:val="20"/>
              </w:rPr>
            </w:pPr>
          </w:p>
          <w:p>
            <w:pPr>
              <w:pStyle w:val="TableParagraph"/>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2"/>
              <w:rPr>
                <w:sz w:val="20"/>
              </w:rPr>
            </w:pPr>
          </w:p>
          <w:p>
            <w:pPr>
              <w:pStyle w:val="TableParagraph"/>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2"/>
              <w:rPr>
                <w:sz w:val="20"/>
              </w:rPr>
            </w:pPr>
          </w:p>
          <w:p>
            <w:pPr>
              <w:pStyle w:val="TableParagraph"/>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2"/>
              <w:rPr>
                <w:sz w:val="20"/>
              </w:rPr>
            </w:pPr>
          </w:p>
          <w:p>
            <w:pPr>
              <w:pStyle w:val="TableParagraph"/>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spacing w:before="248"/>
        <w:ind w:left="205" w:right="208" w:firstLine="0"/>
        <w:jc w:val="center"/>
        <w:rPr>
          <w:sz w:val="20"/>
        </w:rPr>
      </w:pPr>
      <w:r>
        <w:rPr>
          <w:spacing w:val="-2"/>
          <w:sz w:val="20"/>
        </w:rPr>
        <w:t>Абдоминальная</w:t>
      </w:r>
      <w:r>
        <w:rPr>
          <w:spacing w:val="8"/>
          <w:sz w:val="20"/>
        </w:rPr>
        <w:t> </w:t>
      </w:r>
      <w:r>
        <w:rPr>
          <w:spacing w:val="-2"/>
          <w:sz w:val="20"/>
        </w:rPr>
        <w:t>хирургия</w:t>
      </w:r>
      <w:r>
        <w:rPr>
          <w:spacing w:val="5"/>
          <w:sz w:val="20"/>
        </w:rPr>
        <w:t> </w:t>
      </w:r>
      <w:r>
        <w:rPr>
          <w:spacing w:val="-2"/>
          <w:sz w:val="20"/>
        </w:rPr>
        <w:t>(хирургия)</w:t>
      </w:r>
    </w:p>
    <w:p>
      <w:pPr>
        <w:pStyle w:val="BodyText"/>
        <w:spacing w:before="10"/>
        <w:rPr>
          <w:sz w:val="13"/>
        </w:rPr>
      </w:pPr>
    </w:p>
    <w:p>
      <w:pPr>
        <w:spacing w:after="0"/>
        <w:rPr>
          <w:sz w:val="13"/>
        </w:rPr>
        <w:sectPr>
          <w:headerReference w:type="default" r:id="rId9"/>
          <w:pgSz w:w="16850" w:h="11910" w:orient="landscape"/>
          <w:pgMar w:header="0" w:footer="0" w:top="1060" w:bottom="280" w:left="400" w:right="400"/>
        </w:sectPr>
      </w:pPr>
    </w:p>
    <w:p>
      <w:pPr>
        <w:pStyle w:val="ListParagraph"/>
        <w:numPr>
          <w:ilvl w:val="0"/>
          <w:numId w:val="2"/>
        </w:numPr>
        <w:tabs>
          <w:tab w:pos="979" w:val="left" w:leader="none"/>
          <w:tab w:pos="980" w:val="left" w:leader="none"/>
        </w:tabs>
        <w:spacing w:line="249" w:lineRule="auto" w:before="91" w:after="0"/>
        <w:ind w:left="980" w:right="38" w:hanging="540"/>
        <w:jc w:val="left"/>
        <w:rPr>
          <w:sz w:val="20"/>
        </w:rPr>
      </w:pPr>
      <w:r>
        <w:rPr>
          <w:spacing w:val="-2"/>
          <w:sz w:val="20"/>
        </w:rPr>
        <w:t>Микрохирургические, расширенные, </w:t>
      </w:r>
      <w:r>
        <w:rPr>
          <w:sz w:val="20"/>
        </w:rPr>
        <w:t>комбинированные и </w:t>
      </w:r>
      <w:r>
        <w:rPr>
          <w:spacing w:val="-2"/>
          <w:sz w:val="20"/>
        </w:rPr>
        <w:t>реконструктивно-пластические </w:t>
      </w:r>
      <w:r>
        <w:rPr>
          <w:sz w:val="20"/>
        </w:rPr>
        <w:t>операции на поджелудочной железе, в том числе </w:t>
      </w:r>
      <w:r>
        <w:rPr>
          <w:spacing w:val="-2"/>
          <w:sz w:val="20"/>
        </w:rPr>
        <w:t>лапароскопически </w:t>
      </w:r>
      <w:r>
        <w:rPr>
          <w:sz w:val="20"/>
        </w:rPr>
        <w:t>ассистированные операции</w:t>
      </w:r>
    </w:p>
    <w:p>
      <w:pPr>
        <w:tabs>
          <w:tab w:pos="2065" w:val="left" w:leader="none"/>
        </w:tabs>
        <w:spacing w:line="249" w:lineRule="auto" w:before="91"/>
        <w:ind w:left="2065" w:right="38" w:hanging="1626"/>
        <w:jc w:val="left"/>
        <w:rPr>
          <w:sz w:val="20"/>
        </w:rPr>
      </w:pPr>
      <w:r>
        <w:rPr/>
        <w:br w:type="column"/>
      </w:r>
      <w:r>
        <w:rPr>
          <w:sz w:val="20"/>
        </w:rPr>
        <w:t>K86.0 - K86.8</w:t>
        <w:tab/>
        <w:t>заболевания</w:t>
      </w:r>
      <w:r>
        <w:rPr>
          <w:spacing w:val="-13"/>
          <w:sz w:val="20"/>
        </w:rPr>
        <w:t> </w:t>
      </w:r>
      <w:r>
        <w:rPr>
          <w:sz w:val="20"/>
        </w:rPr>
        <w:t>поджелудочной </w:t>
      </w:r>
      <w:r>
        <w:rPr>
          <w:spacing w:val="-2"/>
          <w:sz w:val="20"/>
        </w:rPr>
        <w:t>железы</w:t>
      </w:r>
    </w:p>
    <w:p>
      <w:pPr>
        <w:spacing w:line="249" w:lineRule="auto" w:before="91"/>
        <w:ind w:left="440" w:right="0" w:firstLine="0"/>
        <w:jc w:val="left"/>
        <w:rPr>
          <w:sz w:val="20"/>
        </w:rPr>
      </w:pPr>
      <w:r>
        <w:rPr/>
        <w:br w:type="column"/>
      </w:r>
      <w:r>
        <w:rPr>
          <w:spacing w:val="-2"/>
          <w:sz w:val="20"/>
        </w:rPr>
        <w:t>хирургическое лечение</w:t>
      </w:r>
    </w:p>
    <w:p>
      <w:pPr>
        <w:spacing w:line="249" w:lineRule="auto" w:before="91"/>
        <w:ind w:left="401" w:right="0" w:firstLine="0"/>
        <w:jc w:val="left"/>
        <w:rPr>
          <w:sz w:val="20"/>
        </w:rPr>
      </w:pPr>
      <w:r>
        <w:rPr/>
        <w:br w:type="column"/>
      </w:r>
      <w:r>
        <w:rPr>
          <w:sz w:val="20"/>
        </w:rPr>
        <w:t>резекция</w:t>
      </w:r>
      <w:r>
        <w:rPr>
          <w:spacing w:val="-13"/>
          <w:sz w:val="20"/>
        </w:rPr>
        <w:t> </w:t>
      </w:r>
      <w:r>
        <w:rPr>
          <w:sz w:val="20"/>
        </w:rPr>
        <w:t>поджелудочной</w:t>
      </w:r>
      <w:r>
        <w:rPr>
          <w:spacing w:val="-12"/>
          <w:sz w:val="20"/>
        </w:rPr>
        <w:t> </w:t>
      </w:r>
      <w:r>
        <w:rPr>
          <w:sz w:val="20"/>
        </w:rPr>
        <w:t>железы </w:t>
      </w:r>
      <w:r>
        <w:rPr>
          <w:spacing w:val="-2"/>
          <w:sz w:val="20"/>
        </w:rPr>
        <w:t>субтотальная</w:t>
      </w:r>
    </w:p>
    <w:p>
      <w:pPr>
        <w:pStyle w:val="BodyText"/>
        <w:rPr>
          <w:sz w:val="21"/>
        </w:rPr>
      </w:pPr>
    </w:p>
    <w:p>
      <w:pPr>
        <w:spacing w:before="0"/>
        <w:ind w:left="401" w:right="0" w:firstLine="0"/>
        <w:jc w:val="left"/>
        <w:rPr>
          <w:sz w:val="20"/>
        </w:rPr>
      </w:pPr>
      <w:r>
        <w:rPr>
          <w:sz w:val="20"/>
        </w:rPr>
        <w:t>наложение</w:t>
      </w:r>
      <w:r>
        <w:rPr>
          <w:spacing w:val="-12"/>
          <w:sz w:val="20"/>
        </w:rPr>
        <w:t> </w:t>
      </w:r>
      <w:r>
        <w:rPr>
          <w:spacing w:val="-2"/>
          <w:sz w:val="20"/>
        </w:rPr>
        <w:t>гепатикоеюноанастомоза</w:t>
      </w:r>
    </w:p>
    <w:p>
      <w:pPr>
        <w:pStyle w:val="BodyText"/>
        <w:spacing w:before="9"/>
        <w:rPr>
          <w:sz w:val="21"/>
        </w:rPr>
      </w:pPr>
    </w:p>
    <w:p>
      <w:pPr>
        <w:spacing w:line="249" w:lineRule="auto" w:before="0"/>
        <w:ind w:left="401" w:right="0" w:firstLine="0"/>
        <w:jc w:val="left"/>
        <w:rPr>
          <w:sz w:val="20"/>
        </w:rPr>
      </w:pPr>
      <w:r>
        <w:rPr>
          <w:sz w:val="20"/>
        </w:rPr>
        <w:t>резекция</w:t>
      </w:r>
      <w:r>
        <w:rPr>
          <w:spacing w:val="-13"/>
          <w:sz w:val="20"/>
        </w:rPr>
        <w:t> </w:t>
      </w:r>
      <w:r>
        <w:rPr>
          <w:sz w:val="20"/>
        </w:rPr>
        <w:t>поджелудочной</w:t>
      </w:r>
      <w:r>
        <w:rPr>
          <w:spacing w:val="-12"/>
          <w:sz w:val="20"/>
        </w:rPr>
        <w:t> </w:t>
      </w:r>
      <w:r>
        <w:rPr>
          <w:sz w:val="20"/>
        </w:rPr>
        <w:t>железы </w:t>
      </w:r>
      <w:r>
        <w:rPr>
          <w:spacing w:val="-2"/>
          <w:sz w:val="20"/>
        </w:rPr>
        <w:t>эндоскопическая</w:t>
      </w:r>
    </w:p>
    <w:p>
      <w:pPr>
        <w:pStyle w:val="BodyText"/>
        <w:rPr>
          <w:sz w:val="21"/>
        </w:rPr>
      </w:pPr>
    </w:p>
    <w:p>
      <w:pPr>
        <w:spacing w:line="249" w:lineRule="auto" w:before="0"/>
        <w:ind w:left="401" w:right="0" w:firstLine="0"/>
        <w:jc w:val="left"/>
        <w:rPr>
          <w:sz w:val="20"/>
        </w:rPr>
      </w:pPr>
      <w:r>
        <w:rPr>
          <w:sz w:val="20"/>
        </w:rPr>
        <w:t>дистальная</w:t>
      </w:r>
      <w:r>
        <w:rPr>
          <w:spacing w:val="-13"/>
          <w:sz w:val="20"/>
        </w:rPr>
        <w:t> </w:t>
      </w:r>
      <w:r>
        <w:rPr>
          <w:sz w:val="20"/>
        </w:rPr>
        <w:t>резекция</w:t>
      </w:r>
      <w:r>
        <w:rPr>
          <w:spacing w:val="-12"/>
          <w:sz w:val="20"/>
        </w:rPr>
        <w:t> </w:t>
      </w:r>
      <w:r>
        <w:rPr>
          <w:sz w:val="20"/>
        </w:rPr>
        <w:t>поджелудочной железы с сохранением селезенки</w:t>
      </w:r>
    </w:p>
    <w:p>
      <w:pPr>
        <w:spacing w:before="91"/>
        <w:ind w:left="440" w:right="0" w:firstLine="0"/>
        <w:jc w:val="left"/>
        <w:rPr>
          <w:sz w:val="20"/>
        </w:rPr>
      </w:pPr>
      <w:r>
        <w:rPr/>
        <w:br w:type="column"/>
      </w:r>
      <w:r>
        <w:rPr>
          <w:spacing w:val="-2"/>
          <w:sz w:val="20"/>
        </w:rPr>
        <w:t>182526</w:t>
      </w:r>
    </w:p>
    <w:p>
      <w:pPr>
        <w:spacing w:after="0"/>
        <w:jc w:val="left"/>
        <w:rPr>
          <w:sz w:val="20"/>
        </w:rPr>
        <w:sectPr>
          <w:type w:val="continuous"/>
          <w:pgSz w:w="16850" w:h="11910" w:orient="landscape"/>
          <w:pgMar w:header="0" w:footer="0" w:top="1080" w:bottom="280" w:left="400" w:right="400"/>
          <w:cols w:num="5" w:equalWidth="0">
            <w:col w:w="3696" w:space="104"/>
            <w:col w:w="4553" w:space="229"/>
            <w:col w:w="1697" w:space="39"/>
            <w:col w:w="3604" w:space="368"/>
            <w:col w:w="176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6"/>
        <w:gridCol w:w="1967"/>
        <w:gridCol w:w="3183"/>
        <w:gridCol w:w="1542"/>
        <w:gridCol w:w="3583"/>
      </w:tblGrid>
      <w:tr>
        <w:trPr>
          <w:trHeight w:val="59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ind w:left="220"/>
              <w:rPr>
                <w:sz w:val="20"/>
              </w:rPr>
            </w:pPr>
            <w:r>
              <w:rPr>
                <w:sz w:val="20"/>
              </w:rPr>
              <w:t>дистальная</w:t>
            </w:r>
            <w:r>
              <w:rPr>
                <w:spacing w:val="-13"/>
                <w:sz w:val="20"/>
              </w:rPr>
              <w:t> </w:t>
            </w:r>
            <w:r>
              <w:rPr>
                <w:sz w:val="20"/>
              </w:rPr>
              <w:t>резекция</w:t>
            </w:r>
            <w:r>
              <w:rPr>
                <w:spacing w:val="-12"/>
                <w:sz w:val="20"/>
              </w:rPr>
              <w:t> </w:t>
            </w:r>
            <w:r>
              <w:rPr>
                <w:sz w:val="20"/>
              </w:rPr>
              <w:t>поджелудочной железы со спленэктомией</w:t>
            </w:r>
          </w:p>
        </w:tc>
      </w:tr>
      <w:tr>
        <w:trPr>
          <w:trHeight w:val="72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срединная</w:t>
            </w:r>
            <w:r>
              <w:rPr>
                <w:spacing w:val="-13"/>
                <w:sz w:val="20"/>
              </w:rPr>
              <w:t> </w:t>
            </w:r>
            <w:r>
              <w:rPr>
                <w:sz w:val="20"/>
              </w:rPr>
              <w:t>резекция</w:t>
            </w:r>
            <w:r>
              <w:rPr>
                <w:spacing w:val="-12"/>
                <w:sz w:val="20"/>
              </w:rPr>
              <w:t> </w:t>
            </w:r>
            <w:r>
              <w:rPr>
                <w:sz w:val="20"/>
              </w:rPr>
              <w:t>поджелудочной железы (атипичная резекция)</w:t>
            </w:r>
          </w:p>
        </w:tc>
      </w:tr>
      <w:tr>
        <w:trPr>
          <w:trHeight w:val="72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панкреатодуоденальная</w:t>
            </w:r>
            <w:r>
              <w:rPr>
                <w:spacing w:val="-13"/>
                <w:sz w:val="20"/>
              </w:rPr>
              <w:t> </w:t>
            </w:r>
            <w:r>
              <w:rPr>
                <w:sz w:val="20"/>
              </w:rPr>
              <w:t>резекция</w:t>
            </w:r>
            <w:r>
              <w:rPr>
                <w:spacing w:val="-12"/>
                <w:sz w:val="20"/>
              </w:rPr>
              <w:t> </w:t>
            </w:r>
            <w:r>
              <w:rPr>
                <w:sz w:val="20"/>
              </w:rPr>
              <w:t>с резекцией желудка</w:t>
            </w:r>
          </w:p>
        </w:tc>
      </w:tr>
      <w:tr>
        <w:trPr>
          <w:trHeight w:val="120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субтотальная</w:t>
            </w:r>
            <w:r>
              <w:rPr>
                <w:spacing w:val="-13"/>
                <w:sz w:val="20"/>
              </w:rPr>
              <w:t> </w:t>
            </w:r>
            <w:r>
              <w:rPr>
                <w:sz w:val="20"/>
              </w:rPr>
              <w:t>резекция</w:t>
            </w:r>
            <w:r>
              <w:rPr>
                <w:spacing w:val="-12"/>
                <w:sz w:val="20"/>
              </w:rPr>
              <w:t> </w:t>
            </w:r>
            <w:r>
              <w:rPr>
                <w:sz w:val="20"/>
              </w:rPr>
              <w:t>головки поджелудочной железы</w:t>
            </w:r>
          </w:p>
          <w:p>
            <w:pPr>
              <w:pStyle w:val="TableParagraph"/>
              <w:rPr>
                <w:sz w:val="21"/>
              </w:rPr>
            </w:pPr>
          </w:p>
          <w:p>
            <w:pPr>
              <w:pStyle w:val="TableParagraph"/>
              <w:ind w:left="220"/>
              <w:rPr>
                <w:sz w:val="20"/>
              </w:rPr>
            </w:pPr>
            <w:r>
              <w:rPr>
                <w:sz w:val="20"/>
              </w:rPr>
              <w:t>продольная</w:t>
            </w:r>
            <w:r>
              <w:rPr>
                <w:spacing w:val="-12"/>
                <w:sz w:val="20"/>
              </w:rPr>
              <w:t> </w:t>
            </w:r>
            <w:r>
              <w:rPr>
                <w:spacing w:val="-2"/>
                <w:sz w:val="20"/>
              </w:rPr>
              <w:t>панкреатоеюностомия</w:t>
            </w:r>
          </w:p>
        </w:tc>
      </w:tr>
      <w:tr>
        <w:trPr>
          <w:trHeight w:val="840" w:hRule="atLeast"/>
        </w:trPr>
        <w:tc>
          <w:tcPr>
            <w:tcW w:w="2876" w:type="dxa"/>
            <w:vMerge w:val="restart"/>
          </w:tcPr>
          <w:p>
            <w:pPr>
              <w:pStyle w:val="TableParagraph"/>
              <w:spacing w:line="249" w:lineRule="auto" w:before="120"/>
              <w:ind w:left="50" w:right="141"/>
              <w:rPr>
                <w:sz w:val="20"/>
              </w:rPr>
            </w:pPr>
            <w:r>
              <w:rPr>
                <w:sz w:val="20"/>
              </w:rPr>
              <w:t>Микрохирургические и </w:t>
            </w:r>
            <w:r>
              <w:rPr>
                <w:spacing w:val="-2"/>
                <w:sz w:val="20"/>
              </w:rPr>
              <w:t>реконструктивно-пластические </w:t>
            </w:r>
            <w:r>
              <w:rPr>
                <w:sz w:val="20"/>
              </w:rPr>
              <w:t>операции на печени, желчных протоках и сосудах печени, в том числе эндоваскулярные операции на сосудах печени и реконструктивные</w:t>
            </w:r>
            <w:r>
              <w:rPr>
                <w:spacing w:val="-13"/>
                <w:sz w:val="20"/>
              </w:rPr>
              <w:t> </w:t>
            </w:r>
            <w:r>
              <w:rPr>
                <w:sz w:val="20"/>
              </w:rPr>
              <w:t>операции</w:t>
            </w:r>
            <w:r>
              <w:rPr>
                <w:spacing w:val="-12"/>
                <w:sz w:val="20"/>
              </w:rPr>
              <w:t> </w:t>
            </w:r>
            <w:r>
              <w:rPr>
                <w:sz w:val="20"/>
              </w:rPr>
              <w:t>на сосудах системы воротной вены, стентирование</w:t>
            </w:r>
            <w:r>
              <w:rPr>
                <w:spacing w:val="-1"/>
                <w:sz w:val="20"/>
              </w:rPr>
              <w:t> </w:t>
            </w:r>
            <w:r>
              <w:rPr>
                <w:sz w:val="20"/>
              </w:rPr>
              <w:t>внутри-</w:t>
            </w:r>
            <w:r>
              <w:rPr>
                <w:spacing w:val="-3"/>
                <w:sz w:val="20"/>
              </w:rPr>
              <w:t> </w:t>
            </w:r>
            <w:r>
              <w:rPr>
                <w:sz w:val="20"/>
              </w:rPr>
              <w:t>и</w:t>
            </w:r>
          </w:p>
          <w:p>
            <w:pPr>
              <w:pStyle w:val="TableParagraph"/>
              <w:spacing w:line="240" w:lineRule="exact"/>
              <w:ind w:left="50" w:right="675"/>
              <w:rPr>
                <w:sz w:val="20"/>
              </w:rPr>
            </w:pPr>
            <w:r>
              <w:rPr>
                <w:sz w:val="20"/>
              </w:rPr>
              <w:t>внепеченочных</w:t>
            </w:r>
            <w:r>
              <w:rPr>
                <w:spacing w:val="-13"/>
                <w:sz w:val="20"/>
              </w:rPr>
              <w:t> </w:t>
            </w:r>
            <w:r>
              <w:rPr>
                <w:sz w:val="20"/>
              </w:rPr>
              <w:t>желчных </w:t>
            </w:r>
            <w:r>
              <w:rPr>
                <w:spacing w:val="-2"/>
                <w:sz w:val="20"/>
              </w:rPr>
              <w:t>протоков</w:t>
            </w:r>
          </w:p>
        </w:tc>
        <w:tc>
          <w:tcPr>
            <w:tcW w:w="1967" w:type="dxa"/>
          </w:tcPr>
          <w:p>
            <w:pPr>
              <w:pStyle w:val="TableParagraph"/>
              <w:spacing w:before="120"/>
              <w:ind w:left="143"/>
              <w:rPr>
                <w:sz w:val="20"/>
              </w:rPr>
            </w:pPr>
            <w:r>
              <w:rPr>
                <w:sz w:val="20"/>
              </w:rPr>
              <w:t>D18.0,</w:t>
            </w:r>
            <w:r>
              <w:rPr>
                <w:spacing w:val="-4"/>
                <w:sz w:val="20"/>
              </w:rPr>
              <w:t> </w:t>
            </w:r>
            <w:r>
              <w:rPr>
                <w:sz w:val="20"/>
              </w:rPr>
              <w:t>D13.4,</w:t>
            </w:r>
            <w:r>
              <w:rPr>
                <w:spacing w:val="-5"/>
                <w:sz w:val="20"/>
              </w:rPr>
              <w:t> </w:t>
            </w:r>
            <w:r>
              <w:rPr>
                <w:spacing w:val="-2"/>
                <w:sz w:val="20"/>
              </w:rPr>
              <w:t>D13.5,</w:t>
            </w:r>
          </w:p>
          <w:p>
            <w:pPr>
              <w:pStyle w:val="TableParagraph"/>
              <w:spacing w:line="240" w:lineRule="atLeast"/>
              <w:ind w:left="506" w:hanging="359"/>
              <w:rPr>
                <w:sz w:val="20"/>
              </w:rPr>
            </w:pPr>
            <w:r>
              <w:rPr>
                <w:sz w:val="20"/>
              </w:rPr>
              <w:t>B67.0,</w:t>
            </w:r>
            <w:r>
              <w:rPr>
                <w:spacing w:val="-13"/>
                <w:sz w:val="20"/>
              </w:rPr>
              <w:t> </w:t>
            </w:r>
            <w:r>
              <w:rPr>
                <w:sz w:val="20"/>
              </w:rPr>
              <w:t>K76.6,</w:t>
            </w:r>
            <w:r>
              <w:rPr>
                <w:spacing w:val="-12"/>
                <w:sz w:val="20"/>
              </w:rPr>
              <w:t> </w:t>
            </w:r>
            <w:r>
              <w:rPr>
                <w:sz w:val="20"/>
              </w:rPr>
              <w:t>K76.8, Q26.5, I85.0</w:t>
            </w:r>
          </w:p>
        </w:tc>
        <w:tc>
          <w:tcPr>
            <w:tcW w:w="3183" w:type="dxa"/>
            <w:vMerge w:val="restart"/>
          </w:tcPr>
          <w:p>
            <w:pPr>
              <w:pStyle w:val="TableParagraph"/>
              <w:spacing w:line="249" w:lineRule="auto" w:before="120"/>
              <w:ind w:left="92" w:right="62"/>
              <w:rPr>
                <w:sz w:val="20"/>
              </w:rPr>
            </w:pPr>
            <w:r>
              <w:rPr>
                <w:sz w:val="20"/>
              </w:rPr>
              <w:t>заболевания, врожденные аномалии печени, желчных протоков, воротной вены. Новообразования печени. </w:t>
            </w:r>
            <w:r>
              <w:rPr>
                <w:spacing w:val="-2"/>
                <w:sz w:val="20"/>
              </w:rPr>
              <w:t>Новообразования </w:t>
            </w:r>
            <w:r>
              <w:rPr>
                <w:sz w:val="20"/>
              </w:rPr>
              <w:t>внутрипеченочных желчных протоков. Новообразования внепеченочных</w:t>
            </w:r>
            <w:r>
              <w:rPr>
                <w:spacing w:val="-13"/>
                <w:sz w:val="20"/>
              </w:rPr>
              <w:t> </w:t>
            </w:r>
            <w:r>
              <w:rPr>
                <w:sz w:val="20"/>
              </w:rPr>
              <w:t>желчных</w:t>
            </w:r>
            <w:r>
              <w:rPr>
                <w:spacing w:val="-12"/>
                <w:sz w:val="20"/>
              </w:rPr>
              <w:t> </w:t>
            </w:r>
            <w:r>
              <w:rPr>
                <w:sz w:val="20"/>
              </w:rPr>
              <w:t>протоков. Новообразования желчного</w:t>
            </w:r>
          </w:p>
          <w:p>
            <w:pPr>
              <w:pStyle w:val="TableParagraph"/>
              <w:spacing w:line="240" w:lineRule="exact"/>
              <w:ind w:left="92" w:right="125"/>
              <w:rPr>
                <w:sz w:val="20"/>
              </w:rPr>
            </w:pPr>
            <w:r>
              <w:rPr>
                <w:sz w:val="20"/>
              </w:rPr>
              <w:t>пузыря.</w:t>
            </w:r>
            <w:r>
              <w:rPr>
                <w:spacing w:val="-13"/>
                <w:sz w:val="20"/>
              </w:rPr>
              <w:t> </w:t>
            </w:r>
            <w:r>
              <w:rPr>
                <w:sz w:val="20"/>
              </w:rPr>
              <w:t>Инвазия</w:t>
            </w:r>
            <w:r>
              <w:rPr>
                <w:spacing w:val="-12"/>
                <w:sz w:val="20"/>
              </w:rPr>
              <w:t> </w:t>
            </w:r>
            <w:r>
              <w:rPr>
                <w:sz w:val="20"/>
              </w:rPr>
              <w:t>печени, вызванная эхинококком</w:t>
            </w:r>
          </w:p>
        </w:tc>
        <w:tc>
          <w:tcPr>
            <w:tcW w:w="1542" w:type="dxa"/>
          </w:tcPr>
          <w:p>
            <w:pPr>
              <w:pStyle w:val="TableParagraph"/>
              <w:spacing w:line="252" w:lineRule="auto" w:before="120"/>
              <w:ind w:left="65"/>
              <w:rPr>
                <w:sz w:val="20"/>
              </w:rPr>
            </w:pPr>
            <w:r>
              <w:rPr>
                <w:spacing w:val="-2"/>
                <w:sz w:val="20"/>
              </w:rPr>
              <w:t>хирургическое лечение</w:t>
            </w:r>
          </w:p>
        </w:tc>
        <w:tc>
          <w:tcPr>
            <w:tcW w:w="3583" w:type="dxa"/>
          </w:tcPr>
          <w:p>
            <w:pPr>
              <w:pStyle w:val="TableParagraph"/>
              <w:spacing w:line="252" w:lineRule="auto" w:before="120"/>
              <w:ind w:left="220"/>
              <w:rPr>
                <w:sz w:val="20"/>
              </w:rPr>
            </w:pPr>
            <w:r>
              <w:rPr>
                <w:sz w:val="20"/>
              </w:rPr>
              <w:t>резекция</w:t>
            </w:r>
            <w:r>
              <w:rPr>
                <w:spacing w:val="-13"/>
                <w:sz w:val="20"/>
              </w:rPr>
              <w:t> </w:t>
            </w:r>
            <w:r>
              <w:rPr>
                <w:sz w:val="20"/>
              </w:rPr>
              <w:t>печени</w:t>
            </w:r>
            <w:r>
              <w:rPr>
                <w:spacing w:val="-12"/>
                <w:sz w:val="20"/>
              </w:rPr>
              <w:t> </w:t>
            </w:r>
            <w:r>
              <w:rPr>
                <w:sz w:val="20"/>
              </w:rPr>
              <w:t>с</w:t>
            </w:r>
            <w:r>
              <w:rPr>
                <w:spacing w:val="-13"/>
                <w:sz w:val="20"/>
              </w:rPr>
              <w:t> </w:t>
            </w:r>
            <w:r>
              <w:rPr>
                <w:sz w:val="20"/>
              </w:rPr>
              <w:t>использованием лапароскопической техники</w:t>
            </w:r>
          </w:p>
        </w:tc>
      </w:tr>
      <w:tr>
        <w:trPr>
          <w:trHeight w:val="360" w:hRule="atLeast"/>
        </w:trPr>
        <w:tc>
          <w:tcPr>
            <w:tcW w:w="2876" w:type="dxa"/>
            <w:vMerge/>
            <w:tcBorders>
              <w:top w:val="nil"/>
            </w:tcBorders>
          </w:tcPr>
          <w:p>
            <w:pPr>
              <w:rPr>
                <w:sz w:val="2"/>
                <w:szCs w:val="2"/>
              </w:rPr>
            </w:pPr>
          </w:p>
        </w:tc>
        <w:tc>
          <w:tcPr>
            <w:tcW w:w="1967" w:type="dxa"/>
          </w:tcPr>
          <w:p>
            <w:pPr>
              <w:pStyle w:val="TableParagraph"/>
              <w:rPr>
                <w:sz w:val="18"/>
              </w:rPr>
            </w:pPr>
          </w:p>
        </w:tc>
        <w:tc>
          <w:tcPr>
            <w:tcW w:w="3183" w:type="dxa"/>
            <w:vMerge/>
            <w:tcBorders>
              <w:top w:val="nil"/>
            </w:tcBorders>
          </w:tcPr>
          <w:p>
            <w:pPr>
              <w:rPr>
                <w:sz w:val="2"/>
                <w:szCs w:val="2"/>
              </w:rPr>
            </w:pPr>
          </w:p>
        </w:tc>
        <w:tc>
          <w:tcPr>
            <w:tcW w:w="1542" w:type="dxa"/>
          </w:tcPr>
          <w:p>
            <w:pPr>
              <w:pStyle w:val="TableParagraph"/>
              <w:rPr>
                <w:sz w:val="18"/>
              </w:rPr>
            </w:pPr>
          </w:p>
        </w:tc>
        <w:tc>
          <w:tcPr>
            <w:tcW w:w="3583" w:type="dxa"/>
          </w:tcPr>
          <w:p>
            <w:pPr>
              <w:pStyle w:val="TableParagraph"/>
              <w:ind w:left="220"/>
              <w:rPr>
                <w:sz w:val="20"/>
              </w:rPr>
            </w:pPr>
            <w:r>
              <w:rPr>
                <w:sz w:val="20"/>
              </w:rPr>
              <w:t>резекция</w:t>
            </w:r>
            <w:r>
              <w:rPr>
                <w:spacing w:val="-10"/>
                <w:sz w:val="20"/>
              </w:rPr>
              <w:t> </w:t>
            </w:r>
            <w:r>
              <w:rPr>
                <w:sz w:val="20"/>
              </w:rPr>
              <w:t>одного</w:t>
            </w:r>
            <w:r>
              <w:rPr>
                <w:spacing w:val="-7"/>
                <w:sz w:val="20"/>
              </w:rPr>
              <w:t> </w:t>
            </w:r>
            <w:r>
              <w:rPr>
                <w:sz w:val="20"/>
              </w:rPr>
              <w:t>сегмента</w:t>
            </w:r>
            <w:r>
              <w:rPr>
                <w:spacing w:val="-6"/>
                <w:sz w:val="20"/>
              </w:rPr>
              <w:t> </w:t>
            </w:r>
            <w:r>
              <w:rPr>
                <w:spacing w:val="-2"/>
                <w:sz w:val="20"/>
              </w:rPr>
              <w:t>печени</w:t>
            </w:r>
          </w:p>
        </w:tc>
      </w:tr>
      <w:tr>
        <w:trPr>
          <w:trHeight w:val="960" w:hRule="atLeast"/>
        </w:trPr>
        <w:tc>
          <w:tcPr>
            <w:tcW w:w="2876" w:type="dxa"/>
            <w:vMerge/>
            <w:tcBorders>
              <w:top w:val="nil"/>
            </w:tcBorders>
          </w:tcPr>
          <w:p>
            <w:pPr>
              <w:rPr>
                <w:sz w:val="2"/>
                <w:szCs w:val="2"/>
              </w:rPr>
            </w:pPr>
          </w:p>
        </w:tc>
        <w:tc>
          <w:tcPr>
            <w:tcW w:w="1967" w:type="dxa"/>
          </w:tcPr>
          <w:p>
            <w:pPr>
              <w:pStyle w:val="TableParagraph"/>
              <w:rPr>
                <w:sz w:val="18"/>
              </w:rPr>
            </w:pPr>
          </w:p>
        </w:tc>
        <w:tc>
          <w:tcPr>
            <w:tcW w:w="3183" w:type="dxa"/>
            <w:vMerge/>
            <w:tcBorders>
              <w:top w:val="nil"/>
            </w:tcBorders>
          </w:tcPr>
          <w:p>
            <w:pPr>
              <w:rPr>
                <w:sz w:val="2"/>
                <w:szCs w:val="2"/>
              </w:rPr>
            </w:pPr>
          </w:p>
        </w:tc>
        <w:tc>
          <w:tcPr>
            <w:tcW w:w="1542" w:type="dxa"/>
          </w:tcPr>
          <w:p>
            <w:pPr>
              <w:pStyle w:val="TableParagraph"/>
              <w:rPr>
                <w:sz w:val="18"/>
              </w:rPr>
            </w:pPr>
          </w:p>
        </w:tc>
        <w:tc>
          <w:tcPr>
            <w:tcW w:w="3583" w:type="dxa"/>
          </w:tcPr>
          <w:p>
            <w:pPr>
              <w:pStyle w:val="TableParagraph"/>
              <w:spacing w:line="249" w:lineRule="auto" w:before="120"/>
              <w:ind w:left="220" w:right="68"/>
              <w:rPr>
                <w:sz w:val="20"/>
              </w:rPr>
            </w:pPr>
            <w:r>
              <w:rPr>
                <w:sz w:val="20"/>
              </w:rPr>
              <w:t>резекция</w:t>
            </w:r>
            <w:r>
              <w:rPr>
                <w:spacing w:val="-13"/>
                <w:sz w:val="20"/>
              </w:rPr>
              <w:t> </w:t>
            </w:r>
            <w:r>
              <w:rPr>
                <w:sz w:val="20"/>
              </w:rPr>
              <w:t>сегмента</w:t>
            </w:r>
            <w:r>
              <w:rPr>
                <w:spacing w:val="-12"/>
                <w:sz w:val="20"/>
              </w:rPr>
              <w:t> </w:t>
            </w:r>
            <w:r>
              <w:rPr>
                <w:sz w:val="20"/>
              </w:rPr>
              <w:t>(сегментов)</w:t>
            </w:r>
            <w:r>
              <w:rPr>
                <w:spacing w:val="-13"/>
                <w:sz w:val="20"/>
              </w:rPr>
              <w:t> </w:t>
            </w:r>
            <w:r>
              <w:rPr>
                <w:sz w:val="20"/>
              </w:rPr>
              <w:t>печени с реконструктивно-пластическим </w:t>
            </w:r>
            <w:r>
              <w:rPr>
                <w:spacing w:val="-2"/>
                <w:sz w:val="20"/>
              </w:rPr>
              <w:t>компонентом</w:t>
            </w:r>
          </w:p>
        </w:tc>
      </w:tr>
      <w:tr>
        <w:trPr>
          <w:trHeight w:val="600" w:hRule="atLeast"/>
        </w:trPr>
        <w:tc>
          <w:tcPr>
            <w:tcW w:w="2876" w:type="dxa"/>
            <w:vMerge/>
            <w:tcBorders>
              <w:top w:val="nil"/>
            </w:tcBorders>
          </w:tcPr>
          <w:p>
            <w:pPr>
              <w:rPr>
                <w:sz w:val="2"/>
                <w:szCs w:val="2"/>
              </w:rPr>
            </w:pPr>
          </w:p>
        </w:tc>
        <w:tc>
          <w:tcPr>
            <w:tcW w:w="1967" w:type="dxa"/>
          </w:tcPr>
          <w:p>
            <w:pPr>
              <w:pStyle w:val="TableParagraph"/>
              <w:rPr>
                <w:sz w:val="18"/>
              </w:rPr>
            </w:pPr>
          </w:p>
        </w:tc>
        <w:tc>
          <w:tcPr>
            <w:tcW w:w="3183" w:type="dxa"/>
            <w:vMerge/>
            <w:tcBorders>
              <w:top w:val="nil"/>
            </w:tcBorders>
          </w:tcPr>
          <w:p>
            <w:pPr>
              <w:rPr>
                <w:sz w:val="2"/>
                <w:szCs w:val="2"/>
              </w:rPr>
            </w:pPr>
          </w:p>
        </w:tc>
        <w:tc>
          <w:tcPr>
            <w:tcW w:w="1542" w:type="dxa"/>
          </w:tcPr>
          <w:p>
            <w:pPr>
              <w:pStyle w:val="TableParagraph"/>
              <w:rPr>
                <w:sz w:val="18"/>
              </w:rPr>
            </w:pPr>
          </w:p>
        </w:tc>
        <w:tc>
          <w:tcPr>
            <w:tcW w:w="3583" w:type="dxa"/>
          </w:tcPr>
          <w:p>
            <w:pPr>
              <w:pStyle w:val="TableParagraph"/>
              <w:spacing w:before="120"/>
              <w:ind w:left="220"/>
              <w:rPr>
                <w:sz w:val="20"/>
              </w:rPr>
            </w:pPr>
            <w:r>
              <w:rPr>
                <w:sz w:val="20"/>
              </w:rPr>
              <w:t>резекция</w:t>
            </w:r>
            <w:r>
              <w:rPr>
                <w:spacing w:val="-9"/>
                <w:sz w:val="20"/>
              </w:rPr>
              <w:t> </w:t>
            </w:r>
            <w:r>
              <w:rPr>
                <w:sz w:val="20"/>
              </w:rPr>
              <w:t>печени</w:t>
            </w:r>
            <w:r>
              <w:rPr>
                <w:spacing w:val="-8"/>
                <w:sz w:val="20"/>
              </w:rPr>
              <w:t> </w:t>
            </w:r>
            <w:r>
              <w:rPr>
                <w:spacing w:val="-2"/>
                <w:sz w:val="20"/>
              </w:rPr>
              <w:t>атипичная</w:t>
            </w:r>
          </w:p>
        </w:tc>
      </w:tr>
      <w:tr>
        <w:trPr>
          <w:trHeight w:val="60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52" w:lineRule="auto"/>
              <w:ind w:left="220"/>
              <w:rPr>
                <w:sz w:val="20"/>
              </w:rPr>
            </w:pPr>
            <w:r>
              <w:rPr>
                <w:sz w:val="20"/>
              </w:rPr>
              <w:t>эмболизация</w:t>
            </w:r>
            <w:r>
              <w:rPr>
                <w:spacing w:val="-13"/>
                <w:sz w:val="20"/>
              </w:rPr>
              <w:t> </w:t>
            </w:r>
            <w:r>
              <w:rPr>
                <w:sz w:val="20"/>
              </w:rPr>
              <w:t>печени</w:t>
            </w:r>
            <w:r>
              <w:rPr>
                <w:spacing w:val="-12"/>
                <w:sz w:val="20"/>
              </w:rPr>
              <w:t> </w:t>
            </w:r>
            <w:r>
              <w:rPr>
                <w:sz w:val="20"/>
              </w:rPr>
              <w:t>с</w:t>
            </w:r>
            <w:r>
              <w:rPr>
                <w:spacing w:val="-13"/>
                <w:sz w:val="20"/>
              </w:rPr>
              <w:t> </w:t>
            </w:r>
            <w:r>
              <w:rPr>
                <w:sz w:val="20"/>
              </w:rPr>
              <w:t>использованием лекарственных средств</w:t>
            </w:r>
          </w:p>
        </w:tc>
      </w:tr>
      <w:tr>
        <w:trPr>
          <w:trHeight w:val="719"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резекция</w:t>
            </w:r>
            <w:r>
              <w:rPr>
                <w:spacing w:val="-13"/>
                <w:sz w:val="20"/>
              </w:rPr>
              <w:t> </w:t>
            </w:r>
            <w:r>
              <w:rPr>
                <w:sz w:val="20"/>
              </w:rPr>
              <w:t>сегмента</w:t>
            </w:r>
            <w:r>
              <w:rPr>
                <w:spacing w:val="-12"/>
                <w:sz w:val="20"/>
              </w:rPr>
              <w:t> </w:t>
            </w:r>
            <w:r>
              <w:rPr>
                <w:sz w:val="20"/>
              </w:rPr>
              <w:t>(сегментов)</w:t>
            </w:r>
            <w:r>
              <w:rPr>
                <w:spacing w:val="-13"/>
                <w:sz w:val="20"/>
              </w:rPr>
              <w:t> </w:t>
            </w:r>
            <w:r>
              <w:rPr>
                <w:sz w:val="20"/>
              </w:rPr>
              <w:t>печени комбинированная с ангиопластикой</w:t>
            </w:r>
          </w:p>
        </w:tc>
      </w:tr>
      <w:tr>
        <w:trPr>
          <w:trHeight w:val="35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10" w:lineRule="exact" w:before="120"/>
              <w:ind w:left="220"/>
              <w:rPr>
                <w:sz w:val="20"/>
              </w:rPr>
            </w:pPr>
            <w:r>
              <w:rPr>
                <w:sz w:val="20"/>
              </w:rPr>
              <w:t>абляция</w:t>
            </w:r>
            <w:r>
              <w:rPr>
                <w:spacing w:val="-11"/>
                <w:sz w:val="20"/>
              </w:rPr>
              <w:t> </w:t>
            </w:r>
            <w:r>
              <w:rPr>
                <w:sz w:val="20"/>
              </w:rPr>
              <w:t>при</w:t>
            </w:r>
            <w:r>
              <w:rPr>
                <w:spacing w:val="-10"/>
                <w:sz w:val="20"/>
              </w:rPr>
              <w:t> </w:t>
            </w:r>
            <w:r>
              <w:rPr>
                <w:sz w:val="20"/>
              </w:rPr>
              <w:t>новообразованиях</w:t>
            </w:r>
            <w:r>
              <w:rPr>
                <w:spacing w:val="-10"/>
                <w:sz w:val="20"/>
              </w:rPr>
              <w:t> </w:t>
            </w:r>
            <w:r>
              <w:rPr>
                <w:spacing w:val="-2"/>
                <w:sz w:val="20"/>
              </w:rPr>
              <w:t>печени</w:t>
            </w:r>
          </w:p>
        </w:tc>
      </w:tr>
    </w:tbl>
    <w:p>
      <w:pPr>
        <w:spacing w:after="0" w:line="210" w:lineRule="exact"/>
        <w:rPr>
          <w:sz w:val="20"/>
        </w:rPr>
        <w:sectPr>
          <w:headerReference w:type="default" r:id="rId10"/>
          <w:pgSz w:w="16850" w:h="11910" w:orient="landscape"/>
          <w:pgMar w:header="753" w:footer="0" w:top="1060" w:bottom="280" w:left="400" w:right="400"/>
          <w:pgNumType w:start="2"/>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3"/>
        <w:gridCol w:w="1941"/>
        <w:gridCol w:w="3122"/>
        <w:gridCol w:w="1601"/>
        <w:gridCol w:w="3574"/>
      </w:tblGrid>
      <w:tr>
        <w:trPr>
          <w:trHeight w:val="1910" w:hRule="atLeast"/>
        </w:trPr>
        <w:tc>
          <w:tcPr>
            <w:tcW w:w="2903" w:type="dxa"/>
          </w:tcPr>
          <w:p>
            <w:pPr>
              <w:pStyle w:val="TableParagraph"/>
              <w:spacing w:line="249" w:lineRule="auto"/>
              <w:ind w:left="50" w:right="96"/>
              <w:rPr>
                <w:sz w:val="20"/>
              </w:rPr>
            </w:pPr>
            <w:r>
              <w:rPr>
                <w:spacing w:val="-2"/>
                <w:sz w:val="20"/>
              </w:rPr>
              <w:t>Реконструктивно-пластические, </w:t>
            </w:r>
            <w:r>
              <w:rPr>
                <w:sz w:val="20"/>
              </w:rPr>
              <w:t>в том числе лапароскопически ассистированные операции на тонкой, толстой кишке и </w:t>
            </w:r>
            <w:r>
              <w:rPr>
                <w:spacing w:val="-2"/>
                <w:sz w:val="20"/>
              </w:rPr>
              <w:t>промежности</w:t>
            </w:r>
          </w:p>
        </w:tc>
        <w:tc>
          <w:tcPr>
            <w:tcW w:w="1941" w:type="dxa"/>
          </w:tcPr>
          <w:p>
            <w:pPr>
              <w:pStyle w:val="TableParagraph"/>
              <w:spacing w:line="221" w:lineRule="exact"/>
              <w:ind w:left="106" w:right="80"/>
              <w:jc w:val="center"/>
              <w:rPr>
                <w:sz w:val="20"/>
              </w:rPr>
            </w:pPr>
            <w:hyperlink r:id="rId11">
              <w:r>
                <w:rPr>
                  <w:sz w:val="20"/>
                </w:rPr>
                <w:t>D12.6,</w:t>
              </w:r>
              <w:r>
                <w:rPr>
                  <w:spacing w:val="-3"/>
                  <w:sz w:val="20"/>
                </w:rPr>
                <w:t> </w:t>
              </w:r>
            </w:hyperlink>
            <w:hyperlink r:id="rId12">
              <w:r>
                <w:rPr>
                  <w:sz w:val="20"/>
                </w:rPr>
                <w:t>K60.4,</w:t>
              </w:r>
              <w:r>
                <w:rPr>
                  <w:spacing w:val="-4"/>
                  <w:sz w:val="20"/>
                </w:rPr>
                <w:t> </w:t>
              </w:r>
            </w:hyperlink>
            <w:hyperlink r:id="rId13">
              <w:r>
                <w:rPr>
                  <w:spacing w:val="-2"/>
                  <w:sz w:val="20"/>
                </w:rPr>
                <w:t>N82.2,</w:t>
              </w:r>
            </w:hyperlink>
          </w:p>
          <w:p>
            <w:pPr>
              <w:pStyle w:val="TableParagraph"/>
              <w:spacing w:before="10"/>
              <w:ind w:left="106" w:right="80"/>
              <w:jc w:val="center"/>
              <w:rPr>
                <w:sz w:val="20"/>
              </w:rPr>
            </w:pPr>
            <w:hyperlink r:id="rId14">
              <w:r>
                <w:rPr>
                  <w:sz w:val="20"/>
                </w:rPr>
                <w:t>N82.3,</w:t>
              </w:r>
              <w:r>
                <w:rPr>
                  <w:spacing w:val="-3"/>
                  <w:sz w:val="20"/>
                </w:rPr>
                <w:t> </w:t>
              </w:r>
            </w:hyperlink>
            <w:hyperlink r:id="rId15">
              <w:r>
                <w:rPr>
                  <w:sz w:val="20"/>
                </w:rPr>
                <w:t>N82.4,</w:t>
              </w:r>
              <w:r>
                <w:rPr>
                  <w:spacing w:val="-4"/>
                  <w:sz w:val="20"/>
                </w:rPr>
                <w:t> </w:t>
              </w:r>
            </w:hyperlink>
            <w:hyperlink r:id="rId16">
              <w:r>
                <w:rPr>
                  <w:spacing w:val="-2"/>
                  <w:sz w:val="20"/>
                </w:rPr>
                <w:t>K57.2,</w:t>
              </w:r>
            </w:hyperlink>
          </w:p>
          <w:p>
            <w:pPr>
              <w:pStyle w:val="TableParagraph"/>
              <w:spacing w:before="10"/>
              <w:ind w:left="106" w:right="80"/>
              <w:jc w:val="center"/>
              <w:rPr>
                <w:sz w:val="20"/>
              </w:rPr>
            </w:pPr>
            <w:hyperlink r:id="rId17">
              <w:r>
                <w:rPr>
                  <w:sz w:val="20"/>
                </w:rPr>
                <w:t>K59.3,</w:t>
              </w:r>
              <w:r>
                <w:rPr>
                  <w:spacing w:val="-3"/>
                  <w:sz w:val="20"/>
                </w:rPr>
                <w:t> </w:t>
              </w:r>
            </w:hyperlink>
            <w:hyperlink r:id="rId18">
              <w:r>
                <w:rPr>
                  <w:sz w:val="20"/>
                </w:rPr>
                <w:t>Q43.1,</w:t>
              </w:r>
              <w:r>
                <w:rPr>
                  <w:spacing w:val="-4"/>
                  <w:sz w:val="20"/>
                </w:rPr>
                <w:t> </w:t>
              </w:r>
            </w:hyperlink>
            <w:hyperlink r:id="rId19">
              <w:r>
                <w:rPr>
                  <w:spacing w:val="-2"/>
                  <w:sz w:val="20"/>
                </w:rPr>
                <w:t>Q43.2,</w:t>
              </w:r>
            </w:hyperlink>
          </w:p>
          <w:p>
            <w:pPr>
              <w:pStyle w:val="TableParagraph"/>
              <w:spacing w:before="10"/>
              <w:ind w:left="106" w:right="80"/>
              <w:jc w:val="center"/>
              <w:rPr>
                <w:sz w:val="20"/>
              </w:rPr>
            </w:pPr>
            <w:hyperlink r:id="rId20">
              <w:r>
                <w:rPr>
                  <w:sz w:val="20"/>
                </w:rPr>
                <w:t>Q43.3,</w:t>
              </w:r>
              <w:r>
                <w:rPr>
                  <w:spacing w:val="-3"/>
                  <w:sz w:val="20"/>
                </w:rPr>
                <w:t> </w:t>
              </w:r>
            </w:hyperlink>
            <w:hyperlink r:id="rId21">
              <w:r>
                <w:rPr>
                  <w:sz w:val="20"/>
                </w:rPr>
                <w:t>Q52.2,</w:t>
              </w:r>
              <w:r>
                <w:rPr>
                  <w:spacing w:val="-4"/>
                  <w:sz w:val="20"/>
                </w:rPr>
                <w:t> </w:t>
              </w:r>
            </w:hyperlink>
            <w:hyperlink r:id="rId22">
              <w:r>
                <w:rPr>
                  <w:spacing w:val="-2"/>
                  <w:sz w:val="20"/>
                </w:rPr>
                <w:t>K59.0,</w:t>
              </w:r>
            </w:hyperlink>
          </w:p>
          <w:p>
            <w:pPr>
              <w:pStyle w:val="TableParagraph"/>
              <w:spacing w:before="10"/>
              <w:ind w:left="106" w:right="80"/>
              <w:jc w:val="center"/>
              <w:rPr>
                <w:sz w:val="20"/>
              </w:rPr>
            </w:pPr>
            <w:hyperlink r:id="rId17">
              <w:r>
                <w:rPr>
                  <w:sz w:val="20"/>
                </w:rPr>
                <w:t>K59.3,</w:t>
              </w:r>
              <w:r>
                <w:rPr>
                  <w:spacing w:val="-3"/>
                  <w:sz w:val="20"/>
                </w:rPr>
                <w:t> </w:t>
              </w:r>
            </w:hyperlink>
            <w:hyperlink r:id="rId23">
              <w:r>
                <w:rPr>
                  <w:sz w:val="20"/>
                </w:rPr>
                <w:t>Z93.2,</w:t>
              </w:r>
              <w:r>
                <w:rPr>
                  <w:spacing w:val="-3"/>
                  <w:sz w:val="20"/>
                </w:rPr>
                <w:t> </w:t>
              </w:r>
            </w:hyperlink>
            <w:hyperlink r:id="rId24">
              <w:r>
                <w:rPr>
                  <w:spacing w:val="-2"/>
                  <w:sz w:val="20"/>
                </w:rPr>
                <w:t>Z93.3,</w:t>
              </w:r>
            </w:hyperlink>
          </w:p>
          <w:p>
            <w:pPr>
              <w:pStyle w:val="TableParagraph"/>
              <w:spacing w:before="10"/>
              <w:ind w:left="106" w:right="80"/>
              <w:jc w:val="center"/>
              <w:rPr>
                <w:sz w:val="20"/>
              </w:rPr>
            </w:pPr>
            <w:hyperlink r:id="rId25">
              <w:r>
                <w:rPr>
                  <w:sz w:val="20"/>
                </w:rPr>
                <w:t>K55.2,</w:t>
              </w:r>
              <w:r>
                <w:rPr>
                  <w:spacing w:val="-2"/>
                  <w:sz w:val="20"/>
                </w:rPr>
                <w:t> </w:t>
              </w:r>
            </w:hyperlink>
            <w:hyperlink r:id="rId26">
              <w:r>
                <w:rPr>
                  <w:sz w:val="20"/>
                </w:rPr>
                <w:t>K51,</w:t>
              </w:r>
              <w:r>
                <w:rPr>
                  <w:spacing w:val="-2"/>
                  <w:sz w:val="20"/>
                </w:rPr>
                <w:t> </w:t>
              </w:r>
            </w:hyperlink>
            <w:hyperlink r:id="rId27">
              <w:r>
                <w:rPr>
                  <w:spacing w:val="-2"/>
                  <w:sz w:val="20"/>
                </w:rPr>
                <w:t>K50.0,</w:t>
              </w:r>
            </w:hyperlink>
          </w:p>
          <w:p>
            <w:pPr>
              <w:pStyle w:val="TableParagraph"/>
              <w:spacing w:line="240" w:lineRule="atLeast"/>
              <w:ind w:left="106" w:right="77"/>
              <w:jc w:val="center"/>
              <w:rPr>
                <w:sz w:val="20"/>
              </w:rPr>
            </w:pPr>
            <w:hyperlink r:id="rId28">
              <w:r>
                <w:rPr>
                  <w:sz w:val="20"/>
                </w:rPr>
                <w:t>K50.1,</w:t>
              </w:r>
              <w:r>
                <w:rPr>
                  <w:spacing w:val="-13"/>
                  <w:sz w:val="20"/>
                </w:rPr>
                <w:t> </w:t>
              </w:r>
            </w:hyperlink>
            <w:hyperlink r:id="rId29">
              <w:r>
                <w:rPr>
                  <w:sz w:val="20"/>
                </w:rPr>
                <w:t>K50.8,</w:t>
              </w:r>
              <w:r>
                <w:rPr>
                  <w:spacing w:val="-12"/>
                  <w:sz w:val="20"/>
                </w:rPr>
                <w:t> </w:t>
              </w:r>
            </w:hyperlink>
            <w:hyperlink r:id="rId16">
              <w:r>
                <w:rPr>
                  <w:sz w:val="20"/>
                </w:rPr>
                <w:t>K57.2,</w:t>
              </w:r>
            </w:hyperlink>
            <w:r>
              <w:rPr>
                <w:sz w:val="20"/>
              </w:rPr>
              <w:t> </w:t>
            </w:r>
            <w:hyperlink r:id="rId30">
              <w:r>
                <w:rPr>
                  <w:sz w:val="20"/>
                </w:rPr>
                <w:t>K62.3, </w:t>
              </w:r>
            </w:hyperlink>
            <w:hyperlink r:id="rId31">
              <w:r>
                <w:rPr>
                  <w:sz w:val="20"/>
                </w:rPr>
                <w:t>K62.8</w:t>
              </w:r>
            </w:hyperlink>
          </w:p>
        </w:tc>
        <w:tc>
          <w:tcPr>
            <w:tcW w:w="3122" w:type="dxa"/>
          </w:tcPr>
          <w:p>
            <w:pPr>
              <w:pStyle w:val="TableParagraph"/>
              <w:spacing w:line="249" w:lineRule="auto"/>
              <w:ind w:left="91"/>
              <w:rPr>
                <w:sz w:val="20"/>
              </w:rPr>
            </w:pPr>
            <w:r>
              <w:rPr>
                <w:sz w:val="20"/>
              </w:rPr>
              <w:t>семейный аденоматоз толстой кишки,</w:t>
            </w:r>
            <w:r>
              <w:rPr>
                <w:spacing w:val="-13"/>
                <w:sz w:val="20"/>
              </w:rPr>
              <w:t> </w:t>
            </w:r>
            <w:r>
              <w:rPr>
                <w:sz w:val="20"/>
              </w:rPr>
              <w:t>тотальное</w:t>
            </w:r>
            <w:r>
              <w:rPr>
                <w:spacing w:val="-12"/>
                <w:sz w:val="20"/>
              </w:rPr>
              <w:t> </w:t>
            </w:r>
            <w:r>
              <w:rPr>
                <w:sz w:val="20"/>
              </w:rPr>
              <w:t>поражение</w:t>
            </w:r>
            <w:r>
              <w:rPr>
                <w:spacing w:val="-13"/>
                <w:sz w:val="20"/>
              </w:rPr>
              <w:t> </w:t>
            </w:r>
            <w:r>
              <w:rPr>
                <w:sz w:val="20"/>
              </w:rPr>
              <w:t>всех отделов</w:t>
            </w:r>
            <w:r>
              <w:rPr>
                <w:spacing w:val="-8"/>
                <w:sz w:val="20"/>
              </w:rPr>
              <w:t> </w:t>
            </w:r>
            <w:r>
              <w:rPr>
                <w:sz w:val="20"/>
              </w:rPr>
              <w:t>толстой</w:t>
            </w:r>
            <w:r>
              <w:rPr>
                <w:spacing w:val="-6"/>
                <w:sz w:val="20"/>
              </w:rPr>
              <w:t> </w:t>
            </w:r>
            <w:r>
              <w:rPr>
                <w:sz w:val="20"/>
              </w:rPr>
              <w:t>кишки</w:t>
            </w:r>
            <w:r>
              <w:rPr>
                <w:spacing w:val="-7"/>
                <w:sz w:val="20"/>
              </w:rPr>
              <w:t> </w:t>
            </w:r>
            <w:r>
              <w:rPr>
                <w:spacing w:val="-2"/>
                <w:sz w:val="20"/>
              </w:rPr>
              <w:t>полипами</w:t>
            </w:r>
          </w:p>
        </w:tc>
        <w:tc>
          <w:tcPr>
            <w:tcW w:w="1601" w:type="dxa"/>
          </w:tcPr>
          <w:p>
            <w:pPr>
              <w:pStyle w:val="TableParagraph"/>
              <w:spacing w:line="249" w:lineRule="auto"/>
              <w:ind w:left="125"/>
              <w:rPr>
                <w:sz w:val="20"/>
              </w:rPr>
            </w:pPr>
            <w:r>
              <w:rPr>
                <w:spacing w:val="-2"/>
                <w:sz w:val="20"/>
              </w:rPr>
              <w:t>хирургическое лечение</w:t>
            </w:r>
          </w:p>
        </w:tc>
        <w:tc>
          <w:tcPr>
            <w:tcW w:w="3574" w:type="dxa"/>
          </w:tcPr>
          <w:p>
            <w:pPr>
              <w:pStyle w:val="TableParagraph"/>
              <w:spacing w:line="249" w:lineRule="auto"/>
              <w:ind w:left="221" w:right="32"/>
              <w:rPr>
                <w:sz w:val="20"/>
              </w:rPr>
            </w:pPr>
            <w:r>
              <w:rPr>
                <w:spacing w:val="-2"/>
                <w:sz w:val="20"/>
              </w:rPr>
              <w:t>реконструктивно-пластическая </w:t>
            </w:r>
            <w:r>
              <w:rPr>
                <w:sz w:val="20"/>
              </w:rPr>
              <w:t>операция по восстановлению непрерывности</w:t>
            </w:r>
            <w:r>
              <w:rPr>
                <w:spacing w:val="-13"/>
                <w:sz w:val="20"/>
              </w:rPr>
              <w:t> </w:t>
            </w:r>
            <w:r>
              <w:rPr>
                <w:sz w:val="20"/>
              </w:rPr>
              <w:t>кишечника</w:t>
            </w:r>
            <w:r>
              <w:rPr>
                <w:spacing w:val="-12"/>
                <w:sz w:val="20"/>
              </w:rPr>
              <w:t> </w:t>
            </w:r>
            <w:r>
              <w:rPr>
                <w:sz w:val="20"/>
              </w:rPr>
              <w:t>-</w:t>
            </w:r>
            <w:r>
              <w:rPr>
                <w:spacing w:val="-13"/>
                <w:sz w:val="20"/>
              </w:rPr>
              <w:t> </w:t>
            </w:r>
            <w:r>
              <w:rPr>
                <w:sz w:val="20"/>
              </w:rPr>
              <w:t>закрытие стомы с формированием анастомоза</w:t>
            </w:r>
          </w:p>
        </w:tc>
      </w:tr>
      <w:tr>
        <w:trPr>
          <w:trHeight w:val="276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rPr>
                <w:sz w:val="18"/>
              </w:rPr>
            </w:pPr>
          </w:p>
        </w:tc>
        <w:tc>
          <w:tcPr>
            <w:tcW w:w="1601" w:type="dxa"/>
          </w:tcPr>
          <w:p>
            <w:pPr>
              <w:pStyle w:val="TableParagraph"/>
              <w:rPr>
                <w:sz w:val="18"/>
              </w:rPr>
            </w:pPr>
          </w:p>
        </w:tc>
        <w:tc>
          <w:tcPr>
            <w:tcW w:w="3574" w:type="dxa"/>
          </w:tcPr>
          <w:p>
            <w:pPr>
              <w:pStyle w:val="TableParagraph"/>
              <w:spacing w:line="249" w:lineRule="auto"/>
              <w:ind w:left="221" w:right="32"/>
              <w:rPr>
                <w:sz w:val="20"/>
              </w:rPr>
            </w:pPr>
            <w:r>
              <w:rPr>
                <w:sz w:val="20"/>
              </w:rPr>
              <w:t>колэктомия с резекцией прямой кишки,</w:t>
            </w:r>
            <w:r>
              <w:rPr>
                <w:spacing w:val="-13"/>
                <w:sz w:val="20"/>
              </w:rPr>
              <w:t> </w:t>
            </w:r>
            <w:r>
              <w:rPr>
                <w:sz w:val="20"/>
              </w:rPr>
              <w:t>мукозэктомией</w:t>
            </w:r>
            <w:r>
              <w:rPr>
                <w:spacing w:val="-12"/>
                <w:sz w:val="20"/>
              </w:rPr>
              <w:t> </w:t>
            </w:r>
            <w:r>
              <w:rPr>
                <w:sz w:val="20"/>
              </w:rPr>
              <w:t>прямой</w:t>
            </w:r>
            <w:r>
              <w:rPr>
                <w:spacing w:val="-13"/>
                <w:sz w:val="20"/>
              </w:rPr>
              <w:t> </w:t>
            </w:r>
            <w:r>
              <w:rPr>
                <w:sz w:val="20"/>
              </w:rPr>
              <w:t>кишки, с формированием тонкокишечного резервуара, илеоректального анастомоза, илеостомия</w:t>
            </w:r>
          </w:p>
          <w:p>
            <w:pPr>
              <w:pStyle w:val="TableParagraph"/>
              <w:spacing w:before="3"/>
              <w:rPr>
                <w:sz w:val="21"/>
              </w:rPr>
            </w:pPr>
          </w:p>
          <w:p>
            <w:pPr>
              <w:pStyle w:val="TableParagraph"/>
              <w:spacing w:line="249" w:lineRule="auto"/>
              <w:ind w:left="221" w:right="32"/>
              <w:rPr>
                <w:sz w:val="20"/>
              </w:rPr>
            </w:pPr>
            <w:r>
              <w:rPr>
                <w:sz w:val="20"/>
              </w:rPr>
              <w:t>субтотальная резекция ободочной кишки</w:t>
            </w:r>
            <w:r>
              <w:rPr>
                <w:spacing w:val="-2"/>
                <w:sz w:val="20"/>
              </w:rPr>
              <w:t> </w:t>
            </w:r>
            <w:r>
              <w:rPr>
                <w:sz w:val="20"/>
              </w:rPr>
              <w:t>с</w:t>
            </w:r>
            <w:r>
              <w:rPr>
                <w:spacing w:val="-1"/>
                <w:sz w:val="20"/>
              </w:rPr>
              <w:t> </w:t>
            </w:r>
            <w:r>
              <w:rPr>
                <w:sz w:val="20"/>
              </w:rPr>
              <w:t>брюшно-анальной</w:t>
            </w:r>
            <w:r>
              <w:rPr>
                <w:spacing w:val="-2"/>
                <w:sz w:val="20"/>
              </w:rPr>
              <w:t> </w:t>
            </w:r>
            <w:r>
              <w:rPr>
                <w:sz w:val="20"/>
              </w:rPr>
              <w:t>резекцией прямой кишки и низведением правых отделов</w:t>
            </w:r>
            <w:r>
              <w:rPr>
                <w:spacing w:val="-11"/>
                <w:sz w:val="20"/>
              </w:rPr>
              <w:t> </w:t>
            </w:r>
            <w:r>
              <w:rPr>
                <w:sz w:val="20"/>
              </w:rPr>
              <w:t>ободочной</w:t>
            </w:r>
            <w:r>
              <w:rPr>
                <w:spacing w:val="-11"/>
                <w:sz w:val="20"/>
              </w:rPr>
              <w:t> </w:t>
            </w:r>
            <w:r>
              <w:rPr>
                <w:sz w:val="20"/>
              </w:rPr>
              <w:t>кишки</w:t>
            </w:r>
            <w:r>
              <w:rPr>
                <w:spacing w:val="-11"/>
                <w:sz w:val="20"/>
              </w:rPr>
              <w:t> </w:t>
            </w:r>
            <w:r>
              <w:rPr>
                <w:sz w:val="20"/>
              </w:rPr>
              <w:t>в</w:t>
            </w:r>
            <w:r>
              <w:rPr>
                <w:spacing w:val="-9"/>
                <w:sz w:val="20"/>
              </w:rPr>
              <w:t> </w:t>
            </w:r>
            <w:r>
              <w:rPr>
                <w:sz w:val="20"/>
              </w:rPr>
              <w:t>анальный </w:t>
            </w:r>
            <w:r>
              <w:rPr>
                <w:spacing w:val="-2"/>
                <w:sz w:val="20"/>
              </w:rPr>
              <w:t>канал</w:t>
            </w:r>
          </w:p>
        </w:tc>
      </w:tr>
      <w:tr>
        <w:trPr>
          <w:trHeight w:val="144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spacing w:line="249" w:lineRule="auto" w:before="120"/>
              <w:ind w:left="91"/>
              <w:rPr>
                <w:sz w:val="20"/>
              </w:rPr>
            </w:pPr>
            <w:r>
              <w:rPr>
                <w:sz w:val="20"/>
              </w:rPr>
              <w:t>свищ</w:t>
            </w:r>
            <w:r>
              <w:rPr>
                <w:spacing w:val="-5"/>
                <w:sz w:val="20"/>
              </w:rPr>
              <w:t> </w:t>
            </w:r>
            <w:r>
              <w:rPr>
                <w:sz w:val="20"/>
              </w:rPr>
              <w:t>прямой</w:t>
            </w:r>
            <w:r>
              <w:rPr>
                <w:spacing w:val="-8"/>
                <w:sz w:val="20"/>
              </w:rPr>
              <w:t> </w:t>
            </w:r>
            <w:r>
              <w:rPr>
                <w:sz w:val="20"/>
              </w:rPr>
              <w:t>кишки</w:t>
            </w:r>
            <w:r>
              <w:rPr>
                <w:spacing w:val="-8"/>
                <w:sz w:val="20"/>
              </w:rPr>
              <w:t> </w:t>
            </w:r>
            <w:r>
              <w:rPr>
                <w:sz w:val="20"/>
              </w:rPr>
              <w:t>3</w:t>
            </w:r>
            <w:r>
              <w:rPr>
                <w:spacing w:val="-4"/>
                <w:sz w:val="20"/>
              </w:rPr>
              <w:t> </w:t>
            </w:r>
            <w:r>
              <w:rPr>
                <w:sz w:val="20"/>
              </w:rPr>
              <w:t>-</w:t>
            </w:r>
            <w:r>
              <w:rPr>
                <w:spacing w:val="-9"/>
                <w:sz w:val="20"/>
              </w:rPr>
              <w:t> </w:t>
            </w:r>
            <w:r>
              <w:rPr>
                <w:sz w:val="20"/>
              </w:rPr>
              <w:t>4</w:t>
            </w:r>
            <w:r>
              <w:rPr>
                <w:spacing w:val="-6"/>
                <w:sz w:val="20"/>
              </w:rPr>
              <w:t> </w:t>
            </w:r>
            <w:r>
              <w:rPr>
                <w:sz w:val="20"/>
              </w:rPr>
              <w:t>степени </w:t>
            </w:r>
            <w:r>
              <w:rPr>
                <w:spacing w:val="-2"/>
                <w:sz w:val="20"/>
              </w:rPr>
              <w:t>сложности</w:t>
            </w:r>
          </w:p>
        </w:tc>
        <w:tc>
          <w:tcPr>
            <w:tcW w:w="1601" w:type="dxa"/>
          </w:tcPr>
          <w:p>
            <w:pPr>
              <w:pStyle w:val="TableParagraph"/>
              <w:spacing w:line="249" w:lineRule="auto" w:before="120"/>
              <w:ind w:left="125"/>
              <w:rPr>
                <w:sz w:val="20"/>
              </w:rPr>
            </w:pPr>
            <w:r>
              <w:rPr>
                <w:spacing w:val="-2"/>
                <w:sz w:val="20"/>
              </w:rPr>
              <w:t>хирургическое лечение</w:t>
            </w:r>
          </w:p>
        </w:tc>
        <w:tc>
          <w:tcPr>
            <w:tcW w:w="3574" w:type="dxa"/>
          </w:tcPr>
          <w:p>
            <w:pPr>
              <w:pStyle w:val="TableParagraph"/>
              <w:spacing w:line="249" w:lineRule="auto" w:before="120"/>
              <w:ind w:left="221" w:right="32"/>
              <w:rPr>
                <w:sz w:val="20"/>
              </w:rPr>
            </w:pPr>
            <w:r>
              <w:rPr>
                <w:sz w:val="20"/>
              </w:rPr>
              <w:t>иссечение</w:t>
            </w:r>
            <w:r>
              <w:rPr>
                <w:spacing w:val="-13"/>
                <w:sz w:val="20"/>
              </w:rPr>
              <w:t> </w:t>
            </w:r>
            <w:r>
              <w:rPr>
                <w:sz w:val="20"/>
              </w:rPr>
              <w:t>свища,</w:t>
            </w:r>
            <w:r>
              <w:rPr>
                <w:spacing w:val="-12"/>
                <w:sz w:val="20"/>
              </w:rPr>
              <w:t> </w:t>
            </w:r>
            <w:r>
              <w:rPr>
                <w:sz w:val="20"/>
              </w:rPr>
              <w:t>пластика</w:t>
            </w:r>
            <w:r>
              <w:rPr>
                <w:spacing w:val="-13"/>
                <w:sz w:val="20"/>
              </w:rPr>
              <w:t> </w:t>
            </w:r>
            <w:r>
              <w:rPr>
                <w:sz w:val="20"/>
              </w:rPr>
              <w:t>свищевого отверстия полнослойным лоскутом стенки прямой кишки - сегментарная проктопластика, пластика анальных </w:t>
            </w:r>
            <w:r>
              <w:rPr>
                <w:spacing w:val="-2"/>
                <w:sz w:val="20"/>
              </w:rPr>
              <w:t>сфинктеров</w:t>
            </w:r>
          </w:p>
        </w:tc>
      </w:tr>
      <w:tr>
        <w:trPr>
          <w:trHeight w:val="120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spacing w:line="249" w:lineRule="auto" w:before="120"/>
              <w:ind w:left="91"/>
              <w:rPr>
                <w:sz w:val="20"/>
              </w:rPr>
            </w:pPr>
            <w:r>
              <w:rPr>
                <w:spacing w:val="-2"/>
                <w:sz w:val="20"/>
              </w:rPr>
              <w:t>ректовагинальный (коловагинальный) свищ</w:t>
            </w:r>
          </w:p>
        </w:tc>
        <w:tc>
          <w:tcPr>
            <w:tcW w:w="1601" w:type="dxa"/>
          </w:tcPr>
          <w:p>
            <w:pPr>
              <w:pStyle w:val="TableParagraph"/>
              <w:spacing w:line="249" w:lineRule="auto" w:before="120"/>
              <w:ind w:left="125"/>
              <w:rPr>
                <w:sz w:val="20"/>
              </w:rPr>
            </w:pPr>
            <w:r>
              <w:rPr>
                <w:spacing w:val="-2"/>
                <w:sz w:val="20"/>
              </w:rPr>
              <w:t>хирургическое лечение</w:t>
            </w:r>
          </w:p>
        </w:tc>
        <w:tc>
          <w:tcPr>
            <w:tcW w:w="3574" w:type="dxa"/>
          </w:tcPr>
          <w:p>
            <w:pPr>
              <w:pStyle w:val="TableParagraph"/>
              <w:spacing w:line="249" w:lineRule="auto" w:before="120"/>
              <w:ind w:left="221" w:right="32"/>
              <w:rPr>
                <w:sz w:val="20"/>
              </w:rPr>
            </w:pPr>
            <w:r>
              <w:rPr>
                <w:sz w:val="20"/>
              </w:rPr>
              <w:t>иссечение свища с пластикой внутреннего</w:t>
            </w:r>
            <w:r>
              <w:rPr>
                <w:spacing w:val="-13"/>
                <w:sz w:val="20"/>
              </w:rPr>
              <w:t> </w:t>
            </w:r>
            <w:r>
              <w:rPr>
                <w:sz w:val="20"/>
              </w:rPr>
              <w:t>свищевого</w:t>
            </w:r>
            <w:r>
              <w:rPr>
                <w:spacing w:val="-12"/>
                <w:sz w:val="20"/>
              </w:rPr>
              <w:t> </w:t>
            </w:r>
            <w:r>
              <w:rPr>
                <w:sz w:val="20"/>
              </w:rPr>
              <w:t>отверстия сегментом</w:t>
            </w:r>
            <w:r>
              <w:rPr>
                <w:spacing w:val="-10"/>
                <w:sz w:val="20"/>
              </w:rPr>
              <w:t> </w:t>
            </w:r>
            <w:r>
              <w:rPr>
                <w:sz w:val="20"/>
              </w:rPr>
              <w:t>прямой</w:t>
            </w:r>
            <w:r>
              <w:rPr>
                <w:spacing w:val="-12"/>
                <w:sz w:val="20"/>
              </w:rPr>
              <w:t> </w:t>
            </w:r>
            <w:r>
              <w:rPr>
                <w:sz w:val="20"/>
              </w:rPr>
              <w:t>или</w:t>
            </w:r>
            <w:r>
              <w:rPr>
                <w:spacing w:val="-12"/>
                <w:sz w:val="20"/>
              </w:rPr>
              <w:t> </w:t>
            </w:r>
            <w:r>
              <w:rPr>
                <w:sz w:val="20"/>
              </w:rPr>
              <w:t>ободочной </w:t>
            </w:r>
            <w:r>
              <w:rPr>
                <w:spacing w:val="-2"/>
                <w:sz w:val="20"/>
              </w:rPr>
              <w:t>кишки</w:t>
            </w:r>
          </w:p>
        </w:tc>
      </w:tr>
      <w:tr>
        <w:trPr>
          <w:trHeight w:val="83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spacing w:line="240" w:lineRule="atLeast" w:before="90"/>
              <w:ind w:left="91"/>
              <w:rPr>
                <w:sz w:val="20"/>
              </w:rPr>
            </w:pPr>
            <w:r>
              <w:rPr>
                <w:sz w:val="20"/>
              </w:rPr>
              <w:t>дивертикулярная болезнь ободочной</w:t>
            </w:r>
            <w:r>
              <w:rPr>
                <w:spacing w:val="-13"/>
                <w:sz w:val="20"/>
              </w:rPr>
              <w:t> </w:t>
            </w:r>
            <w:r>
              <w:rPr>
                <w:sz w:val="20"/>
              </w:rPr>
              <w:t>кишки,</w:t>
            </w:r>
            <w:r>
              <w:rPr>
                <w:spacing w:val="-12"/>
                <w:sz w:val="20"/>
              </w:rPr>
              <w:t> </w:t>
            </w:r>
            <w:r>
              <w:rPr>
                <w:sz w:val="20"/>
              </w:rPr>
              <w:t>осложненное </w:t>
            </w:r>
            <w:r>
              <w:rPr>
                <w:spacing w:val="-2"/>
                <w:sz w:val="20"/>
              </w:rPr>
              <w:t>течение</w:t>
            </w:r>
          </w:p>
        </w:tc>
        <w:tc>
          <w:tcPr>
            <w:tcW w:w="1601" w:type="dxa"/>
          </w:tcPr>
          <w:p>
            <w:pPr>
              <w:pStyle w:val="TableParagraph"/>
              <w:spacing w:line="249" w:lineRule="auto" w:before="120"/>
              <w:ind w:left="125"/>
              <w:rPr>
                <w:sz w:val="20"/>
              </w:rPr>
            </w:pPr>
            <w:r>
              <w:rPr>
                <w:spacing w:val="-2"/>
                <w:sz w:val="20"/>
              </w:rPr>
              <w:t>хирургическое лечение</w:t>
            </w:r>
          </w:p>
        </w:tc>
        <w:tc>
          <w:tcPr>
            <w:tcW w:w="3574" w:type="dxa"/>
          </w:tcPr>
          <w:p>
            <w:pPr>
              <w:pStyle w:val="TableParagraph"/>
              <w:spacing w:line="249" w:lineRule="auto" w:before="120"/>
              <w:ind w:left="221" w:right="32"/>
              <w:rPr>
                <w:sz w:val="20"/>
              </w:rPr>
            </w:pPr>
            <w:r>
              <w:rPr>
                <w:sz w:val="20"/>
              </w:rPr>
              <w:t>резекция</w:t>
            </w:r>
            <w:r>
              <w:rPr>
                <w:spacing w:val="-11"/>
                <w:sz w:val="20"/>
              </w:rPr>
              <w:t> </w:t>
            </w:r>
            <w:r>
              <w:rPr>
                <w:sz w:val="20"/>
              </w:rPr>
              <w:t>ободочной</w:t>
            </w:r>
            <w:r>
              <w:rPr>
                <w:spacing w:val="-11"/>
                <w:sz w:val="20"/>
              </w:rPr>
              <w:t> </w:t>
            </w:r>
            <w:r>
              <w:rPr>
                <w:sz w:val="20"/>
              </w:rPr>
              <w:t>кишки,</w:t>
            </w:r>
            <w:r>
              <w:rPr>
                <w:spacing w:val="-9"/>
                <w:sz w:val="20"/>
              </w:rPr>
              <w:t> </w:t>
            </w:r>
            <w:r>
              <w:rPr>
                <w:sz w:val="20"/>
              </w:rPr>
              <w:t>в</w:t>
            </w:r>
            <w:r>
              <w:rPr>
                <w:spacing w:val="-11"/>
                <w:sz w:val="20"/>
              </w:rPr>
              <w:t> </w:t>
            </w:r>
            <w:r>
              <w:rPr>
                <w:sz w:val="20"/>
              </w:rPr>
              <w:t>том числе с ликвидацией свища</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9"/>
        <w:gridCol w:w="1554"/>
        <w:gridCol w:w="3599"/>
      </w:tblGrid>
      <w:tr>
        <w:trPr>
          <w:trHeight w:val="1070" w:hRule="atLeast"/>
        </w:trPr>
        <w:tc>
          <w:tcPr>
            <w:tcW w:w="3129" w:type="dxa"/>
          </w:tcPr>
          <w:p>
            <w:pPr>
              <w:pStyle w:val="TableParagraph"/>
              <w:spacing w:line="249" w:lineRule="auto"/>
              <w:ind w:left="50" w:right="725"/>
              <w:rPr>
                <w:sz w:val="20"/>
              </w:rPr>
            </w:pPr>
            <w:r>
              <w:rPr>
                <w:spacing w:val="-2"/>
                <w:sz w:val="20"/>
              </w:rPr>
              <w:t>мегадолихоколон, </w:t>
            </w:r>
            <w:r>
              <w:rPr>
                <w:sz w:val="20"/>
              </w:rPr>
              <w:t>рецидивирующие</w:t>
            </w:r>
            <w:r>
              <w:rPr>
                <w:spacing w:val="-13"/>
                <w:sz w:val="20"/>
              </w:rPr>
              <w:t> </w:t>
            </w:r>
            <w:r>
              <w:rPr>
                <w:sz w:val="20"/>
              </w:rPr>
              <w:t>завороты сигмовидной кишки</w:t>
            </w:r>
          </w:p>
        </w:tc>
        <w:tc>
          <w:tcPr>
            <w:tcW w:w="1554" w:type="dxa"/>
          </w:tcPr>
          <w:p>
            <w:pPr>
              <w:pStyle w:val="TableParagraph"/>
              <w:spacing w:line="249" w:lineRule="auto"/>
              <w:ind w:left="77"/>
              <w:rPr>
                <w:sz w:val="20"/>
              </w:rPr>
            </w:pPr>
            <w:r>
              <w:rPr>
                <w:spacing w:val="-2"/>
                <w:sz w:val="20"/>
              </w:rPr>
              <w:t>хирургическое лечение</w:t>
            </w:r>
          </w:p>
        </w:tc>
        <w:tc>
          <w:tcPr>
            <w:tcW w:w="3599" w:type="dxa"/>
          </w:tcPr>
          <w:p>
            <w:pPr>
              <w:pStyle w:val="TableParagraph"/>
              <w:spacing w:line="249" w:lineRule="auto"/>
              <w:ind w:left="220"/>
              <w:rPr>
                <w:sz w:val="20"/>
              </w:rPr>
            </w:pPr>
            <w:r>
              <w:rPr>
                <w:sz w:val="20"/>
              </w:rPr>
              <w:t>резекция ободочной кишки с аппендэктомией,</w:t>
            </w:r>
            <w:r>
              <w:rPr>
                <w:spacing w:val="-13"/>
                <w:sz w:val="20"/>
              </w:rPr>
              <w:t> </w:t>
            </w:r>
            <w:r>
              <w:rPr>
                <w:sz w:val="20"/>
              </w:rPr>
              <w:t>разворотом</w:t>
            </w:r>
            <w:r>
              <w:rPr>
                <w:spacing w:val="-12"/>
                <w:sz w:val="20"/>
              </w:rPr>
              <w:t> </w:t>
            </w:r>
            <w:r>
              <w:rPr>
                <w:sz w:val="20"/>
              </w:rPr>
              <w:t>кишки</w:t>
            </w:r>
            <w:r>
              <w:rPr>
                <w:spacing w:val="-13"/>
                <w:sz w:val="20"/>
              </w:rPr>
              <w:t> </w:t>
            </w:r>
            <w:r>
              <w:rPr>
                <w:sz w:val="20"/>
              </w:rPr>
              <w:t>на 180 градусов, формированием</w:t>
            </w:r>
          </w:p>
          <w:p>
            <w:pPr>
              <w:pStyle w:val="TableParagraph"/>
              <w:ind w:left="220"/>
              <w:rPr>
                <w:sz w:val="20"/>
              </w:rPr>
            </w:pPr>
            <w:r>
              <w:rPr>
                <w:w w:val="95"/>
                <w:sz w:val="20"/>
              </w:rPr>
              <w:t>асцендо-ректального</w:t>
            </w:r>
            <w:r>
              <w:rPr>
                <w:spacing w:val="69"/>
                <w:sz w:val="20"/>
              </w:rPr>
              <w:t> </w:t>
            </w:r>
            <w:r>
              <w:rPr>
                <w:spacing w:val="-2"/>
                <w:w w:val="95"/>
                <w:sz w:val="20"/>
              </w:rPr>
              <w:t>анастомоза</w:t>
            </w:r>
          </w:p>
        </w:tc>
      </w:tr>
      <w:tr>
        <w:trPr>
          <w:trHeight w:val="960" w:hRule="atLeast"/>
        </w:trPr>
        <w:tc>
          <w:tcPr>
            <w:tcW w:w="3129" w:type="dxa"/>
          </w:tcPr>
          <w:p>
            <w:pPr>
              <w:pStyle w:val="TableParagraph"/>
              <w:spacing w:line="249" w:lineRule="auto" w:before="120"/>
              <w:ind w:left="50" w:right="1242"/>
              <w:rPr>
                <w:sz w:val="20"/>
              </w:rPr>
            </w:pPr>
            <w:r>
              <w:rPr>
                <w:sz w:val="20"/>
              </w:rPr>
              <w:t>болезнь</w:t>
            </w:r>
            <w:r>
              <w:rPr>
                <w:spacing w:val="-13"/>
                <w:sz w:val="20"/>
              </w:rPr>
              <w:t> </w:t>
            </w:r>
            <w:r>
              <w:rPr>
                <w:sz w:val="20"/>
              </w:rPr>
              <w:t>Гиршпрунга, </w:t>
            </w:r>
            <w:r>
              <w:rPr>
                <w:spacing w:val="-2"/>
                <w:sz w:val="20"/>
              </w:rPr>
              <w:t>мегадолихосигма</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резекция ободочной кишки с формированием наданального конце- бокового</w:t>
            </w:r>
            <w:r>
              <w:rPr>
                <w:spacing w:val="-13"/>
                <w:sz w:val="20"/>
              </w:rPr>
              <w:t> </w:t>
            </w:r>
            <w:r>
              <w:rPr>
                <w:sz w:val="20"/>
              </w:rPr>
              <w:t>колоректального</w:t>
            </w:r>
            <w:r>
              <w:rPr>
                <w:spacing w:val="-12"/>
                <w:sz w:val="20"/>
              </w:rPr>
              <w:t> </w:t>
            </w:r>
            <w:r>
              <w:rPr>
                <w:sz w:val="20"/>
              </w:rPr>
              <w:t>анастомоза</w:t>
            </w:r>
          </w:p>
        </w:tc>
      </w:tr>
      <w:tr>
        <w:trPr>
          <w:trHeight w:val="1200" w:hRule="atLeast"/>
        </w:trPr>
        <w:tc>
          <w:tcPr>
            <w:tcW w:w="3129" w:type="dxa"/>
          </w:tcPr>
          <w:p>
            <w:pPr>
              <w:pStyle w:val="TableParagraph"/>
              <w:spacing w:line="249" w:lineRule="auto" w:before="120"/>
              <w:ind w:left="50" w:right="22"/>
              <w:rPr>
                <w:sz w:val="20"/>
              </w:rPr>
            </w:pPr>
            <w:r>
              <w:rPr>
                <w:sz w:val="20"/>
              </w:rPr>
              <w:t>хронический</w:t>
            </w:r>
            <w:r>
              <w:rPr>
                <w:spacing w:val="-13"/>
                <w:sz w:val="20"/>
              </w:rPr>
              <w:t> </w:t>
            </w:r>
            <w:r>
              <w:rPr>
                <w:sz w:val="20"/>
              </w:rPr>
              <w:t>толстокишечный</w:t>
            </w:r>
            <w:r>
              <w:rPr>
                <w:spacing w:val="-12"/>
                <w:sz w:val="20"/>
              </w:rPr>
              <w:t> </w:t>
            </w:r>
            <w:r>
              <w:rPr>
                <w:sz w:val="20"/>
              </w:rPr>
              <w:t>стаз в стадии декомпенсации</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резекция ободочной кишки с аппендэктомией,</w:t>
            </w:r>
            <w:r>
              <w:rPr>
                <w:spacing w:val="-13"/>
                <w:sz w:val="20"/>
              </w:rPr>
              <w:t> </w:t>
            </w:r>
            <w:r>
              <w:rPr>
                <w:sz w:val="20"/>
              </w:rPr>
              <w:t>разворотом</w:t>
            </w:r>
            <w:r>
              <w:rPr>
                <w:spacing w:val="-12"/>
                <w:sz w:val="20"/>
              </w:rPr>
              <w:t> </w:t>
            </w:r>
            <w:r>
              <w:rPr>
                <w:sz w:val="20"/>
              </w:rPr>
              <w:t>кишки</w:t>
            </w:r>
            <w:r>
              <w:rPr>
                <w:spacing w:val="-13"/>
                <w:sz w:val="20"/>
              </w:rPr>
              <w:t> </w:t>
            </w:r>
            <w:r>
              <w:rPr>
                <w:sz w:val="20"/>
              </w:rPr>
              <w:t>на 180 градусов, формированием</w:t>
            </w:r>
          </w:p>
          <w:p>
            <w:pPr>
              <w:pStyle w:val="TableParagraph"/>
              <w:spacing w:before="3"/>
              <w:ind w:left="220"/>
              <w:rPr>
                <w:sz w:val="20"/>
              </w:rPr>
            </w:pPr>
            <w:r>
              <w:rPr>
                <w:w w:val="95"/>
                <w:sz w:val="20"/>
              </w:rPr>
              <w:t>асцендо-ректального</w:t>
            </w:r>
            <w:r>
              <w:rPr>
                <w:spacing w:val="69"/>
                <w:sz w:val="20"/>
              </w:rPr>
              <w:t> </w:t>
            </w:r>
            <w:r>
              <w:rPr>
                <w:spacing w:val="-2"/>
                <w:w w:val="95"/>
                <w:sz w:val="20"/>
              </w:rPr>
              <w:t>анастомоза</w:t>
            </w:r>
          </w:p>
        </w:tc>
      </w:tr>
      <w:tr>
        <w:trPr>
          <w:trHeight w:val="1440" w:hRule="atLeast"/>
        </w:trPr>
        <w:tc>
          <w:tcPr>
            <w:tcW w:w="3129" w:type="dxa"/>
          </w:tcPr>
          <w:p>
            <w:pPr>
              <w:pStyle w:val="TableParagraph"/>
              <w:spacing w:line="249" w:lineRule="auto" w:before="120"/>
              <w:ind w:left="50" w:right="22"/>
              <w:rPr>
                <w:sz w:val="20"/>
              </w:rPr>
            </w:pPr>
            <w:r>
              <w:rPr>
                <w:sz w:val="20"/>
              </w:rPr>
              <w:t>колостома,</w:t>
            </w:r>
            <w:r>
              <w:rPr>
                <w:spacing w:val="-13"/>
                <w:sz w:val="20"/>
              </w:rPr>
              <w:t> </w:t>
            </w:r>
            <w:r>
              <w:rPr>
                <w:sz w:val="20"/>
              </w:rPr>
              <w:t>илеостома,</w:t>
            </w:r>
            <w:r>
              <w:rPr>
                <w:spacing w:val="-12"/>
                <w:sz w:val="20"/>
              </w:rPr>
              <w:t> </w:t>
            </w:r>
            <w:r>
              <w:rPr>
                <w:sz w:val="20"/>
              </w:rPr>
              <w:t>еюностома, состояние после обструктивной резекции ободочной кишки</w:t>
            </w:r>
          </w:p>
        </w:tc>
        <w:tc>
          <w:tcPr>
            <w:tcW w:w="1554" w:type="dxa"/>
          </w:tcPr>
          <w:p>
            <w:pPr>
              <w:pStyle w:val="TableParagraph"/>
              <w:spacing w:line="252"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pacing w:val="-2"/>
                <w:sz w:val="20"/>
              </w:rPr>
              <w:t>реконструктивно-восстановительная </w:t>
            </w:r>
            <w:r>
              <w:rPr>
                <w:sz w:val="20"/>
              </w:rPr>
              <w:t>операция по восстановлению непрерывности кишечника с ликвидацией</w:t>
            </w:r>
            <w:r>
              <w:rPr>
                <w:spacing w:val="-13"/>
                <w:sz w:val="20"/>
              </w:rPr>
              <w:t> </w:t>
            </w:r>
            <w:r>
              <w:rPr>
                <w:sz w:val="20"/>
              </w:rPr>
              <w:t>стомы,</w:t>
            </w:r>
            <w:r>
              <w:rPr>
                <w:spacing w:val="-12"/>
                <w:sz w:val="20"/>
              </w:rPr>
              <w:t> </w:t>
            </w:r>
            <w:r>
              <w:rPr>
                <w:sz w:val="20"/>
              </w:rPr>
              <w:t>формированием </w:t>
            </w:r>
            <w:r>
              <w:rPr>
                <w:spacing w:val="-2"/>
                <w:sz w:val="20"/>
              </w:rPr>
              <w:t>анастомоза</w:t>
            </w:r>
          </w:p>
        </w:tc>
      </w:tr>
      <w:tr>
        <w:trPr>
          <w:trHeight w:val="720" w:hRule="atLeast"/>
        </w:trPr>
        <w:tc>
          <w:tcPr>
            <w:tcW w:w="3129" w:type="dxa"/>
          </w:tcPr>
          <w:p>
            <w:pPr>
              <w:pStyle w:val="TableParagraph"/>
              <w:spacing w:line="249" w:lineRule="auto" w:before="120"/>
              <w:ind w:left="50" w:right="647"/>
              <w:rPr>
                <w:sz w:val="20"/>
              </w:rPr>
            </w:pPr>
            <w:r>
              <w:rPr>
                <w:sz w:val="20"/>
              </w:rPr>
              <w:t>врожденная</w:t>
            </w:r>
            <w:r>
              <w:rPr>
                <w:spacing w:val="-13"/>
                <w:sz w:val="20"/>
              </w:rPr>
              <w:t> </w:t>
            </w:r>
            <w:r>
              <w:rPr>
                <w:sz w:val="20"/>
              </w:rPr>
              <w:t>ангиодисплазия толстой кишки</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резекция пораженных отделов ободочной</w:t>
            </w:r>
            <w:r>
              <w:rPr>
                <w:spacing w:val="-12"/>
                <w:sz w:val="20"/>
              </w:rPr>
              <w:t> </w:t>
            </w:r>
            <w:r>
              <w:rPr>
                <w:sz w:val="20"/>
              </w:rPr>
              <w:t>и</w:t>
            </w:r>
            <w:r>
              <w:rPr>
                <w:spacing w:val="-12"/>
                <w:sz w:val="20"/>
              </w:rPr>
              <w:t> </w:t>
            </w:r>
            <w:r>
              <w:rPr>
                <w:sz w:val="20"/>
              </w:rPr>
              <w:t>(или)</w:t>
            </w:r>
            <w:r>
              <w:rPr>
                <w:spacing w:val="-8"/>
                <w:sz w:val="20"/>
              </w:rPr>
              <w:t> </w:t>
            </w:r>
            <w:r>
              <w:rPr>
                <w:sz w:val="20"/>
              </w:rPr>
              <w:t>прямой</w:t>
            </w:r>
            <w:r>
              <w:rPr>
                <w:spacing w:val="-12"/>
                <w:sz w:val="20"/>
              </w:rPr>
              <w:t> </w:t>
            </w:r>
            <w:r>
              <w:rPr>
                <w:sz w:val="20"/>
              </w:rPr>
              <w:t>кишки</w:t>
            </w:r>
          </w:p>
        </w:tc>
      </w:tr>
      <w:tr>
        <w:trPr>
          <w:trHeight w:val="720" w:hRule="atLeast"/>
        </w:trPr>
        <w:tc>
          <w:tcPr>
            <w:tcW w:w="3129" w:type="dxa"/>
            <w:vMerge w:val="restart"/>
          </w:tcPr>
          <w:p>
            <w:pPr>
              <w:pStyle w:val="TableParagraph"/>
              <w:spacing w:line="249" w:lineRule="auto" w:before="120"/>
              <w:ind w:left="50" w:right="22"/>
              <w:rPr>
                <w:sz w:val="20"/>
              </w:rPr>
            </w:pPr>
            <w:r>
              <w:rPr>
                <w:sz w:val="20"/>
              </w:rPr>
              <w:t>язвенный колит, тотальное поражение, хроническое непрерывное</w:t>
            </w:r>
            <w:r>
              <w:rPr>
                <w:spacing w:val="-13"/>
                <w:sz w:val="20"/>
              </w:rPr>
              <w:t> </w:t>
            </w:r>
            <w:r>
              <w:rPr>
                <w:sz w:val="20"/>
              </w:rPr>
              <w:t>течение,</w:t>
            </w:r>
            <w:r>
              <w:rPr>
                <w:spacing w:val="-12"/>
                <w:sz w:val="20"/>
              </w:rPr>
              <w:t> </w:t>
            </w:r>
            <w:r>
              <w:rPr>
                <w:sz w:val="20"/>
              </w:rPr>
              <w:t>тяжелая гормонозависимая или гормонорезистентная форма</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колпроктэктомия с формированием резервуарного</w:t>
            </w:r>
            <w:r>
              <w:rPr>
                <w:spacing w:val="-13"/>
                <w:sz w:val="20"/>
              </w:rPr>
              <w:t> </w:t>
            </w:r>
            <w:r>
              <w:rPr>
                <w:sz w:val="20"/>
              </w:rPr>
              <w:t>анастомоза,</w:t>
            </w:r>
            <w:r>
              <w:rPr>
                <w:spacing w:val="-12"/>
                <w:sz w:val="20"/>
              </w:rPr>
              <w:t> </w:t>
            </w:r>
            <w:r>
              <w:rPr>
                <w:sz w:val="20"/>
              </w:rPr>
              <w:t>илеостомия</w:t>
            </w:r>
          </w:p>
        </w:tc>
      </w:tr>
      <w:tr>
        <w:trPr>
          <w:trHeight w:val="720" w:hRule="atLeast"/>
        </w:trPr>
        <w:tc>
          <w:tcPr>
            <w:tcW w:w="3129" w:type="dxa"/>
            <w:vMerge/>
            <w:tcBorders>
              <w:top w:val="nil"/>
            </w:tcBorders>
          </w:tcPr>
          <w:p>
            <w:pPr>
              <w:rPr>
                <w:sz w:val="2"/>
                <w:szCs w:val="2"/>
              </w:rPr>
            </w:pPr>
          </w:p>
        </w:tc>
        <w:tc>
          <w:tcPr>
            <w:tcW w:w="1554" w:type="dxa"/>
          </w:tcPr>
          <w:p>
            <w:pPr>
              <w:pStyle w:val="TableParagraph"/>
              <w:rPr>
                <w:sz w:val="18"/>
              </w:rPr>
            </w:pPr>
          </w:p>
        </w:tc>
        <w:tc>
          <w:tcPr>
            <w:tcW w:w="3599" w:type="dxa"/>
          </w:tcPr>
          <w:p>
            <w:pPr>
              <w:pStyle w:val="TableParagraph"/>
              <w:spacing w:line="249" w:lineRule="auto" w:before="120"/>
              <w:ind w:left="220"/>
              <w:rPr>
                <w:sz w:val="20"/>
              </w:rPr>
            </w:pPr>
            <w:r>
              <w:rPr>
                <w:sz w:val="20"/>
              </w:rPr>
              <w:t>колэктомия с брюшно-анальной резекцией</w:t>
            </w:r>
            <w:r>
              <w:rPr>
                <w:spacing w:val="-13"/>
                <w:sz w:val="20"/>
              </w:rPr>
              <w:t> </w:t>
            </w:r>
            <w:r>
              <w:rPr>
                <w:sz w:val="20"/>
              </w:rPr>
              <w:t>прямой</w:t>
            </w:r>
            <w:r>
              <w:rPr>
                <w:spacing w:val="-12"/>
                <w:sz w:val="20"/>
              </w:rPr>
              <w:t> </w:t>
            </w:r>
            <w:r>
              <w:rPr>
                <w:sz w:val="20"/>
              </w:rPr>
              <w:t>кишки,</w:t>
            </w:r>
            <w:r>
              <w:rPr>
                <w:spacing w:val="-13"/>
                <w:sz w:val="20"/>
              </w:rPr>
              <w:t> </w:t>
            </w:r>
            <w:r>
              <w:rPr>
                <w:sz w:val="20"/>
              </w:rPr>
              <w:t>илеостомия</w:t>
            </w:r>
          </w:p>
        </w:tc>
      </w:tr>
      <w:tr>
        <w:trPr>
          <w:trHeight w:val="830" w:hRule="atLeast"/>
        </w:trPr>
        <w:tc>
          <w:tcPr>
            <w:tcW w:w="3129" w:type="dxa"/>
          </w:tcPr>
          <w:p>
            <w:pPr>
              <w:pStyle w:val="TableParagraph"/>
              <w:rPr>
                <w:sz w:val="18"/>
              </w:rPr>
            </w:pPr>
          </w:p>
        </w:tc>
        <w:tc>
          <w:tcPr>
            <w:tcW w:w="1554" w:type="dxa"/>
          </w:tcPr>
          <w:p>
            <w:pPr>
              <w:pStyle w:val="TableParagraph"/>
              <w:rPr>
                <w:sz w:val="18"/>
              </w:rPr>
            </w:pPr>
          </w:p>
        </w:tc>
        <w:tc>
          <w:tcPr>
            <w:tcW w:w="3599" w:type="dxa"/>
          </w:tcPr>
          <w:p>
            <w:pPr>
              <w:pStyle w:val="TableParagraph"/>
              <w:spacing w:line="240" w:lineRule="atLeast" w:before="90"/>
              <w:ind w:left="220" w:right="1"/>
              <w:rPr>
                <w:sz w:val="20"/>
              </w:rPr>
            </w:pPr>
            <w:r>
              <w:rPr>
                <w:sz w:val="20"/>
              </w:rPr>
              <w:t>резекция</w:t>
            </w:r>
            <w:r>
              <w:rPr>
                <w:spacing w:val="-13"/>
                <w:sz w:val="20"/>
              </w:rPr>
              <w:t> </w:t>
            </w:r>
            <w:r>
              <w:rPr>
                <w:sz w:val="20"/>
              </w:rPr>
              <w:t>оставшихся</w:t>
            </w:r>
            <w:r>
              <w:rPr>
                <w:spacing w:val="-12"/>
                <w:sz w:val="20"/>
              </w:rPr>
              <w:t> </w:t>
            </w:r>
            <w:r>
              <w:rPr>
                <w:sz w:val="20"/>
              </w:rPr>
              <w:t>отделов ободочной и прямой кишки, </w:t>
            </w:r>
            <w:r>
              <w:rPr>
                <w:spacing w:val="-2"/>
                <w:sz w:val="20"/>
              </w:rPr>
              <w:t>илеостомия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75"/>
        <w:gridCol w:w="1908"/>
        <w:gridCol w:w="3158"/>
        <w:gridCol w:w="1573"/>
        <w:gridCol w:w="3890"/>
        <w:gridCol w:w="993"/>
      </w:tblGrid>
      <w:tr>
        <w:trPr>
          <w:trHeight w:val="590" w:hRule="atLeast"/>
        </w:trPr>
        <w:tc>
          <w:tcPr>
            <w:tcW w:w="396" w:type="dxa"/>
            <w:vMerge w:val="restart"/>
          </w:tcPr>
          <w:p>
            <w:pPr>
              <w:pStyle w:val="TableParagraph"/>
              <w:rPr>
                <w:sz w:val="18"/>
              </w:rPr>
            </w:pPr>
          </w:p>
        </w:tc>
        <w:tc>
          <w:tcPr>
            <w:tcW w:w="3075" w:type="dxa"/>
            <w:vMerge w:val="restart"/>
          </w:tcPr>
          <w:p>
            <w:pPr>
              <w:pStyle w:val="TableParagraph"/>
              <w:rPr>
                <w:sz w:val="18"/>
              </w:rPr>
            </w:pPr>
          </w:p>
        </w:tc>
        <w:tc>
          <w:tcPr>
            <w:tcW w:w="1908" w:type="dxa"/>
            <w:vMerge w:val="restart"/>
          </w:tcPr>
          <w:p>
            <w:pPr>
              <w:pStyle w:val="TableParagraph"/>
              <w:rPr>
                <w:sz w:val="18"/>
              </w:rPr>
            </w:pPr>
          </w:p>
        </w:tc>
        <w:tc>
          <w:tcPr>
            <w:tcW w:w="3158" w:type="dxa"/>
            <w:vMerge w:val="restart"/>
          </w:tcPr>
          <w:p>
            <w:pPr>
              <w:pStyle w:val="TableParagraph"/>
              <w:spacing w:line="249" w:lineRule="auto"/>
              <w:ind w:left="95" w:right="60"/>
              <w:rPr>
                <w:sz w:val="20"/>
              </w:rPr>
            </w:pPr>
            <w:r>
              <w:rPr>
                <w:sz w:val="20"/>
              </w:rPr>
              <w:t>болезнь</w:t>
            </w:r>
            <w:r>
              <w:rPr>
                <w:spacing w:val="-13"/>
                <w:sz w:val="20"/>
              </w:rPr>
              <w:t> </w:t>
            </w:r>
            <w:r>
              <w:rPr>
                <w:sz w:val="20"/>
              </w:rPr>
              <w:t>Крона</w:t>
            </w:r>
            <w:r>
              <w:rPr>
                <w:spacing w:val="-12"/>
                <w:sz w:val="20"/>
              </w:rPr>
              <w:t> </w:t>
            </w:r>
            <w:r>
              <w:rPr>
                <w:sz w:val="20"/>
              </w:rPr>
              <w:t>тонкой,</w:t>
            </w:r>
            <w:r>
              <w:rPr>
                <w:spacing w:val="-13"/>
                <w:sz w:val="20"/>
              </w:rPr>
              <w:t> </w:t>
            </w:r>
            <w:r>
              <w:rPr>
                <w:sz w:val="20"/>
              </w:rPr>
              <w:t>толстой кишки и в форме илеоколита, осложненное</w:t>
            </w:r>
            <w:r>
              <w:rPr>
                <w:spacing w:val="-3"/>
                <w:sz w:val="20"/>
              </w:rPr>
              <w:t> </w:t>
            </w:r>
            <w:r>
              <w:rPr>
                <w:sz w:val="20"/>
              </w:rPr>
              <w:t>течение,</w:t>
            </w:r>
            <w:r>
              <w:rPr>
                <w:spacing w:val="-2"/>
                <w:sz w:val="20"/>
              </w:rPr>
              <w:t> </w:t>
            </w:r>
            <w:r>
              <w:rPr>
                <w:sz w:val="20"/>
              </w:rPr>
              <w:t>тяжелая гормонозависимая или гормонорезистентная форма</w:t>
            </w:r>
          </w:p>
        </w:tc>
        <w:tc>
          <w:tcPr>
            <w:tcW w:w="1573" w:type="dxa"/>
          </w:tcPr>
          <w:p>
            <w:pPr>
              <w:pStyle w:val="TableParagraph"/>
              <w:spacing w:line="249" w:lineRule="auto"/>
              <w:ind w:left="94"/>
              <w:rPr>
                <w:sz w:val="20"/>
              </w:rPr>
            </w:pPr>
            <w:r>
              <w:rPr>
                <w:spacing w:val="-2"/>
                <w:sz w:val="20"/>
              </w:rPr>
              <w:t>хирургическое лечение</w:t>
            </w:r>
          </w:p>
        </w:tc>
        <w:tc>
          <w:tcPr>
            <w:tcW w:w="3890" w:type="dxa"/>
          </w:tcPr>
          <w:p>
            <w:pPr>
              <w:pStyle w:val="TableParagraph"/>
              <w:spacing w:line="249" w:lineRule="auto"/>
              <w:ind w:left="218"/>
              <w:rPr>
                <w:sz w:val="20"/>
              </w:rPr>
            </w:pPr>
            <w:r>
              <w:rPr>
                <w:sz w:val="20"/>
              </w:rPr>
              <w:t>колпроктэктомия с формированием резервуарного</w:t>
            </w:r>
            <w:r>
              <w:rPr>
                <w:spacing w:val="-13"/>
                <w:sz w:val="20"/>
              </w:rPr>
              <w:t> </w:t>
            </w:r>
            <w:r>
              <w:rPr>
                <w:sz w:val="20"/>
              </w:rPr>
              <w:t>анастомоза,</w:t>
            </w:r>
            <w:r>
              <w:rPr>
                <w:spacing w:val="-12"/>
                <w:sz w:val="20"/>
              </w:rPr>
              <w:t> </w:t>
            </w:r>
            <w:r>
              <w:rPr>
                <w:sz w:val="20"/>
              </w:rPr>
              <w:t>илеостомия</w:t>
            </w:r>
          </w:p>
        </w:tc>
        <w:tc>
          <w:tcPr>
            <w:tcW w:w="993" w:type="dxa"/>
          </w:tcPr>
          <w:p>
            <w:pPr>
              <w:pStyle w:val="TableParagraph"/>
              <w:rPr>
                <w:sz w:val="18"/>
              </w:rPr>
            </w:pPr>
          </w:p>
        </w:tc>
      </w:tr>
      <w:tr>
        <w:trPr>
          <w:trHeight w:val="1200" w:hRule="atLeast"/>
        </w:trPr>
        <w:tc>
          <w:tcPr>
            <w:tcW w:w="396" w:type="dxa"/>
            <w:vMerge/>
            <w:tcBorders>
              <w:top w:val="nil"/>
            </w:tcBorders>
          </w:tcPr>
          <w:p>
            <w:pPr>
              <w:rPr>
                <w:sz w:val="2"/>
                <w:szCs w:val="2"/>
              </w:rPr>
            </w:pPr>
          </w:p>
        </w:tc>
        <w:tc>
          <w:tcPr>
            <w:tcW w:w="3075" w:type="dxa"/>
            <w:vMerge/>
            <w:tcBorders>
              <w:top w:val="nil"/>
            </w:tcBorders>
          </w:tcPr>
          <w:p>
            <w:pPr>
              <w:rPr>
                <w:sz w:val="2"/>
                <w:szCs w:val="2"/>
              </w:rPr>
            </w:pPr>
          </w:p>
        </w:tc>
        <w:tc>
          <w:tcPr>
            <w:tcW w:w="1908" w:type="dxa"/>
            <w:vMerge/>
            <w:tcBorders>
              <w:top w:val="nil"/>
            </w:tcBorders>
          </w:tcPr>
          <w:p>
            <w:pPr>
              <w:rPr>
                <w:sz w:val="2"/>
                <w:szCs w:val="2"/>
              </w:rPr>
            </w:pPr>
          </w:p>
        </w:tc>
        <w:tc>
          <w:tcPr>
            <w:tcW w:w="3158" w:type="dxa"/>
            <w:vMerge/>
            <w:tcBorders>
              <w:top w:val="nil"/>
            </w:tcBorders>
          </w:tcPr>
          <w:p>
            <w:pPr>
              <w:rPr>
                <w:sz w:val="2"/>
                <w:szCs w:val="2"/>
              </w:rPr>
            </w:pPr>
          </w:p>
        </w:tc>
        <w:tc>
          <w:tcPr>
            <w:tcW w:w="1573" w:type="dxa"/>
          </w:tcPr>
          <w:p>
            <w:pPr>
              <w:pStyle w:val="TableParagraph"/>
              <w:rPr>
                <w:sz w:val="18"/>
              </w:rPr>
            </w:pPr>
          </w:p>
        </w:tc>
        <w:tc>
          <w:tcPr>
            <w:tcW w:w="3890" w:type="dxa"/>
          </w:tcPr>
          <w:p>
            <w:pPr>
              <w:pStyle w:val="TableParagraph"/>
              <w:spacing w:line="249" w:lineRule="auto" w:before="120"/>
              <w:ind w:left="218" w:right="356"/>
              <w:rPr>
                <w:sz w:val="20"/>
              </w:rPr>
            </w:pPr>
            <w:r>
              <w:rPr>
                <w:sz w:val="20"/>
              </w:rPr>
              <w:t>резекция</w:t>
            </w:r>
            <w:r>
              <w:rPr>
                <w:spacing w:val="-13"/>
                <w:sz w:val="20"/>
              </w:rPr>
              <w:t> </w:t>
            </w:r>
            <w:r>
              <w:rPr>
                <w:sz w:val="20"/>
              </w:rPr>
              <w:t>пораженного</w:t>
            </w:r>
            <w:r>
              <w:rPr>
                <w:spacing w:val="-12"/>
                <w:sz w:val="20"/>
              </w:rPr>
              <w:t> </w:t>
            </w:r>
            <w:r>
              <w:rPr>
                <w:sz w:val="20"/>
              </w:rPr>
              <w:t>участка</w:t>
            </w:r>
            <w:r>
              <w:rPr>
                <w:spacing w:val="-13"/>
                <w:sz w:val="20"/>
              </w:rPr>
              <w:t> </w:t>
            </w:r>
            <w:r>
              <w:rPr>
                <w:sz w:val="20"/>
              </w:rPr>
              <w:t>тонкой и (или) толстой кишки, в том числе с формированием анастомоза, илеостомия (колостомия)</w:t>
            </w:r>
          </w:p>
        </w:tc>
        <w:tc>
          <w:tcPr>
            <w:tcW w:w="993" w:type="dxa"/>
          </w:tcPr>
          <w:p>
            <w:pPr>
              <w:pStyle w:val="TableParagraph"/>
              <w:rPr>
                <w:sz w:val="18"/>
              </w:rPr>
            </w:pPr>
          </w:p>
        </w:tc>
      </w:tr>
      <w:tr>
        <w:trPr>
          <w:trHeight w:val="1200" w:hRule="atLeast"/>
        </w:trPr>
        <w:tc>
          <w:tcPr>
            <w:tcW w:w="396" w:type="dxa"/>
          </w:tcPr>
          <w:p>
            <w:pPr>
              <w:pStyle w:val="TableParagraph"/>
              <w:spacing w:before="120"/>
              <w:ind w:left="50"/>
              <w:rPr>
                <w:sz w:val="20"/>
              </w:rPr>
            </w:pPr>
            <w:r>
              <w:rPr>
                <w:spacing w:val="-5"/>
                <w:sz w:val="20"/>
              </w:rPr>
              <w:t>2.</w:t>
            </w:r>
          </w:p>
        </w:tc>
        <w:tc>
          <w:tcPr>
            <w:tcW w:w="3075" w:type="dxa"/>
          </w:tcPr>
          <w:p>
            <w:pPr>
              <w:pStyle w:val="TableParagraph"/>
              <w:spacing w:line="249" w:lineRule="auto" w:before="120"/>
              <w:ind w:left="194" w:right="99"/>
              <w:rPr>
                <w:sz w:val="20"/>
              </w:rPr>
            </w:pPr>
            <w:r>
              <w:rPr>
                <w:sz w:val="20"/>
              </w:rPr>
              <w:t>Хирургическое лечение </w:t>
            </w:r>
            <w:r>
              <w:rPr>
                <w:spacing w:val="-2"/>
                <w:sz w:val="20"/>
              </w:rPr>
              <w:t>новообразований</w:t>
            </w:r>
            <w:r>
              <w:rPr>
                <w:spacing w:val="40"/>
                <w:sz w:val="20"/>
              </w:rPr>
              <w:t> </w:t>
            </w:r>
            <w:r>
              <w:rPr>
                <w:sz w:val="20"/>
              </w:rPr>
              <w:t>надпочечников</w:t>
            </w:r>
            <w:r>
              <w:rPr>
                <w:spacing w:val="-13"/>
                <w:sz w:val="20"/>
              </w:rPr>
              <w:t> </w:t>
            </w:r>
            <w:r>
              <w:rPr>
                <w:sz w:val="20"/>
              </w:rPr>
              <w:t>и</w:t>
            </w:r>
            <w:r>
              <w:rPr>
                <w:spacing w:val="-12"/>
                <w:sz w:val="20"/>
              </w:rPr>
              <w:t> </w:t>
            </w:r>
            <w:r>
              <w:rPr>
                <w:sz w:val="20"/>
              </w:rPr>
              <w:t>забрюшинного </w:t>
            </w:r>
            <w:r>
              <w:rPr>
                <w:spacing w:val="-2"/>
                <w:sz w:val="20"/>
              </w:rPr>
              <w:t>пространства</w:t>
            </w:r>
          </w:p>
        </w:tc>
        <w:tc>
          <w:tcPr>
            <w:tcW w:w="1908" w:type="dxa"/>
          </w:tcPr>
          <w:p>
            <w:pPr>
              <w:pStyle w:val="TableParagraph"/>
              <w:spacing w:line="249" w:lineRule="auto" w:before="120"/>
              <w:ind w:left="508" w:hanging="409"/>
              <w:rPr>
                <w:sz w:val="20"/>
              </w:rPr>
            </w:pPr>
            <w:r>
              <w:rPr>
                <w:sz w:val="20"/>
              </w:rPr>
              <w:t>E27.5,</w:t>
            </w:r>
            <w:r>
              <w:rPr>
                <w:spacing w:val="-13"/>
                <w:sz w:val="20"/>
              </w:rPr>
              <w:t> </w:t>
            </w:r>
            <w:r>
              <w:rPr>
                <w:sz w:val="20"/>
              </w:rPr>
              <w:t>D35.0,</w:t>
            </w:r>
            <w:r>
              <w:rPr>
                <w:spacing w:val="-12"/>
                <w:sz w:val="20"/>
              </w:rPr>
              <w:t> </w:t>
            </w:r>
            <w:r>
              <w:rPr>
                <w:sz w:val="20"/>
              </w:rPr>
              <w:t>D48.3, E26.0, E24</w:t>
            </w:r>
          </w:p>
        </w:tc>
        <w:tc>
          <w:tcPr>
            <w:tcW w:w="3158" w:type="dxa"/>
            <w:vMerge w:val="restart"/>
          </w:tcPr>
          <w:p>
            <w:pPr>
              <w:pStyle w:val="TableParagraph"/>
              <w:spacing w:line="249" w:lineRule="auto" w:before="120"/>
              <w:ind w:left="95" w:right="60"/>
              <w:rPr>
                <w:sz w:val="20"/>
              </w:rPr>
            </w:pPr>
            <w:r>
              <w:rPr>
                <w:sz w:val="20"/>
              </w:rPr>
              <w:t>новообразования</w:t>
            </w:r>
            <w:r>
              <w:rPr>
                <w:spacing w:val="-13"/>
                <w:sz w:val="20"/>
              </w:rPr>
              <w:t> </w:t>
            </w:r>
            <w:r>
              <w:rPr>
                <w:sz w:val="20"/>
              </w:rPr>
              <w:t>надпочечников</w:t>
            </w:r>
            <w:r>
              <w:rPr>
                <w:spacing w:val="-12"/>
                <w:sz w:val="20"/>
              </w:rPr>
              <w:t> </w:t>
            </w:r>
            <w:r>
              <w:rPr>
                <w:sz w:val="20"/>
              </w:rPr>
              <w:t>и забрюшинного пространства заболевания надпочечников </w:t>
            </w:r>
            <w:r>
              <w:rPr>
                <w:spacing w:val="-2"/>
                <w:sz w:val="20"/>
              </w:rPr>
              <w:t>гиперальдостеронизм </w:t>
            </w:r>
            <w:r>
              <w:rPr>
                <w:sz w:val="20"/>
              </w:rPr>
              <w:t>гиперкортицизм. Синдром</w:t>
            </w:r>
          </w:p>
          <w:p>
            <w:pPr>
              <w:pStyle w:val="TableParagraph"/>
              <w:spacing w:line="249" w:lineRule="auto" w:before="4"/>
              <w:ind w:left="95" w:right="60"/>
              <w:rPr>
                <w:sz w:val="20"/>
              </w:rPr>
            </w:pPr>
            <w:r>
              <w:rPr>
                <w:sz w:val="20"/>
              </w:rPr>
              <w:t>Иценко</w:t>
            </w:r>
            <w:r>
              <w:rPr>
                <w:spacing w:val="-13"/>
                <w:sz w:val="20"/>
              </w:rPr>
              <w:t> </w:t>
            </w:r>
            <w:r>
              <w:rPr>
                <w:sz w:val="20"/>
              </w:rPr>
              <w:t>-</w:t>
            </w:r>
            <w:r>
              <w:rPr>
                <w:spacing w:val="-12"/>
                <w:sz w:val="20"/>
              </w:rPr>
              <w:t> </w:t>
            </w:r>
            <w:r>
              <w:rPr>
                <w:sz w:val="20"/>
              </w:rPr>
              <w:t>Кушинга </w:t>
            </w:r>
            <w:r>
              <w:rPr>
                <w:spacing w:val="-2"/>
                <w:sz w:val="20"/>
              </w:rPr>
              <w:t>(кортикостерома)</w:t>
            </w:r>
          </w:p>
        </w:tc>
        <w:tc>
          <w:tcPr>
            <w:tcW w:w="1573" w:type="dxa"/>
          </w:tcPr>
          <w:p>
            <w:pPr>
              <w:pStyle w:val="TableParagraph"/>
              <w:spacing w:line="249" w:lineRule="auto" w:before="120"/>
              <w:ind w:left="94"/>
              <w:rPr>
                <w:sz w:val="20"/>
              </w:rPr>
            </w:pPr>
            <w:r>
              <w:rPr>
                <w:spacing w:val="-2"/>
                <w:sz w:val="20"/>
              </w:rPr>
              <w:t>хирургическое лечение</w:t>
            </w:r>
          </w:p>
        </w:tc>
        <w:tc>
          <w:tcPr>
            <w:tcW w:w="3890" w:type="dxa"/>
          </w:tcPr>
          <w:p>
            <w:pPr>
              <w:pStyle w:val="TableParagraph"/>
              <w:spacing w:line="249" w:lineRule="auto" w:before="120"/>
              <w:ind w:left="218" w:right="356"/>
              <w:rPr>
                <w:sz w:val="20"/>
              </w:rPr>
            </w:pPr>
            <w:r>
              <w:rPr>
                <w:sz w:val="20"/>
              </w:rPr>
              <w:t>односторонняя адреналэктомия открытым</w:t>
            </w:r>
            <w:r>
              <w:rPr>
                <w:spacing w:val="-13"/>
                <w:sz w:val="20"/>
              </w:rPr>
              <w:t> </w:t>
            </w:r>
            <w:r>
              <w:rPr>
                <w:sz w:val="20"/>
              </w:rPr>
              <w:t>доступом</w:t>
            </w:r>
            <w:r>
              <w:rPr>
                <w:spacing w:val="-12"/>
                <w:sz w:val="20"/>
              </w:rPr>
              <w:t> </w:t>
            </w:r>
            <w:r>
              <w:rPr>
                <w:sz w:val="20"/>
              </w:rPr>
              <w:t>(лапаротомия, </w:t>
            </w:r>
            <w:r>
              <w:rPr>
                <w:spacing w:val="-2"/>
                <w:sz w:val="20"/>
              </w:rPr>
              <w:t>люмботомия, торакофренолапаротомия)</w:t>
            </w:r>
          </w:p>
        </w:tc>
        <w:tc>
          <w:tcPr>
            <w:tcW w:w="993" w:type="dxa"/>
          </w:tcPr>
          <w:p>
            <w:pPr>
              <w:pStyle w:val="TableParagraph"/>
              <w:spacing w:before="120"/>
              <w:ind w:left="339"/>
              <w:rPr>
                <w:sz w:val="20"/>
              </w:rPr>
            </w:pPr>
            <w:r>
              <w:rPr>
                <w:spacing w:val="-2"/>
                <w:sz w:val="20"/>
              </w:rPr>
              <w:t>196459</w:t>
            </w:r>
          </w:p>
        </w:tc>
      </w:tr>
      <w:tr>
        <w:trPr>
          <w:trHeight w:val="96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vMerge/>
            <w:tcBorders>
              <w:top w:val="nil"/>
            </w:tcBorders>
          </w:tcPr>
          <w:p>
            <w:pPr>
              <w:rPr>
                <w:sz w:val="2"/>
                <w:szCs w:val="2"/>
              </w:rPr>
            </w:pPr>
          </w:p>
        </w:tc>
        <w:tc>
          <w:tcPr>
            <w:tcW w:w="1573" w:type="dxa"/>
          </w:tcPr>
          <w:p>
            <w:pPr>
              <w:pStyle w:val="TableParagraph"/>
              <w:rPr>
                <w:sz w:val="18"/>
              </w:rPr>
            </w:pPr>
          </w:p>
        </w:tc>
        <w:tc>
          <w:tcPr>
            <w:tcW w:w="3890" w:type="dxa"/>
          </w:tcPr>
          <w:p>
            <w:pPr>
              <w:pStyle w:val="TableParagraph"/>
              <w:spacing w:line="249" w:lineRule="auto" w:before="120"/>
              <w:ind w:left="218"/>
              <w:rPr>
                <w:sz w:val="20"/>
              </w:rPr>
            </w:pPr>
            <w:r>
              <w:rPr>
                <w:sz w:val="20"/>
              </w:rPr>
              <w:t>удаление параганглиомы открытым доступом</w:t>
            </w:r>
            <w:r>
              <w:rPr>
                <w:spacing w:val="-13"/>
                <w:sz w:val="20"/>
              </w:rPr>
              <w:t> </w:t>
            </w:r>
            <w:r>
              <w:rPr>
                <w:sz w:val="20"/>
              </w:rPr>
              <w:t>(лапаротомия,</w:t>
            </w:r>
            <w:r>
              <w:rPr>
                <w:spacing w:val="-12"/>
                <w:sz w:val="20"/>
              </w:rPr>
              <w:t> </w:t>
            </w:r>
            <w:r>
              <w:rPr>
                <w:sz w:val="20"/>
              </w:rPr>
              <w:t>люмботомия, </w:t>
            </w:r>
            <w:r>
              <w:rPr>
                <w:spacing w:val="-2"/>
                <w:sz w:val="20"/>
              </w:rPr>
              <w:t>торакофренолапаротомия)</w:t>
            </w:r>
          </w:p>
        </w:tc>
        <w:tc>
          <w:tcPr>
            <w:tcW w:w="993" w:type="dxa"/>
          </w:tcPr>
          <w:p>
            <w:pPr>
              <w:pStyle w:val="TableParagraph"/>
              <w:rPr>
                <w:sz w:val="18"/>
              </w:rPr>
            </w:pPr>
          </w:p>
        </w:tc>
      </w:tr>
      <w:tr>
        <w:trPr>
          <w:trHeight w:val="144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tcPr>
          <w:p>
            <w:pPr>
              <w:pStyle w:val="TableParagraph"/>
              <w:rPr>
                <w:sz w:val="18"/>
              </w:rPr>
            </w:pPr>
          </w:p>
        </w:tc>
        <w:tc>
          <w:tcPr>
            <w:tcW w:w="1573" w:type="dxa"/>
          </w:tcPr>
          <w:p>
            <w:pPr>
              <w:pStyle w:val="TableParagraph"/>
              <w:rPr>
                <w:sz w:val="18"/>
              </w:rPr>
            </w:pPr>
          </w:p>
        </w:tc>
        <w:tc>
          <w:tcPr>
            <w:tcW w:w="3890" w:type="dxa"/>
          </w:tcPr>
          <w:p>
            <w:pPr>
              <w:pStyle w:val="TableParagraph"/>
              <w:spacing w:line="249" w:lineRule="auto" w:before="120"/>
              <w:ind w:left="218" w:right="1374"/>
              <w:rPr>
                <w:sz w:val="20"/>
              </w:rPr>
            </w:pPr>
            <w:r>
              <w:rPr>
                <w:sz w:val="20"/>
              </w:rPr>
              <w:t>эндоскопическое</w:t>
            </w:r>
            <w:r>
              <w:rPr>
                <w:spacing w:val="-13"/>
                <w:sz w:val="20"/>
              </w:rPr>
              <w:t> </w:t>
            </w:r>
            <w:r>
              <w:rPr>
                <w:sz w:val="20"/>
              </w:rPr>
              <w:t>удаление </w:t>
            </w:r>
            <w:r>
              <w:rPr>
                <w:spacing w:val="-2"/>
                <w:sz w:val="20"/>
              </w:rPr>
              <w:t>параганглиомы</w:t>
            </w:r>
          </w:p>
          <w:p>
            <w:pPr>
              <w:pStyle w:val="TableParagraph"/>
              <w:rPr>
                <w:sz w:val="21"/>
              </w:rPr>
            </w:pPr>
          </w:p>
          <w:p>
            <w:pPr>
              <w:pStyle w:val="TableParagraph"/>
              <w:spacing w:line="249" w:lineRule="auto"/>
              <w:ind w:left="218" w:right="745"/>
              <w:rPr>
                <w:sz w:val="20"/>
              </w:rPr>
            </w:pPr>
            <w:r>
              <w:rPr>
                <w:sz w:val="20"/>
              </w:rPr>
              <w:t>аортокавальная</w:t>
            </w:r>
            <w:r>
              <w:rPr>
                <w:spacing w:val="-13"/>
                <w:sz w:val="20"/>
              </w:rPr>
              <w:t> </w:t>
            </w:r>
            <w:r>
              <w:rPr>
                <w:sz w:val="20"/>
              </w:rPr>
              <w:t>лимфаденэктомия лапаротомным доступом</w:t>
            </w:r>
          </w:p>
        </w:tc>
        <w:tc>
          <w:tcPr>
            <w:tcW w:w="993" w:type="dxa"/>
          </w:tcPr>
          <w:p>
            <w:pPr>
              <w:pStyle w:val="TableParagraph"/>
              <w:rPr>
                <w:sz w:val="18"/>
              </w:rPr>
            </w:pPr>
          </w:p>
        </w:tc>
      </w:tr>
      <w:tr>
        <w:trPr>
          <w:trHeight w:val="72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tcPr>
          <w:p>
            <w:pPr>
              <w:pStyle w:val="TableParagraph"/>
              <w:rPr>
                <w:sz w:val="18"/>
              </w:rPr>
            </w:pPr>
          </w:p>
        </w:tc>
        <w:tc>
          <w:tcPr>
            <w:tcW w:w="1573" w:type="dxa"/>
          </w:tcPr>
          <w:p>
            <w:pPr>
              <w:pStyle w:val="TableParagraph"/>
              <w:rPr>
                <w:sz w:val="18"/>
              </w:rPr>
            </w:pPr>
          </w:p>
        </w:tc>
        <w:tc>
          <w:tcPr>
            <w:tcW w:w="3890" w:type="dxa"/>
          </w:tcPr>
          <w:p>
            <w:pPr>
              <w:pStyle w:val="TableParagraph"/>
              <w:spacing w:line="249" w:lineRule="auto" w:before="120"/>
              <w:ind w:left="218"/>
              <w:rPr>
                <w:sz w:val="20"/>
              </w:rPr>
            </w:pPr>
            <w:r>
              <w:rPr>
                <w:sz w:val="20"/>
              </w:rPr>
              <w:t>эндоскопическая</w:t>
            </w:r>
            <w:r>
              <w:rPr>
                <w:spacing w:val="-13"/>
                <w:sz w:val="20"/>
              </w:rPr>
              <w:t> </w:t>
            </w:r>
            <w:r>
              <w:rPr>
                <w:sz w:val="20"/>
              </w:rPr>
              <w:t>адреналэктомия</w:t>
            </w:r>
            <w:r>
              <w:rPr>
                <w:spacing w:val="-12"/>
                <w:sz w:val="20"/>
              </w:rPr>
              <w:t> </w:t>
            </w:r>
            <w:r>
              <w:rPr>
                <w:sz w:val="20"/>
              </w:rPr>
              <w:t>с </w:t>
            </w:r>
            <w:r>
              <w:rPr>
                <w:spacing w:val="-2"/>
                <w:sz w:val="20"/>
              </w:rPr>
              <w:t>опухолью</w:t>
            </w:r>
          </w:p>
        </w:tc>
        <w:tc>
          <w:tcPr>
            <w:tcW w:w="993" w:type="dxa"/>
          </w:tcPr>
          <w:p>
            <w:pPr>
              <w:pStyle w:val="TableParagraph"/>
              <w:rPr>
                <w:sz w:val="18"/>
              </w:rPr>
            </w:pPr>
          </w:p>
        </w:tc>
      </w:tr>
      <w:tr>
        <w:trPr>
          <w:trHeight w:val="203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tcPr>
          <w:p>
            <w:pPr>
              <w:pStyle w:val="TableParagraph"/>
              <w:rPr>
                <w:sz w:val="18"/>
              </w:rPr>
            </w:pPr>
          </w:p>
        </w:tc>
        <w:tc>
          <w:tcPr>
            <w:tcW w:w="1573" w:type="dxa"/>
          </w:tcPr>
          <w:p>
            <w:pPr>
              <w:pStyle w:val="TableParagraph"/>
              <w:rPr>
                <w:sz w:val="18"/>
              </w:rPr>
            </w:pPr>
          </w:p>
        </w:tc>
        <w:tc>
          <w:tcPr>
            <w:tcW w:w="3890" w:type="dxa"/>
          </w:tcPr>
          <w:p>
            <w:pPr>
              <w:pStyle w:val="TableParagraph"/>
              <w:spacing w:line="249" w:lineRule="auto" w:before="120"/>
              <w:ind w:left="218" w:right="993"/>
              <w:rPr>
                <w:sz w:val="20"/>
              </w:rPr>
            </w:pPr>
            <w:r>
              <w:rPr>
                <w:sz w:val="20"/>
              </w:rPr>
              <w:t>двусторонняя</w:t>
            </w:r>
            <w:r>
              <w:rPr>
                <w:spacing w:val="-13"/>
                <w:sz w:val="20"/>
              </w:rPr>
              <w:t> </w:t>
            </w:r>
            <w:r>
              <w:rPr>
                <w:sz w:val="20"/>
              </w:rPr>
              <w:t>эндоскопическая </w:t>
            </w:r>
            <w:r>
              <w:rPr>
                <w:spacing w:val="-2"/>
                <w:sz w:val="20"/>
              </w:rPr>
              <w:t>адреналэктомия</w:t>
            </w:r>
          </w:p>
          <w:p>
            <w:pPr>
              <w:pStyle w:val="TableParagraph"/>
              <w:rPr>
                <w:sz w:val="21"/>
              </w:rPr>
            </w:pPr>
          </w:p>
          <w:p>
            <w:pPr>
              <w:pStyle w:val="TableParagraph"/>
              <w:spacing w:line="249" w:lineRule="auto" w:before="1"/>
              <w:ind w:left="218" w:right="993"/>
              <w:rPr>
                <w:sz w:val="20"/>
              </w:rPr>
            </w:pPr>
            <w:r>
              <w:rPr>
                <w:sz w:val="20"/>
              </w:rPr>
              <w:t>двусторонняя</w:t>
            </w:r>
            <w:r>
              <w:rPr>
                <w:spacing w:val="-13"/>
                <w:sz w:val="20"/>
              </w:rPr>
              <w:t> </w:t>
            </w:r>
            <w:r>
              <w:rPr>
                <w:sz w:val="20"/>
              </w:rPr>
              <w:t>эндоскопическая адреналэктомия с опухолями</w:t>
            </w:r>
          </w:p>
          <w:p>
            <w:pPr>
              <w:pStyle w:val="TableParagraph"/>
              <w:spacing w:before="4"/>
              <w:rPr>
                <w:sz w:val="18"/>
              </w:rPr>
            </w:pPr>
          </w:p>
          <w:p>
            <w:pPr>
              <w:pStyle w:val="TableParagraph"/>
              <w:spacing w:line="240" w:lineRule="atLeast"/>
              <w:ind w:left="218" w:right="745"/>
              <w:rPr>
                <w:sz w:val="20"/>
              </w:rPr>
            </w:pPr>
            <w:r>
              <w:rPr>
                <w:sz w:val="20"/>
              </w:rPr>
              <w:t>аортокавальная</w:t>
            </w:r>
            <w:r>
              <w:rPr>
                <w:spacing w:val="-13"/>
                <w:sz w:val="20"/>
              </w:rPr>
              <w:t> </w:t>
            </w:r>
            <w:r>
              <w:rPr>
                <w:sz w:val="20"/>
              </w:rPr>
              <w:t>лимфаденэктомия </w:t>
            </w:r>
            <w:r>
              <w:rPr>
                <w:spacing w:val="-2"/>
                <w:sz w:val="20"/>
              </w:rPr>
              <w:t>эндоскопическая</w:t>
            </w:r>
          </w:p>
        </w:tc>
        <w:tc>
          <w:tcPr>
            <w:tcW w:w="99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92"/>
        <w:gridCol w:w="1847"/>
        <w:gridCol w:w="3202"/>
        <w:gridCol w:w="1650"/>
        <w:gridCol w:w="3808"/>
        <w:gridCol w:w="999"/>
      </w:tblGrid>
      <w:tr>
        <w:trPr>
          <w:trHeight w:val="590" w:hRule="atLeast"/>
        </w:trPr>
        <w:tc>
          <w:tcPr>
            <w:tcW w:w="396" w:type="dxa"/>
          </w:tcPr>
          <w:p>
            <w:pPr>
              <w:pStyle w:val="TableParagraph"/>
              <w:rPr>
                <w:sz w:val="18"/>
              </w:rPr>
            </w:pPr>
          </w:p>
        </w:tc>
        <w:tc>
          <w:tcPr>
            <w:tcW w:w="3092" w:type="dxa"/>
          </w:tcPr>
          <w:p>
            <w:pPr>
              <w:pStyle w:val="TableParagraph"/>
              <w:rPr>
                <w:sz w:val="18"/>
              </w:rPr>
            </w:pPr>
          </w:p>
        </w:tc>
        <w:tc>
          <w:tcPr>
            <w:tcW w:w="1847" w:type="dxa"/>
          </w:tcPr>
          <w:p>
            <w:pPr>
              <w:pStyle w:val="TableParagraph"/>
              <w:rPr>
                <w:sz w:val="18"/>
              </w:rPr>
            </w:pPr>
          </w:p>
        </w:tc>
        <w:tc>
          <w:tcPr>
            <w:tcW w:w="3202" w:type="dxa"/>
          </w:tcPr>
          <w:p>
            <w:pPr>
              <w:pStyle w:val="TableParagraph"/>
              <w:rPr>
                <w:sz w:val="18"/>
              </w:rPr>
            </w:pPr>
          </w:p>
        </w:tc>
        <w:tc>
          <w:tcPr>
            <w:tcW w:w="1650" w:type="dxa"/>
          </w:tcPr>
          <w:p>
            <w:pPr>
              <w:pStyle w:val="TableParagraph"/>
              <w:rPr>
                <w:sz w:val="18"/>
              </w:rPr>
            </w:pPr>
          </w:p>
        </w:tc>
        <w:tc>
          <w:tcPr>
            <w:tcW w:w="3808" w:type="dxa"/>
          </w:tcPr>
          <w:p>
            <w:pPr>
              <w:pStyle w:val="TableParagraph"/>
              <w:spacing w:line="249" w:lineRule="auto"/>
              <w:ind w:left="141" w:right="430"/>
              <w:rPr>
                <w:sz w:val="20"/>
              </w:rPr>
            </w:pPr>
            <w:r>
              <w:rPr>
                <w:sz w:val="20"/>
              </w:rPr>
              <w:t>удаление</w:t>
            </w:r>
            <w:r>
              <w:rPr>
                <w:spacing w:val="-13"/>
                <w:sz w:val="20"/>
              </w:rPr>
              <w:t> </w:t>
            </w:r>
            <w:r>
              <w:rPr>
                <w:sz w:val="20"/>
              </w:rPr>
              <w:t>неорганной</w:t>
            </w:r>
            <w:r>
              <w:rPr>
                <w:spacing w:val="-12"/>
                <w:sz w:val="20"/>
              </w:rPr>
              <w:t> </w:t>
            </w:r>
            <w:r>
              <w:rPr>
                <w:sz w:val="20"/>
              </w:rPr>
              <w:t>забрюшинной </w:t>
            </w:r>
            <w:r>
              <w:rPr>
                <w:spacing w:val="-2"/>
                <w:sz w:val="20"/>
              </w:rPr>
              <w:t>опухоли</w:t>
            </w:r>
          </w:p>
        </w:tc>
        <w:tc>
          <w:tcPr>
            <w:tcW w:w="999" w:type="dxa"/>
          </w:tcPr>
          <w:p>
            <w:pPr>
              <w:pStyle w:val="TableParagraph"/>
              <w:rPr>
                <w:sz w:val="18"/>
              </w:rPr>
            </w:pPr>
          </w:p>
        </w:tc>
      </w:tr>
      <w:tr>
        <w:trPr>
          <w:trHeight w:val="480" w:hRule="atLeast"/>
        </w:trPr>
        <w:tc>
          <w:tcPr>
            <w:tcW w:w="14994" w:type="dxa"/>
            <w:gridSpan w:val="7"/>
          </w:tcPr>
          <w:p>
            <w:pPr>
              <w:pStyle w:val="TableParagraph"/>
              <w:spacing w:before="120"/>
              <w:ind w:left="6462" w:right="6202"/>
              <w:jc w:val="center"/>
              <w:rPr>
                <w:sz w:val="20"/>
              </w:rPr>
            </w:pPr>
            <w:r>
              <w:rPr>
                <w:sz w:val="20"/>
              </w:rPr>
              <w:t>Акушерство</w:t>
            </w:r>
            <w:r>
              <w:rPr>
                <w:spacing w:val="-6"/>
                <w:sz w:val="20"/>
              </w:rPr>
              <w:t> </w:t>
            </w:r>
            <w:r>
              <w:rPr>
                <w:sz w:val="20"/>
              </w:rPr>
              <w:t>и</w:t>
            </w:r>
            <w:r>
              <w:rPr>
                <w:spacing w:val="-8"/>
                <w:sz w:val="20"/>
              </w:rPr>
              <w:t> </w:t>
            </w:r>
            <w:r>
              <w:rPr>
                <w:spacing w:val="-2"/>
                <w:sz w:val="20"/>
              </w:rPr>
              <w:t>гинекология</w:t>
            </w:r>
          </w:p>
        </w:tc>
      </w:tr>
      <w:tr>
        <w:trPr>
          <w:trHeight w:val="2400" w:hRule="atLeast"/>
        </w:trPr>
        <w:tc>
          <w:tcPr>
            <w:tcW w:w="396" w:type="dxa"/>
          </w:tcPr>
          <w:p>
            <w:pPr>
              <w:pStyle w:val="TableParagraph"/>
              <w:spacing w:before="120"/>
              <w:ind w:left="50"/>
              <w:rPr>
                <w:sz w:val="20"/>
              </w:rPr>
            </w:pPr>
            <w:r>
              <w:rPr>
                <w:spacing w:val="-5"/>
                <w:sz w:val="20"/>
              </w:rPr>
              <w:t>3.</w:t>
            </w:r>
          </w:p>
        </w:tc>
        <w:tc>
          <w:tcPr>
            <w:tcW w:w="3092" w:type="dxa"/>
            <w:vMerge w:val="restart"/>
          </w:tcPr>
          <w:p>
            <w:pPr>
              <w:pStyle w:val="TableParagraph"/>
              <w:spacing w:line="249" w:lineRule="auto" w:before="120"/>
              <w:ind w:left="194" w:right="478"/>
              <w:rPr>
                <w:sz w:val="20"/>
              </w:rPr>
            </w:pPr>
            <w:r>
              <w:rPr>
                <w:sz w:val="20"/>
              </w:rPr>
              <w:t>Комплексное лечение при привычном</w:t>
            </w:r>
            <w:r>
              <w:rPr>
                <w:spacing w:val="-13"/>
                <w:sz w:val="20"/>
              </w:rPr>
              <w:t> </w:t>
            </w:r>
            <w:r>
              <w:rPr>
                <w:sz w:val="20"/>
              </w:rPr>
              <w:t>невынашивании беременности, вызванном </w:t>
            </w:r>
            <w:r>
              <w:rPr>
                <w:spacing w:val="-2"/>
                <w:sz w:val="20"/>
              </w:rPr>
              <w:t>тромбофилическими мутациями, антифосфолипидным </w:t>
            </w:r>
            <w:r>
              <w:rPr>
                <w:sz w:val="20"/>
              </w:rPr>
              <w:t>синдромом, резус- </w:t>
            </w:r>
            <w:r>
              <w:rPr>
                <w:spacing w:val="-2"/>
                <w:sz w:val="20"/>
              </w:rPr>
              <w:t>сенсибилизацией,</w:t>
            </w:r>
          </w:p>
          <w:p>
            <w:pPr>
              <w:pStyle w:val="TableParagraph"/>
              <w:spacing w:line="249" w:lineRule="auto" w:before="7"/>
              <w:ind w:left="194" w:right="273"/>
              <w:rPr>
                <w:sz w:val="20"/>
              </w:rPr>
            </w:pPr>
            <w:r>
              <w:rPr>
                <w:sz w:val="20"/>
              </w:rPr>
              <w:t>с применением химиотерапевтических,</w:t>
            </w:r>
            <w:r>
              <w:rPr>
                <w:spacing w:val="-13"/>
                <w:sz w:val="20"/>
              </w:rPr>
              <w:t> </w:t>
            </w:r>
            <w:r>
              <w:rPr>
                <w:sz w:val="20"/>
              </w:rPr>
              <w:t>генно- инженерных, биологических, </w:t>
            </w:r>
            <w:r>
              <w:rPr>
                <w:spacing w:val="-2"/>
                <w:sz w:val="20"/>
              </w:rPr>
              <w:t>онтогенетических, </w:t>
            </w:r>
            <w:r>
              <w:rPr>
                <w:sz w:val="20"/>
              </w:rPr>
              <w:t>молекулярно-генетических и иммуногенетических методов </w:t>
            </w:r>
            <w:r>
              <w:rPr>
                <w:spacing w:val="-2"/>
                <w:sz w:val="20"/>
              </w:rPr>
              <w:t>коррекции</w:t>
            </w:r>
          </w:p>
        </w:tc>
        <w:tc>
          <w:tcPr>
            <w:tcW w:w="1847" w:type="dxa"/>
          </w:tcPr>
          <w:p>
            <w:pPr>
              <w:pStyle w:val="TableParagraph"/>
              <w:spacing w:before="120"/>
              <w:ind w:left="159" w:right="126"/>
              <w:jc w:val="center"/>
              <w:rPr>
                <w:sz w:val="20"/>
              </w:rPr>
            </w:pPr>
            <w:r>
              <w:rPr>
                <w:sz w:val="20"/>
              </w:rPr>
              <w:t>O36.0,</w:t>
            </w:r>
            <w:r>
              <w:rPr>
                <w:spacing w:val="-3"/>
                <w:sz w:val="20"/>
              </w:rPr>
              <w:t> </w:t>
            </w:r>
            <w:r>
              <w:rPr>
                <w:spacing w:val="-2"/>
                <w:sz w:val="20"/>
              </w:rPr>
              <w:t>O36.1</w:t>
            </w:r>
          </w:p>
        </w:tc>
        <w:tc>
          <w:tcPr>
            <w:tcW w:w="3202" w:type="dxa"/>
          </w:tcPr>
          <w:p>
            <w:pPr>
              <w:pStyle w:val="TableParagraph"/>
              <w:spacing w:line="249" w:lineRule="auto" w:before="120"/>
              <w:ind w:left="140" w:right="1148"/>
              <w:rPr>
                <w:sz w:val="20"/>
              </w:rPr>
            </w:pPr>
            <w:r>
              <w:rPr>
                <w:sz w:val="20"/>
              </w:rPr>
              <w:t>привычный</w:t>
            </w:r>
            <w:r>
              <w:rPr>
                <w:spacing w:val="-13"/>
                <w:sz w:val="20"/>
              </w:rPr>
              <w:t> </w:t>
            </w:r>
            <w:r>
              <w:rPr>
                <w:sz w:val="20"/>
              </w:rPr>
              <w:t>выкидыш, </w:t>
            </w:r>
            <w:r>
              <w:rPr>
                <w:spacing w:val="-2"/>
                <w:sz w:val="20"/>
              </w:rPr>
              <w:t>сопровождающийся резус-иммунизацией</w:t>
            </w:r>
          </w:p>
        </w:tc>
        <w:tc>
          <w:tcPr>
            <w:tcW w:w="1650" w:type="dxa"/>
          </w:tcPr>
          <w:p>
            <w:pPr>
              <w:pStyle w:val="TableParagraph"/>
              <w:spacing w:line="249" w:lineRule="auto" w:before="120"/>
              <w:ind w:left="94"/>
              <w:rPr>
                <w:sz w:val="20"/>
              </w:rPr>
            </w:pPr>
            <w:r>
              <w:rPr>
                <w:spacing w:val="-2"/>
                <w:sz w:val="20"/>
              </w:rPr>
              <w:t>терапевтическое лечение</w:t>
            </w:r>
          </w:p>
        </w:tc>
        <w:tc>
          <w:tcPr>
            <w:tcW w:w="3808" w:type="dxa"/>
          </w:tcPr>
          <w:p>
            <w:pPr>
              <w:pStyle w:val="TableParagraph"/>
              <w:spacing w:line="249" w:lineRule="auto" w:before="120"/>
              <w:ind w:left="141" w:right="430"/>
              <w:rPr>
                <w:sz w:val="20"/>
              </w:rPr>
            </w:pPr>
            <w:r>
              <w:rPr>
                <w:sz w:val="20"/>
              </w:rPr>
              <w:t>терапия с использованием генно- инженерных лекарственных препаратов, с последующим введением</w:t>
            </w:r>
            <w:r>
              <w:rPr>
                <w:spacing w:val="-13"/>
                <w:sz w:val="20"/>
              </w:rPr>
              <w:t> </w:t>
            </w:r>
            <w:r>
              <w:rPr>
                <w:sz w:val="20"/>
              </w:rPr>
              <w:t>иммуноглобулинов</w:t>
            </w:r>
            <w:r>
              <w:rPr>
                <w:spacing w:val="-12"/>
                <w:sz w:val="20"/>
              </w:rPr>
              <w:t> </w:t>
            </w:r>
            <w:r>
              <w:rPr>
                <w:sz w:val="20"/>
              </w:rPr>
              <w:t>под контролем молекулярных диагностических методик, </w:t>
            </w:r>
            <w:r>
              <w:rPr>
                <w:spacing w:val="-2"/>
                <w:sz w:val="20"/>
              </w:rPr>
              <w:t>иммуноферментных, </w:t>
            </w:r>
            <w:r>
              <w:rPr>
                <w:sz w:val="20"/>
              </w:rPr>
              <w:t>гемостазиологических методов </w:t>
            </w:r>
            <w:r>
              <w:rPr>
                <w:spacing w:val="-2"/>
                <w:sz w:val="20"/>
              </w:rPr>
              <w:t>исследования</w:t>
            </w:r>
          </w:p>
        </w:tc>
        <w:tc>
          <w:tcPr>
            <w:tcW w:w="999" w:type="dxa"/>
          </w:tcPr>
          <w:p>
            <w:pPr>
              <w:pStyle w:val="TableParagraph"/>
              <w:spacing w:before="120"/>
              <w:ind w:left="344"/>
              <w:rPr>
                <w:sz w:val="20"/>
              </w:rPr>
            </w:pPr>
            <w:r>
              <w:rPr>
                <w:spacing w:val="-2"/>
                <w:sz w:val="20"/>
              </w:rPr>
              <w:t>140072</w:t>
            </w:r>
          </w:p>
        </w:tc>
      </w:tr>
      <w:tr>
        <w:trPr>
          <w:trHeight w:val="2160" w:hRule="atLeast"/>
        </w:trPr>
        <w:tc>
          <w:tcPr>
            <w:tcW w:w="396" w:type="dxa"/>
          </w:tcPr>
          <w:p>
            <w:pPr>
              <w:pStyle w:val="TableParagraph"/>
              <w:rPr>
                <w:sz w:val="18"/>
              </w:rPr>
            </w:pPr>
          </w:p>
        </w:tc>
        <w:tc>
          <w:tcPr>
            <w:tcW w:w="3092" w:type="dxa"/>
            <w:vMerge/>
            <w:tcBorders>
              <w:top w:val="nil"/>
            </w:tcBorders>
          </w:tcPr>
          <w:p>
            <w:pPr>
              <w:rPr>
                <w:sz w:val="2"/>
                <w:szCs w:val="2"/>
              </w:rPr>
            </w:pPr>
          </w:p>
        </w:tc>
        <w:tc>
          <w:tcPr>
            <w:tcW w:w="1847" w:type="dxa"/>
          </w:tcPr>
          <w:p>
            <w:pPr>
              <w:pStyle w:val="TableParagraph"/>
              <w:spacing w:before="120"/>
              <w:ind w:left="159" w:right="125"/>
              <w:jc w:val="center"/>
              <w:rPr>
                <w:sz w:val="20"/>
              </w:rPr>
            </w:pPr>
            <w:r>
              <w:rPr>
                <w:spacing w:val="-4"/>
                <w:sz w:val="20"/>
              </w:rPr>
              <w:t>O28.0</w:t>
            </w:r>
          </w:p>
        </w:tc>
        <w:tc>
          <w:tcPr>
            <w:tcW w:w="3202" w:type="dxa"/>
          </w:tcPr>
          <w:p>
            <w:pPr>
              <w:pStyle w:val="TableParagraph"/>
              <w:spacing w:line="249" w:lineRule="auto" w:before="120"/>
              <w:ind w:left="140" w:right="69"/>
              <w:rPr>
                <w:sz w:val="20"/>
              </w:rPr>
            </w:pPr>
            <w:r>
              <w:rPr>
                <w:sz w:val="20"/>
              </w:rPr>
              <w:t>привычный выкидыш, обусловленный сочетанной </w:t>
            </w:r>
            <w:r>
              <w:rPr>
                <w:spacing w:val="-2"/>
                <w:sz w:val="20"/>
              </w:rPr>
              <w:t>тромбофилией </w:t>
            </w:r>
            <w:r>
              <w:rPr>
                <w:sz w:val="20"/>
              </w:rPr>
              <w:t>(антифосфолипидный синдром и врожденная тромбофилия) с гибелью</w:t>
            </w:r>
            <w:r>
              <w:rPr>
                <w:spacing w:val="-11"/>
                <w:sz w:val="20"/>
              </w:rPr>
              <w:t> </w:t>
            </w:r>
            <w:r>
              <w:rPr>
                <w:sz w:val="20"/>
              </w:rPr>
              <w:t>плода</w:t>
            </w:r>
            <w:r>
              <w:rPr>
                <w:spacing w:val="-9"/>
                <w:sz w:val="20"/>
              </w:rPr>
              <w:t> </w:t>
            </w:r>
            <w:r>
              <w:rPr>
                <w:sz w:val="20"/>
              </w:rPr>
              <w:t>или</w:t>
            </w:r>
            <w:r>
              <w:rPr>
                <w:spacing w:val="-12"/>
                <w:sz w:val="20"/>
              </w:rPr>
              <w:t> </w:t>
            </w:r>
            <w:r>
              <w:rPr>
                <w:sz w:val="20"/>
              </w:rPr>
              <w:t>тромбозом</w:t>
            </w:r>
            <w:r>
              <w:rPr>
                <w:spacing w:val="-10"/>
                <w:sz w:val="20"/>
              </w:rPr>
              <w:t> </w:t>
            </w:r>
            <w:r>
              <w:rPr>
                <w:sz w:val="20"/>
              </w:rPr>
              <w:t>при предыдущей беременности</w:t>
            </w:r>
          </w:p>
        </w:tc>
        <w:tc>
          <w:tcPr>
            <w:tcW w:w="1650" w:type="dxa"/>
          </w:tcPr>
          <w:p>
            <w:pPr>
              <w:pStyle w:val="TableParagraph"/>
              <w:spacing w:line="249" w:lineRule="auto" w:before="120"/>
              <w:ind w:left="94"/>
              <w:rPr>
                <w:sz w:val="20"/>
              </w:rPr>
            </w:pPr>
            <w:r>
              <w:rPr>
                <w:spacing w:val="-2"/>
                <w:sz w:val="20"/>
              </w:rPr>
              <w:t>терапевтическое лечение</w:t>
            </w:r>
          </w:p>
        </w:tc>
        <w:tc>
          <w:tcPr>
            <w:tcW w:w="3808" w:type="dxa"/>
          </w:tcPr>
          <w:p>
            <w:pPr>
              <w:pStyle w:val="TableParagraph"/>
              <w:spacing w:line="249" w:lineRule="auto" w:before="120"/>
              <w:ind w:left="141" w:right="314"/>
              <w:rPr>
                <w:sz w:val="20"/>
              </w:rPr>
            </w:pPr>
            <w:r>
              <w:rPr>
                <w:sz w:val="20"/>
              </w:rPr>
              <w:t>терапия с использованием генно- инженерных лекарственных препаратов</w:t>
            </w:r>
            <w:r>
              <w:rPr>
                <w:spacing w:val="-13"/>
                <w:sz w:val="20"/>
              </w:rPr>
              <w:t> </w:t>
            </w:r>
            <w:r>
              <w:rPr>
                <w:sz w:val="20"/>
              </w:rPr>
              <w:t>с</w:t>
            </w:r>
            <w:r>
              <w:rPr>
                <w:spacing w:val="-12"/>
                <w:sz w:val="20"/>
              </w:rPr>
              <w:t> </w:t>
            </w:r>
            <w:r>
              <w:rPr>
                <w:sz w:val="20"/>
              </w:rPr>
              <w:t>последующим</w:t>
            </w:r>
            <w:r>
              <w:rPr>
                <w:spacing w:val="-13"/>
                <w:sz w:val="20"/>
              </w:rPr>
              <w:t> </w:t>
            </w:r>
            <w:r>
              <w:rPr>
                <w:sz w:val="20"/>
              </w:rPr>
              <w:t>введением иммуноглобулинов под контролем молекулярных диагностических методик, иммуноферментных, гемостазиологических методов </w:t>
            </w:r>
            <w:r>
              <w:rPr>
                <w:spacing w:val="-2"/>
                <w:sz w:val="20"/>
              </w:rPr>
              <w:t>исследования</w:t>
            </w:r>
          </w:p>
        </w:tc>
        <w:tc>
          <w:tcPr>
            <w:tcW w:w="999" w:type="dxa"/>
          </w:tcPr>
          <w:p>
            <w:pPr>
              <w:pStyle w:val="TableParagraph"/>
              <w:rPr>
                <w:sz w:val="18"/>
              </w:rPr>
            </w:pPr>
          </w:p>
        </w:tc>
      </w:tr>
      <w:tr>
        <w:trPr>
          <w:trHeight w:val="1680" w:hRule="atLeast"/>
        </w:trPr>
        <w:tc>
          <w:tcPr>
            <w:tcW w:w="396" w:type="dxa"/>
          </w:tcPr>
          <w:p>
            <w:pPr>
              <w:pStyle w:val="TableParagraph"/>
              <w:rPr>
                <w:sz w:val="18"/>
              </w:rPr>
            </w:pPr>
          </w:p>
        </w:tc>
        <w:tc>
          <w:tcPr>
            <w:tcW w:w="3092" w:type="dxa"/>
            <w:vMerge w:val="restart"/>
          </w:tcPr>
          <w:p>
            <w:pPr>
              <w:pStyle w:val="TableParagraph"/>
              <w:spacing w:line="249" w:lineRule="auto" w:before="120"/>
              <w:ind w:left="194" w:right="118"/>
              <w:rPr>
                <w:sz w:val="20"/>
              </w:rPr>
            </w:pPr>
            <w:r>
              <w:rPr>
                <w:spacing w:val="-2"/>
                <w:sz w:val="20"/>
              </w:rPr>
              <w:t>Хирургическое </w:t>
            </w:r>
            <w:r>
              <w:rPr>
                <w:sz w:val="20"/>
              </w:rPr>
              <w:t>органосохраняющее лечение женщин с несостоятельностью мышц</w:t>
            </w:r>
            <w:r>
              <w:rPr>
                <w:spacing w:val="-13"/>
                <w:sz w:val="20"/>
              </w:rPr>
              <w:t> </w:t>
            </w:r>
            <w:r>
              <w:rPr>
                <w:sz w:val="20"/>
              </w:rPr>
              <w:t>тазового</w:t>
            </w:r>
            <w:r>
              <w:rPr>
                <w:spacing w:val="-12"/>
                <w:sz w:val="20"/>
              </w:rPr>
              <w:t> </w:t>
            </w:r>
            <w:r>
              <w:rPr>
                <w:sz w:val="20"/>
              </w:rPr>
              <w:t>дна,</w:t>
            </w:r>
            <w:r>
              <w:rPr>
                <w:spacing w:val="-13"/>
                <w:sz w:val="20"/>
              </w:rPr>
              <w:t> </w:t>
            </w:r>
            <w:r>
              <w:rPr>
                <w:sz w:val="20"/>
              </w:rPr>
              <w:t>опущением и выпадением органов малого таза, а также в сочетании со стрессовым</w:t>
            </w:r>
            <w:r>
              <w:rPr>
                <w:spacing w:val="-13"/>
                <w:sz w:val="20"/>
              </w:rPr>
              <w:t> </w:t>
            </w:r>
            <w:r>
              <w:rPr>
                <w:sz w:val="20"/>
              </w:rPr>
              <w:t>недержанием</w:t>
            </w:r>
            <w:r>
              <w:rPr>
                <w:spacing w:val="-12"/>
                <w:sz w:val="20"/>
              </w:rPr>
              <w:t> </w:t>
            </w:r>
            <w:r>
              <w:rPr>
                <w:sz w:val="20"/>
              </w:rPr>
              <w:t>мочи, </w:t>
            </w:r>
            <w:r>
              <w:rPr>
                <w:spacing w:val="-2"/>
                <w:sz w:val="20"/>
              </w:rPr>
              <w:t>соединительнотканными </w:t>
            </w:r>
            <w:r>
              <w:rPr>
                <w:sz w:val="20"/>
              </w:rPr>
              <w:t>заболеваниями, включая</w:t>
            </w:r>
          </w:p>
          <w:p>
            <w:pPr>
              <w:pStyle w:val="TableParagraph"/>
              <w:spacing w:line="210" w:lineRule="exact" w:before="8"/>
              <w:ind w:left="194"/>
              <w:rPr>
                <w:sz w:val="20"/>
              </w:rPr>
            </w:pPr>
            <w:r>
              <w:rPr>
                <w:w w:val="95"/>
                <w:sz w:val="20"/>
              </w:rPr>
              <w:t>реконструктивно-</w:t>
            </w:r>
            <w:r>
              <w:rPr>
                <w:spacing w:val="-2"/>
                <w:sz w:val="20"/>
              </w:rPr>
              <w:t>пластические</w:t>
            </w:r>
          </w:p>
        </w:tc>
        <w:tc>
          <w:tcPr>
            <w:tcW w:w="1847" w:type="dxa"/>
          </w:tcPr>
          <w:p>
            <w:pPr>
              <w:pStyle w:val="TableParagraph"/>
              <w:spacing w:before="120"/>
              <w:ind w:left="159" w:right="130"/>
              <w:jc w:val="center"/>
              <w:rPr>
                <w:sz w:val="20"/>
              </w:rPr>
            </w:pPr>
            <w:r>
              <w:rPr>
                <w:sz w:val="20"/>
              </w:rPr>
              <w:t>N81,</w:t>
            </w:r>
            <w:r>
              <w:rPr>
                <w:spacing w:val="-4"/>
                <w:sz w:val="20"/>
              </w:rPr>
              <w:t> </w:t>
            </w:r>
            <w:r>
              <w:rPr>
                <w:sz w:val="20"/>
              </w:rPr>
              <w:t>N88.4,</w:t>
            </w:r>
            <w:r>
              <w:rPr>
                <w:spacing w:val="-3"/>
                <w:sz w:val="20"/>
              </w:rPr>
              <w:t> </w:t>
            </w:r>
            <w:r>
              <w:rPr>
                <w:spacing w:val="-2"/>
                <w:sz w:val="20"/>
              </w:rPr>
              <w:t>N88.1</w:t>
            </w:r>
          </w:p>
        </w:tc>
        <w:tc>
          <w:tcPr>
            <w:tcW w:w="3202" w:type="dxa"/>
          </w:tcPr>
          <w:p>
            <w:pPr>
              <w:pStyle w:val="TableParagraph"/>
              <w:spacing w:line="249" w:lineRule="auto" w:before="120"/>
              <w:ind w:left="140" w:right="69"/>
              <w:rPr>
                <w:sz w:val="20"/>
              </w:rPr>
            </w:pPr>
            <w:r>
              <w:rPr>
                <w:sz w:val="20"/>
              </w:rPr>
              <w:t>цистоцеле, неполное и полное опущение матки и стенок влагалища, ректоцеле, гипертрофия</w:t>
            </w:r>
            <w:r>
              <w:rPr>
                <w:spacing w:val="-13"/>
                <w:sz w:val="20"/>
              </w:rPr>
              <w:t> </w:t>
            </w:r>
            <w:r>
              <w:rPr>
                <w:sz w:val="20"/>
              </w:rPr>
              <w:t>и</w:t>
            </w:r>
            <w:r>
              <w:rPr>
                <w:spacing w:val="-12"/>
                <w:sz w:val="20"/>
              </w:rPr>
              <w:t> </w:t>
            </w:r>
            <w:r>
              <w:rPr>
                <w:sz w:val="20"/>
              </w:rPr>
              <w:t>элонгация</w:t>
            </w:r>
            <w:r>
              <w:rPr>
                <w:spacing w:val="-13"/>
                <w:sz w:val="20"/>
              </w:rPr>
              <w:t> </w:t>
            </w:r>
            <w:r>
              <w:rPr>
                <w:sz w:val="20"/>
              </w:rPr>
              <w:t>шейки матки у пациенток репродуктивного возраста</w:t>
            </w:r>
          </w:p>
        </w:tc>
        <w:tc>
          <w:tcPr>
            <w:tcW w:w="1650" w:type="dxa"/>
          </w:tcPr>
          <w:p>
            <w:pPr>
              <w:pStyle w:val="TableParagraph"/>
              <w:spacing w:line="249" w:lineRule="auto" w:before="120"/>
              <w:ind w:left="94"/>
              <w:rPr>
                <w:sz w:val="20"/>
              </w:rPr>
            </w:pPr>
            <w:r>
              <w:rPr>
                <w:spacing w:val="-2"/>
                <w:sz w:val="20"/>
              </w:rPr>
              <w:t>хирургическое лечение</w:t>
            </w:r>
          </w:p>
        </w:tc>
        <w:tc>
          <w:tcPr>
            <w:tcW w:w="3808" w:type="dxa"/>
          </w:tcPr>
          <w:p>
            <w:pPr>
              <w:pStyle w:val="TableParagraph"/>
              <w:spacing w:line="249" w:lineRule="auto" w:before="120"/>
              <w:ind w:left="141" w:right="430"/>
              <w:rPr>
                <w:sz w:val="20"/>
              </w:rPr>
            </w:pPr>
            <w:r>
              <w:rPr>
                <w:sz w:val="20"/>
              </w:rPr>
              <w:t>операции эндоскопическим, влагалищным и абдоминальным доступом</w:t>
            </w:r>
            <w:r>
              <w:rPr>
                <w:spacing w:val="-3"/>
                <w:sz w:val="20"/>
              </w:rPr>
              <w:t> </w:t>
            </w:r>
            <w:r>
              <w:rPr>
                <w:sz w:val="20"/>
              </w:rPr>
              <w:t>и</w:t>
            </w:r>
            <w:r>
              <w:rPr>
                <w:spacing w:val="-5"/>
                <w:sz w:val="20"/>
              </w:rPr>
              <w:t> </w:t>
            </w:r>
            <w:r>
              <w:rPr>
                <w:sz w:val="20"/>
              </w:rPr>
              <w:t>их</w:t>
            </w:r>
            <w:r>
              <w:rPr>
                <w:spacing w:val="-5"/>
                <w:sz w:val="20"/>
              </w:rPr>
              <w:t> </w:t>
            </w:r>
            <w:r>
              <w:rPr>
                <w:sz w:val="20"/>
              </w:rPr>
              <w:t>сочетание</w:t>
            </w:r>
            <w:r>
              <w:rPr>
                <w:spacing w:val="-4"/>
                <w:sz w:val="20"/>
              </w:rPr>
              <w:t> </w:t>
            </w:r>
            <w:r>
              <w:rPr>
                <w:sz w:val="20"/>
              </w:rPr>
              <w:t>в</w:t>
            </w:r>
            <w:r>
              <w:rPr>
                <w:spacing w:val="-5"/>
                <w:sz w:val="20"/>
              </w:rPr>
              <w:t> </w:t>
            </w:r>
            <w:r>
              <w:rPr>
                <w:sz w:val="20"/>
              </w:rPr>
              <w:t>различной комбинации (слинговая операция (TVT-0,</w:t>
            </w:r>
            <w:r>
              <w:rPr>
                <w:spacing w:val="-12"/>
                <w:sz w:val="20"/>
              </w:rPr>
              <w:t> </w:t>
            </w:r>
            <w:r>
              <w:rPr>
                <w:sz w:val="20"/>
              </w:rPr>
              <w:t>TVT,</w:t>
            </w:r>
            <w:r>
              <w:rPr>
                <w:spacing w:val="-12"/>
                <w:sz w:val="20"/>
              </w:rPr>
              <w:t> </w:t>
            </w:r>
            <w:r>
              <w:rPr>
                <w:sz w:val="20"/>
              </w:rPr>
              <w:t>TOT)</w:t>
            </w:r>
            <w:r>
              <w:rPr>
                <w:spacing w:val="-11"/>
                <w:sz w:val="20"/>
              </w:rPr>
              <w:t> </w:t>
            </w:r>
            <w:r>
              <w:rPr>
                <w:sz w:val="20"/>
              </w:rPr>
              <w:t>с</w:t>
            </w:r>
            <w:r>
              <w:rPr>
                <w:spacing w:val="-11"/>
                <w:sz w:val="20"/>
              </w:rPr>
              <w:t> </w:t>
            </w:r>
            <w:r>
              <w:rPr>
                <w:sz w:val="20"/>
              </w:rPr>
              <w:t>использованием </w:t>
            </w:r>
            <w:r>
              <w:rPr>
                <w:spacing w:val="-2"/>
                <w:sz w:val="20"/>
              </w:rPr>
              <w:t>имплантатов)</w:t>
            </w:r>
          </w:p>
        </w:tc>
        <w:tc>
          <w:tcPr>
            <w:tcW w:w="999" w:type="dxa"/>
          </w:tcPr>
          <w:p>
            <w:pPr>
              <w:pStyle w:val="TableParagraph"/>
              <w:rPr>
                <w:sz w:val="18"/>
              </w:rPr>
            </w:pPr>
          </w:p>
        </w:tc>
      </w:tr>
      <w:tr>
        <w:trPr>
          <w:trHeight w:val="830" w:hRule="atLeast"/>
        </w:trPr>
        <w:tc>
          <w:tcPr>
            <w:tcW w:w="396" w:type="dxa"/>
          </w:tcPr>
          <w:p>
            <w:pPr>
              <w:pStyle w:val="TableParagraph"/>
              <w:rPr>
                <w:sz w:val="18"/>
              </w:rPr>
            </w:pPr>
          </w:p>
        </w:tc>
        <w:tc>
          <w:tcPr>
            <w:tcW w:w="3092" w:type="dxa"/>
            <w:vMerge/>
            <w:tcBorders>
              <w:top w:val="nil"/>
            </w:tcBorders>
          </w:tcPr>
          <w:p>
            <w:pPr>
              <w:rPr>
                <w:sz w:val="2"/>
                <w:szCs w:val="2"/>
              </w:rPr>
            </w:pPr>
          </w:p>
        </w:tc>
        <w:tc>
          <w:tcPr>
            <w:tcW w:w="1847" w:type="dxa"/>
          </w:tcPr>
          <w:p>
            <w:pPr>
              <w:pStyle w:val="TableParagraph"/>
              <w:rPr>
                <w:sz w:val="18"/>
              </w:rPr>
            </w:pPr>
          </w:p>
        </w:tc>
        <w:tc>
          <w:tcPr>
            <w:tcW w:w="3202" w:type="dxa"/>
          </w:tcPr>
          <w:p>
            <w:pPr>
              <w:pStyle w:val="TableParagraph"/>
              <w:rPr>
                <w:sz w:val="18"/>
              </w:rPr>
            </w:pPr>
          </w:p>
        </w:tc>
        <w:tc>
          <w:tcPr>
            <w:tcW w:w="1650" w:type="dxa"/>
          </w:tcPr>
          <w:p>
            <w:pPr>
              <w:pStyle w:val="TableParagraph"/>
              <w:rPr>
                <w:sz w:val="18"/>
              </w:rPr>
            </w:pPr>
          </w:p>
        </w:tc>
        <w:tc>
          <w:tcPr>
            <w:tcW w:w="3808" w:type="dxa"/>
          </w:tcPr>
          <w:p>
            <w:pPr>
              <w:pStyle w:val="TableParagraph"/>
              <w:spacing w:line="240" w:lineRule="atLeast" w:before="90"/>
              <w:ind w:left="141" w:right="430"/>
              <w:rPr>
                <w:sz w:val="20"/>
              </w:rPr>
            </w:pPr>
            <w:r>
              <w:rPr>
                <w:sz w:val="20"/>
              </w:rPr>
              <w:t>операции эндоскопическим, влагалищным и абдоминальным доступом</w:t>
            </w:r>
            <w:r>
              <w:rPr>
                <w:spacing w:val="-7"/>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w:t>
            </w:r>
          </w:p>
        </w:tc>
        <w:tc>
          <w:tcPr>
            <w:tcW w:w="99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6"/>
        <w:gridCol w:w="3489"/>
        <w:gridCol w:w="1545"/>
        <w:gridCol w:w="3606"/>
      </w:tblGrid>
      <w:tr>
        <w:trPr>
          <w:trHeight w:val="830" w:hRule="atLeast"/>
        </w:trPr>
        <w:tc>
          <w:tcPr>
            <w:tcW w:w="4536" w:type="dxa"/>
            <w:vMerge w:val="restart"/>
          </w:tcPr>
          <w:p>
            <w:pPr>
              <w:pStyle w:val="TableParagraph"/>
              <w:spacing w:line="249" w:lineRule="auto"/>
              <w:ind w:left="50" w:right="1702"/>
              <w:rPr>
                <w:sz w:val="20"/>
              </w:rPr>
            </w:pPr>
            <w:r>
              <w:rPr>
                <w:sz w:val="20"/>
              </w:rPr>
              <w:t>операции</w:t>
            </w:r>
            <w:r>
              <w:rPr>
                <w:spacing w:val="-13"/>
                <w:sz w:val="20"/>
              </w:rPr>
              <w:t> </w:t>
            </w:r>
            <w:r>
              <w:rPr>
                <w:sz w:val="20"/>
              </w:rPr>
              <w:t>(сакровагинопексию</w:t>
            </w:r>
            <w:r>
              <w:rPr>
                <w:spacing w:val="-12"/>
                <w:sz w:val="20"/>
              </w:rPr>
              <w:t> </w:t>
            </w:r>
            <w:r>
              <w:rPr>
                <w:sz w:val="20"/>
              </w:rPr>
              <w:t>с </w:t>
            </w:r>
            <w:r>
              <w:rPr>
                <w:spacing w:val="-2"/>
                <w:sz w:val="20"/>
              </w:rPr>
              <w:t>лапароскопической </w:t>
            </w:r>
            <w:r>
              <w:rPr>
                <w:sz w:val="20"/>
              </w:rPr>
              <w:t>ассистенцией, оперативные вмешательства с использованием сетчатых </w:t>
            </w:r>
            <w:r>
              <w:rPr>
                <w:spacing w:val="-2"/>
                <w:sz w:val="20"/>
              </w:rPr>
              <w:t>протезов)</w:t>
            </w: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ind w:left="218" w:right="89"/>
              <w:rPr>
                <w:sz w:val="20"/>
              </w:rPr>
            </w:pPr>
            <w:r>
              <w:rPr>
                <w:sz w:val="20"/>
              </w:rPr>
              <w:t>комбинации (промонтофиксация матки или культи влагалища с использованием</w:t>
            </w:r>
            <w:r>
              <w:rPr>
                <w:spacing w:val="-13"/>
                <w:sz w:val="20"/>
              </w:rPr>
              <w:t> </w:t>
            </w:r>
            <w:r>
              <w:rPr>
                <w:sz w:val="20"/>
              </w:rPr>
              <w:t>синтетических</w:t>
            </w:r>
            <w:r>
              <w:rPr>
                <w:spacing w:val="-12"/>
                <w:sz w:val="20"/>
              </w:rPr>
              <w:t> </w:t>
            </w:r>
            <w:r>
              <w:rPr>
                <w:sz w:val="20"/>
              </w:rPr>
              <w:t>сеток)</w:t>
            </w:r>
          </w:p>
        </w:tc>
      </w:tr>
      <w:tr>
        <w:trPr>
          <w:trHeight w:val="1680" w:hRule="atLeast"/>
        </w:trPr>
        <w:tc>
          <w:tcPr>
            <w:tcW w:w="4536" w:type="dxa"/>
            <w:vMerge/>
            <w:tcBorders>
              <w:top w:val="nil"/>
            </w:tcBorders>
          </w:tcPr>
          <w:p>
            <w:pPr>
              <w:rPr>
                <w:sz w:val="2"/>
                <w:szCs w:val="2"/>
              </w:rPr>
            </w:pP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before="120"/>
              <w:ind w:left="218" w:right="89"/>
              <w:rPr>
                <w:sz w:val="20"/>
              </w:rPr>
            </w:pPr>
            <w:r>
              <w:rPr>
                <w:sz w:val="20"/>
              </w:rPr>
              <w:t>операции эндоскопическим, влагалищным и абдоминальным доступом</w:t>
            </w:r>
            <w:r>
              <w:rPr>
                <w:spacing w:val="-8"/>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 комбинации (укрепление связочного аппарата матки лапароскопическим </w:t>
            </w:r>
            <w:r>
              <w:rPr>
                <w:spacing w:val="-2"/>
                <w:sz w:val="20"/>
              </w:rPr>
              <w:t>доступом)</w:t>
            </w:r>
          </w:p>
        </w:tc>
      </w:tr>
      <w:tr>
        <w:trPr>
          <w:trHeight w:val="1440" w:hRule="atLeast"/>
        </w:trPr>
        <w:tc>
          <w:tcPr>
            <w:tcW w:w="4536" w:type="dxa"/>
          </w:tcPr>
          <w:p>
            <w:pPr>
              <w:pStyle w:val="TableParagraph"/>
              <w:rPr>
                <w:sz w:val="18"/>
              </w:rPr>
            </w:pP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before="120"/>
              <w:ind w:left="218" w:right="89"/>
              <w:rPr>
                <w:sz w:val="20"/>
              </w:rPr>
            </w:pPr>
            <w:r>
              <w:rPr>
                <w:sz w:val="20"/>
              </w:rPr>
              <w:t>операции эндоскопическим, влагалищным и абдоминальным доступом</w:t>
            </w:r>
            <w:r>
              <w:rPr>
                <w:spacing w:val="-8"/>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 комбинации (пластика сфинктера прямой кишки)</w:t>
            </w:r>
          </w:p>
        </w:tc>
      </w:tr>
      <w:tr>
        <w:trPr>
          <w:trHeight w:val="1200" w:hRule="atLeast"/>
        </w:trPr>
        <w:tc>
          <w:tcPr>
            <w:tcW w:w="4536" w:type="dxa"/>
          </w:tcPr>
          <w:p>
            <w:pPr>
              <w:pStyle w:val="TableParagraph"/>
              <w:rPr>
                <w:sz w:val="18"/>
              </w:rPr>
            </w:pP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before="120"/>
              <w:ind w:left="218" w:right="89"/>
              <w:rPr>
                <w:sz w:val="20"/>
              </w:rPr>
            </w:pPr>
            <w:r>
              <w:rPr>
                <w:sz w:val="20"/>
              </w:rPr>
              <w:t>операции эндоскопическим, влагалищным и абдоминальным доступом</w:t>
            </w:r>
            <w:r>
              <w:rPr>
                <w:spacing w:val="-7"/>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 комбинации (пластика шейки матки)</w:t>
            </w:r>
          </w:p>
        </w:tc>
      </w:tr>
      <w:tr>
        <w:trPr>
          <w:trHeight w:val="1920" w:hRule="atLeast"/>
        </w:trPr>
        <w:tc>
          <w:tcPr>
            <w:tcW w:w="4536" w:type="dxa"/>
          </w:tcPr>
          <w:p>
            <w:pPr>
              <w:pStyle w:val="TableParagraph"/>
              <w:spacing w:before="120"/>
              <w:ind w:right="397"/>
              <w:jc w:val="right"/>
              <w:rPr>
                <w:sz w:val="20"/>
              </w:rPr>
            </w:pPr>
            <w:r>
              <w:rPr>
                <w:spacing w:val="-4"/>
                <w:sz w:val="20"/>
              </w:rPr>
              <w:t>N99.3</w:t>
            </w:r>
          </w:p>
        </w:tc>
        <w:tc>
          <w:tcPr>
            <w:tcW w:w="3489" w:type="dxa"/>
          </w:tcPr>
          <w:p>
            <w:pPr>
              <w:pStyle w:val="TableParagraph"/>
              <w:spacing w:line="249" w:lineRule="auto" w:before="120"/>
              <w:ind w:left="398"/>
              <w:rPr>
                <w:sz w:val="20"/>
              </w:rPr>
            </w:pPr>
            <w:r>
              <w:rPr>
                <w:sz w:val="20"/>
              </w:rPr>
              <w:t>выпадение</w:t>
            </w:r>
            <w:r>
              <w:rPr>
                <w:spacing w:val="-13"/>
                <w:sz w:val="20"/>
              </w:rPr>
              <w:t> </w:t>
            </w:r>
            <w:r>
              <w:rPr>
                <w:sz w:val="20"/>
              </w:rPr>
              <w:t>стенок</w:t>
            </w:r>
            <w:r>
              <w:rPr>
                <w:spacing w:val="-12"/>
                <w:sz w:val="20"/>
              </w:rPr>
              <w:t> </w:t>
            </w:r>
            <w:r>
              <w:rPr>
                <w:sz w:val="20"/>
              </w:rPr>
              <w:t>влагалища</w:t>
            </w:r>
            <w:r>
              <w:rPr>
                <w:spacing w:val="-13"/>
                <w:sz w:val="20"/>
              </w:rPr>
              <w:t> </w:t>
            </w:r>
            <w:r>
              <w:rPr>
                <w:sz w:val="20"/>
              </w:rPr>
              <w:t>после экстирпации матки</w:t>
            </w:r>
          </w:p>
        </w:tc>
        <w:tc>
          <w:tcPr>
            <w:tcW w:w="1545" w:type="dxa"/>
          </w:tcPr>
          <w:p>
            <w:pPr>
              <w:pStyle w:val="TableParagraph"/>
              <w:spacing w:line="249" w:lineRule="auto" w:before="120"/>
              <w:ind w:left="66"/>
              <w:rPr>
                <w:sz w:val="20"/>
              </w:rPr>
            </w:pPr>
            <w:r>
              <w:rPr>
                <w:spacing w:val="-2"/>
                <w:sz w:val="20"/>
              </w:rPr>
              <w:t>хирургическое лечение</w:t>
            </w:r>
          </w:p>
        </w:tc>
        <w:tc>
          <w:tcPr>
            <w:tcW w:w="3606" w:type="dxa"/>
          </w:tcPr>
          <w:p>
            <w:pPr>
              <w:pStyle w:val="TableParagraph"/>
              <w:spacing w:line="249" w:lineRule="auto" w:before="120"/>
              <w:ind w:left="218" w:right="50"/>
              <w:rPr>
                <w:sz w:val="20"/>
              </w:rPr>
            </w:pPr>
            <w:r>
              <w:rPr>
                <w:sz w:val="20"/>
              </w:rPr>
              <w:t>операции эндоскопическим, влагалищным и абдоминальным доступом и их сочетание в различной комбинации (промонтофиксация культи</w:t>
            </w:r>
            <w:r>
              <w:rPr>
                <w:spacing w:val="-13"/>
                <w:sz w:val="20"/>
              </w:rPr>
              <w:t> </w:t>
            </w:r>
            <w:r>
              <w:rPr>
                <w:sz w:val="20"/>
              </w:rPr>
              <w:t>влагалища,</w:t>
            </w:r>
            <w:r>
              <w:rPr>
                <w:spacing w:val="-12"/>
                <w:sz w:val="20"/>
              </w:rPr>
              <w:t> </w:t>
            </w:r>
            <w:r>
              <w:rPr>
                <w:sz w:val="20"/>
              </w:rPr>
              <w:t>слинговая</w:t>
            </w:r>
            <w:r>
              <w:rPr>
                <w:spacing w:val="-13"/>
                <w:sz w:val="20"/>
              </w:rPr>
              <w:t> </w:t>
            </w:r>
            <w:r>
              <w:rPr>
                <w:sz w:val="20"/>
              </w:rPr>
              <w:t>операция (TVT-0, TVT, TOT) с использованием </w:t>
            </w:r>
            <w:r>
              <w:rPr>
                <w:spacing w:val="-2"/>
                <w:sz w:val="20"/>
              </w:rPr>
              <w:t>имплантатов)</w:t>
            </w:r>
          </w:p>
        </w:tc>
      </w:tr>
      <w:tr>
        <w:trPr>
          <w:trHeight w:val="830" w:hRule="atLeast"/>
        </w:trPr>
        <w:tc>
          <w:tcPr>
            <w:tcW w:w="4536" w:type="dxa"/>
          </w:tcPr>
          <w:p>
            <w:pPr>
              <w:pStyle w:val="TableParagraph"/>
              <w:spacing w:before="120"/>
              <w:ind w:right="397"/>
              <w:jc w:val="right"/>
              <w:rPr>
                <w:sz w:val="20"/>
              </w:rPr>
            </w:pPr>
            <w:r>
              <w:rPr>
                <w:spacing w:val="-4"/>
                <w:sz w:val="20"/>
              </w:rPr>
              <w:t>N39.4</w:t>
            </w:r>
          </w:p>
        </w:tc>
        <w:tc>
          <w:tcPr>
            <w:tcW w:w="3489" w:type="dxa"/>
          </w:tcPr>
          <w:p>
            <w:pPr>
              <w:pStyle w:val="TableParagraph"/>
              <w:spacing w:line="240" w:lineRule="atLeast" w:before="90"/>
              <w:ind w:left="398"/>
              <w:rPr>
                <w:sz w:val="20"/>
              </w:rPr>
            </w:pPr>
            <w:r>
              <w:rPr>
                <w:sz w:val="20"/>
              </w:rPr>
              <w:t>стрессовое недержание мочи в сочетании с опущением и (или) выпадением</w:t>
            </w:r>
            <w:r>
              <w:rPr>
                <w:spacing w:val="-13"/>
                <w:sz w:val="20"/>
              </w:rPr>
              <w:t> </w:t>
            </w:r>
            <w:r>
              <w:rPr>
                <w:sz w:val="20"/>
              </w:rPr>
              <w:t>органов</w:t>
            </w:r>
            <w:r>
              <w:rPr>
                <w:spacing w:val="-12"/>
                <w:sz w:val="20"/>
              </w:rPr>
              <w:t> </w:t>
            </w:r>
            <w:r>
              <w:rPr>
                <w:sz w:val="20"/>
              </w:rPr>
              <w:t>малого</w:t>
            </w:r>
            <w:r>
              <w:rPr>
                <w:spacing w:val="-13"/>
                <w:sz w:val="20"/>
              </w:rPr>
              <w:t> </w:t>
            </w:r>
            <w:r>
              <w:rPr>
                <w:sz w:val="20"/>
              </w:rPr>
              <w:t>таза</w:t>
            </w:r>
          </w:p>
        </w:tc>
        <w:tc>
          <w:tcPr>
            <w:tcW w:w="1545" w:type="dxa"/>
          </w:tcPr>
          <w:p>
            <w:pPr>
              <w:pStyle w:val="TableParagraph"/>
              <w:spacing w:line="249" w:lineRule="auto" w:before="120"/>
              <w:ind w:left="66"/>
              <w:rPr>
                <w:sz w:val="20"/>
              </w:rPr>
            </w:pPr>
            <w:r>
              <w:rPr>
                <w:spacing w:val="-2"/>
                <w:sz w:val="20"/>
              </w:rPr>
              <w:t>хирургическое лечение</w:t>
            </w:r>
          </w:p>
        </w:tc>
        <w:tc>
          <w:tcPr>
            <w:tcW w:w="3606" w:type="dxa"/>
          </w:tcPr>
          <w:p>
            <w:pPr>
              <w:pStyle w:val="TableParagraph"/>
              <w:spacing w:line="249" w:lineRule="auto" w:before="120"/>
              <w:ind w:left="218" w:right="89"/>
              <w:rPr>
                <w:sz w:val="20"/>
              </w:rPr>
            </w:pPr>
            <w:r>
              <w:rPr>
                <w:sz w:val="20"/>
              </w:rPr>
              <w:t>слинговые операции (TVT-0, TVT, TOT)</w:t>
            </w:r>
            <w:r>
              <w:rPr>
                <w:spacing w:val="-13"/>
                <w:sz w:val="20"/>
              </w:rPr>
              <w:t> </w:t>
            </w:r>
            <w:r>
              <w:rPr>
                <w:sz w:val="20"/>
              </w:rPr>
              <w:t>с</w:t>
            </w:r>
            <w:r>
              <w:rPr>
                <w:spacing w:val="-12"/>
                <w:sz w:val="20"/>
              </w:rPr>
              <w:t> </w:t>
            </w:r>
            <w:r>
              <w:rPr>
                <w:sz w:val="20"/>
              </w:rPr>
              <w:t>использованием</w:t>
            </w:r>
            <w:r>
              <w:rPr>
                <w:spacing w:val="-13"/>
                <w:sz w:val="20"/>
              </w:rPr>
              <w:t> </w:t>
            </w:r>
            <w:r>
              <w:rPr>
                <w:sz w:val="20"/>
              </w:rPr>
              <w:t>имплантатов</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65"/>
        <w:gridCol w:w="1923"/>
        <w:gridCol w:w="3161"/>
        <w:gridCol w:w="1641"/>
        <w:gridCol w:w="3761"/>
        <w:gridCol w:w="1045"/>
      </w:tblGrid>
      <w:tr>
        <w:trPr>
          <w:trHeight w:val="2750" w:hRule="atLeast"/>
        </w:trPr>
        <w:tc>
          <w:tcPr>
            <w:tcW w:w="396" w:type="dxa"/>
          </w:tcPr>
          <w:p>
            <w:pPr>
              <w:pStyle w:val="TableParagraph"/>
              <w:spacing w:line="221" w:lineRule="exact"/>
              <w:ind w:left="50"/>
              <w:rPr>
                <w:sz w:val="20"/>
              </w:rPr>
            </w:pPr>
            <w:r>
              <w:rPr>
                <w:spacing w:val="-5"/>
                <w:sz w:val="20"/>
              </w:rPr>
              <w:t>4.</w:t>
            </w:r>
          </w:p>
        </w:tc>
        <w:tc>
          <w:tcPr>
            <w:tcW w:w="3065" w:type="dxa"/>
          </w:tcPr>
          <w:p>
            <w:pPr>
              <w:pStyle w:val="TableParagraph"/>
              <w:spacing w:line="249" w:lineRule="auto"/>
              <w:ind w:left="194" w:right="198"/>
              <w:rPr>
                <w:sz w:val="20"/>
              </w:rPr>
            </w:pPr>
            <w:r>
              <w:rPr>
                <w:spacing w:val="-2"/>
                <w:sz w:val="20"/>
              </w:rPr>
              <w:t>Хирургическое </w:t>
            </w:r>
            <w:r>
              <w:rPr>
                <w:sz w:val="20"/>
              </w:rPr>
              <w:t>органосохраняющее и </w:t>
            </w:r>
            <w:r>
              <w:rPr>
                <w:spacing w:val="-2"/>
                <w:sz w:val="20"/>
              </w:rPr>
              <w:t>реконструктивно-пластическое </w:t>
            </w:r>
            <w:r>
              <w:rPr>
                <w:sz w:val="20"/>
              </w:rPr>
              <w:t>лечение распространенных форм гигантских опухолей гениталий, смежных органов малого таза и других органов брюшной полости у женщин с </w:t>
            </w:r>
            <w:r>
              <w:rPr>
                <w:spacing w:val="-2"/>
                <w:sz w:val="20"/>
              </w:rPr>
              <w:t>использованием </w:t>
            </w:r>
            <w:r>
              <w:rPr>
                <w:sz w:val="20"/>
              </w:rPr>
              <w:t>лапароскопического и комбинированного доступов</w:t>
            </w:r>
          </w:p>
        </w:tc>
        <w:tc>
          <w:tcPr>
            <w:tcW w:w="1923" w:type="dxa"/>
          </w:tcPr>
          <w:p>
            <w:pPr>
              <w:pStyle w:val="TableParagraph"/>
              <w:spacing w:line="221" w:lineRule="exact"/>
              <w:ind w:left="117" w:right="110"/>
              <w:jc w:val="center"/>
              <w:rPr>
                <w:sz w:val="20"/>
              </w:rPr>
            </w:pPr>
            <w:r>
              <w:rPr>
                <w:sz w:val="20"/>
              </w:rPr>
              <w:t>D26,</w:t>
            </w:r>
            <w:r>
              <w:rPr>
                <w:spacing w:val="-2"/>
                <w:sz w:val="20"/>
              </w:rPr>
              <w:t> </w:t>
            </w:r>
            <w:r>
              <w:rPr>
                <w:sz w:val="20"/>
              </w:rPr>
              <w:t>D27,</w:t>
            </w:r>
            <w:r>
              <w:rPr>
                <w:spacing w:val="-4"/>
                <w:sz w:val="20"/>
              </w:rPr>
              <w:t> </w:t>
            </w:r>
            <w:r>
              <w:rPr>
                <w:sz w:val="20"/>
              </w:rPr>
              <w:t>D28,</w:t>
            </w:r>
            <w:r>
              <w:rPr>
                <w:spacing w:val="-2"/>
                <w:sz w:val="20"/>
              </w:rPr>
              <w:t> </w:t>
            </w:r>
            <w:r>
              <w:rPr>
                <w:spacing w:val="-5"/>
                <w:sz w:val="20"/>
              </w:rPr>
              <w:t>D25</w:t>
            </w:r>
          </w:p>
        </w:tc>
        <w:tc>
          <w:tcPr>
            <w:tcW w:w="3161" w:type="dxa"/>
          </w:tcPr>
          <w:p>
            <w:pPr>
              <w:pStyle w:val="TableParagraph"/>
              <w:spacing w:line="249" w:lineRule="auto"/>
              <w:ind w:left="90" w:right="85"/>
              <w:rPr>
                <w:sz w:val="20"/>
              </w:rPr>
            </w:pPr>
            <w:r>
              <w:rPr>
                <w:sz w:val="20"/>
              </w:rPr>
              <w:t>доброкачественная</w:t>
            </w:r>
            <w:r>
              <w:rPr>
                <w:spacing w:val="-13"/>
                <w:sz w:val="20"/>
              </w:rPr>
              <w:t> </w:t>
            </w:r>
            <w:r>
              <w:rPr>
                <w:sz w:val="20"/>
              </w:rPr>
              <w:t>опухоль</w:t>
            </w:r>
            <w:r>
              <w:rPr>
                <w:spacing w:val="-12"/>
                <w:sz w:val="20"/>
              </w:rPr>
              <w:t> </w:t>
            </w:r>
            <w:r>
              <w:rPr>
                <w:sz w:val="20"/>
              </w:rPr>
              <w:t>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rPr>
                <w:spacing w:val="-2"/>
                <w:sz w:val="20"/>
              </w:rPr>
              <w:t>возраста</w:t>
            </w:r>
          </w:p>
        </w:tc>
        <w:tc>
          <w:tcPr>
            <w:tcW w:w="1641" w:type="dxa"/>
          </w:tcPr>
          <w:p>
            <w:pPr>
              <w:pStyle w:val="TableParagraph"/>
              <w:spacing w:line="249" w:lineRule="auto"/>
              <w:ind w:left="86"/>
              <w:rPr>
                <w:sz w:val="20"/>
              </w:rPr>
            </w:pPr>
            <w:r>
              <w:rPr>
                <w:spacing w:val="-2"/>
                <w:sz w:val="20"/>
              </w:rPr>
              <w:t>хирургическое лечение</w:t>
            </w:r>
          </w:p>
        </w:tc>
        <w:tc>
          <w:tcPr>
            <w:tcW w:w="3761" w:type="dxa"/>
          </w:tcPr>
          <w:p>
            <w:pPr>
              <w:pStyle w:val="TableParagraph"/>
              <w:spacing w:line="249" w:lineRule="auto"/>
              <w:ind w:left="142" w:right="496"/>
              <w:rPr>
                <w:sz w:val="20"/>
              </w:rPr>
            </w:pPr>
            <w:r>
              <w:rPr>
                <w:sz w:val="20"/>
              </w:rPr>
              <w:t>удаление опухоли в пределах здоровых</w:t>
            </w:r>
            <w:r>
              <w:rPr>
                <w:spacing w:val="-13"/>
                <w:sz w:val="20"/>
              </w:rPr>
              <w:t> </w:t>
            </w:r>
            <w:r>
              <w:rPr>
                <w:sz w:val="20"/>
              </w:rPr>
              <w:t>тканей</w:t>
            </w:r>
            <w:r>
              <w:rPr>
                <w:spacing w:val="-12"/>
                <w:sz w:val="20"/>
              </w:rPr>
              <w:t> </w:t>
            </w:r>
            <w:r>
              <w:rPr>
                <w:sz w:val="20"/>
              </w:rPr>
              <w:t>с</w:t>
            </w:r>
            <w:r>
              <w:rPr>
                <w:spacing w:val="-13"/>
                <w:sz w:val="20"/>
              </w:rPr>
              <w:t> </w:t>
            </w:r>
            <w:r>
              <w:rPr>
                <w:sz w:val="20"/>
              </w:rPr>
              <w:t>использованием лапароскопического и комбинированного доступа, с </w:t>
            </w:r>
            <w:r>
              <w:rPr>
                <w:spacing w:val="-2"/>
                <w:sz w:val="20"/>
              </w:rPr>
              <w:t>иммуногистохимическим </w:t>
            </w:r>
            <w:r>
              <w:rPr>
                <w:sz w:val="20"/>
              </w:rPr>
              <w:t>исследованием удаленных тканей</w:t>
            </w:r>
          </w:p>
        </w:tc>
        <w:tc>
          <w:tcPr>
            <w:tcW w:w="1045" w:type="dxa"/>
          </w:tcPr>
          <w:p>
            <w:pPr>
              <w:pStyle w:val="TableParagraph"/>
              <w:spacing w:line="221" w:lineRule="exact"/>
              <w:ind w:right="50"/>
              <w:jc w:val="right"/>
              <w:rPr>
                <w:sz w:val="20"/>
              </w:rPr>
            </w:pPr>
            <w:r>
              <w:rPr>
                <w:spacing w:val="-2"/>
                <w:sz w:val="20"/>
              </w:rPr>
              <w:t>212352</w:t>
            </w:r>
          </w:p>
        </w:tc>
      </w:tr>
      <w:tr>
        <w:trPr>
          <w:trHeight w:val="480" w:hRule="atLeast"/>
        </w:trPr>
        <w:tc>
          <w:tcPr>
            <w:tcW w:w="396" w:type="dxa"/>
          </w:tcPr>
          <w:p>
            <w:pPr>
              <w:pStyle w:val="TableParagraph"/>
              <w:rPr>
                <w:sz w:val="18"/>
              </w:rPr>
            </w:pPr>
          </w:p>
        </w:tc>
        <w:tc>
          <w:tcPr>
            <w:tcW w:w="3065" w:type="dxa"/>
          </w:tcPr>
          <w:p>
            <w:pPr>
              <w:pStyle w:val="TableParagraph"/>
              <w:rPr>
                <w:sz w:val="18"/>
              </w:rPr>
            </w:pPr>
          </w:p>
        </w:tc>
        <w:tc>
          <w:tcPr>
            <w:tcW w:w="1923" w:type="dxa"/>
          </w:tcPr>
          <w:p>
            <w:pPr>
              <w:pStyle w:val="TableParagraph"/>
              <w:rPr>
                <w:sz w:val="18"/>
              </w:rPr>
            </w:pPr>
          </w:p>
        </w:tc>
        <w:tc>
          <w:tcPr>
            <w:tcW w:w="3161" w:type="dxa"/>
          </w:tcPr>
          <w:p>
            <w:pPr>
              <w:pStyle w:val="TableParagraph"/>
              <w:spacing w:before="120"/>
              <w:ind w:left="1430"/>
              <w:rPr>
                <w:sz w:val="20"/>
              </w:rPr>
            </w:pPr>
            <w:r>
              <w:rPr>
                <w:spacing w:val="-2"/>
                <w:sz w:val="20"/>
              </w:rPr>
              <w:t>Гастроэнтерология</w:t>
            </w:r>
          </w:p>
        </w:tc>
        <w:tc>
          <w:tcPr>
            <w:tcW w:w="1641" w:type="dxa"/>
          </w:tcPr>
          <w:p>
            <w:pPr>
              <w:pStyle w:val="TableParagraph"/>
              <w:rPr>
                <w:sz w:val="18"/>
              </w:rPr>
            </w:pPr>
          </w:p>
        </w:tc>
        <w:tc>
          <w:tcPr>
            <w:tcW w:w="3761" w:type="dxa"/>
          </w:tcPr>
          <w:p>
            <w:pPr>
              <w:pStyle w:val="TableParagraph"/>
              <w:rPr>
                <w:sz w:val="18"/>
              </w:rPr>
            </w:pPr>
          </w:p>
        </w:tc>
        <w:tc>
          <w:tcPr>
            <w:tcW w:w="1045" w:type="dxa"/>
          </w:tcPr>
          <w:p>
            <w:pPr>
              <w:pStyle w:val="TableParagraph"/>
              <w:rPr>
                <w:sz w:val="18"/>
              </w:rPr>
            </w:pPr>
          </w:p>
        </w:tc>
      </w:tr>
      <w:tr>
        <w:trPr>
          <w:trHeight w:val="4080" w:hRule="atLeast"/>
        </w:trPr>
        <w:tc>
          <w:tcPr>
            <w:tcW w:w="396" w:type="dxa"/>
          </w:tcPr>
          <w:p>
            <w:pPr>
              <w:pStyle w:val="TableParagraph"/>
              <w:spacing w:before="120"/>
              <w:ind w:left="50"/>
              <w:rPr>
                <w:sz w:val="20"/>
              </w:rPr>
            </w:pPr>
            <w:r>
              <w:rPr>
                <w:spacing w:val="-5"/>
                <w:sz w:val="20"/>
              </w:rPr>
              <w:t>5.</w:t>
            </w:r>
          </w:p>
        </w:tc>
        <w:tc>
          <w:tcPr>
            <w:tcW w:w="3065" w:type="dxa"/>
          </w:tcPr>
          <w:p>
            <w:pPr>
              <w:pStyle w:val="TableParagraph"/>
              <w:spacing w:line="249" w:lineRule="auto" w:before="120"/>
              <w:ind w:left="194" w:right="97"/>
              <w:rPr>
                <w:sz w:val="20"/>
              </w:rPr>
            </w:pPr>
            <w:r>
              <w:rPr>
                <w:sz w:val="20"/>
              </w:rPr>
              <w:t>Поликомпонентная</w:t>
            </w:r>
            <w:r>
              <w:rPr>
                <w:spacing w:val="-7"/>
                <w:sz w:val="20"/>
              </w:rPr>
              <w:t> </w:t>
            </w:r>
            <w:r>
              <w:rPr>
                <w:sz w:val="20"/>
              </w:rPr>
              <w:t>терапия</w:t>
            </w:r>
            <w:r>
              <w:rPr>
                <w:spacing w:val="-5"/>
                <w:sz w:val="20"/>
              </w:rPr>
              <w:t> </w:t>
            </w:r>
            <w:r>
              <w:rPr>
                <w:sz w:val="20"/>
              </w:rPr>
              <w:t>при язвенном колите и болезни Крона</w:t>
            </w:r>
            <w:r>
              <w:rPr>
                <w:spacing w:val="-9"/>
                <w:sz w:val="20"/>
              </w:rPr>
              <w:t> </w:t>
            </w:r>
            <w:r>
              <w:rPr>
                <w:sz w:val="20"/>
              </w:rPr>
              <w:t>3</w:t>
            </w:r>
            <w:r>
              <w:rPr>
                <w:spacing w:val="-8"/>
                <w:sz w:val="20"/>
              </w:rPr>
              <w:t> </w:t>
            </w:r>
            <w:r>
              <w:rPr>
                <w:sz w:val="20"/>
              </w:rPr>
              <w:t>и</w:t>
            </w:r>
            <w:r>
              <w:rPr>
                <w:spacing w:val="-10"/>
                <w:sz w:val="20"/>
              </w:rPr>
              <w:t> </w:t>
            </w:r>
            <w:r>
              <w:rPr>
                <w:sz w:val="20"/>
              </w:rPr>
              <w:t>4</w:t>
            </w:r>
            <w:r>
              <w:rPr>
                <w:spacing w:val="-8"/>
                <w:sz w:val="20"/>
              </w:rPr>
              <w:t> </w:t>
            </w:r>
            <w:r>
              <w:rPr>
                <w:sz w:val="20"/>
              </w:rPr>
              <w:t>степени</w:t>
            </w:r>
            <w:r>
              <w:rPr>
                <w:spacing w:val="-10"/>
                <w:sz w:val="20"/>
              </w:rPr>
              <w:t> </w:t>
            </w:r>
            <w:r>
              <w:rPr>
                <w:sz w:val="20"/>
              </w:rPr>
              <w:t>активности, гормонозависимых и гормонорезистентных формах, тяжелой форме целиакии химиотерапевтическими и </w:t>
            </w:r>
            <w:r>
              <w:rPr>
                <w:spacing w:val="-2"/>
                <w:sz w:val="20"/>
              </w:rPr>
              <w:t>генно-инженерными биологическими </w:t>
            </w:r>
            <w:r>
              <w:rPr>
                <w:sz w:val="20"/>
              </w:rPr>
              <w:t>лекарственными препаратами под контролем </w:t>
            </w:r>
            <w:r>
              <w:rPr>
                <w:spacing w:val="-2"/>
                <w:sz w:val="20"/>
              </w:rPr>
              <w:t>иммунологических, морфологических, гистохимических инструментальных</w:t>
            </w:r>
            <w:r>
              <w:rPr>
                <w:spacing w:val="40"/>
                <w:sz w:val="20"/>
              </w:rPr>
              <w:t> </w:t>
            </w:r>
            <w:r>
              <w:rPr>
                <w:spacing w:val="-2"/>
                <w:sz w:val="20"/>
              </w:rPr>
              <w:t>исследований</w:t>
            </w:r>
          </w:p>
        </w:tc>
        <w:tc>
          <w:tcPr>
            <w:tcW w:w="1923" w:type="dxa"/>
          </w:tcPr>
          <w:p>
            <w:pPr>
              <w:pStyle w:val="TableParagraph"/>
              <w:spacing w:before="120"/>
              <w:ind w:left="117" w:right="107"/>
              <w:jc w:val="center"/>
              <w:rPr>
                <w:sz w:val="20"/>
              </w:rPr>
            </w:pPr>
            <w:r>
              <w:rPr>
                <w:sz w:val="20"/>
              </w:rPr>
              <w:t>K50,</w:t>
            </w:r>
            <w:r>
              <w:rPr>
                <w:spacing w:val="-2"/>
                <w:sz w:val="20"/>
              </w:rPr>
              <w:t> </w:t>
            </w:r>
            <w:r>
              <w:rPr>
                <w:sz w:val="20"/>
              </w:rPr>
              <w:t>K51,</w:t>
            </w:r>
            <w:r>
              <w:rPr>
                <w:spacing w:val="-4"/>
                <w:sz w:val="20"/>
              </w:rPr>
              <w:t> </w:t>
            </w:r>
            <w:r>
              <w:rPr>
                <w:spacing w:val="-2"/>
                <w:sz w:val="20"/>
              </w:rPr>
              <w:t>K90.0</w:t>
            </w:r>
          </w:p>
        </w:tc>
        <w:tc>
          <w:tcPr>
            <w:tcW w:w="3161" w:type="dxa"/>
          </w:tcPr>
          <w:p>
            <w:pPr>
              <w:pStyle w:val="TableParagraph"/>
              <w:spacing w:line="249" w:lineRule="auto" w:before="120"/>
              <w:ind w:left="90" w:right="85"/>
              <w:rPr>
                <w:sz w:val="20"/>
              </w:rPr>
            </w:pPr>
            <w:r>
              <w:rPr>
                <w:sz w:val="20"/>
              </w:rPr>
              <w:t>язвенный</w:t>
            </w:r>
            <w:r>
              <w:rPr>
                <w:spacing w:val="-7"/>
                <w:sz w:val="20"/>
              </w:rPr>
              <w:t> </w:t>
            </w:r>
            <w:r>
              <w:rPr>
                <w:sz w:val="20"/>
              </w:rPr>
              <w:t>колит</w:t>
            </w:r>
            <w:r>
              <w:rPr>
                <w:spacing w:val="-10"/>
                <w:sz w:val="20"/>
              </w:rPr>
              <w:t> </w:t>
            </w:r>
            <w:r>
              <w:rPr>
                <w:sz w:val="20"/>
              </w:rPr>
              <w:t>и</w:t>
            </w:r>
            <w:r>
              <w:rPr>
                <w:spacing w:val="-8"/>
                <w:sz w:val="20"/>
              </w:rPr>
              <w:t> </w:t>
            </w:r>
            <w:r>
              <w:rPr>
                <w:sz w:val="20"/>
              </w:rPr>
              <w:t>болезнь</w:t>
            </w:r>
            <w:r>
              <w:rPr>
                <w:spacing w:val="-7"/>
                <w:sz w:val="20"/>
              </w:rPr>
              <w:t> </w:t>
            </w:r>
            <w:r>
              <w:rPr>
                <w:sz w:val="20"/>
              </w:rPr>
              <w:t>Крона</w:t>
            </w:r>
            <w:r>
              <w:rPr>
                <w:spacing w:val="-9"/>
                <w:sz w:val="20"/>
              </w:rPr>
              <w:t> </w:t>
            </w:r>
            <w:r>
              <w:rPr>
                <w:sz w:val="20"/>
              </w:rPr>
              <w:t>3 и 4 степени активности, гормонозависимые и гормонорезистентные формы.</w:t>
            </w:r>
          </w:p>
          <w:p>
            <w:pPr>
              <w:pStyle w:val="TableParagraph"/>
              <w:spacing w:before="4"/>
              <w:ind w:left="90"/>
              <w:rPr>
                <w:sz w:val="20"/>
              </w:rPr>
            </w:pPr>
            <w:r>
              <w:rPr>
                <w:sz w:val="20"/>
              </w:rPr>
              <w:t>Тяжелые</w:t>
            </w:r>
            <w:r>
              <w:rPr>
                <w:spacing w:val="-6"/>
                <w:sz w:val="20"/>
              </w:rPr>
              <w:t> </w:t>
            </w:r>
            <w:r>
              <w:rPr>
                <w:sz w:val="20"/>
              </w:rPr>
              <w:t>формы</w:t>
            </w:r>
            <w:r>
              <w:rPr>
                <w:spacing w:val="-5"/>
                <w:sz w:val="20"/>
              </w:rPr>
              <w:t> </w:t>
            </w:r>
            <w:r>
              <w:rPr>
                <w:spacing w:val="-2"/>
                <w:sz w:val="20"/>
              </w:rPr>
              <w:t>целиакии</w:t>
            </w:r>
          </w:p>
        </w:tc>
        <w:tc>
          <w:tcPr>
            <w:tcW w:w="1641" w:type="dxa"/>
          </w:tcPr>
          <w:p>
            <w:pPr>
              <w:pStyle w:val="TableParagraph"/>
              <w:spacing w:line="252" w:lineRule="auto" w:before="120"/>
              <w:ind w:left="86"/>
              <w:rPr>
                <w:sz w:val="20"/>
              </w:rPr>
            </w:pPr>
            <w:r>
              <w:rPr>
                <w:spacing w:val="-2"/>
                <w:sz w:val="20"/>
              </w:rPr>
              <w:t>терапевтическое лечение</w:t>
            </w:r>
          </w:p>
        </w:tc>
        <w:tc>
          <w:tcPr>
            <w:tcW w:w="3761" w:type="dxa"/>
          </w:tcPr>
          <w:p>
            <w:pPr>
              <w:pStyle w:val="TableParagraph"/>
              <w:spacing w:line="249" w:lineRule="auto" w:before="120"/>
              <w:ind w:left="142" w:right="496"/>
              <w:rPr>
                <w:sz w:val="20"/>
              </w:rPr>
            </w:pPr>
            <w:r>
              <w:rPr>
                <w:sz w:val="20"/>
              </w:rPr>
              <w:t>поликомпонентная терапия химиотерапевтическими и генно- инженерными биологическими лекарственными препаратами под контролем иммунологических, морфологических,</w:t>
            </w:r>
            <w:r>
              <w:rPr>
                <w:spacing w:val="-13"/>
                <w:sz w:val="20"/>
              </w:rPr>
              <w:t> </w:t>
            </w:r>
            <w:r>
              <w:rPr>
                <w:sz w:val="20"/>
              </w:rPr>
              <w:t>гистохимических инструментальных исследований</w:t>
            </w:r>
          </w:p>
        </w:tc>
        <w:tc>
          <w:tcPr>
            <w:tcW w:w="1045" w:type="dxa"/>
          </w:tcPr>
          <w:p>
            <w:pPr>
              <w:pStyle w:val="TableParagraph"/>
              <w:spacing w:before="120"/>
              <w:ind w:right="50"/>
              <w:jc w:val="right"/>
              <w:rPr>
                <w:sz w:val="20"/>
              </w:rPr>
            </w:pPr>
            <w:r>
              <w:rPr>
                <w:spacing w:val="-2"/>
                <w:sz w:val="20"/>
              </w:rPr>
              <w:t>146554</w:t>
            </w:r>
          </w:p>
        </w:tc>
      </w:tr>
      <w:tr>
        <w:trPr>
          <w:trHeight w:val="830" w:hRule="atLeast"/>
        </w:trPr>
        <w:tc>
          <w:tcPr>
            <w:tcW w:w="396" w:type="dxa"/>
          </w:tcPr>
          <w:p>
            <w:pPr>
              <w:pStyle w:val="TableParagraph"/>
              <w:rPr>
                <w:sz w:val="18"/>
              </w:rPr>
            </w:pPr>
          </w:p>
        </w:tc>
        <w:tc>
          <w:tcPr>
            <w:tcW w:w="3065" w:type="dxa"/>
          </w:tcPr>
          <w:p>
            <w:pPr>
              <w:pStyle w:val="TableParagraph"/>
              <w:spacing w:line="240" w:lineRule="atLeast" w:before="90"/>
              <w:ind w:left="194" w:right="97"/>
              <w:rPr>
                <w:sz w:val="20"/>
              </w:rPr>
            </w:pPr>
            <w:r>
              <w:rPr>
                <w:sz w:val="20"/>
              </w:rPr>
              <w:t>Поликомпонентная</w:t>
            </w:r>
            <w:r>
              <w:rPr>
                <w:spacing w:val="-13"/>
                <w:sz w:val="20"/>
              </w:rPr>
              <w:t> </w:t>
            </w:r>
            <w:r>
              <w:rPr>
                <w:sz w:val="20"/>
              </w:rPr>
              <w:t>терапия</w:t>
            </w:r>
            <w:r>
              <w:rPr>
                <w:spacing w:val="-12"/>
                <w:sz w:val="20"/>
              </w:rPr>
              <w:t> </w:t>
            </w:r>
            <w:r>
              <w:rPr>
                <w:sz w:val="20"/>
              </w:rPr>
              <w:t>при аутоиммунном перекресте с </w:t>
            </w:r>
            <w:r>
              <w:rPr>
                <w:spacing w:val="-2"/>
                <w:sz w:val="20"/>
              </w:rPr>
              <w:t>применением</w:t>
            </w:r>
          </w:p>
        </w:tc>
        <w:tc>
          <w:tcPr>
            <w:tcW w:w="1923" w:type="dxa"/>
          </w:tcPr>
          <w:p>
            <w:pPr>
              <w:pStyle w:val="TableParagraph"/>
              <w:spacing w:line="249" w:lineRule="auto" w:before="120"/>
              <w:ind w:left="141" w:hanging="44"/>
              <w:rPr>
                <w:sz w:val="20"/>
              </w:rPr>
            </w:pPr>
            <w:r>
              <w:rPr>
                <w:sz w:val="20"/>
              </w:rPr>
              <w:t>K73.2,</w:t>
            </w:r>
            <w:r>
              <w:rPr>
                <w:spacing w:val="-13"/>
                <w:sz w:val="20"/>
              </w:rPr>
              <w:t> </w:t>
            </w:r>
            <w:r>
              <w:rPr>
                <w:sz w:val="20"/>
              </w:rPr>
              <w:t>K74.3,</w:t>
            </w:r>
            <w:r>
              <w:rPr>
                <w:spacing w:val="-12"/>
                <w:sz w:val="20"/>
              </w:rPr>
              <w:t> </w:t>
            </w:r>
            <w:r>
              <w:rPr>
                <w:sz w:val="20"/>
              </w:rPr>
              <w:t>K83.0, B18.0,</w:t>
            </w:r>
            <w:r>
              <w:rPr>
                <w:spacing w:val="-5"/>
                <w:sz w:val="20"/>
              </w:rPr>
              <w:t> </w:t>
            </w:r>
            <w:r>
              <w:rPr>
                <w:sz w:val="20"/>
              </w:rPr>
              <w:t>B18.1,</w:t>
            </w:r>
            <w:r>
              <w:rPr>
                <w:spacing w:val="-5"/>
                <w:sz w:val="20"/>
              </w:rPr>
              <w:t> </w:t>
            </w:r>
            <w:r>
              <w:rPr>
                <w:spacing w:val="-2"/>
                <w:sz w:val="20"/>
              </w:rPr>
              <w:t>B18.2</w:t>
            </w:r>
          </w:p>
        </w:tc>
        <w:tc>
          <w:tcPr>
            <w:tcW w:w="3161" w:type="dxa"/>
          </w:tcPr>
          <w:p>
            <w:pPr>
              <w:pStyle w:val="TableParagraph"/>
              <w:spacing w:line="240" w:lineRule="atLeast" w:before="90"/>
              <w:ind w:left="90" w:right="85"/>
              <w:rPr>
                <w:sz w:val="20"/>
              </w:rPr>
            </w:pPr>
            <w:r>
              <w:rPr>
                <w:sz w:val="20"/>
              </w:rPr>
              <w:t>хронический аутоиммунный гепатит</w:t>
            </w:r>
            <w:r>
              <w:rPr>
                <w:spacing w:val="-10"/>
                <w:sz w:val="20"/>
              </w:rPr>
              <w:t> </w:t>
            </w:r>
            <w:r>
              <w:rPr>
                <w:sz w:val="20"/>
              </w:rPr>
              <w:t>в</w:t>
            </w:r>
            <w:r>
              <w:rPr>
                <w:spacing w:val="-10"/>
                <w:sz w:val="20"/>
              </w:rPr>
              <w:t> </w:t>
            </w:r>
            <w:r>
              <w:rPr>
                <w:sz w:val="20"/>
              </w:rPr>
              <w:t>сочетании</w:t>
            </w:r>
            <w:r>
              <w:rPr>
                <w:spacing w:val="-10"/>
                <w:sz w:val="20"/>
              </w:rPr>
              <w:t> </w:t>
            </w:r>
            <w:r>
              <w:rPr>
                <w:sz w:val="20"/>
              </w:rPr>
              <w:t>с</w:t>
            </w:r>
            <w:r>
              <w:rPr>
                <w:spacing w:val="-9"/>
                <w:sz w:val="20"/>
              </w:rPr>
              <w:t> </w:t>
            </w:r>
            <w:r>
              <w:rPr>
                <w:sz w:val="20"/>
              </w:rPr>
              <w:t>первично- склерозирующим холангитом</w:t>
            </w:r>
          </w:p>
        </w:tc>
        <w:tc>
          <w:tcPr>
            <w:tcW w:w="1641" w:type="dxa"/>
          </w:tcPr>
          <w:p>
            <w:pPr>
              <w:pStyle w:val="TableParagraph"/>
              <w:spacing w:line="249" w:lineRule="auto" w:before="120"/>
              <w:ind w:left="86"/>
              <w:rPr>
                <w:sz w:val="20"/>
              </w:rPr>
            </w:pPr>
            <w:r>
              <w:rPr>
                <w:spacing w:val="-2"/>
                <w:sz w:val="20"/>
              </w:rPr>
              <w:t>терапевтическое лечение</w:t>
            </w:r>
          </w:p>
        </w:tc>
        <w:tc>
          <w:tcPr>
            <w:tcW w:w="3761" w:type="dxa"/>
          </w:tcPr>
          <w:p>
            <w:pPr>
              <w:pStyle w:val="TableParagraph"/>
              <w:spacing w:line="240" w:lineRule="atLeast" w:before="90"/>
              <w:ind w:left="142" w:right="384"/>
              <w:rPr>
                <w:sz w:val="20"/>
              </w:rPr>
            </w:pPr>
            <w:r>
              <w:rPr>
                <w:sz w:val="20"/>
              </w:rPr>
              <w:t>поликомпонентная терапия при аутоиммунном перекресте с применением</w:t>
            </w:r>
            <w:r>
              <w:rPr>
                <w:spacing w:val="-13"/>
                <w:sz w:val="20"/>
              </w:rPr>
              <w:t> </w:t>
            </w:r>
            <w:r>
              <w:rPr>
                <w:sz w:val="20"/>
              </w:rPr>
              <w:t>химиотерапевтических,</w:t>
            </w:r>
          </w:p>
        </w:tc>
        <w:tc>
          <w:tcPr>
            <w:tcW w:w="104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72"/>
        <w:gridCol w:w="1916"/>
        <w:gridCol w:w="3183"/>
        <w:gridCol w:w="1620"/>
        <w:gridCol w:w="3819"/>
        <w:gridCol w:w="986"/>
      </w:tblGrid>
      <w:tr>
        <w:trPr>
          <w:trHeight w:val="830" w:hRule="atLeast"/>
        </w:trPr>
        <w:tc>
          <w:tcPr>
            <w:tcW w:w="396" w:type="dxa"/>
            <w:vMerge w:val="restart"/>
          </w:tcPr>
          <w:p>
            <w:pPr>
              <w:pStyle w:val="TableParagraph"/>
              <w:rPr>
                <w:sz w:val="18"/>
              </w:rPr>
            </w:pPr>
          </w:p>
        </w:tc>
        <w:tc>
          <w:tcPr>
            <w:tcW w:w="3072" w:type="dxa"/>
            <w:vMerge w:val="restart"/>
          </w:tcPr>
          <w:p>
            <w:pPr>
              <w:pStyle w:val="TableParagraph"/>
              <w:spacing w:line="249" w:lineRule="auto"/>
              <w:ind w:left="194" w:right="222"/>
              <w:rPr>
                <w:sz w:val="20"/>
              </w:rPr>
            </w:pPr>
            <w:r>
              <w:rPr>
                <w:sz w:val="20"/>
              </w:rPr>
              <w:t>химиотерапевтических,</w:t>
            </w:r>
            <w:r>
              <w:rPr>
                <w:spacing w:val="-9"/>
                <w:sz w:val="20"/>
              </w:rPr>
              <w:t> </w:t>
            </w:r>
            <w:r>
              <w:rPr>
                <w:sz w:val="20"/>
              </w:rPr>
              <w:t>генно- инженерных биологических и </w:t>
            </w:r>
            <w:r>
              <w:rPr>
                <w:spacing w:val="-2"/>
                <w:sz w:val="20"/>
              </w:rPr>
              <w:t>противовирусных </w:t>
            </w:r>
            <w:r>
              <w:rPr>
                <w:sz w:val="20"/>
              </w:rPr>
              <w:t>лекарственных</w:t>
            </w:r>
            <w:r>
              <w:rPr>
                <w:spacing w:val="-13"/>
                <w:sz w:val="20"/>
              </w:rPr>
              <w:t> </w:t>
            </w:r>
            <w:r>
              <w:rPr>
                <w:sz w:val="20"/>
              </w:rPr>
              <w:t>препаратов</w:t>
            </w:r>
            <w:r>
              <w:rPr>
                <w:spacing w:val="-12"/>
                <w:sz w:val="20"/>
              </w:rPr>
              <w:t> </w:t>
            </w:r>
            <w:r>
              <w:rPr>
                <w:sz w:val="20"/>
              </w:rPr>
              <w:t>под контролем</w:t>
            </w:r>
            <w:r>
              <w:rPr>
                <w:spacing w:val="-13"/>
                <w:sz w:val="20"/>
              </w:rPr>
              <w:t> </w:t>
            </w:r>
            <w:r>
              <w:rPr>
                <w:sz w:val="20"/>
              </w:rPr>
              <w:t>иммунологических, </w:t>
            </w:r>
            <w:r>
              <w:rPr>
                <w:spacing w:val="-2"/>
                <w:sz w:val="20"/>
              </w:rPr>
              <w:t>морфологических, гистохимических инструментальных </w:t>
            </w:r>
            <w:r>
              <w:rPr>
                <w:sz w:val="20"/>
              </w:rPr>
              <w:t>исследований (включая </w:t>
            </w:r>
            <w:r>
              <w:rPr>
                <w:spacing w:val="-2"/>
                <w:sz w:val="20"/>
              </w:rPr>
              <w:t>магнитно-резонансную холангиографию)</w:t>
            </w:r>
          </w:p>
        </w:tc>
        <w:tc>
          <w:tcPr>
            <w:tcW w:w="1916" w:type="dxa"/>
          </w:tcPr>
          <w:p>
            <w:pPr>
              <w:pStyle w:val="TableParagraph"/>
              <w:rPr>
                <w:sz w:val="18"/>
              </w:rPr>
            </w:pPr>
          </w:p>
        </w:tc>
        <w:tc>
          <w:tcPr>
            <w:tcW w:w="3183" w:type="dxa"/>
          </w:tcPr>
          <w:p>
            <w:pPr>
              <w:pStyle w:val="TableParagraph"/>
              <w:spacing w:line="249" w:lineRule="auto"/>
              <w:ind w:left="91" w:right="62"/>
              <w:rPr>
                <w:sz w:val="20"/>
              </w:rPr>
            </w:pPr>
            <w:r>
              <w:rPr>
                <w:sz w:val="20"/>
              </w:rPr>
              <w:t>хронический аутоиммунный гепатит</w:t>
            </w:r>
            <w:r>
              <w:rPr>
                <w:spacing w:val="-11"/>
                <w:sz w:val="20"/>
              </w:rPr>
              <w:t> </w:t>
            </w:r>
            <w:r>
              <w:rPr>
                <w:sz w:val="20"/>
              </w:rPr>
              <w:t>в</w:t>
            </w:r>
            <w:r>
              <w:rPr>
                <w:spacing w:val="-11"/>
                <w:sz w:val="20"/>
              </w:rPr>
              <w:t> </w:t>
            </w:r>
            <w:r>
              <w:rPr>
                <w:sz w:val="20"/>
              </w:rPr>
              <w:t>сочетании</w:t>
            </w:r>
            <w:r>
              <w:rPr>
                <w:spacing w:val="-11"/>
                <w:sz w:val="20"/>
              </w:rPr>
              <w:t> </w:t>
            </w:r>
            <w:r>
              <w:rPr>
                <w:sz w:val="20"/>
              </w:rPr>
              <w:t>с</w:t>
            </w:r>
            <w:r>
              <w:rPr>
                <w:spacing w:val="-10"/>
                <w:sz w:val="20"/>
              </w:rPr>
              <w:t> </w:t>
            </w:r>
            <w:r>
              <w:rPr>
                <w:sz w:val="20"/>
              </w:rPr>
              <w:t>первичным билиарным циррозом печени</w:t>
            </w:r>
          </w:p>
        </w:tc>
        <w:tc>
          <w:tcPr>
            <w:tcW w:w="1620" w:type="dxa"/>
            <w:vMerge w:val="restart"/>
          </w:tcPr>
          <w:p>
            <w:pPr>
              <w:pStyle w:val="TableParagraph"/>
              <w:rPr>
                <w:sz w:val="18"/>
              </w:rPr>
            </w:pPr>
          </w:p>
        </w:tc>
        <w:tc>
          <w:tcPr>
            <w:tcW w:w="3819" w:type="dxa"/>
            <w:vMerge w:val="restart"/>
          </w:tcPr>
          <w:p>
            <w:pPr>
              <w:pStyle w:val="TableParagraph"/>
              <w:spacing w:line="249" w:lineRule="auto"/>
              <w:ind w:left="141" w:right="355"/>
              <w:rPr>
                <w:sz w:val="20"/>
              </w:rPr>
            </w:pPr>
            <w:r>
              <w:rPr>
                <w:sz w:val="20"/>
              </w:rPr>
              <w:t>генно-инженерных биологических и противовирусных лекарственных препаратов под контролем иммунологических,</w:t>
            </w:r>
            <w:r>
              <w:rPr>
                <w:spacing w:val="-13"/>
                <w:sz w:val="20"/>
              </w:rPr>
              <w:t> </w:t>
            </w:r>
            <w:r>
              <w:rPr>
                <w:sz w:val="20"/>
              </w:rPr>
              <w:t>морфологических, гистохимических инструментальных исследований (включая магнитно- резонансную холангиографию)</w:t>
            </w:r>
          </w:p>
        </w:tc>
        <w:tc>
          <w:tcPr>
            <w:tcW w:w="986" w:type="dxa"/>
            <w:vMerge w:val="restart"/>
          </w:tcPr>
          <w:p>
            <w:pPr>
              <w:pStyle w:val="TableParagraph"/>
              <w:rPr>
                <w:sz w:val="18"/>
              </w:rPr>
            </w:pPr>
          </w:p>
        </w:tc>
      </w:tr>
      <w:tr>
        <w:trPr>
          <w:trHeight w:val="960" w:hRule="atLeast"/>
        </w:trPr>
        <w:tc>
          <w:tcPr>
            <w:tcW w:w="396" w:type="dxa"/>
            <w:vMerge/>
            <w:tcBorders>
              <w:top w:val="nil"/>
            </w:tcBorders>
          </w:tcPr>
          <w:p>
            <w:pPr>
              <w:rPr>
                <w:sz w:val="2"/>
                <w:szCs w:val="2"/>
              </w:rPr>
            </w:pPr>
          </w:p>
        </w:tc>
        <w:tc>
          <w:tcPr>
            <w:tcW w:w="3072" w:type="dxa"/>
            <w:vMerge/>
            <w:tcBorders>
              <w:top w:val="nil"/>
            </w:tcBorders>
          </w:tcPr>
          <w:p>
            <w:pPr>
              <w:rPr>
                <w:sz w:val="2"/>
                <w:szCs w:val="2"/>
              </w:rPr>
            </w:pPr>
          </w:p>
        </w:tc>
        <w:tc>
          <w:tcPr>
            <w:tcW w:w="1916" w:type="dxa"/>
          </w:tcPr>
          <w:p>
            <w:pPr>
              <w:pStyle w:val="TableParagraph"/>
              <w:rPr>
                <w:sz w:val="18"/>
              </w:rPr>
            </w:pPr>
          </w:p>
        </w:tc>
        <w:tc>
          <w:tcPr>
            <w:tcW w:w="3183" w:type="dxa"/>
          </w:tcPr>
          <w:p>
            <w:pPr>
              <w:pStyle w:val="TableParagraph"/>
              <w:spacing w:line="249" w:lineRule="auto" w:before="120"/>
              <w:ind w:left="91" w:right="62"/>
              <w:rPr>
                <w:sz w:val="20"/>
              </w:rPr>
            </w:pPr>
            <w:r>
              <w:rPr>
                <w:sz w:val="20"/>
              </w:rPr>
              <w:t>хронический аутоиммунный гепатит</w:t>
            </w:r>
            <w:r>
              <w:rPr>
                <w:spacing w:val="-11"/>
                <w:sz w:val="20"/>
              </w:rPr>
              <w:t> </w:t>
            </w:r>
            <w:r>
              <w:rPr>
                <w:sz w:val="20"/>
              </w:rPr>
              <w:t>в</w:t>
            </w:r>
            <w:r>
              <w:rPr>
                <w:spacing w:val="-11"/>
                <w:sz w:val="20"/>
              </w:rPr>
              <w:t> </w:t>
            </w:r>
            <w:r>
              <w:rPr>
                <w:sz w:val="20"/>
              </w:rPr>
              <w:t>сочетании</w:t>
            </w:r>
            <w:r>
              <w:rPr>
                <w:spacing w:val="-11"/>
                <w:sz w:val="20"/>
              </w:rPr>
              <w:t> </w:t>
            </w:r>
            <w:r>
              <w:rPr>
                <w:sz w:val="20"/>
              </w:rPr>
              <w:t>с</w:t>
            </w:r>
            <w:r>
              <w:rPr>
                <w:spacing w:val="-10"/>
                <w:sz w:val="20"/>
              </w:rPr>
              <w:t> </w:t>
            </w:r>
            <w:r>
              <w:rPr>
                <w:sz w:val="20"/>
              </w:rPr>
              <w:t>хроническим вирусным гепатитом C</w:t>
            </w:r>
          </w:p>
        </w:tc>
        <w:tc>
          <w:tcPr>
            <w:tcW w:w="1620" w:type="dxa"/>
            <w:vMerge/>
            <w:tcBorders>
              <w:top w:val="nil"/>
            </w:tcBorders>
          </w:tcPr>
          <w:p>
            <w:pPr>
              <w:rPr>
                <w:sz w:val="2"/>
                <w:szCs w:val="2"/>
              </w:rPr>
            </w:pPr>
          </w:p>
        </w:tc>
        <w:tc>
          <w:tcPr>
            <w:tcW w:w="3819" w:type="dxa"/>
            <w:vMerge/>
            <w:tcBorders>
              <w:top w:val="nil"/>
            </w:tcBorders>
          </w:tcPr>
          <w:p>
            <w:pPr>
              <w:rPr>
                <w:sz w:val="2"/>
                <w:szCs w:val="2"/>
              </w:rPr>
            </w:pPr>
          </w:p>
        </w:tc>
        <w:tc>
          <w:tcPr>
            <w:tcW w:w="986" w:type="dxa"/>
            <w:vMerge/>
            <w:tcBorders>
              <w:top w:val="nil"/>
            </w:tcBorders>
          </w:tcPr>
          <w:p>
            <w:pPr>
              <w:rPr>
                <w:sz w:val="2"/>
                <w:szCs w:val="2"/>
              </w:rPr>
            </w:pPr>
          </w:p>
        </w:tc>
      </w:tr>
      <w:tr>
        <w:trPr>
          <w:trHeight w:val="960" w:hRule="atLeast"/>
        </w:trPr>
        <w:tc>
          <w:tcPr>
            <w:tcW w:w="396" w:type="dxa"/>
            <w:vMerge/>
            <w:tcBorders>
              <w:top w:val="nil"/>
            </w:tcBorders>
          </w:tcPr>
          <w:p>
            <w:pPr>
              <w:rPr>
                <w:sz w:val="2"/>
                <w:szCs w:val="2"/>
              </w:rPr>
            </w:pPr>
          </w:p>
        </w:tc>
        <w:tc>
          <w:tcPr>
            <w:tcW w:w="3072" w:type="dxa"/>
            <w:vMerge/>
            <w:tcBorders>
              <w:top w:val="nil"/>
            </w:tcBorders>
          </w:tcPr>
          <w:p>
            <w:pPr>
              <w:rPr>
                <w:sz w:val="2"/>
                <w:szCs w:val="2"/>
              </w:rPr>
            </w:pPr>
          </w:p>
        </w:tc>
        <w:tc>
          <w:tcPr>
            <w:tcW w:w="1916" w:type="dxa"/>
          </w:tcPr>
          <w:p>
            <w:pPr>
              <w:pStyle w:val="TableParagraph"/>
              <w:rPr>
                <w:sz w:val="18"/>
              </w:rPr>
            </w:pPr>
          </w:p>
        </w:tc>
        <w:tc>
          <w:tcPr>
            <w:tcW w:w="3183" w:type="dxa"/>
          </w:tcPr>
          <w:p>
            <w:pPr>
              <w:pStyle w:val="TableParagraph"/>
              <w:spacing w:line="249" w:lineRule="auto" w:before="120"/>
              <w:ind w:left="91" w:right="62"/>
              <w:rPr>
                <w:sz w:val="20"/>
              </w:rPr>
            </w:pPr>
            <w:r>
              <w:rPr>
                <w:sz w:val="20"/>
              </w:rPr>
              <w:t>хронический аутоиммунный гепатит</w:t>
            </w:r>
            <w:r>
              <w:rPr>
                <w:spacing w:val="-11"/>
                <w:sz w:val="20"/>
              </w:rPr>
              <w:t> </w:t>
            </w:r>
            <w:r>
              <w:rPr>
                <w:sz w:val="20"/>
              </w:rPr>
              <w:t>в</w:t>
            </w:r>
            <w:r>
              <w:rPr>
                <w:spacing w:val="-11"/>
                <w:sz w:val="20"/>
              </w:rPr>
              <w:t> </w:t>
            </w:r>
            <w:r>
              <w:rPr>
                <w:sz w:val="20"/>
              </w:rPr>
              <w:t>сочетании</w:t>
            </w:r>
            <w:r>
              <w:rPr>
                <w:spacing w:val="-11"/>
                <w:sz w:val="20"/>
              </w:rPr>
              <w:t> </w:t>
            </w:r>
            <w:r>
              <w:rPr>
                <w:sz w:val="20"/>
              </w:rPr>
              <w:t>с</w:t>
            </w:r>
            <w:r>
              <w:rPr>
                <w:spacing w:val="-10"/>
                <w:sz w:val="20"/>
              </w:rPr>
              <w:t> </w:t>
            </w:r>
            <w:r>
              <w:rPr>
                <w:sz w:val="20"/>
              </w:rPr>
              <w:t>хроническим вирусным гепатитом B</w:t>
            </w:r>
          </w:p>
        </w:tc>
        <w:tc>
          <w:tcPr>
            <w:tcW w:w="1620" w:type="dxa"/>
          </w:tcPr>
          <w:p>
            <w:pPr>
              <w:pStyle w:val="TableParagraph"/>
              <w:rPr>
                <w:sz w:val="18"/>
              </w:rPr>
            </w:pPr>
          </w:p>
        </w:tc>
        <w:tc>
          <w:tcPr>
            <w:tcW w:w="3819" w:type="dxa"/>
          </w:tcPr>
          <w:p>
            <w:pPr>
              <w:pStyle w:val="TableParagraph"/>
              <w:rPr>
                <w:sz w:val="18"/>
              </w:rPr>
            </w:pPr>
          </w:p>
        </w:tc>
        <w:tc>
          <w:tcPr>
            <w:tcW w:w="986" w:type="dxa"/>
          </w:tcPr>
          <w:p>
            <w:pPr>
              <w:pStyle w:val="TableParagraph"/>
              <w:rPr>
                <w:sz w:val="18"/>
              </w:rPr>
            </w:pPr>
          </w:p>
        </w:tc>
      </w:tr>
      <w:tr>
        <w:trPr>
          <w:trHeight w:val="480" w:hRule="atLeast"/>
        </w:trPr>
        <w:tc>
          <w:tcPr>
            <w:tcW w:w="396" w:type="dxa"/>
          </w:tcPr>
          <w:p>
            <w:pPr>
              <w:pStyle w:val="TableParagraph"/>
              <w:rPr>
                <w:sz w:val="18"/>
              </w:rPr>
            </w:pPr>
          </w:p>
        </w:tc>
        <w:tc>
          <w:tcPr>
            <w:tcW w:w="3072" w:type="dxa"/>
          </w:tcPr>
          <w:p>
            <w:pPr>
              <w:pStyle w:val="TableParagraph"/>
              <w:rPr>
                <w:sz w:val="18"/>
              </w:rPr>
            </w:pPr>
          </w:p>
        </w:tc>
        <w:tc>
          <w:tcPr>
            <w:tcW w:w="1916" w:type="dxa"/>
          </w:tcPr>
          <w:p>
            <w:pPr>
              <w:pStyle w:val="TableParagraph"/>
              <w:rPr>
                <w:sz w:val="18"/>
              </w:rPr>
            </w:pPr>
          </w:p>
        </w:tc>
        <w:tc>
          <w:tcPr>
            <w:tcW w:w="3183" w:type="dxa"/>
          </w:tcPr>
          <w:p>
            <w:pPr>
              <w:pStyle w:val="TableParagraph"/>
              <w:spacing w:before="120"/>
              <w:ind w:left="1701"/>
              <w:rPr>
                <w:sz w:val="20"/>
              </w:rPr>
            </w:pPr>
            <w:r>
              <w:rPr>
                <w:spacing w:val="-2"/>
                <w:sz w:val="20"/>
              </w:rPr>
              <w:t>Гематология</w:t>
            </w:r>
          </w:p>
        </w:tc>
        <w:tc>
          <w:tcPr>
            <w:tcW w:w="1620" w:type="dxa"/>
          </w:tcPr>
          <w:p>
            <w:pPr>
              <w:pStyle w:val="TableParagraph"/>
              <w:rPr>
                <w:sz w:val="18"/>
              </w:rPr>
            </w:pPr>
          </w:p>
        </w:tc>
        <w:tc>
          <w:tcPr>
            <w:tcW w:w="3819" w:type="dxa"/>
          </w:tcPr>
          <w:p>
            <w:pPr>
              <w:pStyle w:val="TableParagraph"/>
              <w:rPr>
                <w:sz w:val="18"/>
              </w:rPr>
            </w:pPr>
          </w:p>
        </w:tc>
        <w:tc>
          <w:tcPr>
            <w:tcW w:w="986" w:type="dxa"/>
          </w:tcPr>
          <w:p>
            <w:pPr>
              <w:pStyle w:val="TableParagraph"/>
              <w:rPr>
                <w:sz w:val="18"/>
              </w:rPr>
            </w:pPr>
          </w:p>
        </w:tc>
      </w:tr>
      <w:tr>
        <w:trPr>
          <w:trHeight w:val="2640" w:hRule="atLeast"/>
        </w:trPr>
        <w:tc>
          <w:tcPr>
            <w:tcW w:w="396" w:type="dxa"/>
          </w:tcPr>
          <w:p>
            <w:pPr>
              <w:pStyle w:val="TableParagraph"/>
              <w:spacing w:before="120"/>
              <w:ind w:left="50"/>
              <w:rPr>
                <w:sz w:val="20"/>
              </w:rPr>
            </w:pPr>
            <w:r>
              <w:rPr>
                <w:spacing w:val="-5"/>
                <w:sz w:val="20"/>
              </w:rPr>
              <w:t>6.</w:t>
            </w:r>
          </w:p>
        </w:tc>
        <w:tc>
          <w:tcPr>
            <w:tcW w:w="3072" w:type="dxa"/>
            <w:vMerge w:val="restart"/>
          </w:tcPr>
          <w:p>
            <w:pPr>
              <w:pStyle w:val="TableParagraph"/>
              <w:spacing w:line="249" w:lineRule="auto" w:before="120"/>
              <w:ind w:left="194" w:right="29"/>
              <w:rPr>
                <w:sz w:val="20"/>
              </w:rPr>
            </w:pPr>
            <w:r>
              <w:rPr>
                <w:sz w:val="20"/>
              </w:rPr>
              <w:t>Комплексное лечение, включая </w:t>
            </w:r>
            <w:r>
              <w:rPr>
                <w:spacing w:val="-2"/>
                <w:sz w:val="20"/>
              </w:rPr>
              <w:t>полихимиотерапию, иммунотерапию, </w:t>
            </w:r>
            <w:r>
              <w:rPr>
                <w:sz w:val="20"/>
              </w:rPr>
              <w:t>трансфузионную терапию препаратами крови и плазмы, методы экстракорпорального воздействия на кровь, дистанционную лучевую терапию,</w:t>
            </w:r>
            <w:r>
              <w:rPr>
                <w:spacing w:val="-13"/>
                <w:sz w:val="20"/>
              </w:rPr>
              <w:t> </w:t>
            </w:r>
            <w:r>
              <w:rPr>
                <w:sz w:val="20"/>
              </w:rPr>
              <w:t>хирургические</w:t>
            </w:r>
            <w:r>
              <w:rPr>
                <w:spacing w:val="-12"/>
                <w:sz w:val="20"/>
              </w:rPr>
              <w:t> </w:t>
            </w:r>
            <w:r>
              <w:rPr>
                <w:sz w:val="20"/>
              </w:rPr>
              <w:t>методы лечения при апластических анемиях, апластических, цитопенических и цитолитических синдромах, агранулоцитозе, нарушениях плазменного</w:t>
            </w:r>
            <w:r>
              <w:rPr>
                <w:spacing w:val="-13"/>
                <w:sz w:val="20"/>
              </w:rPr>
              <w:t> </w:t>
            </w:r>
            <w:r>
              <w:rPr>
                <w:sz w:val="20"/>
              </w:rPr>
              <w:t>и</w:t>
            </w:r>
            <w:r>
              <w:rPr>
                <w:spacing w:val="-12"/>
                <w:sz w:val="20"/>
              </w:rPr>
              <w:t> </w:t>
            </w:r>
            <w:r>
              <w:rPr>
                <w:sz w:val="20"/>
              </w:rPr>
              <w:t>тромбоцитарного гемостаза, острой лучевой </w:t>
            </w:r>
            <w:r>
              <w:rPr>
                <w:spacing w:val="-2"/>
                <w:sz w:val="20"/>
              </w:rPr>
              <w:t>болезни</w:t>
            </w:r>
          </w:p>
        </w:tc>
        <w:tc>
          <w:tcPr>
            <w:tcW w:w="1916" w:type="dxa"/>
          </w:tcPr>
          <w:p>
            <w:pPr>
              <w:pStyle w:val="TableParagraph"/>
              <w:spacing w:line="252" w:lineRule="auto" w:before="120"/>
              <w:ind w:left="564" w:hanging="474"/>
              <w:rPr>
                <w:sz w:val="20"/>
              </w:rPr>
            </w:pPr>
            <w:r>
              <w:rPr>
                <w:sz w:val="20"/>
              </w:rPr>
              <w:t>D69.1,</w:t>
            </w:r>
            <w:r>
              <w:rPr>
                <w:spacing w:val="-13"/>
                <w:sz w:val="20"/>
              </w:rPr>
              <w:t> </w:t>
            </w:r>
            <w:r>
              <w:rPr>
                <w:sz w:val="20"/>
              </w:rPr>
              <w:t>D82.0,</w:t>
            </w:r>
            <w:r>
              <w:rPr>
                <w:spacing w:val="-12"/>
                <w:sz w:val="20"/>
              </w:rPr>
              <w:t> </w:t>
            </w:r>
            <w:r>
              <w:rPr>
                <w:sz w:val="20"/>
              </w:rPr>
              <w:t>D69.5, D58, D59</w:t>
            </w:r>
          </w:p>
        </w:tc>
        <w:tc>
          <w:tcPr>
            <w:tcW w:w="3183" w:type="dxa"/>
          </w:tcPr>
          <w:p>
            <w:pPr>
              <w:pStyle w:val="TableParagraph"/>
              <w:spacing w:line="249" w:lineRule="auto" w:before="120"/>
              <w:ind w:left="91" w:right="125"/>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20" w:type="dxa"/>
          </w:tcPr>
          <w:p>
            <w:pPr>
              <w:pStyle w:val="TableParagraph"/>
              <w:spacing w:line="252" w:lineRule="auto" w:before="120"/>
              <w:ind w:left="64"/>
              <w:rPr>
                <w:sz w:val="20"/>
              </w:rPr>
            </w:pPr>
            <w:r>
              <w:rPr>
                <w:spacing w:val="-2"/>
                <w:sz w:val="20"/>
              </w:rPr>
              <w:t>терапевтическое лечение</w:t>
            </w:r>
          </w:p>
        </w:tc>
        <w:tc>
          <w:tcPr>
            <w:tcW w:w="3819" w:type="dxa"/>
          </w:tcPr>
          <w:p>
            <w:pPr>
              <w:pStyle w:val="TableParagraph"/>
              <w:spacing w:line="249" w:lineRule="auto" w:before="120"/>
              <w:ind w:left="141" w:right="335"/>
              <w:rPr>
                <w:sz w:val="20"/>
              </w:rPr>
            </w:pPr>
            <w:r>
              <w:rPr>
                <w:sz w:val="20"/>
              </w:rPr>
              <w:t>прокоагулянтная терапия с использованием рекомбинантных препаратов факторов свертывания, массивные</w:t>
            </w:r>
            <w:r>
              <w:rPr>
                <w:spacing w:val="-13"/>
                <w:sz w:val="20"/>
              </w:rPr>
              <w:t> </w:t>
            </w:r>
            <w:r>
              <w:rPr>
                <w:sz w:val="20"/>
              </w:rPr>
              <w:t>трансфузии</w:t>
            </w:r>
            <w:r>
              <w:rPr>
                <w:spacing w:val="-12"/>
                <w:sz w:val="20"/>
              </w:rPr>
              <w:t> </w:t>
            </w:r>
            <w:r>
              <w:rPr>
                <w:sz w:val="20"/>
              </w:rPr>
              <w:t>компонентов донорской крови</w:t>
            </w:r>
          </w:p>
        </w:tc>
        <w:tc>
          <w:tcPr>
            <w:tcW w:w="986" w:type="dxa"/>
          </w:tcPr>
          <w:p>
            <w:pPr>
              <w:pStyle w:val="TableParagraph"/>
              <w:spacing w:before="120"/>
              <w:ind w:left="333"/>
              <w:rPr>
                <w:sz w:val="20"/>
              </w:rPr>
            </w:pPr>
            <w:r>
              <w:rPr>
                <w:spacing w:val="-2"/>
                <w:sz w:val="20"/>
              </w:rPr>
              <w:t>164108</w:t>
            </w:r>
          </w:p>
        </w:tc>
      </w:tr>
      <w:tr>
        <w:trPr>
          <w:trHeight w:val="1790" w:hRule="atLeast"/>
        </w:trPr>
        <w:tc>
          <w:tcPr>
            <w:tcW w:w="396" w:type="dxa"/>
          </w:tcPr>
          <w:p>
            <w:pPr>
              <w:pStyle w:val="TableParagraph"/>
              <w:rPr>
                <w:sz w:val="18"/>
              </w:rPr>
            </w:pPr>
          </w:p>
        </w:tc>
        <w:tc>
          <w:tcPr>
            <w:tcW w:w="3072" w:type="dxa"/>
            <w:vMerge/>
            <w:tcBorders>
              <w:top w:val="nil"/>
            </w:tcBorders>
          </w:tcPr>
          <w:p>
            <w:pPr>
              <w:rPr>
                <w:sz w:val="2"/>
                <w:szCs w:val="2"/>
              </w:rPr>
            </w:pPr>
          </w:p>
        </w:tc>
        <w:tc>
          <w:tcPr>
            <w:tcW w:w="1916" w:type="dxa"/>
          </w:tcPr>
          <w:p>
            <w:pPr>
              <w:pStyle w:val="TableParagraph"/>
              <w:spacing w:before="120"/>
              <w:ind w:left="703" w:right="698"/>
              <w:jc w:val="center"/>
              <w:rPr>
                <w:sz w:val="20"/>
              </w:rPr>
            </w:pPr>
            <w:r>
              <w:rPr>
                <w:spacing w:val="-4"/>
                <w:sz w:val="20"/>
              </w:rPr>
              <w:t>D69.3</w:t>
            </w:r>
          </w:p>
        </w:tc>
        <w:tc>
          <w:tcPr>
            <w:tcW w:w="3183" w:type="dxa"/>
          </w:tcPr>
          <w:p>
            <w:pPr>
              <w:pStyle w:val="TableParagraph"/>
              <w:spacing w:line="249" w:lineRule="auto" w:before="120"/>
              <w:ind w:left="91" w:right="125"/>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угрожаемыми геморрагическими </w:t>
            </w:r>
            <w:r>
              <w:rPr>
                <w:spacing w:val="-2"/>
                <w:sz w:val="20"/>
              </w:rPr>
              <w:t>явлениями</w:t>
            </w:r>
          </w:p>
        </w:tc>
        <w:tc>
          <w:tcPr>
            <w:tcW w:w="1620" w:type="dxa"/>
          </w:tcPr>
          <w:p>
            <w:pPr>
              <w:pStyle w:val="TableParagraph"/>
              <w:spacing w:line="252" w:lineRule="auto" w:before="120"/>
              <w:ind w:left="64"/>
              <w:rPr>
                <w:sz w:val="20"/>
              </w:rPr>
            </w:pPr>
            <w:r>
              <w:rPr>
                <w:spacing w:val="-2"/>
                <w:sz w:val="20"/>
              </w:rPr>
              <w:t>терапевтическое лечение</w:t>
            </w:r>
          </w:p>
        </w:tc>
        <w:tc>
          <w:tcPr>
            <w:tcW w:w="3819" w:type="dxa"/>
          </w:tcPr>
          <w:p>
            <w:pPr>
              <w:pStyle w:val="TableParagraph"/>
              <w:spacing w:line="249" w:lineRule="auto" w:before="120"/>
              <w:ind w:left="141" w:right="335"/>
              <w:rPr>
                <w:sz w:val="20"/>
              </w:rPr>
            </w:pPr>
            <w:r>
              <w:rPr>
                <w:sz w:val="20"/>
              </w:rPr>
              <w:t>терапевтическое лечение,</w:t>
            </w:r>
            <w:r>
              <w:rPr>
                <w:spacing w:val="40"/>
                <w:sz w:val="20"/>
              </w:rPr>
              <w:t> </w:t>
            </w:r>
            <w:r>
              <w:rPr>
                <w:sz w:val="20"/>
              </w:rPr>
              <w:t>включающее иммуносупрессивную терапию с использованием моноклональных антител, иммуномодулирующую терапию с помощью</w:t>
            </w:r>
            <w:r>
              <w:rPr>
                <w:spacing w:val="-13"/>
                <w:sz w:val="20"/>
              </w:rPr>
              <w:t> </w:t>
            </w:r>
            <w:r>
              <w:rPr>
                <w:sz w:val="20"/>
              </w:rPr>
              <w:t>рекомбинантных</w:t>
            </w:r>
            <w:r>
              <w:rPr>
                <w:spacing w:val="-12"/>
                <w:sz w:val="20"/>
              </w:rPr>
              <w:t> </w:t>
            </w:r>
            <w:r>
              <w:rPr>
                <w:sz w:val="20"/>
              </w:rPr>
              <w:t>препаратов</w:t>
            </w:r>
          </w:p>
          <w:p>
            <w:pPr>
              <w:pStyle w:val="TableParagraph"/>
              <w:spacing w:line="210" w:lineRule="exact" w:before="6"/>
              <w:ind w:left="141"/>
              <w:rPr>
                <w:sz w:val="20"/>
              </w:rPr>
            </w:pPr>
            <w:r>
              <w:rPr>
                <w:spacing w:val="-2"/>
                <w:sz w:val="20"/>
              </w:rPr>
              <w:t>тромбопоэтина</w:t>
            </w:r>
          </w:p>
        </w:tc>
        <w:tc>
          <w:tcPr>
            <w:tcW w:w="98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0"/>
        <w:gridCol w:w="3465"/>
        <w:gridCol w:w="1697"/>
        <w:gridCol w:w="3458"/>
      </w:tblGrid>
      <w:tr>
        <w:trPr>
          <w:trHeight w:val="3230" w:hRule="atLeast"/>
        </w:trPr>
        <w:tc>
          <w:tcPr>
            <w:tcW w:w="970" w:type="dxa"/>
          </w:tcPr>
          <w:p>
            <w:pPr>
              <w:pStyle w:val="TableParagraph"/>
              <w:spacing w:line="221" w:lineRule="exact"/>
              <w:ind w:left="66"/>
              <w:rPr>
                <w:sz w:val="20"/>
              </w:rPr>
            </w:pPr>
            <w:r>
              <w:rPr>
                <w:spacing w:val="-4"/>
                <w:sz w:val="20"/>
              </w:rPr>
              <w:t>D69.0</w:t>
            </w:r>
          </w:p>
        </w:tc>
        <w:tc>
          <w:tcPr>
            <w:tcW w:w="3465" w:type="dxa"/>
          </w:tcPr>
          <w:p>
            <w:pPr>
              <w:pStyle w:val="TableParagraph"/>
              <w:spacing w:line="249" w:lineRule="auto"/>
              <w:ind w:left="390" w:right="44"/>
              <w:rPr>
                <w:sz w:val="20"/>
              </w:rPr>
            </w:pPr>
            <w:r>
              <w:rPr>
                <w:sz w:val="20"/>
              </w:rPr>
              <w:t>патология</w:t>
            </w:r>
            <w:r>
              <w:rPr>
                <w:spacing w:val="-7"/>
                <w:sz w:val="20"/>
              </w:rPr>
              <w:t> </w:t>
            </w:r>
            <w:r>
              <w:rPr>
                <w:sz w:val="20"/>
              </w:rPr>
              <w:t>гемостаза,</w:t>
            </w:r>
            <w:r>
              <w:rPr>
                <w:spacing w:val="-6"/>
                <w:sz w:val="20"/>
              </w:rPr>
              <w:t> </w:t>
            </w:r>
            <w:r>
              <w:rPr>
                <w:sz w:val="20"/>
              </w:rPr>
              <w:t>резистентная к стандартной терапии, и (или) с течением, осложненным тромбозами</w:t>
            </w:r>
            <w:r>
              <w:rPr>
                <w:spacing w:val="-13"/>
                <w:sz w:val="20"/>
              </w:rPr>
              <w:t> </w:t>
            </w:r>
            <w:r>
              <w:rPr>
                <w:sz w:val="20"/>
              </w:rPr>
              <w:t>или</w:t>
            </w:r>
            <w:r>
              <w:rPr>
                <w:spacing w:val="-12"/>
                <w:sz w:val="20"/>
              </w:rPr>
              <w:t> </w:t>
            </w:r>
            <w:r>
              <w:rPr>
                <w:sz w:val="20"/>
              </w:rPr>
              <w:t>тромбоэмболиями</w:t>
            </w:r>
          </w:p>
        </w:tc>
        <w:tc>
          <w:tcPr>
            <w:tcW w:w="1697" w:type="dxa"/>
          </w:tcPr>
          <w:p>
            <w:pPr>
              <w:pStyle w:val="TableParagraph"/>
              <w:spacing w:line="249" w:lineRule="auto"/>
              <w:ind w:left="81"/>
              <w:rPr>
                <w:sz w:val="20"/>
              </w:rPr>
            </w:pPr>
            <w:r>
              <w:rPr>
                <w:spacing w:val="-2"/>
                <w:sz w:val="20"/>
              </w:rPr>
              <w:t>комбинированное лечение</w:t>
            </w:r>
          </w:p>
        </w:tc>
        <w:tc>
          <w:tcPr>
            <w:tcW w:w="3458" w:type="dxa"/>
          </w:tcPr>
          <w:p>
            <w:pPr>
              <w:pStyle w:val="TableParagraph"/>
              <w:spacing w:line="249" w:lineRule="auto"/>
              <w:ind w:left="82" w:right="182"/>
              <w:rPr>
                <w:sz w:val="20"/>
              </w:rPr>
            </w:pPr>
            <w:r>
              <w:rPr>
                <w:sz w:val="20"/>
              </w:rPr>
              <w:t>комплексное консервативное и хирургическое лечение, в том числе антикоагулянтная,</w:t>
            </w:r>
            <w:r>
              <w:rPr>
                <w:spacing w:val="-13"/>
                <w:sz w:val="20"/>
              </w:rPr>
              <w:t> </w:t>
            </w:r>
            <w:r>
              <w:rPr>
                <w:sz w:val="20"/>
              </w:rPr>
              <w:t>антиагрегантная</w:t>
            </w:r>
            <w:r>
              <w:rPr>
                <w:spacing w:val="-12"/>
                <w:sz w:val="20"/>
              </w:rPr>
              <w:t> </w:t>
            </w:r>
            <w:r>
              <w:rPr>
                <w:sz w:val="20"/>
              </w:rPr>
              <w:t>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w:t>
            </w:r>
            <w:r>
              <w:rPr>
                <w:spacing w:val="-13"/>
                <w:sz w:val="20"/>
              </w:rPr>
              <w:t> </w:t>
            </w:r>
            <w:r>
              <w:rPr>
                <w:sz w:val="20"/>
              </w:rPr>
              <w:t>терапия</w:t>
            </w:r>
            <w:r>
              <w:rPr>
                <w:spacing w:val="-12"/>
                <w:sz w:val="20"/>
              </w:rPr>
              <w:t> </w:t>
            </w:r>
            <w:r>
              <w:rPr>
                <w:sz w:val="20"/>
              </w:rPr>
              <w:t>препаратами крови и плазмы, плазмаферез</w:t>
            </w:r>
          </w:p>
        </w:tc>
      </w:tr>
      <w:tr>
        <w:trPr>
          <w:trHeight w:val="2640" w:hRule="atLeast"/>
        </w:trPr>
        <w:tc>
          <w:tcPr>
            <w:tcW w:w="970" w:type="dxa"/>
          </w:tcPr>
          <w:p>
            <w:pPr>
              <w:pStyle w:val="TableParagraph"/>
              <w:spacing w:before="120"/>
              <w:ind w:left="50"/>
              <w:rPr>
                <w:sz w:val="20"/>
              </w:rPr>
            </w:pPr>
            <w:r>
              <w:rPr>
                <w:spacing w:val="-4"/>
                <w:sz w:val="20"/>
              </w:rPr>
              <w:t>M31.1</w:t>
            </w:r>
          </w:p>
        </w:tc>
        <w:tc>
          <w:tcPr>
            <w:tcW w:w="3465" w:type="dxa"/>
          </w:tcPr>
          <w:p>
            <w:pPr>
              <w:pStyle w:val="TableParagraph"/>
              <w:spacing w:line="249" w:lineRule="auto" w:before="120"/>
              <w:ind w:left="390" w:right="113"/>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тромбозами или тромбоэмболиями, анемическим, </w:t>
            </w:r>
            <w:r>
              <w:rPr>
                <w:spacing w:val="-2"/>
                <w:sz w:val="20"/>
              </w:rPr>
              <w:t>тромбоцитопеническим</w:t>
            </w:r>
            <w:r>
              <w:rPr>
                <w:spacing w:val="40"/>
                <w:sz w:val="20"/>
              </w:rPr>
              <w:t> </w:t>
            </w:r>
            <w:r>
              <w:rPr>
                <w:spacing w:val="-2"/>
                <w:sz w:val="20"/>
              </w:rPr>
              <w:t>синдромом</w:t>
            </w:r>
          </w:p>
        </w:tc>
        <w:tc>
          <w:tcPr>
            <w:tcW w:w="1697" w:type="dxa"/>
          </w:tcPr>
          <w:p>
            <w:pPr>
              <w:pStyle w:val="TableParagraph"/>
              <w:spacing w:line="252" w:lineRule="auto" w:before="120"/>
              <w:ind w:left="81"/>
              <w:rPr>
                <w:sz w:val="20"/>
              </w:rPr>
            </w:pPr>
            <w:r>
              <w:rPr>
                <w:spacing w:val="-2"/>
                <w:sz w:val="20"/>
              </w:rPr>
              <w:t>комбинированное лечение</w:t>
            </w:r>
          </w:p>
        </w:tc>
        <w:tc>
          <w:tcPr>
            <w:tcW w:w="3458" w:type="dxa"/>
          </w:tcPr>
          <w:p>
            <w:pPr>
              <w:pStyle w:val="TableParagraph"/>
              <w:spacing w:line="249" w:lineRule="auto" w:before="120"/>
              <w:ind w:left="82" w:right="21"/>
              <w:rPr>
                <w:sz w:val="20"/>
              </w:rPr>
            </w:pPr>
            <w:r>
              <w:rPr>
                <w:sz w:val="20"/>
              </w:rPr>
              <w:t>комплексная иммуносупрессивная терапия с использованием моноклональных</w:t>
            </w:r>
            <w:r>
              <w:rPr>
                <w:spacing w:val="-13"/>
                <w:sz w:val="20"/>
              </w:rPr>
              <w:t> </w:t>
            </w:r>
            <w:r>
              <w:rPr>
                <w:sz w:val="20"/>
              </w:rPr>
              <w:t>антител,</w:t>
            </w:r>
            <w:r>
              <w:rPr>
                <w:spacing w:val="-12"/>
                <w:sz w:val="20"/>
              </w:rPr>
              <w:t> </w:t>
            </w:r>
            <w:r>
              <w:rPr>
                <w:sz w:val="20"/>
              </w:rPr>
              <w:t>высоких</w:t>
            </w:r>
            <w:r>
              <w:rPr>
                <w:spacing w:val="-13"/>
                <w:sz w:val="20"/>
              </w:rPr>
              <w:t> </w:t>
            </w:r>
            <w:r>
              <w:rPr>
                <w:sz w:val="20"/>
              </w:rPr>
              <w:t>доз глюкокортикостероидных</w:t>
            </w:r>
            <w:r>
              <w:rPr>
                <w:spacing w:val="-9"/>
                <w:sz w:val="20"/>
              </w:rPr>
              <w:t> </w:t>
            </w:r>
            <w:r>
              <w:rPr>
                <w:sz w:val="20"/>
              </w:rPr>
              <w:t>препаратов. Массивные плазмообмены.</w:t>
            </w:r>
          </w:p>
          <w:p>
            <w:pPr>
              <w:pStyle w:val="TableParagraph"/>
              <w:spacing w:line="249" w:lineRule="auto" w:before="5"/>
              <w:ind w:left="82" w:right="182"/>
              <w:rPr>
                <w:sz w:val="20"/>
              </w:rPr>
            </w:pPr>
            <w:r>
              <w:rPr>
                <w:sz w:val="20"/>
              </w:rPr>
              <w:t>Диагностический мониторинг (определение мультимерности фактора</w:t>
            </w:r>
            <w:r>
              <w:rPr>
                <w:spacing w:val="-13"/>
                <w:sz w:val="20"/>
              </w:rPr>
              <w:t> </w:t>
            </w:r>
            <w:r>
              <w:rPr>
                <w:sz w:val="20"/>
              </w:rPr>
              <w:t>Виллебранда,</w:t>
            </w:r>
            <w:r>
              <w:rPr>
                <w:spacing w:val="-12"/>
                <w:sz w:val="20"/>
              </w:rPr>
              <w:t> </w:t>
            </w:r>
            <w:r>
              <w:rPr>
                <w:sz w:val="20"/>
              </w:rPr>
              <w:t>концентрации протеазы, расщепляющей фактор </w:t>
            </w:r>
            <w:r>
              <w:rPr>
                <w:spacing w:val="-2"/>
                <w:sz w:val="20"/>
              </w:rPr>
              <w:t>Виллебранда)</w:t>
            </w:r>
          </w:p>
        </w:tc>
      </w:tr>
      <w:tr>
        <w:trPr>
          <w:trHeight w:val="2030" w:hRule="atLeast"/>
        </w:trPr>
        <w:tc>
          <w:tcPr>
            <w:tcW w:w="970" w:type="dxa"/>
          </w:tcPr>
          <w:p>
            <w:pPr>
              <w:pStyle w:val="TableParagraph"/>
              <w:spacing w:before="120"/>
              <w:ind w:left="66"/>
              <w:rPr>
                <w:sz w:val="20"/>
              </w:rPr>
            </w:pPr>
            <w:r>
              <w:rPr>
                <w:spacing w:val="-4"/>
                <w:sz w:val="20"/>
              </w:rPr>
              <w:t>D68.8</w:t>
            </w:r>
          </w:p>
        </w:tc>
        <w:tc>
          <w:tcPr>
            <w:tcW w:w="3465" w:type="dxa"/>
          </w:tcPr>
          <w:p>
            <w:pPr>
              <w:pStyle w:val="TableParagraph"/>
              <w:spacing w:line="249" w:lineRule="auto" w:before="120"/>
              <w:ind w:left="390" w:right="44"/>
              <w:rPr>
                <w:sz w:val="20"/>
              </w:rPr>
            </w:pPr>
            <w:r>
              <w:rPr>
                <w:sz w:val="20"/>
              </w:rPr>
              <w:t>патология</w:t>
            </w:r>
            <w:r>
              <w:rPr>
                <w:spacing w:val="-10"/>
                <w:sz w:val="20"/>
              </w:rPr>
              <w:t> </w:t>
            </w:r>
            <w:r>
              <w:rPr>
                <w:sz w:val="20"/>
              </w:rPr>
              <w:t>гемостаза,</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w:t>
            </w:r>
            <w:r>
              <w:rPr>
                <w:spacing w:val="-2"/>
                <w:sz w:val="20"/>
              </w:rPr>
              <w:t>катастрофическим </w:t>
            </w:r>
            <w:r>
              <w:rPr>
                <w:sz w:val="20"/>
              </w:rPr>
              <w:t>антифосфолипидным синдромом, резистентным к стандартной терапии, и (или) с течением, осложненным тромбозами или </w:t>
            </w:r>
            <w:r>
              <w:rPr>
                <w:spacing w:val="-2"/>
                <w:sz w:val="20"/>
              </w:rPr>
              <w:t>тромбоэмболиями</w:t>
            </w:r>
          </w:p>
        </w:tc>
        <w:tc>
          <w:tcPr>
            <w:tcW w:w="1697" w:type="dxa"/>
          </w:tcPr>
          <w:p>
            <w:pPr>
              <w:pStyle w:val="TableParagraph"/>
              <w:spacing w:line="252" w:lineRule="auto" w:before="120"/>
              <w:ind w:left="81"/>
              <w:rPr>
                <w:sz w:val="20"/>
              </w:rPr>
            </w:pPr>
            <w:r>
              <w:rPr>
                <w:spacing w:val="-2"/>
                <w:sz w:val="20"/>
              </w:rPr>
              <w:t>комбинированное лечение</w:t>
            </w:r>
          </w:p>
        </w:tc>
        <w:tc>
          <w:tcPr>
            <w:tcW w:w="3458" w:type="dxa"/>
          </w:tcPr>
          <w:p>
            <w:pPr>
              <w:pStyle w:val="TableParagraph"/>
              <w:spacing w:line="249" w:lineRule="auto" w:before="120"/>
              <w:ind w:left="82" w:right="21"/>
              <w:rPr>
                <w:sz w:val="20"/>
              </w:rPr>
            </w:pPr>
            <w:r>
              <w:rPr>
                <w:sz w:val="20"/>
              </w:rPr>
              <w:t>комплексное консервативное и хирургическое лечение, в том числе эфферентные методы лечения, антикоагулянтная и антиагрегантная терапия,</w:t>
            </w:r>
            <w:r>
              <w:rPr>
                <w:spacing w:val="-13"/>
                <w:sz w:val="20"/>
              </w:rPr>
              <w:t> </w:t>
            </w:r>
            <w:r>
              <w:rPr>
                <w:sz w:val="20"/>
              </w:rPr>
              <w:t>иммуносупрессивная</w:t>
            </w:r>
            <w:r>
              <w:rPr>
                <w:spacing w:val="-12"/>
                <w:sz w:val="20"/>
              </w:rPr>
              <w:t> </w:t>
            </w:r>
            <w:r>
              <w:rPr>
                <w:sz w:val="20"/>
              </w:rPr>
              <w:t>терапия с использованием моноклональных</w:t>
            </w:r>
          </w:p>
          <w:p>
            <w:pPr>
              <w:pStyle w:val="TableParagraph"/>
              <w:spacing w:line="240" w:lineRule="exact"/>
              <w:ind w:left="82"/>
              <w:rPr>
                <w:sz w:val="20"/>
              </w:rPr>
            </w:pPr>
            <w:r>
              <w:rPr>
                <w:sz w:val="20"/>
              </w:rPr>
              <w:t>антител,</w:t>
            </w:r>
            <w:r>
              <w:rPr>
                <w:spacing w:val="-13"/>
                <w:sz w:val="20"/>
              </w:rPr>
              <w:t> </w:t>
            </w:r>
            <w:r>
              <w:rPr>
                <w:sz w:val="20"/>
              </w:rPr>
              <w:t>массивный</w:t>
            </w:r>
            <w:r>
              <w:rPr>
                <w:spacing w:val="-12"/>
                <w:sz w:val="20"/>
              </w:rPr>
              <w:t> </w:t>
            </w:r>
            <w:r>
              <w:rPr>
                <w:sz w:val="20"/>
              </w:rPr>
              <w:t>обменный </w:t>
            </w:r>
            <w:r>
              <w:rPr>
                <w:spacing w:val="-2"/>
                <w:sz w:val="20"/>
              </w:rPr>
              <w:t>плазмаферез</w:t>
            </w:r>
          </w:p>
        </w:tc>
      </w:tr>
    </w:tbl>
    <w:p>
      <w:pPr>
        <w:spacing w:after="0" w:line="24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4"/>
        <w:gridCol w:w="3156"/>
        <w:gridCol w:w="1679"/>
        <w:gridCol w:w="3466"/>
      </w:tblGrid>
      <w:tr>
        <w:trPr>
          <w:trHeight w:val="2210" w:hRule="atLeast"/>
        </w:trPr>
        <w:tc>
          <w:tcPr>
            <w:tcW w:w="1944" w:type="dxa"/>
          </w:tcPr>
          <w:p>
            <w:pPr>
              <w:pStyle w:val="TableParagraph"/>
              <w:spacing w:line="221" w:lineRule="exact"/>
              <w:ind w:left="43" w:right="58"/>
              <w:jc w:val="center"/>
              <w:rPr>
                <w:sz w:val="20"/>
              </w:rPr>
            </w:pPr>
            <w:r>
              <w:rPr>
                <w:sz w:val="20"/>
              </w:rPr>
              <w:t>E83.0,</w:t>
            </w:r>
            <w:r>
              <w:rPr>
                <w:spacing w:val="-6"/>
                <w:sz w:val="20"/>
              </w:rPr>
              <w:t> </w:t>
            </w:r>
            <w:r>
              <w:rPr>
                <w:sz w:val="20"/>
              </w:rPr>
              <w:t>E83.1,</w:t>
            </w:r>
            <w:r>
              <w:rPr>
                <w:spacing w:val="-3"/>
                <w:sz w:val="20"/>
              </w:rPr>
              <w:t> </w:t>
            </w:r>
            <w:r>
              <w:rPr>
                <w:spacing w:val="-2"/>
                <w:sz w:val="20"/>
              </w:rPr>
              <w:t>E83.2</w:t>
            </w:r>
          </w:p>
        </w:tc>
        <w:tc>
          <w:tcPr>
            <w:tcW w:w="3156" w:type="dxa"/>
          </w:tcPr>
          <w:p>
            <w:pPr>
              <w:pStyle w:val="TableParagraph"/>
              <w:spacing w:line="249" w:lineRule="auto"/>
              <w:ind w:left="67" w:right="58"/>
              <w:rPr>
                <w:sz w:val="20"/>
              </w:rPr>
            </w:pPr>
            <w:r>
              <w:rPr>
                <w:sz w:val="20"/>
              </w:rPr>
              <w:t>цитопенический синдром, перегрузка</w:t>
            </w:r>
            <w:r>
              <w:rPr>
                <w:spacing w:val="-13"/>
                <w:sz w:val="20"/>
              </w:rPr>
              <w:t> </w:t>
            </w:r>
            <w:r>
              <w:rPr>
                <w:sz w:val="20"/>
              </w:rPr>
              <w:t>железом,</w:t>
            </w:r>
            <w:r>
              <w:rPr>
                <w:spacing w:val="-12"/>
                <w:sz w:val="20"/>
              </w:rPr>
              <w:t> </w:t>
            </w:r>
            <w:r>
              <w:rPr>
                <w:sz w:val="20"/>
              </w:rPr>
              <w:t>цинком</w:t>
            </w:r>
            <w:r>
              <w:rPr>
                <w:spacing w:val="-13"/>
                <w:sz w:val="20"/>
              </w:rPr>
              <w:t> </w:t>
            </w:r>
            <w:r>
              <w:rPr>
                <w:sz w:val="20"/>
              </w:rPr>
              <w:t>и </w:t>
            </w:r>
            <w:r>
              <w:rPr>
                <w:spacing w:val="-2"/>
                <w:sz w:val="20"/>
              </w:rPr>
              <w:t>медью</w:t>
            </w:r>
          </w:p>
        </w:tc>
        <w:tc>
          <w:tcPr>
            <w:tcW w:w="1679" w:type="dxa"/>
          </w:tcPr>
          <w:p>
            <w:pPr>
              <w:pStyle w:val="TableParagraph"/>
              <w:spacing w:line="249" w:lineRule="auto"/>
              <w:ind w:left="67"/>
              <w:rPr>
                <w:sz w:val="20"/>
              </w:rPr>
            </w:pPr>
            <w:r>
              <w:rPr>
                <w:spacing w:val="-2"/>
                <w:sz w:val="20"/>
              </w:rPr>
              <w:t>комбинированное лечение</w:t>
            </w:r>
          </w:p>
        </w:tc>
        <w:tc>
          <w:tcPr>
            <w:tcW w:w="3466" w:type="dxa"/>
          </w:tcPr>
          <w:p>
            <w:pPr>
              <w:pStyle w:val="TableParagraph"/>
              <w:spacing w:line="249" w:lineRule="auto"/>
              <w:ind w:left="86" w:right="24"/>
              <w:rPr>
                <w:sz w:val="20"/>
              </w:rPr>
            </w:pPr>
            <w:r>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w:t>
            </w:r>
            <w:r>
              <w:rPr>
                <w:spacing w:val="-13"/>
                <w:sz w:val="20"/>
              </w:rPr>
              <w:t> </w:t>
            </w:r>
            <w:r>
              <w:rPr>
                <w:sz w:val="20"/>
              </w:rPr>
              <w:t>терапию,</w:t>
            </w:r>
            <w:r>
              <w:rPr>
                <w:spacing w:val="-12"/>
                <w:sz w:val="20"/>
              </w:rPr>
              <w:t> </w:t>
            </w:r>
            <w:r>
              <w:rPr>
                <w:sz w:val="20"/>
              </w:rPr>
              <w:t>хелаторную терапию, антикоагулянтную и дезагрегантную терапию, заместительную терапию компонентами крови и плазмы</w:t>
            </w:r>
          </w:p>
        </w:tc>
      </w:tr>
      <w:tr>
        <w:trPr>
          <w:trHeight w:val="2760" w:hRule="atLeast"/>
        </w:trPr>
        <w:tc>
          <w:tcPr>
            <w:tcW w:w="1944" w:type="dxa"/>
          </w:tcPr>
          <w:p>
            <w:pPr>
              <w:pStyle w:val="TableParagraph"/>
              <w:spacing w:before="60"/>
              <w:ind w:left="44" w:right="58"/>
              <w:jc w:val="center"/>
              <w:rPr>
                <w:sz w:val="20"/>
              </w:rPr>
            </w:pPr>
            <w:r>
              <w:rPr>
                <w:sz w:val="20"/>
              </w:rPr>
              <w:t>D59,</w:t>
            </w:r>
            <w:r>
              <w:rPr>
                <w:spacing w:val="-3"/>
                <w:sz w:val="20"/>
              </w:rPr>
              <w:t> </w:t>
            </w:r>
            <w:r>
              <w:rPr>
                <w:sz w:val="20"/>
              </w:rPr>
              <w:t>D56,</w:t>
            </w:r>
            <w:r>
              <w:rPr>
                <w:spacing w:val="-5"/>
                <w:sz w:val="20"/>
              </w:rPr>
              <w:t> </w:t>
            </w:r>
            <w:r>
              <w:rPr>
                <w:sz w:val="20"/>
              </w:rPr>
              <w:t>D57.0,</w:t>
            </w:r>
            <w:r>
              <w:rPr>
                <w:spacing w:val="-3"/>
                <w:sz w:val="20"/>
              </w:rPr>
              <w:t> </w:t>
            </w:r>
            <w:r>
              <w:rPr>
                <w:spacing w:val="-5"/>
                <w:sz w:val="20"/>
              </w:rPr>
              <w:t>D58</w:t>
            </w:r>
          </w:p>
        </w:tc>
        <w:tc>
          <w:tcPr>
            <w:tcW w:w="3156" w:type="dxa"/>
          </w:tcPr>
          <w:p>
            <w:pPr>
              <w:pStyle w:val="TableParagraph"/>
              <w:spacing w:line="249" w:lineRule="auto" w:before="60"/>
              <w:ind w:left="67" w:right="58"/>
              <w:rPr>
                <w:sz w:val="20"/>
              </w:rPr>
            </w:pPr>
            <w:r>
              <w:rPr>
                <w:sz w:val="20"/>
              </w:rPr>
              <w:t>гемолитический криз при гемолитических анемиях различного</w:t>
            </w:r>
            <w:r>
              <w:rPr>
                <w:spacing w:val="-11"/>
                <w:sz w:val="20"/>
              </w:rPr>
              <w:t> </w:t>
            </w:r>
            <w:r>
              <w:rPr>
                <w:sz w:val="20"/>
              </w:rPr>
              <w:t>генеза,</w:t>
            </w:r>
            <w:r>
              <w:rPr>
                <w:spacing w:val="-11"/>
                <w:sz w:val="20"/>
              </w:rPr>
              <w:t> </w:t>
            </w:r>
            <w:r>
              <w:rPr>
                <w:sz w:val="20"/>
              </w:rPr>
              <w:t>в</w:t>
            </w:r>
            <w:r>
              <w:rPr>
                <w:spacing w:val="-10"/>
                <w:sz w:val="20"/>
              </w:rPr>
              <w:t> </w:t>
            </w:r>
            <w:r>
              <w:rPr>
                <w:sz w:val="20"/>
              </w:rPr>
              <w:t>том</w:t>
            </w:r>
            <w:r>
              <w:rPr>
                <w:spacing w:val="-9"/>
                <w:sz w:val="20"/>
              </w:rPr>
              <w:t> </w:t>
            </w:r>
            <w:r>
              <w:rPr>
                <w:sz w:val="20"/>
              </w:rPr>
              <w:t>числе аутоиммунного, при пароксизмальной ночной </w:t>
            </w:r>
            <w:r>
              <w:rPr>
                <w:spacing w:val="-2"/>
                <w:sz w:val="20"/>
              </w:rPr>
              <w:t>гемоглобинурии</w:t>
            </w:r>
          </w:p>
        </w:tc>
        <w:tc>
          <w:tcPr>
            <w:tcW w:w="1679" w:type="dxa"/>
          </w:tcPr>
          <w:p>
            <w:pPr>
              <w:pStyle w:val="TableParagraph"/>
              <w:spacing w:line="249" w:lineRule="auto" w:before="60"/>
              <w:ind w:left="67"/>
              <w:rPr>
                <w:sz w:val="20"/>
              </w:rPr>
            </w:pPr>
            <w:r>
              <w:rPr>
                <w:spacing w:val="-2"/>
                <w:sz w:val="20"/>
              </w:rPr>
              <w:t>комбинированное лечение</w:t>
            </w:r>
          </w:p>
        </w:tc>
        <w:tc>
          <w:tcPr>
            <w:tcW w:w="3466" w:type="dxa"/>
          </w:tcPr>
          <w:p>
            <w:pPr>
              <w:pStyle w:val="TableParagraph"/>
              <w:spacing w:line="249" w:lineRule="auto" w:before="60"/>
              <w:ind w:left="86" w:right="24"/>
              <w:rPr>
                <w:sz w:val="20"/>
              </w:rPr>
            </w:pPr>
            <w:r>
              <w:rPr>
                <w:sz w:val="20"/>
              </w:rPr>
              <w:t>комплексное консервативное и хирургическое</w:t>
            </w:r>
            <w:r>
              <w:rPr>
                <w:spacing w:val="-9"/>
                <w:sz w:val="20"/>
              </w:rPr>
              <w:t> </w:t>
            </w:r>
            <w:r>
              <w:rPr>
                <w:sz w:val="20"/>
              </w:rPr>
              <w:t>лечение,</w:t>
            </w:r>
            <w:r>
              <w:rPr>
                <w:spacing w:val="-11"/>
                <w:sz w:val="20"/>
              </w:rPr>
              <w:t> </w:t>
            </w:r>
            <w:r>
              <w:rPr>
                <w:sz w:val="20"/>
              </w:rPr>
              <w:t>в</w:t>
            </w:r>
            <w:r>
              <w:rPr>
                <w:spacing w:val="-12"/>
                <w:sz w:val="20"/>
              </w:rPr>
              <w:t> </w:t>
            </w:r>
            <w:r>
              <w:rPr>
                <w:sz w:val="20"/>
              </w:rPr>
              <w:t>том</w:t>
            </w:r>
            <w:r>
              <w:rPr>
                <w:spacing w:val="-11"/>
                <w:sz w:val="20"/>
              </w:rPr>
              <w:t> </w:t>
            </w:r>
            <w:r>
              <w:rPr>
                <w:sz w:val="20"/>
              </w:rPr>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spacing w:val="-2"/>
                <w:sz w:val="20"/>
              </w:rPr>
              <w:t>рекомбинантных </w:t>
            </w:r>
            <w:r>
              <w:rPr>
                <w:sz w:val="20"/>
              </w:rPr>
              <w:t>колониестимулирующих факторов </w:t>
            </w:r>
            <w:r>
              <w:rPr>
                <w:spacing w:val="-2"/>
                <w:sz w:val="20"/>
              </w:rPr>
              <w:t>роста</w:t>
            </w:r>
          </w:p>
        </w:tc>
      </w:tr>
      <w:tr>
        <w:trPr>
          <w:trHeight w:val="1560" w:hRule="atLeast"/>
        </w:trPr>
        <w:tc>
          <w:tcPr>
            <w:tcW w:w="1944" w:type="dxa"/>
          </w:tcPr>
          <w:p>
            <w:pPr>
              <w:pStyle w:val="TableParagraph"/>
              <w:spacing w:before="60"/>
              <w:ind w:left="44" w:right="57"/>
              <w:jc w:val="center"/>
              <w:rPr>
                <w:sz w:val="20"/>
              </w:rPr>
            </w:pPr>
            <w:r>
              <w:rPr>
                <w:spacing w:val="-5"/>
                <w:sz w:val="20"/>
              </w:rPr>
              <w:t>D70</w:t>
            </w:r>
          </w:p>
        </w:tc>
        <w:tc>
          <w:tcPr>
            <w:tcW w:w="3156" w:type="dxa"/>
          </w:tcPr>
          <w:p>
            <w:pPr>
              <w:pStyle w:val="TableParagraph"/>
              <w:spacing w:line="249" w:lineRule="auto" w:before="60"/>
              <w:ind w:left="67" w:right="58"/>
              <w:rPr>
                <w:sz w:val="20"/>
              </w:rPr>
            </w:pPr>
            <w:r>
              <w:rPr>
                <w:sz w:val="20"/>
              </w:rPr>
              <w:t>агранулоцитоз с показателями нейтрофильных</w:t>
            </w:r>
            <w:r>
              <w:rPr>
                <w:spacing w:val="-13"/>
                <w:sz w:val="20"/>
              </w:rPr>
              <w:t> </w:t>
            </w:r>
            <w:r>
              <w:rPr>
                <w:sz w:val="20"/>
              </w:rPr>
              <w:t>лейкоцитов</w:t>
            </w:r>
            <w:r>
              <w:rPr>
                <w:spacing w:val="-12"/>
                <w:sz w:val="20"/>
              </w:rPr>
              <w:t> </w:t>
            </w:r>
            <w:r>
              <w:rPr>
                <w:sz w:val="20"/>
              </w:rPr>
              <w:t>крови 0,5 x 10</w:t>
            </w:r>
            <w:r>
              <w:rPr>
                <w:sz w:val="20"/>
                <w:vertAlign w:val="superscript"/>
              </w:rPr>
              <w:t>9</w:t>
            </w:r>
            <w:r>
              <w:rPr>
                <w:sz w:val="20"/>
                <w:vertAlign w:val="baseline"/>
              </w:rPr>
              <w:t>/л и ниже</w:t>
            </w:r>
          </w:p>
        </w:tc>
        <w:tc>
          <w:tcPr>
            <w:tcW w:w="1679" w:type="dxa"/>
          </w:tcPr>
          <w:p>
            <w:pPr>
              <w:pStyle w:val="TableParagraph"/>
              <w:spacing w:line="249" w:lineRule="auto" w:before="60"/>
              <w:ind w:left="67"/>
              <w:rPr>
                <w:sz w:val="20"/>
              </w:rPr>
            </w:pPr>
            <w:r>
              <w:rPr>
                <w:spacing w:val="-2"/>
                <w:sz w:val="20"/>
              </w:rPr>
              <w:t>терапевтическое лечение</w:t>
            </w:r>
          </w:p>
        </w:tc>
        <w:tc>
          <w:tcPr>
            <w:tcW w:w="3466" w:type="dxa"/>
          </w:tcPr>
          <w:p>
            <w:pPr>
              <w:pStyle w:val="TableParagraph"/>
              <w:spacing w:line="249" w:lineRule="auto" w:before="60"/>
              <w:ind w:left="86" w:right="24"/>
              <w:rPr>
                <w:sz w:val="20"/>
              </w:rPr>
            </w:pPr>
            <w:r>
              <w:rPr>
                <w:sz w:val="20"/>
              </w:rPr>
              <w:t>консервативное лечение, в том числе </w:t>
            </w:r>
            <w:r>
              <w:rPr>
                <w:spacing w:val="-2"/>
                <w:sz w:val="20"/>
              </w:rPr>
              <w:t>антибактериальная, противовирусная, </w:t>
            </w:r>
            <w:r>
              <w:rPr>
                <w:sz w:val="20"/>
              </w:rPr>
              <w:t>противогрибковая терапия, использование рекомбинантных колониестимулирующих факторов </w:t>
            </w:r>
            <w:r>
              <w:rPr>
                <w:spacing w:val="-2"/>
                <w:sz w:val="20"/>
              </w:rPr>
              <w:t>роста</w:t>
            </w:r>
          </w:p>
        </w:tc>
      </w:tr>
      <w:tr>
        <w:trPr>
          <w:trHeight w:val="1490" w:hRule="atLeast"/>
        </w:trPr>
        <w:tc>
          <w:tcPr>
            <w:tcW w:w="1944" w:type="dxa"/>
          </w:tcPr>
          <w:p>
            <w:pPr>
              <w:pStyle w:val="TableParagraph"/>
              <w:spacing w:before="60"/>
              <w:ind w:left="44" w:right="57"/>
              <w:jc w:val="center"/>
              <w:rPr>
                <w:sz w:val="20"/>
              </w:rPr>
            </w:pPr>
            <w:r>
              <w:rPr>
                <w:spacing w:val="-5"/>
                <w:sz w:val="20"/>
              </w:rPr>
              <w:t>D60</w:t>
            </w:r>
          </w:p>
        </w:tc>
        <w:tc>
          <w:tcPr>
            <w:tcW w:w="3156" w:type="dxa"/>
          </w:tcPr>
          <w:p>
            <w:pPr>
              <w:pStyle w:val="TableParagraph"/>
              <w:spacing w:line="240" w:lineRule="atLeast" w:before="30"/>
              <w:ind w:left="67" w:right="58"/>
              <w:rPr>
                <w:sz w:val="20"/>
              </w:rPr>
            </w:pPr>
            <w:r>
              <w:rPr>
                <w:sz w:val="20"/>
              </w:rPr>
              <w:t>парциальная красноклеточная аплазия, резистентная к терапии глюкокортикоидными гормонами, сопровождающаяся</w:t>
            </w:r>
            <w:r>
              <w:rPr>
                <w:spacing w:val="-13"/>
                <w:sz w:val="20"/>
              </w:rPr>
              <w:t> </w:t>
            </w:r>
            <w:r>
              <w:rPr>
                <w:sz w:val="20"/>
              </w:rPr>
              <w:t>гемосидерозом (кроме пациентов, перенесших трансплантацию костного мозга,</w:t>
            </w:r>
          </w:p>
        </w:tc>
        <w:tc>
          <w:tcPr>
            <w:tcW w:w="1679" w:type="dxa"/>
          </w:tcPr>
          <w:p>
            <w:pPr>
              <w:pStyle w:val="TableParagraph"/>
              <w:spacing w:line="249" w:lineRule="auto" w:before="60"/>
              <w:ind w:left="67"/>
              <w:rPr>
                <w:sz w:val="20"/>
              </w:rPr>
            </w:pPr>
            <w:r>
              <w:rPr>
                <w:spacing w:val="-2"/>
                <w:sz w:val="20"/>
              </w:rPr>
              <w:t>терапевтическое лечение</w:t>
            </w:r>
          </w:p>
        </w:tc>
        <w:tc>
          <w:tcPr>
            <w:tcW w:w="3466" w:type="dxa"/>
          </w:tcPr>
          <w:p>
            <w:pPr>
              <w:pStyle w:val="TableParagraph"/>
              <w:spacing w:line="240" w:lineRule="atLeast" w:before="30"/>
              <w:ind w:left="86" w:right="24"/>
              <w:rPr>
                <w:sz w:val="20"/>
              </w:rPr>
            </w:pPr>
            <w:r>
              <w:rPr>
                <w:sz w:val="20"/>
              </w:rPr>
              <w:t>комплексное консервативное лечение, в том числе программная иммуносупрессивная терапия, заместительная</w:t>
            </w:r>
            <w:r>
              <w:rPr>
                <w:spacing w:val="-13"/>
                <w:sz w:val="20"/>
              </w:rPr>
              <w:t> </w:t>
            </w:r>
            <w:r>
              <w:rPr>
                <w:sz w:val="20"/>
              </w:rPr>
              <w:t>терапия</w:t>
            </w:r>
            <w:r>
              <w:rPr>
                <w:spacing w:val="-12"/>
                <w:sz w:val="20"/>
              </w:rPr>
              <w:t> </w:t>
            </w:r>
            <w:r>
              <w:rPr>
                <w:sz w:val="20"/>
              </w:rPr>
              <w:t>компонентами донорской крови, противовирусная терапия, хелаторная терапия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line="249" w:lineRule="auto" w:before="91"/>
        <w:ind w:left="5865" w:right="6887" w:firstLine="0"/>
        <w:jc w:val="left"/>
        <w:rPr>
          <w:sz w:val="20"/>
        </w:rPr>
      </w:pPr>
      <w:r>
        <w:rPr>
          <w:sz w:val="20"/>
        </w:rPr>
        <w:t>пациентов</w:t>
      </w:r>
      <w:r>
        <w:rPr>
          <w:spacing w:val="-13"/>
          <w:sz w:val="20"/>
        </w:rPr>
        <w:t> </w:t>
      </w:r>
      <w:r>
        <w:rPr>
          <w:sz w:val="20"/>
        </w:rPr>
        <w:t>с</w:t>
      </w:r>
      <w:r>
        <w:rPr>
          <w:spacing w:val="-12"/>
          <w:sz w:val="20"/>
        </w:rPr>
        <w:t> </w:t>
      </w:r>
      <w:r>
        <w:rPr>
          <w:sz w:val="20"/>
        </w:rPr>
        <w:t>почечным </w:t>
      </w:r>
      <w:r>
        <w:rPr>
          <w:spacing w:val="-2"/>
          <w:sz w:val="20"/>
        </w:rPr>
        <w:t>трансплантатом)</w:t>
      </w:r>
    </w:p>
    <w:p>
      <w:pPr>
        <w:pStyle w:val="BodyText"/>
        <w:spacing w:before="1"/>
        <w:rPr>
          <w:sz w:val="13"/>
        </w:rPr>
      </w:pPr>
    </w:p>
    <w:p>
      <w:pPr>
        <w:spacing w:after="0"/>
        <w:rPr>
          <w:sz w:val="13"/>
        </w:rPr>
        <w:sectPr>
          <w:pgSz w:w="16850" w:h="11910" w:orient="landscape"/>
          <w:pgMar w:header="753" w:footer="0" w:top="1060" w:bottom="280" w:left="400" w:right="400"/>
        </w:sectPr>
      </w:pPr>
    </w:p>
    <w:p>
      <w:pPr>
        <w:pStyle w:val="ListParagraph"/>
        <w:numPr>
          <w:ilvl w:val="0"/>
          <w:numId w:val="3"/>
        </w:numPr>
        <w:tabs>
          <w:tab w:pos="979" w:val="left" w:leader="none"/>
          <w:tab w:pos="980" w:val="left" w:leader="none"/>
        </w:tabs>
        <w:spacing w:line="249" w:lineRule="auto" w:before="91" w:after="0"/>
        <w:ind w:left="980" w:right="0" w:hanging="540"/>
        <w:jc w:val="left"/>
        <w:rPr>
          <w:sz w:val="20"/>
        </w:rPr>
      </w:pPr>
      <w:r>
        <w:rPr>
          <w:sz w:val="20"/>
        </w:rPr>
        <w:t>Интенсивная терапия, включающая методы </w:t>
      </w:r>
      <w:r>
        <w:rPr>
          <w:spacing w:val="-2"/>
          <w:sz w:val="20"/>
        </w:rPr>
        <w:t>экстракорпорального </w:t>
      </w:r>
      <w:r>
        <w:rPr>
          <w:sz w:val="20"/>
        </w:rPr>
        <w:t>воздействия</w:t>
      </w:r>
      <w:r>
        <w:rPr>
          <w:spacing w:val="-12"/>
          <w:sz w:val="20"/>
        </w:rPr>
        <w:t> </w:t>
      </w:r>
      <w:r>
        <w:rPr>
          <w:sz w:val="20"/>
        </w:rPr>
        <w:t>на</w:t>
      </w:r>
      <w:r>
        <w:rPr>
          <w:spacing w:val="-11"/>
          <w:sz w:val="20"/>
        </w:rPr>
        <w:t> </w:t>
      </w:r>
      <w:r>
        <w:rPr>
          <w:sz w:val="20"/>
        </w:rPr>
        <w:t>кровь</w:t>
      </w:r>
      <w:r>
        <w:rPr>
          <w:spacing w:val="-10"/>
          <w:sz w:val="20"/>
        </w:rPr>
        <w:t> </w:t>
      </w:r>
      <w:r>
        <w:rPr>
          <w:sz w:val="20"/>
        </w:rPr>
        <w:t>у</w:t>
      </w:r>
      <w:r>
        <w:rPr>
          <w:spacing w:val="-12"/>
          <w:sz w:val="20"/>
        </w:rPr>
        <w:t> </w:t>
      </w:r>
      <w:r>
        <w:rPr>
          <w:sz w:val="20"/>
        </w:rPr>
        <w:t>больных</w:t>
      </w:r>
      <w:r>
        <w:rPr>
          <w:sz w:val="20"/>
        </w:rPr>
        <w:t> с порфириями</w:t>
      </w:r>
    </w:p>
    <w:p>
      <w:pPr>
        <w:tabs>
          <w:tab w:pos="2095" w:val="left" w:leader="none"/>
        </w:tabs>
        <w:spacing w:before="91"/>
        <w:ind w:left="239" w:right="0" w:firstLine="0"/>
        <w:jc w:val="left"/>
        <w:rPr>
          <w:sz w:val="20"/>
        </w:rPr>
      </w:pPr>
      <w:r>
        <w:rPr/>
        <w:br w:type="column"/>
      </w:r>
      <w:r>
        <w:rPr>
          <w:sz w:val="20"/>
        </w:rPr>
        <w:t>E80.0,</w:t>
      </w:r>
      <w:r>
        <w:rPr>
          <w:spacing w:val="-6"/>
          <w:sz w:val="20"/>
        </w:rPr>
        <w:t> </w:t>
      </w:r>
      <w:r>
        <w:rPr>
          <w:sz w:val="20"/>
        </w:rPr>
        <w:t>E80.1,</w:t>
      </w:r>
      <w:r>
        <w:rPr>
          <w:spacing w:val="-3"/>
          <w:sz w:val="20"/>
        </w:rPr>
        <w:t> </w:t>
      </w:r>
      <w:r>
        <w:rPr>
          <w:spacing w:val="-2"/>
          <w:sz w:val="20"/>
        </w:rPr>
        <w:t>E80.2</w:t>
      </w:r>
      <w:r>
        <w:rPr>
          <w:sz w:val="20"/>
        </w:rPr>
        <w:tab/>
      </w:r>
      <w:r>
        <w:rPr>
          <w:spacing w:val="-2"/>
          <w:sz w:val="20"/>
        </w:rPr>
        <w:t>прогрессирующее</w:t>
      </w:r>
      <w:r>
        <w:rPr>
          <w:spacing w:val="6"/>
          <w:sz w:val="20"/>
        </w:rPr>
        <w:t> </w:t>
      </w:r>
      <w:r>
        <w:rPr>
          <w:spacing w:val="-2"/>
          <w:sz w:val="20"/>
        </w:rPr>
        <w:t>течение</w:t>
      </w:r>
      <w:r>
        <w:rPr>
          <w:spacing w:val="6"/>
          <w:sz w:val="20"/>
        </w:rPr>
        <w:t> </w:t>
      </w:r>
      <w:r>
        <w:rPr>
          <w:spacing w:val="-2"/>
          <w:sz w:val="20"/>
        </w:rPr>
        <w:t>острых</w:t>
      </w:r>
    </w:p>
    <w:p>
      <w:pPr>
        <w:spacing w:line="249" w:lineRule="auto" w:before="10"/>
        <w:ind w:left="2095" w:right="0" w:firstLine="0"/>
        <w:jc w:val="left"/>
        <w:rPr>
          <w:sz w:val="20"/>
        </w:rPr>
      </w:pPr>
      <w:r>
        <w:rPr>
          <w:sz w:val="20"/>
        </w:rPr>
        <w:t>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w:t>
      </w:r>
      <w:r>
        <w:rPr>
          <w:spacing w:val="-13"/>
          <w:sz w:val="20"/>
        </w:rPr>
        <w:t> </w:t>
      </w:r>
      <w:r>
        <w:rPr>
          <w:sz w:val="20"/>
        </w:rPr>
        <w:t>поражениями</w:t>
      </w:r>
      <w:r>
        <w:rPr>
          <w:spacing w:val="-12"/>
          <w:sz w:val="20"/>
        </w:rPr>
        <w:t> </w:t>
      </w:r>
      <w:r>
        <w:rPr>
          <w:sz w:val="20"/>
        </w:rPr>
        <w:t>кожных покровов,</w:t>
      </w:r>
      <w:r>
        <w:rPr>
          <w:spacing w:val="-13"/>
          <w:sz w:val="20"/>
        </w:rPr>
        <w:t> </w:t>
      </w:r>
      <w:r>
        <w:rPr>
          <w:sz w:val="20"/>
        </w:rPr>
        <w:t>с</w:t>
      </w:r>
      <w:r>
        <w:rPr>
          <w:spacing w:val="-12"/>
          <w:sz w:val="20"/>
        </w:rPr>
        <w:t> </w:t>
      </w:r>
      <w:r>
        <w:rPr>
          <w:sz w:val="20"/>
        </w:rPr>
        <w:t>явлениями</w:t>
      </w:r>
      <w:r>
        <w:rPr>
          <w:spacing w:val="-13"/>
          <w:sz w:val="20"/>
        </w:rPr>
        <w:t> </w:t>
      </w:r>
      <w:r>
        <w:rPr>
          <w:sz w:val="20"/>
        </w:rPr>
        <w:t>системного гемохроматоза (гемосидероза) тканей - эритропоэтической порфирией, поздней кожной </w:t>
      </w:r>
      <w:r>
        <w:rPr>
          <w:spacing w:val="-2"/>
          <w:sz w:val="20"/>
        </w:rPr>
        <w:t>порфирией</w:t>
      </w:r>
    </w:p>
    <w:p>
      <w:pPr>
        <w:spacing w:line="249" w:lineRule="auto" w:before="91"/>
        <w:ind w:left="141" w:right="0" w:firstLine="0"/>
        <w:jc w:val="left"/>
        <w:rPr>
          <w:sz w:val="20"/>
        </w:rPr>
      </w:pPr>
      <w:r>
        <w:rPr/>
        <w:br w:type="column"/>
      </w:r>
      <w:r>
        <w:rPr>
          <w:spacing w:val="-2"/>
          <w:w w:val="95"/>
          <w:sz w:val="20"/>
        </w:rPr>
        <w:t>терапевтическое </w:t>
      </w:r>
      <w:r>
        <w:rPr>
          <w:spacing w:val="-2"/>
          <w:sz w:val="20"/>
        </w:rPr>
        <w:t>лечение</w:t>
      </w:r>
    </w:p>
    <w:p>
      <w:pPr>
        <w:spacing w:line="249" w:lineRule="auto" w:before="91"/>
        <w:ind w:left="247" w:right="38" w:firstLine="0"/>
        <w:jc w:val="left"/>
        <w:rPr>
          <w:sz w:val="20"/>
        </w:rPr>
      </w:pPr>
      <w:r>
        <w:rPr/>
        <w:br w:type="column"/>
      </w:r>
      <w:r>
        <w:rPr>
          <w:sz w:val="20"/>
        </w:rPr>
        <w:t>комплексная консервативная терапия, включая</w:t>
      </w:r>
      <w:r>
        <w:rPr>
          <w:spacing w:val="-3"/>
          <w:sz w:val="20"/>
        </w:rPr>
        <w:t> </w:t>
      </w:r>
      <w:r>
        <w:rPr>
          <w:sz w:val="20"/>
        </w:rPr>
        <w:t>эфферентные</w:t>
      </w:r>
      <w:r>
        <w:rPr>
          <w:spacing w:val="-2"/>
          <w:sz w:val="20"/>
        </w:rPr>
        <w:t> </w:t>
      </w:r>
      <w:r>
        <w:rPr>
          <w:sz w:val="20"/>
        </w:rPr>
        <w:t>и</w:t>
      </w:r>
      <w:r>
        <w:rPr>
          <w:spacing w:val="-3"/>
          <w:sz w:val="20"/>
        </w:rPr>
        <w:t> </w:t>
      </w:r>
      <w:r>
        <w:rPr>
          <w:sz w:val="20"/>
        </w:rPr>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 латентным</w:t>
      </w:r>
      <w:r>
        <w:rPr>
          <w:spacing w:val="-13"/>
          <w:sz w:val="20"/>
        </w:rPr>
        <w:t> </w:t>
      </w:r>
      <w:r>
        <w:rPr>
          <w:sz w:val="20"/>
        </w:rPr>
        <w:t>течением</w:t>
      </w:r>
      <w:r>
        <w:rPr>
          <w:spacing w:val="-12"/>
          <w:sz w:val="20"/>
        </w:rPr>
        <w:t> </w:t>
      </w:r>
      <w:r>
        <w:rPr>
          <w:sz w:val="20"/>
        </w:rPr>
        <w:t>острой</w:t>
      </w:r>
      <w:r>
        <w:rPr>
          <w:spacing w:val="-13"/>
          <w:sz w:val="20"/>
        </w:rPr>
        <w:t> </w:t>
      </w:r>
      <w:r>
        <w:rPr>
          <w:sz w:val="20"/>
        </w:rPr>
        <w:t>порфирии с целью предотвращения развития кризового течения, хелаторная</w:t>
      </w:r>
      <w:r>
        <w:rPr>
          <w:spacing w:val="40"/>
          <w:sz w:val="20"/>
        </w:rPr>
        <w:t> </w:t>
      </w:r>
      <w:r>
        <w:rPr>
          <w:spacing w:val="-2"/>
          <w:sz w:val="20"/>
        </w:rPr>
        <w:t>терапия</w:t>
      </w:r>
    </w:p>
    <w:p>
      <w:pPr>
        <w:spacing w:before="91"/>
        <w:ind w:left="440" w:right="0" w:firstLine="0"/>
        <w:jc w:val="left"/>
        <w:rPr>
          <w:sz w:val="20"/>
        </w:rPr>
      </w:pPr>
      <w:r>
        <w:rPr/>
        <w:br w:type="column"/>
      </w:r>
      <w:r>
        <w:rPr>
          <w:spacing w:val="-2"/>
          <w:sz w:val="20"/>
        </w:rPr>
        <w:t>486210</w:t>
      </w:r>
    </w:p>
    <w:p>
      <w:pPr>
        <w:spacing w:after="0"/>
        <w:jc w:val="left"/>
        <w:rPr>
          <w:sz w:val="20"/>
        </w:rPr>
        <w:sectPr>
          <w:type w:val="continuous"/>
          <w:pgSz w:w="16850" w:h="11910" w:orient="landscape"/>
          <w:pgMar w:header="753" w:footer="0" w:top="1080" w:bottom="280" w:left="400" w:right="400"/>
          <w:cols w:num="5" w:equalWidth="0">
            <w:col w:w="3730" w:space="40"/>
            <w:col w:w="5071" w:space="39"/>
            <w:col w:w="1552" w:space="39"/>
            <w:col w:w="3596" w:space="223"/>
            <w:col w:w="1760"/>
          </w:cols>
        </w:sectPr>
      </w:pPr>
    </w:p>
    <w:p>
      <w:pPr>
        <w:pStyle w:val="BodyText"/>
        <w:spacing w:before="1"/>
        <w:rPr>
          <w:sz w:val="14"/>
        </w:rPr>
      </w:pPr>
    </w:p>
    <w:p>
      <w:pPr>
        <w:spacing w:before="91"/>
        <w:ind w:left="207" w:right="208" w:firstLine="0"/>
        <w:jc w:val="center"/>
        <w:rPr>
          <w:sz w:val="20"/>
        </w:rPr>
      </w:pPr>
      <w:r>
        <w:rPr>
          <w:sz w:val="20"/>
        </w:rPr>
        <w:t>Детская</w:t>
      </w:r>
      <w:r>
        <w:rPr>
          <w:spacing w:val="-6"/>
          <w:sz w:val="20"/>
        </w:rPr>
        <w:t> </w:t>
      </w:r>
      <w:r>
        <w:rPr>
          <w:sz w:val="20"/>
        </w:rPr>
        <w:t>хирургия</w:t>
      </w:r>
      <w:r>
        <w:rPr>
          <w:spacing w:val="-7"/>
          <w:sz w:val="20"/>
        </w:rPr>
        <w:t> </w:t>
      </w:r>
      <w:r>
        <w:rPr>
          <w:sz w:val="20"/>
        </w:rPr>
        <w:t>в</w:t>
      </w:r>
      <w:r>
        <w:rPr>
          <w:spacing w:val="-5"/>
          <w:sz w:val="20"/>
        </w:rPr>
        <w:t> </w:t>
      </w:r>
      <w:r>
        <w:rPr>
          <w:sz w:val="20"/>
        </w:rPr>
        <w:t>период</w:t>
      </w:r>
      <w:r>
        <w:rPr>
          <w:spacing w:val="-5"/>
          <w:sz w:val="20"/>
        </w:rPr>
        <w:t> </w:t>
      </w:r>
      <w:r>
        <w:rPr>
          <w:spacing w:val="-2"/>
          <w:sz w:val="20"/>
        </w:rPr>
        <w:t>новорожденности</w:t>
      </w:r>
    </w:p>
    <w:p>
      <w:pPr>
        <w:pStyle w:val="BodyText"/>
        <w:spacing w:before="10"/>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3"/>
        </w:numPr>
        <w:tabs>
          <w:tab w:pos="979" w:val="left" w:leader="none"/>
          <w:tab w:pos="980" w:val="left" w:leader="none"/>
        </w:tabs>
        <w:spacing w:line="249" w:lineRule="auto" w:before="91" w:after="0"/>
        <w:ind w:left="980" w:right="0" w:hanging="540"/>
        <w:jc w:val="left"/>
        <w:rPr>
          <w:sz w:val="20"/>
        </w:rPr>
      </w:pPr>
      <w:r>
        <w:rPr>
          <w:spacing w:val="-2"/>
          <w:sz w:val="20"/>
        </w:rPr>
        <w:t>Реконструктивно-пластические </w:t>
      </w:r>
      <w:r>
        <w:rPr>
          <w:sz w:val="20"/>
        </w:rPr>
        <w:t>операции</w:t>
      </w:r>
      <w:r>
        <w:rPr>
          <w:spacing w:val="-10"/>
          <w:sz w:val="20"/>
        </w:rPr>
        <w:t> </w:t>
      </w:r>
      <w:r>
        <w:rPr>
          <w:sz w:val="20"/>
        </w:rPr>
        <w:t>на</w:t>
      </w:r>
      <w:r>
        <w:rPr>
          <w:spacing w:val="-10"/>
          <w:sz w:val="20"/>
        </w:rPr>
        <w:t> </w:t>
      </w:r>
      <w:r>
        <w:rPr>
          <w:sz w:val="20"/>
        </w:rPr>
        <w:t>грудной</w:t>
      </w:r>
      <w:r>
        <w:rPr>
          <w:spacing w:val="-10"/>
          <w:sz w:val="20"/>
        </w:rPr>
        <w:t> </w:t>
      </w:r>
      <w:r>
        <w:rPr>
          <w:sz w:val="20"/>
        </w:rPr>
        <w:t>клетке</w:t>
      </w:r>
      <w:r>
        <w:rPr>
          <w:spacing w:val="-8"/>
          <w:sz w:val="20"/>
        </w:rPr>
        <w:t> </w:t>
      </w:r>
      <w:r>
        <w:rPr>
          <w:sz w:val="20"/>
        </w:rPr>
        <w:t>при пороках развития у новорожденных</w:t>
      </w:r>
      <w:r>
        <w:rPr>
          <w:spacing w:val="-13"/>
          <w:sz w:val="20"/>
        </w:rPr>
        <w:t> </w:t>
      </w:r>
      <w:r>
        <w:rPr>
          <w:sz w:val="20"/>
        </w:rPr>
        <w:t>(пороки</w:t>
      </w:r>
      <w:r>
        <w:rPr>
          <w:spacing w:val="-12"/>
          <w:sz w:val="20"/>
        </w:rPr>
        <w:t> </w:t>
      </w:r>
      <w:r>
        <w:rPr>
          <w:sz w:val="20"/>
        </w:rPr>
        <w:t>легких,</w:t>
      </w:r>
      <w:r>
        <w:rPr>
          <w:sz w:val="20"/>
        </w:rPr>
        <w:t> бронхов, пищевода), в том</w:t>
      </w:r>
      <w:r>
        <w:rPr>
          <w:spacing w:val="40"/>
          <w:sz w:val="20"/>
        </w:rPr>
        <w:t> </w:t>
      </w:r>
      <w:r>
        <w:rPr>
          <w:sz w:val="20"/>
        </w:rPr>
        <w:t>числе торакоскопические</w:t>
      </w:r>
    </w:p>
    <w:p>
      <w:pPr>
        <w:spacing w:line="249" w:lineRule="auto" w:before="91"/>
        <w:ind w:left="477" w:right="0" w:hanging="325"/>
        <w:jc w:val="left"/>
        <w:rPr>
          <w:sz w:val="20"/>
        </w:rPr>
      </w:pPr>
      <w:r>
        <w:rPr/>
        <w:br w:type="column"/>
      </w:r>
      <w:r>
        <w:rPr>
          <w:sz w:val="20"/>
        </w:rPr>
        <w:t>Q33.0,</w:t>
      </w:r>
      <w:r>
        <w:rPr>
          <w:spacing w:val="-13"/>
          <w:sz w:val="20"/>
        </w:rPr>
        <w:t> </w:t>
      </w:r>
      <w:r>
        <w:rPr>
          <w:sz w:val="20"/>
        </w:rPr>
        <w:t>Q33.2,</w:t>
      </w:r>
      <w:r>
        <w:rPr>
          <w:spacing w:val="-12"/>
          <w:sz w:val="20"/>
        </w:rPr>
        <w:t> </w:t>
      </w:r>
      <w:r>
        <w:rPr>
          <w:sz w:val="20"/>
        </w:rPr>
        <w:t>Q39.0, Q39.1, Q39.2</w:t>
      </w:r>
    </w:p>
    <w:p>
      <w:pPr>
        <w:spacing w:line="249" w:lineRule="auto" w:before="91"/>
        <w:ind w:left="143" w:right="0" w:firstLine="0"/>
        <w:jc w:val="left"/>
        <w:rPr>
          <w:sz w:val="20"/>
        </w:rPr>
      </w:pPr>
      <w:r>
        <w:rPr/>
        <w:br w:type="column"/>
      </w:r>
      <w:r>
        <w:rPr>
          <w:sz w:val="20"/>
        </w:rPr>
        <w:t>врожденная киста легкого. Секвестрация</w:t>
      </w:r>
      <w:r>
        <w:rPr>
          <w:spacing w:val="-13"/>
          <w:sz w:val="20"/>
        </w:rPr>
        <w:t> </w:t>
      </w:r>
      <w:r>
        <w:rPr>
          <w:sz w:val="20"/>
        </w:rPr>
        <w:t>легкого.</w:t>
      </w:r>
      <w:r>
        <w:rPr>
          <w:spacing w:val="-12"/>
          <w:sz w:val="20"/>
        </w:rPr>
        <w:t> </w:t>
      </w:r>
      <w:r>
        <w:rPr>
          <w:sz w:val="20"/>
        </w:rPr>
        <w:t>Атрезия пищевода. Свищ </w:t>
      </w:r>
      <w:r>
        <w:rPr>
          <w:spacing w:val="-2"/>
          <w:sz w:val="20"/>
        </w:rPr>
        <w:t>трахеопищеводный</w:t>
      </w:r>
    </w:p>
    <w:p>
      <w:pPr>
        <w:spacing w:line="249" w:lineRule="auto" w:before="91"/>
        <w:ind w:left="440" w:right="0" w:firstLine="0"/>
        <w:jc w:val="left"/>
        <w:rPr>
          <w:sz w:val="20"/>
        </w:rPr>
      </w:pPr>
      <w:r>
        <w:rPr/>
        <w:br w:type="column"/>
      </w:r>
      <w:r>
        <w:rPr>
          <w:spacing w:val="-2"/>
          <w:sz w:val="20"/>
        </w:rPr>
        <w:t>хирургическое лечение</w:t>
      </w:r>
    </w:p>
    <w:p>
      <w:pPr>
        <w:spacing w:line="249" w:lineRule="auto" w:before="91"/>
        <w:ind w:left="401" w:right="6" w:firstLine="0"/>
        <w:jc w:val="left"/>
        <w:rPr>
          <w:sz w:val="20"/>
        </w:rPr>
      </w:pPr>
      <w:r>
        <w:rPr/>
        <w:br w:type="column"/>
      </w:r>
      <w:r>
        <w:rPr>
          <w:sz w:val="20"/>
        </w:rPr>
        <w:t>удаление</w:t>
      </w:r>
      <w:r>
        <w:rPr>
          <w:spacing w:val="-11"/>
          <w:sz w:val="20"/>
        </w:rPr>
        <w:t> </w:t>
      </w:r>
      <w:r>
        <w:rPr>
          <w:sz w:val="20"/>
        </w:rPr>
        <w:t>кисты</w:t>
      </w:r>
      <w:r>
        <w:rPr>
          <w:spacing w:val="-9"/>
          <w:sz w:val="20"/>
        </w:rPr>
        <w:t> </w:t>
      </w:r>
      <w:r>
        <w:rPr>
          <w:sz w:val="20"/>
        </w:rPr>
        <w:t>или</w:t>
      </w:r>
      <w:r>
        <w:rPr>
          <w:spacing w:val="-12"/>
          <w:sz w:val="20"/>
        </w:rPr>
        <w:t> </w:t>
      </w:r>
      <w:r>
        <w:rPr>
          <w:sz w:val="20"/>
        </w:rPr>
        <w:t>секвестра</w:t>
      </w:r>
      <w:r>
        <w:rPr>
          <w:spacing w:val="-11"/>
          <w:sz w:val="20"/>
        </w:rPr>
        <w:t> </w:t>
      </w:r>
      <w:r>
        <w:rPr>
          <w:sz w:val="20"/>
        </w:rPr>
        <w:t>легкого, в том числе с применением эндовидеохирургической техники</w:t>
      </w:r>
    </w:p>
    <w:p>
      <w:pPr>
        <w:pStyle w:val="BodyText"/>
        <w:spacing w:before="1"/>
        <w:rPr>
          <w:sz w:val="21"/>
        </w:rPr>
      </w:pPr>
    </w:p>
    <w:p>
      <w:pPr>
        <w:spacing w:line="249" w:lineRule="auto" w:before="0"/>
        <w:ind w:left="401" w:right="6" w:firstLine="0"/>
        <w:jc w:val="left"/>
        <w:rPr>
          <w:sz w:val="20"/>
        </w:rPr>
      </w:pPr>
      <w:r>
        <w:rPr>
          <w:sz w:val="20"/>
        </w:rPr>
        <w:t>прямой</w:t>
      </w:r>
      <w:r>
        <w:rPr>
          <w:spacing w:val="-13"/>
          <w:sz w:val="20"/>
        </w:rPr>
        <w:t> </w:t>
      </w:r>
      <w:r>
        <w:rPr>
          <w:sz w:val="20"/>
        </w:rPr>
        <w:t>эзофаго-эзофаго</w:t>
      </w:r>
      <w:r>
        <w:rPr>
          <w:spacing w:val="-12"/>
          <w:sz w:val="20"/>
        </w:rPr>
        <w:t> </w:t>
      </w:r>
      <w:r>
        <w:rPr>
          <w:sz w:val="20"/>
        </w:rPr>
        <w:t>анастомоз,</w:t>
      </w:r>
      <w:r>
        <w:rPr>
          <w:spacing w:val="-12"/>
          <w:sz w:val="20"/>
        </w:rPr>
        <w:t> </w:t>
      </w:r>
      <w:r>
        <w:rPr>
          <w:sz w:val="20"/>
        </w:rPr>
        <w:t>в том числе этапные операции на пищеводе и желудке, ликвидация трахеопищеводного свища</w:t>
      </w:r>
    </w:p>
    <w:p>
      <w:pPr>
        <w:spacing w:before="91"/>
        <w:ind w:left="440" w:right="0" w:firstLine="0"/>
        <w:jc w:val="left"/>
        <w:rPr>
          <w:sz w:val="20"/>
        </w:rPr>
      </w:pPr>
      <w:r>
        <w:rPr/>
        <w:br w:type="column"/>
      </w:r>
      <w:r>
        <w:rPr>
          <w:spacing w:val="-2"/>
          <w:sz w:val="20"/>
        </w:rPr>
        <w:t>285612</w:t>
      </w:r>
    </w:p>
    <w:p>
      <w:pPr>
        <w:spacing w:after="0"/>
        <w:jc w:val="left"/>
        <w:rPr>
          <w:sz w:val="20"/>
        </w:rPr>
        <w:sectPr>
          <w:type w:val="continuous"/>
          <w:pgSz w:w="16850" w:h="11910" w:orient="landscape"/>
          <w:pgMar w:header="753" w:footer="0" w:top="1080" w:bottom="280" w:left="400" w:right="400"/>
          <w:cols w:num="6" w:equalWidth="0">
            <w:col w:w="3756" w:space="40"/>
            <w:col w:w="1886" w:space="39"/>
            <w:col w:w="2815" w:space="45"/>
            <w:col w:w="1697" w:space="40"/>
            <w:col w:w="3772" w:space="199"/>
            <w:col w:w="1761"/>
          </w:cols>
        </w:sectPr>
      </w:pPr>
    </w:p>
    <w:p>
      <w:pPr>
        <w:pStyle w:val="BodyText"/>
        <w:spacing w:before="3"/>
        <w:rPr>
          <w:sz w:val="13"/>
        </w:rPr>
      </w:pPr>
    </w:p>
    <w:p>
      <w:pPr>
        <w:spacing w:before="91"/>
        <w:ind w:left="205" w:right="208" w:firstLine="0"/>
        <w:jc w:val="center"/>
        <w:rPr>
          <w:sz w:val="20"/>
        </w:rPr>
      </w:pPr>
      <w:r>
        <w:rPr>
          <w:spacing w:val="-2"/>
          <w:sz w:val="20"/>
        </w:rPr>
        <w:t>Дерматовенерология</w:t>
      </w:r>
    </w:p>
    <w:p>
      <w:pPr>
        <w:pStyle w:val="BodyText"/>
        <w:spacing w:before="10"/>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3"/>
        </w:numPr>
        <w:tabs>
          <w:tab w:pos="979" w:val="left" w:leader="none"/>
          <w:tab w:pos="980" w:val="left" w:leader="none"/>
        </w:tabs>
        <w:spacing w:line="249" w:lineRule="auto" w:before="91" w:after="0"/>
        <w:ind w:left="980" w:right="38" w:hanging="540"/>
        <w:jc w:val="left"/>
        <w:rPr>
          <w:sz w:val="20"/>
        </w:rPr>
      </w:pPr>
      <w:r>
        <w:rPr>
          <w:sz w:val="20"/>
        </w:rPr>
        <w:t>Комплексное</w:t>
      </w:r>
      <w:r>
        <w:rPr>
          <w:spacing w:val="-13"/>
          <w:sz w:val="20"/>
        </w:rPr>
        <w:t> </w:t>
      </w:r>
      <w:r>
        <w:rPr>
          <w:sz w:val="20"/>
        </w:rPr>
        <w:t>лечение</w:t>
      </w:r>
      <w:r>
        <w:rPr>
          <w:spacing w:val="-12"/>
          <w:sz w:val="20"/>
        </w:rPr>
        <w:t> </w:t>
      </w:r>
      <w:r>
        <w:rPr>
          <w:sz w:val="20"/>
        </w:rPr>
        <w:t>больных тяжелыми</w:t>
      </w:r>
      <w:r>
        <w:rPr>
          <w:spacing w:val="-13"/>
          <w:sz w:val="20"/>
        </w:rPr>
        <w:t> </w:t>
      </w:r>
      <w:r>
        <w:rPr>
          <w:sz w:val="20"/>
        </w:rPr>
        <w:t>распространенными</w:t>
      </w:r>
    </w:p>
    <w:p>
      <w:pPr>
        <w:tabs>
          <w:tab w:pos="1723" w:val="left" w:leader="none"/>
        </w:tabs>
        <w:spacing w:line="249" w:lineRule="auto" w:before="91"/>
        <w:ind w:left="1723" w:right="0" w:hanging="1284"/>
        <w:jc w:val="left"/>
        <w:rPr>
          <w:sz w:val="20"/>
        </w:rPr>
      </w:pPr>
      <w:r>
        <w:rPr/>
        <w:br w:type="column"/>
      </w:r>
      <w:r>
        <w:rPr>
          <w:spacing w:val="-2"/>
          <w:sz w:val="20"/>
        </w:rPr>
        <w:t>L40.0</w:t>
      </w:r>
      <w:r>
        <w:rPr>
          <w:sz w:val="20"/>
        </w:rPr>
        <w:tab/>
        <w:t>тяжелые</w:t>
      </w:r>
      <w:r>
        <w:rPr>
          <w:spacing w:val="-13"/>
          <w:sz w:val="20"/>
        </w:rPr>
        <w:t> </w:t>
      </w:r>
      <w:r>
        <w:rPr>
          <w:sz w:val="20"/>
        </w:rPr>
        <w:t>распространенные</w:t>
      </w:r>
      <w:r>
        <w:rPr>
          <w:spacing w:val="-12"/>
          <w:sz w:val="20"/>
        </w:rPr>
        <w:t> </w:t>
      </w:r>
      <w:r>
        <w:rPr>
          <w:sz w:val="20"/>
        </w:rPr>
        <w:t>формы псориаза без поражения суставов</w:t>
      </w:r>
    </w:p>
    <w:p>
      <w:pPr>
        <w:spacing w:line="249" w:lineRule="auto" w:before="91"/>
        <w:ind w:left="114" w:right="0" w:firstLine="0"/>
        <w:jc w:val="left"/>
        <w:rPr>
          <w:sz w:val="20"/>
        </w:rPr>
      </w:pPr>
      <w:r>
        <w:rPr/>
        <w:br w:type="column"/>
      </w:r>
      <w:r>
        <w:rPr>
          <w:spacing w:val="-2"/>
          <w:w w:val="95"/>
          <w:sz w:val="20"/>
        </w:rPr>
        <w:t>терапевтическое </w:t>
      </w:r>
      <w:r>
        <w:rPr>
          <w:spacing w:val="-2"/>
          <w:sz w:val="20"/>
        </w:rPr>
        <w:t>лечение</w:t>
      </w:r>
    </w:p>
    <w:p>
      <w:pPr>
        <w:spacing w:line="249" w:lineRule="auto" w:before="91"/>
        <w:ind w:left="247" w:right="0" w:firstLine="0"/>
        <w:jc w:val="left"/>
        <w:rPr>
          <w:sz w:val="20"/>
        </w:rPr>
      </w:pPr>
      <w:r>
        <w:rPr/>
        <w:br w:type="column"/>
      </w:r>
      <w:r>
        <w:rPr>
          <w:sz w:val="20"/>
        </w:rPr>
        <w:t>лечение</w:t>
      </w:r>
      <w:r>
        <w:rPr>
          <w:spacing w:val="-13"/>
          <w:sz w:val="20"/>
        </w:rPr>
        <w:t> </w:t>
      </w:r>
      <w:r>
        <w:rPr>
          <w:sz w:val="20"/>
        </w:rPr>
        <w:t>с</w:t>
      </w:r>
      <w:r>
        <w:rPr>
          <w:spacing w:val="-12"/>
          <w:sz w:val="20"/>
        </w:rPr>
        <w:t> </w:t>
      </w:r>
      <w:r>
        <w:rPr>
          <w:sz w:val="20"/>
        </w:rPr>
        <w:t>применением</w:t>
      </w:r>
      <w:r>
        <w:rPr>
          <w:spacing w:val="-13"/>
          <w:sz w:val="20"/>
        </w:rPr>
        <w:t> </w:t>
      </w:r>
      <w:r>
        <w:rPr>
          <w:sz w:val="20"/>
        </w:rPr>
        <w:t>узкополосной средневолновой фототерапии, в том</w:t>
      </w:r>
    </w:p>
    <w:p>
      <w:pPr>
        <w:spacing w:before="91"/>
        <w:ind w:left="440" w:right="0" w:firstLine="0"/>
        <w:jc w:val="left"/>
        <w:rPr>
          <w:sz w:val="20"/>
        </w:rPr>
      </w:pPr>
      <w:r>
        <w:rPr/>
        <w:br w:type="column"/>
      </w:r>
      <w:r>
        <w:rPr>
          <w:spacing w:val="-2"/>
          <w:sz w:val="20"/>
        </w:rPr>
        <w:t>110986</w:t>
      </w:r>
    </w:p>
    <w:p>
      <w:pPr>
        <w:spacing w:after="0"/>
        <w:jc w:val="left"/>
        <w:rPr>
          <w:sz w:val="20"/>
        </w:rPr>
        <w:sectPr>
          <w:type w:val="continuous"/>
          <w:pgSz w:w="16850" w:h="11910" w:orient="landscape"/>
          <w:pgMar w:header="753" w:footer="0" w:top="1080" w:bottom="280" w:left="400" w:right="400"/>
          <w:cols w:num="5" w:equalWidth="0">
            <w:col w:w="3672" w:space="469"/>
            <w:col w:w="4726" w:space="40"/>
            <w:col w:w="1525" w:space="39"/>
            <w:col w:w="3543" w:space="275"/>
            <w:col w:w="1761"/>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2"/>
        <w:gridCol w:w="3343"/>
        <w:gridCol w:w="1632"/>
        <w:gridCol w:w="3451"/>
      </w:tblGrid>
      <w:tr>
        <w:trPr>
          <w:trHeight w:val="2510" w:hRule="atLeast"/>
        </w:trPr>
        <w:tc>
          <w:tcPr>
            <w:tcW w:w="4672" w:type="dxa"/>
          </w:tcPr>
          <w:p>
            <w:pPr>
              <w:pStyle w:val="TableParagraph"/>
              <w:spacing w:line="249" w:lineRule="auto"/>
              <w:ind w:left="50" w:right="1856"/>
              <w:rPr>
                <w:sz w:val="20"/>
              </w:rPr>
            </w:pPr>
            <w:r>
              <w:rPr>
                <w:sz w:val="20"/>
              </w:rPr>
              <w:t>формами псориаза, атопического дерматита, истинной пузырчатки, </w:t>
            </w:r>
            <w:r>
              <w:rPr>
                <w:spacing w:val="-2"/>
                <w:sz w:val="20"/>
              </w:rPr>
              <w:t>локализованной склеродермии, </w:t>
            </w:r>
            <w:r>
              <w:rPr>
                <w:sz w:val="20"/>
              </w:rPr>
              <w:t>лучевого дерматита</w:t>
            </w:r>
          </w:p>
        </w:tc>
        <w:tc>
          <w:tcPr>
            <w:tcW w:w="3343" w:type="dxa"/>
          </w:tcPr>
          <w:p>
            <w:pPr>
              <w:pStyle w:val="TableParagraph"/>
              <w:spacing w:line="249" w:lineRule="auto"/>
              <w:ind w:left="262" w:right="310"/>
              <w:rPr>
                <w:sz w:val="20"/>
              </w:rPr>
            </w:pPr>
            <w:r>
              <w:rPr>
                <w:sz w:val="20"/>
              </w:rPr>
              <w:t>при отсутствии эффективности ранее проводимых методов системного и физиотерапевтического</w:t>
            </w:r>
            <w:r>
              <w:rPr>
                <w:spacing w:val="-13"/>
                <w:sz w:val="20"/>
              </w:rPr>
              <w:t> </w:t>
            </w:r>
            <w:r>
              <w:rPr>
                <w:sz w:val="20"/>
              </w:rPr>
              <w:t>лечения</w:t>
            </w:r>
          </w:p>
        </w:tc>
        <w:tc>
          <w:tcPr>
            <w:tcW w:w="1632" w:type="dxa"/>
          </w:tcPr>
          <w:p>
            <w:pPr>
              <w:pStyle w:val="TableParagraph"/>
              <w:rPr>
                <w:sz w:val="18"/>
              </w:rPr>
            </w:pPr>
          </w:p>
        </w:tc>
        <w:tc>
          <w:tcPr>
            <w:tcW w:w="3451" w:type="dxa"/>
          </w:tcPr>
          <w:p>
            <w:pPr>
              <w:pStyle w:val="TableParagraph"/>
              <w:spacing w:line="249" w:lineRule="auto"/>
              <w:ind w:left="141" w:right="47"/>
              <w:rPr>
                <w:sz w:val="20"/>
              </w:rPr>
            </w:pPr>
            <w:r>
              <w:rPr>
                <w:sz w:val="20"/>
              </w:rPr>
              <w:t>числе</w:t>
            </w:r>
            <w:r>
              <w:rPr>
                <w:spacing w:val="-13"/>
                <w:sz w:val="20"/>
              </w:rPr>
              <w:t> </w:t>
            </w:r>
            <w:r>
              <w:rPr>
                <w:sz w:val="20"/>
              </w:rPr>
              <w:t>локальной,</w:t>
            </w:r>
            <w:r>
              <w:rPr>
                <w:spacing w:val="-12"/>
                <w:sz w:val="20"/>
              </w:rPr>
              <w:t> </w:t>
            </w:r>
            <w:r>
              <w:rPr>
                <w:sz w:val="20"/>
              </w:rPr>
              <w:t>комбинированной локальной и общей фотохимиотерапии, общей </w:t>
            </w:r>
            <w:r>
              <w:rPr>
                <w:spacing w:val="-2"/>
                <w:sz w:val="20"/>
              </w:rPr>
              <w:t>бальнеофотохимиотерапии, </w:t>
            </w:r>
            <w:r>
              <w:rPr>
                <w:sz w:val="20"/>
              </w:rPr>
              <w:t>плазмафереза в сочетании с цитостатическими и </w:t>
            </w:r>
            <w:r>
              <w:rPr>
                <w:spacing w:val="-2"/>
                <w:sz w:val="20"/>
              </w:rPr>
              <w:t>иммуносупрессивными </w:t>
            </w:r>
            <w:r>
              <w:rPr>
                <w:sz w:val="20"/>
              </w:rPr>
              <w:t>лекарственными препаратами и синтетическими производными витамина A</w:t>
            </w:r>
          </w:p>
        </w:tc>
      </w:tr>
      <w:tr>
        <w:trPr>
          <w:trHeight w:val="1680" w:hRule="atLeast"/>
        </w:trPr>
        <w:tc>
          <w:tcPr>
            <w:tcW w:w="4672" w:type="dxa"/>
          </w:tcPr>
          <w:p>
            <w:pPr>
              <w:pStyle w:val="TableParagraph"/>
              <w:spacing w:before="120"/>
              <w:ind w:left="3351" w:right="250"/>
              <w:jc w:val="center"/>
              <w:rPr>
                <w:sz w:val="20"/>
              </w:rPr>
            </w:pPr>
            <w:r>
              <w:rPr>
                <w:sz w:val="20"/>
              </w:rPr>
              <w:t>L40.1,</w:t>
            </w:r>
            <w:r>
              <w:rPr>
                <w:spacing w:val="-5"/>
                <w:sz w:val="20"/>
              </w:rPr>
              <w:t> </w:t>
            </w:r>
            <w:r>
              <w:rPr>
                <w:spacing w:val="-2"/>
                <w:sz w:val="20"/>
              </w:rPr>
              <w:t>L40.3</w:t>
            </w:r>
          </w:p>
        </w:tc>
        <w:tc>
          <w:tcPr>
            <w:tcW w:w="3343" w:type="dxa"/>
          </w:tcPr>
          <w:p>
            <w:pPr>
              <w:pStyle w:val="TableParagraph"/>
              <w:spacing w:line="249" w:lineRule="auto" w:before="120"/>
              <w:ind w:left="262"/>
              <w:rPr>
                <w:sz w:val="20"/>
              </w:rPr>
            </w:pPr>
            <w:r>
              <w:rPr>
                <w:sz w:val="20"/>
              </w:rPr>
              <w:t>пустулезные формы псориаза при отсутствии эффективности ранее 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32" w:type="dxa"/>
          </w:tcPr>
          <w:p>
            <w:pPr>
              <w:pStyle w:val="TableParagraph"/>
              <w:spacing w:line="249" w:lineRule="auto" w:before="120"/>
              <w:ind w:left="76"/>
              <w:rPr>
                <w:sz w:val="20"/>
              </w:rPr>
            </w:pPr>
            <w:r>
              <w:rPr>
                <w:spacing w:val="-2"/>
                <w:sz w:val="20"/>
              </w:rPr>
              <w:t>терапевтическое лечение</w:t>
            </w:r>
          </w:p>
        </w:tc>
        <w:tc>
          <w:tcPr>
            <w:tcW w:w="3451" w:type="dxa"/>
          </w:tcPr>
          <w:p>
            <w:pPr>
              <w:pStyle w:val="TableParagraph"/>
              <w:spacing w:line="249" w:lineRule="auto" w:before="120"/>
              <w:ind w:left="141" w:right="47"/>
              <w:rPr>
                <w:sz w:val="20"/>
              </w:rPr>
            </w:pPr>
            <w:r>
              <w:rPr>
                <w:sz w:val="20"/>
              </w:rPr>
              <w:t>лечение с применением цитостатических и иммуносупрессивных лекарственных препаратов, синтетических производных</w:t>
            </w:r>
            <w:r>
              <w:rPr>
                <w:spacing w:val="-12"/>
                <w:sz w:val="20"/>
              </w:rPr>
              <w:t> </w:t>
            </w:r>
            <w:r>
              <w:rPr>
                <w:sz w:val="20"/>
              </w:rPr>
              <w:t>витамина</w:t>
            </w:r>
            <w:r>
              <w:rPr>
                <w:spacing w:val="-8"/>
                <w:sz w:val="20"/>
              </w:rPr>
              <w:t> </w:t>
            </w:r>
            <w:r>
              <w:rPr>
                <w:sz w:val="20"/>
              </w:rPr>
              <w:t>A</w:t>
            </w:r>
            <w:r>
              <w:rPr>
                <w:spacing w:val="-13"/>
                <w:sz w:val="20"/>
              </w:rPr>
              <w:t> </w:t>
            </w:r>
            <w:r>
              <w:rPr>
                <w:sz w:val="20"/>
              </w:rPr>
              <w:t>в</w:t>
            </w:r>
            <w:r>
              <w:rPr>
                <w:spacing w:val="-9"/>
                <w:sz w:val="20"/>
              </w:rPr>
              <w:t> </w:t>
            </w:r>
            <w:r>
              <w:rPr>
                <w:sz w:val="20"/>
              </w:rPr>
              <w:t>сочетании с применением плазмафереза</w:t>
            </w:r>
          </w:p>
        </w:tc>
      </w:tr>
      <w:tr>
        <w:trPr>
          <w:trHeight w:val="3120" w:hRule="atLeast"/>
        </w:trPr>
        <w:tc>
          <w:tcPr>
            <w:tcW w:w="4672" w:type="dxa"/>
          </w:tcPr>
          <w:p>
            <w:pPr>
              <w:pStyle w:val="TableParagraph"/>
              <w:spacing w:before="120"/>
              <w:ind w:left="3350" w:right="250"/>
              <w:jc w:val="center"/>
              <w:rPr>
                <w:sz w:val="20"/>
              </w:rPr>
            </w:pPr>
            <w:r>
              <w:rPr>
                <w:spacing w:val="-2"/>
                <w:sz w:val="20"/>
              </w:rPr>
              <w:t>L40.5</w:t>
            </w:r>
          </w:p>
        </w:tc>
        <w:tc>
          <w:tcPr>
            <w:tcW w:w="3343" w:type="dxa"/>
          </w:tcPr>
          <w:p>
            <w:pPr>
              <w:pStyle w:val="TableParagraph"/>
              <w:spacing w:line="249" w:lineRule="auto" w:before="120"/>
              <w:ind w:left="262"/>
              <w:rPr>
                <w:sz w:val="20"/>
              </w:rPr>
            </w:pPr>
            <w:r>
              <w:rPr>
                <w:sz w:val="20"/>
              </w:rPr>
              <w:t>тяжелые</w:t>
            </w:r>
            <w:r>
              <w:rPr>
                <w:spacing w:val="-13"/>
                <w:sz w:val="20"/>
              </w:rPr>
              <w:t> </w:t>
            </w:r>
            <w:r>
              <w:rPr>
                <w:sz w:val="20"/>
              </w:rPr>
              <w:t>распространенные</w:t>
            </w:r>
            <w:r>
              <w:rPr>
                <w:spacing w:val="-12"/>
                <w:sz w:val="20"/>
              </w:rPr>
              <w:t> </w:t>
            </w:r>
            <w:r>
              <w:rPr>
                <w:sz w:val="20"/>
              </w:rPr>
              <w:t>формы псориаза артропатического при отсутствии эффективности ранее 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32" w:type="dxa"/>
          </w:tcPr>
          <w:p>
            <w:pPr>
              <w:pStyle w:val="TableParagraph"/>
              <w:spacing w:line="249" w:lineRule="auto" w:before="120"/>
              <w:ind w:left="76"/>
              <w:rPr>
                <w:sz w:val="20"/>
              </w:rPr>
            </w:pPr>
            <w:r>
              <w:rPr>
                <w:spacing w:val="-2"/>
                <w:sz w:val="20"/>
              </w:rPr>
              <w:t>терапевтическое лечение</w:t>
            </w:r>
          </w:p>
        </w:tc>
        <w:tc>
          <w:tcPr>
            <w:tcW w:w="3451" w:type="dxa"/>
          </w:tcPr>
          <w:p>
            <w:pPr>
              <w:pStyle w:val="TableParagraph"/>
              <w:spacing w:line="249" w:lineRule="auto" w:before="120"/>
              <w:ind w:left="141" w:right="47"/>
              <w:rPr>
                <w:sz w:val="20"/>
              </w:rPr>
            </w:pPr>
            <w:r>
              <w:rPr>
                <w:sz w:val="20"/>
              </w:rPr>
              <w:t>лечение с применением низкоинтенсивной лазерной терапии, узкополосной средневолновой фототерапии, в том числе локальной, комбинированной</w:t>
            </w:r>
            <w:r>
              <w:rPr>
                <w:spacing w:val="-13"/>
                <w:sz w:val="20"/>
              </w:rPr>
              <w:t> </w:t>
            </w:r>
            <w:r>
              <w:rPr>
                <w:sz w:val="20"/>
              </w:rPr>
              <w:t>локальной</w:t>
            </w:r>
            <w:r>
              <w:rPr>
                <w:spacing w:val="-12"/>
                <w:sz w:val="20"/>
              </w:rPr>
              <w:t> </w:t>
            </w:r>
            <w:r>
              <w:rPr>
                <w:sz w:val="20"/>
              </w:rPr>
              <w:t>и</w:t>
            </w:r>
            <w:r>
              <w:rPr>
                <w:spacing w:val="-13"/>
                <w:sz w:val="20"/>
              </w:rPr>
              <w:t> </w:t>
            </w:r>
            <w:r>
              <w:rPr>
                <w:sz w:val="20"/>
              </w:rPr>
              <w:t>общей фотохимиотерапии, общей бальнеофотохимиотерапии, в сочетании с цитостатическими и </w:t>
            </w:r>
            <w:r>
              <w:rPr>
                <w:spacing w:val="-2"/>
                <w:sz w:val="20"/>
              </w:rPr>
              <w:t>иммуносупрессивными </w:t>
            </w:r>
            <w:r>
              <w:rPr>
                <w:sz w:val="20"/>
              </w:rPr>
              <w:t>лекарственными препаратами и синтетическими производными витамина A</w:t>
            </w:r>
          </w:p>
        </w:tc>
      </w:tr>
      <w:tr>
        <w:trPr>
          <w:trHeight w:val="830" w:hRule="atLeast"/>
        </w:trPr>
        <w:tc>
          <w:tcPr>
            <w:tcW w:w="4672" w:type="dxa"/>
          </w:tcPr>
          <w:p>
            <w:pPr>
              <w:pStyle w:val="TableParagraph"/>
              <w:spacing w:before="120"/>
              <w:ind w:left="3351" w:right="248"/>
              <w:jc w:val="center"/>
              <w:rPr>
                <w:sz w:val="20"/>
              </w:rPr>
            </w:pPr>
            <w:r>
              <w:rPr>
                <w:spacing w:val="-5"/>
                <w:sz w:val="20"/>
              </w:rPr>
              <w:t>L20</w:t>
            </w:r>
          </w:p>
        </w:tc>
        <w:tc>
          <w:tcPr>
            <w:tcW w:w="3343" w:type="dxa"/>
          </w:tcPr>
          <w:p>
            <w:pPr>
              <w:pStyle w:val="TableParagraph"/>
              <w:spacing w:line="240" w:lineRule="atLeast" w:before="90"/>
              <w:ind w:left="262"/>
              <w:rPr>
                <w:sz w:val="20"/>
              </w:rPr>
            </w:pPr>
            <w:r>
              <w:rPr>
                <w:sz w:val="20"/>
              </w:rPr>
              <w:t>тяжелые</w:t>
            </w:r>
            <w:r>
              <w:rPr>
                <w:spacing w:val="-13"/>
                <w:sz w:val="20"/>
              </w:rPr>
              <w:t> </w:t>
            </w:r>
            <w:r>
              <w:rPr>
                <w:sz w:val="20"/>
              </w:rPr>
              <w:t>распространенные</w:t>
            </w:r>
            <w:r>
              <w:rPr>
                <w:spacing w:val="-12"/>
                <w:sz w:val="20"/>
              </w:rPr>
              <w:t> </w:t>
            </w:r>
            <w:r>
              <w:rPr>
                <w:sz w:val="20"/>
              </w:rPr>
              <w:t>формы атопического дерматита при отсутствии эффективности ранее</w:t>
            </w:r>
          </w:p>
        </w:tc>
        <w:tc>
          <w:tcPr>
            <w:tcW w:w="1632" w:type="dxa"/>
          </w:tcPr>
          <w:p>
            <w:pPr>
              <w:pStyle w:val="TableParagraph"/>
              <w:spacing w:line="249" w:lineRule="auto" w:before="120"/>
              <w:ind w:left="76"/>
              <w:rPr>
                <w:sz w:val="20"/>
              </w:rPr>
            </w:pPr>
            <w:r>
              <w:rPr>
                <w:spacing w:val="-2"/>
                <w:sz w:val="20"/>
              </w:rPr>
              <w:t>терапевтическое лечение</w:t>
            </w:r>
          </w:p>
        </w:tc>
        <w:tc>
          <w:tcPr>
            <w:tcW w:w="3451" w:type="dxa"/>
          </w:tcPr>
          <w:p>
            <w:pPr>
              <w:pStyle w:val="TableParagraph"/>
              <w:spacing w:line="240" w:lineRule="atLeast" w:before="90"/>
              <w:ind w:left="141" w:right="47"/>
              <w:rPr>
                <w:sz w:val="20"/>
              </w:rPr>
            </w:pPr>
            <w:r>
              <w:rPr>
                <w:sz w:val="20"/>
              </w:rPr>
              <w:t>лечение</w:t>
            </w:r>
            <w:r>
              <w:rPr>
                <w:spacing w:val="-13"/>
                <w:sz w:val="20"/>
              </w:rPr>
              <w:t> </w:t>
            </w:r>
            <w:r>
              <w:rPr>
                <w:sz w:val="20"/>
              </w:rPr>
              <w:t>с</w:t>
            </w:r>
            <w:r>
              <w:rPr>
                <w:spacing w:val="-12"/>
                <w:sz w:val="20"/>
              </w:rPr>
              <w:t> </w:t>
            </w:r>
            <w:r>
              <w:rPr>
                <w:sz w:val="20"/>
              </w:rPr>
              <w:t>применением</w:t>
            </w:r>
            <w:r>
              <w:rPr>
                <w:spacing w:val="-13"/>
                <w:sz w:val="20"/>
              </w:rPr>
              <w:t> </w:t>
            </w:r>
            <w:r>
              <w:rPr>
                <w:sz w:val="20"/>
              </w:rPr>
              <w:t>узкополосной средневолновой, дальней длинноволновой фототерапии в</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67"/>
        <w:gridCol w:w="1879"/>
        <w:gridCol w:w="3207"/>
        <w:gridCol w:w="1673"/>
        <w:gridCol w:w="3623"/>
        <w:gridCol w:w="1123"/>
      </w:tblGrid>
      <w:tr>
        <w:trPr>
          <w:trHeight w:val="1070"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rPr>
                <w:sz w:val="18"/>
              </w:rPr>
            </w:pPr>
          </w:p>
        </w:tc>
        <w:tc>
          <w:tcPr>
            <w:tcW w:w="3207" w:type="dxa"/>
          </w:tcPr>
          <w:p>
            <w:pPr>
              <w:pStyle w:val="TableParagraph"/>
              <w:spacing w:line="249" w:lineRule="auto"/>
              <w:ind w:left="107"/>
              <w:rPr>
                <w:sz w:val="20"/>
              </w:rPr>
            </w:pPr>
            <w:r>
              <w:rPr>
                <w:sz w:val="20"/>
              </w:rPr>
              <w:t>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73" w:type="dxa"/>
          </w:tcPr>
          <w:p>
            <w:pPr>
              <w:pStyle w:val="TableParagraph"/>
              <w:rPr>
                <w:sz w:val="18"/>
              </w:rPr>
            </w:pPr>
          </w:p>
        </w:tc>
        <w:tc>
          <w:tcPr>
            <w:tcW w:w="3623" w:type="dxa"/>
          </w:tcPr>
          <w:p>
            <w:pPr>
              <w:pStyle w:val="TableParagraph"/>
              <w:spacing w:line="249" w:lineRule="auto"/>
              <w:ind w:left="81" w:right="520"/>
              <w:rPr>
                <w:sz w:val="20"/>
              </w:rPr>
            </w:pPr>
            <w:r>
              <w:rPr>
                <w:sz w:val="20"/>
              </w:rPr>
              <w:t>сочетании</w:t>
            </w:r>
            <w:r>
              <w:rPr>
                <w:spacing w:val="-13"/>
                <w:sz w:val="20"/>
              </w:rPr>
              <w:t> </w:t>
            </w:r>
            <w:r>
              <w:rPr>
                <w:sz w:val="20"/>
              </w:rPr>
              <w:t>с</w:t>
            </w:r>
            <w:r>
              <w:rPr>
                <w:spacing w:val="-12"/>
                <w:sz w:val="20"/>
              </w:rPr>
              <w:t> </w:t>
            </w:r>
            <w:r>
              <w:rPr>
                <w:sz w:val="20"/>
              </w:rPr>
              <w:t>антибактериальными, </w:t>
            </w:r>
            <w:r>
              <w:rPr>
                <w:spacing w:val="-2"/>
                <w:sz w:val="20"/>
              </w:rPr>
              <w:t>иммуносупрессивными </w:t>
            </w:r>
            <w:r>
              <w:rPr>
                <w:sz w:val="20"/>
              </w:rPr>
              <w:t>лекарственными препаратами и </w:t>
            </w:r>
            <w:r>
              <w:rPr>
                <w:spacing w:val="-2"/>
                <w:sz w:val="20"/>
              </w:rPr>
              <w:t>плазмаферезом</w:t>
            </w:r>
          </w:p>
        </w:tc>
        <w:tc>
          <w:tcPr>
            <w:tcW w:w="1123" w:type="dxa"/>
          </w:tcPr>
          <w:p>
            <w:pPr>
              <w:pStyle w:val="TableParagraph"/>
              <w:rPr>
                <w:sz w:val="18"/>
              </w:rPr>
            </w:pPr>
          </w:p>
        </w:tc>
      </w:tr>
      <w:tr>
        <w:trPr>
          <w:trHeight w:val="1680"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spacing w:line="249" w:lineRule="auto" w:before="120"/>
              <w:ind w:left="702" w:hanging="599"/>
              <w:rPr>
                <w:sz w:val="20"/>
              </w:rPr>
            </w:pPr>
            <w:r>
              <w:rPr>
                <w:sz w:val="20"/>
              </w:rPr>
              <w:t>L10.0,</w:t>
            </w:r>
            <w:r>
              <w:rPr>
                <w:spacing w:val="-13"/>
                <w:sz w:val="20"/>
              </w:rPr>
              <w:t> </w:t>
            </w:r>
            <w:r>
              <w:rPr>
                <w:sz w:val="20"/>
              </w:rPr>
              <w:t>L10.1,</w:t>
            </w:r>
            <w:r>
              <w:rPr>
                <w:spacing w:val="-12"/>
                <w:sz w:val="20"/>
              </w:rPr>
              <w:t> </w:t>
            </w:r>
            <w:r>
              <w:rPr>
                <w:sz w:val="20"/>
              </w:rPr>
              <w:t>L10.2, </w:t>
            </w:r>
            <w:r>
              <w:rPr>
                <w:spacing w:val="-2"/>
                <w:sz w:val="20"/>
              </w:rPr>
              <w:t>L10.4</w:t>
            </w:r>
          </w:p>
        </w:tc>
        <w:tc>
          <w:tcPr>
            <w:tcW w:w="3207" w:type="dxa"/>
          </w:tcPr>
          <w:p>
            <w:pPr>
              <w:pStyle w:val="TableParagraph"/>
              <w:spacing w:line="249" w:lineRule="auto" w:before="120"/>
              <w:ind w:left="107" w:right="598"/>
              <w:rPr>
                <w:sz w:val="20"/>
              </w:rPr>
            </w:pPr>
            <w:r>
              <w:rPr>
                <w:sz w:val="20"/>
              </w:rPr>
              <w:t>истинная</w:t>
            </w:r>
            <w:r>
              <w:rPr>
                <w:spacing w:val="-13"/>
                <w:sz w:val="20"/>
              </w:rPr>
              <w:t> </w:t>
            </w:r>
            <w:r>
              <w:rPr>
                <w:sz w:val="20"/>
              </w:rPr>
              <w:t>(акантолитическая) </w:t>
            </w:r>
            <w:r>
              <w:rPr>
                <w:spacing w:val="-2"/>
                <w:sz w:val="20"/>
              </w:rPr>
              <w:t>пузырчатка</w:t>
            </w:r>
          </w:p>
        </w:tc>
        <w:tc>
          <w:tcPr>
            <w:tcW w:w="1673" w:type="dxa"/>
          </w:tcPr>
          <w:p>
            <w:pPr>
              <w:pStyle w:val="TableParagraph"/>
              <w:spacing w:line="249"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520"/>
              <w:rPr>
                <w:sz w:val="20"/>
              </w:rPr>
            </w:pPr>
            <w:r>
              <w:rPr>
                <w:sz w:val="20"/>
              </w:rPr>
              <w:t>лечение</w:t>
            </w:r>
            <w:r>
              <w:rPr>
                <w:spacing w:val="-10"/>
                <w:sz w:val="20"/>
              </w:rPr>
              <w:t> </w:t>
            </w:r>
            <w:r>
              <w:rPr>
                <w:sz w:val="20"/>
              </w:rPr>
              <w:t>с</w:t>
            </w:r>
            <w:r>
              <w:rPr>
                <w:spacing w:val="-10"/>
                <w:sz w:val="20"/>
              </w:rPr>
              <w:t> </w:t>
            </w:r>
            <w:r>
              <w:rPr>
                <w:sz w:val="20"/>
              </w:rPr>
              <w:t>применением</w:t>
            </w:r>
            <w:r>
              <w:rPr>
                <w:spacing w:val="-10"/>
                <w:sz w:val="20"/>
              </w:rPr>
              <w:t> </w:t>
            </w:r>
            <w:r>
              <w:rPr>
                <w:sz w:val="20"/>
              </w:rPr>
              <w:t>системных </w:t>
            </w:r>
            <w:r>
              <w:rPr>
                <w:spacing w:val="-2"/>
                <w:sz w:val="20"/>
              </w:rPr>
              <w:t>глюкокортикостероидных, цитостатических, иммуносупрессивных, </w:t>
            </w:r>
            <w:r>
              <w:rPr>
                <w:sz w:val="20"/>
              </w:rPr>
              <w:t>антибактериальных</w:t>
            </w:r>
            <w:r>
              <w:rPr>
                <w:spacing w:val="-13"/>
                <w:sz w:val="20"/>
              </w:rPr>
              <w:t> </w:t>
            </w:r>
            <w:r>
              <w:rPr>
                <w:sz w:val="20"/>
              </w:rPr>
              <w:t>лекарственных </w:t>
            </w:r>
            <w:r>
              <w:rPr>
                <w:spacing w:val="-2"/>
                <w:sz w:val="20"/>
              </w:rPr>
              <w:t>препаратов</w:t>
            </w:r>
          </w:p>
        </w:tc>
        <w:tc>
          <w:tcPr>
            <w:tcW w:w="1123" w:type="dxa"/>
          </w:tcPr>
          <w:p>
            <w:pPr>
              <w:pStyle w:val="TableParagraph"/>
              <w:rPr>
                <w:sz w:val="18"/>
              </w:rPr>
            </w:pPr>
          </w:p>
        </w:tc>
      </w:tr>
      <w:tr>
        <w:trPr>
          <w:trHeight w:val="1680"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spacing w:before="120"/>
              <w:ind w:left="481" w:right="482"/>
              <w:jc w:val="center"/>
              <w:rPr>
                <w:sz w:val="20"/>
              </w:rPr>
            </w:pPr>
            <w:r>
              <w:rPr>
                <w:spacing w:val="-2"/>
                <w:sz w:val="20"/>
              </w:rPr>
              <w:t>L94.0</w:t>
            </w:r>
          </w:p>
        </w:tc>
        <w:tc>
          <w:tcPr>
            <w:tcW w:w="3207" w:type="dxa"/>
          </w:tcPr>
          <w:p>
            <w:pPr>
              <w:pStyle w:val="TableParagraph"/>
              <w:spacing w:line="249" w:lineRule="auto" w:before="120"/>
              <w:ind w:left="107"/>
              <w:rPr>
                <w:sz w:val="20"/>
              </w:rPr>
            </w:pPr>
            <w:r>
              <w:rPr>
                <w:sz w:val="20"/>
              </w:rPr>
              <w:t>локализованная склеродермия при отсутствии эффективности ранее 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73" w:type="dxa"/>
          </w:tcPr>
          <w:p>
            <w:pPr>
              <w:pStyle w:val="TableParagraph"/>
              <w:spacing w:line="249"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520"/>
              <w:rPr>
                <w:sz w:val="20"/>
              </w:rPr>
            </w:pPr>
            <w:r>
              <w:rPr>
                <w:sz w:val="20"/>
              </w:rPr>
              <w:t>лечение с применением дальней длинноволновой фототерапии в сочетании</w:t>
            </w:r>
            <w:r>
              <w:rPr>
                <w:spacing w:val="-13"/>
                <w:sz w:val="20"/>
              </w:rPr>
              <w:t> </w:t>
            </w:r>
            <w:r>
              <w:rPr>
                <w:sz w:val="20"/>
              </w:rPr>
              <w:t>с</w:t>
            </w:r>
            <w:r>
              <w:rPr>
                <w:spacing w:val="-12"/>
                <w:sz w:val="20"/>
              </w:rPr>
              <w:t> </w:t>
            </w:r>
            <w:r>
              <w:rPr>
                <w:sz w:val="20"/>
              </w:rPr>
              <w:t>антибактериальными, </w:t>
            </w:r>
            <w:r>
              <w:rPr>
                <w:spacing w:val="-2"/>
                <w:sz w:val="20"/>
              </w:rPr>
              <w:t>глюкокортикостероидными, </w:t>
            </w:r>
            <w:r>
              <w:rPr>
                <w:sz w:val="20"/>
              </w:rPr>
              <w:t>сосудистыми и ферментными лекарственными препаратами</w:t>
            </w:r>
          </w:p>
        </w:tc>
        <w:tc>
          <w:tcPr>
            <w:tcW w:w="1123" w:type="dxa"/>
          </w:tcPr>
          <w:p>
            <w:pPr>
              <w:pStyle w:val="TableParagraph"/>
              <w:rPr>
                <w:sz w:val="18"/>
              </w:rPr>
            </w:pPr>
          </w:p>
        </w:tc>
      </w:tr>
      <w:tr>
        <w:trPr>
          <w:trHeight w:val="1440" w:hRule="atLeast"/>
        </w:trPr>
        <w:tc>
          <w:tcPr>
            <w:tcW w:w="472" w:type="dxa"/>
            <w:vMerge w:val="restart"/>
          </w:tcPr>
          <w:p>
            <w:pPr>
              <w:pStyle w:val="TableParagraph"/>
              <w:rPr>
                <w:sz w:val="18"/>
              </w:rPr>
            </w:pPr>
          </w:p>
        </w:tc>
        <w:tc>
          <w:tcPr>
            <w:tcW w:w="3067" w:type="dxa"/>
            <w:vMerge w:val="restart"/>
          </w:tcPr>
          <w:p>
            <w:pPr>
              <w:pStyle w:val="TableParagraph"/>
              <w:spacing w:line="249" w:lineRule="auto" w:before="120"/>
              <w:ind w:left="168" w:right="84"/>
              <w:rPr>
                <w:sz w:val="20"/>
              </w:rPr>
            </w:pPr>
            <w:r>
              <w:rPr>
                <w:sz w:val="20"/>
              </w:rPr>
              <w:t>Лечение</w:t>
            </w:r>
            <w:r>
              <w:rPr>
                <w:spacing w:val="-13"/>
                <w:sz w:val="20"/>
              </w:rPr>
              <w:t> </w:t>
            </w:r>
            <w:r>
              <w:rPr>
                <w:sz w:val="20"/>
              </w:rPr>
              <w:t>тяжелых,</w:t>
            </w:r>
            <w:r>
              <w:rPr>
                <w:spacing w:val="-12"/>
                <w:sz w:val="20"/>
              </w:rPr>
              <w:t> </w:t>
            </w:r>
            <w:r>
              <w:rPr>
                <w:sz w:val="20"/>
              </w:rPr>
              <w:t>резистентных форм атопического дерматита и псориаза, включая псориатический артрит, с применением генно- инженерных биологических лекарственных препаратов</w:t>
            </w:r>
          </w:p>
        </w:tc>
        <w:tc>
          <w:tcPr>
            <w:tcW w:w="1879" w:type="dxa"/>
          </w:tcPr>
          <w:p>
            <w:pPr>
              <w:pStyle w:val="TableParagraph"/>
              <w:spacing w:before="120"/>
              <w:ind w:left="481" w:right="482"/>
              <w:jc w:val="center"/>
              <w:rPr>
                <w:sz w:val="20"/>
              </w:rPr>
            </w:pPr>
            <w:r>
              <w:rPr>
                <w:spacing w:val="-2"/>
                <w:sz w:val="20"/>
              </w:rPr>
              <w:t>L40.0</w:t>
            </w:r>
          </w:p>
        </w:tc>
        <w:tc>
          <w:tcPr>
            <w:tcW w:w="3207" w:type="dxa"/>
          </w:tcPr>
          <w:p>
            <w:pPr>
              <w:pStyle w:val="TableParagraph"/>
              <w:spacing w:line="249" w:lineRule="auto" w:before="120"/>
              <w:ind w:left="107"/>
              <w:rPr>
                <w:sz w:val="20"/>
              </w:rPr>
            </w:pPr>
            <w:r>
              <w:rPr>
                <w:sz w:val="20"/>
              </w:rPr>
              <w:t>тяжелые</w:t>
            </w:r>
            <w:r>
              <w:rPr>
                <w:spacing w:val="-13"/>
                <w:sz w:val="20"/>
              </w:rPr>
              <w:t> </w:t>
            </w:r>
            <w:r>
              <w:rPr>
                <w:sz w:val="20"/>
              </w:rPr>
              <w:t>распространенные</w:t>
            </w:r>
            <w:r>
              <w:rPr>
                <w:spacing w:val="-12"/>
                <w:sz w:val="20"/>
              </w:rPr>
              <w:t> </w:t>
            </w:r>
            <w:r>
              <w:rPr>
                <w:sz w:val="20"/>
              </w:rPr>
              <w:t>формы псориаза, резистентные к другим видам системной терапии</w:t>
            </w:r>
          </w:p>
        </w:tc>
        <w:tc>
          <w:tcPr>
            <w:tcW w:w="1673" w:type="dxa"/>
          </w:tcPr>
          <w:p>
            <w:pPr>
              <w:pStyle w:val="TableParagraph"/>
              <w:spacing w:line="249"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247"/>
              <w:rPr>
                <w:sz w:val="20"/>
              </w:rPr>
            </w:pPr>
            <w:r>
              <w:rPr>
                <w:sz w:val="20"/>
              </w:rPr>
              <w:t>лечение с применением генно- инженерных биологических лекарственных препаратов в сочетании</w:t>
            </w:r>
            <w:r>
              <w:rPr>
                <w:spacing w:val="-13"/>
                <w:sz w:val="20"/>
              </w:rPr>
              <w:t> </w:t>
            </w:r>
            <w:r>
              <w:rPr>
                <w:sz w:val="20"/>
              </w:rPr>
              <w:t>с</w:t>
            </w:r>
            <w:r>
              <w:rPr>
                <w:spacing w:val="-12"/>
                <w:sz w:val="20"/>
              </w:rPr>
              <w:t> </w:t>
            </w:r>
            <w:r>
              <w:rPr>
                <w:sz w:val="20"/>
              </w:rPr>
              <w:t>иммуносупрессивными лекарственными препаратами</w:t>
            </w:r>
          </w:p>
        </w:tc>
        <w:tc>
          <w:tcPr>
            <w:tcW w:w="1123" w:type="dxa"/>
          </w:tcPr>
          <w:p>
            <w:pPr>
              <w:pStyle w:val="TableParagraph"/>
              <w:rPr>
                <w:sz w:val="18"/>
              </w:rPr>
            </w:pPr>
          </w:p>
        </w:tc>
      </w:tr>
      <w:tr>
        <w:trPr>
          <w:trHeight w:val="1200" w:hRule="atLeast"/>
        </w:trPr>
        <w:tc>
          <w:tcPr>
            <w:tcW w:w="472" w:type="dxa"/>
            <w:vMerge/>
            <w:tcBorders>
              <w:top w:val="nil"/>
            </w:tcBorders>
          </w:tcPr>
          <w:p>
            <w:pPr>
              <w:rPr>
                <w:sz w:val="2"/>
                <w:szCs w:val="2"/>
              </w:rPr>
            </w:pPr>
          </w:p>
        </w:tc>
        <w:tc>
          <w:tcPr>
            <w:tcW w:w="3067" w:type="dxa"/>
            <w:vMerge/>
            <w:tcBorders>
              <w:top w:val="nil"/>
            </w:tcBorders>
          </w:tcPr>
          <w:p>
            <w:pPr>
              <w:rPr>
                <w:sz w:val="2"/>
                <w:szCs w:val="2"/>
              </w:rPr>
            </w:pPr>
          </w:p>
        </w:tc>
        <w:tc>
          <w:tcPr>
            <w:tcW w:w="1879" w:type="dxa"/>
          </w:tcPr>
          <w:p>
            <w:pPr>
              <w:pStyle w:val="TableParagraph"/>
              <w:spacing w:before="120"/>
              <w:ind w:left="481" w:right="483"/>
              <w:jc w:val="center"/>
              <w:rPr>
                <w:sz w:val="20"/>
              </w:rPr>
            </w:pPr>
            <w:r>
              <w:rPr>
                <w:sz w:val="20"/>
              </w:rPr>
              <w:t>L40.5,</w:t>
            </w:r>
            <w:r>
              <w:rPr>
                <w:spacing w:val="-5"/>
                <w:sz w:val="20"/>
              </w:rPr>
              <w:t> L20</w:t>
            </w:r>
          </w:p>
        </w:tc>
        <w:tc>
          <w:tcPr>
            <w:tcW w:w="3207" w:type="dxa"/>
          </w:tcPr>
          <w:p>
            <w:pPr>
              <w:pStyle w:val="TableParagraph"/>
              <w:spacing w:line="249" w:lineRule="auto" w:before="120"/>
              <w:ind w:left="107"/>
              <w:rPr>
                <w:sz w:val="20"/>
              </w:rPr>
            </w:pPr>
            <w:r>
              <w:rPr>
                <w:sz w:val="20"/>
              </w:rPr>
              <w:t>тяжелые</w:t>
            </w:r>
            <w:r>
              <w:rPr>
                <w:spacing w:val="-3"/>
                <w:sz w:val="20"/>
              </w:rPr>
              <w:t> </w:t>
            </w:r>
            <w:r>
              <w:rPr>
                <w:sz w:val="20"/>
              </w:rPr>
              <w:t>распространенные формы атопического</w:t>
            </w:r>
            <w:r>
              <w:rPr>
                <w:spacing w:val="-13"/>
                <w:sz w:val="20"/>
              </w:rPr>
              <w:t> </w:t>
            </w:r>
            <w:r>
              <w:rPr>
                <w:sz w:val="20"/>
              </w:rPr>
              <w:t>дерматита</w:t>
            </w:r>
            <w:r>
              <w:rPr>
                <w:spacing w:val="-12"/>
                <w:sz w:val="20"/>
              </w:rPr>
              <w:t> </w:t>
            </w:r>
            <w:r>
              <w:rPr>
                <w:sz w:val="20"/>
              </w:rPr>
              <w:t>и</w:t>
            </w:r>
            <w:r>
              <w:rPr>
                <w:spacing w:val="-13"/>
                <w:sz w:val="20"/>
              </w:rPr>
              <w:t> </w:t>
            </w:r>
            <w:r>
              <w:rPr>
                <w:sz w:val="20"/>
              </w:rPr>
              <w:t>псориаза артропатического, резистентные к другим видам системной терапии</w:t>
            </w:r>
          </w:p>
        </w:tc>
        <w:tc>
          <w:tcPr>
            <w:tcW w:w="1673" w:type="dxa"/>
          </w:tcPr>
          <w:p>
            <w:pPr>
              <w:pStyle w:val="TableParagraph"/>
              <w:spacing w:line="252"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520"/>
              <w:rPr>
                <w:sz w:val="20"/>
              </w:rPr>
            </w:pPr>
            <w:r>
              <w:rPr>
                <w:sz w:val="20"/>
              </w:rPr>
              <w:t>лечение</w:t>
            </w:r>
            <w:r>
              <w:rPr>
                <w:spacing w:val="-13"/>
                <w:sz w:val="20"/>
              </w:rPr>
              <w:t> </w:t>
            </w:r>
            <w:r>
              <w:rPr>
                <w:sz w:val="20"/>
              </w:rPr>
              <w:t>с</w:t>
            </w:r>
            <w:r>
              <w:rPr>
                <w:spacing w:val="-12"/>
                <w:sz w:val="20"/>
              </w:rPr>
              <w:t> </w:t>
            </w:r>
            <w:r>
              <w:rPr>
                <w:sz w:val="20"/>
              </w:rPr>
              <w:t>применением</w:t>
            </w:r>
            <w:r>
              <w:rPr>
                <w:spacing w:val="-13"/>
                <w:sz w:val="20"/>
              </w:rPr>
              <w:t> </w:t>
            </w:r>
            <w:r>
              <w:rPr>
                <w:sz w:val="20"/>
              </w:rPr>
              <w:t>генно- инженерных биологических лекарственных препаратов</w:t>
            </w:r>
          </w:p>
        </w:tc>
        <w:tc>
          <w:tcPr>
            <w:tcW w:w="1123" w:type="dxa"/>
          </w:tcPr>
          <w:p>
            <w:pPr>
              <w:pStyle w:val="TableParagraph"/>
              <w:rPr>
                <w:sz w:val="18"/>
              </w:rPr>
            </w:pPr>
          </w:p>
        </w:tc>
      </w:tr>
      <w:tr>
        <w:trPr>
          <w:trHeight w:val="479"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rPr>
                <w:sz w:val="18"/>
              </w:rPr>
            </w:pPr>
          </w:p>
        </w:tc>
        <w:tc>
          <w:tcPr>
            <w:tcW w:w="3207" w:type="dxa"/>
          </w:tcPr>
          <w:p>
            <w:pPr>
              <w:pStyle w:val="TableParagraph"/>
              <w:spacing w:before="120"/>
              <w:ind w:left="1549"/>
              <w:rPr>
                <w:sz w:val="20"/>
              </w:rPr>
            </w:pPr>
            <w:r>
              <w:rPr>
                <w:spacing w:val="-2"/>
                <w:sz w:val="20"/>
              </w:rPr>
              <w:t>Комбустиология</w:t>
            </w:r>
          </w:p>
        </w:tc>
        <w:tc>
          <w:tcPr>
            <w:tcW w:w="1673" w:type="dxa"/>
          </w:tcPr>
          <w:p>
            <w:pPr>
              <w:pStyle w:val="TableParagraph"/>
              <w:rPr>
                <w:sz w:val="18"/>
              </w:rPr>
            </w:pPr>
          </w:p>
        </w:tc>
        <w:tc>
          <w:tcPr>
            <w:tcW w:w="3623" w:type="dxa"/>
          </w:tcPr>
          <w:p>
            <w:pPr>
              <w:pStyle w:val="TableParagraph"/>
              <w:rPr>
                <w:sz w:val="18"/>
              </w:rPr>
            </w:pPr>
          </w:p>
        </w:tc>
        <w:tc>
          <w:tcPr>
            <w:tcW w:w="1123" w:type="dxa"/>
          </w:tcPr>
          <w:p>
            <w:pPr>
              <w:pStyle w:val="TableParagraph"/>
              <w:rPr>
                <w:sz w:val="18"/>
              </w:rPr>
            </w:pPr>
          </w:p>
        </w:tc>
      </w:tr>
      <w:tr>
        <w:trPr>
          <w:trHeight w:val="590" w:hRule="atLeast"/>
        </w:trPr>
        <w:tc>
          <w:tcPr>
            <w:tcW w:w="472" w:type="dxa"/>
          </w:tcPr>
          <w:p>
            <w:pPr>
              <w:pStyle w:val="TableParagraph"/>
              <w:spacing w:before="120"/>
              <w:ind w:left="50"/>
              <w:rPr>
                <w:sz w:val="20"/>
              </w:rPr>
            </w:pPr>
            <w:r>
              <w:rPr>
                <w:spacing w:val="-5"/>
                <w:sz w:val="20"/>
              </w:rPr>
              <w:t>10.</w:t>
            </w:r>
          </w:p>
        </w:tc>
        <w:tc>
          <w:tcPr>
            <w:tcW w:w="3067" w:type="dxa"/>
          </w:tcPr>
          <w:p>
            <w:pPr>
              <w:pStyle w:val="TableParagraph"/>
              <w:spacing w:line="240" w:lineRule="atLeast" w:before="90"/>
              <w:ind w:left="168" w:right="177"/>
              <w:rPr>
                <w:sz w:val="20"/>
              </w:rPr>
            </w:pPr>
            <w:r>
              <w:rPr>
                <w:sz w:val="20"/>
              </w:rPr>
              <w:t>Комплексное лечение больных с</w:t>
            </w:r>
            <w:r>
              <w:rPr>
                <w:spacing w:val="-4"/>
                <w:sz w:val="20"/>
              </w:rPr>
              <w:t> </w:t>
            </w:r>
            <w:r>
              <w:rPr>
                <w:sz w:val="20"/>
              </w:rPr>
              <w:t>обширными</w:t>
            </w:r>
            <w:r>
              <w:rPr>
                <w:spacing w:val="-5"/>
                <w:sz w:val="20"/>
              </w:rPr>
              <w:t> </w:t>
            </w:r>
            <w:r>
              <w:rPr>
                <w:sz w:val="20"/>
              </w:rPr>
              <w:t>ожогами</w:t>
            </w:r>
            <w:r>
              <w:rPr>
                <w:spacing w:val="-5"/>
                <w:sz w:val="20"/>
              </w:rPr>
              <w:t> </w:t>
            </w:r>
            <w:r>
              <w:rPr>
                <w:sz w:val="20"/>
              </w:rPr>
              <w:t>от</w:t>
            </w:r>
            <w:r>
              <w:rPr>
                <w:spacing w:val="-5"/>
                <w:sz w:val="20"/>
              </w:rPr>
              <w:t> </w:t>
            </w:r>
            <w:r>
              <w:rPr>
                <w:sz w:val="20"/>
              </w:rPr>
              <w:t>30</w:t>
            </w:r>
            <w:r>
              <w:rPr>
                <w:spacing w:val="-3"/>
                <w:sz w:val="20"/>
              </w:rPr>
              <w:t> </w:t>
            </w:r>
            <w:r>
              <w:rPr>
                <w:spacing w:val="-5"/>
                <w:sz w:val="20"/>
              </w:rPr>
              <w:t>до</w:t>
            </w:r>
          </w:p>
        </w:tc>
        <w:tc>
          <w:tcPr>
            <w:tcW w:w="1879" w:type="dxa"/>
          </w:tcPr>
          <w:p>
            <w:pPr>
              <w:pStyle w:val="TableParagraph"/>
              <w:spacing w:line="240" w:lineRule="atLeast" w:before="90"/>
              <w:ind w:left="118"/>
              <w:rPr>
                <w:sz w:val="20"/>
              </w:rPr>
            </w:pPr>
            <w:r>
              <w:rPr>
                <w:sz w:val="20"/>
              </w:rPr>
              <w:t>T20,</w:t>
            </w:r>
            <w:r>
              <w:rPr>
                <w:spacing w:val="-13"/>
                <w:sz w:val="20"/>
              </w:rPr>
              <w:t> </w:t>
            </w:r>
            <w:r>
              <w:rPr>
                <w:sz w:val="20"/>
              </w:rPr>
              <w:t>T21,</w:t>
            </w:r>
            <w:r>
              <w:rPr>
                <w:spacing w:val="-12"/>
                <w:sz w:val="20"/>
              </w:rPr>
              <w:t> </w:t>
            </w:r>
            <w:r>
              <w:rPr>
                <w:sz w:val="20"/>
              </w:rPr>
              <w:t>T22,</w:t>
            </w:r>
            <w:r>
              <w:rPr>
                <w:spacing w:val="-13"/>
                <w:sz w:val="20"/>
              </w:rPr>
              <w:t> </w:t>
            </w:r>
            <w:r>
              <w:rPr>
                <w:sz w:val="20"/>
              </w:rPr>
              <w:t>T23, T24,</w:t>
            </w:r>
            <w:r>
              <w:rPr>
                <w:spacing w:val="-4"/>
                <w:sz w:val="20"/>
              </w:rPr>
              <w:t> </w:t>
            </w:r>
            <w:r>
              <w:rPr>
                <w:sz w:val="20"/>
              </w:rPr>
              <w:t>T25,</w:t>
            </w:r>
            <w:r>
              <w:rPr>
                <w:spacing w:val="-4"/>
                <w:sz w:val="20"/>
              </w:rPr>
              <w:t> </w:t>
            </w:r>
            <w:r>
              <w:rPr>
                <w:sz w:val="20"/>
              </w:rPr>
              <w:t>T27,</w:t>
            </w:r>
            <w:r>
              <w:rPr>
                <w:spacing w:val="-4"/>
                <w:sz w:val="20"/>
              </w:rPr>
              <w:t> T29,</w:t>
            </w:r>
          </w:p>
        </w:tc>
        <w:tc>
          <w:tcPr>
            <w:tcW w:w="3207" w:type="dxa"/>
          </w:tcPr>
          <w:p>
            <w:pPr>
              <w:pStyle w:val="TableParagraph"/>
              <w:spacing w:line="240" w:lineRule="atLeast" w:before="90"/>
              <w:ind w:left="107"/>
              <w:rPr>
                <w:sz w:val="20"/>
              </w:rPr>
            </w:pPr>
            <w:r>
              <w:rPr>
                <w:sz w:val="20"/>
              </w:rPr>
              <w:t>термические,</w:t>
            </w:r>
            <w:r>
              <w:rPr>
                <w:spacing w:val="-13"/>
                <w:sz w:val="20"/>
              </w:rPr>
              <w:t> </w:t>
            </w:r>
            <w:r>
              <w:rPr>
                <w:sz w:val="20"/>
              </w:rPr>
              <w:t>химические</w:t>
            </w:r>
            <w:r>
              <w:rPr>
                <w:spacing w:val="-12"/>
                <w:sz w:val="20"/>
              </w:rPr>
              <w:t> </w:t>
            </w:r>
            <w:r>
              <w:rPr>
                <w:sz w:val="20"/>
              </w:rPr>
              <w:t>и электрические ожоги</w:t>
            </w:r>
          </w:p>
        </w:tc>
        <w:tc>
          <w:tcPr>
            <w:tcW w:w="1673" w:type="dxa"/>
          </w:tcPr>
          <w:p>
            <w:pPr>
              <w:pStyle w:val="TableParagraph"/>
              <w:spacing w:line="240" w:lineRule="atLeast" w:before="90"/>
              <w:ind w:left="56"/>
              <w:rPr>
                <w:sz w:val="20"/>
              </w:rPr>
            </w:pPr>
            <w:r>
              <w:rPr>
                <w:spacing w:val="-2"/>
                <w:sz w:val="20"/>
              </w:rPr>
              <w:t>комбинированное лечение</w:t>
            </w:r>
          </w:p>
        </w:tc>
        <w:tc>
          <w:tcPr>
            <w:tcW w:w="3623" w:type="dxa"/>
          </w:tcPr>
          <w:p>
            <w:pPr>
              <w:pStyle w:val="TableParagraph"/>
              <w:spacing w:line="240" w:lineRule="atLeast" w:before="90"/>
              <w:ind w:left="81" w:right="771"/>
              <w:rPr>
                <w:sz w:val="20"/>
              </w:rPr>
            </w:pPr>
            <w:r>
              <w:rPr>
                <w:sz w:val="20"/>
              </w:rPr>
              <w:t>интенсивное</w:t>
            </w:r>
            <w:r>
              <w:rPr>
                <w:spacing w:val="-13"/>
                <w:sz w:val="20"/>
              </w:rPr>
              <w:t> </w:t>
            </w:r>
            <w:r>
              <w:rPr>
                <w:sz w:val="20"/>
              </w:rPr>
              <w:t>поликомпонентное лечение в палатах (боксах) с</w:t>
            </w:r>
          </w:p>
        </w:tc>
        <w:tc>
          <w:tcPr>
            <w:tcW w:w="1123" w:type="dxa"/>
          </w:tcPr>
          <w:p>
            <w:pPr>
              <w:pStyle w:val="TableParagraph"/>
              <w:spacing w:before="120"/>
              <w:ind w:left="469"/>
              <w:rPr>
                <w:sz w:val="20"/>
              </w:rPr>
            </w:pPr>
            <w:r>
              <w:rPr>
                <w:spacing w:val="-2"/>
                <w:sz w:val="20"/>
              </w:rPr>
              <w:t>582692</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51"/>
        <w:gridCol w:w="1888"/>
        <w:gridCol w:w="3197"/>
        <w:gridCol w:w="1688"/>
        <w:gridCol w:w="3730"/>
        <w:gridCol w:w="1065"/>
      </w:tblGrid>
      <w:tr>
        <w:trPr>
          <w:trHeight w:val="230" w:hRule="atLeast"/>
        </w:trPr>
        <w:tc>
          <w:tcPr>
            <w:tcW w:w="472" w:type="dxa"/>
            <w:vMerge w:val="restart"/>
          </w:tcPr>
          <w:p>
            <w:pPr>
              <w:pStyle w:val="TableParagraph"/>
              <w:rPr>
                <w:sz w:val="18"/>
              </w:rPr>
            </w:pPr>
          </w:p>
        </w:tc>
        <w:tc>
          <w:tcPr>
            <w:tcW w:w="3051" w:type="dxa"/>
          </w:tcPr>
          <w:p>
            <w:pPr>
              <w:pStyle w:val="TableParagraph"/>
              <w:spacing w:line="210" w:lineRule="exact"/>
              <w:ind w:left="168"/>
              <w:rPr>
                <w:sz w:val="20"/>
              </w:rPr>
            </w:pPr>
            <w:r>
              <w:rPr>
                <w:sz w:val="20"/>
              </w:rPr>
              <w:t>49</w:t>
            </w:r>
            <w:r>
              <w:rPr>
                <w:spacing w:val="-8"/>
                <w:sz w:val="20"/>
              </w:rPr>
              <w:t> </w:t>
            </w:r>
            <w:r>
              <w:rPr>
                <w:sz w:val="20"/>
              </w:rPr>
              <w:t>процентов</w:t>
            </w:r>
            <w:r>
              <w:rPr>
                <w:spacing w:val="-8"/>
                <w:sz w:val="20"/>
              </w:rPr>
              <w:t> </w:t>
            </w:r>
            <w:r>
              <w:rPr>
                <w:sz w:val="20"/>
              </w:rPr>
              <w:t>поверхности</w:t>
            </w:r>
            <w:r>
              <w:rPr>
                <w:spacing w:val="-9"/>
                <w:sz w:val="20"/>
              </w:rPr>
              <w:t> </w:t>
            </w:r>
            <w:r>
              <w:rPr>
                <w:spacing w:val="-4"/>
                <w:sz w:val="20"/>
              </w:rPr>
              <w:t>тела</w:t>
            </w:r>
          </w:p>
        </w:tc>
        <w:tc>
          <w:tcPr>
            <w:tcW w:w="1888" w:type="dxa"/>
          </w:tcPr>
          <w:p>
            <w:pPr>
              <w:pStyle w:val="TableParagraph"/>
              <w:spacing w:line="210" w:lineRule="exact"/>
              <w:ind w:left="41" w:right="24"/>
              <w:jc w:val="center"/>
              <w:rPr>
                <w:sz w:val="20"/>
              </w:rPr>
            </w:pPr>
            <w:r>
              <w:rPr>
                <w:sz w:val="20"/>
              </w:rPr>
              <w:t>T30,</w:t>
            </w:r>
            <w:r>
              <w:rPr>
                <w:spacing w:val="-5"/>
                <w:sz w:val="20"/>
              </w:rPr>
              <w:t> </w:t>
            </w:r>
            <w:r>
              <w:rPr>
                <w:sz w:val="20"/>
              </w:rPr>
              <w:t>T31.3,</w:t>
            </w:r>
            <w:r>
              <w:rPr>
                <w:spacing w:val="-5"/>
                <w:sz w:val="20"/>
              </w:rPr>
              <w:t> </w:t>
            </w:r>
            <w:r>
              <w:rPr>
                <w:spacing w:val="-2"/>
                <w:sz w:val="20"/>
              </w:rPr>
              <w:t>T31.4,</w:t>
            </w:r>
          </w:p>
        </w:tc>
        <w:tc>
          <w:tcPr>
            <w:tcW w:w="3197" w:type="dxa"/>
          </w:tcPr>
          <w:p>
            <w:pPr>
              <w:pStyle w:val="TableParagraph"/>
              <w:spacing w:line="210" w:lineRule="exact"/>
              <w:ind w:left="114"/>
              <w:rPr>
                <w:sz w:val="20"/>
              </w:rPr>
            </w:pPr>
            <w:r>
              <w:rPr>
                <w:sz w:val="20"/>
              </w:rPr>
              <w:t>I</w:t>
            </w:r>
            <w:r>
              <w:rPr>
                <w:spacing w:val="-1"/>
                <w:sz w:val="20"/>
              </w:rPr>
              <w:t> </w:t>
            </w:r>
            <w:r>
              <w:rPr>
                <w:sz w:val="20"/>
              </w:rPr>
              <w:t>-</w:t>
            </w:r>
            <w:r>
              <w:rPr>
                <w:spacing w:val="-3"/>
                <w:sz w:val="20"/>
              </w:rPr>
              <w:t> </w:t>
            </w:r>
            <w:r>
              <w:rPr>
                <w:sz w:val="20"/>
              </w:rPr>
              <w:t>II -</w:t>
            </w:r>
            <w:r>
              <w:rPr>
                <w:spacing w:val="-3"/>
                <w:sz w:val="20"/>
              </w:rPr>
              <w:t> </w:t>
            </w:r>
            <w:r>
              <w:rPr>
                <w:sz w:val="20"/>
              </w:rPr>
              <w:t>III</w:t>
            </w:r>
            <w:r>
              <w:rPr>
                <w:spacing w:val="-1"/>
                <w:sz w:val="20"/>
              </w:rPr>
              <w:t> </w:t>
            </w:r>
            <w:r>
              <w:rPr>
                <w:spacing w:val="-2"/>
                <w:sz w:val="20"/>
              </w:rPr>
              <w:t>степени</w:t>
            </w:r>
          </w:p>
        </w:tc>
        <w:tc>
          <w:tcPr>
            <w:tcW w:w="1688" w:type="dxa"/>
            <w:vMerge w:val="restart"/>
          </w:tcPr>
          <w:p>
            <w:pPr>
              <w:pStyle w:val="TableParagraph"/>
              <w:rPr>
                <w:sz w:val="18"/>
              </w:rPr>
            </w:pPr>
          </w:p>
        </w:tc>
        <w:tc>
          <w:tcPr>
            <w:tcW w:w="3730" w:type="dxa"/>
          </w:tcPr>
          <w:p>
            <w:pPr>
              <w:pStyle w:val="TableParagraph"/>
              <w:spacing w:line="210" w:lineRule="exact"/>
              <w:ind w:left="83"/>
              <w:rPr>
                <w:sz w:val="20"/>
              </w:rPr>
            </w:pPr>
            <w:r>
              <w:rPr>
                <w:w w:val="95"/>
                <w:sz w:val="20"/>
              </w:rPr>
              <w:t>абактериальной</w:t>
            </w:r>
            <w:r>
              <w:rPr>
                <w:spacing w:val="52"/>
                <w:sz w:val="20"/>
              </w:rPr>
              <w:t> </w:t>
            </w:r>
            <w:r>
              <w:rPr>
                <w:spacing w:val="-2"/>
                <w:sz w:val="20"/>
              </w:rPr>
              <w:t>средой</w:t>
            </w:r>
          </w:p>
        </w:tc>
        <w:tc>
          <w:tcPr>
            <w:tcW w:w="1065"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51" w:type="dxa"/>
          </w:tcPr>
          <w:p>
            <w:pPr>
              <w:pStyle w:val="TableParagraph"/>
              <w:spacing w:line="220" w:lineRule="exact"/>
              <w:ind w:left="168"/>
              <w:rPr>
                <w:sz w:val="20"/>
              </w:rPr>
            </w:pPr>
            <w:r>
              <w:rPr>
                <w:sz w:val="20"/>
              </w:rPr>
              <w:t>различной</w:t>
            </w:r>
            <w:r>
              <w:rPr>
                <w:spacing w:val="-9"/>
                <w:sz w:val="20"/>
              </w:rPr>
              <w:t> </w:t>
            </w:r>
            <w:r>
              <w:rPr>
                <w:sz w:val="20"/>
              </w:rPr>
              <w:t>локализации,</w:t>
            </w:r>
            <w:r>
              <w:rPr>
                <w:spacing w:val="-7"/>
                <w:sz w:val="20"/>
              </w:rPr>
              <w:t> </w:t>
            </w:r>
            <w:r>
              <w:rPr>
                <w:sz w:val="20"/>
              </w:rPr>
              <w:t>в</w:t>
            </w:r>
            <w:r>
              <w:rPr>
                <w:spacing w:val="-9"/>
                <w:sz w:val="20"/>
              </w:rPr>
              <w:t> </w:t>
            </w:r>
            <w:r>
              <w:rPr>
                <w:spacing w:val="-5"/>
                <w:sz w:val="20"/>
              </w:rPr>
              <w:t>том</w:t>
            </w:r>
          </w:p>
        </w:tc>
        <w:tc>
          <w:tcPr>
            <w:tcW w:w="1888" w:type="dxa"/>
          </w:tcPr>
          <w:p>
            <w:pPr>
              <w:pStyle w:val="TableParagraph"/>
              <w:spacing w:line="220" w:lineRule="exact"/>
              <w:ind w:left="41" w:right="24"/>
              <w:jc w:val="center"/>
              <w:rPr>
                <w:sz w:val="20"/>
              </w:rPr>
            </w:pPr>
            <w:r>
              <w:rPr>
                <w:sz w:val="20"/>
              </w:rPr>
              <w:t>T32.3,</w:t>
            </w:r>
            <w:r>
              <w:rPr>
                <w:spacing w:val="-6"/>
                <w:sz w:val="20"/>
              </w:rPr>
              <w:t> </w:t>
            </w:r>
            <w:r>
              <w:rPr>
                <w:sz w:val="20"/>
              </w:rPr>
              <w:t>T32.4,</w:t>
            </w:r>
            <w:r>
              <w:rPr>
                <w:spacing w:val="-4"/>
                <w:sz w:val="20"/>
              </w:rPr>
              <w:t> T58,</w:t>
            </w:r>
          </w:p>
        </w:tc>
        <w:tc>
          <w:tcPr>
            <w:tcW w:w="3197" w:type="dxa"/>
          </w:tcPr>
          <w:p>
            <w:pPr>
              <w:pStyle w:val="TableParagraph"/>
              <w:spacing w:line="220" w:lineRule="exact"/>
              <w:ind w:left="114"/>
              <w:rPr>
                <w:sz w:val="20"/>
              </w:rPr>
            </w:pPr>
            <w:r>
              <w:rPr>
                <w:sz w:val="20"/>
              </w:rPr>
              <w:t>от</w:t>
            </w:r>
            <w:r>
              <w:rPr>
                <w:spacing w:val="-5"/>
                <w:sz w:val="20"/>
              </w:rPr>
              <w:t> </w:t>
            </w:r>
            <w:r>
              <w:rPr>
                <w:sz w:val="20"/>
              </w:rPr>
              <w:t>30</w:t>
            </w:r>
            <w:r>
              <w:rPr>
                <w:spacing w:val="-3"/>
                <w:sz w:val="20"/>
              </w:rPr>
              <w:t> </w:t>
            </w:r>
            <w:r>
              <w:rPr>
                <w:sz w:val="20"/>
              </w:rPr>
              <w:t>до</w:t>
            </w:r>
            <w:r>
              <w:rPr>
                <w:spacing w:val="-4"/>
                <w:sz w:val="20"/>
              </w:rPr>
              <w:t> </w:t>
            </w:r>
            <w:r>
              <w:rPr>
                <w:sz w:val="20"/>
              </w:rPr>
              <w:t>49</w:t>
            </w:r>
            <w:r>
              <w:rPr>
                <w:spacing w:val="-3"/>
                <w:sz w:val="20"/>
              </w:rPr>
              <w:t> </w:t>
            </w:r>
            <w:r>
              <w:rPr>
                <w:sz w:val="20"/>
              </w:rPr>
              <w:t>процентов</w:t>
            </w:r>
            <w:r>
              <w:rPr>
                <w:spacing w:val="-5"/>
                <w:sz w:val="20"/>
              </w:rPr>
              <w:t> </w:t>
            </w:r>
            <w:r>
              <w:rPr>
                <w:spacing w:val="-2"/>
                <w:sz w:val="20"/>
              </w:rPr>
              <w:t>поверхности</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специализированного</w:t>
            </w:r>
            <w:r>
              <w:rPr>
                <w:spacing w:val="70"/>
                <w:sz w:val="20"/>
              </w:rPr>
              <w:t> </w:t>
            </w:r>
            <w:r>
              <w:rPr>
                <w:spacing w:val="-2"/>
                <w:sz w:val="20"/>
              </w:rPr>
              <w:t>структурного</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spacing w:line="220" w:lineRule="exact"/>
              <w:ind w:left="168"/>
              <w:rPr>
                <w:sz w:val="20"/>
              </w:rPr>
            </w:pPr>
            <w:r>
              <w:rPr>
                <w:sz w:val="20"/>
              </w:rPr>
              <w:t>числе</w:t>
            </w:r>
            <w:r>
              <w:rPr>
                <w:spacing w:val="-8"/>
                <w:sz w:val="20"/>
              </w:rPr>
              <w:t> </w:t>
            </w:r>
            <w:r>
              <w:rPr>
                <w:spacing w:val="-2"/>
                <w:sz w:val="20"/>
              </w:rPr>
              <w:t>термоингаляционными</w:t>
            </w:r>
          </w:p>
        </w:tc>
        <w:tc>
          <w:tcPr>
            <w:tcW w:w="1888" w:type="dxa"/>
          </w:tcPr>
          <w:p>
            <w:pPr>
              <w:pStyle w:val="TableParagraph"/>
              <w:spacing w:line="220" w:lineRule="exact"/>
              <w:ind w:left="41" w:right="20"/>
              <w:jc w:val="center"/>
              <w:rPr>
                <w:sz w:val="20"/>
              </w:rPr>
            </w:pPr>
            <w:r>
              <w:rPr>
                <w:sz w:val="20"/>
              </w:rPr>
              <w:t>Т59,</w:t>
            </w:r>
            <w:r>
              <w:rPr>
                <w:spacing w:val="-4"/>
                <w:sz w:val="20"/>
              </w:rPr>
              <w:t> </w:t>
            </w:r>
            <w:r>
              <w:rPr>
                <w:spacing w:val="-2"/>
                <w:sz w:val="20"/>
              </w:rPr>
              <w:t>T75.4</w:t>
            </w:r>
          </w:p>
        </w:tc>
        <w:tc>
          <w:tcPr>
            <w:tcW w:w="3197" w:type="dxa"/>
          </w:tcPr>
          <w:p>
            <w:pPr>
              <w:pStyle w:val="TableParagraph"/>
              <w:spacing w:line="220" w:lineRule="exact"/>
              <w:ind w:left="114"/>
              <w:rPr>
                <w:sz w:val="20"/>
              </w:rPr>
            </w:pPr>
            <w:r>
              <w:rPr>
                <w:sz w:val="20"/>
              </w:rPr>
              <w:t>тела,</w:t>
            </w:r>
            <w:r>
              <w:rPr>
                <w:spacing w:val="-3"/>
                <w:sz w:val="20"/>
              </w:rPr>
              <w:t> </w:t>
            </w:r>
            <w:r>
              <w:rPr>
                <w:sz w:val="20"/>
              </w:rPr>
              <w:t>в</w:t>
            </w:r>
            <w:r>
              <w:rPr>
                <w:spacing w:val="-4"/>
                <w:sz w:val="20"/>
              </w:rPr>
              <w:t> </w:t>
            </w:r>
            <w:r>
              <w:rPr>
                <w:sz w:val="20"/>
              </w:rPr>
              <w:t>том</w:t>
            </w:r>
            <w:r>
              <w:rPr>
                <w:spacing w:val="-3"/>
                <w:sz w:val="20"/>
              </w:rPr>
              <w:t> </w:t>
            </w:r>
            <w:r>
              <w:rPr>
                <w:sz w:val="20"/>
              </w:rPr>
              <w:t>числе</w:t>
            </w:r>
            <w:r>
              <w:rPr>
                <w:spacing w:val="-3"/>
                <w:sz w:val="20"/>
              </w:rPr>
              <w:t> </w:t>
            </w:r>
            <w:r>
              <w:rPr>
                <w:sz w:val="20"/>
              </w:rPr>
              <w:t>с</w:t>
            </w:r>
            <w:r>
              <w:rPr>
                <w:spacing w:val="-3"/>
                <w:sz w:val="20"/>
              </w:rPr>
              <w:t> </w:t>
            </w:r>
            <w:r>
              <w:rPr>
                <w:spacing w:val="-2"/>
                <w:sz w:val="20"/>
              </w:rPr>
              <w:t>развитием</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подразделения</w:t>
            </w:r>
            <w:r>
              <w:rPr>
                <w:spacing w:val="-13"/>
                <w:sz w:val="20"/>
              </w:rPr>
              <w:t> </w:t>
            </w:r>
            <w:r>
              <w:rPr>
                <w:sz w:val="20"/>
              </w:rPr>
              <w:t>(ожогового</w:t>
            </w:r>
            <w:r>
              <w:rPr>
                <w:spacing w:val="-11"/>
                <w:sz w:val="20"/>
              </w:rPr>
              <w:t> </w:t>
            </w:r>
            <w:r>
              <w:rPr>
                <w:sz w:val="20"/>
              </w:rPr>
              <w:t>центра)</w:t>
            </w:r>
            <w:r>
              <w:rPr>
                <w:spacing w:val="-11"/>
                <w:sz w:val="20"/>
              </w:rPr>
              <w:t> </w:t>
            </w:r>
            <w:r>
              <w:rPr>
                <w:spacing w:val="-10"/>
                <w:sz w:val="20"/>
              </w:rPr>
              <w:t>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spacing w:line="220" w:lineRule="exact"/>
              <w:ind w:left="168"/>
              <w:rPr>
                <w:sz w:val="20"/>
              </w:rPr>
            </w:pPr>
            <w:r>
              <w:rPr>
                <w:spacing w:val="-2"/>
                <w:sz w:val="20"/>
              </w:rPr>
              <w:t>травмами</w:t>
            </w:r>
          </w:p>
        </w:tc>
        <w:tc>
          <w:tcPr>
            <w:tcW w:w="1888" w:type="dxa"/>
          </w:tcPr>
          <w:p>
            <w:pPr>
              <w:pStyle w:val="TableParagraph"/>
              <w:rPr>
                <w:sz w:val="16"/>
              </w:rPr>
            </w:pPr>
          </w:p>
        </w:tc>
        <w:tc>
          <w:tcPr>
            <w:tcW w:w="3197" w:type="dxa"/>
          </w:tcPr>
          <w:p>
            <w:pPr>
              <w:pStyle w:val="TableParagraph"/>
              <w:spacing w:line="220" w:lineRule="exact"/>
              <w:ind w:left="114"/>
              <w:rPr>
                <w:sz w:val="20"/>
              </w:rPr>
            </w:pPr>
            <w:r>
              <w:rPr>
                <w:sz w:val="20"/>
              </w:rPr>
              <w:t>тяжелых</w:t>
            </w:r>
            <w:r>
              <w:rPr>
                <w:spacing w:val="-9"/>
                <w:sz w:val="20"/>
              </w:rPr>
              <w:t> </w:t>
            </w:r>
            <w:r>
              <w:rPr>
                <w:spacing w:val="-2"/>
                <w:sz w:val="20"/>
              </w:rPr>
              <w:t>инфекционных</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применением</w:t>
            </w:r>
            <w:r>
              <w:rPr>
                <w:spacing w:val="8"/>
                <w:sz w:val="20"/>
              </w:rPr>
              <w:t> </w:t>
            </w:r>
            <w:r>
              <w:rPr>
                <w:spacing w:val="-2"/>
                <w:sz w:val="20"/>
              </w:rPr>
              <w:t>противоожоговых</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spacing w:line="220" w:lineRule="exact"/>
              <w:ind w:left="114"/>
              <w:rPr>
                <w:sz w:val="20"/>
              </w:rPr>
            </w:pPr>
            <w:r>
              <w:rPr>
                <w:sz w:val="20"/>
              </w:rPr>
              <w:t>осложнений</w:t>
            </w:r>
            <w:r>
              <w:rPr>
                <w:spacing w:val="-13"/>
                <w:sz w:val="20"/>
              </w:rPr>
              <w:t> </w:t>
            </w:r>
            <w:r>
              <w:rPr>
                <w:sz w:val="20"/>
              </w:rPr>
              <w:t>(пневмония,</w:t>
            </w:r>
            <w:r>
              <w:rPr>
                <w:spacing w:val="-11"/>
                <w:sz w:val="20"/>
              </w:rPr>
              <w:t> </w:t>
            </w:r>
            <w:r>
              <w:rPr>
                <w:spacing w:val="-2"/>
                <w:sz w:val="20"/>
              </w:rPr>
              <w:t>сепсис)</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(флюидизирующих)</w:t>
            </w:r>
            <w:r>
              <w:rPr>
                <w:spacing w:val="65"/>
                <w:sz w:val="20"/>
              </w:rPr>
              <w:t> </w:t>
            </w:r>
            <w:r>
              <w:rPr>
                <w:spacing w:val="-2"/>
                <w:sz w:val="20"/>
              </w:rPr>
              <w:t>кроватей,</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включающее</w:t>
            </w:r>
            <w:r>
              <w:rPr>
                <w:spacing w:val="5"/>
                <w:sz w:val="20"/>
              </w:rPr>
              <w:t> </w:t>
            </w:r>
            <w:r>
              <w:rPr>
                <w:spacing w:val="-2"/>
                <w:sz w:val="20"/>
              </w:rPr>
              <w:t>круглосуточное</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мониторирование</w:t>
            </w:r>
            <w:r>
              <w:rPr>
                <w:spacing w:val="51"/>
                <w:sz w:val="20"/>
              </w:rPr>
              <w:t> </w:t>
            </w:r>
            <w:r>
              <w:rPr>
                <w:w w:val="95"/>
                <w:sz w:val="20"/>
              </w:rPr>
              <w:t>гемодинамики</w:t>
            </w:r>
            <w:r>
              <w:rPr>
                <w:spacing w:val="54"/>
                <w:sz w:val="20"/>
              </w:rPr>
              <w:t> </w:t>
            </w:r>
            <w:r>
              <w:rPr>
                <w:spacing w:val="-10"/>
                <w:w w:val="95"/>
                <w:sz w:val="20"/>
              </w:rPr>
              <w:t>и</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волемического</w:t>
            </w:r>
            <w:r>
              <w:rPr>
                <w:spacing w:val="10"/>
                <w:sz w:val="20"/>
              </w:rPr>
              <w:t> </w:t>
            </w:r>
            <w:r>
              <w:rPr>
                <w:spacing w:val="-2"/>
                <w:sz w:val="20"/>
              </w:rPr>
              <w:t>статуса;</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респираторную</w:t>
            </w:r>
            <w:r>
              <w:rPr>
                <w:spacing w:val="9"/>
                <w:sz w:val="20"/>
              </w:rPr>
              <w:t> </w:t>
            </w:r>
            <w:r>
              <w:rPr>
                <w:spacing w:val="-2"/>
                <w:sz w:val="20"/>
              </w:rPr>
              <w:t>поддержку</w:t>
            </w:r>
            <w:r>
              <w:rPr>
                <w:spacing w:val="9"/>
                <w:sz w:val="20"/>
              </w:rPr>
              <w:t> </w:t>
            </w:r>
            <w:r>
              <w:rPr>
                <w:spacing w:val="-10"/>
                <w:sz w:val="20"/>
              </w:rPr>
              <w:t>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применением</w:t>
            </w:r>
            <w:r>
              <w:rPr>
                <w:spacing w:val="6"/>
                <w:sz w:val="20"/>
              </w:rPr>
              <w:t> </w:t>
            </w:r>
            <w:r>
              <w:rPr>
                <w:spacing w:val="-2"/>
                <w:sz w:val="20"/>
              </w:rPr>
              <w:t>аппаратов</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искусственной</w:t>
            </w:r>
            <w:r>
              <w:rPr>
                <w:spacing w:val="7"/>
                <w:sz w:val="20"/>
              </w:rPr>
              <w:t> </w:t>
            </w:r>
            <w:r>
              <w:rPr>
                <w:spacing w:val="-2"/>
                <w:sz w:val="20"/>
              </w:rPr>
              <w:t>вентиляции</w:t>
            </w:r>
            <w:r>
              <w:rPr>
                <w:spacing w:val="9"/>
                <w:sz w:val="20"/>
              </w:rPr>
              <w:t> </w:t>
            </w:r>
            <w:r>
              <w:rPr>
                <w:spacing w:val="-2"/>
                <w:sz w:val="20"/>
              </w:rPr>
              <w:t>легких;</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экстракорпоральное</w:t>
            </w:r>
            <w:r>
              <w:rPr>
                <w:spacing w:val="51"/>
                <w:sz w:val="20"/>
              </w:rPr>
              <w:t> </w:t>
            </w:r>
            <w:r>
              <w:rPr>
                <w:w w:val="95"/>
                <w:sz w:val="20"/>
              </w:rPr>
              <w:t>воздействие</w:t>
            </w:r>
            <w:r>
              <w:rPr>
                <w:spacing w:val="57"/>
                <w:sz w:val="20"/>
              </w:rPr>
              <w:t> </w:t>
            </w:r>
            <w:r>
              <w:rPr>
                <w:spacing w:val="-5"/>
                <w:w w:val="95"/>
                <w:sz w:val="20"/>
              </w:rPr>
              <w:t>на</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кровь</w:t>
            </w:r>
            <w:r>
              <w:rPr>
                <w:spacing w:val="-9"/>
                <w:sz w:val="20"/>
              </w:rPr>
              <w:t> </w:t>
            </w:r>
            <w:r>
              <w:rPr>
                <w:sz w:val="20"/>
              </w:rPr>
              <w:t>с</w:t>
            </w:r>
            <w:r>
              <w:rPr>
                <w:spacing w:val="-6"/>
                <w:sz w:val="20"/>
              </w:rPr>
              <w:t> </w:t>
            </w:r>
            <w:r>
              <w:rPr>
                <w:sz w:val="20"/>
              </w:rPr>
              <w:t>применением</w:t>
            </w:r>
            <w:r>
              <w:rPr>
                <w:spacing w:val="-7"/>
                <w:sz w:val="20"/>
              </w:rPr>
              <w:t> </w:t>
            </w:r>
            <w:r>
              <w:rPr>
                <w:spacing w:val="-2"/>
                <w:sz w:val="20"/>
              </w:rPr>
              <w:t>аппаратов</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ультрагемофильтрации</w:t>
            </w:r>
            <w:r>
              <w:rPr>
                <w:spacing w:val="79"/>
                <w:sz w:val="20"/>
              </w:rPr>
              <w:t> </w:t>
            </w:r>
            <w:r>
              <w:rPr>
                <w:spacing w:val="-10"/>
                <w:sz w:val="20"/>
              </w:rPr>
              <w:t>и</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плазмафереза;</w:t>
            </w:r>
            <w:r>
              <w:rPr>
                <w:spacing w:val="-9"/>
                <w:sz w:val="20"/>
              </w:rPr>
              <w:t> </w:t>
            </w:r>
            <w:r>
              <w:rPr>
                <w:sz w:val="20"/>
              </w:rPr>
              <w:t>диагностику</w:t>
            </w:r>
            <w:r>
              <w:rPr>
                <w:spacing w:val="-8"/>
                <w:sz w:val="20"/>
              </w:rPr>
              <w:t> </w:t>
            </w:r>
            <w:r>
              <w:rPr>
                <w:sz w:val="20"/>
              </w:rPr>
              <w:t>и</w:t>
            </w:r>
            <w:r>
              <w:rPr>
                <w:spacing w:val="-9"/>
                <w:sz w:val="20"/>
              </w:rPr>
              <w:t> </w:t>
            </w:r>
            <w:r>
              <w:rPr>
                <w:spacing w:val="-2"/>
                <w:sz w:val="20"/>
              </w:rPr>
              <w:t>лечение</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осложнений</w:t>
            </w:r>
            <w:r>
              <w:rPr>
                <w:spacing w:val="-10"/>
                <w:sz w:val="20"/>
              </w:rPr>
              <w:t> </w:t>
            </w:r>
            <w:r>
              <w:rPr>
                <w:sz w:val="20"/>
              </w:rPr>
              <w:t>ожоговой</w:t>
            </w:r>
            <w:r>
              <w:rPr>
                <w:spacing w:val="-9"/>
                <w:sz w:val="20"/>
              </w:rPr>
              <w:t> </w:t>
            </w:r>
            <w:r>
              <w:rPr>
                <w:sz w:val="20"/>
              </w:rPr>
              <w:t>болезни</w:t>
            </w:r>
            <w:r>
              <w:rPr>
                <w:spacing w:val="-10"/>
                <w:sz w:val="20"/>
              </w:rPr>
              <w:t> 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использованием</w:t>
            </w:r>
            <w:r>
              <w:rPr>
                <w:spacing w:val="53"/>
                <w:sz w:val="20"/>
              </w:rPr>
              <w:t> </w:t>
            </w:r>
            <w:r>
              <w:rPr>
                <w:spacing w:val="-2"/>
                <w:sz w:val="20"/>
              </w:rPr>
              <w:t>эндоскопического</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оборудования;</w:t>
            </w:r>
            <w:r>
              <w:rPr>
                <w:spacing w:val="12"/>
                <w:sz w:val="20"/>
              </w:rPr>
              <w:t> </w:t>
            </w:r>
            <w:r>
              <w:rPr>
                <w:spacing w:val="-2"/>
                <w:sz w:val="20"/>
              </w:rPr>
              <w:t>нутритивную</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поддержку;</w:t>
            </w:r>
            <w:r>
              <w:rPr>
                <w:spacing w:val="-11"/>
                <w:sz w:val="20"/>
              </w:rPr>
              <w:t> </w:t>
            </w:r>
            <w:r>
              <w:rPr>
                <w:sz w:val="20"/>
              </w:rPr>
              <w:t>местное</w:t>
            </w:r>
            <w:r>
              <w:rPr>
                <w:spacing w:val="-10"/>
                <w:sz w:val="20"/>
              </w:rPr>
              <w:t> </w:t>
            </w:r>
            <w:r>
              <w:rPr>
                <w:spacing w:val="-2"/>
                <w:sz w:val="20"/>
              </w:rPr>
              <w:t>медикаментозное</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лечение</w:t>
            </w:r>
            <w:r>
              <w:rPr>
                <w:spacing w:val="-8"/>
                <w:sz w:val="20"/>
              </w:rPr>
              <w:t> </w:t>
            </w:r>
            <w:r>
              <w:rPr>
                <w:sz w:val="20"/>
              </w:rPr>
              <w:t>ожоговых</w:t>
            </w:r>
            <w:r>
              <w:rPr>
                <w:spacing w:val="-8"/>
                <w:sz w:val="20"/>
              </w:rPr>
              <w:t> </w:t>
            </w:r>
            <w:r>
              <w:rPr>
                <w:sz w:val="20"/>
              </w:rPr>
              <w:t>ран</w:t>
            </w:r>
            <w:r>
              <w:rPr>
                <w:spacing w:val="-8"/>
                <w:sz w:val="20"/>
              </w:rPr>
              <w:t> </w:t>
            </w:r>
            <w:r>
              <w:rPr>
                <w:spacing w:val="-10"/>
                <w:sz w:val="20"/>
              </w:rPr>
              <w:t>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использованием</w:t>
            </w:r>
            <w:r>
              <w:rPr>
                <w:spacing w:val="51"/>
                <w:sz w:val="20"/>
              </w:rPr>
              <w:t> </w:t>
            </w:r>
            <w:r>
              <w:rPr>
                <w:w w:val="95"/>
                <w:sz w:val="20"/>
              </w:rPr>
              <w:t>современных</w:t>
            </w:r>
            <w:r>
              <w:rPr>
                <w:spacing w:val="47"/>
                <w:sz w:val="20"/>
              </w:rPr>
              <w:t> </w:t>
            </w:r>
            <w:r>
              <w:rPr>
                <w:spacing w:val="-2"/>
                <w:w w:val="95"/>
                <w:sz w:val="20"/>
              </w:rPr>
              <w:t>раневых</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покрытий;</w:t>
            </w:r>
            <w:r>
              <w:rPr>
                <w:spacing w:val="-9"/>
                <w:sz w:val="20"/>
              </w:rPr>
              <w:t> </w:t>
            </w:r>
            <w:r>
              <w:rPr>
                <w:spacing w:val="-2"/>
                <w:sz w:val="20"/>
              </w:rPr>
              <w:t>хирургическую</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некрэктомию;</w:t>
            </w:r>
            <w:r>
              <w:rPr>
                <w:spacing w:val="-10"/>
                <w:sz w:val="20"/>
              </w:rPr>
              <w:t> </w:t>
            </w:r>
            <w:r>
              <w:rPr>
                <w:sz w:val="20"/>
              </w:rPr>
              <w:t>кожную</w:t>
            </w:r>
            <w:r>
              <w:rPr>
                <w:spacing w:val="-8"/>
                <w:sz w:val="20"/>
              </w:rPr>
              <w:t> </w:t>
            </w:r>
            <w:r>
              <w:rPr>
                <w:sz w:val="20"/>
              </w:rPr>
              <w:t>пластику</w:t>
            </w:r>
            <w:r>
              <w:rPr>
                <w:spacing w:val="-12"/>
                <w:sz w:val="20"/>
              </w:rPr>
              <w:t> </w:t>
            </w:r>
            <w:r>
              <w:rPr>
                <w:spacing w:val="-5"/>
                <w:sz w:val="20"/>
              </w:rPr>
              <w:t>для</w:t>
            </w:r>
          </w:p>
        </w:tc>
        <w:tc>
          <w:tcPr>
            <w:tcW w:w="1065" w:type="dxa"/>
            <w:vMerge/>
            <w:tcBorders>
              <w:top w:val="nil"/>
            </w:tcBorders>
          </w:tcPr>
          <w:p>
            <w:pPr>
              <w:rPr>
                <w:sz w:val="2"/>
                <w:szCs w:val="2"/>
              </w:rPr>
            </w:pPr>
          </w:p>
        </w:tc>
      </w:tr>
      <w:tr>
        <w:trPr>
          <w:trHeight w:val="360" w:hRule="atLeast"/>
        </w:trPr>
        <w:tc>
          <w:tcPr>
            <w:tcW w:w="472" w:type="dxa"/>
            <w:vMerge/>
            <w:tcBorders>
              <w:top w:val="nil"/>
            </w:tcBorders>
          </w:tcPr>
          <w:p>
            <w:pPr>
              <w:rPr>
                <w:sz w:val="2"/>
                <w:szCs w:val="2"/>
              </w:rPr>
            </w:pPr>
          </w:p>
        </w:tc>
        <w:tc>
          <w:tcPr>
            <w:tcW w:w="3051" w:type="dxa"/>
          </w:tcPr>
          <w:p>
            <w:pPr>
              <w:pStyle w:val="TableParagraph"/>
              <w:rPr>
                <w:sz w:val="18"/>
              </w:rPr>
            </w:pPr>
          </w:p>
        </w:tc>
        <w:tc>
          <w:tcPr>
            <w:tcW w:w="1888" w:type="dxa"/>
          </w:tcPr>
          <w:p>
            <w:pPr>
              <w:pStyle w:val="TableParagraph"/>
              <w:rPr>
                <w:sz w:val="18"/>
              </w:rPr>
            </w:pPr>
          </w:p>
        </w:tc>
        <w:tc>
          <w:tcPr>
            <w:tcW w:w="3197" w:type="dxa"/>
          </w:tcPr>
          <w:p>
            <w:pPr>
              <w:pStyle w:val="TableParagraph"/>
              <w:rPr>
                <w:sz w:val="18"/>
              </w:rPr>
            </w:pPr>
          </w:p>
        </w:tc>
        <w:tc>
          <w:tcPr>
            <w:tcW w:w="1688" w:type="dxa"/>
            <w:vMerge/>
            <w:tcBorders>
              <w:top w:val="nil"/>
            </w:tcBorders>
          </w:tcPr>
          <w:p>
            <w:pPr>
              <w:rPr>
                <w:sz w:val="2"/>
                <w:szCs w:val="2"/>
              </w:rPr>
            </w:pPr>
          </w:p>
        </w:tc>
        <w:tc>
          <w:tcPr>
            <w:tcW w:w="3730" w:type="dxa"/>
          </w:tcPr>
          <w:p>
            <w:pPr>
              <w:pStyle w:val="TableParagraph"/>
              <w:ind w:left="83"/>
              <w:rPr>
                <w:sz w:val="20"/>
              </w:rPr>
            </w:pPr>
            <w:r>
              <w:rPr>
                <w:sz w:val="20"/>
              </w:rPr>
              <w:t>закрытия</w:t>
            </w:r>
            <w:r>
              <w:rPr>
                <w:spacing w:val="-10"/>
                <w:sz w:val="20"/>
              </w:rPr>
              <w:t> </w:t>
            </w:r>
            <w:r>
              <w:rPr>
                <w:spacing w:val="-5"/>
                <w:sz w:val="20"/>
              </w:rPr>
              <w:t>ран</w:t>
            </w:r>
          </w:p>
        </w:tc>
        <w:tc>
          <w:tcPr>
            <w:tcW w:w="1065" w:type="dxa"/>
            <w:vMerge/>
            <w:tcBorders>
              <w:top w:val="nil"/>
            </w:tcBorders>
          </w:tcPr>
          <w:p>
            <w:pPr>
              <w:rPr>
                <w:sz w:val="2"/>
                <w:szCs w:val="2"/>
              </w:rPr>
            </w:pPr>
          </w:p>
        </w:tc>
      </w:tr>
      <w:tr>
        <w:trPr>
          <w:trHeight w:val="360" w:hRule="atLeast"/>
        </w:trPr>
        <w:tc>
          <w:tcPr>
            <w:tcW w:w="472" w:type="dxa"/>
          </w:tcPr>
          <w:p>
            <w:pPr>
              <w:pStyle w:val="TableParagraph"/>
              <w:spacing w:line="220" w:lineRule="exact" w:before="120"/>
              <w:ind w:left="50"/>
              <w:rPr>
                <w:sz w:val="20"/>
              </w:rPr>
            </w:pPr>
            <w:r>
              <w:rPr>
                <w:spacing w:val="-5"/>
                <w:sz w:val="20"/>
              </w:rPr>
              <w:t>11.</w:t>
            </w:r>
          </w:p>
        </w:tc>
        <w:tc>
          <w:tcPr>
            <w:tcW w:w="3051" w:type="dxa"/>
          </w:tcPr>
          <w:p>
            <w:pPr>
              <w:pStyle w:val="TableParagraph"/>
              <w:spacing w:line="220" w:lineRule="exact" w:before="120"/>
              <w:ind w:left="168"/>
              <w:rPr>
                <w:sz w:val="20"/>
              </w:rPr>
            </w:pPr>
            <w:r>
              <w:rPr>
                <w:sz w:val="20"/>
              </w:rPr>
              <w:t>Комплексное</w:t>
            </w:r>
            <w:r>
              <w:rPr>
                <w:spacing w:val="-11"/>
                <w:sz w:val="20"/>
              </w:rPr>
              <w:t> </w:t>
            </w:r>
            <w:r>
              <w:rPr>
                <w:sz w:val="20"/>
              </w:rPr>
              <w:t>лечение</w:t>
            </w:r>
            <w:r>
              <w:rPr>
                <w:spacing w:val="-9"/>
                <w:sz w:val="20"/>
              </w:rPr>
              <w:t> </w:t>
            </w:r>
            <w:r>
              <w:rPr>
                <w:spacing w:val="-2"/>
                <w:sz w:val="20"/>
              </w:rPr>
              <w:t>больных</w:t>
            </w:r>
          </w:p>
        </w:tc>
        <w:tc>
          <w:tcPr>
            <w:tcW w:w="1888" w:type="dxa"/>
          </w:tcPr>
          <w:p>
            <w:pPr>
              <w:pStyle w:val="TableParagraph"/>
              <w:spacing w:line="220" w:lineRule="exact" w:before="120"/>
              <w:ind w:left="41" w:right="22"/>
              <w:jc w:val="center"/>
              <w:rPr>
                <w:sz w:val="20"/>
              </w:rPr>
            </w:pPr>
            <w:r>
              <w:rPr>
                <w:sz w:val="20"/>
              </w:rPr>
              <w:t>T20,</w:t>
            </w:r>
            <w:r>
              <w:rPr>
                <w:spacing w:val="-4"/>
                <w:sz w:val="20"/>
              </w:rPr>
              <w:t> </w:t>
            </w:r>
            <w:r>
              <w:rPr>
                <w:sz w:val="20"/>
              </w:rPr>
              <w:t>T21,</w:t>
            </w:r>
            <w:r>
              <w:rPr>
                <w:spacing w:val="-4"/>
                <w:sz w:val="20"/>
              </w:rPr>
              <w:t> </w:t>
            </w:r>
            <w:r>
              <w:rPr>
                <w:sz w:val="20"/>
              </w:rPr>
              <w:t>T22,</w:t>
            </w:r>
            <w:r>
              <w:rPr>
                <w:spacing w:val="-4"/>
                <w:sz w:val="20"/>
              </w:rPr>
              <w:t> T23,</w:t>
            </w:r>
          </w:p>
        </w:tc>
        <w:tc>
          <w:tcPr>
            <w:tcW w:w="3197" w:type="dxa"/>
          </w:tcPr>
          <w:p>
            <w:pPr>
              <w:pStyle w:val="TableParagraph"/>
              <w:spacing w:line="220" w:lineRule="exact" w:before="120"/>
              <w:ind w:left="114"/>
              <w:rPr>
                <w:sz w:val="20"/>
              </w:rPr>
            </w:pPr>
            <w:r>
              <w:rPr>
                <w:spacing w:val="-2"/>
                <w:sz w:val="20"/>
              </w:rPr>
              <w:t>термические,</w:t>
            </w:r>
            <w:r>
              <w:rPr>
                <w:spacing w:val="10"/>
                <w:sz w:val="20"/>
              </w:rPr>
              <w:t> </w:t>
            </w:r>
            <w:r>
              <w:rPr>
                <w:spacing w:val="-2"/>
                <w:sz w:val="20"/>
              </w:rPr>
              <w:t>химические</w:t>
            </w:r>
            <w:r>
              <w:rPr>
                <w:spacing w:val="7"/>
                <w:sz w:val="20"/>
              </w:rPr>
              <w:t> </w:t>
            </w:r>
            <w:r>
              <w:rPr>
                <w:spacing w:val="-10"/>
                <w:sz w:val="20"/>
              </w:rPr>
              <w:t>и</w:t>
            </w:r>
          </w:p>
        </w:tc>
        <w:tc>
          <w:tcPr>
            <w:tcW w:w="1688" w:type="dxa"/>
          </w:tcPr>
          <w:p>
            <w:pPr>
              <w:pStyle w:val="TableParagraph"/>
              <w:spacing w:line="220" w:lineRule="exact" w:before="120"/>
              <w:ind w:left="73"/>
              <w:rPr>
                <w:sz w:val="20"/>
              </w:rPr>
            </w:pPr>
            <w:r>
              <w:rPr>
                <w:spacing w:val="-2"/>
                <w:sz w:val="20"/>
              </w:rPr>
              <w:t>комбинированное</w:t>
            </w:r>
          </w:p>
        </w:tc>
        <w:tc>
          <w:tcPr>
            <w:tcW w:w="3730" w:type="dxa"/>
          </w:tcPr>
          <w:p>
            <w:pPr>
              <w:pStyle w:val="TableParagraph"/>
              <w:spacing w:line="220" w:lineRule="exact" w:before="120"/>
              <w:ind w:left="83"/>
              <w:rPr>
                <w:sz w:val="20"/>
              </w:rPr>
            </w:pPr>
            <w:r>
              <w:rPr>
                <w:spacing w:val="-2"/>
                <w:sz w:val="20"/>
              </w:rPr>
              <w:t>интенсивное</w:t>
            </w:r>
            <w:r>
              <w:rPr>
                <w:spacing w:val="8"/>
                <w:sz w:val="20"/>
              </w:rPr>
              <w:t> </w:t>
            </w:r>
            <w:r>
              <w:rPr>
                <w:spacing w:val="-2"/>
                <w:sz w:val="20"/>
              </w:rPr>
              <w:t>поликомпонентное</w:t>
            </w:r>
          </w:p>
        </w:tc>
        <w:tc>
          <w:tcPr>
            <w:tcW w:w="1065" w:type="dxa"/>
          </w:tcPr>
          <w:p>
            <w:pPr>
              <w:pStyle w:val="TableParagraph"/>
              <w:spacing w:line="220" w:lineRule="exact" w:before="120"/>
              <w:ind w:left="313"/>
              <w:rPr>
                <w:sz w:val="20"/>
              </w:rPr>
            </w:pPr>
            <w:r>
              <w:rPr>
                <w:spacing w:val="-2"/>
                <w:sz w:val="20"/>
              </w:rPr>
              <w:t>1718267</w:t>
            </w:r>
          </w:p>
        </w:tc>
      </w:tr>
      <w:tr>
        <w:trPr>
          <w:trHeight w:val="240"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z w:val="20"/>
              </w:rPr>
              <w:t>с</w:t>
            </w:r>
            <w:r>
              <w:rPr>
                <w:spacing w:val="-6"/>
                <w:sz w:val="20"/>
              </w:rPr>
              <w:t> </w:t>
            </w:r>
            <w:r>
              <w:rPr>
                <w:sz w:val="20"/>
              </w:rPr>
              <w:t>обширными</w:t>
            </w:r>
            <w:r>
              <w:rPr>
                <w:spacing w:val="-6"/>
                <w:sz w:val="20"/>
              </w:rPr>
              <w:t> </w:t>
            </w:r>
            <w:r>
              <w:rPr>
                <w:sz w:val="20"/>
              </w:rPr>
              <w:t>ожогами</w:t>
            </w:r>
            <w:r>
              <w:rPr>
                <w:spacing w:val="-7"/>
                <w:sz w:val="20"/>
              </w:rPr>
              <w:t> </w:t>
            </w:r>
            <w:r>
              <w:rPr>
                <w:sz w:val="20"/>
              </w:rPr>
              <w:t>более</w:t>
            </w:r>
            <w:r>
              <w:rPr>
                <w:spacing w:val="-5"/>
                <w:sz w:val="20"/>
              </w:rPr>
              <w:t> 50</w:t>
            </w:r>
          </w:p>
        </w:tc>
        <w:tc>
          <w:tcPr>
            <w:tcW w:w="1888" w:type="dxa"/>
          </w:tcPr>
          <w:p>
            <w:pPr>
              <w:pStyle w:val="TableParagraph"/>
              <w:spacing w:line="220" w:lineRule="exact"/>
              <w:ind w:left="41" w:right="22"/>
              <w:jc w:val="center"/>
              <w:rPr>
                <w:sz w:val="20"/>
              </w:rPr>
            </w:pPr>
            <w:r>
              <w:rPr>
                <w:sz w:val="20"/>
              </w:rPr>
              <w:t>T24,</w:t>
            </w:r>
            <w:r>
              <w:rPr>
                <w:spacing w:val="-4"/>
                <w:sz w:val="20"/>
              </w:rPr>
              <w:t> </w:t>
            </w:r>
            <w:r>
              <w:rPr>
                <w:sz w:val="20"/>
              </w:rPr>
              <w:t>T25,</w:t>
            </w:r>
            <w:r>
              <w:rPr>
                <w:spacing w:val="-4"/>
                <w:sz w:val="20"/>
              </w:rPr>
              <w:t> </w:t>
            </w:r>
            <w:r>
              <w:rPr>
                <w:sz w:val="20"/>
              </w:rPr>
              <w:t>T27,</w:t>
            </w:r>
            <w:r>
              <w:rPr>
                <w:spacing w:val="-4"/>
                <w:sz w:val="20"/>
              </w:rPr>
              <w:t> T29,</w:t>
            </w:r>
          </w:p>
        </w:tc>
        <w:tc>
          <w:tcPr>
            <w:tcW w:w="3197" w:type="dxa"/>
          </w:tcPr>
          <w:p>
            <w:pPr>
              <w:pStyle w:val="TableParagraph"/>
              <w:spacing w:line="220" w:lineRule="exact"/>
              <w:ind w:left="114"/>
              <w:rPr>
                <w:sz w:val="20"/>
              </w:rPr>
            </w:pPr>
            <w:r>
              <w:rPr>
                <w:w w:val="95"/>
                <w:sz w:val="20"/>
              </w:rPr>
              <w:t>электрические</w:t>
            </w:r>
            <w:r>
              <w:rPr>
                <w:spacing w:val="46"/>
                <w:sz w:val="20"/>
              </w:rPr>
              <w:t> </w:t>
            </w:r>
            <w:r>
              <w:rPr>
                <w:spacing w:val="-4"/>
                <w:sz w:val="20"/>
              </w:rPr>
              <w:t>ожоги</w:t>
            </w:r>
          </w:p>
        </w:tc>
        <w:tc>
          <w:tcPr>
            <w:tcW w:w="1688" w:type="dxa"/>
          </w:tcPr>
          <w:p>
            <w:pPr>
              <w:pStyle w:val="TableParagraph"/>
              <w:spacing w:line="220" w:lineRule="exact"/>
              <w:ind w:left="73"/>
              <w:rPr>
                <w:sz w:val="20"/>
              </w:rPr>
            </w:pPr>
            <w:r>
              <w:rPr>
                <w:spacing w:val="-2"/>
                <w:sz w:val="20"/>
              </w:rPr>
              <w:t>лечение</w:t>
            </w:r>
          </w:p>
        </w:tc>
        <w:tc>
          <w:tcPr>
            <w:tcW w:w="3730" w:type="dxa"/>
          </w:tcPr>
          <w:p>
            <w:pPr>
              <w:pStyle w:val="TableParagraph"/>
              <w:spacing w:line="220" w:lineRule="exact"/>
              <w:ind w:left="83"/>
              <w:rPr>
                <w:sz w:val="20"/>
              </w:rPr>
            </w:pPr>
            <w:r>
              <w:rPr>
                <w:sz w:val="20"/>
              </w:rPr>
              <w:t>лечение</w:t>
            </w:r>
            <w:r>
              <w:rPr>
                <w:spacing w:val="-6"/>
                <w:sz w:val="20"/>
              </w:rPr>
              <w:t> </w:t>
            </w:r>
            <w:r>
              <w:rPr>
                <w:sz w:val="20"/>
              </w:rPr>
              <w:t>в</w:t>
            </w:r>
            <w:r>
              <w:rPr>
                <w:spacing w:val="-6"/>
                <w:sz w:val="20"/>
              </w:rPr>
              <w:t> </w:t>
            </w:r>
            <w:r>
              <w:rPr>
                <w:sz w:val="20"/>
              </w:rPr>
              <w:t>палатах</w:t>
            </w:r>
            <w:r>
              <w:rPr>
                <w:spacing w:val="-7"/>
                <w:sz w:val="20"/>
              </w:rPr>
              <w:t> </w:t>
            </w:r>
            <w:r>
              <w:rPr>
                <w:sz w:val="20"/>
              </w:rPr>
              <w:t>(боксах)</w:t>
            </w:r>
            <w:r>
              <w:rPr>
                <w:spacing w:val="-5"/>
                <w:sz w:val="20"/>
              </w:rPr>
              <w:t> </w:t>
            </w:r>
            <w:r>
              <w:rPr>
                <w:spacing w:val="-10"/>
                <w:sz w:val="20"/>
              </w:rPr>
              <w:t>с</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z w:val="20"/>
              </w:rPr>
              <w:t>процентов</w:t>
            </w:r>
            <w:r>
              <w:rPr>
                <w:spacing w:val="-12"/>
                <w:sz w:val="20"/>
              </w:rPr>
              <w:t> </w:t>
            </w:r>
            <w:r>
              <w:rPr>
                <w:sz w:val="20"/>
              </w:rPr>
              <w:t>поверхности</w:t>
            </w:r>
            <w:r>
              <w:rPr>
                <w:spacing w:val="-11"/>
                <w:sz w:val="20"/>
              </w:rPr>
              <w:t> </w:t>
            </w:r>
            <w:r>
              <w:rPr>
                <w:spacing w:val="-4"/>
                <w:sz w:val="20"/>
              </w:rPr>
              <w:t>тела</w:t>
            </w:r>
          </w:p>
        </w:tc>
        <w:tc>
          <w:tcPr>
            <w:tcW w:w="1888" w:type="dxa"/>
          </w:tcPr>
          <w:p>
            <w:pPr>
              <w:pStyle w:val="TableParagraph"/>
              <w:spacing w:line="220" w:lineRule="exact"/>
              <w:ind w:left="41" w:right="24"/>
              <w:jc w:val="center"/>
              <w:rPr>
                <w:sz w:val="20"/>
              </w:rPr>
            </w:pPr>
            <w:r>
              <w:rPr>
                <w:sz w:val="20"/>
              </w:rPr>
              <w:t>T30,</w:t>
            </w:r>
            <w:r>
              <w:rPr>
                <w:spacing w:val="-5"/>
                <w:sz w:val="20"/>
              </w:rPr>
              <w:t> </w:t>
            </w:r>
            <w:r>
              <w:rPr>
                <w:sz w:val="20"/>
              </w:rPr>
              <w:t>T31.3,</w:t>
            </w:r>
            <w:r>
              <w:rPr>
                <w:spacing w:val="-5"/>
                <w:sz w:val="20"/>
              </w:rPr>
              <w:t> </w:t>
            </w:r>
            <w:r>
              <w:rPr>
                <w:spacing w:val="-2"/>
                <w:sz w:val="20"/>
              </w:rPr>
              <w:t>T31.4,</w:t>
            </w:r>
          </w:p>
        </w:tc>
        <w:tc>
          <w:tcPr>
            <w:tcW w:w="3197" w:type="dxa"/>
          </w:tcPr>
          <w:p>
            <w:pPr>
              <w:pStyle w:val="TableParagraph"/>
              <w:spacing w:line="220" w:lineRule="exact"/>
              <w:ind w:left="114"/>
              <w:rPr>
                <w:sz w:val="20"/>
              </w:rPr>
            </w:pPr>
            <w:r>
              <w:rPr>
                <w:sz w:val="20"/>
              </w:rPr>
              <w:t>I</w:t>
            </w:r>
            <w:r>
              <w:rPr>
                <w:spacing w:val="-2"/>
                <w:sz w:val="20"/>
              </w:rPr>
              <w:t> </w:t>
            </w:r>
            <w:r>
              <w:rPr>
                <w:sz w:val="20"/>
              </w:rPr>
              <w:t>-</w:t>
            </w:r>
            <w:r>
              <w:rPr>
                <w:spacing w:val="-4"/>
                <w:sz w:val="20"/>
              </w:rPr>
              <w:t> </w:t>
            </w:r>
            <w:r>
              <w:rPr>
                <w:sz w:val="20"/>
              </w:rPr>
              <w:t>II</w:t>
            </w:r>
            <w:r>
              <w:rPr>
                <w:spacing w:val="-2"/>
                <w:sz w:val="20"/>
              </w:rPr>
              <w:t> </w:t>
            </w:r>
            <w:r>
              <w:rPr>
                <w:sz w:val="20"/>
              </w:rPr>
              <w:t>-</w:t>
            </w:r>
            <w:r>
              <w:rPr>
                <w:spacing w:val="-4"/>
                <w:sz w:val="20"/>
              </w:rPr>
              <w:t> </w:t>
            </w:r>
            <w:r>
              <w:rPr>
                <w:sz w:val="20"/>
              </w:rPr>
              <w:t>III</w:t>
            </w:r>
            <w:r>
              <w:rPr>
                <w:spacing w:val="-2"/>
                <w:sz w:val="20"/>
              </w:rPr>
              <w:t> </w:t>
            </w:r>
            <w:r>
              <w:rPr>
                <w:sz w:val="20"/>
              </w:rPr>
              <w:t>степени</w:t>
            </w:r>
            <w:r>
              <w:rPr>
                <w:spacing w:val="-2"/>
                <w:sz w:val="20"/>
              </w:rPr>
              <w:t> более</w:t>
            </w:r>
          </w:p>
        </w:tc>
        <w:tc>
          <w:tcPr>
            <w:tcW w:w="1688" w:type="dxa"/>
          </w:tcPr>
          <w:p>
            <w:pPr>
              <w:pStyle w:val="TableParagraph"/>
              <w:rPr>
                <w:sz w:val="16"/>
              </w:rPr>
            </w:pPr>
          </w:p>
        </w:tc>
        <w:tc>
          <w:tcPr>
            <w:tcW w:w="3730" w:type="dxa"/>
          </w:tcPr>
          <w:p>
            <w:pPr>
              <w:pStyle w:val="TableParagraph"/>
              <w:spacing w:line="220" w:lineRule="exact"/>
              <w:ind w:left="83"/>
              <w:rPr>
                <w:sz w:val="20"/>
              </w:rPr>
            </w:pPr>
            <w:r>
              <w:rPr>
                <w:w w:val="95"/>
                <w:sz w:val="20"/>
              </w:rPr>
              <w:t>абактериальной</w:t>
            </w:r>
            <w:r>
              <w:rPr>
                <w:spacing w:val="52"/>
                <w:sz w:val="20"/>
              </w:rPr>
              <w:t> </w:t>
            </w:r>
            <w:r>
              <w:rPr>
                <w:spacing w:val="-2"/>
                <w:sz w:val="20"/>
              </w:rPr>
              <w:t>средой</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z w:val="20"/>
              </w:rPr>
              <w:t>различной</w:t>
            </w:r>
            <w:r>
              <w:rPr>
                <w:spacing w:val="-10"/>
                <w:sz w:val="20"/>
              </w:rPr>
              <w:t> </w:t>
            </w:r>
            <w:r>
              <w:rPr>
                <w:sz w:val="20"/>
              </w:rPr>
              <w:t>локализации,</w:t>
            </w:r>
            <w:r>
              <w:rPr>
                <w:spacing w:val="-8"/>
                <w:sz w:val="20"/>
              </w:rPr>
              <w:t> </w:t>
            </w:r>
            <w:r>
              <w:rPr>
                <w:sz w:val="20"/>
              </w:rPr>
              <w:t>в</w:t>
            </w:r>
            <w:r>
              <w:rPr>
                <w:spacing w:val="-10"/>
                <w:sz w:val="20"/>
              </w:rPr>
              <w:t> </w:t>
            </w:r>
            <w:r>
              <w:rPr>
                <w:spacing w:val="-5"/>
                <w:sz w:val="20"/>
              </w:rPr>
              <w:t>том</w:t>
            </w:r>
          </w:p>
        </w:tc>
        <w:tc>
          <w:tcPr>
            <w:tcW w:w="1888" w:type="dxa"/>
          </w:tcPr>
          <w:p>
            <w:pPr>
              <w:pStyle w:val="TableParagraph"/>
              <w:spacing w:line="220" w:lineRule="exact"/>
              <w:ind w:left="41" w:right="24"/>
              <w:jc w:val="center"/>
              <w:rPr>
                <w:sz w:val="20"/>
              </w:rPr>
            </w:pPr>
            <w:r>
              <w:rPr>
                <w:sz w:val="20"/>
              </w:rPr>
              <w:t>T32.3,</w:t>
            </w:r>
            <w:r>
              <w:rPr>
                <w:spacing w:val="-6"/>
                <w:sz w:val="20"/>
              </w:rPr>
              <w:t> </w:t>
            </w:r>
            <w:r>
              <w:rPr>
                <w:sz w:val="20"/>
              </w:rPr>
              <w:t>T32.4,</w:t>
            </w:r>
            <w:r>
              <w:rPr>
                <w:spacing w:val="-4"/>
                <w:sz w:val="20"/>
              </w:rPr>
              <w:t> T58,</w:t>
            </w:r>
          </w:p>
        </w:tc>
        <w:tc>
          <w:tcPr>
            <w:tcW w:w="3197" w:type="dxa"/>
          </w:tcPr>
          <w:p>
            <w:pPr>
              <w:pStyle w:val="TableParagraph"/>
              <w:spacing w:line="220" w:lineRule="exact"/>
              <w:ind w:left="114"/>
              <w:rPr>
                <w:sz w:val="20"/>
              </w:rPr>
            </w:pPr>
            <w:r>
              <w:rPr>
                <w:sz w:val="20"/>
              </w:rPr>
              <w:t>50</w:t>
            </w:r>
            <w:r>
              <w:rPr>
                <w:spacing w:val="-8"/>
                <w:sz w:val="20"/>
              </w:rPr>
              <w:t> </w:t>
            </w:r>
            <w:r>
              <w:rPr>
                <w:sz w:val="20"/>
              </w:rPr>
              <w:t>процентов</w:t>
            </w:r>
            <w:r>
              <w:rPr>
                <w:spacing w:val="-8"/>
                <w:sz w:val="20"/>
              </w:rPr>
              <w:t> </w:t>
            </w:r>
            <w:r>
              <w:rPr>
                <w:sz w:val="20"/>
              </w:rPr>
              <w:t>поверхности</w:t>
            </w:r>
            <w:r>
              <w:rPr>
                <w:spacing w:val="-9"/>
                <w:sz w:val="20"/>
              </w:rPr>
              <w:t> </w:t>
            </w:r>
            <w:r>
              <w:rPr>
                <w:spacing w:val="-4"/>
                <w:sz w:val="20"/>
              </w:rPr>
              <w:t>тела,</w:t>
            </w:r>
          </w:p>
        </w:tc>
        <w:tc>
          <w:tcPr>
            <w:tcW w:w="1688" w:type="dxa"/>
          </w:tcPr>
          <w:p>
            <w:pPr>
              <w:pStyle w:val="TableParagraph"/>
              <w:rPr>
                <w:sz w:val="16"/>
              </w:rPr>
            </w:pPr>
          </w:p>
        </w:tc>
        <w:tc>
          <w:tcPr>
            <w:tcW w:w="3730" w:type="dxa"/>
          </w:tcPr>
          <w:p>
            <w:pPr>
              <w:pStyle w:val="TableParagraph"/>
              <w:spacing w:line="220" w:lineRule="exact"/>
              <w:ind w:left="83"/>
              <w:rPr>
                <w:sz w:val="20"/>
              </w:rPr>
            </w:pPr>
            <w:r>
              <w:rPr>
                <w:w w:val="95"/>
                <w:sz w:val="20"/>
              </w:rPr>
              <w:t>специализированного</w:t>
            </w:r>
            <w:r>
              <w:rPr>
                <w:spacing w:val="70"/>
                <w:sz w:val="20"/>
              </w:rPr>
              <w:t> </w:t>
            </w:r>
            <w:r>
              <w:rPr>
                <w:spacing w:val="-2"/>
                <w:sz w:val="20"/>
              </w:rPr>
              <w:t>структурного</w:t>
            </w:r>
          </w:p>
        </w:tc>
        <w:tc>
          <w:tcPr>
            <w:tcW w:w="1065" w:type="dxa"/>
          </w:tcPr>
          <w:p>
            <w:pPr>
              <w:pStyle w:val="TableParagraph"/>
              <w:rPr>
                <w:sz w:val="16"/>
              </w:rPr>
            </w:pPr>
          </w:p>
        </w:tc>
      </w:tr>
      <w:tr>
        <w:trPr>
          <w:trHeight w:val="239" w:hRule="atLeast"/>
        </w:trPr>
        <w:tc>
          <w:tcPr>
            <w:tcW w:w="472" w:type="dxa"/>
          </w:tcPr>
          <w:p>
            <w:pPr>
              <w:pStyle w:val="TableParagraph"/>
              <w:rPr>
                <w:sz w:val="16"/>
              </w:rPr>
            </w:pPr>
          </w:p>
        </w:tc>
        <w:tc>
          <w:tcPr>
            <w:tcW w:w="3051" w:type="dxa"/>
          </w:tcPr>
          <w:p>
            <w:pPr>
              <w:pStyle w:val="TableParagraph"/>
              <w:spacing w:line="219" w:lineRule="exact"/>
              <w:ind w:left="168"/>
              <w:rPr>
                <w:sz w:val="20"/>
              </w:rPr>
            </w:pPr>
            <w:r>
              <w:rPr>
                <w:sz w:val="20"/>
              </w:rPr>
              <w:t>числе</w:t>
            </w:r>
            <w:r>
              <w:rPr>
                <w:spacing w:val="-8"/>
                <w:sz w:val="20"/>
              </w:rPr>
              <w:t> </w:t>
            </w:r>
            <w:r>
              <w:rPr>
                <w:spacing w:val="-2"/>
                <w:sz w:val="20"/>
              </w:rPr>
              <w:t>термоингаляционными</w:t>
            </w:r>
          </w:p>
        </w:tc>
        <w:tc>
          <w:tcPr>
            <w:tcW w:w="1888" w:type="dxa"/>
          </w:tcPr>
          <w:p>
            <w:pPr>
              <w:pStyle w:val="TableParagraph"/>
              <w:spacing w:line="219" w:lineRule="exact"/>
              <w:ind w:left="41" w:right="20"/>
              <w:jc w:val="center"/>
              <w:rPr>
                <w:sz w:val="20"/>
              </w:rPr>
            </w:pPr>
            <w:r>
              <w:rPr>
                <w:sz w:val="20"/>
              </w:rPr>
              <w:t>T59,</w:t>
            </w:r>
            <w:r>
              <w:rPr>
                <w:spacing w:val="-4"/>
                <w:sz w:val="20"/>
              </w:rPr>
              <w:t> </w:t>
            </w:r>
            <w:r>
              <w:rPr>
                <w:spacing w:val="-2"/>
                <w:sz w:val="20"/>
              </w:rPr>
              <w:t>T75.4</w:t>
            </w:r>
          </w:p>
        </w:tc>
        <w:tc>
          <w:tcPr>
            <w:tcW w:w="3197" w:type="dxa"/>
          </w:tcPr>
          <w:p>
            <w:pPr>
              <w:pStyle w:val="TableParagraph"/>
              <w:spacing w:line="219" w:lineRule="exact"/>
              <w:ind w:left="114"/>
              <w:rPr>
                <w:sz w:val="20"/>
              </w:rPr>
            </w:pP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с</w:t>
            </w:r>
            <w:r>
              <w:rPr>
                <w:spacing w:val="-5"/>
                <w:sz w:val="20"/>
              </w:rPr>
              <w:t> </w:t>
            </w:r>
            <w:r>
              <w:rPr>
                <w:sz w:val="20"/>
              </w:rPr>
              <w:t>развитием</w:t>
            </w:r>
            <w:r>
              <w:rPr>
                <w:spacing w:val="-4"/>
                <w:sz w:val="20"/>
              </w:rPr>
              <w:t> </w:t>
            </w:r>
            <w:r>
              <w:rPr>
                <w:spacing w:val="-2"/>
                <w:sz w:val="20"/>
              </w:rPr>
              <w:t>тяжелых</w:t>
            </w:r>
          </w:p>
        </w:tc>
        <w:tc>
          <w:tcPr>
            <w:tcW w:w="1688" w:type="dxa"/>
          </w:tcPr>
          <w:p>
            <w:pPr>
              <w:pStyle w:val="TableParagraph"/>
              <w:rPr>
                <w:sz w:val="16"/>
              </w:rPr>
            </w:pPr>
          </w:p>
        </w:tc>
        <w:tc>
          <w:tcPr>
            <w:tcW w:w="3730" w:type="dxa"/>
          </w:tcPr>
          <w:p>
            <w:pPr>
              <w:pStyle w:val="TableParagraph"/>
              <w:spacing w:line="219" w:lineRule="exact"/>
              <w:ind w:left="83"/>
              <w:rPr>
                <w:sz w:val="20"/>
              </w:rPr>
            </w:pPr>
            <w:r>
              <w:rPr>
                <w:sz w:val="20"/>
              </w:rPr>
              <w:t>подразделения</w:t>
            </w:r>
            <w:r>
              <w:rPr>
                <w:spacing w:val="-13"/>
                <w:sz w:val="20"/>
              </w:rPr>
              <w:t> </w:t>
            </w:r>
            <w:r>
              <w:rPr>
                <w:sz w:val="20"/>
              </w:rPr>
              <w:t>(ожогового</w:t>
            </w:r>
            <w:r>
              <w:rPr>
                <w:spacing w:val="-11"/>
                <w:sz w:val="20"/>
              </w:rPr>
              <w:t> </w:t>
            </w:r>
            <w:r>
              <w:rPr>
                <w:sz w:val="20"/>
              </w:rPr>
              <w:t>центра)</w:t>
            </w:r>
            <w:r>
              <w:rPr>
                <w:spacing w:val="-11"/>
                <w:sz w:val="20"/>
              </w:rPr>
              <w:t> </w:t>
            </w:r>
            <w:r>
              <w:rPr>
                <w:spacing w:val="-10"/>
                <w:sz w:val="20"/>
              </w:rPr>
              <w:t>с</w:t>
            </w:r>
          </w:p>
        </w:tc>
        <w:tc>
          <w:tcPr>
            <w:tcW w:w="1065" w:type="dxa"/>
          </w:tcPr>
          <w:p>
            <w:pPr>
              <w:pStyle w:val="TableParagraph"/>
              <w:rPr>
                <w:sz w:val="16"/>
              </w:rPr>
            </w:pPr>
          </w:p>
        </w:tc>
      </w:tr>
      <w:tr>
        <w:trPr>
          <w:trHeight w:val="239"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pacing w:val="-2"/>
                <w:sz w:val="20"/>
              </w:rPr>
              <w:t>травмами</w:t>
            </w:r>
          </w:p>
        </w:tc>
        <w:tc>
          <w:tcPr>
            <w:tcW w:w="1888" w:type="dxa"/>
          </w:tcPr>
          <w:p>
            <w:pPr>
              <w:pStyle w:val="TableParagraph"/>
              <w:rPr>
                <w:sz w:val="16"/>
              </w:rPr>
            </w:pPr>
          </w:p>
        </w:tc>
        <w:tc>
          <w:tcPr>
            <w:tcW w:w="3197" w:type="dxa"/>
          </w:tcPr>
          <w:p>
            <w:pPr>
              <w:pStyle w:val="TableParagraph"/>
              <w:spacing w:line="220" w:lineRule="exact"/>
              <w:ind w:left="114"/>
              <w:rPr>
                <w:sz w:val="20"/>
              </w:rPr>
            </w:pPr>
            <w:r>
              <w:rPr>
                <w:w w:val="95"/>
                <w:sz w:val="20"/>
              </w:rPr>
              <w:t>инфекционных</w:t>
            </w:r>
            <w:r>
              <w:rPr>
                <w:spacing w:val="47"/>
                <w:sz w:val="20"/>
              </w:rPr>
              <w:t> </w:t>
            </w:r>
            <w:r>
              <w:rPr>
                <w:spacing w:val="-2"/>
                <w:w w:val="95"/>
                <w:sz w:val="20"/>
              </w:rPr>
              <w:t>осложнений</w:t>
            </w:r>
          </w:p>
        </w:tc>
        <w:tc>
          <w:tcPr>
            <w:tcW w:w="1688" w:type="dxa"/>
          </w:tcPr>
          <w:p>
            <w:pPr>
              <w:pStyle w:val="TableParagraph"/>
              <w:rPr>
                <w:sz w:val="16"/>
              </w:rPr>
            </w:pPr>
          </w:p>
        </w:tc>
        <w:tc>
          <w:tcPr>
            <w:tcW w:w="3730" w:type="dxa"/>
          </w:tcPr>
          <w:p>
            <w:pPr>
              <w:pStyle w:val="TableParagraph"/>
              <w:spacing w:line="220" w:lineRule="exact"/>
              <w:ind w:left="83"/>
              <w:rPr>
                <w:sz w:val="20"/>
              </w:rPr>
            </w:pPr>
            <w:r>
              <w:rPr>
                <w:spacing w:val="-2"/>
                <w:sz w:val="20"/>
              </w:rPr>
              <w:t>применением</w:t>
            </w:r>
            <w:r>
              <w:rPr>
                <w:spacing w:val="8"/>
                <w:sz w:val="20"/>
              </w:rPr>
              <w:t> </w:t>
            </w:r>
            <w:r>
              <w:rPr>
                <w:spacing w:val="-2"/>
                <w:sz w:val="20"/>
              </w:rPr>
              <w:t>противоожоговых</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spacing w:line="220" w:lineRule="exact"/>
              <w:ind w:left="114"/>
              <w:rPr>
                <w:sz w:val="20"/>
              </w:rPr>
            </w:pPr>
            <w:r>
              <w:rPr>
                <w:spacing w:val="-2"/>
                <w:sz w:val="20"/>
              </w:rPr>
              <w:t>(пневмония,</w:t>
            </w:r>
            <w:r>
              <w:rPr>
                <w:spacing w:val="7"/>
                <w:sz w:val="20"/>
              </w:rPr>
              <w:t> </w:t>
            </w:r>
            <w:r>
              <w:rPr>
                <w:spacing w:val="-2"/>
                <w:sz w:val="20"/>
              </w:rPr>
              <w:t>сепсис)</w:t>
            </w:r>
          </w:p>
        </w:tc>
        <w:tc>
          <w:tcPr>
            <w:tcW w:w="1688" w:type="dxa"/>
          </w:tcPr>
          <w:p>
            <w:pPr>
              <w:pStyle w:val="TableParagraph"/>
              <w:rPr>
                <w:sz w:val="16"/>
              </w:rPr>
            </w:pPr>
          </w:p>
        </w:tc>
        <w:tc>
          <w:tcPr>
            <w:tcW w:w="3730" w:type="dxa"/>
          </w:tcPr>
          <w:p>
            <w:pPr>
              <w:pStyle w:val="TableParagraph"/>
              <w:spacing w:line="220" w:lineRule="exact"/>
              <w:ind w:left="83"/>
              <w:rPr>
                <w:sz w:val="20"/>
              </w:rPr>
            </w:pPr>
            <w:r>
              <w:rPr>
                <w:w w:val="95"/>
                <w:sz w:val="20"/>
              </w:rPr>
              <w:t>(флюидизирующих)</w:t>
            </w:r>
            <w:r>
              <w:rPr>
                <w:spacing w:val="65"/>
                <w:sz w:val="20"/>
              </w:rPr>
              <w:t> </w:t>
            </w:r>
            <w:r>
              <w:rPr>
                <w:spacing w:val="-2"/>
                <w:sz w:val="20"/>
              </w:rPr>
              <w:t>кроватей,</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tcPr>
          <w:p>
            <w:pPr>
              <w:pStyle w:val="TableParagraph"/>
              <w:rPr>
                <w:sz w:val="16"/>
              </w:rPr>
            </w:pPr>
          </w:p>
        </w:tc>
        <w:tc>
          <w:tcPr>
            <w:tcW w:w="3730" w:type="dxa"/>
          </w:tcPr>
          <w:p>
            <w:pPr>
              <w:pStyle w:val="TableParagraph"/>
              <w:spacing w:line="220" w:lineRule="exact"/>
              <w:ind w:left="83"/>
              <w:rPr>
                <w:sz w:val="20"/>
              </w:rPr>
            </w:pPr>
            <w:r>
              <w:rPr>
                <w:spacing w:val="-2"/>
                <w:sz w:val="20"/>
              </w:rPr>
              <w:t>включающее</w:t>
            </w:r>
            <w:r>
              <w:rPr>
                <w:spacing w:val="5"/>
                <w:sz w:val="20"/>
              </w:rPr>
              <w:t> </w:t>
            </w:r>
            <w:r>
              <w:rPr>
                <w:spacing w:val="-2"/>
                <w:sz w:val="20"/>
              </w:rPr>
              <w:t>круглосуточное</w:t>
            </w:r>
          </w:p>
        </w:tc>
        <w:tc>
          <w:tcPr>
            <w:tcW w:w="1065" w:type="dxa"/>
          </w:tcPr>
          <w:p>
            <w:pPr>
              <w:pStyle w:val="TableParagraph"/>
              <w:rPr>
                <w:sz w:val="16"/>
              </w:rPr>
            </w:pPr>
          </w:p>
        </w:tc>
      </w:tr>
      <w:tr>
        <w:trPr>
          <w:trHeight w:val="230" w:hRule="atLeast"/>
        </w:trPr>
        <w:tc>
          <w:tcPr>
            <w:tcW w:w="472" w:type="dxa"/>
          </w:tcPr>
          <w:p>
            <w:pPr>
              <w:pStyle w:val="TableParagraph"/>
              <w:rPr>
                <w:sz w:val="16"/>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tcPr>
          <w:p>
            <w:pPr>
              <w:pStyle w:val="TableParagraph"/>
              <w:rPr>
                <w:sz w:val="16"/>
              </w:rPr>
            </w:pPr>
          </w:p>
        </w:tc>
        <w:tc>
          <w:tcPr>
            <w:tcW w:w="3730" w:type="dxa"/>
          </w:tcPr>
          <w:p>
            <w:pPr>
              <w:pStyle w:val="TableParagraph"/>
              <w:spacing w:line="210" w:lineRule="exact"/>
              <w:ind w:left="83"/>
              <w:rPr>
                <w:sz w:val="20"/>
              </w:rPr>
            </w:pPr>
            <w:r>
              <w:rPr>
                <w:w w:val="95"/>
                <w:sz w:val="20"/>
              </w:rPr>
              <w:t>мониторирование</w:t>
            </w:r>
            <w:r>
              <w:rPr>
                <w:spacing w:val="52"/>
                <w:sz w:val="20"/>
              </w:rPr>
              <w:t> </w:t>
            </w:r>
            <w:r>
              <w:rPr>
                <w:w w:val="95"/>
                <w:sz w:val="20"/>
              </w:rPr>
              <w:t>гемодинамики</w:t>
            </w:r>
            <w:r>
              <w:rPr>
                <w:spacing w:val="55"/>
                <w:sz w:val="20"/>
              </w:rPr>
              <w:t> </w:t>
            </w:r>
            <w:r>
              <w:rPr>
                <w:spacing w:val="-10"/>
                <w:w w:val="95"/>
                <w:sz w:val="20"/>
              </w:rPr>
              <w:t>и</w:t>
            </w:r>
          </w:p>
        </w:tc>
        <w:tc>
          <w:tcPr>
            <w:tcW w:w="1065"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4"/>
        <w:gridCol w:w="1935"/>
        <w:gridCol w:w="3173"/>
        <w:gridCol w:w="1559"/>
        <w:gridCol w:w="3849"/>
        <w:gridCol w:w="1035"/>
      </w:tblGrid>
      <w:tr>
        <w:trPr>
          <w:trHeight w:val="4191" w:hRule="atLeast"/>
        </w:trPr>
        <w:tc>
          <w:tcPr>
            <w:tcW w:w="472" w:type="dxa"/>
          </w:tcPr>
          <w:p>
            <w:pPr>
              <w:pStyle w:val="TableParagraph"/>
              <w:rPr>
                <w:sz w:val="18"/>
              </w:rPr>
            </w:pPr>
          </w:p>
        </w:tc>
        <w:tc>
          <w:tcPr>
            <w:tcW w:w="3024" w:type="dxa"/>
          </w:tcPr>
          <w:p>
            <w:pPr>
              <w:pStyle w:val="TableParagraph"/>
              <w:rPr>
                <w:sz w:val="18"/>
              </w:rPr>
            </w:pPr>
          </w:p>
        </w:tc>
        <w:tc>
          <w:tcPr>
            <w:tcW w:w="1935" w:type="dxa"/>
          </w:tcPr>
          <w:p>
            <w:pPr>
              <w:pStyle w:val="TableParagraph"/>
              <w:rPr>
                <w:sz w:val="18"/>
              </w:rPr>
            </w:pPr>
          </w:p>
        </w:tc>
        <w:tc>
          <w:tcPr>
            <w:tcW w:w="3173" w:type="dxa"/>
          </w:tcPr>
          <w:p>
            <w:pPr>
              <w:pStyle w:val="TableParagraph"/>
              <w:rPr>
                <w:sz w:val="18"/>
              </w:rPr>
            </w:pPr>
          </w:p>
        </w:tc>
        <w:tc>
          <w:tcPr>
            <w:tcW w:w="1559" w:type="dxa"/>
          </w:tcPr>
          <w:p>
            <w:pPr>
              <w:pStyle w:val="TableParagraph"/>
              <w:rPr>
                <w:sz w:val="18"/>
              </w:rPr>
            </w:pPr>
          </w:p>
        </w:tc>
        <w:tc>
          <w:tcPr>
            <w:tcW w:w="3849" w:type="dxa"/>
          </w:tcPr>
          <w:p>
            <w:pPr>
              <w:pStyle w:val="TableParagraph"/>
              <w:spacing w:line="249" w:lineRule="auto"/>
              <w:ind w:left="216" w:right="298"/>
              <w:rPr>
                <w:sz w:val="20"/>
              </w:rPr>
            </w:pPr>
            <w:r>
              <w:rPr>
                <w:sz w:val="20"/>
              </w:rPr>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w:t>
            </w:r>
            <w:r>
              <w:rPr>
                <w:spacing w:val="-13"/>
                <w:sz w:val="20"/>
              </w:rPr>
              <w:t> </w:t>
            </w:r>
            <w:r>
              <w:rPr>
                <w:sz w:val="20"/>
              </w:rPr>
              <w:t>современных</w:t>
            </w:r>
            <w:r>
              <w:rPr>
                <w:spacing w:val="-12"/>
                <w:sz w:val="20"/>
              </w:rPr>
              <w:t> </w:t>
            </w:r>
            <w:r>
              <w:rPr>
                <w:sz w:val="20"/>
              </w:rPr>
              <w:t>раневых покрытий; хирургическую некрэктомию; кожную пластику для закрытия ран</w:t>
            </w:r>
          </w:p>
        </w:tc>
        <w:tc>
          <w:tcPr>
            <w:tcW w:w="1035" w:type="dxa"/>
          </w:tcPr>
          <w:p>
            <w:pPr>
              <w:pStyle w:val="TableParagraph"/>
              <w:rPr>
                <w:sz w:val="18"/>
              </w:rPr>
            </w:pPr>
          </w:p>
        </w:tc>
      </w:tr>
      <w:tr>
        <w:trPr>
          <w:trHeight w:val="480" w:hRule="atLeast"/>
        </w:trPr>
        <w:tc>
          <w:tcPr>
            <w:tcW w:w="472" w:type="dxa"/>
          </w:tcPr>
          <w:p>
            <w:pPr>
              <w:pStyle w:val="TableParagraph"/>
              <w:rPr>
                <w:sz w:val="18"/>
              </w:rPr>
            </w:pPr>
          </w:p>
        </w:tc>
        <w:tc>
          <w:tcPr>
            <w:tcW w:w="3024" w:type="dxa"/>
          </w:tcPr>
          <w:p>
            <w:pPr>
              <w:pStyle w:val="TableParagraph"/>
              <w:rPr>
                <w:sz w:val="18"/>
              </w:rPr>
            </w:pPr>
          </w:p>
        </w:tc>
        <w:tc>
          <w:tcPr>
            <w:tcW w:w="1935" w:type="dxa"/>
          </w:tcPr>
          <w:p>
            <w:pPr>
              <w:pStyle w:val="TableParagraph"/>
              <w:rPr>
                <w:sz w:val="18"/>
              </w:rPr>
            </w:pPr>
          </w:p>
        </w:tc>
        <w:tc>
          <w:tcPr>
            <w:tcW w:w="3173" w:type="dxa"/>
          </w:tcPr>
          <w:p>
            <w:pPr>
              <w:pStyle w:val="TableParagraph"/>
              <w:spacing w:before="120"/>
              <w:ind w:left="1585"/>
              <w:rPr>
                <w:sz w:val="20"/>
              </w:rPr>
            </w:pPr>
            <w:r>
              <w:rPr>
                <w:spacing w:val="-2"/>
                <w:sz w:val="20"/>
              </w:rPr>
              <w:t>Нейрохирургия</w:t>
            </w:r>
          </w:p>
        </w:tc>
        <w:tc>
          <w:tcPr>
            <w:tcW w:w="1559" w:type="dxa"/>
          </w:tcPr>
          <w:p>
            <w:pPr>
              <w:pStyle w:val="TableParagraph"/>
              <w:rPr>
                <w:sz w:val="18"/>
              </w:rPr>
            </w:pPr>
          </w:p>
        </w:tc>
        <w:tc>
          <w:tcPr>
            <w:tcW w:w="3849" w:type="dxa"/>
          </w:tcPr>
          <w:p>
            <w:pPr>
              <w:pStyle w:val="TableParagraph"/>
              <w:rPr>
                <w:sz w:val="18"/>
              </w:rPr>
            </w:pPr>
          </w:p>
        </w:tc>
        <w:tc>
          <w:tcPr>
            <w:tcW w:w="1035" w:type="dxa"/>
          </w:tcPr>
          <w:p>
            <w:pPr>
              <w:pStyle w:val="TableParagraph"/>
              <w:rPr>
                <w:sz w:val="18"/>
              </w:rPr>
            </w:pPr>
          </w:p>
        </w:tc>
      </w:tr>
      <w:tr>
        <w:trPr>
          <w:trHeight w:val="960" w:hRule="atLeast"/>
        </w:trPr>
        <w:tc>
          <w:tcPr>
            <w:tcW w:w="472" w:type="dxa"/>
          </w:tcPr>
          <w:p>
            <w:pPr>
              <w:pStyle w:val="TableParagraph"/>
              <w:spacing w:before="120"/>
              <w:ind w:left="50"/>
              <w:rPr>
                <w:sz w:val="20"/>
              </w:rPr>
            </w:pPr>
            <w:r>
              <w:rPr>
                <w:spacing w:val="-5"/>
                <w:sz w:val="20"/>
              </w:rPr>
              <w:t>12.</w:t>
            </w:r>
          </w:p>
        </w:tc>
        <w:tc>
          <w:tcPr>
            <w:tcW w:w="3024" w:type="dxa"/>
            <w:vMerge w:val="restart"/>
          </w:tcPr>
          <w:p>
            <w:pPr>
              <w:pStyle w:val="TableParagraph"/>
              <w:spacing w:line="249" w:lineRule="auto" w:before="120"/>
              <w:ind w:left="168" w:right="118"/>
              <w:rPr>
                <w:sz w:val="20"/>
              </w:rPr>
            </w:pPr>
            <w:r>
              <w:rPr>
                <w:spacing w:val="-2"/>
                <w:sz w:val="20"/>
              </w:rPr>
              <w:t>Микрохирургические </w:t>
            </w:r>
            <w:r>
              <w:rPr>
                <w:sz w:val="20"/>
              </w:rPr>
              <w:t>вмешательства с использованием</w:t>
            </w:r>
            <w:r>
              <w:rPr>
                <w:spacing w:val="-13"/>
                <w:sz w:val="20"/>
              </w:rPr>
              <w:t> </w:t>
            </w:r>
            <w:r>
              <w:rPr>
                <w:sz w:val="20"/>
              </w:rPr>
              <w:t>операционного микроскопа,</w:t>
            </w:r>
            <w:r>
              <w:rPr>
                <w:spacing w:val="-13"/>
                <w:sz w:val="20"/>
              </w:rPr>
              <w:t> </w:t>
            </w:r>
            <w:r>
              <w:rPr>
                <w:sz w:val="20"/>
              </w:rPr>
              <w:t>стереотаксической биопсии, интраоперационной навигации и </w:t>
            </w:r>
            <w:r>
              <w:rPr>
                <w:spacing w:val="-2"/>
                <w:sz w:val="20"/>
              </w:rPr>
              <w:t>нейрофизиологического </w:t>
            </w:r>
            <w:r>
              <w:rPr>
                <w:sz w:val="20"/>
              </w:rPr>
              <w:t>мониторинга при </w:t>
            </w:r>
            <w:r>
              <w:rPr>
                <w:spacing w:val="-2"/>
                <w:sz w:val="20"/>
              </w:rPr>
              <w:t>внутримозговых </w:t>
            </w:r>
            <w:r>
              <w:rPr>
                <w:sz w:val="20"/>
              </w:rPr>
              <w:t>новообразованиях головного мозга и каверномах функционально значимых зон головного мозга</w:t>
            </w:r>
          </w:p>
        </w:tc>
        <w:tc>
          <w:tcPr>
            <w:tcW w:w="1935" w:type="dxa"/>
          </w:tcPr>
          <w:p>
            <w:pPr>
              <w:pStyle w:val="TableParagraph"/>
              <w:spacing w:before="120"/>
              <w:ind w:left="130"/>
              <w:rPr>
                <w:sz w:val="20"/>
              </w:rPr>
            </w:pPr>
            <w:r>
              <w:rPr>
                <w:sz w:val="20"/>
              </w:rPr>
              <w:t>C71.0,</w:t>
            </w:r>
            <w:r>
              <w:rPr>
                <w:spacing w:val="-5"/>
                <w:sz w:val="20"/>
              </w:rPr>
              <w:t> </w:t>
            </w:r>
            <w:r>
              <w:rPr>
                <w:sz w:val="20"/>
              </w:rPr>
              <w:t>C71.1,</w:t>
            </w:r>
            <w:r>
              <w:rPr>
                <w:spacing w:val="-5"/>
                <w:sz w:val="20"/>
              </w:rPr>
              <w:t> </w:t>
            </w:r>
            <w:r>
              <w:rPr>
                <w:spacing w:val="-2"/>
                <w:sz w:val="20"/>
              </w:rPr>
              <w:t>C71.2,</w:t>
            </w:r>
          </w:p>
          <w:p>
            <w:pPr>
              <w:pStyle w:val="TableParagraph"/>
              <w:spacing w:line="249" w:lineRule="auto" w:before="10"/>
              <w:ind w:left="438" w:hanging="308"/>
              <w:rPr>
                <w:sz w:val="20"/>
              </w:rPr>
            </w:pPr>
            <w:r>
              <w:rPr>
                <w:sz w:val="20"/>
              </w:rPr>
              <w:t>C71.3,</w:t>
            </w:r>
            <w:r>
              <w:rPr>
                <w:spacing w:val="-13"/>
                <w:sz w:val="20"/>
              </w:rPr>
              <w:t> </w:t>
            </w:r>
            <w:r>
              <w:rPr>
                <w:sz w:val="20"/>
              </w:rPr>
              <w:t>C71.4,</w:t>
            </w:r>
            <w:r>
              <w:rPr>
                <w:spacing w:val="-12"/>
                <w:sz w:val="20"/>
              </w:rPr>
              <w:t> </w:t>
            </w:r>
            <w:r>
              <w:rPr>
                <w:sz w:val="20"/>
              </w:rPr>
              <w:t>C79.3, D33.0, D43.0</w:t>
            </w:r>
          </w:p>
        </w:tc>
        <w:tc>
          <w:tcPr>
            <w:tcW w:w="3173" w:type="dxa"/>
            <w:vMerge w:val="restart"/>
          </w:tcPr>
          <w:p>
            <w:pPr>
              <w:pStyle w:val="TableParagraph"/>
              <w:spacing w:line="249" w:lineRule="auto" w:before="120"/>
              <w:ind w:left="94"/>
              <w:rPr>
                <w:sz w:val="20"/>
              </w:rPr>
            </w:pPr>
            <w:r>
              <w:rPr>
                <w:sz w:val="20"/>
              </w:rPr>
              <w:t>внутримозговые злокачественные новообразования (первичные и вторичные) и доброкачественные новообразования функционально значимых</w:t>
            </w:r>
            <w:r>
              <w:rPr>
                <w:spacing w:val="-13"/>
                <w:sz w:val="20"/>
              </w:rPr>
              <w:t> </w:t>
            </w:r>
            <w:r>
              <w:rPr>
                <w:sz w:val="20"/>
              </w:rPr>
              <w:t>зон</w:t>
            </w:r>
            <w:r>
              <w:rPr>
                <w:spacing w:val="-12"/>
                <w:sz w:val="20"/>
              </w:rPr>
              <w:t> </w:t>
            </w:r>
            <w:r>
              <w:rPr>
                <w:sz w:val="20"/>
              </w:rPr>
              <w:t>больших</w:t>
            </w:r>
            <w:r>
              <w:rPr>
                <w:spacing w:val="-13"/>
                <w:sz w:val="20"/>
              </w:rPr>
              <w:t> </w:t>
            </w:r>
            <w:r>
              <w:rPr>
                <w:sz w:val="20"/>
              </w:rPr>
              <w:t>полушарий головного мозга</w:t>
            </w:r>
          </w:p>
        </w:tc>
        <w:tc>
          <w:tcPr>
            <w:tcW w:w="1559" w:type="dxa"/>
          </w:tcPr>
          <w:p>
            <w:pPr>
              <w:pStyle w:val="TableParagraph"/>
              <w:spacing w:line="249" w:lineRule="auto" w:before="120"/>
              <w:ind w:left="77"/>
              <w:rPr>
                <w:sz w:val="20"/>
              </w:rPr>
            </w:pPr>
            <w:r>
              <w:rPr>
                <w:spacing w:val="-2"/>
                <w:sz w:val="20"/>
              </w:rPr>
              <w:t>хирургическое лечение</w:t>
            </w:r>
          </w:p>
        </w:tc>
        <w:tc>
          <w:tcPr>
            <w:tcW w:w="3849" w:type="dxa"/>
          </w:tcPr>
          <w:p>
            <w:pPr>
              <w:pStyle w:val="TableParagraph"/>
              <w:spacing w:line="249" w:lineRule="auto" w:before="120"/>
              <w:ind w:left="216" w:right="253"/>
              <w:rPr>
                <w:sz w:val="20"/>
              </w:rPr>
            </w:pPr>
            <w:r>
              <w:rPr>
                <w:sz w:val="20"/>
              </w:rPr>
              <w:t>удаление опухоли с применением </w:t>
            </w:r>
            <w:r>
              <w:rPr>
                <w:spacing w:val="-2"/>
                <w:sz w:val="20"/>
              </w:rPr>
              <w:t>интраоперационного ультразвукового сканирования</w:t>
            </w:r>
          </w:p>
        </w:tc>
        <w:tc>
          <w:tcPr>
            <w:tcW w:w="1035" w:type="dxa"/>
          </w:tcPr>
          <w:p>
            <w:pPr>
              <w:pStyle w:val="TableParagraph"/>
              <w:spacing w:before="120"/>
              <w:ind w:left="378"/>
              <w:rPr>
                <w:sz w:val="20"/>
              </w:rPr>
            </w:pPr>
            <w:r>
              <w:rPr>
                <w:spacing w:val="-2"/>
                <w:sz w:val="20"/>
              </w:rPr>
              <w:t>177740</w:t>
            </w:r>
          </w:p>
        </w:tc>
      </w:tr>
      <w:tr>
        <w:trPr>
          <w:trHeight w:val="960" w:hRule="atLeast"/>
        </w:trPr>
        <w:tc>
          <w:tcPr>
            <w:tcW w:w="472" w:type="dxa"/>
          </w:tcPr>
          <w:p>
            <w:pPr>
              <w:pStyle w:val="TableParagraph"/>
              <w:rPr>
                <w:sz w:val="18"/>
              </w:rPr>
            </w:pPr>
          </w:p>
        </w:tc>
        <w:tc>
          <w:tcPr>
            <w:tcW w:w="3024" w:type="dxa"/>
            <w:vMerge/>
            <w:tcBorders>
              <w:top w:val="nil"/>
            </w:tcBorders>
          </w:tcPr>
          <w:p>
            <w:pPr>
              <w:rPr>
                <w:sz w:val="2"/>
                <w:szCs w:val="2"/>
              </w:rPr>
            </w:pPr>
          </w:p>
        </w:tc>
        <w:tc>
          <w:tcPr>
            <w:tcW w:w="1935" w:type="dxa"/>
          </w:tcPr>
          <w:p>
            <w:pPr>
              <w:pStyle w:val="TableParagraph"/>
              <w:rPr>
                <w:sz w:val="18"/>
              </w:rPr>
            </w:pPr>
          </w:p>
        </w:tc>
        <w:tc>
          <w:tcPr>
            <w:tcW w:w="3173" w:type="dxa"/>
            <w:vMerge/>
            <w:tcBorders>
              <w:top w:val="nil"/>
            </w:tcBorders>
          </w:tcPr>
          <w:p>
            <w:pPr>
              <w:rPr>
                <w:sz w:val="2"/>
                <w:szCs w:val="2"/>
              </w:rPr>
            </w:pPr>
          </w:p>
        </w:tc>
        <w:tc>
          <w:tcPr>
            <w:tcW w:w="1559" w:type="dxa"/>
          </w:tcPr>
          <w:p>
            <w:pPr>
              <w:pStyle w:val="TableParagraph"/>
              <w:rPr>
                <w:sz w:val="18"/>
              </w:rPr>
            </w:pPr>
          </w:p>
        </w:tc>
        <w:tc>
          <w:tcPr>
            <w:tcW w:w="3849" w:type="dxa"/>
          </w:tcPr>
          <w:p>
            <w:pPr>
              <w:pStyle w:val="TableParagraph"/>
              <w:spacing w:line="249" w:lineRule="auto" w:before="120"/>
              <w:ind w:left="216" w:right="253"/>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c>
          <w:tcPr>
            <w:tcW w:w="1035" w:type="dxa"/>
          </w:tcPr>
          <w:p>
            <w:pPr>
              <w:pStyle w:val="TableParagraph"/>
              <w:rPr>
                <w:sz w:val="18"/>
              </w:rPr>
            </w:pPr>
          </w:p>
        </w:tc>
      </w:tr>
      <w:tr>
        <w:trPr>
          <w:trHeight w:val="719" w:hRule="atLeast"/>
        </w:trPr>
        <w:tc>
          <w:tcPr>
            <w:tcW w:w="472" w:type="dxa"/>
          </w:tcPr>
          <w:p>
            <w:pPr>
              <w:pStyle w:val="TableParagraph"/>
              <w:rPr>
                <w:sz w:val="18"/>
              </w:rPr>
            </w:pPr>
          </w:p>
        </w:tc>
        <w:tc>
          <w:tcPr>
            <w:tcW w:w="3024" w:type="dxa"/>
            <w:vMerge/>
            <w:tcBorders>
              <w:top w:val="nil"/>
            </w:tcBorders>
          </w:tcPr>
          <w:p>
            <w:pPr>
              <w:rPr>
                <w:sz w:val="2"/>
                <w:szCs w:val="2"/>
              </w:rPr>
            </w:pPr>
          </w:p>
        </w:tc>
        <w:tc>
          <w:tcPr>
            <w:tcW w:w="1935" w:type="dxa"/>
          </w:tcPr>
          <w:p>
            <w:pPr>
              <w:pStyle w:val="TableParagraph"/>
              <w:spacing w:line="249" w:lineRule="auto" w:before="120"/>
              <w:ind w:left="735" w:hanging="611"/>
              <w:rPr>
                <w:sz w:val="20"/>
              </w:rPr>
            </w:pPr>
            <w:r>
              <w:rPr>
                <w:sz w:val="20"/>
              </w:rPr>
              <w:t>C71.5,</w:t>
            </w:r>
            <w:r>
              <w:rPr>
                <w:spacing w:val="-13"/>
                <w:sz w:val="20"/>
              </w:rPr>
              <w:t> </w:t>
            </w:r>
            <w:r>
              <w:rPr>
                <w:sz w:val="20"/>
              </w:rPr>
              <w:t>C79.3,</w:t>
            </w:r>
            <w:r>
              <w:rPr>
                <w:spacing w:val="-12"/>
                <w:sz w:val="20"/>
              </w:rPr>
              <w:t> </w:t>
            </w:r>
            <w:r>
              <w:rPr>
                <w:sz w:val="20"/>
              </w:rPr>
              <w:t>D33.0, </w:t>
            </w:r>
            <w:r>
              <w:rPr>
                <w:spacing w:val="-2"/>
                <w:sz w:val="20"/>
              </w:rPr>
              <w:t>D43.0</w:t>
            </w:r>
          </w:p>
        </w:tc>
        <w:tc>
          <w:tcPr>
            <w:tcW w:w="3173" w:type="dxa"/>
            <w:vMerge w:val="restart"/>
          </w:tcPr>
          <w:p>
            <w:pPr>
              <w:pStyle w:val="TableParagraph"/>
              <w:spacing w:line="249" w:lineRule="auto" w:before="120"/>
              <w:ind w:left="94"/>
              <w:rPr>
                <w:sz w:val="20"/>
              </w:rPr>
            </w:pPr>
            <w:r>
              <w:rPr>
                <w:spacing w:val="-2"/>
                <w:sz w:val="20"/>
              </w:rPr>
              <w:t>внутримозговые злокачественные </w:t>
            </w:r>
            <w:r>
              <w:rPr>
                <w:sz w:val="20"/>
              </w:rPr>
              <w:t>(первичные и вторичные) и </w:t>
            </w:r>
            <w:r>
              <w:rPr>
                <w:spacing w:val="-2"/>
                <w:sz w:val="20"/>
              </w:rPr>
              <w:t>доброкачественные </w:t>
            </w:r>
            <w:r>
              <w:rPr>
                <w:sz w:val="20"/>
              </w:rPr>
              <w:t>новообразования боковых</w:t>
            </w:r>
          </w:p>
          <w:p>
            <w:pPr>
              <w:pStyle w:val="TableParagraph"/>
              <w:spacing w:before="3"/>
              <w:ind w:left="94"/>
              <w:rPr>
                <w:sz w:val="20"/>
              </w:rPr>
            </w:pPr>
            <w:r>
              <w:rPr>
                <w:sz w:val="20"/>
              </w:rPr>
              <w:t>и</w:t>
            </w:r>
            <w:r>
              <w:rPr>
                <w:spacing w:val="-6"/>
                <w:sz w:val="20"/>
              </w:rPr>
              <w:t> </w:t>
            </w:r>
            <w:r>
              <w:rPr>
                <w:sz w:val="20"/>
              </w:rPr>
              <w:t>III</w:t>
            </w:r>
            <w:r>
              <w:rPr>
                <w:spacing w:val="-6"/>
                <w:sz w:val="20"/>
              </w:rPr>
              <w:t> </w:t>
            </w:r>
            <w:r>
              <w:rPr>
                <w:sz w:val="20"/>
              </w:rPr>
              <w:t>желудочка</w:t>
            </w:r>
            <w:r>
              <w:rPr>
                <w:spacing w:val="-5"/>
                <w:sz w:val="20"/>
              </w:rPr>
              <w:t> </w:t>
            </w:r>
            <w:r>
              <w:rPr>
                <w:spacing w:val="-2"/>
                <w:sz w:val="20"/>
              </w:rPr>
              <w:t>мозга</w:t>
            </w:r>
          </w:p>
        </w:tc>
        <w:tc>
          <w:tcPr>
            <w:tcW w:w="1559" w:type="dxa"/>
          </w:tcPr>
          <w:p>
            <w:pPr>
              <w:pStyle w:val="TableParagraph"/>
              <w:spacing w:line="249" w:lineRule="auto" w:before="120"/>
              <w:ind w:left="77"/>
              <w:rPr>
                <w:sz w:val="20"/>
              </w:rPr>
            </w:pPr>
            <w:r>
              <w:rPr>
                <w:spacing w:val="-2"/>
                <w:sz w:val="20"/>
              </w:rPr>
              <w:t>хирургическое лечение</w:t>
            </w:r>
          </w:p>
        </w:tc>
        <w:tc>
          <w:tcPr>
            <w:tcW w:w="3849" w:type="dxa"/>
          </w:tcPr>
          <w:p>
            <w:pPr>
              <w:pStyle w:val="TableParagraph"/>
              <w:spacing w:line="249" w:lineRule="auto" w:before="120"/>
              <w:ind w:left="216" w:right="253"/>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c>
          <w:tcPr>
            <w:tcW w:w="1035" w:type="dxa"/>
          </w:tcPr>
          <w:p>
            <w:pPr>
              <w:pStyle w:val="TableParagraph"/>
              <w:rPr>
                <w:sz w:val="18"/>
              </w:rPr>
            </w:pPr>
          </w:p>
        </w:tc>
      </w:tr>
      <w:tr>
        <w:trPr>
          <w:trHeight w:val="830" w:hRule="atLeast"/>
        </w:trPr>
        <w:tc>
          <w:tcPr>
            <w:tcW w:w="472" w:type="dxa"/>
          </w:tcPr>
          <w:p>
            <w:pPr>
              <w:pStyle w:val="TableParagraph"/>
              <w:rPr>
                <w:sz w:val="18"/>
              </w:rPr>
            </w:pPr>
          </w:p>
        </w:tc>
        <w:tc>
          <w:tcPr>
            <w:tcW w:w="3024" w:type="dxa"/>
            <w:vMerge/>
            <w:tcBorders>
              <w:top w:val="nil"/>
            </w:tcBorders>
          </w:tcPr>
          <w:p>
            <w:pPr>
              <w:rPr>
                <w:sz w:val="2"/>
                <w:szCs w:val="2"/>
              </w:rPr>
            </w:pPr>
          </w:p>
        </w:tc>
        <w:tc>
          <w:tcPr>
            <w:tcW w:w="1935" w:type="dxa"/>
          </w:tcPr>
          <w:p>
            <w:pPr>
              <w:pStyle w:val="TableParagraph"/>
              <w:rPr>
                <w:sz w:val="18"/>
              </w:rPr>
            </w:pPr>
          </w:p>
        </w:tc>
        <w:tc>
          <w:tcPr>
            <w:tcW w:w="3173" w:type="dxa"/>
            <w:vMerge/>
            <w:tcBorders>
              <w:top w:val="nil"/>
            </w:tcBorders>
          </w:tcPr>
          <w:p>
            <w:pPr>
              <w:rPr>
                <w:sz w:val="2"/>
                <w:szCs w:val="2"/>
              </w:rPr>
            </w:pPr>
          </w:p>
        </w:tc>
        <w:tc>
          <w:tcPr>
            <w:tcW w:w="1559" w:type="dxa"/>
          </w:tcPr>
          <w:p>
            <w:pPr>
              <w:pStyle w:val="TableParagraph"/>
              <w:rPr>
                <w:sz w:val="18"/>
              </w:rPr>
            </w:pPr>
          </w:p>
        </w:tc>
        <w:tc>
          <w:tcPr>
            <w:tcW w:w="3849" w:type="dxa"/>
          </w:tcPr>
          <w:p>
            <w:pPr>
              <w:pStyle w:val="TableParagraph"/>
              <w:spacing w:line="240" w:lineRule="atLeast" w:before="90"/>
              <w:ind w:left="216" w:right="253"/>
              <w:rPr>
                <w:sz w:val="20"/>
              </w:rPr>
            </w:pPr>
            <w:r>
              <w:rPr>
                <w:sz w:val="20"/>
              </w:rPr>
              <w:t>удаление опухоли с применением </w:t>
            </w:r>
            <w:r>
              <w:rPr>
                <w:spacing w:val="-2"/>
                <w:sz w:val="20"/>
              </w:rPr>
              <w:t>интраоперационного ультразвукового сканирования</w:t>
            </w:r>
          </w:p>
        </w:tc>
        <w:tc>
          <w:tcPr>
            <w:tcW w:w="103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line="249" w:lineRule="auto" w:before="91"/>
        <w:ind w:left="10718" w:right="1941" w:firstLine="0"/>
        <w:jc w:val="left"/>
        <w:rPr>
          <w:sz w:val="20"/>
        </w:rPr>
      </w:pPr>
      <w:r>
        <w:rPr>
          <w:sz w:val="20"/>
        </w:rPr>
        <w:t>удаление</w:t>
      </w:r>
      <w:r>
        <w:rPr>
          <w:spacing w:val="-8"/>
          <w:sz w:val="20"/>
        </w:rPr>
        <w:t> </w:t>
      </w:r>
      <w:r>
        <w:rPr>
          <w:sz w:val="20"/>
        </w:rPr>
        <w:t>опухоли</w:t>
      </w:r>
      <w:r>
        <w:rPr>
          <w:spacing w:val="-9"/>
          <w:sz w:val="20"/>
        </w:rPr>
        <w:t> </w:t>
      </w:r>
      <w:r>
        <w:rPr>
          <w:sz w:val="20"/>
        </w:rPr>
        <w:t>с</w:t>
      </w:r>
      <w:r>
        <w:rPr>
          <w:spacing w:val="-8"/>
          <w:sz w:val="20"/>
        </w:rPr>
        <w:t> </w:t>
      </w:r>
      <w:r>
        <w:rPr>
          <w:sz w:val="20"/>
        </w:rPr>
        <w:t>применением</w:t>
      </w:r>
      <w:r>
        <w:rPr>
          <w:spacing w:val="-7"/>
          <w:sz w:val="20"/>
        </w:rPr>
        <w:t> </w:t>
      </w:r>
      <w:r>
        <w:rPr>
          <w:sz w:val="20"/>
        </w:rPr>
        <w:t>двух и более методов лечения (интраоперационных технологий)</w:t>
      </w:r>
    </w:p>
    <w:p>
      <w:pPr>
        <w:pStyle w:val="BodyText"/>
        <w:spacing w:before="2"/>
        <w:rPr>
          <w:sz w:val="13"/>
        </w:rPr>
      </w:pPr>
    </w:p>
    <w:p>
      <w:pPr>
        <w:spacing w:after="0"/>
        <w:rPr>
          <w:sz w:val="13"/>
        </w:rPr>
        <w:sectPr>
          <w:pgSz w:w="16850" w:h="11910" w:orient="landscape"/>
          <w:pgMar w:header="753" w:footer="0" w:top="1060" w:bottom="280" w:left="400" w:right="400"/>
        </w:sectPr>
      </w:pPr>
    </w:p>
    <w:p>
      <w:pPr>
        <w:spacing w:line="252" w:lineRule="auto" w:before="91"/>
        <w:ind w:left="3975" w:right="0" w:hanging="10"/>
        <w:jc w:val="right"/>
        <w:rPr>
          <w:sz w:val="20"/>
        </w:rPr>
      </w:pPr>
      <w:r>
        <w:rPr>
          <w:sz w:val="20"/>
        </w:rPr>
        <w:t>C71.6,</w:t>
      </w:r>
      <w:r>
        <w:rPr>
          <w:spacing w:val="-13"/>
          <w:sz w:val="20"/>
        </w:rPr>
        <w:t> </w:t>
      </w:r>
      <w:r>
        <w:rPr>
          <w:sz w:val="20"/>
        </w:rPr>
        <w:t>C71.7,</w:t>
      </w:r>
      <w:r>
        <w:rPr>
          <w:spacing w:val="-12"/>
          <w:sz w:val="20"/>
        </w:rPr>
        <w:t> </w:t>
      </w:r>
      <w:r>
        <w:rPr>
          <w:sz w:val="20"/>
        </w:rPr>
        <w:t>C79.3, D33.1,</w:t>
      </w:r>
      <w:r>
        <w:rPr>
          <w:spacing w:val="-4"/>
          <w:sz w:val="20"/>
        </w:rPr>
        <w:t> </w:t>
      </w:r>
      <w:r>
        <w:rPr>
          <w:sz w:val="20"/>
        </w:rPr>
        <w:t>D18.0,</w:t>
      </w:r>
      <w:r>
        <w:rPr>
          <w:spacing w:val="-5"/>
          <w:sz w:val="20"/>
        </w:rPr>
        <w:t> </w:t>
      </w:r>
      <w:r>
        <w:rPr>
          <w:spacing w:val="-4"/>
          <w:sz w:val="20"/>
        </w:rPr>
        <w:t>D43.1</w:t>
      </w:r>
    </w:p>
    <w:p>
      <w:pPr>
        <w:spacing w:line="249" w:lineRule="auto" w:before="91"/>
        <w:ind w:left="160" w:right="0" w:firstLine="0"/>
        <w:jc w:val="left"/>
        <w:rPr>
          <w:sz w:val="20"/>
        </w:rPr>
      </w:pPr>
      <w:r>
        <w:rPr/>
        <w:br w:type="column"/>
      </w:r>
      <w:r>
        <w:rPr>
          <w:spacing w:val="-2"/>
          <w:sz w:val="20"/>
        </w:rPr>
        <w:t>внутримозговые злокачественные </w:t>
      </w:r>
      <w:r>
        <w:rPr>
          <w:sz w:val="20"/>
        </w:rPr>
        <w:t>(первичные и вторичные) и </w:t>
      </w:r>
      <w:r>
        <w:rPr>
          <w:spacing w:val="-2"/>
          <w:sz w:val="20"/>
        </w:rPr>
        <w:t>доброкачественные </w:t>
      </w:r>
      <w:r>
        <w:rPr>
          <w:sz w:val="20"/>
        </w:rPr>
        <w:t>новообразования мозжечка,</w:t>
      </w:r>
    </w:p>
    <w:p>
      <w:pPr>
        <w:spacing w:line="249" w:lineRule="auto" w:before="4"/>
        <w:ind w:left="160" w:right="0" w:firstLine="0"/>
        <w:jc w:val="left"/>
        <w:rPr>
          <w:sz w:val="20"/>
        </w:rPr>
      </w:pPr>
      <w:r>
        <w:rPr>
          <w:sz w:val="20"/>
        </w:rPr>
        <w:t>IV</w:t>
      </w:r>
      <w:r>
        <w:rPr>
          <w:spacing w:val="-10"/>
          <w:sz w:val="20"/>
        </w:rPr>
        <w:t> </w:t>
      </w:r>
      <w:r>
        <w:rPr>
          <w:sz w:val="20"/>
        </w:rPr>
        <w:t>желудочка</w:t>
      </w:r>
      <w:r>
        <w:rPr>
          <w:spacing w:val="-10"/>
          <w:sz w:val="20"/>
        </w:rPr>
        <w:t> </w:t>
      </w:r>
      <w:r>
        <w:rPr>
          <w:sz w:val="20"/>
        </w:rPr>
        <w:t>мозга,</w:t>
      </w:r>
      <w:r>
        <w:rPr>
          <w:spacing w:val="-10"/>
          <w:sz w:val="20"/>
        </w:rPr>
        <w:t> </w:t>
      </w:r>
      <w:r>
        <w:rPr>
          <w:sz w:val="20"/>
        </w:rPr>
        <w:t>стволовой</w:t>
      </w:r>
      <w:r>
        <w:rPr>
          <w:spacing w:val="-11"/>
          <w:sz w:val="20"/>
        </w:rPr>
        <w:t> </w:t>
      </w:r>
      <w:r>
        <w:rPr>
          <w:sz w:val="20"/>
        </w:rPr>
        <w:t>и парастволовой локализации</w:t>
      </w:r>
    </w:p>
    <w:p>
      <w:pPr>
        <w:spacing w:line="252" w:lineRule="auto" w:before="91"/>
        <w:ind w:left="219" w:right="0" w:firstLine="0"/>
        <w:jc w:val="left"/>
        <w:rPr>
          <w:sz w:val="20"/>
        </w:rPr>
      </w:pPr>
      <w:r>
        <w:rPr/>
        <w:br w:type="column"/>
      </w:r>
      <w:r>
        <w:rPr>
          <w:spacing w:val="-2"/>
          <w:sz w:val="20"/>
        </w:rPr>
        <w:t>хирургическое лечение</w:t>
      </w:r>
    </w:p>
    <w:p>
      <w:pPr>
        <w:spacing w:line="252" w:lineRule="auto" w:before="91"/>
        <w:ind w:left="401" w:right="2074" w:firstLine="0"/>
        <w:jc w:val="left"/>
        <w:rPr>
          <w:sz w:val="20"/>
        </w:rPr>
      </w:pPr>
      <w:r>
        <w:rPr/>
        <w:br w:type="column"/>
      </w:r>
      <w:r>
        <w:rPr>
          <w:sz w:val="20"/>
        </w:rPr>
        <w:t>удаление</w:t>
      </w:r>
      <w:r>
        <w:rPr>
          <w:spacing w:val="-12"/>
          <w:sz w:val="20"/>
        </w:rPr>
        <w:t> </w:t>
      </w:r>
      <w:r>
        <w:rPr>
          <w:sz w:val="20"/>
        </w:rPr>
        <w:t>опухоли</w:t>
      </w:r>
      <w:r>
        <w:rPr>
          <w:spacing w:val="-12"/>
          <w:sz w:val="20"/>
        </w:rPr>
        <w:t> </w:t>
      </w:r>
      <w:r>
        <w:rPr>
          <w:sz w:val="20"/>
        </w:rPr>
        <w:t>с</w:t>
      </w:r>
      <w:r>
        <w:rPr>
          <w:spacing w:val="-12"/>
          <w:sz w:val="20"/>
        </w:rPr>
        <w:t> </w:t>
      </w:r>
      <w:r>
        <w:rPr>
          <w:sz w:val="20"/>
        </w:rPr>
        <w:t>применением интраоперационной навигации</w:t>
      </w:r>
    </w:p>
    <w:p>
      <w:pPr>
        <w:pStyle w:val="BodyText"/>
        <w:spacing w:before="7"/>
        <w:rPr>
          <w:sz w:val="20"/>
        </w:rPr>
      </w:pPr>
    </w:p>
    <w:p>
      <w:pPr>
        <w:spacing w:line="249" w:lineRule="auto" w:before="0"/>
        <w:ind w:left="401" w:right="2074" w:firstLine="0"/>
        <w:jc w:val="left"/>
        <w:rPr>
          <w:sz w:val="20"/>
        </w:rPr>
      </w:pPr>
      <w:r>
        <w:rPr>
          <w:sz w:val="20"/>
        </w:rPr>
        <w:t>удаление опухоли с применением интраоперационного</w:t>
      </w:r>
      <w:r>
        <w:rPr>
          <w:spacing w:val="-13"/>
          <w:sz w:val="20"/>
        </w:rPr>
        <w:t> </w:t>
      </w:r>
      <w:r>
        <w:rPr>
          <w:sz w:val="20"/>
        </w:rPr>
        <w:t>ультразвукового </w:t>
      </w:r>
      <w:r>
        <w:rPr>
          <w:spacing w:val="-2"/>
          <w:sz w:val="20"/>
        </w:rPr>
        <w:t>сканирования</w:t>
      </w:r>
    </w:p>
    <w:p>
      <w:pPr>
        <w:pStyle w:val="BodyText"/>
        <w:spacing w:before="1"/>
        <w:rPr>
          <w:sz w:val="21"/>
        </w:rPr>
      </w:pPr>
    </w:p>
    <w:p>
      <w:pPr>
        <w:spacing w:line="249" w:lineRule="auto" w:before="0"/>
        <w:ind w:left="401" w:right="1940" w:firstLine="0"/>
        <w:jc w:val="left"/>
        <w:rPr>
          <w:sz w:val="20"/>
        </w:rPr>
      </w:pPr>
      <w:r>
        <w:rPr>
          <w:sz w:val="20"/>
        </w:rPr>
        <w:t>удаление</w:t>
      </w:r>
      <w:r>
        <w:rPr>
          <w:spacing w:val="-9"/>
          <w:sz w:val="20"/>
        </w:rPr>
        <w:t> </w:t>
      </w:r>
      <w:r>
        <w:rPr>
          <w:sz w:val="20"/>
        </w:rPr>
        <w:t>опухоли</w:t>
      </w:r>
      <w:r>
        <w:rPr>
          <w:spacing w:val="-9"/>
          <w:sz w:val="20"/>
        </w:rPr>
        <w:t> </w:t>
      </w:r>
      <w:r>
        <w:rPr>
          <w:sz w:val="20"/>
        </w:rPr>
        <w:t>с</w:t>
      </w:r>
      <w:r>
        <w:rPr>
          <w:spacing w:val="-9"/>
          <w:sz w:val="20"/>
        </w:rPr>
        <w:t> </w:t>
      </w:r>
      <w:r>
        <w:rPr>
          <w:sz w:val="20"/>
        </w:rPr>
        <w:t>применением</w:t>
      </w:r>
      <w:r>
        <w:rPr>
          <w:spacing w:val="-5"/>
          <w:sz w:val="20"/>
        </w:rPr>
        <w:t> </w:t>
      </w:r>
      <w:r>
        <w:rPr>
          <w:sz w:val="20"/>
        </w:rPr>
        <w:t>двух и более методов лечения (интраоперационных технологий)</w:t>
      </w:r>
    </w:p>
    <w:p>
      <w:pPr>
        <w:spacing w:after="0" w:line="249" w:lineRule="auto"/>
        <w:jc w:val="left"/>
        <w:rPr>
          <w:sz w:val="20"/>
        </w:rPr>
        <w:sectPr>
          <w:type w:val="continuous"/>
          <w:pgSz w:w="16850" w:h="11910" w:orient="landscape"/>
          <w:pgMar w:header="753" w:footer="0" w:top="1080" w:bottom="280" w:left="400" w:right="400"/>
          <w:cols w:num="4" w:equalWidth="0">
            <w:col w:w="5665" w:space="40"/>
            <w:col w:w="3058" w:space="39"/>
            <w:col w:w="1477" w:space="39"/>
            <w:col w:w="5732"/>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spacing w:line="249" w:lineRule="auto" w:before="91"/>
        <w:ind w:left="4273" w:right="0" w:hanging="313"/>
        <w:jc w:val="left"/>
        <w:rPr>
          <w:sz w:val="20"/>
        </w:rPr>
      </w:pPr>
      <w:r>
        <w:rPr>
          <w:sz w:val="20"/>
        </w:rPr>
        <w:t>C71.6,</w:t>
      </w:r>
      <w:r>
        <w:rPr>
          <w:spacing w:val="-13"/>
          <w:sz w:val="20"/>
        </w:rPr>
        <w:t> </w:t>
      </w:r>
      <w:r>
        <w:rPr>
          <w:sz w:val="20"/>
        </w:rPr>
        <w:t>C79.3,</w:t>
      </w:r>
      <w:r>
        <w:rPr>
          <w:spacing w:val="-12"/>
          <w:sz w:val="20"/>
        </w:rPr>
        <w:t> </w:t>
      </w:r>
      <w:r>
        <w:rPr>
          <w:sz w:val="20"/>
        </w:rPr>
        <w:t>D33.1, D18.0, D43.1</w:t>
      </w:r>
    </w:p>
    <w:p>
      <w:pPr>
        <w:spacing w:line="249" w:lineRule="auto" w:before="91"/>
        <w:ind w:left="153" w:right="0" w:firstLine="0"/>
        <w:jc w:val="left"/>
        <w:rPr>
          <w:sz w:val="20"/>
        </w:rPr>
      </w:pPr>
      <w:r>
        <w:rPr/>
        <w:br w:type="column"/>
      </w:r>
      <w:r>
        <w:rPr>
          <w:spacing w:val="-2"/>
          <w:sz w:val="20"/>
        </w:rPr>
        <w:t>внутримозговые злокачественные </w:t>
      </w:r>
      <w:r>
        <w:rPr>
          <w:sz w:val="20"/>
        </w:rPr>
        <w:t>(первичные и вторичные) и </w:t>
      </w:r>
      <w:r>
        <w:rPr>
          <w:spacing w:val="-2"/>
          <w:sz w:val="20"/>
        </w:rPr>
        <w:t>доброкачественные </w:t>
      </w:r>
      <w:r>
        <w:rPr>
          <w:sz w:val="20"/>
        </w:rPr>
        <w:t>новообразования мозжечка</w:t>
      </w:r>
    </w:p>
    <w:p>
      <w:pPr>
        <w:spacing w:line="249" w:lineRule="auto" w:before="91"/>
        <w:ind w:left="219" w:right="0" w:firstLine="0"/>
        <w:jc w:val="left"/>
        <w:rPr>
          <w:sz w:val="20"/>
        </w:rPr>
      </w:pPr>
      <w:r>
        <w:rPr/>
        <w:br w:type="column"/>
      </w:r>
      <w:r>
        <w:rPr>
          <w:spacing w:val="-2"/>
          <w:sz w:val="20"/>
        </w:rPr>
        <w:t>хирургическое лечение</w:t>
      </w:r>
    </w:p>
    <w:p>
      <w:pPr>
        <w:spacing w:line="249" w:lineRule="auto" w:before="91"/>
        <w:ind w:left="401" w:right="2089"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pStyle w:val="BodyText"/>
        <w:rPr>
          <w:sz w:val="21"/>
        </w:rPr>
      </w:pPr>
    </w:p>
    <w:p>
      <w:pPr>
        <w:spacing w:line="249" w:lineRule="auto" w:before="0"/>
        <w:ind w:left="401" w:right="2074" w:firstLine="0"/>
        <w:jc w:val="left"/>
        <w:rPr>
          <w:sz w:val="20"/>
        </w:rPr>
      </w:pPr>
      <w:r>
        <w:rPr>
          <w:sz w:val="20"/>
        </w:rPr>
        <w:t>удаление опухоли с применением интраоперационной</w:t>
      </w:r>
      <w:r>
        <w:rPr>
          <w:spacing w:val="-13"/>
          <w:sz w:val="20"/>
        </w:rPr>
        <w:t> </w:t>
      </w:r>
      <w:r>
        <w:rPr>
          <w:sz w:val="20"/>
        </w:rPr>
        <w:t>флюоресцентной микроскопии и эндоскопии</w:t>
      </w:r>
    </w:p>
    <w:p>
      <w:pPr>
        <w:spacing w:after="0" w:line="249" w:lineRule="auto"/>
        <w:jc w:val="left"/>
        <w:rPr>
          <w:sz w:val="20"/>
        </w:rPr>
        <w:sectPr>
          <w:type w:val="continuous"/>
          <w:pgSz w:w="16850" w:h="11910" w:orient="landscape"/>
          <w:pgMar w:header="753" w:footer="0" w:top="1080" w:bottom="280" w:left="400" w:right="400"/>
          <w:cols w:num="4" w:equalWidth="0">
            <w:col w:w="5672" w:space="40"/>
            <w:col w:w="3050" w:space="39"/>
            <w:col w:w="1477" w:space="40"/>
            <w:col w:w="5732"/>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before="91"/>
        <w:ind w:left="4273" w:right="0" w:firstLine="0"/>
        <w:jc w:val="left"/>
        <w:rPr>
          <w:sz w:val="20"/>
        </w:rPr>
      </w:pPr>
      <w:r>
        <w:rPr>
          <w:sz w:val="20"/>
        </w:rPr>
        <w:t>D18.0,</w:t>
      </w:r>
      <w:r>
        <w:rPr>
          <w:spacing w:val="-3"/>
          <w:sz w:val="20"/>
        </w:rPr>
        <w:t> </w:t>
      </w:r>
      <w:r>
        <w:rPr>
          <w:spacing w:val="-2"/>
          <w:sz w:val="20"/>
        </w:rPr>
        <w:t>Q28.3</w:t>
      </w:r>
      <w:r>
        <w:rPr>
          <w:sz w:val="20"/>
        </w:rPr>
        <w:tab/>
        <w:t>кавернома</w:t>
      </w:r>
      <w:r>
        <w:rPr>
          <w:spacing w:val="-10"/>
          <w:sz w:val="20"/>
        </w:rPr>
        <w:t> </w:t>
      </w:r>
      <w:r>
        <w:rPr>
          <w:sz w:val="20"/>
        </w:rPr>
        <w:t>(кавернозная</w:t>
      </w:r>
      <w:r>
        <w:rPr>
          <w:spacing w:val="-11"/>
          <w:sz w:val="20"/>
        </w:rPr>
        <w:t> </w:t>
      </w:r>
      <w:r>
        <w:rPr>
          <w:spacing w:val="-2"/>
          <w:sz w:val="20"/>
        </w:rPr>
        <w:t>ангиома)</w:t>
      </w:r>
    </w:p>
    <w:p>
      <w:pPr>
        <w:spacing w:before="10"/>
        <w:ind w:left="5865" w:right="0" w:firstLine="0"/>
        <w:jc w:val="left"/>
        <w:rPr>
          <w:sz w:val="20"/>
        </w:rPr>
      </w:pPr>
      <w:r>
        <w:rPr>
          <w:spacing w:val="-2"/>
          <w:sz w:val="20"/>
        </w:rPr>
        <w:t>мозжечка</w:t>
      </w:r>
    </w:p>
    <w:p>
      <w:pPr>
        <w:spacing w:line="249" w:lineRule="auto" w:before="91"/>
        <w:ind w:left="251"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 функционально значимых зон головного мозга</w:t>
      </w:r>
    </w:p>
    <w:p>
      <w:pPr>
        <w:pStyle w:val="BodyText"/>
        <w:spacing w:before="2"/>
        <w:rPr>
          <w:sz w:val="21"/>
        </w:rPr>
      </w:pPr>
    </w:p>
    <w:p>
      <w:pPr>
        <w:spacing w:line="249" w:lineRule="auto" w:before="0"/>
        <w:ind w:left="401" w:right="1915" w:firstLine="0"/>
        <w:jc w:val="left"/>
        <w:rPr>
          <w:sz w:val="20"/>
        </w:rPr>
      </w:pPr>
      <w:r>
        <w:rPr>
          <w:sz w:val="20"/>
        </w:rPr>
        <w:t>удаление</w:t>
      </w:r>
      <w:r>
        <w:rPr>
          <w:spacing w:val="-11"/>
          <w:sz w:val="20"/>
        </w:rPr>
        <w:t> </w:t>
      </w:r>
      <w:r>
        <w:rPr>
          <w:sz w:val="20"/>
        </w:rPr>
        <w:t>опухоли</w:t>
      </w:r>
      <w:r>
        <w:rPr>
          <w:spacing w:val="-12"/>
          <w:sz w:val="20"/>
        </w:rPr>
        <w:t> </w:t>
      </w:r>
      <w:r>
        <w:rPr>
          <w:sz w:val="20"/>
        </w:rPr>
        <w:t>с</w:t>
      </w:r>
      <w:r>
        <w:rPr>
          <w:spacing w:val="-11"/>
          <w:sz w:val="20"/>
        </w:rPr>
        <w:t> </w:t>
      </w:r>
      <w:r>
        <w:rPr>
          <w:sz w:val="20"/>
        </w:rPr>
        <w:t>применением интраоперационной навигации</w:t>
      </w:r>
    </w:p>
    <w:p>
      <w:pPr>
        <w:spacing w:after="0" w:line="249" w:lineRule="auto"/>
        <w:jc w:val="left"/>
        <w:rPr>
          <w:sz w:val="20"/>
        </w:rPr>
        <w:sectPr>
          <w:type w:val="continuous"/>
          <w:pgSz w:w="16850" w:h="11910" w:orient="landscape"/>
          <w:pgMar w:header="753" w:footer="0" w:top="1080" w:bottom="280" w:left="400" w:right="400"/>
          <w:cols w:num="3" w:equalWidth="0">
            <w:col w:w="8730" w:space="40"/>
            <w:col w:w="1508" w:space="39"/>
            <w:col w:w="5733"/>
          </w:cols>
        </w:sectPr>
      </w:pPr>
    </w:p>
    <w:p>
      <w:pPr>
        <w:pStyle w:val="BodyText"/>
        <w:spacing w:before="1"/>
        <w:rPr>
          <w:sz w:val="13"/>
        </w:rPr>
      </w:pPr>
    </w:p>
    <w:p>
      <w:pPr>
        <w:spacing w:after="0"/>
        <w:rPr>
          <w:sz w:val="13"/>
        </w:rPr>
        <w:sectPr>
          <w:type w:val="continuous"/>
          <w:pgSz w:w="16850" w:h="11910" w:orient="landscape"/>
          <w:pgMar w:header="753" w:footer="0" w:top="1080" w:bottom="280" w:left="400" w:right="400"/>
        </w:sectPr>
      </w:pPr>
    </w:p>
    <w:p>
      <w:pPr>
        <w:spacing w:line="249" w:lineRule="auto" w:before="91"/>
        <w:ind w:left="980" w:right="0" w:firstLine="0"/>
        <w:jc w:val="left"/>
        <w:rPr>
          <w:sz w:val="20"/>
        </w:rPr>
      </w:pPr>
      <w:r>
        <w:rPr>
          <w:spacing w:val="-2"/>
          <w:sz w:val="20"/>
        </w:rPr>
        <w:t>Микрохирургические </w:t>
      </w:r>
      <w:r>
        <w:rPr>
          <w:sz w:val="20"/>
        </w:rPr>
        <w:t>вмешательства при злокачественных</w:t>
      </w:r>
      <w:r>
        <w:rPr>
          <w:spacing w:val="-13"/>
          <w:sz w:val="20"/>
        </w:rPr>
        <w:t> </w:t>
      </w:r>
      <w:r>
        <w:rPr>
          <w:sz w:val="20"/>
        </w:rPr>
        <w:t>(первичных</w:t>
      </w:r>
      <w:r>
        <w:rPr>
          <w:spacing w:val="-12"/>
          <w:sz w:val="20"/>
        </w:rPr>
        <w:t> </w:t>
      </w:r>
      <w:r>
        <w:rPr>
          <w:sz w:val="20"/>
        </w:rPr>
        <w:t>и вторичных) и</w:t>
      </w:r>
    </w:p>
    <w:p>
      <w:pPr>
        <w:spacing w:line="249" w:lineRule="auto" w:before="91"/>
        <w:ind w:left="658" w:right="0" w:hanging="387"/>
        <w:jc w:val="left"/>
        <w:rPr>
          <w:sz w:val="20"/>
        </w:rPr>
      </w:pPr>
      <w:r>
        <w:rPr/>
        <w:br w:type="column"/>
      </w:r>
      <w:r>
        <w:rPr>
          <w:sz w:val="20"/>
        </w:rPr>
        <w:t>C70.0,</w:t>
      </w:r>
      <w:r>
        <w:rPr>
          <w:spacing w:val="-13"/>
          <w:sz w:val="20"/>
        </w:rPr>
        <w:t> </w:t>
      </w:r>
      <w:r>
        <w:rPr>
          <w:sz w:val="20"/>
        </w:rPr>
        <w:t>C79.3,</w:t>
      </w:r>
      <w:r>
        <w:rPr>
          <w:spacing w:val="-12"/>
          <w:sz w:val="20"/>
        </w:rPr>
        <w:t> </w:t>
      </w:r>
      <w:r>
        <w:rPr>
          <w:sz w:val="20"/>
        </w:rPr>
        <w:t>D32.0, D43.1, Q85</w:t>
      </w:r>
    </w:p>
    <w:p>
      <w:pPr>
        <w:spacing w:line="249" w:lineRule="auto" w:before="91"/>
        <w:ind w:left="153" w:right="0" w:firstLine="0"/>
        <w:jc w:val="left"/>
        <w:rPr>
          <w:sz w:val="20"/>
        </w:rPr>
      </w:pPr>
      <w:r>
        <w:rPr/>
        <w:br w:type="column"/>
      </w:r>
      <w:r>
        <w:rPr>
          <w:sz w:val="20"/>
        </w:rPr>
        <w:t>злокачественные (первичные и вторичные) и доброкачественные новообразования оболочек головного</w:t>
      </w:r>
      <w:r>
        <w:rPr>
          <w:spacing w:val="-13"/>
          <w:sz w:val="20"/>
        </w:rPr>
        <w:t> </w:t>
      </w:r>
      <w:r>
        <w:rPr>
          <w:sz w:val="20"/>
        </w:rPr>
        <w:t>мозга</w:t>
      </w:r>
      <w:r>
        <w:rPr>
          <w:spacing w:val="-12"/>
          <w:sz w:val="20"/>
        </w:rPr>
        <w:t> </w:t>
      </w:r>
      <w:r>
        <w:rPr>
          <w:sz w:val="20"/>
        </w:rPr>
        <w:t>парасаггитальной</w:t>
      </w:r>
    </w:p>
    <w:p>
      <w:pPr>
        <w:spacing w:line="249" w:lineRule="auto" w:before="91"/>
        <w:ind w:left="165"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удаление</w:t>
      </w:r>
      <w:r>
        <w:rPr>
          <w:spacing w:val="-11"/>
          <w:sz w:val="20"/>
        </w:rPr>
        <w:t> </w:t>
      </w:r>
      <w:r>
        <w:rPr>
          <w:sz w:val="20"/>
        </w:rPr>
        <w:t>опухоли</w:t>
      </w:r>
      <w:r>
        <w:rPr>
          <w:spacing w:val="-12"/>
          <w:sz w:val="20"/>
        </w:rPr>
        <w:t> </w:t>
      </w:r>
      <w:r>
        <w:rPr>
          <w:sz w:val="20"/>
        </w:rPr>
        <w:t>с</w:t>
      </w:r>
      <w:r>
        <w:rPr>
          <w:spacing w:val="-11"/>
          <w:sz w:val="20"/>
        </w:rPr>
        <w:t> </w:t>
      </w:r>
      <w:r>
        <w:rPr>
          <w:sz w:val="20"/>
        </w:rPr>
        <w:t>применением интраоперационной навигации</w:t>
      </w:r>
    </w:p>
    <w:p>
      <w:pPr>
        <w:spacing w:after="0" w:line="249" w:lineRule="auto"/>
        <w:jc w:val="left"/>
        <w:rPr>
          <w:sz w:val="20"/>
        </w:rPr>
        <w:sectPr>
          <w:type w:val="continuous"/>
          <w:pgSz w:w="16850" w:h="11910" w:orient="landscape"/>
          <w:pgMar w:header="753" w:footer="0" w:top="1080" w:bottom="280" w:left="400" w:right="400"/>
          <w:cols w:num="5" w:equalWidth="0">
            <w:col w:w="3651" w:space="40"/>
            <w:col w:w="1982" w:space="39"/>
            <w:col w:w="3105" w:space="39"/>
            <w:col w:w="1422" w:space="39"/>
            <w:col w:w="573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0"/>
        <w:gridCol w:w="1959"/>
        <w:gridCol w:w="3170"/>
        <w:gridCol w:w="1541"/>
        <w:gridCol w:w="3604"/>
      </w:tblGrid>
      <w:tr>
        <w:trPr>
          <w:trHeight w:val="1310" w:hRule="atLeast"/>
        </w:trPr>
        <w:tc>
          <w:tcPr>
            <w:tcW w:w="2900" w:type="dxa"/>
          </w:tcPr>
          <w:p>
            <w:pPr>
              <w:pStyle w:val="TableParagraph"/>
              <w:spacing w:line="249" w:lineRule="auto"/>
              <w:ind w:left="50" w:right="53"/>
              <w:rPr>
                <w:sz w:val="20"/>
              </w:rPr>
            </w:pPr>
            <w:r>
              <w:rPr>
                <w:spacing w:val="-2"/>
                <w:sz w:val="20"/>
              </w:rPr>
              <w:t>доброкачественных </w:t>
            </w:r>
            <w:r>
              <w:rPr>
                <w:sz w:val="20"/>
              </w:rPr>
              <w:t>новообразованиях оболочек головного мозга с вовлечением синусов,</w:t>
            </w:r>
            <w:r>
              <w:rPr>
                <w:spacing w:val="-13"/>
                <w:sz w:val="20"/>
              </w:rPr>
              <w:t> </w:t>
            </w:r>
            <w:r>
              <w:rPr>
                <w:sz w:val="20"/>
              </w:rPr>
              <w:t>серповидного</w:t>
            </w:r>
            <w:r>
              <w:rPr>
                <w:spacing w:val="-12"/>
                <w:sz w:val="20"/>
              </w:rPr>
              <w:t> </w:t>
            </w:r>
            <w:r>
              <w:rPr>
                <w:sz w:val="20"/>
              </w:rPr>
              <w:t>отростка и намета мозжечка</w:t>
            </w:r>
          </w:p>
        </w:tc>
        <w:tc>
          <w:tcPr>
            <w:tcW w:w="1959" w:type="dxa"/>
          </w:tcPr>
          <w:p>
            <w:pPr>
              <w:pStyle w:val="TableParagraph"/>
              <w:rPr>
                <w:sz w:val="18"/>
              </w:rPr>
            </w:pPr>
          </w:p>
        </w:tc>
        <w:tc>
          <w:tcPr>
            <w:tcW w:w="3170" w:type="dxa"/>
          </w:tcPr>
          <w:p>
            <w:pPr>
              <w:pStyle w:val="TableParagraph"/>
              <w:spacing w:line="249" w:lineRule="auto"/>
              <w:ind w:left="76" w:right="131"/>
              <w:rPr>
                <w:sz w:val="20"/>
              </w:rPr>
            </w:pPr>
            <w:r>
              <w:rPr>
                <w:sz w:val="20"/>
              </w:rPr>
              <w:t>локализации с вовлечением синусов,</w:t>
            </w:r>
            <w:r>
              <w:rPr>
                <w:spacing w:val="-3"/>
                <w:sz w:val="20"/>
              </w:rPr>
              <w:t> </w:t>
            </w:r>
            <w:r>
              <w:rPr>
                <w:sz w:val="20"/>
              </w:rPr>
              <w:t>серповидного</w:t>
            </w:r>
            <w:r>
              <w:rPr>
                <w:spacing w:val="-2"/>
                <w:sz w:val="20"/>
              </w:rPr>
              <w:t> </w:t>
            </w:r>
            <w:r>
              <w:rPr>
                <w:sz w:val="20"/>
              </w:rPr>
              <w:t>отростка</w:t>
            </w:r>
            <w:r>
              <w:rPr>
                <w:spacing w:val="-3"/>
                <w:sz w:val="20"/>
              </w:rPr>
              <w:t> </w:t>
            </w:r>
            <w:r>
              <w:rPr>
                <w:sz w:val="20"/>
              </w:rPr>
              <w:t>и намета мозжечка, а также внутрижелудочковой</w:t>
            </w:r>
            <w:r>
              <w:rPr>
                <w:spacing w:val="-13"/>
                <w:sz w:val="20"/>
              </w:rPr>
              <w:t> </w:t>
            </w:r>
            <w:r>
              <w:rPr>
                <w:sz w:val="20"/>
              </w:rPr>
              <w:t>локализации</w:t>
            </w:r>
          </w:p>
        </w:tc>
        <w:tc>
          <w:tcPr>
            <w:tcW w:w="1541" w:type="dxa"/>
          </w:tcPr>
          <w:p>
            <w:pPr>
              <w:pStyle w:val="TableParagraph"/>
              <w:rPr>
                <w:sz w:val="18"/>
              </w:rPr>
            </w:pPr>
          </w:p>
        </w:tc>
        <w:tc>
          <w:tcPr>
            <w:tcW w:w="3604" w:type="dxa"/>
          </w:tcPr>
          <w:p>
            <w:pPr>
              <w:pStyle w:val="TableParagraph"/>
              <w:spacing w:line="249" w:lineRule="auto"/>
              <w:ind w:left="218" w:right="129"/>
              <w:rPr>
                <w:sz w:val="20"/>
              </w:rPr>
            </w:pPr>
            <w:r>
              <w:rPr>
                <w:sz w:val="20"/>
              </w:rPr>
              <w:t>удаление опухоли с применением интраоперационного</w:t>
            </w:r>
            <w:r>
              <w:rPr>
                <w:spacing w:val="-13"/>
                <w:sz w:val="20"/>
              </w:rPr>
              <w:t> </w:t>
            </w:r>
            <w:r>
              <w:rPr>
                <w:sz w:val="20"/>
              </w:rPr>
              <w:t>ультразвукового </w:t>
            </w:r>
            <w:r>
              <w:rPr>
                <w:spacing w:val="-2"/>
                <w:sz w:val="20"/>
              </w:rPr>
              <w:t>сканирования</w:t>
            </w:r>
          </w:p>
        </w:tc>
      </w:tr>
      <w:tr>
        <w:trPr>
          <w:trHeight w:val="720" w:hRule="atLeast"/>
        </w:trPr>
        <w:tc>
          <w:tcPr>
            <w:tcW w:w="2900" w:type="dxa"/>
            <w:vMerge w:val="restart"/>
          </w:tcPr>
          <w:p>
            <w:pPr>
              <w:pStyle w:val="TableParagraph"/>
              <w:spacing w:line="249" w:lineRule="auto" w:before="120"/>
              <w:ind w:left="50" w:right="97"/>
              <w:rPr>
                <w:sz w:val="20"/>
              </w:rPr>
            </w:pPr>
            <w:r>
              <w:rPr>
                <w:spacing w:val="-2"/>
                <w:sz w:val="20"/>
              </w:rPr>
              <w:t>Микрохирургические, эндоскопические</w:t>
            </w:r>
            <w:r>
              <w:rPr>
                <w:spacing w:val="40"/>
                <w:sz w:val="20"/>
              </w:rPr>
              <w:t> </w:t>
            </w:r>
            <w:r>
              <w:rPr>
                <w:sz w:val="20"/>
              </w:rPr>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Pr>
                <w:spacing w:val="-2"/>
                <w:sz w:val="20"/>
              </w:rPr>
              <w:t>доброкачественных </w:t>
            </w:r>
            <w:r>
              <w:rPr>
                <w:sz w:val="20"/>
              </w:rPr>
              <w:t>новообразований</w:t>
            </w:r>
            <w:r>
              <w:rPr>
                <w:spacing w:val="-13"/>
                <w:sz w:val="20"/>
              </w:rPr>
              <w:t> </w:t>
            </w:r>
            <w:r>
              <w:rPr>
                <w:sz w:val="20"/>
              </w:rPr>
              <w:t>шишковидной железы (в том числе кистозных), туберозном склерозе, гамартозе</w:t>
            </w:r>
          </w:p>
        </w:tc>
        <w:tc>
          <w:tcPr>
            <w:tcW w:w="1959" w:type="dxa"/>
          </w:tcPr>
          <w:p>
            <w:pPr>
              <w:pStyle w:val="TableParagraph"/>
              <w:spacing w:before="120"/>
              <w:ind w:left="218" w:right="202"/>
              <w:jc w:val="center"/>
              <w:rPr>
                <w:sz w:val="20"/>
              </w:rPr>
            </w:pPr>
            <w:r>
              <w:rPr>
                <w:sz w:val="20"/>
              </w:rPr>
              <w:t>C72.3,</w:t>
            </w:r>
            <w:r>
              <w:rPr>
                <w:spacing w:val="-5"/>
                <w:sz w:val="20"/>
              </w:rPr>
              <w:t> </w:t>
            </w:r>
            <w:r>
              <w:rPr>
                <w:sz w:val="20"/>
              </w:rPr>
              <w:t>D33.3,</w:t>
            </w:r>
            <w:r>
              <w:rPr>
                <w:spacing w:val="-4"/>
                <w:sz w:val="20"/>
              </w:rPr>
              <w:t> </w:t>
            </w:r>
            <w:r>
              <w:rPr>
                <w:spacing w:val="-5"/>
                <w:sz w:val="20"/>
              </w:rPr>
              <w:t>Q85</w:t>
            </w:r>
          </w:p>
        </w:tc>
        <w:tc>
          <w:tcPr>
            <w:tcW w:w="3170" w:type="dxa"/>
            <w:vMerge w:val="restart"/>
          </w:tcPr>
          <w:p>
            <w:pPr>
              <w:pStyle w:val="TableParagraph"/>
              <w:spacing w:line="249" w:lineRule="auto" w:before="120"/>
              <w:ind w:left="76"/>
              <w:rPr>
                <w:sz w:val="20"/>
              </w:rPr>
            </w:pPr>
            <w:r>
              <w:rPr>
                <w:sz w:val="20"/>
              </w:rPr>
              <w:t>доброкачественные и злокачественные новообразования зрительного нерва (глиомы, невриномы</w:t>
            </w:r>
            <w:r>
              <w:rPr>
                <w:spacing w:val="-11"/>
                <w:sz w:val="20"/>
              </w:rPr>
              <w:t> </w:t>
            </w:r>
            <w:r>
              <w:rPr>
                <w:sz w:val="20"/>
              </w:rPr>
              <w:t>и</w:t>
            </w:r>
            <w:r>
              <w:rPr>
                <w:spacing w:val="-11"/>
                <w:sz w:val="20"/>
              </w:rPr>
              <w:t> </w:t>
            </w:r>
            <w:r>
              <w:rPr>
                <w:sz w:val="20"/>
              </w:rPr>
              <w:t>нейрофибромы,</w:t>
            </w:r>
            <w:r>
              <w:rPr>
                <w:spacing w:val="-10"/>
                <w:sz w:val="20"/>
              </w:rPr>
              <w:t> </w:t>
            </w:r>
            <w:r>
              <w:rPr>
                <w:sz w:val="20"/>
              </w:rPr>
              <w:t>в</w:t>
            </w:r>
            <w:r>
              <w:rPr>
                <w:spacing w:val="-11"/>
                <w:sz w:val="20"/>
              </w:rPr>
              <w:t> </w:t>
            </w:r>
            <w:r>
              <w:rPr>
                <w:sz w:val="20"/>
              </w:rPr>
              <w:t>том числе внутричерепные новообразования при нейрофиброматозе I - II типов).</w:t>
            </w:r>
          </w:p>
          <w:p>
            <w:pPr>
              <w:pStyle w:val="TableParagraph"/>
              <w:spacing w:before="6"/>
              <w:ind w:left="76"/>
              <w:rPr>
                <w:sz w:val="20"/>
              </w:rPr>
            </w:pPr>
            <w:r>
              <w:rPr>
                <w:sz w:val="20"/>
              </w:rPr>
              <w:t>Туберозный</w:t>
            </w:r>
            <w:r>
              <w:rPr>
                <w:spacing w:val="-9"/>
                <w:sz w:val="20"/>
              </w:rPr>
              <w:t> </w:t>
            </w:r>
            <w:r>
              <w:rPr>
                <w:sz w:val="20"/>
              </w:rPr>
              <w:t>склероз.</w:t>
            </w:r>
            <w:r>
              <w:rPr>
                <w:spacing w:val="-7"/>
                <w:sz w:val="20"/>
              </w:rPr>
              <w:t> </w:t>
            </w:r>
            <w:r>
              <w:rPr>
                <w:spacing w:val="-2"/>
                <w:sz w:val="20"/>
              </w:rPr>
              <w:t>Гамартоз</w:t>
            </w:r>
          </w:p>
        </w:tc>
        <w:tc>
          <w:tcPr>
            <w:tcW w:w="1541" w:type="dxa"/>
          </w:tcPr>
          <w:p>
            <w:pPr>
              <w:pStyle w:val="TableParagraph"/>
              <w:spacing w:line="249" w:lineRule="auto" w:before="120"/>
              <w:ind w:left="62"/>
              <w:rPr>
                <w:sz w:val="20"/>
              </w:rPr>
            </w:pPr>
            <w:r>
              <w:rPr>
                <w:spacing w:val="-2"/>
                <w:sz w:val="20"/>
              </w:rPr>
              <w:t>хирургическое лечение</w:t>
            </w: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r>
      <w:tr>
        <w:trPr>
          <w:trHeight w:val="1440" w:hRule="atLeast"/>
        </w:trPr>
        <w:tc>
          <w:tcPr>
            <w:tcW w:w="2900" w:type="dxa"/>
            <w:vMerge/>
            <w:tcBorders>
              <w:top w:val="nil"/>
            </w:tcBorders>
          </w:tcPr>
          <w:p>
            <w:pPr>
              <w:rPr>
                <w:sz w:val="2"/>
                <w:szCs w:val="2"/>
              </w:rPr>
            </w:pPr>
          </w:p>
        </w:tc>
        <w:tc>
          <w:tcPr>
            <w:tcW w:w="1959" w:type="dxa"/>
          </w:tcPr>
          <w:p>
            <w:pPr>
              <w:pStyle w:val="TableParagraph"/>
              <w:rPr>
                <w:sz w:val="18"/>
              </w:rPr>
            </w:pPr>
          </w:p>
        </w:tc>
        <w:tc>
          <w:tcPr>
            <w:tcW w:w="3170" w:type="dxa"/>
            <w:vMerge/>
            <w:tcBorders>
              <w:top w:val="nil"/>
            </w:tcBorders>
          </w:tcPr>
          <w:p>
            <w:pPr>
              <w:rPr>
                <w:sz w:val="2"/>
                <w:szCs w:val="2"/>
              </w:rPr>
            </w:pPr>
          </w:p>
        </w:tc>
        <w:tc>
          <w:tcPr>
            <w:tcW w:w="1541" w:type="dxa"/>
          </w:tcPr>
          <w:p>
            <w:pPr>
              <w:pStyle w:val="TableParagraph"/>
              <w:rPr>
                <w:sz w:val="18"/>
              </w:rPr>
            </w:pP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эндоскопической ассистенции</w:t>
            </w:r>
          </w:p>
        </w:tc>
      </w:tr>
      <w:tr>
        <w:trPr>
          <w:trHeight w:val="720" w:hRule="atLeast"/>
        </w:trPr>
        <w:tc>
          <w:tcPr>
            <w:tcW w:w="2900" w:type="dxa"/>
            <w:vMerge/>
            <w:tcBorders>
              <w:top w:val="nil"/>
            </w:tcBorders>
          </w:tcPr>
          <w:p>
            <w:pPr>
              <w:rPr>
                <w:sz w:val="2"/>
                <w:szCs w:val="2"/>
              </w:rPr>
            </w:pPr>
          </w:p>
        </w:tc>
        <w:tc>
          <w:tcPr>
            <w:tcW w:w="1959" w:type="dxa"/>
          </w:tcPr>
          <w:p>
            <w:pPr>
              <w:pStyle w:val="TableParagraph"/>
              <w:spacing w:line="249" w:lineRule="auto" w:before="120"/>
              <w:ind w:left="443" w:hanging="351"/>
              <w:rPr>
                <w:sz w:val="20"/>
              </w:rPr>
            </w:pPr>
            <w:r>
              <w:rPr>
                <w:sz w:val="20"/>
              </w:rPr>
              <w:t>C75.3,</w:t>
            </w:r>
            <w:r>
              <w:rPr>
                <w:spacing w:val="-13"/>
                <w:sz w:val="20"/>
              </w:rPr>
              <w:t> </w:t>
            </w:r>
            <w:r>
              <w:rPr>
                <w:sz w:val="20"/>
              </w:rPr>
              <w:t>D35.2</w:t>
            </w:r>
            <w:r>
              <w:rPr>
                <w:spacing w:val="-11"/>
                <w:sz w:val="20"/>
              </w:rPr>
              <w:t> </w:t>
            </w:r>
            <w:r>
              <w:rPr>
                <w:sz w:val="20"/>
              </w:rPr>
              <w:t>-</w:t>
            </w:r>
            <w:r>
              <w:rPr>
                <w:spacing w:val="-13"/>
                <w:sz w:val="20"/>
              </w:rPr>
              <w:t> </w:t>
            </w:r>
            <w:r>
              <w:rPr>
                <w:sz w:val="20"/>
              </w:rPr>
              <w:t>D35.4, D44.5, Q04.6</w:t>
            </w:r>
          </w:p>
        </w:tc>
        <w:tc>
          <w:tcPr>
            <w:tcW w:w="3170" w:type="dxa"/>
            <w:vMerge w:val="restart"/>
          </w:tcPr>
          <w:p>
            <w:pPr>
              <w:pStyle w:val="TableParagraph"/>
              <w:spacing w:line="249" w:lineRule="auto" w:before="120"/>
              <w:ind w:left="76" w:right="347"/>
              <w:rPr>
                <w:sz w:val="20"/>
              </w:rPr>
            </w:pPr>
            <w:r>
              <w:rPr>
                <w:sz w:val="20"/>
              </w:rPr>
              <w:t>аденомы гипофиза, </w:t>
            </w:r>
            <w:r>
              <w:rPr>
                <w:spacing w:val="-2"/>
                <w:sz w:val="20"/>
              </w:rPr>
              <w:t>краниофарингиомы, </w:t>
            </w:r>
            <w:r>
              <w:rPr>
                <w:sz w:val="20"/>
              </w:rPr>
              <w:t>злокачественные и </w:t>
            </w:r>
            <w:r>
              <w:rPr>
                <w:spacing w:val="-2"/>
                <w:sz w:val="20"/>
              </w:rPr>
              <w:t>доброкачественные </w:t>
            </w:r>
            <w:r>
              <w:rPr>
                <w:sz w:val="20"/>
              </w:rPr>
              <w:t>новообразования</w:t>
            </w:r>
            <w:r>
              <w:rPr>
                <w:spacing w:val="-13"/>
                <w:sz w:val="20"/>
              </w:rPr>
              <w:t> </w:t>
            </w:r>
            <w:r>
              <w:rPr>
                <w:sz w:val="20"/>
              </w:rPr>
              <w:t>шишковидной железы. Врожденные церебральные кисты</w:t>
            </w:r>
          </w:p>
        </w:tc>
        <w:tc>
          <w:tcPr>
            <w:tcW w:w="1541" w:type="dxa"/>
          </w:tcPr>
          <w:p>
            <w:pPr>
              <w:pStyle w:val="TableParagraph"/>
              <w:spacing w:line="249" w:lineRule="auto" w:before="120"/>
              <w:ind w:left="62"/>
              <w:rPr>
                <w:sz w:val="20"/>
              </w:rPr>
            </w:pPr>
            <w:r>
              <w:rPr>
                <w:spacing w:val="-2"/>
                <w:sz w:val="20"/>
              </w:rPr>
              <w:t>хирургическое лечение</w:t>
            </w: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r>
      <w:tr>
        <w:trPr>
          <w:trHeight w:val="1680" w:hRule="atLeast"/>
        </w:trPr>
        <w:tc>
          <w:tcPr>
            <w:tcW w:w="2900" w:type="dxa"/>
            <w:vMerge/>
            <w:tcBorders>
              <w:top w:val="nil"/>
            </w:tcBorders>
          </w:tcPr>
          <w:p>
            <w:pPr>
              <w:rPr>
                <w:sz w:val="2"/>
                <w:szCs w:val="2"/>
              </w:rPr>
            </w:pPr>
          </w:p>
        </w:tc>
        <w:tc>
          <w:tcPr>
            <w:tcW w:w="1959" w:type="dxa"/>
          </w:tcPr>
          <w:p>
            <w:pPr>
              <w:pStyle w:val="TableParagraph"/>
              <w:rPr>
                <w:sz w:val="18"/>
              </w:rPr>
            </w:pPr>
          </w:p>
        </w:tc>
        <w:tc>
          <w:tcPr>
            <w:tcW w:w="3170" w:type="dxa"/>
            <w:vMerge/>
            <w:tcBorders>
              <w:top w:val="nil"/>
            </w:tcBorders>
          </w:tcPr>
          <w:p>
            <w:pPr>
              <w:rPr>
                <w:sz w:val="2"/>
                <w:szCs w:val="2"/>
              </w:rPr>
            </w:pPr>
          </w:p>
        </w:tc>
        <w:tc>
          <w:tcPr>
            <w:tcW w:w="1541" w:type="dxa"/>
          </w:tcPr>
          <w:p>
            <w:pPr>
              <w:pStyle w:val="TableParagraph"/>
              <w:rPr>
                <w:sz w:val="18"/>
              </w:rPr>
            </w:pP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эндоскопической ассистенции</w:t>
            </w:r>
          </w:p>
        </w:tc>
      </w:tr>
      <w:tr>
        <w:trPr>
          <w:trHeight w:val="900" w:hRule="atLeast"/>
        </w:trPr>
        <w:tc>
          <w:tcPr>
            <w:tcW w:w="2900" w:type="dxa"/>
            <w:vMerge w:val="restart"/>
          </w:tcPr>
          <w:p>
            <w:pPr>
              <w:pStyle w:val="TableParagraph"/>
              <w:spacing w:line="249" w:lineRule="auto" w:before="120"/>
              <w:ind w:left="50" w:right="53"/>
              <w:rPr>
                <w:sz w:val="20"/>
              </w:rPr>
            </w:pPr>
            <w:r>
              <w:rPr>
                <w:spacing w:val="-2"/>
                <w:sz w:val="20"/>
              </w:rPr>
              <w:t>Микрохирургические, эндоскопические, </w:t>
            </w:r>
            <w:r>
              <w:rPr>
                <w:sz w:val="20"/>
              </w:rPr>
              <w:t>стереотаксические, а также </w:t>
            </w:r>
            <w:r>
              <w:rPr>
                <w:spacing w:val="-2"/>
                <w:sz w:val="20"/>
              </w:rPr>
              <w:t>комбинированные </w:t>
            </w:r>
            <w:r>
              <w:rPr>
                <w:sz w:val="20"/>
              </w:rPr>
              <w:t>вмешательства при различных новообразованиях и других объемных</w:t>
            </w:r>
            <w:r>
              <w:rPr>
                <w:spacing w:val="-13"/>
                <w:sz w:val="20"/>
              </w:rPr>
              <w:t> </w:t>
            </w:r>
            <w:r>
              <w:rPr>
                <w:sz w:val="20"/>
              </w:rPr>
              <w:t>процессах</w:t>
            </w:r>
            <w:r>
              <w:rPr>
                <w:spacing w:val="-12"/>
                <w:sz w:val="20"/>
              </w:rPr>
              <w:t> </w:t>
            </w:r>
            <w:r>
              <w:rPr>
                <w:sz w:val="20"/>
              </w:rPr>
              <w:t>основания</w:t>
            </w:r>
          </w:p>
          <w:p>
            <w:pPr>
              <w:pStyle w:val="TableParagraph"/>
              <w:spacing w:line="240" w:lineRule="exact"/>
              <w:ind w:left="50" w:right="53"/>
              <w:rPr>
                <w:sz w:val="20"/>
              </w:rPr>
            </w:pPr>
            <w:r>
              <w:rPr>
                <w:sz w:val="20"/>
              </w:rPr>
              <w:t>черепа и лицевого скелета, врастающих</w:t>
            </w:r>
            <w:r>
              <w:rPr>
                <w:spacing w:val="-13"/>
                <w:sz w:val="20"/>
              </w:rPr>
              <w:t> </w:t>
            </w:r>
            <w:r>
              <w:rPr>
                <w:sz w:val="20"/>
              </w:rPr>
              <w:t>в</w:t>
            </w:r>
            <w:r>
              <w:rPr>
                <w:spacing w:val="-12"/>
                <w:sz w:val="20"/>
              </w:rPr>
              <w:t> </w:t>
            </w:r>
            <w:r>
              <w:rPr>
                <w:sz w:val="20"/>
              </w:rPr>
              <w:t>полость</w:t>
            </w:r>
            <w:r>
              <w:rPr>
                <w:spacing w:val="-13"/>
                <w:sz w:val="20"/>
              </w:rPr>
              <w:t> </w:t>
            </w:r>
            <w:r>
              <w:rPr>
                <w:sz w:val="20"/>
              </w:rPr>
              <w:t>черепа</w:t>
            </w:r>
          </w:p>
        </w:tc>
        <w:tc>
          <w:tcPr>
            <w:tcW w:w="1959" w:type="dxa"/>
          </w:tcPr>
          <w:p>
            <w:pPr>
              <w:pStyle w:val="TableParagraph"/>
              <w:spacing w:before="120"/>
              <w:ind w:left="216" w:right="202"/>
              <w:jc w:val="center"/>
              <w:rPr>
                <w:sz w:val="20"/>
              </w:rPr>
            </w:pPr>
            <w:r>
              <w:rPr>
                <w:spacing w:val="-5"/>
                <w:sz w:val="20"/>
              </w:rPr>
              <w:t>C31</w:t>
            </w:r>
          </w:p>
        </w:tc>
        <w:tc>
          <w:tcPr>
            <w:tcW w:w="3170" w:type="dxa"/>
          </w:tcPr>
          <w:p>
            <w:pPr>
              <w:pStyle w:val="TableParagraph"/>
              <w:spacing w:line="249" w:lineRule="auto" w:before="120"/>
              <w:ind w:left="76" w:right="126"/>
              <w:rPr>
                <w:sz w:val="20"/>
              </w:rPr>
            </w:pPr>
            <w:r>
              <w:rPr>
                <w:sz w:val="20"/>
              </w:rPr>
              <w:t>злокачественные</w:t>
            </w:r>
            <w:r>
              <w:rPr>
                <w:spacing w:val="-13"/>
                <w:sz w:val="20"/>
              </w:rPr>
              <w:t> </w:t>
            </w:r>
            <w:r>
              <w:rPr>
                <w:sz w:val="20"/>
              </w:rPr>
              <w:t>новообразования придаточных пазух носа, прорастающие в полость черепа</w:t>
            </w:r>
          </w:p>
        </w:tc>
        <w:tc>
          <w:tcPr>
            <w:tcW w:w="1541" w:type="dxa"/>
          </w:tcPr>
          <w:p>
            <w:pPr>
              <w:pStyle w:val="TableParagraph"/>
              <w:spacing w:line="252" w:lineRule="auto" w:before="120"/>
              <w:ind w:left="62"/>
              <w:rPr>
                <w:sz w:val="20"/>
              </w:rPr>
            </w:pPr>
            <w:r>
              <w:rPr>
                <w:spacing w:val="-2"/>
                <w:sz w:val="20"/>
              </w:rPr>
              <w:t>хирургическое лечение</w:t>
            </w:r>
          </w:p>
        </w:tc>
        <w:tc>
          <w:tcPr>
            <w:tcW w:w="3604" w:type="dxa"/>
          </w:tcPr>
          <w:p>
            <w:pPr>
              <w:pStyle w:val="TableParagraph"/>
              <w:spacing w:line="249" w:lineRule="auto" w:before="120"/>
              <w:ind w:left="218" w:right="6"/>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r>
        <w:trPr>
          <w:trHeight w:val="599" w:hRule="atLeast"/>
        </w:trPr>
        <w:tc>
          <w:tcPr>
            <w:tcW w:w="2900" w:type="dxa"/>
            <w:vMerge/>
            <w:tcBorders>
              <w:top w:val="nil"/>
            </w:tcBorders>
          </w:tcPr>
          <w:p>
            <w:pPr>
              <w:rPr>
                <w:sz w:val="2"/>
                <w:szCs w:val="2"/>
              </w:rPr>
            </w:pPr>
          </w:p>
        </w:tc>
        <w:tc>
          <w:tcPr>
            <w:tcW w:w="1959" w:type="dxa"/>
          </w:tcPr>
          <w:p>
            <w:pPr>
              <w:pStyle w:val="TableParagraph"/>
              <w:rPr>
                <w:sz w:val="18"/>
              </w:rPr>
            </w:pPr>
          </w:p>
        </w:tc>
        <w:tc>
          <w:tcPr>
            <w:tcW w:w="3170" w:type="dxa"/>
          </w:tcPr>
          <w:p>
            <w:pPr>
              <w:pStyle w:val="TableParagraph"/>
              <w:rPr>
                <w:sz w:val="18"/>
              </w:rPr>
            </w:pPr>
          </w:p>
        </w:tc>
        <w:tc>
          <w:tcPr>
            <w:tcW w:w="1541" w:type="dxa"/>
          </w:tcPr>
          <w:p>
            <w:pPr>
              <w:pStyle w:val="TableParagraph"/>
              <w:rPr>
                <w:sz w:val="18"/>
              </w:rPr>
            </w:pPr>
          </w:p>
        </w:tc>
        <w:tc>
          <w:tcPr>
            <w:tcW w:w="3604" w:type="dxa"/>
          </w:tcPr>
          <w:p>
            <w:pPr>
              <w:pStyle w:val="TableParagraph"/>
              <w:spacing w:line="249" w:lineRule="auto" w:before="6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r>
      <w:tr>
        <w:trPr>
          <w:trHeight w:val="770" w:hRule="atLeast"/>
        </w:trPr>
        <w:tc>
          <w:tcPr>
            <w:tcW w:w="2900" w:type="dxa"/>
            <w:vMerge/>
            <w:tcBorders>
              <w:top w:val="nil"/>
            </w:tcBorders>
          </w:tcPr>
          <w:p>
            <w:pPr>
              <w:rPr>
                <w:sz w:val="2"/>
                <w:szCs w:val="2"/>
              </w:rPr>
            </w:pPr>
          </w:p>
        </w:tc>
        <w:tc>
          <w:tcPr>
            <w:tcW w:w="1959" w:type="dxa"/>
          </w:tcPr>
          <w:p>
            <w:pPr>
              <w:pStyle w:val="TableParagraph"/>
              <w:spacing w:before="60"/>
              <w:ind w:left="136"/>
              <w:rPr>
                <w:sz w:val="20"/>
              </w:rPr>
            </w:pPr>
            <w:r>
              <w:rPr>
                <w:sz w:val="20"/>
              </w:rPr>
              <w:t>C41.0,</w:t>
            </w:r>
            <w:r>
              <w:rPr>
                <w:spacing w:val="-5"/>
                <w:sz w:val="20"/>
              </w:rPr>
              <w:t> </w:t>
            </w:r>
            <w:r>
              <w:rPr>
                <w:sz w:val="20"/>
              </w:rPr>
              <w:t>C43.4,</w:t>
            </w:r>
            <w:r>
              <w:rPr>
                <w:spacing w:val="-5"/>
                <w:sz w:val="20"/>
              </w:rPr>
              <w:t> </w:t>
            </w:r>
            <w:r>
              <w:rPr>
                <w:spacing w:val="-2"/>
                <w:sz w:val="20"/>
              </w:rPr>
              <w:t>C44.4,</w:t>
            </w:r>
          </w:p>
          <w:p>
            <w:pPr>
              <w:pStyle w:val="TableParagraph"/>
              <w:spacing w:line="240" w:lineRule="atLeast"/>
              <w:ind w:left="443" w:hanging="308"/>
              <w:rPr>
                <w:sz w:val="20"/>
              </w:rPr>
            </w:pPr>
            <w:r>
              <w:rPr>
                <w:sz w:val="20"/>
              </w:rPr>
              <w:t>C79.4,</w:t>
            </w:r>
            <w:r>
              <w:rPr>
                <w:spacing w:val="-13"/>
                <w:sz w:val="20"/>
              </w:rPr>
              <w:t> </w:t>
            </w:r>
            <w:r>
              <w:rPr>
                <w:sz w:val="20"/>
              </w:rPr>
              <w:t>C79.5,</w:t>
            </w:r>
            <w:r>
              <w:rPr>
                <w:spacing w:val="-12"/>
                <w:sz w:val="20"/>
              </w:rPr>
              <w:t> </w:t>
            </w:r>
            <w:r>
              <w:rPr>
                <w:sz w:val="20"/>
              </w:rPr>
              <w:t>C49.0, D16.4, D48.0</w:t>
            </w:r>
          </w:p>
        </w:tc>
        <w:tc>
          <w:tcPr>
            <w:tcW w:w="3170" w:type="dxa"/>
          </w:tcPr>
          <w:p>
            <w:pPr>
              <w:pStyle w:val="TableParagraph"/>
              <w:spacing w:line="240" w:lineRule="atLeast" w:before="30"/>
              <w:ind w:left="76" w:right="131"/>
              <w:rPr>
                <w:sz w:val="20"/>
              </w:rPr>
            </w:pPr>
            <w:r>
              <w:rPr>
                <w:sz w:val="20"/>
              </w:rPr>
              <w:t>злокачественные (первичные и вторичные)</w:t>
            </w:r>
            <w:r>
              <w:rPr>
                <w:spacing w:val="-13"/>
                <w:sz w:val="20"/>
              </w:rPr>
              <w:t> </w:t>
            </w:r>
            <w:r>
              <w:rPr>
                <w:sz w:val="20"/>
              </w:rPr>
              <w:t>и</w:t>
            </w:r>
            <w:r>
              <w:rPr>
                <w:spacing w:val="-12"/>
                <w:sz w:val="20"/>
              </w:rPr>
              <w:t> </w:t>
            </w:r>
            <w:r>
              <w:rPr>
                <w:sz w:val="20"/>
              </w:rPr>
              <w:t>доброкачественные новообразования</w:t>
            </w:r>
            <w:r>
              <w:rPr>
                <w:spacing w:val="-9"/>
                <w:sz w:val="20"/>
              </w:rPr>
              <w:t> </w:t>
            </w:r>
            <w:r>
              <w:rPr>
                <w:sz w:val="20"/>
              </w:rPr>
              <w:t>костей</w:t>
            </w:r>
            <w:r>
              <w:rPr>
                <w:spacing w:val="-11"/>
                <w:sz w:val="20"/>
              </w:rPr>
              <w:t> </w:t>
            </w:r>
            <w:r>
              <w:rPr>
                <w:sz w:val="20"/>
              </w:rPr>
              <w:t>черепа</w:t>
            </w:r>
            <w:r>
              <w:rPr>
                <w:spacing w:val="-10"/>
                <w:sz w:val="20"/>
              </w:rPr>
              <w:t> и</w:t>
            </w:r>
          </w:p>
        </w:tc>
        <w:tc>
          <w:tcPr>
            <w:tcW w:w="1541" w:type="dxa"/>
          </w:tcPr>
          <w:p>
            <w:pPr>
              <w:pStyle w:val="TableParagraph"/>
              <w:spacing w:line="249" w:lineRule="auto" w:before="60"/>
              <w:ind w:left="62"/>
              <w:rPr>
                <w:sz w:val="20"/>
              </w:rPr>
            </w:pPr>
            <w:r>
              <w:rPr>
                <w:spacing w:val="-2"/>
                <w:sz w:val="20"/>
              </w:rPr>
              <w:t>хирургическое лечение</w:t>
            </w:r>
          </w:p>
        </w:tc>
        <w:tc>
          <w:tcPr>
            <w:tcW w:w="3604" w:type="dxa"/>
          </w:tcPr>
          <w:p>
            <w:pPr>
              <w:pStyle w:val="TableParagraph"/>
              <w:spacing w:line="240" w:lineRule="atLeast" w:before="30"/>
              <w:ind w:left="218" w:right="6"/>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1"/>
        <w:gridCol w:w="1949"/>
        <w:gridCol w:w="3176"/>
        <w:gridCol w:w="1542"/>
        <w:gridCol w:w="3603"/>
      </w:tblGrid>
      <w:tr>
        <w:trPr>
          <w:trHeight w:val="590" w:hRule="atLeast"/>
        </w:trPr>
        <w:tc>
          <w:tcPr>
            <w:tcW w:w="2901" w:type="dxa"/>
          </w:tcPr>
          <w:p>
            <w:pPr>
              <w:pStyle w:val="TableParagraph"/>
              <w:rPr>
                <w:sz w:val="18"/>
              </w:rPr>
            </w:pPr>
          </w:p>
        </w:tc>
        <w:tc>
          <w:tcPr>
            <w:tcW w:w="1949" w:type="dxa"/>
          </w:tcPr>
          <w:p>
            <w:pPr>
              <w:pStyle w:val="TableParagraph"/>
              <w:rPr>
                <w:sz w:val="18"/>
              </w:rPr>
            </w:pPr>
          </w:p>
        </w:tc>
        <w:tc>
          <w:tcPr>
            <w:tcW w:w="3176" w:type="dxa"/>
          </w:tcPr>
          <w:p>
            <w:pPr>
              <w:pStyle w:val="TableParagraph"/>
              <w:spacing w:line="249" w:lineRule="auto"/>
              <w:ind w:left="85" w:right="11"/>
              <w:rPr>
                <w:sz w:val="20"/>
              </w:rPr>
            </w:pPr>
            <w:r>
              <w:rPr>
                <w:sz w:val="20"/>
              </w:rPr>
              <w:t>лицевого</w:t>
            </w:r>
            <w:r>
              <w:rPr>
                <w:spacing w:val="-13"/>
                <w:sz w:val="20"/>
              </w:rPr>
              <w:t> </w:t>
            </w:r>
            <w:r>
              <w:rPr>
                <w:sz w:val="20"/>
              </w:rPr>
              <w:t>скелета,</w:t>
            </w:r>
            <w:r>
              <w:rPr>
                <w:spacing w:val="-12"/>
                <w:sz w:val="20"/>
              </w:rPr>
              <w:t> </w:t>
            </w:r>
            <w:r>
              <w:rPr>
                <w:sz w:val="20"/>
              </w:rPr>
              <w:t>прорастающие</w:t>
            </w:r>
            <w:r>
              <w:rPr>
                <w:spacing w:val="-13"/>
                <w:sz w:val="20"/>
              </w:rPr>
              <w:t> </w:t>
            </w:r>
            <w:r>
              <w:rPr>
                <w:sz w:val="20"/>
              </w:rPr>
              <w:t>в полость черепа</w:t>
            </w:r>
          </w:p>
        </w:tc>
        <w:tc>
          <w:tcPr>
            <w:tcW w:w="1542" w:type="dxa"/>
          </w:tcPr>
          <w:p>
            <w:pPr>
              <w:pStyle w:val="TableParagraph"/>
              <w:rPr>
                <w:sz w:val="18"/>
              </w:rPr>
            </w:pPr>
          </w:p>
        </w:tc>
        <w:tc>
          <w:tcPr>
            <w:tcW w:w="3603" w:type="dxa"/>
          </w:tcPr>
          <w:p>
            <w:pPr>
              <w:pStyle w:val="TableParagraph"/>
              <w:rPr>
                <w:sz w:val="18"/>
              </w:rPr>
            </w:pPr>
          </w:p>
        </w:tc>
      </w:tr>
      <w:tr>
        <w:trPr>
          <w:trHeight w:val="1440" w:hRule="atLeast"/>
        </w:trPr>
        <w:tc>
          <w:tcPr>
            <w:tcW w:w="2901" w:type="dxa"/>
          </w:tcPr>
          <w:p>
            <w:pPr>
              <w:pStyle w:val="TableParagraph"/>
              <w:rPr>
                <w:sz w:val="18"/>
              </w:rPr>
            </w:pPr>
          </w:p>
        </w:tc>
        <w:tc>
          <w:tcPr>
            <w:tcW w:w="1949" w:type="dxa"/>
          </w:tcPr>
          <w:p>
            <w:pPr>
              <w:pStyle w:val="TableParagraph"/>
              <w:spacing w:line="249" w:lineRule="auto" w:before="120"/>
              <w:ind w:left="723" w:hanging="615"/>
              <w:rPr>
                <w:sz w:val="20"/>
              </w:rPr>
            </w:pPr>
            <w:r>
              <w:rPr>
                <w:sz w:val="20"/>
              </w:rPr>
              <w:t>C96.6,</w:t>
            </w:r>
            <w:r>
              <w:rPr>
                <w:spacing w:val="-13"/>
                <w:sz w:val="20"/>
              </w:rPr>
              <w:t> </w:t>
            </w:r>
            <w:r>
              <w:rPr>
                <w:sz w:val="20"/>
              </w:rPr>
              <w:t>D76.3,</w:t>
            </w:r>
            <w:r>
              <w:rPr>
                <w:spacing w:val="-12"/>
                <w:sz w:val="20"/>
              </w:rPr>
              <w:t> </w:t>
            </w:r>
            <w:r>
              <w:rPr>
                <w:sz w:val="20"/>
              </w:rPr>
              <w:t>M85.4, </w:t>
            </w:r>
            <w:r>
              <w:rPr>
                <w:spacing w:val="-2"/>
                <w:sz w:val="20"/>
              </w:rPr>
              <w:t>M85.5</w:t>
            </w:r>
          </w:p>
        </w:tc>
        <w:tc>
          <w:tcPr>
            <w:tcW w:w="3176" w:type="dxa"/>
          </w:tcPr>
          <w:p>
            <w:pPr>
              <w:pStyle w:val="TableParagraph"/>
              <w:spacing w:line="249" w:lineRule="auto" w:before="120"/>
              <w:ind w:left="85" w:right="11"/>
              <w:rPr>
                <w:sz w:val="20"/>
              </w:rPr>
            </w:pPr>
            <w:r>
              <w:rPr>
                <w:sz w:val="20"/>
              </w:rPr>
              <w:t>эозинофильная гранулема кости, </w:t>
            </w:r>
            <w:r>
              <w:rPr>
                <w:spacing w:val="-2"/>
                <w:sz w:val="20"/>
              </w:rPr>
              <w:t>ксантогранулема, </w:t>
            </w:r>
            <w:r>
              <w:rPr>
                <w:sz w:val="20"/>
              </w:rPr>
              <w:t>аневризматическая</w:t>
            </w:r>
            <w:r>
              <w:rPr>
                <w:spacing w:val="-13"/>
                <w:sz w:val="20"/>
              </w:rPr>
              <w:t> </w:t>
            </w:r>
            <w:r>
              <w:rPr>
                <w:sz w:val="20"/>
              </w:rPr>
              <w:t>костная</w:t>
            </w:r>
            <w:r>
              <w:rPr>
                <w:spacing w:val="-12"/>
                <w:sz w:val="20"/>
              </w:rPr>
              <w:t> </w:t>
            </w:r>
            <w:r>
              <w:rPr>
                <w:sz w:val="20"/>
              </w:rPr>
              <w:t>киста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44"/>
              <w:rPr>
                <w:sz w:val="20"/>
              </w:rPr>
            </w:pPr>
            <w:r>
              <w:rPr>
                <w:sz w:val="20"/>
              </w:rPr>
              <w:t>эндоскопическое</w:t>
            </w:r>
            <w:r>
              <w:rPr>
                <w:spacing w:val="-13"/>
                <w:sz w:val="20"/>
              </w:rPr>
              <w:t> </w:t>
            </w:r>
            <w:r>
              <w:rPr>
                <w:sz w:val="20"/>
              </w:rPr>
              <w:t>удаление</w:t>
            </w:r>
            <w:r>
              <w:rPr>
                <w:spacing w:val="-12"/>
                <w:sz w:val="20"/>
              </w:rPr>
              <w:t> </w:t>
            </w:r>
            <w:r>
              <w:rPr>
                <w:sz w:val="20"/>
              </w:rPr>
              <w:t>опухоли</w:t>
            </w:r>
            <w:r>
              <w:rPr>
                <w:spacing w:val="-13"/>
                <w:sz w:val="20"/>
              </w:rPr>
              <w:t> </w:t>
            </w:r>
            <w:r>
              <w:rPr>
                <w:sz w:val="20"/>
              </w:rPr>
              <w:t>с одномоментным пластическим закрытием хирургического дефекта при</w:t>
            </w:r>
            <w:r>
              <w:rPr>
                <w:spacing w:val="-8"/>
                <w:sz w:val="20"/>
              </w:rPr>
              <w:t> </w:t>
            </w:r>
            <w:r>
              <w:rPr>
                <w:sz w:val="20"/>
              </w:rPr>
              <w:t>помощи</w:t>
            </w:r>
            <w:r>
              <w:rPr>
                <w:spacing w:val="-8"/>
                <w:sz w:val="20"/>
              </w:rPr>
              <w:t> </w:t>
            </w:r>
            <w:r>
              <w:rPr>
                <w:sz w:val="20"/>
              </w:rPr>
              <w:t>формируемых</w:t>
            </w:r>
            <w:r>
              <w:rPr>
                <w:spacing w:val="-5"/>
                <w:sz w:val="20"/>
              </w:rPr>
              <w:t> </w:t>
            </w:r>
            <w:r>
              <w:rPr>
                <w:sz w:val="20"/>
              </w:rPr>
              <w:t>ауто-</w:t>
            </w:r>
            <w:r>
              <w:rPr>
                <w:spacing w:val="-8"/>
                <w:sz w:val="20"/>
              </w:rPr>
              <w:t> </w:t>
            </w:r>
            <w:r>
              <w:rPr>
                <w:sz w:val="20"/>
              </w:rPr>
              <w:t>или </w:t>
            </w:r>
            <w:r>
              <w:rPr>
                <w:spacing w:val="-2"/>
                <w:sz w:val="20"/>
              </w:rPr>
              <w:t>аллотрансплантатов</w:t>
            </w:r>
          </w:p>
        </w:tc>
      </w:tr>
      <w:tr>
        <w:trPr>
          <w:trHeight w:val="960" w:hRule="atLeast"/>
        </w:trPr>
        <w:tc>
          <w:tcPr>
            <w:tcW w:w="2901" w:type="dxa"/>
          </w:tcPr>
          <w:p>
            <w:pPr>
              <w:pStyle w:val="TableParagraph"/>
              <w:rPr>
                <w:sz w:val="18"/>
              </w:rPr>
            </w:pPr>
          </w:p>
        </w:tc>
        <w:tc>
          <w:tcPr>
            <w:tcW w:w="1949" w:type="dxa"/>
          </w:tcPr>
          <w:p>
            <w:pPr>
              <w:pStyle w:val="TableParagraph"/>
              <w:rPr>
                <w:sz w:val="18"/>
              </w:rPr>
            </w:pPr>
          </w:p>
        </w:tc>
        <w:tc>
          <w:tcPr>
            <w:tcW w:w="3176" w:type="dxa"/>
          </w:tcPr>
          <w:p>
            <w:pPr>
              <w:pStyle w:val="TableParagraph"/>
              <w:rPr>
                <w:sz w:val="18"/>
              </w:rPr>
            </w:pPr>
          </w:p>
        </w:tc>
        <w:tc>
          <w:tcPr>
            <w:tcW w:w="1542" w:type="dxa"/>
          </w:tcPr>
          <w:p>
            <w:pPr>
              <w:pStyle w:val="TableParagraph"/>
              <w:rPr>
                <w:sz w:val="18"/>
              </w:rPr>
            </w:pPr>
          </w:p>
        </w:tc>
        <w:tc>
          <w:tcPr>
            <w:tcW w:w="3603" w:type="dxa"/>
          </w:tcPr>
          <w:p>
            <w:pPr>
              <w:pStyle w:val="TableParagraph"/>
              <w:spacing w:line="249" w:lineRule="auto" w:before="120"/>
              <w:ind w:left="220" w:right="44"/>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r>
        <w:trPr>
          <w:trHeight w:val="1200" w:hRule="atLeast"/>
        </w:trPr>
        <w:tc>
          <w:tcPr>
            <w:tcW w:w="2901" w:type="dxa"/>
          </w:tcPr>
          <w:p>
            <w:pPr>
              <w:pStyle w:val="TableParagraph"/>
              <w:rPr>
                <w:sz w:val="18"/>
              </w:rPr>
            </w:pPr>
          </w:p>
        </w:tc>
        <w:tc>
          <w:tcPr>
            <w:tcW w:w="1949" w:type="dxa"/>
          </w:tcPr>
          <w:p>
            <w:pPr>
              <w:pStyle w:val="TableParagraph"/>
              <w:spacing w:before="120"/>
              <w:ind w:left="137" w:right="116"/>
              <w:jc w:val="center"/>
              <w:rPr>
                <w:sz w:val="20"/>
              </w:rPr>
            </w:pPr>
            <w:r>
              <w:rPr>
                <w:sz w:val="20"/>
              </w:rPr>
              <w:t>D10.6,</w:t>
            </w:r>
            <w:r>
              <w:rPr>
                <w:spacing w:val="-4"/>
                <w:sz w:val="20"/>
              </w:rPr>
              <w:t> </w:t>
            </w:r>
            <w:r>
              <w:rPr>
                <w:sz w:val="20"/>
              </w:rPr>
              <w:t>D21.0,</w:t>
            </w:r>
            <w:r>
              <w:rPr>
                <w:spacing w:val="-5"/>
                <w:sz w:val="20"/>
              </w:rPr>
              <w:t> </w:t>
            </w:r>
            <w:r>
              <w:rPr>
                <w:spacing w:val="-4"/>
                <w:sz w:val="20"/>
              </w:rPr>
              <w:t>D10.9</w:t>
            </w:r>
          </w:p>
        </w:tc>
        <w:tc>
          <w:tcPr>
            <w:tcW w:w="3176" w:type="dxa"/>
          </w:tcPr>
          <w:p>
            <w:pPr>
              <w:pStyle w:val="TableParagraph"/>
              <w:spacing w:line="249" w:lineRule="auto" w:before="120"/>
              <w:ind w:left="85" w:right="11"/>
              <w:rPr>
                <w:sz w:val="20"/>
              </w:rPr>
            </w:pPr>
            <w:r>
              <w:rPr>
                <w:spacing w:val="-2"/>
                <w:sz w:val="20"/>
              </w:rPr>
              <w:t>доброкачественные </w:t>
            </w:r>
            <w:r>
              <w:rPr>
                <w:sz w:val="20"/>
              </w:rPr>
              <w:t>новообразования носоглотки и мягких</w:t>
            </w:r>
            <w:r>
              <w:rPr>
                <w:spacing w:val="-10"/>
                <w:sz w:val="20"/>
              </w:rPr>
              <w:t> </w:t>
            </w:r>
            <w:r>
              <w:rPr>
                <w:sz w:val="20"/>
              </w:rPr>
              <w:t>тканей</w:t>
            </w:r>
            <w:r>
              <w:rPr>
                <w:spacing w:val="-10"/>
                <w:sz w:val="20"/>
              </w:rPr>
              <w:t> </w:t>
            </w:r>
            <w:r>
              <w:rPr>
                <w:sz w:val="20"/>
              </w:rPr>
              <w:t>головы,</w:t>
            </w:r>
            <w:r>
              <w:rPr>
                <w:spacing w:val="-9"/>
                <w:sz w:val="20"/>
              </w:rPr>
              <w:t> </w:t>
            </w:r>
            <w:r>
              <w:rPr>
                <w:sz w:val="20"/>
              </w:rPr>
              <w:t>лица</w:t>
            </w:r>
            <w:r>
              <w:rPr>
                <w:spacing w:val="-6"/>
                <w:sz w:val="20"/>
              </w:rPr>
              <w:t> </w:t>
            </w:r>
            <w:r>
              <w:rPr>
                <w:sz w:val="20"/>
              </w:rPr>
              <w:t>и</w:t>
            </w:r>
            <w:r>
              <w:rPr>
                <w:spacing w:val="-10"/>
                <w:sz w:val="20"/>
              </w:rPr>
              <w:t> </w:t>
            </w:r>
            <w:r>
              <w:rPr>
                <w:sz w:val="20"/>
              </w:rPr>
              <w:t>шеи, прорастающие в полость черепа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44"/>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r>
        <w:trPr>
          <w:trHeight w:val="2880" w:hRule="atLeast"/>
        </w:trPr>
        <w:tc>
          <w:tcPr>
            <w:tcW w:w="2901" w:type="dxa"/>
          </w:tcPr>
          <w:p>
            <w:pPr>
              <w:pStyle w:val="TableParagraph"/>
              <w:spacing w:line="249" w:lineRule="auto" w:before="120"/>
              <w:ind w:left="50" w:right="72"/>
              <w:rPr>
                <w:sz w:val="20"/>
              </w:rPr>
            </w:pPr>
            <w:r>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w:t>
            </w:r>
            <w:r>
              <w:rPr>
                <w:spacing w:val="-13"/>
                <w:sz w:val="20"/>
              </w:rPr>
              <w:t> </w:t>
            </w:r>
            <w:r>
              <w:rPr>
                <w:sz w:val="20"/>
              </w:rPr>
              <w:t>оболочки,</w:t>
            </w:r>
            <w:r>
              <w:rPr>
                <w:spacing w:val="-12"/>
                <w:sz w:val="20"/>
              </w:rPr>
              <w:t> </w:t>
            </w:r>
            <w:r>
              <w:rPr>
                <w:sz w:val="20"/>
              </w:rPr>
              <w:t>корешков</w:t>
            </w:r>
            <w:r>
              <w:rPr>
                <w:spacing w:val="-13"/>
                <w:sz w:val="20"/>
              </w:rPr>
              <w:t> </w:t>
            </w:r>
            <w:r>
              <w:rPr>
                <w:sz w:val="20"/>
              </w:rPr>
              <w:t>и спинномозговых нервов</w:t>
            </w:r>
          </w:p>
        </w:tc>
        <w:tc>
          <w:tcPr>
            <w:tcW w:w="1949" w:type="dxa"/>
          </w:tcPr>
          <w:p>
            <w:pPr>
              <w:pStyle w:val="TableParagraph"/>
              <w:spacing w:before="120"/>
              <w:ind w:left="135"/>
              <w:rPr>
                <w:sz w:val="20"/>
              </w:rPr>
            </w:pPr>
            <w:r>
              <w:rPr>
                <w:sz w:val="20"/>
              </w:rPr>
              <w:t>C41.2,</w:t>
            </w:r>
            <w:r>
              <w:rPr>
                <w:spacing w:val="-5"/>
                <w:sz w:val="20"/>
              </w:rPr>
              <w:t> </w:t>
            </w:r>
            <w:r>
              <w:rPr>
                <w:sz w:val="20"/>
              </w:rPr>
              <w:t>C41.4,</w:t>
            </w:r>
            <w:r>
              <w:rPr>
                <w:spacing w:val="-5"/>
                <w:sz w:val="20"/>
              </w:rPr>
              <w:t> </w:t>
            </w:r>
            <w:r>
              <w:rPr>
                <w:spacing w:val="-2"/>
                <w:sz w:val="20"/>
              </w:rPr>
              <w:t>C70.1,</w:t>
            </w:r>
          </w:p>
          <w:p>
            <w:pPr>
              <w:pStyle w:val="TableParagraph"/>
              <w:spacing w:before="10"/>
              <w:ind w:left="135"/>
              <w:rPr>
                <w:sz w:val="20"/>
              </w:rPr>
            </w:pPr>
            <w:r>
              <w:rPr>
                <w:sz w:val="20"/>
              </w:rPr>
              <w:t>C72.0,</w:t>
            </w:r>
            <w:r>
              <w:rPr>
                <w:spacing w:val="-5"/>
                <w:sz w:val="20"/>
              </w:rPr>
              <w:t> </w:t>
            </w:r>
            <w:r>
              <w:rPr>
                <w:sz w:val="20"/>
              </w:rPr>
              <w:t>C72.1,</w:t>
            </w:r>
            <w:r>
              <w:rPr>
                <w:spacing w:val="-5"/>
                <w:sz w:val="20"/>
              </w:rPr>
              <w:t> </w:t>
            </w:r>
            <w:r>
              <w:rPr>
                <w:spacing w:val="-2"/>
                <w:sz w:val="20"/>
              </w:rPr>
              <w:t>C72.8,</w:t>
            </w:r>
          </w:p>
          <w:p>
            <w:pPr>
              <w:pStyle w:val="TableParagraph"/>
              <w:spacing w:before="10"/>
              <w:ind w:left="135"/>
              <w:rPr>
                <w:sz w:val="20"/>
              </w:rPr>
            </w:pPr>
            <w:r>
              <w:rPr>
                <w:sz w:val="20"/>
              </w:rPr>
              <w:t>C79.4,</w:t>
            </w:r>
            <w:r>
              <w:rPr>
                <w:spacing w:val="-5"/>
                <w:sz w:val="20"/>
              </w:rPr>
              <w:t> </w:t>
            </w:r>
            <w:r>
              <w:rPr>
                <w:sz w:val="20"/>
              </w:rPr>
              <w:t>C79.5,</w:t>
            </w:r>
            <w:r>
              <w:rPr>
                <w:spacing w:val="-5"/>
                <w:sz w:val="20"/>
              </w:rPr>
              <w:t> </w:t>
            </w:r>
            <w:r>
              <w:rPr>
                <w:spacing w:val="-2"/>
                <w:sz w:val="20"/>
              </w:rPr>
              <w:t>C90.0,</w:t>
            </w:r>
          </w:p>
          <w:p>
            <w:pPr>
              <w:pStyle w:val="TableParagraph"/>
              <w:spacing w:before="10"/>
              <w:ind w:left="122"/>
              <w:rPr>
                <w:sz w:val="20"/>
              </w:rPr>
            </w:pPr>
            <w:r>
              <w:rPr>
                <w:sz w:val="20"/>
              </w:rPr>
              <w:t>C90.2,</w:t>
            </w:r>
            <w:r>
              <w:rPr>
                <w:spacing w:val="-5"/>
                <w:sz w:val="20"/>
              </w:rPr>
              <w:t> </w:t>
            </w:r>
            <w:r>
              <w:rPr>
                <w:sz w:val="20"/>
              </w:rPr>
              <w:t>D48.0,</w:t>
            </w:r>
            <w:r>
              <w:rPr>
                <w:spacing w:val="-4"/>
                <w:sz w:val="20"/>
              </w:rPr>
              <w:t> </w:t>
            </w:r>
            <w:r>
              <w:rPr>
                <w:spacing w:val="-2"/>
                <w:sz w:val="20"/>
              </w:rPr>
              <w:t>D16.6,</w:t>
            </w:r>
          </w:p>
          <w:p>
            <w:pPr>
              <w:pStyle w:val="TableParagraph"/>
              <w:spacing w:before="10"/>
              <w:ind w:left="118"/>
              <w:rPr>
                <w:sz w:val="20"/>
              </w:rPr>
            </w:pPr>
            <w:r>
              <w:rPr>
                <w:sz w:val="20"/>
              </w:rPr>
              <w:t>D16.8,</w:t>
            </w:r>
            <w:r>
              <w:rPr>
                <w:spacing w:val="-4"/>
                <w:sz w:val="20"/>
              </w:rPr>
              <w:t> </w:t>
            </w:r>
            <w:r>
              <w:rPr>
                <w:sz w:val="20"/>
              </w:rPr>
              <w:t>D18.0,</w:t>
            </w:r>
            <w:r>
              <w:rPr>
                <w:spacing w:val="-5"/>
                <w:sz w:val="20"/>
              </w:rPr>
              <w:t> </w:t>
            </w:r>
            <w:r>
              <w:rPr>
                <w:spacing w:val="-2"/>
                <w:sz w:val="20"/>
              </w:rPr>
              <w:t>D32.1,</w:t>
            </w:r>
          </w:p>
          <w:p>
            <w:pPr>
              <w:pStyle w:val="TableParagraph"/>
              <w:spacing w:line="249" w:lineRule="auto" w:before="10"/>
              <w:ind w:left="127" w:hanging="10"/>
              <w:rPr>
                <w:sz w:val="20"/>
              </w:rPr>
            </w:pPr>
            <w:r>
              <w:rPr>
                <w:sz w:val="20"/>
              </w:rPr>
              <w:t>D33.4,</w:t>
            </w:r>
            <w:r>
              <w:rPr>
                <w:spacing w:val="-13"/>
                <w:sz w:val="20"/>
              </w:rPr>
              <w:t> </w:t>
            </w:r>
            <w:r>
              <w:rPr>
                <w:sz w:val="20"/>
              </w:rPr>
              <w:t>D33.7,</w:t>
            </w:r>
            <w:r>
              <w:rPr>
                <w:spacing w:val="-12"/>
                <w:sz w:val="20"/>
              </w:rPr>
              <w:t> </w:t>
            </w:r>
            <w:r>
              <w:rPr>
                <w:sz w:val="20"/>
              </w:rPr>
              <w:t>D36.1, D43.4,</w:t>
            </w:r>
            <w:r>
              <w:rPr>
                <w:spacing w:val="-4"/>
                <w:sz w:val="20"/>
              </w:rPr>
              <w:t> </w:t>
            </w:r>
            <w:r>
              <w:rPr>
                <w:sz w:val="20"/>
              </w:rPr>
              <w:t>Q06.8,</w:t>
            </w:r>
            <w:r>
              <w:rPr>
                <w:spacing w:val="-5"/>
                <w:sz w:val="20"/>
              </w:rPr>
              <w:t> </w:t>
            </w:r>
            <w:r>
              <w:rPr>
                <w:spacing w:val="-4"/>
                <w:sz w:val="20"/>
              </w:rPr>
              <w:t>M85.5</w:t>
            </w:r>
          </w:p>
        </w:tc>
        <w:tc>
          <w:tcPr>
            <w:tcW w:w="3176" w:type="dxa"/>
          </w:tcPr>
          <w:p>
            <w:pPr>
              <w:pStyle w:val="TableParagraph"/>
              <w:spacing w:line="249" w:lineRule="auto" w:before="120"/>
              <w:ind w:left="85" w:right="62"/>
              <w:rPr>
                <w:sz w:val="20"/>
              </w:rPr>
            </w:pPr>
            <w:r>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w:t>
            </w:r>
            <w:r>
              <w:rPr>
                <w:spacing w:val="-13"/>
                <w:sz w:val="20"/>
              </w:rPr>
              <w:t> </w:t>
            </w:r>
            <w:r>
              <w:rPr>
                <w:sz w:val="20"/>
              </w:rPr>
              <w:t>нервов,</w:t>
            </w:r>
            <w:r>
              <w:rPr>
                <w:spacing w:val="-12"/>
                <w:sz w:val="20"/>
              </w:rPr>
              <w:t> </w:t>
            </w:r>
            <w:r>
              <w:rPr>
                <w:sz w:val="20"/>
              </w:rPr>
              <w:t>дермоиды (липомы) спинного мозга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753"/>
              <w:rPr>
                <w:sz w:val="20"/>
              </w:rPr>
            </w:pPr>
            <w:r>
              <w:rPr>
                <w:sz w:val="20"/>
              </w:rPr>
              <w:t>микрохирургическое</w:t>
            </w:r>
            <w:r>
              <w:rPr>
                <w:spacing w:val="-13"/>
                <w:sz w:val="20"/>
              </w:rPr>
              <w:t> </w:t>
            </w:r>
            <w:r>
              <w:rPr>
                <w:sz w:val="20"/>
              </w:rPr>
              <w:t>удаление </w:t>
            </w:r>
            <w:r>
              <w:rPr>
                <w:spacing w:val="-2"/>
                <w:sz w:val="20"/>
              </w:rPr>
              <w:t>опухоли</w:t>
            </w:r>
          </w:p>
        </w:tc>
      </w:tr>
      <w:tr>
        <w:trPr>
          <w:trHeight w:val="830" w:hRule="atLeast"/>
        </w:trPr>
        <w:tc>
          <w:tcPr>
            <w:tcW w:w="2901" w:type="dxa"/>
          </w:tcPr>
          <w:p>
            <w:pPr>
              <w:pStyle w:val="TableParagraph"/>
              <w:spacing w:line="240" w:lineRule="atLeast" w:before="90"/>
              <w:ind w:left="50" w:right="72"/>
              <w:rPr>
                <w:sz w:val="20"/>
              </w:rPr>
            </w:pPr>
            <w:r>
              <w:rPr>
                <w:spacing w:val="-2"/>
                <w:sz w:val="20"/>
              </w:rPr>
              <w:t>Микрохирургические </w:t>
            </w:r>
            <w:r>
              <w:rPr>
                <w:sz w:val="20"/>
              </w:rPr>
              <w:t>вмешательства</w:t>
            </w:r>
            <w:r>
              <w:rPr>
                <w:spacing w:val="-10"/>
                <w:sz w:val="20"/>
              </w:rPr>
              <w:t> </w:t>
            </w:r>
            <w:r>
              <w:rPr>
                <w:sz w:val="20"/>
              </w:rPr>
              <w:t>при</w:t>
            </w:r>
            <w:r>
              <w:rPr>
                <w:spacing w:val="-10"/>
                <w:sz w:val="20"/>
              </w:rPr>
              <w:t> </w:t>
            </w:r>
            <w:r>
              <w:rPr>
                <w:sz w:val="20"/>
              </w:rPr>
              <w:t>патологии сосудов</w:t>
            </w:r>
            <w:r>
              <w:rPr>
                <w:spacing w:val="-7"/>
                <w:sz w:val="20"/>
              </w:rPr>
              <w:t> </w:t>
            </w:r>
            <w:r>
              <w:rPr>
                <w:sz w:val="20"/>
              </w:rPr>
              <w:t>головного</w:t>
            </w:r>
            <w:r>
              <w:rPr>
                <w:spacing w:val="-5"/>
                <w:sz w:val="20"/>
              </w:rPr>
              <w:t> </w:t>
            </w:r>
            <w:r>
              <w:rPr>
                <w:sz w:val="20"/>
              </w:rPr>
              <w:t>и</w:t>
            </w:r>
            <w:r>
              <w:rPr>
                <w:spacing w:val="-7"/>
                <w:sz w:val="20"/>
              </w:rPr>
              <w:t> </w:t>
            </w:r>
            <w:r>
              <w:rPr>
                <w:spacing w:val="-2"/>
                <w:sz w:val="20"/>
              </w:rPr>
              <w:t>спинного</w:t>
            </w:r>
          </w:p>
        </w:tc>
        <w:tc>
          <w:tcPr>
            <w:tcW w:w="1949" w:type="dxa"/>
          </w:tcPr>
          <w:p>
            <w:pPr>
              <w:pStyle w:val="TableParagraph"/>
              <w:spacing w:before="120"/>
              <w:ind w:left="137" w:right="111"/>
              <w:jc w:val="center"/>
              <w:rPr>
                <w:sz w:val="20"/>
              </w:rPr>
            </w:pPr>
            <w:r>
              <w:rPr>
                <w:spacing w:val="-4"/>
                <w:sz w:val="20"/>
              </w:rPr>
              <w:t>Q28.2</w:t>
            </w:r>
          </w:p>
        </w:tc>
        <w:tc>
          <w:tcPr>
            <w:tcW w:w="3176" w:type="dxa"/>
          </w:tcPr>
          <w:p>
            <w:pPr>
              <w:pStyle w:val="TableParagraph"/>
              <w:spacing w:line="249" w:lineRule="auto" w:before="120"/>
              <w:ind w:left="85" w:right="347"/>
              <w:rPr>
                <w:sz w:val="20"/>
              </w:rPr>
            </w:pPr>
            <w:r>
              <w:rPr>
                <w:sz w:val="20"/>
              </w:rPr>
              <w:t>артериовенозная</w:t>
            </w:r>
            <w:r>
              <w:rPr>
                <w:spacing w:val="-13"/>
                <w:sz w:val="20"/>
              </w:rPr>
              <w:t> </w:t>
            </w:r>
            <w:r>
              <w:rPr>
                <w:sz w:val="20"/>
              </w:rPr>
              <w:t>мальформация головного мозга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1061"/>
              <w:rPr>
                <w:sz w:val="20"/>
              </w:rPr>
            </w:pPr>
            <w:r>
              <w:rPr>
                <w:sz w:val="20"/>
              </w:rPr>
              <w:t>удаление</w:t>
            </w:r>
            <w:r>
              <w:rPr>
                <w:spacing w:val="-13"/>
                <w:sz w:val="20"/>
              </w:rPr>
              <w:t> </w:t>
            </w:r>
            <w:r>
              <w:rPr>
                <w:sz w:val="20"/>
              </w:rPr>
              <w:t>артериовенозных </w:t>
            </w:r>
            <w:r>
              <w:rPr>
                <w:spacing w:val="-2"/>
                <w:sz w:val="20"/>
              </w:rPr>
              <w:t>мальформаций</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3"/>
        <w:gridCol w:w="1966"/>
        <w:gridCol w:w="3115"/>
        <w:gridCol w:w="1587"/>
        <w:gridCol w:w="3869"/>
        <w:gridCol w:w="1015"/>
      </w:tblGrid>
      <w:tr>
        <w:trPr>
          <w:trHeight w:val="470" w:hRule="atLeast"/>
        </w:trPr>
        <w:tc>
          <w:tcPr>
            <w:tcW w:w="472" w:type="dxa"/>
          </w:tcPr>
          <w:p>
            <w:pPr>
              <w:pStyle w:val="TableParagraph"/>
              <w:rPr>
                <w:sz w:val="18"/>
              </w:rPr>
            </w:pPr>
          </w:p>
        </w:tc>
        <w:tc>
          <w:tcPr>
            <w:tcW w:w="3023" w:type="dxa"/>
          </w:tcPr>
          <w:p>
            <w:pPr>
              <w:pStyle w:val="TableParagraph"/>
              <w:spacing w:line="221" w:lineRule="exact"/>
              <w:ind w:left="168"/>
              <w:rPr>
                <w:sz w:val="20"/>
              </w:rPr>
            </w:pPr>
            <w:r>
              <w:rPr>
                <w:sz w:val="20"/>
              </w:rPr>
              <w:t>мозга,</w:t>
            </w:r>
            <w:r>
              <w:rPr>
                <w:spacing w:val="-11"/>
                <w:sz w:val="20"/>
              </w:rPr>
              <w:t> </w:t>
            </w:r>
            <w:r>
              <w:rPr>
                <w:sz w:val="20"/>
              </w:rPr>
              <w:t>внутримозговых</w:t>
            </w:r>
            <w:r>
              <w:rPr>
                <w:spacing w:val="-11"/>
                <w:sz w:val="20"/>
              </w:rPr>
              <w:t> </w:t>
            </w:r>
            <w:r>
              <w:rPr>
                <w:spacing w:val="-10"/>
                <w:sz w:val="20"/>
              </w:rPr>
              <w:t>и</w:t>
            </w:r>
          </w:p>
          <w:p>
            <w:pPr>
              <w:pStyle w:val="TableParagraph"/>
              <w:spacing w:line="220" w:lineRule="exact" w:before="10"/>
              <w:ind w:left="168"/>
              <w:rPr>
                <w:sz w:val="20"/>
              </w:rPr>
            </w:pPr>
            <w:r>
              <w:rPr>
                <w:w w:val="95"/>
                <w:sz w:val="20"/>
              </w:rPr>
              <w:t>внутрижелудочковых</w:t>
            </w:r>
            <w:r>
              <w:rPr>
                <w:spacing w:val="69"/>
                <w:sz w:val="20"/>
              </w:rPr>
              <w:t> </w:t>
            </w:r>
            <w:r>
              <w:rPr>
                <w:spacing w:val="-2"/>
                <w:w w:val="95"/>
                <w:sz w:val="20"/>
              </w:rPr>
              <w:t>гематомах</w:t>
            </w:r>
          </w:p>
        </w:tc>
        <w:tc>
          <w:tcPr>
            <w:tcW w:w="1966" w:type="dxa"/>
          </w:tcPr>
          <w:p>
            <w:pPr>
              <w:pStyle w:val="TableParagraph"/>
              <w:spacing w:line="221" w:lineRule="exact"/>
              <w:ind w:left="56" w:right="57"/>
              <w:jc w:val="center"/>
              <w:rPr>
                <w:sz w:val="20"/>
              </w:rPr>
            </w:pPr>
            <w:r>
              <w:rPr>
                <w:sz w:val="20"/>
              </w:rPr>
              <w:t>I60,</w:t>
            </w:r>
            <w:r>
              <w:rPr>
                <w:spacing w:val="-3"/>
                <w:sz w:val="20"/>
              </w:rPr>
              <w:t> </w:t>
            </w:r>
            <w:r>
              <w:rPr>
                <w:sz w:val="20"/>
              </w:rPr>
              <w:t>I61,</w:t>
            </w:r>
            <w:r>
              <w:rPr>
                <w:spacing w:val="-4"/>
                <w:sz w:val="20"/>
              </w:rPr>
              <w:t> </w:t>
            </w:r>
            <w:r>
              <w:rPr>
                <w:spacing w:val="-5"/>
                <w:sz w:val="20"/>
              </w:rPr>
              <w:t>I62</w:t>
            </w:r>
          </w:p>
        </w:tc>
        <w:tc>
          <w:tcPr>
            <w:tcW w:w="3115" w:type="dxa"/>
            <w:vMerge w:val="restart"/>
          </w:tcPr>
          <w:p>
            <w:pPr>
              <w:pStyle w:val="TableParagraph"/>
              <w:spacing w:line="249" w:lineRule="auto"/>
              <w:ind w:left="64" w:right="251"/>
              <w:rPr>
                <w:sz w:val="20"/>
              </w:rPr>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w:t>
            </w:r>
            <w:r>
              <w:rPr>
                <w:spacing w:val="-13"/>
                <w:sz w:val="20"/>
              </w:rPr>
              <w:t> </w:t>
            </w:r>
            <w:r>
              <w:rPr>
                <w:sz w:val="20"/>
              </w:rPr>
              <w:t>кровоизлияния</w:t>
            </w:r>
          </w:p>
        </w:tc>
        <w:tc>
          <w:tcPr>
            <w:tcW w:w="1587" w:type="dxa"/>
          </w:tcPr>
          <w:p>
            <w:pPr>
              <w:pStyle w:val="TableParagraph"/>
              <w:spacing w:line="221" w:lineRule="exact"/>
              <w:ind w:left="105"/>
              <w:rPr>
                <w:sz w:val="20"/>
              </w:rPr>
            </w:pPr>
            <w:r>
              <w:rPr>
                <w:spacing w:val="-2"/>
                <w:sz w:val="20"/>
              </w:rPr>
              <w:t>хирургическое</w:t>
            </w:r>
          </w:p>
          <w:p>
            <w:pPr>
              <w:pStyle w:val="TableParagraph"/>
              <w:spacing w:line="220" w:lineRule="exact" w:before="10"/>
              <w:ind w:left="105"/>
              <w:rPr>
                <w:sz w:val="20"/>
              </w:rPr>
            </w:pPr>
            <w:r>
              <w:rPr>
                <w:spacing w:val="-2"/>
                <w:sz w:val="20"/>
              </w:rPr>
              <w:t>лечение</w:t>
            </w:r>
          </w:p>
        </w:tc>
        <w:tc>
          <w:tcPr>
            <w:tcW w:w="3869" w:type="dxa"/>
          </w:tcPr>
          <w:p>
            <w:pPr>
              <w:pStyle w:val="TableParagraph"/>
              <w:spacing w:line="221" w:lineRule="exact"/>
              <w:ind w:left="216"/>
              <w:rPr>
                <w:sz w:val="20"/>
              </w:rPr>
            </w:pPr>
            <w:r>
              <w:rPr>
                <w:spacing w:val="-2"/>
                <w:sz w:val="20"/>
              </w:rPr>
              <w:t>клипирование</w:t>
            </w:r>
            <w:r>
              <w:rPr>
                <w:spacing w:val="9"/>
                <w:sz w:val="20"/>
              </w:rPr>
              <w:t> </w:t>
            </w:r>
            <w:r>
              <w:rPr>
                <w:spacing w:val="-2"/>
                <w:sz w:val="20"/>
              </w:rPr>
              <w:t>артериальных</w:t>
            </w:r>
            <w:r>
              <w:rPr>
                <w:spacing w:val="12"/>
                <w:sz w:val="20"/>
              </w:rPr>
              <w:t> </w:t>
            </w:r>
            <w:r>
              <w:rPr>
                <w:spacing w:val="-2"/>
                <w:sz w:val="20"/>
              </w:rPr>
              <w:t>аневризм</w:t>
            </w:r>
          </w:p>
        </w:tc>
        <w:tc>
          <w:tcPr>
            <w:tcW w:w="1015" w:type="dxa"/>
          </w:tcPr>
          <w:p>
            <w:pPr>
              <w:pStyle w:val="TableParagraph"/>
              <w:rPr>
                <w:sz w:val="18"/>
              </w:rPr>
            </w:pPr>
          </w:p>
        </w:tc>
      </w:tr>
      <w:tr>
        <w:trPr>
          <w:trHeight w:val="1440" w:hRule="atLeast"/>
        </w:trPr>
        <w:tc>
          <w:tcPr>
            <w:tcW w:w="472" w:type="dxa"/>
          </w:tcPr>
          <w:p>
            <w:pPr>
              <w:pStyle w:val="TableParagraph"/>
              <w:rPr>
                <w:sz w:val="18"/>
              </w:rPr>
            </w:pPr>
          </w:p>
        </w:tc>
        <w:tc>
          <w:tcPr>
            <w:tcW w:w="3023" w:type="dxa"/>
          </w:tcPr>
          <w:p>
            <w:pPr>
              <w:pStyle w:val="TableParagraph"/>
              <w:rPr>
                <w:sz w:val="18"/>
              </w:rPr>
            </w:pPr>
          </w:p>
        </w:tc>
        <w:tc>
          <w:tcPr>
            <w:tcW w:w="1966" w:type="dxa"/>
          </w:tcPr>
          <w:p>
            <w:pPr>
              <w:pStyle w:val="TableParagraph"/>
              <w:rPr>
                <w:sz w:val="18"/>
              </w:rPr>
            </w:pPr>
          </w:p>
        </w:tc>
        <w:tc>
          <w:tcPr>
            <w:tcW w:w="3115" w:type="dxa"/>
            <w:vMerge/>
            <w:tcBorders>
              <w:top w:val="nil"/>
            </w:tcBorders>
          </w:tcPr>
          <w:p>
            <w:pPr>
              <w:rPr>
                <w:sz w:val="2"/>
                <w:szCs w:val="2"/>
              </w:rPr>
            </w:pPr>
          </w:p>
        </w:tc>
        <w:tc>
          <w:tcPr>
            <w:tcW w:w="1587" w:type="dxa"/>
          </w:tcPr>
          <w:p>
            <w:pPr>
              <w:pStyle w:val="TableParagraph"/>
              <w:rPr>
                <w:sz w:val="18"/>
              </w:rPr>
            </w:pPr>
          </w:p>
        </w:tc>
        <w:tc>
          <w:tcPr>
            <w:tcW w:w="3869" w:type="dxa"/>
          </w:tcPr>
          <w:p>
            <w:pPr>
              <w:pStyle w:val="TableParagraph"/>
              <w:spacing w:line="249" w:lineRule="auto"/>
              <w:ind w:left="216"/>
              <w:rPr>
                <w:sz w:val="20"/>
              </w:rPr>
            </w:pPr>
            <w:r>
              <w:rPr>
                <w:sz w:val="20"/>
              </w:rPr>
              <w:t>стереотаксическое</w:t>
            </w:r>
            <w:r>
              <w:rPr>
                <w:spacing w:val="-13"/>
                <w:sz w:val="20"/>
              </w:rPr>
              <w:t> </w:t>
            </w:r>
            <w:r>
              <w:rPr>
                <w:sz w:val="20"/>
              </w:rPr>
              <w:t>дренирование</w:t>
            </w:r>
            <w:r>
              <w:rPr>
                <w:spacing w:val="-12"/>
                <w:sz w:val="20"/>
              </w:rPr>
              <w:t> </w:t>
            </w:r>
            <w:r>
              <w:rPr>
                <w:sz w:val="20"/>
              </w:rPr>
              <w:t>и тромболизис гематом</w:t>
            </w:r>
          </w:p>
        </w:tc>
        <w:tc>
          <w:tcPr>
            <w:tcW w:w="1015" w:type="dxa"/>
          </w:tcPr>
          <w:p>
            <w:pPr>
              <w:pStyle w:val="TableParagraph"/>
              <w:rPr>
                <w:sz w:val="18"/>
              </w:rPr>
            </w:pPr>
          </w:p>
        </w:tc>
      </w:tr>
      <w:tr>
        <w:trPr>
          <w:trHeight w:val="1560" w:hRule="atLeast"/>
        </w:trPr>
        <w:tc>
          <w:tcPr>
            <w:tcW w:w="472" w:type="dxa"/>
          </w:tcPr>
          <w:p>
            <w:pPr>
              <w:pStyle w:val="TableParagraph"/>
              <w:rPr>
                <w:sz w:val="18"/>
              </w:rPr>
            </w:pPr>
          </w:p>
        </w:tc>
        <w:tc>
          <w:tcPr>
            <w:tcW w:w="3023" w:type="dxa"/>
          </w:tcPr>
          <w:p>
            <w:pPr>
              <w:pStyle w:val="TableParagraph"/>
              <w:spacing w:before="10"/>
              <w:rPr>
                <w:sz w:val="20"/>
              </w:rPr>
            </w:pPr>
          </w:p>
          <w:p>
            <w:pPr>
              <w:pStyle w:val="TableParagraph"/>
              <w:spacing w:line="249" w:lineRule="auto"/>
              <w:ind w:left="168" w:right="462"/>
              <w:rPr>
                <w:sz w:val="20"/>
              </w:rPr>
            </w:pPr>
            <w:r>
              <w:rPr>
                <w:spacing w:val="-2"/>
                <w:sz w:val="20"/>
              </w:rPr>
              <w:t>Реконструктивные </w:t>
            </w:r>
            <w:r>
              <w:rPr>
                <w:sz w:val="20"/>
              </w:rPr>
              <w:t>вмешательства на экстракраниальных</w:t>
            </w:r>
            <w:r>
              <w:rPr>
                <w:spacing w:val="-13"/>
                <w:sz w:val="20"/>
              </w:rPr>
              <w:t> </w:t>
            </w:r>
            <w:r>
              <w:rPr>
                <w:sz w:val="20"/>
              </w:rPr>
              <w:t>отделах церебральных артерий</w:t>
            </w:r>
          </w:p>
        </w:tc>
        <w:tc>
          <w:tcPr>
            <w:tcW w:w="1966" w:type="dxa"/>
          </w:tcPr>
          <w:p>
            <w:pPr>
              <w:pStyle w:val="TableParagraph"/>
              <w:spacing w:before="10"/>
              <w:rPr>
                <w:sz w:val="20"/>
              </w:rPr>
            </w:pPr>
          </w:p>
          <w:p>
            <w:pPr>
              <w:pStyle w:val="TableParagraph"/>
              <w:spacing w:line="249" w:lineRule="auto"/>
              <w:ind w:left="592" w:hanging="395"/>
              <w:rPr>
                <w:sz w:val="20"/>
              </w:rPr>
            </w:pPr>
            <w:r>
              <w:rPr>
                <w:sz w:val="20"/>
              </w:rPr>
              <w:t>I65.0</w:t>
            </w:r>
            <w:r>
              <w:rPr>
                <w:spacing w:val="-12"/>
                <w:sz w:val="20"/>
              </w:rPr>
              <w:t> </w:t>
            </w:r>
            <w:r>
              <w:rPr>
                <w:sz w:val="20"/>
              </w:rPr>
              <w:t>-</w:t>
            </w:r>
            <w:r>
              <w:rPr>
                <w:spacing w:val="-13"/>
                <w:sz w:val="20"/>
              </w:rPr>
              <w:t> </w:t>
            </w:r>
            <w:r>
              <w:rPr>
                <w:sz w:val="20"/>
              </w:rPr>
              <w:t>I65.3,</w:t>
            </w:r>
            <w:r>
              <w:rPr>
                <w:spacing w:val="-11"/>
                <w:sz w:val="20"/>
              </w:rPr>
              <w:t> </w:t>
            </w:r>
            <w:r>
              <w:rPr>
                <w:sz w:val="20"/>
              </w:rPr>
              <w:t>I65.8, I66, I67.8</w:t>
            </w:r>
          </w:p>
        </w:tc>
        <w:tc>
          <w:tcPr>
            <w:tcW w:w="3115" w:type="dxa"/>
          </w:tcPr>
          <w:p>
            <w:pPr>
              <w:pStyle w:val="TableParagraph"/>
              <w:spacing w:before="10"/>
              <w:rPr>
                <w:sz w:val="20"/>
              </w:rPr>
            </w:pPr>
          </w:p>
          <w:p>
            <w:pPr>
              <w:pStyle w:val="TableParagraph"/>
              <w:spacing w:line="249" w:lineRule="auto"/>
              <w:ind w:left="64" w:right="251"/>
              <w:rPr>
                <w:sz w:val="20"/>
              </w:rPr>
            </w:pPr>
            <w:r>
              <w:rPr>
                <w:sz w:val="20"/>
              </w:rPr>
              <w:t>окклюзии, стенозы, эмболии, тромбозы, гемодинамически значимые патологические извитости экстракраниальных отделов</w:t>
            </w:r>
            <w:r>
              <w:rPr>
                <w:spacing w:val="-13"/>
                <w:sz w:val="20"/>
              </w:rPr>
              <w:t> </w:t>
            </w:r>
            <w:r>
              <w:rPr>
                <w:sz w:val="20"/>
              </w:rPr>
              <w:t>церебральных</w:t>
            </w:r>
            <w:r>
              <w:rPr>
                <w:spacing w:val="-12"/>
                <w:sz w:val="20"/>
              </w:rPr>
              <w:t> </w:t>
            </w:r>
            <w:r>
              <w:rPr>
                <w:sz w:val="20"/>
              </w:rPr>
              <w:t>артерий</w:t>
            </w:r>
          </w:p>
        </w:tc>
        <w:tc>
          <w:tcPr>
            <w:tcW w:w="1587" w:type="dxa"/>
          </w:tcPr>
          <w:p>
            <w:pPr>
              <w:pStyle w:val="TableParagraph"/>
              <w:spacing w:before="10"/>
              <w:rPr>
                <w:sz w:val="20"/>
              </w:rPr>
            </w:pPr>
          </w:p>
          <w:p>
            <w:pPr>
              <w:pStyle w:val="TableParagraph"/>
              <w:spacing w:line="249" w:lineRule="auto"/>
              <w:ind w:left="105"/>
              <w:rPr>
                <w:sz w:val="20"/>
              </w:rPr>
            </w:pPr>
            <w:r>
              <w:rPr>
                <w:spacing w:val="-2"/>
                <w:sz w:val="20"/>
              </w:rPr>
              <w:t>хирургическое лечение</w:t>
            </w:r>
          </w:p>
        </w:tc>
        <w:tc>
          <w:tcPr>
            <w:tcW w:w="3869" w:type="dxa"/>
          </w:tcPr>
          <w:p>
            <w:pPr>
              <w:pStyle w:val="TableParagraph"/>
              <w:spacing w:before="10"/>
              <w:rPr>
                <w:sz w:val="20"/>
              </w:rPr>
            </w:pPr>
          </w:p>
          <w:p>
            <w:pPr>
              <w:pStyle w:val="TableParagraph"/>
              <w:spacing w:line="249" w:lineRule="auto"/>
              <w:ind w:left="216" w:right="439"/>
              <w:rPr>
                <w:sz w:val="20"/>
              </w:rPr>
            </w:pPr>
            <w:r>
              <w:rPr>
                <w:sz w:val="20"/>
              </w:rPr>
              <w:t>реконструктивные</w:t>
            </w:r>
            <w:r>
              <w:rPr>
                <w:spacing w:val="-13"/>
                <w:sz w:val="20"/>
              </w:rPr>
              <w:t> </w:t>
            </w:r>
            <w:r>
              <w:rPr>
                <w:sz w:val="20"/>
              </w:rPr>
              <w:t>вмешательства</w:t>
            </w:r>
            <w:r>
              <w:rPr>
                <w:spacing w:val="-12"/>
                <w:sz w:val="20"/>
              </w:rPr>
              <w:t> </w:t>
            </w:r>
            <w:r>
              <w:rPr>
                <w:sz w:val="20"/>
              </w:rPr>
              <w:t>на экстракраниальных отделах церебральных артерий</w:t>
            </w:r>
          </w:p>
        </w:tc>
        <w:tc>
          <w:tcPr>
            <w:tcW w:w="1015" w:type="dxa"/>
          </w:tcPr>
          <w:p>
            <w:pPr>
              <w:pStyle w:val="TableParagraph"/>
              <w:rPr>
                <w:sz w:val="18"/>
              </w:rPr>
            </w:pPr>
          </w:p>
        </w:tc>
      </w:tr>
      <w:tr>
        <w:trPr>
          <w:trHeight w:val="1680" w:hRule="atLeast"/>
        </w:trPr>
        <w:tc>
          <w:tcPr>
            <w:tcW w:w="472" w:type="dxa"/>
          </w:tcPr>
          <w:p>
            <w:pPr>
              <w:pStyle w:val="TableParagraph"/>
              <w:rPr>
                <w:sz w:val="18"/>
              </w:rPr>
            </w:pPr>
          </w:p>
        </w:tc>
        <w:tc>
          <w:tcPr>
            <w:tcW w:w="3023" w:type="dxa"/>
          </w:tcPr>
          <w:p>
            <w:pPr>
              <w:pStyle w:val="TableParagraph"/>
              <w:spacing w:line="249" w:lineRule="auto" w:before="120"/>
              <w:ind w:left="168" w:right="61"/>
              <w:rPr>
                <w:sz w:val="20"/>
              </w:rPr>
            </w:pPr>
            <w:r>
              <w:rPr>
                <w:spacing w:val="-2"/>
                <w:sz w:val="20"/>
              </w:rPr>
              <w:t>Реконструктивные </w:t>
            </w:r>
            <w:r>
              <w:rPr>
                <w:sz w:val="20"/>
              </w:rPr>
              <w:t>вмешательства при сложных и гигантских дефектах и деформациях</w:t>
            </w:r>
            <w:r>
              <w:rPr>
                <w:spacing w:val="-13"/>
                <w:sz w:val="20"/>
              </w:rPr>
              <w:t> </w:t>
            </w:r>
            <w:r>
              <w:rPr>
                <w:sz w:val="20"/>
              </w:rPr>
              <w:t>свода</w:t>
            </w:r>
            <w:r>
              <w:rPr>
                <w:spacing w:val="-12"/>
                <w:sz w:val="20"/>
              </w:rPr>
              <w:t> </w:t>
            </w:r>
            <w:r>
              <w:rPr>
                <w:sz w:val="20"/>
              </w:rPr>
              <w:t>и</w:t>
            </w:r>
            <w:r>
              <w:rPr>
                <w:spacing w:val="-13"/>
                <w:sz w:val="20"/>
              </w:rPr>
              <w:t> </w:t>
            </w:r>
            <w:r>
              <w:rPr>
                <w:sz w:val="20"/>
              </w:rPr>
              <w:t>основания черепа, орбиты врожденного и приобретенного генеза</w:t>
            </w:r>
          </w:p>
        </w:tc>
        <w:tc>
          <w:tcPr>
            <w:tcW w:w="1966" w:type="dxa"/>
          </w:tcPr>
          <w:p>
            <w:pPr>
              <w:pStyle w:val="TableParagraph"/>
              <w:spacing w:before="120"/>
              <w:ind w:left="56" w:right="58"/>
              <w:jc w:val="center"/>
              <w:rPr>
                <w:sz w:val="20"/>
              </w:rPr>
            </w:pPr>
            <w:r>
              <w:rPr>
                <w:sz w:val="20"/>
              </w:rPr>
              <w:t>M84.8,</w:t>
            </w:r>
            <w:r>
              <w:rPr>
                <w:spacing w:val="-6"/>
                <w:sz w:val="20"/>
              </w:rPr>
              <w:t> </w:t>
            </w:r>
            <w:r>
              <w:rPr>
                <w:sz w:val="20"/>
              </w:rPr>
              <w:t>M85.0,</w:t>
            </w:r>
            <w:r>
              <w:rPr>
                <w:spacing w:val="-5"/>
                <w:sz w:val="20"/>
              </w:rPr>
              <w:t> </w:t>
            </w:r>
            <w:r>
              <w:rPr>
                <w:spacing w:val="-2"/>
                <w:sz w:val="20"/>
              </w:rPr>
              <w:t>M85.5,</w:t>
            </w:r>
          </w:p>
          <w:p>
            <w:pPr>
              <w:pStyle w:val="TableParagraph"/>
              <w:spacing w:before="10"/>
              <w:ind w:left="56" w:right="58"/>
              <w:jc w:val="center"/>
              <w:rPr>
                <w:sz w:val="20"/>
              </w:rPr>
            </w:pPr>
            <w:r>
              <w:rPr>
                <w:sz w:val="20"/>
              </w:rPr>
              <w:t>Q01,</w:t>
            </w:r>
            <w:r>
              <w:rPr>
                <w:spacing w:val="-4"/>
                <w:sz w:val="20"/>
              </w:rPr>
              <w:t> </w:t>
            </w:r>
            <w:r>
              <w:rPr>
                <w:sz w:val="20"/>
              </w:rPr>
              <w:t>Q67.2,</w:t>
            </w:r>
            <w:r>
              <w:rPr>
                <w:spacing w:val="-3"/>
                <w:sz w:val="20"/>
              </w:rPr>
              <w:t> </w:t>
            </w:r>
            <w:r>
              <w:rPr>
                <w:spacing w:val="-2"/>
                <w:sz w:val="20"/>
              </w:rPr>
              <w:t>Q67.3,</w:t>
            </w:r>
          </w:p>
          <w:p>
            <w:pPr>
              <w:pStyle w:val="TableParagraph"/>
              <w:spacing w:before="10"/>
              <w:ind w:left="56" w:right="58"/>
              <w:jc w:val="center"/>
              <w:rPr>
                <w:sz w:val="20"/>
              </w:rPr>
            </w:pPr>
            <w:r>
              <w:rPr>
                <w:sz w:val="20"/>
              </w:rPr>
              <w:t>Q75.0,</w:t>
            </w:r>
            <w:r>
              <w:rPr>
                <w:spacing w:val="-4"/>
                <w:sz w:val="20"/>
              </w:rPr>
              <w:t> </w:t>
            </w:r>
            <w:r>
              <w:rPr>
                <w:sz w:val="20"/>
              </w:rPr>
              <w:t>Q75.2,</w:t>
            </w:r>
            <w:r>
              <w:rPr>
                <w:spacing w:val="-5"/>
                <w:sz w:val="20"/>
              </w:rPr>
              <w:t> </w:t>
            </w:r>
            <w:r>
              <w:rPr>
                <w:spacing w:val="-2"/>
                <w:sz w:val="20"/>
              </w:rPr>
              <w:t>Q75.8,</w:t>
            </w:r>
          </w:p>
          <w:p>
            <w:pPr>
              <w:pStyle w:val="TableParagraph"/>
              <w:spacing w:before="10"/>
              <w:ind w:left="56" w:right="56"/>
              <w:jc w:val="center"/>
              <w:rPr>
                <w:sz w:val="20"/>
              </w:rPr>
            </w:pPr>
            <w:r>
              <w:rPr>
                <w:sz w:val="20"/>
              </w:rPr>
              <w:t>Q87.0,</w:t>
            </w:r>
            <w:r>
              <w:rPr>
                <w:spacing w:val="-4"/>
                <w:sz w:val="20"/>
              </w:rPr>
              <w:t> </w:t>
            </w:r>
            <w:r>
              <w:rPr>
                <w:sz w:val="20"/>
              </w:rPr>
              <w:t>S02.1,</w:t>
            </w:r>
            <w:r>
              <w:rPr>
                <w:spacing w:val="-4"/>
                <w:sz w:val="20"/>
              </w:rPr>
              <w:t> </w:t>
            </w:r>
            <w:r>
              <w:rPr>
                <w:spacing w:val="-2"/>
                <w:sz w:val="20"/>
              </w:rPr>
              <w:t>S02.2,</w:t>
            </w:r>
          </w:p>
          <w:p>
            <w:pPr>
              <w:pStyle w:val="TableParagraph"/>
              <w:spacing w:line="249" w:lineRule="auto" w:before="10"/>
              <w:ind w:left="56" w:right="55"/>
              <w:jc w:val="center"/>
              <w:rPr>
                <w:sz w:val="20"/>
              </w:rPr>
            </w:pPr>
            <w:r>
              <w:rPr>
                <w:sz w:val="20"/>
              </w:rPr>
              <w:t>S02.7</w:t>
            </w:r>
            <w:r>
              <w:rPr>
                <w:spacing w:val="-12"/>
                <w:sz w:val="20"/>
              </w:rPr>
              <w:t> </w:t>
            </w:r>
            <w:r>
              <w:rPr>
                <w:sz w:val="20"/>
              </w:rPr>
              <w:t>-</w:t>
            </w:r>
            <w:r>
              <w:rPr>
                <w:spacing w:val="-12"/>
                <w:sz w:val="20"/>
              </w:rPr>
              <w:t> </w:t>
            </w:r>
            <w:r>
              <w:rPr>
                <w:sz w:val="20"/>
              </w:rPr>
              <w:t>S02.9,</w:t>
            </w:r>
            <w:r>
              <w:rPr>
                <w:spacing w:val="-13"/>
                <w:sz w:val="20"/>
              </w:rPr>
              <w:t> </w:t>
            </w:r>
            <w:r>
              <w:rPr>
                <w:sz w:val="20"/>
              </w:rPr>
              <w:t>T90.2, </w:t>
            </w:r>
            <w:r>
              <w:rPr>
                <w:spacing w:val="-2"/>
                <w:sz w:val="20"/>
              </w:rPr>
              <w:t>T88.8</w:t>
            </w:r>
          </w:p>
        </w:tc>
        <w:tc>
          <w:tcPr>
            <w:tcW w:w="3115" w:type="dxa"/>
          </w:tcPr>
          <w:p>
            <w:pPr>
              <w:pStyle w:val="TableParagraph"/>
              <w:spacing w:line="249" w:lineRule="auto" w:before="120"/>
              <w:ind w:left="64" w:right="251"/>
              <w:rPr>
                <w:sz w:val="20"/>
              </w:rPr>
            </w:pPr>
            <w:r>
              <w:rPr>
                <w:sz w:val="20"/>
              </w:rPr>
              <w:t>дефекты</w:t>
            </w:r>
            <w:r>
              <w:rPr>
                <w:spacing w:val="-8"/>
                <w:sz w:val="20"/>
              </w:rPr>
              <w:t> </w:t>
            </w:r>
            <w:r>
              <w:rPr>
                <w:sz w:val="20"/>
              </w:rPr>
              <w:t>и</w:t>
            </w:r>
            <w:r>
              <w:rPr>
                <w:spacing w:val="-11"/>
                <w:sz w:val="20"/>
              </w:rPr>
              <w:t> </w:t>
            </w:r>
            <w:r>
              <w:rPr>
                <w:sz w:val="20"/>
              </w:rPr>
              <w:t>деформации</w:t>
            </w:r>
            <w:r>
              <w:rPr>
                <w:spacing w:val="-11"/>
                <w:sz w:val="20"/>
              </w:rPr>
              <w:t> </w:t>
            </w:r>
            <w:r>
              <w:rPr>
                <w:sz w:val="20"/>
              </w:rPr>
              <w:t>свода</w:t>
            </w:r>
            <w:r>
              <w:rPr>
                <w:spacing w:val="-11"/>
                <w:sz w:val="20"/>
              </w:rPr>
              <w:t> </w:t>
            </w:r>
            <w:r>
              <w:rPr>
                <w:sz w:val="20"/>
              </w:rPr>
              <w:t>и основания черепа, лицевого скелета врожденного и приобретенного генеза</w:t>
            </w:r>
          </w:p>
        </w:tc>
        <w:tc>
          <w:tcPr>
            <w:tcW w:w="1587" w:type="dxa"/>
          </w:tcPr>
          <w:p>
            <w:pPr>
              <w:pStyle w:val="TableParagraph"/>
              <w:spacing w:line="249" w:lineRule="auto" w:before="120"/>
              <w:ind w:left="105"/>
              <w:rPr>
                <w:sz w:val="20"/>
              </w:rPr>
            </w:pPr>
            <w:r>
              <w:rPr>
                <w:spacing w:val="-2"/>
                <w:sz w:val="20"/>
              </w:rPr>
              <w:t>хирургическое лечение</w:t>
            </w:r>
          </w:p>
        </w:tc>
        <w:tc>
          <w:tcPr>
            <w:tcW w:w="3869" w:type="dxa"/>
          </w:tcPr>
          <w:p>
            <w:pPr>
              <w:pStyle w:val="TableParagraph"/>
              <w:spacing w:line="249" w:lineRule="auto" w:before="120"/>
              <w:ind w:left="216" w:right="439"/>
              <w:rPr>
                <w:sz w:val="20"/>
              </w:rPr>
            </w:pPr>
            <w:r>
              <w:rPr>
                <w:sz w:val="20"/>
              </w:rPr>
              <w:t>микрохирургическая реконструкция при врожденных и приобретенных дефектах и деформациях свода и основания</w:t>
            </w:r>
            <w:r>
              <w:rPr>
                <w:spacing w:val="-12"/>
                <w:sz w:val="20"/>
              </w:rPr>
              <w:t> </w:t>
            </w:r>
            <w:r>
              <w:rPr>
                <w:sz w:val="20"/>
              </w:rPr>
              <w:t>черепа,</w:t>
            </w:r>
            <w:r>
              <w:rPr>
                <w:spacing w:val="-11"/>
                <w:sz w:val="20"/>
              </w:rPr>
              <w:t> </w:t>
            </w:r>
            <w:r>
              <w:rPr>
                <w:sz w:val="20"/>
              </w:rPr>
              <w:t>лицевого</w:t>
            </w:r>
            <w:r>
              <w:rPr>
                <w:spacing w:val="-11"/>
                <w:sz w:val="20"/>
              </w:rPr>
              <w:t> </w:t>
            </w:r>
            <w:r>
              <w:rPr>
                <w:sz w:val="20"/>
              </w:rPr>
              <w:t>скелета</w:t>
            </w:r>
            <w:r>
              <w:rPr>
                <w:spacing w:val="-11"/>
                <w:sz w:val="20"/>
              </w:rPr>
              <w:t> </w:t>
            </w:r>
            <w:r>
              <w:rPr>
                <w:sz w:val="20"/>
              </w:rPr>
              <w:t>с одномоментным применением ауто- и (или) аллотрансплантатов</w:t>
            </w:r>
          </w:p>
        </w:tc>
        <w:tc>
          <w:tcPr>
            <w:tcW w:w="1015" w:type="dxa"/>
          </w:tcPr>
          <w:p>
            <w:pPr>
              <w:pStyle w:val="TableParagraph"/>
              <w:rPr>
                <w:sz w:val="18"/>
              </w:rPr>
            </w:pPr>
          </w:p>
        </w:tc>
      </w:tr>
      <w:tr>
        <w:trPr>
          <w:trHeight w:val="960" w:hRule="atLeast"/>
        </w:trPr>
        <w:tc>
          <w:tcPr>
            <w:tcW w:w="472" w:type="dxa"/>
          </w:tcPr>
          <w:p>
            <w:pPr>
              <w:pStyle w:val="TableParagraph"/>
              <w:spacing w:before="120"/>
              <w:ind w:left="50"/>
              <w:rPr>
                <w:sz w:val="20"/>
              </w:rPr>
            </w:pPr>
            <w:r>
              <w:rPr>
                <w:spacing w:val="-5"/>
                <w:sz w:val="20"/>
              </w:rPr>
              <w:t>13.</w:t>
            </w:r>
          </w:p>
        </w:tc>
        <w:tc>
          <w:tcPr>
            <w:tcW w:w="3023" w:type="dxa"/>
          </w:tcPr>
          <w:p>
            <w:pPr>
              <w:pStyle w:val="TableParagraph"/>
              <w:spacing w:line="249" w:lineRule="auto" w:before="120"/>
              <w:ind w:left="168" w:right="61"/>
              <w:rPr>
                <w:sz w:val="20"/>
              </w:rPr>
            </w:pPr>
            <w:r>
              <w:rPr>
                <w:sz w:val="20"/>
              </w:rPr>
              <w:t>Внутрисосудистый</w:t>
            </w:r>
            <w:r>
              <w:rPr>
                <w:spacing w:val="-13"/>
                <w:sz w:val="20"/>
              </w:rPr>
              <w:t> </w:t>
            </w:r>
            <w:r>
              <w:rPr>
                <w:sz w:val="20"/>
              </w:rPr>
              <w:t>тромболизис при окклюзиях церебральных артерий и синусов</w:t>
            </w:r>
          </w:p>
        </w:tc>
        <w:tc>
          <w:tcPr>
            <w:tcW w:w="1966" w:type="dxa"/>
          </w:tcPr>
          <w:p>
            <w:pPr>
              <w:pStyle w:val="TableParagraph"/>
              <w:spacing w:before="120"/>
              <w:ind w:left="56" w:right="54"/>
              <w:jc w:val="center"/>
              <w:rPr>
                <w:sz w:val="20"/>
              </w:rPr>
            </w:pPr>
            <w:r>
              <w:rPr>
                <w:spacing w:val="-2"/>
                <w:sz w:val="20"/>
              </w:rPr>
              <w:t>I67.6</w:t>
            </w:r>
          </w:p>
        </w:tc>
        <w:tc>
          <w:tcPr>
            <w:tcW w:w="3115" w:type="dxa"/>
          </w:tcPr>
          <w:p>
            <w:pPr>
              <w:pStyle w:val="TableParagraph"/>
              <w:spacing w:line="249" w:lineRule="auto" w:before="120"/>
              <w:ind w:left="64"/>
              <w:rPr>
                <w:sz w:val="20"/>
              </w:rPr>
            </w:pPr>
            <w:r>
              <w:rPr>
                <w:sz w:val="20"/>
              </w:rPr>
              <w:t>тромбоз</w:t>
            </w:r>
            <w:r>
              <w:rPr>
                <w:spacing w:val="-13"/>
                <w:sz w:val="20"/>
              </w:rPr>
              <w:t> </w:t>
            </w:r>
            <w:r>
              <w:rPr>
                <w:sz w:val="20"/>
              </w:rPr>
              <w:t>церебральных</w:t>
            </w:r>
            <w:r>
              <w:rPr>
                <w:spacing w:val="-12"/>
                <w:sz w:val="20"/>
              </w:rPr>
              <w:t> </w:t>
            </w:r>
            <w:r>
              <w:rPr>
                <w:sz w:val="20"/>
              </w:rPr>
              <w:t>артерий</w:t>
            </w:r>
            <w:r>
              <w:rPr>
                <w:spacing w:val="-13"/>
                <w:sz w:val="20"/>
              </w:rPr>
              <w:t> </w:t>
            </w:r>
            <w:r>
              <w:rPr>
                <w:sz w:val="20"/>
              </w:rPr>
              <w:t>и </w:t>
            </w:r>
            <w:r>
              <w:rPr>
                <w:spacing w:val="-2"/>
                <w:sz w:val="20"/>
              </w:rPr>
              <w:t>синусов</w:t>
            </w:r>
          </w:p>
        </w:tc>
        <w:tc>
          <w:tcPr>
            <w:tcW w:w="1587" w:type="dxa"/>
          </w:tcPr>
          <w:p>
            <w:pPr>
              <w:pStyle w:val="TableParagraph"/>
              <w:spacing w:line="249" w:lineRule="auto" w:before="120"/>
              <w:ind w:left="105"/>
              <w:rPr>
                <w:sz w:val="20"/>
              </w:rPr>
            </w:pPr>
            <w:r>
              <w:rPr>
                <w:spacing w:val="-2"/>
                <w:sz w:val="20"/>
              </w:rPr>
              <w:t>хирургическое лечение</w:t>
            </w:r>
          </w:p>
        </w:tc>
        <w:tc>
          <w:tcPr>
            <w:tcW w:w="3869" w:type="dxa"/>
          </w:tcPr>
          <w:p>
            <w:pPr>
              <w:pStyle w:val="TableParagraph"/>
              <w:spacing w:line="249" w:lineRule="auto" w:before="120"/>
              <w:ind w:left="216"/>
              <w:rPr>
                <w:sz w:val="20"/>
              </w:rPr>
            </w:pPr>
            <w:r>
              <w:rPr>
                <w:sz w:val="20"/>
              </w:rPr>
              <w:t>внутрисосудистый тромболизис церебральных</w:t>
            </w:r>
            <w:r>
              <w:rPr>
                <w:spacing w:val="-13"/>
                <w:sz w:val="20"/>
              </w:rPr>
              <w:t> </w:t>
            </w:r>
            <w:r>
              <w:rPr>
                <w:sz w:val="20"/>
              </w:rPr>
              <w:t>артерий</w:t>
            </w:r>
            <w:r>
              <w:rPr>
                <w:spacing w:val="-12"/>
                <w:sz w:val="20"/>
              </w:rPr>
              <w:t> </w:t>
            </w:r>
            <w:r>
              <w:rPr>
                <w:sz w:val="20"/>
              </w:rPr>
              <w:t>и</w:t>
            </w:r>
            <w:r>
              <w:rPr>
                <w:spacing w:val="-13"/>
                <w:sz w:val="20"/>
              </w:rPr>
              <w:t> </w:t>
            </w:r>
            <w:r>
              <w:rPr>
                <w:sz w:val="20"/>
              </w:rPr>
              <w:t>синусов</w:t>
            </w:r>
          </w:p>
        </w:tc>
        <w:tc>
          <w:tcPr>
            <w:tcW w:w="1015" w:type="dxa"/>
          </w:tcPr>
          <w:p>
            <w:pPr>
              <w:pStyle w:val="TableParagraph"/>
              <w:spacing w:before="120"/>
              <w:ind w:right="54"/>
              <w:jc w:val="right"/>
              <w:rPr>
                <w:sz w:val="20"/>
              </w:rPr>
            </w:pPr>
            <w:r>
              <w:rPr>
                <w:spacing w:val="-2"/>
                <w:sz w:val="20"/>
              </w:rPr>
              <w:t>272347</w:t>
            </w:r>
          </w:p>
        </w:tc>
      </w:tr>
      <w:tr>
        <w:trPr>
          <w:trHeight w:val="2030" w:hRule="atLeast"/>
        </w:trPr>
        <w:tc>
          <w:tcPr>
            <w:tcW w:w="472" w:type="dxa"/>
          </w:tcPr>
          <w:p>
            <w:pPr>
              <w:pStyle w:val="TableParagraph"/>
              <w:spacing w:before="120"/>
              <w:ind w:left="50"/>
              <w:rPr>
                <w:sz w:val="20"/>
              </w:rPr>
            </w:pPr>
            <w:r>
              <w:rPr>
                <w:spacing w:val="-5"/>
                <w:sz w:val="20"/>
              </w:rPr>
              <w:t>14.</w:t>
            </w:r>
          </w:p>
        </w:tc>
        <w:tc>
          <w:tcPr>
            <w:tcW w:w="3023" w:type="dxa"/>
          </w:tcPr>
          <w:p>
            <w:pPr>
              <w:pStyle w:val="TableParagraph"/>
              <w:spacing w:line="240" w:lineRule="atLeast" w:before="90"/>
              <w:ind w:left="168" w:right="207"/>
              <w:rPr>
                <w:sz w:val="20"/>
              </w:rPr>
            </w:pPr>
            <w:r>
              <w:rPr>
                <w:sz w:val="20"/>
              </w:rPr>
              <w:t>Хирургические</w:t>
            </w:r>
            <w:r>
              <w:rPr>
                <w:spacing w:val="-13"/>
                <w:sz w:val="20"/>
              </w:rPr>
              <w:t> </w:t>
            </w:r>
            <w:r>
              <w:rPr>
                <w:sz w:val="20"/>
              </w:rPr>
              <w:t>вмешательства при врожденной или приобретенной гидроцефалии окклюзионного или сообщающегося</w:t>
            </w:r>
            <w:r>
              <w:rPr>
                <w:spacing w:val="-13"/>
                <w:sz w:val="20"/>
              </w:rPr>
              <w:t> </w:t>
            </w:r>
            <w:r>
              <w:rPr>
                <w:sz w:val="20"/>
              </w:rPr>
              <w:t>характера</w:t>
            </w:r>
            <w:r>
              <w:rPr>
                <w:spacing w:val="-12"/>
                <w:sz w:val="20"/>
              </w:rPr>
              <w:t> </w:t>
            </w:r>
            <w:r>
              <w:rPr>
                <w:sz w:val="20"/>
              </w:rPr>
              <w:t>или приобретенных церебральных кистах. Повторные </w:t>
            </w:r>
            <w:r>
              <w:rPr>
                <w:spacing w:val="-2"/>
                <w:sz w:val="20"/>
              </w:rPr>
              <w:t>ликворошунтирующие</w:t>
            </w:r>
          </w:p>
        </w:tc>
        <w:tc>
          <w:tcPr>
            <w:tcW w:w="1966" w:type="dxa"/>
          </w:tcPr>
          <w:p>
            <w:pPr>
              <w:pStyle w:val="TableParagraph"/>
              <w:spacing w:before="120"/>
              <w:ind w:left="56" w:right="56"/>
              <w:jc w:val="center"/>
              <w:rPr>
                <w:sz w:val="20"/>
              </w:rPr>
            </w:pPr>
            <w:r>
              <w:rPr>
                <w:sz w:val="20"/>
              </w:rPr>
              <w:t>G91,</w:t>
            </w:r>
            <w:r>
              <w:rPr>
                <w:spacing w:val="-4"/>
                <w:sz w:val="20"/>
              </w:rPr>
              <w:t> </w:t>
            </w:r>
            <w:r>
              <w:rPr>
                <w:sz w:val="20"/>
              </w:rPr>
              <w:t>G93.0,</w:t>
            </w:r>
            <w:r>
              <w:rPr>
                <w:spacing w:val="-3"/>
                <w:sz w:val="20"/>
              </w:rPr>
              <w:t> </w:t>
            </w:r>
            <w:r>
              <w:rPr>
                <w:spacing w:val="-5"/>
                <w:sz w:val="20"/>
              </w:rPr>
              <w:t>Q03</w:t>
            </w:r>
          </w:p>
        </w:tc>
        <w:tc>
          <w:tcPr>
            <w:tcW w:w="3115" w:type="dxa"/>
          </w:tcPr>
          <w:p>
            <w:pPr>
              <w:pStyle w:val="TableParagraph"/>
              <w:spacing w:line="249" w:lineRule="auto" w:before="120"/>
              <w:ind w:left="64"/>
              <w:rPr>
                <w:sz w:val="20"/>
              </w:rPr>
            </w:pPr>
            <w:r>
              <w:rPr>
                <w:sz w:val="20"/>
              </w:rPr>
              <w:t>врожденная или приобретенная гидроцефалия</w:t>
            </w:r>
            <w:r>
              <w:rPr>
                <w:spacing w:val="-13"/>
                <w:sz w:val="20"/>
              </w:rPr>
              <w:t> </w:t>
            </w:r>
            <w:r>
              <w:rPr>
                <w:sz w:val="20"/>
              </w:rPr>
              <w:t>окклюзионного</w:t>
            </w:r>
            <w:r>
              <w:rPr>
                <w:spacing w:val="-12"/>
                <w:sz w:val="20"/>
              </w:rPr>
              <w:t> </w:t>
            </w:r>
            <w:r>
              <w:rPr>
                <w:sz w:val="20"/>
              </w:rPr>
              <w:t>или сообщающегося характера.</w:t>
            </w:r>
          </w:p>
          <w:p>
            <w:pPr>
              <w:pStyle w:val="TableParagraph"/>
              <w:spacing w:line="249" w:lineRule="auto" w:before="3"/>
              <w:ind w:left="64" w:right="442"/>
              <w:rPr>
                <w:sz w:val="20"/>
              </w:rPr>
            </w:pPr>
            <w:r>
              <w:rPr>
                <w:sz w:val="20"/>
              </w:rPr>
              <w:t>Приобретенные</w:t>
            </w:r>
            <w:r>
              <w:rPr>
                <w:spacing w:val="-13"/>
                <w:sz w:val="20"/>
              </w:rPr>
              <w:t> </w:t>
            </w:r>
            <w:r>
              <w:rPr>
                <w:sz w:val="20"/>
              </w:rPr>
              <w:t>церебральные </w:t>
            </w:r>
            <w:r>
              <w:rPr>
                <w:spacing w:val="-2"/>
                <w:sz w:val="20"/>
              </w:rPr>
              <w:t>кисты</w:t>
            </w:r>
          </w:p>
        </w:tc>
        <w:tc>
          <w:tcPr>
            <w:tcW w:w="1587" w:type="dxa"/>
          </w:tcPr>
          <w:p>
            <w:pPr>
              <w:pStyle w:val="TableParagraph"/>
              <w:spacing w:line="249" w:lineRule="auto" w:before="120"/>
              <w:ind w:left="105"/>
              <w:rPr>
                <w:sz w:val="20"/>
              </w:rPr>
            </w:pPr>
            <w:r>
              <w:rPr>
                <w:spacing w:val="-2"/>
                <w:sz w:val="20"/>
              </w:rPr>
              <w:t>хирургическое лечение</w:t>
            </w:r>
          </w:p>
        </w:tc>
        <w:tc>
          <w:tcPr>
            <w:tcW w:w="3869" w:type="dxa"/>
          </w:tcPr>
          <w:p>
            <w:pPr>
              <w:pStyle w:val="TableParagraph"/>
              <w:spacing w:line="249" w:lineRule="auto" w:before="120"/>
              <w:ind w:left="216" w:right="439"/>
              <w:rPr>
                <w:sz w:val="20"/>
              </w:rPr>
            </w:pPr>
            <w:r>
              <w:rPr>
                <w:sz w:val="20"/>
              </w:rPr>
              <w:t>ликворошунтирующие</w:t>
            </w:r>
            <w:r>
              <w:rPr>
                <w:spacing w:val="-13"/>
                <w:sz w:val="20"/>
              </w:rPr>
              <w:t> </w:t>
            </w:r>
            <w:r>
              <w:rPr>
                <w:sz w:val="20"/>
              </w:rPr>
              <w:t>операции,</w:t>
            </w:r>
            <w:r>
              <w:rPr>
                <w:spacing w:val="-12"/>
                <w:sz w:val="20"/>
              </w:rPr>
              <w:t> </w:t>
            </w:r>
            <w:r>
              <w:rPr>
                <w:sz w:val="20"/>
              </w:rPr>
              <w:t>в том числе с индивидуальным подбором ликворошунтирующих </w:t>
            </w:r>
            <w:r>
              <w:rPr>
                <w:spacing w:val="-2"/>
                <w:sz w:val="20"/>
              </w:rPr>
              <w:t>систем</w:t>
            </w:r>
          </w:p>
        </w:tc>
        <w:tc>
          <w:tcPr>
            <w:tcW w:w="1015" w:type="dxa"/>
          </w:tcPr>
          <w:p>
            <w:pPr>
              <w:pStyle w:val="TableParagraph"/>
              <w:spacing w:before="120"/>
              <w:ind w:right="54"/>
              <w:jc w:val="right"/>
              <w:rPr>
                <w:sz w:val="20"/>
              </w:rPr>
            </w:pPr>
            <w:r>
              <w:rPr>
                <w:spacing w:val="-2"/>
                <w:sz w:val="20"/>
              </w:rPr>
              <w:t>174485</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91"/>
        <w:gridCol w:w="2005"/>
        <w:gridCol w:w="3129"/>
        <w:gridCol w:w="1561"/>
        <w:gridCol w:w="3845"/>
        <w:gridCol w:w="1036"/>
      </w:tblGrid>
      <w:tr>
        <w:trPr>
          <w:trHeight w:val="590" w:hRule="atLeast"/>
        </w:trPr>
        <w:tc>
          <w:tcPr>
            <w:tcW w:w="472" w:type="dxa"/>
          </w:tcPr>
          <w:p>
            <w:pPr>
              <w:pStyle w:val="TableParagraph"/>
              <w:rPr>
                <w:sz w:val="18"/>
              </w:rPr>
            </w:pPr>
          </w:p>
        </w:tc>
        <w:tc>
          <w:tcPr>
            <w:tcW w:w="2991" w:type="dxa"/>
          </w:tcPr>
          <w:p>
            <w:pPr>
              <w:pStyle w:val="TableParagraph"/>
              <w:spacing w:line="249" w:lineRule="auto"/>
              <w:ind w:left="168"/>
              <w:rPr>
                <w:sz w:val="20"/>
              </w:rPr>
            </w:pPr>
            <w:r>
              <w:rPr>
                <w:sz w:val="20"/>
              </w:rPr>
              <w:t>операции при осложненном течении</w:t>
            </w:r>
            <w:r>
              <w:rPr>
                <w:spacing w:val="-13"/>
                <w:sz w:val="20"/>
              </w:rPr>
              <w:t> </w:t>
            </w:r>
            <w:r>
              <w:rPr>
                <w:sz w:val="20"/>
              </w:rPr>
              <w:t>заболевания</w:t>
            </w:r>
            <w:r>
              <w:rPr>
                <w:spacing w:val="-12"/>
                <w:sz w:val="20"/>
              </w:rPr>
              <w:t> </w:t>
            </w:r>
            <w:r>
              <w:rPr>
                <w:sz w:val="20"/>
              </w:rPr>
              <w:t>у</w:t>
            </w:r>
            <w:r>
              <w:rPr>
                <w:spacing w:val="-13"/>
                <w:sz w:val="20"/>
              </w:rPr>
              <w:t> </w:t>
            </w:r>
            <w:r>
              <w:rPr>
                <w:sz w:val="20"/>
              </w:rPr>
              <w:t>взрослых</w:t>
            </w:r>
          </w:p>
        </w:tc>
        <w:tc>
          <w:tcPr>
            <w:tcW w:w="2005" w:type="dxa"/>
          </w:tcPr>
          <w:p>
            <w:pPr>
              <w:pStyle w:val="TableParagraph"/>
              <w:rPr>
                <w:sz w:val="18"/>
              </w:rPr>
            </w:pPr>
          </w:p>
        </w:tc>
        <w:tc>
          <w:tcPr>
            <w:tcW w:w="3129" w:type="dxa"/>
          </w:tcPr>
          <w:p>
            <w:pPr>
              <w:pStyle w:val="TableParagraph"/>
              <w:rPr>
                <w:sz w:val="18"/>
              </w:rPr>
            </w:pPr>
          </w:p>
        </w:tc>
        <w:tc>
          <w:tcPr>
            <w:tcW w:w="1561" w:type="dxa"/>
          </w:tcPr>
          <w:p>
            <w:pPr>
              <w:pStyle w:val="TableParagraph"/>
              <w:rPr>
                <w:sz w:val="18"/>
              </w:rPr>
            </w:pPr>
          </w:p>
        </w:tc>
        <w:tc>
          <w:tcPr>
            <w:tcW w:w="3845" w:type="dxa"/>
          </w:tcPr>
          <w:p>
            <w:pPr>
              <w:pStyle w:val="TableParagraph"/>
              <w:rPr>
                <w:sz w:val="18"/>
              </w:rPr>
            </w:pPr>
          </w:p>
        </w:tc>
        <w:tc>
          <w:tcPr>
            <w:tcW w:w="1036" w:type="dxa"/>
          </w:tcPr>
          <w:p>
            <w:pPr>
              <w:pStyle w:val="TableParagraph"/>
              <w:rPr>
                <w:sz w:val="18"/>
              </w:rPr>
            </w:pPr>
          </w:p>
        </w:tc>
      </w:tr>
      <w:tr>
        <w:trPr>
          <w:trHeight w:val="2640" w:hRule="atLeast"/>
        </w:trPr>
        <w:tc>
          <w:tcPr>
            <w:tcW w:w="472" w:type="dxa"/>
          </w:tcPr>
          <w:p>
            <w:pPr>
              <w:pStyle w:val="TableParagraph"/>
              <w:spacing w:before="120"/>
              <w:ind w:left="50"/>
              <w:rPr>
                <w:sz w:val="20"/>
              </w:rPr>
            </w:pPr>
            <w:r>
              <w:rPr>
                <w:spacing w:val="-5"/>
                <w:sz w:val="20"/>
              </w:rPr>
              <w:t>15.</w:t>
            </w:r>
          </w:p>
        </w:tc>
        <w:tc>
          <w:tcPr>
            <w:tcW w:w="2991" w:type="dxa"/>
          </w:tcPr>
          <w:p>
            <w:pPr>
              <w:pStyle w:val="TableParagraph"/>
              <w:spacing w:line="249" w:lineRule="auto" w:before="120"/>
              <w:ind w:left="168" w:right="175"/>
              <w:rPr>
                <w:sz w:val="20"/>
              </w:rPr>
            </w:pPr>
            <w:r>
              <w:rPr>
                <w:sz w:val="20"/>
              </w:rPr>
              <w:t>Хирургические</w:t>
            </w:r>
            <w:r>
              <w:rPr>
                <w:spacing w:val="-13"/>
                <w:sz w:val="20"/>
              </w:rPr>
              <w:t> </w:t>
            </w:r>
            <w:r>
              <w:rPr>
                <w:sz w:val="20"/>
              </w:rPr>
              <w:t>вмешательства при врожденной или приобретенной гидроцефалии окклюзионного или сообщающегося</w:t>
            </w:r>
            <w:r>
              <w:rPr>
                <w:spacing w:val="-13"/>
                <w:sz w:val="20"/>
              </w:rPr>
              <w:t> </w:t>
            </w:r>
            <w:r>
              <w:rPr>
                <w:sz w:val="20"/>
              </w:rPr>
              <w:t>характера</w:t>
            </w:r>
            <w:r>
              <w:rPr>
                <w:spacing w:val="-12"/>
                <w:sz w:val="20"/>
              </w:rPr>
              <w:t> </w:t>
            </w:r>
            <w:r>
              <w:rPr>
                <w:sz w:val="20"/>
              </w:rPr>
              <w:t>или приобретенных церебральных кистах. Повторные </w:t>
            </w:r>
            <w:r>
              <w:rPr>
                <w:spacing w:val="-2"/>
                <w:sz w:val="20"/>
              </w:rPr>
              <w:t>ликворошунтирующие </w:t>
            </w:r>
            <w:r>
              <w:rPr>
                <w:sz w:val="20"/>
              </w:rPr>
              <w:t>операции при осложненном течении заболевания у детей</w:t>
            </w:r>
          </w:p>
        </w:tc>
        <w:tc>
          <w:tcPr>
            <w:tcW w:w="2005" w:type="dxa"/>
          </w:tcPr>
          <w:p>
            <w:pPr>
              <w:pStyle w:val="TableParagraph"/>
              <w:spacing w:before="120"/>
              <w:ind w:left="324"/>
              <w:rPr>
                <w:sz w:val="20"/>
              </w:rPr>
            </w:pPr>
            <w:r>
              <w:rPr>
                <w:sz w:val="20"/>
              </w:rPr>
              <w:t>G91,</w:t>
            </w:r>
            <w:r>
              <w:rPr>
                <w:spacing w:val="-4"/>
                <w:sz w:val="20"/>
              </w:rPr>
              <w:t> </w:t>
            </w:r>
            <w:r>
              <w:rPr>
                <w:sz w:val="20"/>
              </w:rPr>
              <w:t>G93.0,</w:t>
            </w:r>
            <w:r>
              <w:rPr>
                <w:spacing w:val="-3"/>
                <w:sz w:val="20"/>
              </w:rPr>
              <w:t> </w:t>
            </w:r>
            <w:r>
              <w:rPr>
                <w:spacing w:val="-5"/>
                <w:sz w:val="20"/>
              </w:rPr>
              <w:t>Q03</w:t>
            </w:r>
          </w:p>
        </w:tc>
        <w:tc>
          <w:tcPr>
            <w:tcW w:w="3129" w:type="dxa"/>
          </w:tcPr>
          <w:p>
            <w:pPr>
              <w:pStyle w:val="TableParagraph"/>
              <w:spacing w:line="249" w:lineRule="auto" w:before="120"/>
              <w:ind w:left="57" w:right="22"/>
              <w:rPr>
                <w:sz w:val="20"/>
              </w:rPr>
            </w:pPr>
            <w:r>
              <w:rPr>
                <w:sz w:val="20"/>
              </w:rPr>
              <w:t>врожденная или приобретенная гидроцефалия</w:t>
            </w:r>
            <w:r>
              <w:rPr>
                <w:spacing w:val="-13"/>
                <w:sz w:val="20"/>
              </w:rPr>
              <w:t> </w:t>
            </w:r>
            <w:r>
              <w:rPr>
                <w:sz w:val="20"/>
              </w:rPr>
              <w:t>окклюзионного</w:t>
            </w:r>
            <w:r>
              <w:rPr>
                <w:spacing w:val="-12"/>
                <w:sz w:val="20"/>
              </w:rPr>
              <w:t> </w:t>
            </w:r>
            <w:r>
              <w:rPr>
                <w:sz w:val="20"/>
              </w:rPr>
              <w:t>или сообщающегося характера.</w:t>
            </w:r>
          </w:p>
          <w:p>
            <w:pPr>
              <w:pStyle w:val="TableParagraph"/>
              <w:spacing w:line="249" w:lineRule="auto" w:before="3"/>
              <w:ind w:left="57" w:right="463"/>
              <w:rPr>
                <w:sz w:val="20"/>
              </w:rPr>
            </w:pPr>
            <w:r>
              <w:rPr>
                <w:sz w:val="20"/>
              </w:rPr>
              <w:t>Приобретенные</w:t>
            </w:r>
            <w:r>
              <w:rPr>
                <w:spacing w:val="-13"/>
                <w:sz w:val="20"/>
              </w:rPr>
              <w:t> </w:t>
            </w:r>
            <w:r>
              <w:rPr>
                <w:sz w:val="20"/>
              </w:rPr>
              <w:t>церебральные </w:t>
            </w:r>
            <w:r>
              <w:rPr>
                <w:spacing w:val="-2"/>
                <w:sz w:val="20"/>
              </w:rPr>
              <w:t>кисты</w:t>
            </w:r>
          </w:p>
        </w:tc>
        <w:tc>
          <w:tcPr>
            <w:tcW w:w="1561" w:type="dxa"/>
          </w:tcPr>
          <w:p>
            <w:pPr>
              <w:pStyle w:val="TableParagraph"/>
              <w:spacing w:line="249" w:lineRule="auto" w:before="120"/>
              <w:ind w:left="84"/>
              <w:rPr>
                <w:sz w:val="20"/>
              </w:rPr>
            </w:pPr>
            <w:r>
              <w:rPr>
                <w:spacing w:val="-2"/>
                <w:sz w:val="20"/>
              </w:rPr>
              <w:t>хирургическое лечение</w:t>
            </w:r>
          </w:p>
        </w:tc>
        <w:tc>
          <w:tcPr>
            <w:tcW w:w="3845" w:type="dxa"/>
          </w:tcPr>
          <w:p>
            <w:pPr>
              <w:pStyle w:val="TableParagraph"/>
              <w:spacing w:line="249" w:lineRule="auto" w:before="120"/>
              <w:ind w:left="221" w:right="758"/>
              <w:rPr>
                <w:sz w:val="20"/>
              </w:rPr>
            </w:pPr>
            <w:r>
              <w:rPr>
                <w:sz w:val="20"/>
              </w:rPr>
              <w:t>ликворошунтирующие</w:t>
            </w:r>
            <w:r>
              <w:rPr>
                <w:spacing w:val="-13"/>
                <w:sz w:val="20"/>
              </w:rPr>
              <w:t> </w:t>
            </w:r>
            <w:r>
              <w:rPr>
                <w:sz w:val="20"/>
              </w:rPr>
              <w:t>операции, в том числе с индивидуальным подбором</w:t>
            </w:r>
            <w:r>
              <w:rPr>
                <w:spacing w:val="-13"/>
                <w:sz w:val="20"/>
              </w:rPr>
              <w:t> </w:t>
            </w:r>
            <w:r>
              <w:rPr>
                <w:sz w:val="20"/>
              </w:rPr>
              <w:t>ликворошунтирующих </w:t>
            </w:r>
            <w:r>
              <w:rPr>
                <w:spacing w:val="-2"/>
                <w:sz w:val="20"/>
              </w:rPr>
              <w:t>систем</w:t>
            </w:r>
          </w:p>
        </w:tc>
        <w:tc>
          <w:tcPr>
            <w:tcW w:w="1036" w:type="dxa"/>
          </w:tcPr>
          <w:p>
            <w:pPr>
              <w:pStyle w:val="TableParagraph"/>
              <w:spacing w:before="120"/>
              <w:ind w:right="46"/>
              <w:jc w:val="right"/>
              <w:rPr>
                <w:sz w:val="20"/>
              </w:rPr>
            </w:pPr>
            <w:r>
              <w:rPr>
                <w:spacing w:val="-2"/>
                <w:sz w:val="20"/>
              </w:rPr>
              <w:t>250716</w:t>
            </w:r>
          </w:p>
        </w:tc>
      </w:tr>
      <w:tr>
        <w:trPr>
          <w:trHeight w:val="360" w:hRule="atLeast"/>
        </w:trPr>
        <w:tc>
          <w:tcPr>
            <w:tcW w:w="472" w:type="dxa"/>
          </w:tcPr>
          <w:p>
            <w:pPr>
              <w:pStyle w:val="TableParagraph"/>
              <w:spacing w:line="220" w:lineRule="exact" w:before="120"/>
              <w:ind w:left="50"/>
              <w:rPr>
                <w:sz w:val="20"/>
              </w:rPr>
            </w:pPr>
            <w:r>
              <w:rPr>
                <w:spacing w:val="-5"/>
                <w:sz w:val="20"/>
              </w:rPr>
              <w:t>16.</w:t>
            </w:r>
          </w:p>
        </w:tc>
        <w:tc>
          <w:tcPr>
            <w:tcW w:w="2991" w:type="dxa"/>
          </w:tcPr>
          <w:p>
            <w:pPr>
              <w:pStyle w:val="TableParagraph"/>
              <w:spacing w:line="220" w:lineRule="exact" w:before="120"/>
              <w:ind w:left="168"/>
              <w:rPr>
                <w:sz w:val="20"/>
              </w:rPr>
            </w:pPr>
            <w:r>
              <w:rPr>
                <w:w w:val="95"/>
                <w:sz w:val="20"/>
              </w:rPr>
              <w:t>Микрохирургические</w:t>
            </w:r>
            <w:r>
              <w:rPr>
                <w:spacing w:val="69"/>
                <w:sz w:val="20"/>
              </w:rPr>
              <w:t> </w:t>
            </w:r>
            <w:r>
              <w:rPr>
                <w:spacing w:val="-10"/>
                <w:sz w:val="20"/>
              </w:rPr>
              <w:t>и</w:t>
            </w:r>
          </w:p>
        </w:tc>
        <w:tc>
          <w:tcPr>
            <w:tcW w:w="2005" w:type="dxa"/>
          </w:tcPr>
          <w:p>
            <w:pPr>
              <w:pStyle w:val="TableParagraph"/>
              <w:spacing w:line="220" w:lineRule="exact" w:before="120"/>
              <w:ind w:right="124"/>
              <w:jc w:val="right"/>
              <w:rPr>
                <w:sz w:val="20"/>
              </w:rPr>
            </w:pPr>
            <w:r>
              <w:rPr>
                <w:sz w:val="20"/>
              </w:rPr>
              <w:t>G95.1,</w:t>
            </w:r>
            <w:r>
              <w:rPr>
                <w:spacing w:val="-4"/>
                <w:sz w:val="20"/>
              </w:rPr>
              <w:t> </w:t>
            </w:r>
            <w:r>
              <w:rPr>
                <w:sz w:val="20"/>
              </w:rPr>
              <w:t>G95.2,</w:t>
            </w:r>
            <w:r>
              <w:rPr>
                <w:spacing w:val="-5"/>
                <w:sz w:val="20"/>
              </w:rPr>
              <w:t> </w:t>
            </w:r>
            <w:r>
              <w:rPr>
                <w:spacing w:val="-2"/>
                <w:sz w:val="20"/>
              </w:rPr>
              <w:t>G95.8,</w:t>
            </w:r>
          </w:p>
        </w:tc>
        <w:tc>
          <w:tcPr>
            <w:tcW w:w="3129" w:type="dxa"/>
          </w:tcPr>
          <w:p>
            <w:pPr>
              <w:pStyle w:val="TableParagraph"/>
              <w:spacing w:line="220" w:lineRule="exact" w:before="120"/>
              <w:ind w:left="57"/>
              <w:rPr>
                <w:sz w:val="20"/>
              </w:rPr>
            </w:pPr>
            <w:r>
              <w:rPr>
                <w:w w:val="95"/>
                <w:sz w:val="20"/>
              </w:rPr>
              <w:t>дегенеративно-</w:t>
            </w:r>
            <w:r>
              <w:rPr>
                <w:spacing w:val="-2"/>
                <w:sz w:val="20"/>
              </w:rPr>
              <w:t>дистрофическое</w:t>
            </w:r>
          </w:p>
        </w:tc>
        <w:tc>
          <w:tcPr>
            <w:tcW w:w="1561" w:type="dxa"/>
          </w:tcPr>
          <w:p>
            <w:pPr>
              <w:pStyle w:val="TableParagraph"/>
              <w:spacing w:line="220" w:lineRule="exact" w:before="120"/>
              <w:ind w:left="84"/>
              <w:rPr>
                <w:sz w:val="20"/>
              </w:rPr>
            </w:pPr>
            <w:r>
              <w:rPr>
                <w:spacing w:val="-2"/>
                <w:sz w:val="20"/>
              </w:rPr>
              <w:t>хирургическое</w:t>
            </w:r>
          </w:p>
        </w:tc>
        <w:tc>
          <w:tcPr>
            <w:tcW w:w="3845" w:type="dxa"/>
          </w:tcPr>
          <w:p>
            <w:pPr>
              <w:pStyle w:val="TableParagraph"/>
              <w:spacing w:line="220" w:lineRule="exact" w:before="120"/>
              <w:ind w:left="221"/>
              <w:rPr>
                <w:sz w:val="20"/>
              </w:rPr>
            </w:pPr>
            <w:r>
              <w:rPr>
                <w:w w:val="95"/>
                <w:sz w:val="20"/>
              </w:rPr>
              <w:t>декомпрессивно-</w:t>
            </w:r>
            <w:r>
              <w:rPr>
                <w:spacing w:val="-2"/>
                <w:sz w:val="20"/>
              </w:rPr>
              <w:t>стабилизирующее</w:t>
            </w:r>
          </w:p>
        </w:tc>
        <w:tc>
          <w:tcPr>
            <w:tcW w:w="1036" w:type="dxa"/>
          </w:tcPr>
          <w:p>
            <w:pPr>
              <w:pStyle w:val="TableParagraph"/>
              <w:spacing w:line="220" w:lineRule="exact" w:before="120"/>
              <w:ind w:right="46"/>
              <w:jc w:val="right"/>
              <w:rPr>
                <w:sz w:val="20"/>
              </w:rPr>
            </w:pPr>
            <w:r>
              <w:rPr>
                <w:spacing w:val="-2"/>
                <w:sz w:val="20"/>
              </w:rPr>
              <w:t>321035</w:t>
            </w: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pacing w:val="-2"/>
                <w:sz w:val="20"/>
              </w:rPr>
              <w:t>эндоскопические</w:t>
            </w:r>
          </w:p>
        </w:tc>
        <w:tc>
          <w:tcPr>
            <w:tcW w:w="2005" w:type="dxa"/>
          </w:tcPr>
          <w:p>
            <w:pPr>
              <w:pStyle w:val="TableParagraph"/>
              <w:spacing w:line="220" w:lineRule="exact"/>
              <w:ind w:left="264"/>
              <w:rPr>
                <w:sz w:val="20"/>
              </w:rPr>
            </w:pPr>
            <w:r>
              <w:rPr>
                <w:sz w:val="20"/>
              </w:rPr>
              <w:t>G95.9,</w:t>
            </w:r>
            <w:r>
              <w:rPr>
                <w:spacing w:val="-4"/>
                <w:sz w:val="20"/>
              </w:rPr>
              <w:t> </w:t>
            </w:r>
            <w:r>
              <w:rPr>
                <w:sz w:val="20"/>
              </w:rPr>
              <w:t>M42,</w:t>
            </w:r>
            <w:r>
              <w:rPr>
                <w:spacing w:val="-3"/>
                <w:sz w:val="20"/>
              </w:rPr>
              <w:t> </w:t>
            </w:r>
            <w:r>
              <w:rPr>
                <w:spacing w:val="-4"/>
                <w:sz w:val="20"/>
              </w:rPr>
              <w:t>M43,</w:t>
            </w:r>
          </w:p>
        </w:tc>
        <w:tc>
          <w:tcPr>
            <w:tcW w:w="3129" w:type="dxa"/>
          </w:tcPr>
          <w:p>
            <w:pPr>
              <w:pStyle w:val="TableParagraph"/>
              <w:spacing w:line="220" w:lineRule="exact"/>
              <w:ind w:left="57"/>
              <w:rPr>
                <w:sz w:val="20"/>
              </w:rPr>
            </w:pPr>
            <w:r>
              <w:rPr>
                <w:sz w:val="20"/>
              </w:rPr>
              <w:t>поражение</w:t>
            </w:r>
            <w:r>
              <w:rPr>
                <w:spacing w:val="-11"/>
                <w:sz w:val="20"/>
              </w:rPr>
              <w:t> </w:t>
            </w:r>
            <w:r>
              <w:rPr>
                <w:spacing w:val="-2"/>
                <w:sz w:val="20"/>
              </w:rPr>
              <w:t>межпозвонковых</w:t>
            </w:r>
          </w:p>
        </w:tc>
        <w:tc>
          <w:tcPr>
            <w:tcW w:w="1561" w:type="dxa"/>
          </w:tcPr>
          <w:p>
            <w:pPr>
              <w:pStyle w:val="TableParagraph"/>
              <w:spacing w:line="220" w:lineRule="exact"/>
              <w:ind w:left="84"/>
              <w:rPr>
                <w:sz w:val="20"/>
              </w:rPr>
            </w:pPr>
            <w:r>
              <w:rPr>
                <w:spacing w:val="-2"/>
                <w:sz w:val="20"/>
              </w:rPr>
              <w:t>лечение</w:t>
            </w:r>
          </w:p>
        </w:tc>
        <w:tc>
          <w:tcPr>
            <w:tcW w:w="3845" w:type="dxa"/>
          </w:tcPr>
          <w:p>
            <w:pPr>
              <w:pStyle w:val="TableParagraph"/>
              <w:spacing w:line="220" w:lineRule="exact"/>
              <w:ind w:left="221"/>
              <w:rPr>
                <w:sz w:val="20"/>
              </w:rPr>
            </w:pPr>
            <w:r>
              <w:rPr>
                <w:sz w:val="20"/>
              </w:rPr>
              <w:t>вмешательство</w:t>
            </w:r>
            <w:r>
              <w:rPr>
                <w:spacing w:val="-10"/>
                <w:sz w:val="20"/>
              </w:rPr>
              <w:t> </w:t>
            </w:r>
            <w:r>
              <w:rPr>
                <w:sz w:val="20"/>
              </w:rPr>
              <w:t>с</w:t>
            </w:r>
            <w:r>
              <w:rPr>
                <w:spacing w:val="-9"/>
                <w:sz w:val="20"/>
              </w:rPr>
              <w:t> </w:t>
            </w:r>
            <w:r>
              <w:rPr>
                <w:sz w:val="20"/>
              </w:rPr>
              <w:t>резекцией</w:t>
            </w:r>
            <w:r>
              <w:rPr>
                <w:spacing w:val="-7"/>
                <w:sz w:val="20"/>
              </w:rPr>
              <w:t> </w:t>
            </w:r>
            <w:r>
              <w:rPr>
                <w:spacing w:val="-2"/>
                <w:sz w:val="20"/>
              </w:rPr>
              <w:t>позвонка,</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вмешательства</w:t>
            </w:r>
            <w:r>
              <w:rPr>
                <w:spacing w:val="-11"/>
                <w:sz w:val="20"/>
              </w:rPr>
              <w:t> </w:t>
            </w:r>
            <w:r>
              <w:rPr>
                <w:sz w:val="20"/>
              </w:rPr>
              <w:t>при</w:t>
            </w:r>
            <w:r>
              <w:rPr>
                <w:spacing w:val="-10"/>
                <w:sz w:val="20"/>
              </w:rPr>
              <w:t> </w:t>
            </w:r>
            <w:r>
              <w:rPr>
                <w:spacing w:val="-2"/>
                <w:sz w:val="20"/>
              </w:rPr>
              <w:t>поражениях</w:t>
            </w:r>
          </w:p>
        </w:tc>
        <w:tc>
          <w:tcPr>
            <w:tcW w:w="2005" w:type="dxa"/>
          </w:tcPr>
          <w:p>
            <w:pPr>
              <w:pStyle w:val="TableParagraph"/>
              <w:spacing w:line="220" w:lineRule="exact"/>
              <w:ind w:right="56"/>
              <w:jc w:val="right"/>
              <w:rPr>
                <w:sz w:val="20"/>
              </w:rPr>
            </w:pPr>
            <w:r>
              <w:rPr>
                <w:sz w:val="20"/>
              </w:rPr>
              <w:t>M45,</w:t>
            </w:r>
            <w:r>
              <w:rPr>
                <w:spacing w:val="-4"/>
                <w:sz w:val="20"/>
              </w:rPr>
              <w:t> </w:t>
            </w:r>
            <w:r>
              <w:rPr>
                <w:sz w:val="20"/>
              </w:rPr>
              <w:t>M46,</w:t>
            </w:r>
            <w:r>
              <w:rPr>
                <w:spacing w:val="-3"/>
                <w:sz w:val="20"/>
              </w:rPr>
              <w:t> </w:t>
            </w:r>
            <w:r>
              <w:rPr>
                <w:sz w:val="20"/>
              </w:rPr>
              <w:t>M48,</w:t>
            </w:r>
            <w:r>
              <w:rPr>
                <w:spacing w:val="-5"/>
                <w:sz w:val="20"/>
              </w:rPr>
              <w:t> </w:t>
            </w:r>
            <w:r>
              <w:rPr>
                <w:spacing w:val="-4"/>
                <w:sz w:val="20"/>
              </w:rPr>
              <w:t>M50,</w:t>
            </w:r>
          </w:p>
        </w:tc>
        <w:tc>
          <w:tcPr>
            <w:tcW w:w="3129" w:type="dxa"/>
          </w:tcPr>
          <w:p>
            <w:pPr>
              <w:pStyle w:val="TableParagraph"/>
              <w:spacing w:line="220" w:lineRule="exact"/>
              <w:ind w:left="57"/>
              <w:rPr>
                <w:sz w:val="20"/>
              </w:rPr>
            </w:pPr>
            <w:r>
              <w:rPr>
                <w:sz w:val="20"/>
              </w:rPr>
              <w:t>дисков,</w:t>
            </w:r>
            <w:r>
              <w:rPr>
                <w:spacing w:val="-6"/>
                <w:sz w:val="20"/>
              </w:rPr>
              <w:t> </w:t>
            </w:r>
            <w:r>
              <w:rPr>
                <w:sz w:val="20"/>
              </w:rPr>
              <w:t>суставов</w:t>
            </w:r>
            <w:r>
              <w:rPr>
                <w:spacing w:val="-6"/>
                <w:sz w:val="20"/>
              </w:rPr>
              <w:t> </w:t>
            </w:r>
            <w:r>
              <w:rPr>
                <w:sz w:val="20"/>
              </w:rPr>
              <w:t>и</w:t>
            </w:r>
            <w:r>
              <w:rPr>
                <w:spacing w:val="-6"/>
                <w:sz w:val="20"/>
              </w:rPr>
              <w:t> </w:t>
            </w:r>
            <w:r>
              <w:rPr>
                <w:spacing w:val="-2"/>
                <w:sz w:val="20"/>
              </w:rPr>
              <w:t>связок</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межпозвонкового</w:t>
            </w:r>
            <w:r>
              <w:rPr>
                <w:spacing w:val="-11"/>
                <w:sz w:val="20"/>
              </w:rPr>
              <w:t> </w:t>
            </w:r>
            <w:r>
              <w:rPr>
                <w:sz w:val="20"/>
              </w:rPr>
              <w:t>диска,</w:t>
            </w:r>
            <w:r>
              <w:rPr>
                <w:spacing w:val="-11"/>
                <w:sz w:val="20"/>
              </w:rPr>
              <w:t> </w:t>
            </w:r>
            <w:r>
              <w:rPr>
                <w:spacing w:val="-2"/>
                <w:sz w:val="20"/>
              </w:rPr>
              <w:t>связочных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межпозвоночных</w:t>
            </w:r>
            <w:r>
              <w:rPr>
                <w:spacing w:val="58"/>
                <w:sz w:val="20"/>
              </w:rPr>
              <w:t> </w:t>
            </w:r>
            <w:r>
              <w:rPr>
                <w:spacing w:val="-2"/>
                <w:sz w:val="20"/>
              </w:rPr>
              <w:t>дисков</w:t>
            </w:r>
          </w:p>
        </w:tc>
        <w:tc>
          <w:tcPr>
            <w:tcW w:w="2005" w:type="dxa"/>
          </w:tcPr>
          <w:p>
            <w:pPr>
              <w:pStyle w:val="TableParagraph"/>
              <w:spacing w:line="220" w:lineRule="exact"/>
              <w:ind w:right="56"/>
              <w:jc w:val="right"/>
              <w:rPr>
                <w:sz w:val="20"/>
              </w:rPr>
            </w:pPr>
            <w:r>
              <w:rPr>
                <w:sz w:val="20"/>
              </w:rPr>
              <w:t>M51,</w:t>
            </w:r>
            <w:r>
              <w:rPr>
                <w:spacing w:val="-4"/>
                <w:sz w:val="20"/>
              </w:rPr>
              <w:t> </w:t>
            </w:r>
            <w:r>
              <w:rPr>
                <w:sz w:val="20"/>
              </w:rPr>
              <w:t>M53,</w:t>
            </w:r>
            <w:r>
              <w:rPr>
                <w:spacing w:val="-3"/>
                <w:sz w:val="20"/>
              </w:rPr>
              <w:t> </w:t>
            </w:r>
            <w:r>
              <w:rPr>
                <w:sz w:val="20"/>
              </w:rPr>
              <w:t>M92,</w:t>
            </w:r>
            <w:r>
              <w:rPr>
                <w:spacing w:val="-5"/>
                <w:sz w:val="20"/>
              </w:rPr>
              <w:t> </w:t>
            </w:r>
            <w:r>
              <w:rPr>
                <w:spacing w:val="-4"/>
                <w:sz w:val="20"/>
              </w:rPr>
              <w:t>M93,</w:t>
            </w:r>
          </w:p>
        </w:tc>
        <w:tc>
          <w:tcPr>
            <w:tcW w:w="3129" w:type="dxa"/>
          </w:tcPr>
          <w:p>
            <w:pPr>
              <w:pStyle w:val="TableParagraph"/>
              <w:spacing w:line="220" w:lineRule="exact"/>
              <w:ind w:left="57"/>
              <w:rPr>
                <w:sz w:val="20"/>
              </w:rPr>
            </w:pPr>
            <w:r>
              <w:rPr>
                <w:sz w:val="20"/>
              </w:rPr>
              <w:t>позвоночника</w:t>
            </w:r>
            <w:r>
              <w:rPr>
                <w:spacing w:val="-8"/>
                <w:sz w:val="20"/>
              </w:rPr>
              <w:t> </w:t>
            </w:r>
            <w:r>
              <w:rPr>
                <w:sz w:val="20"/>
              </w:rPr>
              <w:t>с</w:t>
            </w:r>
            <w:r>
              <w:rPr>
                <w:spacing w:val="-8"/>
                <w:sz w:val="20"/>
              </w:rPr>
              <w:t> </w:t>
            </w:r>
            <w:r>
              <w:rPr>
                <w:spacing w:val="-2"/>
                <w:sz w:val="20"/>
              </w:rPr>
              <w:t>формированием</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элементов</w:t>
            </w:r>
            <w:r>
              <w:rPr>
                <w:spacing w:val="-12"/>
                <w:sz w:val="20"/>
              </w:rPr>
              <w:t> </w:t>
            </w:r>
            <w:r>
              <w:rPr>
                <w:sz w:val="20"/>
              </w:rPr>
              <w:t>сегмента</w:t>
            </w:r>
            <w:r>
              <w:rPr>
                <w:spacing w:val="-10"/>
                <w:sz w:val="20"/>
              </w:rPr>
              <w:t> </w:t>
            </w:r>
            <w:r>
              <w:rPr>
                <w:sz w:val="20"/>
              </w:rPr>
              <w:t>позвоночника</w:t>
            </w:r>
            <w:r>
              <w:rPr>
                <w:spacing w:val="-11"/>
                <w:sz w:val="20"/>
              </w:rPr>
              <w:t> </w:t>
            </w:r>
            <w:r>
              <w:rPr>
                <w:spacing w:val="-5"/>
                <w:sz w:val="20"/>
              </w:rPr>
              <w:t>из</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шейных</w:t>
            </w:r>
            <w:r>
              <w:rPr>
                <w:spacing w:val="-7"/>
                <w:sz w:val="20"/>
              </w:rPr>
              <w:t> </w:t>
            </w:r>
            <w:r>
              <w:rPr>
                <w:sz w:val="20"/>
              </w:rPr>
              <w:t>и</w:t>
            </w:r>
            <w:r>
              <w:rPr>
                <w:spacing w:val="-6"/>
                <w:sz w:val="20"/>
              </w:rPr>
              <w:t> </w:t>
            </w:r>
            <w:r>
              <w:rPr>
                <w:sz w:val="20"/>
              </w:rPr>
              <w:t>грудных</w:t>
            </w:r>
            <w:r>
              <w:rPr>
                <w:spacing w:val="-7"/>
                <w:sz w:val="20"/>
              </w:rPr>
              <w:t> </w:t>
            </w:r>
            <w:r>
              <w:rPr>
                <w:sz w:val="20"/>
              </w:rPr>
              <w:t>отделов</w:t>
            </w:r>
            <w:r>
              <w:rPr>
                <w:spacing w:val="-1"/>
                <w:sz w:val="20"/>
              </w:rPr>
              <w:t> </w:t>
            </w:r>
            <w:r>
              <w:rPr>
                <w:spacing w:val="-10"/>
                <w:sz w:val="20"/>
              </w:rPr>
              <w:t>с</w:t>
            </w:r>
          </w:p>
        </w:tc>
        <w:tc>
          <w:tcPr>
            <w:tcW w:w="2005" w:type="dxa"/>
          </w:tcPr>
          <w:p>
            <w:pPr>
              <w:pStyle w:val="TableParagraph"/>
              <w:spacing w:line="220" w:lineRule="exact"/>
              <w:ind w:left="204"/>
              <w:rPr>
                <w:sz w:val="20"/>
              </w:rPr>
            </w:pPr>
            <w:r>
              <w:rPr>
                <w:sz w:val="20"/>
              </w:rPr>
              <w:t>M95,</w:t>
            </w:r>
            <w:r>
              <w:rPr>
                <w:spacing w:val="-4"/>
                <w:sz w:val="20"/>
              </w:rPr>
              <w:t> </w:t>
            </w:r>
            <w:r>
              <w:rPr>
                <w:sz w:val="20"/>
              </w:rPr>
              <w:t>G95.1,</w:t>
            </w:r>
            <w:r>
              <w:rPr>
                <w:spacing w:val="-4"/>
                <w:sz w:val="20"/>
              </w:rPr>
              <w:t> </w:t>
            </w:r>
            <w:r>
              <w:rPr>
                <w:spacing w:val="-2"/>
                <w:sz w:val="20"/>
              </w:rPr>
              <w:t>G95.2,</w:t>
            </w:r>
          </w:p>
        </w:tc>
        <w:tc>
          <w:tcPr>
            <w:tcW w:w="3129" w:type="dxa"/>
          </w:tcPr>
          <w:p>
            <w:pPr>
              <w:pStyle w:val="TableParagraph"/>
              <w:spacing w:line="220" w:lineRule="exact"/>
              <w:ind w:left="57"/>
              <w:rPr>
                <w:sz w:val="20"/>
              </w:rPr>
            </w:pPr>
            <w:r>
              <w:rPr>
                <w:sz w:val="20"/>
              </w:rPr>
              <w:t>грыжи</w:t>
            </w:r>
            <w:r>
              <w:rPr>
                <w:spacing w:val="-8"/>
                <w:sz w:val="20"/>
              </w:rPr>
              <w:t> </w:t>
            </w:r>
            <w:r>
              <w:rPr>
                <w:sz w:val="20"/>
              </w:rPr>
              <w:t>диска,</w:t>
            </w:r>
            <w:r>
              <w:rPr>
                <w:spacing w:val="-6"/>
                <w:sz w:val="20"/>
              </w:rPr>
              <w:t> </w:t>
            </w:r>
            <w:r>
              <w:rPr>
                <w:spacing w:val="-2"/>
                <w:sz w:val="20"/>
              </w:rPr>
              <w:t>деформацией</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заднего</w:t>
            </w:r>
            <w:r>
              <w:rPr>
                <w:spacing w:val="-9"/>
                <w:sz w:val="20"/>
              </w:rPr>
              <w:t> </w:t>
            </w:r>
            <w:r>
              <w:rPr>
                <w:sz w:val="20"/>
              </w:rPr>
              <w:t>или</w:t>
            </w:r>
            <w:r>
              <w:rPr>
                <w:spacing w:val="-8"/>
                <w:sz w:val="20"/>
              </w:rPr>
              <w:t> </w:t>
            </w:r>
            <w:r>
              <w:rPr>
                <w:sz w:val="20"/>
              </w:rPr>
              <w:t>вентрального</w:t>
            </w:r>
            <w:r>
              <w:rPr>
                <w:spacing w:val="-9"/>
                <w:sz w:val="20"/>
              </w:rPr>
              <w:t> </w:t>
            </w:r>
            <w:r>
              <w:rPr>
                <w:sz w:val="20"/>
              </w:rPr>
              <w:t>доступов,</w:t>
            </w:r>
            <w:r>
              <w:rPr>
                <w:spacing w:val="-9"/>
                <w:sz w:val="20"/>
              </w:rPr>
              <w:t> </w:t>
            </w:r>
            <w:r>
              <w:rPr>
                <w:spacing w:val="-10"/>
                <w:sz w:val="20"/>
              </w:rPr>
              <w:t>с</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миелопатией,</w:t>
            </w:r>
            <w:r>
              <w:rPr>
                <w:spacing w:val="-11"/>
                <w:sz w:val="20"/>
              </w:rPr>
              <w:t> </w:t>
            </w:r>
            <w:r>
              <w:rPr>
                <w:sz w:val="20"/>
              </w:rPr>
              <w:t>радикуло-</w:t>
            </w:r>
            <w:r>
              <w:rPr>
                <w:spacing w:val="-10"/>
                <w:sz w:val="20"/>
              </w:rPr>
              <w:t> и</w:t>
            </w:r>
          </w:p>
        </w:tc>
        <w:tc>
          <w:tcPr>
            <w:tcW w:w="2005" w:type="dxa"/>
          </w:tcPr>
          <w:p>
            <w:pPr>
              <w:pStyle w:val="TableParagraph"/>
              <w:spacing w:line="220" w:lineRule="exact"/>
              <w:ind w:right="147"/>
              <w:jc w:val="right"/>
              <w:rPr>
                <w:sz w:val="20"/>
              </w:rPr>
            </w:pPr>
            <w:r>
              <w:rPr>
                <w:sz w:val="20"/>
              </w:rPr>
              <w:t>G95.8,</w:t>
            </w:r>
            <w:r>
              <w:rPr>
                <w:spacing w:val="-3"/>
                <w:sz w:val="20"/>
              </w:rPr>
              <w:t> </w:t>
            </w:r>
            <w:r>
              <w:rPr>
                <w:sz w:val="20"/>
              </w:rPr>
              <w:t>G95.9,</w:t>
            </w:r>
            <w:r>
              <w:rPr>
                <w:spacing w:val="-5"/>
                <w:sz w:val="20"/>
              </w:rPr>
              <w:t> </w:t>
            </w:r>
            <w:r>
              <w:rPr>
                <w:spacing w:val="-4"/>
                <w:sz w:val="20"/>
              </w:rPr>
              <w:t>Q76.2</w:t>
            </w:r>
          </w:p>
        </w:tc>
        <w:tc>
          <w:tcPr>
            <w:tcW w:w="3129" w:type="dxa"/>
          </w:tcPr>
          <w:p>
            <w:pPr>
              <w:pStyle w:val="TableParagraph"/>
              <w:spacing w:line="220" w:lineRule="exact"/>
              <w:ind w:left="57"/>
              <w:rPr>
                <w:sz w:val="20"/>
              </w:rPr>
            </w:pPr>
            <w:r>
              <w:rPr>
                <w:spacing w:val="-2"/>
                <w:sz w:val="20"/>
              </w:rPr>
              <w:t>(гипертрофией)</w:t>
            </w:r>
            <w:r>
              <w:rPr>
                <w:spacing w:val="9"/>
                <w:sz w:val="20"/>
              </w:rPr>
              <w:t> </w:t>
            </w:r>
            <w:r>
              <w:rPr>
                <w:spacing w:val="-2"/>
                <w:sz w:val="20"/>
              </w:rPr>
              <w:t>суставов</w:t>
            </w:r>
            <w:r>
              <w:rPr>
                <w:spacing w:val="9"/>
                <w:sz w:val="20"/>
              </w:rPr>
              <w:t> </w:t>
            </w:r>
            <w:r>
              <w:rPr>
                <w:spacing w:val="-10"/>
                <w:sz w:val="20"/>
              </w:rPr>
              <w:t>и</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фиксацией</w:t>
            </w:r>
            <w:r>
              <w:rPr>
                <w:spacing w:val="-13"/>
                <w:sz w:val="20"/>
              </w:rPr>
              <w:t> </w:t>
            </w:r>
            <w:r>
              <w:rPr>
                <w:sz w:val="20"/>
              </w:rPr>
              <w:t>позвоночника,</w:t>
            </w:r>
            <w:r>
              <w:rPr>
                <w:spacing w:val="-10"/>
                <w:sz w:val="20"/>
              </w:rPr>
              <w:t> с</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pacing w:val="-2"/>
                <w:sz w:val="20"/>
              </w:rPr>
              <w:t>нейропатией,</w:t>
            </w:r>
            <w:r>
              <w:rPr>
                <w:spacing w:val="8"/>
                <w:sz w:val="20"/>
              </w:rPr>
              <w:t> </w:t>
            </w:r>
            <w:r>
              <w:rPr>
                <w:spacing w:val="-2"/>
                <w:sz w:val="20"/>
              </w:rPr>
              <w:t>спондилолистезах</w:t>
            </w:r>
          </w:p>
        </w:tc>
        <w:tc>
          <w:tcPr>
            <w:tcW w:w="2005" w:type="dxa"/>
          </w:tcPr>
          <w:p>
            <w:pPr>
              <w:pStyle w:val="TableParagraph"/>
              <w:rPr>
                <w:sz w:val="16"/>
              </w:rPr>
            </w:pPr>
          </w:p>
        </w:tc>
        <w:tc>
          <w:tcPr>
            <w:tcW w:w="3129" w:type="dxa"/>
          </w:tcPr>
          <w:p>
            <w:pPr>
              <w:pStyle w:val="TableParagraph"/>
              <w:spacing w:line="220" w:lineRule="exact"/>
              <w:ind w:left="57"/>
              <w:rPr>
                <w:sz w:val="20"/>
              </w:rPr>
            </w:pPr>
            <w:r>
              <w:rPr>
                <w:sz w:val="20"/>
              </w:rPr>
              <w:t>связочного</w:t>
            </w:r>
            <w:r>
              <w:rPr>
                <w:spacing w:val="-10"/>
                <w:sz w:val="20"/>
              </w:rPr>
              <w:t> </w:t>
            </w:r>
            <w:r>
              <w:rPr>
                <w:spacing w:val="-2"/>
                <w:sz w:val="20"/>
              </w:rPr>
              <w:t>аппарата,</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использованием</w:t>
            </w:r>
            <w:r>
              <w:rPr>
                <w:spacing w:val="-11"/>
                <w:sz w:val="20"/>
              </w:rPr>
              <w:t> </w:t>
            </w:r>
            <w:r>
              <w:rPr>
                <w:sz w:val="20"/>
              </w:rPr>
              <w:t>костной</w:t>
            </w:r>
            <w:r>
              <w:rPr>
                <w:spacing w:val="-12"/>
                <w:sz w:val="20"/>
              </w:rPr>
              <w:t> </w:t>
            </w:r>
            <w:r>
              <w:rPr>
                <w:spacing w:val="-2"/>
                <w:sz w:val="20"/>
              </w:rPr>
              <w:t>пластики</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и</w:t>
            </w:r>
            <w:r>
              <w:rPr>
                <w:spacing w:val="-8"/>
                <w:sz w:val="20"/>
              </w:rPr>
              <w:t> </w:t>
            </w:r>
            <w:r>
              <w:rPr>
                <w:sz w:val="20"/>
              </w:rPr>
              <w:t>спинальных</w:t>
            </w:r>
            <w:r>
              <w:rPr>
                <w:spacing w:val="-8"/>
                <w:sz w:val="20"/>
              </w:rPr>
              <w:t> </w:t>
            </w:r>
            <w:r>
              <w:rPr>
                <w:spacing w:val="-2"/>
                <w:sz w:val="20"/>
              </w:rPr>
              <w:t>стенозах.</w:t>
            </w:r>
          </w:p>
        </w:tc>
        <w:tc>
          <w:tcPr>
            <w:tcW w:w="2005" w:type="dxa"/>
          </w:tcPr>
          <w:p>
            <w:pPr>
              <w:pStyle w:val="TableParagraph"/>
              <w:rPr>
                <w:sz w:val="16"/>
              </w:rPr>
            </w:pPr>
          </w:p>
        </w:tc>
        <w:tc>
          <w:tcPr>
            <w:tcW w:w="3129" w:type="dxa"/>
          </w:tcPr>
          <w:p>
            <w:pPr>
              <w:pStyle w:val="TableParagraph"/>
              <w:spacing w:line="220" w:lineRule="exact"/>
              <w:ind w:left="57"/>
              <w:rPr>
                <w:sz w:val="20"/>
              </w:rPr>
            </w:pPr>
            <w:r>
              <w:rPr>
                <w:w w:val="95"/>
                <w:sz w:val="20"/>
              </w:rPr>
              <w:t>нестабильностью</w:t>
            </w:r>
            <w:r>
              <w:rPr>
                <w:spacing w:val="59"/>
                <w:sz w:val="20"/>
              </w:rPr>
              <w:t> </w:t>
            </w:r>
            <w:r>
              <w:rPr>
                <w:spacing w:val="-2"/>
                <w:sz w:val="20"/>
              </w:rPr>
              <w:t>сегмента,</w:t>
            </w:r>
          </w:p>
        </w:tc>
        <w:tc>
          <w:tcPr>
            <w:tcW w:w="1561" w:type="dxa"/>
          </w:tcPr>
          <w:p>
            <w:pPr>
              <w:pStyle w:val="TableParagraph"/>
              <w:rPr>
                <w:sz w:val="16"/>
              </w:rPr>
            </w:pPr>
          </w:p>
        </w:tc>
        <w:tc>
          <w:tcPr>
            <w:tcW w:w="3845" w:type="dxa"/>
          </w:tcPr>
          <w:p>
            <w:pPr>
              <w:pStyle w:val="TableParagraph"/>
              <w:spacing w:line="220" w:lineRule="exact"/>
              <w:ind w:left="221"/>
              <w:rPr>
                <w:sz w:val="20"/>
              </w:rPr>
            </w:pPr>
            <w:r>
              <w:rPr>
                <w:w w:val="95"/>
                <w:sz w:val="20"/>
              </w:rPr>
              <w:t>(спондилодеза),</w:t>
            </w:r>
            <w:r>
              <w:rPr>
                <w:spacing w:val="51"/>
                <w:sz w:val="20"/>
              </w:rPr>
              <w:t> </w:t>
            </w:r>
            <w:r>
              <w:rPr>
                <w:spacing w:val="-2"/>
                <w:sz w:val="20"/>
              </w:rPr>
              <w:t>погружных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Сложные</w:t>
            </w:r>
            <w:r>
              <w:rPr>
                <w:spacing w:val="-11"/>
                <w:sz w:val="20"/>
              </w:rPr>
              <w:t> </w:t>
            </w:r>
            <w:r>
              <w:rPr>
                <w:spacing w:val="-2"/>
                <w:sz w:val="20"/>
              </w:rPr>
              <w:t>декомпрессионно-</w:t>
            </w:r>
          </w:p>
        </w:tc>
        <w:tc>
          <w:tcPr>
            <w:tcW w:w="2005" w:type="dxa"/>
          </w:tcPr>
          <w:p>
            <w:pPr>
              <w:pStyle w:val="TableParagraph"/>
              <w:rPr>
                <w:sz w:val="16"/>
              </w:rPr>
            </w:pPr>
          </w:p>
        </w:tc>
        <w:tc>
          <w:tcPr>
            <w:tcW w:w="3129" w:type="dxa"/>
          </w:tcPr>
          <w:p>
            <w:pPr>
              <w:pStyle w:val="TableParagraph"/>
              <w:spacing w:line="220" w:lineRule="exact"/>
              <w:ind w:left="57"/>
              <w:rPr>
                <w:sz w:val="20"/>
              </w:rPr>
            </w:pPr>
            <w:r>
              <w:rPr>
                <w:w w:val="95"/>
                <w:sz w:val="20"/>
              </w:rPr>
              <w:t>спондилолистезом,</w:t>
            </w:r>
            <w:r>
              <w:rPr>
                <w:spacing w:val="55"/>
                <w:sz w:val="20"/>
              </w:rPr>
              <w:t> </w:t>
            </w:r>
            <w:r>
              <w:rPr>
                <w:w w:val="95"/>
                <w:sz w:val="20"/>
              </w:rPr>
              <w:t>деформацией</w:t>
            </w:r>
            <w:r>
              <w:rPr>
                <w:spacing w:val="53"/>
                <w:sz w:val="20"/>
              </w:rPr>
              <w:t> </w:t>
            </w:r>
            <w:r>
              <w:rPr>
                <w:spacing w:val="-10"/>
                <w:w w:val="95"/>
                <w:sz w:val="20"/>
              </w:rPr>
              <w:t>и</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имплантатов</w:t>
            </w:r>
            <w:r>
              <w:rPr>
                <w:spacing w:val="-8"/>
                <w:sz w:val="20"/>
              </w:rPr>
              <w:t> </w:t>
            </w:r>
            <w:r>
              <w:rPr>
                <w:sz w:val="20"/>
              </w:rPr>
              <w:t>и</w:t>
            </w:r>
            <w:r>
              <w:rPr>
                <w:spacing w:val="-8"/>
                <w:sz w:val="20"/>
              </w:rPr>
              <w:t> </w:t>
            </w:r>
            <w:r>
              <w:rPr>
                <w:spacing w:val="-2"/>
                <w:sz w:val="20"/>
              </w:rPr>
              <w:t>стабилизирующих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стабилизирующие</w:t>
            </w:r>
            <w:r>
              <w:rPr>
                <w:spacing w:val="61"/>
                <w:sz w:val="20"/>
              </w:rPr>
              <w:t> </w:t>
            </w:r>
            <w:r>
              <w:rPr>
                <w:spacing w:val="-10"/>
                <w:sz w:val="20"/>
              </w:rPr>
              <w:t>и</w:t>
            </w:r>
          </w:p>
        </w:tc>
        <w:tc>
          <w:tcPr>
            <w:tcW w:w="2005" w:type="dxa"/>
          </w:tcPr>
          <w:p>
            <w:pPr>
              <w:pStyle w:val="TableParagraph"/>
              <w:rPr>
                <w:sz w:val="16"/>
              </w:rPr>
            </w:pPr>
          </w:p>
        </w:tc>
        <w:tc>
          <w:tcPr>
            <w:tcW w:w="3129" w:type="dxa"/>
          </w:tcPr>
          <w:p>
            <w:pPr>
              <w:pStyle w:val="TableParagraph"/>
              <w:spacing w:line="220" w:lineRule="exact"/>
              <w:ind w:left="57"/>
              <w:rPr>
                <w:sz w:val="20"/>
              </w:rPr>
            </w:pPr>
            <w:r>
              <w:rPr>
                <w:sz w:val="20"/>
              </w:rPr>
              <w:t>стенозом</w:t>
            </w:r>
            <w:r>
              <w:rPr>
                <w:spacing w:val="-9"/>
                <w:sz w:val="20"/>
              </w:rPr>
              <w:t> </w:t>
            </w:r>
            <w:r>
              <w:rPr>
                <w:sz w:val="20"/>
              </w:rPr>
              <w:t>позвоночного</w:t>
            </w:r>
            <w:r>
              <w:rPr>
                <w:spacing w:val="-9"/>
                <w:sz w:val="20"/>
              </w:rPr>
              <w:t> </w:t>
            </w:r>
            <w:r>
              <w:rPr>
                <w:sz w:val="20"/>
              </w:rPr>
              <w:t>канала</w:t>
            </w:r>
            <w:r>
              <w:rPr>
                <w:spacing w:val="-10"/>
                <w:sz w:val="20"/>
              </w:rPr>
              <w:t> и</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систем</w:t>
            </w:r>
            <w:r>
              <w:rPr>
                <w:spacing w:val="-6"/>
                <w:sz w:val="20"/>
              </w:rPr>
              <w:t> </w:t>
            </w:r>
            <w:r>
              <w:rPr>
                <w:sz w:val="20"/>
              </w:rPr>
              <w:t>(ригидных</w:t>
            </w:r>
            <w:r>
              <w:rPr>
                <w:spacing w:val="-7"/>
                <w:sz w:val="20"/>
              </w:rPr>
              <w:t> </w:t>
            </w:r>
            <w:r>
              <w:rPr>
                <w:sz w:val="20"/>
              </w:rPr>
              <w:t>или</w:t>
            </w:r>
            <w:r>
              <w:rPr>
                <w:spacing w:val="-7"/>
                <w:sz w:val="20"/>
              </w:rPr>
              <w:t> </w:t>
            </w:r>
            <w:r>
              <w:rPr>
                <w:spacing w:val="-2"/>
                <w:sz w:val="20"/>
              </w:rPr>
              <w:t>динамических)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реконструктивные</w:t>
            </w:r>
            <w:r>
              <w:rPr>
                <w:spacing w:val="60"/>
                <w:sz w:val="20"/>
              </w:rPr>
              <w:t> </w:t>
            </w:r>
            <w:r>
              <w:rPr>
                <w:spacing w:val="-2"/>
                <w:sz w:val="20"/>
              </w:rPr>
              <w:t>операции</w:t>
            </w:r>
          </w:p>
        </w:tc>
        <w:tc>
          <w:tcPr>
            <w:tcW w:w="2005" w:type="dxa"/>
          </w:tcPr>
          <w:p>
            <w:pPr>
              <w:pStyle w:val="TableParagraph"/>
              <w:rPr>
                <w:sz w:val="16"/>
              </w:rPr>
            </w:pPr>
          </w:p>
        </w:tc>
        <w:tc>
          <w:tcPr>
            <w:tcW w:w="3129" w:type="dxa"/>
          </w:tcPr>
          <w:p>
            <w:pPr>
              <w:pStyle w:val="TableParagraph"/>
              <w:spacing w:line="220" w:lineRule="exact"/>
              <w:ind w:left="57"/>
              <w:rPr>
                <w:sz w:val="20"/>
              </w:rPr>
            </w:pPr>
            <w:r>
              <w:rPr>
                <w:sz w:val="20"/>
              </w:rPr>
              <w:t>его</w:t>
            </w:r>
            <w:r>
              <w:rPr>
                <w:spacing w:val="-2"/>
                <w:sz w:val="20"/>
              </w:rPr>
              <w:t> карманов</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при</w:t>
            </w:r>
            <w:r>
              <w:rPr>
                <w:spacing w:val="-7"/>
                <w:sz w:val="20"/>
              </w:rPr>
              <w:t> </w:t>
            </w:r>
            <w:r>
              <w:rPr>
                <w:sz w:val="20"/>
              </w:rPr>
              <w:t>помощи</w:t>
            </w:r>
            <w:r>
              <w:rPr>
                <w:spacing w:val="-6"/>
                <w:sz w:val="20"/>
              </w:rPr>
              <w:t> </w:t>
            </w:r>
            <w:r>
              <w:rPr>
                <w:spacing w:val="-2"/>
                <w:sz w:val="20"/>
              </w:rPr>
              <w:t>микроскопа,</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при</w:t>
            </w:r>
            <w:r>
              <w:rPr>
                <w:spacing w:val="-5"/>
                <w:sz w:val="20"/>
              </w:rPr>
              <w:t> </w:t>
            </w:r>
            <w:r>
              <w:rPr>
                <w:sz w:val="20"/>
              </w:rPr>
              <w:t>травмах</w:t>
            </w:r>
            <w:r>
              <w:rPr>
                <w:spacing w:val="-4"/>
                <w:sz w:val="20"/>
              </w:rPr>
              <w:t> </w:t>
            </w:r>
            <w:r>
              <w:rPr>
                <w:sz w:val="20"/>
              </w:rPr>
              <w:t>и</w:t>
            </w:r>
            <w:r>
              <w:rPr>
                <w:spacing w:val="-5"/>
                <w:sz w:val="20"/>
              </w:rPr>
              <w:t> </w:t>
            </w:r>
            <w:r>
              <w:rPr>
                <w:spacing w:val="-2"/>
                <w:sz w:val="20"/>
              </w:rPr>
              <w:t>заболеваниях</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эндоскопической</w:t>
            </w:r>
            <w:r>
              <w:rPr>
                <w:spacing w:val="-13"/>
                <w:sz w:val="20"/>
              </w:rPr>
              <w:t> </w:t>
            </w:r>
            <w:r>
              <w:rPr>
                <w:sz w:val="20"/>
              </w:rPr>
              <w:t>техники</w:t>
            </w:r>
            <w:r>
              <w:rPr>
                <w:spacing w:val="-12"/>
                <w:sz w:val="20"/>
              </w:rPr>
              <w:t> </w:t>
            </w:r>
            <w:r>
              <w:rPr>
                <w:spacing w:val="-10"/>
                <w:sz w:val="20"/>
              </w:rPr>
              <w:t>и</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pacing w:val="-2"/>
                <w:sz w:val="20"/>
              </w:rPr>
              <w:t>позвоночника,</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spacing w:line="220" w:lineRule="exact"/>
              <w:ind w:left="221"/>
              <w:rPr>
                <w:sz w:val="20"/>
              </w:rPr>
            </w:pPr>
            <w:r>
              <w:rPr>
                <w:w w:val="95"/>
                <w:sz w:val="20"/>
              </w:rPr>
              <w:t>малоинвазивного</w:t>
            </w:r>
            <w:r>
              <w:rPr>
                <w:spacing w:val="55"/>
                <w:sz w:val="20"/>
              </w:rPr>
              <w:t> </w:t>
            </w:r>
            <w:r>
              <w:rPr>
                <w:spacing w:val="-2"/>
                <w:sz w:val="20"/>
              </w:rPr>
              <w:t>инструментария</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сопровождающихся</w:t>
            </w:r>
            <w:r>
              <w:rPr>
                <w:spacing w:val="66"/>
                <w:sz w:val="20"/>
              </w:rPr>
              <w:t> </w:t>
            </w:r>
            <w:r>
              <w:rPr>
                <w:spacing w:val="-2"/>
                <w:sz w:val="20"/>
              </w:rPr>
              <w:t>развитием</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миелопатии,</w:t>
            </w:r>
            <w:r>
              <w:rPr>
                <w:spacing w:val="-8"/>
                <w:sz w:val="20"/>
              </w:rPr>
              <w:t> </w:t>
            </w:r>
            <w:r>
              <w:rPr>
                <w:sz w:val="20"/>
              </w:rPr>
              <w:t>с</w:t>
            </w:r>
            <w:r>
              <w:rPr>
                <w:spacing w:val="-7"/>
                <w:sz w:val="20"/>
              </w:rPr>
              <w:t> </w:t>
            </w:r>
            <w:r>
              <w:rPr>
                <w:spacing w:val="-2"/>
                <w:sz w:val="20"/>
              </w:rPr>
              <w:t>использованием</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39" w:hRule="atLeast"/>
        </w:trPr>
        <w:tc>
          <w:tcPr>
            <w:tcW w:w="472" w:type="dxa"/>
          </w:tcPr>
          <w:p>
            <w:pPr>
              <w:pStyle w:val="TableParagraph"/>
              <w:rPr>
                <w:sz w:val="16"/>
              </w:rPr>
            </w:pPr>
          </w:p>
        </w:tc>
        <w:tc>
          <w:tcPr>
            <w:tcW w:w="2991" w:type="dxa"/>
          </w:tcPr>
          <w:p>
            <w:pPr>
              <w:pStyle w:val="TableParagraph"/>
              <w:spacing w:line="219" w:lineRule="exact"/>
              <w:ind w:left="168"/>
              <w:rPr>
                <w:sz w:val="20"/>
              </w:rPr>
            </w:pPr>
            <w:r>
              <w:rPr>
                <w:w w:val="95"/>
                <w:sz w:val="20"/>
              </w:rPr>
              <w:t>остеозамещающих</w:t>
            </w:r>
            <w:r>
              <w:rPr>
                <w:spacing w:val="65"/>
                <w:sz w:val="20"/>
              </w:rPr>
              <w:t> </w:t>
            </w:r>
            <w:r>
              <w:rPr>
                <w:spacing w:val="-2"/>
                <w:sz w:val="20"/>
              </w:rPr>
              <w:t>материалов,</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39"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погружных</w:t>
            </w:r>
            <w:r>
              <w:rPr>
                <w:spacing w:val="-8"/>
                <w:sz w:val="20"/>
              </w:rPr>
              <w:t> </w:t>
            </w:r>
            <w:r>
              <w:rPr>
                <w:sz w:val="20"/>
              </w:rPr>
              <w:t>и</w:t>
            </w:r>
            <w:r>
              <w:rPr>
                <w:spacing w:val="-5"/>
                <w:sz w:val="20"/>
              </w:rPr>
              <w:t> </w:t>
            </w:r>
            <w:r>
              <w:rPr>
                <w:spacing w:val="-2"/>
                <w:sz w:val="20"/>
              </w:rPr>
              <w:t>наружных</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фиксирующих</w:t>
            </w:r>
            <w:r>
              <w:rPr>
                <w:spacing w:val="-13"/>
                <w:sz w:val="20"/>
              </w:rPr>
              <w:t> </w:t>
            </w:r>
            <w:r>
              <w:rPr>
                <w:spacing w:val="-2"/>
                <w:sz w:val="20"/>
              </w:rPr>
              <w:t>устройств.</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Имплантация</w:t>
            </w:r>
            <w:r>
              <w:rPr>
                <w:spacing w:val="41"/>
                <w:sz w:val="20"/>
              </w:rPr>
              <w:t> </w:t>
            </w:r>
            <w:r>
              <w:rPr>
                <w:spacing w:val="-2"/>
                <w:w w:val="95"/>
                <w:sz w:val="20"/>
              </w:rPr>
              <w:t>временных</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30" w:hRule="atLeast"/>
        </w:trPr>
        <w:tc>
          <w:tcPr>
            <w:tcW w:w="472" w:type="dxa"/>
          </w:tcPr>
          <w:p>
            <w:pPr>
              <w:pStyle w:val="TableParagraph"/>
              <w:rPr>
                <w:sz w:val="16"/>
              </w:rPr>
            </w:pPr>
          </w:p>
        </w:tc>
        <w:tc>
          <w:tcPr>
            <w:tcW w:w="2991" w:type="dxa"/>
          </w:tcPr>
          <w:p>
            <w:pPr>
              <w:pStyle w:val="TableParagraph"/>
              <w:spacing w:line="210" w:lineRule="exact"/>
              <w:ind w:left="168"/>
              <w:rPr>
                <w:sz w:val="20"/>
              </w:rPr>
            </w:pPr>
            <w:r>
              <w:rPr>
                <w:sz w:val="20"/>
              </w:rPr>
              <w:t>электродов</w:t>
            </w:r>
            <w:r>
              <w:rPr>
                <w:spacing w:val="-12"/>
                <w:sz w:val="20"/>
              </w:rPr>
              <w:t> </w:t>
            </w:r>
            <w:r>
              <w:rPr>
                <w:spacing w:val="-5"/>
                <w:sz w:val="20"/>
              </w:rPr>
              <w:t>для</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45"/>
        <w:gridCol w:w="1921"/>
        <w:gridCol w:w="3122"/>
        <w:gridCol w:w="1737"/>
        <w:gridCol w:w="3701"/>
        <w:gridCol w:w="1046"/>
      </w:tblGrid>
      <w:tr>
        <w:trPr>
          <w:trHeight w:val="590" w:hRule="atLeast"/>
        </w:trPr>
        <w:tc>
          <w:tcPr>
            <w:tcW w:w="472" w:type="dxa"/>
          </w:tcPr>
          <w:p>
            <w:pPr>
              <w:pStyle w:val="TableParagraph"/>
              <w:rPr>
                <w:sz w:val="18"/>
              </w:rPr>
            </w:pPr>
          </w:p>
        </w:tc>
        <w:tc>
          <w:tcPr>
            <w:tcW w:w="3045" w:type="dxa"/>
          </w:tcPr>
          <w:p>
            <w:pPr>
              <w:pStyle w:val="TableParagraph"/>
              <w:spacing w:line="249" w:lineRule="auto"/>
              <w:ind w:left="168" w:right="80"/>
              <w:rPr>
                <w:sz w:val="20"/>
              </w:rPr>
            </w:pPr>
            <w:r>
              <w:rPr>
                <w:sz w:val="20"/>
              </w:rPr>
              <w:t>нейростимуляции спинного мозга</w:t>
            </w:r>
            <w:r>
              <w:rPr>
                <w:spacing w:val="-13"/>
                <w:sz w:val="20"/>
              </w:rPr>
              <w:t> </w:t>
            </w:r>
            <w:r>
              <w:rPr>
                <w:sz w:val="20"/>
              </w:rPr>
              <w:t>и</w:t>
            </w:r>
            <w:r>
              <w:rPr>
                <w:spacing w:val="-12"/>
                <w:sz w:val="20"/>
              </w:rPr>
              <w:t> </w:t>
            </w:r>
            <w:r>
              <w:rPr>
                <w:sz w:val="20"/>
              </w:rPr>
              <w:t>периферических</w:t>
            </w:r>
            <w:r>
              <w:rPr>
                <w:spacing w:val="-13"/>
                <w:sz w:val="20"/>
              </w:rPr>
              <w:t> </w:t>
            </w:r>
            <w:r>
              <w:rPr>
                <w:sz w:val="20"/>
              </w:rPr>
              <w:t>нервов</w:t>
            </w:r>
          </w:p>
        </w:tc>
        <w:tc>
          <w:tcPr>
            <w:tcW w:w="1921" w:type="dxa"/>
          </w:tcPr>
          <w:p>
            <w:pPr>
              <w:pStyle w:val="TableParagraph"/>
              <w:rPr>
                <w:sz w:val="18"/>
              </w:rPr>
            </w:pPr>
          </w:p>
        </w:tc>
        <w:tc>
          <w:tcPr>
            <w:tcW w:w="3122" w:type="dxa"/>
          </w:tcPr>
          <w:p>
            <w:pPr>
              <w:pStyle w:val="TableParagraph"/>
              <w:rPr>
                <w:sz w:val="18"/>
              </w:rPr>
            </w:pPr>
          </w:p>
        </w:tc>
        <w:tc>
          <w:tcPr>
            <w:tcW w:w="1737" w:type="dxa"/>
          </w:tcPr>
          <w:p>
            <w:pPr>
              <w:pStyle w:val="TableParagraph"/>
              <w:rPr>
                <w:sz w:val="18"/>
              </w:rPr>
            </w:pPr>
          </w:p>
        </w:tc>
        <w:tc>
          <w:tcPr>
            <w:tcW w:w="3701" w:type="dxa"/>
          </w:tcPr>
          <w:p>
            <w:pPr>
              <w:pStyle w:val="TableParagraph"/>
              <w:rPr>
                <w:sz w:val="18"/>
              </w:rPr>
            </w:pPr>
          </w:p>
        </w:tc>
        <w:tc>
          <w:tcPr>
            <w:tcW w:w="1046" w:type="dxa"/>
          </w:tcPr>
          <w:p>
            <w:pPr>
              <w:pStyle w:val="TableParagraph"/>
              <w:rPr>
                <w:sz w:val="18"/>
              </w:rPr>
            </w:pPr>
          </w:p>
        </w:tc>
      </w:tr>
      <w:tr>
        <w:trPr>
          <w:trHeight w:val="3601" w:hRule="atLeast"/>
        </w:trPr>
        <w:tc>
          <w:tcPr>
            <w:tcW w:w="472" w:type="dxa"/>
          </w:tcPr>
          <w:p>
            <w:pPr>
              <w:pStyle w:val="TableParagraph"/>
              <w:spacing w:before="120"/>
              <w:ind w:left="50"/>
              <w:rPr>
                <w:sz w:val="20"/>
              </w:rPr>
            </w:pPr>
            <w:r>
              <w:rPr>
                <w:spacing w:val="-5"/>
                <w:sz w:val="20"/>
              </w:rPr>
              <w:t>17.</w:t>
            </w:r>
          </w:p>
        </w:tc>
        <w:tc>
          <w:tcPr>
            <w:tcW w:w="3045" w:type="dxa"/>
          </w:tcPr>
          <w:p>
            <w:pPr>
              <w:pStyle w:val="TableParagraph"/>
              <w:spacing w:line="249" w:lineRule="auto" w:before="120"/>
              <w:ind w:left="168" w:right="80"/>
              <w:rPr>
                <w:sz w:val="20"/>
              </w:rPr>
            </w:pPr>
            <w:r>
              <w:rPr>
                <w:spacing w:val="-2"/>
                <w:sz w:val="20"/>
              </w:rPr>
              <w:t>Микрохирургические, </w:t>
            </w:r>
            <w:r>
              <w:rPr>
                <w:sz w:val="20"/>
              </w:rPr>
              <w:t>эндоваскулярные и </w:t>
            </w:r>
            <w:r>
              <w:rPr>
                <w:spacing w:val="-2"/>
                <w:sz w:val="20"/>
              </w:rPr>
              <w:t>стереотаксические </w:t>
            </w:r>
            <w:r>
              <w:rPr>
                <w:sz w:val="20"/>
              </w:rPr>
              <w:t>вмешательства</w:t>
            </w:r>
            <w:r>
              <w:rPr>
                <w:spacing w:val="-13"/>
                <w:sz w:val="20"/>
              </w:rPr>
              <w:t> </w:t>
            </w:r>
            <w:r>
              <w:rPr>
                <w:sz w:val="20"/>
              </w:rPr>
              <w:t>с</w:t>
            </w:r>
            <w:r>
              <w:rPr>
                <w:spacing w:val="-12"/>
                <w:sz w:val="20"/>
              </w:rPr>
              <w:t> </w:t>
            </w:r>
            <w:r>
              <w:rPr>
                <w:sz w:val="20"/>
              </w:rPr>
              <w:t>применением адгезивных клеевых композиций, микроэмболов, микроспиралей (менее</w:t>
            </w:r>
          </w:p>
          <w:p>
            <w:pPr>
              <w:pStyle w:val="TableParagraph"/>
              <w:spacing w:line="249" w:lineRule="auto" w:before="7"/>
              <w:ind w:left="168" w:right="80"/>
              <w:rPr>
                <w:sz w:val="20"/>
              </w:rPr>
            </w:pPr>
            <w:r>
              <w:rPr>
                <w:sz w:val="20"/>
              </w:rPr>
              <w:t>5 койлов), стентов при патологии сосудов головного и спинного мозга, </w:t>
            </w:r>
            <w:r>
              <w:rPr>
                <w:spacing w:val="-2"/>
                <w:sz w:val="20"/>
              </w:rPr>
              <w:t>богатокровоснабжаемых </w:t>
            </w:r>
            <w:r>
              <w:rPr>
                <w:sz w:val="20"/>
              </w:rPr>
              <w:t>опухолях головы и головного мозга, внутримозговых и внутрижелудочковых</w:t>
            </w:r>
            <w:r>
              <w:rPr>
                <w:spacing w:val="-13"/>
                <w:sz w:val="20"/>
              </w:rPr>
              <w:t> </w:t>
            </w:r>
            <w:r>
              <w:rPr>
                <w:sz w:val="20"/>
              </w:rPr>
              <w:t>гематомах</w:t>
            </w:r>
          </w:p>
        </w:tc>
        <w:tc>
          <w:tcPr>
            <w:tcW w:w="1921" w:type="dxa"/>
          </w:tcPr>
          <w:p>
            <w:pPr>
              <w:pStyle w:val="TableParagraph"/>
              <w:spacing w:before="120"/>
              <w:ind w:left="460"/>
              <w:rPr>
                <w:sz w:val="20"/>
              </w:rPr>
            </w:pPr>
            <w:r>
              <w:rPr>
                <w:sz w:val="20"/>
              </w:rPr>
              <w:t>I60,</w:t>
            </w:r>
            <w:r>
              <w:rPr>
                <w:spacing w:val="-3"/>
                <w:sz w:val="20"/>
              </w:rPr>
              <w:t> </w:t>
            </w:r>
            <w:r>
              <w:rPr>
                <w:sz w:val="20"/>
              </w:rPr>
              <w:t>I61,</w:t>
            </w:r>
            <w:r>
              <w:rPr>
                <w:spacing w:val="-4"/>
                <w:sz w:val="20"/>
              </w:rPr>
              <w:t> </w:t>
            </w:r>
            <w:r>
              <w:rPr>
                <w:spacing w:val="-5"/>
                <w:sz w:val="20"/>
              </w:rPr>
              <w:t>I62</w:t>
            </w:r>
          </w:p>
        </w:tc>
        <w:tc>
          <w:tcPr>
            <w:tcW w:w="3122" w:type="dxa"/>
          </w:tcPr>
          <w:p>
            <w:pPr>
              <w:pStyle w:val="TableParagraph"/>
              <w:spacing w:line="249" w:lineRule="auto" w:before="120"/>
              <w:ind w:left="87" w:right="235"/>
              <w:rPr>
                <w:sz w:val="20"/>
              </w:rPr>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w:t>
            </w:r>
            <w:r>
              <w:rPr>
                <w:spacing w:val="-13"/>
                <w:sz w:val="20"/>
              </w:rPr>
              <w:t> </w:t>
            </w:r>
            <w:r>
              <w:rPr>
                <w:sz w:val="20"/>
              </w:rPr>
              <w:t>кровоизлияния</w:t>
            </w:r>
          </w:p>
        </w:tc>
        <w:tc>
          <w:tcPr>
            <w:tcW w:w="1737" w:type="dxa"/>
          </w:tcPr>
          <w:p>
            <w:pPr>
              <w:pStyle w:val="TableParagraph"/>
              <w:spacing w:line="249" w:lineRule="auto" w:before="120"/>
              <w:ind w:left="121"/>
              <w:rPr>
                <w:sz w:val="20"/>
              </w:rPr>
            </w:pPr>
            <w:r>
              <w:rPr>
                <w:spacing w:val="-2"/>
                <w:sz w:val="20"/>
              </w:rPr>
              <w:t>хирургическое лечение</w:t>
            </w:r>
          </w:p>
        </w:tc>
        <w:tc>
          <w:tcPr>
            <w:tcW w:w="3701" w:type="dxa"/>
          </w:tcPr>
          <w:p>
            <w:pPr>
              <w:pStyle w:val="TableParagraph"/>
              <w:spacing w:line="249" w:lineRule="auto" w:before="120"/>
              <w:ind w:left="82"/>
              <w:rPr>
                <w:sz w:val="20"/>
              </w:rPr>
            </w:pPr>
            <w:r>
              <w:rPr>
                <w:sz w:val="20"/>
              </w:rPr>
              <w:t>эндоваскулярное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адгезивных</w:t>
            </w:r>
            <w:r>
              <w:rPr>
                <w:spacing w:val="-12"/>
                <w:sz w:val="20"/>
              </w:rPr>
              <w:t> </w:t>
            </w:r>
            <w:r>
              <w:rPr>
                <w:sz w:val="20"/>
              </w:rPr>
              <w:t>клеевых композиций, микроэмболов, микроспиралей и стентов</w:t>
            </w:r>
          </w:p>
        </w:tc>
        <w:tc>
          <w:tcPr>
            <w:tcW w:w="1046" w:type="dxa"/>
          </w:tcPr>
          <w:p>
            <w:pPr>
              <w:pStyle w:val="TableParagraph"/>
              <w:spacing w:before="120"/>
              <w:ind w:right="51"/>
              <w:jc w:val="right"/>
              <w:rPr>
                <w:sz w:val="20"/>
              </w:rPr>
            </w:pPr>
            <w:r>
              <w:rPr>
                <w:spacing w:val="-2"/>
                <w:sz w:val="20"/>
              </w:rPr>
              <w:t>433604</w:t>
            </w:r>
          </w:p>
        </w:tc>
      </w:tr>
      <w:tr>
        <w:trPr>
          <w:trHeight w:val="480" w:hRule="atLeast"/>
        </w:trPr>
        <w:tc>
          <w:tcPr>
            <w:tcW w:w="472" w:type="dxa"/>
          </w:tcPr>
          <w:p>
            <w:pPr>
              <w:pStyle w:val="TableParagraph"/>
              <w:rPr>
                <w:sz w:val="18"/>
              </w:rPr>
            </w:pPr>
          </w:p>
        </w:tc>
        <w:tc>
          <w:tcPr>
            <w:tcW w:w="3045" w:type="dxa"/>
          </w:tcPr>
          <w:p>
            <w:pPr>
              <w:pStyle w:val="TableParagraph"/>
              <w:rPr>
                <w:sz w:val="18"/>
              </w:rPr>
            </w:pPr>
          </w:p>
        </w:tc>
        <w:tc>
          <w:tcPr>
            <w:tcW w:w="1921" w:type="dxa"/>
          </w:tcPr>
          <w:p>
            <w:pPr>
              <w:pStyle w:val="TableParagraph"/>
              <w:rPr>
                <w:sz w:val="18"/>
              </w:rPr>
            </w:pPr>
          </w:p>
        </w:tc>
        <w:tc>
          <w:tcPr>
            <w:tcW w:w="3122" w:type="dxa"/>
          </w:tcPr>
          <w:p>
            <w:pPr>
              <w:pStyle w:val="TableParagraph"/>
              <w:spacing w:before="120"/>
              <w:ind w:left="1642"/>
              <w:rPr>
                <w:sz w:val="20"/>
              </w:rPr>
            </w:pPr>
            <w:r>
              <w:rPr>
                <w:spacing w:val="-2"/>
                <w:sz w:val="20"/>
              </w:rPr>
              <w:t>Неонатология</w:t>
            </w:r>
          </w:p>
        </w:tc>
        <w:tc>
          <w:tcPr>
            <w:tcW w:w="1737" w:type="dxa"/>
          </w:tcPr>
          <w:p>
            <w:pPr>
              <w:pStyle w:val="TableParagraph"/>
              <w:rPr>
                <w:sz w:val="18"/>
              </w:rPr>
            </w:pPr>
          </w:p>
        </w:tc>
        <w:tc>
          <w:tcPr>
            <w:tcW w:w="3701" w:type="dxa"/>
          </w:tcPr>
          <w:p>
            <w:pPr>
              <w:pStyle w:val="TableParagraph"/>
              <w:rPr>
                <w:sz w:val="18"/>
              </w:rPr>
            </w:pPr>
          </w:p>
        </w:tc>
        <w:tc>
          <w:tcPr>
            <w:tcW w:w="1046" w:type="dxa"/>
          </w:tcPr>
          <w:p>
            <w:pPr>
              <w:pStyle w:val="TableParagraph"/>
              <w:rPr>
                <w:sz w:val="18"/>
              </w:rPr>
            </w:pPr>
          </w:p>
        </w:tc>
      </w:tr>
      <w:tr>
        <w:trPr>
          <w:trHeight w:val="1800" w:hRule="atLeast"/>
        </w:trPr>
        <w:tc>
          <w:tcPr>
            <w:tcW w:w="472" w:type="dxa"/>
          </w:tcPr>
          <w:p>
            <w:pPr>
              <w:pStyle w:val="TableParagraph"/>
              <w:spacing w:before="120"/>
              <w:ind w:left="50"/>
              <w:rPr>
                <w:sz w:val="20"/>
              </w:rPr>
            </w:pPr>
            <w:r>
              <w:rPr>
                <w:spacing w:val="-5"/>
                <w:sz w:val="20"/>
              </w:rPr>
              <w:t>18.</w:t>
            </w:r>
          </w:p>
        </w:tc>
        <w:tc>
          <w:tcPr>
            <w:tcW w:w="3045" w:type="dxa"/>
            <w:vMerge w:val="restart"/>
          </w:tcPr>
          <w:p>
            <w:pPr>
              <w:pStyle w:val="TableParagraph"/>
              <w:spacing w:line="249" w:lineRule="auto" w:before="120"/>
              <w:ind w:left="168" w:right="109"/>
              <w:rPr>
                <w:sz w:val="20"/>
              </w:rPr>
            </w:pPr>
            <w:r>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w:t>
            </w:r>
            <w:r>
              <w:rPr>
                <w:spacing w:val="-13"/>
                <w:sz w:val="20"/>
              </w:rPr>
              <w:t> </w:t>
            </w:r>
            <w:r>
              <w:rPr>
                <w:sz w:val="20"/>
              </w:rPr>
              <w:t>с</w:t>
            </w:r>
            <w:r>
              <w:rPr>
                <w:spacing w:val="-12"/>
                <w:sz w:val="20"/>
              </w:rPr>
              <w:t> </w:t>
            </w:r>
            <w:r>
              <w:rPr>
                <w:sz w:val="20"/>
              </w:rPr>
              <w:t>применением аппаратных</w:t>
            </w:r>
            <w:r>
              <w:rPr>
                <w:spacing w:val="-6"/>
                <w:sz w:val="20"/>
              </w:rPr>
              <w:t> </w:t>
            </w:r>
            <w:r>
              <w:rPr>
                <w:sz w:val="20"/>
              </w:rPr>
              <w:t>методов</w:t>
            </w:r>
            <w:r>
              <w:rPr>
                <w:spacing w:val="-6"/>
                <w:sz w:val="20"/>
              </w:rPr>
              <w:t> </w:t>
            </w:r>
            <w:r>
              <w:rPr>
                <w:sz w:val="20"/>
              </w:rPr>
              <w:t>замещения или поддержки витальных функций на основе </w:t>
            </w:r>
            <w:r>
              <w:rPr>
                <w:spacing w:val="-2"/>
                <w:sz w:val="20"/>
              </w:rPr>
              <w:t>динамического инструментального</w:t>
            </w:r>
            <w:r>
              <w:rPr>
                <w:spacing w:val="40"/>
                <w:sz w:val="20"/>
              </w:rPr>
              <w:t> </w:t>
            </w:r>
            <w:r>
              <w:rPr>
                <w:sz w:val="20"/>
              </w:rPr>
              <w:t>мониторинга основных</w:t>
            </w:r>
          </w:p>
          <w:p>
            <w:pPr>
              <w:pStyle w:val="TableParagraph"/>
              <w:spacing w:line="210" w:lineRule="exact" w:before="11"/>
              <w:ind w:left="168"/>
              <w:rPr>
                <w:sz w:val="20"/>
              </w:rPr>
            </w:pPr>
            <w:r>
              <w:rPr>
                <w:sz w:val="20"/>
              </w:rPr>
              <w:t>параметров</w:t>
            </w:r>
            <w:r>
              <w:rPr>
                <w:spacing w:val="-10"/>
                <w:sz w:val="20"/>
              </w:rPr>
              <w:t> </w:t>
            </w:r>
            <w:r>
              <w:rPr>
                <w:spacing w:val="-2"/>
                <w:sz w:val="20"/>
              </w:rPr>
              <w:t>газообмена,</w:t>
            </w:r>
          </w:p>
        </w:tc>
        <w:tc>
          <w:tcPr>
            <w:tcW w:w="1921" w:type="dxa"/>
          </w:tcPr>
          <w:p>
            <w:pPr>
              <w:pStyle w:val="TableParagraph"/>
              <w:spacing w:line="249" w:lineRule="auto" w:before="120"/>
              <w:ind w:left="87" w:right="87"/>
              <w:jc w:val="center"/>
              <w:rPr>
                <w:sz w:val="20"/>
              </w:rPr>
            </w:pPr>
            <w:r>
              <w:rPr>
                <w:sz w:val="20"/>
              </w:rPr>
              <w:t>P22,</w:t>
            </w:r>
            <w:r>
              <w:rPr>
                <w:spacing w:val="-13"/>
                <w:sz w:val="20"/>
              </w:rPr>
              <w:t> </w:t>
            </w:r>
            <w:r>
              <w:rPr>
                <w:sz w:val="20"/>
              </w:rPr>
              <w:t>P23,</w:t>
            </w:r>
            <w:r>
              <w:rPr>
                <w:spacing w:val="-12"/>
                <w:sz w:val="20"/>
              </w:rPr>
              <w:t> </w:t>
            </w:r>
            <w:r>
              <w:rPr>
                <w:sz w:val="20"/>
              </w:rPr>
              <w:t>P36,</w:t>
            </w:r>
            <w:r>
              <w:rPr>
                <w:spacing w:val="-13"/>
                <w:sz w:val="20"/>
              </w:rPr>
              <w:t> </w:t>
            </w:r>
            <w:r>
              <w:rPr>
                <w:sz w:val="20"/>
              </w:rPr>
              <w:t>P10.0, P10.1, P10.2, P10.3,</w:t>
            </w:r>
          </w:p>
          <w:p>
            <w:pPr>
              <w:pStyle w:val="TableParagraph"/>
              <w:spacing w:before="2"/>
              <w:ind w:left="86" w:right="87"/>
              <w:jc w:val="center"/>
              <w:rPr>
                <w:sz w:val="20"/>
              </w:rPr>
            </w:pPr>
            <w:r>
              <w:rPr>
                <w:sz w:val="20"/>
              </w:rPr>
              <w:t>P10.4,</w:t>
            </w:r>
            <w:r>
              <w:rPr>
                <w:spacing w:val="-6"/>
                <w:sz w:val="20"/>
              </w:rPr>
              <w:t> </w:t>
            </w:r>
            <w:r>
              <w:rPr>
                <w:sz w:val="20"/>
              </w:rPr>
              <w:t>P10.8,</w:t>
            </w:r>
            <w:r>
              <w:rPr>
                <w:spacing w:val="-6"/>
                <w:sz w:val="20"/>
              </w:rPr>
              <w:t> </w:t>
            </w:r>
            <w:r>
              <w:rPr>
                <w:spacing w:val="-2"/>
                <w:sz w:val="20"/>
              </w:rPr>
              <w:t>P11.1,</w:t>
            </w:r>
          </w:p>
          <w:p>
            <w:pPr>
              <w:pStyle w:val="TableParagraph"/>
              <w:spacing w:before="10"/>
              <w:ind w:left="86" w:right="87"/>
              <w:jc w:val="center"/>
              <w:rPr>
                <w:sz w:val="20"/>
              </w:rPr>
            </w:pPr>
            <w:r>
              <w:rPr>
                <w:sz w:val="20"/>
              </w:rPr>
              <w:t>P11.5,</w:t>
            </w:r>
            <w:r>
              <w:rPr>
                <w:spacing w:val="-6"/>
                <w:sz w:val="20"/>
              </w:rPr>
              <w:t> </w:t>
            </w:r>
            <w:r>
              <w:rPr>
                <w:sz w:val="20"/>
              </w:rPr>
              <w:t>P52.1,</w:t>
            </w:r>
            <w:r>
              <w:rPr>
                <w:spacing w:val="-6"/>
                <w:sz w:val="20"/>
              </w:rPr>
              <w:t> </w:t>
            </w:r>
            <w:r>
              <w:rPr>
                <w:spacing w:val="-2"/>
                <w:sz w:val="20"/>
              </w:rPr>
              <w:t>P52.2,</w:t>
            </w:r>
          </w:p>
          <w:p>
            <w:pPr>
              <w:pStyle w:val="TableParagraph"/>
              <w:spacing w:before="10"/>
              <w:ind w:left="86" w:right="87"/>
              <w:jc w:val="center"/>
              <w:rPr>
                <w:sz w:val="20"/>
              </w:rPr>
            </w:pPr>
            <w:r>
              <w:rPr>
                <w:sz w:val="20"/>
              </w:rPr>
              <w:t>P52.4,</w:t>
            </w:r>
            <w:r>
              <w:rPr>
                <w:spacing w:val="-6"/>
                <w:sz w:val="20"/>
              </w:rPr>
              <w:t> </w:t>
            </w:r>
            <w:r>
              <w:rPr>
                <w:sz w:val="20"/>
              </w:rPr>
              <w:t>P52.6,</w:t>
            </w:r>
            <w:r>
              <w:rPr>
                <w:spacing w:val="-6"/>
                <w:sz w:val="20"/>
              </w:rPr>
              <w:t> </w:t>
            </w:r>
            <w:r>
              <w:rPr>
                <w:spacing w:val="-4"/>
                <w:sz w:val="20"/>
              </w:rPr>
              <w:t>P90,</w:t>
            </w:r>
          </w:p>
          <w:p>
            <w:pPr>
              <w:pStyle w:val="TableParagraph"/>
              <w:spacing w:line="240" w:lineRule="exact"/>
              <w:ind w:left="87" w:right="86"/>
              <w:jc w:val="center"/>
              <w:rPr>
                <w:sz w:val="20"/>
              </w:rPr>
            </w:pPr>
            <w:r>
              <w:rPr>
                <w:sz w:val="20"/>
              </w:rPr>
              <w:t>P91.0,</w:t>
            </w:r>
            <w:r>
              <w:rPr>
                <w:spacing w:val="-13"/>
                <w:sz w:val="20"/>
              </w:rPr>
              <w:t> </w:t>
            </w:r>
            <w:r>
              <w:rPr>
                <w:sz w:val="20"/>
              </w:rPr>
              <w:t>P91.2,</w:t>
            </w:r>
            <w:r>
              <w:rPr>
                <w:spacing w:val="-12"/>
                <w:sz w:val="20"/>
              </w:rPr>
              <w:t> </w:t>
            </w:r>
            <w:r>
              <w:rPr>
                <w:sz w:val="20"/>
              </w:rPr>
              <w:t>P91.4, </w:t>
            </w:r>
            <w:r>
              <w:rPr>
                <w:spacing w:val="-2"/>
                <w:sz w:val="20"/>
              </w:rPr>
              <w:t>P91.5</w:t>
            </w:r>
          </w:p>
        </w:tc>
        <w:tc>
          <w:tcPr>
            <w:tcW w:w="3122" w:type="dxa"/>
          </w:tcPr>
          <w:p>
            <w:pPr>
              <w:pStyle w:val="TableParagraph"/>
              <w:spacing w:line="249" w:lineRule="auto" w:before="120"/>
              <w:ind w:left="87"/>
              <w:rPr>
                <w:sz w:val="20"/>
              </w:rPr>
            </w:pPr>
            <w:r>
              <w:rPr>
                <w:spacing w:val="-2"/>
                <w:sz w:val="20"/>
              </w:rPr>
              <w:t>внутрижелудочковое </w:t>
            </w:r>
            <w:r>
              <w:rPr>
                <w:sz w:val="20"/>
              </w:rPr>
              <w:t>кровоизлияние. Церебральная ишемия 2 - 3 степени. Родовая травма. Сепсис новорожденных. Врожденная</w:t>
            </w:r>
            <w:r>
              <w:rPr>
                <w:spacing w:val="-13"/>
                <w:sz w:val="20"/>
              </w:rPr>
              <w:t> </w:t>
            </w:r>
            <w:r>
              <w:rPr>
                <w:sz w:val="20"/>
              </w:rPr>
              <w:t>пневмония.</w:t>
            </w:r>
            <w:r>
              <w:rPr>
                <w:spacing w:val="-12"/>
                <w:sz w:val="20"/>
              </w:rPr>
              <w:t> </w:t>
            </w:r>
            <w:r>
              <w:rPr>
                <w:sz w:val="20"/>
              </w:rPr>
              <w:t>Синдром дыхательных расстройств</w:t>
            </w:r>
          </w:p>
        </w:tc>
        <w:tc>
          <w:tcPr>
            <w:tcW w:w="1737" w:type="dxa"/>
          </w:tcPr>
          <w:p>
            <w:pPr>
              <w:pStyle w:val="TableParagraph"/>
              <w:spacing w:line="249" w:lineRule="auto" w:before="120"/>
              <w:ind w:left="121"/>
              <w:rPr>
                <w:sz w:val="20"/>
              </w:rPr>
            </w:pPr>
            <w:r>
              <w:rPr>
                <w:spacing w:val="-2"/>
                <w:sz w:val="20"/>
              </w:rPr>
              <w:t>комбинированное лечение</w:t>
            </w:r>
          </w:p>
        </w:tc>
        <w:tc>
          <w:tcPr>
            <w:tcW w:w="3701" w:type="dxa"/>
          </w:tcPr>
          <w:p>
            <w:pPr>
              <w:pStyle w:val="TableParagraph"/>
              <w:spacing w:line="249" w:lineRule="auto" w:before="120"/>
              <w:ind w:left="82" w:right="395"/>
              <w:jc w:val="both"/>
              <w:rPr>
                <w:sz w:val="20"/>
              </w:rPr>
            </w:pPr>
            <w:r>
              <w:rPr>
                <w:sz w:val="20"/>
              </w:rPr>
              <w:t>противосудорожная</w:t>
            </w:r>
            <w:r>
              <w:rPr>
                <w:spacing w:val="-13"/>
                <w:sz w:val="20"/>
              </w:rPr>
              <w:t> </w:t>
            </w:r>
            <w:r>
              <w:rPr>
                <w:sz w:val="20"/>
              </w:rPr>
              <w:t>терапия</w:t>
            </w:r>
            <w:r>
              <w:rPr>
                <w:spacing w:val="-12"/>
                <w:sz w:val="20"/>
              </w:rPr>
              <w:t> </w:t>
            </w:r>
            <w:r>
              <w:rPr>
                <w:sz w:val="20"/>
              </w:rPr>
              <w:t>с</w:t>
            </w:r>
            <w:r>
              <w:rPr>
                <w:spacing w:val="-13"/>
                <w:sz w:val="20"/>
              </w:rPr>
              <w:t> </w:t>
            </w:r>
            <w:r>
              <w:rPr>
                <w:sz w:val="20"/>
              </w:rPr>
              <w:t>учетом характера электроэнцефалограммы и анализа записи видеомониторинга</w:t>
            </w:r>
          </w:p>
        </w:tc>
        <w:tc>
          <w:tcPr>
            <w:tcW w:w="1046" w:type="dxa"/>
          </w:tcPr>
          <w:p>
            <w:pPr>
              <w:pStyle w:val="TableParagraph"/>
              <w:spacing w:before="120"/>
              <w:ind w:right="51"/>
              <w:jc w:val="right"/>
              <w:rPr>
                <w:sz w:val="20"/>
              </w:rPr>
            </w:pPr>
            <w:r>
              <w:rPr>
                <w:spacing w:val="-2"/>
                <w:sz w:val="20"/>
              </w:rPr>
              <w:t>273822</w:t>
            </w:r>
          </w:p>
        </w:tc>
      </w:tr>
      <w:tr>
        <w:trPr>
          <w:trHeight w:val="839" w:hRule="atLeast"/>
        </w:trPr>
        <w:tc>
          <w:tcPr>
            <w:tcW w:w="472" w:type="dxa"/>
          </w:tcPr>
          <w:p>
            <w:pPr>
              <w:pStyle w:val="TableParagraph"/>
              <w:rPr>
                <w:sz w:val="18"/>
              </w:rPr>
            </w:pPr>
          </w:p>
        </w:tc>
        <w:tc>
          <w:tcPr>
            <w:tcW w:w="3045" w:type="dxa"/>
            <w:vMerge/>
            <w:tcBorders>
              <w:top w:val="nil"/>
            </w:tcBorders>
          </w:tcPr>
          <w:p>
            <w:pPr>
              <w:rPr>
                <w:sz w:val="2"/>
                <w:szCs w:val="2"/>
              </w:rPr>
            </w:pPr>
          </w:p>
        </w:tc>
        <w:tc>
          <w:tcPr>
            <w:tcW w:w="1921" w:type="dxa"/>
          </w:tcPr>
          <w:p>
            <w:pPr>
              <w:pStyle w:val="TableParagraph"/>
              <w:rPr>
                <w:sz w:val="18"/>
              </w:rPr>
            </w:pPr>
          </w:p>
        </w:tc>
        <w:tc>
          <w:tcPr>
            <w:tcW w:w="3122" w:type="dxa"/>
          </w:tcPr>
          <w:p>
            <w:pPr>
              <w:pStyle w:val="TableParagraph"/>
              <w:rPr>
                <w:sz w:val="18"/>
              </w:rPr>
            </w:pPr>
          </w:p>
        </w:tc>
        <w:tc>
          <w:tcPr>
            <w:tcW w:w="1737" w:type="dxa"/>
          </w:tcPr>
          <w:p>
            <w:pPr>
              <w:pStyle w:val="TableParagraph"/>
              <w:rPr>
                <w:sz w:val="18"/>
              </w:rPr>
            </w:pPr>
          </w:p>
        </w:tc>
        <w:tc>
          <w:tcPr>
            <w:tcW w:w="3701" w:type="dxa"/>
          </w:tcPr>
          <w:p>
            <w:pPr>
              <w:pStyle w:val="TableParagraph"/>
              <w:spacing w:line="249" w:lineRule="auto"/>
              <w:ind w:left="82"/>
              <w:rPr>
                <w:sz w:val="20"/>
              </w:rPr>
            </w:pPr>
            <w:r>
              <w:rPr>
                <w:sz w:val="20"/>
              </w:rPr>
              <w:t>традиционная пациент-триггерная искусственная</w:t>
            </w:r>
            <w:r>
              <w:rPr>
                <w:spacing w:val="-13"/>
                <w:sz w:val="20"/>
              </w:rPr>
              <w:t> </w:t>
            </w:r>
            <w:r>
              <w:rPr>
                <w:sz w:val="20"/>
              </w:rPr>
              <w:t>вентиляция</w:t>
            </w:r>
            <w:r>
              <w:rPr>
                <w:spacing w:val="-12"/>
                <w:sz w:val="20"/>
              </w:rPr>
              <w:t> </w:t>
            </w:r>
            <w:r>
              <w:rPr>
                <w:sz w:val="20"/>
              </w:rPr>
              <w:t>легких</w:t>
            </w:r>
            <w:r>
              <w:rPr>
                <w:spacing w:val="-13"/>
                <w:sz w:val="20"/>
              </w:rPr>
              <w:t> </w:t>
            </w:r>
            <w:r>
              <w:rPr>
                <w:sz w:val="20"/>
              </w:rPr>
              <w:t>с контролем дыхательного объема</w:t>
            </w:r>
          </w:p>
        </w:tc>
        <w:tc>
          <w:tcPr>
            <w:tcW w:w="1046" w:type="dxa"/>
          </w:tcPr>
          <w:p>
            <w:pPr>
              <w:pStyle w:val="TableParagraph"/>
              <w:rPr>
                <w:sz w:val="18"/>
              </w:rPr>
            </w:pPr>
          </w:p>
        </w:tc>
      </w:tr>
      <w:tr>
        <w:trPr>
          <w:trHeight w:val="830" w:hRule="atLeast"/>
        </w:trPr>
        <w:tc>
          <w:tcPr>
            <w:tcW w:w="472" w:type="dxa"/>
          </w:tcPr>
          <w:p>
            <w:pPr>
              <w:pStyle w:val="TableParagraph"/>
              <w:rPr>
                <w:sz w:val="18"/>
              </w:rPr>
            </w:pPr>
          </w:p>
        </w:tc>
        <w:tc>
          <w:tcPr>
            <w:tcW w:w="3045" w:type="dxa"/>
            <w:vMerge/>
            <w:tcBorders>
              <w:top w:val="nil"/>
            </w:tcBorders>
          </w:tcPr>
          <w:p>
            <w:pPr>
              <w:rPr>
                <w:sz w:val="2"/>
                <w:szCs w:val="2"/>
              </w:rPr>
            </w:pPr>
          </w:p>
        </w:tc>
        <w:tc>
          <w:tcPr>
            <w:tcW w:w="1921" w:type="dxa"/>
          </w:tcPr>
          <w:p>
            <w:pPr>
              <w:pStyle w:val="TableParagraph"/>
              <w:rPr>
                <w:sz w:val="18"/>
              </w:rPr>
            </w:pPr>
          </w:p>
        </w:tc>
        <w:tc>
          <w:tcPr>
            <w:tcW w:w="3122" w:type="dxa"/>
          </w:tcPr>
          <w:p>
            <w:pPr>
              <w:pStyle w:val="TableParagraph"/>
              <w:rPr>
                <w:sz w:val="18"/>
              </w:rPr>
            </w:pPr>
          </w:p>
        </w:tc>
        <w:tc>
          <w:tcPr>
            <w:tcW w:w="1737" w:type="dxa"/>
          </w:tcPr>
          <w:p>
            <w:pPr>
              <w:pStyle w:val="TableParagraph"/>
              <w:rPr>
                <w:sz w:val="18"/>
              </w:rPr>
            </w:pPr>
          </w:p>
        </w:tc>
        <w:tc>
          <w:tcPr>
            <w:tcW w:w="3701" w:type="dxa"/>
          </w:tcPr>
          <w:p>
            <w:pPr>
              <w:pStyle w:val="TableParagraph"/>
              <w:spacing w:line="249" w:lineRule="auto" w:before="120"/>
              <w:ind w:left="82"/>
              <w:rPr>
                <w:sz w:val="20"/>
              </w:rPr>
            </w:pPr>
            <w:r>
              <w:rPr>
                <w:sz w:val="20"/>
              </w:rPr>
              <w:t>высокочастотная осцилляторная искусственная</w:t>
            </w:r>
            <w:r>
              <w:rPr>
                <w:spacing w:val="-13"/>
                <w:sz w:val="20"/>
              </w:rPr>
              <w:t> </w:t>
            </w:r>
            <w:r>
              <w:rPr>
                <w:sz w:val="20"/>
              </w:rPr>
              <w:t>вентиляция</w:t>
            </w:r>
            <w:r>
              <w:rPr>
                <w:spacing w:val="-12"/>
                <w:sz w:val="20"/>
              </w:rPr>
              <w:t> </w:t>
            </w:r>
            <w:r>
              <w:rPr>
                <w:sz w:val="20"/>
              </w:rPr>
              <w:t>легких</w:t>
            </w:r>
          </w:p>
        </w:tc>
        <w:tc>
          <w:tcPr>
            <w:tcW w:w="104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65"/>
        <w:gridCol w:w="1864"/>
        <w:gridCol w:w="3091"/>
        <w:gridCol w:w="1804"/>
        <w:gridCol w:w="3713"/>
        <w:gridCol w:w="1031"/>
      </w:tblGrid>
      <w:tr>
        <w:trPr>
          <w:trHeight w:val="1310" w:hRule="atLeast"/>
        </w:trPr>
        <w:tc>
          <w:tcPr>
            <w:tcW w:w="472" w:type="dxa"/>
          </w:tcPr>
          <w:p>
            <w:pPr>
              <w:pStyle w:val="TableParagraph"/>
              <w:rPr>
                <w:sz w:val="18"/>
              </w:rPr>
            </w:pPr>
          </w:p>
        </w:tc>
        <w:tc>
          <w:tcPr>
            <w:tcW w:w="3065" w:type="dxa"/>
          </w:tcPr>
          <w:p>
            <w:pPr>
              <w:pStyle w:val="TableParagraph"/>
              <w:spacing w:line="249" w:lineRule="auto"/>
              <w:ind w:left="168" w:right="575"/>
              <w:rPr>
                <w:sz w:val="20"/>
              </w:rPr>
            </w:pPr>
            <w:r>
              <w:rPr>
                <w:sz w:val="20"/>
              </w:rPr>
              <w:t>гемодинамики, а также лучевых, биохимических, иммунологических и </w:t>
            </w:r>
            <w:r>
              <w:rPr>
                <w:spacing w:val="-2"/>
                <w:sz w:val="20"/>
              </w:rPr>
              <w:t>молекулярно-генетических исследований</w:t>
            </w: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rPr>
                <w:sz w:val="18"/>
              </w:rPr>
            </w:pPr>
          </w:p>
        </w:tc>
        <w:tc>
          <w:tcPr>
            <w:tcW w:w="1031" w:type="dxa"/>
          </w:tcPr>
          <w:p>
            <w:pPr>
              <w:pStyle w:val="TableParagraph"/>
              <w:rPr>
                <w:sz w:val="18"/>
              </w:rPr>
            </w:pPr>
          </w:p>
        </w:tc>
      </w:tr>
      <w:tr>
        <w:trPr>
          <w:trHeight w:val="1860" w:hRule="atLeast"/>
        </w:trPr>
        <w:tc>
          <w:tcPr>
            <w:tcW w:w="472" w:type="dxa"/>
          </w:tcPr>
          <w:p>
            <w:pPr>
              <w:pStyle w:val="TableParagraph"/>
              <w:rPr>
                <w:sz w:val="18"/>
              </w:rPr>
            </w:pPr>
          </w:p>
        </w:tc>
        <w:tc>
          <w:tcPr>
            <w:tcW w:w="3065" w:type="dxa"/>
          </w:tcPr>
          <w:p>
            <w:pPr>
              <w:pStyle w:val="TableParagraph"/>
              <w:rPr>
                <w:sz w:val="18"/>
              </w:rPr>
            </w:pP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spacing w:line="249" w:lineRule="auto" w:before="120"/>
              <w:ind w:left="83" w:right="368"/>
              <w:rPr>
                <w:sz w:val="20"/>
              </w:rPr>
            </w:pPr>
            <w:r>
              <w:rPr>
                <w:sz w:val="20"/>
              </w:rPr>
              <w:t>профилактика</w:t>
            </w:r>
            <w:r>
              <w:rPr>
                <w:spacing w:val="-13"/>
                <w:sz w:val="20"/>
              </w:rPr>
              <w:t> </w:t>
            </w:r>
            <w:r>
              <w:rPr>
                <w:sz w:val="20"/>
              </w:rPr>
              <w:t>и</w:t>
            </w:r>
            <w:r>
              <w:rPr>
                <w:spacing w:val="-12"/>
                <w:sz w:val="20"/>
              </w:rPr>
              <w:t> </w:t>
            </w:r>
            <w:r>
              <w:rPr>
                <w:sz w:val="20"/>
              </w:rPr>
              <w:t>лечение</w:t>
            </w:r>
            <w:r>
              <w:rPr>
                <w:spacing w:val="-13"/>
                <w:sz w:val="20"/>
              </w:rPr>
              <w:t> </w:t>
            </w:r>
            <w:r>
              <w:rPr>
                <w:sz w:val="20"/>
              </w:rPr>
              <w:t>синдрома </w:t>
            </w:r>
            <w:r>
              <w:rPr>
                <w:spacing w:val="-2"/>
                <w:sz w:val="20"/>
              </w:rPr>
              <w:t>диссеминированного </w:t>
            </w:r>
            <w:r>
              <w:rPr>
                <w:sz w:val="20"/>
              </w:rPr>
              <w:t>внутрисосудистого свертывания</w:t>
            </w:r>
            <w:r>
              <w:rPr>
                <w:spacing w:val="-2"/>
                <w:sz w:val="20"/>
              </w:rPr>
              <w:t> </w:t>
            </w:r>
            <w:r>
              <w:rPr>
                <w:sz w:val="20"/>
              </w:rPr>
              <w:t>и других нарушений свертывающей системы крови под контролем тромбоэластограммы и </w:t>
            </w:r>
            <w:r>
              <w:rPr>
                <w:spacing w:val="-2"/>
                <w:sz w:val="20"/>
              </w:rPr>
              <w:t>коагулограммы</w:t>
            </w:r>
          </w:p>
        </w:tc>
        <w:tc>
          <w:tcPr>
            <w:tcW w:w="1031" w:type="dxa"/>
          </w:tcPr>
          <w:p>
            <w:pPr>
              <w:pStyle w:val="TableParagraph"/>
              <w:rPr>
                <w:sz w:val="18"/>
              </w:rPr>
            </w:pPr>
          </w:p>
        </w:tc>
      </w:tr>
      <w:tr>
        <w:trPr>
          <w:trHeight w:val="600" w:hRule="atLeast"/>
        </w:trPr>
        <w:tc>
          <w:tcPr>
            <w:tcW w:w="472" w:type="dxa"/>
          </w:tcPr>
          <w:p>
            <w:pPr>
              <w:pStyle w:val="TableParagraph"/>
              <w:rPr>
                <w:sz w:val="18"/>
              </w:rPr>
            </w:pPr>
          </w:p>
        </w:tc>
        <w:tc>
          <w:tcPr>
            <w:tcW w:w="3065" w:type="dxa"/>
          </w:tcPr>
          <w:p>
            <w:pPr>
              <w:pStyle w:val="TableParagraph"/>
              <w:rPr>
                <w:sz w:val="18"/>
              </w:rPr>
            </w:pP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spacing w:line="249" w:lineRule="auto" w:before="60"/>
              <w:ind w:left="83" w:right="1397"/>
              <w:rPr>
                <w:sz w:val="20"/>
              </w:rPr>
            </w:pPr>
            <w:r>
              <w:rPr>
                <w:sz w:val="20"/>
              </w:rPr>
              <w:t>постановка наружного вентрикулярного</w:t>
            </w:r>
            <w:r>
              <w:rPr>
                <w:spacing w:val="-13"/>
                <w:sz w:val="20"/>
              </w:rPr>
              <w:t> </w:t>
            </w:r>
            <w:r>
              <w:rPr>
                <w:sz w:val="20"/>
              </w:rPr>
              <w:t>дренажа</w:t>
            </w:r>
          </w:p>
        </w:tc>
        <w:tc>
          <w:tcPr>
            <w:tcW w:w="1031" w:type="dxa"/>
          </w:tcPr>
          <w:p>
            <w:pPr>
              <w:pStyle w:val="TableParagraph"/>
              <w:rPr>
                <w:sz w:val="18"/>
              </w:rPr>
            </w:pPr>
          </w:p>
        </w:tc>
      </w:tr>
      <w:tr>
        <w:trPr>
          <w:trHeight w:val="3300" w:hRule="atLeast"/>
        </w:trPr>
        <w:tc>
          <w:tcPr>
            <w:tcW w:w="472" w:type="dxa"/>
          </w:tcPr>
          <w:p>
            <w:pPr>
              <w:pStyle w:val="TableParagraph"/>
              <w:spacing w:before="60"/>
              <w:ind w:left="50"/>
              <w:rPr>
                <w:sz w:val="20"/>
              </w:rPr>
            </w:pPr>
            <w:r>
              <w:rPr>
                <w:spacing w:val="-5"/>
                <w:sz w:val="20"/>
              </w:rPr>
              <w:t>19.</w:t>
            </w:r>
          </w:p>
        </w:tc>
        <w:tc>
          <w:tcPr>
            <w:tcW w:w="3065" w:type="dxa"/>
            <w:vMerge w:val="restart"/>
          </w:tcPr>
          <w:p>
            <w:pPr>
              <w:pStyle w:val="TableParagraph"/>
              <w:spacing w:line="249" w:lineRule="auto" w:before="60"/>
              <w:ind w:left="168" w:right="141"/>
              <w:rPr>
                <w:sz w:val="20"/>
              </w:rPr>
            </w:pPr>
            <w:r>
              <w:rPr>
                <w:sz w:val="20"/>
              </w:rPr>
              <w:t>Выхаживание</w:t>
            </w:r>
            <w:r>
              <w:rPr>
                <w:spacing w:val="-13"/>
                <w:sz w:val="20"/>
              </w:rPr>
              <w:t> </w:t>
            </w:r>
            <w:r>
              <w:rPr>
                <w:sz w:val="20"/>
              </w:rPr>
              <w:t>новорожденных</w:t>
            </w:r>
            <w:r>
              <w:rPr>
                <w:spacing w:val="-12"/>
                <w:sz w:val="20"/>
              </w:rPr>
              <w:t> </w:t>
            </w:r>
            <w:r>
              <w:rPr>
                <w:sz w:val="20"/>
              </w:rPr>
              <w:t>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rPr>
                <w:spacing w:val="-2"/>
                <w:sz w:val="20"/>
              </w:rPr>
              <w:t>инструментального</w:t>
            </w:r>
            <w:r>
              <w:rPr>
                <w:sz w:val="20"/>
              </w:rPr>
              <w:t> мониторинга основных параметров газообмена, гемодинамики, а также лучевых, биохимических, иммунологических и </w:t>
            </w:r>
            <w:r>
              <w:rPr>
                <w:spacing w:val="-2"/>
                <w:sz w:val="20"/>
              </w:rPr>
              <w:t>молекулярно-генетических</w:t>
            </w:r>
          </w:p>
          <w:p>
            <w:pPr>
              <w:pStyle w:val="TableParagraph"/>
              <w:spacing w:line="210" w:lineRule="exact" w:before="15"/>
              <w:ind w:left="168"/>
              <w:rPr>
                <w:sz w:val="20"/>
              </w:rPr>
            </w:pPr>
            <w:r>
              <w:rPr>
                <w:spacing w:val="-2"/>
                <w:sz w:val="20"/>
              </w:rPr>
              <w:t>исследований</w:t>
            </w:r>
          </w:p>
        </w:tc>
        <w:tc>
          <w:tcPr>
            <w:tcW w:w="1864" w:type="dxa"/>
          </w:tcPr>
          <w:p>
            <w:pPr>
              <w:pStyle w:val="TableParagraph"/>
              <w:spacing w:before="60"/>
              <w:ind w:left="142"/>
              <w:rPr>
                <w:sz w:val="20"/>
              </w:rPr>
            </w:pPr>
            <w:r>
              <w:rPr>
                <w:sz w:val="20"/>
              </w:rPr>
              <w:t>P07.0;</w:t>
            </w:r>
            <w:r>
              <w:rPr>
                <w:spacing w:val="-5"/>
                <w:sz w:val="20"/>
              </w:rPr>
              <w:t> </w:t>
            </w:r>
            <w:r>
              <w:rPr>
                <w:sz w:val="20"/>
              </w:rPr>
              <w:t>P07.1;</w:t>
            </w:r>
            <w:r>
              <w:rPr>
                <w:spacing w:val="-5"/>
                <w:sz w:val="20"/>
              </w:rPr>
              <w:t> </w:t>
            </w:r>
            <w:r>
              <w:rPr>
                <w:spacing w:val="-2"/>
                <w:sz w:val="20"/>
              </w:rPr>
              <w:t>P07.2</w:t>
            </w:r>
          </w:p>
        </w:tc>
        <w:tc>
          <w:tcPr>
            <w:tcW w:w="3091" w:type="dxa"/>
          </w:tcPr>
          <w:p>
            <w:pPr>
              <w:pStyle w:val="TableParagraph"/>
              <w:spacing w:line="249" w:lineRule="auto" w:before="60"/>
              <w:ind w:left="124"/>
              <w:rPr>
                <w:sz w:val="20"/>
              </w:rPr>
            </w:pPr>
            <w:r>
              <w:rPr>
                <w:sz w:val="20"/>
              </w:rPr>
              <w:t>другие</w:t>
            </w:r>
            <w:r>
              <w:rPr>
                <w:spacing w:val="-11"/>
                <w:sz w:val="20"/>
              </w:rPr>
              <w:t> </w:t>
            </w:r>
            <w:r>
              <w:rPr>
                <w:sz w:val="20"/>
              </w:rPr>
              <w:t>случаи</w:t>
            </w:r>
            <w:r>
              <w:rPr>
                <w:spacing w:val="-11"/>
                <w:sz w:val="20"/>
              </w:rPr>
              <w:t> </w:t>
            </w:r>
            <w:r>
              <w:rPr>
                <w:sz w:val="20"/>
              </w:rPr>
              <w:t>малой</w:t>
            </w:r>
            <w:r>
              <w:rPr>
                <w:spacing w:val="-11"/>
                <w:sz w:val="20"/>
              </w:rPr>
              <w:t> </w:t>
            </w:r>
            <w:r>
              <w:rPr>
                <w:sz w:val="20"/>
              </w:rPr>
              <w:t>массы</w:t>
            </w:r>
            <w:r>
              <w:rPr>
                <w:spacing w:val="-11"/>
                <w:sz w:val="20"/>
              </w:rPr>
              <w:t> </w:t>
            </w:r>
            <w:r>
              <w:rPr>
                <w:sz w:val="20"/>
              </w:rPr>
              <w:t>тела при рождении. Другие случаи недоношенности. Крайняя незрелость. "Маловесный" для гестационного возраста плод.</w:t>
            </w:r>
          </w:p>
          <w:p>
            <w:pPr>
              <w:pStyle w:val="TableParagraph"/>
              <w:spacing w:line="249" w:lineRule="auto" w:before="4"/>
              <w:ind w:left="124"/>
              <w:rPr>
                <w:sz w:val="20"/>
              </w:rPr>
            </w:pPr>
            <w:r>
              <w:rPr>
                <w:sz w:val="20"/>
              </w:rPr>
              <w:t>Малый размер плода для гестационного</w:t>
            </w:r>
            <w:r>
              <w:rPr>
                <w:spacing w:val="-13"/>
                <w:sz w:val="20"/>
              </w:rPr>
              <w:t> </w:t>
            </w:r>
            <w:r>
              <w:rPr>
                <w:sz w:val="20"/>
              </w:rPr>
              <w:t>возраста.</w:t>
            </w:r>
            <w:r>
              <w:rPr>
                <w:spacing w:val="-12"/>
                <w:sz w:val="20"/>
              </w:rPr>
              <w:t> </w:t>
            </w:r>
            <w:r>
              <w:rPr>
                <w:sz w:val="20"/>
              </w:rPr>
              <w:t>Крайне малая</w:t>
            </w:r>
            <w:r>
              <w:rPr>
                <w:spacing w:val="-6"/>
                <w:sz w:val="20"/>
              </w:rPr>
              <w:t> </w:t>
            </w:r>
            <w:r>
              <w:rPr>
                <w:sz w:val="20"/>
              </w:rPr>
              <w:t>масса</w:t>
            </w:r>
            <w:r>
              <w:rPr>
                <w:spacing w:val="-3"/>
                <w:sz w:val="20"/>
              </w:rPr>
              <w:t> </w:t>
            </w:r>
            <w:r>
              <w:rPr>
                <w:sz w:val="20"/>
              </w:rPr>
              <w:t>тела</w:t>
            </w:r>
            <w:r>
              <w:rPr>
                <w:spacing w:val="-4"/>
                <w:sz w:val="20"/>
              </w:rPr>
              <w:t> </w:t>
            </w:r>
            <w:r>
              <w:rPr>
                <w:sz w:val="20"/>
              </w:rPr>
              <w:t>при</w:t>
            </w:r>
            <w:r>
              <w:rPr>
                <w:spacing w:val="-5"/>
                <w:sz w:val="20"/>
              </w:rPr>
              <w:t> </w:t>
            </w:r>
            <w:r>
              <w:rPr>
                <w:spacing w:val="-2"/>
                <w:sz w:val="20"/>
              </w:rPr>
              <w:t>рождении</w:t>
            </w:r>
          </w:p>
        </w:tc>
        <w:tc>
          <w:tcPr>
            <w:tcW w:w="1804" w:type="dxa"/>
          </w:tcPr>
          <w:p>
            <w:pPr>
              <w:pStyle w:val="TableParagraph"/>
              <w:spacing w:line="249" w:lineRule="auto" w:before="60"/>
              <w:ind w:left="189"/>
              <w:rPr>
                <w:sz w:val="20"/>
              </w:rPr>
            </w:pPr>
            <w:r>
              <w:rPr>
                <w:spacing w:val="-2"/>
                <w:sz w:val="20"/>
              </w:rPr>
              <w:t>комбинированное лечение</w:t>
            </w:r>
          </w:p>
        </w:tc>
        <w:tc>
          <w:tcPr>
            <w:tcW w:w="3713" w:type="dxa"/>
          </w:tcPr>
          <w:p>
            <w:pPr>
              <w:pStyle w:val="TableParagraph"/>
              <w:spacing w:line="249" w:lineRule="auto" w:before="60"/>
              <w:ind w:left="83" w:right="368"/>
              <w:rPr>
                <w:sz w:val="20"/>
              </w:rPr>
            </w:pPr>
            <w:r>
              <w:rPr>
                <w:sz w:val="20"/>
              </w:rPr>
              <w:t>инфузионная, кардиотоническая вазотропная</w:t>
            </w:r>
            <w:r>
              <w:rPr>
                <w:spacing w:val="-4"/>
                <w:sz w:val="20"/>
              </w:rPr>
              <w:t> </w:t>
            </w:r>
            <w:r>
              <w:rPr>
                <w:sz w:val="20"/>
              </w:rPr>
              <w:t>и</w:t>
            </w:r>
            <w:r>
              <w:rPr>
                <w:spacing w:val="-7"/>
                <w:sz w:val="20"/>
              </w:rPr>
              <w:t> </w:t>
            </w:r>
            <w:r>
              <w:rPr>
                <w:sz w:val="20"/>
              </w:rPr>
              <w:t>респираторная</w:t>
            </w:r>
            <w:r>
              <w:rPr>
                <w:spacing w:val="-7"/>
                <w:sz w:val="20"/>
              </w:rPr>
              <w:t> </w:t>
            </w:r>
            <w:r>
              <w:rPr>
                <w:sz w:val="20"/>
              </w:rPr>
              <w:t>терапия на основании динамического инструментального мониторинга основных параметров газообмена, в том</w:t>
            </w:r>
            <w:r>
              <w:rPr>
                <w:spacing w:val="-11"/>
                <w:sz w:val="20"/>
              </w:rPr>
              <w:t> </w:t>
            </w:r>
            <w:r>
              <w:rPr>
                <w:sz w:val="20"/>
              </w:rPr>
              <w:t>числе</w:t>
            </w:r>
            <w:r>
              <w:rPr>
                <w:spacing w:val="-12"/>
                <w:sz w:val="20"/>
              </w:rPr>
              <w:t> </w:t>
            </w:r>
            <w:r>
              <w:rPr>
                <w:sz w:val="20"/>
              </w:rPr>
              <w:t>с</w:t>
            </w:r>
            <w:r>
              <w:rPr>
                <w:spacing w:val="-12"/>
                <w:sz w:val="20"/>
              </w:rPr>
              <w:t> </w:t>
            </w:r>
            <w:r>
              <w:rPr>
                <w:sz w:val="20"/>
              </w:rPr>
              <w:t>возможным</w:t>
            </w:r>
            <w:r>
              <w:rPr>
                <w:spacing w:val="-11"/>
                <w:sz w:val="20"/>
              </w:rPr>
              <w:t> </w:t>
            </w:r>
            <w:r>
              <w:rPr>
                <w:sz w:val="20"/>
              </w:rPr>
              <w:t>выполнением дополнительных исследований (доплерографического определения кровотока</w:t>
            </w:r>
            <w:r>
              <w:rPr>
                <w:spacing w:val="-5"/>
                <w:sz w:val="20"/>
              </w:rPr>
              <w:t> </w:t>
            </w:r>
            <w:r>
              <w:rPr>
                <w:sz w:val="20"/>
              </w:rPr>
              <w:t>в</w:t>
            </w:r>
            <w:r>
              <w:rPr>
                <w:spacing w:val="-6"/>
                <w:sz w:val="20"/>
              </w:rPr>
              <w:t> </w:t>
            </w:r>
            <w:r>
              <w:rPr>
                <w:sz w:val="20"/>
              </w:rPr>
              <w:t>магистральных</w:t>
            </w:r>
            <w:r>
              <w:rPr>
                <w:spacing w:val="-4"/>
                <w:sz w:val="20"/>
              </w:rPr>
              <w:t> </w:t>
            </w:r>
            <w:r>
              <w:rPr>
                <w:sz w:val="20"/>
              </w:rPr>
              <w:t>артериях, а также лучевых (магнитно- резонансной томографии), иммунологических и молекулярно- генетических исследований)</w:t>
            </w:r>
          </w:p>
        </w:tc>
        <w:tc>
          <w:tcPr>
            <w:tcW w:w="1031" w:type="dxa"/>
          </w:tcPr>
          <w:p>
            <w:pPr>
              <w:pStyle w:val="TableParagraph"/>
              <w:spacing w:before="60"/>
              <w:ind w:left="381"/>
              <w:rPr>
                <w:sz w:val="20"/>
              </w:rPr>
            </w:pPr>
            <w:r>
              <w:rPr>
                <w:spacing w:val="-2"/>
                <w:sz w:val="20"/>
              </w:rPr>
              <w:t>554782</w:t>
            </w:r>
          </w:p>
        </w:tc>
      </w:tr>
      <w:tr>
        <w:trPr>
          <w:trHeight w:val="1070" w:hRule="atLeast"/>
        </w:trPr>
        <w:tc>
          <w:tcPr>
            <w:tcW w:w="472" w:type="dxa"/>
          </w:tcPr>
          <w:p>
            <w:pPr>
              <w:pStyle w:val="TableParagraph"/>
              <w:rPr>
                <w:sz w:val="18"/>
              </w:rPr>
            </w:pPr>
          </w:p>
        </w:tc>
        <w:tc>
          <w:tcPr>
            <w:tcW w:w="3065" w:type="dxa"/>
            <w:vMerge/>
            <w:tcBorders>
              <w:top w:val="nil"/>
            </w:tcBorders>
          </w:tcPr>
          <w:p>
            <w:pPr>
              <w:rPr>
                <w:sz w:val="2"/>
                <w:szCs w:val="2"/>
              </w:rPr>
            </w:pP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spacing w:line="240" w:lineRule="atLeast" w:before="90"/>
              <w:ind w:left="83" w:right="563"/>
              <w:rPr>
                <w:sz w:val="20"/>
              </w:rPr>
            </w:pPr>
            <w:r>
              <w:rPr>
                <w:sz w:val="20"/>
              </w:rPr>
              <w:t>терапия открытого артериального протока ингибиторами циклооксигеназы под контролем динамической</w:t>
            </w:r>
            <w:r>
              <w:rPr>
                <w:spacing w:val="-13"/>
                <w:sz w:val="20"/>
              </w:rPr>
              <w:t> </w:t>
            </w:r>
            <w:r>
              <w:rPr>
                <w:sz w:val="20"/>
              </w:rPr>
              <w:t>доплерометрической</w:t>
            </w:r>
          </w:p>
        </w:tc>
        <w:tc>
          <w:tcPr>
            <w:tcW w:w="103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647"/>
        <w:gridCol w:w="2324"/>
        <w:gridCol w:w="3142"/>
        <w:gridCol w:w="1577"/>
        <w:gridCol w:w="3189"/>
        <w:gridCol w:w="1695"/>
      </w:tblGrid>
      <w:tr>
        <w:trPr>
          <w:trHeight w:val="590" w:hRule="atLeast"/>
        </w:trPr>
        <w:tc>
          <w:tcPr>
            <w:tcW w:w="15046" w:type="dxa"/>
            <w:gridSpan w:val="7"/>
          </w:tcPr>
          <w:p>
            <w:pPr>
              <w:pStyle w:val="TableParagraph"/>
              <w:spacing w:line="249" w:lineRule="auto"/>
              <w:ind w:left="10379" w:right="601"/>
              <w:rPr>
                <w:sz w:val="20"/>
              </w:rPr>
            </w:pPr>
            <w:r>
              <w:rPr>
                <w:sz w:val="20"/>
              </w:rPr>
              <w:t>оценки</w:t>
            </w:r>
            <w:r>
              <w:rPr>
                <w:spacing w:val="-13"/>
                <w:sz w:val="20"/>
              </w:rPr>
              <w:t> </w:t>
            </w:r>
            <w:r>
              <w:rPr>
                <w:sz w:val="20"/>
              </w:rPr>
              <w:t>центрального</w:t>
            </w:r>
            <w:r>
              <w:rPr>
                <w:spacing w:val="-12"/>
                <w:sz w:val="20"/>
              </w:rPr>
              <w:t> </w:t>
            </w:r>
            <w:r>
              <w:rPr>
                <w:sz w:val="20"/>
              </w:rPr>
              <w:t>и</w:t>
            </w:r>
            <w:r>
              <w:rPr>
                <w:spacing w:val="-13"/>
                <w:sz w:val="20"/>
              </w:rPr>
              <w:t> </w:t>
            </w:r>
            <w:r>
              <w:rPr>
                <w:sz w:val="20"/>
              </w:rPr>
              <w:t>регионального </w:t>
            </w:r>
            <w:r>
              <w:rPr>
                <w:spacing w:val="-2"/>
                <w:sz w:val="20"/>
              </w:rPr>
              <w:t>кровотока</w:t>
            </w:r>
          </w:p>
        </w:tc>
      </w:tr>
      <w:tr>
        <w:trPr>
          <w:trHeight w:val="72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9" w:lineRule="auto" w:before="120"/>
              <w:ind w:left="217" w:right="368"/>
              <w:rPr>
                <w:sz w:val="20"/>
              </w:rPr>
            </w:pPr>
            <w:r>
              <w:rPr>
                <w:sz w:val="20"/>
              </w:rPr>
              <w:t>неинвазивная</w:t>
            </w:r>
            <w:r>
              <w:rPr>
                <w:spacing w:val="-13"/>
                <w:sz w:val="20"/>
              </w:rPr>
              <w:t> </w:t>
            </w:r>
            <w:r>
              <w:rPr>
                <w:sz w:val="20"/>
              </w:rPr>
              <w:t>принудительная вентиляция легких</w:t>
            </w:r>
          </w:p>
        </w:tc>
        <w:tc>
          <w:tcPr>
            <w:tcW w:w="1695" w:type="dxa"/>
          </w:tcPr>
          <w:p>
            <w:pPr>
              <w:pStyle w:val="TableParagraph"/>
              <w:rPr>
                <w:sz w:val="18"/>
              </w:rPr>
            </w:pPr>
          </w:p>
        </w:tc>
      </w:tr>
      <w:tr>
        <w:trPr>
          <w:trHeight w:val="192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9" w:lineRule="auto" w:before="120"/>
              <w:ind w:left="217"/>
              <w:rPr>
                <w:sz w:val="20"/>
              </w:rPr>
            </w:pPr>
            <w:r>
              <w:rPr>
                <w:sz w:val="20"/>
              </w:rPr>
              <w:t>профилактика</w:t>
            </w:r>
            <w:r>
              <w:rPr>
                <w:spacing w:val="-13"/>
                <w:sz w:val="20"/>
              </w:rPr>
              <w:t> </w:t>
            </w:r>
            <w:r>
              <w:rPr>
                <w:sz w:val="20"/>
              </w:rPr>
              <w:t>и</w:t>
            </w:r>
            <w:r>
              <w:rPr>
                <w:spacing w:val="-12"/>
                <w:sz w:val="20"/>
              </w:rPr>
              <w:t> </w:t>
            </w:r>
            <w:r>
              <w:rPr>
                <w:sz w:val="20"/>
              </w:rPr>
              <w:t>лечение</w:t>
            </w:r>
            <w:r>
              <w:rPr>
                <w:spacing w:val="-13"/>
                <w:sz w:val="20"/>
              </w:rPr>
              <w:t> </w:t>
            </w:r>
            <w:r>
              <w:rPr>
                <w:sz w:val="20"/>
              </w:rPr>
              <w:t>синдрома </w:t>
            </w:r>
            <w:r>
              <w:rPr>
                <w:spacing w:val="-2"/>
                <w:sz w:val="20"/>
              </w:rPr>
              <w:t>диссеминированного </w:t>
            </w:r>
            <w:r>
              <w:rPr>
                <w:sz w:val="20"/>
              </w:rPr>
              <w:t>внутрисосудистого свертывания</w:t>
            </w:r>
            <w:r>
              <w:rPr>
                <w:spacing w:val="-2"/>
                <w:sz w:val="20"/>
              </w:rPr>
              <w:t> </w:t>
            </w:r>
            <w:r>
              <w:rPr>
                <w:sz w:val="20"/>
              </w:rPr>
              <w:t>и других нарушений свертывающей системы крови под контролем тромбоэластограммы и </w:t>
            </w:r>
            <w:r>
              <w:rPr>
                <w:spacing w:val="-2"/>
                <w:sz w:val="20"/>
              </w:rPr>
              <w:t>коагулограммы</w:t>
            </w:r>
          </w:p>
        </w:tc>
        <w:tc>
          <w:tcPr>
            <w:tcW w:w="1695" w:type="dxa"/>
          </w:tcPr>
          <w:p>
            <w:pPr>
              <w:pStyle w:val="TableParagraph"/>
              <w:rPr>
                <w:sz w:val="18"/>
              </w:rPr>
            </w:pPr>
          </w:p>
        </w:tc>
      </w:tr>
      <w:tr>
        <w:trPr>
          <w:trHeight w:val="96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9" w:lineRule="auto" w:before="120"/>
              <w:ind w:left="217"/>
              <w:rPr>
                <w:sz w:val="20"/>
              </w:rPr>
            </w:pPr>
            <w:r>
              <w:rPr>
                <w:sz w:val="20"/>
              </w:rPr>
              <w:t>хирургическая коррекция (лигирование, клипирование) открытого</w:t>
            </w:r>
            <w:r>
              <w:rPr>
                <w:spacing w:val="-13"/>
                <w:sz w:val="20"/>
              </w:rPr>
              <w:t> </w:t>
            </w:r>
            <w:r>
              <w:rPr>
                <w:sz w:val="20"/>
              </w:rPr>
              <w:t>артериального</w:t>
            </w:r>
            <w:r>
              <w:rPr>
                <w:spacing w:val="-12"/>
                <w:sz w:val="20"/>
              </w:rPr>
              <w:t> </w:t>
            </w:r>
            <w:r>
              <w:rPr>
                <w:sz w:val="20"/>
              </w:rPr>
              <w:t>протока</w:t>
            </w:r>
          </w:p>
        </w:tc>
        <w:tc>
          <w:tcPr>
            <w:tcW w:w="1695" w:type="dxa"/>
          </w:tcPr>
          <w:p>
            <w:pPr>
              <w:pStyle w:val="TableParagraph"/>
              <w:rPr>
                <w:sz w:val="18"/>
              </w:rPr>
            </w:pPr>
          </w:p>
        </w:tc>
      </w:tr>
      <w:tr>
        <w:trPr>
          <w:trHeight w:val="1200" w:hRule="atLeast"/>
        </w:trPr>
        <w:tc>
          <w:tcPr>
            <w:tcW w:w="15046" w:type="dxa"/>
            <w:gridSpan w:val="7"/>
          </w:tcPr>
          <w:p>
            <w:pPr>
              <w:pStyle w:val="TableParagraph"/>
              <w:spacing w:line="249" w:lineRule="auto" w:before="120"/>
              <w:ind w:left="10379" w:right="1503"/>
              <w:rPr>
                <w:sz w:val="20"/>
              </w:rPr>
            </w:pPr>
            <w:r>
              <w:rPr>
                <w:sz w:val="20"/>
              </w:rPr>
              <w:t>индивидуальная</w:t>
            </w:r>
            <w:r>
              <w:rPr>
                <w:spacing w:val="-13"/>
                <w:sz w:val="20"/>
              </w:rPr>
              <w:t> </w:t>
            </w:r>
            <w:r>
              <w:rPr>
                <w:sz w:val="20"/>
              </w:rPr>
              <w:t>противосудорожная терапия с учетом характера электроэнцефалограммы и анализа записи видеомониторинга</w:t>
            </w:r>
          </w:p>
        </w:tc>
      </w:tr>
      <w:tr>
        <w:trPr>
          <w:trHeight w:val="480" w:hRule="atLeast"/>
        </w:trPr>
        <w:tc>
          <w:tcPr>
            <w:tcW w:w="15046" w:type="dxa"/>
            <w:gridSpan w:val="7"/>
          </w:tcPr>
          <w:p>
            <w:pPr>
              <w:pStyle w:val="TableParagraph"/>
              <w:spacing w:before="120"/>
              <w:ind w:right="1464"/>
              <w:jc w:val="right"/>
              <w:rPr>
                <w:sz w:val="20"/>
              </w:rPr>
            </w:pPr>
            <w:r>
              <w:rPr>
                <w:sz w:val="20"/>
              </w:rPr>
              <w:t>крио-</w:t>
            </w:r>
            <w:r>
              <w:rPr>
                <w:spacing w:val="-8"/>
                <w:sz w:val="20"/>
              </w:rPr>
              <w:t> </w:t>
            </w:r>
            <w:r>
              <w:rPr>
                <w:sz w:val="20"/>
              </w:rPr>
              <w:t>или</w:t>
            </w:r>
            <w:r>
              <w:rPr>
                <w:spacing w:val="-9"/>
                <w:sz w:val="20"/>
              </w:rPr>
              <w:t> </w:t>
            </w:r>
            <w:r>
              <w:rPr>
                <w:sz w:val="20"/>
              </w:rPr>
              <w:t>лазерокоагуляция</w:t>
            </w:r>
            <w:r>
              <w:rPr>
                <w:spacing w:val="-7"/>
                <w:sz w:val="20"/>
              </w:rPr>
              <w:t> </w:t>
            </w:r>
            <w:r>
              <w:rPr>
                <w:spacing w:val="-2"/>
                <w:sz w:val="20"/>
              </w:rPr>
              <w:t>сетчатки</w:t>
            </w:r>
          </w:p>
        </w:tc>
      </w:tr>
      <w:tr>
        <w:trPr>
          <w:trHeight w:val="66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52" w:lineRule="auto" w:before="120"/>
              <w:ind w:left="217"/>
              <w:rPr>
                <w:sz w:val="20"/>
              </w:rPr>
            </w:pPr>
            <w:r>
              <w:rPr>
                <w:sz w:val="20"/>
              </w:rPr>
              <w:t>лечение</w:t>
            </w:r>
            <w:r>
              <w:rPr>
                <w:spacing w:val="-13"/>
                <w:sz w:val="20"/>
              </w:rPr>
              <w:t> </w:t>
            </w:r>
            <w:r>
              <w:rPr>
                <w:sz w:val="20"/>
              </w:rPr>
              <w:t>с</w:t>
            </w:r>
            <w:r>
              <w:rPr>
                <w:spacing w:val="-12"/>
                <w:sz w:val="20"/>
              </w:rPr>
              <w:t> </w:t>
            </w:r>
            <w:r>
              <w:rPr>
                <w:sz w:val="20"/>
              </w:rPr>
              <w:t>использованием</w:t>
            </w:r>
            <w:r>
              <w:rPr>
                <w:spacing w:val="-13"/>
                <w:sz w:val="20"/>
              </w:rPr>
              <w:t> </w:t>
            </w:r>
            <w:r>
              <w:rPr>
                <w:sz w:val="20"/>
              </w:rPr>
              <w:t>метода сухой иммерсии</w:t>
            </w:r>
          </w:p>
        </w:tc>
        <w:tc>
          <w:tcPr>
            <w:tcW w:w="1695" w:type="dxa"/>
          </w:tcPr>
          <w:p>
            <w:pPr>
              <w:pStyle w:val="TableParagraph"/>
              <w:rPr>
                <w:sz w:val="18"/>
              </w:rPr>
            </w:pPr>
          </w:p>
        </w:tc>
      </w:tr>
      <w:tr>
        <w:trPr>
          <w:trHeight w:val="42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spacing w:before="60"/>
              <w:ind w:left="1772"/>
              <w:rPr>
                <w:sz w:val="20"/>
              </w:rPr>
            </w:pPr>
            <w:r>
              <w:rPr>
                <w:spacing w:val="-2"/>
                <w:sz w:val="20"/>
              </w:rPr>
              <w:t>Онкология</w:t>
            </w:r>
          </w:p>
        </w:tc>
        <w:tc>
          <w:tcPr>
            <w:tcW w:w="1577" w:type="dxa"/>
          </w:tcPr>
          <w:p>
            <w:pPr>
              <w:pStyle w:val="TableParagraph"/>
              <w:rPr>
                <w:sz w:val="18"/>
              </w:rPr>
            </w:pPr>
          </w:p>
        </w:tc>
        <w:tc>
          <w:tcPr>
            <w:tcW w:w="3189" w:type="dxa"/>
          </w:tcPr>
          <w:p>
            <w:pPr>
              <w:pStyle w:val="TableParagraph"/>
              <w:rPr>
                <w:sz w:val="18"/>
              </w:rPr>
            </w:pPr>
          </w:p>
        </w:tc>
        <w:tc>
          <w:tcPr>
            <w:tcW w:w="1695" w:type="dxa"/>
          </w:tcPr>
          <w:p>
            <w:pPr>
              <w:pStyle w:val="TableParagraph"/>
              <w:rPr>
                <w:sz w:val="18"/>
              </w:rPr>
            </w:pPr>
          </w:p>
        </w:tc>
      </w:tr>
      <w:tr>
        <w:trPr>
          <w:trHeight w:val="659" w:hRule="atLeast"/>
        </w:trPr>
        <w:tc>
          <w:tcPr>
            <w:tcW w:w="472" w:type="dxa"/>
          </w:tcPr>
          <w:p>
            <w:pPr>
              <w:pStyle w:val="TableParagraph"/>
              <w:spacing w:before="120"/>
              <w:ind w:left="50"/>
              <w:rPr>
                <w:sz w:val="20"/>
              </w:rPr>
            </w:pPr>
            <w:r>
              <w:rPr>
                <w:spacing w:val="-5"/>
                <w:sz w:val="20"/>
              </w:rPr>
              <w:t>20.</w:t>
            </w:r>
          </w:p>
        </w:tc>
        <w:tc>
          <w:tcPr>
            <w:tcW w:w="2647" w:type="dxa"/>
            <w:vMerge w:val="restart"/>
          </w:tcPr>
          <w:p>
            <w:pPr>
              <w:pStyle w:val="TableParagraph"/>
              <w:spacing w:line="249" w:lineRule="auto" w:before="120"/>
              <w:ind w:left="168"/>
              <w:rPr>
                <w:sz w:val="20"/>
              </w:rPr>
            </w:pPr>
            <w:r>
              <w:rPr>
                <w:spacing w:val="-2"/>
                <w:sz w:val="20"/>
              </w:rPr>
              <w:t>Видеоэндоскопические </w:t>
            </w:r>
            <w:r>
              <w:rPr>
                <w:sz w:val="20"/>
              </w:rPr>
              <w:t>внутриполостные и </w:t>
            </w:r>
            <w:r>
              <w:rPr>
                <w:spacing w:val="-2"/>
                <w:sz w:val="20"/>
              </w:rPr>
              <w:t>видеоэндоскопические внутрипросветные</w:t>
            </w:r>
          </w:p>
        </w:tc>
        <w:tc>
          <w:tcPr>
            <w:tcW w:w="2324" w:type="dxa"/>
            <w:vMerge w:val="restart"/>
          </w:tcPr>
          <w:p>
            <w:pPr>
              <w:pStyle w:val="TableParagraph"/>
              <w:spacing w:line="249" w:lineRule="auto" w:before="120"/>
              <w:ind w:left="581" w:hanging="99"/>
              <w:rPr>
                <w:sz w:val="20"/>
              </w:rPr>
            </w:pPr>
            <w:r>
              <w:rPr>
                <w:sz w:val="20"/>
              </w:rPr>
              <w:t>C00,</w:t>
            </w:r>
            <w:r>
              <w:rPr>
                <w:spacing w:val="-9"/>
                <w:sz w:val="20"/>
              </w:rPr>
              <w:t> </w:t>
            </w:r>
            <w:r>
              <w:rPr>
                <w:sz w:val="20"/>
              </w:rPr>
              <w:t>C01,</w:t>
            </w:r>
            <w:r>
              <w:rPr>
                <w:spacing w:val="-9"/>
                <w:sz w:val="20"/>
              </w:rPr>
              <w:t> </w:t>
            </w:r>
            <w:r>
              <w:rPr>
                <w:sz w:val="20"/>
              </w:rPr>
              <w:t>C02,</w:t>
            </w:r>
            <w:r>
              <w:rPr>
                <w:spacing w:val="-9"/>
                <w:sz w:val="20"/>
              </w:rPr>
              <w:t> </w:t>
            </w:r>
            <w:r>
              <w:rPr>
                <w:sz w:val="20"/>
              </w:rPr>
              <w:t>C04</w:t>
            </w:r>
            <w:r>
              <w:rPr>
                <w:spacing w:val="-6"/>
                <w:sz w:val="20"/>
              </w:rPr>
              <w:t> </w:t>
            </w:r>
            <w:r>
              <w:rPr>
                <w:sz w:val="20"/>
              </w:rPr>
              <w:t>- C06, C09.0, C09.1,</w:t>
            </w:r>
          </w:p>
          <w:p>
            <w:pPr>
              <w:pStyle w:val="TableParagraph"/>
              <w:spacing w:before="2"/>
              <w:ind w:left="507"/>
              <w:rPr>
                <w:sz w:val="20"/>
              </w:rPr>
            </w:pPr>
            <w:r>
              <w:rPr>
                <w:sz w:val="20"/>
              </w:rPr>
              <w:t>C09.8,</w:t>
            </w:r>
            <w:r>
              <w:rPr>
                <w:spacing w:val="-5"/>
                <w:sz w:val="20"/>
              </w:rPr>
              <w:t> </w:t>
            </w:r>
            <w:r>
              <w:rPr>
                <w:sz w:val="20"/>
              </w:rPr>
              <w:t>C09.9,</w:t>
            </w:r>
            <w:r>
              <w:rPr>
                <w:spacing w:val="-5"/>
                <w:sz w:val="20"/>
              </w:rPr>
              <w:t> </w:t>
            </w:r>
            <w:r>
              <w:rPr>
                <w:spacing w:val="-2"/>
                <w:sz w:val="20"/>
              </w:rPr>
              <w:t>C10.0,</w:t>
            </w:r>
          </w:p>
          <w:p>
            <w:pPr>
              <w:pStyle w:val="TableParagraph"/>
              <w:spacing w:before="10"/>
              <w:ind w:left="507"/>
              <w:rPr>
                <w:sz w:val="20"/>
              </w:rPr>
            </w:pPr>
            <w:r>
              <w:rPr>
                <w:sz w:val="20"/>
              </w:rPr>
              <w:t>C10.1,</w:t>
            </w:r>
            <w:r>
              <w:rPr>
                <w:spacing w:val="-5"/>
                <w:sz w:val="20"/>
              </w:rPr>
              <w:t> </w:t>
            </w:r>
            <w:r>
              <w:rPr>
                <w:sz w:val="20"/>
              </w:rPr>
              <w:t>C10.2,</w:t>
            </w:r>
            <w:r>
              <w:rPr>
                <w:spacing w:val="-5"/>
                <w:sz w:val="20"/>
              </w:rPr>
              <w:t> </w:t>
            </w:r>
            <w:r>
              <w:rPr>
                <w:spacing w:val="-2"/>
                <w:sz w:val="20"/>
              </w:rPr>
              <w:t>C10.3,</w:t>
            </w:r>
          </w:p>
        </w:tc>
        <w:tc>
          <w:tcPr>
            <w:tcW w:w="3142" w:type="dxa"/>
          </w:tcPr>
          <w:p>
            <w:pPr>
              <w:pStyle w:val="TableParagraph"/>
              <w:spacing w:line="249" w:lineRule="auto" w:before="120"/>
              <w:ind w:left="82" w:right="92"/>
              <w:rPr>
                <w:sz w:val="20"/>
              </w:rPr>
            </w:pPr>
            <w:r>
              <w:rPr>
                <w:sz w:val="20"/>
              </w:rPr>
              <w:t>злокачественные</w:t>
            </w:r>
            <w:r>
              <w:rPr>
                <w:spacing w:val="-13"/>
                <w:sz w:val="20"/>
              </w:rPr>
              <w:t> </w:t>
            </w:r>
            <w:r>
              <w:rPr>
                <w:sz w:val="20"/>
              </w:rPr>
              <w:t>новообразования головы и шеи (I - III стадия)</w:t>
            </w:r>
          </w:p>
        </w:tc>
        <w:tc>
          <w:tcPr>
            <w:tcW w:w="1577" w:type="dxa"/>
          </w:tcPr>
          <w:p>
            <w:pPr>
              <w:pStyle w:val="TableParagraph"/>
              <w:spacing w:line="249" w:lineRule="auto" w:before="120"/>
              <w:ind w:left="96"/>
              <w:rPr>
                <w:sz w:val="20"/>
              </w:rPr>
            </w:pPr>
            <w:r>
              <w:rPr>
                <w:spacing w:val="-2"/>
                <w:sz w:val="20"/>
              </w:rPr>
              <w:t>хирургическое лечение</w:t>
            </w:r>
          </w:p>
        </w:tc>
        <w:tc>
          <w:tcPr>
            <w:tcW w:w="3189" w:type="dxa"/>
          </w:tcPr>
          <w:p>
            <w:pPr>
              <w:pStyle w:val="TableParagraph"/>
              <w:spacing w:line="249" w:lineRule="auto" w:before="120"/>
              <w:ind w:left="217" w:right="368"/>
              <w:rPr>
                <w:sz w:val="20"/>
              </w:rPr>
            </w:pPr>
            <w:r>
              <w:rPr>
                <w:spacing w:val="-2"/>
                <w:sz w:val="20"/>
              </w:rPr>
              <w:t>гемитиреоидэктомия видеоассистированная</w:t>
            </w:r>
          </w:p>
        </w:tc>
        <w:tc>
          <w:tcPr>
            <w:tcW w:w="1695" w:type="dxa"/>
          </w:tcPr>
          <w:p>
            <w:pPr>
              <w:pStyle w:val="TableParagraph"/>
              <w:spacing w:before="120"/>
              <w:ind w:left="1039"/>
              <w:rPr>
                <w:sz w:val="20"/>
              </w:rPr>
            </w:pPr>
            <w:r>
              <w:rPr>
                <w:spacing w:val="-2"/>
                <w:sz w:val="20"/>
              </w:rPr>
              <w:t>128915</w:t>
            </w:r>
          </w:p>
        </w:tc>
      </w:tr>
      <w:tr>
        <w:trPr>
          <w:trHeight w:val="530" w:hRule="atLeast"/>
        </w:trPr>
        <w:tc>
          <w:tcPr>
            <w:tcW w:w="472" w:type="dxa"/>
          </w:tcPr>
          <w:p>
            <w:pPr>
              <w:pStyle w:val="TableParagraph"/>
              <w:rPr>
                <w:sz w:val="18"/>
              </w:rPr>
            </w:pPr>
          </w:p>
        </w:tc>
        <w:tc>
          <w:tcPr>
            <w:tcW w:w="2647" w:type="dxa"/>
            <w:vMerge/>
            <w:tcBorders>
              <w:top w:val="nil"/>
            </w:tcBorders>
          </w:tcPr>
          <w:p>
            <w:pPr>
              <w:rPr>
                <w:sz w:val="2"/>
                <w:szCs w:val="2"/>
              </w:rPr>
            </w:pPr>
          </w:p>
        </w:tc>
        <w:tc>
          <w:tcPr>
            <w:tcW w:w="2324" w:type="dxa"/>
            <w:vMerge/>
            <w:tcBorders>
              <w:top w:val="nil"/>
            </w:tcBorders>
          </w:tcPr>
          <w:p>
            <w:pPr>
              <w:rPr>
                <w:sz w:val="2"/>
                <w:szCs w:val="2"/>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0" w:lineRule="atLeast" w:before="30"/>
              <w:ind w:left="217" w:right="368"/>
              <w:rPr>
                <w:sz w:val="20"/>
              </w:rPr>
            </w:pPr>
            <w:r>
              <w:rPr>
                <w:spacing w:val="-2"/>
                <w:sz w:val="20"/>
              </w:rPr>
              <w:t>гемитиреоидэктомия видеоэндоскопическая</w:t>
            </w:r>
          </w:p>
        </w:tc>
        <w:tc>
          <w:tcPr>
            <w:tcW w:w="169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7"/>
        <w:gridCol w:w="4395"/>
        <w:gridCol w:w="5858"/>
      </w:tblGrid>
      <w:tr>
        <w:trPr>
          <w:trHeight w:val="590" w:hRule="atLeast"/>
        </w:trPr>
        <w:tc>
          <w:tcPr>
            <w:tcW w:w="2867" w:type="dxa"/>
            <w:vMerge w:val="restart"/>
          </w:tcPr>
          <w:p>
            <w:pPr>
              <w:pStyle w:val="TableParagraph"/>
              <w:spacing w:line="249" w:lineRule="auto"/>
              <w:ind w:left="50" w:right="163"/>
              <w:rPr>
                <w:sz w:val="20"/>
              </w:rPr>
            </w:pPr>
            <w:r>
              <w:rPr>
                <w:sz w:val="20"/>
              </w:rPr>
              <w:t>хирургические</w:t>
            </w:r>
            <w:r>
              <w:rPr>
                <w:spacing w:val="-13"/>
                <w:sz w:val="20"/>
              </w:rPr>
              <w:t> </w:t>
            </w:r>
            <w:r>
              <w:rPr>
                <w:sz w:val="20"/>
              </w:rPr>
              <w:t>вмешательства, </w:t>
            </w:r>
            <w:r>
              <w:rPr>
                <w:spacing w:val="-2"/>
                <w:sz w:val="20"/>
              </w:rPr>
              <w:t>интервенционные радиологические вмешательства, малоинвазивные органосохраняющие </w:t>
            </w:r>
            <w:r>
              <w:rPr>
                <w:sz w:val="20"/>
              </w:rPr>
              <w:t>вмешательства при </w:t>
            </w:r>
            <w:r>
              <w:rPr>
                <w:spacing w:val="-2"/>
                <w:sz w:val="20"/>
              </w:rPr>
              <w:t>злокачественных </w:t>
            </w:r>
            <w:r>
              <w:rPr>
                <w:sz w:val="20"/>
              </w:rPr>
              <w:t>новообразованиях,</w:t>
            </w:r>
            <w:r>
              <w:rPr>
                <w:spacing w:val="-13"/>
                <w:sz w:val="20"/>
              </w:rPr>
              <w:t> </w:t>
            </w:r>
            <w:r>
              <w:rPr>
                <w:sz w:val="20"/>
              </w:rPr>
              <w:t>в</w:t>
            </w:r>
            <w:r>
              <w:rPr>
                <w:spacing w:val="-12"/>
                <w:sz w:val="20"/>
              </w:rPr>
              <w:t> </w:t>
            </w:r>
            <w:r>
              <w:rPr>
                <w:sz w:val="20"/>
              </w:rPr>
              <w:t>том</w:t>
            </w:r>
            <w:r>
              <w:rPr>
                <w:spacing w:val="-13"/>
                <w:sz w:val="20"/>
              </w:rPr>
              <w:t> </w:t>
            </w:r>
            <w:r>
              <w:rPr>
                <w:sz w:val="20"/>
              </w:rPr>
              <w:t>числе</w:t>
            </w:r>
          </w:p>
          <w:p>
            <w:pPr>
              <w:pStyle w:val="TableParagraph"/>
              <w:spacing w:line="220" w:lineRule="exact"/>
              <w:ind w:left="50"/>
              <w:rPr>
                <w:sz w:val="20"/>
              </w:rPr>
            </w:pPr>
            <w:r>
              <w:rPr>
                <w:sz w:val="20"/>
              </w:rPr>
              <w:t>у</w:t>
            </w:r>
            <w:r>
              <w:rPr>
                <w:spacing w:val="-2"/>
                <w:sz w:val="20"/>
              </w:rPr>
              <w:t> детей</w:t>
            </w:r>
          </w:p>
        </w:tc>
        <w:tc>
          <w:tcPr>
            <w:tcW w:w="4395" w:type="dxa"/>
            <w:vMerge w:val="restart"/>
          </w:tcPr>
          <w:p>
            <w:pPr>
              <w:pStyle w:val="TableParagraph"/>
              <w:spacing w:line="221" w:lineRule="exact"/>
              <w:ind w:left="160" w:right="2514"/>
              <w:jc w:val="center"/>
              <w:rPr>
                <w:sz w:val="20"/>
              </w:rPr>
            </w:pPr>
            <w:r>
              <w:rPr>
                <w:sz w:val="20"/>
              </w:rPr>
              <w:t>C10.4,</w:t>
            </w:r>
            <w:r>
              <w:rPr>
                <w:spacing w:val="-4"/>
                <w:sz w:val="20"/>
              </w:rPr>
              <w:t> </w:t>
            </w:r>
            <w:r>
              <w:rPr>
                <w:sz w:val="20"/>
              </w:rPr>
              <w:t>C11.0,</w:t>
            </w:r>
            <w:r>
              <w:rPr>
                <w:spacing w:val="-4"/>
                <w:sz w:val="20"/>
              </w:rPr>
              <w:t> </w:t>
            </w:r>
            <w:r>
              <w:rPr>
                <w:spacing w:val="-2"/>
                <w:sz w:val="20"/>
              </w:rPr>
              <w:t>C11.1,</w:t>
            </w:r>
          </w:p>
          <w:p>
            <w:pPr>
              <w:pStyle w:val="TableParagraph"/>
              <w:spacing w:before="10"/>
              <w:ind w:left="158" w:right="2514"/>
              <w:jc w:val="center"/>
              <w:rPr>
                <w:sz w:val="20"/>
              </w:rPr>
            </w:pPr>
            <w:r>
              <w:rPr>
                <w:sz w:val="20"/>
              </w:rPr>
              <w:t>C11.2,</w:t>
            </w:r>
            <w:r>
              <w:rPr>
                <w:spacing w:val="-5"/>
                <w:sz w:val="20"/>
              </w:rPr>
              <w:t> </w:t>
            </w:r>
            <w:r>
              <w:rPr>
                <w:sz w:val="20"/>
              </w:rPr>
              <w:t>C11.3,</w:t>
            </w:r>
            <w:r>
              <w:rPr>
                <w:spacing w:val="-5"/>
                <w:sz w:val="20"/>
              </w:rPr>
              <w:t> </w:t>
            </w:r>
            <w:r>
              <w:rPr>
                <w:spacing w:val="-2"/>
                <w:sz w:val="20"/>
              </w:rPr>
              <w:t>C11.8,</w:t>
            </w:r>
          </w:p>
          <w:p>
            <w:pPr>
              <w:pStyle w:val="TableParagraph"/>
              <w:spacing w:before="10"/>
              <w:ind w:left="158" w:right="2514"/>
              <w:jc w:val="center"/>
              <w:rPr>
                <w:sz w:val="20"/>
              </w:rPr>
            </w:pPr>
            <w:r>
              <w:rPr>
                <w:sz w:val="20"/>
              </w:rPr>
              <w:t>C11.9,</w:t>
            </w:r>
            <w:r>
              <w:rPr>
                <w:spacing w:val="-4"/>
                <w:sz w:val="20"/>
              </w:rPr>
              <w:t> </w:t>
            </w:r>
            <w:r>
              <w:rPr>
                <w:sz w:val="20"/>
              </w:rPr>
              <w:t>C12,</w:t>
            </w:r>
            <w:r>
              <w:rPr>
                <w:spacing w:val="-3"/>
                <w:sz w:val="20"/>
              </w:rPr>
              <w:t> </w:t>
            </w:r>
            <w:r>
              <w:rPr>
                <w:spacing w:val="-2"/>
                <w:sz w:val="20"/>
              </w:rPr>
              <w:t>C13.0,</w:t>
            </w:r>
          </w:p>
          <w:p>
            <w:pPr>
              <w:pStyle w:val="TableParagraph"/>
              <w:spacing w:before="10"/>
              <w:ind w:left="158" w:right="2514"/>
              <w:jc w:val="center"/>
              <w:rPr>
                <w:sz w:val="20"/>
              </w:rPr>
            </w:pPr>
            <w:r>
              <w:rPr>
                <w:sz w:val="20"/>
              </w:rPr>
              <w:t>C13.1,</w:t>
            </w:r>
            <w:r>
              <w:rPr>
                <w:spacing w:val="-5"/>
                <w:sz w:val="20"/>
              </w:rPr>
              <w:t> </w:t>
            </w:r>
            <w:r>
              <w:rPr>
                <w:sz w:val="20"/>
              </w:rPr>
              <w:t>C13.2,</w:t>
            </w:r>
            <w:r>
              <w:rPr>
                <w:spacing w:val="-5"/>
                <w:sz w:val="20"/>
              </w:rPr>
              <w:t> </w:t>
            </w:r>
            <w:r>
              <w:rPr>
                <w:spacing w:val="-2"/>
                <w:sz w:val="20"/>
              </w:rPr>
              <w:t>C13.8,</w:t>
            </w:r>
          </w:p>
          <w:p>
            <w:pPr>
              <w:pStyle w:val="TableParagraph"/>
              <w:spacing w:before="10"/>
              <w:ind w:left="158" w:right="2514"/>
              <w:jc w:val="center"/>
              <w:rPr>
                <w:sz w:val="20"/>
              </w:rPr>
            </w:pPr>
            <w:r>
              <w:rPr>
                <w:sz w:val="20"/>
              </w:rPr>
              <w:t>C13.9,</w:t>
            </w:r>
            <w:r>
              <w:rPr>
                <w:spacing w:val="-5"/>
                <w:sz w:val="20"/>
              </w:rPr>
              <w:t> </w:t>
            </w:r>
            <w:r>
              <w:rPr>
                <w:sz w:val="20"/>
              </w:rPr>
              <w:t>C14.0,</w:t>
            </w:r>
            <w:r>
              <w:rPr>
                <w:spacing w:val="-5"/>
                <w:sz w:val="20"/>
              </w:rPr>
              <w:t> </w:t>
            </w:r>
            <w:r>
              <w:rPr>
                <w:spacing w:val="-2"/>
                <w:sz w:val="20"/>
              </w:rPr>
              <w:t>C14.2,</w:t>
            </w:r>
          </w:p>
          <w:p>
            <w:pPr>
              <w:pStyle w:val="TableParagraph"/>
              <w:spacing w:before="10"/>
              <w:ind w:left="158" w:right="2514"/>
              <w:jc w:val="center"/>
              <w:rPr>
                <w:sz w:val="20"/>
              </w:rPr>
            </w:pPr>
            <w:r>
              <w:rPr>
                <w:sz w:val="20"/>
              </w:rPr>
              <w:t>C15.0,</w:t>
            </w:r>
            <w:r>
              <w:rPr>
                <w:spacing w:val="-5"/>
                <w:sz w:val="20"/>
              </w:rPr>
              <w:t> </w:t>
            </w:r>
            <w:r>
              <w:rPr>
                <w:sz w:val="20"/>
              </w:rPr>
              <w:t>C30.0,</w:t>
            </w:r>
            <w:r>
              <w:rPr>
                <w:spacing w:val="-5"/>
                <w:sz w:val="20"/>
              </w:rPr>
              <w:t> </w:t>
            </w:r>
            <w:r>
              <w:rPr>
                <w:spacing w:val="-2"/>
                <w:sz w:val="20"/>
              </w:rPr>
              <w:t>C31.0,</w:t>
            </w:r>
          </w:p>
          <w:p>
            <w:pPr>
              <w:pStyle w:val="TableParagraph"/>
              <w:spacing w:before="10"/>
              <w:ind w:left="158" w:right="2514"/>
              <w:jc w:val="center"/>
              <w:rPr>
                <w:sz w:val="20"/>
              </w:rPr>
            </w:pPr>
            <w:r>
              <w:rPr>
                <w:sz w:val="20"/>
              </w:rPr>
              <w:t>C31.1,</w:t>
            </w:r>
            <w:r>
              <w:rPr>
                <w:spacing w:val="-5"/>
                <w:sz w:val="20"/>
              </w:rPr>
              <w:t> </w:t>
            </w:r>
            <w:r>
              <w:rPr>
                <w:sz w:val="20"/>
              </w:rPr>
              <w:t>C31.2,</w:t>
            </w:r>
            <w:r>
              <w:rPr>
                <w:spacing w:val="-5"/>
                <w:sz w:val="20"/>
              </w:rPr>
              <w:t> </w:t>
            </w:r>
            <w:r>
              <w:rPr>
                <w:spacing w:val="-2"/>
                <w:sz w:val="20"/>
              </w:rPr>
              <w:t>C31.3,</w:t>
            </w:r>
          </w:p>
          <w:p>
            <w:pPr>
              <w:pStyle w:val="TableParagraph"/>
              <w:spacing w:line="249" w:lineRule="auto" w:before="10"/>
              <w:ind w:left="178" w:right="2530" w:hanging="5"/>
              <w:jc w:val="center"/>
              <w:rPr>
                <w:sz w:val="20"/>
              </w:rPr>
            </w:pPr>
            <w:r>
              <w:rPr>
                <w:sz w:val="20"/>
              </w:rPr>
              <w:t>C31.8, C31.9, C32, C43,</w:t>
            </w:r>
            <w:r>
              <w:rPr>
                <w:spacing w:val="-13"/>
                <w:sz w:val="20"/>
              </w:rPr>
              <w:t> </w:t>
            </w:r>
            <w:r>
              <w:rPr>
                <w:sz w:val="20"/>
              </w:rPr>
              <w:t>C44,</w:t>
            </w:r>
            <w:r>
              <w:rPr>
                <w:spacing w:val="-12"/>
                <w:sz w:val="20"/>
              </w:rPr>
              <w:t> </w:t>
            </w:r>
            <w:r>
              <w:rPr>
                <w:sz w:val="20"/>
              </w:rPr>
              <w:t>C69,</w:t>
            </w:r>
            <w:r>
              <w:rPr>
                <w:spacing w:val="-13"/>
                <w:sz w:val="20"/>
              </w:rPr>
              <w:t> </w:t>
            </w:r>
            <w:r>
              <w:rPr>
                <w:sz w:val="20"/>
              </w:rPr>
              <w:t>C73, C15,</w:t>
            </w:r>
            <w:r>
              <w:rPr>
                <w:spacing w:val="-13"/>
                <w:sz w:val="20"/>
              </w:rPr>
              <w:t> </w:t>
            </w:r>
            <w:r>
              <w:rPr>
                <w:sz w:val="20"/>
              </w:rPr>
              <w:t>C16,</w:t>
            </w:r>
            <w:r>
              <w:rPr>
                <w:spacing w:val="-12"/>
                <w:sz w:val="20"/>
              </w:rPr>
              <w:t> </w:t>
            </w:r>
            <w:r>
              <w:rPr>
                <w:sz w:val="20"/>
              </w:rPr>
              <w:t>C17,</w:t>
            </w:r>
            <w:r>
              <w:rPr>
                <w:spacing w:val="-13"/>
                <w:sz w:val="20"/>
              </w:rPr>
              <w:t> </w:t>
            </w:r>
            <w:r>
              <w:rPr>
                <w:sz w:val="20"/>
              </w:rPr>
              <w:t>C18, C19, C20, C21</w:t>
            </w:r>
          </w:p>
        </w:tc>
        <w:tc>
          <w:tcPr>
            <w:tcW w:w="5858" w:type="dxa"/>
          </w:tcPr>
          <w:p>
            <w:pPr>
              <w:pStyle w:val="TableParagraph"/>
              <w:spacing w:line="249" w:lineRule="auto"/>
              <w:ind w:left="2526" w:right="199"/>
              <w:rPr>
                <w:sz w:val="20"/>
              </w:rPr>
            </w:pPr>
            <w:r>
              <w:rPr>
                <w:sz w:val="20"/>
              </w:rPr>
              <w:t>резекция щитовидной железы субтотальная</w:t>
            </w:r>
            <w:r>
              <w:rPr>
                <w:spacing w:val="-13"/>
                <w:sz w:val="20"/>
              </w:rPr>
              <w:t> </w:t>
            </w:r>
            <w:r>
              <w:rPr>
                <w:sz w:val="20"/>
              </w:rPr>
              <w:t>видеоэндоскопическая</w:t>
            </w:r>
          </w:p>
        </w:tc>
      </w:tr>
      <w:tr>
        <w:trPr>
          <w:trHeight w:val="960" w:hRule="atLeast"/>
        </w:trPr>
        <w:tc>
          <w:tcPr>
            <w:tcW w:w="2867" w:type="dxa"/>
            <w:vMerge/>
            <w:tcBorders>
              <w:top w:val="nil"/>
            </w:tcBorders>
          </w:tcPr>
          <w:p>
            <w:pPr>
              <w:rPr>
                <w:sz w:val="2"/>
                <w:szCs w:val="2"/>
              </w:rPr>
            </w:pPr>
          </w:p>
        </w:tc>
        <w:tc>
          <w:tcPr>
            <w:tcW w:w="4395" w:type="dxa"/>
            <w:vMerge/>
            <w:tcBorders>
              <w:top w:val="nil"/>
            </w:tcBorders>
          </w:tcPr>
          <w:p>
            <w:pPr>
              <w:rPr>
                <w:sz w:val="2"/>
                <w:szCs w:val="2"/>
              </w:rPr>
            </w:pPr>
          </w:p>
        </w:tc>
        <w:tc>
          <w:tcPr>
            <w:tcW w:w="5858" w:type="dxa"/>
          </w:tcPr>
          <w:p>
            <w:pPr>
              <w:pStyle w:val="TableParagraph"/>
              <w:spacing w:line="249" w:lineRule="auto" w:before="120"/>
              <w:ind w:left="2526" w:right="411"/>
              <w:rPr>
                <w:sz w:val="20"/>
              </w:rPr>
            </w:pPr>
            <w:r>
              <w:rPr>
                <w:sz w:val="20"/>
              </w:rPr>
              <w:t>селективная (суперселективная) эмболизация</w:t>
            </w:r>
            <w:r>
              <w:rPr>
                <w:spacing w:val="-13"/>
                <w:sz w:val="20"/>
              </w:rPr>
              <w:t> </w:t>
            </w:r>
            <w:r>
              <w:rPr>
                <w:sz w:val="20"/>
              </w:rPr>
              <w:t>(химиоэмболизация) опухолевых сосудов</w:t>
            </w:r>
          </w:p>
        </w:tc>
      </w:tr>
      <w:tr>
        <w:trPr>
          <w:trHeight w:val="840" w:hRule="atLeast"/>
        </w:trPr>
        <w:tc>
          <w:tcPr>
            <w:tcW w:w="2867" w:type="dxa"/>
            <w:vMerge/>
            <w:tcBorders>
              <w:top w:val="nil"/>
            </w:tcBorders>
          </w:tcPr>
          <w:p>
            <w:pPr>
              <w:rPr>
                <w:sz w:val="2"/>
                <w:szCs w:val="2"/>
              </w:rPr>
            </w:pPr>
          </w:p>
        </w:tc>
        <w:tc>
          <w:tcPr>
            <w:tcW w:w="4395" w:type="dxa"/>
            <w:vMerge/>
            <w:tcBorders>
              <w:top w:val="nil"/>
            </w:tcBorders>
          </w:tcPr>
          <w:p>
            <w:pPr>
              <w:rPr>
                <w:sz w:val="2"/>
                <w:szCs w:val="2"/>
              </w:rPr>
            </w:pPr>
          </w:p>
        </w:tc>
        <w:tc>
          <w:tcPr>
            <w:tcW w:w="5858" w:type="dxa"/>
          </w:tcPr>
          <w:p>
            <w:pPr>
              <w:pStyle w:val="TableParagraph"/>
              <w:spacing w:line="249" w:lineRule="auto" w:before="120"/>
              <w:ind w:left="2526" w:right="148"/>
              <w:rPr>
                <w:sz w:val="20"/>
              </w:rPr>
            </w:pPr>
            <w:r>
              <w:rPr>
                <w:sz w:val="20"/>
              </w:rPr>
              <w:t>резекция щитовидной железы (доли, субтотальная)</w:t>
            </w:r>
            <w:r>
              <w:rPr>
                <w:spacing w:val="-13"/>
                <w:sz w:val="20"/>
              </w:rPr>
              <w:t> </w:t>
            </w:r>
            <w:r>
              <w:rPr>
                <w:sz w:val="20"/>
              </w:rPr>
              <w:t>видеоассистированная</w:t>
            </w:r>
          </w:p>
        </w:tc>
      </w:tr>
      <w:tr>
        <w:trPr>
          <w:trHeight w:val="840" w:hRule="atLeast"/>
        </w:trPr>
        <w:tc>
          <w:tcPr>
            <w:tcW w:w="2867" w:type="dxa"/>
          </w:tcPr>
          <w:p>
            <w:pPr>
              <w:pStyle w:val="TableParagraph"/>
              <w:rPr>
                <w:sz w:val="18"/>
              </w:rPr>
            </w:pPr>
          </w:p>
        </w:tc>
        <w:tc>
          <w:tcPr>
            <w:tcW w:w="4395" w:type="dxa"/>
            <w:vMerge/>
            <w:tcBorders>
              <w:top w:val="nil"/>
            </w:tcBorders>
          </w:tcPr>
          <w:p>
            <w:pPr>
              <w:rPr>
                <w:sz w:val="2"/>
                <w:szCs w:val="2"/>
              </w:rPr>
            </w:pPr>
          </w:p>
        </w:tc>
        <w:tc>
          <w:tcPr>
            <w:tcW w:w="5858" w:type="dxa"/>
          </w:tcPr>
          <w:p>
            <w:pPr>
              <w:pStyle w:val="TableParagraph"/>
              <w:spacing w:line="249" w:lineRule="auto"/>
              <w:ind w:left="2526" w:right="1393"/>
              <w:rPr>
                <w:sz w:val="20"/>
              </w:rPr>
            </w:pPr>
            <w:r>
              <w:rPr>
                <w:sz w:val="20"/>
              </w:rPr>
              <w:t>гемитиреоидэктомия</w:t>
            </w:r>
            <w:r>
              <w:rPr>
                <w:spacing w:val="-13"/>
                <w:sz w:val="20"/>
              </w:rPr>
              <w:t> </w:t>
            </w:r>
            <w:r>
              <w:rPr>
                <w:sz w:val="20"/>
              </w:rPr>
              <w:t>с </w:t>
            </w:r>
            <w:r>
              <w:rPr>
                <w:spacing w:val="-2"/>
                <w:sz w:val="20"/>
              </w:rPr>
              <w:t>истмусэктомией видеоассистированная</w:t>
            </w:r>
          </w:p>
        </w:tc>
      </w:tr>
      <w:tr>
        <w:trPr>
          <w:trHeight w:val="120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ight="199"/>
              <w:rPr>
                <w:sz w:val="20"/>
              </w:rPr>
            </w:pPr>
            <w:r>
              <w:rPr>
                <w:sz w:val="20"/>
              </w:rPr>
              <w:t>резекция</w:t>
            </w:r>
            <w:r>
              <w:rPr>
                <w:spacing w:val="-13"/>
                <w:sz w:val="20"/>
              </w:rPr>
              <w:t> </w:t>
            </w:r>
            <w:r>
              <w:rPr>
                <w:sz w:val="20"/>
              </w:rPr>
              <w:t>щитовидной</w:t>
            </w:r>
            <w:r>
              <w:rPr>
                <w:spacing w:val="-12"/>
                <w:sz w:val="20"/>
              </w:rPr>
              <w:t> </w:t>
            </w:r>
            <w:r>
              <w:rPr>
                <w:sz w:val="20"/>
              </w:rPr>
              <w:t>железы</w:t>
            </w:r>
            <w:r>
              <w:rPr>
                <w:spacing w:val="-13"/>
                <w:sz w:val="20"/>
              </w:rPr>
              <w:t> </w:t>
            </w:r>
            <w:r>
              <w:rPr>
                <w:sz w:val="20"/>
              </w:rPr>
              <w:t>с флюоресцентной навигацией паращитовидных желез </w:t>
            </w:r>
            <w:r>
              <w:rPr>
                <w:spacing w:val="-2"/>
                <w:sz w:val="20"/>
              </w:rPr>
              <w:t>видеоассистированная</w:t>
            </w:r>
          </w:p>
        </w:tc>
      </w:tr>
      <w:tr>
        <w:trPr>
          <w:trHeight w:val="72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Pr>
                <w:sz w:val="20"/>
              </w:rPr>
            </w:pPr>
            <w:r>
              <w:rPr>
                <w:sz w:val="20"/>
              </w:rPr>
              <w:t>биопсия</w:t>
            </w:r>
            <w:r>
              <w:rPr>
                <w:spacing w:val="-13"/>
                <w:sz w:val="20"/>
              </w:rPr>
              <w:t> </w:t>
            </w:r>
            <w:r>
              <w:rPr>
                <w:sz w:val="20"/>
              </w:rPr>
              <w:t>сторожевого</w:t>
            </w:r>
            <w:r>
              <w:rPr>
                <w:spacing w:val="-12"/>
                <w:sz w:val="20"/>
              </w:rPr>
              <w:t> </w:t>
            </w:r>
            <w:r>
              <w:rPr>
                <w:sz w:val="20"/>
              </w:rPr>
              <w:t>лимфатического узла шеи видеоассистированная</w:t>
            </w:r>
          </w:p>
        </w:tc>
      </w:tr>
      <w:tr>
        <w:trPr>
          <w:trHeight w:val="96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ight="618"/>
              <w:rPr>
                <w:sz w:val="20"/>
              </w:rPr>
            </w:pPr>
            <w:r>
              <w:rPr>
                <w:sz w:val="20"/>
              </w:rPr>
              <w:t>эндоларингеальная резекция видеоэндоскопическая с радиочастотной</w:t>
            </w:r>
            <w:r>
              <w:rPr>
                <w:spacing w:val="-13"/>
                <w:sz w:val="20"/>
              </w:rPr>
              <w:t> </w:t>
            </w:r>
            <w:r>
              <w:rPr>
                <w:sz w:val="20"/>
              </w:rPr>
              <w:t>термоаблацией</w:t>
            </w:r>
          </w:p>
        </w:tc>
      </w:tr>
      <w:tr>
        <w:trPr>
          <w:trHeight w:val="96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ight="862"/>
              <w:rPr>
                <w:sz w:val="20"/>
              </w:rPr>
            </w:pPr>
            <w:r>
              <w:rPr>
                <w:sz w:val="20"/>
              </w:rPr>
              <w:t>эндоларингеальная</w:t>
            </w:r>
            <w:r>
              <w:rPr>
                <w:spacing w:val="-13"/>
                <w:sz w:val="20"/>
              </w:rPr>
              <w:t> </w:t>
            </w:r>
            <w:r>
              <w:rPr>
                <w:sz w:val="20"/>
              </w:rPr>
              <w:t>резекция видеоэндоскопическая с фотодинамической</w:t>
            </w:r>
            <w:r>
              <w:rPr>
                <w:spacing w:val="-13"/>
                <w:sz w:val="20"/>
              </w:rPr>
              <w:t> </w:t>
            </w:r>
            <w:r>
              <w:rPr>
                <w:sz w:val="20"/>
              </w:rPr>
              <w:t>терапией</w:t>
            </w:r>
          </w:p>
        </w:tc>
      </w:tr>
      <w:tr>
        <w:trPr>
          <w:trHeight w:val="59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0" w:lineRule="atLeast" w:before="90"/>
              <w:ind w:left="2526"/>
              <w:rPr>
                <w:sz w:val="20"/>
              </w:rPr>
            </w:pPr>
            <w:r>
              <w:rPr>
                <w:sz w:val="20"/>
              </w:rPr>
              <w:t>видеоассистированные</w:t>
            </w:r>
            <w:r>
              <w:rPr>
                <w:spacing w:val="-13"/>
                <w:sz w:val="20"/>
              </w:rPr>
              <w:t> </w:t>
            </w:r>
            <w:r>
              <w:rPr>
                <w:sz w:val="20"/>
              </w:rPr>
              <w:t>операции</w:t>
            </w:r>
            <w:r>
              <w:rPr>
                <w:spacing w:val="-12"/>
                <w:sz w:val="20"/>
              </w:rPr>
              <w:t> </w:t>
            </w:r>
            <w:r>
              <w:rPr>
                <w:sz w:val="20"/>
              </w:rPr>
              <w:t>при опухолях головы и шеи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7"/>
        <w:gridCol w:w="3160"/>
        <w:gridCol w:w="1577"/>
        <w:gridCol w:w="3603"/>
      </w:tblGrid>
      <w:tr>
        <w:trPr>
          <w:trHeight w:val="155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ind w:left="219" w:right="44"/>
              <w:rPr>
                <w:sz w:val="20"/>
              </w:rPr>
            </w:pPr>
            <w:r>
              <w:rPr>
                <w:sz w:val="20"/>
              </w:rPr>
              <w:t>радиочастотная абляция, криодеструкция, лазерная абляция, фотодинамическая</w:t>
            </w:r>
            <w:r>
              <w:rPr>
                <w:spacing w:val="-13"/>
                <w:sz w:val="20"/>
              </w:rPr>
              <w:t> </w:t>
            </w:r>
            <w:r>
              <w:rPr>
                <w:sz w:val="20"/>
              </w:rPr>
              <w:t>терапия</w:t>
            </w:r>
            <w:r>
              <w:rPr>
                <w:spacing w:val="-12"/>
                <w:sz w:val="20"/>
              </w:rPr>
              <w:t> </w:t>
            </w:r>
            <w:r>
              <w:rPr>
                <w:sz w:val="20"/>
              </w:rPr>
              <w:t>опухолей головы и шеи под ультразвуковой навигацией и (или) под контролем компьютерной томографии</w:t>
            </w:r>
          </w:p>
        </w:tc>
      </w:tr>
      <w:tr>
        <w:trPr>
          <w:trHeight w:val="840" w:hRule="atLeast"/>
        </w:trPr>
        <w:tc>
          <w:tcPr>
            <w:tcW w:w="1837" w:type="dxa"/>
          </w:tcPr>
          <w:p>
            <w:pPr>
              <w:pStyle w:val="TableParagraph"/>
              <w:spacing w:line="240" w:lineRule="atLeast" w:before="100"/>
              <w:ind w:left="49" w:right="100"/>
              <w:jc w:val="center"/>
              <w:rPr>
                <w:sz w:val="20"/>
              </w:rPr>
            </w:pPr>
            <w:r>
              <w:rPr>
                <w:sz w:val="20"/>
              </w:rPr>
              <w:t>C09,</w:t>
            </w:r>
            <w:r>
              <w:rPr>
                <w:spacing w:val="-12"/>
                <w:sz w:val="20"/>
              </w:rPr>
              <w:t> </w:t>
            </w:r>
            <w:r>
              <w:rPr>
                <w:sz w:val="20"/>
              </w:rPr>
              <w:t>C10,</w:t>
            </w:r>
            <w:r>
              <w:rPr>
                <w:spacing w:val="-12"/>
                <w:sz w:val="20"/>
              </w:rPr>
              <w:t> </w:t>
            </w:r>
            <w:r>
              <w:rPr>
                <w:sz w:val="20"/>
              </w:rPr>
              <w:t>C11,</w:t>
            </w:r>
            <w:r>
              <w:rPr>
                <w:spacing w:val="-12"/>
                <w:sz w:val="20"/>
              </w:rPr>
              <w:t> </w:t>
            </w:r>
            <w:r>
              <w:rPr>
                <w:sz w:val="20"/>
              </w:rPr>
              <w:t>C12, C13,</w:t>
            </w:r>
            <w:r>
              <w:rPr>
                <w:spacing w:val="-12"/>
                <w:sz w:val="20"/>
              </w:rPr>
              <w:t> </w:t>
            </w:r>
            <w:r>
              <w:rPr>
                <w:sz w:val="20"/>
              </w:rPr>
              <w:t>C14,</w:t>
            </w:r>
            <w:r>
              <w:rPr>
                <w:spacing w:val="-12"/>
                <w:sz w:val="20"/>
              </w:rPr>
              <w:t> </w:t>
            </w:r>
            <w:r>
              <w:rPr>
                <w:sz w:val="20"/>
              </w:rPr>
              <w:t>C15,</w:t>
            </w:r>
            <w:r>
              <w:rPr>
                <w:spacing w:val="-12"/>
                <w:sz w:val="20"/>
              </w:rPr>
              <w:t> </w:t>
            </w:r>
            <w:r>
              <w:rPr>
                <w:sz w:val="20"/>
              </w:rPr>
              <w:t>C30, </w:t>
            </w:r>
            <w:r>
              <w:rPr>
                <w:spacing w:val="-4"/>
                <w:sz w:val="20"/>
              </w:rPr>
              <w:t>C32</w:t>
            </w:r>
          </w:p>
        </w:tc>
        <w:tc>
          <w:tcPr>
            <w:tcW w:w="3160" w:type="dxa"/>
            <w:vMerge w:val="restart"/>
          </w:tcPr>
          <w:p>
            <w:pPr>
              <w:pStyle w:val="TableParagraph"/>
              <w:spacing w:line="249" w:lineRule="auto" w:before="120"/>
              <w:ind w:left="102" w:right="90"/>
              <w:rPr>
                <w:sz w:val="20"/>
              </w:rPr>
            </w:pPr>
            <w:r>
              <w:rPr>
                <w:sz w:val="20"/>
              </w:rPr>
              <w:t>злокачественные</w:t>
            </w:r>
            <w:r>
              <w:rPr>
                <w:spacing w:val="-13"/>
                <w:sz w:val="20"/>
              </w:rPr>
              <w:t> </w:t>
            </w:r>
            <w:r>
              <w:rPr>
                <w:sz w:val="20"/>
              </w:rPr>
              <w:t>новообразования полости носа, глотки, гортани у функционально неоперабельных </w:t>
            </w:r>
            <w:r>
              <w:rPr>
                <w:spacing w:val="-2"/>
                <w:sz w:val="20"/>
              </w:rPr>
              <w:t>больных</w:t>
            </w:r>
          </w:p>
        </w:tc>
        <w:tc>
          <w:tcPr>
            <w:tcW w:w="1577" w:type="dxa"/>
          </w:tcPr>
          <w:p>
            <w:pPr>
              <w:pStyle w:val="TableParagraph"/>
              <w:spacing w:line="249" w:lineRule="auto" w:before="120"/>
              <w:ind w:left="98"/>
              <w:rPr>
                <w:sz w:val="20"/>
              </w:rPr>
            </w:pPr>
            <w:r>
              <w:rPr>
                <w:spacing w:val="-2"/>
                <w:sz w:val="20"/>
              </w:rPr>
              <w:t>хирургическое лечение</w:t>
            </w:r>
          </w:p>
        </w:tc>
        <w:tc>
          <w:tcPr>
            <w:tcW w:w="3603" w:type="dxa"/>
          </w:tcPr>
          <w:p>
            <w:pPr>
              <w:pStyle w:val="TableParagraph"/>
              <w:spacing w:line="249" w:lineRule="auto" w:before="120"/>
              <w:ind w:left="219" w:right="313"/>
              <w:rPr>
                <w:sz w:val="20"/>
              </w:rPr>
            </w:pPr>
            <w:r>
              <w:rPr>
                <w:sz w:val="20"/>
              </w:rPr>
              <w:t>эндоскопическая</w:t>
            </w:r>
            <w:r>
              <w:rPr>
                <w:spacing w:val="-13"/>
                <w:sz w:val="20"/>
              </w:rPr>
              <w:t> </w:t>
            </w:r>
            <w:r>
              <w:rPr>
                <w:sz w:val="20"/>
              </w:rPr>
              <w:t>аргоноплазменная коагуляция опухоли</w:t>
            </w:r>
          </w:p>
        </w:tc>
      </w:tr>
      <w:tr>
        <w:trPr>
          <w:trHeight w:val="840" w:hRule="atLeast"/>
        </w:trPr>
        <w:tc>
          <w:tcPr>
            <w:tcW w:w="1837" w:type="dxa"/>
          </w:tcPr>
          <w:p>
            <w:pPr>
              <w:pStyle w:val="TableParagraph"/>
              <w:rPr>
                <w:sz w:val="18"/>
              </w:rPr>
            </w:pPr>
          </w:p>
        </w:tc>
        <w:tc>
          <w:tcPr>
            <w:tcW w:w="3160" w:type="dxa"/>
            <w:vMerge/>
            <w:tcBorders>
              <w:top w:val="nil"/>
            </w:tcBorders>
          </w:tcPr>
          <w:p>
            <w:pPr>
              <w:rPr>
                <w:sz w:val="2"/>
                <w:szCs w:val="2"/>
              </w:rPr>
            </w:pPr>
          </w:p>
        </w:tc>
        <w:tc>
          <w:tcPr>
            <w:tcW w:w="1577" w:type="dxa"/>
          </w:tcPr>
          <w:p>
            <w:pPr>
              <w:pStyle w:val="TableParagraph"/>
              <w:rPr>
                <w:sz w:val="18"/>
              </w:rPr>
            </w:pPr>
          </w:p>
        </w:tc>
        <w:tc>
          <w:tcPr>
            <w:tcW w:w="3603" w:type="dxa"/>
          </w:tcPr>
          <w:p>
            <w:pPr>
              <w:pStyle w:val="TableParagraph"/>
              <w:spacing w:line="249" w:lineRule="auto"/>
              <w:ind w:left="219" w:right="313"/>
              <w:rPr>
                <w:sz w:val="20"/>
              </w:rPr>
            </w:pPr>
            <w:r>
              <w:rPr>
                <w:spacing w:val="-2"/>
                <w:sz w:val="20"/>
              </w:rPr>
              <w:t>эндоскопическое электрохирургическое удаление опухоли</w:t>
            </w:r>
          </w:p>
        </w:tc>
      </w:tr>
      <w:tr>
        <w:trPr>
          <w:trHeight w:val="72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52" w:lineRule="auto" w:before="120"/>
              <w:ind w:left="219" w:right="44"/>
              <w:rPr>
                <w:sz w:val="20"/>
              </w:rPr>
            </w:pPr>
            <w:r>
              <w:rPr>
                <w:spacing w:val="-2"/>
                <w:sz w:val="20"/>
              </w:rPr>
              <w:t>эндоскопическая фотодинамическая </w:t>
            </w:r>
            <w:r>
              <w:rPr>
                <w:sz w:val="20"/>
              </w:rPr>
              <w:t>терапия опухоли</w:t>
            </w:r>
          </w:p>
        </w:tc>
      </w:tr>
      <w:tr>
        <w:trPr>
          <w:trHeight w:val="72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120"/>
              <w:ind w:left="219" w:right="44"/>
              <w:rPr>
                <w:sz w:val="20"/>
              </w:rPr>
            </w:pPr>
            <w:r>
              <w:rPr>
                <w:sz w:val="20"/>
              </w:rPr>
              <w:t>эндоскопическая</w:t>
            </w:r>
            <w:r>
              <w:rPr>
                <w:spacing w:val="-13"/>
                <w:sz w:val="20"/>
              </w:rPr>
              <w:t> </w:t>
            </w:r>
            <w:r>
              <w:rPr>
                <w:sz w:val="20"/>
              </w:rPr>
              <w:t>лазерная</w:t>
            </w:r>
            <w:r>
              <w:rPr>
                <w:spacing w:val="-12"/>
                <w:sz w:val="20"/>
              </w:rPr>
              <w:t> </w:t>
            </w:r>
            <w:r>
              <w:rPr>
                <w:sz w:val="20"/>
              </w:rPr>
              <w:t>деструкция злокачественных опухолей</w:t>
            </w:r>
          </w:p>
        </w:tc>
      </w:tr>
      <w:tr>
        <w:trPr>
          <w:trHeight w:val="72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120"/>
              <w:ind w:left="219" w:right="44"/>
              <w:rPr>
                <w:sz w:val="20"/>
              </w:rPr>
            </w:pPr>
            <w:r>
              <w:rPr>
                <w:sz w:val="20"/>
              </w:rPr>
              <w:t>поднаркозная эндоскопическая фотодинамическая</w:t>
            </w:r>
            <w:r>
              <w:rPr>
                <w:spacing w:val="-13"/>
                <w:sz w:val="20"/>
              </w:rPr>
              <w:t> </w:t>
            </w:r>
            <w:r>
              <w:rPr>
                <w:sz w:val="20"/>
              </w:rPr>
              <w:t>терапия</w:t>
            </w:r>
            <w:r>
              <w:rPr>
                <w:spacing w:val="-12"/>
                <w:sz w:val="20"/>
              </w:rPr>
              <w:t> </w:t>
            </w:r>
            <w:r>
              <w:rPr>
                <w:sz w:val="20"/>
              </w:rPr>
              <w:t>опухоли</w:t>
            </w:r>
          </w:p>
        </w:tc>
      </w:tr>
      <w:tr>
        <w:trPr>
          <w:trHeight w:val="114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120"/>
              <w:ind w:left="219" w:right="44"/>
              <w:rPr>
                <w:sz w:val="20"/>
              </w:rPr>
            </w:pPr>
            <w:r>
              <w:rPr>
                <w:sz w:val="20"/>
              </w:rPr>
              <w:t>эндоскопическая лазерная реканализация и устранение дыхательной</w:t>
            </w:r>
            <w:r>
              <w:rPr>
                <w:spacing w:val="-13"/>
                <w:sz w:val="20"/>
              </w:rPr>
              <w:t> </w:t>
            </w:r>
            <w:r>
              <w:rPr>
                <w:sz w:val="20"/>
              </w:rPr>
              <w:t>недостаточности</w:t>
            </w:r>
            <w:r>
              <w:rPr>
                <w:spacing w:val="-12"/>
                <w:sz w:val="20"/>
              </w:rPr>
              <w:t> </w:t>
            </w:r>
            <w:r>
              <w:rPr>
                <w:sz w:val="20"/>
              </w:rPr>
              <w:t>при стенозирующей опухоли гортани</w:t>
            </w:r>
          </w:p>
        </w:tc>
      </w:tr>
      <w:tr>
        <w:trPr>
          <w:trHeight w:val="599"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60"/>
              <w:ind w:left="219" w:right="44"/>
              <w:rPr>
                <w:sz w:val="20"/>
              </w:rPr>
            </w:pPr>
            <w:r>
              <w:rPr>
                <w:sz w:val="20"/>
              </w:rPr>
              <w:t>эндоскопическая ультразвуковая деструкция</w:t>
            </w:r>
            <w:r>
              <w:rPr>
                <w:spacing w:val="-13"/>
                <w:sz w:val="20"/>
              </w:rPr>
              <w:t> </w:t>
            </w:r>
            <w:r>
              <w:rPr>
                <w:sz w:val="20"/>
              </w:rPr>
              <w:t>злокачественных</w:t>
            </w:r>
            <w:r>
              <w:rPr>
                <w:spacing w:val="-12"/>
                <w:sz w:val="20"/>
              </w:rPr>
              <w:t> </w:t>
            </w:r>
            <w:r>
              <w:rPr>
                <w:sz w:val="20"/>
              </w:rPr>
              <w:t>опухолей</w:t>
            </w:r>
          </w:p>
        </w:tc>
      </w:tr>
      <w:tr>
        <w:trPr>
          <w:trHeight w:val="101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0" w:lineRule="atLeast" w:before="30"/>
              <w:ind w:left="219" w:right="44"/>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7"/>
        <w:gridCol w:w="3128"/>
        <w:gridCol w:w="1608"/>
        <w:gridCol w:w="3512"/>
      </w:tblGrid>
      <w:tr>
        <w:trPr>
          <w:trHeight w:val="590" w:hRule="atLeast"/>
        </w:trPr>
        <w:tc>
          <w:tcPr>
            <w:tcW w:w="1837" w:type="dxa"/>
          </w:tcPr>
          <w:p>
            <w:pPr>
              <w:pStyle w:val="TableParagraph"/>
              <w:spacing w:line="249" w:lineRule="auto"/>
              <w:ind w:left="292" w:hanging="243"/>
              <w:rPr>
                <w:sz w:val="20"/>
              </w:rPr>
            </w:pPr>
            <w:r>
              <w:rPr>
                <w:sz w:val="20"/>
              </w:rPr>
              <w:t>C15,</w:t>
            </w:r>
            <w:r>
              <w:rPr>
                <w:spacing w:val="-12"/>
                <w:sz w:val="20"/>
              </w:rPr>
              <w:t> </w:t>
            </w:r>
            <w:r>
              <w:rPr>
                <w:sz w:val="20"/>
              </w:rPr>
              <w:t>C16,</w:t>
            </w:r>
            <w:r>
              <w:rPr>
                <w:spacing w:val="-12"/>
                <w:sz w:val="20"/>
              </w:rPr>
              <w:t> </w:t>
            </w:r>
            <w:r>
              <w:rPr>
                <w:sz w:val="20"/>
              </w:rPr>
              <w:t>C18,</w:t>
            </w:r>
            <w:r>
              <w:rPr>
                <w:spacing w:val="-12"/>
                <w:sz w:val="20"/>
              </w:rPr>
              <w:t> </w:t>
            </w:r>
            <w:r>
              <w:rPr>
                <w:sz w:val="20"/>
              </w:rPr>
              <w:t>C17, C19, C21, C20</w:t>
            </w:r>
          </w:p>
        </w:tc>
        <w:tc>
          <w:tcPr>
            <w:tcW w:w="3128" w:type="dxa"/>
            <w:vMerge w:val="restart"/>
          </w:tcPr>
          <w:p>
            <w:pPr>
              <w:pStyle w:val="TableParagraph"/>
              <w:spacing w:line="249" w:lineRule="auto"/>
              <w:ind w:left="102" w:right="84"/>
              <w:rPr>
                <w:sz w:val="20"/>
              </w:rPr>
            </w:pPr>
            <w:r>
              <w:rPr>
                <w:sz w:val="20"/>
              </w:rPr>
              <w:t>стенозирующие</w:t>
            </w:r>
            <w:r>
              <w:rPr>
                <w:spacing w:val="-2"/>
                <w:sz w:val="20"/>
              </w:rPr>
              <w:t> </w:t>
            </w:r>
            <w:r>
              <w:rPr>
                <w:sz w:val="20"/>
              </w:rPr>
              <w:t>злокачественные новообразования пищевода, желудка, двенадцатиперстной кишки, ободочной кишки, ректосигмоидного соединения, прямой</w:t>
            </w:r>
            <w:r>
              <w:rPr>
                <w:spacing w:val="-11"/>
                <w:sz w:val="20"/>
              </w:rPr>
              <w:t> </w:t>
            </w:r>
            <w:r>
              <w:rPr>
                <w:sz w:val="20"/>
              </w:rPr>
              <w:t>кишки,</w:t>
            </w:r>
            <w:r>
              <w:rPr>
                <w:spacing w:val="-10"/>
                <w:sz w:val="20"/>
              </w:rPr>
              <w:t> </w:t>
            </w:r>
            <w:r>
              <w:rPr>
                <w:sz w:val="20"/>
              </w:rPr>
              <w:t>заднего</w:t>
            </w:r>
            <w:r>
              <w:rPr>
                <w:spacing w:val="-10"/>
                <w:sz w:val="20"/>
              </w:rPr>
              <w:t> </w:t>
            </w:r>
            <w:r>
              <w:rPr>
                <w:sz w:val="20"/>
              </w:rPr>
              <w:t>прохода</w:t>
            </w:r>
            <w:r>
              <w:rPr>
                <w:spacing w:val="-11"/>
                <w:sz w:val="20"/>
              </w:rPr>
              <w:t> </w:t>
            </w:r>
            <w:r>
              <w:rPr>
                <w:sz w:val="20"/>
              </w:rPr>
              <w:t>и анального канала</w:t>
            </w:r>
          </w:p>
        </w:tc>
        <w:tc>
          <w:tcPr>
            <w:tcW w:w="1608" w:type="dxa"/>
          </w:tcPr>
          <w:p>
            <w:pPr>
              <w:pStyle w:val="TableParagraph"/>
              <w:spacing w:line="249" w:lineRule="auto"/>
              <w:ind w:left="130"/>
              <w:rPr>
                <w:sz w:val="20"/>
              </w:rPr>
            </w:pPr>
            <w:r>
              <w:rPr>
                <w:spacing w:val="-2"/>
                <w:sz w:val="20"/>
              </w:rPr>
              <w:t>хирургическое лечение</w:t>
            </w:r>
          </w:p>
        </w:tc>
        <w:tc>
          <w:tcPr>
            <w:tcW w:w="3512" w:type="dxa"/>
          </w:tcPr>
          <w:p>
            <w:pPr>
              <w:pStyle w:val="TableParagraph"/>
              <w:spacing w:line="249" w:lineRule="auto"/>
              <w:ind w:left="220" w:right="221"/>
              <w:rPr>
                <w:sz w:val="20"/>
              </w:rPr>
            </w:pPr>
            <w:r>
              <w:rPr>
                <w:sz w:val="20"/>
              </w:rPr>
              <w:t>эндоскопическая</w:t>
            </w:r>
            <w:r>
              <w:rPr>
                <w:spacing w:val="-13"/>
                <w:sz w:val="20"/>
              </w:rPr>
              <w:t> </w:t>
            </w:r>
            <w:r>
              <w:rPr>
                <w:sz w:val="20"/>
              </w:rPr>
              <w:t>аргоноплазменная коагуляция опухоли</w:t>
            </w:r>
          </w:p>
        </w:tc>
      </w:tr>
      <w:tr>
        <w:trPr>
          <w:trHeight w:val="720" w:hRule="atLeast"/>
        </w:trPr>
        <w:tc>
          <w:tcPr>
            <w:tcW w:w="1837" w:type="dxa"/>
          </w:tcPr>
          <w:p>
            <w:pPr>
              <w:pStyle w:val="TableParagraph"/>
              <w:rPr>
                <w:sz w:val="18"/>
              </w:rPr>
            </w:pPr>
          </w:p>
        </w:tc>
        <w:tc>
          <w:tcPr>
            <w:tcW w:w="3128" w:type="dxa"/>
            <w:vMerge/>
            <w:tcBorders>
              <w:top w:val="nil"/>
            </w:tcBorders>
          </w:tcPr>
          <w:p>
            <w:pPr>
              <w:rPr>
                <w:sz w:val="2"/>
                <w:szCs w:val="2"/>
              </w:rPr>
            </w:pPr>
          </w:p>
        </w:tc>
        <w:tc>
          <w:tcPr>
            <w:tcW w:w="1608" w:type="dxa"/>
          </w:tcPr>
          <w:p>
            <w:pPr>
              <w:pStyle w:val="TableParagraph"/>
              <w:rPr>
                <w:sz w:val="18"/>
              </w:rPr>
            </w:pPr>
          </w:p>
        </w:tc>
        <w:tc>
          <w:tcPr>
            <w:tcW w:w="3512" w:type="dxa"/>
          </w:tcPr>
          <w:p>
            <w:pPr>
              <w:pStyle w:val="TableParagraph"/>
              <w:spacing w:line="249" w:lineRule="auto" w:before="120"/>
              <w:ind w:left="220" w:right="221"/>
              <w:rPr>
                <w:sz w:val="20"/>
              </w:rPr>
            </w:pPr>
            <w:r>
              <w:rPr>
                <w:sz w:val="20"/>
              </w:rPr>
              <w:t>эндоскопическая</w:t>
            </w:r>
            <w:r>
              <w:rPr>
                <w:spacing w:val="-13"/>
                <w:sz w:val="20"/>
              </w:rPr>
              <w:t> </w:t>
            </w:r>
            <w:r>
              <w:rPr>
                <w:sz w:val="20"/>
              </w:rPr>
              <w:t>Nd:YAG</w:t>
            </w:r>
            <w:r>
              <w:rPr>
                <w:spacing w:val="-12"/>
                <w:sz w:val="20"/>
              </w:rPr>
              <w:t> </w:t>
            </w:r>
            <w:r>
              <w:rPr>
                <w:sz w:val="20"/>
              </w:rPr>
              <w:t>лазерная коагуляция опухоли</w:t>
            </w:r>
          </w:p>
        </w:tc>
      </w:tr>
      <w:tr>
        <w:trPr>
          <w:trHeight w:val="1200" w:hRule="atLeast"/>
        </w:trPr>
        <w:tc>
          <w:tcPr>
            <w:tcW w:w="1837" w:type="dxa"/>
          </w:tcPr>
          <w:p>
            <w:pPr>
              <w:pStyle w:val="TableParagraph"/>
              <w:rPr>
                <w:sz w:val="18"/>
              </w:rPr>
            </w:pPr>
          </w:p>
        </w:tc>
        <w:tc>
          <w:tcPr>
            <w:tcW w:w="3128" w:type="dxa"/>
            <w:vMerge/>
            <w:tcBorders>
              <w:top w:val="nil"/>
            </w:tcBorders>
          </w:tcPr>
          <w:p>
            <w:pPr>
              <w:rPr>
                <w:sz w:val="2"/>
                <w:szCs w:val="2"/>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z w:val="20"/>
              </w:rPr>
              <w:t>эндоскопическое бужирование и баллонная</w:t>
            </w:r>
            <w:r>
              <w:rPr>
                <w:spacing w:val="-13"/>
                <w:sz w:val="20"/>
              </w:rPr>
              <w:t> </w:t>
            </w:r>
            <w:r>
              <w:rPr>
                <w:sz w:val="20"/>
              </w:rPr>
              <w:t>дилатация</w:t>
            </w:r>
            <w:r>
              <w:rPr>
                <w:spacing w:val="-12"/>
                <w:sz w:val="20"/>
              </w:rPr>
              <w:t> </w:t>
            </w:r>
            <w:r>
              <w:rPr>
                <w:sz w:val="20"/>
              </w:rPr>
              <w:t>при</w:t>
            </w:r>
            <w:r>
              <w:rPr>
                <w:spacing w:val="-13"/>
                <w:sz w:val="20"/>
              </w:rPr>
              <w:t> </w:t>
            </w:r>
            <w:r>
              <w:rPr>
                <w:sz w:val="20"/>
              </w:rPr>
              <w:t>опухолевом стенозе под эндоскопическим </w:t>
            </w:r>
            <w:r>
              <w:rPr>
                <w:spacing w:val="-2"/>
                <w:sz w:val="20"/>
              </w:rPr>
              <w:t>контролем</w:t>
            </w:r>
          </w:p>
        </w:tc>
      </w:tr>
      <w:tr>
        <w:trPr>
          <w:trHeight w:val="120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w:t>
            </w:r>
          </w:p>
        </w:tc>
      </w:tr>
      <w:tr>
        <w:trPr>
          <w:trHeight w:val="96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ight="221"/>
              <w:rPr>
                <w:sz w:val="20"/>
              </w:rPr>
            </w:pPr>
            <w:r>
              <w:rPr>
                <w:spacing w:val="-2"/>
                <w:sz w:val="20"/>
              </w:rPr>
              <w:t>эндоскопическое электрохирургическое удаление опухоли</w:t>
            </w:r>
          </w:p>
        </w:tc>
      </w:tr>
      <w:tr>
        <w:trPr>
          <w:trHeight w:val="72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pacing w:val="-2"/>
                <w:sz w:val="20"/>
              </w:rPr>
              <w:t>эндоскопическая фотодинамическая </w:t>
            </w:r>
            <w:r>
              <w:rPr>
                <w:sz w:val="20"/>
              </w:rPr>
              <w:t>терапия опухолей</w:t>
            </w:r>
          </w:p>
        </w:tc>
      </w:tr>
      <w:tr>
        <w:trPr>
          <w:trHeight w:val="72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z w:val="20"/>
              </w:rPr>
              <w:t>эндоскопическое</w:t>
            </w:r>
            <w:r>
              <w:rPr>
                <w:spacing w:val="-13"/>
                <w:sz w:val="20"/>
              </w:rPr>
              <w:t> </w:t>
            </w:r>
            <w:r>
              <w:rPr>
                <w:sz w:val="20"/>
              </w:rPr>
              <w:t>стентирование</w:t>
            </w:r>
            <w:r>
              <w:rPr>
                <w:spacing w:val="-12"/>
                <w:sz w:val="20"/>
              </w:rPr>
              <w:t> </w:t>
            </w:r>
            <w:r>
              <w:rPr>
                <w:sz w:val="20"/>
              </w:rPr>
              <w:t>при опухолевом стенозе</w:t>
            </w:r>
          </w:p>
        </w:tc>
      </w:tr>
      <w:tr>
        <w:trPr>
          <w:trHeight w:val="2030" w:hRule="atLeast"/>
        </w:trPr>
        <w:tc>
          <w:tcPr>
            <w:tcW w:w="1837" w:type="dxa"/>
          </w:tcPr>
          <w:p>
            <w:pPr>
              <w:pStyle w:val="TableParagraph"/>
              <w:rPr>
                <w:sz w:val="18"/>
              </w:rPr>
            </w:pPr>
          </w:p>
        </w:tc>
        <w:tc>
          <w:tcPr>
            <w:tcW w:w="3128" w:type="dxa"/>
          </w:tcPr>
          <w:p>
            <w:pPr>
              <w:pStyle w:val="TableParagraph"/>
              <w:spacing w:line="240" w:lineRule="atLeast" w:before="90"/>
              <w:ind w:left="102" w:right="185"/>
              <w:rPr>
                <w:sz w:val="20"/>
              </w:rPr>
            </w:pPr>
            <w:r>
              <w:rPr>
                <w:sz w:val="20"/>
              </w:rPr>
              <w:t>пациенты со злокачественными новообразованиями пищевода и желудка, подвергшиеся хирургическому лечению с различными</w:t>
            </w:r>
            <w:r>
              <w:rPr>
                <w:spacing w:val="-13"/>
                <w:sz w:val="20"/>
              </w:rPr>
              <w:t> </w:t>
            </w:r>
            <w:r>
              <w:rPr>
                <w:sz w:val="20"/>
              </w:rPr>
              <w:t>пострезекционными состояниями (синдром приводящей петли, синдром отводящей петли, демпинг-</w:t>
            </w:r>
          </w:p>
        </w:tc>
        <w:tc>
          <w:tcPr>
            <w:tcW w:w="1608" w:type="dxa"/>
          </w:tcPr>
          <w:p>
            <w:pPr>
              <w:pStyle w:val="TableParagraph"/>
              <w:spacing w:line="249" w:lineRule="auto" w:before="120"/>
              <w:ind w:left="130"/>
              <w:rPr>
                <w:sz w:val="20"/>
              </w:rPr>
            </w:pPr>
            <w:r>
              <w:rPr>
                <w:spacing w:val="-2"/>
                <w:sz w:val="20"/>
              </w:rPr>
              <w:t>хирургическое лечение</w:t>
            </w:r>
          </w:p>
        </w:tc>
        <w:tc>
          <w:tcPr>
            <w:tcW w:w="3512" w:type="dxa"/>
          </w:tcPr>
          <w:p>
            <w:pPr>
              <w:pStyle w:val="TableParagraph"/>
              <w:spacing w:line="249" w:lineRule="auto" w:before="120"/>
              <w:ind w:left="220" w:right="221"/>
              <w:rPr>
                <w:sz w:val="20"/>
              </w:rPr>
            </w:pPr>
            <w:r>
              <w:rPr>
                <w:sz w:val="20"/>
              </w:rPr>
              <w:t>эндоскопическая</w:t>
            </w:r>
            <w:r>
              <w:rPr>
                <w:spacing w:val="-13"/>
                <w:sz w:val="20"/>
              </w:rPr>
              <w:t> </w:t>
            </w:r>
            <w:r>
              <w:rPr>
                <w:sz w:val="20"/>
              </w:rPr>
              <w:t>дилятация</w:t>
            </w:r>
            <w:r>
              <w:rPr>
                <w:spacing w:val="-12"/>
                <w:sz w:val="20"/>
              </w:rPr>
              <w:t> </w:t>
            </w:r>
            <w:r>
              <w:rPr>
                <w:sz w:val="20"/>
              </w:rPr>
              <w:t>и стентирование зоны стеноза</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9"/>
        <w:gridCol w:w="3246"/>
        <w:gridCol w:w="1615"/>
        <w:gridCol w:w="3456"/>
      </w:tblGrid>
      <w:tr>
        <w:trPr>
          <w:trHeight w:val="590" w:hRule="atLeast"/>
        </w:trPr>
        <w:tc>
          <w:tcPr>
            <w:tcW w:w="1699" w:type="dxa"/>
          </w:tcPr>
          <w:p>
            <w:pPr>
              <w:pStyle w:val="TableParagraph"/>
              <w:rPr>
                <w:sz w:val="18"/>
              </w:rPr>
            </w:pPr>
          </w:p>
        </w:tc>
        <w:tc>
          <w:tcPr>
            <w:tcW w:w="3246" w:type="dxa"/>
          </w:tcPr>
          <w:p>
            <w:pPr>
              <w:pStyle w:val="TableParagraph"/>
              <w:spacing w:line="249" w:lineRule="auto"/>
              <w:ind w:left="149" w:right="129"/>
              <w:rPr>
                <w:sz w:val="20"/>
              </w:rPr>
            </w:pPr>
            <w:r>
              <w:rPr>
                <w:sz w:val="20"/>
              </w:rPr>
              <w:t>синдром,</w:t>
            </w:r>
            <w:r>
              <w:rPr>
                <w:spacing w:val="-13"/>
                <w:sz w:val="20"/>
              </w:rPr>
              <w:t> </w:t>
            </w:r>
            <w:r>
              <w:rPr>
                <w:sz w:val="20"/>
              </w:rPr>
              <w:t>рубцовые</w:t>
            </w:r>
            <w:r>
              <w:rPr>
                <w:spacing w:val="-12"/>
                <w:sz w:val="20"/>
              </w:rPr>
              <w:t> </w:t>
            </w:r>
            <w:r>
              <w:rPr>
                <w:sz w:val="20"/>
              </w:rPr>
              <w:t>деформации </w:t>
            </w:r>
            <w:r>
              <w:rPr>
                <w:spacing w:val="-2"/>
                <w:sz w:val="20"/>
              </w:rPr>
              <w:t>анастомозов)</w:t>
            </w:r>
          </w:p>
        </w:tc>
        <w:tc>
          <w:tcPr>
            <w:tcW w:w="1615" w:type="dxa"/>
          </w:tcPr>
          <w:p>
            <w:pPr>
              <w:pStyle w:val="TableParagraph"/>
              <w:rPr>
                <w:sz w:val="18"/>
              </w:rPr>
            </w:pPr>
          </w:p>
        </w:tc>
        <w:tc>
          <w:tcPr>
            <w:tcW w:w="3456" w:type="dxa"/>
          </w:tcPr>
          <w:p>
            <w:pPr>
              <w:pStyle w:val="TableParagraph"/>
              <w:rPr>
                <w:sz w:val="18"/>
              </w:rPr>
            </w:pPr>
          </w:p>
        </w:tc>
      </w:tr>
      <w:tr>
        <w:trPr>
          <w:trHeight w:val="1080" w:hRule="atLeast"/>
        </w:trPr>
        <w:tc>
          <w:tcPr>
            <w:tcW w:w="1699" w:type="dxa"/>
          </w:tcPr>
          <w:p>
            <w:pPr>
              <w:pStyle w:val="TableParagraph"/>
              <w:spacing w:before="120"/>
              <w:ind w:left="50"/>
              <w:rPr>
                <w:sz w:val="20"/>
              </w:rPr>
            </w:pPr>
            <w:r>
              <w:rPr>
                <w:sz w:val="20"/>
              </w:rPr>
              <w:t>C22,</w:t>
            </w:r>
            <w:r>
              <w:rPr>
                <w:spacing w:val="-4"/>
                <w:sz w:val="20"/>
              </w:rPr>
              <w:t> </w:t>
            </w:r>
            <w:r>
              <w:rPr>
                <w:sz w:val="20"/>
              </w:rPr>
              <w:t>C78.7,</w:t>
            </w:r>
            <w:r>
              <w:rPr>
                <w:spacing w:val="-3"/>
                <w:sz w:val="20"/>
              </w:rPr>
              <w:t> </w:t>
            </w:r>
            <w:r>
              <w:rPr>
                <w:spacing w:val="-2"/>
                <w:sz w:val="20"/>
              </w:rPr>
              <w:t>C24.0</w:t>
            </w:r>
          </w:p>
        </w:tc>
        <w:tc>
          <w:tcPr>
            <w:tcW w:w="3246" w:type="dxa"/>
          </w:tcPr>
          <w:p>
            <w:pPr>
              <w:pStyle w:val="TableParagraph"/>
              <w:spacing w:line="249" w:lineRule="auto" w:before="120"/>
              <w:ind w:left="149" w:right="129"/>
              <w:rPr>
                <w:sz w:val="20"/>
              </w:rPr>
            </w:pPr>
            <w:r>
              <w:rPr>
                <w:sz w:val="20"/>
              </w:rPr>
              <w:t>первичные и метастатические злокачественные</w:t>
            </w:r>
            <w:r>
              <w:rPr>
                <w:spacing w:val="-13"/>
                <w:sz w:val="20"/>
              </w:rPr>
              <w:t> </w:t>
            </w:r>
            <w:r>
              <w:rPr>
                <w:sz w:val="20"/>
              </w:rPr>
              <w:t>новообразования </w:t>
            </w:r>
            <w:r>
              <w:rPr>
                <w:spacing w:val="-2"/>
                <w:sz w:val="20"/>
              </w:rPr>
              <w:t>печени</w:t>
            </w:r>
          </w:p>
        </w:tc>
        <w:tc>
          <w:tcPr>
            <w:tcW w:w="1615" w:type="dxa"/>
          </w:tcPr>
          <w:p>
            <w:pPr>
              <w:pStyle w:val="TableParagraph"/>
              <w:spacing w:line="249" w:lineRule="auto" w:before="120"/>
              <w:ind w:left="59" w:right="39"/>
              <w:rPr>
                <w:sz w:val="20"/>
              </w:rPr>
            </w:pPr>
            <w:r>
              <w:rPr>
                <w:spacing w:val="-2"/>
                <w:sz w:val="20"/>
              </w:rPr>
              <w:t>хирургическое </w:t>
            </w:r>
            <w:r>
              <w:rPr>
                <w:spacing w:val="-4"/>
                <w:sz w:val="20"/>
              </w:rPr>
              <w:t>или </w:t>
            </w:r>
            <w:r>
              <w:rPr>
                <w:spacing w:val="-2"/>
                <w:sz w:val="20"/>
              </w:rPr>
              <w:t>терапевтическое</w:t>
            </w:r>
          </w:p>
          <w:p>
            <w:pPr>
              <w:pStyle w:val="TableParagraph"/>
              <w:spacing w:line="220" w:lineRule="exact" w:before="3"/>
              <w:ind w:left="59"/>
              <w:rPr>
                <w:sz w:val="20"/>
              </w:rPr>
            </w:pPr>
            <w:r>
              <w:rPr>
                <w:spacing w:val="-2"/>
                <w:sz w:val="20"/>
              </w:rPr>
              <w:t>лечение</w:t>
            </w:r>
          </w:p>
        </w:tc>
        <w:tc>
          <w:tcPr>
            <w:tcW w:w="3456" w:type="dxa"/>
          </w:tcPr>
          <w:p>
            <w:pPr>
              <w:pStyle w:val="TableParagraph"/>
              <w:spacing w:line="249" w:lineRule="auto" w:before="120"/>
              <w:ind w:left="142" w:right="250"/>
              <w:jc w:val="both"/>
              <w:rPr>
                <w:sz w:val="20"/>
              </w:rPr>
            </w:pPr>
            <w:r>
              <w:rPr>
                <w:sz w:val="20"/>
              </w:rPr>
              <w:t>лапароскопическая</w:t>
            </w:r>
            <w:r>
              <w:rPr>
                <w:spacing w:val="-5"/>
                <w:sz w:val="20"/>
              </w:rPr>
              <w:t> </w:t>
            </w:r>
            <w:r>
              <w:rPr>
                <w:sz w:val="20"/>
              </w:rPr>
              <w:t>радиочастотная термоаблация</w:t>
            </w:r>
            <w:r>
              <w:rPr>
                <w:spacing w:val="-13"/>
                <w:sz w:val="20"/>
              </w:rPr>
              <w:t> </w:t>
            </w:r>
            <w:r>
              <w:rPr>
                <w:sz w:val="20"/>
              </w:rPr>
              <w:t>при</w:t>
            </w:r>
            <w:r>
              <w:rPr>
                <w:spacing w:val="-12"/>
                <w:sz w:val="20"/>
              </w:rPr>
              <w:t> </w:t>
            </w:r>
            <w:r>
              <w:rPr>
                <w:sz w:val="20"/>
              </w:rPr>
              <w:t>злокачественных новообразованиях печени</w:t>
            </w:r>
          </w:p>
        </w:tc>
      </w:tr>
      <w:tr>
        <w:trPr>
          <w:trHeight w:val="60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ind w:left="142" w:right="16"/>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видеоэндоскопическим контролем</w:t>
            </w:r>
          </w:p>
        </w:tc>
      </w:tr>
      <w:tr>
        <w:trPr>
          <w:trHeight w:val="72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426"/>
              <w:rPr>
                <w:sz w:val="20"/>
              </w:rPr>
            </w:pPr>
            <w:r>
              <w:rPr>
                <w:sz w:val="20"/>
              </w:rPr>
              <w:t>внутриартериальная</w:t>
            </w:r>
            <w:r>
              <w:rPr>
                <w:spacing w:val="-13"/>
                <w:sz w:val="20"/>
              </w:rPr>
              <w:t> </w:t>
            </w:r>
            <w:r>
              <w:rPr>
                <w:sz w:val="20"/>
              </w:rPr>
              <w:t>эмболизация (химиоэмболизация) опухолей</w:t>
            </w:r>
          </w:p>
        </w:tc>
      </w:tr>
      <w:tr>
        <w:trPr>
          <w:trHeight w:val="96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16"/>
              <w:rPr>
                <w:sz w:val="20"/>
              </w:rPr>
            </w:pPr>
            <w:r>
              <w:rPr>
                <w:sz w:val="20"/>
              </w:rPr>
              <w:t>селективная эмболизация (химиоэмболизация)</w:t>
            </w:r>
            <w:r>
              <w:rPr>
                <w:spacing w:val="-13"/>
                <w:sz w:val="20"/>
              </w:rPr>
              <w:t> </w:t>
            </w:r>
            <w:r>
              <w:rPr>
                <w:sz w:val="20"/>
              </w:rPr>
              <w:t>ветвей</w:t>
            </w:r>
            <w:r>
              <w:rPr>
                <w:spacing w:val="-12"/>
                <w:sz w:val="20"/>
              </w:rPr>
              <w:t> </w:t>
            </w:r>
            <w:r>
              <w:rPr>
                <w:sz w:val="20"/>
              </w:rPr>
              <w:t>воротной </w:t>
            </w:r>
            <w:r>
              <w:rPr>
                <w:spacing w:val="-4"/>
                <w:sz w:val="20"/>
              </w:rPr>
              <w:t>вены</w:t>
            </w:r>
          </w:p>
        </w:tc>
      </w:tr>
      <w:tr>
        <w:trPr>
          <w:trHeight w:val="144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16"/>
              <w:rPr>
                <w:sz w:val="20"/>
              </w:rPr>
            </w:pPr>
            <w:r>
              <w:rPr>
                <w:sz w:val="20"/>
              </w:rPr>
              <w:t>чрескожная радиочастотная термоаблация</w:t>
            </w:r>
            <w:r>
              <w:rPr>
                <w:spacing w:val="-13"/>
                <w:sz w:val="20"/>
              </w:rPr>
              <w:t> </w:t>
            </w:r>
            <w:r>
              <w:rPr>
                <w:sz w:val="20"/>
              </w:rPr>
              <w:t>опухолей</w:t>
            </w:r>
            <w:r>
              <w:rPr>
                <w:spacing w:val="-12"/>
                <w:sz w:val="20"/>
              </w:rPr>
              <w:t> </w:t>
            </w:r>
            <w:r>
              <w:rPr>
                <w:sz w:val="20"/>
              </w:rPr>
              <w:t>печени</w:t>
            </w:r>
            <w:r>
              <w:rPr>
                <w:spacing w:val="-13"/>
                <w:sz w:val="20"/>
              </w:rPr>
              <w:t> </w:t>
            </w:r>
            <w:r>
              <w:rPr>
                <w:sz w:val="20"/>
              </w:rPr>
              <w:t>под ультразвуковой</w:t>
            </w:r>
            <w:r>
              <w:rPr>
                <w:spacing w:val="-4"/>
                <w:sz w:val="20"/>
              </w:rPr>
              <w:t> </w:t>
            </w:r>
            <w:r>
              <w:rPr>
                <w:sz w:val="20"/>
              </w:rPr>
              <w:t>навигацией</w:t>
            </w:r>
            <w:r>
              <w:rPr>
                <w:spacing w:val="-3"/>
                <w:sz w:val="20"/>
              </w:rPr>
              <w:t> </w:t>
            </w:r>
            <w:r>
              <w:rPr>
                <w:sz w:val="20"/>
              </w:rPr>
              <w:t>и</w:t>
            </w:r>
            <w:r>
              <w:rPr>
                <w:spacing w:val="-6"/>
                <w:sz w:val="20"/>
              </w:rPr>
              <w:t> </w:t>
            </w:r>
            <w:r>
              <w:rPr>
                <w:sz w:val="20"/>
              </w:rPr>
              <w:t>(или) под контролем компьютерной </w:t>
            </w:r>
            <w:r>
              <w:rPr>
                <w:spacing w:val="-2"/>
                <w:sz w:val="20"/>
              </w:rPr>
              <w:t>навигации</w:t>
            </w:r>
          </w:p>
        </w:tc>
      </w:tr>
      <w:tr>
        <w:trPr>
          <w:trHeight w:val="48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before="120"/>
              <w:ind w:left="142"/>
              <w:rPr>
                <w:sz w:val="20"/>
              </w:rPr>
            </w:pPr>
            <w:r>
              <w:rPr>
                <w:spacing w:val="-2"/>
                <w:sz w:val="20"/>
              </w:rPr>
              <w:t>биоэлектротерапия</w:t>
            </w:r>
          </w:p>
        </w:tc>
      </w:tr>
      <w:tr>
        <w:trPr>
          <w:trHeight w:val="1200" w:hRule="atLeast"/>
        </w:trPr>
        <w:tc>
          <w:tcPr>
            <w:tcW w:w="1699" w:type="dxa"/>
          </w:tcPr>
          <w:p>
            <w:pPr>
              <w:pStyle w:val="TableParagraph"/>
              <w:rPr>
                <w:sz w:val="18"/>
              </w:rPr>
            </w:pPr>
          </w:p>
        </w:tc>
        <w:tc>
          <w:tcPr>
            <w:tcW w:w="3246" w:type="dxa"/>
          </w:tcPr>
          <w:p>
            <w:pPr>
              <w:pStyle w:val="TableParagraph"/>
              <w:spacing w:line="249" w:lineRule="auto" w:before="120"/>
              <w:ind w:left="149" w:right="51"/>
              <w:rPr>
                <w:sz w:val="20"/>
              </w:rPr>
            </w:pPr>
            <w:r>
              <w:rPr>
                <w:sz w:val="20"/>
              </w:rPr>
              <w:t>нерезектабельные</w:t>
            </w:r>
            <w:r>
              <w:rPr>
                <w:spacing w:val="-13"/>
                <w:sz w:val="20"/>
              </w:rPr>
              <w:t> </w:t>
            </w:r>
            <w:r>
              <w:rPr>
                <w:sz w:val="20"/>
              </w:rPr>
              <w:t>злокачественные новообразования печени и внутрипеченочных желчных </w:t>
            </w:r>
            <w:r>
              <w:rPr>
                <w:spacing w:val="-2"/>
                <w:sz w:val="20"/>
              </w:rPr>
              <w:t>протоков</w:t>
            </w:r>
          </w:p>
        </w:tc>
        <w:tc>
          <w:tcPr>
            <w:tcW w:w="1615" w:type="dxa"/>
          </w:tcPr>
          <w:p>
            <w:pPr>
              <w:pStyle w:val="TableParagraph"/>
              <w:spacing w:line="252" w:lineRule="auto" w:before="120"/>
              <w:ind w:left="59" w:right="39"/>
              <w:rPr>
                <w:sz w:val="20"/>
              </w:rPr>
            </w:pPr>
            <w:r>
              <w:rPr>
                <w:spacing w:val="-2"/>
                <w:sz w:val="20"/>
              </w:rPr>
              <w:t>хирургическое лечение</w:t>
            </w:r>
          </w:p>
        </w:tc>
        <w:tc>
          <w:tcPr>
            <w:tcW w:w="3456" w:type="dxa"/>
          </w:tcPr>
          <w:p>
            <w:pPr>
              <w:pStyle w:val="TableParagraph"/>
              <w:spacing w:line="249" w:lineRule="auto" w:before="120"/>
              <w:ind w:left="142" w:right="16"/>
              <w:rPr>
                <w:sz w:val="20"/>
              </w:rPr>
            </w:pPr>
            <w:r>
              <w:rPr>
                <w:sz w:val="20"/>
              </w:rPr>
              <w:t>чрескожное чреспеченочное дренирование</w:t>
            </w:r>
            <w:r>
              <w:rPr>
                <w:spacing w:val="-4"/>
                <w:sz w:val="20"/>
              </w:rPr>
              <w:t> </w:t>
            </w:r>
            <w:r>
              <w:rPr>
                <w:sz w:val="20"/>
              </w:rPr>
              <w:t>желчных</w:t>
            </w:r>
            <w:r>
              <w:rPr>
                <w:spacing w:val="-5"/>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719"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16"/>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35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10" w:lineRule="exact" w:before="120"/>
              <w:ind w:left="142"/>
              <w:rPr>
                <w:sz w:val="20"/>
              </w:rPr>
            </w:pPr>
            <w:r>
              <w:rPr>
                <w:w w:val="95"/>
                <w:sz w:val="20"/>
              </w:rPr>
              <w:t>химиоэмболизация</w:t>
            </w:r>
            <w:r>
              <w:rPr>
                <w:spacing w:val="61"/>
                <w:sz w:val="20"/>
              </w:rPr>
              <w:t> </w:t>
            </w:r>
            <w:r>
              <w:rPr>
                <w:spacing w:val="-2"/>
                <w:sz w:val="20"/>
              </w:rPr>
              <w:t>печени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7"/>
        <w:gridCol w:w="1577"/>
        <w:gridCol w:w="3541"/>
      </w:tblGrid>
      <w:tr>
        <w:trPr>
          <w:trHeight w:val="590" w:hRule="atLeast"/>
        </w:trPr>
        <w:tc>
          <w:tcPr>
            <w:tcW w:w="3107" w:type="dxa"/>
          </w:tcPr>
          <w:p>
            <w:pPr>
              <w:pStyle w:val="TableParagraph"/>
              <w:spacing w:line="249" w:lineRule="auto"/>
              <w:ind w:left="50" w:right="89"/>
              <w:rPr>
                <w:sz w:val="20"/>
              </w:rPr>
            </w:pPr>
            <w:r>
              <w:rPr>
                <w:sz w:val="20"/>
              </w:rPr>
              <w:t>злокачественные</w:t>
            </w:r>
            <w:r>
              <w:rPr>
                <w:spacing w:val="-13"/>
                <w:sz w:val="20"/>
              </w:rPr>
              <w:t> </w:t>
            </w:r>
            <w:r>
              <w:rPr>
                <w:sz w:val="20"/>
              </w:rPr>
              <w:t>новообразования общего желчного протока</w:t>
            </w:r>
          </w:p>
        </w:tc>
        <w:tc>
          <w:tcPr>
            <w:tcW w:w="1577" w:type="dxa"/>
          </w:tcPr>
          <w:p>
            <w:pPr>
              <w:pStyle w:val="TableParagraph"/>
              <w:spacing w:line="249" w:lineRule="auto"/>
              <w:ind w:left="99"/>
              <w:rPr>
                <w:sz w:val="20"/>
              </w:rPr>
            </w:pPr>
            <w:r>
              <w:rPr>
                <w:spacing w:val="-2"/>
                <w:sz w:val="20"/>
              </w:rPr>
              <w:t>хирургическое лечение</w:t>
            </w:r>
          </w:p>
        </w:tc>
        <w:tc>
          <w:tcPr>
            <w:tcW w:w="3541" w:type="dxa"/>
          </w:tcPr>
          <w:p>
            <w:pPr>
              <w:pStyle w:val="TableParagraph"/>
              <w:spacing w:line="249" w:lineRule="auto"/>
              <w:ind w:left="219" w:right="189"/>
              <w:rPr>
                <w:sz w:val="20"/>
              </w:rPr>
            </w:pPr>
            <w:r>
              <w:rPr>
                <w:sz w:val="20"/>
              </w:rPr>
              <w:t>эндоскопическая</w:t>
            </w:r>
            <w:r>
              <w:rPr>
                <w:spacing w:val="-13"/>
                <w:sz w:val="20"/>
              </w:rPr>
              <w:t> </w:t>
            </w:r>
            <w:r>
              <w:rPr>
                <w:sz w:val="20"/>
              </w:rPr>
              <w:t>электрокоагуляция опухоли общего желчного протока</w:t>
            </w:r>
          </w:p>
        </w:tc>
      </w:tr>
      <w:tr>
        <w:trPr>
          <w:trHeight w:val="120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Pr>
                <w:sz w:val="20"/>
              </w:rPr>
            </w:pPr>
            <w:r>
              <w:rPr>
                <w:sz w:val="20"/>
              </w:rPr>
              <w:t>эндоскопическое бужирование и баллонная</w:t>
            </w:r>
            <w:r>
              <w:rPr>
                <w:spacing w:val="-6"/>
                <w:sz w:val="20"/>
              </w:rPr>
              <w:t> </w:t>
            </w:r>
            <w:r>
              <w:rPr>
                <w:sz w:val="20"/>
              </w:rPr>
              <w:t>дилатация</w:t>
            </w:r>
            <w:r>
              <w:rPr>
                <w:spacing w:val="-3"/>
                <w:sz w:val="20"/>
              </w:rPr>
              <w:t> </w:t>
            </w:r>
            <w:r>
              <w:rPr>
                <w:sz w:val="20"/>
              </w:rPr>
              <w:t>при</w:t>
            </w:r>
            <w:r>
              <w:rPr>
                <w:spacing w:val="-6"/>
                <w:sz w:val="20"/>
              </w:rPr>
              <w:t> </w:t>
            </w:r>
            <w:r>
              <w:rPr>
                <w:sz w:val="20"/>
              </w:rPr>
              <w:t>опухолевом стенозе</w:t>
            </w:r>
            <w:r>
              <w:rPr>
                <w:spacing w:val="-11"/>
                <w:sz w:val="20"/>
              </w:rPr>
              <w:t> </w:t>
            </w:r>
            <w:r>
              <w:rPr>
                <w:sz w:val="20"/>
              </w:rPr>
              <w:t>общего</w:t>
            </w:r>
            <w:r>
              <w:rPr>
                <w:spacing w:val="-10"/>
                <w:sz w:val="20"/>
              </w:rPr>
              <w:t> </w:t>
            </w:r>
            <w:r>
              <w:rPr>
                <w:sz w:val="20"/>
              </w:rPr>
              <w:t>желчного</w:t>
            </w:r>
            <w:r>
              <w:rPr>
                <w:spacing w:val="-10"/>
                <w:sz w:val="20"/>
              </w:rPr>
              <w:t> </w:t>
            </w:r>
            <w:r>
              <w:rPr>
                <w:sz w:val="20"/>
              </w:rPr>
              <w:t>протока</w:t>
            </w:r>
            <w:r>
              <w:rPr>
                <w:spacing w:val="-11"/>
                <w:sz w:val="20"/>
              </w:rPr>
              <w:t> </w:t>
            </w:r>
            <w:r>
              <w:rPr>
                <w:sz w:val="20"/>
              </w:rPr>
              <w:t>под эндоскопическим контролем</w:t>
            </w:r>
          </w:p>
        </w:tc>
      </w:tr>
      <w:tr>
        <w:trPr>
          <w:trHeight w:val="144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ight="189"/>
              <w:rPr>
                <w:sz w:val="20"/>
              </w:rPr>
            </w:pPr>
            <w:r>
              <w:rPr>
                <w:sz w:val="20"/>
              </w:rPr>
              <w:t>эндоскопическое стентирование желчных</w:t>
            </w:r>
            <w:r>
              <w:rPr>
                <w:spacing w:val="-13"/>
                <w:sz w:val="20"/>
              </w:rPr>
              <w:t> </w:t>
            </w:r>
            <w:r>
              <w:rPr>
                <w:sz w:val="20"/>
              </w:rPr>
              <w:t>протоков</w:t>
            </w:r>
            <w:r>
              <w:rPr>
                <w:spacing w:val="-12"/>
                <w:sz w:val="20"/>
              </w:rPr>
              <w:t> </w:t>
            </w:r>
            <w:r>
              <w:rPr>
                <w:sz w:val="20"/>
              </w:rPr>
              <w:t>при</w:t>
            </w:r>
            <w:r>
              <w:rPr>
                <w:spacing w:val="-13"/>
                <w:sz w:val="20"/>
              </w:rPr>
              <w:t> </w:t>
            </w:r>
            <w:r>
              <w:rPr>
                <w:sz w:val="20"/>
              </w:rPr>
              <w:t>опухолевом стенозе, при стенозах анастомоза опухолевого характера под видеоэндоскопическим контролем</w:t>
            </w:r>
          </w:p>
        </w:tc>
      </w:tr>
      <w:tr>
        <w:trPr>
          <w:trHeight w:val="96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Pr>
                <w:sz w:val="20"/>
              </w:rPr>
            </w:pPr>
            <w:r>
              <w:rPr>
                <w:sz w:val="20"/>
              </w:rPr>
              <w:t>эндоскопическая Nd:YAG лазерная коагуляция</w:t>
            </w:r>
            <w:r>
              <w:rPr>
                <w:spacing w:val="-13"/>
                <w:sz w:val="20"/>
              </w:rPr>
              <w:t> </w:t>
            </w:r>
            <w:r>
              <w:rPr>
                <w:sz w:val="20"/>
              </w:rPr>
              <w:t>опухоли</w:t>
            </w:r>
            <w:r>
              <w:rPr>
                <w:spacing w:val="-12"/>
                <w:sz w:val="20"/>
              </w:rPr>
              <w:t> </w:t>
            </w:r>
            <w:r>
              <w:rPr>
                <w:sz w:val="20"/>
              </w:rPr>
              <w:t>общего</w:t>
            </w:r>
            <w:r>
              <w:rPr>
                <w:spacing w:val="-13"/>
                <w:sz w:val="20"/>
              </w:rPr>
              <w:t> </w:t>
            </w:r>
            <w:r>
              <w:rPr>
                <w:sz w:val="20"/>
              </w:rPr>
              <w:t>желчного </w:t>
            </w:r>
            <w:r>
              <w:rPr>
                <w:spacing w:val="-2"/>
                <w:sz w:val="20"/>
              </w:rPr>
              <w:t>протока</w:t>
            </w:r>
          </w:p>
        </w:tc>
      </w:tr>
      <w:tr>
        <w:trPr>
          <w:trHeight w:val="96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ight="189"/>
              <w:rPr>
                <w:sz w:val="20"/>
              </w:rPr>
            </w:pPr>
            <w:r>
              <w:rPr>
                <w:spacing w:val="-2"/>
                <w:sz w:val="20"/>
              </w:rPr>
              <w:t>эндоскопическая фотодинамическая </w:t>
            </w:r>
            <w:r>
              <w:rPr>
                <w:sz w:val="20"/>
              </w:rPr>
              <w:t>терапия опухоли общего желчного </w:t>
            </w:r>
            <w:r>
              <w:rPr>
                <w:spacing w:val="-2"/>
                <w:sz w:val="20"/>
              </w:rPr>
              <w:t>протока</w:t>
            </w:r>
          </w:p>
        </w:tc>
      </w:tr>
      <w:tr>
        <w:trPr>
          <w:trHeight w:val="120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ight="189"/>
              <w:rPr>
                <w:sz w:val="20"/>
              </w:rPr>
            </w:pPr>
            <w:r>
              <w:rPr>
                <w:sz w:val="20"/>
              </w:rPr>
              <w:t>чрескожное чреспеченочное дренирование</w:t>
            </w:r>
            <w:r>
              <w:rPr>
                <w:spacing w:val="-3"/>
                <w:sz w:val="20"/>
              </w:rPr>
              <w:t> </w:t>
            </w:r>
            <w:r>
              <w:rPr>
                <w:sz w:val="20"/>
              </w:rPr>
              <w:t>желчных</w:t>
            </w:r>
            <w:r>
              <w:rPr>
                <w:spacing w:val="-4"/>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72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83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0" w:lineRule="atLeast" w:before="90"/>
              <w:ind w:left="219"/>
              <w:rPr>
                <w:sz w:val="20"/>
              </w:rPr>
            </w:pPr>
            <w:r>
              <w:rPr>
                <w:spacing w:val="-2"/>
                <w:sz w:val="20"/>
              </w:rPr>
              <w:t>внутрипротоковая фотодинамическая </w:t>
            </w:r>
            <w:r>
              <w:rPr>
                <w:sz w:val="20"/>
              </w:rPr>
              <w:t>терапия под рентгеноскопическим </w:t>
            </w:r>
            <w:r>
              <w:rPr>
                <w:spacing w:val="-2"/>
                <w:sz w:val="20"/>
              </w:rPr>
              <w:t>контролем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511"/>
        <w:gridCol w:w="1562"/>
        <w:gridCol w:w="3569"/>
      </w:tblGrid>
      <w:tr>
        <w:trPr>
          <w:trHeight w:val="830" w:hRule="atLeast"/>
        </w:trPr>
        <w:tc>
          <w:tcPr>
            <w:tcW w:w="823" w:type="dxa"/>
          </w:tcPr>
          <w:p>
            <w:pPr>
              <w:pStyle w:val="TableParagraph"/>
              <w:rPr>
                <w:sz w:val="18"/>
              </w:rPr>
            </w:pPr>
          </w:p>
        </w:tc>
        <w:tc>
          <w:tcPr>
            <w:tcW w:w="3511" w:type="dxa"/>
          </w:tcPr>
          <w:p>
            <w:pPr>
              <w:pStyle w:val="TableParagraph"/>
              <w:spacing w:line="249" w:lineRule="auto"/>
              <w:ind w:left="441" w:right="102"/>
              <w:rPr>
                <w:sz w:val="20"/>
              </w:rPr>
            </w:pPr>
            <w:r>
              <w:rPr>
                <w:sz w:val="20"/>
              </w:rPr>
              <w:t>злокачественные</w:t>
            </w:r>
            <w:r>
              <w:rPr>
                <w:spacing w:val="-13"/>
                <w:sz w:val="20"/>
              </w:rPr>
              <w:t> </w:t>
            </w:r>
            <w:r>
              <w:rPr>
                <w:sz w:val="20"/>
              </w:rPr>
              <w:t>новообразования общего желчного протока в пределах слизистого слоя T1</w:t>
            </w:r>
          </w:p>
        </w:tc>
        <w:tc>
          <w:tcPr>
            <w:tcW w:w="1562" w:type="dxa"/>
          </w:tcPr>
          <w:p>
            <w:pPr>
              <w:pStyle w:val="TableParagraph"/>
              <w:spacing w:line="249" w:lineRule="auto"/>
              <w:ind w:left="86"/>
              <w:rPr>
                <w:sz w:val="20"/>
              </w:rPr>
            </w:pPr>
            <w:r>
              <w:rPr>
                <w:spacing w:val="-2"/>
                <w:sz w:val="20"/>
              </w:rPr>
              <w:t>хирургическое лечение</w:t>
            </w:r>
          </w:p>
        </w:tc>
        <w:tc>
          <w:tcPr>
            <w:tcW w:w="3569" w:type="dxa"/>
          </w:tcPr>
          <w:p>
            <w:pPr>
              <w:pStyle w:val="TableParagraph"/>
              <w:spacing w:line="249" w:lineRule="auto"/>
              <w:ind w:left="222"/>
              <w:rPr>
                <w:sz w:val="20"/>
              </w:rPr>
            </w:pPr>
            <w:r>
              <w:rPr>
                <w:spacing w:val="-2"/>
                <w:sz w:val="20"/>
              </w:rPr>
              <w:t>эндоскопическая фотодинамическая </w:t>
            </w:r>
            <w:r>
              <w:rPr>
                <w:sz w:val="20"/>
              </w:rPr>
              <w:t>терапия опухоли общего желчного </w:t>
            </w:r>
            <w:r>
              <w:rPr>
                <w:spacing w:val="-2"/>
                <w:sz w:val="20"/>
              </w:rPr>
              <w:t>протока</w:t>
            </w:r>
          </w:p>
        </w:tc>
      </w:tr>
      <w:tr>
        <w:trPr>
          <w:trHeight w:val="1200" w:hRule="atLeast"/>
        </w:trPr>
        <w:tc>
          <w:tcPr>
            <w:tcW w:w="823" w:type="dxa"/>
          </w:tcPr>
          <w:p>
            <w:pPr>
              <w:pStyle w:val="TableParagraph"/>
              <w:spacing w:before="120"/>
              <w:ind w:left="50"/>
              <w:rPr>
                <w:sz w:val="20"/>
              </w:rPr>
            </w:pPr>
            <w:r>
              <w:rPr>
                <w:spacing w:val="-5"/>
                <w:sz w:val="20"/>
              </w:rPr>
              <w:t>C23</w:t>
            </w:r>
          </w:p>
        </w:tc>
        <w:tc>
          <w:tcPr>
            <w:tcW w:w="3511" w:type="dxa"/>
          </w:tcPr>
          <w:p>
            <w:pPr>
              <w:pStyle w:val="TableParagraph"/>
              <w:spacing w:line="249" w:lineRule="auto" w:before="120"/>
              <w:ind w:left="441" w:right="75"/>
              <w:rPr>
                <w:sz w:val="20"/>
              </w:rPr>
            </w:pPr>
            <w:r>
              <w:rPr>
                <w:sz w:val="20"/>
              </w:rPr>
              <w:t>локализованные и местнораспространенные формы злокачественных</w:t>
            </w:r>
            <w:r>
              <w:rPr>
                <w:spacing w:val="-13"/>
                <w:sz w:val="20"/>
              </w:rPr>
              <w:t> </w:t>
            </w:r>
            <w:r>
              <w:rPr>
                <w:sz w:val="20"/>
              </w:rPr>
              <w:t>новообразований желчного пузыря</w:t>
            </w:r>
          </w:p>
        </w:tc>
        <w:tc>
          <w:tcPr>
            <w:tcW w:w="1562" w:type="dxa"/>
          </w:tcPr>
          <w:p>
            <w:pPr>
              <w:pStyle w:val="TableParagraph"/>
              <w:spacing w:line="252" w:lineRule="auto" w:before="120"/>
              <w:ind w:left="86"/>
              <w:rPr>
                <w:sz w:val="20"/>
              </w:rPr>
            </w:pPr>
            <w:r>
              <w:rPr>
                <w:spacing w:val="-2"/>
                <w:sz w:val="20"/>
              </w:rPr>
              <w:t>хирургическое лечение</w:t>
            </w:r>
          </w:p>
        </w:tc>
        <w:tc>
          <w:tcPr>
            <w:tcW w:w="3569" w:type="dxa"/>
          </w:tcPr>
          <w:p>
            <w:pPr>
              <w:pStyle w:val="TableParagraph"/>
              <w:spacing w:line="249" w:lineRule="auto" w:before="120"/>
              <w:ind w:left="222"/>
              <w:rPr>
                <w:sz w:val="20"/>
              </w:rPr>
            </w:pPr>
            <w:r>
              <w:rPr>
                <w:sz w:val="20"/>
              </w:rPr>
              <w:t>чрескожное чреспеченочное дренирование</w:t>
            </w:r>
            <w:r>
              <w:rPr>
                <w:spacing w:val="-4"/>
                <w:sz w:val="20"/>
              </w:rPr>
              <w:t> </w:t>
            </w:r>
            <w:r>
              <w:rPr>
                <w:sz w:val="20"/>
              </w:rPr>
              <w:t>желчных</w:t>
            </w:r>
            <w:r>
              <w:rPr>
                <w:spacing w:val="-5"/>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72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before="120"/>
              <w:ind w:left="222"/>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72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before="120"/>
              <w:ind w:left="222"/>
              <w:rPr>
                <w:sz w:val="20"/>
              </w:rPr>
            </w:pPr>
            <w:r>
              <w:rPr>
                <w:sz w:val="20"/>
              </w:rPr>
              <w:t>лапароскопическая</w:t>
            </w:r>
            <w:r>
              <w:rPr>
                <w:spacing w:val="-13"/>
                <w:sz w:val="20"/>
              </w:rPr>
              <w:t> </w:t>
            </w:r>
            <w:r>
              <w:rPr>
                <w:sz w:val="20"/>
              </w:rPr>
              <w:t>холецистэктомия</w:t>
            </w:r>
            <w:r>
              <w:rPr>
                <w:spacing w:val="-12"/>
                <w:sz w:val="20"/>
              </w:rPr>
              <w:t> </w:t>
            </w:r>
            <w:r>
              <w:rPr>
                <w:sz w:val="20"/>
              </w:rPr>
              <w:t>с резекцией IV сегмента печени</w:t>
            </w:r>
          </w:p>
        </w:tc>
      </w:tr>
      <w:tr>
        <w:trPr>
          <w:trHeight w:val="96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before="120"/>
              <w:ind w:left="222"/>
              <w:rPr>
                <w:sz w:val="20"/>
              </w:rPr>
            </w:pPr>
            <w:r>
              <w:rPr>
                <w:spacing w:val="-2"/>
                <w:sz w:val="20"/>
              </w:rPr>
              <w:t>внутрипротоковая фотодинамическая </w:t>
            </w:r>
            <w:r>
              <w:rPr>
                <w:sz w:val="20"/>
              </w:rPr>
              <w:t>терапия под рентгеноскопическим </w:t>
            </w:r>
            <w:r>
              <w:rPr>
                <w:spacing w:val="-2"/>
                <w:sz w:val="20"/>
              </w:rPr>
              <w:t>контролем</w:t>
            </w:r>
          </w:p>
        </w:tc>
      </w:tr>
      <w:tr>
        <w:trPr>
          <w:trHeight w:val="720" w:hRule="atLeast"/>
        </w:trPr>
        <w:tc>
          <w:tcPr>
            <w:tcW w:w="823" w:type="dxa"/>
          </w:tcPr>
          <w:p>
            <w:pPr>
              <w:pStyle w:val="TableParagraph"/>
              <w:spacing w:before="120"/>
              <w:ind w:left="50"/>
              <w:rPr>
                <w:sz w:val="20"/>
              </w:rPr>
            </w:pPr>
            <w:r>
              <w:rPr>
                <w:spacing w:val="-5"/>
                <w:sz w:val="20"/>
              </w:rPr>
              <w:t>C24</w:t>
            </w:r>
          </w:p>
        </w:tc>
        <w:tc>
          <w:tcPr>
            <w:tcW w:w="3511" w:type="dxa"/>
          </w:tcPr>
          <w:p>
            <w:pPr>
              <w:pStyle w:val="TableParagraph"/>
              <w:spacing w:line="249" w:lineRule="auto" w:before="120"/>
              <w:ind w:left="441" w:right="75"/>
              <w:rPr>
                <w:sz w:val="20"/>
              </w:rPr>
            </w:pPr>
            <w:r>
              <w:rPr>
                <w:sz w:val="20"/>
              </w:rPr>
              <w:t>нерезектабельные опухоли внепеченочных</w:t>
            </w:r>
            <w:r>
              <w:rPr>
                <w:spacing w:val="-13"/>
                <w:sz w:val="20"/>
              </w:rPr>
              <w:t> </w:t>
            </w:r>
            <w:r>
              <w:rPr>
                <w:sz w:val="20"/>
              </w:rPr>
              <w:t>желчных</w:t>
            </w:r>
            <w:r>
              <w:rPr>
                <w:spacing w:val="-12"/>
                <w:sz w:val="20"/>
              </w:rPr>
              <w:t> </w:t>
            </w:r>
            <w:r>
              <w:rPr>
                <w:sz w:val="20"/>
              </w:rPr>
              <w:t>протоков</w:t>
            </w:r>
          </w:p>
        </w:tc>
        <w:tc>
          <w:tcPr>
            <w:tcW w:w="1562" w:type="dxa"/>
          </w:tcPr>
          <w:p>
            <w:pPr>
              <w:pStyle w:val="TableParagraph"/>
              <w:spacing w:line="249" w:lineRule="auto" w:before="120"/>
              <w:ind w:left="86"/>
              <w:rPr>
                <w:sz w:val="20"/>
              </w:rPr>
            </w:pPr>
            <w:r>
              <w:rPr>
                <w:spacing w:val="-2"/>
                <w:sz w:val="20"/>
              </w:rPr>
              <w:t>хирургическое лечение</w:t>
            </w:r>
          </w:p>
        </w:tc>
        <w:tc>
          <w:tcPr>
            <w:tcW w:w="3569" w:type="dxa"/>
          </w:tcPr>
          <w:p>
            <w:pPr>
              <w:pStyle w:val="TableParagraph"/>
              <w:spacing w:line="249" w:lineRule="auto" w:before="120"/>
              <w:ind w:left="222"/>
              <w:rPr>
                <w:sz w:val="20"/>
              </w:rPr>
            </w:pPr>
            <w:r>
              <w:rPr>
                <w:sz w:val="20"/>
              </w:rPr>
              <w:t>стентирование</w:t>
            </w:r>
            <w:r>
              <w:rPr>
                <w:spacing w:val="-13"/>
                <w:sz w:val="20"/>
              </w:rPr>
              <w:t> </w:t>
            </w:r>
            <w:r>
              <w:rPr>
                <w:sz w:val="20"/>
              </w:rPr>
              <w:t>при</w:t>
            </w:r>
            <w:r>
              <w:rPr>
                <w:spacing w:val="-12"/>
                <w:sz w:val="20"/>
              </w:rPr>
              <w:t> </w:t>
            </w:r>
            <w:r>
              <w:rPr>
                <w:sz w:val="20"/>
              </w:rPr>
              <w:t>опухолях</w:t>
            </w:r>
            <w:r>
              <w:rPr>
                <w:spacing w:val="-13"/>
                <w:sz w:val="20"/>
              </w:rPr>
              <w:t> </w:t>
            </w:r>
            <w:r>
              <w:rPr>
                <w:sz w:val="20"/>
              </w:rPr>
              <w:t>желчных </w:t>
            </w:r>
            <w:r>
              <w:rPr>
                <w:spacing w:val="-2"/>
                <w:sz w:val="20"/>
              </w:rPr>
              <w:t>протоков</w:t>
            </w:r>
          </w:p>
        </w:tc>
      </w:tr>
      <w:tr>
        <w:trPr>
          <w:trHeight w:val="108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0" w:lineRule="atLeast" w:before="100"/>
              <w:ind w:left="222"/>
              <w:rPr>
                <w:sz w:val="20"/>
              </w:rPr>
            </w:pPr>
            <w:r>
              <w:rPr>
                <w:sz w:val="20"/>
              </w:rPr>
              <w:t>чрескожное чреспеченочное дренирование</w:t>
            </w:r>
            <w:r>
              <w:rPr>
                <w:spacing w:val="-4"/>
                <w:sz w:val="20"/>
              </w:rPr>
              <w:t> </w:t>
            </w:r>
            <w:r>
              <w:rPr>
                <w:sz w:val="20"/>
              </w:rPr>
              <w:t>желчных</w:t>
            </w:r>
            <w:r>
              <w:rPr>
                <w:spacing w:val="-5"/>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60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ind w:left="222"/>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83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0" w:lineRule="atLeast" w:before="90"/>
              <w:ind w:left="222"/>
              <w:rPr>
                <w:sz w:val="20"/>
              </w:rPr>
            </w:pPr>
            <w:r>
              <w:rPr>
                <w:spacing w:val="-2"/>
                <w:sz w:val="20"/>
              </w:rPr>
              <w:t>внутрипротоковая фотодинамическая </w:t>
            </w:r>
            <w:r>
              <w:rPr>
                <w:sz w:val="20"/>
              </w:rPr>
              <w:t>терапия под рентгеноскопическим </w:t>
            </w:r>
            <w:r>
              <w:rPr>
                <w:spacing w:val="-2"/>
                <w:sz w:val="20"/>
              </w:rPr>
              <w:t>контролем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864" w:val="left" w:leader="none"/>
        </w:tabs>
        <w:spacing w:line="249" w:lineRule="auto" w:before="91"/>
        <w:ind w:left="5865" w:right="677" w:hanging="1215"/>
        <w:jc w:val="left"/>
        <w:rPr>
          <w:sz w:val="20"/>
        </w:rPr>
      </w:pPr>
      <w:r>
        <w:rPr>
          <w:spacing w:val="-4"/>
          <w:sz w:val="20"/>
        </w:rPr>
        <w:t>C25</w:t>
      </w:r>
      <w:r>
        <w:rPr>
          <w:sz w:val="20"/>
        </w:rPr>
        <w:tab/>
        <w:t>нерезектабельные</w:t>
      </w:r>
      <w:r>
        <w:rPr>
          <w:spacing w:val="-13"/>
          <w:sz w:val="20"/>
        </w:rPr>
        <w:t> </w:t>
      </w:r>
      <w:r>
        <w:rPr>
          <w:sz w:val="20"/>
        </w:rPr>
        <w:t>опухоли поджелудочной железы.</w:t>
      </w:r>
    </w:p>
    <w:p>
      <w:pPr>
        <w:spacing w:line="249" w:lineRule="auto" w:before="1"/>
        <w:ind w:left="5865" w:right="0" w:firstLine="0"/>
        <w:jc w:val="left"/>
        <w:rPr>
          <w:sz w:val="20"/>
        </w:rPr>
      </w:pPr>
      <w:r>
        <w:rPr>
          <w:spacing w:val="-2"/>
          <w:sz w:val="20"/>
        </w:rPr>
        <w:t>Злокачественные новообразования </w:t>
      </w:r>
      <w:r>
        <w:rPr>
          <w:sz w:val="20"/>
        </w:rPr>
        <w:t>поджелудочной железы с обтурацией вирсунгова протока</w:t>
      </w:r>
    </w:p>
    <w:p>
      <w:pPr>
        <w:spacing w:line="249" w:lineRule="auto" w:before="91"/>
        <w:ind w:left="138" w:right="0" w:firstLine="0"/>
        <w:jc w:val="left"/>
        <w:rPr>
          <w:sz w:val="20"/>
        </w:rPr>
      </w:pPr>
      <w:r>
        <w:rPr/>
        <w:br w:type="column"/>
      </w:r>
      <w:r>
        <w:rPr>
          <w:spacing w:val="-2"/>
          <w:sz w:val="20"/>
        </w:rPr>
        <w:t>хирургическое лечение</w:t>
      </w:r>
    </w:p>
    <w:p>
      <w:pPr>
        <w:spacing w:line="249" w:lineRule="auto" w:before="91"/>
        <w:ind w:left="401" w:right="2074" w:firstLine="0"/>
        <w:jc w:val="left"/>
        <w:rPr>
          <w:sz w:val="20"/>
        </w:rPr>
      </w:pPr>
      <w:r>
        <w:rPr/>
        <w:br w:type="column"/>
      </w:r>
      <w:r>
        <w:rPr>
          <w:sz w:val="20"/>
        </w:rPr>
        <w:t>стентирование</w:t>
      </w:r>
      <w:r>
        <w:rPr>
          <w:spacing w:val="-13"/>
          <w:sz w:val="20"/>
        </w:rPr>
        <w:t> </w:t>
      </w:r>
      <w:r>
        <w:rPr>
          <w:sz w:val="20"/>
        </w:rPr>
        <w:t>при</w:t>
      </w:r>
      <w:r>
        <w:rPr>
          <w:spacing w:val="-12"/>
          <w:sz w:val="20"/>
        </w:rPr>
        <w:t> </w:t>
      </w:r>
      <w:r>
        <w:rPr>
          <w:sz w:val="20"/>
        </w:rPr>
        <w:t>опухолях поджелудочной железы</w:t>
      </w:r>
    </w:p>
    <w:p>
      <w:pPr>
        <w:pStyle w:val="BodyText"/>
        <w:rPr>
          <w:sz w:val="21"/>
        </w:rPr>
      </w:pPr>
    </w:p>
    <w:p>
      <w:pPr>
        <w:spacing w:line="249" w:lineRule="auto" w:before="0"/>
        <w:ind w:left="401" w:right="2074" w:firstLine="0"/>
        <w:jc w:val="left"/>
        <w:rPr>
          <w:sz w:val="20"/>
        </w:rPr>
      </w:pPr>
      <w:r>
        <w:rPr>
          <w:sz w:val="20"/>
        </w:rPr>
        <w:t>эндоскопическая фотодинамическая терапия</w:t>
      </w:r>
      <w:r>
        <w:rPr>
          <w:spacing w:val="-11"/>
          <w:sz w:val="20"/>
        </w:rPr>
        <w:t> </w:t>
      </w:r>
      <w:r>
        <w:rPr>
          <w:sz w:val="20"/>
        </w:rPr>
        <w:t>опухоли</w:t>
      </w:r>
      <w:r>
        <w:rPr>
          <w:spacing w:val="-11"/>
          <w:sz w:val="20"/>
        </w:rPr>
        <w:t> </w:t>
      </w:r>
      <w:r>
        <w:rPr>
          <w:sz w:val="20"/>
        </w:rPr>
        <w:t>вирсунгова</w:t>
      </w:r>
      <w:r>
        <w:rPr>
          <w:spacing w:val="-9"/>
          <w:sz w:val="20"/>
        </w:rPr>
        <w:t> </w:t>
      </w:r>
      <w:r>
        <w:rPr>
          <w:sz w:val="20"/>
        </w:rPr>
        <w:t>протока</w:t>
      </w:r>
    </w:p>
    <w:p>
      <w:pPr>
        <w:pStyle w:val="BodyText"/>
        <w:spacing w:before="1"/>
        <w:rPr>
          <w:sz w:val="21"/>
        </w:rPr>
      </w:pPr>
    </w:p>
    <w:p>
      <w:pPr>
        <w:spacing w:line="249" w:lineRule="auto" w:before="0"/>
        <w:ind w:left="401" w:right="2074" w:firstLine="0"/>
        <w:jc w:val="left"/>
        <w:rPr>
          <w:sz w:val="20"/>
        </w:rPr>
      </w:pPr>
      <w:r>
        <w:rPr>
          <w:sz w:val="20"/>
        </w:rPr>
        <w:t>чрескожное чреспеченочное дренирование</w:t>
      </w:r>
      <w:r>
        <w:rPr>
          <w:spacing w:val="-1"/>
          <w:sz w:val="20"/>
        </w:rPr>
        <w:t> </w:t>
      </w:r>
      <w:r>
        <w:rPr>
          <w:sz w:val="20"/>
        </w:rPr>
        <w:t>желчных</w:t>
      </w:r>
      <w:r>
        <w:rPr>
          <w:spacing w:val="-2"/>
          <w:sz w:val="20"/>
        </w:rPr>
        <w:t> </w:t>
      </w:r>
      <w:r>
        <w:rPr>
          <w:sz w:val="20"/>
        </w:rPr>
        <w:t>протоков</w:t>
      </w:r>
      <w:r>
        <w:rPr>
          <w:spacing w:val="-4"/>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p>
      <w:pPr>
        <w:pStyle w:val="BodyText"/>
        <w:spacing w:before="1"/>
        <w:rPr>
          <w:sz w:val="21"/>
        </w:rPr>
      </w:pPr>
    </w:p>
    <w:p>
      <w:pPr>
        <w:spacing w:line="249" w:lineRule="auto" w:before="1"/>
        <w:ind w:left="401" w:right="1940" w:firstLine="0"/>
        <w:jc w:val="left"/>
        <w:rPr>
          <w:sz w:val="20"/>
        </w:rPr>
      </w:pPr>
      <w:r>
        <w:rPr>
          <w:sz w:val="20"/>
        </w:rPr>
        <w:t>стентирование</w:t>
      </w:r>
      <w:r>
        <w:rPr>
          <w:spacing w:val="-11"/>
          <w:sz w:val="20"/>
        </w:rPr>
        <w:t> </w:t>
      </w:r>
      <w:r>
        <w:rPr>
          <w:sz w:val="20"/>
        </w:rPr>
        <w:t>желчных</w:t>
      </w:r>
      <w:r>
        <w:rPr>
          <w:spacing w:val="-12"/>
          <w:sz w:val="20"/>
        </w:rPr>
        <w:t> </w:t>
      </w:r>
      <w:r>
        <w:rPr>
          <w:sz w:val="20"/>
        </w:rPr>
        <w:t>протоков</w:t>
      </w:r>
      <w:r>
        <w:rPr>
          <w:spacing w:val="-12"/>
          <w:sz w:val="20"/>
        </w:rPr>
        <w:t> </w:t>
      </w:r>
      <w:r>
        <w:rPr>
          <w:sz w:val="20"/>
        </w:rPr>
        <w:t>под рентгеноскопическим контролем</w:t>
      </w:r>
    </w:p>
    <w:p>
      <w:pPr>
        <w:pStyle w:val="BodyText"/>
        <w:rPr>
          <w:sz w:val="21"/>
        </w:rPr>
      </w:pPr>
    </w:p>
    <w:p>
      <w:pPr>
        <w:spacing w:line="249" w:lineRule="auto" w:before="0"/>
        <w:ind w:left="401" w:right="2074" w:firstLine="0"/>
        <w:jc w:val="left"/>
        <w:rPr>
          <w:sz w:val="20"/>
        </w:rPr>
      </w:pPr>
      <w:r>
        <w:rPr>
          <w:sz w:val="20"/>
        </w:rPr>
        <w:t>эндоскопическое стентирование вирсунгова</w:t>
      </w:r>
      <w:r>
        <w:rPr>
          <w:spacing w:val="-10"/>
          <w:sz w:val="20"/>
        </w:rPr>
        <w:t> </w:t>
      </w:r>
      <w:r>
        <w:rPr>
          <w:sz w:val="20"/>
        </w:rPr>
        <w:t>протока</w:t>
      </w:r>
      <w:r>
        <w:rPr>
          <w:spacing w:val="-12"/>
          <w:sz w:val="20"/>
        </w:rPr>
        <w:t> </w:t>
      </w:r>
      <w:r>
        <w:rPr>
          <w:sz w:val="20"/>
        </w:rPr>
        <w:t>при</w:t>
      </w:r>
      <w:r>
        <w:rPr>
          <w:spacing w:val="-13"/>
          <w:sz w:val="20"/>
        </w:rPr>
        <w:t> </w:t>
      </w:r>
      <w:r>
        <w:rPr>
          <w:sz w:val="20"/>
        </w:rPr>
        <w:t>опухолевом стенозе под видеоэндоскопическим </w:t>
      </w:r>
      <w:r>
        <w:rPr>
          <w:spacing w:val="-2"/>
          <w:sz w:val="20"/>
        </w:rPr>
        <w:t>контролем</w:t>
      </w:r>
    </w:p>
    <w:p>
      <w:pPr>
        <w:pStyle w:val="BodyText"/>
        <w:spacing w:before="2"/>
        <w:rPr>
          <w:sz w:val="21"/>
        </w:rPr>
      </w:pPr>
    </w:p>
    <w:p>
      <w:pPr>
        <w:spacing w:line="249" w:lineRule="auto" w:before="0"/>
        <w:ind w:left="401" w:right="2074" w:firstLine="0"/>
        <w:jc w:val="left"/>
        <w:rPr>
          <w:sz w:val="20"/>
        </w:rPr>
      </w:pPr>
      <w:r>
        <w:rPr>
          <w:sz w:val="20"/>
        </w:rPr>
        <w:t>химиоэмболизация</w:t>
      </w:r>
      <w:r>
        <w:rPr>
          <w:spacing w:val="-13"/>
          <w:sz w:val="20"/>
        </w:rPr>
        <w:t> </w:t>
      </w:r>
      <w:r>
        <w:rPr>
          <w:sz w:val="20"/>
        </w:rPr>
        <w:t>головки поджелудочной железы</w:t>
      </w:r>
    </w:p>
    <w:p>
      <w:pPr>
        <w:pStyle w:val="BodyText"/>
        <w:rPr>
          <w:sz w:val="21"/>
        </w:rPr>
      </w:pPr>
    </w:p>
    <w:p>
      <w:pPr>
        <w:spacing w:line="249" w:lineRule="auto" w:before="0"/>
        <w:ind w:left="401" w:right="2074" w:firstLine="0"/>
        <w:jc w:val="left"/>
        <w:rPr>
          <w:sz w:val="20"/>
        </w:rPr>
      </w:pPr>
      <w:r>
        <w:rPr>
          <w:sz w:val="20"/>
        </w:rPr>
        <w:t>радиочастотная</w:t>
      </w:r>
      <w:r>
        <w:rPr>
          <w:spacing w:val="-13"/>
          <w:sz w:val="20"/>
        </w:rPr>
        <w:t> </w:t>
      </w:r>
      <w:r>
        <w:rPr>
          <w:sz w:val="20"/>
        </w:rPr>
        <w:t>абляция</w:t>
      </w:r>
      <w:r>
        <w:rPr>
          <w:spacing w:val="-12"/>
          <w:sz w:val="20"/>
        </w:rPr>
        <w:t> </w:t>
      </w:r>
      <w:r>
        <w:rPr>
          <w:sz w:val="20"/>
        </w:rPr>
        <w:t>опухолей поджелудочной железы</w:t>
      </w:r>
    </w:p>
    <w:p>
      <w:pPr>
        <w:pStyle w:val="BodyText"/>
        <w:rPr>
          <w:sz w:val="21"/>
        </w:rPr>
      </w:pPr>
    </w:p>
    <w:p>
      <w:pPr>
        <w:spacing w:line="249" w:lineRule="auto" w:before="0"/>
        <w:ind w:left="401" w:right="2074" w:firstLine="0"/>
        <w:jc w:val="left"/>
        <w:rPr>
          <w:sz w:val="20"/>
        </w:rPr>
      </w:pPr>
      <w:r>
        <w:rPr>
          <w:sz w:val="20"/>
        </w:rPr>
        <w:t>радиочастотная</w:t>
      </w:r>
      <w:r>
        <w:rPr>
          <w:spacing w:val="-13"/>
          <w:sz w:val="20"/>
        </w:rPr>
        <w:t> </w:t>
      </w:r>
      <w:r>
        <w:rPr>
          <w:sz w:val="20"/>
        </w:rPr>
        <w:t>абляция</w:t>
      </w:r>
      <w:r>
        <w:rPr>
          <w:spacing w:val="-12"/>
          <w:sz w:val="20"/>
        </w:rPr>
        <w:t> </w:t>
      </w:r>
      <w:r>
        <w:rPr>
          <w:sz w:val="20"/>
        </w:rPr>
        <w:t>опухолей поджелудочной железы </w:t>
      </w:r>
      <w:r>
        <w:rPr>
          <w:spacing w:val="-2"/>
          <w:sz w:val="20"/>
        </w:rPr>
        <w:t>видеоэндоскопическая</w:t>
      </w:r>
    </w:p>
    <w:p>
      <w:pPr>
        <w:spacing w:after="0" w:line="249" w:lineRule="auto"/>
        <w:jc w:val="left"/>
        <w:rPr>
          <w:sz w:val="20"/>
        </w:rPr>
        <w:sectPr>
          <w:type w:val="continuous"/>
          <w:pgSz w:w="16850" w:h="11910" w:orient="landscape"/>
          <w:pgMar w:header="753" w:footer="0" w:top="1080" w:bottom="280" w:left="400" w:right="400"/>
          <w:cols w:num="3" w:equalWidth="0">
            <w:col w:w="8844" w:space="40"/>
            <w:col w:w="1395" w:space="39"/>
            <w:col w:w="5732"/>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before="91"/>
        <w:ind w:left="4434" w:right="0" w:firstLine="0"/>
        <w:jc w:val="left"/>
        <w:rPr>
          <w:sz w:val="20"/>
        </w:rPr>
      </w:pPr>
      <w:r>
        <w:rPr>
          <w:sz w:val="20"/>
        </w:rPr>
        <w:t>C34,</w:t>
      </w:r>
      <w:r>
        <w:rPr>
          <w:spacing w:val="-3"/>
          <w:sz w:val="20"/>
        </w:rPr>
        <w:t> </w:t>
      </w:r>
      <w:r>
        <w:rPr>
          <w:spacing w:val="-5"/>
          <w:sz w:val="20"/>
        </w:rPr>
        <w:t>C33</w:t>
      </w:r>
      <w:r>
        <w:rPr>
          <w:sz w:val="20"/>
        </w:rPr>
        <w:tab/>
      </w:r>
      <w:r>
        <w:rPr>
          <w:w w:val="95"/>
          <w:sz w:val="20"/>
        </w:rPr>
        <w:t>немелкоклеточный</w:t>
      </w:r>
      <w:r>
        <w:rPr>
          <w:spacing w:val="62"/>
          <w:sz w:val="20"/>
        </w:rPr>
        <w:t> </w:t>
      </w:r>
      <w:r>
        <w:rPr>
          <w:spacing w:val="-2"/>
          <w:sz w:val="20"/>
        </w:rPr>
        <w:t>ранний</w:t>
      </w:r>
    </w:p>
    <w:p>
      <w:pPr>
        <w:spacing w:line="249" w:lineRule="auto" w:before="10"/>
        <w:ind w:left="5865" w:right="141" w:firstLine="0"/>
        <w:jc w:val="left"/>
        <w:rPr>
          <w:sz w:val="20"/>
        </w:rPr>
      </w:pPr>
      <w:r>
        <w:rPr>
          <w:sz w:val="20"/>
        </w:rPr>
        <w:t>центральный</w:t>
      </w:r>
      <w:r>
        <w:rPr>
          <w:spacing w:val="-13"/>
          <w:sz w:val="20"/>
        </w:rPr>
        <w:t> </w:t>
      </w:r>
      <w:r>
        <w:rPr>
          <w:sz w:val="20"/>
        </w:rPr>
        <w:t>рак</w:t>
      </w:r>
      <w:r>
        <w:rPr>
          <w:spacing w:val="-12"/>
          <w:sz w:val="20"/>
        </w:rPr>
        <w:t> </w:t>
      </w:r>
      <w:r>
        <w:rPr>
          <w:sz w:val="20"/>
        </w:rPr>
        <w:t>легкого </w:t>
      </w:r>
      <w:r>
        <w:rPr>
          <w:spacing w:val="-2"/>
          <w:sz w:val="20"/>
        </w:rPr>
        <w:t>(Tis-T1NoMo)</w:t>
      </w:r>
    </w:p>
    <w:p>
      <w:pPr>
        <w:spacing w:line="249" w:lineRule="auto" w:before="91"/>
        <w:ind w:left="822" w:right="0" w:firstLine="0"/>
        <w:jc w:val="left"/>
        <w:rPr>
          <w:sz w:val="20"/>
        </w:rPr>
      </w:pPr>
      <w:r>
        <w:rPr/>
        <w:br w:type="column"/>
      </w:r>
      <w:r>
        <w:rPr>
          <w:spacing w:val="-2"/>
          <w:sz w:val="20"/>
        </w:rPr>
        <w:t>хирургическое лечение</w:t>
      </w:r>
    </w:p>
    <w:p>
      <w:pPr>
        <w:spacing w:line="249" w:lineRule="auto" w:before="91"/>
        <w:ind w:left="401" w:right="2260" w:firstLine="0"/>
        <w:jc w:val="left"/>
        <w:rPr>
          <w:sz w:val="20"/>
        </w:rPr>
      </w:pPr>
      <w:r>
        <w:rPr/>
        <w:br w:type="column"/>
      </w:r>
      <w:r>
        <w:rPr>
          <w:sz w:val="20"/>
        </w:rPr>
        <w:t>эндоскопическая</w:t>
      </w:r>
      <w:r>
        <w:rPr>
          <w:spacing w:val="-13"/>
          <w:sz w:val="20"/>
        </w:rPr>
        <w:t> </w:t>
      </w:r>
      <w:r>
        <w:rPr>
          <w:sz w:val="20"/>
        </w:rPr>
        <w:t>аргоноплазменная коагуляция опухоли бронхов</w:t>
      </w:r>
    </w:p>
    <w:p>
      <w:pPr>
        <w:pStyle w:val="BodyText"/>
        <w:rPr>
          <w:sz w:val="21"/>
        </w:rPr>
      </w:pPr>
    </w:p>
    <w:p>
      <w:pPr>
        <w:spacing w:line="249" w:lineRule="auto" w:before="0"/>
        <w:ind w:left="401" w:right="1940" w:firstLine="0"/>
        <w:jc w:val="left"/>
        <w:rPr>
          <w:sz w:val="20"/>
        </w:rPr>
      </w:pPr>
      <w:r>
        <w:rPr>
          <w:sz w:val="20"/>
        </w:rPr>
        <w:t>эндоскопическая</w:t>
      </w:r>
      <w:r>
        <w:rPr>
          <w:spacing w:val="-13"/>
          <w:sz w:val="20"/>
        </w:rPr>
        <w:t> </w:t>
      </w:r>
      <w:r>
        <w:rPr>
          <w:sz w:val="20"/>
        </w:rPr>
        <w:t>лазерная</w:t>
      </w:r>
      <w:r>
        <w:rPr>
          <w:spacing w:val="-12"/>
          <w:sz w:val="20"/>
        </w:rPr>
        <w:t> </w:t>
      </w:r>
      <w:r>
        <w:rPr>
          <w:sz w:val="20"/>
        </w:rPr>
        <w:t>деструкция злокачественных опухолей бронхов</w:t>
      </w:r>
    </w:p>
    <w:p>
      <w:pPr>
        <w:spacing w:after="0" w:line="249" w:lineRule="auto"/>
        <w:jc w:val="left"/>
        <w:rPr>
          <w:sz w:val="20"/>
        </w:rPr>
        <w:sectPr>
          <w:type w:val="continuous"/>
          <w:pgSz w:w="16850" w:h="11910" w:orient="landscape"/>
          <w:pgMar w:header="753" w:footer="0" w:top="1080" w:bottom="280" w:left="400" w:right="400"/>
          <w:cols w:num="3" w:equalWidth="0">
            <w:col w:w="8160" w:space="40"/>
            <w:col w:w="2079" w:space="39"/>
            <w:col w:w="5732"/>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8"/>
        <w:gridCol w:w="3371"/>
        <w:gridCol w:w="1594"/>
        <w:gridCol w:w="3532"/>
      </w:tblGrid>
      <w:tr>
        <w:trPr>
          <w:trHeight w:val="83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ind w:left="221"/>
              <w:rPr>
                <w:sz w:val="20"/>
              </w:rPr>
            </w:pPr>
            <w:r>
              <w:rPr>
                <w:sz w:val="20"/>
              </w:rPr>
              <w:t>поднаркозная эндоскопическая фотодинамическая</w:t>
            </w:r>
            <w:r>
              <w:rPr>
                <w:spacing w:val="-13"/>
                <w:sz w:val="20"/>
              </w:rPr>
              <w:t> </w:t>
            </w:r>
            <w:r>
              <w:rPr>
                <w:sz w:val="20"/>
              </w:rPr>
              <w:t>терапия</w:t>
            </w:r>
            <w:r>
              <w:rPr>
                <w:spacing w:val="-12"/>
                <w:sz w:val="20"/>
              </w:rPr>
              <w:t> </w:t>
            </w:r>
            <w:r>
              <w:rPr>
                <w:sz w:val="20"/>
              </w:rPr>
              <w:t>опухоли </w:t>
            </w:r>
            <w:r>
              <w:rPr>
                <w:spacing w:val="-2"/>
                <w:sz w:val="20"/>
              </w:rPr>
              <w:t>бронхов</w:t>
            </w:r>
          </w:p>
        </w:tc>
      </w:tr>
      <w:tr>
        <w:trPr>
          <w:trHeight w:val="48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before="120"/>
              <w:ind w:left="221"/>
              <w:rPr>
                <w:sz w:val="20"/>
              </w:rPr>
            </w:pPr>
            <w:r>
              <w:rPr>
                <w:w w:val="95"/>
                <w:sz w:val="20"/>
              </w:rPr>
              <w:t>эндопротезирование</w:t>
            </w:r>
            <w:r>
              <w:rPr>
                <w:spacing w:val="62"/>
                <w:sz w:val="20"/>
              </w:rPr>
              <w:t> </w:t>
            </w:r>
            <w:r>
              <w:rPr>
                <w:spacing w:val="-2"/>
                <w:sz w:val="20"/>
              </w:rPr>
              <w:t>бронхов</w:t>
            </w:r>
          </w:p>
        </w:tc>
      </w:tr>
      <w:tr>
        <w:trPr>
          <w:trHeight w:val="120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before="120"/>
              <w:ind w:left="221"/>
              <w:rPr>
                <w:sz w:val="20"/>
              </w:rPr>
            </w:pPr>
            <w:r>
              <w:rPr>
                <w:sz w:val="20"/>
              </w:rPr>
              <w:t>эндоскопическая лазерная реканализация и устранение дыхательной</w:t>
            </w:r>
            <w:r>
              <w:rPr>
                <w:spacing w:val="-13"/>
                <w:sz w:val="20"/>
              </w:rPr>
              <w:t> </w:t>
            </w:r>
            <w:r>
              <w:rPr>
                <w:sz w:val="20"/>
              </w:rPr>
              <w:t>недостаточности</w:t>
            </w:r>
            <w:r>
              <w:rPr>
                <w:spacing w:val="-12"/>
                <w:sz w:val="20"/>
              </w:rPr>
              <w:t> </w:t>
            </w:r>
            <w:r>
              <w:rPr>
                <w:sz w:val="20"/>
              </w:rPr>
              <w:t>при стенозирующей опухоли бронхов</w:t>
            </w:r>
          </w:p>
        </w:tc>
      </w:tr>
      <w:tr>
        <w:trPr>
          <w:trHeight w:val="720" w:hRule="atLeast"/>
        </w:trPr>
        <w:tc>
          <w:tcPr>
            <w:tcW w:w="1148" w:type="dxa"/>
          </w:tcPr>
          <w:p>
            <w:pPr>
              <w:pStyle w:val="TableParagraph"/>
              <w:spacing w:before="120"/>
              <w:ind w:left="50"/>
              <w:rPr>
                <w:sz w:val="20"/>
              </w:rPr>
            </w:pPr>
            <w:r>
              <w:rPr>
                <w:sz w:val="20"/>
              </w:rPr>
              <w:t>C34,</w:t>
            </w:r>
            <w:r>
              <w:rPr>
                <w:spacing w:val="-3"/>
                <w:sz w:val="20"/>
              </w:rPr>
              <w:t> </w:t>
            </w:r>
            <w:r>
              <w:rPr>
                <w:spacing w:val="-5"/>
                <w:sz w:val="20"/>
              </w:rPr>
              <w:t>C33</w:t>
            </w:r>
          </w:p>
        </w:tc>
        <w:tc>
          <w:tcPr>
            <w:tcW w:w="3371" w:type="dxa"/>
          </w:tcPr>
          <w:p>
            <w:pPr>
              <w:pStyle w:val="TableParagraph"/>
              <w:spacing w:before="120"/>
              <w:ind w:left="332"/>
              <w:rPr>
                <w:sz w:val="20"/>
              </w:rPr>
            </w:pPr>
            <w:r>
              <w:rPr>
                <w:sz w:val="20"/>
              </w:rPr>
              <w:t>ранний</w:t>
            </w:r>
            <w:r>
              <w:rPr>
                <w:spacing w:val="-6"/>
                <w:sz w:val="20"/>
              </w:rPr>
              <w:t> </w:t>
            </w:r>
            <w:r>
              <w:rPr>
                <w:sz w:val="20"/>
              </w:rPr>
              <w:t>рак</w:t>
            </w:r>
            <w:r>
              <w:rPr>
                <w:spacing w:val="-6"/>
                <w:sz w:val="20"/>
              </w:rPr>
              <w:t> </w:t>
            </w:r>
            <w:r>
              <w:rPr>
                <w:spacing w:val="-2"/>
                <w:sz w:val="20"/>
              </w:rPr>
              <w:t>трахеи</w:t>
            </w:r>
          </w:p>
        </w:tc>
        <w:tc>
          <w:tcPr>
            <w:tcW w:w="1594" w:type="dxa"/>
          </w:tcPr>
          <w:p>
            <w:pPr>
              <w:pStyle w:val="TableParagraph"/>
              <w:spacing w:line="249" w:lineRule="auto" w:before="120"/>
              <w:ind w:left="117"/>
              <w:rPr>
                <w:sz w:val="20"/>
              </w:rPr>
            </w:pPr>
            <w:r>
              <w:rPr>
                <w:spacing w:val="-2"/>
                <w:sz w:val="20"/>
              </w:rPr>
              <w:t>хирургическое лечение</w:t>
            </w:r>
          </w:p>
        </w:tc>
        <w:tc>
          <w:tcPr>
            <w:tcW w:w="3532" w:type="dxa"/>
          </w:tcPr>
          <w:p>
            <w:pPr>
              <w:pStyle w:val="TableParagraph"/>
              <w:spacing w:line="249" w:lineRule="auto" w:before="120"/>
              <w:ind w:left="221"/>
              <w:rPr>
                <w:sz w:val="20"/>
              </w:rPr>
            </w:pPr>
            <w:r>
              <w:rPr>
                <w:sz w:val="20"/>
              </w:rPr>
              <w:t>эндоскопическая</w:t>
            </w:r>
            <w:r>
              <w:rPr>
                <w:spacing w:val="-13"/>
                <w:sz w:val="20"/>
              </w:rPr>
              <w:t> </w:t>
            </w:r>
            <w:r>
              <w:rPr>
                <w:sz w:val="20"/>
              </w:rPr>
              <w:t>лазерная</w:t>
            </w:r>
            <w:r>
              <w:rPr>
                <w:spacing w:val="-12"/>
                <w:sz w:val="20"/>
              </w:rPr>
              <w:t> </w:t>
            </w:r>
            <w:r>
              <w:rPr>
                <w:sz w:val="20"/>
              </w:rPr>
              <w:t>деструкция опухоли трахеи</w:t>
            </w:r>
          </w:p>
        </w:tc>
      </w:tr>
      <w:tr>
        <w:trPr>
          <w:trHeight w:val="72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52" w:lineRule="auto" w:before="120"/>
              <w:ind w:left="221"/>
              <w:rPr>
                <w:sz w:val="20"/>
              </w:rPr>
            </w:pPr>
            <w:r>
              <w:rPr>
                <w:spacing w:val="-2"/>
                <w:sz w:val="20"/>
              </w:rPr>
              <w:t>эндоскопическая фотодинамическая </w:t>
            </w:r>
            <w:r>
              <w:rPr>
                <w:sz w:val="20"/>
              </w:rPr>
              <w:t>терапия опухоли трахеи</w:t>
            </w:r>
          </w:p>
        </w:tc>
      </w:tr>
      <w:tr>
        <w:trPr>
          <w:trHeight w:val="96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before="120"/>
              <w:ind w:left="221"/>
              <w:rPr>
                <w:sz w:val="20"/>
              </w:rPr>
            </w:pPr>
            <w:r>
              <w:rPr>
                <w:sz w:val="20"/>
              </w:rPr>
              <w:t>поднаркозная эндоскопическая фотодинамическая</w:t>
            </w:r>
            <w:r>
              <w:rPr>
                <w:spacing w:val="-13"/>
                <w:sz w:val="20"/>
              </w:rPr>
              <w:t> </w:t>
            </w:r>
            <w:r>
              <w:rPr>
                <w:sz w:val="20"/>
              </w:rPr>
              <w:t>терапия</w:t>
            </w:r>
            <w:r>
              <w:rPr>
                <w:spacing w:val="-12"/>
                <w:sz w:val="20"/>
              </w:rPr>
              <w:t> </w:t>
            </w:r>
            <w:r>
              <w:rPr>
                <w:sz w:val="20"/>
              </w:rPr>
              <w:t>опухоли </w:t>
            </w:r>
            <w:r>
              <w:rPr>
                <w:spacing w:val="-2"/>
                <w:sz w:val="20"/>
              </w:rPr>
              <w:t>трахеи</w:t>
            </w:r>
          </w:p>
        </w:tc>
      </w:tr>
      <w:tr>
        <w:trPr>
          <w:trHeight w:val="72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before="120"/>
              <w:ind w:left="221" w:right="240"/>
              <w:rPr>
                <w:sz w:val="20"/>
              </w:rPr>
            </w:pPr>
            <w:r>
              <w:rPr>
                <w:sz w:val="20"/>
              </w:rPr>
              <w:t>эндоскопическая</w:t>
            </w:r>
            <w:r>
              <w:rPr>
                <w:spacing w:val="-13"/>
                <w:sz w:val="20"/>
              </w:rPr>
              <w:t> </w:t>
            </w:r>
            <w:r>
              <w:rPr>
                <w:sz w:val="20"/>
              </w:rPr>
              <w:t>аргоноплазменная коагуляция опухоли трахеи</w:t>
            </w:r>
          </w:p>
        </w:tc>
      </w:tr>
      <w:tr>
        <w:trPr>
          <w:trHeight w:val="600" w:hRule="atLeast"/>
        </w:trPr>
        <w:tc>
          <w:tcPr>
            <w:tcW w:w="1148" w:type="dxa"/>
          </w:tcPr>
          <w:p>
            <w:pPr>
              <w:pStyle w:val="TableParagraph"/>
              <w:rPr>
                <w:sz w:val="18"/>
              </w:rPr>
            </w:pPr>
          </w:p>
        </w:tc>
        <w:tc>
          <w:tcPr>
            <w:tcW w:w="3371" w:type="dxa"/>
            <w:vMerge w:val="restart"/>
          </w:tcPr>
          <w:p>
            <w:pPr>
              <w:pStyle w:val="TableParagraph"/>
              <w:spacing w:line="249" w:lineRule="auto" w:before="120"/>
              <w:ind w:left="332"/>
              <w:rPr>
                <w:sz w:val="20"/>
              </w:rPr>
            </w:pPr>
            <w:r>
              <w:rPr>
                <w:sz w:val="20"/>
              </w:rPr>
              <w:t>стенозирующий рак трахеи. Стенозирующий</w:t>
            </w:r>
            <w:r>
              <w:rPr>
                <w:spacing w:val="-13"/>
                <w:sz w:val="20"/>
              </w:rPr>
              <w:t> </w:t>
            </w:r>
            <w:r>
              <w:rPr>
                <w:sz w:val="20"/>
              </w:rPr>
              <w:t>центральный</w:t>
            </w:r>
            <w:r>
              <w:rPr>
                <w:spacing w:val="-12"/>
                <w:sz w:val="20"/>
              </w:rPr>
              <w:t> </w:t>
            </w:r>
            <w:r>
              <w:rPr>
                <w:sz w:val="20"/>
              </w:rPr>
              <w:t>рак легкого (T3-4NxMx)</w:t>
            </w:r>
          </w:p>
        </w:tc>
        <w:tc>
          <w:tcPr>
            <w:tcW w:w="1594" w:type="dxa"/>
          </w:tcPr>
          <w:p>
            <w:pPr>
              <w:pStyle w:val="TableParagraph"/>
              <w:spacing w:line="240" w:lineRule="atLeast" w:before="100"/>
              <w:ind w:left="117"/>
              <w:rPr>
                <w:sz w:val="20"/>
              </w:rPr>
            </w:pPr>
            <w:r>
              <w:rPr>
                <w:spacing w:val="-2"/>
                <w:sz w:val="20"/>
              </w:rPr>
              <w:t>хирургическое лечение</w:t>
            </w:r>
          </w:p>
        </w:tc>
        <w:tc>
          <w:tcPr>
            <w:tcW w:w="3532" w:type="dxa"/>
          </w:tcPr>
          <w:p>
            <w:pPr>
              <w:pStyle w:val="TableParagraph"/>
              <w:spacing w:before="120"/>
              <w:ind w:left="221"/>
              <w:rPr>
                <w:sz w:val="20"/>
              </w:rPr>
            </w:pPr>
            <w:r>
              <w:rPr>
                <w:w w:val="95"/>
                <w:sz w:val="20"/>
              </w:rPr>
              <w:t>эндопротезирование</w:t>
            </w:r>
            <w:r>
              <w:rPr>
                <w:spacing w:val="62"/>
                <w:sz w:val="20"/>
              </w:rPr>
              <w:t> </w:t>
            </w:r>
            <w:r>
              <w:rPr>
                <w:spacing w:val="-2"/>
                <w:sz w:val="20"/>
              </w:rPr>
              <w:t>трахеи</w:t>
            </w:r>
          </w:p>
        </w:tc>
      </w:tr>
      <w:tr>
        <w:trPr>
          <w:trHeight w:val="600" w:hRule="atLeast"/>
        </w:trPr>
        <w:tc>
          <w:tcPr>
            <w:tcW w:w="1148" w:type="dxa"/>
          </w:tcPr>
          <w:p>
            <w:pPr>
              <w:pStyle w:val="TableParagraph"/>
              <w:rPr>
                <w:sz w:val="18"/>
              </w:rPr>
            </w:pPr>
          </w:p>
        </w:tc>
        <w:tc>
          <w:tcPr>
            <w:tcW w:w="3371" w:type="dxa"/>
            <w:vMerge/>
            <w:tcBorders>
              <w:top w:val="nil"/>
            </w:tcBorders>
          </w:tcPr>
          <w:p>
            <w:pPr>
              <w:rPr>
                <w:sz w:val="2"/>
                <w:szCs w:val="2"/>
              </w:rPr>
            </w:pPr>
          </w:p>
        </w:tc>
        <w:tc>
          <w:tcPr>
            <w:tcW w:w="1594" w:type="dxa"/>
          </w:tcPr>
          <w:p>
            <w:pPr>
              <w:pStyle w:val="TableParagraph"/>
              <w:rPr>
                <w:sz w:val="18"/>
              </w:rPr>
            </w:pPr>
          </w:p>
        </w:tc>
        <w:tc>
          <w:tcPr>
            <w:tcW w:w="3532" w:type="dxa"/>
          </w:tcPr>
          <w:p>
            <w:pPr>
              <w:pStyle w:val="TableParagraph"/>
              <w:spacing w:line="249" w:lineRule="auto"/>
              <w:ind w:left="221" w:right="240"/>
              <w:rPr>
                <w:sz w:val="20"/>
              </w:rPr>
            </w:pPr>
            <w:r>
              <w:rPr>
                <w:sz w:val="20"/>
              </w:rPr>
              <w:t>эндоскопическая</w:t>
            </w:r>
            <w:r>
              <w:rPr>
                <w:spacing w:val="-13"/>
                <w:sz w:val="20"/>
              </w:rPr>
              <w:t> </w:t>
            </w:r>
            <w:r>
              <w:rPr>
                <w:sz w:val="20"/>
              </w:rPr>
              <w:t>аргоноплазменная коагуляция опухоли трахеи</w:t>
            </w:r>
          </w:p>
        </w:tc>
      </w:tr>
      <w:tr>
        <w:trPr>
          <w:trHeight w:val="107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0" w:lineRule="atLeast" w:before="90"/>
              <w:ind w:left="221"/>
              <w:rPr>
                <w:sz w:val="20"/>
              </w:rPr>
            </w:pPr>
            <w:r>
              <w:rPr>
                <w:sz w:val="20"/>
              </w:rPr>
              <w:t>эндоскопическая лазерная реканализация и устранение дыхательной</w:t>
            </w:r>
            <w:r>
              <w:rPr>
                <w:spacing w:val="-13"/>
                <w:sz w:val="20"/>
              </w:rPr>
              <w:t> </w:t>
            </w:r>
            <w:r>
              <w:rPr>
                <w:sz w:val="20"/>
              </w:rPr>
              <w:t>недостаточности</w:t>
            </w:r>
            <w:r>
              <w:rPr>
                <w:spacing w:val="-12"/>
                <w:sz w:val="20"/>
              </w:rPr>
              <w:t> </w:t>
            </w:r>
            <w:r>
              <w:rPr>
                <w:sz w:val="20"/>
              </w:rPr>
              <w:t>при стенозирующей опухоли трахеи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1"/>
        <w:gridCol w:w="3168"/>
        <w:gridCol w:w="1577"/>
        <w:gridCol w:w="3608"/>
      </w:tblGrid>
      <w:tr>
        <w:trPr>
          <w:trHeight w:val="590" w:hRule="atLeast"/>
        </w:trPr>
        <w:tc>
          <w:tcPr>
            <w:tcW w:w="1811" w:type="dxa"/>
          </w:tcPr>
          <w:p>
            <w:pPr>
              <w:pStyle w:val="TableParagraph"/>
              <w:rPr>
                <w:sz w:val="18"/>
              </w:rPr>
            </w:pPr>
          </w:p>
        </w:tc>
        <w:tc>
          <w:tcPr>
            <w:tcW w:w="3168" w:type="dxa"/>
          </w:tcPr>
          <w:p>
            <w:pPr>
              <w:pStyle w:val="TableParagraph"/>
              <w:rPr>
                <w:sz w:val="18"/>
              </w:rPr>
            </w:pPr>
          </w:p>
        </w:tc>
        <w:tc>
          <w:tcPr>
            <w:tcW w:w="1577" w:type="dxa"/>
          </w:tcPr>
          <w:p>
            <w:pPr>
              <w:pStyle w:val="TableParagraph"/>
              <w:rPr>
                <w:sz w:val="18"/>
              </w:rPr>
            </w:pPr>
          </w:p>
        </w:tc>
        <w:tc>
          <w:tcPr>
            <w:tcW w:w="3608" w:type="dxa"/>
          </w:tcPr>
          <w:p>
            <w:pPr>
              <w:pStyle w:val="TableParagraph"/>
              <w:spacing w:line="249" w:lineRule="auto"/>
              <w:ind w:left="220" w:right="356"/>
              <w:rPr>
                <w:sz w:val="20"/>
              </w:rPr>
            </w:pPr>
            <w:r>
              <w:rPr>
                <w:spacing w:val="-2"/>
                <w:sz w:val="20"/>
              </w:rPr>
              <w:t>эндоскопическое стентирование </w:t>
            </w:r>
            <w:r>
              <w:rPr>
                <w:sz w:val="20"/>
              </w:rPr>
              <w:t>трахеи Т-образной трубкой</w:t>
            </w:r>
          </w:p>
        </w:tc>
      </w:tr>
      <w:tr>
        <w:trPr>
          <w:trHeight w:val="720" w:hRule="atLeast"/>
        </w:trPr>
        <w:tc>
          <w:tcPr>
            <w:tcW w:w="1811" w:type="dxa"/>
          </w:tcPr>
          <w:p>
            <w:pPr>
              <w:pStyle w:val="TableParagraph"/>
              <w:rPr>
                <w:sz w:val="18"/>
              </w:rPr>
            </w:pPr>
          </w:p>
        </w:tc>
        <w:tc>
          <w:tcPr>
            <w:tcW w:w="3168" w:type="dxa"/>
          </w:tcPr>
          <w:p>
            <w:pPr>
              <w:pStyle w:val="TableParagraph"/>
              <w:spacing w:line="249" w:lineRule="auto" w:before="120"/>
              <w:ind w:left="111" w:right="89"/>
              <w:rPr>
                <w:sz w:val="20"/>
              </w:rPr>
            </w:pPr>
            <w:r>
              <w:rPr>
                <w:sz w:val="20"/>
              </w:rPr>
              <w:t>ранние</w:t>
            </w:r>
            <w:r>
              <w:rPr>
                <w:spacing w:val="-13"/>
                <w:sz w:val="20"/>
              </w:rPr>
              <w:t> </w:t>
            </w:r>
            <w:r>
              <w:rPr>
                <w:sz w:val="20"/>
              </w:rPr>
              <w:t>формы</w:t>
            </w:r>
            <w:r>
              <w:rPr>
                <w:spacing w:val="-12"/>
                <w:sz w:val="20"/>
              </w:rPr>
              <w:t> </w:t>
            </w:r>
            <w:r>
              <w:rPr>
                <w:sz w:val="20"/>
              </w:rPr>
              <w:t>злокачественных опухолей легкого (I - II стадия)</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ight="356"/>
              <w:rPr>
                <w:sz w:val="20"/>
              </w:rPr>
            </w:pPr>
            <w:r>
              <w:rPr>
                <w:sz w:val="20"/>
              </w:rPr>
              <w:t>видеоассистированная</w:t>
            </w:r>
            <w:r>
              <w:rPr>
                <w:spacing w:val="-13"/>
                <w:sz w:val="20"/>
              </w:rPr>
              <w:t> </w:t>
            </w:r>
            <w:r>
              <w:rPr>
                <w:sz w:val="20"/>
              </w:rPr>
              <w:t>лобэктомия, </w:t>
            </w:r>
            <w:r>
              <w:rPr>
                <w:spacing w:val="-2"/>
                <w:sz w:val="20"/>
              </w:rPr>
              <w:t>билобэктомия</w:t>
            </w:r>
          </w:p>
        </w:tc>
      </w:tr>
      <w:tr>
        <w:trPr>
          <w:trHeight w:val="1200" w:hRule="atLeast"/>
        </w:trPr>
        <w:tc>
          <w:tcPr>
            <w:tcW w:w="1811" w:type="dxa"/>
          </w:tcPr>
          <w:p>
            <w:pPr>
              <w:pStyle w:val="TableParagraph"/>
              <w:rPr>
                <w:sz w:val="18"/>
              </w:rPr>
            </w:pPr>
          </w:p>
        </w:tc>
        <w:tc>
          <w:tcPr>
            <w:tcW w:w="3168" w:type="dxa"/>
          </w:tcPr>
          <w:p>
            <w:pPr>
              <w:pStyle w:val="TableParagraph"/>
              <w:spacing w:line="249" w:lineRule="auto" w:before="120"/>
              <w:ind w:left="111" w:right="89"/>
              <w:rPr>
                <w:sz w:val="20"/>
              </w:rPr>
            </w:pPr>
            <w:r>
              <w:rPr>
                <w:sz w:val="20"/>
              </w:rPr>
              <w:t>злокачественные</w:t>
            </w:r>
            <w:r>
              <w:rPr>
                <w:spacing w:val="-13"/>
                <w:sz w:val="20"/>
              </w:rPr>
              <w:t> </w:t>
            </w:r>
            <w:r>
              <w:rPr>
                <w:sz w:val="20"/>
              </w:rPr>
              <w:t>новообразования легкого (периферический рак)</w:t>
            </w:r>
          </w:p>
        </w:tc>
        <w:tc>
          <w:tcPr>
            <w:tcW w:w="1577" w:type="dxa"/>
          </w:tcPr>
          <w:p>
            <w:pPr>
              <w:pStyle w:val="TableParagraph"/>
              <w:rPr>
                <w:sz w:val="18"/>
              </w:rPr>
            </w:pPr>
          </w:p>
        </w:tc>
        <w:tc>
          <w:tcPr>
            <w:tcW w:w="3608" w:type="dxa"/>
          </w:tcPr>
          <w:p>
            <w:pPr>
              <w:pStyle w:val="TableParagraph"/>
              <w:spacing w:line="249" w:lineRule="auto" w:before="120"/>
              <w:ind w:left="220" w:right="356"/>
              <w:rPr>
                <w:sz w:val="20"/>
              </w:rPr>
            </w:pPr>
            <w:r>
              <w:rPr>
                <w:sz w:val="20"/>
              </w:rPr>
              <w:t>радиочастотная аблация опухоли легкого под ультразвуковой навигацией</w:t>
            </w:r>
            <w:r>
              <w:rPr>
                <w:spacing w:val="-11"/>
                <w:sz w:val="20"/>
              </w:rPr>
              <w:t> </w:t>
            </w:r>
            <w:r>
              <w:rPr>
                <w:sz w:val="20"/>
              </w:rPr>
              <w:t>и</w:t>
            </w:r>
            <w:r>
              <w:rPr>
                <w:spacing w:val="-11"/>
                <w:sz w:val="20"/>
              </w:rPr>
              <w:t> </w:t>
            </w:r>
            <w:r>
              <w:rPr>
                <w:sz w:val="20"/>
              </w:rPr>
              <w:t>(или)</w:t>
            </w:r>
            <w:r>
              <w:rPr>
                <w:spacing w:val="-8"/>
                <w:sz w:val="20"/>
              </w:rPr>
              <w:t> </w:t>
            </w:r>
            <w:r>
              <w:rPr>
                <w:sz w:val="20"/>
              </w:rPr>
              <w:t>под</w:t>
            </w:r>
            <w:r>
              <w:rPr>
                <w:spacing w:val="-11"/>
                <w:sz w:val="20"/>
              </w:rPr>
              <w:t> </w:t>
            </w:r>
            <w:r>
              <w:rPr>
                <w:sz w:val="20"/>
              </w:rPr>
              <w:t>контролем компьютерной томографии</w:t>
            </w:r>
          </w:p>
        </w:tc>
      </w:tr>
      <w:tr>
        <w:trPr>
          <w:trHeight w:val="1320" w:hRule="atLeast"/>
        </w:trPr>
        <w:tc>
          <w:tcPr>
            <w:tcW w:w="1811" w:type="dxa"/>
          </w:tcPr>
          <w:p>
            <w:pPr>
              <w:pStyle w:val="TableParagraph"/>
              <w:spacing w:line="249" w:lineRule="auto" w:before="120"/>
              <w:ind w:left="633" w:hanging="536"/>
              <w:rPr>
                <w:sz w:val="20"/>
              </w:rPr>
            </w:pPr>
            <w:r>
              <w:rPr>
                <w:sz w:val="20"/>
              </w:rPr>
              <w:t>C37,</w:t>
            </w:r>
            <w:r>
              <w:rPr>
                <w:spacing w:val="-13"/>
                <w:sz w:val="20"/>
              </w:rPr>
              <w:t> </w:t>
            </w:r>
            <w:r>
              <w:rPr>
                <w:sz w:val="20"/>
              </w:rPr>
              <w:t>C38.3,</w:t>
            </w:r>
            <w:r>
              <w:rPr>
                <w:spacing w:val="-12"/>
                <w:sz w:val="20"/>
              </w:rPr>
              <w:t> </w:t>
            </w:r>
            <w:r>
              <w:rPr>
                <w:sz w:val="20"/>
              </w:rPr>
              <w:t>C38.2, </w:t>
            </w:r>
            <w:r>
              <w:rPr>
                <w:spacing w:val="-2"/>
                <w:sz w:val="20"/>
              </w:rPr>
              <w:t>C38.1</w:t>
            </w:r>
          </w:p>
        </w:tc>
        <w:tc>
          <w:tcPr>
            <w:tcW w:w="3168" w:type="dxa"/>
          </w:tcPr>
          <w:p>
            <w:pPr>
              <w:pStyle w:val="TableParagraph"/>
              <w:spacing w:before="120"/>
              <w:ind w:left="111"/>
              <w:rPr>
                <w:sz w:val="20"/>
              </w:rPr>
            </w:pPr>
            <w:r>
              <w:rPr>
                <w:sz w:val="20"/>
              </w:rPr>
              <w:t>опухоль</w:t>
            </w:r>
            <w:r>
              <w:rPr>
                <w:spacing w:val="-9"/>
                <w:sz w:val="20"/>
              </w:rPr>
              <w:t> </w:t>
            </w:r>
            <w:r>
              <w:rPr>
                <w:sz w:val="20"/>
              </w:rPr>
              <w:t>вилочковой</w:t>
            </w:r>
            <w:r>
              <w:rPr>
                <w:spacing w:val="-8"/>
                <w:sz w:val="20"/>
              </w:rPr>
              <w:t> </w:t>
            </w:r>
            <w:r>
              <w:rPr>
                <w:spacing w:val="-2"/>
                <w:sz w:val="20"/>
              </w:rPr>
              <w:t>железы</w:t>
            </w:r>
          </w:p>
          <w:p>
            <w:pPr>
              <w:pStyle w:val="TableParagraph"/>
              <w:spacing w:line="249" w:lineRule="auto" w:before="10"/>
              <w:ind w:left="111" w:right="89"/>
              <w:rPr>
                <w:sz w:val="20"/>
              </w:rPr>
            </w:pPr>
            <w:r>
              <w:rPr>
                <w:sz w:val="20"/>
              </w:rPr>
              <w:t>(I</w:t>
            </w:r>
            <w:r>
              <w:rPr>
                <w:spacing w:val="-8"/>
                <w:sz w:val="20"/>
              </w:rPr>
              <w:t> </w:t>
            </w:r>
            <w:r>
              <w:rPr>
                <w:sz w:val="20"/>
              </w:rPr>
              <w:t>-</w:t>
            </w:r>
            <w:r>
              <w:rPr>
                <w:spacing w:val="-10"/>
                <w:sz w:val="20"/>
              </w:rPr>
              <w:t> </w:t>
            </w:r>
            <w:r>
              <w:rPr>
                <w:sz w:val="20"/>
              </w:rPr>
              <w:t>II</w:t>
            </w:r>
            <w:r>
              <w:rPr>
                <w:spacing w:val="-9"/>
                <w:sz w:val="20"/>
              </w:rPr>
              <w:t> </w:t>
            </w:r>
            <w:r>
              <w:rPr>
                <w:sz w:val="20"/>
              </w:rPr>
              <w:t>стадия).</w:t>
            </w:r>
            <w:r>
              <w:rPr>
                <w:spacing w:val="-8"/>
                <w:sz w:val="20"/>
              </w:rPr>
              <w:t> </w:t>
            </w:r>
            <w:r>
              <w:rPr>
                <w:sz w:val="20"/>
              </w:rPr>
              <w:t>Опухоль</w:t>
            </w:r>
            <w:r>
              <w:rPr>
                <w:spacing w:val="-9"/>
                <w:sz w:val="20"/>
              </w:rPr>
              <w:t> </w:t>
            </w:r>
            <w:r>
              <w:rPr>
                <w:sz w:val="20"/>
              </w:rPr>
              <w:t>переднего, заднего средостения (начальные формы). Метастатическое</w:t>
            </w:r>
          </w:p>
          <w:p>
            <w:pPr>
              <w:pStyle w:val="TableParagraph"/>
              <w:spacing w:line="220" w:lineRule="exact" w:before="3"/>
              <w:ind w:left="111"/>
              <w:rPr>
                <w:sz w:val="20"/>
              </w:rPr>
            </w:pPr>
            <w:r>
              <w:rPr>
                <w:sz w:val="20"/>
              </w:rPr>
              <w:t>поражение</w:t>
            </w:r>
            <w:r>
              <w:rPr>
                <w:spacing w:val="-11"/>
                <w:sz w:val="20"/>
              </w:rPr>
              <w:t> </w:t>
            </w:r>
            <w:r>
              <w:rPr>
                <w:spacing w:val="-2"/>
                <w:sz w:val="20"/>
              </w:rPr>
              <w:t>средостения</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ight="48"/>
              <w:rPr>
                <w:sz w:val="20"/>
              </w:rPr>
            </w:pPr>
            <w:r>
              <w:rPr>
                <w:sz w:val="20"/>
              </w:rPr>
              <w:t>радиочастотная</w:t>
            </w:r>
            <w:r>
              <w:rPr>
                <w:spacing w:val="-13"/>
                <w:sz w:val="20"/>
              </w:rPr>
              <w:t> </w:t>
            </w:r>
            <w:r>
              <w:rPr>
                <w:sz w:val="20"/>
              </w:rPr>
              <w:t>термоаблация</w:t>
            </w:r>
            <w:r>
              <w:rPr>
                <w:spacing w:val="-12"/>
                <w:sz w:val="20"/>
              </w:rPr>
              <w:t> </w:t>
            </w:r>
            <w:r>
              <w:rPr>
                <w:sz w:val="20"/>
              </w:rPr>
              <w:t>опухоли под ультразвуковой навигацией и</w:t>
            </w:r>
            <w:r>
              <w:rPr>
                <w:spacing w:val="40"/>
                <w:sz w:val="20"/>
              </w:rPr>
              <w:t> </w:t>
            </w:r>
            <w:r>
              <w:rPr>
                <w:sz w:val="20"/>
              </w:rPr>
              <w:t>(или) контролем компьютерной </w:t>
            </w:r>
            <w:r>
              <w:rPr>
                <w:spacing w:val="-2"/>
                <w:sz w:val="20"/>
              </w:rPr>
              <w:t>томографии</w:t>
            </w:r>
          </w:p>
        </w:tc>
      </w:tr>
      <w:tr>
        <w:trPr>
          <w:trHeight w:val="600" w:hRule="atLeast"/>
        </w:trPr>
        <w:tc>
          <w:tcPr>
            <w:tcW w:w="1811" w:type="dxa"/>
          </w:tcPr>
          <w:p>
            <w:pPr>
              <w:pStyle w:val="TableParagraph"/>
              <w:rPr>
                <w:sz w:val="18"/>
              </w:rPr>
            </w:pPr>
          </w:p>
        </w:tc>
        <w:tc>
          <w:tcPr>
            <w:tcW w:w="3168" w:type="dxa"/>
          </w:tcPr>
          <w:p>
            <w:pPr>
              <w:pStyle w:val="TableParagraph"/>
              <w:rPr>
                <w:sz w:val="18"/>
              </w:rPr>
            </w:pPr>
          </w:p>
        </w:tc>
        <w:tc>
          <w:tcPr>
            <w:tcW w:w="1577" w:type="dxa"/>
          </w:tcPr>
          <w:p>
            <w:pPr>
              <w:pStyle w:val="TableParagraph"/>
              <w:rPr>
                <w:sz w:val="18"/>
              </w:rPr>
            </w:pPr>
          </w:p>
        </w:tc>
        <w:tc>
          <w:tcPr>
            <w:tcW w:w="3608" w:type="dxa"/>
          </w:tcPr>
          <w:p>
            <w:pPr>
              <w:pStyle w:val="TableParagraph"/>
              <w:spacing w:line="249" w:lineRule="auto"/>
              <w:ind w:left="220" w:right="614"/>
              <w:rPr>
                <w:sz w:val="20"/>
              </w:rPr>
            </w:pPr>
            <w:r>
              <w:rPr>
                <w:sz w:val="20"/>
              </w:rPr>
              <w:t>видеоассистированное</w:t>
            </w:r>
            <w:r>
              <w:rPr>
                <w:spacing w:val="-13"/>
                <w:sz w:val="20"/>
              </w:rPr>
              <w:t> </w:t>
            </w:r>
            <w:r>
              <w:rPr>
                <w:sz w:val="20"/>
              </w:rPr>
              <w:t>удаление опухоли средостения</w:t>
            </w:r>
          </w:p>
        </w:tc>
      </w:tr>
      <w:tr>
        <w:trPr>
          <w:trHeight w:val="1680" w:hRule="atLeast"/>
        </w:trPr>
        <w:tc>
          <w:tcPr>
            <w:tcW w:w="1811" w:type="dxa"/>
          </w:tcPr>
          <w:p>
            <w:pPr>
              <w:pStyle w:val="TableParagraph"/>
              <w:spacing w:before="120"/>
              <w:ind w:left="40" w:right="98"/>
              <w:jc w:val="center"/>
              <w:rPr>
                <w:sz w:val="20"/>
              </w:rPr>
            </w:pPr>
            <w:r>
              <w:rPr>
                <w:spacing w:val="-4"/>
                <w:sz w:val="20"/>
              </w:rPr>
              <w:t>C49.3</w:t>
            </w:r>
          </w:p>
        </w:tc>
        <w:tc>
          <w:tcPr>
            <w:tcW w:w="3168" w:type="dxa"/>
          </w:tcPr>
          <w:p>
            <w:pPr>
              <w:pStyle w:val="TableParagraph"/>
              <w:spacing w:line="249" w:lineRule="auto" w:before="120"/>
              <w:ind w:left="111" w:right="89"/>
              <w:rPr>
                <w:sz w:val="20"/>
              </w:rPr>
            </w:pPr>
            <w:r>
              <w:rPr>
                <w:sz w:val="20"/>
              </w:rPr>
              <w:t>опухоли</w:t>
            </w:r>
            <w:r>
              <w:rPr>
                <w:spacing w:val="-13"/>
                <w:sz w:val="20"/>
              </w:rPr>
              <w:t> </w:t>
            </w:r>
            <w:r>
              <w:rPr>
                <w:sz w:val="20"/>
              </w:rPr>
              <w:t>мягких</w:t>
            </w:r>
            <w:r>
              <w:rPr>
                <w:spacing w:val="-12"/>
                <w:sz w:val="20"/>
              </w:rPr>
              <w:t> </w:t>
            </w:r>
            <w:r>
              <w:rPr>
                <w:sz w:val="20"/>
              </w:rPr>
              <w:t>тканей</w:t>
            </w:r>
            <w:r>
              <w:rPr>
                <w:spacing w:val="-13"/>
                <w:sz w:val="20"/>
              </w:rPr>
              <w:t> </w:t>
            </w:r>
            <w:r>
              <w:rPr>
                <w:sz w:val="20"/>
              </w:rPr>
              <w:t>грудной </w:t>
            </w:r>
            <w:r>
              <w:rPr>
                <w:spacing w:val="-2"/>
                <w:sz w:val="20"/>
              </w:rPr>
              <w:t>стенки</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Pr>
                <w:sz w:val="20"/>
              </w:rPr>
            </w:pPr>
            <w:r>
              <w:rPr>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r>
              <w:rPr>
                <w:spacing w:val="-13"/>
                <w:sz w:val="20"/>
              </w:rPr>
              <w:t> </w:t>
            </w:r>
            <w:r>
              <w:rPr>
                <w:sz w:val="20"/>
              </w:rPr>
              <w:t>забрюшинного</w:t>
            </w:r>
            <w:r>
              <w:rPr>
                <w:spacing w:val="-12"/>
                <w:sz w:val="20"/>
              </w:rPr>
              <w:t> </w:t>
            </w:r>
            <w:r>
              <w:rPr>
                <w:sz w:val="20"/>
              </w:rPr>
              <w:t>пространства</w:t>
            </w:r>
          </w:p>
        </w:tc>
      </w:tr>
      <w:tr>
        <w:trPr>
          <w:trHeight w:val="1200" w:hRule="atLeast"/>
        </w:trPr>
        <w:tc>
          <w:tcPr>
            <w:tcW w:w="1811" w:type="dxa"/>
          </w:tcPr>
          <w:p>
            <w:pPr>
              <w:pStyle w:val="TableParagraph"/>
              <w:rPr>
                <w:sz w:val="18"/>
              </w:rPr>
            </w:pPr>
          </w:p>
        </w:tc>
        <w:tc>
          <w:tcPr>
            <w:tcW w:w="3168" w:type="dxa"/>
          </w:tcPr>
          <w:p>
            <w:pPr>
              <w:pStyle w:val="TableParagraph"/>
              <w:rPr>
                <w:sz w:val="18"/>
              </w:rPr>
            </w:pPr>
          </w:p>
        </w:tc>
        <w:tc>
          <w:tcPr>
            <w:tcW w:w="1577" w:type="dxa"/>
          </w:tcPr>
          <w:p>
            <w:pPr>
              <w:pStyle w:val="TableParagraph"/>
              <w:rPr>
                <w:sz w:val="18"/>
              </w:rPr>
            </w:pPr>
          </w:p>
        </w:tc>
        <w:tc>
          <w:tcPr>
            <w:tcW w:w="3608" w:type="dxa"/>
          </w:tcPr>
          <w:p>
            <w:pPr>
              <w:pStyle w:val="TableParagraph"/>
              <w:spacing w:line="249" w:lineRule="auto" w:before="120"/>
              <w:ind w:left="220"/>
              <w:rPr>
                <w:sz w:val="20"/>
              </w:rPr>
            </w:pPr>
            <w:r>
              <w:rPr>
                <w:sz w:val="20"/>
              </w:rPr>
              <w:t>радиочастотная аблация опухоли мягких тканей грудной стенки под ультразвуковой навигацией (или) под контролем</w:t>
            </w:r>
            <w:r>
              <w:rPr>
                <w:spacing w:val="-13"/>
                <w:sz w:val="20"/>
              </w:rPr>
              <w:t> </w:t>
            </w:r>
            <w:r>
              <w:rPr>
                <w:sz w:val="20"/>
              </w:rPr>
              <w:t>компьютерной</w:t>
            </w:r>
            <w:r>
              <w:rPr>
                <w:spacing w:val="-12"/>
                <w:sz w:val="20"/>
              </w:rPr>
              <w:t> </w:t>
            </w:r>
            <w:r>
              <w:rPr>
                <w:sz w:val="20"/>
              </w:rPr>
              <w:t>томографии</w:t>
            </w:r>
          </w:p>
        </w:tc>
      </w:tr>
      <w:tr>
        <w:trPr>
          <w:trHeight w:val="830" w:hRule="atLeast"/>
        </w:trPr>
        <w:tc>
          <w:tcPr>
            <w:tcW w:w="1811" w:type="dxa"/>
          </w:tcPr>
          <w:p>
            <w:pPr>
              <w:pStyle w:val="TableParagraph"/>
              <w:spacing w:before="120"/>
              <w:ind w:left="40" w:right="99"/>
              <w:jc w:val="center"/>
              <w:rPr>
                <w:sz w:val="20"/>
              </w:rPr>
            </w:pPr>
            <w:r>
              <w:rPr>
                <w:sz w:val="20"/>
              </w:rPr>
              <w:t>C50.2,</w:t>
            </w:r>
            <w:r>
              <w:rPr>
                <w:spacing w:val="-5"/>
                <w:sz w:val="20"/>
              </w:rPr>
              <w:t> </w:t>
            </w:r>
            <w:r>
              <w:rPr>
                <w:sz w:val="20"/>
              </w:rPr>
              <w:t>C50.9,</w:t>
            </w:r>
            <w:r>
              <w:rPr>
                <w:spacing w:val="-5"/>
                <w:sz w:val="20"/>
              </w:rPr>
              <w:t> </w:t>
            </w:r>
            <w:r>
              <w:rPr>
                <w:spacing w:val="-2"/>
                <w:sz w:val="20"/>
              </w:rPr>
              <w:t>C50.3</w:t>
            </w:r>
          </w:p>
        </w:tc>
        <w:tc>
          <w:tcPr>
            <w:tcW w:w="3168" w:type="dxa"/>
          </w:tcPr>
          <w:p>
            <w:pPr>
              <w:pStyle w:val="TableParagraph"/>
              <w:spacing w:line="249" w:lineRule="auto" w:before="120"/>
              <w:ind w:left="111" w:right="89"/>
              <w:rPr>
                <w:sz w:val="20"/>
              </w:rPr>
            </w:pPr>
            <w:r>
              <w:rPr>
                <w:sz w:val="20"/>
              </w:rPr>
              <w:t>злокачественные</w:t>
            </w:r>
            <w:r>
              <w:rPr>
                <w:spacing w:val="-13"/>
                <w:sz w:val="20"/>
              </w:rPr>
              <w:t> </w:t>
            </w:r>
            <w:r>
              <w:rPr>
                <w:sz w:val="20"/>
              </w:rPr>
              <w:t>новообразования молочной железы</w:t>
            </w:r>
          </w:p>
          <w:p>
            <w:pPr>
              <w:pStyle w:val="TableParagraph"/>
              <w:spacing w:line="210" w:lineRule="exact" w:before="2"/>
              <w:ind w:left="111"/>
              <w:rPr>
                <w:sz w:val="20"/>
              </w:rPr>
            </w:pPr>
            <w:r>
              <w:rPr>
                <w:sz w:val="20"/>
              </w:rPr>
              <w:t>IIa,</w:t>
            </w:r>
            <w:r>
              <w:rPr>
                <w:spacing w:val="-3"/>
                <w:sz w:val="20"/>
              </w:rPr>
              <w:t> </w:t>
            </w:r>
            <w:r>
              <w:rPr>
                <w:sz w:val="20"/>
              </w:rPr>
              <w:t>IIb,</w:t>
            </w:r>
            <w:r>
              <w:rPr>
                <w:spacing w:val="-4"/>
                <w:sz w:val="20"/>
              </w:rPr>
              <w:t> </w:t>
            </w:r>
            <w:r>
              <w:rPr>
                <w:sz w:val="20"/>
              </w:rPr>
              <w:t>IIIa</w:t>
            </w:r>
            <w:r>
              <w:rPr>
                <w:spacing w:val="-4"/>
                <w:sz w:val="20"/>
              </w:rPr>
              <w:t> </w:t>
            </w:r>
            <w:r>
              <w:rPr>
                <w:spacing w:val="-2"/>
                <w:sz w:val="20"/>
              </w:rPr>
              <w:t>стадии</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ight="361"/>
              <w:rPr>
                <w:sz w:val="20"/>
              </w:rPr>
            </w:pPr>
            <w:r>
              <w:rPr>
                <w:spacing w:val="-2"/>
                <w:sz w:val="20"/>
              </w:rPr>
              <w:t>видеоассистированная </w:t>
            </w:r>
            <w:r>
              <w:rPr>
                <w:sz w:val="20"/>
              </w:rPr>
              <w:t>парастернальная</w:t>
            </w:r>
            <w:r>
              <w:rPr>
                <w:spacing w:val="-13"/>
                <w:sz w:val="20"/>
              </w:rPr>
              <w:t> </w:t>
            </w:r>
            <w:r>
              <w:rPr>
                <w:sz w:val="20"/>
              </w:rPr>
              <w:t>лимфаденэктомия</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864" w:val="left" w:leader="none"/>
        </w:tabs>
        <w:spacing w:line="249" w:lineRule="auto" w:before="91"/>
        <w:ind w:left="5865" w:right="25" w:hanging="1215"/>
        <w:jc w:val="left"/>
        <w:rPr>
          <w:sz w:val="20"/>
        </w:rPr>
      </w:pPr>
      <w:r>
        <w:rPr>
          <w:spacing w:val="-4"/>
          <w:sz w:val="20"/>
        </w:rPr>
        <w:t>C53</w:t>
      </w:r>
      <w:r>
        <w:rPr>
          <w:sz w:val="20"/>
        </w:rPr>
        <w:tab/>
        <w:t>злокачественные</w:t>
      </w:r>
      <w:r>
        <w:rPr>
          <w:spacing w:val="-13"/>
          <w:sz w:val="20"/>
        </w:rPr>
        <w:t> </w:t>
      </w:r>
      <w:r>
        <w:rPr>
          <w:sz w:val="20"/>
        </w:rPr>
        <w:t>новообразования шейки матки (I - III стадия).</w:t>
      </w:r>
    </w:p>
    <w:p>
      <w:pPr>
        <w:spacing w:line="249" w:lineRule="auto" w:before="1"/>
        <w:ind w:left="5865" w:right="-10" w:firstLine="0"/>
        <w:jc w:val="left"/>
        <w:rPr>
          <w:sz w:val="20"/>
        </w:rPr>
      </w:pPr>
      <w:r>
        <w:rPr>
          <w:sz w:val="20"/>
        </w:rPr>
        <w:t>Местнораспространенные формы злокачественных</w:t>
      </w:r>
      <w:r>
        <w:rPr>
          <w:spacing w:val="-13"/>
          <w:sz w:val="20"/>
        </w:rPr>
        <w:t> </w:t>
      </w:r>
      <w:r>
        <w:rPr>
          <w:sz w:val="20"/>
        </w:rPr>
        <w:t>новообразований шейки матки, осложненные </w:t>
      </w:r>
      <w:r>
        <w:rPr>
          <w:spacing w:val="-2"/>
          <w:sz w:val="20"/>
        </w:rPr>
        <w:t>кровотечением</w:t>
      </w:r>
    </w:p>
    <w:p>
      <w:pPr>
        <w:spacing w:line="249" w:lineRule="auto" w:before="91"/>
        <w:ind w:left="132" w:right="0" w:firstLine="0"/>
        <w:jc w:val="left"/>
        <w:rPr>
          <w:sz w:val="20"/>
        </w:rPr>
      </w:pPr>
      <w:r>
        <w:rPr/>
        <w:br w:type="column"/>
      </w:r>
      <w:r>
        <w:rPr>
          <w:spacing w:val="-2"/>
          <w:sz w:val="20"/>
        </w:rPr>
        <w:t>хирургическое лечение</w:t>
      </w:r>
    </w:p>
    <w:p>
      <w:pPr>
        <w:spacing w:line="249" w:lineRule="auto" w:before="91"/>
        <w:ind w:left="401" w:right="2074" w:firstLine="0"/>
        <w:jc w:val="left"/>
        <w:rPr>
          <w:sz w:val="20"/>
        </w:rPr>
      </w:pPr>
      <w:r>
        <w:rPr/>
        <w:br w:type="column"/>
      </w:r>
      <w:r>
        <w:rPr>
          <w:sz w:val="20"/>
        </w:rPr>
        <w:t>экстирпация</w:t>
      </w:r>
      <w:r>
        <w:rPr>
          <w:spacing w:val="-12"/>
          <w:sz w:val="20"/>
        </w:rPr>
        <w:t> </w:t>
      </w:r>
      <w:r>
        <w:rPr>
          <w:sz w:val="20"/>
        </w:rPr>
        <w:t>матки</w:t>
      </w:r>
      <w:r>
        <w:rPr>
          <w:spacing w:val="-12"/>
          <w:sz w:val="20"/>
        </w:rPr>
        <w:t> </w:t>
      </w:r>
      <w:r>
        <w:rPr>
          <w:sz w:val="20"/>
        </w:rPr>
        <w:t>с</w:t>
      </w:r>
      <w:r>
        <w:rPr>
          <w:spacing w:val="-11"/>
          <w:sz w:val="20"/>
        </w:rPr>
        <w:t> </w:t>
      </w:r>
      <w:r>
        <w:rPr>
          <w:sz w:val="20"/>
        </w:rPr>
        <w:t>придатками </w:t>
      </w:r>
      <w:r>
        <w:rPr>
          <w:spacing w:val="-2"/>
          <w:sz w:val="20"/>
        </w:rPr>
        <w:t>видеоэндоскопическая</w:t>
      </w:r>
    </w:p>
    <w:p>
      <w:pPr>
        <w:pStyle w:val="BodyText"/>
        <w:rPr>
          <w:sz w:val="21"/>
        </w:rPr>
      </w:pPr>
    </w:p>
    <w:p>
      <w:pPr>
        <w:spacing w:line="249" w:lineRule="auto" w:before="0"/>
        <w:ind w:left="401" w:right="2074" w:firstLine="0"/>
        <w:jc w:val="left"/>
        <w:rPr>
          <w:sz w:val="20"/>
        </w:rPr>
      </w:pPr>
      <w:r>
        <w:rPr>
          <w:sz w:val="20"/>
        </w:rPr>
        <w:t>экстирпация</w:t>
      </w:r>
      <w:r>
        <w:rPr>
          <w:spacing w:val="-12"/>
          <w:sz w:val="20"/>
        </w:rPr>
        <w:t> </w:t>
      </w:r>
      <w:r>
        <w:rPr>
          <w:sz w:val="20"/>
        </w:rPr>
        <w:t>матки</w:t>
      </w:r>
      <w:r>
        <w:rPr>
          <w:spacing w:val="-12"/>
          <w:sz w:val="20"/>
        </w:rPr>
        <w:t> </w:t>
      </w:r>
      <w:r>
        <w:rPr>
          <w:sz w:val="20"/>
        </w:rPr>
        <w:t>без</w:t>
      </w:r>
      <w:r>
        <w:rPr>
          <w:spacing w:val="-10"/>
          <w:sz w:val="20"/>
        </w:rPr>
        <w:t> </w:t>
      </w:r>
      <w:r>
        <w:rPr>
          <w:sz w:val="20"/>
        </w:rPr>
        <w:t>придатков </w:t>
      </w:r>
      <w:r>
        <w:rPr>
          <w:spacing w:val="-2"/>
          <w:sz w:val="20"/>
        </w:rPr>
        <w:t>видеоэндоскопическая </w:t>
      </w:r>
      <w:r>
        <w:rPr>
          <w:sz w:val="20"/>
        </w:rPr>
        <w:t>лапароскопическая</w:t>
      </w:r>
      <w:r>
        <w:rPr>
          <w:spacing w:val="-13"/>
          <w:sz w:val="20"/>
        </w:rPr>
        <w:t> </w:t>
      </w:r>
      <w:r>
        <w:rPr>
          <w:sz w:val="20"/>
        </w:rPr>
        <w:t>транспозиция </w:t>
      </w:r>
      <w:r>
        <w:rPr>
          <w:spacing w:val="-2"/>
          <w:sz w:val="20"/>
        </w:rPr>
        <w:t>яичников</w:t>
      </w:r>
    </w:p>
    <w:p>
      <w:pPr>
        <w:pStyle w:val="BodyText"/>
        <w:spacing w:before="2"/>
        <w:rPr>
          <w:sz w:val="21"/>
        </w:rPr>
      </w:pPr>
    </w:p>
    <w:p>
      <w:pPr>
        <w:spacing w:line="249" w:lineRule="auto" w:before="0"/>
        <w:ind w:left="401" w:right="2074" w:firstLine="0"/>
        <w:jc w:val="left"/>
        <w:rPr>
          <w:sz w:val="20"/>
        </w:rPr>
      </w:pPr>
      <w:r>
        <w:rPr>
          <w:sz w:val="20"/>
        </w:rPr>
        <w:t>селективная эмболизация (химиоэмболизация)</w:t>
      </w:r>
      <w:r>
        <w:rPr>
          <w:spacing w:val="-13"/>
          <w:sz w:val="20"/>
        </w:rPr>
        <w:t> </w:t>
      </w:r>
      <w:r>
        <w:rPr>
          <w:sz w:val="20"/>
        </w:rPr>
        <w:t>маточных </w:t>
      </w:r>
      <w:r>
        <w:rPr>
          <w:spacing w:val="-2"/>
          <w:sz w:val="20"/>
        </w:rPr>
        <w:t>артерий</w:t>
      </w:r>
    </w:p>
    <w:p>
      <w:pPr>
        <w:spacing w:after="0" w:line="249" w:lineRule="auto"/>
        <w:jc w:val="left"/>
        <w:rPr>
          <w:sz w:val="20"/>
        </w:rPr>
        <w:sectPr>
          <w:type w:val="continuous"/>
          <w:pgSz w:w="16850" w:h="11910" w:orient="landscape"/>
          <w:pgMar w:header="753" w:footer="0" w:top="1080" w:bottom="280" w:left="400" w:right="400"/>
          <w:cols w:num="3" w:equalWidth="0">
            <w:col w:w="8850" w:space="40"/>
            <w:col w:w="1389" w:space="39"/>
            <w:col w:w="5732"/>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spacing w:line="249" w:lineRule="auto" w:before="91"/>
        <w:ind w:left="5865" w:right="0" w:firstLine="0"/>
        <w:jc w:val="left"/>
        <w:rPr>
          <w:sz w:val="20"/>
        </w:rPr>
      </w:pPr>
      <w:r>
        <w:rPr>
          <w:spacing w:val="-2"/>
          <w:sz w:val="20"/>
        </w:rPr>
        <w:t>вирусассоциированные злокачественные новообразования </w:t>
      </w:r>
      <w:r>
        <w:rPr>
          <w:sz w:val="20"/>
        </w:rPr>
        <w:t>шейки матки in situ</w:t>
      </w:r>
    </w:p>
    <w:p>
      <w:pPr>
        <w:spacing w:line="249" w:lineRule="auto" w:before="91"/>
        <w:ind w:left="159"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многокурсовая</w:t>
      </w:r>
      <w:r>
        <w:rPr>
          <w:spacing w:val="-13"/>
          <w:sz w:val="20"/>
        </w:rPr>
        <w:t> </w:t>
      </w:r>
      <w:r>
        <w:rPr>
          <w:sz w:val="20"/>
        </w:rPr>
        <w:t>фотодинамическая терапия шейки матки</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6" w:space="39"/>
            <w:col w:w="5733"/>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line="249" w:lineRule="auto" w:before="91"/>
        <w:ind w:left="5865" w:right="0" w:hanging="1215"/>
        <w:jc w:val="left"/>
        <w:rPr>
          <w:sz w:val="20"/>
        </w:rPr>
      </w:pPr>
      <w:r>
        <w:rPr>
          <w:spacing w:val="-4"/>
          <w:sz w:val="20"/>
        </w:rPr>
        <w:t>C54</w:t>
      </w:r>
      <w:r>
        <w:rPr>
          <w:sz w:val="20"/>
        </w:rPr>
        <w:tab/>
      </w:r>
      <w:r>
        <w:rPr>
          <w:spacing w:val="-2"/>
          <w:sz w:val="20"/>
        </w:rPr>
        <w:t>злокачественные новообразования </w:t>
      </w:r>
      <w:r>
        <w:rPr>
          <w:sz w:val="20"/>
        </w:rPr>
        <w:t>эндометрия in situ - III стадии</w:t>
      </w:r>
    </w:p>
    <w:p>
      <w:pPr>
        <w:spacing w:line="249" w:lineRule="auto" w:before="91"/>
        <w:ind w:left="159" w:right="0" w:firstLine="0"/>
        <w:jc w:val="left"/>
        <w:rPr>
          <w:sz w:val="20"/>
        </w:rPr>
      </w:pPr>
      <w:r>
        <w:rPr/>
        <w:br w:type="column"/>
      </w:r>
      <w:r>
        <w:rPr>
          <w:spacing w:val="-2"/>
          <w:sz w:val="20"/>
        </w:rPr>
        <w:t>хирургическое лечение</w:t>
      </w:r>
    </w:p>
    <w:p>
      <w:pPr>
        <w:spacing w:line="249" w:lineRule="auto" w:before="91"/>
        <w:ind w:left="400" w:right="1968" w:firstLine="0"/>
        <w:jc w:val="left"/>
        <w:rPr>
          <w:sz w:val="20"/>
        </w:rPr>
      </w:pPr>
      <w:r>
        <w:rPr/>
        <w:br w:type="column"/>
      </w:r>
      <w:r>
        <w:rPr>
          <w:sz w:val="20"/>
        </w:rPr>
        <w:t>гистерорезектоскопия с фотодинамической</w:t>
      </w:r>
      <w:r>
        <w:rPr>
          <w:spacing w:val="-13"/>
          <w:sz w:val="20"/>
        </w:rPr>
        <w:t> </w:t>
      </w:r>
      <w:r>
        <w:rPr>
          <w:sz w:val="20"/>
        </w:rPr>
        <w:t>терапией</w:t>
      </w:r>
      <w:r>
        <w:rPr>
          <w:spacing w:val="-12"/>
          <w:sz w:val="20"/>
        </w:rPr>
        <w:t> </w:t>
      </w:r>
      <w:r>
        <w:rPr>
          <w:sz w:val="20"/>
        </w:rPr>
        <w:t>и аблацией эндометрия</w:t>
      </w:r>
    </w:p>
    <w:p>
      <w:pPr>
        <w:pStyle w:val="BodyText"/>
        <w:spacing w:before="1"/>
        <w:rPr>
          <w:sz w:val="21"/>
        </w:rPr>
      </w:pPr>
    </w:p>
    <w:p>
      <w:pPr>
        <w:spacing w:line="249" w:lineRule="auto" w:before="0"/>
        <w:ind w:left="400" w:right="2074" w:firstLine="0"/>
        <w:jc w:val="left"/>
        <w:rPr>
          <w:sz w:val="20"/>
        </w:rPr>
      </w:pPr>
      <w:r>
        <w:rPr>
          <w:sz w:val="20"/>
        </w:rPr>
        <w:t>экстирпация</w:t>
      </w:r>
      <w:r>
        <w:rPr>
          <w:spacing w:val="-11"/>
          <w:sz w:val="20"/>
        </w:rPr>
        <w:t> </w:t>
      </w:r>
      <w:r>
        <w:rPr>
          <w:sz w:val="20"/>
        </w:rPr>
        <w:t>матки</w:t>
      </w:r>
      <w:r>
        <w:rPr>
          <w:spacing w:val="-11"/>
          <w:sz w:val="20"/>
        </w:rPr>
        <w:t> </w:t>
      </w:r>
      <w:r>
        <w:rPr>
          <w:sz w:val="20"/>
        </w:rPr>
        <w:t>с</w:t>
      </w:r>
      <w:r>
        <w:rPr>
          <w:spacing w:val="-10"/>
          <w:sz w:val="20"/>
        </w:rPr>
        <w:t> </w:t>
      </w:r>
      <w:r>
        <w:rPr>
          <w:sz w:val="20"/>
        </w:rPr>
        <w:t>придатками </w:t>
      </w:r>
      <w:r>
        <w:rPr>
          <w:spacing w:val="-2"/>
          <w:sz w:val="20"/>
        </w:rPr>
        <w:t>видеоэндоскопическая</w:t>
      </w:r>
    </w:p>
    <w:p>
      <w:pPr>
        <w:pStyle w:val="BodyText"/>
        <w:rPr>
          <w:sz w:val="21"/>
        </w:rPr>
      </w:pPr>
    </w:p>
    <w:p>
      <w:pPr>
        <w:spacing w:line="249" w:lineRule="auto" w:before="0"/>
        <w:ind w:left="400" w:right="2074" w:firstLine="0"/>
        <w:jc w:val="left"/>
        <w:rPr>
          <w:sz w:val="20"/>
        </w:rPr>
      </w:pPr>
      <w:r>
        <w:rPr>
          <w:sz w:val="20"/>
        </w:rPr>
        <w:t>влагалищная экстирпация матки с придатками</w:t>
      </w:r>
      <w:r>
        <w:rPr>
          <w:spacing w:val="-13"/>
          <w:sz w:val="20"/>
        </w:rPr>
        <w:t> </w:t>
      </w:r>
      <w:r>
        <w:rPr>
          <w:sz w:val="20"/>
        </w:rPr>
        <w:t>с</w:t>
      </w:r>
      <w:r>
        <w:rPr>
          <w:spacing w:val="-12"/>
          <w:sz w:val="20"/>
        </w:rPr>
        <w:t> </w:t>
      </w:r>
      <w:r>
        <w:rPr>
          <w:sz w:val="20"/>
        </w:rPr>
        <w:t>видеоэндоскопической </w:t>
      </w:r>
      <w:r>
        <w:rPr>
          <w:spacing w:val="-2"/>
          <w:sz w:val="20"/>
        </w:rPr>
        <w:t>ассистенцией</w:t>
      </w:r>
    </w:p>
    <w:p>
      <w:pPr>
        <w:pStyle w:val="BodyText"/>
        <w:spacing w:before="1"/>
        <w:rPr>
          <w:sz w:val="21"/>
        </w:rPr>
      </w:pPr>
    </w:p>
    <w:p>
      <w:pPr>
        <w:spacing w:line="249" w:lineRule="auto" w:before="0"/>
        <w:ind w:left="400" w:right="2074" w:firstLine="0"/>
        <w:jc w:val="left"/>
        <w:rPr>
          <w:sz w:val="20"/>
        </w:rPr>
      </w:pPr>
      <w:r>
        <w:rPr>
          <w:sz w:val="20"/>
        </w:rPr>
        <w:t>экстирпация</w:t>
      </w:r>
      <w:r>
        <w:rPr>
          <w:spacing w:val="-10"/>
          <w:sz w:val="20"/>
        </w:rPr>
        <w:t> </w:t>
      </w:r>
      <w:r>
        <w:rPr>
          <w:sz w:val="20"/>
        </w:rPr>
        <w:t>матки</w:t>
      </w:r>
      <w:r>
        <w:rPr>
          <w:spacing w:val="-10"/>
          <w:sz w:val="20"/>
        </w:rPr>
        <w:t> </w:t>
      </w:r>
      <w:r>
        <w:rPr>
          <w:sz w:val="20"/>
        </w:rPr>
        <w:t>с</w:t>
      </w:r>
      <w:r>
        <w:rPr>
          <w:spacing w:val="-9"/>
          <w:sz w:val="20"/>
        </w:rPr>
        <w:t> </w:t>
      </w:r>
      <w:r>
        <w:rPr>
          <w:sz w:val="20"/>
        </w:rPr>
        <w:t>маточными трубами видеоэндоскопическая</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7" w:space="39"/>
            <w:col w:w="5732"/>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line="249" w:lineRule="auto" w:before="91"/>
        <w:ind w:left="5865" w:right="0" w:hanging="1215"/>
        <w:jc w:val="left"/>
        <w:rPr>
          <w:sz w:val="20"/>
        </w:rPr>
      </w:pPr>
      <w:r>
        <w:rPr>
          <w:spacing w:val="-4"/>
          <w:sz w:val="20"/>
        </w:rPr>
        <w:t>C56</w:t>
      </w:r>
      <w:r>
        <w:rPr>
          <w:sz w:val="20"/>
        </w:rPr>
        <w:tab/>
      </w:r>
      <w:r>
        <w:rPr>
          <w:spacing w:val="-2"/>
          <w:sz w:val="20"/>
        </w:rPr>
        <w:t>злокачественные новообразования </w:t>
      </w:r>
      <w:r>
        <w:rPr>
          <w:sz w:val="20"/>
        </w:rPr>
        <w:t>яичников I стадии</w:t>
      </w:r>
    </w:p>
    <w:p>
      <w:pPr>
        <w:spacing w:line="249" w:lineRule="auto" w:before="91"/>
        <w:ind w:left="159"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лапароскопическая</w:t>
      </w:r>
      <w:r>
        <w:rPr>
          <w:spacing w:val="-13"/>
          <w:sz w:val="20"/>
        </w:rPr>
        <w:t> </w:t>
      </w:r>
      <w:r>
        <w:rPr>
          <w:sz w:val="20"/>
        </w:rPr>
        <w:t>аднексэктомия</w:t>
      </w:r>
      <w:r>
        <w:rPr>
          <w:spacing w:val="-12"/>
          <w:sz w:val="20"/>
        </w:rPr>
        <w:t> </w:t>
      </w:r>
      <w:r>
        <w:rPr>
          <w:sz w:val="20"/>
        </w:rPr>
        <w:t>или резекция яичников, субтотальная резекция большого сальника</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6" w:space="39"/>
            <w:col w:w="573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8"/>
        <w:gridCol w:w="3391"/>
        <w:gridCol w:w="1575"/>
        <w:gridCol w:w="3483"/>
      </w:tblGrid>
      <w:tr>
        <w:trPr>
          <w:trHeight w:val="1310" w:hRule="atLeast"/>
        </w:trPr>
        <w:tc>
          <w:tcPr>
            <w:tcW w:w="1148" w:type="dxa"/>
          </w:tcPr>
          <w:p>
            <w:pPr>
              <w:pStyle w:val="TableParagraph"/>
              <w:rPr>
                <w:sz w:val="18"/>
              </w:rPr>
            </w:pPr>
          </w:p>
        </w:tc>
        <w:tc>
          <w:tcPr>
            <w:tcW w:w="3391" w:type="dxa"/>
          </w:tcPr>
          <w:p>
            <w:pPr>
              <w:pStyle w:val="TableParagraph"/>
              <w:rPr>
                <w:sz w:val="18"/>
              </w:rPr>
            </w:pPr>
          </w:p>
        </w:tc>
        <w:tc>
          <w:tcPr>
            <w:tcW w:w="1575" w:type="dxa"/>
          </w:tcPr>
          <w:p>
            <w:pPr>
              <w:pStyle w:val="TableParagraph"/>
              <w:rPr>
                <w:sz w:val="18"/>
              </w:rPr>
            </w:pPr>
          </w:p>
        </w:tc>
        <w:tc>
          <w:tcPr>
            <w:tcW w:w="3483" w:type="dxa"/>
          </w:tcPr>
          <w:p>
            <w:pPr>
              <w:pStyle w:val="TableParagraph"/>
              <w:spacing w:line="249" w:lineRule="auto"/>
              <w:ind w:left="220" w:right="297"/>
              <w:rPr>
                <w:sz w:val="20"/>
              </w:rPr>
            </w:pPr>
            <w:r>
              <w:rPr>
                <w:sz w:val="20"/>
              </w:rPr>
              <w:t>лапароскопическая</w:t>
            </w:r>
            <w:r>
              <w:rPr>
                <w:spacing w:val="-13"/>
                <w:sz w:val="20"/>
              </w:rPr>
              <w:t> </w:t>
            </w:r>
            <w:r>
              <w:rPr>
                <w:sz w:val="20"/>
              </w:rPr>
              <w:t>аднексэктомия односторонняя с резекцией контрлатерального яичника и субтотальная резекция большого </w:t>
            </w:r>
            <w:r>
              <w:rPr>
                <w:spacing w:val="-2"/>
                <w:sz w:val="20"/>
              </w:rPr>
              <w:t>сальника</w:t>
            </w:r>
          </w:p>
        </w:tc>
      </w:tr>
      <w:tr>
        <w:trPr>
          <w:trHeight w:val="1200" w:hRule="atLeast"/>
        </w:trPr>
        <w:tc>
          <w:tcPr>
            <w:tcW w:w="1148" w:type="dxa"/>
          </w:tcPr>
          <w:p>
            <w:pPr>
              <w:pStyle w:val="TableParagraph"/>
              <w:spacing w:before="120"/>
              <w:ind w:left="39" w:right="319"/>
              <w:jc w:val="center"/>
              <w:rPr>
                <w:sz w:val="20"/>
              </w:rPr>
            </w:pPr>
            <w:r>
              <w:rPr>
                <w:sz w:val="20"/>
              </w:rPr>
              <w:t>C51,</w:t>
            </w:r>
            <w:r>
              <w:rPr>
                <w:spacing w:val="-3"/>
                <w:sz w:val="20"/>
              </w:rPr>
              <w:t> </w:t>
            </w:r>
            <w:r>
              <w:rPr>
                <w:spacing w:val="-5"/>
                <w:sz w:val="20"/>
              </w:rPr>
              <w:t>C52</w:t>
            </w:r>
          </w:p>
        </w:tc>
        <w:tc>
          <w:tcPr>
            <w:tcW w:w="3391" w:type="dxa"/>
          </w:tcPr>
          <w:p>
            <w:pPr>
              <w:pStyle w:val="TableParagraph"/>
              <w:spacing w:line="249" w:lineRule="auto" w:before="120"/>
              <w:ind w:left="332" w:right="91"/>
              <w:rPr>
                <w:sz w:val="20"/>
              </w:rPr>
            </w:pPr>
            <w:r>
              <w:rPr>
                <w:sz w:val="20"/>
              </w:rPr>
              <w:t>злокачественные</w:t>
            </w:r>
            <w:r>
              <w:rPr>
                <w:spacing w:val="-13"/>
                <w:sz w:val="20"/>
              </w:rPr>
              <w:t> </w:t>
            </w:r>
            <w:r>
              <w:rPr>
                <w:sz w:val="20"/>
              </w:rPr>
              <w:t>новообразования вульвы (0 - I стадия), злокачественные</w:t>
            </w:r>
            <w:r>
              <w:rPr>
                <w:spacing w:val="-13"/>
                <w:sz w:val="20"/>
              </w:rPr>
              <w:t> </w:t>
            </w:r>
            <w:r>
              <w:rPr>
                <w:sz w:val="20"/>
              </w:rPr>
              <w:t>новообразования </w:t>
            </w:r>
            <w:r>
              <w:rPr>
                <w:spacing w:val="-2"/>
                <w:sz w:val="20"/>
              </w:rPr>
              <w:t>влагалища</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318"/>
              <w:rPr>
                <w:sz w:val="20"/>
              </w:rPr>
            </w:pPr>
            <w:r>
              <w:rPr>
                <w:sz w:val="20"/>
              </w:rPr>
              <w:t>многокурсовая</w:t>
            </w:r>
            <w:r>
              <w:rPr>
                <w:spacing w:val="-13"/>
                <w:sz w:val="20"/>
              </w:rPr>
              <w:t> </w:t>
            </w:r>
            <w:r>
              <w:rPr>
                <w:sz w:val="20"/>
              </w:rPr>
              <w:t>фотодинамическая терапия, пролонгированная фотодинамическая терапия, в том числе</w:t>
            </w:r>
            <w:r>
              <w:rPr>
                <w:spacing w:val="-8"/>
                <w:sz w:val="20"/>
              </w:rPr>
              <w:t> </w:t>
            </w:r>
            <w:r>
              <w:rPr>
                <w:sz w:val="20"/>
              </w:rPr>
              <w:t>в</w:t>
            </w:r>
            <w:r>
              <w:rPr>
                <w:spacing w:val="-9"/>
                <w:sz w:val="20"/>
              </w:rPr>
              <w:t> </w:t>
            </w:r>
            <w:r>
              <w:rPr>
                <w:sz w:val="20"/>
              </w:rPr>
              <w:t>сочетании</w:t>
            </w:r>
            <w:r>
              <w:rPr>
                <w:spacing w:val="-9"/>
                <w:sz w:val="20"/>
              </w:rPr>
              <w:t> </w:t>
            </w:r>
            <w:r>
              <w:rPr>
                <w:sz w:val="20"/>
              </w:rPr>
              <w:t>с</w:t>
            </w:r>
            <w:r>
              <w:rPr>
                <w:spacing w:val="-8"/>
                <w:sz w:val="20"/>
              </w:rPr>
              <w:t> </w:t>
            </w:r>
            <w:r>
              <w:rPr>
                <w:sz w:val="20"/>
              </w:rPr>
              <w:t>гипертермией</w:t>
            </w:r>
          </w:p>
        </w:tc>
      </w:tr>
      <w:tr>
        <w:trPr>
          <w:trHeight w:val="1200" w:hRule="atLeast"/>
        </w:trPr>
        <w:tc>
          <w:tcPr>
            <w:tcW w:w="1148" w:type="dxa"/>
          </w:tcPr>
          <w:p>
            <w:pPr>
              <w:pStyle w:val="TableParagraph"/>
              <w:spacing w:before="120"/>
              <w:ind w:left="254" w:right="535"/>
              <w:jc w:val="center"/>
              <w:rPr>
                <w:sz w:val="20"/>
              </w:rPr>
            </w:pPr>
            <w:r>
              <w:rPr>
                <w:spacing w:val="-5"/>
                <w:sz w:val="20"/>
              </w:rPr>
              <w:t>C61</w:t>
            </w:r>
          </w:p>
        </w:tc>
        <w:tc>
          <w:tcPr>
            <w:tcW w:w="3391" w:type="dxa"/>
          </w:tcPr>
          <w:p>
            <w:pPr>
              <w:pStyle w:val="TableParagraph"/>
              <w:spacing w:line="249" w:lineRule="auto" w:before="120"/>
              <w:ind w:left="332" w:right="99"/>
              <w:rPr>
                <w:sz w:val="20"/>
              </w:rPr>
            </w:pPr>
            <w:r>
              <w:rPr>
                <w:spacing w:val="-2"/>
                <w:sz w:val="20"/>
              </w:rPr>
              <w:t>местнораспространенные </w:t>
            </w:r>
            <w:r>
              <w:rPr>
                <w:sz w:val="20"/>
              </w:rPr>
              <w:t>злокачественные</w:t>
            </w:r>
            <w:r>
              <w:rPr>
                <w:spacing w:val="-13"/>
                <w:sz w:val="20"/>
              </w:rPr>
              <w:t> </w:t>
            </w:r>
            <w:r>
              <w:rPr>
                <w:sz w:val="20"/>
              </w:rPr>
              <w:t>новообразования предстательной железы III стадии </w:t>
            </w:r>
            <w:r>
              <w:rPr>
                <w:spacing w:val="-2"/>
                <w:sz w:val="20"/>
              </w:rPr>
              <w:t>(T3a-T4NxMo)</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935"/>
              <w:rPr>
                <w:sz w:val="20"/>
              </w:rPr>
            </w:pPr>
            <w:r>
              <w:rPr>
                <w:sz w:val="20"/>
              </w:rPr>
              <w:t>лапароскопическая</w:t>
            </w:r>
            <w:r>
              <w:rPr>
                <w:spacing w:val="-13"/>
                <w:sz w:val="20"/>
              </w:rPr>
              <w:t> </w:t>
            </w:r>
            <w:r>
              <w:rPr>
                <w:sz w:val="20"/>
              </w:rPr>
              <w:t>тазовая </w:t>
            </w:r>
            <w:r>
              <w:rPr>
                <w:spacing w:val="-2"/>
                <w:sz w:val="20"/>
              </w:rPr>
              <w:t>лимфаденэктомия</w:t>
            </w:r>
          </w:p>
        </w:tc>
      </w:tr>
      <w:tr>
        <w:trPr>
          <w:trHeight w:val="1560" w:hRule="atLeast"/>
        </w:trPr>
        <w:tc>
          <w:tcPr>
            <w:tcW w:w="1148" w:type="dxa"/>
          </w:tcPr>
          <w:p>
            <w:pPr>
              <w:pStyle w:val="TableParagraph"/>
              <w:rPr>
                <w:sz w:val="18"/>
              </w:rPr>
            </w:pPr>
          </w:p>
        </w:tc>
        <w:tc>
          <w:tcPr>
            <w:tcW w:w="3391" w:type="dxa"/>
          </w:tcPr>
          <w:p>
            <w:pPr>
              <w:pStyle w:val="TableParagraph"/>
              <w:spacing w:line="240" w:lineRule="atLeast" w:before="100"/>
              <w:ind w:left="332" w:right="91"/>
              <w:rPr>
                <w:sz w:val="20"/>
              </w:rPr>
            </w:pPr>
            <w:r>
              <w:rPr>
                <w:sz w:val="20"/>
              </w:rPr>
              <w:t>локализованные злокачественные новообразования предстательной железы</w:t>
            </w:r>
            <w:r>
              <w:rPr>
                <w:spacing w:val="-8"/>
                <w:sz w:val="20"/>
              </w:rPr>
              <w:t> </w:t>
            </w:r>
            <w:r>
              <w:rPr>
                <w:sz w:val="20"/>
              </w:rPr>
              <w:t>(I</w:t>
            </w:r>
            <w:r>
              <w:rPr>
                <w:spacing w:val="-7"/>
                <w:sz w:val="20"/>
              </w:rPr>
              <w:t> </w:t>
            </w:r>
            <w:r>
              <w:rPr>
                <w:sz w:val="20"/>
              </w:rPr>
              <w:t>-</w:t>
            </w:r>
            <w:r>
              <w:rPr>
                <w:spacing w:val="-9"/>
                <w:sz w:val="20"/>
              </w:rPr>
              <w:t> </w:t>
            </w:r>
            <w:r>
              <w:rPr>
                <w:sz w:val="20"/>
              </w:rPr>
              <w:t>II</w:t>
            </w:r>
            <w:r>
              <w:rPr>
                <w:spacing w:val="-8"/>
                <w:sz w:val="20"/>
              </w:rPr>
              <w:t> </w:t>
            </w:r>
            <w:r>
              <w:rPr>
                <w:sz w:val="20"/>
              </w:rPr>
              <w:t>стадия</w:t>
            </w:r>
            <w:r>
              <w:rPr>
                <w:spacing w:val="-8"/>
                <w:sz w:val="20"/>
              </w:rPr>
              <w:t> </w:t>
            </w:r>
            <w:r>
              <w:rPr>
                <w:sz w:val="20"/>
              </w:rPr>
              <w:t>(T1-2cN0M0), местный рецидив после хирургического или лучевого </w:t>
            </w:r>
            <w:r>
              <w:rPr>
                <w:spacing w:val="-2"/>
                <w:sz w:val="20"/>
              </w:rPr>
              <w:t>лечения</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39"/>
              <w:rPr>
                <w:sz w:val="20"/>
              </w:rPr>
            </w:pPr>
            <w:r>
              <w:rPr>
                <w:sz w:val="20"/>
              </w:rPr>
              <w:t>интерстициальная</w:t>
            </w:r>
            <w:r>
              <w:rPr>
                <w:spacing w:val="-13"/>
                <w:sz w:val="20"/>
              </w:rPr>
              <w:t> </w:t>
            </w:r>
            <w:r>
              <w:rPr>
                <w:sz w:val="20"/>
              </w:rPr>
              <w:t>фотодинамическая терапия опухоли предстательной железы под ультразвуковой навигацией и (или) под контролем компьютерной навигации</w:t>
            </w:r>
          </w:p>
        </w:tc>
      </w:tr>
      <w:tr>
        <w:trPr>
          <w:trHeight w:val="1320" w:hRule="atLeast"/>
        </w:trPr>
        <w:tc>
          <w:tcPr>
            <w:tcW w:w="1148" w:type="dxa"/>
          </w:tcPr>
          <w:p>
            <w:pPr>
              <w:pStyle w:val="TableParagraph"/>
              <w:rPr>
                <w:sz w:val="18"/>
              </w:rPr>
            </w:pPr>
          </w:p>
        </w:tc>
        <w:tc>
          <w:tcPr>
            <w:tcW w:w="3391" w:type="dxa"/>
          </w:tcPr>
          <w:p>
            <w:pPr>
              <w:pStyle w:val="TableParagraph"/>
              <w:rPr>
                <w:sz w:val="18"/>
              </w:rPr>
            </w:pPr>
          </w:p>
        </w:tc>
        <w:tc>
          <w:tcPr>
            <w:tcW w:w="1575" w:type="dxa"/>
          </w:tcPr>
          <w:p>
            <w:pPr>
              <w:pStyle w:val="TableParagraph"/>
              <w:rPr>
                <w:sz w:val="18"/>
              </w:rPr>
            </w:pPr>
          </w:p>
        </w:tc>
        <w:tc>
          <w:tcPr>
            <w:tcW w:w="3483" w:type="dxa"/>
          </w:tcPr>
          <w:p>
            <w:pPr>
              <w:pStyle w:val="TableParagraph"/>
              <w:spacing w:line="249" w:lineRule="auto"/>
              <w:ind w:left="220" w:right="39"/>
              <w:rPr>
                <w:sz w:val="20"/>
              </w:rPr>
            </w:pPr>
            <w:r>
              <w:rPr>
                <w:sz w:val="20"/>
              </w:rPr>
              <w:t>радиочастотная аблация опухоли предстательной железы под ультразвуковой</w:t>
            </w:r>
            <w:r>
              <w:rPr>
                <w:spacing w:val="-13"/>
                <w:sz w:val="20"/>
              </w:rPr>
              <w:t> </w:t>
            </w:r>
            <w:r>
              <w:rPr>
                <w:sz w:val="20"/>
              </w:rPr>
              <w:t>навигацией</w:t>
            </w:r>
            <w:r>
              <w:rPr>
                <w:spacing w:val="-12"/>
                <w:sz w:val="20"/>
              </w:rPr>
              <w:t> </w:t>
            </w:r>
            <w:r>
              <w:rPr>
                <w:sz w:val="20"/>
              </w:rPr>
              <w:t>и</w:t>
            </w:r>
            <w:r>
              <w:rPr>
                <w:spacing w:val="-13"/>
                <w:sz w:val="20"/>
              </w:rPr>
              <w:t> </w:t>
            </w:r>
            <w:r>
              <w:rPr>
                <w:sz w:val="20"/>
              </w:rPr>
              <w:t>(или) под контролем компьютерной </w:t>
            </w:r>
            <w:r>
              <w:rPr>
                <w:spacing w:val="-2"/>
                <w:sz w:val="20"/>
              </w:rPr>
              <w:t>томографии</w:t>
            </w:r>
          </w:p>
        </w:tc>
      </w:tr>
      <w:tr>
        <w:trPr>
          <w:trHeight w:val="1319" w:hRule="atLeast"/>
        </w:trPr>
        <w:tc>
          <w:tcPr>
            <w:tcW w:w="1148" w:type="dxa"/>
          </w:tcPr>
          <w:p>
            <w:pPr>
              <w:pStyle w:val="TableParagraph"/>
              <w:rPr>
                <w:sz w:val="18"/>
              </w:rPr>
            </w:pPr>
          </w:p>
        </w:tc>
        <w:tc>
          <w:tcPr>
            <w:tcW w:w="3391" w:type="dxa"/>
          </w:tcPr>
          <w:p>
            <w:pPr>
              <w:pStyle w:val="TableParagraph"/>
              <w:spacing w:line="249" w:lineRule="auto" w:before="120"/>
              <w:ind w:left="332" w:right="91"/>
              <w:rPr>
                <w:sz w:val="20"/>
              </w:rPr>
            </w:pPr>
            <w:r>
              <w:rPr>
                <w:sz w:val="20"/>
              </w:rPr>
              <w:t>локализованные и </w:t>
            </w:r>
            <w:r>
              <w:rPr>
                <w:spacing w:val="-2"/>
                <w:sz w:val="20"/>
              </w:rPr>
              <w:t>местнораспространенные </w:t>
            </w:r>
            <w:r>
              <w:rPr>
                <w:sz w:val="20"/>
              </w:rPr>
              <w:t>злокачественные</w:t>
            </w:r>
            <w:r>
              <w:rPr>
                <w:spacing w:val="-13"/>
                <w:sz w:val="20"/>
              </w:rPr>
              <w:t> </w:t>
            </w:r>
            <w:r>
              <w:rPr>
                <w:sz w:val="20"/>
              </w:rPr>
              <w:t>новообразования предстательной железы</w:t>
            </w:r>
          </w:p>
          <w:p>
            <w:pPr>
              <w:pStyle w:val="TableParagraph"/>
              <w:spacing w:line="220" w:lineRule="exact" w:before="3"/>
              <w:ind w:left="332"/>
              <w:rPr>
                <w:sz w:val="20"/>
              </w:rPr>
            </w:pPr>
            <w:r>
              <w:rPr>
                <w:sz w:val="20"/>
              </w:rPr>
              <w:t>(II</w:t>
            </w:r>
            <w:r>
              <w:rPr>
                <w:spacing w:val="-1"/>
                <w:sz w:val="20"/>
              </w:rPr>
              <w:t> </w:t>
            </w:r>
            <w:r>
              <w:rPr>
                <w:sz w:val="20"/>
              </w:rPr>
              <w:t>-</w:t>
            </w:r>
            <w:r>
              <w:rPr>
                <w:spacing w:val="-4"/>
                <w:sz w:val="20"/>
              </w:rPr>
              <w:t> </w:t>
            </w:r>
            <w:r>
              <w:rPr>
                <w:sz w:val="20"/>
              </w:rPr>
              <w:t>III</w:t>
            </w:r>
            <w:r>
              <w:rPr>
                <w:spacing w:val="-1"/>
                <w:sz w:val="20"/>
              </w:rPr>
              <w:t> </w:t>
            </w:r>
            <w:r>
              <w:rPr>
                <w:spacing w:val="-2"/>
                <w:sz w:val="20"/>
              </w:rPr>
              <w:t>стадия)</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342"/>
              <w:rPr>
                <w:sz w:val="20"/>
              </w:rPr>
            </w:pPr>
            <w:r>
              <w:rPr>
                <w:sz w:val="20"/>
              </w:rPr>
              <w:t>селективная и суперселективная эмболизация</w:t>
            </w:r>
            <w:r>
              <w:rPr>
                <w:spacing w:val="-13"/>
                <w:sz w:val="20"/>
              </w:rPr>
              <w:t> </w:t>
            </w:r>
            <w:r>
              <w:rPr>
                <w:sz w:val="20"/>
              </w:rPr>
              <w:t>(химиоэмболизация) ветвей внутренней подвздошной </w:t>
            </w:r>
            <w:r>
              <w:rPr>
                <w:spacing w:val="-2"/>
                <w:sz w:val="20"/>
              </w:rPr>
              <w:t>артерии</w:t>
            </w:r>
          </w:p>
        </w:tc>
      </w:tr>
      <w:tr>
        <w:trPr>
          <w:trHeight w:val="230" w:hRule="atLeast"/>
        </w:trPr>
        <w:tc>
          <w:tcPr>
            <w:tcW w:w="1148" w:type="dxa"/>
          </w:tcPr>
          <w:p>
            <w:pPr>
              <w:pStyle w:val="TableParagraph"/>
              <w:rPr>
                <w:sz w:val="16"/>
              </w:rPr>
            </w:pPr>
          </w:p>
        </w:tc>
        <w:tc>
          <w:tcPr>
            <w:tcW w:w="3391" w:type="dxa"/>
          </w:tcPr>
          <w:p>
            <w:pPr>
              <w:pStyle w:val="TableParagraph"/>
              <w:rPr>
                <w:sz w:val="16"/>
              </w:rPr>
            </w:pPr>
          </w:p>
        </w:tc>
        <w:tc>
          <w:tcPr>
            <w:tcW w:w="1575" w:type="dxa"/>
          </w:tcPr>
          <w:p>
            <w:pPr>
              <w:pStyle w:val="TableParagraph"/>
              <w:rPr>
                <w:sz w:val="16"/>
              </w:rPr>
            </w:pPr>
          </w:p>
        </w:tc>
        <w:tc>
          <w:tcPr>
            <w:tcW w:w="3483" w:type="dxa"/>
          </w:tcPr>
          <w:p>
            <w:pPr>
              <w:pStyle w:val="TableParagraph"/>
              <w:spacing w:line="210" w:lineRule="exact"/>
              <w:ind w:left="220"/>
              <w:rPr>
                <w:sz w:val="20"/>
              </w:rPr>
            </w:pPr>
            <w:r>
              <w:rPr>
                <w:spacing w:val="-2"/>
                <w:sz w:val="20"/>
              </w:rPr>
              <w:t>биоэлектротерапия</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498"/>
        <w:gridCol w:w="1575"/>
        <w:gridCol w:w="3554"/>
      </w:tblGrid>
      <w:tr>
        <w:trPr>
          <w:trHeight w:val="590" w:hRule="atLeast"/>
        </w:trPr>
        <w:tc>
          <w:tcPr>
            <w:tcW w:w="823" w:type="dxa"/>
          </w:tcPr>
          <w:p>
            <w:pPr>
              <w:pStyle w:val="TableParagraph"/>
              <w:spacing w:line="221" w:lineRule="exact"/>
              <w:ind w:left="50"/>
              <w:rPr>
                <w:sz w:val="20"/>
              </w:rPr>
            </w:pPr>
            <w:r>
              <w:rPr>
                <w:spacing w:val="-5"/>
                <w:sz w:val="20"/>
              </w:rPr>
              <w:t>C62</w:t>
            </w:r>
          </w:p>
        </w:tc>
        <w:tc>
          <w:tcPr>
            <w:tcW w:w="3498" w:type="dxa"/>
          </w:tcPr>
          <w:p>
            <w:pPr>
              <w:pStyle w:val="TableParagraph"/>
              <w:spacing w:line="249" w:lineRule="auto"/>
              <w:ind w:left="441" w:right="89"/>
              <w:rPr>
                <w:sz w:val="20"/>
              </w:rPr>
            </w:pPr>
            <w:r>
              <w:rPr>
                <w:sz w:val="20"/>
              </w:rPr>
              <w:t>злокачественные</w:t>
            </w:r>
            <w:r>
              <w:rPr>
                <w:spacing w:val="-13"/>
                <w:sz w:val="20"/>
              </w:rPr>
              <w:t> </w:t>
            </w:r>
            <w:r>
              <w:rPr>
                <w:sz w:val="20"/>
              </w:rPr>
              <w:t>новообразования яичка (TxN1-2MoS1-3)</w:t>
            </w:r>
          </w:p>
        </w:tc>
        <w:tc>
          <w:tcPr>
            <w:tcW w:w="1575" w:type="dxa"/>
          </w:tcPr>
          <w:p>
            <w:pPr>
              <w:pStyle w:val="TableParagraph"/>
              <w:spacing w:line="249" w:lineRule="auto"/>
              <w:ind w:left="99"/>
              <w:rPr>
                <w:sz w:val="20"/>
              </w:rPr>
            </w:pPr>
            <w:r>
              <w:rPr>
                <w:spacing w:val="-2"/>
                <w:sz w:val="20"/>
              </w:rPr>
              <w:t>хирургическое лечение</w:t>
            </w:r>
          </w:p>
        </w:tc>
        <w:tc>
          <w:tcPr>
            <w:tcW w:w="3554" w:type="dxa"/>
          </w:tcPr>
          <w:p>
            <w:pPr>
              <w:pStyle w:val="TableParagraph"/>
              <w:spacing w:line="249" w:lineRule="auto"/>
              <w:ind w:left="222" w:right="459"/>
              <w:rPr>
                <w:sz w:val="20"/>
              </w:rPr>
            </w:pPr>
            <w:r>
              <w:rPr>
                <w:sz w:val="20"/>
              </w:rPr>
              <w:t>лапароскопическая</w:t>
            </w:r>
            <w:r>
              <w:rPr>
                <w:spacing w:val="-13"/>
                <w:sz w:val="20"/>
              </w:rPr>
              <w:t> </w:t>
            </w:r>
            <w:r>
              <w:rPr>
                <w:sz w:val="20"/>
              </w:rPr>
              <w:t>забрюшинная </w:t>
            </w:r>
            <w:r>
              <w:rPr>
                <w:spacing w:val="-2"/>
                <w:sz w:val="20"/>
              </w:rPr>
              <w:t>лимфаденэктомия</w:t>
            </w:r>
          </w:p>
        </w:tc>
      </w:tr>
      <w:tr>
        <w:trPr>
          <w:trHeight w:val="840" w:hRule="atLeast"/>
        </w:trPr>
        <w:tc>
          <w:tcPr>
            <w:tcW w:w="823" w:type="dxa"/>
          </w:tcPr>
          <w:p>
            <w:pPr>
              <w:pStyle w:val="TableParagraph"/>
              <w:spacing w:before="120"/>
              <w:ind w:left="50"/>
              <w:rPr>
                <w:sz w:val="20"/>
              </w:rPr>
            </w:pPr>
            <w:r>
              <w:rPr>
                <w:spacing w:val="-5"/>
                <w:sz w:val="20"/>
              </w:rPr>
              <w:t>C60</w:t>
            </w:r>
          </w:p>
        </w:tc>
        <w:tc>
          <w:tcPr>
            <w:tcW w:w="3498" w:type="dxa"/>
          </w:tcPr>
          <w:p>
            <w:pPr>
              <w:pStyle w:val="TableParagraph"/>
              <w:spacing w:line="249" w:lineRule="auto" w:before="120"/>
              <w:ind w:left="441" w:right="89"/>
              <w:rPr>
                <w:sz w:val="20"/>
              </w:rPr>
            </w:pPr>
            <w:r>
              <w:rPr>
                <w:sz w:val="20"/>
              </w:rPr>
              <w:t>злокачественные</w:t>
            </w:r>
            <w:r>
              <w:rPr>
                <w:spacing w:val="-13"/>
                <w:sz w:val="20"/>
              </w:rPr>
              <w:t> </w:t>
            </w:r>
            <w:r>
              <w:rPr>
                <w:sz w:val="20"/>
              </w:rPr>
              <w:t>новообразования полового члена</w:t>
            </w:r>
          </w:p>
        </w:tc>
        <w:tc>
          <w:tcPr>
            <w:tcW w:w="1575" w:type="dxa"/>
          </w:tcPr>
          <w:p>
            <w:pPr>
              <w:pStyle w:val="TableParagraph"/>
              <w:spacing w:line="249" w:lineRule="auto" w:before="120"/>
              <w:ind w:left="99"/>
              <w:rPr>
                <w:sz w:val="20"/>
              </w:rPr>
            </w:pPr>
            <w:r>
              <w:rPr>
                <w:spacing w:val="-2"/>
                <w:sz w:val="20"/>
              </w:rPr>
              <w:t>хирургическое лечение</w:t>
            </w:r>
          </w:p>
        </w:tc>
        <w:tc>
          <w:tcPr>
            <w:tcW w:w="3554" w:type="dxa"/>
          </w:tcPr>
          <w:p>
            <w:pPr>
              <w:pStyle w:val="TableParagraph"/>
              <w:spacing w:line="249" w:lineRule="auto" w:before="120"/>
              <w:ind w:left="222" w:right="387"/>
              <w:rPr>
                <w:sz w:val="20"/>
              </w:rPr>
            </w:pPr>
            <w:r>
              <w:rPr>
                <w:sz w:val="20"/>
              </w:rPr>
              <w:t>многокурсовая</w:t>
            </w:r>
            <w:r>
              <w:rPr>
                <w:spacing w:val="-13"/>
                <w:sz w:val="20"/>
              </w:rPr>
              <w:t> </w:t>
            </w:r>
            <w:r>
              <w:rPr>
                <w:sz w:val="20"/>
              </w:rPr>
              <w:t>фотодинамическая терапия, пролонгированная</w:t>
            </w:r>
          </w:p>
          <w:p>
            <w:pPr>
              <w:pStyle w:val="TableParagraph"/>
              <w:spacing w:line="220" w:lineRule="exact" w:before="2"/>
              <w:ind w:left="222"/>
              <w:rPr>
                <w:sz w:val="20"/>
              </w:rPr>
            </w:pPr>
            <w:r>
              <w:rPr>
                <w:w w:val="95"/>
                <w:sz w:val="20"/>
              </w:rPr>
              <w:t>фотодинамическая</w:t>
            </w:r>
            <w:r>
              <w:rPr>
                <w:spacing w:val="64"/>
                <w:sz w:val="20"/>
              </w:rPr>
              <w:t> </w:t>
            </w:r>
            <w:r>
              <w:rPr>
                <w:spacing w:val="-2"/>
                <w:sz w:val="20"/>
              </w:rPr>
              <w:t>терапия</w:t>
            </w:r>
          </w:p>
        </w:tc>
      </w:tr>
      <w:tr>
        <w:trPr>
          <w:trHeight w:val="1080" w:hRule="atLeast"/>
        </w:trPr>
        <w:tc>
          <w:tcPr>
            <w:tcW w:w="823" w:type="dxa"/>
          </w:tcPr>
          <w:p>
            <w:pPr>
              <w:pStyle w:val="TableParagraph"/>
              <w:ind w:left="50"/>
              <w:rPr>
                <w:sz w:val="20"/>
              </w:rPr>
            </w:pPr>
            <w:r>
              <w:rPr>
                <w:spacing w:val="-5"/>
                <w:sz w:val="20"/>
              </w:rPr>
              <w:t>C64</w:t>
            </w:r>
          </w:p>
        </w:tc>
        <w:tc>
          <w:tcPr>
            <w:tcW w:w="3498" w:type="dxa"/>
          </w:tcPr>
          <w:p>
            <w:pPr>
              <w:pStyle w:val="TableParagraph"/>
              <w:spacing w:line="249" w:lineRule="auto"/>
              <w:ind w:left="441" w:right="89"/>
              <w:rPr>
                <w:sz w:val="20"/>
              </w:rPr>
            </w:pPr>
            <w:r>
              <w:rPr>
                <w:sz w:val="20"/>
              </w:rPr>
              <w:t>злокачественные</w:t>
            </w:r>
            <w:r>
              <w:rPr>
                <w:spacing w:val="-13"/>
                <w:sz w:val="20"/>
              </w:rPr>
              <w:t> </w:t>
            </w:r>
            <w:r>
              <w:rPr>
                <w:sz w:val="20"/>
              </w:rPr>
              <w:t>новообразования почки (I - III стадия), </w:t>
            </w:r>
            <w:r>
              <w:rPr>
                <w:spacing w:val="-2"/>
                <w:sz w:val="20"/>
              </w:rPr>
              <w:t>нефробластома</w:t>
            </w:r>
          </w:p>
        </w:tc>
        <w:tc>
          <w:tcPr>
            <w:tcW w:w="1575" w:type="dxa"/>
          </w:tcPr>
          <w:p>
            <w:pPr>
              <w:pStyle w:val="TableParagraph"/>
              <w:spacing w:line="249" w:lineRule="auto"/>
              <w:ind w:left="99"/>
              <w:rPr>
                <w:sz w:val="20"/>
              </w:rPr>
            </w:pPr>
            <w:r>
              <w:rPr>
                <w:spacing w:val="-2"/>
                <w:sz w:val="20"/>
              </w:rPr>
              <w:t>хирургическое лечение</w:t>
            </w:r>
          </w:p>
        </w:tc>
        <w:tc>
          <w:tcPr>
            <w:tcW w:w="3554" w:type="dxa"/>
          </w:tcPr>
          <w:p>
            <w:pPr>
              <w:pStyle w:val="TableParagraph"/>
              <w:spacing w:line="249" w:lineRule="auto"/>
              <w:ind w:left="222" w:right="41"/>
              <w:rPr>
                <w:sz w:val="20"/>
              </w:rPr>
            </w:pPr>
            <w:r>
              <w:rPr>
                <w:sz w:val="20"/>
              </w:rPr>
              <w:t>радиочастотная аблация опухоли почки</w:t>
            </w:r>
            <w:r>
              <w:rPr>
                <w:spacing w:val="-13"/>
                <w:sz w:val="20"/>
              </w:rPr>
              <w:t> </w:t>
            </w:r>
            <w:r>
              <w:rPr>
                <w:sz w:val="20"/>
              </w:rPr>
              <w:t>под</w:t>
            </w:r>
            <w:r>
              <w:rPr>
                <w:spacing w:val="-12"/>
                <w:sz w:val="20"/>
              </w:rPr>
              <w:t> </w:t>
            </w:r>
            <w:r>
              <w:rPr>
                <w:sz w:val="20"/>
              </w:rPr>
              <w:t>ультразвуковой</w:t>
            </w:r>
            <w:r>
              <w:rPr>
                <w:spacing w:val="-13"/>
                <w:sz w:val="20"/>
              </w:rPr>
              <w:t> </w:t>
            </w:r>
            <w:r>
              <w:rPr>
                <w:sz w:val="20"/>
              </w:rPr>
              <w:t>навигацией и (или) под контролем компьютерной </w:t>
            </w:r>
            <w:r>
              <w:rPr>
                <w:spacing w:val="-2"/>
                <w:sz w:val="20"/>
              </w:rPr>
              <w:t>томографии</w:t>
            </w:r>
          </w:p>
        </w:tc>
      </w:tr>
      <w:tr>
        <w:trPr>
          <w:trHeight w:val="840" w:hRule="atLeast"/>
        </w:trPr>
        <w:tc>
          <w:tcPr>
            <w:tcW w:w="823" w:type="dxa"/>
          </w:tcPr>
          <w:p>
            <w:pPr>
              <w:pStyle w:val="TableParagraph"/>
              <w:rPr>
                <w:sz w:val="18"/>
              </w:rPr>
            </w:pPr>
          </w:p>
        </w:tc>
        <w:tc>
          <w:tcPr>
            <w:tcW w:w="3498" w:type="dxa"/>
          </w:tcPr>
          <w:p>
            <w:pPr>
              <w:pStyle w:val="TableParagraph"/>
              <w:rPr>
                <w:sz w:val="18"/>
              </w:rPr>
            </w:pPr>
          </w:p>
        </w:tc>
        <w:tc>
          <w:tcPr>
            <w:tcW w:w="1575" w:type="dxa"/>
          </w:tcPr>
          <w:p>
            <w:pPr>
              <w:pStyle w:val="TableParagraph"/>
              <w:rPr>
                <w:sz w:val="18"/>
              </w:rPr>
            </w:pPr>
          </w:p>
        </w:tc>
        <w:tc>
          <w:tcPr>
            <w:tcW w:w="3554" w:type="dxa"/>
          </w:tcPr>
          <w:p>
            <w:pPr>
              <w:pStyle w:val="TableParagraph"/>
              <w:spacing w:line="240" w:lineRule="atLeast" w:before="100"/>
              <w:ind w:left="222" w:right="411"/>
              <w:rPr>
                <w:sz w:val="20"/>
              </w:rPr>
            </w:pPr>
            <w:r>
              <w:rPr>
                <w:sz w:val="20"/>
              </w:rPr>
              <w:t>селективная и суперселективная эмболизация</w:t>
            </w:r>
            <w:r>
              <w:rPr>
                <w:spacing w:val="-13"/>
                <w:sz w:val="20"/>
              </w:rPr>
              <w:t> </w:t>
            </w:r>
            <w:r>
              <w:rPr>
                <w:sz w:val="20"/>
              </w:rPr>
              <w:t>(химиоэмболизация) почечных сосудов</w:t>
            </w:r>
          </w:p>
        </w:tc>
      </w:tr>
      <w:tr>
        <w:trPr>
          <w:trHeight w:val="840" w:hRule="atLeast"/>
        </w:trPr>
        <w:tc>
          <w:tcPr>
            <w:tcW w:w="823" w:type="dxa"/>
          </w:tcPr>
          <w:p>
            <w:pPr>
              <w:pStyle w:val="TableParagraph"/>
              <w:ind w:left="50"/>
              <w:rPr>
                <w:sz w:val="20"/>
              </w:rPr>
            </w:pPr>
            <w:r>
              <w:rPr>
                <w:spacing w:val="-5"/>
                <w:sz w:val="20"/>
              </w:rPr>
              <w:t>C67</w:t>
            </w:r>
          </w:p>
        </w:tc>
        <w:tc>
          <w:tcPr>
            <w:tcW w:w="3498" w:type="dxa"/>
          </w:tcPr>
          <w:p>
            <w:pPr>
              <w:pStyle w:val="TableParagraph"/>
              <w:spacing w:line="252" w:lineRule="auto"/>
              <w:ind w:left="441" w:right="89"/>
              <w:rPr>
                <w:sz w:val="20"/>
              </w:rPr>
            </w:pPr>
            <w:r>
              <w:rPr>
                <w:sz w:val="20"/>
              </w:rPr>
              <w:t>злокачественные</w:t>
            </w:r>
            <w:r>
              <w:rPr>
                <w:spacing w:val="-13"/>
                <w:sz w:val="20"/>
              </w:rPr>
              <w:t> </w:t>
            </w:r>
            <w:r>
              <w:rPr>
                <w:sz w:val="20"/>
              </w:rPr>
              <w:t>новообразования мочевого пузыря I - IV стадия</w:t>
            </w:r>
          </w:p>
          <w:p>
            <w:pPr>
              <w:pStyle w:val="TableParagraph"/>
              <w:spacing w:line="227" w:lineRule="exact"/>
              <w:ind w:left="441"/>
              <w:rPr>
                <w:sz w:val="20"/>
              </w:rPr>
            </w:pPr>
            <w:r>
              <w:rPr>
                <w:w w:val="95"/>
                <w:sz w:val="20"/>
              </w:rPr>
              <w:t>(T1-</w:t>
            </w:r>
            <w:r>
              <w:rPr>
                <w:spacing w:val="-2"/>
                <w:sz w:val="20"/>
              </w:rPr>
              <w:t>T2bNxMo)</w:t>
            </w:r>
          </w:p>
        </w:tc>
        <w:tc>
          <w:tcPr>
            <w:tcW w:w="1575" w:type="dxa"/>
          </w:tcPr>
          <w:p>
            <w:pPr>
              <w:pStyle w:val="TableParagraph"/>
              <w:spacing w:line="252" w:lineRule="auto"/>
              <w:ind w:left="99"/>
              <w:rPr>
                <w:sz w:val="20"/>
              </w:rPr>
            </w:pPr>
            <w:r>
              <w:rPr>
                <w:spacing w:val="-2"/>
                <w:sz w:val="20"/>
              </w:rPr>
              <w:t>хирургическое лечение</w:t>
            </w:r>
          </w:p>
        </w:tc>
        <w:tc>
          <w:tcPr>
            <w:tcW w:w="3554" w:type="dxa"/>
          </w:tcPr>
          <w:p>
            <w:pPr>
              <w:pStyle w:val="TableParagraph"/>
              <w:spacing w:line="252" w:lineRule="auto"/>
              <w:ind w:left="222" w:right="108"/>
              <w:rPr>
                <w:sz w:val="20"/>
              </w:rPr>
            </w:pPr>
            <w:r>
              <w:rPr>
                <w:sz w:val="20"/>
              </w:rPr>
              <w:t>интерстициальная</w:t>
            </w:r>
            <w:r>
              <w:rPr>
                <w:spacing w:val="-13"/>
                <w:sz w:val="20"/>
              </w:rPr>
              <w:t> </w:t>
            </w:r>
            <w:r>
              <w:rPr>
                <w:sz w:val="20"/>
              </w:rPr>
              <w:t>фотодинамическая </w:t>
            </w:r>
            <w:r>
              <w:rPr>
                <w:spacing w:val="-2"/>
                <w:sz w:val="20"/>
              </w:rPr>
              <w:t>терапия</w:t>
            </w:r>
          </w:p>
        </w:tc>
      </w:tr>
      <w:tr>
        <w:trPr>
          <w:trHeight w:val="1200" w:hRule="atLeast"/>
        </w:trPr>
        <w:tc>
          <w:tcPr>
            <w:tcW w:w="823" w:type="dxa"/>
          </w:tcPr>
          <w:p>
            <w:pPr>
              <w:pStyle w:val="TableParagraph"/>
              <w:rPr>
                <w:sz w:val="18"/>
              </w:rPr>
            </w:pPr>
          </w:p>
        </w:tc>
        <w:tc>
          <w:tcPr>
            <w:tcW w:w="3498" w:type="dxa"/>
          </w:tcPr>
          <w:p>
            <w:pPr>
              <w:pStyle w:val="TableParagraph"/>
              <w:spacing w:line="249" w:lineRule="auto" w:before="120"/>
              <w:ind w:left="441" w:right="89"/>
              <w:rPr>
                <w:sz w:val="20"/>
              </w:rPr>
            </w:pPr>
            <w:r>
              <w:rPr>
                <w:sz w:val="20"/>
              </w:rPr>
              <w:t>злокачественные</w:t>
            </w:r>
            <w:r>
              <w:rPr>
                <w:spacing w:val="-13"/>
                <w:sz w:val="20"/>
              </w:rPr>
              <w:t> </w:t>
            </w:r>
            <w:r>
              <w:rPr>
                <w:sz w:val="20"/>
              </w:rPr>
              <w:t>новообразования мочевого пузыря I - IV стадия</w:t>
            </w:r>
          </w:p>
          <w:p>
            <w:pPr>
              <w:pStyle w:val="TableParagraph"/>
              <w:spacing w:line="249" w:lineRule="auto" w:before="2"/>
              <w:ind w:left="441" w:right="89"/>
              <w:rPr>
                <w:sz w:val="20"/>
              </w:rPr>
            </w:pPr>
            <w:r>
              <w:rPr>
                <w:sz w:val="20"/>
              </w:rPr>
              <w:t>(T1-T2bNxMo)</w:t>
            </w:r>
            <w:r>
              <w:rPr>
                <w:spacing w:val="-13"/>
                <w:sz w:val="20"/>
              </w:rPr>
              <w:t> </w:t>
            </w:r>
            <w:r>
              <w:rPr>
                <w:sz w:val="20"/>
              </w:rPr>
              <w:t>при</w:t>
            </w:r>
            <w:r>
              <w:rPr>
                <w:spacing w:val="-12"/>
                <w:sz w:val="20"/>
              </w:rPr>
              <w:t> </w:t>
            </w:r>
            <w:r>
              <w:rPr>
                <w:sz w:val="20"/>
              </w:rPr>
              <w:t>массивном </w:t>
            </w:r>
            <w:r>
              <w:rPr>
                <w:spacing w:val="-2"/>
                <w:sz w:val="20"/>
              </w:rPr>
              <w:t>кровотечении</w:t>
            </w:r>
          </w:p>
        </w:tc>
        <w:tc>
          <w:tcPr>
            <w:tcW w:w="1575" w:type="dxa"/>
          </w:tcPr>
          <w:p>
            <w:pPr>
              <w:pStyle w:val="TableParagraph"/>
              <w:spacing w:line="249" w:lineRule="auto" w:before="120"/>
              <w:ind w:left="99"/>
              <w:rPr>
                <w:sz w:val="20"/>
              </w:rPr>
            </w:pPr>
            <w:r>
              <w:rPr>
                <w:spacing w:val="-2"/>
                <w:sz w:val="20"/>
              </w:rPr>
              <w:t>хирургическое лечение</w:t>
            </w:r>
          </w:p>
        </w:tc>
        <w:tc>
          <w:tcPr>
            <w:tcW w:w="3554" w:type="dxa"/>
          </w:tcPr>
          <w:p>
            <w:pPr>
              <w:pStyle w:val="TableParagraph"/>
              <w:spacing w:line="249" w:lineRule="auto" w:before="120"/>
              <w:ind w:left="222" w:right="411"/>
              <w:rPr>
                <w:sz w:val="20"/>
              </w:rPr>
            </w:pPr>
            <w:r>
              <w:rPr>
                <w:sz w:val="20"/>
              </w:rPr>
              <w:t>селективная и суперселективная эмболизация</w:t>
            </w:r>
            <w:r>
              <w:rPr>
                <w:spacing w:val="-13"/>
                <w:sz w:val="20"/>
              </w:rPr>
              <w:t> </w:t>
            </w:r>
            <w:r>
              <w:rPr>
                <w:sz w:val="20"/>
              </w:rPr>
              <w:t>(химиоэмболизация) ветвей внутренней подвздошной </w:t>
            </w:r>
            <w:r>
              <w:rPr>
                <w:spacing w:val="-2"/>
                <w:sz w:val="20"/>
              </w:rPr>
              <w:t>артерии</w:t>
            </w:r>
          </w:p>
        </w:tc>
      </w:tr>
      <w:tr>
        <w:trPr>
          <w:trHeight w:val="1200" w:hRule="atLeast"/>
        </w:trPr>
        <w:tc>
          <w:tcPr>
            <w:tcW w:w="823" w:type="dxa"/>
          </w:tcPr>
          <w:p>
            <w:pPr>
              <w:pStyle w:val="TableParagraph"/>
              <w:spacing w:before="120"/>
              <w:ind w:left="50"/>
              <w:rPr>
                <w:sz w:val="20"/>
              </w:rPr>
            </w:pPr>
            <w:r>
              <w:rPr>
                <w:spacing w:val="-5"/>
                <w:sz w:val="20"/>
              </w:rPr>
              <w:t>C78</w:t>
            </w:r>
          </w:p>
        </w:tc>
        <w:tc>
          <w:tcPr>
            <w:tcW w:w="3498" w:type="dxa"/>
          </w:tcPr>
          <w:p>
            <w:pPr>
              <w:pStyle w:val="TableParagraph"/>
              <w:spacing w:line="249" w:lineRule="auto" w:before="120"/>
              <w:ind w:left="441" w:right="659"/>
              <w:rPr>
                <w:sz w:val="20"/>
              </w:rPr>
            </w:pPr>
            <w:r>
              <w:rPr>
                <w:sz w:val="20"/>
              </w:rPr>
              <w:t>метастатическое</w:t>
            </w:r>
            <w:r>
              <w:rPr>
                <w:spacing w:val="-13"/>
                <w:sz w:val="20"/>
              </w:rPr>
              <w:t> </w:t>
            </w:r>
            <w:r>
              <w:rPr>
                <w:sz w:val="20"/>
              </w:rPr>
              <w:t>поражение </w:t>
            </w:r>
            <w:r>
              <w:rPr>
                <w:spacing w:val="-2"/>
                <w:sz w:val="20"/>
              </w:rPr>
              <w:t>легкого</w:t>
            </w:r>
          </w:p>
        </w:tc>
        <w:tc>
          <w:tcPr>
            <w:tcW w:w="1575" w:type="dxa"/>
          </w:tcPr>
          <w:p>
            <w:pPr>
              <w:pStyle w:val="TableParagraph"/>
              <w:spacing w:line="249" w:lineRule="auto" w:before="120"/>
              <w:ind w:left="99"/>
              <w:rPr>
                <w:sz w:val="20"/>
              </w:rPr>
            </w:pPr>
            <w:r>
              <w:rPr>
                <w:spacing w:val="-2"/>
                <w:sz w:val="20"/>
              </w:rPr>
              <w:t>хирургическое лечение</w:t>
            </w:r>
          </w:p>
        </w:tc>
        <w:tc>
          <w:tcPr>
            <w:tcW w:w="3554" w:type="dxa"/>
          </w:tcPr>
          <w:p>
            <w:pPr>
              <w:pStyle w:val="TableParagraph"/>
              <w:spacing w:line="249" w:lineRule="auto" w:before="120"/>
              <w:ind w:left="222" w:right="455"/>
              <w:rPr>
                <w:sz w:val="20"/>
              </w:rPr>
            </w:pPr>
            <w:r>
              <w:rPr>
                <w:spacing w:val="-2"/>
                <w:sz w:val="20"/>
              </w:rPr>
              <w:t>видеоторакоскопическая </w:t>
            </w:r>
            <w:r>
              <w:rPr>
                <w:sz w:val="20"/>
              </w:rPr>
              <w:t>(видеоассистированная)</w:t>
            </w:r>
            <w:r>
              <w:rPr>
                <w:spacing w:val="-13"/>
                <w:sz w:val="20"/>
              </w:rPr>
              <w:t> </w:t>
            </w:r>
            <w:r>
              <w:rPr>
                <w:sz w:val="20"/>
              </w:rPr>
              <w:t>резекция легкого (первичная, повторная, двусторонняя), лобэктомия</w:t>
            </w:r>
          </w:p>
        </w:tc>
      </w:tr>
      <w:tr>
        <w:trPr>
          <w:trHeight w:val="1550" w:hRule="atLeast"/>
        </w:trPr>
        <w:tc>
          <w:tcPr>
            <w:tcW w:w="823" w:type="dxa"/>
          </w:tcPr>
          <w:p>
            <w:pPr>
              <w:pStyle w:val="TableParagraph"/>
              <w:rPr>
                <w:sz w:val="18"/>
              </w:rPr>
            </w:pPr>
          </w:p>
        </w:tc>
        <w:tc>
          <w:tcPr>
            <w:tcW w:w="3498" w:type="dxa"/>
          </w:tcPr>
          <w:p>
            <w:pPr>
              <w:pStyle w:val="TableParagraph"/>
              <w:rPr>
                <w:sz w:val="18"/>
              </w:rPr>
            </w:pPr>
          </w:p>
        </w:tc>
        <w:tc>
          <w:tcPr>
            <w:tcW w:w="1575" w:type="dxa"/>
          </w:tcPr>
          <w:p>
            <w:pPr>
              <w:pStyle w:val="TableParagraph"/>
              <w:rPr>
                <w:sz w:val="18"/>
              </w:rPr>
            </w:pPr>
          </w:p>
        </w:tc>
        <w:tc>
          <w:tcPr>
            <w:tcW w:w="3554" w:type="dxa"/>
          </w:tcPr>
          <w:p>
            <w:pPr>
              <w:pStyle w:val="TableParagraph"/>
              <w:spacing w:line="240" w:lineRule="atLeast" w:before="90"/>
              <w:ind w:left="222" w:right="455"/>
              <w:rPr>
                <w:sz w:val="20"/>
              </w:rPr>
            </w:pPr>
            <w:r>
              <w:rPr>
                <w:spacing w:val="-2"/>
                <w:sz w:val="20"/>
              </w:rPr>
              <w:t>видеоторакоскопическая </w:t>
            </w:r>
            <w:r>
              <w:rPr>
                <w:sz w:val="20"/>
              </w:rPr>
              <w:t>(видеоассистированная)</w:t>
            </w:r>
            <w:r>
              <w:rPr>
                <w:spacing w:val="-13"/>
                <w:sz w:val="20"/>
              </w:rPr>
              <w:t> </w:t>
            </w:r>
            <w:r>
              <w:rPr>
                <w:sz w:val="20"/>
              </w:rPr>
              <w:t>резекция легкого (первичная, повторная, двусторонняя), лобэктомия с использованием методики "рука </w:t>
            </w:r>
            <w:r>
              <w:rPr>
                <w:spacing w:val="-2"/>
                <w:sz w:val="20"/>
              </w:rPr>
              <w:t>помощи"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1"/>
        <w:gridCol w:w="3172"/>
        <w:gridCol w:w="1541"/>
        <w:gridCol w:w="3580"/>
      </w:tblGrid>
      <w:tr>
        <w:trPr>
          <w:trHeight w:val="2270" w:hRule="atLeast"/>
        </w:trPr>
        <w:tc>
          <w:tcPr>
            <w:tcW w:w="1911" w:type="dxa"/>
          </w:tcPr>
          <w:p>
            <w:pPr>
              <w:pStyle w:val="TableParagraph"/>
              <w:spacing w:line="249" w:lineRule="auto"/>
              <w:ind w:left="408" w:hanging="318"/>
              <w:rPr>
                <w:sz w:val="20"/>
              </w:rPr>
            </w:pPr>
            <w:r>
              <w:rPr>
                <w:sz w:val="20"/>
              </w:rPr>
              <w:t>C78.1,</w:t>
            </w:r>
            <w:r>
              <w:rPr>
                <w:spacing w:val="-13"/>
                <w:sz w:val="20"/>
              </w:rPr>
              <w:t> </w:t>
            </w:r>
            <w:r>
              <w:rPr>
                <w:sz w:val="20"/>
              </w:rPr>
              <w:t>C38.4,</w:t>
            </w:r>
            <w:r>
              <w:rPr>
                <w:spacing w:val="-12"/>
                <w:sz w:val="20"/>
              </w:rPr>
              <w:t> </w:t>
            </w:r>
            <w:r>
              <w:rPr>
                <w:sz w:val="20"/>
              </w:rPr>
              <w:t>C38.8, C45.0, C78.2</w:t>
            </w:r>
          </w:p>
        </w:tc>
        <w:tc>
          <w:tcPr>
            <w:tcW w:w="3172" w:type="dxa"/>
          </w:tcPr>
          <w:p>
            <w:pPr>
              <w:pStyle w:val="TableParagraph"/>
              <w:spacing w:line="249" w:lineRule="auto"/>
              <w:ind w:left="78"/>
              <w:rPr>
                <w:sz w:val="20"/>
              </w:rPr>
            </w:pPr>
            <w:r>
              <w:rPr>
                <w:sz w:val="20"/>
              </w:rPr>
              <w:t>опухоль</w:t>
            </w:r>
            <w:r>
              <w:rPr>
                <w:spacing w:val="-13"/>
                <w:sz w:val="20"/>
              </w:rPr>
              <w:t> </w:t>
            </w:r>
            <w:r>
              <w:rPr>
                <w:sz w:val="20"/>
              </w:rPr>
              <w:t>плевры.</w:t>
            </w:r>
            <w:r>
              <w:rPr>
                <w:spacing w:val="-12"/>
                <w:sz w:val="20"/>
              </w:rPr>
              <w:t> </w:t>
            </w:r>
            <w:r>
              <w:rPr>
                <w:sz w:val="20"/>
              </w:rPr>
              <w:t>Распространенное поражение плевры. Мезотелиома плевры. Метастатическое поражение плевры</w:t>
            </w:r>
          </w:p>
        </w:tc>
        <w:tc>
          <w:tcPr>
            <w:tcW w:w="1541" w:type="dxa"/>
          </w:tcPr>
          <w:p>
            <w:pPr>
              <w:pStyle w:val="TableParagraph"/>
              <w:spacing w:line="249" w:lineRule="auto"/>
              <w:ind w:left="63"/>
              <w:rPr>
                <w:sz w:val="20"/>
              </w:rPr>
            </w:pPr>
            <w:r>
              <w:rPr>
                <w:spacing w:val="-2"/>
                <w:sz w:val="20"/>
              </w:rPr>
              <w:t>хирургическое лечение</w:t>
            </w:r>
          </w:p>
        </w:tc>
        <w:tc>
          <w:tcPr>
            <w:tcW w:w="3580" w:type="dxa"/>
          </w:tcPr>
          <w:p>
            <w:pPr>
              <w:pStyle w:val="TableParagraph"/>
              <w:spacing w:line="249" w:lineRule="auto"/>
              <w:ind w:left="219" w:right="141"/>
              <w:rPr>
                <w:sz w:val="20"/>
              </w:rPr>
            </w:pPr>
            <w:r>
              <w:rPr>
                <w:sz w:val="20"/>
              </w:rPr>
              <w:t>внутриплевральная установка диффузоров</w:t>
            </w:r>
            <w:r>
              <w:rPr>
                <w:spacing w:val="-11"/>
                <w:sz w:val="20"/>
              </w:rPr>
              <w:t> </w:t>
            </w:r>
            <w:r>
              <w:rPr>
                <w:sz w:val="20"/>
              </w:rPr>
              <w:t>для</w:t>
            </w:r>
            <w:r>
              <w:rPr>
                <w:spacing w:val="-11"/>
                <w:sz w:val="20"/>
              </w:rPr>
              <w:t> </w:t>
            </w:r>
            <w:r>
              <w:rPr>
                <w:sz w:val="20"/>
              </w:rPr>
              <w:t>фотодинамической терапии</w:t>
            </w:r>
            <w:r>
              <w:rPr>
                <w:spacing w:val="-13"/>
                <w:sz w:val="20"/>
              </w:rPr>
              <w:t> </w:t>
            </w:r>
            <w:r>
              <w:rPr>
                <w:sz w:val="20"/>
              </w:rPr>
              <w:t>под</w:t>
            </w:r>
            <w:r>
              <w:rPr>
                <w:spacing w:val="-12"/>
                <w:sz w:val="20"/>
              </w:rPr>
              <w:t> </w:t>
            </w:r>
            <w:r>
              <w:rPr>
                <w:sz w:val="20"/>
              </w:rPr>
              <w:t>видеоэндоскопическим контролем, под ультразвуковой навигацией и (или) под контролем компьютерной томографии с дальнейшей пролонгированной </w:t>
            </w:r>
            <w:r>
              <w:rPr>
                <w:spacing w:val="-2"/>
                <w:sz w:val="20"/>
              </w:rPr>
              <w:t>внутриплевральной </w:t>
            </w:r>
            <w:r>
              <w:rPr>
                <w:sz w:val="20"/>
              </w:rPr>
              <w:t>фотодинамической терапией</w:t>
            </w:r>
          </w:p>
        </w:tc>
      </w:tr>
      <w:tr>
        <w:trPr>
          <w:trHeight w:val="720" w:hRule="atLeast"/>
        </w:trPr>
        <w:tc>
          <w:tcPr>
            <w:tcW w:w="1911" w:type="dxa"/>
          </w:tcPr>
          <w:p>
            <w:pPr>
              <w:pStyle w:val="TableParagraph"/>
              <w:rPr>
                <w:sz w:val="18"/>
              </w:rPr>
            </w:pPr>
          </w:p>
        </w:tc>
        <w:tc>
          <w:tcPr>
            <w:tcW w:w="3172" w:type="dxa"/>
          </w:tcPr>
          <w:p>
            <w:pPr>
              <w:pStyle w:val="TableParagraph"/>
              <w:rPr>
                <w:sz w:val="18"/>
              </w:rPr>
            </w:pPr>
          </w:p>
        </w:tc>
        <w:tc>
          <w:tcPr>
            <w:tcW w:w="1541" w:type="dxa"/>
          </w:tcPr>
          <w:p>
            <w:pPr>
              <w:pStyle w:val="TableParagraph"/>
              <w:rPr>
                <w:sz w:val="18"/>
              </w:rPr>
            </w:pPr>
          </w:p>
        </w:tc>
        <w:tc>
          <w:tcPr>
            <w:tcW w:w="3580" w:type="dxa"/>
          </w:tcPr>
          <w:p>
            <w:pPr>
              <w:pStyle w:val="TableParagraph"/>
              <w:spacing w:line="249" w:lineRule="auto" w:before="120"/>
              <w:ind w:left="219" w:right="39"/>
              <w:rPr>
                <w:sz w:val="20"/>
              </w:rPr>
            </w:pPr>
            <w:r>
              <w:rPr>
                <w:sz w:val="20"/>
              </w:rPr>
              <w:t>внутриплевральная</w:t>
            </w:r>
            <w:r>
              <w:rPr>
                <w:spacing w:val="-13"/>
                <w:sz w:val="20"/>
              </w:rPr>
              <w:t> </w:t>
            </w:r>
            <w:r>
              <w:rPr>
                <w:sz w:val="20"/>
              </w:rPr>
              <w:t>фотодинамическая </w:t>
            </w:r>
            <w:r>
              <w:rPr>
                <w:spacing w:val="-2"/>
                <w:sz w:val="20"/>
              </w:rPr>
              <w:t>терапия</w:t>
            </w:r>
          </w:p>
        </w:tc>
      </w:tr>
      <w:tr>
        <w:trPr>
          <w:trHeight w:val="480" w:hRule="atLeast"/>
        </w:trPr>
        <w:tc>
          <w:tcPr>
            <w:tcW w:w="1911" w:type="dxa"/>
          </w:tcPr>
          <w:p>
            <w:pPr>
              <w:pStyle w:val="TableParagraph"/>
              <w:rPr>
                <w:sz w:val="18"/>
              </w:rPr>
            </w:pPr>
          </w:p>
        </w:tc>
        <w:tc>
          <w:tcPr>
            <w:tcW w:w="3172" w:type="dxa"/>
          </w:tcPr>
          <w:p>
            <w:pPr>
              <w:pStyle w:val="TableParagraph"/>
              <w:rPr>
                <w:sz w:val="18"/>
              </w:rPr>
            </w:pPr>
          </w:p>
        </w:tc>
        <w:tc>
          <w:tcPr>
            <w:tcW w:w="1541" w:type="dxa"/>
          </w:tcPr>
          <w:p>
            <w:pPr>
              <w:pStyle w:val="TableParagraph"/>
              <w:rPr>
                <w:sz w:val="18"/>
              </w:rPr>
            </w:pPr>
          </w:p>
        </w:tc>
        <w:tc>
          <w:tcPr>
            <w:tcW w:w="3580" w:type="dxa"/>
          </w:tcPr>
          <w:p>
            <w:pPr>
              <w:pStyle w:val="TableParagraph"/>
              <w:spacing w:before="120"/>
              <w:ind w:left="219"/>
              <w:rPr>
                <w:sz w:val="20"/>
              </w:rPr>
            </w:pPr>
            <w:r>
              <w:rPr>
                <w:spacing w:val="-2"/>
                <w:sz w:val="20"/>
              </w:rPr>
              <w:t>Биоэлектротерапия</w:t>
            </w:r>
          </w:p>
        </w:tc>
      </w:tr>
      <w:tr>
        <w:trPr>
          <w:trHeight w:val="720" w:hRule="atLeast"/>
        </w:trPr>
        <w:tc>
          <w:tcPr>
            <w:tcW w:w="1911" w:type="dxa"/>
          </w:tcPr>
          <w:p>
            <w:pPr>
              <w:pStyle w:val="TableParagraph"/>
              <w:spacing w:line="249" w:lineRule="auto" w:before="120"/>
              <w:ind w:left="408" w:hanging="318"/>
              <w:rPr>
                <w:sz w:val="20"/>
              </w:rPr>
            </w:pPr>
            <w:r>
              <w:rPr>
                <w:sz w:val="20"/>
              </w:rPr>
              <w:t>C78.1,</w:t>
            </w:r>
            <w:r>
              <w:rPr>
                <w:spacing w:val="-13"/>
                <w:sz w:val="20"/>
              </w:rPr>
              <w:t> </w:t>
            </w:r>
            <w:r>
              <w:rPr>
                <w:sz w:val="20"/>
              </w:rPr>
              <w:t>C38.4,</w:t>
            </w:r>
            <w:r>
              <w:rPr>
                <w:spacing w:val="-12"/>
                <w:sz w:val="20"/>
              </w:rPr>
              <w:t> </w:t>
            </w:r>
            <w:r>
              <w:rPr>
                <w:sz w:val="20"/>
              </w:rPr>
              <w:t>C38.8, C45.0, C78.2</w:t>
            </w:r>
          </w:p>
        </w:tc>
        <w:tc>
          <w:tcPr>
            <w:tcW w:w="3172" w:type="dxa"/>
          </w:tcPr>
          <w:p>
            <w:pPr>
              <w:pStyle w:val="TableParagraph"/>
              <w:spacing w:line="249" w:lineRule="auto" w:before="120"/>
              <w:ind w:left="78" w:right="696"/>
              <w:rPr>
                <w:sz w:val="20"/>
              </w:rPr>
            </w:pPr>
            <w:r>
              <w:rPr>
                <w:sz w:val="20"/>
              </w:rPr>
              <w:t>метастатическое</w:t>
            </w:r>
            <w:r>
              <w:rPr>
                <w:spacing w:val="-13"/>
                <w:sz w:val="20"/>
              </w:rPr>
              <w:t> </w:t>
            </w:r>
            <w:r>
              <w:rPr>
                <w:sz w:val="20"/>
              </w:rPr>
              <w:t>поражение </w:t>
            </w:r>
            <w:r>
              <w:rPr>
                <w:spacing w:val="-2"/>
                <w:sz w:val="20"/>
              </w:rPr>
              <w:t>плевры</w:t>
            </w:r>
          </w:p>
        </w:tc>
        <w:tc>
          <w:tcPr>
            <w:tcW w:w="1541" w:type="dxa"/>
          </w:tcPr>
          <w:p>
            <w:pPr>
              <w:pStyle w:val="TableParagraph"/>
              <w:spacing w:line="249" w:lineRule="auto" w:before="120"/>
              <w:ind w:left="63"/>
              <w:rPr>
                <w:sz w:val="20"/>
              </w:rPr>
            </w:pPr>
            <w:r>
              <w:rPr>
                <w:spacing w:val="-2"/>
                <w:sz w:val="20"/>
              </w:rPr>
              <w:t>хирургическое лечение</w:t>
            </w:r>
          </w:p>
        </w:tc>
        <w:tc>
          <w:tcPr>
            <w:tcW w:w="3580" w:type="dxa"/>
          </w:tcPr>
          <w:p>
            <w:pPr>
              <w:pStyle w:val="TableParagraph"/>
              <w:spacing w:line="249" w:lineRule="auto" w:before="120"/>
              <w:ind w:left="219" w:right="392"/>
              <w:rPr>
                <w:sz w:val="20"/>
              </w:rPr>
            </w:pPr>
            <w:r>
              <w:rPr>
                <w:sz w:val="20"/>
              </w:rPr>
              <w:t>видеоторакоскопическое</w:t>
            </w:r>
            <w:r>
              <w:rPr>
                <w:spacing w:val="-13"/>
                <w:sz w:val="20"/>
              </w:rPr>
              <w:t> </w:t>
            </w:r>
            <w:r>
              <w:rPr>
                <w:sz w:val="20"/>
              </w:rPr>
              <w:t>удаление опухоли плевры</w:t>
            </w:r>
          </w:p>
        </w:tc>
      </w:tr>
      <w:tr>
        <w:trPr>
          <w:trHeight w:val="720" w:hRule="atLeast"/>
        </w:trPr>
        <w:tc>
          <w:tcPr>
            <w:tcW w:w="1911" w:type="dxa"/>
          </w:tcPr>
          <w:p>
            <w:pPr>
              <w:pStyle w:val="TableParagraph"/>
              <w:rPr>
                <w:sz w:val="18"/>
              </w:rPr>
            </w:pPr>
          </w:p>
        </w:tc>
        <w:tc>
          <w:tcPr>
            <w:tcW w:w="3172" w:type="dxa"/>
          </w:tcPr>
          <w:p>
            <w:pPr>
              <w:pStyle w:val="TableParagraph"/>
              <w:rPr>
                <w:sz w:val="18"/>
              </w:rPr>
            </w:pPr>
          </w:p>
        </w:tc>
        <w:tc>
          <w:tcPr>
            <w:tcW w:w="1541" w:type="dxa"/>
          </w:tcPr>
          <w:p>
            <w:pPr>
              <w:pStyle w:val="TableParagraph"/>
              <w:rPr>
                <w:sz w:val="18"/>
              </w:rPr>
            </w:pPr>
          </w:p>
        </w:tc>
        <w:tc>
          <w:tcPr>
            <w:tcW w:w="3580" w:type="dxa"/>
          </w:tcPr>
          <w:p>
            <w:pPr>
              <w:pStyle w:val="TableParagraph"/>
              <w:spacing w:line="249" w:lineRule="auto" w:before="120"/>
              <w:ind w:left="219" w:right="141"/>
              <w:rPr>
                <w:sz w:val="20"/>
              </w:rPr>
            </w:pPr>
            <w:r>
              <w:rPr>
                <w:spacing w:val="-2"/>
                <w:sz w:val="20"/>
              </w:rPr>
              <w:t>видеоторакоскопическая плеврэктомия</w:t>
            </w:r>
          </w:p>
        </w:tc>
      </w:tr>
      <w:tr>
        <w:trPr>
          <w:trHeight w:val="1680" w:hRule="atLeast"/>
        </w:trPr>
        <w:tc>
          <w:tcPr>
            <w:tcW w:w="1911" w:type="dxa"/>
          </w:tcPr>
          <w:p>
            <w:pPr>
              <w:pStyle w:val="TableParagraph"/>
              <w:spacing w:before="120"/>
              <w:ind w:left="50"/>
              <w:rPr>
                <w:sz w:val="20"/>
              </w:rPr>
            </w:pPr>
            <w:r>
              <w:rPr>
                <w:sz w:val="20"/>
              </w:rPr>
              <w:t>C79.2,</w:t>
            </w:r>
            <w:r>
              <w:rPr>
                <w:spacing w:val="-6"/>
                <w:sz w:val="20"/>
              </w:rPr>
              <w:t> </w:t>
            </w:r>
            <w:r>
              <w:rPr>
                <w:sz w:val="20"/>
              </w:rPr>
              <w:t>C43,</w:t>
            </w:r>
            <w:r>
              <w:rPr>
                <w:spacing w:val="-4"/>
                <w:sz w:val="20"/>
              </w:rPr>
              <w:t> </w:t>
            </w:r>
            <w:r>
              <w:rPr>
                <w:sz w:val="20"/>
              </w:rPr>
              <w:t>C44,</w:t>
            </w:r>
            <w:r>
              <w:rPr>
                <w:spacing w:val="-4"/>
                <w:sz w:val="20"/>
              </w:rPr>
              <w:t> </w:t>
            </w:r>
            <w:r>
              <w:rPr>
                <w:spacing w:val="-5"/>
                <w:sz w:val="20"/>
              </w:rPr>
              <w:t>C50</w:t>
            </w:r>
          </w:p>
        </w:tc>
        <w:tc>
          <w:tcPr>
            <w:tcW w:w="3172" w:type="dxa"/>
          </w:tcPr>
          <w:p>
            <w:pPr>
              <w:pStyle w:val="TableParagraph"/>
              <w:spacing w:line="249" w:lineRule="auto" w:before="120"/>
              <w:ind w:left="78" w:right="126"/>
              <w:rPr>
                <w:sz w:val="20"/>
              </w:rPr>
            </w:pPr>
            <w:r>
              <w:rPr>
                <w:sz w:val="20"/>
              </w:rPr>
              <w:t>первичные и метастатические злокачественные</w:t>
            </w:r>
            <w:r>
              <w:rPr>
                <w:spacing w:val="-13"/>
                <w:sz w:val="20"/>
              </w:rPr>
              <w:t> </w:t>
            </w:r>
            <w:r>
              <w:rPr>
                <w:sz w:val="20"/>
              </w:rPr>
              <w:t>новообразования </w:t>
            </w:r>
            <w:r>
              <w:rPr>
                <w:spacing w:val="-4"/>
                <w:sz w:val="20"/>
              </w:rPr>
              <w:t>кожи</w:t>
            </w:r>
          </w:p>
        </w:tc>
        <w:tc>
          <w:tcPr>
            <w:tcW w:w="1541" w:type="dxa"/>
          </w:tcPr>
          <w:p>
            <w:pPr>
              <w:pStyle w:val="TableParagraph"/>
              <w:spacing w:line="249" w:lineRule="auto" w:before="120"/>
              <w:ind w:left="63"/>
              <w:rPr>
                <w:sz w:val="20"/>
              </w:rPr>
            </w:pPr>
            <w:r>
              <w:rPr>
                <w:spacing w:val="-2"/>
                <w:sz w:val="20"/>
              </w:rPr>
              <w:t>хирургическое лечение</w:t>
            </w:r>
          </w:p>
        </w:tc>
        <w:tc>
          <w:tcPr>
            <w:tcW w:w="3580" w:type="dxa"/>
          </w:tcPr>
          <w:p>
            <w:pPr>
              <w:pStyle w:val="TableParagraph"/>
              <w:spacing w:line="249" w:lineRule="auto" w:before="120"/>
              <w:ind w:left="219" w:right="39"/>
              <w:rPr>
                <w:sz w:val="20"/>
              </w:rPr>
            </w:pPr>
            <w:r>
              <w:rPr>
                <w:sz w:val="20"/>
              </w:rPr>
              <w:t>многокурсовая фотодинамическая терапия, пролонгированная фотодинамическая терапия, интерстициальная</w:t>
            </w:r>
            <w:r>
              <w:rPr>
                <w:spacing w:val="-13"/>
                <w:sz w:val="20"/>
              </w:rPr>
              <w:t> </w:t>
            </w:r>
            <w:r>
              <w:rPr>
                <w:sz w:val="20"/>
              </w:rPr>
              <w:t>фотодинамическая терапия,</w:t>
            </w:r>
            <w:r>
              <w:rPr>
                <w:spacing w:val="-13"/>
                <w:sz w:val="20"/>
              </w:rPr>
              <w:t> </w:t>
            </w:r>
            <w:r>
              <w:rPr>
                <w:sz w:val="20"/>
              </w:rPr>
              <w:t>фотодинамическая</w:t>
            </w:r>
            <w:r>
              <w:rPr>
                <w:spacing w:val="-12"/>
                <w:sz w:val="20"/>
              </w:rPr>
              <w:t> </w:t>
            </w:r>
            <w:r>
              <w:rPr>
                <w:sz w:val="20"/>
              </w:rPr>
              <w:t>терапия</w:t>
            </w:r>
            <w:r>
              <w:rPr>
                <w:spacing w:val="-13"/>
                <w:sz w:val="20"/>
              </w:rPr>
              <w:t> </w:t>
            </w:r>
            <w:r>
              <w:rPr>
                <w:sz w:val="20"/>
              </w:rPr>
              <w:t>с </w:t>
            </w:r>
            <w:r>
              <w:rPr>
                <w:spacing w:val="-2"/>
                <w:sz w:val="20"/>
              </w:rPr>
              <w:t>гипертермией</w:t>
            </w:r>
          </w:p>
        </w:tc>
      </w:tr>
      <w:tr>
        <w:trPr>
          <w:trHeight w:val="959" w:hRule="atLeast"/>
        </w:trPr>
        <w:tc>
          <w:tcPr>
            <w:tcW w:w="1911" w:type="dxa"/>
            <w:vMerge w:val="restart"/>
          </w:tcPr>
          <w:p>
            <w:pPr>
              <w:pStyle w:val="TableParagraph"/>
              <w:spacing w:before="120"/>
              <w:ind w:left="80" w:right="109"/>
              <w:jc w:val="center"/>
              <w:rPr>
                <w:sz w:val="20"/>
              </w:rPr>
            </w:pPr>
            <w:r>
              <w:rPr>
                <w:sz w:val="20"/>
              </w:rPr>
              <w:t>C79.5,</w:t>
            </w:r>
            <w:r>
              <w:rPr>
                <w:spacing w:val="-5"/>
                <w:sz w:val="20"/>
              </w:rPr>
              <w:t> </w:t>
            </w:r>
            <w:r>
              <w:rPr>
                <w:sz w:val="20"/>
              </w:rPr>
              <w:t>C40.0,</w:t>
            </w:r>
            <w:r>
              <w:rPr>
                <w:spacing w:val="-5"/>
                <w:sz w:val="20"/>
              </w:rPr>
              <w:t> </w:t>
            </w:r>
            <w:r>
              <w:rPr>
                <w:spacing w:val="-2"/>
                <w:sz w:val="20"/>
              </w:rPr>
              <w:t>C40.1,</w:t>
            </w:r>
          </w:p>
          <w:p>
            <w:pPr>
              <w:pStyle w:val="TableParagraph"/>
              <w:spacing w:before="10"/>
              <w:ind w:left="80" w:right="109"/>
              <w:jc w:val="center"/>
              <w:rPr>
                <w:sz w:val="20"/>
              </w:rPr>
            </w:pPr>
            <w:r>
              <w:rPr>
                <w:sz w:val="20"/>
              </w:rPr>
              <w:t>C40.2,</w:t>
            </w:r>
            <w:r>
              <w:rPr>
                <w:spacing w:val="-5"/>
                <w:sz w:val="20"/>
              </w:rPr>
              <w:t> </w:t>
            </w:r>
            <w:r>
              <w:rPr>
                <w:sz w:val="20"/>
              </w:rPr>
              <w:t>C40.3,</w:t>
            </w:r>
            <w:r>
              <w:rPr>
                <w:spacing w:val="-5"/>
                <w:sz w:val="20"/>
              </w:rPr>
              <w:t> </w:t>
            </w:r>
            <w:r>
              <w:rPr>
                <w:spacing w:val="-2"/>
                <w:sz w:val="20"/>
              </w:rPr>
              <w:t>C40.8,</w:t>
            </w:r>
          </w:p>
          <w:p>
            <w:pPr>
              <w:pStyle w:val="TableParagraph"/>
              <w:spacing w:before="10"/>
              <w:ind w:left="81" w:right="107"/>
              <w:jc w:val="center"/>
              <w:rPr>
                <w:sz w:val="20"/>
              </w:rPr>
            </w:pPr>
            <w:r>
              <w:rPr>
                <w:sz w:val="20"/>
              </w:rPr>
              <w:t>C40.9,</w:t>
            </w:r>
            <w:r>
              <w:rPr>
                <w:spacing w:val="-5"/>
                <w:sz w:val="20"/>
              </w:rPr>
              <w:t> </w:t>
            </w:r>
            <w:r>
              <w:rPr>
                <w:sz w:val="20"/>
              </w:rPr>
              <w:t>C41.2,</w:t>
            </w:r>
            <w:r>
              <w:rPr>
                <w:spacing w:val="-5"/>
                <w:sz w:val="20"/>
              </w:rPr>
              <w:t> </w:t>
            </w:r>
            <w:r>
              <w:rPr>
                <w:spacing w:val="-2"/>
                <w:sz w:val="20"/>
              </w:rPr>
              <w:t>C41.3,</w:t>
            </w:r>
          </w:p>
          <w:p>
            <w:pPr>
              <w:pStyle w:val="TableParagraph"/>
              <w:spacing w:line="249" w:lineRule="auto" w:before="10"/>
              <w:ind w:left="80" w:right="109"/>
              <w:jc w:val="center"/>
              <w:rPr>
                <w:sz w:val="20"/>
              </w:rPr>
            </w:pPr>
            <w:r>
              <w:rPr>
                <w:sz w:val="20"/>
              </w:rPr>
              <w:t>C41.4,</w:t>
            </w:r>
            <w:r>
              <w:rPr>
                <w:spacing w:val="-13"/>
                <w:sz w:val="20"/>
              </w:rPr>
              <w:t> </w:t>
            </w:r>
            <w:r>
              <w:rPr>
                <w:sz w:val="20"/>
              </w:rPr>
              <w:t>C41.8,</w:t>
            </w:r>
            <w:r>
              <w:rPr>
                <w:spacing w:val="-12"/>
                <w:sz w:val="20"/>
              </w:rPr>
              <w:t> </w:t>
            </w:r>
            <w:r>
              <w:rPr>
                <w:sz w:val="20"/>
              </w:rPr>
              <w:t>C41.9, C49, C50, C79.8</w:t>
            </w:r>
          </w:p>
        </w:tc>
        <w:tc>
          <w:tcPr>
            <w:tcW w:w="3172" w:type="dxa"/>
            <w:vMerge w:val="restart"/>
          </w:tcPr>
          <w:p>
            <w:pPr>
              <w:pStyle w:val="TableParagraph"/>
              <w:spacing w:line="249" w:lineRule="auto" w:before="120"/>
              <w:ind w:left="78" w:right="99"/>
              <w:rPr>
                <w:sz w:val="20"/>
              </w:rPr>
            </w:pPr>
            <w:r>
              <w:rPr>
                <w:sz w:val="20"/>
              </w:rPr>
              <w:t>метастатические</w:t>
            </w:r>
            <w:r>
              <w:rPr>
                <w:spacing w:val="-13"/>
                <w:sz w:val="20"/>
              </w:rPr>
              <w:t> </w:t>
            </w:r>
            <w:r>
              <w:rPr>
                <w:sz w:val="20"/>
              </w:rPr>
              <w:t>опухоли</w:t>
            </w:r>
            <w:r>
              <w:rPr>
                <w:spacing w:val="-12"/>
                <w:sz w:val="20"/>
              </w:rPr>
              <w:t> </w:t>
            </w:r>
            <w:r>
              <w:rPr>
                <w:sz w:val="20"/>
              </w:rPr>
              <w:t>костей. Первичные опухоли костей IV стадии. Первичные опухоли мягких тканей IV стадии.</w:t>
            </w:r>
          </w:p>
          <w:p>
            <w:pPr>
              <w:pStyle w:val="TableParagraph"/>
              <w:spacing w:before="3"/>
              <w:ind w:left="78"/>
              <w:rPr>
                <w:sz w:val="20"/>
              </w:rPr>
            </w:pPr>
            <w:r>
              <w:rPr>
                <w:spacing w:val="-2"/>
                <w:sz w:val="20"/>
              </w:rPr>
              <w:t>Метастатические</w:t>
            </w:r>
            <w:r>
              <w:rPr>
                <w:spacing w:val="9"/>
                <w:sz w:val="20"/>
              </w:rPr>
              <w:t> </w:t>
            </w:r>
            <w:r>
              <w:rPr>
                <w:spacing w:val="-2"/>
                <w:sz w:val="20"/>
              </w:rPr>
              <w:t>опухоли</w:t>
            </w:r>
            <w:r>
              <w:rPr>
                <w:spacing w:val="8"/>
                <w:sz w:val="20"/>
              </w:rPr>
              <w:t> </w:t>
            </w:r>
            <w:r>
              <w:rPr>
                <w:spacing w:val="-2"/>
                <w:sz w:val="20"/>
              </w:rPr>
              <w:t>мягких</w:t>
            </w:r>
          </w:p>
          <w:p>
            <w:pPr>
              <w:pStyle w:val="TableParagraph"/>
              <w:spacing w:line="210" w:lineRule="exact" w:before="10"/>
              <w:ind w:left="78"/>
              <w:rPr>
                <w:sz w:val="20"/>
              </w:rPr>
            </w:pPr>
            <w:r>
              <w:rPr>
                <w:spacing w:val="-2"/>
                <w:sz w:val="20"/>
              </w:rPr>
              <w:t>тканей</w:t>
            </w:r>
          </w:p>
        </w:tc>
        <w:tc>
          <w:tcPr>
            <w:tcW w:w="1541" w:type="dxa"/>
          </w:tcPr>
          <w:p>
            <w:pPr>
              <w:pStyle w:val="TableParagraph"/>
              <w:spacing w:line="249" w:lineRule="auto" w:before="120"/>
              <w:ind w:left="63"/>
              <w:rPr>
                <w:sz w:val="20"/>
              </w:rPr>
            </w:pPr>
            <w:r>
              <w:rPr>
                <w:spacing w:val="-2"/>
                <w:sz w:val="20"/>
              </w:rPr>
              <w:t>хирургическое лечение</w:t>
            </w:r>
          </w:p>
        </w:tc>
        <w:tc>
          <w:tcPr>
            <w:tcW w:w="3580" w:type="dxa"/>
          </w:tcPr>
          <w:p>
            <w:pPr>
              <w:pStyle w:val="TableParagraph"/>
              <w:spacing w:line="249" w:lineRule="auto" w:before="120"/>
              <w:ind w:left="219" w:right="385"/>
              <w:jc w:val="both"/>
              <w:rPr>
                <w:sz w:val="20"/>
              </w:rPr>
            </w:pPr>
            <w:r>
              <w:rPr>
                <w:sz w:val="20"/>
              </w:rPr>
              <w:t>остеопластика</w:t>
            </w:r>
            <w:r>
              <w:rPr>
                <w:spacing w:val="-13"/>
                <w:sz w:val="20"/>
              </w:rPr>
              <w:t> </w:t>
            </w:r>
            <w:r>
              <w:rPr>
                <w:sz w:val="20"/>
              </w:rPr>
              <w:t>под</w:t>
            </w:r>
            <w:r>
              <w:rPr>
                <w:spacing w:val="-12"/>
                <w:sz w:val="20"/>
              </w:rPr>
              <w:t> </w:t>
            </w:r>
            <w:r>
              <w:rPr>
                <w:sz w:val="20"/>
              </w:rPr>
              <w:t>ультразвуковой навигацией</w:t>
            </w:r>
            <w:r>
              <w:rPr>
                <w:spacing w:val="-4"/>
                <w:sz w:val="20"/>
              </w:rPr>
              <w:t> </w:t>
            </w:r>
            <w:r>
              <w:rPr>
                <w:sz w:val="20"/>
              </w:rPr>
              <w:t>и</w:t>
            </w:r>
            <w:r>
              <w:rPr>
                <w:spacing w:val="-4"/>
                <w:sz w:val="20"/>
              </w:rPr>
              <w:t> </w:t>
            </w:r>
            <w:r>
              <w:rPr>
                <w:sz w:val="20"/>
              </w:rPr>
              <w:t>(или)</w:t>
            </w:r>
            <w:r>
              <w:rPr>
                <w:spacing w:val="-1"/>
                <w:sz w:val="20"/>
              </w:rPr>
              <w:t> </w:t>
            </w:r>
            <w:r>
              <w:rPr>
                <w:sz w:val="20"/>
              </w:rPr>
              <w:t>под</w:t>
            </w:r>
            <w:r>
              <w:rPr>
                <w:spacing w:val="-4"/>
                <w:sz w:val="20"/>
              </w:rPr>
              <w:t> </w:t>
            </w:r>
            <w:r>
              <w:rPr>
                <w:sz w:val="20"/>
              </w:rPr>
              <w:t>контролем компьютерной томографии</w:t>
            </w:r>
          </w:p>
        </w:tc>
      </w:tr>
      <w:tr>
        <w:trPr>
          <w:trHeight w:val="590" w:hRule="atLeast"/>
        </w:trPr>
        <w:tc>
          <w:tcPr>
            <w:tcW w:w="1911" w:type="dxa"/>
            <w:vMerge/>
            <w:tcBorders>
              <w:top w:val="nil"/>
            </w:tcBorders>
          </w:tcPr>
          <w:p>
            <w:pPr>
              <w:rPr>
                <w:sz w:val="2"/>
                <w:szCs w:val="2"/>
              </w:rPr>
            </w:pPr>
          </w:p>
        </w:tc>
        <w:tc>
          <w:tcPr>
            <w:tcW w:w="3172" w:type="dxa"/>
            <w:vMerge/>
            <w:tcBorders>
              <w:top w:val="nil"/>
            </w:tcBorders>
          </w:tcPr>
          <w:p>
            <w:pPr>
              <w:rPr>
                <w:sz w:val="2"/>
                <w:szCs w:val="2"/>
              </w:rPr>
            </w:pPr>
          </w:p>
        </w:tc>
        <w:tc>
          <w:tcPr>
            <w:tcW w:w="1541" w:type="dxa"/>
          </w:tcPr>
          <w:p>
            <w:pPr>
              <w:pStyle w:val="TableParagraph"/>
              <w:rPr>
                <w:sz w:val="18"/>
              </w:rPr>
            </w:pPr>
          </w:p>
        </w:tc>
        <w:tc>
          <w:tcPr>
            <w:tcW w:w="3580" w:type="dxa"/>
          </w:tcPr>
          <w:p>
            <w:pPr>
              <w:pStyle w:val="TableParagraph"/>
              <w:spacing w:line="240" w:lineRule="atLeast" w:before="90"/>
              <w:ind w:left="219" w:right="141"/>
              <w:rPr>
                <w:sz w:val="20"/>
              </w:rPr>
            </w:pPr>
            <w:r>
              <w:rPr>
                <w:sz w:val="20"/>
              </w:rPr>
              <w:t>аблация радиочастотная новообразований</w:t>
            </w:r>
            <w:r>
              <w:rPr>
                <w:spacing w:val="-13"/>
                <w:sz w:val="20"/>
              </w:rPr>
              <w:t> </w:t>
            </w:r>
            <w:r>
              <w:rPr>
                <w:sz w:val="20"/>
              </w:rPr>
              <w:t>костей</w:t>
            </w:r>
            <w:r>
              <w:rPr>
                <w:spacing w:val="-12"/>
                <w:sz w:val="20"/>
              </w:rPr>
              <w:t> </w:t>
            </w:r>
            <w:r>
              <w:rPr>
                <w:sz w:val="20"/>
              </w:rPr>
              <w:t>под</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2"/>
        <w:gridCol w:w="1925"/>
        <w:gridCol w:w="3154"/>
        <w:gridCol w:w="1579"/>
        <w:gridCol w:w="3564"/>
      </w:tblGrid>
      <w:tr>
        <w:trPr>
          <w:trHeight w:val="83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ind w:left="218"/>
              <w:rPr>
                <w:sz w:val="20"/>
              </w:rPr>
            </w:pPr>
            <w:r>
              <w:rPr>
                <w:sz w:val="20"/>
              </w:rPr>
              <w:t>ультразвуковой и (или) рентгеннавигацией и (или) под контролем</w:t>
            </w:r>
            <w:r>
              <w:rPr>
                <w:spacing w:val="-13"/>
                <w:sz w:val="20"/>
              </w:rPr>
              <w:t> </w:t>
            </w:r>
            <w:r>
              <w:rPr>
                <w:sz w:val="20"/>
              </w:rPr>
              <w:t>компьютерной</w:t>
            </w:r>
            <w:r>
              <w:rPr>
                <w:spacing w:val="-12"/>
                <w:sz w:val="20"/>
              </w:rPr>
              <w:t> </w:t>
            </w:r>
            <w:r>
              <w:rPr>
                <w:sz w:val="20"/>
              </w:rPr>
              <w:t>томографии</w:t>
            </w:r>
          </w:p>
        </w:tc>
      </w:tr>
      <w:tr>
        <w:trPr>
          <w:trHeight w:val="72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52" w:lineRule="auto" w:before="120"/>
              <w:ind w:left="218"/>
              <w:rPr>
                <w:sz w:val="20"/>
              </w:rPr>
            </w:pPr>
            <w:r>
              <w:rPr>
                <w:sz w:val="20"/>
              </w:rPr>
              <w:t>вертебропластика</w:t>
            </w:r>
            <w:r>
              <w:rPr>
                <w:spacing w:val="-13"/>
                <w:sz w:val="20"/>
              </w:rPr>
              <w:t> </w:t>
            </w:r>
            <w:r>
              <w:rPr>
                <w:sz w:val="20"/>
              </w:rPr>
              <w:t>под</w:t>
            </w:r>
            <w:r>
              <w:rPr>
                <w:spacing w:val="-12"/>
                <w:sz w:val="20"/>
              </w:rPr>
              <w:t> </w:t>
            </w:r>
            <w:r>
              <w:rPr>
                <w:sz w:val="20"/>
              </w:rPr>
              <w:t>лучевым </w:t>
            </w:r>
            <w:r>
              <w:rPr>
                <w:spacing w:val="-2"/>
                <w:sz w:val="20"/>
              </w:rPr>
              <w:t>контролем</w:t>
            </w:r>
          </w:p>
        </w:tc>
      </w:tr>
      <w:tr>
        <w:trPr>
          <w:trHeight w:val="84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0" w:lineRule="atLeast" w:before="100"/>
              <w:ind w:left="218" w:right="425"/>
              <w:rPr>
                <w:sz w:val="20"/>
              </w:rPr>
            </w:pPr>
            <w:r>
              <w:rPr>
                <w:sz w:val="20"/>
              </w:rPr>
              <w:t>селективная (суперселективная) эмболизация</w:t>
            </w:r>
            <w:r>
              <w:rPr>
                <w:spacing w:val="-13"/>
                <w:sz w:val="20"/>
              </w:rPr>
              <w:t> </w:t>
            </w:r>
            <w:r>
              <w:rPr>
                <w:sz w:val="20"/>
              </w:rPr>
              <w:t>(химиоэмболизация) опухолевых сосудов</w:t>
            </w:r>
          </w:p>
        </w:tc>
      </w:tr>
      <w:tr>
        <w:trPr>
          <w:trHeight w:val="156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ind w:left="218"/>
              <w:rPr>
                <w:sz w:val="20"/>
              </w:rPr>
            </w:pPr>
            <w:r>
              <w:rPr>
                <w:sz w:val="20"/>
              </w:rPr>
              <w:t>многокурсовая фотодинамическая терапия, пролонгированная фотодинамическая терапия, интерстициальная</w:t>
            </w:r>
            <w:r>
              <w:rPr>
                <w:spacing w:val="-13"/>
                <w:sz w:val="20"/>
              </w:rPr>
              <w:t> </w:t>
            </w:r>
            <w:r>
              <w:rPr>
                <w:sz w:val="20"/>
              </w:rPr>
              <w:t>фотодинамическая терапия,</w:t>
            </w:r>
            <w:r>
              <w:rPr>
                <w:spacing w:val="-13"/>
                <w:sz w:val="20"/>
              </w:rPr>
              <w:t> </w:t>
            </w:r>
            <w:r>
              <w:rPr>
                <w:sz w:val="20"/>
              </w:rPr>
              <w:t>фотодинамическая</w:t>
            </w:r>
            <w:r>
              <w:rPr>
                <w:spacing w:val="-12"/>
                <w:sz w:val="20"/>
              </w:rPr>
              <w:t> </w:t>
            </w:r>
            <w:r>
              <w:rPr>
                <w:sz w:val="20"/>
              </w:rPr>
              <w:t>терапия</w:t>
            </w:r>
            <w:r>
              <w:rPr>
                <w:spacing w:val="-13"/>
                <w:sz w:val="20"/>
              </w:rPr>
              <w:t> </w:t>
            </w:r>
            <w:r>
              <w:rPr>
                <w:sz w:val="20"/>
              </w:rPr>
              <w:t>с </w:t>
            </w:r>
            <w:r>
              <w:rPr>
                <w:spacing w:val="-2"/>
                <w:sz w:val="20"/>
              </w:rPr>
              <w:t>гипертермией</w:t>
            </w:r>
          </w:p>
        </w:tc>
      </w:tr>
      <w:tr>
        <w:trPr>
          <w:trHeight w:val="48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before="120"/>
              <w:ind w:left="218"/>
              <w:rPr>
                <w:sz w:val="20"/>
              </w:rPr>
            </w:pPr>
            <w:r>
              <w:rPr>
                <w:spacing w:val="-2"/>
                <w:sz w:val="20"/>
              </w:rPr>
              <w:t>биоэлектротерапия</w:t>
            </w:r>
          </w:p>
        </w:tc>
      </w:tr>
      <w:tr>
        <w:trPr>
          <w:trHeight w:val="1080" w:hRule="atLeast"/>
        </w:trPr>
        <w:tc>
          <w:tcPr>
            <w:tcW w:w="2912" w:type="dxa"/>
            <w:vMerge w:val="restart"/>
          </w:tcPr>
          <w:p>
            <w:pPr>
              <w:pStyle w:val="TableParagraph"/>
              <w:spacing w:line="249" w:lineRule="auto" w:before="120"/>
              <w:ind w:left="50" w:right="122"/>
              <w:rPr>
                <w:sz w:val="20"/>
              </w:rPr>
            </w:pPr>
            <w:r>
              <w:rPr>
                <w:spacing w:val="-2"/>
                <w:sz w:val="20"/>
              </w:rPr>
              <w:t>Реконструктивно-пластические, микрохирургические,</w:t>
            </w:r>
            <w:r>
              <w:rPr>
                <w:spacing w:val="40"/>
                <w:sz w:val="20"/>
              </w:rPr>
              <w:t> </w:t>
            </w:r>
            <w:r>
              <w:rPr>
                <w:sz w:val="20"/>
              </w:rPr>
              <w:t>обширные циторедуктивные, </w:t>
            </w:r>
            <w:r>
              <w:rPr>
                <w:spacing w:val="-2"/>
                <w:sz w:val="20"/>
              </w:rPr>
              <w:t>расширенно-комбинированные </w:t>
            </w:r>
            <w:r>
              <w:rPr>
                <w:sz w:val="20"/>
              </w:rPr>
              <w:t>хирургические вмешательства, в том числе с применением физических факторов (гипертермия, радиочастотная </w:t>
            </w:r>
            <w:r>
              <w:rPr>
                <w:spacing w:val="-2"/>
                <w:sz w:val="20"/>
              </w:rPr>
              <w:t>термоаблация, </w:t>
            </w:r>
            <w:r>
              <w:rPr>
                <w:sz w:val="20"/>
              </w:rPr>
              <w:t>фотодинамическая терапия, лазерная и криодеструкция и др.) при злокачественных новообразованиях, в том числе у детей</w:t>
            </w:r>
          </w:p>
        </w:tc>
        <w:tc>
          <w:tcPr>
            <w:tcW w:w="1925" w:type="dxa"/>
            <w:vMerge w:val="restart"/>
          </w:tcPr>
          <w:p>
            <w:pPr>
              <w:pStyle w:val="TableParagraph"/>
              <w:spacing w:before="120"/>
              <w:ind w:left="113" w:right="92"/>
              <w:jc w:val="center"/>
              <w:rPr>
                <w:sz w:val="20"/>
              </w:rPr>
            </w:pPr>
            <w:r>
              <w:rPr>
                <w:sz w:val="20"/>
              </w:rPr>
              <w:t>C00.0,</w:t>
            </w:r>
            <w:r>
              <w:rPr>
                <w:spacing w:val="-5"/>
                <w:sz w:val="20"/>
              </w:rPr>
              <w:t> </w:t>
            </w:r>
            <w:r>
              <w:rPr>
                <w:sz w:val="20"/>
              </w:rPr>
              <w:t>C00.1,</w:t>
            </w:r>
            <w:r>
              <w:rPr>
                <w:spacing w:val="-5"/>
                <w:sz w:val="20"/>
              </w:rPr>
              <w:t> </w:t>
            </w:r>
            <w:r>
              <w:rPr>
                <w:spacing w:val="-2"/>
                <w:sz w:val="20"/>
              </w:rPr>
              <w:t>C00.2,</w:t>
            </w:r>
          </w:p>
          <w:p>
            <w:pPr>
              <w:pStyle w:val="TableParagraph"/>
              <w:spacing w:before="10"/>
              <w:ind w:left="113" w:right="92"/>
              <w:jc w:val="center"/>
              <w:rPr>
                <w:sz w:val="20"/>
              </w:rPr>
            </w:pPr>
            <w:r>
              <w:rPr>
                <w:sz w:val="20"/>
              </w:rPr>
              <w:t>C00.3,</w:t>
            </w:r>
            <w:r>
              <w:rPr>
                <w:spacing w:val="-5"/>
                <w:sz w:val="20"/>
              </w:rPr>
              <w:t> </w:t>
            </w:r>
            <w:r>
              <w:rPr>
                <w:sz w:val="20"/>
              </w:rPr>
              <w:t>C00.4,</w:t>
            </w:r>
            <w:r>
              <w:rPr>
                <w:spacing w:val="-5"/>
                <w:sz w:val="20"/>
              </w:rPr>
              <w:t> </w:t>
            </w:r>
            <w:r>
              <w:rPr>
                <w:spacing w:val="-2"/>
                <w:sz w:val="20"/>
              </w:rPr>
              <w:t>C00.5,</w:t>
            </w:r>
          </w:p>
          <w:p>
            <w:pPr>
              <w:pStyle w:val="TableParagraph"/>
              <w:spacing w:line="249" w:lineRule="auto" w:before="10"/>
              <w:ind w:left="113" w:right="89"/>
              <w:jc w:val="center"/>
              <w:rPr>
                <w:sz w:val="20"/>
              </w:rPr>
            </w:pPr>
            <w:r>
              <w:rPr>
                <w:sz w:val="20"/>
              </w:rPr>
              <w:t>C00.6,</w:t>
            </w:r>
            <w:r>
              <w:rPr>
                <w:spacing w:val="-13"/>
                <w:sz w:val="20"/>
              </w:rPr>
              <w:t> </w:t>
            </w:r>
            <w:r>
              <w:rPr>
                <w:sz w:val="20"/>
              </w:rPr>
              <w:t>C00.8,</w:t>
            </w:r>
            <w:r>
              <w:rPr>
                <w:spacing w:val="-12"/>
                <w:sz w:val="20"/>
              </w:rPr>
              <w:t> </w:t>
            </w:r>
            <w:r>
              <w:rPr>
                <w:sz w:val="20"/>
              </w:rPr>
              <w:t>C00.9, C01, C02, C03.1, C03.9,</w:t>
            </w:r>
            <w:r>
              <w:rPr>
                <w:spacing w:val="-13"/>
                <w:sz w:val="20"/>
              </w:rPr>
              <w:t> </w:t>
            </w:r>
            <w:r>
              <w:rPr>
                <w:sz w:val="20"/>
              </w:rPr>
              <w:t>C04.0,</w:t>
            </w:r>
            <w:r>
              <w:rPr>
                <w:spacing w:val="-12"/>
                <w:sz w:val="20"/>
              </w:rPr>
              <w:t> </w:t>
            </w:r>
            <w:r>
              <w:rPr>
                <w:sz w:val="20"/>
              </w:rPr>
              <w:t>C04.1,</w:t>
            </w:r>
          </w:p>
          <w:p>
            <w:pPr>
              <w:pStyle w:val="TableParagraph"/>
              <w:spacing w:before="3"/>
              <w:ind w:left="198"/>
              <w:rPr>
                <w:sz w:val="20"/>
              </w:rPr>
            </w:pPr>
            <w:r>
              <w:rPr>
                <w:sz w:val="20"/>
              </w:rPr>
              <w:t>C04.8,</w:t>
            </w:r>
            <w:r>
              <w:rPr>
                <w:spacing w:val="-5"/>
                <w:sz w:val="20"/>
              </w:rPr>
              <w:t> </w:t>
            </w:r>
            <w:r>
              <w:rPr>
                <w:sz w:val="20"/>
              </w:rPr>
              <w:t>C04.9,</w:t>
            </w:r>
            <w:r>
              <w:rPr>
                <w:spacing w:val="-5"/>
                <w:sz w:val="20"/>
              </w:rPr>
              <w:t> </w:t>
            </w:r>
            <w:r>
              <w:rPr>
                <w:spacing w:val="-4"/>
                <w:sz w:val="20"/>
              </w:rPr>
              <w:t>C05,</w:t>
            </w:r>
          </w:p>
          <w:p>
            <w:pPr>
              <w:pStyle w:val="TableParagraph"/>
              <w:spacing w:before="10"/>
              <w:ind w:left="124"/>
              <w:rPr>
                <w:sz w:val="20"/>
              </w:rPr>
            </w:pPr>
            <w:r>
              <w:rPr>
                <w:sz w:val="20"/>
              </w:rPr>
              <w:t>C06.0,</w:t>
            </w:r>
            <w:r>
              <w:rPr>
                <w:spacing w:val="-5"/>
                <w:sz w:val="20"/>
              </w:rPr>
              <w:t> </w:t>
            </w:r>
            <w:r>
              <w:rPr>
                <w:sz w:val="20"/>
              </w:rPr>
              <w:t>C06.1,</w:t>
            </w:r>
            <w:r>
              <w:rPr>
                <w:spacing w:val="-5"/>
                <w:sz w:val="20"/>
              </w:rPr>
              <w:t> </w:t>
            </w:r>
            <w:r>
              <w:rPr>
                <w:spacing w:val="-2"/>
                <w:sz w:val="20"/>
              </w:rPr>
              <w:t>C06.2,</w:t>
            </w:r>
          </w:p>
          <w:p>
            <w:pPr>
              <w:pStyle w:val="TableParagraph"/>
              <w:spacing w:before="10"/>
              <w:ind w:left="198"/>
              <w:rPr>
                <w:sz w:val="20"/>
              </w:rPr>
            </w:pPr>
            <w:r>
              <w:rPr>
                <w:sz w:val="20"/>
              </w:rPr>
              <w:t>C06.9,</w:t>
            </w:r>
            <w:r>
              <w:rPr>
                <w:spacing w:val="-4"/>
                <w:sz w:val="20"/>
              </w:rPr>
              <w:t> </w:t>
            </w:r>
            <w:r>
              <w:rPr>
                <w:sz w:val="20"/>
              </w:rPr>
              <w:t>C07,</w:t>
            </w:r>
            <w:r>
              <w:rPr>
                <w:spacing w:val="-3"/>
                <w:sz w:val="20"/>
              </w:rPr>
              <w:t> </w:t>
            </w:r>
            <w:r>
              <w:rPr>
                <w:spacing w:val="-2"/>
                <w:sz w:val="20"/>
              </w:rPr>
              <w:t>C08.0,</w:t>
            </w:r>
          </w:p>
          <w:p>
            <w:pPr>
              <w:pStyle w:val="TableParagraph"/>
              <w:spacing w:before="10"/>
              <w:ind w:left="124"/>
              <w:rPr>
                <w:sz w:val="20"/>
              </w:rPr>
            </w:pPr>
            <w:r>
              <w:rPr>
                <w:sz w:val="20"/>
              </w:rPr>
              <w:t>C08.1,</w:t>
            </w:r>
            <w:r>
              <w:rPr>
                <w:spacing w:val="-5"/>
                <w:sz w:val="20"/>
              </w:rPr>
              <w:t> </w:t>
            </w:r>
            <w:r>
              <w:rPr>
                <w:sz w:val="20"/>
              </w:rPr>
              <w:t>C08.8,</w:t>
            </w:r>
            <w:r>
              <w:rPr>
                <w:spacing w:val="-5"/>
                <w:sz w:val="20"/>
              </w:rPr>
              <w:t> </w:t>
            </w:r>
            <w:r>
              <w:rPr>
                <w:spacing w:val="-2"/>
                <w:sz w:val="20"/>
              </w:rPr>
              <w:t>C08.9,</w:t>
            </w:r>
          </w:p>
          <w:p>
            <w:pPr>
              <w:pStyle w:val="TableParagraph"/>
              <w:spacing w:before="10"/>
              <w:ind w:left="124"/>
              <w:rPr>
                <w:sz w:val="20"/>
              </w:rPr>
            </w:pPr>
            <w:r>
              <w:rPr>
                <w:sz w:val="20"/>
              </w:rPr>
              <w:t>C09.0,</w:t>
            </w:r>
            <w:r>
              <w:rPr>
                <w:spacing w:val="-5"/>
                <w:sz w:val="20"/>
              </w:rPr>
              <w:t> </w:t>
            </w:r>
            <w:r>
              <w:rPr>
                <w:sz w:val="20"/>
              </w:rPr>
              <w:t>C09.8,</w:t>
            </w:r>
            <w:r>
              <w:rPr>
                <w:spacing w:val="-5"/>
                <w:sz w:val="20"/>
              </w:rPr>
              <w:t> </w:t>
            </w:r>
            <w:r>
              <w:rPr>
                <w:spacing w:val="-2"/>
                <w:sz w:val="20"/>
              </w:rPr>
              <w:t>C09.9,</w:t>
            </w:r>
          </w:p>
          <w:p>
            <w:pPr>
              <w:pStyle w:val="TableParagraph"/>
              <w:spacing w:before="10"/>
              <w:ind w:left="124"/>
              <w:rPr>
                <w:sz w:val="20"/>
              </w:rPr>
            </w:pPr>
            <w:hyperlink r:id="rId32">
              <w:r>
                <w:rPr>
                  <w:sz w:val="20"/>
                </w:rPr>
                <w:t>C10.0,</w:t>
              </w:r>
              <w:r>
                <w:rPr>
                  <w:spacing w:val="-5"/>
                  <w:sz w:val="20"/>
                </w:rPr>
                <w:t> </w:t>
              </w:r>
            </w:hyperlink>
            <w:r>
              <w:rPr>
                <w:sz w:val="20"/>
              </w:rPr>
              <w:t>C10.1,</w:t>
            </w:r>
            <w:r>
              <w:rPr>
                <w:spacing w:val="-4"/>
                <w:sz w:val="20"/>
              </w:rPr>
              <w:t> </w:t>
            </w:r>
            <w:r>
              <w:rPr>
                <w:spacing w:val="-2"/>
                <w:sz w:val="20"/>
              </w:rPr>
              <w:t>C10.2,</w:t>
            </w:r>
          </w:p>
          <w:p>
            <w:pPr>
              <w:pStyle w:val="TableParagraph"/>
              <w:spacing w:before="10"/>
              <w:ind w:left="124"/>
              <w:rPr>
                <w:sz w:val="20"/>
              </w:rPr>
            </w:pPr>
            <w:hyperlink r:id="rId33">
              <w:r>
                <w:rPr>
                  <w:sz w:val="20"/>
                </w:rPr>
                <w:t>C10.4,</w:t>
              </w:r>
              <w:r>
                <w:rPr>
                  <w:spacing w:val="-3"/>
                  <w:sz w:val="20"/>
                </w:rPr>
                <w:t> </w:t>
              </w:r>
            </w:hyperlink>
            <w:hyperlink r:id="rId34">
              <w:r>
                <w:rPr>
                  <w:sz w:val="20"/>
                </w:rPr>
                <w:t>C10.8,</w:t>
              </w:r>
              <w:r>
                <w:rPr>
                  <w:spacing w:val="-3"/>
                  <w:sz w:val="20"/>
                </w:rPr>
                <w:t> </w:t>
              </w:r>
            </w:hyperlink>
            <w:hyperlink r:id="rId35">
              <w:r>
                <w:rPr>
                  <w:spacing w:val="-2"/>
                  <w:sz w:val="20"/>
                </w:rPr>
                <w:t>C10.9,</w:t>
              </w:r>
            </w:hyperlink>
          </w:p>
          <w:p>
            <w:pPr>
              <w:pStyle w:val="TableParagraph"/>
              <w:spacing w:before="10"/>
              <w:ind w:left="124"/>
              <w:rPr>
                <w:sz w:val="20"/>
              </w:rPr>
            </w:pPr>
            <w:hyperlink r:id="rId36">
              <w:r>
                <w:rPr>
                  <w:sz w:val="20"/>
                </w:rPr>
                <w:t>C11.0,</w:t>
              </w:r>
              <w:r>
                <w:rPr>
                  <w:spacing w:val="-3"/>
                  <w:sz w:val="20"/>
                </w:rPr>
                <w:t> </w:t>
              </w:r>
            </w:hyperlink>
            <w:hyperlink r:id="rId37">
              <w:r>
                <w:rPr>
                  <w:sz w:val="20"/>
                </w:rPr>
                <w:t>C11.1,</w:t>
              </w:r>
              <w:r>
                <w:rPr>
                  <w:spacing w:val="-3"/>
                  <w:sz w:val="20"/>
                </w:rPr>
                <w:t> </w:t>
              </w:r>
            </w:hyperlink>
            <w:hyperlink r:id="rId38">
              <w:r>
                <w:rPr>
                  <w:spacing w:val="-2"/>
                  <w:sz w:val="20"/>
                </w:rPr>
                <w:t>C11.2,</w:t>
              </w:r>
            </w:hyperlink>
          </w:p>
          <w:p>
            <w:pPr>
              <w:pStyle w:val="TableParagraph"/>
              <w:spacing w:before="10"/>
              <w:ind w:left="124"/>
              <w:rPr>
                <w:sz w:val="20"/>
              </w:rPr>
            </w:pPr>
            <w:hyperlink r:id="rId39">
              <w:r>
                <w:rPr>
                  <w:sz w:val="20"/>
                </w:rPr>
                <w:t>C11.3,</w:t>
              </w:r>
              <w:r>
                <w:rPr>
                  <w:spacing w:val="-3"/>
                  <w:sz w:val="20"/>
                </w:rPr>
                <w:t> </w:t>
              </w:r>
            </w:hyperlink>
            <w:hyperlink r:id="rId40">
              <w:r>
                <w:rPr>
                  <w:sz w:val="20"/>
                </w:rPr>
                <w:t>C11.8,</w:t>
              </w:r>
              <w:r>
                <w:rPr>
                  <w:spacing w:val="-3"/>
                  <w:sz w:val="20"/>
                </w:rPr>
                <w:t> </w:t>
              </w:r>
            </w:hyperlink>
            <w:hyperlink r:id="rId41">
              <w:r>
                <w:rPr>
                  <w:spacing w:val="-2"/>
                  <w:sz w:val="20"/>
                </w:rPr>
                <w:t>C11.9,</w:t>
              </w:r>
            </w:hyperlink>
          </w:p>
          <w:p>
            <w:pPr>
              <w:pStyle w:val="TableParagraph"/>
              <w:spacing w:line="210" w:lineRule="exact" w:before="10"/>
              <w:ind w:left="124"/>
              <w:rPr>
                <w:sz w:val="20"/>
              </w:rPr>
            </w:pPr>
            <w:hyperlink r:id="rId42">
              <w:r>
                <w:rPr>
                  <w:sz w:val="20"/>
                </w:rPr>
                <w:t>C13.0,</w:t>
              </w:r>
              <w:r>
                <w:rPr>
                  <w:spacing w:val="-3"/>
                  <w:sz w:val="20"/>
                </w:rPr>
                <w:t> </w:t>
              </w:r>
            </w:hyperlink>
            <w:hyperlink r:id="rId43">
              <w:r>
                <w:rPr>
                  <w:sz w:val="20"/>
                </w:rPr>
                <w:t>C13.1,</w:t>
              </w:r>
              <w:r>
                <w:rPr>
                  <w:spacing w:val="-3"/>
                  <w:sz w:val="20"/>
                </w:rPr>
                <w:t> </w:t>
              </w:r>
            </w:hyperlink>
            <w:hyperlink r:id="rId44">
              <w:r>
                <w:rPr>
                  <w:spacing w:val="-2"/>
                  <w:sz w:val="20"/>
                </w:rPr>
                <w:t>C13.2,</w:t>
              </w:r>
            </w:hyperlink>
          </w:p>
        </w:tc>
        <w:tc>
          <w:tcPr>
            <w:tcW w:w="3154" w:type="dxa"/>
          </w:tcPr>
          <w:p>
            <w:pPr>
              <w:pStyle w:val="TableParagraph"/>
              <w:spacing w:line="240" w:lineRule="atLeast" w:before="100"/>
              <w:ind w:left="97" w:right="56"/>
              <w:rPr>
                <w:sz w:val="20"/>
              </w:rPr>
            </w:pPr>
            <w:r>
              <w:rPr>
                <w:sz w:val="20"/>
              </w:rPr>
              <w:t>опухоли</w:t>
            </w:r>
            <w:r>
              <w:rPr>
                <w:spacing w:val="-12"/>
                <w:sz w:val="20"/>
              </w:rPr>
              <w:t> </w:t>
            </w:r>
            <w:r>
              <w:rPr>
                <w:sz w:val="20"/>
              </w:rPr>
              <w:t>головы</w:t>
            </w:r>
            <w:r>
              <w:rPr>
                <w:spacing w:val="-11"/>
                <w:sz w:val="20"/>
              </w:rPr>
              <w:t> </w:t>
            </w:r>
            <w:r>
              <w:rPr>
                <w:sz w:val="20"/>
              </w:rPr>
              <w:t>и</w:t>
            </w:r>
            <w:r>
              <w:rPr>
                <w:spacing w:val="-12"/>
                <w:sz w:val="20"/>
              </w:rPr>
              <w:t> </w:t>
            </w:r>
            <w:r>
              <w:rPr>
                <w:sz w:val="20"/>
              </w:rPr>
              <w:t>шеи,</w:t>
            </w:r>
            <w:r>
              <w:rPr>
                <w:spacing w:val="-11"/>
                <w:sz w:val="20"/>
              </w:rPr>
              <w:t> </w:t>
            </w:r>
            <w:r>
              <w:rPr>
                <w:sz w:val="20"/>
              </w:rPr>
              <w:t>первичные и рецидивные, метастатические опухоли центральной нервной </w:t>
            </w:r>
            <w:r>
              <w:rPr>
                <w:spacing w:val="-2"/>
                <w:sz w:val="20"/>
              </w:rPr>
              <w:t>системы</w:t>
            </w:r>
          </w:p>
        </w:tc>
        <w:tc>
          <w:tcPr>
            <w:tcW w:w="1579" w:type="dxa"/>
          </w:tcPr>
          <w:p>
            <w:pPr>
              <w:pStyle w:val="TableParagraph"/>
              <w:spacing w:line="249" w:lineRule="auto" w:before="120"/>
              <w:ind w:left="100"/>
              <w:rPr>
                <w:sz w:val="20"/>
              </w:rPr>
            </w:pPr>
            <w:r>
              <w:rPr>
                <w:spacing w:val="-2"/>
                <w:sz w:val="20"/>
              </w:rPr>
              <w:t>хирургическое лечение</w:t>
            </w:r>
          </w:p>
        </w:tc>
        <w:tc>
          <w:tcPr>
            <w:tcW w:w="3564" w:type="dxa"/>
          </w:tcPr>
          <w:p>
            <w:pPr>
              <w:pStyle w:val="TableParagraph"/>
              <w:spacing w:line="249" w:lineRule="auto" w:before="120"/>
              <w:ind w:left="218"/>
              <w:rPr>
                <w:sz w:val="20"/>
              </w:rPr>
            </w:pPr>
            <w:r>
              <w:rPr>
                <w:sz w:val="20"/>
              </w:rPr>
              <w:t>энуклеация глазного яблока с одномоментной</w:t>
            </w:r>
            <w:r>
              <w:rPr>
                <w:spacing w:val="-13"/>
                <w:sz w:val="20"/>
              </w:rPr>
              <w:t> </w:t>
            </w:r>
            <w:r>
              <w:rPr>
                <w:sz w:val="20"/>
              </w:rPr>
              <w:t>пластикой</w:t>
            </w:r>
            <w:r>
              <w:rPr>
                <w:spacing w:val="-12"/>
                <w:sz w:val="20"/>
              </w:rPr>
              <w:t> </w:t>
            </w:r>
            <w:r>
              <w:rPr>
                <w:sz w:val="20"/>
              </w:rPr>
              <w:t>опорно- двигательной культи</w:t>
            </w:r>
          </w:p>
        </w:tc>
      </w:tr>
      <w:tr>
        <w:trPr>
          <w:trHeight w:val="840" w:hRule="atLeast"/>
        </w:trPr>
        <w:tc>
          <w:tcPr>
            <w:tcW w:w="2912" w:type="dxa"/>
            <w:vMerge/>
            <w:tcBorders>
              <w:top w:val="nil"/>
            </w:tcBorders>
          </w:tcPr>
          <w:p>
            <w:pPr>
              <w:rPr>
                <w:sz w:val="2"/>
                <w:szCs w:val="2"/>
              </w:rPr>
            </w:pPr>
          </w:p>
        </w:tc>
        <w:tc>
          <w:tcPr>
            <w:tcW w:w="1925" w:type="dxa"/>
            <w:vMerge/>
            <w:tcBorders>
              <w:top w:val="nil"/>
            </w:tcBorders>
          </w:tcPr>
          <w:p>
            <w:pPr>
              <w:rPr>
                <w:sz w:val="2"/>
                <w:szCs w:val="2"/>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ind w:left="218" w:right="77"/>
              <w:rPr>
                <w:sz w:val="20"/>
              </w:rPr>
            </w:pPr>
            <w:r>
              <w:rPr>
                <w:sz w:val="20"/>
              </w:rPr>
              <w:t>энуклеация глазного яблока с формированием</w:t>
            </w:r>
            <w:r>
              <w:rPr>
                <w:spacing w:val="-13"/>
                <w:sz w:val="20"/>
              </w:rPr>
              <w:t> </w:t>
            </w:r>
            <w:r>
              <w:rPr>
                <w:sz w:val="20"/>
              </w:rPr>
              <w:t>опорно-двигательной культи имплантатом</w:t>
            </w:r>
          </w:p>
        </w:tc>
      </w:tr>
      <w:tr>
        <w:trPr>
          <w:trHeight w:val="1790" w:hRule="atLeast"/>
        </w:trPr>
        <w:tc>
          <w:tcPr>
            <w:tcW w:w="2912" w:type="dxa"/>
            <w:vMerge/>
            <w:tcBorders>
              <w:top w:val="nil"/>
            </w:tcBorders>
          </w:tcPr>
          <w:p>
            <w:pPr>
              <w:rPr>
                <w:sz w:val="2"/>
                <w:szCs w:val="2"/>
              </w:rPr>
            </w:pPr>
          </w:p>
        </w:tc>
        <w:tc>
          <w:tcPr>
            <w:tcW w:w="1925" w:type="dxa"/>
            <w:vMerge/>
            <w:tcBorders>
              <w:top w:val="nil"/>
            </w:tcBorders>
          </w:tcPr>
          <w:p>
            <w:pPr>
              <w:rPr>
                <w:sz w:val="2"/>
                <w:szCs w:val="2"/>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before="120"/>
              <w:ind w:left="218" w:right="425"/>
              <w:rPr>
                <w:sz w:val="20"/>
              </w:rPr>
            </w:pPr>
            <w:r>
              <w:rPr>
                <w:sz w:val="20"/>
              </w:rPr>
              <w:t>лимфаденэктомия шейная расширенная</w:t>
            </w:r>
            <w:r>
              <w:rPr>
                <w:spacing w:val="-13"/>
                <w:sz w:val="20"/>
              </w:rPr>
              <w:t> </w:t>
            </w:r>
            <w:r>
              <w:rPr>
                <w:sz w:val="20"/>
              </w:rPr>
              <w:t>с</w:t>
            </w:r>
            <w:r>
              <w:rPr>
                <w:spacing w:val="-12"/>
                <w:sz w:val="20"/>
              </w:rPr>
              <w:t> </w:t>
            </w:r>
            <w:r>
              <w:rPr>
                <w:sz w:val="20"/>
              </w:rPr>
              <w:t>реконструктивно- пластическим компонентом: реконструкция мягких тканей местными лоскутами</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8"/>
        <w:gridCol w:w="5818"/>
      </w:tblGrid>
      <w:tr>
        <w:trPr>
          <w:trHeight w:val="830" w:hRule="atLeast"/>
        </w:trPr>
        <w:tc>
          <w:tcPr>
            <w:tcW w:w="4378" w:type="dxa"/>
            <w:vMerge w:val="restart"/>
          </w:tcPr>
          <w:p>
            <w:pPr>
              <w:pStyle w:val="TableParagraph"/>
              <w:spacing w:line="221" w:lineRule="exact"/>
              <w:ind w:left="50" w:right="2491"/>
              <w:jc w:val="center"/>
              <w:rPr>
                <w:sz w:val="20"/>
              </w:rPr>
            </w:pPr>
            <w:hyperlink r:id="rId45">
              <w:r>
                <w:rPr>
                  <w:sz w:val="20"/>
                </w:rPr>
                <w:t>C13.8,</w:t>
              </w:r>
              <w:r>
                <w:rPr>
                  <w:spacing w:val="-3"/>
                  <w:sz w:val="20"/>
                </w:rPr>
                <w:t> </w:t>
              </w:r>
            </w:hyperlink>
            <w:hyperlink r:id="rId46">
              <w:r>
                <w:rPr>
                  <w:sz w:val="20"/>
                </w:rPr>
                <w:t>C13.9,</w:t>
              </w:r>
              <w:r>
                <w:rPr>
                  <w:spacing w:val="-3"/>
                  <w:sz w:val="20"/>
                </w:rPr>
                <w:t> </w:t>
              </w:r>
            </w:hyperlink>
            <w:hyperlink r:id="rId47">
              <w:r>
                <w:rPr>
                  <w:spacing w:val="-2"/>
                  <w:sz w:val="20"/>
                </w:rPr>
                <w:t>C14.0,</w:t>
              </w:r>
            </w:hyperlink>
          </w:p>
          <w:p>
            <w:pPr>
              <w:pStyle w:val="TableParagraph"/>
              <w:spacing w:before="10"/>
              <w:ind w:left="50" w:right="2491"/>
              <w:jc w:val="center"/>
              <w:rPr>
                <w:sz w:val="20"/>
              </w:rPr>
            </w:pPr>
            <w:hyperlink r:id="rId48">
              <w:r>
                <w:rPr>
                  <w:sz w:val="20"/>
                </w:rPr>
                <w:t>C12,</w:t>
              </w:r>
              <w:r>
                <w:rPr>
                  <w:spacing w:val="-3"/>
                  <w:sz w:val="20"/>
                </w:rPr>
                <w:t> </w:t>
              </w:r>
            </w:hyperlink>
            <w:hyperlink r:id="rId49">
              <w:r>
                <w:rPr>
                  <w:sz w:val="20"/>
                </w:rPr>
                <w:t>C14.8,</w:t>
              </w:r>
              <w:r>
                <w:rPr>
                  <w:spacing w:val="-2"/>
                  <w:sz w:val="20"/>
                </w:rPr>
                <w:t> </w:t>
              </w:r>
            </w:hyperlink>
            <w:hyperlink r:id="rId50">
              <w:r>
                <w:rPr>
                  <w:spacing w:val="-2"/>
                  <w:sz w:val="20"/>
                </w:rPr>
                <w:t>C15.0,</w:t>
              </w:r>
            </w:hyperlink>
          </w:p>
          <w:p>
            <w:pPr>
              <w:pStyle w:val="TableParagraph"/>
              <w:spacing w:before="10"/>
              <w:ind w:left="50" w:right="2491"/>
              <w:jc w:val="center"/>
              <w:rPr>
                <w:sz w:val="20"/>
              </w:rPr>
            </w:pPr>
            <w:hyperlink r:id="rId51">
              <w:r>
                <w:rPr>
                  <w:sz w:val="20"/>
                </w:rPr>
                <w:t>C30.0,</w:t>
              </w:r>
              <w:r>
                <w:rPr>
                  <w:spacing w:val="-3"/>
                  <w:sz w:val="20"/>
                </w:rPr>
                <w:t> </w:t>
              </w:r>
            </w:hyperlink>
            <w:hyperlink r:id="rId52">
              <w:r>
                <w:rPr>
                  <w:sz w:val="20"/>
                </w:rPr>
                <w:t>C30.1,</w:t>
              </w:r>
              <w:r>
                <w:rPr>
                  <w:spacing w:val="-3"/>
                  <w:sz w:val="20"/>
                </w:rPr>
                <w:t> </w:t>
              </w:r>
            </w:hyperlink>
            <w:hyperlink r:id="rId53">
              <w:r>
                <w:rPr>
                  <w:spacing w:val="-2"/>
                  <w:sz w:val="20"/>
                </w:rPr>
                <w:t>C31.0,</w:t>
              </w:r>
            </w:hyperlink>
          </w:p>
          <w:p>
            <w:pPr>
              <w:pStyle w:val="TableParagraph"/>
              <w:spacing w:before="10"/>
              <w:ind w:left="50" w:right="2491"/>
              <w:jc w:val="center"/>
              <w:rPr>
                <w:sz w:val="20"/>
              </w:rPr>
            </w:pPr>
            <w:hyperlink r:id="rId54">
              <w:r>
                <w:rPr>
                  <w:sz w:val="20"/>
                </w:rPr>
                <w:t>C31.1,</w:t>
              </w:r>
              <w:r>
                <w:rPr>
                  <w:spacing w:val="-3"/>
                  <w:sz w:val="20"/>
                </w:rPr>
                <w:t> </w:t>
              </w:r>
            </w:hyperlink>
            <w:hyperlink r:id="rId55">
              <w:r>
                <w:rPr>
                  <w:sz w:val="20"/>
                </w:rPr>
                <w:t>C31.2,</w:t>
              </w:r>
              <w:r>
                <w:rPr>
                  <w:spacing w:val="-3"/>
                  <w:sz w:val="20"/>
                </w:rPr>
                <w:t> </w:t>
              </w:r>
            </w:hyperlink>
            <w:hyperlink r:id="rId56">
              <w:r>
                <w:rPr>
                  <w:spacing w:val="-2"/>
                  <w:sz w:val="20"/>
                </w:rPr>
                <w:t>C31.3,</w:t>
              </w:r>
            </w:hyperlink>
          </w:p>
          <w:p>
            <w:pPr>
              <w:pStyle w:val="TableParagraph"/>
              <w:spacing w:before="10"/>
              <w:ind w:left="50" w:right="2491"/>
              <w:jc w:val="center"/>
              <w:rPr>
                <w:sz w:val="20"/>
              </w:rPr>
            </w:pPr>
            <w:hyperlink r:id="rId57">
              <w:r>
                <w:rPr>
                  <w:sz w:val="20"/>
                </w:rPr>
                <w:t>C31.8,</w:t>
              </w:r>
              <w:r>
                <w:rPr>
                  <w:spacing w:val="-3"/>
                  <w:sz w:val="20"/>
                </w:rPr>
                <w:t> </w:t>
              </w:r>
            </w:hyperlink>
            <w:hyperlink r:id="rId58">
              <w:r>
                <w:rPr>
                  <w:sz w:val="20"/>
                </w:rPr>
                <w:t>C31.9,</w:t>
              </w:r>
              <w:r>
                <w:rPr>
                  <w:spacing w:val="-3"/>
                  <w:sz w:val="20"/>
                </w:rPr>
                <w:t> </w:t>
              </w:r>
            </w:hyperlink>
            <w:hyperlink r:id="rId59">
              <w:r>
                <w:rPr>
                  <w:spacing w:val="-2"/>
                  <w:sz w:val="20"/>
                </w:rPr>
                <w:t>C32.0,</w:t>
              </w:r>
            </w:hyperlink>
          </w:p>
          <w:p>
            <w:pPr>
              <w:pStyle w:val="TableParagraph"/>
              <w:spacing w:before="10"/>
              <w:ind w:left="50" w:right="2491"/>
              <w:jc w:val="center"/>
              <w:rPr>
                <w:sz w:val="20"/>
              </w:rPr>
            </w:pPr>
            <w:hyperlink r:id="rId60">
              <w:r>
                <w:rPr>
                  <w:sz w:val="20"/>
                </w:rPr>
                <w:t>C32.1,</w:t>
              </w:r>
              <w:r>
                <w:rPr>
                  <w:spacing w:val="-3"/>
                  <w:sz w:val="20"/>
                </w:rPr>
                <w:t> </w:t>
              </w:r>
            </w:hyperlink>
            <w:hyperlink r:id="rId61">
              <w:r>
                <w:rPr>
                  <w:sz w:val="20"/>
                </w:rPr>
                <w:t>C32.2,</w:t>
              </w:r>
              <w:r>
                <w:rPr>
                  <w:spacing w:val="-3"/>
                  <w:sz w:val="20"/>
                </w:rPr>
                <w:t> </w:t>
              </w:r>
            </w:hyperlink>
            <w:hyperlink r:id="rId62">
              <w:r>
                <w:rPr>
                  <w:spacing w:val="-2"/>
                  <w:sz w:val="20"/>
                </w:rPr>
                <w:t>C32.3,</w:t>
              </w:r>
            </w:hyperlink>
          </w:p>
          <w:p>
            <w:pPr>
              <w:pStyle w:val="TableParagraph"/>
              <w:spacing w:line="249" w:lineRule="auto" w:before="10"/>
              <w:ind w:left="50" w:right="2491"/>
              <w:jc w:val="center"/>
              <w:rPr>
                <w:sz w:val="20"/>
              </w:rPr>
            </w:pPr>
            <w:hyperlink r:id="rId63">
              <w:r>
                <w:rPr>
                  <w:sz w:val="20"/>
                </w:rPr>
                <w:t>C32.8, </w:t>
              </w:r>
            </w:hyperlink>
            <w:hyperlink r:id="rId64">
              <w:r>
                <w:rPr>
                  <w:sz w:val="20"/>
                </w:rPr>
                <w:t>C32.9, </w:t>
              </w:r>
            </w:hyperlink>
            <w:hyperlink r:id="rId65">
              <w:r>
                <w:rPr>
                  <w:sz w:val="20"/>
                </w:rPr>
                <w:t>C33,</w:t>
              </w:r>
            </w:hyperlink>
            <w:r>
              <w:rPr>
                <w:sz w:val="20"/>
              </w:rPr>
              <w:t> </w:t>
            </w:r>
            <w:hyperlink r:id="rId66">
              <w:r>
                <w:rPr>
                  <w:sz w:val="20"/>
                </w:rPr>
                <w:t>C43,</w:t>
              </w:r>
              <w:r>
                <w:rPr>
                  <w:spacing w:val="-13"/>
                  <w:sz w:val="20"/>
                </w:rPr>
                <w:t> </w:t>
              </w:r>
            </w:hyperlink>
            <w:hyperlink r:id="rId67">
              <w:r>
                <w:rPr>
                  <w:sz w:val="20"/>
                </w:rPr>
                <w:t>C44,</w:t>
              </w:r>
              <w:r>
                <w:rPr>
                  <w:spacing w:val="-12"/>
                  <w:sz w:val="20"/>
                </w:rPr>
                <w:t> </w:t>
              </w:r>
            </w:hyperlink>
            <w:hyperlink r:id="rId68">
              <w:r>
                <w:rPr>
                  <w:sz w:val="20"/>
                </w:rPr>
                <w:t>C49.0,</w:t>
              </w:r>
              <w:r>
                <w:rPr>
                  <w:spacing w:val="-13"/>
                  <w:sz w:val="20"/>
                </w:rPr>
                <w:t> </w:t>
              </w:r>
            </w:hyperlink>
            <w:hyperlink r:id="rId69">
              <w:r>
                <w:rPr>
                  <w:sz w:val="20"/>
                </w:rPr>
                <w:t>C69,</w:t>
              </w:r>
            </w:hyperlink>
            <w:r>
              <w:rPr>
                <w:sz w:val="20"/>
              </w:rPr>
              <w:t> </w:t>
            </w:r>
            <w:hyperlink r:id="rId70">
              <w:r>
                <w:rPr>
                  <w:spacing w:val="-4"/>
                  <w:sz w:val="20"/>
                </w:rPr>
                <w:t>C73</w:t>
              </w:r>
            </w:hyperlink>
          </w:p>
        </w:tc>
        <w:tc>
          <w:tcPr>
            <w:tcW w:w="5818" w:type="dxa"/>
          </w:tcPr>
          <w:p>
            <w:pPr>
              <w:pStyle w:val="TableParagraph"/>
              <w:spacing w:line="249" w:lineRule="auto"/>
              <w:ind w:left="2492" w:right="33"/>
              <w:rPr>
                <w:sz w:val="20"/>
              </w:rPr>
            </w:pPr>
            <w:r>
              <w:rPr>
                <w:sz w:val="20"/>
              </w:rPr>
              <w:t>лимфаденэктомия шейная расширенная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720" w:hRule="atLeast"/>
        </w:trPr>
        <w:tc>
          <w:tcPr>
            <w:tcW w:w="4378" w:type="dxa"/>
            <w:vMerge/>
            <w:tcBorders>
              <w:top w:val="nil"/>
            </w:tcBorders>
          </w:tcPr>
          <w:p>
            <w:pPr>
              <w:rPr>
                <w:sz w:val="2"/>
                <w:szCs w:val="2"/>
              </w:rPr>
            </w:pPr>
          </w:p>
        </w:tc>
        <w:tc>
          <w:tcPr>
            <w:tcW w:w="5818" w:type="dxa"/>
          </w:tcPr>
          <w:p>
            <w:pPr>
              <w:pStyle w:val="TableParagraph"/>
              <w:spacing w:line="252" w:lineRule="auto" w:before="120"/>
              <w:ind w:left="2492" w:right="33"/>
              <w:rPr>
                <w:sz w:val="20"/>
              </w:rPr>
            </w:pPr>
            <w:r>
              <w:rPr>
                <w:sz w:val="20"/>
              </w:rPr>
              <w:t>гемиглоссэктомия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960" w:hRule="atLeast"/>
        </w:trPr>
        <w:tc>
          <w:tcPr>
            <w:tcW w:w="4378" w:type="dxa"/>
            <w:vMerge/>
            <w:tcBorders>
              <w:top w:val="nil"/>
            </w:tcBorders>
          </w:tcPr>
          <w:p>
            <w:pPr>
              <w:rPr>
                <w:sz w:val="2"/>
                <w:szCs w:val="2"/>
              </w:rPr>
            </w:pPr>
          </w:p>
        </w:tc>
        <w:tc>
          <w:tcPr>
            <w:tcW w:w="5818" w:type="dxa"/>
          </w:tcPr>
          <w:p>
            <w:pPr>
              <w:pStyle w:val="TableParagraph"/>
              <w:spacing w:line="249" w:lineRule="auto" w:before="120"/>
              <w:ind w:left="2492" w:right="576"/>
              <w:rPr>
                <w:sz w:val="20"/>
              </w:rPr>
            </w:pPr>
            <w:r>
              <w:rPr>
                <w:sz w:val="20"/>
              </w:rPr>
              <w:t>резекция</w:t>
            </w:r>
            <w:r>
              <w:rPr>
                <w:spacing w:val="-13"/>
                <w:sz w:val="20"/>
              </w:rPr>
              <w:t> </w:t>
            </w:r>
            <w:r>
              <w:rPr>
                <w:sz w:val="20"/>
              </w:rPr>
              <w:t>околоушной</w:t>
            </w:r>
            <w:r>
              <w:rPr>
                <w:spacing w:val="-12"/>
                <w:sz w:val="20"/>
              </w:rPr>
              <w:t> </w:t>
            </w:r>
            <w:r>
              <w:rPr>
                <w:sz w:val="20"/>
              </w:rPr>
              <w:t>слюнной железы с реконструктивно- пластическим компонентом</w:t>
            </w:r>
          </w:p>
        </w:tc>
      </w:tr>
      <w:tr>
        <w:trPr>
          <w:trHeight w:val="960" w:hRule="atLeast"/>
        </w:trPr>
        <w:tc>
          <w:tcPr>
            <w:tcW w:w="4378" w:type="dxa"/>
          </w:tcPr>
          <w:p>
            <w:pPr>
              <w:pStyle w:val="TableParagraph"/>
              <w:rPr>
                <w:sz w:val="18"/>
              </w:rPr>
            </w:pPr>
          </w:p>
        </w:tc>
        <w:tc>
          <w:tcPr>
            <w:tcW w:w="5818" w:type="dxa"/>
          </w:tcPr>
          <w:p>
            <w:pPr>
              <w:pStyle w:val="TableParagraph"/>
              <w:spacing w:line="249" w:lineRule="auto" w:before="120"/>
              <w:ind w:left="2492" w:right="576"/>
              <w:rPr>
                <w:sz w:val="20"/>
              </w:rPr>
            </w:pPr>
            <w:r>
              <w:rPr>
                <w:sz w:val="20"/>
              </w:rPr>
              <w:t>резекция верхней челюсти комбинированная с микрохирургической</w:t>
            </w:r>
            <w:r>
              <w:rPr>
                <w:spacing w:val="-13"/>
                <w:sz w:val="20"/>
              </w:rPr>
              <w:t> </w:t>
            </w:r>
            <w:r>
              <w:rPr>
                <w:sz w:val="20"/>
              </w:rPr>
              <w:t>пластикой</w:t>
            </w:r>
          </w:p>
        </w:tc>
      </w:tr>
      <w:tr>
        <w:trPr>
          <w:trHeight w:val="720" w:hRule="atLeast"/>
        </w:trPr>
        <w:tc>
          <w:tcPr>
            <w:tcW w:w="4378" w:type="dxa"/>
          </w:tcPr>
          <w:p>
            <w:pPr>
              <w:pStyle w:val="TableParagraph"/>
              <w:rPr>
                <w:sz w:val="18"/>
              </w:rPr>
            </w:pPr>
          </w:p>
        </w:tc>
        <w:tc>
          <w:tcPr>
            <w:tcW w:w="5818" w:type="dxa"/>
          </w:tcPr>
          <w:p>
            <w:pPr>
              <w:pStyle w:val="TableParagraph"/>
              <w:spacing w:line="249" w:lineRule="auto" w:before="120"/>
              <w:ind w:left="2492" w:right="33"/>
              <w:rPr>
                <w:sz w:val="20"/>
              </w:rPr>
            </w:pPr>
            <w:r>
              <w:rPr>
                <w:sz w:val="20"/>
              </w:rPr>
              <w:t>резекция</w:t>
            </w:r>
            <w:r>
              <w:rPr>
                <w:spacing w:val="-13"/>
                <w:sz w:val="20"/>
              </w:rPr>
              <w:t> </w:t>
            </w:r>
            <w:r>
              <w:rPr>
                <w:sz w:val="20"/>
              </w:rPr>
              <w:t>губы</w:t>
            </w:r>
            <w:r>
              <w:rPr>
                <w:spacing w:val="-12"/>
                <w:sz w:val="20"/>
              </w:rPr>
              <w:t> </w:t>
            </w:r>
            <w:r>
              <w:rPr>
                <w:sz w:val="20"/>
              </w:rPr>
              <w:t>с</w:t>
            </w:r>
            <w:r>
              <w:rPr>
                <w:spacing w:val="-13"/>
                <w:sz w:val="20"/>
              </w:rPr>
              <w:t> </w:t>
            </w:r>
            <w:r>
              <w:rPr>
                <w:sz w:val="20"/>
              </w:rPr>
              <w:t>микрохирургической </w:t>
            </w:r>
            <w:r>
              <w:rPr>
                <w:spacing w:val="-2"/>
                <w:sz w:val="20"/>
              </w:rPr>
              <w:t>пластикой</w:t>
            </w:r>
          </w:p>
        </w:tc>
      </w:tr>
      <w:tr>
        <w:trPr>
          <w:trHeight w:val="720" w:hRule="atLeast"/>
        </w:trPr>
        <w:tc>
          <w:tcPr>
            <w:tcW w:w="4378" w:type="dxa"/>
          </w:tcPr>
          <w:p>
            <w:pPr>
              <w:pStyle w:val="TableParagraph"/>
              <w:rPr>
                <w:sz w:val="18"/>
              </w:rPr>
            </w:pPr>
          </w:p>
        </w:tc>
        <w:tc>
          <w:tcPr>
            <w:tcW w:w="5818" w:type="dxa"/>
          </w:tcPr>
          <w:p>
            <w:pPr>
              <w:pStyle w:val="TableParagraph"/>
              <w:spacing w:line="249" w:lineRule="auto" w:before="120"/>
              <w:ind w:left="2492" w:right="576"/>
              <w:rPr>
                <w:sz w:val="20"/>
              </w:rPr>
            </w:pPr>
            <w:r>
              <w:rPr>
                <w:sz w:val="20"/>
              </w:rPr>
              <w:t>гемиглоссэктомия с микрохирургической</w:t>
            </w:r>
            <w:r>
              <w:rPr>
                <w:spacing w:val="-13"/>
                <w:sz w:val="20"/>
              </w:rPr>
              <w:t> </w:t>
            </w:r>
            <w:r>
              <w:rPr>
                <w:sz w:val="20"/>
              </w:rPr>
              <w:t>пластикой</w:t>
            </w:r>
          </w:p>
        </w:tc>
      </w:tr>
      <w:tr>
        <w:trPr>
          <w:trHeight w:val="720" w:hRule="atLeast"/>
        </w:trPr>
        <w:tc>
          <w:tcPr>
            <w:tcW w:w="4378" w:type="dxa"/>
          </w:tcPr>
          <w:p>
            <w:pPr>
              <w:pStyle w:val="TableParagraph"/>
              <w:rPr>
                <w:sz w:val="18"/>
              </w:rPr>
            </w:pPr>
          </w:p>
        </w:tc>
        <w:tc>
          <w:tcPr>
            <w:tcW w:w="5818" w:type="dxa"/>
          </w:tcPr>
          <w:p>
            <w:pPr>
              <w:pStyle w:val="TableParagraph"/>
              <w:spacing w:line="249" w:lineRule="auto" w:before="120"/>
              <w:ind w:left="2492" w:right="33"/>
              <w:rPr>
                <w:sz w:val="20"/>
              </w:rPr>
            </w:pPr>
            <w:r>
              <w:rPr>
                <w:sz w:val="20"/>
              </w:rPr>
              <w:t>глоссэктомия</w:t>
            </w:r>
            <w:r>
              <w:rPr>
                <w:spacing w:val="-13"/>
                <w:sz w:val="20"/>
              </w:rPr>
              <w:t> </w:t>
            </w:r>
            <w:r>
              <w:rPr>
                <w:sz w:val="20"/>
              </w:rPr>
              <w:t>с</w:t>
            </w:r>
            <w:r>
              <w:rPr>
                <w:spacing w:val="-12"/>
                <w:sz w:val="20"/>
              </w:rPr>
              <w:t> </w:t>
            </w:r>
            <w:r>
              <w:rPr>
                <w:sz w:val="20"/>
              </w:rPr>
              <w:t>микрохирургической </w:t>
            </w:r>
            <w:r>
              <w:rPr>
                <w:spacing w:val="-2"/>
                <w:sz w:val="20"/>
              </w:rPr>
              <w:t>пластикой</w:t>
            </w:r>
          </w:p>
        </w:tc>
      </w:tr>
      <w:tr>
        <w:trPr>
          <w:trHeight w:val="1200" w:hRule="atLeast"/>
        </w:trPr>
        <w:tc>
          <w:tcPr>
            <w:tcW w:w="4378" w:type="dxa"/>
          </w:tcPr>
          <w:p>
            <w:pPr>
              <w:pStyle w:val="TableParagraph"/>
              <w:rPr>
                <w:sz w:val="18"/>
              </w:rPr>
            </w:pPr>
          </w:p>
        </w:tc>
        <w:tc>
          <w:tcPr>
            <w:tcW w:w="5818" w:type="dxa"/>
          </w:tcPr>
          <w:p>
            <w:pPr>
              <w:pStyle w:val="TableParagraph"/>
              <w:spacing w:line="249" w:lineRule="auto" w:before="120"/>
              <w:ind w:left="2492" w:right="33"/>
              <w:rPr>
                <w:sz w:val="20"/>
              </w:rPr>
            </w:pPr>
            <w:r>
              <w:rPr>
                <w:sz w:val="20"/>
              </w:rPr>
              <w:t>резекция околоушной слюнной железы</w:t>
            </w:r>
            <w:r>
              <w:rPr>
                <w:spacing w:val="-11"/>
                <w:sz w:val="20"/>
              </w:rPr>
              <w:t> </w:t>
            </w:r>
            <w:r>
              <w:rPr>
                <w:sz w:val="20"/>
              </w:rPr>
              <w:t>в</w:t>
            </w:r>
            <w:r>
              <w:rPr>
                <w:spacing w:val="-10"/>
                <w:sz w:val="20"/>
              </w:rPr>
              <w:t> </w:t>
            </w:r>
            <w:r>
              <w:rPr>
                <w:sz w:val="20"/>
              </w:rPr>
              <w:t>плоскости</w:t>
            </w:r>
            <w:r>
              <w:rPr>
                <w:spacing w:val="-12"/>
                <w:sz w:val="20"/>
              </w:rPr>
              <w:t> </w:t>
            </w:r>
            <w:r>
              <w:rPr>
                <w:sz w:val="20"/>
              </w:rPr>
              <w:t>ветвей</w:t>
            </w:r>
            <w:r>
              <w:rPr>
                <w:spacing w:val="-12"/>
                <w:sz w:val="20"/>
              </w:rPr>
              <w:t> </w:t>
            </w:r>
            <w:r>
              <w:rPr>
                <w:sz w:val="20"/>
              </w:rPr>
              <w:t>лицевого нерва с микрохирургическим </w:t>
            </w:r>
            <w:r>
              <w:rPr>
                <w:spacing w:val="-2"/>
                <w:sz w:val="20"/>
              </w:rPr>
              <w:t>невролизом</w:t>
            </w:r>
          </w:p>
        </w:tc>
      </w:tr>
      <w:tr>
        <w:trPr>
          <w:trHeight w:val="830" w:hRule="atLeast"/>
        </w:trPr>
        <w:tc>
          <w:tcPr>
            <w:tcW w:w="4378" w:type="dxa"/>
          </w:tcPr>
          <w:p>
            <w:pPr>
              <w:pStyle w:val="TableParagraph"/>
              <w:rPr>
                <w:sz w:val="18"/>
              </w:rPr>
            </w:pPr>
          </w:p>
        </w:tc>
        <w:tc>
          <w:tcPr>
            <w:tcW w:w="5818" w:type="dxa"/>
          </w:tcPr>
          <w:p>
            <w:pPr>
              <w:pStyle w:val="TableParagraph"/>
              <w:spacing w:line="240" w:lineRule="atLeast" w:before="90"/>
              <w:ind w:left="2492" w:right="576"/>
              <w:rPr>
                <w:sz w:val="20"/>
              </w:rPr>
            </w:pPr>
            <w:r>
              <w:rPr>
                <w:sz w:val="20"/>
              </w:rPr>
              <w:t>гемитиреоидэктомия с микрохирургической</w:t>
            </w:r>
            <w:r>
              <w:rPr>
                <w:spacing w:val="-13"/>
                <w:sz w:val="20"/>
              </w:rPr>
              <w:t> </w:t>
            </w:r>
            <w:r>
              <w:rPr>
                <w:sz w:val="20"/>
              </w:rPr>
              <w:t>пластикой периферического нерва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tblGrid>
      <w:tr>
        <w:trPr>
          <w:trHeight w:val="1070" w:hRule="atLeast"/>
        </w:trPr>
        <w:tc>
          <w:tcPr>
            <w:tcW w:w="3342" w:type="dxa"/>
          </w:tcPr>
          <w:p>
            <w:pPr>
              <w:pStyle w:val="TableParagraph"/>
              <w:spacing w:line="249" w:lineRule="auto"/>
              <w:ind w:left="50" w:right="46"/>
              <w:rPr>
                <w:sz w:val="20"/>
              </w:rPr>
            </w:pPr>
            <w:r>
              <w:rPr>
                <w:sz w:val="20"/>
              </w:rPr>
              <w:t>лимфаденэктомия шейная расширенная с реконструктивно- пластическим компонентом (микрохирургическая</w:t>
            </w:r>
            <w:r>
              <w:rPr>
                <w:spacing w:val="-13"/>
                <w:sz w:val="20"/>
              </w:rPr>
              <w:t> </w:t>
            </w:r>
            <w:r>
              <w:rPr>
                <w:sz w:val="20"/>
              </w:rPr>
              <w:t>реконструкция)</w:t>
            </w:r>
          </w:p>
        </w:tc>
      </w:tr>
      <w:tr>
        <w:trPr>
          <w:trHeight w:val="1200" w:hRule="atLeast"/>
        </w:trPr>
        <w:tc>
          <w:tcPr>
            <w:tcW w:w="3342" w:type="dxa"/>
          </w:tcPr>
          <w:p>
            <w:pPr>
              <w:pStyle w:val="TableParagraph"/>
              <w:spacing w:line="249" w:lineRule="auto" w:before="120"/>
              <w:ind w:left="50" w:right="55"/>
              <w:rPr>
                <w:sz w:val="20"/>
              </w:rPr>
            </w:pPr>
            <w:r>
              <w:rPr>
                <w:sz w:val="20"/>
              </w:rPr>
              <w:t>широкое иссечение опухоли кожи с </w:t>
            </w:r>
            <w:r>
              <w:rPr>
                <w:spacing w:val="-2"/>
                <w:sz w:val="20"/>
              </w:rPr>
              <w:t>реконструктивно-пластическим </w:t>
            </w:r>
            <w:r>
              <w:rPr>
                <w:sz w:val="20"/>
              </w:rPr>
              <w:t>компонентом расширенное (микрохирургическая</w:t>
            </w:r>
            <w:r>
              <w:rPr>
                <w:spacing w:val="-13"/>
                <w:sz w:val="20"/>
              </w:rPr>
              <w:t> </w:t>
            </w:r>
            <w:r>
              <w:rPr>
                <w:sz w:val="20"/>
              </w:rPr>
              <w:t>реконструкция)</w:t>
            </w:r>
          </w:p>
        </w:tc>
      </w:tr>
      <w:tr>
        <w:trPr>
          <w:trHeight w:val="720" w:hRule="atLeast"/>
        </w:trPr>
        <w:tc>
          <w:tcPr>
            <w:tcW w:w="3342" w:type="dxa"/>
          </w:tcPr>
          <w:p>
            <w:pPr>
              <w:pStyle w:val="TableParagraph"/>
              <w:spacing w:line="249" w:lineRule="auto" w:before="120"/>
              <w:ind w:left="50" w:right="542"/>
              <w:rPr>
                <w:sz w:val="20"/>
              </w:rPr>
            </w:pPr>
            <w:r>
              <w:rPr>
                <w:sz w:val="20"/>
              </w:rPr>
              <w:t>паротидэктомия радикальная с микрохирургической</w:t>
            </w:r>
            <w:r>
              <w:rPr>
                <w:spacing w:val="-13"/>
                <w:sz w:val="20"/>
              </w:rPr>
              <w:t> </w:t>
            </w:r>
            <w:r>
              <w:rPr>
                <w:sz w:val="20"/>
              </w:rPr>
              <w:t>пластикой</w:t>
            </w:r>
          </w:p>
        </w:tc>
      </w:tr>
      <w:tr>
        <w:trPr>
          <w:trHeight w:val="1200" w:hRule="atLeast"/>
        </w:trPr>
        <w:tc>
          <w:tcPr>
            <w:tcW w:w="3342" w:type="dxa"/>
          </w:tcPr>
          <w:p>
            <w:pPr>
              <w:pStyle w:val="TableParagraph"/>
              <w:spacing w:line="249" w:lineRule="auto" w:before="120"/>
              <w:ind w:left="50" w:right="54"/>
              <w:rPr>
                <w:sz w:val="20"/>
              </w:rPr>
            </w:pPr>
            <w:r>
              <w:rPr>
                <w:sz w:val="20"/>
              </w:rPr>
              <w:t>широкое</w:t>
            </w:r>
            <w:r>
              <w:rPr>
                <w:spacing w:val="-5"/>
                <w:sz w:val="20"/>
              </w:rPr>
              <w:t> </w:t>
            </w:r>
            <w:r>
              <w:rPr>
                <w:sz w:val="20"/>
              </w:rPr>
              <w:t>иссечение</w:t>
            </w:r>
            <w:r>
              <w:rPr>
                <w:spacing w:val="-5"/>
                <w:sz w:val="20"/>
              </w:rPr>
              <w:t> </w:t>
            </w:r>
            <w:r>
              <w:rPr>
                <w:sz w:val="20"/>
              </w:rPr>
              <w:t>меланомы</w:t>
            </w:r>
            <w:r>
              <w:rPr>
                <w:spacing w:val="-5"/>
                <w:sz w:val="20"/>
              </w:rPr>
              <w:t> </w:t>
            </w:r>
            <w:r>
              <w:rPr>
                <w:sz w:val="20"/>
              </w:rPr>
              <w:t>кожи</w:t>
            </w:r>
            <w:r>
              <w:rPr>
                <w:spacing w:val="-6"/>
                <w:sz w:val="20"/>
              </w:rPr>
              <w:t> </w:t>
            </w:r>
            <w:r>
              <w:rPr>
                <w:sz w:val="20"/>
              </w:rPr>
              <w:t>с </w:t>
            </w:r>
            <w:r>
              <w:rPr>
                <w:spacing w:val="-2"/>
                <w:sz w:val="20"/>
              </w:rPr>
              <w:t>реконструктивно-пластическим </w:t>
            </w:r>
            <w:r>
              <w:rPr>
                <w:sz w:val="20"/>
              </w:rPr>
              <w:t>компонентом расширенное (микрохирургическая</w:t>
            </w:r>
            <w:r>
              <w:rPr>
                <w:spacing w:val="-13"/>
                <w:sz w:val="20"/>
              </w:rPr>
              <w:t> </w:t>
            </w:r>
            <w:r>
              <w:rPr>
                <w:sz w:val="20"/>
              </w:rPr>
              <w:t>реконструкция)</w:t>
            </w:r>
          </w:p>
        </w:tc>
      </w:tr>
      <w:tr>
        <w:trPr>
          <w:trHeight w:val="720" w:hRule="atLeast"/>
        </w:trPr>
        <w:tc>
          <w:tcPr>
            <w:tcW w:w="3342" w:type="dxa"/>
          </w:tcPr>
          <w:p>
            <w:pPr>
              <w:pStyle w:val="TableParagraph"/>
              <w:spacing w:line="249" w:lineRule="auto" w:before="120"/>
              <w:ind w:left="50" w:right="542"/>
              <w:rPr>
                <w:sz w:val="20"/>
              </w:rPr>
            </w:pPr>
            <w:r>
              <w:rPr>
                <w:sz w:val="20"/>
              </w:rPr>
              <w:t>гемитиреоидэктомия с микрохирургической</w:t>
            </w:r>
            <w:r>
              <w:rPr>
                <w:spacing w:val="-13"/>
                <w:sz w:val="20"/>
              </w:rPr>
              <w:t> </w:t>
            </w:r>
            <w:r>
              <w:rPr>
                <w:sz w:val="20"/>
              </w:rPr>
              <w:t>пластикой</w:t>
            </w:r>
          </w:p>
        </w:tc>
      </w:tr>
      <w:tr>
        <w:trPr>
          <w:trHeight w:val="960" w:hRule="atLeast"/>
        </w:trPr>
        <w:tc>
          <w:tcPr>
            <w:tcW w:w="3342" w:type="dxa"/>
          </w:tcPr>
          <w:p>
            <w:pPr>
              <w:pStyle w:val="TableParagraph"/>
              <w:spacing w:line="249" w:lineRule="auto" w:before="120"/>
              <w:ind w:left="50" w:right="577"/>
              <w:jc w:val="both"/>
              <w:rPr>
                <w:sz w:val="20"/>
              </w:rPr>
            </w:pPr>
            <w:r>
              <w:rPr>
                <w:sz w:val="20"/>
              </w:rPr>
              <w:t>тиреоидэктомия</w:t>
            </w:r>
            <w:r>
              <w:rPr>
                <w:spacing w:val="-13"/>
                <w:sz w:val="20"/>
              </w:rPr>
              <w:t> </w:t>
            </w:r>
            <w:r>
              <w:rPr>
                <w:sz w:val="20"/>
              </w:rPr>
              <w:t>расширенная</w:t>
            </w:r>
            <w:r>
              <w:rPr>
                <w:spacing w:val="-12"/>
                <w:sz w:val="20"/>
              </w:rPr>
              <w:t> </w:t>
            </w:r>
            <w:r>
              <w:rPr>
                <w:sz w:val="20"/>
              </w:rPr>
              <w:t>с </w:t>
            </w:r>
            <w:r>
              <w:rPr>
                <w:spacing w:val="-2"/>
                <w:sz w:val="20"/>
              </w:rPr>
              <w:t>реконструктивно-пластическим компонентом</w:t>
            </w:r>
          </w:p>
        </w:tc>
      </w:tr>
      <w:tr>
        <w:trPr>
          <w:trHeight w:val="960" w:hRule="atLeast"/>
        </w:trPr>
        <w:tc>
          <w:tcPr>
            <w:tcW w:w="3342" w:type="dxa"/>
          </w:tcPr>
          <w:p>
            <w:pPr>
              <w:pStyle w:val="TableParagraph"/>
              <w:spacing w:line="249" w:lineRule="auto" w:before="120"/>
              <w:ind w:left="50" w:right="46"/>
              <w:rPr>
                <w:sz w:val="20"/>
              </w:rPr>
            </w:pPr>
            <w:r>
              <w:rPr>
                <w:sz w:val="20"/>
              </w:rPr>
              <w:t>тиреоидэктомия расширенная комбинированная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830" w:hRule="atLeast"/>
        </w:trPr>
        <w:tc>
          <w:tcPr>
            <w:tcW w:w="3342" w:type="dxa"/>
          </w:tcPr>
          <w:p>
            <w:pPr>
              <w:pStyle w:val="TableParagraph"/>
              <w:spacing w:line="240" w:lineRule="atLeast" w:before="90"/>
              <w:ind w:left="50" w:right="396"/>
              <w:rPr>
                <w:sz w:val="20"/>
              </w:rPr>
            </w:pPr>
            <w:r>
              <w:rPr>
                <w:sz w:val="20"/>
              </w:rPr>
              <w:t>резекция щитовидной железы с микрохирургическим</w:t>
            </w:r>
            <w:r>
              <w:rPr>
                <w:spacing w:val="-13"/>
                <w:sz w:val="20"/>
              </w:rPr>
              <w:t> </w:t>
            </w:r>
            <w:r>
              <w:rPr>
                <w:sz w:val="20"/>
              </w:rPr>
              <w:t>невролизом возвратного гортанного нерва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511"/>
        <w:gridCol w:w="1562"/>
        <w:gridCol w:w="3551"/>
      </w:tblGrid>
      <w:tr>
        <w:trPr>
          <w:trHeight w:val="83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9" w:lineRule="auto"/>
              <w:ind w:left="222" w:right="433"/>
              <w:rPr>
                <w:sz w:val="20"/>
              </w:rPr>
            </w:pPr>
            <w:r>
              <w:rPr>
                <w:sz w:val="20"/>
              </w:rPr>
              <w:t>тиреоидэктомия с микрохирургическим</w:t>
            </w:r>
            <w:r>
              <w:rPr>
                <w:spacing w:val="-13"/>
                <w:sz w:val="20"/>
              </w:rPr>
              <w:t> </w:t>
            </w:r>
            <w:r>
              <w:rPr>
                <w:sz w:val="20"/>
              </w:rPr>
              <w:t>невролизом возвратного гортанного нерва</w:t>
            </w:r>
          </w:p>
        </w:tc>
      </w:tr>
      <w:tr>
        <w:trPr>
          <w:trHeight w:val="1080" w:hRule="atLeast"/>
        </w:trPr>
        <w:tc>
          <w:tcPr>
            <w:tcW w:w="823" w:type="dxa"/>
          </w:tcPr>
          <w:p>
            <w:pPr>
              <w:pStyle w:val="TableParagraph"/>
              <w:spacing w:before="120"/>
              <w:ind w:left="50"/>
              <w:rPr>
                <w:sz w:val="20"/>
              </w:rPr>
            </w:pPr>
            <w:hyperlink r:id="rId71">
              <w:r>
                <w:rPr>
                  <w:spacing w:val="-5"/>
                  <w:sz w:val="20"/>
                </w:rPr>
                <w:t>C15</w:t>
              </w:r>
            </w:hyperlink>
          </w:p>
        </w:tc>
        <w:tc>
          <w:tcPr>
            <w:tcW w:w="3511" w:type="dxa"/>
          </w:tcPr>
          <w:p>
            <w:pPr>
              <w:pStyle w:val="TableParagraph"/>
              <w:spacing w:line="249" w:lineRule="auto" w:before="120"/>
              <w:ind w:left="441" w:right="75"/>
              <w:rPr>
                <w:sz w:val="20"/>
              </w:rPr>
            </w:pPr>
            <w:r>
              <w:rPr>
                <w:sz w:val="20"/>
              </w:rPr>
              <w:t>начальные, локализованные и местнораспространенные формы злокачественных</w:t>
            </w:r>
            <w:r>
              <w:rPr>
                <w:spacing w:val="-13"/>
                <w:sz w:val="20"/>
              </w:rPr>
              <w:t> </w:t>
            </w:r>
            <w:r>
              <w:rPr>
                <w:sz w:val="20"/>
              </w:rPr>
              <w:t>новообразований</w:t>
            </w:r>
          </w:p>
          <w:p>
            <w:pPr>
              <w:pStyle w:val="TableParagraph"/>
              <w:spacing w:line="220" w:lineRule="exact" w:before="3"/>
              <w:ind w:left="441"/>
              <w:rPr>
                <w:sz w:val="20"/>
              </w:rPr>
            </w:pPr>
            <w:r>
              <w:rPr>
                <w:spacing w:val="-2"/>
                <w:sz w:val="20"/>
              </w:rPr>
              <w:t>пищевода</w:t>
            </w:r>
          </w:p>
        </w:tc>
        <w:tc>
          <w:tcPr>
            <w:tcW w:w="1562" w:type="dxa"/>
          </w:tcPr>
          <w:p>
            <w:pPr>
              <w:pStyle w:val="TableParagraph"/>
              <w:spacing w:line="252" w:lineRule="auto" w:before="120"/>
              <w:ind w:left="86"/>
              <w:rPr>
                <w:sz w:val="20"/>
              </w:rPr>
            </w:pPr>
            <w:r>
              <w:rPr>
                <w:spacing w:val="-2"/>
                <w:sz w:val="20"/>
              </w:rPr>
              <w:t>хирургическое лечение</w:t>
            </w:r>
          </w:p>
        </w:tc>
        <w:tc>
          <w:tcPr>
            <w:tcW w:w="3551" w:type="dxa"/>
          </w:tcPr>
          <w:p>
            <w:pPr>
              <w:pStyle w:val="TableParagraph"/>
              <w:spacing w:line="249" w:lineRule="auto" w:before="120"/>
              <w:ind w:left="222" w:right="226"/>
              <w:rPr>
                <w:sz w:val="20"/>
              </w:rPr>
            </w:pPr>
            <w:r>
              <w:rPr>
                <w:sz w:val="20"/>
              </w:rPr>
              <w:t>резекция пищеводно-желудочного (пищеводно-кишечного)</w:t>
            </w:r>
            <w:r>
              <w:rPr>
                <w:spacing w:val="-13"/>
                <w:sz w:val="20"/>
              </w:rPr>
              <w:t> </w:t>
            </w:r>
            <w:r>
              <w:rPr>
                <w:sz w:val="20"/>
              </w:rPr>
              <w:t>анастомоза </w:t>
            </w:r>
            <w:r>
              <w:rPr>
                <w:spacing w:val="-2"/>
                <w:sz w:val="20"/>
              </w:rPr>
              <w:t>трансторакальная</w:t>
            </w:r>
          </w:p>
        </w:tc>
      </w:tr>
      <w:tr>
        <w:trPr>
          <w:trHeight w:val="108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9" w:lineRule="auto"/>
              <w:ind w:left="222" w:right="36"/>
              <w:rPr>
                <w:sz w:val="20"/>
              </w:rPr>
            </w:pPr>
            <w:r>
              <w:rPr>
                <w:sz w:val="20"/>
              </w:rPr>
              <w:t>одномоментная эзофагэктомия (субтотальная</w:t>
            </w:r>
            <w:r>
              <w:rPr>
                <w:spacing w:val="-13"/>
                <w:sz w:val="20"/>
              </w:rPr>
              <w:t> </w:t>
            </w:r>
            <w:r>
              <w:rPr>
                <w:sz w:val="20"/>
              </w:rPr>
              <w:t>резекция</w:t>
            </w:r>
            <w:r>
              <w:rPr>
                <w:spacing w:val="-12"/>
                <w:sz w:val="20"/>
              </w:rPr>
              <w:t> </w:t>
            </w:r>
            <w:r>
              <w:rPr>
                <w:sz w:val="20"/>
              </w:rPr>
              <w:t>пищевода)</w:t>
            </w:r>
            <w:r>
              <w:rPr>
                <w:spacing w:val="-13"/>
                <w:sz w:val="20"/>
              </w:rPr>
              <w:t> </w:t>
            </w:r>
            <w:r>
              <w:rPr>
                <w:sz w:val="20"/>
              </w:rPr>
              <w:t>с лимфаденэктомией 2S, 2F, 3F и пластикой пищевода</w:t>
            </w:r>
          </w:p>
        </w:tc>
      </w:tr>
      <w:tr>
        <w:trPr>
          <w:trHeight w:val="96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9" w:lineRule="auto" w:before="120"/>
              <w:ind w:left="222" w:right="226"/>
              <w:rPr>
                <w:sz w:val="20"/>
              </w:rPr>
            </w:pPr>
            <w:r>
              <w:rPr>
                <w:sz w:val="20"/>
              </w:rPr>
              <w:t>удаление</w:t>
            </w:r>
            <w:r>
              <w:rPr>
                <w:spacing w:val="-13"/>
                <w:sz w:val="20"/>
              </w:rPr>
              <w:t> </w:t>
            </w:r>
            <w:r>
              <w:rPr>
                <w:sz w:val="20"/>
              </w:rPr>
              <w:t>экстраорганного</w:t>
            </w:r>
            <w:r>
              <w:rPr>
                <w:spacing w:val="-12"/>
                <w:sz w:val="20"/>
              </w:rPr>
              <w:t> </w:t>
            </w:r>
            <w:r>
              <w:rPr>
                <w:sz w:val="20"/>
              </w:rPr>
              <w:t>рецидива злокачественного новообразования пищевода комбинированное</w:t>
            </w:r>
          </w:p>
        </w:tc>
      </w:tr>
      <w:tr>
        <w:trPr>
          <w:trHeight w:val="1200" w:hRule="atLeast"/>
        </w:trPr>
        <w:tc>
          <w:tcPr>
            <w:tcW w:w="823" w:type="dxa"/>
          </w:tcPr>
          <w:p>
            <w:pPr>
              <w:pStyle w:val="TableParagraph"/>
              <w:spacing w:before="120"/>
              <w:ind w:left="50"/>
              <w:rPr>
                <w:sz w:val="20"/>
              </w:rPr>
            </w:pPr>
            <w:hyperlink r:id="rId72">
              <w:r>
                <w:rPr>
                  <w:spacing w:val="-5"/>
                  <w:sz w:val="20"/>
                </w:rPr>
                <w:t>C16</w:t>
              </w:r>
            </w:hyperlink>
          </w:p>
        </w:tc>
        <w:tc>
          <w:tcPr>
            <w:tcW w:w="3511" w:type="dxa"/>
            <w:vMerge w:val="restart"/>
          </w:tcPr>
          <w:p>
            <w:pPr>
              <w:pStyle w:val="TableParagraph"/>
              <w:spacing w:line="249" w:lineRule="auto" w:before="120"/>
              <w:ind w:left="441" w:right="110"/>
              <w:rPr>
                <w:sz w:val="20"/>
              </w:rPr>
            </w:pPr>
            <w:r>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w:t>
            </w:r>
            <w:r>
              <w:rPr>
                <w:spacing w:val="-13"/>
                <w:sz w:val="20"/>
              </w:rPr>
              <w:t> </w:t>
            </w:r>
            <w:r>
              <w:rPr>
                <w:sz w:val="20"/>
              </w:rPr>
              <w:t>новообразования желудка (I - IV стадия)</w:t>
            </w:r>
          </w:p>
        </w:tc>
        <w:tc>
          <w:tcPr>
            <w:tcW w:w="1562" w:type="dxa"/>
          </w:tcPr>
          <w:p>
            <w:pPr>
              <w:pStyle w:val="TableParagraph"/>
              <w:spacing w:line="249" w:lineRule="auto" w:before="120"/>
              <w:ind w:left="86"/>
              <w:rPr>
                <w:sz w:val="20"/>
              </w:rPr>
            </w:pPr>
            <w:r>
              <w:rPr>
                <w:spacing w:val="-2"/>
                <w:sz w:val="20"/>
              </w:rPr>
              <w:t>хирургическое лечение</w:t>
            </w:r>
          </w:p>
        </w:tc>
        <w:tc>
          <w:tcPr>
            <w:tcW w:w="3551" w:type="dxa"/>
          </w:tcPr>
          <w:p>
            <w:pPr>
              <w:pStyle w:val="TableParagraph"/>
              <w:spacing w:line="249" w:lineRule="auto" w:before="120"/>
              <w:ind w:left="222" w:right="36"/>
              <w:rPr>
                <w:sz w:val="20"/>
              </w:rPr>
            </w:pPr>
            <w:r>
              <w:rPr>
                <w:sz w:val="20"/>
              </w:rPr>
              <w:t>реконструкция</w:t>
            </w:r>
            <w:r>
              <w:rPr>
                <w:spacing w:val="-13"/>
                <w:sz w:val="20"/>
              </w:rPr>
              <w:t> </w:t>
            </w:r>
            <w:r>
              <w:rPr>
                <w:sz w:val="20"/>
              </w:rPr>
              <w:t>пищеводно-кишечного анастомоза при рубцовых деформациях, не подлежащих эндоскопическому лечению</w:t>
            </w:r>
          </w:p>
        </w:tc>
      </w:tr>
      <w:tr>
        <w:trPr>
          <w:trHeight w:val="900" w:hRule="atLeast"/>
        </w:trPr>
        <w:tc>
          <w:tcPr>
            <w:tcW w:w="823" w:type="dxa"/>
          </w:tcPr>
          <w:p>
            <w:pPr>
              <w:pStyle w:val="TableParagraph"/>
              <w:rPr>
                <w:sz w:val="18"/>
              </w:rPr>
            </w:pPr>
          </w:p>
        </w:tc>
        <w:tc>
          <w:tcPr>
            <w:tcW w:w="3511" w:type="dxa"/>
            <w:vMerge/>
            <w:tcBorders>
              <w:top w:val="nil"/>
            </w:tcBorders>
          </w:tcPr>
          <w:p>
            <w:pPr>
              <w:rPr>
                <w:sz w:val="2"/>
                <w:szCs w:val="2"/>
              </w:rPr>
            </w:pPr>
          </w:p>
        </w:tc>
        <w:tc>
          <w:tcPr>
            <w:tcW w:w="1562" w:type="dxa"/>
          </w:tcPr>
          <w:p>
            <w:pPr>
              <w:pStyle w:val="TableParagraph"/>
              <w:rPr>
                <w:sz w:val="18"/>
              </w:rPr>
            </w:pPr>
          </w:p>
        </w:tc>
        <w:tc>
          <w:tcPr>
            <w:tcW w:w="3551" w:type="dxa"/>
          </w:tcPr>
          <w:p>
            <w:pPr>
              <w:pStyle w:val="TableParagraph"/>
              <w:spacing w:line="249" w:lineRule="auto" w:before="120"/>
              <w:ind w:left="222" w:right="52"/>
              <w:rPr>
                <w:sz w:val="20"/>
              </w:rPr>
            </w:pPr>
            <w:r>
              <w:rPr>
                <w:sz w:val="20"/>
              </w:rPr>
              <w:t>реконструкция пищеводно- желудочного</w:t>
            </w:r>
            <w:r>
              <w:rPr>
                <w:spacing w:val="-13"/>
                <w:sz w:val="20"/>
              </w:rPr>
              <w:t> </w:t>
            </w:r>
            <w:r>
              <w:rPr>
                <w:sz w:val="20"/>
              </w:rPr>
              <w:t>анастомоза</w:t>
            </w:r>
            <w:r>
              <w:rPr>
                <w:spacing w:val="-12"/>
                <w:sz w:val="20"/>
              </w:rPr>
              <w:t> </w:t>
            </w:r>
            <w:r>
              <w:rPr>
                <w:sz w:val="20"/>
              </w:rPr>
              <w:t>при</w:t>
            </w:r>
            <w:r>
              <w:rPr>
                <w:spacing w:val="-13"/>
                <w:sz w:val="20"/>
              </w:rPr>
              <w:t> </w:t>
            </w:r>
            <w:r>
              <w:rPr>
                <w:sz w:val="20"/>
              </w:rPr>
              <w:t>тяжелых </w:t>
            </w:r>
            <w:r>
              <w:rPr>
                <w:spacing w:val="-2"/>
                <w:sz w:val="20"/>
              </w:rPr>
              <w:t>рефлюкс-эзофагитах</w:t>
            </w:r>
          </w:p>
        </w:tc>
      </w:tr>
      <w:tr>
        <w:trPr>
          <w:trHeight w:val="1320" w:hRule="atLeast"/>
        </w:trPr>
        <w:tc>
          <w:tcPr>
            <w:tcW w:w="823" w:type="dxa"/>
          </w:tcPr>
          <w:p>
            <w:pPr>
              <w:pStyle w:val="TableParagraph"/>
              <w:rPr>
                <w:sz w:val="18"/>
              </w:rPr>
            </w:pPr>
          </w:p>
        </w:tc>
        <w:tc>
          <w:tcPr>
            <w:tcW w:w="3511" w:type="dxa"/>
            <w:vMerge/>
            <w:tcBorders>
              <w:top w:val="nil"/>
            </w:tcBorders>
          </w:tcPr>
          <w:p>
            <w:pPr>
              <w:rPr>
                <w:sz w:val="2"/>
                <w:szCs w:val="2"/>
              </w:rPr>
            </w:pPr>
          </w:p>
        </w:tc>
        <w:tc>
          <w:tcPr>
            <w:tcW w:w="1562" w:type="dxa"/>
          </w:tcPr>
          <w:p>
            <w:pPr>
              <w:pStyle w:val="TableParagraph"/>
              <w:rPr>
                <w:sz w:val="18"/>
              </w:rPr>
            </w:pPr>
          </w:p>
        </w:tc>
        <w:tc>
          <w:tcPr>
            <w:tcW w:w="3551" w:type="dxa"/>
          </w:tcPr>
          <w:p>
            <w:pPr>
              <w:pStyle w:val="TableParagraph"/>
              <w:spacing w:line="249" w:lineRule="auto" w:before="60"/>
              <w:ind w:left="222" w:right="433"/>
              <w:rPr>
                <w:sz w:val="20"/>
              </w:rPr>
            </w:pPr>
            <w:r>
              <w:rPr>
                <w:sz w:val="20"/>
              </w:rPr>
              <w:t>резекция культи желудка с реконструкцией желудочно- кишечного</w:t>
            </w:r>
            <w:r>
              <w:rPr>
                <w:spacing w:val="-13"/>
                <w:sz w:val="20"/>
              </w:rPr>
              <w:t> </w:t>
            </w:r>
            <w:r>
              <w:rPr>
                <w:sz w:val="20"/>
              </w:rPr>
              <w:t>или</w:t>
            </w:r>
            <w:r>
              <w:rPr>
                <w:spacing w:val="-12"/>
                <w:sz w:val="20"/>
              </w:rPr>
              <w:t> </w:t>
            </w:r>
            <w:r>
              <w:rPr>
                <w:sz w:val="20"/>
              </w:rPr>
              <w:t>межкишечного анастомоза при болезнях оперированного желудка</w:t>
            </w:r>
          </w:p>
        </w:tc>
      </w:tr>
      <w:tr>
        <w:trPr>
          <w:trHeight w:val="77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0" w:lineRule="atLeast" w:before="30"/>
              <w:ind w:left="222" w:right="433"/>
              <w:rPr>
                <w:sz w:val="20"/>
              </w:rPr>
            </w:pPr>
            <w:r>
              <w:rPr>
                <w:sz w:val="20"/>
              </w:rPr>
              <w:t>циторедуктивная</w:t>
            </w:r>
            <w:r>
              <w:rPr>
                <w:spacing w:val="-13"/>
                <w:sz w:val="20"/>
              </w:rPr>
              <w:t> </w:t>
            </w:r>
            <w:r>
              <w:rPr>
                <w:sz w:val="20"/>
              </w:rPr>
              <w:t>гастрэктомия</w:t>
            </w:r>
            <w:r>
              <w:rPr>
                <w:spacing w:val="-12"/>
                <w:sz w:val="20"/>
              </w:rPr>
              <w:t> </w:t>
            </w:r>
            <w:r>
              <w:rPr>
                <w:sz w:val="20"/>
              </w:rPr>
              <w:t>с </w:t>
            </w:r>
            <w:r>
              <w:rPr>
                <w:spacing w:val="-2"/>
                <w:sz w:val="20"/>
              </w:rPr>
              <w:t>интраоперационной </w:t>
            </w:r>
            <w:r>
              <w:rPr>
                <w:sz w:val="20"/>
              </w:rPr>
              <w:t>фотодинамической терапией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1"/>
      </w:tblGrid>
      <w:tr>
        <w:trPr>
          <w:trHeight w:val="1070" w:hRule="atLeast"/>
        </w:trPr>
        <w:tc>
          <w:tcPr>
            <w:tcW w:w="3271" w:type="dxa"/>
          </w:tcPr>
          <w:p>
            <w:pPr>
              <w:pStyle w:val="TableParagraph"/>
              <w:spacing w:line="249" w:lineRule="auto"/>
              <w:ind w:left="50" w:right="38"/>
              <w:rPr>
                <w:sz w:val="20"/>
              </w:rPr>
            </w:pPr>
            <w:r>
              <w:rPr>
                <w:sz w:val="20"/>
              </w:rPr>
              <w:t>циторедуктивная</w:t>
            </w:r>
            <w:r>
              <w:rPr>
                <w:spacing w:val="-6"/>
                <w:sz w:val="20"/>
              </w:rPr>
              <w:t> </w:t>
            </w:r>
            <w:r>
              <w:rPr>
                <w:sz w:val="20"/>
              </w:rPr>
              <w:t>проксимальная субтотальная</w:t>
            </w:r>
            <w:r>
              <w:rPr>
                <w:spacing w:val="-13"/>
                <w:sz w:val="20"/>
              </w:rPr>
              <w:t> </w:t>
            </w:r>
            <w:r>
              <w:rPr>
                <w:sz w:val="20"/>
              </w:rPr>
              <w:t>резекция</w:t>
            </w:r>
            <w:r>
              <w:rPr>
                <w:spacing w:val="-12"/>
                <w:sz w:val="20"/>
              </w:rPr>
              <w:t> </w:t>
            </w:r>
            <w:r>
              <w:rPr>
                <w:sz w:val="20"/>
              </w:rPr>
              <w:t>желудка</w:t>
            </w:r>
            <w:r>
              <w:rPr>
                <w:spacing w:val="-13"/>
                <w:sz w:val="20"/>
              </w:rPr>
              <w:t> </w:t>
            </w:r>
            <w:r>
              <w:rPr>
                <w:sz w:val="20"/>
              </w:rPr>
              <w:t>с </w:t>
            </w:r>
            <w:r>
              <w:rPr>
                <w:spacing w:val="-2"/>
                <w:sz w:val="20"/>
              </w:rPr>
              <w:t>интраоперационной </w:t>
            </w:r>
            <w:r>
              <w:rPr>
                <w:sz w:val="20"/>
              </w:rPr>
              <w:t>фотодинамической терапией</w:t>
            </w:r>
          </w:p>
        </w:tc>
      </w:tr>
      <w:tr>
        <w:trPr>
          <w:trHeight w:val="1200" w:hRule="atLeast"/>
        </w:trPr>
        <w:tc>
          <w:tcPr>
            <w:tcW w:w="3271" w:type="dxa"/>
          </w:tcPr>
          <w:p>
            <w:pPr>
              <w:pStyle w:val="TableParagraph"/>
              <w:spacing w:line="249" w:lineRule="auto" w:before="120"/>
              <w:ind w:left="50" w:right="38"/>
              <w:rPr>
                <w:sz w:val="20"/>
              </w:rPr>
            </w:pPr>
            <w:r>
              <w:rPr>
                <w:sz w:val="20"/>
              </w:rPr>
              <w:t>циторедуктивная дистальная субтотальная</w:t>
            </w:r>
            <w:r>
              <w:rPr>
                <w:spacing w:val="-13"/>
                <w:sz w:val="20"/>
              </w:rPr>
              <w:t> </w:t>
            </w:r>
            <w:r>
              <w:rPr>
                <w:sz w:val="20"/>
              </w:rPr>
              <w:t>резекция</w:t>
            </w:r>
            <w:r>
              <w:rPr>
                <w:spacing w:val="-12"/>
                <w:sz w:val="20"/>
              </w:rPr>
              <w:t> </w:t>
            </w:r>
            <w:r>
              <w:rPr>
                <w:sz w:val="20"/>
              </w:rPr>
              <w:t>желудка</w:t>
            </w:r>
            <w:r>
              <w:rPr>
                <w:spacing w:val="-13"/>
                <w:sz w:val="20"/>
              </w:rPr>
              <w:t> </w:t>
            </w:r>
            <w:r>
              <w:rPr>
                <w:sz w:val="20"/>
              </w:rPr>
              <w:t>с </w:t>
            </w:r>
            <w:r>
              <w:rPr>
                <w:spacing w:val="-2"/>
                <w:sz w:val="20"/>
              </w:rPr>
              <w:t>интраоперационной </w:t>
            </w:r>
            <w:r>
              <w:rPr>
                <w:sz w:val="20"/>
              </w:rPr>
              <w:t>фотодинамической терапией</w:t>
            </w:r>
          </w:p>
        </w:tc>
      </w:tr>
      <w:tr>
        <w:trPr>
          <w:trHeight w:val="960" w:hRule="atLeast"/>
        </w:trPr>
        <w:tc>
          <w:tcPr>
            <w:tcW w:w="3271" w:type="dxa"/>
          </w:tcPr>
          <w:p>
            <w:pPr>
              <w:pStyle w:val="TableParagraph"/>
              <w:spacing w:line="249" w:lineRule="auto" w:before="120"/>
              <w:ind w:left="50" w:right="38"/>
              <w:rPr>
                <w:sz w:val="20"/>
              </w:rPr>
            </w:pPr>
            <w:r>
              <w:rPr>
                <w:sz w:val="20"/>
              </w:rPr>
              <w:t>циторедуктивная гастрэктомия с интраоперационной</w:t>
            </w:r>
            <w:r>
              <w:rPr>
                <w:spacing w:val="-13"/>
                <w:sz w:val="20"/>
              </w:rPr>
              <w:t> </w:t>
            </w:r>
            <w:r>
              <w:rPr>
                <w:sz w:val="20"/>
              </w:rPr>
              <w:t>внутрибрюшной гипертермической химиотерапией</w:t>
            </w:r>
          </w:p>
        </w:tc>
      </w:tr>
      <w:tr>
        <w:trPr>
          <w:trHeight w:val="1200" w:hRule="atLeast"/>
        </w:trPr>
        <w:tc>
          <w:tcPr>
            <w:tcW w:w="3271" w:type="dxa"/>
          </w:tcPr>
          <w:p>
            <w:pPr>
              <w:pStyle w:val="TableParagraph"/>
              <w:spacing w:line="249" w:lineRule="auto" w:before="120"/>
              <w:ind w:left="50" w:right="38"/>
              <w:rPr>
                <w:sz w:val="20"/>
              </w:rPr>
            </w:pPr>
            <w:r>
              <w:rPr>
                <w:sz w:val="20"/>
              </w:rPr>
              <w:t>циторедуктивная проксимальная субтотальная резекция желудка с интраоперационной</w:t>
            </w:r>
            <w:r>
              <w:rPr>
                <w:spacing w:val="-13"/>
                <w:sz w:val="20"/>
              </w:rPr>
              <w:t> </w:t>
            </w:r>
            <w:r>
              <w:rPr>
                <w:sz w:val="20"/>
              </w:rPr>
              <w:t>внутрибрюшной гипертермической химиотерапией</w:t>
            </w:r>
          </w:p>
        </w:tc>
      </w:tr>
      <w:tr>
        <w:trPr>
          <w:trHeight w:val="1200" w:hRule="atLeast"/>
        </w:trPr>
        <w:tc>
          <w:tcPr>
            <w:tcW w:w="3271" w:type="dxa"/>
          </w:tcPr>
          <w:p>
            <w:pPr>
              <w:pStyle w:val="TableParagraph"/>
              <w:spacing w:line="249" w:lineRule="auto" w:before="120"/>
              <w:ind w:left="50" w:right="38"/>
              <w:rPr>
                <w:sz w:val="20"/>
              </w:rPr>
            </w:pPr>
            <w:r>
              <w:rPr>
                <w:sz w:val="20"/>
              </w:rPr>
              <w:t>циторедуктивная дистальная субтотальная резекция желудка с интраоперационной</w:t>
            </w:r>
            <w:r>
              <w:rPr>
                <w:spacing w:val="-13"/>
                <w:sz w:val="20"/>
              </w:rPr>
              <w:t> </w:t>
            </w:r>
            <w:r>
              <w:rPr>
                <w:sz w:val="20"/>
              </w:rPr>
              <w:t>внутрибрюшной гипертермической химиотерапией</w:t>
            </w:r>
          </w:p>
        </w:tc>
      </w:tr>
      <w:tr>
        <w:trPr>
          <w:trHeight w:val="1200" w:hRule="atLeast"/>
        </w:trPr>
        <w:tc>
          <w:tcPr>
            <w:tcW w:w="3271" w:type="dxa"/>
          </w:tcPr>
          <w:p>
            <w:pPr>
              <w:pStyle w:val="TableParagraph"/>
              <w:spacing w:line="249" w:lineRule="auto" w:before="120"/>
              <w:ind w:left="50" w:right="88"/>
              <w:rPr>
                <w:sz w:val="20"/>
              </w:rPr>
            </w:pPr>
            <w:r>
              <w:rPr>
                <w:sz w:val="20"/>
              </w:rPr>
              <w:t>циторедуктивные</w:t>
            </w:r>
            <w:r>
              <w:rPr>
                <w:spacing w:val="-13"/>
                <w:sz w:val="20"/>
              </w:rPr>
              <w:t> </w:t>
            </w:r>
            <w:r>
              <w:rPr>
                <w:sz w:val="20"/>
              </w:rPr>
              <w:t>комбинированные операции с радиочастотной термоаблацией метастатических очагов печени</w:t>
            </w:r>
          </w:p>
        </w:tc>
      </w:tr>
      <w:tr>
        <w:trPr>
          <w:trHeight w:val="830" w:hRule="atLeast"/>
        </w:trPr>
        <w:tc>
          <w:tcPr>
            <w:tcW w:w="3271" w:type="dxa"/>
          </w:tcPr>
          <w:p>
            <w:pPr>
              <w:pStyle w:val="TableParagraph"/>
              <w:spacing w:line="240" w:lineRule="atLeast" w:before="90"/>
              <w:ind w:left="50" w:right="38"/>
              <w:rPr>
                <w:sz w:val="20"/>
              </w:rPr>
            </w:pPr>
            <w:r>
              <w:rPr>
                <w:spacing w:val="-2"/>
                <w:sz w:val="20"/>
              </w:rPr>
              <w:t>расширенно-комбинированная </w:t>
            </w:r>
            <w:r>
              <w:rPr>
                <w:sz w:val="20"/>
              </w:rPr>
              <w:t>дистальная</w:t>
            </w:r>
            <w:r>
              <w:rPr>
                <w:spacing w:val="-13"/>
                <w:sz w:val="20"/>
              </w:rPr>
              <w:t> </w:t>
            </w:r>
            <w:r>
              <w:rPr>
                <w:sz w:val="20"/>
              </w:rPr>
              <w:t>субтотальная</w:t>
            </w:r>
            <w:r>
              <w:rPr>
                <w:spacing w:val="-12"/>
                <w:sz w:val="20"/>
              </w:rPr>
              <w:t> </w:t>
            </w:r>
            <w:r>
              <w:rPr>
                <w:sz w:val="20"/>
              </w:rPr>
              <w:t>резекция </w:t>
            </w:r>
            <w:r>
              <w:rPr>
                <w:spacing w:val="-2"/>
                <w:sz w:val="20"/>
              </w:rPr>
              <w:t>желудка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8"/>
        <w:gridCol w:w="3171"/>
        <w:gridCol w:w="1562"/>
        <w:gridCol w:w="3613"/>
      </w:tblGrid>
      <w:tr>
        <w:trPr>
          <w:trHeight w:val="107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ind w:left="222"/>
              <w:rPr>
                <w:sz w:val="20"/>
              </w:rPr>
            </w:pPr>
            <w:r>
              <w:rPr>
                <w:spacing w:val="-2"/>
                <w:sz w:val="20"/>
              </w:rPr>
              <w:t>расширенно-комбинированная </w:t>
            </w:r>
            <w:r>
              <w:rPr>
                <w:sz w:val="20"/>
              </w:rPr>
              <w:t>проксимальная субтотальная резекция желудка, в том числе с трансторакальной</w:t>
            </w:r>
            <w:r>
              <w:rPr>
                <w:spacing w:val="-13"/>
                <w:sz w:val="20"/>
              </w:rPr>
              <w:t> </w:t>
            </w:r>
            <w:r>
              <w:rPr>
                <w:sz w:val="20"/>
              </w:rPr>
              <w:t>резекцией</w:t>
            </w:r>
            <w:r>
              <w:rPr>
                <w:spacing w:val="-12"/>
                <w:sz w:val="20"/>
              </w:rPr>
              <w:t> </w:t>
            </w:r>
            <w:r>
              <w:rPr>
                <w:sz w:val="20"/>
              </w:rPr>
              <w:t>пищевода</w:t>
            </w:r>
          </w:p>
        </w:tc>
      </w:tr>
      <w:tr>
        <w:trPr>
          <w:trHeight w:val="96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pacing w:val="-2"/>
                <w:sz w:val="20"/>
              </w:rPr>
              <w:t>расширенно-комбинированная </w:t>
            </w:r>
            <w:r>
              <w:rPr>
                <w:sz w:val="20"/>
              </w:rPr>
              <w:t>гастрэктомия, в том числе с трансторакальной</w:t>
            </w:r>
            <w:r>
              <w:rPr>
                <w:spacing w:val="-13"/>
                <w:sz w:val="20"/>
              </w:rPr>
              <w:t> </w:t>
            </w:r>
            <w:r>
              <w:rPr>
                <w:sz w:val="20"/>
              </w:rPr>
              <w:t>резекцией</w:t>
            </w:r>
            <w:r>
              <w:rPr>
                <w:spacing w:val="-12"/>
                <w:sz w:val="20"/>
              </w:rPr>
              <w:t> </w:t>
            </w:r>
            <w:r>
              <w:rPr>
                <w:sz w:val="20"/>
              </w:rPr>
              <w:t>пищевода</w:t>
            </w:r>
          </w:p>
        </w:tc>
      </w:tr>
      <w:tr>
        <w:trPr>
          <w:trHeight w:val="72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pacing w:val="-2"/>
                <w:sz w:val="20"/>
              </w:rPr>
              <w:t>расширенно-комбинированная </w:t>
            </w:r>
            <w:r>
              <w:rPr>
                <w:sz w:val="20"/>
              </w:rPr>
              <w:t>экстирпация</w:t>
            </w:r>
            <w:r>
              <w:rPr>
                <w:spacing w:val="-13"/>
                <w:sz w:val="20"/>
              </w:rPr>
              <w:t> </w:t>
            </w:r>
            <w:r>
              <w:rPr>
                <w:sz w:val="20"/>
              </w:rPr>
              <w:t>оперированного</w:t>
            </w:r>
            <w:r>
              <w:rPr>
                <w:spacing w:val="-12"/>
                <w:sz w:val="20"/>
              </w:rPr>
              <w:t> </w:t>
            </w:r>
            <w:r>
              <w:rPr>
                <w:sz w:val="20"/>
              </w:rPr>
              <w:t>желудка</w:t>
            </w:r>
          </w:p>
        </w:tc>
      </w:tr>
      <w:tr>
        <w:trPr>
          <w:trHeight w:val="72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pacing w:val="-2"/>
                <w:sz w:val="20"/>
              </w:rPr>
              <w:t>расширенно-комбинированная </w:t>
            </w:r>
            <w:r>
              <w:rPr>
                <w:sz w:val="20"/>
              </w:rPr>
              <w:t>ререзекция</w:t>
            </w:r>
            <w:r>
              <w:rPr>
                <w:spacing w:val="-13"/>
                <w:sz w:val="20"/>
              </w:rPr>
              <w:t> </w:t>
            </w:r>
            <w:r>
              <w:rPr>
                <w:sz w:val="20"/>
              </w:rPr>
              <w:t>оперированного</w:t>
            </w:r>
            <w:r>
              <w:rPr>
                <w:spacing w:val="-12"/>
                <w:sz w:val="20"/>
              </w:rPr>
              <w:t> </w:t>
            </w:r>
            <w:r>
              <w:rPr>
                <w:sz w:val="20"/>
              </w:rPr>
              <w:t>желудка</w:t>
            </w:r>
          </w:p>
        </w:tc>
      </w:tr>
      <w:tr>
        <w:trPr>
          <w:trHeight w:val="96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ight="240"/>
              <w:jc w:val="both"/>
              <w:rPr>
                <w:sz w:val="20"/>
              </w:rPr>
            </w:pPr>
            <w:r>
              <w:rPr>
                <w:sz w:val="20"/>
              </w:rPr>
              <w:t>резекция</w:t>
            </w:r>
            <w:r>
              <w:rPr>
                <w:spacing w:val="-13"/>
                <w:sz w:val="20"/>
              </w:rPr>
              <w:t> </w:t>
            </w:r>
            <w:r>
              <w:rPr>
                <w:sz w:val="20"/>
              </w:rPr>
              <w:t>пищеводно-кишечного</w:t>
            </w:r>
            <w:r>
              <w:rPr>
                <w:spacing w:val="-12"/>
                <w:sz w:val="20"/>
              </w:rPr>
              <w:t> </w:t>
            </w:r>
            <w:r>
              <w:rPr>
                <w:sz w:val="20"/>
              </w:rPr>
              <w:t>или пищеводно-желудочного</w:t>
            </w:r>
            <w:r>
              <w:rPr>
                <w:spacing w:val="-13"/>
                <w:sz w:val="20"/>
              </w:rPr>
              <w:t> </w:t>
            </w:r>
            <w:r>
              <w:rPr>
                <w:sz w:val="20"/>
              </w:rPr>
              <w:t>анастомоза </w:t>
            </w:r>
            <w:r>
              <w:rPr>
                <w:spacing w:val="-2"/>
                <w:sz w:val="20"/>
              </w:rPr>
              <w:t>комбинированная</w:t>
            </w:r>
          </w:p>
        </w:tc>
      </w:tr>
      <w:tr>
        <w:trPr>
          <w:trHeight w:val="48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before="120"/>
              <w:ind w:left="222"/>
              <w:rPr>
                <w:sz w:val="20"/>
              </w:rPr>
            </w:pPr>
            <w:r>
              <w:rPr>
                <w:w w:val="95"/>
                <w:sz w:val="20"/>
              </w:rPr>
              <w:t>пилоросохраняющая</w:t>
            </w:r>
            <w:r>
              <w:rPr>
                <w:spacing w:val="50"/>
                <w:sz w:val="20"/>
              </w:rPr>
              <w:t> </w:t>
            </w:r>
            <w:r>
              <w:rPr>
                <w:w w:val="95"/>
                <w:sz w:val="20"/>
              </w:rPr>
              <w:t>резекция</w:t>
            </w:r>
            <w:r>
              <w:rPr>
                <w:spacing w:val="50"/>
                <w:sz w:val="20"/>
              </w:rPr>
              <w:t> </w:t>
            </w:r>
            <w:r>
              <w:rPr>
                <w:spacing w:val="-2"/>
                <w:w w:val="95"/>
                <w:sz w:val="20"/>
              </w:rPr>
              <w:t>желудка</w:t>
            </w:r>
          </w:p>
        </w:tc>
      </w:tr>
      <w:tr>
        <w:trPr>
          <w:trHeight w:val="96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z w:val="20"/>
              </w:rPr>
              <w:t>удаление</w:t>
            </w:r>
            <w:r>
              <w:rPr>
                <w:spacing w:val="-13"/>
                <w:sz w:val="20"/>
              </w:rPr>
              <w:t> </w:t>
            </w:r>
            <w:r>
              <w:rPr>
                <w:sz w:val="20"/>
              </w:rPr>
              <w:t>экстраорганного</w:t>
            </w:r>
            <w:r>
              <w:rPr>
                <w:spacing w:val="-12"/>
                <w:sz w:val="20"/>
              </w:rPr>
              <w:t> </w:t>
            </w:r>
            <w:r>
              <w:rPr>
                <w:sz w:val="20"/>
              </w:rPr>
              <w:t>рецидива злокачественных новообразований желудка комбинированное</w:t>
            </w:r>
          </w:p>
        </w:tc>
      </w:tr>
      <w:tr>
        <w:trPr>
          <w:trHeight w:val="1440" w:hRule="atLeast"/>
        </w:trPr>
        <w:tc>
          <w:tcPr>
            <w:tcW w:w="1838" w:type="dxa"/>
          </w:tcPr>
          <w:p>
            <w:pPr>
              <w:pStyle w:val="TableParagraph"/>
              <w:spacing w:before="120"/>
              <w:ind w:left="28" w:right="81"/>
              <w:jc w:val="center"/>
              <w:rPr>
                <w:sz w:val="20"/>
              </w:rPr>
            </w:pPr>
            <w:hyperlink r:id="rId73">
              <w:r>
                <w:rPr>
                  <w:spacing w:val="-5"/>
                  <w:sz w:val="20"/>
                </w:rPr>
                <w:t>C17</w:t>
              </w:r>
            </w:hyperlink>
          </w:p>
        </w:tc>
        <w:tc>
          <w:tcPr>
            <w:tcW w:w="3171" w:type="dxa"/>
          </w:tcPr>
          <w:p>
            <w:pPr>
              <w:pStyle w:val="TableParagraph"/>
              <w:spacing w:line="249" w:lineRule="auto" w:before="120"/>
              <w:ind w:left="101" w:right="75"/>
              <w:rPr>
                <w:sz w:val="20"/>
              </w:rPr>
            </w:pPr>
            <w:r>
              <w:rPr>
                <w:sz w:val="20"/>
              </w:rPr>
              <w:t>местнораспространенные и диссеминированные формы злокачественных</w:t>
            </w:r>
            <w:r>
              <w:rPr>
                <w:spacing w:val="-13"/>
                <w:sz w:val="20"/>
              </w:rPr>
              <w:t> </w:t>
            </w:r>
            <w:r>
              <w:rPr>
                <w:sz w:val="20"/>
              </w:rPr>
              <w:t>новообразований двенадцатиперстной и тонкой </w:t>
            </w:r>
            <w:r>
              <w:rPr>
                <w:spacing w:val="-2"/>
                <w:sz w:val="20"/>
              </w:rPr>
              <w:t>кишки</w:t>
            </w:r>
          </w:p>
        </w:tc>
        <w:tc>
          <w:tcPr>
            <w:tcW w:w="1562" w:type="dxa"/>
          </w:tcPr>
          <w:p>
            <w:pPr>
              <w:pStyle w:val="TableParagraph"/>
              <w:spacing w:line="252" w:lineRule="auto" w:before="120"/>
              <w:ind w:left="86"/>
              <w:rPr>
                <w:sz w:val="20"/>
              </w:rPr>
            </w:pPr>
            <w:r>
              <w:rPr>
                <w:spacing w:val="-2"/>
                <w:sz w:val="20"/>
              </w:rPr>
              <w:t>хирургическое лечение</w:t>
            </w:r>
          </w:p>
        </w:tc>
        <w:tc>
          <w:tcPr>
            <w:tcW w:w="3613" w:type="dxa"/>
          </w:tcPr>
          <w:p>
            <w:pPr>
              <w:pStyle w:val="TableParagraph"/>
              <w:spacing w:line="249" w:lineRule="auto" w:before="120"/>
              <w:ind w:left="222" w:right="165"/>
              <w:rPr>
                <w:sz w:val="20"/>
              </w:rPr>
            </w:pPr>
            <w:r>
              <w:rPr>
                <w:sz w:val="20"/>
              </w:rPr>
              <w:t>панкреатодуоденальная</w:t>
            </w:r>
            <w:r>
              <w:rPr>
                <w:spacing w:val="-13"/>
                <w:sz w:val="20"/>
              </w:rPr>
              <w:t> </w:t>
            </w:r>
            <w:r>
              <w:rPr>
                <w:sz w:val="20"/>
              </w:rPr>
              <w:t>резекция,</w:t>
            </w:r>
            <w:r>
              <w:rPr>
                <w:spacing w:val="-12"/>
                <w:sz w:val="20"/>
              </w:rPr>
              <w:t> </w:t>
            </w:r>
            <w:r>
              <w:rPr>
                <w:sz w:val="20"/>
              </w:rPr>
              <w:t>в том числе расширенная или </w:t>
            </w:r>
            <w:r>
              <w:rPr>
                <w:spacing w:val="-2"/>
                <w:sz w:val="20"/>
              </w:rPr>
              <w:t>комбинированная</w:t>
            </w:r>
          </w:p>
        </w:tc>
      </w:tr>
      <w:tr>
        <w:trPr>
          <w:trHeight w:val="830" w:hRule="atLeast"/>
        </w:trPr>
        <w:tc>
          <w:tcPr>
            <w:tcW w:w="1838" w:type="dxa"/>
          </w:tcPr>
          <w:p>
            <w:pPr>
              <w:pStyle w:val="TableParagraph"/>
              <w:spacing w:line="249" w:lineRule="auto" w:before="120"/>
              <w:ind w:left="650" w:hanging="601"/>
              <w:rPr>
                <w:sz w:val="20"/>
              </w:rPr>
            </w:pPr>
            <w:hyperlink r:id="rId74">
              <w:r>
                <w:rPr>
                  <w:sz w:val="20"/>
                </w:rPr>
                <w:t>C18,</w:t>
              </w:r>
              <w:r>
                <w:rPr>
                  <w:spacing w:val="-11"/>
                  <w:sz w:val="20"/>
                </w:rPr>
                <w:t> </w:t>
              </w:r>
            </w:hyperlink>
            <w:hyperlink r:id="rId75">
              <w:r>
                <w:rPr>
                  <w:sz w:val="20"/>
                </w:rPr>
                <w:t>C19,</w:t>
              </w:r>
              <w:r>
                <w:rPr>
                  <w:spacing w:val="-11"/>
                  <w:sz w:val="20"/>
                </w:rPr>
                <w:t> </w:t>
              </w:r>
            </w:hyperlink>
            <w:hyperlink r:id="rId76">
              <w:r>
                <w:rPr>
                  <w:sz w:val="20"/>
                </w:rPr>
                <w:t>C20,</w:t>
              </w:r>
              <w:r>
                <w:rPr>
                  <w:spacing w:val="-11"/>
                  <w:sz w:val="20"/>
                </w:rPr>
                <w:t> </w:t>
              </w:r>
            </w:hyperlink>
            <w:hyperlink r:id="rId77">
              <w:r>
                <w:rPr>
                  <w:sz w:val="20"/>
                </w:rPr>
                <w:t>C08,</w:t>
              </w:r>
            </w:hyperlink>
            <w:r>
              <w:rPr>
                <w:sz w:val="20"/>
              </w:rPr>
              <w:t> </w:t>
            </w:r>
            <w:hyperlink r:id="rId78">
              <w:r>
                <w:rPr>
                  <w:spacing w:val="-2"/>
                  <w:sz w:val="20"/>
                </w:rPr>
                <w:t>C48.1</w:t>
              </w:r>
            </w:hyperlink>
          </w:p>
        </w:tc>
        <w:tc>
          <w:tcPr>
            <w:tcW w:w="3171" w:type="dxa"/>
          </w:tcPr>
          <w:p>
            <w:pPr>
              <w:pStyle w:val="TableParagraph"/>
              <w:spacing w:line="240" w:lineRule="atLeast" w:before="90"/>
              <w:ind w:left="101" w:right="75"/>
              <w:rPr>
                <w:sz w:val="20"/>
              </w:rPr>
            </w:pPr>
            <w:r>
              <w:rPr>
                <w:sz w:val="20"/>
              </w:rPr>
              <w:t>состояние</w:t>
            </w:r>
            <w:r>
              <w:rPr>
                <w:spacing w:val="-13"/>
                <w:sz w:val="20"/>
              </w:rPr>
              <w:t> </w:t>
            </w:r>
            <w:r>
              <w:rPr>
                <w:sz w:val="20"/>
              </w:rPr>
              <w:t>после</w:t>
            </w:r>
            <w:r>
              <w:rPr>
                <w:spacing w:val="-12"/>
                <w:sz w:val="20"/>
              </w:rPr>
              <w:t> </w:t>
            </w:r>
            <w:r>
              <w:rPr>
                <w:sz w:val="20"/>
              </w:rPr>
              <w:t>обструктивных резекций по поводу опухолей толстой кишки. Опухоли</w:t>
            </w:r>
          </w:p>
        </w:tc>
        <w:tc>
          <w:tcPr>
            <w:tcW w:w="1562" w:type="dxa"/>
          </w:tcPr>
          <w:p>
            <w:pPr>
              <w:pStyle w:val="TableParagraph"/>
              <w:spacing w:line="249" w:lineRule="auto" w:before="120"/>
              <w:ind w:left="86"/>
              <w:rPr>
                <w:sz w:val="20"/>
              </w:rPr>
            </w:pPr>
            <w:r>
              <w:rPr>
                <w:spacing w:val="-2"/>
                <w:sz w:val="20"/>
              </w:rPr>
              <w:t>хирургическое лечение</w:t>
            </w:r>
          </w:p>
        </w:tc>
        <w:tc>
          <w:tcPr>
            <w:tcW w:w="3613" w:type="dxa"/>
          </w:tcPr>
          <w:p>
            <w:pPr>
              <w:pStyle w:val="TableParagraph"/>
              <w:spacing w:line="240" w:lineRule="atLeast" w:before="90"/>
              <w:ind w:left="222"/>
              <w:rPr>
                <w:sz w:val="20"/>
              </w:rPr>
            </w:pPr>
            <w:r>
              <w:rPr>
                <w:sz w:val="20"/>
              </w:rPr>
              <w:t>реконструкция</w:t>
            </w:r>
            <w:r>
              <w:rPr>
                <w:spacing w:val="-13"/>
                <w:sz w:val="20"/>
              </w:rPr>
              <w:t> </w:t>
            </w:r>
            <w:r>
              <w:rPr>
                <w:sz w:val="20"/>
              </w:rPr>
              <w:t>толстой</w:t>
            </w:r>
            <w:r>
              <w:rPr>
                <w:spacing w:val="-12"/>
                <w:sz w:val="20"/>
              </w:rPr>
              <w:t> </w:t>
            </w:r>
            <w:r>
              <w:rPr>
                <w:sz w:val="20"/>
              </w:rPr>
              <w:t>кишки</w:t>
            </w:r>
            <w:r>
              <w:rPr>
                <w:spacing w:val="-13"/>
                <w:sz w:val="20"/>
              </w:rPr>
              <w:t> </w:t>
            </w:r>
            <w:r>
              <w:rPr>
                <w:sz w:val="20"/>
              </w:rPr>
              <w:t>с формированием межкишечных </w:t>
            </w:r>
            <w:r>
              <w:rPr>
                <w:spacing w:val="-2"/>
                <w:sz w:val="20"/>
              </w:rPr>
              <w:t>анастомозов</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2"/>
        <w:gridCol w:w="4079"/>
      </w:tblGrid>
      <w:tr>
        <w:trPr>
          <w:trHeight w:val="1550" w:hRule="atLeast"/>
        </w:trPr>
        <w:tc>
          <w:tcPr>
            <w:tcW w:w="3912" w:type="dxa"/>
          </w:tcPr>
          <w:p>
            <w:pPr>
              <w:pStyle w:val="TableParagraph"/>
              <w:spacing w:line="249" w:lineRule="auto"/>
              <w:ind w:left="50" w:right="548"/>
              <w:rPr>
                <w:sz w:val="20"/>
              </w:rPr>
            </w:pPr>
            <w:r>
              <w:rPr>
                <w:sz w:val="20"/>
              </w:rPr>
              <w:t>ободочной,</w:t>
            </w:r>
            <w:r>
              <w:rPr>
                <w:spacing w:val="-13"/>
                <w:sz w:val="20"/>
              </w:rPr>
              <w:t> </w:t>
            </w:r>
            <w:r>
              <w:rPr>
                <w:sz w:val="20"/>
              </w:rPr>
              <w:t>сигмовидной,</w:t>
            </w:r>
            <w:r>
              <w:rPr>
                <w:spacing w:val="-12"/>
                <w:sz w:val="20"/>
              </w:rPr>
              <w:t> </w:t>
            </w:r>
            <w:r>
              <w:rPr>
                <w:sz w:val="20"/>
              </w:rPr>
              <w:t>прямой кишки и ректосигмоидного соединения с перитонеальной диссеминацией, включая псевдомиксому брюшины</w:t>
            </w:r>
          </w:p>
        </w:tc>
        <w:tc>
          <w:tcPr>
            <w:tcW w:w="4079" w:type="dxa"/>
          </w:tcPr>
          <w:p>
            <w:pPr>
              <w:pStyle w:val="TableParagraph"/>
              <w:spacing w:line="249" w:lineRule="auto"/>
              <w:ind w:left="991" w:right="38"/>
              <w:rPr>
                <w:sz w:val="20"/>
              </w:rPr>
            </w:pPr>
            <w:r>
              <w:rPr>
                <w:sz w:val="20"/>
              </w:rPr>
              <w:t>правосторонняя</w:t>
            </w:r>
            <w:r>
              <w:rPr>
                <w:spacing w:val="-13"/>
                <w:sz w:val="20"/>
              </w:rPr>
              <w:t> </w:t>
            </w:r>
            <w:r>
              <w:rPr>
                <w:sz w:val="20"/>
              </w:rPr>
              <w:t>гемиколэктомия</w:t>
            </w:r>
            <w:r>
              <w:rPr>
                <w:spacing w:val="-12"/>
                <w:sz w:val="20"/>
              </w:rPr>
              <w:t> </w:t>
            </w:r>
            <w:r>
              <w:rPr>
                <w:sz w:val="20"/>
              </w:rPr>
              <w:t>с расширенной лимфаденэктомией, субтотальной париетальной перитонэктомией, экстирпацией большого сальника, фотодинамическая терапия</w:t>
            </w:r>
          </w:p>
        </w:tc>
      </w:tr>
      <w:tr>
        <w:trPr>
          <w:trHeight w:val="1920" w:hRule="atLeast"/>
        </w:trPr>
        <w:tc>
          <w:tcPr>
            <w:tcW w:w="3912" w:type="dxa"/>
          </w:tcPr>
          <w:p>
            <w:pPr>
              <w:pStyle w:val="TableParagraph"/>
              <w:rPr>
                <w:sz w:val="18"/>
              </w:rPr>
            </w:pPr>
          </w:p>
        </w:tc>
        <w:tc>
          <w:tcPr>
            <w:tcW w:w="4079" w:type="dxa"/>
          </w:tcPr>
          <w:p>
            <w:pPr>
              <w:pStyle w:val="TableParagraph"/>
              <w:spacing w:line="249" w:lineRule="auto" w:before="120"/>
              <w:ind w:left="991" w:right="38"/>
              <w:rPr>
                <w:sz w:val="20"/>
              </w:rPr>
            </w:pPr>
            <w:r>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w:t>
            </w:r>
            <w:r>
              <w:rPr>
                <w:spacing w:val="-13"/>
                <w:sz w:val="20"/>
              </w:rPr>
              <w:t> </w:t>
            </w:r>
            <w:r>
              <w:rPr>
                <w:sz w:val="20"/>
              </w:rPr>
              <w:t>внутрибрюшной </w:t>
            </w:r>
            <w:r>
              <w:rPr>
                <w:spacing w:val="-2"/>
                <w:sz w:val="20"/>
              </w:rPr>
              <w:t>химиотерапии</w:t>
            </w:r>
          </w:p>
        </w:tc>
      </w:tr>
      <w:tr>
        <w:trPr>
          <w:trHeight w:val="1680" w:hRule="atLeast"/>
        </w:trPr>
        <w:tc>
          <w:tcPr>
            <w:tcW w:w="3912" w:type="dxa"/>
          </w:tcPr>
          <w:p>
            <w:pPr>
              <w:pStyle w:val="TableParagraph"/>
              <w:rPr>
                <w:sz w:val="18"/>
              </w:rPr>
            </w:pPr>
          </w:p>
        </w:tc>
        <w:tc>
          <w:tcPr>
            <w:tcW w:w="4079" w:type="dxa"/>
          </w:tcPr>
          <w:p>
            <w:pPr>
              <w:pStyle w:val="TableParagraph"/>
              <w:spacing w:line="249" w:lineRule="auto" w:before="120"/>
              <w:ind w:left="991" w:right="233"/>
              <w:rPr>
                <w:sz w:val="20"/>
              </w:rPr>
            </w:pPr>
            <w:r>
              <w:rPr>
                <w:sz w:val="20"/>
              </w:rPr>
              <w:t>левосторонняя</w:t>
            </w:r>
            <w:r>
              <w:rPr>
                <w:spacing w:val="-13"/>
                <w:sz w:val="20"/>
              </w:rPr>
              <w:t> </w:t>
            </w:r>
            <w:r>
              <w:rPr>
                <w:sz w:val="20"/>
              </w:rPr>
              <w:t>гемиколэктомия</w:t>
            </w:r>
            <w:r>
              <w:rPr>
                <w:spacing w:val="-12"/>
                <w:sz w:val="20"/>
              </w:rPr>
              <w:t> </w:t>
            </w:r>
            <w:r>
              <w:rPr>
                <w:sz w:val="20"/>
              </w:rPr>
              <w:t>с расширенной</w:t>
            </w:r>
            <w:r>
              <w:rPr>
                <w:spacing w:val="-13"/>
                <w:sz w:val="20"/>
              </w:rPr>
              <w:t> </w:t>
            </w:r>
            <w:r>
              <w:rPr>
                <w:sz w:val="20"/>
              </w:rPr>
              <w:t>лимфаденэктомией субтотальной париетальной перитонэктомией, экстирпацией большого сальника, фотодинамическая терапия</w:t>
            </w:r>
          </w:p>
        </w:tc>
      </w:tr>
      <w:tr>
        <w:trPr>
          <w:trHeight w:val="1920" w:hRule="atLeast"/>
        </w:trPr>
        <w:tc>
          <w:tcPr>
            <w:tcW w:w="3912" w:type="dxa"/>
          </w:tcPr>
          <w:p>
            <w:pPr>
              <w:pStyle w:val="TableParagraph"/>
              <w:rPr>
                <w:sz w:val="18"/>
              </w:rPr>
            </w:pPr>
          </w:p>
        </w:tc>
        <w:tc>
          <w:tcPr>
            <w:tcW w:w="4079" w:type="dxa"/>
          </w:tcPr>
          <w:p>
            <w:pPr>
              <w:pStyle w:val="TableParagraph"/>
              <w:spacing w:line="249" w:lineRule="auto" w:before="120"/>
              <w:ind w:left="991" w:right="38"/>
              <w:rPr>
                <w:sz w:val="20"/>
              </w:rPr>
            </w:pPr>
            <w:r>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w:t>
            </w:r>
            <w:r>
              <w:rPr>
                <w:spacing w:val="-13"/>
                <w:sz w:val="20"/>
              </w:rPr>
              <w:t> </w:t>
            </w:r>
            <w:r>
              <w:rPr>
                <w:sz w:val="20"/>
              </w:rPr>
              <w:t>внутрибрюшной </w:t>
            </w:r>
            <w:r>
              <w:rPr>
                <w:spacing w:val="-2"/>
                <w:sz w:val="20"/>
              </w:rPr>
              <w:t>химиотерапии</w:t>
            </w:r>
          </w:p>
        </w:tc>
      </w:tr>
      <w:tr>
        <w:trPr>
          <w:trHeight w:val="1070" w:hRule="atLeast"/>
        </w:trPr>
        <w:tc>
          <w:tcPr>
            <w:tcW w:w="3912" w:type="dxa"/>
          </w:tcPr>
          <w:p>
            <w:pPr>
              <w:pStyle w:val="TableParagraph"/>
              <w:rPr>
                <w:sz w:val="18"/>
              </w:rPr>
            </w:pPr>
          </w:p>
        </w:tc>
        <w:tc>
          <w:tcPr>
            <w:tcW w:w="4079" w:type="dxa"/>
          </w:tcPr>
          <w:p>
            <w:pPr>
              <w:pStyle w:val="TableParagraph"/>
              <w:spacing w:line="240" w:lineRule="atLeast" w:before="90"/>
              <w:ind w:left="991" w:right="183"/>
              <w:rPr>
                <w:sz w:val="20"/>
              </w:rPr>
            </w:pPr>
            <w:r>
              <w:rPr>
                <w:sz w:val="20"/>
              </w:rPr>
              <w:t>резекция сигмовидной кишки с расширенной</w:t>
            </w:r>
            <w:r>
              <w:rPr>
                <w:spacing w:val="-13"/>
                <w:sz w:val="20"/>
              </w:rPr>
              <w:t> </w:t>
            </w:r>
            <w:r>
              <w:rPr>
                <w:sz w:val="20"/>
              </w:rPr>
              <w:t>лимфаденэктомией, субтотальной париетальной перитонэктомией, экстирпацией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0"/>
        <w:gridCol w:w="1563"/>
        <w:gridCol w:w="3550"/>
      </w:tblGrid>
      <w:tr>
        <w:trPr>
          <w:trHeight w:val="59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ind w:left="220" w:right="990"/>
              <w:rPr>
                <w:sz w:val="20"/>
              </w:rPr>
            </w:pPr>
            <w:r>
              <w:rPr>
                <w:sz w:val="20"/>
              </w:rPr>
              <w:t>большого сальника, фотодинамическая</w:t>
            </w:r>
            <w:r>
              <w:rPr>
                <w:spacing w:val="-13"/>
                <w:sz w:val="20"/>
              </w:rPr>
              <w:t> </w:t>
            </w:r>
            <w:r>
              <w:rPr>
                <w:sz w:val="20"/>
              </w:rPr>
              <w:t>терапия</w:t>
            </w:r>
          </w:p>
        </w:tc>
      </w:tr>
      <w:tr>
        <w:trPr>
          <w:trHeight w:val="192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before="120"/>
              <w:ind w:left="220" w:right="280"/>
              <w:rPr>
                <w:sz w:val="20"/>
              </w:rPr>
            </w:pPr>
            <w:r>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w:t>
            </w:r>
            <w:r>
              <w:rPr>
                <w:spacing w:val="-13"/>
                <w:sz w:val="20"/>
              </w:rPr>
              <w:t> </w:t>
            </w:r>
            <w:r>
              <w:rPr>
                <w:sz w:val="20"/>
              </w:rPr>
              <w:t>внутрибрюшной </w:t>
            </w:r>
            <w:r>
              <w:rPr>
                <w:spacing w:val="-2"/>
                <w:sz w:val="20"/>
              </w:rPr>
              <w:t>химиотерапии</w:t>
            </w:r>
          </w:p>
        </w:tc>
      </w:tr>
      <w:tr>
        <w:trPr>
          <w:trHeight w:val="168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before="120"/>
              <w:ind w:left="220" w:right="425"/>
              <w:rPr>
                <w:sz w:val="20"/>
              </w:rPr>
            </w:pPr>
            <w:r>
              <w:rPr>
                <w:sz w:val="20"/>
              </w:rPr>
              <w:t>резекция прямой кишки с расширенной</w:t>
            </w:r>
            <w:r>
              <w:rPr>
                <w:spacing w:val="-13"/>
                <w:sz w:val="20"/>
              </w:rPr>
              <w:t> </w:t>
            </w:r>
            <w:r>
              <w:rPr>
                <w:sz w:val="20"/>
              </w:rPr>
              <w:t>лимфаденэктомией, субтотальной париетальной перитонэктомией, экстирпацией большого сальника, фотодинамическая терапия</w:t>
            </w:r>
          </w:p>
        </w:tc>
      </w:tr>
      <w:tr>
        <w:trPr>
          <w:trHeight w:val="168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before="120"/>
              <w:ind w:left="220" w:right="280"/>
              <w:rPr>
                <w:sz w:val="20"/>
              </w:rPr>
            </w:pPr>
            <w:r>
              <w:rPr>
                <w:sz w:val="20"/>
              </w:rPr>
              <w:t>резекция прямой кишки с расширенной лимфаденэктомией, субтотальной перитонэктомией, экстирпацией</w:t>
            </w:r>
            <w:r>
              <w:rPr>
                <w:spacing w:val="-9"/>
                <w:sz w:val="20"/>
              </w:rPr>
              <w:t> </w:t>
            </w:r>
            <w:r>
              <w:rPr>
                <w:sz w:val="20"/>
              </w:rPr>
              <w:t>большого</w:t>
            </w:r>
            <w:r>
              <w:rPr>
                <w:spacing w:val="-9"/>
                <w:sz w:val="20"/>
              </w:rPr>
              <w:t> </w:t>
            </w:r>
            <w:r>
              <w:rPr>
                <w:sz w:val="20"/>
              </w:rPr>
              <w:t>сальника</w:t>
            </w:r>
            <w:r>
              <w:rPr>
                <w:spacing w:val="-10"/>
                <w:sz w:val="20"/>
              </w:rPr>
              <w:t> </w:t>
            </w:r>
            <w:r>
              <w:rPr>
                <w:sz w:val="20"/>
              </w:rPr>
              <w:t>и гипертермической</w:t>
            </w:r>
            <w:r>
              <w:rPr>
                <w:spacing w:val="-13"/>
                <w:sz w:val="20"/>
              </w:rPr>
              <w:t> </w:t>
            </w:r>
            <w:r>
              <w:rPr>
                <w:sz w:val="20"/>
              </w:rPr>
              <w:t>внутрибрюшной </w:t>
            </w:r>
            <w:r>
              <w:rPr>
                <w:spacing w:val="-2"/>
                <w:sz w:val="20"/>
              </w:rPr>
              <w:t>химиотерапией</w:t>
            </w:r>
          </w:p>
        </w:tc>
      </w:tr>
      <w:tr>
        <w:trPr>
          <w:trHeight w:val="720" w:hRule="atLeast"/>
        </w:trPr>
        <w:tc>
          <w:tcPr>
            <w:tcW w:w="3120" w:type="dxa"/>
            <w:vMerge w:val="restart"/>
          </w:tcPr>
          <w:p>
            <w:pPr>
              <w:pStyle w:val="TableParagraph"/>
              <w:spacing w:line="249" w:lineRule="auto" w:before="120"/>
              <w:ind w:left="50" w:right="75"/>
              <w:rPr>
                <w:sz w:val="20"/>
              </w:rPr>
            </w:pPr>
            <w:r>
              <w:rPr>
                <w:sz w:val="20"/>
              </w:rPr>
              <w:t>местнораспространенные и метастатические формы первичных и рецидивных злокачественных</w:t>
            </w:r>
            <w:r>
              <w:rPr>
                <w:spacing w:val="-13"/>
                <w:sz w:val="20"/>
              </w:rPr>
              <w:t> </w:t>
            </w:r>
            <w:r>
              <w:rPr>
                <w:sz w:val="20"/>
              </w:rPr>
              <w:t>новообразований ободочной, сигмовидной, прямой кишки и ректосигмоидного</w:t>
            </w:r>
          </w:p>
          <w:p>
            <w:pPr>
              <w:pStyle w:val="TableParagraph"/>
              <w:spacing w:line="220" w:lineRule="exact" w:before="6"/>
              <w:ind w:left="50"/>
              <w:rPr>
                <w:sz w:val="20"/>
              </w:rPr>
            </w:pPr>
            <w:r>
              <w:rPr>
                <w:sz w:val="20"/>
              </w:rPr>
              <w:t>соединения</w:t>
            </w:r>
            <w:r>
              <w:rPr>
                <w:spacing w:val="-6"/>
                <w:sz w:val="20"/>
              </w:rPr>
              <w:t> </w:t>
            </w:r>
            <w:r>
              <w:rPr>
                <w:sz w:val="20"/>
              </w:rPr>
              <w:t>(II</w:t>
            </w:r>
            <w:r>
              <w:rPr>
                <w:spacing w:val="-2"/>
                <w:sz w:val="20"/>
              </w:rPr>
              <w:t> </w:t>
            </w:r>
            <w:r>
              <w:rPr>
                <w:sz w:val="20"/>
              </w:rPr>
              <w:t>-</w:t>
            </w:r>
            <w:r>
              <w:rPr>
                <w:spacing w:val="-6"/>
                <w:sz w:val="20"/>
              </w:rPr>
              <w:t> </w:t>
            </w:r>
            <w:r>
              <w:rPr>
                <w:sz w:val="20"/>
              </w:rPr>
              <w:t>IV</w:t>
            </w:r>
            <w:r>
              <w:rPr>
                <w:spacing w:val="-4"/>
                <w:sz w:val="20"/>
              </w:rPr>
              <w:t> </w:t>
            </w:r>
            <w:r>
              <w:rPr>
                <w:spacing w:val="-2"/>
                <w:sz w:val="20"/>
              </w:rPr>
              <w:t>стадия)</w:t>
            </w:r>
          </w:p>
        </w:tc>
        <w:tc>
          <w:tcPr>
            <w:tcW w:w="1563" w:type="dxa"/>
          </w:tcPr>
          <w:p>
            <w:pPr>
              <w:pStyle w:val="TableParagraph"/>
              <w:spacing w:line="252" w:lineRule="auto" w:before="120"/>
              <w:ind w:left="86"/>
              <w:rPr>
                <w:sz w:val="20"/>
              </w:rPr>
            </w:pPr>
            <w:r>
              <w:rPr>
                <w:spacing w:val="-2"/>
                <w:sz w:val="20"/>
              </w:rPr>
              <w:t>хирургическое лечение</w:t>
            </w:r>
          </w:p>
        </w:tc>
        <w:tc>
          <w:tcPr>
            <w:tcW w:w="3550" w:type="dxa"/>
          </w:tcPr>
          <w:p>
            <w:pPr>
              <w:pStyle w:val="TableParagraph"/>
              <w:spacing w:line="252" w:lineRule="auto" w:before="120"/>
              <w:ind w:left="220" w:right="280"/>
              <w:rPr>
                <w:sz w:val="20"/>
              </w:rPr>
            </w:pPr>
            <w:r>
              <w:rPr>
                <w:sz w:val="20"/>
              </w:rPr>
              <w:t>правосторонняя</w:t>
            </w:r>
            <w:r>
              <w:rPr>
                <w:spacing w:val="-13"/>
                <w:sz w:val="20"/>
              </w:rPr>
              <w:t> </w:t>
            </w:r>
            <w:r>
              <w:rPr>
                <w:sz w:val="20"/>
              </w:rPr>
              <w:t>гемиколэктомия</w:t>
            </w:r>
            <w:r>
              <w:rPr>
                <w:spacing w:val="-12"/>
                <w:sz w:val="20"/>
              </w:rPr>
              <w:t> </w:t>
            </w:r>
            <w:r>
              <w:rPr>
                <w:sz w:val="20"/>
              </w:rPr>
              <w:t>с расширенной лимфаденэктомией</w:t>
            </w:r>
          </w:p>
        </w:tc>
      </w:tr>
      <w:tr>
        <w:trPr>
          <w:trHeight w:val="1079" w:hRule="atLeast"/>
        </w:trPr>
        <w:tc>
          <w:tcPr>
            <w:tcW w:w="3120" w:type="dxa"/>
            <w:vMerge/>
            <w:tcBorders>
              <w:top w:val="nil"/>
            </w:tcBorders>
          </w:tcPr>
          <w:p>
            <w:pPr>
              <w:rPr>
                <w:sz w:val="2"/>
                <w:szCs w:val="2"/>
              </w:rPr>
            </w:pPr>
          </w:p>
        </w:tc>
        <w:tc>
          <w:tcPr>
            <w:tcW w:w="1563" w:type="dxa"/>
          </w:tcPr>
          <w:p>
            <w:pPr>
              <w:pStyle w:val="TableParagraph"/>
              <w:rPr>
                <w:sz w:val="18"/>
              </w:rPr>
            </w:pPr>
          </w:p>
        </w:tc>
        <w:tc>
          <w:tcPr>
            <w:tcW w:w="3550" w:type="dxa"/>
          </w:tcPr>
          <w:p>
            <w:pPr>
              <w:pStyle w:val="TableParagraph"/>
              <w:spacing w:line="249" w:lineRule="auto" w:before="120"/>
              <w:ind w:left="220"/>
              <w:rPr>
                <w:sz w:val="20"/>
              </w:rPr>
            </w:pPr>
            <w:r>
              <w:rPr>
                <w:sz w:val="20"/>
              </w:rPr>
              <w:t>комбинированная правосторонняя гемиколэктомия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r>
      <w:tr>
        <w:trPr>
          <w:trHeight w:val="47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ind w:left="220"/>
              <w:rPr>
                <w:sz w:val="20"/>
              </w:rPr>
            </w:pPr>
            <w:r>
              <w:rPr>
                <w:sz w:val="20"/>
              </w:rPr>
              <w:t>резекция</w:t>
            </w:r>
            <w:r>
              <w:rPr>
                <w:spacing w:val="-10"/>
                <w:sz w:val="20"/>
              </w:rPr>
              <w:t> </w:t>
            </w:r>
            <w:r>
              <w:rPr>
                <w:sz w:val="20"/>
              </w:rPr>
              <w:t>сигмовидной</w:t>
            </w:r>
            <w:r>
              <w:rPr>
                <w:spacing w:val="-9"/>
                <w:sz w:val="20"/>
              </w:rPr>
              <w:t> </w:t>
            </w:r>
            <w:r>
              <w:rPr>
                <w:sz w:val="20"/>
              </w:rPr>
              <w:t>кишки</w:t>
            </w:r>
            <w:r>
              <w:rPr>
                <w:spacing w:val="-9"/>
                <w:sz w:val="20"/>
              </w:rPr>
              <w:t> </w:t>
            </w:r>
            <w:r>
              <w:rPr>
                <w:spacing w:val="-10"/>
                <w:sz w:val="20"/>
              </w:rPr>
              <w:t>с</w:t>
            </w:r>
          </w:p>
          <w:p>
            <w:pPr>
              <w:pStyle w:val="TableParagraph"/>
              <w:spacing w:line="210" w:lineRule="exact" w:before="10"/>
              <w:ind w:left="220"/>
              <w:rPr>
                <w:sz w:val="20"/>
              </w:rPr>
            </w:pPr>
            <w:r>
              <w:rPr>
                <w:sz w:val="20"/>
              </w:rPr>
              <w:t>расширенной</w:t>
            </w:r>
            <w:r>
              <w:rPr>
                <w:spacing w:val="-12"/>
                <w:sz w:val="20"/>
              </w:rPr>
              <w:t> </w:t>
            </w:r>
            <w:r>
              <w:rPr>
                <w:spacing w:val="-2"/>
                <w:sz w:val="20"/>
              </w:rPr>
              <w:t>лимфаденэктомией</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493"/>
        <w:gridCol w:w="1581"/>
        <w:gridCol w:w="3550"/>
      </w:tblGrid>
      <w:tr>
        <w:trPr>
          <w:trHeight w:val="83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ind w:left="221" w:right="280"/>
              <w:rPr>
                <w:sz w:val="20"/>
              </w:rPr>
            </w:pPr>
            <w:r>
              <w:rPr>
                <w:sz w:val="20"/>
              </w:rPr>
              <w:t>комбинированная резекция сигмовидной</w:t>
            </w:r>
            <w:r>
              <w:rPr>
                <w:spacing w:val="-13"/>
                <w:sz w:val="20"/>
              </w:rPr>
              <w:t> </w:t>
            </w:r>
            <w:r>
              <w:rPr>
                <w:sz w:val="20"/>
              </w:rPr>
              <w:t>кишки</w:t>
            </w:r>
            <w:r>
              <w:rPr>
                <w:spacing w:val="-12"/>
                <w:sz w:val="20"/>
              </w:rPr>
              <w:t> </w:t>
            </w:r>
            <w:r>
              <w:rPr>
                <w:sz w:val="20"/>
              </w:rPr>
              <w:t>с</w:t>
            </w:r>
            <w:r>
              <w:rPr>
                <w:spacing w:val="-13"/>
                <w:sz w:val="20"/>
              </w:rPr>
              <w:t> </w:t>
            </w:r>
            <w:r>
              <w:rPr>
                <w:sz w:val="20"/>
              </w:rPr>
              <w:t>резекцией соседних органов</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52" w:lineRule="auto" w:before="120"/>
              <w:ind w:left="221" w:right="280"/>
              <w:rPr>
                <w:sz w:val="20"/>
              </w:rPr>
            </w:pPr>
            <w:r>
              <w:rPr>
                <w:sz w:val="20"/>
              </w:rPr>
              <w:t>правосторонняя</w:t>
            </w:r>
            <w:r>
              <w:rPr>
                <w:spacing w:val="-13"/>
                <w:sz w:val="20"/>
              </w:rPr>
              <w:t> </w:t>
            </w:r>
            <w:r>
              <w:rPr>
                <w:sz w:val="20"/>
              </w:rPr>
              <w:t>гемиколэктомия</w:t>
            </w:r>
            <w:r>
              <w:rPr>
                <w:spacing w:val="-12"/>
                <w:sz w:val="20"/>
              </w:rPr>
              <w:t> </w:t>
            </w:r>
            <w:r>
              <w:rPr>
                <w:sz w:val="20"/>
              </w:rPr>
              <w:t>с резекцией легкого</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ight="280"/>
              <w:rPr>
                <w:sz w:val="20"/>
              </w:rPr>
            </w:pPr>
            <w:r>
              <w:rPr>
                <w:sz w:val="20"/>
              </w:rPr>
              <w:t>левосторонняя</w:t>
            </w:r>
            <w:r>
              <w:rPr>
                <w:spacing w:val="-13"/>
                <w:sz w:val="20"/>
              </w:rPr>
              <w:t> </w:t>
            </w:r>
            <w:r>
              <w:rPr>
                <w:sz w:val="20"/>
              </w:rPr>
              <w:t>гемиколэктомия</w:t>
            </w:r>
            <w:r>
              <w:rPr>
                <w:spacing w:val="-12"/>
                <w:sz w:val="20"/>
              </w:rPr>
              <w:t> </w:t>
            </w:r>
            <w:r>
              <w:rPr>
                <w:sz w:val="20"/>
              </w:rPr>
              <w:t>с расширенной</w:t>
            </w:r>
            <w:r>
              <w:rPr>
                <w:spacing w:val="-12"/>
                <w:sz w:val="20"/>
              </w:rPr>
              <w:t> </w:t>
            </w:r>
            <w:r>
              <w:rPr>
                <w:spacing w:val="-2"/>
                <w:sz w:val="20"/>
              </w:rPr>
              <w:t>лимфаденэктомией</w:t>
            </w:r>
          </w:p>
        </w:tc>
      </w:tr>
      <w:tr>
        <w:trPr>
          <w:trHeight w:val="96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Pr>
                <w:sz w:val="20"/>
              </w:rPr>
            </w:pPr>
            <w:r>
              <w:rPr>
                <w:sz w:val="20"/>
              </w:rPr>
              <w:t>комбинированная левосторонняя гемиколэктомия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52" w:lineRule="auto" w:before="120"/>
              <w:ind w:left="221"/>
              <w:rPr>
                <w:sz w:val="20"/>
              </w:rPr>
            </w:pPr>
            <w:r>
              <w:rPr>
                <w:sz w:val="20"/>
              </w:rPr>
              <w:t>резекция</w:t>
            </w:r>
            <w:r>
              <w:rPr>
                <w:spacing w:val="-11"/>
                <w:sz w:val="20"/>
              </w:rPr>
              <w:t> </w:t>
            </w:r>
            <w:r>
              <w:rPr>
                <w:sz w:val="20"/>
              </w:rPr>
              <w:t>прямой</w:t>
            </w:r>
            <w:r>
              <w:rPr>
                <w:spacing w:val="-11"/>
                <w:sz w:val="20"/>
              </w:rPr>
              <w:t> </w:t>
            </w:r>
            <w:r>
              <w:rPr>
                <w:sz w:val="20"/>
              </w:rPr>
              <w:t>кишки</w:t>
            </w:r>
            <w:r>
              <w:rPr>
                <w:spacing w:val="-11"/>
                <w:sz w:val="20"/>
              </w:rPr>
              <w:t> </w:t>
            </w:r>
            <w:r>
              <w:rPr>
                <w:sz w:val="20"/>
              </w:rPr>
              <w:t>с</w:t>
            </w:r>
            <w:r>
              <w:rPr>
                <w:spacing w:val="-10"/>
                <w:sz w:val="20"/>
              </w:rPr>
              <w:t> </w:t>
            </w:r>
            <w:r>
              <w:rPr>
                <w:sz w:val="20"/>
              </w:rPr>
              <w:t>резекцией </w:t>
            </w:r>
            <w:r>
              <w:rPr>
                <w:spacing w:val="-2"/>
                <w:sz w:val="20"/>
              </w:rPr>
              <w:t>печени</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ight="474"/>
              <w:rPr>
                <w:sz w:val="20"/>
              </w:rPr>
            </w:pPr>
            <w:r>
              <w:rPr>
                <w:sz w:val="20"/>
              </w:rPr>
              <w:t>резекция прямой кишки с расширенной</w:t>
            </w:r>
            <w:r>
              <w:rPr>
                <w:spacing w:val="-13"/>
                <w:sz w:val="20"/>
              </w:rPr>
              <w:t> </w:t>
            </w:r>
            <w:r>
              <w:rPr>
                <w:sz w:val="20"/>
              </w:rPr>
              <w:t>лимфаденэктомией</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Pr>
                <w:sz w:val="20"/>
              </w:rPr>
            </w:pPr>
            <w:r>
              <w:rPr>
                <w:sz w:val="20"/>
              </w:rPr>
              <w:t>комбинированная резекция прямой кишки</w:t>
            </w:r>
            <w:r>
              <w:rPr>
                <w:spacing w:val="-10"/>
                <w:sz w:val="20"/>
              </w:rPr>
              <w:t> </w:t>
            </w:r>
            <w:r>
              <w:rPr>
                <w:sz w:val="20"/>
              </w:rPr>
              <w:t>с</w:t>
            </w:r>
            <w:r>
              <w:rPr>
                <w:spacing w:val="-10"/>
                <w:sz w:val="20"/>
              </w:rPr>
              <w:t> </w:t>
            </w:r>
            <w:r>
              <w:rPr>
                <w:sz w:val="20"/>
              </w:rPr>
              <w:t>резекцией</w:t>
            </w:r>
            <w:r>
              <w:rPr>
                <w:spacing w:val="-10"/>
                <w:sz w:val="20"/>
              </w:rPr>
              <w:t> </w:t>
            </w:r>
            <w:r>
              <w:rPr>
                <w:sz w:val="20"/>
              </w:rPr>
              <w:t>соседних</w:t>
            </w:r>
            <w:r>
              <w:rPr>
                <w:spacing w:val="-9"/>
                <w:sz w:val="20"/>
              </w:rPr>
              <w:t> </w:t>
            </w:r>
            <w:r>
              <w:rPr>
                <w:sz w:val="20"/>
              </w:rPr>
              <w:t>органов</w:t>
            </w:r>
          </w:p>
        </w:tc>
      </w:tr>
      <w:tr>
        <w:trPr>
          <w:trHeight w:val="96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ight="102"/>
              <w:rPr>
                <w:sz w:val="20"/>
              </w:rPr>
            </w:pPr>
            <w:r>
              <w:rPr>
                <w:spacing w:val="-2"/>
                <w:sz w:val="20"/>
              </w:rPr>
              <w:t>расширенно-комбинированная </w:t>
            </w:r>
            <w:r>
              <w:rPr>
                <w:sz w:val="20"/>
              </w:rPr>
              <w:t>брюшно-промежностная</w:t>
            </w:r>
            <w:r>
              <w:rPr>
                <w:spacing w:val="-13"/>
                <w:sz w:val="20"/>
              </w:rPr>
              <w:t> </w:t>
            </w:r>
            <w:r>
              <w:rPr>
                <w:sz w:val="20"/>
              </w:rPr>
              <w:t>экстирпация прямой кишки</w:t>
            </w:r>
          </w:p>
        </w:tc>
      </w:tr>
      <w:tr>
        <w:trPr>
          <w:trHeight w:val="1310" w:hRule="atLeast"/>
        </w:trPr>
        <w:tc>
          <w:tcPr>
            <w:tcW w:w="823" w:type="dxa"/>
          </w:tcPr>
          <w:p>
            <w:pPr>
              <w:pStyle w:val="TableParagraph"/>
              <w:spacing w:before="120"/>
              <w:ind w:left="50"/>
              <w:rPr>
                <w:sz w:val="20"/>
              </w:rPr>
            </w:pPr>
            <w:hyperlink r:id="rId76">
              <w:r>
                <w:rPr>
                  <w:spacing w:val="-5"/>
                  <w:sz w:val="20"/>
                </w:rPr>
                <w:t>C20</w:t>
              </w:r>
            </w:hyperlink>
          </w:p>
        </w:tc>
        <w:tc>
          <w:tcPr>
            <w:tcW w:w="3493" w:type="dxa"/>
          </w:tcPr>
          <w:p>
            <w:pPr>
              <w:pStyle w:val="TableParagraph"/>
              <w:spacing w:line="249" w:lineRule="auto" w:before="120"/>
              <w:ind w:left="441"/>
              <w:rPr>
                <w:sz w:val="20"/>
              </w:rPr>
            </w:pPr>
            <w:r>
              <w:rPr>
                <w:sz w:val="20"/>
              </w:rPr>
              <w:t>локализованные опухоли среднеампулярного и нижнеампулярного</w:t>
            </w:r>
            <w:r>
              <w:rPr>
                <w:spacing w:val="-13"/>
                <w:sz w:val="20"/>
              </w:rPr>
              <w:t> </w:t>
            </w:r>
            <w:r>
              <w:rPr>
                <w:sz w:val="20"/>
              </w:rPr>
              <w:t>отдела</w:t>
            </w:r>
            <w:r>
              <w:rPr>
                <w:spacing w:val="-12"/>
                <w:sz w:val="20"/>
              </w:rPr>
              <w:t> </w:t>
            </w:r>
            <w:r>
              <w:rPr>
                <w:sz w:val="20"/>
              </w:rPr>
              <w:t>прямой </w:t>
            </w:r>
            <w:r>
              <w:rPr>
                <w:spacing w:val="-2"/>
                <w:sz w:val="20"/>
              </w:rPr>
              <w:t>кишки</w:t>
            </w:r>
          </w:p>
        </w:tc>
        <w:tc>
          <w:tcPr>
            <w:tcW w:w="1581" w:type="dxa"/>
          </w:tcPr>
          <w:p>
            <w:pPr>
              <w:pStyle w:val="TableParagraph"/>
              <w:spacing w:line="249" w:lineRule="auto" w:before="120"/>
              <w:ind w:left="104"/>
              <w:rPr>
                <w:sz w:val="20"/>
              </w:rPr>
            </w:pPr>
            <w:r>
              <w:rPr>
                <w:spacing w:val="-2"/>
                <w:sz w:val="20"/>
              </w:rPr>
              <w:t>хирургическое лечение</w:t>
            </w:r>
          </w:p>
        </w:tc>
        <w:tc>
          <w:tcPr>
            <w:tcW w:w="3550" w:type="dxa"/>
          </w:tcPr>
          <w:p>
            <w:pPr>
              <w:pStyle w:val="TableParagraph"/>
              <w:spacing w:line="240" w:lineRule="atLeast" w:before="90"/>
              <w:ind w:left="221"/>
              <w:rPr>
                <w:sz w:val="20"/>
              </w:rPr>
            </w:pPr>
            <w:r>
              <w:rPr>
                <w:sz w:val="20"/>
              </w:rPr>
              <w:t>нервосберегающие внутрибрюшные резекции прямой кишки с прецизионным выделением и сохранением</w:t>
            </w:r>
            <w:r>
              <w:rPr>
                <w:spacing w:val="-13"/>
                <w:sz w:val="20"/>
              </w:rPr>
              <w:t> </w:t>
            </w:r>
            <w:r>
              <w:rPr>
                <w:sz w:val="20"/>
              </w:rPr>
              <w:t>элементов</w:t>
            </w:r>
            <w:r>
              <w:rPr>
                <w:spacing w:val="-12"/>
                <w:sz w:val="20"/>
              </w:rPr>
              <w:t> </w:t>
            </w:r>
            <w:r>
              <w:rPr>
                <w:sz w:val="20"/>
              </w:rPr>
              <w:t>вегетативной нервной системы таза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4"/>
        <w:gridCol w:w="3077"/>
        <w:gridCol w:w="1777"/>
        <w:gridCol w:w="3503"/>
      </w:tblGrid>
      <w:tr>
        <w:trPr>
          <w:trHeight w:val="470" w:hRule="atLeast"/>
        </w:trPr>
        <w:tc>
          <w:tcPr>
            <w:tcW w:w="1474" w:type="dxa"/>
          </w:tcPr>
          <w:p>
            <w:pPr>
              <w:pStyle w:val="TableParagraph"/>
              <w:spacing w:line="221" w:lineRule="exact"/>
              <w:ind w:left="50"/>
              <w:rPr>
                <w:sz w:val="20"/>
              </w:rPr>
            </w:pPr>
            <w:hyperlink r:id="rId79">
              <w:r>
                <w:rPr>
                  <w:sz w:val="20"/>
                </w:rPr>
                <w:t>C22,</w:t>
              </w:r>
              <w:r>
                <w:rPr>
                  <w:spacing w:val="-2"/>
                  <w:sz w:val="20"/>
                </w:rPr>
                <w:t> </w:t>
              </w:r>
            </w:hyperlink>
            <w:hyperlink r:id="rId80">
              <w:r>
                <w:rPr>
                  <w:sz w:val="20"/>
                </w:rPr>
                <w:t>C23,</w:t>
              </w:r>
              <w:r>
                <w:rPr>
                  <w:spacing w:val="-2"/>
                  <w:sz w:val="20"/>
                </w:rPr>
                <w:t> </w:t>
              </w:r>
            </w:hyperlink>
            <w:hyperlink r:id="rId81">
              <w:r>
                <w:rPr>
                  <w:spacing w:val="-5"/>
                  <w:sz w:val="20"/>
                </w:rPr>
                <w:t>C24</w:t>
              </w:r>
            </w:hyperlink>
          </w:p>
        </w:tc>
        <w:tc>
          <w:tcPr>
            <w:tcW w:w="3077" w:type="dxa"/>
            <w:vMerge w:val="restart"/>
          </w:tcPr>
          <w:p>
            <w:pPr>
              <w:pStyle w:val="TableParagraph"/>
              <w:spacing w:line="249" w:lineRule="auto"/>
              <w:ind w:left="222"/>
              <w:rPr>
                <w:sz w:val="20"/>
              </w:rPr>
            </w:pPr>
            <w:r>
              <w:rPr>
                <w:spacing w:val="-2"/>
                <w:sz w:val="20"/>
              </w:rPr>
              <w:t>местнораспространенные </w:t>
            </w:r>
            <w:r>
              <w:rPr>
                <w:sz w:val="20"/>
              </w:rPr>
              <w:t>первичные</w:t>
            </w:r>
            <w:r>
              <w:rPr>
                <w:spacing w:val="-13"/>
                <w:sz w:val="20"/>
              </w:rPr>
              <w:t> </w:t>
            </w:r>
            <w:r>
              <w:rPr>
                <w:sz w:val="20"/>
              </w:rPr>
              <w:t>и</w:t>
            </w:r>
            <w:r>
              <w:rPr>
                <w:spacing w:val="-12"/>
                <w:sz w:val="20"/>
              </w:rPr>
              <w:t> </w:t>
            </w:r>
            <w:r>
              <w:rPr>
                <w:sz w:val="20"/>
              </w:rPr>
              <w:t>метастатические опухоли печени</w:t>
            </w:r>
          </w:p>
        </w:tc>
        <w:tc>
          <w:tcPr>
            <w:tcW w:w="1777" w:type="dxa"/>
          </w:tcPr>
          <w:p>
            <w:pPr>
              <w:pStyle w:val="TableParagraph"/>
              <w:spacing w:line="221" w:lineRule="exact"/>
              <w:ind w:left="302"/>
              <w:rPr>
                <w:sz w:val="20"/>
              </w:rPr>
            </w:pPr>
            <w:r>
              <w:rPr>
                <w:spacing w:val="-2"/>
                <w:sz w:val="20"/>
              </w:rPr>
              <w:t>хирургическое</w:t>
            </w:r>
          </w:p>
          <w:p>
            <w:pPr>
              <w:pStyle w:val="TableParagraph"/>
              <w:spacing w:line="220" w:lineRule="exact" w:before="10"/>
              <w:ind w:left="302"/>
              <w:rPr>
                <w:sz w:val="20"/>
              </w:rPr>
            </w:pPr>
            <w:r>
              <w:rPr>
                <w:spacing w:val="-2"/>
                <w:sz w:val="20"/>
              </w:rPr>
              <w:t>лечение</w:t>
            </w:r>
          </w:p>
        </w:tc>
        <w:tc>
          <w:tcPr>
            <w:tcW w:w="3503" w:type="dxa"/>
          </w:tcPr>
          <w:p>
            <w:pPr>
              <w:pStyle w:val="TableParagraph"/>
              <w:spacing w:line="221" w:lineRule="exact"/>
              <w:ind w:left="222"/>
              <w:rPr>
                <w:sz w:val="20"/>
              </w:rPr>
            </w:pPr>
            <w:r>
              <w:rPr>
                <w:w w:val="95"/>
                <w:sz w:val="20"/>
              </w:rPr>
              <w:t>гемигепатэктомия</w:t>
            </w:r>
            <w:r>
              <w:rPr>
                <w:spacing w:val="57"/>
                <w:sz w:val="20"/>
              </w:rPr>
              <w:t> </w:t>
            </w:r>
            <w:r>
              <w:rPr>
                <w:spacing w:val="-2"/>
                <w:sz w:val="20"/>
              </w:rPr>
              <w:t>комбинированная</w:t>
            </w:r>
          </w:p>
        </w:tc>
      </w:tr>
      <w:tr>
        <w:trPr>
          <w:trHeight w:val="600" w:hRule="atLeast"/>
        </w:trPr>
        <w:tc>
          <w:tcPr>
            <w:tcW w:w="1474" w:type="dxa"/>
          </w:tcPr>
          <w:p>
            <w:pPr>
              <w:pStyle w:val="TableParagraph"/>
              <w:rPr>
                <w:sz w:val="18"/>
              </w:rPr>
            </w:pPr>
          </w:p>
        </w:tc>
        <w:tc>
          <w:tcPr>
            <w:tcW w:w="3077" w:type="dxa"/>
            <w:vMerge/>
            <w:tcBorders>
              <w:top w:val="nil"/>
            </w:tcBorders>
          </w:tcPr>
          <w:p>
            <w:pPr>
              <w:rPr>
                <w:sz w:val="2"/>
                <w:szCs w:val="2"/>
              </w:rPr>
            </w:pPr>
          </w:p>
        </w:tc>
        <w:tc>
          <w:tcPr>
            <w:tcW w:w="1777" w:type="dxa"/>
          </w:tcPr>
          <w:p>
            <w:pPr>
              <w:pStyle w:val="TableParagraph"/>
              <w:rPr>
                <w:sz w:val="18"/>
              </w:rPr>
            </w:pPr>
          </w:p>
        </w:tc>
        <w:tc>
          <w:tcPr>
            <w:tcW w:w="3503" w:type="dxa"/>
          </w:tcPr>
          <w:p>
            <w:pPr>
              <w:pStyle w:val="TableParagraph"/>
              <w:spacing w:line="249" w:lineRule="auto"/>
              <w:ind w:left="222"/>
              <w:rPr>
                <w:sz w:val="20"/>
              </w:rPr>
            </w:pPr>
            <w:r>
              <w:rPr>
                <w:sz w:val="20"/>
              </w:rPr>
              <w:t>резекция</w:t>
            </w:r>
            <w:r>
              <w:rPr>
                <w:spacing w:val="-13"/>
                <w:sz w:val="20"/>
              </w:rPr>
              <w:t> </w:t>
            </w:r>
            <w:r>
              <w:rPr>
                <w:sz w:val="20"/>
              </w:rPr>
              <w:t>печени</w:t>
            </w:r>
            <w:r>
              <w:rPr>
                <w:spacing w:val="-12"/>
                <w:sz w:val="20"/>
              </w:rPr>
              <w:t> </w:t>
            </w:r>
            <w:r>
              <w:rPr>
                <w:sz w:val="20"/>
              </w:rPr>
              <w:t>с</w:t>
            </w:r>
            <w:r>
              <w:rPr>
                <w:spacing w:val="-12"/>
                <w:sz w:val="20"/>
              </w:rPr>
              <w:t> </w:t>
            </w:r>
            <w:r>
              <w:rPr>
                <w:sz w:val="20"/>
              </w:rPr>
              <w:t>реконструктивно- пластическим компонентом</w:t>
            </w:r>
          </w:p>
        </w:tc>
      </w:tr>
      <w:tr>
        <w:trPr>
          <w:trHeight w:val="72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резекция</w:t>
            </w:r>
            <w:r>
              <w:rPr>
                <w:spacing w:val="-13"/>
                <w:sz w:val="20"/>
              </w:rPr>
              <w:t> </w:t>
            </w:r>
            <w:r>
              <w:rPr>
                <w:sz w:val="20"/>
              </w:rPr>
              <w:t>печени</w:t>
            </w:r>
            <w:r>
              <w:rPr>
                <w:spacing w:val="-12"/>
                <w:sz w:val="20"/>
              </w:rPr>
              <w:t> </w:t>
            </w:r>
            <w:r>
              <w:rPr>
                <w:sz w:val="20"/>
              </w:rPr>
              <w:t>комбинированная</w:t>
            </w:r>
            <w:r>
              <w:rPr>
                <w:spacing w:val="-13"/>
                <w:sz w:val="20"/>
              </w:rPr>
              <w:t> </w:t>
            </w:r>
            <w:r>
              <w:rPr>
                <w:sz w:val="20"/>
              </w:rPr>
              <w:t>с </w:t>
            </w:r>
            <w:r>
              <w:rPr>
                <w:spacing w:val="-2"/>
                <w:sz w:val="20"/>
              </w:rPr>
              <w:t>ангиопластикой</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анатомические</w:t>
            </w:r>
            <w:r>
              <w:rPr>
                <w:spacing w:val="-13"/>
                <w:sz w:val="20"/>
              </w:rPr>
              <w:t> </w:t>
            </w:r>
            <w:r>
              <w:rPr>
                <w:sz w:val="20"/>
              </w:rPr>
              <w:t>и</w:t>
            </w:r>
            <w:r>
              <w:rPr>
                <w:spacing w:val="-12"/>
                <w:sz w:val="20"/>
              </w:rPr>
              <w:t> </w:t>
            </w:r>
            <w:r>
              <w:rPr>
                <w:sz w:val="20"/>
              </w:rPr>
              <w:t>атипичные</w:t>
            </w:r>
            <w:r>
              <w:rPr>
                <w:spacing w:val="-13"/>
                <w:sz w:val="20"/>
              </w:rPr>
              <w:t> </w:t>
            </w:r>
            <w:r>
              <w:rPr>
                <w:sz w:val="20"/>
              </w:rPr>
              <w:t>резекции печени с применением радиочастотной 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правосторонняя</w:t>
            </w:r>
            <w:r>
              <w:rPr>
                <w:spacing w:val="-13"/>
                <w:sz w:val="20"/>
              </w:rPr>
              <w:t> </w:t>
            </w:r>
            <w:r>
              <w:rPr>
                <w:sz w:val="20"/>
              </w:rPr>
              <w:t>гемигепатэктомия</w:t>
            </w:r>
            <w:r>
              <w:rPr>
                <w:spacing w:val="-12"/>
                <w:sz w:val="20"/>
              </w:rPr>
              <w:t> </w:t>
            </w:r>
            <w:r>
              <w:rPr>
                <w:sz w:val="20"/>
              </w:rPr>
              <w:t>с применением радиочастотной </w:t>
            </w:r>
            <w:r>
              <w:rPr>
                <w:spacing w:val="-2"/>
                <w:sz w:val="20"/>
              </w:rPr>
              <w:t>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левосторонняя</w:t>
            </w:r>
            <w:r>
              <w:rPr>
                <w:spacing w:val="-13"/>
                <w:sz w:val="20"/>
              </w:rPr>
              <w:t> </w:t>
            </w:r>
            <w:r>
              <w:rPr>
                <w:sz w:val="20"/>
              </w:rPr>
              <w:t>гемигепатэктомия</w:t>
            </w:r>
            <w:r>
              <w:rPr>
                <w:spacing w:val="-12"/>
                <w:sz w:val="20"/>
              </w:rPr>
              <w:t> </w:t>
            </w:r>
            <w:r>
              <w:rPr>
                <w:sz w:val="20"/>
              </w:rPr>
              <w:t>с применением радиочастотной </w:t>
            </w:r>
            <w:r>
              <w:rPr>
                <w:spacing w:val="-2"/>
                <w:sz w:val="20"/>
              </w:rPr>
              <w:t>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расширенная правосторонняя гемигепатэктомия</w:t>
            </w:r>
            <w:r>
              <w:rPr>
                <w:spacing w:val="-13"/>
                <w:sz w:val="20"/>
              </w:rPr>
              <w:t> </w:t>
            </w:r>
            <w:r>
              <w:rPr>
                <w:sz w:val="20"/>
              </w:rPr>
              <w:t>с</w:t>
            </w:r>
            <w:r>
              <w:rPr>
                <w:spacing w:val="-12"/>
                <w:sz w:val="20"/>
              </w:rPr>
              <w:t> </w:t>
            </w:r>
            <w:r>
              <w:rPr>
                <w:sz w:val="20"/>
              </w:rPr>
              <w:t>применением радиочастотной 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расширенная левосторонняя гемигепатэктомия</w:t>
            </w:r>
            <w:r>
              <w:rPr>
                <w:spacing w:val="-13"/>
                <w:sz w:val="20"/>
              </w:rPr>
              <w:t> </w:t>
            </w:r>
            <w:r>
              <w:rPr>
                <w:sz w:val="20"/>
              </w:rPr>
              <w:t>с</w:t>
            </w:r>
            <w:r>
              <w:rPr>
                <w:spacing w:val="-12"/>
                <w:sz w:val="20"/>
              </w:rPr>
              <w:t> </w:t>
            </w:r>
            <w:r>
              <w:rPr>
                <w:sz w:val="20"/>
              </w:rPr>
              <w:t>применением радиочастотной термоаблации</w:t>
            </w:r>
          </w:p>
        </w:tc>
      </w:tr>
      <w:tr>
        <w:trPr>
          <w:trHeight w:val="719"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ight="402"/>
              <w:rPr>
                <w:sz w:val="20"/>
              </w:rPr>
            </w:pPr>
            <w:r>
              <w:rPr>
                <w:sz w:val="20"/>
              </w:rPr>
              <w:t>изолированная</w:t>
            </w:r>
            <w:r>
              <w:rPr>
                <w:spacing w:val="-13"/>
                <w:sz w:val="20"/>
              </w:rPr>
              <w:t> </w:t>
            </w:r>
            <w:r>
              <w:rPr>
                <w:sz w:val="20"/>
              </w:rPr>
              <w:t>гипертермическая хемиоперфузия печени</w:t>
            </w:r>
          </w:p>
        </w:tc>
      </w:tr>
      <w:tr>
        <w:trPr>
          <w:trHeight w:val="83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0" w:lineRule="atLeast" w:before="90"/>
              <w:ind w:left="222" w:right="704"/>
              <w:rPr>
                <w:sz w:val="20"/>
              </w:rPr>
            </w:pPr>
            <w:r>
              <w:rPr>
                <w:sz w:val="20"/>
              </w:rPr>
              <w:t>медианная резекция печени с применением</w:t>
            </w:r>
            <w:r>
              <w:rPr>
                <w:spacing w:val="-13"/>
                <w:sz w:val="20"/>
              </w:rPr>
              <w:t> </w:t>
            </w:r>
            <w:r>
              <w:rPr>
                <w:sz w:val="20"/>
              </w:rPr>
              <w:t>радиочастотной </w:t>
            </w:r>
            <w:r>
              <w:rPr>
                <w:spacing w:val="-2"/>
                <w:sz w:val="20"/>
              </w:rPr>
              <w:t>термоаблации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9"/>
        <w:gridCol w:w="3142"/>
        <w:gridCol w:w="1628"/>
        <w:gridCol w:w="3577"/>
      </w:tblGrid>
      <w:tr>
        <w:trPr>
          <w:trHeight w:val="59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ind w:left="219" w:right="814"/>
              <w:rPr>
                <w:sz w:val="20"/>
              </w:rPr>
            </w:pPr>
            <w:r>
              <w:rPr>
                <w:sz w:val="20"/>
              </w:rPr>
              <w:t>расширенная</w:t>
            </w:r>
            <w:r>
              <w:rPr>
                <w:spacing w:val="-13"/>
                <w:sz w:val="20"/>
              </w:rPr>
              <w:t> </w:t>
            </w:r>
            <w:r>
              <w:rPr>
                <w:sz w:val="20"/>
              </w:rPr>
              <w:t>правосторонняя </w:t>
            </w:r>
            <w:r>
              <w:rPr>
                <w:spacing w:val="-2"/>
                <w:sz w:val="20"/>
              </w:rPr>
              <w:t>гемигепатэктомия</w:t>
            </w:r>
          </w:p>
        </w:tc>
      </w:tr>
      <w:tr>
        <w:trPr>
          <w:trHeight w:val="72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before="120"/>
              <w:ind w:left="219" w:right="921"/>
              <w:rPr>
                <w:sz w:val="20"/>
              </w:rPr>
            </w:pPr>
            <w:r>
              <w:rPr>
                <w:sz w:val="20"/>
              </w:rPr>
              <w:t>расширенная</w:t>
            </w:r>
            <w:r>
              <w:rPr>
                <w:spacing w:val="-13"/>
                <w:sz w:val="20"/>
              </w:rPr>
              <w:t> </w:t>
            </w:r>
            <w:r>
              <w:rPr>
                <w:sz w:val="20"/>
              </w:rPr>
              <w:t>левосторонняя </w:t>
            </w:r>
            <w:r>
              <w:rPr>
                <w:spacing w:val="-2"/>
                <w:sz w:val="20"/>
              </w:rPr>
              <w:t>гемигепатэктомия</w:t>
            </w:r>
          </w:p>
        </w:tc>
      </w:tr>
      <w:tr>
        <w:trPr>
          <w:trHeight w:val="1200" w:hRule="atLeast"/>
        </w:trPr>
        <w:tc>
          <w:tcPr>
            <w:tcW w:w="1739" w:type="dxa"/>
          </w:tcPr>
          <w:p>
            <w:pPr>
              <w:pStyle w:val="TableParagraph"/>
              <w:spacing w:before="120"/>
              <w:ind w:left="648" w:right="732"/>
              <w:jc w:val="center"/>
              <w:rPr>
                <w:sz w:val="20"/>
              </w:rPr>
            </w:pPr>
            <w:hyperlink r:id="rId82">
              <w:r>
                <w:rPr>
                  <w:spacing w:val="-5"/>
                  <w:sz w:val="20"/>
                </w:rPr>
                <w:t>C34</w:t>
              </w:r>
            </w:hyperlink>
          </w:p>
        </w:tc>
        <w:tc>
          <w:tcPr>
            <w:tcW w:w="3142" w:type="dxa"/>
          </w:tcPr>
          <w:p>
            <w:pPr>
              <w:pStyle w:val="TableParagraph"/>
              <w:spacing w:before="120"/>
              <w:ind w:left="135"/>
              <w:rPr>
                <w:sz w:val="20"/>
              </w:rPr>
            </w:pPr>
            <w:r>
              <w:rPr>
                <w:sz w:val="20"/>
              </w:rPr>
              <w:t>опухоли</w:t>
            </w:r>
            <w:r>
              <w:rPr>
                <w:spacing w:val="-3"/>
                <w:sz w:val="20"/>
              </w:rPr>
              <w:t> </w:t>
            </w:r>
            <w:r>
              <w:rPr>
                <w:sz w:val="20"/>
              </w:rPr>
              <w:t>легкого</w:t>
            </w:r>
            <w:r>
              <w:rPr>
                <w:spacing w:val="-3"/>
                <w:sz w:val="20"/>
              </w:rPr>
              <w:t> </w:t>
            </w:r>
            <w:r>
              <w:rPr>
                <w:sz w:val="20"/>
              </w:rPr>
              <w:t>(I</w:t>
            </w:r>
            <w:r>
              <w:rPr>
                <w:spacing w:val="-2"/>
                <w:sz w:val="20"/>
              </w:rPr>
              <w:t> </w:t>
            </w:r>
            <w:r>
              <w:rPr>
                <w:sz w:val="20"/>
              </w:rPr>
              <w:t>-</w:t>
            </w:r>
            <w:r>
              <w:rPr>
                <w:spacing w:val="-5"/>
                <w:sz w:val="20"/>
              </w:rPr>
              <w:t> </w:t>
            </w:r>
            <w:r>
              <w:rPr>
                <w:sz w:val="20"/>
              </w:rPr>
              <w:t>III</w:t>
            </w:r>
            <w:r>
              <w:rPr>
                <w:spacing w:val="-4"/>
                <w:sz w:val="20"/>
              </w:rPr>
              <w:t> </w:t>
            </w:r>
            <w:r>
              <w:rPr>
                <w:spacing w:val="-2"/>
                <w:sz w:val="20"/>
              </w:rPr>
              <w:t>стадия)</w:t>
            </w:r>
          </w:p>
        </w:tc>
        <w:tc>
          <w:tcPr>
            <w:tcW w:w="1628" w:type="dxa"/>
          </w:tcPr>
          <w:p>
            <w:pPr>
              <w:pStyle w:val="TableParagraph"/>
              <w:spacing w:line="249" w:lineRule="auto" w:before="120"/>
              <w:ind w:left="149"/>
              <w:rPr>
                <w:sz w:val="20"/>
              </w:rPr>
            </w:pPr>
            <w:r>
              <w:rPr>
                <w:spacing w:val="-2"/>
                <w:sz w:val="20"/>
              </w:rPr>
              <w:t>хирургическое лечение</w:t>
            </w:r>
          </w:p>
        </w:tc>
        <w:tc>
          <w:tcPr>
            <w:tcW w:w="3577" w:type="dxa"/>
          </w:tcPr>
          <w:p>
            <w:pPr>
              <w:pStyle w:val="TableParagraph"/>
              <w:spacing w:line="249" w:lineRule="auto" w:before="120"/>
              <w:ind w:left="219" w:right="42"/>
              <w:rPr>
                <w:sz w:val="20"/>
              </w:rPr>
            </w:pPr>
            <w:r>
              <w:rPr>
                <w:sz w:val="20"/>
              </w:rPr>
              <w:t>комбинированная лобэктомия с клиновидной,</w:t>
            </w:r>
            <w:r>
              <w:rPr>
                <w:spacing w:val="-13"/>
                <w:sz w:val="20"/>
              </w:rPr>
              <w:t> </w:t>
            </w:r>
            <w:r>
              <w:rPr>
                <w:sz w:val="20"/>
              </w:rPr>
              <w:t>циркулярной</w:t>
            </w:r>
            <w:r>
              <w:rPr>
                <w:spacing w:val="-12"/>
                <w:sz w:val="20"/>
              </w:rPr>
              <w:t> </w:t>
            </w:r>
            <w:r>
              <w:rPr>
                <w:sz w:val="20"/>
              </w:rPr>
              <w:t>резекцией соседних бронхов (формирование межбронхиального анастомоза)</w:t>
            </w:r>
          </w:p>
        </w:tc>
      </w:tr>
      <w:tr>
        <w:trPr>
          <w:trHeight w:val="312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before="120"/>
              <w:ind w:left="219" w:right="42"/>
              <w:rPr>
                <w:sz w:val="20"/>
              </w:rPr>
            </w:pPr>
            <w:r>
              <w:rPr>
                <w:sz w:val="20"/>
              </w:rPr>
              <w:t>расширенная, комбинированная лобэктомия, билобэктомия, пневмонэктомия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w:t>
            </w:r>
            <w:r>
              <w:rPr>
                <w:spacing w:val="-2"/>
                <w:sz w:val="20"/>
              </w:rPr>
              <w:t>трахеи</w:t>
            </w:r>
          </w:p>
        </w:tc>
      </w:tr>
      <w:tr>
        <w:trPr>
          <w:trHeight w:val="96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before="120"/>
              <w:ind w:left="219" w:right="455"/>
              <w:rPr>
                <w:sz w:val="20"/>
              </w:rPr>
            </w:pPr>
            <w:r>
              <w:rPr>
                <w:sz w:val="20"/>
              </w:rPr>
              <w:t>радиочастотная термоаблация периферической</w:t>
            </w:r>
            <w:r>
              <w:rPr>
                <w:spacing w:val="-13"/>
                <w:sz w:val="20"/>
              </w:rPr>
              <w:t> </w:t>
            </w:r>
            <w:r>
              <w:rPr>
                <w:sz w:val="20"/>
              </w:rPr>
              <w:t>злокачественной опухоли легкого</w:t>
            </w:r>
          </w:p>
        </w:tc>
      </w:tr>
      <w:tr>
        <w:trPr>
          <w:trHeight w:val="1550" w:hRule="atLeast"/>
        </w:trPr>
        <w:tc>
          <w:tcPr>
            <w:tcW w:w="1739" w:type="dxa"/>
          </w:tcPr>
          <w:p>
            <w:pPr>
              <w:pStyle w:val="TableParagraph"/>
              <w:spacing w:line="249" w:lineRule="auto" w:before="120"/>
              <w:ind w:left="292" w:hanging="243"/>
              <w:rPr>
                <w:sz w:val="20"/>
              </w:rPr>
            </w:pPr>
            <w:hyperlink r:id="rId83">
              <w:r>
                <w:rPr>
                  <w:sz w:val="20"/>
                </w:rPr>
                <w:t>C37,</w:t>
              </w:r>
              <w:r>
                <w:rPr>
                  <w:spacing w:val="-13"/>
                  <w:sz w:val="20"/>
                </w:rPr>
                <w:t> </w:t>
              </w:r>
            </w:hyperlink>
            <w:hyperlink r:id="rId84">
              <w:r>
                <w:rPr>
                  <w:sz w:val="20"/>
                </w:rPr>
                <w:t>C08.1,</w:t>
              </w:r>
              <w:r>
                <w:rPr>
                  <w:spacing w:val="-12"/>
                  <w:sz w:val="20"/>
                </w:rPr>
                <w:t> </w:t>
              </w:r>
            </w:hyperlink>
            <w:hyperlink r:id="rId85">
              <w:r>
                <w:rPr>
                  <w:sz w:val="20"/>
                </w:rPr>
                <w:t>C38.2,</w:t>
              </w:r>
            </w:hyperlink>
            <w:r>
              <w:rPr>
                <w:sz w:val="20"/>
              </w:rPr>
              <w:t> </w:t>
            </w:r>
            <w:hyperlink r:id="rId86">
              <w:r>
                <w:rPr>
                  <w:sz w:val="20"/>
                </w:rPr>
                <w:t>C38.3, </w:t>
              </w:r>
            </w:hyperlink>
            <w:hyperlink r:id="rId87">
              <w:r>
                <w:rPr>
                  <w:sz w:val="20"/>
                </w:rPr>
                <w:t>C78.1</w:t>
              </w:r>
            </w:hyperlink>
          </w:p>
        </w:tc>
        <w:tc>
          <w:tcPr>
            <w:tcW w:w="3142" w:type="dxa"/>
          </w:tcPr>
          <w:p>
            <w:pPr>
              <w:pStyle w:val="TableParagraph"/>
              <w:spacing w:line="240" w:lineRule="atLeast" w:before="90"/>
              <w:ind w:left="135" w:right="144"/>
              <w:rPr>
                <w:sz w:val="20"/>
              </w:rPr>
            </w:pPr>
            <w:r>
              <w:rPr>
                <w:sz w:val="20"/>
              </w:rPr>
              <w:t>опухоль вилочковой железы III стадии. Опухоль переднего, заднего средостения местнораспространенной</w:t>
            </w:r>
            <w:r>
              <w:rPr>
                <w:spacing w:val="-13"/>
                <w:sz w:val="20"/>
              </w:rPr>
              <w:t> </w:t>
            </w:r>
            <w:r>
              <w:rPr>
                <w:sz w:val="20"/>
              </w:rPr>
              <w:t>формы, метастатическое поражение </w:t>
            </w:r>
            <w:r>
              <w:rPr>
                <w:spacing w:val="-2"/>
                <w:sz w:val="20"/>
              </w:rPr>
              <w:t>средостения</w:t>
            </w:r>
          </w:p>
        </w:tc>
        <w:tc>
          <w:tcPr>
            <w:tcW w:w="1628" w:type="dxa"/>
          </w:tcPr>
          <w:p>
            <w:pPr>
              <w:pStyle w:val="TableParagraph"/>
              <w:spacing w:line="249" w:lineRule="auto" w:before="120"/>
              <w:ind w:left="149"/>
              <w:rPr>
                <w:sz w:val="20"/>
              </w:rPr>
            </w:pPr>
            <w:r>
              <w:rPr>
                <w:spacing w:val="-2"/>
                <w:sz w:val="20"/>
              </w:rPr>
              <w:t>хирургическое лечение</w:t>
            </w:r>
          </w:p>
        </w:tc>
        <w:tc>
          <w:tcPr>
            <w:tcW w:w="3577" w:type="dxa"/>
          </w:tcPr>
          <w:p>
            <w:pPr>
              <w:pStyle w:val="TableParagraph"/>
              <w:spacing w:line="240" w:lineRule="atLeast" w:before="90"/>
              <w:ind w:left="219" w:right="42"/>
              <w:rPr>
                <w:sz w:val="20"/>
              </w:rPr>
            </w:pPr>
            <w:r>
              <w:rPr>
                <w:sz w:val="20"/>
              </w:rPr>
              <w:t>удаление опухоли средостения с резекцией соседних органов и структур</w:t>
            </w:r>
            <w:r>
              <w:rPr>
                <w:spacing w:val="-13"/>
                <w:sz w:val="20"/>
              </w:rPr>
              <w:t> </w:t>
            </w:r>
            <w:r>
              <w:rPr>
                <w:sz w:val="20"/>
              </w:rPr>
              <w:t>(легкого,</w:t>
            </w:r>
            <w:r>
              <w:rPr>
                <w:spacing w:val="-12"/>
                <w:sz w:val="20"/>
              </w:rPr>
              <w:t> </w:t>
            </w:r>
            <w:r>
              <w:rPr>
                <w:sz w:val="20"/>
              </w:rPr>
              <w:t>мышечной</w:t>
            </w:r>
            <w:r>
              <w:rPr>
                <w:spacing w:val="-13"/>
                <w:sz w:val="20"/>
              </w:rPr>
              <w:t> </w:t>
            </w:r>
            <w:r>
              <w:rPr>
                <w:sz w:val="20"/>
              </w:rPr>
              <w:t>стенки пищевода, диафрагмы, предсердия, перикарда, грудной стенки, верхней полой</w:t>
            </w:r>
            <w:r>
              <w:rPr>
                <w:spacing w:val="-8"/>
                <w:sz w:val="20"/>
              </w:rPr>
              <w:t> </w:t>
            </w:r>
            <w:r>
              <w:rPr>
                <w:sz w:val="20"/>
              </w:rPr>
              <w:t>вены,</w:t>
            </w:r>
            <w:r>
              <w:rPr>
                <w:spacing w:val="-7"/>
                <w:sz w:val="20"/>
              </w:rPr>
              <w:t> </w:t>
            </w:r>
            <w:r>
              <w:rPr>
                <w:sz w:val="20"/>
              </w:rPr>
              <w:t>адвентиции</w:t>
            </w:r>
            <w:r>
              <w:rPr>
                <w:spacing w:val="-8"/>
                <w:sz w:val="20"/>
              </w:rPr>
              <w:t> </w:t>
            </w:r>
            <w:r>
              <w:rPr>
                <w:sz w:val="20"/>
              </w:rPr>
              <w:t>аорты</w:t>
            </w:r>
            <w:r>
              <w:rPr>
                <w:spacing w:val="-8"/>
                <w:sz w:val="20"/>
              </w:rPr>
              <w:t> </w:t>
            </w:r>
            <w:r>
              <w:rPr>
                <w:sz w:val="20"/>
              </w:rPr>
              <w:t>и</w:t>
            </w:r>
            <w:r>
              <w:rPr>
                <w:spacing w:val="-8"/>
                <w:sz w:val="20"/>
              </w:rPr>
              <w:t> </w:t>
            </w:r>
            <w:r>
              <w:rPr>
                <w:sz w:val="20"/>
              </w:rPr>
              <w:t>др.)</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4576" w:right="0" w:hanging="536"/>
        <w:jc w:val="left"/>
        <w:rPr>
          <w:sz w:val="20"/>
        </w:rPr>
      </w:pPr>
      <w:hyperlink r:id="rId88">
        <w:r>
          <w:rPr>
            <w:sz w:val="20"/>
          </w:rPr>
          <w:t>C38.4,</w:t>
        </w:r>
        <w:r>
          <w:rPr>
            <w:spacing w:val="-13"/>
            <w:sz w:val="20"/>
          </w:rPr>
          <w:t> </w:t>
        </w:r>
      </w:hyperlink>
      <w:hyperlink r:id="rId89">
        <w:r>
          <w:rPr>
            <w:sz w:val="20"/>
          </w:rPr>
          <w:t>C38.8,</w:t>
        </w:r>
        <w:r>
          <w:rPr>
            <w:spacing w:val="-12"/>
            <w:sz w:val="20"/>
          </w:rPr>
          <w:t> </w:t>
        </w:r>
      </w:hyperlink>
      <w:hyperlink r:id="rId90">
        <w:r>
          <w:rPr>
            <w:sz w:val="20"/>
          </w:rPr>
          <w:t>C45,</w:t>
        </w:r>
      </w:hyperlink>
      <w:r>
        <w:rPr>
          <w:sz w:val="20"/>
        </w:rPr>
        <w:t> </w:t>
      </w:r>
      <w:hyperlink r:id="rId91">
        <w:r>
          <w:rPr>
            <w:spacing w:val="-2"/>
            <w:sz w:val="20"/>
          </w:rPr>
          <w:t>C78.2</w:t>
        </w:r>
      </w:hyperlink>
    </w:p>
    <w:p>
      <w:pPr>
        <w:spacing w:line="249" w:lineRule="auto" w:before="91"/>
        <w:ind w:left="231" w:right="0" w:firstLine="0"/>
        <w:jc w:val="left"/>
        <w:rPr>
          <w:sz w:val="20"/>
        </w:rPr>
      </w:pPr>
      <w:r>
        <w:rPr/>
        <w:br w:type="column"/>
      </w:r>
      <w:r>
        <w:rPr>
          <w:sz w:val="20"/>
        </w:rPr>
        <w:t>опухоль</w:t>
      </w:r>
      <w:r>
        <w:rPr>
          <w:spacing w:val="-13"/>
          <w:sz w:val="20"/>
        </w:rPr>
        <w:t> </w:t>
      </w:r>
      <w:r>
        <w:rPr>
          <w:sz w:val="20"/>
        </w:rPr>
        <w:t>плевры.</w:t>
      </w:r>
      <w:r>
        <w:rPr>
          <w:spacing w:val="-12"/>
          <w:sz w:val="20"/>
        </w:rPr>
        <w:t> </w:t>
      </w:r>
      <w:r>
        <w:rPr>
          <w:sz w:val="20"/>
        </w:rPr>
        <w:t>Распространенное поражение плевры. Мезотелиома плевры. Метастатическое поражение плевры</w:t>
      </w:r>
    </w:p>
    <w:p>
      <w:pPr>
        <w:spacing w:line="249" w:lineRule="auto" w:before="91"/>
        <w:ind w:left="88" w:right="0" w:firstLine="0"/>
        <w:jc w:val="left"/>
        <w:rPr>
          <w:sz w:val="20"/>
        </w:rPr>
      </w:pPr>
      <w:r>
        <w:rPr/>
        <w:br w:type="column"/>
      </w:r>
      <w:r>
        <w:rPr>
          <w:spacing w:val="-2"/>
          <w:sz w:val="20"/>
        </w:rPr>
        <w:t>хирургическое лечение</w:t>
      </w:r>
    </w:p>
    <w:p>
      <w:pPr>
        <w:spacing w:line="249" w:lineRule="auto" w:before="91"/>
        <w:ind w:left="401" w:right="1940" w:firstLine="0"/>
        <w:jc w:val="left"/>
        <w:rPr>
          <w:sz w:val="20"/>
        </w:rPr>
      </w:pPr>
      <w:r>
        <w:rPr/>
        <w:br w:type="column"/>
      </w:r>
      <w:r>
        <w:rPr>
          <w:sz w:val="20"/>
        </w:rPr>
        <w:t>пролонгированная</w:t>
      </w:r>
      <w:r>
        <w:rPr>
          <w:spacing w:val="-13"/>
          <w:sz w:val="20"/>
        </w:rPr>
        <w:t> </w:t>
      </w:r>
      <w:r>
        <w:rPr>
          <w:sz w:val="20"/>
        </w:rPr>
        <w:t>внутриплевральная гипертермическая хемиоперфузия, фотодинамическая терапия</w:t>
      </w:r>
    </w:p>
    <w:p>
      <w:pPr>
        <w:spacing w:after="0" w:line="249" w:lineRule="auto"/>
        <w:jc w:val="left"/>
        <w:rPr>
          <w:sz w:val="20"/>
        </w:rPr>
        <w:sectPr>
          <w:type w:val="continuous"/>
          <w:pgSz w:w="16850" w:h="11910" w:orient="landscape"/>
          <w:pgMar w:header="753" w:footer="0" w:top="1080" w:bottom="280" w:left="400" w:right="400"/>
          <w:cols w:num="4" w:equalWidth="0">
            <w:col w:w="5594" w:space="40"/>
            <w:col w:w="3261" w:space="39"/>
            <w:col w:w="1345" w:space="39"/>
            <w:col w:w="5732"/>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spacing w:before="91"/>
        <w:ind w:left="3966" w:right="0" w:firstLine="0"/>
        <w:jc w:val="center"/>
        <w:rPr>
          <w:sz w:val="20"/>
        </w:rPr>
      </w:pPr>
      <w:hyperlink r:id="rId92">
        <w:r>
          <w:rPr>
            <w:sz w:val="20"/>
          </w:rPr>
          <w:t>C40.0,</w:t>
        </w:r>
        <w:r>
          <w:rPr>
            <w:spacing w:val="-3"/>
            <w:sz w:val="20"/>
          </w:rPr>
          <w:t> </w:t>
        </w:r>
      </w:hyperlink>
      <w:hyperlink r:id="rId93">
        <w:r>
          <w:rPr>
            <w:sz w:val="20"/>
          </w:rPr>
          <w:t>C40.1,</w:t>
        </w:r>
        <w:r>
          <w:rPr>
            <w:spacing w:val="-3"/>
            <w:sz w:val="20"/>
          </w:rPr>
          <w:t> </w:t>
        </w:r>
      </w:hyperlink>
      <w:hyperlink r:id="rId94">
        <w:r>
          <w:rPr>
            <w:spacing w:val="-2"/>
            <w:sz w:val="20"/>
          </w:rPr>
          <w:t>C40.2,</w:t>
        </w:r>
      </w:hyperlink>
    </w:p>
    <w:p>
      <w:pPr>
        <w:spacing w:before="10"/>
        <w:ind w:left="3966" w:right="0" w:firstLine="0"/>
        <w:jc w:val="center"/>
        <w:rPr>
          <w:sz w:val="20"/>
        </w:rPr>
      </w:pPr>
      <w:hyperlink r:id="rId95">
        <w:r>
          <w:rPr>
            <w:sz w:val="20"/>
          </w:rPr>
          <w:t>C40.3,</w:t>
        </w:r>
        <w:r>
          <w:rPr>
            <w:spacing w:val="-3"/>
            <w:sz w:val="20"/>
          </w:rPr>
          <w:t> </w:t>
        </w:r>
      </w:hyperlink>
      <w:hyperlink r:id="rId96">
        <w:r>
          <w:rPr>
            <w:sz w:val="20"/>
          </w:rPr>
          <w:t>C40.8,</w:t>
        </w:r>
        <w:r>
          <w:rPr>
            <w:spacing w:val="-3"/>
            <w:sz w:val="20"/>
          </w:rPr>
          <w:t> </w:t>
        </w:r>
      </w:hyperlink>
      <w:hyperlink r:id="rId97">
        <w:r>
          <w:rPr>
            <w:spacing w:val="-2"/>
            <w:sz w:val="20"/>
          </w:rPr>
          <w:t>C40.9,</w:t>
        </w:r>
      </w:hyperlink>
    </w:p>
    <w:p>
      <w:pPr>
        <w:spacing w:before="10"/>
        <w:ind w:left="3966" w:right="0" w:firstLine="0"/>
        <w:jc w:val="center"/>
        <w:rPr>
          <w:sz w:val="20"/>
        </w:rPr>
      </w:pPr>
      <w:hyperlink r:id="rId98">
        <w:r>
          <w:rPr>
            <w:sz w:val="20"/>
          </w:rPr>
          <w:t>C41.2,</w:t>
        </w:r>
        <w:r>
          <w:rPr>
            <w:spacing w:val="-3"/>
            <w:sz w:val="20"/>
          </w:rPr>
          <w:t> </w:t>
        </w:r>
      </w:hyperlink>
      <w:hyperlink r:id="rId99">
        <w:r>
          <w:rPr>
            <w:sz w:val="20"/>
          </w:rPr>
          <w:t>C41.3,</w:t>
        </w:r>
        <w:r>
          <w:rPr>
            <w:spacing w:val="-3"/>
            <w:sz w:val="20"/>
          </w:rPr>
          <w:t> </w:t>
        </w:r>
      </w:hyperlink>
      <w:hyperlink r:id="rId100">
        <w:r>
          <w:rPr>
            <w:spacing w:val="-2"/>
            <w:sz w:val="20"/>
          </w:rPr>
          <w:t>C41.4,</w:t>
        </w:r>
      </w:hyperlink>
    </w:p>
    <w:p>
      <w:pPr>
        <w:spacing w:line="249" w:lineRule="auto" w:before="10"/>
        <w:ind w:left="3966" w:right="0" w:firstLine="0"/>
        <w:jc w:val="center"/>
        <w:rPr>
          <w:sz w:val="20"/>
        </w:rPr>
      </w:pPr>
      <w:hyperlink r:id="rId101">
        <w:r>
          <w:rPr>
            <w:sz w:val="20"/>
          </w:rPr>
          <w:t>C41.8,</w:t>
        </w:r>
        <w:r>
          <w:rPr>
            <w:spacing w:val="-13"/>
            <w:sz w:val="20"/>
          </w:rPr>
          <w:t> </w:t>
        </w:r>
      </w:hyperlink>
      <w:hyperlink r:id="rId102">
        <w:r>
          <w:rPr>
            <w:sz w:val="20"/>
          </w:rPr>
          <w:t>C41.9,</w:t>
        </w:r>
        <w:r>
          <w:rPr>
            <w:spacing w:val="-12"/>
            <w:sz w:val="20"/>
          </w:rPr>
          <w:t> </w:t>
        </w:r>
      </w:hyperlink>
      <w:hyperlink r:id="rId103">
        <w:r>
          <w:rPr>
            <w:sz w:val="20"/>
          </w:rPr>
          <w:t>C79.5,</w:t>
        </w:r>
      </w:hyperlink>
      <w:r>
        <w:rPr>
          <w:sz w:val="20"/>
        </w:rPr>
        <w:t> </w:t>
      </w:r>
      <w:hyperlink r:id="rId104">
        <w:r>
          <w:rPr>
            <w:spacing w:val="-4"/>
            <w:sz w:val="20"/>
          </w:rPr>
          <w:t>C43.5</w:t>
        </w:r>
      </w:hyperlink>
    </w:p>
    <w:p>
      <w:pPr>
        <w:spacing w:line="249" w:lineRule="auto" w:before="91"/>
        <w:ind w:left="157" w:right="0" w:firstLine="0"/>
        <w:jc w:val="left"/>
        <w:rPr>
          <w:sz w:val="20"/>
        </w:rPr>
      </w:pPr>
      <w:r>
        <w:rPr/>
        <w:br w:type="column"/>
      </w:r>
      <w:r>
        <w:rPr>
          <w:sz w:val="20"/>
        </w:rPr>
        <w:t>первичные злокачественные новообразования костей и суставных</w:t>
      </w:r>
      <w:r>
        <w:rPr>
          <w:spacing w:val="-13"/>
          <w:sz w:val="20"/>
        </w:rPr>
        <w:t> </w:t>
      </w:r>
      <w:r>
        <w:rPr>
          <w:sz w:val="20"/>
        </w:rPr>
        <w:t>хрящей</w:t>
      </w:r>
      <w:r>
        <w:rPr>
          <w:spacing w:val="-12"/>
          <w:sz w:val="20"/>
        </w:rPr>
        <w:t> </w:t>
      </w:r>
      <w:r>
        <w:rPr>
          <w:sz w:val="20"/>
        </w:rPr>
        <w:t>туловища</w:t>
      </w:r>
      <w:r>
        <w:rPr>
          <w:spacing w:val="-13"/>
          <w:sz w:val="20"/>
        </w:rPr>
        <w:t> </w:t>
      </w:r>
      <w:r>
        <w:rPr>
          <w:sz w:val="20"/>
        </w:rPr>
        <w:t>и конечностей Ia-b, IIa-b, IVa-b стадии. Метастатические новообразования костей, суставных</w:t>
      </w:r>
      <w:r>
        <w:rPr>
          <w:spacing w:val="-13"/>
          <w:sz w:val="20"/>
        </w:rPr>
        <w:t> </w:t>
      </w:r>
      <w:r>
        <w:rPr>
          <w:sz w:val="20"/>
        </w:rPr>
        <w:t>хрящей</w:t>
      </w:r>
      <w:r>
        <w:rPr>
          <w:spacing w:val="-12"/>
          <w:sz w:val="20"/>
        </w:rPr>
        <w:t> </w:t>
      </w:r>
      <w:r>
        <w:rPr>
          <w:sz w:val="20"/>
        </w:rPr>
        <w:t>туловища</w:t>
      </w:r>
      <w:r>
        <w:rPr>
          <w:spacing w:val="-13"/>
          <w:sz w:val="20"/>
        </w:rPr>
        <w:t> </w:t>
      </w:r>
      <w:r>
        <w:rPr>
          <w:sz w:val="20"/>
        </w:rPr>
        <w:t>и </w:t>
      </w:r>
      <w:r>
        <w:rPr>
          <w:spacing w:val="-2"/>
          <w:sz w:val="20"/>
        </w:rPr>
        <w:t>конечностей</w:t>
      </w:r>
    </w:p>
    <w:p>
      <w:pPr>
        <w:spacing w:line="249" w:lineRule="auto" w:before="91"/>
        <w:ind w:left="499" w:right="0" w:firstLine="0"/>
        <w:jc w:val="left"/>
        <w:rPr>
          <w:sz w:val="20"/>
        </w:rPr>
      </w:pPr>
      <w:r>
        <w:rPr/>
        <w:br w:type="column"/>
      </w:r>
      <w:r>
        <w:rPr>
          <w:spacing w:val="-2"/>
          <w:sz w:val="20"/>
        </w:rPr>
        <w:t>хирургическое лечение</w:t>
      </w:r>
    </w:p>
    <w:p>
      <w:pPr>
        <w:spacing w:line="249" w:lineRule="auto" w:before="91"/>
        <w:ind w:left="401" w:right="2607" w:firstLine="0"/>
        <w:jc w:val="left"/>
        <w:rPr>
          <w:sz w:val="20"/>
        </w:rPr>
      </w:pPr>
      <w:r>
        <w:rPr/>
        <w:br w:type="column"/>
      </w:r>
      <w:r>
        <w:rPr>
          <w:sz w:val="20"/>
        </w:rPr>
        <w:t>удаление тела позвонка с </w:t>
      </w:r>
      <w:r>
        <w:rPr>
          <w:spacing w:val="-2"/>
          <w:sz w:val="20"/>
        </w:rPr>
        <w:t>реконструктивно-пластическим компонентом</w:t>
      </w:r>
    </w:p>
    <w:p>
      <w:pPr>
        <w:pStyle w:val="BodyText"/>
        <w:spacing w:before="6"/>
        <w:rPr>
          <w:sz w:val="17"/>
        </w:rPr>
      </w:pPr>
    </w:p>
    <w:p>
      <w:pPr>
        <w:spacing w:line="249" w:lineRule="auto" w:before="0"/>
        <w:ind w:left="401" w:right="2074" w:firstLine="0"/>
        <w:jc w:val="left"/>
        <w:rPr>
          <w:sz w:val="20"/>
        </w:rPr>
      </w:pPr>
      <w:r>
        <w:rPr>
          <w:sz w:val="20"/>
        </w:rPr>
        <w:t>резекция</w:t>
      </w:r>
      <w:r>
        <w:rPr>
          <w:spacing w:val="-11"/>
          <w:sz w:val="20"/>
        </w:rPr>
        <w:t> </w:t>
      </w:r>
      <w:r>
        <w:rPr>
          <w:sz w:val="20"/>
        </w:rPr>
        <w:t>ребра</w:t>
      </w:r>
      <w:r>
        <w:rPr>
          <w:spacing w:val="-11"/>
          <w:sz w:val="20"/>
        </w:rPr>
        <w:t> </w:t>
      </w:r>
      <w:r>
        <w:rPr>
          <w:sz w:val="20"/>
        </w:rPr>
        <w:t>с</w:t>
      </w:r>
      <w:r>
        <w:rPr>
          <w:spacing w:val="-11"/>
          <w:sz w:val="20"/>
        </w:rPr>
        <w:t> </w:t>
      </w:r>
      <w:r>
        <w:rPr>
          <w:sz w:val="20"/>
        </w:rPr>
        <w:t>реконструктивно- пластическим компонентом</w:t>
      </w:r>
    </w:p>
    <w:p>
      <w:pPr>
        <w:pStyle w:val="BodyText"/>
        <w:spacing w:before="6"/>
        <w:rPr>
          <w:sz w:val="17"/>
        </w:rPr>
      </w:pPr>
    </w:p>
    <w:p>
      <w:pPr>
        <w:spacing w:line="249" w:lineRule="auto" w:before="0"/>
        <w:ind w:left="401" w:right="1940" w:firstLine="0"/>
        <w:jc w:val="left"/>
        <w:rPr>
          <w:sz w:val="20"/>
        </w:rPr>
      </w:pPr>
      <w:r>
        <w:rPr>
          <w:sz w:val="20"/>
        </w:rPr>
        <w:t>резекция</w:t>
      </w:r>
      <w:r>
        <w:rPr>
          <w:spacing w:val="-10"/>
          <w:sz w:val="20"/>
        </w:rPr>
        <w:t> </w:t>
      </w:r>
      <w:r>
        <w:rPr>
          <w:sz w:val="20"/>
        </w:rPr>
        <w:t>ключицы</w:t>
      </w:r>
      <w:r>
        <w:rPr>
          <w:spacing w:val="-10"/>
          <w:sz w:val="20"/>
        </w:rPr>
        <w:t> </w:t>
      </w:r>
      <w:r>
        <w:rPr>
          <w:sz w:val="20"/>
        </w:rPr>
        <w:t>с</w:t>
      </w:r>
      <w:r>
        <w:rPr>
          <w:spacing w:val="-10"/>
          <w:sz w:val="20"/>
        </w:rPr>
        <w:t> </w:t>
      </w:r>
      <w:r>
        <w:rPr>
          <w:sz w:val="20"/>
        </w:rPr>
        <w:t>реконструктивно- пластическим компонентом</w:t>
      </w:r>
    </w:p>
    <w:p>
      <w:pPr>
        <w:spacing w:after="0" w:line="249" w:lineRule="auto"/>
        <w:jc w:val="left"/>
        <w:rPr>
          <w:sz w:val="20"/>
        </w:rPr>
        <w:sectPr>
          <w:type w:val="continuous"/>
          <w:pgSz w:w="16850" w:h="11910" w:orient="landscape"/>
          <w:pgMar w:header="753" w:footer="0" w:top="1080" w:bottom="280" w:left="400" w:right="400"/>
          <w:cols w:num="4" w:equalWidth="0">
            <w:col w:w="5668" w:space="40"/>
            <w:col w:w="2775" w:space="39"/>
            <w:col w:w="1756" w:space="40"/>
            <w:col w:w="5732"/>
          </w:cols>
        </w:sectPr>
      </w:pPr>
    </w:p>
    <w:p>
      <w:pPr>
        <w:pStyle w:val="BodyText"/>
        <w:spacing w:before="9"/>
        <w:rPr>
          <w:sz w:val="9"/>
        </w:rPr>
      </w:pPr>
    </w:p>
    <w:p>
      <w:pPr>
        <w:spacing w:after="0"/>
        <w:rPr>
          <w:sz w:val="9"/>
        </w:rPr>
        <w:sectPr>
          <w:type w:val="continuous"/>
          <w:pgSz w:w="16850" w:h="11910" w:orient="landscape"/>
          <w:pgMar w:header="753" w:footer="0" w:top="1080" w:bottom="280" w:left="400" w:right="400"/>
        </w:sectPr>
      </w:pPr>
    </w:p>
    <w:p>
      <w:pPr>
        <w:pStyle w:val="BodyText"/>
        <w:rPr>
          <w:sz w:val="22"/>
        </w:rPr>
      </w:pPr>
    </w:p>
    <w:p>
      <w:pPr>
        <w:pStyle w:val="BodyText"/>
        <w:rPr>
          <w:sz w:val="22"/>
        </w:rPr>
      </w:pPr>
    </w:p>
    <w:p>
      <w:pPr>
        <w:pStyle w:val="BodyText"/>
        <w:rPr>
          <w:sz w:val="23"/>
        </w:rPr>
      </w:pPr>
    </w:p>
    <w:p>
      <w:pPr>
        <w:tabs>
          <w:tab w:pos="5864" w:val="left" w:leader="none"/>
        </w:tabs>
        <w:spacing w:before="0"/>
        <w:ind w:left="4434" w:right="0" w:firstLine="0"/>
        <w:jc w:val="left"/>
        <w:rPr>
          <w:sz w:val="20"/>
        </w:rPr>
      </w:pPr>
      <w:hyperlink r:id="rId66">
        <w:r>
          <w:rPr>
            <w:sz w:val="20"/>
          </w:rPr>
          <w:t>C43,</w:t>
        </w:r>
        <w:r>
          <w:rPr>
            <w:spacing w:val="-2"/>
            <w:sz w:val="20"/>
          </w:rPr>
          <w:t> </w:t>
        </w:r>
      </w:hyperlink>
      <w:hyperlink r:id="rId67">
        <w:r>
          <w:rPr>
            <w:spacing w:val="-5"/>
            <w:sz w:val="20"/>
          </w:rPr>
          <w:t>C44</w:t>
        </w:r>
      </w:hyperlink>
      <w:r>
        <w:rPr>
          <w:sz w:val="20"/>
        </w:rPr>
        <w:tab/>
      </w:r>
      <w:r>
        <w:rPr>
          <w:w w:val="95"/>
          <w:sz w:val="20"/>
        </w:rPr>
        <w:t>злокачественные</w:t>
      </w:r>
      <w:r>
        <w:rPr>
          <w:spacing w:val="56"/>
          <w:sz w:val="20"/>
        </w:rPr>
        <w:t> </w:t>
      </w:r>
      <w:r>
        <w:rPr>
          <w:spacing w:val="-2"/>
          <w:sz w:val="20"/>
        </w:rPr>
        <w:t>новообразования</w:t>
      </w:r>
    </w:p>
    <w:p>
      <w:pPr>
        <w:spacing w:before="10"/>
        <w:ind w:left="5865" w:right="0" w:firstLine="0"/>
        <w:jc w:val="left"/>
        <w:rPr>
          <w:sz w:val="20"/>
        </w:rPr>
      </w:pPr>
      <w:r>
        <w:rPr>
          <w:spacing w:val="-4"/>
          <w:sz w:val="20"/>
        </w:rPr>
        <w:t>кожи</w:t>
      </w:r>
    </w:p>
    <w:p>
      <w:pPr>
        <w:spacing w:line="240" w:lineRule="auto" w:before="0"/>
        <w:rPr>
          <w:sz w:val="22"/>
        </w:rPr>
      </w:pPr>
      <w:r>
        <w:rPr/>
        <w:br w:type="column"/>
      </w:r>
      <w:r>
        <w:rPr>
          <w:sz w:val="22"/>
        </w:rPr>
      </w:r>
    </w:p>
    <w:p>
      <w:pPr>
        <w:pStyle w:val="BodyText"/>
        <w:rPr>
          <w:sz w:val="22"/>
        </w:rPr>
      </w:pPr>
    </w:p>
    <w:p>
      <w:pPr>
        <w:pStyle w:val="BodyText"/>
        <w:rPr>
          <w:sz w:val="23"/>
        </w:rPr>
      </w:pPr>
    </w:p>
    <w:p>
      <w:pPr>
        <w:spacing w:line="249" w:lineRule="auto" w:before="0"/>
        <w:ind w:left="159" w:right="0" w:firstLine="0"/>
        <w:jc w:val="left"/>
        <w:rPr>
          <w:sz w:val="20"/>
        </w:rPr>
      </w:pPr>
      <w:r>
        <w:rPr>
          <w:spacing w:val="-2"/>
          <w:sz w:val="20"/>
        </w:rPr>
        <w:t>хирургическое лечение</w:t>
      </w:r>
    </w:p>
    <w:p>
      <w:pPr>
        <w:spacing w:line="252" w:lineRule="auto" w:before="91"/>
        <w:ind w:left="401" w:right="1915" w:firstLine="0"/>
        <w:jc w:val="left"/>
        <w:rPr>
          <w:sz w:val="20"/>
        </w:rPr>
      </w:pPr>
      <w:r>
        <w:rPr/>
        <w:br w:type="column"/>
      </w:r>
      <w:r>
        <w:rPr>
          <w:sz w:val="20"/>
        </w:rPr>
        <w:t>декомпрессивная</w:t>
      </w:r>
      <w:r>
        <w:rPr>
          <w:spacing w:val="-13"/>
          <w:sz w:val="20"/>
        </w:rPr>
        <w:t> </w:t>
      </w:r>
      <w:r>
        <w:rPr>
          <w:sz w:val="20"/>
        </w:rPr>
        <w:t>ламинэктомия позвонков с фиксацией</w:t>
      </w:r>
    </w:p>
    <w:p>
      <w:pPr>
        <w:spacing w:line="249" w:lineRule="auto" w:before="196"/>
        <w:ind w:left="401" w:right="2005" w:firstLine="0"/>
        <w:jc w:val="left"/>
        <w:rPr>
          <w:sz w:val="20"/>
        </w:rPr>
      </w:pPr>
      <w:r>
        <w:rPr>
          <w:sz w:val="20"/>
        </w:rPr>
        <w:t>широкое иссечение меланомы с пластикой</w:t>
      </w:r>
      <w:r>
        <w:rPr>
          <w:spacing w:val="-11"/>
          <w:sz w:val="20"/>
        </w:rPr>
        <w:t> </w:t>
      </w:r>
      <w:r>
        <w:rPr>
          <w:sz w:val="20"/>
        </w:rPr>
        <w:t>дефекта</w:t>
      </w:r>
      <w:r>
        <w:rPr>
          <w:spacing w:val="-10"/>
          <w:sz w:val="20"/>
        </w:rPr>
        <w:t> </w:t>
      </w:r>
      <w:r>
        <w:rPr>
          <w:sz w:val="20"/>
        </w:rPr>
        <w:t>свободным</w:t>
      </w:r>
      <w:r>
        <w:rPr>
          <w:spacing w:val="-9"/>
          <w:sz w:val="20"/>
        </w:rPr>
        <w:t> </w:t>
      </w:r>
      <w:r>
        <w:rPr>
          <w:sz w:val="20"/>
        </w:rPr>
        <w:t>кожно- мышечным лоскутом с использованием микрохирургической </w:t>
      </w:r>
      <w:r>
        <w:rPr>
          <w:spacing w:val="-2"/>
          <w:sz w:val="20"/>
        </w:rPr>
        <w:t>техники</w:t>
      </w:r>
    </w:p>
    <w:p>
      <w:pPr>
        <w:pStyle w:val="BodyText"/>
        <w:spacing w:before="8"/>
        <w:rPr>
          <w:sz w:val="17"/>
        </w:rPr>
      </w:pPr>
    </w:p>
    <w:p>
      <w:pPr>
        <w:spacing w:line="249" w:lineRule="auto" w:before="0"/>
        <w:ind w:left="401" w:right="2268" w:firstLine="0"/>
        <w:jc w:val="left"/>
        <w:rPr>
          <w:sz w:val="20"/>
        </w:rPr>
      </w:pPr>
      <w:r>
        <w:rPr>
          <w:sz w:val="20"/>
        </w:rPr>
        <w:t>широкое</w:t>
      </w:r>
      <w:r>
        <w:rPr>
          <w:spacing w:val="-9"/>
          <w:sz w:val="20"/>
        </w:rPr>
        <w:t> </w:t>
      </w:r>
      <w:r>
        <w:rPr>
          <w:sz w:val="20"/>
        </w:rPr>
        <w:t>иссечение</w:t>
      </w:r>
      <w:r>
        <w:rPr>
          <w:spacing w:val="-9"/>
          <w:sz w:val="20"/>
        </w:rPr>
        <w:t> </w:t>
      </w:r>
      <w:r>
        <w:rPr>
          <w:sz w:val="20"/>
        </w:rPr>
        <w:t>опухоли</w:t>
      </w:r>
      <w:r>
        <w:rPr>
          <w:spacing w:val="-8"/>
          <w:sz w:val="20"/>
        </w:rPr>
        <w:t> </w:t>
      </w:r>
      <w:r>
        <w:rPr>
          <w:sz w:val="20"/>
        </w:rPr>
        <w:t>кожи</w:t>
      </w:r>
      <w:r>
        <w:rPr>
          <w:spacing w:val="-10"/>
          <w:sz w:val="20"/>
        </w:rPr>
        <w:t> </w:t>
      </w:r>
      <w:r>
        <w:rPr>
          <w:sz w:val="20"/>
        </w:rPr>
        <w:t>с </w:t>
      </w:r>
      <w:r>
        <w:rPr>
          <w:spacing w:val="-2"/>
          <w:sz w:val="20"/>
        </w:rPr>
        <w:t>реконструктивно-пластическим компонентом</w:t>
      </w:r>
    </w:p>
    <w:p>
      <w:pPr>
        <w:pStyle w:val="BodyText"/>
        <w:spacing w:before="9"/>
        <w:rPr>
          <w:sz w:val="17"/>
        </w:rPr>
      </w:pPr>
    </w:p>
    <w:p>
      <w:pPr>
        <w:spacing w:line="249" w:lineRule="auto" w:before="0"/>
        <w:ind w:left="401" w:right="1915" w:firstLine="0"/>
        <w:jc w:val="left"/>
        <w:rPr>
          <w:sz w:val="20"/>
        </w:rPr>
      </w:pPr>
      <w:r>
        <w:rPr>
          <w:sz w:val="20"/>
        </w:rPr>
        <w:t>расширенное широкое иссечение опухоли кожи с реконструктивно- пластическим</w:t>
      </w:r>
      <w:r>
        <w:rPr>
          <w:spacing w:val="-13"/>
          <w:sz w:val="20"/>
        </w:rPr>
        <w:t> </w:t>
      </w:r>
      <w:r>
        <w:rPr>
          <w:sz w:val="20"/>
        </w:rPr>
        <w:t>замещением</w:t>
      </w:r>
      <w:r>
        <w:rPr>
          <w:spacing w:val="-12"/>
          <w:sz w:val="20"/>
        </w:rPr>
        <w:t> </w:t>
      </w:r>
      <w:r>
        <w:rPr>
          <w:sz w:val="20"/>
        </w:rPr>
        <w:t>дефекта</w:t>
      </w:r>
    </w:p>
    <w:p>
      <w:pPr>
        <w:pStyle w:val="BodyText"/>
        <w:spacing w:before="6"/>
        <w:rPr>
          <w:sz w:val="17"/>
        </w:rPr>
      </w:pPr>
    </w:p>
    <w:p>
      <w:pPr>
        <w:spacing w:line="249" w:lineRule="auto" w:before="0"/>
        <w:ind w:left="401" w:right="1915" w:firstLine="0"/>
        <w:jc w:val="left"/>
        <w:rPr>
          <w:sz w:val="20"/>
        </w:rPr>
      </w:pPr>
      <w:r>
        <w:rPr>
          <w:sz w:val="20"/>
        </w:rPr>
        <w:t>комбинированное</w:t>
      </w:r>
      <w:r>
        <w:rPr>
          <w:spacing w:val="-13"/>
          <w:sz w:val="20"/>
        </w:rPr>
        <w:t> </w:t>
      </w:r>
      <w:r>
        <w:rPr>
          <w:sz w:val="20"/>
        </w:rPr>
        <w:t>широкое</w:t>
      </w:r>
      <w:r>
        <w:rPr>
          <w:spacing w:val="-12"/>
          <w:sz w:val="20"/>
        </w:rPr>
        <w:t> </w:t>
      </w:r>
      <w:r>
        <w:rPr>
          <w:sz w:val="20"/>
        </w:rPr>
        <w:t>иссечение опухоли кожи с реконструктивно- пластическим замещением дефекта</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6" w:space="39"/>
            <w:col w:w="573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0"/>
        <w:gridCol w:w="3155"/>
        <w:gridCol w:w="1576"/>
        <w:gridCol w:w="3607"/>
      </w:tblGrid>
      <w:tr>
        <w:trPr>
          <w:trHeight w:val="1070" w:hRule="atLeast"/>
        </w:trPr>
        <w:tc>
          <w:tcPr>
            <w:tcW w:w="1850" w:type="dxa"/>
          </w:tcPr>
          <w:p>
            <w:pPr>
              <w:pStyle w:val="TableParagraph"/>
              <w:rPr>
                <w:sz w:val="18"/>
              </w:rPr>
            </w:pPr>
          </w:p>
        </w:tc>
        <w:tc>
          <w:tcPr>
            <w:tcW w:w="3155" w:type="dxa"/>
          </w:tcPr>
          <w:p>
            <w:pPr>
              <w:pStyle w:val="TableParagraph"/>
              <w:rPr>
                <w:sz w:val="18"/>
              </w:rPr>
            </w:pPr>
          </w:p>
        </w:tc>
        <w:tc>
          <w:tcPr>
            <w:tcW w:w="1576" w:type="dxa"/>
          </w:tcPr>
          <w:p>
            <w:pPr>
              <w:pStyle w:val="TableParagraph"/>
              <w:rPr>
                <w:sz w:val="18"/>
              </w:rPr>
            </w:pPr>
          </w:p>
        </w:tc>
        <w:tc>
          <w:tcPr>
            <w:tcW w:w="3607" w:type="dxa"/>
          </w:tcPr>
          <w:p>
            <w:pPr>
              <w:pStyle w:val="TableParagraph"/>
              <w:spacing w:line="249" w:lineRule="auto"/>
              <w:ind w:left="221" w:right="148"/>
              <w:rPr>
                <w:sz w:val="20"/>
              </w:rPr>
            </w:pPr>
            <w:r>
              <w:rPr>
                <w:sz w:val="20"/>
              </w:rPr>
              <w:t>широкое иссечение опухоли кожи с </w:t>
            </w:r>
            <w:r>
              <w:rPr>
                <w:spacing w:val="-2"/>
                <w:sz w:val="20"/>
              </w:rPr>
              <w:t>реконструктивно-пластическим </w:t>
            </w:r>
            <w:r>
              <w:rPr>
                <w:sz w:val="20"/>
              </w:rPr>
              <w:t>компонентом расширенное (микрохирургическая</w:t>
            </w:r>
            <w:r>
              <w:rPr>
                <w:spacing w:val="-13"/>
                <w:sz w:val="20"/>
              </w:rPr>
              <w:t> </w:t>
            </w:r>
            <w:r>
              <w:rPr>
                <w:sz w:val="20"/>
              </w:rPr>
              <w:t>реконструкция)</w:t>
            </w:r>
          </w:p>
        </w:tc>
      </w:tr>
      <w:tr>
        <w:trPr>
          <w:trHeight w:val="1920" w:hRule="atLeast"/>
        </w:trPr>
        <w:tc>
          <w:tcPr>
            <w:tcW w:w="1850" w:type="dxa"/>
          </w:tcPr>
          <w:p>
            <w:pPr>
              <w:pStyle w:val="TableParagraph"/>
              <w:rPr>
                <w:sz w:val="18"/>
              </w:rPr>
            </w:pPr>
          </w:p>
        </w:tc>
        <w:tc>
          <w:tcPr>
            <w:tcW w:w="3155" w:type="dxa"/>
          </w:tcPr>
          <w:p>
            <w:pPr>
              <w:pStyle w:val="TableParagraph"/>
              <w:rPr>
                <w:sz w:val="18"/>
              </w:rPr>
            </w:pPr>
          </w:p>
        </w:tc>
        <w:tc>
          <w:tcPr>
            <w:tcW w:w="1576" w:type="dxa"/>
          </w:tcPr>
          <w:p>
            <w:pPr>
              <w:pStyle w:val="TableParagraph"/>
              <w:rPr>
                <w:sz w:val="18"/>
              </w:rPr>
            </w:pPr>
          </w:p>
        </w:tc>
        <w:tc>
          <w:tcPr>
            <w:tcW w:w="3607" w:type="dxa"/>
          </w:tcPr>
          <w:p>
            <w:pPr>
              <w:pStyle w:val="TableParagraph"/>
              <w:spacing w:line="249" w:lineRule="auto" w:before="120"/>
              <w:ind w:left="221" w:right="32"/>
              <w:rPr>
                <w:sz w:val="20"/>
              </w:rPr>
            </w:pPr>
            <w:r>
              <w:rPr>
                <w:sz w:val="20"/>
              </w:rPr>
              <w:t>иссечение опухоли кожи с эксцизионной биопсией сигнальных (сторожевых) лимфатических узлов или</w:t>
            </w:r>
            <w:r>
              <w:rPr>
                <w:spacing w:val="-13"/>
                <w:sz w:val="20"/>
              </w:rPr>
              <w:t> </w:t>
            </w:r>
            <w:r>
              <w:rPr>
                <w:sz w:val="20"/>
              </w:rPr>
              <w:t>эксцизионная</w:t>
            </w:r>
            <w:r>
              <w:rPr>
                <w:spacing w:val="-12"/>
                <w:sz w:val="20"/>
              </w:rPr>
              <w:t> </w:t>
            </w:r>
            <w:r>
              <w:rPr>
                <w:sz w:val="20"/>
              </w:rPr>
              <w:t>биопсия</w:t>
            </w:r>
            <w:r>
              <w:rPr>
                <w:spacing w:val="-13"/>
                <w:sz w:val="20"/>
              </w:rPr>
              <w:t> </w:t>
            </w:r>
            <w:r>
              <w:rPr>
                <w:sz w:val="20"/>
              </w:rPr>
              <w:t>сигнальных (сторожевых) лимфатических узлов с реэксцизией послеоперационного </w:t>
            </w:r>
            <w:r>
              <w:rPr>
                <w:spacing w:val="-2"/>
                <w:sz w:val="20"/>
              </w:rPr>
              <w:t>рубца</w:t>
            </w:r>
          </w:p>
        </w:tc>
      </w:tr>
      <w:tr>
        <w:trPr>
          <w:trHeight w:val="1440" w:hRule="atLeast"/>
        </w:trPr>
        <w:tc>
          <w:tcPr>
            <w:tcW w:w="1850" w:type="dxa"/>
          </w:tcPr>
          <w:p>
            <w:pPr>
              <w:pStyle w:val="TableParagraph"/>
              <w:spacing w:before="120"/>
              <w:ind w:left="40" w:right="86"/>
              <w:jc w:val="center"/>
              <w:rPr>
                <w:sz w:val="20"/>
              </w:rPr>
            </w:pPr>
            <w:hyperlink r:id="rId105">
              <w:r>
                <w:rPr>
                  <w:spacing w:val="-5"/>
                  <w:sz w:val="20"/>
                </w:rPr>
                <w:t>C48</w:t>
              </w:r>
            </w:hyperlink>
          </w:p>
        </w:tc>
        <w:tc>
          <w:tcPr>
            <w:tcW w:w="3155" w:type="dxa"/>
          </w:tcPr>
          <w:p>
            <w:pPr>
              <w:pStyle w:val="TableParagraph"/>
              <w:spacing w:line="249" w:lineRule="auto" w:before="120"/>
              <w:ind w:left="98" w:right="585"/>
              <w:rPr>
                <w:sz w:val="20"/>
              </w:rPr>
            </w:pPr>
            <w:r>
              <w:rPr>
                <w:sz w:val="20"/>
              </w:rPr>
              <w:t>местнораспространенные и диссеминированные формы первичных и рецидивных неорганных опухолей забрюшинного</w:t>
            </w:r>
            <w:r>
              <w:rPr>
                <w:spacing w:val="-13"/>
                <w:sz w:val="20"/>
              </w:rPr>
              <w:t> </w:t>
            </w:r>
            <w:r>
              <w:rPr>
                <w:sz w:val="20"/>
              </w:rPr>
              <w:t>пространства</w:t>
            </w:r>
          </w:p>
        </w:tc>
        <w:tc>
          <w:tcPr>
            <w:tcW w:w="1576" w:type="dxa"/>
          </w:tcPr>
          <w:p>
            <w:pPr>
              <w:pStyle w:val="TableParagraph"/>
              <w:spacing w:line="249" w:lineRule="auto" w:before="120"/>
              <w:ind w:left="100"/>
              <w:rPr>
                <w:sz w:val="20"/>
              </w:rPr>
            </w:pPr>
            <w:r>
              <w:rPr>
                <w:spacing w:val="-2"/>
                <w:sz w:val="20"/>
              </w:rPr>
              <w:t>хирургическое лечение</w:t>
            </w:r>
          </w:p>
        </w:tc>
        <w:tc>
          <w:tcPr>
            <w:tcW w:w="3607" w:type="dxa"/>
          </w:tcPr>
          <w:p>
            <w:pPr>
              <w:pStyle w:val="TableParagraph"/>
              <w:spacing w:line="249" w:lineRule="auto" w:before="120"/>
              <w:ind w:left="221" w:right="148"/>
              <w:rPr>
                <w:sz w:val="20"/>
              </w:rPr>
            </w:pPr>
            <w:r>
              <w:rPr>
                <w:sz w:val="20"/>
              </w:rPr>
              <w:t>удаление первичных и рецидивных неорганных</w:t>
            </w:r>
            <w:r>
              <w:rPr>
                <w:spacing w:val="-13"/>
                <w:sz w:val="20"/>
              </w:rPr>
              <w:t> </w:t>
            </w:r>
            <w:r>
              <w:rPr>
                <w:sz w:val="20"/>
              </w:rPr>
              <w:t>забрюшинных</w:t>
            </w:r>
            <w:r>
              <w:rPr>
                <w:spacing w:val="-12"/>
                <w:sz w:val="20"/>
              </w:rPr>
              <w:t> </w:t>
            </w:r>
            <w:r>
              <w:rPr>
                <w:sz w:val="20"/>
              </w:rPr>
              <w:t>опухолей </w:t>
            </w:r>
            <w:r>
              <w:rPr>
                <w:spacing w:val="-2"/>
                <w:sz w:val="20"/>
              </w:rPr>
              <w:t>комбинированное</w:t>
            </w:r>
          </w:p>
        </w:tc>
      </w:tr>
      <w:tr>
        <w:trPr>
          <w:trHeight w:val="1680" w:hRule="atLeast"/>
        </w:trPr>
        <w:tc>
          <w:tcPr>
            <w:tcW w:w="1850" w:type="dxa"/>
          </w:tcPr>
          <w:p>
            <w:pPr>
              <w:pStyle w:val="TableParagraph"/>
              <w:rPr>
                <w:sz w:val="18"/>
              </w:rPr>
            </w:pPr>
          </w:p>
        </w:tc>
        <w:tc>
          <w:tcPr>
            <w:tcW w:w="3155" w:type="dxa"/>
          </w:tcPr>
          <w:p>
            <w:pPr>
              <w:pStyle w:val="TableParagraph"/>
              <w:spacing w:line="249" w:lineRule="auto" w:before="120"/>
              <w:ind w:left="98" w:right="228"/>
              <w:rPr>
                <w:sz w:val="20"/>
              </w:rPr>
            </w:pPr>
            <w:r>
              <w:rPr>
                <w:sz w:val="20"/>
              </w:rPr>
              <w:t>местнораспространенные</w:t>
            </w:r>
            <w:r>
              <w:rPr>
                <w:spacing w:val="-13"/>
                <w:sz w:val="20"/>
              </w:rPr>
              <w:t> </w:t>
            </w:r>
            <w:r>
              <w:rPr>
                <w:sz w:val="20"/>
              </w:rPr>
              <w:t>формы первичных и метастатических опухолей брюшной стенки</w:t>
            </w:r>
          </w:p>
        </w:tc>
        <w:tc>
          <w:tcPr>
            <w:tcW w:w="1576" w:type="dxa"/>
          </w:tcPr>
          <w:p>
            <w:pPr>
              <w:pStyle w:val="TableParagraph"/>
              <w:spacing w:line="249" w:lineRule="auto" w:before="120"/>
              <w:ind w:left="100"/>
              <w:rPr>
                <w:sz w:val="20"/>
              </w:rPr>
            </w:pPr>
            <w:r>
              <w:rPr>
                <w:spacing w:val="-2"/>
                <w:sz w:val="20"/>
              </w:rPr>
              <w:t>хирургическое лечение</w:t>
            </w:r>
          </w:p>
        </w:tc>
        <w:tc>
          <w:tcPr>
            <w:tcW w:w="3607" w:type="dxa"/>
          </w:tcPr>
          <w:p>
            <w:pPr>
              <w:pStyle w:val="TableParagraph"/>
              <w:spacing w:line="249" w:lineRule="auto" w:before="120"/>
              <w:ind w:left="221" w:right="148"/>
              <w:rPr>
                <w:sz w:val="20"/>
              </w:rPr>
            </w:pPr>
            <w:r>
              <w:rPr>
                <w:sz w:val="20"/>
              </w:rPr>
              <w:t>удаление первичных, рецидивных и метастатических</w:t>
            </w:r>
            <w:r>
              <w:rPr>
                <w:spacing w:val="-5"/>
                <w:sz w:val="20"/>
              </w:rPr>
              <w:t> </w:t>
            </w:r>
            <w:r>
              <w:rPr>
                <w:sz w:val="20"/>
              </w:rPr>
              <w:t>опухолей</w:t>
            </w:r>
            <w:r>
              <w:rPr>
                <w:spacing w:val="-5"/>
                <w:sz w:val="20"/>
              </w:rPr>
              <w:t> </w:t>
            </w:r>
            <w:r>
              <w:rPr>
                <w:sz w:val="20"/>
              </w:rPr>
              <w:t>брюшной стенки с применением физических методов</w:t>
            </w:r>
            <w:r>
              <w:rPr>
                <w:spacing w:val="-13"/>
                <w:sz w:val="20"/>
              </w:rPr>
              <w:t> </w:t>
            </w:r>
            <w:r>
              <w:rPr>
                <w:sz w:val="20"/>
              </w:rPr>
              <w:t>лечения</w:t>
            </w:r>
            <w:r>
              <w:rPr>
                <w:spacing w:val="-12"/>
                <w:sz w:val="20"/>
              </w:rPr>
              <w:t> </w:t>
            </w:r>
            <w:r>
              <w:rPr>
                <w:sz w:val="20"/>
              </w:rPr>
              <w:t>(фотодинамической терапии, радиочастотной термоаблации и др.)</w:t>
            </w:r>
          </w:p>
        </w:tc>
      </w:tr>
      <w:tr>
        <w:trPr>
          <w:trHeight w:val="2030" w:hRule="atLeast"/>
        </w:trPr>
        <w:tc>
          <w:tcPr>
            <w:tcW w:w="1850" w:type="dxa"/>
          </w:tcPr>
          <w:p>
            <w:pPr>
              <w:pStyle w:val="TableParagraph"/>
              <w:spacing w:before="120"/>
              <w:ind w:left="40" w:right="86"/>
              <w:jc w:val="center"/>
              <w:rPr>
                <w:sz w:val="20"/>
              </w:rPr>
            </w:pPr>
            <w:hyperlink r:id="rId106">
              <w:r>
                <w:rPr>
                  <w:sz w:val="20"/>
                </w:rPr>
                <w:t>C49.1,</w:t>
              </w:r>
              <w:r>
                <w:rPr>
                  <w:spacing w:val="-3"/>
                  <w:sz w:val="20"/>
                </w:rPr>
                <w:t> </w:t>
              </w:r>
            </w:hyperlink>
            <w:hyperlink r:id="rId107">
              <w:r>
                <w:rPr>
                  <w:sz w:val="20"/>
                </w:rPr>
                <w:t>C49.2,</w:t>
              </w:r>
              <w:r>
                <w:rPr>
                  <w:spacing w:val="-3"/>
                  <w:sz w:val="20"/>
                </w:rPr>
                <w:t> </w:t>
              </w:r>
            </w:hyperlink>
            <w:hyperlink r:id="rId108">
              <w:r>
                <w:rPr>
                  <w:spacing w:val="-2"/>
                  <w:sz w:val="20"/>
                </w:rPr>
                <w:t>C49.3,</w:t>
              </w:r>
            </w:hyperlink>
          </w:p>
          <w:p>
            <w:pPr>
              <w:pStyle w:val="TableParagraph"/>
              <w:spacing w:before="11"/>
              <w:ind w:left="40" w:right="86"/>
              <w:jc w:val="center"/>
              <w:rPr>
                <w:sz w:val="20"/>
              </w:rPr>
            </w:pPr>
            <w:hyperlink r:id="rId109">
              <w:r>
                <w:rPr>
                  <w:sz w:val="20"/>
                </w:rPr>
                <w:t>C49.5,</w:t>
              </w:r>
              <w:r>
                <w:rPr>
                  <w:spacing w:val="-3"/>
                  <w:sz w:val="20"/>
                </w:rPr>
                <w:t> </w:t>
              </w:r>
            </w:hyperlink>
            <w:hyperlink r:id="rId110">
              <w:r>
                <w:rPr>
                  <w:sz w:val="20"/>
                </w:rPr>
                <w:t>C49.6,</w:t>
              </w:r>
              <w:r>
                <w:rPr>
                  <w:spacing w:val="-3"/>
                  <w:sz w:val="20"/>
                </w:rPr>
                <w:t> </w:t>
              </w:r>
            </w:hyperlink>
            <w:hyperlink r:id="rId111">
              <w:r>
                <w:rPr>
                  <w:spacing w:val="-2"/>
                  <w:sz w:val="20"/>
                </w:rPr>
                <w:t>C47.1,</w:t>
              </w:r>
            </w:hyperlink>
          </w:p>
          <w:p>
            <w:pPr>
              <w:pStyle w:val="TableParagraph"/>
              <w:spacing w:line="249" w:lineRule="auto" w:before="10"/>
              <w:ind w:left="40" w:right="86"/>
              <w:jc w:val="center"/>
              <w:rPr>
                <w:sz w:val="20"/>
              </w:rPr>
            </w:pPr>
            <w:hyperlink r:id="rId112">
              <w:r>
                <w:rPr>
                  <w:sz w:val="20"/>
                </w:rPr>
                <w:t>C47.2,</w:t>
              </w:r>
              <w:r>
                <w:rPr>
                  <w:spacing w:val="-13"/>
                  <w:sz w:val="20"/>
                </w:rPr>
                <w:t> </w:t>
              </w:r>
            </w:hyperlink>
            <w:hyperlink r:id="rId113">
              <w:r>
                <w:rPr>
                  <w:sz w:val="20"/>
                </w:rPr>
                <w:t>C47.3,</w:t>
              </w:r>
              <w:r>
                <w:rPr>
                  <w:spacing w:val="-12"/>
                  <w:sz w:val="20"/>
                </w:rPr>
                <w:t> </w:t>
              </w:r>
            </w:hyperlink>
            <w:hyperlink r:id="rId114">
              <w:r>
                <w:rPr>
                  <w:sz w:val="20"/>
                </w:rPr>
                <w:t>C47.5,</w:t>
              </w:r>
            </w:hyperlink>
            <w:r>
              <w:rPr>
                <w:sz w:val="20"/>
              </w:rPr>
              <w:t> </w:t>
            </w:r>
            <w:hyperlink r:id="rId104">
              <w:r>
                <w:rPr>
                  <w:spacing w:val="-4"/>
                  <w:sz w:val="20"/>
                </w:rPr>
                <w:t>C43.5</w:t>
              </w:r>
            </w:hyperlink>
          </w:p>
        </w:tc>
        <w:tc>
          <w:tcPr>
            <w:tcW w:w="3155" w:type="dxa"/>
          </w:tcPr>
          <w:p>
            <w:pPr>
              <w:pStyle w:val="TableParagraph"/>
              <w:spacing w:line="249" w:lineRule="auto" w:before="120"/>
              <w:ind w:left="98" w:right="89"/>
              <w:rPr>
                <w:sz w:val="20"/>
              </w:rPr>
            </w:pPr>
            <w:r>
              <w:rPr>
                <w:sz w:val="20"/>
              </w:rPr>
              <w:t>первичные злокачественные новообразования мягких тканей туловища и конечностей, злокачественные</w:t>
            </w:r>
            <w:r>
              <w:rPr>
                <w:spacing w:val="-13"/>
                <w:sz w:val="20"/>
              </w:rPr>
              <w:t> </w:t>
            </w:r>
            <w:r>
              <w:rPr>
                <w:sz w:val="20"/>
              </w:rPr>
              <w:t>новообразования периферической</w:t>
            </w:r>
            <w:r>
              <w:rPr>
                <w:spacing w:val="-9"/>
                <w:sz w:val="20"/>
              </w:rPr>
              <w:t> </w:t>
            </w:r>
            <w:r>
              <w:rPr>
                <w:sz w:val="20"/>
              </w:rPr>
              <w:t>нервной</w:t>
            </w:r>
            <w:r>
              <w:rPr>
                <w:spacing w:val="-9"/>
                <w:sz w:val="20"/>
              </w:rPr>
              <w:t> </w:t>
            </w:r>
            <w:r>
              <w:rPr>
                <w:sz w:val="20"/>
              </w:rPr>
              <w:t>системы туловища, нижних и верхних конечностей Ia-b, II a-b, III,</w:t>
            </w:r>
          </w:p>
          <w:p>
            <w:pPr>
              <w:pStyle w:val="TableParagraph"/>
              <w:spacing w:line="210" w:lineRule="exact" w:before="6"/>
              <w:ind w:left="98"/>
              <w:rPr>
                <w:sz w:val="20"/>
              </w:rPr>
            </w:pPr>
            <w:r>
              <w:rPr>
                <w:sz w:val="20"/>
              </w:rPr>
              <w:t>IV</w:t>
            </w:r>
            <w:r>
              <w:rPr>
                <w:spacing w:val="-4"/>
                <w:sz w:val="20"/>
              </w:rPr>
              <w:t> </w:t>
            </w:r>
            <w:r>
              <w:rPr>
                <w:sz w:val="20"/>
              </w:rPr>
              <w:t>a-b</w:t>
            </w:r>
            <w:r>
              <w:rPr>
                <w:spacing w:val="-2"/>
                <w:sz w:val="20"/>
              </w:rPr>
              <w:t> стадии</w:t>
            </w:r>
          </w:p>
        </w:tc>
        <w:tc>
          <w:tcPr>
            <w:tcW w:w="1576" w:type="dxa"/>
          </w:tcPr>
          <w:p>
            <w:pPr>
              <w:pStyle w:val="TableParagraph"/>
              <w:spacing w:line="249" w:lineRule="auto" w:before="120"/>
              <w:ind w:left="100"/>
              <w:rPr>
                <w:sz w:val="20"/>
              </w:rPr>
            </w:pPr>
            <w:r>
              <w:rPr>
                <w:spacing w:val="-2"/>
                <w:sz w:val="20"/>
              </w:rPr>
              <w:t>хирургическое лечение</w:t>
            </w:r>
          </w:p>
        </w:tc>
        <w:tc>
          <w:tcPr>
            <w:tcW w:w="3607" w:type="dxa"/>
          </w:tcPr>
          <w:p>
            <w:pPr>
              <w:pStyle w:val="TableParagraph"/>
              <w:spacing w:line="249" w:lineRule="auto" w:before="120"/>
              <w:ind w:left="221" w:right="507"/>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521"/>
        <w:gridCol w:w="1553"/>
        <w:gridCol w:w="3543"/>
      </w:tblGrid>
      <w:tr>
        <w:trPr>
          <w:trHeight w:val="1250" w:hRule="atLeast"/>
        </w:trPr>
        <w:tc>
          <w:tcPr>
            <w:tcW w:w="823" w:type="dxa"/>
          </w:tcPr>
          <w:p>
            <w:pPr>
              <w:pStyle w:val="TableParagraph"/>
              <w:spacing w:line="221" w:lineRule="exact"/>
              <w:ind w:left="50"/>
              <w:rPr>
                <w:sz w:val="20"/>
              </w:rPr>
            </w:pPr>
            <w:hyperlink r:id="rId115">
              <w:r>
                <w:rPr>
                  <w:spacing w:val="-5"/>
                  <w:sz w:val="20"/>
                </w:rPr>
                <w:t>C50</w:t>
              </w:r>
            </w:hyperlink>
          </w:p>
        </w:tc>
        <w:tc>
          <w:tcPr>
            <w:tcW w:w="3521" w:type="dxa"/>
          </w:tcPr>
          <w:p>
            <w:pPr>
              <w:pStyle w:val="TableParagraph"/>
              <w:spacing w:line="249" w:lineRule="auto"/>
              <w:ind w:left="441" w:right="112"/>
              <w:rPr>
                <w:sz w:val="20"/>
              </w:rPr>
            </w:pPr>
            <w:r>
              <w:rPr>
                <w:sz w:val="20"/>
              </w:rPr>
              <w:t>злокачественные</w:t>
            </w:r>
            <w:r>
              <w:rPr>
                <w:spacing w:val="-13"/>
                <w:sz w:val="20"/>
              </w:rPr>
              <w:t> </w:t>
            </w:r>
            <w:r>
              <w:rPr>
                <w:sz w:val="20"/>
              </w:rPr>
              <w:t>новообразования молочной железы (0 - IV стадия)</w:t>
            </w:r>
          </w:p>
        </w:tc>
        <w:tc>
          <w:tcPr>
            <w:tcW w:w="1553" w:type="dxa"/>
          </w:tcPr>
          <w:p>
            <w:pPr>
              <w:pStyle w:val="TableParagraph"/>
              <w:spacing w:line="249" w:lineRule="auto"/>
              <w:ind w:left="76"/>
              <w:rPr>
                <w:sz w:val="20"/>
              </w:rPr>
            </w:pPr>
            <w:r>
              <w:rPr>
                <w:spacing w:val="-2"/>
                <w:sz w:val="20"/>
              </w:rPr>
              <w:t>хирургическое лечение</w:t>
            </w:r>
          </w:p>
        </w:tc>
        <w:tc>
          <w:tcPr>
            <w:tcW w:w="3543" w:type="dxa"/>
          </w:tcPr>
          <w:p>
            <w:pPr>
              <w:pStyle w:val="TableParagraph"/>
              <w:spacing w:line="249" w:lineRule="auto"/>
              <w:ind w:left="221" w:right="47"/>
              <w:rPr>
                <w:sz w:val="20"/>
              </w:rPr>
            </w:pPr>
            <w:r>
              <w:rPr>
                <w:sz w:val="20"/>
              </w:rPr>
              <w:t>радикальная резекция молочной железы с одномоментной маммопластикой широчайшей мышцей</w:t>
            </w:r>
            <w:r>
              <w:rPr>
                <w:spacing w:val="-13"/>
                <w:sz w:val="20"/>
              </w:rPr>
              <w:t> </w:t>
            </w:r>
            <w:r>
              <w:rPr>
                <w:sz w:val="20"/>
              </w:rPr>
              <w:t>спины,</w:t>
            </w:r>
            <w:r>
              <w:rPr>
                <w:spacing w:val="-12"/>
                <w:sz w:val="20"/>
              </w:rPr>
              <w:t> </w:t>
            </w:r>
            <w:r>
              <w:rPr>
                <w:sz w:val="20"/>
              </w:rPr>
              <w:t>большой</w:t>
            </w:r>
            <w:r>
              <w:rPr>
                <w:spacing w:val="-13"/>
                <w:sz w:val="20"/>
              </w:rPr>
              <w:t> </w:t>
            </w:r>
            <w:r>
              <w:rPr>
                <w:sz w:val="20"/>
              </w:rPr>
              <w:t>грудной мышцей или их комбинацией</w:t>
            </w:r>
          </w:p>
        </w:tc>
      </w:tr>
      <w:tr>
        <w:trPr>
          <w:trHeight w:val="1800" w:hRule="atLeast"/>
        </w:trPr>
        <w:tc>
          <w:tcPr>
            <w:tcW w:w="823" w:type="dxa"/>
          </w:tcPr>
          <w:p>
            <w:pPr>
              <w:pStyle w:val="TableParagraph"/>
              <w:rPr>
                <w:sz w:val="18"/>
              </w:rPr>
            </w:pPr>
          </w:p>
        </w:tc>
        <w:tc>
          <w:tcPr>
            <w:tcW w:w="3521" w:type="dxa"/>
          </w:tcPr>
          <w:p>
            <w:pPr>
              <w:pStyle w:val="TableParagraph"/>
              <w:rPr>
                <w:sz w:val="18"/>
              </w:rPr>
            </w:pPr>
          </w:p>
        </w:tc>
        <w:tc>
          <w:tcPr>
            <w:tcW w:w="1553" w:type="dxa"/>
          </w:tcPr>
          <w:p>
            <w:pPr>
              <w:pStyle w:val="TableParagraph"/>
              <w:rPr>
                <w:sz w:val="18"/>
              </w:rPr>
            </w:pPr>
          </w:p>
        </w:tc>
        <w:tc>
          <w:tcPr>
            <w:tcW w:w="3543" w:type="dxa"/>
          </w:tcPr>
          <w:p>
            <w:pPr>
              <w:pStyle w:val="TableParagraph"/>
              <w:spacing w:line="249" w:lineRule="auto" w:before="60"/>
              <w:ind w:left="221" w:right="47"/>
              <w:rPr>
                <w:sz w:val="20"/>
              </w:rPr>
            </w:pPr>
            <w:r>
              <w:rPr>
                <w:sz w:val="20"/>
              </w:rPr>
              <w:t>отсроченная</w:t>
            </w:r>
            <w:r>
              <w:rPr>
                <w:spacing w:val="-13"/>
                <w:sz w:val="20"/>
              </w:rPr>
              <w:t> </w:t>
            </w:r>
            <w:r>
              <w:rPr>
                <w:sz w:val="20"/>
              </w:rPr>
              <w:t>реконструкция</w:t>
            </w:r>
            <w:r>
              <w:rPr>
                <w:spacing w:val="-12"/>
                <w:sz w:val="20"/>
              </w:rPr>
              <w:t> </w:t>
            </w:r>
            <w:r>
              <w:rPr>
                <w:sz w:val="20"/>
              </w:rPr>
              <w:t>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trPr>
          <w:trHeight w:val="1080" w:hRule="atLeast"/>
        </w:trPr>
        <w:tc>
          <w:tcPr>
            <w:tcW w:w="823" w:type="dxa"/>
          </w:tcPr>
          <w:p>
            <w:pPr>
              <w:pStyle w:val="TableParagraph"/>
              <w:rPr>
                <w:sz w:val="18"/>
              </w:rPr>
            </w:pPr>
          </w:p>
        </w:tc>
        <w:tc>
          <w:tcPr>
            <w:tcW w:w="3521" w:type="dxa"/>
          </w:tcPr>
          <w:p>
            <w:pPr>
              <w:pStyle w:val="TableParagraph"/>
              <w:rPr>
                <w:sz w:val="18"/>
              </w:rPr>
            </w:pPr>
          </w:p>
        </w:tc>
        <w:tc>
          <w:tcPr>
            <w:tcW w:w="1553" w:type="dxa"/>
          </w:tcPr>
          <w:p>
            <w:pPr>
              <w:pStyle w:val="TableParagraph"/>
              <w:rPr>
                <w:sz w:val="18"/>
              </w:rPr>
            </w:pPr>
          </w:p>
        </w:tc>
        <w:tc>
          <w:tcPr>
            <w:tcW w:w="3543" w:type="dxa"/>
          </w:tcPr>
          <w:p>
            <w:pPr>
              <w:pStyle w:val="TableParagraph"/>
              <w:spacing w:line="249" w:lineRule="auto" w:before="60"/>
              <w:ind w:left="221" w:right="47"/>
              <w:jc w:val="both"/>
              <w:rPr>
                <w:sz w:val="20"/>
              </w:rPr>
            </w:pPr>
            <w:r>
              <w:rPr>
                <w:sz w:val="20"/>
              </w:rPr>
              <w:t>отсроченная</w:t>
            </w:r>
            <w:r>
              <w:rPr>
                <w:spacing w:val="-13"/>
                <w:sz w:val="20"/>
              </w:rPr>
              <w:t> </w:t>
            </w:r>
            <w:r>
              <w:rPr>
                <w:sz w:val="20"/>
              </w:rPr>
              <w:t>реконструкция</w:t>
            </w:r>
            <w:r>
              <w:rPr>
                <w:spacing w:val="-12"/>
                <w:sz w:val="20"/>
              </w:rPr>
              <w:t> </w:t>
            </w:r>
            <w:r>
              <w:rPr>
                <w:sz w:val="20"/>
              </w:rPr>
              <w:t>молочной железы</w:t>
            </w:r>
            <w:r>
              <w:rPr>
                <w:spacing w:val="-13"/>
                <w:sz w:val="20"/>
              </w:rPr>
              <w:t> </w:t>
            </w:r>
            <w:r>
              <w:rPr>
                <w:sz w:val="20"/>
              </w:rPr>
              <w:t>свободным</w:t>
            </w:r>
            <w:r>
              <w:rPr>
                <w:spacing w:val="-12"/>
                <w:sz w:val="20"/>
              </w:rPr>
              <w:t> </w:t>
            </w:r>
            <w:r>
              <w:rPr>
                <w:sz w:val="20"/>
              </w:rPr>
              <w:t>кожно-мышечным лоскутом,</w:t>
            </w:r>
            <w:r>
              <w:rPr>
                <w:spacing w:val="-1"/>
                <w:sz w:val="20"/>
              </w:rPr>
              <w:t> </w:t>
            </w:r>
            <w:r>
              <w:rPr>
                <w:sz w:val="20"/>
              </w:rPr>
              <w:t>в</w:t>
            </w:r>
            <w:r>
              <w:rPr>
                <w:spacing w:val="-2"/>
                <w:sz w:val="20"/>
              </w:rPr>
              <w:t> </w:t>
            </w:r>
            <w:r>
              <w:rPr>
                <w:sz w:val="20"/>
              </w:rPr>
              <w:t>том числе</w:t>
            </w:r>
            <w:r>
              <w:rPr>
                <w:spacing w:val="-1"/>
                <w:sz w:val="20"/>
              </w:rPr>
              <w:t> </w:t>
            </w:r>
            <w:r>
              <w:rPr>
                <w:sz w:val="20"/>
              </w:rPr>
              <w:t>с</w:t>
            </w:r>
            <w:r>
              <w:rPr>
                <w:spacing w:val="-1"/>
                <w:sz w:val="20"/>
              </w:rPr>
              <w:t> </w:t>
            </w:r>
            <w:r>
              <w:rPr>
                <w:sz w:val="20"/>
              </w:rPr>
              <w:t>применением микрохирургической техники</w:t>
            </w:r>
          </w:p>
        </w:tc>
      </w:tr>
      <w:tr>
        <w:trPr>
          <w:trHeight w:val="840" w:hRule="atLeast"/>
        </w:trPr>
        <w:tc>
          <w:tcPr>
            <w:tcW w:w="823" w:type="dxa"/>
          </w:tcPr>
          <w:p>
            <w:pPr>
              <w:pStyle w:val="TableParagraph"/>
              <w:rPr>
                <w:sz w:val="18"/>
              </w:rPr>
            </w:pPr>
          </w:p>
        </w:tc>
        <w:tc>
          <w:tcPr>
            <w:tcW w:w="3521" w:type="dxa"/>
          </w:tcPr>
          <w:p>
            <w:pPr>
              <w:pStyle w:val="TableParagraph"/>
              <w:rPr>
                <w:sz w:val="18"/>
              </w:rPr>
            </w:pPr>
          </w:p>
        </w:tc>
        <w:tc>
          <w:tcPr>
            <w:tcW w:w="1553" w:type="dxa"/>
          </w:tcPr>
          <w:p>
            <w:pPr>
              <w:pStyle w:val="TableParagraph"/>
              <w:rPr>
                <w:sz w:val="18"/>
              </w:rPr>
            </w:pPr>
          </w:p>
        </w:tc>
        <w:tc>
          <w:tcPr>
            <w:tcW w:w="3543" w:type="dxa"/>
          </w:tcPr>
          <w:p>
            <w:pPr>
              <w:pStyle w:val="TableParagraph"/>
              <w:spacing w:line="249" w:lineRule="auto" w:before="60"/>
              <w:ind w:left="221" w:right="823"/>
              <w:jc w:val="both"/>
              <w:rPr>
                <w:sz w:val="20"/>
              </w:rPr>
            </w:pPr>
            <w:r>
              <w:rPr>
                <w:sz w:val="20"/>
              </w:rPr>
              <w:t>резекция</w:t>
            </w:r>
            <w:r>
              <w:rPr>
                <w:spacing w:val="-5"/>
                <w:sz w:val="20"/>
              </w:rPr>
              <w:t> </w:t>
            </w:r>
            <w:r>
              <w:rPr>
                <w:sz w:val="20"/>
              </w:rPr>
              <w:t>молочной</w:t>
            </w:r>
            <w:r>
              <w:rPr>
                <w:spacing w:val="-5"/>
                <w:sz w:val="20"/>
              </w:rPr>
              <w:t> </w:t>
            </w:r>
            <w:r>
              <w:rPr>
                <w:sz w:val="20"/>
              </w:rPr>
              <w:t>железы</w:t>
            </w:r>
            <w:r>
              <w:rPr>
                <w:spacing w:val="-1"/>
                <w:sz w:val="20"/>
              </w:rPr>
              <w:t> </w:t>
            </w:r>
            <w:r>
              <w:rPr>
                <w:sz w:val="20"/>
              </w:rPr>
              <w:t>с определением</w:t>
            </w:r>
            <w:r>
              <w:rPr>
                <w:spacing w:val="-13"/>
                <w:sz w:val="20"/>
              </w:rPr>
              <w:t> </w:t>
            </w:r>
            <w:r>
              <w:rPr>
                <w:sz w:val="20"/>
              </w:rPr>
              <w:t>"сторожевого" </w:t>
            </w:r>
            <w:r>
              <w:rPr>
                <w:spacing w:val="-2"/>
                <w:sz w:val="20"/>
              </w:rPr>
              <w:t>лимфоузла</w:t>
            </w:r>
          </w:p>
        </w:tc>
      </w:tr>
      <w:tr>
        <w:trPr>
          <w:trHeight w:val="600" w:hRule="atLeast"/>
        </w:trPr>
        <w:tc>
          <w:tcPr>
            <w:tcW w:w="823" w:type="dxa"/>
          </w:tcPr>
          <w:p>
            <w:pPr>
              <w:pStyle w:val="TableParagraph"/>
              <w:spacing w:before="60"/>
              <w:ind w:left="50"/>
              <w:rPr>
                <w:sz w:val="20"/>
              </w:rPr>
            </w:pPr>
            <w:hyperlink r:id="rId116">
              <w:r>
                <w:rPr>
                  <w:spacing w:val="-5"/>
                  <w:sz w:val="20"/>
                </w:rPr>
                <w:t>C53</w:t>
              </w:r>
            </w:hyperlink>
          </w:p>
        </w:tc>
        <w:tc>
          <w:tcPr>
            <w:tcW w:w="3521" w:type="dxa"/>
          </w:tcPr>
          <w:p>
            <w:pPr>
              <w:pStyle w:val="TableParagraph"/>
              <w:spacing w:line="249" w:lineRule="auto" w:before="60"/>
              <w:ind w:left="441" w:right="112"/>
              <w:rPr>
                <w:sz w:val="20"/>
              </w:rPr>
            </w:pPr>
            <w:r>
              <w:rPr>
                <w:sz w:val="20"/>
              </w:rPr>
              <w:t>злокачественные</w:t>
            </w:r>
            <w:r>
              <w:rPr>
                <w:spacing w:val="-13"/>
                <w:sz w:val="20"/>
              </w:rPr>
              <w:t> </w:t>
            </w:r>
            <w:r>
              <w:rPr>
                <w:sz w:val="20"/>
              </w:rPr>
              <w:t>новообразования шейки матки</w:t>
            </w:r>
          </w:p>
        </w:tc>
        <w:tc>
          <w:tcPr>
            <w:tcW w:w="1553" w:type="dxa"/>
          </w:tcPr>
          <w:p>
            <w:pPr>
              <w:pStyle w:val="TableParagraph"/>
              <w:spacing w:line="249" w:lineRule="auto" w:before="60"/>
              <w:ind w:left="76"/>
              <w:rPr>
                <w:sz w:val="20"/>
              </w:rPr>
            </w:pPr>
            <w:r>
              <w:rPr>
                <w:spacing w:val="-2"/>
                <w:sz w:val="20"/>
              </w:rPr>
              <w:t>хирургическое лечение</w:t>
            </w:r>
          </w:p>
        </w:tc>
        <w:tc>
          <w:tcPr>
            <w:tcW w:w="3543" w:type="dxa"/>
          </w:tcPr>
          <w:p>
            <w:pPr>
              <w:pStyle w:val="TableParagraph"/>
              <w:spacing w:line="249" w:lineRule="auto" w:before="60"/>
              <w:ind w:left="221" w:right="47"/>
              <w:rPr>
                <w:sz w:val="20"/>
              </w:rPr>
            </w:pPr>
            <w:r>
              <w:rPr>
                <w:sz w:val="20"/>
              </w:rPr>
              <w:t>расширенная</w:t>
            </w:r>
            <w:r>
              <w:rPr>
                <w:spacing w:val="-13"/>
                <w:sz w:val="20"/>
              </w:rPr>
              <w:t> </w:t>
            </w:r>
            <w:r>
              <w:rPr>
                <w:sz w:val="20"/>
              </w:rPr>
              <w:t>экстирпация</w:t>
            </w:r>
            <w:r>
              <w:rPr>
                <w:spacing w:val="-12"/>
                <w:sz w:val="20"/>
              </w:rPr>
              <w:t> </w:t>
            </w:r>
            <w:r>
              <w:rPr>
                <w:sz w:val="20"/>
              </w:rPr>
              <w:t>культи шейки матки</w:t>
            </w:r>
          </w:p>
        </w:tc>
      </w:tr>
      <w:tr>
        <w:trPr>
          <w:trHeight w:val="1140" w:hRule="atLeast"/>
        </w:trPr>
        <w:tc>
          <w:tcPr>
            <w:tcW w:w="823" w:type="dxa"/>
          </w:tcPr>
          <w:p>
            <w:pPr>
              <w:pStyle w:val="TableParagraph"/>
              <w:spacing w:before="60"/>
              <w:ind w:left="50"/>
              <w:rPr>
                <w:sz w:val="20"/>
              </w:rPr>
            </w:pPr>
            <w:hyperlink r:id="rId117">
              <w:r>
                <w:rPr>
                  <w:spacing w:val="-5"/>
                  <w:sz w:val="20"/>
                </w:rPr>
                <w:t>C54</w:t>
              </w:r>
            </w:hyperlink>
          </w:p>
        </w:tc>
        <w:tc>
          <w:tcPr>
            <w:tcW w:w="3521" w:type="dxa"/>
            <w:vMerge w:val="restart"/>
          </w:tcPr>
          <w:p>
            <w:pPr>
              <w:pStyle w:val="TableParagraph"/>
              <w:spacing w:line="249" w:lineRule="auto" w:before="60"/>
              <w:ind w:left="441" w:right="68"/>
              <w:rPr>
                <w:sz w:val="20"/>
              </w:rPr>
            </w:pPr>
            <w:r>
              <w:rPr>
                <w:sz w:val="20"/>
              </w:rPr>
              <w:t>злокачественные новообразования тела матки (местнораспространенные</w:t>
            </w:r>
            <w:r>
              <w:rPr>
                <w:spacing w:val="-13"/>
                <w:sz w:val="20"/>
              </w:rPr>
              <w:t> </w:t>
            </w:r>
            <w:r>
              <w:rPr>
                <w:sz w:val="20"/>
              </w:rPr>
              <w:t>формы). Злокачественные</w:t>
            </w:r>
            <w:r>
              <w:rPr>
                <w:spacing w:val="-13"/>
                <w:sz w:val="20"/>
              </w:rPr>
              <w:t> </w:t>
            </w:r>
            <w:r>
              <w:rPr>
                <w:sz w:val="20"/>
              </w:rPr>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tcPr>
          <w:p>
            <w:pPr>
              <w:pStyle w:val="TableParagraph"/>
              <w:spacing w:line="249" w:lineRule="auto" w:before="60"/>
              <w:ind w:left="76"/>
              <w:rPr>
                <w:sz w:val="20"/>
              </w:rPr>
            </w:pPr>
            <w:r>
              <w:rPr>
                <w:spacing w:val="-2"/>
                <w:sz w:val="20"/>
              </w:rPr>
              <w:t>хирургическое лечение</w:t>
            </w:r>
          </w:p>
        </w:tc>
        <w:tc>
          <w:tcPr>
            <w:tcW w:w="3543" w:type="dxa"/>
          </w:tcPr>
          <w:p>
            <w:pPr>
              <w:pStyle w:val="TableParagraph"/>
              <w:spacing w:line="249" w:lineRule="auto" w:before="60"/>
              <w:ind w:left="221" w:right="47"/>
              <w:rPr>
                <w:sz w:val="20"/>
              </w:rPr>
            </w:pPr>
            <w:r>
              <w:rPr>
                <w:sz w:val="20"/>
              </w:rPr>
              <w:t>экстирпация матки с тазовой и </w:t>
            </w:r>
            <w:r>
              <w:rPr>
                <w:spacing w:val="-2"/>
                <w:sz w:val="20"/>
              </w:rPr>
              <w:t>парааортальной лимфаденэктомией, </w:t>
            </w:r>
            <w:r>
              <w:rPr>
                <w:sz w:val="20"/>
              </w:rPr>
              <w:t>субтотальной резекцией большого </w:t>
            </w:r>
            <w:r>
              <w:rPr>
                <w:spacing w:val="-2"/>
                <w:sz w:val="20"/>
              </w:rPr>
              <w:t>сальника</w:t>
            </w:r>
          </w:p>
        </w:tc>
      </w:tr>
      <w:tr>
        <w:trPr>
          <w:trHeight w:val="479" w:hRule="atLeast"/>
        </w:trPr>
        <w:tc>
          <w:tcPr>
            <w:tcW w:w="823" w:type="dxa"/>
          </w:tcPr>
          <w:p>
            <w:pPr>
              <w:pStyle w:val="TableParagraph"/>
              <w:rPr>
                <w:sz w:val="18"/>
              </w:rPr>
            </w:pPr>
          </w:p>
        </w:tc>
        <w:tc>
          <w:tcPr>
            <w:tcW w:w="3521" w:type="dxa"/>
            <w:vMerge/>
            <w:tcBorders>
              <w:top w:val="nil"/>
            </w:tcBorders>
          </w:tcPr>
          <w:p>
            <w:pPr>
              <w:rPr>
                <w:sz w:val="2"/>
                <w:szCs w:val="2"/>
              </w:rPr>
            </w:pPr>
          </w:p>
        </w:tc>
        <w:tc>
          <w:tcPr>
            <w:tcW w:w="1553" w:type="dxa"/>
          </w:tcPr>
          <w:p>
            <w:pPr>
              <w:pStyle w:val="TableParagraph"/>
              <w:rPr>
                <w:sz w:val="18"/>
              </w:rPr>
            </w:pPr>
          </w:p>
        </w:tc>
        <w:tc>
          <w:tcPr>
            <w:tcW w:w="3543" w:type="dxa"/>
          </w:tcPr>
          <w:p>
            <w:pPr>
              <w:pStyle w:val="TableParagraph"/>
              <w:spacing w:before="120"/>
              <w:ind w:left="221"/>
              <w:rPr>
                <w:sz w:val="20"/>
              </w:rPr>
            </w:pPr>
            <w:r>
              <w:rPr>
                <w:sz w:val="20"/>
              </w:rPr>
              <w:t>экстирпация</w:t>
            </w:r>
            <w:r>
              <w:rPr>
                <w:spacing w:val="-7"/>
                <w:sz w:val="20"/>
              </w:rPr>
              <w:t> </w:t>
            </w:r>
            <w:r>
              <w:rPr>
                <w:sz w:val="20"/>
              </w:rPr>
              <w:t>матки</w:t>
            </w:r>
            <w:r>
              <w:rPr>
                <w:spacing w:val="-7"/>
                <w:sz w:val="20"/>
              </w:rPr>
              <w:t> </w:t>
            </w:r>
            <w:r>
              <w:rPr>
                <w:sz w:val="20"/>
              </w:rPr>
              <w:t>с</w:t>
            </w:r>
            <w:r>
              <w:rPr>
                <w:spacing w:val="-6"/>
                <w:sz w:val="20"/>
              </w:rPr>
              <w:t> </w:t>
            </w:r>
            <w:r>
              <w:rPr>
                <w:spacing w:val="-2"/>
                <w:sz w:val="20"/>
              </w:rPr>
              <w:t>придатками</w:t>
            </w:r>
          </w:p>
        </w:tc>
      </w:tr>
      <w:tr>
        <w:trPr>
          <w:trHeight w:val="830" w:hRule="atLeast"/>
        </w:trPr>
        <w:tc>
          <w:tcPr>
            <w:tcW w:w="823" w:type="dxa"/>
          </w:tcPr>
          <w:p>
            <w:pPr>
              <w:pStyle w:val="TableParagraph"/>
              <w:rPr>
                <w:sz w:val="18"/>
              </w:rPr>
            </w:pPr>
          </w:p>
        </w:tc>
        <w:tc>
          <w:tcPr>
            <w:tcW w:w="3521" w:type="dxa"/>
            <w:vMerge/>
            <w:tcBorders>
              <w:top w:val="nil"/>
            </w:tcBorders>
          </w:tcPr>
          <w:p>
            <w:pPr>
              <w:rPr>
                <w:sz w:val="2"/>
                <w:szCs w:val="2"/>
              </w:rPr>
            </w:pPr>
          </w:p>
        </w:tc>
        <w:tc>
          <w:tcPr>
            <w:tcW w:w="1553" w:type="dxa"/>
          </w:tcPr>
          <w:p>
            <w:pPr>
              <w:pStyle w:val="TableParagraph"/>
              <w:rPr>
                <w:sz w:val="18"/>
              </w:rPr>
            </w:pPr>
          </w:p>
        </w:tc>
        <w:tc>
          <w:tcPr>
            <w:tcW w:w="3543" w:type="dxa"/>
          </w:tcPr>
          <w:p>
            <w:pPr>
              <w:pStyle w:val="TableParagraph"/>
              <w:spacing w:line="240" w:lineRule="atLeast" w:before="90"/>
              <w:ind w:left="221" w:right="47"/>
              <w:rPr>
                <w:sz w:val="20"/>
              </w:rPr>
            </w:pPr>
            <w:r>
              <w:rPr>
                <w:sz w:val="20"/>
              </w:rPr>
              <w:t>экстирпация матки с тазовой лимфаденэктомией и интраоперационной</w:t>
            </w:r>
            <w:r>
              <w:rPr>
                <w:spacing w:val="-13"/>
                <w:sz w:val="20"/>
              </w:rPr>
              <w:t> </w:t>
            </w:r>
            <w:r>
              <w:rPr>
                <w:sz w:val="20"/>
              </w:rPr>
              <w:t>лучевой</w:t>
            </w:r>
            <w:r>
              <w:rPr>
                <w:spacing w:val="-12"/>
                <w:sz w:val="20"/>
              </w:rPr>
              <w:t> </w:t>
            </w:r>
            <w:r>
              <w:rPr>
                <w:sz w:val="20"/>
              </w:rPr>
              <w:t>терапией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2"/>
        <w:gridCol w:w="3153"/>
        <w:gridCol w:w="1556"/>
        <w:gridCol w:w="3552"/>
      </w:tblGrid>
      <w:tr>
        <w:trPr>
          <w:trHeight w:val="950" w:hRule="atLeast"/>
        </w:trPr>
        <w:tc>
          <w:tcPr>
            <w:tcW w:w="1912" w:type="dxa"/>
          </w:tcPr>
          <w:p>
            <w:pPr>
              <w:pStyle w:val="TableParagraph"/>
              <w:spacing w:line="221" w:lineRule="exact"/>
              <w:ind w:left="43" w:right="69"/>
              <w:jc w:val="center"/>
              <w:rPr>
                <w:sz w:val="20"/>
              </w:rPr>
            </w:pPr>
            <w:hyperlink r:id="rId118">
              <w:r>
                <w:rPr>
                  <w:spacing w:val="-5"/>
                  <w:sz w:val="20"/>
                </w:rPr>
                <w:t>C56</w:t>
              </w:r>
            </w:hyperlink>
          </w:p>
        </w:tc>
        <w:tc>
          <w:tcPr>
            <w:tcW w:w="3153" w:type="dxa"/>
          </w:tcPr>
          <w:p>
            <w:pPr>
              <w:pStyle w:val="TableParagraph"/>
              <w:spacing w:line="249" w:lineRule="auto"/>
              <w:ind w:left="77" w:right="77"/>
              <w:jc w:val="both"/>
              <w:rPr>
                <w:sz w:val="20"/>
              </w:rPr>
            </w:pPr>
            <w:r>
              <w:rPr>
                <w:sz w:val="20"/>
              </w:rPr>
              <w:t>злокачественные</w:t>
            </w:r>
            <w:r>
              <w:rPr>
                <w:spacing w:val="-3"/>
                <w:sz w:val="20"/>
              </w:rPr>
              <w:t> </w:t>
            </w:r>
            <w:r>
              <w:rPr>
                <w:sz w:val="20"/>
              </w:rPr>
              <w:t>новообразования яичников</w:t>
            </w:r>
            <w:r>
              <w:rPr>
                <w:spacing w:val="-10"/>
                <w:sz w:val="20"/>
              </w:rPr>
              <w:t> </w:t>
            </w:r>
            <w:r>
              <w:rPr>
                <w:sz w:val="20"/>
              </w:rPr>
              <w:t>(I</w:t>
            </w:r>
            <w:r>
              <w:rPr>
                <w:spacing w:val="-7"/>
                <w:sz w:val="20"/>
              </w:rPr>
              <w:t> </w:t>
            </w:r>
            <w:r>
              <w:rPr>
                <w:sz w:val="20"/>
              </w:rPr>
              <w:t>-</w:t>
            </w:r>
            <w:r>
              <w:rPr>
                <w:spacing w:val="-10"/>
                <w:sz w:val="20"/>
              </w:rPr>
              <w:t> </w:t>
            </w:r>
            <w:r>
              <w:rPr>
                <w:sz w:val="20"/>
              </w:rPr>
              <w:t>IV</w:t>
            </w:r>
            <w:r>
              <w:rPr>
                <w:spacing w:val="-9"/>
                <w:sz w:val="20"/>
              </w:rPr>
              <w:t> </w:t>
            </w:r>
            <w:r>
              <w:rPr>
                <w:sz w:val="20"/>
              </w:rPr>
              <w:t>стадия).</w:t>
            </w:r>
            <w:r>
              <w:rPr>
                <w:spacing w:val="-8"/>
                <w:sz w:val="20"/>
              </w:rPr>
              <w:t> </w:t>
            </w:r>
            <w:r>
              <w:rPr>
                <w:sz w:val="20"/>
              </w:rPr>
              <w:t>Рецидивы </w:t>
            </w:r>
            <w:r>
              <w:rPr>
                <w:w w:val="95"/>
                <w:sz w:val="20"/>
              </w:rPr>
              <w:t>злокачественных</w:t>
            </w:r>
            <w:r>
              <w:rPr>
                <w:spacing w:val="58"/>
                <w:sz w:val="20"/>
              </w:rPr>
              <w:t> </w:t>
            </w:r>
            <w:r>
              <w:rPr>
                <w:spacing w:val="-2"/>
                <w:sz w:val="20"/>
              </w:rPr>
              <w:t>новообразований</w:t>
            </w:r>
          </w:p>
          <w:p>
            <w:pPr>
              <w:pStyle w:val="TableParagraph"/>
              <w:spacing w:line="220" w:lineRule="exact"/>
              <w:ind w:left="77"/>
              <w:rPr>
                <w:sz w:val="20"/>
              </w:rPr>
            </w:pPr>
            <w:r>
              <w:rPr>
                <w:spacing w:val="-2"/>
                <w:sz w:val="20"/>
              </w:rPr>
              <w:t>яичников</w:t>
            </w:r>
          </w:p>
        </w:tc>
        <w:tc>
          <w:tcPr>
            <w:tcW w:w="1556" w:type="dxa"/>
          </w:tcPr>
          <w:p>
            <w:pPr>
              <w:pStyle w:val="TableParagraph"/>
              <w:spacing w:line="249" w:lineRule="auto"/>
              <w:ind w:left="81"/>
              <w:rPr>
                <w:sz w:val="20"/>
              </w:rPr>
            </w:pPr>
            <w:r>
              <w:rPr>
                <w:spacing w:val="-2"/>
                <w:sz w:val="20"/>
              </w:rPr>
              <w:t>хирургическое лечение</w:t>
            </w:r>
          </w:p>
        </w:tc>
        <w:tc>
          <w:tcPr>
            <w:tcW w:w="3552" w:type="dxa"/>
          </w:tcPr>
          <w:p>
            <w:pPr>
              <w:pStyle w:val="TableParagraph"/>
              <w:spacing w:line="249" w:lineRule="auto"/>
              <w:ind w:left="222" w:right="36"/>
              <w:rPr>
                <w:sz w:val="20"/>
              </w:rPr>
            </w:pPr>
            <w:r>
              <w:rPr>
                <w:spacing w:val="-2"/>
                <w:sz w:val="20"/>
              </w:rPr>
              <w:t>комбинированные циторедуктивные </w:t>
            </w:r>
            <w:r>
              <w:rPr>
                <w:sz w:val="20"/>
              </w:rPr>
              <w:t>операции при злокачественных новообразованиях яичников</w:t>
            </w:r>
          </w:p>
        </w:tc>
      </w:tr>
      <w:tr>
        <w:trPr>
          <w:trHeight w:val="156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ind w:left="222" w:right="36"/>
              <w:rPr>
                <w:sz w:val="20"/>
              </w:rPr>
            </w:pPr>
            <w:r>
              <w:rPr>
                <w:sz w:val="20"/>
              </w:rPr>
              <w:t>двусторонняя</w:t>
            </w:r>
            <w:r>
              <w:rPr>
                <w:spacing w:val="-13"/>
                <w:sz w:val="20"/>
              </w:rPr>
              <w:t> </w:t>
            </w:r>
            <w:r>
              <w:rPr>
                <w:sz w:val="20"/>
              </w:rPr>
              <w:t>аднексэктомия</w:t>
            </w:r>
            <w:r>
              <w:rPr>
                <w:spacing w:val="-12"/>
                <w:sz w:val="20"/>
              </w:rPr>
              <w:t> </w:t>
            </w:r>
            <w:r>
              <w:rPr>
                <w:sz w:val="20"/>
              </w:rPr>
              <w:t>или резекция</w:t>
            </w:r>
            <w:r>
              <w:rPr>
                <w:spacing w:val="-13"/>
                <w:sz w:val="20"/>
              </w:rPr>
              <w:t> </w:t>
            </w:r>
            <w:r>
              <w:rPr>
                <w:sz w:val="20"/>
              </w:rPr>
              <w:t>яичников,</w:t>
            </w:r>
            <w:r>
              <w:rPr>
                <w:spacing w:val="-12"/>
                <w:sz w:val="20"/>
              </w:rPr>
              <w:t> </w:t>
            </w:r>
            <w:r>
              <w:rPr>
                <w:sz w:val="20"/>
              </w:rPr>
              <w:t>субтотальная резекция большого сальника с </w:t>
            </w:r>
            <w:r>
              <w:rPr>
                <w:spacing w:val="-2"/>
                <w:sz w:val="20"/>
              </w:rPr>
              <w:t>интраоперационной </w:t>
            </w:r>
            <w:r>
              <w:rPr>
                <w:sz w:val="20"/>
              </w:rPr>
              <w:t>фотодинамической терапией, фотодинамическая терапия</w:t>
            </w:r>
          </w:p>
        </w:tc>
      </w:tr>
      <w:tr>
        <w:trPr>
          <w:trHeight w:val="168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before="120"/>
              <w:ind w:left="222" w:right="36"/>
              <w:rPr>
                <w:sz w:val="20"/>
              </w:rPr>
            </w:pPr>
            <w:r>
              <w:rPr>
                <w:sz w:val="20"/>
              </w:rPr>
              <w:t>аднексэктомия односторонняя с резекцией</w:t>
            </w:r>
            <w:r>
              <w:rPr>
                <w:spacing w:val="-13"/>
                <w:sz w:val="20"/>
              </w:rPr>
              <w:t> </w:t>
            </w:r>
            <w:r>
              <w:rPr>
                <w:sz w:val="20"/>
              </w:rPr>
              <w:t>контрлатерального</w:t>
            </w:r>
            <w:r>
              <w:rPr>
                <w:spacing w:val="-12"/>
                <w:sz w:val="20"/>
              </w:rPr>
              <w:t> </w:t>
            </w:r>
            <w:r>
              <w:rPr>
                <w:sz w:val="20"/>
              </w:rPr>
              <w:t>яичника и субтотальная резекция большого сальника с интраоперационной фотодинамической терапией, фотодинамическая терапия</w:t>
            </w:r>
          </w:p>
        </w:tc>
      </w:tr>
      <w:tr>
        <w:trPr>
          <w:trHeight w:val="96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before="120"/>
              <w:ind w:left="222" w:right="36"/>
              <w:rPr>
                <w:sz w:val="20"/>
              </w:rPr>
            </w:pPr>
            <w:r>
              <w:rPr>
                <w:sz w:val="20"/>
              </w:rPr>
              <w:t>циторедуктивные операции при злокачественных новообразованиях яичников,</w:t>
            </w:r>
            <w:r>
              <w:rPr>
                <w:spacing w:val="-13"/>
                <w:sz w:val="20"/>
              </w:rPr>
              <w:t> </w:t>
            </w:r>
            <w:r>
              <w:rPr>
                <w:sz w:val="20"/>
              </w:rPr>
              <w:t>фотодинамическая</w:t>
            </w:r>
            <w:r>
              <w:rPr>
                <w:spacing w:val="-12"/>
                <w:sz w:val="20"/>
              </w:rPr>
              <w:t> </w:t>
            </w:r>
            <w:r>
              <w:rPr>
                <w:sz w:val="20"/>
              </w:rPr>
              <w:t>терапия</w:t>
            </w:r>
          </w:p>
        </w:tc>
      </w:tr>
      <w:tr>
        <w:trPr>
          <w:trHeight w:val="96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before="120"/>
              <w:ind w:left="222" w:right="280"/>
              <w:rPr>
                <w:sz w:val="20"/>
              </w:rPr>
            </w:pPr>
            <w:r>
              <w:rPr>
                <w:sz w:val="20"/>
              </w:rPr>
              <w:t>циторедуктивные операции с внутрибрюшной</w:t>
            </w:r>
            <w:r>
              <w:rPr>
                <w:spacing w:val="-13"/>
                <w:sz w:val="20"/>
              </w:rPr>
              <w:t> </w:t>
            </w:r>
            <w:r>
              <w:rPr>
                <w:sz w:val="20"/>
              </w:rPr>
              <w:t>гипертермической </w:t>
            </w:r>
            <w:r>
              <w:rPr>
                <w:spacing w:val="-2"/>
                <w:sz w:val="20"/>
              </w:rPr>
              <w:t>химиотерапией</w:t>
            </w:r>
          </w:p>
        </w:tc>
      </w:tr>
      <w:tr>
        <w:trPr>
          <w:trHeight w:val="840" w:hRule="atLeast"/>
        </w:trPr>
        <w:tc>
          <w:tcPr>
            <w:tcW w:w="1912" w:type="dxa"/>
          </w:tcPr>
          <w:p>
            <w:pPr>
              <w:pStyle w:val="TableParagraph"/>
              <w:spacing w:before="120"/>
              <w:ind w:left="44" w:right="69"/>
              <w:jc w:val="center"/>
              <w:rPr>
                <w:sz w:val="20"/>
              </w:rPr>
            </w:pPr>
            <w:hyperlink r:id="rId116">
              <w:r>
                <w:rPr>
                  <w:sz w:val="20"/>
                </w:rPr>
                <w:t>C53,</w:t>
              </w:r>
              <w:r>
                <w:rPr>
                  <w:spacing w:val="-2"/>
                  <w:sz w:val="20"/>
                </w:rPr>
                <w:t> </w:t>
              </w:r>
            </w:hyperlink>
            <w:hyperlink r:id="rId117">
              <w:r>
                <w:rPr>
                  <w:sz w:val="20"/>
                </w:rPr>
                <w:t>C54,</w:t>
              </w:r>
              <w:r>
                <w:rPr>
                  <w:spacing w:val="-2"/>
                  <w:sz w:val="20"/>
                </w:rPr>
                <w:t> </w:t>
              </w:r>
            </w:hyperlink>
            <w:hyperlink r:id="rId118">
              <w:r>
                <w:rPr>
                  <w:sz w:val="20"/>
                </w:rPr>
                <w:t>C56,</w:t>
              </w:r>
              <w:r>
                <w:rPr>
                  <w:spacing w:val="-2"/>
                  <w:sz w:val="20"/>
                </w:rPr>
                <w:t> </w:t>
              </w:r>
            </w:hyperlink>
            <w:hyperlink r:id="rId119">
              <w:r>
                <w:rPr>
                  <w:spacing w:val="-4"/>
                  <w:sz w:val="20"/>
                </w:rPr>
                <w:t>C57.8</w:t>
              </w:r>
            </w:hyperlink>
          </w:p>
        </w:tc>
        <w:tc>
          <w:tcPr>
            <w:tcW w:w="3153" w:type="dxa"/>
          </w:tcPr>
          <w:p>
            <w:pPr>
              <w:pStyle w:val="TableParagraph"/>
              <w:spacing w:line="240" w:lineRule="atLeast" w:before="100"/>
              <w:ind w:left="77" w:right="85"/>
              <w:rPr>
                <w:sz w:val="20"/>
              </w:rPr>
            </w:pPr>
            <w:r>
              <w:rPr>
                <w:sz w:val="20"/>
              </w:rPr>
              <w:t>рецидивы злокачественного новообразования</w:t>
            </w:r>
            <w:r>
              <w:rPr>
                <w:spacing w:val="-13"/>
                <w:sz w:val="20"/>
              </w:rPr>
              <w:t> </w:t>
            </w:r>
            <w:r>
              <w:rPr>
                <w:sz w:val="20"/>
              </w:rPr>
              <w:t>тела</w:t>
            </w:r>
            <w:r>
              <w:rPr>
                <w:spacing w:val="-12"/>
                <w:sz w:val="20"/>
              </w:rPr>
              <w:t> </w:t>
            </w:r>
            <w:r>
              <w:rPr>
                <w:sz w:val="20"/>
              </w:rPr>
              <w:t>матки, шейки матки и яичников</w:t>
            </w:r>
          </w:p>
        </w:tc>
        <w:tc>
          <w:tcPr>
            <w:tcW w:w="1556" w:type="dxa"/>
          </w:tcPr>
          <w:p>
            <w:pPr>
              <w:pStyle w:val="TableParagraph"/>
              <w:spacing w:line="249" w:lineRule="auto" w:before="120"/>
              <w:ind w:left="81"/>
              <w:rPr>
                <w:sz w:val="20"/>
              </w:rPr>
            </w:pPr>
            <w:r>
              <w:rPr>
                <w:spacing w:val="-2"/>
                <w:sz w:val="20"/>
              </w:rPr>
              <w:t>хирургическое лечение</w:t>
            </w:r>
          </w:p>
        </w:tc>
        <w:tc>
          <w:tcPr>
            <w:tcW w:w="3552" w:type="dxa"/>
          </w:tcPr>
          <w:p>
            <w:pPr>
              <w:pStyle w:val="TableParagraph"/>
              <w:spacing w:line="249" w:lineRule="auto" w:before="120"/>
              <w:ind w:left="222" w:right="280"/>
              <w:rPr>
                <w:sz w:val="20"/>
              </w:rPr>
            </w:pPr>
            <w:r>
              <w:rPr>
                <w:sz w:val="20"/>
              </w:rPr>
              <w:t>удаление</w:t>
            </w:r>
            <w:r>
              <w:rPr>
                <w:spacing w:val="-13"/>
                <w:sz w:val="20"/>
              </w:rPr>
              <w:t> </w:t>
            </w:r>
            <w:r>
              <w:rPr>
                <w:sz w:val="20"/>
              </w:rPr>
              <w:t>рецидивных</w:t>
            </w:r>
            <w:r>
              <w:rPr>
                <w:spacing w:val="-12"/>
                <w:sz w:val="20"/>
              </w:rPr>
              <w:t> </w:t>
            </w:r>
            <w:r>
              <w:rPr>
                <w:sz w:val="20"/>
              </w:rPr>
              <w:t>опухолей малого таза</w:t>
            </w:r>
          </w:p>
        </w:tc>
      </w:tr>
      <w:tr>
        <w:trPr>
          <w:trHeight w:val="71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ind w:left="222" w:right="280"/>
              <w:rPr>
                <w:sz w:val="20"/>
              </w:rPr>
            </w:pPr>
            <w:r>
              <w:rPr>
                <w:sz w:val="20"/>
              </w:rPr>
              <w:t>удаление</w:t>
            </w:r>
            <w:r>
              <w:rPr>
                <w:spacing w:val="-13"/>
                <w:sz w:val="20"/>
              </w:rPr>
              <w:t> </w:t>
            </w:r>
            <w:r>
              <w:rPr>
                <w:sz w:val="20"/>
              </w:rPr>
              <w:t>рецидивных</w:t>
            </w:r>
            <w:r>
              <w:rPr>
                <w:spacing w:val="-12"/>
                <w:sz w:val="20"/>
              </w:rPr>
              <w:t> </w:t>
            </w:r>
            <w:r>
              <w:rPr>
                <w:sz w:val="20"/>
              </w:rPr>
              <w:t>опухолей малого</w:t>
            </w:r>
            <w:r>
              <w:rPr>
                <w:spacing w:val="-5"/>
                <w:sz w:val="20"/>
              </w:rPr>
              <w:t> </w:t>
            </w:r>
            <w:r>
              <w:rPr>
                <w:sz w:val="20"/>
              </w:rPr>
              <w:t>таза,</w:t>
            </w:r>
            <w:r>
              <w:rPr>
                <w:spacing w:val="-4"/>
                <w:sz w:val="20"/>
              </w:rPr>
              <w:t> </w:t>
            </w:r>
            <w:r>
              <w:rPr>
                <w:spacing w:val="-2"/>
                <w:sz w:val="20"/>
              </w:rPr>
              <w:t>фотодинамическая</w:t>
            </w:r>
          </w:p>
          <w:p>
            <w:pPr>
              <w:pStyle w:val="TableParagraph"/>
              <w:spacing w:line="210" w:lineRule="exact" w:before="2"/>
              <w:ind w:left="222"/>
              <w:rPr>
                <w:sz w:val="20"/>
              </w:rPr>
            </w:pPr>
            <w:r>
              <w:rPr>
                <w:spacing w:val="-2"/>
                <w:sz w:val="20"/>
              </w:rPr>
              <w:t>терапия</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499"/>
        <w:gridCol w:w="1576"/>
        <w:gridCol w:w="3515"/>
      </w:tblGrid>
      <w:tr>
        <w:trPr>
          <w:trHeight w:val="830" w:hRule="atLeast"/>
        </w:trPr>
        <w:tc>
          <w:tcPr>
            <w:tcW w:w="823" w:type="dxa"/>
          </w:tcPr>
          <w:p>
            <w:pPr>
              <w:pStyle w:val="TableParagraph"/>
              <w:spacing w:line="221" w:lineRule="exact"/>
              <w:ind w:left="50"/>
              <w:rPr>
                <w:sz w:val="20"/>
              </w:rPr>
            </w:pPr>
            <w:hyperlink r:id="rId120">
              <w:r>
                <w:rPr>
                  <w:spacing w:val="-5"/>
                  <w:sz w:val="20"/>
                </w:rPr>
                <w:t>C60</w:t>
              </w:r>
            </w:hyperlink>
          </w:p>
        </w:tc>
        <w:tc>
          <w:tcPr>
            <w:tcW w:w="3499" w:type="dxa"/>
          </w:tcPr>
          <w:p>
            <w:pPr>
              <w:pStyle w:val="TableParagraph"/>
              <w:spacing w:line="249" w:lineRule="auto"/>
              <w:ind w:left="441" w:right="90"/>
              <w:rPr>
                <w:sz w:val="20"/>
              </w:rPr>
            </w:pPr>
            <w:r>
              <w:rPr>
                <w:sz w:val="20"/>
              </w:rPr>
              <w:t>злокачественные</w:t>
            </w:r>
            <w:r>
              <w:rPr>
                <w:spacing w:val="-13"/>
                <w:sz w:val="20"/>
              </w:rPr>
              <w:t> </w:t>
            </w:r>
            <w:r>
              <w:rPr>
                <w:sz w:val="20"/>
              </w:rPr>
              <w:t>новообразования полового члена (I - IV стадия)</w:t>
            </w:r>
          </w:p>
        </w:tc>
        <w:tc>
          <w:tcPr>
            <w:tcW w:w="1576" w:type="dxa"/>
          </w:tcPr>
          <w:p>
            <w:pPr>
              <w:pStyle w:val="TableParagraph"/>
              <w:spacing w:line="249" w:lineRule="auto"/>
              <w:ind w:left="98"/>
              <w:rPr>
                <w:sz w:val="20"/>
              </w:rPr>
            </w:pPr>
            <w:r>
              <w:rPr>
                <w:spacing w:val="-2"/>
                <w:sz w:val="20"/>
              </w:rPr>
              <w:t>хирургическое лечение</w:t>
            </w:r>
          </w:p>
        </w:tc>
        <w:tc>
          <w:tcPr>
            <w:tcW w:w="3515" w:type="dxa"/>
          </w:tcPr>
          <w:p>
            <w:pPr>
              <w:pStyle w:val="TableParagraph"/>
              <w:spacing w:line="249" w:lineRule="auto"/>
              <w:ind w:left="220" w:right="299"/>
              <w:rPr>
                <w:sz w:val="20"/>
              </w:rPr>
            </w:pPr>
            <w:r>
              <w:rPr>
                <w:sz w:val="20"/>
              </w:rPr>
              <w:t>ампутация полового члена, двусторонняя</w:t>
            </w:r>
            <w:r>
              <w:rPr>
                <w:spacing w:val="-13"/>
                <w:sz w:val="20"/>
              </w:rPr>
              <w:t> </w:t>
            </w:r>
            <w:r>
              <w:rPr>
                <w:sz w:val="20"/>
              </w:rPr>
              <w:t>подвздошно-пахово- бедренная лимфаденэктомия</w:t>
            </w:r>
          </w:p>
        </w:tc>
      </w:tr>
      <w:tr>
        <w:trPr>
          <w:trHeight w:val="960" w:hRule="atLeast"/>
        </w:trPr>
        <w:tc>
          <w:tcPr>
            <w:tcW w:w="823" w:type="dxa"/>
          </w:tcPr>
          <w:p>
            <w:pPr>
              <w:pStyle w:val="TableParagraph"/>
              <w:spacing w:before="120"/>
              <w:ind w:left="50"/>
              <w:rPr>
                <w:sz w:val="20"/>
              </w:rPr>
            </w:pPr>
            <w:hyperlink r:id="rId121">
              <w:r>
                <w:rPr>
                  <w:spacing w:val="-5"/>
                  <w:sz w:val="20"/>
                </w:rPr>
                <w:t>C61</w:t>
              </w:r>
            </w:hyperlink>
          </w:p>
        </w:tc>
        <w:tc>
          <w:tcPr>
            <w:tcW w:w="3499" w:type="dxa"/>
          </w:tcPr>
          <w:p>
            <w:pPr>
              <w:pStyle w:val="TableParagraph"/>
              <w:spacing w:line="249" w:lineRule="auto" w:before="120"/>
              <w:ind w:left="441" w:right="162"/>
              <w:jc w:val="both"/>
              <w:rPr>
                <w:sz w:val="20"/>
              </w:rPr>
            </w:pPr>
            <w:r>
              <w:rPr>
                <w:sz w:val="20"/>
              </w:rPr>
              <w:t>локализованные</w:t>
            </w:r>
            <w:r>
              <w:rPr>
                <w:spacing w:val="-13"/>
                <w:sz w:val="20"/>
              </w:rPr>
              <w:t> </w:t>
            </w:r>
            <w:r>
              <w:rPr>
                <w:sz w:val="20"/>
              </w:rPr>
              <w:t>злокачественные новообразования предстательной железы</w:t>
            </w:r>
            <w:r>
              <w:rPr>
                <w:spacing w:val="-4"/>
                <w:sz w:val="20"/>
              </w:rPr>
              <w:t> </w:t>
            </w:r>
            <w:r>
              <w:rPr>
                <w:sz w:val="20"/>
              </w:rPr>
              <w:t>(I</w:t>
            </w:r>
            <w:r>
              <w:rPr>
                <w:spacing w:val="-3"/>
                <w:sz w:val="20"/>
              </w:rPr>
              <w:t> </w:t>
            </w:r>
            <w:r>
              <w:rPr>
                <w:sz w:val="20"/>
              </w:rPr>
              <w:t>-</w:t>
            </w:r>
            <w:r>
              <w:rPr>
                <w:spacing w:val="-5"/>
                <w:sz w:val="20"/>
              </w:rPr>
              <w:t> </w:t>
            </w:r>
            <w:r>
              <w:rPr>
                <w:sz w:val="20"/>
              </w:rPr>
              <w:t>II</w:t>
            </w:r>
            <w:r>
              <w:rPr>
                <w:spacing w:val="-4"/>
                <w:sz w:val="20"/>
              </w:rPr>
              <w:t> </w:t>
            </w:r>
            <w:r>
              <w:rPr>
                <w:sz w:val="20"/>
              </w:rPr>
              <w:t>стадия),</w:t>
            </w:r>
            <w:r>
              <w:rPr>
                <w:spacing w:val="-3"/>
                <w:sz w:val="20"/>
              </w:rPr>
              <w:t> </w:t>
            </w:r>
            <w:r>
              <w:rPr>
                <w:sz w:val="20"/>
              </w:rPr>
              <w:t>T1-</w:t>
            </w:r>
            <w:r>
              <w:rPr>
                <w:spacing w:val="-2"/>
                <w:sz w:val="20"/>
              </w:rPr>
              <w:t>2cN0M0</w:t>
            </w:r>
          </w:p>
        </w:tc>
        <w:tc>
          <w:tcPr>
            <w:tcW w:w="1576" w:type="dxa"/>
          </w:tcPr>
          <w:p>
            <w:pPr>
              <w:pStyle w:val="TableParagraph"/>
              <w:spacing w:line="252" w:lineRule="auto" w:before="120"/>
              <w:ind w:left="98"/>
              <w:rPr>
                <w:sz w:val="20"/>
              </w:rPr>
            </w:pPr>
            <w:r>
              <w:rPr>
                <w:spacing w:val="-2"/>
                <w:sz w:val="20"/>
              </w:rPr>
              <w:t>хирургическое лечение</w:t>
            </w:r>
          </w:p>
        </w:tc>
        <w:tc>
          <w:tcPr>
            <w:tcW w:w="3515" w:type="dxa"/>
          </w:tcPr>
          <w:p>
            <w:pPr>
              <w:pStyle w:val="TableParagraph"/>
              <w:spacing w:line="252" w:lineRule="auto" w:before="120"/>
              <w:ind w:left="220" w:right="1150"/>
              <w:rPr>
                <w:sz w:val="20"/>
              </w:rPr>
            </w:pPr>
            <w:r>
              <w:rPr>
                <w:sz w:val="20"/>
              </w:rPr>
              <w:t>криодеструкция</w:t>
            </w:r>
            <w:r>
              <w:rPr>
                <w:spacing w:val="-13"/>
                <w:sz w:val="20"/>
              </w:rPr>
              <w:t> </w:t>
            </w:r>
            <w:r>
              <w:rPr>
                <w:sz w:val="20"/>
              </w:rPr>
              <w:t>опухоли предстательной железы</w:t>
            </w:r>
          </w:p>
        </w:tc>
      </w:tr>
      <w:tr>
        <w:trPr>
          <w:trHeight w:val="720" w:hRule="atLeast"/>
        </w:trPr>
        <w:tc>
          <w:tcPr>
            <w:tcW w:w="823" w:type="dxa"/>
          </w:tcPr>
          <w:p>
            <w:pPr>
              <w:pStyle w:val="TableParagraph"/>
              <w:spacing w:before="120"/>
              <w:ind w:left="50"/>
              <w:rPr>
                <w:sz w:val="20"/>
              </w:rPr>
            </w:pPr>
            <w:hyperlink r:id="rId122">
              <w:r>
                <w:rPr>
                  <w:spacing w:val="-5"/>
                  <w:sz w:val="20"/>
                </w:rPr>
                <w:t>C62</w:t>
              </w:r>
            </w:hyperlink>
          </w:p>
        </w:tc>
        <w:tc>
          <w:tcPr>
            <w:tcW w:w="3499" w:type="dxa"/>
          </w:tcPr>
          <w:p>
            <w:pPr>
              <w:pStyle w:val="TableParagraph"/>
              <w:spacing w:line="249" w:lineRule="auto" w:before="120"/>
              <w:ind w:left="441" w:right="90"/>
              <w:rPr>
                <w:sz w:val="20"/>
              </w:rPr>
            </w:pPr>
            <w:r>
              <w:rPr>
                <w:sz w:val="20"/>
              </w:rPr>
              <w:t>злокачественные</w:t>
            </w:r>
            <w:r>
              <w:rPr>
                <w:spacing w:val="-13"/>
                <w:sz w:val="20"/>
              </w:rPr>
              <w:t> </w:t>
            </w:r>
            <w:r>
              <w:rPr>
                <w:sz w:val="20"/>
              </w:rPr>
              <w:t>новообразования </w:t>
            </w:r>
            <w:r>
              <w:rPr>
                <w:spacing w:val="-2"/>
                <w:sz w:val="20"/>
              </w:rPr>
              <w:t>яичка</w:t>
            </w:r>
          </w:p>
        </w:tc>
        <w:tc>
          <w:tcPr>
            <w:tcW w:w="1576" w:type="dxa"/>
          </w:tcPr>
          <w:p>
            <w:pPr>
              <w:pStyle w:val="TableParagraph"/>
              <w:spacing w:line="249" w:lineRule="auto" w:before="120"/>
              <w:ind w:left="98"/>
              <w:rPr>
                <w:sz w:val="20"/>
              </w:rPr>
            </w:pPr>
            <w:r>
              <w:rPr>
                <w:spacing w:val="-2"/>
                <w:sz w:val="20"/>
              </w:rPr>
              <w:t>хирургическое лечение</w:t>
            </w:r>
          </w:p>
        </w:tc>
        <w:tc>
          <w:tcPr>
            <w:tcW w:w="3515" w:type="dxa"/>
          </w:tcPr>
          <w:p>
            <w:pPr>
              <w:pStyle w:val="TableParagraph"/>
              <w:spacing w:before="120"/>
              <w:ind w:left="220"/>
              <w:rPr>
                <w:sz w:val="20"/>
              </w:rPr>
            </w:pPr>
            <w:r>
              <w:rPr>
                <w:w w:val="95"/>
                <w:sz w:val="20"/>
              </w:rPr>
              <w:t>забрюшинная</w:t>
            </w:r>
            <w:r>
              <w:rPr>
                <w:spacing w:val="41"/>
                <w:sz w:val="20"/>
              </w:rPr>
              <w:t> </w:t>
            </w:r>
            <w:r>
              <w:rPr>
                <w:spacing w:val="-2"/>
                <w:sz w:val="20"/>
              </w:rPr>
              <w:t>лимфаденэктомия</w:t>
            </w:r>
          </w:p>
        </w:tc>
      </w:tr>
      <w:tr>
        <w:trPr>
          <w:trHeight w:val="720" w:hRule="atLeast"/>
        </w:trPr>
        <w:tc>
          <w:tcPr>
            <w:tcW w:w="823" w:type="dxa"/>
          </w:tcPr>
          <w:p>
            <w:pPr>
              <w:pStyle w:val="TableParagraph"/>
              <w:spacing w:before="120"/>
              <w:ind w:left="50"/>
              <w:rPr>
                <w:sz w:val="20"/>
              </w:rPr>
            </w:pPr>
            <w:hyperlink r:id="rId123">
              <w:r>
                <w:rPr>
                  <w:spacing w:val="-5"/>
                  <w:sz w:val="20"/>
                </w:rPr>
                <w:t>C64</w:t>
              </w:r>
            </w:hyperlink>
          </w:p>
        </w:tc>
        <w:tc>
          <w:tcPr>
            <w:tcW w:w="3499" w:type="dxa"/>
          </w:tcPr>
          <w:p>
            <w:pPr>
              <w:pStyle w:val="TableParagraph"/>
              <w:spacing w:line="249" w:lineRule="auto" w:before="120"/>
              <w:ind w:left="441" w:right="90"/>
              <w:rPr>
                <w:sz w:val="20"/>
              </w:rPr>
            </w:pPr>
            <w:r>
              <w:rPr>
                <w:sz w:val="20"/>
              </w:rPr>
              <w:t>злокачественные</w:t>
            </w:r>
            <w:r>
              <w:rPr>
                <w:spacing w:val="-13"/>
                <w:sz w:val="20"/>
              </w:rPr>
              <w:t> </w:t>
            </w:r>
            <w:r>
              <w:rPr>
                <w:sz w:val="20"/>
              </w:rPr>
              <w:t>новообразования почки (III - IV стадия)</w:t>
            </w:r>
          </w:p>
        </w:tc>
        <w:tc>
          <w:tcPr>
            <w:tcW w:w="1576" w:type="dxa"/>
          </w:tcPr>
          <w:p>
            <w:pPr>
              <w:pStyle w:val="TableParagraph"/>
              <w:spacing w:line="249" w:lineRule="auto" w:before="120"/>
              <w:ind w:left="98"/>
              <w:rPr>
                <w:sz w:val="20"/>
              </w:rPr>
            </w:pPr>
            <w:r>
              <w:rPr>
                <w:spacing w:val="-2"/>
                <w:sz w:val="20"/>
              </w:rPr>
              <w:t>хирургическое лечение</w:t>
            </w:r>
          </w:p>
        </w:tc>
        <w:tc>
          <w:tcPr>
            <w:tcW w:w="3515" w:type="dxa"/>
          </w:tcPr>
          <w:p>
            <w:pPr>
              <w:pStyle w:val="TableParagraph"/>
              <w:spacing w:before="120"/>
              <w:ind w:left="220"/>
              <w:rPr>
                <w:sz w:val="20"/>
              </w:rPr>
            </w:pPr>
            <w:r>
              <w:rPr>
                <w:sz w:val="20"/>
              </w:rPr>
              <w:t>нефрэктомия</w:t>
            </w:r>
            <w:r>
              <w:rPr>
                <w:spacing w:val="-9"/>
                <w:sz w:val="20"/>
              </w:rPr>
              <w:t> </w:t>
            </w:r>
            <w:r>
              <w:rPr>
                <w:sz w:val="20"/>
              </w:rPr>
              <w:t>с</w:t>
            </w:r>
            <w:r>
              <w:rPr>
                <w:spacing w:val="-8"/>
                <w:sz w:val="20"/>
              </w:rPr>
              <w:t> </w:t>
            </w:r>
            <w:r>
              <w:rPr>
                <w:spacing w:val="-2"/>
                <w:sz w:val="20"/>
              </w:rPr>
              <w:t>тромбэктомией</w:t>
            </w:r>
          </w:p>
        </w:tc>
      </w:tr>
      <w:tr>
        <w:trPr>
          <w:trHeight w:val="720" w:hRule="atLeast"/>
        </w:trPr>
        <w:tc>
          <w:tcPr>
            <w:tcW w:w="823" w:type="dxa"/>
          </w:tcPr>
          <w:p>
            <w:pPr>
              <w:pStyle w:val="TableParagraph"/>
              <w:rPr>
                <w:sz w:val="18"/>
              </w:rPr>
            </w:pPr>
          </w:p>
        </w:tc>
        <w:tc>
          <w:tcPr>
            <w:tcW w:w="3499" w:type="dxa"/>
          </w:tcPr>
          <w:p>
            <w:pPr>
              <w:pStyle w:val="TableParagraph"/>
              <w:spacing w:line="252" w:lineRule="auto" w:before="120"/>
              <w:ind w:left="441" w:right="90"/>
              <w:rPr>
                <w:sz w:val="20"/>
              </w:rPr>
            </w:pPr>
            <w:r>
              <w:rPr>
                <w:sz w:val="20"/>
              </w:rPr>
              <w:t>злокачественные</w:t>
            </w:r>
            <w:r>
              <w:rPr>
                <w:spacing w:val="-13"/>
                <w:sz w:val="20"/>
              </w:rPr>
              <w:t> </w:t>
            </w:r>
            <w:r>
              <w:rPr>
                <w:sz w:val="20"/>
              </w:rPr>
              <w:t>новообразования почки (I - II стадия)</w:t>
            </w:r>
          </w:p>
        </w:tc>
        <w:tc>
          <w:tcPr>
            <w:tcW w:w="1576" w:type="dxa"/>
          </w:tcPr>
          <w:p>
            <w:pPr>
              <w:pStyle w:val="TableParagraph"/>
              <w:spacing w:line="252" w:lineRule="auto" w:before="120"/>
              <w:ind w:left="98"/>
              <w:rPr>
                <w:sz w:val="20"/>
              </w:rPr>
            </w:pPr>
            <w:r>
              <w:rPr>
                <w:spacing w:val="-2"/>
                <w:sz w:val="20"/>
              </w:rPr>
              <w:t>хирургическое лечение</w:t>
            </w:r>
          </w:p>
        </w:tc>
        <w:tc>
          <w:tcPr>
            <w:tcW w:w="3515" w:type="dxa"/>
          </w:tcPr>
          <w:p>
            <w:pPr>
              <w:pStyle w:val="TableParagraph"/>
              <w:spacing w:line="252" w:lineRule="auto" w:before="120"/>
              <w:ind w:left="220" w:right="401"/>
              <w:rPr>
                <w:sz w:val="20"/>
              </w:rPr>
            </w:pPr>
            <w:r>
              <w:rPr>
                <w:sz w:val="20"/>
              </w:rPr>
              <w:t>криодеструкция</w:t>
            </w:r>
            <w:r>
              <w:rPr>
                <w:spacing w:val="-13"/>
                <w:sz w:val="20"/>
              </w:rPr>
              <w:t> </w:t>
            </w:r>
            <w:r>
              <w:rPr>
                <w:sz w:val="20"/>
              </w:rPr>
              <w:t>злокачественных новообразований почки</w:t>
            </w:r>
          </w:p>
        </w:tc>
      </w:tr>
      <w:tr>
        <w:trPr>
          <w:trHeight w:val="1200" w:hRule="atLeast"/>
        </w:trPr>
        <w:tc>
          <w:tcPr>
            <w:tcW w:w="823" w:type="dxa"/>
          </w:tcPr>
          <w:p>
            <w:pPr>
              <w:pStyle w:val="TableParagraph"/>
              <w:rPr>
                <w:sz w:val="18"/>
              </w:rPr>
            </w:pPr>
          </w:p>
        </w:tc>
        <w:tc>
          <w:tcPr>
            <w:tcW w:w="3499" w:type="dxa"/>
          </w:tcPr>
          <w:p>
            <w:pPr>
              <w:pStyle w:val="TableParagraph"/>
              <w:rPr>
                <w:sz w:val="18"/>
              </w:rPr>
            </w:pPr>
          </w:p>
        </w:tc>
        <w:tc>
          <w:tcPr>
            <w:tcW w:w="1576" w:type="dxa"/>
          </w:tcPr>
          <w:p>
            <w:pPr>
              <w:pStyle w:val="TableParagraph"/>
              <w:rPr>
                <w:sz w:val="18"/>
              </w:rPr>
            </w:pPr>
          </w:p>
        </w:tc>
        <w:tc>
          <w:tcPr>
            <w:tcW w:w="3515" w:type="dxa"/>
          </w:tcPr>
          <w:p>
            <w:pPr>
              <w:pStyle w:val="TableParagraph"/>
              <w:spacing w:line="249" w:lineRule="auto" w:before="120"/>
              <w:ind w:left="220"/>
              <w:rPr>
                <w:sz w:val="20"/>
              </w:rPr>
            </w:pPr>
            <w:r>
              <w:rPr>
                <w:sz w:val="20"/>
              </w:rPr>
              <w:t>резекция почки с применением физических методов воздействия (радиочастотная аблация, интерстициальная</w:t>
            </w:r>
            <w:r>
              <w:rPr>
                <w:spacing w:val="-13"/>
                <w:sz w:val="20"/>
              </w:rPr>
              <w:t> </w:t>
            </w:r>
            <w:r>
              <w:rPr>
                <w:sz w:val="20"/>
              </w:rPr>
              <w:t>лазерная</w:t>
            </w:r>
            <w:r>
              <w:rPr>
                <w:spacing w:val="-12"/>
                <w:sz w:val="20"/>
              </w:rPr>
              <w:t> </w:t>
            </w:r>
            <w:r>
              <w:rPr>
                <w:sz w:val="20"/>
              </w:rPr>
              <w:t>аблация)</w:t>
            </w:r>
          </w:p>
        </w:tc>
      </w:tr>
      <w:tr>
        <w:trPr>
          <w:trHeight w:val="720" w:hRule="atLeast"/>
        </w:trPr>
        <w:tc>
          <w:tcPr>
            <w:tcW w:w="823" w:type="dxa"/>
          </w:tcPr>
          <w:p>
            <w:pPr>
              <w:pStyle w:val="TableParagraph"/>
              <w:spacing w:before="120"/>
              <w:ind w:left="50"/>
              <w:rPr>
                <w:sz w:val="20"/>
              </w:rPr>
            </w:pPr>
            <w:hyperlink r:id="rId124">
              <w:r>
                <w:rPr>
                  <w:spacing w:val="-5"/>
                  <w:sz w:val="20"/>
                </w:rPr>
                <w:t>C67</w:t>
              </w:r>
            </w:hyperlink>
          </w:p>
        </w:tc>
        <w:tc>
          <w:tcPr>
            <w:tcW w:w="3499" w:type="dxa"/>
          </w:tcPr>
          <w:p>
            <w:pPr>
              <w:pStyle w:val="TableParagraph"/>
              <w:spacing w:line="249" w:lineRule="auto" w:before="120"/>
              <w:ind w:left="441" w:right="90"/>
              <w:rPr>
                <w:sz w:val="20"/>
              </w:rPr>
            </w:pPr>
            <w:r>
              <w:rPr>
                <w:sz w:val="20"/>
              </w:rPr>
              <w:t>злокачественные</w:t>
            </w:r>
            <w:r>
              <w:rPr>
                <w:spacing w:val="-13"/>
                <w:sz w:val="20"/>
              </w:rPr>
              <w:t> </w:t>
            </w:r>
            <w:r>
              <w:rPr>
                <w:sz w:val="20"/>
              </w:rPr>
              <w:t>новообразования мочевого пузыря (I - IV стадия)</w:t>
            </w:r>
          </w:p>
        </w:tc>
        <w:tc>
          <w:tcPr>
            <w:tcW w:w="1576" w:type="dxa"/>
          </w:tcPr>
          <w:p>
            <w:pPr>
              <w:pStyle w:val="TableParagraph"/>
              <w:spacing w:line="249" w:lineRule="auto" w:before="120"/>
              <w:ind w:left="98"/>
              <w:rPr>
                <w:sz w:val="20"/>
              </w:rPr>
            </w:pPr>
            <w:r>
              <w:rPr>
                <w:spacing w:val="-2"/>
                <w:sz w:val="20"/>
              </w:rPr>
              <w:t>хирургическое лечение</w:t>
            </w:r>
          </w:p>
        </w:tc>
        <w:tc>
          <w:tcPr>
            <w:tcW w:w="3515" w:type="dxa"/>
          </w:tcPr>
          <w:p>
            <w:pPr>
              <w:pStyle w:val="TableParagraph"/>
              <w:spacing w:line="249" w:lineRule="auto" w:before="120"/>
              <w:ind w:left="220" w:right="440"/>
              <w:rPr>
                <w:sz w:val="20"/>
              </w:rPr>
            </w:pPr>
            <w:r>
              <w:rPr>
                <w:sz w:val="20"/>
              </w:rPr>
              <w:t>цистпростатвезикулэктомия с расширенной</w:t>
            </w:r>
            <w:r>
              <w:rPr>
                <w:spacing w:val="-13"/>
                <w:sz w:val="20"/>
              </w:rPr>
              <w:t> </w:t>
            </w:r>
            <w:r>
              <w:rPr>
                <w:sz w:val="20"/>
              </w:rPr>
              <w:t>лимфаденэктомией</w:t>
            </w:r>
          </w:p>
        </w:tc>
      </w:tr>
      <w:tr>
        <w:trPr>
          <w:trHeight w:val="960" w:hRule="atLeast"/>
        </w:trPr>
        <w:tc>
          <w:tcPr>
            <w:tcW w:w="823" w:type="dxa"/>
          </w:tcPr>
          <w:p>
            <w:pPr>
              <w:pStyle w:val="TableParagraph"/>
              <w:rPr>
                <w:sz w:val="18"/>
              </w:rPr>
            </w:pPr>
          </w:p>
        </w:tc>
        <w:tc>
          <w:tcPr>
            <w:tcW w:w="3499" w:type="dxa"/>
          </w:tcPr>
          <w:p>
            <w:pPr>
              <w:pStyle w:val="TableParagraph"/>
              <w:rPr>
                <w:sz w:val="18"/>
              </w:rPr>
            </w:pPr>
          </w:p>
        </w:tc>
        <w:tc>
          <w:tcPr>
            <w:tcW w:w="1576" w:type="dxa"/>
          </w:tcPr>
          <w:p>
            <w:pPr>
              <w:pStyle w:val="TableParagraph"/>
              <w:rPr>
                <w:sz w:val="18"/>
              </w:rPr>
            </w:pPr>
          </w:p>
        </w:tc>
        <w:tc>
          <w:tcPr>
            <w:tcW w:w="3515" w:type="dxa"/>
          </w:tcPr>
          <w:p>
            <w:pPr>
              <w:pStyle w:val="TableParagraph"/>
              <w:spacing w:line="249" w:lineRule="auto" w:before="120"/>
              <w:ind w:left="220" w:right="825"/>
              <w:rPr>
                <w:sz w:val="20"/>
              </w:rPr>
            </w:pPr>
            <w:r>
              <w:rPr>
                <w:sz w:val="20"/>
              </w:rPr>
              <w:t>резекция мочевого пузыря с </w:t>
            </w:r>
            <w:r>
              <w:rPr>
                <w:spacing w:val="-2"/>
                <w:sz w:val="20"/>
              </w:rPr>
              <w:t>интраоперационной </w:t>
            </w:r>
            <w:r>
              <w:rPr>
                <w:sz w:val="20"/>
              </w:rPr>
              <w:t>фотодинамической</w:t>
            </w:r>
            <w:r>
              <w:rPr>
                <w:spacing w:val="-13"/>
                <w:sz w:val="20"/>
              </w:rPr>
              <w:t> </w:t>
            </w:r>
            <w:r>
              <w:rPr>
                <w:sz w:val="20"/>
              </w:rPr>
              <w:t>терапией</w:t>
            </w:r>
          </w:p>
        </w:tc>
      </w:tr>
      <w:tr>
        <w:trPr>
          <w:trHeight w:val="1310" w:hRule="atLeast"/>
        </w:trPr>
        <w:tc>
          <w:tcPr>
            <w:tcW w:w="823" w:type="dxa"/>
          </w:tcPr>
          <w:p>
            <w:pPr>
              <w:pStyle w:val="TableParagraph"/>
              <w:rPr>
                <w:sz w:val="18"/>
              </w:rPr>
            </w:pPr>
          </w:p>
        </w:tc>
        <w:tc>
          <w:tcPr>
            <w:tcW w:w="3499" w:type="dxa"/>
          </w:tcPr>
          <w:p>
            <w:pPr>
              <w:pStyle w:val="TableParagraph"/>
              <w:rPr>
                <w:sz w:val="18"/>
              </w:rPr>
            </w:pPr>
          </w:p>
        </w:tc>
        <w:tc>
          <w:tcPr>
            <w:tcW w:w="1576" w:type="dxa"/>
          </w:tcPr>
          <w:p>
            <w:pPr>
              <w:pStyle w:val="TableParagraph"/>
              <w:rPr>
                <w:sz w:val="18"/>
              </w:rPr>
            </w:pPr>
          </w:p>
        </w:tc>
        <w:tc>
          <w:tcPr>
            <w:tcW w:w="3515" w:type="dxa"/>
          </w:tcPr>
          <w:p>
            <w:pPr>
              <w:pStyle w:val="TableParagraph"/>
              <w:spacing w:line="240" w:lineRule="atLeast" w:before="90"/>
              <w:ind w:left="220"/>
              <w:rPr>
                <w:sz w:val="20"/>
              </w:rPr>
            </w:pPr>
            <w:r>
              <w:rPr>
                <w:sz w:val="20"/>
              </w:rPr>
              <w:t>трансуретральная резекция мочевого пузыря с интраоперационной фотодинамической терапией, гипертермией</w:t>
            </w:r>
            <w:r>
              <w:rPr>
                <w:spacing w:val="-13"/>
                <w:sz w:val="20"/>
              </w:rPr>
              <w:t> </w:t>
            </w:r>
            <w:r>
              <w:rPr>
                <w:sz w:val="20"/>
              </w:rPr>
              <w:t>или</w:t>
            </w:r>
            <w:r>
              <w:rPr>
                <w:spacing w:val="-12"/>
                <w:sz w:val="20"/>
              </w:rPr>
              <w:t> </w:t>
            </w:r>
            <w:r>
              <w:rPr>
                <w:sz w:val="20"/>
              </w:rPr>
              <w:t>низкоинтенсивным лазерным излучением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1"/>
        <w:gridCol w:w="1521"/>
        <w:gridCol w:w="3388"/>
        <w:gridCol w:w="1713"/>
        <w:gridCol w:w="3438"/>
      </w:tblGrid>
      <w:tr>
        <w:trPr>
          <w:trHeight w:val="830" w:hRule="atLeast"/>
        </w:trPr>
        <w:tc>
          <w:tcPr>
            <w:tcW w:w="3081" w:type="dxa"/>
          </w:tcPr>
          <w:p>
            <w:pPr>
              <w:pStyle w:val="TableParagraph"/>
              <w:rPr>
                <w:sz w:val="18"/>
              </w:rPr>
            </w:pPr>
          </w:p>
        </w:tc>
        <w:tc>
          <w:tcPr>
            <w:tcW w:w="1521" w:type="dxa"/>
          </w:tcPr>
          <w:p>
            <w:pPr>
              <w:pStyle w:val="TableParagraph"/>
              <w:spacing w:line="221" w:lineRule="exact"/>
              <w:ind w:left="409" w:right="319"/>
              <w:jc w:val="center"/>
              <w:rPr>
                <w:sz w:val="20"/>
              </w:rPr>
            </w:pPr>
            <w:hyperlink r:id="rId125">
              <w:r>
                <w:rPr>
                  <w:spacing w:val="-5"/>
                  <w:sz w:val="20"/>
                </w:rPr>
                <w:t>C74</w:t>
              </w:r>
            </w:hyperlink>
          </w:p>
        </w:tc>
        <w:tc>
          <w:tcPr>
            <w:tcW w:w="3388" w:type="dxa"/>
          </w:tcPr>
          <w:p>
            <w:pPr>
              <w:pStyle w:val="TableParagraph"/>
              <w:spacing w:line="249" w:lineRule="auto"/>
              <w:ind w:left="332" w:right="88"/>
              <w:rPr>
                <w:sz w:val="20"/>
              </w:rPr>
            </w:pPr>
            <w:r>
              <w:rPr>
                <w:sz w:val="20"/>
              </w:rPr>
              <w:t>злокачественные</w:t>
            </w:r>
            <w:r>
              <w:rPr>
                <w:spacing w:val="-13"/>
                <w:sz w:val="20"/>
              </w:rPr>
              <w:t> </w:t>
            </w:r>
            <w:r>
              <w:rPr>
                <w:sz w:val="20"/>
              </w:rPr>
              <w:t>новообразования надпочечника I - III стадия</w:t>
            </w:r>
          </w:p>
          <w:p>
            <w:pPr>
              <w:pStyle w:val="TableParagraph"/>
              <w:ind w:left="332"/>
              <w:rPr>
                <w:sz w:val="20"/>
              </w:rPr>
            </w:pPr>
            <w:r>
              <w:rPr>
                <w:w w:val="95"/>
                <w:sz w:val="20"/>
              </w:rPr>
              <w:t>(T1a-</w:t>
            </w:r>
            <w:r>
              <w:rPr>
                <w:spacing w:val="-2"/>
                <w:sz w:val="20"/>
              </w:rPr>
              <w:t>T3aNxMo)</w:t>
            </w:r>
          </w:p>
        </w:tc>
        <w:tc>
          <w:tcPr>
            <w:tcW w:w="1713" w:type="dxa"/>
          </w:tcPr>
          <w:p>
            <w:pPr>
              <w:pStyle w:val="TableParagraph"/>
              <w:spacing w:line="249" w:lineRule="auto"/>
              <w:ind w:left="101"/>
              <w:rPr>
                <w:sz w:val="20"/>
              </w:rPr>
            </w:pPr>
            <w:r>
              <w:rPr>
                <w:spacing w:val="-2"/>
                <w:sz w:val="20"/>
              </w:rPr>
              <w:t>хирургическое лечение</w:t>
            </w:r>
          </w:p>
        </w:tc>
        <w:tc>
          <w:tcPr>
            <w:tcW w:w="3438" w:type="dxa"/>
          </w:tcPr>
          <w:p>
            <w:pPr>
              <w:pStyle w:val="TableParagraph"/>
              <w:spacing w:line="249" w:lineRule="auto"/>
              <w:ind w:left="85" w:right="31"/>
              <w:rPr>
                <w:sz w:val="20"/>
              </w:rPr>
            </w:pPr>
            <w:r>
              <w:rPr>
                <w:sz w:val="20"/>
              </w:rPr>
              <w:t>удаление</w:t>
            </w:r>
            <w:r>
              <w:rPr>
                <w:spacing w:val="-13"/>
                <w:sz w:val="20"/>
              </w:rPr>
              <w:t> </w:t>
            </w:r>
            <w:r>
              <w:rPr>
                <w:sz w:val="20"/>
              </w:rPr>
              <w:t>рецидивной</w:t>
            </w:r>
            <w:r>
              <w:rPr>
                <w:spacing w:val="-12"/>
                <w:sz w:val="20"/>
              </w:rPr>
              <w:t> </w:t>
            </w:r>
            <w:r>
              <w:rPr>
                <w:sz w:val="20"/>
              </w:rPr>
              <w:t>опухоли надпочечника с расширенной </w:t>
            </w:r>
            <w:r>
              <w:rPr>
                <w:spacing w:val="-2"/>
                <w:sz w:val="20"/>
              </w:rPr>
              <w:t>лимфаденэктомией</w:t>
            </w:r>
          </w:p>
        </w:tc>
      </w:tr>
      <w:tr>
        <w:trPr>
          <w:trHeight w:val="960" w:hRule="atLeast"/>
        </w:trPr>
        <w:tc>
          <w:tcPr>
            <w:tcW w:w="3081" w:type="dxa"/>
          </w:tcPr>
          <w:p>
            <w:pPr>
              <w:pStyle w:val="TableParagraph"/>
              <w:rPr>
                <w:sz w:val="18"/>
              </w:rPr>
            </w:pPr>
          </w:p>
        </w:tc>
        <w:tc>
          <w:tcPr>
            <w:tcW w:w="1521" w:type="dxa"/>
          </w:tcPr>
          <w:p>
            <w:pPr>
              <w:pStyle w:val="TableParagraph"/>
              <w:rPr>
                <w:sz w:val="18"/>
              </w:rPr>
            </w:pPr>
          </w:p>
        </w:tc>
        <w:tc>
          <w:tcPr>
            <w:tcW w:w="3388" w:type="dxa"/>
          </w:tcPr>
          <w:p>
            <w:pPr>
              <w:pStyle w:val="TableParagraph"/>
              <w:spacing w:line="252" w:lineRule="auto" w:before="120"/>
              <w:ind w:left="332" w:right="88"/>
              <w:rPr>
                <w:sz w:val="20"/>
              </w:rPr>
            </w:pPr>
            <w:r>
              <w:rPr>
                <w:sz w:val="20"/>
              </w:rPr>
              <w:t>злокачественные</w:t>
            </w:r>
            <w:r>
              <w:rPr>
                <w:spacing w:val="-13"/>
                <w:sz w:val="20"/>
              </w:rPr>
              <w:t> </w:t>
            </w:r>
            <w:r>
              <w:rPr>
                <w:sz w:val="20"/>
              </w:rPr>
              <w:t>новообразования надпочечника (III - IV стадия)</w:t>
            </w:r>
          </w:p>
        </w:tc>
        <w:tc>
          <w:tcPr>
            <w:tcW w:w="1713" w:type="dxa"/>
          </w:tcPr>
          <w:p>
            <w:pPr>
              <w:pStyle w:val="TableParagraph"/>
              <w:spacing w:line="252" w:lineRule="auto" w:before="120"/>
              <w:ind w:left="101"/>
              <w:rPr>
                <w:sz w:val="20"/>
              </w:rPr>
            </w:pPr>
            <w:r>
              <w:rPr>
                <w:spacing w:val="-2"/>
                <w:sz w:val="20"/>
              </w:rPr>
              <w:t>хирургическое лечение</w:t>
            </w:r>
          </w:p>
        </w:tc>
        <w:tc>
          <w:tcPr>
            <w:tcW w:w="3438" w:type="dxa"/>
          </w:tcPr>
          <w:p>
            <w:pPr>
              <w:pStyle w:val="TableParagraph"/>
              <w:spacing w:line="249" w:lineRule="auto" w:before="120"/>
              <w:ind w:left="85" w:right="31"/>
              <w:rPr>
                <w:sz w:val="20"/>
              </w:rPr>
            </w:pPr>
            <w:r>
              <w:rPr>
                <w:sz w:val="20"/>
              </w:rPr>
              <w:t>расширенная адреналэктомия или адреналэктомия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r>
      <w:tr>
        <w:trPr>
          <w:trHeight w:val="1440" w:hRule="atLeast"/>
        </w:trPr>
        <w:tc>
          <w:tcPr>
            <w:tcW w:w="3081" w:type="dxa"/>
          </w:tcPr>
          <w:p>
            <w:pPr>
              <w:pStyle w:val="TableParagraph"/>
              <w:rPr>
                <w:sz w:val="18"/>
              </w:rPr>
            </w:pPr>
          </w:p>
        </w:tc>
        <w:tc>
          <w:tcPr>
            <w:tcW w:w="1521" w:type="dxa"/>
          </w:tcPr>
          <w:p>
            <w:pPr>
              <w:pStyle w:val="TableParagraph"/>
              <w:spacing w:before="120"/>
              <w:ind w:left="409" w:right="319"/>
              <w:jc w:val="center"/>
              <w:rPr>
                <w:sz w:val="20"/>
              </w:rPr>
            </w:pPr>
            <w:hyperlink r:id="rId126">
              <w:r>
                <w:rPr>
                  <w:spacing w:val="-5"/>
                  <w:sz w:val="20"/>
                </w:rPr>
                <w:t>C78</w:t>
              </w:r>
            </w:hyperlink>
          </w:p>
        </w:tc>
        <w:tc>
          <w:tcPr>
            <w:tcW w:w="3388" w:type="dxa"/>
          </w:tcPr>
          <w:p>
            <w:pPr>
              <w:pStyle w:val="TableParagraph"/>
              <w:spacing w:line="249" w:lineRule="auto" w:before="120"/>
              <w:ind w:left="332" w:right="658"/>
              <w:rPr>
                <w:sz w:val="20"/>
              </w:rPr>
            </w:pPr>
            <w:r>
              <w:rPr>
                <w:sz w:val="20"/>
              </w:rPr>
              <w:t>метастатическое</w:t>
            </w:r>
            <w:r>
              <w:rPr>
                <w:spacing w:val="-13"/>
                <w:sz w:val="20"/>
              </w:rPr>
              <w:t> </w:t>
            </w:r>
            <w:r>
              <w:rPr>
                <w:sz w:val="20"/>
              </w:rPr>
              <w:t>поражение </w:t>
            </w:r>
            <w:r>
              <w:rPr>
                <w:spacing w:val="-2"/>
                <w:sz w:val="20"/>
              </w:rPr>
              <w:t>легкого</w:t>
            </w:r>
          </w:p>
        </w:tc>
        <w:tc>
          <w:tcPr>
            <w:tcW w:w="1713" w:type="dxa"/>
          </w:tcPr>
          <w:p>
            <w:pPr>
              <w:pStyle w:val="TableParagraph"/>
              <w:spacing w:line="249" w:lineRule="auto" w:before="120"/>
              <w:ind w:left="101"/>
              <w:rPr>
                <w:sz w:val="20"/>
              </w:rPr>
            </w:pPr>
            <w:r>
              <w:rPr>
                <w:spacing w:val="-2"/>
                <w:sz w:val="20"/>
              </w:rPr>
              <w:t>хирургическое лечение</w:t>
            </w:r>
          </w:p>
        </w:tc>
        <w:tc>
          <w:tcPr>
            <w:tcW w:w="3438" w:type="dxa"/>
          </w:tcPr>
          <w:p>
            <w:pPr>
              <w:pStyle w:val="TableParagraph"/>
              <w:spacing w:line="249" w:lineRule="auto" w:before="120"/>
              <w:ind w:left="85" w:right="31"/>
              <w:rPr>
                <w:sz w:val="20"/>
              </w:rPr>
            </w:pPr>
            <w:r>
              <w:rPr>
                <w:sz w:val="20"/>
              </w:rPr>
              <w:t>анатомические (лобэктомия, сегментэктомия) и атипичные резекции</w:t>
            </w:r>
            <w:r>
              <w:rPr>
                <w:spacing w:val="-13"/>
                <w:sz w:val="20"/>
              </w:rPr>
              <w:t> </w:t>
            </w:r>
            <w:r>
              <w:rPr>
                <w:sz w:val="20"/>
              </w:rPr>
              <w:t>легкого</w:t>
            </w:r>
            <w:r>
              <w:rPr>
                <w:spacing w:val="-12"/>
                <w:sz w:val="20"/>
              </w:rPr>
              <w:t> </w:t>
            </w:r>
            <w:r>
              <w:rPr>
                <w:sz w:val="20"/>
              </w:rPr>
              <w:t>при</w:t>
            </w:r>
            <w:r>
              <w:rPr>
                <w:spacing w:val="-13"/>
                <w:sz w:val="20"/>
              </w:rPr>
              <w:t> </w:t>
            </w:r>
            <w:r>
              <w:rPr>
                <w:sz w:val="20"/>
              </w:rPr>
              <w:t>множественных, рецидивирующих, двусторонних метастазах в легкие</w:t>
            </w:r>
          </w:p>
        </w:tc>
      </w:tr>
      <w:tr>
        <w:trPr>
          <w:trHeight w:val="1200" w:hRule="atLeast"/>
        </w:trPr>
        <w:tc>
          <w:tcPr>
            <w:tcW w:w="3081" w:type="dxa"/>
          </w:tcPr>
          <w:p>
            <w:pPr>
              <w:pStyle w:val="TableParagraph"/>
              <w:rPr>
                <w:sz w:val="18"/>
              </w:rPr>
            </w:pPr>
          </w:p>
        </w:tc>
        <w:tc>
          <w:tcPr>
            <w:tcW w:w="1521" w:type="dxa"/>
          </w:tcPr>
          <w:p>
            <w:pPr>
              <w:pStyle w:val="TableParagraph"/>
              <w:rPr>
                <w:sz w:val="18"/>
              </w:rPr>
            </w:pPr>
          </w:p>
        </w:tc>
        <w:tc>
          <w:tcPr>
            <w:tcW w:w="3388" w:type="dxa"/>
          </w:tcPr>
          <w:p>
            <w:pPr>
              <w:pStyle w:val="TableParagraph"/>
              <w:rPr>
                <w:sz w:val="18"/>
              </w:rPr>
            </w:pPr>
          </w:p>
        </w:tc>
        <w:tc>
          <w:tcPr>
            <w:tcW w:w="1713" w:type="dxa"/>
          </w:tcPr>
          <w:p>
            <w:pPr>
              <w:pStyle w:val="TableParagraph"/>
              <w:rPr>
                <w:sz w:val="18"/>
              </w:rPr>
            </w:pPr>
          </w:p>
        </w:tc>
        <w:tc>
          <w:tcPr>
            <w:tcW w:w="3438" w:type="dxa"/>
          </w:tcPr>
          <w:p>
            <w:pPr>
              <w:pStyle w:val="TableParagraph"/>
              <w:spacing w:line="249" w:lineRule="auto" w:before="120"/>
              <w:ind w:left="85" w:right="31"/>
              <w:rPr>
                <w:sz w:val="20"/>
              </w:rPr>
            </w:pPr>
            <w:r>
              <w:rPr>
                <w:sz w:val="20"/>
              </w:rPr>
              <w:t>удаление (прецизионное, резекция легкого)</w:t>
            </w:r>
            <w:r>
              <w:rPr>
                <w:spacing w:val="-13"/>
                <w:sz w:val="20"/>
              </w:rPr>
              <w:t> </w:t>
            </w:r>
            <w:r>
              <w:rPr>
                <w:sz w:val="20"/>
              </w:rPr>
              <w:t>множественных</w:t>
            </w:r>
            <w:r>
              <w:rPr>
                <w:spacing w:val="-12"/>
                <w:sz w:val="20"/>
              </w:rPr>
              <w:t> </w:t>
            </w:r>
            <w:r>
              <w:rPr>
                <w:sz w:val="20"/>
              </w:rPr>
              <w:t>метастазов</w:t>
            </w:r>
            <w:r>
              <w:rPr>
                <w:spacing w:val="-13"/>
                <w:sz w:val="20"/>
              </w:rPr>
              <w:t> </w:t>
            </w:r>
            <w:r>
              <w:rPr>
                <w:sz w:val="20"/>
              </w:rPr>
              <w:t>в легких с применением физических </w:t>
            </w:r>
            <w:r>
              <w:rPr>
                <w:spacing w:val="-2"/>
                <w:sz w:val="20"/>
              </w:rPr>
              <w:t>факторов</w:t>
            </w:r>
          </w:p>
        </w:tc>
      </w:tr>
      <w:tr>
        <w:trPr>
          <w:trHeight w:val="960" w:hRule="atLeast"/>
        </w:trPr>
        <w:tc>
          <w:tcPr>
            <w:tcW w:w="3081" w:type="dxa"/>
          </w:tcPr>
          <w:p>
            <w:pPr>
              <w:pStyle w:val="TableParagraph"/>
              <w:rPr>
                <w:sz w:val="18"/>
              </w:rPr>
            </w:pPr>
          </w:p>
        </w:tc>
        <w:tc>
          <w:tcPr>
            <w:tcW w:w="1521" w:type="dxa"/>
          </w:tcPr>
          <w:p>
            <w:pPr>
              <w:pStyle w:val="TableParagraph"/>
              <w:rPr>
                <w:sz w:val="18"/>
              </w:rPr>
            </w:pPr>
          </w:p>
        </w:tc>
        <w:tc>
          <w:tcPr>
            <w:tcW w:w="3388" w:type="dxa"/>
          </w:tcPr>
          <w:p>
            <w:pPr>
              <w:pStyle w:val="TableParagraph"/>
              <w:rPr>
                <w:sz w:val="18"/>
              </w:rPr>
            </w:pPr>
          </w:p>
        </w:tc>
        <w:tc>
          <w:tcPr>
            <w:tcW w:w="1713" w:type="dxa"/>
          </w:tcPr>
          <w:p>
            <w:pPr>
              <w:pStyle w:val="TableParagraph"/>
              <w:rPr>
                <w:sz w:val="18"/>
              </w:rPr>
            </w:pPr>
          </w:p>
        </w:tc>
        <w:tc>
          <w:tcPr>
            <w:tcW w:w="3438" w:type="dxa"/>
          </w:tcPr>
          <w:p>
            <w:pPr>
              <w:pStyle w:val="TableParagraph"/>
              <w:spacing w:line="249" w:lineRule="auto" w:before="120"/>
              <w:ind w:left="85" w:right="401"/>
              <w:rPr>
                <w:sz w:val="20"/>
              </w:rPr>
            </w:pPr>
            <w:r>
              <w:rPr>
                <w:sz w:val="20"/>
              </w:rPr>
              <w:t>изолированная регионарная гипертермическая</w:t>
            </w:r>
            <w:r>
              <w:rPr>
                <w:spacing w:val="-13"/>
                <w:sz w:val="20"/>
              </w:rPr>
              <w:t> </w:t>
            </w:r>
            <w:r>
              <w:rPr>
                <w:sz w:val="20"/>
              </w:rPr>
              <w:t>химиоперфузия </w:t>
            </w:r>
            <w:r>
              <w:rPr>
                <w:spacing w:val="-2"/>
                <w:sz w:val="20"/>
              </w:rPr>
              <w:t>легкого</w:t>
            </w:r>
          </w:p>
        </w:tc>
      </w:tr>
      <w:tr>
        <w:trPr>
          <w:trHeight w:val="1440" w:hRule="atLeast"/>
        </w:trPr>
        <w:tc>
          <w:tcPr>
            <w:tcW w:w="3081" w:type="dxa"/>
            <w:vMerge w:val="restart"/>
          </w:tcPr>
          <w:p>
            <w:pPr>
              <w:pStyle w:val="TableParagraph"/>
              <w:spacing w:line="249" w:lineRule="auto" w:before="120"/>
              <w:ind w:left="50" w:right="413"/>
              <w:rPr>
                <w:sz w:val="20"/>
              </w:rPr>
            </w:pPr>
            <w:r>
              <w:rPr>
                <w:sz w:val="20"/>
              </w:rPr>
              <w:t>Комбинированное лечение </w:t>
            </w:r>
            <w:r>
              <w:rPr>
                <w:spacing w:val="-2"/>
                <w:sz w:val="20"/>
              </w:rPr>
              <w:t>злокачественных </w:t>
            </w:r>
            <w:r>
              <w:rPr>
                <w:sz w:val="20"/>
              </w:rPr>
              <w:t>новообразований,</w:t>
            </w:r>
            <w:r>
              <w:rPr>
                <w:spacing w:val="-13"/>
                <w:sz w:val="20"/>
              </w:rPr>
              <w:t> </w:t>
            </w:r>
            <w:r>
              <w:rPr>
                <w:sz w:val="20"/>
              </w:rPr>
              <w:t>сочетающее обширные хирургические вмешательства и противоопухолевое лечение лекарственными</w:t>
            </w:r>
            <w:r>
              <w:rPr>
                <w:spacing w:val="-13"/>
                <w:sz w:val="20"/>
              </w:rPr>
              <w:t> </w:t>
            </w:r>
            <w:r>
              <w:rPr>
                <w:sz w:val="20"/>
              </w:rPr>
              <w:t>препаратами, требующее интенсивной поддерживающей и</w:t>
            </w:r>
          </w:p>
          <w:p>
            <w:pPr>
              <w:pStyle w:val="TableParagraph"/>
              <w:spacing w:line="210" w:lineRule="exact" w:before="8"/>
              <w:ind w:left="50"/>
              <w:rPr>
                <w:sz w:val="20"/>
              </w:rPr>
            </w:pPr>
            <w:r>
              <w:rPr>
                <w:w w:val="95"/>
                <w:sz w:val="20"/>
              </w:rPr>
              <w:t>коррегирующей</w:t>
            </w:r>
            <w:r>
              <w:rPr>
                <w:spacing w:val="53"/>
                <w:sz w:val="20"/>
              </w:rPr>
              <w:t> </w:t>
            </w:r>
            <w:r>
              <w:rPr>
                <w:spacing w:val="-2"/>
                <w:sz w:val="20"/>
              </w:rPr>
              <w:t>терапии</w:t>
            </w:r>
          </w:p>
        </w:tc>
        <w:tc>
          <w:tcPr>
            <w:tcW w:w="1521" w:type="dxa"/>
          </w:tcPr>
          <w:p>
            <w:pPr>
              <w:pStyle w:val="TableParagraph"/>
              <w:spacing w:before="120"/>
              <w:ind w:left="411" w:right="319"/>
              <w:jc w:val="center"/>
              <w:rPr>
                <w:sz w:val="20"/>
              </w:rPr>
            </w:pPr>
            <w:hyperlink r:id="rId127">
              <w:r>
                <w:rPr>
                  <w:sz w:val="20"/>
                </w:rPr>
                <w:t>C38,</w:t>
              </w:r>
              <w:r>
                <w:rPr>
                  <w:spacing w:val="-2"/>
                  <w:sz w:val="20"/>
                </w:rPr>
                <w:t> </w:t>
              </w:r>
            </w:hyperlink>
            <w:hyperlink r:id="rId128">
              <w:r>
                <w:rPr>
                  <w:spacing w:val="-5"/>
                  <w:sz w:val="20"/>
                </w:rPr>
                <w:t>C39</w:t>
              </w:r>
            </w:hyperlink>
          </w:p>
        </w:tc>
        <w:tc>
          <w:tcPr>
            <w:tcW w:w="3388" w:type="dxa"/>
          </w:tcPr>
          <w:p>
            <w:pPr>
              <w:pStyle w:val="TableParagraph"/>
              <w:spacing w:line="249" w:lineRule="auto" w:before="120"/>
              <w:ind w:left="332" w:right="104"/>
              <w:rPr>
                <w:sz w:val="20"/>
              </w:rPr>
            </w:pPr>
            <w:r>
              <w:rPr>
                <w:sz w:val="20"/>
              </w:rPr>
              <w:t>местнораспространенные</w:t>
            </w:r>
            <w:r>
              <w:rPr>
                <w:spacing w:val="-13"/>
                <w:sz w:val="20"/>
              </w:rPr>
              <w:t> </w:t>
            </w:r>
            <w:r>
              <w:rPr>
                <w:sz w:val="20"/>
              </w:rPr>
              <w:t>опухоли органов средостения</w:t>
            </w:r>
          </w:p>
        </w:tc>
        <w:tc>
          <w:tcPr>
            <w:tcW w:w="1713" w:type="dxa"/>
          </w:tcPr>
          <w:p>
            <w:pPr>
              <w:pStyle w:val="TableParagraph"/>
              <w:spacing w:line="249" w:lineRule="auto" w:before="120"/>
              <w:ind w:left="101"/>
              <w:rPr>
                <w:sz w:val="20"/>
              </w:rPr>
            </w:pPr>
            <w:r>
              <w:rPr>
                <w:spacing w:val="-2"/>
                <w:sz w:val="20"/>
              </w:rPr>
              <w:t>комбинированное лечение</w:t>
            </w:r>
          </w:p>
        </w:tc>
        <w:tc>
          <w:tcPr>
            <w:tcW w:w="3438" w:type="dxa"/>
          </w:tcPr>
          <w:p>
            <w:pPr>
              <w:pStyle w:val="TableParagraph"/>
              <w:spacing w:line="249" w:lineRule="auto" w:before="120"/>
              <w:ind w:left="85" w:right="31"/>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070" w:hRule="atLeast"/>
        </w:trPr>
        <w:tc>
          <w:tcPr>
            <w:tcW w:w="3081" w:type="dxa"/>
            <w:vMerge/>
            <w:tcBorders>
              <w:top w:val="nil"/>
            </w:tcBorders>
          </w:tcPr>
          <w:p>
            <w:pPr>
              <w:rPr>
                <w:sz w:val="2"/>
                <w:szCs w:val="2"/>
              </w:rPr>
            </w:pPr>
          </w:p>
        </w:tc>
        <w:tc>
          <w:tcPr>
            <w:tcW w:w="1521" w:type="dxa"/>
          </w:tcPr>
          <w:p>
            <w:pPr>
              <w:pStyle w:val="TableParagraph"/>
              <w:spacing w:before="120"/>
              <w:ind w:left="409" w:right="319"/>
              <w:jc w:val="center"/>
              <w:rPr>
                <w:sz w:val="20"/>
              </w:rPr>
            </w:pPr>
            <w:hyperlink r:id="rId115">
              <w:r>
                <w:rPr>
                  <w:spacing w:val="-5"/>
                  <w:sz w:val="20"/>
                </w:rPr>
                <w:t>C50</w:t>
              </w:r>
            </w:hyperlink>
          </w:p>
        </w:tc>
        <w:tc>
          <w:tcPr>
            <w:tcW w:w="3388" w:type="dxa"/>
          </w:tcPr>
          <w:p>
            <w:pPr>
              <w:pStyle w:val="TableParagraph"/>
              <w:spacing w:line="249" w:lineRule="auto" w:before="120"/>
              <w:ind w:left="332" w:right="204"/>
              <w:rPr>
                <w:sz w:val="20"/>
              </w:rPr>
            </w:pPr>
            <w:r>
              <w:rPr>
                <w:sz w:val="20"/>
              </w:rPr>
              <w:t>первичный</w:t>
            </w:r>
            <w:r>
              <w:rPr>
                <w:spacing w:val="-13"/>
                <w:sz w:val="20"/>
              </w:rPr>
              <w:t> </w:t>
            </w:r>
            <w:r>
              <w:rPr>
                <w:sz w:val="20"/>
              </w:rPr>
              <w:t>рак</w:t>
            </w:r>
            <w:r>
              <w:rPr>
                <w:spacing w:val="-12"/>
                <w:sz w:val="20"/>
              </w:rPr>
              <w:t> </w:t>
            </w:r>
            <w:r>
              <w:rPr>
                <w:sz w:val="20"/>
              </w:rPr>
              <w:t>молочной</w:t>
            </w:r>
            <w:r>
              <w:rPr>
                <w:spacing w:val="-13"/>
                <w:sz w:val="20"/>
              </w:rPr>
              <w:t> </w:t>
            </w:r>
            <w:r>
              <w:rPr>
                <w:sz w:val="20"/>
              </w:rPr>
              <w:t>железы T1N2-3M0, T2-3N1-3M0</w:t>
            </w:r>
          </w:p>
        </w:tc>
        <w:tc>
          <w:tcPr>
            <w:tcW w:w="1713" w:type="dxa"/>
          </w:tcPr>
          <w:p>
            <w:pPr>
              <w:pStyle w:val="TableParagraph"/>
              <w:spacing w:line="249" w:lineRule="auto" w:before="120"/>
              <w:ind w:left="101"/>
              <w:rPr>
                <w:sz w:val="20"/>
              </w:rPr>
            </w:pPr>
            <w:r>
              <w:rPr>
                <w:spacing w:val="-2"/>
                <w:sz w:val="20"/>
              </w:rPr>
              <w:t>комбинированное лечение</w:t>
            </w:r>
          </w:p>
        </w:tc>
        <w:tc>
          <w:tcPr>
            <w:tcW w:w="3438" w:type="dxa"/>
          </w:tcPr>
          <w:p>
            <w:pPr>
              <w:pStyle w:val="TableParagraph"/>
              <w:spacing w:line="240" w:lineRule="atLeast" w:before="90"/>
              <w:ind w:left="85" w:right="31"/>
              <w:rPr>
                <w:sz w:val="20"/>
              </w:rPr>
            </w:pPr>
            <w:r>
              <w:rPr>
                <w:sz w:val="20"/>
              </w:rPr>
              <w:t>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385"/>
        <w:gridCol w:w="1338"/>
        <w:gridCol w:w="3429"/>
        <w:gridCol w:w="1613"/>
        <w:gridCol w:w="3716"/>
        <w:gridCol w:w="1088"/>
      </w:tblGrid>
      <w:tr>
        <w:trPr>
          <w:trHeight w:val="131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rPr>
                <w:sz w:val="18"/>
              </w:rPr>
            </w:pPr>
          </w:p>
        </w:tc>
        <w:tc>
          <w:tcPr>
            <w:tcW w:w="3429" w:type="dxa"/>
          </w:tcPr>
          <w:p>
            <w:pPr>
              <w:pStyle w:val="TableParagraph"/>
              <w:rPr>
                <w:sz w:val="18"/>
              </w:rPr>
            </w:pPr>
          </w:p>
        </w:tc>
        <w:tc>
          <w:tcPr>
            <w:tcW w:w="1613" w:type="dxa"/>
          </w:tcPr>
          <w:p>
            <w:pPr>
              <w:pStyle w:val="TableParagraph"/>
              <w:rPr>
                <w:sz w:val="18"/>
              </w:rPr>
            </w:pPr>
          </w:p>
        </w:tc>
        <w:tc>
          <w:tcPr>
            <w:tcW w:w="3716" w:type="dxa"/>
          </w:tcPr>
          <w:p>
            <w:pPr>
              <w:pStyle w:val="TableParagraph"/>
              <w:spacing w:line="249" w:lineRule="auto"/>
              <w:ind w:left="142" w:right="9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c>
          <w:tcPr>
            <w:tcW w:w="1088" w:type="dxa"/>
          </w:tcPr>
          <w:p>
            <w:pPr>
              <w:pStyle w:val="TableParagraph"/>
              <w:rPr>
                <w:sz w:val="18"/>
              </w:rPr>
            </w:pPr>
          </w:p>
        </w:tc>
      </w:tr>
      <w:tr>
        <w:trPr>
          <w:trHeight w:val="1920" w:hRule="atLeast"/>
        </w:trPr>
        <w:tc>
          <w:tcPr>
            <w:tcW w:w="472" w:type="dxa"/>
          </w:tcPr>
          <w:p>
            <w:pPr>
              <w:pStyle w:val="TableParagraph"/>
              <w:spacing w:before="120"/>
              <w:ind w:left="50"/>
              <w:rPr>
                <w:sz w:val="20"/>
              </w:rPr>
            </w:pPr>
            <w:r>
              <w:rPr>
                <w:spacing w:val="-5"/>
                <w:sz w:val="20"/>
              </w:rPr>
              <w:t>21.</w:t>
            </w:r>
          </w:p>
        </w:tc>
        <w:tc>
          <w:tcPr>
            <w:tcW w:w="3385" w:type="dxa"/>
          </w:tcPr>
          <w:p>
            <w:pPr>
              <w:pStyle w:val="TableParagraph"/>
              <w:spacing w:line="249" w:lineRule="auto" w:before="120"/>
              <w:ind w:left="168" w:right="454"/>
              <w:rPr>
                <w:sz w:val="20"/>
              </w:rPr>
            </w:pPr>
            <w:r>
              <w:rPr>
                <w:spacing w:val="-2"/>
                <w:sz w:val="20"/>
              </w:rPr>
              <w:t>Высокоинтенсивная </w:t>
            </w:r>
            <w:r>
              <w:rPr>
                <w:sz w:val="20"/>
              </w:rPr>
              <w:t>фокусированная</w:t>
            </w:r>
            <w:r>
              <w:rPr>
                <w:spacing w:val="-13"/>
                <w:sz w:val="20"/>
              </w:rPr>
              <w:t> </w:t>
            </w:r>
            <w:r>
              <w:rPr>
                <w:sz w:val="20"/>
              </w:rPr>
              <w:t>ультразвуковая терапия (HIFU) при </w:t>
            </w:r>
            <w:r>
              <w:rPr>
                <w:spacing w:val="-2"/>
                <w:sz w:val="20"/>
              </w:rPr>
              <w:t>злокачественных </w:t>
            </w:r>
            <w:r>
              <w:rPr>
                <w:sz w:val="20"/>
              </w:rPr>
              <w:t>новообразованиях, в том числе у детей</w:t>
            </w:r>
          </w:p>
        </w:tc>
        <w:tc>
          <w:tcPr>
            <w:tcW w:w="1338" w:type="dxa"/>
          </w:tcPr>
          <w:p>
            <w:pPr>
              <w:pStyle w:val="TableParagraph"/>
              <w:spacing w:before="120"/>
              <w:ind w:left="225" w:right="320"/>
              <w:jc w:val="center"/>
              <w:rPr>
                <w:sz w:val="20"/>
              </w:rPr>
            </w:pPr>
            <w:hyperlink r:id="rId79">
              <w:r>
                <w:rPr>
                  <w:spacing w:val="-5"/>
                  <w:sz w:val="20"/>
                </w:rPr>
                <w:t>C22</w:t>
              </w:r>
            </w:hyperlink>
          </w:p>
        </w:tc>
        <w:tc>
          <w:tcPr>
            <w:tcW w:w="3429" w:type="dxa"/>
          </w:tcPr>
          <w:p>
            <w:pPr>
              <w:pStyle w:val="TableParagraph"/>
              <w:spacing w:line="249" w:lineRule="auto" w:before="120"/>
              <w:ind w:left="330"/>
              <w:rPr>
                <w:sz w:val="20"/>
              </w:rPr>
            </w:pPr>
            <w:r>
              <w:rPr>
                <w:sz w:val="20"/>
              </w:rPr>
              <w:t>злокачественные новообразования печени</w:t>
            </w:r>
            <w:r>
              <w:rPr>
                <w:spacing w:val="-8"/>
                <w:sz w:val="20"/>
              </w:rPr>
              <w:t> </w:t>
            </w:r>
            <w:r>
              <w:rPr>
                <w:sz w:val="20"/>
              </w:rPr>
              <w:t>II</w:t>
            </w:r>
            <w:r>
              <w:rPr>
                <w:spacing w:val="-6"/>
                <w:sz w:val="20"/>
              </w:rPr>
              <w:t> </w:t>
            </w:r>
            <w:r>
              <w:rPr>
                <w:sz w:val="20"/>
              </w:rPr>
              <w:t>-</w:t>
            </w:r>
            <w:r>
              <w:rPr>
                <w:spacing w:val="-9"/>
                <w:sz w:val="20"/>
              </w:rPr>
              <w:t> </w:t>
            </w:r>
            <w:r>
              <w:rPr>
                <w:sz w:val="20"/>
              </w:rPr>
              <w:t>IV</w:t>
            </w:r>
            <w:r>
              <w:rPr>
                <w:spacing w:val="-7"/>
                <w:sz w:val="20"/>
              </w:rPr>
              <w:t> </w:t>
            </w:r>
            <w:r>
              <w:rPr>
                <w:sz w:val="20"/>
              </w:rPr>
              <w:t>стадия</w:t>
            </w:r>
            <w:r>
              <w:rPr>
                <w:spacing w:val="-8"/>
                <w:sz w:val="20"/>
              </w:rPr>
              <w:t> </w:t>
            </w:r>
            <w:r>
              <w:rPr>
                <w:sz w:val="20"/>
              </w:rPr>
              <w:t>(T3-4N0-1M0- 1). Пациенты с множественными опухолями печени. Пациенты с нерезектабельными опухолями.</w:t>
            </w:r>
          </w:p>
          <w:p>
            <w:pPr>
              <w:pStyle w:val="TableParagraph"/>
              <w:spacing w:line="249" w:lineRule="auto" w:before="5"/>
              <w:ind w:left="330" w:right="279"/>
              <w:rPr>
                <w:sz w:val="20"/>
              </w:rPr>
            </w:pPr>
            <w:r>
              <w:rPr>
                <w:sz w:val="20"/>
              </w:rPr>
              <w:t>Функционально</w:t>
            </w:r>
            <w:r>
              <w:rPr>
                <w:spacing w:val="-13"/>
                <w:sz w:val="20"/>
              </w:rPr>
              <w:t> </w:t>
            </w:r>
            <w:r>
              <w:rPr>
                <w:sz w:val="20"/>
              </w:rPr>
              <w:t>неоперабельные </w:t>
            </w:r>
            <w:r>
              <w:rPr>
                <w:spacing w:val="-2"/>
                <w:sz w:val="20"/>
              </w:rPr>
              <w:t>пациенты</w:t>
            </w:r>
          </w:p>
        </w:tc>
        <w:tc>
          <w:tcPr>
            <w:tcW w:w="1613" w:type="dxa"/>
          </w:tcPr>
          <w:p>
            <w:pPr>
              <w:pStyle w:val="TableParagraph"/>
              <w:spacing w:line="249" w:lineRule="auto" w:before="120"/>
              <w:ind w:left="57"/>
              <w:rPr>
                <w:sz w:val="20"/>
              </w:rPr>
            </w:pPr>
            <w:r>
              <w:rPr>
                <w:spacing w:val="-2"/>
                <w:sz w:val="20"/>
              </w:rPr>
              <w:t>терапевтическое лечение</w:t>
            </w:r>
          </w:p>
        </w:tc>
        <w:tc>
          <w:tcPr>
            <w:tcW w:w="3716" w:type="dxa"/>
          </w:tcPr>
          <w:p>
            <w:pPr>
              <w:pStyle w:val="TableParagraph"/>
              <w:spacing w:line="249" w:lineRule="auto" w:before="120"/>
              <w:ind w:left="142" w:right="96"/>
              <w:rPr>
                <w:sz w:val="20"/>
              </w:rPr>
            </w:pPr>
            <w:r>
              <w:rPr>
                <w:spacing w:val="-2"/>
                <w:sz w:val="20"/>
              </w:rPr>
              <w:t>высокоинтенсивная фокусированная </w:t>
            </w:r>
            <w:r>
              <w:rPr>
                <w:sz w:val="20"/>
              </w:rPr>
              <w:t>ультразвуковая терапия (HIFU)</w:t>
            </w:r>
          </w:p>
        </w:tc>
        <w:tc>
          <w:tcPr>
            <w:tcW w:w="1088" w:type="dxa"/>
          </w:tcPr>
          <w:p>
            <w:pPr>
              <w:pStyle w:val="TableParagraph"/>
              <w:spacing w:before="120"/>
              <w:ind w:left="436"/>
              <w:rPr>
                <w:sz w:val="20"/>
              </w:rPr>
            </w:pPr>
            <w:r>
              <w:rPr>
                <w:spacing w:val="-2"/>
                <w:sz w:val="20"/>
              </w:rPr>
              <w:t>108645</w:t>
            </w:r>
          </w:p>
        </w:tc>
      </w:tr>
      <w:tr>
        <w:trPr>
          <w:trHeight w:val="264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spacing w:before="120"/>
              <w:ind w:left="225" w:right="320"/>
              <w:jc w:val="center"/>
              <w:rPr>
                <w:sz w:val="20"/>
              </w:rPr>
            </w:pPr>
            <w:hyperlink r:id="rId129">
              <w:r>
                <w:rPr>
                  <w:spacing w:val="-5"/>
                  <w:sz w:val="20"/>
                </w:rPr>
                <w:t>C25</w:t>
              </w:r>
            </w:hyperlink>
          </w:p>
        </w:tc>
        <w:tc>
          <w:tcPr>
            <w:tcW w:w="3429" w:type="dxa"/>
          </w:tcPr>
          <w:p>
            <w:pPr>
              <w:pStyle w:val="TableParagraph"/>
              <w:spacing w:line="252" w:lineRule="auto" w:before="120"/>
              <w:ind w:left="330" w:right="131"/>
              <w:rPr>
                <w:sz w:val="20"/>
              </w:rPr>
            </w:pPr>
            <w:r>
              <w:rPr>
                <w:sz w:val="20"/>
              </w:rPr>
              <w:t>злокачественные</w:t>
            </w:r>
            <w:r>
              <w:rPr>
                <w:spacing w:val="-13"/>
                <w:sz w:val="20"/>
              </w:rPr>
              <w:t> </w:t>
            </w:r>
            <w:r>
              <w:rPr>
                <w:sz w:val="20"/>
              </w:rPr>
              <w:t>новообразования поджелудочной железы</w:t>
            </w:r>
          </w:p>
          <w:p>
            <w:pPr>
              <w:pStyle w:val="TableParagraph"/>
              <w:spacing w:line="227" w:lineRule="exact"/>
              <w:ind w:left="330"/>
              <w:rPr>
                <w:sz w:val="20"/>
              </w:rPr>
            </w:pPr>
            <w:r>
              <w:rPr>
                <w:sz w:val="20"/>
              </w:rPr>
              <w:t>II</w:t>
            </w:r>
            <w:r>
              <w:rPr>
                <w:spacing w:val="-4"/>
                <w:sz w:val="20"/>
              </w:rPr>
              <w:t> </w:t>
            </w:r>
            <w:r>
              <w:rPr>
                <w:sz w:val="20"/>
              </w:rPr>
              <w:t>-</w:t>
            </w:r>
            <w:r>
              <w:rPr>
                <w:spacing w:val="-7"/>
                <w:sz w:val="20"/>
              </w:rPr>
              <w:t> </w:t>
            </w:r>
            <w:r>
              <w:rPr>
                <w:sz w:val="20"/>
              </w:rPr>
              <w:t>IV</w:t>
            </w:r>
            <w:r>
              <w:rPr>
                <w:spacing w:val="-5"/>
                <w:sz w:val="20"/>
              </w:rPr>
              <w:t> </w:t>
            </w:r>
            <w:r>
              <w:rPr>
                <w:sz w:val="20"/>
              </w:rPr>
              <w:t>стадия</w:t>
            </w:r>
            <w:r>
              <w:rPr>
                <w:spacing w:val="-5"/>
                <w:sz w:val="20"/>
              </w:rPr>
              <w:t> </w:t>
            </w:r>
            <w:r>
              <w:rPr>
                <w:sz w:val="20"/>
              </w:rPr>
              <w:t>(T3-4N0-1M0-</w:t>
            </w:r>
            <w:r>
              <w:rPr>
                <w:spacing w:val="-5"/>
                <w:sz w:val="20"/>
              </w:rPr>
              <w:t>1).</w:t>
            </w:r>
          </w:p>
          <w:p>
            <w:pPr>
              <w:pStyle w:val="TableParagraph"/>
              <w:spacing w:line="249" w:lineRule="auto" w:before="10"/>
              <w:ind w:left="330" w:right="224"/>
              <w:rPr>
                <w:sz w:val="20"/>
              </w:rPr>
            </w:pPr>
            <w:r>
              <w:rPr>
                <w:sz w:val="20"/>
              </w:rPr>
              <w:t>Пациенты</w:t>
            </w:r>
            <w:r>
              <w:rPr>
                <w:spacing w:val="-13"/>
                <w:sz w:val="20"/>
              </w:rPr>
              <w:t> </w:t>
            </w:r>
            <w:r>
              <w:rPr>
                <w:sz w:val="20"/>
              </w:rPr>
              <w:t>с</w:t>
            </w:r>
            <w:r>
              <w:rPr>
                <w:spacing w:val="-12"/>
                <w:sz w:val="20"/>
              </w:rPr>
              <w:t> </w:t>
            </w:r>
            <w:r>
              <w:rPr>
                <w:sz w:val="20"/>
              </w:rPr>
              <w:t>нерезектабельными</w:t>
            </w:r>
            <w:r>
              <w:rPr>
                <w:spacing w:val="-13"/>
                <w:sz w:val="20"/>
              </w:rPr>
              <w:t> </w:t>
            </w:r>
            <w:r>
              <w:rPr>
                <w:sz w:val="20"/>
              </w:rPr>
              <w:t>и условно резектабельными опухолями. Пациенты с генерализованными опухолями</w:t>
            </w:r>
            <w:r>
              <w:rPr>
                <w:spacing w:val="40"/>
                <w:sz w:val="20"/>
              </w:rPr>
              <w:t> </w:t>
            </w:r>
            <w:r>
              <w:rPr>
                <w:sz w:val="20"/>
              </w:rPr>
              <w:t>(в</w:t>
            </w:r>
            <w:r>
              <w:rPr>
                <w:spacing w:val="-7"/>
                <w:sz w:val="20"/>
              </w:rPr>
              <w:t> </w:t>
            </w:r>
            <w:r>
              <w:rPr>
                <w:sz w:val="20"/>
              </w:rPr>
              <w:t>плане</w:t>
            </w:r>
            <w:r>
              <w:rPr>
                <w:spacing w:val="-7"/>
                <w:sz w:val="20"/>
              </w:rPr>
              <w:t> </w:t>
            </w:r>
            <w:r>
              <w:rPr>
                <w:sz w:val="20"/>
              </w:rPr>
              <w:t>паллиативного</w:t>
            </w:r>
            <w:r>
              <w:rPr>
                <w:spacing w:val="-6"/>
                <w:sz w:val="20"/>
              </w:rPr>
              <w:t> </w:t>
            </w:r>
            <w:r>
              <w:rPr>
                <w:sz w:val="20"/>
              </w:rPr>
              <w:t>лечения). Функционально неоперабельные </w:t>
            </w:r>
            <w:r>
              <w:rPr>
                <w:spacing w:val="-2"/>
                <w:sz w:val="20"/>
              </w:rPr>
              <w:t>пациенты</w:t>
            </w:r>
          </w:p>
        </w:tc>
        <w:tc>
          <w:tcPr>
            <w:tcW w:w="1613" w:type="dxa"/>
          </w:tcPr>
          <w:p>
            <w:pPr>
              <w:pStyle w:val="TableParagraph"/>
              <w:spacing w:line="252" w:lineRule="auto" w:before="120"/>
              <w:ind w:left="57"/>
              <w:rPr>
                <w:sz w:val="20"/>
              </w:rPr>
            </w:pPr>
            <w:r>
              <w:rPr>
                <w:spacing w:val="-2"/>
                <w:sz w:val="20"/>
              </w:rPr>
              <w:t>терапевтическое лечение</w:t>
            </w:r>
          </w:p>
        </w:tc>
        <w:tc>
          <w:tcPr>
            <w:tcW w:w="3716" w:type="dxa"/>
          </w:tcPr>
          <w:p>
            <w:pPr>
              <w:pStyle w:val="TableParagraph"/>
              <w:spacing w:line="249" w:lineRule="auto" w:before="120"/>
              <w:ind w:left="142" w:right="96"/>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поджелудочной железы</w:t>
            </w:r>
          </w:p>
        </w:tc>
        <w:tc>
          <w:tcPr>
            <w:tcW w:w="1088" w:type="dxa"/>
          </w:tcPr>
          <w:p>
            <w:pPr>
              <w:pStyle w:val="TableParagraph"/>
              <w:rPr>
                <w:sz w:val="18"/>
              </w:rPr>
            </w:pPr>
          </w:p>
        </w:tc>
      </w:tr>
      <w:tr>
        <w:trPr>
          <w:trHeight w:val="120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spacing w:before="120"/>
              <w:ind w:left="227" w:right="320"/>
              <w:jc w:val="center"/>
              <w:rPr>
                <w:sz w:val="20"/>
              </w:rPr>
            </w:pPr>
            <w:hyperlink r:id="rId130">
              <w:r>
                <w:rPr>
                  <w:sz w:val="20"/>
                </w:rPr>
                <w:t>C40,</w:t>
              </w:r>
              <w:r>
                <w:rPr>
                  <w:spacing w:val="-2"/>
                  <w:sz w:val="20"/>
                </w:rPr>
                <w:t> </w:t>
              </w:r>
            </w:hyperlink>
            <w:hyperlink r:id="rId131">
              <w:r>
                <w:rPr>
                  <w:spacing w:val="-5"/>
                  <w:sz w:val="20"/>
                </w:rPr>
                <w:t>C41</w:t>
              </w:r>
            </w:hyperlink>
          </w:p>
        </w:tc>
        <w:tc>
          <w:tcPr>
            <w:tcW w:w="3429" w:type="dxa"/>
          </w:tcPr>
          <w:p>
            <w:pPr>
              <w:pStyle w:val="TableParagraph"/>
              <w:spacing w:before="120"/>
              <w:ind w:left="330"/>
              <w:rPr>
                <w:sz w:val="20"/>
              </w:rPr>
            </w:pPr>
            <w:r>
              <w:rPr>
                <w:sz w:val="20"/>
              </w:rPr>
              <w:t>метастатическое</w:t>
            </w:r>
            <w:r>
              <w:rPr>
                <w:spacing w:val="-13"/>
                <w:sz w:val="20"/>
              </w:rPr>
              <w:t> </w:t>
            </w:r>
            <w:r>
              <w:rPr>
                <w:sz w:val="20"/>
              </w:rPr>
              <w:t>поражение</w:t>
            </w:r>
            <w:r>
              <w:rPr>
                <w:spacing w:val="-10"/>
                <w:sz w:val="20"/>
              </w:rPr>
              <w:t> </w:t>
            </w:r>
            <w:r>
              <w:rPr>
                <w:spacing w:val="-2"/>
                <w:sz w:val="20"/>
              </w:rPr>
              <w:t>костей</w:t>
            </w:r>
          </w:p>
        </w:tc>
        <w:tc>
          <w:tcPr>
            <w:tcW w:w="1613" w:type="dxa"/>
          </w:tcPr>
          <w:p>
            <w:pPr>
              <w:pStyle w:val="TableParagraph"/>
              <w:spacing w:line="252" w:lineRule="auto" w:before="120"/>
              <w:ind w:left="57"/>
              <w:rPr>
                <w:sz w:val="20"/>
              </w:rPr>
            </w:pPr>
            <w:r>
              <w:rPr>
                <w:spacing w:val="-2"/>
                <w:sz w:val="20"/>
              </w:rPr>
              <w:t>терапевтическое лечение</w:t>
            </w:r>
          </w:p>
        </w:tc>
        <w:tc>
          <w:tcPr>
            <w:tcW w:w="3716" w:type="dxa"/>
          </w:tcPr>
          <w:p>
            <w:pPr>
              <w:pStyle w:val="TableParagraph"/>
              <w:spacing w:line="249" w:lineRule="auto" w:before="120"/>
              <w:ind w:left="142" w:right="96"/>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w:t>
            </w:r>
            <w:r>
              <w:rPr>
                <w:spacing w:val="-2"/>
                <w:sz w:val="20"/>
              </w:rPr>
              <w:t>костей</w:t>
            </w:r>
          </w:p>
        </w:tc>
        <w:tc>
          <w:tcPr>
            <w:tcW w:w="1088" w:type="dxa"/>
          </w:tcPr>
          <w:p>
            <w:pPr>
              <w:pStyle w:val="TableParagraph"/>
              <w:rPr>
                <w:sz w:val="18"/>
              </w:rPr>
            </w:pPr>
          </w:p>
        </w:tc>
      </w:tr>
      <w:tr>
        <w:trPr>
          <w:trHeight w:val="107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spacing w:before="120"/>
              <w:ind w:left="227" w:right="320"/>
              <w:jc w:val="center"/>
              <w:rPr>
                <w:sz w:val="20"/>
              </w:rPr>
            </w:pPr>
            <w:hyperlink r:id="rId105">
              <w:r>
                <w:rPr>
                  <w:sz w:val="20"/>
                </w:rPr>
                <w:t>C48,</w:t>
              </w:r>
              <w:r>
                <w:rPr>
                  <w:spacing w:val="-2"/>
                  <w:sz w:val="20"/>
                </w:rPr>
                <w:t> </w:t>
              </w:r>
            </w:hyperlink>
            <w:hyperlink r:id="rId68">
              <w:r>
                <w:rPr>
                  <w:spacing w:val="-5"/>
                  <w:sz w:val="20"/>
                </w:rPr>
                <w:t>C49</w:t>
              </w:r>
            </w:hyperlink>
          </w:p>
        </w:tc>
        <w:tc>
          <w:tcPr>
            <w:tcW w:w="3429" w:type="dxa"/>
          </w:tcPr>
          <w:p>
            <w:pPr>
              <w:pStyle w:val="TableParagraph"/>
              <w:spacing w:line="249" w:lineRule="auto" w:before="120"/>
              <w:ind w:left="330" w:right="131"/>
              <w:rPr>
                <w:sz w:val="20"/>
              </w:rPr>
            </w:pPr>
            <w:r>
              <w:rPr>
                <w:sz w:val="20"/>
              </w:rPr>
              <w:t>злокачественные</w:t>
            </w:r>
            <w:r>
              <w:rPr>
                <w:spacing w:val="-13"/>
                <w:sz w:val="20"/>
              </w:rPr>
              <w:t> </w:t>
            </w:r>
            <w:r>
              <w:rPr>
                <w:sz w:val="20"/>
              </w:rPr>
              <w:t>новообразования забрюшинного пространства</w:t>
            </w:r>
          </w:p>
          <w:p>
            <w:pPr>
              <w:pStyle w:val="TableParagraph"/>
              <w:spacing w:before="2"/>
              <w:ind w:left="330"/>
              <w:rPr>
                <w:sz w:val="20"/>
              </w:rPr>
            </w:pPr>
            <w:r>
              <w:rPr>
                <w:sz w:val="20"/>
              </w:rPr>
              <w:t>I</w:t>
            </w:r>
            <w:r>
              <w:rPr>
                <w:spacing w:val="-5"/>
                <w:sz w:val="20"/>
              </w:rPr>
              <w:t> </w:t>
            </w:r>
            <w:r>
              <w:rPr>
                <w:sz w:val="20"/>
              </w:rPr>
              <w:t>-</w:t>
            </w:r>
            <w:r>
              <w:rPr>
                <w:spacing w:val="-8"/>
                <w:sz w:val="20"/>
              </w:rPr>
              <w:t> </w:t>
            </w:r>
            <w:r>
              <w:rPr>
                <w:sz w:val="20"/>
              </w:rPr>
              <w:t>IV</w:t>
            </w:r>
            <w:r>
              <w:rPr>
                <w:spacing w:val="-6"/>
                <w:sz w:val="20"/>
              </w:rPr>
              <w:t> </w:t>
            </w:r>
            <w:r>
              <w:rPr>
                <w:sz w:val="20"/>
              </w:rPr>
              <w:t>стадия</w:t>
            </w:r>
            <w:r>
              <w:rPr>
                <w:spacing w:val="-7"/>
                <w:sz w:val="20"/>
              </w:rPr>
              <w:t> </w:t>
            </w:r>
            <w:r>
              <w:rPr>
                <w:sz w:val="20"/>
              </w:rPr>
              <w:t>(G1-3T1-2N0-1M0-</w:t>
            </w:r>
            <w:r>
              <w:rPr>
                <w:spacing w:val="-5"/>
                <w:sz w:val="20"/>
              </w:rPr>
              <w:t>1).</w:t>
            </w:r>
          </w:p>
          <w:p>
            <w:pPr>
              <w:pStyle w:val="TableParagraph"/>
              <w:spacing w:line="210" w:lineRule="exact" w:before="10"/>
              <w:ind w:left="330"/>
              <w:rPr>
                <w:sz w:val="20"/>
              </w:rPr>
            </w:pPr>
            <w:r>
              <w:rPr>
                <w:sz w:val="20"/>
              </w:rPr>
              <w:t>Пациенты</w:t>
            </w:r>
            <w:r>
              <w:rPr>
                <w:spacing w:val="-8"/>
                <w:sz w:val="20"/>
              </w:rPr>
              <w:t> </w:t>
            </w:r>
            <w:r>
              <w:rPr>
                <w:sz w:val="20"/>
              </w:rPr>
              <w:t>с</w:t>
            </w:r>
            <w:r>
              <w:rPr>
                <w:spacing w:val="-8"/>
                <w:sz w:val="20"/>
              </w:rPr>
              <w:t> </w:t>
            </w:r>
            <w:r>
              <w:rPr>
                <w:spacing w:val="-2"/>
                <w:sz w:val="20"/>
              </w:rPr>
              <w:t>множественными</w:t>
            </w:r>
          </w:p>
        </w:tc>
        <w:tc>
          <w:tcPr>
            <w:tcW w:w="1613" w:type="dxa"/>
          </w:tcPr>
          <w:p>
            <w:pPr>
              <w:pStyle w:val="TableParagraph"/>
              <w:spacing w:line="249" w:lineRule="auto" w:before="120"/>
              <w:ind w:left="57"/>
              <w:rPr>
                <w:sz w:val="20"/>
              </w:rPr>
            </w:pPr>
            <w:r>
              <w:rPr>
                <w:spacing w:val="-2"/>
                <w:sz w:val="20"/>
              </w:rPr>
              <w:t>терапевтическое лечение</w:t>
            </w:r>
          </w:p>
        </w:tc>
        <w:tc>
          <w:tcPr>
            <w:tcW w:w="3716" w:type="dxa"/>
          </w:tcPr>
          <w:p>
            <w:pPr>
              <w:pStyle w:val="TableParagraph"/>
              <w:spacing w:line="240" w:lineRule="atLeast" w:before="90"/>
              <w:ind w:left="142" w:right="96"/>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забрюшинного пространства</w:t>
            </w:r>
          </w:p>
        </w:tc>
        <w:tc>
          <w:tcPr>
            <w:tcW w:w="108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9"/>
        <w:gridCol w:w="1968"/>
        <w:gridCol w:w="3150"/>
        <w:gridCol w:w="1631"/>
        <w:gridCol w:w="3794"/>
        <w:gridCol w:w="1013"/>
      </w:tblGrid>
      <w:tr>
        <w:trPr>
          <w:trHeight w:val="590" w:hRule="atLeast"/>
        </w:trPr>
        <w:tc>
          <w:tcPr>
            <w:tcW w:w="472" w:type="dxa"/>
          </w:tcPr>
          <w:p>
            <w:pPr>
              <w:pStyle w:val="TableParagraph"/>
              <w:rPr>
                <w:sz w:val="18"/>
              </w:rPr>
            </w:pPr>
          </w:p>
        </w:tc>
        <w:tc>
          <w:tcPr>
            <w:tcW w:w="3019" w:type="dxa"/>
          </w:tcPr>
          <w:p>
            <w:pPr>
              <w:pStyle w:val="TableParagraph"/>
              <w:rPr>
                <w:sz w:val="18"/>
              </w:rPr>
            </w:pPr>
          </w:p>
        </w:tc>
        <w:tc>
          <w:tcPr>
            <w:tcW w:w="1968" w:type="dxa"/>
          </w:tcPr>
          <w:p>
            <w:pPr>
              <w:pStyle w:val="TableParagraph"/>
              <w:rPr>
                <w:sz w:val="18"/>
              </w:rPr>
            </w:pPr>
          </w:p>
        </w:tc>
        <w:tc>
          <w:tcPr>
            <w:tcW w:w="3150" w:type="dxa"/>
          </w:tcPr>
          <w:p>
            <w:pPr>
              <w:pStyle w:val="TableParagraph"/>
              <w:spacing w:line="249" w:lineRule="auto"/>
              <w:ind w:left="66" w:right="76"/>
              <w:rPr>
                <w:sz w:val="20"/>
              </w:rPr>
            </w:pPr>
            <w:r>
              <w:rPr>
                <w:spacing w:val="-2"/>
                <w:sz w:val="20"/>
              </w:rPr>
              <w:t>опухолями. Функционально </w:t>
            </w:r>
            <w:r>
              <w:rPr>
                <w:sz w:val="20"/>
              </w:rPr>
              <w:t>неоперабельные пациенты</w:t>
            </w:r>
          </w:p>
        </w:tc>
        <w:tc>
          <w:tcPr>
            <w:tcW w:w="1631" w:type="dxa"/>
          </w:tcPr>
          <w:p>
            <w:pPr>
              <w:pStyle w:val="TableParagraph"/>
              <w:rPr>
                <w:sz w:val="18"/>
              </w:rPr>
            </w:pPr>
          </w:p>
        </w:tc>
        <w:tc>
          <w:tcPr>
            <w:tcW w:w="3794" w:type="dxa"/>
          </w:tcPr>
          <w:p>
            <w:pPr>
              <w:pStyle w:val="TableParagraph"/>
              <w:rPr>
                <w:sz w:val="18"/>
              </w:rPr>
            </w:pPr>
          </w:p>
        </w:tc>
        <w:tc>
          <w:tcPr>
            <w:tcW w:w="1013" w:type="dxa"/>
          </w:tcPr>
          <w:p>
            <w:pPr>
              <w:pStyle w:val="TableParagraph"/>
              <w:rPr>
                <w:sz w:val="18"/>
              </w:rPr>
            </w:pPr>
          </w:p>
        </w:tc>
      </w:tr>
      <w:tr>
        <w:trPr>
          <w:trHeight w:val="1920" w:hRule="atLeast"/>
        </w:trPr>
        <w:tc>
          <w:tcPr>
            <w:tcW w:w="472" w:type="dxa"/>
          </w:tcPr>
          <w:p>
            <w:pPr>
              <w:pStyle w:val="TableParagraph"/>
              <w:rPr>
                <w:sz w:val="18"/>
              </w:rPr>
            </w:pPr>
          </w:p>
        </w:tc>
        <w:tc>
          <w:tcPr>
            <w:tcW w:w="3019" w:type="dxa"/>
          </w:tcPr>
          <w:p>
            <w:pPr>
              <w:pStyle w:val="TableParagraph"/>
              <w:rPr>
                <w:sz w:val="18"/>
              </w:rPr>
            </w:pPr>
          </w:p>
        </w:tc>
        <w:tc>
          <w:tcPr>
            <w:tcW w:w="1968" w:type="dxa"/>
          </w:tcPr>
          <w:p>
            <w:pPr>
              <w:pStyle w:val="TableParagraph"/>
              <w:spacing w:before="120"/>
              <w:ind w:left="70" w:right="64"/>
              <w:jc w:val="center"/>
              <w:rPr>
                <w:sz w:val="20"/>
              </w:rPr>
            </w:pPr>
            <w:hyperlink r:id="rId115">
              <w:r>
                <w:rPr>
                  <w:sz w:val="20"/>
                </w:rPr>
                <w:t>C50,</w:t>
              </w:r>
              <w:r>
                <w:rPr>
                  <w:spacing w:val="-2"/>
                  <w:sz w:val="20"/>
                </w:rPr>
                <w:t> </w:t>
              </w:r>
            </w:hyperlink>
            <w:hyperlink r:id="rId124">
              <w:r>
                <w:rPr>
                  <w:sz w:val="20"/>
                </w:rPr>
                <w:t>C67,</w:t>
              </w:r>
              <w:r>
                <w:rPr>
                  <w:spacing w:val="-2"/>
                  <w:sz w:val="20"/>
                </w:rPr>
                <w:t> </w:t>
              </w:r>
            </w:hyperlink>
            <w:hyperlink r:id="rId125">
              <w:r>
                <w:rPr>
                  <w:sz w:val="20"/>
                </w:rPr>
                <w:t>C74,</w:t>
              </w:r>
              <w:r>
                <w:rPr>
                  <w:spacing w:val="-2"/>
                  <w:sz w:val="20"/>
                </w:rPr>
                <w:t> </w:t>
              </w:r>
            </w:hyperlink>
            <w:hyperlink r:id="rId70">
              <w:r>
                <w:rPr>
                  <w:spacing w:val="-5"/>
                  <w:sz w:val="20"/>
                </w:rPr>
                <w:t>C73</w:t>
              </w:r>
            </w:hyperlink>
          </w:p>
        </w:tc>
        <w:tc>
          <w:tcPr>
            <w:tcW w:w="3150" w:type="dxa"/>
          </w:tcPr>
          <w:p>
            <w:pPr>
              <w:pStyle w:val="TableParagraph"/>
              <w:spacing w:line="249" w:lineRule="auto" w:before="120"/>
              <w:ind w:left="66" w:right="76"/>
              <w:rPr>
                <w:sz w:val="20"/>
              </w:rPr>
            </w:pPr>
            <w:r>
              <w:rPr>
                <w:sz w:val="20"/>
              </w:rPr>
              <w:t>злокачественные</w:t>
            </w:r>
            <w:r>
              <w:rPr>
                <w:spacing w:val="-2"/>
                <w:sz w:val="20"/>
              </w:rPr>
              <w:t> </w:t>
            </w:r>
            <w:r>
              <w:rPr>
                <w:sz w:val="20"/>
              </w:rPr>
              <w:t>новообразования молочной</w:t>
            </w:r>
            <w:r>
              <w:rPr>
                <w:spacing w:val="-13"/>
                <w:sz w:val="20"/>
              </w:rPr>
              <w:t> </w:t>
            </w:r>
            <w:r>
              <w:rPr>
                <w:sz w:val="20"/>
              </w:rPr>
              <w:t>железы</w:t>
            </w:r>
            <w:r>
              <w:rPr>
                <w:spacing w:val="-12"/>
                <w:sz w:val="20"/>
              </w:rPr>
              <w:t> </w:t>
            </w:r>
            <w:r>
              <w:rPr>
                <w:sz w:val="20"/>
              </w:rPr>
              <w:t>(T2-3N0-3M0-1).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1" w:type="dxa"/>
          </w:tcPr>
          <w:p>
            <w:pPr>
              <w:pStyle w:val="TableParagraph"/>
              <w:spacing w:line="249" w:lineRule="auto" w:before="120"/>
              <w:ind w:left="72"/>
              <w:rPr>
                <w:sz w:val="20"/>
              </w:rPr>
            </w:pPr>
            <w:r>
              <w:rPr>
                <w:spacing w:val="-2"/>
                <w:sz w:val="20"/>
              </w:rPr>
              <w:t>терапевтическое лечение</w:t>
            </w:r>
          </w:p>
        </w:tc>
        <w:tc>
          <w:tcPr>
            <w:tcW w:w="3794" w:type="dxa"/>
          </w:tcPr>
          <w:p>
            <w:pPr>
              <w:pStyle w:val="TableParagraph"/>
              <w:spacing w:line="249" w:lineRule="auto" w:before="120"/>
              <w:ind w:left="139" w:right="507"/>
              <w:rPr>
                <w:sz w:val="20"/>
              </w:rPr>
            </w:pPr>
            <w:r>
              <w:rPr>
                <w:sz w:val="20"/>
              </w:rPr>
              <w:t>высокоинтенсивная</w:t>
            </w:r>
            <w:r>
              <w:rPr>
                <w:spacing w:val="-13"/>
                <w:sz w:val="20"/>
              </w:rPr>
              <w:t> </w:t>
            </w:r>
            <w:r>
              <w:rPr>
                <w:sz w:val="20"/>
              </w:rPr>
              <w:t>фокусированная ультразвуковая терапия (HIFU) при злокачественных новообразованиях молочной железы</w:t>
            </w:r>
          </w:p>
        </w:tc>
        <w:tc>
          <w:tcPr>
            <w:tcW w:w="1013" w:type="dxa"/>
          </w:tcPr>
          <w:p>
            <w:pPr>
              <w:pStyle w:val="TableParagraph"/>
              <w:rPr>
                <w:sz w:val="18"/>
              </w:rPr>
            </w:pPr>
          </w:p>
        </w:tc>
      </w:tr>
      <w:tr>
        <w:trPr>
          <w:trHeight w:val="1200" w:hRule="atLeast"/>
        </w:trPr>
        <w:tc>
          <w:tcPr>
            <w:tcW w:w="472" w:type="dxa"/>
          </w:tcPr>
          <w:p>
            <w:pPr>
              <w:pStyle w:val="TableParagraph"/>
              <w:rPr>
                <w:sz w:val="18"/>
              </w:rPr>
            </w:pPr>
          </w:p>
        </w:tc>
        <w:tc>
          <w:tcPr>
            <w:tcW w:w="3019" w:type="dxa"/>
          </w:tcPr>
          <w:p>
            <w:pPr>
              <w:pStyle w:val="TableParagraph"/>
              <w:rPr>
                <w:sz w:val="18"/>
              </w:rPr>
            </w:pPr>
          </w:p>
        </w:tc>
        <w:tc>
          <w:tcPr>
            <w:tcW w:w="1968" w:type="dxa"/>
          </w:tcPr>
          <w:p>
            <w:pPr>
              <w:pStyle w:val="TableParagraph"/>
              <w:spacing w:before="120"/>
              <w:ind w:left="68" w:right="64"/>
              <w:jc w:val="center"/>
              <w:rPr>
                <w:sz w:val="20"/>
              </w:rPr>
            </w:pPr>
            <w:hyperlink r:id="rId121">
              <w:r>
                <w:rPr>
                  <w:spacing w:val="-5"/>
                  <w:sz w:val="20"/>
                </w:rPr>
                <w:t>C61</w:t>
              </w:r>
            </w:hyperlink>
          </w:p>
        </w:tc>
        <w:tc>
          <w:tcPr>
            <w:tcW w:w="3150" w:type="dxa"/>
          </w:tcPr>
          <w:p>
            <w:pPr>
              <w:pStyle w:val="TableParagraph"/>
              <w:spacing w:line="249" w:lineRule="auto" w:before="120"/>
              <w:ind w:left="66" w:right="194"/>
              <w:jc w:val="both"/>
              <w:rPr>
                <w:sz w:val="20"/>
              </w:rPr>
            </w:pPr>
            <w:r>
              <w:rPr>
                <w:spacing w:val="-2"/>
                <w:sz w:val="20"/>
              </w:rPr>
              <w:t>локализованные злокачественные </w:t>
            </w:r>
            <w:r>
              <w:rPr>
                <w:sz w:val="20"/>
              </w:rPr>
              <w:t>новообразования</w:t>
            </w:r>
            <w:r>
              <w:rPr>
                <w:spacing w:val="-5"/>
                <w:sz w:val="20"/>
              </w:rPr>
              <w:t> </w:t>
            </w:r>
            <w:r>
              <w:rPr>
                <w:sz w:val="20"/>
              </w:rPr>
              <w:t>предстательной железы I -</w:t>
            </w:r>
            <w:r>
              <w:rPr>
                <w:spacing w:val="-1"/>
                <w:sz w:val="20"/>
              </w:rPr>
              <w:t> </w:t>
            </w:r>
            <w:r>
              <w:rPr>
                <w:sz w:val="20"/>
              </w:rPr>
              <w:t>II стадия (T1-2cN0M0)</w:t>
            </w:r>
          </w:p>
        </w:tc>
        <w:tc>
          <w:tcPr>
            <w:tcW w:w="1631" w:type="dxa"/>
          </w:tcPr>
          <w:p>
            <w:pPr>
              <w:pStyle w:val="TableParagraph"/>
              <w:spacing w:line="249" w:lineRule="auto" w:before="120"/>
              <w:ind w:left="72"/>
              <w:rPr>
                <w:sz w:val="20"/>
              </w:rPr>
            </w:pPr>
            <w:r>
              <w:rPr>
                <w:spacing w:val="-2"/>
                <w:sz w:val="20"/>
              </w:rPr>
              <w:t>терапевтическое лечение</w:t>
            </w:r>
          </w:p>
        </w:tc>
        <w:tc>
          <w:tcPr>
            <w:tcW w:w="3794" w:type="dxa"/>
          </w:tcPr>
          <w:p>
            <w:pPr>
              <w:pStyle w:val="TableParagraph"/>
              <w:spacing w:line="249" w:lineRule="auto" w:before="120"/>
              <w:ind w:left="139" w:right="507"/>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w:t>
            </w:r>
            <w:r>
              <w:rPr>
                <w:spacing w:val="-2"/>
                <w:sz w:val="20"/>
              </w:rPr>
              <w:t>простаты</w:t>
            </w:r>
          </w:p>
        </w:tc>
        <w:tc>
          <w:tcPr>
            <w:tcW w:w="1013"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22.</w:t>
            </w:r>
          </w:p>
        </w:tc>
        <w:tc>
          <w:tcPr>
            <w:tcW w:w="3019" w:type="dxa"/>
          </w:tcPr>
          <w:p>
            <w:pPr>
              <w:pStyle w:val="TableParagraph"/>
              <w:spacing w:line="220" w:lineRule="exact" w:before="120"/>
              <w:ind w:left="168"/>
              <w:rPr>
                <w:sz w:val="20"/>
              </w:rPr>
            </w:pPr>
            <w:r>
              <w:rPr>
                <w:sz w:val="20"/>
              </w:rPr>
              <w:t>Комплексная</w:t>
            </w:r>
            <w:r>
              <w:rPr>
                <w:spacing w:val="-8"/>
                <w:sz w:val="20"/>
              </w:rPr>
              <w:t> </w:t>
            </w:r>
            <w:r>
              <w:rPr>
                <w:sz w:val="20"/>
              </w:rPr>
              <w:t>и</w:t>
            </w:r>
            <w:r>
              <w:rPr>
                <w:spacing w:val="-7"/>
                <w:sz w:val="20"/>
              </w:rPr>
              <w:t> </w:t>
            </w:r>
            <w:r>
              <w:rPr>
                <w:spacing w:val="-2"/>
                <w:sz w:val="20"/>
              </w:rPr>
              <w:t>высокодозная</w:t>
            </w:r>
          </w:p>
        </w:tc>
        <w:tc>
          <w:tcPr>
            <w:tcW w:w="1968" w:type="dxa"/>
          </w:tcPr>
          <w:p>
            <w:pPr>
              <w:pStyle w:val="TableParagraph"/>
              <w:spacing w:line="220" w:lineRule="exact" w:before="120"/>
              <w:ind w:left="70" w:right="64"/>
              <w:jc w:val="center"/>
              <w:rPr>
                <w:sz w:val="20"/>
              </w:rPr>
            </w:pPr>
            <w:hyperlink r:id="rId132">
              <w:r>
                <w:rPr>
                  <w:sz w:val="20"/>
                </w:rPr>
                <w:t>C81</w:t>
              </w:r>
              <w:r>
                <w:rPr>
                  <w:spacing w:val="-1"/>
                  <w:sz w:val="20"/>
                </w:rPr>
                <w:t> </w:t>
              </w:r>
            </w:hyperlink>
            <w:r>
              <w:rPr>
                <w:sz w:val="20"/>
              </w:rPr>
              <w:t>-</w:t>
            </w:r>
            <w:r>
              <w:rPr>
                <w:spacing w:val="-4"/>
                <w:sz w:val="20"/>
              </w:rPr>
              <w:t> </w:t>
            </w:r>
            <w:hyperlink r:id="rId133">
              <w:r>
                <w:rPr>
                  <w:sz w:val="20"/>
                </w:rPr>
                <w:t>C90,</w:t>
              </w:r>
              <w:r>
                <w:rPr>
                  <w:spacing w:val="-1"/>
                  <w:sz w:val="20"/>
                </w:rPr>
                <w:t> </w:t>
              </w:r>
            </w:hyperlink>
            <w:hyperlink r:id="rId134">
              <w:r>
                <w:rPr>
                  <w:spacing w:val="-2"/>
                  <w:sz w:val="20"/>
                </w:rPr>
                <w:t>C91.0,</w:t>
              </w:r>
            </w:hyperlink>
          </w:p>
        </w:tc>
        <w:tc>
          <w:tcPr>
            <w:tcW w:w="3150" w:type="dxa"/>
          </w:tcPr>
          <w:p>
            <w:pPr>
              <w:pStyle w:val="TableParagraph"/>
              <w:spacing w:line="220" w:lineRule="exact" w:before="120"/>
              <w:ind w:left="66"/>
              <w:rPr>
                <w:sz w:val="20"/>
              </w:rPr>
            </w:pPr>
            <w:r>
              <w:rPr>
                <w:sz w:val="20"/>
              </w:rPr>
              <w:t>острые</w:t>
            </w:r>
            <w:r>
              <w:rPr>
                <w:spacing w:val="-5"/>
                <w:sz w:val="20"/>
              </w:rPr>
              <w:t> </w:t>
            </w:r>
            <w:r>
              <w:rPr>
                <w:spacing w:val="-2"/>
                <w:sz w:val="20"/>
              </w:rPr>
              <w:t>лейкозы,</w:t>
            </w:r>
          </w:p>
        </w:tc>
        <w:tc>
          <w:tcPr>
            <w:tcW w:w="1631" w:type="dxa"/>
          </w:tcPr>
          <w:p>
            <w:pPr>
              <w:pStyle w:val="TableParagraph"/>
              <w:spacing w:line="220" w:lineRule="exact" w:before="120"/>
              <w:ind w:left="72"/>
              <w:rPr>
                <w:sz w:val="20"/>
              </w:rPr>
            </w:pPr>
            <w:r>
              <w:rPr>
                <w:spacing w:val="-2"/>
                <w:sz w:val="20"/>
              </w:rPr>
              <w:t>терапевтическое</w:t>
            </w:r>
          </w:p>
        </w:tc>
        <w:tc>
          <w:tcPr>
            <w:tcW w:w="3794" w:type="dxa"/>
          </w:tcPr>
          <w:p>
            <w:pPr>
              <w:pStyle w:val="TableParagraph"/>
              <w:spacing w:line="220" w:lineRule="exact" w:before="120"/>
              <w:ind w:left="139"/>
              <w:rPr>
                <w:sz w:val="20"/>
              </w:rPr>
            </w:pPr>
            <w:r>
              <w:rPr>
                <w:sz w:val="20"/>
              </w:rPr>
              <w:t>комплексная</w:t>
            </w:r>
            <w:r>
              <w:rPr>
                <w:spacing w:val="-9"/>
                <w:sz w:val="20"/>
              </w:rPr>
              <w:t> </w:t>
            </w:r>
            <w:r>
              <w:rPr>
                <w:sz w:val="20"/>
              </w:rPr>
              <w:t>терапия</w:t>
            </w:r>
            <w:r>
              <w:rPr>
                <w:spacing w:val="-11"/>
                <w:sz w:val="20"/>
              </w:rPr>
              <w:t> </w:t>
            </w:r>
            <w:r>
              <w:rPr>
                <w:spacing w:val="-2"/>
                <w:sz w:val="20"/>
              </w:rPr>
              <w:t>таргетными</w:t>
            </w:r>
          </w:p>
        </w:tc>
        <w:tc>
          <w:tcPr>
            <w:tcW w:w="1013" w:type="dxa"/>
          </w:tcPr>
          <w:p>
            <w:pPr>
              <w:pStyle w:val="TableParagraph"/>
              <w:spacing w:line="220" w:lineRule="exact" w:before="120"/>
              <w:ind w:left="356"/>
              <w:rPr>
                <w:sz w:val="20"/>
              </w:rPr>
            </w:pPr>
            <w:r>
              <w:rPr>
                <w:spacing w:val="-2"/>
                <w:sz w:val="20"/>
              </w:rPr>
              <w:t>147967</w:t>
            </w: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химиотерапия</w:t>
            </w:r>
            <w:r>
              <w:rPr>
                <w:spacing w:val="44"/>
                <w:sz w:val="20"/>
              </w:rPr>
              <w:t> </w:t>
            </w:r>
            <w:r>
              <w:rPr>
                <w:spacing w:val="-2"/>
                <w:sz w:val="20"/>
              </w:rPr>
              <w:t>(включая</w:t>
            </w:r>
          </w:p>
        </w:tc>
        <w:tc>
          <w:tcPr>
            <w:tcW w:w="1968" w:type="dxa"/>
          </w:tcPr>
          <w:p>
            <w:pPr>
              <w:pStyle w:val="TableParagraph"/>
              <w:spacing w:line="220" w:lineRule="exact"/>
              <w:ind w:left="68" w:right="64"/>
              <w:jc w:val="center"/>
              <w:rPr>
                <w:sz w:val="20"/>
              </w:rPr>
            </w:pPr>
            <w:hyperlink r:id="rId135">
              <w:r>
                <w:rPr>
                  <w:sz w:val="20"/>
                </w:rPr>
                <w:t>C91.5</w:t>
              </w:r>
              <w:r>
                <w:rPr>
                  <w:spacing w:val="-1"/>
                  <w:sz w:val="20"/>
                </w:rPr>
                <w:t> </w:t>
              </w:r>
            </w:hyperlink>
            <w:r>
              <w:rPr>
                <w:sz w:val="20"/>
              </w:rPr>
              <w:t>-</w:t>
            </w:r>
            <w:r>
              <w:rPr>
                <w:spacing w:val="-5"/>
                <w:sz w:val="20"/>
              </w:rPr>
              <w:t> </w:t>
            </w:r>
            <w:hyperlink r:id="rId136">
              <w:r>
                <w:rPr>
                  <w:sz w:val="20"/>
                </w:rPr>
                <w:t>C91.9,</w:t>
              </w:r>
              <w:r>
                <w:rPr>
                  <w:spacing w:val="-1"/>
                  <w:sz w:val="20"/>
                </w:rPr>
                <w:t> </w:t>
              </w:r>
            </w:hyperlink>
            <w:hyperlink r:id="rId137">
              <w:r>
                <w:rPr>
                  <w:spacing w:val="-4"/>
                  <w:sz w:val="20"/>
                </w:rPr>
                <w:t>C92,</w:t>
              </w:r>
            </w:hyperlink>
          </w:p>
        </w:tc>
        <w:tc>
          <w:tcPr>
            <w:tcW w:w="3150" w:type="dxa"/>
          </w:tcPr>
          <w:p>
            <w:pPr>
              <w:pStyle w:val="TableParagraph"/>
              <w:spacing w:line="220" w:lineRule="exact"/>
              <w:ind w:left="66"/>
              <w:rPr>
                <w:sz w:val="20"/>
              </w:rPr>
            </w:pPr>
            <w:r>
              <w:rPr>
                <w:w w:val="95"/>
                <w:sz w:val="20"/>
              </w:rPr>
              <w:t>высокозлокачественные</w:t>
            </w:r>
            <w:r>
              <w:rPr>
                <w:spacing w:val="78"/>
                <w:sz w:val="20"/>
              </w:rPr>
              <w:t> </w:t>
            </w:r>
            <w:r>
              <w:rPr>
                <w:spacing w:val="-2"/>
                <w:sz w:val="20"/>
              </w:rPr>
              <w:t>лимфомы,</w:t>
            </w:r>
          </w:p>
        </w:tc>
        <w:tc>
          <w:tcPr>
            <w:tcW w:w="1631" w:type="dxa"/>
          </w:tcPr>
          <w:p>
            <w:pPr>
              <w:pStyle w:val="TableParagraph"/>
              <w:spacing w:line="220" w:lineRule="exact"/>
              <w:ind w:left="72"/>
              <w:rPr>
                <w:sz w:val="20"/>
              </w:rPr>
            </w:pPr>
            <w:r>
              <w:rPr>
                <w:spacing w:val="-2"/>
                <w:sz w:val="20"/>
              </w:rPr>
              <w:t>лечение</w:t>
            </w:r>
          </w:p>
        </w:tc>
        <w:tc>
          <w:tcPr>
            <w:tcW w:w="3794" w:type="dxa"/>
          </w:tcPr>
          <w:p>
            <w:pPr>
              <w:pStyle w:val="TableParagraph"/>
              <w:spacing w:line="220" w:lineRule="exact"/>
              <w:ind w:left="139"/>
              <w:rPr>
                <w:sz w:val="20"/>
              </w:rPr>
            </w:pPr>
            <w:r>
              <w:rPr>
                <w:w w:val="95"/>
                <w:sz w:val="20"/>
              </w:rPr>
              <w:t>лекарственными</w:t>
            </w:r>
            <w:r>
              <w:rPr>
                <w:spacing w:val="51"/>
                <w:sz w:val="20"/>
              </w:rPr>
              <w:t> </w:t>
            </w:r>
            <w:r>
              <w:rPr>
                <w:w w:val="95"/>
                <w:sz w:val="20"/>
              </w:rPr>
              <w:t>препаратами</w:t>
            </w:r>
            <w:r>
              <w:rPr>
                <w:spacing w:val="51"/>
                <w:sz w:val="20"/>
              </w:rPr>
              <w:t> </w:t>
            </w:r>
            <w:r>
              <w:rPr>
                <w:spacing w:val="-10"/>
                <w:w w:val="95"/>
                <w:sz w:val="20"/>
              </w:rPr>
              <w:t>и</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эпигеномную</w:t>
            </w:r>
            <w:r>
              <w:rPr>
                <w:spacing w:val="6"/>
                <w:sz w:val="20"/>
              </w:rPr>
              <w:t> </w:t>
            </w:r>
            <w:r>
              <w:rPr>
                <w:spacing w:val="-2"/>
                <w:sz w:val="20"/>
              </w:rPr>
              <w:t>терапию)</w:t>
            </w:r>
            <w:r>
              <w:rPr>
                <w:spacing w:val="6"/>
                <w:sz w:val="20"/>
              </w:rPr>
              <w:t> </w:t>
            </w:r>
            <w:r>
              <w:rPr>
                <w:spacing w:val="-2"/>
                <w:sz w:val="20"/>
              </w:rPr>
              <w:t>острых</w:t>
            </w:r>
          </w:p>
        </w:tc>
        <w:tc>
          <w:tcPr>
            <w:tcW w:w="1968" w:type="dxa"/>
          </w:tcPr>
          <w:p>
            <w:pPr>
              <w:pStyle w:val="TableParagraph"/>
              <w:spacing w:line="220" w:lineRule="exact"/>
              <w:ind w:left="70" w:right="62"/>
              <w:jc w:val="center"/>
              <w:rPr>
                <w:sz w:val="20"/>
              </w:rPr>
            </w:pPr>
            <w:hyperlink r:id="rId138">
              <w:r>
                <w:rPr>
                  <w:sz w:val="20"/>
                </w:rPr>
                <w:t>C93,</w:t>
              </w:r>
              <w:r>
                <w:rPr>
                  <w:spacing w:val="-6"/>
                  <w:sz w:val="20"/>
                </w:rPr>
                <w:t> </w:t>
              </w:r>
            </w:hyperlink>
            <w:hyperlink r:id="rId139">
              <w:r>
                <w:rPr>
                  <w:sz w:val="20"/>
                </w:rPr>
                <w:t>C94.0,</w:t>
              </w:r>
              <w:r>
                <w:rPr>
                  <w:spacing w:val="-3"/>
                  <w:sz w:val="20"/>
                </w:rPr>
                <w:t> </w:t>
              </w:r>
            </w:hyperlink>
            <w:hyperlink r:id="rId140">
              <w:r>
                <w:rPr>
                  <w:sz w:val="20"/>
                </w:rPr>
                <w:t>C94.2</w:t>
              </w:r>
              <w:r>
                <w:rPr>
                  <w:spacing w:val="-3"/>
                  <w:sz w:val="20"/>
                </w:rPr>
                <w:t> </w:t>
              </w:r>
            </w:hyperlink>
            <w:r>
              <w:rPr>
                <w:spacing w:val="-10"/>
                <w:sz w:val="20"/>
              </w:rPr>
              <w:t>-</w:t>
            </w:r>
          </w:p>
        </w:tc>
        <w:tc>
          <w:tcPr>
            <w:tcW w:w="3150" w:type="dxa"/>
          </w:tcPr>
          <w:p>
            <w:pPr>
              <w:pStyle w:val="TableParagraph"/>
              <w:spacing w:line="220" w:lineRule="exact"/>
              <w:ind w:left="66"/>
              <w:rPr>
                <w:sz w:val="20"/>
              </w:rPr>
            </w:pPr>
            <w:r>
              <w:rPr>
                <w:sz w:val="20"/>
              </w:rPr>
              <w:t>рецидивы</w:t>
            </w:r>
            <w:r>
              <w:rPr>
                <w:spacing w:val="-8"/>
                <w:sz w:val="20"/>
              </w:rPr>
              <w:t> </w:t>
            </w:r>
            <w:r>
              <w:rPr>
                <w:sz w:val="20"/>
              </w:rPr>
              <w:t>и</w:t>
            </w:r>
            <w:r>
              <w:rPr>
                <w:spacing w:val="-10"/>
                <w:sz w:val="20"/>
              </w:rPr>
              <w:t> </w:t>
            </w:r>
            <w:r>
              <w:rPr>
                <w:sz w:val="20"/>
              </w:rPr>
              <w:t>резистентные</w:t>
            </w:r>
            <w:r>
              <w:rPr>
                <w:spacing w:val="-9"/>
                <w:sz w:val="20"/>
              </w:rPr>
              <w:t> </w:t>
            </w:r>
            <w:r>
              <w:rPr>
                <w:spacing w:val="-4"/>
                <w:sz w:val="20"/>
              </w:rPr>
              <w:t>формы</w:t>
            </w:r>
          </w:p>
        </w:tc>
        <w:tc>
          <w:tcPr>
            <w:tcW w:w="1631" w:type="dxa"/>
          </w:tcPr>
          <w:p>
            <w:pPr>
              <w:pStyle w:val="TableParagraph"/>
              <w:rPr>
                <w:sz w:val="16"/>
              </w:rPr>
            </w:pPr>
          </w:p>
        </w:tc>
        <w:tc>
          <w:tcPr>
            <w:tcW w:w="3794" w:type="dxa"/>
          </w:tcPr>
          <w:p>
            <w:pPr>
              <w:pStyle w:val="TableParagraph"/>
              <w:spacing w:line="220" w:lineRule="exact"/>
              <w:ind w:left="139"/>
              <w:rPr>
                <w:sz w:val="20"/>
              </w:rPr>
            </w:pPr>
            <w:r>
              <w:rPr>
                <w:sz w:val="20"/>
              </w:rPr>
              <w:t>химиопрепаратами</w:t>
            </w:r>
            <w:r>
              <w:rPr>
                <w:spacing w:val="-10"/>
                <w:sz w:val="20"/>
              </w:rPr>
              <w:t> </w:t>
            </w:r>
            <w:r>
              <w:rPr>
                <w:sz w:val="20"/>
              </w:rPr>
              <w:t>с</w:t>
            </w:r>
            <w:r>
              <w:rPr>
                <w:spacing w:val="-9"/>
                <w:sz w:val="20"/>
              </w:rPr>
              <w:t> </w:t>
            </w:r>
            <w:r>
              <w:rPr>
                <w:spacing w:val="-2"/>
                <w:sz w:val="20"/>
              </w:rPr>
              <w:t>поддержкой</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лейкозов,</w:t>
            </w:r>
          </w:p>
        </w:tc>
        <w:tc>
          <w:tcPr>
            <w:tcW w:w="1968" w:type="dxa"/>
          </w:tcPr>
          <w:p>
            <w:pPr>
              <w:pStyle w:val="TableParagraph"/>
              <w:spacing w:line="220" w:lineRule="exact"/>
              <w:ind w:left="68" w:right="64"/>
              <w:jc w:val="center"/>
              <w:rPr>
                <w:sz w:val="20"/>
              </w:rPr>
            </w:pPr>
            <w:hyperlink r:id="rId141">
              <w:r>
                <w:rPr>
                  <w:sz w:val="20"/>
                </w:rPr>
                <w:t>C94.7,</w:t>
              </w:r>
              <w:r>
                <w:rPr>
                  <w:spacing w:val="-2"/>
                  <w:sz w:val="20"/>
                </w:rPr>
                <w:t> </w:t>
              </w:r>
            </w:hyperlink>
            <w:hyperlink r:id="rId142">
              <w:r>
                <w:rPr>
                  <w:sz w:val="20"/>
                </w:rPr>
                <w:t>C95,</w:t>
              </w:r>
              <w:r>
                <w:rPr>
                  <w:spacing w:val="-2"/>
                  <w:sz w:val="20"/>
                </w:rPr>
                <w:t> </w:t>
              </w:r>
            </w:hyperlink>
            <w:hyperlink r:id="rId143">
              <w:r>
                <w:rPr>
                  <w:spacing w:val="-2"/>
                  <w:sz w:val="20"/>
                </w:rPr>
                <w:t>C96.9,</w:t>
              </w:r>
            </w:hyperlink>
          </w:p>
        </w:tc>
        <w:tc>
          <w:tcPr>
            <w:tcW w:w="3150" w:type="dxa"/>
          </w:tcPr>
          <w:p>
            <w:pPr>
              <w:pStyle w:val="TableParagraph"/>
              <w:spacing w:line="220" w:lineRule="exact"/>
              <w:ind w:left="66"/>
              <w:rPr>
                <w:sz w:val="20"/>
              </w:rPr>
            </w:pPr>
            <w:r>
              <w:rPr>
                <w:sz w:val="20"/>
              </w:rPr>
              <w:t>других</w:t>
            </w:r>
            <w:r>
              <w:rPr>
                <w:spacing w:val="-7"/>
                <w:sz w:val="20"/>
              </w:rPr>
              <w:t> </w:t>
            </w:r>
            <w:r>
              <w:rPr>
                <w:spacing w:val="-2"/>
                <w:sz w:val="20"/>
              </w:rPr>
              <w:t>лимфопролиферативных</w:t>
            </w:r>
          </w:p>
        </w:tc>
        <w:tc>
          <w:tcPr>
            <w:tcW w:w="1631" w:type="dxa"/>
          </w:tcPr>
          <w:p>
            <w:pPr>
              <w:pStyle w:val="TableParagraph"/>
              <w:rPr>
                <w:sz w:val="16"/>
              </w:rPr>
            </w:pPr>
          </w:p>
        </w:tc>
        <w:tc>
          <w:tcPr>
            <w:tcW w:w="3794" w:type="dxa"/>
          </w:tcPr>
          <w:p>
            <w:pPr>
              <w:pStyle w:val="TableParagraph"/>
              <w:spacing w:line="220" w:lineRule="exact"/>
              <w:ind w:left="139"/>
              <w:rPr>
                <w:sz w:val="20"/>
              </w:rPr>
            </w:pPr>
            <w:r>
              <w:rPr>
                <w:sz w:val="20"/>
              </w:rPr>
              <w:t>ростовыми</w:t>
            </w:r>
            <w:r>
              <w:rPr>
                <w:spacing w:val="-10"/>
                <w:sz w:val="20"/>
              </w:rPr>
              <w:t> </w:t>
            </w:r>
            <w:r>
              <w:rPr>
                <w:sz w:val="20"/>
              </w:rPr>
              <w:t>факторами</w:t>
            </w:r>
            <w:r>
              <w:rPr>
                <w:spacing w:val="-10"/>
                <w:sz w:val="20"/>
              </w:rPr>
              <w:t> и</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высокозлокачественных</w:t>
            </w:r>
          </w:p>
        </w:tc>
        <w:tc>
          <w:tcPr>
            <w:tcW w:w="1968" w:type="dxa"/>
          </w:tcPr>
          <w:p>
            <w:pPr>
              <w:pStyle w:val="TableParagraph"/>
              <w:spacing w:line="220" w:lineRule="exact"/>
              <w:ind w:left="68" w:right="64"/>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146">
              <w:r>
                <w:rPr>
                  <w:spacing w:val="-4"/>
                  <w:sz w:val="20"/>
                </w:rPr>
                <w:t>C21,</w:t>
              </w:r>
            </w:hyperlink>
          </w:p>
        </w:tc>
        <w:tc>
          <w:tcPr>
            <w:tcW w:w="3150" w:type="dxa"/>
          </w:tcPr>
          <w:p>
            <w:pPr>
              <w:pStyle w:val="TableParagraph"/>
              <w:spacing w:line="220" w:lineRule="exact"/>
              <w:ind w:left="66"/>
              <w:rPr>
                <w:sz w:val="20"/>
              </w:rPr>
            </w:pPr>
            <w:r>
              <w:rPr>
                <w:spacing w:val="-2"/>
                <w:sz w:val="20"/>
              </w:rPr>
              <w:t>заболеваний,</w:t>
            </w:r>
            <w:r>
              <w:rPr>
                <w:spacing w:val="10"/>
                <w:sz w:val="20"/>
              </w:rPr>
              <w:t> </w:t>
            </w:r>
            <w:r>
              <w:rPr>
                <w:spacing w:val="-2"/>
                <w:sz w:val="20"/>
              </w:rPr>
              <w:t>хронический</w:t>
            </w:r>
          </w:p>
        </w:tc>
        <w:tc>
          <w:tcPr>
            <w:tcW w:w="1631" w:type="dxa"/>
          </w:tcPr>
          <w:p>
            <w:pPr>
              <w:pStyle w:val="TableParagraph"/>
              <w:rPr>
                <w:sz w:val="16"/>
              </w:rPr>
            </w:pPr>
          </w:p>
        </w:tc>
        <w:tc>
          <w:tcPr>
            <w:tcW w:w="3794" w:type="dxa"/>
          </w:tcPr>
          <w:p>
            <w:pPr>
              <w:pStyle w:val="TableParagraph"/>
              <w:spacing w:line="220" w:lineRule="exact"/>
              <w:ind w:left="139"/>
              <w:rPr>
                <w:sz w:val="20"/>
              </w:rPr>
            </w:pPr>
            <w:r>
              <w:rPr>
                <w:w w:val="95"/>
                <w:sz w:val="20"/>
              </w:rPr>
              <w:t>использованием</w:t>
            </w:r>
            <w:r>
              <w:rPr>
                <w:spacing w:val="53"/>
                <w:sz w:val="20"/>
              </w:rPr>
              <w:t> </w:t>
            </w:r>
            <w:r>
              <w:rPr>
                <w:spacing w:val="-2"/>
                <w:w w:val="95"/>
                <w:sz w:val="20"/>
              </w:rPr>
              <w:t>антибактериальной,</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лимфом,</w:t>
            </w:r>
            <w:r>
              <w:rPr>
                <w:spacing w:val="-10"/>
                <w:sz w:val="20"/>
              </w:rPr>
              <w:t> </w:t>
            </w:r>
            <w:r>
              <w:rPr>
                <w:sz w:val="20"/>
              </w:rPr>
              <w:t>рецидивов</w:t>
            </w:r>
            <w:r>
              <w:rPr>
                <w:spacing w:val="-9"/>
                <w:sz w:val="20"/>
              </w:rPr>
              <w:t> </w:t>
            </w:r>
            <w:r>
              <w:rPr>
                <w:spacing w:val="-10"/>
                <w:sz w:val="20"/>
              </w:rPr>
              <w:t>и</w:t>
            </w:r>
          </w:p>
        </w:tc>
        <w:tc>
          <w:tcPr>
            <w:tcW w:w="1968" w:type="dxa"/>
          </w:tcPr>
          <w:p>
            <w:pPr>
              <w:pStyle w:val="TableParagraph"/>
              <w:spacing w:line="220" w:lineRule="exact"/>
              <w:ind w:left="70" w:right="64"/>
              <w:jc w:val="center"/>
              <w:rPr>
                <w:sz w:val="20"/>
              </w:rPr>
            </w:pPr>
            <w:hyperlink r:id="rId79">
              <w:r>
                <w:rPr>
                  <w:sz w:val="20"/>
                </w:rPr>
                <w:t>C22,</w:t>
              </w:r>
              <w:r>
                <w:rPr>
                  <w:spacing w:val="-4"/>
                  <w:sz w:val="20"/>
                </w:rPr>
                <w:t> </w:t>
              </w:r>
            </w:hyperlink>
            <w:hyperlink r:id="rId80">
              <w:r>
                <w:rPr>
                  <w:sz w:val="20"/>
                </w:rPr>
                <w:t>C23</w:t>
              </w:r>
              <w:r>
                <w:rPr>
                  <w:spacing w:val="-2"/>
                  <w:sz w:val="20"/>
                </w:rPr>
                <w:t> </w:t>
              </w:r>
            </w:hyperlink>
            <w:r>
              <w:rPr>
                <w:sz w:val="20"/>
              </w:rPr>
              <w:t>-</w:t>
            </w:r>
            <w:r>
              <w:rPr>
                <w:spacing w:val="-4"/>
                <w:sz w:val="20"/>
              </w:rPr>
              <w:t> </w:t>
            </w:r>
            <w:hyperlink r:id="rId147">
              <w:r>
                <w:rPr>
                  <w:sz w:val="20"/>
                </w:rPr>
                <w:t>C26,</w:t>
              </w:r>
              <w:r>
                <w:rPr>
                  <w:spacing w:val="-2"/>
                  <w:sz w:val="20"/>
                </w:rPr>
                <w:t> </w:t>
              </w:r>
            </w:hyperlink>
            <w:hyperlink r:id="rId148">
              <w:r>
                <w:rPr>
                  <w:sz w:val="20"/>
                </w:rPr>
                <w:t>C30</w:t>
              </w:r>
              <w:r>
                <w:rPr>
                  <w:spacing w:val="-1"/>
                  <w:sz w:val="20"/>
                </w:rPr>
                <w:t> </w:t>
              </w:r>
            </w:hyperlink>
            <w:r>
              <w:rPr>
                <w:spacing w:val="-10"/>
                <w:sz w:val="20"/>
              </w:rPr>
              <w:t>-</w:t>
            </w:r>
          </w:p>
        </w:tc>
        <w:tc>
          <w:tcPr>
            <w:tcW w:w="3150" w:type="dxa"/>
          </w:tcPr>
          <w:p>
            <w:pPr>
              <w:pStyle w:val="TableParagraph"/>
              <w:spacing w:line="220" w:lineRule="exact"/>
              <w:ind w:left="66"/>
              <w:rPr>
                <w:sz w:val="20"/>
              </w:rPr>
            </w:pPr>
            <w:r>
              <w:rPr>
                <w:sz w:val="20"/>
              </w:rPr>
              <w:t>миелолейкоз</w:t>
            </w:r>
            <w:r>
              <w:rPr>
                <w:spacing w:val="-7"/>
                <w:sz w:val="20"/>
              </w:rPr>
              <w:t> </w:t>
            </w:r>
            <w:r>
              <w:rPr>
                <w:sz w:val="20"/>
              </w:rPr>
              <w:t>в</w:t>
            </w:r>
            <w:r>
              <w:rPr>
                <w:spacing w:val="-7"/>
                <w:sz w:val="20"/>
              </w:rPr>
              <w:t> </w:t>
            </w:r>
            <w:r>
              <w:rPr>
                <w:sz w:val="20"/>
              </w:rPr>
              <w:t>фазах</w:t>
            </w:r>
            <w:r>
              <w:rPr>
                <w:spacing w:val="-7"/>
                <w:sz w:val="20"/>
              </w:rPr>
              <w:t> </w:t>
            </w:r>
            <w:r>
              <w:rPr>
                <w:spacing w:val="-2"/>
                <w:sz w:val="20"/>
              </w:rPr>
              <w:t>акселерации</w:t>
            </w:r>
          </w:p>
        </w:tc>
        <w:tc>
          <w:tcPr>
            <w:tcW w:w="1631" w:type="dxa"/>
          </w:tcPr>
          <w:p>
            <w:pPr>
              <w:pStyle w:val="TableParagraph"/>
              <w:rPr>
                <w:sz w:val="16"/>
              </w:rPr>
            </w:pPr>
          </w:p>
        </w:tc>
        <w:tc>
          <w:tcPr>
            <w:tcW w:w="3794" w:type="dxa"/>
          </w:tcPr>
          <w:p>
            <w:pPr>
              <w:pStyle w:val="TableParagraph"/>
              <w:spacing w:line="220" w:lineRule="exact"/>
              <w:ind w:left="139"/>
              <w:rPr>
                <w:sz w:val="20"/>
              </w:rPr>
            </w:pPr>
            <w:r>
              <w:rPr>
                <w:sz w:val="20"/>
              </w:rPr>
              <w:t>противогрибковой</w:t>
            </w:r>
            <w:r>
              <w:rPr>
                <w:spacing w:val="-12"/>
                <w:sz w:val="20"/>
              </w:rPr>
              <w:t> </w:t>
            </w:r>
            <w:r>
              <w:rPr>
                <w:sz w:val="20"/>
              </w:rPr>
              <w:t>и</w:t>
            </w:r>
            <w:r>
              <w:rPr>
                <w:spacing w:val="-11"/>
                <w:sz w:val="20"/>
              </w:rPr>
              <w:t> </w:t>
            </w:r>
            <w:r>
              <w:rPr>
                <w:spacing w:val="-2"/>
                <w:sz w:val="20"/>
              </w:rPr>
              <w:t>противовирусной</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рефрактерных</w:t>
            </w:r>
            <w:r>
              <w:rPr>
                <w:spacing w:val="46"/>
                <w:sz w:val="20"/>
              </w:rPr>
              <w:t> </w:t>
            </w:r>
            <w:r>
              <w:rPr>
                <w:spacing w:val="-4"/>
                <w:sz w:val="20"/>
              </w:rPr>
              <w:t>форм</w:t>
            </w:r>
          </w:p>
        </w:tc>
        <w:tc>
          <w:tcPr>
            <w:tcW w:w="1968" w:type="dxa"/>
          </w:tcPr>
          <w:p>
            <w:pPr>
              <w:pStyle w:val="TableParagraph"/>
              <w:spacing w:line="220" w:lineRule="exact"/>
              <w:ind w:left="70" w:right="61"/>
              <w:jc w:val="center"/>
              <w:rPr>
                <w:sz w:val="20"/>
              </w:rPr>
            </w:pPr>
            <w:hyperlink r:id="rId149">
              <w:r>
                <w:rPr>
                  <w:sz w:val="20"/>
                </w:rPr>
                <w:t>C32,</w:t>
              </w:r>
              <w:r>
                <w:rPr>
                  <w:spacing w:val="-2"/>
                  <w:sz w:val="20"/>
                </w:rPr>
                <w:t> </w:t>
              </w:r>
            </w:hyperlink>
            <w:hyperlink r:id="rId82">
              <w:r>
                <w:rPr>
                  <w:sz w:val="20"/>
                </w:rPr>
                <w:t>C34,</w:t>
              </w:r>
              <w:r>
                <w:rPr>
                  <w:spacing w:val="-2"/>
                  <w:sz w:val="20"/>
                </w:rPr>
                <w:t> </w:t>
              </w:r>
            </w:hyperlink>
            <w:hyperlink r:id="rId83">
              <w:r>
                <w:rPr>
                  <w:sz w:val="20"/>
                </w:rPr>
                <w:t>C37,</w:t>
              </w:r>
              <w:r>
                <w:rPr>
                  <w:spacing w:val="-2"/>
                  <w:sz w:val="20"/>
                </w:rPr>
                <w:t> </w:t>
              </w:r>
            </w:hyperlink>
            <w:hyperlink r:id="rId127">
              <w:r>
                <w:rPr>
                  <w:spacing w:val="-4"/>
                  <w:sz w:val="20"/>
                </w:rPr>
                <w:t>C38,</w:t>
              </w:r>
            </w:hyperlink>
          </w:p>
        </w:tc>
        <w:tc>
          <w:tcPr>
            <w:tcW w:w="3150" w:type="dxa"/>
          </w:tcPr>
          <w:p>
            <w:pPr>
              <w:pStyle w:val="TableParagraph"/>
              <w:spacing w:line="220" w:lineRule="exact"/>
              <w:ind w:left="66"/>
              <w:rPr>
                <w:sz w:val="20"/>
              </w:rPr>
            </w:pPr>
            <w:r>
              <w:rPr>
                <w:sz w:val="20"/>
              </w:rPr>
              <w:t>и</w:t>
            </w:r>
            <w:r>
              <w:rPr>
                <w:spacing w:val="-7"/>
                <w:sz w:val="20"/>
              </w:rPr>
              <w:t> </w:t>
            </w:r>
            <w:r>
              <w:rPr>
                <w:sz w:val="20"/>
              </w:rPr>
              <w:t>бластного</w:t>
            </w:r>
            <w:r>
              <w:rPr>
                <w:spacing w:val="-5"/>
                <w:sz w:val="20"/>
              </w:rPr>
              <w:t> </w:t>
            </w:r>
            <w:r>
              <w:rPr>
                <w:sz w:val="20"/>
              </w:rPr>
              <w:t>криза.</w:t>
            </w:r>
            <w:r>
              <w:rPr>
                <w:spacing w:val="-5"/>
                <w:sz w:val="20"/>
              </w:rPr>
              <w:t> </w:t>
            </w:r>
            <w:r>
              <w:rPr>
                <w:spacing w:val="-2"/>
                <w:sz w:val="20"/>
              </w:rPr>
              <w:t>Солидные</w:t>
            </w:r>
          </w:p>
        </w:tc>
        <w:tc>
          <w:tcPr>
            <w:tcW w:w="1631" w:type="dxa"/>
          </w:tcPr>
          <w:p>
            <w:pPr>
              <w:pStyle w:val="TableParagraph"/>
              <w:rPr>
                <w:sz w:val="16"/>
              </w:rPr>
            </w:pPr>
          </w:p>
        </w:tc>
        <w:tc>
          <w:tcPr>
            <w:tcW w:w="3794" w:type="dxa"/>
          </w:tcPr>
          <w:p>
            <w:pPr>
              <w:pStyle w:val="TableParagraph"/>
              <w:spacing w:line="220" w:lineRule="exact"/>
              <w:ind w:left="139"/>
              <w:rPr>
                <w:sz w:val="20"/>
              </w:rPr>
            </w:pPr>
            <w:r>
              <w:rPr>
                <w:spacing w:val="-2"/>
                <w:sz w:val="20"/>
              </w:rPr>
              <w:t>терапии</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лимфопролиферативных</w:t>
            </w:r>
            <w:r>
              <w:rPr>
                <w:spacing w:val="57"/>
                <w:w w:val="150"/>
                <w:sz w:val="20"/>
              </w:rPr>
              <w:t> </w:t>
            </w:r>
            <w:r>
              <w:rPr>
                <w:spacing w:val="-10"/>
                <w:sz w:val="20"/>
              </w:rPr>
              <w:t>и</w:t>
            </w:r>
          </w:p>
        </w:tc>
        <w:tc>
          <w:tcPr>
            <w:tcW w:w="1968" w:type="dxa"/>
          </w:tcPr>
          <w:p>
            <w:pPr>
              <w:pStyle w:val="TableParagraph"/>
              <w:spacing w:line="220" w:lineRule="exact"/>
              <w:ind w:left="70" w:right="61"/>
              <w:jc w:val="center"/>
              <w:rPr>
                <w:sz w:val="20"/>
              </w:rPr>
            </w:pPr>
            <w:hyperlink r:id="rId128">
              <w:r>
                <w:rPr>
                  <w:sz w:val="20"/>
                </w:rPr>
                <w:t>C39,</w:t>
              </w:r>
              <w:r>
                <w:rPr>
                  <w:spacing w:val="-2"/>
                  <w:sz w:val="20"/>
                </w:rPr>
                <w:t> </w:t>
              </w:r>
            </w:hyperlink>
            <w:hyperlink r:id="rId130">
              <w:r>
                <w:rPr>
                  <w:sz w:val="20"/>
                </w:rPr>
                <w:t>C40,</w:t>
              </w:r>
              <w:r>
                <w:rPr>
                  <w:spacing w:val="-2"/>
                  <w:sz w:val="20"/>
                </w:rPr>
                <w:t> </w:t>
              </w:r>
            </w:hyperlink>
            <w:hyperlink r:id="rId131">
              <w:r>
                <w:rPr>
                  <w:sz w:val="20"/>
                </w:rPr>
                <w:t>C41,</w:t>
              </w:r>
              <w:r>
                <w:rPr>
                  <w:spacing w:val="-2"/>
                  <w:sz w:val="20"/>
                </w:rPr>
                <w:t> </w:t>
              </w:r>
            </w:hyperlink>
            <w:hyperlink r:id="rId90">
              <w:r>
                <w:rPr>
                  <w:spacing w:val="-4"/>
                  <w:sz w:val="20"/>
                </w:rPr>
                <w:t>C45,</w:t>
              </w:r>
            </w:hyperlink>
          </w:p>
        </w:tc>
        <w:tc>
          <w:tcPr>
            <w:tcW w:w="3150" w:type="dxa"/>
          </w:tcPr>
          <w:p>
            <w:pPr>
              <w:pStyle w:val="TableParagraph"/>
              <w:spacing w:line="220" w:lineRule="exact"/>
              <w:ind w:left="66"/>
              <w:rPr>
                <w:sz w:val="20"/>
              </w:rPr>
            </w:pPr>
            <w:r>
              <w:rPr>
                <w:sz w:val="20"/>
              </w:rPr>
              <w:t>опухоли</w:t>
            </w:r>
            <w:r>
              <w:rPr>
                <w:spacing w:val="-5"/>
                <w:sz w:val="20"/>
              </w:rPr>
              <w:t> </w:t>
            </w:r>
            <w:r>
              <w:rPr>
                <w:sz w:val="20"/>
              </w:rPr>
              <w:t>у</w:t>
            </w:r>
            <w:r>
              <w:rPr>
                <w:spacing w:val="-7"/>
                <w:sz w:val="20"/>
              </w:rPr>
              <w:t> </w:t>
            </w:r>
            <w:r>
              <w:rPr>
                <w:sz w:val="20"/>
              </w:rPr>
              <w:t>детей</w:t>
            </w:r>
            <w:r>
              <w:rPr>
                <w:spacing w:val="-7"/>
                <w:sz w:val="20"/>
              </w:rPr>
              <w:t> </w:t>
            </w:r>
            <w:r>
              <w:rPr>
                <w:sz w:val="20"/>
              </w:rPr>
              <w:t>высокого</w:t>
            </w:r>
            <w:r>
              <w:rPr>
                <w:spacing w:val="-4"/>
                <w:sz w:val="20"/>
              </w:rPr>
              <w:t> </w:t>
            </w:r>
            <w:r>
              <w:rPr>
                <w:spacing w:val="-2"/>
                <w:sz w:val="20"/>
              </w:rPr>
              <w:t>риска:</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миелопролиферативных</w:t>
            </w:r>
          </w:p>
        </w:tc>
        <w:tc>
          <w:tcPr>
            <w:tcW w:w="1968" w:type="dxa"/>
          </w:tcPr>
          <w:p>
            <w:pPr>
              <w:pStyle w:val="TableParagraph"/>
              <w:spacing w:line="220" w:lineRule="exact"/>
              <w:ind w:left="70" w:right="61"/>
              <w:jc w:val="center"/>
              <w:rPr>
                <w:sz w:val="20"/>
              </w:rPr>
            </w:pPr>
            <w:hyperlink r:id="rId150">
              <w:r>
                <w:rPr>
                  <w:sz w:val="20"/>
                </w:rPr>
                <w:t>C46,</w:t>
              </w:r>
              <w:r>
                <w:rPr>
                  <w:spacing w:val="-2"/>
                  <w:sz w:val="20"/>
                </w:rPr>
                <w:t> </w:t>
              </w:r>
            </w:hyperlink>
            <w:hyperlink r:id="rId151">
              <w:r>
                <w:rPr>
                  <w:sz w:val="20"/>
                </w:rPr>
                <w:t>C47,</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50" w:type="dxa"/>
          </w:tcPr>
          <w:p>
            <w:pPr>
              <w:pStyle w:val="TableParagraph"/>
              <w:spacing w:line="220" w:lineRule="exact"/>
              <w:ind w:left="66"/>
              <w:rPr>
                <w:sz w:val="20"/>
              </w:rPr>
            </w:pPr>
            <w:r>
              <w:rPr>
                <w:sz w:val="20"/>
              </w:rPr>
              <w:t>опухоли</w:t>
            </w:r>
            <w:r>
              <w:rPr>
                <w:spacing w:val="-10"/>
                <w:sz w:val="20"/>
              </w:rPr>
              <w:t> </w:t>
            </w:r>
            <w:r>
              <w:rPr>
                <w:sz w:val="20"/>
              </w:rPr>
              <w:t>центральной</w:t>
            </w:r>
            <w:r>
              <w:rPr>
                <w:spacing w:val="-11"/>
                <w:sz w:val="20"/>
              </w:rPr>
              <w:t> </w:t>
            </w:r>
            <w:r>
              <w:rPr>
                <w:spacing w:val="-2"/>
                <w:sz w:val="20"/>
              </w:rPr>
              <w:t>нервной</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заболеваний,</w:t>
            </w:r>
            <w:r>
              <w:rPr>
                <w:spacing w:val="-7"/>
                <w:sz w:val="20"/>
              </w:rPr>
              <w:t> </w:t>
            </w:r>
            <w:r>
              <w:rPr>
                <w:sz w:val="20"/>
              </w:rPr>
              <w:t>в</w:t>
            </w:r>
            <w:r>
              <w:rPr>
                <w:spacing w:val="-7"/>
                <w:sz w:val="20"/>
              </w:rPr>
              <w:t> </w:t>
            </w:r>
            <w:r>
              <w:rPr>
                <w:sz w:val="20"/>
              </w:rPr>
              <w:t>том</w:t>
            </w:r>
            <w:r>
              <w:rPr>
                <w:spacing w:val="-5"/>
                <w:sz w:val="20"/>
              </w:rPr>
              <w:t> </w:t>
            </w:r>
            <w:r>
              <w:rPr>
                <w:sz w:val="20"/>
              </w:rPr>
              <w:t>числе</w:t>
            </w:r>
            <w:r>
              <w:rPr>
                <w:spacing w:val="-4"/>
                <w:sz w:val="20"/>
              </w:rPr>
              <w:t> </w:t>
            </w:r>
            <w:r>
              <w:rPr>
                <w:spacing w:val="-10"/>
                <w:sz w:val="20"/>
              </w:rPr>
              <w:t>у</w:t>
            </w:r>
          </w:p>
        </w:tc>
        <w:tc>
          <w:tcPr>
            <w:tcW w:w="1968" w:type="dxa"/>
          </w:tcPr>
          <w:p>
            <w:pPr>
              <w:pStyle w:val="TableParagraph"/>
              <w:spacing w:line="220" w:lineRule="exact"/>
              <w:ind w:left="70" w:right="64"/>
              <w:jc w:val="center"/>
              <w:rPr>
                <w:sz w:val="20"/>
              </w:rPr>
            </w:pPr>
            <w:hyperlink r:id="rId152">
              <w:r>
                <w:rPr>
                  <w:sz w:val="20"/>
                </w:rPr>
                <w:t>C51</w:t>
              </w:r>
              <w:r>
                <w:rPr>
                  <w:spacing w:val="-1"/>
                  <w:sz w:val="20"/>
                </w:rPr>
                <w:t> </w:t>
              </w:r>
            </w:hyperlink>
            <w:r>
              <w:rPr>
                <w:sz w:val="20"/>
              </w:rPr>
              <w:t>-</w:t>
            </w:r>
            <w:r>
              <w:rPr>
                <w:spacing w:val="-4"/>
                <w:sz w:val="20"/>
              </w:rPr>
              <w:t> </w:t>
            </w:r>
            <w:hyperlink r:id="rId153">
              <w:r>
                <w:rPr>
                  <w:sz w:val="20"/>
                </w:rPr>
                <w:t>C58,</w:t>
              </w:r>
              <w:r>
                <w:rPr>
                  <w:spacing w:val="-2"/>
                  <w:sz w:val="20"/>
                </w:rPr>
                <w:t> </w:t>
              </w:r>
            </w:hyperlink>
            <w:hyperlink r:id="rId120">
              <w:r>
                <w:rPr>
                  <w:sz w:val="20"/>
                </w:rPr>
                <w:t>C60,</w:t>
              </w:r>
              <w:r>
                <w:rPr>
                  <w:spacing w:val="-1"/>
                  <w:sz w:val="20"/>
                </w:rPr>
                <w:t> </w:t>
              </w:r>
            </w:hyperlink>
            <w:hyperlink r:id="rId121">
              <w:r>
                <w:rPr>
                  <w:spacing w:val="-4"/>
                  <w:sz w:val="20"/>
                </w:rPr>
                <w:t>C61,</w:t>
              </w:r>
            </w:hyperlink>
          </w:p>
        </w:tc>
        <w:tc>
          <w:tcPr>
            <w:tcW w:w="3150" w:type="dxa"/>
          </w:tcPr>
          <w:p>
            <w:pPr>
              <w:pStyle w:val="TableParagraph"/>
              <w:spacing w:line="220" w:lineRule="exact"/>
              <w:ind w:left="66"/>
              <w:rPr>
                <w:sz w:val="20"/>
              </w:rPr>
            </w:pPr>
            <w:r>
              <w:rPr>
                <w:sz w:val="20"/>
              </w:rPr>
              <w:t>системы,</w:t>
            </w:r>
            <w:r>
              <w:rPr>
                <w:spacing w:val="-7"/>
                <w:sz w:val="20"/>
              </w:rPr>
              <w:t> </w:t>
            </w:r>
            <w:r>
              <w:rPr>
                <w:spacing w:val="-2"/>
                <w:sz w:val="20"/>
              </w:rPr>
              <w:t>ретинобластома,</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детей.</w:t>
            </w:r>
            <w:r>
              <w:rPr>
                <w:spacing w:val="-6"/>
                <w:sz w:val="20"/>
              </w:rPr>
              <w:t> </w:t>
            </w:r>
            <w:r>
              <w:rPr>
                <w:spacing w:val="-2"/>
                <w:sz w:val="20"/>
              </w:rPr>
              <w:t>Комплексная,</w:t>
            </w:r>
          </w:p>
        </w:tc>
        <w:tc>
          <w:tcPr>
            <w:tcW w:w="1968" w:type="dxa"/>
          </w:tcPr>
          <w:p>
            <w:pPr>
              <w:pStyle w:val="TableParagraph"/>
              <w:spacing w:line="220" w:lineRule="exact"/>
              <w:ind w:left="70" w:right="61"/>
              <w:jc w:val="center"/>
              <w:rPr>
                <w:sz w:val="20"/>
              </w:rPr>
            </w:pPr>
            <w:hyperlink r:id="rId122">
              <w:r>
                <w:rPr>
                  <w:sz w:val="20"/>
                </w:rPr>
                <w:t>C62,</w:t>
              </w:r>
              <w:r>
                <w:rPr>
                  <w:spacing w:val="-2"/>
                  <w:sz w:val="20"/>
                </w:rPr>
                <w:t> </w:t>
              </w:r>
            </w:hyperlink>
            <w:hyperlink r:id="rId154">
              <w:r>
                <w:rPr>
                  <w:sz w:val="20"/>
                </w:rPr>
                <w:t>C63,</w:t>
              </w:r>
              <w:r>
                <w:rPr>
                  <w:spacing w:val="-2"/>
                  <w:sz w:val="20"/>
                </w:rPr>
                <w:t> </w:t>
              </w:r>
            </w:hyperlink>
            <w:hyperlink r:id="rId123">
              <w:r>
                <w:rPr>
                  <w:sz w:val="20"/>
                </w:rPr>
                <w:t>C64,</w:t>
              </w:r>
              <w:r>
                <w:rPr>
                  <w:spacing w:val="-2"/>
                  <w:sz w:val="20"/>
                </w:rPr>
                <w:t> </w:t>
              </w:r>
            </w:hyperlink>
            <w:hyperlink r:id="rId155">
              <w:r>
                <w:rPr>
                  <w:spacing w:val="-4"/>
                  <w:sz w:val="20"/>
                </w:rPr>
                <w:t>C65,</w:t>
              </w:r>
            </w:hyperlink>
          </w:p>
        </w:tc>
        <w:tc>
          <w:tcPr>
            <w:tcW w:w="3150" w:type="dxa"/>
          </w:tcPr>
          <w:p>
            <w:pPr>
              <w:pStyle w:val="TableParagraph"/>
              <w:spacing w:line="220" w:lineRule="exact"/>
              <w:ind w:left="66"/>
              <w:rPr>
                <w:sz w:val="20"/>
              </w:rPr>
            </w:pPr>
            <w:r>
              <w:rPr>
                <w:sz w:val="20"/>
              </w:rPr>
              <w:t>нейробластома</w:t>
            </w:r>
            <w:r>
              <w:rPr>
                <w:spacing w:val="-8"/>
                <w:sz w:val="20"/>
              </w:rPr>
              <w:t> </w:t>
            </w:r>
            <w:r>
              <w:rPr>
                <w:sz w:val="20"/>
              </w:rPr>
              <w:t>и</w:t>
            </w:r>
            <w:r>
              <w:rPr>
                <w:spacing w:val="-9"/>
                <w:sz w:val="20"/>
              </w:rPr>
              <w:t> </w:t>
            </w:r>
            <w:r>
              <w:rPr>
                <w:sz w:val="20"/>
              </w:rPr>
              <w:t>другие</w:t>
            </w:r>
            <w:r>
              <w:rPr>
                <w:spacing w:val="-7"/>
                <w:sz w:val="20"/>
              </w:rPr>
              <w:t> </w:t>
            </w:r>
            <w:r>
              <w:rPr>
                <w:spacing w:val="-2"/>
                <w:sz w:val="20"/>
              </w:rPr>
              <w:t>опухоли</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высокоинтенсивная</w:t>
            </w:r>
            <w:r>
              <w:rPr>
                <w:spacing w:val="63"/>
                <w:sz w:val="20"/>
              </w:rPr>
              <w:t> </w:t>
            </w:r>
            <w:r>
              <w:rPr>
                <w:spacing w:val="-10"/>
                <w:sz w:val="20"/>
              </w:rPr>
              <w:t>и</w:t>
            </w:r>
          </w:p>
        </w:tc>
        <w:tc>
          <w:tcPr>
            <w:tcW w:w="1968" w:type="dxa"/>
          </w:tcPr>
          <w:p>
            <w:pPr>
              <w:pStyle w:val="TableParagraph"/>
              <w:spacing w:line="220" w:lineRule="exact"/>
              <w:ind w:left="70" w:right="61"/>
              <w:jc w:val="center"/>
              <w:rPr>
                <w:sz w:val="20"/>
              </w:rPr>
            </w:pPr>
            <w:hyperlink r:id="rId156">
              <w:r>
                <w:rPr>
                  <w:sz w:val="20"/>
                </w:rPr>
                <w:t>C66,</w:t>
              </w:r>
              <w:r>
                <w:rPr>
                  <w:spacing w:val="-2"/>
                  <w:sz w:val="20"/>
                </w:rPr>
                <w:t> </w:t>
              </w:r>
            </w:hyperlink>
            <w:hyperlink r:id="rId124">
              <w:r>
                <w:rPr>
                  <w:sz w:val="20"/>
                </w:rPr>
                <w:t>C67,</w:t>
              </w:r>
              <w:r>
                <w:rPr>
                  <w:spacing w:val="-2"/>
                  <w:sz w:val="20"/>
                </w:rPr>
                <w:t> </w:t>
              </w:r>
            </w:hyperlink>
            <w:hyperlink r:id="rId157">
              <w:r>
                <w:rPr>
                  <w:sz w:val="20"/>
                </w:rPr>
                <w:t>C68,</w:t>
              </w:r>
              <w:r>
                <w:rPr>
                  <w:spacing w:val="-2"/>
                  <w:sz w:val="20"/>
                </w:rPr>
                <w:t> </w:t>
              </w:r>
            </w:hyperlink>
            <w:hyperlink r:id="rId69">
              <w:r>
                <w:rPr>
                  <w:spacing w:val="-4"/>
                  <w:sz w:val="20"/>
                </w:rPr>
                <w:t>C69,</w:t>
              </w:r>
            </w:hyperlink>
          </w:p>
        </w:tc>
        <w:tc>
          <w:tcPr>
            <w:tcW w:w="3150" w:type="dxa"/>
          </w:tcPr>
          <w:p>
            <w:pPr>
              <w:pStyle w:val="TableParagraph"/>
              <w:spacing w:line="220" w:lineRule="exact"/>
              <w:ind w:left="66"/>
              <w:rPr>
                <w:sz w:val="20"/>
              </w:rPr>
            </w:pPr>
            <w:r>
              <w:rPr>
                <w:spacing w:val="-2"/>
                <w:sz w:val="20"/>
              </w:rPr>
              <w:t>периферической</w:t>
            </w:r>
            <w:r>
              <w:rPr>
                <w:spacing w:val="8"/>
                <w:sz w:val="20"/>
              </w:rPr>
              <w:t> </w:t>
            </w:r>
            <w:r>
              <w:rPr>
                <w:spacing w:val="-2"/>
                <w:sz w:val="20"/>
              </w:rPr>
              <w:t>нервной</w:t>
            </w:r>
            <w:r>
              <w:rPr>
                <w:spacing w:val="8"/>
                <w:sz w:val="20"/>
              </w:rPr>
              <w:t> </w:t>
            </w:r>
            <w:r>
              <w:rPr>
                <w:spacing w:val="-2"/>
                <w:sz w:val="20"/>
              </w:rPr>
              <w:t>системы,</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высокодозная</w:t>
            </w:r>
            <w:r>
              <w:rPr>
                <w:spacing w:val="11"/>
                <w:sz w:val="20"/>
              </w:rPr>
              <w:t> </w:t>
            </w:r>
            <w:r>
              <w:rPr>
                <w:spacing w:val="-2"/>
                <w:sz w:val="20"/>
              </w:rPr>
              <w:t>химиотерапия</w:t>
            </w:r>
          </w:p>
        </w:tc>
        <w:tc>
          <w:tcPr>
            <w:tcW w:w="1968" w:type="dxa"/>
          </w:tcPr>
          <w:p>
            <w:pPr>
              <w:pStyle w:val="TableParagraph"/>
              <w:spacing w:line="220" w:lineRule="exact"/>
              <w:ind w:left="70" w:right="61"/>
              <w:jc w:val="center"/>
              <w:rPr>
                <w:sz w:val="20"/>
              </w:rPr>
            </w:pPr>
            <w:hyperlink r:id="rId158">
              <w:r>
                <w:rPr>
                  <w:sz w:val="20"/>
                </w:rPr>
                <w:t>C71,</w:t>
              </w:r>
              <w:r>
                <w:rPr>
                  <w:spacing w:val="-2"/>
                  <w:sz w:val="20"/>
                </w:rPr>
                <w:t> </w:t>
              </w:r>
            </w:hyperlink>
            <w:hyperlink r:id="rId159">
              <w:r>
                <w:rPr>
                  <w:sz w:val="20"/>
                </w:rPr>
                <w:t>C72,</w:t>
              </w:r>
              <w:r>
                <w:rPr>
                  <w:spacing w:val="-2"/>
                  <w:sz w:val="20"/>
                </w:rPr>
                <w:t> </w:t>
              </w:r>
            </w:hyperlink>
            <w:hyperlink r:id="rId70">
              <w:r>
                <w:rPr>
                  <w:sz w:val="20"/>
                </w:rPr>
                <w:t>C73,</w:t>
              </w:r>
              <w:r>
                <w:rPr>
                  <w:spacing w:val="-2"/>
                  <w:sz w:val="20"/>
                </w:rPr>
                <w:t> </w:t>
              </w:r>
            </w:hyperlink>
            <w:hyperlink r:id="rId125">
              <w:r>
                <w:rPr>
                  <w:spacing w:val="-4"/>
                  <w:sz w:val="20"/>
                </w:rPr>
                <w:t>C74,</w:t>
              </w:r>
            </w:hyperlink>
          </w:p>
        </w:tc>
        <w:tc>
          <w:tcPr>
            <w:tcW w:w="3150" w:type="dxa"/>
          </w:tcPr>
          <w:p>
            <w:pPr>
              <w:pStyle w:val="TableParagraph"/>
              <w:spacing w:line="220" w:lineRule="exact"/>
              <w:ind w:left="66"/>
              <w:rPr>
                <w:sz w:val="20"/>
              </w:rPr>
            </w:pPr>
            <w:r>
              <w:rPr>
                <w:sz w:val="20"/>
              </w:rPr>
              <w:t>опухоли</w:t>
            </w:r>
            <w:r>
              <w:rPr>
                <w:spacing w:val="-8"/>
                <w:sz w:val="20"/>
              </w:rPr>
              <w:t> </w:t>
            </w:r>
            <w:r>
              <w:rPr>
                <w:sz w:val="20"/>
              </w:rPr>
              <w:t>почки,</w:t>
            </w:r>
            <w:r>
              <w:rPr>
                <w:spacing w:val="-8"/>
                <w:sz w:val="20"/>
              </w:rPr>
              <w:t> </w:t>
            </w:r>
            <w:r>
              <w:rPr>
                <w:sz w:val="20"/>
              </w:rPr>
              <w:t>опухоли</w:t>
            </w:r>
            <w:r>
              <w:rPr>
                <w:spacing w:val="-8"/>
                <w:sz w:val="20"/>
              </w:rPr>
              <w:t> </w:t>
            </w:r>
            <w:r>
              <w:rPr>
                <w:spacing w:val="-2"/>
                <w:sz w:val="20"/>
              </w:rPr>
              <w:t>печени,</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39" w:hRule="atLeast"/>
        </w:trPr>
        <w:tc>
          <w:tcPr>
            <w:tcW w:w="472" w:type="dxa"/>
          </w:tcPr>
          <w:p>
            <w:pPr>
              <w:pStyle w:val="TableParagraph"/>
              <w:rPr>
                <w:sz w:val="16"/>
              </w:rPr>
            </w:pPr>
          </w:p>
        </w:tc>
        <w:tc>
          <w:tcPr>
            <w:tcW w:w="3019" w:type="dxa"/>
          </w:tcPr>
          <w:p>
            <w:pPr>
              <w:pStyle w:val="TableParagraph"/>
              <w:spacing w:line="219" w:lineRule="exact"/>
              <w:ind w:left="168"/>
              <w:rPr>
                <w:sz w:val="20"/>
              </w:rPr>
            </w:pPr>
            <w:r>
              <w:rPr>
                <w:sz w:val="20"/>
              </w:rPr>
              <w:t>(включая</w:t>
            </w:r>
            <w:r>
              <w:rPr>
                <w:spacing w:val="-12"/>
                <w:sz w:val="20"/>
              </w:rPr>
              <w:t> </w:t>
            </w:r>
            <w:r>
              <w:rPr>
                <w:sz w:val="20"/>
              </w:rPr>
              <w:t>таргетную</w:t>
            </w:r>
            <w:r>
              <w:rPr>
                <w:spacing w:val="-11"/>
                <w:sz w:val="20"/>
              </w:rPr>
              <w:t> </w:t>
            </w:r>
            <w:r>
              <w:rPr>
                <w:spacing w:val="-2"/>
                <w:sz w:val="20"/>
              </w:rPr>
              <w:t>терапию)</w:t>
            </w:r>
          </w:p>
        </w:tc>
        <w:tc>
          <w:tcPr>
            <w:tcW w:w="1968" w:type="dxa"/>
          </w:tcPr>
          <w:p>
            <w:pPr>
              <w:pStyle w:val="TableParagraph"/>
              <w:spacing w:line="219" w:lineRule="exact"/>
              <w:ind w:left="70" w:right="61"/>
              <w:jc w:val="center"/>
              <w:rPr>
                <w:sz w:val="20"/>
              </w:rPr>
            </w:pPr>
            <w:hyperlink r:id="rId160">
              <w:r>
                <w:rPr>
                  <w:sz w:val="20"/>
                </w:rPr>
                <w:t>C75,</w:t>
              </w:r>
              <w:r>
                <w:rPr>
                  <w:spacing w:val="-2"/>
                  <w:sz w:val="20"/>
                </w:rPr>
                <w:t> </w:t>
              </w:r>
            </w:hyperlink>
            <w:hyperlink r:id="rId161">
              <w:r>
                <w:rPr>
                  <w:sz w:val="20"/>
                </w:rPr>
                <w:t>C76,</w:t>
              </w:r>
              <w:r>
                <w:rPr>
                  <w:spacing w:val="-2"/>
                  <w:sz w:val="20"/>
                </w:rPr>
                <w:t> </w:t>
              </w:r>
            </w:hyperlink>
            <w:hyperlink r:id="rId162">
              <w:r>
                <w:rPr>
                  <w:sz w:val="20"/>
                </w:rPr>
                <w:t>C77,</w:t>
              </w:r>
              <w:r>
                <w:rPr>
                  <w:spacing w:val="-2"/>
                  <w:sz w:val="20"/>
                </w:rPr>
                <w:t> </w:t>
              </w:r>
            </w:hyperlink>
            <w:hyperlink r:id="rId126">
              <w:r>
                <w:rPr>
                  <w:spacing w:val="-4"/>
                  <w:sz w:val="20"/>
                </w:rPr>
                <w:t>C78,</w:t>
              </w:r>
            </w:hyperlink>
          </w:p>
        </w:tc>
        <w:tc>
          <w:tcPr>
            <w:tcW w:w="3150" w:type="dxa"/>
          </w:tcPr>
          <w:p>
            <w:pPr>
              <w:pStyle w:val="TableParagraph"/>
              <w:spacing w:line="219" w:lineRule="exact"/>
              <w:ind w:left="66"/>
              <w:rPr>
                <w:sz w:val="20"/>
              </w:rPr>
            </w:pPr>
            <w:r>
              <w:rPr>
                <w:sz w:val="20"/>
              </w:rPr>
              <w:t>опухоли</w:t>
            </w:r>
            <w:r>
              <w:rPr>
                <w:spacing w:val="-7"/>
                <w:sz w:val="20"/>
              </w:rPr>
              <w:t> </w:t>
            </w:r>
            <w:r>
              <w:rPr>
                <w:sz w:val="20"/>
              </w:rPr>
              <w:t>костей,</w:t>
            </w:r>
            <w:r>
              <w:rPr>
                <w:spacing w:val="-7"/>
                <w:sz w:val="20"/>
              </w:rPr>
              <w:t> </w:t>
            </w:r>
            <w:r>
              <w:rPr>
                <w:sz w:val="20"/>
              </w:rPr>
              <w:t>саркомы</w:t>
            </w:r>
            <w:r>
              <w:rPr>
                <w:spacing w:val="-7"/>
                <w:sz w:val="20"/>
              </w:rPr>
              <w:t> </w:t>
            </w:r>
            <w:r>
              <w:rPr>
                <w:spacing w:val="-2"/>
                <w:sz w:val="20"/>
              </w:rPr>
              <w:t>мягких</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39"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солидных</w:t>
            </w:r>
            <w:r>
              <w:rPr>
                <w:spacing w:val="-11"/>
                <w:sz w:val="20"/>
              </w:rPr>
              <w:t> </w:t>
            </w:r>
            <w:r>
              <w:rPr>
                <w:sz w:val="20"/>
              </w:rPr>
              <w:t>опухолей,</w:t>
            </w:r>
            <w:r>
              <w:rPr>
                <w:spacing w:val="-10"/>
                <w:sz w:val="20"/>
              </w:rPr>
              <w:t> </w:t>
            </w:r>
            <w:r>
              <w:rPr>
                <w:spacing w:val="-2"/>
                <w:sz w:val="20"/>
              </w:rPr>
              <w:t>рецидивов</w:t>
            </w:r>
          </w:p>
        </w:tc>
        <w:tc>
          <w:tcPr>
            <w:tcW w:w="1968" w:type="dxa"/>
          </w:tcPr>
          <w:p>
            <w:pPr>
              <w:pStyle w:val="TableParagraph"/>
              <w:spacing w:line="220" w:lineRule="exact"/>
              <w:ind w:left="68" w:right="64"/>
              <w:jc w:val="center"/>
              <w:rPr>
                <w:sz w:val="20"/>
              </w:rPr>
            </w:pPr>
            <w:hyperlink r:id="rId163">
              <w:r>
                <w:rPr>
                  <w:spacing w:val="-5"/>
                  <w:sz w:val="20"/>
                </w:rPr>
                <w:t>C79</w:t>
              </w:r>
            </w:hyperlink>
          </w:p>
        </w:tc>
        <w:tc>
          <w:tcPr>
            <w:tcW w:w="3150" w:type="dxa"/>
          </w:tcPr>
          <w:p>
            <w:pPr>
              <w:pStyle w:val="TableParagraph"/>
              <w:spacing w:line="220" w:lineRule="exact"/>
              <w:ind w:left="66"/>
              <w:rPr>
                <w:sz w:val="20"/>
              </w:rPr>
            </w:pPr>
            <w:r>
              <w:rPr>
                <w:spacing w:val="-2"/>
                <w:sz w:val="20"/>
              </w:rPr>
              <w:t>тканей,</w:t>
            </w:r>
            <w:r>
              <w:rPr>
                <w:spacing w:val="7"/>
                <w:sz w:val="20"/>
              </w:rPr>
              <w:t> </w:t>
            </w:r>
            <w:r>
              <w:rPr>
                <w:spacing w:val="-2"/>
                <w:sz w:val="20"/>
              </w:rPr>
              <w:t>герминогенные</w:t>
            </w:r>
            <w:r>
              <w:rPr>
                <w:spacing w:val="7"/>
                <w:sz w:val="20"/>
              </w:rPr>
              <w:t> </w:t>
            </w:r>
            <w:r>
              <w:rPr>
                <w:spacing w:val="-2"/>
                <w:sz w:val="20"/>
              </w:rPr>
              <w:t>опухоли.</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и</w:t>
            </w:r>
            <w:r>
              <w:rPr>
                <w:spacing w:val="-6"/>
                <w:sz w:val="20"/>
              </w:rPr>
              <w:t> </w:t>
            </w:r>
            <w:r>
              <w:rPr>
                <w:sz w:val="20"/>
              </w:rPr>
              <w:t>рефрактерных</w:t>
            </w:r>
            <w:r>
              <w:rPr>
                <w:spacing w:val="-6"/>
                <w:sz w:val="20"/>
              </w:rPr>
              <w:t> </w:t>
            </w:r>
            <w:r>
              <w:rPr>
                <w:sz w:val="20"/>
              </w:rPr>
              <w:t>форм</w:t>
            </w:r>
            <w:r>
              <w:rPr>
                <w:spacing w:val="-4"/>
                <w:sz w:val="20"/>
              </w:rPr>
              <w:t> </w:t>
            </w:r>
            <w:r>
              <w:rPr>
                <w:spacing w:val="-2"/>
                <w:sz w:val="20"/>
              </w:rPr>
              <w:t>солидных</w:t>
            </w:r>
          </w:p>
        </w:tc>
        <w:tc>
          <w:tcPr>
            <w:tcW w:w="1968" w:type="dxa"/>
          </w:tcPr>
          <w:p>
            <w:pPr>
              <w:pStyle w:val="TableParagraph"/>
              <w:rPr>
                <w:sz w:val="16"/>
              </w:rPr>
            </w:pPr>
          </w:p>
        </w:tc>
        <w:tc>
          <w:tcPr>
            <w:tcW w:w="3150" w:type="dxa"/>
          </w:tcPr>
          <w:p>
            <w:pPr>
              <w:pStyle w:val="TableParagraph"/>
              <w:spacing w:line="220" w:lineRule="exact"/>
              <w:ind w:left="66"/>
              <w:rPr>
                <w:sz w:val="20"/>
              </w:rPr>
            </w:pPr>
            <w:r>
              <w:rPr>
                <w:sz w:val="20"/>
              </w:rPr>
              <w:t>Рак</w:t>
            </w:r>
            <w:r>
              <w:rPr>
                <w:spacing w:val="-10"/>
                <w:sz w:val="20"/>
              </w:rPr>
              <w:t> </w:t>
            </w:r>
            <w:r>
              <w:rPr>
                <w:sz w:val="20"/>
              </w:rPr>
              <w:t>носоглотки.</w:t>
            </w:r>
            <w:r>
              <w:rPr>
                <w:spacing w:val="-8"/>
                <w:sz w:val="20"/>
              </w:rPr>
              <w:t> </w:t>
            </w:r>
            <w:r>
              <w:rPr>
                <w:sz w:val="20"/>
              </w:rPr>
              <w:t>Меланома.</w:t>
            </w:r>
            <w:r>
              <w:rPr>
                <w:spacing w:val="-6"/>
                <w:sz w:val="20"/>
              </w:rPr>
              <w:t> </w:t>
            </w:r>
            <w:r>
              <w:rPr>
                <w:spacing w:val="-2"/>
                <w:sz w:val="20"/>
              </w:rPr>
              <w:t>Другие</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опухолей,</w:t>
            </w:r>
            <w:r>
              <w:rPr>
                <w:spacing w:val="-5"/>
                <w:sz w:val="20"/>
              </w:rPr>
              <w:t> </w:t>
            </w:r>
            <w:r>
              <w:rPr>
                <w:sz w:val="20"/>
              </w:rPr>
              <w:t>в</w:t>
            </w:r>
            <w:r>
              <w:rPr>
                <w:spacing w:val="-3"/>
                <w:sz w:val="20"/>
              </w:rPr>
              <w:t> </w:t>
            </w:r>
            <w:r>
              <w:rPr>
                <w:sz w:val="20"/>
              </w:rPr>
              <w:t>том</w:t>
            </w:r>
            <w:r>
              <w:rPr>
                <w:spacing w:val="-4"/>
                <w:sz w:val="20"/>
              </w:rPr>
              <w:t> </w:t>
            </w:r>
            <w:r>
              <w:rPr>
                <w:sz w:val="20"/>
              </w:rPr>
              <w:t>числе</w:t>
            </w:r>
            <w:r>
              <w:rPr>
                <w:spacing w:val="-2"/>
                <w:sz w:val="20"/>
              </w:rPr>
              <w:t> </w:t>
            </w:r>
            <w:r>
              <w:rPr>
                <w:sz w:val="20"/>
              </w:rPr>
              <w:t>у</w:t>
            </w:r>
            <w:r>
              <w:rPr>
                <w:spacing w:val="-6"/>
                <w:sz w:val="20"/>
              </w:rPr>
              <w:t> </w:t>
            </w:r>
            <w:r>
              <w:rPr>
                <w:spacing w:val="-2"/>
                <w:sz w:val="20"/>
              </w:rPr>
              <w:t>детей</w:t>
            </w:r>
          </w:p>
        </w:tc>
        <w:tc>
          <w:tcPr>
            <w:tcW w:w="1968" w:type="dxa"/>
          </w:tcPr>
          <w:p>
            <w:pPr>
              <w:pStyle w:val="TableParagraph"/>
              <w:rPr>
                <w:sz w:val="16"/>
              </w:rPr>
            </w:pPr>
          </w:p>
        </w:tc>
        <w:tc>
          <w:tcPr>
            <w:tcW w:w="3150" w:type="dxa"/>
          </w:tcPr>
          <w:p>
            <w:pPr>
              <w:pStyle w:val="TableParagraph"/>
              <w:spacing w:line="220" w:lineRule="exact"/>
              <w:ind w:left="66"/>
              <w:rPr>
                <w:sz w:val="20"/>
              </w:rPr>
            </w:pPr>
            <w:r>
              <w:rPr>
                <w:w w:val="95"/>
                <w:sz w:val="20"/>
              </w:rPr>
              <w:t>злокачественные</w:t>
            </w:r>
            <w:r>
              <w:rPr>
                <w:spacing w:val="56"/>
                <w:sz w:val="20"/>
              </w:rPr>
              <w:t> </w:t>
            </w:r>
            <w:r>
              <w:rPr>
                <w:spacing w:val="-2"/>
                <w:sz w:val="20"/>
              </w:rPr>
              <w:t>эпителиальные</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30" w:hRule="atLeast"/>
        </w:trPr>
        <w:tc>
          <w:tcPr>
            <w:tcW w:w="472" w:type="dxa"/>
          </w:tcPr>
          <w:p>
            <w:pPr>
              <w:pStyle w:val="TableParagraph"/>
              <w:rPr>
                <w:sz w:val="16"/>
              </w:rPr>
            </w:pPr>
          </w:p>
        </w:tc>
        <w:tc>
          <w:tcPr>
            <w:tcW w:w="3019" w:type="dxa"/>
          </w:tcPr>
          <w:p>
            <w:pPr>
              <w:pStyle w:val="TableParagraph"/>
              <w:rPr>
                <w:sz w:val="16"/>
              </w:rPr>
            </w:pPr>
          </w:p>
        </w:tc>
        <w:tc>
          <w:tcPr>
            <w:tcW w:w="1968" w:type="dxa"/>
          </w:tcPr>
          <w:p>
            <w:pPr>
              <w:pStyle w:val="TableParagraph"/>
              <w:rPr>
                <w:sz w:val="16"/>
              </w:rPr>
            </w:pPr>
          </w:p>
        </w:tc>
        <w:tc>
          <w:tcPr>
            <w:tcW w:w="3150" w:type="dxa"/>
          </w:tcPr>
          <w:p>
            <w:pPr>
              <w:pStyle w:val="TableParagraph"/>
              <w:spacing w:line="210" w:lineRule="exact"/>
              <w:ind w:left="66"/>
              <w:rPr>
                <w:sz w:val="20"/>
              </w:rPr>
            </w:pPr>
            <w:r>
              <w:rPr>
                <w:sz w:val="20"/>
              </w:rPr>
              <w:t>опухоли.</w:t>
            </w:r>
            <w:r>
              <w:rPr>
                <w:spacing w:val="-7"/>
                <w:sz w:val="20"/>
              </w:rPr>
              <w:t> </w:t>
            </w:r>
            <w:r>
              <w:rPr>
                <w:sz w:val="20"/>
              </w:rPr>
              <w:t>Опухоли</w:t>
            </w:r>
            <w:r>
              <w:rPr>
                <w:spacing w:val="-7"/>
                <w:sz w:val="20"/>
              </w:rPr>
              <w:t> </w:t>
            </w:r>
            <w:r>
              <w:rPr>
                <w:sz w:val="20"/>
              </w:rPr>
              <w:t>головы</w:t>
            </w:r>
            <w:r>
              <w:rPr>
                <w:spacing w:val="-4"/>
                <w:sz w:val="20"/>
              </w:rPr>
              <w:t> </w:t>
            </w:r>
            <w:r>
              <w:rPr>
                <w:sz w:val="20"/>
              </w:rPr>
              <w:t>и</w:t>
            </w:r>
            <w:r>
              <w:rPr>
                <w:spacing w:val="-5"/>
                <w:sz w:val="20"/>
              </w:rPr>
              <w:t> </w:t>
            </w:r>
            <w:r>
              <w:rPr>
                <w:sz w:val="20"/>
              </w:rPr>
              <w:t>шеи</w:t>
            </w:r>
            <w:r>
              <w:rPr>
                <w:spacing w:val="-4"/>
                <w:sz w:val="20"/>
              </w:rPr>
              <w:t> </w:t>
            </w:r>
            <w:r>
              <w:rPr>
                <w:spacing w:val="-10"/>
                <w:sz w:val="20"/>
              </w:rPr>
              <w:t>у</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2"/>
        <w:gridCol w:w="1974"/>
        <w:gridCol w:w="3162"/>
        <w:gridCol w:w="1619"/>
        <w:gridCol w:w="3792"/>
        <w:gridCol w:w="962"/>
      </w:tblGrid>
      <w:tr>
        <w:trPr>
          <w:trHeight w:val="173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spacing w:line="249" w:lineRule="auto"/>
              <w:ind w:left="67"/>
              <w:rPr>
                <w:sz w:val="20"/>
              </w:rPr>
            </w:pPr>
            <w:r>
              <w:rPr>
                <w:sz w:val="20"/>
              </w:rPr>
              <w:t>детей (остеосаркома, опухоли семейства саркомы Юинга, хондросаркома, злокачественная фиброзная</w:t>
            </w:r>
            <w:r>
              <w:rPr>
                <w:spacing w:val="-13"/>
                <w:sz w:val="20"/>
              </w:rPr>
              <w:t> </w:t>
            </w:r>
            <w:r>
              <w:rPr>
                <w:sz w:val="20"/>
              </w:rPr>
              <w:t>гистиоцитома,</w:t>
            </w:r>
            <w:r>
              <w:rPr>
                <w:spacing w:val="-12"/>
                <w:sz w:val="20"/>
              </w:rPr>
              <w:t> </w:t>
            </w:r>
            <w:r>
              <w:rPr>
                <w:sz w:val="20"/>
              </w:rPr>
              <w:t>саркомы мягких тканей, ретинобластома, опухоли параменингеальной области). Высокий риск</w:t>
            </w:r>
          </w:p>
        </w:tc>
        <w:tc>
          <w:tcPr>
            <w:tcW w:w="1619" w:type="dxa"/>
          </w:tcPr>
          <w:p>
            <w:pPr>
              <w:pStyle w:val="TableParagraph"/>
              <w:rPr>
                <w:sz w:val="18"/>
              </w:rPr>
            </w:pPr>
          </w:p>
        </w:tc>
        <w:tc>
          <w:tcPr>
            <w:tcW w:w="3792" w:type="dxa"/>
          </w:tcPr>
          <w:p>
            <w:pPr>
              <w:pStyle w:val="TableParagraph"/>
              <w:rPr>
                <w:sz w:val="18"/>
              </w:rPr>
            </w:pPr>
          </w:p>
        </w:tc>
        <w:tc>
          <w:tcPr>
            <w:tcW w:w="962" w:type="dxa"/>
          </w:tcPr>
          <w:p>
            <w:pPr>
              <w:pStyle w:val="TableParagraph"/>
              <w:rPr>
                <w:sz w:val="18"/>
              </w:rPr>
            </w:pPr>
          </w:p>
        </w:tc>
      </w:tr>
      <w:tr>
        <w:trPr>
          <w:trHeight w:val="300" w:hRule="atLeast"/>
        </w:trPr>
        <w:tc>
          <w:tcPr>
            <w:tcW w:w="472" w:type="dxa"/>
          </w:tcPr>
          <w:p>
            <w:pPr>
              <w:pStyle w:val="TableParagraph"/>
              <w:spacing w:line="220" w:lineRule="exact" w:before="60"/>
              <w:ind w:left="50"/>
              <w:rPr>
                <w:sz w:val="20"/>
              </w:rPr>
            </w:pPr>
            <w:r>
              <w:rPr>
                <w:spacing w:val="-5"/>
                <w:sz w:val="20"/>
              </w:rPr>
              <w:t>23.</w:t>
            </w:r>
          </w:p>
        </w:tc>
        <w:tc>
          <w:tcPr>
            <w:tcW w:w="3012" w:type="dxa"/>
          </w:tcPr>
          <w:p>
            <w:pPr>
              <w:pStyle w:val="TableParagraph"/>
              <w:spacing w:line="220" w:lineRule="exact" w:before="60"/>
              <w:ind w:left="168"/>
              <w:rPr>
                <w:sz w:val="20"/>
              </w:rPr>
            </w:pPr>
            <w:r>
              <w:rPr>
                <w:sz w:val="20"/>
              </w:rPr>
              <w:t>Дистанционная</w:t>
            </w:r>
            <w:r>
              <w:rPr>
                <w:spacing w:val="-12"/>
                <w:sz w:val="20"/>
              </w:rPr>
              <w:t> </w:t>
            </w:r>
            <w:r>
              <w:rPr>
                <w:sz w:val="20"/>
              </w:rPr>
              <w:t>лучевая</w:t>
            </w:r>
            <w:r>
              <w:rPr>
                <w:spacing w:val="-11"/>
                <w:sz w:val="20"/>
              </w:rPr>
              <w:t> </w:t>
            </w:r>
            <w:r>
              <w:rPr>
                <w:spacing w:val="-2"/>
                <w:sz w:val="20"/>
              </w:rPr>
              <w:t>терапия</w:t>
            </w:r>
          </w:p>
        </w:tc>
        <w:tc>
          <w:tcPr>
            <w:tcW w:w="1974" w:type="dxa"/>
          </w:tcPr>
          <w:p>
            <w:pPr>
              <w:pStyle w:val="TableParagraph"/>
              <w:spacing w:line="220" w:lineRule="exact" w:before="60"/>
              <w:ind w:left="78" w:right="66"/>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73">
              <w:r>
                <w:rPr>
                  <w:spacing w:val="-4"/>
                  <w:sz w:val="20"/>
                </w:rPr>
                <w:t>C17,</w:t>
              </w:r>
            </w:hyperlink>
          </w:p>
        </w:tc>
        <w:tc>
          <w:tcPr>
            <w:tcW w:w="3162" w:type="dxa"/>
          </w:tcPr>
          <w:p>
            <w:pPr>
              <w:pStyle w:val="TableParagraph"/>
              <w:spacing w:line="220" w:lineRule="exact" w:before="60"/>
              <w:ind w:left="67"/>
              <w:rPr>
                <w:sz w:val="20"/>
              </w:rPr>
            </w:pPr>
            <w:r>
              <w:rPr>
                <w:w w:val="95"/>
                <w:sz w:val="20"/>
              </w:rPr>
              <w:t>злокачественные</w:t>
            </w:r>
            <w:r>
              <w:rPr>
                <w:spacing w:val="56"/>
                <w:sz w:val="20"/>
              </w:rPr>
              <w:t> </w:t>
            </w:r>
            <w:r>
              <w:rPr>
                <w:spacing w:val="-2"/>
                <w:sz w:val="20"/>
              </w:rPr>
              <w:t>новообразования</w:t>
            </w:r>
          </w:p>
        </w:tc>
        <w:tc>
          <w:tcPr>
            <w:tcW w:w="1619" w:type="dxa"/>
          </w:tcPr>
          <w:p>
            <w:pPr>
              <w:pStyle w:val="TableParagraph"/>
              <w:spacing w:line="220" w:lineRule="exact" w:before="60"/>
              <w:ind w:left="61"/>
              <w:rPr>
                <w:sz w:val="20"/>
              </w:rPr>
            </w:pPr>
            <w:r>
              <w:rPr>
                <w:spacing w:val="-2"/>
                <w:sz w:val="20"/>
              </w:rPr>
              <w:t>терапевтическое</w:t>
            </w:r>
          </w:p>
        </w:tc>
        <w:tc>
          <w:tcPr>
            <w:tcW w:w="3792" w:type="dxa"/>
          </w:tcPr>
          <w:p>
            <w:pPr>
              <w:pStyle w:val="TableParagraph"/>
              <w:spacing w:line="220" w:lineRule="exact" w:before="60"/>
              <w:ind w:left="140"/>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62" w:type="dxa"/>
          </w:tcPr>
          <w:p>
            <w:pPr>
              <w:pStyle w:val="TableParagraph"/>
              <w:spacing w:line="220" w:lineRule="exact" w:before="60"/>
              <w:ind w:left="409"/>
              <w:rPr>
                <w:sz w:val="20"/>
              </w:rPr>
            </w:pPr>
            <w:r>
              <w:rPr>
                <w:spacing w:val="-2"/>
                <w:sz w:val="20"/>
              </w:rPr>
              <w:t>78581</w:t>
            </w: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в</w:t>
            </w:r>
            <w:r>
              <w:rPr>
                <w:spacing w:val="-2"/>
                <w:sz w:val="20"/>
              </w:rPr>
              <w:t> радиотерапевтических</w:t>
            </w:r>
          </w:p>
        </w:tc>
        <w:tc>
          <w:tcPr>
            <w:tcW w:w="1974" w:type="dxa"/>
          </w:tcPr>
          <w:p>
            <w:pPr>
              <w:pStyle w:val="TableParagraph"/>
              <w:spacing w:line="220" w:lineRule="exact"/>
              <w:ind w:left="78" w:right="66"/>
              <w:jc w:val="center"/>
              <w:rPr>
                <w:sz w:val="20"/>
              </w:rPr>
            </w:pPr>
            <w:hyperlink r:id="rId74">
              <w:r>
                <w:rPr>
                  <w:sz w:val="20"/>
                </w:rPr>
                <w:t>C18</w:t>
              </w:r>
              <w:r>
                <w:rPr>
                  <w:spacing w:val="-1"/>
                  <w:sz w:val="20"/>
                </w:rPr>
                <w:t> </w:t>
              </w:r>
            </w:hyperlink>
            <w:r>
              <w:rPr>
                <w:sz w:val="20"/>
              </w:rPr>
              <w:t>-</w:t>
            </w:r>
            <w:r>
              <w:rPr>
                <w:spacing w:val="-4"/>
                <w:sz w:val="20"/>
              </w:rPr>
              <w:t> </w:t>
            </w:r>
            <w:hyperlink r:id="rId79">
              <w:r>
                <w:rPr>
                  <w:sz w:val="20"/>
                </w:rPr>
                <w:t>C22,</w:t>
              </w:r>
              <w:r>
                <w:rPr>
                  <w:spacing w:val="-1"/>
                  <w:sz w:val="20"/>
                </w:rPr>
                <w:t> </w:t>
              </w:r>
            </w:hyperlink>
            <w:hyperlink r:id="rId80">
              <w:r>
                <w:rPr>
                  <w:sz w:val="20"/>
                </w:rPr>
                <w:t>C23</w:t>
              </w:r>
              <w:r>
                <w:rPr>
                  <w:spacing w:val="-1"/>
                  <w:sz w:val="20"/>
                </w:rPr>
                <w:t> </w:t>
              </w:r>
            </w:hyperlink>
            <w:r>
              <w:rPr>
                <w:sz w:val="20"/>
              </w:rPr>
              <w:t>-</w:t>
            </w:r>
            <w:r>
              <w:rPr>
                <w:spacing w:val="-4"/>
                <w:sz w:val="20"/>
              </w:rPr>
              <w:t> </w:t>
            </w:r>
            <w:hyperlink r:id="rId129">
              <w:r>
                <w:rPr>
                  <w:spacing w:val="-4"/>
                  <w:sz w:val="20"/>
                </w:rPr>
                <w:t>C25,</w:t>
              </w:r>
            </w:hyperlink>
          </w:p>
        </w:tc>
        <w:tc>
          <w:tcPr>
            <w:tcW w:w="3162" w:type="dxa"/>
          </w:tcPr>
          <w:p>
            <w:pPr>
              <w:pStyle w:val="TableParagraph"/>
              <w:spacing w:line="220" w:lineRule="exact"/>
              <w:ind w:left="67"/>
              <w:rPr>
                <w:sz w:val="20"/>
              </w:rPr>
            </w:pPr>
            <w:r>
              <w:rPr>
                <w:sz w:val="20"/>
              </w:rPr>
              <w:t>головы</w:t>
            </w:r>
            <w:r>
              <w:rPr>
                <w:spacing w:val="-6"/>
                <w:sz w:val="20"/>
              </w:rPr>
              <w:t> </w:t>
            </w:r>
            <w:r>
              <w:rPr>
                <w:sz w:val="20"/>
              </w:rPr>
              <w:t>и</w:t>
            </w:r>
            <w:r>
              <w:rPr>
                <w:spacing w:val="-6"/>
                <w:sz w:val="20"/>
              </w:rPr>
              <w:t> </w:t>
            </w:r>
            <w:r>
              <w:rPr>
                <w:sz w:val="20"/>
              </w:rPr>
              <w:t>шеи,</w:t>
            </w:r>
            <w:r>
              <w:rPr>
                <w:spacing w:val="-3"/>
                <w:sz w:val="20"/>
              </w:rPr>
              <w:t> </w:t>
            </w:r>
            <w:r>
              <w:rPr>
                <w:sz w:val="20"/>
              </w:rPr>
              <w:t>трахеи,</w:t>
            </w:r>
            <w:r>
              <w:rPr>
                <w:spacing w:val="-4"/>
                <w:sz w:val="20"/>
              </w:rPr>
              <w:t> </w:t>
            </w:r>
            <w:r>
              <w:rPr>
                <w:spacing w:val="-2"/>
                <w:sz w:val="20"/>
              </w:rPr>
              <w:t>бронхов,</w:t>
            </w:r>
          </w:p>
        </w:tc>
        <w:tc>
          <w:tcPr>
            <w:tcW w:w="1619" w:type="dxa"/>
          </w:tcPr>
          <w:p>
            <w:pPr>
              <w:pStyle w:val="TableParagraph"/>
              <w:spacing w:line="220" w:lineRule="exact"/>
              <w:ind w:left="61"/>
              <w:rPr>
                <w:sz w:val="20"/>
              </w:rPr>
            </w:pPr>
            <w:r>
              <w:rPr>
                <w:spacing w:val="-2"/>
                <w:sz w:val="20"/>
              </w:rPr>
              <w:t>лечение</w:t>
            </w:r>
          </w:p>
        </w:tc>
        <w:tc>
          <w:tcPr>
            <w:tcW w:w="3792" w:type="dxa"/>
          </w:tcPr>
          <w:p>
            <w:pPr>
              <w:pStyle w:val="TableParagraph"/>
              <w:spacing w:line="220" w:lineRule="exact"/>
              <w:ind w:left="140"/>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отделениях</w:t>
            </w:r>
            <w:r>
              <w:rPr>
                <w:spacing w:val="-10"/>
                <w:sz w:val="20"/>
              </w:rPr>
              <w:t> </w:t>
            </w:r>
            <w:r>
              <w:rPr>
                <w:spacing w:val="-5"/>
                <w:sz w:val="20"/>
              </w:rPr>
              <w:t>при</w:t>
            </w:r>
          </w:p>
        </w:tc>
        <w:tc>
          <w:tcPr>
            <w:tcW w:w="1974" w:type="dxa"/>
          </w:tcPr>
          <w:p>
            <w:pPr>
              <w:pStyle w:val="TableParagraph"/>
              <w:spacing w:line="220" w:lineRule="exact"/>
              <w:ind w:left="78" w:right="61"/>
              <w:jc w:val="center"/>
              <w:rPr>
                <w:sz w:val="20"/>
              </w:rPr>
            </w:pPr>
            <w:hyperlink r:id="rId148">
              <w:r>
                <w:rPr>
                  <w:sz w:val="20"/>
                </w:rPr>
                <w:t>C30,</w:t>
              </w:r>
              <w:r>
                <w:rPr>
                  <w:spacing w:val="-2"/>
                  <w:sz w:val="20"/>
                </w:rPr>
                <w:t> </w:t>
              </w:r>
            </w:hyperlink>
            <w:hyperlink r:id="rId164">
              <w:r>
                <w:rPr>
                  <w:sz w:val="20"/>
                </w:rPr>
                <w:t>C31,</w:t>
              </w:r>
              <w:r>
                <w:rPr>
                  <w:spacing w:val="-2"/>
                  <w:sz w:val="20"/>
                </w:rPr>
                <w:t> </w:t>
              </w:r>
            </w:hyperlink>
            <w:hyperlink r:id="rId149">
              <w:r>
                <w:rPr>
                  <w:sz w:val="20"/>
                </w:rPr>
                <w:t>C32,</w:t>
              </w:r>
              <w:r>
                <w:rPr>
                  <w:spacing w:val="-2"/>
                  <w:sz w:val="20"/>
                </w:rPr>
                <w:t> </w:t>
              </w:r>
            </w:hyperlink>
            <w:hyperlink r:id="rId65">
              <w:r>
                <w:rPr>
                  <w:spacing w:val="-4"/>
                  <w:sz w:val="20"/>
                </w:rPr>
                <w:t>C33,</w:t>
              </w:r>
            </w:hyperlink>
          </w:p>
        </w:tc>
        <w:tc>
          <w:tcPr>
            <w:tcW w:w="3162" w:type="dxa"/>
          </w:tcPr>
          <w:p>
            <w:pPr>
              <w:pStyle w:val="TableParagraph"/>
              <w:spacing w:line="220" w:lineRule="exact"/>
              <w:ind w:left="67"/>
              <w:rPr>
                <w:sz w:val="20"/>
              </w:rPr>
            </w:pPr>
            <w:r>
              <w:rPr>
                <w:sz w:val="20"/>
              </w:rPr>
              <w:t>легкого,</w:t>
            </w:r>
            <w:r>
              <w:rPr>
                <w:spacing w:val="-8"/>
                <w:sz w:val="20"/>
              </w:rPr>
              <w:t> </w:t>
            </w:r>
            <w:r>
              <w:rPr>
                <w:sz w:val="20"/>
              </w:rPr>
              <w:t>плевры,</w:t>
            </w:r>
            <w:r>
              <w:rPr>
                <w:spacing w:val="-6"/>
                <w:sz w:val="20"/>
              </w:rPr>
              <w:t> </w:t>
            </w:r>
            <w:r>
              <w:rPr>
                <w:spacing w:val="-2"/>
                <w:sz w:val="20"/>
              </w:rPr>
              <w:t>средостения,</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VMAT,</w:t>
            </w:r>
            <w:r>
              <w:rPr>
                <w:spacing w:val="-5"/>
                <w:sz w:val="20"/>
              </w:rPr>
              <w:t> </w:t>
            </w:r>
            <w:r>
              <w:rPr>
                <w:sz w:val="20"/>
              </w:rPr>
              <w:t>стереотаксическая</w:t>
            </w:r>
            <w:r>
              <w:rPr>
                <w:spacing w:val="-5"/>
                <w:sz w:val="20"/>
              </w:rPr>
              <w:t> </w:t>
            </w:r>
            <w:r>
              <w:rPr>
                <w:sz w:val="20"/>
              </w:rPr>
              <w:t>(1</w:t>
            </w:r>
            <w:r>
              <w:rPr>
                <w:spacing w:val="-2"/>
                <w:sz w:val="20"/>
              </w:rPr>
              <w:t> </w:t>
            </w:r>
            <w:r>
              <w:rPr>
                <w:sz w:val="20"/>
              </w:rPr>
              <w:t>-</w:t>
            </w:r>
            <w:r>
              <w:rPr>
                <w:spacing w:val="-7"/>
                <w:sz w:val="20"/>
              </w:rPr>
              <w:t> </w:t>
            </w:r>
            <w:r>
              <w:rPr>
                <w:sz w:val="20"/>
              </w:rPr>
              <w:t>39</w:t>
            </w:r>
            <w:r>
              <w:rPr>
                <w:spacing w:val="-3"/>
                <w:sz w:val="20"/>
              </w:rPr>
              <w:t> </w:t>
            </w:r>
            <w:r>
              <w:rPr>
                <w:spacing w:val="-4"/>
                <w:sz w:val="20"/>
              </w:rPr>
              <w:t>Гр).</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злокачественных</w:t>
            </w:r>
          </w:p>
        </w:tc>
        <w:tc>
          <w:tcPr>
            <w:tcW w:w="1974" w:type="dxa"/>
          </w:tcPr>
          <w:p>
            <w:pPr>
              <w:pStyle w:val="TableParagraph"/>
              <w:spacing w:line="220" w:lineRule="exact"/>
              <w:ind w:left="78" w:right="61"/>
              <w:jc w:val="center"/>
              <w:rPr>
                <w:sz w:val="20"/>
              </w:rPr>
            </w:pPr>
            <w:hyperlink r:id="rId82">
              <w:r>
                <w:rPr>
                  <w:sz w:val="20"/>
                </w:rPr>
                <w:t>C34,</w:t>
              </w:r>
              <w:r>
                <w:rPr>
                  <w:spacing w:val="-2"/>
                  <w:sz w:val="20"/>
                </w:rPr>
                <w:t> </w:t>
              </w:r>
            </w:hyperlink>
            <w:hyperlink r:id="rId83">
              <w:r>
                <w:rPr>
                  <w:sz w:val="20"/>
                </w:rPr>
                <w:t>C37,</w:t>
              </w:r>
              <w:r>
                <w:rPr>
                  <w:spacing w:val="-2"/>
                  <w:sz w:val="20"/>
                </w:rPr>
                <w:t> </w:t>
              </w:r>
            </w:hyperlink>
            <w:hyperlink r:id="rId128">
              <w:r>
                <w:rPr>
                  <w:sz w:val="20"/>
                </w:rPr>
                <w:t>C39,</w:t>
              </w:r>
              <w:r>
                <w:rPr>
                  <w:spacing w:val="-2"/>
                  <w:sz w:val="20"/>
                </w:rPr>
                <w:t> </w:t>
              </w:r>
            </w:hyperlink>
            <w:hyperlink r:id="rId130">
              <w:r>
                <w:rPr>
                  <w:spacing w:val="-4"/>
                  <w:sz w:val="20"/>
                </w:rPr>
                <w:t>C40,</w:t>
              </w:r>
            </w:hyperlink>
          </w:p>
        </w:tc>
        <w:tc>
          <w:tcPr>
            <w:tcW w:w="3162" w:type="dxa"/>
          </w:tcPr>
          <w:p>
            <w:pPr>
              <w:pStyle w:val="TableParagraph"/>
              <w:spacing w:line="220" w:lineRule="exact"/>
              <w:ind w:left="67"/>
              <w:rPr>
                <w:sz w:val="20"/>
              </w:rPr>
            </w:pPr>
            <w:r>
              <w:rPr>
                <w:sz w:val="20"/>
              </w:rPr>
              <w:t>щитовидной</w:t>
            </w:r>
            <w:r>
              <w:rPr>
                <w:spacing w:val="-10"/>
                <w:sz w:val="20"/>
              </w:rPr>
              <w:t> </w:t>
            </w:r>
            <w:r>
              <w:rPr>
                <w:sz w:val="20"/>
              </w:rPr>
              <w:t>железы,</w:t>
            </w:r>
            <w:r>
              <w:rPr>
                <w:spacing w:val="-10"/>
                <w:sz w:val="20"/>
              </w:rPr>
              <w:t> </w:t>
            </w:r>
            <w:r>
              <w:rPr>
                <w:spacing w:val="-2"/>
                <w:sz w:val="20"/>
              </w:rPr>
              <w:t>молочной</w:t>
            </w:r>
          </w:p>
        </w:tc>
        <w:tc>
          <w:tcPr>
            <w:tcW w:w="1619" w:type="dxa"/>
          </w:tcPr>
          <w:p>
            <w:pPr>
              <w:pStyle w:val="TableParagraph"/>
              <w:rPr>
                <w:sz w:val="16"/>
              </w:rPr>
            </w:pPr>
          </w:p>
        </w:tc>
        <w:tc>
          <w:tcPr>
            <w:tcW w:w="3792" w:type="dxa"/>
          </w:tcPr>
          <w:p>
            <w:pPr>
              <w:pStyle w:val="TableParagraph"/>
              <w:spacing w:line="220" w:lineRule="exact"/>
              <w:ind w:left="140"/>
              <w:rPr>
                <w:sz w:val="20"/>
              </w:rPr>
            </w:pPr>
            <w:r>
              <w:rPr>
                <w:w w:val="95"/>
                <w:sz w:val="20"/>
              </w:rPr>
              <w:t>Радиомодификация.</w:t>
            </w:r>
            <w:r>
              <w:rPr>
                <w:spacing w:val="67"/>
                <w:sz w:val="20"/>
              </w:rPr>
              <w:t> </w:t>
            </w:r>
            <w:r>
              <w:rPr>
                <w:spacing w:val="-2"/>
                <w:sz w:val="20"/>
              </w:rPr>
              <w:t>Компьютерно-</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новообразованиях</w:t>
            </w:r>
          </w:p>
        </w:tc>
        <w:tc>
          <w:tcPr>
            <w:tcW w:w="1974" w:type="dxa"/>
          </w:tcPr>
          <w:p>
            <w:pPr>
              <w:pStyle w:val="TableParagraph"/>
              <w:spacing w:line="220" w:lineRule="exact"/>
              <w:ind w:left="78" w:right="61"/>
              <w:jc w:val="center"/>
              <w:rPr>
                <w:sz w:val="20"/>
              </w:rPr>
            </w:pPr>
            <w:hyperlink r:id="rId131">
              <w:r>
                <w:rPr>
                  <w:sz w:val="20"/>
                </w:rPr>
                <w:t>C41,</w:t>
              </w:r>
              <w:r>
                <w:rPr>
                  <w:spacing w:val="-2"/>
                  <w:sz w:val="20"/>
                </w:rPr>
                <w:t> </w:t>
              </w:r>
            </w:hyperlink>
            <w:hyperlink r:id="rId67">
              <w:r>
                <w:rPr>
                  <w:sz w:val="20"/>
                </w:rPr>
                <w:t>C44,</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62" w:type="dxa"/>
          </w:tcPr>
          <w:p>
            <w:pPr>
              <w:pStyle w:val="TableParagraph"/>
              <w:spacing w:line="220" w:lineRule="exact"/>
              <w:ind w:left="67"/>
              <w:rPr>
                <w:sz w:val="20"/>
              </w:rPr>
            </w:pPr>
            <w:r>
              <w:rPr>
                <w:sz w:val="20"/>
              </w:rPr>
              <w:t>железы,</w:t>
            </w:r>
            <w:r>
              <w:rPr>
                <w:spacing w:val="-7"/>
                <w:sz w:val="20"/>
              </w:rPr>
              <w:t> </w:t>
            </w:r>
            <w:r>
              <w:rPr>
                <w:sz w:val="20"/>
              </w:rPr>
              <w:t>пищевода,</w:t>
            </w:r>
            <w:r>
              <w:rPr>
                <w:spacing w:val="-8"/>
                <w:sz w:val="20"/>
              </w:rPr>
              <w:t> </w:t>
            </w:r>
            <w:r>
              <w:rPr>
                <w:spacing w:val="-2"/>
                <w:sz w:val="20"/>
              </w:rPr>
              <w:t>желудка,</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15">
              <w:r>
                <w:rPr>
                  <w:sz w:val="20"/>
                </w:rPr>
                <w:t>C50,</w:t>
              </w:r>
              <w:r>
                <w:rPr>
                  <w:spacing w:val="-2"/>
                  <w:sz w:val="20"/>
                </w:rPr>
                <w:t> </w:t>
              </w:r>
            </w:hyperlink>
            <w:hyperlink r:id="rId152">
              <w:r>
                <w:rPr>
                  <w:sz w:val="20"/>
                </w:rPr>
                <w:t>C51,</w:t>
              </w:r>
              <w:r>
                <w:rPr>
                  <w:spacing w:val="-2"/>
                  <w:sz w:val="20"/>
                </w:rPr>
                <w:t> </w:t>
              </w:r>
            </w:hyperlink>
            <w:hyperlink r:id="rId165">
              <w:r>
                <w:rPr>
                  <w:sz w:val="20"/>
                </w:rPr>
                <w:t>C55,</w:t>
              </w:r>
              <w:r>
                <w:rPr>
                  <w:spacing w:val="-2"/>
                  <w:sz w:val="20"/>
                </w:rPr>
                <w:t> </w:t>
              </w:r>
            </w:hyperlink>
            <w:hyperlink r:id="rId120">
              <w:r>
                <w:rPr>
                  <w:spacing w:val="-4"/>
                  <w:sz w:val="20"/>
                </w:rPr>
                <w:t>C60,</w:t>
              </w:r>
            </w:hyperlink>
          </w:p>
        </w:tc>
        <w:tc>
          <w:tcPr>
            <w:tcW w:w="3162" w:type="dxa"/>
          </w:tcPr>
          <w:p>
            <w:pPr>
              <w:pStyle w:val="TableParagraph"/>
              <w:spacing w:line="220" w:lineRule="exact"/>
              <w:ind w:left="67"/>
              <w:rPr>
                <w:sz w:val="20"/>
              </w:rPr>
            </w:pPr>
            <w:r>
              <w:rPr>
                <w:sz w:val="20"/>
              </w:rPr>
              <w:t>тонкой</w:t>
            </w:r>
            <w:r>
              <w:rPr>
                <w:spacing w:val="-8"/>
                <w:sz w:val="20"/>
              </w:rPr>
              <w:t> </w:t>
            </w:r>
            <w:r>
              <w:rPr>
                <w:sz w:val="20"/>
              </w:rPr>
              <w:t>кишки,</w:t>
            </w:r>
            <w:r>
              <w:rPr>
                <w:spacing w:val="-8"/>
                <w:sz w:val="20"/>
              </w:rPr>
              <w:t> </w:t>
            </w:r>
            <w:r>
              <w:rPr>
                <w:sz w:val="20"/>
              </w:rPr>
              <w:t>ободочной</w:t>
            </w:r>
            <w:r>
              <w:rPr>
                <w:spacing w:val="-9"/>
                <w:sz w:val="20"/>
              </w:rPr>
              <w:t> </w:t>
            </w:r>
            <w:r>
              <w:rPr>
                <w:spacing w:val="-2"/>
                <w:sz w:val="20"/>
              </w:rPr>
              <w:t>кишки,</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21">
              <w:r>
                <w:rPr>
                  <w:sz w:val="20"/>
                </w:rPr>
                <w:t>C61,</w:t>
              </w:r>
              <w:r>
                <w:rPr>
                  <w:spacing w:val="-2"/>
                  <w:sz w:val="20"/>
                </w:rPr>
                <w:t> </w:t>
              </w:r>
            </w:hyperlink>
            <w:hyperlink r:id="rId123">
              <w:r>
                <w:rPr>
                  <w:sz w:val="20"/>
                </w:rPr>
                <w:t>C64,</w:t>
              </w:r>
              <w:r>
                <w:rPr>
                  <w:spacing w:val="-2"/>
                  <w:sz w:val="20"/>
                </w:rPr>
                <w:t> </w:t>
              </w:r>
            </w:hyperlink>
            <w:hyperlink r:id="rId124">
              <w:r>
                <w:rPr>
                  <w:sz w:val="20"/>
                </w:rPr>
                <w:t>C67,</w:t>
              </w:r>
              <w:r>
                <w:rPr>
                  <w:spacing w:val="-2"/>
                  <w:sz w:val="20"/>
                </w:rPr>
                <w:t> </w:t>
              </w:r>
            </w:hyperlink>
            <w:hyperlink r:id="rId157">
              <w:r>
                <w:rPr>
                  <w:spacing w:val="-4"/>
                  <w:sz w:val="20"/>
                </w:rPr>
                <w:t>C68,</w:t>
              </w:r>
            </w:hyperlink>
          </w:p>
        </w:tc>
        <w:tc>
          <w:tcPr>
            <w:tcW w:w="3162" w:type="dxa"/>
          </w:tcPr>
          <w:p>
            <w:pPr>
              <w:pStyle w:val="TableParagraph"/>
              <w:spacing w:line="220" w:lineRule="exact"/>
              <w:ind w:left="67"/>
              <w:rPr>
                <w:sz w:val="20"/>
              </w:rPr>
            </w:pPr>
            <w:r>
              <w:rPr>
                <w:sz w:val="20"/>
              </w:rPr>
              <w:t>желчного</w:t>
            </w:r>
            <w:r>
              <w:rPr>
                <w:spacing w:val="-9"/>
                <w:sz w:val="20"/>
              </w:rPr>
              <w:t> </w:t>
            </w:r>
            <w:r>
              <w:rPr>
                <w:sz w:val="20"/>
              </w:rPr>
              <w:t>пузыря,</w:t>
            </w:r>
            <w:r>
              <w:rPr>
                <w:spacing w:val="-9"/>
                <w:sz w:val="20"/>
              </w:rPr>
              <w:t> </w:t>
            </w:r>
            <w:r>
              <w:rPr>
                <w:spacing w:val="-2"/>
                <w:sz w:val="20"/>
              </w:rPr>
              <w:t>поджелудочной</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планирование.</w:t>
            </w:r>
            <w:r>
              <w:rPr>
                <w:spacing w:val="8"/>
                <w:sz w:val="20"/>
              </w:rPr>
              <w:t> </w:t>
            </w:r>
            <w:r>
              <w:rPr>
                <w:spacing w:val="-2"/>
                <w:sz w:val="20"/>
              </w:rPr>
              <w:t>Фиксирующие</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2"/>
              <w:jc w:val="center"/>
              <w:rPr>
                <w:sz w:val="20"/>
              </w:rPr>
            </w:pPr>
            <w:hyperlink r:id="rId70">
              <w:r>
                <w:rPr>
                  <w:sz w:val="20"/>
                </w:rPr>
                <w:t>C73,</w:t>
              </w:r>
              <w:r>
                <w:rPr>
                  <w:spacing w:val="-2"/>
                  <w:sz w:val="20"/>
                </w:rPr>
                <w:t> </w:t>
              </w:r>
            </w:hyperlink>
            <w:hyperlink r:id="rId125">
              <w:r>
                <w:rPr>
                  <w:sz w:val="20"/>
                </w:rPr>
                <w:t>C74,</w:t>
              </w:r>
              <w:r>
                <w:rPr>
                  <w:spacing w:val="-2"/>
                  <w:sz w:val="20"/>
                </w:rPr>
                <w:t> </w:t>
              </w:r>
            </w:hyperlink>
            <w:hyperlink r:id="rId162">
              <w:r>
                <w:rPr>
                  <w:spacing w:val="-5"/>
                  <w:sz w:val="20"/>
                </w:rPr>
                <w:t>C77</w:t>
              </w:r>
            </w:hyperlink>
          </w:p>
        </w:tc>
        <w:tc>
          <w:tcPr>
            <w:tcW w:w="3162" w:type="dxa"/>
          </w:tcPr>
          <w:p>
            <w:pPr>
              <w:pStyle w:val="TableParagraph"/>
              <w:spacing w:line="220" w:lineRule="exact"/>
              <w:ind w:left="67"/>
              <w:rPr>
                <w:sz w:val="20"/>
              </w:rPr>
            </w:pPr>
            <w:r>
              <w:rPr>
                <w:sz w:val="20"/>
              </w:rPr>
              <w:t>железы,</w:t>
            </w:r>
            <w:r>
              <w:rPr>
                <w:spacing w:val="-5"/>
                <w:sz w:val="20"/>
              </w:rPr>
              <w:t> </w:t>
            </w:r>
            <w:r>
              <w:rPr>
                <w:sz w:val="20"/>
              </w:rPr>
              <w:t>толстой</w:t>
            </w:r>
            <w:r>
              <w:rPr>
                <w:spacing w:val="-5"/>
                <w:sz w:val="20"/>
              </w:rPr>
              <w:t> </w:t>
            </w:r>
            <w:r>
              <w:rPr>
                <w:sz w:val="20"/>
              </w:rPr>
              <w:t>и</w:t>
            </w:r>
            <w:r>
              <w:rPr>
                <w:spacing w:val="-6"/>
                <w:sz w:val="20"/>
              </w:rPr>
              <w:t> </w:t>
            </w:r>
            <w:r>
              <w:rPr>
                <w:sz w:val="20"/>
              </w:rPr>
              <w:t>прямой</w:t>
            </w:r>
            <w:r>
              <w:rPr>
                <w:spacing w:val="-6"/>
                <w:sz w:val="20"/>
              </w:rPr>
              <w:t> </w:t>
            </w:r>
            <w:r>
              <w:rPr>
                <w:spacing w:val="-2"/>
                <w:sz w:val="20"/>
              </w:rPr>
              <w:t>кишки,</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анального</w:t>
            </w:r>
            <w:r>
              <w:rPr>
                <w:spacing w:val="-8"/>
                <w:sz w:val="20"/>
              </w:rPr>
              <w:t> </w:t>
            </w:r>
            <w:r>
              <w:rPr>
                <w:sz w:val="20"/>
              </w:rPr>
              <w:t>канала,</w:t>
            </w:r>
            <w:r>
              <w:rPr>
                <w:spacing w:val="-7"/>
                <w:sz w:val="20"/>
              </w:rPr>
              <w:t> </w:t>
            </w:r>
            <w:r>
              <w:rPr>
                <w:spacing w:val="-2"/>
                <w:sz w:val="20"/>
              </w:rPr>
              <w:t>печени,</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мишени.</w:t>
            </w:r>
            <w:r>
              <w:rPr>
                <w:spacing w:val="7"/>
                <w:sz w:val="20"/>
              </w:rPr>
              <w:t> </w:t>
            </w:r>
            <w:r>
              <w:rPr>
                <w:spacing w:val="-2"/>
                <w:sz w:val="20"/>
              </w:rPr>
              <w:t>Синхронизация</w:t>
            </w:r>
            <w:r>
              <w:rPr>
                <w:spacing w:val="6"/>
                <w:sz w:val="20"/>
              </w:rPr>
              <w:t> </w:t>
            </w:r>
            <w:r>
              <w:rPr>
                <w:spacing w:val="-2"/>
                <w:sz w:val="20"/>
              </w:rPr>
              <w:t>дыхания</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мочевого</w:t>
            </w:r>
            <w:r>
              <w:rPr>
                <w:spacing w:val="-8"/>
                <w:sz w:val="20"/>
              </w:rPr>
              <w:t> </w:t>
            </w:r>
            <w:r>
              <w:rPr>
                <w:sz w:val="20"/>
              </w:rPr>
              <w:t>пузыря,</w:t>
            </w:r>
            <w:r>
              <w:rPr>
                <w:spacing w:val="-9"/>
                <w:sz w:val="20"/>
              </w:rPr>
              <w:t> </w:t>
            </w:r>
            <w:r>
              <w:rPr>
                <w:spacing w:val="-2"/>
                <w:sz w:val="20"/>
              </w:rPr>
              <w:t>надпочечников,</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почки,</w:t>
            </w:r>
            <w:r>
              <w:rPr>
                <w:spacing w:val="-9"/>
                <w:sz w:val="20"/>
              </w:rPr>
              <w:t> </w:t>
            </w:r>
            <w:r>
              <w:rPr>
                <w:sz w:val="20"/>
              </w:rPr>
              <w:t>полового</w:t>
            </w:r>
            <w:r>
              <w:rPr>
                <w:spacing w:val="-9"/>
                <w:sz w:val="20"/>
              </w:rPr>
              <w:t> </w:t>
            </w:r>
            <w:r>
              <w:rPr>
                <w:spacing w:val="-2"/>
                <w:sz w:val="20"/>
              </w:rPr>
              <w:t>члена,</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предстательной</w:t>
            </w:r>
            <w:r>
              <w:rPr>
                <w:spacing w:val="-10"/>
                <w:sz w:val="20"/>
              </w:rPr>
              <w:t> </w:t>
            </w:r>
            <w:r>
              <w:rPr>
                <w:sz w:val="20"/>
              </w:rPr>
              <w:t>железы,</w:t>
            </w:r>
            <w:r>
              <w:rPr>
                <w:spacing w:val="-7"/>
                <w:sz w:val="20"/>
              </w:rPr>
              <w:t> </w:t>
            </w:r>
            <w:r>
              <w:rPr>
                <w:sz w:val="20"/>
              </w:rPr>
              <w:t>костей</w:t>
            </w:r>
            <w:r>
              <w:rPr>
                <w:spacing w:val="-9"/>
                <w:sz w:val="20"/>
              </w:rPr>
              <w:t> </w:t>
            </w:r>
            <w:r>
              <w:rPr>
                <w:spacing w:val="-10"/>
                <w:sz w:val="20"/>
              </w:rPr>
              <w:t>и</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суставных</w:t>
            </w:r>
            <w:r>
              <w:rPr>
                <w:spacing w:val="-9"/>
                <w:sz w:val="20"/>
              </w:rPr>
              <w:t> </w:t>
            </w:r>
            <w:r>
              <w:rPr>
                <w:sz w:val="20"/>
              </w:rPr>
              <w:t>хрящей,</w:t>
            </w:r>
            <w:r>
              <w:rPr>
                <w:spacing w:val="-8"/>
                <w:sz w:val="20"/>
              </w:rPr>
              <w:t> </w:t>
            </w:r>
            <w:r>
              <w:rPr>
                <w:sz w:val="20"/>
              </w:rPr>
              <w:t>кожи,</w:t>
            </w:r>
            <w:r>
              <w:rPr>
                <w:spacing w:val="-8"/>
                <w:sz w:val="20"/>
              </w:rPr>
              <w:t> </w:t>
            </w:r>
            <w:r>
              <w:rPr>
                <w:spacing w:val="-2"/>
                <w:sz w:val="20"/>
              </w:rPr>
              <w:t>мягких</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тканей</w:t>
            </w:r>
            <w:r>
              <w:rPr>
                <w:spacing w:val="-8"/>
                <w:sz w:val="20"/>
              </w:rPr>
              <w:t> </w:t>
            </w:r>
            <w:r>
              <w:rPr>
                <w:sz w:val="20"/>
              </w:rPr>
              <w:t>(T1-4N</w:t>
            </w:r>
            <w:r>
              <w:rPr>
                <w:spacing w:val="-7"/>
                <w:sz w:val="20"/>
              </w:rPr>
              <w:t> </w:t>
            </w:r>
            <w:r>
              <w:rPr>
                <w:sz w:val="20"/>
              </w:rPr>
              <w:t>любая</w:t>
            </w:r>
            <w:r>
              <w:rPr>
                <w:spacing w:val="-8"/>
                <w:sz w:val="20"/>
              </w:rPr>
              <w:t> </w:t>
            </w:r>
            <w:r>
              <w:rPr>
                <w:spacing w:val="-4"/>
                <w:sz w:val="20"/>
              </w:rPr>
              <w:t>M0),</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локализованные</w:t>
            </w:r>
            <w:r>
              <w:rPr>
                <w:spacing w:val="51"/>
                <w:sz w:val="20"/>
              </w:rPr>
              <w:t> </w:t>
            </w:r>
            <w:r>
              <w:rPr>
                <w:spacing w:val="-10"/>
                <w:sz w:val="20"/>
              </w:rPr>
              <w:t>и</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местнораспространенные</w:t>
            </w:r>
            <w:r>
              <w:rPr>
                <w:spacing w:val="60"/>
                <w:w w:val="150"/>
                <w:sz w:val="20"/>
              </w:rPr>
              <w:t> </w:t>
            </w:r>
            <w:r>
              <w:rPr>
                <w:spacing w:val="-2"/>
                <w:sz w:val="20"/>
              </w:rPr>
              <w:t>формы.</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30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ind w:left="67"/>
              <w:rPr>
                <w:sz w:val="20"/>
              </w:rPr>
            </w:pPr>
            <w:r>
              <w:rPr>
                <w:sz w:val="20"/>
              </w:rPr>
              <w:t>Вторичное</w:t>
            </w:r>
            <w:r>
              <w:rPr>
                <w:spacing w:val="-11"/>
                <w:sz w:val="20"/>
              </w:rPr>
              <w:t> </w:t>
            </w:r>
            <w:r>
              <w:rPr>
                <w:sz w:val="20"/>
              </w:rPr>
              <w:t>поражение</w:t>
            </w:r>
            <w:r>
              <w:rPr>
                <w:spacing w:val="-10"/>
                <w:sz w:val="20"/>
              </w:rPr>
              <w:t> </w:t>
            </w:r>
            <w:r>
              <w:rPr>
                <w:spacing w:val="-2"/>
                <w:sz w:val="20"/>
              </w:rPr>
              <w:t>лимфоузлов</w:t>
            </w:r>
          </w:p>
        </w:tc>
        <w:tc>
          <w:tcPr>
            <w:tcW w:w="1619" w:type="dxa"/>
          </w:tcPr>
          <w:p>
            <w:pPr>
              <w:pStyle w:val="TableParagraph"/>
              <w:rPr>
                <w:sz w:val="18"/>
              </w:rPr>
            </w:pPr>
          </w:p>
        </w:tc>
        <w:tc>
          <w:tcPr>
            <w:tcW w:w="3792" w:type="dxa"/>
          </w:tcPr>
          <w:p>
            <w:pPr>
              <w:pStyle w:val="TableParagraph"/>
              <w:rPr>
                <w:sz w:val="18"/>
              </w:rPr>
            </w:pPr>
          </w:p>
        </w:tc>
        <w:tc>
          <w:tcPr>
            <w:tcW w:w="962" w:type="dxa"/>
          </w:tcPr>
          <w:p>
            <w:pPr>
              <w:pStyle w:val="TableParagraph"/>
              <w:rPr>
                <w:sz w:val="18"/>
              </w:rPr>
            </w:pPr>
          </w:p>
        </w:tc>
      </w:tr>
      <w:tr>
        <w:trPr>
          <w:trHeight w:val="300" w:hRule="atLeast"/>
        </w:trPr>
        <w:tc>
          <w:tcPr>
            <w:tcW w:w="472" w:type="dxa"/>
            <w:vMerge w:val="restart"/>
          </w:tcPr>
          <w:p>
            <w:pPr>
              <w:pStyle w:val="TableParagraph"/>
              <w:rPr>
                <w:sz w:val="18"/>
              </w:rPr>
            </w:pPr>
          </w:p>
        </w:tc>
        <w:tc>
          <w:tcPr>
            <w:tcW w:w="3012" w:type="dxa"/>
            <w:vMerge w:val="restart"/>
          </w:tcPr>
          <w:p>
            <w:pPr>
              <w:pStyle w:val="TableParagraph"/>
              <w:rPr>
                <w:sz w:val="18"/>
              </w:rPr>
            </w:pPr>
          </w:p>
        </w:tc>
        <w:tc>
          <w:tcPr>
            <w:tcW w:w="1974" w:type="dxa"/>
          </w:tcPr>
          <w:p>
            <w:pPr>
              <w:pStyle w:val="TableParagraph"/>
              <w:spacing w:line="220" w:lineRule="exact" w:before="60"/>
              <w:ind w:left="78" w:right="61"/>
              <w:jc w:val="center"/>
              <w:rPr>
                <w:sz w:val="20"/>
              </w:rPr>
            </w:pPr>
            <w:hyperlink r:id="rId152">
              <w:r>
                <w:rPr>
                  <w:sz w:val="20"/>
                </w:rPr>
                <w:t>C51,</w:t>
              </w:r>
              <w:r>
                <w:rPr>
                  <w:spacing w:val="-2"/>
                  <w:sz w:val="20"/>
                </w:rPr>
                <w:t> </w:t>
              </w:r>
            </w:hyperlink>
            <w:hyperlink r:id="rId166">
              <w:r>
                <w:rPr>
                  <w:sz w:val="20"/>
                </w:rPr>
                <w:t>C52,</w:t>
              </w:r>
              <w:r>
                <w:rPr>
                  <w:spacing w:val="-2"/>
                  <w:sz w:val="20"/>
                </w:rPr>
                <w:t> </w:t>
              </w:r>
            </w:hyperlink>
            <w:hyperlink r:id="rId116">
              <w:r>
                <w:rPr>
                  <w:sz w:val="20"/>
                </w:rPr>
                <w:t>C53,</w:t>
              </w:r>
              <w:r>
                <w:rPr>
                  <w:spacing w:val="-2"/>
                  <w:sz w:val="20"/>
                </w:rPr>
                <w:t> </w:t>
              </w:r>
            </w:hyperlink>
            <w:hyperlink r:id="rId117">
              <w:r>
                <w:rPr>
                  <w:spacing w:val="-4"/>
                  <w:sz w:val="20"/>
                </w:rPr>
                <w:t>C54,</w:t>
              </w:r>
            </w:hyperlink>
          </w:p>
        </w:tc>
        <w:tc>
          <w:tcPr>
            <w:tcW w:w="3162" w:type="dxa"/>
          </w:tcPr>
          <w:p>
            <w:pPr>
              <w:pStyle w:val="TableParagraph"/>
              <w:spacing w:line="220" w:lineRule="exact" w:before="60"/>
              <w:ind w:left="67"/>
              <w:rPr>
                <w:sz w:val="20"/>
              </w:rPr>
            </w:pPr>
            <w:r>
              <w:rPr>
                <w:spacing w:val="-2"/>
                <w:sz w:val="20"/>
              </w:rPr>
              <w:t>интраэпителиальные,</w:t>
            </w:r>
          </w:p>
        </w:tc>
        <w:tc>
          <w:tcPr>
            <w:tcW w:w="1619" w:type="dxa"/>
          </w:tcPr>
          <w:p>
            <w:pPr>
              <w:pStyle w:val="TableParagraph"/>
              <w:spacing w:line="220" w:lineRule="exact" w:before="60"/>
              <w:ind w:left="61"/>
              <w:rPr>
                <w:sz w:val="20"/>
              </w:rPr>
            </w:pPr>
            <w:r>
              <w:rPr>
                <w:spacing w:val="-2"/>
                <w:sz w:val="20"/>
              </w:rPr>
              <w:t>терапевтическое</w:t>
            </w:r>
          </w:p>
        </w:tc>
        <w:tc>
          <w:tcPr>
            <w:tcW w:w="3792" w:type="dxa"/>
          </w:tcPr>
          <w:p>
            <w:pPr>
              <w:pStyle w:val="TableParagraph"/>
              <w:spacing w:line="220" w:lineRule="exact" w:before="60"/>
              <w:ind w:left="140"/>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62"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spacing w:line="220" w:lineRule="exact"/>
              <w:ind w:left="78" w:right="66"/>
              <w:jc w:val="center"/>
              <w:rPr>
                <w:sz w:val="20"/>
              </w:rPr>
            </w:pPr>
            <w:hyperlink r:id="rId165">
              <w:r>
                <w:rPr>
                  <w:spacing w:val="-5"/>
                  <w:sz w:val="20"/>
                </w:rPr>
                <w:t>C55</w:t>
              </w:r>
            </w:hyperlink>
          </w:p>
        </w:tc>
        <w:tc>
          <w:tcPr>
            <w:tcW w:w="3162" w:type="dxa"/>
          </w:tcPr>
          <w:p>
            <w:pPr>
              <w:pStyle w:val="TableParagraph"/>
              <w:spacing w:line="220" w:lineRule="exact"/>
              <w:ind w:left="67"/>
              <w:rPr>
                <w:sz w:val="20"/>
              </w:rPr>
            </w:pPr>
            <w:r>
              <w:rPr>
                <w:sz w:val="20"/>
              </w:rPr>
              <w:t>микроинвазивные</w:t>
            </w:r>
            <w:r>
              <w:rPr>
                <w:spacing w:val="-9"/>
                <w:sz w:val="20"/>
              </w:rPr>
              <w:t> </w:t>
            </w:r>
            <w:r>
              <w:rPr>
                <w:sz w:val="20"/>
              </w:rPr>
              <w:t>и</w:t>
            </w:r>
            <w:r>
              <w:rPr>
                <w:spacing w:val="-12"/>
                <w:sz w:val="20"/>
              </w:rPr>
              <w:t> </w:t>
            </w:r>
            <w:r>
              <w:rPr>
                <w:spacing w:val="-2"/>
                <w:sz w:val="20"/>
              </w:rPr>
              <w:t>инвазивные</w:t>
            </w:r>
          </w:p>
        </w:tc>
        <w:tc>
          <w:tcPr>
            <w:tcW w:w="1619" w:type="dxa"/>
          </w:tcPr>
          <w:p>
            <w:pPr>
              <w:pStyle w:val="TableParagraph"/>
              <w:spacing w:line="220" w:lineRule="exact"/>
              <w:ind w:left="61"/>
              <w:rPr>
                <w:sz w:val="20"/>
              </w:rPr>
            </w:pPr>
            <w:r>
              <w:rPr>
                <w:spacing w:val="-2"/>
                <w:sz w:val="20"/>
              </w:rPr>
              <w:t>лечение</w:t>
            </w:r>
          </w:p>
        </w:tc>
        <w:tc>
          <w:tcPr>
            <w:tcW w:w="3792" w:type="dxa"/>
          </w:tcPr>
          <w:p>
            <w:pPr>
              <w:pStyle w:val="TableParagraph"/>
              <w:spacing w:line="220" w:lineRule="exact"/>
              <w:ind w:left="140"/>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злокачественные</w:t>
            </w:r>
            <w:r>
              <w:rPr>
                <w:spacing w:val="56"/>
                <w:sz w:val="20"/>
              </w:rPr>
              <w:t> </w:t>
            </w:r>
            <w:r>
              <w:rPr>
                <w:spacing w:val="-2"/>
                <w:sz w:val="20"/>
              </w:rPr>
              <w:t>новообразования</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VMAT,</w:t>
            </w:r>
            <w:r>
              <w:rPr>
                <w:spacing w:val="-3"/>
                <w:sz w:val="20"/>
              </w:rPr>
              <w:t> </w:t>
            </w:r>
            <w:r>
              <w:rPr>
                <w:sz w:val="20"/>
              </w:rPr>
              <w:t>(1 -</w:t>
            </w:r>
            <w:r>
              <w:rPr>
                <w:spacing w:val="-5"/>
                <w:sz w:val="20"/>
              </w:rPr>
              <w:t> </w:t>
            </w:r>
            <w:r>
              <w:rPr>
                <w:sz w:val="20"/>
              </w:rPr>
              <w:t>39</w:t>
            </w:r>
            <w:r>
              <w:rPr>
                <w:spacing w:val="-1"/>
                <w:sz w:val="20"/>
              </w:rPr>
              <w:t> </w:t>
            </w:r>
            <w:r>
              <w:rPr>
                <w:spacing w:val="-4"/>
                <w:sz w:val="20"/>
              </w:rPr>
              <w:t>Гр).</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вульвы,</w:t>
            </w:r>
            <w:r>
              <w:rPr>
                <w:spacing w:val="-7"/>
                <w:sz w:val="20"/>
              </w:rPr>
              <w:t> </w:t>
            </w:r>
            <w:r>
              <w:rPr>
                <w:sz w:val="20"/>
              </w:rPr>
              <w:t>влагалища,</w:t>
            </w:r>
            <w:r>
              <w:rPr>
                <w:spacing w:val="-6"/>
                <w:sz w:val="20"/>
              </w:rPr>
              <w:t> </w:t>
            </w:r>
            <w:r>
              <w:rPr>
                <w:sz w:val="20"/>
              </w:rPr>
              <w:t>шейки</w:t>
            </w:r>
            <w:r>
              <w:rPr>
                <w:spacing w:val="-8"/>
                <w:sz w:val="20"/>
              </w:rPr>
              <w:t> </w:t>
            </w:r>
            <w:r>
              <w:rPr>
                <w:sz w:val="20"/>
              </w:rPr>
              <w:t>и</w:t>
            </w:r>
            <w:r>
              <w:rPr>
                <w:spacing w:val="-6"/>
                <w:sz w:val="20"/>
              </w:rPr>
              <w:t> </w:t>
            </w:r>
            <w:r>
              <w:rPr>
                <w:spacing w:val="-4"/>
                <w:sz w:val="20"/>
              </w:rPr>
              <w:t>тела</w:t>
            </w:r>
          </w:p>
        </w:tc>
        <w:tc>
          <w:tcPr>
            <w:tcW w:w="1619" w:type="dxa"/>
          </w:tcPr>
          <w:p>
            <w:pPr>
              <w:pStyle w:val="TableParagraph"/>
              <w:rPr>
                <w:sz w:val="16"/>
              </w:rPr>
            </w:pPr>
          </w:p>
        </w:tc>
        <w:tc>
          <w:tcPr>
            <w:tcW w:w="3792" w:type="dxa"/>
          </w:tcPr>
          <w:p>
            <w:pPr>
              <w:pStyle w:val="TableParagraph"/>
              <w:spacing w:line="220" w:lineRule="exact"/>
              <w:ind w:left="140"/>
              <w:rPr>
                <w:sz w:val="20"/>
              </w:rPr>
            </w:pPr>
            <w:r>
              <w:rPr>
                <w:w w:val="95"/>
                <w:sz w:val="20"/>
              </w:rPr>
              <w:t>Радиомодификация.</w:t>
            </w:r>
            <w:r>
              <w:rPr>
                <w:spacing w:val="67"/>
                <w:sz w:val="20"/>
              </w:rPr>
              <w:t> </w:t>
            </w:r>
            <w:r>
              <w:rPr>
                <w:spacing w:val="-2"/>
                <w:sz w:val="20"/>
              </w:rPr>
              <w:t>Компьютерно-</w:t>
            </w:r>
          </w:p>
        </w:tc>
        <w:tc>
          <w:tcPr>
            <w:tcW w:w="962"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19" w:lineRule="exact"/>
              <w:ind w:left="67"/>
              <w:rPr>
                <w:sz w:val="20"/>
              </w:rPr>
            </w:pPr>
            <w:r>
              <w:rPr>
                <w:sz w:val="20"/>
              </w:rPr>
              <w:t>матки</w:t>
            </w:r>
            <w:r>
              <w:rPr>
                <w:spacing w:val="-7"/>
                <w:sz w:val="20"/>
              </w:rPr>
              <w:t> </w:t>
            </w:r>
            <w:r>
              <w:rPr>
                <w:sz w:val="20"/>
              </w:rPr>
              <w:t>(T0-4N0-1M0-1),</w:t>
            </w:r>
            <w:r>
              <w:rPr>
                <w:spacing w:val="-5"/>
                <w:sz w:val="20"/>
              </w:rPr>
              <w:t> </w:t>
            </w:r>
            <w:r>
              <w:rPr>
                <w:sz w:val="20"/>
              </w:rPr>
              <w:t>в</w:t>
            </w:r>
            <w:r>
              <w:rPr>
                <w:spacing w:val="-6"/>
                <w:sz w:val="20"/>
              </w:rPr>
              <w:t> </w:t>
            </w:r>
            <w:r>
              <w:rPr>
                <w:sz w:val="20"/>
              </w:rPr>
              <w:t>том</w:t>
            </w:r>
            <w:r>
              <w:rPr>
                <w:spacing w:val="-4"/>
                <w:sz w:val="20"/>
              </w:rPr>
              <w:t> числе</w:t>
            </w:r>
          </w:p>
        </w:tc>
        <w:tc>
          <w:tcPr>
            <w:tcW w:w="1619" w:type="dxa"/>
          </w:tcPr>
          <w:p>
            <w:pPr>
              <w:pStyle w:val="TableParagraph"/>
              <w:rPr>
                <w:sz w:val="16"/>
              </w:rPr>
            </w:pPr>
          </w:p>
        </w:tc>
        <w:tc>
          <w:tcPr>
            <w:tcW w:w="3792" w:type="dxa"/>
          </w:tcPr>
          <w:p>
            <w:pPr>
              <w:pStyle w:val="TableParagraph"/>
              <w:spacing w:line="219" w:lineRule="exact"/>
              <w:ind w:left="140"/>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62"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w:t>
            </w:r>
            <w:r>
              <w:rPr>
                <w:spacing w:val="-10"/>
                <w:sz w:val="20"/>
              </w:rPr>
              <w:t> </w:t>
            </w:r>
            <w:r>
              <w:rPr>
                <w:sz w:val="20"/>
              </w:rPr>
              <w:t>метастазированием</w:t>
            </w:r>
            <w:r>
              <w:rPr>
                <w:spacing w:val="-9"/>
                <w:sz w:val="20"/>
              </w:rPr>
              <w:t> </w:t>
            </w:r>
            <w:r>
              <w:rPr>
                <w:spacing w:val="-10"/>
                <w:sz w:val="20"/>
              </w:rPr>
              <w:t>в</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резонансная</w:t>
            </w:r>
            <w:r>
              <w:rPr>
                <w:spacing w:val="-5"/>
                <w:sz w:val="20"/>
              </w:rPr>
              <w:t> </w:t>
            </w:r>
            <w:r>
              <w:rPr>
                <w:sz w:val="20"/>
              </w:rPr>
              <w:t>топометрия.</w:t>
            </w:r>
            <w:r>
              <w:rPr>
                <w:spacing w:val="-6"/>
                <w:sz w:val="20"/>
              </w:rPr>
              <w:t> </w:t>
            </w:r>
            <w:r>
              <w:rPr>
                <w:sz w:val="20"/>
              </w:rPr>
              <w:t>3D</w:t>
            </w:r>
            <w:r>
              <w:rPr>
                <w:spacing w:val="-4"/>
                <w:sz w:val="20"/>
              </w:rPr>
              <w:t> </w:t>
            </w:r>
            <w:r>
              <w:rPr>
                <w:sz w:val="20"/>
              </w:rPr>
              <w:t>-</w:t>
            </w:r>
            <w:r>
              <w:rPr>
                <w:spacing w:val="-8"/>
                <w:sz w:val="20"/>
              </w:rPr>
              <w:t> </w:t>
            </w:r>
            <w:r>
              <w:rPr>
                <w:spacing w:val="-5"/>
                <w:sz w:val="20"/>
              </w:rPr>
              <w:t>4D</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параортальные</w:t>
            </w:r>
            <w:r>
              <w:rPr>
                <w:spacing w:val="-8"/>
                <w:sz w:val="20"/>
              </w:rPr>
              <w:t> </w:t>
            </w:r>
            <w:r>
              <w:rPr>
                <w:sz w:val="20"/>
              </w:rPr>
              <w:t>или</w:t>
            </w:r>
            <w:r>
              <w:rPr>
                <w:spacing w:val="-10"/>
                <w:sz w:val="20"/>
              </w:rPr>
              <w:t> </w:t>
            </w:r>
            <w:r>
              <w:rPr>
                <w:spacing w:val="-2"/>
                <w:sz w:val="20"/>
              </w:rPr>
              <w:t>паховые</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планирование.</w:t>
            </w:r>
            <w:r>
              <w:rPr>
                <w:spacing w:val="8"/>
                <w:sz w:val="20"/>
              </w:rPr>
              <w:t> </w:t>
            </w:r>
            <w:r>
              <w:rPr>
                <w:spacing w:val="-2"/>
                <w:sz w:val="20"/>
              </w:rPr>
              <w:t>Фиксирующие</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pacing w:val="-2"/>
                <w:sz w:val="20"/>
              </w:rPr>
              <w:t>лимфоузлы</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62" w:type="dxa"/>
            <w:vMerge/>
            <w:tcBorders>
              <w:top w:val="nil"/>
            </w:tcBorders>
          </w:tcPr>
          <w:p>
            <w:pPr>
              <w:rPr>
                <w:sz w:val="2"/>
                <w:szCs w:val="2"/>
              </w:rPr>
            </w:pPr>
          </w:p>
        </w:tc>
      </w:tr>
      <w:tr>
        <w:trPr>
          <w:trHeight w:val="23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rPr>
                <w:sz w:val="16"/>
              </w:rPr>
            </w:pPr>
          </w:p>
        </w:tc>
        <w:tc>
          <w:tcPr>
            <w:tcW w:w="1619" w:type="dxa"/>
          </w:tcPr>
          <w:p>
            <w:pPr>
              <w:pStyle w:val="TableParagraph"/>
              <w:rPr>
                <w:sz w:val="16"/>
              </w:rPr>
            </w:pPr>
          </w:p>
        </w:tc>
        <w:tc>
          <w:tcPr>
            <w:tcW w:w="3792" w:type="dxa"/>
          </w:tcPr>
          <w:p>
            <w:pPr>
              <w:pStyle w:val="TableParagraph"/>
              <w:spacing w:line="210" w:lineRule="exact"/>
              <w:ind w:left="140"/>
              <w:rPr>
                <w:sz w:val="20"/>
              </w:rPr>
            </w:pPr>
            <w:r>
              <w:rPr>
                <w:spacing w:val="-2"/>
                <w:sz w:val="20"/>
              </w:rPr>
              <w:t>мишени</w:t>
            </w:r>
          </w:p>
        </w:tc>
        <w:tc>
          <w:tcPr>
            <w:tcW w:w="962"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3122"/>
        <w:gridCol w:w="1653"/>
        <w:gridCol w:w="3429"/>
      </w:tblGrid>
      <w:tr>
        <w:trPr>
          <w:trHeight w:val="2270" w:hRule="atLeast"/>
        </w:trPr>
        <w:tc>
          <w:tcPr>
            <w:tcW w:w="1951" w:type="dxa"/>
          </w:tcPr>
          <w:p>
            <w:pPr>
              <w:pStyle w:val="TableParagraph"/>
              <w:spacing w:line="221" w:lineRule="exact"/>
              <w:ind w:left="132" w:right="145"/>
              <w:jc w:val="center"/>
              <w:rPr>
                <w:sz w:val="20"/>
              </w:rPr>
            </w:pPr>
            <w:hyperlink r:id="rId118">
              <w:r>
                <w:rPr>
                  <w:spacing w:val="-5"/>
                  <w:sz w:val="20"/>
                </w:rPr>
                <w:t>C56</w:t>
              </w:r>
            </w:hyperlink>
          </w:p>
        </w:tc>
        <w:tc>
          <w:tcPr>
            <w:tcW w:w="3122" w:type="dxa"/>
          </w:tcPr>
          <w:p>
            <w:pPr>
              <w:pStyle w:val="TableParagraph"/>
              <w:spacing w:line="249" w:lineRule="auto"/>
              <w:ind w:left="65" w:right="89"/>
              <w:rPr>
                <w:sz w:val="20"/>
              </w:rPr>
            </w:pPr>
            <w:r>
              <w:rPr>
                <w:sz w:val="20"/>
              </w:rPr>
              <w:t>злокачественные</w:t>
            </w:r>
            <w:r>
              <w:rPr>
                <w:spacing w:val="-13"/>
                <w:sz w:val="20"/>
              </w:rPr>
              <w:t> </w:t>
            </w:r>
            <w:r>
              <w:rPr>
                <w:sz w:val="20"/>
              </w:rPr>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53" w:type="dxa"/>
          </w:tcPr>
          <w:p>
            <w:pPr>
              <w:pStyle w:val="TableParagraph"/>
              <w:spacing w:line="249" w:lineRule="auto"/>
              <w:ind w:left="99"/>
              <w:rPr>
                <w:sz w:val="20"/>
              </w:rPr>
            </w:pPr>
            <w:r>
              <w:rPr>
                <w:spacing w:val="-2"/>
                <w:sz w:val="20"/>
              </w:rPr>
              <w:t>терапевтическое лечение</w:t>
            </w:r>
          </w:p>
        </w:tc>
        <w:tc>
          <w:tcPr>
            <w:tcW w:w="3429" w:type="dxa"/>
          </w:tcPr>
          <w:p>
            <w:pPr>
              <w:pStyle w:val="TableParagraph"/>
              <w:spacing w:line="249" w:lineRule="auto"/>
              <w:ind w:left="144"/>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(1 - 39 Гр).</w:t>
            </w:r>
          </w:p>
          <w:p>
            <w:pPr>
              <w:pStyle w:val="TableParagraph"/>
              <w:spacing w:line="249" w:lineRule="auto"/>
              <w:ind w:left="144"/>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before="120"/>
              <w:ind w:left="132" w:right="145"/>
              <w:jc w:val="center"/>
              <w:rPr>
                <w:sz w:val="20"/>
              </w:rPr>
            </w:pPr>
            <w:hyperlink r:id="rId167">
              <w:r>
                <w:rPr>
                  <w:spacing w:val="-5"/>
                  <w:sz w:val="20"/>
                </w:rPr>
                <w:t>C57</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53" w:type="dxa"/>
          </w:tcPr>
          <w:p>
            <w:pPr>
              <w:pStyle w:val="TableParagraph"/>
              <w:spacing w:line="249" w:lineRule="auto" w:before="120"/>
              <w:ind w:left="99"/>
              <w:rPr>
                <w:sz w:val="20"/>
              </w:rPr>
            </w:pPr>
            <w:r>
              <w:rPr>
                <w:spacing w:val="-2"/>
                <w:sz w:val="20"/>
              </w:rPr>
              <w:t>терапевтическое лечение</w:t>
            </w:r>
          </w:p>
        </w:tc>
        <w:tc>
          <w:tcPr>
            <w:tcW w:w="3429" w:type="dxa"/>
          </w:tcPr>
          <w:p>
            <w:pPr>
              <w:pStyle w:val="TableParagraph"/>
              <w:spacing w:line="249" w:lineRule="auto" w:before="120"/>
              <w:ind w:left="144"/>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(1 - 39 Гр).</w:t>
            </w:r>
          </w:p>
          <w:p>
            <w:pPr>
              <w:pStyle w:val="TableParagraph"/>
              <w:spacing w:line="249" w:lineRule="auto" w:before="3"/>
              <w:ind w:left="144"/>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line="249" w:lineRule="auto" w:before="120"/>
              <w:ind w:left="143" w:hanging="94"/>
              <w:rPr>
                <w:sz w:val="20"/>
              </w:rPr>
            </w:pPr>
            <w:hyperlink r:id="rId168">
              <w:r>
                <w:rPr>
                  <w:sz w:val="20"/>
                </w:rPr>
                <w:t>C70,</w:t>
              </w:r>
              <w:r>
                <w:rPr>
                  <w:spacing w:val="-12"/>
                  <w:sz w:val="20"/>
                </w:rPr>
                <w:t> </w:t>
              </w:r>
            </w:hyperlink>
            <w:hyperlink r:id="rId158">
              <w:r>
                <w:rPr>
                  <w:sz w:val="20"/>
                </w:rPr>
                <w:t>C71,</w:t>
              </w:r>
              <w:r>
                <w:rPr>
                  <w:spacing w:val="-12"/>
                  <w:sz w:val="20"/>
                </w:rPr>
                <w:t> </w:t>
              </w:r>
            </w:hyperlink>
            <w:hyperlink r:id="rId159">
              <w:r>
                <w:rPr>
                  <w:sz w:val="20"/>
                </w:rPr>
                <w:t>C72,</w:t>
              </w:r>
              <w:r>
                <w:rPr>
                  <w:spacing w:val="-12"/>
                  <w:sz w:val="20"/>
                </w:rPr>
                <w:t> </w:t>
              </w:r>
            </w:hyperlink>
            <w:hyperlink r:id="rId169">
              <w:r>
                <w:rPr>
                  <w:sz w:val="20"/>
                </w:rPr>
                <w:t>C75.1,</w:t>
              </w:r>
            </w:hyperlink>
            <w:r>
              <w:rPr>
                <w:sz w:val="20"/>
              </w:rPr>
              <w:t> </w:t>
            </w:r>
            <w:hyperlink r:id="rId170">
              <w:r>
                <w:rPr>
                  <w:sz w:val="20"/>
                </w:rPr>
                <w:t>C75.3, </w:t>
              </w:r>
            </w:hyperlink>
            <w:hyperlink r:id="rId171">
              <w:r>
                <w:rPr>
                  <w:sz w:val="20"/>
                </w:rPr>
                <w:t>C79.3, </w:t>
              </w:r>
            </w:hyperlink>
            <w:hyperlink r:id="rId172">
              <w:r>
                <w:rPr>
                  <w:sz w:val="20"/>
                </w:rPr>
                <w:t>C79.4</w:t>
              </w:r>
            </w:hyperlink>
          </w:p>
        </w:tc>
        <w:tc>
          <w:tcPr>
            <w:tcW w:w="3122" w:type="dxa"/>
          </w:tcPr>
          <w:p>
            <w:pPr>
              <w:pStyle w:val="TableParagraph"/>
              <w:spacing w:line="249" w:lineRule="auto" w:before="120"/>
              <w:ind w:left="65" w:right="89"/>
              <w:rPr>
                <w:sz w:val="20"/>
              </w:rPr>
            </w:pPr>
            <w:r>
              <w:rPr>
                <w:sz w:val="20"/>
              </w:rPr>
              <w:t>Первичные и вторичные злокачественные</w:t>
            </w:r>
            <w:r>
              <w:rPr>
                <w:spacing w:val="-13"/>
                <w:sz w:val="20"/>
              </w:rPr>
              <w:t> </w:t>
            </w:r>
            <w:r>
              <w:rPr>
                <w:sz w:val="20"/>
              </w:rPr>
              <w:t>новообразования оболочек головного мозга, спинного мозга, головного мозга</w:t>
            </w:r>
          </w:p>
        </w:tc>
        <w:tc>
          <w:tcPr>
            <w:tcW w:w="1653" w:type="dxa"/>
          </w:tcPr>
          <w:p>
            <w:pPr>
              <w:pStyle w:val="TableParagraph"/>
              <w:spacing w:line="249" w:lineRule="auto" w:before="120"/>
              <w:ind w:left="99"/>
              <w:rPr>
                <w:sz w:val="20"/>
              </w:rPr>
            </w:pPr>
            <w:r>
              <w:rPr>
                <w:spacing w:val="-2"/>
                <w:sz w:val="20"/>
              </w:rPr>
              <w:t>терапевтическое лечение</w:t>
            </w:r>
          </w:p>
        </w:tc>
        <w:tc>
          <w:tcPr>
            <w:tcW w:w="3429" w:type="dxa"/>
          </w:tcPr>
          <w:p>
            <w:pPr>
              <w:pStyle w:val="TableParagraph"/>
              <w:spacing w:line="249" w:lineRule="auto" w:before="120"/>
              <w:ind w:left="144"/>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(1 - 39 Гр).</w:t>
            </w:r>
          </w:p>
          <w:p>
            <w:pPr>
              <w:pStyle w:val="TableParagraph"/>
              <w:spacing w:line="249" w:lineRule="auto" w:before="3"/>
              <w:ind w:left="144"/>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1070" w:hRule="atLeast"/>
        </w:trPr>
        <w:tc>
          <w:tcPr>
            <w:tcW w:w="1951" w:type="dxa"/>
          </w:tcPr>
          <w:p>
            <w:pPr>
              <w:pStyle w:val="TableParagraph"/>
              <w:spacing w:line="249" w:lineRule="auto" w:before="120"/>
              <w:ind w:left="801" w:hanging="675"/>
              <w:rPr>
                <w:sz w:val="20"/>
              </w:rPr>
            </w:pPr>
            <w:hyperlink r:id="rId132">
              <w:r>
                <w:rPr>
                  <w:sz w:val="20"/>
                </w:rPr>
                <w:t>C81,</w:t>
              </w:r>
              <w:r>
                <w:rPr>
                  <w:spacing w:val="-12"/>
                  <w:sz w:val="20"/>
                </w:rPr>
                <w:t> </w:t>
              </w:r>
            </w:hyperlink>
            <w:r>
              <w:rPr>
                <w:sz w:val="20"/>
              </w:rPr>
              <w:t>C82,</w:t>
            </w:r>
            <w:r>
              <w:rPr>
                <w:spacing w:val="-12"/>
                <w:sz w:val="20"/>
              </w:rPr>
              <w:t> </w:t>
            </w:r>
            <w:r>
              <w:rPr>
                <w:sz w:val="20"/>
              </w:rPr>
              <w:t>C83,</w:t>
            </w:r>
            <w:r>
              <w:rPr>
                <w:spacing w:val="-12"/>
                <w:sz w:val="20"/>
              </w:rPr>
              <w:t> </w:t>
            </w:r>
            <w:r>
              <w:rPr>
                <w:sz w:val="20"/>
              </w:rPr>
              <w:t>C84, </w:t>
            </w:r>
            <w:r>
              <w:rPr>
                <w:spacing w:val="-4"/>
                <w:sz w:val="20"/>
              </w:rPr>
              <w:t>C85</w:t>
            </w:r>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лимфоидной ткани</w:t>
            </w:r>
          </w:p>
        </w:tc>
        <w:tc>
          <w:tcPr>
            <w:tcW w:w="1653" w:type="dxa"/>
          </w:tcPr>
          <w:p>
            <w:pPr>
              <w:pStyle w:val="TableParagraph"/>
              <w:spacing w:line="249" w:lineRule="auto" w:before="120"/>
              <w:ind w:left="99"/>
              <w:rPr>
                <w:sz w:val="20"/>
              </w:rPr>
            </w:pPr>
            <w:r>
              <w:rPr>
                <w:spacing w:val="-2"/>
                <w:sz w:val="20"/>
              </w:rPr>
              <w:t>терапевтическое лечение</w:t>
            </w:r>
          </w:p>
        </w:tc>
        <w:tc>
          <w:tcPr>
            <w:tcW w:w="3429" w:type="dxa"/>
          </w:tcPr>
          <w:p>
            <w:pPr>
              <w:pStyle w:val="TableParagraph"/>
              <w:spacing w:line="240" w:lineRule="atLeast" w:before="90"/>
              <w:ind w:left="144"/>
              <w:rPr>
                <w:sz w:val="20"/>
              </w:rPr>
            </w:pPr>
            <w:r>
              <w:rPr>
                <w:sz w:val="20"/>
              </w:rPr>
              <w:t>конформная дистанционная лучевая терапия, в том числе IMRT, IGRT, VMAT,</w:t>
            </w:r>
            <w:r>
              <w:rPr>
                <w:spacing w:val="-8"/>
                <w:sz w:val="20"/>
              </w:rPr>
              <w:t> </w:t>
            </w:r>
            <w:r>
              <w:rPr>
                <w:sz w:val="20"/>
              </w:rPr>
              <w:t>стереотаксическая</w:t>
            </w:r>
            <w:r>
              <w:rPr>
                <w:spacing w:val="-8"/>
                <w:sz w:val="20"/>
              </w:rPr>
              <w:t> </w:t>
            </w:r>
            <w:r>
              <w:rPr>
                <w:sz w:val="20"/>
              </w:rPr>
              <w:t>(1</w:t>
            </w:r>
            <w:r>
              <w:rPr>
                <w:spacing w:val="-6"/>
                <w:sz w:val="20"/>
              </w:rPr>
              <w:t> </w:t>
            </w:r>
            <w:r>
              <w:rPr>
                <w:sz w:val="20"/>
              </w:rPr>
              <w:t>-</w:t>
            </w:r>
            <w:r>
              <w:rPr>
                <w:spacing w:val="-9"/>
                <w:sz w:val="20"/>
              </w:rPr>
              <w:t> </w:t>
            </w:r>
            <w:r>
              <w:rPr>
                <w:sz w:val="20"/>
              </w:rPr>
              <w:t>39</w:t>
            </w:r>
            <w:r>
              <w:rPr>
                <w:spacing w:val="-7"/>
                <w:sz w:val="20"/>
              </w:rPr>
              <w:t> </w:t>
            </w:r>
            <w:r>
              <w:rPr>
                <w:sz w:val="20"/>
              </w:rPr>
              <w:t>Гр). Радиомодификация. Компьютерно-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2"/>
        <w:gridCol w:w="1974"/>
        <w:gridCol w:w="3162"/>
        <w:gridCol w:w="1620"/>
        <w:gridCol w:w="3817"/>
        <w:gridCol w:w="989"/>
      </w:tblGrid>
      <w:tr>
        <w:trPr>
          <w:trHeight w:val="131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rPr>
                <w:sz w:val="18"/>
              </w:rPr>
            </w:pPr>
          </w:p>
        </w:tc>
        <w:tc>
          <w:tcPr>
            <w:tcW w:w="1620" w:type="dxa"/>
          </w:tcPr>
          <w:p>
            <w:pPr>
              <w:pStyle w:val="TableParagraph"/>
              <w:rPr>
                <w:sz w:val="18"/>
              </w:rPr>
            </w:pPr>
          </w:p>
        </w:tc>
        <w:tc>
          <w:tcPr>
            <w:tcW w:w="3817" w:type="dxa"/>
          </w:tcPr>
          <w:p>
            <w:pPr>
              <w:pStyle w:val="TableParagraph"/>
              <w:spacing w:line="249" w:lineRule="auto"/>
              <w:ind w:left="139" w:right="152"/>
              <w:rPr>
                <w:sz w:val="20"/>
              </w:rPr>
            </w:pPr>
            <w:r>
              <w:rPr>
                <w:sz w:val="20"/>
              </w:rPr>
              <w:t>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Синхронизация дыхания</w:t>
            </w:r>
          </w:p>
        </w:tc>
        <w:tc>
          <w:tcPr>
            <w:tcW w:w="989"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24.</w:t>
            </w:r>
          </w:p>
        </w:tc>
        <w:tc>
          <w:tcPr>
            <w:tcW w:w="3012" w:type="dxa"/>
          </w:tcPr>
          <w:p>
            <w:pPr>
              <w:pStyle w:val="TableParagraph"/>
              <w:spacing w:line="220" w:lineRule="exact" w:before="120"/>
              <w:ind w:left="168"/>
              <w:rPr>
                <w:sz w:val="20"/>
              </w:rPr>
            </w:pPr>
            <w:r>
              <w:rPr>
                <w:sz w:val="20"/>
              </w:rPr>
              <w:t>Дистанционная</w:t>
            </w:r>
            <w:r>
              <w:rPr>
                <w:spacing w:val="-12"/>
                <w:sz w:val="20"/>
              </w:rPr>
              <w:t> </w:t>
            </w:r>
            <w:r>
              <w:rPr>
                <w:sz w:val="20"/>
              </w:rPr>
              <w:t>лучевая</w:t>
            </w:r>
            <w:r>
              <w:rPr>
                <w:spacing w:val="-11"/>
                <w:sz w:val="20"/>
              </w:rPr>
              <w:t> </w:t>
            </w:r>
            <w:r>
              <w:rPr>
                <w:spacing w:val="-2"/>
                <w:sz w:val="20"/>
              </w:rPr>
              <w:t>терапия</w:t>
            </w:r>
          </w:p>
        </w:tc>
        <w:tc>
          <w:tcPr>
            <w:tcW w:w="1974" w:type="dxa"/>
          </w:tcPr>
          <w:p>
            <w:pPr>
              <w:pStyle w:val="TableParagraph"/>
              <w:spacing w:line="220" w:lineRule="exact" w:before="120"/>
              <w:ind w:left="78" w:right="66"/>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73">
              <w:r>
                <w:rPr>
                  <w:spacing w:val="-4"/>
                  <w:sz w:val="20"/>
                </w:rPr>
                <w:t>C17,</w:t>
              </w:r>
            </w:hyperlink>
          </w:p>
        </w:tc>
        <w:tc>
          <w:tcPr>
            <w:tcW w:w="3162" w:type="dxa"/>
          </w:tcPr>
          <w:p>
            <w:pPr>
              <w:pStyle w:val="TableParagraph"/>
              <w:spacing w:line="220" w:lineRule="exact" w:before="120"/>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tcPr>
          <w:p>
            <w:pPr>
              <w:pStyle w:val="TableParagraph"/>
              <w:spacing w:line="220" w:lineRule="exact" w:before="120"/>
              <w:ind w:left="332"/>
              <w:rPr>
                <w:sz w:val="20"/>
              </w:rPr>
            </w:pPr>
            <w:r>
              <w:rPr>
                <w:spacing w:val="-2"/>
                <w:sz w:val="20"/>
              </w:rPr>
              <w:t>178016</w:t>
            </w: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в</w:t>
            </w:r>
            <w:r>
              <w:rPr>
                <w:spacing w:val="-2"/>
                <w:sz w:val="20"/>
              </w:rPr>
              <w:t> радиотерапевтических</w:t>
            </w:r>
          </w:p>
        </w:tc>
        <w:tc>
          <w:tcPr>
            <w:tcW w:w="1974" w:type="dxa"/>
          </w:tcPr>
          <w:p>
            <w:pPr>
              <w:pStyle w:val="TableParagraph"/>
              <w:spacing w:line="220" w:lineRule="exact"/>
              <w:ind w:left="78" w:right="66"/>
              <w:jc w:val="center"/>
              <w:rPr>
                <w:sz w:val="20"/>
              </w:rPr>
            </w:pPr>
            <w:hyperlink r:id="rId74">
              <w:r>
                <w:rPr>
                  <w:sz w:val="20"/>
                </w:rPr>
                <w:t>C18</w:t>
              </w:r>
              <w:r>
                <w:rPr>
                  <w:spacing w:val="-1"/>
                  <w:sz w:val="20"/>
                </w:rPr>
                <w:t> </w:t>
              </w:r>
            </w:hyperlink>
            <w:r>
              <w:rPr>
                <w:sz w:val="20"/>
              </w:rPr>
              <w:t>-</w:t>
            </w:r>
            <w:r>
              <w:rPr>
                <w:spacing w:val="-4"/>
                <w:sz w:val="20"/>
              </w:rPr>
              <w:t> </w:t>
            </w:r>
            <w:hyperlink r:id="rId79">
              <w:r>
                <w:rPr>
                  <w:sz w:val="20"/>
                </w:rPr>
                <w:t>C22,</w:t>
              </w:r>
              <w:r>
                <w:rPr>
                  <w:spacing w:val="-1"/>
                  <w:sz w:val="20"/>
                </w:rPr>
                <w:t> </w:t>
              </w:r>
            </w:hyperlink>
            <w:hyperlink r:id="rId80">
              <w:r>
                <w:rPr>
                  <w:sz w:val="20"/>
                </w:rPr>
                <w:t>C23</w:t>
              </w:r>
              <w:r>
                <w:rPr>
                  <w:spacing w:val="-1"/>
                  <w:sz w:val="20"/>
                </w:rPr>
                <w:t> </w:t>
              </w:r>
            </w:hyperlink>
            <w:r>
              <w:rPr>
                <w:sz w:val="20"/>
              </w:rPr>
              <w:t>-</w:t>
            </w:r>
            <w:r>
              <w:rPr>
                <w:spacing w:val="-4"/>
                <w:sz w:val="20"/>
              </w:rPr>
              <w:t> </w:t>
            </w:r>
            <w:hyperlink r:id="rId129">
              <w:r>
                <w:rPr>
                  <w:spacing w:val="-4"/>
                  <w:sz w:val="20"/>
                </w:rPr>
                <w:t>C25,</w:t>
              </w:r>
            </w:hyperlink>
          </w:p>
        </w:tc>
        <w:tc>
          <w:tcPr>
            <w:tcW w:w="3162" w:type="dxa"/>
          </w:tcPr>
          <w:p>
            <w:pPr>
              <w:pStyle w:val="TableParagraph"/>
              <w:spacing w:line="220" w:lineRule="exact"/>
              <w:ind w:left="67"/>
              <w:rPr>
                <w:sz w:val="20"/>
              </w:rPr>
            </w:pPr>
            <w:r>
              <w:rPr>
                <w:sz w:val="20"/>
              </w:rPr>
              <w:t>головы</w:t>
            </w:r>
            <w:r>
              <w:rPr>
                <w:spacing w:val="-6"/>
                <w:sz w:val="20"/>
              </w:rPr>
              <w:t> </w:t>
            </w:r>
            <w:r>
              <w:rPr>
                <w:sz w:val="20"/>
              </w:rPr>
              <w:t>и</w:t>
            </w:r>
            <w:r>
              <w:rPr>
                <w:spacing w:val="-6"/>
                <w:sz w:val="20"/>
              </w:rPr>
              <w:t> </w:t>
            </w:r>
            <w:r>
              <w:rPr>
                <w:sz w:val="20"/>
              </w:rPr>
              <w:t>шеи,</w:t>
            </w:r>
            <w:r>
              <w:rPr>
                <w:spacing w:val="-3"/>
                <w:sz w:val="20"/>
              </w:rPr>
              <w:t> </w:t>
            </w:r>
            <w:r>
              <w:rPr>
                <w:sz w:val="20"/>
              </w:rPr>
              <w:t>трахеи,</w:t>
            </w:r>
            <w:r>
              <w:rPr>
                <w:spacing w:val="-4"/>
                <w:sz w:val="20"/>
              </w:rPr>
              <w:t> </w:t>
            </w:r>
            <w:r>
              <w:rPr>
                <w:spacing w:val="-2"/>
                <w:sz w:val="20"/>
              </w:rPr>
              <w:t>бронхов,</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отделениях</w:t>
            </w:r>
            <w:r>
              <w:rPr>
                <w:spacing w:val="-10"/>
                <w:sz w:val="20"/>
              </w:rPr>
              <w:t> </w:t>
            </w:r>
            <w:r>
              <w:rPr>
                <w:spacing w:val="-5"/>
                <w:sz w:val="20"/>
              </w:rPr>
              <w:t>при</w:t>
            </w:r>
          </w:p>
        </w:tc>
        <w:tc>
          <w:tcPr>
            <w:tcW w:w="1974" w:type="dxa"/>
          </w:tcPr>
          <w:p>
            <w:pPr>
              <w:pStyle w:val="TableParagraph"/>
              <w:spacing w:line="220" w:lineRule="exact"/>
              <w:ind w:left="78" w:right="61"/>
              <w:jc w:val="center"/>
              <w:rPr>
                <w:sz w:val="20"/>
              </w:rPr>
            </w:pPr>
            <w:hyperlink r:id="rId148">
              <w:r>
                <w:rPr>
                  <w:sz w:val="20"/>
                </w:rPr>
                <w:t>C30,</w:t>
              </w:r>
              <w:r>
                <w:rPr>
                  <w:spacing w:val="-2"/>
                  <w:sz w:val="20"/>
                </w:rPr>
                <w:t> </w:t>
              </w:r>
            </w:hyperlink>
            <w:hyperlink r:id="rId164">
              <w:r>
                <w:rPr>
                  <w:sz w:val="20"/>
                </w:rPr>
                <w:t>C31,</w:t>
              </w:r>
              <w:r>
                <w:rPr>
                  <w:spacing w:val="-2"/>
                  <w:sz w:val="20"/>
                </w:rPr>
                <w:t> </w:t>
              </w:r>
            </w:hyperlink>
            <w:hyperlink r:id="rId149">
              <w:r>
                <w:rPr>
                  <w:sz w:val="20"/>
                </w:rPr>
                <w:t>C32,</w:t>
              </w:r>
              <w:r>
                <w:rPr>
                  <w:spacing w:val="-2"/>
                  <w:sz w:val="20"/>
                </w:rPr>
                <w:t> </w:t>
              </w:r>
            </w:hyperlink>
            <w:hyperlink r:id="rId65">
              <w:r>
                <w:rPr>
                  <w:spacing w:val="-4"/>
                  <w:sz w:val="20"/>
                </w:rPr>
                <w:t>C33,</w:t>
              </w:r>
            </w:hyperlink>
          </w:p>
        </w:tc>
        <w:tc>
          <w:tcPr>
            <w:tcW w:w="3162" w:type="dxa"/>
          </w:tcPr>
          <w:p>
            <w:pPr>
              <w:pStyle w:val="TableParagraph"/>
              <w:spacing w:line="220" w:lineRule="exact"/>
              <w:ind w:left="67"/>
              <w:rPr>
                <w:sz w:val="20"/>
              </w:rPr>
            </w:pPr>
            <w:r>
              <w:rPr>
                <w:sz w:val="20"/>
              </w:rPr>
              <w:t>легкого,</w:t>
            </w:r>
            <w:r>
              <w:rPr>
                <w:spacing w:val="-8"/>
                <w:sz w:val="20"/>
              </w:rPr>
              <w:t> </w:t>
            </w:r>
            <w:r>
              <w:rPr>
                <w:sz w:val="20"/>
              </w:rPr>
              <w:t>плевры,</w:t>
            </w:r>
            <w:r>
              <w:rPr>
                <w:spacing w:val="-6"/>
                <w:sz w:val="20"/>
              </w:rPr>
              <w:t> </w:t>
            </w:r>
            <w:r>
              <w:rPr>
                <w:spacing w:val="-2"/>
                <w:sz w:val="20"/>
              </w:rPr>
              <w:t>средостения,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5"/>
                <w:sz w:val="20"/>
              </w:rPr>
              <w:t> </w:t>
            </w:r>
            <w:r>
              <w:rPr>
                <w:sz w:val="20"/>
              </w:rPr>
              <w:t>стереотаксическая</w:t>
            </w:r>
            <w:r>
              <w:rPr>
                <w:spacing w:val="-5"/>
                <w:sz w:val="20"/>
              </w:rPr>
              <w:t> </w:t>
            </w:r>
            <w:r>
              <w:rPr>
                <w:sz w:val="20"/>
              </w:rPr>
              <w:t>(40</w:t>
            </w:r>
            <w:r>
              <w:rPr>
                <w:spacing w:val="-2"/>
                <w:sz w:val="20"/>
              </w:rPr>
              <w:t> </w:t>
            </w:r>
            <w:r>
              <w:rPr>
                <w:sz w:val="20"/>
              </w:rPr>
              <w:t>-</w:t>
            </w:r>
            <w:r>
              <w:rPr>
                <w:spacing w:val="-6"/>
                <w:sz w:val="20"/>
              </w:rPr>
              <w:t> </w:t>
            </w:r>
            <w:r>
              <w:rPr>
                <w:sz w:val="20"/>
              </w:rPr>
              <w:t>69</w:t>
            </w:r>
            <w:r>
              <w:rPr>
                <w:spacing w:val="-3"/>
                <w:sz w:val="20"/>
              </w:rPr>
              <w:t> </w:t>
            </w:r>
            <w:r>
              <w:rPr>
                <w:spacing w:val="-4"/>
                <w:sz w:val="20"/>
              </w:rPr>
              <w:t>Гр).</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злокачественных</w:t>
            </w:r>
          </w:p>
        </w:tc>
        <w:tc>
          <w:tcPr>
            <w:tcW w:w="1974" w:type="dxa"/>
          </w:tcPr>
          <w:p>
            <w:pPr>
              <w:pStyle w:val="TableParagraph"/>
              <w:spacing w:line="220" w:lineRule="exact"/>
              <w:ind w:left="78" w:right="61"/>
              <w:jc w:val="center"/>
              <w:rPr>
                <w:sz w:val="20"/>
              </w:rPr>
            </w:pPr>
            <w:hyperlink r:id="rId82">
              <w:r>
                <w:rPr>
                  <w:sz w:val="20"/>
                </w:rPr>
                <w:t>C34,</w:t>
              </w:r>
              <w:r>
                <w:rPr>
                  <w:spacing w:val="-2"/>
                  <w:sz w:val="20"/>
                </w:rPr>
                <w:t> </w:t>
              </w:r>
            </w:hyperlink>
            <w:hyperlink r:id="rId83">
              <w:r>
                <w:rPr>
                  <w:sz w:val="20"/>
                </w:rPr>
                <w:t>C37,</w:t>
              </w:r>
              <w:r>
                <w:rPr>
                  <w:spacing w:val="-2"/>
                  <w:sz w:val="20"/>
                </w:rPr>
                <w:t> </w:t>
              </w:r>
            </w:hyperlink>
            <w:hyperlink r:id="rId128">
              <w:r>
                <w:rPr>
                  <w:sz w:val="20"/>
                </w:rPr>
                <w:t>C39,</w:t>
              </w:r>
              <w:r>
                <w:rPr>
                  <w:spacing w:val="-2"/>
                  <w:sz w:val="20"/>
                </w:rPr>
                <w:t> </w:t>
              </w:r>
            </w:hyperlink>
            <w:hyperlink r:id="rId130">
              <w:r>
                <w:rPr>
                  <w:spacing w:val="-4"/>
                  <w:sz w:val="20"/>
                </w:rPr>
                <w:t>C40,</w:t>
              </w:r>
            </w:hyperlink>
          </w:p>
        </w:tc>
        <w:tc>
          <w:tcPr>
            <w:tcW w:w="3162" w:type="dxa"/>
          </w:tcPr>
          <w:p>
            <w:pPr>
              <w:pStyle w:val="TableParagraph"/>
              <w:spacing w:line="220" w:lineRule="exact"/>
              <w:ind w:left="67"/>
              <w:rPr>
                <w:sz w:val="20"/>
              </w:rPr>
            </w:pPr>
            <w:r>
              <w:rPr>
                <w:sz w:val="20"/>
              </w:rPr>
              <w:t>щитовидной</w:t>
            </w:r>
            <w:r>
              <w:rPr>
                <w:spacing w:val="-10"/>
                <w:sz w:val="20"/>
              </w:rPr>
              <w:t> </w:t>
            </w:r>
            <w:r>
              <w:rPr>
                <w:sz w:val="20"/>
              </w:rPr>
              <w:t>железы,</w:t>
            </w:r>
            <w:r>
              <w:rPr>
                <w:spacing w:val="-10"/>
                <w:sz w:val="20"/>
              </w:rPr>
              <w:t> </w:t>
            </w:r>
            <w:r>
              <w:rPr>
                <w:spacing w:val="-2"/>
                <w:sz w:val="20"/>
              </w:rPr>
              <w:t>молочной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новообразованиях</w:t>
            </w:r>
          </w:p>
        </w:tc>
        <w:tc>
          <w:tcPr>
            <w:tcW w:w="1974" w:type="dxa"/>
          </w:tcPr>
          <w:p>
            <w:pPr>
              <w:pStyle w:val="TableParagraph"/>
              <w:spacing w:line="220" w:lineRule="exact"/>
              <w:ind w:left="78" w:right="61"/>
              <w:jc w:val="center"/>
              <w:rPr>
                <w:sz w:val="20"/>
              </w:rPr>
            </w:pPr>
            <w:hyperlink r:id="rId131">
              <w:r>
                <w:rPr>
                  <w:sz w:val="20"/>
                </w:rPr>
                <w:t>C41,</w:t>
              </w:r>
              <w:r>
                <w:rPr>
                  <w:spacing w:val="-2"/>
                  <w:sz w:val="20"/>
                </w:rPr>
                <w:t> </w:t>
              </w:r>
            </w:hyperlink>
            <w:hyperlink r:id="rId67">
              <w:r>
                <w:rPr>
                  <w:sz w:val="20"/>
                </w:rPr>
                <w:t>C44,</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62" w:type="dxa"/>
          </w:tcPr>
          <w:p>
            <w:pPr>
              <w:pStyle w:val="TableParagraph"/>
              <w:spacing w:line="220" w:lineRule="exact"/>
              <w:ind w:left="67"/>
              <w:rPr>
                <w:sz w:val="20"/>
              </w:rPr>
            </w:pPr>
            <w:r>
              <w:rPr>
                <w:sz w:val="20"/>
              </w:rPr>
              <w:t>железы,</w:t>
            </w:r>
            <w:r>
              <w:rPr>
                <w:spacing w:val="-7"/>
                <w:sz w:val="20"/>
              </w:rPr>
              <w:t> </w:t>
            </w:r>
            <w:r>
              <w:rPr>
                <w:sz w:val="20"/>
              </w:rPr>
              <w:t>пищевода,</w:t>
            </w:r>
            <w:r>
              <w:rPr>
                <w:spacing w:val="-8"/>
                <w:sz w:val="20"/>
              </w:rPr>
              <w:t> </w:t>
            </w:r>
            <w:r>
              <w:rPr>
                <w:spacing w:val="-2"/>
                <w:sz w:val="20"/>
              </w:rPr>
              <w:t>желудка,</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15">
              <w:r>
                <w:rPr>
                  <w:sz w:val="20"/>
                </w:rPr>
                <w:t>C50,</w:t>
              </w:r>
              <w:r>
                <w:rPr>
                  <w:spacing w:val="-2"/>
                  <w:sz w:val="20"/>
                </w:rPr>
                <w:t> </w:t>
              </w:r>
            </w:hyperlink>
            <w:hyperlink r:id="rId152">
              <w:r>
                <w:rPr>
                  <w:sz w:val="20"/>
                </w:rPr>
                <w:t>C51,</w:t>
              </w:r>
              <w:r>
                <w:rPr>
                  <w:spacing w:val="-2"/>
                  <w:sz w:val="20"/>
                </w:rPr>
                <w:t> </w:t>
              </w:r>
            </w:hyperlink>
            <w:hyperlink r:id="rId165">
              <w:r>
                <w:rPr>
                  <w:sz w:val="20"/>
                </w:rPr>
                <w:t>C55,</w:t>
              </w:r>
              <w:r>
                <w:rPr>
                  <w:spacing w:val="-2"/>
                  <w:sz w:val="20"/>
                </w:rPr>
                <w:t> </w:t>
              </w:r>
            </w:hyperlink>
            <w:hyperlink r:id="rId120">
              <w:r>
                <w:rPr>
                  <w:spacing w:val="-4"/>
                  <w:sz w:val="20"/>
                </w:rPr>
                <w:t>C60,</w:t>
              </w:r>
            </w:hyperlink>
          </w:p>
        </w:tc>
        <w:tc>
          <w:tcPr>
            <w:tcW w:w="3162" w:type="dxa"/>
          </w:tcPr>
          <w:p>
            <w:pPr>
              <w:pStyle w:val="TableParagraph"/>
              <w:spacing w:line="220" w:lineRule="exact"/>
              <w:ind w:left="67"/>
              <w:rPr>
                <w:sz w:val="20"/>
              </w:rPr>
            </w:pPr>
            <w:r>
              <w:rPr>
                <w:sz w:val="20"/>
              </w:rPr>
              <w:t>тонкой</w:t>
            </w:r>
            <w:r>
              <w:rPr>
                <w:spacing w:val="-8"/>
                <w:sz w:val="20"/>
              </w:rPr>
              <w:t> </w:t>
            </w:r>
            <w:r>
              <w:rPr>
                <w:sz w:val="20"/>
              </w:rPr>
              <w:t>кишки,</w:t>
            </w:r>
            <w:r>
              <w:rPr>
                <w:spacing w:val="-8"/>
                <w:sz w:val="20"/>
              </w:rPr>
              <w:t> </w:t>
            </w:r>
            <w:r>
              <w:rPr>
                <w:sz w:val="20"/>
              </w:rPr>
              <w:t>ободочной</w:t>
            </w:r>
            <w:r>
              <w:rPr>
                <w:spacing w:val="-9"/>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21">
              <w:r>
                <w:rPr>
                  <w:sz w:val="20"/>
                </w:rPr>
                <w:t>C61,</w:t>
              </w:r>
              <w:r>
                <w:rPr>
                  <w:spacing w:val="-2"/>
                  <w:sz w:val="20"/>
                </w:rPr>
                <w:t> </w:t>
              </w:r>
            </w:hyperlink>
            <w:hyperlink r:id="rId123">
              <w:r>
                <w:rPr>
                  <w:sz w:val="20"/>
                </w:rPr>
                <w:t>C64,</w:t>
              </w:r>
              <w:r>
                <w:rPr>
                  <w:spacing w:val="-2"/>
                  <w:sz w:val="20"/>
                </w:rPr>
                <w:t> </w:t>
              </w:r>
            </w:hyperlink>
            <w:hyperlink r:id="rId124">
              <w:r>
                <w:rPr>
                  <w:sz w:val="20"/>
                </w:rPr>
                <w:t>C67,</w:t>
              </w:r>
              <w:r>
                <w:rPr>
                  <w:spacing w:val="-2"/>
                  <w:sz w:val="20"/>
                </w:rPr>
                <w:t> </w:t>
              </w:r>
            </w:hyperlink>
            <w:hyperlink r:id="rId157">
              <w:r>
                <w:rPr>
                  <w:spacing w:val="-4"/>
                  <w:sz w:val="20"/>
                </w:rPr>
                <w:t>C68,</w:t>
              </w:r>
            </w:hyperlink>
          </w:p>
        </w:tc>
        <w:tc>
          <w:tcPr>
            <w:tcW w:w="3162" w:type="dxa"/>
          </w:tcPr>
          <w:p>
            <w:pPr>
              <w:pStyle w:val="TableParagraph"/>
              <w:spacing w:line="220" w:lineRule="exact"/>
              <w:ind w:left="67"/>
              <w:rPr>
                <w:sz w:val="20"/>
              </w:rPr>
            </w:pPr>
            <w:r>
              <w:rPr>
                <w:sz w:val="20"/>
              </w:rPr>
              <w:t>желчного</w:t>
            </w:r>
            <w:r>
              <w:rPr>
                <w:spacing w:val="-9"/>
                <w:sz w:val="20"/>
              </w:rPr>
              <w:t> </w:t>
            </w:r>
            <w:r>
              <w:rPr>
                <w:sz w:val="20"/>
              </w:rPr>
              <w:t>пузыря,</w:t>
            </w:r>
            <w:r>
              <w:rPr>
                <w:spacing w:val="-9"/>
                <w:sz w:val="20"/>
              </w:rPr>
              <w:t> </w:t>
            </w:r>
            <w:r>
              <w:rPr>
                <w:spacing w:val="-2"/>
                <w:sz w:val="20"/>
              </w:rPr>
              <w:t>поджелудочной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2"/>
              <w:jc w:val="center"/>
              <w:rPr>
                <w:sz w:val="20"/>
              </w:rPr>
            </w:pPr>
            <w:hyperlink r:id="rId70">
              <w:r>
                <w:rPr>
                  <w:sz w:val="20"/>
                </w:rPr>
                <w:t>C73,</w:t>
              </w:r>
              <w:r>
                <w:rPr>
                  <w:spacing w:val="-2"/>
                  <w:sz w:val="20"/>
                </w:rPr>
                <w:t> </w:t>
              </w:r>
            </w:hyperlink>
            <w:hyperlink r:id="rId125">
              <w:r>
                <w:rPr>
                  <w:sz w:val="20"/>
                </w:rPr>
                <w:t>C74,</w:t>
              </w:r>
              <w:r>
                <w:rPr>
                  <w:spacing w:val="-2"/>
                  <w:sz w:val="20"/>
                </w:rPr>
                <w:t> </w:t>
              </w:r>
            </w:hyperlink>
            <w:hyperlink r:id="rId162">
              <w:r>
                <w:rPr>
                  <w:spacing w:val="-5"/>
                  <w:sz w:val="20"/>
                </w:rPr>
                <w:t>C77</w:t>
              </w:r>
            </w:hyperlink>
          </w:p>
        </w:tc>
        <w:tc>
          <w:tcPr>
            <w:tcW w:w="3162" w:type="dxa"/>
          </w:tcPr>
          <w:p>
            <w:pPr>
              <w:pStyle w:val="TableParagraph"/>
              <w:spacing w:line="220" w:lineRule="exact"/>
              <w:ind w:left="67"/>
              <w:rPr>
                <w:sz w:val="20"/>
              </w:rPr>
            </w:pPr>
            <w:r>
              <w:rPr>
                <w:sz w:val="20"/>
              </w:rPr>
              <w:t>железы,</w:t>
            </w:r>
            <w:r>
              <w:rPr>
                <w:spacing w:val="-5"/>
                <w:sz w:val="20"/>
              </w:rPr>
              <w:t> </w:t>
            </w:r>
            <w:r>
              <w:rPr>
                <w:sz w:val="20"/>
              </w:rPr>
              <w:t>толстой</w:t>
            </w:r>
            <w:r>
              <w:rPr>
                <w:spacing w:val="-5"/>
                <w:sz w:val="20"/>
              </w:rPr>
              <w:t> </w:t>
            </w:r>
            <w:r>
              <w:rPr>
                <w:sz w:val="20"/>
              </w:rPr>
              <w:t>и</w:t>
            </w:r>
            <w:r>
              <w:rPr>
                <w:spacing w:val="-6"/>
                <w:sz w:val="20"/>
              </w:rPr>
              <w:t> </w:t>
            </w:r>
            <w:r>
              <w:rPr>
                <w:sz w:val="20"/>
              </w:rPr>
              <w:t>прямой</w:t>
            </w:r>
            <w:r>
              <w:rPr>
                <w:spacing w:val="-6"/>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анального</w:t>
            </w:r>
            <w:r>
              <w:rPr>
                <w:spacing w:val="-8"/>
                <w:sz w:val="20"/>
              </w:rPr>
              <w:t> </w:t>
            </w:r>
            <w:r>
              <w:rPr>
                <w:sz w:val="20"/>
              </w:rPr>
              <w:t>канала,</w:t>
            </w:r>
            <w:r>
              <w:rPr>
                <w:spacing w:val="-7"/>
                <w:sz w:val="20"/>
              </w:rPr>
              <w:t> </w:t>
            </w:r>
            <w:r>
              <w:rPr>
                <w:spacing w:val="-2"/>
                <w:sz w:val="20"/>
              </w:rPr>
              <w:t>печени,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мишени.</w:t>
            </w:r>
            <w:r>
              <w:rPr>
                <w:spacing w:val="7"/>
                <w:sz w:val="20"/>
              </w:rPr>
              <w:t> </w:t>
            </w:r>
            <w:r>
              <w:rPr>
                <w:spacing w:val="-2"/>
                <w:sz w:val="20"/>
              </w:rPr>
              <w:t>Синхронизация</w:t>
            </w:r>
            <w:r>
              <w:rPr>
                <w:spacing w:val="6"/>
                <w:sz w:val="20"/>
              </w:rPr>
              <w:t> </w:t>
            </w:r>
            <w:r>
              <w:rPr>
                <w:spacing w:val="-2"/>
                <w:sz w:val="20"/>
              </w:rPr>
              <w:t>дыхания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мочевого</w:t>
            </w:r>
            <w:r>
              <w:rPr>
                <w:spacing w:val="-8"/>
                <w:sz w:val="20"/>
              </w:rPr>
              <w:t> </w:t>
            </w:r>
            <w:r>
              <w:rPr>
                <w:sz w:val="20"/>
              </w:rPr>
              <w:t>пузыря,</w:t>
            </w:r>
            <w:r>
              <w:rPr>
                <w:spacing w:val="-9"/>
                <w:sz w:val="20"/>
              </w:rPr>
              <w:t> </w:t>
            </w:r>
            <w:r>
              <w:rPr>
                <w:spacing w:val="-2"/>
                <w:sz w:val="20"/>
              </w:rPr>
              <w:t>надпочечников,</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почки,</w:t>
            </w:r>
            <w:r>
              <w:rPr>
                <w:spacing w:val="-9"/>
                <w:sz w:val="20"/>
              </w:rPr>
              <w:t> </w:t>
            </w:r>
            <w:r>
              <w:rPr>
                <w:sz w:val="20"/>
              </w:rPr>
              <w:t>полового</w:t>
            </w:r>
            <w:r>
              <w:rPr>
                <w:spacing w:val="-9"/>
                <w:sz w:val="20"/>
              </w:rPr>
              <w:t> </w:t>
            </w:r>
            <w:r>
              <w:rPr>
                <w:spacing w:val="-2"/>
                <w:sz w:val="20"/>
              </w:rPr>
              <w:t>члена,</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предстательной</w:t>
            </w:r>
            <w:r>
              <w:rPr>
                <w:spacing w:val="-10"/>
                <w:sz w:val="20"/>
              </w:rPr>
              <w:t> </w:t>
            </w:r>
            <w:r>
              <w:rPr>
                <w:sz w:val="20"/>
              </w:rPr>
              <w:t>железы,</w:t>
            </w:r>
            <w:r>
              <w:rPr>
                <w:spacing w:val="-7"/>
                <w:sz w:val="20"/>
              </w:rPr>
              <w:t> </w:t>
            </w:r>
            <w:r>
              <w:rPr>
                <w:sz w:val="20"/>
              </w:rPr>
              <w:t>костей</w:t>
            </w:r>
            <w:r>
              <w:rPr>
                <w:spacing w:val="-9"/>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суставных</w:t>
            </w:r>
            <w:r>
              <w:rPr>
                <w:spacing w:val="-9"/>
                <w:sz w:val="20"/>
              </w:rPr>
              <w:t> </w:t>
            </w:r>
            <w:r>
              <w:rPr>
                <w:sz w:val="20"/>
              </w:rPr>
              <w:t>хрящей,</w:t>
            </w:r>
            <w:r>
              <w:rPr>
                <w:spacing w:val="-8"/>
                <w:sz w:val="20"/>
              </w:rPr>
              <w:t> </w:t>
            </w:r>
            <w:r>
              <w:rPr>
                <w:sz w:val="20"/>
              </w:rPr>
              <w:t>кожи,</w:t>
            </w:r>
            <w:r>
              <w:rPr>
                <w:spacing w:val="-8"/>
                <w:sz w:val="20"/>
              </w:rPr>
              <w:t> </w:t>
            </w:r>
            <w:r>
              <w:rPr>
                <w:spacing w:val="-2"/>
                <w:sz w:val="20"/>
              </w:rPr>
              <w:t>мягких</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тканей</w:t>
            </w:r>
            <w:r>
              <w:rPr>
                <w:spacing w:val="-8"/>
                <w:sz w:val="20"/>
              </w:rPr>
              <w:t> </w:t>
            </w:r>
            <w:r>
              <w:rPr>
                <w:sz w:val="20"/>
              </w:rPr>
              <w:t>(T1-4N</w:t>
            </w:r>
            <w:r>
              <w:rPr>
                <w:spacing w:val="-7"/>
                <w:sz w:val="20"/>
              </w:rPr>
              <w:t> </w:t>
            </w:r>
            <w:r>
              <w:rPr>
                <w:sz w:val="20"/>
              </w:rPr>
              <w:t>любая</w:t>
            </w:r>
            <w:r>
              <w:rPr>
                <w:spacing w:val="-8"/>
                <w:sz w:val="20"/>
              </w:rPr>
              <w:t> </w:t>
            </w:r>
            <w:r>
              <w:rPr>
                <w:spacing w:val="-4"/>
                <w:sz w:val="20"/>
              </w:rPr>
              <w:t>M0),</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локализованные</w:t>
            </w:r>
            <w:r>
              <w:rPr>
                <w:spacing w:val="51"/>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местнораспространенные</w:t>
            </w:r>
            <w:r>
              <w:rPr>
                <w:spacing w:val="60"/>
                <w:w w:val="150"/>
                <w:sz w:val="20"/>
              </w:rPr>
              <w:t> </w:t>
            </w:r>
            <w:r>
              <w:rPr>
                <w:spacing w:val="-2"/>
                <w:sz w:val="20"/>
              </w:rPr>
              <w:t>формы.</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36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ind w:left="67"/>
              <w:rPr>
                <w:sz w:val="20"/>
              </w:rPr>
            </w:pPr>
            <w:r>
              <w:rPr>
                <w:sz w:val="20"/>
              </w:rPr>
              <w:t>Вторичное</w:t>
            </w:r>
            <w:r>
              <w:rPr>
                <w:spacing w:val="-11"/>
                <w:sz w:val="20"/>
              </w:rPr>
              <w:t> </w:t>
            </w:r>
            <w:r>
              <w:rPr>
                <w:sz w:val="20"/>
              </w:rPr>
              <w:t>поражение</w:t>
            </w:r>
            <w:r>
              <w:rPr>
                <w:spacing w:val="-10"/>
                <w:sz w:val="20"/>
              </w:rPr>
              <w:t> </w:t>
            </w:r>
            <w:r>
              <w:rPr>
                <w:spacing w:val="-2"/>
                <w:sz w:val="20"/>
              </w:rPr>
              <w:t>лимфоузлов</w:t>
            </w:r>
          </w:p>
        </w:tc>
        <w:tc>
          <w:tcPr>
            <w:tcW w:w="1620" w:type="dxa"/>
          </w:tcPr>
          <w:p>
            <w:pPr>
              <w:pStyle w:val="TableParagraph"/>
              <w:rPr>
                <w:sz w:val="18"/>
              </w:rPr>
            </w:pPr>
          </w:p>
        </w:tc>
        <w:tc>
          <w:tcPr>
            <w:tcW w:w="3817" w:type="dxa"/>
          </w:tcPr>
          <w:p>
            <w:pPr>
              <w:pStyle w:val="TableParagraph"/>
              <w:rPr>
                <w:sz w:val="18"/>
              </w:rPr>
            </w:pPr>
          </w:p>
        </w:tc>
        <w:tc>
          <w:tcPr>
            <w:tcW w:w="989" w:type="dxa"/>
          </w:tcPr>
          <w:p>
            <w:pPr>
              <w:pStyle w:val="TableParagraph"/>
              <w:rPr>
                <w:sz w:val="18"/>
              </w:rPr>
            </w:pPr>
          </w:p>
        </w:tc>
      </w:tr>
      <w:tr>
        <w:trPr>
          <w:trHeight w:val="360" w:hRule="atLeast"/>
        </w:trPr>
        <w:tc>
          <w:tcPr>
            <w:tcW w:w="472" w:type="dxa"/>
            <w:vMerge w:val="restart"/>
          </w:tcPr>
          <w:p>
            <w:pPr>
              <w:pStyle w:val="TableParagraph"/>
              <w:rPr>
                <w:sz w:val="18"/>
              </w:rPr>
            </w:pPr>
          </w:p>
        </w:tc>
        <w:tc>
          <w:tcPr>
            <w:tcW w:w="3012" w:type="dxa"/>
            <w:vMerge w:val="restart"/>
          </w:tcPr>
          <w:p>
            <w:pPr>
              <w:pStyle w:val="TableParagraph"/>
              <w:rPr>
                <w:sz w:val="18"/>
              </w:rPr>
            </w:pPr>
          </w:p>
        </w:tc>
        <w:tc>
          <w:tcPr>
            <w:tcW w:w="1974" w:type="dxa"/>
          </w:tcPr>
          <w:p>
            <w:pPr>
              <w:pStyle w:val="TableParagraph"/>
              <w:spacing w:line="220" w:lineRule="exact" w:before="120"/>
              <w:ind w:left="78" w:right="61"/>
              <w:jc w:val="center"/>
              <w:rPr>
                <w:sz w:val="20"/>
              </w:rPr>
            </w:pPr>
            <w:hyperlink r:id="rId152">
              <w:r>
                <w:rPr>
                  <w:sz w:val="20"/>
                </w:rPr>
                <w:t>C51,</w:t>
              </w:r>
              <w:r>
                <w:rPr>
                  <w:spacing w:val="-2"/>
                  <w:sz w:val="20"/>
                </w:rPr>
                <w:t> </w:t>
              </w:r>
            </w:hyperlink>
            <w:hyperlink r:id="rId166">
              <w:r>
                <w:rPr>
                  <w:sz w:val="20"/>
                </w:rPr>
                <w:t>C52,</w:t>
              </w:r>
              <w:r>
                <w:rPr>
                  <w:spacing w:val="-2"/>
                  <w:sz w:val="20"/>
                </w:rPr>
                <w:t> </w:t>
              </w:r>
            </w:hyperlink>
            <w:hyperlink r:id="rId116">
              <w:r>
                <w:rPr>
                  <w:sz w:val="20"/>
                </w:rPr>
                <w:t>C53,</w:t>
              </w:r>
              <w:r>
                <w:rPr>
                  <w:spacing w:val="-2"/>
                  <w:sz w:val="20"/>
                </w:rPr>
                <w:t> </w:t>
              </w:r>
            </w:hyperlink>
            <w:hyperlink r:id="rId117">
              <w:r>
                <w:rPr>
                  <w:spacing w:val="-4"/>
                  <w:sz w:val="20"/>
                </w:rPr>
                <w:t>C54,</w:t>
              </w:r>
            </w:hyperlink>
          </w:p>
        </w:tc>
        <w:tc>
          <w:tcPr>
            <w:tcW w:w="3162" w:type="dxa"/>
          </w:tcPr>
          <w:p>
            <w:pPr>
              <w:pStyle w:val="TableParagraph"/>
              <w:spacing w:line="220" w:lineRule="exact" w:before="120"/>
              <w:ind w:left="67"/>
              <w:rPr>
                <w:sz w:val="20"/>
              </w:rPr>
            </w:pPr>
            <w:r>
              <w:rPr>
                <w:spacing w:val="-2"/>
                <w:sz w:val="20"/>
              </w:rPr>
              <w:t>интраэпителиальные,</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spacing w:line="220" w:lineRule="exact"/>
              <w:ind w:left="78" w:right="66"/>
              <w:jc w:val="center"/>
              <w:rPr>
                <w:sz w:val="20"/>
              </w:rPr>
            </w:pPr>
            <w:hyperlink r:id="rId165">
              <w:r>
                <w:rPr>
                  <w:spacing w:val="-5"/>
                  <w:sz w:val="20"/>
                </w:rPr>
                <w:t>C55</w:t>
              </w:r>
            </w:hyperlink>
          </w:p>
        </w:tc>
        <w:tc>
          <w:tcPr>
            <w:tcW w:w="3162" w:type="dxa"/>
          </w:tcPr>
          <w:p>
            <w:pPr>
              <w:pStyle w:val="TableParagraph"/>
              <w:spacing w:line="220" w:lineRule="exact"/>
              <w:ind w:left="67"/>
              <w:rPr>
                <w:sz w:val="20"/>
              </w:rPr>
            </w:pPr>
            <w:r>
              <w:rPr>
                <w:sz w:val="20"/>
              </w:rPr>
              <w:t>микроинвазивные</w:t>
            </w:r>
            <w:r>
              <w:rPr>
                <w:spacing w:val="-9"/>
                <w:sz w:val="20"/>
              </w:rPr>
              <w:t> </w:t>
            </w:r>
            <w:r>
              <w:rPr>
                <w:sz w:val="20"/>
              </w:rPr>
              <w:t>и</w:t>
            </w:r>
            <w:r>
              <w:rPr>
                <w:spacing w:val="-12"/>
                <w:sz w:val="20"/>
              </w:rPr>
              <w:t> </w:t>
            </w:r>
            <w:r>
              <w:rPr>
                <w:spacing w:val="-2"/>
                <w:sz w:val="20"/>
              </w:rPr>
              <w:t>инвазивные</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5"/>
                <w:sz w:val="20"/>
              </w:rPr>
              <w:t> </w:t>
            </w:r>
            <w:r>
              <w:rPr>
                <w:sz w:val="20"/>
              </w:rPr>
              <w:t>стереотаксическая</w:t>
            </w:r>
            <w:r>
              <w:rPr>
                <w:spacing w:val="-5"/>
                <w:sz w:val="20"/>
              </w:rPr>
              <w:t> </w:t>
            </w:r>
            <w:r>
              <w:rPr>
                <w:sz w:val="20"/>
              </w:rPr>
              <w:t>(40</w:t>
            </w:r>
            <w:r>
              <w:rPr>
                <w:spacing w:val="-2"/>
                <w:sz w:val="20"/>
              </w:rPr>
              <w:t> </w:t>
            </w:r>
            <w:r>
              <w:rPr>
                <w:sz w:val="20"/>
              </w:rPr>
              <w:t>-</w:t>
            </w:r>
            <w:r>
              <w:rPr>
                <w:spacing w:val="-6"/>
                <w:sz w:val="20"/>
              </w:rPr>
              <w:t> </w:t>
            </w:r>
            <w:r>
              <w:rPr>
                <w:sz w:val="20"/>
              </w:rPr>
              <w:t>69</w:t>
            </w:r>
            <w:r>
              <w:rPr>
                <w:spacing w:val="-3"/>
                <w:sz w:val="20"/>
              </w:rPr>
              <w:t> </w:t>
            </w:r>
            <w:r>
              <w:rPr>
                <w:spacing w:val="-4"/>
                <w:sz w:val="20"/>
              </w:rPr>
              <w:t>Гр).</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вульвы,</w:t>
            </w:r>
            <w:r>
              <w:rPr>
                <w:spacing w:val="-7"/>
                <w:sz w:val="20"/>
              </w:rPr>
              <w:t> </w:t>
            </w:r>
            <w:r>
              <w:rPr>
                <w:sz w:val="20"/>
              </w:rPr>
              <w:t>влагалища,</w:t>
            </w:r>
            <w:r>
              <w:rPr>
                <w:spacing w:val="-6"/>
                <w:sz w:val="20"/>
              </w:rPr>
              <w:t> </w:t>
            </w:r>
            <w:r>
              <w:rPr>
                <w:sz w:val="20"/>
              </w:rPr>
              <w:t>шейки</w:t>
            </w:r>
            <w:r>
              <w:rPr>
                <w:spacing w:val="-8"/>
                <w:sz w:val="20"/>
              </w:rPr>
              <w:t> </w:t>
            </w:r>
            <w:r>
              <w:rPr>
                <w:sz w:val="20"/>
              </w:rPr>
              <w:t>и</w:t>
            </w:r>
            <w:r>
              <w:rPr>
                <w:spacing w:val="-6"/>
                <w:sz w:val="20"/>
              </w:rPr>
              <w:t> </w:t>
            </w:r>
            <w:r>
              <w:rPr>
                <w:spacing w:val="-4"/>
                <w:sz w:val="20"/>
              </w:rPr>
              <w:t>тела</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матки</w:t>
            </w:r>
            <w:r>
              <w:rPr>
                <w:spacing w:val="-6"/>
                <w:sz w:val="20"/>
              </w:rPr>
              <w:t> </w:t>
            </w:r>
            <w:r>
              <w:rPr>
                <w:sz w:val="20"/>
              </w:rPr>
              <w:t>(T0-4N0-1M0-1),</w:t>
            </w:r>
            <w:r>
              <w:rPr>
                <w:spacing w:val="-6"/>
                <w:sz w:val="20"/>
              </w:rPr>
              <w:t> </w:t>
            </w:r>
            <w:r>
              <w:rPr>
                <w:sz w:val="20"/>
              </w:rPr>
              <w:t>в</w:t>
            </w:r>
            <w:r>
              <w:rPr>
                <w:spacing w:val="-6"/>
                <w:sz w:val="20"/>
              </w:rPr>
              <w:t> </w:t>
            </w:r>
            <w:r>
              <w:rPr>
                <w:sz w:val="20"/>
              </w:rPr>
              <w:t>том</w:t>
            </w:r>
            <w:r>
              <w:rPr>
                <w:spacing w:val="-3"/>
                <w:sz w:val="20"/>
              </w:rPr>
              <w:t> </w:t>
            </w:r>
            <w:r>
              <w:rPr>
                <w:spacing w:val="-4"/>
                <w:sz w:val="20"/>
              </w:rPr>
              <w:t>числе</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19" w:lineRule="exact"/>
              <w:ind w:left="67"/>
              <w:rPr>
                <w:sz w:val="20"/>
              </w:rPr>
            </w:pPr>
            <w:r>
              <w:rPr>
                <w:sz w:val="20"/>
              </w:rPr>
              <w:t>с</w:t>
            </w:r>
            <w:r>
              <w:rPr>
                <w:spacing w:val="-10"/>
                <w:sz w:val="20"/>
              </w:rPr>
              <w:t> </w:t>
            </w:r>
            <w:r>
              <w:rPr>
                <w:sz w:val="20"/>
              </w:rPr>
              <w:t>метастазированием</w:t>
            </w:r>
            <w:r>
              <w:rPr>
                <w:spacing w:val="-9"/>
                <w:sz w:val="20"/>
              </w:rPr>
              <w:t> </w:t>
            </w:r>
            <w:r>
              <w:rPr>
                <w:spacing w:val="-10"/>
                <w:sz w:val="20"/>
              </w:rPr>
              <w:t>в</w:t>
            </w:r>
          </w:p>
        </w:tc>
        <w:tc>
          <w:tcPr>
            <w:tcW w:w="1620" w:type="dxa"/>
          </w:tcPr>
          <w:p>
            <w:pPr>
              <w:pStyle w:val="TableParagraph"/>
              <w:rPr>
                <w:sz w:val="16"/>
              </w:rPr>
            </w:pPr>
          </w:p>
        </w:tc>
        <w:tc>
          <w:tcPr>
            <w:tcW w:w="3817" w:type="dxa"/>
          </w:tcPr>
          <w:p>
            <w:pPr>
              <w:pStyle w:val="TableParagraph"/>
              <w:spacing w:line="219"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параортальные</w:t>
            </w:r>
            <w:r>
              <w:rPr>
                <w:spacing w:val="-8"/>
                <w:sz w:val="20"/>
              </w:rPr>
              <w:t> </w:t>
            </w:r>
            <w:r>
              <w:rPr>
                <w:sz w:val="20"/>
              </w:rPr>
              <w:t>или</w:t>
            </w:r>
            <w:r>
              <w:rPr>
                <w:spacing w:val="-10"/>
                <w:sz w:val="20"/>
              </w:rPr>
              <w:t> </w:t>
            </w:r>
            <w:r>
              <w:rPr>
                <w:spacing w:val="-2"/>
                <w:sz w:val="20"/>
              </w:rPr>
              <w:t>паховые</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pacing w:val="-2"/>
                <w:sz w:val="20"/>
              </w:rPr>
              <w:t>лимфоузлы</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vMerge/>
            <w:tcBorders>
              <w:top w:val="nil"/>
            </w:tcBorders>
          </w:tcPr>
          <w:p>
            <w:pPr>
              <w:rPr>
                <w:sz w:val="2"/>
                <w:szCs w:val="2"/>
              </w:rPr>
            </w:pPr>
          </w:p>
        </w:tc>
      </w:tr>
      <w:tr>
        <w:trPr>
          <w:trHeight w:val="23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rPr>
                <w:sz w:val="16"/>
              </w:rPr>
            </w:pPr>
          </w:p>
        </w:tc>
        <w:tc>
          <w:tcPr>
            <w:tcW w:w="1620" w:type="dxa"/>
          </w:tcPr>
          <w:p>
            <w:pPr>
              <w:pStyle w:val="TableParagraph"/>
              <w:rPr>
                <w:sz w:val="16"/>
              </w:rPr>
            </w:pPr>
          </w:p>
        </w:tc>
        <w:tc>
          <w:tcPr>
            <w:tcW w:w="3817" w:type="dxa"/>
          </w:tcPr>
          <w:p>
            <w:pPr>
              <w:pStyle w:val="TableParagraph"/>
              <w:spacing w:line="210" w:lineRule="exact"/>
              <w:ind w:left="139"/>
              <w:rPr>
                <w:sz w:val="20"/>
              </w:rPr>
            </w:pPr>
            <w:r>
              <w:rPr>
                <w:spacing w:val="-2"/>
                <w:sz w:val="20"/>
              </w:rPr>
              <w:t>мишени</w:t>
            </w:r>
          </w:p>
        </w:tc>
        <w:tc>
          <w:tcPr>
            <w:tcW w:w="989"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3122"/>
        <w:gridCol w:w="1654"/>
        <w:gridCol w:w="3529"/>
      </w:tblGrid>
      <w:tr>
        <w:trPr>
          <w:trHeight w:val="2270" w:hRule="atLeast"/>
        </w:trPr>
        <w:tc>
          <w:tcPr>
            <w:tcW w:w="1951" w:type="dxa"/>
          </w:tcPr>
          <w:p>
            <w:pPr>
              <w:pStyle w:val="TableParagraph"/>
              <w:spacing w:line="221" w:lineRule="exact"/>
              <w:ind w:left="132" w:right="145"/>
              <w:jc w:val="center"/>
              <w:rPr>
                <w:sz w:val="20"/>
              </w:rPr>
            </w:pPr>
            <w:hyperlink r:id="rId118">
              <w:r>
                <w:rPr>
                  <w:spacing w:val="-5"/>
                  <w:sz w:val="20"/>
                </w:rPr>
                <w:t>C56</w:t>
              </w:r>
            </w:hyperlink>
          </w:p>
        </w:tc>
        <w:tc>
          <w:tcPr>
            <w:tcW w:w="3122" w:type="dxa"/>
          </w:tcPr>
          <w:p>
            <w:pPr>
              <w:pStyle w:val="TableParagraph"/>
              <w:spacing w:line="249" w:lineRule="auto"/>
              <w:ind w:left="65" w:right="89"/>
              <w:rPr>
                <w:sz w:val="20"/>
              </w:rPr>
            </w:pPr>
            <w:r>
              <w:rPr>
                <w:sz w:val="20"/>
              </w:rPr>
              <w:t>злокачественные</w:t>
            </w:r>
            <w:r>
              <w:rPr>
                <w:spacing w:val="-13"/>
                <w:sz w:val="20"/>
              </w:rPr>
              <w:t> </w:t>
            </w:r>
            <w:r>
              <w:rPr>
                <w:sz w:val="20"/>
              </w:rPr>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ind w:left="99"/>
              <w:rPr>
                <w:sz w:val="20"/>
              </w:rPr>
            </w:pPr>
            <w:r>
              <w:rPr>
                <w:spacing w:val="-2"/>
                <w:sz w:val="20"/>
              </w:rPr>
              <w:t>терапевтическое лечение</w:t>
            </w:r>
          </w:p>
        </w:tc>
        <w:tc>
          <w:tcPr>
            <w:tcW w:w="3529" w:type="dxa"/>
          </w:tcPr>
          <w:p>
            <w:pPr>
              <w:pStyle w:val="TableParagraph"/>
              <w:spacing w:line="249" w:lineRule="auto"/>
              <w:ind w:left="142"/>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(40 - 69 Гр).</w:t>
            </w:r>
          </w:p>
          <w:p>
            <w:pPr>
              <w:pStyle w:val="TableParagraph"/>
              <w:spacing w:line="249" w:lineRule="auto"/>
              <w:ind w:left="142"/>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before="120"/>
              <w:ind w:left="132" w:right="145"/>
              <w:jc w:val="center"/>
              <w:rPr>
                <w:sz w:val="20"/>
              </w:rPr>
            </w:pPr>
            <w:hyperlink r:id="rId167">
              <w:r>
                <w:rPr>
                  <w:spacing w:val="-5"/>
                  <w:sz w:val="20"/>
                </w:rPr>
                <w:t>C57</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529" w:type="dxa"/>
          </w:tcPr>
          <w:p>
            <w:pPr>
              <w:pStyle w:val="TableParagraph"/>
              <w:spacing w:line="249" w:lineRule="auto" w:before="120"/>
              <w:ind w:left="142"/>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(40 - 69 Гр).</w:t>
            </w:r>
          </w:p>
          <w:p>
            <w:pPr>
              <w:pStyle w:val="TableParagraph"/>
              <w:spacing w:line="249" w:lineRule="auto" w:before="3"/>
              <w:ind w:left="142"/>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line="249" w:lineRule="auto" w:before="120"/>
              <w:ind w:left="143" w:hanging="94"/>
              <w:rPr>
                <w:sz w:val="20"/>
              </w:rPr>
            </w:pPr>
            <w:hyperlink r:id="rId168">
              <w:r>
                <w:rPr>
                  <w:sz w:val="20"/>
                </w:rPr>
                <w:t>C70,</w:t>
              </w:r>
              <w:r>
                <w:rPr>
                  <w:spacing w:val="-12"/>
                  <w:sz w:val="20"/>
                </w:rPr>
                <w:t> </w:t>
              </w:r>
            </w:hyperlink>
            <w:hyperlink r:id="rId158">
              <w:r>
                <w:rPr>
                  <w:sz w:val="20"/>
                </w:rPr>
                <w:t>C71,</w:t>
              </w:r>
              <w:r>
                <w:rPr>
                  <w:spacing w:val="-12"/>
                  <w:sz w:val="20"/>
                </w:rPr>
                <w:t> </w:t>
              </w:r>
            </w:hyperlink>
            <w:hyperlink r:id="rId159">
              <w:r>
                <w:rPr>
                  <w:sz w:val="20"/>
                </w:rPr>
                <w:t>C72,</w:t>
              </w:r>
              <w:r>
                <w:rPr>
                  <w:spacing w:val="-12"/>
                  <w:sz w:val="20"/>
                </w:rPr>
                <w:t> </w:t>
              </w:r>
            </w:hyperlink>
            <w:hyperlink r:id="rId169">
              <w:r>
                <w:rPr>
                  <w:sz w:val="20"/>
                </w:rPr>
                <w:t>C75.1,</w:t>
              </w:r>
            </w:hyperlink>
            <w:r>
              <w:rPr>
                <w:sz w:val="20"/>
              </w:rPr>
              <w:t> </w:t>
            </w:r>
            <w:hyperlink r:id="rId170">
              <w:r>
                <w:rPr>
                  <w:sz w:val="20"/>
                </w:rPr>
                <w:t>C75.3, </w:t>
              </w:r>
            </w:hyperlink>
            <w:hyperlink r:id="rId171">
              <w:r>
                <w:rPr>
                  <w:sz w:val="20"/>
                </w:rPr>
                <w:t>C79.3, </w:t>
              </w:r>
            </w:hyperlink>
            <w:hyperlink r:id="rId172">
              <w:r>
                <w:rPr>
                  <w:sz w:val="20"/>
                </w:rPr>
                <w:t>C79.4</w:t>
              </w:r>
            </w:hyperlink>
          </w:p>
        </w:tc>
        <w:tc>
          <w:tcPr>
            <w:tcW w:w="3122" w:type="dxa"/>
          </w:tcPr>
          <w:p>
            <w:pPr>
              <w:pStyle w:val="TableParagraph"/>
              <w:spacing w:line="249" w:lineRule="auto" w:before="120"/>
              <w:ind w:left="65" w:right="89"/>
              <w:rPr>
                <w:sz w:val="20"/>
              </w:rPr>
            </w:pPr>
            <w:r>
              <w:rPr>
                <w:sz w:val="20"/>
              </w:rPr>
              <w:t>Первичные и вторичные злокачественные</w:t>
            </w:r>
            <w:r>
              <w:rPr>
                <w:spacing w:val="-13"/>
                <w:sz w:val="20"/>
              </w:rPr>
              <w:t> </w:t>
            </w:r>
            <w:r>
              <w:rPr>
                <w:sz w:val="20"/>
              </w:rPr>
              <w:t>новообразования оболочек головного мозга, спинного мозга, головного мозга</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529" w:type="dxa"/>
          </w:tcPr>
          <w:p>
            <w:pPr>
              <w:pStyle w:val="TableParagraph"/>
              <w:spacing w:line="249" w:lineRule="auto" w:before="120"/>
              <w:ind w:left="142"/>
              <w:rPr>
                <w:sz w:val="20"/>
              </w:rPr>
            </w:pPr>
            <w:r>
              <w:rPr>
                <w:sz w:val="20"/>
              </w:rPr>
              <w:t>конформная дистанционная лучевая терапия, в том числе IMRT, IGRT, VMAT,</w:t>
            </w:r>
            <w:r>
              <w:rPr>
                <w:spacing w:val="-8"/>
                <w:sz w:val="20"/>
              </w:rPr>
              <w:t> </w:t>
            </w:r>
            <w:r>
              <w:rPr>
                <w:sz w:val="20"/>
              </w:rPr>
              <w:t>стереотаксическая</w:t>
            </w:r>
            <w:r>
              <w:rPr>
                <w:spacing w:val="-9"/>
                <w:sz w:val="20"/>
              </w:rPr>
              <w:t> </w:t>
            </w:r>
            <w:r>
              <w:rPr>
                <w:sz w:val="20"/>
              </w:rPr>
              <w:t>(40</w:t>
            </w:r>
            <w:r>
              <w:rPr>
                <w:spacing w:val="-5"/>
                <w:sz w:val="20"/>
              </w:rPr>
              <w:t> </w:t>
            </w:r>
            <w:r>
              <w:rPr>
                <w:sz w:val="20"/>
              </w:rPr>
              <w:t>-</w:t>
            </w:r>
            <w:r>
              <w:rPr>
                <w:spacing w:val="-9"/>
                <w:sz w:val="20"/>
              </w:rPr>
              <w:t> </w:t>
            </w:r>
            <w:r>
              <w:rPr>
                <w:sz w:val="20"/>
              </w:rPr>
              <w:t>69</w:t>
            </w:r>
            <w:r>
              <w:rPr>
                <w:spacing w:val="-7"/>
                <w:sz w:val="20"/>
              </w:rPr>
              <w:t> </w:t>
            </w:r>
            <w:r>
              <w:rPr>
                <w:sz w:val="20"/>
              </w:rPr>
              <w:t>Гр). Радиомодификация. Компьютерно- томографическая и (или) магнитно- резонансная топометрия. 3D - 4D планирование. Фиксирующие устройства. Объемная визуализация </w:t>
            </w:r>
            <w:r>
              <w:rPr>
                <w:spacing w:val="-2"/>
                <w:sz w:val="20"/>
              </w:rPr>
              <w:t>мишени</w:t>
            </w:r>
          </w:p>
        </w:tc>
      </w:tr>
      <w:tr>
        <w:trPr>
          <w:trHeight w:val="830" w:hRule="atLeast"/>
        </w:trPr>
        <w:tc>
          <w:tcPr>
            <w:tcW w:w="1951" w:type="dxa"/>
          </w:tcPr>
          <w:p>
            <w:pPr>
              <w:pStyle w:val="TableParagraph"/>
              <w:spacing w:line="249" w:lineRule="auto" w:before="120"/>
              <w:ind w:left="801" w:hanging="675"/>
              <w:rPr>
                <w:sz w:val="20"/>
              </w:rPr>
            </w:pPr>
            <w:hyperlink r:id="rId132">
              <w:r>
                <w:rPr>
                  <w:sz w:val="20"/>
                </w:rPr>
                <w:t>C81,</w:t>
              </w:r>
              <w:r>
                <w:rPr>
                  <w:spacing w:val="-12"/>
                  <w:sz w:val="20"/>
                </w:rPr>
                <w:t> </w:t>
              </w:r>
            </w:hyperlink>
            <w:hyperlink r:id="rId173">
              <w:r>
                <w:rPr>
                  <w:sz w:val="20"/>
                </w:rPr>
                <w:t>C82,</w:t>
              </w:r>
              <w:r>
                <w:rPr>
                  <w:spacing w:val="-12"/>
                  <w:sz w:val="20"/>
                </w:rPr>
                <w:t> </w:t>
              </w:r>
            </w:hyperlink>
            <w:hyperlink r:id="rId174">
              <w:r>
                <w:rPr>
                  <w:sz w:val="20"/>
                </w:rPr>
                <w:t>C83,</w:t>
              </w:r>
              <w:r>
                <w:rPr>
                  <w:spacing w:val="-12"/>
                  <w:sz w:val="20"/>
                </w:rPr>
                <w:t> </w:t>
              </w:r>
            </w:hyperlink>
            <w:hyperlink r:id="rId175">
              <w:r>
                <w:rPr>
                  <w:sz w:val="20"/>
                </w:rPr>
                <w:t>C84,</w:t>
              </w:r>
            </w:hyperlink>
            <w:r>
              <w:rPr>
                <w:sz w:val="20"/>
              </w:rPr>
              <w:t> </w:t>
            </w:r>
            <w:hyperlink r:id="rId176">
              <w:r>
                <w:rPr>
                  <w:spacing w:val="-4"/>
                  <w:sz w:val="20"/>
                </w:rPr>
                <w:t>C85</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лимфоидной ткани</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529" w:type="dxa"/>
          </w:tcPr>
          <w:p>
            <w:pPr>
              <w:pStyle w:val="TableParagraph"/>
              <w:spacing w:line="240" w:lineRule="atLeast" w:before="90"/>
              <w:ind w:left="142"/>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(40 - 69 Гр).</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2"/>
        <w:gridCol w:w="1974"/>
        <w:gridCol w:w="3162"/>
        <w:gridCol w:w="1620"/>
        <w:gridCol w:w="3817"/>
        <w:gridCol w:w="989"/>
      </w:tblGrid>
      <w:tr>
        <w:trPr>
          <w:trHeight w:val="155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rPr>
                <w:sz w:val="18"/>
              </w:rPr>
            </w:pPr>
          </w:p>
        </w:tc>
        <w:tc>
          <w:tcPr>
            <w:tcW w:w="1620" w:type="dxa"/>
          </w:tcPr>
          <w:p>
            <w:pPr>
              <w:pStyle w:val="TableParagraph"/>
              <w:rPr>
                <w:sz w:val="18"/>
              </w:rPr>
            </w:pPr>
          </w:p>
        </w:tc>
        <w:tc>
          <w:tcPr>
            <w:tcW w:w="3817" w:type="dxa"/>
          </w:tcPr>
          <w:p>
            <w:pPr>
              <w:pStyle w:val="TableParagraph"/>
              <w:spacing w:line="249" w:lineRule="auto"/>
              <w:ind w:left="139" w:right="152"/>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Синхронизация дыхания</w:t>
            </w:r>
          </w:p>
        </w:tc>
        <w:tc>
          <w:tcPr>
            <w:tcW w:w="989"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25.</w:t>
            </w:r>
          </w:p>
        </w:tc>
        <w:tc>
          <w:tcPr>
            <w:tcW w:w="3012" w:type="dxa"/>
          </w:tcPr>
          <w:p>
            <w:pPr>
              <w:pStyle w:val="TableParagraph"/>
              <w:spacing w:line="220" w:lineRule="exact" w:before="120"/>
              <w:ind w:left="168"/>
              <w:rPr>
                <w:sz w:val="20"/>
              </w:rPr>
            </w:pPr>
            <w:r>
              <w:rPr>
                <w:sz w:val="20"/>
              </w:rPr>
              <w:t>Дистанционная</w:t>
            </w:r>
            <w:r>
              <w:rPr>
                <w:spacing w:val="-12"/>
                <w:sz w:val="20"/>
              </w:rPr>
              <w:t> </w:t>
            </w:r>
            <w:r>
              <w:rPr>
                <w:sz w:val="20"/>
              </w:rPr>
              <w:t>лучевая</w:t>
            </w:r>
            <w:r>
              <w:rPr>
                <w:spacing w:val="-11"/>
                <w:sz w:val="20"/>
              </w:rPr>
              <w:t> </w:t>
            </w:r>
            <w:r>
              <w:rPr>
                <w:spacing w:val="-2"/>
                <w:sz w:val="20"/>
              </w:rPr>
              <w:t>терапия</w:t>
            </w:r>
          </w:p>
        </w:tc>
        <w:tc>
          <w:tcPr>
            <w:tcW w:w="1974" w:type="dxa"/>
          </w:tcPr>
          <w:p>
            <w:pPr>
              <w:pStyle w:val="TableParagraph"/>
              <w:spacing w:line="220" w:lineRule="exact" w:before="120"/>
              <w:ind w:left="78" w:right="66"/>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73">
              <w:r>
                <w:rPr>
                  <w:spacing w:val="-4"/>
                  <w:sz w:val="20"/>
                </w:rPr>
                <w:t>C17,</w:t>
              </w:r>
            </w:hyperlink>
          </w:p>
        </w:tc>
        <w:tc>
          <w:tcPr>
            <w:tcW w:w="3162" w:type="dxa"/>
          </w:tcPr>
          <w:p>
            <w:pPr>
              <w:pStyle w:val="TableParagraph"/>
              <w:spacing w:line="220" w:lineRule="exact" w:before="120"/>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tcPr>
          <w:p>
            <w:pPr>
              <w:pStyle w:val="TableParagraph"/>
              <w:spacing w:line="220" w:lineRule="exact" w:before="120"/>
              <w:ind w:left="332"/>
              <w:rPr>
                <w:sz w:val="20"/>
              </w:rPr>
            </w:pPr>
            <w:r>
              <w:rPr>
                <w:spacing w:val="-2"/>
                <w:sz w:val="20"/>
              </w:rPr>
              <w:t>237096</w:t>
            </w: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в</w:t>
            </w:r>
            <w:r>
              <w:rPr>
                <w:spacing w:val="-2"/>
                <w:sz w:val="20"/>
              </w:rPr>
              <w:t> радиотерапевтических</w:t>
            </w:r>
          </w:p>
        </w:tc>
        <w:tc>
          <w:tcPr>
            <w:tcW w:w="1974" w:type="dxa"/>
          </w:tcPr>
          <w:p>
            <w:pPr>
              <w:pStyle w:val="TableParagraph"/>
              <w:spacing w:line="220" w:lineRule="exact"/>
              <w:ind w:left="78" w:right="66"/>
              <w:jc w:val="center"/>
              <w:rPr>
                <w:sz w:val="20"/>
              </w:rPr>
            </w:pPr>
            <w:hyperlink r:id="rId74">
              <w:r>
                <w:rPr>
                  <w:sz w:val="20"/>
                </w:rPr>
                <w:t>C18</w:t>
              </w:r>
              <w:r>
                <w:rPr>
                  <w:spacing w:val="-1"/>
                  <w:sz w:val="20"/>
                </w:rPr>
                <w:t> </w:t>
              </w:r>
            </w:hyperlink>
            <w:r>
              <w:rPr>
                <w:sz w:val="20"/>
              </w:rPr>
              <w:t>-</w:t>
            </w:r>
            <w:r>
              <w:rPr>
                <w:spacing w:val="-4"/>
                <w:sz w:val="20"/>
              </w:rPr>
              <w:t> </w:t>
            </w:r>
            <w:hyperlink r:id="rId79">
              <w:r>
                <w:rPr>
                  <w:sz w:val="20"/>
                </w:rPr>
                <w:t>C22,</w:t>
              </w:r>
              <w:r>
                <w:rPr>
                  <w:spacing w:val="-1"/>
                  <w:sz w:val="20"/>
                </w:rPr>
                <w:t> </w:t>
              </w:r>
            </w:hyperlink>
            <w:hyperlink r:id="rId80">
              <w:r>
                <w:rPr>
                  <w:sz w:val="20"/>
                </w:rPr>
                <w:t>C23</w:t>
              </w:r>
              <w:r>
                <w:rPr>
                  <w:spacing w:val="-1"/>
                  <w:sz w:val="20"/>
                </w:rPr>
                <w:t> </w:t>
              </w:r>
            </w:hyperlink>
            <w:r>
              <w:rPr>
                <w:sz w:val="20"/>
              </w:rPr>
              <w:t>-</w:t>
            </w:r>
            <w:r>
              <w:rPr>
                <w:spacing w:val="-4"/>
                <w:sz w:val="20"/>
              </w:rPr>
              <w:t> </w:t>
            </w:r>
            <w:hyperlink r:id="rId129">
              <w:r>
                <w:rPr>
                  <w:spacing w:val="-4"/>
                  <w:sz w:val="20"/>
                </w:rPr>
                <w:t>C25,</w:t>
              </w:r>
            </w:hyperlink>
          </w:p>
        </w:tc>
        <w:tc>
          <w:tcPr>
            <w:tcW w:w="3162" w:type="dxa"/>
          </w:tcPr>
          <w:p>
            <w:pPr>
              <w:pStyle w:val="TableParagraph"/>
              <w:spacing w:line="220" w:lineRule="exact"/>
              <w:ind w:left="67"/>
              <w:rPr>
                <w:sz w:val="20"/>
              </w:rPr>
            </w:pPr>
            <w:r>
              <w:rPr>
                <w:sz w:val="20"/>
              </w:rPr>
              <w:t>головы</w:t>
            </w:r>
            <w:r>
              <w:rPr>
                <w:spacing w:val="-6"/>
                <w:sz w:val="20"/>
              </w:rPr>
              <w:t> </w:t>
            </w:r>
            <w:r>
              <w:rPr>
                <w:sz w:val="20"/>
              </w:rPr>
              <w:t>и</w:t>
            </w:r>
            <w:r>
              <w:rPr>
                <w:spacing w:val="-6"/>
                <w:sz w:val="20"/>
              </w:rPr>
              <w:t> </w:t>
            </w:r>
            <w:r>
              <w:rPr>
                <w:sz w:val="20"/>
              </w:rPr>
              <w:t>шеи,</w:t>
            </w:r>
            <w:r>
              <w:rPr>
                <w:spacing w:val="-3"/>
                <w:sz w:val="20"/>
              </w:rPr>
              <w:t> </w:t>
            </w:r>
            <w:r>
              <w:rPr>
                <w:sz w:val="20"/>
              </w:rPr>
              <w:t>трахеи,</w:t>
            </w:r>
            <w:r>
              <w:rPr>
                <w:spacing w:val="-4"/>
                <w:sz w:val="20"/>
              </w:rPr>
              <w:t> </w:t>
            </w:r>
            <w:r>
              <w:rPr>
                <w:spacing w:val="-2"/>
                <w:sz w:val="20"/>
              </w:rPr>
              <w:t>бронхов,</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отделениях</w:t>
            </w:r>
            <w:r>
              <w:rPr>
                <w:spacing w:val="-10"/>
                <w:sz w:val="20"/>
              </w:rPr>
              <w:t> </w:t>
            </w:r>
            <w:r>
              <w:rPr>
                <w:spacing w:val="-5"/>
                <w:sz w:val="20"/>
              </w:rPr>
              <w:t>при</w:t>
            </w:r>
          </w:p>
        </w:tc>
        <w:tc>
          <w:tcPr>
            <w:tcW w:w="1974" w:type="dxa"/>
          </w:tcPr>
          <w:p>
            <w:pPr>
              <w:pStyle w:val="TableParagraph"/>
              <w:spacing w:line="220" w:lineRule="exact"/>
              <w:ind w:left="78" w:right="61"/>
              <w:jc w:val="center"/>
              <w:rPr>
                <w:sz w:val="20"/>
              </w:rPr>
            </w:pPr>
            <w:hyperlink r:id="rId148">
              <w:r>
                <w:rPr>
                  <w:sz w:val="20"/>
                </w:rPr>
                <w:t>C30,</w:t>
              </w:r>
              <w:r>
                <w:rPr>
                  <w:spacing w:val="-2"/>
                  <w:sz w:val="20"/>
                </w:rPr>
                <w:t> </w:t>
              </w:r>
            </w:hyperlink>
            <w:hyperlink r:id="rId164">
              <w:r>
                <w:rPr>
                  <w:sz w:val="20"/>
                </w:rPr>
                <w:t>C31,</w:t>
              </w:r>
              <w:r>
                <w:rPr>
                  <w:spacing w:val="-2"/>
                  <w:sz w:val="20"/>
                </w:rPr>
                <w:t> </w:t>
              </w:r>
            </w:hyperlink>
            <w:hyperlink r:id="rId149">
              <w:r>
                <w:rPr>
                  <w:sz w:val="20"/>
                </w:rPr>
                <w:t>C32,</w:t>
              </w:r>
              <w:r>
                <w:rPr>
                  <w:spacing w:val="-2"/>
                  <w:sz w:val="20"/>
                </w:rPr>
                <w:t> </w:t>
              </w:r>
            </w:hyperlink>
            <w:hyperlink r:id="rId65">
              <w:r>
                <w:rPr>
                  <w:spacing w:val="-4"/>
                  <w:sz w:val="20"/>
                </w:rPr>
                <w:t>C33,</w:t>
              </w:r>
            </w:hyperlink>
          </w:p>
        </w:tc>
        <w:tc>
          <w:tcPr>
            <w:tcW w:w="3162" w:type="dxa"/>
          </w:tcPr>
          <w:p>
            <w:pPr>
              <w:pStyle w:val="TableParagraph"/>
              <w:spacing w:line="220" w:lineRule="exact"/>
              <w:ind w:left="67"/>
              <w:rPr>
                <w:sz w:val="20"/>
              </w:rPr>
            </w:pPr>
            <w:r>
              <w:rPr>
                <w:sz w:val="20"/>
              </w:rPr>
              <w:t>легкого,</w:t>
            </w:r>
            <w:r>
              <w:rPr>
                <w:spacing w:val="-8"/>
                <w:sz w:val="20"/>
              </w:rPr>
              <w:t> </w:t>
            </w:r>
            <w:r>
              <w:rPr>
                <w:sz w:val="20"/>
              </w:rPr>
              <w:t>плевры,</w:t>
            </w:r>
            <w:r>
              <w:rPr>
                <w:spacing w:val="-6"/>
                <w:sz w:val="20"/>
              </w:rPr>
              <w:t> </w:t>
            </w:r>
            <w:r>
              <w:rPr>
                <w:spacing w:val="-2"/>
                <w:sz w:val="20"/>
              </w:rPr>
              <w:t>средостения,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5"/>
                <w:sz w:val="20"/>
              </w:rPr>
              <w:t> </w:t>
            </w:r>
            <w:r>
              <w:rPr>
                <w:sz w:val="20"/>
              </w:rPr>
              <w:t>стереотаксическая</w:t>
            </w:r>
            <w:r>
              <w:rPr>
                <w:spacing w:val="-5"/>
                <w:sz w:val="20"/>
              </w:rPr>
              <w:t> </w:t>
            </w:r>
            <w:r>
              <w:rPr>
                <w:sz w:val="20"/>
              </w:rPr>
              <w:t>(70</w:t>
            </w:r>
            <w:r>
              <w:rPr>
                <w:spacing w:val="-2"/>
                <w:sz w:val="20"/>
              </w:rPr>
              <w:t> </w:t>
            </w:r>
            <w:r>
              <w:rPr>
                <w:sz w:val="20"/>
              </w:rPr>
              <w:t>-</w:t>
            </w:r>
            <w:r>
              <w:rPr>
                <w:spacing w:val="-6"/>
                <w:sz w:val="20"/>
              </w:rPr>
              <w:t> </w:t>
            </w:r>
            <w:r>
              <w:rPr>
                <w:sz w:val="20"/>
              </w:rPr>
              <w:t>99</w:t>
            </w:r>
            <w:r>
              <w:rPr>
                <w:spacing w:val="-3"/>
                <w:sz w:val="20"/>
              </w:rPr>
              <w:t> </w:t>
            </w:r>
            <w:r>
              <w:rPr>
                <w:spacing w:val="-4"/>
                <w:sz w:val="20"/>
              </w:rPr>
              <w:t>Гр).</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злокачественных</w:t>
            </w:r>
          </w:p>
        </w:tc>
        <w:tc>
          <w:tcPr>
            <w:tcW w:w="1974" w:type="dxa"/>
          </w:tcPr>
          <w:p>
            <w:pPr>
              <w:pStyle w:val="TableParagraph"/>
              <w:spacing w:line="220" w:lineRule="exact"/>
              <w:ind w:left="78" w:right="61"/>
              <w:jc w:val="center"/>
              <w:rPr>
                <w:sz w:val="20"/>
              </w:rPr>
            </w:pPr>
            <w:hyperlink r:id="rId82">
              <w:r>
                <w:rPr>
                  <w:sz w:val="20"/>
                </w:rPr>
                <w:t>C34,</w:t>
              </w:r>
              <w:r>
                <w:rPr>
                  <w:spacing w:val="-2"/>
                  <w:sz w:val="20"/>
                </w:rPr>
                <w:t> </w:t>
              </w:r>
            </w:hyperlink>
            <w:hyperlink r:id="rId83">
              <w:r>
                <w:rPr>
                  <w:sz w:val="20"/>
                </w:rPr>
                <w:t>C37,</w:t>
              </w:r>
              <w:r>
                <w:rPr>
                  <w:spacing w:val="-2"/>
                  <w:sz w:val="20"/>
                </w:rPr>
                <w:t> </w:t>
              </w:r>
            </w:hyperlink>
            <w:hyperlink r:id="rId128">
              <w:r>
                <w:rPr>
                  <w:sz w:val="20"/>
                </w:rPr>
                <w:t>C39,</w:t>
              </w:r>
              <w:r>
                <w:rPr>
                  <w:spacing w:val="-2"/>
                  <w:sz w:val="20"/>
                </w:rPr>
                <w:t> </w:t>
              </w:r>
            </w:hyperlink>
            <w:hyperlink r:id="rId130">
              <w:r>
                <w:rPr>
                  <w:spacing w:val="-4"/>
                  <w:sz w:val="20"/>
                </w:rPr>
                <w:t>C40,</w:t>
              </w:r>
            </w:hyperlink>
          </w:p>
        </w:tc>
        <w:tc>
          <w:tcPr>
            <w:tcW w:w="3162" w:type="dxa"/>
          </w:tcPr>
          <w:p>
            <w:pPr>
              <w:pStyle w:val="TableParagraph"/>
              <w:spacing w:line="220" w:lineRule="exact"/>
              <w:ind w:left="67"/>
              <w:rPr>
                <w:sz w:val="20"/>
              </w:rPr>
            </w:pPr>
            <w:r>
              <w:rPr>
                <w:sz w:val="20"/>
              </w:rPr>
              <w:t>щитовидной</w:t>
            </w:r>
            <w:r>
              <w:rPr>
                <w:spacing w:val="-10"/>
                <w:sz w:val="20"/>
              </w:rPr>
              <w:t> </w:t>
            </w:r>
            <w:r>
              <w:rPr>
                <w:sz w:val="20"/>
              </w:rPr>
              <w:t>железы,</w:t>
            </w:r>
            <w:r>
              <w:rPr>
                <w:spacing w:val="-10"/>
                <w:sz w:val="20"/>
              </w:rPr>
              <w:t> </w:t>
            </w:r>
            <w:r>
              <w:rPr>
                <w:spacing w:val="-2"/>
                <w:sz w:val="20"/>
              </w:rPr>
              <w:t>молочной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новообразованиях</w:t>
            </w:r>
          </w:p>
        </w:tc>
        <w:tc>
          <w:tcPr>
            <w:tcW w:w="1974" w:type="dxa"/>
          </w:tcPr>
          <w:p>
            <w:pPr>
              <w:pStyle w:val="TableParagraph"/>
              <w:spacing w:line="220" w:lineRule="exact"/>
              <w:ind w:left="78" w:right="61"/>
              <w:jc w:val="center"/>
              <w:rPr>
                <w:sz w:val="20"/>
              </w:rPr>
            </w:pPr>
            <w:hyperlink r:id="rId131">
              <w:r>
                <w:rPr>
                  <w:sz w:val="20"/>
                </w:rPr>
                <w:t>C41,</w:t>
              </w:r>
              <w:r>
                <w:rPr>
                  <w:spacing w:val="-2"/>
                  <w:sz w:val="20"/>
                </w:rPr>
                <w:t> </w:t>
              </w:r>
            </w:hyperlink>
            <w:hyperlink r:id="rId67">
              <w:r>
                <w:rPr>
                  <w:sz w:val="20"/>
                </w:rPr>
                <w:t>C44,</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62" w:type="dxa"/>
          </w:tcPr>
          <w:p>
            <w:pPr>
              <w:pStyle w:val="TableParagraph"/>
              <w:spacing w:line="220" w:lineRule="exact"/>
              <w:ind w:left="67"/>
              <w:rPr>
                <w:sz w:val="20"/>
              </w:rPr>
            </w:pPr>
            <w:r>
              <w:rPr>
                <w:sz w:val="20"/>
              </w:rPr>
              <w:t>железы,</w:t>
            </w:r>
            <w:r>
              <w:rPr>
                <w:spacing w:val="-7"/>
                <w:sz w:val="20"/>
              </w:rPr>
              <w:t> </w:t>
            </w:r>
            <w:r>
              <w:rPr>
                <w:sz w:val="20"/>
              </w:rPr>
              <w:t>пищевода,</w:t>
            </w:r>
            <w:r>
              <w:rPr>
                <w:spacing w:val="-8"/>
                <w:sz w:val="20"/>
              </w:rPr>
              <w:t> </w:t>
            </w:r>
            <w:r>
              <w:rPr>
                <w:spacing w:val="-2"/>
                <w:sz w:val="20"/>
              </w:rPr>
              <w:t>желудка,</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15">
              <w:r>
                <w:rPr>
                  <w:sz w:val="20"/>
                </w:rPr>
                <w:t>C50,</w:t>
              </w:r>
              <w:r>
                <w:rPr>
                  <w:spacing w:val="-2"/>
                  <w:sz w:val="20"/>
                </w:rPr>
                <w:t> </w:t>
              </w:r>
            </w:hyperlink>
            <w:hyperlink r:id="rId152">
              <w:r>
                <w:rPr>
                  <w:sz w:val="20"/>
                </w:rPr>
                <w:t>C51,</w:t>
              </w:r>
              <w:r>
                <w:rPr>
                  <w:spacing w:val="-2"/>
                  <w:sz w:val="20"/>
                </w:rPr>
                <w:t> </w:t>
              </w:r>
            </w:hyperlink>
            <w:hyperlink r:id="rId165">
              <w:r>
                <w:rPr>
                  <w:sz w:val="20"/>
                </w:rPr>
                <w:t>C55,</w:t>
              </w:r>
              <w:r>
                <w:rPr>
                  <w:spacing w:val="-2"/>
                  <w:sz w:val="20"/>
                </w:rPr>
                <w:t> </w:t>
              </w:r>
            </w:hyperlink>
            <w:hyperlink r:id="rId120">
              <w:r>
                <w:rPr>
                  <w:spacing w:val="-4"/>
                  <w:sz w:val="20"/>
                </w:rPr>
                <w:t>C60,</w:t>
              </w:r>
            </w:hyperlink>
          </w:p>
        </w:tc>
        <w:tc>
          <w:tcPr>
            <w:tcW w:w="3162" w:type="dxa"/>
          </w:tcPr>
          <w:p>
            <w:pPr>
              <w:pStyle w:val="TableParagraph"/>
              <w:spacing w:line="220" w:lineRule="exact"/>
              <w:ind w:left="67"/>
              <w:rPr>
                <w:sz w:val="20"/>
              </w:rPr>
            </w:pPr>
            <w:r>
              <w:rPr>
                <w:sz w:val="20"/>
              </w:rPr>
              <w:t>тонкой</w:t>
            </w:r>
            <w:r>
              <w:rPr>
                <w:spacing w:val="-8"/>
                <w:sz w:val="20"/>
              </w:rPr>
              <w:t> </w:t>
            </w:r>
            <w:r>
              <w:rPr>
                <w:sz w:val="20"/>
              </w:rPr>
              <w:t>кишки,</w:t>
            </w:r>
            <w:r>
              <w:rPr>
                <w:spacing w:val="-8"/>
                <w:sz w:val="20"/>
              </w:rPr>
              <w:t> </w:t>
            </w:r>
            <w:r>
              <w:rPr>
                <w:sz w:val="20"/>
              </w:rPr>
              <w:t>ободочной</w:t>
            </w:r>
            <w:r>
              <w:rPr>
                <w:spacing w:val="-9"/>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21">
              <w:r>
                <w:rPr>
                  <w:sz w:val="20"/>
                </w:rPr>
                <w:t>C61,</w:t>
              </w:r>
              <w:r>
                <w:rPr>
                  <w:spacing w:val="-2"/>
                  <w:sz w:val="20"/>
                </w:rPr>
                <w:t> </w:t>
              </w:r>
            </w:hyperlink>
            <w:hyperlink r:id="rId123">
              <w:r>
                <w:rPr>
                  <w:sz w:val="20"/>
                </w:rPr>
                <w:t>C64,</w:t>
              </w:r>
              <w:r>
                <w:rPr>
                  <w:spacing w:val="-2"/>
                  <w:sz w:val="20"/>
                </w:rPr>
                <w:t> </w:t>
              </w:r>
            </w:hyperlink>
            <w:hyperlink r:id="rId124">
              <w:r>
                <w:rPr>
                  <w:sz w:val="20"/>
                </w:rPr>
                <w:t>C67,</w:t>
              </w:r>
              <w:r>
                <w:rPr>
                  <w:spacing w:val="-2"/>
                  <w:sz w:val="20"/>
                </w:rPr>
                <w:t> </w:t>
              </w:r>
            </w:hyperlink>
            <w:hyperlink r:id="rId157">
              <w:r>
                <w:rPr>
                  <w:spacing w:val="-4"/>
                  <w:sz w:val="20"/>
                </w:rPr>
                <w:t>C68,</w:t>
              </w:r>
            </w:hyperlink>
          </w:p>
        </w:tc>
        <w:tc>
          <w:tcPr>
            <w:tcW w:w="3162" w:type="dxa"/>
          </w:tcPr>
          <w:p>
            <w:pPr>
              <w:pStyle w:val="TableParagraph"/>
              <w:spacing w:line="220" w:lineRule="exact"/>
              <w:ind w:left="67"/>
              <w:rPr>
                <w:sz w:val="20"/>
              </w:rPr>
            </w:pPr>
            <w:r>
              <w:rPr>
                <w:sz w:val="20"/>
              </w:rPr>
              <w:t>желчного</w:t>
            </w:r>
            <w:r>
              <w:rPr>
                <w:spacing w:val="-9"/>
                <w:sz w:val="20"/>
              </w:rPr>
              <w:t> </w:t>
            </w:r>
            <w:r>
              <w:rPr>
                <w:sz w:val="20"/>
              </w:rPr>
              <w:t>пузыря,</w:t>
            </w:r>
            <w:r>
              <w:rPr>
                <w:spacing w:val="-9"/>
                <w:sz w:val="20"/>
              </w:rPr>
              <w:t> </w:t>
            </w:r>
            <w:r>
              <w:rPr>
                <w:spacing w:val="-2"/>
                <w:sz w:val="20"/>
              </w:rPr>
              <w:t>поджелудочной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2"/>
              <w:jc w:val="center"/>
              <w:rPr>
                <w:sz w:val="20"/>
              </w:rPr>
            </w:pPr>
            <w:hyperlink r:id="rId70">
              <w:r>
                <w:rPr>
                  <w:sz w:val="20"/>
                </w:rPr>
                <w:t>C73,</w:t>
              </w:r>
              <w:r>
                <w:rPr>
                  <w:spacing w:val="-2"/>
                  <w:sz w:val="20"/>
                </w:rPr>
                <w:t> </w:t>
              </w:r>
            </w:hyperlink>
            <w:hyperlink r:id="rId125">
              <w:r>
                <w:rPr>
                  <w:sz w:val="20"/>
                </w:rPr>
                <w:t>C74,</w:t>
              </w:r>
              <w:r>
                <w:rPr>
                  <w:spacing w:val="-2"/>
                  <w:sz w:val="20"/>
                </w:rPr>
                <w:t> </w:t>
              </w:r>
            </w:hyperlink>
            <w:hyperlink r:id="rId162">
              <w:r>
                <w:rPr>
                  <w:spacing w:val="-5"/>
                  <w:sz w:val="20"/>
                </w:rPr>
                <w:t>C77</w:t>
              </w:r>
            </w:hyperlink>
          </w:p>
        </w:tc>
        <w:tc>
          <w:tcPr>
            <w:tcW w:w="3162" w:type="dxa"/>
          </w:tcPr>
          <w:p>
            <w:pPr>
              <w:pStyle w:val="TableParagraph"/>
              <w:spacing w:line="220" w:lineRule="exact"/>
              <w:ind w:left="67"/>
              <w:rPr>
                <w:sz w:val="20"/>
              </w:rPr>
            </w:pPr>
            <w:r>
              <w:rPr>
                <w:sz w:val="20"/>
              </w:rPr>
              <w:t>железы,</w:t>
            </w:r>
            <w:r>
              <w:rPr>
                <w:spacing w:val="-5"/>
                <w:sz w:val="20"/>
              </w:rPr>
              <w:t> </w:t>
            </w:r>
            <w:r>
              <w:rPr>
                <w:sz w:val="20"/>
              </w:rPr>
              <w:t>толстой</w:t>
            </w:r>
            <w:r>
              <w:rPr>
                <w:spacing w:val="-5"/>
                <w:sz w:val="20"/>
              </w:rPr>
              <w:t> </w:t>
            </w:r>
            <w:r>
              <w:rPr>
                <w:sz w:val="20"/>
              </w:rPr>
              <w:t>и</w:t>
            </w:r>
            <w:r>
              <w:rPr>
                <w:spacing w:val="-6"/>
                <w:sz w:val="20"/>
              </w:rPr>
              <w:t> </w:t>
            </w:r>
            <w:r>
              <w:rPr>
                <w:sz w:val="20"/>
              </w:rPr>
              <w:t>прямой</w:t>
            </w:r>
            <w:r>
              <w:rPr>
                <w:spacing w:val="-6"/>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анального</w:t>
            </w:r>
            <w:r>
              <w:rPr>
                <w:spacing w:val="-8"/>
                <w:sz w:val="20"/>
              </w:rPr>
              <w:t> </w:t>
            </w:r>
            <w:r>
              <w:rPr>
                <w:sz w:val="20"/>
              </w:rPr>
              <w:t>канала,</w:t>
            </w:r>
            <w:r>
              <w:rPr>
                <w:spacing w:val="-7"/>
                <w:sz w:val="20"/>
              </w:rPr>
              <w:t> </w:t>
            </w:r>
            <w:r>
              <w:rPr>
                <w:spacing w:val="-2"/>
                <w:sz w:val="20"/>
              </w:rPr>
              <w:t>печени,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мишени.</w:t>
            </w:r>
            <w:r>
              <w:rPr>
                <w:spacing w:val="7"/>
                <w:sz w:val="20"/>
              </w:rPr>
              <w:t> </w:t>
            </w:r>
            <w:r>
              <w:rPr>
                <w:spacing w:val="-2"/>
                <w:sz w:val="20"/>
              </w:rPr>
              <w:t>Синхронизация</w:t>
            </w:r>
            <w:r>
              <w:rPr>
                <w:spacing w:val="6"/>
                <w:sz w:val="20"/>
              </w:rPr>
              <w:t> </w:t>
            </w:r>
            <w:r>
              <w:rPr>
                <w:spacing w:val="-2"/>
                <w:sz w:val="20"/>
              </w:rPr>
              <w:t>дыхания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мочевого</w:t>
            </w:r>
            <w:r>
              <w:rPr>
                <w:spacing w:val="-8"/>
                <w:sz w:val="20"/>
              </w:rPr>
              <w:t> </w:t>
            </w:r>
            <w:r>
              <w:rPr>
                <w:sz w:val="20"/>
              </w:rPr>
              <w:t>пузыря,</w:t>
            </w:r>
            <w:r>
              <w:rPr>
                <w:spacing w:val="-9"/>
                <w:sz w:val="20"/>
              </w:rPr>
              <w:t> </w:t>
            </w:r>
            <w:r>
              <w:rPr>
                <w:spacing w:val="-2"/>
                <w:sz w:val="20"/>
              </w:rPr>
              <w:t>надпочечников,</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почки,</w:t>
            </w:r>
            <w:r>
              <w:rPr>
                <w:spacing w:val="-9"/>
                <w:sz w:val="20"/>
              </w:rPr>
              <w:t> </w:t>
            </w:r>
            <w:r>
              <w:rPr>
                <w:sz w:val="20"/>
              </w:rPr>
              <w:t>полового</w:t>
            </w:r>
            <w:r>
              <w:rPr>
                <w:spacing w:val="-9"/>
                <w:sz w:val="20"/>
              </w:rPr>
              <w:t> </w:t>
            </w:r>
            <w:r>
              <w:rPr>
                <w:spacing w:val="-2"/>
                <w:sz w:val="20"/>
              </w:rPr>
              <w:t>члена,</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предстательной</w:t>
            </w:r>
            <w:r>
              <w:rPr>
                <w:spacing w:val="-10"/>
                <w:sz w:val="20"/>
              </w:rPr>
              <w:t> </w:t>
            </w:r>
            <w:r>
              <w:rPr>
                <w:sz w:val="20"/>
              </w:rPr>
              <w:t>железы,</w:t>
            </w:r>
            <w:r>
              <w:rPr>
                <w:spacing w:val="-7"/>
                <w:sz w:val="20"/>
              </w:rPr>
              <w:t> </w:t>
            </w:r>
            <w:r>
              <w:rPr>
                <w:sz w:val="20"/>
              </w:rPr>
              <w:t>костей</w:t>
            </w:r>
            <w:r>
              <w:rPr>
                <w:spacing w:val="-9"/>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суставных</w:t>
            </w:r>
            <w:r>
              <w:rPr>
                <w:spacing w:val="-9"/>
                <w:sz w:val="20"/>
              </w:rPr>
              <w:t> </w:t>
            </w:r>
            <w:r>
              <w:rPr>
                <w:sz w:val="20"/>
              </w:rPr>
              <w:t>хрящей,</w:t>
            </w:r>
            <w:r>
              <w:rPr>
                <w:spacing w:val="-8"/>
                <w:sz w:val="20"/>
              </w:rPr>
              <w:t> </w:t>
            </w:r>
            <w:r>
              <w:rPr>
                <w:sz w:val="20"/>
              </w:rPr>
              <w:t>кожи,</w:t>
            </w:r>
            <w:r>
              <w:rPr>
                <w:spacing w:val="-8"/>
                <w:sz w:val="20"/>
              </w:rPr>
              <w:t> </w:t>
            </w:r>
            <w:r>
              <w:rPr>
                <w:spacing w:val="-2"/>
                <w:sz w:val="20"/>
              </w:rPr>
              <w:t>мягких</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тканей</w:t>
            </w:r>
            <w:r>
              <w:rPr>
                <w:spacing w:val="-8"/>
                <w:sz w:val="20"/>
              </w:rPr>
              <w:t> </w:t>
            </w:r>
            <w:r>
              <w:rPr>
                <w:sz w:val="20"/>
              </w:rPr>
              <w:t>(T1-4N</w:t>
            </w:r>
            <w:r>
              <w:rPr>
                <w:spacing w:val="-7"/>
                <w:sz w:val="20"/>
              </w:rPr>
              <w:t> </w:t>
            </w:r>
            <w:r>
              <w:rPr>
                <w:sz w:val="20"/>
              </w:rPr>
              <w:t>любая</w:t>
            </w:r>
            <w:r>
              <w:rPr>
                <w:spacing w:val="-8"/>
                <w:sz w:val="20"/>
              </w:rPr>
              <w:t> </w:t>
            </w:r>
            <w:r>
              <w:rPr>
                <w:spacing w:val="-4"/>
                <w:sz w:val="20"/>
              </w:rPr>
              <w:t>M0),</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локализованные</w:t>
            </w:r>
            <w:r>
              <w:rPr>
                <w:spacing w:val="51"/>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местнораспространенные</w:t>
            </w:r>
            <w:r>
              <w:rPr>
                <w:spacing w:val="60"/>
                <w:w w:val="150"/>
                <w:sz w:val="20"/>
              </w:rPr>
              <w:t> </w:t>
            </w:r>
            <w:r>
              <w:rPr>
                <w:spacing w:val="-2"/>
                <w:sz w:val="20"/>
              </w:rPr>
              <w:t>формы.</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36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ind w:left="67"/>
              <w:rPr>
                <w:sz w:val="20"/>
              </w:rPr>
            </w:pPr>
            <w:r>
              <w:rPr>
                <w:sz w:val="20"/>
              </w:rPr>
              <w:t>Вторичное</w:t>
            </w:r>
            <w:r>
              <w:rPr>
                <w:spacing w:val="-11"/>
                <w:sz w:val="20"/>
              </w:rPr>
              <w:t> </w:t>
            </w:r>
            <w:r>
              <w:rPr>
                <w:sz w:val="20"/>
              </w:rPr>
              <w:t>поражение</w:t>
            </w:r>
            <w:r>
              <w:rPr>
                <w:spacing w:val="-10"/>
                <w:sz w:val="20"/>
              </w:rPr>
              <w:t> </w:t>
            </w:r>
            <w:r>
              <w:rPr>
                <w:spacing w:val="-2"/>
                <w:sz w:val="20"/>
              </w:rPr>
              <w:t>лимфоузлов</w:t>
            </w:r>
          </w:p>
        </w:tc>
        <w:tc>
          <w:tcPr>
            <w:tcW w:w="1620" w:type="dxa"/>
          </w:tcPr>
          <w:p>
            <w:pPr>
              <w:pStyle w:val="TableParagraph"/>
              <w:rPr>
                <w:sz w:val="18"/>
              </w:rPr>
            </w:pPr>
          </w:p>
        </w:tc>
        <w:tc>
          <w:tcPr>
            <w:tcW w:w="3817" w:type="dxa"/>
          </w:tcPr>
          <w:p>
            <w:pPr>
              <w:pStyle w:val="TableParagraph"/>
              <w:rPr>
                <w:sz w:val="18"/>
              </w:rPr>
            </w:pPr>
          </w:p>
        </w:tc>
        <w:tc>
          <w:tcPr>
            <w:tcW w:w="989" w:type="dxa"/>
          </w:tcPr>
          <w:p>
            <w:pPr>
              <w:pStyle w:val="TableParagraph"/>
              <w:rPr>
                <w:sz w:val="18"/>
              </w:rPr>
            </w:pPr>
          </w:p>
        </w:tc>
      </w:tr>
      <w:tr>
        <w:trPr>
          <w:trHeight w:val="360" w:hRule="atLeast"/>
        </w:trPr>
        <w:tc>
          <w:tcPr>
            <w:tcW w:w="472" w:type="dxa"/>
            <w:vMerge w:val="restart"/>
          </w:tcPr>
          <w:p>
            <w:pPr>
              <w:pStyle w:val="TableParagraph"/>
              <w:rPr>
                <w:sz w:val="18"/>
              </w:rPr>
            </w:pPr>
          </w:p>
        </w:tc>
        <w:tc>
          <w:tcPr>
            <w:tcW w:w="3012" w:type="dxa"/>
            <w:vMerge w:val="restart"/>
          </w:tcPr>
          <w:p>
            <w:pPr>
              <w:pStyle w:val="TableParagraph"/>
              <w:rPr>
                <w:sz w:val="18"/>
              </w:rPr>
            </w:pPr>
          </w:p>
        </w:tc>
        <w:tc>
          <w:tcPr>
            <w:tcW w:w="1974" w:type="dxa"/>
          </w:tcPr>
          <w:p>
            <w:pPr>
              <w:pStyle w:val="TableParagraph"/>
              <w:spacing w:line="220" w:lineRule="exact" w:before="120"/>
              <w:ind w:left="78" w:right="61"/>
              <w:jc w:val="center"/>
              <w:rPr>
                <w:sz w:val="20"/>
              </w:rPr>
            </w:pPr>
            <w:hyperlink r:id="rId152">
              <w:r>
                <w:rPr>
                  <w:sz w:val="20"/>
                </w:rPr>
                <w:t>C51,</w:t>
              </w:r>
              <w:r>
                <w:rPr>
                  <w:spacing w:val="-2"/>
                  <w:sz w:val="20"/>
                </w:rPr>
                <w:t> </w:t>
              </w:r>
            </w:hyperlink>
            <w:hyperlink r:id="rId166">
              <w:r>
                <w:rPr>
                  <w:sz w:val="20"/>
                </w:rPr>
                <w:t>C52,</w:t>
              </w:r>
              <w:r>
                <w:rPr>
                  <w:spacing w:val="-2"/>
                  <w:sz w:val="20"/>
                </w:rPr>
                <w:t> </w:t>
              </w:r>
            </w:hyperlink>
            <w:hyperlink r:id="rId116">
              <w:r>
                <w:rPr>
                  <w:sz w:val="20"/>
                </w:rPr>
                <w:t>C53,</w:t>
              </w:r>
              <w:r>
                <w:rPr>
                  <w:spacing w:val="-2"/>
                  <w:sz w:val="20"/>
                </w:rPr>
                <w:t> </w:t>
              </w:r>
            </w:hyperlink>
            <w:hyperlink r:id="rId117">
              <w:r>
                <w:rPr>
                  <w:spacing w:val="-4"/>
                  <w:sz w:val="20"/>
                </w:rPr>
                <w:t>C54,</w:t>
              </w:r>
            </w:hyperlink>
          </w:p>
        </w:tc>
        <w:tc>
          <w:tcPr>
            <w:tcW w:w="3162" w:type="dxa"/>
          </w:tcPr>
          <w:p>
            <w:pPr>
              <w:pStyle w:val="TableParagraph"/>
              <w:spacing w:line="220" w:lineRule="exact" w:before="120"/>
              <w:ind w:left="67"/>
              <w:rPr>
                <w:sz w:val="20"/>
              </w:rPr>
            </w:pPr>
            <w:r>
              <w:rPr>
                <w:spacing w:val="-2"/>
                <w:sz w:val="20"/>
              </w:rPr>
              <w:t>интраэпителиальные,</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spacing w:line="220" w:lineRule="exact"/>
              <w:ind w:left="78" w:right="66"/>
              <w:jc w:val="center"/>
              <w:rPr>
                <w:sz w:val="20"/>
              </w:rPr>
            </w:pPr>
            <w:hyperlink r:id="rId165">
              <w:r>
                <w:rPr>
                  <w:spacing w:val="-5"/>
                  <w:sz w:val="20"/>
                </w:rPr>
                <w:t>C55</w:t>
              </w:r>
            </w:hyperlink>
          </w:p>
        </w:tc>
        <w:tc>
          <w:tcPr>
            <w:tcW w:w="3162" w:type="dxa"/>
          </w:tcPr>
          <w:p>
            <w:pPr>
              <w:pStyle w:val="TableParagraph"/>
              <w:spacing w:line="220" w:lineRule="exact"/>
              <w:ind w:left="67"/>
              <w:rPr>
                <w:sz w:val="20"/>
              </w:rPr>
            </w:pPr>
            <w:r>
              <w:rPr>
                <w:sz w:val="20"/>
              </w:rPr>
              <w:t>микроинвазивные</w:t>
            </w:r>
            <w:r>
              <w:rPr>
                <w:spacing w:val="-9"/>
                <w:sz w:val="20"/>
              </w:rPr>
              <w:t> </w:t>
            </w:r>
            <w:r>
              <w:rPr>
                <w:sz w:val="20"/>
              </w:rPr>
              <w:t>и</w:t>
            </w:r>
            <w:r>
              <w:rPr>
                <w:spacing w:val="-12"/>
                <w:sz w:val="20"/>
              </w:rPr>
              <w:t> </w:t>
            </w:r>
            <w:r>
              <w:rPr>
                <w:spacing w:val="-2"/>
                <w:sz w:val="20"/>
              </w:rPr>
              <w:t>инвазивные</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1"/>
                <w:sz w:val="20"/>
              </w:rPr>
              <w:t> </w:t>
            </w:r>
            <w:r>
              <w:rPr>
                <w:sz w:val="20"/>
              </w:rPr>
              <w:t>(70</w:t>
            </w:r>
            <w:r>
              <w:rPr>
                <w:spacing w:val="-1"/>
                <w:sz w:val="20"/>
              </w:rPr>
              <w:t> </w:t>
            </w:r>
            <w:r>
              <w:rPr>
                <w:sz w:val="20"/>
              </w:rPr>
              <w:t>-</w:t>
            </w:r>
            <w:r>
              <w:rPr>
                <w:spacing w:val="-5"/>
                <w:sz w:val="20"/>
              </w:rPr>
              <w:t> </w:t>
            </w:r>
            <w:r>
              <w:rPr>
                <w:sz w:val="20"/>
              </w:rPr>
              <w:t>99</w:t>
            </w:r>
            <w:r>
              <w:rPr>
                <w:spacing w:val="-2"/>
                <w:sz w:val="20"/>
              </w:rPr>
              <w:t> </w:t>
            </w:r>
            <w:r>
              <w:rPr>
                <w:spacing w:val="-4"/>
                <w:sz w:val="20"/>
              </w:rPr>
              <w:t>Гр).</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вульвы,</w:t>
            </w:r>
            <w:r>
              <w:rPr>
                <w:spacing w:val="-7"/>
                <w:sz w:val="20"/>
              </w:rPr>
              <w:t> </w:t>
            </w:r>
            <w:r>
              <w:rPr>
                <w:sz w:val="20"/>
              </w:rPr>
              <w:t>влагалища,</w:t>
            </w:r>
            <w:r>
              <w:rPr>
                <w:spacing w:val="-6"/>
                <w:sz w:val="20"/>
              </w:rPr>
              <w:t> </w:t>
            </w:r>
            <w:r>
              <w:rPr>
                <w:sz w:val="20"/>
              </w:rPr>
              <w:t>шейки</w:t>
            </w:r>
            <w:r>
              <w:rPr>
                <w:spacing w:val="-8"/>
                <w:sz w:val="20"/>
              </w:rPr>
              <w:t> </w:t>
            </w:r>
            <w:r>
              <w:rPr>
                <w:sz w:val="20"/>
              </w:rPr>
              <w:t>и</w:t>
            </w:r>
            <w:r>
              <w:rPr>
                <w:spacing w:val="-6"/>
                <w:sz w:val="20"/>
              </w:rPr>
              <w:t> </w:t>
            </w:r>
            <w:r>
              <w:rPr>
                <w:spacing w:val="-4"/>
                <w:sz w:val="20"/>
              </w:rPr>
              <w:t>тела</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19" w:lineRule="exact"/>
              <w:ind w:left="67"/>
              <w:rPr>
                <w:sz w:val="20"/>
              </w:rPr>
            </w:pPr>
            <w:r>
              <w:rPr>
                <w:sz w:val="20"/>
              </w:rPr>
              <w:t>матки</w:t>
            </w:r>
            <w:r>
              <w:rPr>
                <w:spacing w:val="-6"/>
                <w:sz w:val="20"/>
              </w:rPr>
              <w:t> </w:t>
            </w:r>
            <w:r>
              <w:rPr>
                <w:sz w:val="20"/>
              </w:rPr>
              <w:t>(T0-4N0-1M0-1),</w:t>
            </w:r>
            <w:r>
              <w:rPr>
                <w:spacing w:val="-6"/>
                <w:sz w:val="20"/>
              </w:rPr>
              <w:t> </w:t>
            </w:r>
            <w:r>
              <w:rPr>
                <w:sz w:val="20"/>
              </w:rPr>
              <w:t>в</w:t>
            </w:r>
            <w:r>
              <w:rPr>
                <w:spacing w:val="-6"/>
                <w:sz w:val="20"/>
              </w:rPr>
              <w:t> </w:t>
            </w:r>
            <w:r>
              <w:rPr>
                <w:sz w:val="20"/>
              </w:rPr>
              <w:t>том</w:t>
            </w:r>
            <w:r>
              <w:rPr>
                <w:spacing w:val="-3"/>
                <w:sz w:val="20"/>
              </w:rPr>
              <w:t> </w:t>
            </w:r>
            <w:r>
              <w:rPr>
                <w:spacing w:val="-4"/>
                <w:sz w:val="20"/>
              </w:rPr>
              <w:t>числе</w:t>
            </w:r>
          </w:p>
        </w:tc>
        <w:tc>
          <w:tcPr>
            <w:tcW w:w="1620" w:type="dxa"/>
          </w:tcPr>
          <w:p>
            <w:pPr>
              <w:pStyle w:val="TableParagraph"/>
              <w:rPr>
                <w:sz w:val="16"/>
              </w:rPr>
            </w:pPr>
          </w:p>
        </w:tc>
        <w:tc>
          <w:tcPr>
            <w:tcW w:w="3817" w:type="dxa"/>
          </w:tcPr>
          <w:p>
            <w:pPr>
              <w:pStyle w:val="TableParagraph"/>
              <w:spacing w:line="219"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w:t>
            </w:r>
            <w:r>
              <w:rPr>
                <w:spacing w:val="-10"/>
                <w:sz w:val="20"/>
              </w:rPr>
              <w:t> </w:t>
            </w:r>
            <w:r>
              <w:rPr>
                <w:sz w:val="20"/>
              </w:rPr>
              <w:t>метастазированием</w:t>
            </w:r>
            <w:r>
              <w:rPr>
                <w:spacing w:val="-9"/>
                <w:sz w:val="20"/>
              </w:rPr>
              <w:t> </w:t>
            </w:r>
            <w:r>
              <w:rPr>
                <w:spacing w:val="-10"/>
                <w:sz w:val="20"/>
              </w:rPr>
              <w:t>в</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параортальные</w:t>
            </w:r>
            <w:r>
              <w:rPr>
                <w:spacing w:val="-8"/>
                <w:sz w:val="20"/>
              </w:rPr>
              <w:t> </w:t>
            </w:r>
            <w:r>
              <w:rPr>
                <w:sz w:val="20"/>
              </w:rPr>
              <w:t>или</w:t>
            </w:r>
            <w:r>
              <w:rPr>
                <w:spacing w:val="-10"/>
                <w:sz w:val="20"/>
              </w:rPr>
              <w:t> </w:t>
            </w:r>
            <w:r>
              <w:rPr>
                <w:spacing w:val="-2"/>
                <w:sz w:val="20"/>
              </w:rPr>
              <w:t>паховые</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pacing w:val="-2"/>
                <w:sz w:val="20"/>
              </w:rPr>
              <w:t>лимфоузлы</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vMerge/>
            <w:tcBorders>
              <w:top w:val="nil"/>
            </w:tcBorders>
          </w:tcPr>
          <w:p>
            <w:pPr>
              <w:rPr>
                <w:sz w:val="2"/>
                <w:szCs w:val="2"/>
              </w:rPr>
            </w:pPr>
          </w:p>
        </w:tc>
      </w:tr>
      <w:tr>
        <w:trPr>
          <w:trHeight w:val="23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rPr>
                <w:sz w:val="16"/>
              </w:rPr>
            </w:pPr>
          </w:p>
        </w:tc>
        <w:tc>
          <w:tcPr>
            <w:tcW w:w="1620" w:type="dxa"/>
          </w:tcPr>
          <w:p>
            <w:pPr>
              <w:pStyle w:val="TableParagraph"/>
              <w:rPr>
                <w:sz w:val="16"/>
              </w:rPr>
            </w:pPr>
          </w:p>
        </w:tc>
        <w:tc>
          <w:tcPr>
            <w:tcW w:w="3817" w:type="dxa"/>
          </w:tcPr>
          <w:p>
            <w:pPr>
              <w:pStyle w:val="TableParagraph"/>
              <w:spacing w:line="210" w:lineRule="exact"/>
              <w:ind w:left="139"/>
              <w:rPr>
                <w:sz w:val="20"/>
              </w:rPr>
            </w:pPr>
            <w:r>
              <w:rPr>
                <w:spacing w:val="-2"/>
                <w:sz w:val="20"/>
              </w:rPr>
              <w:t>мишени</w:t>
            </w:r>
          </w:p>
        </w:tc>
        <w:tc>
          <w:tcPr>
            <w:tcW w:w="989"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3122"/>
        <w:gridCol w:w="1654"/>
        <w:gridCol w:w="3293"/>
      </w:tblGrid>
      <w:tr>
        <w:trPr>
          <w:trHeight w:val="2270" w:hRule="atLeast"/>
        </w:trPr>
        <w:tc>
          <w:tcPr>
            <w:tcW w:w="1951" w:type="dxa"/>
          </w:tcPr>
          <w:p>
            <w:pPr>
              <w:pStyle w:val="TableParagraph"/>
              <w:spacing w:line="221" w:lineRule="exact"/>
              <w:ind w:left="132" w:right="145"/>
              <w:jc w:val="center"/>
              <w:rPr>
                <w:sz w:val="20"/>
              </w:rPr>
            </w:pPr>
            <w:hyperlink r:id="rId118">
              <w:r>
                <w:rPr>
                  <w:spacing w:val="-5"/>
                  <w:sz w:val="20"/>
                </w:rPr>
                <w:t>C56</w:t>
              </w:r>
            </w:hyperlink>
          </w:p>
        </w:tc>
        <w:tc>
          <w:tcPr>
            <w:tcW w:w="3122" w:type="dxa"/>
          </w:tcPr>
          <w:p>
            <w:pPr>
              <w:pStyle w:val="TableParagraph"/>
              <w:spacing w:line="249" w:lineRule="auto"/>
              <w:ind w:left="65" w:right="89"/>
              <w:rPr>
                <w:sz w:val="20"/>
              </w:rPr>
            </w:pPr>
            <w:r>
              <w:rPr>
                <w:sz w:val="20"/>
              </w:rPr>
              <w:t>злокачественные</w:t>
            </w:r>
            <w:r>
              <w:rPr>
                <w:spacing w:val="-13"/>
                <w:sz w:val="20"/>
              </w:rPr>
              <w:t> </w:t>
            </w:r>
            <w:r>
              <w:rPr>
                <w:sz w:val="20"/>
              </w:rPr>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ind w:left="99"/>
              <w:rPr>
                <w:sz w:val="20"/>
              </w:rPr>
            </w:pPr>
            <w:r>
              <w:rPr>
                <w:spacing w:val="-2"/>
                <w:sz w:val="20"/>
              </w:rPr>
              <w:t>терапевтическое лечение</w:t>
            </w:r>
          </w:p>
        </w:tc>
        <w:tc>
          <w:tcPr>
            <w:tcW w:w="3293" w:type="dxa"/>
          </w:tcPr>
          <w:p>
            <w:pPr>
              <w:pStyle w:val="TableParagraph"/>
              <w:spacing w:line="249" w:lineRule="auto"/>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p>
            <w:pPr>
              <w:pStyle w:val="TableParagraph"/>
              <w:spacing w:line="249" w:lineRule="auto"/>
              <w:ind w:left="142" w:right="18"/>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before="120"/>
              <w:ind w:left="132" w:right="145"/>
              <w:jc w:val="center"/>
              <w:rPr>
                <w:sz w:val="20"/>
              </w:rPr>
            </w:pPr>
            <w:hyperlink r:id="rId167">
              <w:r>
                <w:rPr>
                  <w:spacing w:val="-5"/>
                  <w:sz w:val="20"/>
                </w:rPr>
                <w:t>C57</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293" w:type="dxa"/>
          </w:tcPr>
          <w:p>
            <w:pPr>
              <w:pStyle w:val="TableParagraph"/>
              <w:spacing w:line="249" w:lineRule="auto" w:before="120"/>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p>
            <w:pPr>
              <w:pStyle w:val="TableParagraph"/>
              <w:spacing w:line="249" w:lineRule="auto" w:before="3"/>
              <w:ind w:left="142" w:right="18"/>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line="249" w:lineRule="auto" w:before="120"/>
              <w:ind w:left="143" w:hanging="94"/>
              <w:rPr>
                <w:sz w:val="20"/>
              </w:rPr>
            </w:pPr>
            <w:hyperlink r:id="rId168">
              <w:r>
                <w:rPr>
                  <w:sz w:val="20"/>
                </w:rPr>
                <w:t>C70,</w:t>
              </w:r>
              <w:r>
                <w:rPr>
                  <w:spacing w:val="-12"/>
                  <w:sz w:val="20"/>
                </w:rPr>
                <w:t> </w:t>
              </w:r>
            </w:hyperlink>
            <w:hyperlink r:id="rId158">
              <w:r>
                <w:rPr>
                  <w:sz w:val="20"/>
                </w:rPr>
                <w:t>C71,</w:t>
              </w:r>
              <w:r>
                <w:rPr>
                  <w:spacing w:val="-12"/>
                  <w:sz w:val="20"/>
                </w:rPr>
                <w:t> </w:t>
              </w:r>
            </w:hyperlink>
            <w:hyperlink r:id="rId159">
              <w:r>
                <w:rPr>
                  <w:sz w:val="20"/>
                </w:rPr>
                <w:t>C72,</w:t>
              </w:r>
              <w:r>
                <w:rPr>
                  <w:spacing w:val="-12"/>
                  <w:sz w:val="20"/>
                </w:rPr>
                <w:t> </w:t>
              </w:r>
            </w:hyperlink>
            <w:hyperlink r:id="rId169">
              <w:r>
                <w:rPr>
                  <w:sz w:val="20"/>
                </w:rPr>
                <w:t>C75.1,</w:t>
              </w:r>
            </w:hyperlink>
            <w:r>
              <w:rPr>
                <w:sz w:val="20"/>
              </w:rPr>
              <w:t> </w:t>
            </w:r>
            <w:hyperlink r:id="rId170">
              <w:r>
                <w:rPr>
                  <w:sz w:val="20"/>
                </w:rPr>
                <w:t>C75.3, </w:t>
              </w:r>
            </w:hyperlink>
            <w:hyperlink r:id="rId171">
              <w:r>
                <w:rPr>
                  <w:sz w:val="20"/>
                </w:rPr>
                <w:t>C79.3, </w:t>
              </w:r>
            </w:hyperlink>
            <w:hyperlink r:id="rId172">
              <w:r>
                <w:rPr>
                  <w:sz w:val="20"/>
                </w:rPr>
                <w:t>C79.4</w:t>
              </w:r>
            </w:hyperlink>
          </w:p>
        </w:tc>
        <w:tc>
          <w:tcPr>
            <w:tcW w:w="3122" w:type="dxa"/>
          </w:tcPr>
          <w:p>
            <w:pPr>
              <w:pStyle w:val="TableParagraph"/>
              <w:spacing w:line="249" w:lineRule="auto" w:before="120"/>
              <w:ind w:left="65" w:right="89"/>
              <w:rPr>
                <w:sz w:val="20"/>
              </w:rPr>
            </w:pPr>
            <w:r>
              <w:rPr>
                <w:sz w:val="20"/>
              </w:rPr>
              <w:t>Первичные и вторичные злокачественные</w:t>
            </w:r>
            <w:r>
              <w:rPr>
                <w:spacing w:val="-13"/>
                <w:sz w:val="20"/>
              </w:rPr>
              <w:t> </w:t>
            </w:r>
            <w:r>
              <w:rPr>
                <w:sz w:val="20"/>
              </w:rPr>
              <w:t>новообразования оболочек головного мозга, спинного мозга, головного мозга</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293" w:type="dxa"/>
          </w:tcPr>
          <w:p>
            <w:pPr>
              <w:pStyle w:val="TableParagraph"/>
              <w:spacing w:line="249" w:lineRule="auto" w:before="120"/>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p>
            <w:pPr>
              <w:pStyle w:val="TableParagraph"/>
              <w:spacing w:line="249" w:lineRule="auto" w:before="3"/>
              <w:ind w:left="142" w:right="18"/>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830" w:hRule="atLeast"/>
        </w:trPr>
        <w:tc>
          <w:tcPr>
            <w:tcW w:w="1951" w:type="dxa"/>
          </w:tcPr>
          <w:p>
            <w:pPr>
              <w:pStyle w:val="TableParagraph"/>
              <w:spacing w:line="249" w:lineRule="auto" w:before="120"/>
              <w:ind w:left="801" w:hanging="675"/>
              <w:rPr>
                <w:sz w:val="20"/>
              </w:rPr>
            </w:pPr>
            <w:hyperlink r:id="rId132">
              <w:r>
                <w:rPr>
                  <w:sz w:val="20"/>
                </w:rPr>
                <w:t>C81,</w:t>
              </w:r>
              <w:r>
                <w:rPr>
                  <w:spacing w:val="-12"/>
                  <w:sz w:val="20"/>
                </w:rPr>
                <w:t> </w:t>
              </w:r>
            </w:hyperlink>
            <w:hyperlink r:id="rId173">
              <w:r>
                <w:rPr>
                  <w:sz w:val="20"/>
                </w:rPr>
                <w:t>C82,</w:t>
              </w:r>
              <w:r>
                <w:rPr>
                  <w:spacing w:val="-12"/>
                  <w:sz w:val="20"/>
                </w:rPr>
                <w:t> </w:t>
              </w:r>
            </w:hyperlink>
            <w:hyperlink r:id="rId174">
              <w:r>
                <w:rPr>
                  <w:sz w:val="20"/>
                </w:rPr>
                <w:t>C83,</w:t>
              </w:r>
              <w:r>
                <w:rPr>
                  <w:spacing w:val="-12"/>
                  <w:sz w:val="20"/>
                </w:rPr>
                <w:t> </w:t>
              </w:r>
            </w:hyperlink>
            <w:hyperlink r:id="rId175">
              <w:r>
                <w:rPr>
                  <w:sz w:val="20"/>
                </w:rPr>
                <w:t>C84,</w:t>
              </w:r>
            </w:hyperlink>
            <w:r>
              <w:rPr>
                <w:sz w:val="20"/>
              </w:rPr>
              <w:t> </w:t>
            </w:r>
            <w:hyperlink r:id="rId176">
              <w:r>
                <w:rPr>
                  <w:spacing w:val="-4"/>
                  <w:sz w:val="20"/>
                </w:rPr>
                <w:t>C85</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лимфоидной ткани</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293" w:type="dxa"/>
          </w:tcPr>
          <w:p>
            <w:pPr>
              <w:pStyle w:val="TableParagraph"/>
              <w:spacing w:line="240" w:lineRule="atLeast" w:before="90"/>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01"/>
        <w:gridCol w:w="1963"/>
        <w:gridCol w:w="3187"/>
        <w:gridCol w:w="1538"/>
        <w:gridCol w:w="3884"/>
        <w:gridCol w:w="1000"/>
      </w:tblGrid>
      <w:tr>
        <w:trPr>
          <w:trHeight w:val="155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tcPr>
          <w:p>
            <w:pPr>
              <w:pStyle w:val="TableParagraph"/>
              <w:rPr>
                <w:sz w:val="18"/>
              </w:rPr>
            </w:pPr>
          </w:p>
        </w:tc>
        <w:tc>
          <w:tcPr>
            <w:tcW w:w="1538" w:type="dxa"/>
          </w:tcPr>
          <w:p>
            <w:pPr>
              <w:pStyle w:val="TableParagraph"/>
              <w:rPr>
                <w:sz w:val="18"/>
              </w:rPr>
            </w:pPr>
          </w:p>
        </w:tc>
        <w:tc>
          <w:tcPr>
            <w:tcW w:w="3884" w:type="dxa"/>
          </w:tcPr>
          <w:p>
            <w:pPr>
              <w:pStyle w:val="TableParagraph"/>
              <w:spacing w:line="249" w:lineRule="auto"/>
              <w:ind w:left="218" w:right="300"/>
              <w:rPr>
                <w:sz w:val="20"/>
              </w:rPr>
            </w:pPr>
            <w:r>
              <w:rPr>
                <w:sz w:val="20"/>
              </w:rPr>
              <w:t>Радиомодификация. Компьютерно- томографическая и (или)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Синхронизация дыхания</w:t>
            </w:r>
          </w:p>
        </w:tc>
        <w:tc>
          <w:tcPr>
            <w:tcW w:w="1000" w:type="dxa"/>
          </w:tcPr>
          <w:p>
            <w:pPr>
              <w:pStyle w:val="TableParagraph"/>
              <w:rPr>
                <w:sz w:val="18"/>
              </w:rPr>
            </w:pPr>
          </w:p>
        </w:tc>
      </w:tr>
      <w:tr>
        <w:trPr>
          <w:trHeight w:val="48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tcPr>
          <w:p>
            <w:pPr>
              <w:pStyle w:val="TableParagraph"/>
              <w:spacing w:before="120"/>
              <w:ind w:left="1289" w:right="-15"/>
              <w:rPr>
                <w:sz w:val="20"/>
              </w:rPr>
            </w:pPr>
            <w:r>
              <w:rPr>
                <w:spacing w:val="-2"/>
                <w:sz w:val="20"/>
              </w:rPr>
              <w:t>Оториноларингология</w:t>
            </w:r>
          </w:p>
        </w:tc>
        <w:tc>
          <w:tcPr>
            <w:tcW w:w="1538" w:type="dxa"/>
          </w:tcPr>
          <w:p>
            <w:pPr>
              <w:pStyle w:val="TableParagraph"/>
              <w:rPr>
                <w:sz w:val="18"/>
              </w:rPr>
            </w:pPr>
          </w:p>
        </w:tc>
        <w:tc>
          <w:tcPr>
            <w:tcW w:w="3884" w:type="dxa"/>
          </w:tcPr>
          <w:p>
            <w:pPr>
              <w:pStyle w:val="TableParagraph"/>
              <w:rPr>
                <w:sz w:val="18"/>
              </w:rPr>
            </w:pPr>
          </w:p>
        </w:tc>
        <w:tc>
          <w:tcPr>
            <w:tcW w:w="1000" w:type="dxa"/>
          </w:tcPr>
          <w:p>
            <w:pPr>
              <w:pStyle w:val="TableParagraph"/>
              <w:rPr>
                <w:sz w:val="18"/>
              </w:rPr>
            </w:pPr>
          </w:p>
        </w:tc>
      </w:tr>
      <w:tr>
        <w:trPr>
          <w:trHeight w:val="2640" w:hRule="atLeast"/>
        </w:trPr>
        <w:tc>
          <w:tcPr>
            <w:tcW w:w="472" w:type="dxa"/>
          </w:tcPr>
          <w:p>
            <w:pPr>
              <w:pStyle w:val="TableParagraph"/>
              <w:spacing w:before="120"/>
              <w:ind w:left="50"/>
              <w:rPr>
                <w:sz w:val="20"/>
              </w:rPr>
            </w:pPr>
            <w:r>
              <w:rPr>
                <w:spacing w:val="-5"/>
                <w:sz w:val="20"/>
              </w:rPr>
              <w:t>26.</w:t>
            </w:r>
          </w:p>
        </w:tc>
        <w:tc>
          <w:tcPr>
            <w:tcW w:w="3001" w:type="dxa"/>
          </w:tcPr>
          <w:p>
            <w:pPr>
              <w:pStyle w:val="TableParagraph"/>
              <w:spacing w:line="249" w:lineRule="auto" w:before="120"/>
              <w:ind w:left="168"/>
              <w:rPr>
                <w:sz w:val="20"/>
              </w:rPr>
            </w:pPr>
            <w:r>
              <w:rPr>
                <w:sz w:val="20"/>
              </w:rPr>
              <w:t>Реконструктивные</w:t>
            </w:r>
            <w:r>
              <w:rPr>
                <w:spacing w:val="-13"/>
                <w:sz w:val="20"/>
              </w:rPr>
              <w:t> </w:t>
            </w:r>
            <w:r>
              <w:rPr>
                <w:sz w:val="20"/>
              </w:rPr>
              <w:t>операции</w:t>
            </w:r>
            <w:r>
              <w:rPr>
                <w:spacing w:val="-12"/>
                <w:sz w:val="20"/>
              </w:rPr>
              <w:t> </w:t>
            </w:r>
            <w:r>
              <w:rPr>
                <w:sz w:val="20"/>
              </w:rPr>
              <w:t>на звукопроводящем аппарате среднего уха</w:t>
            </w:r>
          </w:p>
        </w:tc>
        <w:tc>
          <w:tcPr>
            <w:tcW w:w="1963" w:type="dxa"/>
          </w:tcPr>
          <w:p>
            <w:pPr>
              <w:pStyle w:val="TableParagraph"/>
              <w:spacing w:before="120"/>
              <w:ind w:left="126" w:right="81"/>
              <w:jc w:val="center"/>
              <w:rPr>
                <w:sz w:val="20"/>
              </w:rPr>
            </w:pPr>
            <w:hyperlink r:id="rId177">
              <w:r>
                <w:rPr>
                  <w:sz w:val="20"/>
                </w:rPr>
                <w:t>H66.1,</w:t>
              </w:r>
              <w:r>
                <w:rPr>
                  <w:spacing w:val="-3"/>
                  <w:sz w:val="20"/>
                </w:rPr>
                <w:t> </w:t>
              </w:r>
            </w:hyperlink>
            <w:hyperlink r:id="rId178">
              <w:r>
                <w:rPr>
                  <w:sz w:val="20"/>
                </w:rPr>
                <w:t>H66.2,</w:t>
              </w:r>
              <w:r>
                <w:rPr>
                  <w:spacing w:val="-4"/>
                  <w:sz w:val="20"/>
                </w:rPr>
                <w:t> </w:t>
              </w:r>
            </w:hyperlink>
            <w:hyperlink r:id="rId179">
              <w:r>
                <w:rPr>
                  <w:spacing w:val="-4"/>
                  <w:sz w:val="20"/>
                </w:rPr>
                <w:t>Q16,</w:t>
              </w:r>
            </w:hyperlink>
          </w:p>
          <w:p>
            <w:pPr>
              <w:pStyle w:val="TableParagraph"/>
              <w:spacing w:before="10"/>
              <w:ind w:left="126" w:right="81"/>
              <w:jc w:val="center"/>
              <w:rPr>
                <w:sz w:val="20"/>
              </w:rPr>
            </w:pPr>
            <w:hyperlink r:id="rId180">
              <w:r>
                <w:rPr>
                  <w:sz w:val="20"/>
                </w:rPr>
                <w:t>H80.0,</w:t>
              </w:r>
              <w:r>
                <w:rPr>
                  <w:spacing w:val="-3"/>
                  <w:sz w:val="20"/>
                </w:rPr>
                <w:t> </w:t>
              </w:r>
            </w:hyperlink>
            <w:hyperlink r:id="rId181">
              <w:r>
                <w:rPr>
                  <w:sz w:val="20"/>
                </w:rPr>
                <w:t>H80.1,</w:t>
              </w:r>
              <w:r>
                <w:rPr>
                  <w:spacing w:val="-4"/>
                  <w:sz w:val="20"/>
                </w:rPr>
                <w:t> </w:t>
              </w:r>
            </w:hyperlink>
            <w:hyperlink r:id="rId182">
              <w:r>
                <w:rPr>
                  <w:spacing w:val="-2"/>
                  <w:sz w:val="20"/>
                </w:rPr>
                <w:t>H80.9,</w:t>
              </w:r>
            </w:hyperlink>
          </w:p>
          <w:p>
            <w:pPr>
              <w:pStyle w:val="TableParagraph"/>
              <w:spacing w:line="249" w:lineRule="auto" w:before="10"/>
              <w:ind w:left="126" w:right="79"/>
              <w:jc w:val="center"/>
              <w:rPr>
                <w:sz w:val="20"/>
              </w:rPr>
            </w:pPr>
            <w:hyperlink r:id="rId183">
              <w:r>
                <w:rPr>
                  <w:sz w:val="20"/>
                </w:rPr>
                <w:t>H74.1,</w:t>
              </w:r>
              <w:r>
                <w:rPr>
                  <w:spacing w:val="-13"/>
                  <w:sz w:val="20"/>
                </w:rPr>
                <w:t> </w:t>
              </w:r>
            </w:hyperlink>
            <w:hyperlink r:id="rId184">
              <w:r>
                <w:rPr>
                  <w:sz w:val="20"/>
                </w:rPr>
                <w:t>H74.2,</w:t>
              </w:r>
              <w:r>
                <w:rPr>
                  <w:spacing w:val="-12"/>
                  <w:sz w:val="20"/>
                </w:rPr>
                <w:t> </w:t>
              </w:r>
            </w:hyperlink>
            <w:hyperlink r:id="rId185">
              <w:r>
                <w:rPr>
                  <w:sz w:val="20"/>
                </w:rPr>
                <w:t>H74.3,</w:t>
              </w:r>
            </w:hyperlink>
            <w:r>
              <w:rPr>
                <w:sz w:val="20"/>
              </w:rPr>
              <w:t> </w:t>
            </w:r>
            <w:hyperlink r:id="rId186">
              <w:r>
                <w:rPr>
                  <w:spacing w:val="-4"/>
                  <w:sz w:val="20"/>
                </w:rPr>
                <w:t>H90</w:t>
              </w:r>
            </w:hyperlink>
          </w:p>
        </w:tc>
        <w:tc>
          <w:tcPr>
            <w:tcW w:w="3187" w:type="dxa"/>
            <w:vMerge w:val="restart"/>
          </w:tcPr>
          <w:p>
            <w:pPr>
              <w:pStyle w:val="TableParagraph"/>
              <w:spacing w:line="249" w:lineRule="auto" w:before="120"/>
              <w:ind w:left="89" w:right="492"/>
              <w:rPr>
                <w:sz w:val="20"/>
              </w:rPr>
            </w:pPr>
            <w:r>
              <w:rPr>
                <w:sz w:val="20"/>
              </w:rPr>
              <w:t>хронический</w:t>
            </w:r>
            <w:r>
              <w:rPr>
                <w:spacing w:val="-13"/>
                <w:sz w:val="20"/>
              </w:rPr>
              <w:t> </w:t>
            </w:r>
            <w:r>
              <w:rPr>
                <w:sz w:val="20"/>
              </w:rPr>
              <w:t>туботимпальный гнойный средний отит.</w:t>
            </w:r>
          </w:p>
          <w:p>
            <w:pPr>
              <w:pStyle w:val="TableParagraph"/>
              <w:spacing w:line="249" w:lineRule="auto" w:before="2"/>
              <w:ind w:left="89"/>
              <w:rPr>
                <w:sz w:val="20"/>
              </w:rPr>
            </w:pPr>
            <w:r>
              <w:rPr>
                <w:sz w:val="20"/>
              </w:rPr>
              <w:t>Хронический эпитимпано- антральный</w:t>
            </w:r>
            <w:r>
              <w:rPr>
                <w:spacing w:val="-13"/>
                <w:sz w:val="20"/>
              </w:rPr>
              <w:t> </w:t>
            </w:r>
            <w:r>
              <w:rPr>
                <w:sz w:val="20"/>
              </w:rPr>
              <w:t>гнойный</w:t>
            </w:r>
            <w:r>
              <w:rPr>
                <w:spacing w:val="-12"/>
                <w:sz w:val="20"/>
              </w:rPr>
              <w:t> </w:t>
            </w:r>
            <w:r>
              <w:rPr>
                <w:sz w:val="20"/>
              </w:rPr>
              <w:t>средний</w:t>
            </w:r>
            <w:r>
              <w:rPr>
                <w:spacing w:val="-13"/>
                <w:sz w:val="20"/>
              </w:rPr>
              <w:t> </w:t>
            </w:r>
            <w:r>
              <w:rPr>
                <w:sz w:val="20"/>
              </w:rPr>
              <w:t>отит. Адгезивная болезнь среднего уха. Разрыв и дислокация слуховых косточек. Другие приобретенные дефекты слуховых косточек.</w:t>
            </w:r>
          </w:p>
          <w:p>
            <w:pPr>
              <w:pStyle w:val="TableParagraph"/>
              <w:spacing w:line="249" w:lineRule="auto" w:before="5"/>
              <w:ind w:left="89" w:right="300"/>
              <w:rPr>
                <w:sz w:val="20"/>
              </w:rPr>
            </w:pPr>
            <w:r>
              <w:rPr>
                <w:sz w:val="20"/>
              </w:rPr>
              <w:t>Врожденные аномалии (пороки развития) уха, вызывающие нарушение слуха. Отосклероз, вовлекающий овальное окно, необлитерирующий.</w:t>
            </w:r>
            <w:r>
              <w:rPr>
                <w:spacing w:val="-13"/>
                <w:sz w:val="20"/>
              </w:rPr>
              <w:t> </w:t>
            </w:r>
            <w:r>
              <w:rPr>
                <w:sz w:val="20"/>
              </w:rPr>
              <w:t>Отосклероз неуточненный. Кондуктивная и нейросенсорная потеря слуха.</w:t>
            </w:r>
          </w:p>
          <w:p>
            <w:pPr>
              <w:pStyle w:val="TableParagraph"/>
              <w:spacing w:line="249" w:lineRule="auto" w:before="6"/>
              <w:ind w:left="89" w:right="81"/>
              <w:rPr>
                <w:sz w:val="20"/>
              </w:rPr>
            </w:pPr>
            <w:r>
              <w:rPr>
                <w:sz w:val="20"/>
              </w:rPr>
              <w:t>Отосклероз, вовлекающий овальное</w:t>
            </w:r>
            <w:r>
              <w:rPr>
                <w:spacing w:val="-13"/>
                <w:sz w:val="20"/>
              </w:rPr>
              <w:t> </w:t>
            </w:r>
            <w:r>
              <w:rPr>
                <w:sz w:val="20"/>
              </w:rPr>
              <w:t>окно,</w:t>
            </w:r>
            <w:r>
              <w:rPr>
                <w:spacing w:val="-12"/>
                <w:sz w:val="20"/>
              </w:rPr>
              <w:t> </w:t>
            </w:r>
            <w:r>
              <w:rPr>
                <w:sz w:val="20"/>
              </w:rPr>
              <w:t>облитерирующий</w:t>
            </w:r>
          </w:p>
        </w:tc>
        <w:tc>
          <w:tcPr>
            <w:tcW w:w="1538" w:type="dxa"/>
          </w:tcPr>
          <w:p>
            <w:pPr>
              <w:pStyle w:val="TableParagraph"/>
              <w:spacing w:line="249" w:lineRule="auto" w:before="120"/>
              <w:ind w:left="58"/>
              <w:rPr>
                <w:sz w:val="20"/>
              </w:rPr>
            </w:pPr>
            <w:r>
              <w:rPr>
                <w:spacing w:val="-2"/>
                <w:sz w:val="20"/>
              </w:rPr>
              <w:t>хирургическое лечение</w:t>
            </w:r>
          </w:p>
        </w:tc>
        <w:tc>
          <w:tcPr>
            <w:tcW w:w="3884" w:type="dxa"/>
          </w:tcPr>
          <w:p>
            <w:pPr>
              <w:pStyle w:val="TableParagraph"/>
              <w:spacing w:line="249" w:lineRule="auto" w:before="120"/>
              <w:ind w:left="218" w:right="350"/>
              <w:rPr>
                <w:sz w:val="20"/>
              </w:rPr>
            </w:pPr>
            <w:r>
              <w:rPr>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w:t>
            </w:r>
            <w:r>
              <w:rPr>
                <w:spacing w:val="-13"/>
                <w:sz w:val="20"/>
              </w:rPr>
              <w:t> </w:t>
            </w:r>
            <w:r>
              <w:rPr>
                <w:sz w:val="20"/>
              </w:rPr>
              <w:t>системы</w:t>
            </w:r>
            <w:r>
              <w:rPr>
                <w:spacing w:val="-12"/>
                <w:sz w:val="20"/>
              </w:rPr>
              <w:t> </w:t>
            </w:r>
            <w:r>
              <w:rPr>
                <w:sz w:val="20"/>
              </w:rPr>
              <w:t>мониторинга лицевого нерва</w:t>
            </w:r>
          </w:p>
        </w:tc>
        <w:tc>
          <w:tcPr>
            <w:tcW w:w="1000" w:type="dxa"/>
          </w:tcPr>
          <w:p>
            <w:pPr>
              <w:pStyle w:val="TableParagraph"/>
              <w:spacing w:before="120"/>
              <w:ind w:left="345"/>
              <w:rPr>
                <w:sz w:val="20"/>
              </w:rPr>
            </w:pPr>
            <w:r>
              <w:rPr>
                <w:spacing w:val="-2"/>
                <w:sz w:val="20"/>
              </w:rPr>
              <w:t>124533</w:t>
            </w:r>
          </w:p>
        </w:tc>
      </w:tr>
      <w:tr>
        <w:trPr>
          <w:trHeight w:val="216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vMerge/>
            <w:tcBorders>
              <w:top w:val="nil"/>
            </w:tcBorders>
          </w:tcPr>
          <w:p>
            <w:pPr>
              <w:rPr>
                <w:sz w:val="2"/>
                <w:szCs w:val="2"/>
              </w:rPr>
            </w:pPr>
          </w:p>
        </w:tc>
        <w:tc>
          <w:tcPr>
            <w:tcW w:w="1538" w:type="dxa"/>
          </w:tcPr>
          <w:p>
            <w:pPr>
              <w:pStyle w:val="TableParagraph"/>
              <w:rPr>
                <w:sz w:val="18"/>
              </w:rPr>
            </w:pPr>
          </w:p>
        </w:tc>
        <w:tc>
          <w:tcPr>
            <w:tcW w:w="3884" w:type="dxa"/>
          </w:tcPr>
          <w:p>
            <w:pPr>
              <w:pStyle w:val="TableParagraph"/>
              <w:spacing w:line="249" w:lineRule="auto" w:before="120"/>
              <w:ind w:left="218" w:right="300"/>
              <w:rPr>
                <w:sz w:val="20"/>
              </w:rPr>
            </w:pPr>
            <w:r>
              <w:rPr>
                <w:sz w:val="20"/>
              </w:rPr>
              <w:t>реконструктивные операции при врожденных аномалиях развития и приобретенной атрезии вследствие хронического</w:t>
            </w:r>
            <w:r>
              <w:rPr>
                <w:spacing w:val="-13"/>
                <w:sz w:val="20"/>
              </w:rPr>
              <w:t> </w:t>
            </w:r>
            <w:r>
              <w:rPr>
                <w:sz w:val="20"/>
              </w:rPr>
              <w:t>гнойного</w:t>
            </w:r>
            <w:r>
              <w:rPr>
                <w:spacing w:val="-12"/>
                <w:sz w:val="20"/>
              </w:rPr>
              <w:t> </w:t>
            </w:r>
            <w:r>
              <w:rPr>
                <w:sz w:val="20"/>
              </w:rPr>
              <w:t>среднего</w:t>
            </w:r>
            <w:r>
              <w:rPr>
                <w:spacing w:val="-13"/>
                <w:sz w:val="20"/>
              </w:rPr>
              <w:t> </w:t>
            </w:r>
            <w:r>
              <w:rPr>
                <w:sz w:val="20"/>
              </w:rPr>
              <w:t>отита с применением микрохирургической техники, лучевой техники, аутотканей и аллогенных трансплантатов, в том числе металлических</w:t>
            </w:r>
          </w:p>
        </w:tc>
        <w:tc>
          <w:tcPr>
            <w:tcW w:w="1000" w:type="dxa"/>
          </w:tcPr>
          <w:p>
            <w:pPr>
              <w:pStyle w:val="TableParagraph"/>
              <w:rPr>
                <w:sz w:val="18"/>
              </w:rPr>
            </w:pPr>
          </w:p>
        </w:tc>
      </w:tr>
      <w:tr>
        <w:trPr>
          <w:trHeight w:val="107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tcPr>
          <w:p>
            <w:pPr>
              <w:pStyle w:val="TableParagraph"/>
              <w:rPr>
                <w:sz w:val="18"/>
              </w:rPr>
            </w:pPr>
          </w:p>
        </w:tc>
        <w:tc>
          <w:tcPr>
            <w:tcW w:w="1538" w:type="dxa"/>
          </w:tcPr>
          <w:p>
            <w:pPr>
              <w:pStyle w:val="TableParagraph"/>
              <w:rPr>
                <w:sz w:val="18"/>
              </w:rPr>
            </w:pPr>
          </w:p>
        </w:tc>
        <w:tc>
          <w:tcPr>
            <w:tcW w:w="3884" w:type="dxa"/>
          </w:tcPr>
          <w:p>
            <w:pPr>
              <w:pStyle w:val="TableParagraph"/>
              <w:spacing w:line="240" w:lineRule="atLeast" w:before="90"/>
              <w:ind w:left="218" w:right="300"/>
              <w:rPr>
                <w:sz w:val="20"/>
              </w:rPr>
            </w:pPr>
            <w:r>
              <w:rPr>
                <w:sz w:val="20"/>
              </w:rPr>
              <w:t>реконструктивные слухоулучшающие операции</w:t>
            </w:r>
            <w:r>
              <w:rPr>
                <w:spacing w:val="-13"/>
                <w:sz w:val="20"/>
              </w:rPr>
              <w:t> </w:t>
            </w:r>
            <w:r>
              <w:rPr>
                <w:sz w:val="20"/>
              </w:rPr>
              <w:t>после</w:t>
            </w:r>
            <w:r>
              <w:rPr>
                <w:spacing w:val="-12"/>
                <w:sz w:val="20"/>
              </w:rPr>
              <w:t> </w:t>
            </w:r>
            <w:r>
              <w:rPr>
                <w:sz w:val="20"/>
              </w:rPr>
              <w:t>радикальной</w:t>
            </w:r>
            <w:r>
              <w:rPr>
                <w:spacing w:val="-13"/>
                <w:sz w:val="20"/>
              </w:rPr>
              <w:t> </w:t>
            </w:r>
            <w:r>
              <w:rPr>
                <w:sz w:val="20"/>
              </w:rPr>
              <w:t>операции на среднем ухе при хроническом гнойном среднем отите</w:t>
            </w:r>
          </w:p>
        </w:tc>
        <w:tc>
          <w:tcPr>
            <w:tcW w:w="10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line="249" w:lineRule="auto" w:before="91"/>
        <w:ind w:left="10718" w:right="1941" w:firstLine="0"/>
        <w:jc w:val="left"/>
        <w:rPr>
          <w:sz w:val="20"/>
        </w:rPr>
      </w:pPr>
      <w:r>
        <w:rPr>
          <w:sz w:val="20"/>
        </w:rPr>
        <w:t>слухоулучшающие операции с применением частично имплантируемого</w:t>
      </w:r>
      <w:r>
        <w:rPr>
          <w:spacing w:val="-13"/>
          <w:sz w:val="20"/>
        </w:rPr>
        <w:t> </w:t>
      </w:r>
      <w:r>
        <w:rPr>
          <w:sz w:val="20"/>
        </w:rPr>
        <w:t>устройства</w:t>
      </w:r>
      <w:r>
        <w:rPr>
          <w:spacing w:val="-12"/>
          <w:sz w:val="20"/>
        </w:rPr>
        <w:t> </w:t>
      </w:r>
      <w:r>
        <w:rPr>
          <w:sz w:val="20"/>
        </w:rPr>
        <w:t>костной </w:t>
      </w:r>
      <w:r>
        <w:rPr>
          <w:spacing w:val="-2"/>
          <w:sz w:val="20"/>
        </w:rPr>
        <w:t>проводимости</w:t>
      </w:r>
    </w:p>
    <w:p>
      <w:pPr>
        <w:pStyle w:val="BodyText"/>
        <w:spacing w:before="3"/>
        <w:rPr>
          <w:sz w:val="13"/>
        </w:rPr>
      </w:pPr>
    </w:p>
    <w:p>
      <w:pPr>
        <w:spacing w:after="0"/>
        <w:rPr>
          <w:sz w:val="13"/>
        </w:rPr>
        <w:sectPr>
          <w:pgSz w:w="16850" w:h="11910" w:orient="landscape"/>
          <w:pgMar w:header="753" w:footer="0" w:top="1060" w:bottom="280" w:left="400" w:right="400"/>
        </w:sectPr>
      </w:pPr>
    </w:p>
    <w:p>
      <w:pPr>
        <w:spacing w:line="249" w:lineRule="auto" w:before="91"/>
        <w:ind w:left="4645" w:right="0" w:hanging="697"/>
        <w:jc w:val="left"/>
        <w:rPr>
          <w:sz w:val="20"/>
        </w:rPr>
      </w:pPr>
      <w:hyperlink r:id="rId183">
        <w:r>
          <w:rPr>
            <w:sz w:val="20"/>
          </w:rPr>
          <w:t>H74.1,</w:t>
        </w:r>
        <w:r>
          <w:rPr>
            <w:spacing w:val="-13"/>
            <w:sz w:val="20"/>
          </w:rPr>
          <w:t> </w:t>
        </w:r>
      </w:hyperlink>
      <w:hyperlink r:id="rId184">
        <w:r>
          <w:rPr>
            <w:sz w:val="20"/>
          </w:rPr>
          <w:t>H74.2,</w:t>
        </w:r>
        <w:r>
          <w:rPr>
            <w:spacing w:val="-12"/>
            <w:sz w:val="20"/>
          </w:rPr>
          <w:t> </w:t>
        </w:r>
      </w:hyperlink>
      <w:hyperlink r:id="rId185">
        <w:r>
          <w:rPr>
            <w:sz w:val="20"/>
          </w:rPr>
          <w:t>H74.3,</w:t>
        </w:r>
      </w:hyperlink>
      <w:r>
        <w:rPr>
          <w:sz w:val="20"/>
        </w:rPr>
        <w:t> </w:t>
      </w:r>
      <w:hyperlink r:id="rId186">
        <w:r>
          <w:rPr>
            <w:spacing w:val="-4"/>
            <w:sz w:val="20"/>
          </w:rPr>
          <w:t>H90</w:t>
        </w:r>
      </w:hyperlink>
    </w:p>
    <w:p>
      <w:pPr>
        <w:spacing w:line="249" w:lineRule="auto" w:before="91"/>
        <w:ind w:left="140" w:right="0" w:firstLine="0"/>
        <w:jc w:val="left"/>
        <w:rPr>
          <w:sz w:val="20"/>
        </w:rPr>
      </w:pPr>
      <w:r>
        <w:rPr/>
        <w:br w:type="column"/>
      </w:r>
      <w:r>
        <w:rPr>
          <w:sz w:val="20"/>
        </w:rPr>
        <w:t>адгезивная</w:t>
      </w:r>
      <w:r>
        <w:rPr>
          <w:spacing w:val="-13"/>
          <w:sz w:val="20"/>
        </w:rPr>
        <w:t> </w:t>
      </w:r>
      <w:r>
        <w:rPr>
          <w:sz w:val="20"/>
        </w:rPr>
        <w:t>болезнь</w:t>
      </w:r>
      <w:r>
        <w:rPr>
          <w:spacing w:val="-12"/>
          <w:sz w:val="20"/>
        </w:rPr>
        <w:t> </w:t>
      </w:r>
      <w:r>
        <w:rPr>
          <w:sz w:val="20"/>
        </w:rPr>
        <w:t>среднего</w:t>
      </w:r>
      <w:r>
        <w:rPr>
          <w:spacing w:val="-13"/>
          <w:sz w:val="20"/>
        </w:rPr>
        <w:t> </w:t>
      </w:r>
      <w:r>
        <w:rPr>
          <w:sz w:val="20"/>
        </w:rPr>
        <w:t>уха. Разрыв и дислокация слуховых </w:t>
      </w:r>
      <w:r>
        <w:rPr>
          <w:spacing w:val="-2"/>
          <w:sz w:val="20"/>
        </w:rPr>
        <w:t>косточек</w:t>
      </w:r>
    </w:p>
    <w:p>
      <w:pPr>
        <w:spacing w:line="249" w:lineRule="auto" w:before="91"/>
        <w:ind w:left="277" w:right="0" w:firstLine="0"/>
        <w:jc w:val="left"/>
        <w:rPr>
          <w:sz w:val="20"/>
        </w:rPr>
      </w:pPr>
      <w:r>
        <w:rPr/>
        <w:br w:type="column"/>
      </w:r>
      <w:r>
        <w:rPr>
          <w:spacing w:val="-2"/>
          <w:sz w:val="20"/>
        </w:rPr>
        <w:t>хирургическое лечение</w:t>
      </w:r>
    </w:p>
    <w:p>
      <w:pPr>
        <w:spacing w:line="249" w:lineRule="auto" w:before="91"/>
        <w:ind w:left="401" w:right="2074" w:firstLine="0"/>
        <w:jc w:val="left"/>
        <w:rPr>
          <w:sz w:val="20"/>
        </w:rPr>
      </w:pPr>
      <w:r>
        <w:rPr/>
        <w:br w:type="column"/>
      </w:r>
      <w:r>
        <w:rPr>
          <w:sz w:val="20"/>
        </w:rPr>
        <w:t>тимпанопластика с применением микрохирургической техники, аллогенных</w:t>
      </w:r>
      <w:r>
        <w:rPr>
          <w:spacing w:val="-12"/>
          <w:sz w:val="20"/>
        </w:rPr>
        <w:t> </w:t>
      </w:r>
      <w:r>
        <w:rPr>
          <w:sz w:val="20"/>
        </w:rPr>
        <w:t>трансплантатов,</w:t>
      </w:r>
      <w:r>
        <w:rPr>
          <w:spacing w:val="-9"/>
          <w:sz w:val="20"/>
        </w:rPr>
        <w:t> </w:t>
      </w:r>
      <w:r>
        <w:rPr>
          <w:sz w:val="20"/>
        </w:rPr>
        <w:t>в</w:t>
      </w:r>
      <w:r>
        <w:rPr>
          <w:spacing w:val="-12"/>
          <w:sz w:val="20"/>
        </w:rPr>
        <w:t> </w:t>
      </w:r>
      <w:r>
        <w:rPr>
          <w:sz w:val="20"/>
        </w:rPr>
        <w:t>том числе металлических</w:t>
      </w:r>
    </w:p>
    <w:p>
      <w:pPr>
        <w:pStyle w:val="BodyText"/>
        <w:spacing w:before="2"/>
        <w:rPr>
          <w:sz w:val="21"/>
        </w:rPr>
      </w:pPr>
    </w:p>
    <w:p>
      <w:pPr>
        <w:spacing w:line="249" w:lineRule="auto" w:before="0"/>
        <w:ind w:left="401" w:right="2074" w:firstLine="0"/>
        <w:jc w:val="left"/>
        <w:rPr>
          <w:sz w:val="20"/>
        </w:rPr>
      </w:pPr>
      <w:r>
        <w:rPr>
          <w:sz w:val="20"/>
        </w:rPr>
        <w:t>стапедопластика</w:t>
      </w:r>
      <w:r>
        <w:rPr>
          <w:spacing w:val="-13"/>
          <w:sz w:val="20"/>
        </w:rPr>
        <w:t> </w:t>
      </w:r>
      <w:r>
        <w:rPr>
          <w:sz w:val="20"/>
        </w:rPr>
        <w:t>при</w:t>
      </w:r>
      <w:r>
        <w:rPr>
          <w:spacing w:val="-12"/>
          <w:sz w:val="20"/>
        </w:rPr>
        <w:t> </w:t>
      </w:r>
      <w:r>
        <w:rPr>
          <w:sz w:val="20"/>
        </w:rPr>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rPr>
          <w:spacing w:val="-2"/>
          <w:sz w:val="20"/>
        </w:rPr>
        <w:t>металлических</w:t>
      </w:r>
    </w:p>
    <w:p>
      <w:pPr>
        <w:pStyle w:val="BodyText"/>
        <w:spacing w:before="5"/>
        <w:rPr>
          <w:sz w:val="21"/>
        </w:rPr>
      </w:pPr>
    </w:p>
    <w:p>
      <w:pPr>
        <w:spacing w:line="249" w:lineRule="auto" w:before="0"/>
        <w:ind w:left="401" w:right="1940" w:firstLine="0"/>
        <w:jc w:val="left"/>
        <w:rPr>
          <w:sz w:val="20"/>
        </w:rPr>
      </w:pPr>
      <w:r>
        <w:rPr>
          <w:sz w:val="20"/>
        </w:rPr>
        <w:t>слухоулучшающие операции с применением</w:t>
      </w:r>
      <w:r>
        <w:rPr>
          <w:spacing w:val="-12"/>
          <w:sz w:val="20"/>
        </w:rPr>
        <w:t> </w:t>
      </w:r>
      <w:r>
        <w:rPr>
          <w:sz w:val="20"/>
        </w:rPr>
        <w:t>имплантата</w:t>
      </w:r>
      <w:r>
        <w:rPr>
          <w:spacing w:val="-13"/>
          <w:sz w:val="20"/>
        </w:rPr>
        <w:t> </w:t>
      </w:r>
      <w:r>
        <w:rPr>
          <w:sz w:val="20"/>
        </w:rPr>
        <w:t>среднего</w:t>
      </w:r>
      <w:r>
        <w:rPr>
          <w:spacing w:val="-10"/>
          <w:sz w:val="20"/>
        </w:rPr>
        <w:t> </w:t>
      </w:r>
      <w:r>
        <w:rPr>
          <w:sz w:val="20"/>
        </w:rPr>
        <w:t>уха</w:t>
      </w:r>
    </w:p>
    <w:p>
      <w:pPr>
        <w:spacing w:after="0" w:line="249" w:lineRule="auto"/>
        <w:jc w:val="left"/>
        <w:rPr>
          <w:sz w:val="20"/>
        </w:rPr>
        <w:sectPr>
          <w:type w:val="continuous"/>
          <w:pgSz w:w="16850" w:h="11910" w:orient="landscape"/>
          <w:pgMar w:header="753" w:footer="0" w:top="1080" w:bottom="280" w:left="400" w:right="400"/>
          <w:cols w:num="4" w:equalWidth="0">
            <w:col w:w="5685" w:space="40"/>
            <w:col w:w="2980" w:space="39"/>
            <w:col w:w="1534" w:space="40"/>
            <w:col w:w="5732"/>
          </w:cols>
        </w:sectPr>
      </w:pPr>
    </w:p>
    <w:p>
      <w:pPr>
        <w:pStyle w:val="BodyText"/>
        <w:spacing w:before="1"/>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4"/>
        </w:numPr>
        <w:tabs>
          <w:tab w:pos="979" w:val="left" w:leader="none"/>
          <w:tab w:pos="980" w:val="left" w:leader="none"/>
        </w:tabs>
        <w:spacing w:line="249" w:lineRule="auto" w:before="91" w:after="0"/>
        <w:ind w:left="980" w:right="0" w:hanging="591"/>
        <w:jc w:val="left"/>
        <w:rPr>
          <w:sz w:val="20"/>
        </w:rPr>
      </w:pPr>
      <w:r>
        <w:rPr>
          <w:sz w:val="20"/>
        </w:rPr>
        <w:t>Хирургическое</w:t>
      </w:r>
      <w:r>
        <w:rPr>
          <w:spacing w:val="-13"/>
          <w:sz w:val="20"/>
        </w:rPr>
        <w:t> </w:t>
      </w:r>
      <w:r>
        <w:rPr>
          <w:sz w:val="20"/>
        </w:rPr>
        <w:t>лечение</w:t>
      </w:r>
      <w:r>
        <w:rPr>
          <w:spacing w:val="-12"/>
          <w:sz w:val="20"/>
        </w:rPr>
        <w:t> </w:t>
      </w:r>
      <w:r>
        <w:rPr>
          <w:sz w:val="20"/>
        </w:rPr>
        <w:t>болезни Меньера и других нарушений вестибулярной функции</w:t>
      </w:r>
    </w:p>
    <w:p>
      <w:pPr>
        <w:tabs>
          <w:tab w:pos="2079" w:val="left" w:leader="none"/>
        </w:tabs>
        <w:spacing w:before="91"/>
        <w:ind w:left="189" w:right="0" w:firstLine="0"/>
        <w:jc w:val="left"/>
        <w:rPr>
          <w:sz w:val="20"/>
        </w:rPr>
      </w:pPr>
      <w:r>
        <w:rPr/>
        <w:br w:type="column"/>
      </w:r>
      <w:hyperlink r:id="rId187">
        <w:r>
          <w:rPr>
            <w:sz w:val="20"/>
          </w:rPr>
          <w:t>H81.0,</w:t>
        </w:r>
        <w:r>
          <w:rPr>
            <w:spacing w:val="-3"/>
            <w:sz w:val="20"/>
          </w:rPr>
          <w:t> </w:t>
        </w:r>
      </w:hyperlink>
      <w:hyperlink r:id="rId188">
        <w:r>
          <w:rPr>
            <w:sz w:val="20"/>
          </w:rPr>
          <w:t>H81.1,</w:t>
        </w:r>
        <w:r>
          <w:rPr>
            <w:spacing w:val="-4"/>
            <w:sz w:val="20"/>
          </w:rPr>
          <w:t> </w:t>
        </w:r>
      </w:hyperlink>
      <w:hyperlink r:id="rId189">
        <w:r>
          <w:rPr>
            <w:spacing w:val="-4"/>
            <w:sz w:val="20"/>
          </w:rPr>
          <w:t>H81.2</w:t>
        </w:r>
      </w:hyperlink>
      <w:r>
        <w:rPr>
          <w:sz w:val="20"/>
        </w:rPr>
        <w:tab/>
        <w:t>болезнь</w:t>
      </w:r>
      <w:r>
        <w:rPr>
          <w:spacing w:val="-10"/>
          <w:sz w:val="20"/>
        </w:rPr>
        <w:t> </w:t>
      </w:r>
      <w:r>
        <w:rPr>
          <w:spacing w:val="-2"/>
          <w:sz w:val="20"/>
        </w:rPr>
        <w:t>Меньера.</w:t>
      </w:r>
    </w:p>
    <w:p>
      <w:pPr>
        <w:spacing w:line="249" w:lineRule="auto" w:before="10"/>
        <w:ind w:left="2079" w:right="0" w:firstLine="0"/>
        <w:jc w:val="left"/>
        <w:rPr>
          <w:sz w:val="20"/>
        </w:rPr>
      </w:pPr>
      <w:r>
        <w:rPr>
          <w:spacing w:val="-2"/>
          <w:sz w:val="20"/>
        </w:rPr>
        <w:t>Доброкачественное </w:t>
      </w:r>
      <w:r>
        <w:rPr>
          <w:sz w:val="20"/>
        </w:rPr>
        <w:t>пароксизмальное головокружение. Вестибулярный</w:t>
      </w:r>
      <w:r>
        <w:rPr>
          <w:spacing w:val="-13"/>
          <w:sz w:val="20"/>
        </w:rPr>
        <w:t> </w:t>
      </w:r>
      <w:r>
        <w:rPr>
          <w:sz w:val="20"/>
        </w:rPr>
        <w:t>нейронит.</w:t>
      </w:r>
      <w:r>
        <w:rPr>
          <w:spacing w:val="-12"/>
          <w:sz w:val="20"/>
        </w:rPr>
        <w:t> </w:t>
      </w:r>
      <w:r>
        <w:rPr>
          <w:sz w:val="20"/>
        </w:rPr>
        <w:t>Фистула </w:t>
      </w:r>
      <w:r>
        <w:rPr>
          <w:spacing w:val="-2"/>
          <w:sz w:val="20"/>
        </w:rPr>
        <w:t>лабиринта</w:t>
      </w:r>
    </w:p>
    <w:p>
      <w:pPr>
        <w:pStyle w:val="BodyText"/>
        <w:spacing w:before="2"/>
        <w:rPr>
          <w:sz w:val="21"/>
        </w:rPr>
      </w:pPr>
    </w:p>
    <w:p>
      <w:pPr>
        <w:tabs>
          <w:tab w:pos="2079" w:val="left" w:leader="none"/>
        </w:tabs>
        <w:spacing w:before="0"/>
        <w:ind w:left="487" w:right="0" w:firstLine="0"/>
        <w:jc w:val="left"/>
        <w:rPr>
          <w:sz w:val="20"/>
        </w:rPr>
      </w:pPr>
      <w:hyperlink r:id="rId188">
        <w:r>
          <w:rPr>
            <w:sz w:val="20"/>
          </w:rPr>
          <w:t>H81.1,</w:t>
        </w:r>
        <w:r>
          <w:rPr>
            <w:spacing w:val="-2"/>
            <w:sz w:val="20"/>
          </w:rPr>
          <w:t> </w:t>
        </w:r>
      </w:hyperlink>
      <w:hyperlink r:id="rId189">
        <w:r>
          <w:rPr>
            <w:spacing w:val="-2"/>
            <w:sz w:val="20"/>
          </w:rPr>
          <w:t>H81.2</w:t>
        </w:r>
      </w:hyperlink>
      <w:r>
        <w:rPr>
          <w:sz w:val="20"/>
        </w:rPr>
        <w:tab/>
      </w:r>
      <w:r>
        <w:rPr>
          <w:spacing w:val="-2"/>
          <w:sz w:val="20"/>
        </w:rPr>
        <w:t>доброкачественное</w:t>
      </w:r>
    </w:p>
    <w:p>
      <w:pPr>
        <w:spacing w:line="249" w:lineRule="auto" w:before="10"/>
        <w:ind w:left="2079" w:right="0" w:firstLine="0"/>
        <w:jc w:val="left"/>
        <w:rPr>
          <w:sz w:val="20"/>
        </w:rPr>
      </w:pPr>
      <w:r>
        <w:rPr>
          <w:sz w:val="20"/>
        </w:rPr>
        <w:t>пароксизмальное головокружение. Вестибулярный</w:t>
      </w:r>
      <w:r>
        <w:rPr>
          <w:spacing w:val="-13"/>
          <w:sz w:val="20"/>
        </w:rPr>
        <w:t> </w:t>
      </w:r>
      <w:r>
        <w:rPr>
          <w:sz w:val="20"/>
        </w:rPr>
        <w:t>нейронит.</w:t>
      </w:r>
      <w:r>
        <w:rPr>
          <w:spacing w:val="-12"/>
          <w:sz w:val="20"/>
        </w:rPr>
        <w:t> </w:t>
      </w:r>
      <w:r>
        <w:rPr>
          <w:sz w:val="20"/>
        </w:rPr>
        <w:t>Фистула </w:t>
      </w:r>
      <w:r>
        <w:rPr>
          <w:spacing w:val="-2"/>
          <w:sz w:val="20"/>
        </w:rPr>
        <w:t>лабиринта</w:t>
      </w:r>
    </w:p>
    <w:p>
      <w:pPr>
        <w:spacing w:line="249" w:lineRule="auto" w:before="91"/>
        <w:ind w:left="90"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spacing w:before="8"/>
        <w:rPr>
          <w:sz w:val="17"/>
        </w:rPr>
      </w:pPr>
    </w:p>
    <w:p>
      <w:pPr>
        <w:spacing w:line="249" w:lineRule="auto" w:before="0"/>
        <w:ind w:left="90" w:right="0" w:firstLine="0"/>
        <w:jc w:val="left"/>
        <w:rPr>
          <w:sz w:val="20"/>
        </w:rPr>
      </w:pPr>
      <w:r>
        <w:rPr>
          <w:spacing w:val="-2"/>
          <w:sz w:val="20"/>
        </w:rPr>
        <w:t>хирургическое лечение</w:t>
      </w:r>
    </w:p>
    <w:p>
      <w:pPr>
        <w:tabs>
          <w:tab w:pos="4950" w:val="right" w:leader="none"/>
        </w:tabs>
        <w:spacing w:before="91"/>
        <w:ind w:left="389" w:right="0" w:firstLine="0"/>
        <w:jc w:val="left"/>
        <w:rPr>
          <w:sz w:val="20"/>
        </w:rPr>
      </w:pPr>
      <w:r>
        <w:rPr/>
        <w:br w:type="column"/>
      </w:r>
      <w:r>
        <w:rPr>
          <w:sz w:val="20"/>
        </w:rPr>
        <w:t>селективная</w:t>
      </w:r>
      <w:r>
        <w:rPr>
          <w:spacing w:val="-12"/>
          <w:sz w:val="20"/>
        </w:rPr>
        <w:t> </w:t>
      </w:r>
      <w:r>
        <w:rPr>
          <w:spacing w:val="-2"/>
          <w:sz w:val="20"/>
        </w:rPr>
        <w:t>нейротомия</w:t>
      </w:r>
      <w:r>
        <w:rPr>
          <w:sz w:val="20"/>
        </w:rPr>
        <w:tab/>
      </w:r>
      <w:r>
        <w:rPr>
          <w:spacing w:val="-2"/>
          <w:sz w:val="20"/>
        </w:rPr>
        <w:t>74079</w:t>
      </w:r>
    </w:p>
    <w:p>
      <w:pPr>
        <w:spacing w:line="249" w:lineRule="auto" w:before="250"/>
        <w:ind w:left="389" w:right="1916" w:firstLine="0"/>
        <w:jc w:val="left"/>
        <w:rPr>
          <w:sz w:val="20"/>
        </w:rPr>
      </w:pPr>
      <w:r>
        <w:rPr>
          <w:sz w:val="20"/>
        </w:rPr>
        <w:t>деструктивные</w:t>
      </w:r>
      <w:r>
        <w:rPr>
          <w:spacing w:val="-13"/>
          <w:sz w:val="20"/>
        </w:rPr>
        <w:t> </w:t>
      </w:r>
      <w:r>
        <w:rPr>
          <w:sz w:val="20"/>
        </w:rPr>
        <w:t>микрохирургические вмешательства на структурах внутреннего уха с применением лучевой техники</w:t>
      </w:r>
    </w:p>
    <w:p>
      <w:pPr>
        <w:spacing w:line="249" w:lineRule="auto" w:before="4"/>
        <w:ind w:left="389" w:right="1916" w:firstLine="0"/>
        <w:jc w:val="left"/>
        <w:rPr>
          <w:sz w:val="20"/>
        </w:rPr>
      </w:pPr>
      <w:r>
        <w:rPr>
          <w:sz w:val="20"/>
        </w:rPr>
        <w:t>дренирование эндолимфатических пространств внутреннего уха с применением</w:t>
      </w:r>
      <w:r>
        <w:rPr>
          <w:spacing w:val="-13"/>
          <w:sz w:val="20"/>
        </w:rPr>
        <w:t> </w:t>
      </w:r>
      <w:r>
        <w:rPr>
          <w:sz w:val="20"/>
        </w:rPr>
        <w:t>микрохирургической</w:t>
      </w:r>
      <w:r>
        <w:rPr>
          <w:spacing w:val="-12"/>
          <w:sz w:val="20"/>
        </w:rPr>
        <w:t> </w:t>
      </w:r>
      <w:r>
        <w:rPr>
          <w:sz w:val="20"/>
        </w:rPr>
        <w:t>и лучевой техники</w:t>
      </w:r>
    </w:p>
    <w:p>
      <w:pPr>
        <w:spacing w:after="0" w:line="249" w:lineRule="auto"/>
        <w:jc w:val="left"/>
        <w:rPr>
          <w:sz w:val="20"/>
        </w:rPr>
        <w:sectPr>
          <w:type w:val="continuous"/>
          <w:pgSz w:w="16850" w:h="11910" w:orient="landscape"/>
          <w:pgMar w:header="753" w:footer="0" w:top="1080" w:bottom="280" w:left="400" w:right="400"/>
          <w:cols w:num="4" w:equalWidth="0">
            <w:col w:w="3746" w:space="40"/>
            <w:col w:w="5106" w:space="39"/>
            <w:col w:w="1347" w:space="51"/>
            <w:col w:w="5721"/>
          </w:cols>
        </w:sectPr>
      </w:pPr>
    </w:p>
    <w:p>
      <w:pPr>
        <w:spacing w:line="249" w:lineRule="auto" w:before="243"/>
        <w:ind w:left="980" w:right="28" w:firstLine="0"/>
        <w:jc w:val="left"/>
        <w:rPr>
          <w:sz w:val="20"/>
        </w:rPr>
      </w:pPr>
      <w:r>
        <w:rPr>
          <w:sz w:val="20"/>
        </w:rPr>
        <w:t>Хирургическое</w:t>
      </w:r>
      <w:r>
        <w:rPr>
          <w:spacing w:val="-13"/>
          <w:sz w:val="20"/>
        </w:rPr>
        <w:t> </w:t>
      </w:r>
      <w:r>
        <w:rPr>
          <w:sz w:val="20"/>
        </w:rPr>
        <w:t>лечение </w:t>
      </w:r>
      <w:r>
        <w:rPr>
          <w:spacing w:val="-2"/>
          <w:sz w:val="20"/>
        </w:rPr>
        <w:t>доброкачественных</w:t>
      </w:r>
    </w:p>
    <w:p>
      <w:pPr>
        <w:tabs>
          <w:tab w:pos="2239" w:val="left" w:leader="none"/>
        </w:tabs>
        <w:spacing w:line="249" w:lineRule="auto" w:before="243"/>
        <w:ind w:left="2240" w:right="0" w:hanging="1260"/>
        <w:jc w:val="left"/>
        <w:rPr>
          <w:sz w:val="20"/>
        </w:rPr>
      </w:pPr>
      <w:r>
        <w:rPr/>
        <w:br w:type="column"/>
      </w:r>
      <w:hyperlink r:id="rId190">
        <w:r>
          <w:rPr>
            <w:spacing w:val="-2"/>
            <w:sz w:val="20"/>
          </w:rPr>
          <w:t>J32.3</w:t>
        </w:r>
      </w:hyperlink>
      <w:r>
        <w:rPr>
          <w:sz w:val="20"/>
        </w:rPr>
        <w:tab/>
      </w:r>
      <w:r>
        <w:rPr>
          <w:spacing w:val="-2"/>
          <w:sz w:val="20"/>
        </w:rPr>
        <w:t>доброкачественное </w:t>
      </w:r>
      <w:r>
        <w:rPr>
          <w:sz w:val="20"/>
        </w:rPr>
        <w:t>новообразование</w:t>
      </w:r>
      <w:r>
        <w:rPr>
          <w:spacing w:val="-13"/>
          <w:sz w:val="20"/>
        </w:rPr>
        <w:t> </w:t>
      </w:r>
      <w:r>
        <w:rPr>
          <w:sz w:val="20"/>
        </w:rPr>
        <w:t>полости</w:t>
      </w:r>
      <w:r>
        <w:rPr>
          <w:spacing w:val="-12"/>
          <w:sz w:val="20"/>
        </w:rPr>
        <w:t> </w:t>
      </w:r>
      <w:r>
        <w:rPr>
          <w:sz w:val="20"/>
        </w:rPr>
        <w:t>носа</w:t>
      </w:r>
      <w:r>
        <w:rPr>
          <w:spacing w:val="-13"/>
          <w:sz w:val="20"/>
        </w:rPr>
        <w:t> </w:t>
      </w:r>
      <w:r>
        <w:rPr>
          <w:sz w:val="20"/>
        </w:rPr>
        <w:t>и</w:t>
      </w:r>
    </w:p>
    <w:p>
      <w:pPr>
        <w:spacing w:line="249" w:lineRule="auto" w:before="243"/>
        <w:ind w:left="329" w:right="0" w:firstLine="0"/>
        <w:jc w:val="left"/>
        <w:rPr>
          <w:sz w:val="20"/>
        </w:rPr>
      </w:pPr>
      <w:r>
        <w:rPr/>
        <w:br w:type="column"/>
      </w:r>
      <w:r>
        <w:rPr>
          <w:spacing w:val="-2"/>
          <w:sz w:val="20"/>
        </w:rPr>
        <w:t>хирургическое лечение</w:t>
      </w:r>
    </w:p>
    <w:p>
      <w:pPr>
        <w:spacing w:line="249" w:lineRule="auto" w:before="243"/>
        <w:ind w:left="401" w:right="2074" w:firstLine="0"/>
        <w:jc w:val="left"/>
        <w:rPr>
          <w:sz w:val="20"/>
        </w:rPr>
      </w:pPr>
      <w:r>
        <w:rPr/>
        <w:br w:type="column"/>
      </w:r>
      <w:r>
        <w:rPr>
          <w:sz w:val="20"/>
        </w:rPr>
        <w:t>удаление новообразования с применением</w:t>
      </w:r>
      <w:r>
        <w:rPr>
          <w:spacing w:val="-13"/>
          <w:sz w:val="20"/>
        </w:rPr>
        <w:t> </w:t>
      </w:r>
      <w:r>
        <w:rPr>
          <w:sz w:val="20"/>
        </w:rPr>
        <w:t>эндоскопической,</w:t>
      </w:r>
    </w:p>
    <w:p>
      <w:pPr>
        <w:spacing w:after="0" w:line="249" w:lineRule="auto"/>
        <w:jc w:val="left"/>
        <w:rPr>
          <w:sz w:val="20"/>
        </w:rPr>
        <w:sectPr>
          <w:type w:val="continuous"/>
          <w:pgSz w:w="16850" w:h="11910" w:orient="landscape"/>
          <w:pgMar w:header="753" w:footer="0" w:top="1080" w:bottom="280" w:left="400" w:right="400"/>
          <w:cols w:num="4" w:equalWidth="0">
            <w:col w:w="3051" w:space="574"/>
            <w:col w:w="5028" w:space="40"/>
            <w:col w:w="1586" w:space="39"/>
            <w:col w:w="5732"/>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line="249" w:lineRule="auto" w:before="248"/>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3"/>
        <w:gridCol w:w="1905"/>
        <w:gridCol w:w="3200"/>
        <w:gridCol w:w="1538"/>
        <w:gridCol w:w="3607"/>
      </w:tblGrid>
      <w:tr>
        <w:trPr>
          <w:trHeight w:val="1070" w:hRule="atLeast"/>
        </w:trPr>
        <w:tc>
          <w:tcPr>
            <w:tcW w:w="2923" w:type="dxa"/>
          </w:tcPr>
          <w:p>
            <w:pPr>
              <w:pStyle w:val="TableParagraph"/>
              <w:spacing w:line="249" w:lineRule="auto"/>
              <w:ind w:left="50" w:right="119"/>
              <w:rPr>
                <w:sz w:val="20"/>
              </w:rPr>
            </w:pPr>
            <w:r>
              <w:rPr>
                <w:sz w:val="20"/>
              </w:rPr>
              <w:t>новообразований</w:t>
            </w:r>
            <w:r>
              <w:rPr>
                <w:spacing w:val="-13"/>
                <w:sz w:val="20"/>
              </w:rPr>
              <w:t> </w:t>
            </w:r>
            <w:r>
              <w:rPr>
                <w:sz w:val="20"/>
              </w:rPr>
              <w:t>околоносовых пазух, основания черепа и среднего уха</w:t>
            </w:r>
          </w:p>
        </w:tc>
        <w:tc>
          <w:tcPr>
            <w:tcW w:w="1905" w:type="dxa"/>
          </w:tcPr>
          <w:p>
            <w:pPr>
              <w:pStyle w:val="TableParagraph"/>
              <w:rPr>
                <w:sz w:val="18"/>
              </w:rPr>
            </w:pPr>
          </w:p>
        </w:tc>
        <w:tc>
          <w:tcPr>
            <w:tcW w:w="3200" w:type="dxa"/>
          </w:tcPr>
          <w:p>
            <w:pPr>
              <w:pStyle w:val="TableParagraph"/>
              <w:spacing w:line="249" w:lineRule="auto"/>
              <w:ind w:left="107" w:right="14"/>
              <w:rPr>
                <w:sz w:val="20"/>
              </w:rPr>
            </w:pPr>
            <w:r>
              <w:rPr>
                <w:sz w:val="20"/>
              </w:rPr>
              <w:t>придаточных</w:t>
            </w:r>
            <w:r>
              <w:rPr>
                <w:spacing w:val="-13"/>
                <w:sz w:val="20"/>
              </w:rPr>
              <w:t> </w:t>
            </w:r>
            <w:r>
              <w:rPr>
                <w:sz w:val="20"/>
              </w:rPr>
              <w:t>пазух</w:t>
            </w:r>
            <w:r>
              <w:rPr>
                <w:spacing w:val="-12"/>
                <w:sz w:val="20"/>
              </w:rPr>
              <w:t> </w:t>
            </w:r>
            <w:r>
              <w:rPr>
                <w:sz w:val="20"/>
              </w:rPr>
              <w:t>носа,</w:t>
            </w:r>
            <w:r>
              <w:rPr>
                <w:spacing w:val="-13"/>
                <w:sz w:val="20"/>
              </w:rPr>
              <w:t> </w:t>
            </w:r>
            <w:r>
              <w:rPr>
                <w:sz w:val="20"/>
              </w:rPr>
              <w:t>пазух клиновидной кости</w:t>
            </w:r>
          </w:p>
        </w:tc>
        <w:tc>
          <w:tcPr>
            <w:tcW w:w="1538" w:type="dxa"/>
          </w:tcPr>
          <w:p>
            <w:pPr>
              <w:pStyle w:val="TableParagraph"/>
              <w:rPr>
                <w:sz w:val="18"/>
              </w:rPr>
            </w:pPr>
          </w:p>
        </w:tc>
        <w:tc>
          <w:tcPr>
            <w:tcW w:w="3607" w:type="dxa"/>
          </w:tcPr>
          <w:p>
            <w:pPr>
              <w:pStyle w:val="TableParagraph"/>
              <w:spacing w:line="249" w:lineRule="auto"/>
              <w:ind w:left="222" w:right="748"/>
              <w:rPr>
                <w:sz w:val="20"/>
              </w:rPr>
            </w:pPr>
            <w:r>
              <w:rPr>
                <w:sz w:val="20"/>
              </w:rPr>
              <w:t>навигационной техники и эндоваскулярной</w:t>
            </w:r>
            <w:r>
              <w:rPr>
                <w:spacing w:val="-13"/>
                <w:sz w:val="20"/>
              </w:rPr>
              <w:t> </w:t>
            </w:r>
            <w:r>
              <w:rPr>
                <w:sz w:val="20"/>
              </w:rPr>
              <w:t>эмболизации сосудов</w:t>
            </w:r>
            <w:r>
              <w:rPr>
                <w:spacing w:val="-9"/>
                <w:sz w:val="20"/>
              </w:rPr>
              <w:t> </w:t>
            </w:r>
            <w:r>
              <w:rPr>
                <w:sz w:val="20"/>
              </w:rPr>
              <w:t>микроэмболами</w:t>
            </w:r>
            <w:r>
              <w:rPr>
                <w:spacing w:val="-7"/>
                <w:sz w:val="20"/>
              </w:rPr>
              <w:t> </w:t>
            </w:r>
            <w:r>
              <w:rPr>
                <w:sz w:val="20"/>
              </w:rPr>
              <w:t>и</w:t>
            </w:r>
            <w:r>
              <w:rPr>
                <w:spacing w:val="-9"/>
                <w:sz w:val="20"/>
              </w:rPr>
              <w:t> </w:t>
            </w:r>
            <w:r>
              <w:rPr>
                <w:sz w:val="20"/>
              </w:rPr>
              <w:t>при помощи адгезивного агента</w:t>
            </w:r>
          </w:p>
        </w:tc>
      </w:tr>
      <w:tr>
        <w:trPr>
          <w:trHeight w:val="1200" w:hRule="atLeast"/>
        </w:trPr>
        <w:tc>
          <w:tcPr>
            <w:tcW w:w="2923" w:type="dxa"/>
          </w:tcPr>
          <w:p>
            <w:pPr>
              <w:pStyle w:val="TableParagraph"/>
              <w:spacing w:line="249" w:lineRule="auto" w:before="120"/>
              <w:ind w:left="50" w:right="119"/>
              <w:rPr>
                <w:sz w:val="20"/>
              </w:rPr>
            </w:pPr>
            <w:r>
              <w:rPr>
                <w:spacing w:val="-2"/>
                <w:sz w:val="20"/>
              </w:rPr>
              <w:t>Реконструктивно-пластическое </w:t>
            </w:r>
            <w:r>
              <w:rPr>
                <w:sz w:val="20"/>
              </w:rPr>
              <w:t>восстановление функции гортани и трахеи</w:t>
            </w:r>
          </w:p>
        </w:tc>
        <w:tc>
          <w:tcPr>
            <w:tcW w:w="1905" w:type="dxa"/>
          </w:tcPr>
          <w:p>
            <w:pPr>
              <w:pStyle w:val="TableParagraph"/>
              <w:spacing w:before="120"/>
              <w:ind w:left="129"/>
              <w:rPr>
                <w:sz w:val="20"/>
              </w:rPr>
            </w:pPr>
            <w:hyperlink r:id="rId191">
              <w:r>
                <w:rPr>
                  <w:sz w:val="20"/>
                </w:rPr>
                <w:t>J38.6,</w:t>
              </w:r>
              <w:r>
                <w:rPr>
                  <w:spacing w:val="-3"/>
                  <w:sz w:val="20"/>
                </w:rPr>
                <w:t> </w:t>
              </w:r>
            </w:hyperlink>
            <w:hyperlink r:id="rId192">
              <w:r>
                <w:rPr>
                  <w:sz w:val="20"/>
                </w:rPr>
                <w:t>D14.1,</w:t>
              </w:r>
              <w:r>
                <w:rPr>
                  <w:spacing w:val="-2"/>
                  <w:sz w:val="20"/>
                </w:rPr>
                <w:t> </w:t>
              </w:r>
            </w:hyperlink>
            <w:hyperlink r:id="rId193">
              <w:r>
                <w:rPr>
                  <w:spacing w:val="-2"/>
                  <w:sz w:val="20"/>
                </w:rPr>
                <w:t>D14.2,</w:t>
              </w:r>
            </w:hyperlink>
          </w:p>
          <w:p>
            <w:pPr>
              <w:pStyle w:val="TableParagraph"/>
              <w:spacing w:line="249" w:lineRule="auto" w:before="11"/>
              <w:ind w:left="723" w:hanging="555"/>
              <w:rPr>
                <w:sz w:val="20"/>
              </w:rPr>
            </w:pPr>
            <w:hyperlink r:id="rId194">
              <w:r>
                <w:rPr>
                  <w:sz w:val="20"/>
                </w:rPr>
                <w:t>J38.0,</w:t>
              </w:r>
              <w:r>
                <w:rPr>
                  <w:spacing w:val="-13"/>
                  <w:sz w:val="20"/>
                </w:rPr>
                <w:t> </w:t>
              </w:r>
            </w:hyperlink>
            <w:hyperlink r:id="rId195">
              <w:r>
                <w:rPr>
                  <w:sz w:val="20"/>
                </w:rPr>
                <w:t>J38.3,</w:t>
              </w:r>
              <w:r>
                <w:rPr>
                  <w:spacing w:val="-12"/>
                  <w:sz w:val="20"/>
                </w:rPr>
                <w:t> </w:t>
              </w:r>
            </w:hyperlink>
            <w:hyperlink r:id="rId196">
              <w:r>
                <w:rPr>
                  <w:sz w:val="20"/>
                </w:rPr>
                <w:t>R49.0,</w:t>
              </w:r>
            </w:hyperlink>
            <w:r>
              <w:rPr>
                <w:sz w:val="20"/>
              </w:rPr>
              <w:t> </w:t>
            </w:r>
            <w:hyperlink r:id="rId197">
              <w:r>
                <w:rPr>
                  <w:spacing w:val="-2"/>
                  <w:sz w:val="20"/>
                </w:rPr>
                <w:t>R49.1</w:t>
              </w:r>
            </w:hyperlink>
          </w:p>
        </w:tc>
        <w:tc>
          <w:tcPr>
            <w:tcW w:w="3200" w:type="dxa"/>
            <w:vMerge w:val="restart"/>
          </w:tcPr>
          <w:p>
            <w:pPr>
              <w:pStyle w:val="TableParagraph"/>
              <w:spacing w:line="249" w:lineRule="auto" w:before="120"/>
              <w:ind w:left="107" w:right="148"/>
              <w:rPr>
                <w:sz w:val="20"/>
              </w:rPr>
            </w:pPr>
            <w:r>
              <w:rPr>
                <w:sz w:val="20"/>
              </w:rPr>
              <w:t>стеноз гортани. </w:t>
            </w:r>
            <w:r>
              <w:rPr>
                <w:spacing w:val="-2"/>
                <w:sz w:val="20"/>
              </w:rPr>
              <w:t>Доброкачественное </w:t>
            </w:r>
            <w:r>
              <w:rPr>
                <w:sz w:val="20"/>
              </w:rPr>
              <w:t>новообразование гортани. </w:t>
            </w:r>
            <w:r>
              <w:rPr>
                <w:spacing w:val="-2"/>
                <w:sz w:val="20"/>
              </w:rPr>
              <w:t>Доброкачественное </w:t>
            </w:r>
            <w:r>
              <w:rPr>
                <w:sz w:val="20"/>
              </w:rPr>
              <w:t>новообразование</w:t>
            </w:r>
            <w:r>
              <w:rPr>
                <w:spacing w:val="-13"/>
                <w:sz w:val="20"/>
              </w:rPr>
              <w:t> </w:t>
            </w:r>
            <w:r>
              <w:rPr>
                <w:sz w:val="20"/>
              </w:rPr>
              <w:t>трахеи.</w:t>
            </w:r>
            <w:r>
              <w:rPr>
                <w:spacing w:val="-12"/>
                <w:sz w:val="20"/>
              </w:rPr>
              <w:t> </w:t>
            </w:r>
            <w:r>
              <w:rPr>
                <w:sz w:val="20"/>
              </w:rPr>
              <w:t>Паралич голосовых складок и гортани.</w:t>
            </w:r>
          </w:p>
          <w:p>
            <w:pPr>
              <w:pStyle w:val="TableParagraph"/>
              <w:spacing w:line="249" w:lineRule="auto" w:before="5"/>
              <w:ind w:left="107" w:right="148"/>
              <w:rPr>
                <w:sz w:val="20"/>
              </w:rPr>
            </w:pPr>
            <w:r>
              <w:rPr>
                <w:sz w:val="20"/>
              </w:rPr>
              <w:t>Другие болезни голосовых складок.</w:t>
            </w:r>
            <w:r>
              <w:rPr>
                <w:spacing w:val="-13"/>
                <w:sz w:val="20"/>
              </w:rPr>
              <w:t> </w:t>
            </w:r>
            <w:r>
              <w:rPr>
                <w:sz w:val="20"/>
              </w:rPr>
              <w:t>Дисфония.</w:t>
            </w:r>
            <w:r>
              <w:rPr>
                <w:spacing w:val="-12"/>
                <w:sz w:val="20"/>
              </w:rPr>
              <w:t> </w:t>
            </w:r>
            <w:r>
              <w:rPr>
                <w:sz w:val="20"/>
              </w:rPr>
              <w:t>Афония</w:t>
            </w:r>
          </w:p>
        </w:tc>
        <w:tc>
          <w:tcPr>
            <w:tcW w:w="1538" w:type="dxa"/>
          </w:tcPr>
          <w:p>
            <w:pPr>
              <w:pStyle w:val="TableParagraph"/>
              <w:spacing w:line="249" w:lineRule="auto" w:before="120"/>
              <w:ind w:left="63"/>
              <w:rPr>
                <w:sz w:val="20"/>
              </w:rPr>
            </w:pPr>
            <w:r>
              <w:rPr>
                <w:spacing w:val="-2"/>
                <w:sz w:val="20"/>
              </w:rPr>
              <w:t>хирургическое лечение</w:t>
            </w:r>
          </w:p>
        </w:tc>
        <w:tc>
          <w:tcPr>
            <w:tcW w:w="3607" w:type="dxa"/>
          </w:tcPr>
          <w:p>
            <w:pPr>
              <w:pStyle w:val="TableParagraph"/>
              <w:spacing w:line="249" w:lineRule="auto" w:before="120"/>
              <w:ind w:left="222" w:right="148"/>
              <w:rPr>
                <w:sz w:val="20"/>
              </w:rPr>
            </w:pPr>
            <w:r>
              <w:rPr>
                <w:sz w:val="20"/>
              </w:rPr>
              <w:t>удаление</w:t>
            </w:r>
            <w:r>
              <w:rPr>
                <w:spacing w:val="-13"/>
                <w:sz w:val="20"/>
              </w:rPr>
              <w:t> </w:t>
            </w:r>
            <w:r>
              <w:rPr>
                <w:sz w:val="20"/>
              </w:rPr>
              <w:t>новообразования</w:t>
            </w:r>
            <w:r>
              <w:rPr>
                <w:spacing w:val="-12"/>
                <w:sz w:val="20"/>
              </w:rPr>
              <w:t> </w:t>
            </w:r>
            <w:r>
              <w:rPr>
                <w:sz w:val="20"/>
              </w:rPr>
              <w:t>или</w:t>
            </w:r>
            <w:r>
              <w:rPr>
                <w:spacing w:val="-13"/>
                <w:sz w:val="20"/>
              </w:rPr>
              <w:t> </w:t>
            </w:r>
            <w:r>
              <w:rPr>
                <w:sz w:val="20"/>
              </w:rPr>
              <w:t>рубца гортани и трахеи с использованием микрохирургической и лучевой </w:t>
            </w:r>
            <w:r>
              <w:rPr>
                <w:spacing w:val="-2"/>
                <w:sz w:val="20"/>
              </w:rPr>
              <w:t>техники</w:t>
            </w:r>
          </w:p>
        </w:tc>
      </w:tr>
      <w:tr>
        <w:trPr>
          <w:trHeight w:val="1680" w:hRule="atLeast"/>
        </w:trPr>
        <w:tc>
          <w:tcPr>
            <w:tcW w:w="2923" w:type="dxa"/>
          </w:tcPr>
          <w:p>
            <w:pPr>
              <w:pStyle w:val="TableParagraph"/>
              <w:rPr>
                <w:sz w:val="18"/>
              </w:rPr>
            </w:pPr>
          </w:p>
        </w:tc>
        <w:tc>
          <w:tcPr>
            <w:tcW w:w="1905" w:type="dxa"/>
          </w:tcPr>
          <w:p>
            <w:pPr>
              <w:pStyle w:val="TableParagraph"/>
              <w:rPr>
                <w:sz w:val="18"/>
              </w:rPr>
            </w:pPr>
          </w:p>
        </w:tc>
        <w:tc>
          <w:tcPr>
            <w:tcW w:w="3200" w:type="dxa"/>
            <w:vMerge/>
            <w:tcBorders>
              <w:top w:val="nil"/>
            </w:tcBorders>
          </w:tcPr>
          <w:p>
            <w:pPr>
              <w:rPr>
                <w:sz w:val="2"/>
                <w:szCs w:val="2"/>
              </w:rPr>
            </w:pPr>
          </w:p>
        </w:tc>
        <w:tc>
          <w:tcPr>
            <w:tcW w:w="1538" w:type="dxa"/>
          </w:tcPr>
          <w:p>
            <w:pPr>
              <w:pStyle w:val="TableParagraph"/>
              <w:rPr>
                <w:sz w:val="18"/>
              </w:rPr>
            </w:pPr>
          </w:p>
        </w:tc>
        <w:tc>
          <w:tcPr>
            <w:tcW w:w="3607" w:type="dxa"/>
          </w:tcPr>
          <w:p>
            <w:pPr>
              <w:pStyle w:val="TableParagraph"/>
              <w:spacing w:line="249" w:lineRule="auto" w:before="120"/>
              <w:ind w:left="222" w:right="32"/>
              <w:rPr>
                <w:sz w:val="20"/>
              </w:rPr>
            </w:pPr>
            <w:r>
              <w:rPr>
                <w:sz w:val="20"/>
              </w:rPr>
              <w:t>эндоларингеальные реконструктивно- пластические вмешательства на голосовых складках с использованием имплантатов</w:t>
            </w:r>
            <w:r>
              <w:rPr>
                <w:spacing w:val="-13"/>
                <w:sz w:val="20"/>
              </w:rPr>
              <w:t> </w:t>
            </w:r>
            <w:r>
              <w:rPr>
                <w:sz w:val="20"/>
              </w:rPr>
              <w:t>и</w:t>
            </w:r>
            <w:r>
              <w:rPr>
                <w:spacing w:val="-12"/>
                <w:sz w:val="20"/>
              </w:rPr>
              <w:t> </w:t>
            </w:r>
            <w:r>
              <w:rPr>
                <w:sz w:val="20"/>
              </w:rPr>
              <w:t>аллогенных</w:t>
            </w:r>
            <w:r>
              <w:rPr>
                <w:spacing w:val="-13"/>
                <w:sz w:val="20"/>
              </w:rPr>
              <w:t> </w:t>
            </w:r>
            <w:r>
              <w:rPr>
                <w:sz w:val="20"/>
              </w:rPr>
              <w:t>материалов с применением микрохирургической </w:t>
            </w:r>
            <w:r>
              <w:rPr>
                <w:spacing w:val="-2"/>
                <w:sz w:val="20"/>
              </w:rPr>
              <w:t>техники</w:t>
            </w:r>
          </w:p>
        </w:tc>
      </w:tr>
      <w:tr>
        <w:trPr>
          <w:trHeight w:val="1200" w:hRule="atLeast"/>
        </w:trPr>
        <w:tc>
          <w:tcPr>
            <w:tcW w:w="2923" w:type="dxa"/>
          </w:tcPr>
          <w:p>
            <w:pPr>
              <w:pStyle w:val="TableParagraph"/>
              <w:rPr>
                <w:sz w:val="18"/>
              </w:rPr>
            </w:pPr>
          </w:p>
        </w:tc>
        <w:tc>
          <w:tcPr>
            <w:tcW w:w="1905" w:type="dxa"/>
          </w:tcPr>
          <w:p>
            <w:pPr>
              <w:pStyle w:val="TableParagraph"/>
              <w:spacing w:before="120"/>
              <w:ind w:left="133" w:right="107"/>
              <w:jc w:val="center"/>
              <w:rPr>
                <w:sz w:val="20"/>
              </w:rPr>
            </w:pPr>
            <w:hyperlink r:id="rId195">
              <w:r>
                <w:rPr>
                  <w:sz w:val="20"/>
                </w:rPr>
                <w:t>J38.3,</w:t>
              </w:r>
              <w:r>
                <w:rPr>
                  <w:spacing w:val="-3"/>
                  <w:sz w:val="20"/>
                </w:rPr>
                <w:t> </w:t>
              </w:r>
            </w:hyperlink>
            <w:hyperlink r:id="rId196">
              <w:r>
                <w:rPr>
                  <w:sz w:val="20"/>
                </w:rPr>
                <w:t>R49.0,</w:t>
              </w:r>
              <w:r>
                <w:rPr>
                  <w:spacing w:val="-3"/>
                  <w:sz w:val="20"/>
                </w:rPr>
                <w:t> </w:t>
              </w:r>
            </w:hyperlink>
            <w:hyperlink r:id="rId197">
              <w:r>
                <w:rPr>
                  <w:spacing w:val="-4"/>
                  <w:sz w:val="20"/>
                </w:rPr>
                <w:t>R49.1</w:t>
              </w:r>
            </w:hyperlink>
          </w:p>
        </w:tc>
        <w:tc>
          <w:tcPr>
            <w:tcW w:w="3200" w:type="dxa"/>
          </w:tcPr>
          <w:p>
            <w:pPr>
              <w:pStyle w:val="TableParagraph"/>
              <w:spacing w:line="249" w:lineRule="auto" w:before="120"/>
              <w:ind w:left="107" w:right="14"/>
              <w:rPr>
                <w:sz w:val="20"/>
              </w:rPr>
            </w:pPr>
            <w:r>
              <w:rPr>
                <w:sz w:val="20"/>
              </w:rPr>
              <w:t>другие</w:t>
            </w:r>
            <w:r>
              <w:rPr>
                <w:spacing w:val="-13"/>
                <w:sz w:val="20"/>
              </w:rPr>
              <w:t> </w:t>
            </w:r>
            <w:r>
              <w:rPr>
                <w:sz w:val="20"/>
              </w:rPr>
              <w:t>болезни</w:t>
            </w:r>
            <w:r>
              <w:rPr>
                <w:spacing w:val="-12"/>
                <w:sz w:val="20"/>
              </w:rPr>
              <w:t> </w:t>
            </w:r>
            <w:r>
              <w:rPr>
                <w:sz w:val="20"/>
              </w:rPr>
              <w:t>голосовых</w:t>
            </w:r>
            <w:r>
              <w:rPr>
                <w:spacing w:val="-13"/>
                <w:sz w:val="20"/>
              </w:rPr>
              <w:t> </w:t>
            </w:r>
            <w:r>
              <w:rPr>
                <w:sz w:val="20"/>
              </w:rPr>
              <w:t>складок. Дисфония. Афония</w:t>
            </w:r>
          </w:p>
        </w:tc>
        <w:tc>
          <w:tcPr>
            <w:tcW w:w="1538" w:type="dxa"/>
          </w:tcPr>
          <w:p>
            <w:pPr>
              <w:pStyle w:val="TableParagraph"/>
              <w:spacing w:line="249" w:lineRule="auto" w:before="120"/>
              <w:ind w:left="63"/>
              <w:rPr>
                <w:sz w:val="20"/>
              </w:rPr>
            </w:pPr>
            <w:r>
              <w:rPr>
                <w:spacing w:val="-2"/>
                <w:sz w:val="20"/>
              </w:rPr>
              <w:t>хирургическое лечение</w:t>
            </w:r>
          </w:p>
        </w:tc>
        <w:tc>
          <w:tcPr>
            <w:tcW w:w="3607" w:type="dxa"/>
          </w:tcPr>
          <w:p>
            <w:pPr>
              <w:pStyle w:val="TableParagraph"/>
              <w:spacing w:line="249" w:lineRule="auto" w:before="120"/>
              <w:ind w:left="222" w:right="81"/>
              <w:rPr>
                <w:sz w:val="20"/>
              </w:rPr>
            </w:pPr>
            <w:r>
              <w:rPr>
                <w:sz w:val="20"/>
              </w:rPr>
              <w:t>ларинготрахеопластика при доброкачественных</w:t>
            </w:r>
            <w:r>
              <w:rPr>
                <w:spacing w:val="-13"/>
                <w:sz w:val="20"/>
              </w:rPr>
              <w:t> </w:t>
            </w:r>
            <w:r>
              <w:rPr>
                <w:sz w:val="20"/>
              </w:rPr>
              <w:t>новообразованиях гортани, параличе голосовых складок и гортани, стенозе гортани</w:t>
            </w:r>
          </w:p>
        </w:tc>
      </w:tr>
      <w:tr>
        <w:trPr>
          <w:trHeight w:val="1680" w:hRule="atLeast"/>
        </w:trPr>
        <w:tc>
          <w:tcPr>
            <w:tcW w:w="2923" w:type="dxa"/>
          </w:tcPr>
          <w:p>
            <w:pPr>
              <w:pStyle w:val="TableParagraph"/>
              <w:rPr>
                <w:sz w:val="18"/>
              </w:rPr>
            </w:pPr>
          </w:p>
        </w:tc>
        <w:tc>
          <w:tcPr>
            <w:tcW w:w="1905" w:type="dxa"/>
          </w:tcPr>
          <w:p>
            <w:pPr>
              <w:pStyle w:val="TableParagraph"/>
              <w:rPr>
                <w:sz w:val="18"/>
              </w:rPr>
            </w:pPr>
          </w:p>
        </w:tc>
        <w:tc>
          <w:tcPr>
            <w:tcW w:w="3200" w:type="dxa"/>
          </w:tcPr>
          <w:p>
            <w:pPr>
              <w:pStyle w:val="TableParagraph"/>
              <w:rPr>
                <w:sz w:val="18"/>
              </w:rPr>
            </w:pPr>
          </w:p>
        </w:tc>
        <w:tc>
          <w:tcPr>
            <w:tcW w:w="1538" w:type="dxa"/>
          </w:tcPr>
          <w:p>
            <w:pPr>
              <w:pStyle w:val="TableParagraph"/>
              <w:rPr>
                <w:sz w:val="18"/>
              </w:rPr>
            </w:pPr>
          </w:p>
        </w:tc>
        <w:tc>
          <w:tcPr>
            <w:tcW w:w="3607" w:type="dxa"/>
          </w:tcPr>
          <w:p>
            <w:pPr>
              <w:pStyle w:val="TableParagraph"/>
              <w:spacing w:line="249" w:lineRule="auto" w:before="120"/>
              <w:ind w:left="222" w:right="364"/>
              <w:rPr>
                <w:sz w:val="20"/>
              </w:rPr>
            </w:pPr>
            <w:r>
              <w:rPr>
                <w:sz w:val="20"/>
              </w:rPr>
              <w:t>операции по реиннервации и заместительной функциональной пластике гортани и трахеи с применением</w:t>
            </w:r>
            <w:r>
              <w:rPr>
                <w:spacing w:val="-13"/>
                <w:sz w:val="20"/>
              </w:rPr>
              <w:t> </w:t>
            </w:r>
            <w:r>
              <w:rPr>
                <w:sz w:val="20"/>
              </w:rPr>
              <w:t>микрохирургической техники</w:t>
            </w:r>
            <w:r>
              <w:rPr>
                <w:spacing w:val="-13"/>
                <w:sz w:val="20"/>
              </w:rPr>
              <w:t> </w:t>
            </w:r>
            <w:r>
              <w:rPr>
                <w:sz w:val="20"/>
              </w:rPr>
              <w:t>и</w:t>
            </w:r>
            <w:r>
              <w:rPr>
                <w:spacing w:val="-12"/>
                <w:sz w:val="20"/>
              </w:rPr>
              <w:t> </w:t>
            </w:r>
            <w:r>
              <w:rPr>
                <w:sz w:val="20"/>
              </w:rPr>
              <w:t>электромиографическим </w:t>
            </w:r>
            <w:r>
              <w:rPr>
                <w:spacing w:val="-2"/>
                <w:sz w:val="20"/>
              </w:rPr>
              <w:t>мониторингом</w:t>
            </w:r>
          </w:p>
        </w:tc>
      </w:tr>
      <w:tr>
        <w:trPr>
          <w:trHeight w:val="1310" w:hRule="atLeast"/>
        </w:trPr>
        <w:tc>
          <w:tcPr>
            <w:tcW w:w="2923" w:type="dxa"/>
          </w:tcPr>
          <w:p>
            <w:pPr>
              <w:pStyle w:val="TableParagraph"/>
              <w:spacing w:line="249" w:lineRule="auto" w:before="120"/>
              <w:ind w:left="50" w:right="225"/>
              <w:rPr>
                <w:sz w:val="20"/>
              </w:rPr>
            </w:pPr>
            <w:r>
              <w:rPr>
                <w:sz w:val="20"/>
              </w:rPr>
              <w:t>Хирургические</w:t>
            </w:r>
            <w:r>
              <w:rPr>
                <w:spacing w:val="-13"/>
                <w:sz w:val="20"/>
              </w:rPr>
              <w:t> </w:t>
            </w:r>
            <w:r>
              <w:rPr>
                <w:sz w:val="20"/>
              </w:rPr>
              <w:t>вмешательства на околоносовых пазухах, требующие реконструкции лицевого скелета</w:t>
            </w:r>
          </w:p>
        </w:tc>
        <w:tc>
          <w:tcPr>
            <w:tcW w:w="1905" w:type="dxa"/>
          </w:tcPr>
          <w:p>
            <w:pPr>
              <w:pStyle w:val="TableParagraph"/>
              <w:spacing w:before="120"/>
              <w:ind w:left="133" w:right="109"/>
              <w:jc w:val="center"/>
              <w:rPr>
                <w:sz w:val="20"/>
              </w:rPr>
            </w:pPr>
            <w:hyperlink r:id="rId198">
              <w:r>
                <w:rPr>
                  <w:sz w:val="20"/>
                </w:rPr>
                <w:t>T90.2,</w:t>
              </w:r>
              <w:r>
                <w:rPr>
                  <w:spacing w:val="-6"/>
                  <w:sz w:val="20"/>
                </w:rPr>
                <w:t> </w:t>
              </w:r>
            </w:hyperlink>
            <w:hyperlink r:id="rId199">
              <w:r>
                <w:rPr>
                  <w:sz w:val="20"/>
                </w:rPr>
                <w:t>T90.4, </w:t>
              </w:r>
            </w:hyperlink>
            <w:hyperlink r:id="rId200">
              <w:r>
                <w:rPr>
                  <w:spacing w:val="-2"/>
                  <w:sz w:val="20"/>
                </w:rPr>
                <w:t>D14.0</w:t>
              </w:r>
            </w:hyperlink>
          </w:p>
        </w:tc>
        <w:tc>
          <w:tcPr>
            <w:tcW w:w="3200" w:type="dxa"/>
          </w:tcPr>
          <w:p>
            <w:pPr>
              <w:pStyle w:val="TableParagraph"/>
              <w:spacing w:line="240" w:lineRule="atLeast" w:before="90"/>
              <w:ind w:left="107" w:right="14"/>
              <w:rPr>
                <w:sz w:val="20"/>
              </w:rPr>
            </w:pPr>
            <w:r>
              <w:rPr>
                <w:sz w:val="20"/>
              </w:rPr>
              <w:t>последствия перелома черепа и костей</w:t>
            </w:r>
            <w:r>
              <w:rPr>
                <w:spacing w:val="-13"/>
                <w:sz w:val="20"/>
              </w:rPr>
              <w:t> </w:t>
            </w:r>
            <w:r>
              <w:rPr>
                <w:sz w:val="20"/>
              </w:rPr>
              <w:t>лица.</w:t>
            </w:r>
            <w:r>
              <w:rPr>
                <w:spacing w:val="-12"/>
                <w:sz w:val="20"/>
              </w:rPr>
              <w:t> </w:t>
            </w:r>
            <w:r>
              <w:rPr>
                <w:sz w:val="20"/>
              </w:rPr>
              <w:t>Последствия</w:t>
            </w:r>
            <w:r>
              <w:rPr>
                <w:spacing w:val="-13"/>
                <w:sz w:val="20"/>
              </w:rPr>
              <w:t> </w:t>
            </w:r>
            <w:r>
              <w:rPr>
                <w:sz w:val="20"/>
              </w:rPr>
              <w:t>травмы глаза окологлазничной области. </w:t>
            </w:r>
            <w:r>
              <w:rPr>
                <w:spacing w:val="-2"/>
                <w:sz w:val="20"/>
              </w:rPr>
              <w:t>Доброкачественное </w:t>
            </w:r>
            <w:r>
              <w:rPr>
                <w:sz w:val="20"/>
              </w:rPr>
              <w:t>новообразование среднего уха,</w:t>
            </w:r>
          </w:p>
        </w:tc>
        <w:tc>
          <w:tcPr>
            <w:tcW w:w="1538" w:type="dxa"/>
          </w:tcPr>
          <w:p>
            <w:pPr>
              <w:pStyle w:val="TableParagraph"/>
              <w:spacing w:line="249" w:lineRule="auto" w:before="120"/>
              <w:ind w:left="63"/>
              <w:rPr>
                <w:sz w:val="20"/>
              </w:rPr>
            </w:pPr>
            <w:r>
              <w:rPr>
                <w:spacing w:val="-2"/>
                <w:sz w:val="20"/>
              </w:rPr>
              <w:t>хирургическое лечение</w:t>
            </w:r>
          </w:p>
        </w:tc>
        <w:tc>
          <w:tcPr>
            <w:tcW w:w="3607" w:type="dxa"/>
          </w:tcPr>
          <w:p>
            <w:pPr>
              <w:pStyle w:val="TableParagraph"/>
              <w:spacing w:line="240" w:lineRule="atLeast" w:before="90"/>
              <w:ind w:left="222" w:right="64"/>
              <w:rPr>
                <w:sz w:val="20"/>
              </w:rPr>
            </w:pPr>
            <w:r>
              <w:rPr>
                <w:sz w:val="20"/>
              </w:rPr>
              <w:t>костная пластика стенок околоносовых</w:t>
            </w:r>
            <w:r>
              <w:rPr>
                <w:spacing w:val="-13"/>
                <w:sz w:val="20"/>
              </w:rPr>
              <w:t> </w:t>
            </w:r>
            <w:r>
              <w:rPr>
                <w:sz w:val="20"/>
              </w:rPr>
              <w:t>пазух</w:t>
            </w:r>
            <w:r>
              <w:rPr>
                <w:spacing w:val="-12"/>
                <w:sz w:val="20"/>
              </w:rPr>
              <w:t> </w:t>
            </w:r>
            <w:r>
              <w:rPr>
                <w:sz w:val="20"/>
              </w:rPr>
              <w:t>с</w:t>
            </w:r>
            <w:r>
              <w:rPr>
                <w:spacing w:val="-13"/>
                <w:sz w:val="20"/>
              </w:rPr>
              <w:t> </w:t>
            </w:r>
            <w:r>
              <w:rPr>
                <w:sz w:val="20"/>
              </w:rPr>
              <w:t>использованием аутокостных трансплантатов, аллогенных трансплантатов, имплантатов, в том числе</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5865" w:right="0" w:firstLine="0"/>
        <w:jc w:val="left"/>
        <w:rPr>
          <w:sz w:val="20"/>
        </w:rPr>
      </w:pPr>
      <w:r>
        <w:rPr>
          <w:sz w:val="20"/>
        </w:rPr>
        <w:t>полости</w:t>
      </w:r>
      <w:r>
        <w:rPr>
          <w:spacing w:val="-12"/>
          <w:sz w:val="20"/>
        </w:rPr>
        <w:t> </w:t>
      </w:r>
      <w:r>
        <w:rPr>
          <w:sz w:val="20"/>
        </w:rPr>
        <w:t>носа</w:t>
      </w:r>
      <w:r>
        <w:rPr>
          <w:spacing w:val="-11"/>
          <w:sz w:val="20"/>
        </w:rPr>
        <w:t> </w:t>
      </w:r>
      <w:r>
        <w:rPr>
          <w:sz w:val="20"/>
        </w:rPr>
        <w:t>и</w:t>
      </w:r>
      <w:r>
        <w:rPr>
          <w:spacing w:val="-12"/>
          <w:sz w:val="20"/>
        </w:rPr>
        <w:t> </w:t>
      </w:r>
      <w:r>
        <w:rPr>
          <w:sz w:val="20"/>
        </w:rPr>
        <w:t>придаточных</w:t>
      </w:r>
      <w:r>
        <w:rPr>
          <w:spacing w:val="-12"/>
          <w:sz w:val="20"/>
        </w:rPr>
        <w:t> </w:t>
      </w:r>
      <w:r>
        <w:rPr>
          <w:sz w:val="20"/>
        </w:rPr>
        <w:t>пазух </w:t>
      </w:r>
      <w:r>
        <w:rPr>
          <w:spacing w:val="-4"/>
          <w:sz w:val="20"/>
        </w:rPr>
        <w:t>носа</w:t>
      </w:r>
    </w:p>
    <w:p>
      <w:pPr>
        <w:spacing w:line="249" w:lineRule="auto" w:before="91"/>
        <w:ind w:left="1827" w:right="1278" w:firstLine="0"/>
        <w:jc w:val="left"/>
        <w:rPr>
          <w:sz w:val="20"/>
        </w:rPr>
      </w:pPr>
      <w:r>
        <w:rPr/>
        <w:br w:type="column"/>
      </w:r>
      <w:r>
        <w:rPr>
          <w:sz w:val="20"/>
        </w:rPr>
        <w:t>металлических, эндопротезов, биодеградирующих</w:t>
      </w:r>
      <w:r>
        <w:rPr>
          <w:spacing w:val="-13"/>
          <w:sz w:val="20"/>
        </w:rPr>
        <w:t> </w:t>
      </w:r>
      <w:r>
        <w:rPr>
          <w:sz w:val="20"/>
        </w:rPr>
        <w:t>и</w:t>
      </w:r>
      <w:r>
        <w:rPr>
          <w:spacing w:val="-12"/>
          <w:sz w:val="20"/>
        </w:rPr>
        <w:t> </w:t>
      </w:r>
      <w:r>
        <w:rPr>
          <w:sz w:val="20"/>
        </w:rPr>
        <w:t>фиксирующих </w:t>
      </w:r>
      <w:r>
        <w:rPr>
          <w:spacing w:val="-2"/>
          <w:sz w:val="20"/>
        </w:rPr>
        <w:t>материалов</w:t>
      </w:r>
    </w:p>
    <w:p>
      <w:pPr>
        <w:spacing w:after="0" w:line="249" w:lineRule="auto"/>
        <w:jc w:val="left"/>
        <w:rPr>
          <w:sz w:val="20"/>
        </w:rPr>
        <w:sectPr>
          <w:type w:val="continuous"/>
          <w:pgSz w:w="16850" w:h="11910" w:orient="landscape"/>
          <w:pgMar w:header="753" w:footer="0" w:top="1080" w:bottom="280" w:left="400" w:right="400"/>
          <w:cols w:num="2" w:equalWidth="0">
            <w:col w:w="8852" w:space="40"/>
            <w:col w:w="7158"/>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4"/>
        </w:numPr>
        <w:tabs>
          <w:tab w:pos="979" w:val="left" w:leader="none"/>
          <w:tab w:pos="980" w:val="left" w:leader="none"/>
        </w:tabs>
        <w:spacing w:line="249" w:lineRule="auto" w:before="91" w:after="0"/>
        <w:ind w:left="980" w:right="0" w:hanging="591"/>
        <w:jc w:val="left"/>
        <w:rPr>
          <w:sz w:val="20"/>
        </w:rPr>
      </w:pPr>
      <w:r>
        <w:rPr>
          <w:sz w:val="20"/>
        </w:rPr>
        <w:t>Хирургическое лечение </w:t>
      </w:r>
      <w:r>
        <w:rPr>
          <w:spacing w:val="-2"/>
          <w:sz w:val="20"/>
        </w:rPr>
        <w:t>доброкачественных </w:t>
      </w:r>
      <w:r>
        <w:rPr>
          <w:sz w:val="20"/>
        </w:rPr>
        <w:t>новообразований</w:t>
      </w:r>
      <w:r>
        <w:rPr>
          <w:spacing w:val="-13"/>
          <w:sz w:val="20"/>
        </w:rPr>
        <w:t> </w:t>
      </w:r>
      <w:r>
        <w:rPr>
          <w:sz w:val="20"/>
        </w:rPr>
        <w:t>среднего</w:t>
      </w:r>
      <w:r>
        <w:rPr>
          <w:spacing w:val="-12"/>
          <w:sz w:val="20"/>
        </w:rPr>
        <w:t> </w:t>
      </w:r>
      <w:r>
        <w:rPr>
          <w:sz w:val="20"/>
        </w:rPr>
        <w:t>уха,</w:t>
      </w:r>
      <w:r>
        <w:rPr>
          <w:sz w:val="20"/>
        </w:rPr>
        <w:t> полости носа и придаточных пазух, гортани и глотки</w:t>
      </w:r>
    </w:p>
    <w:p>
      <w:pPr>
        <w:spacing w:line="252" w:lineRule="auto" w:before="91"/>
        <w:ind w:left="883" w:right="0" w:hanging="630"/>
        <w:jc w:val="left"/>
        <w:rPr>
          <w:sz w:val="20"/>
        </w:rPr>
      </w:pPr>
      <w:r>
        <w:rPr/>
        <w:br w:type="column"/>
      </w:r>
      <w:r>
        <w:rPr>
          <w:sz w:val="20"/>
        </w:rPr>
        <w:t>D14.0,</w:t>
      </w:r>
      <w:r>
        <w:rPr>
          <w:spacing w:val="-13"/>
          <w:sz w:val="20"/>
        </w:rPr>
        <w:t> </w:t>
      </w:r>
      <w:r>
        <w:rPr>
          <w:sz w:val="20"/>
        </w:rPr>
        <w:t>D14.1,</w:t>
      </w:r>
      <w:r>
        <w:rPr>
          <w:spacing w:val="-12"/>
          <w:sz w:val="20"/>
        </w:rPr>
        <w:t> </w:t>
      </w:r>
      <w:r>
        <w:rPr>
          <w:sz w:val="20"/>
        </w:rPr>
        <w:t>D10.0- </w:t>
      </w:r>
      <w:r>
        <w:rPr>
          <w:spacing w:val="-2"/>
          <w:sz w:val="20"/>
        </w:rPr>
        <w:t>D10.9</w:t>
      </w:r>
    </w:p>
    <w:p>
      <w:pPr>
        <w:spacing w:line="249" w:lineRule="auto" w:before="91"/>
        <w:ind w:left="131" w:right="0" w:firstLine="0"/>
        <w:jc w:val="left"/>
        <w:rPr>
          <w:sz w:val="20"/>
        </w:rPr>
      </w:pPr>
      <w:r>
        <w:rPr/>
        <w:br w:type="column"/>
      </w:r>
      <w:r>
        <w:rPr>
          <w:spacing w:val="-2"/>
          <w:sz w:val="20"/>
        </w:rPr>
        <w:t>доброкачественное </w:t>
      </w:r>
      <w:r>
        <w:rPr>
          <w:sz w:val="20"/>
        </w:rPr>
        <w:t>новообразование среднего уха, полости</w:t>
      </w:r>
      <w:r>
        <w:rPr>
          <w:spacing w:val="-12"/>
          <w:sz w:val="20"/>
        </w:rPr>
        <w:t> </w:t>
      </w:r>
      <w:r>
        <w:rPr>
          <w:sz w:val="20"/>
        </w:rPr>
        <w:t>носа</w:t>
      </w:r>
      <w:r>
        <w:rPr>
          <w:spacing w:val="-11"/>
          <w:sz w:val="20"/>
        </w:rPr>
        <w:t> </w:t>
      </w:r>
      <w:r>
        <w:rPr>
          <w:sz w:val="20"/>
        </w:rPr>
        <w:t>и</w:t>
      </w:r>
      <w:r>
        <w:rPr>
          <w:spacing w:val="-12"/>
          <w:sz w:val="20"/>
        </w:rPr>
        <w:t> </w:t>
      </w:r>
      <w:r>
        <w:rPr>
          <w:sz w:val="20"/>
        </w:rPr>
        <w:t>придаточных</w:t>
      </w:r>
      <w:r>
        <w:rPr>
          <w:spacing w:val="-12"/>
          <w:sz w:val="20"/>
        </w:rPr>
        <w:t> </w:t>
      </w:r>
      <w:r>
        <w:rPr>
          <w:sz w:val="20"/>
        </w:rPr>
        <w:t>пазух, гортани и глотки</w:t>
      </w:r>
    </w:p>
    <w:p>
      <w:pPr>
        <w:spacing w:line="252" w:lineRule="auto" w:before="91"/>
        <w:ind w:left="81" w:right="0" w:firstLine="0"/>
        <w:jc w:val="left"/>
        <w:rPr>
          <w:sz w:val="20"/>
        </w:rPr>
      </w:pPr>
      <w:r>
        <w:rPr/>
        <w:br w:type="column"/>
      </w:r>
      <w:r>
        <w:rPr>
          <w:spacing w:val="-2"/>
          <w:sz w:val="20"/>
        </w:rPr>
        <w:t>хирургическое лечение</w:t>
      </w:r>
    </w:p>
    <w:p>
      <w:pPr>
        <w:spacing w:line="249" w:lineRule="auto" w:before="91"/>
        <w:ind w:left="389" w:right="0" w:firstLine="0"/>
        <w:jc w:val="left"/>
        <w:rPr>
          <w:sz w:val="20"/>
        </w:rPr>
      </w:pPr>
      <w:r>
        <w:rPr/>
        <w:br w:type="column"/>
      </w:r>
      <w:r>
        <w:rPr>
          <w:sz w:val="20"/>
        </w:rPr>
        <w:t>удаление новообразования с применением микрохирургической техники</w:t>
      </w:r>
      <w:r>
        <w:rPr>
          <w:spacing w:val="-13"/>
          <w:sz w:val="20"/>
        </w:rPr>
        <w:t> </w:t>
      </w:r>
      <w:r>
        <w:rPr>
          <w:sz w:val="20"/>
        </w:rPr>
        <w:t>и</w:t>
      </w:r>
      <w:r>
        <w:rPr>
          <w:spacing w:val="-12"/>
          <w:sz w:val="20"/>
        </w:rPr>
        <w:t> </w:t>
      </w:r>
      <w:r>
        <w:rPr>
          <w:sz w:val="20"/>
        </w:rPr>
        <w:t>эндоскопической</w:t>
      </w:r>
      <w:r>
        <w:rPr>
          <w:spacing w:val="-13"/>
          <w:sz w:val="20"/>
        </w:rPr>
        <w:t> </w:t>
      </w:r>
      <w:r>
        <w:rPr>
          <w:sz w:val="20"/>
        </w:rPr>
        <w:t>техники</w:t>
      </w:r>
    </w:p>
    <w:p>
      <w:pPr>
        <w:pStyle w:val="BodyText"/>
        <w:spacing w:before="1"/>
        <w:rPr>
          <w:sz w:val="21"/>
        </w:rPr>
      </w:pPr>
    </w:p>
    <w:p>
      <w:pPr>
        <w:spacing w:line="249" w:lineRule="auto" w:before="0"/>
        <w:ind w:left="389" w:right="0" w:firstLine="0"/>
        <w:jc w:val="left"/>
        <w:rPr>
          <w:sz w:val="20"/>
        </w:rPr>
      </w:pPr>
      <w:r>
        <w:rPr>
          <w:sz w:val="20"/>
        </w:rPr>
        <w:t>фотодинамическая терапия новообразования с применением микроскопической</w:t>
      </w:r>
      <w:r>
        <w:rPr>
          <w:spacing w:val="-13"/>
          <w:sz w:val="20"/>
        </w:rPr>
        <w:t> </w:t>
      </w:r>
      <w:r>
        <w:rPr>
          <w:sz w:val="20"/>
        </w:rPr>
        <w:t>и</w:t>
      </w:r>
      <w:r>
        <w:rPr>
          <w:spacing w:val="-12"/>
          <w:sz w:val="20"/>
        </w:rPr>
        <w:t> </w:t>
      </w:r>
      <w:r>
        <w:rPr>
          <w:sz w:val="20"/>
        </w:rPr>
        <w:t>эндоскопической </w:t>
      </w:r>
      <w:r>
        <w:rPr>
          <w:spacing w:val="-2"/>
          <w:sz w:val="20"/>
        </w:rPr>
        <w:t>техники</w:t>
      </w:r>
    </w:p>
    <w:p>
      <w:pPr>
        <w:spacing w:before="91"/>
        <w:ind w:left="389" w:right="0" w:firstLine="0"/>
        <w:jc w:val="left"/>
        <w:rPr>
          <w:sz w:val="20"/>
        </w:rPr>
      </w:pPr>
      <w:r>
        <w:rPr/>
        <w:br w:type="column"/>
      </w:r>
      <w:r>
        <w:rPr>
          <w:spacing w:val="-2"/>
          <w:sz w:val="20"/>
        </w:rPr>
        <w:t>140736</w:t>
      </w:r>
    </w:p>
    <w:p>
      <w:pPr>
        <w:spacing w:after="0"/>
        <w:jc w:val="left"/>
        <w:rPr>
          <w:sz w:val="20"/>
        </w:rPr>
        <w:sectPr>
          <w:type w:val="continuous"/>
          <w:pgSz w:w="16850" w:h="11910" w:orient="landscape"/>
          <w:pgMar w:header="753" w:footer="0" w:top="1080" w:bottom="280" w:left="400" w:right="400"/>
          <w:cols w:num="6" w:equalWidth="0">
            <w:col w:w="3648" w:space="40"/>
            <w:col w:w="2006" w:space="39"/>
            <w:col w:w="3167" w:space="40"/>
            <w:col w:w="1338" w:space="51"/>
            <w:col w:w="3723" w:space="288"/>
            <w:col w:w="1710"/>
          </w:cols>
        </w:sectPr>
      </w:pPr>
    </w:p>
    <w:p>
      <w:pPr>
        <w:pStyle w:val="BodyText"/>
        <w:spacing w:before="3"/>
        <w:rPr>
          <w:sz w:val="13"/>
        </w:rPr>
      </w:pPr>
    </w:p>
    <w:p>
      <w:pPr>
        <w:spacing w:before="91"/>
        <w:ind w:left="208" w:right="208" w:firstLine="0"/>
        <w:jc w:val="center"/>
        <w:rPr>
          <w:sz w:val="20"/>
        </w:rPr>
      </w:pPr>
      <w:r>
        <w:rPr>
          <w:spacing w:val="-2"/>
          <w:sz w:val="20"/>
        </w:rPr>
        <w:t>Офтальмология</w:t>
      </w:r>
    </w:p>
    <w:p>
      <w:pPr>
        <w:pStyle w:val="BodyText"/>
        <w:spacing w:before="10"/>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4"/>
        </w:numPr>
        <w:tabs>
          <w:tab w:pos="979" w:val="left" w:leader="none"/>
          <w:tab w:pos="980" w:val="left" w:leader="none"/>
        </w:tabs>
        <w:spacing w:line="249" w:lineRule="auto" w:before="91" w:after="0"/>
        <w:ind w:left="980" w:right="0" w:hanging="591"/>
        <w:jc w:val="left"/>
        <w:rPr>
          <w:sz w:val="20"/>
        </w:rPr>
      </w:pPr>
      <w:r>
        <w:rPr>
          <w:sz w:val="20"/>
        </w:rPr>
        <w:t>Комплексное хирургическое лечение глаукомы, включая </w:t>
      </w:r>
      <w:r>
        <w:rPr>
          <w:spacing w:val="-2"/>
          <w:sz w:val="20"/>
        </w:rPr>
        <w:t>микроинвазивную </w:t>
      </w:r>
      <w:r>
        <w:rPr>
          <w:sz w:val="20"/>
        </w:rPr>
        <w:t>энергетическую оптико- реконструктивную</w:t>
      </w:r>
      <w:r>
        <w:rPr>
          <w:spacing w:val="-13"/>
          <w:sz w:val="20"/>
        </w:rPr>
        <w:t> </w:t>
      </w:r>
      <w:r>
        <w:rPr>
          <w:sz w:val="20"/>
        </w:rPr>
        <w:t>и</w:t>
      </w:r>
      <w:r>
        <w:rPr>
          <w:spacing w:val="-12"/>
          <w:sz w:val="20"/>
        </w:rPr>
        <w:t> </w:t>
      </w:r>
      <w:r>
        <w:rPr>
          <w:sz w:val="20"/>
        </w:rPr>
        <w:t>лазерную</w:t>
      </w:r>
      <w:r>
        <w:rPr>
          <w:sz w:val="20"/>
        </w:rPr>
        <w:t> хирургию, имплантацию различных видов дренажей</w:t>
      </w:r>
    </w:p>
    <w:p>
      <w:pPr>
        <w:spacing w:line="249" w:lineRule="auto" w:before="91"/>
        <w:ind w:left="623" w:right="0" w:hanging="390"/>
        <w:jc w:val="left"/>
        <w:rPr>
          <w:sz w:val="20"/>
        </w:rPr>
      </w:pPr>
      <w:r>
        <w:rPr/>
        <w:br w:type="column"/>
      </w:r>
      <w:hyperlink r:id="rId201">
        <w:r>
          <w:rPr>
            <w:sz w:val="20"/>
          </w:rPr>
          <w:t>H26.0</w:t>
        </w:r>
        <w:r>
          <w:rPr>
            <w:spacing w:val="-8"/>
            <w:sz w:val="20"/>
          </w:rPr>
          <w:t> </w:t>
        </w:r>
      </w:hyperlink>
      <w:r>
        <w:rPr>
          <w:sz w:val="20"/>
        </w:rPr>
        <w:t>-</w:t>
      </w:r>
      <w:r>
        <w:rPr>
          <w:spacing w:val="-11"/>
          <w:sz w:val="20"/>
        </w:rPr>
        <w:t> </w:t>
      </w:r>
      <w:hyperlink r:id="rId202">
        <w:r>
          <w:rPr>
            <w:sz w:val="20"/>
          </w:rPr>
          <w:t>H26.4,</w:t>
        </w:r>
        <w:r>
          <w:rPr>
            <w:spacing w:val="-9"/>
            <w:sz w:val="20"/>
          </w:rPr>
          <w:t> </w:t>
        </w:r>
      </w:hyperlink>
      <w:hyperlink r:id="rId203">
        <w:r>
          <w:rPr>
            <w:sz w:val="20"/>
          </w:rPr>
          <w:t>H40.1</w:t>
        </w:r>
        <w:r>
          <w:rPr>
            <w:spacing w:val="-9"/>
            <w:sz w:val="20"/>
          </w:rPr>
          <w:t> </w:t>
        </w:r>
      </w:hyperlink>
      <w:r>
        <w:rPr>
          <w:sz w:val="20"/>
        </w:rPr>
        <w:t>- </w:t>
      </w:r>
      <w:hyperlink r:id="rId204">
        <w:r>
          <w:rPr>
            <w:sz w:val="20"/>
          </w:rPr>
          <w:t>H40.8, </w:t>
        </w:r>
      </w:hyperlink>
      <w:hyperlink r:id="rId205">
        <w:r>
          <w:rPr>
            <w:sz w:val="20"/>
          </w:rPr>
          <w:t>Q15.0</w:t>
        </w:r>
      </w:hyperlink>
    </w:p>
    <w:p>
      <w:pPr>
        <w:spacing w:line="249" w:lineRule="auto" w:before="91"/>
        <w:ind w:left="71" w:right="160" w:firstLine="0"/>
        <w:jc w:val="left"/>
        <w:rPr>
          <w:sz w:val="20"/>
        </w:rPr>
      </w:pPr>
      <w:r>
        <w:rPr/>
        <w:br w:type="column"/>
      </w:r>
      <w:r>
        <w:rPr>
          <w:sz w:val="20"/>
        </w:rPr>
        <w:t>глаукома с повышенным или высоким внутриглазным давлением развитой, далеко зашедшей</w:t>
      </w:r>
      <w:r>
        <w:rPr>
          <w:spacing w:val="-11"/>
          <w:sz w:val="20"/>
        </w:rPr>
        <w:t> </w:t>
      </w:r>
      <w:r>
        <w:rPr>
          <w:sz w:val="20"/>
        </w:rPr>
        <w:t>стадии,</w:t>
      </w:r>
      <w:r>
        <w:rPr>
          <w:spacing w:val="-10"/>
          <w:sz w:val="20"/>
        </w:rPr>
        <w:t> </w:t>
      </w:r>
      <w:r>
        <w:rPr>
          <w:sz w:val="20"/>
        </w:rPr>
        <w:t>в</w:t>
      </w:r>
      <w:r>
        <w:rPr>
          <w:spacing w:val="-11"/>
          <w:sz w:val="20"/>
        </w:rPr>
        <w:t> </w:t>
      </w:r>
      <w:r>
        <w:rPr>
          <w:sz w:val="20"/>
        </w:rPr>
        <w:t>том</w:t>
      </w:r>
      <w:r>
        <w:rPr>
          <w:spacing w:val="-10"/>
          <w:sz w:val="20"/>
        </w:rPr>
        <w:t> </w:t>
      </w:r>
      <w:r>
        <w:rPr>
          <w:sz w:val="20"/>
        </w:rPr>
        <w:t>числе с осложнениями, у взрослых.</w:t>
      </w:r>
    </w:p>
    <w:p>
      <w:pPr>
        <w:spacing w:line="249" w:lineRule="auto" w:before="4"/>
        <w:ind w:left="71" w:right="4" w:firstLine="0"/>
        <w:jc w:val="left"/>
        <w:rPr>
          <w:sz w:val="20"/>
        </w:rPr>
      </w:pPr>
      <w:r>
        <w:rPr>
          <w:sz w:val="20"/>
        </w:rPr>
        <w:t>Врожденная</w:t>
      </w:r>
      <w:r>
        <w:rPr>
          <w:spacing w:val="-13"/>
          <w:sz w:val="20"/>
        </w:rPr>
        <w:t> </w:t>
      </w:r>
      <w:r>
        <w:rPr>
          <w:sz w:val="20"/>
        </w:rPr>
        <w:t>глаукома,</w:t>
      </w:r>
      <w:r>
        <w:rPr>
          <w:spacing w:val="-12"/>
          <w:sz w:val="20"/>
        </w:rPr>
        <w:t> </w:t>
      </w:r>
      <w:r>
        <w:rPr>
          <w:sz w:val="20"/>
        </w:rPr>
        <w:t>глаукома вторичная вследствие воспалительных и других заболеваний глаза, в том числе</w:t>
      </w:r>
      <w:r>
        <w:rPr>
          <w:spacing w:val="40"/>
          <w:sz w:val="20"/>
        </w:rPr>
        <w:t> </w:t>
      </w:r>
      <w:r>
        <w:rPr>
          <w:sz w:val="20"/>
        </w:rPr>
        <w:t>с осложнениями, у детей</w:t>
      </w:r>
    </w:p>
    <w:p>
      <w:pPr>
        <w:spacing w:line="249" w:lineRule="auto" w:before="91"/>
        <w:ind w:left="344" w:right="0" w:firstLine="0"/>
        <w:jc w:val="left"/>
        <w:rPr>
          <w:sz w:val="20"/>
        </w:rPr>
      </w:pPr>
      <w:r>
        <w:rPr/>
        <w:br w:type="column"/>
      </w:r>
      <w:r>
        <w:rPr>
          <w:spacing w:val="-2"/>
          <w:sz w:val="20"/>
        </w:rPr>
        <w:t>хирургическое лечение</w:t>
      </w:r>
    </w:p>
    <w:p>
      <w:pPr>
        <w:spacing w:line="249" w:lineRule="auto" w:before="91"/>
        <w:ind w:left="389" w:right="31" w:firstLine="0"/>
        <w:jc w:val="left"/>
        <w:rPr>
          <w:sz w:val="20"/>
        </w:rPr>
      </w:pPr>
      <w:r>
        <w:rPr/>
        <w:br w:type="column"/>
      </w:r>
      <w:r>
        <w:rPr>
          <w:spacing w:val="-2"/>
          <w:sz w:val="20"/>
        </w:rPr>
        <w:t>модифицированная </w:t>
      </w:r>
      <w:r>
        <w:rPr>
          <w:sz w:val="20"/>
        </w:rPr>
        <w:t>синустрабекулэктомия с задней трепанацией</w:t>
      </w:r>
      <w:r>
        <w:rPr>
          <w:spacing w:val="-10"/>
          <w:sz w:val="20"/>
        </w:rPr>
        <w:t> </w:t>
      </w:r>
      <w:r>
        <w:rPr>
          <w:sz w:val="20"/>
        </w:rPr>
        <w:t>склеры,</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применением лазерной хирургии</w:t>
      </w:r>
    </w:p>
    <w:p>
      <w:pPr>
        <w:pStyle w:val="BodyText"/>
        <w:spacing w:before="2"/>
        <w:rPr>
          <w:sz w:val="21"/>
        </w:rPr>
      </w:pPr>
    </w:p>
    <w:p>
      <w:pPr>
        <w:spacing w:line="249" w:lineRule="auto" w:before="0"/>
        <w:ind w:left="389" w:right="31" w:firstLine="0"/>
        <w:jc w:val="left"/>
        <w:rPr>
          <w:sz w:val="20"/>
        </w:rPr>
      </w:pPr>
      <w:r>
        <w:rPr>
          <w:spacing w:val="-2"/>
          <w:sz w:val="20"/>
        </w:rPr>
        <w:t>модифицированная </w:t>
      </w:r>
      <w:r>
        <w:rPr>
          <w:sz w:val="20"/>
        </w:rPr>
        <w:t>синустрабекулэктомия, в том числе ультразвуковая</w:t>
      </w:r>
      <w:r>
        <w:rPr>
          <w:spacing w:val="-7"/>
          <w:sz w:val="20"/>
        </w:rPr>
        <w:t> </w:t>
      </w:r>
      <w:r>
        <w:rPr>
          <w:sz w:val="20"/>
        </w:rPr>
        <w:t>факоэмульсификация осложненной катаракты с имплантацией</w:t>
      </w:r>
      <w:r>
        <w:rPr>
          <w:spacing w:val="-13"/>
          <w:sz w:val="20"/>
        </w:rPr>
        <w:t> </w:t>
      </w:r>
      <w:r>
        <w:rPr>
          <w:sz w:val="20"/>
        </w:rPr>
        <w:t>интраокулярной</w:t>
      </w:r>
      <w:r>
        <w:rPr>
          <w:spacing w:val="-12"/>
          <w:sz w:val="20"/>
        </w:rPr>
        <w:t> </w:t>
      </w:r>
      <w:r>
        <w:rPr>
          <w:sz w:val="20"/>
        </w:rPr>
        <w:t>линзы</w:t>
      </w:r>
    </w:p>
    <w:p>
      <w:pPr>
        <w:pStyle w:val="BodyText"/>
        <w:spacing w:before="3"/>
        <w:rPr>
          <w:sz w:val="21"/>
        </w:rPr>
      </w:pPr>
    </w:p>
    <w:p>
      <w:pPr>
        <w:spacing w:line="249" w:lineRule="auto" w:before="0"/>
        <w:ind w:left="389" w:right="31" w:firstLine="0"/>
        <w:jc w:val="left"/>
        <w:rPr>
          <w:sz w:val="20"/>
        </w:rPr>
      </w:pPr>
      <w:r>
        <w:rPr>
          <w:sz w:val="20"/>
        </w:rPr>
        <w:t>синустрабекулэктомия с имплантацией</w:t>
      </w:r>
      <w:r>
        <w:rPr>
          <w:spacing w:val="-13"/>
          <w:sz w:val="20"/>
        </w:rPr>
        <w:t> </w:t>
      </w:r>
      <w:r>
        <w:rPr>
          <w:sz w:val="20"/>
        </w:rPr>
        <w:t>различных</w:t>
      </w:r>
      <w:r>
        <w:rPr>
          <w:spacing w:val="-12"/>
          <w:sz w:val="20"/>
        </w:rPr>
        <w:t> </w:t>
      </w:r>
      <w:r>
        <w:rPr>
          <w:sz w:val="20"/>
        </w:rPr>
        <w:t>моделей дренажей с задней трепанацией </w:t>
      </w:r>
      <w:r>
        <w:rPr>
          <w:spacing w:val="-2"/>
          <w:sz w:val="20"/>
        </w:rPr>
        <w:t>склеры</w:t>
      </w:r>
    </w:p>
    <w:p>
      <w:pPr>
        <w:pStyle w:val="BodyText"/>
        <w:spacing w:before="2"/>
        <w:rPr>
          <w:sz w:val="21"/>
        </w:rPr>
      </w:pPr>
    </w:p>
    <w:p>
      <w:pPr>
        <w:spacing w:line="249" w:lineRule="auto" w:before="0"/>
        <w:ind w:left="389" w:right="31" w:firstLine="0"/>
        <w:jc w:val="left"/>
        <w:rPr>
          <w:sz w:val="20"/>
        </w:rPr>
      </w:pPr>
      <w:r>
        <w:rPr>
          <w:sz w:val="20"/>
        </w:rPr>
        <w:t>подшивание</w:t>
      </w:r>
      <w:r>
        <w:rPr>
          <w:spacing w:val="-11"/>
          <w:sz w:val="20"/>
        </w:rPr>
        <w:t> </w:t>
      </w:r>
      <w:r>
        <w:rPr>
          <w:sz w:val="20"/>
        </w:rPr>
        <w:t>цилиарного</w:t>
      </w:r>
      <w:r>
        <w:rPr>
          <w:spacing w:val="-10"/>
          <w:sz w:val="20"/>
        </w:rPr>
        <w:t> </w:t>
      </w:r>
      <w:r>
        <w:rPr>
          <w:sz w:val="20"/>
        </w:rPr>
        <w:t>тела</w:t>
      </w:r>
      <w:r>
        <w:rPr>
          <w:spacing w:val="-11"/>
          <w:sz w:val="20"/>
        </w:rPr>
        <w:t> </w:t>
      </w:r>
      <w:r>
        <w:rPr>
          <w:sz w:val="20"/>
        </w:rPr>
        <w:t>с</w:t>
      </w:r>
      <w:r>
        <w:rPr>
          <w:spacing w:val="-11"/>
          <w:sz w:val="20"/>
        </w:rPr>
        <w:t> </w:t>
      </w:r>
      <w:r>
        <w:rPr>
          <w:sz w:val="20"/>
        </w:rPr>
        <w:t>задней трепанацией склеры</w:t>
      </w:r>
    </w:p>
    <w:p>
      <w:pPr>
        <w:spacing w:before="91"/>
        <w:ind w:left="389" w:right="0" w:firstLine="0"/>
        <w:jc w:val="left"/>
        <w:rPr>
          <w:sz w:val="20"/>
        </w:rPr>
      </w:pPr>
      <w:r>
        <w:rPr/>
        <w:br w:type="column"/>
      </w:r>
      <w:r>
        <w:rPr>
          <w:spacing w:val="-2"/>
          <w:sz w:val="20"/>
        </w:rPr>
        <w:t>66386</w:t>
      </w:r>
    </w:p>
    <w:p>
      <w:pPr>
        <w:spacing w:after="0"/>
        <w:jc w:val="left"/>
        <w:rPr>
          <w:sz w:val="20"/>
        </w:rPr>
        <w:sectPr>
          <w:type w:val="continuous"/>
          <w:pgSz w:w="16850" w:h="11910" w:orient="landscape"/>
          <w:pgMar w:header="753" w:footer="0" w:top="1080" w:bottom="280" w:left="400" w:right="400"/>
          <w:cols w:num="6" w:equalWidth="0">
            <w:col w:w="3611" w:space="40"/>
            <w:col w:w="2104" w:space="39"/>
            <w:col w:w="2844" w:space="39"/>
            <w:col w:w="1601" w:space="51"/>
            <w:col w:w="3706" w:space="355"/>
            <w:col w:w="166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1"/>
      </w:tblGrid>
      <w:tr>
        <w:trPr>
          <w:trHeight w:val="350" w:hRule="atLeast"/>
        </w:trPr>
        <w:tc>
          <w:tcPr>
            <w:tcW w:w="3361" w:type="dxa"/>
          </w:tcPr>
          <w:p>
            <w:pPr>
              <w:pStyle w:val="TableParagraph"/>
              <w:spacing w:line="221" w:lineRule="exact"/>
              <w:ind w:left="50"/>
              <w:rPr>
                <w:sz w:val="20"/>
              </w:rPr>
            </w:pPr>
            <w:r>
              <w:rPr>
                <w:spacing w:val="-2"/>
                <w:sz w:val="20"/>
              </w:rPr>
              <w:t>вискоканалостомия</w:t>
            </w:r>
          </w:p>
        </w:tc>
      </w:tr>
      <w:tr>
        <w:trPr>
          <w:trHeight w:val="720" w:hRule="atLeast"/>
        </w:trPr>
        <w:tc>
          <w:tcPr>
            <w:tcW w:w="3361" w:type="dxa"/>
          </w:tcPr>
          <w:p>
            <w:pPr>
              <w:pStyle w:val="TableParagraph"/>
              <w:spacing w:line="249" w:lineRule="auto" w:before="120"/>
              <w:ind w:left="50" w:right="225"/>
              <w:rPr>
                <w:sz w:val="20"/>
              </w:rPr>
            </w:pPr>
            <w:r>
              <w:rPr>
                <w:sz w:val="20"/>
              </w:rPr>
              <w:t>микроинвазивная</w:t>
            </w:r>
            <w:r>
              <w:rPr>
                <w:spacing w:val="-13"/>
                <w:sz w:val="20"/>
              </w:rPr>
              <w:t> </w:t>
            </w:r>
            <w:r>
              <w:rPr>
                <w:sz w:val="20"/>
              </w:rPr>
              <w:t>интрасклеральная </w:t>
            </w:r>
            <w:r>
              <w:rPr>
                <w:spacing w:val="-2"/>
                <w:sz w:val="20"/>
              </w:rPr>
              <w:t>диатермостомия</w:t>
            </w:r>
          </w:p>
        </w:tc>
      </w:tr>
      <w:tr>
        <w:trPr>
          <w:trHeight w:val="720" w:hRule="atLeast"/>
        </w:trPr>
        <w:tc>
          <w:tcPr>
            <w:tcW w:w="3361" w:type="dxa"/>
          </w:tcPr>
          <w:p>
            <w:pPr>
              <w:pStyle w:val="TableParagraph"/>
              <w:spacing w:line="249" w:lineRule="auto" w:before="120"/>
              <w:ind w:left="50"/>
              <w:rPr>
                <w:sz w:val="20"/>
              </w:rPr>
            </w:pPr>
            <w:r>
              <w:rPr>
                <w:sz w:val="20"/>
              </w:rPr>
              <w:t>микроинвазивная</w:t>
            </w:r>
            <w:r>
              <w:rPr>
                <w:spacing w:val="-13"/>
                <w:sz w:val="20"/>
              </w:rPr>
              <w:t> </w:t>
            </w:r>
            <w:r>
              <w:rPr>
                <w:sz w:val="20"/>
              </w:rPr>
              <w:t>хирургия</w:t>
            </w:r>
            <w:r>
              <w:rPr>
                <w:spacing w:val="-12"/>
                <w:sz w:val="20"/>
              </w:rPr>
              <w:t> </w:t>
            </w:r>
            <w:r>
              <w:rPr>
                <w:sz w:val="20"/>
              </w:rPr>
              <w:t>шлеммова </w:t>
            </w:r>
            <w:r>
              <w:rPr>
                <w:spacing w:val="-2"/>
                <w:sz w:val="20"/>
              </w:rPr>
              <w:t>канала</w:t>
            </w:r>
          </w:p>
        </w:tc>
      </w:tr>
      <w:tr>
        <w:trPr>
          <w:trHeight w:val="1680" w:hRule="atLeast"/>
        </w:trPr>
        <w:tc>
          <w:tcPr>
            <w:tcW w:w="3361" w:type="dxa"/>
          </w:tcPr>
          <w:p>
            <w:pPr>
              <w:pStyle w:val="TableParagraph"/>
              <w:spacing w:line="249" w:lineRule="auto" w:before="120"/>
              <w:ind w:left="50"/>
              <w:rPr>
                <w:sz w:val="20"/>
              </w:rPr>
            </w:pPr>
            <w:r>
              <w:rPr>
                <w:sz w:val="20"/>
              </w:rPr>
              <w:t>непроникающая глубокая склерэктомия с ультразвуковой факоэмульсификацией осложненной катаракты с имплантацией интраокулярной</w:t>
            </w:r>
            <w:r>
              <w:rPr>
                <w:spacing w:val="-10"/>
                <w:sz w:val="20"/>
              </w:rPr>
              <w:t> </w:t>
            </w:r>
            <w:r>
              <w:rPr>
                <w:sz w:val="20"/>
              </w:rPr>
              <w:t>линзы,</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применением лазерной хирургии</w:t>
            </w:r>
          </w:p>
        </w:tc>
      </w:tr>
      <w:tr>
        <w:trPr>
          <w:trHeight w:val="1680" w:hRule="atLeast"/>
        </w:trPr>
        <w:tc>
          <w:tcPr>
            <w:tcW w:w="3361" w:type="dxa"/>
          </w:tcPr>
          <w:p>
            <w:pPr>
              <w:pStyle w:val="TableParagraph"/>
              <w:spacing w:line="249" w:lineRule="auto" w:before="120"/>
              <w:ind w:left="50"/>
              <w:rPr>
                <w:sz w:val="20"/>
              </w:rPr>
            </w:pPr>
            <w:r>
              <w:rPr>
                <w:sz w:val="20"/>
              </w:rPr>
              <w:t>реконструкция передней камеры, иридопластика с ультразвуковой факоэмульсификацией осложненной катаракты с имплантацией интраокулярной</w:t>
            </w:r>
            <w:r>
              <w:rPr>
                <w:spacing w:val="-10"/>
                <w:sz w:val="20"/>
              </w:rPr>
              <w:t> </w:t>
            </w:r>
            <w:r>
              <w:rPr>
                <w:sz w:val="20"/>
              </w:rPr>
              <w:t>линзы,</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применением лазерной хирургии</w:t>
            </w:r>
          </w:p>
        </w:tc>
      </w:tr>
      <w:tr>
        <w:trPr>
          <w:trHeight w:val="960" w:hRule="atLeast"/>
        </w:trPr>
        <w:tc>
          <w:tcPr>
            <w:tcW w:w="3361" w:type="dxa"/>
          </w:tcPr>
          <w:p>
            <w:pPr>
              <w:pStyle w:val="TableParagraph"/>
              <w:spacing w:line="249" w:lineRule="auto" w:before="120"/>
              <w:ind w:left="50"/>
              <w:rPr>
                <w:sz w:val="20"/>
              </w:rPr>
            </w:pPr>
            <w:r>
              <w:rPr>
                <w:sz w:val="20"/>
              </w:rPr>
              <w:t>удаление вторичной катаракты с реконструкцией задней камеры с имплантацией</w:t>
            </w:r>
            <w:r>
              <w:rPr>
                <w:spacing w:val="-13"/>
                <w:sz w:val="20"/>
              </w:rPr>
              <w:t> </w:t>
            </w:r>
            <w:r>
              <w:rPr>
                <w:sz w:val="20"/>
              </w:rPr>
              <w:t>интраокулярной</w:t>
            </w:r>
            <w:r>
              <w:rPr>
                <w:spacing w:val="-12"/>
                <w:sz w:val="20"/>
              </w:rPr>
              <w:t> </w:t>
            </w:r>
            <w:r>
              <w:rPr>
                <w:sz w:val="20"/>
              </w:rPr>
              <w:t>линзы</w:t>
            </w:r>
          </w:p>
        </w:tc>
      </w:tr>
      <w:tr>
        <w:trPr>
          <w:trHeight w:val="1790" w:hRule="atLeast"/>
        </w:trPr>
        <w:tc>
          <w:tcPr>
            <w:tcW w:w="3361" w:type="dxa"/>
          </w:tcPr>
          <w:p>
            <w:pPr>
              <w:pStyle w:val="TableParagraph"/>
              <w:spacing w:line="249" w:lineRule="auto" w:before="120"/>
              <w:ind w:left="50"/>
              <w:rPr>
                <w:sz w:val="20"/>
              </w:rPr>
            </w:pPr>
            <w:r>
              <w:rPr>
                <w:sz w:val="20"/>
              </w:rPr>
              <w:t>реконструкция передней камеры с лазерной</w:t>
            </w:r>
            <w:r>
              <w:rPr>
                <w:spacing w:val="-13"/>
                <w:sz w:val="20"/>
              </w:rPr>
              <w:t> </w:t>
            </w:r>
            <w:r>
              <w:rPr>
                <w:sz w:val="20"/>
              </w:rPr>
              <w:t>экстракцией</w:t>
            </w:r>
            <w:r>
              <w:rPr>
                <w:spacing w:val="-12"/>
                <w:sz w:val="20"/>
              </w:rPr>
              <w:t> </w:t>
            </w:r>
            <w:r>
              <w:rPr>
                <w:sz w:val="20"/>
              </w:rPr>
              <w:t>осложненной катаракты с имплантацией интраокулярной линзы</w:t>
            </w:r>
          </w:p>
          <w:p>
            <w:pPr>
              <w:pStyle w:val="TableParagraph"/>
              <w:spacing w:before="7"/>
              <w:rPr>
                <w:sz w:val="18"/>
              </w:rPr>
            </w:pPr>
          </w:p>
          <w:p>
            <w:pPr>
              <w:pStyle w:val="TableParagraph"/>
              <w:spacing w:line="240" w:lineRule="atLeast"/>
              <w:ind w:left="50" w:right="306"/>
              <w:rPr>
                <w:sz w:val="20"/>
              </w:rPr>
            </w:pPr>
            <w:r>
              <w:rPr>
                <w:sz w:val="20"/>
              </w:rPr>
              <w:t>имплантация</w:t>
            </w:r>
            <w:r>
              <w:rPr>
                <w:spacing w:val="-13"/>
                <w:sz w:val="20"/>
              </w:rPr>
              <w:t> </w:t>
            </w:r>
            <w:r>
              <w:rPr>
                <w:sz w:val="20"/>
              </w:rPr>
              <w:t>антиглаукоматозного </w:t>
            </w:r>
            <w:r>
              <w:rPr>
                <w:spacing w:val="-2"/>
                <w:sz w:val="20"/>
              </w:rPr>
              <w:t>дренажа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2050"/>
        <w:gridCol w:w="3149"/>
        <w:gridCol w:w="1558"/>
        <w:gridCol w:w="3605"/>
      </w:tblGrid>
      <w:tr>
        <w:trPr>
          <w:trHeight w:val="2750" w:hRule="atLeast"/>
        </w:trPr>
        <w:tc>
          <w:tcPr>
            <w:tcW w:w="2812" w:type="dxa"/>
          </w:tcPr>
          <w:p>
            <w:pPr>
              <w:pStyle w:val="TableParagraph"/>
              <w:rPr>
                <w:sz w:val="18"/>
              </w:rPr>
            </w:pPr>
          </w:p>
        </w:tc>
        <w:tc>
          <w:tcPr>
            <w:tcW w:w="2050" w:type="dxa"/>
          </w:tcPr>
          <w:p>
            <w:pPr>
              <w:pStyle w:val="TableParagraph"/>
              <w:rPr>
                <w:sz w:val="18"/>
              </w:rPr>
            </w:pPr>
          </w:p>
        </w:tc>
        <w:tc>
          <w:tcPr>
            <w:tcW w:w="3149" w:type="dxa"/>
          </w:tcPr>
          <w:p>
            <w:pPr>
              <w:pStyle w:val="TableParagraph"/>
              <w:rPr>
                <w:sz w:val="18"/>
              </w:rPr>
            </w:pPr>
          </w:p>
        </w:tc>
        <w:tc>
          <w:tcPr>
            <w:tcW w:w="1558" w:type="dxa"/>
          </w:tcPr>
          <w:p>
            <w:pPr>
              <w:pStyle w:val="TableParagraph"/>
              <w:rPr>
                <w:sz w:val="18"/>
              </w:rPr>
            </w:pPr>
          </w:p>
        </w:tc>
        <w:tc>
          <w:tcPr>
            <w:tcW w:w="3605" w:type="dxa"/>
          </w:tcPr>
          <w:p>
            <w:pPr>
              <w:pStyle w:val="TableParagraph"/>
              <w:spacing w:line="249" w:lineRule="auto"/>
              <w:ind w:left="219" w:right="277"/>
              <w:rPr>
                <w:sz w:val="20"/>
              </w:rPr>
            </w:pPr>
            <w:r>
              <w:rPr>
                <w:spacing w:val="-2"/>
                <w:sz w:val="20"/>
              </w:rPr>
              <w:t>модифицированная </w:t>
            </w:r>
            <w:r>
              <w:rPr>
                <w:sz w:val="20"/>
              </w:rPr>
              <w:t>синустрабекулэктомия с имплантацией</w:t>
            </w:r>
            <w:r>
              <w:rPr>
                <w:spacing w:val="-13"/>
                <w:sz w:val="20"/>
              </w:rPr>
              <w:t> </w:t>
            </w:r>
            <w:r>
              <w:rPr>
                <w:sz w:val="20"/>
              </w:rPr>
              <w:t>антиглаукоматозного </w:t>
            </w:r>
            <w:r>
              <w:rPr>
                <w:spacing w:val="-2"/>
                <w:sz w:val="20"/>
              </w:rPr>
              <w:t>дренажа</w:t>
            </w:r>
          </w:p>
          <w:p>
            <w:pPr>
              <w:pStyle w:val="TableParagraph"/>
              <w:spacing w:before="4"/>
              <w:rPr>
                <w:sz w:val="20"/>
              </w:rPr>
            </w:pPr>
          </w:p>
          <w:p>
            <w:pPr>
              <w:pStyle w:val="TableParagraph"/>
              <w:spacing w:line="249" w:lineRule="auto"/>
              <w:ind w:left="219" w:right="42"/>
              <w:rPr>
                <w:sz w:val="20"/>
              </w:rPr>
            </w:pPr>
            <w:r>
              <w:rPr>
                <w:sz w:val="20"/>
              </w:rPr>
              <w:t>антиглаукоматозная операция с ультразвуковой</w:t>
            </w:r>
            <w:r>
              <w:rPr>
                <w:spacing w:val="-13"/>
                <w:sz w:val="20"/>
              </w:rPr>
              <w:t> </w:t>
            </w:r>
            <w:r>
              <w:rPr>
                <w:sz w:val="20"/>
              </w:rPr>
              <w:t>факоэмульсификацией осложненной катаракты с имплантацией эластичной интраокулярной линзы, в том числе с применением лазерной хирургии</w:t>
            </w:r>
          </w:p>
        </w:tc>
      </w:tr>
      <w:tr>
        <w:trPr>
          <w:trHeight w:val="1200" w:hRule="atLeast"/>
        </w:trPr>
        <w:tc>
          <w:tcPr>
            <w:tcW w:w="2812" w:type="dxa"/>
            <w:vMerge w:val="restart"/>
          </w:tcPr>
          <w:p>
            <w:pPr>
              <w:pStyle w:val="TableParagraph"/>
              <w:spacing w:line="249" w:lineRule="auto" w:before="120"/>
              <w:ind w:left="50" w:right="164"/>
              <w:rPr>
                <w:sz w:val="20"/>
              </w:rPr>
            </w:pPr>
            <w:r>
              <w:rPr>
                <w:spacing w:val="-2"/>
                <w:sz w:val="20"/>
              </w:rPr>
              <w:t>Транспупиллярная, микроинвазивная </w:t>
            </w:r>
            <w:r>
              <w:rPr>
                <w:sz w:val="20"/>
              </w:rPr>
              <w:t>энергетическая оптико- </w:t>
            </w:r>
            <w:r>
              <w:rPr>
                <w:spacing w:val="-2"/>
                <w:sz w:val="20"/>
              </w:rPr>
              <w:t>реконструктивная, интравитреальная, </w:t>
            </w:r>
            <w:r>
              <w:rPr>
                <w:sz w:val="20"/>
              </w:rPr>
              <w:t>эндовитреальная 23 - 27 гейджевая хирургия при витреоретинальной</w:t>
            </w:r>
            <w:r>
              <w:rPr>
                <w:spacing w:val="-13"/>
                <w:sz w:val="20"/>
              </w:rPr>
              <w:t> </w:t>
            </w:r>
            <w:r>
              <w:rPr>
                <w:sz w:val="20"/>
              </w:rPr>
              <w:t>патологии различного генеза</w:t>
            </w:r>
          </w:p>
        </w:tc>
        <w:tc>
          <w:tcPr>
            <w:tcW w:w="2050" w:type="dxa"/>
            <w:vMerge w:val="restart"/>
          </w:tcPr>
          <w:p>
            <w:pPr>
              <w:pStyle w:val="TableParagraph"/>
              <w:spacing w:before="120"/>
              <w:ind w:left="164" w:right="60"/>
              <w:jc w:val="center"/>
              <w:rPr>
                <w:sz w:val="20"/>
              </w:rPr>
            </w:pPr>
            <w:r>
              <w:rPr>
                <w:sz w:val="20"/>
              </w:rPr>
              <w:t>E10.3,</w:t>
            </w:r>
            <w:r>
              <w:rPr>
                <w:spacing w:val="-6"/>
                <w:sz w:val="20"/>
              </w:rPr>
              <w:t> </w:t>
            </w:r>
            <w:r>
              <w:rPr>
                <w:sz w:val="20"/>
              </w:rPr>
              <w:t>E11.3,</w:t>
            </w:r>
            <w:r>
              <w:rPr>
                <w:spacing w:val="-1"/>
                <w:sz w:val="20"/>
              </w:rPr>
              <w:t> </w:t>
            </w:r>
            <w:hyperlink r:id="rId206">
              <w:r>
                <w:rPr>
                  <w:sz w:val="20"/>
                </w:rPr>
                <w:t>H25.0</w:t>
              </w:r>
              <w:r>
                <w:rPr>
                  <w:spacing w:val="-3"/>
                  <w:sz w:val="20"/>
                </w:rPr>
                <w:t> </w:t>
              </w:r>
            </w:hyperlink>
            <w:r>
              <w:rPr>
                <w:spacing w:val="-10"/>
                <w:sz w:val="20"/>
              </w:rPr>
              <w:t>-</w:t>
            </w:r>
          </w:p>
          <w:p>
            <w:pPr>
              <w:pStyle w:val="TableParagraph"/>
              <w:spacing w:before="10"/>
              <w:ind w:left="164" w:right="65"/>
              <w:jc w:val="center"/>
              <w:rPr>
                <w:sz w:val="20"/>
              </w:rPr>
            </w:pPr>
            <w:hyperlink r:id="rId207">
              <w:r>
                <w:rPr>
                  <w:sz w:val="20"/>
                </w:rPr>
                <w:t>H25.9,</w:t>
              </w:r>
              <w:r>
                <w:rPr>
                  <w:spacing w:val="-2"/>
                  <w:sz w:val="20"/>
                </w:rPr>
                <w:t> </w:t>
              </w:r>
            </w:hyperlink>
            <w:hyperlink r:id="rId201">
              <w:r>
                <w:rPr>
                  <w:sz w:val="20"/>
                </w:rPr>
                <w:t>H26.0</w:t>
              </w:r>
              <w:r>
                <w:rPr>
                  <w:spacing w:val="-1"/>
                  <w:sz w:val="20"/>
                </w:rPr>
                <w:t> </w:t>
              </w:r>
            </w:hyperlink>
            <w:r>
              <w:rPr>
                <w:sz w:val="20"/>
              </w:rPr>
              <w:t>-</w:t>
            </w:r>
            <w:r>
              <w:rPr>
                <w:spacing w:val="-5"/>
                <w:sz w:val="20"/>
              </w:rPr>
              <w:t> </w:t>
            </w:r>
            <w:hyperlink r:id="rId202">
              <w:r>
                <w:rPr>
                  <w:spacing w:val="-2"/>
                  <w:sz w:val="20"/>
                </w:rPr>
                <w:t>H26.4,</w:t>
              </w:r>
            </w:hyperlink>
          </w:p>
          <w:p>
            <w:pPr>
              <w:pStyle w:val="TableParagraph"/>
              <w:spacing w:before="10"/>
              <w:ind w:left="164" w:right="60"/>
              <w:jc w:val="center"/>
              <w:rPr>
                <w:sz w:val="20"/>
              </w:rPr>
            </w:pPr>
            <w:hyperlink r:id="rId208">
              <w:r>
                <w:rPr>
                  <w:sz w:val="20"/>
                </w:rPr>
                <w:t>H27.0,</w:t>
              </w:r>
              <w:r>
                <w:rPr>
                  <w:spacing w:val="-3"/>
                  <w:sz w:val="20"/>
                </w:rPr>
                <w:t> </w:t>
              </w:r>
            </w:hyperlink>
            <w:hyperlink r:id="rId209">
              <w:r>
                <w:rPr>
                  <w:sz w:val="20"/>
                </w:rPr>
                <w:t>H28,</w:t>
              </w:r>
              <w:r>
                <w:rPr>
                  <w:spacing w:val="-2"/>
                  <w:sz w:val="20"/>
                </w:rPr>
                <w:t> </w:t>
              </w:r>
            </w:hyperlink>
            <w:hyperlink r:id="rId210">
              <w:r>
                <w:rPr>
                  <w:sz w:val="20"/>
                </w:rPr>
                <w:t>H30.0</w:t>
              </w:r>
              <w:r>
                <w:rPr>
                  <w:spacing w:val="-3"/>
                  <w:sz w:val="20"/>
                </w:rPr>
                <w:t> </w:t>
              </w:r>
            </w:hyperlink>
            <w:r>
              <w:rPr>
                <w:spacing w:val="-10"/>
                <w:sz w:val="20"/>
              </w:rPr>
              <w:t>-</w:t>
            </w:r>
          </w:p>
          <w:p>
            <w:pPr>
              <w:pStyle w:val="TableParagraph"/>
              <w:spacing w:before="11"/>
              <w:ind w:left="164" w:right="65"/>
              <w:jc w:val="center"/>
              <w:rPr>
                <w:sz w:val="20"/>
              </w:rPr>
            </w:pPr>
            <w:hyperlink r:id="rId211">
              <w:r>
                <w:rPr>
                  <w:sz w:val="20"/>
                </w:rPr>
                <w:t>H30.9,</w:t>
              </w:r>
              <w:r>
                <w:rPr>
                  <w:spacing w:val="-3"/>
                  <w:sz w:val="20"/>
                </w:rPr>
                <w:t> </w:t>
              </w:r>
            </w:hyperlink>
            <w:hyperlink r:id="rId212">
              <w:r>
                <w:rPr>
                  <w:sz w:val="20"/>
                </w:rPr>
                <w:t>H31.3,</w:t>
              </w:r>
              <w:r>
                <w:rPr>
                  <w:spacing w:val="-4"/>
                  <w:sz w:val="20"/>
                </w:rPr>
                <w:t> </w:t>
              </w:r>
            </w:hyperlink>
            <w:hyperlink r:id="rId213">
              <w:r>
                <w:rPr>
                  <w:spacing w:val="-2"/>
                  <w:sz w:val="20"/>
                </w:rPr>
                <w:t>H32.8,</w:t>
              </w:r>
            </w:hyperlink>
          </w:p>
          <w:p>
            <w:pPr>
              <w:pStyle w:val="TableParagraph"/>
              <w:spacing w:before="10"/>
              <w:ind w:left="164" w:right="65"/>
              <w:jc w:val="center"/>
              <w:rPr>
                <w:sz w:val="20"/>
              </w:rPr>
            </w:pPr>
            <w:hyperlink r:id="rId214">
              <w:r>
                <w:rPr>
                  <w:sz w:val="20"/>
                </w:rPr>
                <w:t>H33.0</w:t>
              </w:r>
              <w:r>
                <w:rPr>
                  <w:spacing w:val="-1"/>
                  <w:sz w:val="20"/>
                </w:rPr>
                <w:t> </w:t>
              </w:r>
            </w:hyperlink>
            <w:r>
              <w:rPr>
                <w:sz w:val="20"/>
              </w:rPr>
              <w:t>-</w:t>
            </w:r>
            <w:r>
              <w:rPr>
                <w:spacing w:val="-5"/>
                <w:sz w:val="20"/>
              </w:rPr>
              <w:t> </w:t>
            </w:r>
            <w:hyperlink r:id="rId215">
              <w:r>
                <w:rPr>
                  <w:sz w:val="20"/>
                </w:rPr>
                <w:t>H33.5,</w:t>
              </w:r>
              <w:r>
                <w:rPr>
                  <w:spacing w:val="-2"/>
                  <w:sz w:val="20"/>
                </w:rPr>
                <w:t> </w:t>
              </w:r>
            </w:hyperlink>
            <w:hyperlink r:id="rId216">
              <w:r>
                <w:rPr>
                  <w:spacing w:val="-2"/>
                  <w:sz w:val="20"/>
                </w:rPr>
                <w:t>H34.8,</w:t>
              </w:r>
            </w:hyperlink>
          </w:p>
          <w:p>
            <w:pPr>
              <w:pStyle w:val="TableParagraph"/>
              <w:spacing w:before="10"/>
              <w:ind w:left="164" w:right="65"/>
              <w:jc w:val="center"/>
              <w:rPr>
                <w:sz w:val="20"/>
              </w:rPr>
            </w:pPr>
            <w:hyperlink r:id="rId217">
              <w:r>
                <w:rPr>
                  <w:sz w:val="20"/>
                </w:rPr>
                <w:t>H35.2</w:t>
              </w:r>
              <w:r>
                <w:rPr>
                  <w:spacing w:val="-1"/>
                  <w:sz w:val="20"/>
                </w:rPr>
                <w:t> </w:t>
              </w:r>
            </w:hyperlink>
            <w:r>
              <w:rPr>
                <w:sz w:val="20"/>
              </w:rPr>
              <w:t>-</w:t>
            </w:r>
            <w:r>
              <w:rPr>
                <w:spacing w:val="-5"/>
                <w:sz w:val="20"/>
              </w:rPr>
              <w:t> </w:t>
            </w:r>
            <w:hyperlink r:id="rId218">
              <w:r>
                <w:rPr>
                  <w:sz w:val="20"/>
                </w:rPr>
                <w:t>H35.4,</w:t>
              </w:r>
              <w:r>
                <w:rPr>
                  <w:spacing w:val="-2"/>
                  <w:sz w:val="20"/>
                </w:rPr>
                <w:t> </w:t>
              </w:r>
            </w:hyperlink>
            <w:hyperlink r:id="rId219">
              <w:r>
                <w:rPr>
                  <w:spacing w:val="-2"/>
                  <w:sz w:val="20"/>
                </w:rPr>
                <w:t>H36.8,</w:t>
              </w:r>
            </w:hyperlink>
          </w:p>
          <w:p>
            <w:pPr>
              <w:pStyle w:val="TableParagraph"/>
              <w:spacing w:line="249" w:lineRule="auto" w:before="10"/>
              <w:ind w:left="164" w:right="62"/>
              <w:jc w:val="center"/>
              <w:rPr>
                <w:sz w:val="20"/>
              </w:rPr>
            </w:pPr>
            <w:hyperlink r:id="rId220">
              <w:r>
                <w:rPr>
                  <w:sz w:val="20"/>
                </w:rPr>
                <w:t>H43.1,</w:t>
              </w:r>
              <w:r>
                <w:rPr>
                  <w:spacing w:val="-13"/>
                  <w:sz w:val="20"/>
                </w:rPr>
                <w:t> </w:t>
              </w:r>
            </w:hyperlink>
            <w:hyperlink r:id="rId221">
              <w:r>
                <w:rPr>
                  <w:sz w:val="20"/>
                </w:rPr>
                <w:t>H43.3,</w:t>
              </w:r>
              <w:r>
                <w:rPr>
                  <w:spacing w:val="-12"/>
                  <w:sz w:val="20"/>
                </w:rPr>
                <w:t> </w:t>
              </w:r>
            </w:hyperlink>
            <w:hyperlink r:id="rId222">
              <w:r>
                <w:rPr>
                  <w:sz w:val="20"/>
                </w:rPr>
                <w:t>H44.0,</w:t>
              </w:r>
            </w:hyperlink>
            <w:r>
              <w:rPr>
                <w:sz w:val="20"/>
              </w:rPr>
              <w:t> </w:t>
            </w:r>
            <w:hyperlink r:id="rId223">
              <w:r>
                <w:rPr>
                  <w:spacing w:val="-4"/>
                  <w:sz w:val="20"/>
                </w:rPr>
                <w:t>H44.1</w:t>
              </w:r>
            </w:hyperlink>
          </w:p>
        </w:tc>
        <w:tc>
          <w:tcPr>
            <w:tcW w:w="3149" w:type="dxa"/>
            <w:vMerge w:val="restart"/>
          </w:tcPr>
          <w:p>
            <w:pPr>
              <w:pStyle w:val="TableParagraph"/>
              <w:spacing w:line="249" w:lineRule="auto" w:before="120"/>
              <w:ind w:left="72" w:right="79"/>
              <w:rPr>
                <w:sz w:val="20"/>
              </w:rPr>
            </w:pPr>
            <w:r>
              <w:rPr>
                <w:sz w:val="20"/>
              </w:rPr>
              <w:t>сочетанная патология глаза у взрослых и детей (хориоретинальные воспаления, хориоретинальные</w:t>
            </w:r>
            <w:r>
              <w:rPr>
                <w:spacing w:val="-13"/>
                <w:sz w:val="20"/>
              </w:rPr>
              <w:t> </w:t>
            </w:r>
            <w:r>
              <w:rPr>
                <w:sz w:val="20"/>
              </w:rPr>
              <w:t>нарушения</w:t>
            </w:r>
            <w:r>
              <w:rPr>
                <w:spacing w:val="-12"/>
                <w:sz w:val="20"/>
              </w:rPr>
              <w:t> </w:t>
            </w:r>
            <w:r>
              <w:rPr>
                <w:sz w:val="20"/>
              </w:rPr>
              <w:t>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w:t>
            </w:r>
            <w:r>
              <w:rPr>
                <w:spacing w:val="-13"/>
                <w:sz w:val="20"/>
              </w:rPr>
              <w:t> </w:t>
            </w:r>
            <w:r>
              <w:rPr>
                <w:sz w:val="20"/>
              </w:rPr>
              <w:t>роговицы,</w:t>
            </w:r>
            <w:r>
              <w:rPr>
                <w:spacing w:val="-12"/>
                <w:sz w:val="20"/>
              </w:rPr>
              <w:t> </w:t>
            </w:r>
            <w:r>
              <w:rPr>
                <w:sz w:val="20"/>
              </w:rPr>
              <w:t>хрусталика, стекловидного тела.</w:t>
            </w:r>
          </w:p>
          <w:p>
            <w:pPr>
              <w:pStyle w:val="TableParagraph"/>
              <w:spacing w:line="249" w:lineRule="auto" w:before="13"/>
              <w:ind w:left="72" w:right="79"/>
              <w:rPr>
                <w:sz w:val="20"/>
              </w:rPr>
            </w:pPr>
            <w:r>
              <w:rPr>
                <w:sz w:val="20"/>
              </w:rPr>
              <w:t>Диабетическая ретинопатия взрослых, пролиферативная стадия,</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9"/>
                <w:sz w:val="20"/>
              </w:rPr>
              <w:t> </w:t>
            </w:r>
            <w:r>
              <w:rPr>
                <w:sz w:val="20"/>
              </w:rPr>
              <w:t>осложнением или с патологией хрусталика, стекловидного тела, вторичной глаукомой, макулярным отеком.</w:t>
            </w:r>
          </w:p>
          <w:p>
            <w:pPr>
              <w:pStyle w:val="TableParagraph"/>
              <w:spacing w:before="5"/>
              <w:ind w:left="72"/>
              <w:rPr>
                <w:sz w:val="20"/>
              </w:rPr>
            </w:pPr>
            <w:r>
              <w:rPr>
                <w:sz w:val="20"/>
              </w:rPr>
              <w:t>Отслойка</w:t>
            </w:r>
            <w:r>
              <w:rPr>
                <w:spacing w:val="-7"/>
                <w:sz w:val="20"/>
              </w:rPr>
              <w:t> </w:t>
            </w:r>
            <w:r>
              <w:rPr>
                <w:sz w:val="20"/>
              </w:rPr>
              <w:t>и</w:t>
            </w:r>
            <w:r>
              <w:rPr>
                <w:spacing w:val="-7"/>
                <w:sz w:val="20"/>
              </w:rPr>
              <w:t> </w:t>
            </w:r>
            <w:r>
              <w:rPr>
                <w:sz w:val="20"/>
              </w:rPr>
              <w:t>разрывы</w:t>
            </w:r>
            <w:r>
              <w:rPr>
                <w:spacing w:val="-6"/>
                <w:sz w:val="20"/>
              </w:rPr>
              <w:t> </w:t>
            </w:r>
            <w:r>
              <w:rPr>
                <w:spacing w:val="-2"/>
                <w:sz w:val="20"/>
              </w:rPr>
              <w:t>сетчатки,</w:t>
            </w:r>
          </w:p>
          <w:p>
            <w:pPr>
              <w:pStyle w:val="TableParagraph"/>
              <w:spacing w:line="210" w:lineRule="exact" w:before="10"/>
              <w:ind w:left="72"/>
              <w:rPr>
                <w:sz w:val="20"/>
              </w:rPr>
            </w:pPr>
            <w:r>
              <w:rPr>
                <w:sz w:val="20"/>
              </w:rPr>
              <w:t>тракционная</w:t>
            </w:r>
            <w:r>
              <w:rPr>
                <w:spacing w:val="-12"/>
                <w:sz w:val="20"/>
              </w:rPr>
              <w:t> </w:t>
            </w:r>
            <w:r>
              <w:rPr>
                <w:sz w:val="20"/>
              </w:rPr>
              <w:t>отслойка</w:t>
            </w:r>
            <w:r>
              <w:rPr>
                <w:spacing w:val="-11"/>
                <w:sz w:val="20"/>
              </w:rPr>
              <w:t> </w:t>
            </w:r>
            <w:r>
              <w:rPr>
                <w:spacing w:val="-2"/>
                <w:sz w:val="20"/>
              </w:rPr>
              <w:t>сетчатки,</w:t>
            </w:r>
          </w:p>
        </w:tc>
        <w:tc>
          <w:tcPr>
            <w:tcW w:w="1558" w:type="dxa"/>
          </w:tcPr>
          <w:p>
            <w:pPr>
              <w:pStyle w:val="TableParagraph"/>
              <w:spacing w:line="249" w:lineRule="auto" w:before="120"/>
              <w:ind w:left="80"/>
              <w:rPr>
                <w:sz w:val="20"/>
              </w:rPr>
            </w:pPr>
            <w:r>
              <w:rPr>
                <w:spacing w:val="-2"/>
                <w:sz w:val="20"/>
              </w:rPr>
              <w:t>хирургическое лечение</w:t>
            </w:r>
          </w:p>
        </w:tc>
        <w:tc>
          <w:tcPr>
            <w:tcW w:w="3605" w:type="dxa"/>
          </w:tcPr>
          <w:p>
            <w:pPr>
              <w:pStyle w:val="TableParagraph"/>
              <w:spacing w:line="249" w:lineRule="auto" w:before="120"/>
              <w:ind w:left="219" w:right="42"/>
              <w:rPr>
                <w:sz w:val="20"/>
              </w:rPr>
            </w:pPr>
            <w:r>
              <w:rPr>
                <w:sz w:val="20"/>
              </w:rPr>
              <w:t>эписклеральное круговое и (или) локальное</w:t>
            </w:r>
            <w:r>
              <w:rPr>
                <w:spacing w:val="-13"/>
                <w:sz w:val="20"/>
              </w:rPr>
              <w:t> </w:t>
            </w:r>
            <w:r>
              <w:rPr>
                <w:sz w:val="20"/>
              </w:rPr>
              <w:t>пломбирование</w:t>
            </w:r>
            <w:r>
              <w:rPr>
                <w:spacing w:val="-12"/>
                <w:sz w:val="20"/>
              </w:rPr>
              <w:t> </w:t>
            </w:r>
            <w:r>
              <w:rPr>
                <w:sz w:val="20"/>
              </w:rPr>
              <w:t>в</w:t>
            </w:r>
            <w:r>
              <w:rPr>
                <w:spacing w:val="-13"/>
                <w:sz w:val="20"/>
              </w:rPr>
              <w:t> </w:t>
            </w:r>
            <w:r>
              <w:rPr>
                <w:sz w:val="20"/>
              </w:rPr>
              <w:t>сочетании с</w:t>
            </w:r>
            <w:r>
              <w:rPr>
                <w:spacing w:val="-13"/>
                <w:sz w:val="20"/>
              </w:rPr>
              <w:t> </w:t>
            </w:r>
            <w:r>
              <w:rPr>
                <w:sz w:val="20"/>
              </w:rPr>
              <w:t>транспупиллярной</w:t>
            </w:r>
            <w:r>
              <w:rPr>
                <w:spacing w:val="-12"/>
                <w:sz w:val="20"/>
              </w:rPr>
              <w:t> </w:t>
            </w:r>
            <w:r>
              <w:rPr>
                <w:sz w:val="20"/>
              </w:rPr>
              <w:t>лазеркоагуляцией </w:t>
            </w:r>
            <w:r>
              <w:rPr>
                <w:spacing w:val="-2"/>
                <w:sz w:val="20"/>
              </w:rPr>
              <w:t>сетчатки</w:t>
            </w:r>
          </w:p>
        </w:tc>
      </w:tr>
      <w:tr>
        <w:trPr>
          <w:trHeight w:val="1440" w:hRule="atLeast"/>
        </w:trPr>
        <w:tc>
          <w:tcPr>
            <w:tcW w:w="2812" w:type="dxa"/>
            <w:vMerge/>
            <w:tcBorders>
              <w:top w:val="nil"/>
            </w:tcBorders>
          </w:tcPr>
          <w:p>
            <w:pPr>
              <w:rPr>
                <w:sz w:val="2"/>
                <w:szCs w:val="2"/>
              </w:rPr>
            </w:pPr>
          </w:p>
        </w:tc>
        <w:tc>
          <w:tcPr>
            <w:tcW w:w="2050" w:type="dxa"/>
            <w:vMerge/>
            <w:tcBorders>
              <w:top w:val="nil"/>
            </w:tcBorders>
          </w:tcPr>
          <w:p>
            <w:pPr>
              <w:rPr>
                <w:sz w:val="2"/>
                <w:szCs w:val="2"/>
              </w:rPr>
            </w:pPr>
          </w:p>
        </w:tc>
        <w:tc>
          <w:tcPr>
            <w:tcW w:w="3149" w:type="dxa"/>
            <w:vMerge/>
            <w:tcBorders>
              <w:top w:val="nil"/>
            </w:tcBorders>
          </w:tcPr>
          <w:p>
            <w:pPr>
              <w:rPr>
                <w:sz w:val="2"/>
                <w:szCs w:val="2"/>
              </w:rPr>
            </w:pPr>
          </w:p>
        </w:tc>
        <w:tc>
          <w:tcPr>
            <w:tcW w:w="1558" w:type="dxa"/>
          </w:tcPr>
          <w:p>
            <w:pPr>
              <w:pStyle w:val="TableParagraph"/>
              <w:rPr>
                <w:sz w:val="18"/>
              </w:rPr>
            </w:pPr>
          </w:p>
        </w:tc>
        <w:tc>
          <w:tcPr>
            <w:tcW w:w="3605" w:type="dxa"/>
          </w:tcPr>
          <w:p>
            <w:pPr>
              <w:pStyle w:val="TableParagraph"/>
              <w:spacing w:line="249" w:lineRule="auto" w:before="120"/>
              <w:ind w:left="219" w:right="277"/>
              <w:rPr>
                <w:sz w:val="20"/>
              </w:rPr>
            </w:pPr>
            <w:r>
              <w:rPr>
                <w:sz w:val="20"/>
              </w:rPr>
              <w:t>реконструкция</w:t>
            </w:r>
            <w:r>
              <w:rPr>
                <w:spacing w:val="-13"/>
                <w:sz w:val="20"/>
              </w:rPr>
              <w:t> </w:t>
            </w:r>
            <w:r>
              <w:rPr>
                <w:sz w:val="20"/>
              </w:rPr>
              <w:t>передней</w:t>
            </w:r>
            <w:r>
              <w:rPr>
                <w:spacing w:val="-12"/>
                <w:sz w:val="20"/>
              </w:rPr>
              <w:t> </w:t>
            </w:r>
            <w:r>
              <w:rPr>
                <w:sz w:val="20"/>
              </w:rPr>
              <w:t>камеры, включая лазерную экстракцию, осложненной катаракты с имплантацией эластичной интраокулярной линзы</w:t>
            </w:r>
          </w:p>
        </w:tc>
      </w:tr>
      <w:tr>
        <w:trPr>
          <w:trHeight w:val="2750" w:hRule="atLeast"/>
        </w:trPr>
        <w:tc>
          <w:tcPr>
            <w:tcW w:w="2812" w:type="dxa"/>
          </w:tcPr>
          <w:p>
            <w:pPr>
              <w:pStyle w:val="TableParagraph"/>
              <w:rPr>
                <w:sz w:val="18"/>
              </w:rPr>
            </w:pPr>
          </w:p>
        </w:tc>
        <w:tc>
          <w:tcPr>
            <w:tcW w:w="2050" w:type="dxa"/>
          </w:tcPr>
          <w:p>
            <w:pPr>
              <w:pStyle w:val="TableParagraph"/>
              <w:rPr>
                <w:sz w:val="18"/>
              </w:rPr>
            </w:pPr>
          </w:p>
        </w:tc>
        <w:tc>
          <w:tcPr>
            <w:tcW w:w="3149" w:type="dxa"/>
            <w:vMerge/>
            <w:tcBorders>
              <w:top w:val="nil"/>
            </w:tcBorders>
          </w:tcPr>
          <w:p>
            <w:pPr>
              <w:rPr>
                <w:sz w:val="2"/>
                <w:szCs w:val="2"/>
              </w:rPr>
            </w:pPr>
          </w:p>
        </w:tc>
        <w:tc>
          <w:tcPr>
            <w:tcW w:w="1558" w:type="dxa"/>
          </w:tcPr>
          <w:p>
            <w:pPr>
              <w:pStyle w:val="TableParagraph"/>
              <w:rPr>
                <w:sz w:val="18"/>
              </w:rPr>
            </w:pPr>
          </w:p>
        </w:tc>
        <w:tc>
          <w:tcPr>
            <w:tcW w:w="3605" w:type="dxa"/>
          </w:tcPr>
          <w:p>
            <w:pPr>
              <w:pStyle w:val="TableParagraph"/>
              <w:spacing w:line="249" w:lineRule="auto" w:before="120"/>
              <w:ind w:left="219" w:right="42"/>
              <w:rPr>
                <w:sz w:val="20"/>
              </w:rPr>
            </w:pPr>
            <w:r>
              <w:rPr>
                <w:sz w:val="20"/>
              </w:rPr>
              <w:t>удаление вторичной катаракты, реконструкция задней камеры, в том числе</w:t>
            </w:r>
            <w:r>
              <w:rPr>
                <w:spacing w:val="-13"/>
                <w:sz w:val="20"/>
              </w:rPr>
              <w:t> </w:t>
            </w:r>
            <w:r>
              <w:rPr>
                <w:sz w:val="20"/>
              </w:rPr>
              <w:t>с</w:t>
            </w:r>
            <w:r>
              <w:rPr>
                <w:spacing w:val="-12"/>
                <w:sz w:val="20"/>
              </w:rPr>
              <w:t> </w:t>
            </w:r>
            <w:r>
              <w:rPr>
                <w:sz w:val="20"/>
              </w:rPr>
              <w:t>имплантацией</w:t>
            </w:r>
            <w:r>
              <w:rPr>
                <w:spacing w:val="-13"/>
                <w:sz w:val="20"/>
              </w:rPr>
              <w:t> </w:t>
            </w:r>
            <w:r>
              <w:rPr>
                <w:sz w:val="20"/>
              </w:rPr>
              <w:t>интраокулярной линзы, в том числе с применением лазерной хирургии</w:t>
            </w:r>
          </w:p>
          <w:p>
            <w:pPr>
              <w:pStyle w:val="TableParagraph"/>
              <w:spacing w:before="3"/>
              <w:rPr>
                <w:sz w:val="21"/>
              </w:rPr>
            </w:pPr>
          </w:p>
          <w:p>
            <w:pPr>
              <w:pStyle w:val="TableParagraph"/>
              <w:spacing w:line="249" w:lineRule="auto"/>
              <w:ind w:left="219" w:right="277"/>
              <w:rPr>
                <w:sz w:val="20"/>
              </w:rPr>
            </w:pPr>
            <w:r>
              <w:rPr>
                <w:sz w:val="20"/>
              </w:rPr>
              <w:t>интравитреальное введение ингибитора</w:t>
            </w:r>
            <w:r>
              <w:rPr>
                <w:spacing w:val="-13"/>
                <w:sz w:val="20"/>
              </w:rPr>
              <w:t> </w:t>
            </w:r>
            <w:r>
              <w:rPr>
                <w:sz w:val="20"/>
              </w:rPr>
              <w:t>ангиогенеза</w:t>
            </w:r>
            <w:r>
              <w:rPr>
                <w:spacing w:val="-12"/>
                <w:sz w:val="20"/>
              </w:rPr>
              <w:t> </w:t>
            </w:r>
            <w:r>
              <w:rPr>
                <w:sz w:val="20"/>
              </w:rPr>
              <w:t>и</w:t>
            </w:r>
            <w:r>
              <w:rPr>
                <w:spacing w:val="-13"/>
                <w:sz w:val="20"/>
              </w:rPr>
              <w:t> </w:t>
            </w:r>
            <w:r>
              <w:rPr>
                <w:sz w:val="20"/>
              </w:rPr>
              <w:t>(или) </w:t>
            </w:r>
            <w:r>
              <w:rPr>
                <w:spacing w:val="-2"/>
                <w:sz w:val="20"/>
              </w:rPr>
              <w:t>имплантата</w:t>
            </w:r>
          </w:p>
          <w:p>
            <w:pPr>
              <w:pStyle w:val="TableParagraph"/>
              <w:spacing w:before="3"/>
              <w:ind w:left="219"/>
              <w:rPr>
                <w:sz w:val="20"/>
              </w:rPr>
            </w:pPr>
            <w:r>
              <w:rPr>
                <w:sz w:val="20"/>
              </w:rPr>
              <w:t>с</w:t>
            </w:r>
            <w:r>
              <w:rPr>
                <w:spacing w:val="-1"/>
                <w:sz w:val="20"/>
              </w:rPr>
              <w:t> </w:t>
            </w:r>
            <w:r>
              <w:rPr>
                <w:spacing w:val="-2"/>
                <w:sz w:val="20"/>
              </w:rPr>
              <w:t>глюкокортикоидом</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8"/>
        <w:gridCol w:w="2002"/>
        <w:gridCol w:w="3151"/>
        <w:gridCol w:w="1538"/>
        <w:gridCol w:w="3514"/>
      </w:tblGrid>
      <w:tr>
        <w:trPr>
          <w:trHeight w:val="4191" w:hRule="atLeast"/>
        </w:trPr>
        <w:tc>
          <w:tcPr>
            <w:tcW w:w="2878" w:type="dxa"/>
          </w:tcPr>
          <w:p>
            <w:pPr>
              <w:pStyle w:val="TableParagraph"/>
              <w:rPr>
                <w:sz w:val="18"/>
              </w:rPr>
            </w:pPr>
          </w:p>
        </w:tc>
        <w:tc>
          <w:tcPr>
            <w:tcW w:w="2002" w:type="dxa"/>
          </w:tcPr>
          <w:p>
            <w:pPr>
              <w:pStyle w:val="TableParagraph"/>
              <w:rPr>
                <w:sz w:val="18"/>
              </w:rPr>
            </w:pPr>
          </w:p>
        </w:tc>
        <w:tc>
          <w:tcPr>
            <w:tcW w:w="3151" w:type="dxa"/>
          </w:tcPr>
          <w:p>
            <w:pPr>
              <w:pStyle w:val="TableParagraph"/>
              <w:spacing w:line="249" w:lineRule="auto"/>
              <w:ind w:left="55"/>
              <w:rPr>
                <w:sz w:val="20"/>
              </w:rPr>
            </w:pPr>
            <w:r>
              <w:rPr>
                <w:sz w:val="20"/>
              </w:rPr>
              <w:t>другие</w:t>
            </w:r>
            <w:r>
              <w:rPr>
                <w:spacing w:val="-5"/>
                <w:sz w:val="20"/>
              </w:rPr>
              <w:t> </w:t>
            </w:r>
            <w:r>
              <w:rPr>
                <w:sz w:val="20"/>
              </w:rPr>
              <w:t>формы</w:t>
            </w:r>
            <w:r>
              <w:rPr>
                <w:spacing w:val="-5"/>
                <w:sz w:val="20"/>
              </w:rPr>
              <w:t> </w:t>
            </w:r>
            <w:r>
              <w:rPr>
                <w:sz w:val="20"/>
              </w:rPr>
              <w:t>отслойки</w:t>
            </w:r>
            <w:r>
              <w:rPr>
                <w:spacing w:val="-6"/>
                <w:sz w:val="20"/>
              </w:rPr>
              <w:t> </w:t>
            </w:r>
            <w:r>
              <w:rPr>
                <w:sz w:val="20"/>
              </w:rPr>
              <w:t>сетчатки</w:t>
            </w:r>
            <w:r>
              <w:rPr>
                <w:spacing w:val="-2"/>
                <w:sz w:val="20"/>
              </w:rPr>
              <w:t> </w:t>
            </w:r>
            <w:r>
              <w:rPr>
                <w:sz w:val="20"/>
              </w:rPr>
              <w:t>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w:t>
            </w:r>
            <w:r>
              <w:rPr>
                <w:spacing w:val="-13"/>
                <w:sz w:val="20"/>
              </w:rPr>
              <w:t> </w:t>
            </w:r>
            <w:r>
              <w:rPr>
                <w:sz w:val="20"/>
              </w:rPr>
              <w:t>глаукомой,</w:t>
            </w:r>
            <w:r>
              <w:rPr>
                <w:spacing w:val="-12"/>
                <w:sz w:val="20"/>
              </w:rPr>
              <w:t> </w:t>
            </w:r>
            <w:r>
              <w:rPr>
                <w:sz w:val="20"/>
              </w:rPr>
              <w:t>патологией стекловидного тела, сетчатки, сосудистой оболочки.</w:t>
            </w:r>
          </w:p>
          <w:p>
            <w:pPr>
              <w:pStyle w:val="TableParagraph"/>
              <w:spacing w:line="249" w:lineRule="auto"/>
              <w:ind w:left="55" w:right="197"/>
              <w:rPr>
                <w:sz w:val="20"/>
              </w:rPr>
            </w:pPr>
            <w:r>
              <w:rPr>
                <w:sz w:val="20"/>
              </w:rPr>
              <w:t>Осложнения, возникшие в результате предшествующих </w:t>
            </w:r>
            <w:r>
              <w:rPr>
                <w:spacing w:val="-2"/>
                <w:sz w:val="20"/>
              </w:rPr>
              <w:t>оптико-реконструктивных, </w:t>
            </w:r>
            <w:r>
              <w:rPr>
                <w:sz w:val="20"/>
              </w:rPr>
              <w:t>эндовитреальных</w:t>
            </w:r>
            <w:r>
              <w:rPr>
                <w:spacing w:val="-13"/>
                <w:sz w:val="20"/>
              </w:rPr>
              <w:t> </w:t>
            </w:r>
            <w:r>
              <w:rPr>
                <w:sz w:val="20"/>
              </w:rPr>
              <w:t>вмешательств</w:t>
            </w:r>
            <w:r>
              <w:rPr>
                <w:spacing w:val="-12"/>
                <w:sz w:val="20"/>
              </w:rPr>
              <w:t> </w:t>
            </w:r>
            <w:r>
              <w:rPr>
                <w:sz w:val="20"/>
              </w:rPr>
              <w:t>у взрослых и детей. Возрастная макулярная</w:t>
            </w:r>
            <w:r>
              <w:rPr>
                <w:spacing w:val="-13"/>
                <w:sz w:val="20"/>
              </w:rPr>
              <w:t> </w:t>
            </w:r>
            <w:r>
              <w:rPr>
                <w:sz w:val="20"/>
              </w:rPr>
              <w:t>дегенерация,</w:t>
            </w:r>
            <w:r>
              <w:rPr>
                <w:spacing w:val="-12"/>
                <w:sz w:val="20"/>
              </w:rPr>
              <w:t> </w:t>
            </w:r>
            <w:r>
              <w:rPr>
                <w:sz w:val="20"/>
              </w:rPr>
              <w:t>влажная форма, в том числе с </w:t>
            </w:r>
            <w:r>
              <w:rPr>
                <w:spacing w:val="-2"/>
                <w:sz w:val="20"/>
              </w:rPr>
              <w:t>осложнениями</w:t>
            </w:r>
          </w:p>
        </w:tc>
        <w:tc>
          <w:tcPr>
            <w:tcW w:w="1538" w:type="dxa"/>
          </w:tcPr>
          <w:p>
            <w:pPr>
              <w:pStyle w:val="TableParagraph"/>
              <w:rPr>
                <w:sz w:val="18"/>
              </w:rPr>
            </w:pPr>
          </w:p>
        </w:tc>
        <w:tc>
          <w:tcPr>
            <w:tcW w:w="3514" w:type="dxa"/>
          </w:tcPr>
          <w:p>
            <w:pPr>
              <w:pStyle w:val="TableParagraph"/>
              <w:rPr>
                <w:sz w:val="18"/>
              </w:rPr>
            </w:pPr>
          </w:p>
        </w:tc>
      </w:tr>
      <w:tr>
        <w:trPr>
          <w:trHeight w:val="720" w:hRule="atLeast"/>
        </w:trPr>
        <w:tc>
          <w:tcPr>
            <w:tcW w:w="2878" w:type="dxa"/>
            <w:vMerge w:val="restart"/>
          </w:tcPr>
          <w:p>
            <w:pPr>
              <w:pStyle w:val="TableParagraph"/>
              <w:spacing w:line="249" w:lineRule="auto" w:before="120"/>
              <w:ind w:left="50" w:right="74"/>
              <w:rPr>
                <w:sz w:val="20"/>
              </w:rPr>
            </w:pPr>
            <w:r>
              <w:rPr>
                <w:spacing w:val="-2"/>
                <w:sz w:val="20"/>
              </w:rPr>
              <w:t>Реконструктивно-пластические</w:t>
            </w:r>
            <w:r>
              <w:rPr>
                <w:spacing w:val="40"/>
                <w:sz w:val="20"/>
              </w:rPr>
              <w:t> </w:t>
            </w:r>
            <w:r>
              <w:rPr>
                <w:sz w:val="20"/>
              </w:rPr>
              <w:t>и оптико-реконструктивные операции при травмах (открытых,</w:t>
            </w:r>
            <w:r>
              <w:rPr>
                <w:spacing w:val="-13"/>
                <w:sz w:val="20"/>
              </w:rPr>
              <w:t> </w:t>
            </w:r>
            <w:r>
              <w:rPr>
                <w:sz w:val="20"/>
              </w:rPr>
              <w:t>закрытых)</w:t>
            </w:r>
            <w:r>
              <w:rPr>
                <w:spacing w:val="-12"/>
                <w:sz w:val="20"/>
              </w:rPr>
              <w:t> </w:t>
            </w:r>
            <w:r>
              <w:rPr>
                <w:sz w:val="20"/>
              </w:rPr>
              <w:t>глаза,</w:t>
            </w:r>
            <w:r>
              <w:rPr>
                <w:spacing w:val="-13"/>
                <w:sz w:val="20"/>
              </w:rPr>
              <w:t> </w:t>
            </w:r>
            <w:r>
              <w:rPr>
                <w:sz w:val="20"/>
              </w:rPr>
              <w:t>его придаточного</w:t>
            </w:r>
            <w:r>
              <w:rPr>
                <w:spacing w:val="-12"/>
                <w:sz w:val="20"/>
              </w:rPr>
              <w:t> </w:t>
            </w:r>
            <w:r>
              <w:rPr>
                <w:sz w:val="20"/>
              </w:rPr>
              <w:t>аппарата,</w:t>
            </w:r>
            <w:r>
              <w:rPr>
                <w:spacing w:val="-12"/>
                <w:sz w:val="20"/>
              </w:rPr>
              <w:t> </w:t>
            </w:r>
            <w:r>
              <w:rPr>
                <w:spacing w:val="-2"/>
                <w:sz w:val="20"/>
              </w:rPr>
              <w:t>орбиты</w:t>
            </w:r>
          </w:p>
        </w:tc>
        <w:tc>
          <w:tcPr>
            <w:tcW w:w="2002" w:type="dxa"/>
            <w:vMerge w:val="restart"/>
          </w:tcPr>
          <w:p>
            <w:pPr>
              <w:pStyle w:val="TableParagraph"/>
              <w:spacing w:before="120"/>
              <w:ind w:left="76"/>
              <w:rPr>
                <w:sz w:val="20"/>
              </w:rPr>
            </w:pPr>
            <w:hyperlink r:id="rId224">
              <w:r>
                <w:rPr>
                  <w:sz w:val="20"/>
                </w:rPr>
                <w:t>H02.0</w:t>
              </w:r>
              <w:r>
                <w:rPr>
                  <w:spacing w:val="-2"/>
                  <w:sz w:val="20"/>
                </w:rPr>
                <w:t> </w:t>
              </w:r>
            </w:hyperlink>
            <w:r>
              <w:rPr>
                <w:sz w:val="20"/>
              </w:rPr>
              <w:t>-</w:t>
            </w:r>
            <w:r>
              <w:rPr>
                <w:spacing w:val="-5"/>
                <w:sz w:val="20"/>
              </w:rPr>
              <w:t> </w:t>
            </w:r>
            <w:hyperlink r:id="rId225">
              <w:r>
                <w:rPr>
                  <w:sz w:val="20"/>
                </w:rPr>
                <w:t>H02.5,</w:t>
              </w:r>
              <w:r>
                <w:rPr>
                  <w:spacing w:val="-2"/>
                  <w:sz w:val="20"/>
                </w:rPr>
                <w:t> </w:t>
              </w:r>
            </w:hyperlink>
            <w:hyperlink r:id="rId226">
              <w:r>
                <w:rPr>
                  <w:sz w:val="20"/>
                </w:rPr>
                <w:t>H04.0</w:t>
              </w:r>
              <w:r>
                <w:rPr>
                  <w:spacing w:val="-2"/>
                  <w:sz w:val="20"/>
                </w:rPr>
                <w:t> </w:t>
              </w:r>
            </w:hyperlink>
            <w:r>
              <w:rPr>
                <w:spacing w:val="-10"/>
                <w:sz w:val="20"/>
              </w:rPr>
              <w:t>-</w:t>
            </w:r>
          </w:p>
          <w:p>
            <w:pPr>
              <w:pStyle w:val="TableParagraph"/>
              <w:spacing w:before="10"/>
              <w:ind w:left="107"/>
              <w:rPr>
                <w:sz w:val="20"/>
              </w:rPr>
            </w:pPr>
            <w:hyperlink r:id="rId227">
              <w:r>
                <w:rPr>
                  <w:sz w:val="20"/>
                </w:rPr>
                <w:t>H04.6,</w:t>
              </w:r>
              <w:r>
                <w:rPr>
                  <w:spacing w:val="-2"/>
                  <w:sz w:val="20"/>
                </w:rPr>
                <w:t> </w:t>
              </w:r>
            </w:hyperlink>
            <w:hyperlink r:id="rId228">
              <w:r>
                <w:rPr>
                  <w:sz w:val="20"/>
                </w:rPr>
                <w:t>H05.0</w:t>
              </w:r>
              <w:r>
                <w:rPr>
                  <w:spacing w:val="-1"/>
                  <w:sz w:val="20"/>
                </w:rPr>
                <w:t> </w:t>
              </w:r>
            </w:hyperlink>
            <w:r>
              <w:rPr>
                <w:sz w:val="20"/>
              </w:rPr>
              <w:t>-</w:t>
            </w:r>
            <w:r>
              <w:rPr>
                <w:spacing w:val="-5"/>
                <w:sz w:val="20"/>
              </w:rPr>
              <w:t> </w:t>
            </w:r>
            <w:hyperlink r:id="rId229">
              <w:r>
                <w:rPr>
                  <w:spacing w:val="-2"/>
                  <w:sz w:val="20"/>
                </w:rPr>
                <w:t>H05.5,</w:t>
              </w:r>
            </w:hyperlink>
          </w:p>
          <w:p>
            <w:pPr>
              <w:pStyle w:val="TableParagraph"/>
              <w:spacing w:before="10"/>
              <w:ind w:left="141"/>
              <w:rPr>
                <w:sz w:val="20"/>
              </w:rPr>
            </w:pPr>
            <w:hyperlink r:id="rId230">
              <w:r>
                <w:rPr>
                  <w:sz w:val="20"/>
                </w:rPr>
                <w:t>H11.2,</w:t>
              </w:r>
              <w:r>
                <w:rPr>
                  <w:spacing w:val="-3"/>
                  <w:sz w:val="20"/>
                </w:rPr>
                <w:t> </w:t>
              </w:r>
            </w:hyperlink>
            <w:hyperlink r:id="rId231">
              <w:r>
                <w:rPr>
                  <w:sz w:val="20"/>
                </w:rPr>
                <w:t>H21.5,</w:t>
              </w:r>
              <w:r>
                <w:rPr>
                  <w:spacing w:val="-4"/>
                  <w:sz w:val="20"/>
                </w:rPr>
                <w:t> </w:t>
              </w:r>
            </w:hyperlink>
            <w:hyperlink r:id="rId208">
              <w:r>
                <w:rPr>
                  <w:spacing w:val="-2"/>
                  <w:sz w:val="20"/>
                </w:rPr>
                <w:t>H27.0,</w:t>
              </w:r>
            </w:hyperlink>
          </w:p>
          <w:p>
            <w:pPr>
              <w:pStyle w:val="TableParagraph"/>
              <w:spacing w:before="10"/>
              <w:ind w:left="107"/>
              <w:rPr>
                <w:sz w:val="20"/>
              </w:rPr>
            </w:pPr>
            <w:hyperlink r:id="rId232">
              <w:r>
                <w:rPr>
                  <w:sz w:val="20"/>
                </w:rPr>
                <w:t>H27.1,</w:t>
              </w:r>
              <w:r>
                <w:rPr>
                  <w:spacing w:val="-2"/>
                  <w:sz w:val="20"/>
                </w:rPr>
                <w:t> </w:t>
              </w:r>
            </w:hyperlink>
            <w:hyperlink r:id="rId201">
              <w:r>
                <w:rPr>
                  <w:sz w:val="20"/>
                </w:rPr>
                <w:t>H26.0</w:t>
              </w:r>
              <w:r>
                <w:rPr>
                  <w:spacing w:val="-1"/>
                  <w:sz w:val="20"/>
                </w:rPr>
                <w:t> </w:t>
              </w:r>
            </w:hyperlink>
            <w:r>
              <w:rPr>
                <w:sz w:val="20"/>
              </w:rPr>
              <w:t>-</w:t>
            </w:r>
            <w:r>
              <w:rPr>
                <w:spacing w:val="-5"/>
                <w:sz w:val="20"/>
              </w:rPr>
              <w:t> </w:t>
            </w:r>
            <w:hyperlink r:id="rId233">
              <w:r>
                <w:rPr>
                  <w:spacing w:val="-2"/>
                  <w:sz w:val="20"/>
                </w:rPr>
                <w:t>H26.9,</w:t>
              </w:r>
            </w:hyperlink>
          </w:p>
          <w:p>
            <w:pPr>
              <w:pStyle w:val="TableParagraph"/>
              <w:spacing w:line="249" w:lineRule="auto" w:before="10"/>
              <w:ind w:left="90" w:right="73"/>
              <w:jc w:val="center"/>
              <w:rPr>
                <w:sz w:val="20"/>
              </w:rPr>
            </w:pPr>
            <w:hyperlink r:id="rId212">
              <w:r>
                <w:rPr>
                  <w:sz w:val="20"/>
                </w:rPr>
                <w:t>H31.3, </w:t>
              </w:r>
            </w:hyperlink>
            <w:hyperlink r:id="rId234">
              <w:r>
                <w:rPr>
                  <w:sz w:val="20"/>
                </w:rPr>
                <w:t>H40.3, </w:t>
              </w:r>
            </w:hyperlink>
            <w:hyperlink r:id="rId235">
              <w:r>
                <w:rPr>
                  <w:sz w:val="20"/>
                </w:rPr>
                <w:t>S00.1,</w:t>
              </w:r>
            </w:hyperlink>
            <w:r>
              <w:rPr>
                <w:sz w:val="20"/>
              </w:rPr>
              <w:t> </w:t>
            </w:r>
            <w:hyperlink r:id="rId236">
              <w:r>
                <w:rPr>
                  <w:sz w:val="20"/>
                </w:rPr>
                <w:t>S00.2,</w:t>
              </w:r>
              <w:r>
                <w:rPr>
                  <w:spacing w:val="-13"/>
                  <w:sz w:val="20"/>
                </w:rPr>
                <w:t> </w:t>
              </w:r>
            </w:hyperlink>
            <w:r>
              <w:rPr>
                <w:sz w:val="20"/>
              </w:rPr>
              <w:t>S02.30,</w:t>
            </w:r>
            <w:r>
              <w:rPr>
                <w:spacing w:val="-12"/>
                <w:sz w:val="20"/>
              </w:rPr>
              <w:t> </w:t>
            </w:r>
            <w:r>
              <w:rPr>
                <w:sz w:val="20"/>
              </w:rPr>
              <w:t>S02.31, S02.80,</w:t>
            </w:r>
            <w:r>
              <w:rPr>
                <w:spacing w:val="-6"/>
                <w:sz w:val="20"/>
              </w:rPr>
              <w:t> </w:t>
            </w:r>
            <w:r>
              <w:rPr>
                <w:sz w:val="20"/>
              </w:rPr>
              <w:t>S02.81,</w:t>
            </w:r>
            <w:r>
              <w:rPr>
                <w:spacing w:val="-3"/>
                <w:sz w:val="20"/>
              </w:rPr>
              <w:t> </w:t>
            </w:r>
            <w:hyperlink r:id="rId237">
              <w:r>
                <w:rPr>
                  <w:spacing w:val="-4"/>
                  <w:sz w:val="20"/>
                </w:rPr>
                <w:t>S04.0</w:t>
              </w:r>
            </w:hyperlink>
          </w:p>
          <w:p>
            <w:pPr>
              <w:pStyle w:val="TableParagraph"/>
              <w:spacing w:before="3"/>
              <w:ind w:left="100"/>
              <w:rPr>
                <w:sz w:val="20"/>
              </w:rPr>
            </w:pPr>
            <w:r>
              <w:rPr>
                <w:sz w:val="20"/>
              </w:rPr>
              <w:t>-</w:t>
            </w:r>
            <w:r>
              <w:rPr>
                <w:spacing w:val="-4"/>
                <w:sz w:val="20"/>
              </w:rPr>
              <w:t> </w:t>
            </w:r>
            <w:hyperlink r:id="rId238">
              <w:r>
                <w:rPr>
                  <w:sz w:val="20"/>
                </w:rPr>
                <w:t>S04.5,</w:t>
              </w:r>
              <w:r>
                <w:rPr>
                  <w:spacing w:val="-1"/>
                  <w:sz w:val="20"/>
                </w:rPr>
                <w:t> </w:t>
              </w:r>
            </w:hyperlink>
            <w:hyperlink r:id="rId239">
              <w:r>
                <w:rPr>
                  <w:sz w:val="20"/>
                </w:rPr>
                <w:t>S05.0</w:t>
              </w:r>
              <w:r>
                <w:rPr>
                  <w:spacing w:val="-3"/>
                  <w:sz w:val="20"/>
                </w:rPr>
                <w:t> </w:t>
              </w:r>
            </w:hyperlink>
            <w:r>
              <w:rPr>
                <w:sz w:val="20"/>
              </w:rPr>
              <w:t>-</w:t>
            </w:r>
            <w:r>
              <w:rPr>
                <w:spacing w:val="-4"/>
                <w:sz w:val="20"/>
              </w:rPr>
              <w:t> </w:t>
            </w:r>
            <w:hyperlink r:id="rId240">
              <w:r>
                <w:rPr>
                  <w:spacing w:val="-2"/>
                  <w:sz w:val="20"/>
                </w:rPr>
                <w:t>S05.9,</w:t>
              </w:r>
            </w:hyperlink>
          </w:p>
          <w:p>
            <w:pPr>
              <w:pStyle w:val="TableParagraph"/>
              <w:spacing w:before="10"/>
              <w:ind w:left="98"/>
              <w:rPr>
                <w:sz w:val="20"/>
              </w:rPr>
            </w:pPr>
            <w:hyperlink r:id="rId241">
              <w:r>
                <w:rPr>
                  <w:sz w:val="20"/>
                </w:rPr>
                <w:t>T26.0</w:t>
              </w:r>
              <w:r>
                <w:rPr>
                  <w:spacing w:val="-2"/>
                  <w:sz w:val="20"/>
                </w:rPr>
                <w:t> </w:t>
              </w:r>
            </w:hyperlink>
            <w:r>
              <w:rPr>
                <w:sz w:val="20"/>
              </w:rPr>
              <w:t>-</w:t>
            </w:r>
            <w:r>
              <w:rPr>
                <w:spacing w:val="-6"/>
                <w:sz w:val="20"/>
              </w:rPr>
              <w:t> </w:t>
            </w:r>
            <w:hyperlink r:id="rId242">
              <w:r>
                <w:rPr>
                  <w:sz w:val="20"/>
                </w:rPr>
                <w:t>T26.9,</w:t>
              </w:r>
              <w:r>
                <w:rPr>
                  <w:spacing w:val="-2"/>
                  <w:sz w:val="20"/>
                </w:rPr>
                <w:t> </w:t>
              </w:r>
            </w:hyperlink>
            <w:hyperlink r:id="rId222">
              <w:r>
                <w:rPr>
                  <w:sz w:val="20"/>
                </w:rPr>
                <w:t>H44.0</w:t>
              </w:r>
              <w:r>
                <w:rPr>
                  <w:spacing w:val="-4"/>
                  <w:sz w:val="20"/>
                </w:rPr>
                <w:t> </w:t>
              </w:r>
            </w:hyperlink>
            <w:r>
              <w:rPr>
                <w:spacing w:val="-10"/>
                <w:sz w:val="20"/>
              </w:rPr>
              <w:t>-</w:t>
            </w:r>
          </w:p>
          <w:p>
            <w:pPr>
              <w:pStyle w:val="TableParagraph"/>
              <w:spacing w:line="249" w:lineRule="auto" w:before="10"/>
              <w:ind w:left="201" w:hanging="39"/>
              <w:rPr>
                <w:sz w:val="20"/>
              </w:rPr>
            </w:pPr>
            <w:hyperlink r:id="rId243">
              <w:r>
                <w:rPr>
                  <w:sz w:val="20"/>
                </w:rPr>
                <w:t>H44.8,</w:t>
              </w:r>
              <w:r>
                <w:rPr>
                  <w:spacing w:val="-13"/>
                  <w:sz w:val="20"/>
                </w:rPr>
                <w:t> </w:t>
              </w:r>
            </w:hyperlink>
            <w:hyperlink r:id="rId244">
              <w:r>
                <w:rPr>
                  <w:sz w:val="20"/>
                </w:rPr>
                <w:t>T85.2,</w:t>
              </w:r>
              <w:r>
                <w:rPr>
                  <w:spacing w:val="-12"/>
                  <w:sz w:val="20"/>
                </w:rPr>
                <w:t> </w:t>
              </w:r>
            </w:hyperlink>
            <w:hyperlink r:id="rId245">
              <w:r>
                <w:rPr>
                  <w:sz w:val="20"/>
                </w:rPr>
                <w:t>T85.3,</w:t>
              </w:r>
            </w:hyperlink>
            <w:r>
              <w:rPr>
                <w:sz w:val="20"/>
              </w:rPr>
              <w:t> </w:t>
            </w:r>
            <w:hyperlink r:id="rId199">
              <w:r>
                <w:rPr>
                  <w:sz w:val="20"/>
                </w:rPr>
                <w:t>T90.4,</w:t>
              </w:r>
              <w:r>
                <w:rPr>
                  <w:spacing w:val="-6"/>
                  <w:sz w:val="20"/>
                </w:rPr>
                <w:t> </w:t>
              </w:r>
            </w:hyperlink>
            <w:hyperlink r:id="rId246">
              <w:r>
                <w:rPr>
                  <w:sz w:val="20"/>
                </w:rPr>
                <w:t>T95.0,</w:t>
              </w:r>
              <w:r>
                <w:rPr>
                  <w:spacing w:val="-3"/>
                  <w:sz w:val="20"/>
                </w:rPr>
                <w:t> </w:t>
              </w:r>
            </w:hyperlink>
            <w:hyperlink r:id="rId247">
              <w:r>
                <w:rPr>
                  <w:spacing w:val="-2"/>
                  <w:sz w:val="20"/>
                </w:rPr>
                <w:t>T95.8</w:t>
              </w:r>
            </w:hyperlink>
          </w:p>
        </w:tc>
        <w:tc>
          <w:tcPr>
            <w:tcW w:w="3151" w:type="dxa"/>
            <w:vMerge w:val="restart"/>
          </w:tcPr>
          <w:p>
            <w:pPr>
              <w:pStyle w:val="TableParagraph"/>
              <w:spacing w:line="249" w:lineRule="auto" w:before="120"/>
              <w:ind w:left="55" w:right="59"/>
              <w:rPr>
                <w:sz w:val="20"/>
              </w:rPr>
            </w:pPr>
            <w:r>
              <w:rPr>
                <w:sz w:val="20"/>
              </w:rPr>
              <w:t>травма глаза и глазницы, термические и химические ожоги, ограниченные</w:t>
            </w:r>
            <w:r>
              <w:rPr>
                <w:spacing w:val="-9"/>
                <w:sz w:val="20"/>
              </w:rPr>
              <w:t> </w:t>
            </w:r>
            <w:r>
              <w:rPr>
                <w:sz w:val="20"/>
              </w:rPr>
              <w:t>областью</w:t>
            </w:r>
            <w:r>
              <w:rPr>
                <w:spacing w:val="-10"/>
                <w:sz w:val="20"/>
              </w:rPr>
              <w:t> </w:t>
            </w:r>
            <w:r>
              <w:rPr>
                <w:sz w:val="20"/>
              </w:rPr>
              <w:t>глаза</w:t>
            </w:r>
            <w:r>
              <w:rPr>
                <w:spacing w:val="-10"/>
                <w:sz w:val="20"/>
              </w:rPr>
              <w:t> </w:t>
            </w:r>
            <w:r>
              <w:rPr>
                <w:sz w:val="20"/>
              </w:rPr>
              <w:t>и</w:t>
            </w:r>
            <w:r>
              <w:rPr>
                <w:spacing w:val="-11"/>
                <w:sz w:val="20"/>
              </w:rPr>
              <w:t> </w:t>
            </w:r>
            <w:r>
              <w:rPr>
                <w:sz w:val="20"/>
              </w:rPr>
              <w:t>его придаточного</w:t>
            </w:r>
            <w:r>
              <w:rPr>
                <w:spacing w:val="-13"/>
                <w:sz w:val="20"/>
              </w:rPr>
              <w:t> </w:t>
            </w:r>
            <w:r>
              <w:rPr>
                <w:sz w:val="20"/>
              </w:rPr>
              <w:t>аппарата,</w:t>
            </w:r>
            <w:r>
              <w:rPr>
                <w:spacing w:val="-12"/>
                <w:sz w:val="20"/>
              </w:rPr>
              <w:t> </w:t>
            </w:r>
            <w:r>
              <w:rPr>
                <w:sz w:val="20"/>
              </w:rPr>
              <w:t>при</w:t>
            </w:r>
            <w:r>
              <w:rPr>
                <w:spacing w:val="-13"/>
                <w:sz w:val="20"/>
              </w:rPr>
              <w:t> </w:t>
            </w:r>
            <w:r>
              <w:rPr>
                <w:sz w:val="20"/>
              </w:rPr>
              <w:t>острой или стабильной фазе при любой стадии у взрослых и детей осложненные патологией хрусталика, стекловидного тела, офтальмогипертензией,</w:t>
            </w:r>
            <w:r>
              <w:rPr>
                <w:spacing w:val="-13"/>
                <w:sz w:val="20"/>
              </w:rPr>
              <w:t> </w:t>
            </w:r>
            <w:r>
              <w:rPr>
                <w:sz w:val="20"/>
              </w:rPr>
              <w:t>переломом дна</w:t>
            </w:r>
            <w:r>
              <w:rPr>
                <w:spacing w:val="-5"/>
                <w:sz w:val="20"/>
              </w:rPr>
              <w:t> </w:t>
            </w:r>
            <w:r>
              <w:rPr>
                <w:sz w:val="20"/>
              </w:rPr>
              <w:t>орбиты,</w:t>
            </w:r>
            <w:r>
              <w:rPr>
                <w:spacing w:val="-5"/>
                <w:sz w:val="20"/>
              </w:rPr>
              <w:t> </w:t>
            </w:r>
            <w:r>
              <w:rPr>
                <w:sz w:val="20"/>
              </w:rPr>
              <w:t>открытой</w:t>
            </w:r>
            <w:r>
              <w:rPr>
                <w:spacing w:val="-6"/>
                <w:sz w:val="20"/>
              </w:rPr>
              <w:t> </w:t>
            </w:r>
            <w:r>
              <w:rPr>
                <w:sz w:val="20"/>
              </w:rPr>
              <w:t>раной</w:t>
            </w:r>
            <w:r>
              <w:rPr>
                <w:spacing w:val="-5"/>
                <w:sz w:val="20"/>
              </w:rPr>
              <w:t> </w:t>
            </w:r>
            <w:r>
              <w:rPr>
                <w:sz w:val="20"/>
              </w:rPr>
              <w:t>века</w:t>
            </w:r>
            <w:r>
              <w:rPr>
                <w:spacing w:val="-5"/>
                <w:sz w:val="20"/>
              </w:rPr>
              <w:t> </w:t>
            </w:r>
            <w:r>
              <w:rPr>
                <w:sz w:val="20"/>
              </w:rPr>
              <w:t>и окологлазничной области, вторичной глаукомой, энтропионом и трихиазом века, эктропионом века, лагофтальмом, птозом века, стенозом и</w:t>
            </w:r>
          </w:p>
          <w:p>
            <w:pPr>
              <w:pStyle w:val="TableParagraph"/>
              <w:spacing w:line="210" w:lineRule="exact" w:before="13"/>
              <w:ind w:left="55"/>
              <w:rPr>
                <w:sz w:val="20"/>
              </w:rPr>
            </w:pPr>
            <w:r>
              <w:rPr>
                <w:w w:val="95"/>
                <w:sz w:val="20"/>
              </w:rPr>
              <w:t>недостаточностью</w:t>
            </w:r>
            <w:r>
              <w:rPr>
                <w:spacing w:val="61"/>
                <w:sz w:val="20"/>
              </w:rPr>
              <w:t> </w:t>
            </w:r>
            <w:r>
              <w:rPr>
                <w:spacing w:val="-2"/>
                <w:sz w:val="20"/>
              </w:rPr>
              <w:t>слезных</w:t>
            </w:r>
          </w:p>
        </w:tc>
        <w:tc>
          <w:tcPr>
            <w:tcW w:w="1538" w:type="dxa"/>
          </w:tcPr>
          <w:p>
            <w:pPr>
              <w:pStyle w:val="TableParagraph"/>
              <w:spacing w:line="249" w:lineRule="auto" w:before="120"/>
              <w:ind w:left="60"/>
              <w:rPr>
                <w:sz w:val="20"/>
              </w:rPr>
            </w:pPr>
            <w:r>
              <w:rPr>
                <w:spacing w:val="-2"/>
                <w:sz w:val="20"/>
              </w:rPr>
              <w:t>хирургическое лечение</w:t>
            </w:r>
          </w:p>
        </w:tc>
        <w:tc>
          <w:tcPr>
            <w:tcW w:w="3514" w:type="dxa"/>
          </w:tcPr>
          <w:p>
            <w:pPr>
              <w:pStyle w:val="TableParagraph"/>
              <w:spacing w:line="249" w:lineRule="auto" w:before="120"/>
              <w:ind w:left="219" w:right="709"/>
              <w:rPr>
                <w:sz w:val="20"/>
              </w:rPr>
            </w:pPr>
            <w:r>
              <w:rPr>
                <w:sz w:val="20"/>
              </w:rPr>
              <w:t>иридоциклосклерэктомия</w:t>
            </w:r>
            <w:r>
              <w:rPr>
                <w:spacing w:val="-13"/>
                <w:sz w:val="20"/>
              </w:rPr>
              <w:t> </w:t>
            </w:r>
            <w:r>
              <w:rPr>
                <w:sz w:val="20"/>
              </w:rPr>
              <w:t>при </w:t>
            </w:r>
            <w:r>
              <w:rPr>
                <w:w w:val="95"/>
                <w:sz w:val="20"/>
              </w:rPr>
              <w:t>посттравматической</w:t>
            </w:r>
            <w:r>
              <w:rPr>
                <w:spacing w:val="69"/>
                <w:sz w:val="20"/>
              </w:rPr>
              <w:t> </w:t>
            </w:r>
            <w:r>
              <w:rPr>
                <w:spacing w:val="-2"/>
                <w:sz w:val="20"/>
              </w:rPr>
              <w:t>глаукоме</w:t>
            </w:r>
          </w:p>
        </w:tc>
      </w:tr>
      <w:tr>
        <w:trPr>
          <w:trHeight w:val="720" w:hRule="atLeast"/>
        </w:trPr>
        <w:tc>
          <w:tcPr>
            <w:tcW w:w="2878" w:type="dxa"/>
            <w:vMerge/>
            <w:tcBorders>
              <w:top w:val="nil"/>
            </w:tcBorders>
          </w:tcPr>
          <w:p>
            <w:pPr>
              <w:rPr>
                <w:sz w:val="2"/>
                <w:szCs w:val="2"/>
              </w:rPr>
            </w:pPr>
          </w:p>
        </w:tc>
        <w:tc>
          <w:tcPr>
            <w:tcW w:w="2002" w:type="dxa"/>
            <w:vMerge/>
            <w:tcBorders>
              <w:top w:val="nil"/>
            </w:tcBorders>
          </w:tcPr>
          <w:p>
            <w:pPr>
              <w:rPr>
                <w:sz w:val="2"/>
                <w:szCs w:val="2"/>
              </w:rPr>
            </w:pPr>
          </w:p>
        </w:tc>
        <w:tc>
          <w:tcPr>
            <w:tcW w:w="3151" w:type="dxa"/>
            <w:vMerge/>
            <w:tcBorders>
              <w:top w:val="nil"/>
            </w:tcBorders>
          </w:tcPr>
          <w:p>
            <w:pPr>
              <w:rPr>
                <w:sz w:val="2"/>
                <w:szCs w:val="2"/>
              </w:rPr>
            </w:pPr>
          </w:p>
        </w:tc>
        <w:tc>
          <w:tcPr>
            <w:tcW w:w="1538" w:type="dxa"/>
          </w:tcPr>
          <w:p>
            <w:pPr>
              <w:pStyle w:val="TableParagraph"/>
              <w:rPr>
                <w:sz w:val="18"/>
              </w:rPr>
            </w:pPr>
          </w:p>
        </w:tc>
        <w:tc>
          <w:tcPr>
            <w:tcW w:w="3514" w:type="dxa"/>
          </w:tcPr>
          <w:p>
            <w:pPr>
              <w:pStyle w:val="TableParagraph"/>
              <w:spacing w:line="249" w:lineRule="auto" w:before="120"/>
              <w:ind w:left="219" w:right="709"/>
              <w:rPr>
                <w:sz w:val="20"/>
              </w:rPr>
            </w:pPr>
            <w:r>
              <w:rPr>
                <w:sz w:val="20"/>
              </w:rPr>
              <w:t>имплантация дренажа при посттравматической</w:t>
            </w:r>
            <w:r>
              <w:rPr>
                <w:spacing w:val="-13"/>
                <w:sz w:val="20"/>
              </w:rPr>
              <w:t> </w:t>
            </w:r>
            <w:r>
              <w:rPr>
                <w:sz w:val="20"/>
              </w:rPr>
              <w:t>глаукоме</w:t>
            </w:r>
          </w:p>
        </w:tc>
      </w:tr>
      <w:tr>
        <w:trPr>
          <w:trHeight w:val="960" w:hRule="atLeast"/>
        </w:trPr>
        <w:tc>
          <w:tcPr>
            <w:tcW w:w="2878" w:type="dxa"/>
          </w:tcPr>
          <w:p>
            <w:pPr>
              <w:pStyle w:val="TableParagraph"/>
              <w:rPr>
                <w:sz w:val="18"/>
              </w:rPr>
            </w:pPr>
          </w:p>
        </w:tc>
        <w:tc>
          <w:tcPr>
            <w:tcW w:w="2002" w:type="dxa"/>
            <w:vMerge/>
            <w:tcBorders>
              <w:top w:val="nil"/>
            </w:tcBorders>
          </w:tcPr>
          <w:p>
            <w:pPr>
              <w:rPr>
                <w:sz w:val="2"/>
                <w:szCs w:val="2"/>
              </w:rPr>
            </w:pPr>
          </w:p>
        </w:tc>
        <w:tc>
          <w:tcPr>
            <w:tcW w:w="3151" w:type="dxa"/>
            <w:vMerge/>
            <w:tcBorders>
              <w:top w:val="nil"/>
            </w:tcBorders>
          </w:tcPr>
          <w:p>
            <w:pPr>
              <w:rPr>
                <w:sz w:val="2"/>
                <w:szCs w:val="2"/>
              </w:rPr>
            </w:pPr>
          </w:p>
        </w:tc>
        <w:tc>
          <w:tcPr>
            <w:tcW w:w="1538" w:type="dxa"/>
          </w:tcPr>
          <w:p>
            <w:pPr>
              <w:pStyle w:val="TableParagraph"/>
              <w:rPr>
                <w:sz w:val="18"/>
              </w:rPr>
            </w:pPr>
          </w:p>
        </w:tc>
        <w:tc>
          <w:tcPr>
            <w:tcW w:w="3514" w:type="dxa"/>
          </w:tcPr>
          <w:p>
            <w:pPr>
              <w:pStyle w:val="TableParagraph"/>
              <w:spacing w:line="249" w:lineRule="auto" w:before="120"/>
              <w:ind w:left="219" w:right="722"/>
              <w:rPr>
                <w:sz w:val="20"/>
              </w:rPr>
            </w:pPr>
            <w:r>
              <w:rPr>
                <w:sz w:val="20"/>
              </w:rPr>
              <w:t>исправление</w:t>
            </w:r>
            <w:r>
              <w:rPr>
                <w:spacing w:val="-13"/>
                <w:sz w:val="20"/>
              </w:rPr>
              <w:t> </w:t>
            </w:r>
            <w:r>
              <w:rPr>
                <w:sz w:val="20"/>
              </w:rPr>
              <w:t>травматического косоглазия с пластикой экстраокулярных мышц</w:t>
            </w:r>
          </w:p>
        </w:tc>
      </w:tr>
      <w:tr>
        <w:trPr>
          <w:trHeight w:val="1550" w:hRule="atLeast"/>
        </w:trPr>
        <w:tc>
          <w:tcPr>
            <w:tcW w:w="2878" w:type="dxa"/>
          </w:tcPr>
          <w:p>
            <w:pPr>
              <w:pStyle w:val="TableParagraph"/>
              <w:rPr>
                <w:sz w:val="18"/>
              </w:rPr>
            </w:pPr>
          </w:p>
        </w:tc>
        <w:tc>
          <w:tcPr>
            <w:tcW w:w="2002" w:type="dxa"/>
            <w:vMerge/>
            <w:tcBorders>
              <w:top w:val="nil"/>
            </w:tcBorders>
          </w:tcPr>
          <w:p>
            <w:pPr>
              <w:rPr>
                <w:sz w:val="2"/>
                <w:szCs w:val="2"/>
              </w:rPr>
            </w:pPr>
          </w:p>
        </w:tc>
        <w:tc>
          <w:tcPr>
            <w:tcW w:w="3151" w:type="dxa"/>
            <w:vMerge/>
            <w:tcBorders>
              <w:top w:val="nil"/>
            </w:tcBorders>
          </w:tcPr>
          <w:p>
            <w:pPr>
              <w:rPr>
                <w:sz w:val="2"/>
                <w:szCs w:val="2"/>
              </w:rPr>
            </w:pPr>
          </w:p>
        </w:tc>
        <w:tc>
          <w:tcPr>
            <w:tcW w:w="1538" w:type="dxa"/>
          </w:tcPr>
          <w:p>
            <w:pPr>
              <w:pStyle w:val="TableParagraph"/>
              <w:rPr>
                <w:sz w:val="18"/>
              </w:rPr>
            </w:pPr>
          </w:p>
        </w:tc>
        <w:tc>
          <w:tcPr>
            <w:tcW w:w="3514" w:type="dxa"/>
          </w:tcPr>
          <w:p>
            <w:pPr>
              <w:pStyle w:val="TableParagraph"/>
              <w:spacing w:line="249" w:lineRule="auto" w:before="120"/>
              <w:ind w:left="219"/>
              <w:rPr>
                <w:sz w:val="20"/>
              </w:rPr>
            </w:pPr>
            <w:r>
              <w:rPr>
                <w:sz w:val="20"/>
              </w:rPr>
              <w:t>факоаспирация травматической катаракты</w:t>
            </w:r>
            <w:r>
              <w:rPr>
                <w:spacing w:val="-13"/>
                <w:sz w:val="20"/>
              </w:rPr>
              <w:t> </w:t>
            </w:r>
            <w:r>
              <w:rPr>
                <w:sz w:val="20"/>
              </w:rPr>
              <w:t>с</w:t>
            </w:r>
            <w:r>
              <w:rPr>
                <w:spacing w:val="-12"/>
                <w:sz w:val="20"/>
              </w:rPr>
              <w:t> </w:t>
            </w:r>
            <w:r>
              <w:rPr>
                <w:sz w:val="20"/>
              </w:rPr>
              <w:t>имплантацией</w:t>
            </w:r>
            <w:r>
              <w:rPr>
                <w:spacing w:val="-13"/>
                <w:sz w:val="20"/>
              </w:rPr>
              <w:t> </w:t>
            </w:r>
            <w:r>
              <w:rPr>
                <w:sz w:val="20"/>
              </w:rPr>
              <w:t>различных моделей интраокулярной линзы</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0"/>
        <w:gridCol w:w="1980"/>
        <w:gridCol w:w="3165"/>
        <w:gridCol w:w="1691"/>
        <w:gridCol w:w="3315"/>
      </w:tblGrid>
      <w:tr>
        <w:trPr>
          <w:trHeight w:val="4191" w:hRule="atLeast"/>
        </w:trPr>
        <w:tc>
          <w:tcPr>
            <w:tcW w:w="2870" w:type="dxa"/>
          </w:tcPr>
          <w:p>
            <w:pPr>
              <w:pStyle w:val="TableParagraph"/>
              <w:rPr>
                <w:sz w:val="18"/>
              </w:rPr>
            </w:pPr>
          </w:p>
        </w:tc>
        <w:tc>
          <w:tcPr>
            <w:tcW w:w="1980" w:type="dxa"/>
          </w:tcPr>
          <w:p>
            <w:pPr>
              <w:pStyle w:val="TableParagraph"/>
              <w:rPr>
                <w:sz w:val="18"/>
              </w:rPr>
            </w:pPr>
          </w:p>
        </w:tc>
        <w:tc>
          <w:tcPr>
            <w:tcW w:w="3165" w:type="dxa"/>
          </w:tcPr>
          <w:p>
            <w:pPr>
              <w:pStyle w:val="TableParagraph"/>
              <w:spacing w:line="249" w:lineRule="auto"/>
              <w:ind w:left="85" w:right="52"/>
              <w:rPr>
                <w:sz w:val="20"/>
              </w:rPr>
            </w:pPr>
            <w:r>
              <w:rPr>
                <w:sz w:val="20"/>
              </w:rPr>
              <w:t>протоков, деформацией орбиты, энофтальмом, рубцами конъюнктивы, рубцами и помутнением</w:t>
            </w:r>
            <w:r>
              <w:rPr>
                <w:spacing w:val="-13"/>
                <w:sz w:val="20"/>
              </w:rPr>
              <w:t> </w:t>
            </w:r>
            <w:r>
              <w:rPr>
                <w:sz w:val="20"/>
              </w:rPr>
              <w:t>роговицы,</w:t>
            </w:r>
            <w:r>
              <w:rPr>
                <w:spacing w:val="-12"/>
                <w:sz w:val="20"/>
              </w:rPr>
              <w:t> </w:t>
            </w:r>
            <w:r>
              <w:rPr>
                <w:sz w:val="20"/>
              </w:rPr>
              <w:t>слипчивой лейкомой, гнойным </w:t>
            </w:r>
            <w:r>
              <w:rPr>
                <w:spacing w:val="-2"/>
                <w:sz w:val="20"/>
              </w:rPr>
              <w:t>эндофтальмитом,</w:t>
            </w:r>
            <w:r>
              <w:rPr>
                <w:spacing w:val="80"/>
                <w:sz w:val="20"/>
              </w:rPr>
              <w:t> </w:t>
            </w:r>
            <w:r>
              <w:rPr>
                <w:sz w:val="20"/>
              </w:rPr>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1" w:type="dxa"/>
          </w:tcPr>
          <w:p>
            <w:pPr>
              <w:pStyle w:val="TableParagraph"/>
              <w:rPr>
                <w:sz w:val="18"/>
              </w:rPr>
            </w:pPr>
          </w:p>
        </w:tc>
        <w:tc>
          <w:tcPr>
            <w:tcW w:w="3315" w:type="dxa"/>
          </w:tcPr>
          <w:p>
            <w:pPr>
              <w:pStyle w:val="TableParagraph"/>
              <w:rPr>
                <w:sz w:val="18"/>
              </w:rPr>
            </w:pPr>
          </w:p>
        </w:tc>
      </w:tr>
      <w:tr>
        <w:trPr>
          <w:trHeight w:val="900" w:hRule="atLeast"/>
        </w:trPr>
        <w:tc>
          <w:tcPr>
            <w:tcW w:w="2870" w:type="dxa"/>
            <w:vMerge w:val="restart"/>
          </w:tcPr>
          <w:p>
            <w:pPr>
              <w:pStyle w:val="TableParagraph"/>
              <w:spacing w:line="249" w:lineRule="auto" w:before="120"/>
              <w:ind w:left="50" w:right="140"/>
              <w:rPr>
                <w:sz w:val="20"/>
              </w:rPr>
            </w:pPr>
            <w:r>
              <w:rPr>
                <w:sz w:val="20"/>
              </w:rPr>
              <w:t>Хирургическое</w:t>
            </w:r>
            <w:r>
              <w:rPr>
                <w:spacing w:val="-13"/>
                <w:sz w:val="20"/>
              </w:rPr>
              <w:t> </w:t>
            </w:r>
            <w:r>
              <w:rPr>
                <w:sz w:val="20"/>
              </w:rPr>
              <w:t>и</w:t>
            </w:r>
            <w:r>
              <w:rPr>
                <w:spacing w:val="-12"/>
                <w:sz w:val="20"/>
              </w:rPr>
              <w:t> </w:t>
            </w:r>
            <w:r>
              <w:rPr>
                <w:sz w:val="20"/>
              </w:rPr>
              <w:t>(или)</w:t>
            </w:r>
            <w:r>
              <w:rPr>
                <w:spacing w:val="-13"/>
                <w:sz w:val="20"/>
              </w:rPr>
              <w:t> </w:t>
            </w:r>
            <w:r>
              <w:rPr>
                <w:sz w:val="20"/>
              </w:rPr>
              <w:t>лучевое лечение злокачественных новообразований глаза, его придаточного аппарата и орбиты, включая </w:t>
            </w:r>
            <w:r>
              <w:rPr>
                <w:spacing w:val="-2"/>
                <w:sz w:val="20"/>
              </w:rPr>
              <w:t>внутриорбитальные </w:t>
            </w:r>
            <w:r>
              <w:rPr>
                <w:sz w:val="20"/>
              </w:rPr>
              <w:t>доброкачественные опухоли, </w:t>
            </w:r>
            <w:r>
              <w:rPr>
                <w:spacing w:val="-2"/>
                <w:sz w:val="20"/>
              </w:rPr>
              <w:t>реконструктивно-пластическая </w:t>
            </w:r>
            <w:r>
              <w:rPr>
                <w:sz w:val="20"/>
              </w:rPr>
              <w:t>хирургия при их последствиях</w:t>
            </w:r>
          </w:p>
        </w:tc>
        <w:tc>
          <w:tcPr>
            <w:tcW w:w="1980" w:type="dxa"/>
          </w:tcPr>
          <w:p>
            <w:pPr>
              <w:pStyle w:val="TableParagraph"/>
              <w:spacing w:before="120"/>
              <w:ind w:left="240"/>
              <w:rPr>
                <w:sz w:val="20"/>
              </w:rPr>
            </w:pPr>
            <w:hyperlink r:id="rId248">
              <w:r>
                <w:rPr>
                  <w:sz w:val="20"/>
                </w:rPr>
                <w:t>C43.1,</w:t>
              </w:r>
              <w:r>
                <w:rPr>
                  <w:spacing w:val="-3"/>
                  <w:sz w:val="20"/>
                </w:rPr>
                <w:t> </w:t>
              </w:r>
            </w:hyperlink>
            <w:hyperlink r:id="rId249">
              <w:r>
                <w:rPr>
                  <w:sz w:val="20"/>
                </w:rPr>
                <w:t>C44.1,</w:t>
              </w:r>
              <w:r>
                <w:rPr>
                  <w:spacing w:val="-3"/>
                  <w:sz w:val="20"/>
                </w:rPr>
                <w:t> </w:t>
              </w:r>
            </w:hyperlink>
            <w:hyperlink r:id="rId69">
              <w:r>
                <w:rPr>
                  <w:spacing w:val="-4"/>
                  <w:sz w:val="20"/>
                </w:rPr>
                <w:t>C69,</w:t>
              </w:r>
            </w:hyperlink>
          </w:p>
          <w:p>
            <w:pPr>
              <w:pStyle w:val="TableParagraph"/>
              <w:spacing w:line="249" w:lineRule="auto" w:before="10"/>
              <w:ind w:left="141" w:firstLine="12"/>
              <w:rPr>
                <w:sz w:val="20"/>
              </w:rPr>
            </w:pPr>
            <w:hyperlink r:id="rId250">
              <w:r>
                <w:rPr>
                  <w:sz w:val="20"/>
                </w:rPr>
                <w:t>C72.3,</w:t>
              </w:r>
              <w:r>
                <w:rPr>
                  <w:spacing w:val="-10"/>
                  <w:sz w:val="20"/>
                </w:rPr>
                <w:t> </w:t>
              </w:r>
            </w:hyperlink>
            <w:hyperlink r:id="rId251">
              <w:r>
                <w:rPr>
                  <w:sz w:val="20"/>
                </w:rPr>
                <w:t>D31.5,</w:t>
              </w:r>
              <w:r>
                <w:rPr>
                  <w:spacing w:val="-10"/>
                  <w:sz w:val="20"/>
                </w:rPr>
                <w:t> </w:t>
              </w:r>
            </w:hyperlink>
            <w:hyperlink r:id="rId252">
              <w:r>
                <w:rPr>
                  <w:sz w:val="20"/>
                </w:rPr>
                <w:t>D31.6,</w:t>
              </w:r>
            </w:hyperlink>
            <w:r>
              <w:rPr>
                <w:sz w:val="20"/>
              </w:rPr>
              <w:t> </w:t>
            </w:r>
            <w:hyperlink r:id="rId253">
              <w:r>
                <w:rPr>
                  <w:sz w:val="20"/>
                </w:rPr>
                <w:t>Q10.7,</w:t>
              </w:r>
              <w:r>
                <w:rPr>
                  <w:spacing w:val="-2"/>
                  <w:sz w:val="20"/>
                </w:rPr>
                <w:t> </w:t>
              </w:r>
            </w:hyperlink>
            <w:hyperlink r:id="rId254">
              <w:r>
                <w:rPr>
                  <w:sz w:val="20"/>
                </w:rPr>
                <w:t>Q11.0</w:t>
              </w:r>
              <w:r>
                <w:rPr>
                  <w:spacing w:val="-1"/>
                  <w:sz w:val="20"/>
                </w:rPr>
                <w:t> </w:t>
              </w:r>
            </w:hyperlink>
            <w:r>
              <w:rPr>
                <w:sz w:val="20"/>
              </w:rPr>
              <w:t>-</w:t>
            </w:r>
            <w:r>
              <w:rPr>
                <w:spacing w:val="-5"/>
                <w:sz w:val="20"/>
              </w:rPr>
              <w:t> </w:t>
            </w:r>
            <w:hyperlink r:id="rId255">
              <w:r>
                <w:rPr>
                  <w:spacing w:val="-4"/>
                  <w:sz w:val="20"/>
                </w:rPr>
                <w:t>Q11.2</w:t>
              </w:r>
            </w:hyperlink>
          </w:p>
        </w:tc>
        <w:tc>
          <w:tcPr>
            <w:tcW w:w="3165" w:type="dxa"/>
            <w:vMerge w:val="restart"/>
          </w:tcPr>
          <w:p>
            <w:pPr>
              <w:pStyle w:val="TableParagraph"/>
              <w:spacing w:line="249" w:lineRule="auto" w:before="120"/>
              <w:ind w:left="85" w:right="77"/>
              <w:jc w:val="both"/>
              <w:rPr>
                <w:sz w:val="20"/>
              </w:rPr>
            </w:pPr>
            <w:r>
              <w:rPr>
                <w:sz w:val="20"/>
              </w:rPr>
              <w:t>злокачественные новообразования глаза</w:t>
            </w:r>
            <w:r>
              <w:rPr>
                <w:spacing w:val="-11"/>
                <w:sz w:val="20"/>
              </w:rPr>
              <w:t> </w:t>
            </w:r>
            <w:r>
              <w:rPr>
                <w:sz w:val="20"/>
              </w:rPr>
              <w:t>и</w:t>
            </w:r>
            <w:r>
              <w:rPr>
                <w:spacing w:val="-12"/>
                <w:sz w:val="20"/>
              </w:rPr>
              <w:t> </w:t>
            </w:r>
            <w:r>
              <w:rPr>
                <w:sz w:val="20"/>
              </w:rPr>
              <w:t>его</w:t>
            </w:r>
            <w:r>
              <w:rPr>
                <w:spacing w:val="-10"/>
                <w:sz w:val="20"/>
              </w:rPr>
              <w:t> </w:t>
            </w:r>
            <w:r>
              <w:rPr>
                <w:sz w:val="20"/>
              </w:rPr>
              <w:t>придаточного</w:t>
            </w:r>
            <w:r>
              <w:rPr>
                <w:spacing w:val="-10"/>
                <w:sz w:val="20"/>
              </w:rPr>
              <w:t> </w:t>
            </w:r>
            <w:r>
              <w:rPr>
                <w:sz w:val="20"/>
              </w:rPr>
              <w:t>аппарата, орбиты</w:t>
            </w:r>
            <w:r>
              <w:rPr>
                <w:spacing w:val="-6"/>
                <w:sz w:val="20"/>
              </w:rPr>
              <w:t> </w:t>
            </w:r>
            <w:r>
              <w:rPr>
                <w:sz w:val="20"/>
              </w:rPr>
              <w:t>у</w:t>
            </w:r>
            <w:r>
              <w:rPr>
                <w:spacing w:val="-12"/>
                <w:sz w:val="20"/>
              </w:rPr>
              <w:t> </w:t>
            </w:r>
            <w:r>
              <w:rPr>
                <w:sz w:val="20"/>
              </w:rPr>
              <w:t>взрослых</w:t>
            </w:r>
            <w:r>
              <w:rPr>
                <w:spacing w:val="-9"/>
                <w:sz w:val="20"/>
              </w:rPr>
              <w:t> </w:t>
            </w:r>
            <w:r>
              <w:rPr>
                <w:sz w:val="20"/>
              </w:rPr>
              <w:t>и</w:t>
            </w:r>
            <w:r>
              <w:rPr>
                <w:spacing w:val="-8"/>
                <w:sz w:val="20"/>
              </w:rPr>
              <w:t> </w:t>
            </w:r>
            <w:r>
              <w:rPr>
                <w:sz w:val="20"/>
              </w:rPr>
              <w:t>детей</w:t>
            </w:r>
            <w:r>
              <w:rPr>
                <w:spacing w:val="-9"/>
                <w:sz w:val="20"/>
              </w:rPr>
              <w:t> </w:t>
            </w:r>
            <w:r>
              <w:rPr>
                <w:sz w:val="20"/>
              </w:rPr>
              <w:t>(стадии T1 - T3 N0 M0).</w:t>
            </w:r>
          </w:p>
          <w:p>
            <w:pPr>
              <w:pStyle w:val="TableParagraph"/>
              <w:spacing w:line="249" w:lineRule="auto" w:before="3"/>
              <w:ind w:left="85"/>
              <w:rPr>
                <w:sz w:val="20"/>
              </w:rPr>
            </w:pPr>
            <w:r>
              <w:rPr>
                <w:sz w:val="20"/>
              </w:rPr>
              <w:t>Доброкачественные и злокачественные</w:t>
            </w:r>
            <w:r>
              <w:rPr>
                <w:spacing w:val="-13"/>
                <w:sz w:val="20"/>
              </w:rPr>
              <w:t> </w:t>
            </w:r>
            <w:r>
              <w:rPr>
                <w:sz w:val="20"/>
              </w:rPr>
              <w:t>опухоли</w:t>
            </w:r>
            <w:r>
              <w:rPr>
                <w:spacing w:val="-12"/>
                <w:sz w:val="20"/>
              </w:rPr>
              <w:t> </w:t>
            </w:r>
            <w:r>
              <w:rPr>
                <w:sz w:val="20"/>
              </w:rPr>
              <w:t>орбиты, включающие</w:t>
            </w:r>
            <w:r>
              <w:rPr>
                <w:spacing w:val="-2"/>
                <w:sz w:val="20"/>
              </w:rPr>
              <w:t> </w:t>
            </w:r>
            <w:r>
              <w:rPr>
                <w:sz w:val="20"/>
              </w:rPr>
              <w:t>врожденные пороки развития</w:t>
            </w:r>
            <w:r>
              <w:rPr>
                <w:spacing w:val="-2"/>
                <w:sz w:val="20"/>
              </w:rPr>
              <w:t> </w:t>
            </w:r>
            <w:r>
              <w:rPr>
                <w:sz w:val="20"/>
              </w:rPr>
              <w:t>орбиты, без</w:t>
            </w:r>
            <w:r>
              <w:rPr>
                <w:spacing w:val="-1"/>
                <w:sz w:val="20"/>
              </w:rPr>
              <w:t> </w:t>
            </w:r>
            <w:r>
              <w:rPr>
                <w:sz w:val="20"/>
              </w:rPr>
              <w:t>осложнений или осложненные патологией роговицы, хрусталика, стекловидного тела, зрительного нерва, глазодвигательных мышц, </w:t>
            </w:r>
            <w:r>
              <w:rPr>
                <w:spacing w:val="-2"/>
                <w:sz w:val="20"/>
              </w:rPr>
              <w:t>офтальмогипертензией</w:t>
            </w:r>
          </w:p>
        </w:tc>
        <w:tc>
          <w:tcPr>
            <w:tcW w:w="1691" w:type="dxa"/>
          </w:tcPr>
          <w:p>
            <w:pPr>
              <w:pStyle w:val="TableParagraph"/>
              <w:spacing w:line="249" w:lineRule="auto" w:before="120"/>
              <w:ind w:left="76"/>
              <w:rPr>
                <w:sz w:val="20"/>
              </w:rPr>
            </w:pPr>
            <w:r>
              <w:rPr>
                <w:spacing w:val="-2"/>
                <w:sz w:val="20"/>
              </w:rPr>
              <w:t>комбинированное лечение</w:t>
            </w:r>
          </w:p>
        </w:tc>
        <w:tc>
          <w:tcPr>
            <w:tcW w:w="3315" w:type="dxa"/>
          </w:tcPr>
          <w:p>
            <w:pPr>
              <w:pStyle w:val="TableParagraph"/>
              <w:spacing w:line="249" w:lineRule="auto" w:before="120"/>
              <w:ind w:left="82"/>
              <w:rPr>
                <w:sz w:val="20"/>
              </w:rPr>
            </w:pPr>
            <w:r>
              <w:rPr>
                <w:sz w:val="20"/>
              </w:rPr>
              <w:t>реконструктивные</w:t>
            </w:r>
            <w:r>
              <w:rPr>
                <w:spacing w:val="-13"/>
                <w:sz w:val="20"/>
              </w:rPr>
              <w:t> </w:t>
            </w:r>
            <w:r>
              <w:rPr>
                <w:sz w:val="20"/>
              </w:rPr>
              <w:t>операции</w:t>
            </w:r>
            <w:r>
              <w:rPr>
                <w:spacing w:val="-12"/>
                <w:sz w:val="20"/>
              </w:rPr>
              <w:t> </w:t>
            </w:r>
            <w:r>
              <w:rPr>
                <w:sz w:val="20"/>
              </w:rPr>
              <w:t>на экстраокулярных мышцах при новообразованиях орбиты</w:t>
            </w:r>
          </w:p>
        </w:tc>
      </w:tr>
      <w:tr>
        <w:trPr>
          <w:trHeight w:val="600" w:hRule="atLeast"/>
        </w:trPr>
        <w:tc>
          <w:tcPr>
            <w:tcW w:w="2870" w:type="dxa"/>
            <w:vMerge/>
            <w:tcBorders>
              <w:top w:val="nil"/>
            </w:tcBorders>
          </w:tcPr>
          <w:p>
            <w:pPr>
              <w:rPr>
                <w:sz w:val="2"/>
                <w:szCs w:val="2"/>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9" w:lineRule="auto" w:before="60"/>
              <w:ind w:left="82"/>
              <w:rPr>
                <w:sz w:val="20"/>
              </w:rPr>
            </w:pPr>
            <w:r>
              <w:rPr>
                <w:sz w:val="20"/>
              </w:rPr>
              <w:t>отсроченная</w:t>
            </w:r>
            <w:r>
              <w:rPr>
                <w:spacing w:val="-13"/>
                <w:sz w:val="20"/>
              </w:rPr>
              <w:t> </w:t>
            </w:r>
            <w:r>
              <w:rPr>
                <w:sz w:val="20"/>
              </w:rPr>
              <w:t>реконструкция</w:t>
            </w:r>
            <w:r>
              <w:rPr>
                <w:spacing w:val="-12"/>
                <w:sz w:val="20"/>
              </w:rPr>
              <w:t> </w:t>
            </w:r>
            <w:r>
              <w:rPr>
                <w:sz w:val="20"/>
              </w:rPr>
              <w:t>леватора при новообразованиях орбиты</w:t>
            </w:r>
          </w:p>
        </w:tc>
      </w:tr>
      <w:tr>
        <w:trPr>
          <w:trHeight w:val="840" w:hRule="atLeast"/>
        </w:trPr>
        <w:tc>
          <w:tcPr>
            <w:tcW w:w="2870" w:type="dxa"/>
            <w:vMerge/>
            <w:tcBorders>
              <w:top w:val="nil"/>
            </w:tcBorders>
          </w:tcPr>
          <w:p>
            <w:pPr>
              <w:rPr>
                <w:sz w:val="2"/>
                <w:szCs w:val="2"/>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9" w:lineRule="auto" w:before="60"/>
              <w:ind w:left="82"/>
              <w:rPr>
                <w:sz w:val="20"/>
              </w:rPr>
            </w:pPr>
            <w:r>
              <w:rPr>
                <w:sz w:val="20"/>
              </w:rPr>
              <w:t>тонкоигольная аспирационная биопсия</w:t>
            </w:r>
            <w:r>
              <w:rPr>
                <w:spacing w:val="-13"/>
                <w:sz w:val="20"/>
              </w:rPr>
              <w:t> </w:t>
            </w:r>
            <w:r>
              <w:rPr>
                <w:sz w:val="20"/>
              </w:rPr>
              <w:t>новообразований</w:t>
            </w:r>
            <w:r>
              <w:rPr>
                <w:spacing w:val="-12"/>
                <w:sz w:val="20"/>
              </w:rPr>
              <w:t> </w:t>
            </w:r>
            <w:r>
              <w:rPr>
                <w:sz w:val="20"/>
              </w:rPr>
              <w:t>глаза</w:t>
            </w:r>
            <w:r>
              <w:rPr>
                <w:spacing w:val="-13"/>
                <w:sz w:val="20"/>
              </w:rPr>
              <w:t> </w:t>
            </w:r>
            <w:r>
              <w:rPr>
                <w:sz w:val="20"/>
              </w:rPr>
              <w:t>и </w:t>
            </w:r>
            <w:r>
              <w:rPr>
                <w:spacing w:val="-2"/>
                <w:sz w:val="20"/>
              </w:rPr>
              <w:t>орбиты</w:t>
            </w:r>
          </w:p>
        </w:tc>
      </w:tr>
      <w:tr>
        <w:trPr>
          <w:trHeight w:val="599" w:hRule="atLeast"/>
        </w:trPr>
        <w:tc>
          <w:tcPr>
            <w:tcW w:w="2870" w:type="dxa"/>
          </w:tcPr>
          <w:p>
            <w:pPr>
              <w:pStyle w:val="TableParagraph"/>
              <w:rPr>
                <w:sz w:val="18"/>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9" w:lineRule="auto" w:before="60"/>
              <w:ind w:left="82"/>
              <w:rPr>
                <w:sz w:val="20"/>
              </w:rPr>
            </w:pPr>
            <w:r>
              <w:rPr>
                <w:sz w:val="20"/>
              </w:rPr>
              <w:t>подшивание</w:t>
            </w:r>
            <w:r>
              <w:rPr>
                <w:spacing w:val="-13"/>
                <w:sz w:val="20"/>
              </w:rPr>
              <w:t> </w:t>
            </w:r>
            <w:r>
              <w:rPr>
                <w:sz w:val="20"/>
              </w:rPr>
              <w:t>танталовых</w:t>
            </w:r>
            <w:r>
              <w:rPr>
                <w:spacing w:val="-12"/>
                <w:sz w:val="20"/>
              </w:rPr>
              <w:t> </w:t>
            </w:r>
            <w:r>
              <w:rPr>
                <w:sz w:val="20"/>
              </w:rPr>
              <w:t>скрепок</w:t>
            </w:r>
            <w:r>
              <w:rPr>
                <w:spacing w:val="-13"/>
                <w:sz w:val="20"/>
              </w:rPr>
              <w:t> </w:t>
            </w:r>
            <w:r>
              <w:rPr>
                <w:sz w:val="20"/>
              </w:rPr>
              <w:t>при новообразованиях глаза</w:t>
            </w:r>
          </w:p>
        </w:tc>
      </w:tr>
      <w:tr>
        <w:trPr>
          <w:trHeight w:val="770" w:hRule="atLeast"/>
        </w:trPr>
        <w:tc>
          <w:tcPr>
            <w:tcW w:w="2870" w:type="dxa"/>
          </w:tcPr>
          <w:p>
            <w:pPr>
              <w:pStyle w:val="TableParagraph"/>
              <w:rPr>
                <w:sz w:val="18"/>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0" w:lineRule="atLeast" w:before="30"/>
              <w:ind w:left="82"/>
              <w:rPr>
                <w:sz w:val="20"/>
              </w:rPr>
            </w:pPr>
            <w:r>
              <w:rPr>
                <w:sz w:val="20"/>
              </w:rPr>
              <w:t>отграничительная и (или) разрушающая</w:t>
            </w:r>
            <w:r>
              <w:rPr>
                <w:spacing w:val="-13"/>
                <w:sz w:val="20"/>
              </w:rPr>
              <w:t> </w:t>
            </w:r>
            <w:r>
              <w:rPr>
                <w:sz w:val="20"/>
              </w:rPr>
              <w:t>лазеркоагуляция</w:t>
            </w:r>
            <w:r>
              <w:rPr>
                <w:spacing w:val="-12"/>
                <w:sz w:val="20"/>
              </w:rPr>
              <w:t> </w:t>
            </w:r>
            <w:r>
              <w:rPr>
                <w:sz w:val="20"/>
              </w:rPr>
              <w:t>при новообразованиях глаза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5"/>
        <w:gridCol w:w="1311"/>
        <w:gridCol w:w="3451"/>
        <w:gridCol w:w="1662"/>
        <w:gridCol w:w="3469"/>
      </w:tblGrid>
      <w:tr>
        <w:trPr>
          <w:trHeight w:val="107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ind w:left="139" w:right="344"/>
              <w:rPr>
                <w:sz w:val="20"/>
              </w:rPr>
            </w:pPr>
            <w:r>
              <w:rPr>
                <w:sz w:val="20"/>
              </w:rPr>
              <w:t>радиоэксцизия, в том числе с одномоментной</w:t>
            </w:r>
            <w:r>
              <w:rPr>
                <w:spacing w:val="-13"/>
                <w:sz w:val="20"/>
              </w:rPr>
              <w:t> </w:t>
            </w:r>
            <w:r>
              <w:rPr>
                <w:sz w:val="20"/>
              </w:rPr>
              <w:t>реконструктивной пластикой, при новообразованиях придаточного аппарата глаза</w:t>
            </w:r>
          </w:p>
        </w:tc>
      </w:tr>
      <w:tr>
        <w:trPr>
          <w:trHeight w:val="120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ight="344"/>
              <w:rPr>
                <w:sz w:val="20"/>
              </w:rPr>
            </w:pPr>
            <w:r>
              <w:rPr>
                <w:sz w:val="20"/>
              </w:rPr>
              <w:t>лазерэксцизия с одномоментной реконструктивной</w:t>
            </w:r>
            <w:r>
              <w:rPr>
                <w:spacing w:val="-13"/>
                <w:sz w:val="20"/>
              </w:rPr>
              <w:t> </w:t>
            </w:r>
            <w:r>
              <w:rPr>
                <w:sz w:val="20"/>
              </w:rPr>
              <w:t>пластикой</w:t>
            </w:r>
            <w:r>
              <w:rPr>
                <w:spacing w:val="-12"/>
                <w:sz w:val="20"/>
              </w:rPr>
              <w:t> </w:t>
            </w:r>
            <w:r>
              <w:rPr>
                <w:sz w:val="20"/>
              </w:rPr>
              <w:t>при новообразованиях придаточного аппарата глаза</w:t>
            </w:r>
          </w:p>
        </w:tc>
      </w:tr>
      <w:tr>
        <w:trPr>
          <w:trHeight w:val="96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Pr>
                <w:sz w:val="20"/>
              </w:rPr>
            </w:pPr>
            <w:r>
              <w:rPr>
                <w:sz w:val="20"/>
              </w:rPr>
              <w:t>радиоэксцизия</w:t>
            </w:r>
            <w:r>
              <w:rPr>
                <w:spacing w:val="-13"/>
                <w:sz w:val="20"/>
              </w:rPr>
              <w:t> </w:t>
            </w:r>
            <w:r>
              <w:rPr>
                <w:sz w:val="20"/>
              </w:rPr>
              <w:t>с</w:t>
            </w:r>
            <w:r>
              <w:rPr>
                <w:spacing w:val="-12"/>
                <w:sz w:val="20"/>
              </w:rPr>
              <w:t> </w:t>
            </w:r>
            <w:r>
              <w:rPr>
                <w:sz w:val="20"/>
              </w:rPr>
              <w:t>лазериспарением</w:t>
            </w:r>
            <w:r>
              <w:rPr>
                <w:spacing w:val="-13"/>
                <w:sz w:val="20"/>
              </w:rPr>
              <w:t> </w:t>
            </w:r>
            <w:r>
              <w:rPr>
                <w:sz w:val="20"/>
              </w:rPr>
              <w:t>при новообразованиях придаточного аппарата глаза</w:t>
            </w:r>
          </w:p>
        </w:tc>
      </w:tr>
      <w:tr>
        <w:trPr>
          <w:trHeight w:val="120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ight="531"/>
              <w:rPr>
                <w:sz w:val="20"/>
              </w:rPr>
            </w:pPr>
            <w:r>
              <w:rPr>
                <w:sz w:val="20"/>
              </w:rPr>
              <w:t>лазерэксцизия, в том числе с лазериспарением, при новообразованиях</w:t>
            </w:r>
            <w:r>
              <w:rPr>
                <w:spacing w:val="-13"/>
                <w:sz w:val="20"/>
              </w:rPr>
              <w:t> </w:t>
            </w:r>
            <w:r>
              <w:rPr>
                <w:sz w:val="20"/>
              </w:rPr>
              <w:t>придаточного аппарата глаза</w:t>
            </w:r>
          </w:p>
        </w:tc>
      </w:tr>
      <w:tr>
        <w:trPr>
          <w:trHeight w:val="96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Pr>
                <w:sz w:val="20"/>
              </w:rPr>
            </w:pPr>
            <w:r>
              <w:rPr>
                <w:sz w:val="20"/>
              </w:rPr>
              <w:t>погружная</w:t>
            </w:r>
            <w:r>
              <w:rPr>
                <w:spacing w:val="-13"/>
                <w:sz w:val="20"/>
              </w:rPr>
              <w:t> </w:t>
            </w:r>
            <w:r>
              <w:rPr>
                <w:sz w:val="20"/>
              </w:rPr>
              <w:t>диатермокоагуляция</w:t>
            </w:r>
            <w:r>
              <w:rPr>
                <w:spacing w:val="-12"/>
                <w:sz w:val="20"/>
              </w:rPr>
              <w:t> </w:t>
            </w:r>
            <w:r>
              <w:rPr>
                <w:sz w:val="20"/>
              </w:rPr>
              <w:t>при новообразованиях придаточного аппарата глаза</w:t>
            </w:r>
          </w:p>
        </w:tc>
      </w:tr>
      <w:tr>
        <w:trPr>
          <w:trHeight w:val="1440" w:hRule="atLeast"/>
        </w:trPr>
        <w:tc>
          <w:tcPr>
            <w:tcW w:w="3225" w:type="dxa"/>
            <w:vMerge w:val="restart"/>
          </w:tcPr>
          <w:p>
            <w:pPr>
              <w:pStyle w:val="TableParagraph"/>
              <w:spacing w:line="249" w:lineRule="auto" w:before="120"/>
              <w:ind w:left="50" w:right="240"/>
              <w:rPr>
                <w:sz w:val="20"/>
              </w:rPr>
            </w:pPr>
            <w:r>
              <w:rPr>
                <w:sz w:val="20"/>
              </w:rPr>
              <w:t>Хирургическое</w:t>
            </w:r>
            <w:r>
              <w:rPr>
                <w:spacing w:val="-13"/>
                <w:sz w:val="20"/>
              </w:rPr>
              <w:t> </w:t>
            </w:r>
            <w:r>
              <w:rPr>
                <w:sz w:val="20"/>
              </w:rPr>
              <w:t>и</w:t>
            </w:r>
            <w:r>
              <w:rPr>
                <w:spacing w:val="-12"/>
                <w:sz w:val="20"/>
              </w:rPr>
              <w:t> </w:t>
            </w:r>
            <w:r>
              <w:rPr>
                <w:sz w:val="20"/>
              </w:rPr>
              <w:t>(или)</w:t>
            </w:r>
            <w:r>
              <w:rPr>
                <w:spacing w:val="-13"/>
                <w:sz w:val="20"/>
              </w:rPr>
              <w:t> </w:t>
            </w:r>
            <w:r>
              <w:rPr>
                <w:sz w:val="20"/>
              </w:rPr>
              <w:t>лазерное лечение ретролентальной фиброплазии у детей (ретинопатии недоношенных),</w:t>
            </w:r>
          </w:p>
          <w:p>
            <w:pPr>
              <w:pStyle w:val="TableParagraph"/>
              <w:spacing w:line="249" w:lineRule="auto" w:before="4"/>
              <w:ind w:left="50" w:right="240"/>
              <w:rPr>
                <w:sz w:val="20"/>
              </w:rPr>
            </w:pP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w:t>
            </w:r>
            <w:r>
              <w:rPr>
                <w:spacing w:val="-11"/>
                <w:sz w:val="20"/>
              </w:rPr>
              <w:t> </w:t>
            </w:r>
            <w:r>
              <w:rPr>
                <w:sz w:val="20"/>
              </w:rPr>
              <w:t>применением </w:t>
            </w:r>
            <w:r>
              <w:rPr>
                <w:spacing w:val="-2"/>
                <w:sz w:val="20"/>
              </w:rPr>
              <w:t>комплексного офтальмологического </w:t>
            </w:r>
            <w:r>
              <w:rPr>
                <w:sz w:val="20"/>
              </w:rPr>
              <w:t>обследования под общей </w:t>
            </w:r>
            <w:r>
              <w:rPr>
                <w:spacing w:val="-2"/>
                <w:sz w:val="20"/>
              </w:rPr>
              <w:t>анестезией</w:t>
            </w:r>
          </w:p>
        </w:tc>
        <w:tc>
          <w:tcPr>
            <w:tcW w:w="1311" w:type="dxa"/>
          </w:tcPr>
          <w:p>
            <w:pPr>
              <w:pStyle w:val="TableParagraph"/>
              <w:spacing w:before="120"/>
              <w:ind w:left="416"/>
              <w:rPr>
                <w:sz w:val="20"/>
              </w:rPr>
            </w:pPr>
            <w:hyperlink r:id="rId217">
              <w:r>
                <w:rPr>
                  <w:spacing w:val="-4"/>
                  <w:sz w:val="20"/>
                </w:rPr>
                <w:t>H35.2</w:t>
              </w:r>
            </w:hyperlink>
          </w:p>
        </w:tc>
        <w:tc>
          <w:tcPr>
            <w:tcW w:w="3451" w:type="dxa"/>
            <w:vMerge w:val="restart"/>
          </w:tcPr>
          <w:p>
            <w:pPr>
              <w:pStyle w:val="TableParagraph"/>
              <w:spacing w:line="249" w:lineRule="auto" w:before="120"/>
              <w:ind w:left="398" w:right="47"/>
              <w:rPr>
                <w:sz w:val="20"/>
              </w:rPr>
            </w:pPr>
            <w:r>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w:t>
            </w:r>
            <w:r>
              <w:rPr>
                <w:spacing w:val="-13"/>
                <w:sz w:val="20"/>
              </w:rPr>
              <w:t> </w:t>
            </w:r>
            <w:r>
              <w:rPr>
                <w:sz w:val="20"/>
              </w:rPr>
              <w:t>роговицы,</w:t>
            </w:r>
            <w:r>
              <w:rPr>
                <w:spacing w:val="-12"/>
                <w:sz w:val="20"/>
              </w:rPr>
              <w:t> </w:t>
            </w:r>
            <w:r>
              <w:rPr>
                <w:sz w:val="20"/>
              </w:rPr>
              <w:t>хрусталика, стекловидного тела, глазодвигательных мышц, врожденной и вторичной</w:t>
            </w:r>
          </w:p>
          <w:p>
            <w:pPr>
              <w:pStyle w:val="TableParagraph"/>
              <w:spacing w:line="220" w:lineRule="exact" w:before="8"/>
              <w:ind w:left="398"/>
              <w:rPr>
                <w:sz w:val="20"/>
              </w:rPr>
            </w:pPr>
            <w:r>
              <w:rPr>
                <w:spacing w:val="-2"/>
                <w:sz w:val="20"/>
              </w:rPr>
              <w:t>глаукомой</w:t>
            </w:r>
          </w:p>
        </w:tc>
        <w:tc>
          <w:tcPr>
            <w:tcW w:w="1662" w:type="dxa"/>
          </w:tcPr>
          <w:p>
            <w:pPr>
              <w:pStyle w:val="TableParagraph"/>
              <w:spacing w:line="249" w:lineRule="auto" w:before="120"/>
              <w:ind w:left="104" w:right="133"/>
              <w:rPr>
                <w:sz w:val="20"/>
              </w:rPr>
            </w:pPr>
            <w:r>
              <w:rPr>
                <w:sz w:val="20"/>
              </w:rPr>
              <w:t>хирургическое</w:t>
            </w:r>
            <w:r>
              <w:rPr>
                <w:spacing w:val="-13"/>
                <w:sz w:val="20"/>
              </w:rPr>
              <w:t> </w:t>
            </w:r>
            <w:r>
              <w:rPr>
                <w:sz w:val="20"/>
              </w:rPr>
              <w:t>и (или) лучевое </w:t>
            </w:r>
            <w:r>
              <w:rPr>
                <w:spacing w:val="-2"/>
                <w:sz w:val="20"/>
              </w:rPr>
              <w:t>лечение</w:t>
            </w:r>
          </w:p>
        </w:tc>
        <w:tc>
          <w:tcPr>
            <w:tcW w:w="3469" w:type="dxa"/>
          </w:tcPr>
          <w:p>
            <w:pPr>
              <w:pStyle w:val="TableParagraph"/>
              <w:spacing w:line="249" w:lineRule="auto" w:before="120"/>
              <w:ind w:left="139"/>
              <w:rPr>
                <w:sz w:val="20"/>
              </w:rPr>
            </w:pPr>
            <w:r>
              <w:rPr>
                <w:sz w:val="20"/>
              </w:rPr>
              <w:t>транспупиллярная секторальная или панретинальная</w:t>
            </w:r>
            <w:r>
              <w:rPr>
                <w:spacing w:val="-13"/>
                <w:sz w:val="20"/>
              </w:rPr>
              <w:t> </w:t>
            </w:r>
            <w:r>
              <w:rPr>
                <w:sz w:val="20"/>
              </w:rPr>
              <w:t>лазерная</w:t>
            </w:r>
            <w:r>
              <w:rPr>
                <w:spacing w:val="-12"/>
                <w:sz w:val="20"/>
              </w:rPr>
              <w:t> </w:t>
            </w:r>
            <w:r>
              <w:rPr>
                <w:sz w:val="20"/>
              </w:rPr>
              <w:t>коагуляция аваскулярных зон сетчатки с элементами отграничивающей </w:t>
            </w:r>
            <w:r>
              <w:rPr>
                <w:spacing w:val="-2"/>
                <w:sz w:val="20"/>
              </w:rPr>
              <w:t>коагуляции</w:t>
            </w:r>
          </w:p>
        </w:tc>
      </w:tr>
      <w:tr>
        <w:trPr>
          <w:trHeight w:val="1079" w:hRule="atLeast"/>
        </w:trPr>
        <w:tc>
          <w:tcPr>
            <w:tcW w:w="3225" w:type="dxa"/>
            <w:vMerge/>
            <w:tcBorders>
              <w:top w:val="nil"/>
            </w:tcBorders>
          </w:tcPr>
          <w:p>
            <w:pPr>
              <w:rPr>
                <w:sz w:val="2"/>
                <w:szCs w:val="2"/>
              </w:rPr>
            </w:pPr>
          </w:p>
        </w:tc>
        <w:tc>
          <w:tcPr>
            <w:tcW w:w="1311" w:type="dxa"/>
          </w:tcPr>
          <w:p>
            <w:pPr>
              <w:pStyle w:val="TableParagraph"/>
              <w:rPr>
                <w:sz w:val="18"/>
              </w:rPr>
            </w:pPr>
          </w:p>
        </w:tc>
        <w:tc>
          <w:tcPr>
            <w:tcW w:w="3451" w:type="dxa"/>
            <w:vMerge/>
            <w:tcBorders>
              <w:top w:val="nil"/>
            </w:tcBorders>
          </w:tcPr>
          <w:p>
            <w:pPr>
              <w:rPr>
                <w:sz w:val="2"/>
                <w:szCs w:val="2"/>
              </w:rPr>
            </w:pPr>
          </w:p>
        </w:tc>
        <w:tc>
          <w:tcPr>
            <w:tcW w:w="1662" w:type="dxa"/>
          </w:tcPr>
          <w:p>
            <w:pPr>
              <w:pStyle w:val="TableParagraph"/>
              <w:rPr>
                <w:sz w:val="18"/>
              </w:rPr>
            </w:pPr>
          </w:p>
        </w:tc>
        <w:tc>
          <w:tcPr>
            <w:tcW w:w="3469" w:type="dxa"/>
          </w:tcPr>
          <w:p>
            <w:pPr>
              <w:pStyle w:val="TableParagraph"/>
              <w:spacing w:line="249" w:lineRule="auto" w:before="120"/>
              <w:ind w:left="139" w:right="344"/>
              <w:rPr>
                <w:sz w:val="20"/>
              </w:rPr>
            </w:pPr>
            <w:r>
              <w:rPr>
                <w:sz w:val="20"/>
              </w:rPr>
              <w:t>диодная транссклеральная фотокоагуляция,</w:t>
            </w:r>
            <w:r>
              <w:rPr>
                <w:spacing w:val="-11"/>
                <w:sz w:val="20"/>
              </w:rPr>
              <w:t> </w:t>
            </w:r>
            <w:r>
              <w:rPr>
                <w:sz w:val="20"/>
              </w:rPr>
              <w:t>в</w:t>
            </w:r>
            <w:r>
              <w:rPr>
                <w:spacing w:val="-11"/>
                <w:sz w:val="20"/>
              </w:rPr>
              <w:t> </w:t>
            </w:r>
            <w:r>
              <w:rPr>
                <w:sz w:val="20"/>
              </w:rPr>
              <w:t>том</w:t>
            </w:r>
            <w:r>
              <w:rPr>
                <w:spacing w:val="-10"/>
                <w:sz w:val="20"/>
              </w:rPr>
              <w:t> </w:t>
            </w:r>
            <w:r>
              <w:rPr>
                <w:sz w:val="20"/>
              </w:rPr>
              <w:t>числе</w:t>
            </w:r>
            <w:r>
              <w:rPr>
                <w:spacing w:val="-11"/>
                <w:sz w:val="20"/>
              </w:rPr>
              <w:t> </w:t>
            </w:r>
            <w:r>
              <w:rPr>
                <w:sz w:val="20"/>
              </w:rPr>
              <w:t>с криокоагуляцией сетчатки</w:t>
            </w:r>
          </w:p>
        </w:tc>
      </w:tr>
      <w:tr>
        <w:trPr>
          <w:trHeight w:val="230" w:hRule="atLeast"/>
        </w:trPr>
        <w:tc>
          <w:tcPr>
            <w:tcW w:w="3225" w:type="dxa"/>
          </w:tcPr>
          <w:p>
            <w:pPr>
              <w:pStyle w:val="TableParagraph"/>
              <w:rPr>
                <w:sz w:val="16"/>
              </w:rPr>
            </w:pPr>
          </w:p>
        </w:tc>
        <w:tc>
          <w:tcPr>
            <w:tcW w:w="1311" w:type="dxa"/>
          </w:tcPr>
          <w:p>
            <w:pPr>
              <w:pStyle w:val="TableParagraph"/>
              <w:rPr>
                <w:sz w:val="16"/>
              </w:rPr>
            </w:pPr>
          </w:p>
        </w:tc>
        <w:tc>
          <w:tcPr>
            <w:tcW w:w="3451" w:type="dxa"/>
          </w:tcPr>
          <w:p>
            <w:pPr>
              <w:pStyle w:val="TableParagraph"/>
              <w:rPr>
                <w:sz w:val="16"/>
              </w:rPr>
            </w:pPr>
          </w:p>
        </w:tc>
        <w:tc>
          <w:tcPr>
            <w:tcW w:w="1662" w:type="dxa"/>
          </w:tcPr>
          <w:p>
            <w:pPr>
              <w:pStyle w:val="TableParagraph"/>
              <w:rPr>
                <w:sz w:val="16"/>
              </w:rPr>
            </w:pPr>
          </w:p>
        </w:tc>
        <w:tc>
          <w:tcPr>
            <w:tcW w:w="3469" w:type="dxa"/>
          </w:tcPr>
          <w:p>
            <w:pPr>
              <w:pStyle w:val="TableParagraph"/>
              <w:spacing w:line="210" w:lineRule="exact"/>
              <w:ind w:left="139"/>
              <w:rPr>
                <w:sz w:val="20"/>
              </w:rPr>
            </w:pPr>
            <w:r>
              <w:rPr>
                <w:w w:val="95"/>
                <w:sz w:val="20"/>
              </w:rPr>
              <w:t>криокоагуляция</w:t>
            </w:r>
            <w:r>
              <w:rPr>
                <w:spacing w:val="51"/>
                <w:sz w:val="20"/>
              </w:rPr>
              <w:t> </w:t>
            </w:r>
            <w:r>
              <w:rPr>
                <w:spacing w:val="-2"/>
                <w:sz w:val="20"/>
              </w:rPr>
              <w:t>сетчатки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72"/>
        <w:gridCol w:w="2009"/>
        <w:gridCol w:w="3158"/>
        <w:gridCol w:w="1547"/>
        <w:gridCol w:w="3729"/>
        <w:gridCol w:w="1103"/>
      </w:tblGrid>
      <w:tr>
        <w:trPr>
          <w:trHeight w:val="830" w:hRule="atLeast"/>
        </w:trPr>
        <w:tc>
          <w:tcPr>
            <w:tcW w:w="472" w:type="dxa"/>
          </w:tcPr>
          <w:p>
            <w:pPr>
              <w:pStyle w:val="TableParagraph"/>
              <w:spacing w:line="221" w:lineRule="exact"/>
              <w:ind w:left="50"/>
              <w:rPr>
                <w:sz w:val="20"/>
              </w:rPr>
            </w:pPr>
            <w:r>
              <w:rPr>
                <w:spacing w:val="-5"/>
                <w:sz w:val="20"/>
              </w:rPr>
              <w:t>30.</w:t>
            </w:r>
          </w:p>
        </w:tc>
        <w:tc>
          <w:tcPr>
            <w:tcW w:w="2972" w:type="dxa"/>
            <w:vMerge w:val="restart"/>
          </w:tcPr>
          <w:p>
            <w:pPr>
              <w:pStyle w:val="TableParagraph"/>
              <w:spacing w:line="249" w:lineRule="auto"/>
              <w:ind w:left="168" w:right="131"/>
              <w:rPr>
                <w:sz w:val="20"/>
              </w:rPr>
            </w:pPr>
            <w:r>
              <w:rPr>
                <w:spacing w:val="-2"/>
                <w:sz w:val="20"/>
              </w:rPr>
              <w:t>Реконструктивное, восстановительное, реконструктивно-пластическое </w:t>
            </w:r>
            <w:r>
              <w:rPr>
                <w:sz w:val="20"/>
              </w:rP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w:t>
            </w:r>
          </w:p>
          <w:p>
            <w:pPr>
              <w:pStyle w:val="TableParagraph"/>
              <w:spacing w:line="249" w:lineRule="auto"/>
              <w:ind w:left="168" w:right="131"/>
              <w:rPr>
                <w:sz w:val="20"/>
              </w:rPr>
            </w:pP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w:t>
            </w:r>
            <w:r>
              <w:rPr>
                <w:spacing w:val="-11"/>
                <w:sz w:val="20"/>
              </w:rPr>
              <w:t> </w:t>
            </w:r>
            <w:r>
              <w:rPr>
                <w:sz w:val="20"/>
              </w:rPr>
              <w:t>применением </w:t>
            </w:r>
            <w:r>
              <w:rPr>
                <w:spacing w:val="-2"/>
                <w:sz w:val="20"/>
              </w:rPr>
              <w:t>комплексного офтальмологического </w:t>
            </w:r>
            <w:r>
              <w:rPr>
                <w:sz w:val="20"/>
              </w:rPr>
              <w:t>обследования под общей </w:t>
            </w:r>
            <w:r>
              <w:rPr>
                <w:spacing w:val="-2"/>
                <w:sz w:val="20"/>
              </w:rPr>
              <w:t>анестезией</w:t>
            </w:r>
          </w:p>
        </w:tc>
        <w:tc>
          <w:tcPr>
            <w:tcW w:w="2009" w:type="dxa"/>
            <w:vMerge w:val="restart"/>
          </w:tcPr>
          <w:p>
            <w:pPr>
              <w:pStyle w:val="TableParagraph"/>
              <w:spacing w:line="221" w:lineRule="exact"/>
              <w:ind w:left="121" w:right="64"/>
              <w:jc w:val="center"/>
              <w:rPr>
                <w:sz w:val="20"/>
              </w:rPr>
            </w:pPr>
            <w:hyperlink r:id="rId201">
              <w:r>
                <w:rPr>
                  <w:sz w:val="20"/>
                </w:rPr>
                <w:t>H26.0,</w:t>
              </w:r>
              <w:r>
                <w:rPr>
                  <w:spacing w:val="-3"/>
                  <w:sz w:val="20"/>
                </w:rPr>
                <w:t> </w:t>
              </w:r>
            </w:hyperlink>
            <w:hyperlink r:id="rId256">
              <w:r>
                <w:rPr>
                  <w:sz w:val="20"/>
                </w:rPr>
                <w:t>H26.1,</w:t>
              </w:r>
              <w:r>
                <w:rPr>
                  <w:spacing w:val="-4"/>
                  <w:sz w:val="20"/>
                </w:rPr>
                <w:t> </w:t>
              </w:r>
            </w:hyperlink>
            <w:hyperlink r:id="rId257">
              <w:r>
                <w:rPr>
                  <w:spacing w:val="-2"/>
                  <w:sz w:val="20"/>
                </w:rPr>
                <w:t>H26.2,</w:t>
              </w:r>
            </w:hyperlink>
          </w:p>
          <w:p>
            <w:pPr>
              <w:pStyle w:val="TableParagraph"/>
              <w:spacing w:before="10"/>
              <w:ind w:left="121" w:right="64"/>
              <w:jc w:val="center"/>
              <w:rPr>
                <w:sz w:val="20"/>
              </w:rPr>
            </w:pPr>
            <w:hyperlink r:id="rId202">
              <w:r>
                <w:rPr>
                  <w:sz w:val="20"/>
                </w:rPr>
                <w:t>H26.4,</w:t>
              </w:r>
              <w:r>
                <w:rPr>
                  <w:spacing w:val="-3"/>
                  <w:sz w:val="20"/>
                </w:rPr>
                <w:t> </w:t>
              </w:r>
            </w:hyperlink>
            <w:hyperlink r:id="rId208">
              <w:r>
                <w:rPr>
                  <w:sz w:val="20"/>
                </w:rPr>
                <w:t>H27.0,</w:t>
              </w:r>
              <w:r>
                <w:rPr>
                  <w:spacing w:val="-4"/>
                  <w:sz w:val="20"/>
                </w:rPr>
                <w:t> </w:t>
              </w:r>
            </w:hyperlink>
            <w:hyperlink r:id="rId214">
              <w:r>
                <w:rPr>
                  <w:spacing w:val="-2"/>
                  <w:sz w:val="20"/>
                </w:rPr>
                <w:t>H33.0,</w:t>
              </w:r>
            </w:hyperlink>
          </w:p>
          <w:p>
            <w:pPr>
              <w:pStyle w:val="TableParagraph"/>
              <w:spacing w:before="10"/>
              <w:ind w:left="121" w:right="64"/>
              <w:jc w:val="center"/>
              <w:rPr>
                <w:sz w:val="20"/>
              </w:rPr>
            </w:pPr>
            <w:hyperlink r:id="rId258">
              <w:r>
                <w:rPr>
                  <w:sz w:val="20"/>
                </w:rPr>
                <w:t>H33.2</w:t>
              </w:r>
              <w:r>
                <w:rPr>
                  <w:spacing w:val="-1"/>
                  <w:sz w:val="20"/>
                </w:rPr>
                <w:t> </w:t>
              </w:r>
            </w:hyperlink>
            <w:r>
              <w:rPr>
                <w:sz w:val="20"/>
              </w:rPr>
              <w:t>-</w:t>
            </w:r>
            <w:r>
              <w:rPr>
                <w:spacing w:val="-4"/>
                <w:sz w:val="20"/>
              </w:rPr>
              <w:t> </w:t>
            </w:r>
            <w:hyperlink r:id="rId215">
              <w:r>
                <w:rPr>
                  <w:sz w:val="20"/>
                </w:rPr>
                <w:t>33.5,</w:t>
              </w:r>
              <w:r>
                <w:rPr>
                  <w:spacing w:val="-1"/>
                  <w:sz w:val="20"/>
                </w:rPr>
                <w:t> </w:t>
              </w:r>
            </w:hyperlink>
            <w:hyperlink r:id="rId259">
              <w:r>
                <w:rPr>
                  <w:spacing w:val="-2"/>
                  <w:sz w:val="20"/>
                </w:rPr>
                <w:t>H35.1,</w:t>
              </w:r>
            </w:hyperlink>
          </w:p>
          <w:p>
            <w:pPr>
              <w:pStyle w:val="TableParagraph"/>
              <w:spacing w:before="10"/>
              <w:ind w:left="121" w:right="64"/>
              <w:jc w:val="center"/>
              <w:rPr>
                <w:sz w:val="20"/>
              </w:rPr>
            </w:pPr>
            <w:hyperlink r:id="rId234">
              <w:r>
                <w:rPr>
                  <w:sz w:val="20"/>
                </w:rPr>
                <w:t>H40.3,</w:t>
              </w:r>
              <w:r>
                <w:rPr>
                  <w:spacing w:val="-3"/>
                  <w:sz w:val="20"/>
                </w:rPr>
                <w:t> </w:t>
              </w:r>
            </w:hyperlink>
            <w:hyperlink r:id="rId260">
              <w:r>
                <w:rPr>
                  <w:sz w:val="20"/>
                </w:rPr>
                <w:t>H40.4,</w:t>
              </w:r>
              <w:r>
                <w:rPr>
                  <w:spacing w:val="-4"/>
                  <w:sz w:val="20"/>
                </w:rPr>
                <w:t> </w:t>
              </w:r>
            </w:hyperlink>
            <w:hyperlink r:id="rId261">
              <w:r>
                <w:rPr>
                  <w:spacing w:val="-2"/>
                  <w:sz w:val="20"/>
                </w:rPr>
                <w:t>H40.5,</w:t>
              </w:r>
            </w:hyperlink>
          </w:p>
          <w:p>
            <w:pPr>
              <w:pStyle w:val="TableParagraph"/>
              <w:spacing w:before="10"/>
              <w:ind w:left="121" w:right="64"/>
              <w:jc w:val="center"/>
              <w:rPr>
                <w:sz w:val="20"/>
              </w:rPr>
            </w:pPr>
            <w:hyperlink r:id="rId220">
              <w:r>
                <w:rPr>
                  <w:sz w:val="20"/>
                </w:rPr>
                <w:t>H43.1,</w:t>
              </w:r>
              <w:r>
                <w:rPr>
                  <w:spacing w:val="-3"/>
                  <w:sz w:val="20"/>
                </w:rPr>
                <w:t> </w:t>
              </w:r>
            </w:hyperlink>
            <w:hyperlink r:id="rId221">
              <w:r>
                <w:rPr>
                  <w:sz w:val="20"/>
                </w:rPr>
                <w:t>H43.3,</w:t>
              </w:r>
              <w:r>
                <w:rPr>
                  <w:spacing w:val="-4"/>
                  <w:sz w:val="20"/>
                </w:rPr>
                <w:t> </w:t>
              </w:r>
            </w:hyperlink>
            <w:hyperlink r:id="rId262">
              <w:r>
                <w:rPr>
                  <w:spacing w:val="-2"/>
                  <w:sz w:val="20"/>
                </w:rPr>
                <w:t>H49.9,</w:t>
              </w:r>
            </w:hyperlink>
          </w:p>
          <w:p>
            <w:pPr>
              <w:pStyle w:val="TableParagraph"/>
              <w:spacing w:before="10"/>
              <w:ind w:left="125" w:right="64"/>
              <w:jc w:val="center"/>
              <w:rPr>
                <w:sz w:val="20"/>
              </w:rPr>
            </w:pPr>
            <w:hyperlink r:id="rId263">
              <w:r>
                <w:rPr>
                  <w:sz w:val="20"/>
                </w:rPr>
                <w:t>Q10.0,</w:t>
              </w:r>
              <w:r>
                <w:rPr>
                  <w:spacing w:val="-3"/>
                  <w:sz w:val="20"/>
                </w:rPr>
                <w:t> </w:t>
              </w:r>
            </w:hyperlink>
            <w:hyperlink r:id="rId264">
              <w:r>
                <w:rPr>
                  <w:sz w:val="20"/>
                </w:rPr>
                <w:t>Q10.1,</w:t>
              </w:r>
              <w:r>
                <w:rPr>
                  <w:spacing w:val="-6"/>
                  <w:sz w:val="20"/>
                </w:rPr>
                <w:t> </w:t>
              </w:r>
            </w:hyperlink>
            <w:hyperlink r:id="rId265">
              <w:r>
                <w:rPr>
                  <w:sz w:val="20"/>
                </w:rPr>
                <w:t>Q10.4</w:t>
              </w:r>
              <w:r>
                <w:rPr>
                  <w:spacing w:val="-2"/>
                  <w:sz w:val="20"/>
                </w:rPr>
                <w:t> </w:t>
              </w:r>
            </w:hyperlink>
            <w:r>
              <w:rPr>
                <w:spacing w:val="-10"/>
                <w:sz w:val="20"/>
              </w:rPr>
              <w:t>-</w:t>
            </w:r>
          </w:p>
          <w:p>
            <w:pPr>
              <w:pStyle w:val="TableParagraph"/>
              <w:spacing w:before="10"/>
              <w:ind w:left="121" w:right="64"/>
              <w:jc w:val="center"/>
              <w:rPr>
                <w:sz w:val="20"/>
              </w:rPr>
            </w:pPr>
            <w:hyperlink r:id="rId253">
              <w:r>
                <w:rPr>
                  <w:sz w:val="20"/>
                </w:rPr>
                <w:t>Q10.7,</w:t>
              </w:r>
              <w:r>
                <w:rPr>
                  <w:spacing w:val="-3"/>
                  <w:sz w:val="20"/>
                </w:rPr>
                <w:t> </w:t>
              </w:r>
            </w:hyperlink>
            <w:hyperlink r:id="rId266">
              <w:r>
                <w:rPr>
                  <w:sz w:val="20"/>
                </w:rPr>
                <w:t>Q11.1,</w:t>
              </w:r>
              <w:r>
                <w:rPr>
                  <w:spacing w:val="-4"/>
                  <w:sz w:val="20"/>
                </w:rPr>
                <w:t> </w:t>
              </w:r>
            </w:hyperlink>
            <w:hyperlink r:id="rId267">
              <w:r>
                <w:rPr>
                  <w:spacing w:val="-2"/>
                  <w:sz w:val="20"/>
                </w:rPr>
                <w:t>Q12.0,</w:t>
              </w:r>
            </w:hyperlink>
          </w:p>
          <w:p>
            <w:pPr>
              <w:pStyle w:val="TableParagraph"/>
              <w:spacing w:before="10"/>
              <w:ind w:left="121" w:right="64"/>
              <w:jc w:val="center"/>
              <w:rPr>
                <w:sz w:val="20"/>
              </w:rPr>
            </w:pPr>
            <w:hyperlink r:id="rId268">
              <w:r>
                <w:rPr>
                  <w:sz w:val="20"/>
                </w:rPr>
                <w:t>Q12.1,</w:t>
              </w:r>
              <w:r>
                <w:rPr>
                  <w:spacing w:val="-3"/>
                  <w:sz w:val="20"/>
                </w:rPr>
                <w:t> </w:t>
              </w:r>
            </w:hyperlink>
            <w:hyperlink r:id="rId269">
              <w:r>
                <w:rPr>
                  <w:sz w:val="20"/>
                </w:rPr>
                <w:t>Q12.3,</w:t>
              </w:r>
              <w:r>
                <w:rPr>
                  <w:spacing w:val="-4"/>
                  <w:sz w:val="20"/>
                </w:rPr>
                <w:t> </w:t>
              </w:r>
            </w:hyperlink>
            <w:hyperlink r:id="rId270">
              <w:r>
                <w:rPr>
                  <w:spacing w:val="-2"/>
                  <w:sz w:val="20"/>
                </w:rPr>
                <w:t>Q12.4,</w:t>
              </w:r>
            </w:hyperlink>
          </w:p>
          <w:p>
            <w:pPr>
              <w:pStyle w:val="TableParagraph"/>
              <w:spacing w:before="10"/>
              <w:ind w:left="121" w:right="64"/>
              <w:jc w:val="center"/>
              <w:rPr>
                <w:sz w:val="20"/>
              </w:rPr>
            </w:pPr>
            <w:hyperlink r:id="rId271">
              <w:r>
                <w:rPr>
                  <w:sz w:val="20"/>
                </w:rPr>
                <w:t>Q12.8,</w:t>
              </w:r>
              <w:r>
                <w:rPr>
                  <w:spacing w:val="-3"/>
                  <w:sz w:val="20"/>
                </w:rPr>
                <w:t> </w:t>
              </w:r>
            </w:hyperlink>
            <w:hyperlink r:id="rId272">
              <w:r>
                <w:rPr>
                  <w:sz w:val="20"/>
                </w:rPr>
                <w:t>Q13.0,</w:t>
              </w:r>
              <w:r>
                <w:rPr>
                  <w:spacing w:val="-4"/>
                  <w:sz w:val="20"/>
                </w:rPr>
                <w:t> </w:t>
              </w:r>
            </w:hyperlink>
            <w:hyperlink r:id="rId273">
              <w:r>
                <w:rPr>
                  <w:spacing w:val="-2"/>
                  <w:sz w:val="20"/>
                </w:rPr>
                <w:t>Q13.3,</w:t>
              </w:r>
            </w:hyperlink>
          </w:p>
          <w:p>
            <w:pPr>
              <w:pStyle w:val="TableParagraph"/>
              <w:spacing w:before="10"/>
              <w:ind w:left="121" w:right="64"/>
              <w:jc w:val="center"/>
              <w:rPr>
                <w:sz w:val="20"/>
              </w:rPr>
            </w:pPr>
            <w:hyperlink r:id="rId274">
              <w:r>
                <w:rPr>
                  <w:sz w:val="20"/>
                </w:rPr>
                <w:t>Q13.4,</w:t>
              </w:r>
              <w:r>
                <w:rPr>
                  <w:spacing w:val="-3"/>
                  <w:sz w:val="20"/>
                </w:rPr>
                <w:t> </w:t>
              </w:r>
            </w:hyperlink>
            <w:hyperlink r:id="rId275">
              <w:r>
                <w:rPr>
                  <w:sz w:val="20"/>
                </w:rPr>
                <w:t>Q13.8,</w:t>
              </w:r>
              <w:r>
                <w:rPr>
                  <w:spacing w:val="-4"/>
                  <w:sz w:val="20"/>
                </w:rPr>
                <w:t> </w:t>
              </w:r>
            </w:hyperlink>
            <w:hyperlink r:id="rId276">
              <w:r>
                <w:rPr>
                  <w:spacing w:val="-2"/>
                  <w:sz w:val="20"/>
                </w:rPr>
                <w:t>Q14.0,</w:t>
              </w:r>
            </w:hyperlink>
          </w:p>
          <w:p>
            <w:pPr>
              <w:pStyle w:val="TableParagraph"/>
              <w:spacing w:before="10"/>
              <w:ind w:left="121" w:right="64"/>
              <w:jc w:val="center"/>
              <w:rPr>
                <w:sz w:val="20"/>
              </w:rPr>
            </w:pPr>
            <w:hyperlink r:id="rId277">
              <w:r>
                <w:rPr>
                  <w:sz w:val="20"/>
                </w:rPr>
                <w:t>Q14.1,</w:t>
              </w:r>
              <w:r>
                <w:rPr>
                  <w:spacing w:val="-3"/>
                  <w:sz w:val="20"/>
                </w:rPr>
                <w:t> </w:t>
              </w:r>
            </w:hyperlink>
            <w:hyperlink r:id="rId278">
              <w:r>
                <w:rPr>
                  <w:sz w:val="20"/>
                </w:rPr>
                <w:t>Q14.3,</w:t>
              </w:r>
              <w:r>
                <w:rPr>
                  <w:spacing w:val="-4"/>
                  <w:sz w:val="20"/>
                </w:rPr>
                <w:t> </w:t>
              </w:r>
            </w:hyperlink>
            <w:hyperlink r:id="rId205">
              <w:r>
                <w:rPr>
                  <w:spacing w:val="-2"/>
                  <w:sz w:val="20"/>
                </w:rPr>
                <w:t>Q15.0,</w:t>
              </w:r>
            </w:hyperlink>
          </w:p>
          <w:p>
            <w:pPr>
              <w:pStyle w:val="TableParagraph"/>
              <w:spacing w:line="249" w:lineRule="auto" w:before="11"/>
              <w:ind w:left="124" w:right="64"/>
              <w:jc w:val="center"/>
              <w:rPr>
                <w:sz w:val="20"/>
              </w:rPr>
            </w:pPr>
            <w:hyperlink r:id="rId224">
              <w:r>
                <w:rPr>
                  <w:sz w:val="20"/>
                </w:rPr>
                <w:t>H02.0</w:t>
              </w:r>
              <w:r>
                <w:rPr>
                  <w:spacing w:val="-12"/>
                  <w:sz w:val="20"/>
                </w:rPr>
                <w:t> </w:t>
              </w:r>
            </w:hyperlink>
            <w:r>
              <w:rPr>
                <w:sz w:val="20"/>
              </w:rPr>
              <w:t>-</w:t>
            </w:r>
            <w:r>
              <w:rPr>
                <w:spacing w:val="-12"/>
                <w:sz w:val="20"/>
              </w:rPr>
              <w:t> </w:t>
            </w:r>
            <w:hyperlink r:id="rId225">
              <w:r>
                <w:rPr>
                  <w:sz w:val="20"/>
                </w:rPr>
                <w:t>H02.5,</w:t>
              </w:r>
              <w:r>
                <w:rPr>
                  <w:spacing w:val="-12"/>
                  <w:sz w:val="20"/>
                </w:rPr>
                <w:t> </w:t>
              </w:r>
            </w:hyperlink>
            <w:hyperlink r:id="rId279">
              <w:r>
                <w:rPr>
                  <w:sz w:val="20"/>
                </w:rPr>
                <w:t>H04.5,</w:t>
              </w:r>
            </w:hyperlink>
            <w:r>
              <w:rPr>
                <w:sz w:val="20"/>
              </w:rPr>
              <w:t> </w:t>
            </w:r>
            <w:hyperlink r:id="rId280">
              <w:r>
                <w:rPr>
                  <w:sz w:val="20"/>
                </w:rPr>
                <w:t>H05.3, </w:t>
              </w:r>
            </w:hyperlink>
            <w:hyperlink r:id="rId230">
              <w:r>
                <w:rPr>
                  <w:sz w:val="20"/>
                </w:rPr>
                <w:t>H11.2</w:t>
              </w:r>
            </w:hyperlink>
          </w:p>
        </w:tc>
        <w:tc>
          <w:tcPr>
            <w:tcW w:w="3158" w:type="dxa"/>
            <w:vMerge w:val="restart"/>
          </w:tcPr>
          <w:p>
            <w:pPr>
              <w:pStyle w:val="TableParagraph"/>
              <w:spacing w:line="249" w:lineRule="auto"/>
              <w:ind w:left="72" w:right="60"/>
              <w:rPr>
                <w:sz w:val="20"/>
              </w:rPr>
            </w:pPr>
            <w:r>
              <w:rPr>
                <w:sz w:val="20"/>
              </w:rPr>
              <w:t>врожденные</w:t>
            </w:r>
            <w:r>
              <w:rPr>
                <w:spacing w:val="-8"/>
                <w:sz w:val="20"/>
              </w:rPr>
              <w:t> </w:t>
            </w:r>
            <w:r>
              <w:rPr>
                <w:sz w:val="20"/>
              </w:rPr>
              <w:t>аномалии</w:t>
            </w:r>
            <w:r>
              <w:rPr>
                <w:spacing w:val="-7"/>
                <w:sz w:val="20"/>
              </w:rPr>
              <w:t> </w:t>
            </w:r>
            <w:r>
              <w:rPr>
                <w:sz w:val="20"/>
              </w:rPr>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w:t>
            </w:r>
            <w:r>
              <w:rPr>
                <w:spacing w:val="-13"/>
                <w:sz w:val="20"/>
              </w:rPr>
              <w:t> </w:t>
            </w:r>
            <w:r>
              <w:rPr>
                <w:sz w:val="20"/>
              </w:rPr>
              <w:t>помутнение</w:t>
            </w:r>
            <w:r>
              <w:rPr>
                <w:spacing w:val="-12"/>
                <w:sz w:val="20"/>
              </w:rPr>
              <w:t> </w:t>
            </w:r>
            <w:r>
              <w:rPr>
                <w:sz w:val="20"/>
              </w:rPr>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pPr>
              <w:pStyle w:val="TableParagraph"/>
              <w:spacing w:line="249" w:lineRule="auto" w:before="2"/>
              <w:ind w:left="72" w:right="60"/>
              <w:rPr>
                <w:sz w:val="20"/>
              </w:rPr>
            </w:pPr>
            <w:r>
              <w:rPr>
                <w:sz w:val="20"/>
              </w:rPr>
              <w:t>Врожденные аномалии заднего сегмента глаза (врожденная аномалия сетчатки, врожденная аномалия стекловидного тела, врожденная</w:t>
            </w:r>
            <w:r>
              <w:rPr>
                <w:spacing w:val="-13"/>
                <w:sz w:val="20"/>
              </w:rPr>
              <w:t> </w:t>
            </w:r>
            <w:r>
              <w:rPr>
                <w:sz w:val="20"/>
              </w:rPr>
              <w:t>аномалия</w:t>
            </w:r>
            <w:r>
              <w:rPr>
                <w:spacing w:val="-12"/>
                <w:sz w:val="20"/>
              </w:rPr>
              <w:t> </w:t>
            </w:r>
            <w:r>
              <w:rPr>
                <w:sz w:val="20"/>
              </w:rPr>
              <w:t>сосудистой оболочки без осложнений или осложненные патологией стекловидного тела, частичной атрофией зрительного нерва).</w:t>
            </w:r>
          </w:p>
          <w:p>
            <w:pPr>
              <w:pStyle w:val="TableParagraph"/>
              <w:spacing w:line="249" w:lineRule="auto" w:before="8"/>
              <w:ind w:left="72" w:right="60"/>
              <w:rPr>
                <w:sz w:val="20"/>
              </w:rPr>
            </w:pPr>
            <w:r>
              <w:rPr>
                <w:sz w:val="20"/>
              </w:rPr>
              <w:t>Врожденные аномалии век, слезного аппарата, глазницы, врожденный птоз, отсутствие или агенезия</w:t>
            </w:r>
            <w:r>
              <w:rPr>
                <w:spacing w:val="-13"/>
                <w:sz w:val="20"/>
              </w:rPr>
              <w:t> </w:t>
            </w:r>
            <w:r>
              <w:rPr>
                <w:sz w:val="20"/>
              </w:rPr>
              <w:t>слезного</w:t>
            </w:r>
            <w:r>
              <w:rPr>
                <w:spacing w:val="-12"/>
                <w:sz w:val="20"/>
              </w:rPr>
              <w:t> </w:t>
            </w:r>
            <w:r>
              <w:rPr>
                <w:sz w:val="20"/>
              </w:rPr>
              <w:t>аппарата,</w:t>
            </w:r>
            <w:r>
              <w:rPr>
                <w:spacing w:val="-13"/>
                <w:sz w:val="20"/>
              </w:rPr>
              <w:t> </w:t>
            </w:r>
            <w:r>
              <w:rPr>
                <w:sz w:val="20"/>
              </w:rPr>
              <w:t>другие пороки</w:t>
            </w:r>
            <w:r>
              <w:rPr>
                <w:spacing w:val="-13"/>
                <w:sz w:val="20"/>
              </w:rPr>
              <w:t> </w:t>
            </w:r>
            <w:r>
              <w:rPr>
                <w:sz w:val="20"/>
              </w:rPr>
              <w:t>развития</w:t>
            </w:r>
            <w:r>
              <w:rPr>
                <w:spacing w:val="-12"/>
                <w:sz w:val="20"/>
              </w:rPr>
              <w:t> </w:t>
            </w:r>
            <w:r>
              <w:rPr>
                <w:sz w:val="20"/>
              </w:rPr>
              <w:t>слезного</w:t>
            </w:r>
            <w:r>
              <w:rPr>
                <w:spacing w:val="-13"/>
                <w:sz w:val="20"/>
              </w:rPr>
              <w:t> </w:t>
            </w:r>
            <w:r>
              <w:rPr>
                <w:sz w:val="20"/>
              </w:rPr>
              <w:t>аппарата без осложнений или осложненные патологией роговицы.</w:t>
            </w:r>
          </w:p>
          <w:p>
            <w:pPr>
              <w:pStyle w:val="TableParagraph"/>
              <w:spacing w:line="240" w:lineRule="exact"/>
              <w:ind w:left="72" w:right="60"/>
              <w:rPr>
                <w:sz w:val="20"/>
              </w:rPr>
            </w:pPr>
            <w:r>
              <w:rPr>
                <w:sz w:val="20"/>
              </w:rPr>
              <w:t>Врожденные</w:t>
            </w:r>
            <w:r>
              <w:rPr>
                <w:spacing w:val="-13"/>
                <w:sz w:val="20"/>
              </w:rPr>
              <w:t> </w:t>
            </w:r>
            <w:r>
              <w:rPr>
                <w:sz w:val="20"/>
              </w:rPr>
              <w:t>болезни</w:t>
            </w:r>
            <w:r>
              <w:rPr>
                <w:spacing w:val="-12"/>
                <w:sz w:val="20"/>
              </w:rPr>
              <w:t> </w:t>
            </w:r>
            <w:r>
              <w:rPr>
                <w:sz w:val="20"/>
              </w:rPr>
              <w:t>мышц</w:t>
            </w:r>
            <w:r>
              <w:rPr>
                <w:spacing w:val="-13"/>
                <w:sz w:val="20"/>
              </w:rPr>
              <w:t> </w:t>
            </w:r>
            <w:r>
              <w:rPr>
                <w:sz w:val="20"/>
              </w:rPr>
              <w:t>глаза, нарушение содружественного движения глаз</w:t>
            </w:r>
          </w:p>
        </w:tc>
        <w:tc>
          <w:tcPr>
            <w:tcW w:w="1547" w:type="dxa"/>
          </w:tcPr>
          <w:p>
            <w:pPr>
              <w:pStyle w:val="TableParagraph"/>
              <w:spacing w:line="249" w:lineRule="auto"/>
              <w:ind w:left="70"/>
              <w:rPr>
                <w:sz w:val="20"/>
              </w:rPr>
            </w:pPr>
            <w:r>
              <w:rPr>
                <w:spacing w:val="-2"/>
                <w:sz w:val="20"/>
              </w:rPr>
              <w:t>хирургическое лечение</w:t>
            </w:r>
          </w:p>
        </w:tc>
        <w:tc>
          <w:tcPr>
            <w:tcW w:w="3729" w:type="dxa"/>
          </w:tcPr>
          <w:p>
            <w:pPr>
              <w:pStyle w:val="TableParagraph"/>
              <w:spacing w:line="249" w:lineRule="auto"/>
              <w:ind w:left="221" w:right="121"/>
              <w:rPr>
                <w:sz w:val="20"/>
              </w:rPr>
            </w:pPr>
            <w:r>
              <w:rPr>
                <w:sz w:val="20"/>
              </w:rPr>
              <w:t>устранение врожденного птоза верхнего</w:t>
            </w:r>
            <w:r>
              <w:rPr>
                <w:spacing w:val="-13"/>
                <w:sz w:val="20"/>
              </w:rPr>
              <w:t> </w:t>
            </w:r>
            <w:r>
              <w:rPr>
                <w:sz w:val="20"/>
              </w:rPr>
              <w:t>века</w:t>
            </w:r>
            <w:r>
              <w:rPr>
                <w:spacing w:val="-12"/>
                <w:sz w:val="20"/>
              </w:rPr>
              <w:t> </w:t>
            </w:r>
            <w:r>
              <w:rPr>
                <w:sz w:val="20"/>
              </w:rPr>
              <w:t>подвешиванием</w:t>
            </w:r>
            <w:r>
              <w:rPr>
                <w:spacing w:val="-13"/>
                <w:sz w:val="20"/>
              </w:rPr>
              <w:t> </w:t>
            </w:r>
            <w:r>
              <w:rPr>
                <w:sz w:val="20"/>
              </w:rPr>
              <w:t>или укорочением леватора</w:t>
            </w:r>
          </w:p>
        </w:tc>
        <w:tc>
          <w:tcPr>
            <w:tcW w:w="1103" w:type="dxa"/>
          </w:tcPr>
          <w:p>
            <w:pPr>
              <w:pStyle w:val="TableParagraph"/>
              <w:spacing w:line="221" w:lineRule="exact"/>
              <w:ind w:left="553"/>
              <w:rPr>
                <w:sz w:val="20"/>
              </w:rPr>
            </w:pPr>
            <w:r>
              <w:rPr>
                <w:spacing w:val="-2"/>
                <w:sz w:val="20"/>
              </w:rPr>
              <w:t>96505</w:t>
            </w:r>
          </w:p>
        </w:tc>
      </w:tr>
      <w:tr>
        <w:trPr>
          <w:trHeight w:val="6831" w:hRule="atLeast"/>
        </w:trPr>
        <w:tc>
          <w:tcPr>
            <w:tcW w:w="472" w:type="dxa"/>
          </w:tcPr>
          <w:p>
            <w:pPr>
              <w:pStyle w:val="TableParagraph"/>
              <w:rPr>
                <w:sz w:val="18"/>
              </w:rPr>
            </w:pPr>
          </w:p>
        </w:tc>
        <w:tc>
          <w:tcPr>
            <w:tcW w:w="2972" w:type="dxa"/>
            <w:vMerge/>
            <w:tcBorders>
              <w:top w:val="nil"/>
            </w:tcBorders>
          </w:tcPr>
          <w:p>
            <w:pPr>
              <w:rPr>
                <w:sz w:val="2"/>
                <w:szCs w:val="2"/>
              </w:rPr>
            </w:pPr>
          </w:p>
        </w:tc>
        <w:tc>
          <w:tcPr>
            <w:tcW w:w="2009" w:type="dxa"/>
            <w:vMerge/>
            <w:tcBorders>
              <w:top w:val="nil"/>
            </w:tcBorders>
          </w:tcPr>
          <w:p>
            <w:pPr>
              <w:rPr>
                <w:sz w:val="2"/>
                <w:szCs w:val="2"/>
              </w:rPr>
            </w:pPr>
          </w:p>
        </w:tc>
        <w:tc>
          <w:tcPr>
            <w:tcW w:w="3158" w:type="dxa"/>
            <w:vMerge/>
            <w:tcBorders>
              <w:top w:val="nil"/>
            </w:tcBorders>
          </w:tcPr>
          <w:p>
            <w:pPr>
              <w:rPr>
                <w:sz w:val="2"/>
                <w:szCs w:val="2"/>
              </w:rPr>
            </w:pPr>
          </w:p>
        </w:tc>
        <w:tc>
          <w:tcPr>
            <w:tcW w:w="1547" w:type="dxa"/>
          </w:tcPr>
          <w:p>
            <w:pPr>
              <w:pStyle w:val="TableParagraph"/>
              <w:rPr>
                <w:sz w:val="18"/>
              </w:rPr>
            </w:pPr>
          </w:p>
        </w:tc>
        <w:tc>
          <w:tcPr>
            <w:tcW w:w="3729" w:type="dxa"/>
          </w:tcPr>
          <w:p>
            <w:pPr>
              <w:pStyle w:val="TableParagraph"/>
              <w:spacing w:line="252" w:lineRule="auto" w:before="120"/>
              <w:ind w:left="221" w:right="121"/>
              <w:rPr>
                <w:sz w:val="20"/>
              </w:rPr>
            </w:pPr>
            <w:r>
              <w:rPr>
                <w:sz w:val="20"/>
              </w:rPr>
              <w:t>исправление</w:t>
            </w:r>
            <w:r>
              <w:rPr>
                <w:spacing w:val="-13"/>
                <w:sz w:val="20"/>
              </w:rPr>
              <w:t> </w:t>
            </w:r>
            <w:r>
              <w:rPr>
                <w:sz w:val="20"/>
              </w:rPr>
              <w:t>косоглазия</w:t>
            </w:r>
            <w:r>
              <w:rPr>
                <w:spacing w:val="-12"/>
                <w:sz w:val="20"/>
              </w:rPr>
              <w:t> </w:t>
            </w:r>
            <w:r>
              <w:rPr>
                <w:sz w:val="20"/>
              </w:rPr>
              <w:t>с</w:t>
            </w:r>
            <w:r>
              <w:rPr>
                <w:spacing w:val="-13"/>
                <w:sz w:val="20"/>
              </w:rPr>
              <w:t> </w:t>
            </w:r>
            <w:r>
              <w:rPr>
                <w:sz w:val="20"/>
              </w:rPr>
              <w:t>пластикой экстраокулярных мышц</w:t>
            </w:r>
          </w:p>
        </w:tc>
        <w:tc>
          <w:tcPr>
            <w:tcW w:w="110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168"/>
        <w:gridCol w:w="1797"/>
        <w:gridCol w:w="3184"/>
        <w:gridCol w:w="1617"/>
        <w:gridCol w:w="3791"/>
        <w:gridCol w:w="965"/>
      </w:tblGrid>
      <w:tr>
        <w:trPr>
          <w:trHeight w:val="350" w:hRule="atLeast"/>
        </w:trPr>
        <w:tc>
          <w:tcPr>
            <w:tcW w:w="472" w:type="dxa"/>
          </w:tcPr>
          <w:p>
            <w:pPr>
              <w:pStyle w:val="TableParagraph"/>
              <w:rPr>
                <w:sz w:val="18"/>
              </w:rPr>
            </w:pPr>
          </w:p>
        </w:tc>
        <w:tc>
          <w:tcPr>
            <w:tcW w:w="3168" w:type="dxa"/>
          </w:tcPr>
          <w:p>
            <w:pPr>
              <w:pStyle w:val="TableParagraph"/>
              <w:rPr>
                <w:sz w:val="18"/>
              </w:rPr>
            </w:pPr>
          </w:p>
        </w:tc>
        <w:tc>
          <w:tcPr>
            <w:tcW w:w="1797" w:type="dxa"/>
          </w:tcPr>
          <w:p>
            <w:pPr>
              <w:pStyle w:val="TableParagraph"/>
              <w:rPr>
                <w:sz w:val="18"/>
              </w:rPr>
            </w:pPr>
          </w:p>
        </w:tc>
        <w:tc>
          <w:tcPr>
            <w:tcW w:w="3184" w:type="dxa"/>
          </w:tcPr>
          <w:p>
            <w:pPr>
              <w:pStyle w:val="TableParagraph"/>
              <w:spacing w:line="221" w:lineRule="exact"/>
              <w:ind w:left="1785"/>
              <w:rPr>
                <w:sz w:val="20"/>
              </w:rPr>
            </w:pPr>
            <w:r>
              <w:rPr>
                <w:spacing w:val="-2"/>
                <w:sz w:val="20"/>
              </w:rPr>
              <w:t>Педиатрия</w:t>
            </w:r>
          </w:p>
        </w:tc>
        <w:tc>
          <w:tcPr>
            <w:tcW w:w="1617" w:type="dxa"/>
          </w:tcPr>
          <w:p>
            <w:pPr>
              <w:pStyle w:val="TableParagraph"/>
              <w:rPr>
                <w:sz w:val="18"/>
              </w:rPr>
            </w:pPr>
          </w:p>
        </w:tc>
        <w:tc>
          <w:tcPr>
            <w:tcW w:w="3791" w:type="dxa"/>
          </w:tcPr>
          <w:p>
            <w:pPr>
              <w:pStyle w:val="TableParagraph"/>
              <w:rPr>
                <w:sz w:val="18"/>
              </w:rPr>
            </w:pPr>
          </w:p>
        </w:tc>
        <w:tc>
          <w:tcPr>
            <w:tcW w:w="965" w:type="dxa"/>
          </w:tcPr>
          <w:p>
            <w:pPr>
              <w:pStyle w:val="TableParagraph"/>
              <w:rPr>
                <w:sz w:val="18"/>
              </w:rPr>
            </w:pPr>
          </w:p>
        </w:tc>
      </w:tr>
      <w:tr>
        <w:trPr>
          <w:trHeight w:val="2820" w:hRule="atLeast"/>
        </w:trPr>
        <w:tc>
          <w:tcPr>
            <w:tcW w:w="472" w:type="dxa"/>
          </w:tcPr>
          <w:p>
            <w:pPr>
              <w:pStyle w:val="TableParagraph"/>
              <w:spacing w:before="120"/>
              <w:ind w:left="50"/>
              <w:rPr>
                <w:sz w:val="20"/>
              </w:rPr>
            </w:pPr>
            <w:r>
              <w:rPr>
                <w:spacing w:val="-5"/>
                <w:sz w:val="20"/>
              </w:rPr>
              <w:t>31.</w:t>
            </w:r>
          </w:p>
        </w:tc>
        <w:tc>
          <w:tcPr>
            <w:tcW w:w="3168" w:type="dxa"/>
          </w:tcPr>
          <w:p>
            <w:pPr>
              <w:pStyle w:val="TableParagraph"/>
              <w:spacing w:line="249" w:lineRule="auto" w:before="120"/>
              <w:ind w:left="168" w:right="594"/>
              <w:rPr>
                <w:sz w:val="20"/>
              </w:rPr>
            </w:pPr>
            <w:r>
              <w:rPr>
                <w:sz w:val="20"/>
              </w:rPr>
              <w:t>Поликомпонентное</w:t>
            </w:r>
            <w:r>
              <w:rPr>
                <w:spacing w:val="-13"/>
                <w:sz w:val="20"/>
              </w:rPr>
              <w:t> </w:t>
            </w:r>
            <w:r>
              <w:rPr>
                <w:sz w:val="20"/>
              </w:rPr>
              <w:t>лечение болезни Вильсона, болезни Гоше, мальабсорбции с </w:t>
            </w:r>
            <w:r>
              <w:rPr>
                <w:spacing w:val="-2"/>
                <w:sz w:val="20"/>
              </w:rPr>
              <w:t>применением химиотерапевтических </w:t>
            </w:r>
            <w:r>
              <w:rPr>
                <w:sz w:val="20"/>
              </w:rPr>
              <w:t>лекарственных препаратов</w:t>
            </w:r>
          </w:p>
        </w:tc>
        <w:tc>
          <w:tcPr>
            <w:tcW w:w="1797" w:type="dxa"/>
          </w:tcPr>
          <w:p>
            <w:pPr>
              <w:pStyle w:val="TableParagraph"/>
              <w:spacing w:before="120"/>
              <w:ind w:left="601"/>
              <w:rPr>
                <w:sz w:val="20"/>
              </w:rPr>
            </w:pPr>
            <w:hyperlink r:id="rId281">
              <w:r>
                <w:rPr>
                  <w:spacing w:val="-2"/>
                  <w:sz w:val="20"/>
                </w:rPr>
                <w:t>E83.0</w:t>
              </w:r>
            </w:hyperlink>
          </w:p>
        </w:tc>
        <w:tc>
          <w:tcPr>
            <w:tcW w:w="3184" w:type="dxa"/>
          </w:tcPr>
          <w:p>
            <w:pPr>
              <w:pStyle w:val="TableParagraph"/>
              <w:spacing w:before="120"/>
              <w:ind w:left="88"/>
              <w:rPr>
                <w:sz w:val="20"/>
              </w:rPr>
            </w:pPr>
            <w:r>
              <w:rPr>
                <w:sz w:val="20"/>
              </w:rPr>
              <w:t>болезнь</w:t>
            </w:r>
            <w:r>
              <w:rPr>
                <w:spacing w:val="-10"/>
                <w:sz w:val="20"/>
              </w:rPr>
              <w:t> </w:t>
            </w:r>
            <w:r>
              <w:rPr>
                <w:spacing w:val="-2"/>
                <w:sz w:val="20"/>
              </w:rPr>
              <w:t>Вильсона</w:t>
            </w:r>
          </w:p>
        </w:tc>
        <w:tc>
          <w:tcPr>
            <w:tcW w:w="1617" w:type="dxa"/>
          </w:tcPr>
          <w:p>
            <w:pPr>
              <w:pStyle w:val="TableParagraph"/>
              <w:spacing w:line="249" w:lineRule="auto" w:before="120"/>
              <w:ind w:left="60"/>
              <w:rPr>
                <w:sz w:val="20"/>
              </w:rPr>
            </w:pPr>
            <w:r>
              <w:rPr>
                <w:spacing w:val="-2"/>
                <w:sz w:val="20"/>
              </w:rPr>
              <w:t>терапевтическое лечение</w:t>
            </w:r>
          </w:p>
        </w:tc>
        <w:tc>
          <w:tcPr>
            <w:tcW w:w="3791" w:type="dxa"/>
          </w:tcPr>
          <w:p>
            <w:pPr>
              <w:pStyle w:val="TableParagraph"/>
              <w:spacing w:line="249" w:lineRule="auto" w:before="120"/>
              <w:ind w:left="141" w:right="415"/>
              <w:rPr>
                <w:sz w:val="20"/>
              </w:rPr>
            </w:pPr>
            <w:r>
              <w:rPr>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w:t>
            </w:r>
            <w:r>
              <w:rPr>
                <w:spacing w:val="-12"/>
                <w:sz w:val="20"/>
              </w:rPr>
              <w:t> </w:t>
            </w:r>
            <w:r>
              <w:rPr>
                <w:sz w:val="20"/>
              </w:rPr>
              <w:t>методов диагностики, определения концентраций микроэлементов в биологических</w:t>
            </w:r>
            <w:r>
              <w:rPr>
                <w:spacing w:val="-13"/>
                <w:sz w:val="20"/>
              </w:rPr>
              <w:t> </w:t>
            </w:r>
            <w:r>
              <w:rPr>
                <w:sz w:val="20"/>
              </w:rPr>
              <w:t>жидкостях,</w:t>
            </w:r>
            <w:r>
              <w:rPr>
                <w:spacing w:val="-12"/>
                <w:sz w:val="20"/>
              </w:rPr>
              <w:t> </w:t>
            </w:r>
            <w:r>
              <w:rPr>
                <w:sz w:val="20"/>
              </w:rPr>
              <w:t>комплекса методов визуализации</w:t>
            </w:r>
          </w:p>
        </w:tc>
        <w:tc>
          <w:tcPr>
            <w:tcW w:w="965" w:type="dxa"/>
          </w:tcPr>
          <w:p>
            <w:pPr>
              <w:pStyle w:val="TableParagraph"/>
              <w:spacing w:before="120"/>
              <w:ind w:left="411"/>
              <w:rPr>
                <w:sz w:val="20"/>
              </w:rPr>
            </w:pPr>
            <w:r>
              <w:rPr>
                <w:spacing w:val="-2"/>
                <w:sz w:val="20"/>
              </w:rPr>
              <w:t>90940</w:t>
            </w:r>
          </w:p>
        </w:tc>
      </w:tr>
      <w:tr>
        <w:trPr>
          <w:trHeight w:val="3240" w:hRule="atLeast"/>
        </w:trPr>
        <w:tc>
          <w:tcPr>
            <w:tcW w:w="472" w:type="dxa"/>
          </w:tcPr>
          <w:p>
            <w:pPr>
              <w:pStyle w:val="TableParagraph"/>
              <w:rPr>
                <w:sz w:val="18"/>
              </w:rPr>
            </w:pPr>
          </w:p>
        </w:tc>
        <w:tc>
          <w:tcPr>
            <w:tcW w:w="3168" w:type="dxa"/>
          </w:tcPr>
          <w:p>
            <w:pPr>
              <w:pStyle w:val="TableParagraph"/>
              <w:rPr>
                <w:sz w:val="18"/>
              </w:rPr>
            </w:pPr>
          </w:p>
        </w:tc>
        <w:tc>
          <w:tcPr>
            <w:tcW w:w="1797" w:type="dxa"/>
          </w:tcPr>
          <w:p>
            <w:pPr>
              <w:pStyle w:val="TableParagraph"/>
              <w:spacing w:before="60"/>
              <w:ind w:left="-31"/>
              <w:rPr>
                <w:sz w:val="20"/>
              </w:rPr>
            </w:pPr>
            <w:hyperlink r:id="rId282">
              <w:r>
                <w:rPr>
                  <w:sz w:val="20"/>
                </w:rPr>
                <w:t>K90.0,</w:t>
              </w:r>
              <w:r>
                <w:rPr>
                  <w:spacing w:val="-3"/>
                  <w:sz w:val="20"/>
                </w:rPr>
                <w:t> </w:t>
              </w:r>
            </w:hyperlink>
            <w:hyperlink r:id="rId283">
              <w:r>
                <w:rPr>
                  <w:sz w:val="20"/>
                </w:rPr>
                <w:t>K90.4,</w:t>
              </w:r>
              <w:r>
                <w:rPr>
                  <w:spacing w:val="-4"/>
                  <w:sz w:val="20"/>
                </w:rPr>
                <w:t> </w:t>
              </w:r>
            </w:hyperlink>
            <w:hyperlink r:id="rId284">
              <w:r>
                <w:rPr>
                  <w:spacing w:val="-2"/>
                  <w:sz w:val="20"/>
                </w:rPr>
                <w:t>K90.8,</w:t>
              </w:r>
            </w:hyperlink>
          </w:p>
          <w:p>
            <w:pPr>
              <w:pStyle w:val="TableParagraph"/>
              <w:spacing w:line="252" w:lineRule="auto" w:before="10"/>
              <w:ind w:left="601" w:hanging="546"/>
              <w:rPr>
                <w:sz w:val="20"/>
              </w:rPr>
            </w:pPr>
            <w:hyperlink r:id="rId285">
              <w:r>
                <w:rPr>
                  <w:sz w:val="20"/>
                </w:rPr>
                <w:t>K90.9,</w:t>
              </w:r>
              <w:r>
                <w:rPr>
                  <w:spacing w:val="-13"/>
                  <w:sz w:val="20"/>
                </w:rPr>
                <w:t> </w:t>
              </w:r>
            </w:hyperlink>
            <w:hyperlink r:id="rId286">
              <w:r>
                <w:rPr>
                  <w:sz w:val="20"/>
                </w:rPr>
                <w:t>K63.8,</w:t>
              </w:r>
              <w:r>
                <w:rPr>
                  <w:spacing w:val="-12"/>
                  <w:sz w:val="20"/>
                </w:rPr>
                <w:t> </w:t>
              </w:r>
            </w:hyperlink>
            <w:hyperlink r:id="rId287">
              <w:r>
                <w:rPr>
                  <w:sz w:val="20"/>
                </w:rPr>
                <w:t>E73,</w:t>
              </w:r>
            </w:hyperlink>
            <w:r>
              <w:rPr>
                <w:sz w:val="20"/>
              </w:rPr>
              <w:t> </w:t>
            </w:r>
            <w:hyperlink r:id="rId288">
              <w:r>
                <w:rPr>
                  <w:spacing w:val="-2"/>
                  <w:sz w:val="20"/>
                </w:rPr>
                <w:t>E74.3</w:t>
              </w:r>
            </w:hyperlink>
          </w:p>
        </w:tc>
        <w:tc>
          <w:tcPr>
            <w:tcW w:w="3184" w:type="dxa"/>
          </w:tcPr>
          <w:p>
            <w:pPr>
              <w:pStyle w:val="TableParagraph"/>
              <w:spacing w:before="60"/>
              <w:ind w:left="88"/>
              <w:rPr>
                <w:sz w:val="20"/>
              </w:rPr>
            </w:pPr>
            <w:r>
              <w:rPr>
                <w:sz w:val="20"/>
              </w:rPr>
              <w:t>тяжелые</w:t>
            </w:r>
            <w:r>
              <w:rPr>
                <w:spacing w:val="-7"/>
                <w:sz w:val="20"/>
              </w:rPr>
              <w:t> </w:t>
            </w:r>
            <w:r>
              <w:rPr>
                <w:sz w:val="20"/>
              </w:rPr>
              <w:t>формы</w:t>
            </w:r>
            <w:r>
              <w:rPr>
                <w:spacing w:val="-6"/>
                <w:sz w:val="20"/>
              </w:rPr>
              <w:t> </w:t>
            </w:r>
            <w:r>
              <w:rPr>
                <w:spacing w:val="-2"/>
                <w:sz w:val="20"/>
              </w:rPr>
              <w:t>мальабсорбции</w:t>
            </w:r>
          </w:p>
        </w:tc>
        <w:tc>
          <w:tcPr>
            <w:tcW w:w="1617" w:type="dxa"/>
          </w:tcPr>
          <w:p>
            <w:pPr>
              <w:pStyle w:val="TableParagraph"/>
              <w:spacing w:line="249" w:lineRule="auto" w:before="60"/>
              <w:ind w:left="60"/>
              <w:rPr>
                <w:sz w:val="20"/>
              </w:rPr>
            </w:pPr>
            <w:r>
              <w:rPr>
                <w:spacing w:val="-2"/>
                <w:sz w:val="20"/>
              </w:rPr>
              <w:t>терапевтическое лечение</w:t>
            </w:r>
          </w:p>
        </w:tc>
        <w:tc>
          <w:tcPr>
            <w:tcW w:w="3791" w:type="dxa"/>
          </w:tcPr>
          <w:p>
            <w:pPr>
              <w:pStyle w:val="TableParagraph"/>
              <w:spacing w:line="249" w:lineRule="auto" w:before="60"/>
              <w:ind w:left="141" w:right="430"/>
              <w:rPr>
                <w:sz w:val="20"/>
              </w:rPr>
            </w:pPr>
            <w:r>
              <w:rPr>
                <w:sz w:val="20"/>
              </w:rPr>
              <w:t>поликомпонентное лечение с применением гормональных, цитостатических лекарственных препаратов, частичного или полного парентерального</w:t>
            </w:r>
            <w:r>
              <w:rPr>
                <w:spacing w:val="-13"/>
                <w:sz w:val="20"/>
              </w:rPr>
              <w:t> </w:t>
            </w:r>
            <w:r>
              <w:rPr>
                <w:sz w:val="20"/>
              </w:rPr>
              <w:t>питания</w:t>
            </w:r>
            <w:r>
              <w:rPr>
                <w:spacing w:val="-12"/>
                <w:sz w:val="20"/>
              </w:rPr>
              <w:t> </w:t>
            </w:r>
            <w:r>
              <w:rPr>
                <w:sz w:val="20"/>
              </w:rPr>
              <w:t>с</w:t>
            </w:r>
            <w:r>
              <w:rPr>
                <w:spacing w:val="-13"/>
                <w:sz w:val="20"/>
              </w:rPr>
              <w:t> </w:t>
            </w:r>
            <w:r>
              <w:rPr>
                <w:sz w:val="20"/>
              </w:rPr>
              <w:t>подбором специализированного энтерального питания под контролем эффектив- ности терапии с применением комплекса биохимических, цитохимических,</w:t>
            </w:r>
            <w:r>
              <w:rPr>
                <w:spacing w:val="-13"/>
                <w:sz w:val="20"/>
              </w:rPr>
              <w:t> </w:t>
            </w:r>
            <w:r>
              <w:rPr>
                <w:sz w:val="20"/>
              </w:rPr>
              <w:t>иммунологических, морфологических и иммуногистохи- мических методов диагностики, а также методов визуализации</w:t>
            </w:r>
          </w:p>
        </w:tc>
        <w:tc>
          <w:tcPr>
            <w:tcW w:w="965" w:type="dxa"/>
          </w:tcPr>
          <w:p>
            <w:pPr>
              <w:pStyle w:val="TableParagraph"/>
              <w:rPr>
                <w:sz w:val="18"/>
              </w:rPr>
            </w:pPr>
          </w:p>
        </w:tc>
      </w:tr>
      <w:tr>
        <w:trPr>
          <w:trHeight w:val="1730" w:hRule="atLeast"/>
        </w:trPr>
        <w:tc>
          <w:tcPr>
            <w:tcW w:w="472" w:type="dxa"/>
          </w:tcPr>
          <w:p>
            <w:pPr>
              <w:pStyle w:val="TableParagraph"/>
              <w:rPr>
                <w:sz w:val="18"/>
              </w:rPr>
            </w:pPr>
          </w:p>
        </w:tc>
        <w:tc>
          <w:tcPr>
            <w:tcW w:w="3168" w:type="dxa"/>
          </w:tcPr>
          <w:p>
            <w:pPr>
              <w:pStyle w:val="TableParagraph"/>
              <w:rPr>
                <w:sz w:val="18"/>
              </w:rPr>
            </w:pPr>
          </w:p>
        </w:tc>
        <w:tc>
          <w:tcPr>
            <w:tcW w:w="1797" w:type="dxa"/>
          </w:tcPr>
          <w:p>
            <w:pPr>
              <w:pStyle w:val="TableParagraph"/>
              <w:spacing w:before="60"/>
              <w:ind w:left="601"/>
              <w:rPr>
                <w:sz w:val="20"/>
              </w:rPr>
            </w:pPr>
            <w:hyperlink r:id="rId289">
              <w:r>
                <w:rPr>
                  <w:spacing w:val="-2"/>
                  <w:sz w:val="20"/>
                </w:rPr>
                <w:t>E75.5</w:t>
              </w:r>
            </w:hyperlink>
          </w:p>
        </w:tc>
        <w:tc>
          <w:tcPr>
            <w:tcW w:w="3184" w:type="dxa"/>
          </w:tcPr>
          <w:p>
            <w:pPr>
              <w:pStyle w:val="TableParagraph"/>
              <w:spacing w:line="240" w:lineRule="atLeast" w:before="30"/>
              <w:ind w:left="88" w:right="12"/>
              <w:rPr>
                <w:sz w:val="20"/>
              </w:rPr>
            </w:pPr>
            <w:r>
              <w:rPr>
                <w:sz w:val="20"/>
              </w:rPr>
              <w:t>болезнь Гоше I и III типа, протекающая с поражением жизненно</w:t>
            </w:r>
            <w:r>
              <w:rPr>
                <w:spacing w:val="-13"/>
                <w:sz w:val="20"/>
              </w:rPr>
              <w:t> </w:t>
            </w:r>
            <w:r>
              <w:rPr>
                <w:sz w:val="20"/>
              </w:rPr>
              <w:t>важных</w:t>
            </w:r>
            <w:r>
              <w:rPr>
                <w:spacing w:val="-12"/>
                <w:sz w:val="20"/>
              </w:rPr>
              <w:t> </w:t>
            </w:r>
            <w:r>
              <w:rPr>
                <w:sz w:val="20"/>
              </w:rPr>
              <w:t>органов</w:t>
            </w:r>
            <w:r>
              <w:rPr>
                <w:spacing w:val="-13"/>
                <w:sz w:val="20"/>
              </w:rPr>
              <w:t> </w:t>
            </w:r>
            <w:r>
              <w:rPr>
                <w:sz w:val="20"/>
              </w:rPr>
              <w:t>(печени, селезенки, легких), костно- суставной системы и (или) с развитием тяжелой неврологической симптоматики</w:t>
            </w:r>
          </w:p>
        </w:tc>
        <w:tc>
          <w:tcPr>
            <w:tcW w:w="1617" w:type="dxa"/>
          </w:tcPr>
          <w:p>
            <w:pPr>
              <w:pStyle w:val="TableParagraph"/>
              <w:spacing w:line="249" w:lineRule="auto" w:before="60"/>
              <w:ind w:left="60"/>
              <w:rPr>
                <w:sz w:val="20"/>
              </w:rPr>
            </w:pPr>
            <w:r>
              <w:rPr>
                <w:spacing w:val="-2"/>
                <w:sz w:val="20"/>
              </w:rPr>
              <w:t>терапевтическое лечение</w:t>
            </w:r>
          </w:p>
        </w:tc>
        <w:tc>
          <w:tcPr>
            <w:tcW w:w="3791" w:type="dxa"/>
          </w:tcPr>
          <w:p>
            <w:pPr>
              <w:pStyle w:val="TableParagraph"/>
              <w:spacing w:line="249" w:lineRule="auto" w:before="60"/>
              <w:ind w:left="141" w:right="415"/>
              <w:rPr>
                <w:sz w:val="20"/>
              </w:rPr>
            </w:pPr>
            <w:r>
              <w:rPr>
                <w:sz w:val="20"/>
              </w:rPr>
              <w:t>комплексное</w:t>
            </w:r>
            <w:r>
              <w:rPr>
                <w:spacing w:val="-12"/>
                <w:sz w:val="20"/>
              </w:rPr>
              <w:t> </w:t>
            </w:r>
            <w:r>
              <w:rPr>
                <w:sz w:val="20"/>
              </w:rPr>
              <w:t>лечение</w:t>
            </w:r>
            <w:r>
              <w:rPr>
                <w:spacing w:val="-12"/>
                <w:sz w:val="20"/>
              </w:rPr>
              <w:t> </w:t>
            </w:r>
            <w:r>
              <w:rPr>
                <w:sz w:val="20"/>
              </w:rPr>
              <w:t>с</w:t>
            </w:r>
            <w:r>
              <w:rPr>
                <w:spacing w:val="-10"/>
                <w:sz w:val="20"/>
              </w:rPr>
              <w:t> </w:t>
            </w:r>
            <w:r>
              <w:rPr>
                <w:sz w:val="20"/>
              </w:rPr>
              <w:t>применением дифференцированного назначения парентеральной заместительной терапии</w:t>
            </w:r>
            <w:r>
              <w:rPr>
                <w:spacing w:val="-13"/>
                <w:sz w:val="20"/>
              </w:rPr>
              <w:t> </w:t>
            </w:r>
            <w:r>
              <w:rPr>
                <w:sz w:val="20"/>
              </w:rPr>
              <w:t>ферментом</w:t>
            </w:r>
            <w:r>
              <w:rPr>
                <w:spacing w:val="-12"/>
                <w:sz w:val="20"/>
              </w:rPr>
              <w:t> </w:t>
            </w:r>
            <w:r>
              <w:rPr>
                <w:sz w:val="20"/>
              </w:rPr>
              <w:t>и</w:t>
            </w:r>
            <w:r>
              <w:rPr>
                <w:spacing w:val="-13"/>
                <w:sz w:val="20"/>
              </w:rPr>
              <w:t> </w:t>
            </w:r>
            <w:r>
              <w:rPr>
                <w:sz w:val="20"/>
              </w:rPr>
              <w:t>лекарственных препаратов, влияющих на формирование костной ткани</w:t>
            </w:r>
          </w:p>
        </w:tc>
        <w:tc>
          <w:tcPr>
            <w:tcW w:w="96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79"/>
        <w:gridCol w:w="2020"/>
        <w:gridCol w:w="3133"/>
        <w:gridCol w:w="1633"/>
        <w:gridCol w:w="3814"/>
        <w:gridCol w:w="991"/>
      </w:tblGrid>
      <w:tr>
        <w:trPr>
          <w:trHeight w:val="2510" w:hRule="atLeast"/>
        </w:trPr>
        <w:tc>
          <w:tcPr>
            <w:tcW w:w="472" w:type="dxa"/>
          </w:tcPr>
          <w:p>
            <w:pPr>
              <w:pStyle w:val="TableParagraph"/>
              <w:rPr>
                <w:sz w:val="18"/>
              </w:rPr>
            </w:pPr>
          </w:p>
        </w:tc>
        <w:tc>
          <w:tcPr>
            <w:tcW w:w="2979" w:type="dxa"/>
          </w:tcPr>
          <w:p>
            <w:pPr>
              <w:pStyle w:val="TableParagraph"/>
              <w:spacing w:line="249" w:lineRule="auto"/>
              <w:ind w:left="168"/>
              <w:rPr>
                <w:sz w:val="20"/>
              </w:rPr>
            </w:pPr>
            <w:r>
              <w:rPr>
                <w:spacing w:val="-2"/>
                <w:sz w:val="20"/>
              </w:rPr>
              <w:t>Поликомпонентное </w:t>
            </w:r>
            <w:r>
              <w:rPr>
                <w:sz w:val="20"/>
              </w:rPr>
              <w:t>иммуносупрессивное лечение локальных</w:t>
            </w:r>
            <w:r>
              <w:rPr>
                <w:spacing w:val="-13"/>
                <w:sz w:val="20"/>
              </w:rPr>
              <w:t> </w:t>
            </w:r>
            <w:r>
              <w:rPr>
                <w:sz w:val="20"/>
              </w:rPr>
              <w:t>и</w:t>
            </w:r>
            <w:r>
              <w:rPr>
                <w:spacing w:val="-12"/>
                <w:sz w:val="20"/>
              </w:rPr>
              <w:t> </w:t>
            </w:r>
            <w:r>
              <w:rPr>
                <w:sz w:val="20"/>
              </w:rPr>
              <w:t>распространенных форм системного склероза</w:t>
            </w:r>
          </w:p>
        </w:tc>
        <w:tc>
          <w:tcPr>
            <w:tcW w:w="2020" w:type="dxa"/>
          </w:tcPr>
          <w:p>
            <w:pPr>
              <w:pStyle w:val="TableParagraph"/>
              <w:spacing w:line="221" w:lineRule="exact"/>
              <w:ind w:left="86" w:right="52"/>
              <w:jc w:val="center"/>
              <w:rPr>
                <w:sz w:val="20"/>
              </w:rPr>
            </w:pPr>
            <w:hyperlink r:id="rId290">
              <w:r>
                <w:rPr>
                  <w:spacing w:val="-5"/>
                  <w:sz w:val="20"/>
                </w:rPr>
                <w:t>M34</w:t>
              </w:r>
            </w:hyperlink>
          </w:p>
        </w:tc>
        <w:tc>
          <w:tcPr>
            <w:tcW w:w="3133" w:type="dxa"/>
          </w:tcPr>
          <w:p>
            <w:pPr>
              <w:pStyle w:val="TableParagraph"/>
              <w:spacing w:line="249" w:lineRule="auto"/>
              <w:ind w:left="54" w:right="52"/>
              <w:rPr>
                <w:sz w:val="20"/>
              </w:rPr>
            </w:pPr>
            <w:r>
              <w:rPr>
                <w:sz w:val="20"/>
              </w:rPr>
              <w:t>системный</w:t>
            </w:r>
            <w:r>
              <w:rPr>
                <w:spacing w:val="-13"/>
                <w:sz w:val="20"/>
              </w:rPr>
              <w:t> </w:t>
            </w:r>
            <w:r>
              <w:rPr>
                <w:sz w:val="20"/>
              </w:rPr>
              <w:t>склероз</w:t>
            </w:r>
            <w:r>
              <w:rPr>
                <w:spacing w:val="-12"/>
                <w:sz w:val="20"/>
              </w:rPr>
              <w:t> </w:t>
            </w:r>
            <w:r>
              <w:rPr>
                <w:sz w:val="20"/>
              </w:rPr>
              <w:t>(локальные</w:t>
            </w:r>
            <w:r>
              <w:rPr>
                <w:spacing w:val="-13"/>
                <w:sz w:val="20"/>
              </w:rPr>
              <w:t> </w:t>
            </w:r>
            <w:r>
              <w:rPr>
                <w:sz w:val="20"/>
              </w:rPr>
              <w:t>и распространенные формы)</w:t>
            </w:r>
          </w:p>
        </w:tc>
        <w:tc>
          <w:tcPr>
            <w:tcW w:w="1633" w:type="dxa"/>
          </w:tcPr>
          <w:p>
            <w:pPr>
              <w:pStyle w:val="TableParagraph"/>
              <w:spacing w:line="249" w:lineRule="auto"/>
              <w:ind w:left="77"/>
              <w:rPr>
                <w:sz w:val="20"/>
              </w:rPr>
            </w:pPr>
            <w:r>
              <w:rPr>
                <w:spacing w:val="-2"/>
                <w:sz w:val="20"/>
              </w:rPr>
              <w:t>терапевтическое лечение</w:t>
            </w:r>
          </w:p>
        </w:tc>
        <w:tc>
          <w:tcPr>
            <w:tcW w:w="3814" w:type="dxa"/>
          </w:tcPr>
          <w:p>
            <w:pPr>
              <w:pStyle w:val="TableParagraph"/>
              <w:spacing w:line="249" w:lineRule="auto"/>
              <w:ind w:left="142" w:right="269"/>
              <w:rPr>
                <w:sz w:val="20"/>
              </w:rPr>
            </w:pPr>
            <w:r>
              <w:rPr>
                <w:spacing w:val="-2"/>
                <w:sz w:val="20"/>
              </w:rPr>
              <w:t>поликомпонентное </w:t>
            </w:r>
            <w:r>
              <w:rPr>
                <w:sz w:val="20"/>
              </w:rPr>
              <w:t>иммуномодулирующее лечение с применением глюкокортикоидов и цитотоксических</w:t>
            </w:r>
            <w:r>
              <w:rPr>
                <w:spacing w:val="-13"/>
                <w:sz w:val="20"/>
              </w:rPr>
              <w:t> </w:t>
            </w:r>
            <w:r>
              <w:rPr>
                <w:sz w:val="20"/>
              </w:rPr>
              <w:t>иммунодепрессантов под контролем лабораторных и инструментальных методов диагностики, включая иммунологические, а также </w:t>
            </w:r>
            <w:r>
              <w:rPr>
                <w:spacing w:val="-2"/>
                <w:sz w:val="20"/>
              </w:rPr>
              <w:t>эндоскопические, рентгенологические, </w:t>
            </w:r>
            <w:r>
              <w:rPr>
                <w:sz w:val="20"/>
              </w:rPr>
              <w:t>ультразвуковые методы</w:t>
            </w:r>
          </w:p>
        </w:tc>
        <w:tc>
          <w:tcPr>
            <w:tcW w:w="991" w:type="dxa"/>
          </w:tcPr>
          <w:p>
            <w:pPr>
              <w:pStyle w:val="TableParagraph"/>
              <w:rPr>
                <w:sz w:val="18"/>
              </w:rPr>
            </w:pPr>
          </w:p>
        </w:tc>
      </w:tr>
      <w:tr>
        <w:trPr>
          <w:trHeight w:val="2400" w:hRule="atLeast"/>
        </w:trPr>
        <w:tc>
          <w:tcPr>
            <w:tcW w:w="472" w:type="dxa"/>
          </w:tcPr>
          <w:p>
            <w:pPr>
              <w:pStyle w:val="TableParagraph"/>
              <w:spacing w:before="120"/>
              <w:ind w:left="50"/>
              <w:rPr>
                <w:sz w:val="20"/>
              </w:rPr>
            </w:pPr>
            <w:r>
              <w:rPr>
                <w:spacing w:val="-5"/>
                <w:sz w:val="20"/>
              </w:rPr>
              <w:t>32.</w:t>
            </w:r>
          </w:p>
        </w:tc>
        <w:tc>
          <w:tcPr>
            <w:tcW w:w="2979" w:type="dxa"/>
          </w:tcPr>
          <w:p>
            <w:pPr>
              <w:pStyle w:val="TableParagraph"/>
              <w:spacing w:line="249" w:lineRule="auto" w:before="120"/>
              <w:ind w:left="168"/>
              <w:rPr>
                <w:sz w:val="20"/>
              </w:rPr>
            </w:pPr>
            <w:r>
              <w:rPr>
                <w:sz w:val="20"/>
              </w:rPr>
              <w:t>Поликомпонентное лечение наследственных нефритов, </w:t>
            </w:r>
            <w:r>
              <w:rPr>
                <w:spacing w:val="-2"/>
                <w:sz w:val="20"/>
              </w:rPr>
              <w:t>тубулопатий, </w:t>
            </w:r>
            <w:r>
              <w:rPr>
                <w:sz w:val="20"/>
              </w:rPr>
              <w:t>стероидрезистентного и </w:t>
            </w:r>
            <w:r>
              <w:rPr>
                <w:spacing w:val="-2"/>
                <w:sz w:val="20"/>
              </w:rPr>
              <w:t>стероидзависимого </w:t>
            </w:r>
            <w:r>
              <w:rPr>
                <w:sz w:val="20"/>
              </w:rPr>
              <w:t>нефротических синдромов с </w:t>
            </w:r>
            <w:r>
              <w:rPr>
                <w:spacing w:val="-2"/>
                <w:sz w:val="20"/>
              </w:rPr>
              <w:t>применением </w:t>
            </w:r>
            <w:r>
              <w:rPr>
                <w:sz w:val="20"/>
              </w:rPr>
              <w:t>иммуносупрессивной</w:t>
            </w:r>
            <w:r>
              <w:rPr>
                <w:spacing w:val="-13"/>
                <w:sz w:val="20"/>
              </w:rPr>
              <w:t> </w:t>
            </w:r>
            <w:r>
              <w:rPr>
                <w:sz w:val="20"/>
              </w:rPr>
              <w:t>и</w:t>
            </w:r>
            <w:r>
              <w:rPr>
                <w:spacing w:val="-12"/>
                <w:sz w:val="20"/>
              </w:rPr>
              <w:t> </w:t>
            </w:r>
            <w:r>
              <w:rPr>
                <w:sz w:val="20"/>
              </w:rPr>
              <w:t>(или) симптоматической терапии</w:t>
            </w:r>
          </w:p>
        </w:tc>
        <w:tc>
          <w:tcPr>
            <w:tcW w:w="2020" w:type="dxa"/>
          </w:tcPr>
          <w:p>
            <w:pPr>
              <w:pStyle w:val="TableParagraph"/>
              <w:spacing w:before="120"/>
              <w:ind w:left="88" w:right="52"/>
              <w:jc w:val="center"/>
              <w:rPr>
                <w:sz w:val="20"/>
              </w:rPr>
            </w:pPr>
            <w:hyperlink r:id="rId291">
              <w:r>
                <w:rPr>
                  <w:sz w:val="20"/>
                </w:rPr>
                <w:t>N04,</w:t>
              </w:r>
              <w:r>
                <w:rPr>
                  <w:spacing w:val="-1"/>
                  <w:sz w:val="20"/>
                </w:rPr>
                <w:t> </w:t>
              </w:r>
            </w:hyperlink>
            <w:hyperlink r:id="rId292">
              <w:r>
                <w:rPr>
                  <w:sz w:val="20"/>
                </w:rPr>
                <w:t>N07,</w:t>
              </w:r>
              <w:r>
                <w:rPr>
                  <w:spacing w:val="-4"/>
                  <w:sz w:val="20"/>
                </w:rPr>
                <w:t> </w:t>
              </w:r>
            </w:hyperlink>
            <w:hyperlink r:id="rId293">
              <w:r>
                <w:rPr>
                  <w:spacing w:val="-5"/>
                  <w:sz w:val="20"/>
                </w:rPr>
                <w:t>N25</w:t>
              </w:r>
            </w:hyperlink>
          </w:p>
        </w:tc>
        <w:tc>
          <w:tcPr>
            <w:tcW w:w="3133" w:type="dxa"/>
          </w:tcPr>
          <w:p>
            <w:pPr>
              <w:pStyle w:val="TableParagraph"/>
              <w:spacing w:line="249" w:lineRule="auto" w:before="120"/>
              <w:ind w:left="54" w:right="52"/>
              <w:rPr>
                <w:sz w:val="20"/>
              </w:rPr>
            </w:pPr>
            <w:r>
              <w:rPr>
                <w:sz w:val="20"/>
              </w:rPr>
              <w:t>нефротический синдром неустановленной</w:t>
            </w:r>
            <w:r>
              <w:rPr>
                <w:spacing w:val="-13"/>
                <w:sz w:val="20"/>
              </w:rPr>
              <w:t> </w:t>
            </w:r>
            <w:r>
              <w:rPr>
                <w:sz w:val="20"/>
              </w:rPr>
              <w:t>этиологии</w:t>
            </w:r>
            <w:r>
              <w:rPr>
                <w:spacing w:val="-12"/>
                <w:sz w:val="20"/>
              </w:rPr>
              <w:t> </w:t>
            </w:r>
            <w:r>
              <w:rPr>
                <w:sz w:val="20"/>
              </w:rPr>
              <w:t>и морфологического варианта, стероидчувствительный и </w:t>
            </w:r>
            <w:r>
              <w:rPr>
                <w:spacing w:val="-2"/>
                <w:sz w:val="20"/>
              </w:rPr>
              <w:t>стероидзависимый, </w:t>
            </w:r>
            <w:r>
              <w:rPr>
                <w:sz w:val="20"/>
              </w:rPr>
              <w:t>сопровождающийся отечным синдромом, постоянным или транзиторным нарушением функции почек</w:t>
            </w:r>
          </w:p>
        </w:tc>
        <w:tc>
          <w:tcPr>
            <w:tcW w:w="1633" w:type="dxa"/>
          </w:tcPr>
          <w:p>
            <w:pPr>
              <w:pStyle w:val="TableParagraph"/>
              <w:spacing w:line="249" w:lineRule="auto" w:before="120"/>
              <w:ind w:left="77"/>
              <w:rPr>
                <w:sz w:val="20"/>
              </w:rPr>
            </w:pPr>
            <w:r>
              <w:rPr>
                <w:spacing w:val="-2"/>
                <w:sz w:val="20"/>
              </w:rPr>
              <w:t>терапевтическое лечение</w:t>
            </w:r>
          </w:p>
        </w:tc>
        <w:tc>
          <w:tcPr>
            <w:tcW w:w="3814" w:type="dxa"/>
          </w:tcPr>
          <w:p>
            <w:pPr>
              <w:pStyle w:val="TableParagraph"/>
              <w:spacing w:line="249" w:lineRule="auto" w:before="120"/>
              <w:ind w:left="142" w:right="269"/>
              <w:rPr>
                <w:sz w:val="20"/>
              </w:rPr>
            </w:pPr>
            <w:r>
              <w:rPr>
                <w:spacing w:val="-2"/>
                <w:sz w:val="20"/>
              </w:rPr>
              <w:t>поликомпонентное </w:t>
            </w:r>
            <w:r>
              <w:rPr>
                <w:sz w:val="20"/>
              </w:rPr>
              <w:t>иммуносупрессивное лечение с применением</w:t>
            </w:r>
            <w:r>
              <w:rPr>
                <w:spacing w:val="-10"/>
                <w:sz w:val="20"/>
              </w:rPr>
              <w:t> </w:t>
            </w:r>
            <w:r>
              <w:rPr>
                <w:sz w:val="20"/>
              </w:rPr>
              <w:t>циклоспорина</w:t>
            </w:r>
            <w:r>
              <w:rPr>
                <w:spacing w:val="-10"/>
                <w:sz w:val="20"/>
              </w:rPr>
              <w:t> </w:t>
            </w:r>
            <w:r>
              <w:rPr>
                <w:sz w:val="20"/>
              </w:rPr>
              <w:t>A</w:t>
            </w:r>
            <w:r>
              <w:rPr>
                <w:spacing w:val="-13"/>
                <w:sz w:val="20"/>
              </w:rPr>
              <w:t> </w:t>
            </w:r>
            <w:r>
              <w:rPr>
                <w:sz w:val="20"/>
              </w:rPr>
              <w:t>и</w:t>
            </w:r>
            <w:r>
              <w:rPr>
                <w:spacing w:val="-12"/>
                <w:sz w:val="20"/>
              </w:rPr>
              <w:t> </w:t>
            </w:r>
            <w:r>
              <w:rPr>
                <w:sz w:val="20"/>
              </w:rPr>
              <w:t>(или) микофенолатов под контролем иммунологических,</w:t>
            </w:r>
            <w:r>
              <w:rPr>
                <w:spacing w:val="-5"/>
                <w:sz w:val="20"/>
              </w:rPr>
              <w:t> </w:t>
            </w:r>
            <w:r>
              <w:rPr>
                <w:sz w:val="20"/>
              </w:rPr>
              <w:t>биохимических</w:t>
            </w:r>
            <w:r>
              <w:rPr>
                <w:spacing w:val="-4"/>
                <w:sz w:val="20"/>
              </w:rPr>
              <w:t> </w:t>
            </w:r>
            <w:r>
              <w:rPr>
                <w:sz w:val="20"/>
              </w:rPr>
              <w:t>и инструментальных методов </w:t>
            </w:r>
            <w:r>
              <w:rPr>
                <w:spacing w:val="-2"/>
                <w:sz w:val="20"/>
              </w:rPr>
              <w:t>диагностики</w:t>
            </w:r>
          </w:p>
        </w:tc>
        <w:tc>
          <w:tcPr>
            <w:tcW w:w="991" w:type="dxa"/>
          </w:tcPr>
          <w:p>
            <w:pPr>
              <w:pStyle w:val="TableParagraph"/>
              <w:spacing w:before="120"/>
              <w:ind w:right="49"/>
              <w:jc w:val="right"/>
              <w:rPr>
                <w:sz w:val="20"/>
              </w:rPr>
            </w:pPr>
            <w:r>
              <w:rPr>
                <w:spacing w:val="-2"/>
                <w:sz w:val="20"/>
              </w:rPr>
              <w:t>189162</w:t>
            </w:r>
          </w:p>
        </w:tc>
      </w:tr>
      <w:tr>
        <w:trPr>
          <w:trHeight w:val="1920" w:hRule="atLeast"/>
        </w:trPr>
        <w:tc>
          <w:tcPr>
            <w:tcW w:w="472" w:type="dxa"/>
          </w:tcPr>
          <w:p>
            <w:pPr>
              <w:pStyle w:val="TableParagraph"/>
              <w:rPr>
                <w:sz w:val="18"/>
              </w:rPr>
            </w:pPr>
          </w:p>
        </w:tc>
        <w:tc>
          <w:tcPr>
            <w:tcW w:w="2979" w:type="dxa"/>
          </w:tcPr>
          <w:p>
            <w:pPr>
              <w:pStyle w:val="TableParagraph"/>
              <w:rPr>
                <w:sz w:val="18"/>
              </w:rPr>
            </w:pPr>
          </w:p>
        </w:tc>
        <w:tc>
          <w:tcPr>
            <w:tcW w:w="2020" w:type="dxa"/>
          </w:tcPr>
          <w:p>
            <w:pPr>
              <w:pStyle w:val="TableParagraph"/>
              <w:rPr>
                <w:sz w:val="18"/>
              </w:rPr>
            </w:pPr>
          </w:p>
        </w:tc>
        <w:tc>
          <w:tcPr>
            <w:tcW w:w="3133" w:type="dxa"/>
          </w:tcPr>
          <w:p>
            <w:pPr>
              <w:pStyle w:val="TableParagraph"/>
              <w:spacing w:line="249" w:lineRule="auto" w:before="120"/>
              <w:ind w:left="54" w:right="52"/>
              <w:rPr>
                <w:sz w:val="20"/>
              </w:rPr>
            </w:pPr>
            <w:r>
              <w:rPr>
                <w:sz w:val="20"/>
              </w:rPr>
              <w:t>наследственные</w:t>
            </w:r>
            <w:r>
              <w:rPr>
                <w:spacing w:val="-13"/>
                <w:sz w:val="20"/>
              </w:rPr>
              <w:t> </w:t>
            </w:r>
            <w:r>
              <w:rPr>
                <w:sz w:val="20"/>
              </w:rPr>
              <w:t>нефропатии,</w:t>
            </w:r>
            <w:r>
              <w:rPr>
                <w:spacing w:val="-12"/>
                <w:sz w:val="20"/>
              </w:rPr>
              <w:t> </w:t>
            </w:r>
            <w:r>
              <w:rPr>
                <w:sz w:val="20"/>
              </w:rPr>
              <w:t>в</w:t>
            </w:r>
            <w:r>
              <w:rPr>
                <w:spacing w:val="-13"/>
                <w:sz w:val="20"/>
              </w:rPr>
              <w:t> </w:t>
            </w:r>
            <w:r>
              <w:rPr>
                <w:sz w:val="20"/>
              </w:rPr>
              <w:t>том числе наследственный нефрит, кистозные болезни почек.</w:t>
            </w:r>
          </w:p>
          <w:p>
            <w:pPr>
              <w:pStyle w:val="TableParagraph"/>
              <w:spacing w:line="249" w:lineRule="auto" w:before="3"/>
              <w:ind w:left="54" w:right="52"/>
              <w:rPr>
                <w:sz w:val="20"/>
              </w:rPr>
            </w:pPr>
            <w:r>
              <w:rPr>
                <w:sz w:val="20"/>
              </w:rPr>
              <w:t>Наследственные и</w:t>
            </w:r>
            <w:r>
              <w:rPr>
                <w:spacing w:val="-4"/>
                <w:sz w:val="20"/>
              </w:rPr>
              <w:t> </w:t>
            </w:r>
            <w:r>
              <w:rPr>
                <w:sz w:val="20"/>
              </w:rPr>
              <w:t>приобретенные тубулопатии без снижения функции</w:t>
            </w:r>
            <w:r>
              <w:rPr>
                <w:spacing w:val="-13"/>
                <w:sz w:val="20"/>
              </w:rPr>
              <w:t> </w:t>
            </w:r>
            <w:r>
              <w:rPr>
                <w:sz w:val="20"/>
              </w:rPr>
              <w:t>почек</w:t>
            </w:r>
            <w:r>
              <w:rPr>
                <w:spacing w:val="-12"/>
                <w:sz w:val="20"/>
              </w:rPr>
              <w:t> </w:t>
            </w:r>
            <w:r>
              <w:rPr>
                <w:sz w:val="20"/>
              </w:rPr>
              <w:t>и</w:t>
            </w:r>
            <w:r>
              <w:rPr>
                <w:spacing w:val="-13"/>
                <w:sz w:val="20"/>
              </w:rPr>
              <w:t> </w:t>
            </w:r>
            <w:r>
              <w:rPr>
                <w:sz w:val="20"/>
              </w:rPr>
              <w:t>экстраренальных </w:t>
            </w:r>
            <w:r>
              <w:rPr>
                <w:spacing w:val="-2"/>
                <w:sz w:val="20"/>
              </w:rPr>
              <w:t>проявлений</w:t>
            </w:r>
          </w:p>
        </w:tc>
        <w:tc>
          <w:tcPr>
            <w:tcW w:w="1633" w:type="dxa"/>
          </w:tcPr>
          <w:p>
            <w:pPr>
              <w:pStyle w:val="TableParagraph"/>
              <w:spacing w:line="249" w:lineRule="auto" w:before="120"/>
              <w:ind w:left="77"/>
              <w:rPr>
                <w:sz w:val="20"/>
              </w:rPr>
            </w:pPr>
            <w:r>
              <w:rPr>
                <w:spacing w:val="-2"/>
                <w:sz w:val="20"/>
              </w:rPr>
              <w:t>терапевтическое лечение</w:t>
            </w:r>
          </w:p>
        </w:tc>
        <w:tc>
          <w:tcPr>
            <w:tcW w:w="3814" w:type="dxa"/>
          </w:tcPr>
          <w:p>
            <w:pPr>
              <w:pStyle w:val="TableParagraph"/>
              <w:spacing w:line="249" w:lineRule="auto" w:before="120"/>
              <w:ind w:left="142" w:right="269"/>
              <w:rPr>
                <w:sz w:val="20"/>
              </w:rPr>
            </w:pPr>
            <w:r>
              <w:rPr>
                <w:sz w:val="20"/>
              </w:rPr>
              <w:t>поликомпонентное лечение при приобретенных и врожденных заболеваниях</w:t>
            </w:r>
            <w:r>
              <w:rPr>
                <w:spacing w:val="-3"/>
                <w:sz w:val="20"/>
              </w:rPr>
              <w:t> </w:t>
            </w:r>
            <w:r>
              <w:rPr>
                <w:sz w:val="20"/>
              </w:rPr>
              <w:t>почек</w:t>
            </w:r>
            <w:r>
              <w:rPr>
                <w:spacing w:val="-5"/>
                <w:sz w:val="20"/>
              </w:rPr>
              <w:t> </w:t>
            </w:r>
            <w:r>
              <w:rPr>
                <w:sz w:val="20"/>
              </w:rPr>
              <w:t>под</w:t>
            </w:r>
            <w:r>
              <w:rPr>
                <w:spacing w:val="-5"/>
                <w:sz w:val="20"/>
              </w:rPr>
              <w:t> </w:t>
            </w:r>
            <w:r>
              <w:rPr>
                <w:sz w:val="20"/>
              </w:rPr>
              <w:t>контролем лабораторных</w:t>
            </w:r>
            <w:r>
              <w:rPr>
                <w:spacing w:val="-13"/>
                <w:sz w:val="20"/>
              </w:rPr>
              <w:t> </w:t>
            </w:r>
            <w:r>
              <w:rPr>
                <w:sz w:val="20"/>
              </w:rPr>
              <w:t>и</w:t>
            </w:r>
            <w:r>
              <w:rPr>
                <w:spacing w:val="-12"/>
                <w:sz w:val="20"/>
              </w:rPr>
              <w:t> </w:t>
            </w:r>
            <w:r>
              <w:rPr>
                <w:sz w:val="20"/>
              </w:rPr>
              <w:t>инструментальных методов диагностики</w:t>
            </w:r>
          </w:p>
        </w:tc>
        <w:tc>
          <w:tcPr>
            <w:tcW w:w="991" w:type="dxa"/>
          </w:tcPr>
          <w:p>
            <w:pPr>
              <w:pStyle w:val="TableParagraph"/>
              <w:rPr>
                <w:sz w:val="18"/>
              </w:rPr>
            </w:pPr>
          </w:p>
        </w:tc>
      </w:tr>
      <w:tr>
        <w:trPr>
          <w:trHeight w:val="1310" w:hRule="atLeast"/>
        </w:trPr>
        <w:tc>
          <w:tcPr>
            <w:tcW w:w="472" w:type="dxa"/>
          </w:tcPr>
          <w:p>
            <w:pPr>
              <w:pStyle w:val="TableParagraph"/>
              <w:spacing w:before="120"/>
              <w:ind w:left="50"/>
              <w:rPr>
                <w:sz w:val="20"/>
              </w:rPr>
            </w:pPr>
            <w:r>
              <w:rPr>
                <w:spacing w:val="-5"/>
                <w:sz w:val="20"/>
              </w:rPr>
              <w:t>33.</w:t>
            </w:r>
          </w:p>
        </w:tc>
        <w:tc>
          <w:tcPr>
            <w:tcW w:w="2979" w:type="dxa"/>
          </w:tcPr>
          <w:p>
            <w:pPr>
              <w:pStyle w:val="TableParagraph"/>
              <w:spacing w:line="240" w:lineRule="atLeast" w:before="90"/>
              <w:ind w:left="168" w:right="118"/>
              <w:rPr>
                <w:sz w:val="20"/>
              </w:rPr>
            </w:pPr>
            <w:r>
              <w:rPr>
                <w:sz w:val="20"/>
              </w:rPr>
              <w:t>Поликомпонентное лечение кардиомиопатий,</w:t>
            </w:r>
            <w:r>
              <w:rPr>
                <w:spacing w:val="-13"/>
                <w:sz w:val="20"/>
              </w:rPr>
              <w:t> </w:t>
            </w:r>
            <w:r>
              <w:rPr>
                <w:sz w:val="20"/>
              </w:rPr>
              <w:t>миокардитов, перикардитов, эндокардитов с </w:t>
            </w:r>
            <w:r>
              <w:rPr>
                <w:spacing w:val="-2"/>
                <w:sz w:val="20"/>
              </w:rPr>
              <w:t>недостаточностью </w:t>
            </w:r>
            <w:r>
              <w:rPr>
                <w:sz w:val="20"/>
              </w:rPr>
              <w:t>кровообращения II - IV</w:t>
            </w:r>
          </w:p>
        </w:tc>
        <w:tc>
          <w:tcPr>
            <w:tcW w:w="2020" w:type="dxa"/>
          </w:tcPr>
          <w:p>
            <w:pPr>
              <w:pStyle w:val="TableParagraph"/>
              <w:spacing w:before="120"/>
              <w:ind w:left="86" w:right="52"/>
              <w:jc w:val="center"/>
              <w:rPr>
                <w:sz w:val="20"/>
              </w:rPr>
            </w:pPr>
            <w:hyperlink r:id="rId294">
              <w:r>
                <w:rPr>
                  <w:sz w:val="20"/>
                </w:rPr>
                <w:t>I27.0,</w:t>
              </w:r>
              <w:r>
                <w:rPr>
                  <w:spacing w:val="-3"/>
                  <w:sz w:val="20"/>
                </w:rPr>
                <w:t> </w:t>
              </w:r>
            </w:hyperlink>
            <w:hyperlink r:id="rId295">
              <w:r>
                <w:rPr>
                  <w:sz w:val="20"/>
                </w:rPr>
                <w:t>I27.8,</w:t>
              </w:r>
              <w:r>
                <w:rPr>
                  <w:spacing w:val="-6"/>
                  <w:sz w:val="20"/>
                </w:rPr>
                <w:t> </w:t>
              </w:r>
            </w:hyperlink>
            <w:hyperlink r:id="rId296">
              <w:r>
                <w:rPr>
                  <w:spacing w:val="-2"/>
                  <w:sz w:val="20"/>
                </w:rPr>
                <w:t>I30.0,</w:t>
              </w:r>
            </w:hyperlink>
          </w:p>
          <w:p>
            <w:pPr>
              <w:pStyle w:val="TableParagraph"/>
              <w:spacing w:before="10"/>
              <w:ind w:left="86" w:right="52"/>
              <w:jc w:val="center"/>
              <w:rPr>
                <w:sz w:val="20"/>
              </w:rPr>
            </w:pPr>
            <w:hyperlink r:id="rId297">
              <w:r>
                <w:rPr>
                  <w:sz w:val="20"/>
                </w:rPr>
                <w:t>I30.9,</w:t>
              </w:r>
              <w:r>
                <w:rPr>
                  <w:spacing w:val="-3"/>
                  <w:sz w:val="20"/>
                </w:rPr>
                <w:t> </w:t>
              </w:r>
            </w:hyperlink>
            <w:hyperlink r:id="rId298">
              <w:r>
                <w:rPr>
                  <w:sz w:val="20"/>
                </w:rPr>
                <w:t>I31.0,</w:t>
              </w:r>
              <w:r>
                <w:rPr>
                  <w:spacing w:val="-6"/>
                  <w:sz w:val="20"/>
                </w:rPr>
                <w:t> </w:t>
              </w:r>
            </w:hyperlink>
            <w:hyperlink r:id="rId299">
              <w:r>
                <w:rPr>
                  <w:spacing w:val="-2"/>
                  <w:sz w:val="20"/>
                </w:rPr>
                <w:t>I31.1,</w:t>
              </w:r>
            </w:hyperlink>
          </w:p>
          <w:p>
            <w:pPr>
              <w:pStyle w:val="TableParagraph"/>
              <w:spacing w:before="10"/>
              <w:ind w:left="86" w:right="52"/>
              <w:jc w:val="center"/>
              <w:rPr>
                <w:sz w:val="20"/>
              </w:rPr>
            </w:pPr>
            <w:hyperlink r:id="rId300">
              <w:r>
                <w:rPr>
                  <w:sz w:val="20"/>
                </w:rPr>
                <w:t>I33.0,</w:t>
              </w:r>
              <w:r>
                <w:rPr>
                  <w:spacing w:val="-3"/>
                  <w:sz w:val="20"/>
                </w:rPr>
                <w:t> </w:t>
              </w:r>
            </w:hyperlink>
            <w:hyperlink r:id="rId301">
              <w:r>
                <w:rPr>
                  <w:sz w:val="20"/>
                </w:rPr>
                <w:t>I33.9,</w:t>
              </w:r>
              <w:r>
                <w:rPr>
                  <w:spacing w:val="-6"/>
                  <w:sz w:val="20"/>
                </w:rPr>
                <w:t> </w:t>
              </w:r>
            </w:hyperlink>
            <w:hyperlink r:id="rId302">
              <w:r>
                <w:rPr>
                  <w:spacing w:val="-2"/>
                  <w:sz w:val="20"/>
                </w:rPr>
                <w:t>I34.0,</w:t>
              </w:r>
            </w:hyperlink>
          </w:p>
          <w:p>
            <w:pPr>
              <w:pStyle w:val="TableParagraph"/>
              <w:spacing w:before="10"/>
              <w:ind w:left="86" w:right="52"/>
              <w:jc w:val="center"/>
              <w:rPr>
                <w:sz w:val="20"/>
              </w:rPr>
            </w:pPr>
            <w:hyperlink r:id="rId303">
              <w:r>
                <w:rPr>
                  <w:sz w:val="20"/>
                </w:rPr>
                <w:t>I34.2,</w:t>
              </w:r>
              <w:r>
                <w:rPr>
                  <w:spacing w:val="-3"/>
                  <w:sz w:val="20"/>
                </w:rPr>
                <w:t> </w:t>
              </w:r>
            </w:hyperlink>
            <w:hyperlink r:id="rId304">
              <w:r>
                <w:rPr>
                  <w:sz w:val="20"/>
                </w:rPr>
                <w:t>I35.1,</w:t>
              </w:r>
              <w:r>
                <w:rPr>
                  <w:spacing w:val="-6"/>
                  <w:sz w:val="20"/>
                </w:rPr>
                <w:t> </w:t>
              </w:r>
            </w:hyperlink>
            <w:hyperlink r:id="rId305">
              <w:r>
                <w:rPr>
                  <w:spacing w:val="-2"/>
                  <w:sz w:val="20"/>
                </w:rPr>
                <w:t>I35.2,</w:t>
              </w:r>
            </w:hyperlink>
          </w:p>
          <w:p>
            <w:pPr>
              <w:pStyle w:val="TableParagraph"/>
              <w:spacing w:line="210" w:lineRule="exact" w:before="10"/>
              <w:ind w:left="89" w:right="52"/>
              <w:jc w:val="center"/>
              <w:rPr>
                <w:sz w:val="20"/>
              </w:rPr>
            </w:pPr>
            <w:hyperlink r:id="rId306">
              <w:r>
                <w:rPr>
                  <w:sz w:val="20"/>
                </w:rPr>
                <w:t>I36.0,</w:t>
              </w:r>
              <w:r>
                <w:rPr>
                  <w:spacing w:val="-4"/>
                  <w:sz w:val="20"/>
                </w:rPr>
                <w:t> </w:t>
              </w:r>
            </w:hyperlink>
            <w:hyperlink r:id="rId307">
              <w:r>
                <w:rPr>
                  <w:sz w:val="20"/>
                </w:rPr>
                <w:t>I36.1,</w:t>
              </w:r>
              <w:r>
                <w:rPr>
                  <w:spacing w:val="-5"/>
                  <w:sz w:val="20"/>
                </w:rPr>
                <w:t> </w:t>
              </w:r>
            </w:hyperlink>
            <w:hyperlink r:id="rId308">
              <w:r>
                <w:rPr>
                  <w:sz w:val="20"/>
                </w:rPr>
                <w:t>I36.2,</w:t>
              </w:r>
              <w:r>
                <w:rPr>
                  <w:spacing w:val="-3"/>
                  <w:sz w:val="20"/>
                </w:rPr>
                <w:t> </w:t>
              </w:r>
            </w:hyperlink>
            <w:hyperlink r:id="rId309">
              <w:r>
                <w:rPr>
                  <w:spacing w:val="-4"/>
                  <w:sz w:val="20"/>
                </w:rPr>
                <w:t>I42,</w:t>
              </w:r>
            </w:hyperlink>
          </w:p>
        </w:tc>
        <w:tc>
          <w:tcPr>
            <w:tcW w:w="3133" w:type="dxa"/>
          </w:tcPr>
          <w:p>
            <w:pPr>
              <w:pStyle w:val="TableParagraph"/>
              <w:spacing w:line="240" w:lineRule="atLeast" w:before="90"/>
              <w:ind w:left="54" w:right="258"/>
              <w:rPr>
                <w:sz w:val="20"/>
              </w:rPr>
            </w:pPr>
            <w:r>
              <w:rPr>
                <w:sz w:val="20"/>
              </w:rPr>
              <w:t>кардиомиопатии:</w:t>
            </w:r>
            <w:r>
              <w:rPr>
                <w:spacing w:val="-13"/>
                <w:sz w:val="20"/>
              </w:rPr>
              <w:t> </w:t>
            </w:r>
            <w:r>
              <w:rPr>
                <w:sz w:val="20"/>
              </w:rPr>
              <w:t>дилатационная кардиомиопатия, другая рестриктивная кардиомиопатия, другие кардиомиопатии, кардиомиопатия неуточненная.</w:t>
            </w:r>
          </w:p>
        </w:tc>
        <w:tc>
          <w:tcPr>
            <w:tcW w:w="1633" w:type="dxa"/>
          </w:tcPr>
          <w:p>
            <w:pPr>
              <w:pStyle w:val="TableParagraph"/>
              <w:spacing w:line="249" w:lineRule="auto" w:before="120"/>
              <w:ind w:left="77"/>
              <w:rPr>
                <w:sz w:val="20"/>
              </w:rPr>
            </w:pPr>
            <w:r>
              <w:rPr>
                <w:spacing w:val="-2"/>
                <w:sz w:val="20"/>
              </w:rPr>
              <w:t>терапевтическое лечение</w:t>
            </w:r>
          </w:p>
        </w:tc>
        <w:tc>
          <w:tcPr>
            <w:tcW w:w="3814" w:type="dxa"/>
          </w:tcPr>
          <w:p>
            <w:pPr>
              <w:pStyle w:val="TableParagraph"/>
              <w:spacing w:line="240" w:lineRule="atLeast" w:before="90"/>
              <w:ind w:left="142" w:right="345"/>
              <w:rPr>
                <w:sz w:val="20"/>
              </w:rPr>
            </w:pPr>
            <w:r>
              <w:rPr>
                <w:sz w:val="20"/>
              </w:rPr>
              <w:t>поликомпонентное лечение метаболических нарушений в миокарде и нарушений нейровегетативной</w:t>
            </w:r>
            <w:r>
              <w:rPr>
                <w:spacing w:val="-13"/>
                <w:sz w:val="20"/>
              </w:rPr>
              <w:t> </w:t>
            </w:r>
            <w:r>
              <w:rPr>
                <w:sz w:val="20"/>
              </w:rPr>
              <w:t>регуляции</w:t>
            </w:r>
            <w:r>
              <w:rPr>
                <w:spacing w:val="-12"/>
                <w:sz w:val="20"/>
              </w:rPr>
              <w:t> </w:t>
            </w:r>
            <w:r>
              <w:rPr>
                <w:sz w:val="20"/>
              </w:rPr>
              <w:t>с применением блокаторов</w:t>
            </w:r>
          </w:p>
        </w:tc>
        <w:tc>
          <w:tcPr>
            <w:tcW w:w="991" w:type="dxa"/>
          </w:tcPr>
          <w:p>
            <w:pPr>
              <w:pStyle w:val="TableParagraph"/>
              <w:spacing w:before="120"/>
              <w:ind w:right="49"/>
              <w:jc w:val="right"/>
              <w:rPr>
                <w:sz w:val="20"/>
              </w:rPr>
            </w:pPr>
            <w:r>
              <w:rPr>
                <w:spacing w:val="-2"/>
                <w:sz w:val="20"/>
              </w:rPr>
              <w:t>108151</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4"/>
        <w:gridCol w:w="1985"/>
        <w:gridCol w:w="3135"/>
        <w:gridCol w:w="1632"/>
        <w:gridCol w:w="3803"/>
        <w:gridCol w:w="1003"/>
      </w:tblGrid>
      <w:tr>
        <w:trPr>
          <w:trHeight w:val="7071" w:hRule="atLeast"/>
        </w:trPr>
        <w:tc>
          <w:tcPr>
            <w:tcW w:w="472" w:type="dxa"/>
          </w:tcPr>
          <w:p>
            <w:pPr>
              <w:pStyle w:val="TableParagraph"/>
              <w:rPr>
                <w:sz w:val="18"/>
              </w:rPr>
            </w:pPr>
          </w:p>
        </w:tc>
        <w:tc>
          <w:tcPr>
            <w:tcW w:w="3014" w:type="dxa"/>
          </w:tcPr>
          <w:p>
            <w:pPr>
              <w:pStyle w:val="TableParagraph"/>
              <w:spacing w:line="249" w:lineRule="auto"/>
              <w:ind w:left="168"/>
              <w:rPr>
                <w:sz w:val="20"/>
              </w:rPr>
            </w:pPr>
            <w:r>
              <w:rPr>
                <w:sz w:val="20"/>
              </w:rPr>
              <w:t>функционального класса (NYHA), резистентных нарушений сердечного ритма и проводимости сердца с аритмогенной дисфункцией миокарда с применением </w:t>
            </w:r>
            <w:r>
              <w:rPr>
                <w:spacing w:val="-2"/>
                <w:sz w:val="20"/>
              </w:rPr>
              <w:t>кардиотропных, </w:t>
            </w:r>
            <w:r>
              <w:rPr>
                <w:sz w:val="20"/>
              </w:rPr>
              <w:t>химиотерапевтических</w:t>
            </w:r>
            <w:r>
              <w:rPr>
                <w:spacing w:val="-13"/>
                <w:sz w:val="20"/>
              </w:rPr>
              <w:t> </w:t>
            </w:r>
            <w:r>
              <w:rPr>
                <w:sz w:val="20"/>
              </w:rPr>
              <w:t>и</w:t>
            </w:r>
            <w:r>
              <w:rPr>
                <w:spacing w:val="-12"/>
                <w:sz w:val="20"/>
              </w:rPr>
              <w:t> </w:t>
            </w:r>
            <w:r>
              <w:rPr>
                <w:sz w:val="20"/>
              </w:rPr>
              <w:t>генно- инженерных биологических лекарственных препаратов</w:t>
            </w:r>
          </w:p>
        </w:tc>
        <w:tc>
          <w:tcPr>
            <w:tcW w:w="1985" w:type="dxa"/>
          </w:tcPr>
          <w:p>
            <w:pPr>
              <w:pStyle w:val="TableParagraph"/>
              <w:spacing w:line="221" w:lineRule="exact"/>
              <w:ind w:left="49" w:right="49"/>
              <w:jc w:val="center"/>
              <w:rPr>
                <w:sz w:val="20"/>
              </w:rPr>
            </w:pPr>
            <w:hyperlink r:id="rId310">
              <w:r>
                <w:rPr>
                  <w:sz w:val="20"/>
                </w:rPr>
                <w:t>I44.2,</w:t>
              </w:r>
              <w:r>
                <w:rPr>
                  <w:spacing w:val="-3"/>
                  <w:sz w:val="20"/>
                </w:rPr>
                <w:t> </w:t>
              </w:r>
            </w:hyperlink>
            <w:hyperlink r:id="rId311">
              <w:r>
                <w:rPr>
                  <w:sz w:val="20"/>
                </w:rPr>
                <w:t>I45.6,</w:t>
              </w:r>
              <w:r>
                <w:rPr>
                  <w:spacing w:val="-6"/>
                  <w:sz w:val="20"/>
                </w:rPr>
                <w:t> </w:t>
              </w:r>
            </w:hyperlink>
            <w:hyperlink r:id="rId312">
              <w:r>
                <w:rPr>
                  <w:spacing w:val="-2"/>
                  <w:sz w:val="20"/>
                </w:rPr>
                <w:t>I45.8,</w:t>
              </w:r>
            </w:hyperlink>
          </w:p>
          <w:p>
            <w:pPr>
              <w:pStyle w:val="TableParagraph"/>
              <w:spacing w:before="10"/>
              <w:ind w:left="49"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p>
            <w:pPr>
              <w:pStyle w:val="TableParagraph"/>
              <w:spacing w:before="10"/>
              <w:ind w:left="51"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19">
              <w:r>
                <w:rPr>
                  <w:spacing w:val="-2"/>
                  <w:sz w:val="20"/>
                </w:rPr>
                <w:t>I49.3,</w:t>
              </w:r>
            </w:hyperlink>
          </w:p>
          <w:p>
            <w:pPr>
              <w:pStyle w:val="TableParagraph"/>
              <w:spacing w:before="10"/>
              <w:ind w:left="49" w:right="49"/>
              <w:jc w:val="center"/>
              <w:rPr>
                <w:sz w:val="20"/>
              </w:rPr>
            </w:pPr>
            <w:hyperlink r:id="rId320">
              <w:r>
                <w:rPr>
                  <w:sz w:val="20"/>
                </w:rPr>
                <w:t>I49.5,</w:t>
              </w:r>
              <w:r>
                <w:rPr>
                  <w:spacing w:val="-3"/>
                  <w:sz w:val="20"/>
                </w:rPr>
                <w:t> </w:t>
              </w:r>
            </w:hyperlink>
            <w:hyperlink r:id="rId321">
              <w:r>
                <w:rPr>
                  <w:sz w:val="20"/>
                </w:rPr>
                <w:t>I49.8,</w:t>
              </w:r>
              <w:r>
                <w:rPr>
                  <w:spacing w:val="-6"/>
                  <w:sz w:val="20"/>
                </w:rPr>
                <w:t> </w:t>
              </w:r>
            </w:hyperlink>
            <w:hyperlink r:id="rId322">
              <w:r>
                <w:rPr>
                  <w:spacing w:val="-2"/>
                  <w:sz w:val="20"/>
                </w:rPr>
                <w:t>I51.4,</w:t>
              </w:r>
            </w:hyperlink>
          </w:p>
          <w:p>
            <w:pPr>
              <w:pStyle w:val="TableParagraph"/>
              <w:spacing w:before="10"/>
              <w:ind w:left="49" w:right="49"/>
              <w:jc w:val="center"/>
              <w:rPr>
                <w:sz w:val="20"/>
              </w:rPr>
            </w:pPr>
            <w:hyperlink r:id="rId323">
              <w:r>
                <w:rPr>
                  <w:sz w:val="20"/>
                </w:rPr>
                <w:t>Q21.1,</w:t>
              </w:r>
              <w:r>
                <w:rPr>
                  <w:spacing w:val="-3"/>
                  <w:sz w:val="20"/>
                </w:rPr>
                <w:t> </w:t>
              </w:r>
            </w:hyperlink>
            <w:hyperlink r:id="rId324">
              <w:r>
                <w:rPr>
                  <w:sz w:val="20"/>
                </w:rPr>
                <w:t>Q23.0,</w:t>
              </w:r>
              <w:r>
                <w:rPr>
                  <w:spacing w:val="-4"/>
                  <w:sz w:val="20"/>
                </w:rPr>
                <w:t> </w:t>
              </w:r>
            </w:hyperlink>
            <w:hyperlink r:id="rId325">
              <w:r>
                <w:rPr>
                  <w:spacing w:val="-2"/>
                  <w:sz w:val="20"/>
                </w:rPr>
                <w:t>Q23.1,</w:t>
              </w:r>
            </w:hyperlink>
          </w:p>
          <w:p>
            <w:pPr>
              <w:pStyle w:val="TableParagraph"/>
              <w:spacing w:line="249" w:lineRule="auto" w:before="10"/>
              <w:ind w:left="48" w:right="49"/>
              <w:jc w:val="center"/>
              <w:rPr>
                <w:sz w:val="20"/>
              </w:rPr>
            </w:pPr>
            <w:hyperlink r:id="rId326">
              <w:r>
                <w:rPr>
                  <w:sz w:val="20"/>
                </w:rPr>
                <w:t>Q23.2,</w:t>
              </w:r>
              <w:r>
                <w:rPr>
                  <w:spacing w:val="-13"/>
                  <w:sz w:val="20"/>
                </w:rPr>
                <w:t> </w:t>
              </w:r>
            </w:hyperlink>
            <w:hyperlink r:id="rId327">
              <w:r>
                <w:rPr>
                  <w:sz w:val="20"/>
                </w:rPr>
                <w:t>Q23.3,</w:t>
              </w:r>
              <w:r>
                <w:rPr>
                  <w:spacing w:val="-12"/>
                  <w:sz w:val="20"/>
                </w:rPr>
                <w:t> </w:t>
              </w:r>
            </w:hyperlink>
            <w:hyperlink r:id="rId328">
              <w:r>
                <w:rPr>
                  <w:sz w:val="20"/>
                </w:rPr>
                <w:t>Q24.5,</w:t>
              </w:r>
            </w:hyperlink>
            <w:r>
              <w:rPr>
                <w:sz w:val="20"/>
              </w:rPr>
              <w:t> </w:t>
            </w:r>
            <w:hyperlink r:id="rId329">
              <w:r>
                <w:rPr>
                  <w:sz w:val="20"/>
                </w:rPr>
                <w:t>Q25.1, </w:t>
              </w:r>
            </w:hyperlink>
            <w:hyperlink r:id="rId330">
              <w:r>
                <w:rPr>
                  <w:sz w:val="20"/>
                </w:rPr>
                <w:t>Q25.3</w:t>
              </w:r>
            </w:hyperlink>
          </w:p>
        </w:tc>
        <w:tc>
          <w:tcPr>
            <w:tcW w:w="3135" w:type="dxa"/>
          </w:tcPr>
          <w:p>
            <w:pPr>
              <w:pStyle w:val="TableParagraph"/>
              <w:spacing w:line="249" w:lineRule="auto"/>
              <w:ind w:left="54" w:right="70"/>
              <w:rPr>
                <w:sz w:val="20"/>
              </w:rPr>
            </w:pPr>
            <w:r>
              <w:rPr>
                <w:sz w:val="20"/>
              </w:rPr>
              <w:t>Миокардит</w:t>
            </w:r>
            <w:r>
              <w:rPr>
                <w:spacing w:val="-5"/>
                <w:sz w:val="20"/>
              </w:rPr>
              <w:t> </w:t>
            </w:r>
            <w:r>
              <w:rPr>
                <w:sz w:val="20"/>
              </w:rPr>
              <w:t>неуточненный,</w:t>
            </w:r>
            <w:r>
              <w:rPr>
                <w:spacing w:val="-2"/>
                <w:sz w:val="20"/>
              </w:rPr>
              <w:t> </w:t>
            </w:r>
            <w:r>
              <w:rPr>
                <w:sz w:val="20"/>
              </w:rPr>
              <w:t>фиброз миокарда. Неревматическое поражение митрального, аортального и трикуспидального клапанов: митральная (клапанная) недостаточность,</w:t>
            </w:r>
            <w:r>
              <w:rPr>
                <w:spacing w:val="-13"/>
                <w:sz w:val="20"/>
              </w:rPr>
              <w:t> </w:t>
            </w:r>
            <w:r>
              <w:rPr>
                <w:sz w:val="20"/>
              </w:rPr>
              <w:t>неревматический стеноз митрального клапана, аортальная (клапанная) недостаточность, аортальный (клапанный) стеноз с </w:t>
            </w:r>
            <w:r>
              <w:rPr>
                <w:spacing w:val="-2"/>
                <w:sz w:val="20"/>
              </w:rPr>
              <w:t>недостаточностью, </w:t>
            </w:r>
            <w:r>
              <w:rPr>
                <w:sz w:val="20"/>
              </w:rPr>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rPr>
                <w:spacing w:val="-2"/>
                <w:sz w:val="20"/>
              </w:rPr>
              <w:t>предсердножелудочковой </w:t>
            </w:r>
            <w:r>
              <w:rPr>
                <w:sz w:val="20"/>
              </w:rPr>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32" w:type="dxa"/>
          </w:tcPr>
          <w:p>
            <w:pPr>
              <w:pStyle w:val="TableParagraph"/>
              <w:rPr>
                <w:sz w:val="18"/>
              </w:rPr>
            </w:pPr>
          </w:p>
        </w:tc>
        <w:tc>
          <w:tcPr>
            <w:tcW w:w="3803" w:type="dxa"/>
          </w:tcPr>
          <w:p>
            <w:pPr>
              <w:pStyle w:val="TableParagraph"/>
              <w:spacing w:line="249" w:lineRule="auto"/>
              <w:ind w:left="141" w:right="353"/>
              <w:rPr>
                <w:sz w:val="20"/>
              </w:rPr>
            </w:pPr>
            <w:r>
              <w:rPr>
                <w:sz w:val="20"/>
              </w:rPr>
              <w:t>нейрогормонов, диуретиков, кардиотоников, антиаритмиков, кардиопротекторов, антибиотиков, </w:t>
            </w:r>
            <w:r>
              <w:rPr>
                <w:spacing w:val="-2"/>
                <w:sz w:val="20"/>
              </w:rPr>
              <w:t>противовоспалительных </w:t>
            </w:r>
            <w:r>
              <w:rPr>
                <w:sz w:val="20"/>
              </w:rPr>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w:t>
            </w:r>
            <w:r>
              <w:rPr>
                <w:spacing w:val="-13"/>
                <w:sz w:val="20"/>
              </w:rPr>
              <w:t> </w:t>
            </w:r>
            <w:r>
              <w:rPr>
                <w:sz w:val="20"/>
              </w:rPr>
              <w:t>(pro-BNP),</w:t>
            </w:r>
            <w:r>
              <w:rPr>
                <w:spacing w:val="-12"/>
                <w:sz w:val="20"/>
              </w:rPr>
              <w:t> </w:t>
            </w:r>
            <w:r>
              <w:rPr>
                <w:sz w:val="20"/>
              </w:rPr>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rPr>
                <w:spacing w:val="-2"/>
                <w:sz w:val="20"/>
              </w:rPr>
              <w:t>исследований</w:t>
            </w:r>
          </w:p>
        </w:tc>
        <w:tc>
          <w:tcPr>
            <w:tcW w:w="1003" w:type="dxa"/>
          </w:tcPr>
          <w:p>
            <w:pPr>
              <w:pStyle w:val="TableParagraph"/>
              <w:rPr>
                <w:sz w:val="18"/>
              </w:rPr>
            </w:pPr>
          </w:p>
        </w:tc>
      </w:tr>
      <w:tr>
        <w:trPr>
          <w:trHeight w:val="1070" w:hRule="atLeast"/>
        </w:trPr>
        <w:tc>
          <w:tcPr>
            <w:tcW w:w="472" w:type="dxa"/>
          </w:tcPr>
          <w:p>
            <w:pPr>
              <w:pStyle w:val="TableParagraph"/>
              <w:spacing w:before="120"/>
              <w:ind w:left="50"/>
              <w:rPr>
                <w:sz w:val="20"/>
              </w:rPr>
            </w:pPr>
            <w:r>
              <w:rPr>
                <w:spacing w:val="-5"/>
                <w:sz w:val="20"/>
              </w:rPr>
              <w:t>34.</w:t>
            </w:r>
          </w:p>
        </w:tc>
        <w:tc>
          <w:tcPr>
            <w:tcW w:w="3014" w:type="dxa"/>
          </w:tcPr>
          <w:p>
            <w:pPr>
              <w:pStyle w:val="TableParagraph"/>
              <w:spacing w:line="240" w:lineRule="atLeast" w:before="90"/>
              <w:ind w:left="168"/>
              <w:rPr>
                <w:sz w:val="20"/>
              </w:rPr>
            </w:pPr>
            <w:r>
              <w:rPr>
                <w:sz w:val="20"/>
              </w:rPr>
              <w:t>Поликомпонентное лечение тяжелых</w:t>
            </w:r>
            <w:r>
              <w:rPr>
                <w:spacing w:val="-13"/>
                <w:sz w:val="20"/>
              </w:rPr>
              <w:t> </w:t>
            </w:r>
            <w:r>
              <w:rPr>
                <w:sz w:val="20"/>
              </w:rPr>
              <w:t>форм</w:t>
            </w:r>
            <w:r>
              <w:rPr>
                <w:spacing w:val="-12"/>
                <w:sz w:val="20"/>
              </w:rPr>
              <w:t> </w:t>
            </w:r>
            <w:r>
              <w:rPr>
                <w:sz w:val="20"/>
              </w:rPr>
              <w:t>аутоиммунного</w:t>
            </w:r>
            <w:r>
              <w:rPr>
                <w:spacing w:val="-13"/>
                <w:sz w:val="20"/>
              </w:rPr>
              <w:t> </w:t>
            </w:r>
            <w:r>
              <w:rPr>
                <w:sz w:val="20"/>
              </w:rPr>
              <w:t>и врожденных моногенных форм сахарного диабета и</w:t>
            </w:r>
          </w:p>
        </w:tc>
        <w:tc>
          <w:tcPr>
            <w:tcW w:w="1985" w:type="dxa"/>
          </w:tcPr>
          <w:p>
            <w:pPr>
              <w:pStyle w:val="TableParagraph"/>
              <w:spacing w:before="120"/>
              <w:ind w:left="121"/>
              <w:rPr>
                <w:sz w:val="20"/>
              </w:rPr>
            </w:pPr>
            <w:r>
              <w:rPr>
                <w:sz w:val="20"/>
              </w:rPr>
              <w:t>E10,</w:t>
            </w:r>
            <w:r>
              <w:rPr>
                <w:spacing w:val="-4"/>
                <w:sz w:val="20"/>
              </w:rPr>
              <w:t> </w:t>
            </w:r>
            <w:r>
              <w:rPr>
                <w:sz w:val="20"/>
              </w:rPr>
              <w:t>E13,</w:t>
            </w:r>
            <w:r>
              <w:rPr>
                <w:spacing w:val="-3"/>
                <w:sz w:val="20"/>
              </w:rPr>
              <w:t> </w:t>
            </w:r>
            <w:r>
              <w:rPr>
                <w:sz w:val="20"/>
              </w:rPr>
              <w:t>E14,</w:t>
            </w:r>
            <w:r>
              <w:rPr>
                <w:spacing w:val="-3"/>
                <w:sz w:val="20"/>
              </w:rPr>
              <w:t> </w:t>
            </w:r>
            <w:r>
              <w:rPr>
                <w:spacing w:val="-2"/>
                <w:sz w:val="20"/>
              </w:rPr>
              <w:t>E16.1</w:t>
            </w:r>
          </w:p>
        </w:tc>
        <w:tc>
          <w:tcPr>
            <w:tcW w:w="3135" w:type="dxa"/>
          </w:tcPr>
          <w:p>
            <w:pPr>
              <w:pStyle w:val="TableParagraph"/>
              <w:spacing w:line="240" w:lineRule="atLeast" w:before="90"/>
              <w:ind w:left="54" w:right="358"/>
              <w:rPr>
                <w:sz w:val="20"/>
              </w:rPr>
            </w:pPr>
            <w:r>
              <w:rPr>
                <w:sz w:val="20"/>
              </w:rPr>
              <w:t>диабет новорожденных. Приобретенный</w:t>
            </w:r>
            <w:r>
              <w:rPr>
                <w:spacing w:val="-13"/>
                <w:sz w:val="20"/>
              </w:rPr>
              <w:t> </w:t>
            </w:r>
            <w:r>
              <w:rPr>
                <w:sz w:val="20"/>
              </w:rPr>
              <w:t>аутоиммунный инсулинзависимый сахарный диабет, лабильное течение.</w:t>
            </w:r>
          </w:p>
        </w:tc>
        <w:tc>
          <w:tcPr>
            <w:tcW w:w="1632" w:type="dxa"/>
          </w:tcPr>
          <w:p>
            <w:pPr>
              <w:pStyle w:val="TableParagraph"/>
              <w:spacing w:line="249" w:lineRule="auto" w:before="120"/>
              <w:ind w:left="75"/>
              <w:rPr>
                <w:sz w:val="20"/>
              </w:rPr>
            </w:pPr>
            <w:r>
              <w:rPr>
                <w:spacing w:val="-2"/>
                <w:sz w:val="20"/>
              </w:rPr>
              <w:t>терапевтическое лечение</w:t>
            </w:r>
          </w:p>
        </w:tc>
        <w:tc>
          <w:tcPr>
            <w:tcW w:w="3803" w:type="dxa"/>
          </w:tcPr>
          <w:p>
            <w:pPr>
              <w:pStyle w:val="TableParagraph"/>
              <w:spacing w:line="240" w:lineRule="atLeast" w:before="90"/>
              <w:ind w:left="141" w:right="533"/>
              <w:rPr>
                <w:sz w:val="20"/>
              </w:rPr>
            </w:pPr>
            <w:r>
              <w:rPr>
                <w:sz w:val="20"/>
              </w:rPr>
              <w:t>комплексное</w:t>
            </w:r>
            <w:r>
              <w:rPr>
                <w:spacing w:val="-13"/>
                <w:sz w:val="20"/>
              </w:rPr>
              <w:t> </w:t>
            </w:r>
            <w:r>
              <w:rPr>
                <w:sz w:val="20"/>
              </w:rPr>
              <w:t>лечение</w:t>
            </w:r>
            <w:r>
              <w:rPr>
                <w:spacing w:val="-12"/>
                <w:sz w:val="20"/>
              </w:rPr>
              <w:t> </w:t>
            </w:r>
            <w:r>
              <w:rPr>
                <w:sz w:val="20"/>
              </w:rPr>
              <w:t>тяжелых</w:t>
            </w:r>
            <w:r>
              <w:rPr>
                <w:spacing w:val="-13"/>
                <w:sz w:val="20"/>
              </w:rPr>
              <w:t> </w:t>
            </w:r>
            <w:r>
              <w:rPr>
                <w:sz w:val="20"/>
              </w:rPr>
              <w:t>форм сахарного диабета и гиперинсулинизма на основе </w:t>
            </w:r>
            <w:r>
              <w:rPr>
                <w:spacing w:val="-2"/>
                <w:sz w:val="20"/>
              </w:rPr>
              <w:t>молекулярно-генетических,</w:t>
            </w:r>
          </w:p>
        </w:tc>
        <w:tc>
          <w:tcPr>
            <w:tcW w:w="1003" w:type="dxa"/>
          </w:tcPr>
          <w:p>
            <w:pPr>
              <w:pStyle w:val="TableParagraph"/>
              <w:spacing w:before="120"/>
              <w:ind w:left="349"/>
              <w:rPr>
                <w:sz w:val="20"/>
              </w:rPr>
            </w:pPr>
            <w:r>
              <w:rPr>
                <w:spacing w:val="-2"/>
                <w:sz w:val="20"/>
              </w:rPr>
              <w:t>187672</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91"/>
        <w:gridCol w:w="2007"/>
        <w:gridCol w:w="3121"/>
        <w:gridCol w:w="1647"/>
        <w:gridCol w:w="3808"/>
        <w:gridCol w:w="998"/>
      </w:tblGrid>
      <w:tr>
        <w:trPr>
          <w:trHeight w:val="3230" w:hRule="atLeast"/>
        </w:trPr>
        <w:tc>
          <w:tcPr>
            <w:tcW w:w="472" w:type="dxa"/>
          </w:tcPr>
          <w:p>
            <w:pPr>
              <w:pStyle w:val="TableParagraph"/>
              <w:rPr>
                <w:sz w:val="18"/>
              </w:rPr>
            </w:pPr>
          </w:p>
        </w:tc>
        <w:tc>
          <w:tcPr>
            <w:tcW w:w="2991" w:type="dxa"/>
          </w:tcPr>
          <w:p>
            <w:pPr>
              <w:pStyle w:val="TableParagraph"/>
              <w:spacing w:line="249" w:lineRule="auto"/>
              <w:ind w:left="168"/>
              <w:rPr>
                <w:sz w:val="20"/>
              </w:rPr>
            </w:pPr>
            <w:r>
              <w:rPr>
                <w:sz w:val="20"/>
              </w:rPr>
              <w:t>гиперинсулинизма с использованием систем суточного мониторирования глюкозы</w:t>
            </w:r>
            <w:r>
              <w:rPr>
                <w:spacing w:val="-13"/>
                <w:sz w:val="20"/>
              </w:rPr>
              <w:t> </w:t>
            </w:r>
            <w:r>
              <w:rPr>
                <w:sz w:val="20"/>
              </w:rPr>
              <w:t>и</w:t>
            </w:r>
            <w:r>
              <w:rPr>
                <w:spacing w:val="-12"/>
                <w:sz w:val="20"/>
              </w:rPr>
              <w:t> </w:t>
            </w:r>
            <w:r>
              <w:rPr>
                <w:sz w:val="20"/>
              </w:rPr>
              <w:t>помповых</w:t>
            </w:r>
            <w:r>
              <w:rPr>
                <w:spacing w:val="-13"/>
                <w:sz w:val="20"/>
              </w:rPr>
              <w:t> </w:t>
            </w:r>
            <w:r>
              <w:rPr>
                <w:sz w:val="20"/>
              </w:rPr>
              <w:t>дозаторов </w:t>
            </w:r>
            <w:r>
              <w:rPr>
                <w:spacing w:val="-2"/>
                <w:sz w:val="20"/>
              </w:rPr>
              <w:t>инсулина</w:t>
            </w:r>
          </w:p>
        </w:tc>
        <w:tc>
          <w:tcPr>
            <w:tcW w:w="2007" w:type="dxa"/>
          </w:tcPr>
          <w:p>
            <w:pPr>
              <w:pStyle w:val="TableParagraph"/>
              <w:rPr>
                <w:sz w:val="18"/>
              </w:rPr>
            </w:pPr>
          </w:p>
        </w:tc>
        <w:tc>
          <w:tcPr>
            <w:tcW w:w="3121" w:type="dxa"/>
          </w:tcPr>
          <w:p>
            <w:pPr>
              <w:pStyle w:val="TableParagraph"/>
              <w:spacing w:line="249" w:lineRule="auto"/>
              <w:ind w:left="55" w:right="92"/>
              <w:rPr>
                <w:sz w:val="20"/>
              </w:rPr>
            </w:pPr>
            <w:r>
              <w:rPr>
                <w:sz w:val="20"/>
              </w:rPr>
              <w:t>Сахарный</w:t>
            </w:r>
            <w:r>
              <w:rPr>
                <w:spacing w:val="-2"/>
                <w:sz w:val="20"/>
              </w:rPr>
              <w:t> </w:t>
            </w:r>
            <w:r>
              <w:rPr>
                <w:sz w:val="20"/>
              </w:rPr>
              <w:t>диабет</w:t>
            </w:r>
            <w:r>
              <w:rPr>
                <w:spacing w:val="-2"/>
                <w:sz w:val="20"/>
              </w:rPr>
              <w:t> </w:t>
            </w:r>
            <w:r>
              <w:rPr>
                <w:sz w:val="20"/>
              </w:rPr>
              <w:t>с</w:t>
            </w:r>
            <w:r>
              <w:rPr>
                <w:spacing w:val="-1"/>
                <w:sz w:val="20"/>
              </w:rPr>
              <w:t> </w:t>
            </w:r>
            <w:r>
              <w:rPr>
                <w:sz w:val="20"/>
              </w:rPr>
              <w:t>осложнениями (автономная и периферическая полинейропатия, нефропатия, хроническая почечная недостаточность, энцефаопатия, </w:t>
            </w:r>
            <w:r>
              <w:rPr>
                <w:spacing w:val="-2"/>
                <w:sz w:val="20"/>
              </w:rPr>
              <w:t>кардиомиопатия, </w:t>
            </w:r>
            <w:r>
              <w:rPr>
                <w:sz w:val="20"/>
              </w:rPr>
              <w:t>остеоартропатия).</w:t>
            </w:r>
            <w:r>
              <w:rPr>
                <w:spacing w:val="-13"/>
                <w:sz w:val="20"/>
              </w:rPr>
              <w:t> </w:t>
            </w:r>
            <w:r>
              <w:rPr>
                <w:sz w:val="20"/>
              </w:rPr>
              <w:t>Синдромальные моногенные формы сахарного диабета (MODY, DIDMOAD, синдром Альстрема, митохондриальные формы и другие), врожденный </w:t>
            </w:r>
            <w:r>
              <w:rPr>
                <w:spacing w:val="-2"/>
                <w:sz w:val="20"/>
              </w:rPr>
              <w:t>гиперинсулинизм</w:t>
            </w:r>
          </w:p>
        </w:tc>
        <w:tc>
          <w:tcPr>
            <w:tcW w:w="1647" w:type="dxa"/>
          </w:tcPr>
          <w:p>
            <w:pPr>
              <w:pStyle w:val="TableParagraph"/>
              <w:rPr>
                <w:sz w:val="18"/>
              </w:rPr>
            </w:pPr>
          </w:p>
        </w:tc>
        <w:tc>
          <w:tcPr>
            <w:tcW w:w="3808" w:type="dxa"/>
          </w:tcPr>
          <w:p>
            <w:pPr>
              <w:pStyle w:val="TableParagraph"/>
              <w:spacing w:line="249" w:lineRule="auto"/>
              <w:ind w:left="141" w:right="314"/>
              <w:rPr>
                <w:sz w:val="20"/>
              </w:rPr>
            </w:pPr>
            <w:r>
              <w:rPr>
                <w:sz w:val="20"/>
              </w:rPr>
              <w:t>гормональных и иммунологических исследований</w:t>
            </w:r>
            <w:r>
              <w:rPr>
                <w:spacing w:val="-12"/>
                <w:sz w:val="20"/>
              </w:rPr>
              <w:t> </w:t>
            </w:r>
            <w:r>
              <w:rPr>
                <w:sz w:val="20"/>
              </w:rPr>
              <w:t>с</w:t>
            </w:r>
            <w:r>
              <w:rPr>
                <w:spacing w:val="-9"/>
                <w:sz w:val="20"/>
              </w:rPr>
              <w:t> </w:t>
            </w:r>
            <w:r>
              <w:rPr>
                <w:sz w:val="20"/>
              </w:rPr>
              <w:t>установкой</w:t>
            </w:r>
            <w:r>
              <w:rPr>
                <w:spacing w:val="-11"/>
                <w:sz w:val="20"/>
              </w:rPr>
              <w:t> </w:t>
            </w:r>
            <w:r>
              <w:rPr>
                <w:sz w:val="20"/>
              </w:rPr>
              <w:t>помпы</w:t>
            </w:r>
            <w:r>
              <w:rPr>
                <w:spacing w:val="-12"/>
                <w:sz w:val="20"/>
              </w:rPr>
              <w:t> </w:t>
            </w:r>
            <w:r>
              <w:rPr>
                <w:sz w:val="20"/>
              </w:rPr>
              <w:t>под контролем систем суточного мониторирования глюкозы</w:t>
            </w:r>
          </w:p>
        </w:tc>
        <w:tc>
          <w:tcPr>
            <w:tcW w:w="998" w:type="dxa"/>
          </w:tcPr>
          <w:p>
            <w:pPr>
              <w:pStyle w:val="TableParagraph"/>
              <w:rPr>
                <w:sz w:val="18"/>
              </w:rPr>
            </w:pPr>
          </w:p>
        </w:tc>
      </w:tr>
      <w:tr>
        <w:trPr>
          <w:trHeight w:val="480" w:hRule="atLeast"/>
        </w:trPr>
        <w:tc>
          <w:tcPr>
            <w:tcW w:w="472" w:type="dxa"/>
          </w:tcPr>
          <w:p>
            <w:pPr>
              <w:pStyle w:val="TableParagraph"/>
              <w:rPr>
                <w:sz w:val="18"/>
              </w:rPr>
            </w:pPr>
          </w:p>
        </w:tc>
        <w:tc>
          <w:tcPr>
            <w:tcW w:w="2991" w:type="dxa"/>
          </w:tcPr>
          <w:p>
            <w:pPr>
              <w:pStyle w:val="TableParagraph"/>
              <w:rPr>
                <w:sz w:val="18"/>
              </w:rPr>
            </w:pPr>
          </w:p>
        </w:tc>
        <w:tc>
          <w:tcPr>
            <w:tcW w:w="2007" w:type="dxa"/>
          </w:tcPr>
          <w:p>
            <w:pPr>
              <w:pStyle w:val="TableParagraph"/>
              <w:rPr>
                <w:sz w:val="18"/>
              </w:rPr>
            </w:pPr>
          </w:p>
        </w:tc>
        <w:tc>
          <w:tcPr>
            <w:tcW w:w="3121" w:type="dxa"/>
          </w:tcPr>
          <w:p>
            <w:pPr>
              <w:pStyle w:val="TableParagraph"/>
              <w:spacing w:before="120"/>
              <w:ind w:left="1620"/>
              <w:rPr>
                <w:sz w:val="20"/>
              </w:rPr>
            </w:pPr>
            <w:r>
              <w:rPr>
                <w:spacing w:val="-2"/>
                <w:sz w:val="20"/>
              </w:rPr>
              <w:t>Ревматология</w:t>
            </w:r>
          </w:p>
        </w:tc>
        <w:tc>
          <w:tcPr>
            <w:tcW w:w="1647" w:type="dxa"/>
          </w:tcPr>
          <w:p>
            <w:pPr>
              <w:pStyle w:val="TableParagraph"/>
              <w:rPr>
                <w:sz w:val="18"/>
              </w:rPr>
            </w:pPr>
          </w:p>
        </w:tc>
        <w:tc>
          <w:tcPr>
            <w:tcW w:w="3808" w:type="dxa"/>
          </w:tcPr>
          <w:p>
            <w:pPr>
              <w:pStyle w:val="TableParagraph"/>
              <w:rPr>
                <w:sz w:val="18"/>
              </w:rPr>
            </w:pPr>
          </w:p>
        </w:tc>
        <w:tc>
          <w:tcPr>
            <w:tcW w:w="998" w:type="dxa"/>
          </w:tcPr>
          <w:p>
            <w:pPr>
              <w:pStyle w:val="TableParagraph"/>
              <w:rPr>
                <w:sz w:val="18"/>
              </w:rPr>
            </w:pPr>
          </w:p>
        </w:tc>
      </w:tr>
      <w:tr>
        <w:trPr>
          <w:trHeight w:val="3600" w:hRule="atLeast"/>
        </w:trPr>
        <w:tc>
          <w:tcPr>
            <w:tcW w:w="472" w:type="dxa"/>
          </w:tcPr>
          <w:p>
            <w:pPr>
              <w:pStyle w:val="TableParagraph"/>
              <w:spacing w:before="120"/>
              <w:ind w:left="50"/>
              <w:rPr>
                <w:sz w:val="20"/>
              </w:rPr>
            </w:pPr>
            <w:r>
              <w:rPr>
                <w:spacing w:val="-5"/>
                <w:sz w:val="20"/>
              </w:rPr>
              <w:t>35.</w:t>
            </w:r>
          </w:p>
        </w:tc>
        <w:tc>
          <w:tcPr>
            <w:tcW w:w="2991" w:type="dxa"/>
          </w:tcPr>
          <w:p>
            <w:pPr>
              <w:pStyle w:val="TableParagraph"/>
              <w:spacing w:line="249" w:lineRule="auto" w:before="120"/>
              <w:ind w:left="168" w:right="76"/>
              <w:rPr>
                <w:sz w:val="20"/>
              </w:rPr>
            </w:pPr>
            <w:r>
              <w:rPr>
                <w:spacing w:val="-2"/>
                <w:sz w:val="20"/>
              </w:rPr>
              <w:t>Поликомпонентная </w:t>
            </w:r>
            <w:r>
              <w:rPr>
                <w:sz w:val="20"/>
              </w:rPr>
              <w:t>иммуномодулирующая</w:t>
            </w:r>
            <w:r>
              <w:rPr>
                <w:spacing w:val="-8"/>
                <w:sz w:val="20"/>
              </w:rPr>
              <w:t> </w:t>
            </w:r>
            <w:r>
              <w:rPr>
                <w:sz w:val="20"/>
              </w:rPr>
              <w:t>терапия с включением генно- инженерных биологических лекарственных препаратов, гормональных и </w:t>
            </w:r>
            <w:r>
              <w:rPr>
                <w:spacing w:val="-2"/>
                <w:sz w:val="20"/>
              </w:rPr>
              <w:t>химиотерапевтических </w:t>
            </w:r>
            <w:r>
              <w:rPr>
                <w:sz w:val="20"/>
              </w:rPr>
              <w:t>лекарственных препаратов с использованием специальных методов лабораторной и инструментальной</w:t>
            </w:r>
            <w:r>
              <w:rPr>
                <w:spacing w:val="-13"/>
                <w:sz w:val="20"/>
              </w:rPr>
              <w:t> </w:t>
            </w:r>
            <w:r>
              <w:rPr>
                <w:sz w:val="20"/>
              </w:rPr>
              <w:t>диагностики больных (старше 18 лет) системными воспалительными ревматическими</w:t>
            </w:r>
            <w:r>
              <w:rPr>
                <w:spacing w:val="-13"/>
                <w:sz w:val="20"/>
              </w:rPr>
              <w:t> </w:t>
            </w:r>
            <w:r>
              <w:rPr>
                <w:sz w:val="20"/>
              </w:rPr>
              <w:t>заболеваниями</w:t>
            </w:r>
          </w:p>
        </w:tc>
        <w:tc>
          <w:tcPr>
            <w:tcW w:w="2007" w:type="dxa"/>
          </w:tcPr>
          <w:p>
            <w:pPr>
              <w:pStyle w:val="TableParagraph"/>
              <w:spacing w:before="120"/>
              <w:ind w:left="86" w:right="65"/>
              <w:jc w:val="center"/>
              <w:rPr>
                <w:sz w:val="20"/>
              </w:rPr>
            </w:pPr>
            <w:hyperlink r:id="rId331">
              <w:r>
                <w:rPr>
                  <w:sz w:val="20"/>
                </w:rPr>
                <w:t>M05.0,</w:t>
              </w:r>
              <w:r>
                <w:rPr>
                  <w:spacing w:val="-4"/>
                  <w:sz w:val="20"/>
                </w:rPr>
                <w:t> </w:t>
              </w:r>
            </w:hyperlink>
            <w:hyperlink r:id="rId332">
              <w:r>
                <w:rPr>
                  <w:sz w:val="20"/>
                </w:rPr>
                <w:t>M05.1,</w:t>
              </w:r>
              <w:r>
                <w:rPr>
                  <w:spacing w:val="-3"/>
                  <w:sz w:val="20"/>
                </w:rPr>
                <w:t> </w:t>
              </w:r>
            </w:hyperlink>
            <w:hyperlink r:id="rId333">
              <w:r>
                <w:rPr>
                  <w:spacing w:val="-2"/>
                  <w:sz w:val="20"/>
                </w:rPr>
                <w:t>M05.2,</w:t>
              </w:r>
            </w:hyperlink>
          </w:p>
          <w:p>
            <w:pPr>
              <w:pStyle w:val="TableParagraph"/>
              <w:spacing w:before="10"/>
              <w:ind w:left="86" w:right="65"/>
              <w:jc w:val="center"/>
              <w:rPr>
                <w:sz w:val="20"/>
              </w:rPr>
            </w:pPr>
            <w:hyperlink r:id="rId334">
              <w:r>
                <w:rPr>
                  <w:sz w:val="20"/>
                </w:rPr>
                <w:t>M05.3,</w:t>
              </w:r>
              <w:r>
                <w:rPr>
                  <w:spacing w:val="-4"/>
                  <w:sz w:val="20"/>
                </w:rPr>
                <w:t> </w:t>
              </w:r>
            </w:hyperlink>
            <w:hyperlink r:id="rId335">
              <w:r>
                <w:rPr>
                  <w:sz w:val="20"/>
                </w:rPr>
                <w:t>M05.8,</w:t>
              </w:r>
              <w:r>
                <w:rPr>
                  <w:spacing w:val="-3"/>
                  <w:sz w:val="20"/>
                </w:rPr>
                <w:t> </w:t>
              </w:r>
            </w:hyperlink>
            <w:hyperlink r:id="rId336">
              <w:r>
                <w:rPr>
                  <w:spacing w:val="-2"/>
                  <w:sz w:val="20"/>
                </w:rPr>
                <w:t>M06.0,</w:t>
              </w:r>
            </w:hyperlink>
          </w:p>
          <w:p>
            <w:pPr>
              <w:pStyle w:val="TableParagraph"/>
              <w:spacing w:line="249" w:lineRule="auto" w:before="10"/>
              <w:ind w:left="84" w:right="57" w:hanging="5"/>
              <w:jc w:val="center"/>
              <w:rPr>
                <w:sz w:val="20"/>
              </w:rPr>
            </w:pPr>
            <w:hyperlink r:id="rId337">
              <w:r>
                <w:rPr>
                  <w:sz w:val="20"/>
                </w:rPr>
                <w:t>M06.1,</w:t>
              </w:r>
              <w:r>
                <w:rPr>
                  <w:spacing w:val="-2"/>
                  <w:sz w:val="20"/>
                </w:rPr>
                <w:t> </w:t>
              </w:r>
            </w:hyperlink>
            <w:hyperlink r:id="rId338">
              <w:r>
                <w:rPr>
                  <w:sz w:val="20"/>
                </w:rPr>
                <w:t>M06.4,</w:t>
              </w:r>
              <w:r>
                <w:rPr>
                  <w:spacing w:val="-2"/>
                  <w:sz w:val="20"/>
                </w:rPr>
                <w:t> </w:t>
              </w:r>
            </w:hyperlink>
            <w:hyperlink r:id="rId339">
              <w:r>
                <w:rPr>
                  <w:sz w:val="20"/>
                </w:rPr>
                <w:t>M06.8,</w:t>
              </w:r>
            </w:hyperlink>
            <w:r>
              <w:rPr>
                <w:sz w:val="20"/>
              </w:rPr>
              <w:t> </w:t>
            </w:r>
            <w:hyperlink r:id="rId340">
              <w:r>
                <w:rPr>
                  <w:sz w:val="20"/>
                </w:rPr>
                <w:t>M08,</w:t>
              </w:r>
              <w:r>
                <w:rPr>
                  <w:spacing w:val="-12"/>
                  <w:sz w:val="20"/>
                </w:rPr>
                <w:t> </w:t>
              </w:r>
            </w:hyperlink>
            <w:hyperlink r:id="rId341">
              <w:r>
                <w:rPr>
                  <w:sz w:val="20"/>
                </w:rPr>
                <w:t>M45,</w:t>
              </w:r>
              <w:r>
                <w:rPr>
                  <w:spacing w:val="-12"/>
                  <w:sz w:val="20"/>
                </w:rPr>
                <w:t> </w:t>
              </w:r>
            </w:hyperlink>
            <w:hyperlink r:id="rId342">
              <w:r>
                <w:rPr>
                  <w:sz w:val="20"/>
                </w:rPr>
                <w:t>M32,</w:t>
              </w:r>
              <w:r>
                <w:rPr>
                  <w:spacing w:val="-13"/>
                  <w:sz w:val="20"/>
                </w:rPr>
                <w:t> </w:t>
              </w:r>
            </w:hyperlink>
            <w:hyperlink r:id="rId290">
              <w:r>
                <w:rPr>
                  <w:sz w:val="20"/>
                </w:rPr>
                <w:t>M34,</w:t>
              </w:r>
            </w:hyperlink>
            <w:r>
              <w:rPr>
                <w:sz w:val="20"/>
              </w:rPr>
              <w:t> </w:t>
            </w:r>
            <w:hyperlink r:id="rId343">
              <w:r>
                <w:rPr>
                  <w:spacing w:val="-4"/>
                  <w:sz w:val="20"/>
                </w:rPr>
                <w:t>M07.2</w:t>
              </w:r>
            </w:hyperlink>
          </w:p>
        </w:tc>
        <w:tc>
          <w:tcPr>
            <w:tcW w:w="3121" w:type="dxa"/>
          </w:tcPr>
          <w:p>
            <w:pPr>
              <w:pStyle w:val="TableParagraph"/>
              <w:spacing w:line="249" w:lineRule="auto" w:before="120"/>
              <w:ind w:left="55" w:right="132"/>
              <w:rPr>
                <w:sz w:val="20"/>
              </w:rPr>
            </w:pPr>
            <w:r>
              <w:rPr>
                <w:sz w:val="20"/>
              </w:rPr>
              <w:t>впервые выявленное или установленное заболевание с высокой степенью активности воспалительного процесса или заболевание</w:t>
            </w:r>
            <w:r>
              <w:rPr>
                <w:spacing w:val="-13"/>
                <w:sz w:val="20"/>
              </w:rPr>
              <w:t> </w:t>
            </w:r>
            <w:r>
              <w:rPr>
                <w:sz w:val="20"/>
              </w:rPr>
              <w:t>с</w:t>
            </w:r>
            <w:r>
              <w:rPr>
                <w:spacing w:val="-12"/>
                <w:sz w:val="20"/>
              </w:rPr>
              <w:t> </w:t>
            </w:r>
            <w:r>
              <w:rPr>
                <w:sz w:val="20"/>
              </w:rPr>
              <w:t>резистентностью</w:t>
            </w:r>
            <w:r>
              <w:rPr>
                <w:spacing w:val="-13"/>
                <w:sz w:val="20"/>
              </w:rPr>
              <w:t> </w:t>
            </w:r>
            <w:r>
              <w:rPr>
                <w:sz w:val="20"/>
              </w:rPr>
              <w:t>к проводимой лекарственной </w:t>
            </w:r>
            <w:r>
              <w:rPr>
                <w:spacing w:val="-2"/>
                <w:sz w:val="20"/>
              </w:rPr>
              <w:t>терапии</w:t>
            </w:r>
          </w:p>
        </w:tc>
        <w:tc>
          <w:tcPr>
            <w:tcW w:w="1647" w:type="dxa"/>
          </w:tcPr>
          <w:p>
            <w:pPr>
              <w:pStyle w:val="TableParagraph"/>
              <w:spacing w:line="249" w:lineRule="auto" w:before="120"/>
              <w:ind w:left="90"/>
              <w:rPr>
                <w:sz w:val="20"/>
              </w:rPr>
            </w:pPr>
            <w:r>
              <w:rPr>
                <w:spacing w:val="-2"/>
                <w:sz w:val="20"/>
              </w:rPr>
              <w:t>терапевтическое лечение</w:t>
            </w:r>
          </w:p>
        </w:tc>
        <w:tc>
          <w:tcPr>
            <w:tcW w:w="3808" w:type="dxa"/>
          </w:tcPr>
          <w:p>
            <w:pPr>
              <w:pStyle w:val="TableParagraph"/>
              <w:spacing w:line="249" w:lineRule="auto" w:before="120"/>
              <w:ind w:left="141" w:right="412"/>
              <w:rPr>
                <w:sz w:val="20"/>
              </w:rPr>
            </w:pPr>
            <w:r>
              <w:rPr>
                <w:spacing w:val="-2"/>
                <w:sz w:val="20"/>
              </w:rPr>
              <w:t>поликомпонентная </w:t>
            </w:r>
            <w:r>
              <w:rPr>
                <w:sz w:val="20"/>
              </w:rPr>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w:t>
            </w:r>
            <w:r>
              <w:rPr>
                <w:spacing w:val="-13"/>
                <w:sz w:val="20"/>
              </w:rPr>
              <w:t> </w:t>
            </w:r>
            <w:r>
              <w:rPr>
                <w:sz w:val="20"/>
              </w:rPr>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резонансной томографии</w:t>
            </w:r>
          </w:p>
        </w:tc>
        <w:tc>
          <w:tcPr>
            <w:tcW w:w="998" w:type="dxa"/>
          </w:tcPr>
          <w:p>
            <w:pPr>
              <w:pStyle w:val="TableParagraph"/>
              <w:spacing w:before="120"/>
              <w:ind w:left="344"/>
              <w:rPr>
                <w:sz w:val="20"/>
              </w:rPr>
            </w:pPr>
            <w:r>
              <w:rPr>
                <w:spacing w:val="-2"/>
                <w:sz w:val="20"/>
              </w:rPr>
              <w:t>144861</w:t>
            </w:r>
          </w:p>
        </w:tc>
      </w:tr>
      <w:tr>
        <w:trPr>
          <w:trHeight w:val="830" w:hRule="atLeast"/>
        </w:trPr>
        <w:tc>
          <w:tcPr>
            <w:tcW w:w="472" w:type="dxa"/>
          </w:tcPr>
          <w:p>
            <w:pPr>
              <w:pStyle w:val="TableParagraph"/>
              <w:rPr>
                <w:sz w:val="18"/>
              </w:rPr>
            </w:pPr>
          </w:p>
        </w:tc>
        <w:tc>
          <w:tcPr>
            <w:tcW w:w="2991" w:type="dxa"/>
          </w:tcPr>
          <w:p>
            <w:pPr>
              <w:pStyle w:val="TableParagraph"/>
              <w:rPr>
                <w:sz w:val="18"/>
              </w:rPr>
            </w:pPr>
          </w:p>
        </w:tc>
        <w:tc>
          <w:tcPr>
            <w:tcW w:w="2007" w:type="dxa"/>
          </w:tcPr>
          <w:p>
            <w:pPr>
              <w:pStyle w:val="TableParagraph"/>
              <w:rPr>
                <w:sz w:val="18"/>
              </w:rPr>
            </w:pPr>
          </w:p>
        </w:tc>
        <w:tc>
          <w:tcPr>
            <w:tcW w:w="3121" w:type="dxa"/>
          </w:tcPr>
          <w:p>
            <w:pPr>
              <w:pStyle w:val="TableParagraph"/>
              <w:rPr>
                <w:sz w:val="18"/>
              </w:rPr>
            </w:pPr>
          </w:p>
        </w:tc>
        <w:tc>
          <w:tcPr>
            <w:tcW w:w="1647" w:type="dxa"/>
          </w:tcPr>
          <w:p>
            <w:pPr>
              <w:pStyle w:val="TableParagraph"/>
              <w:rPr>
                <w:sz w:val="18"/>
              </w:rPr>
            </w:pPr>
          </w:p>
        </w:tc>
        <w:tc>
          <w:tcPr>
            <w:tcW w:w="3808" w:type="dxa"/>
          </w:tcPr>
          <w:p>
            <w:pPr>
              <w:pStyle w:val="TableParagraph"/>
              <w:spacing w:line="240" w:lineRule="atLeast" w:before="90"/>
              <w:ind w:left="141" w:right="430"/>
              <w:rPr>
                <w:sz w:val="20"/>
              </w:rPr>
            </w:pPr>
            <w:r>
              <w:rPr>
                <w:spacing w:val="-2"/>
                <w:sz w:val="20"/>
              </w:rPr>
              <w:t>поликомпонентная </w:t>
            </w:r>
            <w:r>
              <w:rPr>
                <w:sz w:val="20"/>
              </w:rPr>
              <w:t>иммуномодулирующая</w:t>
            </w:r>
            <w:r>
              <w:rPr>
                <w:spacing w:val="-13"/>
                <w:sz w:val="20"/>
              </w:rPr>
              <w:t> </w:t>
            </w:r>
            <w:r>
              <w:rPr>
                <w:sz w:val="20"/>
              </w:rPr>
              <w:t>терапия</w:t>
            </w:r>
            <w:r>
              <w:rPr>
                <w:spacing w:val="-12"/>
                <w:sz w:val="20"/>
              </w:rPr>
              <w:t> </w:t>
            </w:r>
            <w:r>
              <w:rPr>
                <w:sz w:val="20"/>
              </w:rPr>
              <w:t>с применением пульс-терапии</w:t>
            </w:r>
          </w:p>
        </w:tc>
        <w:tc>
          <w:tcPr>
            <w:tcW w:w="99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31"/>
        <w:gridCol w:w="2055"/>
        <w:gridCol w:w="3134"/>
        <w:gridCol w:w="1569"/>
        <w:gridCol w:w="3893"/>
        <w:gridCol w:w="990"/>
      </w:tblGrid>
      <w:tr>
        <w:trPr>
          <w:trHeight w:val="2990" w:hRule="atLeast"/>
        </w:trPr>
        <w:tc>
          <w:tcPr>
            <w:tcW w:w="472" w:type="dxa"/>
          </w:tcPr>
          <w:p>
            <w:pPr>
              <w:pStyle w:val="TableParagraph"/>
              <w:rPr>
                <w:sz w:val="18"/>
              </w:rPr>
            </w:pPr>
          </w:p>
        </w:tc>
        <w:tc>
          <w:tcPr>
            <w:tcW w:w="2931" w:type="dxa"/>
          </w:tcPr>
          <w:p>
            <w:pPr>
              <w:pStyle w:val="TableParagraph"/>
              <w:rPr>
                <w:sz w:val="18"/>
              </w:rPr>
            </w:pPr>
          </w:p>
        </w:tc>
        <w:tc>
          <w:tcPr>
            <w:tcW w:w="2055" w:type="dxa"/>
          </w:tcPr>
          <w:p>
            <w:pPr>
              <w:pStyle w:val="TableParagraph"/>
              <w:rPr>
                <w:sz w:val="18"/>
              </w:rPr>
            </w:pPr>
          </w:p>
        </w:tc>
        <w:tc>
          <w:tcPr>
            <w:tcW w:w="3134" w:type="dxa"/>
          </w:tcPr>
          <w:p>
            <w:pPr>
              <w:pStyle w:val="TableParagraph"/>
              <w:rPr>
                <w:sz w:val="18"/>
              </w:rPr>
            </w:pPr>
          </w:p>
        </w:tc>
        <w:tc>
          <w:tcPr>
            <w:tcW w:w="1569" w:type="dxa"/>
          </w:tcPr>
          <w:p>
            <w:pPr>
              <w:pStyle w:val="TableParagraph"/>
              <w:rPr>
                <w:sz w:val="18"/>
              </w:rPr>
            </w:pPr>
          </w:p>
        </w:tc>
        <w:tc>
          <w:tcPr>
            <w:tcW w:w="3893" w:type="dxa"/>
          </w:tcPr>
          <w:p>
            <w:pPr>
              <w:pStyle w:val="TableParagraph"/>
              <w:spacing w:line="249" w:lineRule="auto"/>
              <w:ind w:left="218" w:right="420"/>
              <w:rPr>
                <w:sz w:val="20"/>
              </w:rPr>
            </w:pPr>
            <w:r>
              <w:rPr>
                <w:sz w:val="20"/>
              </w:rPr>
              <w:t>глюкокортикоидами и </w:t>
            </w:r>
            <w:r>
              <w:rPr>
                <w:spacing w:val="-2"/>
                <w:sz w:val="20"/>
              </w:rPr>
              <w:t>цитотоксическими </w:t>
            </w:r>
            <w:r>
              <w:rPr>
                <w:sz w:val="20"/>
              </w:rPr>
              <w:t>иммунодепрессантами,</w:t>
            </w:r>
            <w:r>
              <w:rPr>
                <w:spacing w:val="-3"/>
                <w:sz w:val="20"/>
              </w:rPr>
              <w:t> </w:t>
            </w:r>
            <w:r>
              <w:rPr>
                <w:sz w:val="20"/>
              </w:rPr>
              <w:t>лабораторной диагностики с использованием комплекса иммунологических и молекулярно-биологических</w:t>
            </w:r>
            <w:r>
              <w:rPr>
                <w:spacing w:val="-13"/>
                <w:sz w:val="20"/>
              </w:rPr>
              <w:t> </w:t>
            </w:r>
            <w:r>
              <w:rPr>
                <w:sz w:val="20"/>
              </w:rPr>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резонансной томографии</w:t>
            </w:r>
          </w:p>
        </w:tc>
        <w:tc>
          <w:tcPr>
            <w:tcW w:w="990" w:type="dxa"/>
          </w:tcPr>
          <w:p>
            <w:pPr>
              <w:pStyle w:val="TableParagraph"/>
              <w:rPr>
                <w:sz w:val="18"/>
              </w:rPr>
            </w:pPr>
          </w:p>
        </w:tc>
      </w:tr>
      <w:tr>
        <w:trPr>
          <w:trHeight w:val="480" w:hRule="atLeast"/>
        </w:trPr>
        <w:tc>
          <w:tcPr>
            <w:tcW w:w="15044" w:type="dxa"/>
            <w:gridSpan w:val="7"/>
          </w:tcPr>
          <w:p>
            <w:pPr>
              <w:pStyle w:val="TableParagraph"/>
              <w:spacing w:before="120"/>
              <w:ind w:left="6362" w:right="6047"/>
              <w:jc w:val="center"/>
              <w:rPr>
                <w:sz w:val="20"/>
              </w:rPr>
            </w:pPr>
            <w:r>
              <w:rPr>
                <w:w w:val="95"/>
                <w:sz w:val="20"/>
              </w:rPr>
              <w:t>Сердечно-сосудистая</w:t>
            </w:r>
            <w:r>
              <w:rPr>
                <w:spacing w:val="73"/>
                <w:sz w:val="20"/>
              </w:rPr>
              <w:t> </w:t>
            </w:r>
            <w:r>
              <w:rPr>
                <w:spacing w:val="-2"/>
                <w:w w:val="95"/>
                <w:sz w:val="20"/>
              </w:rPr>
              <w:t>хирургия</w:t>
            </w:r>
          </w:p>
        </w:tc>
      </w:tr>
      <w:tr>
        <w:trPr>
          <w:trHeight w:val="1440" w:hRule="atLeast"/>
        </w:trPr>
        <w:tc>
          <w:tcPr>
            <w:tcW w:w="472" w:type="dxa"/>
          </w:tcPr>
          <w:p>
            <w:pPr>
              <w:pStyle w:val="TableParagraph"/>
              <w:spacing w:before="120"/>
              <w:ind w:left="50"/>
              <w:rPr>
                <w:sz w:val="20"/>
              </w:rPr>
            </w:pPr>
            <w:r>
              <w:rPr>
                <w:spacing w:val="-5"/>
                <w:sz w:val="20"/>
              </w:rPr>
              <w:t>36.</w:t>
            </w:r>
          </w:p>
        </w:tc>
        <w:tc>
          <w:tcPr>
            <w:tcW w:w="2931" w:type="dxa"/>
          </w:tcPr>
          <w:p>
            <w:pPr>
              <w:pStyle w:val="TableParagraph"/>
              <w:spacing w:line="249" w:lineRule="auto" w:before="120"/>
              <w:ind w:left="168" w:right="158"/>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55" w:type="dxa"/>
          </w:tcPr>
          <w:p>
            <w:pPr>
              <w:pStyle w:val="TableParagraph"/>
              <w:spacing w:line="249" w:lineRule="auto" w:before="120"/>
              <w:ind w:left="165" w:firstLine="158"/>
              <w:rPr>
                <w:sz w:val="20"/>
              </w:rPr>
            </w:pPr>
            <w:hyperlink r:id="rId344">
              <w:r>
                <w:rPr>
                  <w:sz w:val="20"/>
                </w:rPr>
                <w:t>I20.0, </w:t>
              </w:r>
            </w:hyperlink>
            <w:hyperlink r:id="rId345">
              <w:r>
                <w:rPr>
                  <w:sz w:val="20"/>
                </w:rPr>
                <w:t>I21.0, </w:t>
              </w:r>
            </w:hyperlink>
            <w:hyperlink r:id="rId346">
              <w:r>
                <w:rPr>
                  <w:sz w:val="20"/>
                </w:rPr>
                <w:t>I21.1,</w:t>
              </w:r>
            </w:hyperlink>
            <w:r>
              <w:rPr>
                <w:sz w:val="20"/>
              </w:rPr>
              <w:t> </w:t>
            </w:r>
            <w:hyperlink r:id="rId347">
              <w:r>
                <w:rPr>
                  <w:sz w:val="20"/>
                </w:rPr>
                <w:t>I21.2,</w:t>
              </w:r>
              <w:r>
                <w:rPr>
                  <w:spacing w:val="-12"/>
                  <w:sz w:val="20"/>
                </w:rPr>
                <w:t> </w:t>
              </w:r>
            </w:hyperlink>
            <w:hyperlink r:id="rId348">
              <w:r>
                <w:rPr>
                  <w:sz w:val="20"/>
                </w:rPr>
                <w:t>I21.3,</w:t>
              </w:r>
              <w:r>
                <w:rPr>
                  <w:spacing w:val="-13"/>
                  <w:sz w:val="20"/>
                </w:rPr>
                <w:t> </w:t>
              </w:r>
            </w:hyperlink>
            <w:hyperlink r:id="rId349">
              <w:r>
                <w:rPr>
                  <w:sz w:val="20"/>
                </w:rPr>
                <w:t>I21.9,</w:t>
              </w:r>
              <w:r>
                <w:rPr>
                  <w:spacing w:val="-11"/>
                  <w:sz w:val="20"/>
                </w:rPr>
                <w:t> </w:t>
              </w:r>
            </w:hyperlink>
            <w:hyperlink r:id="rId350">
              <w:r>
                <w:rPr>
                  <w:sz w:val="20"/>
                </w:rPr>
                <w:t>I22</w:t>
              </w:r>
            </w:hyperlink>
          </w:p>
        </w:tc>
        <w:tc>
          <w:tcPr>
            <w:tcW w:w="3134" w:type="dxa"/>
          </w:tcPr>
          <w:p>
            <w:pPr>
              <w:pStyle w:val="TableParagraph"/>
              <w:spacing w:line="249" w:lineRule="auto" w:before="120"/>
              <w:ind w:left="67" w:right="30"/>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w:t>
            </w:r>
          </w:p>
          <w:p>
            <w:pPr>
              <w:pStyle w:val="TableParagraph"/>
              <w:spacing w:line="249" w:lineRule="auto" w:before="2"/>
              <w:ind w:left="67" w:right="30"/>
              <w:rPr>
                <w:sz w:val="20"/>
              </w:rPr>
            </w:pPr>
            <w:r>
              <w:rPr>
                <w:sz w:val="20"/>
              </w:rPr>
              <w:t>(с</w:t>
            </w:r>
            <w:r>
              <w:rPr>
                <w:spacing w:val="-13"/>
                <w:sz w:val="20"/>
              </w:rPr>
              <w:t> </w:t>
            </w:r>
            <w:r>
              <w:rPr>
                <w:sz w:val="20"/>
              </w:rPr>
              <w:t>подъемом</w:t>
            </w:r>
            <w:r>
              <w:rPr>
                <w:spacing w:val="-12"/>
                <w:sz w:val="20"/>
              </w:rPr>
              <w:t> </w:t>
            </w:r>
            <w:r>
              <w:rPr>
                <w:sz w:val="20"/>
              </w:rPr>
              <w:t>сегмента</w:t>
            </w:r>
            <w:r>
              <w:rPr>
                <w:spacing w:val="-13"/>
                <w:sz w:val="20"/>
              </w:rPr>
              <w:t> </w:t>
            </w:r>
            <w:r>
              <w:rPr>
                <w:sz w:val="20"/>
              </w:rPr>
              <w:t>ST </w:t>
            </w:r>
            <w:r>
              <w:rPr>
                <w:spacing w:val="-2"/>
                <w:sz w:val="20"/>
              </w:rPr>
              <w:t>электрокардиограммы)</w:t>
            </w:r>
          </w:p>
        </w:tc>
        <w:tc>
          <w:tcPr>
            <w:tcW w:w="1569" w:type="dxa"/>
          </w:tcPr>
          <w:p>
            <w:pPr>
              <w:pStyle w:val="TableParagraph"/>
              <w:spacing w:line="249" w:lineRule="auto" w:before="120"/>
              <w:ind w:left="89"/>
              <w:rPr>
                <w:sz w:val="20"/>
              </w:rPr>
            </w:pPr>
            <w:r>
              <w:rPr>
                <w:spacing w:val="-2"/>
                <w:sz w:val="20"/>
              </w:rPr>
              <w:t>хирургическое лечение</w:t>
            </w:r>
          </w:p>
        </w:tc>
        <w:tc>
          <w:tcPr>
            <w:tcW w:w="3893" w:type="dxa"/>
          </w:tcPr>
          <w:p>
            <w:pPr>
              <w:pStyle w:val="TableParagraph"/>
              <w:spacing w:line="249" w:lineRule="auto" w:before="120"/>
              <w:ind w:left="218" w:right="296"/>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1 стента в сосуд (сосуды)</w:t>
            </w:r>
          </w:p>
        </w:tc>
        <w:tc>
          <w:tcPr>
            <w:tcW w:w="990" w:type="dxa"/>
          </w:tcPr>
          <w:p>
            <w:pPr>
              <w:pStyle w:val="TableParagraph"/>
              <w:spacing w:before="120"/>
              <w:ind w:right="51"/>
              <w:jc w:val="right"/>
              <w:rPr>
                <w:sz w:val="20"/>
              </w:rPr>
            </w:pPr>
            <w:r>
              <w:rPr>
                <w:spacing w:val="-2"/>
                <w:sz w:val="20"/>
              </w:rPr>
              <w:t>172649</w:t>
            </w:r>
          </w:p>
        </w:tc>
      </w:tr>
      <w:tr>
        <w:trPr>
          <w:trHeight w:val="1440" w:hRule="atLeast"/>
        </w:trPr>
        <w:tc>
          <w:tcPr>
            <w:tcW w:w="472" w:type="dxa"/>
          </w:tcPr>
          <w:p>
            <w:pPr>
              <w:pStyle w:val="TableParagraph"/>
              <w:spacing w:before="120"/>
              <w:ind w:left="50"/>
              <w:rPr>
                <w:sz w:val="20"/>
              </w:rPr>
            </w:pPr>
            <w:r>
              <w:rPr>
                <w:spacing w:val="-5"/>
                <w:sz w:val="20"/>
              </w:rPr>
              <w:t>37.</w:t>
            </w:r>
          </w:p>
        </w:tc>
        <w:tc>
          <w:tcPr>
            <w:tcW w:w="2931" w:type="dxa"/>
          </w:tcPr>
          <w:p>
            <w:pPr>
              <w:pStyle w:val="TableParagraph"/>
              <w:spacing w:line="249" w:lineRule="auto" w:before="120"/>
              <w:ind w:left="168" w:right="158"/>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55" w:type="dxa"/>
          </w:tcPr>
          <w:p>
            <w:pPr>
              <w:pStyle w:val="TableParagraph"/>
              <w:spacing w:line="249" w:lineRule="auto" w:before="120"/>
              <w:ind w:left="165" w:firstLine="158"/>
              <w:rPr>
                <w:sz w:val="20"/>
              </w:rPr>
            </w:pPr>
            <w:hyperlink r:id="rId344">
              <w:r>
                <w:rPr>
                  <w:sz w:val="20"/>
                </w:rPr>
                <w:t>I20.0, </w:t>
              </w:r>
            </w:hyperlink>
            <w:hyperlink r:id="rId345">
              <w:r>
                <w:rPr>
                  <w:sz w:val="20"/>
                </w:rPr>
                <w:t>I21.0, </w:t>
              </w:r>
            </w:hyperlink>
            <w:hyperlink r:id="rId346">
              <w:r>
                <w:rPr>
                  <w:sz w:val="20"/>
                </w:rPr>
                <w:t>I21.1,</w:t>
              </w:r>
            </w:hyperlink>
            <w:r>
              <w:rPr>
                <w:sz w:val="20"/>
              </w:rPr>
              <w:t> </w:t>
            </w:r>
            <w:hyperlink r:id="rId347">
              <w:r>
                <w:rPr>
                  <w:sz w:val="20"/>
                </w:rPr>
                <w:t>I21.2,</w:t>
              </w:r>
              <w:r>
                <w:rPr>
                  <w:spacing w:val="-12"/>
                  <w:sz w:val="20"/>
                </w:rPr>
                <w:t> </w:t>
              </w:r>
            </w:hyperlink>
            <w:hyperlink r:id="rId348">
              <w:r>
                <w:rPr>
                  <w:sz w:val="20"/>
                </w:rPr>
                <w:t>I21.3,</w:t>
              </w:r>
              <w:r>
                <w:rPr>
                  <w:spacing w:val="-13"/>
                  <w:sz w:val="20"/>
                </w:rPr>
                <w:t> </w:t>
              </w:r>
            </w:hyperlink>
            <w:hyperlink r:id="rId349">
              <w:r>
                <w:rPr>
                  <w:sz w:val="20"/>
                </w:rPr>
                <w:t>I21.9,</w:t>
              </w:r>
              <w:r>
                <w:rPr>
                  <w:spacing w:val="-11"/>
                  <w:sz w:val="20"/>
                </w:rPr>
                <w:t> </w:t>
              </w:r>
            </w:hyperlink>
            <w:hyperlink r:id="rId350">
              <w:r>
                <w:rPr>
                  <w:sz w:val="20"/>
                </w:rPr>
                <w:t>I22</w:t>
              </w:r>
            </w:hyperlink>
          </w:p>
        </w:tc>
        <w:tc>
          <w:tcPr>
            <w:tcW w:w="3134" w:type="dxa"/>
          </w:tcPr>
          <w:p>
            <w:pPr>
              <w:pStyle w:val="TableParagraph"/>
              <w:spacing w:line="249" w:lineRule="auto" w:before="120"/>
              <w:ind w:left="67" w:right="30"/>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w:t>
            </w:r>
          </w:p>
          <w:p>
            <w:pPr>
              <w:pStyle w:val="TableParagraph"/>
              <w:spacing w:line="249" w:lineRule="auto" w:before="2"/>
              <w:ind w:left="67" w:right="30"/>
              <w:rPr>
                <w:sz w:val="20"/>
              </w:rPr>
            </w:pPr>
            <w:r>
              <w:rPr>
                <w:sz w:val="20"/>
              </w:rPr>
              <w:t>(с</w:t>
            </w:r>
            <w:r>
              <w:rPr>
                <w:spacing w:val="-13"/>
                <w:sz w:val="20"/>
              </w:rPr>
              <w:t> </w:t>
            </w:r>
            <w:r>
              <w:rPr>
                <w:sz w:val="20"/>
              </w:rPr>
              <w:t>подъемом</w:t>
            </w:r>
            <w:r>
              <w:rPr>
                <w:spacing w:val="-12"/>
                <w:sz w:val="20"/>
              </w:rPr>
              <w:t> </w:t>
            </w:r>
            <w:r>
              <w:rPr>
                <w:sz w:val="20"/>
              </w:rPr>
              <w:t>сегмента</w:t>
            </w:r>
            <w:r>
              <w:rPr>
                <w:spacing w:val="-13"/>
                <w:sz w:val="20"/>
              </w:rPr>
              <w:t> </w:t>
            </w:r>
            <w:r>
              <w:rPr>
                <w:sz w:val="20"/>
              </w:rPr>
              <w:t>ST </w:t>
            </w:r>
            <w:r>
              <w:rPr>
                <w:spacing w:val="-2"/>
                <w:sz w:val="20"/>
              </w:rPr>
              <w:t>электрокардиограммы)</w:t>
            </w:r>
          </w:p>
        </w:tc>
        <w:tc>
          <w:tcPr>
            <w:tcW w:w="1569" w:type="dxa"/>
          </w:tcPr>
          <w:p>
            <w:pPr>
              <w:pStyle w:val="TableParagraph"/>
              <w:spacing w:line="249" w:lineRule="auto" w:before="120"/>
              <w:ind w:left="89"/>
              <w:rPr>
                <w:sz w:val="20"/>
              </w:rPr>
            </w:pPr>
            <w:r>
              <w:rPr>
                <w:spacing w:val="-2"/>
                <w:sz w:val="20"/>
              </w:rPr>
              <w:t>хирургическое лечение</w:t>
            </w:r>
          </w:p>
        </w:tc>
        <w:tc>
          <w:tcPr>
            <w:tcW w:w="3893" w:type="dxa"/>
          </w:tcPr>
          <w:p>
            <w:pPr>
              <w:pStyle w:val="TableParagraph"/>
              <w:spacing w:line="249" w:lineRule="auto" w:before="120"/>
              <w:ind w:left="218" w:right="296"/>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2 стентов в сосуд (сосуды)</w:t>
            </w:r>
          </w:p>
        </w:tc>
        <w:tc>
          <w:tcPr>
            <w:tcW w:w="990" w:type="dxa"/>
          </w:tcPr>
          <w:p>
            <w:pPr>
              <w:pStyle w:val="TableParagraph"/>
              <w:spacing w:before="120"/>
              <w:ind w:right="51"/>
              <w:jc w:val="right"/>
              <w:rPr>
                <w:sz w:val="20"/>
              </w:rPr>
            </w:pPr>
            <w:r>
              <w:rPr>
                <w:spacing w:val="-2"/>
                <w:sz w:val="20"/>
              </w:rPr>
              <w:t>200591</w:t>
            </w:r>
          </w:p>
        </w:tc>
      </w:tr>
      <w:tr>
        <w:trPr>
          <w:trHeight w:val="1310" w:hRule="atLeast"/>
        </w:trPr>
        <w:tc>
          <w:tcPr>
            <w:tcW w:w="472" w:type="dxa"/>
          </w:tcPr>
          <w:p>
            <w:pPr>
              <w:pStyle w:val="TableParagraph"/>
              <w:spacing w:before="120"/>
              <w:ind w:left="50"/>
              <w:rPr>
                <w:sz w:val="20"/>
              </w:rPr>
            </w:pPr>
            <w:r>
              <w:rPr>
                <w:spacing w:val="-5"/>
                <w:sz w:val="20"/>
              </w:rPr>
              <w:t>38.</w:t>
            </w:r>
          </w:p>
        </w:tc>
        <w:tc>
          <w:tcPr>
            <w:tcW w:w="2931" w:type="dxa"/>
          </w:tcPr>
          <w:p>
            <w:pPr>
              <w:pStyle w:val="TableParagraph"/>
              <w:spacing w:line="240" w:lineRule="atLeast" w:before="90"/>
              <w:ind w:left="168" w:right="158"/>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6"/>
                <w:sz w:val="20"/>
              </w:rPr>
              <w:t> </w:t>
            </w:r>
            <w:r>
              <w:rPr>
                <w:sz w:val="20"/>
              </w:rPr>
              <w:t>в</w:t>
            </w:r>
            <w:r>
              <w:rPr>
                <w:spacing w:val="-8"/>
                <w:sz w:val="20"/>
              </w:rPr>
              <w:t> </w:t>
            </w:r>
            <w:r>
              <w:rPr>
                <w:sz w:val="20"/>
              </w:rPr>
              <w:t>сочетании</w:t>
            </w:r>
            <w:r>
              <w:rPr>
                <w:spacing w:val="-6"/>
                <w:sz w:val="20"/>
              </w:rPr>
              <w:t> </w:t>
            </w:r>
            <w:r>
              <w:rPr>
                <w:sz w:val="20"/>
              </w:rPr>
              <w:t>со стентированием при ишемической болезни сердца</w:t>
            </w:r>
          </w:p>
        </w:tc>
        <w:tc>
          <w:tcPr>
            <w:tcW w:w="2055" w:type="dxa"/>
          </w:tcPr>
          <w:p>
            <w:pPr>
              <w:pStyle w:val="TableParagraph"/>
              <w:spacing w:line="249" w:lineRule="auto" w:before="120"/>
              <w:ind w:left="165" w:firstLine="158"/>
              <w:rPr>
                <w:sz w:val="20"/>
              </w:rPr>
            </w:pPr>
            <w:hyperlink r:id="rId344">
              <w:r>
                <w:rPr>
                  <w:sz w:val="20"/>
                </w:rPr>
                <w:t>I20.0, </w:t>
              </w:r>
            </w:hyperlink>
            <w:hyperlink r:id="rId345">
              <w:r>
                <w:rPr>
                  <w:sz w:val="20"/>
                </w:rPr>
                <w:t>I21.0, </w:t>
              </w:r>
            </w:hyperlink>
            <w:hyperlink r:id="rId346">
              <w:r>
                <w:rPr>
                  <w:sz w:val="20"/>
                </w:rPr>
                <w:t>I21.1,</w:t>
              </w:r>
            </w:hyperlink>
            <w:r>
              <w:rPr>
                <w:sz w:val="20"/>
              </w:rPr>
              <w:t> </w:t>
            </w:r>
            <w:hyperlink r:id="rId347">
              <w:r>
                <w:rPr>
                  <w:sz w:val="20"/>
                </w:rPr>
                <w:t>I21.2,</w:t>
              </w:r>
              <w:r>
                <w:rPr>
                  <w:spacing w:val="-12"/>
                  <w:sz w:val="20"/>
                </w:rPr>
                <w:t> </w:t>
              </w:r>
            </w:hyperlink>
            <w:hyperlink r:id="rId348">
              <w:r>
                <w:rPr>
                  <w:sz w:val="20"/>
                </w:rPr>
                <w:t>I21.3,</w:t>
              </w:r>
              <w:r>
                <w:rPr>
                  <w:spacing w:val="-13"/>
                  <w:sz w:val="20"/>
                </w:rPr>
                <w:t> </w:t>
              </w:r>
            </w:hyperlink>
            <w:hyperlink r:id="rId349">
              <w:r>
                <w:rPr>
                  <w:sz w:val="20"/>
                </w:rPr>
                <w:t>I21.9,</w:t>
              </w:r>
              <w:r>
                <w:rPr>
                  <w:spacing w:val="-11"/>
                  <w:sz w:val="20"/>
                </w:rPr>
                <w:t> </w:t>
              </w:r>
            </w:hyperlink>
            <w:hyperlink r:id="rId350">
              <w:r>
                <w:rPr>
                  <w:sz w:val="20"/>
                </w:rPr>
                <w:t>I22</w:t>
              </w:r>
            </w:hyperlink>
          </w:p>
        </w:tc>
        <w:tc>
          <w:tcPr>
            <w:tcW w:w="3134" w:type="dxa"/>
          </w:tcPr>
          <w:p>
            <w:pPr>
              <w:pStyle w:val="TableParagraph"/>
              <w:spacing w:line="249" w:lineRule="auto" w:before="120"/>
              <w:ind w:left="67" w:right="30"/>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w:t>
            </w:r>
          </w:p>
          <w:p>
            <w:pPr>
              <w:pStyle w:val="TableParagraph"/>
              <w:spacing w:line="249" w:lineRule="auto" w:before="2"/>
              <w:ind w:left="67" w:right="30"/>
              <w:rPr>
                <w:sz w:val="20"/>
              </w:rPr>
            </w:pPr>
            <w:r>
              <w:rPr>
                <w:sz w:val="20"/>
              </w:rPr>
              <w:t>(с</w:t>
            </w:r>
            <w:r>
              <w:rPr>
                <w:spacing w:val="-13"/>
                <w:sz w:val="20"/>
              </w:rPr>
              <w:t> </w:t>
            </w:r>
            <w:r>
              <w:rPr>
                <w:sz w:val="20"/>
              </w:rPr>
              <w:t>подъемом</w:t>
            </w:r>
            <w:r>
              <w:rPr>
                <w:spacing w:val="-12"/>
                <w:sz w:val="20"/>
              </w:rPr>
              <w:t> </w:t>
            </w:r>
            <w:r>
              <w:rPr>
                <w:sz w:val="20"/>
              </w:rPr>
              <w:t>сегмента</w:t>
            </w:r>
            <w:r>
              <w:rPr>
                <w:spacing w:val="-13"/>
                <w:sz w:val="20"/>
              </w:rPr>
              <w:t> </w:t>
            </w:r>
            <w:r>
              <w:rPr>
                <w:sz w:val="20"/>
              </w:rPr>
              <w:t>ST </w:t>
            </w:r>
            <w:r>
              <w:rPr>
                <w:spacing w:val="-2"/>
                <w:sz w:val="20"/>
              </w:rPr>
              <w:t>электрокардиограммы)</w:t>
            </w:r>
          </w:p>
        </w:tc>
        <w:tc>
          <w:tcPr>
            <w:tcW w:w="1569" w:type="dxa"/>
          </w:tcPr>
          <w:p>
            <w:pPr>
              <w:pStyle w:val="TableParagraph"/>
              <w:spacing w:line="249" w:lineRule="auto" w:before="120"/>
              <w:ind w:left="89"/>
              <w:rPr>
                <w:sz w:val="20"/>
              </w:rPr>
            </w:pPr>
            <w:r>
              <w:rPr>
                <w:spacing w:val="-2"/>
                <w:sz w:val="20"/>
              </w:rPr>
              <w:t>хирургическое лечение</w:t>
            </w:r>
          </w:p>
        </w:tc>
        <w:tc>
          <w:tcPr>
            <w:tcW w:w="3893" w:type="dxa"/>
          </w:tcPr>
          <w:p>
            <w:pPr>
              <w:pStyle w:val="TableParagraph"/>
              <w:spacing w:line="249" w:lineRule="auto" w:before="120"/>
              <w:ind w:left="218" w:right="296"/>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3 стентов в сосуд (сосуды)</w:t>
            </w:r>
          </w:p>
        </w:tc>
        <w:tc>
          <w:tcPr>
            <w:tcW w:w="990" w:type="dxa"/>
          </w:tcPr>
          <w:p>
            <w:pPr>
              <w:pStyle w:val="TableParagraph"/>
              <w:spacing w:before="120"/>
              <w:ind w:right="51"/>
              <w:jc w:val="right"/>
              <w:rPr>
                <w:sz w:val="20"/>
              </w:rPr>
            </w:pPr>
            <w:r>
              <w:rPr>
                <w:spacing w:val="-2"/>
                <w:sz w:val="20"/>
              </w:rPr>
              <w:t>228440</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82"/>
        <w:gridCol w:w="2016"/>
        <w:gridCol w:w="3124"/>
        <w:gridCol w:w="1570"/>
        <w:gridCol w:w="3894"/>
        <w:gridCol w:w="991"/>
      </w:tblGrid>
      <w:tr>
        <w:trPr>
          <w:trHeight w:val="1310" w:hRule="atLeast"/>
        </w:trPr>
        <w:tc>
          <w:tcPr>
            <w:tcW w:w="472" w:type="dxa"/>
          </w:tcPr>
          <w:p>
            <w:pPr>
              <w:pStyle w:val="TableParagraph"/>
              <w:spacing w:line="221" w:lineRule="exact"/>
              <w:ind w:left="50"/>
              <w:rPr>
                <w:sz w:val="20"/>
              </w:rPr>
            </w:pPr>
            <w:r>
              <w:rPr>
                <w:spacing w:val="-5"/>
                <w:sz w:val="20"/>
              </w:rPr>
              <w:t>39.</w:t>
            </w:r>
          </w:p>
        </w:tc>
        <w:tc>
          <w:tcPr>
            <w:tcW w:w="2982" w:type="dxa"/>
          </w:tcPr>
          <w:p>
            <w:pPr>
              <w:pStyle w:val="TableParagraph"/>
              <w:spacing w:line="249" w:lineRule="auto"/>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line="221" w:lineRule="exact"/>
              <w:ind w:left="82" w:right="51"/>
              <w:jc w:val="center"/>
              <w:rPr>
                <w:sz w:val="20"/>
              </w:rPr>
            </w:pPr>
            <w:hyperlink r:id="rId344">
              <w:r>
                <w:rPr>
                  <w:sz w:val="20"/>
                </w:rPr>
                <w:t>I20.0,</w:t>
              </w:r>
              <w:r>
                <w:rPr>
                  <w:spacing w:val="-4"/>
                  <w:sz w:val="20"/>
                </w:rPr>
                <w:t> </w:t>
              </w:r>
            </w:hyperlink>
            <w:hyperlink r:id="rId351">
              <w:r>
                <w:rPr>
                  <w:sz w:val="20"/>
                </w:rPr>
                <w:t>I21.4,</w:t>
              </w:r>
              <w:r>
                <w:rPr>
                  <w:spacing w:val="-6"/>
                  <w:sz w:val="20"/>
                </w:rPr>
                <w:t> </w:t>
              </w:r>
            </w:hyperlink>
            <w:hyperlink r:id="rId349">
              <w:r>
                <w:rPr>
                  <w:sz w:val="20"/>
                </w:rPr>
                <w:t>I21.9,</w:t>
              </w:r>
              <w:r>
                <w:rPr>
                  <w:spacing w:val="-3"/>
                  <w:sz w:val="20"/>
                </w:rPr>
                <w:t> </w:t>
              </w:r>
            </w:hyperlink>
            <w:hyperlink r:id="rId350">
              <w:r>
                <w:rPr>
                  <w:spacing w:val="-5"/>
                  <w:sz w:val="20"/>
                </w:rPr>
                <w:t>I22</w:t>
              </w:r>
            </w:hyperlink>
          </w:p>
        </w:tc>
        <w:tc>
          <w:tcPr>
            <w:tcW w:w="3124" w:type="dxa"/>
          </w:tcPr>
          <w:p>
            <w:pPr>
              <w:pStyle w:val="TableParagraph"/>
              <w:spacing w:line="249" w:lineRule="auto"/>
              <w:ind w:left="55" w:right="32"/>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 (без подъема сегмента ST </w:t>
            </w:r>
            <w:r>
              <w:rPr>
                <w:spacing w:val="-2"/>
                <w:sz w:val="20"/>
              </w:rPr>
              <w:t>электрокардиограммы)</w:t>
            </w:r>
          </w:p>
        </w:tc>
        <w:tc>
          <w:tcPr>
            <w:tcW w:w="1570" w:type="dxa"/>
          </w:tcPr>
          <w:p>
            <w:pPr>
              <w:pStyle w:val="TableParagraph"/>
              <w:spacing w:line="249" w:lineRule="auto"/>
              <w:ind w:left="87"/>
              <w:rPr>
                <w:sz w:val="20"/>
              </w:rPr>
            </w:pPr>
            <w:r>
              <w:rPr>
                <w:spacing w:val="-2"/>
                <w:sz w:val="20"/>
              </w:rPr>
              <w:t>хирургическое лечение</w:t>
            </w:r>
          </w:p>
        </w:tc>
        <w:tc>
          <w:tcPr>
            <w:tcW w:w="3894" w:type="dxa"/>
          </w:tcPr>
          <w:p>
            <w:pPr>
              <w:pStyle w:val="TableParagraph"/>
              <w:spacing w:line="249" w:lineRule="auto"/>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1 стента в сосуд (сосуды)</w:t>
            </w:r>
          </w:p>
        </w:tc>
        <w:tc>
          <w:tcPr>
            <w:tcW w:w="991" w:type="dxa"/>
          </w:tcPr>
          <w:p>
            <w:pPr>
              <w:pStyle w:val="TableParagraph"/>
              <w:spacing w:line="221" w:lineRule="exact"/>
              <w:ind w:right="56"/>
              <w:jc w:val="right"/>
              <w:rPr>
                <w:sz w:val="20"/>
              </w:rPr>
            </w:pPr>
            <w:r>
              <w:rPr>
                <w:spacing w:val="-2"/>
                <w:sz w:val="20"/>
              </w:rPr>
              <w:t>128489</w:t>
            </w:r>
          </w:p>
        </w:tc>
      </w:tr>
      <w:tr>
        <w:trPr>
          <w:trHeight w:val="1440" w:hRule="atLeast"/>
        </w:trPr>
        <w:tc>
          <w:tcPr>
            <w:tcW w:w="472" w:type="dxa"/>
          </w:tcPr>
          <w:p>
            <w:pPr>
              <w:pStyle w:val="TableParagraph"/>
              <w:spacing w:before="120"/>
              <w:ind w:left="50"/>
              <w:rPr>
                <w:sz w:val="20"/>
              </w:rPr>
            </w:pPr>
            <w:r>
              <w:rPr>
                <w:spacing w:val="-5"/>
                <w:sz w:val="20"/>
              </w:rPr>
              <w:t>40.</w:t>
            </w:r>
          </w:p>
        </w:tc>
        <w:tc>
          <w:tcPr>
            <w:tcW w:w="2982" w:type="dxa"/>
          </w:tcPr>
          <w:p>
            <w:pPr>
              <w:pStyle w:val="TableParagraph"/>
              <w:spacing w:line="249" w:lineRule="auto" w:before="120"/>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before="120"/>
              <w:ind w:left="82" w:right="51"/>
              <w:jc w:val="center"/>
              <w:rPr>
                <w:sz w:val="20"/>
              </w:rPr>
            </w:pPr>
            <w:hyperlink r:id="rId344">
              <w:r>
                <w:rPr>
                  <w:sz w:val="20"/>
                </w:rPr>
                <w:t>I20.0,</w:t>
              </w:r>
              <w:r>
                <w:rPr>
                  <w:spacing w:val="-4"/>
                  <w:sz w:val="20"/>
                </w:rPr>
                <w:t> </w:t>
              </w:r>
            </w:hyperlink>
            <w:hyperlink r:id="rId351">
              <w:r>
                <w:rPr>
                  <w:sz w:val="20"/>
                </w:rPr>
                <w:t>I21.4,</w:t>
              </w:r>
              <w:r>
                <w:rPr>
                  <w:spacing w:val="-5"/>
                  <w:sz w:val="20"/>
                </w:rPr>
                <w:t> </w:t>
              </w:r>
            </w:hyperlink>
            <w:hyperlink r:id="rId349">
              <w:r>
                <w:rPr>
                  <w:sz w:val="20"/>
                </w:rPr>
                <w:t>I21.9,</w:t>
              </w:r>
              <w:r>
                <w:rPr>
                  <w:spacing w:val="-3"/>
                  <w:sz w:val="20"/>
                </w:rPr>
                <w:t> </w:t>
              </w:r>
            </w:hyperlink>
            <w:hyperlink r:id="rId350">
              <w:r>
                <w:rPr>
                  <w:spacing w:val="-5"/>
                  <w:sz w:val="20"/>
                </w:rPr>
                <w:t>I22</w:t>
              </w:r>
            </w:hyperlink>
          </w:p>
        </w:tc>
        <w:tc>
          <w:tcPr>
            <w:tcW w:w="3124" w:type="dxa"/>
          </w:tcPr>
          <w:p>
            <w:pPr>
              <w:pStyle w:val="TableParagraph"/>
              <w:spacing w:line="249" w:lineRule="auto" w:before="120"/>
              <w:ind w:left="55" w:right="32"/>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 (без подъема сегмента ST </w:t>
            </w:r>
            <w:r>
              <w:rPr>
                <w:spacing w:val="-2"/>
                <w:sz w:val="20"/>
              </w:rPr>
              <w:t>электрокардиограммы)</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2 стентов в сосуд (сосуды)</w:t>
            </w:r>
          </w:p>
        </w:tc>
        <w:tc>
          <w:tcPr>
            <w:tcW w:w="991" w:type="dxa"/>
          </w:tcPr>
          <w:p>
            <w:pPr>
              <w:pStyle w:val="TableParagraph"/>
              <w:spacing w:before="120"/>
              <w:ind w:right="56"/>
              <w:jc w:val="right"/>
              <w:rPr>
                <w:sz w:val="20"/>
              </w:rPr>
            </w:pPr>
            <w:r>
              <w:rPr>
                <w:spacing w:val="-2"/>
                <w:sz w:val="20"/>
              </w:rPr>
              <w:t>156482</w:t>
            </w:r>
          </w:p>
        </w:tc>
      </w:tr>
      <w:tr>
        <w:trPr>
          <w:trHeight w:val="1440" w:hRule="atLeast"/>
        </w:trPr>
        <w:tc>
          <w:tcPr>
            <w:tcW w:w="472" w:type="dxa"/>
          </w:tcPr>
          <w:p>
            <w:pPr>
              <w:pStyle w:val="TableParagraph"/>
              <w:spacing w:before="120"/>
              <w:ind w:left="50"/>
              <w:rPr>
                <w:sz w:val="20"/>
              </w:rPr>
            </w:pPr>
            <w:r>
              <w:rPr>
                <w:spacing w:val="-5"/>
                <w:sz w:val="20"/>
              </w:rPr>
              <w:t>41.</w:t>
            </w:r>
          </w:p>
        </w:tc>
        <w:tc>
          <w:tcPr>
            <w:tcW w:w="2982" w:type="dxa"/>
          </w:tcPr>
          <w:p>
            <w:pPr>
              <w:pStyle w:val="TableParagraph"/>
              <w:spacing w:line="249" w:lineRule="auto" w:before="120"/>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before="120"/>
              <w:ind w:left="82" w:right="51"/>
              <w:jc w:val="center"/>
              <w:rPr>
                <w:sz w:val="20"/>
              </w:rPr>
            </w:pPr>
            <w:hyperlink r:id="rId344">
              <w:r>
                <w:rPr>
                  <w:sz w:val="20"/>
                </w:rPr>
                <w:t>I20.0,</w:t>
              </w:r>
              <w:r>
                <w:rPr>
                  <w:spacing w:val="-4"/>
                  <w:sz w:val="20"/>
                </w:rPr>
                <w:t> </w:t>
              </w:r>
            </w:hyperlink>
            <w:hyperlink r:id="rId351">
              <w:r>
                <w:rPr>
                  <w:sz w:val="20"/>
                </w:rPr>
                <w:t>I21.4,</w:t>
              </w:r>
              <w:r>
                <w:rPr>
                  <w:spacing w:val="-5"/>
                  <w:sz w:val="20"/>
                </w:rPr>
                <w:t> </w:t>
              </w:r>
            </w:hyperlink>
            <w:hyperlink r:id="rId349">
              <w:r>
                <w:rPr>
                  <w:sz w:val="20"/>
                </w:rPr>
                <w:t>I21.9,</w:t>
              </w:r>
              <w:r>
                <w:rPr>
                  <w:spacing w:val="-3"/>
                  <w:sz w:val="20"/>
                </w:rPr>
                <w:t> </w:t>
              </w:r>
            </w:hyperlink>
            <w:hyperlink r:id="rId350">
              <w:r>
                <w:rPr>
                  <w:spacing w:val="-5"/>
                  <w:sz w:val="20"/>
                </w:rPr>
                <w:t>I22</w:t>
              </w:r>
            </w:hyperlink>
          </w:p>
        </w:tc>
        <w:tc>
          <w:tcPr>
            <w:tcW w:w="3124" w:type="dxa"/>
          </w:tcPr>
          <w:p>
            <w:pPr>
              <w:pStyle w:val="TableParagraph"/>
              <w:spacing w:line="249" w:lineRule="auto" w:before="120"/>
              <w:ind w:left="55" w:right="32"/>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 (без подъема сегмента ST </w:t>
            </w:r>
            <w:r>
              <w:rPr>
                <w:spacing w:val="-2"/>
                <w:sz w:val="20"/>
              </w:rPr>
              <w:t>электрокардиограммы)</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3 стентов в сосуд (сосуды)</w:t>
            </w:r>
          </w:p>
        </w:tc>
        <w:tc>
          <w:tcPr>
            <w:tcW w:w="991" w:type="dxa"/>
          </w:tcPr>
          <w:p>
            <w:pPr>
              <w:pStyle w:val="TableParagraph"/>
              <w:spacing w:before="120"/>
              <w:ind w:right="56"/>
              <w:jc w:val="right"/>
              <w:rPr>
                <w:sz w:val="20"/>
              </w:rPr>
            </w:pPr>
            <w:r>
              <w:rPr>
                <w:spacing w:val="-2"/>
                <w:sz w:val="20"/>
              </w:rPr>
              <w:t>196645</w:t>
            </w:r>
          </w:p>
        </w:tc>
      </w:tr>
      <w:tr>
        <w:trPr>
          <w:trHeight w:val="1440" w:hRule="atLeast"/>
        </w:trPr>
        <w:tc>
          <w:tcPr>
            <w:tcW w:w="472" w:type="dxa"/>
          </w:tcPr>
          <w:p>
            <w:pPr>
              <w:pStyle w:val="TableParagraph"/>
              <w:spacing w:before="120"/>
              <w:ind w:left="50"/>
              <w:rPr>
                <w:sz w:val="20"/>
              </w:rPr>
            </w:pPr>
            <w:r>
              <w:rPr>
                <w:spacing w:val="-5"/>
                <w:sz w:val="20"/>
              </w:rPr>
              <w:t>42.</w:t>
            </w:r>
          </w:p>
        </w:tc>
        <w:tc>
          <w:tcPr>
            <w:tcW w:w="2982" w:type="dxa"/>
          </w:tcPr>
          <w:p>
            <w:pPr>
              <w:pStyle w:val="TableParagraph"/>
              <w:spacing w:line="249" w:lineRule="auto" w:before="120"/>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before="120"/>
              <w:ind w:left="82" w:right="48"/>
              <w:jc w:val="center"/>
              <w:rPr>
                <w:sz w:val="20"/>
              </w:rPr>
            </w:pPr>
            <w:hyperlink r:id="rId352">
              <w:r>
                <w:rPr>
                  <w:sz w:val="20"/>
                </w:rPr>
                <w:t>I20.1,</w:t>
              </w:r>
              <w:r>
                <w:rPr>
                  <w:spacing w:val="-3"/>
                  <w:sz w:val="20"/>
                </w:rPr>
                <w:t> </w:t>
              </w:r>
            </w:hyperlink>
            <w:hyperlink r:id="rId353">
              <w:r>
                <w:rPr>
                  <w:sz w:val="20"/>
                </w:rPr>
                <w:t>I20.8,</w:t>
              </w:r>
              <w:r>
                <w:rPr>
                  <w:spacing w:val="-6"/>
                  <w:sz w:val="20"/>
                </w:rPr>
                <w:t> </w:t>
              </w:r>
            </w:hyperlink>
            <w:hyperlink r:id="rId354">
              <w:r>
                <w:rPr>
                  <w:spacing w:val="-5"/>
                  <w:sz w:val="20"/>
                </w:rPr>
                <w:t>I25</w:t>
              </w:r>
            </w:hyperlink>
          </w:p>
        </w:tc>
        <w:tc>
          <w:tcPr>
            <w:tcW w:w="3124" w:type="dxa"/>
          </w:tcPr>
          <w:p>
            <w:pPr>
              <w:pStyle w:val="TableParagraph"/>
              <w:spacing w:line="249" w:lineRule="auto" w:before="120"/>
              <w:ind w:left="55" w:right="32"/>
              <w:rPr>
                <w:sz w:val="20"/>
              </w:rPr>
            </w:pPr>
            <w:r>
              <w:rPr>
                <w:sz w:val="20"/>
              </w:rPr>
              <w:t>ишемическая болезнь сердца со стенозированием</w:t>
            </w:r>
            <w:r>
              <w:rPr>
                <w:spacing w:val="-10"/>
                <w:sz w:val="20"/>
              </w:rPr>
              <w:t> </w:t>
            </w:r>
            <w:r>
              <w:rPr>
                <w:sz w:val="20"/>
              </w:rPr>
              <w:t>1</w:t>
            </w:r>
            <w:r>
              <w:rPr>
                <w:spacing w:val="-9"/>
                <w:sz w:val="20"/>
              </w:rPr>
              <w:t> </w:t>
            </w:r>
            <w:r>
              <w:rPr>
                <w:sz w:val="20"/>
              </w:rPr>
              <w:t>-</w:t>
            </w:r>
            <w:r>
              <w:rPr>
                <w:spacing w:val="-13"/>
                <w:sz w:val="20"/>
              </w:rPr>
              <w:t> </w:t>
            </w:r>
            <w:r>
              <w:rPr>
                <w:sz w:val="20"/>
              </w:rPr>
              <w:t>3</w:t>
            </w:r>
            <w:r>
              <w:rPr>
                <w:spacing w:val="-10"/>
                <w:sz w:val="20"/>
              </w:rPr>
              <w:t> </w:t>
            </w:r>
            <w:r>
              <w:rPr>
                <w:sz w:val="20"/>
              </w:rPr>
              <w:t>коронарных </w:t>
            </w:r>
            <w:r>
              <w:rPr>
                <w:spacing w:val="-2"/>
                <w:sz w:val="20"/>
              </w:rPr>
              <w:t>артерий</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1 - 3 стентов в сосуд (сосуды)</w:t>
            </w:r>
          </w:p>
        </w:tc>
        <w:tc>
          <w:tcPr>
            <w:tcW w:w="991" w:type="dxa"/>
          </w:tcPr>
          <w:p>
            <w:pPr>
              <w:pStyle w:val="TableParagraph"/>
              <w:spacing w:before="120"/>
              <w:ind w:right="56"/>
              <w:jc w:val="right"/>
              <w:rPr>
                <w:sz w:val="20"/>
              </w:rPr>
            </w:pPr>
            <w:r>
              <w:rPr>
                <w:spacing w:val="-2"/>
                <w:sz w:val="20"/>
              </w:rPr>
              <w:t>167220</w:t>
            </w:r>
          </w:p>
        </w:tc>
      </w:tr>
      <w:tr>
        <w:trPr>
          <w:trHeight w:val="2510" w:hRule="atLeast"/>
        </w:trPr>
        <w:tc>
          <w:tcPr>
            <w:tcW w:w="472" w:type="dxa"/>
          </w:tcPr>
          <w:p>
            <w:pPr>
              <w:pStyle w:val="TableParagraph"/>
              <w:spacing w:before="120"/>
              <w:ind w:left="50"/>
              <w:rPr>
                <w:sz w:val="20"/>
              </w:rPr>
            </w:pPr>
            <w:r>
              <w:rPr>
                <w:spacing w:val="-5"/>
                <w:sz w:val="20"/>
              </w:rPr>
              <w:t>43.</w:t>
            </w:r>
          </w:p>
        </w:tc>
        <w:tc>
          <w:tcPr>
            <w:tcW w:w="2982" w:type="dxa"/>
          </w:tcPr>
          <w:p>
            <w:pPr>
              <w:pStyle w:val="TableParagraph"/>
              <w:spacing w:line="249" w:lineRule="auto" w:before="120"/>
              <w:ind w:left="168" w:right="72"/>
              <w:rPr>
                <w:sz w:val="20"/>
              </w:rPr>
            </w:pPr>
            <w:r>
              <w:rPr>
                <w:sz w:val="20"/>
              </w:rPr>
              <w:t>Коронарные</w:t>
            </w:r>
            <w:r>
              <w:rPr>
                <w:spacing w:val="-13"/>
                <w:sz w:val="20"/>
              </w:rPr>
              <w:t> </w:t>
            </w:r>
            <w:r>
              <w:rPr>
                <w:sz w:val="20"/>
              </w:rPr>
              <w:t>ангиопластика</w:t>
            </w:r>
            <w:r>
              <w:rPr>
                <w:spacing w:val="-12"/>
                <w:sz w:val="20"/>
              </w:rPr>
              <w:t> </w:t>
            </w:r>
            <w:r>
              <w:rPr>
                <w:sz w:val="20"/>
              </w:rPr>
              <w:t>или стентирование в сочетании с </w:t>
            </w:r>
            <w:r>
              <w:rPr>
                <w:spacing w:val="-2"/>
                <w:sz w:val="20"/>
              </w:rPr>
              <w:t>внутрисосудистой визуализацией </w:t>
            </w:r>
            <w:r>
              <w:rPr>
                <w:sz w:val="20"/>
              </w:rPr>
              <w:t>(внутрисосудистый ультразвук или оптико-когерентная томография) и/или в сочетании с оценкой гемодинамической значимости стеноза по данным</w:t>
            </w:r>
          </w:p>
          <w:p>
            <w:pPr>
              <w:pStyle w:val="TableParagraph"/>
              <w:spacing w:line="210" w:lineRule="exact" w:before="8"/>
              <w:ind w:left="168"/>
              <w:rPr>
                <w:sz w:val="20"/>
              </w:rPr>
            </w:pPr>
            <w:r>
              <w:rPr>
                <w:w w:val="95"/>
                <w:sz w:val="20"/>
              </w:rPr>
              <w:t>физиологической</w:t>
            </w:r>
            <w:r>
              <w:rPr>
                <w:spacing w:val="58"/>
                <w:sz w:val="20"/>
              </w:rPr>
              <w:t> </w:t>
            </w:r>
            <w:r>
              <w:rPr>
                <w:spacing w:val="-2"/>
                <w:sz w:val="20"/>
              </w:rPr>
              <w:t>оценки</w:t>
            </w:r>
          </w:p>
        </w:tc>
        <w:tc>
          <w:tcPr>
            <w:tcW w:w="2016" w:type="dxa"/>
          </w:tcPr>
          <w:p>
            <w:pPr>
              <w:pStyle w:val="TableParagraph"/>
              <w:spacing w:before="120"/>
              <w:ind w:left="80" w:right="52"/>
              <w:jc w:val="center"/>
              <w:rPr>
                <w:sz w:val="20"/>
              </w:rPr>
            </w:pPr>
            <w:r>
              <w:rPr>
                <w:sz w:val="20"/>
              </w:rPr>
              <w:t>I20.0,</w:t>
            </w:r>
            <w:r>
              <w:rPr>
                <w:spacing w:val="-5"/>
                <w:sz w:val="20"/>
              </w:rPr>
              <w:t> </w:t>
            </w:r>
            <w:r>
              <w:rPr>
                <w:sz w:val="20"/>
              </w:rPr>
              <w:t>I20.1,</w:t>
            </w:r>
            <w:r>
              <w:rPr>
                <w:spacing w:val="-7"/>
                <w:sz w:val="20"/>
              </w:rPr>
              <w:t> </w:t>
            </w:r>
            <w:r>
              <w:rPr>
                <w:spacing w:val="-2"/>
                <w:sz w:val="20"/>
              </w:rPr>
              <w:t>I20.8,</w:t>
            </w:r>
          </w:p>
          <w:p>
            <w:pPr>
              <w:pStyle w:val="TableParagraph"/>
              <w:spacing w:before="10"/>
              <w:ind w:left="80" w:right="52"/>
              <w:jc w:val="center"/>
              <w:rPr>
                <w:sz w:val="20"/>
              </w:rPr>
            </w:pPr>
            <w:r>
              <w:rPr>
                <w:sz w:val="20"/>
              </w:rPr>
              <w:t>I20.9,</w:t>
            </w:r>
            <w:r>
              <w:rPr>
                <w:spacing w:val="-5"/>
                <w:sz w:val="20"/>
              </w:rPr>
              <w:t> </w:t>
            </w:r>
            <w:r>
              <w:rPr>
                <w:sz w:val="20"/>
              </w:rPr>
              <w:t>I21.0,</w:t>
            </w:r>
            <w:r>
              <w:rPr>
                <w:spacing w:val="-7"/>
                <w:sz w:val="20"/>
              </w:rPr>
              <w:t> </w:t>
            </w:r>
            <w:r>
              <w:rPr>
                <w:spacing w:val="-2"/>
                <w:sz w:val="20"/>
              </w:rPr>
              <w:t>I21.1,</w:t>
            </w:r>
          </w:p>
          <w:p>
            <w:pPr>
              <w:pStyle w:val="TableParagraph"/>
              <w:spacing w:before="11"/>
              <w:ind w:left="82" w:right="52"/>
              <w:jc w:val="center"/>
              <w:rPr>
                <w:sz w:val="20"/>
              </w:rPr>
            </w:pPr>
            <w:r>
              <w:rPr>
                <w:sz w:val="20"/>
              </w:rPr>
              <w:t>I21.2,</w:t>
            </w:r>
            <w:r>
              <w:rPr>
                <w:spacing w:val="-5"/>
                <w:sz w:val="20"/>
              </w:rPr>
              <w:t> </w:t>
            </w:r>
            <w:r>
              <w:rPr>
                <w:sz w:val="20"/>
              </w:rPr>
              <w:t>I21.3,</w:t>
            </w:r>
            <w:r>
              <w:rPr>
                <w:spacing w:val="-7"/>
                <w:sz w:val="20"/>
              </w:rPr>
              <w:t> </w:t>
            </w:r>
            <w:r>
              <w:rPr>
                <w:sz w:val="20"/>
              </w:rPr>
              <w:t>I21.9,</w:t>
            </w:r>
            <w:r>
              <w:rPr>
                <w:spacing w:val="-4"/>
                <w:sz w:val="20"/>
              </w:rPr>
              <w:t> I22,</w:t>
            </w:r>
          </w:p>
          <w:p>
            <w:pPr>
              <w:pStyle w:val="TableParagraph"/>
              <w:spacing w:before="10"/>
              <w:ind w:left="82" w:right="52"/>
              <w:jc w:val="center"/>
              <w:rPr>
                <w:sz w:val="20"/>
              </w:rPr>
            </w:pPr>
            <w:r>
              <w:rPr>
                <w:sz w:val="20"/>
              </w:rPr>
              <w:t>I25,</w:t>
            </w:r>
            <w:r>
              <w:rPr>
                <w:spacing w:val="-5"/>
                <w:sz w:val="20"/>
              </w:rPr>
              <w:t> </w:t>
            </w:r>
            <w:r>
              <w:rPr>
                <w:sz w:val="20"/>
              </w:rPr>
              <w:t>I25.0,</w:t>
            </w:r>
            <w:r>
              <w:rPr>
                <w:spacing w:val="-4"/>
                <w:sz w:val="20"/>
              </w:rPr>
              <w:t> </w:t>
            </w:r>
            <w:r>
              <w:rPr>
                <w:sz w:val="20"/>
              </w:rPr>
              <w:t>I25.1,</w:t>
            </w:r>
            <w:r>
              <w:rPr>
                <w:spacing w:val="-5"/>
                <w:sz w:val="20"/>
              </w:rPr>
              <w:t> </w:t>
            </w:r>
            <w:r>
              <w:rPr>
                <w:spacing w:val="-2"/>
                <w:sz w:val="20"/>
              </w:rPr>
              <w:t>I25.2,</w:t>
            </w:r>
          </w:p>
          <w:p>
            <w:pPr>
              <w:pStyle w:val="TableParagraph"/>
              <w:spacing w:line="249" w:lineRule="auto" w:before="10"/>
              <w:ind w:left="82" w:right="51"/>
              <w:jc w:val="center"/>
              <w:rPr>
                <w:sz w:val="20"/>
              </w:rPr>
            </w:pPr>
            <w:r>
              <w:rPr>
                <w:sz w:val="20"/>
              </w:rPr>
              <w:t>I25.3,</w:t>
            </w:r>
            <w:r>
              <w:rPr>
                <w:spacing w:val="-13"/>
                <w:sz w:val="20"/>
              </w:rPr>
              <w:t> </w:t>
            </w:r>
            <w:r>
              <w:rPr>
                <w:sz w:val="20"/>
              </w:rPr>
              <w:t>I25.4,</w:t>
            </w:r>
            <w:r>
              <w:rPr>
                <w:spacing w:val="-12"/>
                <w:sz w:val="20"/>
              </w:rPr>
              <w:t> </w:t>
            </w:r>
            <w:r>
              <w:rPr>
                <w:sz w:val="20"/>
              </w:rPr>
              <w:t>I25.5, I25.6,</w:t>
            </w:r>
            <w:r>
              <w:rPr>
                <w:spacing w:val="-5"/>
                <w:sz w:val="20"/>
              </w:rPr>
              <w:t> </w:t>
            </w:r>
            <w:r>
              <w:rPr>
                <w:sz w:val="20"/>
              </w:rPr>
              <w:t>I25.8,</w:t>
            </w:r>
            <w:r>
              <w:rPr>
                <w:spacing w:val="-7"/>
                <w:sz w:val="20"/>
              </w:rPr>
              <w:t> </w:t>
            </w:r>
            <w:r>
              <w:rPr>
                <w:spacing w:val="-2"/>
                <w:sz w:val="20"/>
              </w:rPr>
              <w:t>I25.9</w:t>
            </w:r>
          </w:p>
        </w:tc>
        <w:tc>
          <w:tcPr>
            <w:tcW w:w="3124" w:type="dxa"/>
          </w:tcPr>
          <w:p>
            <w:pPr>
              <w:pStyle w:val="TableParagraph"/>
              <w:spacing w:before="120"/>
              <w:ind w:left="55"/>
              <w:rPr>
                <w:sz w:val="20"/>
              </w:rPr>
            </w:pPr>
            <w:r>
              <w:rPr>
                <w:sz w:val="20"/>
              </w:rPr>
              <w:t>стабильная</w:t>
            </w:r>
            <w:r>
              <w:rPr>
                <w:spacing w:val="-12"/>
                <w:sz w:val="20"/>
              </w:rPr>
              <w:t> </w:t>
            </w:r>
            <w:r>
              <w:rPr>
                <w:spacing w:val="-2"/>
                <w:sz w:val="20"/>
              </w:rPr>
              <w:t>стенокардия</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w:t>
            </w:r>
            <w:r>
              <w:rPr>
                <w:spacing w:val="-13"/>
                <w:sz w:val="20"/>
              </w:rPr>
              <w:t> </w:t>
            </w:r>
            <w:r>
              <w:rPr>
                <w:sz w:val="20"/>
              </w:rPr>
              <w:t>оценки</w:t>
            </w:r>
            <w:r>
              <w:rPr>
                <w:spacing w:val="-12"/>
                <w:sz w:val="20"/>
              </w:rPr>
              <w:t> </w:t>
            </w:r>
            <w:r>
              <w:rPr>
                <w:sz w:val="20"/>
              </w:rPr>
              <w:t>коронарного кровотока (ФРК или МРК) при</w:t>
            </w:r>
          </w:p>
          <w:p>
            <w:pPr>
              <w:pStyle w:val="TableParagraph"/>
              <w:spacing w:line="210" w:lineRule="exact" w:before="8"/>
              <w:ind w:left="215"/>
              <w:rPr>
                <w:sz w:val="20"/>
              </w:rPr>
            </w:pPr>
            <w:r>
              <w:rPr>
                <w:sz w:val="20"/>
              </w:rPr>
              <w:t>ишемической</w:t>
            </w:r>
            <w:r>
              <w:rPr>
                <w:spacing w:val="-11"/>
                <w:sz w:val="20"/>
              </w:rPr>
              <w:t> </w:t>
            </w:r>
            <w:r>
              <w:rPr>
                <w:sz w:val="20"/>
              </w:rPr>
              <w:t>болезни</w:t>
            </w:r>
            <w:r>
              <w:rPr>
                <w:spacing w:val="-11"/>
                <w:sz w:val="20"/>
              </w:rPr>
              <w:t> </w:t>
            </w:r>
            <w:r>
              <w:rPr>
                <w:spacing w:val="-2"/>
                <w:sz w:val="20"/>
              </w:rPr>
              <w:t>сердца</w:t>
            </w:r>
          </w:p>
        </w:tc>
        <w:tc>
          <w:tcPr>
            <w:tcW w:w="991" w:type="dxa"/>
          </w:tcPr>
          <w:p>
            <w:pPr>
              <w:pStyle w:val="TableParagraph"/>
              <w:spacing w:before="120"/>
              <w:ind w:right="56"/>
              <w:jc w:val="right"/>
              <w:rPr>
                <w:sz w:val="20"/>
              </w:rPr>
            </w:pPr>
            <w:r>
              <w:rPr>
                <w:spacing w:val="-2"/>
                <w:sz w:val="20"/>
              </w:rPr>
              <w:t>330593</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868"/>
        <w:gridCol w:w="2131"/>
        <w:gridCol w:w="3107"/>
        <w:gridCol w:w="1583"/>
        <w:gridCol w:w="3630"/>
        <w:gridCol w:w="1254"/>
      </w:tblGrid>
      <w:tr>
        <w:trPr>
          <w:trHeight w:val="1310" w:hRule="atLeast"/>
        </w:trPr>
        <w:tc>
          <w:tcPr>
            <w:tcW w:w="15045" w:type="dxa"/>
            <w:gridSpan w:val="7"/>
          </w:tcPr>
          <w:p>
            <w:pPr>
              <w:pStyle w:val="TableParagraph"/>
              <w:spacing w:line="249" w:lineRule="auto"/>
              <w:ind w:left="640" w:right="11368"/>
              <w:rPr>
                <w:sz w:val="20"/>
              </w:rPr>
            </w:pPr>
            <w:r>
              <w:rPr>
                <w:sz w:val="20"/>
              </w:rPr>
              <w:t>коронарного кровотока (фракционный</w:t>
            </w:r>
            <w:r>
              <w:rPr>
                <w:spacing w:val="-13"/>
                <w:sz w:val="20"/>
              </w:rPr>
              <w:t> </w:t>
            </w:r>
            <w:r>
              <w:rPr>
                <w:sz w:val="20"/>
              </w:rPr>
              <w:t>резерв</w:t>
            </w:r>
            <w:r>
              <w:rPr>
                <w:spacing w:val="-12"/>
                <w:sz w:val="20"/>
              </w:rPr>
              <w:t> </w:t>
            </w:r>
            <w:r>
              <w:rPr>
                <w:sz w:val="20"/>
              </w:rPr>
              <w:t>кровотока или моментальный резерв кровотока) при ишемической болезни сердца</w:t>
            </w:r>
          </w:p>
        </w:tc>
      </w:tr>
      <w:tr>
        <w:trPr>
          <w:trHeight w:val="360" w:hRule="atLeast"/>
        </w:trPr>
        <w:tc>
          <w:tcPr>
            <w:tcW w:w="472" w:type="dxa"/>
          </w:tcPr>
          <w:p>
            <w:pPr>
              <w:pStyle w:val="TableParagraph"/>
              <w:spacing w:line="220" w:lineRule="exact" w:before="120"/>
              <w:ind w:left="50"/>
              <w:rPr>
                <w:sz w:val="20"/>
              </w:rPr>
            </w:pPr>
            <w:r>
              <w:rPr>
                <w:spacing w:val="-5"/>
                <w:sz w:val="20"/>
              </w:rPr>
              <w:t>44.</w:t>
            </w:r>
          </w:p>
        </w:tc>
        <w:tc>
          <w:tcPr>
            <w:tcW w:w="2868" w:type="dxa"/>
          </w:tcPr>
          <w:p>
            <w:pPr>
              <w:pStyle w:val="TableParagraph"/>
              <w:spacing w:line="220" w:lineRule="exact" w:before="120"/>
              <w:ind w:left="168"/>
              <w:rPr>
                <w:sz w:val="20"/>
              </w:rPr>
            </w:pPr>
            <w:r>
              <w:rPr>
                <w:spacing w:val="-2"/>
                <w:sz w:val="20"/>
              </w:rPr>
              <w:t>Эндоваскулярная,</w:t>
            </w:r>
          </w:p>
        </w:tc>
        <w:tc>
          <w:tcPr>
            <w:tcW w:w="2131" w:type="dxa"/>
          </w:tcPr>
          <w:p>
            <w:pPr>
              <w:pStyle w:val="TableParagraph"/>
              <w:spacing w:line="220" w:lineRule="exact" w:before="120"/>
              <w:ind w:left="194" w:right="49"/>
              <w:jc w:val="center"/>
              <w:rPr>
                <w:sz w:val="20"/>
              </w:rPr>
            </w:pPr>
            <w:hyperlink r:id="rId355">
              <w:r>
                <w:rPr>
                  <w:sz w:val="20"/>
                </w:rPr>
                <w:t>I44.1,</w:t>
              </w:r>
              <w:r>
                <w:rPr>
                  <w:spacing w:val="-3"/>
                  <w:sz w:val="20"/>
                </w:rPr>
                <w:t> </w:t>
              </w:r>
            </w:hyperlink>
            <w:hyperlink r:id="rId310">
              <w:r>
                <w:rPr>
                  <w:sz w:val="20"/>
                </w:rPr>
                <w:t>I44.2,</w:t>
              </w:r>
              <w:r>
                <w:rPr>
                  <w:spacing w:val="-6"/>
                  <w:sz w:val="20"/>
                </w:rPr>
                <w:t> </w:t>
              </w:r>
            </w:hyperlink>
            <w:hyperlink r:id="rId356">
              <w:r>
                <w:rPr>
                  <w:spacing w:val="-2"/>
                  <w:sz w:val="20"/>
                </w:rPr>
                <w:t>I45.2,</w:t>
              </w:r>
            </w:hyperlink>
          </w:p>
        </w:tc>
        <w:tc>
          <w:tcPr>
            <w:tcW w:w="3107" w:type="dxa"/>
          </w:tcPr>
          <w:p>
            <w:pPr>
              <w:pStyle w:val="TableParagraph"/>
              <w:spacing w:line="220" w:lineRule="exact" w:before="120"/>
              <w:ind w:left="54"/>
              <w:rPr>
                <w:sz w:val="20"/>
              </w:rPr>
            </w:pPr>
            <w:r>
              <w:rPr>
                <w:w w:val="95"/>
                <w:sz w:val="20"/>
              </w:rPr>
              <w:t>пароксизмальные</w:t>
            </w:r>
            <w:r>
              <w:rPr>
                <w:spacing w:val="58"/>
                <w:sz w:val="20"/>
              </w:rPr>
              <w:t> </w:t>
            </w:r>
            <w:r>
              <w:rPr>
                <w:spacing w:val="-2"/>
                <w:sz w:val="20"/>
              </w:rPr>
              <w:t>нарушения</w:t>
            </w:r>
          </w:p>
        </w:tc>
        <w:tc>
          <w:tcPr>
            <w:tcW w:w="1583" w:type="dxa"/>
          </w:tcPr>
          <w:p>
            <w:pPr>
              <w:pStyle w:val="TableParagraph"/>
              <w:spacing w:line="220" w:lineRule="exact" w:before="120"/>
              <w:ind w:left="103"/>
              <w:rPr>
                <w:sz w:val="20"/>
              </w:rPr>
            </w:pPr>
            <w:r>
              <w:rPr>
                <w:spacing w:val="-2"/>
                <w:sz w:val="20"/>
              </w:rPr>
              <w:t>хирургическое</w:t>
            </w:r>
          </w:p>
        </w:tc>
        <w:tc>
          <w:tcPr>
            <w:tcW w:w="3630" w:type="dxa"/>
          </w:tcPr>
          <w:p>
            <w:pPr>
              <w:pStyle w:val="TableParagraph"/>
              <w:spacing w:line="220" w:lineRule="exact" w:before="120"/>
              <w:ind w:left="218"/>
              <w:rPr>
                <w:sz w:val="20"/>
              </w:rPr>
            </w:pPr>
            <w:r>
              <w:rPr>
                <w:spacing w:val="-2"/>
                <w:sz w:val="20"/>
              </w:rPr>
              <w:t>имплантация</w:t>
            </w:r>
            <w:r>
              <w:rPr>
                <w:spacing w:val="7"/>
                <w:sz w:val="20"/>
              </w:rPr>
              <w:t> </w:t>
            </w:r>
            <w:r>
              <w:rPr>
                <w:spacing w:val="-2"/>
                <w:sz w:val="20"/>
              </w:rPr>
              <w:t>частотно-</w:t>
            </w:r>
          </w:p>
        </w:tc>
        <w:tc>
          <w:tcPr>
            <w:tcW w:w="1254" w:type="dxa"/>
          </w:tcPr>
          <w:p>
            <w:pPr>
              <w:pStyle w:val="TableParagraph"/>
              <w:spacing w:line="220" w:lineRule="exact" w:before="120"/>
              <w:ind w:right="52"/>
              <w:jc w:val="right"/>
              <w:rPr>
                <w:sz w:val="20"/>
              </w:rPr>
            </w:pPr>
            <w:r>
              <w:rPr>
                <w:spacing w:val="-2"/>
                <w:sz w:val="20"/>
              </w:rPr>
              <w:t>152912</w:t>
            </w: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w w:val="95"/>
                <w:sz w:val="20"/>
              </w:rPr>
              <w:t>хирургическая</w:t>
            </w:r>
            <w:r>
              <w:rPr>
                <w:spacing w:val="46"/>
                <w:sz w:val="20"/>
              </w:rPr>
              <w:t> </w:t>
            </w:r>
            <w:r>
              <w:rPr>
                <w:spacing w:val="-2"/>
                <w:w w:val="95"/>
                <w:sz w:val="20"/>
              </w:rPr>
              <w:t>коррекция</w:t>
            </w:r>
          </w:p>
        </w:tc>
        <w:tc>
          <w:tcPr>
            <w:tcW w:w="2131" w:type="dxa"/>
          </w:tcPr>
          <w:p>
            <w:pPr>
              <w:pStyle w:val="TableParagraph"/>
              <w:spacing w:line="220" w:lineRule="exact"/>
              <w:ind w:left="194" w:right="49"/>
              <w:jc w:val="center"/>
              <w:rPr>
                <w:sz w:val="20"/>
              </w:rPr>
            </w:pPr>
            <w:hyperlink r:id="rId357">
              <w:r>
                <w:rPr>
                  <w:sz w:val="20"/>
                </w:rPr>
                <w:t>I45.3,</w:t>
              </w:r>
              <w:r>
                <w:rPr>
                  <w:spacing w:val="-3"/>
                  <w:sz w:val="20"/>
                </w:rPr>
                <w:t> </w:t>
              </w:r>
            </w:hyperlink>
            <w:hyperlink r:id="rId311">
              <w:r>
                <w:rPr>
                  <w:sz w:val="20"/>
                </w:rPr>
                <w:t>I45.6,</w:t>
              </w:r>
              <w:r>
                <w:rPr>
                  <w:spacing w:val="-6"/>
                  <w:sz w:val="20"/>
                </w:rPr>
                <w:t> </w:t>
              </w:r>
            </w:hyperlink>
            <w:hyperlink r:id="rId358">
              <w:r>
                <w:rPr>
                  <w:spacing w:val="-2"/>
                  <w:sz w:val="20"/>
                </w:rPr>
                <w:t>I46.0,</w:t>
              </w:r>
            </w:hyperlink>
          </w:p>
        </w:tc>
        <w:tc>
          <w:tcPr>
            <w:tcW w:w="3107" w:type="dxa"/>
          </w:tcPr>
          <w:p>
            <w:pPr>
              <w:pStyle w:val="TableParagraph"/>
              <w:spacing w:line="220" w:lineRule="exact"/>
              <w:ind w:left="54"/>
              <w:rPr>
                <w:sz w:val="20"/>
              </w:rPr>
            </w:pPr>
            <w:r>
              <w:rPr>
                <w:sz w:val="20"/>
              </w:rPr>
              <w:t>ритма</w:t>
            </w:r>
            <w:r>
              <w:rPr>
                <w:spacing w:val="-7"/>
                <w:sz w:val="20"/>
              </w:rPr>
              <w:t> </w:t>
            </w:r>
            <w:r>
              <w:rPr>
                <w:sz w:val="20"/>
              </w:rPr>
              <w:t>и</w:t>
            </w:r>
            <w:r>
              <w:rPr>
                <w:spacing w:val="-7"/>
                <w:sz w:val="20"/>
              </w:rPr>
              <w:t> </w:t>
            </w:r>
            <w:r>
              <w:rPr>
                <w:sz w:val="20"/>
              </w:rPr>
              <w:t>проводимости</w:t>
            </w:r>
            <w:r>
              <w:rPr>
                <w:spacing w:val="-8"/>
                <w:sz w:val="20"/>
              </w:rPr>
              <w:t> </w:t>
            </w:r>
            <w:r>
              <w:rPr>
                <w:spacing w:val="-2"/>
                <w:sz w:val="20"/>
              </w:rPr>
              <w:t>различного</w:t>
            </w:r>
          </w:p>
        </w:tc>
        <w:tc>
          <w:tcPr>
            <w:tcW w:w="1583" w:type="dxa"/>
          </w:tcPr>
          <w:p>
            <w:pPr>
              <w:pStyle w:val="TableParagraph"/>
              <w:spacing w:line="220" w:lineRule="exact"/>
              <w:ind w:left="103"/>
              <w:rPr>
                <w:sz w:val="20"/>
              </w:rPr>
            </w:pPr>
            <w:r>
              <w:rPr>
                <w:spacing w:val="-2"/>
                <w:sz w:val="20"/>
              </w:rPr>
              <w:t>лечение</w:t>
            </w:r>
          </w:p>
        </w:tc>
        <w:tc>
          <w:tcPr>
            <w:tcW w:w="3630" w:type="dxa"/>
          </w:tcPr>
          <w:p>
            <w:pPr>
              <w:pStyle w:val="TableParagraph"/>
              <w:spacing w:line="220" w:lineRule="exact"/>
              <w:ind w:left="218"/>
              <w:rPr>
                <w:sz w:val="20"/>
              </w:rPr>
            </w:pPr>
            <w:r>
              <w:rPr>
                <w:w w:val="95"/>
                <w:sz w:val="20"/>
              </w:rPr>
              <w:t>адаптированного</w:t>
            </w:r>
            <w:r>
              <w:rPr>
                <w:spacing w:val="56"/>
                <w:sz w:val="20"/>
              </w:rPr>
              <w:t> </w:t>
            </w:r>
            <w:r>
              <w:rPr>
                <w:spacing w:val="-2"/>
                <w:sz w:val="20"/>
              </w:rPr>
              <w:t>однокамерного</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нарушений</w:t>
            </w:r>
            <w:r>
              <w:rPr>
                <w:spacing w:val="-9"/>
                <w:sz w:val="20"/>
              </w:rPr>
              <w:t> </w:t>
            </w:r>
            <w:r>
              <w:rPr>
                <w:sz w:val="20"/>
              </w:rPr>
              <w:t>ритма</w:t>
            </w:r>
            <w:r>
              <w:rPr>
                <w:spacing w:val="-8"/>
                <w:sz w:val="20"/>
              </w:rPr>
              <w:t> </w:t>
            </w:r>
            <w:r>
              <w:rPr>
                <w:sz w:val="20"/>
              </w:rPr>
              <w:t>сердца</w:t>
            </w:r>
            <w:r>
              <w:rPr>
                <w:spacing w:val="-8"/>
                <w:sz w:val="20"/>
              </w:rPr>
              <w:t> </w:t>
            </w:r>
            <w:r>
              <w:rPr>
                <w:spacing w:val="-5"/>
                <w:sz w:val="20"/>
              </w:rPr>
              <w:t>без</w:t>
            </w:r>
          </w:p>
        </w:tc>
        <w:tc>
          <w:tcPr>
            <w:tcW w:w="2131" w:type="dxa"/>
          </w:tcPr>
          <w:p>
            <w:pPr>
              <w:pStyle w:val="TableParagraph"/>
              <w:spacing w:line="220" w:lineRule="exact"/>
              <w:ind w:left="194"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tc>
        <w:tc>
          <w:tcPr>
            <w:tcW w:w="3107" w:type="dxa"/>
          </w:tcPr>
          <w:p>
            <w:pPr>
              <w:pStyle w:val="TableParagraph"/>
              <w:spacing w:line="220" w:lineRule="exact"/>
              <w:ind w:left="54"/>
              <w:rPr>
                <w:sz w:val="20"/>
              </w:rPr>
            </w:pPr>
            <w:r>
              <w:rPr>
                <w:sz w:val="20"/>
              </w:rPr>
              <w:t>генеза,</w:t>
            </w:r>
            <w:r>
              <w:rPr>
                <w:spacing w:val="-8"/>
                <w:sz w:val="20"/>
              </w:rPr>
              <w:t> </w:t>
            </w:r>
            <w:r>
              <w:rPr>
                <w:spacing w:val="-2"/>
                <w:sz w:val="20"/>
              </w:rPr>
              <w:t>сопровождающиеся</w:t>
            </w:r>
          </w:p>
        </w:tc>
        <w:tc>
          <w:tcPr>
            <w:tcW w:w="1583" w:type="dxa"/>
          </w:tcPr>
          <w:p>
            <w:pPr>
              <w:pStyle w:val="TableParagraph"/>
              <w:rPr>
                <w:sz w:val="16"/>
              </w:rPr>
            </w:pPr>
          </w:p>
        </w:tc>
        <w:tc>
          <w:tcPr>
            <w:tcW w:w="3630" w:type="dxa"/>
          </w:tcPr>
          <w:p>
            <w:pPr>
              <w:pStyle w:val="TableParagraph"/>
              <w:spacing w:line="220" w:lineRule="exact"/>
              <w:ind w:left="218"/>
              <w:rPr>
                <w:sz w:val="20"/>
              </w:rPr>
            </w:pPr>
            <w:r>
              <w:rPr>
                <w:spacing w:val="-2"/>
                <w:sz w:val="20"/>
              </w:rPr>
              <w:t>кардиостимулятора</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имплантации</w:t>
            </w:r>
            <w:r>
              <w:rPr>
                <w:spacing w:val="-13"/>
                <w:sz w:val="20"/>
              </w:rPr>
              <w:t> </w:t>
            </w:r>
            <w:r>
              <w:rPr>
                <w:spacing w:val="-2"/>
                <w:sz w:val="20"/>
              </w:rPr>
              <w:t>кардиовертера-</w:t>
            </w:r>
          </w:p>
        </w:tc>
        <w:tc>
          <w:tcPr>
            <w:tcW w:w="2131" w:type="dxa"/>
          </w:tcPr>
          <w:p>
            <w:pPr>
              <w:pStyle w:val="TableParagraph"/>
              <w:spacing w:line="220" w:lineRule="exact"/>
              <w:ind w:left="197"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20">
              <w:r>
                <w:rPr>
                  <w:spacing w:val="-2"/>
                  <w:sz w:val="20"/>
                </w:rPr>
                <w:t>I49.5,</w:t>
              </w:r>
            </w:hyperlink>
          </w:p>
        </w:tc>
        <w:tc>
          <w:tcPr>
            <w:tcW w:w="3107" w:type="dxa"/>
          </w:tcPr>
          <w:p>
            <w:pPr>
              <w:pStyle w:val="TableParagraph"/>
              <w:spacing w:line="220" w:lineRule="exact"/>
              <w:ind w:left="54"/>
              <w:rPr>
                <w:sz w:val="20"/>
              </w:rPr>
            </w:pPr>
            <w:r>
              <w:rPr>
                <w:sz w:val="20"/>
              </w:rPr>
              <w:t>сердечной</w:t>
            </w:r>
            <w:r>
              <w:rPr>
                <w:spacing w:val="-9"/>
                <w:sz w:val="20"/>
              </w:rPr>
              <w:t> </w:t>
            </w:r>
            <w:r>
              <w:rPr>
                <w:spacing w:val="-2"/>
                <w:sz w:val="20"/>
              </w:rPr>
              <w:t>недостаточностью,</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дефибриллятора</w:t>
            </w:r>
            <w:r>
              <w:rPr>
                <w:spacing w:val="-8"/>
                <w:sz w:val="20"/>
              </w:rPr>
              <w:t> </w:t>
            </w:r>
            <w:r>
              <w:rPr>
                <w:sz w:val="20"/>
              </w:rPr>
              <w:t>у</w:t>
            </w:r>
            <w:r>
              <w:rPr>
                <w:spacing w:val="-8"/>
                <w:sz w:val="20"/>
              </w:rPr>
              <w:t> </w:t>
            </w:r>
            <w:r>
              <w:rPr>
                <w:spacing w:val="-2"/>
                <w:sz w:val="20"/>
              </w:rPr>
              <w:t>взрослых</w:t>
            </w:r>
          </w:p>
        </w:tc>
        <w:tc>
          <w:tcPr>
            <w:tcW w:w="2131" w:type="dxa"/>
          </w:tcPr>
          <w:p>
            <w:pPr>
              <w:pStyle w:val="TableParagraph"/>
              <w:spacing w:line="220" w:lineRule="exact"/>
              <w:ind w:left="196" w:right="49"/>
              <w:jc w:val="center"/>
              <w:rPr>
                <w:sz w:val="20"/>
              </w:rPr>
            </w:pPr>
            <w:hyperlink r:id="rId359">
              <w:r>
                <w:rPr>
                  <w:sz w:val="20"/>
                </w:rPr>
                <w:t>Q22.5,</w:t>
              </w:r>
              <w:r>
                <w:rPr>
                  <w:spacing w:val="-2"/>
                  <w:sz w:val="20"/>
                </w:rPr>
                <w:t> </w:t>
              </w:r>
            </w:hyperlink>
            <w:hyperlink r:id="rId360">
              <w:r>
                <w:rPr>
                  <w:spacing w:val="-2"/>
                  <w:sz w:val="20"/>
                </w:rPr>
                <w:t>Q24.6</w:t>
              </w:r>
            </w:hyperlink>
          </w:p>
        </w:tc>
        <w:tc>
          <w:tcPr>
            <w:tcW w:w="3107" w:type="dxa"/>
          </w:tcPr>
          <w:p>
            <w:pPr>
              <w:pStyle w:val="TableParagraph"/>
              <w:spacing w:line="220" w:lineRule="exact"/>
              <w:ind w:left="54"/>
              <w:rPr>
                <w:sz w:val="20"/>
              </w:rPr>
            </w:pPr>
            <w:r>
              <w:rPr>
                <w:spacing w:val="-2"/>
                <w:sz w:val="20"/>
              </w:rPr>
              <w:t>гемодинамическими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расстройствами</w:t>
            </w:r>
            <w:r>
              <w:rPr>
                <w:spacing w:val="-7"/>
                <w:sz w:val="20"/>
              </w:rPr>
              <w:t> </w:t>
            </w:r>
            <w:r>
              <w:rPr>
                <w:sz w:val="20"/>
              </w:rPr>
              <w:t>и</w:t>
            </w:r>
            <w:r>
              <w:rPr>
                <w:spacing w:val="-8"/>
                <w:sz w:val="20"/>
              </w:rPr>
              <w:t> </w:t>
            </w:r>
            <w:r>
              <w:rPr>
                <w:spacing w:val="-2"/>
                <w:sz w:val="20"/>
              </w:rPr>
              <w:t>отсутствием</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эффекта</w:t>
            </w:r>
            <w:r>
              <w:rPr>
                <w:spacing w:val="-6"/>
                <w:sz w:val="20"/>
              </w:rPr>
              <w:t> </w:t>
            </w:r>
            <w:r>
              <w:rPr>
                <w:sz w:val="20"/>
              </w:rPr>
              <w:t>от</w:t>
            </w:r>
            <w:r>
              <w:rPr>
                <w:spacing w:val="-5"/>
                <w:sz w:val="20"/>
              </w:rPr>
              <w:t> </w:t>
            </w:r>
            <w:r>
              <w:rPr>
                <w:spacing w:val="-2"/>
                <w:sz w:val="20"/>
              </w:rPr>
              <w:t>медикаментозной</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360" w:hRule="atLeast"/>
        </w:trPr>
        <w:tc>
          <w:tcPr>
            <w:tcW w:w="472" w:type="dxa"/>
          </w:tcPr>
          <w:p>
            <w:pPr>
              <w:pStyle w:val="TableParagraph"/>
              <w:rPr>
                <w:sz w:val="18"/>
              </w:rPr>
            </w:pPr>
          </w:p>
        </w:tc>
        <w:tc>
          <w:tcPr>
            <w:tcW w:w="2868" w:type="dxa"/>
          </w:tcPr>
          <w:p>
            <w:pPr>
              <w:pStyle w:val="TableParagraph"/>
              <w:rPr>
                <w:sz w:val="18"/>
              </w:rPr>
            </w:pPr>
          </w:p>
        </w:tc>
        <w:tc>
          <w:tcPr>
            <w:tcW w:w="2131" w:type="dxa"/>
          </w:tcPr>
          <w:p>
            <w:pPr>
              <w:pStyle w:val="TableParagraph"/>
              <w:rPr>
                <w:sz w:val="18"/>
              </w:rPr>
            </w:pPr>
          </w:p>
        </w:tc>
        <w:tc>
          <w:tcPr>
            <w:tcW w:w="3107" w:type="dxa"/>
          </w:tcPr>
          <w:p>
            <w:pPr>
              <w:pStyle w:val="TableParagraph"/>
              <w:ind w:left="54"/>
              <w:rPr>
                <w:sz w:val="20"/>
              </w:rPr>
            </w:pPr>
            <w:r>
              <w:rPr>
                <w:spacing w:val="-2"/>
                <w:sz w:val="20"/>
              </w:rPr>
              <w:t>терапии</w:t>
            </w:r>
          </w:p>
        </w:tc>
        <w:tc>
          <w:tcPr>
            <w:tcW w:w="1583" w:type="dxa"/>
          </w:tcPr>
          <w:p>
            <w:pPr>
              <w:pStyle w:val="TableParagraph"/>
              <w:rPr>
                <w:sz w:val="18"/>
              </w:rPr>
            </w:pPr>
          </w:p>
        </w:tc>
        <w:tc>
          <w:tcPr>
            <w:tcW w:w="3630" w:type="dxa"/>
          </w:tcPr>
          <w:p>
            <w:pPr>
              <w:pStyle w:val="TableParagraph"/>
              <w:rPr>
                <w:sz w:val="18"/>
              </w:rPr>
            </w:pPr>
          </w:p>
        </w:tc>
        <w:tc>
          <w:tcPr>
            <w:tcW w:w="1254"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45.</w:t>
            </w:r>
          </w:p>
        </w:tc>
        <w:tc>
          <w:tcPr>
            <w:tcW w:w="2868" w:type="dxa"/>
          </w:tcPr>
          <w:p>
            <w:pPr>
              <w:pStyle w:val="TableParagraph"/>
              <w:spacing w:line="220" w:lineRule="exact" w:before="120"/>
              <w:ind w:left="168"/>
              <w:rPr>
                <w:sz w:val="20"/>
              </w:rPr>
            </w:pPr>
            <w:r>
              <w:rPr>
                <w:spacing w:val="-2"/>
                <w:sz w:val="20"/>
              </w:rPr>
              <w:t>Эндоваскулярная,</w:t>
            </w:r>
          </w:p>
        </w:tc>
        <w:tc>
          <w:tcPr>
            <w:tcW w:w="2131" w:type="dxa"/>
          </w:tcPr>
          <w:p>
            <w:pPr>
              <w:pStyle w:val="TableParagraph"/>
              <w:spacing w:line="220" w:lineRule="exact" w:before="120"/>
              <w:ind w:left="194" w:right="49"/>
              <w:jc w:val="center"/>
              <w:rPr>
                <w:sz w:val="20"/>
              </w:rPr>
            </w:pPr>
            <w:hyperlink r:id="rId355">
              <w:r>
                <w:rPr>
                  <w:sz w:val="20"/>
                </w:rPr>
                <w:t>I44.1,</w:t>
              </w:r>
              <w:r>
                <w:rPr>
                  <w:spacing w:val="-3"/>
                  <w:sz w:val="20"/>
                </w:rPr>
                <w:t> </w:t>
              </w:r>
            </w:hyperlink>
            <w:hyperlink r:id="rId310">
              <w:r>
                <w:rPr>
                  <w:sz w:val="20"/>
                </w:rPr>
                <w:t>I44.2,</w:t>
              </w:r>
              <w:r>
                <w:rPr>
                  <w:spacing w:val="-6"/>
                  <w:sz w:val="20"/>
                </w:rPr>
                <w:t> </w:t>
              </w:r>
            </w:hyperlink>
            <w:hyperlink r:id="rId356">
              <w:r>
                <w:rPr>
                  <w:spacing w:val="-2"/>
                  <w:sz w:val="20"/>
                </w:rPr>
                <w:t>I45.2,</w:t>
              </w:r>
            </w:hyperlink>
          </w:p>
        </w:tc>
        <w:tc>
          <w:tcPr>
            <w:tcW w:w="3107" w:type="dxa"/>
          </w:tcPr>
          <w:p>
            <w:pPr>
              <w:pStyle w:val="TableParagraph"/>
              <w:spacing w:line="220" w:lineRule="exact" w:before="120"/>
              <w:ind w:left="54"/>
              <w:rPr>
                <w:sz w:val="20"/>
              </w:rPr>
            </w:pPr>
            <w:r>
              <w:rPr>
                <w:w w:val="95"/>
                <w:sz w:val="20"/>
              </w:rPr>
              <w:t>пароксизмальные</w:t>
            </w:r>
            <w:r>
              <w:rPr>
                <w:spacing w:val="58"/>
                <w:sz w:val="20"/>
              </w:rPr>
              <w:t> </w:t>
            </w:r>
            <w:r>
              <w:rPr>
                <w:spacing w:val="-2"/>
                <w:sz w:val="20"/>
              </w:rPr>
              <w:t>нарушения</w:t>
            </w:r>
          </w:p>
        </w:tc>
        <w:tc>
          <w:tcPr>
            <w:tcW w:w="1583" w:type="dxa"/>
          </w:tcPr>
          <w:p>
            <w:pPr>
              <w:pStyle w:val="TableParagraph"/>
              <w:spacing w:line="220" w:lineRule="exact" w:before="120"/>
              <w:ind w:left="103"/>
              <w:rPr>
                <w:sz w:val="20"/>
              </w:rPr>
            </w:pPr>
            <w:r>
              <w:rPr>
                <w:spacing w:val="-2"/>
                <w:sz w:val="20"/>
              </w:rPr>
              <w:t>хирургическое</w:t>
            </w:r>
          </w:p>
        </w:tc>
        <w:tc>
          <w:tcPr>
            <w:tcW w:w="3630" w:type="dxa"/>
          </w:tcPr>
          <w:p>
            <w:pPr>
              <w:pStyle w:val="TableParagraph"/>
              <w:spacing w:line="220" w:lineRule="exact" w:before="120"/>
              <w:ind w:left="218"/>
              <w:rPr>
                <w:sz w:val="20"/>
              </w:rPr>
            </w:pPr>
            <w:r>
              <w:rPr>
                <w:spacing w:val="-2"/>
                <w:sz w:val="20"/>
              </w:rPr>
              <w:t>имплантация</w:t>
            </w:r>
            <w:r>
              <w:rPr>
                <w:spacing w:val="7"/>
                <w:sz w:val="20"/>
              </w:rPr>
              <w:t> </w:t>
            </w:r>
            <w:r>
              <w:rPr>
                <w:spacing w:val="-2"/>
                <w:sz w:val="20"/>
              </w:rPr>
              <w:t>частотно-</w:t>
            </w:r>
          </w:p>
        </w:tc>
        <w:tc>
          <w:tcPr>
            <w:tcW w:w="1254" w:type="dxa"/>
          </w:tcPr>
          <w:p>
            <w:pPr>
              <w:pStyle w:val="TableParagraph"/>
              <w:spacing w:line="220" w:lineRule="exact" w:before="120"/>
              <w:ind w:right="52"/>
              <w:jc w:val="right"/>
              <w:rPr>
                <w:sz w:val="20"/>
              </w:rPr>
            </w:pPr>
            <w:r>
              <w:rPr>
                <w:spacing w:val="-2"/>
                <w:sz w:val="20"/>
              </w:rPr>
              <w:t>285543</w:t>
            </w: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w w:val="95"/>
                <w:sz w:val="20"/>
              </w:rPr>
              <w:t>хирургическая</w:t>
            </w:r>
            <w:r>
              <w:rPr>
                <w:spacing w:val="46"/>
                <w:sz w:val="20"/>
              </w:rPr>
              <w:t> </w:t>
            </w:r>
            <w:r>
              <w:rPr>
                <w:spacing w:val="-2"/>
                <w:w w:val="95"/>
                <w:sz w:val="20"/>
              </w:rPr>
              <w:t>коррекция</w:t>
            </w:r>
          </w:p>
        </w:tc>
        <w:tc>
          <w:tcPr>
            <w:tcW w:w="2131" w:type="dxa"/>
          </w:tcPr>
          <w:p>
            <w:pPr>
              <w:pStyle w:val="TableParagraph"/>
              <w:spacing w:line="220" w:lineRule="exact"/>
              <w:ind w:left="194" w:right="49"/>
              <w:jc w:val="center"/>
              <w:rPr>
                <w:sz w:val="20"/>
              </w:rPr>
            </w:pPr>
            <w:hyperlink r:id="rId357">
              <w:r>
                <w:rPr>
                  <w:sz w:val="20"/>
                </w:rPr>
                <w:t>I45.3,</w:t>
              </w:r>
              <w:r>
                <w:rPr>
                  <w:spacing w:val="-3"/>
                  <w:sz w:val="20"/>
                </w:rPr>
                <w:t> </w:t>
              </w:r>
            </w:hyperlink>
            <w:hyperlink r:id="rId311">
              <w:r>
                <w:rPr>
                  <w:sz w:val="20"/>
                </w:rPr>
                <w:t>I45.6,</w:t>
              </w:r>
              <w:r>
                <w:rPr>
                  <w:spacing w:val="-6"/>
                  <w:sz w:val="20"/>
                </w:rPr>
                <w:t> </w:t>
              </w:r>
            </w:hyperlink>
            <w:hyperlink r:id="rId358">
              <w:r>
                <w:rPr>
                  <w:spacing w:val="-2"/>
                  <w:sz w:val="20"/>
                </w:rPr>
                <w:t>I46.0,</w:t>
              </w:r>
            </w:hyperlink>
          </w:p>
        </w:tc>
        <w:tc>
          <w:tcPr>
            <w:tcW w:w="3107" w:type="dxa"/>
          </w:tcPr>
          <w:p>
            <w:pPr>
              <w:pStyle w:val="TableParagraph"/>
              <w:spacing w:line="220" w:lineRule="exact"/>
              <w:ind w:left="54"/>
              <w:rPr>
                <w:sz w:val="20"/>
              </w:rPr>
            </w:pPr>
            <w:r>
              <w:rPr>
                <w:sz w:val="20"/>
              </w:rPr>
              <w:t>ритма</w:t>
            </w:r>
            <w:r>
              <w:rPr>
                <w:spacing w:val="-7"/>
                <w:sz w:val="20"/>
              </w:rPr>
              <w:t> </w:t>
            </w:r>
            <w:r>
              <w:rPr>
                <w:sz w:val="20"/>
              </w:rPr>
              <w:t>и</w:t>
            </w:r>
            <w:r>
              <w:rPr>
                <w:spacing w:val="-7"/>
                <w:sz w:val="20"/>
              </w:rPr>
              <w:t> </w:t>
            </w:r>
            <w:r>
              <w:rPr>
                <w:sz w:val="20"/>
              </w:rPr>
              <w:t>проводимости</w:t>
            </w:r>
            <w:r>
              <w:rPr>
                <w:spacing w:val="-8"/>
                <w:sz w:val="20"/>
              </w:rPr>
              <w:t> </w:t>
            </w:r>
            <w:r>
              <w:rPr>
                <w:spacing w:val="-2"/>
                <w:sz w:val="20"/>
              </w:rPr>
              <w:t>различного</w:t>
            </w:r>
          </w:p>
        </w:tc>
        <w:tc>
          <w:tcPr>
            <w:tcW w:w="1583" w:type="dxa"/>
          </w:tcPr>
          <w:p>
            <w:pPr>
              <w:pStyle w:val="TableParagraph"/>
              <w:spacing w:line="220" w:lineRule="exact"/>
              <w:ind w:left="103"/>
              <w:rPr>
                <w:sz w:val="20"/>
              </w:rPr>
            </w:pPr>
            <w:r>
              <w:rPr>
                <w:spacing w:val="-2"/>
                <w:sz w:val="20"/>
              </w:rPr>
              <w:t>лечение</w:t>
            </w:r>
          </w:p>
        </w:tc>
        <w:tc>
          <w:tcPr>
            <w:tcW w:w="3630" w:type="dxa"/>
          </w:tcPr>
          <w:p>
            <w:pPr>
              <w:pStyle w:val="TableParagraph"/>
              <w:spacing w:line="220" w:lineRule="exact"/>
              <w:ind w:left="218"/>
              <w:rPr>
                <w:sz w:val="20"/>
              </w:rPr>
            </w:pPr>
            <w:r>
              <w:rPr>
                <w:w w:val="95"/>
                <w:sz w:val="20"/>
              </w:rPr>
              <w:t>адаптированного</w:t>
            </w:r>
            <w:r>
              <w:rPr>
                <w:spacing w:val="56"/>
                <w:sz w:val="20"/>
              </w:rPr>
              <w:t> </w:t>
            </w:r>
            <w:r>
              <w:rPr>
                <w:spacing w:val="-2"/>
                <w:sz w:val="20"/>
              </w:rPr>
              <w:t>однокамерного</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нарушений</w:t>
            </w:r>
            <w:r>
              <w:rPr>
                <w:spacing w:val="-9"/>
                <w:sz w:val="20"/>
              </w:rPr>
              <w:t> </w:t>
            </w:r>
            <w:r>
              <w:rPr>
                <w:sz w:val="20"/>
              </w:rPr>
              <w:t>ритма</w:t>
            </w:r>
            <w:r>
              <w:rPr>
                <w:spacing w:val="-8"/>
                <w:sz w:val="20"/>
              </w:rPr>
              <w:t> </w:t>
            </w:r>
            <w:r>
              <w:rPr>
                <w:sz w:val="20"/>
              </w:rPr>
              <w:t>сердца</w:t>
            </w:r>
            <w:r>
              <w:rPr>
                <w:spacing w:val="-8"/>
                <w:sz w:val="20"/>
              </w:rPr>
              <w:t> </w:t>
            </w:r>
            <w:r>
              <w:rPr>
                <w:spacing w:val="-5"/>
                <w:sz w:val="20"/>
              </w:rPr>
              <w:t>без</w:t>
            </w:r>
          </w:p>
        </w:tc>
        <w:tc>
          <w:tcPr>
            <w:tcW w:w="2131" w:type="dxa"/>
          </w:tcPr>
          <w:p>
            <w:pPr>
              <w:pStyle w:val="TableParagraph"/>
              <w:spacing w:line="220" w:lineRule="exact"/>
              <w:ind w:left="194"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tc>
        <w:tc>
          <w:tcPr>
            <w:tcW w:w="3107" w:type="dxa"/>
          </w:tcPr>
          <w:p>
            <w:pPr>
              <w:pStyle w:val="TableParagraph"/>
              <w:spacing w:line="220" w:lineRule="exact"/>
              <w:ind w:left="54"/>
              <w:rPr>
                <w:sz w:val="20"/>
              </w:rPr>
            </w:pPr>
            <w:r>
              <w:rPr>
                <w:sz w:val="20"/>
              </w:rPr>
              <w:t>генеза,</w:t>
            </w:r>
            <w:r>
              <w:rPr>
                <w:spacing w:val="-8"/>
                <w:sz w:val="20"/>
              </w:rPr>
              <w:t> </w:t>
            </w:r>
            <w:r>
              <w:rPr>
                <w:spacing w:val="-2"/>
                <w:sz w:val="20"/>
              </w:rPr>
              <w:t>сопровождающиеся</w:t>
            </w:r>
          </w:p>
        </w:tc>
        <w:tc>
          <w:tcPr>
            <w:tcW w:w="1583" w:type="dxa"/>
          </w:tcPr>
          <w:p>
            <w:pPr>
              <w:pStyle w:val="TableParagraph"/>
              <w:rPr>
                <w:sz w:val="16"/>
              </w:rPr>
            </w:pPr>
          </w:p>
        </w:tc>
        <w:tc>
          <w:tcPr>
            <w:tcW w:w="3630" w:type="dxa"/>
          </w:tcPr>
          <w:p>
            <w:pPr>
              <w:pStyle w:val="TableParagraph"/>
              <w:spacing w:line="220" w:lineRule="exact"/>
              <w:ind w:left="218"/>
              <w:rPr>
                <w:sz w:val="20"/>
              </w:rPr>
            </w:pPr>
            <w:r>
              <w:rPr>
                <w:spacing w:val="-2"/>
                <w:sz w:val="20"/>
              </w:rPr>
              <w:t>кардиостимулятора</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имплантации</w:t>
            </w:r>
            <w:r>
              <w:rPr>
                <w:spacing w:val="-13"/>
                <w:sz w:val="20"/>
              </w:rPr>
              <w:t> </w:t>
            </w:r>
            <w:r>
              <w:rPr>
                <w:spacing w:val="-2"/>
                <w:sz w:val="20"/>
              </w:rPr>
              <w:t>кардиовертера-</w:t>
            </w:r>
          </w:p>
        </w:tc>
        <w:tc>
          <w:tcPr>
            <w:tcW w:w="2131" w:type="dxa"/>
          </w:tcPr>
          <w:p>
            <w:pPr>
              <w:pStyle w:val="TableParagraph"/>
              <w:spacing w:line="220" w:lineRule="exact"/>
              <w:ind w:left="197"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20">
              <w:r>
                <w:rPr>
                  <w:spacing w:val="-2"/>
                  <w:sz w:val="20"/>
                </w:rPr>
                <w:t>I49.5,</w:t>
              </w:r>
            </w:hyperlink>
          </w:p>
        </w:tc>
        <w:tc>
          <w:tcPr>
            <w:tcW w:w="3107" w:type="dxa"/>
          </w:tcPr>
          <w:p>
            <w:pPr>
              <w:pStyle w:val="TableParagraph"/>
              <w:spacing w:line="220" w:lineRule="exact"/>
              <w:ind w:left="54"/>
              <w:rPr>
                <w:sz w:val="20"/>
              </w:rPr>
            </w:pPr>
            <w:r>
              <w:rPr>
                <w:sz w:val="20"/>
              </w:rPr>
              <w:t>сердечной</w:t>
            </w:r>
            <w:r>
              <w:rPr>
                <w:spacing w:val="-9"/>
                <w:sz w:val="20"/>
              </w:rPr>
              <w:t> </w:t>
            </w:r>
            <w:r>
              <w:rPr>
                <w:spacing w:val="-2"/>
                <w:sz w:val="20"/>
              </w:rPr>
              <w:t>недостаточностью,</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дефибриллятора</w:t>
            </w:r>
            <w:r>
              <w:rPr>
                <w:spacing w:val="-8"/>
                <w:sz w:val="20"/>
              </w:rPr>
              <w:t> </w:t>
            </w:r>
            <w:r>
              <w:rPr>
                <w:sz w:val="20"/>
              </w:rPr>
              <w:t>у</w:t>
            </w:r>
            <w:r>
              <w:rPr>
                <w:spacing w:val="-8"/>
                <w:sz w:val="20"/>
              </w:rPr>
              <w:t> </w:t>
            </w:r>
            <w:r>
              <w:rPr>
                <w:spacing w:val="-4"/>
                <w:sz w:val="20"/>
              </w:rPr>
              <w:t>детей</w:t>
            </w:r>
          </w:p>
        </w:tc>
        <w:tc>
          <w:tcPr>
            <w:tcW w:w="2131" w:type="dxa"/>
          </w:tcPr>
          <w:p>
            <w:pPr>
              <w:pStyle w:val="TableParagraph"/>
              <w:spacing w:line="220" w:lineRule="exact"/>
              <w:ind w:left="196" w:right="49"/>
              <w:jc w:val="center"/>
              <w:rPr>
                <w:sz w:val="20"/>
              </w:rPr>
            </w:pPr>
            <w:hyperlink r:id="rId359">
              <w:r>
                <w:rPr>
                  <w:sz w:val="20"/>
                </w:rPr>
                <w:t>Q22.5,</w:t>
              </w:r>
              <w:r>
                <w:rPr>
                  <w:spacing w:val="-2"/>
                  <w:sz w:val="20"/>
                </w:rPr>
                <w:t> </w:t>
              </w:r>
            </w:hyperlink>
            <w:hyperlink r:id="rId360">
              <w:r>
                <w:rPr>
                  <w:spacing w:val="-2"/>
                  <w:sz w:val="20"/>
                </w:rPr>
                <w:t>Q24.6</w:t>
              </w:r>
            </w:hyperlink>
          </w:p>
        </w:tc>
        <w:tc>
          <w:tcPr>
            <w:tcW w:w="3107" w:type="dxa"/>
          </w:tcPr>
          <w:p>
            <w:pPr>
              <w:pStyle w:val="TableParagraph"/>
              <w:spacing w:line="220" w:lineRule="exact"/>
              <w:ind w:left="54"/>
              <w:rPr>
                <w:sz w:val="20"/>
              </w:rPr>
            </w:pPr>
            <w:r>
              <w:rPr>
                <w:spacing w:val="-2"/>
                <w:sz w:val="20"/>
              </w:rPr>
              <w:t>гемодинамическими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расстройствами</w:t>
            </w:r>
            <w:r>
              <w:rPr>
                <w:spacing w:val="-7"/>
                <w:sz w:val="20"/>
              </w:rPr>
              <w:t> </w:t>
            </w:r>
            <w:r>
              <w:rPr>
                <w:sz w:val="20"/>
              </w:rPr>
              <w:t>и</w:t>
            </w:r>
            <w:r>
              <w:rPr>
                <w:spacing w:val="-8"/>
                <w:sz w:val="20"/>
              </w:rPr>
              <w:t> </w:t>
            </w:r>
            <w:r>
              <w:rPr>
                <w:spacing w:val="-2"/>
                <w:sz w:val="20"/>
              </w:rPr>
              <w:t>отсутствием</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эффекта</w:t>
            </w:r>
            <w:r>
              <w:rPr>
                <w:spacing w:val="-6"/>
                <w:sz w:val="20"/>
              </w:rPr>
              <w:t> </w:t>
            </w:r>
            <w:r>
              <w:rPr>
                <w:sz w:val="20"/>
              </w:rPr>
              <w:t>от</w:t>
            </w:r>
            <w:r>
              <w:rPr>
                <w:spacing w:val="-5"/>
                <w:sz w:val="20"/>
              </w:rPr>
              <w:t> </w:t>
            </w:r>
            <w:r>
              <w:rPr>
                <w:spacing w:val="-2"/>
                <w:sz w:val="20"/>
              </w:rPr>
              <w:t>медикаментозной</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360" w:hRule="atLeast"/>
        </w:trPr>
        <w:tc>
          <w:tcPr>
            <w:tcW w:w="472" w:type="dxa"/>
          </w:tcPr>
          <w:p>
            <w:pPr>
              <w:pStyle w:val="TableParagraph"/>
              <w:rPr>
                <w:sz w:val="18"/>
              </w:rPr>
            </w:pPr>
          </w:p>
        </w:tc>
        <w:tc>
          <w:tcPr>
            <w:tcW w:w="2868" w:type="dxa"/>
          </w:tcPr>
          <w:p>
            <w:pPr>
              <w:pStyle w:val="TableParagraph"/>
              <w:rPr>
                <w:sz w:val="18"/>
              </w:rPr>
            </w:pPr>
          </w:p>
        </w:tc>
        <w:tc>
          <w:tcPr>
            <w:tcW w:w="2131" w:type="dxa"/>
          </w:tcPr>
          <w:p>
            <w:pPr>
              <w:pStyle w:val="TableParagraph"/>
              <w:rPr>
                <w:sz w:val="18"/>
              </w:rPr>
            </w:pPr>
          </w:p>
        </w:tc>
        <w:tc>
          <w:tcPr>
            <w:tcW w:w="3107" w:type="dxa"/>
          </w:tcPr>
          <w:p>
            <w:pPr>
              <w:pStyle w:val="TableParagraph"/>
              <w:ind w:left="54"/>
              <w:rPr>
                <w:sz w:val="20"/>
              </w:rPr>
            </w:pPr>
            <w:r>
              <w:rPr>
                <w:spacing w:val="-2"/>
                <w:sz w:val="20"/>
              </w:rPr>
              <w:t>терапии</w:t>
            </w:r>
          </w:p>
        </w:tc>
        <w:tc>
          <w:tcPr>
            <w:tcW w:w="1583" w:type="dxa"/>
          </w:tcPr>
          <w:p>
            <w:pPr>
              <w:pStyle w:val="TableParagraph"/>
              <w:rPr>
                <w:sz w:val="18"/>
              </w:rPr>
            </w:pPr>
          </w:p>
        </w:tc>
        <w:tc>
          <w:tcPr>
            <w:tcW w:w="3630" w:type="dxa"/>
          </w:tcPr>
          <w:p>
            <w:pPr>
              <w:pStyle w:val="TableParagraph"/>
              <w:rPr>
                <w:sz w:val="18"/>
              </w:rPr>
            </w:pPr>
          </w:p>
        </w:tc>
        <w:tc>
          <w:tcPr>
            <w:tcW w:w="1254"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46.</w:t>
            </w:r>
          </w:p>
        </w:tc>
        <w:tc>
          <w:tcPr>
            <w:tcW w:w="2868" w:type="dxa"/>
          </w:tcPr>
          <w:p>
            <w:pPr>
              <w:pStyle w:val="TableParagraph"/>
              <w:spacing w:line="220" w:lineRule="exact" w:before="120"/>
              <w:ind w:left="168"/>
              <w:rPr>
                <w:sz w:val="20"/>
              </w:rPr>
            </w:pPr>
            <w:r>
              <w:rPr>
                <w:spacing w:val="-2"/>
                <w:sz w:val="20"/>
              </w:rPr>
              <w:t>Эндоваскулярная,</w:t>
            </w:r>
          </w:p>
        </w:tc>
        <w:tc>
          <w:tcPr>
            <w:tcW w:w="2131" w:type="dxa"/>
          </w:tcPr>
          <w:p>
            <w:pPr>
              <w:pStyle w:val="TableParagraph"/>
              <w:spacing w:line="220" w:lineRule="exact" w:before="120"/>
              <w:ind w:left="194" w:right="49"/>
              <w:jc w:val="center"/>
              <w:rPr>
                <w:sz w:val="20"/>
              </w:rPr>
            </w:pPr>
            <w:hyperlink r:id="rId355">
              <w:r>
                <w:rPr>
                  <w:sz w:val="20"/>
                </w:rPr>
                <w:t>I44.1,</w:t>
              </w:r>
              <w:r>
                <w:rPr>
                  <w:spacing w:val="-3"/>
                  <w:sz w:val="20"/>
                </w:rPr>
                <w:t> </w:t>
              </w:r>
            </w:hyperlink>
            <w:hyperlink r:id="rId310">
              <w:r>
                <w:rPr>
                  <w:sz w:val="20"/>
                </w:rPr>
                <w:t>I44.2,</w:t>
              </w:r>
              <w:r>
                <w:rPr>
                  <w:spacing w:val="-6"/>
                  <w:sz w:val="20"/>
                </w:rPr>
                <w:t> </w:t>
              </w:r>
            </w:hyperlink>
            <w:hyperlink r:id="rId356">
              <w:r>
                <w:rPr>
                  <w:spacing w:val="-2"/>
                  <w:sz w:val="20"/>
                </w:rPr>
                <w:t>I45.2,</w:t>
              </w:r>
            </w:hyperlink>
          </w:p>
        </w:tc>
        <w:tc>
          <w:tcPr>
            <w:tcW w:w="3107" w:type="dxa"/>
          </w:tcPr>
          <w:p>
            <w:pPr>
              <w:pStyle w:val="TableParagraph"/>
              <w:spacing w:line="220" w:lineRule="exact" w:before="120"/>
              <w:ind w:left="54"/>
              <w:rPr>
                <w:sz w:val="20"/>
              </w:rPr>
            </w:pPr>
            <w:r>
              <w:rPr>
                <w:w w:val="95"/>
                <w:sz w:val="20"/>
              </w:rPr>
              <w:t>пароксизмальные</w:t>
            </w:r>
            <w:r>
              <w:rPr>
                <w:spacing w:val="58"/>
                <w:sz w:val="20"/>
              </w:rPr>
              <w:t> </w:t>
            </w:r>
            <w:r>
              <w:rPr>
                <w:spacing w:val="-2"/>
                <w:sz w:val="20"/>
              </w:rPr>
              <w:t>нарушения</w:t>
            </w:r>
          </w:p>
        </w:tc>
        <w:tc>
          <w:tcPr>
            <w:tcW w:w="1583" w:type="dxa"/>
          </w:tcPr>
          <w:p>
            <w:pPr>
              <w:pStyle w:val="TableParagraph"/>
              <w:spacing w:line="220" w:lineRule="exact" w:before="120"/>
              <w:ind w:left="103"/>
              <w:rPr>
                <w:sz w:val="20"/>
              </w:rPr>
            </w:pPr>
            <w:r>
              <w:rPr>
                <w:spacing w:val="-2"/>
                <w:sz w:val="20"/>
              </w:rPr>
              <w:t>хирургическое</w:t>
            </w:r>
          </w:p>
        </w:tc>
        <w:tc>
          <w:tcPr>
            <w:tcW w:w="3630" w:type="dxa"/>
          </w:tcPr>
          <w:p>
            <w:pPr>
              <w:pStyle w:val="TableParagraph"/>
              <w:spacing w:line="220" w:lineRule="exact" w:before="120"/>
              <w:ind w:left="218"/>
              <w:rPr>
                <w:sz w:val="20"/>
              </w:rPr>
            </w:pPr>
            <w:r>
              <w:rPr>
                <w:spacing w:val="-2"/>
                <w:sz w:val="20"/>
              </w:rPr>
              <w:t>имплантация</w:t>
            </w:r>
            <w:r>
              <w:rPr>
                <w:spacing w:val="7"/>
                <w:sz w:val="20"/>
              </w:rPr>
              <w:t> </w:t>
            </w:r>
            <w:r>
              <w:rPr>
                <w:spacing w:val="-2"/>
                <w:sz w:val="20"/>
              </w:rPr>
              <w:t>частотно-</w:t>
            </w:r>
          </w:p>
        </w:tc>
        <w:tc>
          <w:tcPr>
            <w:tcW w:w="1254" w:type="dxa"/>
          </w:tcPr>
          <w:p>
            <w:pPr>
              <w:pStyle w:val="TableParagraph"/>
              <w:spacing w:line="220" w:lineRule="exact" w:before="120"/>
              <w:ind w:right="52"/>
              <w:jc w:val="right"/>
              <w:rPr>
                <w:sz w:val="20"/>
              </w:rPr>
            </w:pPr>
            <w:r>
              <w:rPr>
                <w:spacing w:val="-2"/>
                <w:sz w:val="20"/>
              </w:rPr>
              <w:t>225385</w:t>
            </w: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w w:val="95"/>
                <w:sz w:val="20"/>
              </w:rPr>
              <w:t>хирургическая</w:t>
            </w:r>
            <w:r>
              <w:rPr>
                <w:spacing w:val="46"/>
                <w:sz w:val="20"/>
              </w:rPr>
              <w:t> </w:t>
            </w:r>
            <w:r>
              <w:rPr>
                <w:spacing w:val="-2"/>
                <w:w w:val="95"/>
                <w:sz w:val="20"/>
              </w:rPr>
              <w:t>коррекция</w:t>
            </w:r>
          </w:p>
        </w:tc>
        <w:tc>
          <w:tcPr>
            <w:tcW w:w="2131" w:type="dxa"/>
          </w:tcPr>
          <w:p>
            <w:pPr>
              <w:pStyle w:val="TableParagraph"/>
              <w:spacing w:line="220" w:lineRule="exact"/>
              <w:ind w:left="194" w:right="49"/>
              <w:jc w:val="center"/>
              <w:rPr>
                <w:sz w:val="20"/>
              </w:rPr>
            </w:pPr>
            <w:hyperlink r:id="rId357">
              <w:r>
                <w:rPr>
                  <w:sz w:val="20"/>
                </w:rPr>
                <w:t>I45.3,</w:t>
              </w:r>
              <w:r>
                <w:rPr>
                  <w:spacing w:val="-3"/>
                  <w:sz w:val="20"/>
                </w:rPr>
                <w:t> </w:t>
              </w:r>
            </w:hyperlink>
            <w:hyperlink r:id="rId311">
              <w:r>
                <w:rPr>
                  <w:sz w:val="20"/>
                </w:rPr>
                <w:t>I45.6,</w:t>
              </w:r>
              <w:r>
                <w:rPr>
                  <w:spacing w:val="-6"/>
                  <w:sz w:val="20"/>
                </w:rPr>
                <w:t> </w:t>
              </w:r>
            </w:hyperlink>
            <w:hyperlink r:id="rId358">
              <w:r>
                <w:rPr>
                  <w:spacing w:val="-2"/>
                  <w:sz w:val="20"/>
                </w:rPr>
                <w:t>I46.0,</w:t>
              </w:r>
            </w:hyperlink>
          </w:p>
        </w:tc>
        <w:tc>
          <w:tcPr>
            <w:tcW w:w="3107" w:type="dxa"/>
          </w:tcPr>
          <w:p>
            <w:pPr>
              <w:pStyle w:val="TableParagraph"/>
              <w:spacing w:line="220" w:lineRule="exact"/>
              <w:ind w:left="54"/>
              <w:rPr>
                <w:sz w:val="20"/>
              </w:rPr>
            </w:pPr>
            <w:r>
              <w:rPr>
                <w:sz w:val="20"/>
              </w:rPr>
              <w:t>ритма</w:t>
            </w:r>
            <w:r>
              <w:rPr>
                <w:spacing w:val="-7"/>
                <w:sz w:val="20"/>
              </w:rPr>
              <w:t> </w:t>
            </w:r>
            <w:r>
              <w:rPr>
                <w:sz w:val="20"/>
              </w:rPr>
              <w:t>и</w:t>
            </w:r>
            <w:r>
              <w:rPr>
                <w:spacing w:val="-7"/>
                <w:sz w:val="20"/>
              </w:rPr>
              <w:t> </w:t>
            </w:r>
            <w:r>
              <w:rPr>
                <w:sz w:val="20"/>
              </w:rPr>
              <w:t>проводимости</w:t>
            </w:r>
            <w:r>
              <w:rPr>
                <w:spacing w:val="-8"/>
                <w:sz w:val="20"/>
              </w:rPr>
              <w:t> </w:t>
            </w:r>
            <w:r>
              <w:rPr>
                <w:spacing w:val="-2"/>
                <w:sz w:val="20"/>
              </w:rPr>
              <w:t>различного</w:t>
            </w:r>
          </w:p>
        </w:tc>
        <w:tc>
          <w:tcPr>
            <w:tcW w:w="1583" w:type="dxa"/>
          </w:tcPr>
          <w:p>
            <w:pPr>
              <w:pStyle w:val="TableParagraph"/>
              <w:spacing w:line="220" w:lineRule="exact"/>
              <w:ind w:left="103"/>
              <w:rPr>
                <w:sz w:val="20"/>
              </w:rPr>
            </w:pPr>
            <w:r>
              <w:rPr>
                <w:spacing w:val="-2"/>
                <w:sz w:val="20"/>
              </w:rPr>
              <w:t>лечение</w:t>
            </w:r>
          </w:p>
        </w:tc>
        <w:tc>
          <w:tcPr>
            <w:tcW w:w="3630" w:type="dxa"/>
          </w:tcPr>
          <w:p>
            <w:pPr>
              <w:pStyle w:val="TableParagraph"/>
              <w:spacing w:line="220" w:lineRule="exact"/>
              <w:ind w:left="218"/>
              <w:rPr>
                <w:sz w:val="20"/>
              </w:rPr>
            </w:pPr>
            <w:r>
              <w:rPr>
                <w:w w:val="95"/>
                <w:sz w:val="20"/>
              </w:rPr>
              <w:t>адаптированного</w:t>
            </w:r>
            <w:r>
              <w:rPr>
                <w:spacing w:val="56"/>
                <w:sz w:val="20"/>
              </w:rPr>
              <w:t> </w:t>
            </w:r>
            <w:r>
              <w:rPr>
                <w:spacing w:val="-2"/>
                <w:sz w:val="20"/>
              </w:rPr>
              <w:t>двухкамерного</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нарушений</w:t>
            </w:r>
            <w:r>
              <w:rPr>
                <w:spacing w:val="-9"/>
                <w:sz w:val="20"/>
              </w:rPr>
              <w:t> </w:t>
            </w:r>
            <w:r>
              <w:rPr>
                <w:sz w:val="20"/>
              </w:rPr>
              <w:t>ритма</w:t>
            </w:r>
            <w:r>
              <w:rPr>
                <w:spacing w:val="-8"/>
                <w:sz w:val="20"/>
              </w:rPr>
              <w:t> </w:t>
            </w:r>
            <w:r>
              <w:rPr>
                <w:sz w:val="20"/>
              </w:rPr>
              <w:t>сердца</w:t>
            </w:r>
            <w:r>
              <w:rPr>
                <w:spacing w:val="-8"/>
                <w:sz w:val="20"/>
              </w:rPr>
              <w:t> </w:t>
            </w:r>
            <w:r>
              <w:rPr>
                <w:spacing w:val="-5"/>
                <w:sz w:val="20"/>
              </w:rPr>
              <w:t>без</w:t>
            </w:r>
          </w:p>
        </w:tc>
        <w:tc>
          <w:tcPr>
            <w:tcW w:w="2131" w:type="dxa"/>
          </w:tcPr>
          <w:p>
            <w:pPr>
              <w:pStyle w:val="TableParagraph"/>
              <w:spacing w:line="220" w:lineRule="exact"/>
              <w:ind w:left="194"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tc>
        <w:tc>
          <w:tcPr>
            <w:tcW w:w="3107" w:type="dxa"/>
          </w:tcPr>
          <w:p>
            <w:pPr>
              <w:pStyle w:val="TableParagraph"/>
              <w:spacing w:line="220" w:lineRule="exact"/>
              <w:ind w:left="54"/>
              <w:rPr>
                <w:sz w:val="20"/>
              </w:rPr>
            </w:pPr>
            <w:r>
              <w:rPr>
                <w:sz w:val="20"/>
              </w:rPr>
              <w:t>генеза,</w:t>
            </w:r>
            <w:r>
              <w:rPr>
                <w:spacing w:val="-8"/>
                <w:sz w:val="20"/>
              </w:rPr>
              <w:t> </w:t>
            </w:r>
            <w:r>
              <w:rPr>
                <w:spacing w:val="-2"/>
                <w:sz w:val="20"/>
              </w:rPr>
              <w:t>сопровождающиеся</w:t>
            </w:r>
          </w:p>
        </w:tc>
        <w:tc>
          <w:tcPr>
            <w:tcW w:w="1583" w:type="dxa"/>
          </w:tcPr>
          <w:p>
            <w:pPr>
              <w:pStyle w:val="TableParagraph"/>
              <w:rPr>
                <w:sz w:val="16"/>
              </w:rPr>
            </w:pPr>
          </w:p>
        </w:tc>
        <w:tc>
          <w:tcPr>
            <w:tcW w:w="3630" w:type="dxa"/>
          </w:tcPr>
          <w:p>
            <w:pPr>
              <w:pStyle w:val="TableParagraph"/>
              <w:spacing w:line="220" w:lineRule="exact"/>
              <w:ind w:left="218"/>
              <w:rPr>
                <w:sz w:val="20"/>
              </w:rPr>
            </w:pPr>
            <w:r>
              <w:rPr>
                <w:spacing w:val="-2"/>
                <w:sz w:val="20"/>
              </w:rPr>
              <w:t>кардиостимулятора</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имплантации</w:t>
            </w:r>
            <w:r>
              <w:rPr>
                <w:spacing w:val="-13"/>
                <w:sz w:val="20"/>
              </w:rPr>
              <w:t> </w:t>
            </w:r>
            <w:r>
              <w:rPr>
                <w:spacing w:val="-2"/>
                <w:sz w:val="20"/>
              </w:rPr>
              <w:t>кардиовертера-</w:t>
            </w:r>
          </w:p>
        </w:tc>
        <w:tc>
          <w:tcPr>
            <w:tcW w:w="2131" w:type="dxa"/>
          </w:tcPr>
          <w:p>
            <w:pPr>
              <w:pStyle w:val="TableParagraph"/>
              <w:spacing w:line="220" w:lineRule="exact"/>
              <w:ind w:left="197"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20">
              <w:r>
                <w:rPr>
                  <w:spacing w:val="-2"/>
                  <w:sz w:val="20"/>
                </w:rPr>
                <w:t>I49.5,</w:t>
              </w:r>
            </w:hyperlink>
          </w:p>
        </w:tc>
        <w:tc>
          <w:tcPr>
            <w:tcW w:w="3107" w:type="dxa"/>
          </w:tcPr>
          <w:p>
            <w:pPr>
              <w:pStyle w:val="TableParagraph"/>
              <w:spacing w:line="220" w:lineRule="exact"/>
              <w:ind w:left="54"/>
              <w:rPr>
                <w:sz w:val="20"/>
              </w:rPr>
            </w:pPr>
            <w:r>
              <w:rPr>
                <w:sz w:val="20"/>
              </w:rPr>
              <w:t>сердечной</w:t>
            </w:r>
            <w:r>
              <w:rPr>
                <w:spacing w:val="-9"/>
                <w:sz w:val="20"/>
              </w:rPr>
              <w:t> </w:t>
            </w:r>
            <w:r>
              <w:rPr>
                <w:spacing w:val="-2"/>
                <w:sz w:val="20"/>
              </w:rPr>
              <w:t>недостаточностью,</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pacing w:val="-2"/>
                <w:sz w:val="20"/>
              </w:rPr>
              <w:t>дефибриллятора</w:t>
            </w:r>
          </w:p>
        </w:tc>
        <w:tc>
          <w:tcPr>
            <w:tcW w:w="2131" w:type="dxa"/>
          </w:tcPr>
          <w:p>
            <w:pPr>
              <w:pStyle w:val="TableParagraph"/>
              <w:spacing w:line="220" w:lineRule="exact"/>
              <w:ind w:left="196" w:right="49"/>
              <w:jc w:val="center"/>
              <w:rPr>
                <w:sz w:val="20"/>
              </w:rPr>
            </w:pPr>
            <w:hyperlink r:id="rId359">
              <w:r>
                <w:rPr>
                  <w:sz w:val="20"/>
                </w:rPr>
                <w:t>Q22.5,</w:t>
              </w:r>
              <w:r>
                <w:rPr>
                  <w:spacing w:val="-2"/>
                  <w:sz w:val="20"/>
                </w:rPr>
                <w:t> </w:t>
              </w:r>
            </w:hyperlink>
            <w:hyperlink r:id="rId360">
              <w:r>
                <w:rPr>
                  <w:spacing w:val="-2"/>
                  <w:sz w:val="20"/>
                </w:rPr>
                <w:t>Q24.6</w:t>
              </w:r>
            </w:hyperlink>
          </w:p>
        </w:tc>
        <w:tc>
          <w:tcPr>
            <w:tcW w:w="3107" w:type="dxa"/>
          </w:tcPr>
          <w:p>
            <w:pPr>
              <w:pStyle w:val="TableParagraph"/>
              <w:spacing w:line="220" w:lineRule="exact"/>
              <w:ind w:left="54"/>
              <w:rPr>
                <w:sz w:val="20"/>
              </w:rPr>
            </w:pPr>
            <w:r>
              <w:rPr>
                <w:spacing w:val="-2"/>
                <w:sz w:val="20"/>
              </w:rPr>
              <w:t>гемодинамическими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39"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19" w:lineRule="exact"/>
              <w:ind w:left="54"/>
              <w:rPr>
                <w:sz w:val="20"/>
              </w:rPr>
            </w:pPr>
            <w:r>
              <w:rPr>
                <w:sz w:val="20"/>
              </w:rPr>
              <w:t>расстройствами</w:t>
            </w:r>
            <w:r>
              <w:rPr>
                <w:spacing w:val="-7"/>
                <w:sz w:val="20"/>
              </w:rPr>
              <w:t> </w:t>
            </w:r>
            <w:r>
              <w:rPr>
                <w:sz w:val="20"/>
              </w:rPr>
              <w:t>и</w:t>
            </w:r>
            <w:r>
              <w:rPr>
                <w:spacing w:val="-8"/>
                <w:sz w:val="20"/>
              </w:rPr>
              <w:t> </w:t>
            </w:r>
            <w:r>
              <w:rPr>
                <w:spacing w:val="-2"/>
                <w:sz w:val="20"/>
              </w:rPr>
              <w:t>отсутствием</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39"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эффекта</w:t>
            </w:r>
            <w:r>
              <w:rPr>
                <w:spacing w:val="-6"/>
                <w:sz w:val="20"/>
              </w:rPr>
              <w:t> </w:t>
            </w:r>
            <w:r>
              <w:rPr>
                <w:sz w:val="20"/>
              </w:rPr>
              <w:t>от</w:t>
            </w:r>
            <w:r>
              <w:rPr>
                <w:spacing w:val="-5"/>
                <w:sz w:val="20"/>
              </w:rPr>
              <w:t> </w:t>
            </w:r>
            <w:r>
              <w:rPr>
                <w:spacing w:val="-2"/>
                <w:sz w:val="20"/>
              </w:rPr>
              <w:t>лечения</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3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10" w:lineRule="exact"/>
              <w:ind w:left="54"/>
              <w:rPr>
                <w:sz w:val="20"/>
              </w:rPr>
            </w:pPr>
            <w:r>
              <w:rPr>
                <w:w w:val="95"/>
                <w:sz w:val="20"/>
              </w:rPr>
              <w:t>лекарственными</w:t>
            </w:r>
            <w:r>
              <w:rPr>
                <w:spacing w:val="56"/>
                <w:sz w:val="20"/>
              </w:rPr>
              <w:t> </w:t>
            </w:r>
            <w:r>
              <w:rPr>
                <w:spacing w:val="-2"/>
                <w:sz w:val="20"/>
              </w:rPr>
              <w:t>препаратами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34"/>
        <w:gridCol w:w="1890"/>
        <w:gridCol w:w="3194"/>
        <w:gridCol w:w="1572"/>
        <w:gridCol w:w="3732"/>
        <w:gridCol w:w="1151"/>
      </w:tblGrid>
      <w:tr>
        <w:trPr>
          <w:trHeight w:val="1250" w:hRule="atLeast"/>
        </w:trPr>
        <w:tc>
          <w:tcPr>
            <w:tcW w:w="472" w:type="dxa"/>
          </w:tcPr>
          <w:p>
            <w:pPr>
              <w:pStyle w:val="TableParagraph"/>
              <w:spacing w:line="221" w:lineRule="exact"/>
              <w:ind w:left="50"/>
              <w:rPr>
                <w:sz w:val="20"/>
              </w:rPr>
            </w:pPr>
            <w:r>
              <w:rPr>
                <w:spacing w:val="-5"/>
                <w:sz w:val="20"/>
              </w:rPr>
              <w:t>47.</w:t>
            </w:r>
          </w:p>
        </w:tc>
        <w:tc>
          <w:tcPr>
            <w:tcW w:w="3034" w:type="dxa"/>
          </w:tcPr>
          <w:p>
            <w:pPr>
              <w:pStyle w:val="TableParagraph"/>
              <w:spacing w:line="249" w:lineRule="auto"/>
              <w:ind w:left="168" w:right="188"/>
              <w:rPr>
                <w:sz w:val="20"/>
              </w:rPr>
            </w:pPr>
            <w:r>
              <w:rPr>
                <w:spacing w:val="-2"/>
                <w:sz w:val="20"/>
              </w:rPr>
              <w:t>Эндоваскулярная </w:t>
            </w:r>
            <w:r>
              <w:rPr>
                <w:sz w:val="20"/>
              </w:rPr>
              <w:t>тромбэкстракция</w:t>
            </w:r>
            <w:r>
              <w:rPr>
                <w:spacing w:val="-13"/>
                <w:sz w:val="20"/>
              </w:rPr>
              <w:t> </w:t>
            </w:r>
            <w:r>
              <w:rPr>
                <w:sz w:val="20"/>
              </w:rPr>
              <w:t>при</w:t>
            </w:r>
            <w:r>
              <w:rPr>
                <w:spacing w:val="-12"/>
                <w:sz w:val="20"/>
              </w:rPr>
              <w:t> </w:t>
            </w:r>
            <w:r>
              <w:rPr>
                <w:sz w:val="20"/>
              </w:rPr>
              <w:t>остром ишемическом инсульте</w:t>
            </w:r>
          </w:p>
        </w:tc>
        <w:tc>
          <w:tcPr>
            <w:tcW w:w="1890" w:type="dxa"/>
          </w:tcPr>
          <w:p>
            <w:pPr>
              <w:pStyle w:val="TableParagraph"/>
              <w:spacing w:line="221" w:lineRule="exact"/>
              <w:ind w:left="221"/>
              <w:rPr>
                <w:sz w:val="20"/>
              </w:rPr>
            </w:pPr>
            <w:r>
              <w:rPr>
                <w:sz w:val="20"/>
              </w:rPr>
              <w:t>I63.0,</w:t>
            </w:r>
            <w:r>
              <w:rPr>
                <w:spacing w:val="-5"/>
                <w:sz w:val="20"/>
              </w:rPr>
              <w:t> </w:t>
            </w:r>
            <w:r>
              <w:rPr>
                <w:sz w:val="20"/>
              </w:rPr>
              <w:t>I63.1,</w:t>
            </w:r>
            <w:r>
              <w:rPr>
                <w:spacing w:val="-7"/>
                <w:sz w:val="20"/>
              </w:rPr>
              <w:t> </w:t>
            </w:r>
            <w:r>
              <w:rPr>
                <w:spacing w:val="-2"/>
                <w:sz w:val="20"/>
              </w:rPr>
              <w:t>I63.2,</w:t>
            </w:r>
          </w:p>
          <w:p>
            <w:pPr>
              <w:pStyle w:val="TableParagraph"/>
              <w:spacing w:line="249" w:lineRule="auto" w:before="10"/>
              <w:ind w:left="505" w:hanging="284"/>
              <w:rPr>
                <w:sz w:val="20"/>
              </w:rPr>
            </w:pPr>
            <w:r>
              <w:rPr>
                <w:sz w:val="20"/>
              </w:rPr>
              <w:t>I63.3,</w:t>
            </w:r>
            <w:r>
              <w:rPr>
                <w:spacing w:val="-13"/>
                <w:sz w:val="20"/>
              </w:rPr>
              <w:t> </w:t>
            </w:r>
            <w:r>
              <w:rPr>
                <w:sz w:val="20"/>
              </w:rPr>
              <w:t>I63.4,</w:t>
            </w:r>
            <w:r>
              <w:rPr>
                <w:spacing w:val="-12"/>
                <w:sz w:val="20"/>
              </w:rPr>
              <w:t> </w:t>
            </w:r>
            <w:r>
              <w:rPr>
                <w:sz w:val="20"/>
              </w:rPr>
              <w:t>I63.5, I63.8, I63.9</w:t>
            </w:r>
          </w:p>
        </w:tc>
        <w:tc>
          <w:tcPr>
            <w:tcW w:w="3194" w:type="dxa"/>
          </w:tcPr>
          <w:p>
            <w:pPr>
              <w:pStyle w:val="TableParagraph"/>
              <w:spacing w:line="249" w:lineRule="auto"/>
              <w:ind w:left="129" w:right="59"/>
              <w:rPr>
                <w:sz w:val="20"/>
              </w:rPr>
            </w:pPr>
            <w:r>
              <w:rPr>
                <w:sz w:val="20"/>
              </w:rPr>
              <w:t>острый ишемический инсульт, вызванный</w:t>
            </w:r>
            <w:r>
              <w:rPr>
                <w:spacing w:val="-13"/>
                <w:sz w:val="20"/>
              </w:rPr>
              <w:t> </w:t>
            </w:r>
            <w:r>
              <w:rPr>
                <w:sz w:val="20"/>
              </w:rPr>
              <w:t>тромботической</w:t>
            </w:r>
            <w:r>
              <w:rPr>
                <w:spacing w:val="-12"/>
                <w:sz w:val="20"/>
              </w:rPr>
              <w:t> </w:t>
            </w:r>
            <w:r>
              <w:rPr>
                <w:sz w:val="20"/>
              </w:rPr>
              <w:t>или эмболической окклюзией церебральных или прецеребральных артерий</w:t>
            </w:r>
          </w:p>
        </w:tc>
        <w:tc>
          <w:tcPr>
            <w:tcW w:w="1572" w:type="dxa"/>
          </w:tcPr>
          <w:p>
            <w:pPr>
              <w:pStyle w:val="TableParagraph"/>
              <w:spacing w:line="249" w:lineRule="auto"/>
              <w:ind w:left="91"/>
              <w:rPr>
                <w:sz w:val="20"/>
              </w:rPr>
            </w:pPr>
            <w:r>
              <w:rPr>
                <w:spacing w:val="-2"/>
                <w:sz w:val="20"/>
              </w:rPr>
              <w:t>хирургическое лечение</w:t>
            </w:r>
          </w:p>
        </w:tc>
        <w:tc>
          <w:tcPr>
            <w:tcW w:w="3732" w:type="dxa"/>
          </w:tcPr>
          <w:p>
            <w:pPr>
              <w:pStyle w:val="TableParagraph"/>
              <w:spacing w:line="249" w:lineRule="auto"/>
              <w:ind w:left="217" w:right="840"/>
              <w:rPr>
                <w:sz w:val="20"/>
              </w:rPr>
            </w:pPr>
            <w:r>
              <w:rPr>
                <w:sz w:val="20"/>
              </w:rPr>
              <w:t>эндоваскулярная</w:t>
            </w:r>
            <w:r>
              <w:rPr>
                <w:spacing w:val="-13"/>
                <w:sz w:val="20"/>
              </w:rPr>
              <w:t> </w:t>
            </w:r>
            <w:r>
              <w:rPr>
                <w:sz w:val="20"/>
              </w:rPr>
              <w:t>механическая тромбэкстракция и/или </w:t>
            </w:r>
            <w:r>
              <w:rPr>
                <w:spacing w:val="-2"/>
                <w:sz w:val="20"/>
              </w:rPr>
              <w:t>тромбоаспирация</w:t>
            </w:r>
          </w:p>
        </w:tc>
        <w:tc>
          <w:tcPr>
            <w:tcW w:w="1151" w:type="dxa"/>
          </w:tcPr>
          <w:p>
            <w:pPr>
              <w:pStyle w:val="TableParagraph"/>
              <w:spacing w:line="221" w:lineRule="exact"/>
              <w:ind w:right="52"/>
              <w:jc w:val="right"/>
              <w:rPr>
                <w:sz w:val="20"/>
              </w:rPr>
            </w:pPr>
            <w:r>
              <w:rPr>
                <w:spacing w:val="-2"/>
                <w:sz w:val="20"/>
              </w:rPr>
              <w:t>726413</w:t>
            </w:r>
          </w:p>
        </w:tc>
      </w:tr>
      <w:tr>
        <w:trPr>
          <w:trHeight w:val="3000" w:hRule="atLeast"/>
        </w:trPr>
        <w:tc>
          <w:tcPr>
            <w:tcW w:w="472" w:type="dxa"/>
          </w:tcPr>
          <w:p>
            <w:pPr>
              <w:pStyle w:val="TableParagraph"/>
              <w:spacing w:before="60"/>
              <w:ind w:left="50"/>
              <w:rPr>
                <w:sz w:val="20"/>
              </w:rPr>
            </w:pPr>
            <w:r>
              <w:rPr>
                <w:spacing w:val="-5"/>
                <w:sz w:val="20"/>
              </w:rPr>
              <w:t>48.</w:t>
            </w:r>
          </w:p>
        </w:tc>
        <w:tc>
          <w:tcPr>
            <w:tcW w:w="3034" w:type="dxa"/>
          </w:tcPr>
          <w:p>
            <w:pPr>
              <w:pStyle w:val="TableParagraph"/>
              <w:spacing w:line="249" w:lineRule="auto" w:before="60"/>
              <w:ind w:left="168" w:right="188"/>
              <w:rPr>
                <w:sz w:val="20"/>
              </w:rPr>
            </w:pPr>
            <w:r>
              <w:rPr>
                <w:sz w:val="20"/>
              </w:rPr>
              <w:t>Коронарная реваскуляризация миокарда с применением </w:t>
            </w:r>
            <w:r>
              <w:rPr>
                <w:spacing w:val="-2"/>
                <w:sz w:val="20"/>
              </w:rPr>
              <w:t>аортокоронарного </w:t>
            </w:r>
            <w:r>
              <w:rPr>
                <w:sz w:val="20"/>
              </w:rPr>
              <w:t>шунтирования при ишемической болезни и различных</w:t>
            </w:r>
            <w:r>
              <w:rPr>
                <w:spacing w:val="-13"/>
                <w:sz w:val="20"/>
              </w:rPr>
              <w:t> </w:t>
            </w:r>
            <w:r>
              <w:rPr>
                <w:sz w:val="20"/>
              </w:rPr>
              <w:t>формах</w:t>
            </w:r>
            <w:r>
              <w:rPr>
                <w:spacing w:val="-12"/>
                <w:sz w:val="20"/>
              </w:rPr>
              <w:t> </w:t>
            </w:r>
            <w:r>
              <w:rPr>
                <w:sz w:val="20"/>
              </w:rPr>
              <w:t>сочетанной </w:t>
            </w:r>
            <w:r>
              <w:rPr>
                <w:spacing w:val="-2"/>
                <w:sz w:val="20"/>
              </w:rPr>
              <w:t>патологии</w:t>
            </w:r>
          </w:p>
        </w:tc>
        <w:tc>
          <w:tcPr>
            <w:tcW w:w="1890" w:type="dxa"/>
          </w:tcPr>
          <w:p>
            <w:pPr>
              <w:pStyle w:val="TableParagraph"/>
              <w:spacing w:before="60"/>
              <w:ind w:left="178" w:right="124"/>
              <w:jc w:val="center"/>
              <w:rPr>
                <w:sz w:val="20"/>
              </w:rPr>
            </w:pPr>
            <w:hyperlink r:id="rId361">
              <w:r>
                <w:rPr>
                  <w:sz w:val="20"/>
                </w:rPr>
                <w:t>I20,</w:t>
              </w:r>
              <w:r>
                <w:rPr>
                  <w:spacing w:val="-2"/>
                  <w:sz w:val="20"/>
                </w:rPr>
                <w:t> </w:t>
              </w:r>
            </w:hyperlink>
            <w:hyperlink r:id="rId362">
              <w:r>
                <w:rPr>
                  <w:sz w:val="20"/>
                </w:rPr>
                <w:t>I21,</w:t>
              </w:r>
              <w:r>
                <w:rPr>
                  <w:spacing w:val="-4"/>
                  <w:sz w:val="20"/>
                </w:rPr>
                <w:t> </w:t>
              </w:r>
            </w:hyperlink>
            <w:hyperlink r:id="rId350">
              <w:r>
                <w:rPr>
                  <w:sz w:val="20"/>
                </w:rPr>
                <w:t>I22,</w:t>
              </w:r>
              <w:r>
                <w:rPr>
                  <w:spacing w:val="-1"/>
                  <w:sz w:val="20"/>
                </w:rPr>
                <w:t> </w:t>
              </w:r>
            </w:hyperlink>
            <w:hyperlink r:id="rId363">
              <w:r>
                <w:rPr>
                  <w:spacing w:val="-2"/>
                  <w:sz w:val="20"/>
                </w:rPr>
                <w:t>I24.0,</w:t>
              </w:r>
            </w:hyperlink>
          </w:p>
        </w:tc>
        <w:tc>
          <w:tcPr>
            <w:tcW w:w="3194" w:type="dxa"/>
          </w:tcPr>
          <w:p>
            <w:pPr>
              <w:pStyle w:val="TableParagraph"/>
              <w:spacing w:line="249" w:lineRule="auto" w:before="60"/>
              <w:ind w:left="129" w:right="59"/>
              <w:rPr>
                <w:sz w:val="20"/>
              </w:rPr>
            </w:pPr>
            <w:r>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w:t>
            </w:r>
            <w:r>
              <w:rPr>
                <w:spacing w:val="-11"/>
                <w:sz w:val="20"/>
              </w:rPr>
              <w:t> </w:t>
            </w:r>
            <w:r>
              <w:rPr>
                <w:sz w:val="20"/>
              </w:rPr>
              <w:t>артерий</w:t>
            </w:r>
            <w:r>
              <w:rPr>
                <w:spacing w:val="-11"/>
                <w:sz w:val="20"/>
              </w:rPr>
              <w:t> </w:t>
            </w:r>
            <w:r>
              <w:rPr>
                <w:sz w:val="20"/>
              </w:rPr>
              <w:t>в</w:t>
            </w:r>
            <w:r>
              <w:rPr>
                <w:spacing w:val="-11"/>
                <w:sz w:val="20"/>
              </w:rPr>
              <w:t> </w:t>
            </w:r>
            <w:r>
              <w:rPr>
                <w:sz w:val="20"/>
              </w:rPr>
              <w:t>сочетании</w:t>
            </w:r>
            <w:r>
              <w:rPr>
                <w:spacing w:val="-11"/>
                <w:sz w:val="20"/>
              </w:rPr>
              <w:t> </w:t>
            </w:r>
            <w:r>
              <w:rPr>
                <w:sz w:val="20"/>
              </w:rPr>
              <w:t>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72" w:type="dxa"/>
          </w:tcPr>
          <w:p>
            <w:pPr>
              <w:pStyle w:val="TableParagraph"/>
              <w:spacing w:line="249" w:lineRule="auto" w:before="60"/>
              <w:ind w:left="91"/>
              <w:rPr>
                <w:sz w:val="20"/>
              </w:rPr>
            </w:pPr>
            <w:r>
              <w:rPr>
                <w:spacing w:val="-2"/>
                <w:sz w:val="20"/>
              </w:rPr>
              <w:t>хирургическое лечение</w:t>
            </w:r>
          </w:p>
        </w:tc>
        <w:tc>
          <w:tcPr>
            <w:tcW w:w="3732" w:type="dxa"/>
          </w:tcPr>
          <w:p>
            <w:pPr>
              <w:pStyle w:val="TableParagraph"/>
              <w:spacing w:line="249" w:lineRule="auto" w:before="60"/>
              <w:ind w:left="217" w:right="143"/>
              <w:rPr>
                <w:sz w:val="20"/>
              </w:rPr>
            </w:pPr>
            <w:r>
              <w:rPr>
                <w:sz w:val="20"/>
              </w:rPr>
              <w:t>аортокоронарное</w:t>
            </w:r>
            <w:r>
              <w:rPr>
                <w:spacing w:val="-7"/>
                <w:sz w:val="20"/>
              </w:rPr>
              <w:t> </w:t>
            </w:r>
            <w:r>
              <w:rPr>
                <w:sz w:val="20"/>
              </w:rPr>
              <w:t>шунтирование</w:t>
            </w:r>
            <w:r>
              <w:rPr>
                <w:spacing w:val="-4"/>
                <w:sz w:val="20"/>
              </w:rPr>
              <w:t> </w:t>
            </w:r>
            <w:r>
              <w:rPr>
                <w:sz w:val="20"/>
              </w:rPr>
              <w:t>у больных ишемической болезнью сердца</w:t>
            </w:r>
            <w:r>
              <w:rPr>
                <w:spacing w:val="-13"/>
                <w:sz w:val="20"/>
              </w:rPr>
              <w:t> </w:t>
            </w:r>
            <w:r>
              <w:rPr>
                <w:sz w:val="20"/>
              </w:rPr>
              <w:t>в</w:t>
            </w:r>
            <w:r>
              <w:rPr>
                <w:spacing w:val="-12"/>
                <w:sz w:val="20"/>
              </w:rPr>
              <w:t> </w:t>
            </w:r>
            <w:r>
              <w:rPr>
                <w:sz w:val="20"/>
              </w:rPr>
              <w:t>условиях</w:t>
            </w:r>
            <w:r>
              <w:rPr>
                <w:spacing w:val="-13"/>
                <w:sz w:val="20"/>
              </w:rPr>
              <w:t> </w:t>
            </w:r>
            <w:r>
              <w:rPr>
                <w:sz w:val="20"/>
              </w:rPr>
              <w:t>искусственного </w:t>
            </w:r>
            <w:r>
              <w:rPr>
                <w:spacing w:val="-2"/>
                <w:sz w:val="20"/>
              </w:rPr>
              <w:t>кровоснабжения</w:t>
            </w:r>
          </w:p>
        </w:tc>
        <w:tc>
          <w:tcPr>
            <w:tcW w:w="1151" w:type="dxa"/>
          </w:tcPr>
          <w:p>
            <w:pPr>
              <w:pStyle w:val="TableParagraph"/>
              <w:spacing w:before="60"/>
              <w:ind w:right="52"/>
              <w:jc w:val="right"/>
              <w:rPr>
                <w:sz w:val="20"/>
              </w:rPr>
            </w:pPr>
            <w:r>
              <w:rPr>
                <w:spacing w:val="-2"/>
                <w:sz w:val="20"/>
              </w:rPr>
              <w:t>387407</w:t>
            </w:r>
          </w:p>
        </w:tc>
      </w:tr>
      <w:tr>
        <w:trPr>
          <w:trHeight w:val="420" w:hRule="atLeast"/>
        </w:trPr>
        <w:tc>
          <w:tcPr>
            <w:tcW w:w="15045" w:type="dxa"/>
            <w:gridSpan w:val="7"/>
          </w:tcPr>
          <w:p>
            <w:pPr>
              <w:pStyle w:val="TableParagraph"/>
              <w:spacing w:before="60"/>
              <w:ind w:left="6714" w:right="6403"/>
              <w:jc w:val="center"/>
              <w:rPr>
                <w:sz w:val="20"/>
              </w:rPr>
            </w:pPr>
            <w:r>
              <w:rPr>
                <w:sz w:val="20"/>
              </w:rPr>
              <w:t>Торакальная</w:t>
            </w:r>
            <w:r>
              <w:rPr>
                <w:spacing w:val="-11"/>
                <w:sz w:val="20"/>
              </w:rPr>
              <w:t> </w:t>
            </w:r>
            <w:r>
              <w:rPr>
                <w:spacing w:val="-2"/>
                <w:sz w:val="20"/>
              </w:rPr>
              <w:t>хирургия</w:t>
            </w:r>
          </w:p>
        </w:tc>
      </w:tr>
      <w:tr>
        <w:trPr>
          <w:trHeight w:val="840" w:hRule="atLeast"/>
        </w:trPr>
        <w:tc>
          <w:tcPr>
            <w:tcW w:w="472" w:type="dxa"/>
          </w:tcPr>
          <w:p>
            <w:pPr>
              <w:pStyle w:val="TableParagraph"/>
              <w:spacing w:before="120"/>
              <w:ind w:left="50"/>
              <w:rPr>
                <w:sz w:val="20"/>
              </w:rPr>
            </w:pPr>
            <w:r>
              <w:rPr>
                <w:spacing w:val="-5"/>
                <w:sz w:val="20"/>
              </w:rPr>
              <w:t>49.</w:t>
            </w:r>
          </w:p>
        </w:tc>
        <w:tc>
          <w:tcPr>
            <w:tcW w:w="3034" w:type="dxa"/>
          </w:tcPr>
          <w:p>
            <w:pPr>
              <w:pStyle w:val="TableParagraph"/>
              <w:spacing w:line="240" w:lineRule="atLeast" w:before="100"/>
              <w:ind w:left="168" w:right="188"/>
              <w:rPr>
                <w:sz w:val="20"/>
              </w:rPr>
            </w:pPr>
            <w:r>
              <w:rPr>
                <w:sz w:val="20"/>
              </w:rPr>
              <w:t>Эндоскопические и эндоваскулярные</w:t>
            </w:r>
            <w:r>
              <w:rPr>
                <w:spacing w:val="-13"/>
                <w:sz w:val="20"/>
              </w:rPr>
              <w:t> </w:t>
            </w:r>
            <w:r>
              <w:rPr>
                <w:sz w:val="20"/>
              </w:rPr>
              <w:t>операции</w:t>
            </w:r>
            <w:r>
              <w:rPr>
                <w:spacing w:val="-12"/>
                <w:sz w:val="20"/>
              </w:rPr>
              <w:t> </w:t>
            </w:r>
            <w:r>
              <w:rPr>
                <w:sz w:val="20"/>
              </w:rPr>
              <w:t>на органах грудной полости</w:t>
            </w:r>
          </w:p>
        </w:tc>
        <w:tc>
          <w:tcPr>
            <w:tcW w:w="1890" w:type="dxa"/>
          </w:tcPr>
          <w:p>
            <w:pPr>
              <w:pStyle w:val="TableParagraph"/>
              <w:spacing w:before="120"/>
              <w:ind w:left="178" w:right="122"/>
              <w:jc w:val="center"/>
              <w:rPr>
                <w:sz w:val="20"/>
              </w:rPr>
            </w:pPr>
            <w:hyperlink r:id="rId294">
              <w:r>
                <w:rPr>
                  <w:spacing w:val="-2"/>
                  <w:sz w:val="20"/>
                </w:rPr>
                <w:t>I27.0</w:t>
              </w:r>
            </w:hyperlink>
          </w:p>
        </w:tc>
        <w:tc>
          <w:tcPr>
            <w:tcW w:w="3194" w:type="dxa"/>
          </w:tcPr>
          <w:p>
            <w:pPr>
              <w:pStyle w:val="TableParagraph"/>
              <w:spacing w:before="120"/>
              <w:ind w:left="129"/>
              <w:rPr>
                <w:sz w:val="20"/>
              </w:rPr>
            </w:pPr>
            <w:r>
              <w:rPr>
                <w:sz w:val="20"/>
              </w:rPr>
              <w:t>первичная</w:t>
            </w:r>
            <w:r>
              <w:rPr>
                <w:spacing w:val="-13"/>
                <w:sz w:val="20"/>
              </w:rPr>
              <w:t> </w:t>
            </w:r>
            <w:r>
              <w:rPr>
                <w:sz w:val="20"/>
              </w:rPr>
              <w:t>легочная</w:t>
            </w:r>
            <w:r>
              <w:rPr>
                <w:spacing w:val="-12"/>
                <w:sz w:val="20"/>
              </w:rPr>
              <w:t> </w:t>
            </w:r>
            <w:r>
              <w:rPr>
                <w:spacing w:val="-2"/>
                <w:sz w:val="20"/>
              </w:rPr>
              <w:t>гипертензия</w:t>
            </w:r>
          </w:p>
        </w:tc>
        <w:tc>
          <w:tcPr>
            <w:tcW w:w="1572" w:type="dxa"/>
          </w:tcPr>
          <w:p>
            <w:pPr>
              <w:pStyle w:val="TableParagraph"/>
              <w:spacing w:line="249" w:lineRule="auto" w:before="120"/>
              <w:ind w:left="91"/>
              <w:rPr>
                <w:sz w:val="20"/>
              </w:rPr>
            </w:pPr>
            <w:r>
              <w:rPr>
                <w:spacing w:val="-2"/>
                <w:sz w:val="20"/>
              </w:rPr>
              <w:t>хирургическое лечение</w:t>
            </w:r>
          </w:p>
        </w:tc>
        <w:tc>
          <w:tcPr>
            <w:tcW w:w="3732" w:type="dxa"/>
          </w:tcPr>
          <w:p>
            <w:pPr>
              <w:pStyle w:val="TableParagraph"/>
              <w:spacing w:before="120"/>
              <w:ind w:left="217"/>
              <w:rPr>
                <w:sz w:val="20"/>
              </w:rPr>
            </w:pPr>
            <w:r>
              <w:rPr>
                <w:spacing w:val="-2"/>
                <w:sz w:val="20"/>
              </w:rPr>
              <w:t>атриосептостомия</w:t>
            </w:r>
          </w:p>
        </w:tc>
        <w:tc>
          <w:tcPr>
            <w:tcW w:w="1151" w:type="dxa"/>
          </w:tcPr>
          <w:p>
            <w:pPr>
              <w:pStyle w:val="TableParagraph"/>
              <w:spacing w:before="120"/>
              <w:ind w:right="52"/>
              <w:jc w:val="right"/>
              <w:rPr>
                <w:sz w:val="20"/>
              </w:rPr>
            </w:pPr>
            <w:r>
              <w:rPr>
                <w:spacing w:val="-2"/>
                <w:sz w:val="20"/>
              </w:rPr>
              <w:t>157689</w:t>
            </w:r>
          </w:p>
        </w:tc>
      </w:tr>
      <w:tr>
        <w:trPr>
          <w:trHeight w:val="600" w:hRule="atLeast"/>
        </w:trPr>
        <w:tc>
          <w:tcPr>
            <w:tcW w:w="472" w:type="dxa"/>
          </w:tcPr>
          <w:p>
            <w:pPr>
              <w:pStyle w:val="TableParagraph"/>
              <w:rPr>
                <w:sz w:val="18"/>
              </w:rPr>
            </w:pPr>
          </w:p>
        </w:tc>
        <w:tc>
          <w:tcPr>
            <w:tcW w:w="3034" w:type="dxa"/>
          </w:tcPr>
          <w:p>
            <w:pPr>
              <w:pStyle w:val="TableParagraph"/>
              <w:rPr>
                <w:sz w:val="18"/>
              </w:rPr>
            </w:pPr>
          </w:p>
        </w:tc>
        <w:tc>
          <w:tcPr>
            <w:tcW w:w="1890" w:type="dxa"/>
          </w:tcPr>
          <w:p>
            <w:pPr>
              <w:pStyle w:val="TableParagraph"/>
              <w:ind w:left="178" w:right="124"/>
              <w:jc w:val="center"/>
              <w:rPr>
                <w:sz w:val="20"/>
              </w:rPr>
            </w:pPr>
            <w:hyperlink r:id="rId364">
              <w:r>
                <w:rPr>
                  <w:spacing w:val="-5"/>
                  <w:sz w:val="20"/>
                </w:rPr>
                <w:t>I37</w:t>
              </w:r>
            </w:hyperlink>
          </w:p>
        </w:tc>
        <w:tc>
          <w:tcPr>
            <w:tcW w:w="3194" w:type="dxa"/>
          </w:tcPr>
          <w:p>
            <w:pPr>
              <w:pStyle w:val="TableParagraph"/>
              <w:ind w:left="129"/>
              <w:rPr>
                <w:sz w:val="20"/>
              </w:rPr>
            </w:pPr>
            <w:r>
              <w:rPr>
                <w:sz w:val="20"/>
              </w:rPr>
              <w:t>стеноз</w:t>
            </w:r>
            <w:r>
              <w:rPr>
                <w:spacing w:val="-7"/>
                <w:sz w:val="20"/>
              </w:rPr>
              <w:t> </w:t>
            </w:r>
            <w:r>
              <w:rPr>
                <w:sz w:val="20"/>
              </w:rPr>
              <w:t>клапана</w:t>
            </w:r>
            <w:r>
              <w:rPr>
                <w:spacing w:val="-7"/>
                <w:sz w:val="20"/>
              </w:rPr>
              <w:t> </w:t>
            </w:r>
            <w:r>
              <w:rPr>
                <w:sz w:val="20"/>
              </w:rPr>
              <w:t>легочной</w:t>
            </w:r>
            <w:r>
              <w:rPr>
                <w:spacing w:val="-8"/>
                <w:sz w:val="20"/>
              </w:rPr>
              <w:t> </w:t>
            </w:r>
            <w:r>
              <w:rPr>
                <w:spacing w:val="-2"/>
                <w:sz w:val="20"/>
              </w:rPr>
              <w:t>артерии</w:t>
            </w:r>
          </w:p>
        </w:tc>
        <w:tc>
          <w:tcPr>
            <w:tcW w:w="1572" w:type="dxa"/>
          </w:tcPr>
          <w:p>
            <w:pPr>
              <w:pStyle w:val="TableParagraph"/>
              <w:spacing w:line="249" w:lineRule="auto"/>
              <w:ind w:left="91"/>
              <w:rPr>
                <w:sz w:val="20"/>
              </w:rPr>
            </w:pPr>
            <w:r>
              <w:rPr>
                <w:spacing w:val="-2"/>
                <w:sz w:val="20"/>
              </w:rPr>
              <w:t>хирургическое лечение</w:t>
            </w:r>
          </w:p>
        </w:tc>
        <w:tc>
          <w:tcPr>
            <w:tcW w:w="3732" w:type="dxa"/>
          </w:tcPr>
          <w:p>
            <w:pPr>
              <w:pStyle w:val="TableParagraph"/>
              <w:ind w:left="217"/>
              <w:rPr>
                <w:sz w:val="20"/>
              </w:rPr>
            </w:pPr>
            <w:r>
              <w:rPr>
                <w:sz w:val="20"/>
              </w:rPr>
              <w:t>баллонная</w:t>
            </w:r>
            <w:r>
              <w:rPr>
                <w:spacing w:val="-11"/>
                <w:sz w:val="20"/>
              </w:rPr>
              <w:t> </w:t>
            </w:r>
            <w:r>
              <w:rPr>
                <w:spacing w:val="-2"/>
                <w:sz w:val="20"/>
              </w:rPr>
              <w:t>ангиопластика</w:t>
            </w:r>
          </w:p>
        </w:tc>
        <w:tc>
          <w:tcPr>
            <w:tcW w:w="1151" w:type="dxa"/>
          </w:tcPr>
          <w:p>
            <w:pPr>
              <w:pStyle w:val="TableParagraph"/>
              <w:rPr>
                <w:sz w:val="18"/>
              </w:rPr>
            </w:pPr>
          </w:p>
        </w:tc>
      </w:tr>
      <w:tr>
        <w:trPr>
          <w:trHeight w:val="960" w:hRule="atLeast"/>
        </w:trPr>
        <w:tc>
          <w:tcPr>
            <w:tcW w:w="472" w:type="dxa"/>
          </w:tcPr>
          <w:p>
            <w:pPr>
              <w:pStyle w:val="TableParagraph"/>
              <w:rPr>
                <w:sz w:val="18"/>
              </w:rPr>
            </w:pPr>
          </w:p>
        </w:tc>
        <w:tc>
          <w:tcPr>
            <w:tcW w:w="3034" w:type="dxa"/>
          </w:tcPr>
          <w:p>
            <w:pPr>
              <w:pStyle w:val="TableParagraph"/>
              <w:spacing w:line="249" w:lineRule="auto" w:before="120"/>
              <w:ind w:left="168" w:right="188"/>
              <w:rPr>
                <w:sz w:val="20"/>
              </w:rPr>
            </w:pPr>
            <w:r>
              <w:rPr>
                <w:spacing w:val="-2"/>
                <w:sz w:val="20"/>
              </w:rPr>
              <w:t>Видеоторакоскопические </w:t>
            </w:r>
            <w:r>
              <w:rPr>
                <w:sz w:val="20"/>
              </w:rPr>
              <w:t>операции</w:t>
            </w:r>
            <w:r>
              <w:rPr>
                <w:spacing w:val="-13"/>
                <w:sz w:val="20"/>
              </w:rPr>
              <w:t> </w:t>
            </w:r>
            <w:r>
              <w:rPr>
                <w:sz w:val="20"/>
              </w:rPr>
              <w:t>на</w:t>
            </w:r>
            <w:r>
              <w:rPr>
                <w:spacing w:val="-12"/>
                <w:sz w:val="20"/>
              </w:rPr>
              <w:t> </w:t>
            </w:r>
            <w:r>
              <w:rPr>
                <w:sz w:val="20"/>
              </w:rPr>
              <w:t>органах</w:t>
            </w:r>
            <w:r>
              <w:rPr>
                <w:spacing w:val="-13"/>
                <w:sz w:val="20"/>
              </w:rPr>
              <w:t> </w:t>
            </w:r>
            <w:r>
              <w:rPr>
                <w:sz w:val="20"/>
              </w:rPr>
              <w:t>грудной </w:t>
            </w:r>
            <w:r>
              <w:rPr>
                <w:spacing w:val="-2"/>
                <w:sz w:val="20"/>
              </w:rPr>
              <w:t>полости</w:t>
            </w:r>
          </w:p>
        </w:tc>
        <w:tc>
          <w:tcPr>
            <w:tcW w:w="1890" w:type="dxa"/>
          </w:tcPr>
          <w:p>
            <w:pPr>
              <w:pStyle w:val="TableParagraph"/>
              <w:spacing w:before="120"/>
              <w:ind w:left="178" w:right="122"/>
              <w:jc w:val="center"/>
              <w:rPr>
                <w:sz w:val="20"/>
              </w:rPr>
            </w:pPr>
            <w:hyperlink r:id="rId365">
              <w:r>
                <w:rPr>
                  <w:spacing w:val="-5"/>
                  <w:sz w:val="20"/>
                </w:rPr>
                <w:t>J43</w:t>
              </w:r>
            </w:hyperlink>
          </w:p>
        </w:tc>
        <w:tc>
          <w:tcPr>
            <w:tcW w:w="3194" w:type="dxa"/>
          </w:tcPr>
          <w:p>
            <w:pPr>
              <w:pStyle w:val="TableParagraph"/>
              <w:spacing w:before="120"/>
              <w:ind w:left="129"/>
              <w:rPr>
                <w:sz w:val="20"/>
              </w:rPr>
            </w:pPr>
            <w:r>
              <w:rPr>
                <w:sz w:val="20"/>
              </w:rPr>
              <w:t>эмфизема</w:t>
            </w:r>
            <w:r>
              <w:rPr>
                <w:spacing w:val="-7"/>
                <w:sz w:val="20"/>
              </w:rPr>
              <w:t> </w:t>
            </w:r>
            <w:r>
              <w:rPr>
                <w:spacing w:val="-2"/>
                <w:sz w:val="20"/>
              </w:rPr>
              <w:t>легкого</w:t>
            </w:r>
          </w:p>
        </w:tc>
        <w:tc>
          <w:tcPr>
            <w:tcW w:w="1572" w:type="dxa"/>
          </w:tcPr>
          <w:p>
            <w:pPr>
              <w:pStyle w:val="TableParagraph"/>
              <w:spacing w:line="249" w:lineRule="auto" w:before="120"/>
              <w:ind w:left="91"/>
              <w:rPr>
                <w:sz w:val="20"/>
              </w:rPr>
            </w:pPr>
            <w:r>
              <w:rPr>
                <w:spacing w:val="-2"/>
                <w:sz w:val="20"/>
              </w:rPr>
              <w:t>хирургическое лечение</w:t>
            </w:r>
          </w:p>
        </w:tc>
        <w:tc>
          <w:tcPr>
            <w:tcW w:w="3732" w:type="dxa"/>
          </w:tcPr>
          <w:p>
            <w:pPr>
              <w:pStyle w:val="TableParagraph"/>
              <w:spacing w:line="249" w:lineRule="auto" w:before="120"/>
              <w:ind w:left="217" w:right="143"/>
              <w:rPr>
                <w:sz w:val="20"/>
              </w:rPr>
            </w:pPr>
            <w:r>
              <w:rPr>
                <w:sz w:val="20"/>
              </w:rPr>
              <w:t>видеоторакоскопическая резекция легких</w:t>
            </w:r>
            <w:r>
              <w:rPr>
                <w:spacing w:val="-13"/>
                <w:sz w:val="20"/>
              </w:rPr>
              <w:t> </w:t>
            </w:r>
            <w:r>
              <w:rPr>
                <w:sz w:val="20"/>
              </w:rPr>
              <w:t>при</w:t>
            </w:r>
            <w:r>
              <w:rPr>
                <w:spacing w:val="-12"/>
                <w:sz w:val="20"/>
              </w:rPr>
              <w:t> </w:t>
            </w:r>
            <w:r>
              <w:rPr>
                <w:sz w:val="20"/>
              </w:rPr>
              <w:t>осложненной</w:t>
            </w:r>
            <w:r>
              <w:rPr>
                <w:spacing w:val="-13"/>
                <w:sz w:val="20"/>
              </w:rPr>
              <w:t> </w:t>
            </w:r>
            <w:r>
              <w:rPr>
                <w:sz w:val="20"/>
              </w:rPr>
              <w:t>эмфиземе</w:t>
            </w:r>
          </w:p>
        </w:tc>
        <w:tc>
          <w:tcPr>
            <w:tcW w:w="1151" w:type="dxa"/>
          </w:tcPr>
          <w:p>
            <w:pPr>
              <w:pStyle w:val="TableParagraph"/>
              <w:rPr>
                <w:sz w:val="18"/>
              </w:rPr>
            </w:pPr>
          </w:p>
        </w:tc>
      </w:tr>
      <w:tr>
        <w:trPr>
          <w:trHeight w:val="1070" w:hRule="atLeast"/>
        </w:trPr>
        <w:tc>
          <w:tcPr>
            <w:tcW w:w="472" w:type="dxa"/>
          </w:tcPr>
          <w:p>
            <w:pPr>
              <w:pStyle w:val="TableParagraph"/>
              <w:spacing w:before="120"/>
              <w:ind w:left="50"/>
              <w:rPr>
                <w:sz w:val="20"/>
              </w:rPr>
            </w:pPr>
            <w:r>
              <w:rPr>
                <w:spacing w:val="-5"/>
                <w:sz w:val="20"/>
              </w:rPr>
              <w:t>50.</w:t>
            </w:r>
          </w:p>
        </w:tc>
        <w:tc>
          <w:tcPr>
            <w:tcW w:w="3034" w:type="dxa"/>
          </w:tcPr>
          <w:p>
            <w:pPr>
              <w:pStyle w:val="TableParagraph"/>
              <w:spacing w:line="240" w:lineRule="atLeast" w:before="90"/>
              <w:ind w:left="168" w:right="188"/>
              <w:rPr>
                <w:sz w:val="20"/>
              </w:rPr>
            </w:pPr>
            <w:r>
              <w:rPr>
                <w:sz w:val="20"/>
              </w:rPr>
              <w:t>Расширенные и </w:t>
            </w:r>
            <w:r>
              <w:rPr>
                <w:spacing w:val="-2"/>
                <w:sz w:val="20"/>
              </w:rPr>
              <w:t>реконструктивно-пластические </w:t>
            </w:r>
            <w:r>
              <w:rPr>
                <w:sz w:val="20"/>
              </w:rPr>
              <w:t>операции на органах грудной </w:t>
            </w:r>
            <w:r>
              <w:rPr>
                <w:spacing w:val="-2"/>
                <w:sz w:val="20"/>
              </w:rPr>
              <w:t>полости</w:t>
            </w:r>
          </w:p>
        </w:tc>
        <w:tc>
          <w:tcPr>
            <w:tcW w:w="1890" w:type="dxa"/>
          </w:tcPr>
          <w:p>
            <w:pPr>
              <w:pStyle w:val="TableParagraph"/>
              <w:spacing w:before="120"/>
              <w:ind w:left="178" w:right="122"/>
              <w:jc w:val="center"/>
              <w:rPr>
                <w:sz w:val="20"/>
              </w:rPr>
            </w:pPr>
            <w:hyperlink r:id="rId365">
              <w:r>
                <w:rPr>
                  <w:spacing w:val="-5"/>
                  <w:sz w:val="20"/>
                </w:rPr>
                <w:t>J43</w:t>
              </w:r>
            </w:hyperlink>
          </w:p>
        </w:tc>
        <w:tc>
          <w:tcPr>
            <w:tcW w:w="3194" w:type="dxa"/>
          </w:tcPr>
          <w:p>
            <w:pPr>
              <w:pStyle w:val="TableParagraph"/>
              <w:spacing w:before="120"/>
              <w:ind w:left="129"/>
              <w:rPr>
                <w:sz w:val="20"/>
              </w:rPr>
            </w:pPr>
            <w:r>
              <w:rPr>
                <w:sz w:val="20"/>
              </w:rPr>
              <w:t>эмфизема</w:t>
            </w:r>
            <w:r>
              <w:rPr>
                <w:spacing w:val="-7"/>
                <w:sz w:val="20"/>
              </w:rPr>
              <w:t> </w:t>
            </w:r>
            <w:r>
              <w:rPr>
                <w:spacing w:val="-2"/>
                <w:sz w:val="20"/>
              </w:rPr>
              <w:t>легкого</w:t>
            </w:r>
          </w:p>
        </w:tc>
        <w:tc>
          <w:tcPr>
            <w:tcW w:w="1572" w:type="dxa"/>
          </w:tcPr>
          <w:p>
            <w:pPr>
              <w:pStyle w:val="TableParagraph"/>
              <w:spacing w:line="249" w:lineRule="auto" w:before="120"/>
              <w:ind w:left="91"/>
              <w:rPr>
                <w:sz w:val="20"/>
              </w:rPr>
            </w:pPr>
            <w:r>
              <w:rPr>
                <w:spacing w:val="-2"/>
                <w:sz w:val="20"/>
              </w:rPr>
              <w:t>хирургическое лечение</w:t>
            </w:r>
          </w:p>
        </w:tc>
        <w:tc>
          <w:tcPr>
            <w:tcW w:w="3732" w:type="dxa"/>
          </w:tcPr>
          <w:p>
            <w:pPr>
              <w:pStyle w:val="TableParagraph"/>
              <w:spacing w:before="120"/>
              <w:ind w:left="217"/>
              <w:rPr>
                <w:sz w:val="20"/>
              </w:rPr>
            </w:pPr>
            <w:r>
              <w:rPr>
                <w:sz w:val="20"/>
              </w:rPr>
              <w:t>пластика</w:t>
            </w:r>
            <w:r>
              <w:rPr>
                <w:spacing w:val="-9"/>
                <w:sz w:val="20"/>
              </w:rPr>
              <w:t> </w:t>
            </w:r>
            <w:r>
              <w:rPr>
                <w:sz w:val="20"/>
              </w:rPr>
              <w:t>гигантских</w:t>
            </w:r>
            <w:r>
              <w:rPr>
                <w:spacing w:val="-10"/>
                <w:sz w:val="20"/>
              </w:rPr>
              <w:t> </w:t>
            </w:r>
            <w:r>
              <w:rPr>
                <w:sz w:val="20"/>
              </w:rPr>
              <w:t>булл</w:t>
            </w:r>
            <w:r>
              <w:rPr>
                <w:spacing w:val="-8"/>
                <w:sz w:val="20"/>
              </w:rPr>
              <w:t> </w:t>
            </w:r>
            <w:r>
              <w:rPr>
                <w:spacing w:val="-2"/>
                <w:sz w:val="20"/>
              </w:rPr>
              <w:t>легкого</w:t>
            </w:r>
          </w:p>
        </w:tc>
        <w:tc>
          <w:tcPr>
            <w:tcW w:w="1151" w:type="dxa"/>
          </w:tcPr>
          <w:p>
            <w:pPr>
              <w:pStyle w:val="TableParagraph"/>
              <w:spacing w:before="120"/>
              <w:ind w:right="52"/>
              <w:jc w:val="right"/>
              <w:rPr>
                <w:sz w:val="20"/>
              </w:rPr>
            </w:pPr>
            <w:r>
              <w:rPr>
                <w:spacing w:val="-2"/>
                <w:sz w:val="20"/>
              </w:rPr>
              <w:t>275118</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07"/>
        <w:gridCol w:w="1990"/>
        <w:gridCol w:w="3128"/>
        <w:gridCol w:w="1562"/>
        <w:gridCol w:w="3858"/>
        <w:gridCol w:w="1024"/>
      </w:tblGrid>
      <w:tr>
        <w:trPr>
          <w:trHeight w:val="350" w:hRule="atLeast"/>
        </w:trPr>
        <w:tc>
          <w:tcPr>
            <w:tcW w:w="15041" w:type="dxa"/>
            <w:gridSpan w:val="7"/>
          </w:tcPr>
          <w:p>
            <w:pPr>
              <w:pStyle w:val="TableParagraph"/>
              <w:spacing w:line="221" w:lineRule="exact"/>
              <w:ind w:left="6485" w:right="6169"/>
              <w:jc w:val="center"/>
              <w:rPr>
                <w:sz w:val="20"/>
              </w:rPr>
            </w:pPr>
            <w:r>
              <w:rPr>
                <w:sz w:val="20"/>
              </w:rPr>
              <w:t>Травматология</w:t>
            </w:r>
            <w:r>
              <w:rPr>
                <w:spacing w:val="-8"/>
                <w:sz w:val="20"/>
              </w:rPr>
              <w:t> </w:t>
            </w:r>
            <w:r>
              <w:rPr>
                <w:sz w:val="20"/>
              </w:rPr>
              <w:t>и</w:t>
            </w:r>
            <w:r>
              <w:rPr>
                <w:spacing w:val="-7"/>
                <w:sz w:val="20"/>
              </w:rPr>
              <w:t> </w:t>
            </w:r>
            <w:r>
              <w:rPr>
                <w:spacing w:val="-2"/>
                <w:sz w:val="20"/>
              </w:rPr>
              <w:t>ортопедия</w:t>
            </w:r>
          </w:p>
        </w:tc>
      </w:tr>
      <w:tr>
        <w:trPr>
          <w:trHeight w:val="2640" w:hRule="atLeast"/>
        </w:trPr>
        <w:tc>
          <w:tcPr>
            <w:tcW w:w="472" w:type="dxa"/>
          </w:tcPr>
          <w:p>
            <w:pPr>
              <w:pStyle w:val="TableParagraph"/>
              <w:spacing w:before="120"/>
              <w:ind w:left="50"/>
              <w:rPr>
                <w:sz w:val="20"/>
              </w:rPr>
            </w:pPr>
            <w:r>
              <w:rPr>
                <w:spacing w:val="-5"/>
                <w:sz w:val="20"/>
              </w:rPr>
              <w:t>51.</w:t>
            </w:r>
          </w:p>
        </w:tc>
        <w:tc>
          <w:tcPr>
            <w:tcW w:w="3007" w:type="dxa"/>
            <w:vMerge w:val="restart"/>
          </w:tcPr>
          <w:p>
            <w:pPr>
              <w:pStyle w:val="TableParagraph"/>
              <w:spacing w:line="249" w:lineRule="auto" w:before="120"/>
              <w:ind w:left="168"/>
              <w:rPr>
                <w:sz w:val="20"/>
              </w:rPr>
            </w:pPr>
            <w:r>
              <w:rPr>
                <w:sz w:val="20"/>
              </w:rPr>
              <w:t>Реконструктивные и декомпрессивные</w:t>
            </w:r>
            <w:r>
              <w:rPr>
                <w:spacing w:val="-4"/>
                <w:sz w:val="20"/>
              </w:rPr>
              <w:t> </w:t>
            </w:r>
            <w:r>
              <w:rPr>
                <w:sz w:val="20"/>
              </w:rPr>
              <w:t>операции</w:t>
            </w:r>
            <w:r>
              <w:rPr>
                <w:spacing w:val="-5"/>
                <w:sz w:val="20"/>
              </w:rPr>
              <w:t> </w:t>
            </w:r>
            <w:r>
              <w:rPr>
                <w:sz w:val="20"/>
              </w:rPr>
              <w:t>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w:t>
            </w:r>
            <w:r>
              <w:rPr>
                <w:spacing w:val="-13"/>
                <w:sz w:val="20"/>
              </w:rPr>
              <w:t> </w:t>
            </w:r>
            <w:r>
              <w:rPr>
                <w:sz w:val="20"/>
              </w:rPr>
              <w:t>материалов</w:t>
            </w:r>
            <w:r>
              <w:rPr>
                <w:spacing w:val="-12"/>
                <w:sz w:val="20"/>
              </w:rPr>
              <w:t> </w:t>
            </w:r>
            <w:r>
              <w:rPr>
                <w:sz w:val="20"/>
              </w:rPr>
              <w:t>с применением погружных и наружных фиксирующих </w:t>
            </w:r>
            <w:r>
              <w:rPr>
                <w:spacing w:val="-2"/>
                <w:sz w:val="20"/>
              </w:rPr>
              <w:t>устройств</w:t>
            </w:r>
          </w:p>
        </w:tc>
        <w:tc>
          <w:tcPr>
            <w:tcW w:w="1990" w:type="dxa"/>
          </w:tcPr>
          <w:p>
            <w:pPr>
              <w:pStyle w:val="TableParagraph"/>
              <w:spacing w:before="120"/>
              <w:ind w:left="149"/>
              <w:rPr>
                <w:sz w:val="20"/>
              </w:rPr>
            </w:pPr>
            <w:hyperlink r:id="rId366">
              <w:r>
                <w:rPr>
                  <w:sz w:val="20"/>
                </w:rPr>
                <w:t>B67,</w:t>
              </w:r>
              <w:r>
                <w:rPr>
                  <w:spacing w:val="-3"/>
                  <w:sz w:val="20"/>
                </w:rPr>
                <w:t> </w:t>
              </w:r>
            </w:hyperlink>
            <w:hyperlink r:id="rId367">
              <w:r>
                <w:rPr>
                  <w:sz w:val="20"/>
                </w:rPr>
                <w:t>D16,</w:t>
              </w:r>
              <w:r>
                <w:rPr>
                  <w:spacing w:val="-2"/>
                  <w:sz w:val="20"/>
                </w:rPr>
                <w:t> </w:t>
              </w:r>
            </w:hyperlink>
            <w:hyperlink r:id="rId368">
              <w:r>
                <w:rPr>
                  <w:sz w:val="20"/>
                </w:rPr>
                <w:t>D18,</w:t>
              </w:r>
              <w:r>
                <w:rPr>
                  <w:spacing w:val="-2"/>
                  <w:sz w:val="20"/>
                </w:rPr>
                <w:t> </w:t>
              </w:r>
            </w:hyperlink>
            <w:hyperlink r:id="rId369">
              <w:r>
                <w:rPr>
                  <w:spacing w:val="-5"/>
                  <w:sz w:val="20"/>
                </w:rPr>
                <w:t>M88</w:t>
              </w:r>
            </w:hyperlink>
          </w:p>
        </w:tc>
        <w:tc>
          <w:tcPr>
            <w:tcW w:w="3128" w:type="dxa"/>
          </w:tcPr>
          <w:p>
            <w:pPr>
              <w:pStyle w:val="TableParagraph"/>
              <w:spacing w:line="249" w:lineRule="auto" w:before="120"/>
              <w:ind w:left="56" w:right="84"/>
              <w:rPr>
                <w:sz w:val="20"/>
              </w:rPr>
            </w:pPr>
            <w:r>
              <w:rPr>
                <w:sz w:val="20"/>
              </w:rPr>
              <w:t>деструкция и деформация (патологический перелом) позвонков вследствие их поражения доброкачественным </w:t>
            </w:r>
            <w:r>
              <w:rPr>
                <w:spacing w:val="-2"/>
                <w:sz w:val="20"/>
              </w:rPr>
              <w:t>новообразованием </w:t>
            </w:r>
            <w:r>
              <w:rPr>
                <w:sz w:val="20"/>
              </w:rPr>
              <w:t>непосредственно</w:t>
            </w:r>
            <w:r>
              <w:rPr>
                <w:spacing w:val="-1"/>
                <w:sz w:val="20"/>
              </w:rPr>
              <w:t> </w:t>
            </w:r>
            <w:r>
              <w:rPr>
                <w:sz w:val="20"/>
              </w:rPr>
              <w:t>или</w:t>
            </w:r>
            <w:r>
              <w:rPr>
                <w:spacing w:val="-3"/>
                <w:sz w:val="20"/>
              </w:rPr>
              <w:t> </w:t>
            </w:r>
            <w:r>
              <w:rPr>
                <w:sz w:val="20"/>
              </w:rPr>
              <w:t>контактным путем в результате воздействия опухоли спинного мозга, спинномозговых</w:t>
            </w:r>
            <w:r>
              <w:rPr>
                <w:spacing w:val="-13"/>
                <w:sz w:val="20"/>
              </w:rPr>
              <w:t> </w:t>
            </w:r>
            <w:r>
              <w:rPr>
                <w:sz w:val="20"/>
              </w:rPr>
              <w:t>нервов,</w:t>
            </w:r>
            <w:r>
              <w:rPr>
                <w:spacing w:val="-12"/>
                <w:sz w:val="20"/>
              </w:rPr>
              <w:t> </w:t>
            </w:r>
            <w:r>
              <w:rPr>
                <w:sz w:val="20"/>
              </w:rPr>
              <w:t>конского хвоста и их оболочек</w:t>
            </w:r>
          </w:p>
        </w:tc>
        <w:tc>
          <w:tcPr>
            <w:tcW w:w="1562" w:type="dxa"/>
          </w:tcPr>
          <w:p>
            <w:pPr>
              <w:pStyle w:val="TableParagraph"/>
              <w:spacing w:line="249" w:lineRule="auto" w:before="120"/>
              <w:ind w:left="84"/>
              <w:rPr>
                <w:sz w:val="20"/>
              </w:rPr>
            </w:pPr>
            <w:r>
              <w:rPr>
                <w:spacing w:val="-2"/>
                <w:sz w:val="20"/>
              </w:rPr>
              <w:t>хирургическое лечение</w:t>
            </w:r>
          </w:p>
        </w:tc>
        <w:tc>
          <w:tcPr>
            <w:tcW w:w="3858" w:type="dxa"/>
          </w:tcPr>
          <w:p>
            <w:pPr>
              <w:pStyle w:val="TableParagraph"/>
              <w:spacing w:line="249" w:lineRule="auto" w:before="120"/>
              <w:ind w:left="220" w:right="320"/>
              <w:rPr>
                <w:sz w:val="20"/>
              </w:rPr>
            </w:pPr>
            <w:r>
              <w:rPr>
                <w:sz w:val="20"/>
              </w:rPr>
              <w:t>восстановление</w:t>
            </w:r>
            <w:r>
              <w:rPr>
                <w:spacing w:val="-13"/>
                <w:sz w:val="20"/>
              </w:rPr>
              <w:t> </w:t>
            </w:r>
            <w:r>
              <w:rPr>
                <w:sz w:val="20"/>
              </w:rPr>
              <w:t>высоты</w:t>
            </w:r>
            <w:r>
              <w:rPr>
                <w:spacing w:val="-12"/>
                <w:sz w:val="20"/>
              </w:rPr>
              <w:t> </w:t>
            </w:r>
            <w:r>
              <w:rPr>
                <w:sz w:val="20"/>
              </w:rPr>
              <w:t>тела</w:t>
            </w:r>
            <w:r>
              <w:rPr>
                <w:spacing w:val="-13"/>
                <w:sz w:val="20"/>
              </w:rPr>
              <w:t> </w:t>
            </w:r>
            <w:r>
              <w:rPr>
                <w:sz w:val="20"/>
              </w:rPr>
              <w:t>позвонка и его опорной функции путем введения костного цемента или биокомпозитных материалов под интраоперационной флюороскопией</w:t>
            </w:r>
          </w:p>
        </w:tc>
        <w:tc>
          <w:tcPr>
            <w:tcW w:w="1024" w:type="dxa"/>
          </w:tcPr>
          <w:p>
            <w:pPr>
              <w:pStyle w:val="TableParagraph"/>
              <w:spacing w:before="120"/>
              <w:ind w:left="372"/>
              <w:rPr>
                <w:sz w:val="20"/>
              </w:rPr>
            </w:pPr>
            <w:r>
              <w:rPr>
                <w:spacing w:val="-2"/>
                <w:sz w:val="20"/>
              </w:rPr>
              <w:t>147325</w:t>
            </w:r>
          </w:p>
        </w:tc>
      </w:tr>
      <w:tr>
        <w:trPr>
          <w:trHeight w:val="2880" w:hRule="atLeast"/>
        </w:trPr>
        <w:tc>
          <w:tcPr>
            <w:tcW w:w="472" w:type="dxa"/>
          </w:tcPr>
          <w:p>
            <w:pPr>
              <w:pStyle w:val="TableParagraph"/>
              <w:rPr>
                <w:sz w:val="18"/>
              </w:rPr>
            </w:pPr>
          </w:p>
        </w:tc>
        <w:tc>
          <w:tcPr>
            <w:tcW w:w="3007" w:type="dxa"/>
            <w:vMerge/>
            <w:tcBorders>
              <w:top w:val="nil"/>
            </w:tcBorders>
          </w:tcPr>
          <w:p>
            <w:pPr>
              <w:rPr>
                <w:sz w:val="2"/>
                <w:szCs w:val="2"/>
              </w:rPr>
            </w:pPr>
          </w:p>
        </w:tc>
        <w:tc>
          <w:tcPr>
            <w:tcW w:w="1990" w:type="dxa"/>
          </w:tcPr>
          <w:p>
            <w:pPr>
              <w:pStyle w:val="TableParagraph"/>
              <w:spacing w:line="249" w:lineRule="auto" w:before="120"/>
              <w:ind w:left="72" w:right="60"/>
              <w:jc w:val="center"/>
              <w:rPr>
                <w:sz w:val="20"/>
              </w:rPr>
            </w:pPr>
            <w:hyperlink r:id="rId370">
              <w:r>
                <w:rPr>
                  <w:sz w:val="20"/>
                </w:rPr>
                <w:t>M42,</w:t>
              </w:r>
              <w:r>
                <w:rPr>
                  <w:spacing w:val="-12"/>
                  <w:sz w:val="20"/>
                </w:rPr>
                <w:t> </w:t>
              </w:r>
            </w:hyperlink>
            <w:hyperlink r:id="rId371">
              <w:r>
                <w:rPr>
                  <w:sz w:val="20"/>
                </w:rPr>
                <w:t>M43,</w:t>
              </w:r>
              <w:r>
                <w:rPr>
                  <w:spacing w:val="-12"/>
                  <w:sz w:val="20"/>
                </w:rPr>
                <w:t> </w:t>
              </w:r>
            </w:hyperlink>
            <w:hyperlink r:id="rId341">
              <w:r>
                <w:rPr>
                  <w:sz w:val="20"/>
                </w:rPr>
                <w:t>M45,</w:t>
              </w:r>
              <w:r>
                <w:rPr>
                  <w:spacing w:val="-13"/>
                  <w:sz w:val="20"/>
                </w:rPr>
                <w:t> </w:t>
              </w:r>
            </w:hyperlink>
            <w:hyperlink r:id="rId372">
              <w:r>
                <w:rPr>
                  <w:sz w:val="20"/>
                </w:rPr>
                <w:t>M46,</w:t>
              </w:r>
            </w:hyperlink>
            <w:r>
              <w:rPr>
                <w:sz w:val="20"/>
              </w:rPr>
              <w:t> </w:t>
            </w:r>
            <w:hyperlink r:id="rId373">
              <w:r>
                <w:rPr>
                  <w:sz w:val="20"/>
                </w:rPr>
                <w:t>M48,</w:t>
              </w:r>
              <w:r>
                <w:rPr>
                  <w:spacing w:val="-12"/>
                  <w:sz w:val="20"/>
                </w:rPr>
                <w:t> </w:t>
              </w:r>
            </w:hyperlink>
            <w:hyperlink r:id="rId374">
              <w:r>
                <w:rPr>
                  <w:sz w:val="20"/>
                </w:rPr>
                <w:t>M50,</w:t>
              </w:r>
              <w:r>
                <w:rPr>
                  <w:spacing w:val="-12"/>
                  <w:sz w:val="20"/>
                </w:rPr>
                <w:t> </w:t>
              </w:r>
            </w:hyperlink>
            <w:hyperlink r:id="rId375">
              <w:r>
                <w:rPr>
                  <w:sz w:val="20"/>
                </w:rPr>
                <w:t>M51,</w:t>
              </w:r>
              <w:r>
                <w:rPr>
                  <w:spacing w:val="-13"/>
                  <w:sz w:val="20"/>
                </w:rPr>
                <w:t> </w:t>
              </w:r>
            </w:hyperlink>
            <w:hyperlink r:id="rId376">
              <w:r>
                <w:rPr>
                  <w:sz w:val="20"/>
                </w:rPr>
                <w:t>M53,</w:t>
              </w:r>
            </w:hyperlink>
            <w:r>
              <w:rPr>
                <w:sz w:val="20"/>
              </w:rPr>
              <w:t> </w:t>
            </w:r>
            <w:hyperlink r:id="rId377">
              <w:r>
                <w:rPr>
                  <w:sz w:val="20"/>
                </w:rPr>
                <w:t>M92, </w:t>
              </w:r>
            </w:hyperlink>
            <w:hyperlink r:id="rId378">
              <w:r>
                <w:rPr>
                  <w:sz w:val="20"/>
                </w:rPr>
                <w:t>M93, </w:t>
              </w:r>
            </w:hyperlink>
            <w:hyperlink r:id="rId379">
              <w:r>
                <w:rPr>
                  <w:sz w:val="20"/>
                </w:rPr>
                <w:t>M95,</w:t>
              </w:r>
            </w:hyperlink>
            <w:r>
              <w:rPr>
                <w:sz w:val="20"/>
              </w:rPr>
              <w:t> </w:t>
            </w:r>
            <w:hyperlink r:id="rId380">
              <w:r>
                <w:rPr>
                  <w:spacing w:val="-4"/>
                  <w:sz w:val="20"/>
                </w:rPr>
                <w:t>Q76.2</w:t>
              </w:r>
            </w:hyperlink>
          </w:p>
        </w:tc>
        <w:tc>
          <w:tcPr>
            <w:tcW w:w="3128" w:type="dxa"/>
          </w:tcPr>
          <w:p>
            <w:pPr>
              <w:pStyle w:val="TableParagraph"/>
              <w:spacing w:line="249" w:lineRule="auto" w:before="120"/>
              <w:ind w:left="56" w:right="39"/>
              <w:rPr>
                <w:sz w:val="20"/>
              </w:rPr>
            </w:pPr>
            <w:r>
              <w:rPr>
                <w:spacing w:val="-2"/>
                <w:sz w:val="20"/>
              </w:rPr>
              <w:t>дегенеративно-дистрофическое </w:t>
            </w:r>
            <w:r>
              <w:rPr>
                <w:sz w:val="20"/>
              </w:rPr>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w:t>
            </w:r>
            <w:r>
              <w:rPr>
                <w:spacing w:val="-13"/>
                <w:sz w:val="20"/>
              </w:rPr>
              <w:t> </w:t>
            </w:r>
            <w:r>
              <w:rPr>
                <w:sz w:val="20"/>
              </w:rPr>
              <w:t>деформацией</w:t>
            </w:r>
            <w:r>
              <w:rPr>
                <w:spacing w:val="-12"/>
                <w:sz w:val="20"/>
              </w:rPr>
              <w:t> </w:t>
            </w:r>
            <w:r>
              <w:rPr>
                <w:sz w:val="20"/>
              </w:rPr>
              <w:t>и стенозом позвоночного канала и его карманов</w:t>
            </w:r>
          </w:p>
        </w:tc>
        <w:tc>
          <w:tcPr>
            <w:tcW w:w="1562" w:type="dxa"/>
          </w:tcPr>
          <w:p>
            <w:pPr>
              <w:pStyle w:val="TableParagraph"/>
              <w:spacing w:line="249" w:lineRule="auto" w:before="120"/>
              <w:ind w:left="84"/>
              <w:rPr>
                <w:sz w:val="20"/>
              </w:rPr>
            </w:pPr>
            <w:r>
              <w:rPr>
                <w:spacing w:val="-2"/>
                <w:sz w:val="20"/>
              </w:rPr>
              <w:t>хирургическое лечение</w:t>
            </w:r>
          </w:p>
        </w:tc>
        <w:tc>
          <w:tcPr>
            <w:tcW w:w="3858" w:type="dxa"/>
          </w:tcPr>
          <w:p>
            <w:pPr>
              <w:pStyle w:val="TableParagraph"/>
              <w:spacing w:line="249" w:lineRule="auto" w:before="120"/>
              <w:ind w:left="220" w:right="496"/>
              <w:rPr>
                <w:sz w:val="20"/>
              </w:rPr>
            </w:pPr>
            <w:r>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w:t>
            </w:r>
            <w:r>
              <w:rPr>
                <w:spacing w:val="-13"/>
                <w:sz w:val="20"/>
              </w:rPr>
              <w:t> </w:t>
            </w:r>
            <w:r>
              <w:rPr>
                <w:sz w:val="20"/>
              </w:rPr>
              <w:t>флюороскопией</w:t>
            </w:r>
          </w:p>
        </w:tc>
        <w:tc>
          <w:tcPr>
            <w:tcW w:w="1024" w:type="dxa"/>
          </w:tcPr>
          <w:p>
            <w:pPr>
              <w:pStyle w:val="TableParagraph"/>
              <w:rPr>
                <w:sz w:val="18"/>
              </w:rPr>
            </w:pPr>
          </w:p>
        </w:tc>
      </w:tr>
      <w:tr>
        <w:trPr>
          <w:trHeight w:val="1790" w:hRule="atLeast"/>
        </w:trPr>
        <w:tc>
          <w:tcPr>
            <w:tcW w:w="472" w:type="dxa"/>
          </w:tcPr>
          <w:p>
            <w:pPr>
              <w:pStyle w:val="TableParagraph"/>
              <w:rPr>
                <w:sz w:val="18"/>
              </w:rPr>
            </w:pPr>
          </w:p>
        </w:tc>
        <w:tc>
          <w:tcPr>
            <w:tcW w:w="3007" w:type="dxa"/>
          </w:tcPr>
          <w:p>
            <w:pPr>
              <w:pStyle w:val="TableParagraph"/>
              <w:spacing w:line="249" w:lineRule="auto" w:before="120"/>
              <w:ind w:left="168" w:right="108"/>
              <w:rPr>
                <w:sz w:val="20"/>
              </w:rPr>
            </w:pPr>
            <w:r>
              <w:rPr>
                <w:sz w:val="20"/>
              </w:rPr>
              <w:t>Пластика крупных суставов конечностей</w:t>
            </w:r>
            <w:r>
              <w:rPr>
                <w:spacing w:val="-13"/>
                <w:sz w:val="20"/>
              </w:rPr>
              <w:t> </w:t>
            </w:r>
            <w:r>
              <w:rPr>
                <w:sz w:val="20"/>
              </w:rPr>
              <w:t>с</w:t>
            </w:r>
            <w:r>
              <w:rPr>
                <w:spacing w:val="-12"/>
                <w:sz w:val="20"/>
              </w:rPr>
              <w:t> </w:t>
            </w:r>
            <w:r>
              <w:rPr>
                <w:sz w:val="20"/>
              </w:rPr>
              <w:t>восстановлением целостности внутрисуставных образований, замещением костно-хрящевых дефектов синтетическими и</w:t>
            </w:r>
          </w:p>
          <w:p>
            <w:pPr>
              <w:pStyle w:val="TableParagraph"/>
              <w:spacing w:line="210" w:lineRule="exact" w:before="6"/>
              <w:ind w:left="168"/>
              <w:rPr>
                <w:sz w:val="20"/>
              </w:rPr>
            </w:pPr>
            <w:r>
              <w:rPr>
                <w:w w:val="95"/>
                <w:sz w:val="20"/>
              </w:rPr>
              <w:t>биологическими</w:t>
            </w:r>
            <w:r>
              <w:rPr>
                <w:spacing w:val="54"/>
                <w:sz w:val="20"/>
              </w:rPr>
              <w:t> </w:t>
            </w:r>
            <w:r>
              <w:rPr>
                <w:spacing w:val="-2"/>
                <w:sz w:val="20"/>
              </w:rPr>
              <w:t>материалами</w:t>
            </w:r>
          </w:p>
        </w:tc>
        <w:tc>
          <w:tcPr>
            <w:tcW w:w="1990" w:type="dxa"/>
          </w:tcPr>
          <w:p>
            <w:pPr>
              <w:pStyle w:val="TableParagraph"/>
              <w:spacing w:line="252" w:lineRule="auto" w:before="120"/>
              <w:ind w:left="495" w:hanging="265"/>
              <w:rPr>
                <w:sz w:val="20"/>
              </w:rPr>
            </w:pPr>
            <w:hyperlink r:id="rId381">
              <w:r>
                <w:rPr>
                  <w:sz w:val="20"/>
                </w:rPr>
                <w:t>M00,</w:t>
              </w:r>
              <w:r>
                <w:rPr>
                  <w:spacing w:val="-13"/>
                  <w:sz w:val="20"/>
                </w:rPr>
                <w:t> </w:t>
              </w:r>
            </w:hyperlink>
            <w:hyperlink r:id="rId382">
              <w:r>
                <w:rPr>
                  <w:sz w:val="20"/>
                </w:rPr>
                <w:t>M01,</w:t>
              </w:r>
              <w:r>
                <w:rPr>
                  <w:spacing w:val="-12"/>
                  <w:sz w:val="20"/>
                </w:rPr>
                <w:t> </w:t>
              </w:r>
            </w:hyperlink>
            <w:hyperlink r:id="rId383">
              <w:r>
                <w:rPr>
                  <w:sz w:val="20"/>
                </w:rPr>
                <w:t>M03.0,</w:t>
              </w:r>
            </w:hyperlink>
            <w:r>
              <w:rPr>
                <w:sz w:val="20"/>
              </w:rPr>
              <w:t> </w:t>
            </w:r>
            <w:hyperlink r:id="rId384">
              <w:r>
                <w:rPr>
                  <w:sz w:val="20"/>
                </w:rPr>
                <w:t>M12.5, </w:t>
              </w:r>
            </w:hyperlink>
            <w:hyperlink r:id="rId385">
              <w:r>
                <w:rPr>
                  <w:sz w:val="20"/>
                </w:rPr>
                <w:t>M17</w:t>
              </w:r>
            </w:hyperlink>
          </w:p>
        </w:tc>
        <w:tc>
          <w:tcPr>
            <w:tcW w:w="3128" w:type="dxa"/>
          </w:tcPr>
          <w:p>
            <w:pPr>
              <w:pStyle w:val="TableParagraph"/>
              <w:spacing w:line="249" w:lineRule="auto" w:before="120"/>
              <w:ind w:left="56" w:right="84"/>
              <w:rPr>
                <w:sz w:val="20"/>
              </w:rPr>
            </w:pPr>
            <w:r>
              <w:rPr>
                <w:sz w:val="20"/>
              </w:rPr>
              <w:t>выраженное</w:t>
            </w:r>
            <w:r>
              <w:rPr>
                <w:spacing w:val="-13"/>
                <w:sz w:val="20"/>
              </w:rPr>
              <w:t> </w:t>
            </w:r>
            <w:r>
              <w:rPr>
                <w:sz w:val="20"/>
              </w:rPr>
              <w:t>нарушение</w:t>
            </w:r>
            <w:r>
              <w:rPr>
                <w:spacing w:val="-12"/>
                <w:sz w:val="20"/>
              </w:rPr>
              <w:t> </w:t>
            </w:r>
            <w:r>
              <w:rPr>
                <w:sz w:val="20"/>
              </w:rPr>
              <w:t>функции крупного сустава конечности любой этиологии</w:t>
            </w:r>
          </w:p>
        </w:tc>
        <w:tc>
          <w:tcPr>
            <w:tcW w:w="1562" w:type="dxa"/>
          </w:tcPr>
          <w:p>
            <w:pPr>
              <w:pStyle w:val="TableParagraph"/>
              <w:spacing w:line="252" w:lineRule="auto" w:before="120"/>
              <w:ind w:left="84"/>
              <w:rPr>
                <w:sz w:val="20"/>
              </w:rPr>
            </w:pPr>
            <w:r>
              <w:rPr>
                <w:spacing w:val="-2"/>
                <w:sz w:val="20"/>
              </w:rPr>
              <w:t>хирургическое лечение</w:t>
            </w:r>
          </w:p>
        </w:tc>
        <w:tc>
          <w:tcPr>
            <w:tcW w:w="3858" w:type="dxa"/>
          </w:tcPr>
          <w:p>
            <w:pPr>
              <w:pStyle w:val="TableParagraph"/>
              <w:spacing w:line="249" w:lineRule="auto" w:before="120"/>
              <w:ind w:left="220" w:right="251"/>
              <w:rPr>
                <w:sz w:val="20"/>
              </w:rPr>
            </w:pPr>
            <w:r>
              <w:rPr>
                <w:sz w:val="20"/>
              </w:rPr>
              <w:t>артродез крупных суставов конечностей</w:t>
            </w:r>
            <w:r>
              <w:rPr>
                <w:spacing w:val="-13"/>
                <w:sz w:val="20"/>
              </w:rPr>
              <w:t> </w:t>
            </w:r>
            <w:r>
              <w:rPr>
                <w:sz w:val="20"/>
              </w:rPr>
              <w:t>с</w:t>
            </w:r>
            <w:r>
              <w:rPr>
                <w:spacing w:val="-12"/>
                <w:sz w:val="20"/>
              </w:rPr>
              <w:t> </w:t>
            </w:r>
            <w:r>
              <w:rPr>
                <w:sz w:val="20"/>
              </w:rPr>
              <w:t>различными</w:t>
            </w:r>
            <w:r>
              <w:rPr>
                <w:spacing w:val="-13"/>
                <w:sz w:val="20"/>
              </w:rPr>
              <w:t> </w:t>
            </w:r>
            <w:r>
              <w:rPr>
                <w:sz w:val="20"/>
              </w:rPr>
              <w:t>видами фиксации и остеосинтеза</w:t>
            </w:r>
          </w:p>
        </w:tc>
        <w:tc>
          <w:tcPr>
            <w:tcW w:w="102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3"/>
        <w:gridCol w:w="2017"/>
        <w:gridCol w:w="3157"/>
        <w:gridCol w:w="1541"/>
        <w:gridCol w:w="3571"/>
      </w:tblGrid>
      <w:tr>
        <w:trPr>
          <w:trHeight w:val="1070" w:hRule="atLeast"/>
        </w:trPr>
        <w:tc>
          <w:tcPr>
            <w:tcW w:w="2853" w:type="dxa"/>
            <w:vMerge w:val="restart"/>
          </w:tcPr>
          <w:p>
            <w:pPr>
              <w:pStyle w:val="TableParagraph"/>
              <w:spacing w:line="249" w:lineRule="auto"/>
              <w:ind w:left="50" w:right="82"/>
              <w:rPr>
                <w:sz w:val="20"/>
              </w:rPr>
            </w:pPr>
            <w:r>
              <w:rPr>
                <w:spacing w:val="-2"/>
                <w:sz w:val="20"/>
              </w:rPr>
              <w:t>Реконструктивно-пластические </w:t>
            </w:r>
            <w:r>
              <w:rPr>
                <w:sz w:val="20"/>
              </w:rPr>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017" w:type="dxa"/>
            <w:vMerge w:val="restart"/>
          </w:tcPr>
          <w:p>
            <w:pPr>
              <w:pStyle w:val="TableParagraph"/>
              <w:spacing w:line="221" w:lineRule="exact"/>
              <w:ind w:left="161"/>
              <w:rPr>
                <w:sz w:val="20"/>
              </w:rPr>
            </w:pPr>
            <w:hyperlink r:id="rId386">
              <w:r>
                <w:rPr>
                  <w:sz w:val="20"/>
                </w:rPr>
                <w:t>M24.6,</w:t>
              </w:r>
              <w:r>
                <w:rPr>
                  <w:spacing w:val="-3"/>
                  <w:sz w:val="20"/>
                </w:rPr>
                <w:t> </w:t>
              </w:r>
            </w:hyperlink>
            <w:hyperlink r:id="rId387">
              <w:r>
                <w:rPr>
                  <w:sz w:val="20"/>
                </w:rPr>
                <w:t>Z98.1,</w:t>
              </w:r>
              <w:r>
                <w:rPr>
                  <w:spacing w:val="-3"/>
                  <w:sz w:val="20"/>
                </w:rPr>
                <w:t> </w:t>
              </w:r>
            </w:hyperlink>
            <w:hyperlink r:id="rId388">
              <w:r>
                <w:rPr>
                  <w:spacing w:val="-2"/>
                  <w:sz w:val="20"/>
                </w:rPr>
                <w:t>G80.1,</w:t>
              </w:r>
            </w:hyperlink>
          </w:p>
          <w:p>
            <w:pPr>
              <w:pStyle w:val="TableParagraph"/>
              <w:spacing w:before="10"/>
              <w:ind w:left="132"/>
              <w:rPr>
                <w:sz w:val="20"/>
              </w:rPr>
            </w:pPr>
            <w:hyperlink r:id="rId389">
              <w:r>
                <w:rPr>
                  <w:sz w:val="20"/>
                </w:rPr>
                <w:t>G80.2,</w:t>
              </w:r>
              <w:r>
                <w:rPr>
                  <w:spacing w:val="-4"/>
                  <w:sz w:val="20"/>
                </w:rPr>
                <w:t> </w:t>
              </w:r>
            </w:hyperlink>
            <w:hyperlink r:id="rId390">
              <w:r>
                <w:rPr>
                  <w:sz w:val="20"/>
                </w:rPr>
                <w:t>M21.0,</w:t>
              </w:r>
              <w:r>
                <w:rPr>
                  <w:spacing w:val="-3"/>
                  <w:sz w:val="20"/>
                </w:rPr>
                <w:t> </w:t>
              </w:r>
            </w:hyperlink>
            <w:hyperlink r:id="rId391">
              <w:r>
                <w:rPr>
                  <w:spacing w:val="-2"/>
                  <w:sz w:val="20"/>
                </w:rPr>
                <w:t>M21.2,</w:t>
              </w:r>
            </w:hyperlink>
          </w:p>
          <w:p>
            <w:pPr>
              <w:pStyle w:val="TableParagraph"/>
              <w:spacing w:before="10"/>
              <w:ind w:left="115"/>
              <w:rPr>
                <w:sz w:val="20"/>
              </w:rPr>
            </w:pPr>
            <w:hyperlink r:id="rId392">
              <w:r>
                <w:rPr>
                  <w:sz w:val="20"/>
                </w:rPr>
                <w:t>M21.4,</w:t>
              </w:r>
              <w:r>
                <w:rPr>
                  <w:spacing w:val="-4"/>
                  <w:sz w:val="20"/>
                </w:rPr>
                <w:t> </w:t>
              </w:r>
            </w:hyperlink>
            <w:hyperlink r:id="rId393">
              <w:r>
                <w:rPr>
                  <w:sz w:val="20"/>
                </w:rPr>
                <w:t>M21.5,</w:t>
              </w:r>
              <w:r>
                <w:rPr>
                  <w:spacing w:val="-3"/>
                  <w:sz w:val="20"/>
                </w:rPr>
                <w:t> </w:t>
              </w:r>
            </w:hyperlink>
            <w:hyperlink r:id="rId394">
              <w:r>
                <w:rPr>
                  <w:spacing w:val="-2"/>
                  <w:sz w:val="20"/>
                </w:rPr>
                <w:t>M21.9,</w:t>
              </w:r>
            </w:hyperlink>
          </w:p>
          <w:p>
            <w:pPr>
              <w:pStyle w:val="TableParagraph"/>
              <w:spacing w:before="10"/>
              <w:ind w:left="166"/>
              <w:rPr>
                <w:sz w:val="20"/>
              </w:rPr>
            </w:pPr>
            <w:hyperlink r:id="rId395">
              <w:r>
                <w:rPr>
                  <w:sz w:val="20"/>
                </w:rPr>
                <w:t>Q68.1,</w:t>
              </w:r>
              <w:r>
                <w:rPr>
                  <w:spacing w:val="-3"/>
                  <w:sz w:val="20"/>
                </w:rPr>
                <w:t> </w:t>
              </w:r>
            </w:hyperlink>
            <w:hyperlink r:id="rId396">
              <w:r>
                <w:rPr>
                  <w:sz w:val="20"/>
                </w:rPr>
                <w:t>Q72.5,</w:t>
              </w:r>
              <w:r>
                <w:rPr>
                  <w:spacing w:val="-4"/>
                  <w:sz w:val="20"/>
                </w:rPr>
                <w:t> </w:t>
              </w:r>
            </w:hyperlink>
            <w:hyperlink r:id="rId397">
              <w:r>
                <w:rPr>
                  <w:spacing w:val="-2"/>
                  <w:sz w:val="20"/>
                </w:rPr>
                <w:t>Q72.6,</w:t>
              </w:r>
            </w:hyperlink>
          </w:p>
          <w:p>
            <w:pPr>
              <w:pStyle w:val="TableParagraph"/>
              <w:spacing w:before="10"/>
              <w:ind w:left="166"/>
              <w:rPr>
                <w:sz w:val="20"/>
              </w:rPr>
            </w:pPr>
            <w:hyperlink r:id="rId398">
              <w:r>
                <w:rPr>
                  <w:sz w:val="20"/>
                </w:rPr>
                <w:t>Q72.8,</w:t>
              </w:r>
              <w:r>
                <w:rPr>
                  <w:spacing w:val="-3"/>
                  <w:sz w:val="20"/>
                </w:rPr>
                <w:t> </w:t>
              </w:r>
            </w:hyperlink>
            <w:hyperlink r:id="rId399">
              <w:r>
                <w:rPr>
                  <w:sz w:val="20"/>
                </w:rPr>
                <w:t>Q72.9,</w:t>
              </w:r>
              <w:r>
                <w:rPr>
                  <w:spacing w:val="-4"/>
                  <w:sz w:val="20"/>
                </w:rPr>
                <w:t> </w:t>
              </w:r>
            </w:hyperlink>
            <w:hyperlink r:id="rId400">
              <w:r>
                <w:rPr>
                  <w:spacing w:val="-2"/>
                  <w:sz w:val="20"/>
                </w:rPr>
                <w:t>Q74.2,</w:t>
              </w:r>
            </w:hyperlink>
          </w:p>
          <w:p>
            <w:pPr>
              <w:pStyle w:val="TableParagraph"/>
              <w:spacing w:before="10"/>
              <w:ind w:left="166"/>
              <w:rPr>
                <w:sz w:val="20"/>
              </w:rPr>
            </w:pPr>
            <w:hyperlink r:id="rId401">
              <w:r>
                <w:rPr>
                  <w:sz w:val="20"/>
                </w:rPr>
                <w:t>Q74.3,</w:t>
              </w:r>
              <w:r>
                <w:rPr>
                  <w:spacing w:val="-3"/>
                  <w:sz w:val="20"/>
                </w:rPr>
                <w:t> </w:t>
              </w:r>
            </w:hyperlink>
            <w:hyperlink r:id="rId402">
              <w:r>
                <w:rPr>
                  <w:sz w:val="20"/>
                </w:rPr>
                <w:t>Q74.8,</w:t>
              </w:r>
              <w:r>
                <w:rPr>
                  <w:spacing w:val="-4"/>
                  <w:sz w:val="20"/>
                </w:rPr>
                <w:t> </w:t>
              </w:r>
            </w:hyperlink>
            <w:hyperlink r:id="rId403">
              <w:r>
                <w:rPr>
                  <w:spacing w:val="-2"/>
                  <w:sz w:val="20"/>
                </w:rPr>
                <w:t>Q77.7,</w:t>
              </w:r>
            </w:hyperlink>
          </w:p>
          <w:p>
            <w:pPr>
              <w:pStyle w:val="TableParagraph"/>
              <w:spacing w:line="249" w:lineRule="auto" w:before="10"/>
              <w:ind w:left="144" w:right="89" w:firstLine="21"/>
              <w:jc w:val="both"/>
              <w:rPr>
                <w:sz w:val="20"/>
              </w:rPr>
            </w:pPr>
            <w:hyperlink r:id="rId404">
              <w:r>
                <w:rPr>
                  <w:sz w:val="20"/>
                </w:rPr>
                <w:t>Q87.3,</w:t>
              </w:r>
              <w:r>
                <w:rPr>
                  <w:spacing w:val="-4"/>
                  <w:sz w:val="20"/>
                </w:rPr>
                <w:t> </w:t>
              </w:r>
            </w:hyperlink>
            <w:hyperlink r:id="rId405">
              <w:r>
                <w:rPr>
                  <w:sz w:val="20"/>
                </w:rPr>
                <w:t>G11.4,</w:t>
              </w:r>
              <w:r>
                <w:rPr>
                  <w:spacing w:val="-7"/>
                  <w:sz w:val="20"/>
                </w:rPr>
                <w:t> </w:t>
              </w:r>
            </w:hyperlink>
            <w:hyperlink r:id="rId406">
              <w:r>
                <w:rPr>
                  <w:sz w:val="20"/>
                </w:rPr>
                <w:t>G12.1,</w:t>
              </w:r>
            </w:hyperlink>
            <w:r>
              <w:rPr>
                <w:sz w:val="20"/>
              </w:rPr>
              <w:t> </w:t>
            </w:r>
            <w:hyperlink r:id="rId407">
              <w:r>
                <w:rPr>
                  <w:sz w:val="20"/>
                </w:rPr>
                <w:t>G80.9,</w:t>
              </w:r>
              <w:r>
                <w:rPr>
                  <w:spacing w:val="-12"/>
                  <w:sz w:val="20"/>
                </w:rPr>
                <w:t> </w:t>
              </w:r>
            </w:hyperlink>
            <w:hyperlink r:id="rId408">
              <w:r>
                <w:rPr>
                  <w:sz w:val="20"/>
                </w:rPr>
                <w:t>S44,</w:t>
              </w:r>
              <w:r>
                <w:rPr>
                  <w:spacing w:val="-11"/>
                  <w:sz w:val="20"/>
                </w:rPr>
                <w:t> </w:t>
              </w:r>
            </w:hyperlink>
            <w:hyperlink r:id="rId409">
              <w:r>
                <w:rPr>
                  <w:sz w:val="20"/>
                </w:rPr>
                <w:t>S45,</w:t>
              </w:r>
              <w:r>
                <w:rPr>
                  <w:spacing w:val="-13"/>
                  <w:sz w:val="20"/>
                </w:rPr>
                <w:t> </w:t>
              </w:r>
            </w:hyperlink>
            <w:hyperlink r:id="rId410">
              <w:r>
                <w:rPr>
                  <w:sz w:val="20"/>
                </w:rPr>
                <w:t>S46,</w:t>
              </w:r>
            </w:hyperlink>
            <w:r>
              <w:rPr>
                <w:sz w:val="20"/>
              </w:rPr>
              <w:t> </w:t>
            </w:r>
            <w:hyperlink r:id="rId411">
              <w:r>
                <w:rPr>
                  <w:sz w:val="20"/>
                </w:rPr>
                <w:t>S50, </w:t>
              </w:r>
            </w:hyperlink>
            <w:hyperlink r:id="rId412">
              <w:r>
                <w:rPr>
                  <w:sz w:val="20"/>
                </w:rPr>
                <w:t>M19.1, </w:t>
              </w:r>
            </w:hyperlink>
            <w:hyperlink r:id="rId413">
              <w:r>
                <w:rPr>
                  <w:sz w:val="20"/>
                </w:rPr>
                <w:t>M20.1,</w:t>
              </w:r>
            </w:hyperlink>
          </w:p>
          <w:p>
            <w:pPr>
              <w:pStyle w:val="TableParagraph"/>
              <w:spacing w:line="249" w:lineRule="auto" w:before="3"/>
              <w:ind w:left="192" w:right="96" w:hanging="44"/>
              <w:jc w:val="both"/>
              <w:rPr>
                <w:sz w:val="20"/>
              </w:rPr>
            </w:pPr>
            <w:hyperlink r:id="rId414">
              <w:r>
                <w:rPr>
                  <w:sz w:val="20"/>
                </w:rPr>
                <w:t>M20.5,</w:t>
              </w:r>
              <w:r>
                <w:rPr>
                  <w:spacing w:val="-13"/>
                  <w:sz w:val="20"/>
                </w:rPr>
                <w:t> </w:t>
              </w:r>
            </w:hyperlink>
            <w:hyperlink r:id="rId415">
              <w:r>
                <w:rPr>
                  <w:sz w:val="20"/>
                </w:rPr>
                <w:t>Q05.9,</w:t>
              </w:r>
              <w:r>
                <w:rPr>
                  <w:spacing w:val="-12"/>
                  <w:sz w:val="20"/>
                </w:rPr>
                <w:t> </w:t>
              </w:r>
            </w:hyperlink>
            <w:hyperlink r:id="rId416">
              <w:r>
                <w:rPr>
                  <w:sz w:val="20"/>
                </w:rPr>
                <w:t>Q66.0,</w:t>
              </w:r>
            </w:hyperlink>
            <w:r>
              <w:rPr>
                <w:sz w:val="20"/>
              </w:rPr>
              <w:t> </w:t>
            </w:r>
            <w:hyperlink r:id="rId417">
              <w:r>
                <w:rPr>
                  <w:sz w:val="20"/>
                </w:rPr>
                <w:t>Q66.5, </w:t>
              </w:r>
            </w:hyperlink>
            <w:hyperlink r:id="rId418">
              <w:r>
                <w:rPr>
                  <w:sz w:val="20"/>
                </w:rPr>
                <w:t>Q66.8, </w:t>
              </w:r>
            </w:hyperlink>
            <w:hyperlink r:id="rId419">
              <w:r>
                <w:rPr>
                  <w:sz w:val="20"/>
                </w:rPr>
                <w:t>Q68.2</w:t>
              </w:r>
            </w:hyperlink>
          </w:p>
        </w:tc>
        <w:tc>
          <w:tcPr>
            <w:tcW w:w="3157" w:type="dxa"/>
            <w:vMerge w:val="restart"/>
          </w:tcPr>
          <w:p>
            <w:pPr>
              <w:pStyle w:val="TableParagraph"/>
              <w:spacing w:line="249" w:lineRule="auto"/>
              <w:ind w:left="65" w:right="55"/>
              <w:rPr>
                <w:sz w:val="20"/>
              </w:rPr>
            </w:pPr>
            <w:r>
              <w:rPr>
                <w:sz w:val="20"/>
              </w:rPr>
              <w:t>врожденные и приобретенные дефекты</w:t>
            </w:r>
            <w:r>
              <w:rPr>
                <w:spacing w:val="-8"/>
                <w:sz w:val="20"/>
              </w:rPr>
              <w:t> </w:t>
            </w:r>
            <w:r>
              <w:rPr>
                <w:sz w:val="20"/>
              </w:rPr>
              <w:t>и</w:t>
            </w:r>
            <w:r>
              <w:rPr>
                <w:spacing w:val="-12"/>
                <w:sz w:val="20"/>
              </w:rPr>
              <w:t> </w:t>
            </w:r>
            <w:r>
              <w:rPr>
                <w:sz w:val="20"/>
              </w:rPr>
              <w:t>деформации</w:t>
            </w:r>
            <w:r>
              <w:rPr>
                <w:spacing w:val="-12"/>
                <w:sz w:val="20"/>
              </w:rPr>
              <w:t> </w:t>
            </w:r>
            <w:r>
              <w:rPr>
                <w:sz w:val="20"/>
              </w:rPr>
              <w:t>стопы</w:t>
            </w:r>
            <w:r>
              <w:rPr>
                <w:spacing w:val="-11"/>
                <w:sz w:val="20"/>
              </w:rPr>
              <w:t> </w:t>
            </w:r>
            <w:r>
              <w:rPr>
                <w:sz w:val="20"/>
              </w:rPr>
              <w:t>и кисти, предплечья различной этиологии у взрослых. Любой этиологии</w:t>
            </w:r>
            <w:r>
              <w:rPr>
                <w:spacing w:val="-11"/>
                <w:sz w:val="20"/>
              </w:rPr>
              <w:t> </w:t>
            </w:r>
            <w:r>
              <w:rPr>
                <w:sz w:val="20"/>
              </w:rPr>
              <w:t>деформации</w:t>
            </w:r>
            <w:r>
              <w:rPr>
                <w:spacing w:val="-11"/>
                <w:sz w:val="20"/>
              </w:rPr>
              <w:t> </w:t>
            </w:r>
            <w:r>
              <w:rPr>
                <w:sz w:val="20"/>
              </w:rPr>
              <w:t>стопы</w:t>
            </w:r>
            <w:r>
              <w:rPr>
                <w:spacing w:val="-10"/>
                <w:sz w:val="20"/>
              </w:rPr>
              <w:t> </w:t>
            </w:r>
            <w:r>
              <w:rPr>
                <w:sz w:val="20"/>
              </w:rPr>
              <w:t>и кисти у детей</w:t>
            </w:r>
          </w:p>
        </w:tc>
        <w:tc>
          <w:tcPr>
            <w:tcW w:w="1541" w:type="dxa"/>
          </w:tcPr>
          <w:p>
            <w:pPr>
              <w:pStyle w:val="TableParagraph"/>
              <w:spacing w:line="249" w:lineRule="auto"/>
              <w:ind w:left="64"/>
              <w:rPr>
                <w:sz w:val="20"/>
              </w:rPr>
            </w:pPr>
            <w:r>
              <w:rPr>
                <w:spacing w:val="-2"/>
                <w:sz w:val="20"/>
              </w:rPr>
              <w:t>хирургическое лечение</w:t>
            </w:r>
          </w:p>
        </w:tc>
        <w:tc>
          <w:tcPr>
            <w:tcW w:w="3571" w:type="dxa"/>
          </w:tcPr>
          <w:p>
            <w:pPr>
              <w:pStyle w:val="TableParagraph"/>
              <w:spacing w:line="249" w:lineRule="auto"/>
              <w:ind w:left="220"/>
              <w:rPr>
                <w:sz w:val="20"/>
              </w:rPr>
            </w:pPr>
            <w:r>
              <w:rPr>
                <w:sz w:val="20"/>
              </w:rPr>
              <w:t>артролиз</w:t>
            </w:r>
            <w:r>
              <w:rPr>
                <w:spacing w:val="-9"/>
                <w:sz w:val="20"/>
              </w:rPr>
              <w:t> </w:t>
            </w:r>
            <w:r>
              <w:rPr>
                <w:sz w:val="20"/>
              </w:rPr>
              <w:t>и</w:t>
            </w:r>
            <w:r>
              <w:rPr>
                <w:spacing w:val="-9"/>
                <w:sz w:val="20"/>
              </w:rPr>
              <w:t> </w:t>
            </w:r>
            <w:r>
              <w:rPr>
                <w:sz w:val="20"/>
              </w:rPr>
              <w:t>артродез</w:t>
            </w:r>
            <w:r>
              <w:rPr>
                <w:spacing w:val="-9"/>
                <w:sz w:val="20"/>
              </w:rPr>
              <w:t> </w:t>
            </w:r>
            <w:r>
              <w:rPr>
                <w:sz w:val="20"/>
              </w:rPr>
              <w:t>суставов</w:t>
            </w:r>
            <w:r>
              <w:rPr>
                <w:spacing w:val="-9"/>
                <w:sz w:val="20"/>
              </w:rPr>
              <w:t> </w:t>
            </w:r>
            <w:r>
              <w:rPr>
                <w:sz w:val="20"/>
              </w:rPr>
              <w:t>кисти</w:t>
            </w:r>
            <w:r>
              <w:rPr>
                <w:spacing w:val="-9"/>
                <w:sz w:val="20"/>
              </w:rPr>
              <w:t> </w:t>
            </w:r>
            <w:r>
              <w:rPr>
                <w:sz w:val="20"/>
              </w:rPr>
              <w:t>с различными видами чрескостного, накостного и интрамедуллярного </w:t>
            </w:r>
            <w:r>
              <w:rPr>
                <w:spacing w:val="-2"/>
                <w:sz w:val="20"/>
              </w:rPr>
              <w:t>остеосинтеза</w:t>
            </w:r>
          </w:p>
        </w:tc>
      </w:tr>
      <w:tr>
        <w:trPr>
          <w:trHeight w:val="1920" w:hRule="atLeast"/>
        </w:trPr>
        <w:tc>
          <w:tcPr>
            <w:tcW w:w="2853" w:type="dxa"/>
            <w:vMerge/>
            <w:tcBorders>
              <w:top w:val="nil"/>
            </w:tcBorders>
          </w:tcPr>
          <w:p>
            <w:pPr>
              <w:rPr>
                <w:sz w:val="2"/>
                <w:szCs w:val="2"/>
              </w:rPr>
            </w:pPr>
          </w:p>
        </w:tc>
        <w:tc>
          <w:tcPr>
            <w:tcW w:w="2017" w:type="dxa"/>
            <w:vMerge/>
            <w:tcBorders>
              <w:top w:val="nil"/>
            </w:tcBorders>
          </w:tcPr>
          <w:p>
            <w:pPr>
              <w:rPr>
                <w:sz w:val="2"/>
                <w:szCs w:val="2"/>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before="120"/>
              <w:ind w:left="220"/>
              <w:rPr>
                <w:sz w:val="20"/>
              </w:rPr>
            </w:pPr>
            <w:r>
              <w:rPr>
                <w:spacing w:val="-2"/>
                <w:sz w:val="20"/>
              </w:rPr>
              <w:t>реконструктивно-пластическое </w:t>
            </w:r>
            <w:r>
              <w:rPr>
                <w:sz w:val="20"/>
              </w:rPr>
              <w:t>хирургическое вмешательство на костях</w:t>
            </w:r>
            <w:r>
              <w:rPr>
                <w:spacing w:val="-9"/>
                <w:sz w:val="20"/>
              </w:rPr>
              <w:t> </w:t>
            </w:r>
            <w:r>
              <w:rPr>
                <w:sz w:val="20"/>
              </w:rPr>
              <w:t>стоп</w:t>
            </w:r>
            <w:r>
              <w:rPr>
                <w:spacing w:val="-9"/>
                <w:sz w:val="20"/>
              </w:rPr>
              <w:t> </w:t>
            </w:r>
            <w:r>
              <w:rPr>
                <w:sz w:val="20"/>
              </w:rPr>
              <w:t>с</w:t>
            </w:r>
            <w:r>
              <w:rPr>
                <w:spacing w:val="-8"/>
                <w:sz w:val="20"/>
              </w:rPr>
              <w:t> </w:t>
            </w:r>
            <w:r>
              <w:rPr>
                <w:sz w:val="20"/>
              </w:rPr>
              <w:t>использованием</w:t>
            </w:r>
            <w:r>
              <w:rPr>
                <w:spacing w:val="-7"/>
                <w:sz w:val="20"/>
              </w:rPr>
              <w:t> </w:t>
            </w:r>
            <w:r>
              <w:rPr>
                <w:sz w:val="20"/>
              </w:rPr>
              <w:t>ауто-</w:t>
            </w:r>
            <w:r>
              <w:rPr>
                <w:spacing w:val="-7"/>
                <w:sz w:val="20"/>
              </w:rPr>
              <w:t> </w:t>
            </w:r>
            <w:r>
              <w:rPr>
                <w:sz w:val="20"/>
              </w:rPr>
              <w:t>и аллотрансплантатов, имплантатов, остеозамещающих материалов, </w:t>
            </w:r>
            <w:r>
              <w:rPr>
                <w:spacing w:val="-2"/>
                <w:sz w:val="20"/>
              </w:rPr>
              <w:t>металлоконструкций</w:t>
            </w:r>
          </w:p>
        </w:tc>
      </w:tr>
      <w:tr>
        <w:trPr>
          <w:trHeight w:val="960" w:hRule="atLeast"/>
        </w:trPr>
        <w:tc>
          <w:tcPr>
            <w:tcW w:w="2853" w:type="dxa"/>
            <w:vMerge w:val="restart"/>
          </w:tcPr>
          <w:p>
            <w:pPr>
              <w:pStyle w:val="TableParagraph"/>
              <w:spacing w:line="249" w:lineRule="auto" w:before="120"/>
              <w:ind w:left="50" w:right="82"/>
              <w:rPr>
                <w:sz w:val="20"/>
              </w:rPr>
            </w:pPr>
            <w:r>
              <w:rPr>
                <w:spacing w:val="-2"/>
                <w:sz w:val="20"/>
              </w:rPr>
              <w:t>Реконструктивно-пластические </w:t>
            </w:r>
            <w:r>
              <w:rPr>
                <w:sz w:val="20"/>
              </w:rPr>
              <w:t>операции на костях таза, верхних</w:t>
            </w:r>
            <w:r>
              <w:rPr>
                <w:spacing w:val="-13"/>
                <w:sz w:val="20"/>
              </w:rPr>
              <w:t> </w:t>
            </w:r>
            <w:r>
              <w:rPr>
                <w:sz w:val="20"/>
              </w:rPr>
              <w:t>и</w:t>
            </w:r>
            <w:r>
              <w:rPr>
                <w:spacing w:val="-12"/>
                <w:sz w:val="20"/>
              </w:rPr>
              <w:t> </w:t>
            </w:r>
            <w:r>
              <w:rPr>
                <w:sz w:val="20"/>
              </w:rPr>
              <w:t>нижних</w:t>
            </w:r>
            <w:r>
              <w:rPr>
                <w:spacing w:val="-13"/>
                <w:sz w:val="20"/>
              </w:rPr>
              <w:t> </w:t>
            </w:r>
            <w:r>
              <w:rPr>
                <w:sz w:val="20"/>
              </w:rPr>
              <w:t>конечностях с использованием погружных или наружных фиксирующих устройств, синтетических и </w:t>
            </w:r>
            <w:r>
              <w:rPr>
                <w:spacing w:val="-2"/>
                <w:sz w:val="20"/>
              </w:rPr>
              <w:t>биологических </w:t>
            </w:r>
            <w:r>
              <w:rPr>
                <w:sz w:val="20"/>
              </w:rPr>
              <w:t>остеозамещающих</w:t>
            </w:r>
            <w:r>
              <w:rPr>
                <w:spacing w:val="-13"/>
                <w:sz w:val="20"/>
              </w:rPr>
              <w:t> </w:t>
            </w:r>
            <w:r>
              <w:rPr>
                <w:sz w:val="20"/>
              </w:rPr>
              <w:t>материалов,</w:t>
            </w:r>
          </w:p>
          <w:p>
            <w:pPr>
              <w:pStyle w:val="TableParagraph"/>
              <w:spacing w:line="220" w:lineRule="exact" w:before="7"/>
              <w:ind w:left="50"/>
              <w:rPr>
                <w:sz w:val="20"/>
              </w:rPr>
            </w:pPr>
            <w:r>
              <w:rPr>
                <w:w w:val="95"/>
                <w:sz w:val="20"/>
              </w:rPr>
              <w:t>компьютерной</w:t>
            </w:r>
            <w:r>
              <w:rPr>
                <w:spacing w:val="45"/>
                <w:sz w:val="20"/>
              </w:rPr>
              <w:t> </w:t>
            </w:r>
            <w:r>
              <w:rPr>
                <w:spacing w:val="-2"/>
                <w:sz w:val="20"/>
              </w:rPr>
              <w:t>навигации</w:t>
            </w:r>
          </w:p>
        </w:tc>
        <w:tc>
          <w:tcPr>
            <w:tcW w:w="2017" w:type="dxa"/>
            <w:vMerge w:val="restart"/>
          </w:tcPr>
          <w:p>
            <w:pPr>
              <w:pStyle w:val="TableParagraph"/>
              <w:spacing w:line="249" w:lineRule="auto" w:before="120"/>
              <w:ind w:left="115" w:right="63"/>
              <w:jc w:val="center"/>
              <w:rPr>
                <w:sz w:val="20"/>
              </w:rPr>
            </w:pPr>
            <w:hyperlink r:id="rId420">
              <w:r>
                <w:rPr>
                  <w:sz w:val="20"/>
                </w:rPr>
                <w:t>S70.7, </w:t>
              </w:r>
            </w:hyperlink>
            <w:hyperlink r:id="rId421">
              <w:r>
                <w:rPr>
                  <w:sz w:val="20"/>
                </w:rPr>
                <w:t>S70.9, </w:t>
              </w:r>
            </w:hyperlink>
            <w:hyperlink r:id="rId422">
              <w:r>
                <w:rPr>
                  <w:sz w:val="20"/>
                </w:rPr>
                <w:t>S71,</w:t>
              </w:r>
            </w:hyperlink>
            <w:r>
              <w:rPr>
                <w:sz w:val="20"/>
              </w:rPr>
              <w:t> </w:t>
            </w:r>
            <w:hyperlink r:id="rId423">
              <w:r>
                <w:rPr>
                  <w:sz w:val="20"/>
                </w:rPr>
                <w:t>S72, </w:t>
              </w:r>
            </w:hyperlink>
            <w:hyperlink r:id="rId424">
              <w:r>
                <w:rPr>
                  <w:sz w:val="20"/>
                </w:rPr>
                <w:t>S77, </w:t>
              </w:r>
            </w:hyperlink>
            <w:hyperlink r:id="rId425">
              <w:r>
                <w:rPr>
                  <w:sz w:val="20"/>
                </w:rPr>
                <w:t>S79, </w:t>
              </w:r>
            </w:hyperlink>
            <w:hyperlink r:id="rId426">
              <w:r>
                <w:rPr>
                  <w:sz w:val="20"/>
                </w:rPr>
                <w:t>S42,</w:t>
              </w:r>
            </w:hyperlink>
            <w:r>
              <w:rPr>
                <w:sz w:val="20"/>
              </w:rPr>
              <w:t> </w:t>
            </w:r>
            <w:hyperlink r:id="rId427">
              <w:r>
                <w:rPr>
                  <w:sz w:val="20"/>
                </w:rPr>
                <w:t>S43, </w:t>
              </w:r>
            </w:hyperlink>
            <w:hyperlink r:id="rId428">
              <w:r>
                <w:rPr>
                  <w:sz w:val="20"/>
                </w:rPr>
                <w:t>S47, </w:t>
              </w:r>
            </w:hyperlink>
            <w:hyperlink r:id="rId429">
              <w:r>
                <w:rPr>
                  <w:sz w:val="20"/>
                </w:rPr>
                <w:t>S49, </w:t>
              </w:r>
            </w:hyperlink>
            <w:hyperlink r:id="rId411">
              <w:r>
                <w:rPr>
                  <w:sz w:val="20"/>
                </w:rPr>
                <w:t>S50,</w:t>
              </w:r>
            </w:hyperlink>
            <w:r>
              <w:rPr>
                <w:sz w:val="20"/>
              </w:rPr>
              <w:t> </w:t>
            </w:r>
            <w:hyperlink r:id="rId430">
              <w:r>
                <w:rPr>
                  <w:sz w:val="20"/>
                </w:rPr>
                <w:t>M99.9,</w:t>
              </w:r>
              <w:r>
                <w:rPr>
                  <w:spacing w:val="-13"/>
                  <w:sz w:val="20"/>
                </w:rPr>
                <w:t> </w:t>
              </w:r>
            </w:hyperlink>
            <w:hyperlink r:id="rId431">
              <w:r>
                <w:rPr>
                  <w:sz w:val="20"/>
                </w:rPr>
                <w:t>M21.6,</w:t>
              </w:r>
              <w:r>
                <w:rPr>
                  <w:spacing w:val="-12"/>
                  <w:sz w:val="20"/>
                </w:rPr>
                <w:t> </w:t>
              </w:r>
            </w:hyperlink>
            <w:hyperlink r:id="rId432">
              <w:r>
                <w:rPr>
                  <w:sz w:val="20"/>
                </w:rPr>
                <w:t>M95.1,</w:t>
              </w:r>
            </w:hyperlink>
          </w:p>
          <w:p>
            <w:pPr>
              <w:pStyle w:val="TableParagraph"/>
              <w:spacing w:line="249" w:lineRule="auto" w:before="4"/>
              <w:ind w:left="166" w:right="113" w:firstLine="4"/>
              <w:jc w:val="center"/>
              <w:rPr>
                <w:sz w:val="20"/>
              </w:rPr>
            </w:pPr>
            <w:hyperlink r:id="rId433">
              <w:r>
                <w:rPr>
                  <w:sz w:val="20"/>
                </w:rPr>
                <w:t>M21.8, </w:t>
              </w:r>
            </w:hyperlink>
            <w:hyperlink r:id="rId394">
              <w:r>
                <w:rPr>
                  <w:sz w:val="20"/>
                </w:rPr>
                <w:t>M21.9, </w:t>
              </w:r>
            </w:hyperlink>
            <w:hyperlink r:id="rId434">
              <w:r>
                <w:rPr>
                  <w:sz w:val="20"/>
                </w:rPr>
                <w:t>Q66,</w:t>
              </w:r>
            </w:hyperlink>
            <w:r>
              <w:rPr>
                <w:sz w:val="20"/>
              </w:rPr>
              <w:t> </w:t>
            </w:r>
            <w:hyperlink r:id="rId435">
              <w:r>
                <w:rPr>
                  <w:sz w:val="20"/>
                </w:rPr>
                <w:t>Q78, </w:t>
              </w:r>
            </w:hyperlink>
            <w:hyperlink r:id="rId436">
              <w:r>
                <w:rPr>
                  <w:sz w:val="20"/>
                </w:rPr>
                <w:t>M86, </w:t>
              </w:r>
            </w:hyperlink>
            <w:hyperlink r:id="rId405">
              <w:r>
                <w:rPr>
                  <w:sz w:val="20"/>
                </w:rPr>
                <w:t>G11.4,</w:t>
              </w:r>
            </w:hyperlink>
            <w:r>
              <w:rPr>
                <w:sz w:val="20"/>
              </w:rPr>
              <w:t> </w:t>
            </w:r>
            <w:hyperlink r:id="rId406">
              <w:r>
                <w:rPr>
                  <w:sz w:val="20"/>
                </w:rPr>
                <w:t>G12.1,</w:t>
              </w:r>
              <w:r>
                <w:rPr>
                  <w:spacing w:val="-13"/>
                  <w:sz w:val="20"/>
                </w:rPr>
                <w:t> </w:t>
              </w:r>
            </w:hyperlink>
            <w:hyperlink r:id="rId407">
              <w:r>
                <w:rPr>
                  <w:sz w:val="20"/>
                </w:rPr>
                <w:t>G80.9,</w:t>
              </w:r>
              <w:r>
                <w:rPr>
                  <w:spacing w:val="-12"/>
                  <w:sz w:val="20"/>
                </w:rPr>
                <w:t> </w:t>
              </w:r>
            </w:hyperlink>
            <w:hyperlink r:id="rId388">
              <w:r>
                <w:rPr>
                  <w:sz w:val="20"/>
                </w:rPr>
                <w:t>G80.1,</w:t>
              </w:r>
            </w:hyperlink>
            <w:r>
              <w:rPr>
                <w:sz w:val="20"/>
              </w:rPr>
              <w:t> </w:t>
            </w:r>
            <w:hyperlink r:id="rId389">
              <w:r>
                <w:rPr>
                  <w:spacing w:val="-4"/>
                  <w:sz w:val="20"/>
                </w:rPr>
                <w:t>G80.2</w:t>
              </w:r>
            </w:hyperlink>
          </w:p>
        </w:tc>
        <w:tc>
          <w:tcPr>
            <w:tcW w:w="3157" w:type="dxa"/>
            <w:vMerge w:val="restart"/>
          </w:tcPr>
          <w:p>
            <w:pPr>
              <w:pStyle w:val="TableParagraph"/>
              <w:spacing w:line="249" w:lineRule="auto" w:before="120"/>
              <w:ind w:left="65" w:right="55"/>
              <w:rPr>
                <w:sz w:val="20"/>
              </w:rPr>
            </w:pPr>
            <w:r>
              <w:rPr>
                <w:sz w:val="20"/>
              </w:rPr>
              <w:t>любой</w:t>
            </w:r>
            <w:r>
              <w:rPr>
                <w:spacing w:val="-13"/>
                <w:sz w:val="20"/>
              </w:rPr>
              <w:t> </w:t>
            </w:r>
            <w:r>
              <w:rPr>
                <w:sz w:val="20"/>
              </w:rPr>
              <w:t>этиологии</w:t>
            </w:r>
            <w:r>
              <w:rPr>
                <w:spacing w:val="-12"/>
                <w:sz w:val="20"/>
              </w:rPr>
              <w:t> </w:t>
            </w:r>
            <w:r>
              <w:rPr>
                <w:sz w:val="20"/>
              </w:rPr>
              <w:t>деформации</w:t>
            </w:r>
            <w:r>
              <w:rPr>
                <w:spacing w:val="-13"/>
                <w:sz w:val="20"/>
              </w:rPr>
              <w:t> </w:t>
            </w:r>
            <w:r>
              <w:rPr>
                <w:sz w:val="20"/>
              </w:rPr>
              <w:t>таза, костей верхних и нижних конечностей (угловая деформация не</w:t>
            </w:r>
            <w:r>
              <w:rPr>
                <w:spacing w:val="-5"/>
                <w:sz w:val="20"/>
              </w:rPr>
              <w:t> </w:t>
            </w:r>
            <w:r>
              <w:rPr>
                <w:sz w:val="20"/>
              </w:rPr>
              <w:t>менее</w:t>
            </w:r>
            <w:r>
              <w:rPr>
                <w:spacing w:val="-5"/>
                <w:sz w:val="20"/>
              </w:rPr>
              <w:t> </w:t>
            </w:r>
            <w:r>
              <w:rPr>
                <w:sz w:val="20"/>
              </w:rPr>
              <w:t>20</w:t>
            </w:r>
            <w:r>
              <w:rPr>
                <w:spacing w:val="-4"/>
                <w:sz w:val="20"/>
              </w:rPr>
              <w:t> </w:t>
            </w:r>
            <w:r>
              <w:rPr>
                <w:sz w:val="20"/>
              </w:rPr>
              <w:t>градусов,</w:t>
            </w:r>
            <w:r>
              <w:rPr>
                <w:spacing w:val="-5"/>
                <w:sz w:val="20"/>
              </w:rPr>
              <w:t> </w:t>
            </w:r>
            <w:r>
              <w:rPr>
                <w:sz w:val="20"/>
              </w:rPr>
              <w:t>смещение</w:t>
            </w:r>
            <w:r>
              <w:rPr>
                <w:spacing w:val="-2"/>
                <w:sz w:val="20"/>
              </w:rPr>
              <w:t> </w:t>
            </w:r>
            <w:r>
              <w:rPr>
                <w:sz w:val="20"/>
              </w:rPr>
              <w:t>по периферии не менее 20 мм) любой локализации, в том числе многоуровневые и сопровождающиеся укорочением конечности (не менее 30 мм), стойкими</w:t>
            </w:r>
            <w:r>
              <w:rPr>
                <w:spacing w:val="-6"/>
                <w:sz w:val="20"/>
              </w:rPr>
              <w:t> </w:t>
            </w:r>
            <w:r>
              <w:rPr>
                <w:sz w:val="20"/>
              </w:rPr>
              <w:t>контрактурами</w:t>
            </w:r>
            <w:r>
              <w:rPr>
                <w:spacing w:val="-6"/>
                <w:sz w:val="20"/>
              </w:rPr>
              <w:t> </w:t>
            </w:r>
            <w:r>
              <w:rPr>
                <w:sz w:val="20"/>
              </w:rPr>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w:t>
            </w:r>
            <w:r>
              <w:rPr>
                <w:spacing w:val="-6"/>
                <w:sz w:val="20"/>
              </w:rPr>
              <w:t> </w:t>
            </w:r>
            <w:r>
              <w:rPr>
                <w:sz w:val="20"/>
              </w:rPr>
              <w:t>контрактурами</w:t>
            </w:r>
            <w:r>
              <w:rPr>
                <w:spacing w:val="-6"/>
                <w:sz w:val="20"/>
              </w:rPr>
              <w:t> </w:t>
            </w:r>
            <w:r>
              <w:rPr>
                <w:sz w:val="20"/>
              </w:rPr>
              <w:t>суставов. Деформации костей таза, бедренной кости у детей со</w:t>
            </w:r>
          </w:p>
          <w:p>
            <w:pPr>
              <w:pStyle w:val="TableParagraph"/>
              <w:spacing w:line="210" w:lineRule="exact" w:before="17"/>
              <w:ind w:left="65"/>
              <w:rPr>
                <w:sz w:val="20"/>
              </w:rPr>
            </w:pPr>
            <w:r>
              <w:rPr>
                <w:spacing w:val="-2"/>
                <w:sz w:val="20"/>
              </w:rPr>
              <w:t>спастическим</w:t>
            </w:r>
            <w:r>
              <w:rPr>
                <w:spacing w:val="10"/>
                <w:sz w:val="20"/>
              </w:rPr>
              <w:t> </w:t>
            </w:r>
            <w:r>
              <w:rPr>
                <w:spacing w:val="-2"/>
                <w:sz w:val="20"/>
              </w:rPr>
              <w:t>синдромом</w:t>
            </w:r>
          </w:p>
        </w:tc>
        <w:tc>
          <w:tcPr>
            <w:tcW w:w="1541" w:type="dxa"/>
          </w:tcPr>
          <w:p>
            <w:pPr>
              <w:pStyle w:val="TableParagraph"/>
              <w:spacing w:line="249" w:lineRule="auto" w:before="120"/>
              <w:ind w:left="64"/>
              <w:rPr>
                <w:sz w:val="20"/>
              </w:rPr>
            </w:pPr>
            <w:r>
              <w:rPr>
                <w:spacing w:val="-2"/>
                <w:sz w:val="20"/>
              </w:rPr>
              <w:t>хирургическое лечение</w:t>
            </w:r>
          </w:p>
        </w:tc>
        <w:tc>
          <w:tcPr>
            <w:tcW w:w="3571" w:type="dxa"/>
          </w:tcPr>
          <w:p>
            <w:pPr>
              <w:pStyle w:val="TableParagraph"/>
              <w:spacing w:line="249" w:lineRule="auto" w:before="120"/>
              <w:ind w:left="220"/>
              <w:rPr>
                <w:sz w:val="20"/>
              </w:rPr>
            </w:pPr>
            <w:r>
              <w:rPr>
                <w:sz w:val="20"/>
              </w:rPr>
              <w:t>чрескостный остеосинтез с использованием</w:t>
            </w:r>
            <w:r>
              <w:rPr>
                <w:spacing w:val="-13"/>
                <w:sz w:val="20"/>
              </w:rPr>
              <w:t> </w:t>
            </w:r>
            <w:r>
              <w:rPr>
                <w:sz w:val="20"/>
              </w:rPr>
              <w:t>метода</w:t>
            </w:r>
            <w:r>
              <w:rPr>
                <w:spacing w:val="-12"/>
                <w:sz w:val="20"/>
              </w:rPr>
              <w:t> </w:t>
            </w:r>
            <w:r>
              <w:rPr>
                <w:sz w:val="20"/>
              </w:rPr>
              <w:t>цифрового </w:t>
            </w:r>
            <w:r>
              <w:rPr>
                <w:spacing w:val="-2"/>
                <w:sz w:val="20"/>
              </w:rPr>
              <w:t>анализа</w:t>
            </w:r>
          </w:p>
        </w:tc>
      </w:tr>
      <w:tr>
        <w:trPr>
          <w:trHeight w:val="1320" w:hRule="atLeast"/>
        </w:trPr>
        <w:tc>
          <w:tcPr>
            <w:tcW w:w="2853" w:type="dxa"/>
            <w:vMerge/>
            <w:tcBorders>
              <w:top w:val="nil"/>
            </w:tcBorders>
          </w:tcPr>
          <w:p>
            <w:pPr>
              <w:rPr>
                <w:sz w:val="2"/>
                <w:szCs w:val="2"/>
              </w:rPr>
            </w:pPr>
          </w:p>
        </w:tc>
        <w:tc>
          <w:tcPr>
            <w:tcW w:w="2017" w:type="dxa"/>
            <w:vMerge/>
            <w:tcBorders>
              <w:top w:val="nil"/>
            </w:tcBorders>
          </w:tcPr>
          <w:p>
            <w:pPr>
              <w:rPr>
                <w:sz w:val="2"/>
                <w:szCs w:val="2"/>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before="120"/>
              <w:ind w:left="220"/>
              <w:rPr>
                <w:sz w:val="20"/>
              </w:rPr>
            </w:pPr>
            <w:r>
              <w:rPr>
                <w:sz w:val="20"/>
              </w:rPr>
              <w:t>чрескостный</w:t>
            </w:r>
            <w:r>
              <w:rPr>
                <w:spacing w:val="-13"/>
                <w:sz w:val="20"/>
              </w:rPr>
              <w:t> </w:t>
            </w:r>
            <w:r>
              <w:rPr>
                <w:sz w:val="20"/>
              </w:rPr>
              <w:t>остеосинтез</w:t>
            </w:r>
            <w:r>
              <w:rPr>
                <w:spacing w:val="-12"/>
                <w:sz w:val="20"/>
              </w:rPr>
              <w:t> </w:t>
            </w:r>
            <w:r>
              <w:rPr>
                <w:sz w:val="20"/>
              </w:rPr>
              <w:t>методом компоновок аппаратов с использованием модульной </w:t>
            </w:r>
            <w:r>
              <w:rPr>
                <w:spacing w:val="-2"/>
                <w:sz w:val="20"/>
              </w:rPr>
              <w:t>трансформации</w:t>
            </w:r>
          </w:p>
        </w:tc>
      </w:tr>
      <w:tr>
        <w:trPr>
          <w:trHeight w:val="600" w:hRule="atLeast"/>
        </w:trPr>
        <w:tc>
          <w:tcPr>
            <w:tcW w:w="2853" w:type="dxa"/>
          </w:tcPr>
          <w:p>
            <w:pPr>
              <w:pStyle w:val="TableParagraph"/>
              <w:rPr>
                <w:sz w:val="18"/>
              </w:rPr>
            </w:pPr>
          </w:p>
        </w:tc>
        <w:tc>
          <w:tcPr>
            <w:tcW w:w="2017" w:type="dxa"/>
          </w:tcPr>
          <w:p>
            <w:pPr>
              <w:pStyle w:val="TableParagraph"/>
              <w:rPr>
                <w:sz w:val="18"/>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ind w:left="220"/>
              <w:rPr>
                <w:sz w:val="20"/>
              </w:rPr>
            </w:pPr>
            <w:r>
              <w:rPr>
                <w:sz w:val="20"/>
              </w:rPr>
              <w:t>корригирующие</w:t>
            </w:r>
            <w:r>
              <w:rPr>
                <w:spacing w:val="-13"/>
                <w:sz w:val="20"/>
              </w:rPr>
              <w:t> </w:t>
            </w:r>
            <w:r>
              <w:rPr>
                <w:sz w:val="20"/>
              </w:rPr>
              <w:t>остеотомии</w:t>
            </w:r>
            <w:r>
              <w:rPr>
                <w:spacing w:val="-12"/>
                <w:sz w:val="20"/>
              </w:rPr>
              <w:t> </w:t>
            </w:r>
            <w:r>
              <w:rPr>
                <w:sz w:val="20"/>
              </w:rPr>
              <w:t>костей верхних и нижних конечностей</w:t>
            </w:r>
          </w:p>
        </w:tc>
      </w:tr>
      <w:tr>
        <w:trPr>
          <w:trHeight w:val="2030" w:hRule="atLeast"/>
        </w:trPr>
        <w:tc>
          <w:tcPr>
            <w:tcW w:w="2853" w:type="dxa"/>
          </w:tcPr>
          <w:p>
            <w:pPr>
              <w:pStyle w:val="TableParagraph"/>
              <w:rPr>
                <w:sz w:val="18"/>
              </w:rPr>
            </w:pPr>
          </w:p>
        </w:tc>
        <w:tc>
          <w:tcPr>
            <w:tcW w:w="2017" w:type="dxa"/>
          </w:tcPr>
          <w:p>
            <w:pPr>
              <w:pStyle w:val="TableParagraph"/>
              <w:rPr>
                <w:sz w:val="18"/>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before="120"/>
              <w:ind w:left="220"/>
              <w:rPr>
                <w:sz w:val="20"/>
              </w:rPr>
            </w:pPr>
            <w:r>
              <w:rPr>
                <w:sz w:val="20"/>
              </w:rPr>
              <w:t>комбинированное</w:t>
            </w:r>
            <w:r>
              <w:rPr>
                <w:spacing w:val="-6"/>
                <w:sz w:val="20"/>
              </w:rPr>
              <w:t> </w:t>
            </w:r>
            <w:r>
              <w:rPr>
                <w:sz w:val="20"/>
              </w:rPr>
              <w:t>и</w:t>
            </w:r>
            <w:r>
              <w:rPr>
                <w:spacing w:val="-5"/>
                <w:sz w:val="20"/>
              </w:rPr>
              <w:t> </w:t>
            </w:r>
            <w:r>
              <w:rPr>
                <w:sz w:val="20"/>
              </w:rPr>
              <w:t>последовательное использование чрескостного и блокируемого</w:t>
            </w:r>
            <w:r>
              <w:rPr>
                <w:spacing w:val="-13"/>
                <w:sz w:val="20"/>
              </w:rPr>
              <w:t> </w:t>
            </w:r>
            <w:r>
              <w:rPr>
                <w:sz w:val="20"/>
              </w:rPr>
              <w:t>интрамедуллярного</w:t>
            </w:r>
            <w:r>
              <w:rPr>
                <w:spacing w:val="-12"/>
                <w:sz w:val="20"/>
              </w:rPr>
              <w:t> </w:t>
            </w:r>
            <w:r>
              <w:rPr>
                <w:sz w:val="20"/>
              </w:rPr>
              <w:t>или накостного остеосинтеза</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07"/>
        <w:gridCol w:w="1990"/>
        <w:gridCol w:w="3133"/>
        <w:gridCol w:w="1557"/>
        <w:gridCol w:w="3831"/>
        <w:gridCol w:w="1050"/>
      </w:tblGrid>
      <w:tr>
        <w:trPr>
          <w:trHeight w:val="2030" w:hRule="atLeast"/>
        </w:trPr>
        <w:tc>
          <w:tcPr>
            <w:tcW w:w="472" w:type="dxa"/>
          </w:tcPr>
          <w:p>
            <w:pPr>
              <w:pStyle w:val="TableParagraph"/>
              <w:rPr>
                <w:sz w:val="18"/>
              </w:rPr>
            </w:pPr>
          </w:p>
        </w:tc>
        <w:tc>
          <w:tcPr>
            <w:tcW w:w="3007" w:type="dxa"/>
          </w:tcPr>
          <w:p>
            <w:pPr>
              <w:pStyle w:val="TableParagraph"/>
              <w:rPr>
                <w:sz w:val="18"/>
              </w:rPr>
            </w:pPr>
          </w:p>
        </w:tc>
        <w:tc>
          <w:tcPr>
            <w:tcW w:w="1990" w:type="dxa"/>
          </w:tcPr>
          <w:p>
            <w:pPr>
              <w:pStyle w:val="TableParagraph"/>
              <w:spacing w:line="221" w:lineRule="exact"/>
              <w:ind w:left="62" w:right="51"/>
              <w:jc w:val="center"/>
              <w:rPr>
                <w:sz w:val="20"/>
              </w:rPr>
            </w:pPr>
            <w:hyperlink r:id="rId437">
              <w:r>
                <w:rPr>
                  <w:sz w:val="20"/>
                </w:rPr>
                <w:t>M25.3,</w:t>
              </w:r>
              <w:r>
                <w:rPr>
                  <w:spacing w:val="-3"/>
                  <w:sz w:val="20"/>
                </w:rPr>
                <w:t> </w:t>
              </w:r>
            </w:hyperlink>
            <w:hyperlink r:id="rId438">
              <w:r>
                <w:rPr>
                  <w:sz w:val="20"/>
                </w:rPr>
                <w:t>M91,</w:t>
              </w:r>
              <w:r>
                <w:rPr>
                  <w:spacing w:val="-2"/>
                  <w:sz w:val="20"/>
                </w:rPr>
                <w:t> </w:t>
              </w:r>
            </w:hyperlink>
            <w:hyperlink r:id="rId439">
              <w:r>
                <w:rPr>
                  <w:spacing w:val="-2"/>
                  <w:sz w:val="20"/>
                </w:rPr>
                <w:t>M95.8,</w:t>
              </w:r>
            </w:hyperlink>
          </w:p>
          <w:p>
            <w:pPr>
              <w:pStyle w:val="TableParagraph"/>
              <w:spacing w:before="10"/>
              <w:ind w:left="57" w:right="51"/>
              <w:jc w:val="center"/>
              <w:rPr>
                <w:sz w:val="20"/>
              </w:rPr>
            </w:pPr>
            <w:hyperlink r:id="rId440">
              <w:r>
                <w:rPr>
                  <w:sz w:val="20"/>
                </w:rPr>
                <w:t>Q65.0,</w:t>
              </w:r>
              <w:r>
                <w:rPr>
                  <w:spacing w:val="-3"/>
                  <w:sz w:val="20"/>
                </w:rPr>
                <w:t> </w:t>
              </w:r>
            </w:hyperlink>
            <w:hyperlink r:id="rId441">
              <w:r>
                <w:rPr>
                  <w:sz w:val="20"/>
                </w:rPr>
                <w:t>Q65.1,</w:t>
              </w:r>
              <w:r>
                <w:rPr>
                  <w:spacing w:val="-4"/>
                  <w:sz w:val="20"/>
                </w:rPr>
                <w:t> </w:t>
              </w:r>
            </w:hyperlink>
            <w:hyperlink r:id="rId442">
              <w:r>
                <w:rPr>
                  <w:spacing w:val="-2"/>
                  <w:sz w:val="20"/>
                </w:rPr>
                <w:t>Q65.3,</w:t>
              </w:r>
            </w:hyperlink>
          </w:p>
          <w:p>
            <w:pPr>
              <w:pStyle w:val="TableParagraph"/>
              <w:spacing w:line="249" w:lineRule="auto" w:before="10"/>
              <w:ind w:left="59" w:right="51"/>
              <w:jc w:val="center"/>
              <w:rPr>
                <w:sz w:val="20"/>
              </w:rPr>
            </w:pPr>
            <w:hyperlink r:id="rId443">
              <w:r>
                <w:rPr>
                  <w:sz w:val="20"/>
                </w:rPr>
                <w:t>Q65.4,</w:t>
              </w:r>
              <w:r>
                <w:rPr>
                  <w:spacing w:val="-13"/>
                  <w:sz w:val="20"/>
                </w:rPr>
                <w:t> </w:t>
              </w:r>
            </w:hyperlink>
            <w:hyperlink r:id="rId444">
              <w:r>
                <w:rPr>
                  <w:sz w:val="20"/>
                </w:rPr>
                <w:t>Q65.8,</w:t>
              </w:r>
              <w:r>
                <w:rPr>
                  <w:spacing w:val="-12"/>
                  <w:sz w:val="20"/>
                </w:rPr>
                <w:t> </w:t>
              </w:r>
            </w:hyperlink>
            <w:hyperlink r:id="rId445">
              <w:r>
                <w:rPr>
                  <w:sz w:val="20"/>
                </w:rPr>
                <w:t>M16.2,</w:t>
              </w:r>
            </w:hyperlink>
            <w:r>
              <w:rPr>
                <w:sz w:val="20"/>
              </w:rPr>
              <w:t> </w:t>
            </w:r>
            <w:hyperlink r:id="rId446">
              <w:r>
                <w:rPr>
                  <w:sz w:val="20"/>
                </w:rPr>
                <w:t>M16.3, </w:t>
              </w:r>
            </w:hyperlink>
            <w:hyperlink r:id="rId377">
              <w:r>
                <w:rPr>
                  <w:sz w:val="20"/>
                </w:rPr>
                <w:t>M92</w:t>
              </w:r>
            </w:hyperlink>
          </w:p>
        </w:tc>
        <w:tc>
          <w:tcPr>
            <w:tcW w:w="3133" w:type="dxa"/>
          </w:tcPr>
          <w:p>
            <w:pPr>
              <w:pStyle w:val="TableParagraph"/>
              <w:spacing w:line="249" w:lineRule="auto"/>
              <w:ind w:left="56" w:right="52"/>
              <w:rPr>
                <w:sz w:val="20"/>
              </w:rPr>
            </w:pPr>
            <w:r>
              <w:rPr>
                <w:sz w:val="20"/>
              </w:rPr>
              <w:t>дисплазии,</w:t>
            </w:r>
            <w:r>
              <w:rPr>
                <w:spacing w:val="-13"/>
                <w:sz w:val="20"/>
              </w:rPr>
              <w:t> </w:t>
            </w:r>
            <w:r>
              <w:rPr>
                <w:sz w:val="20"/>
              </w:rPr>
              <w:t>аномалии</w:t>
            </w:r>
            <w:r>
              <w:rPr>
                <w:spacing w:val="-12"/>
                <w:sz w:val="20"/>
              </w:rPr>
              <w:t> </w:t>
            </w:r>
            <w:r>
              <w:rPr>
                <w:sz w:val="20"/>
              </w:rPr>
              <w:t>развития, последствия травм крупных </w:t>
            </w:r>
            <w:r>
              <w:rPr>
                <w:spacing w:val="-2"/>
                <w:sz w:val="20"/>
              </w:rPr>
              <w:t>суставов</w:t>
            </w:r>
          </w:p>
        </w:tc>
        <w:tc>
          <w:tcPr>
            <w:tcW w:w="1557" w:type="dxa"/>
          </w:tcPr>
          <w:p>
            <w:pPr>
              <w:pStyle w:val="TableParagraph"/>
              <w:spacing w:line="249" w:lineRule="auto"/>
              <w:ind w:left="79"/>
              <w:rPr>
                <w:sz w:val="20"/>
              </w:rPr>
            </w:pPr>
            <w:r>
              <w:rPr>
                <w:spacing w:val="-2"/>
                <w:sz w:val="20"/>
              </w:rPr>
              <w:t>хирургическое лечение</w:t>
            </w:r>
          </w:p>
        </w:tc>
        <w:tc>
          <w:tcPr>
            <w:tcW w:w="3831" w:type="dxa"/>
          </w:tcPr>
          <w:p>
            <w:pPr>
              <w:pStyle w:val="TableParagraph"/>
              <w:spacing w:line="249" w:lineRule="auto"/>
              <w:ind w:left="220" w:right="254"/>
              <w:rPr>
                <w:sz w:val="20"/>
              </w:rPr>
            </w:pPr>
            <w:r>
              <w:rPr>
                <w:sz w:val="20"/>
              </w:rPr>
              <w:t>реконструкция проксимального, дистального отдела бедренной, большеберцовой</w:t>
            </w:r>
            <w:r>
              <w:rPr>
                <w:spacing w:val="-13"/>
                <w:sz w:val="20"/>
              </w:rPr>
              <w:t> </w:t>
            </w:r>
            <w:r>
              <w:rPr>
                <w:sz w:val="20"/>
              </w:rPr>
              <w:t>костей</w:t>
            </w:r>
            <w:r>
              <w:rPr>
                <w:spacing w:val="-12"/>
                <w:sz w:val="20"/>
              </w:rPr>
              <w:t> </w:t>
            </w:r>
            <w:r>
              <w:rPr>
                <w:sz w:val="20"/>
              </w:rPr>
              <w:t>при</w:t>
            </w:r>
            <w:r>
              <w:rPr>
                <w:spacing w:val="-13"/>
                <w:sz w:val="20"/>
              </w:rPr>
              <w:t> </w:t>
            </w:r>
            <w:r>
              <w:rPr>
                <w:sz w:val="20"/>
              </w:rPr>
              <w:t>пороках развития, приобретенных деформациях, требующих корригирующей остеотомии, с остеосинтезом погружными </w:t>
            </w:r>
            <w:r>
              <w:rPr>
                <w:spacing w:val="-2"/>
                <w:sz w:val="20"/>
              </w:rPr>
              <w:t>имплантатами</w:t>
            </w:r>
          </w:p>
        </w:tc>
        <w:tc>
          <w:tcPr>
            <w:tcW w:w="1050" w:type="dxa"/>
          </w:tcPr>
          <w:p>
            <w:pPr>
              <w:pStyle w:val="TableParagraph"/>
              <w:rPr>
                <w:sz w:val="18"/>
              </w:rPr>
            </w:pPr>
          </w:p>
        </w:tc>
      </w:tr>
      <w:tr>
        <w:trPr>
          <w:trHeight w:val="2100" w:hRule="atLeast"/>
        </w:trPr>
        <w:tc>
          <w:tcPr>
            <w:tcW w:w="472" w:type="dxa"/>
          </w:tcPr>
          <w:p>
            <w:pPr>
              <w:pStyle w:val="TableParagraph"/>
              <w:rPr>
                <w:sz w:val="18"/>
              </w:rPr>
            </w:pPr>
          </w:p>
        </w:tc>
        <w:tc>
          <w:tcPr>
            <w:tcW w:w="3007" w:type="dxa"/>
          </w:tcPr>
          <w:p>
            <w:pPr>
              <w:pStyle w:val="TableParagraph"/>
              <w:rPr>
                <w:sz w:val="18"/>
              </w:rPr>
            </w:pPr>
          </w:p>
        </w:tc>
        <w:tc>
          <w:tcPr>
            <w:tcW w:w="1990" w:type="dxa"/>
          </w:tcPr>
          <w:p>
            <w:pPr>
              <w:pStyle w:val="TableParagraph"/>
              <w:rPr>
                <w:sz w:val="18"/>
              </w:rPr>
            </w:pPr>
          </w:p>
        </w:tc>
        <w:tc>
          <w:tcPr>
            <w:tcW w:w="3133" w:type="dxa"/>
          </w:tcPr>
          <w:p>
            <w:pPr>
              <w:pStyle w:val="TableParagraph"/>
              <w:rPr>
                <w:sz w:val="18"/>
              </w:rPr>
            </w:pPr>
          </w:p>
        </w:tc>
        <w:tc>
          <w:tcPr>
            <w:tcW w:w="1557" w:type="dxa"/>
          </w:tcPr>
          <w:p>
            <w:pPr>
              <w:pStyle w:val="TableParagraph"/>
              <w:rPr>
                <w:sz w:val="18"/>
              </w:rPr>
            </w:pPr>
          </w:p>
        </w:tc>
        <w:tc>
          <w:tcPr>
            <w:tcW w:w="3831" w:type="dxa"/>
          </w:tcPr>
          <w:p>
            <w:pPr>
              <w:pStyle w:val="TableParagraph"/>
              <w:spacing w:line="249" w:lineRule="auto" w:before="120"/>
              <w:ind w:left="220" w:right="254"/>
              <w:rPr>
                <w:sz w:val="20"/>
              </w:rPr>
            </w:pPr>
            <w:r>
              <w:rPr>
                <w:sz w:val="20"/>
              </w:rPr>
              <w:t>создание оптимальных взаимоотношений в суставе путем выполнения различных вариантов остеотомий бедренной и большеберцовой</w:t>
            </w:r>
            <w:r>
              <w:rPr>
                <w:spacing w:val="-13"/>
                <w:sz w:val="20"/>
              </w:rPr>
              <w:t> </w:t>
            </w:r>
            <w:r>
              <w:rPr>
                <w:sz w:val="20"/>
              </w:rPr>
              <w:t>костей</w:t>
            </w:r>
            <w:r>
              <w:rPr>
                <w:spacing w:val="-12"/>
                <w:sz w:val="20"/>
              </w:rPr>
              <w:t> </w:t>
            </w:r>
            <w:r>
              <w:rPr>
                <w:sz w:val="20"/>
              </w:rPr>
              <w:t>с</w:t>
            </w:r>
            <w:r>
              <w:rPr>
                <w:spacing w:val="-13"/>
                <w:sz w:val="20"/>
              </w:rPr>
              <w:t> </w:t>
            </w:r>
            <w:r>
              <w:rPr>
                <w:sz w:val="20"/>
              </w:rPr>
              <w:t>изменением их пространственного положения и фиксацией имплантатами или аппаратами внешней фиксации</w:t>
            </w:r>
          </w:p>
        </w:tc>
        <w:tc>
          <w:tcPr>
            <w:tcW w:w="1050" w:type="dxa"/>
          </w:tcPr>
          <w:p>
            <w:pPr>
              <w:pStyle w:val="TableParagraph"/>
              <w:rPr>
                <w:sz w:val="18"/>
              </w:rPr>
            </w:pPr>
          </w:p>
        </w:tc>
      </w:tr>
      <w:tr>
        <w:trPr>
          <w:trHeight w:val="840" w:hRule="atLeast"/>
        </w:trPr>
        <w:tc>
          <w:tcPr>
            <w:tcW w:w="472" w:type="dxa"/>
          </w:tcPr>
          <w:p>
            <w:pPr>
              <w:pStyle w:val="TableParagraph"/>
              <w:rPr>
                <w:sz w:val="18"/>
              </w:rPr>
            </w:pPr>
          </w:p>
        </w:tc>
        <w:tc>
          <w:tcPr>
            <w:tcW w:w="3007" w:type="dxa"/>
          </w:tcPr>
          <w:p>
            <w:pPr>
              <w:pStyle w:val="TableParagraph"/>
              <w:rPr>
                <w:sz w:val="18"/>
              </w:rPr>
            </w:pPr>
          </w:p>
        </w:tc>
        <w:tc>
          <w:tcPr>
            <w:tcW w:w="1990" w:type="dxa"/>
          </w:tcPr>
          <w:p>
            <w:pPr>
              <w:pStyle w:val="TableParagraph"/>
              <w:spacing w:before="60"/>
              <w:ind w:left="61" w:right="51"/>
              <w:jc w:val="center"/>
              <w:rPr>
                <w:sz w:val="20"/>
              </w:rPr>
            </w:pPr>
            <w:hyperlink r:id="rId386">
              <w:r>
                <w:rPr>
                  <w:spacing w:val="-4"/>
                  <w:sz w:val="20"/>
                </w:rPr>
                <w:t>M24.6</w:t>
              </w:r>
            </w:hyperlink>
          </w:p>
        </w:tc>
        <w:tc>
          <w:tcPr>
            <w:tcW w:w="3133" w:type="dxa"/>
          </w:tcPr>
          <w:p>
            <w:pPr>
              <w:pStyle w:val="TableParagraph"/>
              <w:spacing w:line="249" w:lineRule="auto" w:before="60"/>
              <w:ind w:left="56" w:right="52"/>
              <w:rPr>
                <w:sz w:val="20"/>
              </w:rPr>
            </w:pPr>
            <w:r>
              <w:rPr>
                <w:sz w:val="20"/>
              </w:rPr>
              <w:t>анкилоз</w:t>
            </w:r>
            <w:r>
              <w:rPr>
                <w:spacing w:val="-13"/>
                <w:sz w:val="20"/>
              </w:rPr>
              <w:t> </w:t>
            </w:r>
            <w:r>
              <w:rPr>
                <w:sz w:val="20"/>
              </w:rPr>
              <w:t>крупного</w:t>
            </w:r>
            <w:r>
              <w:rPr>
                <w:spacing w:val="-12"/>
                <w:sz w:val="20"/>
              </w:rPr>
              <w:t> </w:t>
            </w:r>
            <w:r>
              <w:rPr>
                <w:sz w:val="20"/>
              </w:rPr>
              <w:t>сустава</w:t>
            </w:r>
            <w:r>
              <w:rPr>
                <w:spacing w:val="-13"/>
                <w:sz w:val="20"/>
              </w:rPr>
              <w:t> </w:t>
            </w:r>
            <w:r>
              <w:rPr>
                <w:sz w:val="20"/>
              </w:rPr>
              <w:t>в порочном положении</w:t>
            </w:r>
          </w:p>
        </w:tc>
        <w:tc>
          <w:tcPr>
            <w:tcW w:w="1557" w:type="dxa"/>
          </w:tcPr>
          <w:p>
            <w:pPr>
              <w:pStyle w:val="TableParagraph"/>
              <w:spacing w:line="249" w:lineRule="auto" w:before="60"/>
              <w:ind w:left="79"/>
              <w:rPr>
                <w:sz w:val="20"/>
              </w:rPr>
            </w:pPr>
            <w:r>
              <w:rPr>
                <w:spacing w:val="-2"/>
                <w:sz w:val="20"/>
              </w:rPr>
              <w:t>хирургическое лечение</w:t>
            </w:r>
          </w:p>
        </w:tc>
        <w:tc>
          <w:tcPr>
            <w:tcW w:w="3831" w:type="dxa"/>
          </w:tcPr>
          <w:p>
            <w:pPr>
              <w:pStyle w:val="TableParagraph"/>
              <w:spacing w:line="249" w:lineRule="auto" w:before="60"/>
              <w:ind w:left="220" w:right="942"/>
              <w:jc w:val="both"/>
              <w:rPr>
                <w:sz w:val="20"/>
              </w:rPr>
            </w:pPr>
            <w:r>
              <w:rPr>
                <w:sz w:val="20"/>
              </w:rPr>
              <w:t>корригирующие остеотомии с фиксацией имплантатами или аппаратами</w:t>
            </w:r>
            <w:r>
              <w:rPr>
                <w:spacing w:val="-10"/>
                <w:sz w:val="20"/>
              </w:rPr>
              <w:t> </w:t>
            </w:r>
            <w:r>
              <w:rPr>
                <w:sz w:val="20"/>
              </w:rPr>
              <w:t>внешней</w:t>
            </w:r>
            <w:r>
              <w:rPr>
                <w:spacing w:val="-9"/>
                <w:sz w:val="20"/>
              </w:rPr>
              <w:t> </w:t>
            </w:r>
            <w:r>
              <w:rPr>
                <w:spacing w:val="-2"/>
                <w:sz w:val="20"/>
              </w:rPr>
              <w:t>фиксации</w:t>
            </w:r>
          </w:p>
        </w:tc>
        <w:tc>
          <w:tcPr>
            <w:tcW w:w="1050" w:type="dxa"/>
          </w:tcPr>
          <w:p>
            <w:pPr>
              <w:pStyle w:val="TableParagraph"/>
              <w:rPr>
                <w:sz w:val="18"/>
              </w:rPr>
            </w:pPr>
          </w:p>
        </w:tc>
      </w:tr>
      <w:tr>
        <w:trPr>
          <w:trHeight w:val="300" w:hRule="atLeast"/>
        </w:trPr>
        <w:tc>
          <w:tcPr>
            <w:tcW w:w="472" w:type="dxa"/>
          </w:tcPr>
          <w:p>
            <w:pPr>
              <w:pStyle w:val="TableParagraph"/>
              <w:spacing w:line="220" w:lineRule="exact" w:before="60"/>
              <w:ind w:left="50"/>
              <w:rPr>
                <w:sz w:val="20"/>
              </w:rPr>
            </w:pPr>
            <w:r>
              <w:rPr>
                <w:spacing w:val="-5"/>
                <w:sz w:val="20"/>
              </w:rPr>
              <w:t>52.</w:t>
            </w:r>
          </w:p>
        </w:tc>
        <w:tc>
          <w:tcPr>
            <w:tcW w:w="3007" w:type="dxa"/>
          </w:tcPr>
          <w:p>
            <w:pPr>
              <w:pStyle w:val="TableParagraph"/>
              <w:spacing w:line="220" w:lineRule="exact" w:before="60"/>
              <w:ind w:left="168"/>
              <w:rPr>
                <w:sz w:val="20"/>
              </w:rPr>
            </w:pPr>
            <w:r>
              <w:rPr>
                <w:w w:val="95"/>
                <w:sz w:val="20"/>
              </w:rPr>
              <w:t>Реконструктивные</w:t>
            </w:r>
            <w:r>
              <w:rPr>
                <w:spacing w:val="62"/>
                <w:sz w:val="20"/>
              </w:rPr>
              <w:t> </w:t>
            </w:r>
            <w:r>
              <w:rPr>
                <w:spacing w:val="-10"/>
                <w:sz w:val="20"/>
              </w:rPr>
              <w:t>и</w:t>
            </w:r>
          </w:p>
        </w:tc>
        <w:tc>
          <w:tcPr>
            <w:tcW w:w="1990" w:type="dxa"/>
          </w:tcPr>
          <w:p>
            <w:pPr>
              <w:pStyle w:val="TableParagraph"/>
              <w:spacing w:line="220" w:lineRule="exact" w:before="60"/>
              <w:ind w:left="59" w:right="51"/>
              <w:jc w:val="center"/>
              <w:rPr>
                <w:sz w:val="20"/>
              </w:rPr>
            </w:pPr>
            <w:hyperlink r:id="rId447">
              <w:r>
                <w:rPr>
                  <w:sz w:val="20"/>
                </w:rPr>
                <w:t>A18.0,</w:t>
              </w:r>
              <w:r>
                <w:rPr>
                  <w:spacing w:val="-3"/>
                  <w:sz w:val="20"/>
                </w:rPr>
                <w:t> </w:t>
              </w:r>
            </w:hyperlink>
            <w:hyperlink r:id="rId448">
              <w:r>
                <w:rPr>
                  <w:sz w:val="20"/>
                </w:rPr>
                <w:t>S12.0,</w:t>
              </w:r>
              <w:r>
                <w:rPr>
                  <w:spacing w:val="-3"/>
                  <w:sz w:val="20"/>
                </w:rPr>
                <w:t> </w:t>
              </w:r>
            </w:hyperlink>
            <w:hyperlink r:id="rId449">
              <w:r>
                <w:rPr>
                  <w:spacing w:val="-2"/>
                  <w:sz w:val="20"/>
                </w:rPr>
                <w:t>S12.1,</w:t>
              </w:r>
            </w:hyperlink>
          </w:p>
        </w:tc>
        <w:tc>
          <w:tcPr>
            <w:tcW w:w="3133" w:type="dxa"/>
          </w:tcPr>
          <w:p>
            <w:pPr>
              <w:pStyle w:val="TableParagraph"/>
              <w:spacing w:line="220" w:lineRule="exact" w:before="60"/>
              <w:ind w:left="56"/>
              <w:rPr>
                <w:sz w:val="20"/>
              </w:rPr>
            </w:pPr>
            <w:r>
              <w:rPr>
                <w:sz w:val="20"/>
              </w:rPr>
              <w:t>переломы</w:t>
            </w:r>
            <w:r>
              <w:rPr>
                <w:spacing w:val="-11"/>
                <w:sz w:val="20"/>
              </w:rPr>
              <w:t> </w:t>
            </w:r>
            <w:r>
              <w:rPr>
                <w:sz w:val="20"/>
              </w:rPr>
              <w:t>позвонков,</w:t>
            </w:r>
            <w:r>
              <w:rPr>
                <w:spacing w:val="-8"/>
                <w:sz w:val="20"/>
              </w:rPr>
              <w:t> </w:t>
            </w:r>
            <w:r>
              <w:rPr>
                <w:spacing w:val="-2"/>
                <w:sz w:val="20"/>
              </w:rPr>
              <w:t>повреждения</w:t>
            </w:r>
          </w:p>
        </w:tc>
        <w:tc>
          <w:tcPr>
            <w:tcW w:w="1557" w:type="dxa"/>
          </w:tcPr>
          <w:p>
            <w:pPr>
              <w:pStyle w:val="TableParagraph"/>
              <w:spacing w:line="220" w:lineRule="exact" w:before="60"/>
              <w:ind w:left="79"/>
              <w:rPr>
                <w:sz w:val="20"/>
              </w:rPr>
            </w:pPr>
            <w:r>
              <w:rPr>
                <w:spacing w:val="-2"/>
                <w:sz w:val="20"/>
              </w:rPr>
              <w:t>хирургическое</w:t>
            </w:r>
          </w:p>
        </w:tc>
        <w:tc>
          <w:tcPr>
            <w:tcW w:w="3831" w:type="dxa"/>
          </w:tcPr>
          <w:p>
            <w:pPr>
              <w:pStyle w:val="TableParagraph"/>
              <w:spacing w:line="220" w:lineRule="exact" w:before="60"/>
              <w:ind w:left="220"/>
              <w:rPr>
                <w:sz w:val="20"/>
              </w:rPr>
            </w:pPr>
            <w:r>
              <w:rPr>
                <w:w w:val="95"/>
                <w:sz w:val="20"/>
              </w:rPr>
              <w:t>декомпрессивно-</w:t>
            </w:r>
            <w:r>
              <w:rPr>
                <w:spacing w:val="-2"/>
                <w:sz w:val="20"/>
              </w:rPr>
              <w:t>стабилизирующее</w:t>
            </w:r>
          </w:p>
        </w:tc>
        <w:tc>
          <w:tcPr>
            <w:tcW w:w="1050" w:type="dxa"/>
          </w:tcPr>
          <w:p>
            <w:pPr>
              <w:pStyle w:val="TableParagraph"/>
              <w:spacing w:line="220" w:lineRule="exact" w:before="60"/>
              <w:ind w:left="400"/>
              <w:rPr>
                <w:sz w:val="20"/>
              </w:rPr>
            </w:pPr>
            <w:r>
              <w:rPr>
                <w:spacing w:val="-2"/>
                <w:sz w:val="20"/>
              </w:rPr>
              <w:t>299441</w:t>
            </w: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декомпрессивные</w:t>
            </w:r>
            <w:r>
              <w:rPr>
                <w:spacing w:val="-12"/>
                <w:sz w:val="20"/>
              </w:rPr>
              <w:t> </w:t>
            </w:r>
            <w:r>
              <w:rPr>
                <w:sz w:val="20"/>
              </w:rPr>
              <w:t>операции</w:t>
            </w:r>
            <w:r>
              <w:rPr>
                <w:spacing w:val="-13"/>
                <w:sz w:val="20"/>
              </w:rPr>
              <w:t> </w:t>
            </w:r>
            <w:r>
              <w:rPr>
                <w:spacing w:val="-5"/>
                <w:sz w:val="20"/>
              </w:rPr>
              <w:t>при</w:t>
            </w:r>
          </w:p>
        </w:tc>
        <w:tc>
          <w:tcPr>
            <w:tcW w:w="1990" w:type="dxa"/>
          </w:tcPr>
          <w:p>
            <w:pPr>
              <w:pStyle w:val="TableParagraph"/>
              <w:spacing w:line="220" w:lineRule="exact"/>
              <w:ind w:left="59" w:right="51"/>
              <w:jc w:val="center"/>
              <w:rPr>
                <w:sz w:val="20"/>
              </w:rPr>
            </w:pPr>
            <w:hyperlink r:id="rId450">
              <w:r>
                <w:rPr>
                  <w:sz w:val="20"/>
                </w:rPr>
                <w:t>S13,</w:t>
              </w:r>
              <w:r>
                <w:rPr>
                  <w:spacing w:val="-2"/>
                  <w:sz w:val="20"/>
                </w:rPr>
                <w:t> </w:t>
              </w:r>
            </w:hyperlink>
            <w:hyperlink r:id="rId451">
              <w:r>
                <w:rPr>
                  <w:sz w:val="20"/>
                </w:rPr>
                <w:t>S14,</w:t>
              </w:r>
              <w:r>
                <w:rPr>
                  <w:spacing w:val="-2"/>
                  <w:sz w:val="20"/>
                </w:rPr>
                <w:t> </w:t>
              </w:r>
            </w:hyperlink>
            <w:hyperlink r:id="rId452">
              <w:r>
                <w:rPr>
                  <w:sz w:val="20"/>
                </w:rPr>
                <w:t>S19,</w:t>
              </w:r>
              <w:r>
                <w:rPr>
                  <w:spacing w:val="-2"/>
                  <w:sz w:val="20"/>
                </w:rPr>
                <w:t> </w:t>
              </w:r>
            </w:hyperlink>
            <w:hyperlink r:id="rId453">
              <w:r>
                <w:rPr>
                  <w:spacing w:val="-2"/>
                  <w:sz w:val="20"/>
                </w:rPr>
                <w:t>S22.0,</w:t>
              </w:r>
            </w:hyperlink>
          </w:p>
        </w:tc>
        <w:tc>
          <w:tcPr>
            <w:tcW w:w="3133" w:type="dxa"/>
          </w:tcPr>
          <w:p>
            <w:pPr>
              <w:pStyle w:val="TableParagraph"/>
              <w:spacing w:line="220" w:lineRule="exact"/>
              <w:ind w:left="56"/>
              <w:rPr>
                <w:sz w:val="20"/>
              </w:rPr>
            </w:pPr>
            <w:r>
              <w:rPr>
                <w:sz w:val="20"/>
              </w:rPr>
              <w:t>(разрыв)</w:t>
            </w:r>
            <w:r>
              <w:rPr>
                <w:spacing w:val="-11"/>
                <w:sz w:val="20"/>
              </w:rPr>
              <w:t> </w:t>
            </w:r>
            <w:r>
              <w:rPr>
                <w:sz w:val="20"/>
              </w:rPr>
              <w:t>межпозвонковых</w:t>
            </w:r>
            <w:r>
              <w:rPr>
                <w:spacing w:val="-12"/>
                <w:sz w:val="20"/>
              </w:rPr>
              <w:t> </w:t>
            </w:r>
            <w:r>
              <w:rPr>
                <w:spacing w:val="-2"/>
                <w:sz w:val="20"/>
              </w:rPr>
              <w:t>дисков</w:t>
            </w:r>
          </w:p>
        </w:tc>
        <w:tc>
          <w:tcPr>
            <w:tcW w:w="1557" w:type="dxa"/>
          </w:tcPr>
          <w:p>
            <w:pPr>
              <w:pStyle w:val="TableParagraph"/>
              <w:spacing w:line="220" w:lineRule="exact"/>
              <w:ind w:left="79"/>
              <w:rPr>
                <w:sz w:val="20"/>
              </w:rPr>
            </w:pPr>
            <w:r>
              <w:rPr>
                <w:spacing w:val="-2"/>
                <w:sz w:val="20"/>
              </w:rPr>
              <w:t>лечение</w:t>
            </w:r>
          </w:p>
        </w:tc>
        <w:tc>
          <w:tcPr>
            <w:tcW w:w="3831" w:type="dxa"/>
          </w:tcPr>
          <w:p>
            <w:pPr>
              <w:pStyle w:val="TableParagraph"/>
              <w:spacing w:line="220" w:lineRule="exact"/>
              <w:ind w:left="220"/>
              <w:rPr>
                <w:sz w:val="20"/>
              </w:rPr>
            </w:pPr>
            <w:r>
              <w:rPr>
                <w:sz w:val="20"/>
              </w:rPr>
              <w:t>вмешательство</w:t>
            </w:r>
            <w:r>
              <w:rPr>
                <w:spacing w:val="-10"/>
                <w:sz w:val="20"/>
              </w:rPr>
              <w:t> </w:t>
            </w:r>
            <w:r>
              <w:rPr>
                <w:sz w:val="20"/>
              </w:rPr>
              <w:t>с</w:t>
            </w:r>
            <w:r>
              <w:rPr>
                <w:spacing w:val="-9"/>
                <w:sz w:val="20"/>
              </w:rPr>
              <w:t> </w:t>
            </w:r>
            <w:r>
              <w:rPr>
                <w:sz w:val="20"/>
              </w:rPr>
              <w:t>резекцией</w:t>
            </w:r>
            <w:r>
              <w:rPr>
                <w:spacing w:val="-7"/>
                <w:sz w:val="20"/>
              </w:rPr>
              <w:t> </w:t>
            </w:r>
            <w:r>
              <w:rPr>
                <w:spacing w:val="-2"/>
                <w:sz w:val="20"/>
              </w:rPr>
              <w:t>позвонка,</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травмах</w:t>
            </w:r>
            <w:r>
              <w:rPr>
                <w:spacing w:val="-5"/>
                <w:sz w:val="20"/>
              </w:rPr>
              <w:t> </w:t>
            </w:r>
            <w:r>
              <w:rPr>
                <w:sz w:val="20"/>
              </w:rPr>
              <w:t>и</w:t>
            </w:r>
            <w:r>
              <w:rPr>
                <w:spacing w:val="-5"/>
                <w:sz w:val="20"/>
              </w:rPr>
              <w:t> </w:t>
            </w:r>
            <w:r>
              <w:rPr>
                <w:spacing w:val="-2"/>
                <w:sz w:val="20"/>
              </w:rPr>
              <w:t>заболеваниях</w:t>
            </w:r>
          </w:p>
        </w:tc>
        <w:tc>
          <w:tcPr>
            <w:tcW w:w="1990" w:type="dxa"/>
          </w:tcPr>
          <w:p>
            <w:pPr>
              <w:pStyle w:val="TableParagraph"/>
              <w:spacing w:line="220" w:lineRule="exact"/>
              <w:ind w:left="57" w:right="51"/>
              <w:jc w:val="center"/>
              <w:rPr>
                <w:sz w:val="20"/>
              </w:rPr>
            </w:pPr>
            <w:hyperlink r:id="rId454">
              <w:r>
                <w:rPr>
                  <w:sz w:val="20"/>
                </w:rPr>
                <w:t>S22.1,</w:t>
              </w:r>
              <w:r>
                <w:rPr>
                  <w:spacing w:val="-3"/>
                  <w:sz w:val="20"/>
                </w:rPr>
                <w:t> </w:t>
              </w:r>
            </w:hyperlink>
            <w:hyperlink r:id="rId455">
              <w:r>
                <w:rPr>
                  <w:sz w:val="20"/>
                </w:rPr>
                <w:t>S23,</w:t>
              </w:r>
              <w:r>
                <w:rPr>
                  <w:spacing w:val="-2"/>
                  <w:sz w:val="20"/>
                </w:rPr>
                <w:t> </w:t>
              </w:r>
            </w:hyperlink>
            <w:hyperlink r:id="rId456">
              <w:r>
                <w:rPr>
                  <w:spacing w:val="-4"/>
                  <w:sz w:val="20"/>
                </w:rPr>
                <w:t>S24,</w:t>
              </w:r>
            </w:hyperlink>
          </w:p>
        </w:tc>
        <w:tc>
          <w:tcPr>
            <w:tcW w:w="3133" w:type="dxa"/>
          </w:tcPr>
          <w:p>
            <w:pPr>
              <w:pStyle w:val="TableParagraph"/>
              <w:spacing w:line="220" w:lineRule="exact"/>
              <w:ind w:left="56"/>
              <w:rPr>
                <w:sz w:val="20"/>
              </w:rPr>
            </w:pPr>
            <w:r>
              <w:rPr>
                <w:sz w:val="20"/>
              </w:rPr>
              <w:t>и</w:t>
            </w:r>
            <w:r>
              <w:rPr>
                <w:spacing w:val="-4"/>
                <w:sz w:val="20"/>
              </w:rPr>
              <w:t> </w:t>
            </w:r>
            <w:r>
              <w:rPr>
                <w:sz w:val="20"/>
              </w:rPr>
              <w:t>связок</w:t>
            </w:r>
            <w:r>
              <w:rPr>
                <w:spacing w:val="-2"/>
                <w:sz w:val="20"/>
              </w:rPr>
              <w:t> позвоночника,</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межпозвонкового</w:t>
            </w:r>
            <w:r>
              <w:rPr>
                <w:spacing w:val="-11"/>
                <w:sz w:val="20"/>
              </w:rPr>
              <w:t> </w:t>
            </w:r>
            <w:r>
              <w:rPr>
                <w:sz w:val="20"/>
              </w:rPr>
              <w:t>диска,</w:t>
            </w:r>
            <w:r>
              <w:rPr>
                <w:spacing w:val="-11"/>
                <w:sz w:val="20"/>
              </w:rPr>
              <w:t> </w:t>
            </w:r>
            <w:r>
              <w:rPr>
                <w:spacing w:val="-2"/>
                <w:sz w:val="20"/>
              </w:rPr>
              <w:t>связочных</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позвоночника</w:t>
            </w:r>
            <w:r>
              <w:rPr>
                <w:spacing w:val="-8"/>
                <w:sz w:val="20"/>
              </w:rPr>
              <w:t> </w:t>
            </w:r>
            <w:r>
              <w:rPr>
                <w:sz w:val="20"/>
              </w:rPr>
              <w:t>с</w:t>
            </w:r>
            <w:r>
              <w:rPr>
                <w:spacing w:val="-8"/>
                <w:sz w:val="20"/>
              </w:rPr>
              <w:t> </w:t>
            </w:r>
            <w:r>
              <w:rPr>
                <w:spacing w:val="-2"/>
                <w:sz w:val="20"/>
              </w:rPr>
              <w:t>резекцией</w:t>
            </w:r>
          </w:p>
        </w:tc>
        <w:tc>
          <w:tcPr>
            <w:tcW w:w="1990" w:type="dxa"/>
          </w:tcPr>
          <w:p>
            <w:pPr>
              <w:pStyle w:val="TableParagraph"/>
              <w:spacing w:line="220" w:lineRule="exact"/>
              <w:ind w:left="57" w:right="51"/>
              <w:jc w:val="center"/>
              <w:rPr>
                <w:sz w:val="20"/>
              </w:rPr>
            </w:pPr>
            <w:hyperlink r:id="rId457">
              <w:r>
                <w:rPr>
                  <w:sz w:val="20"/>
                </w:rPr>
                <w:t>S32.0,</w:t>
              </w:r>
              <w:r>
                <w:rPr>
                  <w:spacing w:val="-4"/>
                  <w:sz w:val="20"/>
                </w:rPr>
                <w:t> </w:t>
              </w:r>
            </w:hyperlink>
            <w:hyperlink r:id="rId458">
              <w:r>
                <w:rPr>
                  <w:sz w:val="20"/>
                </w:rPr>
                <w:t>S32.1,</w:t>
              </w:r>
              <w:r>
                <w:rPr>
                  <w:spacing w:val="-3"/>
                  <w:sz w:val="20"/>
                </w:rPr>
                <w:t> </w:t>
              </w:r>
            </w:hyperlink>
            <w:hyperlink r:id="rId459">
              <w:r>
                <w:rPr>
                  <w:spacing w:val="-4"/>
                  <w:sz w:val="20"/>
                </w:rPr>
                <w:t>S33,</w:t>
              </w:r>
            </w:hyperlink>
          </w:p>
        </w:tc>
        <w:tc>
          <w:tcPr>
            <w:tcW w:w="3133" w:type="dxa"/>
          </w:tcPr>
          <w:p>
            <w:pPr>
              <w:pStyle w:val="TableParagraph"/>
              <w:spacing w:line="220" w:lineRule="exact"/>
              <w:ind w:left="56"/>
              <w:rPr>
                <w:sz w:val="20"/>
              </w:rPr>
            </w:pPr>
            <w:r>
              <w:rPr>
                <w:sz w:val="20"/>
              </w:rPr>
              <w:t>деформации</w:t>
            </w:r>
            <w:r>
              <w:rPr>
                <w:spacing w:val="-12"/>
                <w:sz w:val="20"/>
              </w:rPr>
              <w:t> </w:t>
            </w:r>
            <w:r>
              <w:rPr>
                <w:sz w:val="20"/>
              </w:rPr>
              <w:t>позвоночного</w:t>
            </w:r>
            <w:r>
              <w:rPr>
                <w:spacing w:val="-12"/>
                <w:sz w:val="20"/>
              </w:rPr>
              <w:t> </w:t>
            </w:r>
            <w:r>
              <w:rPr>
                <w:spacing w:val="-2"/>
                <w:sz w:val="20"/>
              </w:rPr>
              <w:t>столба</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элементов</w:t>
            </w:r>
            <w:r>
              <w:rPr>
                <w:spacing w:val="-12"/>
                <w:sz w:val="20"/>
              </w:rPr>
              <w:t> </w:t>
            </w:r>
            <w:r>
              <w:rPr>
                <w:sz w:val="20"/>
              </w:rPr>
              <w:t>сегмента</w:t>
            </w:r>
            <w:r>
              <w:rPr>
                <w:spacing w:val="-10"/>
                <w:sz w:val="20"/>
              </w:rPr>
              <w:t> </w:t>
            </w:r>
            <w:r>
              <w:rPr>
                <w:sz w:val="20"/>
              </w:rPr>
              <w:t>позвоночника</w:t>
            </w:r>
            <w:r>
              <w:rPr>
                <w:spacing w:val="-11"/>
                <w:sz w:val="20"/>
              </w:rPr>
              <w:t> </w:t>
            </w:r>
            <w:r>
              <w:rPr>
                <w:spacing w:val="-5"/>
                <w:sz w:val="20"/>
              </w:rPr>
              <w:t>из</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позвонков,</w:t>
            </w:r>
            <w:r>
              <w:rPr>
                <w:spacing w:val="-13"/>
                <w:sz w:val="20"/>
              </w:rPr>
              <w:t> </w:t>
            </w:r>
            <w:r>
              <w:rPr>
                <w:spacing w:val="-2"/>
                <w:sz w:val="20"/>
              </w:rPr>
              <w:t>корригирующей</w:t>
            </w:r>
          </w:p>
        </w:tc>
        <w:tc>
          <w:tcPr>
            <w:tcW w:w="1990" w:type="dxa"/>
          </w:tcPr>
          <w:p>
            <w:pPr>
              <w:pStyle w:val="TableParagraph"/>
              <w:spacing w:line="220" w:lineRule="exact"/>
              <w:ind w:left="57" w:right="51"/>
              <w:jc w:val="center"/>
              <w:rPr>
                <w:sz w:val="20"/>
              </w:rPr>
            </w:pPr>
            <w:hyperlink r:id="rId460">
              <w:r>
                <w:rPr>
                  <w:sz w:val="20"/>
                </w:rPr>
                <w:t>S34,</w:t>
              </w:r>
              <w:r>
                <w:rPr>
                  <w:spacing w:val="-4"/>
                  <w:sz w:val="20"/>
                </w:rPr>
                <w:t> </w:t>
              </w:r>
            </w:hyperlink>
            <w:hyperlink r:id="rId461">
              <w:r>
                <w:rPr>
                  <w:sz w:val="20"/>
                </w:rPr>
                <w:t>T08,</w:t>
              </w:r>
              <w:r>
                <w:rPr>
                  <w:spacing w:val="-3"/>
                  <w:sz w:val="20"/>
                </w:rPr>
                <w:t> </w:t>
              </w:r>
            </w:hyperlink>
            <w:hyperlink r:id="rId462">
              <w:r>
                <w:rPr>
                  <w:sz w:val="20"/>
                </w:rPr>
                <w:t>T09,</w:t>
              </w:r>
              <w:r>
                <w:rPr>
                  <w:spacing w:val="-3"/>
                  <w:sz w:val="20"/>
                </w:rPr>
                <w:t> </w:t>
              </w:r>
            </w:hyperlink>
            <w:hyperlink r:id="rId463">
              <w:r>
                <w:rPr>
                  <w:spacing w:val="-4"/>
                  <w:sz w:val="20"/>
                </w:rPr>
                <w:t>T85,</w:t>
              </w:r>
            </w:hyperlink>
          </w:p>
        </w:tc>
        <w:tc>
          <w:tcPr>
            <w:tcW w:w="3133" w:type="dxa"/>
          </w:tcPr>
          <w:p>
            <w:pPr>
              <w:pStyle w:val="TableParagraph"/>
              <w:spacing w:line="220" w:lineRule="exact"/>
              <w:ind w:left="56"/>
              <w:rPr>
                <w:sz w:val="20"/>
              </w:rPr>
            </w:pPr>
            <w:r>
              <w:rPr>
                <w:sz w:val="20"/>
              </w:rPr>
              <w:t>вследствие</w:t>
            </w:r>
            <w:r>
              <w:rPr>
                <w:spacing w:val="-8"/>
                <w:sz w:val="20"/>
              </w:rPr>
              <w:t> </w:t>
            </w:r>
            <w:r>
              <w:rPr>
                <w:sz w:val="20"/>
              </w:rPr>
              <w:t>его</w:t>
            </w:r>
            <w:r>
              <w:rPr>
                <w:spacing w:val="-8"/>
                <w:sz w:val="20"/>
              </w:rPr>
              <w:t> </w:t>
            </w:r>
            <w:r>
              <w:rPr>
                <w:spacing w:val="-2"/>
                <w:sz w:val="20"/>
              </w:rPr>
              <w:t>врожденной</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вентрального</w:t>
            </w:r>
            <w:r>
              <w:rPr>
                <w:spacing w:val="-8"/>
                <w:sz w:val="20"/>
              </w:rPr>
              <w:t> </w:t>
            </w:r>
            <w:r>
              <w:rPr>
                <w:sz w:val="20"/>
              </w:rPr>
              <w:t>или</w:t>
            </w:r>
            <w:r>
              <w:rPr>
                <w:spacing w:val="-10"/>
                <w:sz w:val="20"/>
              </w:rPr>
              <w:t> </w:t>
            </w:r>
            <w:r>
              <w:rPr>
                <w:sz w:val="20"/>
              </w:rPr>
              <w:t>заднего</w:t>
            </w:r>
            <w:r>
              <w:rPr>
                <w:spacing w:val="-8"/>
                <w:sz w:val="20"/>
              </w:rPr>
              <w:t> </w:t>
            </w:r>
            <w:r>
              <w:rPr>
                <w:spacing w:val="-2"/>
                <w:sz w:val="20"/>
              </w:rPr>
              <w:t>доступов,</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w w:val="95"/>
                <w:sz w:val="20"/>
              </w:rPr>
              <w:t>вертебротомией</w:t>
            </w:r>
            <w:r>
              <w:rPr>
                <w:spacing w:val="51"/>
                <w:sz w:val="20"/>
              </w:rPr>
              <w:t> </w:t>
            </w:r>
            <w:r>
              <w:rPr>
                <w:spacing w:val="-10"/>
                <w:sz w:val="20"/>
              </w:rPr>
              <w:t>с</w:t>
            </w:r>
          </w:p>
        </w:tc>
        <w:tc>
          <w:tcPr>
            <w:tcW w:w="1990" w:type="dxa"/>
          </w:tcPr>
          <w:p>
            <w:pPr>
              <w:pStyle w:val="TableParagraph"/>
              <w:spacing w:line="220" w:lineRule="exact"/>
              <w:ind w:left="57" w:right="51"/>
              <w:jc w:val="center"/>
              <w:rPr>
                <w:sz w:val="20"/>
              </w:rPr>
            </w:pPr>
            <w:hyperlink r:id="rId464">
              <w:r>
                <w:rPr>
                  <w:sz w:val="20"/>
                </w:rPr>
                <w:t>T91,</w:t>
              </w:r>
              <w:r>
                <w:rPr>
                  <w:spacing w:val="-3"/>
                  <w:sz w:val="20"/>
                </w:rPr>
                <w:t> </w:t>
              </w:r>
            </w:hyperlink>
            <w:hyperlink r:id="rId465">
              <w:r>
                <w:rPr>
                  <w:sz w:val="20"/>
                </w:rPr>
                <w:t>M80,</w:t>
              </w:r>
              <w:r>
                <w:rPr>
                  <w:spacing w:val="-2"/>
                  <w:sz w:val="20"/>
                </w:rPr>
                <w:t> </w:t>
              </w:r>
            </w:hyperlink>
            <w:hyperlink r:id="rId466">
              <w:r>
                <w:rPr>
                  <w:sz w:val="20"/>
                </w:rPr>
                <w:t>M81,</w:t>
              </w:r>
              <w:r>
                <w:rPr>
                  <w:spacing w:val="-3"/>
                  <w:sz w:val="20"/>
                </w:rPr>
                <w:t> </w:t>
              </w:r>
            </w:hyperlink>
            <w:hyperlink r:id="rId467">
              <w:r>
                <w:rPr>
                  <w:spacing w:val="-4"/>
                  <w:sz w:val="20"/>
                </w:rPr>
                <w:t>M82,</w:t>
              </w:r>
            </w:hyperlink>
          </w:p>
        </w:tc>
        <w:tc>
          <w:tcPr>
            <w:tcW w:w="3133" w:type="dxa"/>
          </w:tcPr>
          <w:p>
            <w:pPr>
              <w:pStyle w:val="TableParagraph"/>
              <w:spacing w:line="220" w:lineRule="exact"/>
              <w:ind w:left="56"/>
              <w:rPr>
                <w:sz w:val="20"/>
              </w:rPr>
            </w:pPr>
            <w:r>
              <w:rPr>
                <w:sz w:val="20"/>
              </w:rPr>
              <w:t>патологии</w:t>
            </w:r>
            <w:r>
              <w:rPr>
                <w:spacing w:val="-7"/>
                <w:sz w:val="20"/>
              </w:rPr>
              <w:t> </w:t>
            </w:r>
            <w:r>
              <w:rPr>
                <w:sz w:val="20"/>
              </w:rPr>
              <w:t>или</w:t>
            </w:r>
            <w:r>
              <w:rPr>
                <w:spacing w:val="-8"/>
                <w:sz w:val="20"/>
              </w:rPr>
              <w:t> </w:t>
            </w:r>
            <w:r>
              <w:rPr>
                <w:spacing w:val="-2"/>
                <w:sz w:val="20"/>
              </w:rPr>
              <w:t>перенесенных</w:t>
            </w:r>
          </w:p>
        </w:tc>
        <w:tc>
          <w:tcPr>
            <w:tcW w:w="1557" w:type="dxa"/>
          </w:tcPr>
          <w:p>
            <w:pPr>
              <w:pStyle w:val="TableParagraph"/>
              <w:rPr>
                <w:sz w:val="16"/>
              </w:rPr>
            </w:pPr>
          </w:p>
        </w:tc>
        <w:tc>
          <w:tcPr>
            <w:tcW w:w="3831" w:type="dxa"/>
          </w:tcPr>
          <w:p>
            <w:pPr>
              <w:pStyle w:val="TableParagraph"/>
              <w:spacing w:line="220" w:lineRule="exact"/>
              <w:ind w:left="220"/>
              <w:rPr>
                <w:sz w:val="20"/>
              </w:rPr>
            </w:pPr>
            <w:r>
              <w:rPr>
                <w:w w:val="95"/>
                <w:sz w:val="20"/>
              </w:rPr>
              <w:t>репозиционно-</w:t>
            </w:r>
            <w:r>
              <w:rPr>
                <w:spacing w:val="-2"/>
                <w:sz w:val="20"/>
              </w:rPr>
              <w:t>стабилизирующий</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использованием</w:t>
            </w:r>
            <w:r>
              <w:rPr>
                <w:spacing w:val="-12"/>
                <w:sz w:val="20"/>
              </w:rPr>
              <w:t> </w:t>
            </w:r>
            <w:r>
              <w:rPr>
                <w:sz w:val="20"/>
              </w:rPr>
              <w:t>протезов</w:t>
            </w:r>
            <w:r>
              <w:rPr>
                <w:spacing w:val="-10"/>
                <w:sz w:val="20"/>
              </w:rPr>
              <w:t> </w:t>
            </w:r>
            <w:r>
              <w:rPr>
                <w:spacing w:val="-5"/>
                <w:sz w:val="20"/>
              </w:rPr>
              <w:t>тел</w:t>
            </w:r>
          </w:p>
        </w:tc>
        <w:tc>
          <w:tcPr>
            <w:tcW w:w="1990" w:type="dxa"/>
          </w:tcPr>
          <w:p>
            <w:pPr>
              <w:pStyle w:val="TableParagraph"/>
              <w:spacing w:line="220" w:lineRule="exact"/>
              <w:ind w:left="62" w:right="51"/>
              <w:jc w:val="center"/>
              <w:rPr>
                <w:sz w:val="20"/>
              </w:rPr>
            </w:pPr>
            <w:hyperlink r:id="rId436">
              <w:r>
                <w:rPr>
                  <w:sz w:val="20"/>
                </w:rPr>
                <w:t>M86,</w:t>
              </w:r>
              <w:r>
                <w:rPr>
                  <w:spacing w:val="-3"/>
                  <w:sz w:val="20"/>
                </w:rPr>
                <w:t> </w:t>
              </w:r>
            </w:hyperlink>
            <w:hyperlink r:id="rId468">
              <w:r>
                <w:rPr>
                  <w:sz w:val="20"/>
                </w:rPr>
                <w:t>M85,</w:t>
              </w:r>
              <w:r>
                <w:rPr>
                  <w:spacing w:val="-2"/>
                  <w:sz w:val="20"/>
                </w:rPr>
                <w:t> </w:t>
              </w:r>
            </w:hyperlink>
            <w:hyperlink r:id="rId469">
              <w:r>
                <w:rPr>
                  <w:sz w:val="20"/>
                </w:rPr>
                <w:t>M87,</w:t>
              </w:r>
              <w:r>
                <w:rPr>
                  <w:spacing w:val="-5"/>
                  <w:sz w:val="20"/>
                </w:rPr>
                <w:t> </w:t>
              </w:r>
            </w:hyperlink>
            <w:hyperlink r:id="rId470">
              <w:r>
                <w:rPr>
                  <w:spacing w:val="-4"/>
                  <w:sz w:val="20"/>
                </w:rPr>
                <w:t>M96,</w:t>
              </w:r>
            </w:hyperlink>
          </w:p>
        </w:tc>
        <w:tc>
          <w:tcPr>
            <w:tcW w:w="3133" w:type="dxa"/>
          </w:tcPr>
          <w:p>
            <w:pPr>
              <w:pStyle w:val="TableParagraph"/>
              <w:spacing w:line="220" w:lineRule="exact"/>
              <w:ind w:left="56"/>
              <w:rPr>
                <w:sz w:val="20"/>
              </w:rPr>
            </w:pPr>
            <w:r>
              <w:rPr>
                <w:spacing w:val="-2"/>
                <w:sz w:val="20"/>
              </w:rPr>
              <w:t>заболеваний</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спондилосинтез</w:t>
            </w:r>
            <w:r>
              <w:rPr>
                <w:spacing w:val="-9"/>
                <w:sz w:val="20"/>
              </w:rPr>
              <w:t> </w:t>
            </w:r>
            <w:r>
              <w:rPr>
                <w:sz w:val="20"/>
              </w:rPr>
              <w:t>с</w:t>
            </w:r>
            <w:r>
              <w:rPr>
                <w:spacing w:val="-9"/>
                <w:sz w:val="20"/>
              </w:rPr>
              <w:t> </w:t>
            </w:r>
            <w:r>
              <w:rPr>
                <w:spacing w:val="-2"/>
                <w:sz w:val="20"/>
              </w:rPr>
              <w:t>использованием</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позвонков</w:t>
            </w:r>
            <w:r>
              <w:rPr>
                <w:spacing w:val="-5"/>
                <w:sz w:val="20"/>
              </w:rPr>
              <w:t> </w:t>
            </w:r>
            <w:r>
              <w:rPr>
                <w:sz w:val="20"/>
              </w:rPr>
              <w:t>и</w:t>
            </w:r>
            <w:r>
              <w:rPr>
                <w:spacing w:val="-6"/>
                <w:sz w:val="20"/>
              </w:rPr>
              <w:t> </w:t>
            </w:r>
            <w:r>
              <w:rPr>
                <w:spacing w:val="-2"/>
                <w:sz w:val="20"/>
              </w:rPr>
              <w:t>межпозвонковых</w:t>
            </w:r>
          </w:p>
        </w:tc>
        <w:tc>
          <w:tcPr>
            <w:tcW w:w="1990" w:type="dxa"/>
          </w:tcPr>
          <w:p>
            <w:pPr>
              <w:pStyle w:val="TableParagraph"/>
              <w:spacing w:line="220" w:lineRule="exact"/>
              <w:ind w:left="59" w:right="51"/>
              <w:jc w:val="center"/>
              <w:rPr>
                <w:sz w:val="20"/>
              </w:rPr>
            </w:pPr>
            <w:hyperlink r:id="rId471">
              <w:r>
                <w:rPr>
                  <w:sz w:val="20"/>
                </w:rPr>
                <w:t>M99,</w:t>
              </w:r>
              <w:r>
                <w:rPr>
                  <w:spacing w:val="-3"/>
                  <w:sz w:val="20"/>
                </w:rPr>
                <w:t> </w:t>
              </w:r>
            </w:hyperlink>
            <w:hyperlink r:id="rId472">
              <w:r>
                <w:rPr>
                  <w:sz w:val="20"/>
                </w:rPr>
                <w:t>Q67,</w:t>
              </w:r>
              <w:r>
                <w:rPr>
                  <w:spacing w:val="-3"/>
                  <w:sz w:val="20"/>
                </w:rPr>
                <w:t> </w:t>
              </w:r>
            </w:hyperlink>
            <w:hyperlink r:id="rId473">
              <w:r>
                <w:rPr>
                  <w:spacing w:val="-2"/>
                  <w:sz w:val="20"/>
                </w:rPr>
                <w:t>Q76.0,</w:t>
              </w:r>
            </w:hyperlink>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костной</w:t>
            </w:r>
            <w:r>
              <w:rPr>
                <w:spacing w:val="-7"/>
                <w:sz w:val="20"/>
              </w:rPr>
              <w:t> </w:t>
            </w:r>
            <w:r>
              <w:rPr>
                <w:sz w:val="20"/>
              </w:rPr>
              <w:t>пластики</w:t>
            </w:r>
            <w:r>
              <w:rPr>
                <w:spacing w:val="-8"/>
                <w:sz w:val="20"/>
              </w:rPr>
              <w:t> </w:t>
            </w:r>
            <w:r>
              <w:rPr>
                <w:spacing w:val="-2"/>
                <w:sz w:val="20"/>
              </w:rPr>
              <w:t>(спондилодеза),</w:t>
            </w:r>
          </w:p>
        </w:tc>
        <w:tc>
          <w:tcPr>
            <w:tcW w:w="1050" w:type="dxa"/>
          </w:tcPr>
          <w:p>
            <w:pPr>
              <w:pStyle w:val="TableParagraph"/>
              <w:rPr>
                <w:sz w:val="16"/>
              </w:rPr>
            </w:pPr>
          </w:p>
        </w:tc>
      </w:tr>
      <w:tr>
        <w:trPr>
          <w:trHeight w:val="239" w:hRule="atLeast"/>
        </w:trPr>
        <w:tc>
          <w:tcPr>
            <w:tcW w:w="472" w:type="dxa"/>
          </w:tcPr>
          <w:p>
            <w:pPr>
              <w:pStyle w:val="TableParagraph"/>
              <w:rPr>
                <w:sz w:val="16"/>
              </w:rPr>
            </w:pPr>
          </w:p>
        </w:tc>
        <w:tc>
          <w:tcPr>
            <w:tcW w:w="3007" w:type="dxa"/>
          </w:tcPr>
          <w:p>
            <w:pPr>
              <w:pStyle w:val="TableParagraph"/>
              <w:spacing w:line="219" w:lineRule="exact"/>
              <w:ind w:left="168"/>
              <w:rPr>
                <w:sz w:val="20"/>
              </w:rPr>
            </w:pPr>
            <w:r>
              <w:rPr>
                <w:sz w:val="20"/>
              </w:rPr>
              <w:t>дисков,</w:t>
            </w:r>
            <w:r>
              <w:rPr>
                <w:spacing w:val="-9"/>
                <w:sz w:val="20"/>
              </w:rPr>
              <w:t> </w:t>
            </w:r>
            <w:r>
              <w:rPr>
                <w:sz w:val="20"/>
              </w:rPr>
              <w:t>костного</w:t>
            </w:r>
            <w:r>
              <w:rPr>
                <w:spacing w:val="-7"/>
                <w:sz w:val="20"/>
              </w:rPr>
              <w:t> </w:t>
            </w:r>
            <w:r>
              <w:rPr>
                <w:sz w:val="20"/>
              </w:rPr>
              <w:t>цемента</w:t>
            </w:r>
            <w:r>
              <w:rPr>
                <w:spacing w:val="-8"/>
                <w:sz w:val="20"/>
              </w:rPr>
              <w:t> </w:t>
            </w:r>
            <w:r>
              <w:rPr>
                <w:spacing w:val="-10"/>
                <w:sz w:val="20"/>
              </w:rPr>
              <w:t>и</w:t>
            </w:r>
          </w:p>
        </w:tc>
        <w:tc>
          <w:tcPr>
            <w:tcW w:w="1990" w:type="dxa"/>
          </w:tcPr>
          <w:p>
            <w:pPr>
              <w:pStyle w:val="TableParagraph"/>
              <w:spacing w:line="219" w:lineRule="exact"/>
              <w:ind w:left="57" w:right="51"/>
              <w:jc w:val="center"/>
              <w:rPr>
                <w:sz w:val="20"/>
              </w:rPr>
            </w:pPr>
            <w:hyperlink r:id="rId474">
              <w:r>
                <w:rPr>
                  <w:sz w:val="20"/>
                </w:rPr>
                <w:t>Q76.1,</w:t>
              </w:r>
              <w:r>
                <w:rPr>
                  <w:spacing w:val="-3"/>
                  <w:sz w:val="20"/>
                </w:rPr>
                <w:t> </w:t>
              </w:r>
            </w:hyperlink>
            <w:hyperlink r:id="rId475">
              <w:r>
                <w:rPr>
                  <w:sz w:val="20"/>
                </w:rPr>
                <w:t>Q76.4,</w:t>
              </w:r>
              <w:r>
                <w:rPr>
                  <w:spacing w:val="-4"/>
                  <w:sz w:val="20"/>
                </w:rPr>
                <w:t> </w:t>
              </w:r>
            </w:hyperlink>
            <w:hyperlink r:id="rId476">
              <w:r>
                <w:rPr>
                  <w:spacing w:val="-4"/>
                  <w:sz w:val="20"/>
                </w:rPr>
                <w:t>Q77,</w:t>
              </w:r>
            </w:hyperlink>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spacing w:line="219" w:lineRule="exact"/>
              <w:ind w:left="220"/>
              <w:rPr>
                <w:sz w:val="20"/>
              </w:rPr>
            </w:pPr>
            <w:r>
              <w:rPr>
                <w:spacing w:val="-2"/>
                <w:sz w:val="20"/>
              </w:rPr>
              <w:t>погружных</w:t>
            </w:r>
            <w:r>
              <w:rPr>
                <w:spacing w:val="5"/>
                <w:sz w:val="20"/>
              </w:rPr>
              <w:t> </w:t>
            </w:r>
            <w:r>
              <w:rPr>
                <w:spacing w:val="-2"/>
                <w:sz w:val="20"/>
              </w:rPr>
              <w:t>имплантатов</w:t>
            </w:r>
          </w:p>
        </w:tc>
        <w:tc>
          <w:tcPr>
            <w:tcW w:w="1050" w:type="dxa"/>
          </w:tcPr>
          <w:p>
            <w:pPr>
              <w:pStyle w:val="TableParagraph"/>
              <w:rPr>
                <w:sz w:val="16"/>
              </w:rPr>
            </w:pPr>
          </w:p>
        </w:tc>
      </w:tr>
      <w:tr>
        <w:trPr>
          <w:trHeight w:val="239" w:hRule="atLeast"/>
        </w:trPr>
        <w:tc>
          <w:tcPr>
            <w:tcW w:w="472" w:type="dxa"/>
          </w:tcPr>
          <w:p>
            <w:pPr>
              <w:pStyle w:val="TableParagraph"/>
              <w:rPr>
                <w:sz w:val="16"/>
              </w:rPr>
            </w:pPr>
          </w:p>
        </w:tc>
        <w:tc>
          <w:tcPr>
            <w:tcW w:w="3007" w:type="dxa"/>
          </w:tcPr>
          <w:p>
            <w:pPr>
              <w:pStyle w:val="TableParagraph"/>
              <w:spacing w:line="220" w:lineRule="exact"/>
              <w:ind w:left="168"/>
              <w:rPr>
                <w:sz w:val="20"/>
              </w:rPr>
            </w:pPr>
            <w:r>
              <w:rPr>
                <w:w w:val="95"/>
                <w:sz w:val="20"/>
              </w:rPr>
              <w:t>остеозамещающих</w:t>
            </w:r>
            <w:r>
              <w:rPr>
                <w:spacing w:val="52"/>
                <w:sz w:val="20"/>
              </w:rPr>
              <w:t> </w:t>
            </w:r>
            <w:r>
              <w:rPr>
                <w:w w:val="95"/>
                <w:sz w:val="20"/>
              </w:rPr>
              <w:t>материалов</w:t>
            </w:r>
            <w:r>
              <w:rPr>
                <w:spacing w:val="53"/>
                <w:sz w:val="20"/>
              </w:rPr>
              <w:t> </w:t>
            </w:r>
            <w:r>
              <w:rPr>
                <w:spacing w:val="-10"/>
                <w:w w:val="95"/>
                <w:sz w:val="20"/>
              </w:rPr>
              <w:t>с</w:t>
            </w:r>
          </w:p>
        </w:tc>
        <w:tc>
          <w:tcPr>
            <w:tcW w:w="1990" w:type="dxa"/>
          </w:tcPr>
          <w:p>
            <w:pPr>
              <w:pStyle w:val="TableParagraph"/>
              <w:spacing w:line="220" w:lineRule="exact"/>
              <w:ind w:left="61" w:right="51"/>
              <w:jc w:val="center"/>
              <w:rPr>
                <w:sz w:val="20"/>
              </w:rPr>
            </w:pPr>
            <w:hyperlink r:id="rId477">
              <w:r>
                <w:rPr>
                  <w:spacing w:val="-4"/>
                  <w:sz w:val="20"/>
                </w:rPr>
                <w:t>Q76.3</w:t>
              </w:r>
            </w:hyperlink>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pacing w:val="-2"/>
                <w:sz w:val="20"/>
              </w:rPr>
              <w:t>применением</w:t>
            </w:r>
            <w:r>
              <w:rPr>
                <w:spacing w:val="9"/>
                <w:sz w:val="20"/>
              </w:rPr>
              <w:t> </w:t>
            </w:r>
            <w:r>
              <w:rPr>
                <w:spacing w:val="-2"/>
                <w:sz w:val="20"/>
              </w:rPr>
              <w:t>погружных</w:t>
            </w:r>
            <w:r>
              <w:rPr>
                <w:spacing w:val="4"/>
                <w:sz w:val="20"/>
              </w:rPr>
              <w:t> </w:t>
            </w:r>
            <w:r>
              <w:rPr>
                <w:spacing w:val="-10"/>
                <w:sz w:val="20"/>
              </w:rPr>
              <w:t>и</w:t>
            </w:r>
          </w:p>
        </w:tc>
        <w:tc>
          <w:tcPr>
            <w:tcW w:w="1990" w:type="dxa"/>
          </w:tcPr>
          <w:p>
            <w:pPr>
              <w:pStyle w:val="TableParagraph"/>
              <w:rPr>
                <w:sz w:val="16"/>
              </w:rPr>
            </w:pPr>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наружных</w:t>
            </w:r>
            <w:r>
              <w:rPr>
                <w:spacing w:val="-12"/>
                <w:sz w:val="20"/>
              </w:rPr>
              <w:t> </w:t>
            </w:r>
            <w:r>
              <w:rPr>
                <w:spacing w:val="-2"/>
                <w:sz w:val="20"/>
              </w:rPr>
              <w:t>фиксирующих</w:t>
            </w:r>
          </w:p>
        </w:tc>
        <w:tc>
          <w:tcPr>
            <w:tcW w:w="1990" w:type="dxa"/>
          </w:tcPr>
          <w:p>
            <w:pPr>
              <w:pStyle w:val="TableParagraph"/>
              <w:rPr>
                <w:sz w:val="16"/>
              </w:rPr>
            </w:pPr>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r>
        <w:trPr>
          <w:trHeight w:val="230" w:hRule="atLeast"/>
        </w:trPr>
        <w:tc>
          <w:tcPr>
            <w:tcW w:w="472" w:type="dxa"/>
          </w:tcPr>
          <w:p>
            <w:pPr>
              <w:pStyle w:val="TableParagraph"/>
              <w:rPr>
                <w:sz w:val="16"/>
              </w:rPr>
            </w:pPr>
          </w:p>
        </w:tc>
        <w:tc>
          <w:tcPr>
            <w:tcW w:w="3007" w:type="dxa"/>
          </w:tcPr>
          <w:p>
            <w:pPr>
              <w:pStyle w:val="TableParagraph"/>
              <w:spacing w:line="210" w:lineRule="exact"/>
              <w:ind w:left="168"/>
              <w:rPr>
                <w:sz w:val="20"/>
              </w:rPr>
            </w:pPr>
            <w:r>
              <w:rPr>
                <w:spacing w:val="-2"/>
                <w:sz w:val="20"/>
              </w:rPr>
              <w:t>устройств</w:t>
            </w:r>
          </w:p>
        </w:tc>
        <w:tc>
          <w:tcPr>
            <w:tcW w:w="1990" w:type="dxa"/>
          </w:tcPr>
          <w:p>
            <w:pPr>
              <w:pStyle w:val="TableParagraph"/>
              <w:rPr>
                <w:sz w:val="16"/>
              </w:rPr>
            </w:pPr>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157"/>
        <w:gridCol w:w="1663"/>
        <w:gridCol w:w="3281"/>
        <w:gridCol w:w="1585"/>
        <w:gridCol w:w="3878"/>
        <w:gridCol w:w="1004"/>
      </w:tblGrid>
      <w:tr>
        <w:trPr>
          <w:trHeight w:val="830" w:hRule="atLeast"/>
        </w:trPr>
        <w:tc>
          <w:tcPr>
            <w:tcW w:w="472" w:type="dxa"/>
          </w:tcPr>
          <w:p>
            <w:pPr>
              <w:pStyle w:val="TableParagraph"/>
              <w:spacing w:line="221" w:lineRule="exact"/>
              <w:ind w:left="50"/>
              <w:rPr>
                <w:sz w:val="20"/>
              </w:rPr>
            </w:pPr>
            <w:r>
              <w:rPr>
                <w:spacing w:val="-5"/>
                <w:sz w:val="20"/>
              </w:rPr>
              <w:t>53.</w:t>
            </w:r>
          </w:p>
        </w:tc>
        <w:tc>
          <w:tcPr>
            <w:tcW w:w="3157" w:type="dxa"/>
          </w:tcPr>
          <w:p>
            <w:pPr>
              <w:pStyle w:val="TableParagraph"/>
              <w:spacing w:line="249" w:lineRule="auto"/>
              <w:ind w:left="168" w:right="393"/>
              <w:rPr>
                <w:sz w:val="20"/>
              </w:rPr>
            </w:pPr>
            <w:r>
              <w:rPr>
                <w:sz w:val="20"/>
              </w:rPr>
              <w:t>Эндопротезирование</w:t>
            </w:r>
            <w:r>
              <w:rPr>
                <w:spacing w:val="-13"/>
                <w:sz w:val="20"/>
              </w:rPr>
              <w:t> </w:t>
            </w:r>
            <w:r>
              <w:rPr>
                <w:sz w:val="20"/>
              </w:rPr>
              <w:t>суставов </w:t>
            </w:r>
            <w:r>
              <w:rPr>
                <w:spacing w:val="-2"/>
                <w:sz w:val="20"/>
              </w:rPr>
              <w:t>конечностей</w:t>
            </w:r>
          </w:p>
        </w:tc>
        <w:tc>
          <w:tcPr>
            <w:tcW w:w="1663" w:type="dxa"/>
          </w:tcPr>
          <w:p>
            <w:pPr>
              <w:pStyle w:val="TableParagraph"/>
              <w:spacing w:line="221" w:lineRule="exact"/>
              <w:ind w:left="257" w:right="220"/>
              <w:jc w:val="center"/>
              <w:rPr>
                <w:sz w:val="20"/>
              </w:rPr>
            </w:pPr>
            <w:hyperlink r:id="rId478">
              <w:r>
                <w:rPr>
                  <w:sz w:val="20"/>
                </w:rPr>
                <w:t>S72.1,</w:t>
              </w:r>
              <w:r>
                <w:rPr>
                  <w:spacing w:val="-3"/>
                  <w:sz w:val="20"/>
                </w:rPr>
                <w:t> </w:t>
              </w:r>
            </w:hyperlink>
            <w:hyperlink r:id="rId479">
              <w:r>
                <w:rPr>
                  <w:spacing w:val="-2"/>
                  <w:sz w:val="20"/>
                </w:rPr>
                <w:t>M84.1</w:t>
              </w:r>
            </w:hyperlink>
          </w:p>
        </w:tc>
        <w:tc>
          <w:tcPr>
            <w:tcW w:w="3281" w:type="dxa"/>
          </w:tcPr>
          <w:p>
            <w:pPr>
              <w:pStyle w:val="TableParagraph"/>
              <w:spacing w:line="249" w:lineRule="auto"/>
              <w:ind w:left="233" w:right="124"/>
              <w:rPr>
                <w:sz w:val="20"/>
              </w:rPr>
            </w:pPr>
            <w:r>
              <w:rPr>
                <w:sz w:val="20"/>
              </w:rPr>
              <w:t>неправильно</w:t>
            </w:r>
            <w:r>
              <w:rPr>
                <w:spacing w:val="-13"/>
                <w:sz w:val="20"/>
              </w:rPr>
              <w:t> </w:t>
            </w:r>
            <w:r>
              <w:rPr>
                <w:sz w:val="20"/>
              </w:rPr>
              <w:t>сросшиеся</w:t>
            </w:r>
            <w:r>
              <w:rPr>
                <w:spacing w:val="-12"/>
                <w:sz w:val="20"/>
              </w:rPr>
              <w:t> </w:t>
            </w:r>
            <w:r>
              <w:rPr>
                <w:sz w:val="20"/>
              </w:rPr>
              <w:t>внутри-</w:t>
            </w:r>
            <w:r>
              <w:rPr>
                <w:spacing w:val="-13"/>
                <w:sz w:val="20"/>
              </w:rPr>
              <w:t> </w:t>
            </w:r>
            <w:r>
              <w:rPr>
                <w:sz w:val="20"/>
              </w:rPr>
              <w:t>и околосуставные переломы и ложные суставы</w:t>
            </w:r>
          </w:p>
        </w:tc>
        <w:tc>
          <w:tcPr>
            <w:tcW w:w="1585" w:type="dxa"/>
          </w:tcPr>
          <w:p>
            <w:pPr>
              <w:pStyle w:val="TableParagraph"/>
              <w:spacing w:line="249" w:lineRule="auto"/>
              <w:ind w:left="108"/>
              <w:rPr>
                <w:sz w:val="20"/>
              </w:rPr>
            </w:pPr>
            <w:r>
              <w:rPr>
                <w:spacing w:val="-2"/>
                <w:sz w:val="20"/>
              </w:rPr>
              <w:t>хирургическое лечение</w:t>
            </w:r>
          </w:p>
        </w:tc>
        <w:tc>
          <w:tcPr>
            <w:tcW w:w="3878" w:type="dxa"/>
          </w:tcPr>
          <w:p>
            <w:pPr>
              <w:pStyle w:val="TableParagraph"/>
              <w:spacing w:line="221" w:lineRule="exact"/>
              <w:ind w:left="221"/>
              <w:rPr>
                <w:sz w:val="20"/>
              </w:rPr>
            </w:pPr>
            <w:r>
              <w:rPr>
                <w:sz w:val="20"/>
              </w:rPr>
              <w:t>имплантация</w:t>
            </w:r>
            <w:r>
              <w:rPr>
                <w:spacing w:val="-13"/>
                <w:sz w:val="20"/>
              </w:rPr>
              <w:t> </w:t>
            </w:r>
            <w:r>
              <w:rPr>
                <w:sz w:val="20"/>
              </w:rPr>
              <w:t>эндопротеза</w:t>
            </w:r>
            <w:r>
              <w:rPr>
                <w:spacing w:val="-12"/>
                <w:sz w:val="20"/>
              </w:rPr>
              <w:t> </w:t>
            </w:r>
            <w:r>
              <w:rPr>
                <w:spacing w:val="-2"/>
                <w:sz w:val="20"/>
              </w:rPr>
              <w:t>сустава</w:t>
            </w:r>
          </w:p>
        </w:tc>
        <w:tc>
          <w:tcPr>
            <w:tcW w:w="1004" w:type="dxa"/>
          </w:tcPr>
          <w:p>
            <w:pPr>
              <w:pStyle w:val="TableParagraph"/>
              <w:spacing w:line="221" w:lineRule="exact"/>
              <w:ind w:right="47"/>
              <w:jc w:val="right"/>
              <w:rPr>
                <w:sz w:val="20"/>
              </w:rPr>
            </w:pPr>
            <w:r>
              <w:rPr>
                <w:spacing w:val="-2"/>
                <w:sz w:val="20"/>
              </w:rPr>
              <w:t>154706</w:t>
            </w:r>
          </w:p>
        </w:tc>
      </w:tr>
      <w:tr>
        <w:trPr>
          <w:trHeight w:val="1200" w:hRule="atLeast"/>
        </w:trPr>
        <w:tc>
          <w:tcPr>
            <w:tcW w:w="472" w:type="dxa"/>
          </w:tcPr>
          <w:p>
            <w:pPr>
              <w:pStyle w:val="TableParagraph"/>
              <w:rPr>
                <w:sz w:val="18"/>
              </w:rPr>
            </w:pPr>
          </w:p>
        </w:tc>
        <w:tc>
          <w:tcPr>
            <w:tcW w:w="3157" w:type="dxa"/>
          </w:tcPr>
          <w:p>
            <w:pPr>
              <w:pStyle w:val="TableParagraph"/>
              <w:rPr>
                <w:sz w:val="18"/>
              </w:rPr>
            </w:pPr>
          </w:p>
        </w:tc>
        <w:tc>
          <w:tcPr>
            <w:tcW w:w="1663" w:type="dxa"/>
          </w:tcPr>
          <w:p>
            <w:pPr>
              <w:pStyle w:val="TableParagraph"/>
              <w:spacing w:before="120"/>
              <w:ind w:left="257" w:right="220"/>
              <w:jc w:val="center"/>
              <w:rPr>
                <w:sz w:val="20"/>
              </w:rPr>
            </w:pPr>
            <w:hyperlink r:id="rId480">
              <w:r>
                <w:rPr>
                  <w:spacing w:val="-4"/>
                  <w:sz w:val="20"/>
                </w:rPr>
                <w:t>M16.1</w:t>
              </w:r>
            </w:hyperlink>
          </w:p>
        </w:tc>
        <w:tc>
          <w:tcPr>
            <w:tcW w:w="3281" w:type="dxa"/>
          </w:tcPr>
          <w:p>
            <w:pPr>
              <w:pStyle w:val="TableParagraph"/>
              <w:spacing w:line="249" w:lineRule="auto" w:before="120"/>
              <w:ind w:left="233" w:right="124"/>
              <w:rPr>
                <w:sz w:val="20"/>
              </w:rPr>
            </w:pPr>
            <w:r>
              <w:rPr>
                <w:sz w:val="20"/>
              </w:rPr>
              <w:t>идиопатический</w:t>
            </w:r>
            <w:r>
              <w:rPr>
                <w:spacing w:val="-13"/>
                <w:sz w:val="20"/>
              </w:rPr>
              <w:t> </w:t>
            </w:r>
            <w:r>
              <w:rPr>
                <w:sz w:val="20"/>
              </w:rPr>
              <w:t>деформирующий коксартроз без существенной разницы в длине конечностей</w:t>
            </w:r>
          </w:p>
          <w:p>
            <w:pPr>
              <w:pStyle w:val="TableParagraph"/>
              <w:spacing w:before="3"/>
              <w:ind w:left="233"/>
              <w:rPr>
                <w:sz w:val="20"/>
              </w:rPr>
            </w:pPr>
            <w:r>
              <w:rPr>
                <w:sz w:val="20"/>
              </w:rPr>
              <w:t>(до</w:t>
            </w:r>
            <w:r>
              <w:rPr>
                <w:spacing w:val="-2"/>
                <w:sz w:val="20"/>
              </w:rPr>
              <w:t> </w:t>
            </w:r>
            <w:r>
              <w:rPr>
                <w:sz w:val="20"/>
              </w:rPr>
              <w:t>2</w:t>
            </w:r>
            <w:r>
              <w:rPr>
                <w:spacing w:val="-1"/>
                <w:sz w:val="20"/>
              </w:rPr>
              <w:t> </w:t>
            </w:r>
            <w:r>
              <w:rPr>
                <w:spacing w:val="-5"/>
                <w:sz w:val="20"/>
              </w:rPr>
              <w:t>см)</w:t>
            </w:r>
          </w:p>
        </w:tc>
        <w:tc>
          <w:tcPr>
            <w:tcW w:w="1585" w:type="dxa"/>
          </w:tcPr>
          <w:p>
            <w:pPr>
              <w:pStyle w:val="TableParagraph"/>
              <w:rPr>
                <w:sz w:val="18"/>
              </w:rPr>
            </w:pPr>
          </w:p>
        </w:tc>
        <w:tc>
          <w:tcPr>
            <w:tcW w:w="3878" w:type="dxa"/>
          </w:tcPr>
          <w:p>
            <w:pPr>
              <w:pStyle w:val="TableParagraph"/>
              <w:rPr>
                <w:sz w:val="18"/>
              </w:rPr>
            </w:pPr>
          </w:p>
        </w:tc>
        <w:tc>
          <w:tcPr>
            <w:tcW w:w="1004" w:type="dxa"/>
          </w:tcPr>
          <w:p>
            <w:pPr>
              <w:pStyle w:val="TableParagraph"/>
              <w:rPr>
                <w:sz w:val="18"/>
              </w:rPr>
            </w:pPr>
          </w:p>
        </w:tc>
      </w:tr>
      <w:tr>
        <w:trPr>
          <w:trHeight w:val="1560" w:hRule="atLeast"/>
        </w:trPr>
        <w:tc>
          <w:tcPr>
            <w:tcW w:w="472" w:type="dxa"/>
          </w:tcPr>
          <w:p>
            <w:pPr>
              <w:pStyle w:val="TableParagraph"/>
              <w:spacing w:before="120"/>
              <w:ind w:left="50"/>
              <w:rPr>
                <w:sz w:val="20"/>
              </w:rPr>
            </w:pPr>
            <w:r>
              <w:rPr>
                <w:spacing w:val="-5"/>
                <w:sz w:val="20"/>
              </w:rPr>
              <w:t>54.</w:t>
            </w:r>
          </w:p>
        </w:tc>
        <w:tc>
          <w:tcPr>
            <w:tcW w:w="3157" w:type="dxa"/>
            <w:vMerge w:val="restart"/>
          </w:tcPr>
          <w:p>
            <w:pPr>
              <w:pStyle w:val="TableParagraph"/>
              <w:spacing w:line="249" w:lineRule="auto" w:before="120"/>
              <w:ind w:left="168" w:right="55"/>
              <w:rPr>
                <w:sz w:val="20"/>
              </w:rPr>
            </w:pPr>
            <w:r>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w:t>
            </w:r>
            <w:r>
              <w:rPr>
                <w:spacing w:val="-13"/>
                <w:sz w:val="20"/>
              </w:rPr>
              <w:t> </w:t>
            </w:r>
            <w:r>
              <w:rPr>
                <w:sz w:val="20"/>
              </w:rPr>
              <w:t>вывихах</w:t>
            </w:r>
            <w:r>
              <w:rPr>
                <w:spacing w:val="-12"/>
                <w:sz w:val="20"/>
              </w:rPr>
              <w:t> </w:t>
            </w:r>
            <w:r>
              <w:rPr>
                <w:sz w:val="20"/>
              </w:rPr>
              <w:t>и подвывихах, остеопорозе и системных</w:t>
            </w:r>
            <w:r>
              <w:rPr>
                <w:spacing w:val="-13"/>
                <w:sz w:val="20"/>
              </w:rPr>
              <w:t> </w:t>
            </w:r>
            <w:r>
              <w:rPr>
                <w:sz w:val="20"/>
              </w:rPr>
              <w:t>заболеваниях,</w:t>
            </w:r>
            <w:r>
              <w:rPr>
                <w:spacing w:val="-12"/>
                <w:sz w:val="20"/>
              </w:rPr>
              <w:t> </w:t>
            </w:r>
            <w:r>
              <w:rPr>
                <w:sz w:val="20"/>
              </w:rPr>
              <w:t>в</w:t>
            </w:r>
            <w:r>
              <w:rPr>
                <w:spacing w:val="-13"/>
                <w:sz w:val="20"/>
              </w:rPr>
              <w:t> </w:t>
            </w:r>
            <w:r>
              <w:rPr>
                <w:sz w:val="20"/>
              </w:rPr>
              <w:t>том числе с использованием компьютерной навигации</w:t>
            </w:r>
          </w:p>
        </w:tc>
        <w:tc>
          <w:tcPr>
            <w:tcW w:w="1663" w:type="dxa"/>
          </w:tcPr>
          <w:p>
            <w:pPr>
              <w:pStyle w:val="TableParagraph"/>
              <w:spacing w:before="120"/>
              <w:ind w:left="255" w:right="220"/>
              <w:jc w:val="center"/>
              <w:rPr>
                <w:sz w:val="20"/>
              </w:rPr>
            </w:pPr>
            <w:hyperlink r:id="rId481">
              <w:r>
                <w:rPr>
                  <w:spacing w:val="-5"/>
                  <w:sz w:val="20"/>
                </w:rPr>
                <w:t>M16</w:t>
              </w:r>
            </w:hyperlink>
          </w:p>
        </w:tc>
        <w:tc>
          <w:tcPr>
            <w:tcW w:w="3281" w:type="dxa"/>
          </w:tcPr>
          <w:p>
            <w:pPr>
              <w:pStyle w:val="TableParagraph"/>
              <w:spacing w:line="240" w:lineRule="atLeast" w:before="100"/>
              <w:ind w:left="233" w:right="42"/>
              <w:rPr>
                <w:sz w:val="20"/>
              </w:rPr>
            </w:pPr>
            <w:r>
              <w:rPr>
                <w:sz w:val="20"/>
              </w:rPr>
              <w:t>деформирующий артроз в сочетании</w:t>
            </w:r>
            <w:r>
              <w:rPr>
                <w:spacing w:val="-13"/>
                <w:sz w:val="20"/>
              </w:rPr>
              <w:t> </w:t>
            </w:r>
            <w:r>
              <w:rPr>
                <w:sz w:val="20"/>
              </w:rPr>
              <w:t>с</w:t>
            </w:r>
            <w:r>
              <w:rPr>
                <w:spacing w:val="-12"/>
                <w:sz w:val="20"/>
              </w:rPr>
              <w:t> </w:t>
            </w:r>
            <w:r>
              <w:rPr>
                <w:sz w:val="20"/>
              </w:rPr>
              <w:t>посттравматическими и послеоперационными деформациями конечности на различном уровне и в различных </w:t>
            </w:r>
            <w:r>
              <w:rPr>
                <w:spacing w:val="-2"/>
                <w:sz w:val="20"/>
              </w:rPr>
              <w:t>плоскостях</w:t>
            </w:r>
          </w:p>
        </w:tc>
        <w:tc>
          <w:tcPr>
            <w:tcW w:w="1585" w:type="dxa"/>
          </w:tcPr>
          <w:p>
            <w:pPr>
              <w:pStyle w:val="TableParagraph"/>
              <w:spacing w:line="249" w:lineRule="auto" w:before="120"/>
              <w:ind w:left="108"/>
              <w:rPr>
                <w:sz w:val="20"/>
              </w:rPr>
            </w:pPr>
            <w:r>
              <w:rPr>
                <w:spacing w:val="-2"/>
                <w:sz w:val="20"/>
              </w:rPr>
              <w:t>хирургическое лечение</w:t>
            </w:r>
          </w:p>
        </w:tc>
        <w:tc>
          <w:tcPr>
            <w:tcW w:w="3878" w:type="dxa"/>
          </w:tcPr>
          <w:p>
            <w:pPr>
              <w:pStyle w:val="TableParagraph"/>
              <w:spacing w:line="249" w:lineRule="auto" w:before="120"/>
              <w:ind w:left="221" w:right="284"/>
              <w:rPr>
                <w:sz w:val="20"/>
              </w:rPr>
            </w:pPr>
            <w:r>
              <w:rPr>
                <w:sz w:val="20"/>
              </w:rPr>
              <w:t>имплантация</w:t>
            </w:r>
            <w:r>
              <w:rPr>
                <w:spacing w:val="-12"/>
                <w:sz w:val="20"/>
              </w:rPr>
              <w:t> </w:t>
            </w:r>
            <w:r>
              <w:rPr>
                <w:sz w:val="20"/>
              </w:rPr>
              <w:t>эндопротеза,</w:t>
            </w:r>
            <w:r>
              <w:rPr>
                <w:spacing w:val="-11"/>
                <w:sz w:val="20"/>
              </w:rPr>
              <w:t> </w:t>
            </w:r>
            <w:r>
              <w:rPr>
                <w:sz w:val="20"/>
              </w:rPr>
              <w:t>в</w:t>
            </w:r>
            <w:r>
              <w:rPr>
                <w:spacing w:val="-11"/>
                <w:sz w:val="20"/>
              </w:rPr>
              <w:t> </w:t>
            </w:r>
            <w:r>
              <w:rPr>
                <w:sz w:val="20"/>
              </w:rPr>
              <w:t>том</w:t>
            </w:r>
            <w:r>
              <w:rPr>
                <w:spacing w:val="-11"/>
                <w:sz w:val="20"/>
              </w:rPr>
              <w:t> </w:t>
            </w:r>
            <w:r>
              <w:rPr>
                <w:sz w:val="20"/>
              </w:rPr>
              <w:t>числе под контролем компьютерной навигации, с одновременной реконструкцией биологической оси </w:t>
            </w:r>
            <w:r>
              <w:rPr>
                <w:spacing w:val="-2"/>
                <w:sz w:val="20"/>
              </w:rPr>
              <w:t>конечности</w:t>
            </w:r>
          </w:p>
        </w:tc>
        <w:tc>
          <w:tcPr>
            <w:tcW w:w="1004" w:type="dxa"/>
          </w:tcPr>
          <w:p>
            <w:pPr>
              <w:pStyle w:val="TableParagraph"/>
              <w:spacing w:before="120"/>
              <w:ind w:right="47"/>
              <w:jc w:val="right"/>
              <w:rPr>
                <w:sz w:val="20"/>
              </w:rPr>
            </w:pPr>
            <w:r>
              <w:rPr>
                <w:spacing w:val="-2"/>
                <w:sz w:val="20"/>
              </w:rPr>
              <w:t>229703</w:t>
            </w:r>
          </w:p>
        </w:tc>
      </w:tr>
      <w:tr>
        <w:trPr>
          <w:trHeight w:val="1320" w:hRule="atLeast"/>
        </w:trPr>
        <w:tc>
          <w:tcPr>
            <w:tcW w:w="472" w:type="dxa"/>
          </w:tcPr>
          <w:p>
            <w:pPr>
              <w:pStyle w:val="TableParagraph"/>
              <w:rPr>
                <w:sz w:val="18"/>
              </w:rPr>
            </w:pPr>
          </w:p>
        </w:tc>
        <w:tc>
          <w:tcPr>
            <w:tcW w:w="3157" w:type="dxa"/>
            <w:vMerge/>
            <w:tcBorders>
              <w:top w:val="nil"/>
            </w:tcBorders>
          </w:tcPr>
          <w:p>
            <w:pPr>
              <w:rPr>
                <w:sz w:val="2"/>
                <w:szCs w:val="2"/>
              </w:rPr>
            </w:pPr>
          </w:p>
        </w:tc>
        <w:tc>
          <w:tcPr>
            <w:tcW w:w="1663" w:type="dxa"/>
          </w:tcPr>
          <w:p>
            <w:pPr>
              <w:pStyle w:val="TableParagraph"/>
              <w:rPr>
                <w:sz w:val="18"/>
              </w:rPr>
            </w:pPr>
          </w:p>
        </w:tc>
        <w:tc>
          <w:tcPr>
            <w:tcW w:w="3281" w:type="dxa"/>
          </w:tcPr>
          <w:p>
            <w:pPr>
              <w:pStyle w:val="TableParagraph"/>
              <w:rPr>
                <w:sz w:val="18"/>
              </w:rPr>
            </w:pPr>
          </w:p>
        </w:tc>
        <w:tc>
          <w:tcPr>
            <w:tcW w:w="1585" w:type="dxa"/>
          </w:tcPr>
          <w:p>
            <w:pPr>
              <w:pStyle w:val="TableParagraph"/>
              <w:rPr>
                <w:sz w:val="18"/>
              </w:rPr>
            </w:pPr>
          </w:p>
        </w:tc>
        <w:tc>
          <w:tcPr>
            <w:tcW w:w="3878" w:type="dxa"/>
          </w:tcPr>
          <w:p>
            <w:pPr>
              <w:pStyle w:val="TableParagraph"/>
              <w:spacing w:line="249" w:lineRule="auto"/>
              <w:ind w:left="221" w:right="402"/>
              <w:rPr>
                <w:sz w:val="20"/>
              </w:rPr>
            </w:pPr>
            <w:r>
              <w:rPr>
                <w:sz w:val="20"/>
              </w:rPr>
              <w:t>устранение сложных многоплоскостных деформаций за счет использования чрескостных аппаратов</w:t>
            </w:r>
            <w:r>
              <w:rPr>
                <w:spacing w:val="-13"/>
                <w:sz w:val="20"/>
              </w:rPr>
              <w:t> </w:t>
            </w:r>
            <w:r>
              <w:rPr>
                <w:sz w:val="20"/>
              </w:rPr>
              <w:t>со</w:t>
            </w:r>
            <w:r>
              <w:rPr>
                <w:spacing w:val="-12"/>
                <w:sz w:val="20"/>
              </w:rPr>
              <w:t> </w:t>
            </w:r>
            <w:r>
              <w:rPr>
                <w:sz w:val="20"/>
              </w:rPr>
              <w:t>свойствами</w:t>
            </w:r>
            <w:r>
              <w:rPr>
                <w:spacing w:val="-13"/>
                <w:sz w:val="20"/>
              </w:rPr>
              <w:t> </w:t>
            </w:r>
            <w:r>
              <w:rPr>
                <w:sz w:val="20"/>
              </w:rPr>
              <w:t>пассивной компьютерной навигации</w:t>
            </w:r>
          </w:p>
        </w:tc>
        <w:tc>
          <w:tcPr>
            <w:tcW w:w="1004" w:type="dxa"/>
          </w:tcPr>
          <w:p>
            <w:pPr>
              <w:pStyle w:val="TableParagraph"/>
              <w:rPr>
                <w:sz w:val="18"/>
              </w:rPr>
            </w:pPr>
          </w:p>
        </w:tc>
      </w:tr>
      <w:tr>
        <w:trPr>
          <w:trHeight w:val="1440" w:hRule="atLeast"/>
        </w:trPr>
        <w:tc>
          <w:tcPr>
            <w:tcW w:w="472" w:type="dxa"/>
          </w:tcPr>
          <w:p>
            <w:pPr>
              <w:pStyle w:val="TableParagraph"/>
              <w:rPr>
                <w:sz w:val="18"/>
              </w:rPr>
            </w:pPr>
          </w:p>
        </w:tc>
        <w:tc>
          <w:tcPr>
            <w:tcW w:w="3157" w:type="dxa"/>
          </w:tcPr>
          <w:p>
            <w:pPr>
              <w:pStyle w:val="TableParagraph"/>
              <w:rPr>
                <w:sz w:val="18"/>
              </w:rPr>
            </w:pPr>
          </w:p>
        </w:tc>
        <w:tc>
          <w:tcPr>
            <w:tcW w:w="1663" w:type="dxa"/>
          </w:tcPr>
          <w:p>
            <w:pPr>
              <w:pStyle w:val="TableParagraph"/>
              <w:rPr>
                <w:sz w:val="18"/>
              </w:rPr>
            </w:pPr>
          </w:p>
        </w:tc>
        <w:tc>
          <w:tcPr>
            <w:tcW w:w="3281" w:type="dxa"/>
          </w:tcPr>
          <w:p>
            <w:pPr>
              <w:pStyle w:val="TableParagraph"/>
              <w:rPr>
                <w:sz w:val="18"/>
              </w:rPr>
            </w:pPr>
          </w:p>
        </w:tc>
        <w:tc>
          <w:tcPr>
            <w:tcW w:w="1585" w:type="dxa"/>
          </w:tcPr>
          <w:p>
            <w:pPr>
              <w:pStyle w:val="TableParagraph"/>
              <w:rPr>
                <w:sz w:val="18"/>
              </w:rPr>
            </w:pPr>
          </w:p>
        </w:tc>
        <w:tc>
          <w:tcPr>
            <w:tcW w:w="3878" w:type="dxa"/>
          </w:tcPr>
          <w:p>
            <w:pPr>
              <w:pStyle w:val="TableParagraph"/>
              <w:spacing w:line="249" w:lineRule="auto" w:before="120"/>
              <w:ind w:left="221" w:right="284"/>
              <w:rPr>
                <w:sz w:val="20"/>
              </w:rPr>
            </w:pPr>
            <w:r>
              <w:rPr>
                <w:sz w:val="20"/>
              </w:rPr>
              <w:t>имплантация</w:t>
            </w:r>
            <w:r>
              <w:rPr>
                <w:spacing w:val="-12"/>
                <w:sz w:val="20"/>
              </w:rPr>
              <w:t> </w:t>
            </w:r>
            <w:r>
              <w:rPr>
                <w:sz w:val="20"/>
              </w:rPr>
              <w:t>эндопротеза,</w:t>
            </w:r>
            <w:r>
              <w:rPr>
                <w:spacing w:val="-11"/>
                <w:sz w:val="20"/>
              </w:rPr>
              <w:t> </w:t>
            </w:r>
            <w:r>
              <w:rPr>
                <w:sz w:val="20"/>
              </w:rPr>
              <w:t>в</w:t>
            </w:r>
            <w:r>
              <w:rPr>
                <w:spacing w:val="-11"/>
                <w:sz w:val="20"/>
              </w:rPr>
              <w:t> </w:t>
            </w:r>
            <w:r>
              <w:rPr>
                <w:sz w:val="20"/>
              </w:rPr>
              <w:t>том</w:t>
            </w:r>
            <w:r>
              <w:rPr>
                <w:spacing w:val="-11"/>
                <w:sz w:val="20"/>
              </w:rPr>
              <w:t> </w:t>
            </w:r>
            <w:r>
              <w:rPr>
                <w:sz w:val="20"/>
              </w:rPr>
              <w:t>числе под контролем компьютерной навигации, с предварительным удалением аппаратов внешней </w:t>
            </w:r>
            <w:r>
              <w:rPr>
                <w:spacing w:val="-2"/>
                <w:sz w:val="20"/>
              </w:rPr>
              <w:t>фиксации</w:t>
            </w:r>
          </w:p>
        </w:tc>
        <w:tc>
          <w:tcPr>
            <w:tcW w:w="1004" w:type="dxa"/>
          </w:tcPr>
          <w:p>
            <w:pPr>
              <w:pStyle w:val="TableParagraph"/>
              <w:rPr>
                <w:sz w:val="18"/>
              </w:rPr>
            </w:pPr>
          </w:p>
        </w:tc>
      </w:tr>
      <w:tr>
        <w:trPr>
          <w:trHeight w:val="1790" w:hRule="atLeast"/>
        </w:trPr>
        <w:tc>
          <w:tcPr>
            <w:tcW w:w="472" w:type="dxa"/>
          </w:tcPr>
          <w:p>
            <w:pPr>
              <w:pStyle w:val="TableParagraph"/>
              <w:rPr>
                <w:sz w:val="18"/>
              </w:rPr>
            </w:pPr>
          </w:p>
        </w:tc>
        <w:tc>
          <w:tcPr>
            <w:tcW w:w="3157" w:type="dxa"/>
          </w:tcPr>
          <w:p>
            <w:pPr>
              <w:pStyle w:val="TableParagraph"/>
              <w:rPr>
                <w:sz w:val="18"/>
              </w:rPr>
            </w:pPr>
          </w:p>
        </w:tc>
        <w:tc>
          <w:tcPr>
            <w:tcW w:w="1663" w:type="dxa"/>
          </w:tcPr>
          <w:p>
            <w:pPr>
              <w:pStyle w:val="TableParagraph"/>
              <w:spacing w:before="120"/>
              <w:ind w:left="257" w:right="220"/>
              <w:jc w:val="center"/>
              <w:rPr>
                <w:sz w:val="20"/>
              </w:rPr>
            </w:pPr>
            <w:hyperlink r:id="rId445">
              <w:r>
                <w:rPr>
                  <w:sz w:val="20"/>
                </w:rPr>
                <w:t>M16.2,</w:t>
              </w:r>
              <w:r>
                <w:rPr>
                  <w:spacing w:val="-1"/>
                  <w:sz w:val="20"/>
                </w:rPr>
                <w:t> </w:t>
              </w:r>
            </w:hyperlink>
            <w:hyperlink r:id="rId446">
              <w:r>
                <w:rPr>
                  <w:spacing w:val="-2"/>
                  <w:sz w:val="20"/>
                </w:rPr>
                <w:t>M16.3</w:t>
              </w:r>
            </w:hyperlink>
          </w:p>
        </w:tc>
        <w:tc>
          <w:tcPr>
            <w:tcW w:w="3281" w:type="dxa"/>
          </w:tcPr>
          <w:p>
            <w:pPr>
              <w:pStyle w:val="TableParagraph"/>
              <w:spacing w:line="249" w:lineRule="auto" w:before="120"/>
              <w:ind w:left="233" w:right="124"/>
              <w:rPr>
                <w:sz w:val="20"/>
              </w:rPr>
            </w:pPr>
            <w:r>
              <w:rPr>
                <w:sz w:val="20"/>
              </w:rPr>
              <w:t>деформирующий артроз в сочетании</w:t>
            </w:r>
            <w:r>
              <w:rPr>
                <w:spacing w:val="-13"/>
                <w:sz w:val="20"/>
              </w:rPr>
              <w:t> </w:t>
            </w:r>
            <w:r>
              <w:rPr>
                <w:sz w:val="20"/>
              </w:rPr>
              <w:t>с</w:t>
            </w:r>
            <w:r>
              <w:rPr>
                <w:spacing w:val="-12"/>
                <w:sz w:val="20"/>
              </w:rPr>
              <w:t> </w:t>
            </w:r>
            <w:r>
              <w:rPr>
                <w:sz w:val="20"/>
              </w:rPr>
              <w:t>дисплазией</w:t>
            </w:r>
            <w:r>
              <w:rPr>
                <w:spacing w:val="-13"/>
                <w:sz w:val="20"/>
              </w:rPr>
              <w:t> </w:t>
            </w:r>
            <w:r>
              <w:rPr>
                <w:sz w:val="20"/>
              </w:rPr>
              <w:t>сустава</w:t>
            </w:r>
          </w:p>
        </w:tc>
        <w:tc>
          <w:tcPr>
            <w:tcW w:w="1585" w:type="dxa"/>
          </w:tcPr>
          <w:p>
            <w:pPr>
              <w:pStyle w:val="TableParagraph"/>
              <w:spacing w:line="249" w:lineRule="auto" w:before="120"/>
              <w:ind w:left="108"/>
              <w:rPr>
                <w:sz w:val="20"/>
              </w:rPr>
            </w:pPr>
            <w:r>
              <w:rPr>
                <w:spacing w:val="-2"/>
                <w:sz w:val="20"/>
              </w:rPr>
              <w:t>хирургическое лечение</w:t>
            </w:r>
          </w:p>
        </w:tc>
        <w:tc>
          <w:tcPr>
            <w:tcW w:w="3878" w:type="dxa"/>
          </w:tcPr>
          <w:p>
            <w:pPr>
              <w:pStyle w:val="TableParagraph"/>
              <w:spacing w:line="240" w:lineRule="atLeast" w:before="90"/>
              <w:ind w:left="221" w:right="402"/>
              <w:rPr>
                <w:sz w:val="20"/>
              </w:rPr>
            </w:pPr>
            <w:r>
              <w:rPr>
                <w:sz w:val="20"/>
              </w:rPr>
              <w:t>имплантация специальных диспластических компонентов эндопротеза</w:t>
            </w:r>
            <w:r>
              <w:rPr>
                <w:spacing w:val="-13"/>
                <w:sz w:val="20"/>
              </w:rPr>
              <w:t> </w:t>
            </w:r>
            <w:r>
              <w:rPr>
                <w:sz w:val="20"/>
              </w:rPr>
              <w:t>с</w:t>
            </w:r>
            <w:r>
              <w:rPr>
                <w:spacing w:val="-12"/>
                <w:sz w:val="20"/>
              </w:rPr>
              <w:t> </w:t>
            </w:r>
            <w:r>
              <w:rPr>
                <w:sz w:val="20"/>
              </w:rPr>
              <w:t>костной</w:t>
            </w:r>
            <w:r>
              <w:rPr>
                <w:spacing w:val="-13"/>
                <w:sz w:val="20"/>
              </w:rPr>
              <w:t> </w:t>
            </w:r>
            <w:r>
              <w:rPr>
                <w:sz w:val="20"/>
              </w:rPr>
              <w:t>аутопластикой крыши вертлужной впадины или замещением дефекта крыши опорными блоками из трабекуллярного металла</w:t>
            </w:r>
          </w:p>
        </w:tc>
        <w:tc>
          <w:tcPr>
            <w:tcW w:w="100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8"/>
        <w:gridCol w:w="1953"/>
        <w:gridCol w:w="3171"/>
        <w:gridCol w:w="1538"/>
        <w:gridCol w:w="3878"/>
        <w:gridCol w:w="1004"/>
      </w:tblGrid>
      <w:tr>
        <w:trPr>
          <w:trHeight w:val="155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rPr>
                <w:sz w:val="18"/>
              </w:rPr>
            </w:pPr>
          </w:p>
        </w:tc>
        <w:tc>
          <w:tcPr>
            <w:tcW w:w="3171" w:type="dxa"/>
          </w:tcPr>
          <w:p>
            <w:pPr>
              <w:pStyle w:val="TableParagraph"/>
              <w:rPr>
                <w:sz w:val="18"/>
              </w:rPr>
            </w:pPr>
          </w:p>
        </w:tc>
        <w:tc>
          <w:tcPr>
            <w:tcW w:w="1538" w:type="dxa"/>
          </w:tcPr>
          <w:p>
            <w:pPr>
              <w:pStyle w:val="TableParagraph"/>
              <w:rPr>
                <w:sz w:val="18"/>
              </w:rPr>
            </w:pPr>
          </w:p>
        </w:tc>
        <w:tc>
          <w:tcPr>
            <w:tcW w:w="3878" w:type="dxa"/>
          </w:tcPr>
          <w:p>
            <w:pPr>
              <w:pStyle w:val="TableParagraph"/>
              <w:spacing w:line="249" w:lineRule="auto"/>
              <w:ind w:left="217" w:right="284"/>
              <w:rPr>
                <w:sz w:val="20"/>
              </w:rPr>
            </w:pPr>
            <w:r>
              <w:rPr>
                <w:sz w:val="20"/>
              </w:rPr>
              <w:t>укорачивающая</w:t>
            </w:r>
            <w:r>
              <w:rPr>
                <w:spacing w:val="-13"/>
                <w:sz w:val="20"/>
              </w:rPr>
              <w:t> </w:t>
            </w:r>
            <w:r>
              <w:rPr>
                <w:sz w:val="20"/>
              </w:rPr>
              <w:t>остеотомия</w:t>
            </w:r>
            <w:r>
              <w:rPr>
                <w:spacing w:val="-12"/>
                <w:sz w:val="20"/>
              </w:rPr>
              <w:t> </w:t>
            </w:r>
            <w:r>
              <w:rPr>
                <w:sz w:val="20"/>
              </w:rPr>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004" w:type="dxa"/>
          </w:tcPr>
          <w:p>
            <w:pPr>
              <w:pStyle w:val="TableParagraph"/>
              <w:rPr>
                <w:sz w:val="18"/>
              </w:rPr>
            </w:pPr>
          </w:p>
        </w:tc>
      </w:tr>
      <w:tr>
        <w:trPr>
          <w:trHeight w:val="168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spacing w:before="120"/>
              <w:ind w:left="399"/>
              <w:rPr>
                <w:sz w:val="20"/>
              </w:rPr>
            </w:pPr>
            <w:hyperlink r:id="rId482">
              <w:r>
                <w:rPr>
                  <w:sz w:val="20"/>
                </w:rPr>
                <w:t>M16.4,</w:t>
              </w:r>
              <w:r>
                <w:rPr>
                  <w:spacing w:val="-1"/>
                  <w:sz w:val="20"/>
                </w:rPr>
                <w:t> </w:t>
              </w:r>
            </w:hyperlink>
            <w:hyperlink r:id="rId483">
              <w:r>
                <w:rPr>
                  <w:spacing w:val="-2"/>
                  <w:sz w:val="20"/>
                </w:rPr>
                <w:t>M16.5</w:t>
              </w:r>
            </w:hyperlink>
          </w:p>
        </w:tc>
        <w:tc>
          <w:tcPr>
            <w:tcW w:w="3171" w:type="dxa"/>
          </w:tcPr>
          <w:p>
            <w:pPr>
              <w:pStyle w:val="TableParagraph"/>
              <w:spacing w:line="249" w:lineRule="auto" w:before="120"/>
              <w:ind w:left="72" w:right="75"/>
              <w:rPr>
                <w:sz w:val="20"/>
              </w:rPr>
            </w:pPr>
            <w:r>
              <w:rPr>
                <w:spacing w:val="-2"/>
                <w:sz w:val="20"/>
              </w:rPr>
              <w:t>посттравматический </w:t>
            </w:r>
            <w:r>
              <w:rPr>
                <w:sz w:val="20"/>
              </w:rPr>
              <w:t>деформирующий</w:t>
            </w:r>
            <w:r>
              <w:rPr>
                <w:spacing w:val="-13"/>
                <w:sz w:val="20"/>
              </w:rPr>
              <w:t> </w:t>
            </w:r>
            <w:r>
              <w:rPr>
                <w:sz w:val="20"/>
              </w:rPr>
              <w:t>артроз</w:t>
            </w:r>
            <w:r>
              <w:rPr>
                <w:spacing w:val="-12"/>
                <w:sz w:val="20"/>
              </w:rPr>
              <w:t> </w:t>
            </w:r>
            <w:r>
              <w:rPr>
                <w:sz w:val="20"/>
              </w:rPr>
              <w:t>сустава</w:t>
            </w:r>
            <w:r>
              <w:rPr>
                <w:spacing w:val="-13"/>
                <w:sz w:val="20"/>
              </w:rPr>
              <w:t> </w:t>
            </w:r>
            <w:r>
              <w:rPr>
                <w:sz w:val="20"/>
              </w:rPr>
              <w:t>с вывихом или подвывихом</w:t>
            </w:r>
          </w:p>
        </w:tc>
        <w:tc>
          <w:tcPr>
            <w:tcW w:w="1538" w:type="dxa"/>
          </w:tcPr>
          <w:p>
            <w:pPr>
              <w:pStyle w:val="TableParagraph"/>
              <w:spacing w:line="249" w:lineRule="auto" w:before="120"/>
              <w:ind w:left="57"/>
              <w:rPr>
                <w:sz w:val="20"/>
              </w:rPr>
            </w:pPr>
            <w:r>
              <w:rPr>
                <w:spacing w:val="-2"/>
                <w:sz w:val="20"/>
              </w:rPr>
              <w:t>хирургическое лечение</w:t>
            </w:r>
          </w:p>
        </w:tc>
        <w:tc>
          <w:tcPr>
            <w:tcW w:w="3878" w:type="dxa"/>
          </w:tcPr>
          <w:p>
            <w:pPr>
              <w:pStyle w:val="TableParagraph"/>
              <w:spacing w:line="249" w:lineRule="auto" w:before="120"/>
              <w:ind w:left="217" w:right="329"/>
              <w:rPr>
                <w:sz w:val="20"/>
              </w:rPr>
            </w:pPr>
            <w:r>
              <w:rPr>
                <w:sz w:val="20"/>
              </w:rPr>
              <w:t>имплантация</w:t>
            </w:r>
            <w:r>
              <w:rPr>
                <w:spacing w:val="-12"/>
                <w:sz w:val="20"/>
              </w:rPr>
              <w:t> </w:t>
            </w:r>
            <w:r>
              <w:rPr>
                <w:sz w:val="20"/>
              </w:rPr>
              <w:t>эндопротеза,</w:t>
            </w:r>
            <w:r>
              <w:rPr>
                <w:spacing w:val="-11"/>
                <w:sz w:val="20"/>
              </w:rPr>
              <w:t> </w:t>
            </w:r>
            <w:r>
              <w:rPr>
                <w:sz w:val="20"/>
              </w:rPr>
              <w:t>в</w:t>
            </w:r>
            <w:r>
              <w:rPr>
                <w:spacing w:val="-11"/>
                <w:sz w:val="20"/>
              </w:rPr>
              <w:t> </w:t>
            </w:r>
            <w:r>
              <w:rPr>
                <w:sz w:val="20"/>
              </w:rPr>
              <w:t>том</w:t>
            </w:r>
            <w:r>
              <w:rPr>
                <w:spacing w:val="-11"/>
                <w:sz w:val="20"/>
              </w:rPr>
              <w:t> </w:t>
            </w:r>
            <w:r>
              <w:rPr>
                <w:sz w:val="20"/>
              </w:rPr>
              <w:t>числе с использованием компьютерной навигации, и замещением дефекта костным аутотрансплантатом или опорными</w:t>
            </w:r>
            <w:r>
              <w:rPr>
                <w:spacing w:val="-7"/>
                <w:sz w:val="20"/>
              </w:rPr>
              <w:t> </w:t>
            </w:r>
            <w:r>
              <w:rPr>
                <w:sz w:val="20"/>
              </w:rPr>
              <w:t>блоками</w:t>
            </w:r>
            <w:r>
              <w:rPr>
                <w:spacing w:val="-7"/>
                <w:sz w:val="20"/>
              </w:rPr>
              <w:t> </w:t>
            </w:r>
            <w:r>
              <w:rPr>
                <w:sz w:val="20"/>
              </w:rPr>
              <w:t>из</w:t>
            </w:r>
            <w:r>
              <w:rPr>
                <w:spacing w:val="-6"/>
                <w:sz w:val="20"/>
              </w:rPr>
              <w:t> </w:t>
            </w:r>
            <w:r>
              <w:rPr>
                <w:sz w:val="20"/>
              </w:rPr>
              <w:t>трабекулярного </w:t>
            </w:r>
            <w:r>
              <w:rPr>
                <w:spacing w:val="-2"/>
                <w:sz w:val="20"/>
              </w:rPr>
              <w:t>металла</w:t>
            </w:r>
          </w:p>
        </w:tc>
        <w:tc>
          <w:tcPr>
            <w:tcW w:w="1004" w:type="dxa"/>
          </w:tcPr>
          <w:p>
            <w:pPr>
              <w:pStyle w:val="TableParagraph"/>
              <w:rPr>
                <w:sz w:val="18"/>
              </w:rPr>
            </w:pPr>
          </w:p>
        </w:tc>
      </w:tr>
      <w:tr>
        <w:trPr>
          <w:trHeight w:val="120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rPr>
                <w:sz w:val="18"/>
              </w:rPr>
            </w:pPr>
          </w:p>
        </w:tc>
        <w:tc>
          <w:tcPr>
            <w:tcW w:w="3171" w:type="dxa"/>
          </w:tcPr>
          <w:p>
            <w:pPr>
              <w:pStyle w:val="TableParagraph"/>
              <w:rPr>
                <w:sz w:val="18"/>
              </w:rPr>
            </w:pPr>
          </w:p>
        </w:tc>
        <w:tc>
          <w:tcPr>
            <w:tcW w:w="1538" w:type="dxa"/>
          </w:tcPr>
          <w:p>
            <w:pPr>
              <w:pStyle w:val="TableParagraph"/>
              <w:rPr>
                <w:sz w:val="18"/>
              </w:rPr>
            </w:pPr>
          </w:p>
        </w:tc>
        <w:tc>
          <w:tcPr>
            <w:tcW w:w="3878" w:type="dxa"/>
          </w:tcPr>
          <w:p>
            <w:pPr>
              <w:pStyle w:val="TableParagraph"/>
              <w:spacing w:line="249" w:lineRule="auto" w:before="120"/>
              <w:ind w:left="217" w:right="284"/>
              <w:rPr>
                <w:sz w:val="20"/>
              </w:rPr>
            </w:pPr>
            <w:r>
              <w:rPr>
                <w:sz w:val="20"/>
              </w:rPr>
              <w:t>артролиз и управляемое восстановление длины конечности посредством</w:t>
            </w:r>
            <w:r>
              <w:rPr>
                <w:spacing w:val="-13"/>
                <w:sz w:val="20"/>
              </w:rPr>
              <w:t> </w:t>
            </w:r>
            <w:r>
              <w:rPr>
                <w:sz w:val="20"/>
              </w:rPr>
              <w:t>применения</w:t>
            </w:r>
            <w:r>
              <w:rPr>
                <w:spacing w:val="-12"/>
                <w:sz w:val="20"/>
              </w:rPr>
              <w:t> </w:t>
            </w:r>
            <w:r>
              <w:rPr>
                <w:sz w:val="20"/>
              </w:rPr>
              <w:t>аппаратов внешней фиксации</w:t>
            </w:r>
          </w:p>
        </w:tc>
        <w:tc>
          <w:tcPr>
            <w:tcW w:w="1004" w:type="dxa"/>
          </w:tcPr>
          <w:p>
            <w:pPr>
              <w:pStyle w:val="TableParagraph"/>
              <w:rPr>
                <w:sz w:val="18"/>
              </w:rPr>
            </w:pPr>
          </w:p>
        </w:tc>
      </w:tr>
      <w:tr>
        <w:trPr>
          <w:trHeight w:val="168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rPr>
                <w:sz w:val="18"/>
              </w:rPr>
            </w:pPr>
          </w:p>
        </w:tc>
        <w:tc>
          <w:tcPr>
            <w:tcW w:w="3171" w:type="dxa"/>
          </w:tcPr>
          <w:p>
            <w:pPr>
              <w:pStyle w:val="TableParagraph"/>
              <w:rPr>
                <w:sz w:val="18"/>
              </w:rPr>
            </w:pPr>
          </w:p>
        </w:tc>
        <w:tc>
          <w:tcPr>
            <w:tcW w:w="1538" w:type="dxa"/>
          </w:tcPr>
          <w:p>
            <w:pPr>
              <w:pStyle w:val="TableParagraph"/>
              <w:rPr>
                <w:sz w:val="18"/>
              </w:rPr>
            </w:pPr>
          </w:p>
        </w:tc>
        <w:tc>
          <w:tcPr>
            <w:tcW w:w="3878" w:type="dxa"/>
          </w:tcPr>
          <w:p>
            <w:pPr>
              <w:pStyle w:val="TableParagraph"/>
              <w:spacing w:line="249" w:lineRule="auto" w:before="120"/>
              <w:ind w:left="217" w:right="284"/>
              <w:rPr>
                <w:sz w:val="20"/>
              </w:rPr>
            </w:pPr>
            <w:r>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w:t>
            </w:r>
            <w:r>
              <w:rPr>
                <w:spacing w:val="-13"/>
                <w:sz w:val="20"/>
              </w:rPr>
              <w:t> </w:t>
            </w:r>
            <w:r>
              <w:rPr>
                <w:sz w:val="20"/>
              </w:rPr>
              <w:t>удалением</w:t>
            </w:r>
            <w:r>
              <w:rPr>
                <w:spacing w:val="-12"/>
                <w:sz w:val="20"/>
              </w:rPr>
              <w:t> </w:t>
            </w:r>
            <w:r>
              <w:rPr>
                <w:sz w:val="20"/>
              </w:rPr>
              <w:t>аппарата внешней фиксации</w:t>
            </w:r>
          </w:p>
        </w:tc>
        <w:tc>
          <w:tcPr>
            <w:tcW w:w="1004" w:type="dxa"/>
          </w:tcPr>
          <w:p>
            <w:pPr>
              <w:pStyle w:val="TableParagraph"/>
              <w:rPr>
                <w:sz w:val="18"/>
              </w:rPr>
            </w:pPr>
          </w:p>
        </w:tc>
      </w:tr>
      <w:tr>
        <w:trPr>
          <w:trHeight w:val="2030" w:hRule="atLeast"/>
        </w:trPr>
        <w:tc>
          <w:tcPr>
            <w:tcW w:w="472" w:type="dxa"/>
          </w:tcPr>
          <w:p>
            <w:pPr>
              <w:pStyle w:val="TableParagraph"/>
              <w:spacing w:before="120"/>
              <w:ind w:left="50"/>
              <w:rPr>
                <w:sz w:val="20"/>
              </w:rPr>
            </w:pPr>
            <w:r>
              <w:rPr>
                <w:spacing w:val="-5"/>
                <w:sz w:val="20"/>
              </w:rPr>
              <w:t>55.</w:t>
            </w:r>
          </w:p>
        </w:tc>
        <w:tc>
          <w:tcPr>
            <w:tcW w:w="3028" w:type="dxa"/>
          </w:tcPr>
          <w:p>
            <w:pPr>
              <w:pStyle w:val="TableParagraph"/>
              <w:spacing w:line="240" w:lineRule="atLeast" w:before="90"/>
              <w:ind w:left="168"/>
              <w:rPr>
                <w:sz w:val="20"/>
              </w:rPr>
            </w:pPr>
            <w:r>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w:t>
            </w:r>
            <w:r>
              <w:rPr>
                <w:spacing w:val="-7"/>
                <w:sz w:val="20"/>
              </w:rPr>
              <w:t> </w:t>
            </w:r>
            <w:r>
              <w:rPr>
                <w:sz w:val="20"/>
              </w:rPr>
              <w:t>числе</w:t>
            </w:r>
            <w:r>
              <w:rPr>
                <w:spacing w:val="-5"/>
                <w:sz w:val="20"/>
              </w:rPr>
              <w:t> </w:t>
            </w:r>
            <w:r>
              <w:rPr>
                <w:sz w:val="20"/>
              </w:rPr>
              <w:t>у</w:t>
            </w:r>
            <w:r>
              <w:rPr>
                <w:spacing w:val="-11"/>
                <w:sz w:val="20"/>
              </w:rPr>
              <w:t> </w:t>
            </w:r>
            <w:r>
              <w:rPr>
                <w:sz w:val="20"/>
              </w:rPr>
              <w:t>детей,</w:t>
            </w:r>
            <w:r>
              <w:rPr>
                <w:spacing w:val="-4"/>
                <w:sz w:val="20"/>
              </w:rPr>
              <w:t> </w:t>
            </w:r>
            <w:r>
              <w:rPr>
                <w:sz w:val="20"/>
              </w:rPr>
              <w:t>в</w:t>
            </w:r>
            <w:r>
              <w:rPr>
                <w:spacing w:val="-8"/>
                <w:sz w:val="20"/>
              </w:rPr>
              <w:t> </w:t>
            </w:r>
            <w:r>
              <w:rPr>
                <w:sz w:val="20"/>
              </w:rPr>
              <w:t>сочетании</w:t>
            </w:r>
            <w:r>
              <w:rPr>
                <w:spacing w:val="-8"/>
                <w:sz w:val="20"/>
              </w:rPr>
              <w:t> </w:t>
            </w:r>
            <w:r>
              <w:rPr>
                <w:sz w:val="20"/>
              </w:rPr>
              <w:t>с</w:t>
            </w:r>
          </w:p>
        </w:tc>
        <w:tc>
          <w:tcPr>
            <w:tcW w:w="1953" w:type="dxa"/>
          </w:tcPr>
          <w:p>
            <w:pPr>
              <w:pStyle w:val="TableParagraph"/>
              <w:spacing w:line="249" w:lineRule="auto" w:before="120"/>
              <w:ind w:left="287" w:hanging="209"/>
              <w:rPr>
                <w:sz w:val="20"/>
              </w:rPr>
            </w:pPr>
            <w:hyperlink r:id="rId484">
              <w:r>
                <w:rPr>
                  <w:sz w:val="20"/>
                </w:rPr>
                <w:t>M40,</w:t>
              </w:r>
              <w:r>
                <w:rPr>
                  <w:spacing w:val="-13"/>
                  <w:sz w:val="20"/>
                </w:rPr>
                <w:t> </w:t>
              </w:r>
            </w:hyperlink>
            <w:hyperlink r:id="rId485">
              <w:r>
                <w:rPr>
                  <w:sz w:val="20"/>
                </w:rPr>
                <w:t>M41,</w:t>
              </w:r>
              <w:r>
                <w:rPr>
                  <w:spacing w:val="-11"/>
                  <w:sz w:val="20"/>
                </w:rPr>
                <w:t> </w:t>
              </w:r>
            </w:hyperlink>
            <w:hyperlink r:id="rId472">
              <w:r>
                <w:rPr>
                  <w:sz w:val="20"/>
                </w:rPr>
                <w:t>Q67,</w:t>
              </w:r>
              <w:r>
                <w:rPr>
                  <w:spacing w:val="-13"/>
                  <w:sz w:val="20"/>
                </w:rPr>
                <w:t> </w:t>
              </w:r>
            </w:hyperlink>
            <w:hyperlink r:id="rId486">
              <w:r>
                <w:rPr>
                  <w:sz w:val="20"/>
                </w:rPr>
                <w:t>Q76,</w:t>
              </w:r>
            </w:hyperlink>
            <w:r>
              <w:rPr>
                <w:sz w:val="20"/>
              </w:rPr>
              <w:t> </w:t>
            </w:r>
            <w:hyperlink r:id="rId487">
              <w:r>
                <w:rPr>
                  <w:sz w:val="20"/>
                </w:rPr>
                <w:t>Q77.4, </w:t>
              </w:r>
            </w:hyperlink>
            <w:hyperlink r:id="rId488">
              <w:r>
                <w:rPr>
                  <w:sz w:val="20"/>
                </w:rPr>
                <w:t>Q85, </w:t>
              </w:r>
            </w:hyperlink>
            <w:hyperlink r:id="rId489">
              <w:r>
                <w:rPr>
                  <w:sz w:val="20"/>
                </w:rPr>
                <w:t>Q87</w:t>
              </w:r>
            </w:hyperlink>
          </w:p>
        </w:tc>
        <w:tc>
          <w:tcPr>
            <w:tcW w:w="3171" w:type="dxa"/>
          </w:tcPr>
          <w:p>
            <w:pPr>
              <w:pStyle w:val="TableParagraph"/>
              <w:spacing w:line="249" w:lineRule="auto" w:before="120"/>
              <w:ind w:left="72" w:right="54"/>
              <w:rPr>
                <w:sz w:val="20"/>
              </w:rPr>
            </w:pPr>
            <w:r>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w:t>
            </w:r>
            <w:r>
              <w:rPr>
                <w:spacing w:val="-13"/>
                <w:sz w:val="20"/>
              </w:rPr>
              <w:t> </w:t>
            </w:r>
            <w:r>
              <w:rPr>
                <w:sz w:val="20"/>
              </w:rPr>
              <w:t>Нейрофиброматоз. Синдром Марфана</w:t>
            </w:r>
          </w:p>
        </w:tc>
        <w:tc>
          <w:tcPr>
            <w:tcW w:w="1538" w:type="dxa"/>
          </w:tcPr>
          <w:p>
            <w:pPr>
              <w:pStyle w:val="TableParagraph"/>
              <w:spacing w:line="249" w:lineRule="auto" w:before="120"/>
              <w:ind w:left="57"/>
              <w:rPr>
                <w:sz w:val="20"/>
              </w:rPr>
            </w:pPr>
            <w:r>
              <w:rPr>
                <w:spacing w:val="-2"/>
                <w:sz w:val="20"/>
              </w:rPr>
              <w:t>хирургическое лечение</w:t>
            </w:r>
          </w:p>
        </w:tc>
        <w:tc>
          <w:tcPr>
            <w:tcW w:w="3878" w:type="dxa"/>
          </w:tcPr>
          <w:p>
            <w:pPr>
              <w:pStyle w:val="TableParagraph"/>
              <w:spacing w:line="249" w:lineRule="auto" w:before="120"/>
              <w:ind w:left="217" w:right="402"/>
              <w:rPr>
                <w:sz w:val="20"/>
              </w:rPr>
            </w:pPr>
            <w:r>
              <w:rPr>
                <w:sz w:val="20"/>
              </w:rPr>
              <w:t>пластика</w:t>
            </w:r>
            <w:r>
              <w:rPr>
                <w:spacing w:val="-9"/>
                <w:sz w:val="20"/>
              </w:rPr>
              <w:t> </w:t>
            </w:r>
            <w:r>
              <w:rPr>
                <w:sz w:val="20"/>
              </w:rPr>
              <w:t>грудной</w:t>
            </w:r>
            <w:r>
              <w:rPr>
                <w:spacing w:val="-9"/>
                <w:sz w:val="20"/>
              </w:rPr>
              <w:t> </w:t>
            </w:r>
            <w:r>
              <w:rPr>
                <w:sz w:val="20"/>
              </w:rPr>
              <w:t>клетки,</w:t>
            </w:r>
            <w:r>
              <w:rPr>
                <w:spacing w:val="-9"/>
                <w:sz w:val="20"/>
              </w:rPr>
              <w:t> </w:t>
            </w:r>
            <w:r>
              <w:rPr>
                <w:sz w:val="20"/>
              </w:rPr>
              <w:t>в</w:t>
            </w:r>
            <w:r>
              <w:rPr>
                <w:spacing w:val="-8"/>
                <w:sz w:val="20"/>
              </w:rPr>
              <w:t> </w:t>
            </w:r>
            <w:r>
              <w:rPr>
                <w:sz w:val="20"/>
              </w:rPr>
              <w:t>том</w:t>
            </w:r>
            <w:r>
              <w:rPr>
                <w:spacing w:val="-9"/>
                <w:sz w:val="20"/>
              </w:rPr>
              <w:t> </w:t>
            </w:r>
            <w:r>
              <w:rPr>
                <w:sz w:val="20"/>
              </w:rPr>
              <w:t>числе с применением погружных </w:t>
            </w:r>
            <w:r>
              <w:rPr>
                <w:spacing w:val="-2"/>
                <w:sz w:val="20"/>
              </w:rPr>
              <w:t>фиксаторов</w:t>
            </w:r>
          </w:p>
        </w:tc>
        <w:tc>
          <w:tcPr>
            <w:tcW w:w="1004" w:type="dxa"/>
          </w:tcPr>
          <w:p>
            <w:pPr>
              <w:pStyle w:val="TableParagraph"/>
              <w:spacing w:before="120"/>
              <w:ind w:left="350"/>
              <w:rPr>
                <w:sz w:val="20"/>
              </w:rPr>
            </w:pPr>
            <w:r>
              <w:rPr>
                <w:spacing w:val="-2"/>
                <w:sz w:val="20"/>
              </w:rPr>
              <w:t>375053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98"/>
        <w:gridCol w:w="1967"/>
        <w:gridCol w:w="3172"/>
        <w:gridCol w:w="1552"/>
        <w:gridCol w:w="3697"/>
        <w:gridCol w:w="1186"/>
      </w:tblGrid>
      <w:tr>
        <w:trPr>
          <w:trHeight w:val="590" w:hRule="atLeast"/>
        </w:trPr>
        <w:tc>
          <w:tcPr>
            <w:tcW w:w="472" w:type="dxa"/>
          </w:tcPr>
          <w:p>
            <w:pPr>
              <w:pStyle w:val="TableParagraph"/>
              <w:rPr>
                <w:sz w:val="18"/>
              </w:rPr>
            </w:pPr>
          </w:p>
        </w:tc>
        <w:tc>
          <w:tcPr>
            <w:tcW w:w="2998" w:type="dxa"/>
          </w:tcPr>
          <w:p>
            <w:pPr>
              <w:pStyle w:val="TableParagraph"/>
              <w:spacing w:line="249" w:lineRule="auto"/>
              <w:ind w:left="168"/>
              <w:rPr>
                <w:sz w:val="20"/>
              </w:rPr>
            </w:pPr>
            <w:r>
              <w:rPr>
                <w:sz w:val="20"/>
              </w:rPr>
              <w:t>аномалией</w:t>
            </w:r>
            <w:r>
              <w:rPr>
                <w:spacing w:val="-13"/>
                <w:sz w:val="20"/>
              </w:rPr>
              <w:t> </w:t>
            </w:r>
            <w:r>
              <w:rPr>
                <w:sz w:val="20"/>
              </w:rPr>
              <w:t>развития</w:t>
            </w:r>
            <w:r>
              <w:rPr>
                <w:spacing w:val="-12"/>
                <w:sz w:val="20"/>
              </w:rPr>
              <w:t> </w:t>
            </w:r>
            <w:r>
              <w:rPr>
                <w:sz w:val="20"/>
              </w:rPr>
              <w:t>грудной </w:t>
            </w:r>
            <w:r>
              <w:rPr>
                <w:spacing w:val="-2"/>
                <w:sz w:val="20"/>
              </w:rPr>
              <w:t>клетки</w:t>
            </w:r>
          </w:p>
        </w:tc>
        <w:tc>
          <w:tcPr>
            <w:tcW w:w="1967" w:type="dxa"/>
          </w:tcPr>
          <w:p>
            <w:pPr>
              <w:pStyle w:val="TableParagraph"/>
              <w:rPr>
                <w:sz w:val="18"/>
              </w:rPr>
            </w:pPr>
          </w:p>
        </w:tc>
        <w:tc>
          <w:tcPr>
            <w:tcW w:w="3172" w:type="dxa"/>
          </w:tcPr>
          <w:p>
            <w:pPr>
              <w:pStyle w:val="TableParagraph"/>
              <w:rPr>
                <w:sz w:val="18"/>
              </w:rPr>
            </w:pPr>
          </w:p>
        </w:tc>
        <w:tc>
          <w:tcPr>
            <w:tcW w:w="1552" w:type="dxa"/>
          </w:tcPr>
          <w:p>
            <w:pPr>
              <w:pStyle w:val="TableParagraph"/>
              <w:rPr>
                <w:sz w:val="18"/>
              </w:rPr>
            </w:pPr>
          </w:p>
        </w:tc>
        <w:tc>
          <w:tcPr>
            <w:tcW w:w="3697" w:type="dxa"/>
          </w:tcPr>
          <w:p>
            <w:pPr>
              <w:pStyle w:val="TableParagraph"/>
              <w:rPr>
                <w:sz w:val="18"/>
              </w:rPr>
            </w:pPr>
          </w:p>
        </w:tc>
        <w:tc>
          <w:tcPr>
            <w:tcW w:w="1186" w:type="dxa"/>
          </w:tcPr>
          <w:p>
            <w:pPr>
              <w:pStyle w:val="TableParagraph"/>
              <w:rPr>
                <w:sz w:val="18"/>
              </w:rPr>
            </w:pPr>
          </w:p>
        </w:tc>
      </w:tr>
      <w:tr>
        <w:trPr>
          <w:trHeight w:val="480" w:hRule="atLeast"/>
        </w:trPr>
        <w:tc>
          <w:tcPr>
            <w:tcW w:w="472" w:type="dxa"/>
          </w:tcPr>
          <w:p>
            <w:pPr>
              <w:pStyle w:val="TableParagraph"/>
              <w:rPr>
                <w:sz w:val="18"/>
              </w:rPr>
            </w:pPr>
          </w:p>
        </w:tc>
        <w:tc>
          <w:tcPr>
            <w:tcW w:w="2998" w:type="dxa"/>
          </w:tcPr>
          <w:p>
            <w:pPr>
              <w:pStyle w:val="TableParagraph"/>
              <w:rPr>
                <w:sz w:val="18"/>
              </w:rPr>
            </w:pPr>
          </w:p>
        </w:tc>
        <w:tc>
          <w:tcPr>
            <w:tcW w:w="1967" w:type="dxa"/>
          </w:tcPr>
          <w:p>
            <w:pPr>
              <w:pStyle w:val="TableParagraph"/>
              <w:rPr>
                <w:sz w:val="18"/>
              </w:rPr>
            </w:pPr>
          </w:p>
        </w:tc>
        <w:tc>
          <w:tcPr>
            <w:tcW w:w="3172" w:type="dxa"/>
          </w:tcPr>
          <w:p>
            <w:pPr>
              <w:pStyle w:val="TableParagraph"/>
              <w:spacing w:before="120"/>
              <w:ind w:left="1831"/>
              <w:rPr>
                <w:sz w:val="20"/>
              </w:rPr>
            </w:pPr>
            <w:r>
              <w:rPr>
                <w:spacing w:val="-2"/>
                <w:sz w:val="20"/>
              </w:rPr>
              <w:t>Урология</w:t>
            </w:r>
          </w:p>
        </w:tc>
        <w:tc>
          <w:tcPr>
            <w:tcW w:w="1552" w:type="dxa"/>
          </w:tcPr>
          <w:p>
            <w:pPr>
              <w:pStyle w:val="TableParagraph"/>
              <w:rPr>
                <w:sz w:val="18"/>
              </w:rPr>
            </w:pPr>
          </w:p>
        </w:tc>
        <w:tc>
          <w:tcPr>
            <w:tcW w:w="3697" w:type="dxa"/>
          </w:tcPr>
          <w:p>
            <w:pPr>
              <w:pStyle w:val="TableParagraph"/>
              <w:rPr>
                <w:sz w:val="18"/>
              </w:rPr>
            </w:pPr>
          </w:p>
        </w:tc>
        <w:tc>
          <w:tcPr>
            <w:tcW w:w="1186" w:type="dxa"/>
          </w:tcPr>
          <w:p>
            <w:pPr>
              <w:pStyle w:val="TableParagraph"/>
              <w:rPr>
                <w:sz w:val="18"/>
              </w:rPr>
            </w:pPr>
          </w:p>
        </w:tc>
      </w:tr>
      <w:tr>
        <w:trPr>
          <w:trHeight w:val="2959" w:hRule="atLeast"/>
        </w:trPr>
        <w:tc>
          <w:tcPr>
            <w:tcW w:w="472" w:type="dxa"/>
          </w:tcPr>
          <w:p>
            <w:pPr>
              <w:pStyle w:val="TableParagraph"/>
              <w:spacing w:before="120"/>
              <w:ind w:left="50"/>
              <w:rPr>
                <w:sz w:val="20"/>
              </w:rPr>
            </w:pPr>
            <w:r>
              <w:rPr>
                <w:spacing w:val="-5"/>
                <w:sz w:val="20"/>
              </w:rPr>
              <w:t>56.</w:t>
            </w:r>
          </w:p>
        </w:tc>
        <w:tc>
          <w:tcPr>
            <w:tcW w:w="2998" w:type="dxa"/>
          </w:tcPr>
          <w:p>
            <w:pPr>
              <w:pStyle w:val="TableParagraph"/>
              <w:spacing w:line="249" w:lineRule="auto" w:before="120"/>
              <w:ind w:left="168"/>
              <w:rPr>
                <w:sz w:val="20"/>
              </w:rPr>
            </w:pPr>
            <w:r>
              <w:rPr>
                <w:spacing w:val="-2"/>
                <w:sz w:val="20"/>
              </w:rPr>
              <w:t>Реконструктивно-пластические </w:t>
            </w:r>
            <w:r>
              <w:rPr>
                <w:sz w:val="20"/>
              </w:rPr>
              <w:t>операции на органах мочеполовой системы, включающие кишечную пластику мочевых путей, реимплантацию</w:t>
            </w:r>
            <w:r>
              <w:rPr>
                <w:spacing w:val="-13"/>
                <w:sz w:val="20"/>
              </w:rPr>
              <w:t> </w:t>
            </w:r>
            <w:r>
              <w:rPr>
                <w:sz w:val="20"/>
              </w:rPr>
              <w:t>мочеточников, пластику мочевых путей с использованием аутологичных лоскутов, коррекцию урогенитальных свищей</w:t>
            </w:r>
          </w:p>
        </w:tc>
        <w:tc>
          <w:tcPr>
            <w:tcW w:w="1967" w:type="dxa"/>
          </w:tcPr>
          <w:p>
            <w:pPr>
              <w:pStyle w:val="TableParagraph"/>
              <w:spacing w:line="249" w:lineRule="auto" w:before="120"/>
              <w:ind w:left="139" w:right="90"/>
              <w:jc w:val="center"/>
              <w:rPr>
                <w:sz w:val="20"/>
              </w:rPr>
            </w:pPr>
            <w:hyperlink r:id="rId490">
              <w:r>
                <w:rPr>
                  <w:sz w:val="20"/>
                </w:rPr>
                <w:t>N13.0,</w:t>
              </w:r>
              <w:r>
                <w:rPr>
                  <w:spacing w:val="-13"/>
                  <w:sz w:val="20"/>
                </w:rPr>
                <w:t> </w:t>
              </w:r>
            </w:hyperlink>
            <w:hyperlink r:id="rId491">
              <w:r>
                <w:rPr>
                  <w:sz w:val="20"/>
                </w:rPr>
                <w:t>N13.1,</w:t>
              </w:r>
              <w:r>
                <w:rPr>
                  <w:spacing w:val="-12"/>
                  <w:sz w:val="20"/>
                </w:rPr>
                <w:t> </w:t>
              </w:r>
            </w:hyperlink>
            <w:hyperlink r:id="rId492">
              <w:r>
                <w:rPr>
                  <w:sz w:val="20"/>
                </w:rPr>
                <w:t>N13.2,</w:t>
              </w:r>
            </w:hyperlink>
            <w:r>
              <w:rPr>
                <w:sz w:val="20"/>
              </w:rPr>
              <w:t> </w:t>
            </w:r>
            <w:hyperlink r:id="rId493">
              <w:r>
                <w:rPr>
                  <w:sz w:val="20"/>
                </w:rPr>
                <w:t>N35, </w:t>
              </w:r>
            </w:hyperlink>
            <w:hyperlink r:id="rId494">
              <w:r>
                <w:rPr>
                  <w:sz w:val="20"/>
                </w:rPr>
                <w:t>Q54, </w:t>
              </w:r>
            </w:hyperlink>
            <w:hyperlink r:id="rId495">
              <w:r>
                <w:rPr>
                  <w:sz w:val="20"/>
                </w:rPr>
                <w:t>Q64.0,</w:t>
              </w:r>
            </w:hyperlink>
            <w:r>
              <w:rPr>
                <w:sz w:val="20"/>
              </w:rPr>
              <w:t> </w:t>
            </w:r>
            <w:hyperlink r:id="rId496">
              <w:r>
                <w:rPr>
                  <w:sz w:val="20"/>
                </w:rPr>
                <w:t>Q64.1,</w:t>
              </w:r>
              <w:r>
                <w:rPr>
                  <w:spacing w:val="-13"/>
                  <w:sz w:val="20"/>
                </w:rPr>
                <w:t> </w:t>
              </w:r>
            </w:hyperlink>
            <w:hyperlink r:id="rId497">
              <w:r>
                <w:rPr>
                  <w:sz w:val="20"/>
                </w:rPr>
                <w:t>Q62.1,</w:t>
              </w:r>
              <w:r>
                <w:rPr>
                  <w:spacing w:val="-12"/>
                  <w:sz w:val="20"/>
                </w:rPr>
                <w:t> </w:t>
              </w:r>
            </w:hyperlink>
            <w:hyperlink r:id="rId498">
              <w:r>
                <w:rPr>
                  <w:sz w:val="20"/>
                </w:rPr>
                <w:t>Q62.2,</w:t>
              </w:r>
            </w:hyperlink>
          </w:p>
          <w:p>
            <w:pPr>
              <w:pStyle w:val="TableParagraph"/>
              <w:spacing w:before="3"/>
              <w:ind w:left="139" w:right="90"/>
              <w:jc w:val="center"/>
              <w:rPr>
                <w:sz w:val="20"/>
              </w:rPr>
            </w:pPr>
            <w:hyperlink r:id="rId499">
              <w:r>
                <w:rPr>
                  <w:sz w:val="20"/>
                </w:rPr>
                <w:t>Q62.3,</w:t>
              </w:r>
              <w:r>
                <w:rPr>
                  <w:spacing w:val="-3"/>
                  <w:sz w:val="20"/>
                </w:rPr>
                <w:t> </w:t>
              </w:r>
            </w:hyperlink>
            <w:hyperlink r:id="rId500">
              <w:r>
                <w:rPr>
                  <w:sz w:val="20"/>
                </w:rPr>
                <w:t>Q62.7,</w:t>
              </w:r>
              <w:r>
                <w:rPr>
                  <w:spacing w:val="-4"/>
                  <w:sz w:val="20"/>
                </w:rPr>
                <w:t> </w:t>
              </w:r>
            </w:hyperlink>
            <w:hyperlink r:id="rId124">
              <w:r>
                <w:rPr>
                  <w:spacing w:val="-4"/>
                  <w:sz w:val="20"/>
                </w:rPr>
                <w:t>C67,</w:t>
              </w:r>
            </w:hyperlink>
          </w:p>
          <w:p>
            <w:pPr>
              <w:pStyle w:val="TableParagraph"/>
              <w:spacing w:line="249" w:lineRule="auto" w:before="10"/>
              <w:ind w:left="139" w:right="90"/>
              <w:jc w:val="center"/>
              <w:rPr>
                <w:sz w:val="20"/>
              </w:rPr>
            </w:pPr>
            <w:hyperlink r:id="rId501">
              <w:r>
                <w:rPr>
                  <w:sz w:val="20"/>
                </w:rPr>
                <w:t>N82.1,</w:t>
              </w:r>
              <w:r>
                <w:rPr>
                  <w:spacing w:val="-13"/>
                  <w:sz w:val="20"/>
                </w:rPr>
                <w:t> </w:t>
              </w:r>
            </w:hyperlink>
            <w:hyperlink r:id="rId502">
              <w:r>
                <w:rPr>
                  <w:sz w:val="20"/>
                </w:rPr>
                <w:t>N82.8,</w:t>
              </w:r>
              <w:r>
                <w:rPr>
                  <w:spacing w:val="-12"/>
                  <w:sz w:val="20"/>
                </w:rPr>
                <w:t> </w:t>
              </w:r>
            </w:hyperlink>
            <w:hyperlink r:id="rId503">
              <w:r>
                <w:rPr>
                  <w:sz w:val="20"/>
                </w:rPr>
                <w:t>N82.0,</w:t>
              </w:r>
            </w:hyperlink>
            <w:r>
              <w:rPr>
                <w:sz w:val="20"/>
              </w:rPr>
              <w:t> </w:t>
            </w:r>
            <w:hyperlink r:id="rId504">
              <w:r>
                <w:rPr>
                  <w:sz w:val="20"/>
                </w:rPr>
                <w:t>N32.2, </w:t>
              </w:r>
            </w:hyperlink>
            <w:hyperlink r:id="rId505">
              <w:r>
                <w:rPr>
                  <w:sz w:val="20"/>
                </w:rPr>
                <w:t>N33.8</w:t>
              </w:r>
            </w:hyperlink>
          </w:p>
        </w:tc>
        <w:tc>
          <w:tcPr>
            <w:tcW w:w="3172" w:type="dxa"/>
            <w:vMerge w:val="restart"/>
          </w:tcPr>
          <w:p>
            <w:pPr>
              <w:pStyle w:val="TableParagraph"/>
              <w:spacing w:line="249" w:lineRule="auto" w:before="120"/>
              <w:ind w:left="88"/>
              <w:rPr>
                <w:sz w:val="20"/>
              </w:rPr>
            </w:pPr>
            <w:r>
              <w:rPr>
                <w:sz w:val="20"/>
              </w:rPr>
              <w:t>стриктура</w:t>
            </w:r>
            <w:r>
              <w:rPr>
                <w:spacing w:val="-13"/>
                <w:sz w:val="20"/>
              </w:rPr>
              <w:t> </w:t>
            </w:r>
            <w:r>
              <w:rPr>
                <w:sz w:val="20"/>
              </w:rPr>
              <w:t>мочеточника.</w:t>
            </w:r>
            <w:r>
              <w:rPr>
                <w:spacing w:val="-12"/>
                <w:sz w:val="20"/>
              </w:rPr>
              <w:t> </w:t>
            </w:r>
            <w:r>
              <w:rPr>
                <w:sz w:val="20"/>
              </w:rPr>
              <w:t>Стриктура уретры. Сморщенный мочевой пузырь. Гипоспадия. Эписпадия.</w:t>
            </w:r>
          </w:p>
          <w:p>
            <w:pPr>
              <w:pStyle w:val="TableParagraph"/>
              <w:spacing w:line="249" w:lineRule="auto" w:before="3"/>
              <w:ind w:left="88" w:right="99"/>
              <w:rPr>
                <w:sz w:val="20"/>
              </w:rPr>
            </w:pPr>
            <w:r>
              <w:rPr>
                <w:sz w:val="20"/>
              </w:rPr>
              <w:t>Экстрофия мочевого пузыря. Врожденный</w:t>
            </w:r>
            <w:r>
              <w:rPr>
                <w:spacing w:val="-13"/>
                <w:sz w:val="20"/>
              </w:rPr>
              <w:t> </w:t>
            </w:r>
            <w:r>
              <w:rPr>
                <w:sz w:val="20"/>
              </w:rPr>
              <w:t>уретерогидронефроз. Врожденный мегауретер.</w:t>
            </w:r>
          </w:p>
          <w:p>
            <w:pPr>
              <w:pStyle w:val="TableParagraph"/>
              <w:spacing w:line="249" w:lineRule="auto" w:before="2"/>
              <w:ind w:left="88"/>
              <w:rPr>
                <w:sz w:val="20"/>
              </w:rPr>
            </w:pPr>
            <w:r>
              <w:rPr>
                <w:sz w:val="20"/>
              </w:rPr>
              <w:t>Врожденное</w:t>
            </w:r>
            <w:r>
              <w:rPr>
                <w:spacing w:val="-13"/>
                <w:sz w:val="20"/>
              </w:rPr>
              <w:t> </w:t>
            </w:r>
            <w:r>
              <w:rPr>
                <w:sz w:val="20"/>
              </w:rPr>
              <w:t>уретероцеле,</w:t>
            </w:r>
            <w:r>
              <w:rPr>
                <w:spacing w:val="-12"/>
                <w:sz w:val="20"/>
              </w:rPr>
              <w:t> </w:t>
            </w:r>
            <w:r>
              <w:rPr>
                <w:sz w:val="20"/>
              </w:rPr>
              <w:t>в</w:t>
            </w:r>
            <w:r>
              <w:rPr>
                <w:spacing w:val="-13"/>
                <w:sz w:val="20"/>
              </w:rPr>
              <w:t> </w:t>
            </w:r>
            <w:r>
              <w:rPr>
                <w:sz w:val="20"/>
              </w:rPr>
              <w:t>том числе при удвоении почки.</w:t>
            </w:r>
          </w:p>
          <w:p>
            <w:pPr>
              <w:pStyle w:val="TableParagraph"/>
              <w:spacing w:line="249" w:lineRule="auto" w:before="2"/>
              <w:ind w:left="88" w:right="268"/>
              <w:rPr>
                <w:sz w:val="20"/>
              </w:rPr>
            </w:pPr>
            <w:r>
              <w:rPr>
                <w:sz w:val="20"/>
              </w:rPr>
              <w:t>Врожденный пузырно- мочеточниковый рефлюкс. Опухоль мочевого пузыря. Урогенитальный свищ, осложненный,</w:t>
            </w:r>
            <w:r>
              <w:rPr>
                <w:spacing w:val="-13"/>
                <w:sz w:val="20"/>
              </w:rPr>
              <w:t> </w:t>
            </w:r>
            <w:r>
              <w:rPr>
                <w:sz w:val="20"/>
              </w:rPr>
              <w:t>рецидивирующий</w:t>
            </w:r>
          </w:p>
        </w:tc>
        <w:tc>
          <w:tcPr>
            <w:tcW w:w="1552" w:type="dxa"/>
          </w:tcPr>
          <w:p>
            <w:pPr>
              <w:pStyle w:val="TableParagraph"/>
              <w:spacing w:line="249" w:lineRule="auto" w:before="120"/>
              <w:ind w:left="72"/>
              <w:rPr>
                <w:sz w:val="20"/>
              </w:rPr>
            </w:pPr>
            <w:r>
              <w:rPr>
                <w:spacing w:val="-2"/>
                <w:sz w:val="20"/>
              </w:rPr>
              <w:t>хирургическое лечение</w:t>
            </w:r>
          </w:p>
        </w:tc>
        <w:tc>
          <w:tcPr>
            <w:tcW w:w="3697" w:type="dxa"/>
          </w:tcPr>
          <w:p>
            <w:pPr>
              <w:pStyle w:val="TableParagraph"/>
              <w:spacing w:before="120"/>
              <w:ind w:left="218"/>
              <w:rPr>
                <w:sz w:val="20"/>
              </w:rPr>
            </w:pPr>
            <w:r>
              <w:rPr>
                <w:sz w:val="20"/>
              </w:rPr>
              <w:t>уретропластика</w:t>
            </w:r>
            <w:r>
              <w:rPr>
                <w:spacing w:val="-12"/>
                <w:sz w:val="20"/>
              </w:rPr>
              <w:t> </w:t>
            </w:r>
            <w:r>
              <w:rPr>
                <w:sz w:val="20"/>
              </w:rPr>
              <w:t>кожным</w:t>
            </w:r>
            <w:r>
              <w:rPr>
                <w:spacing w:val="-10"/>
                <w:sz w:val="20"/>
              </w:rPr>
              <w:t> </w:t>
            </w:r>
            <w:r>
              <w:rPr>
                <w:spacing w:val="-2"/>
                <w:sz w:val="20"/>
              </w:rPr>
              <w:t>лоскутом</w:t>
            </w:r>
          </w:p>
          <w:p>
            <w:pPr>
              <w:pStyle w:val="TableParagraph"/>
              <w:spacing w:before="3"/>
              <w:rPr>
                <w:sz w:val="18"/>
              </w:rPr>
            </w:pPr>
          </w:p>
          <w:p>
            <w:pPr>
              <w:pStyle w:val="TableParagraph"/>
              <w:ind w:left="218"/>
              <w:rPr>
                <w:sz w:val="20"/>
              </w:rPr>
            </w:pPr>
            <w:r>
              <w:rPr>
                <w:sz w:val="20"/>
              </w:rPr>
              <w:t>кишечная</w:t>
            </w:r>
            <w:r>
              <w:rPr>
                <w:spacing w:val="-10"/>
                <w:sz w:val="20"/>
              </w:rPr>
              <w:t> </w:t>
            </w:r>
            <w:r>
              <w:rPr>
                <w:sz w:val="20"/>
              </w:rPr>
              <w:t>пластика</w:t>
            </w:r>
            <w:r>
              <w:rPr>
                <w:spacing w:val="-9"/>
                <w:sz w:val="20"/>
              </w:rPr>
              <w:t> </w:t>
            </w:r>
            <w:r>
              <w:rPr>
                <w:spacing w:val="-2"/>
                <w:sz w:val="20"/>
              </w:rPr>
              <w:t>мочеточника</w:t>
            </w:r>
          </w:p>
          <w:p>
            <w:pPr>
              <w:pStyle w:val="TableParagraph"/>
              <w:spacing w:before="2"/>
              <w:rPr>
                <w:sz w:val="18"/>
              </w:rPr>
            </w:pPr>
          </w:p>
          <w:p>
            <w:pPr>
              <w:pStyle w:val="TableParagraph"/>
              <w:spacing w:line="249" w:lineRule="auto"/>
              <w:ind w:left="218" w:right="543"/>
              <w:rPr>
                <w:sz w:val="20"/>
              </w:rPr>
            </w:pPr>
            <w:r>
              <w:rPr>
                <w:sz w:val="20"/>
              </w:rPr>
              <w:t>уретероцистоанастомоз</w:t>
            </w:r>
            <w:r>
              <w:rPr>
                <w:spacing w:val="-13"/>
                <w:sz w:val="20"/>
              </w:rPr>
              <w:t> </w:t>
            </w:r>
            <w:r>
              <w:rPr>
                <w:sz w:val="20"/>
              </w:rPr>
              <w:t>(операция Боари), в том числе у детей</w:t>
            </w:r>
          </w:p>
          <w:p>
            <w:pPr>
              <w:pStyle w:val="TableParagraph"/>
              <w:spacing w:before="8"/>
              <w:rPr>
                <w:sz w:val="17"/>
              </w:rPr>
            </w:pPr>
          </w:p>
          <w:p>
            <w:pPr>
              <w:pStyle w:val="TableParagraph"/>
              <w:spacing w:line="249" w:lineRule="auto"/>
              <w:ind w:left="218" w:right="1086"/>
              <w:rPr>
                <w:sz w:val="20"/>
              </w:rPr>
            </w:pPr>
            <w:r>
              <w:rPr>
                <w:sz w:val="20"/>
              </w:rPr>
              <w:t>уретероцистоанастомоз</w:t>
            </w:r>
            <w:r>
              <w:rPr>
                <w:spacing w:val="-13"/>
                <w:sz w:val="20"/>
              </w:rPr>
              <w:t> </w:t>
            </w:r>
            <w:r>
              <w:rPr>
                <w:sz w:val="20"/>
              </w:rPr>
              <w:t>при рецидивных формах </w:t>
            </w:r>
            <w:r>
              <w:rPr>
                <w:spacing w:val="-2"/>
                <w:sz w:val="20"/>
              </w:rPr>
              <w:t>уретерогидронефроза</w:t>
            </w:r>
          </w:p>
          <w:p>
            <w:pPr>
              <w:pStyle w:val="TableParagraph"/>
              <w:spacing w:before="6"/>
              <w:rPr>
                <w:sz w:val="17"/>
              </w:rPr>
            </w:pPr>
          </w:p>
          <w:p>
            <w:pPr>
              <w:pStyle w:val="TableParagraph"/>
              <w:ind w:left="218"/>
              <w:rPr>
                <w:sz w:val="20"/>
              </w:rPr>
            </w:pPr>
            <w:r>
              <w:rPr>
                <w:sz w:val="20"/>
              </w:rPr>
              <w:t>уретероилеосигмостомия</w:t>
            </w:r>
            <w:r>
              <w:rPr>
                <w:spacing w:val="-13"/>
                <w:sz w:val="20"/>
              </w:rPr>
              <w:t> </w:t>
            </w:r>
            <w:r>
              <w:rPr>
                <w:sz w:val="20"/>
              </w:rPr>
              <w:t>у</w:t>
            </w:r>
            <w:r>
              <w:rPr>
                <w:spacing w:val="-12"/>
                <w:sz w:val="20"/>
              </w:rPr>
              <w:t> </w:t>
            </w:r>
            <w:r>
              <w:rPr>
                <w:spacing w:val="-2"/>
                <w:sz w:val="20"/>
              </w:rPr>
              <w:t>детей</w:t>
            </w:r>
          </w:p>
        </w:tc>
        <w:tc>
          <w:tcPr>
            <w:tcW w:w="1186" w:type="dxa"/>
          </w:tcPr>
          <w:p>
            <w:pPr>
              <w:pStyle w:val="TableParagraph"/>
              <w:spacing w:before="120"/>
              <w:ind w:left="531"/>
              <w:rPr>
                <w:sz w:val="20"/>
              </w:rPr>
            </w:pPr>
            <w:r>
              <w:rPr>
                <w:spacing w:val="-2"/>
                <w:sz w:val="20"/>
              </w:rPr>
              <w:t>103859</w:t>
            </w:r>
          </w:p>
        </w:tc>
      </w:tr>
      <w:tr>
        <w:trPr>
          <w:trHeight w:val="699" w:hRule="atLeast"/>
        </w:trPr>
        <w:tc>
          <w:tcPr>
            <w:tcW w:w="472" w:type="dxa"/>
            <w:vMerge w:val="restart"/>
          </w:tcPr>
          <w:p>
            <w:pPr>
              <w:pStyle w:val="TableParagraph"/>
              <w:rPr>
                <w:sz w:val="18"/>
              </w:rPr>
            </w:pPr>
          </w:p>
        </w:tc>
        <w:tc>
          <w:tcPr>
            <w:tcW w:w="2998" w:type="dxa"/>
            <w:vMerge w:val="restart"/>
          </w:tcPr>
          <w:p>
            <w:pPr>
              <w:pStyle w:val="TableParagraph"/>
              <w:rPr>
                <w:sz w:val="18"/>
              </w:rPr>
            </w:pPr>
          </w:p>
        </w:tc>
        <w:tc>
          <w:tcPr>
            <w:tcW w:w="1967" w:type="dxa"/>
            <w:vMerge w:val="restart"/>
          </w:tcPr>
          <w:p>
            <w:pPr>
              <w:pStyle w:val="TableParagraph"/>
              <w:rPr>
                <w:sz w:val="18"/>
              </w:rPr>
            </w:pPr>
          </w:p>
        </w:tc>
        <w:tc>
          <w:tcPr>
            <w:tcW w:w="3172" w:type="dxa"/>
            <w:vMerge/>
            <w:tcBorders>
              <w:top w:val="nil"/>
            </w:tcBorders>
          </w:tcPr>
          <w:p>
            <w:pPr>
              <w:rPr>
                <w:sz w:val="2"/>
                <w:szCs w:val="2"/>
              </w:rPr>
            </w:pPr>
          </w:p>
        </w:tc>
        <w:tc>
          <w:tcPr>
            <w:tcW w:w="1552" w:type="dxa"/>
            <w:vMerge w:val="restart"/>
          </w:tcPr>
          <w:p>
            <w:pPr>
              <w:pStyle w:val="TableParagraph"/>
              <w:rPr>
                <w:sz w:val="18"/>
              </w:rPr>
            </w:pPr>
          </w:p>
        </w:tc>
        <w:tc>
          <w:tcPr>
            <w:tcW w:w="3697" w:type="dxa"/>
          </w:tcPr>
          <w:p>
            <w:pPr>
              <w:pStyle w:val="TableParagraph"/>
              <w:spacing w:line="249" w:lineRule="auto" w:before="120"/>
              <w:ind w:left="218"/>
              <w:rPr>
                <w:sz w:val="20"/>
              </w:rPr>
            </w:pPr>
            <w:r>
              <w:rPr>
                <w:sz w:val="20"/>
              </w:rPr>
              <w:t>эндоскопическое бужирование и стентирование</w:t>
            </w:r>
            <w:r>
              <w:rPr>
                <w:spacing w:val="-13"/>
                <w:sz w:val="20"/>
              </w:rPr>
              <w:t> </w:t>
            </w:r>
            <w:r>
              <w:rPr>
                <w:sz w:val="20"/>
              </w:rPr>
              <w:t>мочеточника</w:t>
            </w:r>
            <w:r>
              <w:rPr>
                <w:spacing w:val="-12"/>
                <w:sz w:val="20"/>
              </w:rPr>
              <w:t> </w:t>
            </w:r>
            <w:r>
              <w:rPr>
                <w:sz w:val="20"/>
              </w:rPr>
              <w:t>у</w:t>
            </w:r>
            <w:r>
              <w:rPr>
                <w:spacing w:val="-13"/>
                <w:sz w:val="20"/>
              </w:rPr>
              <w:t> </w:t>
            </w:r>
            <w:r>
              <w:rPr>
                <w:sz w:val="20"/>
              </w:rPr>
              <w:t>детей</w:t>
            </w:r>
          </w:p>
        </w:tc>
        <w:tc>
          <w:tcPr>
            <w:tcW w:w="1186" w:type="dxa"/>
            <w:vMerge w:val="restart"/>
          </w:tcPr>
          <w:p>
            <w:pPr>
              <w:pStyle w:val="TableParagraph"/>
              <w:rPr>
                <w:sz w:val="18"/>
              </w:rPr>
            </w:pPr>
          </w:p>
        </w:tc>
      </w:tr>
      <w:tr>
        <w:trPr>
          <w:trHeight w:val="920" w:hRule="atLeast"/>
        </w:trPr>
        <w:tc>
          <w:tcPr>
            <w:tcW w:w="472" w:type="dxa"/>
            <w:vMerge/>
            <w:tcBorders>
              <w:top w:val="nil"/>
            </w:tcBorders>
          </w:tcPr>
          <w:p>
            <w:pPr>
              <w:rPr>
                <w:sz w:val="2"/>
                <w:szCs w:val="2"/>
              </w:rPr>
            </w:pPr>
          </w:p>
        </w:tc>
        <w:tc>
          <w:tcPr>
            <w:tcW w:w="2998" w:type="dxa"/>
            <w:vMerge/>
            <w:tcBorders>
              <w:top w:val="nil"/>
            </w:tcBorders>
          </w:tcPr>
          <w:p>
            <w:pPr>
              <w:rPr>
                <w:sz w:val="2"/>
                <w:szCs w:val="2"/>
              </w:rPr>
            </w:pPr>
          </w:p>
        </w:tc>
        <w:tc>
          <w:tcPr>
            <w:tcW w:w="1967" w:type="dxa"/>
            <w:vMerge/>
            <w:tcBorders>
              <w:top w:val="nil"/>
            </w:tcBorders>
          </w:tcPr>
          <w:p>
            <w:pPr>
              <w:rPr>
                <w:sz w:val="2"/>
                <w:szCs w:val="2"/>
              </w:rPr>
            </w:pPr>
          </w:p>
        </w:tc>
        <w:tc>
          <w:tcPr>
            <w:tcW w:w="3172" w:type="dxa"/>
          </w:tcPr>
          <w:p>
            <w:pPr>
              <w:pStyle w:val="TableParagraph"/>
              <w:rPr>
                <w:sz w:val="18"/>
              </w:rPr>
            </w:pPr>
          </w:p>
        </w:tc>
        <w:tc>
          <w:tcPr>
            <w:tcW w:w="1552" w:type="dxa"/>
            <w:vMerge/>
            <w:tcBorders>
              <w:top w:val="nil"/>
            </w:tcBorders>
          </w:tcPr>
          <w:p>
            <w:pPr>
              <w:rPr>
                <w:sz w:val="2"/>
                <w:szCs w:val="2"/>
              </w:rPr>
            </w:pPr>
          </w:p>
        </w:tc>
        <w:tc>
          <w:tcPr>
            <w:tcW w:w="3697" w:type="dxa"/>
          </w:tcPr>
          <w:p>
            <w:pPr>
              <w:pStyle w:val="TableParagraph"/>
              <w:spacing w:line="249" w:lineRule="auto" w:before="100"/>
              <w:ind w:left="218" w:right="85"/>
              <w:rPr>
                <w:sz w:val="20"/>
              </w:rPr>
            </w:pPr>
            <w:r>
              <w:rPr>
                <w:sz w:val="20"/>
              </w:rPr>
              <w:t>цистопластика и восстановление уретры</w:t>
            </w:r>
            <w:r>
              <w:rPr>
                <w:spacing w:val="-11"/>
                <w:sz w:val="20"/>
              </w:rPr>
              <w:t> </w:t>
            </w:r>
            <w:r>
              <w:rPr>
                <w:sz w:val="20"/>
              </w:rPr>
              <w:t>при</w:t>
            </w:r>
            <w:r>
              <w:rPr>
                <w:spacing w:val="-11"/>
                <w:sz w:val="20"/>
              </w:rPr>
              <w:t> </w:t>
            </w:r>
            <w:r>
              <w:rPr>
                <w:sz w:val="20"/>
              </w:rPr>
              <w:t>гипоспадии,</w:t>
            </w:r>
            <w:r>
              <w:rPr>
                <w:spacing w:val="-11"/>
                <w:sz w:val="20"/>
              </w:rPr>
              <w:t> </w:t>
            </w:r>
            <w:r>
              <w:rPr>
                <w:sz w:val="20"/>
              </w:rPr>
              <w:t>эписпадии</w:t>
            </w:r>
            <w:r>
              <w:rPr>
                <w:spacing w:val="-10"/>
                <w:sz w:val="20"/>
              </w:rPr>
              <w:t> </w:t>
            </w:r>
            <w:r>
              <w:rPr>
                <w:sz w:val="20"/>
              </w:rPr>
              <w:t>и </w:t>
            </w:r>
            <w:r>
              <w:rPr>
                <w:spacing w:val="-2"/>
                <w:sz w:val="20"/>
              </w:rPr>
              <w:t>экстрофии</w:t>
            </w:r>
          </w:p>
        </w:tc>
        <w:tc>
          <w:tcPr>
            <w:tcW w:w="1186" w:type="dxa"/>
            <w:vMerge/>
            <w:tcBorders>
              <w:top w:val="nil"/>
            </w:tcBorders>
          </w:tcPr>
          <w:p>
            <w:pPr>
              <w:rPr>
                <w:sz w:val="2"/>
                <w:szCs w:val="2"/>
              </w:rPr>
            </w:pPr>
          </w:p>
        </w:tc>
      </w:tr>
      <w:tr>
        <w:trPr>
          <w:trHeight w:val="701" w:hRule="atLeast"/>
        </w:trPr>
        <w:tc>
          <w:tcPr>
            <w:tcW w:w="472" w:type="dxa"/>
            <w:vMerge/>
            <w:tcBorders>
              <w:top w:val="nil"/>
            </w:tcBorders>
          </w:tcPr>
          <w:p>
            <w:pPr>
              <w:rPr>
                <w:sz w:val="2"/>
                <w:szCs w:val="2"/>
              </w:rPr>
            </w:pPr>
          </w:p>
        </w:tc>
        <w:tc>
          <w:tcPr>
            <w:tcW w:w="2998" w:type="dxa"/>
            <w:vMerge/>
            <w:tcBorders>
              <w:top w:val="nil"/>
            </w:tcBorders>
          </w:tcPr>
          <w:p>
            <w:pPr>
              <w:rPr>
                <w:sz w:val="2"/>
                <w:szCs w:val="2"/>
              </w:rPr>
            </w:pPr>
          </w:p>
        </w:tc>
        <w:tc>
          <w:tcPr>
            <w:tcW w:w="1967" w:type="dxa"/>
            <w:vMerge/>
            <w:tcBorders>
              <w:top w:val="nil"/>
            </w:tcBorders>
          </w:tcPr>
          <w:p>
            <w:pPr>
              <w:rPr>
                <w:sz w:val="2"/>
                <w:szCs w:val="2"/>
              </w:rPr>
            </w:pPr>
          </w:p>
        </w:tc>
        <w:tc>
          <w:tcPr>
            <w:tcW w:w="3172" w:type="dxa"/>
          </w:tcPr>
          <w:p>
            <w:pPr>
              <w:pStyle w:val="TableParagraph"/>
              <w:rPr>
                <w:sz w:val="18"/>
              </w:rPr>
            </w:pPr>
          </w:p>
        </w:tc>
        <w:tc>
          <w:tcPr>
            <w:tcW w:w="1552" w:type="dxa"/>
            <w:vMerge/>
            <w:tcBorders>
              <w:top w:val="nil"/>
            </w:tcBorders>
          </w:tcPr>
          <w:p>
            <w:pPr>
              <w:rPr>
                <w:sz w:val="2"/>
                <w:szCs w:val="2"/>
              </w:rPr>
            </w:pPr>
          </w:p>
        </w:tc>
        <w:tc>
          <w:tcPr>
            <w:tcW w:w="3697" w:type="dxa"/>
          </w:tcPr>
          <w:p>
            <w:pPr>
              <w:pStyle w:val="TableParagraph"/>
              <w:spacing w:line="249" w:lineRule="auto" w:before="101"/>
              <w:ind w:left="218"/>
              <w:rPr>
                <w:sz w:val="20"/>
              </w:rPr>
            </w:pPr>
            <w:r>
              <w:rPr>
                <w:sz w:val="20"/>
              </w:rPr>
              <w:t>пластическое</w:t>
            </w:r>
            <w:r>
              <w:rPr>
                <w:spacing w:val="-13"/>
                <w:sz w:val="20"/>
              </w:rPr>
              <w:t> </w:t>
            </w:r>
            <w:r>
              <w:rPr>
                <w:sz w:val="20"/>
              </w:rPr>
              <w:t>ушивание</w:t>
            </w:r>
            <w:r>
              <w:rPr>
                <w:spacing w:val="-12"/>
                <w:sz w:val="20"/>
              </w:rPr>
              <w:t> </w:t>
            </w:r>
            <w:r>
              <w:rPr>
                <w:sz w:val="20"/>
              </w:rPr>
              <w:t>свища</w:t>
            </w:r>
            <w:r>
              <w:rPr>
                <w:spacing w:val="-13"/>
                <w:sz w:val="20"/>
              </w:rPr>
              <w:t> </w:t>
            </w:r>
            <w:r>
              <w:rPr>
                <w:sz w:val="20"/>
              </w:rPr>
              <w:t>с анатомической реконструкцией</w:t>
            </w:r>
          </w:p>
        </w:tc>
        <w:tc>
          <w:tcPr>
            <w:tcW w:w="1186" w:type="dxa"/>
            <w:vMerge/>
            <w:tcBorders>
              <w:top w:val="nil"/>
            </w:tcBorders>
          </w:tcPr>
          <w:p>
            <w:pPr>
              <w:rPr>
                <w:sz w:val="2"/>
                <w:szCs w:val="2"/>
              </w:rPr>
            </w:pPr>
          </w:p>
        </w:tc>
      </w:tr>
      <w:tr>
        <w:trPr>
          <w:trHeight w:val="960" w:hRule="atLeast"/>
        </w:trPr>
        <w:tc>
          <w:tcPr>
            <w:tcW w:w="472" w:type="dxa"/>
            <w:vMerge/>
            <w:tcBorders>
              <w:top w:val="nil"/>
            </w:tcBorders>
          </w:tcPr>
          <w:p>
            <w:pPr>
              <w:rPr>
                <w:sz w:val="2"/>
                <w:szCs w:val="2"/>
              </w:rPr>
            </w:pPr>
          </w:p>
        </w:tc>
        <w:tc>
          <w:tcPr>
            <w:tcW w:w="2998" w:type="dxa"/>
            <w:vMerge/>
            <w:tcBorders>
              <w:top w:val="nil"/>
            </w:tcBorders>
          </w:tcPr>
          <w:p>
            <w:pPr>
              <w:rPr>
                <w:sz w:val="2"/>
                <w:szCs w:val="2"/>
              </w:rPr>
            </w:pPr>
          </w:p>
        </w:tc>
        <w:tc>
          <w:tcPr>
            <w:tcW w:w="1967" w:type="dxa"/>
            <w:vMerge/>
            <w:tcBorders>
              <w:top w:val="nil"/>
            </w:tcBorders>
          </w:tcPr>
          <w:p>
            <w:pPr>
              <w:rPr>
                <w:sz w:val="2"/>
                <w:szCs w:val="2"/>
              </w:rPr>
            </w:pPr>
          </w:p>
        </w:tc>
        <w:tc>
          <w:tcPr>
            <w:tcW w:w="3172" w:type="dxa"/>
          </w:tcPr>
          <w:p>
            <w:pPr>
              <w:pStyle w:val="TableParagraph"/>
              <w:rPr>
                <w:sz w:val="18"/>
              </w:rPr>
            </w:pPr>
          </w:p>
        </w:tc>
        <w:tc>
          <w:tcPr>
            <w:tcW w:w="1552" w:type="dxa"/>
            <w:vMerge/>
            <w:tcBorders>
              <w:top w:val="nil"/>
            </w:tcBorders>
          </w:tcPr>
          <w:p>
            <w:pPr>
              <w:rPr>
                <w:sz w:val="2"/>
                <w:szCs w:val="2"/>
              </w:rPr>
            </w:pPr>
          </w:p>
        </w:tc>
        <w:tc>
          <w:tcPr>
            <w:tcW w:w="3697" w:type="dxa"/>
          </w:tcPr>
          <w:p>
            <w:pPr>
              <w:pStyle w:val="TableParagraph"/>
              <w:spacing w:line="249" w:lineRule="auto" w:before="120"/>
              <w:ind w:left="218" w:right="85"/>
              <w:rPr>
                <w:sz w:val="20"/>
              </w:rPr>
            </w:pPr>
            <w:r>
              <w:rPr>
                <w:sz w:val="20"/>
              </w:rPr>
              <w:t>аппендикоцистостомия по Митрофанову</w:t>
            </w:r>
            <w:r>
              <w:rPr>
                <w:spacing w:val="-12"/>
                <w:sz w:val="20"/>
              </w:rPr>
              <w:t> </w:t>
            </w:r>
            <w:r>
              <w:rPr>
                <w:sz w:val="20"/>
              </w:rPr>
              <w:t>у</w:t>
            </w:r>
            <w:r>
              <w:rPr>
                <w:spacing w:val="-13"/>
                <w:sz w:val="20"/>
              </w:rPr>
              <w:t> </w:t>
            </w:r>
            <w:r>
              <w:rPr>
                <w:sz w:val="20"/>
              </w:rPr>
              <w:t>детей</w:t>
            </w:r>
            <w:r>
              <w:rPr>
                <w:spacing w:val="-11"/>
                <w:sz w:val="20"/>
              </w:rPr>
              <w:t> </w:t>
            </w:r>
            <w:r>
              <w:rPr>
                <w:sz w:val="20"/>
              </w:rPr>
              <w:t>с</w:t>
            </w:r>
            <w:r>
              <w:rPr>
                <w:spacing w:val="-9"/>
                <w:sz w:val="20"/>
              </w:rPr>
              <w:t> </w:t>
            </w:r>
            <w:r>
              <w:rPr>
                <w:sz w:val="20"/>
              </w:rPr>
              <w:t>нейрогенным мочевым пузырем</w:t>
            </w:r>
          </w:p>
        </w:tc>
        <w:tc>
          <w:tcPr>
            <w:tcW w:w="1186" w:type="dxa"/>
            <w:vMerge/>
            <w:tcBorders>
              <w:top w:val="nil"/>
            </w:tcBorders>
          </w:tcPr>
          <w:p>
            <w:pPr>
              <w:rPr>
                <w:sz w:val="2"/>
                <w:szCs w:val="2"/>
              </w:rPr>
            </w:pPr>
          </w:p>
        </w:tc>
      </w:tr>
      <w:tr>
        <w:trPr>
          <w:trHeight w:val="590" w:hRule="atLeast"/>
        </w:trPr>
        <w:tc>
          <w:tcPr>
            <w:tcW w:w="472" w:type="dxa"/>
          </w:tcPr>
          <w:p>
            <w:pPr>
              <w:pStyle w:val="TableParagraph"/>
              <w:rPr>
                <w:sz w:val="18"/>
              </w:rPr>
            </w:pPr>
          </w:p>
        </w:tc>
        <w:tc>
          <w:tcPr>
            <w:tcW w:w="2998" w:type="dxa"/>
          </w:tcPr>
          <w:p>
            <w:pPr>
              <w:pStyle w:val="TableParagraph"/>
              <w:rPr>
                <w:sz w:val="18"/>
              </w:rPr>
            </w:pPr>
          </w:p>
        </w:tc>
        <w:tc>
          <w:tcPr>
            <w:tcW w:w="1967" w:type="dxa"/>
          </w:tcPr>
          <w:p>
            <w:pPr>
              <w:pStyle w:val="TableParagraph"/>
              <w:rPr>
                <w:sz w:val="18"/>
              </w:rPr>
            </w:pPr>
          </w:p>
        </w:tc>
        <w:tc>
          <w:tcPr>
            <w:tcW w:w="3172" w:type="dxa"/>
          </w:tcPr>
          <w:p>
            <w:pPr>
              <w:pStyle w:val="TableParagraph"/>
              <w:rPr>
                <w:sz w:val="18"/>
              </w:rPr>
            </w:pPr>
          </w:p>
        </w:tc>
        <w:tc>
          <w:tcPr>
            <w:tcW w:w="1552" w:type="dxa"/>
          </w:tcPr>
          <w:p>
            <w:pPr>
              <w:pStyle w:val="TableParagraph"/>
              <w:rPr>
                <w:sz w:val="18"/>
              </w:rPr>
            </w:pPr>
          </w:p>
        </w:tc>
        <w:tc>
          <w:tcPr>
            <w:tcW w:w="3697" w:type="dxa"/>
          </w:tcPr>
          <w:p>
            <w:pPr>
              <w:pStyle w:val="TableParagraph"/>
              <w:spacing w:line="240" w:lineRule="atLeast" w:before="90"/>
              <w:ind w:left="218"/>
              <w:rPr>
                <w:sz w:val="20"/>
              </w:rPr>
            </w:pPr>
            <w:r>
              <w:rPr>
                <w:sz w:val="20"/>
              </w:rPr>
              <w:t>радикальная</w:t>
            </w:r>
            <w:r>
              <w:rPr>
                <w:spacing w:val="-13"/>
                <w:sz w:val="20"/>
              </w:rPr>
              <w:t> </w:t>
            </w:r>
            <w:r>
              <w:rPr>
                <w:sz w:val="20"/>
              </w:rPr>
              <w:t>цистэктомия</w:t>
            </w:r>
            <w:r>
              <w:rPr>
                <w:spacing w:val="-12"/>
                <w:sz w:val="20"/>
              </w:rPr>
              <w:t> </w:t>
            </w:r>
            <w:r>
              <w:rPr>
                <w:sz w:val="20"/>
              </w:rPr>
              <w:t>с</w:t>
            </w:r>
            <w:r>
              <w:rPr>
                <w:spacing w:val="-13"/>
                <w:sz w:val="20"/>
              </w:rPr>
              <w:t> </w:t>
            </w:r>
            <w:r>
              <w:rPr>
                <w:sz w:val="20"/>
              </w:rPr>
              <w:t>кишечной пластикой мочевого пузыря</w:t>
            </w:r>
          </w:p>
        </w:tc>
        <w:tc>
          <w:tcPr>
            <w:tcW w:w="118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0"/>
        <w:gridCol w:w="1935"/>
        <w:gridCol w:w="3162"/>
        <w:gridCol w:w="1562"/>
        <w:gridCol w:w="3615"/>
      </w:tblGrid>
      <w:tr>
        <w:trPr>
          <w:trHeight w:val="35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21" w:lineRule="exact"/>
              <w:ind w:left="219"/>
              <w:rPr>
                <w:sz w:val="20"/>
              </w:rPr>
            </w:pPr>
            <w:r>
              <w:rPr>
                <w:w w:val="95"/>
                <w:sz w:val="20"/>
              </w:rPr>
              <w:t>аугментационная</w:t>
            </w:r>
            <w:r>
              <w:rPr>
                <w:spacing w:val="54"/>
                <w:sz w:val="20"/>
              </w:rPr>
              <w:t> </w:t>
            </w:r>
            <w:r>
              <w:rPr>
                <w:spacing w:val="-2"/>
                <w:sz w:val="20"/>
              </w:rPr>
              <w:t>цистопластика</w:t>
            </w:r>
          </w:p>
        </w:tc>
      </w:tr>
      <w:tr>
        <w:trPr>
          <w:trHeight w:val="264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before="120"/>
              <w:ind w:left="219" w:right="241"/>
              <w:rPr>
                <w:sz w:val="20"/>
              </w:rPr>
            </w:pPr>
            <w:r>
              <w:rPr>
                <w:sz w:val="20"/>
              </w:rPr>
              <w:t>восстановление уретры с </w:t>
            </w:r>
            <w:r>
              <w:rPr>
                <w:spacing w:val="-2"/>
                <w:sz w:val="20"/>
              </w:rPr>
              <w:t>использованием </w:t>
            </w:r>
            <w:r>
              <w:rPr>
                <w:sz w:val="20"/>
              </w:rPr>
              <w:t>реваскуляризированного</w:t>
            </w:r>
            <w:r>
              <w:rPr>
                <w:spacing w:val="-13"/>
                <w:sz w:val="20"/>
              </w:rPr>
              <w:t> </w:t>
            </w:r>
            <w:r>
              <w:rPr>
                <w:sz w:val="20"/>
              </w:rPr>
              <w:t>свободного </w:t>
            </w:r>
            <w:r>
              <w:rPr>
                <w:spacing w:val="-2"/>
                <w:sz w:val="20"/>
              </w:rPr>
              <w:t>лоскута</w:t>
            </w:r>
          </w:p>
          <w:p>
            <w:pPr>
              <w:pStyle w:val="TableParagraph"/>
              <w:spacing w:before="2"/>
              <w:rPr>
                <w:sz w:val="21"/>
              </w:rPr>
            </w:pPr>
          </w:p>
          <w:p>
            <w:pPr>
              <w:pStyle w:val="TableParagraph"/>
              <w:spacing w:line="249" w:lineRule="auto" w:before="1"/>
              <w:ind w:left="219"/>
              <w:rPr>
                <w:sz w:val="20"/>
              </w:rPr>
            </w:pPr>
            <w:r>
              <w:rPr>
                <w:sz w:val="20"/>
              </w:rPr>
              <w:t>уретропластика</w:t>
            </w:r>
            <w:r>
              <w:rPr>
                <w:spacing w:val="-13"/>
                <w:sz w:val="20"/>
              </w:rPr>
              <w:t> </w:t>
            </w:r>
            <w:r>
              <w:rPr>
                <w:sz w:val="20"/>
              </w:rPr>
              <w:t>лоскутом</w:t>
            </w:r>
            <w:r>
              <w:rPr>
                <w:spacing w:val="-12"/>
                <w:sz w:val="20"/>
              </w:rPr>
              <w:t> </w:t>
            </w:r>
            <w:r>
              <w:rPr>
                <w:sz w:val="20"/>
              </w:rPr>
              <w:t>из</w:t>
            </w:r>
            <w:r>
              <w:rPr>
                <w:spacing w:val="-13"/>
                <w:sz w:val="20"/>
              </w:rPr>
              <w:t> </w:t>
            </w:r>
            <w:r>
              <w:rPr>
                <w:sz w:val="20"/>
              </w:rPr>
              <w:t>слизистой </w:t>
            </w:r>
            <w:r>
              <w:rPr>
                <w:spacing w:val="-4"/>
                <w:sz w:val="20"/>
              </w:rPr>
              <w:t>рта</w:t>
            </w:r>
          </w:p>
          <w:p>
            <w:pPr>
              <w:pStyle w:val="TableParagraph"/>
              <w:rPr>
                <w:sz w:val="21"/>
              </w:rPr>
            </w:pPr>
          </w:p>
          <w:p>
            <w:pPr>
              <w:pStyle w:val="TableParagraph"/>
              <w:spacing w:line="249" w:lineRule="auto"/>
              <w:ind w:left="219"/>
              <w:rPr>
                <w:sz w:val="20"/>
              </w:rPr>
            </w:pPr>
            <w:r>
              <w:rPr>
                <w:sz w:val="20"/>
              </w:rPr>
              <w:t>иссечение</w:t>
            </w:r>
            <w:r>
              <w:rPr>
                <w:spacing w:val="-10"/>
                <w:sz w:val="20"/>
              </w:rPr>
              <w:t> </w:t>
            </w:r>
            <w:r>
              <w:rPr>
                <w:sz w:val="20"/>
              </w:rPr>
              <w:t>и</w:t>
            </w:r>
            <w:r>
              <w:rPr>
                <w:spacing w:val="-11"/>
                <w:sz w:val="20"/>
              </w:rPr>
              <w:t> </w:t>
            </w:r>
            <w:r>
              <w:rPr>
                <w:sz w:val="20"/>
              </w:rPr>
              <w:t>закрытие</w:t>
            </w:r>
            <w:r>
              <w:rPr>
                <w:spacing w:val="-10"/>
                <w:sz w:val="20"/>
              </w:rPr>
              <w:t> </w:t>
            </w:r>
            <w:r>
              <w:rPr>
                <w:sz w:val="20"/>
              </w:rPr>
              <w:t>свища</w:t>
            </w:r>
            <w:r>
              <w:rPr>
                <w:spacing w:val="-9"/>
                <w:sz w:val="20"/>
              </w:rPr>
              <w:t> </w:t>
            </w:r>
            <w:r>
              <w:rPr>
                <w:sz w:val="20"/>
              </w:rPr>
              <w:t>женских половых органов (фистулопластика)</w:t>
            </w:r>
          </w:p>
        </w:tc>
      </w:tr>
      <w:tr>
        <w:trPr>
          <w:trHeight w:val="840" w:hRule="atLeast"/>
        </w:trPr>
        <w:tc>
          <w:tcPr>
            <w:tcW w:w="2910" w:type="dxa"/>
            <w:vMerge w:val="restart"/>
          </w:tcPr>
          <w:p>
            <w:pPr>
              <w:pStyle w:val="TableParagraph"/>
              <w:spacing w:line="249" w:lineRule="auto" w:before="120"/>
              <w:ind w:left="50"/>
              <w:rPr>
                <w:sz w:val="20"/>
              </w:rPr>
            </w:pPr>
            <w:r>
              <w:rPr>
                <w:sz w:val="20"/>
              </w:rPr>
              <w:t>Оперативные</w:t>
            </w:r>
            <w:r>
              <w:rPr>
                <w:spacing w:val="-4"/>
                <w:sz w:val="20"/>
              </w:rPr>
              <w:t> </w:t>
            </w:r>
            <w:r>
              <w:rPr>
                <w:sz w:val="20"/>
              </w:rPr>
              <w:t>вмешательства</w:t>
            </w:r>
            <w:r>
              <w:rPr>
                <w:spacing w:val="-7"/>
                <w:sz w:val="20"/>
              </w:rPr>
              <w:t> </w:t>
            </w:r>
            <w:r>
              <w:rPr>
                <w:sz w:val="20"/>
              </w:rPr>
              <w:t>на органах</w:t>
            </w:r>
            <w:r>
              <w:rPr>
                <w:spacing w:val="-13"/>
                <w:sz w:val="20"/>
              </w:rPr>
              <w:t> </w:t>
            </w:r>
            <w:r>
              <w:rPr>
                <w:sz w:val="20"/>
              </w:rPr>
              <w:t>мочеполовой</w:t>
            </w:r>
            <w:r>
              <w:rPr>
                <w:spacing w:val="-12"/>
                <w:sz w:val="20"/>
              </w:rPr>
              <w:t> </w:t>
            </w:r>
            <w:r>
              <w:rPr>
                <w:sz w:val="20"/>
              </w:rPr>
              <w:t>системы</w:t>
            </w:r>
            <w:r>
              <w:rPr>
                <w:spacing w:val="-13"/>
                <w:sz w:val="20"/>
              </w:rPr>
              <w:t> </w:t>
            </w:r>
            <w:r>
              <w:rPr>
                <w:sz w:val="20"/>
              </w:rPr>
              <w:t>с </w:t>
            </w:r>
            <w:r>
              <w:rPr>
                <w:spacing w:val="-2"/>
                <w:sz w:val="20"/>
              </w:rPr>
              <w:t>использованием </w:t>
            </w:r>
            <w:r>
              <w:rPr>
                <w:sz w:val="20"/>
              </w:rPr>
              <w:t>лапароскопической техники</w:t>
            </w:r>
          </w:p>
        </w:tc>
        <w:tc>
          <w:tcPr>
            <w:tcW w:w="1935" w:type="dxa"/>
          </w:tcPr>
          <w:p>
            <w:pPr>
              <w:pStyle w:val="TableParagraph"/>
              <w:spacing w:before="120"/>
              <w:ind w:left="109"/>
              <w:rPr>
                <w:sz w:val="20"/>
              </w:rPr>
            </w:pPr>
            <w:hyperlink r:id="rId506">
              <w:r>
                <w:rPr>
                  <w:sz w:val="20"/>
                </w:rPr>
                <w:t>N28.1,</w:t>
              </w:r>
              <w:r>
                <w:rPr>
                  <w:spacing w:val="-3"/>
                  <w:sz w:val="20"/>
                </w:rPr>
                <w:t> </w:t>
              </w:r>
            </w:hyperlink>
            <w:hyperlink r:id="rId507">
              <w:r>
                <w:rPr>
                  <w:sz w:val="20"/>
                </w:rPr>
                <w:t>Q61.0,</w:t>
              </w:r>
              <w:r>
                <w:rPr>
                  <w:spacing w:val="-4"/>
                  <w:sz w:val="20"/>
                </w:rPr>
                <w:t> </w:t>
              </w:r>
            </w:hyperlink>
            <w:hyperlink r:id="rId490">
              <w:r>
                <w:rPr>
                  <w:spacing w:val="-2"/>
                  <w:sz w:val="20"/>
                </w:rPr>
                <w:t>N13.0,</w:t>
              </w:r>
            </w:hyperlink>
          </w:p>
          <w:p>
            <w:pPr>
              <w:pStyle w:val="TableParagraph"/>
              <w:spacing w:line="240" w:lineRule="exact"/>
              <w:ind w:left="769" w:hanging="587"/>
              <w:rPr>
                <w:sz w:val="20"/>
              </w:rPr>
            </w:pPr>
            <w:hyperlink r:id="rId491">
              <w:r>
                <w:rPr>
                  <w:sz w:val="20"/>
                </w:rPr>
                <w:t>N13.1,</w:t>
              </w:r>
              <w:r>
                <w:rPr>
                  <w:spacing w:val="-13"/>
                  <w:sz w:val="20"/>
                </w:rPr>
                <w:t> </w:t>
              </w:r>
            </w:hyperlink>
            <w:hyperlink r:id="rId492">
              <w:r>
                <w:rPr>
                  <w:sz w:val="20"/>
                </w:rPr>
                <w:t>N13.2,</w:t>
              </w:r>
              <w:r>
                <w:rPr>
                  <w:spacing w:val="-12"/>
                  <w:sz w:val="20"/>
                </w:rPr>
                <w:t> </w:t>
              </w:r>
            </w:hyperlink>
            <w:hyperlink r:id="rId508">
              <w:r>
                <w:rPr>
                  <w:sz w:val="20"/>
                </w:rPr>
                <w:t>N28,</w:t>
              </w:r>
            </w:hyperlink>
            <w:r>
              <w:rPr>
                <w:sz w:val="20"/>
              </w:rPr>
              <w:t> </w:t>
            </w:r>
            <w:hyperlink r:id="rId509">
              <w:r>
                <w:rPr>
                  <w:spacing w:val="-2"/>
                  <w:sz w:val="20"/>
                </w:rPr>
                <w:t>I86.1</w:t>
              </w:r>
            </w:hyperlink>
          </w:p>
        </w:tc>
        <w:tc>
          <w:tcPr>
            <w:tcW w:w="3162" w:type="dxa"/>
            <w:vMerge w:val="restart"/>
          </w:tcPr>
          <w:p>
            <w:pPr>
              <w:pStyle w:val="TableParagraph"/>
              <w:spacing w:line="249" w:lineRule="auto" w:before="120"/>
              <w:ind w:left="90" w:right="26"/>
              <w:rPr>
                <w:sz w:val="20"/>
              </w:rPr>
            </w:pPr>
            <w:r>
              <w:rPr>
                <w:sz w:val="20"/>
              </w:rPr>
              <w:t>опухоль предстательной железы. Опухоль</w:t>
            </w:r>
            <w:r>
              <w:rPr>
                <w:spacing w:val="-13"/>
                <w:sz w:val="20"/>
              </w:rPr>
              <w:t> </w:t>
            </w:r>
            <w:r>
              <w:rPr>
                <w:sz w:val="20"/>
              </w:rPr>
              <w:t>почки.</w:t>
            </w:r>
            <w:r>
              <w:rPr>
                <w:spacing w:val="-12"/>
                <w:sz w:val="20"/>
              </w:rPr>
              <w:t> </w:t>
            </w:r>
            <w:r>
              <w:rPr>
                <w:sz w:val="20"/>
              </w:rPr>
              <w:t>Опухоль</w:t>
            </w:r>
            <w:r>
              <w:rPr>
                <w:spacing w:val="-13"/>
                <w:sz w:val="20"/>
              </w:rPr>
              <w:t> </w:t>
            </w:r>
            <w:r>
              <w:rPr>
                <w:sz w:val="20"/>
              </w:rPr>
              <w:t>мочевого пузыря. Опухоль почечной лоханки. Прогрессивно растущая киста почки. Стриктура</w:t>
            </w:r>
          </w:p>
          <w:p>
            <w:pPr>
              <w:pStyle w:val="TableParagraph"/>
              <w:spacing w:line="220" w:lineRule="exact" w:before="5"/>
              <w:ind w:left="90"/>
              <w:rPr>
                <w:sz w:val="20"/>
              </w:rPr>
            </w:pPr>
            <w:r>
              <w:rPr>
                <w:spacing w:val="-2"/>
                <w:sz w:val="20"/>
              </w:rPr>
              <w:t>мочеточника</w:t>
            </w:r>
          </w:p>
        </w:tc>
        <w:tc>
          <w:tcPr>
            <w:tcW w:w="1562" w:type="dxa"/>
          </w:tcPr>
          <w:p>
            <w:pPr>
              <w:pStyle w:val="TableParagraph"/>
              <w:spacing w:line="249" w:lineRule="auto" w:before="120"/>
              <w:ind w:left="84"/>
              <w:rPr>
                <w:sz w:val="20"/>
              </w:rPr>
            </w:pPr>
            <w:r>
              <w:rPr>
                <w:spacing w:val="-2"/>
                <w:sz w:val="20"/>
              </w:rPr>
              <w:t>хирургическое лечение</w:t>
            </w:r>
          </w:p>
        </w:tc>
        <w:tc>
          <w:tcPr>
            <w:tcW w:w="3615" w:type="dxa"/>
          </w:tcPr>
          <w:p>
            <w:pPr>
              <w:pStyle w:val="TableParagraph"/>
              <w:spacing w:line="249" w:lineRule="auto" w:before="120"/>
              <w:ind w:left="219"/>
              <w:rPr>
                <w:sz w:val="20"/>
              </w:rPr>
            </w:pPr>
            <w:r>
              <w:rPr>
                <w:sz w:val="20"/>
              </w:rPr>
              <w:t>лапаро-</w:t>
            </w:r>
            <w:r>
              <w:rPr>
                <w:spacing w:val="-13"/>
                <w:sz w:val="20"/>
              </w:rPr>
              <w:t> </w:t>
            </w:r>
            <w:r>
              <w:rPr>
                <w:sz w:val="20"/>
              </w:rPr>
              <w:t>и</w:t>
            </w:r>
            <w:r>
              <w:rPr>
                <w:spacing w:val="-12"/>
                <w:sz w:val="20"/>
              </w:rPr>
              <w:t> </w:t>
            </w:r>
            <w:r>
              <w:rPr>
                <w:sz w:val="20"/>
              </w:rPr>
              <w:t>экстраперитонеоскопическая </w:t>
            </w:r>
            <w:r>
              <w:rPr>
                <w:spacing w:val="-2"/>
                <w:sz w:val="20"/>
              </w:rPr>
              <w:t>простатэктомия</w:t>
            </w:r>
          </w:p>
        </w:tc>
      </w:tr>
      <w:tr>
        <w:trPr>
          <w:trHeight w:val="720" w:hRule="atLeast"/>
        </w:trPr>
        <w:tc>
          <w:tcPr>
            <w:tcW w:w="2910" w:type="dxa"/>
            <w:vMerge/>
            <w:tcBorders>
              <w:top w:val="nil"/>
            </w:tcBorders>
          </w:tcPr>
          <w:p>
            <w:pPr>
              <w:rPr>
                <w:sz w:val="2"/>
                <w:szCs w:val="2"/>
              </w:rPr>
            </w:pPr>
          </w:p>
        </w:tc>
        <w:tc>
          <w:tcPr>
            <w:tcW w:w="1935" w:type="dxa"/>
          </w:tcPr>
          <w:p>
            <w:pPr>
              <w:pStyle w:val="TableParagraph"/>
              <w:rPr>
                <w:sz w:val="18"/>
              </w:rPr>
            </w:pPr>
          </w:p>
        </w:tc>
        <w:tc>
          <w:tcPr>
            <w:tcW w:w="3162" w:type="dxa"/>
            <w:vMerge/>
            <w:tcBorders>
              <w:top w:val="nil"/>
            </w:tcBorders>
          </w:tcPr>
          <w:p>
            <w:pPr>
              <w:rPr>
                <w:sz w:val="2"/>
                <w:szCs w:val="2"/>
              </w:rPr>
            </w:pPr>
          </w:p>
        </w:tc>
        <w:tc>
          <w:tcPr>
            <w:tcW w:w="1562" w:type="dxa"/>
          </w:tcPr>
          <w:p>
            <w:pPr>
              <w:pStyle w:val="TableParagraph"/>
              <w:rPr>
                <w:sz w:val="18"/>
              </w:rPr>
            </w:pPr>
          </w:p>
        </w:tc>
        <w:tc>
          <w:tcPr>
            <w:tcW w:w="3615" w:type="dxa"/>
          </w:tcPr>
          <w:p>
            <w:pPr>
              <w:pStyle w:val="TableParagraph"/>
              <w:spacing w:line="249" w:lineRule="auto"/>
              <w:ind w:left="219"/>
              <w:rPr>
                <w:sz w:val="20"/>
              </w:rPr>
            </w:pPr>
            <w:r>
              <w:rPr>
                <w:sz w:val="20"/>
              </w:rPr>
              <w:t>лапаро-</w:t>
            </w:r>
            <w:r>
              <w:rPr>
                <w:spacing w:val="-13"/>
                <w:sz w:val="20"/>
              </w:rPr>
              <w:t> </w:t>
            </w:r>
            <w:r>
              <w:rPr>
                <w:sz w:val="20"/>
              </w:rPr>
              <w:t>и</w:t>
            </w:r>
            <w:r>
              <w:rPr>
                <w:spacing w:val="-12"/>
                <w:sz w:val="20"/>
              </w:rPr>
              <w:t> </w:t>
            </w:r>
            <w:r>
              <w:rPr>
                <w:sz w:val="20"/>
              </w:rPr>
              <w:t>экстраперитонеоскопическая </w:t>
            </w:r>
            <w:r>
              <w:rPr>
                <w:spacing w:val="-2"/>
                <w:sz w:val="20"/>
              </w:rPr>
              <w:t>цистэктомия</w:t>
            </w:r>
          </w:p>
        </w:tc>
      </w:tr>
      <w:tr>
        <w:trPr>
          <w:trHeight w:val="60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тазовая лимфаденэктомия</w:t>
            </w:r>
          </w:p>
        </w:tc>
      </w:tr>
      <w:tr>
        <w:trPr>
          <w:trHeight w:val="72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before="120"/>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w:t>
            </w:r>
            <w:r>
              <w:rPr>
                <w:spacing w:val="-2"/>
                <w:sz w:val="20"/>
              </w:rPr>
              <w:t>нефрэктомия</w:t>
            </w:r>
          </w:p>
        </w:tc>
      </w:tr>
      <w:tr>
        <w:trPr>
          <w:trHeight w:val="72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52" w:lineRule="auto" w:before="120"/>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ретроперитонеоскопическое иссечение кисты почки</w:t>
            </w:r>
          </w:p>
        </w:tc>
      </w:tr>
      <w:tr>
        <w:trPr>
          <w:trHeight w:val="959"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before="120"/>
              <w:ind w:left="219" w:right="118"/>
              <w:jc w:val="both"/>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пластика</w:t>
            </w:r>
            <w:r>
              <w:rPr>
                <w:spacing w:val="-13"/>
                <w:sz w:val="20"/>
              </w:rPr>
              <w:t> </w:t>
            </w:r>
            <w:r>
              <w:rPr>
                <w:sz w:val="20"/>
              </w:rPr>
              <w:t>лоханочно-мочеточникового сегмента, мочеточника</w:t>
            </w:r>
          </w:p>
        </w:tc>
      </w:tr>
      <w:tr>
        <w:trPr>
          <w:trHeight w:val="59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spacing w:line="240" w:lineRule="atLeast" w:before="90"/>
              <w:ind w:left="90"/>
              <w:rPr>
                <w:sz w:val="20"/>
              </w:rPr>
            </w:pPr>
            <w:r>
              <w:rPr>
                <w:sz w:val="20"/>
              </w:rPr>
              <w:t>опухоль предстательной железы. Опухоль</w:t>
            </w:r>
            <w:r>
              <w:rPr>
                <w:spacing w:val="-13"/>
                <w:sz w:val="20"/>
              </w:rPr>
              <w:t> </w:t>
            </w:r>
            <w:r>
              <w:rPr>
                <w:sz w:val="20"/>
              </w:rPr>
              <w:t>почки.</w:t>
            </w:r>
            <w:r>
              <w:rPr>
                <w:spacing w:val="-12"/>
                <w:sz w:val="20"/>
              </w:rPr>
              <w:t> </w:t>
            </w:r>
            <w:r>
              <w:rPr>
                <w:sz w:val="20"/>
              </w:rPr>
              <w:t>Опухоль</w:t>
            </w:r>
            <w:r>
              <w:rPr>
                <w:spacing w:val="-13"/>
                <w:sz w:val="20"/>
              </w:rPr>
              <w:t> </w:t>
            </w:r>
            <w:r>
              <w:rPr>
                <w:sz w:val="20"/>
              </w:rPr>
              <w:t>мочевого</w:t>
            </w:r>
          </w:p>
        </w:tc>
        <w:tc>
          <w:tcPr>
            <w:tcW w:w="1562" w:type="dxa"/>
          </w:tcPr>
          <w:p>
            <w:pPr>
              <w:pStyle w:val="TableParagraph"/>
              <w:spacing w:line="240" w:lineRule="atLeast" w:before="90"/>
              <w:ind w:left="84"/>
              <w:rPr>
                <w:sz w:val="20"/>
              </w:rPr>
            </w:pPr>
            <w:r>
              <w:rPr>
                <w:spacing w:val="-2"/>
                <w:sz w:val="20"/>
              </w:rPr>
              <w:t>хирургическое лечение</w:t>
            </w:r>
          </w:p>
        </w:tc>
        <w:tc>
          <w:tcPr>
            <w:tcW w:w="3615" w:type="dxa"/>
          </w:tcPr>
          <w:p>
            <w:pPr>
              <w:pStyle w:val="TableParagraph"/>
              <w:spacing w:line="240" w:lineRule="atLeast" w:before="90"/>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w:t>
            </w:r>
            <w:r>
              <w:rPr>
                <w:spacing w:val="-2"/>
                <w:sz w:val="20"/>
              </w:rPr>
              <w:t>нефроуретерэктомия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9"/>
        <w:gridCol w:w="1935"/>
        <w:gridCol w:w="3185"/>
        <w:gridCol w:w="1539"/>
        <w:gridCol w:w="3885"/>
        <w:gridCol w:w="998"/>
      </w:tblGrid>
      <w:tr>
        <w:trPr>
          <w:trHeight w:val="590" w:hRule="atLeast"/>
        </w:trPr>
        <w:tc>
          <w:tcPr>
            <w:tcW w:w="472" w:type="dxa"/>
          </w:tcPr>
          <w:p>
            <w:pPr>
              <w:pStyle w:val="TableParagraph"/>
              <w:rPr>
                <w:sz w:val="18"/>
              </w:rPr>
            </w:pPr>
          </w:p>
        </w:tc>
        <w:tc>
          <w:tcPr>
            <w:tcW w:w="3029" w:type="dxa"/>
          </w:tcPr>
          <w:p>
            <w:pPr>
              <w:pStyle w:val="TableParagraph"/>
              <w:rPr>
                <w:sz w:val="18"/>
              </w:rPr>
            </w:pPr>
          </w:p>
        </w:tc>
        <w:tc>
          <w:tcPr>
            <w:tcW w:w="1935" w:type="dxa"/>
          </w:tcPr>
          <w:p>
            <w:pPr>
              <w:pStyle w:val="TableParagraph"/>
              <w:rPr>
                <w:sz w:val="18"/>
              </w:rPr>
            </w:pPr>
          </w:p>
        </w:tc>
        <w:tc>
          <w:tcPr>
            <w:tcW w:w="3185" w:type="dxa"/>
          </w:tcPr>
          <w:p>
            <w:pPr>
              <w:pStyle w:val="TableParagraph"/>
              <w:spacing w:line="249" w:lineRule="auto"/>
              <w:ind w:left="89" w:right="139"/>
              <w:rPr>
                <w:sz w:val="20"/>
              </w:rPr>
            </w:pPr>
            <w:r>
              <w:rPr>
                <w:sz w:val="20"/>
              </w:rPr>
              <w:t>пузыря.</w:t>
            </w:r>
            <w:r>
              <w:rPr>
                <w:spacing w:val="-13"/>
                <w:sz w:val="20"/>
              </w:rPr>
              <w:t> </w:t>
            </w:r>
            <w:r>
              <w:rPr>
                <w:sz w:val="20"/>
              </w:rPr>
              <w:t>Опухоль</w:t>
            </w:r>
            <w:r>
              <w:rPr>
                <w:spacing w:val="-12"/>
                <w:sz w:val="20"/>
              </w:rPr>
              <w:t> </w:t>
            </w:r>
            <w:r>
              <w:rPr>
                <w:sz w:val="20"/>
              </w:rPr>
              <w:t>почечной </w:t>
            </w:r>
            <w:r>
              <w:rPr>
                <w:spacing w:val="-2"/>
                <w:sz w:val="20"/>
              </w:rPr>
              <w:t>лоханки</w:t>
            </w:r>
          </w:p>
        </w:tc>
        <w:tc>
          <w:tcPr>
            <w:tcW w:w="1539" w:type="dxa"/>
          </w:tcPr>
          <w:p>
            <w:pPr>
              <w:pStyle w:val="TableParagraph"/>
              <w:rPr>
                <w:sz w:val="18"/>
              </w:rPr>
            </w:pPr>
          </w:p>
        </w:tc>
        <w:tc>
          <w:tcPr>
            <w:tcW w:w="3885" w:type="dxa"/>
          </w:tcPr>
          <w:p>
            <w:pPr>
              <w:pStyle w:val="TableParagraph"/>
              <w:spacing w:line="249" w:lineRule="auto"/>
              <w:ind w:left="219" w:right="118"/>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резекция почки</w:t>
            </w:r>
          </w:p>
        </w:tc>
        <w:tc>
          <w:tcPr>
            <w:tcW w:w="998" w:type="dxa"/>
          </w:tcPr>
          <w:p>
            <w:pPr>
              <w:pStyle w:val="TableParagraph"/>
              <w:rPr>
                <w:sz w:val="18"/>
              </w:rPr>
            </w:pPr>
          </w:p>
        </w:tc>
      </w:tr>
      <w:tr>
        <w:trPr>
          <w:trHeight w:val="1440" w:hRule="atLeast"/>
        </w:trPr>
        <w:tc>
          <w:tcPr>
            <w:tcW w:w="472" w:type="dxa"/>
          </w:tcPr>
          <w:p>
            <w:pPr>
              <w:pStyle w:val="TableParagraph"/>
              <w:rPr>
                <w:sz w:val="18"/>
              </w:rPr>
            </w:pPr>
          </w:p>
        </w:tc>
        <w:tc>
          <w:tcPr>
            <w:tcW w:w="3029" w:type="dxa"/>
          </w:tcPr>
          <w:p>
            <w:pPr>
              <w:pStyle w:val="TableParagraph"/>
              <w:spacing w:line="249" w:lineRule="auto" w:before="120"/>
              <w:ind w:left="168"/>
              <w:rPr>
                <w:sz w:val="20"/>
              </w:rPr>
            </w:pPr>
            <w:r>
              <w:rPr>
                <w:sz w:val="20"/>
              </w:rPr>
              <w:t>Рецидивные</w:t>
            </w:r>
            <w:r>
              <w:rPr>
                <w:spacing w:val="-13"/>
                <w:sz w:val="20"/>
              </w:rPr>
              <w:t> </w:t>
            </w:r>
            <w:r>
              <w:rPr>
                <w:sz w:val="20"/>
              </w:rPr>
              <w:t>и</w:t>
            </w:r>
            <w:r>
              <w:rPr>
                <w:spacing w:val="-12"/>
                <w:sz w:val="20"/>
              </w:rPr>
              <w:t> </w:t>
            </w:r>
            <w:r>
              <w:rPr>
                <w:sz w:val="20"/>
              </w:rPr>
              <w:t>особо</w:t>
            </w:r>
            <w:r>
              <w:rPr>
                <w:spacing w:val="-13"/>
                <w:sz w:val="20"/>
              </w:rPr>
              <w:t> </w:t>
            </w:r>
            <w:r>
              <w:rPr>
                <w:sz w:val="20"/>
              </w:rPr>
              <w:t>сложные операции на органах мочеполовой системы</w:t>
            </w:r>
          </w:p>
        </w:tc>
        <w:tc>
          <w:tcPr>
            <w:tcW w:w="1935" w:type="dxa"/>
          </w:tcPr>
          <w:p>
            <w:pPr>
              <w:pStyle w:val="TableParagraph"/>
              <w:spacing w:before="120"/>
              <w:ind w:left="98" w:right="81"/>
              <w:jc w:val="center"/>
              <w:rPr>
                <w:sz w:val="20"/>
              </w:rPr>
            </w:pPr>
            <w:hyperlink r:id="rId510">
              <w:r>
                <w:rPr>
                  <w:sz w:val="20"/>
                </w:rPr>
                <w:t>N20.2,</w:t>
              </w:r>
              <w:r>
                <w:rPr>
                  <w:spacing w:val="-3"/>
                  <w:sz w:val="20"/>
                </w:rPr>
                <w:t> </w:t>
              </w:r>
            </w:hyperlink>
            <w:hyperlink r:id="rId511">
              <w:r>
                <w:rPr>
                  <w:sz w:val="20"/>
                </w:rPr>
                <w:t>N20.0,</w:t>
              </w:r>
              <w:r>
                <w:rPr>
                  <w:spacing w:val="-4"/>
                  <w:sz w:val="20"/>
                </w:rPr>
                <w:t> </w:t>
              </w:r>
            </w:hyperlink>
            <w:hyperlink r:id="rId490">
              <w:r>
                <w:rPr>
                  <w:spacing w:val="-2"/>
                  <w:sz w:val="20"/>
                </w:rPr>
                <w:t>N13.0,</w:t>
              </w:r>
            </w:hyperlink>
          </w:p>
          <w:p>
            <w:pPr>
              <w:pStyle w:val="TableParagraph"/>
              <w:spacing w:before="10"/>
              <w:ind w:left="98" w:right="79"/>
              <w:jc w:val="center"/>
              <w:rPr>
                <w:sz w:val="20"/>
              </w:rPr>
            </w:pPr>
            <w:hyperlink r:id="rId491">
              <w:r>
                <w:rPr>
                  <w:sz w:val="20"/>
                </w:rPr>
                <w:t>N13.1,</w:t>
              </w:r>
              <w:r>
                <w:rPr>
                  <w:spacing w:val="-3"/>
                  <w:sz w:val="20"/>
                </w:rPr>
                <w:t> </w:t>
              </w:r>
            </w:hyperlink>
            <w:hyperlink r:id="rId492">
              <w:r>
                <w:rPr>
                  <w:sz w:val="20"/>
                </w:rPr>
                <w:t>N13.2,</w:t>
              </w:r>
              <w:r>
                <w:rPr>
                  <w:spacing w:val="-4"/>
                  <w:sz w:val="20"/>
                </w:rPr>
                <w:t> </w:t>
              </w:r>
            </w:hyperlink>
            <w:hyperlink r:id="rId124">
              <w:r>
                <w:rPr>
                  <w:spacing w:val="-4"/>
                  <w:sz w:val="20"/>
                </w:rPr>
                <w:t>C67,</w:t>
              </w:r>
            </w:hyperlink>
          </w:p>
          <w:p>
            <w:pPr>
              <w:pStyle w:val="TableParagraph"/>
              <w:spacing w:line="249" w:lineRule="auto" w:before="11"/>
              <w:ind w:left="98" w:right="79"/>
              <w:jc w:val="center"/>
              <w:rPr>
                <w:sz w:val="20"/>
              </w:rPr>
            </w:pPr>
            <w:hyperlink r:id="rId497">
              <w:r>
                <w:rPr>
                  <w:sz w:val="20"/>
                </w:rPr>
                <w:t>Q62.1,</w:t>
              </w:r>
              <w:r>
                <w:rPr>
                  <w:spacing w:val="-13"/>
                  <w:sz w:val="20"/>
                </w:rPr>
                <w:t> </w:t>
              </w:r>
            </w:hyperlink>
            <w:hyperlink r:id="rId498">
              <w:r>
                <w:rPr>
                  <w:sz w:val="20"/>
                </w:rPr>
                <w:t>Q62.2,</w:t>
              </w:r>
              <w:r>
                <w:rPr>
                  <w:spacing w:val="-12"/>
                  <w:sz w:val="20"/>
                </w:rPr>
                <w:t> </w:t>
              </w:r>
            </w:hyperlink>
            <w:hyperlink r:id="rId499">
              <w:r>
                <w:rPr>
                  <w:sz w:val="20"/>
                </w:rPr>
                <w:t>Q62.3,</w:t>
              </w:r>
            </w:hyperlink>
            <w:r>
              <w:rPr>
                <w:sz w:val="20"/>
              </w:rPr>
              <w:t> </w:t>
            </w:r>
            <w:hyperlink r:id="rId500">
              <w:r>
                <w:rPr>
                  <w:spacing w:val="-4"/>
                  <w:sz w:val="20"/>
                </w:rPr>
                <w:t>Q62.7</w:t>
              </w:r>
            </w:hyperlink>
          </w:p>
        </w:tc>
        <w:tc>
          <w:tcPr>
            <w:tcW w:w="3185" w:type="dxa"/>
          </w:tcPr>
          <w:p>
            <w:pPr>
              <w:pStyle w:val="TableParagraph"/>
              <w:spacing w:line="249" w:lineRule="auto" w:before="120"/>
              <w:ind w:left="89" w:right="111"/>
              <w:rPr>
                <w:sz w:val="20"/>
              </w:rPr>
            </w:pPr>
            <w:r>
              <w:rPr>
                <w:sz w:val="20"/>
              </w:rPr>
              <w:t>опухоль почки. Камни почек. Стриктура мочеточника. Опухоль мочевого пузыря. Врожденный уретерогидронефроз.</w:t>
            </w:r>
            <w:r>
              <w:rPr>
                <w:spacing w:val="-13"/>
                <w:sz w:val="20"/>
              </w:rPr>
              <w:t> </w:t>
            </w:r>
            <w:r>
              <w:rPr>
                <w:sz w:val="20"/>
              </w:rPr>
              <w:t>Врожденный </w:t>
            </w:r>
            <w:r>
              <w:rPr>
                <w:spacing w:val="-2"/>
                <w:sz w:val="20"/>
              </w:rPr>
              <w:t>мегауретер</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118"/>
              <w:rPr>
                <w:sz w:val="20"/>
              </w:rPr>
            </w:pPr>
            <w:r>
              <w:rPr>
                <w:sz w:val="20"/>
              </w:rPr>
              <w:t>перкутанная</w:t>
            </w:r>
            <w:r>
              <w:rPr>
                <w:spacing w:val="-13"/>
                <w:sz w:val="20"/>
              </w:rPr>
              <w:t> </w:t>
            </w:r>
            <w:r>
              <w:rPr>
                <w:sz w:val="20"/>
              </w:rPr>
              <w:t>нефролитолапоксия</w:t>
            </w:r>
            <w:r>
              <w:rPr>
                <w:spacing w:val="-12"/>
                <w:sz w:val="20"/>
              </w:rPr>
              <w:t> </w:t>
            </w:r>
            <w:r>
              <w:rPr>
                <w:sz w:val="20"/>
              </w:rPr>
              <w:t>в сочетании с дистанционной литотрипсией</w:t>
            </w:r>
            <w:r>
              <w:rPr>
                <w:spacing w:val="-13"/>
                <w:sz w:val="20"/>
              </w:rPr>
              <w:t> </w:t>
            </w:r>
            <w:r>
              <w:rPr>
                <w:sz w:val="20"/>
              </w:rPr>
              <w:t>или</w:t>
            </w:r>
            <w:r>
              <w:rPr>
                <w:spacing w:val="-11"/>
                <w:sz w:val="20"/>
              </w:rPr>
              <w:t> </w:t>
            </w:r>
            <w:r>
              <w:rPr>
                <w:sz w:val="20"/>
              </w:rPr>
              <w:t>без</w:t>
            </w:r>
            <w:r>
              <w:rPr>
                <w:spacing w:val="-12"/>
                <w:sz w:val="20"/>
              </w:rPr>
              <w:t> </w:t>
            </w:r>
            <w:r>
              <w:rPr>
                <w:sz w:val="20"/>
              </w:rPr>
              <w:t>применения дистанционной литотрипсии</w:t>
            </w:r>
          </w:p>
        </w:tc>
        <w:tc>
          <w:tcPr>
            <w:tcW w:w="998" w:type="dxa"/>
          </w:tcPr>
          <w:p>
            <w:pPr>
              <w:pStyle w:val="TableParagraph"/>
              <w:rPr>
                <w:sz w:val="18"/>
              </w:rPr>
            </w:pPr>
          </w:p>
        </w:tc>
      </w:tr>
      <w:tr>
        <w:trPr>
          <w:trHeight w:val="1200" w:hRule="atLeast"/>
        </w:trPr>
        <w:tc>
          <w:tcPr>
            <w:tcW w:w="472" w:type="dxa"/>
          </w:tcPr>
          <w:p>
            <w:pPr>
              <w:pStyle w:val="TableParagraph"/>
              <w:spacing w:before="120"/>
              <w:ind w:left="50"/>
              <w:rPr>
                <w:sz w:val="20"/>
              </w:rPr>
            </w:pPr>
            <w:r>
              <w:rPr>
                <w:spacing w:val="-5"/>
                <w:sz w:val="20"/>
              </w:rPr>
              <w:t>57.</w:t>
            </w:r>
          </w:p>
        </w:tc>
        <w:tc>
          <w:tcPr>
            <w:tcW w:w="3029" w:type="dxa"/>
          </w:tcPr>
          <w:p>
            <w:pPr>
              <w:pStyle w:val="TableParagraph"/>
              <w:spacing w:line="249" w:lineRule="auto" w:before="120"/>
              <w:ind w:left="168"/>
              <w:rPr>
                <w:sz w:val="20"/>
              </w:rPr>
            </w:pPr>
            <w:r>
              <w:rPr>
                <w:sz w:val="20"/>
              </w:rPr>
              <w:t>Оперативные</w:t>
            </w:r>
            <w:r>
              <w:rPr>
                <w:spacing w:val="-4"/>
                <w:sz w:val="20"/>
              </w:rPr>
              <w:t> </w:t>
            </w:r>
            <w:r>
              <w:rPr>
                <w:sz w:val="20"/>
              </w:rPr>
              <w:t>вмешательства</w:t>
            </w:r>
            <w:r>
              <w:rPr>
                <w:spacing w:val="-7"/>
                <w:sz w:val="20"/>
              </w:rPr>
              <w:t> </w:t>
            </w:r>
            <w:r>
              <w:rPr>
                <w:sz w:val="20"/>
              </w:rPr>
              <w:t>на органах</w:t>
            </w:r>
            <w:r>
              <w:rPr>
                <w:spacing w:val="-13"/>
                <w:sz w:val="20"/>
              </w:rPr>
              <w:t> </w:t>
            </w:r>
            <w:r>
              <w:rPr>
                <w:sz w:val="20"/>
              </w:rPr>
              <w:t>мочеполовой</w:t>
            </w:r>
            <w:r>
              <w:rPr>
                <w:spacing w:val="-12"/>
                <w:sz w:val="20"/>
              </w:rPr>
              <w:t> </w:t>
            </w:r>
            <w:r>
              <w:rPr>
                <w:sz w:val="20"/>
              </w:rPr>
              <w:t>системы</w:t>
            </w:r>
            <w:r>
              <w:rPr>
                <w:spacing w:val="-13"/>
                <w:sz w:val="20"/>
              </w:rPr>
              <w:t> </w:t>
            </w:r>
            <w:r>
              <w:rPr>
                <w:sz w:val="20"/>
              </w:rPr>
              <w:t>с имплантацией синтетических сложных и сетчатых протезов</w:t>
            </w:r>
          </w:p>
        </w:tc>
        <w:tc>
          <w:tcPr>
            <w:tcW w:w="1935" w:type="dxa"/>
          </w:tcPr>
          <w:p>
            <w:pPr>
              <w:pStyle w:val="TableParagraph"/>
              <w:spacing w:before="120"/>
              <w:ind w:left="98" w:right="79"/>
              <w:jc w:val="center"/>
              <w:rPr>
                <w:sz w:val="20"/>
              </w:rPr>
            </w:pPr>
            <w:hyperlink r:id="rId512">
              <w:r>
                <w:rPr>
                  <w:sz w:val="20"/>
                </w:rPr>
                <w:t>R32,</w:t>
              </w:r>
              <w:r>
                <w:rPr>
                  <w:spacing w:val="-2"/>
                  <w:sz w:val="20"/>
                </w:rPr>
                <w:t> </w:t>
              </w:r>
            </w:hyperlink>
            <w:hyperlink r:id="rId513">
              <w:r>
                <w:rPr>
                  <w:spacing w:val="-2"/>
                  <w:sz w:val="20"/>
                </w:rPr>
                <w:t>N31.2</w:t>
              </w:r>
            </w:hyperlink>
          </w:p>
        </w:tc>
        <w:tc>
          <w:tcPr>
            <w:tcW w:w="3185" w:type="dxa"/>
          </w:tcPr>
          <w:p>
            <w:pPr>
              <w:pStyle w:val="TableParagraph"/>
              <w:spacing w:line="249" w:lineRule="auto" w:before="120"/>
              <w:ind w:left="89"/>
              <w:rPr>
                <w:sz w:val="20"/>
              </w:rPr>
            </w:pPr>
            <w:r>
              <w:rPr>
                <w:sz w:val="20"/>
              </w:rPr>
              <w:t>недержание</w:t>
            </w:r>
            <w:r>
              <w:rPr>
                <w:spacing w:val="-5"/>
                <w:sz w:val="20"/>
              </w:rPr>
              <w:t> </w:t>
            </w:r>
            <w:r>
              <w:rPr>
                <w:sz w:val="20"/>
              </w:rPr>
              <w:t>мочи</w:t>
            </w:r>
            <w:r>
              <w:rPr>
                <w:spacing w:val="-4"/>
                <w:sz w:val="20"/>
              </w:rPr>
              <w:t> </w:t>
            </w:r>
            <w:r>
              <w:rPr>
                <w:sz w:val="20"/>
              </w:rPr>
              <w:t>при</w:t>
            </w:r>
            <w:r>
              <w:rPr>
                <w:spacing w:val="-6"/>
                <w:sz w:val="20"/>
              </w:rPr>
              <w:t> </w:t>
            </w:r>
            <w:r>
              <w:rPr>
                <w:sz w:val="20"/>
              </w:rPr>
              <w:t>напряжении. Несостоятельность сфинктера мочевого</w:t>
            </w:r>
            <w:r>
              <w:rPr>
                <w:spacing w:val="-13"/>
                <w:sz w:val="20"/>
              </w:rPr>
              <w:t> </w:t>
            </w:r>
            <w:r>
              <w:rPr>
                <w:sz w:val="20"/>
              </w:rPr>
              <w:t>пузыря.</w:t>
            </w:r>
            <w:r>
              <w:rPr>
                <w:spacing w:val="-12"/>
                <w:sz w:val="20"/>
              </w:rPr>
              <w:t> </w:t>
            </w:r>
            <w:r>
              <w:rPr>
                <w:sz w:val="20"/>
              </w:rPr>
              <w:t>Атония</w:t>
            </w:r>
            <w:r>
              <w:rPr>
                <w:spacing w:val="-13"/>
                <w:sz w:val="20"/>
              </w:rPr>
              <w:t> </w:t>
            </w:r>
            <w:r>
              <w:rPr>
                <w:sz w:val="20"/>
              </w:rPr>
              <w:t>мочевого </w:t>
            </w:r>
            <w:r>
              <w:rPr>
                <w:spacing w:val="-2"/>
                <w:sz w:val="20"/>
              </w:rPr>
              <w:t>пузыря</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118"/>
              <w:rPr>
                <w:sz w:val="20"/>
              </w:rPr>
            </w:pPr>
            <w:r>
              <w:rPr>
                <w:sz w:val="20"/>
              </w:rPr>
              <w:t>петлевая пластика уретры с использованием петлевого, синтетического,</w:t>
            </w:r>
            <w:r>
              <w:rPr>
                <w:spacing w:val="-13"/>
                <w:sz w:val="20"/>
              </w:rPr>
              <w:t> </w:t>
            </w:r>
            <w:r>
              <w:rPr>
                <w:sz w:val="20"/>
              </w:rPr>
              <w:t>сетчатого</w:t>
            </w:r>
            <w:r>
              <w:rPr>
                <w:spacing w:val="-12"/>
                <w:sz w:val="20"/>
              </w:rPr>
              <w:t> </w:t>
            </w:r>
            <w:r>
              <w:rPr>
                <w:sz w:val="20"/>
              </w:rPr>
              <w:t>протеза</w:t>
            </w:r>
            <w:r>
              <w:rPr>
                <w:spacing w:val="-13"/>
                <w:sz w:val="20"/>
              </w:rPr>
              <w:t> </w:t>
            </w:r>
            <w:r>
              <w:rPr>
                <w:sz w:val="20"/>
              </w:rPr>
              <w:t>при недержании мочи</w:t>
            </w:r>
          </w:p>
        </w:tc>
        <w:tc>
          <w:tcPr>
            <w:tcW w:w="998" w:type="dxa"/>
          </w:tcPr>
          <w:p>
            <w:pPr>
              <w:pStyle w:val="TableParagraph"/>
              <w:spacing w:before="120"/>
              <w:ind w:right="50"/>
              <w:jc w:val="right"/>
              <w:rPr>
                <w:sz w:val="20"/>
              </w:rPr>
            </w:pPr>
            <w:r>
              <w:rPr>
                <w:spacing w:val="-2"/>
                <w:sz w:val="20"/>
              </w:rPr>
              <w:t>152839</w:t>
            </w:r>
          </w:p>
        </w:tc>
      </w:tr>
      <w:tr>
        <w:trPr>
          <w:trHeight w:val="480" w:hRule="atLeast"/>
        </w:trPr>
        <w:tc>
          <w:tcPr>
            <w:tcW w:w="15043" w:type="dxa"/>
            <w:gridSpan w:val="7"/>
          </w:tcPr>
          <w:p>
            <w:pPr>
              <w:pStyle w:val="TableParagraph"/>
              <w:spacing w:before="120"/>
              <w:ind w:left="6480" w:right="6164"/>
              <w:jc w:val="center"/>
              <w:rPr>
                <w:sz w:val="20"/>
              </w:rPr>
            </w:pPr>
            <w:r>
              <w:rPr>
                <w:w w:val="95"/>
                <w:sz w:val="20"/>
              </w:rPr>
              <w:t>Челюстно-лицевая</w:t>
            </w:r>
            <w:r>
              <w:rPr>
                <w:spacing w:val="59"/>
                <w:sz w:val="20"/>
              </w:rPr>
              <w:t> </w:t>
            </w:r>
            <w:r>
              <w:rPr>
                <w:spacing w:val="-2"/>
                <w:w w:val="95"/>
                <w:sz w:val="20"/>
              </w:rPr>
              <w:t>хирургия</w:t>
            </w:r>
          </w:p>
        </w:tc>
      </w:tr>
      <w:tr>
        <w:trPr>
          <w:trHeight w:val="720" w:hRule="atLeast"/>
        </w:trPr>
        <w:tc>
          <w:tcPr>
            <w:tcW w:w="472" w:type="dxa"/>
          </w:tcPr>
          <w:p>
            <w:pPr>
              <w:pStyle w:val="TableParagraph"/>
              <w:spacing w:before="120"/>
              <w:ind w:left="50"/>
              <w:rPr>
                <w:sz w:val="20"/>
              </w:rPr>
            </w:pPr>
            <w:r>
              <w:rPr>
                <w:spacing w:val="-5"/>
                <w:sz w:val="20"/>
              </w:rPr>
              <w:t>58.</w:t>
            </w:r>
          </w:p>
        </w:tc>
        <w:tc>
          <w:tcPr>
            <w:tcW w:w="3029" w:type="dxa"/>
            <w:vMerge w:val="restart"/>
          </w:tcPr>
          <w:p>
            <w:pPr>
              <w:pStyle w:val="TableParagraph"/>
              <w:spacing w:line="249" w:lineRule="auto" w:before="120"/>
              <w:ind w:left="168" w:right="171"/>
              <w:rPr>
                <w:sz w:val="20"/>
              </w:rPr>
            </w:pPr>
            <w:r>
              <w:rPr>
                <w:spacing w:val="-2"/>
                <w:sz w:val="20"/>
              </w:rPr>
              <w:t>Реконструктивно-пластические </w:t>
            </w:r>
            <w:r>
              <w:rPr>
                <w:sz w:val="20"/>
              </w:rPr>
              <w:t>операции при врожденных пороках развития черепно- челюстно-лицевой области</w:t>
            </w:r>
          </w:p>
        </w:tc>
        <w:tc>
          <w:tcPr>
            <w:tcW w:w="1935" w:type="dxa"/>
          </w:tcPr>
          <w:p>
            <w:pPr>
              <w:pStyle w:val="TableParagraph"/>
              <w:spacing w:before="120"/>
              <w:ind w:left="98" w:right="77"/>
              <w:jc w:val="center"/>
              <w:rPr>
                <w:sz w:val="20"/>
              </w:rPr>
            </w:pPr>
            <w:hyperlink r:id="rId514">
              <w:r>
                <w:rPr>
                  <w:spacing w:val="-4"/>
                  <w:sz w:val="20"/>
                </w:rPr>
                <w:t>Q36.9</w:t>
              </w:r>
            </w:hyperlink>
          </w:p>
        </w:tc>
        <w:tc>
          <w:tcPr>
            <w:tcW w:w="3185" w:type="dxa"/>
          </w:tcPr>
          <w:p>
            <w:pPr>
              <w:pStyle w:val="TableParagraph"/>
              <w:spacing w:line="249" w:lineRule="auto" w:before="120"/>
              <w:ind w:left="89"/>
              <w:rPr>
                <w:sz w:val="20"/>
              </w:rPr>
            </w:pPr>
            <w:r>
              <w:rPr>
                <w:sz w:val="20"/>
              </w:rPr>
              <w:t>врожденная</w:t>
            </w:r>
            <w:r>
              <w:rPr>
                <w:spacing w:val="-13"/>
                <w:sz w:val="20"/>
              </w:rPr>
              <w:t> </w:t>
            </w:r>
            <w:r>
              <w:rPr>
                <w:sz w:val="20"/>
              </w:rPr>
              <w:t>полная</w:t>
            </w:r>
            <w:r>
              <w:rPr>
                <w:spacing w:val="-12"/>
                <w:sz w:val="20"/>
              </w:rPr>
              <w:t> </w:t>
            </w:r>
            <w:r>
              <w:rPr>
                <w:sz w:val="20"/>
              </w:rPr>
              <w:t>односторонняя расщелина верхней губы</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before="120"/>
              <w:ind w:left="219"/>
              <w:rPr>
                <w:sz w:val="20"/>
              </w:rPr>
            </w:pPr>
            <w:r>
              <w:rPr>
                <w:w w:val="95"/>
                <w:sz w:val="20"/>
              </w:rPr>
              <w:t>реконструктивная</w:t>
            </w:r>
            <w:r>
              <w:rPr>
                <w:spacing w:val="57"/>
                <w:sz w:val="20"/>
              </w:rPr>
              <w:t> </w:t>
            </w:r>
            <w:r>
              <w:rPr>
                <w:spacing w:val="-2"/>
                <w:sz w:val="20"/>
              </w:rPr>
              <w:t>хейлоринопластика</w:t>
            </w:r>
          </w:p>
        </w:tc>
        <w:tc>
          <w:tcPr>
            <w:tcW w:w="998" w:type="dxa"/>
          </w:tcPr>
          <w:p>
            <w:pPr>
              <w:pStyle w:val="TableParagraph"/>
              <w:spacing w:before="120"/>
              <w:ind w:right="50"/>
              <w:jc w:val="right"/>
              <w:rPr>
                <w:sz w:val="20"/>
              </w:rPr>
            </w:pPr>
            <w:r>
              <w:rPr>
                <w:spacing w:val="-2"/>
                <w:sz w:val="20"/>
              </w:rPr>
              <w:t>135258</w:t>
            </w:r>
          </w:p>
        </w:tc>
      </w:tr>
      <w:tr>
        <w:trPr>
          <w:trHeight w:val="1200" w:hRule="atLeast"/>
        </w:trPr>
        <w:tc>
          <w:tcPr>
            <w:tcW w:w="472" w:type="dxa"/>
          </w:tcPr>
          <w:p>
            <w:pPr>
              <w:pStyle w:val="TableParagraph"/>
              <w:rPr>
                <w:sz w:val="18"/>
              </w:rPr>
            </w:pPr>
          </w:p>
        </w:tc>
        <w:tc>
          <w:tcPr>
            <w:tcW w:w="3029" w:type="dxa"/>
            <w:vMerge/>
            <w:tcBorders>
              <w:top w:val="nil"/>
            </w:tcBorders>
          </w:tcPr>
          <w:p>
            <w:pPr>
              <w:rPr>
                <w:sz w:val="2"/>
                <w:szCs w:val="2"/>
              </w:rPr>
            </w:pPr>
          </w:p>
        </w:tc>
        <w:tc>
          <w:tcPr>
            <w:tcW w:w="1935" w:type="dxa"/>
          </w:tcPr>
          <w:p>
            <w:pPr>
              <w:pStyle w:val="TableParagraph"/>
              <w:spacing w:before="120"/>
              <w:ind w:left="98" w:right="80"/>
              <w:jc w:val="center"/>
              <w:rPr>
                <w:sz w:val="20"/>
              </w:rPr>
            </w:pPr>
            <w:hyperlink r:id="rId515">
              <w:r>
                <w:rPr>
                  <w:sz w:val="20"/>
                </w:rPr>
                <w:t>L91,</w:t>
              </w:r>
              <w:r>
                <w:rPr>
                  <w:spacing w:val="-4"/>
                  <w:sz w:val="20"/>
                </w:rPr>
                <w:t> </w:t>
              </w:r>
            </w:hyperlink>
            <w:hyperlink r:id="rId470">
              <w:r>
                <w:rPr>
                  <w:sz w:val="20"/>
                </w:rPr>
                <w:t>M96,</w:t>
              </w:r>
              <w:r>
                <w:rPr>
                  <w:spacing w:val="-1"/>
                  <w:sz w:val="20"/>
                </w:rPr>
                <w:t> </w:t>
              </w:r>
            </w:hyperlink>
            <w:hyperlink r:id="rId516">
              <w:r>
                <w:rPr>
                  <w:spacing w:val="-2"/>
                  <w:sz w:val="20"/>
                </w:rPr>
                <w:t>M95.0</w:t>
              </w:r>
            </w:hyperlink>
          </w:p>
        </w:tc>
        <w:tc>
          <w:tcPr>
            <w:tcW w:w="3185" w:type="dxa"/>
          </w:tcPr>
          <w:p>
            <w:pPr>
              <w:pStyle w:val="TableParagraph"/>
              <w:spacing w:line="249" w:lineRule="auto" w:before="120"/>
              <w:ind w:left="89" w:right="139"/>
              <w:rPr>
                <w:sz w:val="20"/>
              </w:rPr>
            </w:pPr>
            <w:r>
              <w:rPr>
                <w:sz w:val="20"/>
              </w:rPr>
              <w:t>рубцовая</w:t>
            </w:r>
            <w:r>
              <w:rPr>
                <w:spacing w:val="-13"/>
                <w:sz w:val="20"/>
              </w:rPr>
              <w:t> </w:t>
            </w:r>
            <w:r>
              <w:rPr>
                <w:sz w:val="20"/>
              </w:rPr>
              <w:t>деформация</w:t>
            </w:r>
            <w:r>
              <w:rPr>
                <w:spacing w:val="-12"/>
                <w:sz w:val="20"/>
              </w:rPr>
              <w:t> </w:t>
            </w:r>
            <w:r>
              <w:rPr>
                <w:sz w:val="20"/>
              </w:rPr>
              <w:t>верхней губы и концевого отдела носа после ранее проведенной </w:t>
            </w:r>
            <w:r>
              <w:rPr>
                <w:spacing w:val="-2"/>
                <w:sz w:val="20"/>
              </w:rPr>
              <w:t>хейлоринопластики</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118"/>
              <w:rPr>
                <w:sz w:val="20"/>
              </w:rPr>
            </w:pPr>
            <w:r>
              <w:rPr>
                <w:sz w:val="20"/>
              </w:rPr>
              <w:t>хирургическая</w:t>
            </w:r>
            <w:r>
              <w:rPr>
                <w:spacing w:val="-13"/>
                <w:sz w:val="20"/>
              </w:rPr>
              <w:t> </w:t>
            </w:r>
            <w:r>
              <w:rPr>
                <w:sz w:val="20"/>
              </w:rPr>
              <w:t>коррекция</w:t>
            </w:r>
            <w:r>
              <w:rPr>
                <w:spacing w:val="-12"/>
                <w:sz w:val="20"/>
              </w:rPr>
              <w:t> </w:t>
            </w:r>
            <w:r>
              <w:rPr>
                <w:sz w:val="20"/>
              </w:rPr>
              <w:t>рубцовой деформации верхней губы и носа местными тканями</w:t>
            </w:r>
          </w:p>
        </w:tc>
        <w:tc>
          <w:tcPr>
            <w:tcW w:w="998" w:type="dxa"/>
          </w:tcPr>
          <w:p>
            <w:pPr>
              <w:pStyle w:val="TableParagraph"/>
              <w:rPr>
                <w:sz w:val="18"/>
              </w:rPr>
            </w:pPr>
          </w:p>
        </w:tc>
      </w:tr>
      <w:tr>
        <w:trPr>
          <w:trHeight w:val="1200" w:hRule="atLeast"/>
        </w:trPr>
        <w:tc>
          <w:tcPr>
            <w:tcW w:w="472" w:type="dxa"/>
          </w:tcPr>
          <w:p>
            <w:pPr>
              <w:pStyle w:val="TableParagraph"/>
              <w:rPr>
                <w:sz w:val="18"/>
              </w:rPr>
            </w:pPr>
          </w:p>
        </w:tc>
        <w:tc>
          <w:tcPr>
            <w:tcW w:w="3029" w:type="dxa"/>
          </w:tcPr>
          <w:p>
            <w:pPr>
              <w:pStyle w:val="TableParagraph"/>
              <w:rPr>
                <w:sz w:val="18"/>
              </w:rPr>
            </w:pPr>
          </w:p>
        </w:tc>
        <w:tc>
          <w:tcPr>
            <w:tcW w:w="1935" w:type="dxa"/>
          </w:tcPr>
          <w:p>
            <w:pPr>
              <w:pStyle w:val="TableParagraph"/>
              <w:spacing w:before="120"/>
              <w:ind w:left="98" w:right="79"/>
              <w:jc w:val="center"/>
              <w:rPr>
                <w:sz w:val="20"/>
              </w:rPr>
            </w:pPr>
            <w:hyperlink r:id="rId517">
              <w:r>
                <w:rPr>
                  <w:sz w:val="20"/>
                </w:rPr>
                <w:t>Q35.1,</w:t>
              </w:r>
              <w:r>
                <w:rPr>
                  <w:spacing w:val="-2"/>
                  <w:sz w:val="20"/>
                </w:rPr>
                <w:t> </w:t>
              </w:r>
            </w:hyperlink>
            <w:hyperlink r:id="rId470">
              <w:r>
                <w:rPr>
                  <w:spacing w:val="-5"/>
                  <w:sz w:val="20"/>
                </w:rPr>
                <w:t>M96</w:t>
              </w:r>
            </w:hyperlink>
          </w:p>
        </w:tc>
        <w:tc>
          <w:tcPr>
            <w:tcW w:w="3185" w:type="dxa"/>
          </w:tcPr>
          <w:p>
            <w:pPr>
              <w:pStyle w:val="TableParagraph"/>
              <w:spacing w:line="249" w:lineRule="auto" w:before="120"/>
              <w:ind w:left="89" w:right="707"/>
              <w:rPr>
                <w:sz w:val="20"/>
              </w:rPr>
            </w:pPr>
            <w:r>
              <w:rPr>
                <w:sz w:val="20"/>
              </w:rPr>
              <w:t>послеоперационный</w:t>
            </w:r>
            <w:r>
              <w:rPr>
                <w:spacing w:val="-13"/>
                <w:sz w:val="20"/>
              </w:rPr>
              <w:t> </w:t>
            </w:r>
            <w:r>
              <w:rPr>
                <w:sz w:val="20"/>
              </w:rPr>
              <w:t>дефект твердого неба</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585"/>
              <w:rPr>
                <w:sz w:val="20"/>
              </w:rPr>
            </w:pPr>
            <w:r>
              <w:rPr>
                <w:sz w:val="20"/>
              </w:rPr>
              <w:t>пластика</w:t>
            </w:r>
            <w:r>
              <w:rPr>
                <w:spacing w:val="-11"/>
                <w:sz w:val="20"/>
              </w:rPr>
              <w:t> </w:t>
            </w:r>
            <w:r>
              <w:rPr>
                <w:sz w:val="20"/>
              </w:rPr>
              <w:t>твердого</w:t>
            </w:r>
            <w:r>
              <w:rPr>
                <w:spacing w:val="-10"/>
                <w:sz w:val="20"/>
              </w:rPr>
              <w:t> </w:t>
            </w:r>
            <w:r>
              <w:rPr>
                <w:sz w:val="20"/>
              </w:rPr>
              <w:t>неба</w:t>
            </w:r>
            <w:r>
              <w:rPr>
                <w:spacing w:val="-12"/>
                <w:sz w:val="20"/>
              </w:rPr>
              <w:t> </w:t>
            </w:r>
            <w:r>
              <w:rPr>
                <w:sz w:val="20"/>
              </w:rPr>
              <w:t>лоскутом</w:t>
            </w:r>
            <w:r>
              <w:rPr>
                <w:spacing w:val="-10"/>
                <w:sz w:val="20"/>
              </w:rPr>
              <w:t> </w:t>
            </w:r>
            <w:r>
              <w:rPr>
                <w:sz w:val="20"/>
              </w:rPr>
              <w:t>на ножке из прилегающих участков</w:t>
            </w:r>
            <w:r>
              <w:rPr>
                <w:spacing w:val="40"/>
                <w:sz w:val="20"/>
              </w:rPr>
              <w:t> </w:t>
            </w:r>
            <w:r>
              <w:rPr>
                <w:sz w:val="20"/>
              </w:rPr>
              <w:t>(из щеки, языка, верхней губы, носогубной складки)</w:t>
            </w:r>
          </w:p>
        </w:tc>
        <w:tc>
          <w:tcPr>
            <w:tcW w:w="998" w:type="dxa"/>
          </w:tcPr>
          <w:p>
            <w:pPr>
              <w:pStyle w:val="TableParagraph"/>
              <w:rPr>
                <w:sz w:val="18"/>
              </w:rPr>
            </w:pPr>
          </w:p>
        </w:tc>
      </w:tr>
      <w:tr>
        <w:trPr>
          <w:trHeight w:val="830" w:hRule="atLeast"/>
        </w:trPr>
        <w:tc>
          <w:tcPr>
            <w:tcW w:w="472" w:type="dxa"/>
          </w:tcPr>
          <w:p>
            <w:pPr>
              <w:pStyle w:val="TableParagraph"/>
              <w:rPr>
                <w:sz w:val="18"/>
              </w:rPr>
            </w:pPr>
          </w:p>
        </w:tc>
        <w:tc>
          <w:tcPr>
            <w:tcW w:w="3029" w:type="dxa"/>
          </w:tcPr>
          <w:p>
            <w:pPr>
              <w:pStyle w:val="TableParagraph"/>
              <w:rPr>
                <w:sz w:val="18"/>
              </w:rPr>
            </w:pPr>
          </w:p>
        </w:tc>
        <w:tc>
          <w:tcPr>
            <w:tcW w:w="1935" w:type="dxa"/>
          </w:tcPr>
          <w:p>
            <w:pPr>
              <w:pStyle w:val="TableParagraph"/>
              <w:rPr>
                <w:sz w:val="18"/>
              </w:rPr>
            </w:pPr>
          </w:p>
        </w:tc>
        <w:tc>
          <w:tcPr>
            <w:tcW w:w="3185" w:type="dxa"/>
          </w:tcPr>
          <w:p>
            <w:pPr>
              <w:pStyle w:val="TableParagraph"/>
              <w:rPr>
                <w:sz w:val="18"/>
              </w:rPr>
            </w:pPr>
          </w:p>
        </w:tc>
        <w:tc>
          <w:tcPr>
            <w:tcW w:w="1539" w:type="dxa"/>
          </w:tcPr>
          <w:p>
            <w:pPr>
              <w:pStyle w:val="TableParagraph"/>
              <w:rPr>
                <w:sz w:val="18"/>
              </w:rPr>
            </w:pPr>
          </w:p>
        </w:tc>
        <w:tc>
          <w:tcPr>
            <w:tcW w:w="3885" w:type="dxa"/>
          </w:tcPr>
          <w:p>
            <w:pPr>
              <w:pStyle w:val="TableParagraph"/>
              <w:spacing w:line="240" w:lineRule="atLeast" w:before="90"/>
              <w:ind w:left="219" w:right="825"/>
              <w:rPr>
                <w:sz w:val="20"/>
              </w:rPr>
            </w:pPr>
            <w:r>
              <w:rPr>
                <w:spacing w:val="-2"/>
                <w:sz w:val="20"/>
              </w:rPr>
              <w:t>реконструктивно-пластическая </w:t>
            </w:r>
            <w:r>
              <w:rPr>
                <w:sz w:val="20"/>
              </w:rPr>
              <w:t>операция с использованием реваскуляризированного</w:t>
            </w:r>
            <w:r>
              <w:rPr>
                <w:spacing w:val="-13"/>
                <w:sz w:val="20"/>
              </w:rPr>
              <w:t> </w:t>
            </w:r>
            <w:r>
              <w:rPr>
                <w:sz w:val="20"/>
              </w:rPr>
              <w:t>лоскута</w:t>
            </w:r>
          </w:p>
        </w:tc>
        <w:tc>
          <w:tcPr>
            <w:tcW w:w="99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1"/>
        <w:gridCol w:w="1752"/>
        <w:gridCol w:w="3143"/>
        <w:gridCol w:w="1594"/>
        <w:gridCol w:w="3609"/>
      </w:tblGrid>
      <w:tr>
        <w:trPr>
          <w:trHeight w:val="1550" w:hRule="atLeast"/>
        </w:trPr>
        <w:tc>
          <w:tcPr>
            <w:tcW w:w="3081" w:type="dxa"/>
          </w:tcPr>
          <w:p>
            <w:pPr>
              <w:pStyle w:val="TableParagraph"/>
              <w:rPr>
                <w:sz w:val="18"/>
              </w:rPr>
            </w:pPr>
          </w:p>
        </w:tc>
        <w:tc>
          <w:tcPr>
            <w:tcW w:w="1752" w:type="dxa"/>
          </w:tcPr>
          <w:p>
            <w:pPr>
              <w:pStyle w:val="TableParagraph"/>
              <w:spacing w:line="221" w:lineRule="exact"/>
              <w:ind w:left="231" w:right="367"/>
              <w:jc w:val="center"/>
              <w:rPr>
                <w:sz w:val="20"/>
              </w:rPr>
            </w:pPr>
            <w:hyperlink r:id="rId518">
              <w:r>
                <w:rPr>
                  <w:sz w:val="20"/>
                </w:rPr>
                <w:t>Q35,</w:t>
              </w:r>
              <w:r>
                <w:rPr>
                  <w:spacing w:val="-1"/>
                  <w:sz w:val="20"/>
                </w:rPr>
                <w:t> </w:t>
              </w:r>
            </w:hyperlink>
            <w:hyperlink r:id="rId519">
              <w:r>
                <w:rPr>
                  <w:spacing w:val="-5"/>
                  <w:sz w:val="20"/>
                </w:rPr>
                <w:t>Q38</w:t>
              </w:r>
            </w:hyperlink>
          </w:p>
        </w:tc>
        <w:tc>
          <w:tcPr>
            <w:tcW w:w="3143" w:type="dxa"/>
          </w:tcPr>
          <w:p>
            <w:pPr>
              <w:pStyle w:val="TableParagraph"/>
              <w:spacing w:line="249" w:lineRule="auto"/>
              <w:ind w:left="102" w:right="139"/>
              <w:rPr>
                <w:sz w:val="20"/>
              </w:rPr>
            </w:pPr>
            <w:r>
              <w:rPr>
                <w:sz w:val="20"/>
              </w:rPr>
              <w:t>врожденная и приобретенная небно-глоточная</w:t>
            </w:r>
            <w:r>
              <w:rPr>
                <w:spacing w:val="-13"/>
                <w:sz w:val="20"/>
              </w:rPr>
              <w:t> </w:t>
            </w:r>
            <w:r>
              <w:rPr>
                <w:sz w:val="20"/>
              </w:rPr>
              <w:t>недостаточность различного генеза</w:t>
            </w:r>
          </w:p>
        </w:tc>
        <w:tc>
          <w:tcPr>
            <w:tcW w:w="1594" w:type="dxa"/>
          </w:tcPr>
          <w:p>
            <w:pPr>
              <w:pStyle w:val="TableParagraph"/>
              <w:spacing w:line="249" w:lineRule="auto"/>
              <w:ind w:left="115"/>
              <w:rPr>
                <w:sz w:val="20"/>
              </w:rPr>
            </w:pPr>
            <w:r>
              <w:rPr>
                <w:spacing w:val="-2"/>
                <w:sz w:val="20"/>
              </w:rPr>
              <w:t>хирургическое лечение</w:t>
            </w:r>
          </w:p>
        </w:tc>
        <w:tc>
          <w:tcPr>
            <w:tcW w:w="3609" w:type="dxa"/>
          </w:tcPr>
          <w:p>
            <w:pPr>
              <w:pStyle w:val="TableParagraph"/>
              <w:spacing w:line="249" w:lineRule="auto"/>
              <w:ind w:left="218" w:right="444"/>
              <w:rPr>
                <w:sz w:val="20"/>
              </w:rPr>
            </w:pPr>
            <w:r>
              <w:rPr>
                <w:sz w:val="20"/>
              </w:rPr>
              <w:t>реконструктивная операция при небно-глоточной</w:t>
            </w:r>
            <w:r>
              <w:rPr>
                <w:spacing w:val="-13"/>
                <w:sz w:val="20"/>
              </w:rPr>
              <w:t> </w:t>
            </w:r>
            <w:r>
              <w:rPr>
                <w:sz w:val="20"/>
              </w:rPr>
              <w:t>недостаточности </w:t>
            </w:r>
            <w:r>
              <w:rPr>
                <w:spacing w:val="-2"/>
                <w:sz w:val="20"/>
              </w:rPr>
              <w:t>(велофарингопластика, </w:t>
            </w:r>
            <w:r>
              <w:rPr>
                <w:sz w:val="20"/>
              </w:rPr>
              <w:t>комбинированная повторная </w:t>
            </w:r>
            <w:r>
              <w:rPr>
                <w:spacing w:val="-2"/>
                <w:sz w:val="20"/>
              </w:rPr>
              <w:t>урановелофарингопластика, </w:t>
            </w:r>
            <w:r>
              <w:rPr>
                <w:sz w:val="20"/>
              </w:rPr>
              <w:t>сфинктерная фарингопластика)</w:t>
            </w:r>
          </w:p>
        </w:tc>
      </w:tr>
      <w:tr>
        <w:trPr>
          <w:trHeight w:val="1440" w:hRule="atLeast"/>
        </w:trPr>
        <w:tc>
          <w:tcPr>
            <w:tcW w:w="3081" w:type="dxa"/>
          </w:tcPr>
          <w:p>
            <w:pPr>
              <w:pStyle w:val="TableParagraph"/>
              <w:rPr>
                <w:sz w:val="18"/>
              </w:rPr>
            </w:pPr>
          </w:p>
        </w:tc>
        <w:tc>
          <w:tcPr>
            <w:tcW w:w="1752" w:type="dxa"/>
          </w:tcPr>
          <w:p>
            <w:pPr>
              <w:pStyle w:val="TableParagraph"/>
              <w:spacing w:before="120"/>
              <w:ind w:left="231" w:right="367"/>
              <w:jc w:val="center"/>
              <w:rPr>
                <w:sz w:val="20"/>
              </w:rPr>
            </w:pPr>
            <w:hyperlink r:id="rId520">
              <w:r>
                <w:rPr>
                  <w:sz w:val="20"/>
                </w:rPr>
                <w:t>Q18,</w:t>
              </w:r>
              <w:r>
                <w:rPr>
                  <w:spacing w:val="-1"/>
                  <w:sz w:val="20"/>
                </w:rPr>
                <w:t> </w:t>
              </w:r>
            </w:hyperlink>
            <w:hyperlink r:id="rId521">
              <w:r>
                <w:rPr>
                  <w:spacing w:val="-5"/>
                  <w:sz w:val="20"/>
                </w:rPr>
                <w:t>Q30</w:t>
              </w:r>
            </w:hyperlink>
          </w:p>
        </w:tc>
        <w:tc>
          <w:tcPr>
            <w:tcW w:w="3143" w:type="dxa"/>
          </w:tcPr>
          <w:p>
            <w:pPr>
              <w:pStyle w:val="TableParagraph"/>
              <w:spacing w:before="120"/>
              <w:ind w:left="102"/>
              <w:rPr>
                <w:sz w:val="20"/>
              </w:rPr>
            </w:pPr>
            <w:r>
              <w:rPr>
                <w:sz w:val="20"/>
              </w:rPr>
              <w:t>врожденная</w:t>
            </w:r>
            <w:r>
              <w:rPr>
                <w:spacing w:val="-9"/>
                <w:sz w:val="20"/>
              </w:rPr>
              <w:t> </w:t>
            </w:r>
            <w:r>
              <w:rPr>
                <w:sz w:val="20"/>
              </w:rPr>
              <w:t>расщелина</w:t>
            </w:r>
            <w:r>
              <w:rPr>
                <w:spacing w:val="-8"/>
                <w:sz w:val="20"/>
              </w:rPr>
              <w:t> </w:t>
            </w:r>
            <w:r>
              <w:rPr>
                <w:sz w:val="20"/>
              </w:rPr>
              <w:t>носа,</w:t>
            </w:r>
            <w:r>
              <w:rPr>
                <w:spacing w:val="-7"/>
                <w:sz w:val="20"/>
              </w:rPr>
              <w:t> </w:t>
            </w:r>
            <w:r>
              <w:rPr>
                <w:spacing w:val="-4"/>
                <w:sz w:val="20"/>
              </w:rPr>
              <w:t>лица</w:t>
            </w:r>
          </w:p>
          <w:p>
            <w:pPr>
              <w:pStyle w:val="TableParagraph"/>
              <w:spacing w:before="10"/>
              <w:ind w:left="102"/>
              <w:rPr>
                <w:sz w:val="20"/>
              </w:rPr>
            </w:pPr>
            <w:r>
              <w:rPr>
                <w:sz w:val="20"/>
              </w:rPr>
              <w:t>-</w:t>
            </w:r>
            <w:r>
              <w:rPr>
                <w:spacing w:val="-8"/>
                <w:sz w:val="20"/>
              </w:rPr>
              <w:t> </w:t>
            </w:r>
            <w:r>
              <w:rPr>
                <w:sz w:val="20"/>
              </w:rPr>
              <w:t>косая,</w:t>
            </w:r>
            <w:r>
              <w:rPr>
                <w:spacing w:val="-6"/>
                <w:sz w:val="20"/>
              </w:rPr>
              <w:t> </w:t>
            </w:r>
            <w:r>
              <w:rPr>
                <w:sz w:val="20"/>
              </w:rPr>
              <w:t>поперечная,</w:t>
            </w:r>
            <w:r>
              <w:rPr>
                <w:spacing w:val="-7"/>
                <w:sz w:val="20"/>
              </w:rPr>
              <w:t> </w:t>
            </w:r>
            <w:r>
              <w:rPr>
                <w:spacing w:val="-2"/>
                <w:sz w:val="20"/>
              </w:rPr>
              <w:t>срединная</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line="249" w:lineRule="auto" w:before="120"/>
              <w:ind w:left="218"/>
              <w:rPr>
                <w:sz w:val="20"/>
              </w:rPr>
            </w:pPr>
            <w:r>
              <w:rPr>
                <w:sz w:val="20"/>
              </w:rPr>
              <w:t>хирургическое</w:t>
            </w:r>
            <w:r>
              <w:rPr>
                <w:spacing w:val="-13"/>
                <w:sz w:val="20"/>
              </w:rPr>
              <w:t> </w:t>
            </w:r>
            <w:r>
              <w:rPr>
                <w:sz w:val="20"/>
              </w:rPr>
              <w:t>устранение</w:t>
            </w:r>
            <w:r>
              <w:rPr>
                <w:spacing w:val="-12"/>
                <w:sz w:val="20"/>
              </w:rPr>
              <w:t> </w:t>
            </w:r>
            <w:r>
              <w:rPr>
                <w:sz w:val="20"/>
              </w:rPr>
              <w:t>расщелины, в том числе методом контурной пластики с использованием трансплантационных и имплантационных материалов</w:t>
            </w:r>
          </w:p>
        </w:tc>
      </w:tr>
      <w:tr>
        <w:trPr>
          <w:trHeight w:val="1200" w:hRule="atLeast"/>
        </w:trPr>
        <w:tc>
          <w:tcPr>
            <w:tcW w:w="4833" w:type="dxa"/>
            <w:gridSpan w:val="2"/>
          </w:tcPr>
          <w:p>
            <w:pPr>
              <w:pStyle w:val="TableParagraph"/>
              <w:spacing w:before="120"/>
              <w:ind w:left="3045"/>
              <w:rPr>
                <w:sz w:val="20"/>
              </w:rPr>
            </w:pPr>
            <w:hyperlink r:id="rId522">
              <w:r>
                <w:rPr>
                  <w:sz w:val="20"/>
                </w:rPr>
                <w:t>K07.0,</w:t>
              </w:r>
              <w:r>
                <w:rPr>
                  <w:spacing w:val="-3"/>
                  <w:sz w:val="20"/>
                </w:rPr>
                <w:t> </w:t>
              </w:r>
            </w:hyperlink>
            <w:hyperlink r:id="rId523">
              <w:r>
                <w:rPr>
                  <w:sz w:val="20"/>
                </w:rPr>
                <w:t>K07.1,</w:t>
              </w:r>
              <w:r>
                <w:rPr>
                  <w:spacing w:val="-4"/>
                  <w:sz w:val="20"/>
                </w:rPr>
                <w:t> </w:t>
              </w:r>
            </w:hyperlink>
            <w:hyperlink r:id="rId524">
              <w:r>
                <w:rPr>
                  <w:spacing w:val="-4"/>
                  <w:sz w:val="20"/>
                </w:rPr>
                <w:t>K07.2</w:t>
              </w:r>
            </w:hyperlink>
          </w:p>
        </w:tc>
        <w:tc>
          <w:tcPr>
            <w:tcW w:w="3143" w:type="dxa"/>
          </w:tcPr>
          <w:p>
            <w:pPr>
              <w:pStyle w:val="TableParagraph"/>
              <w:spacing w:line="249" w:lineRule="auto" w:before="120"/>
              <w:ind w:left="102" w:right="566"/>
              <w:rPr>
                <w:sz w:val="20"/>
              </w:rPr>
            </w:pPr>
            <w:r>
              <w:rPr>
                <w:sz w:val="20"/>
              </w:rPr>
              <w:t>аномалии</w:t>
            </w:r>
            <w:r>
              <w:rPr>
                <w:spacing w:val="-13"/>
                <w:sz w:val="20"/>
              </w:rPr>
              <w:t> </w:t>
            </w:r>
            <w:r>
              <w:rPr>
                <w:sz w:val="20"/>
              </w:rPr>
              <w:t>челюстно-лицевой области, включая аномалии </w:t>
            </w:r>
            <w:r>
              <w:rPr>
                <w:spacing w:val="-2"/>
                <w:sz w:val="20"/>
              </w:rPr>
              <w:t>прикуса</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line="249" w:lineRule="auto" w:before="120"/>
              <w:ind w:left="218" w:right="101"/>
              <w:rPr>
                <w:sz w:val="20"/>
              </w:rPr>
            </w:pPr>
            <w:r>
              <w:rPr>
                <w:sz w:val="20"/>
              </w:rPr>
              <w:t>хирургическое устранение аномалий челюстно-лицевой области путем остеотомии</w:t>
            </w:r>
            <w:r>
              <w:rPr>
                <w:spacing w:val="-13"/>
                <w:sz w:val="20"/>
              </w:rPr>
              <w:t> </w:t>
            </w:r>
            <w:r>
              <w:rPr>
                <w:sz w:val="20"/>
              </w:rPr>
              <w:t>и</w:t>
            </w:r>
            <w:r>
              <w:rPr>
                <w:spacing w:val="-12"/>
                <w:sz w:val="20"/>
              </w:rPr>
              <w:t> </w:t>
            </w:r>
            <w:r>
              <w:rPr>
                <w:sz w:val="20"/>
              </w:rPr>
              <w:t>перемещения</w:t>
            </w:r>
            <w:r>
              <w:rPr>
                <w:spacing w:val="-13"/>
                <w:sz w:val="20"/>
              </w:rPr>
              <w:t> </w:t>
            </w:r>
            <w:r>
              <w:rPr>
                <w:sz w:val="20"/>
              </w:rPr>
              <w:t>суставных дисков и зубочелюстных комплексов</w:t>
            </w:r>
          </w:p>
        </w:tc>
      </w:tr>
      <w:tr>
        <w:trPr>
          <w:trHeight w:val="960" w:hRule="atLeast"/>
        </w:trPr>
        <w:tc>
          <w:tcPr>
            <w:tcW w:w="3081" w:type="dxa"/>
            <w:vMerge w:val="restart"/>
          </w:tcPr>
          <w:p>
            <w:pPr>
              <w:pStyle w:val="TableParagraph"/>
              <w:spacing w:line="240" w:lineRule="atLeast" w:before="100"/>
              <w:ind w:left="50" w:right="221"/>
              <w:rPr>
                <w:sz w:val="20"/>
              </w:rPr>
            </w:pPr>
            <w:r>
              <w:rPr>
                <w:spacing w:val="-2"/>
                <w:sz w:val="20"/>
              </w:rPr>
              <w:t>Реконструктивно-пластические </w:t>
            </w:r>
            <w:r>
              <w:rPr>
                <w:sz w:val="20"/>
              </w:rPr>
              <w:t>операции по устранению обширных дефектов и деформаций мягких тканей, отдельных</w:t>
            </w:r>
            <w:r>
              <w:rPr>
                <w:spacing w:val="-13"/>
                <w:sz w:val="20"/>
              </w:rPr>
              <w:t> </w:t>
            </w:r>
            <w:r>
              <w:rPr>
                <w:sz w:val="20"/>
              </w:rPr>
              <w:t>анатомических</w:t>
            </w:r>
            <w:r>
              <w:rPr>
                <w:spacing w:val="-12"/>
                <w:sz w:val="20"/>
              </w:rPr>
              <w:t> </w:t>
            </w:r>
            <w:r>
              <w:rPr>
                <w:sz w:val="20"/>
              </w:rPr>
              <w:t>зон</w:t>
            </w:r>
            <w:r>
              <w:rPr>
                <w:spacing w:val="-13"/>
                <w:sz w:val="20"/>
              </w:rPr>
              <w:t> </w:t>
            </w:r>
            <w:r>
              <w:rPr>
                <w:sz w:val="20"/>
              </w:rPr>
              <w:t>и (или) структур головы, лица и </w:t>
            </w:r>
            <w:r>
              <w:rPr>
                <w:spacing w:val="-4"/>
                <w:sz w:val="20"/>
              </w:rPr>
              <w:t>шеи</w:t>
            </w:r>
          </w:p>
        </w:tc>
        <w:tc>
          <w:tcPr>
            <w:tcW w:w="1752" w:type="dxa"/>
          </w:tcPr>
          <w:p>
            <w:pPr>
              <w:pStyle w:val="TableParagraph"/>
              <w:spacing w:before="120"/>
              <w:ind w:left="233" w:right="367"/>
              <w:jc w:val="center"/>
              <w:rPr>
                <w:sz w:val="20"/>
              </w:rPr>
            </w:pPr>
            <w:hyperlink r:id="rId432">
              <w:r>
                <w:rPr>
                  <w:sz w:val="20"/>
                </w:rPr>
                <w:t>M95.1,</w:t>
              </w:r>
              <w:r>
                <w:rPr>
                  <w:spacing w:val="-2"/>
                  <w:sz w:val="20"/>
                </w:rPr>
                <w:t> </w:t>
              </w:r>
            </w:hyperlink>
            <w:hyperlink r:id="rId525">
              <w:r>
                <w:rPr>
                  <w:spacing w:val="-2"/>
                  <w:sz w:val="20"/>
                </w:rPr>
                <w:t>Q87.0</w:t>
              </w:r>
            </w:hyperlink>
          </w:p>
        </w:tc>
        <w:tc>
          <w:tcPr>
            <w:tcW w:w="3143" w:type="dxa"/>
          </w:tcPr>
          <w:p>
            <w:pPr>
              <w:pStyle w:val="TableParagraph"/>
              <w:spacing w:line="249" w:lineRule="auto" w:before="120"/>
              <w:ind w:left="102" w:right="139"/>
              <w:rPr>
                <w:sz w:val="20"/>
              </w:rPr>
            </w:pPr>
            <w:r>
              <w:rPr>
                <w:sz w:val="20"/>
              </w:rPr>
              <w:t>субтотальный дефект и деформация</w:t>
            </w:r>
            <w:r>
              <w:rPr>
                <w:spacing w:val="-13"/>
                <w:sz w:val="20"/>
              </w:rPr>
              <w:t> </w:t>
            </w:r>
            <w:r>
              <w:rPr>
                <w:sz w:val="20"/>
              </w:rPr>
              <w:t>ушной</w:t>
            </w:r>
            <w:r>
              <w:rPr>
                <w:spacing w:val="-12"/>
                <w:sz w:val="20"/>
              </w:rPr>
              <w:t> </w:t>
            </w:r>
            <w:r>
              <w:rPr>
                <w:sz w:val="20"/>
              </w:rPr>
              <w:t>раковины</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line="249" w:lineRule="auto" w:before="120"/>
              <w:ind w:left="218"/>
              <w:rPr>
                <w:sz w:val="20"/>
              </w:rPr>
            </w:pPr>
            <w:r>
              <w:rPr>
                <w:sz w:val="20"/>
              </w:rPr>
              <w:t>пластика</w:t>
            </w:r>
            <w:r>
              <w:rPr>
                <w:spacing w:val="-11"/>
                <w:sz w:val="20"/>
              </w:rPr>
              <w:t> </w:t>
            </w:r>
            <w:r>
              <w:rPr>
                <w:sz w:val="20"/>
              </w:rPr>
              <w:t>с</w:t>
            </w:r>
            <w:r>
              <w:rPr>
                <w:spacing w:val="-11"/>
                <w:sz w:val="20"/>
              </w:rPr>
              <w:t> </w:t>
            </w:r>
            <w:r>
              <w:rPr>
                <w:sz w:val="20"/>
              </w:rPr>
              <w:t>использованием</w:t>
            </w:r>
            <w:r>
              <w:rPr>
                <w:spacing w:val="-11"/>
                <w:sz w:val="20"/>
              </w:rPr>
              <w:t> </w:t>
            </w:r>
            <w:r>
              <w:rPr>
                <w:sz w:val="20"/>
              </w:rPr>
              <w:t>тканей</w:t>
            </w:r>
            <w:r>
              <w:rPr>
                <w:spacing w:val="-10"/>
                <w:sz w:val="20"/>
              </w:rPr>
              <w:t> </w:t>
            </w:r>
            <w:r>
              <w:rPr>
                <w:sz w:val="20"/>
              </w:rPr>
              <w:t>из прилегающих к ушной раковине </w:t>
            </w:r>
            <w:r>
              <w:rPr>
                <w:spacing w:val="-2"/>
                <w:sz w:val="20"/>
              </w:rPr>
              <w:t>участков</w:t>
            </w:r>
          </w:p>
        </w:tc>
      </w:tr>
      <w:tr>
        <w:trPr>
          <w:trHeight w:val="840" w:hRule="atLeast"/>
        </w:trPr>
        <w:tc>
          <w:tcPr>
            <w:tcW w:w="3081" w:type="dxa"/>
            <w:vMerge/>
            <w:tcBorders>
              <w:top w:val="nil"/>
            </w:tcBorders>
          </w:tcPr>
          <w:p>
            <w:pPr>
              <w:rPr>
                <w:sz w:val="2"/>
                <w:szCs w:val="2"/>
              </w:rPr>
            </w:pPr>
          </w:p>
        </w:tc>
        <w:tc>
          <w:tcPr>
            <w:tcW w:w="1752" w:type="dxa"/>
            <w:vMerge w:val="restart"/>
          </w:tcPr>
          <w:p>
            <w:pPr>
              <w:pStyle w:val="TableParagraph"/>
              <w:spacing w:before="120"/>
              <w:ind w:left="560"/>
              <w:rPr>
                <w:sz w:val="20"/>
              </w:rPr>
            </w:pPr>
            <w:hyperlink r:id="rId526">
              <w:r>
                <w:rPr>
                  <w:spacing w:val="-4"/>
                  <w:sz w:val="20"/>
                </w:rPr>
                <w:t>Q18.5</w:t>
              </w:r>
            </w:hyperlink>
          </w:p>
          <w:p>
            <w:pPr>
              <w:pStyle w:val="TableParagraph"/>
              <w:rPr>
                <w:sz w:val="22"/>
              </w:rPr>
            </w:pPr>
          </w:p>
          <w:p>
            <w:pPr>
              <w:pStyle w:val="TableParagraph"/>
              <w:spacing w:before="7"/>
              <w:rPr>
                <w:sz w:val="20"/>
              </w:rPr>
            </w:pPr>
          </w:p>
          <w:p>
            <w:pPr>
              <w:pStyle w:val="TableParagraph"/>
              <w:ind w:left="560"/>
              <w:rPr>
                <w:sz w:val="20"/>
              </w:rPr>
            </w:pPr>
            <w:r>
              <w:rPr>
                <w:spacing w:val="-4"/>
                <w:sz w:val="20"/>
              </w:rPr>
              <w:t>Q18.4</w:t>
            </w:r>
          </w:p>
        </w:tc>
        <w:tc>
          <w:tcPr>
            <w:tcW w:w="3143" w:type="dxa"/>
          </w:tcPr>
          <w:p>
            <w:pPr>
              <w:pStyle w:val="TableParagraph"/>
              <w:spacing w:before="120"/>
              <w:ind w:left="102"/>
              <w:rPr>
                <w:sz w:val="20"/>
              </w:rPr>
            </w:pPr>
            <w:r>
              <w:rPr>
                <w:spacing w:val="-2"/>
                <w:sz w:val="20"/>
              </w:rPr>
              <w:t>микростомия</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before="120"/>
              <w:ind w:left="218"/>
              <w:rPr>
                <w:sz w:val="20"/>
              </w:rPr>
            </w:pPr>
            <w:r>
              <w:rPr>
                <w:sz w:val="20"/>
              </w:rPr>
              <w:t>пластическое</w:t>
            </w:r>
            <w:r>
              <w:rPr>
                <w:spacing w:val="-10"/>
                <w:sz w:val="20"/>
              </w:rPr>
              <w:t> </w:t>
            </w:r>
            <w:r>
              <w:rPr>
                <w:sz w:val="20"/>
              </w:rPr>
              <w:t>устранение</w:t>
            </w:r>
            <w:r>
              <w:rPr>
                <w:spacing w:val="-13"/>
                <w:sz w:val="20"/>
              </w:rPr>
              <w:t> </w:t>
            </w:r>
            <w:r>
              <w:rPr>
                <w:spacing w:val="-2"/>
                <w:sz w:val="20"/>
              </w:rPr>
              <w:t>микростомы</w:t>
            </w:r>
          </w:p>
        </w:tc>
      </w:tr>
      <w:tr>
        <w:trPr>
          <w:trHeight w:val="600" w:hRule="atLeast"/>
        </w:trPr>
        <w:tc>
          <w:tcPr>
            <w:tcW w:w="3081" w:type="dxa"/>
          </w:tcPr>
          <w:p>
            <w:pPr>
              <w:pStyle w:val="TableParagraph"/>
              <w:rPr>
                <w:sz w:val="18"/>
              </w:rPr>
            </w:pPr>
          </w:p>
        </w:tc>
        <w:tc>
          <w:tcPr>
            <w:tcW w:w="1752" w:type="dxa"/>
            <w:vMerge/>
            <w:tcBorders>
              <w:top w:val="nil"/>
            </w:tcBorders>
          </w:tcPr>
          <w:p>
            <w:pPr>
              <w:rPr>
                <w:sz w:val="2"/>
                <w:szCs w:val="2"/>
              </w:rPr>
            </w:pPr>
          </w:p>
        </w:tc>
        <w:tc>
          <w:tcPr>
            <w:tcW w:w="3143" w:type="dxa"/>
          </w:tcPr>
          <w:p>
            <w:pPr>
              <w:pStyle w:val="TableParagraph"/>
              <w:ind w:left="102"/>
              <w:rPr>
                <w:sz w:val="20"/>
              </w:rPr>
            </w:pPr>
            <w:r>
              <w:rPr>
                <w:spacing w:val="-2"/>
                <w:sz w:val="20"/>
              </w:rPr>
              <w:t>макростомия</w:t>
            </w:r>
          </w:p>
        </w:tc>
        <w:tc>
          <w:tcPr>
            <w:tcW w:w="1594" w:type="dxa"/>
          </w:tcPr>
          <w:p>
            <w:pPr>
              <w:pStyle w:val="TableParagraph"/>
              <w:spacing w:line="252" w:lineRule="auto"/>
              <w:ind w:left="115"/>
              <w:rPr>
                <w:sz w:val="20"/>
              </w:rPr>
            </w:pPr>
            <w:r>
              <w:rPr>
                <w:spacing w:val="-2"/>
                <w:sz w:val="20"/>
              </w:rPr>
              <w:t>хирургическое лечение</w:t>
            </w:r>
          </w:p>
        </w:tc>
        <w:tc>
          <w:tcPr>
            <w:tcW w:w="3609" w:type="dxa"/>
          </w:tcPr>
          <w:p>
            <w:pPr>
              <w:pStyle w:val="TableParagraph"/>
              <w:ind w:left="218"/>
              <w:rPr>
                <w:sz w:val="20"/>
              </w:rPr>
            </w:pPr>
            <w:r>
              <w:rPr>
                <w:sz w:val="20"/>
              </w:rPr>
              <w:t>пластическое</w:t>
            </w:r>
            <w:r>
              <w:rPr>
                <w:spacing w:val="-10"/>
                <w:sz w:val="20"/>
              </w:rPr>
              <w:t> </w:t>
            </w:r>
            <w:r>
              <w:rPr>
                <w:sz w:val="20"/>
              </w:rPr>
              <w:t>устранение</w:t>
            </w:r>
            <w:r>
              <w:rPr>
                <w:spacing w:val="-13"/>
                <w:sz w:val="20"/>
              </w:rPr>
              <w:t> </w:t>
            </w:r>
            <w:r>
              <w:rPr>
                <w:spacing w:val="-2"/>
                <w:sz w:val="20"/>
              </w:rPr>
              <w:t>макростомы</w:t>
            </w:r>
          </w:p>
        </w:tc>
      </w:tr>
      <w:tr>
        <w:trPr>
          <w:trHeight w:val="1550" w:hRule="atLeast"/>
        </w:trPr>
        <w:tc>
          <w:tcPr>
            <w:tcW w:w="3081" w:type="dxa"/>
          </w:tcPr>
          <w:p>
            <w:pPr>
              <w:pStyle w:val="TableParagraph"/>
              <w:spacing w:line="240" w:lineRule="atLeast" w:before="90"/>
              <w:ind w:left="50" w:right="221"/>
              <w:rPr>
                <w:sz w:val="20"/>
              </w:rPr>
            </w:pPr>
            <w:r>
              <w:rPr>
                <w:spacing w:val="-2"/>
                <w:sz w:val="20"/>
              </w:rPr>
              <w:t>Реконструктивно-пластические, </w:t>
            </w:r>
            <w:r>
              <w:rPr>
                <w:sz w:val="20"/>
              </w:rPr>
              <w:t>микрохирургические и комбинированные</w:t>
            </w:r>
            <w:r>
              <w:rPr>
                <w:spacing w:val="-13"/>
                <w:sz w:val="20"/>
              </w:rPr>
              <w:t> </w:t>
            </w:r>
            <w:r>
              <w:rPr>
                <w:sz w:val="20"/>
              </w:rPr>
              <w:t>операции</w:t>
            </w:r>
            <w:r>
              <w:rPr>
                <w:spacing w:val="-12"/>
                <w:sz w:val="20"/>
              </w:rPr>
              <w:t> </w:t>
            </w:r>
            <w:r>
              <w:rPr>
                <w:sz w:val="20"/>
              </w:rPr>
              <w:t>при лечении новообразований мягких тканей и (или) костей лицевого скелета</w:t>
            </w:r>
          </w:p>
        </w:tc>
        <w:tc>
          <w:tcPr>
            <w:tcW w:w="1752" w:type="dxa"/>
          </w:tcPr>
          <w:p>
            <w:pPr>
              <w:pStyle w:val="TableParagraph"/>
              <w:spacing w:before="120"/>
              <w:ind w:left="233" w:right="367"/>
              <w:jc w:val="center"/>
              <w:rPr>
                <w:sz w:val="20"/>
              </w:rPr>
            </w:pPr>
            <w:hyperlink r:id="rId527">
              <w:r>
                <w:rPr>
                  <w:spacing w:val="-4"/>
                  <w:sz w:val="20"/>
                </w:rPr>
                <w:t>D11.0</w:t>
              </w:r>
            </w:hyperlink>
          </w:p>
        </w:tc>
        <w:tc>
          <w:tcPr>
            <w:tcW w:w="3143" w:type="dxa"/>
          </w:tcPr>
          <w:p>
            <w:pPr>
              <w:pStyle w:val="TableParagraph"/>
              <w:spacing w:line="249" w:lineRule="auto" w:before="120"/>
              <w:ind w:left="102" w:right="461"/>
              <w:rPr>
                <w:sz w:val="20"/>
              </w:rPr>
            </w:pPr>
            <w:r>
              <w:rPr>
                <w:spacing w:val="-2"/>
                <w:sz w:val="20"/>
              </w:rPr>
              <w:t>доброкачественное </w:t>
            </w:r>
            <w:r>
              <w:rPr>
                <w:sz w:val="20"/>
              </w:rPr>
              <w:t>новообразование</w:t>
            </w:r>
            <w:r>
              <w:rPr>
                <w:spacing w:val="-13"/>
                <w:sz w:val="20"/>
              </w:rPr>
              <w:t> </w:t>
            </w:r>
            <w:r>
              <w:rPr>
                <w:sz w:val="20"/>
              </w:rPr>
              <w:t>околоушной слюнной железы</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before="120"/>
              <w:ind w:left="218"/>
              <w:rPr>
                <w:sz w:val="20"/>
              </w:rPr>
            </w:pPr>
            <w:r>
              <w:rPr>
                <w:sz w:val="20"/>
              </w:rPr>
              <w:t>удаление</w:t>
            </w:r>
            <w:r>
              <w:rPr>
                <w:spacing w:val="-10"/>
                <w:sz w:val="20"/>
              </w:rPr>
              <w:t> </w:t>
            </w:r>
            <w:r>
              <w:rPr>
                <w:spacing w:val="-2"/>
                <w:sz w:val="20"/>
              </w:rPr>
              <w:t>новообразования</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63"/>
        <w:gridCol w:w="1883"/>
        <w:gridCol w:w="3158"/>
        <w:gridCol w:w="1663"/>
        <w:gridCol w:w="3793"/>
        <w:gridCol w:w="1013"/>
      </w:tblGrid>
      <w:tr>
        <w:trPr>
          <w:trHeight w:val="1550" w:hRule="atLeast"/>
        </w:trPr>
        <w:tc>
          <w:tcPr>
            <w:tcW w:w="472" w:type="dxa"/>
          </w:tcPr>
          <w:p>
            <w:pPr>
              <w:pStyle w:val="TableParagraph"/>
              <w:rPr>
                <w:sz w:val="18"/>
              </w:rPr>
            </w:pPr>
          </w:p>
        </w:tc>
        <w:tc>
          <w:tcPr>
            <w:tcW w:w="3063" w:type="dxa"/>
          </w:tcPr>
          <w:p>
            <w:pPr>
              <w:pStyle w:val="TableParagraph"/>
              <w:spacing w:line="249" w:lineRule="auto"/>
              <w:ind w:left="168" w:right="85"/>
              <w:rPr>
                <w:sz w:val="20"/>
              </w:rPr>
            </w:pPr>
            <w:r>
              <w:rPr>
                <w:sz w:val="20"/>
              </w:rPr>
              <w:t>с</w:t>
            </w:r>
            <w:r>
              <w:rPr>
                <w:spacing w:val="-13"/>
                <w:sz w:val="20"/>
              </w:rPr>
              <w:t> </w:t>
            </w:r>
            <w:r>
              <w:rPr>
                <w:sz w:val="20"/>
              </w:rPr>
              <w:t>одномоментным</w:t>
            </w:r>
            <w:r>
              <w:rPr>
                <w:spacing w:val="-12"/>
                <w:sz w:val="20"/>
              </w:rPr>
              <w:t> </w:t>
            </w:r>
            <w:r>
              <w:rPr>
                <w:sz w:val="20"/>
              </w:rPr>
              <w:t>пластическим устранением образовавшегося раневого дефекта или замещением его с помощью сложного челюстно-лицевого </w:t>
            </w:r>
            <w:r>
              <w:rPr>
                <w:spacing w:val="-2"/>
                <w:sz w:val="20"/>
              </w:rPr>
              <w:t>протезирования</w:t>
            </w:r>
          </w:p>
        </w:tc>
        <w:tc>
          <w:tcPr>
            <w:tcW w:w="1883" w:type="dxa"/>
          </w:tcPr>
          <w:p>
            <w:pPr>
              <w:pStyle w:val="TableParagraph"/>
              <w:rPr>
                <w:sz w:val="18"/>
              </w:rPr>
            </w:pPr>
          </w:p>
        </w:tc>
        <w:tc>
          <w:tcPr>
            <w:tcW w:w="3158" w:type="dxa"/>
          </w:tcPr>
          <w:p>
            <w:pPr>
              <w:pStyle w:val="TableParagraph"/>
              <w:rPr>
                <w:sz w:val="18"/>
              </w:rPr>
            </w:pPr>
          </w:p>
        </w:tc>
        <w:tc>
          <w:tcPr>
            <w:tcW w:w="1663" w:type="dxa"/>
          </w:tcPr>
          <w:p>
            <w:pPr>
              <w:pStyle w:val="TableParagraph"/>
              <w:rPr>
                <w:sz w:val="18"/>
              </w:rPr>
            </w:pPr>
          </w:p>
        </w:tc>
        <w:tc>
          <w:tcPr>
            <w:tcW w:w="3793" w:type="dxa"/>
          </w:tcPr>
          <w:p>
            <w:pPr>
              <w:pStyle w:val="TableParagraph"/>
              <w:rPr>
                <w:sz w:val="18"/>
              </w:rPr>
            </w:pPr>
          </w:p>
        </w:tc>
        <w:tc>
          <w:tcPr>
            <w:tcW w:w="1013" w:type="dxa"/>
          </w:tcPr>
          <w:p>
            <w:pPr>
              <w:pStyle w:val="TableParagraph"/>
              <w:rPr>
                <w:sz w:val="18"/>
              </w:rPr>
            </w:pPr>
          </w:p>
        </w:tc>
      </w:tr>
      <w:tr>
        <w:trPr>
          <w:trHeight w:val="1200" w:hRule="atLeast"/>
        </w:trPr>
        <w:tc>
          <w:tcPr>
            <w:tcW w:w="472" w:type="dxa"/>
            <w:vMerge w:val="restart"/>
          </w:tcPr>
          <w:p>
            <w:pPr>
              <w:pStyle w:val="TableParagraph"/>
              <w:rPr>
                <w:sz w:val="18"/>
              </w:rPr>
            </w:pPr>
          </w:p>
        </w:tc>
        <w:tc>
          <w:tcPr>
            <w:tcW w:w="3063" w:type="dxa"/>
            <w:vMerge w:val="restart"/>
          </w:tcPr>
          <w:p>
            <w:pPr>
              <w:pStyle w:val="TableParagraph"/>
              <w:spacing w:line="249" w:lineRule="auto" w:before="120"/>
              <w:ind w:left="168" w:right="85"/>
              <w:rPr>
                <w:sz w:val="20"/>
              </w:rPr>
            </w:pPr>
            <w:r>
              <w:rPr>
                <w:spacing w:val="-2"/>
                <w:sz w:val="20"/>
              </w:rPr>
              <w:t>Реконструктивно-пластические, </w:t>
            </w:r>
            <w:r>
              <w:rPr>
                <w:sz w:val="20"/>
              </w:rPr>
              <w:t>микрохирургические и комбинированные</w:t>
            </w:r>
            <w:r>
              <w:rPr>
                <w:spacing w:val="-13"/>
                <w:sz w:val="20"/>
              </w:rPr>
              <w:t> </w:t>
            </w:r>
            <w:r>
              <w:rPr>
                <w:sz w:val="20"/>
              </w:rPr>
              <w:t>операции</w:t>
            </w:r>
            <w:r>
              <w:rPr>
                <w:spacing w:val="-12"/>
                <w:sz w:val="20"/>
              </w:rPr>
              <w:t> </w:t>
            </w:r>
            <w:r>
              <w:rPr>
                <w:sz w:val="20"/>
              </w:rPr>
              <w:t>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Pr>
                <w:spacing w:val="-2"/>
                <w:sz w:val="20"/>
              </w:rPr>
              <w:t>протезирования</w:t>
            </w:r>
          </w:p>
        </w:tc>
        <w:tc>
          <w:tcPr>
            <w:tcW w:w="1883" w:type="dxa"/>
          </w:tcPr>
          <w:p>
            <w:pPr>
              <w:pStyle w:val="TableParagraph"/>
              <w:spacing w:before="120"/>
              <w:ind w:left="385" w:right="380"/>
              <w:jc w:val="center"/>
              <w:rPr>
                <w:sz w:val="20"/>
              </w:rPr>
            </w:pPr>
            <w:hyperlink r:id="rId528">
              <w:r>
                <w:rPr>
                  <w:spacing w:val="-4"/>
                  <w:sz w:val="20"/>
                </w:rPr>
                <w:t>D11.9</w:t>
              </w:r>
            </w:hyperlink>
          </w:p>
        </w:tc>
        <w:tc>
          <w:tcPr>
            <w:tcW w:w="3158" w:type="dxa"/>
          </w:tcPr>
          <w:p>
            <w:pPr>
              <w:pStyle w:val="TableParagraph"/>
              <w:spacing w:line="249" w:lineRule="auto" w:before="120"/>
              <w:ind w:left="107"/>
              <w:rPr>
                <w:sz w:val="20"/>
              </w:rPr>
            </w:pPr>
            <w:r>
              <w:rPr>
                <w:sz w:val="20"/>
              </w:rPr>
              <w:t>новообразование околоушной слюнной железы с распространением</w:t>
            </w:r>
            <w:r>
              <w:rPr>
                <w:spacing w:val="-13"/>
                <w:sz w:val="20"/>
              </w:rPr>
              <w:t> </w:t>
            </w:r>
            <w:r>
              <w:rPr>
                <w:sz w:val="20"/>
              </w:rPr>
              <w:t>в</w:t>
            </w:r>
            <w:r>
              <w:rPr>
                <w:spacing w:val="-12"/>
                <w:sz w:val="20"/>
              </w:rPr>
              <w:t> </w:t>
            </w:r>
            <w:r>
              <w:rPr>
                <w:sz w:val="20"/>
              </w:rPr>
              <w:t>прилегающие </w:t>
            </w:r>
            <w:r>
              <w:rPr>
                <w:spacing w:val="-2"/>
                <w:sz w:val="20"/>
              </w:rPr>
              <w:t>области</w:t>
            </w:r>
          </w:p>
        </w:tc>
        <w:tc>
          <w:tcPr>
            <w:tcW w:w="1663" w:type="dxa"/>
          </w:tcPr>
          <w:p>
            <w:pPr>
              <w:pStyle w:val="TableParagraph"/>
              <w:spacing w:line="249" w:lineRule="auto" w:before="120"/>
              <w:ind w:left="105"/>
              <w:rPr>
                <w:sz w:val="20"/>
              </w:rPr>
            </w:pPr>
            <w:r>
              <w:rPr>
                <w:spacing w:val="-2"/>
                <w:sz w:val="20"/>
              </w:rPr>
              <w:t>хирургическое лечение</w:t>
            </w:r>
          </w:p>
        </w:tc>
        <w:tc>
          <w:tcPr>
            <w:tcW w:w="3793" w:type="dxa"/>
          </w:tcPr>
          <w:p>
            <w:pPr>
              <w:pStyle w:val="TableParagraph"/>
              <w:spacing w:before="120"/>
              <w:ind w:left="140"/>
              <w:rPr>
                <w:sz w:val="20"/>
              </w:rPr>
            </w:pPr>
            <w:r>
              <w:rPr>
                <w:sz w:val="20"/>
              </w:rPr>
              <w:t>удаление</w:t>
            </w:r>
            <w:r>
              <w:rPr>
                <w:spacing w:val="-10"/>
                <w:sz w:val="20"/>
              </w:rPr>
              <w:t> </w:t>
            </w:r>
            <w:r>
              <w:rPr>
                <w:spacing w:val="-2"/>
                <w:sz w:val="20"/>
              </w:rPr>
              <w:t>новообразования</w:t>
            </w:r>
          </w:p>
        </w:tc>
        <w:tc>
          <w:tcPr>
            <w:tcW w:w="1013" w:type="dxa"/>
          </w:tcPr>
          <w:p>
            <w:pPr>
              <w:pStyle w:val="TableParagraph"/>
              <w:rPr>
                <w:sz w:val="18"/>
              </w:rPr>
            </w:pPr>
          </w:p>
        </w:tc>
      </w:tr>
      <w:tr>
        <w:trPr>
          <w:trHeight w:val="1920" w:hRule="atLeast"/>
        </w:trPr>
        <w:tc>
          <w:tcPr>
            <w:tcW w:w="472" w:type="dxa"/>
            <w:vMerge/>
            <w:tcBorders>
              <w:top w:val="nil"/>
            </w:tcBorders>
          </w:tcPr>
          <w:p>
            <w:pPr>
              <w:rPr>
                <w:sz w:val="2"/>
                <w:szCs w:val="2"/>
              </w:rPr>
            </w:pPr>
          </w:p>
        </w:tc>
        <w:tc>
          <w:tcPr>
            <w:tcW w:w="3063" w:type="dxa"/>
            <w:vMerge/>
            <w:tcBorders>
              <w:top w:val="nil"/>
            </w:tcBorders>
          </w:tcPr>
          <w:p>
            <w:pPr>
              <w:rPr>
                <w:sz w:val="2"/>
                <w:szCs w:val="2"/>
              </w:rPr>
            </w:pPr>
          </w:p>
        </w:tc>
        <w:tc>
          <w:tcPr>
            <w:tcW w:w="1883" w:type="dxa"/>
          </w:tcPr>
          <w:p>
            <w:pPr>
              <w:pStyle w:val="TableParagraph"/>
              <w:spacing w:before="120"/>
              <w:ind w:left="385" w:right="380"/>
              <w:jc w:val="center"/>
              <w:rPr>
                <w:sz w:val="20"/>
              </w:rPr>
            </w:pPr>
            <w:hyperlink r:id="rId529">
              <w:r>
                <w:rPr>
                  <w:sz w:val="20"/>
                </w:rPr>
                <w:t>D16.4,</w:t>
              </w:r>
              <w:r>
                <w:rPr>
                  <w:spacing w:val="-2"/>
                  <w:sz w:val="20"/>
                </w:rPr>
                <w:t> </w:t>
              </w:r>
            </w:hyperlink>
            <w:hyperlink r:id="rId530">
              <w:r>
                <w:rPr>
                  <w:spacing w:val="-2"/>
                  <w:sz w:val="20"/>
                </w:rPr>
                <w:t>D16.5</w:t>
              </w:r>
            </w:hyperlink>
          </w:p>
        </w:tc>
        <w:tc>
          <w:tcPr>
            <w:tcW w:w="3158" w:type="dxa"/>
          </w:tcPr>
          <w:p>
            <w:pPr>
              <w:pStyle w:val="TableParagraph"/>
              <w:spacing w:line="249" w:lineRule="auto" w:before="120"/>
              <w:ind w:left="107"/>
              <w:rPr>
                <w:sz w:val="20"/>
              </w:rPr>
            </w:pPr>
            <w:r>
              <w:rPr>
                <w:spacing w:val="-2"/>
                <w:sz w:val="20"/>
              </w:rPr>
              <w:t>доброкачественные </w:t>
            </w:r>
            <w:r>
              <w:rPr>
                <w:sz w:val="20"/>
              </w:rPr>
              <w:t>новообразования</w:t>
            </w:r>
            <w:r>
              <w:rPr>
                <w:spacing w:val="-11"/>
                <w:sz w:val="20"/>
              </w:rPr>
              <w:t> </w:t>
            </w:r>
            <w:r>
              <w:rPr>
                <w:sz w:val="20"/>
              </w:rPr>
              <w:t>челюстей</w:t>
            </w:r>
            <w:r>
              <w:rPr>
                <w:spacing w:val="-9"/>
                <w:sz w:val="20"/>
              </w:rPr>
              <w:t> </w:t>
            </w:r>
            <w:r>
              <w:rPr>
                <w:sz w:val="20"/>
              </w:rPr>
              <w:t>и </w:t>
            </w:r>
            <w:r>
              <w:rPr>
                <w:w w:val="95"/>
                <w:sz w:val="20"/>
              </w:rPr>
              <w:t>послеоперационные</w:t>
            </w:r>
            <w:r>
              <w:rPr>
                <w:spacing w:val="65"/>
                <w:sz w:val="20"/>
              </w:rPr>
              <w:t> </w:t>
            </w:r>
            <w:r>
              <w:rPr>
                <w:spacing w:val="-2"/>
                <w:sz w:val="20"/>
              </w:rPr>
              <w:t>дефекты</w:t>
            </w:r>
          </w:p>
        </w:tc>
        <w:tc>
          <w:tcPr>
            <w:tcW w:w="1663" w:type="dxa"/>
          </w:tcPr>
          <w:p>
            <w:pPr>
              <w:pStyle w:val="TableParagraph"/>
              <w:spacing w:line="249" w:lineRule="auto" w:before="120"/>
              <w:ind w:left="105"/>
              <w:rPr>
                <w:sz w:val="20"/>
              </w:rPr>
            </w:pPr>
            <w:r>
              <w:rPr>
                <w:spacing w:val="-2"/>
                <w:sz w:val="20"/>
              </w:rPr>
              <w:t>хирургическое лечение</w:t>
            </w:r>
          </w:p>
        </w:tc>
        <w:tc>
          <w:tcPr>
            <w:tcW w:w="3793" w:type="dxa"/>
          </w:tcPr>
          <w:p>
            <w:pPr>
              <w:pStyle w:val="TableParagraph"/>
              <w:spacing w:line="249" w:lineRule="auto" w:before="120"/>
              <w:ind w:left="140" w:right="335"/>
              <w:rPr>
                <w:sz w:val="20"/>
              </w:rPr>
            </w:pPr>
            <w:r>
              <w:rPr>
                <w:sz w:val="20"/>
              </w:rPr>
              <w:t>удаление новообразования с одномоментным</w:t>
            </w:r>
            <w:r>
              <w:rPr>
                <w:spacing w:val="-13"/>
                <w:sz w:val="20"/>
              </w:rPr>
              <w:t> </w:t>
            </w:r>
            <w:r>
              <w:rPr>
                <w:sz w:val="20"/>
              </w:rPr>
              <w:t>устранением</w:t>
            </w:r>
            <w:r>
              <w:rPr>
                <w:spacing w:val="-12"/>
                <w:sz w:val="20"/>
              </w:rPr>
              <w:t> </w:t>
            </w:r>
            <w:r>
              <w:rPr>
                <w:sz w:val="20"/>
              </w:rPr>
              <w:t>дефекта с использованием трансплантационных и имплантационных материалов, в том числе</w:t>
            </w:r>
            <w:r>
              <w:rPr>
                <w:spacing w:val="-8"/>
                <w:sz w:val="20"/>
              </w:rPr>
              <w:t> </w:t>
            </w:r>
            <w:r>
              <w:rPr>
                <w:sz w:val="20"/>
              </w:rPr>
              <w:t>и</w:t>
            </w:r>
            <w:r>
              <w:rPr>
                <w:spacing w:val="-12"/>
                <w:sz w:val="20"/>
              </w:rPr>
              <w:t> </w:t>
            </w:r>
            <w:r>
              <w:rPr>
                <w:sz w:val="20"/>
              </w:rPr>
              <w:t>трансплантатов</w:t>
            </w:r>
            <w:r>
              <w:rPr>
                <w:spacing w:val="-12"/>
                <w:sz w:val="20"/>
              </w:rPr>
              <w:t> </w:t>
            </w:r>
            <w:r>
              <w:rPr>
                <w:sz w:val="20"/>
              </w:rPr>
              <w:t>на</w:t>
            </w:r>
            <w:r>
              <w:rPr>
                <w:spacing w:val="-11"/>
                <w:sz w:val="20"/>
              </w:rPr>
              <w:t> </w:t>
            </w:r>
            <w:r>
              <w:rPr>
                <w:sz w:val="20"/>
              </w:rPr>
              <w:t>сосудистой ножке и челюстно-лицевых протезов</w:t>
            </w:r>
          </w:p>
        </w:tc>
        <w:tc>
          <w:tcPr>
            <w:tcW w:w="1013" w:type="dxa"/>
          </w:tcPr>
          <w:p>
            <w:pPr>
              <w:pStyle w:val="TableParagraph"/>
              <w:rPr>
                <w:sz w:val="18"/>
              </w:rPr>
            </w:pPr>
          </w:p>
        </w:tc>
      </w:tr>
      <w:tr>
        <w:trPr>
          <w:trHeight w:val="960" w:hRule="atLeast"/>
        </w:trPr>
        <w:tc>
          <w:tcPr>
            <w:tcW w:w="472" w:type="dxa"/>
          </w:tcPr>
          <w:p>
            <w:pPr>
              <w:pStyle w:val="TableParagraph"/>
              <w:rPr>
                <w:sz w:val="18"/>
              </w:rPr>
            </w:pPr>
          </w:p>
        </w:tc>
        <w:tc>
          <w:tcPr>
            <w:tcW w:w="3063" w:type="dxa"/>
          </w:tcPr>
          <w:p>
            <w:pPr>
              <w:pStyle w:val="TableParagraph"/>
              <w:rPr>
                <w:sz w:val="18"/>
              </w:rPr>
            </w:pPr>
          </w:p>
        </w:tc>
        <w:tc>
          <w:tcPr>
            <w:tcW w:w="1883" w:type="dxa"/>
          </w:tcPr>
          <w:p>
            <w:pPr>
              <w:pStyle w:val="TableParagraph"/>
              <w:spacing w:before="120"/>
              <w:ind w:left="383" w:right="380"/>
              <w:jc w:val="center"/>
              <w:rPr>
                <w:sz w:val="20"/>
              </w:rPr>
            </w:pPr>
            <w:hyperlink r:id="rId198">
              <w:r>
                <w:rPr>
                  <w:spacing w:val="-2"/>
                  <w:sz w:val="20"/>
                </w:rPr>
                <w:t>T90.2</w:t>
              </w:r>
            </w:hyperlink>
          </w:p>
        </w:tc>
        <w:tc>
          <w:tcPr>
            <w:tcW w:w="3158" w:type="dxa"/>
          </w:tcPr>
          <w:p>
            <w:pPr>
              <w:pStyle w:val="TableParagraph"/>
              <w:spacing w:line="249" w:lineRule="auto" w:before="120"/>
              <w:ind w:left="107"/>
              <w:rPr>
                <w:sz w:val="20"/>
              </w:rPr>
            </w:pPr>
            <w:r>
              <w:rPr>
                <w:sz w:val="20"/>
              </w:rPr>
              <w:t>последствия</w:t>
            </w:r>
            <w:r>
              <w:rPr>
                <w:spacing w:val="-13"/>
                <w:sz w:val="20"/>
              </w:rPr>
              <w:t> </w:t>
            </w:r>
            <w:r>
              <w:rPr>
                <w:sz w:val="20"/>
              </w:rPr>
              <w:t>переломов</w:t>
            </w:r>
            <w:r>
              <w:rPr>
                <w:spacing w:val="-12"/>
                <w:sz w:val="20"/>
              </w:rPr>
              <w:t> </w:t>
            </w:r>
            <w:r>
              <w:rPr>
                <w:sz w:val="20"/>
              </w:rPr>
              <w:t>черепа</w:t>
            </w:r>
            <w:r>
              <w:rPr>
                <w:spacing w:val="-13"/>
                <w:sz w:val="20"/>
              </w:rPr>
              <w:t> </w:t>
            </w:r>
            <w:r>
              <w:rPr>
                <w:sz w:val="20"/>
              </w:rPr>
              <w:t>и костей лицевого скелета</w:t>
            </w:r>
          </w:p>
        </w:tc>
        <w:tc>
          <w:tcPr>
            <w:tcW w:w="1663" w:type="dxa"/>
          </w:tcPr>
          <w:p>
            <w:pPr>
              <w:pStyle w:val="TableParagraph"/>
              <w:spacing w:line="249" w:lineRule="auto" w:before="120"/>
              <w:ind w:left="105"/>
              <w:rPr>
                <w:sz w:val="20"/>
              </w:rPr>
            </w:pPr>
            <w:r>
              <w:rPr>
                <w:spacing w:val="-2"/>
                <w:sz w:val="20"/>
              </w:rPr>
              <w:t>хирургическое лечение</w:t>
            </w:r>
          </w:p>
        </w:tc>
        <w:tc>
          <w:tcPr>
            <w:tcW w:w="3793" w:type="dxa"/>
          </w:tcPr>
          <w:p>
            <w:pPr>
              <w:pStyle w:val="TableParagraph"/>
              <w:spacing w:line="249" w:lineRule="auto" w:before="120"/>
              <w:ind w:left="140" w:right="405"/>
              <w:jc w:val="both"/>
              <w:rPr>
                <w:sz w:val="20"/>
              </w:rPr>
            </w:pPr>
            <w:r>
              <w:rPr>
                <w:sz w:val="20"/>
              </w:rPr>
              <w:t>устранение дефектов и деформаций с использованием</w:t>
            </w:r>
            <w:r>
              <w:rPr>
                <w:spacing w:val="-13"/>
                <w:sz w:val="20"/>
              </w:rPr>
              <w:t> </w:t>
            </w:r>
            <w:r>
              <w:rPr>
                <w:sz w:val="20"/>
              </w:rPr>
              <w:t>трансплантационных и имплантационных материалов</w:t>
            </w:r>
          </w:p>
        </w:tc>
        <w:tc>
          <w:tcPr>
            <w:tcW w:w="1013" w:type="dxa"/>
          </w:tcPr>
          <w:p>
            <w:pPr>
              <w:pStyle w:val="TableParagraph"/>
              <w:rPr>
                <w:sz w:val="18"/>
              </w:rPr>
            </w:pPr>
          </w:p>
        </w:tc>
      </w:tr>
      <w:tr>
        <w:trPr>
          <w:trHeight w:val="480" w:hRule="atLeast"/>
        </w:trPr>
        <w:tc>
          <w:tcPr>
            <w:tcW w:w="472" w:type="dxa"/>
          </w:tcPr>
          <w:p>
            <w:pPr>
              <w:pStyle w:val="TableParagraph"/>
              <w:rPr>
                <w:sz w:val="18"/>
              </w:rPr>
            </w:pPr>
          </w:p>
        </w:tc>
        <w:tc>
          <w:tcPr>
            <w:tcW w:w="3063" w:type="dxa"/>
          </w:tcPr>
          <w:p>
            <w:pPr>
              <w:pStyle w:val="TableParagraph"/>
              <w:rPr>
                <w:sz w:val="18"/>
              </w:rPr>
            </w:pPr>
          </w:p>
        </w:tc>
        <w:tc>
          <w:tcPr>
            <w:tcW w:w="1883" w:type="dxa"/>
          </w:tcPr>
          <w:p>
            <w:pPr>
              <w:pStyle w:val="TableParagraph"/>
              <w:rPr>
                <w:sz w:val="18"/>
              </w:rPr>
            </w:pPr>
          </w:p>
        </w:tc>
        <w:tc>
          <w:tcPr>
            <w:tcW w:w="3158" w:type="dxa"/>
          </w:tcPr>
          <w:p>
            <w:pPr>
              <w:pStyle w:val="TableParagraph"/>
              <w:spacing w:before="120"/>
              <w:ind w:left="1545"/>
              <w:rPr>
                <w:sz w:val="20"/>
              </w:rPr>
            </w:pPr>
            <w:r>
              <w:rPr>
                <w:spacing w:val="-2"/>
                <w:sz w:val="20"/>
              </w:rPr>
              <w:t>Эндокринология</w:t>
            </w:r>
          </w:p>
        </w:tc>
        <w:tc>
          <w:tcPr>
            <w:tcW w:w="1663" w:type="dxa"/>
          </w:tcPr>
          <w:p>
            <w:pPr>
              <w:pStyle w:val="TableParagraph"/>
              <w:rPr>
                <w:sz w:val="18"/>
              </w:rPr>
            </w:pPr>
          </w:p>
        </w:tc>
        <w:tc>
          <w:tcPr>
            <w:tcW w:w="3793" w:type="dxa"/>
          </w:tcPr>
          <w:p>
            <w:pPr>
              <w:pStyle w:val="TableParagraph"/>
              <w:rPr>
                <w:sz w:val="18"/>
              </w:rPr>
            </w:pPr>
          </w:p>
        </w:tc>
        <w:tc>
          <w:tcPr>
            <w:tcW w:w="1013" w:type="dxa"/>
          </w:tcPr>
          <w:p>
            <w:pPr>
              <w:pStyle w:val="TableParagraph"/>
              <w:rPr>
                <w:sz w:val="18"/>
              </w:rPr>
            </w:pPr>
          </w:p>
        </w:tc>
      </w:tr>
      <w:tr>
        <w:trPr>
          <w:trHeight w:val="2030" w:hRule="atLeast"/>
        </w:trPr>
        <w:tc>
          <w:tcPr>
            <w:tcW w:w="472" w:type="dxa"/>
          </w:tcPr>
          <w:p>
            <w:pPr>
              <w:pStyle w:val="TableParagraph"/>
              <w:spacing w:before="120"/>
              <w:ind w:left="50"/>
              <w:rPr>
                <w:sz w:val="20"/>
              </w:rPr>
            </w:pPr>
            <w:r>
              <w:rPr>
                <w:spacing w:val="-5"/>
                <w:sz w:val="20"/>
              </w:rPr>
              <w:t>59.</w:t>
            </w:r>
          </w:p>
        </w:tc>
        <w:tc>
          <w:tcPr>
            <w:tcW w:w="3063" w:type="dxa"/>
          </w:tcPr>
          <w:p>
            <w:pPr>
              <w:pStyle w:val="TableParagraph"/>
              <w:spacing w:line="240" w:lineRule="atLeast" w:before="90"/>
              <w:ind w:left="168" w:right="85"/>
              <w:rPr>
                <w:sz w:val="20"/>
              </w:rPr>
            </w:pPr>
            <w:r>
              <w:rPr>
                <w:sz w:val="20"/>
              </w:rPr>
              <w:t>Терапевтическое лечение сахарного диабета и его сосудистых осложнений (нефропатии, нейропатии, диабетической стопы, ишемических</w:t>
            </w:r>
            <w:r>
              <w:rPr>
                <w:spacing w:val="-13"/>
                <w:sz w:val="20"/>
              </w:rPr>
              <w:t> </w:t>
            </w:r>
            <w:r>
              <w:rPr>
                <w:sz w:val="20"/>
              </w:rPr>
              <w:t>поражений</w:t>
            </w:r>
            <w:r>
              <w:rPr>
                <w:spacing w:val="-12"/>
                <w:sz w:val="20"/>
              </w:rPr>
              <w:t> </w:t>
            </w:r>
            <w:r>
              <w:rPr>
                <w:sz w:val="20"/>
              </w:rPr>
              <w:t>сердца и головного мозга), включая заместительную инсулиновую</w:t>
            </w:r>
          </w:p>
        </w:tc>
        <w:tc>
          <w:tcPr>
            <w:tcW w:w="1883" w:type="dxa"/>
          </w:tcPr>
          <w:p>
            <w:pPr>
              <w:pStyle w:val="TableParagraph"/>
              <w:spacing w:line="249" w:lineRule="auto" w:before="120"/>
              <w:ind w:left="706" w:hanging="599"/>
              <w:rPr>
                <w:sz w:val="20"/>
              </w:rPr>
            </w:pPr>
            <w:r>
              <w:rPr>
                <w:sz w:val="20"/>
              </w:rPr>
              <w:t>E10.9,</w:t>
            </w:r>
            <w:r>
              <w:rPr>
                <w:spacing w:val="-13"/>
                <w:sz w:val="20"/>
              </w:rPr>
              <w:t> </w:t>
            </w:r>
            <w:r>
              <w:rPr>
                <w:sz w:val="20"/>
              </w:rPr>
              <w:t>E11.9,</w:t>
            </w:r>
            <w:r>
              <w:rPr>
                <w:spacing w:val="-12"/>
                <w:sz w:val="20"/>
              </w:rPr>
              <w:t> </w:t>
            </w:r>
            <w:r>
              <w:rPr>
                <w:sz w:val="20"/>
              </w:rPr>
              <w:t>E13.9, </w:t>
            </w:r>
            <w:r>
              <w:rPr>
                <w:spacing w:val="-2"/>
                <w:sz w:val="20"/>
              </w:rPr>
              <w:t>E14.9</w:t>
            </w:r>
          </w:p>
        </w:tc>
        <w:tc>
          <w:tcPr>
            <w:tcW w:w="3158" w:type="dxa"/>
          </w:tcPr>
          <w:p>
            <w:pPr>
              <w:pStyle w:val="TableParagraph"/>
              <w:spacing w:line="249" w:lineRule="auto" w:before="120"/>
              <w:ind w:left="107"/>
              <w:rPr>
                <w:sz w:val="20"/>
              </w:rPr>
            </w:pPr>
            <w:r>
              <w:rPr>
                <w:sz w:val="20"/>
              </w:rPr>
              <w:t>сахарный</w:t>
            </w:r>
            <w:r>
              <w:rPr>
                <w:spacing w:val="-13"/>
                <w:sz w:val="20"/>
              </w:rPr>
              <w:t> </w:t>
            </w:r>
            <w:r>
              <w:rPr>
                <w:sz w:val="20"/>
              </w:rPr>
              <w:t>диабет</w:t>
            </w:r>
            <w:r>
              <w:rPr>
                <w:spacing w:val="-12"/>
                <w:sz w:val="20"/>
              </w:rPr>
              <w:t> </w:t>
            </w:r>
            <w:r>
              <w:rPr>
                <w:sz w:val="20"/>
              </w:rPr>
              <w:t>с</w:t>
            </w:r>
            <w:r>
              <w:rPr>
                <w:spacing w:val="-13"/>
                <w:sz w:val="20"/>
              </w:rPr>
              <w:t> </w:t>
            </w:r>
            <w:r>
              <w:rPr>
                <w:sz w:val="20"/>
              </w:rPr>
              <w:t>нестандартным течением, синдромальные, моногенные формы сахарного </w:t>
            </w:r>
            <w:r>
              <w:rPr>
                <w:spacing w:val="-2"/>
                <w:sz w:val="20"/>
              </w:rPr>
              <w:t>диабета</w:t>
            </w:r>
          </w:p>
        </w:tc>
        <w:tc>
          <w:tcPr>
            <w:tcW w:w="1663" w:type="dxa"/>
          </w:tcPr>
          <w:p>
            <w:pPr>
              <w:pStyle w:val="TableParagraph"/>
              <w:spacing w:line="249" w:lineRule="auto" w:before="120"/>
              <w:ind w:left="105"/>
              <w:rPr>
                <w:sz w:val="20"/>
              </w:rPr>
            </w:pPr>
            <w:r>
              <w:rPr>
                <w:spacing w:val="-2"/>
                <w:sz w:val="20"/>
              </w:rPr>
              <w:t>терапевтическое лечение</w:t>
            </w:r>
          </w:p>
        </w:tc>
        <w:tc>
          <w:tcPr>
            <w:tcW w:w="3793" w:type="dxa"/>
          </w:tcPr>
          <w:p>
            <w:pPr>
              <w:pStyle w:val="TableParagraph"/>
              <w:spacing w:line="249" w:lineRule="auto" w:before="120"/>
              <w:ind w:left="140" w:right="448"/>
              <w:rPr>
                <w:sz w:val="20"/>
              </w:rPr>
            </w:pPr>
            <w:r>
              <w:rPr>
                <w:sz w:val="20"/>
              </w:rPr>
              <w:t>комплексное лечение, включая персонализированную терапию сахарного диабета на основе </w:t>
            </w:r>
            <w:r>
              <w:rPr>
                <w:spacing w:val="-2"/>
                <w:sz w:val="20"/>
              </w:rPr>
              <w:t>молекулярно-генетических, </w:t>
            </w:r>
            <w:r>
              <w:rPr>
                <w:sz w:val="20"/>
              </w:rPr>
              <w:t>иммунологических, гормональных и биохимических</w:t>
            </w:r>
            <w:r>
              <w:rPr>
                <w:spacing w:val="-13"/>
                <w:sz w:val="20"/>
              </w:rPr>
              <w:t> </w:t>
            </w:r>
            <w:r>
              <w:rPr>
                <w:sz w:val="20"/>
              </w:rPr>
              <w:t>методов</w:t>
            </w:r>
            <w:r>
              <w:rPr>
                <w:spacing w:val="-12"/>
                <w:sz w:val="20"/>
              </w:rPr>
              <w:t> </w:t>
            </w:r>
            <w:r>
              <w:rPr>
                <w:sz w:val="20"/>
              </w:rPr>
              <w:t>диагностики</w:t>
            </w:r>
          </w:p>
        </w:tc>
        <w:tc>
          <w:tcPr>
            <w:tcW w:w="1013" w:type="dxa"/>
          </w:tcPr>
          <w:p>
            <w:pPr>
              <w:pStyle w:val="TableParagraph"/>
              <w:spacing w:before="120"/>
              <w:ind w:left="358"/>
              <w:rPr>
                <w:sz w:val="20"/>
              </w:rPr>
            </w:pPr>
            <w:r>
              <w:rPr>
                <w:spacing w:val="-2"/>
                <w:sz w:val="20"/>
              </w:rPr>
              <w:t>204609</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37"/>
        <w:gridCol w:w="1908"/>
        <w:gridCol w:w="3121"/>
        <w:gridCol w:w="1698"/>
        <w:gridCol w:w="3778"/>
        <w:gridCol w:w="1028"/>
      </w:tblGrid>
      <w:tr>
        <w:trPr>
          <w:trHeight w:val="2270" w:hRule="atLeast"/>
        </w:trPr>
        <w:tc>
          <w:tcPr>
            <w:tcW w:w="472" w:type="dxa"/>
          </w:tcPr>
          <w:p>
            <w:pPr>
              <w:pStyle w:val="TableParagraph"/>
              <w:rPr>
                <w:sz w:val="20"/>
              </w:rPr>
            </w:pPr>
          </w:p>
        </w:tc>
        <w:tc>
          <w:tcPr>
            <w:tcW w:w="3037" w:type="dxa"/>
          </w:tcPr>
          <w:p>
            <w:pPr>
              <w:pStyle w:val="TableParagraph"/>
              <w:spacing w:line="249" w:lineRule="auto"/>
              <w:ind w:left="168"/>
              <w:rPr>
                <w:sz w:val="20"/>
              </w:rPr>
            </w:pPr>
            <w:r>
              <w:rPr>
                <w:sz w:val="20"/>
              </w:rPr>
              <w:t>терапию</w:t>
            </w:r>
            <w:r>
              <w:rPr>
                <w:spacing w:val="-13"/>
                <w:sz w:val="20"/>
              </w:rPr>
              <w:t> </w:t>
            </w:r>
            <w:r>
              <w:rPr>
                <w:sz w:val="20"/>
              </w:rPr>
              <w:t>системами</w:t>
            </w:r>
            <w:r>
              <w:rPr>
                <w:spacing w:val="-12"/>
                <w:sz w:val="20"/>
              </w:rPr>
              <w:t> </w:t>
            </w:r>
            <w:r>
              <w:rPr>
                <w:sz w:val="20"/>
              </w:rPr>
              <w:t>постоянной подкожной инфузии</w:t>
            </w:r>
          </w:p>
        </w:tc>
        <w:tc>
          <w:tcPr>
            <w:tcW w:w="1908" w:type="dxa"/>
          </w:tcPr>
          <w:p>
            <w:pPr>
              <w:pStyle w:val="TableParagraph"/>
              <w:spacing w:line="221" w:lineRule="exact"/>
              <w:ind w:left="134"/>
              <w:rPr>
                <w:sz w:val="20"/>
              </w:rPr>
            </w:pPr>
            <w:r>
              <w:rPr>
                <w:sz w:val="20"/>
              </w:rPr>
              <w:t>E10.2,</w:t>
            </w:r>
            <w:r>
              <w:rPr>
                <w:spacing w:val="-6"/>
                <w:sz w:val="20"/>
              </w:rPr>
              <w:t> </w:t>
            </w:r>
            <w:r>
              <w:rPr>
                <w:sz w:val="20"/>
              </w:rPr>
              <w:t>E10.4,</w:t>
            </w:r>
            <w:r>
              <w:rPr>
                <w:spacing w:val="-3"/>
                <w:sz w:val="20"/>
              </w:rPr>
              <w:t> </w:t>
            </w:r>
            <w:r>
              <w:rPr>
                <w:spacing w:val="-2"/>
                <w:sz w:val="20"/>
              </w:rPr>
              <w:t>E10.5,</w:t>
            </w:r>
          </w:p>
          <w:p>
            <w:pPr>
              <w:pStyle w:val="TableParagraph"/>
              <w:spacing w:line="249" w:lineRule="auto" w:before="10"/>
              <w:ind w:left="446" w:hanging="313"/>
              <w:rPr>
                <w:sz w:val="20"/>
              </w:rPr>
            </w:pPr>
            <w:r>
              <w:rPr>
                <w:sz w:val="20"/>
              </w:rPr>
              <w:t>E10.7,</w:t>
            </w:r>
            <w:r>
              <w:rPr>
                <w:spacing w:val="-13"/>
                <w:sz w:val="20"/>
              </w:rPr>
              <w:t> </w:t>
            </w:r>
            <w:r>
              <w:rPr>
                <w:sz w:val="20"/>
              </w:rPr>
              <w:t>E11.2,</w:t>
            </w:r>
            <w:r>
              <w:rPr>
                <w:spacing w:val="-12"/>
                <w:sz w:val="20"/>
              </w:rPr>
              <w:t> </w:t>
            </w:r>
            <w:r>
              <w:rPr>
                <w:sz w:val="20"/>
              </w:rPr>
              <w:t>E11.4, E11.5, E11.7</w:t>
            </w:r>
          </w:p>
        </w:tc>
        <w:tc>
          <w:tcPr>
            <w:tcW w:w="3121" w:type="dxa"/>
          </w:tcPr>
          <w:p>
            <w:pPr>
              <w:pStyle w:val="TableParagraph"/>
              <w:spacing w:line="249" w:lineRule="auto"/>
              <w:ind w:left="108" w:right="132"/>
              <w:rPr>
                <w:sz w:val="20"/>
              </w:rPr>
            </w:pPr>
            <w:r>
              <w:rPr>
                <w:sz w:val="20"/>
              </w:rPr>
              <w:t>сахарный диабет 1 и 2 типа с поражением почек, неврологическими</w:t>
            </w:r>
            <w:r>
              <w:rPr>
                <w:spacing w:val="-13"/>
                <w:sz w:val="20"/>
              </w:rPr>
              <w:t> </w:t>
            </w:r>
            <w:r>
              <w:rPr>
                <w:sz w:val="20"/>
              </w:rPr>
              <w:t>нарушениями, нарушениями периферического кровообращения и множественными</w:t>
            </w:r>
            <w:r>
              <w:rPr>
                <w:spacing w:val="-13"/>
                <w:sz w:val="20"/>
              </w:rPr>
              <w:t> </w:t>
            </w:r>
            <w:r>
              <w:rPr>
                <w:sz w:val="20"/>
              </w:rPr>
              <w:t>осложнениями, синдромом</w:t>
            </w:r>
            <w:r>
              <w:rPr>
                <w:spacing w:val="-10"/>
                <w:sz w:val="20"/>
              </w:rPr>
              <w:t> </w:t>
            </w:r>
            <w:r>
              <w:rPr>
                <w:sz w:val="20"/>
              </w:rPr>
              <w:t>диабетической</w:t>
            </w:r>
            <w:r>
              <w:rPr>
                <w:spacing w:val="-11"/>
                <w:sz w:val="20"/>
              </w:rPr>
              <w:t> </w:t>
            </w:r>
            <w:r>
              <w:rPr>
                <w:spacing w:val="-2"/>
                <w:sz w:val="20"/>
              </w:rPr>
              <w:t>стопы</w:t>
            </w:r>
          </w:p>
        </w:tc>
        <w:tc>
          <w:tcPr>
            <w:tcW w:w="1698" w:type="dxa"/>
          </w:tcPr>
          <w:p>
            <w:pPr>
              <w:pStyle w:val="TableParagraph"/>
              <w:spacing w:line="249" w:lineRule="auto"/>
              <w:ind w:left="143"/>
              <w:rPr>
                <w:sz w:val="20"/>
              </w:rPr>
            </w:pPr>
            <w:r>
              <w:rPr>
                <w:spacing w:val="-2"/>
                <w:sz w:val="20"/>
              </w:rPr>
              <w:t>терапевтическое лечение</w:t>
            </w:r>
          </w:p>
        </w:tc>
        <w:tc>
          <w:tcPr>
            <w:tcW w:w="3778" w:type="dxa"/>
          </w:tcPr>
          <w:p>
            <w:pPr>
              <w:pStyle w:val="TableParagraph"/>
              <w:spacing w:line="249" w:lineRule="auto"/>
              <w:ind w:left="143" w:right="324"/>
              <w:rPr>
                <w:sz w:val="20"/>
              </w:rPr>
            </w:pPr>
            <w:r>
              <w:rPr>
                <w:sz w:val="20"/>
              </w:rPr>
              <w:t>комплексное лечение, включая установку средств суточного мониторирования гликемии с компьютерным анализом вариабельности</w:t>
            </w:r>
            <w:r>
              <w:rPr>
                <w:spacing w:val="-13"/>
                <w:sz w:val="20"/>
              </w:rPr>
              <w:t> </w:t>
            </w:r>
            <w:r>
              <w:rPr>
                <w:sz w:val="20"/>
              </w:rPr>
              <w:t>суточной</w:t>
            </w:r>
            <w:r>
              <w:rPr>
                <w:spacing w:val="-12"/>
                <w:sz w:val="20"/>
              </w:rPr>
              <w:t> </w:t>
            </w:r>
            <w:r>
              <w:rPr>
                <w:sz w:val="20"/>
              </w:rPr>
              <w:t>гликемии</w:t>
            </w:r>
            <w:r>
              <w:rPr>
                <w:spacing w:val="-13"/>
                <w:sz w:val="20"/>
              </w:rPr>
              <w:t> </w:t>
            </w:r>
            <w:r>
              <w:rPr>
                <w:sz w:val="20"/>
              </w:rPr>
              <w:t>и нормализацией показателей углеводного обмена системой непрерывного введения инсулина (инсулиновая помпа)</w:t>
            </w:r>
          </w:p>
        </w:tc>
        <w:tc>
          <w:tcPr>
            <w:tcW w:w="1028" w:type="dxa"/>
          </w:tcPr>
          <w:p>
            <w:pPr>
              <w:pStyle w:val="TableParagraph"/>
              <w:rPr>
                <w:sz w:val="20"/>
              </w:rPr>
            </w:pPr>
          </w:p>
        </w:tc>
      </w:tr>
      <w:tr>
        <w:trPr>
          <w:trHeight w:val="1440" w:hRule="atLeast"/>
        </w:trPr>
        <w:tc>
          <w:tcPr>
            <w:tcW w:w="472" w:type="dxa"/>
          </w:tcPr>
          <w:p>
            <w:pPr>
              <w:pStyle w:val="TableParagraph"/>
              <w:spacing w:before="120"/>
              <w:ind w:left="50"/>
              <w:rPr>
                <w:sz w:val="20"/>
              </w:rPr>
            </w:pPr>
            <w:r>
              <w:rPr>
                <w:spacing w:val="-5"/>
                <w:sz w:val="20"/>
              </w:rPr>
              <w:t>60.</w:t>
            </w:r>
          </w:p>
        </w:tc>
        <w:tc>
          <w:tcPr>
            <w:tcW w:w="3037" w:type="dxa"/>
          </w:tcPr>
          <w:p>
            <w:pPr>
              <w:pStyle w:val="TableParagraph"/>
              <w:spacing w:line="249" w:lineRule="auto" w:before="120"/>
              <w:ind w:left="168"/>
              <w:rPr>
                <w:sz w:val="20"/>
              </w:rPr>
            </w:pPr>
            <w:r>
              <w:rPr>
                <w:sz w:val="20"/>
              </w:rPr>
              <w:t>Комплексное</w:t>
            </w:r>
            <w:r>
              <w:rPr>
                <w:spacing w:val="-13"/>
                <w:sz w:val="20"/>
              </w:rPr>
              <w:t> </w:t>
            </w:r>
            <w:r>
              <w:rPr>
                <w:sz w:val="20"/>
              </w:rPr>
              <w:t>лечение</w:t>
            </w:r>
            <w:r>
              <w:rPr>
                <w:spacing w:val="-12"/>
                <w:sz w:val="20"/>
              </w:rPr>
              <w:t> </w:t>
            </w:r>
            <w:r>
              <w:rPr>
                <w:sz w:val="20"/>
              </w:rPr>
              <w:t>тяжелых форм АКТГ-синдрома</w:t>
            </w:r>
          </w:p>
        </w:tc>
        <w:tc>
          <w:tcPr>
            <w:tcW w:w="1908" w:type="dxa"/>
          </w:tcPr>
          <w:p>
            <w:pPr>
              <w:pStyle w:val="TableParagraph"/>
              <w:spacing w:before="120"/>
              <w:ind w:left="717" w:right="688"/>
              <w:jc w:val="center"/>
              <w:rPr>
                <w:sz w:val="20"/>
              </w:rPr>
            </w:pPr>
            <w:hyperlink r:id="rId531">
              <w:r>
                <w:rPr>
                  <w:spacing w:val="-2"/>
                  <w:sz w:val="20"/>
                </w:rPr>
                <w:t>E24.3</w:t>
              </w:r>
            </w:hyperlink>
          </w:p>
        </w:tc>
        <w:tc>
          <w:tcPr>
            <w:tcW w:w="3121" w:type="dxa"/>
          </w:tcPr>
          <w:p>
            <w:pPr>
              <w:pStyle w:val="TableParagraph"/>
              <w:spacing w:line="249" w:lineRule="auto" w:before="120"/>
              <w:ind w:left="108"/>
              <w:rPr>
                <w:sz w:val="20"/>
              </w:rPr>
            </w:pPr>
            <w:r>
              <w:rPr>
                <w:sz w:val="20"/>
              </w:rPr>
              <w:t>эктопический</w:t>
            </w:r>
            <w:r>
              <w:rPr>
                <w:spacing w:val="-9"/>
                <w:sz w:val="20"/>
              </w:rPr>
              <w:t> </w:t>
            </w:r>
            <w:r>
              <w:rPr>
                <w:sz w:val="20"/>
              </w:rPr>
              <w:t>АКТГ</w:t>
            </w:r>
            <w:r>
              <w:rPr>
                <w:spacing w:val="-8"/>
                <w:sz w:val="20"/>
              </w:rPr>
              <w:t> </w:t>
            </w:r>
            <w:r>
              <w:rPr>
                <w:sz w:val="20"/>
              </w:rPr>
              <w:t>-</w:t>
            </w:r>
            <w:r>
              <w:rPr>
                <w:spacing w:val="-11"/>
                <w:sz w:val="20"/>
              </w:rPr>
              <w:t> </w:t>
            </w:r>
            <w:r>
              <w:rPr>
                <w:sz w:val="20"/>
              </w:rPr>
              <w:t>синдром</w:t>
            </w:r>
            <w:r>
              <w:rPr>
                <w:spacing w:val="-9"/>
                <w:sz w:val="20"/>
              </w:rPr>
              <w:t> </w:t>
            </w:r>
            <w:r>
              <w:rPr>
                <w:sz w:val="20"/>
              </w:rPr>
              <w:t>(с выявленным источником эктопической секреции)</w:t>
            </w:r>
          </w:p>
        </w:tc>
        <w:tc>
          <w:tcPr>
            <w:tcW w:w="1698" w:type="dxa"/>
          </w:tcPr>
          <w:p>
            <w:pPr>
              <w:pStyle w:val="TableParagraph"/>
              <w:spacing w:line="249" w:lineRule="auto" w:before="120"/>
              <w:ind w:left="143"/>
              <w:rPr>
                <w:sz w:val="20"/>
              </w:rPr>
            </w:pPr>
            <w:r>
              <w:rPr>
                <w:spacing w:val="-2"/>
                <w:sz w:val="20"/>
              </w:rPr>
              <w:t>хирургическое лечение</w:t>
            </w:r>
          </w:p>
        </w:tc>
        <w:tc>
          <w:tcPr>
            <w:tcW w:w="3778" w:type="dxa"/>
          </w:tcPr>
          <w:p>
            <w:pPr>
              <w:pStyle w:val="TableParagraph"/>
              <w:spacing w:line="249" w:lineRule="auto" w:before="120"/>
              <w:ind w:left="143" w:right="324"/>
              <w:rPr>
                <w:sz w:val="20"/>
              </w:rPr>
            </w:pPr>
            <w:r>
              <w:rPr>
                <w:sz w:val="20"/>
              </w:rPr>
              <w:t>хирургическое лечение с </w:t>
            </w:r>
            <w:r>
              <w:rPr>
                <w:spacing w:val="-2"/>
                <w:sz w:val="20"/>
              </w:rPr>
              <w:t>последующим иммуногистохимическим </w:t>
            </w:r>
            <w:r>
              <w:rPr>
                <w:sz w:val="20"/>
              </w:rPr>
              <w:t>исследованием</w:t>
            </w:r>
            <w:r>
              <w:rPr>
                <w:spacing w:val="-13"/>
                <w:sz w:val="20"/>
              </w:rPr>
              <w:t> </w:t>
            </w:r>
            <w:r>
              <w:rPr>
                <w:sz w:val="20"/>
              </w:rPr>
              <w:t>ткани</w:t>
            </w:r>
            <w:r>
              <w:rPr>
                <w:spacing w:val="-12"/>
                <w:sz w:val="20"/>
              </w:rPr>
              <w:t> </w:t>
            </w:r>
            <w:r>
              <w:rPr>
                <w:sz w:val="20"/>
              </w:rPr>
              <w:t>удаленной </w:t>
            </w:r>
            <w:r>
              <w:rPr>
                <w:spacing w:val="-2"/>
                <w:sz w:val="20"/>
              </w:rPr>
              <w:t>опухоли</w:t>
            </w:r>
          </w:p>
        </w:tc>
        <w:tc>
          <w:tcPr>
            <w:tcW w:w="1028" w:type="dxa"/>
          </w:tcPr>
          <w:p>
            <w:pPr>
              <w:pStyle w:val="TableParagraph"/>
              <w:spacing w:before="120"/>
              <w:ind w:left="375"/>
              <w:rPr>
                <w:sz w:val="20"/>
              </w:rPr>
            </w:pPr>
            <w:r>
              <w:rPr>
                <w:spacing w:val="-2"/>
                <w:sz w:val="20"/>
              </w:rPr>
              <w:t>112284</w:t>
            </w:r>
          </w:p>
        </w:tc>
      </w:tr>
      <w:tr>
        <w:trPr>
          <w:trHeight w:val="1550" w:hRule="atLeast"/>
        </w:trPr>
        <w:tc>
          <w:tcPr>
            <w:tcW w:w="472" w:type="dxa"/>
          </w:tcPr>
          <w:p>
            <w:pPr>
              <w:pStyle w:val="TableParagraph"/>
              <w:rPr>
                <w:sz w:val="20"/>
              </w:rPr>
            </w:pPr>
          </w:p>
        </w:tc>
        <w:tc>
          <w:tcPr>
            <w:tcW w:w="3037" w:type="dxa"/>
          </w:tcPr>
          <w:p>
            <w:pPr>
              <w:pStyle w:val="TableParagraph"/>
              <w:rPr>
                <w:sz w:val="20"/>
              </w:rPr>
            </w:pPr>
          </w:p>
        </w:tc>
        <w:tc>
          <w:tcPr>
            <w:tcW w:w="1908" w:type="dxa"/>
          </w:tcPr>
          <w:p>
            <w:pPr>
              <w:pStyle w:val="TableParagraph"/>
              <w:spacing w:before="120"/>
              <w:ind w:left="717" w:right="688"/>
              <w:jc w:val="center"/>
              <w:rPr>
                <w:sz w:val="20"/>
              </w:rPr>
            </w:pPr>
            <w:r>
              <w:rPr>
                <w:spacing w:val="-2"/>
                <w:sz w:val="20"/>
              </w:rPr>
              <w:t>E24.9</w:t>
            </w:r>
          </w:p>
        </w:tc>
        <w:tc>
          <w:tcPr>
            <w:tcW w:w="3121" w:type="dxa"/>
          </w:tcPr>
          <w:p>
            <w:pPr>
              <w:pStyle w:val="TableParagraph"/>
              <w:spacing w:line="249" w:lineRule="auto" w:before="120"/>
              <w:ind w:left="108"/>
              <w:rPr>
                <w:sz w:val="20"/>
              </w:rPr>
            </w:pPr>
            <w:r>
              <w:rPr>
                <w:sz w:val="20"/>
              </w:rPr>
              <w:t>синдром</w:t>
            </w:r>
            <w:r>
              <w:rPr>
                <w:spacing w:val="-13"/>
                <w:sz w:val="20"/>
              </w:rPr>
              <w:t> </w:t>
            </w:r>
            <w:r>
              <w:rPr>
                <w:sz w:val="20"/>
              </w:rPr>
              <w:t>Иценко</w:t>
            </w:r>
            <w:r>
              <w:rPr>
                <w:spacing w:val="-12"/>
                <w:sz w:val="20"/>
              </w:rPr>
              <w:t> </w:t>
            </w:r>
            <w:r>
              <w:rPr>
                <w:sz w:val="20"/>
              </w:rPr>
              <w:t>-</w:t>
            </w:r>
            <w:r>
              <w:rPr>
                <w:spacing w:val="-13"/>
                <w:sz w:val="20"/>
              </w:rPr>
              <w:t> </w:t>
            </w:r>
            <w:r>
              <w:rPr>
                <w:sz w:val="20"/>
              </w:rPr>
              <w:t>Кушинга </w:t>
            </w:r>
            <w:r>
              <w:rPr>
                <w:spacing w:val="-2"/>
                <w:sz w:val="20"/>
              </w:rPr>
              <w:t>неуточненный</w:t>
            </w:r>
          </w:p>
        </w:tc>
        <w:tc>
          <w:tcPr>
            <w:tcW w:w="1698" w:type="dxa"/>
          </w:tcPr>
          <w:p>
            <w:pPr>
              <w:pStyle w:val="TableParagraph"/>
              <w:spacing w:line="249" w:lineRule="auto" w:before="120"/>
              <w:ind w:left="143"/>
              <w:rPr>
                <w:sz w:val="20"/>
              </w:rPr>
            </w:pPr>
            <w:r>
              <w:rPr>
                <w:spacing w:val="-2"/>
                <w:sz w:val="20"/>
              </w:rPr>
              <w:t>хирургическое лечение</w:t>
            </w:r>
          </w:p>
        </w:tc>
        <w:tc>
          <w:tcPr>
            <w:tcW w:w="3778" w:type="dxa"/>
          </w:tcPr>
          <w:p>
            <w:pPr>
              <w:pStyle w:val="TableParagraph"/>
              <w:spacing w:line="240" w:lineRule="atLeast" w:before="90"/>
              <w:ind w:left="143" w:right="324"/>
              <w:rPr>
                <w:sz w:val="20"/>
              </w:rPr>
            </w:pPr>
            <w:r>
              <w:rPr>
                <w:sz w:val="20"/>
              </w:rPr>
              <w:t>хирургическое лечение гиперкортицизма с проведением двухсторонней адреналэктомии, применением</w:t>
            </w:r>
            <w:r>
              <w:rPr>
                <w:spacing w:val="-13"/>
                <w:sz w:val="20"/>
              </w:rPr>
              <w:t> </w:t>
            </w:r>
            <w:r>
              <w:rPr>
                <w:sz w:val="20"/>
              </w:rPr>
              <w:t>аналогов</w:t>
            </w:r>
            <w:r>
              <w:rPr>
                <w:spacing w:val="-12"/>
                <w:sz w:val="20"/>
              </w:rPr>
              <w:t> </w:t>
            </w:r>
            <w:r>
              <w:rPr>
                <w:sz w:val="20"/>
              </w:rPr>
              <w:t>соматостатина пролонгированного действия, блокаторов стероидогенеза</w:t>
            </w:r>
          </w:p>
        </w:tc>
        <w:tc>
          <w:tcPr>
            <w:tcW w:w="1028" w:type="dxa"/>
          </w:tcPr>
          <w:p>
            <w:pPr>
              <w:pStyle w:val="TableParagraph"/>
              <w:rPr>
                <w:sz w:val="20"/>
              </w:rPr>
            </w:pPr>
          </w:p>
        </w:tc>
      </w:tr>
    </w:tbl>
    <w:p>
      <w:pPr>
        <w:pStyle w:val="BodyText"/>
        <w:spacing w:before="8"/>
      </w:pPr>
      <w:r>
        <w:rPr/>
        <w:pict>
          <v:shape style="position:absolute;margin-left:28.32pt;margin-top:17.717329pt;width:203pt;height:.1pt;mso-position-horizontal-relative:page;mso-position-vertical-relative:paragraph;z-index:-15728128;mso-wrap-distance-left:0;mso-wrap-distance-right:0" id="docshape5" coordorigin="566,354" coordsize="4060,0" path="m566,354l4626,354e" filled="false" stroked="true" strokeweight=".5616pt" strokecolor="#000000">
            <v:path arrowok="t"/>
            <v:stroke dashstyle="solid"/>
            <w10:wrap type="topAndBottom"/>
          </v:shape>
        </w:pict>
      </w:r>
    </w:p>
    <w:p>
      <w:pPr>
        <w:spacing w:line="249" w:lineRule="auto" w:before="132"/>
        <w:ind w:left="166" w:right="167" w:firstLine="0"/>
        <w:jc w:val="left"/>
        <w:rPr>
          <w:sz w:val="20"/>
        </w:rPr>
      </w:pPr>
      <w:r>
        <w:rPr>
          <w:sz w:val="20"/>
          <w:vertAlign w:val="superscript"/>
        </w:rPr>
        <w:t>*</w:t>
      </w:r>
      <w:r>
        <w:rPr>
          <w:spacing w:val="-2"/>
          <w:sz w:val="20"/>
          <w:vertAlign w:val="baseline"/>
        </w:rPr>
        <w:t> </w:t>
      </w:r>
      <w:r>
        <w:rPr>
          <w:sz w:val="20"/>
          <w:vertAlign w:val="baseline"/>
        </w:rPr>
        <w:t>Высокотехнологичная</w:t>
      </w:r>
      <w:r>
        <w:rPr>
          <w:spacing w:val="40"/>
          <w:sz w:val="20"/>
          <w:vertAlign w:val="baseline"/>
        </w:rPr>
        <w:t> </w:t>
      </w:r>
      <w:r>
        <w:rPr>
          <w:sz w:val="20"/>
          <w:vertAlign w:val="baseline"/>
        </w:rPr>
        <w:t>медицинская</w:t>
      </w:r>
      <w:r>
        <w:rPr>
          <w:spacing w:val="40"/>
          <w:sz w:val="20"/>
          <w:vertAlign w:val="baseline"/>
        </w:rPr>
        <w:t> </w:t>
      </w:r>
      <w:r>
        <w:rPr>
          <w:sz w:val="20"/>
          <w:vertAlign w:val="baseline"/>
        </w:rPr>
        <w:t>помощь</w:t>
      </w:r>
      <w:r>
        <w:rPr>
          <w:spacing w:val="40"/>
          <w:sz w:val="20"/>
          <w:vertAlign w:val="baseline"/>
        </w:rPr>
        <w:t> </w:t>
      </w:r>
      <w:r>
        <w:rPr>
          <w:sz w:val="20"/>
          <w:vertAlign w:val="baseline"/>
        </w:rPr>
        <w:t>оплачивается</w:t>
      </w:r>
      <w:r>
        <w:rPr>
          <w:spacing w:val="40"/>
          <w:sz w:val="20"/>
          <w:vertAlign w:val="baseline"/>
        </w:rPr>
        <w:t> </w:t>
      </w:r>
      <w:r>
        <w:rPr>
          <w:sz w:val="20"/>
          <w:vertAlign w:val="baseline"/>
        </w:rPr>
        <w:t>с</w:t>
      </w:r>
      <w:r>
        <w:rPr>
          <w:spacing w:val="40"/>
          <w:sz w:val="20"/>
          <w:vertAlign w:val="baseline"/>
        </w:rPr>
        <w:t> </w:t>
      </w:r>
      <w:r>
        <w:rPr>
          <w:sz w:val="20"/>
          <w:vertAlign w:val="baseline"/>
        </w:rPr>
        <w:t>применением</w:t>
      </w:r>
      <w:r>
        <w:rPr>
          <w:spacing w:val="40"/>
          <w:sz w:val="20"/>
          <w:vertAlign w:val="baseline"/>
        </w:rPr>
        <w:t> </w:t>
      </w:r>
      <w:r>
        <w:rPr>
          <w:sz w:val="20"/>
          <w:vertAlign w:val="baseline"/>
        </w:rPr>
        <w:t>коэффициента</w:t>
      </w:r>
      <w:r>
        <w:rPr>
          <w:spacing w:val="40"/>
          <w:sz w:val="20"/>
          <w:vertAlign w:val="baseline"/>
        </w:rPr>
        <w:t> </w:t>
      </w:r>
      <w:r>
        <w:rPr>
          <w:sz w:val="20"/>
          <w:vertAlign w:val="baseline"/>
        </w:rPr>
        <w:t>дифференциации</w:t>
      </w:r>
      <w:r>
        <w:rPr>
          <w:spacing w:val="40"/>
          <w:sz w:val="20"/>
          <w:vertAlign w:val="baseline"/>
        </w:rPr>
        <w:t> </w:t>
      </w:r>
      <w:r>
        <w:rPr>
          <w:sz w:val="20"/>
          <w:vertAlign w:val="baseline"/>
        </w:rPr>
        <w:t>к</w:t>
      </w:r>
      <w:r>
        <w:rPr>
          <w:spacing w:val="40"/>
          <w:sz w:val="20"/>
          <w:vertAlign w:val="baseline"/>
        </w:rPr>
        <w:t> </w:t>
      </w:r>
      <w:r>
        <w:rPr>
          <w:sz w:val="20"/>
          <w:vertAlign w:val="baseline"/>
        </w:rPr>
        <w:t>доле</w:t>
      </w:r>
      <w:r>
        <w:rPr>
          <w:spacing w:val="40"/>
          <w:sz w:val="20"/>
          <w:vertAlign w:val="baseline"/>
        </w:rPr>
        <w:t> </w:t>
      </w:r>
      <w:r>
        <w:rPr>
          <w:sz w:val="20"/>
          <w:vertAlign w:val="baseline"/>
        </w:rPr>
        <w:t>заработной</w:t>
      </w:r>
      <w:r>
        <w:rPr>
          <w:spacing w:val="40"/>
          <w:sz w:val="20"/>
          <w:vertAlign w:val="baseline"/>
        </w:rPr>
        <w:t> </w:t>
      </w:r>
      <w:r>
        <w:rPr>
          <w:sz w:val="20"/>
          <w:vertAlign w:val="baseline"/>
        </w:rPr>
        <w:t>платы</w:t>
      </w:r>
      <w:r>
        <w:rPr>
          <w:spacing w:val="40"/>
          <w:sz w:val="20"/>
          <w:vertAlign w:val="baseline"/>
        </w:rPr>
        <w:t> </w:t>
      </w:r>
      <w:r>
        <w:rPr>
          <w:sz w:val="20"/>
          <w:vertAlign w:val="baseline"/>
        </w:rPr>
        <w:t>в</w:t>
      </w:r>
      <w:r>
        <w:rPr>
          <w:spacing w:val="40"/>
          <w:sz w:val="20"/>
          <w:vertAlign w:val="baseline"/>
        </w:rPr>
        <w:t> </w:t>
      </w:r>
      <w:r>
        <w:rPr>
          <w:sz w:val="20"/>
          <w:vertAlign w:val="baseline"/>
        </w:rPr>
        <w:t>составе</w:t>
      </w:r>
      <w:r>
        <w:rPr>
          <w:spacing w:val="40"/>
          <w:sz w:val="20"/>
          <w:vertAlign w:val="baseline"/>
        </w:rPr>
        <w:t> </w:t>
      </w:r>
      <w:r>
        <w:rPr>
          <w:sz w:val="20"/>
          <w:vertAlign w:val="baseline"/>
        </w:rPr>
        <w:t>норматива</w:t>
      </w:r>
      <w:r>
        <w:rPr>
          <w:spacing w:val="40"/>
          <w:sz w:val="20"/>
          <w:vertAlign w:val="baseline"/>
        </w:rPr>
        <w:t> </w:t>
      </w:r>
      <w:r>
        <w:rPr>
          <w:sz w:val="20"/>
          <w:vertAlign w:val="baseline"/>
        </w:rPr>
        <w:t>финансовых</w:t>
      </w:r>
      <w:r>
        <w:rPr>
          <w:spacing w:val="40"/>
          <w:sz w:val="20"/>
          <w:vertAlign w:val="baseline"/>
        </w:rPr>
        <w:t> </w:t>
      </w:r>
      <w:r>
        <w:rPr>
          <w:sz w:val="20"/>
          <w:vertAlign w:val="baseline"/>
        </w:rPr>
        <w:t>затрат на единицу объема медицинской помощи:</w:t>
      </w:r>
    </w:p>
    <w:p>
      <w:pPr>
        <w:spacing w:before="2"/>
        <w:ind w:left="166" w:right="0" w:firstLine="0"/>
        <w:jc w:val="left"/>
        <w:rPr>
          <w:sz w:val="20"/>
        </w:rPr>
      </w:pPr>
      <w:r>
        <w:rPr>
          <w:sz w:val="20"/>
        </w:rPr>
        <w:t>1</w:t>
      </w:r>
      <w:r>
        <w:rPr>
          <w:spacing w:val="9"/>
          <w:sz w:val="20"/>
        </w:rPr>
        <w:t> </w:t>
      </w:r>
      <w:r>
        <w:rPr>
          <w:sz w:val="20"/>
        </w:rPr>
        <w:t>группа</w:t>
      </w:r>
      <w:r>
        <w:rPr>
          <w:spacing w:val="10"/>
          <w:sz w:val="20"/>
        </w:rPr>
        <w:t> </w:t>
      </w:r>
      <w:r>
        <w:rPr>
          <w:sz w:val="20"/>
        </w:rPr>
        <w:t>-</w:t>
      </w:r>
      <w:r>
        <w:rPr>
          <w:spacing w:val="10"/>
          <w:sz w:val="20"/>
        </w:rPr>
        <w:t> </w:t>
      </w:r>
      <w:r>
        <w:rPr>
          <w:sz w:val="20"/>
        </w:rPr>
        <w:t>20%;</w:t>
      </w:r>
      <w:r>
        <w:rPr>
          <w:spacing w:val="7"/>
          <w:sz w:val="20"/>
        </w:rPr>
        <w:t> </w:t>
      </w:r>
      <w:r>
        <w:rPr>
          <w:sz w:val="20"/>
        </w:rPr>
        <w:t>2</w:t>
      </w:r>
      <w:r>
        <w:rPr>
          <w:spacing w:val="10"/>
          <w:sz w:val="20"/>
        </w:rPr>
        <w:t> </w:t>
      </w:r>
      <w:r>
        <w:rPr>
          <w:sz w:val="20"/>
        </w:rPr>
        <w:t>группа</w:t>
      </w:r>
      <w:r>
        <w:rPr>
          <w:spacing w:val="14"/>
          <w:sz w:val="20"/>
        </w:rPr>
        <w:t> </w:t>
      </w:r>
      <w:r>
        <w:rPr>
          <w:sz w:val="20"/>
        </w:rPr>
        <w:t>-</w:t>
      </w:r>
      <w:r>
        <w:rPr>
          <w:spacing w:val="9"/>
          <w:sz w:val="20"/>
        </w:rPr>
        <w:t> </w:t>
      </w:r>
      <w:r>
        <w:rPr>
          <w:sz w:val="20"/>
        </w:rPr>
        <w:t>26%;</w:t>
      </w:r>
      <w:r>
        <w:rPr>
          <w:spacing w:val="8"/>
          <w:sz w:val="20"/>
        </w:rPr>
        <w:t> </w:t>
      </w:r>
      <w:r>
        <w:rPr>
          <w:sz w:val="20"/>
        </w:rPr>
        <w:t>3</w:t>
      </w:r>
      <w:r>
        <w:rPr>
          <w:spacing w:val="10"/>
          <w:sz w:val="20"/>
        </w:rPr>
        <w:t> </w:t>
      </w:r>
      <w:r>
        <w:rPr>
          <w:sz w:val="20"/>
        </w:rPr>
        <w:t>группа</w:t>
      </w:r>
      <w:r>
        <w:rPr>
          <w:spacing w:val="10"/>
          <w:sz w:val="20"/>
        </w:rPr>
        <w:t> </w:t>
      </w:r>
      <w:r>
        <w:rPr>
          <w:sz w:val="20"/>
        </w:rPr>
        <w:t>-</w:t>
      </w:r>
      <w:r>
        <w:rPr>
          <w:spacing w:val="10"/>
          <w:sz w:val="20"/>
        </w:rPr>
        <w:t> </w:t>
      </w:r>
      <w:r>
        <w:rPr>
          <w:sz w:val="20"/>
        </w:rPr>
        <w:t>33%;</w:t>
      </w:r>
      <w:r>
        <w:rPr>
          <w:spacing w:val="8"/>
          <w:sz w:val="20"/>
        </w:rPr>
        <w:t> </w:t>
      </w:r>
      <w:r>
        <w:rPr>
          <w:sz w:val="20"/>
        </w:rPr>
        <w:t>4</w:t>
      </w:r>
      <w:r>
        <w:rPr>
          <w:spacing w:val="10"/>
          <w:sz w:val="20"/>
        </w:rPr>
        <w:t> </w:t>
      </w:r>
      <w:r>
        <w:rPr>
          <w:sz w:val="20"/>
        </w:rPr>
        <w:t>группа</w:t>
      </w:r>
      <w:r>
        <w:rPr>
          <w:spacing w:val="13"/>
          <w:sz w:val="20"/>
        </w:rPr>
        <w:t> </w:t>
      </w:r>
      <w:r>
        <w:rPr>
          <w:sz w:val="20"/>
        </w:rPr>
        <w:t>-</w:t>
      </w:r>
      <w:r>
        <w:rPr>
          <w:spacing w:val="7"/>
          <w:sz w:val="20"/>
        </w:rPr>
        <w:t> </w:t>
      </w:r>
      <w:r>
        <w:rPr>
          <w:sz w:val="20"/>
        </w:rPr>
        <w:t>39%;</w:t>
      </w:r>
      <w:r>
        <w:rPr>
          <w:spacing w:val="8"/>
          <w:sz w:val="20"/>
        </w:rPr>
        <w:t> </w:t>
      </w:r>
      <w:r>
        <w:rPr>
          <w:sz w:val="20"/>
        </w:rPr>
        <w:t>5</w:t>
      </w:r>
      <w:r>
        <w:rPr>
          <w:spacing w:val="10"/>
          <w:sz w:val="20"/>
        </w:rPr>
        <w:t> </w:t>
      </w:r>
      <w:r>
        <w:rPr>
          <w:sz w:val="20"/>
        </w:rPr>
        <w:t>группа</w:t>
      </w:r>
      <w:r>
        <w:rPr>
          <w:spacing w:val="12"/>
          <w:sz w:val="20"/>
        </w:rPr>
        <w:t> </w:t>
      </w:r>
      <w:r>
        <w:rPr>
          <w:sz w:val="20"/>
        </w:rPr>
        <w:t>-</w:t>
      </w:r>
      <w:r>
        <w:rPr>
          <w:spacing w:val="7"/>
          <w:sz w:val="20"/>
        </w:rPr>
        <w:t> </w:t>
      </w:r>
      <w:r>
        <w:rPr>
          <w:sz w:val="20"/>
        </w:rPr>
        <w:t>22%;</w:t>
      </w:r>
      <w:r>
        <w:rPr>
          <w:spacing w:val="11"/>
          <w:sz w:val="20"/>
        </w:rPr>
        <w:t> </w:t>
      </w:r>
      <w:r>
        <w:rPr>
          <w:sz w:val="20"/>
        </w:rPr>
        <w:t>6</w:t>
      </w:r>
      <w:r>
        <w:rPr>
          <w:spacing w:val="9"/>
          <w:sz w:val="20"/>
        </w:rPr>
        <w:t> </w:t>
      </w:r>
      <w:r>
        <w:rPr>
          <w:sz w:val="20"/>
        </w:rPr>
        <w:t>группа</w:t>
      </w:r>
      <w:r>
        <w:rPr>
          <w:spacing w:val="11"/>
          <w:sz w:val="20"/>
        </w:rPr>
        <w:t> </w:t>
      </w:r>
      <w:r>
        <w:rPr>
          <w:sz w:val="20"/>
        </w:rPr>
        <w:t>-</w:t>
      </w:r>
      <w:r>
        <w:rPr>
          <w:spacing w:val="10"/>
          <w:sz w:val="20"/>
        </w:rPr>
        <w:t> </w:t>
      </w:r>
      <w:r>
        <w:rPr>
          <w:sz w:val="20"/>
        </w:rPr>
        <w:t>30%;</w:t>
      </w:r>
      <w:r>
        <w:rPr>
          <w:spacing w:val="7"/>
          <w:sz w:val="20"/>
        </w:rPr>
        <w:t> </w:t>
      </w:r>
      <w:r>
        <w:rPr>
          <w:sz w:val="20"/>
        </w:rPr>
        <w:t>7</w:t>
      </w:r>
      <w:r>
        <w:rPr>
          <w:spacing w:val="10"/>
          <w:sz w:val="20"/>
        </w:rPr>
        <w:t> </w:t>
      </w:r>
      <w:r>
        <w:rPr>
          <w:sz w:val="20"/>
        </w:rPr>
        <w:t>группа</w:t>
      </w:r>
      <w:r>
        <w:rPr>
          <w:spacing w:val="13"/>
          <w:sz w:val="20"/>
        </w:rPr>
        <w:t> </w:t>
      </w:r>
      <w:r>
        <w:rPr>
          <w:sz w:val="20"/>
        </w:rPr>
        <w:t>-</w:t>
      </w:r>
      <w:r>
        <w:rPr>
          <w:spacing w:val="9"/>
          <w:sz w:val="20"/>
        </w:rPr>
        <w:t> </w:t>
      </w:r>
      <w:r>
        <w:rPr>
          <w:sz w:val="20"/>
        </w:rPr>
        <w:t>7%;</w:t>
      </w:r>
      <w:r>
        <w:rPr>
          <w:spacing w:val="8"/>
          <w:sz w:val="20"/>
        </w:rPr>
        <w:t> </w:t>
      </w:r>
      <w:r>
        <w:rPr>
          <w:sz w:val="20"/>
        </w:rPr>
        <w:t>8</w:t>
      </w:r>
      <w:r>
        <w:rPr>
          <w:spacing w:val="10"/>
          <w:sz w:val="20"/>
        </w:rPr>
        <w:t> </w:t>
      </w:r>
      <w:r>
        <w:rPr>
          <w:sz w:val="20"/>
        </w:rPr>
        <w:t>группа</w:t>
      </w:r>
      <w:r>
        <w:rPr>
          <w:spacing w:val="13"/>
          <w:sz w:val="20"/>
        </w:rPr>
        <w:t> </w:t>
      </w:r>
      <w:r>
        <w:rPr>
          <w:sz w:val="20"/>
        </w:rPr>
        <w:t>-</w:t>
      </w:r>
      <w:r>
        <w:rPr>
          <w:spacing w:val="7"/>
          <w:sz w:val="20"/>
        </w:rPr>
        <w:t> </w:t>
      </w:r>
      <w:r>
        <w:rPr>
          <w:sz w:val="20"/>
        </w:rPr>
        <w:t>50%;</w:t>
      </w:r>
      <w:r>
        <w:rPr>
          <w:spacing w:val="8"/>
          <w:sz w:val="20"/>
        </w:rPr>
        <w:t> </w:t>
      </w:r>
      <w:r>
        <w:rPr>
          <w:sz w:val="20"/>
        </w:rPr>
        <w:t>9</w:t>
      </w:r>
      <w:r>
        <w:rPr>
          <w:spacing w:val="10"/>
          <w:sz w:val="20"/>
        </w:rPr>
        <w:t> </w:t>
      </w:r>
      <w:r>
        <w:rPr>
          <w:sz w:val="20"/>
        </w:rPr>
        <w:t>группа</w:t>
      </w:r>
      <w:r>
        <w:rPr>
          <w:spacing w:val="10"/>
          <w:sz w:val="20"/>
        </w:rPr>
        <w:t> </w:t>
      </w:r>
      <w:r>
        <w:rPr>
          <w:sz w:val="20"/>
        </w:rPr>
        <w:t>-</w:t>
      </w:r>
      <w:r>
        <w:rPr>
          <w:spacing w:val="10"/>
          <w:sz w:val="20"/>
        </w:rPr>
        <w:t> </w:t>
      </w:r>
      <w:r>
        <w:rPr>
          <w:sz w:val="20"/>
        </w:rPr>
        <w:t>33%;</w:t>
      </w:r>
      <w:r>
        <w:rPr>
          <w:spacing w:val="8"/>
          <w:sz w:val="20"/>
        </w:rPr>
        <w:t> </w:t>
      </w:r>
      <w:r>
        <w:rPr>
          <w:sz w:val="20"/>
        </w:rPr>
        <w:t>10</w:t>
      </w:r>
      <w:r>
        <w:rPr>
          <w:spacing w:val="10"/>
          <w:sz w:val="20"/>
        </w:rPr>
        <w:t> </w:t>
      </w:r>
      <w:r>
        <w:rPr>
          <w:sz w:val="20"/>
        </w:rPr>
        <w:t>группа</w:t>
      </w:r>
      <w:r>
        <w:rPr>
          <w:spacing w:val="13"/>
          <w:sz w:val="20"/>
        </w:rPr>
        <w:t> </w:t>
      </w:r>
      <w:r>
        <w:rPr>
          <w:sz w:val="20"/>
        </w:rPr>
        <w:t>-</w:t>
      </w:r>
      <w:r>
        <w:rPr>
          <w:spacing w:val="7"/>
          <w:sz w:val="20"/>
        </w:rPr>
        <w:t> </w:t>
      </w:r>
      <w:r>
        <w:rPr>
          <w:sz w:val="20"/>
        </w:rPr>
        <w:t>48%;</w:t>
      </w:r>
      <w:r>
        <w:rPr>
          <w:spacing w:val="11"/>
          <w:sz w:val="20"/>
        </w:rPr>
        <w:t> </w:t>
      </w:r>
      <w:r>
        <w:rPr>
          <w:sz w:val="20"/>
        </w:rPr>
        <w:t>11</w:t>
      </w:r>
      <w:r>
        <w:rPr>
          <w:spacing w:val="9"/>
          <w:sz w:val="20"/>
        </w:rPr>
        <w:t> </w:t>
      </w:r>
      <w:r>
        <w:rPr>
          <w:sz w:val="20"/>
        </w:rPr>
        <w:t>группа</w:t>
      </w:r>
      <w:r>
        <w:rPr>
          <w:spacing w:val="13"/>
          <w:sz w:val="20"/>
        </w:rPr>
        <w:t> </w:t>
      </w:r>
      <w:r>
        <w:rPr>
          <w:sz w:val="20"/>
        </w:rPr>
        <w:t>-</w:t>
      </w:r>
      <w:r>
        <w:rPr>
          <w:spacing w:val="7"/>
          <w:sz w:val="20"/>
        </w:rPr>
        <w:t> </w:t>
      </w:r>
      <w:r>
        <w:rPr>
          <w:spacing w:val="-4"/>
          <w:sz w:val="20"/>
        </w:rPr>
        <w:t>28%;</w:t>
      </w:r>
    </w:p>
    <w:p>
      <w:pPr>
        <w:spacing w:before="10"/>
        <w:ind w:left="166" w:right="0" w:firstLine="0"/>
        <w:jc w:val="left"/>
        <w:rPr>
          <w:sz w:val="20"/>
        </w:rPr>
      </w:pPr>
      <w:r>
        <w:rPr>
          <w:sz w:val="20"/>
        </w:rPr>
        <w:t>12</w:t>
      </w:r>
      <w:r>
        <w:rPr>
          <w:spacing w:val="23"/>
          <w:sz w:val="20"/>
        </w:rPr>
        <w:t> </w:t>
      </w:r>
      <w:r>
        <w:rPr>
          <w:sz w:val="20"/>
        </w:rPr>
        <w:t>группа</w:t>
      </w:r>
      <w:r>
        <w:rPr>
          <w:spacing w:val="24"/>
          <w:sz w:val="20"/>
        </w:rPr>
        <w:t> </w:t>
      </w:r>
      <w:r>
        <w:rPr>
          <w:sz w:val="20"/>
        </w:rPr>
        <w:t>-</w:t>
      </w:r>
      <w:r>
        <w:rPr>
          <w:spacing w:val="21"/>
          <w:sz w:val="20"/>
        </w:rPr>
        <w:t> </w:t>
      </w:r>
      <w:r>
        <w:rPr>
          <w:sz w:val="20"/>
        </w:rPr>
        <w:t>25%;</w:t>
      </w:r>
      <w:r>
        <w:rPr>
          <w:spacing w:val="22"/>
          <w:sz w:val="20"/>
        </w:rPr>
        <w:t> </w:t>
      </w:r>
      <w:r>
        <w:rPr>
          <w:sz w:val="20"/>
        </w:rPr>
        <w:t>13</w:t>
      </w:r>
      <w:r>
        <w:rPr>
          <w:spacing w:val="23"/>
          <w:sz w:val="20"/>
        </w:rPr>
        <w:t> </w:t>
      </w:r>
      <w:r>
        <w:rPr>
          <w:sz w:val="20"/>
        </w:rPr>
        <w:t>группа</w:t>
      </w:r>
      <w:r>
        <w:rPr>
          <w:spacing w:val="26"/>
          <w:sz w:val="20"/>
        </w:rPr>
        <w:t> </w:t>
      </w:r>
      <w:r>
        <w:rPr>
          <w:sz w:val="20"/>
        </w:rPr>
        <w:t>-</w:t>
      </w:r>
      <w:r>
        <w:rPr>
          <w:spacing w:val="21"/>
          <w:sz w:val="20"/>
        </w:rPr>
        <w:t> </w:t>
      </w:r>
      <w:r>
        <w:rPr>
          <w:sz w:val="20"/>
        </w:rPr>
        <w:t>20%;</w:t>
      </w:r>
      <w:r>
        <w:rPr>
          <w:spacing w:val="22"/>
          <w:sz w:val="20"/>
        </w:rPr>
        <w:t> </w:t>
      </w:r>
      <w:r>
        <w:rPr>
          <w:sz w:val="20"/>
        </w:rPr>
        <w:t>14</w:t>
      </w:r>
      <w:r>
        <w:rPr>
          <w:spacing w:val="23"/>
          <w:sz w:val="20"/>
        </w:rPr>
        <w:t> </w:t>
      </w:r>
      <w:r>
        <w:rPr>
          <w:sz w:val="20"/>
        </w:rPr>
        <w:t>группа</w:t>
      </w:r>
      <w:r>
        <w:rPr>
          <w:spacing w:val="25"/>
          <w:sz w:val="20"/>
        </w:rPr>
        <w:t> </w:t>
      </w:r>
      <w:r>
        <w:rPr>
          <w:sz w:val="20"/>
        </w:rPr>
        <w:t>-</w:t>
      </w:r>
      <w:r>
        <w:rPr>
          <w:spacing w:val="21"/>
          <w:sz w:val="20"/>
        </w:rPr>
        <w:t> </w:t>
      </w:r>
      <w:r>
        <w:rPr>
          <w:sz w:val="20"/>
        </w:rPr>
        <w:t>17%;</w:t>
      </w:r>
      <w:r>
        <w:rPr>
          <w:spacing w:val="22"/>
          <w:sz w:val="20"/>
        </w:rPr>
        <w:t> </w:t>
      </w:r>
      <w:r>
        <w:rPr>
          <w:sz w:val="20"/>
        </w:rPr>
        <w:t>15</w:t>
      </w:r>
      <w:r>
        <w:rPr>
          <w:spacing w:val="23"/>
          <w:sz w:val="20"/>
        </w:rPr>
        <w:t> </w:t>
      </w:r>
      <w:r>
        <w:rPr>
          <w:sz w:val="20"/>
        </w:rPr>
        <w:t>группа</w:t>
      </w:r>
      <w:r>
        <w:rPr>
          <w:spacing w:val="26"/>
          <w:sz w:val="20"/>
        </w:rPr>
        <w:t> </w:t>
      </w:r>
      <w:r>
        <w:rPr>
          <w:sz w:val="20"/>
        </w:rPr>
        <w:t>-</w:t>
      </w:r>
      <w:r>
        <w:rPr>
          <w:spacing w:val="22"/>
          <w:sz w:val="20"/>
        </w:rPr>
        <w:t> </w:t>
      </w:r>
      <w:r>
        <w:rPr>
          <w:sz w:val="20"/>
        </w:rPr>
        <w:t>17%;</w:t>
      </w:r>
      <w:r>
        <w:rPr>
          <w:spacing w:val="22"/>
          <w:sz w:val="20"/>
        </w:rPr>
        <w:t> </w:t>
      </w:r>
      <w:r>
        <w:rPr>
          <w:sz w:val="20"/>
        </w:rPr>
        <w:t>16</w:t>
      </w:r>
      <w:r>
        <w:rPr>
          <w:spacing w:val="23"/>
          <w:sz w:val="20"/>
        </w:rPr>
        <w:t> </w:t>
      </w:r>
      <w:r>
        <w:rPr>
          <w:sz w:val="20"/>
        </w:rPr>
        <w:t>группа</w:t>
      </w:r>
      <w:r>
        <w:rPr>
          <w:spacing w:val="25"/>
          <w:sz w:val="20"/>
        </w:rPr>
        <w:t> </w:t>
      </w:r>
      <w:r>
        <w:rPr>
          <w:sz w:val="20"/>
        </w:rPr>
        <w:t>-</w:t>
      </w:r>
      <w:r>
        <w:rPr>
          <w:spacing w:val="21"/>
          <w:sz w:val="20"/>
        </w:rPr>
        <w:t> </w:t>
      </w:r>
      <w:r>
        <w:rPr>
          <w:sz w:val="20"/>
        </w:rPr>
        <w:t>37%;</w:t>
      </w:r>
      <w:r>
        <w:rPr>
          <w:spacing w:val="22"/>
          <w:sz w:val="20"/>
        </w:rPr>
        <w:t> </w:t>
      </w:r>
      <w:r>
        <w:rPr>
          <w:sz w:val="20"/>
        </w:rPr>
        <w:t>17</w:t>
      </w:r>
      <w:r>
        <w:rPr>
          <w:spacing w:val="23"/>
          <w:sz w:val="20"/>
        </w:rPr>
        <w:t> </w:t>
      </w:r>
      <w:r>
        <w:rPr>
          <w:sz w:val="20"/>
        </w:rPr>
        <w:t>группа</w:t>
      </w:r>
      <w:r>
        <w:rPr>
          <w:spacing w:val="23"/>
          <w:sz w:val="20"/>
        </w:rPr>
        <w:t> </w:t>
      </w:r>
      <w:r>
        <w:rPr>
          <w:sz w:val="20"/>
        </w:rPr>
        <w:t>-</w:t>
      </w:r>
      <w:r>
        <w:rPr>
          <w:spacing w:val="21"/>
          <w:sz w:val="20"/>
        </w:rPr>
        <w:t> </w:t>
      </w:r>
      <w:r>
        <w:rPr>
          <w:sz w:val="20"/>
        </w:rPr>
        <w:t>28%;</w:t>
      </w:r>
      <w:r>
        <w:rPr>
          <w:spacing w:val="22"/>
          <w:sz w:val="20"/>
        </w:rPr>
        <w:t> </w:t>
      </w:r>
      <w:r>
        <w:rPr>
          <w:sz w:val="20"/>
        </w:rPr>
        <w:t>18</w:t>
      </w:r>
      <w:r>
        <w:rPr>
          <w:spacing w:val="23"/>
          <w:sz w:val="20"/>
        </w:rPr>
        <w:t> </w:t>
      </w:r>
      <w:r>
        <w:rPr>
          <w:sz w:val="20"/>
        </w:rPr>
        <w:t>группа</w:t>
      </w:r>
      <w:r>
        <w:rPr>
          <w:spacing w:val="27"/>
          <w:sz w:val="20"/>
        </w:rPr>
        <w:t> </w:t>
      </w:r>
      <w:r>
        <w:rPr>
          <w:sz w:val="20"/>
        </w:rPr>
        <w:t>-</w:t>
      </w:r>
      <w:r>
        <w:rPr>
          <w:spacing w:val="21"/>
          <w:sz w:val="20"/>
        </w:rPr>
        <w:t> </w:t>
      </w:r>
      <w:r>
        <w:rPr>
          <w:sz w:val="20"/>
        </w:rPr>
        <w:t>21%;</w:t>
      </w:r>
      <w:r>
        <w:rPr>
          <w:spacing w:val="23"/>
          <w:sz w:val="20"/>
        </w:rPr>
        <w:t> </w:t>
      </w:r>
      <w:r>
        <w:rPr>
          <w:sz w:val="20"/>
        </w:rPr>
        <w:t>19</w:t>
      </w:r>
      <w:r>
        <w:rPr>
          <w:spacing w:val="23"/>
          <w:sz w:val="20"/>
        </w:rPr>
        <w:t> </w:t>
      </w:r>
      <w:r>
        <w:rPr>
          <w:sz w:val="20"/>
        </w:rPr>
        <w:t>группа</w:t>
      </w:r>
      <w:r>
        <w:rPr>
          <w:spacing w:val="27"/>
          <w:sz w:val="20"/>
        </w:rPr>
        <w:t> </w:t>
      </w:r>
      <w:r>
        <w:rPr>
          <w:sz w:val="20"/>
        </w:rPr>
        <w:t>-</w:t>
      </w:r>
      <w:r>
        <w:rPr>
          <w:spacing w:val="23"/>
          <w:sz w:val="20"/>
        </w:rPr>
        <w:t> </w:t>
      </w:r>
      <w:r>
        <w:rPr>
          <w:sz w:val="20"/>
        </w:rPr>
        <w:t>30%;</w:t>
      </w:r>
      <w:r>
        <w:rPr>
          <w:spacing w:val="22"/>
          <w:sz w:val="20"/>
        </w:rPr>
        <w:t> </w:t>
      </w:r>
      <w:r>
        <w:rPr>
          <w:sz w:val="20"/>
        </w:rPr>
        <w:t>20</w:t>
      </w:r>
      <w:r>
        <w:rPr>
          <w:spacing w:val="21"/>
          <w:sz w:val="20"/>
        </w:rPr>
        <w:t> </w:t>
      </w:r>
      <w:r>
        <w:rPr>
          <w:sz w:val="20"/>
        </w:rPr>
        <w:t>группа</w:t>
      </w:r>
      <w:r>
        <w:rPr>
          <w:spacing w:val="27"/>
          <w:sz w:val="20"/>
        </w:rPr>
        <w:t> </w:t>
      </w:r>
      <w:r>
        <w:rPr>
          <w:sz w:val="20"/>
        </w:rPr>
        <w:t>-</w:t>
      </w:r>
      <w:r>
        <w:rPr>
          <w:spacing w:val="21"/>
          <w:sz w:val="20"/>
        </w:rPr>
        <w:t> </w:t>
      </w:r>
      <w:r>
        <w:rPr>
          <w:sz w:val="20"/>
        </w:rPr>
        <w:t>31%;</w:t>
      </w:r>
      <w:r>
        <w:rPr>
          <w:spacing w:val="22"/>
          <w:sz w:val="20"/>
        </w:rPr>
        <w:t> </w:t>
      </w:r>
      <w:r>
        <w:rPr>
          <w:sz w:val="20"/>
        </w:rPr>
        <w:t>21</w:t>
      </w:r>
      <w:r>
        <w:rPr>
          <w:spacing w:val="21"/>
          <w:sz w:val="20"/>
        </w:rPr>
        <w:t> </w:t>
      </w:r>
      <w:r>
        <w:rPr>
          <w:sz w:val="20"/>
        </w:rPr>
        <w:t>группа</w:t>
      </w:r>
      <w:r>
        <w:rPr>
          <w:spacing w:val="24"/>
          <w:sz w:val="20"/>
        </w:rPr>
        <w:t> </w:t>
      </w:r>
      <w:r>
        <w:rPr>
          <w:sz w:val="20"/>
        </w:rPr>
        <w:t>-</w:t>
      </w:r>
      <w:r>
        <w:rPr>
          <w:spacing w:val="21"/>
          <w:sz w:val="20"/>
        </w:rPr>
        <w:t> </w:t>
      </w:r>
      <w:r>
        <w:rPr>
          <w:spacing w:val="-4"/>
          <w:sz w:val="20"/>
        </w:rPr>
        <w:t>54%;</w:t>
      </w:r>
    </w:p>
    <w:p>
      <w:pPr>
        <w:spacing w:before="10"/>
        <w:ind w:left="166" w:right="0" w:firstLine="0"/>
        <w:jc w:val="left"/>
        <w:rPr>
          <w:sz w:val="20"/>
        </w:rPr>
      </w:pPr>
      <w:r>
        <w:rPr>
          <w:sz w:val="20"/>
        </w:rPr>
        <w:t>22</w:t>
      </w:r>
      <w:r>
        <w:rPr>
          <w:spacing w:val="22"/>
          <w:sz w:val="20"/>
        </w:rPr>
        <w:t> </w:t>
      </w:r>
      <w:r>
        <w:rPr>
          <w:sz w:val="20"/>
        </w:rPr>
        <w:t>группа</w:t>
      </w:r>
      <w:r>
        <w:rPr>
          <w:spacing w:val="24"/>
          <w:sz w:val="20"/>
        </w:rPr>
        <w:t> </w:t>
      </w:r>
      <w:r>
        <w:rPr>
          <w:sz w:val="20"/>
        </w:rPr>
        <w:t>-</w:t>
      </w:r>
      <w:r>
        <w:rPr>
          <w:spacing w:val="22"/>
          <w:sz w:val="20"/>
        </w:rPr>
        <w:t> </w:t>
      </w:r>
      <w:r>
        <w:rPr>
          <w:sz w:val="20"/>
        </w:rPr>
        <w:t>36%;</w:t>
      </w:r>
      <w:r>
        <w:rPr>
          <w:spacing w:val="22"/>
          <w:sz w:val="20"/>
        </w:rPr>
        <w:t> </w:t>
      </w:r>
      <w:r>
        <w:rPr>
          <w:sz w:val="20"/>
        </w:rPr>
        <w:t>23</w:t>
      </w:r>
      <w:r>
        <w:rPr>
          <w:spacing w:val="23"/>
          <w:sz w:val="20"/>
        </w:rPr>
        <w:t> </w:t>
      </w:r>
      <w:r>
        <w:rPr>
          <w:sz w:val="20"/>
        </w:rPr>
        <w:t>группа</w:t>
      </w:r>
      <w:r>
        <w:rPr>
          <w:spacing w:val="25"/>
          <w:sz w:val="20"/>
        </w:rPr>
        <w:t> </w:t>
      </w:r>
      <w:r>
        <w:rPr>
          <w:sz w:val="20"/>
        </w:rPr>
        <w:t>-</w:t>
      </w:r>
      <w:r>
        <w:rPr>
          <w:spacing w:val="21"/>
          <w:sz w:val="20"/>
        </w:rPr>
        <w:t> </w:t>
      </w:r>
      <w:r>
        <w:rPr>
          <w:sz w:val="20"/>
        </w:rPr>
        <w:t>37%;</w:t>
      </w:r>
      <w:r>
        <w:rPr>
          <w:spacing w:val="23"/>
          <w:sz w:val="20"/>
        </w:rPr>
        <w:t> </w:t>
      </w:r>
      <w:r>
        <w:rPr>
          <w:sz w:val="20"/>
        </w:rPr>
        <w:t>24</w:t>
      </w:r>
      <w:r>
        <w:rPr>
          <w:spacing w:val="23"/>
          <w:sz w:val="20"/>
        </w:rPr>
        <w:t> </w:t>
      </w:r>
      <w:r>
        <w:rPr>
          <w:sz w:val="20"/>
        </w:rPr>
        <w:t>группа</w:t>
      </w:r>
      <w:r>
        <w:rPr>
          <w:spacing w:val="24"/>
          <w:sz w:val="20"/>
        </w:rPr>
        <w:t> </w:t>
      </w:r>
      <w:r>
        <w:rPr>
          <w:sz w:val="20"/>
        </w:rPr>
        <w:t>-</w:t>
      </w:r>
      <w:r>
        <w:rPr>
          <w:spacing w:val="21"/>
          <w:sz w:val="20"/>
        </w:rPr>
        <w:t> </w:t>
      </w:r>
      <w:r>
        <w:rPr>
          <w:sz w:val="20"/>
        </w:rPr>
        <w:t>35%;</w:t>
      </w:r>
      <w:r>
        <w:rPr>
          <w:spacing w:val="23"/>
          <w:sz w:val="20"/>
        </w:rPr>
        <w:t> </w:t>
      </w:r>
      <w:r>
        <w:rPr>
          <w:sz w:val="20"/>
        </w:rPr>
        <w:t>25</w:t>
      </w:r>
      <w:r>
        <w:rPr>
          <w:spacing w:val="23"/>
          <w:sz w:val="20"/>
        </w:rPr>
        <w:t> </w:t>
      </w:r>
      <w:r>
        <w:rPr>
          <w:sz w:val="20"/>
        </w:rPr>
        <w:t>группа</w:t>
      </w:r>
      <w:r>
        <w:rPr>
          <w:spacing w:val="25"/>
          <w:sz w:val="20"/>
        </w:rPr>
        <w:t> </w:t>
      </w:r>
      <w:r>
        <w:rPr>
          <w:sz w:val="20"/>
        </w:rPr>
        <w:t>-</w:t>
      </w:r>
      <w:r>
        <w:rPr>
          <w:spacing w:val="21"/>
          <w:sz w:val="20"/>
        </w:rPr>
        <w:t> </w:t>
      </w:r>
      <w:r>
        <w:rPr>
          <w:sz w:val="20"/>
        </w:rPr>
        <w:t>34%;</w:t>
      </w:r>
      <w:r>
        <w:rPr>
          <w:spacing w:val="22"/>
          <w:sz w:val="20"/>
        </w:rPr>
        <w:t> </w:t>
      </w:r>
      <w:r>
        <w:rPr>
          <w:sz w:val="20"/>
        </w:rPr>
        <w:t>26</w:t>
      </w:r>
      <w:r>
        <w:rPr>
          <w:spacing w:val="23"/>
          <w:sz w:val="20"/>
        </w:rPr>
        <w:t> </w:t>
      </w:r>
      <w:r>
        <w:rPr>
          <w:sz w:val="20"/>
        </w:rPr>
        <w:t>группа</w:t>
      </w:r>
      <w:r>
        <w:rPr>
          <w:spacing w:val="25"/>
          <w:sz w:val="20"/>
        </w:rPr>
        <w:t> </w:t>
      </w:r>
      <w:r>
        <w:rPr>
          <w:sz w:val="20"/>
        </w:rPr>
        <w:t>-</w:t>
      </w:r>
      <w:r>
        <w:rPr>
          <w:spacing w:val="21"/>
          <w:sz w:val="20"/>
        </w:rPr>
        <w:t> </w:t>
      </w:r>
      <w:r>
        <w:rPr>
          <w:sz w:val="20"/>
        </w:rPr>
        <w:t>26%;</w:t>
      </w:r>
      <w:r>
        <w:rPr>
          <w:spacing w:val="22"/>
          <w:sz w:val="20"/>
        </w:rPr>
        <w:t> </w:t>
      </w:r>
      <w:r>
        <w:rPr>
          <w:sz w:val="20"/>
        </w:rPr>
        <w:t>27</w:t>
      </w:r>
      <w:r>
        <w:rPr>
          <w:spacing w:val="23"/>
          <w:sz w:val="20"/>
        </w:rPr>
        <w:t> </w:t>
      </w:r>
      <w:r>
        <w:rPr>
          <w:sz w:val="20"/>
        </w:rPr>
        <w:t>группа</w:t>
      </w:r>
      <w:r>
        <w:rPr>
          <w:spacing w:val="24"/>
          <w:sz w:val="20"/>
        </w:rPr>
        <w:t> </w:t>
      </w:r>
      <w:r>
        <w:rPr>
          <w:sz w:val="20"/>
        </w:rPr>
        <w:t>-</w:t>
      </w:r>
      <w:r>
        <w:rPr>
          <w:spacing w:val="22"/>
          <w:sz w:val="20"/>
        </w:rPr>
        <w:t> </w:t>
      </w:r>
      <w:r>
        <w:rPr>
          <w:sz w:val="20"/>
        </w:rPr>
        <w:t>20%;</w:t>
      </w:r>
      <w:r>
        <w:rPr>
          <w:spacing w:val="22"/>
          <w:sz w:val="20"/>
        </w:rPr>
        <w:t> </w:t>
      </w:r>
      <w:r>
        <w:rPr>
          <w:sz w:val="20"/>
        </w:rPr>
        <w:t>28</w:t>
      </w:r>
      <w:r>
        <w:rPr>
          <w:spacing w:val="23"/>
          <w:sz w:val="20"/>
        </w:rPr>
        <w:t> </w:t>
      </w:r>
      <w:r>
        <w:rPr>
          <w:sz w:val="20"/>
        </w:rPr>
        <w:t>группа</w:t>
      </w:r>
      <w:r>
        <w:rPr>
          <w:spacing w:val="26"/>
          <w:sz w:val="20"/>
        </w:rPr>
        <w:t> </w:t>
      </w:r>
      <w:r>
        <w:rPr>
          <w:sz w:val="20"/>
        </w:rPr>
        <w:t>-</w:t>
      </w:r>
      <w:r>
        <w:rPr>
          <w:spacing w:val="21"/>
          <w:sz w:val="20"/>
        </w:rPr>
        <w:t> </w:t>
      </w:r>
      <w:r>
        <w:rPr>
          <w:sz w:val="20"/>
        </w:rPr>
        <w:t>44%;</w:t>
      </w:r>
      <w:r>
        <w:rPr>
          <w:spacing w:val="22"/>
          <w:sz w:val="20"/>
        </w:rPr>
        <w:t> </w:t>
      </w:r>
      <w:r>
        <w:rPr>
          <w:sz w:val="20"/>
        </w:rPr>
        <w:t>29</w:t>
      </w:r>
      <w:r>
        <w:rPr>
          <w:spacing w:val="23"/>
          <w:sz w:val="20"/>
        </w:rPr>
        <w:t> </w:t>
      </w:r>
      <w:r>
        <w:rPr>
          <w:sz w:val="20"/>
        </w:rPr>
        <w:t>группа</w:t>
      </w:r>
      <w:r>
        <w:rPr>
          <w:spacing w:val="27"/>
          <w:sz w:val="20"/>
        </w:rPr>
        <w:t> </w:t>
      </w:r>
      <w:r>
        <w:rPr>
          <w:sz w:val="20"/>
        </w:rPr>
        <w:t>-</w:t>
      </w:r>
      <w:r>
        <w:rPr>
          <w:spacing w:val="23"/>
          <w:sz w:val="20"/>
        </w:rPr>
        <w:t> </w:t>
      </w:r>
      <w:r>
        <w:rPr>
          <w:sz w:val="20"/>
        </w:rPr>
        <w:t>35%;</w:t>
      </w:r>
      <w:r>
        <w:rPr>
          <w:spacing w:val="22"/>
          <w:sz w:val="20"/>
        </w:rPr>
        <w:t> </w:t>
      </w:r>
      <w:r>
        <w:rPr>
          <w:sz w:val="20"/>
        </w:rPr>
        <w:t>30</w:t>
      </w:r>
      <w:r>
        <w:rPr>
          <w:spacing w:val="21"/>
          <w:sz w:val="20"/>
        </w:rPr>
        <w:t> </w:t>
      </w:r>
      <w:r>
        <w:rPr>
          <w:sz w:val="20"/>
        </w:rPr>
        <w:t>группа</w:t>
      </w:r>
      <w:r>
        <w:rPr>
          <w:spacing w:val="27"/>
          <w:sz w:val="20"/>
        </w:rPr>
        <w:t> </w:t>
      </w:r>
      <w:r>
        <w:rPr>
          <w:sz w:val="20"/>
        </w:rPr>
        <w:t>-</w:t>
      </w:r>
      <w:r>
        <w:rPr>
          <w:spacing w:val="21"/>
          <w:sz w:val="20"/>
        </w:rPr>
        <w:t> </w:t>
      </w:r>
      <w:r>
        <w:rPr>
          <w:sz w:val="20"/>
        </w:rPr>
        <w:t>34%;</w:t>
      </w:r>
      <w:r>
        <w:rPr>
          <w:spacing w:val="22"/>
          <w:sz w:val="20"/>
        </w:rPr>
        <w:t> </w:t>
      </w:r>
      <w:r>
        <w:rPr>
          <w:sz w:val="20"/>
        </w:rPr>
        <w:t>31</w:t>
      </w:r>
      <w:r>
        <w:rPr>
          <w:spacing w:val="21"/>
          <w:sz w:val="20"/>
        </w:rPr>
        <w:t> </w:t>
      </w:r>
      <w:r>
        <w:rPr>
          <w:sz w:val="20"/>
        </w:rPr>
        <w:t>группа</w:t>
      </w:r>
      <w:r>
        <w:rPr>
          <w:spacing w:val="24"/>
          <w:sz w:val="20"/>
        </w:rPr>
        <w:t> </w:t>
      </w:r>
      <w:r>
        <w:rPr>
          <w:sz w:val="20"/>
        </w:rPr>
        <w:t>-</w:t>
      </w:r>
      <w:r>
        <w:rPr>
          <w:spacing w:val="21"/>
          <w:sz w:val="20"/>
        </w:rPr>
        <w:t> </w:t>
      </w:r>
      <w:r>
        <w:rPr>
          <w:spacing w:val="-4"/>
          <w:sz w:val="20"/>
        </w:rPr>
        <w:t>38%;</w:t>
      </w:r>
    </w:p>
    <w:p>
      <w:pPr>
        <w:spacing w:before="10"/>
        <w:ind w:left="166" w:right="0" w:firstLine="0"/>
        <w:jc w:val="left"/>
        <w:rPr>
          <w:sz w:val="20"/>
        </w:rPr>
      </w:pPr>
      <w:r>
        <w:rPr>
          <w:sz w:val="20"/>
        </w:rPr>
        <w:t>32</w:t>
      </w:r>
      <w:r>
        <w:rPr>
          <w:spacing w:val="23"/>
          <w:sz w:val="20"/>
        </w:rPr>
        <w:t> </w:t>
      </w:r>
      <w:r>
        <w:rPr>
          <w:sz w:val="20"/>
        </w:rPr>
        <w:t>группа</w:t>
      </w:r>
      <w:r>
        <w:rPr>
          <w:spacing w:val="23"/>
          <w:sz w:val="20"/>
        </w:rPr>
        <w:t> </w:t>
      </w:r>
      <w:r>
        <w:rPr>
          <w:sz w:val="20"/>
        </w:rPr>
        <w:t>-</w:t>
      </w:r>
      <w:r>
        <w:rPr>
          <w:spacing w:val="21"/>
          <w:sz w:val="20"/>
        </w:rPr>
        <w:t> </w:t>
      </w:r>
      <w:r>
        <w:rPr>
          <w:sz w:val="20"/>
        </w:rPr>
        <w:t>22%;</w:t>
      </w:r>
      <w:r>
        <w:rPr>
          <w:spacing w:val="22"/>
          <w:sz w:val="20"/>
        </w:rPr>
        <w:t> </w:t>
      </w:r>
      <w:r>
        <w:rPr>
          <w:sz w:val="20"/>
        </w:rPr>
        <w:t>33</w:t>
      </w:r>
      <w:r>
        <w:rPr>
          <w:spacing w:val="23"/>
          <w:sz w:val="20"/>
        </w:rPr>
        <w:t> </w:t>
      </w:r>
      <w:r>
        <w:rPr>
          <w:sz w:val="20"/>
        </w:rPr>
        <w:t>группа</w:t>
      </w:r>
      <w:r>
        <w:rPr>
          <w:spacing w:val="26"/>
          <w:sz w:val="20"/>
        </w:rPr>
        <w:t> </w:t>
      </w:r>
      <w:r>
        <w:rPr>
          <w:sz w:val="20"/>
        </w:rPr>
        <w:t>-</w:t>
      </w:r>
      <w:r>
        <w:rPr>
          <w:spacing w:val="21"/>
          <w:sz w:val="20"/>
        </w:rPr>
        <w:t> </w:t>
      </w:r>
      <w:r>
        <w:rPr>
          <w:sz w:val="20"/>
        </w:rPr>
        <w:t>33%;</w:t>
      </w:r>
      <w:r>
        <w:rPr>
          <w:spacing w:val="22"/>
          <w:sz w:val="20"/>
        </w:rPr>
        <w:t> </w:t>
      </w:r>
      <w:r>
        <w:rPr>
          <w:sz w:val="20"/>
        </w:rPr>
        <w:t>34</w:t>
      </w:r>
      <w:r>
        <w:rPr>
          <w:spacing w:val="23"/>
          <w:sz w:val="20"/>
        </w:rPr>
        <w:t> </w:t>
      </w:r>
      <w:r>
        <w:rPr>
          <w:sz w:val="20"/>
        </w:rPr>
        <w:t>группа</w:t>
      </w:r>
      <w:r>
        <w:rPr>
          <w:spacing w:val="25"/>
          <w:sz w:val="20"/>
        </w:rPr>
        <w:t> </w:t>
      </w:r>
      <w:r>
        <w:rPr>
          <w:sz w:val="20"/>
        </w:rPr>
        <w:t>-</w:t>
      </w:r>
      <w:r>
        <w:rPr>
          <w:spacing w:val="21"/>
          <w:sz w:val="20"/>
        </w:rPr>
        <w:t> </w:t>
      </w:r>
      <w:r>
        <w:rPr>
          <w:sz w:val="20"/>
        </w:rPr>
        <w:t>21%;</w:t>
      </w:r>
      <w:r>
        <w:rPr>
          <w:spacing w:val="22"/>
          <w:sz w:val="20"/>
        </w:rPr>
        <w:t> </w:t>
      </w:r>
      <w:r>
        <w:rPr>
          <w:sz w:val="20"/>
        </w:rPr>
        <w:t>35</w:t>
      </w:r>
      <w:r>
        <w:rPr>
          <w:spacing w:val="23"/>
          <w:sz w:val="20"/>
        </w:rPr>
        <w:t> </w:t>
      </w:r>
      <w:r>
        <w:rPr>
          <w:sz w:val="20"/>
        </w:rPr>
        <w:t>группа</w:t>
      </w:r>
      <w:r>
        <w:rPr>
          <w:spacing w:val="26"/>
          <w:sz w:val="20"/>
        </w:rPr>
        <w:t> </w:t>
      </w:r>
      <w:r>
        <w:rPr>
          <w:sz w:val="20"/>
        </w:rPr>
        <w:t>-</w:t>
      </w:r>
      <w:r>
        <w:rPr>
          <w:spacing w:val="21"/>
          <w:sz w:val="20"/>
        </w:rPr>
        <w:t> </w:t>
      </w:r>
      <w:r>
        <w:rPr>
          <w:sz w:val="20"/>
        </w:rPr>
        <w:t>35%;</w:t>
      </w:r>
      <w:r>
        <w:rPr>
          <w:spacing w:val="22"/>
          <w:sz w:val="20"/>
        </w:rPr>
        <w:t> </w:t>
      </w:r>
      <w:r>
        <w:rPr>
          <w:sz w:val="20"/>
        </w:rPr>
        <w:t>36</w:t>
      </w:r>
      <w:r>
        <w:rPr>
          <w:spacing w:val="23"/>
          <w:sz w:val="20"/>
        </w:rPr>
        <w:t> </w:t>
      </w:r>
      <w:r>
        <w:rPr>
          <w:sz w:val="20"/>
        </w:rPr>
        <w:t>группа</w:t>
      </w:r>
      <w:r>
        <w:rPr>
          <w:spacing w:val="25"/>
          <w:sz w:val="20"/>
        </w:rPr>
        <w:t> </w:t>
      </w:r>
      <w:r>
        <w:rPr>
          <w:sz w:val="20"/>
        </w:rPr>
        <w:t>-</w:t>
      </w:r>
      <w:r>
        <w:rPr>
          <w:spacing w:val="21"/>
          <w:sz w:val="20"/>
        </w:rPr>
        <w:t> </w:t>
      </w:r>
      <w:r>
        <w:rPr>
          <w:sz w:val="20"/>
        </w:rPr>
        <w:t>56%;</w:t>
      </w:r>
      <w:r>
        <w:rPr>
          <w:spacing w:val="23"/>
          <w:sz w:val="20"/>
        </w:rPr>
        <w:t> </w:t>
      </w:r>
      <w:r>
        <w:rPr>
          <w:sz w:val="20"/>
        </w:rPr>
        <w:t>37</w:t>
      </w:r>
      <w:r>
        <w:rPr>
          <w:spacing w:val="23"/>
          <w:sz w:val="20"/>
        </w:rPr>
        <w:t> </w:t>
      </w:r>
      <w:r>
        <w:rPr>
          <w:sz w:val="20"/>
        </w:rPr>
        <w:t>группа</w:t>
      </w:r>
      <w:r>
        <w:rPr>
          <w:spacing w:val="24"/>
          <w:sz w:val="20"/>
        </w:rPr>
        <w:t> </w:t>
      </w:r>
      <w:r>
        <w:rPr>
          <w:sz w:val="20"/>
        </w:rPr>
        <w:t>-</w:t>
      </w:r>
      <w:r>
        <w:rPr>
          <w:spacing w:val="21"/>
          <w:sz w:val="20"/>
        </w:rPr>
        <w:t> </w:t>
      </w:r>
      <w:r>
        <w:rPr>
          <w:sz w:val="20"/>
        </w:rPr>
        <w:t>49%;</w:t>
      </w:r>
      <w:r>
        <w:rPr>
          <w:spacing w:val="22"/>
          <w:sz w:val="20"/>
        </w:rPr>
        <w:t> </w:t>
      </w:r>
      <w:r>
        <w:rPr>
          <w:sz w:val="20"/>
        </w:rPr>
        <w:t>38</w:t>
      </w:r>
      <w:r>
        <w:rPr>
          <w:spacing w:val="23"/>
          <w:sz w:val="20"/>
        </w:rPr>
        <w:t> </w:t>
      </w:r>
      <w:r>
        <w:rPr>
          <w:sz w:val="20"/>
        </w:rPr>
        <w:t>группа</w:t>
      </w:r>
      <w:r>
        <w:rPr>
          <w:spacing w:val="27"/>
          <w:sz w:val="20"/>
        </w:rPr>
        <w:t> </w:t>
      </w:r>
      <w:r>
        <w:rPr>
          <w:sz w:val="20"/>
        </w:rPr>
        <w:t>-</w:t>
      </w:r>
      <w:r>
        <w:rPr>
          <w:spacing w:val="21"/>
          <w:sz w:val="20"/>
        </w:rPr>
        <w:t> </w:t>
      </w:r>
      <w:r>
        <w:rPr>
          <w:sz w:val="20"/>
        </w:rPr>
        <w:t>43%;</w:t>
      </w:r>
      <w:r>
        <w:rPr>
          <w:spacing w:val="22"/>
          <w:sz w:val="20"/>
        </w:rPr>
        <w:t> </w:t>
      </w:r>
      <w:r>
        <w:rPr>
          <w:sz w:val="20"/>
        </w:rPr>
        <w:t>39</w:t>
      </w:r>
      <w:r>
        <w:rPr>
          <w:spacing w:val="23"/>
          <w:sz w:val="20"/>
        </w:rPr>
        <w:t> </w:t>
      </w:r>
      <w:r>
        <w:rPr>
          <w:sz w:val="20"/>
        </w:rPr>
        <w:t>группа</w:t>
      </w:r>
      <w:r>
        <w:rPr>
          <w:spacing w:val="27"/>
          <w:sz w:val="20"/>
        </w:rPr>
        <w:t> </w:t>
      </w:r>
      <w:r>
        <w:rPr>
          <w:sz w:val="20"/>
        </w:rPr>
        <w:t>-</w:t>
      </w:r>
      <w:r>
        <w:rPr>
          <w:spacing w:val="23"/>
          <w:sz w:val="20"/>
        </w:rPr>
        <w:t> </w:t>
      </w:r>
      <w:r>
        <w:rPr>
          <w:sz w:val="20"/>
        </w:rPr>
        <w:t>54%;</w:t>
      </w:r>
      <w:r>
        <w:rPr>
          <w:spacing w:val="22"/>
          <w:sz w:val="20"/>
        </w:rPr>
        <w:t> </w:t>
      </w:r>
      <w:r>
        <w:rPr>
          <w:sz w:val="20"/>
        </w:rPr>
        <w:t>40</w:t>
      </w:r>
      <w:r>
        <w:rPr>
          <w:spacing w:val="21"/>
          <w:sz w:val="20"/>
        </w:rPr>
        <w:t> </w:t>
      </w:r>
      <w:r>
        <w:rPr>
          <w:sz w:val="20"/>
        </w:rPr>
        <w:t>группа</w:t>
      </w:r>
      <w:r>
        <w:rPr>
          <w:spacing w:val="27"/>
          <w:sz w:val="20"/>
        </w:rPr>
        <w:t> </w:t>
      </w:r>
      <w:r>
        <w:rPr>
          <w:sz w:val="20"/>
        </w:rPr>
        <w:t>-</w:t>
      </w:r>
      <w:r>
        <w:rPr>
          <w:spacing w:val="21"/>
          <w:sz w:val="20"/>
        </w:rPr>
        <w:t> </w:t>
      </w:r>
      <w:r>
        <w:rPr>
          <w:sz w:val="20"/>
        </w:rPr>
        <w:t>45%;</w:t>
      </w:r>
      <w:r>
        <w:rPr>
          <w:spacing w:val="22"/>
          <w:sz w:val="20"/>
        </w:rPr>
        <w:t> </w:t>
      </w:r>
      <w:r>
        <w:rPr>
          <w:sz w:val="20"/>
        </w:rPr>
        <w:t>41</w:t>
      </w:r>
      <w:r>
        <w:rPr>
          <w:spacing w:val="21"/>
          <w:sz w:val="20"/>
        </w:rPr>
        <w:t> </w:t>
      </w:r>
      <w:r>
        <w:rPr>
          <w:sz w:val="20"/>
        </w:rPr>
        <w:t>группа</w:t>
      </w:r>
      <w:r>
        <w:rPr>
          <w:spacing w:val="24"/>
          <w:sz w:val="20"/>
        </w:rPr>
        <w:t> </w:t>
      </w:r>
      <w:r>
        <w:rPr>
          <w:sz w:val="20"/>
        </w:rPr>
        <w:t>-</w:t>
      </w:r>
      <w:r>
        <w:rPr>
          <w:spacing w:val="21"/>
          <w:sz w:val="20"/>
        </w:rPr>
        <w:t> </w:t>
      </w:r>
      <w:r>
        <w:rPr>
          <w:spacing w:val="-4"/>
          <w:sz w:val="20"/>
        </w:rPr>
        <w:t>34%;</w:t>
      </w:r>
    </w:p>
    <w:p>
      <w:pPr>
        <w:spacing w:before="10"/>
        <w:ind w:left="166" w:right="0" w:firstLine="0"/>
        <w:jc w:val="left"/>
        <w:rPr>
          <w:sz w:val="20"/>
        </w:rPr>
      </w:pPr>
      <w:r>
        <w:rPr>
          <w:sz w:val="20"/>
        </w:rPr>
        <w:t>42</w:t>
      </w:r>
      <w:r>
        <w:rPr>
          <w:spacing w:val="23"/>
          <w:sz w:val="20"/>
        </w:rPr>
        <w:t> </w:t>
      </w:r>
      <w:r>
        <w:rPr>
          <w:sz w:val="20"/>
        </w:rPr>
        <w:t>группа</w:t>
      </w:r>
      <w:r>
        <w:rPr>
          <w:spacing w:val="24"/>
          <w:sz w:val="20"/>
        </w:rPr>
        <w:t> </w:t>
      </w:r>
      <w:r>
        <w:rPr>
          <w:sz w:val="20"/>
        </w:rPr>
        <w:t>-</w:t>
      </w:r>
      <w:r>
        <w:rPr>
          <w:spacing w:val="21"/>
          <w:sz w:val="20"/>
        </w:rPr>
        <w:t> </w:t>
      </w:r>
      <w:r>
        <w:rPr>
          <w:sz w:val="20"/>
        </w:rPr>
        <w:t>47%;</w:t>
      </w:r>
      <w:r>
        <w:rPr>
          <w:spacing w:val="22"/>
          <w:sz w:val="20"/>
        </w:rPr>
        <w:t> </w:t>
      </w:r>
      <w:r>
        <w:rPr>
          <w:sz w:val="20"/>
        </w:rPr>
        <w:t>43</w:t>
      </w:r>
      <w:r>
        <w:rPr>
          <w:spacing w:val="23"/>
          <w:sz w:val="20"/>
        </w:rPr>
        <w:t> </w:t>
      </w:r>
      <w:r>
        <w:rPr>
          <w:sz w:val="20"/>
        </w:rPr>
        <w:t>группа</w:t>
      </w:r>
      <w:r>
        <w:rPr>
          <w:spacing w:val="26"/>
          <w:sz w:val="20"/>
        </w:rPr>
        <w:t> </w:t>
      </w:r>
      <w:r>
        <w:rPr>
          <w:sz w:val="20"/>
        </w:rPr>
        <w:t>-</w:t>
      </w:r>
      <w:r>
        <w:rPr>
          <w:spacing w:val="21"/>
          <w:sz w:val="20"/>
        </w:rPr>
        <w:t> </w:t>
      </w:r>
      <w:r>
        <w:rPr>
          <w:sz w:val="20"/>
        </w:rPr>
        <w:t>24%;</w:t>
      </w:r>
      <w:r>
        <w:rPr>
          <w:spacing w:val="22"/>
          <w:sz w:val="20"/>
        </w:rPr>
        <w:t> </w:t>
      </w:r>
      <w:r>
        <w:rPr>
          <w:sz w:val="20"/>
        </w:rPr>
        <w:t>44</w:t>
      </w:r>
      <w:r>
        <w:rPr>
          <w:spacing w:val="23"/>
          <w:sz w:val="20"/>
        </w:rPr>
        <w:t> </w:t>
      </w:r>
      <w:r>
        <w:rPr>
          <w:sz w:val="20"/>
        </w:rPr>
        <w:t>группа</w:t>
      </w:r>
      <w:r>
        <w:rPr>
          <w:spacing w:val="25"/>
          <w:sz w:val="20"/>
        </w:rPr>
        <w:t> </w:t>
      </w:r>
      <w:r>
        <w:rPr>
          <w:sz w:val="20"/>
        </w:rPr>
        <w:t>-</w:t>
      </w:r>
      <w:r>
        <w:rPr>
          <w:spacing w:val="21"/>
          <w:sz w:val="20"/>
        </w:rPr>
        <w:t> </w:t>
      </w:r>
      <w:r>
        <w:rPr>
          <w:sz w:val="20"/>
        </w:rPr>
        <w:t>17%;</w:t>
      </w:r>
      <w:r>
        <w:rPr>
          <w:spacing w:val="22"/>
          <w:sz w:val="20"/>
        </w:rPr>
        <w:t> </w:t>
      </w:r>
      <w:r>
        <w:rPr>
          <w:sz w:val="20"/>
        </w:rPr>
        <w:t>45</w:t>
      </w:r>
      <w:r>
        <w:rPr>
          <w:spacing w:val="23"/>
          <w:sz w:val="20"/>
        </w:rPr>
        <w:t> </w:t>
      </w:r>
      <w:r>
        <w:rPr>
          <w:sz w:val="20"/>
        </w:rPr>
        <w:t>группа</w:t>
      </w:r>
      <w:r>
        <w:rPr>
          <w:spacing w:val="26"/>
          <w:sz w:val="20"/>
        </w:rPr>
        <w:t> </w:t>
      </w:r>
      <w:r>
        <w:rPr>
          <w:sz w:val="20"/>
        </w:rPr>
        <w:t>-</w:t>
      </w:r>
      <w:r>
        <w:rPr>
          <w:spacing w:val="22"/>
          <w:sz w:val="20"/>
        </w:rPr>
        <w:t> </w:t>
      </w:r>
      <w:r>
        <w:rPr>
          <w:sz w:val="20"/>
        </w:rPr>
        <w:t>15%;</w:t>
      </w:r>
      <w:r>
        <w:rPr>
          <w:spacing w:val="22"/>
          <w:sz w:val="20"/>
        </w:rPr>
        <w:t> </w:t>
      </w:r>
      <w:r>
        <w:rPr>
          <w:sz w:val="20"/>
        </w:rPr>
        <w:t>46</w:t>
      </w:r>
      <w:r>
        <w:rPr>
          <w:spacing w:val="23"/>
          <w:sz w:val="20"/>
        </w:rPr>
        <w:t> </w:t>
      </w:r>
      <w:r>
        <w:rPr>
          <w:sz w:val="20"/>
        </w:rPr>
        <w:t>группа</w:t>
      </w:r>
      <w:r>
        <w:rPr>
          <w:spacing w:val="25"/>
          <w:sz w:val="20"/>
        </w:rPr>
        <w:t> </w:t>
      </w:r>
      <w:r>
        <w:rPr>
          <w:sz w:val="20"/>
        </w:rPr>
        <w:t>-</w:t>
      </w:r>
      <w:r>
        <w:rPr>
          <w:spacing w:val="21"/>
          <w:sz w:val="20"/>
        </w:rPr>
        <w:t> </w:t>
      </w:r>
      <w:r>
        <w:rPr>
          <w:sz w:val="20"/>
        </w:rPr>
        <w:t>37%;</w:t>
      </w:r>
      <w:r>
        <w:rPr>
          <w:spacing w:val="22"/>
          <w:sz w:val="20"/>
        </w:rPr>
        <w:t> </w:t>
      </w:r>
      <w:r>
        <w:rPr>
          <w:sz w:val="20"/>
        </w:rPr>
        <w:t>47</w:t>
      </w:r>
      <w:r>
        <w:rPr>
          <w:spacing w:val="23"/>
          <w:sz w:val="20"/>
        </w:rPr>
        <w:t> </w:t>
      </w:r>
      <w:r>
        <w:rPr>
          <w:sz w:val="20"/>
        </w:rPr>
        <w:t>группа</w:t>
      </w:r>
      <w:r>
        <w:rPr>
          <w:spacing w:val="23"/>
          <w:sz w:val="20"/>
        </w:rPr>
        <w:t> </w:t>
      </w:r>
      <w:r>
        <w:rPr>
          <w:sz w:val="20"/>
        </w:rPr>
        <w:t>-</w:t>
      </w:r>
      <w:r>
        <w:rPr>
          <w:spacing w:val="21"/>
          <w:sz w:val="20"/>
        </w:rPr>
        <w:t> </w:t>
      </w:r>
      <w:r>
        <w:rPr>
          <w:sz w:val="20"/>
        </w:rPr>
        <w:t>16%;</w:t>
      </w:r>
      <w:r>
        <w:rPr>
          <w:spacing w:val="22"/>
          <w:sz w:val="20"/>
        </w:rPr>
        <w:t> </w:t>
      </w:r>
      <w:r>
        <w:rPr>
          <w:sz w:val="20"/>
        </w:rPr>
        <w:t>48</w:t>
      </w:r>
      <w:r>
        <w:rPr>
          <w:spacing w:val="23"/>
          <w:sz w:val="20"/>
        </w:rPr>
        <w:t> </w:t>
      </w:r>
      <w:r>
        <w:rPr>
          <w:sz w:val="20"/>
        </w:rPr>
        <w:t>группа</w:t>
      </w:r>
      <w:r>
        <w:rPr>
          <w:spacing w:val="27"/>
          <w:sz w:val="20"/>
        </w:rPr>
        <w:t> </w:t>
      </w:r>
      <w:r>
        <w:rPr>
          <w:sz w:val="20"/>
        </w:rPr>
        <w:t>-</w:t>
      </w:r>
      <w:r>
        <w:rPr>
          <w:spacing w:val="21"/>
          <w:sz w:val="20"/>
        </w:rPr>
        <w:t> </w:t>
      </w:r>
      <w:r>
        <w:rPr>
          <w:sz w:val="20"/>
        </w:rPr>
        <w:t>52%;</w:t>
      </w:r>
      <w:r>
        <w:rPr>
          <w:spacing w:val="23"/>
          <w:sz w:val="20"/>
        </w:rPr>
        <w:t> </w:t>
      </w:r>
      <w:r>
        <w:rPr>
          <w:sz w:val="20"/>
        </w:rPr>
        <w:t>49</w:t>
      </w:r>
      <w:r>
        <w:rPr>
          <w:spacing w:val="23"/>
          <w:sz w:val="20"/>
        </w:rPr>
        <w:t> </w:t>
      </w:r>
      <w:r>
        <w:rPr>
          <w:sz w:val="20"/>
        </w:rPr>
        <w:t>группа</w:t>
      </w:r>
      <w:r>
        <w:rPr>
          <w:spacing w:val="27"/>
          <w:sz w:val="20"/>
        </w:rPr>
        <w:t> </w:t>
      </w:r>
      <w:r>
        <w:rPr>
          <w:sz w:val="20"/>
        </w:rPr>
        <w:t>-</w:t>
      </w:r>
      <w:r>
        <w:rPr>
          <w:spacing w:val="23"/>
          <w:sz w:val="20"/>
        </w:rPr>
        <w:t> </w:t>
      </w:r>
      <w:r>
        <w:rPr>
          <w:sz w:val="20"/>
        </w:rPr>
        <w:t>18%;</w:t>
      </w:r>
      <w:r>
        <w:rPr>
          <w:spacing w:val="22"/>
          <w:sz w:val="20"/>
        </w:rPr>
        <w:t> </w:t>
      </w:r>
      <w:r>
        <w:rPr>
          <w:sz w:val="20"/>
        </w:rPr>
        <w:t>50</w:t>
      </w:r>
      <w:r>
        <w:rPr>
          <w:spacing w:val="21"/>
          <w:sz w:val="20"/>
        </w:rPr>
        <w:t> </w:t>
      </w:r>
      <w:r>
        <w:rPr>
          <w:sz w:val="20"/>
        </w:rPr>
        <w:t>группа</w:t>
      </w:r>
      <w:r>
        <w:rPr>
          <w:spacing w:val="27"/>
          <w:sz w:val="20"/>
        </w:rPr>
        <w:t> </w:t>
      </w:r>
      <w:r>
        <w:rPr>
          <w:sz w:val="20"/>
        </w:rPr>
        <w:t>-</w:t>
      </w:r>
      <w:r>
        <w:rPr>
          <w:spacing w:val="21"/>
          <w:sz w:val="20"/>
        </w:rPr>
        <w:t> </w:t>
      </w:r>
      <w:r>
        <w:rPr>
          <w:sz w:val="20"/>
        </w:rPr>
        <w:t>15%;</w:t>
      </w:r>
      <w:r>
        <w:rPr>
          <w:spacing w:val="22"/>
          <w:sz w:val="20"/>
        </w:rPr>
        <w:t> </w:t>
      </w:r>
      <w:r>
        <w:rPr>
          <w:sz w:val="20"/>
        </w:rPr>
        <w:t>51</w:t>
      </w:r>
      <w:r>
        <w:rPr>
          <w:spacing w:val="21"/>
          <w:sz w:val="20"/>
        </w:rPr>
        <w:t> </w:t>
      </w:r>
      <w:r>
        <w:rPr>
          <w:sz w:val="20"/>
        </w:rPr>
        <w:t>группа</w:t>
      </w:r>
      <w:r>
        <w:rPr>
          <w:spacing w:val="24"/>
          <w:sz w:val="20"/>
        </w:rPr>
        <w:t> </w:t>
      </w:r>
      <w:r>
        <w:rPr>
          <w:sz w:val="20"/>
        </w:rPr>
        <w:t>-</w:t>
      </w:r>
      <w:r>
        <w:rPr>
          <w:spacing w:val="21"/>
          <w:sz w:val="20"/>
        </w:rPr>
        <w:t> </w:t>
      </w:r>
      <w:r>
        <w:rPr>
          <w:spacing w:val="-4"/>
          <w:sz w:val="20"/>
        </w:rPr>
        <w:t>24%;</w:t>
      </w:r>
    </w:p>
    <w:p>
      <w:pPr>
        <w:spacing w:before="10"/>
        <w:ind w:left="166" w:right="0" w:firstLine="0"/>
        <w:jc w:val="left"/>
        <w:rPr>
          <w:sz w:val="20"/>
        </w:rPr>
      </w:pPr>
      <w:r>
        <w:rPr>
          <w:sz w:val="20"/>
        </w:rPr>
        <w:t>52</w:t>
      </w:r>
      <w:r>
        <w:rPr>
          <w:spacing w:val="-3"/>
          <w:sz w:val="20"/>
        </w:rPr>
        <w:t> </w:t>
      </w:r>
      <w:r>
        <w:rPr>
          <w:sz w:val="20"/>
        </w:rPr>
        <w:t>группа</w:t>
      </w:r>
      <w:r>
        <w:rPr>
          <w:spacing w:val="-3"/>
          <w:sz w:val="20"/>
        </w:rPr>
        <w:t> </w:t>
      </w:r>
      <w:r>
        <w:rPr>
          <w:sz w:val="20"/>
        </w:rPr>
        <w:t>-</w:t>
      </w:r>
      <w:r>
        <w:rPr>
          <w:spacing w:val="-5"/>
          <w:sz w:val="20"/>
        </w:rPr>
        <w:t> </w:t>
      </w:r>
      <w:r>
        <w:rPr>
          <w:sz w:val="20"/>
        </w:rPr>
        <w:t>32%;</w:t>
      </w:r>
      <w:r>
        <w:rPr>
          <w:spacing w:val="-5"/>
          <w:sz w:val="20"/>
        </w:rPr>
        <w:t> </w:t>
      </w:r>
      <w:r>
        <w:rPr>
          <w:sz w:val="20"/>
        </w:rPr>
        <w:t>53</w:t>
      </w:r>
      <w:r>
        <w:rPr>
          <w:spacing w:val="-3"/>
          <w:sz w:val="20"/>
        </w:rPr>
        <w:t> </w:t>
      </w:r>
      <w:r>
        <w:rPr>
          <w:sz w:val="20"/>
        </w:rPr>
        <w:t>группа -</w:t>
      </w:r>
      <w:r>
        <w:rPr>
          <w:spacing w:val="-3"/>
          <w:sz w:val="20"/>
        </w:rPr>
        <w:t> </w:t>
      </w:r>
      <w:r>
        <w:rPr>
          <w:sz w:val="20"/>
        </w:rPr>
        <w:t>30%;</w:t>
      </w:r>
      <w:r>
        <w:rPr>
          <w:spacing w:val="-5"/>
          <w:sz w:val="20"/>
        </w:rPr>
        <w:t> </w:t>
      </w:r>
      <w:r>
        <w:rPr>
          <w:sz w:val="20"/>
        </w:rPr>
        <w:t>54</w:t>
      </w:r>
      <w:r>
        <w:rPr>
          <w:spacing w:val="-2"/>
          <w:sz w:val="20"/>
        </w:rPr>
        <w:t> </w:t>
      </w:r>
      <w:r>
        <w:rPr>
          <w:sz w:val="20"/>
        </w:rPr>
        <w:t>группа</w:t>
      </w:r>
      <w:r>
        <w:rPr>
          <w:spacing w:val="-1"/>
          <w:sz w:val="20"/>
        </w:rPr>
        <w:t> </w:t>
      </w:r>
      <w:r>
        <w:rPr>
          <w:sz w:val="20"/>
        </w:rPr>
        <w:t>-</w:t>
      </w:r>
      <w:r>
        <w:rPr>
          <w:spacing w:val="-5"/>
          <w:sz w:val="20"/>
        </w:rPr>
        <w:t> </w:t>
      </w:r>
      <w:r>
        <w:rPr>
          <w:sz w:val="20"/>
        </w:rPr>
        <w:t>44%;</w:t>
      </w:r>
      <w:r>
        <w:rPr>
          <w:spacing w:val="-5"/>
          <w:sz w:val="20"/>
        </w:rPr>
        <w:t> </w:t>
      </w:r>
      <w:r>
        <w:rPr>
          <w:sz w:val="20"/>
        </w:rPr>
        <w:t>55</w:t>
      </w:r>
      <w:r>
        <w:rPr>
          <w:spacing w:val="-3"/>
          <w:sz w:val="20"/>
        </w:rPr>
        <w:t> </w:t>
      </w:r>
      <w:r>
        <w:rPr>
          <w:sz w:val="20"/>
        </w:rPr>
        <w:t>группа</w:t>
      </w:r>
      <w:r>
        <w:rPr>
          <w:spacing w:val="-2"/>
          <w:sz w:val="20"/>
        </w:rPr>
        <w:t> </w:t>
      </w:r>
      <w:r>
        <w:rPr>
          <w:sz w:val="20"/>
        </w:rPr>
        <w:t>-</w:t>
      </w:r>
      <w:r>
        <w:rPr>
          <w:spacing w:val="-6"/>
          <w:sz w:val="20"/>
        </w:rPr>
        <w:t> </w:t>
      </w:r>
      <w:r>
        <w:rPr>
          <w:sz w:val="20"/>
        </w:rPr>
        <w:t>9%;</w:t>
      </w:r>
      <w:r>
        <w:rPr>
          <w:spacing w:val="-4"/>
          <w:sz w:val="20"/>
        </w:rPr>
        <w:t> </w:t>
      </w:r>
      <w:r>
        <w:rPr>
          <w:sz w:val="20"/>
        </w:rPr>
        <w:t>56</w:t>
      </w:r>
      <w:r>
        <w:rPr>
          <w:spacing w:val="-3"/>
          <w:sz w:val="20"/>
        </w:rPr>
        <w:t> </w:t>
      </w:r>
      <w:r>
        <w:rPr>
          <w:sz w:val="20"/>
        </w:rPr>
        <w:t>группа -</w:t>
      </w:r>
      <w:r>
        <w:rPr>
          <w:spacing w:val="-6"/>
          <w:sz w:val="20"/>
        </w:rPr>
        <w:t> </w:t>
      </w:r>
      <w:r>
        <w:rPr>
          <w:sz w:val="20"/>
        </w:rPr>
        <w:t>28%;</w:t>
      </w:r>
      <w:r>
        <w:rPr>
          <w:spacing w:val="-5"/>
          <w:sz w:val="20"/>
        </w:rPr>
        <w:t> </w:t>
      </w:r>
      <w:r>
        <w:rPr>
          <w:sz w:val="20"/>
        </w:rPr>
        <w:t>57</w:t>
      </w:r>
      <w:r>
        <w:rPr>
          <w:spacing w:val="-3"/>
          <w:sz w:val="20"/>
        </w:rPr>
        <w:t> </w:t>
      </w:r>
      <w:r>
        <w:rPr>
          <w:sz w:val="20"/>
        </w:rPr>
        <w:t>группа</w:t>
      </w:r>
      <w:r>
        <w:rPr>
          <w:spacing w:val="-2"/>
          <w:sz w:val="20"/>
        </w:rPr>
        <w:t> </w:t>
      </w:r>
      <w:r>
        <w:rPr>
          <w:sz w:val="20"/>
        </w:rPr>
        <w:t>-</w:t>
      </w:r>
      <w:r>
        <w:rPr>
          <w:spacing w:val="-5"/>
          <w:sz w:val="20"/>
        </w:rPr>
        <w:t> </w:t>
      </w:r>
      <w:r>
        <w:rPr>
          <w:sz w:val="20"/>
        </w:rPr>
        <w:t>32%;</w:t>
      </w:r>
      <w:r>
        <w:rPr>
          <w:spacing w:val="-5"/>
          <w:sz w:val="20"/>
        </w:rPr>
        <w:t> </w:t>
      </w:r>
      <w:r>
        <w:rPr>
          <w:sz w:val="20"/>
        </w:rPr>
        <w:t>58</w:t>
      </w:r>
      <w:r>
        <w:rPr>
          <w:spacing w:val="-3"/>
          <w:sz w:val="20"/>
        </w:rPr>
        <w:t> </w:t>
      </w:r>
      <w:r>
        <w:rPr>
          <w:sz w:val="20"/>
        </w:rPr>
        <w:t>группа -</w:t>
      </w:r>
      <w:r>
        <w:rPr>
          <w:spacing w:val="-3"/>
          <w:sz w:val="20"/>
        </w:rPr>
        <w:t> </w:t>
      </w:r>
      <w:r>
        <w:rPr>
          <w:sz w:val="20"/>
        </w:rPr>
        <w:t>31%;</w:t>
      </w:r>
      <w:r>
        <w:rPr>
          <w:spacing w:val="-5"/>
          <w:sz w:val="20"/>
        </w:rPr>
        <w:t> </w:t>
      </w:r>
      <w:r>
        <w:rPr>
          <w:sz w:val="20"/>
        </w:rPr>
        <w:t>59</w:t>
      </w:r>
      <w:r>
        <w:rPr>
          <w:spacing w:val="-3"/>
          <w:sz w:val="20"/>
        </w:rPr>
        <w:t> </w:t>
      </w:r>
      <w:r>
        <w:rPr>
          <w:sz w:val="20"/>
        </w:rPr>
        <w:t>группа</w:t>
      </w:r>
      <w:r>
        <w:rPr>
          <w:spacing w:val="1"/>
          <w:sz w:val="20"/>
        </w:rPr>
        <w:t> </w:t>
      </w:r>
      <w:r>
        <w:rPr>
          <w:sz w:val="20"/>
        </w:rPr>
        <w:t>-</w:t>
      </w:r>
      <w:r>
        <w:rPr>
          <w:spacing w:val="-6"/>
          <w:sz w:val="20"/>
        </w:rPr>
        <w:t> </w:t>
      </w:r>
      <w:r>
        <w:rPr>
          <w:sz w:val="20"/>
        </w:rPr>
        <w:t>17%;</w:t>
      </w:r>
      <w:r>
        <w:rPr>
          <w:spacing w:val="-4"/>
          <w:sz w:val="20"/>
        </w:rPr>
        <w:t> </w:t>
      </w:r>
      <w:r>
        <w:rPr>
          <w:sz w:val="20"/>
        </w:rPr>
        <w:t>60</w:t>
      </w:r>
      <w:r>
        <w:rPr>
          <w:spacing w:val="-3"/>
          <w:sz w:val="20"/>
        </w:rPr>
        <w:t> </w:t>
      </w:r>
      <w:r>
        <w:rPr>
          <w:sz w:val="20"/>
        </w:rPr>
        <w:t>группа</w:t>
      </w:r>
      <w:r>
        <w:rPr>
          <w:spacing w:val="-2"/>
          <w:sz w:val="20"/>
        </w:rPr>
        <w:t> </w:t>
      </w:r>
      <w:r>
        <w:rPr>
          <w:sz w:val="20"/>
        </w:rPr>
        <w:t>-</w:t>
      </w:r>
      <w:r>
        <w:rPr>
          <w:spacing w:val="-6"/>
          <w:sz w:val="20"/>
        </w:rPr>
        <w:t> </w:t>
      </w:r>
      <w:r>
        <w:rPr>
          <w:spacing w:val="-4"/>
          <w:sz w:val="20"/>
        </w:rPr>
        <w:t>32%.</w:t>
      </w:r>
    </w:p>
    <w:p>
      <w:pPr>
        <w:spacing w:after="0"/>
        <w:jc w:val="left"/>
        <w:rPr>
          <w:sz w:val="20"/>
        </w:rPr>
        <w:sectPr>
          <w:pgSz w:w="16850" w:h="11910" w:orient="landscape"/>
          <w:pgMar w:header="753" w:footer="0" w:top="1060" w:bottom="280" w:left="400" w:right="400"/>
        </w:sectPr>
      </w:pPr>
    </w:p>
    <w:p>
      <w:pPr>
        <w:pStyle w:val="BodyText"/>
        <w:spacing w:before="62"/>
        <w:ind w:left="231" w:right="237" w:hanging="5"/>
        <w:jc w:val="center"/>
      </w:pPr>
      <w:r>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w:t>
      </w:r>
      <w:r>
        <w:rPr>
          <w:spacing w:val="-4"/>
        </w:rPr>
        <w:t> </w:t>
      </w:r>
      <w:r>
        <w:rPr/>
        <w:t>Российской</w:t>
      </w:r>
      <w:r>
        <w:rPr>
          <w:spacing w:val="-2"/>
        </w:rPr>
        <w:t> </w:t>
      </w:r>
      <w:r>
        <w:rPr/>
        <w:t>Федерации</w:t>
      </w:r>
      <w:r>
        <w:rPr>
          <w:spacing w:val="-5"/>
        </w:rPr>
        <w:t> </w:t>
      </w:r>
      <w:r>
        <w:rPr/>
        <w:t>на</w:t>
      </w:r>
      <w:r>
        <w:rPr>
          <w:spacing w:val="-2"/>
        </w:rPr>
        <w:t> </w:t>
      </w:r>
      <w:r>
        <w:rPr/>
        <w:t>софинансирование</w:t>
      </w:r>
      <w:r>
        <w:rPr>
          <w:spacing w:val="-2"/>
        </w:rPr>
        <w:t> </w:t>
      </w:r>
      <w:r>
        <w:rPr/>
        <w:t>расходов,</w:t>
      </w:r>
      <w:r>
        <w:rPr>
          <w:spacing w:val="-3"/>
        </w:rPr>
        <w:t> </w:t>
      </w:r>
      <w:r>
        <w:rPr/>
        <w:t>возникающих</w:t>
      </w:r>
      <w:r>
        <w:rPr>
          <w:spacing w:val="-1"/>
        </w:rPr>
        <w:t> </w:t>
      </w:r>
      <w:r>
        <w:rPr/>
        <w:t>при</w:t>
      </w:r>
      <w:r>
        <w:rPr>
          <w:spacing w:val="-5"/>
        </w:rPr>
        <w:t> </w:t>
      </w:r>
      <w:r>
        <w:rPr/>
        <w:t>оказании</w:t>
      </w:r>
      <w:r>
        <w:rPr>
          <w:spacing w:val="-2"/>
        </w:rPr>
        <w:t> </w:t>
      </w:r>
      <w:r>
        <w:rPr/>
        <w:t>гражданам</w:t>
      </w:r>
      <w:r>
        <w:rPr>
          <w:spacing w:val="-2"/>
        </w:rPr>
        <w:t> </w:t>
      </w:r>
      <w:r>
        <w:rPr/>
        <w:t>Российской</w:t>
      </w:r>
      <w:r>
        <w:rPr>
          <w:spacing w:val="-5"/>
        </w:rPr>
        <w:t> </w:t>
      </w:r>
      <w:r>
        <w:rPr/>
        <w:t>Федерации высокотехнологичной медицинской помощи, и бюджетных ассигнований бюджетов субъектов Российской Федерации</w:t>
      </w:r>
    </w:p>
    <w:p>
      <w:pPr>
        <w:pStyle w:val="BodyText"/>
        <w:spacing w:before="9"/>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0" w:hRule="atLeast"/>
        </w:trPr>
        <w:tc>
          <w:tcPr>
            <w:tcW w:w="766" w:type="dxa"/>
            <w:tcBorders>
              <w:left w:val="nil"/>
            </w:tcBorders>
          </w:tcPr>
          <w:p>
            <w:pPr>
              <w:pStyle w:val="TableParagraph"/>
              <w:spacing w:before="9"/>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7"/>
              <w:rPr>
                <w:sz w:val="28"/>
              </w:rPr>
            </w:pPr>
          </w:p>
          <w:p>
            <w:pPr>
              <w:pStyle w:val="TableParagraph"/>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7"/>
              <w:rPr>
                <w:sz w:val="28"/>
              </w:rPr>
            </w:pPr>
          </w:p>
          <w:p>
            <w:pPr>
              <w:pStyle w:val="TableParagraph"/>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7"/>
              <w:rPr>
                <w:sz w:val="30"/>
              </w:rPr>
            </w:pPr>
          </w:p>
          <w:p>
            <w:pPr>
              <w:pStyle w:val="TableParagraph"/>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7"/>
              <w:rPr>
                <w:sz w:val="30"/>
              </w:rPr>
            </w:pPr>
          </w:p>
          <w:p>
            <w:pPr>
              <w:pStyle w:val="TableParagraph"/>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7"/>
              <w:rPr>
                <w:sz w:val="30"/>
              </w:rPr>
            </w:pPr>
          </w:p>
          <w:p>
            <w:pPr>
              <w:pStyle w:val="TableParagraph"/>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9" w:lineRule="auto" w:before="5"/>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w:t>
            </w:r>
          </w:p>
          <w:p>
            <w:pPr>
              <w:pStyle w:val="TableParagraph"/>
              <w:spacing w:line="215" w:lineRule="exact" w:before="4"/>
              <w:ind w:left="121" w:right="127"/>
              <w:jc w:val="center"/>
              <w:rPr>
                <w:sz w:val="20"/>
              </w:rPr>
            </w:pPr>
            <w:r>
              <w:rPr>
                <w:sz w:val="20"/>
              </w:rPr>
              <w:t>помощи</w:t>
            </w:r>
            <w:r>
              <w:rPr>
                <w:sz w:val="20"/>
                <w:vertAlign w:val="superscript"/>
              </w:rPr>
              <w:t>3</w:t>
            </w:r>
            <w:r>
              <w:rPr>
                <w:sz w:val="20"/>
                <w:vertAlign w:val="baseline"/>
              </w:rPr>
              <w:t>,</w:t>
            </w:r>
            <w:r>
              <w:rPr>
                <w:spacing w:val="-9"/>
                <w:sz w:val="20"/>
                <w:vertAlign w:val="baseline"/>
              </w:rPr>
              <w:t> </w:t>
            </w:r>
            <w:r>
              <w:rPr>
                <w:spacing w:val="-2"/>
                <w:sz w:val="20"/>
                <w:vertAlign w:val="baseline"/>
              </w:rPr>
              <w:t>рублей</w:t>
            </w:r>
          </w:p>
        </w:tc>
      </w:tr>
    </w:tbl>
    <w:p>
      <w:pPr>
        <w:pStyle w:val="BodyText"/>
        <w:spacing w:before="4"/>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spacing w:before="3"/>
        <w:rPr>
          <w:sz w:val="17"/>
        </w:rPr>
      </w:pPr>
    </w:p>
    <w:p>
      <w:pPr>
        <w:pStyle w:val="ListParagraph"/>
        <w:numPr>
          <w:ilvl w:val="0"/>
          <w:numId w:val="5"/>
        </w:numPr>
        <w:tabs>
          <w:tab w:pos="931" w:val="left" w:leader="none"/>
          <w:tab w:pos="932" w:val="left" w:leader="none"/>
        </w:tabs>
        <w:spacing w:line="249" w:lineRule="auto" w:before="0" w:after="0"/>
        <w:ind w:left="931" w:right="38" w:hanging="516"/>
        <w:jc w:val="left"/>
        <w:rPr>
          <w:sz w:val="20"/>
        </w:rPr>
      </w:pPr>
      <w:r>
        <w:rPr>
          <w:spacing w:val="-2"/>
          <w:sz w:val="20"/>
        </w:rPr>
        <w:t>Микрохирургические, расширенные, </w:t>
      </w:r>
      <w:r>
        <w:rPr>
          <w:sz w:val="20"/>
        </w:rPr>
        <w:t>комбинированные и </w:t>
      </w:r>
      <w:r>
        <w:rPr>
          <w:spacing w:val="-2"/>
          <w:sz w:val="20"/>
        </w:rPr>
        <w:t>реконструктивно- </w:t>
      </w:r>
      <w:r>
        <w:rPr>
          <w:sz w:val="20"/>
        </w:rPr>
        <w:t>пластические операции на поджелудочной</w:t>
      </w:r>
      <w:r>
        <w:rPr>
          <w:spacing w:val="-13"/>
          <w:sz w:val="20"/>
        </w:rPr>
        <w:t> </w:t>
      </w:r>
      <w:r>
        <w:rPr>
          <w:sz w:val="20"/>
        </w:rPr>
        <w:t>железе,</w:t>
      </w:r>
      <w:r>
        <w:rPr>
          <w:spacing w:val="-12"/>
          <w:sz w:val="20"/>
        </w:rPr>
        <w:t> </w:t>
      </w:r>
      <w:r>
        <w:rPr>
          <w:sz w:val="20"/>
        </w:rPr>
        <w:t>в</w:t>
      </w:r>
      <w:r>
        <w:rPr>
          <w:spacing w:val="-13"/>
          <w:sz w:val="20"/>
        </w:rPr>
        <w:t> </w:t>
      </w:r>
      <w:r>
        <w:rPr>
          <w:sz w:val="20"/>
        </w:rPr>
        <w:t>том числе лапароскопически </w:t>
      </w:r>
      <w:r>
        <w:rPr>
          <w:spacing w:val="-2"/>
          <w:sz w:val="20"/>
        </w:rPr>
        <w:t>ассистированные</w:t>
      </w:r>
    </w:p>
    <w:p>
      <w:pPr>
        <w:spacing w:before="91"/>
        <w:ind w:left="3251" w:right="0" w:firstLine="0"/>
        <w:jc w:val="left"/>
        <w:rPr>
          <w:sz w:val="20"/>
        </w:rPr>
      </w:pPr>
      <w:r>
        <w:rPr/>
        <w:br w:type="column"/>
      </w:r>
      <w:r>
        <w:rPr>
          <w:spacing w:val="-2"/>
          <w:sz w:val="20"/>
        </w:rPr>
        <w:t>Абдоминальная</w:t>
      </w:r>
      <w:r>
        <w:rPr>
          <w:spacing w:val="10"/>
          <w:sz w:val="20"/>
        </w:rPr>
        <w:t> </w:t>
      </w:r>
      <w:r>
        <w:rPr>
          <w:spacing w:val="-2"/>
          <w:sz w:val="20"/>
        </w:rPr>
        <w:t>хирургия</w:t>
      </w:r>
    </w:p>
    <w:p>
      <w:pPr>
        <w:tabs>
          <w:tab w:pos="2120" w:val="left" w:leader="none"/>
        </w:tabs>
        <w:spacing w:before="130"/>
        <w:ind w:left="415" w:right="0" w:firstLine="0"/>
        <w:jc w:val="left"/>
        <w:rPr>
          <w:sz w:val="20"/>
        </w:rPr>
      </w:pPr>
      <w:r>
        <w:rPr>
          <w:sz w:val="20"/>
        </w:rPr>
        <w:t>K86.0 -</w:t>
      </w:r>
      <w:r>
        <w:rPr>
          <w:spacing w:val="-4"/>
          <w:sz w:val="20"/>
        </w:rPr>
        <w:t> </w:t>
      </w:r>
      <w:r>
        <w:rPr>
          <w:spacing w:val="-2"/>
          <w:sz w:val="20"/>
        </w:rPr>
        <w:t>K86.8</w:t>
      </w:r>
      <w:r>
        <w:rPr>
          <w:sz w:val="20"/>
        </w:rPr>
        <w:tab/>
        <w:t>заболевания</w:t>
      </w:r>
      <w:r>
        <w:rPr>
          <w:spacing w:val="-5"/>
          <w:sz w:val="20"/>
        </w:rPr>
        <w:t> </w:t>
      </w:r>
      <w:r>
        <w:rPr>
          <w:sz w:val="20"/>
        </w:rPr>
        <w:t>поджелудочной</w:t>
      </w:r>
      <w:r>
        <w:rPr>
          <w:spacing w:val="-6"/>
          <w:sz w:val="20"/>
        </w:rPr>
        <w:t> </w:t>
      </w:r>
      <w:r>
        <w:rPr>
          <w:sz w:val="20"/>
        </w:rPr>
        <w:t>железы</w:t>
      </w:r>
      <w:r>
        <w:rPr>
          <w:spacing w:val="30"/>
          <w:sz w:val="20"/>
        </w:rPr>
        <w:t>  </w:t>
      </w:r>
      <w:r>
        <w:rPr>
          <w:spacing w:val="-2"/>
          <w:sz w:val="20"/>
        </w:rPr>
        <w:t>хирургическое</w:t>
      </w:r>
    </w:p>
    <w:p>
      <w:pPr>
        <w:spacing w:before="10"/>
        <w:ind w:left="5428" w:right="0" w:firstLine="0"/>
        <w:jc w:val="left"/>
        <w:rPr>
          <w:sz w:val="20"/>
        </w:rPr>
      </w:pPr>
      <w:r>
        <w:rPr>
          <w:spacing w:val="-2"/>
          <w:sz w:val="20"/>
        </w:rPr>
        <w:t>лечение</w:t>
      </w:r>
    </w:p>
    <w:p>
      <w:pPr>
        <w:tabs>
          <w:tab w:pos="4971" w:val="right" w:leader="none"/>
        </w:tabs>
        <w:spacing w:before="451"/>
        <w:ind w:left="178" w:right="0" w:firstLine="0"/>
        <w:jc w:val="left"/>
        <w:rPr>
          <w:sz w:val="20"/>
        </w:rPr>
      </w:pPr>
      <w:r>
        <w:rPr/>
        <w:br w:type="column"/>
      </w:r>
      <w:r>
        <w:rPr>
          <w:w w:val="95"/>
          <w:sz w:val="20"/>
        </w:rPr>
        <w:t>панкреатодуоденальная</w:t>
      </w:r>
      <w:r>
        <w:rPr>
          <w:spacing w:val="78"/>
          <w:sz w:val="20"/>
        </w:rPr>
        <w:t> </w:t>
      </w:r>
      <w:r>
        <w:rPr>
          <w:spacing w:val="-2"/>
          <w:sz w:val="20"/>
        </w:rPr>
        <w:t>резекция</w:t>
      </w:r>
      <w:r>
        <w:rPr>
          <w:sz w:val="20"/>
        </w:rPr>
        <w:tab/>
      </w:r>
      <w:r>
        <w:rPr>
          <w:spacing w:val="-2"/>
          <w:sz w:val="20"/>
        </w:rPr>
        <w:t>221497</w:t>
      </w:r>
    </w:p>
    <w:p>
      <w:pPr>
        <w:spacing w:before="130"/>
        <w:ind w:left="178" w:right="0" w:firstLine="0"/>
        <w:jc w:val="left"/>
        <w:rPr>
          <w:sz w:val="20"/>
        </w:rPr>
      </w:pPr>
      <w:r>
        <w:rPr>
          <w:sz w:val="20"/>
        </w:rPr>
        <w:t>тотальная</w:t>
      </w:r>
      <w:r>
        <w:rPr>
          <w:spacing w:val="-12"/>
          <w:sz w:val="20"/>
        </w:rPr>
        <w:t> </w:t>
      </w:r>
      <w:r>
        <w:rPr>
          <w:spacing w:val="-2"/>
          <w:sz w:val="20"/>
        </w:rPr>
        <w:t>панкреатодуоденэктомия</w:t>
      </w:r>
    </w:p>
    <w:p>
      <w:pPr>
        <w:spacing w:after="0"/>
        <w:jc w:val="left"/>
        <w:rPr>
          <w:sz w:val="20"/>
        </w:rPr>
        <w:sectPr>
          <w:type w:val="continuous"/>
          <w:pgSz w:w="16850" w:h="11910" w:orient="landscape"/>
          <w:pgMar w:header="753" w:footer="0" w:top="1080" w:bottom="280" w:left="400" w:right="400"/>
          <w:cols w:num="3" w:equalWidth="0">
            <w:col w:w="3513" w:space="159"/>
            <w:col w:w="6685" w:space="40"/>
            <w:col w:w="5653"/>
          </w:cols>
        </w:sectPr>
      </w:pPr>
    </w:p>
    <w:p>
      <w:pPr>
        <w:spacing w:line="249" w:lineRule="auto" w:before="127"/>
        <w:ind w:left="931" w:right="0" w:firstLine="0"/>
        <w:jc w:val="left"/>
        <w:rPr>
          <w:sz w:val="20"/>
        </w:rPr>
      </w:pPr>
      <w:r>
        <w:rPr>
          <w:sz w:val="20"/>
        </w:rPr>
        <w:t>Микрохирургические и </w:t>
      </w:r>
      <w:r>
        <w:rPr>
          <w:spacing w:val="-2"/>
          <w:sz w:val="20"/>
        </w:rPr>
        <w:t>реконструктивно- </w:t>
      </w:r>
      <w:r>
        <w:rPr>
          <w:sz w:val="20"/>
        </w:rPr>
        <w:t>пластические операции на печени, желчных протоках и сосудах печени, в том числе эндоваскулярные</w:t>
      </w:r>
      <w:r>
        <w:rPr>
          <w:spacing w:val="-13"/>
          <w:sz w:val="20"/>
        </w:rPr>
        <w:t> </w:t>
      </w:r>
      <w:r>
        <w:rPr>
          <w:sz w:val="20"/>
        </w:rPr>
        <w:t>операции</w:t>
      </w:r>
      <w:r>
        <w:rPr>
          <w:spacing w:val="-12"/>
          <w:sz w:val="20"/>
        </w:rPr>
        <w:t> </w:t>
      </w:r>
      <w:r>
        <w:rPr>
          <w:sz w:val="20"/>
        </w:rPr>
        <w:t>на сосудах печени, и реконструктивные операции на сосудах системы воротной вены, стентирование внутри- и внепеченочных желчных </w:t>
      </w:r>
      <w:r>
        <w:rPr>
          <w:spacing w:val="-2"/>
          <w:sz w:val="20"/>
        </w:rPr>
        <w:t>протоков</w:t>
      </w:r>
    </w:p>
    <w:p>
      <w:pPr>
        <w:spacing w:before="127"/>
        <w:ind w:left="244" w:right="0" w:firstLine="0"/>
        <w:jc w:val="left"/>
        <w:rPr>
          <w:sz w:val="20"/>
        </w:rPr>
      </w:pPr>
      <w:r>
        <w:rPr/>
        <w:br w:type="column"/>
      </w:r>
      <w:r>
        <w:rPr>
          <w:sz w:val="20"/>
        </w:rPr>
        <w:t>D18.0,</w:t>
      </w:r>
      <w:r>
        <w:rPr>
          <w:spacing w:val="-4"/>
          <w:sz w:val="20"/>
        </w:rPr>
        <w:t> </w:t>
      </w:r>
      <w:r>
        <w:rPr>
          <w:sz w:val="20"/>
        </w:rPr>
        <w:t>D13.4,</w:t>
      </w:r>
      <w:r>
        <w:rPr>
          <w:spacing w:val="-5"/>
          <w:sz w:val="20"/>
        </w:rPr>
        <w:t> </w:t>
      </w:r>
      <w:r>
        <w:rPr>
          <w:spacing w:val="-2"/>
          <w:sz w:val="20"/>
        </w:rPr>
        <w:t>D13.5,</w:t>
      </w:r>
    </w:p>
    <w:p>
      <w:pPr>
        <w:spacing w:line="249" w:lineRule="auto" w:before="10"/>
        <w:ind w:left="606" w:right="0" w:hanging="358"/>
        <w:jc w:val="left"/>
        <w:rPr>
          <w:sz w:val="20"/>
        </w:rPr>
      </w:pPr>
      <w:r>
        <w:rPr>
          <w:sz w:val="20"/>
        </w:rPr>
        <w:t>B67.0,</w:t>
      </w:r>
      <w:r>
        <w:rPr>
          <w:spacing w:val="-13"/>
          <w:sz w:val="20"/>
        </w:rPr>
        <w:t> </w:t>
      </w:r>
      <w:r>
        <w:rPr>
          <w:sz w:val="20"/>
        </w:rPr>
        <w:t>K76.6,</w:t>
      </w:r>
      <w:r>
        <w:rPr>
          <w:spacing w:val="-12"/>
          <w:sz w:val="20"/>
        </w:rPr>
        <w:t> </w:t>
      </w:r>
      <w:r>
        <w:rPr>
          <w:sz w:val="20"/>
        </w:rPr>
        <w:t>K76.8, Q26.5, I85.0</w:t>
      </w:r>
    </w:p>
    <w:p>
      <w:pPr>
        <w:spacing w:line="249" w:lineRule="auto" w:before="127"/>
        <w:ind w:left="222" w:right="0" w:firstLine="0"/>
        <w:jc w:val="left"/>
        <w:rPr>
          <w:sz w:val="20"/>
        </w:rPr>
      </w:pPr>
      <w:r>
        <w:rPr/>
        <w:br w:type="column"/>
      </w:r>
      <w:r>
        <w:rPr>
          <w:sz w:val="20"/>
        </w:rPr>
        <w:t>заболевания,</w:t>
      </w:r>
      <w:r>
        <w:rPr>
          <w:spacing w:val="-13"/>
          <w:sz w:val="20"/>
        </w:rPr>
        <w:t> </w:t>
      </w:r>
      <w:r>
        <w:rPr>
          <w:sz w:val="20"/>
        </w:rPr>
        <w:t>врожденные</w:t>
      </w:r>
      <w:r>
        <w:rPr>
          <w:spacing w:val="-12"/>
          <w:sz w:val="20"/>
        </w:rPr>
        <w:t> </w:t>
      </w:r>
      <w:r>
        <w:rPr>
          <w:sz w:val="20"/>
        </w:rPr>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w:t>
      </w:r>
      <w:r>
        <w:rPr>
          <w:spacing w:val="-13"/>
          <w:sz w:val="20"/>
        </w:rPr>
        <w:t> </w:t>
      </w:r>
      <w:r>
        <w:rPr>
          <w:sz w:val="20"/>
        </w:rPr>
        <w:t>желчного</w:t>
      </w:r>
      <w:r>
        <w:rPr>
          <w:spacing w:val="-12"/>
          <w:sz w:val="20"/>
        </w:rPr>
        <w:t> </w:t>
      </w:r>
      <w:r>
        <w:rPr>
          <w:sz w:val="20"/>
        </w:rPr>
        <w:t>пузыря. Инвазия печени, вызванная </w:t>
      </w:r>
      <w:r>
        <w:rPr>
          <w:spacing w:val="-2"/>
          <w:sz w:val="20"/>
        </w:rPr>
        <w:t>эхинококком</w:t>
      </w:r>
    </w:p>
    <w:p>
      <w:pPr>
        <w:spacing w:line="249" w:lineRule="auto" w:before="127"/>
        <w:ind w:left="187" w:right="0" w:firstLine="0"/>
        <w:jc w:val="left"/>
        <w:rPr>
          <w:sz w:val="20"/>
        </w:rPr>
      </w:pPr>
      <w:r>
        <w:rPr/>
        <w:br w:type="column"/>
      </w:r>
      <w:r>
        <w:rPr>
          <w:spacing w:val="-2"/>
          <w:sz w:val="20"/>
        </w:rPr>
        <w:t>хирургическое лечение</w:t>
      </w:r>
    </w:p>
    <w:p>
      <w:pPr>
        <w:spacing w:line="249" w:lineRule="auto" w:before="127"/>
        <w:ind w:left="177" w:right="1810" w:firstLine="0"/>
        <w:jc w:val="left"/>
        <w:rPr>
          <w:sz w:val="20"/>
        </w:rPr>
      </w:pPr>
      <w:r>
        <w:rPr/>
        <w:br w:type="column"/>
      </w:r>
      <w:r>
        <w:rPr>
          <w:sz w:val="20"/>
        </w:rPr>
        <w:t>эндоваскулярная</w:t>
      </w:r>
      <w:r>
        <w:rPr>
          <w:spacing w:val="-13"/>
          <w:sz w:val="20"/>
        </w:rPr>
        <w:t> </w:t>
      </w:r>
      <w:r>
        <w:rPr>
          <w:sz w:val="20"/>
        </w:rPr>
        <w:t>окклюзирующая операция на сосудах печени</w:t>
      </w:r>
    </w:p>
    <w:p>
      <w:pPr>
        <w:spacing w:before="121"/>
        <w:ind w:left="177" w:right="0" w:firstLine="0"/>
        <w:jc w:val="left"/>
        <w:rPr>
          <w:sz w:val="20"/>
        </w:rPr>
      </w:pPr>
      <w:r>
        <w:rPr>
          <w:spacing w:val="-2"/>
          <w:sz w:val="20"/>
        </w:rPr>
        <w:t>гемигепатэктомия</w:t>
      </w:r>
    </w:p>
    <w:p>
      <w:pPr>
        <w:spacing w:before="130"/>
        <w:ind w:left="177" w:right="0" w:firstLine="0"/>
        <w:jc w:val="left"/>
        <w:rPr>
          <w:sz w:val="20"/>
        </w:rPr>
      </w:pPr>
      <w:r>
        <w:rPr>
          <w:sz w:val="20"/>
        </w:rPr>
        <w:t>резекция</w:t>
      </w:r>
      <w:r>
        <w:rPr>
          <w:spacing w:val="-7"/>
          <w:sz w:val="20"/>
        </w:rPr>
        <w:t> </w:t>
      </w:r>
      <w:r>
        <w:rPr>
          <w:sz w:val="20"/>
        </w:rPr>
        <w:t>двух</w:t>
      </w:r>
      <w:r>
        <w:rPr>
          <w:spacing w:val="-5"/>
          <w:sz w:val="20"/>
        </w:rPr>
        <w:t> </w:t>
      </w:r>
      <w:r>
        <w:rPr>
          <w:sz w:val="20"/>
        </w:rPr>
        <w:t>и</w:t>
      </w:r>
      <w:r>
        <w:rPr>
          <w:spacing w:val="-7"/>
          <w:sz w:val="20"/>
        </w:rPr>
        <w:t> </w:t>
      </w:r>
      <w:r>
        <w:rPr>
          <w:sz w:val="20"/>
        </w:rPr>
        <w:t>более</w:t>
      </w:r>
      <w:r>
        <w:rPr>
          <w:spacing w:val="-6"/>
          <w:sz w:val="20"/>
        </w:rPr>
        <w:t> </w:t>
      </w:r>
      <w:r>
        <w:rPr>
          <w:sz w:val="20"/>
        </w:rPr>
        <w:t>сегментов</w:t>
      </w:r>
      <w:r>
        <w:rPr>
          <w:spacing w:val="-7"/>
          <w:sz w:val="20"/>
        </w:rPr>
        <w:t> </w:t>
      </w:r>
      <w:r>
        <w:rPr>
          <w:spacing w:val="-2"/>
          <w:sz w:val="20"/>
        </w:rPr>
        <w:t>печени</w:t>
      </w:r>
    </w:p>
    <w:p>
      <w:pPr>
        <w:spacing w:line="360" w:lineRule="atLeast" w:before="1"/>
        <w:ind w:left="177" w:right="1810" w:firstLine="0"/>
        <w:jc w:val="left"/>
        <w:rPr>
          <w:sz w:val="20"/>
        </w:rPr>
      </w:pPr>
      <w:r>
        <w:rPr>
          <w:sz w:val="20"/>
        </w:rPr>
        <w:t>реконструктивная</w:t>
      </w:r>
      <w:r>
        <w:rPr>
          <w:spacing w:val="-13"/>
          <w:sz w:val="20"/>
        </w:rPr>
        <w:t> </w:t>
      </w:r>
      <w:r>
        <w:rPr>
          <w:sz w:val="20"/>
        </w:rPr>
        <w:t>гепатикоеюностомия портокавальное шунтирование.</w:t>
      </w:r>
    </w:p>
    <w:p>
      <w:pPr>
        <w:spacing w:line="249" w:lineRule="auto" w:before="10"/>
        <w:ind w:left="177" w:right="1810" w:firstLine="0"/>
        <w:jc w:val="left"/>
        <w:rPr>
          <w:sz w:val="20"/>
        </w:rPr>
      </w:pPr>
      <w:r>
        <w:rPr>
          <w:sz w:val="20"/>
        </w:rPr>
        <w:t>Операции</w:t>
      </w:r>
      <w:r>
        <w:rPr>
          <w:spacing w:val="-13"/>
          <w:sz w:val="20"/>
        </w:rPr>
        <w:t> </w:t>
      </w:r>
      <w:r>
        <w:rPr>
          <w:sz w:val="20"/>
        </w:rPr>
        <w:t>азигопортального</w:t>
      </w:r>
      <w:r>
        <w:rPr>
          <w:spacing w:val="-12"/>
          <w:sz w:val="20"/>
        </w:rPr>
        <w:t> </w:t>
      </w:r>
      <w:r>
        <w:rPr>
          <w:sz w:val="20"/>
        </w:rPr>
        <w:t>разобщения. Трансъюгулярное внутрипеченочное портосистемное шунтирование (TIPS)</w:t>
      </w:r>
    </w:p>
    <w:p>
      <w:pPr>
        <w:spacing w:after="0" w:line="249" w:lineRule="auto"/>
        <w:jc w:val="left"/>
        <w:rPr>
          <w:sz w:val="20"/>
        </w:rPr>
        <w:sectPr>
          <w:type w:val="continuous"/>
          <w:pgSz w:w="16850" w:h="11910" w:orient="landscape"/>
          <w:pgMar w:header="753" w:footer="0" w:top="1080" w:bottom="280" w:left="400" w:right="400"/>
          <w:cols w:num="5" w:equalWidth="0">
            <w:col w:w="3514" w:space="40"/>
            <w:col w:w="1977" w:space="39"/>
            <w:col w:w="3304" w:space="40"/>
            <w:col w:w="1445" w:space="39"/>
            <w:col w:w="5652"/>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0" w:firstLine="0"/>
        <w:jc w:val="left"/>
        <w:rPr>
          <w:sz w:val="20"/>
        </w:rPr>
      </w:pPr>
      <w:r>
        <w:rPr>
          <w:spacing w:val="-2"/>
          <w:sz w:val="20"/>
        </w:rPr>
        <w:t>Реконструктивно- </w:t>
      </w:r>
      <w:r>
        <w:rPr>
          <w:sz w:val="20"/>
        </w:rPr>
        <w:t>пластические, в том числе </w:t>
      </w:r>
      <w:r>
        <w:rPr>
          <w:spacing w:val="-2"/>
          <w:sz w:val="20"/>
        </w:rPr>
        <w:t>лапароскопически </w:t>
      </w:r>
      <w:r>
        <w:rPr>
          <w:sz w:val="20"/>
        </w:rPr>
        <w:t>ассистированные</w:t>
      </w:r>
      <w:r>
        <w:rPr>
          <w:spacing w:val="-13"/>
          <w:sz w:val="20"/>
        </w:rPr>
        <w:t> </w:t>
      </w:r>
      <w:r>
        <w:rPr>
          <w:sz w:val="20"/>
        </w:rPr>
        <w:t>операции</w:t>
      </w:r>
      <w:r>
        <w:rPr>
          <w:spacing w:val="-12"/>
          <w:sz w:val="20"/>
        </w:rPr>
        <w:t> </w:t>
      </w:r>
      <w:r>
        <w:rPr>
          <w:sz w:val="20"/>
        </w:rPr>
        <w:t>на прямой</w:t>
      </w:r>
      <w:r>
        <w:rPr>
          <w:spacing w:val="-6"/>
          <w:sz w:val="20"/>
        </w:rPr>
        <w:t> </w:t>
      </w:r>
      <w:r>
        <w:rPr>
          <w:sz w:val="20"/>
        </w:rPr>
        <w:t>кишке</w:t>
      </w:r>
      <w:r>
        <w:rPr>
          <w:spacing w:val="-3"/>
          <w:sz w:val="20"/>
        </w:rPr>
        <w:t> </w:t>
      </w:r>
      <w:r>
        <w:rPr>
          <w:sz w:val="20"/>
        </w:rPr>
        <w:t>и</w:t>
      </w:r>
      <w:r>
        <w:rPr>
          <w:spacing w:val="-5"/>
          <w:sz w:val="20"/>
        </w:rPr>
        <w:t> </w:t>
      </w:r>
      <w:r>
        <w:rPr>
          <w:spacing w:val="-2"/>
          <w:sz w:val="20"/>
        </w:rPr>
        <w:t>промежности</w:t>
      </w:r>
    </w:p>
    <w:p>
      <w:pPr>
        <w:spacing w:line="249" w:lineRule="auto" w:before="91"/>
        <w:ind w:left="867" w:right="0" w:hanging="611"/>
        <w:jc w:val="left"/>
        <w:rPr>
          <w:sz w:val="20"/>
        </w:rPr>
      </w:pPr>
      <w:r>
        <w:rPr/>
        <w:br w:type="column"/>
      </w:r>
      <w:r>
        <w:rPr>
          <w:sz w:val="20"/>
        </w:rPr>
        <w:t>L05.9,</w:t>
      </w:r>
      <w:r>
        <w:rPr>
          <w:spacing w:val="-13"/>
          <w:sz w:val="20"/>
        </w:rPr>
        <w:t> </w:t>
      </w:r>
      <w:r>
        <w:rPr>
          <w:sz w:val="20"/>
        </w:rPr>
        <w:t>K62.3,</w:t>
      </w:r>
      <w:r>
        <w:rPr>
          <w:spacing w:val="-12"/>
          <w:sz w:val="20"/>
        </w:rPr>
        <w:t> </w:t>
      </w:r>
      <w:r>
        <w:rPr>
          <w:sz w:val="20"/>
        </w:rPr>
        <w:t>N81.6, </w:t>
      </w:r>
      <w:r>
        <w:rPr>
          <w:spacing w:val="-2"/>
          <w:sz w:val="20"/>
        </w:rPr>
        <w:t>K62.8</w:t>
      </w:r>
    </w:p>
    <w:p>
      <w:pPr>
        <w:tabs>
          <w:tab w:pos="3540" w:val="left" w:leader="none"/>
        </w:tabs>
        <w:spacing w:line="249" w:lineRule="auto" w:before="91"/>
        <w:ind w:left="3540" w:right="0" w:hanging="3308"/>
        <w:jc w:val="left"/>
        <w:rPr>
          <w:sz w:val="20"/>
        </w:rPr>
      </w:pPr>
      <w:r>
        <w:rPr/>
        <w:br w:type="column"/>
      </w:r>
      <w:r>
        <w:rPr>
          <w:sz w:val="20"/>
        </w:rPr>
        <w:t>пресакральная киста</w:t>
        <w:tab/>
      </w:r>
      <w:r>
        <w:rPr>
          <w:spacing w:val="-2"/>
          <w:sz w:val="20"/>
        </w:rPr>
        <w:t>хирургическое лечение</w:t>
      </w:r>
    </w:p>
    <w:p>
      <w:pPr>
        <w:spacing w:line="249" w:lineRule="auto" w:before="91"/>
        <w:ind w:left="178" w:right="1951" w:firstLine="0"/>
        <w:jc w:val="left"/>
        <w:rPr>
          <w:sz w:val="20"/>
        </w:rPr>
      </w:pPr>
      <w:r>
        <w:rPr/>
        <w:br w:type="column"/>
      </w:r>
      <w:r>
        <w:rPr>
          <w:sz w:val="20"/>
        </w:rPr>
        <w:t>иссечение пресакральной кисты парасакральным</w:t>
      </w:r>
      <w:r>
        <w:rPr>
          <w:spacing w:val="-11"/>
          <w:sz w:val="20"/>
        </w:rPr>
        <w:t> </w:t>
      </w:r>
      <w:r>
        <w:rPr>
          <w:sz w:val="20"/>
        </w:rPr>
        <w:t>или</w:t>
      </w:r>
      <w:r>
        <w:rPr>
          <w:spacing w:val="-13"/>
          <w:sz w:val="20"/>
        </w:rPr>
        <w:t> </w:t>
      </w:r>
      <w:r>
        <w:rPr>
          <w:sz w:val="20"/>
        </w:rPr>
        <w:t>комбинированным доступом с удалением копчика, в том числе</w:t>
      </w:r>
      <w:r>
        <w:rPr>
          <w:spacing w:val="-3"/>
          <w:sz w:val="20"/>
        </w:rPr>
        <w:t> </w:t>
      </w:r>
      <w:r>
        <w:rPr>
          <w:sz w:val="20"/>
        </w:rPr>
        <w:t>с</w:t>
      </w:r>
      <w:r>
        <w:rPr>
          <w:spacing w:val="-3"/>
          <w:sz w:val="20"/>
        </w:rPr>
        <w:t> </w:t>
      </w:r>
      <w:r>
        <w:rPr>
          <w:sz w:val="20"/>
        </w:rPr>
        <w:t>пластикой</w:t>
      </w:r>
      <w:r>
        <w:rPr>
          <w:spacing w:val="-4"/>
          <w:sz w:val="20"/>
        </w:rPr>
        <w:t> </w:t>
      </w:r>
      <w:r>
        <w:rPr>
          <w:sz w:val="20"/>
        </w:rPr>
        <w:t>свищевого</w:t>
      </w:r>
      <w:r>
        <w:rPr>
          <w:spacing w:val="-2"/>
          <w:sz w:val="20"/>
        </w:rPr>
        <w:t> </w:t>
      </w:r>
      <w:r>
        <w:rPr>
          <w:sz w:val="20"/>
        </w:rPr>
        <w:t>отверстия полнослойным</w:t>
      </w:r>
      <w:r>
        <w:rPr>
          <w:spacing w:val="-11"/>
          <w:sz w:val="20"/>
        </w:rPr>
        <w:t> </w:t>
      </w:r>
      <w:r>
        <w:rPr>
          <w:sz w:val="20"/>
        </w:rPr>
        <w:t>лоскутом</w:t>
      </w:r>
      <w:r>
        <w:rPr>
          <w:spacing w:val="-11"/>
          <w:sz w:val="20"/>
        </w:rPr>
        <w:t> </w:t>
      </w:r>
      <w:r>
        <w:rPr>
          <w:sz w:val="20"/>
        </w:rPr>
        <w:t>стенки</w:t>
      </w:r>
      <w:r>
        <w:rPr>
          <w:spacing w:val="-13"/>
          <w:sz w:val="20"/>
        </w:rPr>
        <w:t> </w:t>
      </w:r>
      <w:r>
        <w:rPr>
          <w:sz w:val="20"/>
        </w:rPr>
        <w:t>прямой кишки и (или) пластикой тазового дна</w:t>
      </w:r>
    </w:p>
    <w:p>
      <w:pPr>
        <w:spacing w:after="0" w:line="249" w:lineRule="auto"/>
        <w:jc w:val="left"/>
        <w:rPr>
          <w:sz w:val="20"/>
        </w:rPr>
        <w:sectPr>
          <w:type w:val="continuous"/>
          <w:pgSz w:w="16850" w:h="11910" w:orient="landscape"/>
          <w:pgMar w:header="753" w:footer="0" w:top="1080" w:bottom="280" w:left="400" w:right="400"/>
          <w:cols w:num="4" w:equalWidth="0">
            <w:col w:w="3514" w:space="40"/>
            <w:col w:w="1968" w:space="39"/>
            <w:col w:w="4797" w:space="39"/>
            <w:col w:w="5653"/>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pPr>
    </w:p>
    <w:p>
      <w:pPr>
        <w:spacing w:line="249" w:lineRule="auto" w:before="0"/>
        <w:ind w:left="931" w:right="0" w:firstLine="0"/>
        <w:jc w:val="left"/>
        <w:rPr>
          <w:sz w:val="20"/>
        </w:rPr>
      </w:pPr>
      <w:r>
        <w:rPr>
          <w:spacing w:val="-2"/>
          <w:sz w:val="20"/>
        </w:rPr>
        <w:t>Реконструктивно- </w:t>
      </w:r>
      <w:r>
        <w:rPr>
          <w:sz w:val="20"/>
        </w:rPr>
        <w:t>пластические</w:t>
      </w:r>
      <w:r>
        <w:rPr>
          <w:spacing w:val="-13"/>
          <w:sz w:val="20"/>
        </w:rPr>
        <w:t> </w:t>
      </w:r>
      <w:r>
        <w:rPr>
          <w:sz w:val="20"/>
        </w:rPr>
        <w:t>операции</w:t>
      </w:r>
      <w:r>
        <w:rPr>
          <w:spacing w:val="-12"/>
          <w:sz w:val="20"/>
        </w:rPr>
        <w:t> </w:t>
      </w:r>
      <w:r>
        <w:rPr>
          <w:sz w:val="20"/>
        </w:rPr>
        <w:t>на пищеводе, желудке</w:t>
      </w:r>
    </w:p>
    <w:p>
      <w:pPr>
        <w:spacing w:line="249" w:lineRule="auto" w:before="125"/>
        <w:ind w:left="2572" w:right="0" w:firstLine="0"/>
        <w:jc w:val="left"/>
        <w:rPr>
          <w:sz w:val="20"/>
        </w:rPr>
      </w:pPr>
      <w:r>
        <w:rPr/>
        <w:br w:type="column"/>
      </w:r>
      <w:r>
        <w:rPr>
          <w:sz w:val="20"/>
        </w:rPr>
        <w:t>опущение мышц тазового дна с выпадением</w:t>
      </w:r>
      <w:r>
        <w:rPr>
          <w:spacing w:val="-13"/>
          <w:sz w:val="20"/>
        </w:rPr>
        <w:t> </w:t>
      </w:r>
      <w:r>
        <w:rPr>
          <w:sz w:val="20"/>
        </w:rPr>
        <w:t>органов</w:t>
      </w:r>
      <w:r>
        <w:rPr>
          <w:spacing w:val="-12"/>
          <w:sz w:val="20"/>
        </w:rPr>
        <w:t> </w:t>
      </w:r>
      <w:r>
        <w:rPr>
          <w:sz w:val="20"/>
        </w:rPr>
        <w:t>малого</w:t>
      </w:r>
      <w:r>
        <w:rPr>
          <w:spacing w:val="-13"/>
          <w:sz w:val="20"/>
        </w:rPr>
        <w:t> </w:t>
      </w:r>
      <w:r>
        <w:rPr>
          <w:sz w:val="20"/>
        </w:rPr>
        <w:t>таза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2572" w:right="476" w:firstLine="0"/>
        <w:jc w:val="left"/>
        <w:rPr>
          <w:sz w:val="20"/>
        </w:rPr>
      </w:pPr>
      <w:r>
        <w:rPr>
          <w:sz w:val="20"/>
        </w:rPr>
        <w:t>недостаточность</w:t>
      </w:r>
      <w:r>
        <w:rPr>
          <w:spacing w:val="-13"/>
          <w:sz w:val="20"/>
        </w:rPr>
        <w:t> </w:t>
      </w:r>
      <w:r>
        <w:rPr>
          <w:sz w:val="20"/>
        </w:rPr>
        <w:t>анального </w:t>
      </w:r>
      <w:r>
        <w:rPr>
          <w:spacing w:val="-2"/>
          <w:sz w:val="20"/>
        </w:rPr>
        <w:t>сфинктера</w:t>
      </w:r>
    </w:p>
    <w:p>
      <w:pPr>
        <w:pStyle w:val="BodyText"/>
        <w:spacing w:before="5"/>
        <w:rPr>
          <w:sz w:val="31"/>
        </w:rPr>
      </w:pPr>
    </w:p>
    <w:p>
      <w:pPr>
        <w:tabs>
          <w:tab w:pos="2572" w:val="left" w:leader="none"/>
        </w:tabs>
        <w:spacing w:before="0"/>
        <w:ind w:left="678" w:right="0" w:firstLine="0"/>
        <w:jc w:val="left"/>
        <w:rPr>
          <w:sz w:val="20"/>
        </w:rPr>
      </w:pPr>
      <w:r>
        <w:rPr>
          <w:sz w:val="20"/>
        </w:rPr>
        <w:t>K22.5,</w:t>
      </w:r>
      <w:r>
        <w:rPr>
          <w:spacing w:val="-4"/>
          <w:sz w:val="20"/>
        </w:rPr>
        <w:t> </w:t>
      </w:r>
      <w:r>
        <w:rPr>
          <w:sz w:val="20"/>
        </w:rPr>
        <w:t>K22.2,</w:t>
      </w:r>
      <w:r>
        <w:rPr>
          <w:spacing w:val="-5"/>
          <w:sz w:val="20"/>
        </w:rPr>
        <w:t> K22</w:t>
      </w:r>
      <w:r>
        <w:rPr>
          <w:sz w:val="20"/>
        </w:rPr>
        <w:tab/>
      </w:r>
      <w:r>
        <w:rPr>
          <w:w w:val="95"/>
          <w:sz w:val="20"/>
        </w:rPr>
        <w:t>приобретенный</w:t>
      </w:r>
      <w:r>
        <w:rPr>
          <w:spacing w:val="50"/>
          <w:sz w:val="20"/>
        </w:rPr>
        <w:t> </w:t>
      </w:r>
      <w:r>
        <w:rPr>
          <w:spacing w:val="-2"/>
          <w:sz w:val="20"/>
        </w:rPr>
        <w:t>дивертикул</w:t>
      </w:r>
    </w:p>
    <w:p>
      <w:pPr>
        <w:spacing w:line="249" w:lineRule="auto" w:before="10"/>
        <w:ind w:left="2572" w:right="0" w:firstLine="0"/>
        <w:jc w:val="left"/>
        <w:rPr>
          <w:sz w:val="20"/>
        </w:rPr>
      </w:pPr>
      <w:r>
        <w:rPr>
          <w:sz w:val="20"/>
        </w:rPr>
        <w:t>пищевода,</w:t>
      </w:r>
      <w:r>
        <w:rPr>
          <w:spacing w:val="-13"/>
          <w:sz w:val="20"/>
        </w:rPr>
        <w:t> </w:t>
      </w:r>
      <w:r>
        <w:rPr>
          <w:sz w:val="20"/>
        </w:rPr>
        <w:t>ахалазия</w:t>
      </w:r>
      <w:r>
        <w:rPr>
          <w:spacing w:val="-12"/>
          <w:sz w:val="20"/>
        </w:rPr>
        <w:t> </w:t>
      </w:r>
      <w:r>
        <w:rPr>
          <w:sz w:val="20"/>
        </w:rPr>
        <w:t>кардиальной части пищевода, рубцовые стриктуры пищевода</w:t>
      </w:r>
    </w:p>
    <w:p>
      <w:pPr>
        <w:spacing w:line="249" w:lineRule="auto" w:before="125"/>
        <w:ind w:left="445"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445" w:right="0" w:firstLine="0"/>
        <w:jc w:val="left"/>
        <w:rPr>
          <w:sz w:val="20"/>
        </w:rPr>
      </w:pPr>
      <w:r>
        <w:rPr>
          <w:spacing w:val="-2"/>
          <w:sz w:val="20"/>
        </w:rPr>
        <w:t>хирургическое лечение</w:t>
      </w:r>
    </w:p>
    <w:p>
      <w:pPr>
        <w:pStyle w:val="BodyText"/>
        <w:spacing w:before="5"/>
        <w:rPr>
          <w:sz w:val="31"/>
        </w:rPr>
      </w:pPr>
    </w:p>
    <w:p>
      <w:pPr>
        <w:spacing w:line="249" w:lineRule="auto" w:before="0"/>
        <w:ind w:left="445" w:right="0" w:firstLine="0"/>
        <w:jc w:val="left"/>
        <w:rPr>
          <w:sz w:val="20"/>
        </w:rPr>
      </w:pPr>
      <w:r>
        <w:rPr>
          <w:spacing w:val="-2"/>
          <w:sz w:val="20"/>
        </w:rPr>
        <w:t>хирургическое лечение</w:t>
      </w:r>
    </w:p>
    <w:p>
      <w:pPr>
        <w:spacing w:line="249" w:lineRule="auto" w:before="125"/>
        <w:ind w:left="178" w:right="1953" w:firstLine="0"/>
        <w:jc w:val="left"/>
        <w:rPr>
          <w:sz w:val="20"/>
        </w:rPr>
      </w:pPr>
      <w:r>
        <w:rPr/>
        <w:br w:type="column"/>
      </w:r>
      <w:r>
        <w:rPr>
          <w:sz w:val="20"/>
        </w:rPr>
        <w:t>ликвидация ректоцеле, в том числе с циркулярной эндоректальной проктопластикой по методике Лонго, пластика</w:t>
      </w:r>
      <w:r>
        <w:rPr>
          <w:spacing w:val="-13"/>
          <w:sz w:val="20"/>
        </w:rPr>
        <w:t> </w:t>
      </w:r>
      <w:r>
        <w:rPr>
          <w:sz w:val="20"/>
        </w:rPr>
        <w:t>ректовагинальной</w:t>
      </w:r>
      <w:r>
        <w:rPr>
          <w:spacing w:val="-12"/>
          <w:sz w:val="20"/>
        </w:rPr>
        <w:t> </w:t>
      </w:r>
      <w:r>
        <w:rPr>
          <w:sz w:val="20"/>
        </w:rPr>
        <w:t>перегородки </w:t>
      </w:r>
      <w:r>
        <w:rPr>
          <w:spacing w:val="-2"/>
          <w:sz w:val="20"/>
        </w:rPr>
        <w:t>имплантатом</w:t>
      </w:r>
    </w:p>
    <w:p>
      <w:pPr>
        <w:spacing w:line="249" w:lineRule="auto" w:before="124"/>
        <w:ind w:left="178" w:right="1953" w:firstLine="0"/>
        <w:jc w:val="left"/>
        <w:rPr>
          <w:sz w:val="20"/>
        </w:rPr>
      </w:pPr>
      <w:r>
        <w:rPr>
          <w:sz w:val="20"/>
        </w:rPr>
        <w:t>ректопексия</w:t>
      </w:r>
      <w:r>
        <w:rPr>
          <w:spacing w:val="-10"/>
          <w:sz w:val="20"/>
        </w:rPr>
        <w:t> </w:t>
      </w:r>
      <w:r>
        <w:rPr>
          <w:sz w:val="20"/>
        </w:rPr>
        <w:t>с</w:t>
      </w:r>
      <w:r>
        <w:rPr>
          <w:spacing w:val="-6"/>
          <w:sz w:val="20"/>
        </w:rPr>
        <w:t> </w:t>
      </w:r>
      <w:r>
        <w:rPr>
          <w:sz w:val="20"/>
        </w:rPr>
        <w:t>пластикой</w:t>
      </w:r>
      <w:r>
        <w:rPr>
          <w:spacing w:val="-10"/>
          <w:sz w:val="20"/>
        </w:rPr>
        <w:t> </w:t>
      </w:r>
      <w:r>
        <w:rPr>
          <w:sz w:val="20"/>
        </w:rPr>
        <w:t>тазового</w:t>
      </w:r>
      <w:r>
        <w:rPr>
          <w:spacing w:val="-8"/>
          <w:sz w:val="20"/>
        </w:rPr>
        <w:t> </w:t>
      </w:r>
      <w:r>
        <w:rPr>
          <w:sz w:val="20"/>
        </w:rPr>
        <w:t>дна имплантатом, заднепетлевая ректопексия, шовная ректопексия, операция Делорма</w:t>
      </w:r>
    </w:p>
    <w:p>
      <w:pPr>
        <w:spacing w:line="249" w:lineRule="auto" w:before="124"/>
        <w:ind w:left="178" w:right="1953" w:firstLine="0"/>
        <w:jc w:val="left"/>
        <w:rPr>
          <w:sz w:val="20"/>
        </w:rPr>
      </w:pPr>
      <w:r>
        <w:rPr>
          <w:sz w:val="20"/>
        </w:rPr>
        <w:t>создание сфинктера из поперечно- полосатых мышц</w:t>
      </w:r>
      <w:r>
        <w:rPr>
          <w:spacing w:val="40"/>
          <w:sz w:val="20"/>
        </w:rPr>
        <w:t> </w:t>
      </w:r>
      <w:r>
        <w:rPr>
          <w:sz w:val="20"/>
        </w:rPr>
        <w:t>с реконструкцией запирательного</w:t>
      </w:r>
      <w:r>
        <w:rPr>
          <w:spacing w:val="-10"/>
          <w:sz w:val="20"/>
        </w:rPr>
        <w:t> </w:t>
      </w:r>
      <w:r>
        <w:rPr>
          <w:sz w:val="20"/>
        </w:rPr>
        <w:t>аппарата</w:t>
      </w:r>
      <w:r>
        <w:rPr>
          <w:spacing w:val="-11"/>
          <w:sz w:val="20"/>
        </w:rPr>
        <w:t> </w:t>
      </w:r>
      <w:r>
        <w:rPr>
          <w:sz w:val="20"/>
        </w:rPr>
        <w:t>прямой</w:t>
      </w:r>
      <w:r>
        <w:rPr>
          <w:spacing w:val="-11"/>
          <w:sz w:val="20"/>
        </w:rPr>
        <w:t> </w:t>
      </w:r>
      <w:r>
        <w:rPr>
          <w:sz w:val="20"/>
        </w:rPr>
        <w:t>кишки</w:t>
      </w:r>
    </w:p>
    <w:p>
      <w:pPr>
        <w:spacing w:line="376" w:lineRule="auto" w:before="123"/>
        <w:ind w:left="178" w:right="1953" w:firstLine="0"/>
        <w:jc w:val="left"/>
        <w:rPr>
          <w:sz w:val="20"/>
        </w:rPr>
      </w:pPr>
      <w:r>
        <w:rPr>
          <w:sz w:val="20"/>
        </w:rPr>
        <w:t>иссечение</w:t>
      </w:r>
      <w:r>
        <w:rPr>
          <w:spacing w:val="-13"/>
          <w:sz w:val="20"/>
        </w:rPr>
        <w:t> </w:t>
      </w:r>
      <w:r>
        <w:rPr>
          <w:sz w:val="20"/>
        </w:rPr>
        <w:t>дивертикула</w:t>
      </w:r>
      <w:r>
        <w:rPr>
          <w:spacing w:val="-12"/>
          <w:sz w:val="20"/>
        </w:rPr>
        <w:t> </w:t>
      </w:r>
      <w:r>
        <w:rPr>
          <w:sz w:val="20"/>
        </w:rPr>
        <w:t>пищевода пластика пищевода </w:t>
      </w:r>
      <w:r>
        <w:rPr>
          <w:spacing w:val="-2"/>
          <w:sz w:val="20"/>
        </w:rPr>
        <w:t>эозофагокардиомиотомия</w:t>
      </w:r>
    </w:p>
    <w:p>
      <w:pPr>
        <w:spacing w:line="249" w:lineRule="auto" w:before="0"/>
        <w:ind w:left="178" w:right="2351" w:firstLine="0"/>
        <w:jc w:val="left"/>
        <w:rPr>
          <w:sz w:val="20"/>
        </w:rPr>
      </w:pPr>
      <w:r>
        <w:rPr>
          <w:sz w:val="20"/>
        </w:rPr>
        <w:t>экстирпация</w:t>
      </w:r>
      <w:r>
        <w:rPr>
          <w:spacing w:val="-11"/>
          <w:sz w:val="20"/>
        </w:rPr>
        <w:t> </w:t>
      </w:r>
      <w:r>
        <w:rPr>
          <w:sz w:val="20"/>
        </w:rPr>
        <w:t>пищевода</w:t>
      </w:r>
      <w:r>
        <w:rPr>
          <w:spacing w:val="-11"/>
          <w:sz w:val="20"/>
        </w:rPr>
        <w:t> </w:t>
      </w:r>
      <w:r>
        <w:rPr>
          <w:sz w:val="20"/>
        </w:rPr>
        <w:t>с</w:t>
      </w:r>
      <w:r>
        <w:rPr>
          <w:spacing w:val="-10"/>
          <w:sz w:val="20"/>
        </w:rPr>
        <w:t> </w:t>
      </w:r>
      <w:r>
        <w:rPr>
          <w:sz w:val="20"/>
        </w:rPr>
        <w:t>пластикой, в том числе лапароскопическая</w:t>
      </w:r>
    </w:p>
    <w:p>
      <w:pPr>
        <w:spacing w:after="0" w:line="249" w:lineRule="auto"/>
        <w:jc w:val="left"/>
        <w:rPr>
          <w:sz w:val="20"/>
        </w:rPr>
        <w:sectPr>
          <w:type w:val="continuous"/>
          <w:pgSz w:w="16850" w:h="11910" w:orient="landscape"/>
          <w:pgMar w:header="753" w:footer="0" w:top="1080" w:bottom="280" w:left="400" w:right="400"/>
          <w:cols w:num="4" w:equalWidth="0">
            <w:col w:w="3181" w:space="40"/>
            <w:col w:w="5395" w:space="39"/>
            <w:col w:w="1702" w:space="39"/>
            <w:col w:w="5654"/>
          </w:cols>
        </w:sectPr>
      </w:pPr>
    </w:p>
    <w:p>
      <w:pPr>
        <w:pStyle w:val="ListParagraph"/>
        <w:numPr>
          <w:ilvl w:val="0"/>
          <w:numId w:val="5"/>
        </w:numPr>
        <w:tabs>
          <w:tab w:pos="931" w:val="left" w:leader="none"/>
          <w:tab w:pos="932" w:val="left" w:leader="none"/>
        </w:tabs>
        <w:spacing w:line="249" w:lineRule="auto" w:before="119" w:after="0"/>
        <w:ind w:left="931" w:right="0" w:hanging="516"/>
        <w:jc w:val="left"/>
        <w:rPr>
          <w:sz w:val="20"/>
        </w:rPr>
      </w:pPr>
      <w:r>
        <w:rPr>
          <w:spacing w:val="-2"/>
          <w:sz w:val="20"/>
        </w:rPr>
        <w:t>Реконструктивно- </w:t>
      </w:r>
      <w:r>
        <w:rPr>
          <w:sz w:val="20"/>
        </w:rPr>
        <w:t>пластические операции на поджелудочной железе, печени и желчных протоках, пищеводе,</w:t>
      </w:r>
      <w:r>
        <w:rPr>
          <w:spacing w:val="-13"/>
          <w:sz w:val="20"/>
        </w:rPr>
        <w:t> </w:t>
      </w:r>
      <w:r>
        <w:rPr>
          <w:sz w:val="20"/>
        </w:rPr>
        <w:t>желудке,</w:t>
      </w:r>
      <w:r>
        <w:rPr>
          <w:spacing w:val="-12"/>
          <w:sz w:val="20"/>
        </w:rPr>
        <w:t> </w:t>
      </w:r>
      <w:r>
        <w:rPr>
          <w:sz w:val="20"/>
        </w:rPr>
        <w:t>тонкой</w:t>
      </w:r>
      <w:r>
        <w:rPr>
          <w:spacing w:val="-13"/>
          <w:sz w:val="20"/>
        </w:rPr>
        <w:t> </w:t>
      </w:r>
      <w:r>
        <w:rPr>
          <w:sz w:val="20"/>
        </w:rPr>
        <w:t>и толстой кишке, операции на</w:t>
      </w:r>
    </w:p>
    <w:p>
      <w:pPr>
        <w:spacing w:before="119"/>
        <w:ind w:left="244" w:right="0" w:firstLine="0"/>
        <w:jc w:val="center"/>
        <w:rPr>
          <w:sz w:val="20"/>
        </w:rPr>
      </w:pPr>
      <w:r>
        <w:rPr/>
        <w:br w:type="column"/>
      </w:r>
      <w:r>
        <w:rPr>
          <w:sz w:val="20"/>
        </w:rPr>
        <w:t>D12.4,</w:t>
      </w:r>
      <w:r>
        <w:rPr>
          <w:spacing w:val="-4"/>
          <w:sz w:val="20"/>
        </w:rPr>
        <w:t> </w:t>
      </w:r>
      <w:r>
        <w:rPr>
          <w:sz w:val="20"/>
        </w:rPr>
        <w:t>D12.6,</w:t>
      </w:r>
      <w:r>
        <w:rPr>
          <w:spacing w:val="-5"/>
          <w:sz w:val="20"/>
        </w:rPr>
        <w:t> </w:t>
      </w:r>
      <w:r>
        <w:rPr>
          <w:spacing w:val="-2"/>
          <w:sz w:val="20"/>
        </w:rPr>
        <w:t>D13.1,</w:t>
      </w:r>
    </w:p>
    <w:p>
      <w:pPr>
        <w:spacing w:before="10"/>
        <w:ind w:left="244" w:right="0" w:firstLine="0"/>
        <w:jc w:val="center"/>
        <w:rPr>
          <w:sz w:val="20"/>
        </w:rPr>
      </w:pPr>
      <w:r>
        <w:rPr>
          <w:sz w:val="20"/>
        </w:rPr>
        <w:t>D13.2,</w:t>
      </w:r>
      <w:r>
        <w:rPr>
          <w:spacing w:val="-4"/>
          <w:sz w:val="20"/>
        </w:rPr>
        <w:t> </w:t>
      </w:r>
      <w:r>
        <w:rPr>
          <w:sz w:val="20"/>
        </w:rPr>
        <w:t>D13.3,</w:t>
      </w:r>
      <w:r>
        <w:rPr>
          <w:spacing w:val="-5"/>
          <w:sz w:val="20"/>
        </w:rPr>
        <w:t> </w:t>
      </w:r>
      <w:r>
        <w:rPr>
          <w:spacing w:val="-2"/>
          <w:sz w:val="20"/>
        </w:rPr>
        <w:t>D13.4,</w:t>
      </w:r>
    </w:p>
    <w:p>
      <w:pPr>
        <w:spacing w:before="10"/>
        <w:ind w:left="244" w:right="0" w:firstLine="0"/>
        <w:jc w:val="center"/>
        <w:rPr>
          <w:sz w:val="20"/>
        </w:rPr>
      </w:pPr>
      <w:r>
        <w:rPr>
          <w:sz w:val="20"/>
        </w:rPr>
        <w:t>D13.5,</w:t>
      </w:r>
      <w:r>
        <w:rPr>
          <w:spacing w:val="-4"/>
          <w:sz w:val="20"/>
        </w:rPr>
        <w:t> </w:t>
      </w:r>
      <w:r>
        <w:rPr>
          <w:sz w:val="20"/>
        </w:rPr>
        <w:t>K76.8,</w:t>
      </w:r>
      <w:r>
        <w:rPr>
          <w:spacing w:val="-5"/>
          <w:sz w:val="20"/>
        </w:rPr>
        <w:t> </w:t>
      </w:r>
      <w:r>
        <w:rPr>
          <w:spacing w:val="-2"/>
          <w:sz w:val="20"/>
        </w:rPr>
        <w:t>D18.0,</w:t>
      </w:r>
    </w:p>
    <w:p>
      <w:pPr>
        <w:spacing w:line="249" w:lineRule="auto" w:before="10"/>
        <w:ind w:left="244" w:right="0" w:firstLine="0"/>
        <w:jc w:val="center"/>
        <w:rPr>
          <w:sz w:val="20"/>
        </w:rPr>
      </w:pPr>
      <w:r>
        <w:rPr>
          <w:sz w:val="20"/>
        </w:rPr>
        <w:t>D20, D35.0, D73.4, K21,</w:t>
      </w:r>
      <w:r>
        <w:rPr>
          <w:spacing w:val="-13"/>
          <w:sz w:val="20"/>
        </w:rPr>
        <w:t> </w:t>
      </w:r>
      <w:r>
        <w:rPr>
          <w:sz w:val="20"/>
        </w:rPr>
        <w:t>K25,</w:t>
      </w:r>
      <w:r>
        <w:rPr>
          <w:spacing w:val="-12"/>
          <w:sz w:val="20"/>
        </w:rPr>
        <w:t> </w:t>
      </w:r>
      <w:r>
        <w:rPr>
          <w:sz w:val="20"/>
        </w:rPr>
        <w:t>K26,</w:t>
      </w:r>
      <w:r>
        <w:rPr>
          <w:spacing w:val="-13"/>
          <w:sz w:val="20"/>
        </w:rPr>
        <w:t> </w:t>
      </w:r>
      <w:r>
        <w:rPr>
          <w:sz w:val="20"/>
        </w:rPr>
        <w:t>K59.0, K59.3, K63.2, K62.3,</w:t>
      </w:r>
    </w:p>
    <w:p>
      <w:pPr>
        <w:spacing w:line="249" w:lineRule="auto" w:before="119"/>
        <w:ind w:left="151" w:right="0" w:firstLine="0"/>
        <w:jc w:val="left"/>
        <w:rPr>
          <w:sz w:val="20"/>
        </w:rPr>
      </w:pPr>
      <w:r>
        <w:rPr/>
        <w:br w:type="column"/>
      </w:r>
      <w:r>
        <w:rPr>
          <w:sz w:val="20"/>
        </w:rPr>
        <w:t>гастроэзофагеальная рефлюксная болезнь.</w:t>
      </w:r>
      <w:r>
        <w:rPr>
          <w:spacing w:val="-13"/>
          <w:sz w:val="20"/>
        </w:rPr>
        <w:t> </w:t>
      </w:r>
      <w:r>
        <w:rPr>
          <w:sz w:val="20"/>
        </w:rPr>
        <w:t>Язвенная</w:t>
      </w:r>
      <w:r>
        <w:rPr>
          <w:spacing w:val="-12"/>
          <w:sz w:val="20"/>
        </w:rPr>
        <w:t> </w:t>
      </w:r>
      <w:r>
        <w:rPr>
          <w:sz w:val="20"/>
        </w:rPr>
        <w:t>болезнь</w:t>
      </w:r>
      <w:r>
        <w:rPr>
          <w:spacing w:val="-13"/>
          <w:sz w:val="20"/>
        </w:rPr>
        <w:t> </w:t>
      </w:r>
      <w:r>
        <w:rPr>
          <w:sz w:val="20"/>
        </w:rPr>
        <w:t>желудка. Язвенная болезнь двенадцатиперстной кишки.</w:t>
      </w:r>
    </w:p>
    <w:p>
      <w:pPr>
        <w:spacing w:line="249" w:lineRule="auto" w:before="3"/>
        <w:ind w:left="151" w:right="768" w:firstLine="0"/>
        <w:jc w:val="left"/>
        <w:rPr>
          <w:sz w:val="20"/>
        </w:rPr>
      </w:pPr>
      <w:r>
        <w:rPr>
          <w:sz w:val="20"/>
        </w:rPr>
        <w:t>Новообразования</w:t>
      </w:r>
      <w:r>
        <w:rPr>
          <w:spacing w:val="-13"/>
          <w:sz w:val="20"/>
        </w:rPr>
        <w:t> </w:t>
      </w:r>
      <w:r>
        <w:rPr>
          <w:sz w:val="20"/>
        </w:rPr>
        <w:t>желудка. </w:t>
      </w:r>
      <w:r>
        <w:rPr>
          <w:spacing w:val="-2"/>
          <w:sz w:val="20"/>
        </w:rPr>
        <w:t>Новообразования</w:t>
      </w:r>
    </w:p>
    <w:p>
      <w:pPr>
        <w:spacing w:line="249" w:lineRule="auto" w:before="119"/>
        <w:ind w:left="180" w:right="0" w:firstLine="0"/>
        <w:jc w:val="left"/>
        <w:rPr>
          <w:sz w:val="20"/>
        </w:rPr>
      </w:pPr>
      <w:r>
        <w:rPr/>
        <w:br w:type="column"/>
      </w:r>
      <w:r>
        <w:rPr>
          <w:spacing w:val="-2"/>
          <w:sz w:val="20"/>
        </w:rPr>
        <w:t>хирургическое лечение</w:t>
      </w:r>
    </w:p>
    <w:p>
      <w:pPr>
        <w:spacing w:line="249" w:lineRule="auto" w:before="119"/>
        <w:ind w:left="178" w:right="38" w:firstLine="0"/>
        <w:jc w:val="both"/>
        <w:rPr>
          <w:sz w:val="20"/>
        </w:rPr>
      </w:pPr>
      <w:r>
        <w:rPr/>
        <w:br w:type="column"/>
      </w:r>
      <w:r>
        <w:rPr>
          <w:spacing w:val="-2"/>
          <w:sz w:val="20"/>
        </w:rPr>
        <w:t>реконструктивно-пластические, </w:t>
      </w:r>
      <w:r>
        <w:rPr>
          <w:sz w:val="20"/>
        </w:rPr>
        <w:t>органосохраняющие</w:t>
      </w:r>
      <w:r>
        <w:rPr>
          <w:spacing w:val="-13"/>
          <w:sz w:val="20"/>
        </w:rPr>
        <w:t> </w:t>
      </w:r>
      <w:r>
        <w:rPr>
          <w:sz w:val="20"/>
        </w:rPr>
        <w:t>операции</w:t>
      </w:r>
      <w:r>
        <w:rPr>
          <w:spacing w:val="-12"/>
          <w:sz w:val="20"/>
        </w:rPr>
        <w:t> </w:t>
      </w:r>
      <w:r>
        <w:rPr>
          <w:sz w:val="20"/>
        </w:rPr>
        <w:t>с применением робототехники</w:t>
      </w:r>
    </w:p>
    <w:p>
      <w:pPr>
        <w:spacing w:before="119"/>
        <w:ind w:left="415" w:right="0" w:firstLine="0"/>
        <w:jc w:val="left"/>
        <w:rPr>
          <w:sz w:val="20"/>
        </w:rPr>
      </w:pPr>
      <w:r>
        <w:rPr/>
        <w:br w:type="column"/>
      </w:r>
      <w:r>
        <w:rPr>
          <w:spacing w:val="-2"/>
          <w:sz w:val="20"/>
        </w:rPr>
        <w:t>282376</w:t>
      </w:r>
    </w:p>
    <w:p>
      <w:pPr>
        <w:spacing w:after="0"/>
        <w:jc w:val="left"/>
        <w:rPr>
          <w:sz w:val="20"/>
        </w:rPr>
        <w:sectPr>
          <w:type w:val="continuous"/>
          <w:pgSz w:w="16850" w:h="11910" w:orient="landscape"/>
          <w:pgMar w:header="753" w:footer="0" w:top="1080" w:bottom="280" w:left="400" w:right="400"/>
          <w:cols w:num="6" w:equalWidth="0">
            <w:col w:w="3442" w:space="40"/>
            <w:col w:w="2121" w:space="39"/>
            <w:col w:w="3239" w:space="39"/>
            <w:col w:w="1437" w:space="39"/>
            <w:col w:w="2962" w:space="994"/>
            <w:col w:w="1698"/>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916"/>
        <w:gridCol w:w="1995"/>
        <w:gridCol w:w="3344"/>
        <w:gridCol w:w="1460"/>
        <w:gridCol w:w="3974"/>
        <w:gridCol w:w="978"/>
      </w:tblGrid>
      <w:tr>
        <w:trPr>
          <w:trHeight w:val="2210" w:hRule="atLeast"/>
        </w:trPr>
        <w:tc>
          <w:tcPr>
            <w:tcW w:w="384" w:type="dxa"/>
          </w:tcPr>
          <w:p>
            <w:pPr>
              <w:pStyle w:val="TableParagraph"/>
              <w:rPr>
                <w:sz w:val="18"/>
              </w:rPr>
            </w:pPr>
          </w:p>
        </w:tc>
        <w:tc>
          <w:tcPr>
            <w:tcW w:w="2916" w:type="dxa"/>
          </w:tcPr>
          <w:p>
            <w:pPr>
              <w:pStyle w:val="TableParagraph"/>
              <w:spacing w:line="249" w:lineRule="auto"/>
              <w:ind w:left="181" w:right="130"/>
              <w:rPr>
                <w:sz w:val="20"/>
              </w:rPr>
            </w:pPr>
            <w:r>
              <w:rPr>
                <w:sz w:val="20"/>
              </w:rPr>
              <w:t>надпочечниках и при </w:t>
            </w:r>
            <w:r>
              <w:rPr>
                <w:spacing w:val="-2"/>
                <w:sz w:val="20"/>
              </w:rPr>
              <w:t>новообразованиях </w:t>
            </w:r>
            <w:r>
              <w:rPr>
                <w:sz w:val="20"/>
              </w:rPr>
              <w:t>забрюшинного</w:t>
            </w:r>
            <w:r>
              <w:rPr>
                <w:spacing w:val="-13"/>
                <w:sz w:val="20"/>
              </w:rPr>
              <w:t> </w:t>
            </w:r>
            <w:r>
              <w:rPr>
                <w:sz w:val="20"/>
              </w:rPr>
              <w:t>пространства</w:t>
            </w:r>
            <w:r>
              <w:rPr>
                <w:spacing w:val="-12"/>
                <w:sz w:val="20"/>
              </w:rPr>
              <w:t> </w:t>
            </w:r>
            <w:r>
              <w:rPr>
                <w:sz w:val="20"/>
              </w:rPr>
              <w:t>с </w:t>
            </w:r>
            <w:r>
              <w:rPr>
                <w:spacing w:val="-2"/>
                <w:sz w:val="20"/>
              </w:rPr>
              <w:t>использованием робототехники</w:t>
            </w:r>
          </w:p>
        </w:tc>
        <w:tc>
          <w:tcPr>
            <w:tcW w:w="1995" w:type="dxa"/>
          </w:tcPr>
          <w:p>
            <w:pPr>
              <w:pStyle w:val="TableParagraph"/>
              <w:spacing w:line="249" w:lineRule="auto"/>
              <w:ind w:left="477" w:hanging="293"/>
              <w:rPr>
                <w:sz w:val="20"/>
              </w:rPr>
            </w:pPr>
            <w:r>
              <w:rPr>
                <w:sz w:val="20"/>
              </w:rPr>
              <w:t>K86.0</w:t>
            </w:r>
            <w:r>
              <w:rPr>
                <w:spacing w:val="-13"/>
                <w:sz w:val="20"/>
              </w:rPr>
              <w:t> </w:t>
            </w:r>
            <w:r>
              <w:rPr>
                <w:sz w:val="20"/>
              </w:rPr>
              <w:t>-</w:t>
            </w:r>
            <w:r>
              <w:rPr>
                <w:spacing w:val="-12"/>
                <w:sz w:val="20"/>
              </w:rPr>
              <w:t> </w:t>
            </w:r>
            <w:r>
              <w:rPr>
                <w:sz w:val="20"/>
              </w:rPr>
              <w:t>K86.8,</w:t>
            </w:r>
            <w:r>
              <w:rPr>
                <w:spacing w:val="-12"/>
                <w:sz w:val="20"/>
              </w:rPr>
              <w:t> </w:t>
            </w:r>
            <w:r>
              <w:rPr>
                <w:sz w:val="20"/>
              </w:rPr>
              <w:t>E24, E26.0, E27.5</w:t>
            </w:r>
          </w:p>
        </w:tc>
        <w:tc>
          <w:tcPr>
            <w:tcW w:w="3344" w:type="dxa"/>
          </w:tcPr>
          <w:p>
            <w:pPr>
              <w:pStyle w:val="TableParagraph"/>
              <w:spacing w:line="249" w:lineRule="auto"/>
              <w:ind w:left="131" w:right="60"/>
              <w:rPr>
                <w:sz w:val="20"/>
              </w:rPr>
            </w:pPr>
            <w:r>
              <w:rPr>
                <w:sz w:val="20"/>
              </w:rPr>
              <w:t>двенадцатиперстной кишки. Новообразования тонкой кишки. Новообразования толстой кишки. Киста</w:t>
            </w:r>
            <w:r>
              <w:rPr>
                <w:spacing w:val="-13"/>
                <w:sz w:val="20"/>
              </w:rPr>
              <w:t> </w:t>
            </w:r>
            <w:r>
              <w:rPr>
                <w:sz w:val="20"/>
              </w:rPr>
              <w:t>печени.</w:t>
            </w:r>
            <w:r>
              <w:rPr>
                <w:spacing w:val="-12"/>
                <w:sz w:val="20"/>
              </w:rPr>
              <w:t> </w:t>
            </w:r>
            <w:r>
              <w:rPr>
                <w:sz w:val="20"/>
              </w:rPr>
              <w:t>Гемангиома</w:t>
            </w:r>
            <w:r>
              <w:rPr>
                <w:spacing w:val="-13"/>
                <w:sz w:val="20"/>
              </w:rPr>
              <w:t> </w:t>
            </w:r>
            <w:r>
              <w:rPr>
                <w:sz w:val="20"/>
              </w:rPr>
              <w:t>печени. Новообразования поджелудочной железы. Новообразования надпочечника. Киста селезенки.</w:t>
            </w:r>
          </w:p>
          <w:p>
            <w:pPr>
              <w:pStyle w:val="TableParagraph"/>
              <w:spacing w:line="249" w:lineRule="auto"/>
              <w:ind w:left="131" w:right="966"/>
              <w:rPr>
                <w:sz w:val="20"/>
              </w:rPr>
            </w:pPr>
            <w:r>
              <w:rPr>
                <w:sz w:val="20"/>
              </w:rPr>
              <w:t>Неорганное</w:t>
            </w:r>
            <w:r>
              <w:rPr>
                <w:spacing w:val="-13"/>
                <w:sz w:val="20"/>
              </w:rPr>
              <w:t> </w:t>
            </w:r>
            <w:r>
              <w:rPr>
                <w:sz w:val="20"/>
              </w:rPr>
              <w:t>забрюшинное </w:t>
            </w:r>
            <w:r>
              <w:rPr>
                <w:spacing w:val="-2"/>
                <w:sz w:val="20"/>
              </w:rPr>
              <w:t>новообразование</w:t>
            </w:r>
          </w:p>
        </w:tc>
        <w:tc>
          <w:tcPr>
            <w:tcW w:w="1460" w:type="dxa"/>
          </w:tcPr>
          <w:p>
            <w:pPr>
              <w:pStyle w:val="TableParagraph"/>
              <w:rPr>
                <w:sz w:val="18"/>
              </w:rPr>
            </w:pPr>
          </w:p>
        </w:tc>
        <w:tc>
          <w:tcPr>
            <w:tcW w:w="3974" w:type="dxa"/>
          </w:tcPr>
          <w:p>
            <w:pPr>
              <w:pStyle w:val="TableParagraph"/>
              <w:rPr>
                <w:sz w:val="18"/>
              </w:rPr>
            </w:pPr>
          </w:p>
        </w:tc>
        <w:tc>
          <w:tcPr>
            <w:tcW w:w="978" w:type="dxa"/>
          </w:tcPr>
          <w:p>
            <w:pPr>
              <w:pStyle w:val="TableParagraph"/>
              <w:rPr>
                <w:sz w:val="18"/>
              </w:rPr>
            </w:pPr>
          </w:p>
        </w:tc>
      </w:tr>
      <w:tr>
        <w:trPr>
          <w:trHeight w:val="1800" w:hRule="atLeast"/>
        </w:trPr>
        <w:tc>
          <w:tcPr>
            <w:tcW w:w="384" w:type="dxa"/>
          </w:tcPr>
          <w:p>
            <w:pPr>
              <w:pStyle w:val="TableParagraph"/>
              <w:spacing w:before="60"/>
              <w:ind w:left="50"/>
              <w:rPr>
                <w:sz w:val="20"/>
              </w:rPr>
            </w:pPr>
            <w:r>
              <w:rPr>
                <w:spacing w:val="-5"/>
                <w:sz w:val="20"/>
              </w:rPr>
              <w:t>3.</w:t>
            </w:r>
          </w:p>
        </w:tc>
        <w:tc>
          <w:tcPr>
            <w:tcW w:w="2916" w:type="dxa"/>
          </w:tcPr>
          <w:p>
            <w:pPr>
              <w:pStyle w:val="TableParagraph"/>
              <w:spacing w:line="249" w:lineRule="auto" w:before="60"/>
              <w:ind w:left="181" w:right="354"/>
              <w:rPr>
                <w:sz w:val="20"/>
              </w:rPr>
            </w:pPr>
            <w:r>
              <w:rPr>
                <w:spacing w:val="-2"/>
                <w:sz w:val="20"/>
              </w:rPr>
              <w:t>Аутологичные реконструктивно- </w:t>
            </w:r>
            <w:r>
              <w:rPr>
                <w:sz w:val="20"/>
              </w:rPr>
              <w:t>пластические операции по удлинению</w:t>
            </w:r>
            <w:r>
              <w:rPr>
                <w:spacing w:val="-13"/>
                <w:sz w:val="20"/>
              </w:rPr>
              <w:t> </w:t>
            </w:r>
            <w:r>
              <w:rPr>
                <w:sz w:val="20"/>
              </w:rPr>
              <w:t>тонкой</w:t>
            </w:r>
            <w:r>
              <w:rPr>
                <w:spacing w:val="-12"/>
                <w:sz w:val="20"/>
              </w:rPr>
              <w:t> </w:t>
            </w:r>
            <w:r>
              <w:rPr>
                <w:sz w:val="20"/>
              </w:rPr>
              <w:t>кишки</w:t>
            </w:r>
            <w:r>
              <w:rPr>
                <w:spacing w:val="-13"/>
                <w:sz w:val="20"/>
              </w:rPr>
              <w:t> </w:t>
            </w:r>
            <w:r>
              <w:rPr>
                <w:sz w:val="20"/>
              </w:rPr>
              <w:t>у </w:t>
            </w:r>
            <w:r>
              <w:rPr>
                <w:spacing w:val="-2"/>
                <w:sz w:val="20"/>
              </w:rPr>
              <w:t>детей</w:t>
            </w:r>
          </w:p>
        </w:tc>
        <w:tc>
          <w:tcPr>
            <w:tcW w:w="1995" w:type="dxa"/>
          </w:tcPr>
          <w:p>
            <w:pPr>
              <w:pStyle w:val="TableParagraph"/>
              <w:spacing w:before="60"/>
              <w:ind w:left="175"/>
              <w:rPr>
                <w:sz w:val="20"/>
              </w:rPr>
            </w:pPr>
            <w:r>
              <w:rPr>
                <w:sz w:val="20"/>
              </w:rPr>
              <w:t>К90.8,</w:t>
            </w:r>
            <w:r>
              <w:rPr>
                <w:spacing w:val="-5"/>
                <w:sz w:val="20"/>
              </w:rPr>
              <w:t> </w:t>
            </w:r>
            <w:r>
              <w:rPr>
                <w:sz w:val="20"/>
              </w:rPr>
              <w:t>К90.9,</w:t>
            </w:r>
            <w:r>
              <w:rPr>
                <w:spacing w:val="-5"/>
                <w:sz w:val="20"/>
              </w:rPr>
              <w:t> </w:t>
            </w:r>
            <w:r>
              <w:rPr>
                <w:spacing w:val="-2"/>
                <w:sz w:val="20"/>
              </w:rPr>
              <w:t>К91.2</w:t>
            </w:r>
          </w:p>
        </w:tc>
        <w:tc>
          <w:tcPr>
            <w:tcW w:w="3344" w:type="dxa"/>
          </w:tcPr>
          <w:p>
            <w:pPr>
              <w:pStyle w:val="TableParagraph"/>
              <w:spacing w:line="249" w:lineRule="auto" w:before="60"/>
              <w:ind w:left="131" w:right="60"/>
              <w:rPr>
                <w:sz w:val="20"/>
              </w:rPr>
            </w:pPr>
            <w:r>
              <w:rPr>
                <w:sz w:val="20"/>
              </w:rPr>
              <w:t>синдром короткой кишки. Нарушение всасывания после хирургического вмешательства, не классифицированное в других рубриках.</w:t>
            </w:r>
            <w:r>
              <w:rPr>
                <w:spacing w:val="-13"/>
                <w:sz w:val="20"/>
              </w:rPr>
              <w:t> </w:t>
            </w:r>
            <w:r>
              <w:rPr>
                <w:sz w:val="20"/>
              </w:rPr>
              <w:t>Синдром</w:t>
            </w:r>
            <w:r>
              <w:rPr>
                <w:spacing w:val="-12"/>
                <w:sz w:val="20"/>
              </w:rPr>
              <w:t> </w:t>
            </w:r>
            <w:r>
              <w:rPr>
                <w:sz w:val="20"/>
              </w:rPr>
              <w:t>короткой</w:t>
            </w:r>
            <w:r>
              <w:rPr>
                <w:spacing w:val="-13"/>
                <w:sz w:val="20"/>
              </w:rPr>
              <w:t> </w:t>
            </w:r>
            <w:r>
              <w:rPr>
                <w:sz w:val="20"/>
              </w:rPr>
              <w:t>кишки с выраженными явлениями мальдигестии и мальабсорбции</w:t>
            </w:r>
          </w:p>
        </w:tc>
        <w:tc>
          <w:tcPr>
            <w:tcW w:w="1460" w:type="dxa"/>
          </w:tcPr>
          <w:p>
            <w:pPr>
              <w:pStyle w:val="TableParagraph"/>
              <w:spacing w:line="249" w:lineRule="auto" w:before="60"/>
              <w:ind w:left="95"/>
              <w:rPr>
                <w:sz w:val="20"/>
              </w:rPr>
            </w:pPr>
            <w:r>
              <w:rPr>
                <w:spacing w:val="-2"/>
                <w:sz w:val="20"/>
              </w:rPr>
              <w:t>хирургическое лечение</w:t>
            </w:r>
          </w:p>
        </w:tc>
        <w:tc>
          <w:tcPr>
            <w:tcW w:w="3974" w:type="dxa"/>
          </w:tcPr>
          <w:p>
            <w:pPr>
              <w:pStyle w:val="TableParagraph"/>
              <w:spacing w:line="249" w:lineRule="auto" w:before="60"/>
              <w:ind w:left="109" w:right="1303"/>
              <w:rPr>
                <w:sz w:val="20"/>
              </w:rPr>
            </w:pPr>
            <w:r>
              <w:rPr>
                <w:sz w:val="20"/>
              </w:rPr>
              <w:t>последовательная</w:t>
            </w:r>
            <w:r>
              <w:rPr>
                <w:spacing w:val="-13"/>
                <w:sz w:val="20"/>
              </w:rPr>
              <w:t> </w:t>
            </w:r>
            <w:r>
              <w:rPr>
                <w:sz w:val="20"/>
              </w:rPr>
              <w:t>поперечная энтеропластика (STEP)</w:t>
            </w:r>
          </w:p>
        </w:tc>
        <w:tc>
          <w:tcPr>
            <w:tcW w:w="978" w:type="dxa"/>
          </w:tcPr>
          <w:p>
            <w:pPr>
              <w:pStyle w:val="TableParagraph"/>
              <w:spacing w:before="60"/>
              <w:ind w:right="46"/>
              <w:jc w:val="right"/>
              <w:rPr>
                <w:sz w:val="20"/>
              </w:rPr>
            </w:pPr>
            <w:r>
              <w:rPr>
                <w:spacing w:val="-2"/>
                <w:sz w:val="20"/>
              </w:rPr>
              <w:t>942755</w:t>
            </w:r>
          </w:p>
        </w:tc>
      </w:tr>
      <w:tr>
        <w:trPr>
          <w:trHeight w:val="360" w:hRule="atLeast"/>
        </w:trPr>
        <w:tc>
          <w:tcPr>
            <w:tcW w:w="15051" w:type="dxa"/>
            <w:gridSpan w:val="7"/>
          </w:tcPr>
          <w:p>
            <w:pPr>
              <w:pStyle w:val="TableParagraph"/>
              <w:spacing w:before="60"/>
              <w:ind w:left="6486" w:right="6235"/>
              <w:jc w:val="center"/>
              <w:rPr>
                <w:sz w:val="20"/>
              </w:rPr>
            </w:pPr>
            <w:r>
              <w:rPr>
                <w:sz w:val="20"/>
              </w:rPr>
              <w:t>Акушерство</w:t>
            </w:r>
            <w:r>
              <w:rPr>
                <w:spacing w:val="-6"/>
                <w:sz w:val="20"/>
              </w:rPr>
              <w:t> </w:t>
            </w:r>
            <w:r>
              <w:rPr>
                <w:sz w:val="20"/>
              </w:rPr>
              <w:t>и</w:t>
            </w:r>
            <w:r>
              <w:rPr>
                <w:spacing w:val="-8"/>
                <w:sz w:val="20"/>
              </w:rPr>
              <w:t> </w:t>
            </w:r>
            <w:r>
              <w:rPr>
                <w:spacing w:val="-2"/>
                <w:sz w:val="20"/>
              </w:rPr>
              <w:t>гинекология</w:t>
            </w:r>
          </w:p>
        </w:tc>
      </w:tr>
      <w:tr>
        <w:trPr>
          <w:trHeight w:val="840" w:hRule="atLeast"/>
        </w:trPr>
        <w:tc>
          <w:tcPr>
            <w:tcW w:w="384" w:type="dxa"/>
          </w:tcPr>
          <w:p>
            <w:pPr>
              <w:pStyle w:val="TableParagraph"/>
              <w:spacing w:before="60"/>
              <w:ind w:left="50"/>
              <w:rPr>
                <w:sz w:val="20"/>
              </w:rPr>
            </w:pPr>
            <w:r>
              <w:rPr>
                <w:spacing w:val="-5"/>
                <w:sz w:val="20"/>
              </w:rPr>
              <w:t>4.</w:t>
            </w:r>
          </w:p>
        </w:tc>
        <w:tc>
          <w:tcPr>
            <w:tcW w:w="2916" w:type="dxa"/>
            <w:vMerge w:val="restart"/>
          </w:tcPr>
          <w:p>
            <w:pPr>
              <w:pStyle w:val="TableParagraph"/>
              <w:spacing w:line="249" w:lineRule="auto" w:before="60"/>
              <w:ind w:left="181" w:right="130"/>
              <w:rPr>
                <w:sz w:val="20"/>
              </w:rPr>
            </w:pPr>
            <w:r>
              <w:rPr>
                <w:sz w:val="20"/>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w:t>
            </w:r>
            <w:r>
              <w:rPr>
                <w:spacing w:val="-13"/>
                <w:sz w:val="20"/>
              </w:rPr>
              <w:t> </w:t>
            </w:r>
            <w:r>
              <w:rPr>
                <w:sz w:val="20"/>
              </w:rPr>
              <w:t>крестцово-копчиковой тератомы, хорионангиомы, спинно-мозговой грыжи с применением фетальной</w:t>
            </w:r>
          </w:p>
          <w:p>
            <w:pPr>
              <w:pStyle w:val="TableParagraph"/>
              <w:spacing w:line="210" w:lineRule="exact" w:before="11"/>
              <w:ind w:left="181"/>
              <w:rPr>
                <w:sz w:val="20"/>
              </w:rPr>
            </w:pPr>
            <w:r>
              <w:rPr>
                <w:sz w:val="20"/>
              </w:rPr>
              <w:t>хирургии,</w:t>
            </w:r>
            <w:r>
              <w:rPr>
                <w:spacing w:val="-11"/>
                <w:sz w:val="20"/>
              </w:rPr>
              <w:t> </w:t>
            </w:r>
            <w:r>
              <w:rPr>
                <w:sz w:val="20"/>
              </w:rPr>
              <w:t>включая</w:t>
            </w:r>
            <w:r>
              <w:rPr>
                <w:spacing w:val="-9"/>
                <w:sz w:val="20"/>
              </w:rPr>
              <w:t> </w:t>
            </w:r>
            <w:r>
              <w:rPr>
                <w:spacing w:val="-2"/>
                <w:sz w:val="20"/>
              </w:rPr>
              <w:t>лазерную</w:t>
            </w:r>
          </w:p>
        </w:tc>
        <w:tc>
          <w:tcPr>
            <w:tcW w:w="1995" w:type="dxa"/>
          </w:tcPr>
          <w:p>
            <w:pPr>
              <w:pStyle w:val="TableParagraph"/>
              <w:spacing w:line="249" w:lineRule="auto" w:before="60"/>
              <w:ind w:left="770" w:hanging="639"/>
              <w:rPr>
                <w:sz w:val="20"/>
              </w:rPr>
            </w:pPr>
            <w:r>
              <w:rPr>
                <w:sz w:val="20"/>
              </w:rPr>
              <w:t>O43.0,</w:t>
            </w:r>
            <w:r>
              <w:rPr>
                <w:spacing w:val="-13"/>
                <w:sz w:val="20"/>
              </w:rPr>
              <w:t> </w:t>
            </w:r>
            <w:r>
              <w:rPr>
                <w:sz w:val="20"/>
              </w:rPr>
              <w:t>O31.2,</w:t>
            </w:r>
            <w:r>
              <w:rPr>
                <w:spacing w:val="-12"/>
                <w:sz w:val="20"/>
              </w:rPr>
              <w:t> </w:t>
            </w:r>
            <w:r>
              <w:rPr>
                <w:sz w:val="20"/>
              </w:rPr>
              <w:t>O31.8, </w:t>
            </w:r>
            <w:r>
              <w:rPr>
                <w:spacing w:val="-2"/>
                <w:sz w:val="20"/>
              </w:rPr>
              <w:t>P02.3</w:t>
            </w:r>
          </w:p>
        </w:tc>
        <w:tc>
          <w:tcPr>
            <w:tcW w:w="3344" w:type="dxa"/>
          </w:tcPr>
          <w:p>
            <w:pPr>
              <w:pStyle w:val="TableParagraph"/>
              <w:spacing w:line="249" w:lineRule="auto" w:before="60"/>
              <w:ind w:left="131" w:right="826"/>
              <w:rPr>
                <w:sz w:val="20"/>
              </w:rPr>
            </w:pPr>
            <w:r>
              <w:rPr>
                <w:sz w:val="20"/>
              </w:rPr>
              <w:t>монохориальная двойня с синдромом</w:t>
            </w:r>
            <w:r>
              <w:rPr>
                <w:spacing w:val="-13"/>
                <w:sz w:val="20"/>
              </w:rPr>
              <w:t> </w:t>
            </w:r>
            <w:r>
              <w:rPr>
                <w:sz w:val="20"/>
              </w:rPr>
              <w:t>фето-фетальной </w:t>
            </w:r>
            <w:r>
              <w:rPr>
                <w:spacing w:val="-2"/>
                <w:sz w:val="20"/>
              </w:rPr>
              <w:t>трансфузии</w:t>
            </w:r>
          </w:p>
        </w:tc>
        <w:tc>
          <w:tcPr>
            <w:tcW w:w="1460" w:type="dxa"/>
          </w:tcPr>
          <w:p>
            <w:pPr>
              <w:pStyle w:val="TableParagraph"/>
              <w:spacing w:line="249" w:lineRule="auto" w:before="60"/>
              <w:ind w:left="95"/>
              <w:rPr>
                <w:sz w:val="20"/>
              </w:rPr>
            </w:pPr>
            <w:r>
              <w:rPr>
                <w:spacing w:val="-2"/>
                <w:sz w:val="20"/>
              </w:rPr>
              <w:t>хирургическое лечение</w:t>
            </w:r>
          </w:p>
        </w:tc>
        <w:tc>
          <w:tcPr>
            <w:tcW w:w="3974" w:type="dxa"/>
          </w:tcPr>
          <w:p>
            <w:pPr>
              <w:pStyle w:val="TableParagraph"/>
              <w:spacing w:line="249" w:lineRule="auto" w:before="60"/>
              <w:ind w:left="109" w:right="255"/>
              <w:rPr>
                <w:sz w:val="20"/>
              </w:rPr>
            </w:pPr>
            <w:r>
              <w:rPr>
                <w:sz w:val="20"/>
              </w:rPr>
              <w:t>лазерная коагуляция анастомозов при синдроме</w:t>
            </w:r>
            <w:r>
              <w:rPr>
                <w:spacing w:val="-13"/>
                <w:sz w:val="20"/>
              </w:rPr>
              <w:t> </w:t>
            </w:r>
            <w:r>
              <w:rPr>
                <w:sz w:val="20"/>
              </w:rPr>
              <w:t>фето-фетальной</w:t>
            </w:r>
            <w:r>
              <w:rPr>
                <w:spacing w:val="-12"/>
                <w:sz w:val="20"/>
              </w:rPr>
              <w:t> </w:t>
            </w:r>
            <w:r>
              <w:rPr>
                <w:sz w:val="20"/>
              </w:rPr>
              <w:t>трансфузии, </w:t>
            </w:r>
            <w:r>
              <w:rPr>
                <w:spacing w:val="-2"/>
                <w:sz w:val="20"/>
              </w:rPr>
              <w:t>фетоскопия</w:t>
            </w:r>
          </w:p>
        </w:tc>
        <w:tc>
          <w:tcPr>
            <w:tcW w:w="978" w:type="dxa"/>
          </w:tcPr>
          <w:p>
            <w:pPr>
              <w:pStyle w:val="TableParagraph"/>
              <w:spacing w:before="60"/>
              <w:ind w:right="46"/>
              <w:jc w:val="right"/>
              <w:rPr>
                <w:sz w:val="20"/>
              </w:rPr>
            </w:pPr>
            <w:r>
              <w:rPr>
                <w:spacing w:val="-2"/>
                <w:sz w:val="20"/>
              </w:rPr>
              <w:t>245493</w:t>
            </w:r>
          </w:p>
        </w:tc>
      </w:tr>
      <w:tr>
        <w:trPr>
          <w:trHeight w:val="2570" w:hRule="atLeast"/>
        </w:trPr>
        <w:tc>
          <w:tcPr>
            <w:tcW w:w="384" w:type="dxa"/>
          </w:tcPr>
          <w:p>
            <w:pPr>
              <w:pStyle w:val="TableParagraph"/>
              <w:rPr>
                <w:sz w:val="18"/>
              </w:rPr>
            </w:pPr>
          </w:p>
        </w:tc>
        <w:tc>
          <w:tcPr>
            <w:tcW w:w="2916" w:type="dxa"/>
            <w:vMerge/>
            <w:tcBorders>
              <w:top w:val="nil"/>
            </w:tcBorders>
          </w:tcPr>
          <w:p>
            <w:pPr>
              <w:rPr>
                <w:sz w:val="2"/>
                <w:szCs w:val="2"/>
              </w:rPr>
            </w:pPr>
          </w:p>
        </w:tc>
        <w:tc>
          <w:tcPr>
            <w:tcW w:w="1995" w:type="dxa"/>
          </w:tcPr>
          <w:p>
            <w:pPr>
              <w:pStyle w:val="TableParagraph"/>
              <w:spacing w:before="60"/>
              <w:ind w:left="148"/>
              <w:rPr>
                <w:sz w:val="20"/>
              </w:rPr>
            </w:pPr>
            <w:r>
              <w:rPr>
                <w:sz w:val="20"/>
              </w:rPr>
              <w:t>O36.2,</w:t>
            </w:r>
            <w:r>
              <w:rPr>
                <w:spacing w:val="-4"/>
                <w:sz w:val="20"/>
              </w:rPr>
              <w:t> </w:t>
            </w:r>
            <w:r>
              <w:rPr>
                <w:sz w:val="20"/>
              </w:rPr>
              <w:t>O36.0,</w:t>
            </w:r>
            <w:r>
              <w:rPr>
                <w:spacing w:val="-5"/>
                <w:sz w:val="20"/>
              </w:rPr>
              <w:t> </w:t>
            </w:r>
            <w:r>
              <w:rPr>
                <w:spacing w:val="-2"/>
                <w:sz w:val="20"/>
              </w:rPr>
              <w:t>P00.2,</w:t>
            </w:r>
          </w:p>
          <w:p>
            <w:pPr>
              <w:pStyle w:val="TableParagraph"/>
              <w:spacing w:line="249" w:lineRule="auto" w:before="10"/>
              <w:ind w:left="489" w:hanging="233"/>
              <w:rPr>
                <w:sz w:val="20"/>
              </w:rPr>
            </w:pPr>
            <w:r>
              <w:rPr>
                <w:sz w:val="20"/>
              </w:rPr>
              <w:t>P60,</w:t>
            </w:r>
            <w:r>
              <w:rPr>
                <w:spacing w:val="-13"/>
                <w:sz w:val="20"/>
              </w:rPr>
              <w:t> </w:t>
            </w:r>
            <w:r>
              <w:rPr>
                <w:sz w:val="20"/>
              </w:rPr>
              <w:t>P61.8,</w:t>
            </w:r>
            <w:r>
              <w:rPr>
                <w:spacing w:val="-12"/>
                <w:sz w:val="20"/>
              </w:rPr>
              <w:t> </w:t>
            </w:r>
            <w:r>
              <w:rPr>
                <w:sz w:val="20"/>
              </w:rPr>
              <w:t>P56.0, P56.9, P83.2</w:t>
            </w:r>
          </w:p>
        </w:tc>
        <w:tc>
          <w:tcPr>
            <w:tcW w:w="3344" w:type="dxa"/>
          </w:tcPr>
          <w:p>
            <w:pPr>
              <w:pStyle w:val="TableParagraph"/>
              <w:spacing w:before="60"/>
              <w:ind w:left="131"/>
              <w:rPr>
                <w:sz w:val="20"/>
              </w:rPr>
            </w:pPr>
            <w:r>
              <w:rPr>
                <w:sz w:val="20"/>
              </w:rPr>
              <w:t>водянка</w:t>
            </w:r>
            <w:r>
              <w:rPr>
                <w:spacing w:val="-7"/>
                <w:sz w:val="20"/>
              </w:rPr>
              <w:t> </w:t>
            </w:r>
            <w:r>
              <w:rPr>
                <w:sz w:val="20"/>
              </w:rPr>
              <w:t>плода</w:t>
            </w:r>
            <w:r>
              <w:rPr>
                <w:spacing w:val="-8"/>
                <w:sz w:val="20"/>
              </w:rPr>
              <w:t> </w:t>
            </w:r>
            <w:r>
              <w:rPr>
                <w:sz w:val="20"/>
              </w:rPr>
              <w:t>(асцит,</w:t>
            </w:r>
            <w:r>
              <w:rPr>
                <w:spacing w:val="-6"/>
                <w:sz w:val="20"/>
              </w:rPr>
              <w:t> </w:t>
            </w:r>
            <w:r>
              <w:rPr>
                <w:spacing w:val="-2"/>
                <w:sz w:val="20"/>
              </w:rPr>
              <w:t>гидроторакс)</w:t>
            </w:r>
          </w:p>
        </w:tc>
        <w:tc>
          <w:tcPr>
            <w:tcW w:w="1460" w:type="dxa"/>
          </w:tcPr>
          <w:p>
            <w:pPr>
              <w:pStyle w:val="TableParagraph"/>
              <w:spacing w:line="249" w:lineRule="auto" w:before="60"/>
              <w:ind w:left="95"/>
              <w:rPr>
                <w:sz w:val="20"/>
              </w:rPr>
            </w:pPr>
            <w:r>
              <w:rPr>
                <w:spacing w:val="-2"/>
                <w:sz w:val="20"/>
              </w:rPr>
              <w:t>хирургическое лечение</w:t>
            </w:r>
          </w:p>
        </w:tc>
        <w:tc>
          <w:tcPr>
            <w:tcW w:w="3974" w:type="dxa"/>
          </w:tcPr>
          <w:p>
            <w:pPr>
              <w:pStyle w:val="TableParagraph"/>
              <w:spacing w:line="249" w:lineRule="auto" w:before="60"/>
              <w:ind w:left="109" w:right="255"/>
              <w:rPr>
                <w:sz w:val="20"/>
              </w:rPr>
            </w:pPr>
            <w:r>
              <w:rPr>
                <w:sz w:val="20"/>
              </w:rPr>
              <w:t>кордоцентез с определением группы крови</w:t>
            </w:r>
            <w:r>
              <w:rPr>
                <w:spacing w:val="-12"/>
                <w:sz w:val="20"/>
              </w:rPr>
              <w:t> </w:t>
            </w:r>
            <w:r>
              <w:rPr>
                <w:sz w:val="20"/>
              </w:rPr>
              <w:t>и</w:t>
            </w:r>
            <w:r>
              <w:rPr>
                <w:spacing w:val="-12"/>
                <w:sz w:val="20"/>
              </w:rPr>
              <w:t> </w:t>
            </w:r>
            <w:r>
              <w:rPr>
                <w:sz w:val="20"/>
              </w:rPr>
              <w:t>резус-фактора</w:t>
            </w:r>
            <w:r>
              <w:rPr>
                <w:spacing w:val="-11"/>
                <w:sz w:val="20"/>
              </w:rPr>
              <w:t> </w:t>
            </w:r>
            <w:r>
              <w:rPr>
                <w:sz w:val="20"/>
              </w:rPr>
              <w:t>плода,</w:t>
            </w:r>
            <w:r>
              <w:rPr>
                <w:spacing w:val="-10"/>
                <w:sz w:val="20"/>
              </w:rPr>
              <w:t> </w:t>
            </w:r>
            <w:r>
              <w:rPr>
                <w:sz w:val="20"/>
              </w:rPr>
              <w:t>фетального гемоглобина,</w:t>
            </w:r>
            <w:r>
              <w:rPr>
                <w:spacing w:val="-2"/>
                <w:sz w:val="20"/>
              </w:rPr>
              <w:t> </w:t>
            </w:r>
            <w:r>
              <w:rPr>
                <w:sz w:val="20"/>
              </w:rPr>
              <w:t>гематокрита, билирубина</w:t>
            </w:r>
            <w:r>
              <w:rPr>
                <w:spacing w:val="-3"/>
                <w:sz w:val="20"/>
              </w:rPr>
              <w:t> </w:t>
            </w:r>
            <w:r>
              <w:rPr>
                <w:sz w:val="20"/>
              </w:rPr>
              <w:t>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97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120"/>
        <w:gridCol w:w="3278"/>
        <w:gridCol w:w="1465"/>
        <w:gridCol w:w="3657"/>
      </w:tblGrid>
      <w:tr>
        <w:trPr>
          <w:trHeight w:val="2930" w:hRule="atLeast"/>
        </w:trPr>
        <w:tc>
          <w:tcPr>
            <w:tcW w:w="2721" w:type="dxa"/>
          </w:tcPr>
          <w:p>
            <w:pPr>
              <w:pStyle w:val="TableParagraph"/>
              <w:spacing w:line="249" w:lineRule="auto"/>
              <w:ind w:left="50" w:right="155"/>
              <w:rPr>
                <w:sz w:val="20"/>
              </w:rPr>
            </w:pPr>
            <w:r>
              <w:rPr>
                <w:sz w:val="20"/>
              </w:rPr>
              <w:t>коагуляцию анастомозов внутриутробное</w:t>
            </w:r>
            <w:r>
              <w:rPr>
                <w:spacing w:val="-13"/>
                <w:sz w:val="20"/>
              </w:rPr>
              <w:t> </w:t>
            </w:r>
            <w:r>
              <w:rPr>
                <w:sz w:val="20"/>
              </w:rPr>
              <w:t>переливание крови плоду, баллонная тампонада трахеи и другие хирургические методы </w:t>
            </w:r>
            <w:r>
              <w:rPr>
                <w:spacing w:val="-2"/>
                <w:sz w:val="20"/>
              </w:rPr>
              <w:t>лечения</w:t>
            </w:r>
          </w:p>
        </w:tc>
        <w:tc>
          <w:tcPr>
            <w:tcW w:w="2120" w:type="dxa"/>
          </w:tcPr>
          <w:p>
            <w:pPr>
              <w:pStyle w:val="TableParagraph"/>
              <w:spacing w:line="221" w:lineRule="exact"/>
              <w:ind w:left="269"/>
              <w:rPr>
                <w:sz w:val="20"/>
              </w:rPr>
            </w:pPr>
            <w:r>
              <w:rPr>
                <w:sz w:val="20"/>
              </w:rPr>
              <w:t>O33.7,</w:t>
            </w:r>
            <w:r>
              <w:rPr>
                <w:spacing w:val="-4"/>
                <w:sz w:val="20"/>
              </w:rPr>
              <w:t> </w:t>
            </w:r>
            <w:r>
              <w:rPr>
                <w:sz w:val="20"/>
              </w:rPr>
              <w:t>O35.9,</w:t>
            </w:r>
            <w:r>
              <w:rPr>
                <w:spacing w:val="-2"/>
                <w:sz w:val="20"/>
              </w:rPr>
              <w:t> </w:t>
            </w:r>
            <w:r>
              <w:rPr>
                <w:spacing w:val="-4"/>
                <w:sz w:val="20"/>
              </w:rPr>
              <w:t>O40,</w:t>
            </w:r>
          </w:p>
          <w:p>
            <w:pPr>
              <w:pStyle w:val="TableParagraph"/>
              <w:spacing w:line="249" w:lineRule="auto" w:before="10"/>
              <w:ind w:left="75" w:firstLine="194"/>
              <w:rPr>
                <w:sz w:val="20"/>
              </w:rPr>
            </w:pPr>
            <w:r>
              <w:rPr>
                <w:sz w:val="20"/>
              </w:rPr>
              <w:t>Q33.0, Q36.2, Q62, Q64.2,</w:t>
            </w:r>
            <w:r>
              <w:rPr>
                <w:spacing w:val="-13"/>
                <w:sz w:val="20"/>
              </w:rPr>
              <w:t> </w:t>
            </w:r>
            <w:r>
              <w:rPr>
                <w:sz w:val="20"/>
              </w:rPr>
              <w:t>Q03,</w:t>
            </w:r>
            <w:r>
              <w:rPr>
                <w:spacing w:val="-12"/>
                <w:sz w:val="20"/>
              </w:rPr>
              <w:t> </w:t>
            </w:r>
            <w:r>
              <w:rPr>
                <w:sz w:val="20"/>
              </w:rPr>
              <w:t>Q79.0,</w:t>
            </w:r>
            <w:r>
              <w:rPr>
                <w:spacing w:val="-13"/>
                <w:sz w:val="20"/>
              </w:rPr>
              <w:t> </w:t>
            </w:r>
            <w:r>
              <w:rPr>
                <w:sz w:val="20"/>
              </w:rPr>
              <w:t>Q05</w:t>
            </w:r>
          </w:p>
        </w:tc>
        <w:tc>
          <w:tcPr>
            <w:tcW w:w="3278" w:type="dxa"/>
          </w:tcPr>
          <w:p>
            <w:pPr>
              <w:pStyle w:val="TableParagraph"/>
              <w:spacing w:line="249" w:lineRule="auto"/>
              <w:ind w:left="70" w:right="83"/>
              <w:rPr>
                <w:sz w:val="20"/>
              </w:rPr>
            </w:pPr>
            <w:r>
              <w:rPr>
                <w:sz w:val="20"/>
              </w:rPr>
              <w:t>пороки</w:t>
            </w:r>
            <w:r>
              <w:rPr>
                <w:spacing w:val="-13"/>
                <w:sz w:val="20"/>
              </w:rPr>
              <w:t> </w:t>
            </w:r>
            <w:r>
              <w:rPr>
                <w:sz w:val="20"/>
              </w:rPr>
              <w:t>развития</w:t>
            </w:r>
            <w:r>
              <w:rPr>
                <w:spacing w:val="-10"/>
                <w:sz w:val="20"/>
              </w:rPr>
              <w:t> </w:t>
            </w:r>
            <w:r>
              <w:rPr>
                <w:sz w:val="20"/>
              </w:rPr>
              <w:t>плода,</w:t>
            </w:r>
            <w:r>
              <w:rPr>
                <w:spacing w:val="-12"/>
                <w:sz w:val="20"/>
              </w:rPr>
              <w:t> </w:t>
            </w:r>
            <w:r>
              <w:rPr>
                <w:sz w:val="20"/>
              </w:rPr>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w:t>
            </w:r>
            <w:r>
              <w:rPr>
                <w:spacing w:val="-13"/>
                <w:sz w:val="20"/>
              </w:rPr>
              <w:t> </w:t>
            </w:r>
            <w:r>
              <w:rPr>
                <w:sz w:val="20"/>
              </w:rPr>
              <w:t>при</w:t>
            </w:r>
            <w:r>
              <w:rPr>
                <w:spacing w:val="-12"/>
                <w:sz w:val="20"/>
              </w:rPr>
              <w:t> </w:t>
            </w:r>
            <w:r>
              <w:rPr>
                <w:sz w:val="20"/>
              </w:rPr>
              <w:t>диафрагмальной</w:t>
            </w:r>
            <w:r>
              <w:rPr>
                <w:spacing w:val="-13"/>
                <w:sz w:val="20"/>
              </w:rPr>
              <w:t> </w:t>
            </w:r>
            <w:r>
              <w:rPr>
                <w:sz w:val="20"/>
              </w:rPr>
              <w:t>грыже, коагуляция крестцово-копчиковой тератомы, хорионангиомы и оперативное лечение спинно- мозговой</w:t>
            </w:r>
            <w:r>
              <w:rPr>
                <w:spacing w:val="-11"/>
                <w:sz w:val="20"/>
              </w:rPr>
              <w:t> </w:t>
            </w:r>
            <w:r>
              <w:rPr>
                <w:sz w:val="20"/>
              </w:rPr>
              <w:t>грыжи</w:t>
            </w:r>
            <w:r>
              <w:rPr>
                <w:spacing w:val="-11"/>
                <w:sz w:val="20"/>
              </w:rPr>
              <w:t> </w:t>
            </w:r>
            <w:r>
              <w:rPr>
                <w:sz w:val="20"/>
              </w:rPr>
              <w:t>на</w:t>
            </w:r>
            <w:r>
              <w:rPr>
                <w:spacing w:val="-10"/>
                <w:sz w:val="20"/>
              </w:rPr>
              <w:t> </w:t>
            </w:r>
            <w:r>
              <w:rPr>
                <w:sz w:val="20"/>
              </w:rPr>
              <w:t>открытой</w:t>
            </w:r>
            <w:r>
              <w:rPr>
                <w:spacing w:val="-11"/>
                <w:sz w:val="20"/>
              </w:rPr>
              <w:t> </w:t>
            </w:r>
            <w:r>
              <w:rPr>
                <w:sz w:val="20"/>
              </w:rPr>
              <w:t>матке</w:t>
            </w:r>
          </w:p>
        </w:tc>
        <w:tc>
          <w:tcPr>
            <w:tcW w:w="1465" w:type="dxa"/>
          </w:tcPr>
          <w:p>
            <w:pPr>
              <w:pStyle w:val="TableParagraph"/>
              <w:spacing w:line="249" w:lineRule="auto"/>
              <w:ind w:left="99"/>
              <w:rPr>
                <w:sz w:val="20"/>
              </w:rPr>
            </w:pPr>
            <w:r>
              <w:rPr>
                <w:spacing w:val="-2"/>
                <w:sz w:val="20"/>
              </w:rPr>
              <w:t>хирургическое лечение</w:t>
            </w:r>
          </w:p>
        </w:tc>
        <w:tc>
          <w:tcPr>
            <w:tcW w:w="3657" w:type="dxa"/>
          </w:tcPr>
          <w:p>
            <w:pPr>
              <w:pStyle w:val="TableParagraph"/>
              <w:spacing w:line="249" w:lineRule="auto"/>
              <w:ind w:left="108" w:right="181"/>
              <w:rPr>
                <w:sz w:val="20"/>
              </w:rPr>
            </w:pPr>
            <w:r>
              <w:rPr>
                <w:sz w:val="20"/>
              </w:rPr>
              <w:t>антенатальные</w:t>
            </w:r>
            <w:r>
              <w:rPr>
                <w:spacing w:val="-7"/>
                <w:sz w:val="20"/>
              </w:rPr>
              <w:t> </w:t>
            </w:r>
            <w:r>
              <w:rPr>
                <w:sz w:val="20"/>
              </w:rPr>
              <w:t>пункционные</w:t>
            </w:r>
            <w:r>
              <w:rPr>
                <w:spacing w:val="-9"/>
                <w:sz w:val="20"/>
              </w:rPr>
              <w:t> </w:t>
            </w:r>
            <w:r>
              <w:rPr>
                <w:sz w:val="20"/>
              </w:rPr>
              <w:t>методики для обеспечения оттока жидкости с последующим дренированием при состояниях,</w:t>
            </w:r>
            <w:r>
              <w:rPr>
                <w:spacing w:val="-13"/>
                <w:sz w:val="20"/>
              </w:rPr>
              <w:t> </w:t>
            </w:r>
            <w:r>
              <w:rPr>
                <w:sz w:val="20"/>
              </w:rPr>
              <w:t>угрожающих</w:t>
            </w:r>
            <w:r>
              <w:rPr>
                <w:spacing w:val="-12"/>
                <w:sz w:val="20"/>
              </w:rPr>
              <w:t> </w:t>
            </w:r>
            <w:r>
              <w:rPr>
                <w:sz w:val="20"/>
              </w:rPr>
              <w:t>жизни</w:t>
            </w:r>
            <w:r>
              <w:rPr>
                <w:spacing w:val="-13"/>
                <w:sz w:val="20"/>
              </w:rPr>
              <w:t> </w:t>
            </w:r>
            <w:r>
              <w:rPr>
                <w:sz w:val="20"/>
              </w:rPr>
              <w:t>плода, баллонная тампонада трахеи при диафрагмальной грыже, коагуляция крестцово-копчиковой тератомы, хорионангиомы</w:t>
            </w:r>
            <w:r>
              <w:rPr>
                <w:spacing w:val="-13"/>
                <w:sz w:val="20"/>
              </w:rPr>
              <w:t> </w:t>
            </w:r>
            <w:r>
              <w:rPr>
                <w:sz w:val="20"/>
              </w:rPr>
              <w:t>и</w:t>
            </w:r>
            <w:r>
              <w:rPr>
                <w:spacing w:val="-12"/>
                <w:sz w:val="20"/>
              </w:rPr>
              <w:t> </w:t>
            </w:r>
            <w:r>
              <w:rPr>
                <w:sz w:val="20"/>
              </w:rPr>
              <w:t>оперативное</w:t>
            </w:r>
            <w:r>
              <w:rPr>
                <w:spacing w:val="-13"/>
                <w:sz w:val="20"/>
              </w:rPr>
              <w:t> </w:t>
            </w:r>
            <w:r>
              <w:rPr>
                <w:sz w:val="20"/>
              </w:rPr>
              <w:t>лечение спинно-мозговой грыжи на открытой </w:t>
            </w:r>
            <w:r>
              <w:rPr>
                <w:spacing w:val="-2"/>
                <w:sz w:val="20"/>
              </w:rPr>
              <w:t>матке</w:t>
            </w:r>
          </w:p>
        </w:tc>
      </w:tr>
      <w:tr>
        <w:trPr>
          <w:trHeight w:val="3000" w:hRule="atLeast"/>
        </w:trPr>
        <w:tc>
          <w:tcPr>
            <w:tcW w:w="2721" w:type="dxa"/>
          </w:tcPr>
          <w:p>
            <w:pPr>
              <w:pStyle w:val="TableParagraph"/>
              <w:spacing w:line="249" w:lineRule="auto" w:before="60"/>
              <w:ind w:left="50" w:right="72"/>
              <w:rPr>
                <w:sz w:val="20"/>
              </w:rPr>
            </w:pPr>
            <w:r>
              <w:rPr>
                <w:spacing w:val="-2"/>
                <w:sz w:val="20"/>
              </w:rPr>
              <w:t>Хирургическое </w:t>
            </w:r>
            <w:r>
              <w:rPr>
                <w:sz w:val="20"/>
              </w:rPr>
              <w:t>органосохраняющее и </w:t>
            </w:r>
            <w:r>
              <w:rPr>
                <w:spacing w:val="-2"/>
                <w:sz w:val="20"/>
              </w:rPr>
              <w:t>реконструктивно- </w:t>
            </w:r>
            <w:r>
              <w:rPr>
                <w:sz w:val="20"/>
              </w:rPr>
              <w:t>пластическое лечение распространенных форм гигантских опухолей гениталий, смежных органов малого таза и других органов брюшной</w:t>
            </w:r>
            <w:r>
              <w:rPr>
                <w:spacing w:val="-10"/>
                <w:sz w:val="20"/>
              </w:rPr>
              <w:t> </w:t>
            </w:r>
            <w:r>
              <w:rPr>
                <w:sz w:val="20"/>
              </w:rPr>
              <w:t>полости</w:t>
            </w:r>
            <w:r>
              <w:rPr>
                <w:spacing w:val="-10"/>
                <w:sz w:val="20"/>
              </w:rPr>
              <w:t> </w:t>
            </w:r>
            <w:r>
              <w:rPr>
                <w:sz w:val="20"/>
              </w:rPr>
              <w:t>у</w:t>
            </w:r>
            <w:r>
              <w:rPr>
                <w:spacing w:val="-12"/>
                <w:sz w:val="20"/>
              </w:rPr>
              <w:t> </w:t>
            </w:r>
            <w:r>
              <w:rPr>
                <w:sz w:val="20"/>
              </w:rPr>
              <w:t>женщин</w:t>
            </w:r>
            <w:r>
              <w:rPr>
                <w:spacing w:val="-12"/>
                <w:sz w:val="20"/>
              </w:rPr>
              <w:t> </w:t>
            </w:r>
            <w:r>
              <w:rPr>
                <w:sz w:val="20"/>
              </w:rPr>
              <w:t>с </w:t>
            </w:r>
            <w:r>
              <w:rPr>
                <w:spacing w:val="-2"/>
                <w:sz w:val="20"/>
              </w:rPr>
              <w:t>использованием </w:t>
            </w:r>
            <w:r>
              <w:rPr>
                <w:sz w:val="20"/>
              </w:rPr>
              <w:t>лапароскопического и комбинированного доступов</w:t>
            </w:r>
          </w:p>
        </w:tc>
        <w:tc>
          <w:tcPr>
            <w:tcW w:w="2120" w:type="dxa"/>
          </w:tcPr>
          <w:p>
            <w:pPr>
              <w:pStyle w:val="TableParagraph"/>
              <w:spacing w:before="60"/>
              <w:ind w:left="878" w:right="871"/>
              <w:jc w:val="center"/>
              <w:rPr>
                <w:sz w:val="20"/>
              </w:rPr>
            </w:pPr>
            <w:r>
              <w:rPr>
                <w:spacing w:val="-5"/>
                <w:sz w:val="20"/>
              </w:rPr>
              <w:t>N80</w:t>
            </w:r>
          </w:p>
        </w:tc>
        <w:tc>
          <w:tcPr>
            <w:tcW w:w="3278" w:type="dxa"/>
          </w:tcPr>
          <w:p>
            <w:pPr>
              <w:pStyle w:val="TableParagraph"/>
              <w:spacing w:line="249" w:lineRule="auto" w:before="60"/>
              <w:ind w:left="70" w:right="83"/>
              <w:rPr>
                <w:sz w:val="20"/>
              </w:rPr>
            </w:pPr>
            <w:r>
              <w:rPr>
                <w:sz w:val="20"/>
              </w:rPr>
              <w:t>наружный эндометриоз, инфильтративная форма с вовлечением в патологический процесс забрюшинного пространства</w:t>
            </w:r>
            <w:r>
              <w:rPr>
                <w:spacing w:val="-13"/>
                <w:sz w:val="20"/>
              </w:rPr>
              <w:t> </w:t>
            </w:r>
            <w:r>
              <w:rPr>
                <w:sz w:val="20"/>
              </w:rPr>
              <w:t>органов</w:t>
            </w:r>
            <w:r>
              <w:rPr>
                <w:spacing w:val="-12"/>
                <w:sz w:val="20"/>
              </w:rPr>
              <w:t> </w:t>
            </w:r>
            <w:r>
              <w:rPr>
                <w:sz w:val="20"/>
              </w:rPr>
              <w:t>брюшной полости и малого таза</w:t>
            </w:r>
          </w:p>
        </w:tc>
        <w:tc>
          <w:tcPr>
            <w:tcW w:w="1465" w:type="dxa"/>
          </w:tcPr>
          <w:p>
            <w:pPr>
              <w:pStyle w:val="TableParagraph"/>
              <w:spacing w:line="249" w:lineRule="auto" w:before="60"/>
              <w:ind w:left="99"/>
              <w:rPr>
                <w:sz w:val="20"/>
              </w:rPr>
            </w:pPr>
            <w:r>
              <w:rPr>
                <w:spacing w:val="-2"/>
                <w:sz w:val="20"/>
              </w:rPr>
              <w:t>хирургическое лечение</w:t>
            </w:r>
          </w:p>
        </w:tc>
        <w:tc>
          <w:tcPr>
            <w:tcW w:w="3657" w:type="dxa"/>
          </w:tcPr>
          <w:p>
            <w:pPr>
              <w:pStyle w:val="TableParagraph"/>
              <w:spacing w:line="249" w:lineRule="auto" w:before="60"/>
              <w:ind w:left="108" w:right="181"/>
              <w:rPr>
                <w:sz w:val="20"/>
              </w:rPr>
            </w:pPr>
            <w:r>
              <w:rPr>
                <w:sz w:val="20"/>
              </w:rPr>
              <w:t>иссечение очагов инфильтративного эндометриоза,</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7"/>
                <w:sz w:val="20"/>
              </w:rPr>
              <w:t> </w:t>
            </w:r>
            <w:r>
              <w:rPr>
                <w:sz w:val="20"/>
              </w:rPr>
              <w:t>резекцией толстой кишки, или мочеточника, или мочевого пузыря, с одномоментной пластикой пораженного органа с использованием лапароскопического </w:t>
            </w:r>
            <w:r>
              <w:rPr>
                <w:spacing w:val="-2"/>
                <w:sz w:val="20"/>
              </w:rPr>
              <w:t>доступа</w:t>
            </w:r>
          </w:p>
        </w:tc>
      </w:tr>
      <w:tr>
        <w:trPr>
          <w:trHeight w:val="1970" w:hRule="atLeast"/>
        </w:trPr>
        <w:tc>
          <w:tcPr>
            <w:tcW w:w="2721" w:type="dxa"/>
          </w:tcPr>
          <w:p>
            <w:pPr>
              <w:pStyle w:val="TableParagraph"/>
              <w:spacing w:line="240" w:lineRule="atLeast" w:before="30"/>
              <w:ind w:left="50" w:right="85"/>
              <w:rPr>
                <w:sz w:val="20"/>
              </w:rPr>
            </w:pPr>
            <w:r>
              <w:rPr>
                <w:spacing w:val="-2"/>
                <w:sz w:val="20"/>
              </w:rPr>
              <w:t>Хирургическое </w:t>
            </w:r>
            <w:r>
              <w:rPr>
                <w:sz w:val="20"/>
              </w:rPr>
              <w:t>органосохраняющее лечение пороков</w:t>
            </w:r>
            <w:r>
              <w:rPr>
                <w:spacing w:val="-13"/>
                <w:sz w:val="20"/>
              </w:rPr>
              <w:t> </w:t>
            </w:r>
            <w:r>
              <w:rPr>
                <w:sz w:val="20"/>
              </w:rPr>
              <w:t>развития</w:t>
            </w:r>
            <w:r>
              <w:rPr>
                <w:spacing w:val="-12"/>
                <w:sz w:val="20"/>
              </w:rPr>
              <w:t> </w:t>
            </w:r>
            <w:r>
              <w:rPr>
                <w:sz w:val="20"/>
              </w:rPr>
              <w:t>гениталий</w:t>
            </w:r>
            <w:r>
              <w:rPr>
                <w:spacing w:val="-13"/>
                <w:sz w:val="20"/>
              </w:rPr>
              <w:t> </w:t>
            </w:r>
            <w:r>
              <w:rPr>
                <w:sz w:val="20"/>
              </w:rPr>
              <w:t>и мочевыделительной системы у женщин, включая </w:t>
            </w:r>
            <w:r>
              <w:rPr>
                <w:spacing w:val="-2"/>
                <w:sz w:val="20"/>
              </w:rPr>
              <w:t>лапароскопическую сальпинго-стоматопластику, ретроградную</w:t>
            </w:r>
          </w:p>
        </w:tc>
        <w:tc>
          <w:tcPr>
            <w:tcW w:w="2120" w:type="dxa"/>
          </w:tcPr>
          <w:p>
            <w:pPr>
              <w:pStyle w:val="TableParagraph"/>
              <w:spacing w:line="249" w:lineRule="auto" w:before="60"/>
              <w:ind w:left="891" w:hanging="769"/>
              <w:rPr>
                <w:sz w:val="20"/>
              </w:rPr>
            </w:pPr>
            <w:r>
              <w:rPr>
                <w:sz w:val="20"/>
              </w:rPr>
              <w:t>Q43.7,</w:t>
            </w:r>
            <w:r>
              <w:rPr>
                <w:spacing w:val="-13"/>
                <w:sz w:val="20"/>
              </w:rPr>
              <w:t> </w:t>
            </w:r>
            <w:r>
              <w:rPr>
                <w:sz w:val="20"/>
              </w:rPr>
              <w:t>Q50,</w:t>
            </w:r>
            <w:r>
              <w:rPr>
                <w:spacing w:val="-12"/>
                <w:sz w:val="20"/>
              </w:rPr>
              <w:t> </w:t>
            </w:r>
            <w:r>
              <w:rPr>
                <w:sz w:val="20"/>
              </w:rPr>
              <w:t>Q51,</w:t>
            </w:r>
            <w:r>
              <w:rPr>
                <w:spacing w:val="-13"/>
                <w:sz w:val="20"/>
              </w:rPr>
              <w:t> </w:t>
            </w:r>
            <w:r>
              <w:rPr>
                <w:sz w:val="20"/>
              </w:rPr>
              <w:t>Q52, </w:t>
            </w:r>
            <w:r>
              <w:rPr>
                <w:spacing w:val="-4"/>
                <w:sz w:val="20"/>
              </w:rPr>
              <w:t>Q56</w:t>
            </w:r>
          </w:p>
        </w:tc>
        <w:tc>
          <w:tcPr>
            <w:tcW w:w="3278" w:type="dxa"/>
          </w:tcPr>
          <w:p>
            <w:pPr>
              <w:pStyle w:val="TableParagraph"/>
              <w:spacing w:line="249" w:lineRule="auto" w:before="60"/>
              <w:ind w:left="70" w:right="83"/>
              <w:rPr>
                <w:sz w:val="20"/>
              </w:rPr>
            </w:pPr>
            <w:r>
              <w:rPr>
                <w:sz w:val="20"/>
              </w:rPr>
              <w:t>врожденные аномалии (пороки развития)</w:t>
            </w:r>
            <w:r>
              <w:rPr>
                <w:spacing w:val="-8"/>
                <w:sz w:val="20"/>
              </w:rPr>
              <w:t> </w:t>
            </w:r>
            <w:r>
              <w:rPr>
                <w:sz w:val="20"/>
              </w:rPr>
              <w:t>тела</w:t>
            </w:r>
            <w:r>
              <w:rPr>
                <w:spacing w:val="-5"/>
                <w:sz w:val="20"/>
              </w:rPr>
              <w:t> </w:t>
            </w:r>
            <w:r>
              <w:rPr>
                <w:sz w:val="20"/>
              </w:rPr>
              <w:t>и</w:t>
            </w:r>
            <w:r>
              <w:rPr>
                <w:spacing w:val="-8"/>
                <w:sz w:val="20"/>
              </w:rPr>
              <w:t> </w:t>
            </w:r>
            <w:r>
              <w:rPr>
                <w:sz w:val="20"/>
              </w:rPr>
              <w:t>шейки</w:t>
            </w:r>
            <w:r>
              <w:rPr>
                <w:spacing w:val="-8"/>
                <w:sz w:val="20"/>
              </w:rPr>
              <w:t> </w:t>
            </w:r>
            <w:r>
              <w:rPr>
                <w:sz w:val="20"/>
              </w:rPr>
              <w:t>матки,</w:t>
            </w:r>
            <w:r>
              <w:rPr>
                <w:spacing w:val="-8"/>
                <w:sz w:val="20"/>
              </w:rPr>
              <w:t> </w:t>
            </w:r>
            <w:r>
              <w:rPr>
                <w:sz w:val="20"/>
              </w:rPr>
              <w:t>в</w:t>
            </w:r>
            <w:r>
              <w:rPr>
                <w:spacing w:val="-8"/>
                <w:sz w:val="20"/>
              </w:rPr>
              <w:t> </w:t>
            </w:r>
            <w:r>
              <w:rPr>
                <w:sz w:val="20"/>
              </w:rPr>
              <w:t>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TableParagraph"/>
              <w:spacing w:line="210" w:lineRule="exact" w:before="6"/>
              <w:ind w:left="70"/>
              <w:rPr>
                <w:sz w:val="20"/>
              </w:rPr>
            </w:pPr>
            <w:r>
              <w:rPr>
                <w:sz w:val="20"/>
              </w:rPr>
              <w:t>Урогенитальный</w:t>
            </w:r>
            <w:r>
              <w:rPr>
                <w:spacing w:val="-13"/>
                <w:sz w:val="20"/>
              </w:rPr>
              <w:t> </w:t>
            </w:r>
            <w:r>
              <w:rPr>
                <w:sz w:val="20"/>
              </w:rPr>
              <w:t>синус,</w:t>
            </w:r>
            <w:r>
              <w:rPr>
                <w:spacing w:val="-10"/>
                <w:sz w:val="20"/>
              </w:rPr>
              <w:t> с</w:t>
            </w:r>
          </w:p>
        </w:tc>
        <w:tc>
          <w:tcPr>
            <w:tcW w:w="1465" w:type="dxa"/>
          </w:tcPr>
          <w:p>
            <w:pPr>
              <w:pStyle w:val="TableParagraph"/>
              <w:spacing w:line="249" w:lineRule="auto" w:before="60"/>
              <w:ind w:left="99"/>
              <w:rPr>
                <w:sz w:val="20"/>
              </w:rPr>
            </w:pPr>
            <w:r>
              <w:rPr>
                <w:spacing w:val="-2"/>
                <w:sz w:val="20"/>
              </w:rPr>
              <w:t>хирургическое лечение</w:t>
            </w:r>
          </w:p>
        </w:tc>
        <w:tc>
          <w:tcPr>
            <w:tcW w:w="3657" w:type="dxa"/>
          </w:tcPr>
          <w:p>
            <w:pPr>
              <w:pStyle w:val="TableParagraph"/>
              <w:spacing w:line="249" w:lineRule="auto" w:before="60"/>
              <w:ind w:left="108" w:right="35"/>
              <w:rPr>
                <w:sz w:val="20"/>
              </w:rPr>
            </w:pPr>
            <w:r>
              <w:rPr>
                <w:spacing w:val="-2"/>
                <w:sz w:val="20"/>
              </w:rPr>
              <w:t>реконструктивно-пластические, </w:t>
            </w:r>
            <w:r>
              <w:rPr>
                <w:sz w:val="20"/>
              </w:rPr>
              <w:t>органосохраняющие операции на внутренних и наружных половых органах</w:t>
            </w:r>
            <w:r>
              <w:rPr>
                <w:spacing w:val="-13"/>
                <w:sz w:val="20"/>
              </w:rPr>
              <w:t> </w:t>
            </w:r>
            <w:r>
              <w:rPr>
                <w:sz w:val="20"/>
              </w:rPr>
              <w:t>эндоскопическим,</w:t>
            </w:r>
            <w:r>
              <w:rPr>
                <w:spacing w:val="-12"/>
                <w:sz w:val="20"/>
              </w:rPr>
              <w:t> </w:t>
            </w:r>
            <w:r>
              <w:rPr>
                <w:sz w:val="20"/>
              </w:rPr>
              <w:t>влагалищным и абдоминальным доступом и их </w:t>
            </w:r>
            <w:r>
              <w:rPr>
                <w:spacing w:val="-2"/>
                <w:sz w:val="20"/>
              </w:rPr>
              <w:t>комбинацией</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4"/>
        <w:gridCol w:w="2005"/>
        <w:gridCol w:w="3374"/>
        <w:gridCol w:w="1454"/>
        <w:gridCol w:w="3663"/>
      </w:tblGrid>
      <w:tr>
        <w:trPr>
          <w:trHeight w:val="1010" w:hRule="atLeast"/>
        </w:trPr>
        <w:tc>
          <w:tcPr>
            <w:tcW w:w="2774" w:type="dxa"/>
            <w:vMerge w:val="restart"/>
          </w:tcPr>
          <w:p>
            <w:pPr>
              <w:pStyle w:val="TableParagraph"/>
              <w:spacing w:line="249" w:lineRule="auto"/>
              <w:ind w:left="50" w:right="139"/>
              <w:rPr>
                <w:sz w:val="20"/>
              </w:rPr>
            </w:pPr>
            <w:r>
              <w:rPr>
                <w:spacing w:val="-2"/>
                <w:sz w:val="20"/>
              </w:rPr>
              <w:t>гистерорезектоскопию, </w:t>
            </w:r>
            <w:r>
              <w:rPr>
                <w:sz w:val="20"/>
              </w:rPr>
              <w:t>операции влагалищным доступом с </w:t>
            </w:r>
            <w:r>
              <w:rPr>
                <w:spacing w:val="-2"/>
                <w:sz w:val="20"/>
              </w:rPr>
              <w:t>лапароскопической </w:t>
            </w:r>
            <w:r>
              <w:rPr>
                <w:sz w:val="20"/>
              </w:rPr>
              <w:t>ассистенцией,</w:t>
            </w:r>
            <w:r>
              <w:rPr>
                <w:spacing w:val="-13"/>
                <w:sz w:val="20"/>
              </w:rPr>
              <w:t> </w:t>
            </w:r>
            <w:r>
              <w:rPr>
                <w:sz w:val="20"/>
              </w:rPr>
              <w:t>реконструкцию влагалища с использованием синтетических имплантатов, </w:t>
            </w:r>
            <w:r>
              <w:rPr>
                <w:spacing w:val="-2"/>
                <w:sz w:val="20"/>
              </w:rPr>
              <w:t>кольпопоэза</w:t>
            </w:r>
          </w:p>
        </w:tc>
        <w:tc>
          <w:tcPr>
            <w:tcW w:w="2005" w:type="dxa"/>
          </w:tcPr>
          <w:p>
            <w:pPr>
              <w:pStyle w:val="TableParagraph"/>
              <w:rPr>
                <w:sz w:val="18"/>
              </w:rPr>
            </w:pPr>
          </w:p>
        </w:tc>
        <w:tc>
          <w:tcPr>
            <w:tcW w:w="3374" w:type="dxa"/>
          </w:tcPr>
          <w:p>
            <w:pPr>
              <w:pStyle w:val="TableParagraph"/>
              <w:spacing w:line="249" w:lineRule="auto"/>
              <w:ind w:left="132" w:right="36"/>
              <w:rPr>
                <w:sz w:val="20"/>
              </w:rPr>
            </w:pPr>
            <w:r>
              <w:rPr>
                <w:sz w:val="20"/>
              </w:rPr>
              <w:t>врожденной</w:t>
            </w:r>
            <w:r>
              <w:rPr>
                <w:spacing w:val="-13"/>
                <w:sz w:val="20"/>
              </w:rPr>
              <w:t> </w:t>
            </w:r>
            <w:r>
              <w:rPr>
                <w:sz w:val="20"/>
              </w:rPr>
              <w:t>аномалией</w:t>
            </w:r>
            <w:r>
              <w:rPr>
                <w:spacing w:val="-12"/>
                <w:sz w:val="20"/>
              </w:rPr>
              <w:t> </w:t>
            </w:r>
            <w:r>
              <w:rPr>
                <w:sz w:val="20"/>
              </w:rPr>
              <w:t>клитора. Врожденные</w:t>
            </w:r>
            <w:r>
              <w:rPr>
                <w:spacing w:val="-9"/>
                <w:sz w:val="20"/>
              </w:rPr>
              <w:t> </w:t>
            </w:r>
            <w:r>
              <w:rPr>
                <w:sz w:val="20"/>
              </w:rPr>
              <w:t>аномалии</w:t>
            </w:r>
            <w:r>
              <w:rPr>
                <w:spacing w:val="-10"/>
                <w:sz w:val="20"/>
              </w:rPr>
              <w:t> </w:t>
            </w:r>
            <w:r>
              <w:rPr>
                <w:sz w:val="20"/>
              </w:rPr>
              <w:t>вульвы</w:t>
            </w:r>
            <w:r>
              <w:rPr>
                <w:spacing w:val="-9"/>
                <w:sz w:val="20"/>
              </w:rPr>
              <w:t> </w:t>
            </w:r>
            <w:r>
              <w:rPr>
                <w:sz w:val="20"/>
              </w:rPr>
              <w:t>с атопическим расположением половых органов</w:t>
            </w:r>
          </w:p>
        </w:tc>
        <w:tc>
          <w:tcPr>
            <w:tcW w:w="1454" w:type="dxa"/>
          </w:tcPr>
          <w:p>
            <w:pPr>
              <w:pStyle w:val="TableParagraph"/>
              <w:rPr>
                <w:sz w:val="18"/>
              </w:rPr>
            </w:pPr>
          </w:p>
        </w:tc>
        <w:tc>
          <w:tcPr>
            <w:tcW w:w="3663" w:type="dxa"/>
          </w:tcPr>
          <w:p>
            <w:pPr>
              <w:pStyle w:val="TableParagraph"/>
              <w:rPr>
                <w:sz w:val="18"/>
              </w:rPr>
            </w:pPr>
          </w:p>
        </w:tc>
      </w:tr>
      <w:tr>
        <w:trPr>
          <w:trHeight w:val="2040" w:hRule="atLeast"/>
        </w:trPr>
        <w:tc>
          <w:tcPr>
            <w:tcW w:w="2774" w:type="dxa"/>
            <w:vMerge/>
            <w:tcBorders>
              <w:top w:val="nil"/>
            </w:tcBorders>
          </w:tcPr>
          <w:p>
            <w:pPr>
              <w:rPr>
                <w:sz w:val="2"/>
                <w:szCs w:val="2"/>
              </w:rPr>
            </w:pPr>
          </w:p>
        </w:tc>
        <w:tc>
          <w:tcPr>
            <w:tcW w:w="2005" w:type="dxa"/>
          </w:tcPr>
          <w:p>
            <w:pPr>
              <w:pStyle w:val="TableParagraph"/>
              <w:rPr>
                <w:sz w:val="18"/>
              </w:rPr>
            </w:pPr>
          </w:p>
        </w:tc>
        <w:tc>
          <w:tcPr>
            <w:tcW w:w="3374" w:type="dxa"/>
          </w:tcPr>
          <w:p>
            <w:pPr>
              <w:pStyle w:val="TableParagraph"/>
              <w:spacing w:line="249" w:lineRule="auto" w:before="60"/>
              <w:ind w:left="132" w:right="36"/>
              <w:rPr>
                <w:sz w:val="20"/>
              </w:rPr>
            </w:pPr>
            <w:r>
              <w:rPr>
                <w:sz w:val="20"/>
              </w:rPr>
              <w:t>врожденное отсутствие влагалища, замкнутое</w:t>
            </w:r>
            <w:r>
              <w:rPr>
                <w:spacing w:val="-13"/>
                <w:sz w:val="20"/>
              </w:rPr>
              <w:t> </w:t>
            </w:r>
            <w:r>
              <w:rPr>
                <w:sz w:val="20"/>
              </w:rPr>
              <w:t>рудиментарное</w:t>
            </w:r>
            <w:r>
              <w:rPr>
                <w:spacing w:val="-12"/>
                <w:sz w:val="20"/>
              </w:rPr>
              <w:t> </w:t>
            </w:r>
            <w:r>
              <w:rPr>
                <w:sz w:val="20"/>
              </w:rPr>
              <w:t>влагалище при удвоении матки и влагалища</w:t>
            </w:r>
          </w:p>
        </w:tc>
        <w:tc>
          <w:tcPr>
            <w:tcW w:w="1454" w:type="dxa"/>
          </w:tcPr>
          <w:p>
            <w:pPr>
              <w:pStyle w:val="TableParagraph"/>
              <w:spacing w:line="249" w:lineRule="auto" w:before="60"/>
              <w:ind w:left="65"/>
              <w:rPr>
                <w:sz w:val="20"/>
              </w:rPr>
            </w:pPr>
            <w:r>
              <w:rPr>
                <w:spacing w:val="-2"/>
                <w:sz w:val="20"/>
              </w:rPr>
              <w:t>комбинирован- </w:t>
            </w:r>
            <w:r>
              <w:rPr>
                <w:sz w:val="20"/>
              </w:rPr>
              <w:t>ное лечение</w:t>
            </w:r>
          </w:p>
        </w:tc>
        <w:tc>
          <w:tcPr>
            <w:tcW w:w="3663" w:type="dxa"/>
          </w:tcPr>
          <w:p>
            <w:pPr>
              <w:pStyle w:val="TableParagraph"/>
              <w:spacing w:line="249" w:lineRule="auto" w:before="60"/>
              <w:ind w:left="85" w:right="48"/>
              <w:rPr>
                <w:sz w:val="20"/>
              </w:rPr>
            </w:pPr>
            <w:r>
              <w:rPr>
                <w:sz w:val="20"/>
              </w:rPr>
              <w:t>коррекция</w:t>
            </w:r>
            <w:r>
              <w:rPr>
                <w:spacing w:val="-13"/>
                <w:sz w:val="20"/>
              </w:rPr>
              <w:t> </w:t>
            </w:r>
            <w:r>
              <w:rPr>
                <w:sz w:val="20"/>
              </w:rPr>
              <w:t>пороков</w:t>
            </w:r>
            <w:r>
              <w:rPr>
                <w:spacing w:val="-12"/>
                <w:sz w:val="20"/>
              </w:rPr>
              <w:t> </w:t>
            </w:r>
            <w:r>
              <w:rPr>
                <w:sz w:val="20"/>
              </w:rPr>
              <w:t>развития</w:t>
            </w:r>
            <w:r>
              <w:rPr>
                <w:spacing w:val="-13"/>
                <w:sz w:val="20"/>
              </w:rPr>
              <w:t> </w:t>
            </w:r>
            <w:r>
              <w:rPr>
                <w:sz w:val="20"/>
              </w:rPr>
              <w:t>влагалища методом комплексного кольпопоэза с применением реконструктивно- пластических операций лапароскопическим доступом,</w:t>
            </w:r>
          </w:p>
          <w:p>
            <w:pPr>
              <w:pStyle w:val="TableParagraph"/>
              <w:spacing w:line="249" w:lineRule="auto" w:before="5"/>
              <w:ind w:left="85" w:right="742"/>
              <w:jc w:val="both"/>
              <w:rPr>
                <w:sz w:val="20"/>
              </w:rPr>
            </w:pPr>
            <w:r>
              <w:rPr>
                <w:sz w:val="20"/>
              </w:rPr>
              <w:t>с аутотрансплантацией тканей и последующим индивидуальным подбором</w:t>
            </w:r>
            <w:r>
              <w:rPr>
                <w:spacing w:val="-11"/>
                <w:sz w:val="20"/>
              </w:rPr>
              <w:t> </w:t>
            </w:r>
            <w:r>
              <w:rPr>
                <w:sz w:val="20"/>
              </w:rPr>
              <w:t>гормональной</w:t>
            </w:r>
            <w:r>
              <w:rPr>
                <w:spacing w:val="-10"/>
                <w:sz w:val="20"/>
              </w:rPr>
              <w:t> </w:t>
            </w:r>
            <w:r>
              <w:rPr>
                <w:spacing w:val="-2"/>
                <w:sz w:val="20"/>
              </w:rPr>
              <w:t>терапии</w:t>
            </w:r>
          </w:p>
        </w:tc>
      </w:tr>
      <w:tr>
        <w:trPr>
          <w:trHeight w:val="1080" w:hRule="atLeast"/>
        </w:trPr>
        <w:tc>
          <w:tcPr>
            <w:tcW w:w="2774" w:type="dxa"/>
          </w:tcPr>
          <w:p>
            <w:pPr>
              <w:pStyle w:val="TableParagraph"/>
              <w:rPr>
                <w:sz w:val="18"/>
              </w:rPr>
            </w:pPr>
          </w:p>
        </w:tc>
        <w:tc>
          <w:tcPr>
            <w:tcW w:w="2005" w:type="dxa"/>
          </w:tcPr>
          <w:p>
            <w:pPr>
              <w:pStyle w:val="TableParagraph"/>
              <w:rPr>
                <w:sz w:val="18"/>
              </w:rPr>
            </w:pPr>
          </w:p>
        </w:tc>
        <w:tc>
          <w:tcPr>
            <w:tcW w:w="3374" w:type="dxa"/>
          </w:tcPr>
          <w:p>
            <w:pPr>
              <w:pStyle w:val="TableParagraph"/>
              <w:spacing w:line="252" w:lineRule="auto" w:before="60"/>
              <w:ind w:left="132" w:right="445"/>
              <w:rPr>
                <w:sz w:val="20"/>
              </w:rPr>
            </w:pPr>
            <w:r>
              <w:rPr>
                <w:sz w:val="20"/>
              </w:rPr>
              <w:t>женский</w:t>
            </w:r>
            <w:r>
              <w:rPr>
                <w:spacing w:val="-13"/>
                <w:sz w:val="20"/>
              </w:rPr>
              <w:t> </w:t>
            </w:r>
            <w:r>
              <w:rPr>
                <w:sz w:val="20"/>
              </w:rPr>
              <w:t>псевдогермафродитизм неопределенность пола</w:t>
            </w:r>
          </w:p>
        </w:tc>
        <w:tc>
          <w:tcPr>
            <w:tcW w:w="1454" w:type="dxa"/>
          </w:tcPr>
          <w:p>
            <w:pPr>
              <w:pStyle w:val="TableParagraph"/>
              <w:spacing w:line="252" w:lineRule="auto" w:before="60"/>
              <w:ind w:left="65"/>
              <w:rPr>
                <w:sz w:val="20"/>
              </w:rPr>
            </w:pPr>
            <w:r>
              <w:rPr>
                <w:spacing w:val="-2"/>
                <w:sz w:val="20"/>
              </w:rPr>
              <w:t>хирургическое лечение</w:t>
            </w:r>
          </w:p>
        </w:tc>
        <w:tc>
          <w:tcPr>
            <w:tcW w:w="3663" w:type="dxa"/>
          </w:tcPr>
          <w:p>
            <w:pPr>
              <w:pStyle w:val="TableParagraph"/>
              <w:spacing w:line="249" w:lineRule="auto" w:before="60"/>
              <w:ind w:left="85" w:right="48"/>
              <w:rPr>
                <w:sz w:val="20"/>
              </w:rPr>
            </w:pPr>
            <w:r>
              <w:rPr>
                <w:sz w:val="20"/>
              </w:rPr>
              <w:t>феминизирующая</w:t>
            </w:r>
            <w:r>
              <w:rPr>
                <w:spacing w:val="-13"/>
                <w:sz w:val="20"/>
              </w:rPr>
              <w:t> </w:t>
            </w:r>
            <w:r>
              <w:rPr>
                <w:sz w:val="20"/>
              </w:rPr>
              <w:t>пластика</w:t>
            </w:r>
            <w:r>
              <w:rPr>
                <w:spacing w:val="-12"/>
                <w:sz w:val="20"/>
              </w:rPr>
              <w:t> </w:t>
            </w:r>
            <w:r>
              <w:rPr>
                <w:sz w:val="20"/>
              </w:rPr>
              <w:t>наружных половых органов и формирование влагалища с использованием лапароскопического доступа</w:t>
            </w:r>
          </w:p>
        </w:tc>
      </w:tr>
      <w:tr>
        <w:trPr>
          <w:trHeight w:val="1320" w:hRule="atLeast"/>
        </w:trPr>
        <w:tc>
          <w:tcPr>
            <w:tcW w:w="2774" w:type="dxa"/>
          </w:tcPr>
          <w:p>
            <w:pPr>
              <w:pStyle w:val="TableParagraph"/>
              <w:rPr>
                <w:sz w:val="18"/>
              </w:rPr>
            </w:pPr>
          </w:p>
        </w:tc>
        <w:tc>
          <w:tcPr>
            <w:tcW w:w="2005" w:type="dxa"/>
          </w:tcPr>
          <w:p>
            <w:pPr>
              <w:pStyle w:val="TableParagraph"/>
              <w:rPr>
                <w:sz w:val="18"/>
              </w:rPr>
            </w:pPr>
          </w:p>
        </w:tc>
        <w:tc>
          <w:tcPr>
            <w:tcW w:w="3374" w:type="dxa"/>
          </w:tcPr>
          <w:p>
            <w:pPr>
              <w:pStyle w:val="TableParagraph"/>
              <w:rPr>
                <w:sz w:val="18"/>
              </w:rPr>
            </w:pPr>
          </w:p>
        </w:tc>
        <w:tc>
          <w:tcPr>
            <w:tcW w:w="1454" w:type="dxa"/>
          </w:tcPr>
          <w:p>
            <w:pPr>
              <w:pStyle w:val="TableParagraph"/>
              <w:spacing w:line="249" w:lineRule="auto" w:before="60"/>
              <w:ind w:left="65"/>
              <w:rPr>
                <w:sz w:val="20"/>
              </w:rPr>
            </w:pPr>
            <w:r>
              <w:rPr>
                <w:spacing w:val="-2"/>
                <w:sz w:val="20"/>
              </w:rPr>
              <w:t>комбинирован- </w:t>
            </w:r>
            <w:r>
              <w:rPr>
                <w:sz w:val="20"/>
              </w:rPr>
              <w:t>ное лечение</w:t>
            </w:r>
          </w:p>
        </w:tc>
        <w:tc>
          <w:tcPr>
            <w:tcW w:w="3663" w:type="dxa"/>
          </w:tcPr>
          <w:p>
            <w:pPr>
              <w:pStyle w:val="TableParagraph"/>
              <w:spacing w:line="249" w:lineRule="auto" w:before="60"/>
              <w:ind w:left="85" w:right="48"/>
              <w:rPr>
                <w:sz w:val="20"/>
              </w:rPr>
            </w:pPr>
            <w:r>
              <w:rPr>
                <w:sz w:val="20"/>
              </w:rPr>
              <w:t>хирургическое удаление гонад, формирование</w:t>
            </w:r>
            <w:r>
              <w:rPr>
                <w:spacing w:val="-13"/>
                <w:sz w:val="20"/>
              </w:rPr>
              <w:t> </w:t>
            </w:r>
            <w:r>
              <w:rPr>
                <w:sz w:val="20"/>
              </w:rPr>
              <w:t>влагалища</w:t>
            </w:r>
            <w:r>
              <w:rPr>
                <w:spacing w:val="-12"/>
                <w:sz w:val="20"/>
              </w:rPr>
              <w:t> </w:t>
            </w:r>
            <w:r>
              <w:rPr>
                <w:sz w:val="20"/>
              </w:rPr>
              <w:t>методом комплексного кольпопоэза с последующим индивидуальным подбором гормональной терапии</w:t>
            </w:r>
          </w:p>
        </w:tc>
      </w:tr>
      <w:tr>
        <w:trPr>
          <w:trHeight w:val="1800" w:hRule="atLeast"/>
        </w:trPr>
        <w:tc>
          <w:tcPr>
            <w:tcW w:w="2774" w:type="dxa"/>
            <w:vMerge w:val="restart"/>
          </w:tcPr>
          <w:p>
            <w:pPr>
              <w:pStyle w:val="TableParagraph"/>
              <w:spacing w:line="249" w:lineRule="auto" w:before="60"/>
              <w:ind w:left="50" w:right="492"/>
              <w:rPr>
                <w:sz w:val="20"/>
              </w:rPr>
            </w:pPr>
            <w:r>
              <w:rPr>
                <w:sz w:val="20"/>
              </w:rPr>
              <w:t>Комплексное</w:t>
            </w:r>
            <w:r>
              <w:rPr>
                <w:spacing w:val="-13"/>
                <w:sz w:val="20"/>
              </w:rPr>
              <w:t> </w:t>
            </w:r>
            <w:r>
              <w:rPr>
                <w:sz w:val="20"/>
              </w:rPr>
              <w:t>лечение</w:t>
            </w:r>
            <w:r>
              <w:rPr>
                <w:spacing w:val="-12"/>
                <w:sz w:val="20"/>
              </w:rPr>
              <w:t> </w:t>
            </w:r>
            <w:r>
              <w:rPr>
                <w:sz w:val="20"/>
              </w:rPr>
              <w:t>при задержке полового созревания у женщин, </w:t>
            </w:r>
            <w:r>
              <w:rPr>
                <w:spacing w:val="-2"/>
                <w:sz w:val="20"/>
              </w:rPr>
              <w:t>подтвержденной </w:t>
            </w:r>
            <w:r>
              <w:rPr>
                <w:sz w:val="20"/>
              </w:rPr>
              <w:t>молекулярно- и </w:t>
            </w:r>
            <w:r>
              <w:rPr>
                <w:spacing w:val="-2"/>
                <w:sz w:val="20"/>
              </w:rPr>
              <w:t>иммуногенетическими </w:t>
            </w:r>
            <w:r>
              <w:rPr>
                <w:sz w:val="20"/>
              </w:rPr>
              <w:t>методами, включающее </w:t>
            </w:r>
            <w:r>
              <w:rPr>
                <w:spacing w:val="-2"/>
                <w:sz w:val="20"/>
              </w:rPr>
              <w:t>гормональные, иммунологические,</w:t>
            </w:r>
          </w:p>
        </w:tc>
        <w:tc>
          <w:tcPr>
            <w:tcW w:w="2005" w:type="dxa"/>
          </w:tcPr>
          <w:p>
            <w:pPr>
              <w:pStyle w:val="TableParagraph"/>
              <w:spacing w:before="60"/>
              <w:ind w:left="175"/>
              <w:rPr>
                <w:sz w:val="20"/>
              </w:rPr>
            </w:pPr>
            <w:r>
              <w:rPr>
                <w:sz w:val="20"/>
              </w:rPr>
              <w:t>E23.0,</w:t>
            </w:r>
            <w:r>
              <w:rPr>
                <w:spacing w:val="-6"/>
                <w:sz w:val="20"/>
              </w:rPr>
              <w:t> </w:t>
            </w:r>
            <w:r>
              <w:rPr>
                <w:sz w:val="20"/>
              </w:rPr>
              <w:t>E28.3,</w:t>
            </w:r>
            <w:r>
              <w:rPr>
                <w:spacing w:val="-3"/>
                <w:sz w:val="20"/>
              </w:rPr>
              <w:t> </w:t>
            </w:r>
            <w:r>
              <w:rPr>
                <w:spacing w:val="-2"/>
                <w:sz w:val="20"/>
              </w:rPr>
              <w:t>E30.0,</w:t>
            </w:r>
          </w:p>
          <w:p>
            <w:pPr>
              <w:pStyle w:val="TableParagraph"/>
              <w:spacing w:before="10"/>
              <w:ind w:left="175"/>
              <w:rPr>
                <w:sz w:val="20"/>
              </w:rPr>
            </w:pPr>
            <w:r>
              <w:rPr>
                <w:sz w:val="20"/>
              </w:rPr>
              <w:t>E30.9,</w:t>
            </w:r>
            <w:r>
              <w:rPr>
                <w:spacing w:val="-6"/>
                <w:sz w:val="20"/>
              </w:rPr>
              <w:t> </w:t>
            </w:r>
            <w:r>
              <w:rPr>
                <w:sz w:val="20"/>
              </w:rPr>
              <w:t>E34.5,</w:t>
            </w:r>
            <w:r>
              <w:rPr>
                <w:spacing w:val="-3"/>
                <w:sz w:val="20"/>
              </w:rPr>
              <w:t> </w:t>
            </w:r>
            <w:r>
              <w:rPr>
                <w:spacing w:val="-2"/>
                <w:sz w:val="20"/>
              </w:rPr>
              <w:t>E89.3,</w:t>
            </w:r>
          </w:p>
          <w:p>
            <w:pPr>
              <w:pStyle w:val="TableParagraph"/>
              <w:spacing w:before="11"/>
              <w:ind w:left="216"/>
              <w:rPr>
                <w:sz w:val="20"/>
              </w:rPr>
            </w:pPr>
            <w:r>
              <w:rPr>
                <w:sz w:val="20"/>
              </w:rPr>
              <w:t>Q50.0,</w:t>
            </w:r>
            <w:r>
              <w:rPr>
                <w:spacing w:val="-4"/>
                <w:sz w:val="20"/>
              </w:rPr>
              <w:t> </w:t>
            </w:r>
            <w:r>
              <w:rPr>
                <w:sz w:val="20"/>
              </w:rPr>
              <w:t>Q87.1,</w:t>
            </w:r>
            <w:r>
              <w:rPr>
                <w:spacing w:val="-5"/>
                <w:sz w:val="20"/>
              </w:rPr>
              <w:t> </w:t>
            </w:r>
            <w:r>
              <w:rPr>
                <w:spacing w:val="-4"/>
                <w:sz w:val="20"/>
              </w:rPr>
              <w:t>Q96,</w:t>
            </w:r>
          </w:p>
          <w:p>
            <w:pPr>
              <w:pStyle w:val="TableParagraph"/>
              <w:spacing w:line="249" w:lineRule="auto" w:before="10"/>
              <w:ind w:left="168" w:hanging="27"/>
              <w:rPr>
                <w:sz w:val="20"/>
              </w:rPr>
            </w:pPr>
            <w:r>
              <w:rPr>
                <w:sz w:val="20"/>
              </w:rPr>
              <w:t>Q97.2,</w:t>
            </w:r>
            <w:r>
              <w:rPr>
                <w:spacing w:val="-13"/>
                <w:sz w:val="20"/>
              </w:rPr>
              <w:t> </w:t>
            </w:r>
            <w:r>
              <w:rPr>
                <w:sz w:val="20"/>
              </w:rPr>
              <w:t>Q97.3,</w:t>
            </w:r>
            <w:r>
              <w:rPr>
                <w:spacing w:val="-12"/>
                <w:sz w:val="20"/>
              </w:rPr>
              <w:t> </w:t>
            </w:r>
            <w:r>
              <w:rPr>
                <w:sz w:val="20"/>
              </w:rPr>
              <w:t>Q97.8, Q97.9,</w:t>
            </w:r>
            <w:r>
              <w:rPr>
                <w:spacing w:val="-4"/>
                <w:sz w:val="20"/>
              </w:rPr>
              <w:t> </w:t>
            </w:r>
            <w:r>
              <w:rPr>
                <w:sz w:val="20"/>
              </w:rPr>
              <w:t>Q99.0,</w:t>
            </w:r>
            <w:r>
              <w:rPr>
                <w:spacing w:val="-5"/>
                <w:sz w:val="20"/>
              </w:rPr>
              <w:t> </w:t>
            </w:r>
            <w:r>
              <w:rPr>
                <w:spacing w:val="-4"/>
                <w:sz w:val="20"/>
              </w:rPr>
              <w:t>Q99.1</w:t>
            </w:r>
          </w:p>
        </w:tc>
        <w:tc>
          <w:tcPr>
            <w:tcW w:w="3374" w:type="dxa"/>
          </w:tcPr>
          <w:p>
            <w:pPr>
              <w:pStyle w:val="TableParagraph"/>
              <w:spacing w:line="249" w:lineRule="auto" w:before="60"/>
              <w:ind w:left="132" w:right="445"/>
              <w:rPr>
                <w:sz w:val="20"/>
              </w:rPr>
            </w:pPr>
            <w:r>
              <w:rPr>
                <w:sz w:val="20"/>
              </w:rPr>
              <w:t>задержка полового созревания, обусловленная первичным эстрогенным дефицитом, в том числе</w:t>
            </w:r>
            <w:r>
              <w:rPr>
                <w:spacing w:val="-9"/>
                <w:sz w:val="20"/>
              </w:rPr>
              <w:t> </w:t>
            </w:r>
            <w:r>
              <w:rPr>
                <w:sz w:val="20"/>
              </w:rPr>
              <w:t>при</w:t>
            </w:r>
            <w:r>
              <w:rPr>
                <w:spacing w:val="-12"/>
                <w:sz w:val="20"/>
              </w:rPr>
              <w:t> </w:t>
            </w:r>
            <w:r>
              <w:rPr>
                <w:sz w:val="20"/>
              </w:rPr>
              <w:t>наличии</w:t>
            </w:r>
            <w:r>
              <w:rPr>
                <w:spacing w:val="-12"/>
                <w:sz w:val="20"/>
              </w:rPr>
              <w:t> </w:t>
            </w:r>
            <w:r>
              <w:rPr>
                <w:sz w:val="20"/>
              </w:rPr>
              <w:t>мужской</w:t>
            </w:r>
            <w:r>
              <w:rPr>
                <w:spacing w:val="-10"/>
                <w:sz w:val="20"/>
              </w:rPr>
              <w:t> </w:t>
            </w:r>
            <w:r>
              <w:rPr>
                <w:sz w:val="20"/>
              </w:rPr>
              <w:t>(Y) хромосомы в кариотипе</w:t>
            </w:r>
          </w:p>
        </w:tc>
        <w:tc>
          <w:tcPr>
            <w:tcW w:w="1454" w:type="dxa"/>
          </w:tcPr>
          <w:p>
            <w:pPr>
              <w:pStyle w:val="TableParagraph"/>
              <w:spacing w:line="249" w:lineRule="auto" w:before="60"/>
              <w:ind w:left="65"/>
              <w:rPr>
                <w:sz w:val="20"/>
              </w:rPr>
            </w:pPr>
            <w:r>
              <w:rPr>
                <w:spacing w:val="-2"/>
                <w:sz w:val="20"/>
              </w:rPr>
              <w:t>хирургическое лечение</w:t>
            </w:r>
          </w:p>
        </w:tc>
        <w:tc>
          <w:tcPr>
            <w:tcW w:w="3663" w:type="dxa"/>
          </w:tcPr>
          <w:p>
            <w:pPr>
              <w:pStyle w:val="TableParagraph"/>
              <w:spacing w:line="249" w:lineRule="auto" w:before="60"/>
              <w:ind w:left="85" w:right="48"/>
              <w:rPr>
                <w:sz w:val="20"/>
              </w:rPr>
            </w:pPr>
            <w:r>
              <w:rPr>
                <w:sz w:val="20"/>
              </w:rPr>
              <w:t>удаление</w:t>
            </w:r>
            <w:r>
              <w:rPr>
                <w:spacing w:val="-13"/>
                <w:sz w:val="20"/>
              </w:rPr>
              <w:t> </w:t>
            </w:r>
            <w:r>
              <w:rPr>
                <w:sz w:val="20"/>
              </w:rPr>
              <w:t>половых</w:t>
            </w:r>
            <w:r>
              <w:rPr>
                <w:spacing w:val="-12"/>
                <w:sz w:val="20"/>
              </w:rPr>
              <w:t> </w:t>
            </w:r>
            <w:r>
              <w:rPr>
                <w:sz w:val="20"/>
              </w:rPr>
              <w:t>желез</w:t>
            </w:r>
            <w:r>
              <w:rPr>
                <w:spacing w:val="-13"/>
                <w:sz w:val="20"/>
              </w:rPr>
              <w:t> </w:t>
            </w:r>
            <w:r>
              <w:rPr>
                <w:sz w:val="20"/>
              </w:rPr>
              <w:t>(дисгенетичных гонад, тестикулов) с использованием лапароскопического доступа, </w:t>
            </w:r>
            <w:r>
              <w:rPr>
                <w:spacing w:val="-2"/>
                <w:sz w:val="20"/>
              </w:rPr>
              <w:t>реконструктивно-пластические </w:t>
            </w:r>
            <w:r>
              <w:rPr>
                <w:sz w:val="20"/>
              </w:rPr>
              <w:t>феминизирующие операции с последующим подбором гормонального </w:t>
            </w:r>
            <w:r>
              <w:rPr>
                <w:spacing w:val="-2"/>
                <w:sz w:val="20"/>
              </w:rPr>
              <w:t>лечения</w:t>
            </w:r>
          </w:p>
        </w:tc>
      </w:tr>
      <w:tr>
        <w:trPr>
          <w:trHeight w:val="530" w:hRule="atLeast"/>
        </w:trPr>
        <w:tc>
          <w:tcPr>
            <w:tcW w:w="2774" w:type="dxa"/>
            <w:vMerge/>
            <w:tcBorders>
              <w:top w:val="nil"/>
            </w:tcBorders>
          </w:tcPr>
          <w:p>
            <w:pPr>
              <w:rPr>
                <w:sz w:val="2"/>
                <w:szCs w:val="2"/>
              </w:rPr>
            </w:pPr>
          </w:p>
        </w:tc>
        <w:tc>
          <w:tcPr>
            <w:tcW w:w="2005" w:type="dxa"/>
          </w:tcPr>
          <w:p>
            <w:pPr>
              <w:pStyle w:val="TableParagraph"/>
              <w:rPr>
                <w:sz w:val="18"/>
              </w:rPr>
            </w:pPr>
          </w:p>
        </w:tc>
        <w:tc>
          <w:tcPr>
            <w:tcW w:w="3374" w:type="dxa"/>
          </w:tcPr>
          <w:p>
            <w:pPr>
              <w:pStyle w:val="TableParagraph"/>
              <w:rPr>
                <w:sz w:val="18"/>
              </w:rPr>
            </w:pPr>
          </w:p>
        </w:tc>
        <w:tc>
          <w:tcPr>
            <w:tcW w:w="1454" w:type="dxa"/>
          </w:tcPr>
          <w:p>
            <w:pPr>
              <w:pStyle w:val="TableParagraph"/>
              <w:rPr>
                <w:sz w:val="18"/>
              </w:rPr>
            </w:pPr>
          </w:p>
        </w:tc>
        <w:tc>
          <w:tcPr>
            <w:tcW w:w="3663" w:type="dxa"/>
          </w:tcPr>
          <w:p>
            <w:pPr>
              <w:pStyle w:val="TableParagraph"/>
              <w:spacing w:line="240" w:lineRule="atLeast" w:before="30"/>
              <w:ind w:left="85" w:right="48"/>
              <w:rPr>
                <w:sz w:val="20"/>
              </w:rPr>
            </w:pPr>
            <w:r>
              <w:rPr>
                <w:sz w:val="20"/>
              </w:rPr>
              <w:t>удаление</w:t>
            </w:r>
            <w:r>
              <w:rPr>
                <w:spacing w:val="-13"/>
                <w:sz w:val="20"/>
              </w:rPr>
              <w:t> </w:t>
            </w:r>
            <w:r>
              <w:rPr>
                <w:sz w:val="20"/>
              </w:rPr>
              <w:t>половых</w:t>
            </w:r>
            <w:r>
              <w:rPr>
                <w:spacing w:val="-12"/>
                <w:sz w:val="20"/>
              </w:rPr>
              <w:t> </w:t>
            </w:r>
            <w:r>
              <w:rPr>
                <w:sz w:val="20"/>
              </w:rPr>
              <w:t>желез</w:t>
            </w:r>
            <w:r>
              <w:rPr>
                <w:spacing w:val="-13"/>
                <w:sz w:val="20"/>
              </w:rPr>
              <w:t> </w:t>
            </w:r>
            <w:r>
              <w:rPr>
                <w:sz w:val="20"/>
              </w:rPr>
              <w:t>(дисгенетичных гонад, тестикулов) с использованием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885"/>
        <w:gridCol w:w="2018"/>
        <w:gridCol w:w="3369"/>
        <w:gridCol w:w="1442"/>
        <w:gridCol w:w="3971"/>
        <w:gridCol w:w="980"/>
      </w:tblGrid>
      <w:tr>
        <w:trPr>
          <w:trHeight w:val="1010" w:hRule="atLeast"/>
        </w:trPr>
        <w:tc>
          <w:tcPr>
            <w:tcW w:w="384" w:type="dxa"/>
          </w:tcPr>
          <w:p>
            <w:pPr>
              <w:pStyle w:val="TableParagraph"/>
              <w:rPr>
                <w:sz w:val="18"/>
              </w:rPr>
            </w:pPr>
          </w:p>
        </w:tc>
        <w:tc>
          <w:tcPr>
            <w:tcW w:w="2885" w:type="dxa"/>
          </w:tcPr>
          <w:p>
            <w:pPr>
              <w:pStyle w:val="TableParagraph"/>
              <w:spacing w:line="249" w:lineRule="auto"/>
              <w:ind w:left="181" w:right="740"/>
              <w:rPr>
                <w:sz w:val="20"/>
              </w:rPr>
            </w:pPr>
            <w:r>
              <w:rPr>
                <w:sz w:val="20"/>
              </w:rPr>
              <w:t>физические и </w:t>
            </w:r>
            <w:r>
              <w:rPr>
                <w:spacing w:val="-2"/>
                <w:sz w:val="20"/>
              </w:rPr>
              <w:t>малоинвазивные </w:t>
            </w:r>
            <w:r>
              <w:rPr>
                <w:sz w:val="20"/>
              </w:rPr>
              <w:t>хирургические</w:t>
            </w:r>
            <w:r>
              <w:rPr>
                <w:spacing w:val="-13"/>
                <w:sz w:val="20"/>
              </w:rPr>
              <w:t> </w:t>
            </w:r>
            <w:r>
              <w:rPr>
                <w:sz w:val="20"/>
              </w:rPr>
              <w:t>методы </w:t>
            </w:r>
            <w:r>
              <w:rPr>
                <w:spacing w:val="-2"/>
                <w:sz w:val="20"/>
              </w:rPr>
              <w:t>лечения</w:t>
            </w: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ind w:left="110" w:right="325"/>
              <w:rPr>
                <w:sz w:val="20"/>
              </w:rPr>
            </w:pPr>
            <w:r>
              <w:rPr>
                <w:sz w:val="20"/>
              </w:rPr>
              <w:t>лапароскопического доступа, реконструктивно-пластические</w:t>
            </w:r>
            <w:r>
              <w:rPr>
                <w:spacing w:val="-13"/>
                <w:sz w:val="20"/>
              </w:rPr>
              <w:t> </w:t>
            </w:r>
            <w:r>
              <w:rPr>
                <w:sz w:val="20"/>
              </w:rPr>
              <w:t>операции лапароскопическим доступом, с аутотрансплантацией тканей</w:t>
            </w:r>
          </w:p>
        </w:tc>
        <w:tc>
          <w:tcPr>
            <w:tcW w:w="980" w:type="dxa"/>
          </w:tcPr>
          <w:p>
            <w:pPr>
              <w:pStyle w:val="TableParagraph"/>
              <w:rPr>
                <w:sz w:val="18"/>
              </w:rPr>
            </w:pPr>
          </w:p>
        </w:tc>
      </w:tr>
      <w:tr>
        <w:trPr>
          <w:trHeight w:val="1080" w:hRule="atLeast"/>
        </w:trPr>
        <w:tc>
          <w:tcPr>
            <w:tcW w:w="384" w:type="dxa"/>
          </w:tcPr>
          <w:p>
            <w:pPr>
              <w:pStyle w:val="TableParagraph"/>
              <w:rPr>
                <w:sz w:val="18"/>
              </w:rPr>
            </w:pPr>
          </w:p>
        </w:tc>
        <w:tc>
          <w:tcPr>
            <w:tcW w:w="2885" w:type="dxa"/>
          </w:tcPr>
          <w:p>
            <w:pPr>
              <w:pStyle w:val="TableParagraph"/>
              <w:rPr>
                <w:sz w:val="18"/>
              </w:rPr>
            </w:pP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before="60"/>
              <w:ind w:left="110" w:right="331"/>
              <w:rPr>
                <w:sz w:val="20"/>
              </w:rPr>
            </w:pPr>
            <w:r>
              <w:rPr>
                <w:sz w:val="20"/>
              </w:rPr>
              <w:t>удаление</w:t>
            </w:r>
            <w:r>
              <w:rPr>
                <w:spacing w:val="-13"/>
                <w:sz w:val="20"/>
              </w:rPr>
              <w:t> </w:t>
            </w:r>
            <w:r>
              <w:rPr>
                <w:sz w:val="20"/>
              </w:rPr>
              <w:t>половых</w:t>
            </w:r>
            <w:r>
              <w:rPr>
                <w:spacing w:val="-12"/>
                <w:sz w:val="20"/>
              </w:rPr>
              <w:t> </w:t>
            </w:r>
            <w:r>
              <w:rPr>
                <w:sz w:val="20"/>
              </w:rPr>
              <w:t>желез</w:t>
            </w:r>
            <w:r>
              <w:rPr>
                <w:spacing w:val="-13"/>
                <w:sz w:val="20"/>
              </w:rPr>
              <w:t> </w:t>
            </w:r>
            <w:r>
              <w:rPr>
                <w:sz w:val="20"/>
              </w:rPr>
              <w:t>(дисгенетичных гонад, тестикулов) с использованием лапароскопического доступа, применение кольпопоэза</w:t>
            </w:r>
          </w:p>
        </w:tc>
        <w:tc>
          <w:tcPr>
            <w:tcW w:w="980" w:type="dxa"/>
          </w:tcPr>
          <w:p>
            <w:pPr>
              <w:pStyle w:val="TableParagraph"/>
              <w:rPr>
                <w:sz w:val="18"/>
              </w:rPr>
            </w:pPr>
          </w:p>
        </w:tc>
      </w:tr>
      <w:tr>
        <w:trPr>
          <w:trHeight w:val="1320" w:hRule="atLeast"/>
        </w:trPr>
        <w:tc>
          <w:tcPr>
            <w:tcW w:w="384" w:type="dxa"/>
          </w:tcPr>
          <w:p>
            <w:pPr>
              <w:pStyle w:val="TableParagraph"/>
              <w:spacing w:before="60"/>
              <w:ind w:left="50"/>
              <w:rPr>
                <w:sz w:val="20"/>
              </w:rPr>
            </w:pPr>
            <w:r>
              <w:rPr>
                <w:spacing w:val="-5"/>
                <w:sz w:val="20"/>
              </w:rPr>
              <w:t>5.</w:t>
            </w:r>
          </w:p>
        </w:tc>
        <w:tc>
          <w:tcPr>
            <w:tcW w:w="2885" w:type="dxa"/>
            <w:vMerge w:val="restart"/>
          </w:tcPr>
          <w:p>
            <w:pPr>
              <w:pStyle w:val="TableParagraph"/>
              <w:spacing w:line="249" w:lineRule="auto" w:before="60"/>
              <w:ind w:left="181" w:right="184"/>
              <w:rPr>
                <w:sz w:val="20"/>
              </w:rPr>
            </w:pPr>
            <w:r>
              <w:rPr>
                <w:sz w:val="20"/>
              </w:rPr>
              <w:t>Неинвазивное и малоинва- зивное хирургическое органосохраняющее лечение миомы матки, аденомиоза (узловой</w:t>
            </w:r>
            <w:r>
              <w:rPr>
                <w:spacing w:val="-5"/>
                <w:sz w:val="20"/>
              </w:rPr>
              <w:t> </w:t>
            </w:r>
            <w:r>
              <w:rPr>
                <w:sz w:val="20"/>
              </w:rPr>
              <w:t>формы)</w:t>
            </w:r>
            <w:r>
              <w:rPr>
                <w:spacing w:val="-3"/>
                <w:sz w:val="20"/>
              </w:rPr>
              <w:t> </w:t>
            </w:r>
            <w:r>
              <w:rPr>
                <w:sz w:val="20"/>
              </w:rPr>
              <w:t>у</w:t>
            </w:r>
            <w:r>
              <w:rPr>
                <w:spacing w:val="-5"/>
                <w:sz w:val="20"/>
              </w:rPr>
              <w:t> </w:t>
            </w:r>
            <w:r>
              <w:rPr>
                <w:sz w:val="20"/>
              </w:rPr>
              <w:t>женщин</w:t>
            </w:r>
            <w:r>
              <w:rPr>
                <w:spacing w:val="-3"/>
                <w:sz w:val="20"/>
              </w:rPr>
              <w:t> </w:t>
            </w:r>
            <w:r>
              <w:rPr>
                <w:sz w:val="20"/>
              </w:rPr>
              <w:t>с </w:t>
            </w:r>
            <w:r>
              <w:rPr>
                <w:spacing w:val="-2"/>
                <w:sz w:val="20"/>
              </w:rPr>
              <w:t>применением реконструктивно- </w:t>
            </w:r>
            <w:r>
              <w:rPr>
                <w:sz w:val="20"/>
              </w:rPr>
              <w:t>пластических операций, </w:t>
            </w:r>
            <w:r>
              <w:rPr>
                <w:spacing w:val="-2"/>
                <w:sz w:val="20"/>
              </w:rPr>
              <w:t>органосохраняющие </w:t>
            </w:r>
            <w:r>
              <w:rPr>
                <w:sz w:val="20"/>
              </w:rPr>
              <w:t>операции при родоразрешении у женщин с миомой матки больших размеров,</w:t>
            </w:r>
            <w:r>
              <w:rPr>
                <w:spacing w:val="40"/>
                <w:sz w:val="20"/>
              </w:rPr>
              <w:t> </w:t>
            </w:r>
            <w:r>
              <w:rPr>
                <w:sz w:val="20"/>
              </w:rPr>
              <w:t>с истинным приращением плаценты, эмболизации маточных артерий и ультразвуковой абляции</w:t>
            </w:r>
            <w:r>
              <w:rPr>
                <w:spacing w:val="-13"/>
                <w:sz w:val="20"/>
              </w:rPr>
              <w:t> </w:t>
            </w:r>
            <w:r>
              <w:rPr>
                <w:sz w:val="20"/>
              </w:rPr>
              <w:t>под</w:t>
            </w:r>
            <w:r>
              <w:rPr>
                <w:spacing w:val="-12"/>
                <w:sz w:val="20"/>
              </w:rPr>
              <w:t> </w:t>
            </w:r>
            <w:r>
              <w:rPr>
                <w:sz w:val="20"/>
              </w:rPr>
              <w:t>ультразвуковым контролем</w:t>
            </w:r>
            <w:r>
              <w:rPr>
                <w:spacing w:val="-13"/>
                <w:sz w:val="20"/>
              </w:rPr>
              <w:t> </w:t>
            </w:r>
            <w:r>
              <w:rPr>
                <w:sz w:val="20"/>
              </w:rPr>
              <w:t>и</w:t>
            </w:r>
            <w:r>
              <w:rPr>
                <w:spacing w:val="-12"/>
                <w:sz w:val="20"/>
              </w:rPr>
              <w:t> </w:t>
            </w:r>
            <w:r>
              <w:rPr>
                <w:sz w:val="20"/>
              </w:rPr>
              <w:t>(или)</w:t>
            </w:r>
            <w:r>
              <w:rPr>
                <w:spacing w:val="-13"/>
                <w:sz w:val="20"/>
              </w:rPr>
              <w:t> </w:t>
            </w:r>
            <w:r>
              <w:rPr>
                <w:sz w:val="20"/>
              </w:rPr>
              <w:t>контролем </w:t>
            </w:r>
            <w:r>
              <w:rPr>
                <w:spacing w:val="-2"/>
                <w:sz w:val="20"/>
              </w:rPr>
              <w:t>магнитно-резонансной томографии</w:t>
            </w:r>
          </w:p>
        </w:tc>
        <w:tc>
          <w:tcPr>
            <w:tcW w:w="2018" w:type="dxa"/>
          </w:tcPr>
          <w:p>
            <w:pPr>
              <w:pStyle w:val="TableParagraph"/>
              <w:spacing w:before="60"/>
              <w:ind w:left="561"/>
              <w:rPr>
                <w:sz w:val="20"/>
              </w:rPr>
            </w:pPr>
            <w:r>
              <w:rPr>
                <w:sz w:val="20"/>
              </w:rPr>
              <w:t>D25,</w:t>
            </w:r>
            <w:r>
              <w:rPr>
                <w:spacing w:val="-2"/>
                <w:sz w:val="20"/>
              </w:rPr>
              <w:t> N80.0</w:t>
            </w:r>
          </w:p>
        </w:tc>
        <w:tc>
          <w:tcPr>
            <w:tcW w:w="3369" w:type="dxa"/>
          </w:tcPr>
          <w:p>
            <w:pPr>
              <w:pStyle w:val="TableParagraph"/>
              <w:spacing w:line="249" w:lineRule="auto" w:before="60"/>
              <w:ind w:left="140"/>
              <w:rPr>
                <w:sz w:val="20"/>
              </w:rPr>
            </w:pPr>
            <w:r>
              <w:rPr>
                <w:sz w:val="20"/>
              </w:rPr>
              <w:t>множественная</w:t>
            </w:r>
            <w:r>
              <w:rPr>
                <w:spacing w:val="-13"/>
                <w:sz w:val="20"/>
              </w:rPr>
              <w:t> </w:t>
            </w:r>
            <w:r>
              <w:rPr>
                <w:sz w:val="20"/>
              </w:rPr>
              <w:t>узловая</w:t>
            </w:r>
            <w:r>
              <w:rPr>
                <w:spacing w:val="-12"/>
                <w:sz w:val="20"/>
              </w:rPr>
              <w:t> </w:t>
            </w:r>
            <w:r>
              <w:rPr>
                <w:sz w:val="20"/>
              </w:rPr>
              <w:t>форма аденомиоза, требующая хирургического лечения</w:t>
            </w:r>
          </w:p>
        </w:tc>
        <w:tc>
          <w:tcPr>
            <w:tcW w:w="1442" w:type="dxa"/>
          </w:tcPr>
          <w:p>
            <w:pPr>
              <w:pStyle w:val="TableParagraph"/>
              <w:spacing w:line="249" w:lineRule="auto" w:before="60"/>
              <w:ind w:left="78"/>
              <w:rPr>
                <w:sz w:val="20"/>
              </w:rPr>
            </w:pPr>
            <w:r>
              <w:rPr>
                <w:spacing w:val="-2"/>
                <w:sz w:val="20"/>
              </w:rPr>
              <w:t>хирургическое лечение</w:t>
            </w:r>
          </w:p>
        </w:tc>
        <w:tc>
          <w:tcPr>
            <w:tcW w:w="3971" w:type="dxa"/>
          </w:tcPr>
          <w:p>
            <w:pPr>
              <w:pStyle w:val="TableParagraph"/>
              <w:spacing w:line="249" w:lineRule="auto" w:before="60"/>
              <w:ind w:left="110" w:right="626"/>
              <w:rPr>
                <w:sz w:val="20"/>
              </w:rPr>
            </w:pPr>
            <w:r>
              <w:rPr>
                <w:spacing w:val="-2"/>
                <w:sz w:val="20"/>
              </w:rPr>
              <w:t>реконструктивно-пластические, </w:t>
            </w:r>
            <w:r>
              <w:rPr>
                <w:sz w:val="20"/>
              </w:rPr>
              <w:t>органосохраняющие операции (миомэктомия с использованием комбинированного</w:t>
            </w:r>
            <w:r>
              <w:rPr>
                <w:spacing w:val="-13"/>
                <w:sz w:val="20"/>
              </w:rPr>
              <w:t> </w:t>
            </w:r>
            <w:r>
              <w:rPr>
                <w:sz w:val="20"/>
              </w:rPr>
              <w:t>эндоскопического </w:t>
            </w:r>
            <w:r>
              <w:rPr>
                <w:spacing w:val="-2"/>
                <w:sz w:val="20"/>
              </w:rPr>
              <w:t>доступа)</w:t>
            </w:r>
          </w:p>
        </w:tc>
        <w:tc>
          <w:tcPr>
            <w:tcW w:w="980" w:type="dxa"/>
          </w:tcPr>
          <w:p>
            <w:pPr>
              <w:pStyle w:val="TableParagraph"/>
              <w:spacing w:before="60"/>
              <w:ind w:left="332"/>
              <w:rPr>
                <w:sz w:val="20"/>
              </w:rPr>
            </w:pPr>
            <w:r>
              <w:rPr>
                <w:spacing w:val="-2"/>
                <w:sz w:val="20"/>
              </w:rPr>
              <w:t>191024</w:t>
            </w:r>
          </w:p>
        </w:tc>
      </w:tr>
      <w:tr>
        <w:trPr>
          <w:trHeight w:val="840" w:hRule="atLeast"/>
        </w:trPr>
        <w:tc>
          <w:tcPr>
            <w:tcW w:w="384" w:type="dxa"/>
          </w:tcPr>
          <w:p>
            <w:pPr>
              <w:pStyle w:val="TableParagraph"/>
              <w:rPr>
                <w:sz w:val="18"/>
              </w:rPr>
            </w:pPr>
          </w:p>
        </w:tc>
        <w:tc>
          <w:tcPr>
            <w:tcW w:w="2885" w:type="dxa"/>
            <w:vMerge/>
            <w:tcBorders>
              <w:top w:val="nil"/>
            </w:tcBorders>
          </w:tcPr>
          <w:p>
            <w:pPr>
              <w:rPr>
                <w:sz w:val="2"/>
                <w:szCs w:val="2"/>
              </w:rPr>
            </w:pP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before="60"/>
              <w:ind w:left="110" w:right="473"/>
              <w:jc w:val="both"/>
              <w:rPr>
                <w:sz w:val="20"/>
              </w:rPr>
            </w:pPr>
            <w:r>
              <w:rPr>
                <w:sz w:val="20"/>
              </w:rPr>
              <w:t>ультразвуковая</w:t>
            </w:r>
            <w:r>
              <w:rPr>
                <w:spacing w:val="-7"/>
                <w:sz w:val="20"/>
              </w:rPr>
              <w:t> </w:t>
            </w:r>
            <w:r>
              <w:rPr>
                <w:sz w:val="20"/>
              </w:rPr>
              <w:t>абляция</w:t>
            </w:r>
            <w:r>
              <w:rPr>
                <w:spacing w:val="-7"/>
                <w:sz w:val="20"/>
              </w:rPr>
              <w:t> </w:t>
            </w:r>
            <w:r>
              <w:rPr>
                <w:sz w:val="20"/>
              </w:rPr>
              <w:t>под</w:t>
            </w:r>
            <w:r>
              <w:rPr>
                <w:spacing w:val="-6"/>
                <w:sz w:val="20"/>
              </w:rPr>
              <w:t> </w:t>
            </w:r>
            <w:r>
              <w:rPr>
                <w:sz w:val="20"/>
              </w:rPr>
              <w:t>контролем магнитно-резонансной</w:t>
            </w:r>
            <w:r>
              <w:rPr>
                <w:spacing w:val="-13"/>
                <w:sz w:val="20"/>
              </w:rPr>
              <w:t> </w:t>
            </w:r>
            <w:r>
              <w:rPr>
                <w:sz w:val="20"/>
              </w:rPr>
              <w:t>томографии</w:t>
            </w:r>
            <w:r>
              <w:rPr>
                <w:spacing w:val="-12"/>
                <w:sz w:val="20"/>
              </w:rPr>
              <w:t> </w:t>
            </w:r>
            <w:r>
              <w:rPr>
                <w:sz w:val="20"/>
              </w:rPr>
              <w:t>или ультразвуковым контролем</w:t>
            </w:r>
          </w:p>
        </w:tc>
        <w:tc>
          <w:tcPr>
            <w:tcW w:w="980" w:type="dxa"/>
          </w:tcPr>
          <w:p>
            <w:pPr>
              <w:pStyle w:val="TableParagraph"/>
              <w:rPr>
                <w:sz w:val="18"/>
              </w:rPr>
            </w:pPr>
          </w:p>
        </w:tc>
      </w:tr>
      <w:tr>
        <w:trPr>
          <w:trHeight w:val="600" w:hRule="atLeast"/>
        </w:trPr>
        <w:tc>
          <w:tcPr>
            <w:tcW w:w="384" w:type="dxa"/>
          </w:tcPr>
          <w:p>
            <w:pPr>
              <w:pStyle w:val="TableParagraph"/>
              <w:rPr>
                <w:sz w:val="18"/>
              </w:rPr>
            </w:pPr>
          </w:p>
        </w:tc>
        <w:tc>
          <w:tcPr>
            <w:tcW w:w="2885" w:type="dxa"/>
            <w:vMerge/>
            <w:tcBorders>
              <w:top w:val="nil"/>
            </w:tcBorders>
          </w:tcPr>
          <w:p>
            <w:pPr>
              <w:rPr>
                <w:sz w:val="2"/>
                <w:szCs w:val="2"/>
              </w:rPr>
            </w:pP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before="60"/>
              <w:ind w:left="110" w:right="325"/>
              <w:rPr>
                <w:sz w:val="20"/>
              </w:rPr>
            </w:pPr>
            <w:r>
              <w:rPr>
                <w:sz w:val="20"/>
              </w:rPr>
              <w:t>эндоваскулярная</w:t>
            </w:r>
            <w:r>
              <w:rPr>
                <w:spacing w:val="-13"/>
                <w:sz w:val="20"/>
              </w:rPr>
              <w:t> </w:t>
            </w:r>
            <w:r>
              <w:rPr>
                <w:sz w:val="20"/>
              </w:rPr>
              <w:t>окклюзия</w:t>
            </w:r>
            <w:r>
              <w:rPr>
                <w:spacing w:val="-12"/>
                <w:sz w:val="20"/>
              </w:rPr>
              <w:t> </w:t>
            </w:r>
            <w:r>
              <w:rPr>
                <w:sz w:val="20"/>
              </w:rPr>
              <w:t>маточных </w:t>
            </w:r>
            <w:r>
              <w:rPr>
                <w:spacing w:val="-2"/>
                <w:sz w:val="20"/>
              </w:rPr>
              <w:t>артерий</w:t>
            </w:r>
          </w:p>
        </w:tc>
        <w:tc>
          <w:tcPr>
            <w:tcW w:w="980" w:type="dxa"/>
          </w:tcPr>
          <w:p>
            <w:pPr>
              <w:pStyle w:val="TableParagraph"/>
              <w:rPr>
                <w:sz w:val="18"/>
              </w:rPr>
            </w:pPr>
          </w:p>
        </w:tc>
      </w:tr>
      <w:tr>
        <w:trPr>
          <w:trHeight w:val="2450" w:hRule="atLeast"/>
        </w:trPr>
        <w:tc>
          <w:tcPr>
            <w:tcW w:w="384" w:type="dxa"/>
          </w:tcPr>
          <w:p>
            <w:pPr>
              <w:pStyle w:val="TableParagraph"/>
              <w:rPr>
                <w:sz w:val="18"/>
              </w:rPr>
            </w:pPr>
          </w:p>
        </w:tc>
        <w:tc>
          <w:tcPr>
            <w:tcW w:w="2885" w:type="dxa"/>
            <w:vMerge/>
            <w:tcBorders>
              <w:top w:val="nil"/>
            </w:tcBorders>
          </w:tcPr>
          <w:p>
            <w:pPr>
              <w:rPr>
                <w:sz w:val="2"/>
                <w:szCs w:val="2"/>
              </w:rPr>
            </w:pPr>
          </w:p>
        </w:tc>
        <w:tc>
          <w:tcPr>
            <w:tcW w:w="2018" w:type="dxa"/>
          </w:tcPr>
          <w:p>
            <w:pPr>
              <w:pStyle w:val="TableParagraph"/>
              <w:spacing w:line="249" w:lineRule="auto" w:before="60"/>
              <w:ind w:left="785" w:right="136" w:hanging="599"/>
              <w:rPr>
                <w:sz w:val="20"/>
              </w:rPr>
            </w:pPr>
            <w:r>
              <w:rPr>
                <w:sz w:val="20"/>
              </w:rPr>
              <w:t>O34.1,O34.2,</w:t>
            </w:r>
            <w:r>
              <w:rPr>
                <w:spacing w:val="-13"/>
                <w:sz w:val="20"/>
              </w:rPr>
              <w:t> </w:t>
            </w:r>
            <w:r>
              <w:rPr>
                <w:sz w:val="20"/>
              </w:rPr>
              <w:t>O43.2; </w:t>
            </w:r>
            <w:r>
              <w:rPr>
                <w:spacing w:val="-2"/>
                <w:sz w:val="20"/>
              </w:rPr>
              <w:t>O44.0</w:t>
            </w:r>
          </w:p>
        </w:tc>
        <w:tc>
          <w:tcPr>
            <w:tcW w:w="3369" w:type="dxa"/>
          </w:tcPr>
          <w:p>
            <w:pPr>
              <w:pStyle w:val="TableParagraph"/>
              <w:spacing w:line="249" w:lineRule="auto" w:before="60"/>
              <w:ind w:left="140"/>
              <w:rPr>
                <w:sz w:val="20"/>
              </w:rPr>
            </w:pPr>
            <w:r>
              <w:rPr>
                <w:sz w:val="20"/>
              </w:rPr>
              <w:t>миома матки больших размеров во время беременности, истинное вращение</w:t>
            </w:r>
            <w:r>
              <w:rPr>
                <w:spacing w:val="-8"/>
                <w:sz w:val="20"/>
              </w:rPr>
              <w:t> </w:t>
            </w:r>
            <w:r>
              <w:rPr>
                <w:sz w:val="20"/>
              </w:rPr>
              <w:t>плаценты,</w:t>
            </w:r>
            <w:r>
              <w:rPr>
                <w:spacing w:val="-9"/>
                <w:sz w:val="20"/>
              </w:rPr>
              <w:t> </w:t>
            </w:r>
            <w:r>
              <w:rPr>
                <w:sz w:val="20"/>
              </w:rPr>
              <w:t>в</w:t>
            </w:r>
            <w:r>
              <w:rPr>
                <w:spacing w:val="-11"/>
                <w:sz w:val="20"/>
              </w:rPr>
              <w:t> </w:t>
            </w:r>
            <w:r>
              <w:rPr>
                <w:sz w:val="20"/>
              </w:rPr>
              <w:t>том</w:t>
            </w:r>
            <w:r>
              <w:rPr>
                <w:spacing w:val="-9"/>
                <w:sz w:val="20"/>
              </w:rPr>
              <w:t> </w:t>
            </w:r>
            <w:r>
              <w:rPr>
                <w:sz w:val="20"/>
              </w:rPr>
              <w:t>числе</w:t>
            </w:r>
            <w:r>
              <w:rPr>
                <w:spacing w:val="-8"/>
                <w:sz w:val="20"/>
              </w:rPr>
              <w:t> </w:t>
            </w:r>
            <w:r>
              <w:rPr>
                <w:sz w:val="20"/>
              </w:rPr>
              <w:t>при предлежании</w:t>
            </w:r>
            <w:r>
              <w:rPr>
                <w:spacing w:val="40"/>
                <w:sz w:val="20"/>
              </w:rPr>
              <w:t> </w:t>
            </w:r>
            <w:r>
              <w:rPr>
                <w:sz w:val="20"/>
              </w:rPr>
              <w:t>плаценты</w:t>
            </w:r>
          </w:p>
        </w:tc>
        <w:tc>
          <w:tcPr>
            <w:tcW w:w="1442" w:type="dxa"/>
          </w:tcPr>
          <w:p>
            <w:pPr>
              <w:pStyle w:val="TableParagraph"/>
              <w:rPr>
                <w:sz w:val="18"/>
              </w:rPr>
            </w:pPr>
          </w:p>
        </w:tc>
        <w:tc>
          <w:tcPr>
            <w:tcW w:w="3971" w:type="dxa"/>
          </w:tcPr>
          <w:p>
            <w:pPr>
              <w:pStyle w:val="TableParagraph"/>
              <w:spacing w:line="249" w:lineRule="auto" w:before="60"/>
              <w:ind w:left="110" w:right="325"/>
              <w:rPr>
                <w:sz w:val="20"/>
              </w:rPr>
            </w:pPr>
            <w:r>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w:t>
            </w:r>
          </w:p>
          <w:p>
            <w:pPr>
              <w:pStyle w:val="TableParagraph"/>
              <w:spacing w:line="240" w:lineRule="exact"/>
              <w:ind w:left="110" w:right="325"/>
              <w:rPr>
                <w:sz w:val="20"/>
              </w:rPr>
            </w:pPr>
            <w:r>
              <w:rPr>
                <w:sz w:val="20"/>
              </w:rPr>
              <w:t>контролем</w:t>
            </w:r>
            <w:r>
              <w:rPr>
                <w:spacing w:val="-7"/>
                <w:sz w:val="20"/>
              </w:rPr>
              <w:t> </w:t>
            </w:r>
            <w:r>
              <w:rPr>
                <w:sz w:val="20"/>
              </w:rPr>
              <w:t>лучевых</w:t>
            </w:r>
            <w:r>
              <w:rPr>
                <w:spacing w:val="-9"/>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МРТ), методов исследования</w:t>
            </w:r>
          </w:p>
        </w:tc>
        <w:tc>
          <w:tcPr>
            <w:tcW w:w="98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631"/>
        <w:gridCol w:w="2282"/>
        <w:gridCol w:w="3362"/>
        <w:gridCol w:w="1443"/>
        <w:gridCol w:w="3578"/>
        <w:gridCol w:w="1376"/>
      </w:tblGrid>
      <w:tr>
        <w:trPr>
          <w:trHeight w:val="7902" w:hRule="atLeast"/>
        </w:trPr>
        <w:tc>
          <w:tcPr>
            <w:tcW w:w="384" w:type="dxa"/>
          </w:tcPr>
          <w:p>
            <w:pPr>
              <w:pStyle w:val="TableParagraph"/>
              <w:spacing w:line="221" w:lineRule="exact"/>
              <w:ind w:left="50"/>
              <w:rPr>
                <w:sz w:val="20"/>
              </w:rPr>
            </w:pPr>
            <w:r>
              <w:rPr>
                <w:spacing w:val="-5"/>
                <w:sz w:val="20"/>
              </w:rPr>
              <w:t>6.</w:t>
            </w:r>
          </w:p>
        </w:tc>
        <w:tc>
          <w:tcPr>
            <w:tcW w:w="2631" w:type="dxa"/>
          </w:tcPr>
          <w:p>
            <w:pPr>
              <w:pStyle w:val="TableParagraph"/>
              <w:spacing w:line="249" w:lineRule="auto"/>
              <w:ind w:left="181" w:right="407"/>
              <w:rPr>
                <w:sz w:val="20"/>
              </w:rPr>
            </w:pPr>
            <w:r>
              <w:rPr>
                <w:sz w:val="20"/>
              </w:rPr>
              <w:t>Хирургическое</w:t>
            </w:r>
            <w:r>
              <w:rPr>
                <w:spacing w:val="-13"/>
                <w:sz w:val="20"/>
              </w:rPr>
              <w:t> </w:t>
            </w:r>
            <w:r>
              <w:rPr>
                <w:sz w:val="20"/>
              </w:rPr>
              <w:t>лечение </w:t>
            </w:r>
            <w:r>
              <w:rPr>
                <w:spacing w:val="-2"/>
                <w:sz w:val="20"/>
              </w:rPr>
              <w:t>распространенного </w:t>
            </w:r>
            <w:r>
              <w:rPr>
                <w:sz w:val="20"/>
              </w:rPr>
              <w:t>эндометриоза, пороков развития и опухолей гениталий, пролапса гениталий у женщин с </w:t>
            </w:r>
            <w:r>
              <w:rPr>
                <w:spacing w:val="-2"/>
                <w:sz w:val="20"/>
              </w:rPr>
              <w:t>использованием робототехники</w:t>
            </w:r>
          </w:p>
        </w:tc>
        <w:tc>
          <w:tcPr>
            <w:tcW w:w="2282" w:type="dxa"/>
          </w:tcPr>
          <w:p>
            <w:pPr>
              <w:pStyle w:val="TableParagraph"/>
              <w:spacing w:line="249" w:lineRule="auto"/>
              <w:ind w:left="406" w:right="120"/>
              <w:jc w:val="center"/>
              <w:rPr>
                <w:sz w:val="20"/>
              </w:rPr>
            </w:pPr>
            <w:r>
              <w:rPr>
                <w:sz w:val="20"/>
              </w:rPr>
              <w:t>D25, D26.0, D26.7, D27,</w:t>
            </w:r>
            <w:r>
              <w:rPr>
                <w:spacing w:val="-13"/>
                <w:sz w:val="20"/>
              </w:rPr>
              <w:t> </w:t>
            </w:r>
            <w:r>
              <w:rPr>
                <w:sz w:val="20"/>
              </w:rPr>
              <w:t>D28,</w:t>
            </w:r>
            <w:r>
              <w:rPr>
                <w:spacing w:val="-12"/>
                <w:sz w:val="20"/>
              </w:rPr>
              <w:t> </w:t>
            </w:r>
            <w:r>
              <w:rPr>
                <w:sz w:val="20"/>
              </w:rPr>
              <w:t>N80,</w:t>
            </w:r>
            <w:r>
              <w:rPr>
                <w:spacing w:val="-13"/>
                <w:sz w:val="20"/>
              </w:rPr>
              <w:t> </w:t>
            </w:r>
            <w:r>
              <w:rPr>
                <w:sz w:val="20"/>
              </w:rPr>
              <w:t>N81, N99.3, N39.4, Q51,</w:t>
            </w:r>
          </w:p>
          <w:p>
            <w:pPr>
              <w:pStyle w:val="TableParagraph"/>
              <w:ind w:left="406" w:right="122"/>
              <w:jc w:val="center"/>
              <w:rPr>
                <w:sz w:val="20"/>
              </w:rPr>
            </w:pPr>
            <w:r>
              <w:rPr>
                <w:sz w:val="20"/>
              </w:rPr>
              <w:t>Q56.0,</w:t>
            </w:r>
            <w:r>
              <w:rPr>
                <w:spacing w:val="-4"/>
                <w:sz w:val="20"/>
              </w:rPr>
              <w:t> </w:t>
            </w:r>
            <w:r>
              <w:rPr>
                <w:sz w:val="20"/>
              </w:rPr>
              <w:t>Q56.2,</w:t>
            </w:r>
            <w:r>
              <w:rPr>
                <w:spacing w:val="-5"/>
                <w:sz w:val="20"/>
              </w:rPr>
              <w:t> </w:t>
            </w:r>
            <w:r>
              <w:rPr>
                <w:spacing w:val="-2"/>
                <w:sz w:val="20"/>
              </w:rPr>
              <w:t>Q56.3,</w:t>
            </w:r>
          </w:p>
          <w:p>
            <w:pPr>
              <w:pStyle w:val="TableParagraph"/>
              <w:spacing w:before="4"/>
              <w:ind w:left="406" w:right="122"/>
              <w:jc w:val="center"/>
              <w:rPr>
                <w:sz w:val="20"/>
              </w:rPr>
            </w:pPr>
            <w:r>
              <w:rPr>
                <w:sz w:val="20"/>
              </w:rPr>
              <w:t>Q56.4,</w:t>
            </w:r>
            <w:r>
              <w:rPr>
                <w:spacing w:val="-4"/>
                <w:sz w:val="20"/>
              </w:rPr>
              <w:t> </w:t>
            </w:r>
            <w:r>
              <w:rPr>
                <w:sz w:val="20"/>
              </w:rPr>
              <w:t>Q96.3,</w:t>
            </w:r>
            <w:r>
              <w:rPr>
                <w:spacing w:val="-5"/>
                <w:sz w:val="20"/>
              </w:rPr>
              <w:t> </w:t>
            </w:r>
            <w:r>
              <w:rPr>
                <w:spacing w:val="-2"/>
                <w:sz w:val="20"/>
              </w:rPr>
              <w:t>Q97.3,</w:t>
            </w:r>
          </w:p>
          <w:p>
            <w:pPr>
              <w:pStyle w:val="TableParagraph"/>
              <w:spacing w:line="249" w:lineRule="auto" w:before="10"/>
              <w:ind w:left="406" w:right="121"/>
              <w:jc w:val="center"/>
              <w:rPr>
                <w:sz w:val="20"/>
              </w:rPr>
            </w:pPr>
            <w:r>
              <w:rPr>
                <w:sz w:val="20"/>
              </w:rPr>
              <w:t>Q99.0,</w:t>
            </w:r>
            <w:r>
              <w:rPr>
                <w:spacing w:val="-13"/>
                <w:sz w:val="20"/>
              </w:rPr>
              <w:t> </w:t>
            </w:r>
            <w:r>
              <w:rPr>
                <w:sz w:val="20"/>
              </w:rPr>
              <w:t>E34.5,</w:t>
            </w:r>
            <w:r>
              <w:rPr>
                <w:spacing w:val="-12"/>
                <w:sz w:val="20"/>
              </w:rPr>
              <w:t> </w:t>
            </w:r>
            <w:r>
              <w:rPr>
                <w:sz w:val="20"/>
              </w:rPr>
              <w:t>E30.0, </w:t>
            </w:r>
            <w:r>
              <w:rPr>
                <w:spacing w:val="-2"/>
                <w:sz w:val="20"/>
              </w:rPr>
              <w:t>E30.9</w:t>
            </w:r>
          </w:p>
        </w:tc>
        <w:tc>
          <w:tcPr>
            <w:tcW w:w="3362" w:type="dxa"/>
          </w:tcPr>
          <w:p>
            <w:pPr>
              <w:pStyle w:val="TableParagraph"/>
              <w:spacing w:line="249" w:lineRule="auto"/>
              <w:ind w:left="130" w:right="205"/>
              <w:jc w:val="both"/>
              <w:rPr>
                <w:sz w:val="20"/>
              </w:rPr>
            </w:pPr>
            <w:r>
              <w:rPr>
                <w:sz w:val="20"/>
              </w:rPr>
              <w:t>доброкачественная</w:t>
            </w:r>
            <w:r>
              <w:rPr>
                <w:spacing w:val="-1"/>
                <w:sz w:val="20"/>
              </w:rPr>
              <w:t> </w:t>
            </w:r>
            <w:r>
              <w:rPr>
                <w:sz w:val="20"/>
              </w:rPr>
              <w:t>опухоль шейки матки,</w:t>
            </w:r>
            <w:r>
              <w:rPr>
                <w:spacing w:val="-11"/>
                <w:sz w:val="20"/>
              </w:rPr>
              <w:t> </w:t>
            </w:r>
            <w:r>
              <w:rPr>
                <w:sz w:val="20"/>
              </w:rPr>
              <w:t>яичников,</w:t>
            </w:r>
            <w:r>
              <w:rPr>
                <w:spacing w:val="-11"/>
                <w:sz w:val="20"/>
              </w:rPr>
              <w:t> </w:t>
            </w:r>
            <w:r>
              <w:rPr>
                <w:sz w:val="20"/>
              </w:rPr>
              <w:t>вульвы</w:t>
            </w:r>
            <w:r>
              <w:rPr>
                <w:spacing w:val="-10"/>
                <w:sz w:val="20"/>
              </w:rPr>
              <w:t> </w:t>
            </w:r>
            <w:r>
              <w:rPr>
                <w:sz w:val="20"/>
              </w:rPr>
              <w:t>у</w:t>
            </w:r>
            <w:r>
              <w:rPr>
                <w:spacing w:val="-12"/>
                <w:sz w:val="20"/>
              </w:rPr>
              <w:t> </w:t>
            </w:r>
            <w:r>
              <w:rPr>
                <w:sz w:val="20"/>
              </w:rPr>
              <w:t>женщин репродуктивного возраста.</w:t>
            </w:r>
          </w:p>
          <w:p>
            <w:pPr>
              <w:pStyle w:val="TableParagraph"/>
              <w:spacing w:line="252" w:lineRule="auto"/>
              <w:ind w:left="130" w:right="221"/>
              <w:jc w:val="both"/>
              <w:rPr>
                <w:sz w:val="20"/>
              </w:rPr>
            </w:pPr>
            <w:r>
              <w:rPr>
                <w:sz w:val="20"/>
              </w:rPr>
              <w:t>Гигантская</w:t>
            </w:r>
            <w:r>
              <w:rPr>
                <w:spacing w:val="-12"/>
                <w:sz w:val="20"/>
              </w:rPr>
              <w:t> </w:t>
            </w:r>
            <w:r>
              <w:rPr>
                <w:sz w:val="20"/>
              </w:rPr>
              <w:t>миома</w:t>
            </w:r>
            <w:r>
              <w:rPr>
                <w:spacing w:val="-11"/>
                <w:sz w:val="20"/>
              </w:rPr>
              <w:t> </w:t>
            </w:r>
            <w:r>
              <w:rPr>
                <w:sz w:val="20"/>
              </w:rPr>
              <w:t>матки</w:t>
            </w:r>
            <w:r>
              <w:rPr>
                <w:spacing w:val="-10"/>
                <w:sz w:val="20"/>
              </w:rPr>
              <w:t> </w:t>
            </w:r>
            <w:r>
              <w:rPr>
                <w:sz w:val="20"/>
              </w:rPr>
              <w:t>у</w:t>
            </w:r>
            <w:r>
              <w:rPr>
                <w:spacing w:val="-12"/>
                <w:sz w:val="20"/>
              </w:rPr>
              <w:t> </w:t>
            </w:r>
            <w:r>
              <w:rPr>
                <w:sz w:val="20"/>
              </w:rPr>
              <w:t>женщин репродуктивного возраста.</w:t>
            </w:r>
          </w:p>
          <w:p>
            <w:pPr>
              <w:pStyle w:val="TableParagraph"/>
              <w:spacing w:line="249" w:lineRule="auto"/>
              <w:ind w:left="130"/>
              <w:rPr>
                <w:sz w:val="20"/>
              </w:rPr>
            </w:pPr>
            <w:r>
              <w:rPr>
                <w:sz w:val="20"/>
              </w:rPr>
              <w:t>Наружный эндометриоз, распространенная форма с вовлечением в патологический процесс</w:t>
            </w:r>
            <w:r>
              <w:rPr>
                <w:spacing w:val="-13"/>
                <w:sz w:val="20"/>
              </w:rPr>
              <w:t> </w:t>
            </w:r>
            <w:r>
              <w:rPr>
                <w:sz w:val="20"/>
              </w:rPr>
              <w:t>крестцово-маточных</w:t>
            </w:r>
            <w:r>
              <w:rPr>
                <w:spacing w:val="-12"/>
                <w:sz w:val="20"/>
              </w:rPr>
              <w:t> </w:t>
            </w:r>
            <w:r>
              <w:rPr>
                <w:sz w:val="20"/>
              </w:rPr>
              <w:t>связок, смежных органов малого таза и других органов брюшной полости. Врожденные аномалии (пороки развития) тела и</w:t>
            </w:r>
            <w:r>
              <w:rPr>
                <w:spacing w:val="-1"/>
                <w:sz w:val="20"/>
              </w:rPr>
              <w:t> </w:t>
            </w:r>
            <w:r>
              <w:rPr>
                <w:sz w:val="20"/>
              </w:rPr>
              <w:t>шейки</w:t>
            </w:r>
            <w:r>
              <w:rPr>
                <w:spacing w:val="-1"/>
                <w:sz w:val="20"/>
              </w:rPr>
              <w:t> </w:t>
            </w:r>
            <w:r>
              <w:rPr>
                <w:sz w:val="20"/>
              </w:rPr>
              <w:t>матки, в</w:t>
            </w:r>
            <w:r>
              <w:rPr>
                <w:spacing w:val="-1"/>
                <w:sz w:val="20"/>
              </w:rPr>
              <w:t> </w:t>
            </w:r>
            <w:r>
              <w:rPr>
                <w:sz w:val="20"/>
              </w:rPr>
              <w:t>том числе с удвоением тела матки,</w:t>
            </w:r>
          </w:p>
          <w:p>
            <w:pPr>
              <w:pStyle w:val="TableParagraph"/>
              <w:ind w:left="130"/>
              <w:rPr>
                <w:sz w:val="20"/>
              </w:rPr>
            </w:pPr>
            <w:r>
              <w:rPr>
                <w:sz w:val="20"/>
              </w:rPr>
              <w:t>с</w:t>
            </w:r>
            <w:r>
              <w:rPr>
                <w:spacing w:val="-6"/>
                <w:sz w:val="20"/>
              </w:rPr>
              <w:t> </w:t>
            </w:r>
            <w:r>
              <w:rPr>
                <w:sz w:val="20"/>
              </w:rPr>
              <w:t>удвоением</w:t>
            </w:r>
            <w:r>
              <w:rPr>
                <w:spacing w:val="-5"/>
                <w:sz w:val="20"/>
              </w:rPr>
              <w:t> </w:t>
            </w:r>
            <w:r>
              <w:rPr>
                <w:sz w:val="20"/>
              </w:rPr>
              <w:t>шейки</w:t>
            </w:r>
            <w:r>
              <w:rPr>
                <w:spacing w:val="-7"/>
                <w:sz w:val="20"/>
              </w:rPr>
              <w:t> </w:t>
            </w:r>
            <w:r>
              <w:rPr>
                <w:spacing w:val="-2"/>
                <w:sz w:val="20"/>
              </w:rPr>
              <w:t>матки,</w:t>
            </w:r>
          </w:p>
          <w:p>
            <w:pPr>
              <w:pStyle w:val="TableParagraph"/>
              <w:spacing w:line="249" w:lineRule="auto" w:before="8"/>
              <w:ind w:left="130"/>
              <w:rPr>
                <w:sz w:val="20"/>
              </w:rPr>
            </w:pPr>
            <w:r>
              <w:rPr>
                <w:sz w:val="20"/>
              </w:rPr>
              <w:t>с</w:t>
            </w:r>
            <w:r>
              <w:rPr>
                <w:spacing w:val="-9"/>
                <w:sz w:val="20"/>
              </w:rPr>
              <w:t> </w:t>
            </w:r>
            <w:r>
              <w:rPr>
                <w:sz w:val="20"/>
              </w:rPr>
              <w:t>двурогой</w:t>
            </w:r>
            <w:r>
              <w:rPr>
                <w:spacing w:val="-10"/>
                <w:sz w:val="20"/>
              </w:rPr>
              <w:t> </w:t>
            </w:r>
            <w:r>
              <w:rPr>
                <w:sz w:val="20"/>
              </w:rPr>
              <w:t>маткой,</w:t>
            </w:r>
            <w:r>
              <w:rPr>
                <w:spacing w:val="-9"/>
                <w:sz w:val="20"/>
              </w:rPr>
              <w:t> </w:t>
            </w:r>
            <w:r>
              <w:rPr>
                <w:sz w:val="20"/>
              </w:rPr>
              <w:t>с</w:t>
            </w:r>
            <w:r>
              <w:rPr>
                <w:spacing w:val="-9"/>
                <w:sz w:val="20"/>
              </w:rPr>
              <w:t> </w:t>
            </w:r>
            <w:r>
              <w:rPr>
                <w:sz w:val="20"/>
              </w:rPr>
              <w:t>агенезией</w:t>
            </w:r>
            <w:r>
              <w:rPr>
                <w:spacing w:val="-7"/>
                <w:sz w:val="20"/>
              </w:rPr>
              <w:t> </w:t>
            </w:r>
            <w:r>
              <w:rPr>
                <w:sz w:val="20"/>
              </w:rPr>
              <w:t>и аплазией шейки; с врожденным ректовагинальным и уретровагинальным свищом, урогенитальным синусом, с врожденной</w:t>
            </w:r>
            <w:r>
              <w:rPr>
                <w:spacing w:val="-8"/>
                <w:sz w:val="20"/>
              </w:rPr>
              <w:t> </w:t>
            </w:r>
            <w:r>
              <w:rPr>
                <w:sz w:val="20"/>
              </w:rPr>
              <w:t>аномалией</w:t>
            </w:r>
            <w:r>
              <w:rPr>
                <w:spacing w:val="-8"/>
                <w:sz w:val="20"/>
              </w:rPr>
              <w:t> </w:t>
            </w:r>
            <w:r>
              <w:rPr>
                <w:sz w:val="20"/>
              </w:rPr>
              <w:t>клитора,</w:t>
            </w:r>
          </w:p>
          <w:p>
            <w:pPr>
              <w:pStyle w:val="TableParagraph"/>
              <w:spacing w:line="249" w:lineRule="auto" w:before="5"/>
              <w:ind w:left="130" w:right="81"/>
              <w:rPr>
                <w:sz w:val="20"/>
              </w:rPr>
            </w:pPr>
            <w:r>
              <w:rPr>
                <w:sz w:val="20"/>
              </w:rPr>
              <w:t>с</w:t>
            </w:r>
            <w:r>
              <w:rPr>
                <w:spacing w:val="-13"/>
                <w:sz w:val="20"/>
              </w:rPr>
              <w:t> </w:t>
            </w:r>
            <w:r>
              <w:rPr>
                <w:sz w:val="20"/>
              </w:rPr>
              <w:t>врожденными</w:t>
            </w:r>
            <w:r>
              <w:rPr>
                <w:spacing w:val="-12"/>
                <w:sz w:val="20"/>
              </w:rPr>
              <w:t> </w:t>
            </w:r>
            <w:r>
              <w:rPr>
                <w:sz w:val="20"/>
              </w:rPr>
              <w:t>аномалиями</w:t>
            </w:r>
            <w:r>
              <w:rPr>
                <w:spacing w:val="-13"/>
                <w:sz w:val="20"/>
              </w:rPr>
              <w:t> </w:t>
            </w:r>
            <w:r>
              <w:rPr>
                <w:sz w:val="20"/>
              </w:rPr>
              <w:t>вульвы и атопическим расположением половых органов. Врожденное отсутствие влагалища. Замкнутое рудиментарное влагалище при удвоении матки и влагалища.</w:t>
            </w:r>
          </w:p>
          <w:p>
            <w:pPr>
              <w:pStyle w:val="TableParagraph"/>
              <w:spacing w:line="240" w:lineRule="exact"/>
              <w:ind w:left="130" w:right="78"/>
              <w:rPr>
                <w:sz w:val="20"/>
              </w:rPr>
            </w:pPr>
            <w:r>
              <w:rPr>
                <w:sz w:val="20"/>
              </w:rPr>
              <w:t>Пациенты с выпадением стенок и купола влагалища после экстирпации матки. Пациенты с опущением</w:t>
            </w:r>
            <w:r>
              <w:rPr>
                <w:spacing w:val="-13"/>
                <w:sz w:val="20"/>
              </w:rPr>
              <w:t> </w:t>
            </w:r>
            <w:r>
              <w:rPr>
                <w:sz w:val="20"/>
              </w:rPr>
              <w:t>и</w:t>
            </w:r>
            <w:r>
              <w:rPr>
                <w:spacing w:val="-12"/>
                <w:sz w:val="20"/>
              </w:rPr>
              <w:t> </w:t>
            </w:r>
            <w:r>
              <w:rPr>
                <w:sz w:val="20"/>
              </w:rPr>
              <w:t>выпадением</w:t>
            </w:r>
            <w:r>
              <w:rPr>
                <w:spacing w:val="-13"/>
                <w:sz w:val="20"/>
              </w:rPr>
              <w:t> </w:t>
            </w:r>
            <w:r>
              <w:rPr>
                <w:sz w:val="20"/>
              </w:rPr>
              <w:t>гениталий в сочетании со стрессовым недержанием</w:t>
            </w:r>
            <w:r>
              <w:rPr>
                <w:spacing w:val="-13"/>
                <w:sz w:val="20"/>
              </w:rPr>
              <w:t> </w:t>
            </w:r>
            <w:r>
              <w:rPr>
                <w:sz w:val="20"/>
              </w:rPr>
              <w:t>мочи.</w:t>
            </w:r>
            <w:r>
              <w:rPr>
                <w:spacing w:val="-12"/>
                <w:sz w:val="20"/>
              </w:rPr>
              <w:t> </w:t>
            </w:r>
            <w:r>
              <w:rPr>
                <w:sz w:val="20"/>
              </w:rPr>
              <w:t>Интрамуральная</w:t>
            </w:r>
          </w:p>
        </w:tc>
        <w:tc>
          <w:tcPr>
            <w:tcW w:w="1443" w:type="dxa"/>
          </w:tcPr>
          <w:p>
            <w:pPr>
              <w:pStyle w:val="TableParagraph"/>
              <w:spacing w:line="249" w:lineRule="auto"/>
              <w:ind w:left="75"/>
              <w:rPr>
                <w:sz w:val="20"/>
              </w:rPr>
            </w:pPr>
            <w:r>
              <w:rPr>
                <w:spacing w:val="-2"/>
                <w:sz w:val="20"/>
              </w:rPr>
              <w:t>хирургическое лечение</w:t>
            </w:r>
          </w:p>
        </w:tc>
        <w:tc>
          <w:tcPr>
            <w:tcW w:w="3578" w:type="dxa"/>
          </w:tcPr>
          <w:p>
            <w:pPr>
              <w:pStyle w:val="TableParagraph"/>
              <w:spacing w:line="249" w:lineRule="auto"/>
              <w:ind w:left="106" w:right="725"/>
              <w:jc w:val="both"/>
              <w:rPr>
                <w:sz w:val="20"/>
              </w:rPr>
            </w:pPr>
            <w:r>
              <w:rPr>
                <w:spacing w:val="-2"/>
                <w:sz w:val="20"/>
              </w:rPr>
              <w:t>реконструктивно-пластические, </w:t>
            </w:r>
            <w:r>
              <w:rPr>
                <w:sz w:val="20"/>
              </w:rPr>
              <w:t>органосохраняющие</w:t>
            </w:r>
            <w:r>
              <w:rPr>
                <w:spacing w:val="-13"/>
                <w:sz w:val="20"/>
              </w:rPr>
              <w:t> </w:t>
            </w:r>
            <w:r>
              <w:rPr>
                <w:sz w:val="20"/>
              </w:rPr>
              <w:t>операции</w:t>
            </w:r>
            <w:r>
              <w:rPr>
                <w:spacing w:val="-12"/>
                <w:sz w:val="20"/>
              </w:rPr>
              <w:t> </w:t>
            </w:r>
            <w:r>
              <w:rPr>
                <w:sz w:val="20"/>
              </w:rPr>
              <w:t>с применением робототехники</w:t>
            </w:r>
          </w:p>
        </w:tc>
        <w:tc>
          <w:tcPr>
            <w:tcW w:w="1376" w:type="dxa"/>
          </w:tcPr>
          <w:p>
            <w:pPr>
              <w:pStyle w:val="TableParagraph"/>
              <w:spacing w:line="221" w:lineRule="exact"/>
              <w:ind w:left="722"/>
              <w:rPr>
                <w:sz w:val="20"/>
              </w:rPr>
            </w:pPr>
            <w:r>
              <w:rPr>
                <w:spacing w:val="-2"/>
                <w:sz w:val="20"/>
              </w:rPr>
              <w:t>298041</w:t>
            </w:r>
          </w:p>
        </w:tc>
      </w:tr>
    </w:tbl>
    <w:p>
      <w:pPr>
        <w:spacing w:after="0" w:line="221"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880"/>
        <w:gridCol w:w="2033"/>
        <w:gridCol w:w="3334"/>
        <w:gridCol w:w="1493"/>
        <w:gridCol w:w="3953"/>
        <w:gridCol w:w="976"/>
      </w:tblGrid>
      <w:tr>
        <w:trPr>
          <w:trHeight w:val="1010" w:hRule="atLeast"/>
        </w:trPr>
        <w:tc>
          <w:tcPr>
            <w:tcW w:w="384" w:type="dxa"/>
          </w:tcPr>
          <w:p>
            <w:pPr>
              <w:pStyle w:val="TableParagraph"/>
              <w:rPr>
                <w:sz w:val="18"/>
              </w:rPr>
            </w:pPr>
          </w:p>
        </w:tc>
        <w:tc>
          <w:tcPr>
            <w:tcW w:w="2880" w:type="dxa"/>
          </w:tcPr>
          <w:p>
            <w:pPr>
              <w:pStyle w:val="TableParagraph"/>
              <w:rPr>
                <w:sz w:val="18"/>
              </w:rPr>
            </w:pPr>
          </w:p>
        </w:tc>
        <w:tc>
          <w:tcPr>
            <w:tcW w:w="2033" w:type="dxa"/>
          </w:tcPr>
          <w:p>
            <w:pPr>
              <w:pStyle w:val="TableParagraph"/>
              <w:rPr>
                <w:sz w:val="18"/>
              </w:rPr>
            </w:pPr>
          </w:p>
        </w:tc>
        <w:tc>
          <w:tcPr>
            <w:tcW w:w="3334" w:type="dxa"/>
          </w:tcPr>
          <w:p>
            <w:pPr>
              <w:pStyle w:val="TableParagraph"/>
              <w:spacing w:line="249" w:lineRule="auto"/>
              <w:ind w:left="130"/>
              <w:rPr>
                <w:sz w:val="20"/>
              </w:rPr>
            </w:pPr>
            <w:r>
              <w:rPr>
                <w:sz w:val="20"/>
              </w:rPr>
              <w:t>и субсерозная лейомиома матки, требующая</w:t>
            </w:r>
            <w:r>
              <w:rPr>
                <w:spacing w:val="-13"/>
                <w:sz w:val="20"/>
              </w:rPr>
              <w:t> </w:t>
            </w:r>
            <w:r>
              <w:rPr>
                <w:sz w:val="20"/>
              </w:rPr>
              <w:t>хирургического</w:t>
            </w:r>
            <w:r>
              <w:rPr>
                <w:spacing w:val="-12"/>
                <w:sz w:val="20"/>
              </w:rPr>
              <w:t> </w:t>
            </w:r>
            <w:r>
              <w:rPr>
                <w:sz w:val="20"/>
              </w:rPr>
              <w:t>лечения. Опущение и выпадение гениталий у женщин репродуктивного возраста</w:t>
            </w:r>
          </w:p>
        </w:tc>
        <w:tc>
          <w:tcPr>
            <w:tcW w:w="1493" w:type="dxa"/>
          </w:tcPr>
          <w:p>
            <w:pPr>
              <w:pStyle w:val="TableParagraph"/>
              <w:rPr>
                <w:sz w:val="18"/>
              </w:rPr>
            </w:pPr>
          </w:p>
        </w:tc>
        <w:tc>
          <w:tcPr>
            <w:tcW w:w="3953" w:type="dxa"/>
          </w:tcPr>
          <w:p>
            <w:pPr>
              <w:pStyle w:val="TableParagraph"/>
              <w:rPr>
                <w:sz w:val="18"/>
              </w:rPr>
            </w:pPr>
          </w:p>
        </w:tc>
        <w:tc>
          <w:tcPr>
            <w:tcW w:w="976" w:type="dxa"/>
          </w:tcPr>
          <w:p>
            <w:pPr>
              <w:pStyle w:val="TableParagraph"/>
              <w:rPr>
                <w:sz w:val="18"/>
              </w:rPr>
            </w:pPr>
          </w:p>
        </w:tc>
      </w:tr>
      <w:tr>
        <w:trPr>
          <w:trHeight w:val="360" w:hRule="atLeast"/>
        </w:trPr>
        <w:tc>
          <w:tcPr>
            <w:tcW w:w="384" w:type="dxa"/>
          </w:tcPr>
          <w:p>
            <w:pPr>
              <w:pStyle w:val="TableParagraph"/>
              <w:rPr>
                <w:sz w:val="18"/>
              </w:rPr>
            </w:pPr>
          </w:p>
        </w:tc>
        <w:tc>
          <w:tcPr>
            <w:tcW w:w="2880" w:type="dxa"/>
          </w:tcPr>
          <w:p>
            <w:pPr>
              <w:pStyle w:val="TableParagraph"/>
              <w:rPr>
                <w:sz w:val="18"/>
              </w:rPr>
            </w:pPr>
          </w:p>
        </w:tc>
        <w:tc>
          <w:tcPr>
            <w:tcW w:w="2033" w:type="dxa"/>
          </w:tcPr>
          <w:p>
            <w:pPr>
              <w:pStyle w:val="TableParagraph"/>
              <w:rPr>
                <w:sz w:val="18"/>
              </w:rPr>
            </w:pPr>
          </w:p>
        </w:tc>
        <w:tc>
          <w:tcPr>
            <w:tcW w:w="3334" w:type="dxa"/>
          </w:tcPr>
          <w:p>
            <w:pPr>
              <w:pStyle w:val="TableParagraph"/>
              <w:spacing w:before="60"/>
              <w:ind w:left="1812"/>
              <w:rPr>
                <w:sz w:val="20"/>
              </w:rPr>
            </w:pPr>
            <w:r>
              <w:rPr>
                <w:spacing w:val="-2"/>
                <w:sz w:val="20"/>
              </w:rPr>
              <w:t>Гематология</w:t>
            </w:r>
          </w:p>
        </w:tc>
        <w:tc>
          <w:tcPr>
            <w:tcW w:w="1493" w:type="dxa"/>
          </w:tcPr>
          <w:p>
            <w:pPr>
              <w:pStyle w:val="TableParagraph"/>
              <w:rPr>
                <w:sz w:val="18"/>
              </w:rPr>
            </w:pPr>
          </w:p>
        </w:tc>
        <w:tc>
          <w:tcPr>
            <w:tcW w:w="3953" w:type="dxa"/>
          </w:tcPr>
          <w:p>
            <w:pPr>
              <w:pStyle w:val="TableParagraph"/>
              <w:rPr>
                <w:sz w:val="18"/>
              </w:rPr>
            </w:pPr>
          </w:p>
        </w:tc>
        <w:tc>
          <w:tcPr>
            <w:tcW w:w="976" w:type="dxa"/>
          </w:tcPr>
          <w:p>
            <w:pPr>
              <w:pStyle w:val="TableParagraph"/>
              <w:rPr>
                <w:sz w:val="18"/>
              </w:rPr>
            </w:pPr>
          </w:p>
        </w:tc>
      </w:tr>
      <w:tr>
        <w:trPr>
          <w:trHeight w:val="1080" w:hRule="atLeast"/>
        </w:trPr>
        <w:tc>
          <w:tcPr>
            <w:tcW w:w="384" w:type="dxa"/>
          </w:tcPr>
          <w:p>
            <w:pPr>
              <w:pStyle w:val="TableParagraph"/>
              <w:spacing w:before="60"/>
              <w:ind w:left="50"/>
              <w:rPr>
                <w:sz w:val="20"/>
              </w:rPr>
            </w:pPr>
            <w:r>
              <w:rPr>
                <w:spacing w:val="-5"/>
                <w:sz w:val="20"/>
              </w:rPr>
              <w:t>7.</w:t>
            </w:r>
          </w:p>
        </w:tc>
        <w:tc>
          <w:tcPr>
            <w:tcW w:w="2880" w:type="dxa"/>
            <w:vMerge w:val="restart"/>
          </w:tcPr>
          <w:p>
            <w:pPr>
              <w:pStyle w:val="TableParagraph"/>
              <w:spacing w:line="249" w:lineRule="auto" w:before="60"/>
              <w:ind w:left="181" w:right="164"/>
              <w:rPr>
                <w:sz w:val="20"/>
              </w:rPr>
            </w:pPr>
            <w:r>
              <w:rPr>
                <w:sz w:val="20"/>
              </w:rPr>
              <w:t>Комплексное лечение, включая</w:t>
            </w:r>
            <w:r>
              <w:rPr>
                <w:spacing w:val="-13"/>
                <w:sz w:val="20"/>
              </w:rPr>
              <w:t> </w:t>
            </w:r>
            <w:r>
              <w:rPr>
                <w:sz w:val="20"/>
              </w:rPr>
              <w:t>полихимиотерапию, </w:t>
            </w:r>
            <w:r>
              <w:rPr>
                <w:spacing w:val="-2"/>
                <w:sz w:val="20"/>
              </w:rPr>
              <w:t>иммунотерапию, </w:t>
            </w:r>
            <w:r>
              <w:rPr>
                <w:sz w:val="20"/>
              </w:rPr>
              <w:t>трансфузионную терапию препаратами</w:t>
            </w:r>
            <w:r>
              <w:rPr>
                <w:spacing w:val="-13"/>
                <w:sz w:val="20"/>
              </w:rPr>
              <w:t> </w:t>
            </w:r>
            <w:r>
              <w:rPr>
                <w:sz w:val="20"/>
              </w:rPr>
              <w:t>крови</w:t>
            </w:r>
            <w:r>
              <w:rPr>
                <w:spacing w:val="-12"/>
                <w:sz w:val="20"/>
              </w:rPr>
              <w:t> </w:t>
            </w:r>
            <w:r>
              <w:rPr>
                <w:sz w:val="20"/>
              </w:rPr>
              <w:t>и</w:t>
            </w:r>
            <w:r>
              <w:rPr>
                <w:spacing w:val="-13"/>
                <w:sz w:val="20"/>
              </w:rPr>
              <w:t> </w:t>
            </w:r>
            <w:r>
              <w:rPr>
                <w:sz w:val="20"/>
              </w:rPr>
              <w:t>плазмы, методы</w:t>
            </w:r>
            <w:r>
              <w:rPr>
                <w:spacing w:val="-13"/>
                <w:sz w:val="20"/>
              </w:rPr>
              <w:t> </w:t>
            </w:r>
            <w:r>
              <w:rPr>
                <w:sz w:val="20"/>
              </w:rPr>
              <w:t>экстракорпорального воздействия на кровь, дистанционную лучевую терапию, хирургические методы лечения, при апластических анемиях, </w:t>
            </w:r>
            <w:r>
              <w:rPr>
                <w:spacing w:val="-2"/>
                <w:sz w:val="20"/>
              </w:rPr>
              <w:t>апластических, </w:t>
            </w:r>
            <w:r>
              <w:rPr>
                <w:sz w:val="20"/>
              </w:rPr>
              <w:t>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033" w:type="dxa"/>
          </w:tcPr>
          <w:p>
            <w:pPr>
              <w:pStyle w:val="TableParagraph"/>
              <w:spacing w:line="249" w:lineRule="auto" w:before="60"/>
              <w:ind w:left="641" w:hanging="474"/>
              <w:rPr>
                <w:sz w:val="20"/>
              </w:rPr>
            </w:pPr>
            <w:r>
              <w:rPr>
                <w:sz w:val="20"/>
              </w:rPr>
              <w:t>D69.1,</w:t>
            </w:r>
            <w:r>
              <w:rPr>
                <w:spacing w:val="-13"/>
                <w:sz w:val="20"/>
              </w:rPr>
              <w:t> </w:t>
            </w:r>
            <w:r>
              <w:rPr>
                <w:sz w:val="20"/>
              </w:rPr>
              <w:t>D82.0,</w:t>
            </w:r>
            <w:r>
              <w:rPr>
                <w:spacing w:val="-12"/>
                <w:sz w:val="20"/>
              </w:rPr>
              <w:t> </w:t>
            </w:r>
            <w:r>
              <w:rPr>
                <w:sz w:val="20"/>
              </w:rPr>
              <w:t>D69.5, D58, D59</w:t>
            </w:r>
          </w:p>
        </w:tc>
        <w:tc>
          <w:tcPr>
            <w:tcW w:w="3334" w:type="dxa"/>
          </w:tcPr>
          <w:p>
            <w:pPr>
              <w:pStyle w:val="TableParagraph"/>
              <w:spacing w:line="249" w:lineRule="auto" w:before="60"/>
              <w:ind w:left="130"/>
              <w:rPr>
                <w:sz w:val="20"/>
              </w:rPr>
            </w:pPr>
            <w:r>
              <w:rPr>
                <w:sz w:val="20"/>
              </w:rPr>
              <w:t>патология</w:t>
            </w:r>
            <w:r>
              <w:rPr>
                <w:spacing w:val="-13"/>
                <w:sz w:val="20"/>
              </w:rPr>
              <w:t> </w:t>
            </w:r>
            <w:r>
              <w:rPr>
                <w:sz w:val="20"/>
              </w:rPr>
              <w:t>гемостаза,</w:t>
            </w:r>
            <w:r>
              <w:rPr>
                <w:spacing w:val="-12"/>
                <w:sz w:val="20"/>
              </w:rPr>
              <w:t> </w:t>
            </w:r>
            <w:r>
              <w:rPr>
                <w:sz w:val="20"/>
              </w:rPr>
              <w:t>с</w:t>
            </w:r>
            <w:r>
              <w:rPr>
                <w:spacing w:val="-13"/>
                <w:sz w:val="20"/>
              </w:rPr>
              <w:t> </w:t>
            </w:r>
            <w:r>
              <w:rPr>
                <w:sz w:val="20"/>
              </w:rPr>
              <w:t>течением, осложненным угрожаемыми геморрагическими явлениями.</w:t>
            </w:r>
          </w:p>
          <w:p>
            <w:pPr>
              <w:pStyle w:val="TableParagraph"/>
              <w:spacing w:before="3"/>
              <w:ind w:left="130"/>
              <w:rPr>
                <w:sz w:val="20"/>
              </w:rPr>
            </w:pPr>
            <w:r>
              <w:rPr>
                <w:w w:val="95"/>
                <w:sz w:val="20"/>
              </w:rPr>
              <w:t>Гемолитическая</w:t>
            </w:r>
            <w:r>
              <w:rPr>
                <w:spacing w:val="49"/>
                <w:sz w:val="20"/>
              </w:rPr>
              <w:t> </w:t>
            </w:r>
            <w:r>
              <w:rPr>
                <w:spacing w:val="-2"/>
                <w:sz w:val="20"/>
              </w:rPr>
              <w:t>анемия</w:t>
            </w:r>
          </w:p>
        </w:tc>
        <w:tc>
          <w:tcPr>
            <w:tcW w:w="1493" w:type="dxa"/>
          </w:tcPr>
          <w:p>
            <w:pPr>
              <w:pStyle w:val="TableParagraph"/>
              <w:spacing w:line="249" w:lineRule="auto" w:before="60"/>
              <w:ind w:left="103"/>
              <w:rPr>
                <w:sz w:val="20"/>
              </w:rPr>
            </w:pPr>
            <w:r>
              <w:rPr>
                <w:spacing w:val="-2"/>
                <w:sz w:val="20"/>
              </w:rPr>
              <w:t>хирургическое лечение</w:t>
            </w:r>
          </w:p>
        </w:tc>
        <w:tc>
          <w:tcPr>
            <w:tcW w:w="3953" w:type="dxa"/>
          </w:tcPr>
          <w:p>
            <w:pPr>
              <w:pStyle w:val="TableParagraph"/>
              <w:spacing w:line="249" w:lineRule="auto" w:before="60"/>
              <w:ind w:left="84" w:right="353"/>
              <w:rPr>
                <w:sz w:val="20"/>
              </w:rPr>
            </w:pPr>
            <w:r>
              <w:rPr>
                <w:sz w:val="20"/>
              </w:rPr>
              <w:t>проведение</w:t>
            </w:r>
            <w:r>
              <w:rPr>
                <w:spacing w:val="-13"/>
                <w:sz w:val="20"/>
              </w:rPr>
              <w:t> </w:t>
            </w:r>
            <w:r>
              <w:rPr>
                <w:sz w:val="20"/>
              </w:rPr>
              <w:t>различных</w:t>
            </w:r>
            <w:r>
              <w:rPr>
                <w:spacing w:val="-12"/>
                <w:sz w:val="20"/>
              </w:rPr>
              <w:t> </w:t>
            </w:r>
            <w:r>
              <w:rPr>
                <w:sz w:val="20"/>
              </w:rPr>
              <w:t>хирургических вмешательств у больных с тяжелым геморрагическим синдромом</w:t>
            </w:r>
          </w:p>
        </w:tc>
        <w:tc>
          <w:tcPr>
            <w:tcW w:w="976" w:type="dxa"/>
          </w:tcPr>
          <w:p>
            <w:pPr>
              <w:pStyle w:val="TableParagraph"/>
              <w:spacing w:before="60"/>
              <w:ind w:left="325"/>
              <w:rPr>
                <w:sz w:val="20"/>
              </w:rPr>
            </w:pPr>
            <w:r>
              <w:rPr>
                <w:spacing w:val="-2"/>
                <w:sz w:val="20"/>
              </w:rPr>
              <w:t>357583</w:t>
            </w:r>
          </w:p>
        </w:tc>
      </w:tr>
      <w:tr>
        <w:trPr>
          <w:trHeight w:val="1800" w:hRule="atLeast"/>
        </w:trPr>
        <w:tc>
          <w:tcPr>
            <w:tcW w:w="384" w:type="dxa"/>
          </w:tcPr>
          <w:p>
            <w:pPr>
              <w:pStyle w:val="TableParagraph"/>
              <w:rPr>
                <w:sz w:val="18"/>
              </w:rPr>
            </w:pPr>
          </w:p>
        </w:tc>
        <w:tc>
          <w:tcPr>
            <w:tcW w:w="2880" w:type="dxa"/>
            <w:vMerge/>
            <w:tcBorders>
              <w:top w:val="nil"/>
            </w:tcBorders>
          </w:tcPr>
          <w:p>
            <w:pPr>
              <w:rPr>
                <w:sz w:val="2"/>
                <w:szCs w:val="2"/>
              </w:rPr>
            </w:pPr>
          </w:p>
        </w:tc>
        <w:tc>
          <w:tcPr>
            <w:tcW w:w="2033" w:type="dxa"/>
          </w:tcPr>
          <w:p>
            <w:pPr>
              <w:pStyle w:val="TableParagraph"/>
              <w:spacing w:before="60"/>
              <w:ind w:left="159" w:right="116"/>
              <w:jc w:val="center"/>
              <w:rPr>
                <w:sz w:val="20"/>
              </w:rPr>
            </w:pPr>
            <w:r>
              <w:rPr>
                <w:spacing w:val="-4"/>
                <w:sz w:val="20"/>
              </w:rPr>
              <w:t>D69.3</w:t>
            </w:r>
          </w:p>
        </w:tc>
        <w:tc>
          <w:tcPr>
            <w:tcW w:w="3334" w:type="dxa"/>
          </w:tcPr>
          <w:p>
            <w:pPr>
              <w:pStyle w:val="TableParagraph"/>
              <w:spacing w:line="249" w:lineRule="auto" w:before="60"/>
              <w:ind w:left="130" w:right="185"/>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угрожаемыми геморрагическими </w:t>
            </w:r>
            <w:r>
              <w:rPr>
                <w:spacing w:val="-2"/>
                <w:sz w:val="20"/>
              </w:rPr>
              <w:t>явлениями</w:t>
            </w:r>
          </w:p>
        </w:tc>
        <w:tc>
          <w:tcPr>
            <w:tcW w:w="1493" w:type="dxa"/>
          </w:tcPr>
          <w:p>
            <w:pPr>
              <w:pStyle w:val="TableParagraph"/>
              <w:spacing w:line="249" w:lineRule="auto" w:before="60"/>
              <w:ind w:left="103"/>
              <w:rPr>
                <w:sz w:val="20"/>
              </w:rPr>
            </w:pPr>
            <w:r>
              <w:rPr>
                <w:spacing w:val="-2"/>
                <w:sz w:val="20"/>
              </w:rPr>
              <w:t>комбинирован- </w:t>
            </w:r>
            <w:r>
              <w:rPr>
                <w:sz w:val="20"/>
              </w:rPr>
              <w:t>ное лечение</w:t>
            </w:r>
          </w:p>
        </w:tc>
        <w:tc>
          <w:tcPr>
            <w:tcW w:w="3953" w:type="dxa"/>
          </w:tcPr>
          <w:p>
            <w:pPr>
              <w:pStyle w:val="TableParagraph"/>
              <w:spacing w:line="249" w:lineRule="auto" w:before="60"/>
              <w:ind w:left="84" w:right="353"/>
              <w:rPr>
                <w:sz w:val="20"/>
              </w:rPr>
            </w:pPr>
            <w:r>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w:t>
            </w:r>
            <w:r>
              <w:rPr>
                <w:spacing w:val="-13"/>
                <w:sz w:val="20"/>
              </w:rPr>
              <w:t> </w:t>
            </w:r>
            <w:r>
              <w:rPr>
                <w:sz w:val="20"/>
              </w:rPr>
              <w:t>с</w:t>
            </w:r>
            <w:r>
              <w:rPr>
                <w:spacing w:val="-12"/>
                <w:sz w:val="20"/>
              </w:rPr>
              <w:t> </w:t>
            </w:r>
            <w:r>
              <w:rPr>
                <w:sz w:val="20"/>
              </w:rPr>
              <w:t>помощью</w:t>
            </w:r>
            <w:r>
              <w:rPr>
                <w:spacing w:val="-13"/>
                <w:sz w:val="20"/>
              </w:rPr>
              <w:t> </w:t>
            </w:r>
            <w:r>
              <w:rPr>
                <w:sz w:val="20"/>
              </w:rPr>
              <w:t>рекомбинантных препаратов тромбопоэтина</w:t>
            </w:r>
          </w:p>
        </w:tc>
        <w:tc>
          <w:tcPr>
            <w:tcW w:w="976" w:type="dxa"/>
          </w:tcPr>
          <w:p>
            <w:pPr>
              <w:pStyle w:val="TableParagraph"/>
              <w:rPr>
                <w:sz w:val="18"/>
              </w:rPr>
            </w:pPr>
          </w:p>
        </w:tc>
      </w:tr>
      <w:tr>
        <w:trPr>
          <w:trHeight w:val="2040" w:hRule="atLeast"/>
        </w:trPr>
        <w:tc>
          <w:tcPr>
            <w:tcW w:w="384" w:type="dxa"/>
          </w:tcPr>
          <w:p>
            <w:pPr>
              <w:pStyle w:val="TableParagraph"/>
              <w:rPr>
                <w:sz w:val="18"/>
              </w:rPr>
            </w:pPr>
          </w:p>
        </w:tc>
        <w:tc>
          <w:tcPr>
            <w:tcW w:w="2880" w:type="dxa"/>
            <w:vMerge/>
            <w:tcBorders>
              <w:top w:val="nil"/>
            </w:tcBorders>
          </w:tcPr>
          <w:p>
            <w:pPr>
              <w:rPr>
                <w:sz w:val="2"/>
                <w:szCs w:val="2"/>
              </w:rPr>
            </w:pPr>
          </w:p>
        </w:tc>
        <w:tc>
          <w:tcPr>
            <w:tcW w:w="2033" w:type="dxa"/>
          </w:tcPr>
          <w:p>
            <w:pPr>
              <w:pStyle w:val="TableParagraph"/>
              <w:spacing w:before="60"/>
              <w:ind w:left="159" w:right="117"/>
              <w:jc w:val="center"/>
              <w:rPr>
                <w:sz w:val="20"/>
              </w:rPr>
            </w:pPr>
            <w:r>
              <w:rPr>
                <w:spacing w:val="-4"/>
                <w:sz w:val="20"/>
              </w:rPr>
              <w:t>D61.3</w:t>
            </w:r>
          </w:p>
        </w:tc>
        <w:tc>
          <w:tcPr>
            <w:tcW w:w="3334" w:type="dxa"/>
          </w:tcPr>
          <w:p>
            <w:pPr>
              <w:pStyle w:val="TableParagraph"/>
              <w:spacing w:line="249" w:lineRule="auto" w:before="60"/>
              <w:ind w:left="130" w:right="39"/>
              <w:rPr>
                <w:sz w:val="20"/>
              </w:rPr>
            </w:pPr>
            <w:r>
              <w:rPr>
                <w:sz w:val="20"/>
              </w:rPr>
              <w:t>рефрактерная</w:t>
            </w:r>
            <w:r>
              <w:rPr>
                <w:spacing w:val="-13"/>
                <w:sz w:val="20"/>
              </w:rPr>
              <w:t> </w:t>
            </w:r>
            <w:r>
              <w:rPr>
                <w:sz w:val="20"/>
              </w:rPr>
              <w:t>апластическая</w:t>
            </w:r>
            <w:r>
              <w:rPr>
                <w:spacing w:val="-12"/>
                <w:sz w:val="20"/>
              </w:rPr>
              <w:t> </w:t>
            </w:r>
            <w:r>
              <w:rPr>
                <w:sz w:val="20"/>
              </w:rPr>
              <w:t>анемия и рецидивы заболевания</w:t>
            </w:r>
          </w:p>
        </w:tc>
        <w:tc>
          <w:tcPr>
            <w:tcW w:w="1493" w:type="dxa"/>
          </w:tcPr>
          <w:p>
            <w:pPr>
              <w:pStyle w:val="TableParagraph"/>
              <w:spacing w:line="249" w:lineRule="auto" w:before="60"/>
              <w:ind w:left="103"/>
              <w:rPr>
                <w:sz w:val="20"/>
              </w:rPr>
            </w:pPr>
            <w:r>
              <w:rPr>
                <w:spacing w:val="-2"/>
                <w:sz w:val="20"/>
              </w:rPr>
              <w:t>комбинирован- </w:t>
            </w:r>
            <w:r>
              <w:rPr>
                <w:sz w:val="20"/>
              </w:rPr>
              <w:t>ное лечение</w:t>
            </w:r>
          </w:p>
        </w:tc>
        <w:tc>
          <w:tcPr>
            <w:tcW w:w="3953" w:type="dxa"/>
          </w:tcPr>
          <w:p>
            <w:pPr>
              <w:pStyle w:val="TableParagraph"/>
              <w:spacing w:line="249" w:lineRule="auto" w:before="60"/>
              <w:ind w:left="84" w:right="278"/>
              <w:rPr>
                <w:sz w:val="20"/>
              </w:rPr>
            </w:pPr>
            <w:r>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w:t>
            </w:r>
            <w:r>
              <w:rPr>
                <w:spacing w:val="-6"/>
                <w:sz w:val="20"/>
              </w:rPr>
              <w:t> </w:t>
            </w:r>
            <w:r>
              <w:rPr>
                <w:sz w:val="20"/>
              </w:rPr>
              <w:t>терапия</w:t>
            </w:r>
            <w:r>
              <w:rPr>
                <w:spacing w:val="-3"/>
                <w:sz w:val="20"/>
              </w:rPr>
              <w:t> </w:t>
            </w:r>
            <w:r>
              <w:rPr>
                <w:sz w:val="20"/>
              </w:rPr>
              <w:t>бактериальных и</w:t>
            </w:r>
            <w:r>
              <w:rPr>
                <w:spacing w:val="-13"/>
                <w:sz w:val="20"/>
              </w:rPr>
              <w:t> </w:t>
            </w:r>
            <w:r>
              <w:rPr>
                <w:sz w:val="20"/>
              </w:rPr>
              <w:t>грибковых</w:t>
            </w:r>
            <w:r>
              <w:rPr>
                <w:spacing w:val="-12"/>
                <w:sz w:val="20"/>
              </w:rPr>
              <w:t> </w:t>
            </w:r>
            <w:r>
              <w:rPr>
                <w:sz w:val="20"/>
              </w:rPr>
              <w:t>инфекций,</w:t>
            </w:r>
            <w:r>
              <w:rPr>
                <w:spacing w:val="-13"/>
                <w:sz w:val="20"/>
              </w:rPr>
              <w:t> </w:t>
            </w:r>
            <w:r>
              <w:rPr>
                <w:sz w:val="20"/>
              </w:rPr>
              <w:t>противовирусная терапия, хелаторная терапия</w:t>
            </w:r>
          </w:p>
        </w:tc>
        <w:tc>
          <w:tcPr>
            <w:tcW w:w="976" w:type="dxa"/>
          </w:tcPr>
          <w:p>
            <w:pPr>
              <w:pStyle w:val="TableParagraph"/>
              <w:rPr>
                <w:sz w:val="18"/>
              </w:rPr>
            </w:pPr>
          </w:p>
        </w:tc>
      </w:tr>
      <w:tr>
        <w:trPr>
          <w:trHeight w:val="1250" w:hRule="atLeast"/>
        </w:trPr>
        <w:tc>
          <w:tcPr>
            <w:tcW w:w="384" w:type="dxa"/>
          </w:tcPr>
          <w:p>
            <w:pPr>
              <w:pStyle w:val="TableParagraph"/>
              <w:rPr>
                <w:sz w:val="18"/>
              </w:rPr>
            </w:pPr>
          </w:p>
        </w:tc>
        <w:tc>
          <w:tcPr>
            <w:tcW w:w="2880" w:type="dxa"/>
          </w:tcPr>
          <w:p>
            <w:pPr>
              <w:pStyle w:val="TableParagraph"/>
              <w:rPr>
                <w:sz w:val="18"/>
              </w:rPr>
            </w:pPr>
          </w:p>
        </w:tc>
        <w:tc>
          <w:tcPr>
            <w:tcW w:w="2033" w:type="dxa"/>
          </w:tcPr>
          <w:p>
            <w:pPr>
              <w:pStyle w:val="TableParagraph"/>
              <w:spacing w:before="60"/>
              <w:ind w:left="159" w:right="119"/>
              <w:jc w:val="center"/>
              <w:rPr>
                <w:sz w:val="20"/>
              </w:rPr>
            </w:pPr>
            <w:r>
              <w:rPr>
                <w:spacing w:val="-5"/>
                <w:sz w:val="20"/>
              </w:rPr>
              <w:t>D60</w:t>
            </w:r>
          </w:p>
        </w:tc>
        <w:tc>
          <w:tcPr>
            <w:tcW w:w="3334" w:type="dxa"/>
          </w:tcPr>
          <w:p>
            <w:pPr>
              <w:pStyle w:val="TableParagraph"/>
              <w:spacing w:line="240" w:lineRule="atLeast" w:before="30"/>
              <w:ind w:left="130"/>
              <w:rPr>
                <w:sz w:val="20"/>
              </w:rPr>
            </w:pPr>
            <w:r>
              <w:rPr>
                <w:sz w:val="20"/>
              </w:rPr>
              <w:t>парциальная красноклеточная аплазия (пациенты, перенесшие трансплантацию</w:t>
            </w:r>
            <w:r>
              <w:rPr>
                <w:spacing w:val="-13"/>
                <w:sz w:val="20"/>
              </w:rPr>
              <w:t> </w:t>
            </w:r>
            <w:r>
              <w:rPr>
                <w:sz w:val="20"/>
              </w:rPr>
              <w:t>костного</w:t>
            </w:r>
            <w:r>
              <w:rPr>
                <w:spacing w:val="-12"/>
                <w:sz w:val="20"/>
              </w:rPr>
              <w:t> </w:t>
            </w:r>
            <w:r>
              <w:rPr>
                <w:sz w:val="20"/>
              </w:rPr>
              <w:t>мозга, пациенты с почечным </w:t>
            </w:r>
            <w:r>
              <w:rPr>
                <w:spacing w:val="-2"/>
                <w:sz w:val="20"/>
              </w:rPr>
              <w:t>трансплантатом)</w:t>
            </w:r>
          </w:p>
        </w:tc>
        <w:tc>
          <w:tcPr>
            <w:tcW w:w="1493" w:type="dxa"/>
          </w:tcPr>
          <w:p>
            <w:pPr>
              <w:pStyle w:val="TableParagraph"/>
              <w:spacing w:line="249" w:lineRule="auto" w:before="60"/>
              <w:ind w:left="103"/>
              <w:rPr>
                <w:sz w:val="20"/>
              </w:rPr>
            </w:pPr>
            <w:r>
              <w:rPr>
                <w:spacing w:val="-2"/>
                <w:sz w:val="20"/>
              </w:rPr>
              <w:t>терапевтичес- </w:t>
            </w:r>
            <w:r>
              <w:rPr>
                <w:sz w:val="20"/>
              </w:rPr>
              <w:t>кое лечение</w:t>
            </w:r>
          </w:p>
        </w:tc>
        <w:tc>
          <w:tcPr>
            <w:tcW w:w="3953" w:type="dxa"/>
          </w:tcPr>
          <w:p>
            <w:pPr>
              <w:pStyle w:val="TableParagraph"/>
              <w:spacing w:line="240" w:lineRule="atLeast" w:before="30"/>
              <w:ind w:left="84" w:right="353"/>
              <w:rPr>
                <w:sz w:val="20"/>
              </w:rPr>
            </w:pPr>
            <w:r>
              <w:rPr>
                <w:sz w:val="20"/>
              </w:rPr>
              <w:t>комплексное</w:t>
            </w:r>
            <w:r>
              <w:rPr>
                <w:spacing w:val="-13"/>
                <w:sz w:val="20"/>
              </w:rPr>
              <w:t> </w:t>
            </w:r>
            <w:r>
              <w:rPr>
                <w:sz w:val="20"/>
              </w:rPr>
              <w:t>консервативное</w:t>
            </w:r>
            <w:r>
              <w:rPr>
                <w:spacing w:val="-12"/>
                <w:sz w:val="20"/>
              </w:rPr>
              <w:t> </w:t>
            </w:r>
            <w:r>
              <w:rPr>
                <w:sz w:val="20"/>
              </w:rPr>
              <w:t>лечение,</w:t>
            </w:r>
            <w:r>
              <w:rPr>
                <w:spacing w:val="-13"/>
                <w:sz w:val="20"/>
              </w:rPr>
              <w:t> </w:t>
            </w:r>
            <w:r>
              <w:rPr>
                <w:sz w:val="20"/>
              </w:rPr>
              <w:t>в том числе программная иммуносупрессивная терапия, заместительная терапия компонентами донорской крови, противовирусная</w:t>
            </w:r>
          </w:p>
        </w:tc>
        <w:tc>
          <w:tcPr>
            <w:tcW w:w="97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3029"/>
        <w:gridCol w:w="1760"/>
        <w:gridCol w:w="3467"/>
        <w:gridCol w:w="1484"/>
        <w:gridCol w:w="3961"/>
        <w:gridCol w:w="968"/>
      </w:tblGrid>
      <w:tr>
        <w:trPr>
          <w:trHeight w:val="530" w:hRule="atLeast"/>
        </w:trPr>
        <w:tc>
          <w:tcPr>
            <w:tcW w:w="384" w:type="dxa"/>
          </w:tcPr>
          <w:p>
            <w:pPr>
              <w:pStyle w:val="TableParagraph"/>
              <w:rPr>
                <w:sz w:val="18"/>
              </w:rPr>
            </w:pPr>
          </w:p>
        </w:tc>
        <w:tc>
          <w:tcPr>
            <w:tcW w:w="3029" w:type="dxa"/>
          </w:tcPr>
          <w:p>
            <w:pPr>
              <w:pStyle w:val="TableParagraph"/>
              <w:rPr>
                <w:sz w:val="18"/>
              </w:rPr>
            </w:pPr>
          </w:p>
        </w:tc>
        <w:tc>
          <w:tcPr>
            <w:tcW w:w="1760" w:type="dxa"/>
          </w:tcPr>
          <w:p>
            <w:pPr>
              <w:pStyle w:val="TableParagraph"/>
              <w:rPr>
                <w:sz w:val="18"/>
              </w:rPr>
            </w:pPr>
          </w:p>
        </w:tc>
        <w:tc>
          <w:tcPr>
            <w:tcW w:w="3467" w:type="dxa"/>
          </w:tcPr>
          <w:p>
            <w:pPr>
              <w:pStyle w:val="TableParagraph"/>
              <w:rPr>
                <w:sz w:val="18"/>
              </w:rPr>
            </w:pPr>
          </w:p>
        </w:tc>
        <w:tc>
          <w:tcPr>
            <w:tcW w:w="1484" w:type="dxa"/>
          </w:tcPr>
          <w:p>
            <w:pPr>
              <w:pStyle w:val="TableParagraph"/>
              <w:rPr>
                <w:sz w:val="18"/>
              </w:rPr>
            </w:pPr>
          </w:p>
        </w:tc>
        <w:tc>
          <w:tcPr>
            <w:tcW w:w="3961" w:type="dxa"/>
          </w:tcPr>
          <w:p>
            <w:pPr>
              <w:pStyle w:val="TableParagraph"/>
              <w:spacing w:line="249" w:lineRule="auto"/>
              <w:ind w:left="84" w:right="316"/>
              <w:rPr>
                <w:sz w:val="20"/>
              </w:rPr>
            </w:pPr>
            <w:r>
              <w:rPr>
                <w:sz w:val="20"/>
              </w:rPr>
              <w:t>терапия, хелаторная терапия, иммунотерапия,</w:t>
            </w:r>
            <w:r>
              <w:rPr>
                <w:spacing w:val="-13"/>
                <w:sz w:val="20"/>
              </w:rPr>
              <w:t> </w:t>
            </w:r>
            <w:r>
              <w:rPr>
                <w:sz w:val="20"/>
              </w:rPr>
              <w:t>эфферентные</w:t>
            </w:r>
            <w:r>
              <w:rPr>
                <w:spacing w:val="-12"/>
                <w:sz w:val="20"/>
              </w:rPr>
              <w:t> </w:t>
            </w:r>
            <w:r>
              <w:rPr>
                <w:sz w:val="20"/>
              </w:rPr>
              <w:t>методы</w:t>
            </w:r>
          </w:p>
        </w:tc>
        <w:tc>
          <w:tcPr>
            <w:tcW w:w="968" w:type="dxa"/>
          </w:tcPr>
          <w:p>
            <w:pPr>
              <w:pStyle w:val="TableParagraph"/>
              <w:rPr>
                <w:sz w:val="18"/>
              </w:rPr>
            </w:pPr>
          </w:p>
        </w:tc>
      </w:tr>
      <w:tr>
        <w:trPr>
          <w:trHeight w:val="840" w:hRule="atLeast"/>
        </w:trPr>
        <w:tc>
          <w:tcPr>
            <w:tcW w:w="384" w:type="dxa"/>
          </w:tcPr>
          <w:p>
            <w:pPr>
              <w:pStyle w:val="TableParagraph"/>
              <w:rPr>
                <w:sz w:val="18"/>
              </w:rPr>
            </w:pPr>
          </w:p>
        </w:tc>
        <w:tc>
          <w:tcPr>
            <w:tcW w:w="3029" w:type="dxa"/>
          </w:tcPr>
          <w:p>
            <w:pPr>
              <w:pStyle w:val="TableParagraph"/>
              <w:rPr>
                <w:sz w:val="18"/>
              </w:rPr>
            </w:pPr>
          </w:p>
        </w:tc>
        <w:tc>
          <w:tcPr>
            <w:tcW w:w="1760" w:type="dxa"/>
          </w:tcPr>
          <w:p>
            <w:pPr>
              <w:pStyle w:val="TableParagraph"/>
              <w:spacing w:before="60"/>
              <w:ind w:left="261" w:right="244"/>
              <w:jc w:val="center"/>
              <w:rPr>
                <w:sz w:val="20"/>
              </w:rPr>
            </w:pPr>
            <w:r>
              <w:rPr>
                <w:spacing w:val="-4"/>
                <w:sz w:val="20"/>
              </w:rPr>
              <w:t>D76.0</w:t>
            </w:r>
          </w:p>
        </w:tc>
        <w:tc>
          <w:tcPr>
            <w:tcW w:w="3467" w:type="dxa"/>
          </w:tcPr>
          <w:p>
            <w:pPr>
              <w:pStyle w:val="TableParagraph"/>
              <w:spacing w:line="249" w:lineRule="auto" w:before="60"/>
              <w:ind w:left="253" w:right="65"/>
              <w:rPr>
                <w:sz w:val="20"/>
              </w:rPr>
            </w:pPr>
            <w:r>
              <w:rPr>
                <w:sz w:val="20"/>
              </w:rPr>
              <w:t>эозинофильная гранулема (гистиоцитоз</w:t>
            </w:r>
            <w:r>
              <w:rPr>
                <w:spacing w:val="-13"/>
                <w:sz w:val="20"/>
              </w:rPr>
              <w:t> </w:t>
            </w:r>
            <w:r>
              <w:rPr>
                <w:sz w:val="20"/>
              </w:rPr>
              <w:t>из</w:t>
            </w:r>
            <w:r>
              <w:rPr>
                <w:spacing w:val="-12"/>
                <w:sz w:val="20"/>
              </w:rPr>
              <w:t> </w:t>
            </w:r>
            <w:r>
              <w:rPr>
                <w:sz w:val="20"/>
              </w:rPr>
              <w:t>клеток</w:t>
            </w:r>
            <w:r>
              <w:rPr>
                <w:spacing w:val="-13"/>
                <w:sz w:val="20"/>
              </w:rPr>
              <w:t> </w:t>
            </w:r>
            <w:r>
              <w:rPr>
                <w:sz w:val="20"/>
              </w:rPr>
              <w:t>Лангерганса монофокальная форма)</w:t>
            </w:r>
          </w:p>
        </w:tc>
        <w:tc>
          <w:tcPr>
            <w:tcW w:w="1484" w:type="dxa"/>
          </w:tcPr>
          <w:p>
            <w:pPr>
              <w:pStyle w:val="TableParagraph"/>
              <w:rPr>
                <w:sz w:val="18"/>
              </w:rPr>
            </w:pPr>
          </w:p>
        </w:tc>
        <w:tc>
          <w:tcPr>
            <w:tcW w:w="3961" w:type="dxa"/>
          </w:tcPr>
          <w:p>
            <w:pPr>
              <w:pStyle w:val="TableParagraph"/>
              <w:rPr>
                <w:sz w:val="18"/>
              </w:rPr>
            </w:pPr>
          </w:p>
        </w:tc>
        <w:tc>
          <w:tcPr>
            <w:tcW w:w="968" w:type="dxa"/>
          </w:tcPr>
          <w:p>
            <w:pPr>
              <w:pStyle w:val="TableParagraph"/>
              <w:rPr>
                <w:sz w:val="18"/>
              </w:rPr>
            </w:pPr>
          </w:p>
        </w:tc>
      </w:tr>
      <w:tr>
        <w:trPr>
          <w:trHeight w:val="4440" w:hRule="atLeast"/>
        </w:trPr>
        <w:tc>
          <w:tcPr>
            <w:tcW w:w="384" w:type="dxa"/>
          </w:tcPr>
          <w:p>
            <w:pPr>
              <w:pStyle w:val="TableParagraph"/>
              <w:spacing w:before="60"/>
              <w:ind w:left="50"/>
              <w:rPr>
                <w:sz w:val="20"/>
              </w:rPr>
            </w:pPr>
            <w:r>
              <w:rPr>
                <w:spacing w:val="-5"/>
                <w:sz w:val="20"/>
              </w:rPr>
              <w:t>8.</w:t>
            </w:r>
          </w:p>
        </w:tc>
        <w:tc>
          <w:tcPr>
            <w:tcW w:w="3029" w:type="dxa"/>
          </w:tcPr>
          <w:p>
            <w:pPr>
              <w:pStyle w:val="TableParagraph"/>
              <w:spacing w:line="249" w:lineRule="auto" w:before="60"/>
              <w:ind w:left="181" w:right="227"/>
              <w:rPr>
                <w:sz w:val="20"/>
              </w:rPr>
            </w:pPr>
            <w:r>
              <w:rPr>
                <w:sz w:val="20"/>
              </w:rPr>
              <w:t>Комплексное консервативное лечение и реконструктивно- 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w:t>
            </w:r>
            <w:r>
              <w:rPr>
                <w:spacing w:val="-13"/>
                <w:sz w:val="20"/>
              </w:rPr>
              <w:t> </w:t>
            </w:r>
            <w:r>
              <w:rPr>
                <w:sz w:val="20"/>
              </w:rPr>
              <w:t>болезнью</w:t>
            </w:r>
            <w:r>
              <w:rPr>
                <w:spacing w:val="-12"/>
                <w:sz w:val="20"/>
              </w:rPr>
              <w:t> </w:t>
            </w:r>
            <w:r>
              <w:rPr>
                <w:sz w:val="20"/>
              </w:rPr>
              <w:t>Гоше</w:t>
            </w:r>
          </w:p>
        </w:tc>
        <w:tc>
          <w:tcPr>
            <w:tcW w:w="1760" w:type="dxa"/>
          </w:tcPr>
          <w:p>
            <w:pPr>
              <w:pStyle w:val="TableParagraph"/>
              <w:spacing w:before="60"/>
              <w:ind w:left="261" w:right="246"/>
              <w:jc w:val="center"/>
              <w:rPr>
                <w:sz w:val="20"/>
              </w:rPr>
            </w:pPr>
            <w:r>
              <w:rPr>
                <w:sz w:val="20"/>
              </w:rPr>
              <w:t>D66,</w:t>
            </w:r>
            <w:r>
              <w:rPr>
                <w:spacing w:val="-2"/>
                <w:sz w:val="20"/>
              </w:rPr>
              <w:t> </w:t>
            </w:r>
            <w:r>
              <w:rPr>
                <w:sz w:val="20"/>
              </w:rPr>
              <w:t>D67,</w:t>
            </w:r>
            <w:r>
              <w:rPr>
                <w:spacing w:val="-4"/>
                <w:sz w:val="20"/>
              </w:rPr>
              <w:t> </w:t>
            </w:r>
            <w:r>
              <w:rPr>
                <w:spacing w:val="-5"/>
                <w:sz w:val="20"/>
              </w:rPr>
              <w:t>D68</w:t>
            </w:r>
          </w:p>
        </w:tc>
        <w:tc>
          <w:tcPr>
            <w:tcW w:w="3467" w:type="dxa"/>
          </w:tcPr>
          <w:p>
            <w:pPr>
              <w:pStyle w:val="TableParagraph"/>
              <w:spacing w:line="249" w:lineRule="auto" w:before="60"/>
              <w:ind w:left="253" w:right="65"/>
              <w:rPr>
                <w:sz w:val="20"/>
              </w:rPr>
            </w:pPr>
            <w:r>
              <w:rPr>
                <w:sz w:val="20"/>
              </w:rPr>
              <w:t>пациенты с наследственным и приобретенным дефицитом VIII, IX факторов, фактора Виллебранда и других</w:t>
            </w:r>
            <w:r>
              <w:rPr>
                <w:spacing w:val="-13"/>
                <w:sz w:val="20"/>
              </w:rPr>
              <w:t> </w:t>
            </w:r>
            <w:r>
              <w:rPr>
                <w:sz w:val="20"/>
              </w:rPr>
              <w:t>факторов</w:t>
            </w:r>
            <w:r>
              <w:rPr>
                <w:spacing w:val="-12"/>
                <w:sz w:val="20"/>
              </w:rPr>
              <w:t> </w:t>
            </w:r>
            <w:r>
              <w:rPr>
                <w:sz w:val="20"/>
              </w:rPr>
              <w:t>свертывания</w:t>
            </w:r>
            <w:r>
              <w:rPr>
                <w:spacing w:val="-13"/>
                <w:sz w:val="20"/>
              </w:rPr>
              <w:t> </w:t>
            </w:r>
            <w:r>
              <w:rPr>
                <w:sz w:val="20"/>
              </w:rPr>
              <w:t>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84" w:type="dxa"/>
          </w:tcPr>
          <w:p>
            <w:pPr>
              <w:pStyle w:val="TableParagraph"/>
              <w:spacing w:line="249" w:lineRule="auto" w:before="60"/>
              <w:ind w:left="94"/>
              <w:rPr>
                <w:sz w:val="20"/>
              </w:rPr>
            </w:pPr>
            <w:r>
              <w:rPr>
                <w:spacing w:val="-2"/>
                <w:sz w:val="20"/>
              </w:rPr>
              <w:t>комбинирован- </w:t>
            </w:r>
            <w:r>
              <w:rPr>
                <w:sz w:val="20"/>
              </w:rPr>
              <w:t>ное лечение</w:t>
            </w:r>
          </w:p>
        </w:tc>
        <w:tc>
          <w:tcPr>
            <w:tcW w:w="3961" w:type="dxa"/>
          </w:tcPr>
          <w:p>
            <w:pPr>
              <w:pStyle w:val="TableParagraph"/>
              <w:spacing w:line="249" w:lineRule="auto" w:before="60"/>
              <w:ind w:left="84" w:right="316"/>
              <w:rPr>
                <w:sz w:val="20"/>
              </w:rPr>
            </w:pPr>
            <w:r>
              <w:rPr>
                <w:sz w:val="20"/>
              </w:rPr>
              <w:t>комплексное лечение, включающее эфферентные и афферентные методы лечения, хирургические вмешательства на</w:t>
            </w:r>
            <w:r>
              <w:rPr>
                <w:spacing w:val="-9"/>
                <w:sz w:val="20"/>
              </w:rPr>
              <w:t> </w:t>
            </w:r>
            <w:r>
              <w:rPr>
                <w:sz w:val="20"/>
              </w:rPr>
              <w:t>органах</w:t>
            </w:r>
            <w:r>
              <w:rPr>
                <w:spacing w:val="-8"/>
                <w:sz w:val="20"/>
              </w:rPr>
              <w:t> </w:t>
            </w:r>
            <w:r>
              <w:rPr>
                <w:sz w:val="20"/>
              </w:rPr>
              <w:t>и</w:t>
            </w:r>
            <w:r>
              <w:rPr>
                <w:spacing w:val="-10"/>
                <w:sz w:val="20"/>
              </w:rPr>
              <w:t> </w:t>
            </w:r>
            <w:r>
              <w:rPr>
                <w:sz w:val="20"/>
              </w:rPr>
              <w:t>системах</w:t>
            </w:r>
            <w:r>
              <w:rPr>
                <w:spacing w:val="-10"/>
                <w:sz w:val="20"/>
              </w:rPr>
              <w:t> </w:t>
            </w:r>
            <w:r>
              <w:rPr>
                <w:sz w:val="20"/>
              </w:rPr>
              <w:t>грудной,</w:t>
            </w:r>
            <w:r>
              <w:rPr>
                <w:spacing w:val="-9"/>
                <w:sz w:val="20"/>
              </w:rPr>
              <w:t> </w:t>
            </w:r>
            <w:r>
              <w:rPr>
                <w:sz w:val="20"/>
              </w:rPr>
              <w:t>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968" w:type="dxa"/>
          </w:tcPr>
          <w:p>
            <w:pPr>
              <w:pStyle w:val="TableParagraph"/>
              <w:spacing w:before="60"/>
              <w:ind w:left="317"/>
              <w:rPr>
                <w:sz w:val="20"/>
              </w:rPr>
            </w:pPr>
            <w:r>
              <w:rPr>
                <w:spacing w:val="-2"/>
                <w:sz w:val="20"/>
              </w:rPr>
              <w:t>607658</w:t>
            </w:r>
          </w:p>
        </w:tc>
      </w:tr>
      <w:tr>
        <w:trPr>
          <w:trHeight w:val="1970" w:hRule="atLeast"/>
        </w:trPr>
        <w:tc>
          <w:tcPr>
            <w:tcW w:w="384" w:type="dxa"/>
          </w:tcPr>
          <w:p>
            <w:pPr>
              <w:pStyle w:val="TableParagraph"/>
              <w:rPr>
                <w:sz w:val="18"/>
              </w:rPr>
            </w:pPr>
          </w:p>
        </w:tc>
        <w:tc>
          <w:tcPr>
            <w:tcW w:w="3029" w:type="dxa"/>
          </w:tcPr>
          <w:p>
            <w:pPr>
              <w:pStyle w:val="TableParagraph"/>
              <w:rPr>
                <w:sz w:val="18"/>
              </w:rPr>
            </w:pPr>
          </w:p>
        </w:tc>
        <w:tc>
          <w:tcPr>
            <w:tcW w:w="1760" w:type="dxa"/>
          </w:tcPr>
          <w:p>
            <w:pPr>
              <w:pStyle w:val="TableParagraph"/>
              <w:spacing w:before="60"/>
              <w:ind w:left="260" w:right="246"/>
              <w:jc w:val="center"/>
              <w:rPr>
                <w:sz w:val="20"/>
              </w:rPr>
            </w:pPr>
            <w:r>
              <w:rPr>
                <w:spacing w:val="-2"/>
                <w:sz w:val="20"/>
              </w:rPr>
              <w:t>E75.2</w:t>
            </w:r>
          </w:p>
        </w:tc>
        <w:tc>
          <w:tcPr>
            <w:tcW w:w="3467" w:type="dxa"/>
          </w:tcPr>
          <w:p>
            <w:pPr>
              <w:pStyle w:val="TableParagraph"/>
              <w:spacing w:line="249" w:lineRule="auto" w:before="60"/>
              <w:ind w:left="253" w:right="65"/>
              <w:rPr>
                <w:sz w:val="20"/>
              </w:rPr>
            </w:pPr>
            <w:r>
              <w:rPr>
                <w:sz w:val="20"/>
              </w:rPr>
              <w:t>пациенты с болезнью Гоше со специфическим поражением внутренних органов (печени, селезенки),</w:t>
            </w:r>
            <w:r>
              <w:rPr>
                <w:spacing w:val="-13"/>
                <w:sz w:val="20"/>
              </w:rPr>
              <w:t> </w:t>
            </w:r>
            <w:r>
              <w:rPr>
                <w:sz w:val="20"/>
              </w:rPr>
              <w:t>деструкцией</w:t>
            </w:r>
            <w:r>
              <w:rPr>
                <w:spacing w:val="-12"/>
                <w:sz w:val="20"/>
              </w:rPr>
              <w:t> </w:t>
            </w:r>
            <w:r>
              <w:rPr>
                <w:sz w:val="20"/>
              </w:rPr>
              <w:t>костей</w:t>
            </w:r>
            <w:r>
              <w:rPr>
                <w:spacing w:val="-13"/>
                <w:sz w:val="20"/>
              </w:rPr>
              <w:t> </w:t>
            </w:r>
            <w:r>
              <w:rPr>
                <w:sz w:val="20"/>
              </w:rPr>
              <w:t>с патологическими переломами и поражением суставов</w:t>
            </w:r>
          </w:p>
        </w:tc>
        <w:tc>
          <w:tcPr>
            <w:tcW w:w="1484" w:type="dxa"/>
          </w:tcPr>
          <w:p>
            <w:pPr>
              <w:pStyle w:val="TableParagraph"/>
              <w:spacing w:line="249" w:lineRule="auto" w:before="60"/>
              <w:ind w:left="94"/>
              <w:rPr>
                <w:sz w:val="20"/>
              </w:rPr>
            </w:pPr>
            <w:r>
              <w:rPr>
                <w:spacing w:val="-2"/>
                <w:sz w:val="20"/>
              </w:rPr>
              <w:t>комбинирован- </w:t>
            </w:r>
            <w:r>
              <w:rPr>
                <w:sz w:val="20"/>
              </w:rPr>
              <w:t>ное лечение</w:t>
            </w:r>
          </w:p>
        </w:tc>
        <w:tc>
          <w:tcPr>
            <w:tcW w:w="3961" w:type="dxa"/>
          </w:tcPr>
          <w:p>
            <w:pPr>
              <w:pStyle w:val="TableParagraph"/>
              <w:spacing w:line="240" w:lineRule="atLeast" w:before="30"/>
              <w:ind w:left="84" w:right="316"/>
              <w:rPr>
                <w:sz w:val="20"/>
              </w:rPr>
            </w:pPr>
            <w:r>
              <w:rPr>
                <w:sz w:val="20"/>
              </w:rPr>
              <w:t>комплексное лечение, включающее эфферентные методы лечения, хирургические</w:t>
            </w:r>
            <w:r>
              <w:rPr>
                <w:spacing w:val="-13"/>
                <w:sz w:val="20"/>
              </w:rPr>
              <w:t> </w:t>
            </w:r>
            <w:r>
              <w:rPr>
                <w:sz w:val="20"/>
              </w:rPr>
              <w:t>вмешательства</w:t>
            </w:r>
            <w:r>
              <w:rPr>
                <w:spacing w:val="-12"/>
                <w:sz w:val="20"/>
              </w:rPr>
              <w:t> </w:t>
            </w:r>
            <w:r>
              <w:rPr>
                <w:sz w:val="20"/>
              </w:rPr>
              <w:t>на</w:t>
            </w:r>
            <w:r>
              <w:rPr>
                <w:spacing w:val="-13"/>
                <w:sz w:val="20"/>
              </w:rPr>
              <w:t> </w:t>
            </w:r>
            <w:r>
              <w:rPr>
                <w:sz w:val="20"/>
              </w:rPr>
              <w:t>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w:t>
            </w:r>
          </w:p>
        </w:tc>
        <w:tc>
          <w:tcPr>
            <w:tcW w:w="96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0"/>
        <w:gridCol w:w="1992"/>
        <w:gridCol w:w="3391"/>
        <w:gridCol w:w="1424"/>
        <w:gridCol w:w="3975"/>
        <w:gridCol w:w="976"/>
      </w:tblGrid>
      <w:tr>
        <w:trPr>
          <w:trHeight w:val="1237" w:hRule="atLeast"/>
        </w:trPr>
        <w:tc>
          <w:tcPr>
            <w:tcW w:w="458" w:type="dxa"/>
          </w:tcPr>
          <w:p>
            <w:pPr>
              <w:pStyle w:val="TableParagraph"/>
              <w:rPr>
                <w:sz w:val="18"/>
              </w:rPr>
            </w:pPr>
          </w:p>
        </w:tc>
        <w:tc>
          <w:tcPr>
            <w:tcW w:w="2880" w:type="dxa"/>
          </w:tcPr>
          <w:p>
            <w:pPr>
              <w:pStyle w:val="TableParagraph"/>
              <w:rPr>
                <w:sz w:val="18"/>
              </w:rPr>
            </w:pPr>
          </w:p>
        </w:tc>
        <w:tc>
          <w:tcPr>
            <w:tcW w:w="1992" w:type="dxa"/>
          </w:tcPr>
          <w:p>
            <w:pPr>
              <w:pStyle w:val="TableParagraph"/>
              <w:rPr>
                <w:sz w:val="18"/>
              </w:rPr>
            </w:pPr>
          </w:p>
        </w:tc>
        <w:tc>
          <w:tcPr>
            <w:tcW w:w="3391" w:type="dxa"/>
          </w:tcPr>
          <w:p>
            <w:pPr>
              <w:pStyle w:val="TableParagraph"/>
              <w:rPr>
                <w:sz w:val="18"/>
              </w:rPr>
            </w:pPr>
          </w:p>
        </w:tc>
        <w:tc>
          <w:tcPr>
            <w:tcW w:w="1424" w:type="dxa"/>
          </w:tcPr>
          <w:p>
            <w:pPr>
              <w:pStyle w:val="TableParagraph"/>
              <w:rPr>
                <w:sz w:val="18"/>
              </w:rPr>
            </w:pPr>
          </w:p>
        </w:tc>
        <w:tc>
          <w:tcPr>
            <w:tcW w:w="3975" w:type="dxa"/>
          </w:tcPr>
          <w:p>
            <w:pPr>
              <w:pStyle w:val="TableParagraph"/>
              <w:spacing w:line="249" w:lineRule="auto"/>
              <w:ind w:left="111" w:right="320"/>
              <w:rPr>
                <w:sz w:val="20"/>
              </w:rPr>
            </w:pPr>
            <w:r>
              <w:rPr>
                <w:sz w:val="20"/>
              </w:rPr>
              <w:t>вмешательства на конечностях</w:t>
            </w:r>
            <w:r>
              <w:rPr>
                <w:spacing w:val="-1"/>
                <w:sz w:val="20"/>
              </w:rPr>
              <w:t> </w:t>
            </w:r>
            <w:r>
              <w:rPr>
                <w:sz w:val="20"/>
              </w:rPr>
              <w:t>(костная пластика,</w:t>
            </w:r>
            <w:r>
              <w:rPr>
                <w:spacing w:val="-13"/>
                <w:sz w:val="20"/>
              </w:rPr>
              <w:t> </w:t>
            </w:r>
            <w:r>
              <w:rPr>
                <w:sz w:val="20"/>
              </w:rPr>
              <w:t>артродез,</w:t>
            </w:r>
            <w:r>
              <w:rPr>
                <w:spacing w:val="-12"/>
                <w:sz w:val="20"/>
              </w:rPr>
              <w:t> </w:t>
            </w:r>
            <w:r>
              <w:rPr>
                <w:sz w:val="20"/>
              </w:rPr>
              <w:t>мышечная</w:t>
            </w:r>
            <w:r>
              <w:rPr>
                <w:spacing w:val="-13"/>
                <w:sz w:val="20"/>
              </w:rPr>
              <w:t> </w:t>
            </w:r>
            <w:r>
              <w:rPr>
                <w:sz w:val="20"/>
              </w:rPr>
              <w:t>пластика, сухожильная и артропластика, корригирующая остеотомия), </w:t>
            </w:r>
            <w:r>
              <w:rPr>
                <w:spacing w:val="-2"/>
                <w:sz w:val="20"/>
              </w:rPr>
              <w:t>некросеквестрэктомию</w:t>
            </w:r>
          </w:p>
        </w:tc>
        <w:tc>
          <w:tcPr>
            <w:tcW w:w="976" w:type="dxa"/>
          </w:tcPr>
          <w:p>
            <w:pPr>
              <w:pStyle w:val="TableParagraph"/>
              <w:rPr>
                <w:sz w:val="18"/>
              </w:rPr>
            </w:pPr>
          </w:p>
        </w:tc>
      </w:tr>
      <w:tr>
        <w:trPr>
          <w:trHeight w:val="339" w:hRule="atLeast"/>
        </w:trPr>
        <w:tc>
          <w:tcPr>
            <w:tcW w:w="458" w:type="dxa"/>
          </w:tcPr>
          <w:p>
            <w:pPr>
              <w:pStyle w:val="TableParagraph"/>
              <w:rPr>
                <w:sz w:val="18"/>
              </w:rPr>
            </w:pPr>
          </w:p>
        </w:tc>
        <w:tc>
          <w:tcPr>
            <w:tcW w:w="2880" w:type="dxa"/>
          </w:tcPr>
          <w:p>
            <w:pPr>
              <w:pStyle w:val="TableParagraph"/>
              <w:rPr>
                <w:sz w:val="18"/>
              </w:rPr>
            </w:pPr>
          </w:p>
        </w:tc>
        <w:tc>
          <w:tcPr>
            <w:tcW w:w="1992" w:type="dxa"/>
          </w:tcPr>
          <w:p>
            <w:pPr>
              <w:pStyle w:val="TableParagraph"/>
              <w:rPr>
                <w:sz w:val="18"/>
              </w:rPr>
            </w:pPr>
          </w:p>
        </w:tc>
        <w:tc>
          <w:tcPr>
            <w:tcW w:w="3391" w:type="dxa"/>
          </w:tcPr>
          <w:p>
            <w:pPr>
              <w:pStyle w:val="TableParagraph"/>
              <w:spacing w:before="49"/>
              <w:ind w:left="1477"/>
              <w:rPr>
                <w:sz w:val="20"/>
              </w:rPr>
            </w:pPr>
            <w:r>
              <w:rPr>
                <w:spacing w:val="-2"/>
                <w:sz w:val="20"/>
              </w:rPr>
              <w:t>Дерматовенерология</w:t>
            </w:r>
          </w:p>
        </w:tc>
        <w:tc>
          <w:tcPr>
            <w:tcW w:w="1424" w:type="dxa"/>
          </w:tcPr>
          <w:p>
            <w:pPr>
              <w:pStyle w:val="TableParagraph"/>
              <w:rPr>
                <w:sz w:val="18"/>
              </w:rPr>
            </w:pPr>
          </w:p>
        </w:tc>
        <w:tc>
          <w:tcPr>
            <w:tcW w:w="3975" w:type="dxa"/>
          </w:tcPr>
          <w:p>
            <w:pPr>
              <w:pStyle w:val="TableParagraph"/>
              <w:rPr>
                <w:sz w:val="18"/>
              </w:rPr>
            </w:pPr>
          </w:p>
        </w:tc>
        <w:tc>
          <w:tcPr>
            <w:tcW w:w="976" w:type="dxa"/>
          </w:tcPr>
          <w:p>
            <w:pPr>
              <w:pStyle w:val="TableParagraph"/>
              <w:rPr>
                <w:sz w:val="18"/>
              </w:rPr>
            </w:pPr>
          </w:p>
        </w:tc>
      </w:tr>
      <w:tr>
        <w:trPr>
          <w:trHeight w:val="1540" w:hRule="atLeast"/>
        </w:trPr>
        <w:tc>
          <w:tcPr>
            <w:tcW w:w="458" w:type="dxa"/>
          </w:tcPr>
          <w:p>
            <w:pPr>
              <w:pStyle w:val="TableParagraph"/>
              <w:spacing w:before="51"/>
              <w:ind w:left="97"/>
              <w:rPr>
                <w:sz w:val="20"/>
              </w:rPr>
            </w:pPr>
            <w:r>
              <w:rPr>
                <w:spacing w:val="-5"/>
                <w:sz w:val="20"/>
              </w:rPr>
              <w:t>9.</w:t>
            </w:r>
          </w:p>
        </w:tc>
        <w:tc>
          <w:tcPr>
            <w:tcW w:w="2880" w:type="dxa"/>
          </w:tcPr>
          <w:p>
            <w:pPr>
              <w:pStyle w:val="TableParagraph"/>
              <w:spacing w:line="249" w:lineRule="auto" w:before="53"/>
              <w:ind w:left="155" w:right="179"/>
              <w:rPr>
                <w:sz w:val="20"/>
              </w:rPr>
            </w:pPr>
            <w:r>
              <w:rPr>
                <w:sz w:val="20"/>
              </w:rPr>
              <w:t>Комплексное</w:t>
            </w:r>
            <w:r>
              <w:rPr>
                <w:spacing w:val="-13"/>
                <w:sz w:val="20"/>
              </w:rPr>
              <w:t> </w:t>
            </w:r>
            <w:r>
              <w:rPr>
                <w:sz w:val="20"/>
              </w:rPr>
              <w:t>лечение</w:t>
            </w:r>
            <w:r>
              <w:rPr>
                <w:spacing w:val="-12"/>
                <w:sz w:val="20"/>
              </w:rPr>
              <w:t> </w:t>
            </w:r>
            <w:r>
              <w:rPr>
                <w:sz w:val="20"/>
              </w:rPr>
              <w:t>ранних стадий</w:t>
            </w:r>
            <w:r>
              <w:rPr>
                <w:spacing w:val="-13"/>
                <w:sz w:val="20"/>
              </w:rPr>
              <w:t> </w:t>
            </w:r>
            <w:r>
              <w:rPr>
                <w:sz w:val="20"/>
              </w:rPr>
              <w:t>грибовидного</w:t>
            </w:r>
            <w:r>
              <w:rPr>
                <w:spacing w:val="-11"/>
                <w:sz w:val="20"/>
              </w:rPr>
              <w:t> </w:t>
            </w:r>
            <w:r>
              <w:rPr>
                <w:sz w:val="20"/>
              </w:rPr>
              <w:t>микоза, </w:t>
            </w:r>
            <w:r>
              <w:rPr>
                <w:spacing w:val="-2"/>
                <w:sz w:val="20"/>
              </w:rPr>
              <w:t>включая </w:t>
            </w:r>
            <w:r>
              <w:rPr>
                <w:sz w:val="20"/>
              </w:rPr>
              <w:t>бальнеофотохимиотерапию</w:t>
            </w:r>
            <w:r>
              <w:rPr>
                <w:spacing w:val="-13"/>
                <w:sz w:val="20"/>
              </w:rPr>
              <w:t> </w:t>
            </w:r>
            <w:r>
              <w:rPr>
                <w:sz w:val="20"/>
              </w:rPr>
              <w:t>и </w:t>
            </w:r>
            <w:r>
              <w:rPr>
                <w:spacing w:val="-2"/>
                <w:sz w:val="20"/>
              </w:rPr>
              <w:t>иммуносупрессивную терапию</w:t>
            </w:r>
          </w:p>
        </w:tc>
        <w:tc>
          <w:tcPr>
            <w:tcW w:w="1992" w:type="dxa"/>
          </w:tcPr>
          <w:p>
            <w:pPr>
              <w:pStyle w:val="TableParagraph"/>
              <w:spacing w:before="51"/>
              <w:ind w:left="161" w:right="132"/>
              <w:jc w:val="center"/>
              <w:rPr>
                <w:sz w:val="20"/>
              </w:rPr>
            </w:pPr>
            <w:r>
              <w:rPr>
                <w:spacing w:val="-4"/>
                <w:sz w:val="20"/>
              </w:rPr>
              <w:t>С84.0</w:t>
            </w:r>
          </w:p>
        </w:tc>
        <w:tc>
          <w:tcPr>
            <w:tcW w:w="3391" w:type="dxa"/>
          </w:tcPr>
          <w:p>
            <w:pPr>
              <w:pStyle w:val="TableParagraph"/>
              <w:spacing w:line="249" w:lineRule="auto" w:before="53"/>
              <w:ind w:left="145" w:right="91"/>
              <w:rPr>
                <w:sz w:val="20"/>
              </w:rPr>
            </w:pPr>
            <w:r>
              <w:rPr>
                <w:sz w:val="20"/>
              </w:rPr>
              <w:t>ранние</w:t>
            </w:r>
            <w:r>
              <w:rPr>
                <w:spacing w:val="-13"/>
                <w:sz w:val="20"/>
              </w:rPr>
              <w:t> </w:t>
            </w:r>
            <w:r>
              <w:rPr>
                <w:sz w:val="20"/>
              </w:rPr>
              <w:t>стадии</w:t>
            </w:r>
            <w:r>
              <w:rPr>
                <w:spacing w:val="-12"/>
                <w:sz w:val="20"/>
              </w:rPr>
              <w:t> </w:t>
            </w:r>
            <w:r>
              <w:rPr>
                <w:sz w:val="20"/>
              </w:rPr>
              <w:t>грибовидного</w:t>
            </w:r>
            <w:r>
              <w:rPr>
                <w:spacing w:val="-13"/>
                <w:sz w:val="20"/>
              </w:rPr>
              <w:t> </w:t>
            </w:r>
            <w:r>
              <w:rPr>
                <w:sz w:val="20"/>
              </w:rPr>
              <w:t>микоза кожи - IA, IB, IIA стадий при неэффективности предшествующей фототерапии или при прогрессировании заболевания</w:t>
            </w:r>
          </w:p>
        </w:tc>
        <w:tc>
          <w:tcPr>
            <w:tcW w:w="1424" w:type="dxa"/>
          </w:tcPr>
          <w:p>
            <w:pPr>
              <w:pStyle w:val="TableParagraph"/>
              <w:spacing w:line="247" w:lineRule="auto" w:before="53"/>
              <w:ind w:left="61"/>
              <w:rPr>
                <w:sz w:val="20"/>
              </w:rPr>
            </w:pPr>
            <w:r>
              <w:rPr>
                <w:spacing w:val="-2"/>
                <w:sz w:val="20"/>
              </w:rPr>
              <w:t>терапевтичес- </w:t>
            </w:r>
            <w:r>
              <w:rPr>
                <w:sz w:val="20"/>
              </w:rPr>
              <w:t>кое лечение</w:t>
            </w:r>
          </w:p>
        </w:tc>
        <w:tc>
          <w:tcPr>
            <w:tcW w:w="3975" w:type="dxa"/>
          </w:tcPr>
          <w:p>
            <w:pPr>
              <w:pStyle w:val="TableParagraph"/>
              <w:spacing w:line="249" w:lineRule="auto" w:before="53"/>
              <w:ind w:left="111" w:right="320"/>
              <w:rPr>
                <w:sz w:val="20"/>
              </w:rPr>
            </w:pPr>
            <w:r>
              <w:rPr>
                <w:sz w:val="20"/>
              </w:rPr>
              <w:t>комплексное</w:t>
            </w:r>
            <w:r>
              <w:rPr>
                <w:spacing w:val="-13"/>
                <w:sz w:val="20"/>
              </w:rPr>
              <w:t> </w:t>
            </w:r>
            <w:r>
              <w:rPr>
                <w:sz w:val="20"/>
              </w:rPr>
              <w:t>лечение</w:t>
            </w:r>
            <w:r>
              <w:rPr>
                <w:spacing w:val="-12"/>
                <w:sz w:val="20"/>
              </w:rPr>
              <w:t> </w:t>
            </w:r>
            <w:r>
              <w:rPr>
                <w:sz w:val="20"/>
              </w:rPr>
              <w:t>ранних</w:t>
            </w:r>
            <w:r>
              <w:rPr>
                <w:spacing w:val="-13"/>
                <w:sz w:val="20"/>
              </w:rPr>
              <w:t> </w:t>
            </w:r>
            <w:r>
              <w:rPr>
                <w:sz w:val="20"/>
              </w:rPr>
              <w:t>стадий грибовидного микоза, включая бальнеофотохимиотерапию и иммуносупрессивную терапию</w:t>
            </w:r>
          </w:p>
        </w:tc>
        <w:tc>
          <w:tcPr>
            <w:tcW w:w="976" w:type="dxa"/>
          </w:tcPr>
          <w:p>
            <w:pPr>
              <w:pStyle w:val="TableParagraph"/>
              <w:spacing w:before="51"/>
              <w:ind w:right="43"/>
              <w:jc w:val="right"/>
              <w:rPr>
                <w:sz w:val="20"/>
              </w:rPr>
            </w:pPr>
            <w:r>
              <w:rPr>
                <w:spacing w:val="-2"/>
                <w:sz w:val="20"/>
              </w:rPr>
              <w:t>164292</w:t>
            </w:r>
          </w:p>
        </w:tc>
      </w:tr>
      <w:tr>
        <w:trPr>
          <w:trHeight w:val="339" w:hRule="atLeast"/>
        </w:trPr>
        <w:tc>
          <w:tcPr>
            <w:tcW w:w="15096" w:type="dxa"/>
            <w:gridSpan w:val="7"/>
          </w:tcPr>
          <w:p>
            <w:pPr>
              <w:pStyle w:val="TableParagraph"/>
              <w:spacing w:before="51"/>
              <w:ind w:left="5760" w:right="5456"/>
              <w:jc w:val="center"/>
              <w:rPr>
                <w:sz w:val="20"/>
              </w:rPr>
            </w:pPr>
            <w:r>
              <w:rPr>
                <w:sz w:val="20"/>
              </w:rPr>
              <w:t>Детская</w:t>
            </w:r>
            <w:r>
              <w:rPr>
                <w:spacing w:val="-6"/>
                <w:sz w:val="20"/>
              </w:rPr>
              <w:t> </w:t>
            </w:r>
            <w:r>
              <w:rPr>
                <w:sz w:val="20"/>
              </w:rPr>
              <w:t>хирургия</w:t>
            </w:r>
            <w:r>
              <w:rPr>
                <w:spacing w:val="-8"/>
                <w:sz w:val="20"/>
              </w:rPr>
              <w:t> </w:t>
            </w:r>
            <w:r>
              <w:rPr>
                <w:sz w:val="20"/>
              </w:rPr>
              <w:t>в</w:t>
            </w:r>
            <w:r>
              <w:rPr>
                <w:spacing w:val="-5"/>
                <w:sz w:val="20"/>
              </w:rPr>
              <w:t> </w:t>
            </w:r>
            <w:r>
              <w:rPr>
                <w:sz w:val="20"/>
              </w:rPr>
              <w:t>период</w:t>
            </w:r>
            <w:r>
              <w:rPr>
                <w:spacing w:val="-5"/>
                <w:sz w:val="20"/>
              </w:rPr>
              <w:t> </w:t>
            </w:r>
            <w:r>
              <w:rPr>
                <w:spacing w:val="-2"/>
                <w:sz w:val="20"/>
              </w:rPr>
              <w:t>новорожденности</w:t>
            </w:r>
          </w:p>
        </w:tc>
      </w:tr>
      <w:tr>
        <w:trPr>
          <w:trHeight w:val="1299" w:hRule="atLeast"/>
        </w:trPr>
        <w:tc>
          <w:tcPr>
            <w:tcW w:w="458" w:type="dxa"/>
          </w:tcPr>
          <w:p>
            <w:pPr>
              <w:pStyle w:val="TableParagraph"/>
              <w:spacing w:before="50"/>
              <w:ind w:left="50"/>
              <w:rPr>
                <w:sz w:val="20"/>
              </w:rPr>
            </w:pPr>
            <w:r>
              <w:rPr>
                <w:spacing w:val="-5"/>
                <w:sz w:val="20"/>
              </w:rPr>
              <w:t>10.</w:t>
            </w:r>
          </w:p>
        </w:tc>
        <w:tc>
          <w:tcPr>
            <w:tcW w:w="2880" w:type="dxa"/>
          </w:tcPr>
          <w:p>
            <w:pPr>
              <w:pStyle w:val="TableParagraph"/>
              <w:spacing w:line="249" w:lineRule="auto" w:before="52"/>
              <w:ind w:left="155" w:right="164"/>
              <w:rPr>
                <w:sz w:val="20"/>
              </w:rPr>
            </w:pPr>
            <w:r>
              <w:rPr>
                <w:spacing w:val="-2"/>
                <w:sz w:val="20"/>
              </w:rPr>
              <w:t>Реконструктивно- </w:t>
            </w:r>
            <w:r>
              <w:rPr>
                <w:sz w:val="20"/>
              </w:rPr>
              <w:t>пластические операции на тонкой и толстой кишке у новорожденных,</w:t>
            </w:r>
            <w:r>
              <w:rPr>
                <w:spacing w:val="-13"/>
                <w:sz w:val="20"/>
              </w:rPr>
              <w:t> </w:t>
            </w:r>
            <w:r>
              <w:rPr>
                <w:sz w:val="20"/>
              </w:rPr>
              <w:t>в</w:t>
            </w:r>
            <w:r>
              <w:rPr>
                <w:spacing w:val="-12"/>
                <w:sz w:val="20"/>
              </w:rPr>
              <w:t> </w:t>
            </w:r>
            <w:r>
              <w:rPr>
                <w:sz w:val="20"/>
              </w:rPr>
              <w:t>том</w:t>
            </w:r>
            <w:r>
              <w:rPr>
                <w:spacing w:val="-13"/>
                <w:sz w:val="20"/>
              </w:rPr>
              <w:t> </w:t>
            </w:r>
            <w:r>
              <w:rPr>
                <w:sz w:val="20"/>
              </w:rPr>
              <w:t>числе </w:t>
            </w:r>
            <w:r>
              <w:rPr>
                <w:spacing w:val="-2"/>
                <w:sz w:val="20"/>
              </w:rPr>
              <w:t>лапароскопические</w:t>
            </w:r>
          </w:p>
        </w:tc>
        <w:tc>
          <w:tcPr>
            <w:tcW w:w="1992" w:type="dxa"/>
          </w:tcPr>
          <w:p>
            <w:pPr>
              <w:pStyle w:val="TableParagraph"/>
              <w:spacing w:before="50"/>
              <w:ind w:left="161" w:right="133"/>
              <w:jc w:val="center"/>
              <w:rPr>
                <w:sz w:val="20"/>
              </w:rPr>
            </w:pPr>
            <w:r>
              <w:rPr>
                <w:sz w:val="20"/>
              </w:rPr>
              <w:t>Q41,</w:t>
            </w:r>
            <w:r>
              <w:rPr>
                <w:spacing w:val="-2"/>
                <w:sz w:val="20"/>
              </w:rPr>
              <w:t> </w:t>
            </w:r>
            <w:r>
              <w:rPr>
                <w:spacing w:val="-5"/>
                <w:sz w:val="20"/>
              </w:rPr>
              <w:t>Q42</w:t>
            </w:r>
          </w:p>
        </w:tc>
        <w:tc>
          <w:tcPr>
            <w:tcW w:w="3391" w:type="dxa"/>
          </w:tcPr>
          <w:p>
            <w:pPr>
              <w:pStyle w:val="TableParagraph"/>
              <w:spacing w:line="249" w:lineRule="auto" w:before="52"/>
              <w:ind w:left="145"/>
              <w:rPr>
                <w:sz w:val="20"/>
              </w:rPr>
            </w:pPr>
            <w:r>
              <w:rPr>
                <w:sz w:val="20"/>
              </w:rPr>
              <w:t>врожденная</w:t>
            </w:r>
            <w:r>
              <w:rPr>
                <w:spacing w:val="-11"/>
                <w:sz w:val="20"/>
              </w:rPr>
              <w:t> </w:t>
            </w:r>
            <w:r>
              <w:rPr>
                <w:sz w:val="20"/>
              </w:rPr>
              <w:t>атрезия</w:t>
            </w:r>
            <w:r>
              <w:rPr>
                <w:spacing w:val="-11"/>
                <w:sz w:val="20"/>
              </w:rPr>
              <w:t> </w:t>
            </w:r>
            <w:r>
              <w:rPr>
                <w:sz w:val="20"/>
              </w:rPr>
              <w:t>и</w:t>
            </w:r>
            <w:r>
              <w:rPr>
                <w:spacing w:val="-11"/>
                <w:sz w:val="20"/>
              </w:rPr>
              <w:t> </w:t>
            </w:r>
            <w:r>
              <w:rPr>
                <w:sz w:val="20"/>
              </w:rPr>
              <w:t>стеноз</w:t>
            </w:r>
            <w:r>
              <w:rPr>
                <w:spacing w:val="-10"/>
                <w:sz w:val="20"/>
              </w:rPr>
              <w:t> </w:t>
            </w:r>
            <w:r>
              <w:rPr>
                <w:sz w:val="20"/>
              </w:rPr>
              <w:t>тонкого кишечника. Врожденная атрезия и стеноз толстого кишечника</w:t>
            </w:r>
          </w:p>
        </w:tc>
        <w:tc>
          <w:tcPr>
            <w:tcW w:w="1424" w:type="dxa"/>
          </w:tcPr>
          <w:p>
            <w:pPr>
              <w:pStyle w:val="TableParagraph"/>
              <w:spacing w:line="247" w:lineRule="auto" w:before="52"/>
              <w:ind w:left="61"/>
              <w:rPr>
                <w:sz w:val="20"/>
              </w:rPr>
            </w:pPr>
            <w:r>
              <w:rPr>
                <w:spacing w:val="-2"/>
                <w:sz w:val="20"/>
              </w:rPr>
              <w:t>хирургическое лечение</w:t>
            </w:r>
          </w:p>
        </w:tc>
        <w:tc>
          <w:tcPr>
            <w:tcW w:w="3975" w:type="dxa"/>
          </w:tcPr>
          <w:p>
            <w:pPr>
              <w:pStyle w:val="TableParagraph"/>
              <w:spacing w:line="249" w:lineRule="auto" w:before="52"/>
              <w:ind w:left="111" w:right="320"/>
              <w:rPr>
                <w:sz w:val="20"/>
              </w:rPr>
            </w:pPr>
            <w:r>
              <w:rPr>
                <w:sz w:val="20"/>
              </w:rPr>
              <w:t>межкишечный анастомоз (бок-в-бок или конец-в-конец или конец-в-бок), в том числе</w:t>
            </w:r>
            <w:r>
              <w:rPr>
                <w:spacing w:val="-13"/>
                <w:sz w:val="20"/>
              </w:rPr>
              <w:t> </w:t>
            </w:r>
            <w:r>
              <w:rPr>
                <w:sz w:val="20"/>
              </w:rPr>
              <w:t>с</w:t>
            </w:r>
            <w:r>
              <w:rPr>
                <w:spacing w:val="-12"/>
                <w:sz w:val="20"/>
              </w:rPr>
              <w:t> </w:t>
            </w:r>
            <w:r>
              <w:rPr>
                <w:sz w:val="20"/>
              </w:rPr>
              <w:t>лапароскопической</w:t>
            </w:r>
            <w:r>
              <w:rPr>
                <w:spacing w:val="-13"/>
                <w:sz w:val="20"/>
              </w:rPr>
              <w:t> </w:t>
            </w:r>
            <w:r>
              <w:rPr>
                <w:sz w:val="20"/>
              </w:rPr>
              <w:t>ассистенцией</w:t>
            </w:r>
          </w:p>
        </w:tc>
        <w:tc>
          <w:tcPr>
            <w:tcW w:w="976" w:type="dxa"/>
          </w:tcPr>
          <w:p>
            <w:pPr>
              <w:pStyle w:val="TableParagraph"/>
              <w:spacing w:before="50"/>
              <w:ind w:right="43"/>
              <w:jc w:val="right"/>
              <w:rPr>
                <w:sz w:val="20"/>
              </w:rPr>
            </w:pPr>
            <w:r>
              <w:rPr>
                <w:spacing w:val="-2"/>
                <w:sz w:val="20"/>
              </w:rPr>
              <w:t>397899</w:t>
            </w:r>
          </w:p>
        </w:tc>
      </w:tr>
      <w:tr>
        <w:trPr>
          <w:trHeight w:val="822" w:hRule="atLeast"/>
        </w:trPr>
        <w:tc>
          <w:tcPr>
            <w:tcW w:w="458" w:type="dxa"/>
          </w:tcPr>
          <w:p>
            <w:pPr>
              <w:pStyle w:val="TableParagraph"/>
              <w:rPr>
                <w:sz w:val="18"/>
              </w:rPr>
            </w:pPr>
          </w:p>
        </w:tc>
        <w:tc>
          <w:tcPr>
            <w:tcW w:w="2880" w:type="dxa"/>
            <w:vMerge w:val="restart"/>
          </w:tcPr>
          <w:p>
            <w:pPr>
              <w:pStyle w:val="TableParagraph"/>
              <w:spacing w:line="249" w:lineRule="auto" w:before="53"/>
              <w:ind w:left="155" w:right="164"/>
              <w:rPr>
                <w:sz w:val="20"/>
              </w:rPr>
            </w:pPr>
            <w:r>
              <w:rPr>
                <w:sz w:val="20"/>
              </w:rPr>
              <w:t>Хирургическое лечение диафрагмальной грыжи, гастрошизиса</w:t>
            </w:r>
            <w:r>
              <w:rPr>
                <w:spacing w:val="-13"/>
                <w:sz w:val="20"/>
              </w:rPr>
              <w:t> </w:t>
            </w:r>
            <w:r>
              <w:rPr>
                <w:sz w:val="20"/>
              </w:rPr>
              <w:t>и</w:t>
            </w:r>
            <w:r>
              <w:rPr>
                <w:spacing w:val="-12"/>
                <w:sz w:val="20"/>
              </w:rPr>
              <w:t> </w:t>
            </w:r>
            <w:r>
              <w:rPr>
                <w:sz w:val="20"/>
              </w:rPr>
              <w:t>омфалоцеле</w:t>
            </w:r>
            <w:r>
              <w:rPr>
                <w:spacing w:val="-12"/>
                <w:sz w:val="20"/>
              </w:rPr>
              <w:t> </w:t>
            </w:r>
            <w:r>
              <w:rPr>
                <w:sz w:val="20"/>
              </w:rPr>
              <w:t>у новорожденных, в том числе торако- и лапароскопическое</w:t>
            </w:r>
          </w:p>
        </w:tc>
        <w:tc>
          <w:tcPr>
            <w:tcW w:w="1992" w:type="dxa"/>
          </w:tcPr>
          <w:p>
            <w:pPr>
              <w:pStyle w:val="TableParagraph"/>
              <w:spacing w:before="51"/>
              <w:ind w:left="161" w:right="135"/>
              <w:jc w:val="center"/>
              <w:rPr>
                <w:sz w:val="20"/>
              </w:rPr>
            </w:pPr>
            <w:r>
              <w:rPr>
                <w:sz w:val="20"/>
              </w:rPr>
              <w:t>Q79.0,</w:t>
            </w:r>
            <w:r>
              <w:rPr>
                <w:spacing w:val="-4"/>
                <w:sz w:val="20"/>
              </w:rPr>
              <w:t> </w:t>
            </w:r>
            <w:r>
              <w:rPr>
                <w:sz w:val="20"/>
              </w:rPr>
              <w:t>Q79.2,</w:t>
            </w:r>
            <w:r>
              <w:rPr>
                <w:spacing w:val="-5"/>
                <w:sz w:val="20"/>
              </w:rPr>
              <w:t> </w:t>
            </w:r>
            <w:r>
              <w:rPr>
                <w:spacing w:val="-4"/>
                <w:sz w:val="20"/>
              </w:rPr>
              <w:t>Q79.3</w:t>
            </w:r>
          </w:p>
        </w:tc>
        <w:tc>
          <w:tcPr>
            <w:tcW w:w="3391" w:type="dxa"/>
          </w:tcPr>
          <w:p>
            <w:pPr>
              <w:pStyle w:val="TableParagraph"/>
              <w:spacing w:line="247" w:lineRule="auto" w:before="53"/>
              <w:ind w:left="145" w:right="91"/>
              <w:rPr>
                <w:sz w:val="20"/>
              </w:rPr>
            </w:pPr>
            <w:r>
              <w:rPr>
                <w:sz w:val="20"/>
              </w:rPr>
              <w:t>врожденная</w:t>
            </w:r>
            <w:r>
              <w:rPr>
                <w:spacing w:val="-13"/>
                <w:sz w:val="20"/>
              </w:rPr>
              <w:t> </w:t>
            </w:r>
            <w:r>
              <w:rPr>
                <w:sz w:val="20"/>
              </w:rPr>
              <w:t>диафрагмальная</w:t>
            </w:r>
            <w:r>
              <w:rPr>
                <w:spacing w:val="-12"/>
                <w:sz w:val="20"/>
              </w:rPr>
              <w:t> </w:t>
            </w:r>
            <w:r>
              <w:rPr>
                <w:sz w:val="20"/>
              </w:rPr>
              <w:t>грыжа. Омфалоцеле. Гастрошизис</w:t>
            </w:r>
          </w:p>
        </w:tc>
        <w:tc>
          <w:tcPr>
            <w:tcW w:w="1424" w:type="dxa"/>
          </w:tcPr>
          <w:p>
            <w:pPr>
              <w:pStyle w:val="TableParagraph"/>
              <w:spacing w:line="247" w:lineRule="auto" w:before="53"/>
              <w:ind w:left="61"/>
              <w:rPr>
                <w:sz w:val="20"/>
              </w:rPr>
            </w:pPr>
            <w:r>
              <w:rPr>
                <w:spacing w:val="-2"/>
                <w:sz w:val="20"/>
              </w:rPr>
              <w:t>хирургическое лечение</w:t>
            </w:r>
          </w:p>
        </w:tc>
        <w:tc>
          <w:tcPr>
            <w:tcW w:w="3975" w:type="dxa"/>
          </w:tcPr>
          <w:p>
            <w:pPr>
              <w:pStyle w:val="TableParagraph"/>
              <w:spacing w:line="249" w:lineRule="auto" w:before="53"/>
              <w:ind w:left="111" w:right="320"/>
              <w:rPr>
                <w:sz w:val="20"/>
              </w:rPr>
            </w:pPr>
            <w:r>
              <w:rPr>
                <w:sz w:val="20"/>
              </w:rPr>
              <w:t>пластика диафрагмы, в том числе торакоскопическая,</w:t>
            </w:r>
            <w:r>
              <w:rPr>
                <w:spacing w:val="-13"/>
                <w:sz w:val="20"/>
              </w:rPr>
              <w:t> </w:t>
            </w:r>
            <w:r>
              <w:rPr>
                <w:sz w:val="20"/>
              </w:rPr>
              <w:t>с</w:t>
            </w:r>
            <w:r>
              <w:rPr>
                <w:spacing w:val="-12"/>
                <w:sz w:val="20"/>
              </w:rPr>
              <w:t> </w:t>
            </w:r>
            <w:r>
              <w:rPr>
                <w:sz w:val="20"/>
              </w:rPr>
              <w:t>применением синтетических материалов</w:t>
            </w:r>
          </w:p>
        </w:tc>
        <w:tc>
          <w:tcPr>
            <w:tcW w:w="976" w:type="dxa"/>
          </w:tcPr>
          <w:p>
            <w:pPr>
              <w:pStyle w:val="TableParagraph"/>
              <w:rPr>
                <w:sz w:val="18"/>
              </w:rPr>
            </w:pPr>
          </w:p>
        </w:tc>
      </w:tr>
      <w:tr>
        <w:trPr>
          <w:trHeight w:val="1060" w:hRule="atLeast"/>
        </w:trPr>
        <w:tc>
          <w:tcPr>
            <w:tcW w:w="458" w:type="dxa"/>
          </w:tcPr>
          <w:p>
            <w:pPr>
              <w:pStyle w:val="TableParagraph"/>
              <w:rPr>
                <w:sz w:val="18"/>
              </w:rPr>
            </w:pPr>
          </w:p>
        </w:tc>
        <w:tc>
          <w:tcPr>
            <w:tcW w:w="2880" w:type="dxa"/>
            <w:vMerge/>
            <w:tcBorders>
              <w:top w:val="nil"/>
            </w:tcBorders>
          </w:tcPr>
          <w:p>
            <w:pPr>
              <w:rPr>
                <w:sz w:val="2"/>
                <w:szCs w:val="2"/>
              </w:rPr>
            </w:pPr>
          </w:p>
        </w:tc>
        <w:tc>
          <w:tcPr>
            <w:tcW w:w="1992" w:type="dxa"/>
          </w:tcPr>
          <w:p>
            <w:pPr>
              <w:pStyle w:val="TableParagraph"/>
              <w:rPr>
                <w:sz w:val="18"/>
              </w:rPr>
            </w:pPr>
          </w:p>
        </w:tc>
        <w:tc>
          <w:tcPr>
            <w:tcW w:w="3391" w:type="dxa"/>
          </w:tcPr>
          <w:p>
            <w:pPr>
              <w:pStyle w:val="TableParagraph"/>
              <w:rPr>
                <w:sz w:val="18"/>
              </w:rPr>
            </w:pPr>
          </w:p>
        </w:tc>
        <w:tc>
          <w:tcPr>
            <w:tcW w:w="1424" w:type="dxa"/>
          </w:tcPr>
          <w:p>
            <w:pPr>
              <w:pStyle w:val="TableParagraph"/>
              <w:rPr>
                <w:sz w:val="18"/>
              </w:rPr>
            </w:pPr>
          </w:p>
        </w:tc>
        <w:tc>
          <w:tcPr>
            <w:tcW w:w="3975" w:type="dxa"/>
          </w:tcPr>
          <w:p>
            <w:pPr>
              <w:pStyle w:val="TableParagraph"/>
              <w:spacing w:line="249" w:lineRule="auto" w:before="52"/>
              <w:ind w:left="111" w:right="678"/>
              <w:rPr>
                <w:sz w:val="20"/>
              </w:rPr>
            </w:pPr>
            <w:r>
              <w:rPr>
                <w:sz w:val="20"/>
              </w:rPr>
              <w:t>пластика</w:t>
            </w:r>
            <w:r>
              <w:rPr>
                <w:spacing w:val="-13"/>
                <w:sz w:val="20"/>
              </w:rPr>
              <w:t> </w:t>
            </w:r>
            <w:r>
              <w:rPr>
                <w:sz w:val="20"/>
              </w:rPr>
              <w:t>передней</w:t>
            </w:r>
            <w:r>
              <w:rPr>
                <w:spacing w:val="-12"/>
                <w:sz w:val="20"/>
              </w:rPr>
              <w:t> </w:t>
            </w:r>
            <w:r>
              <w:rPr>
                <w:sz w:val="20"/>
              </w:rPr>
              <w:t>брюшной</w:t>
            </w:r>
            <w:r>
              <w:rPr>
                <w:spacing w:val="-13"/>
                <w:sz w:val="20"/>
              </w:rPr>
              <w:t> </w:t>
            </w:r>
            <w:r>
              <w:rPr>
                <w:sz w:val="20"/>
              </w:rPr>
              <w:t>стенки, в том числе с применением синтетических</w:t>
            </w:r>
            <w:r>
              <w:rPr>
                <w:spacing w:val="-2"/>
                <w:sz w:val="20"/>
              </w:rPr>
              <w:t> </w:t>
            </w:r>
            <w:r>
              <w:rPr>
                <w:sz w:val="20"/>
              </w:rPr>
              <w:t>материалов, включая этапные операции</w:t>
            </w:r>
          </w:p>
        </w:tc>
        <w:tc>
          <w:tcPr>
            <w:tcW w:w="976" w:type="dxa"/>
          </w:tcPr>
          <w:p>
            <w:pPr>
              <w:pStyle w:val="TableParagraph"/>
              <w:rPr>
                <w:sz w:val="18"/>
              </w:rPr>
            </w:pPr>
          </w:p>
        </w:tc>
      </w:tr>
      <w:tr>
        <w:trPr>
          <w:trHeight w:val="760" w:hRule="atLeast"/>
        </w:trPr>
        <w:tc>
          <w:tcPr>
            <w:tcW w:w="458" w:type="dxa"/>
          </w:tcPr>
          <w:p>
            <w:pPr>
              <w:pStyle w:val="TableParagraph"/>
              <w:rPr>
                <w:sz w:val="18"/>
              </w:rPr>
            </w:pPr>
          </w:p>
        </w:tc>
        <w:tc>
          <w:tcPr>
            <w:tcW w:w="2880" w:type="dxa"/>
          </w:tcPr>
          <w:p>
            <w:pPr>
              <w:pStyle w:val="TableParagraph"/>
              <w:rPr>
                <w:sz w:val="18"/>
              </w:rPr>
            </w:pPr>
          </w:p>
        </w:tc>
        <w:tc>
          <w:tcPr>
            <w:tcW w:w="1992" w:type="dxa"/>
          </w:tcPr>
          <w:p>
            <w:pPr>
              <w:pStyle w:val="TableParagraph"/>
              <w:rPr>
                <w:sz w:val="18"/>
              </w:rPr>
            </w:pPr>
          </w:p>
        </w:tc>
        <w:tc>
          <w:tcPr>
            <w:tcW w:w="3391" w:type="dxa"/>
          </w:tcPr>
          <w:p>
            <w:pPr>
              <w:pStyle w:val="TableParagraph"/>
              <w:rPr>
                <w:sz w:val="18"/>
              </w:rPr>
            </w:pPr>
          </w:p>
        </w:tc>
        <w:tc>
          <w:tcPr>
            <w:tcW w:w="1424" w:type="dxa"/>
          </w:tcPr>
          <w:p>
            <w:pPr>
              <w:pStyle w:val="TableParagraph"/>
              <w:rPr>
                <w:sz w:val="18"/>
              </w:rPr>
            </w:pPr>
          </w:p>
        </w:tc>
        <w:tc>
          <w:tcPr>
            <w:tcW w:w="3975" w:type="dxa"/>
          </w:tcPr>
          <w:p>
            <w:pPr>
              <w:pStyle w:val="TableParagraph"/>
              <w:spacing w:line="240" w:lineRule="atLeast" w:before="21"/>
              <w:ind w:left="111" w:right="714"/>
              <w:jc w:val="both"/>
              <w:rPr>
                <w:sz w:val="20"/>
              </w:rPr>
            </w:pPr>
            <w:r>
              <w:rPr>
                <w:sz w:val="20"/>
              </w:rPr>
              <w:t>первичная</w:t>
            </w:r>
            <w:r>
              <w:rPr>
                <w:spacing w:val="-13"/>
                <w:sz w:val="20"/>
              </w:rPr>
              <w:t> </w:t>
            </w:r>
            <w:r>
              <w:rPr>
                <w:sz w:val="20"/>
              </w:rPr>
              <w:t>радикальная</w:t>
            </w:r>
            <w:r>
              <w:rPr>
                <w:spacing w:val="-12"/>
                <w:sz w:val="20"/>
              </w:rPr>
              <w:t> </w:t>
            </w:r>
            <w:r>
              <w:rPr>
                <w:sz w:val="20"/>
              </w:rPr>
              <w:t>циркулярная пластика</w:t>
            </w:r>
            <w:r>
              <w:rPr>
                <w:spacing w:val="-13"/>
                <w:sz w:val="20"/>
              </w:rPr>
              <w:t> </w:t>
            </w:r>
            <w:r>
              <w:rPr>
                <w:sz w:val="20"/>
              </w:rPr>
              <w:t>передней</w:t>
            </w:r>
            <w:r>
              <w:rPr>
                <w:spacing w:val="-12"/>
                <w:sz w:val="20"/>
              </w:rPr>
              <w:t> </w:t>
            </w:r>
            <w:r>
              <w:rPr>
                <w:sz w:val="20"/>
              </w:rPr>
              <w:t>брюшной</w:t>
            </w:r>
            <w:r>
              <w:rPr>
                <w:spacing w:val="-13"/>
                <w:sz w:val="20"/>
              </w:rPr>
              <w:t> </w:t>
            </w:r>
            <w:r>
              <w:rPr>
                <w:sz w:val="20"/>
              </w:rPr>
              <w:t>стенки, в том числе этапная</w:t>
            </w:r>
          </w:p>
        </w:tc>
        <w:tc>
          <w:tcPr>
            <w:tcW w:w="97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0" w:firstLine="0"/>
        <w:jc w:val="left"/>
        <w:rPr>
          <w:sz w:val="20"/>
        </w:rPr>
      </w:pPr>
      <w:r>
        <w:rPr>
          <w:spacing w:val="-2"/>
          <w:sz w:val="20"/>
        </w:rPr>
        <w:t>Реконструктивно- </w:t>
      </w:r>
      <w:r>
        <w:rPr>
          <w:sz w:val="20"/>
        </w:rPr>
        <w:t>пластические операции при опухолевидных</w:t>
      </w:r>
      <w:r>
        <w:rPr>
          <w:spacing w:val="-13"/>
          <w:sz w:val="20"/>
        </w:rPr>
        <w:t> </w:t>
      </w:r>
      <w:r>
        <w:rPr>
          <w:sz w:val="20"/>
        </w:rPr>
        <w:t>образованиях различной локализации у новорожденных, в том числе торако- и лапароскопические</w:t>
      </w:r>
    </w:p>
    <w:p>
      <w:pPr>
        <w:tabs>
          <w:tab w:pos="2273" w:val="left" w:leader="none"/>
        </w:tabs>
        <w:spacing w:before="91"/>
        <w:ind w:left="379" w:right="0" w:firstLine="0"/>
        <w:jc w:val="left"/>
        <w:rPr>
          <w:sz w:val="20"/>
        </w:rPr>
      </w:pPr>
      <w:r>
        <w:rPr/>
        <w:br w:type="column"/>
      </w:r>
      <w:r>
        <w:rPr>
          <w:sz w:val="20"/>
        </w:rPr>
        <w:t>D18,</w:t>
      </w:r>
      <w:r>
        <w:rPr>
          <w:spacing w:val="-3"/>
          <w:sz w:val="20"/>
        </w:rPr>
        <w:t> </w:t>
      </w:r>
      <w:r>
        <w:rPr>
          <w:sz w:val="20"/>
        </w:rPr>
        <w:t>D20.0,</w:t>
      </w:r>
      <w:r>
        <w:rPr>
          <w:spacing w:val="-3"/>
          <w:sz w:val="20"/>
        </w:rPr>
        <w:t> </w:t>
      </w:r>
      <w:r>
        <w:rPr>
          <w:spacing w:val="-2"/>
          <w:sz w:val="20"/>
        </w:rPr>
        <w:t>D21.5</w:t>
      </w:r>
      <w:r>
        <w:rPr>
          <w:sz w:val="20"/>
        </w:rPr>
        <w:tab/>
        <w:t>тератома.</w:t>
      </w:r>
      <w:r>
        <w:rPr>
          <w:spacing w:val="-11"/>
          <w:sz w:val="20"/>
        </w:rPr>
        <w:t> </w:t>
      </w:r>
      <w:r>
        <w:rPr>
          <w:sz w:val="20"/>
        </w:rPr>
        <w:t>Объемные</w:t>
      </w:r>
      <w:r>
        <w:rPr>
          <w:spacing w:val="-11"/>
          <w:sz w:val="20"/>
        </w:rPr>
        <w:t> </w:t>
      </w:r>
      <w:r>
        <w:rPr>
          <w:spacing w:val="-2"/>
          <w:sz w:val="20"/>
        </w:rPr>
        <w:t>образования</w:t>
      </w:r>
    </w:p>
    <w:p>
      <w:pPr>
        <w:spacing w:line="249" w:lineRule="auto" w:before="10"/>
        <w:ind w:left="2273" w:right="0" w:firstLine="0"/>
        <w:jc w:val="left"/>
        <w:rPr>
          <w:sz w:val="20"/>
        </w:rPr>
      </w:pPr>
      <w:r>
        <w:rPr>
          <w:sz w:val="20"/>
        </w:rPr>
        <w:t>забрюшинного пространства и брюшной полости. Гемангиома и лимфангиома</w:t>
      </w:r>
      <w:r>
        <w:rPr>
          <w:spacing w:val="-13"/>
          <w:sz w:val="20"/>
        </w:rPr>
        <w:t> </w:t>
      </w:r>
      <w:r>
        <w:rPr>
          <w:sz w:val="20"/>
        </w:rPr>
        <w:t>любой</w:t>
      </w:r>
      <w:r>
        <w:rPr>
          <w:spacing w:val="-12"/>
          <w:sz w:val="20"/>
        </w:rPr>
        <w:t> </w:t>
      </w:r>
      <w:r>
        <w:rPr>
          <w:sz w:val="20"/>
        </w:rPr>
        <w:t>локализации</w:t>
      </w:r>
    </w:p>
    <w:p>
      <w:pPr>
        <w:spacing w:line="249" w:lineRule="auto" w:before="91"/>
        <w:ind w:left="367" w:right="0" w:firstLine="0"/>
        <w:jc w:val="left"/>
        <w:rPr>
          <w:sz w:val="20"/>
        </w:rPr>
      </w:pPr>
      <w:r>
        <w:rPr/>
        <w:br w:type="column"/>
      </w:r>
      <w:r>
        <w:rPr>
          <w:spacing w:val="-2"/>
          <w:sz w:val="20"/>
        </w:rPr>
        <w:t>хирургическое лечение</w:t>
      </w:r>
    </w:p>
    <w:p>
      <w:pPr>
        <w:spacing w:line="249" w:lineRule="auto" w:before="91"/>
        <w:ind w:left="178" w:right="1951" w:firstLine="0"/>
        <w:jc w:val="left"/>
        <w:rPr>
          <w:sz w:val="20"/>
        </w:rPr>
      </w:pPr>
      <w:r>
        <w:rPr/>
        <w:br w:type="column"/>
      </w:r>
      <w:r>
        <w:rPr>
          <w:sz w:val="20"/>
        </w:rPr>
        <w:t>удаление крестцово-копчиковой тератомы,</w:t>
      </w:r>
      <w:r>
        <w:rPr>
          <w:spacing w:val="-6"/>
          <w:sz w:val="20"/>
        </w:rPr>
        <w:t> </w:t>
      </w:r>
      <w:r>
        <w:rPr>
          <w:sz w:val="20"/>
        </w:rPr>
        <w:t>в</w:t>
      </w:r>
      <w:r>
        <w:rPr>
          <w:spacing w:val="-8"/>
          <w:sz w:val="20"/>
        </w:rPr>
        <w:t> </w:t>
      </w:r>
      <w:r>
        <w:rPr>
          <w:sz w:val="20"/>
        </w:rPr>
        <w:t>том</w:t>
      </w:r>
      <w:r>
        <w:rPr>
          <w:spacing w:val="-6"/>
          <w:sz w:val="20"/>
        </w:rPr>
        <w:t> </w:t>
      </w:r>
      <w:r>
        <w:rPr>
          <w:sz w:val="20"/>
        </w:rPr>
        <w:t>числе</w:t>
      </w:r>
      <w:r>
        <w:rPr>
          <w:spacing w:val="-7"/>
          <w:sz w:val="20"/>
        </w:rPr>
        <w:t> </w:t>
      </w:r>
      <w:r>
        <w:rPr>
          <w:sz w:val="20"/>
        </w:rPr>
        <w:t>с</w:t>
      </w:r>
      <w:r>
        <w:rPr>
          <w:spacing w:val="-7"/>
          <w:sz w:val="20"/>
        </w:rPr>
        <w:t> </w:t>
      </w:r>
      <w:r>
        <w:rPr>
          <w:sz w:val="20"/>
        </w:rPr>
        <w:t>применением </w:t>
      </w:r>
      <w:r>
        <w:rPr>
          <w:spacing w:val="-2"/>
          <w:sz w:val="20"/>
        </w:rPr>
        <w:t>лапароскопии</w:t>
      </w:r>
    </w:p>
    <w:p>
      <w:pPr>
        <w:spacing w:line="249" w:lineRule="auto" w:before="123"/>
        <w:ind w:left="178" w:right="1951" w:firstLine="0"/>
        <w:jc w:val="left"/>
        <w:rPr>
          <w:sz w:val="20"/>
        </w:rPr>
      </w:pPr>
      <w:r>
        <w:rPr>
          <w:sz w:val="20"/>
        </w:rPr>
        <w:t>удаление врожденных объемных образований,</w:t>
      </w:r>
      <w:r>
        <w:rPr>
          <w:spacing w:val="-8"/>
          <w:sz w:val="20"/>
        </w:rPr>
        <w:t> </w:t>
      </w:r>
      <w:r>
        <w:rPr>
          <w:sz w:val="20"/>
        </w:rPr>
        <w:t>в</w:t>
      </w:r>
      <w:r>
        <w:rPr>
          <w:spacing w:val="-7"/>
          <w:sz w:val="20"/>
        </w:rPr>
        <w:t> </w:t>
      </w:r>
      <w:r>
        <w:rPr>
          <w:sz w:val="20"/>
        </w:rPr>
        <w:t>том</w:t>
      </w:r>
      <w:r>
        <w:rPr>
          <w:spacing w:val="-8"/>
          <w:sz w:val="20"/>
        </w:rPr>
        <w:t> </w:t>
      </w:r>
      <w:r>
        <w:rPr>
          <w:sz w:val="20"/>
        </w:rPr>
        <w:t>числе</w:t>
      </w:r>
      <w:r>
        <w:rPr>
          <w:spacing w:val="-8"/>
          <w:sz w:val="20"/>
        </w:rPr>
        <w:t> </w:t>
      </w:r>
      <w:r>
        <w:rPr>
          <w:sz w:val="20"/>
        </w:rPr>
        <w:t>с</w:t>
      </w:r>
      <w:r>
        <w:rPr>
          <w:spacing w:val="-6"/>
          <w:sz w:val="20"/>
        </w:rPr>
        <w:t> </w:t>
      </w:r>
      <w:r>
        <w:rPr>
          <w:sz w:val="20"/>
        </w:rPr>
        <w:t>применением эндовидеохирургической техники</w:t>
      </w:r>
    </w:p>
    <w:p>
      <w:pPr>
        <w:spacing w:after="0" w:line="249" w:lineRule="auto"/>
        <w:jc w:val="left"/>
        <w:rPr>
          <w:sz w:val="20"/>
        </w:rPr>
        <w:sectPr>
          <w:type w:val="continuous"/>
          <w:pgSz w:w="16850" w:h="11910" w:orient="landscape"/>
          <w:pgMar w:header="753" w:footer="0" w:top="1080" w:bottom="280" w:left="400" w:right="400"/>
          <w:cols w:num="4" w:equalWidth="0">
            <w:col w:w="3480" w:space="40"/>
            <w:col w:w="5174" w:space="39"/>
            <w:col w:w="1624" w:space="40"/>
            <w:col w:w="5653"/>
          </w:cols>
        </w:sectPr>
      </w:pPr>
    </w:p>
    <w:p>
      <w:pPr>
        <w:spacing w:line="249" w:lineRule="auto" w:before="122"/>
        <w:ind w:left="931" w:right="0" w:firstLine="0"/>
        <w:jc w:val="left"/>
        <w:rPr>
          <w:sz w:val="20"/>
        </w:rPr>
      </w:pPr>
      <w:r>
        <w:rPr>
          <w:spacing w:val="-2"/>
          <w:sz w:val="20"/>
        </w:rPr>
        <w:t>Реконструктивно- </w:t>
      </w:r>
      <w:r>
        <w:rPr>
          <w:sz w:val="20"/>
        </w:rPr>
        <w:t>пластические операции на почках, мочеточниках и мочевом пузыре у новорожденных,</w:t>
      </w:r>
      <w:r>
        <w:rPr>
          <w:spacing w:val="-13"/>
          <w:sz w:val="20"/>
        </w:rPr>
        <w:t> </w:t>
      </w:r>
      <w:r>
        <w:rPr>
          <w:sz w:val="20"/>
        </w:rPr>
        <w:t>в</w:t>
      </w:r>
      <w:r>
        <w:rPr>
          <w:spacing w:val="-12"/>
          <w:sz w:val="20"/>
        </w:rPr>
        <w:t> </w:t>
      </w:r>
      <w:r>
        <w:rPr>
          <w:sz w:val="20"/>
        </w:rPr>
        <w:t>том</w:t>
      </w:r>
      <w:r>
        <w:rPr>
          <w:spacing w:val="-13"/>
          <w:sz w:val="20"/>
        </w:rPr>
        <w:t> </w:t>
      </w:r>
      <w:r>
        <w:rPr>
          <w:sz w:val="20"/>
        </w:rPr>
        <w:t>числе </w:t>
      </w:r>
      <w:r>
        <w:rPr>
          <w:spacing w:val="-2"/>
          <w:sz w:val="20"/>
        </w:rPr>
        <w:t>лапароскопические</w:t>
      </w:r>
    </w:p>
    <w:p>
      <w:pPr>
        <w:spacing w:before="122"/>
        <w:ind w:left="356" w:right="0" w:firstLine="0"/>
        <w:jc w:val="left"/>
        <w:rPr>
          <w:sz w:val="20"/>
        </w:rPr>
      </w:pPr>
      <w:r>
        <w:rPr/>
        <w:br w:type="column"/>
      </w:r>
      <w:r>
        <w:rPr>
          <w:sz w:val="20"/>
        </w:rPr>
        <w:t>Q61.8,</w:t>
      </w:r>
      <w:r>
        <w:rPr>
          <w:spacing w:val="-4"/>
          <w:sz w:val="20"/>
        </w:rPr>
        <w:t> </w:t>
      </w:r>
      <w:r>
        <w:rPr>
          <w:sz w:val="20"/>
        </w:rPr>
        <w:t>Q62.0,</w:t>
      </w:r>
      <w:r>
        <w:rPr>
          <w:spacing w:val="-5"/>
          <w:sz w:val="20"/>
        </w:rPr>
        <w:t> </w:t>
      </w:r>
      <w:r>
        <w:rPr>
          <w:spacing w:val="-2"/>
          <w:sz w:val="20"/>
        </w:rPr>
        <w:t>Q62.1,</w:t>
      </w:r>
    </w:p>
    <w:p>
      <w:pPr>
        <w:spacing w:line="249" w:lineRule="auto" w:before="10"/>
        <w:ind w:left="680" w:right="0" w:hanging="324"/>
        <w:jc w:val="left"/>
        <w:rPr>
          <w:sz w:val="20"/>
        </w:rPr>
      </w:pPr>
      <w:r>
        <w:rPr>
          <w:sz w:val="20"/>
        </w:rPr>
        <w:t>Q62.2,</w:t>
      </w:r>
      <w:r>
        <w:rPr>
          <w:spacing w:val="-13"/>
          <w:sz w:val="20"/>
        </w:rPr>
        <w:t> </w:t>
      </w:r>
      <w:r>
        <w:rPr>
          <w:sz w:val="20"/>
        </w:rPr>
        <w:t>Q62.3,</w:t>
      </w:r>
      <w:r>
        <w:rPr>
          <w:spacing w:val="-12"/>
          <w:sz w:val="20"/>
        </w:rPr>
        <w:t> </w:t>
      </w:r>
      <w:r>
        <w:rPr>
          <w:sz w:val="20"/>
        </w:rPr>
        <w:t>Q62.7, Q64.1, D30.0</w:t>
      </w:r>
    </w:p>
    <w:p>
      <w:pPr>
        <w:spacing w:line="249" w:lineRule="auto" w:before="122"/>
        <w:ind w:left="222" w:right="191" w:firstLine="0"/>
        <w:jc w:val="left"/>
        <w:rPr>
          <w:sz w:val="20"/>
        </w:rPr>
      </w:pPr>
      <w:r>
        <w:rPr/>
        <w:br w:type="column"/>
      </w:r>
      <w:r>
        <w:rPr>
          <w:sz w:val="20"/>
        </w:rPr>
        <w:t>врожденный гидронефроз. Врожденный</w:t>
      </w:r>
      <w:r>
        <w:rPr>
          <w:spacing w:val="-13"/>
          <w:sz w:val="20"/>
        </w:rPr>
        <w:t> </w:t>
      </w:r>
      <w:r>
        <w:rPr>
          <w:sz w:val="20"/>
        </w:rPr>
        <w:t>уретерогидронефроз. Врожденный мегауретер.</w:t>
      </w:r>
    </w:p>
    <w:p>
      <w:pPr>
        <w:spacing w:line="249" w:lineRule="auto" w:before="3"/>
        <w:ind w:left="222" w:right="0" w:firstLine="0"/>
        <w:jc w:val="left"/>
        <w:rPr>
          <w:sz w:val="20"/>
        </w:rPr>
      </w:pPr>
      <w:r>
        <w:rPr>
          <w:sz w:val="20"/>
        </w:rPr>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w:t>
      </w:r>
      <w:r>
        <w:rPr>
          <w:spacing w:val="-13"/>
          <w:sz w:val="20"/>
        </w:rPr>
        <w:t> </w:t>
      </w:r>
      <w:r>
        <w:rPr>
          <w:sz w:val="20"/>
        </w:rPr>
        <w:t>почки.</w:t>
      </w:r>
      <w:r>
        <w:rPr>
          <w:spacing w:val="-12"/>
          <w:sz w:val="20"/>
        </w:rPr>
        <w:t> </w:t>
      </w:r>
      <w:r>
        <w:rPr>
          <w:sz w:val="20"/>
        </w:rPr>
        <w:t>Доброкачественные новообразования почки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0"/>
        </w:rPr>
      </w:pPr>
    </w:p>
    <w:p>
      <w:pPr>
        <w:spacing w:before="0"/>
        <w:ind w:left="1737" w:right="0" w:firstLine="0"/>
        <w:jc w:val="left"/>
        <w:rPr>
          <w:sz w:val="20"/>
        </w:rPr>
      </w:pPr>
      <w:r>
        <w:rPr>
          <w:spacing w:val="-2"/>
          <w:sz w:val="20"/>
        </w:rPr>
        <w:t>Комбустиология</w:t>
      </w:r>
    </w:p>
    <w:p>
      <w:pPr>
        <w:spacing w:line="249" w:lineRule="auto" w:before="122"/>
        <w:ind w:left="93" w:right="0" w:firstLine="0"/>
        <w:jc w:val="left"/>
        <w:rPr>
          <w:sz w:val="20"/>
        </w:rPr>
      </w:pPr>
      <w:r>
        <w:rPr/>
        <w:br w:type="column"/>
      </w:r>
      <w:r>
        <w:rPr>
          <w:spacing w:val="-2"/>
          <w:sz w:val="20"/>
        </w:rPr>
        <w:t>хирургическое лечение</w:t>
      </w:r>
    </w:p>
    <w:p>
      <w:pPr>
        <w:spacing w:line="249" w:lineRule="auto" w:before="122"/>
        <w:ind w:left="178" w:right="1951" w:firstLine="0"/>
        <w:jc w:val="left"/>
        <w:rPr>
          <w:sz w:val="20"/>
        </w:rPr>
      </w:pPr>
      <w:r>
        <w:rPr/>
        <w:br w:type="column"/>
      </w:r>
      <w:r>
        <w:rPr>
          <w:sz w:val="20"/>
        </w:rPr>
        <w:t>пластика</w:t>
      </w:r>
      <w:r>
        <w:rPr>
          <w:spacing w:val="-12"/>
          <w:sz w:val="20"/>
        </w:rPr>
        <w:t> </w:t>
      </w:r>
      <w:r>
        <w:rPr>
          <w:sz w:val="20"/>
        </w:rPr>
        <w:t>пиелоуретрального</w:t>
      </w:r>
      <w:r>
        <w:rPr>
          <w:spacing w:val="-11"/>
          <w:sz w:val="20"/>
        </w:rPr>
        <w:t> </w:t>
      </w:r>
      <w:r>
        <w:rPr>
          <w:sz w:val="20"/>
        </w:rPr>
        <w:t>сегмента</w:t>
      </w:r>
      <w:r>
        <w:rPr>
          <w:spacing w:val="-12"/>
          <w:sz w:val="20"/>
        </w:rPr>
        <w:t> </w:t>
      </w:r>
      <w:r>
        <w:rPr>
          <w:sz w:val="20"/>
        </w:rPr>
        <w:t>со стентированием мочеточника, в том числе с применением видеоассистированной техники</w:t>
      </w:r>
    </w:p>
    <w:p>
      <w:pPr>
        <w:spacing w:before="124"/>
        <w:ind w:left="178" w:right="0" w:firstLine="0"/>
        <w:jc w:val="left"/>
        <w:rPr>
          <w:sz w:val="20"/>
        </w:rPr>
      </w:pPr>
      <w:r>
        <w:rPr>
          <w:spacing w:val="-2"/>
          <w:sz w:val="20"/>
        </w:rPr>
        <w:t>вторичная</w:t>
      </w:r>
      <w:r>
        <w:rPr>
          <w:spacing w:val="5"/>
          <w:sz w:val="20"/>
        </w:rPr>
        <w:t> </w:t>
      </w:r>
      <w:r>
        <w:rPr>
          <w:spacing w:val="-2"/>
          <w:sz w:val="20"/>
        </w:rPr>
        <w:t>нефрэктомия</w:t>
      </w:r>
    </w:p>
    <w:p>
      <w:pPr>
        <w:spacing w:line="249" w:lineRule="auto" w:before="130"/>
        <w:ind w:left="178" w:right="1951" w:firstLine="0"/>
        <w:jc w:val="left"/>
        <w:rPr>
          <w:sz w:val="20"/>
        </w:rPr>
      </w:pPr>
      <w:r>
        <w:rPr>
          <w:sz w:val="20"/>
        </w:rPr>
        <w:t>неоимплантация</w:t>
      </w:r>
      <w:r>
        <w:rPr>
          <w:spacing w:val="-11"/>
          <w:sz w:val="20"/>
        </w:rPr>
        <w:t> </w:t>
      </w:r>
      <w:r>
        <w:rPr>
          <w:sz w:val="20"/>
        </w:rPr>
        <w:t>мочеточника</w:t>
      </w:r>
      <w:r>
        <w:rPr>
          <w:spacing w:val="-10"/>
          <w:sz w:val="20"/>
        </w:rPr>
        <w:t> </w:t>
      </w:r>
      <w:r>
        <w:rPr>
          <w:sz w:val="20"/>
        </w:rPr>
        <w:t>в</w:t>
      </w:r>
      <w:r>
        <w:rPr>
          <w:spacing w:val="-11"/>
          <w:sz w:val="20"/>
        </w:rPr>
        <w:t> </w:t>
      </w:r>
      <w:r>
        <w:rPr>
          <w:sz w:val="20"/>
        </w:rPr>
        <w:t>мочевой пузырь, в том числе с его </w:t>
      </w:r>
      <w:r>
        <w:rPr>
          <w:spacing w:val="-2"/>
          <w:sz w:val="20"/>
        </w:rPr>
        <w:t>моделированием</w:t>
      </w:r>
    </w:p>
    <w:p>
      <w:pPr>
        <w:spacing w:before="123"/>
        <w:ind w:left="178" w:right="0" w:firstLine="0"/>
        <w:jc w:val="left"/>
        <w:rPr>
          <w:sz w:val="20"/>
        </w:rPr>
      </w:pPr>
      <w:r>
        <w:rPr>
          <w:spacing w:val="-2"/>
          <w:sz w:val="20"/>
        </w:rPr>
        <w:t>геминефруретерэктомия</w:t>
      </w:r>
    </w:p>
    <w:p>
      <w:pPr>
        <w:spacing w:line="249" w:lineRule="auto" w:before="130"/>
        <w:ind w:left="178" w:right="1951" w:firstLine="0"/>
        <w:jc w:val="left"/>
        <w:rPr>
          <w:sz w:val="20"/>
        </w:rPr>
      </w:pPr>
      <w:r>
        <w:rPr>
          <w:sz w:val="20"/>
        </w:rPr>
        <w:t>эндоскопическое</w:t>
      </w:r>
      <w:r>
        <w:rPr>
          <w:spacing w:val="-13"/>
          <w:sz w:val="20"/>
        </w:rPr>
        <w:t> </w:t>
      </w:r>
      <w:r>
        <w:rPr>
          <w:sz w:val="20"/>
        </w:rPr>
        <w:t>бужирование</w:t>
      </w:r>
      <w:r>
        <w:rPr>
          <w:spacing w:val="-12"/>
          <w:sz w:val="20"/>
        </w:rPr>
        <w:t> </w:t>
      </w:r>
      <w:r>
        <w:rPr>
          <w:sz w:val="20"/>
        </w:rPr>
        <w:t>и стентирование мочеточника</w:t>
      </w:r>
    </w:p>
    <w:p>
      <w:pPr>
        <w:spacing w:line="249" w:lineRule="auto" w:before="121"/>
        <w:ind w:left="178" w:right="1951" w:firstLine="0"/>
        <w:jc w:val="left"/>
        <w:rPr>
          <w:sz w:val="20"/>
        </w:rPr>
      </w:pPr>
      <w:r>
        <w:rPr>
          <w:sz w:val="20"/>
        </w:rPr>
        <w:t>ранняя</w:t>
      </w:r>
      <w:r>
        <w:rPr>
          <w:spacing w:val="-12"/>
          <w:sz w:val="20"/>
        </w:rPr>
        <w:t> </w:t>
      </w:r>
      <w:r>
        <w:rPr>
          <w:sz w:val="20"/>
        </w:rPr>
        <w:t>пластика</w:t>
      </w:r>
      <w:r>
        <w:rPr>
          <w:spacing w:val="-11"/>
          <w:sz w:val="20"/>
        </w:rPr>
        <w:t> </w:t>
      </w:r>
      <w:r>
        <w:rPr>
          <w:sz w:val="20"/>
        </w:rPr>
        <w:t>мочевого</w:t>
      </w:r>
      <w:r>
        <w:rPr>
          <w:spacing w:val="-11"/>
          <w:sz w:val="20"/>
        </w:rPr>
        <w:t> </w:t>
      </w:r>
      <w:r>
        <w:rPr>
          <w:sz w:val="20"/>
        </w:rPr>
        <w:t>пузыря местными тканями</w:t>
      </w:r>
    </w:p>
    <w:p>
      <w:pPr>
        <w:spacing w:before="122"/>
        <w:ind w:left="178" w:right="0" w:firstLine="0"/>
        <w:jc w:val="left"/>
        <w:rPr>
          <w:sz w:val="20"/>
        </w:rPr>
      </w:pPr>
      <w:r>
        <w:rPr>
          <w:spacing w:val="-2"/>
          <w:sz w:val="20"/>
        </w:rPr>
        <w:t>уретероилеосигмостомия</w:t>
      </w:r>
    </w:p>
    <w:p>
      <w:pPr>
        <w:spacing w:before="130"/>
        <w:ind w:left="178" w:right="0" w:firstLine="0"/>
        <w:jc w:val="left"/>
        <w:rPr>
          <w:sz w:val="20"/>
        </w:rPr>
      </w:pPr>
      <w:r>
        <w:rPr>
          <w:w w:val="95"/>
          <w:sz w:val="20"/>
        </w:rPr>
        <w:t>лапароскопическая</w:t>
      </w:r>
      <w:r>
        <w:rPr>
          <w:spacing w:val="64"/>
          <w:sz w:val="20"/>
        </w:rPr>
        <w:t> </w:t>
      </w:r>
      <w:r>
        <w:rPr>
          <w:spacing w:val="-2"/>
          <w:sz w:val="20"/>
        </w:rPr>
        <w:t>нефруретерэктомия</w:t>
      </w:r>
    </w:p>
    <w:p>
      <w:pPr>
        <w:spacing w:line="249" w:lineRule="auto" w:before="130"/>
        <w:ind w:left="178" w:right="1951" w:firstLine="0"/>
        <w:jc w:val="left"/>
        <w:rPr>
          <w:sz w:val="20"/>
        </w:rPr>
      </w:pPr>
      <w:r>
        <w:rPr>
          <w:sz w:val="20"/>
        </w:rPr>
        <w:t>нефрэктомия через минилюмботомический</w:t>
      </w:r>
      <w:r>
        <w:rPr>
          <w:spacing w:val="-13"/>
          <w:sz w:val="20"/>
        </w:rPr>
        <w:t> </w:t>
      </w:r>
      <w:r>
        <w:rPr>
          <w:sz w:val="20"/>
        </w:rPr>
        <w:t>доступ</w:t>
      </w:r>
    </w:p>
    <w:p>
      <w:pPr>
        <w:spacing w:after="0" w:line="249" w:lineRule="auto"/>
        <w:jc w:val="left"/>
        <w:rPr>
          <w:sz w:val="20"/>
        </w:rPr>
        <w:sectPr>
          <w:type w:val="continuous"/>
          <w:pgSz w:w="16850" w:h="11910" w:orient="landscape"/>
          <w:pgMar w:header="753" w:footer="0" w:top="1080" w:bottom="280" w:left="400" w:right="400"/>
          <w:cols w:num="5" w:equalWidth="0">
            <w:col w:w="3402" w:space="40"/>
            <w:col w:w="2089" w:space="39"/>
            <w:col w:w="3398" w:space="40"/>
            <w:col w:w="1350" w:space="39"/>
            <w:col w:w="5653"/>
          </w:cols>
        </w:sectPr>
      </w:pPr>
    </w:p>
    <w:p>
      <w:pPr>
        <w:tabs>
          <w:tab w:pos="931" w:val="left" w:leader="none"/>
        </w:tabs>
        <w:spacing w:line="249" w:lineRule="auto" w:before="89"/>
        <w:ind w:left="931" w:right="38" w:hanging="564"/>
        <w:jc w:val="left"/>
        <w:rPr>
          <w:sz w:val="20"/>
        </w:rPr>
      </w:pPr>
      <w:r>
        <w:rPr>
          <w:spacing w:val="-4"/>
          <w:sz w:val="20"/>
        </w:rPr>
        <w:t>11.</w:t>
      </w:r>
      <w:r>
        <w:rPr>
          <w:sz w:val="20"/>
        </w:rPr>
        <w:tab/>
        <w:t>Хирургическое лечение послеожоговых</w:t>
      </w:r>
      <w:r>
        <w:rPr>
          <w:spacing w:val="-15"/>
          <w:sz w:val="20"/>
        </w:rPr>
        <w:t> </w:t>
      </w:r>
      <w:r>
        <w:rPr>
          <w:sz w:val="20"/>
        </w:rPr>
        <w:t>рубцов</w:t>
      </w:r>
      <w:r>
        <w:rPr>
          <w:spacing w:val="-12"/>
          <w:sz w:val="20"/>
        </w:rPr>
        <w:t> </w:t>
      </w:r>
      <w:r>
        <w:rPr>
          <w:sz w:val="20"/>
        </w:rPr>
        <w:t>и рубцовых деформаций,</w:t>
      </w:r>
    </w:p>
    <w:p>
      <w:pPr>
        <w:tabs>
          <w:tab w:pos="2228" w:val="left" w:leader="none"/>
        </w:tabs>
        <w:spacing w:before="89"/>
        <w:ind w:left="368" w:right="0" w:firstLine="0"/>
        <w:jc w:val="left"/>
        <w:rPr>
          <w:sz w:val="20"/>
        </w:rPr>
      </w:pPr>
      <w:r>
        <w:rPr/>
        <w:br w:type="column"/>
      </w:r>
      <w:r>
        <w:rPr>
          <w:sz w:val="20"/>
        </w:rPr>
        <w:t>T95,</w:t>
      </w:r>
      <w:r>
        <w:rPr>
          <w:spacing w:val="-4"/>
          <w:sz w:val="20"/>
        </w:rPr>
        <w:t> </w:t>
      </w:r>
      <w:r>
        <w:rPr>
          <w:sz w:val="20"/>
        </w:rPr>
        <w:t>L90.5,</w:t>
      </w:r>
      <w:r>
        <w:rPr>
          <w:spacing w:val="-4"/>
          <w:sz w:val="20"/>
        </w:rPr>
        <w:t> </w:t>
      </w:r>
      <w:r>
        <w:rPr>
          <w:spacing w:val="-2"/>
          <w:sz w:val="20"/>
        </w:rPr>
        <w:t>L91.0</w:t>
      </w:r>
      <w:r>
        <w:rPr>
          <w:sz w:val="20"/>
        </w:rPr>
        <w:tab/>
        <w:t>рубцы,</w:t>
      </w:r>
      <w:r>
        <w:rPr>
          <w:spacing w:val="-9"/>
          <w:sz w:val="20"/>
        </w:rPr>
        <w:t> </w:t>
      </w:r>
      <w:r>
        <w:rPr>
          <w:sz w:val="20"/>
        </w:rPr>
        <w:t>рубцовые</w:t>
      </w:r>
      <w:r>
        <w:rPr>
          <w:spacing w:val="-8"/>
          <w:sz w:val="20"/>
        </w:rPr>
        <w:t> </w:t>
      </w:r>
      <w:r>
        <w:rPr>
          <w:spacing w:val="-2"/>
          <w:sz w:val="20"/>
        </w:rPr>
        <w:t>деформации</w:t>
      </w:r>
    </w:p>
    <w:p>
      <w:pPr>
        <w:spacing w:line="249" w:lineRule="auto" w:before="10"/>
        <w:ind w:left="2228" w:right="0" w:firstLine="0"/>
        <w:jc w:val="left"/>
        <w:rPr>
          <w:sz w:val="20"/>
        </w:rPr>
      </w:pPr>
      <w:r>
        <w:rPr>
          <w:sz w:val="20"/>
        </w:rPr>
        <w:t>вследствие</w:t>
      </w:r>
      <w:r>
        <w:rPr>
          <w:spacing w:val="-13"/>
          <w:sz w:val="20"/>
        </w:rPr>
        <w:t> </w:t>
      </w:r>
      <w:r>
        <w:rPr>
          <w:sz w:val="20"/>
        </w:rPr>
        <w:t>термических</w:t>
      </w:r>
      <w:r>
        <w:rPr>
          <w:spacing w:val="-12"/>
          <w:sz w:val="20"/>
        </w:rPr>
        <w:t> </w:t>
      </w:r>
      <w:r>
        <w:rPr>
          <w:sz w:val="20"/>
        </w:rPr>
        <w:t>и химических ожогов</w:t>
      </w:r>
    </w:p>
    <w:p>
      <w:pPr>
        <w:spacing w:line="249" w:lineRule="auto" w:before="89"/>
        <w:ind w:left="367" w:right="0" w:firstLine="0"/>
        <w:jc w:val="left"/>
        <w:rPr>
          <w:sz w:val="20"/>
        </w:rPr>
      </w:pPr>
      <w:r>
        <w:rPr/>
        <w:br w:type="column"/>
      </w:r>
      <w:r>
        <w:rPr>
          <w:spacing w:val="-2"/>
          <w:sz w:val="20"/>
        </w:rPr>
        <w:t>хирургическое лечение</w:t>
      </w:r>
    </w:p>
    <w:p>
      <w:pPr>
        <w:spacing w:line="249" w:lineRule="auto" w:before="89"/>
        <w:ind w:left="178" w:right="35" w:firstLine="0"/>
        <w:jc w:val="left"/>
        <w:rPr>
          <w:sz w:val="20"/>
        </w:rPr>
      </w:pPr>
      <w:r>
        <w:rPr/>
        <w:br w:type="column"/>
      </w:r>
      <w:r>
        <w:rPr>
          <w:sz w:val="20"/>
        </w:rPr>
        <w:t>иссечение послеожоговых рубцов или удаление рубцовой деформации с пластикой</w:t>
      </w:r>
      <w:r>
        <w:rPr>
          <w:spacing w:val="-13"/>
          <w:sz w:val="20"/>
        </w:rPr>
        <w:t> </w:t>
      </w:r>
      <w:r>
        <w:rPr>
          <w:sz w:val="20"/>
        </w:rPr>
        <w:t>дефектов</w:t>
      </w:r>
      <w:r>
        <w:rPr>
          <w:spacing w:val="-12"/>
          <w:sz w:val="20"/>
        </w:rPr>
        <w:t> </w:t>
      </w:r>
      <w:r>
        <w:rPr>
          <w:sz w:val="20"/>
        </w:rPr>
        <w:t>местными</w:t>
      </w:r>
      <w:r>
        <w:rPr>
          <w:spacing w:val="-13"/>
          <w:sz w:val="20"/>
        </w:rPr>
        <w:t> </w:t>
      </w:r>
      <w:r>
        <w:rPr>
          <w:sz w:val="20"/>
        </w:rPr>
        <w:t>тканями,</w:t>
      </w:r>
    </w:p>
    <w:p>
      <w:pPr>
        <w:spacing w:before="89"/>
        <w:ind w:left="367" w:right="0" w:firstLine="0"/>
        <w:jc w:val="left"/>
        <w:rPr>
          <w:sz w:val="20"/>
        </w:rPr>
      </w:pPr>
      <w:r>
        <w:rPr/>
        <w:br w:type="column"/>
      </w:r>
      <w:r>
        <w:rPr>
          <w:spacing w:val="-2"/>
          <w:sz w:val="20"/>
        </w:rPr>
        <w:t>132459</w:t>
      </w:r>
    </w:p>
    <w:p>
      <w:pPr>
        <w:spacing w:after="0"/>
        <w:jc w:val="left"/>
        <w:rPr>
          <w:sz w:val="20"/>
        </w:rPr>
        <w:sectPr>
          <w:type w:val="continuous"/>
          <w:pgSz w:w="16850" w:h="11910" w:orient="landscape"/>
          <w:pgMar w:header="753" w:footer="0" w:top="1080" w:bottom="280" w:left="400" w:right="400"/>
          <w:cols w:num="5" w:equalWidth="0">
            <w:col w:w="3112" w:space="452"/>
            <w:col w:w="4841" w:space="328"/>
            <w:col w:w="1625" w:space="39"/>
            <w:col w:w="3657" w:space="346"/>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909"/>
        <w:gridCol w:w="1951"/>
        <w:gridCol w:w="3390"/>
        <w:gridCol w:w="1460"/>
        <w:gridCol w:w="3923"/>
        <w:gridCol w:w="1006"/>
      </w:tblGrid>
      <w:tr>
        <w:trPr>
          <w:trHeight w:val="1950" w:hRule="atLeast"/>
        </w:trPr>
        <w:tc>
          <w:tcPr>
            <w:tcW w:w="458" w:type="dxa"/>
          </w:tcPr>
          <w:p>
            <w:pPr>
              <w:pStyle w:val="TableParagraph"/>
              <w:rPr>
                <w:sz w:val="18"/>
              </w:rPr>
            </w:pPr>
          </w:p>
        </w:tc>
        <w:tc>
          <w:tcPr>
            <w:tcW w:w="2909" w:type="dxa"/>
          </w:tcPr>
          <w:p>
            <w:pPr>
              <w:pStyle w:val="TableParagraph"/>
              <w:spacing w:line="249" w:lineRule="auto"/>
              <w:ind w:left="155" w:right="737"/>
              <w:rPr>
                <w:sz w:val="20"/>
              </w:rPr>
            </w:pPr>
            <w:r>
              <w:rPr>
                <w:sz w:val="20"/>
              </w:rPr>
              <w:t>требующих этапных </w:t>
            </w:r>
            <w:r>
              <w:rPr>
                <w:spacing w:val="-2"/>
                <w:sz w:val="20"/>
              </w:rPr>
              <w:t>реконструктивно- </w:t>
            </w:r>
            <w:r>
              <w:rPr>
                <w:sz w:val="20"/>
              </w:rPr>
              <w:t>пластических</w:t>
            </w:r>
            <w:r>
              <w:rPr>
                <w:spacing w:val="-13"/>
                <w:sz w:val="20"/>
              </w:rPr>
              <w:t> </w:t>
            </w:r>
            <w:r>
              <w:rPr>
                <w:sz w:val="20"/>
              </w:rPr>
              <w:t>операций</w:t>
            </w:r>
          </w:p>
        </w:tc>
        <w:tc>
          <w:tcPr>
            <w:tcW w:w="1951" w:type="dxa"/>
          </w:tcPr>
          <w:p>
            <w:pPr>
              <w:pStyle w:val="TableParagraph"/>
              <w:rPr>
                <w:sz w:val="18"/>
              </w:rPr>
            </w:pPr>
          </w:p>
        </w:tc>
        <w:tc>
          <w:tcPr>
            <w:tcW w:w="3390" w:type="dxa"/>
          </w:tcPr>
          <w:p>
            <w:pPr>
              <w:pStyle w:val="TableParagraph"/>
              <w:rPr>
                <w:sz w:val="18"/>
              </w:rPr>
            </w:pPr>
          </w:p>
        </w:tc>
        <w:tc>
          <w:tcPr>
            <w:tcW w:w="1460" w:type="dxa"/>
          </w:tcPr>
          <w:p>
            <w:pPr>
              <w:pStyle w:val="TableParagraph"/>
              <w:rPr>
                <w:sz w:val="18"/>
              </w:rPr>
            </w:pPr>
          </w:p>
        </w:tc>
        <w:tc>
          <w:tcPr>
            <w:tcW w:w="3923" w:type="dxa"/>
          </w:tcPr>
          <w:p>
            <w:pPr>
              <w:pStyle w:val="TableParagraph"/>
              <w:spacing w:line="249" w:lineRule="auto"/>
              <w:ind w:left="88" w:right="343"/>
              <w:rPr>
                <w:sz w:val="20"/>
              </w:rPr>
            </w:pPr>
            <w:r>
              <w:rPr>
                <w:sz w:val="20"/>
              </w:rPr>
              <w:t>в том числе с помощью дерматензии, включая эспандерную, полнослойными </w:t>
            </w:r>
            <w:r>
              <w:rPr>
                <w:spacing w:val="-2"/>
                <w:sz w:val="20"/>
              </w:rPr>
              <w:t>аутодермотрансплантатами, сложносоставными </w:t>
            </w:r>
            <w:r>
              <w:rPr>
                <w:sz w:val="20"/>
              </w:rPr>
              <w:t>аутотрансплантатами, в том числе на микрососудистых анастомозах, или лоскутами</w:t>
            </w:r>
            <w:r>
              <w:rPr>
                <w:spacing w:val="-8"/>
                <w:sz w:val="20"/>
              </w:rPr>
              <w:t> </w:t>
            </w:r>
            <w:r>
              <w:rPr>
                <w:sz w:val="20"/>
              </w:rPr>
              <w:t>на</w:t>
            </w:r>
            <w:r>
              <w:rPr>
                <w:spacing w:val="-9"/>
                <w:sz w:val="20"/>
              </w:rPr>
              <w:t> </w:t>
            </w:r>
            <w:r>
              <w:rPr>
                <w:sz w:val="20"/>
              </w:rPr>
              <w:t>постоянной</w:t>
            </w:r>
            <w:r>
              <w:rPr>
                <w:spacing w:val="-10"/>
                <w:sz w:val="20"/>
              </w:rPr>
              <w:t> </w:t>
            </w:r>
            <w:r>
              <w:rPr>
                <w:sz w:val="20"/>
              </w:rPr>
              <w:t>или</w:t>
            </w:r>
            <w:r>
              <w:rPr>
                <w:spacing w:val="-10"/>
                <w:sz w:val="20"/>
              </w:rPr>
              <w:t> </w:t>
            </w:r>
            <w:r>
              <w:rPr>
                <w:sz w:val="20"/>
              </w:rPr>
              <w:t>временно- питающей ножке</w:t>
            </w:r>
          </w:p>
        </w:tc>
        <w:tc>
          <w:tcPr>
            <w:tcW w:w="1006" w:type="dxa"/>
          </w:tcPr>
          <w:p>
            <w:pPr>
              <w:pStyle w:val="TableParagraph"/>
              <w:rPr>
                <w:sz w:val="18"/>
              </w:rPr>
            </w:pPr>
          </w:p>
        </w:tc>
      </w:tr>
      <w:tr>
        <w:trPr>
          <w:trHeight w:val="317" w:hRule="atLeast"/>
        </w:trPr>
        <w:tc>
          <w:tcPr>
            <w:tcW w:w="15097" w:type="dxa"/>
            <w:gridSpan w:val="7"/>
          </w:tcPr>
          <w:p>
            <w:pPr>
              <w:pStyle w:val="TableParagraph"/>
              <w:spacing w:before="40"/>
              <w:ind w:left="6272" w:right="5968"/>
              <w:jc w:val="center"/>
              <w:rPr>
                <w:sz w:val="20"/>
              </w:rPr>
            </w:pPr>
            <w:r>
              <w:rPr>
                <w:spacing w:val="-2"/>
                <w:sz w:val="20"/>
              </w:rPr>
              <w:t>Неврология</w:t>
            </w:r>
            <w:r>
              <w:rPr>
                <w:spacing w:val="4"/>
                <w:sz w:val="20"/>
              </w:rPr>
              <w:t> </w:t>
            </w:r>
            <w:r>
              <w:rPr>
                <w:spacing w:val="-2"/>
                <w:sz w:val="20"/>
              </w:rPr>
              <w:t>(нейрореабилитация)</w:t>
            </w:r>
          </w:p>
        </w:tc>
      </w:tr>
      <w:tr>
        <w:trPr>
          <w:trHeight w:val="2940" w:hRule="atLeast"/>
        </w:trPr>
        <w:tc>
          <w:tcPr>
            <w:tcW w:w="458" w:type="dxa"/>
          </w:tcPr>
          <w:p>
            <w:pPr>
              <w:pStyle w:val="TableParagraph"/>
              <w:spacing w:before="39"/>
              <w:ind w:left="50"/>
              <w:rPr>
                <w:sz w:val="20"/>
              </w:rPr>
            </w:pPr>
            <w:r>
              <w:rPr>
                <w:spacing w:val="-5"/>
                <w:sz w:val="20"/>
              </w:rPr>
              <w:t>12.</w:t>
            </w:r>
          </w:p>
        </w:tc>
        <w:tc>
          <w:tcPr>
            <w:tcW w:w="2909" w:type="dxa"/>
          </w:tcPr>
          <w:p>
            <w:pPr>
              <w:pStyle w:val="TableParagraph"/>
              <w:spacing w:line="249" w:lineRule="auto" w:before="41"/>
              <w:ind w:left="155" w:right="159"/>
              <w:rPr>
                <w:sz w:val="20"/>
              </w:rPr>
            </w:pPr>
            <w:r>
              <w:rPr>
                <w:sz w:val="20"/>
              </w:rPr>
              <w:t>Нейрореабилитация после перенесенног инсульта и черепно-мозговой</w:t>
            </w:r>
            <w:r>
              <w:rPr>
                <w:spacing w:val="-13"/>
                <w:sz w:val="20"/>
              </w:rPr>
              <w:t> </w:t>
            </w:r>
            <w:r>
              <w:rPr>
                <w:sz w:val="20"/>
              </w:rPr>
              <w:t>травмы</w:t>
            </w:r>
            <w:r>
              <w:rPr>
                <w:spacing w:val="-12"/>
                <w:sz w:val="20"/>
              </w:rPr>
              <w:t> </w:t>
            </w:r>
            <w:r>
              <w:rPr>
                <w:sz w:val="20"/>
              </w:rPr>
              <w:t>при нарушении двигательных и когнитивных функций</w:t>
            </w:r>
          </w:p>
        </w:tc>
        <w:tc>
          <w:tcPr>
            <w:tcW w:w="1951" w:type="dxa"/>
          </w:tcPr>
          <w:p>
            <w:pPr>
              <w:pStyle w:val="TableParagraph"/>
              <w:spacing w:before="41"/>
              <w:ind w:left="154" w:right="145"/>
              <w:jc w:val="center"/>
              <w:rPr>
                <w:sz w:val="20"/>
              </w:rPr>
            </w:pPr>
            <w:r>
              <w:rPr>
                <w:sz w:val="20"/>
              </w:rPr>
              <w:t>S06.2,</w:t>
            </w:r>
            <w:r>
              <w:rPr>
                <w:spacing w:val="-5"/>
                <w:sz w:val="20"/>
              </w:rPr>
              <w:t> </w:t>
            </w:r>
            <w:r>
              <w:rPr>
                <w:sz w:val="20"/>
              </w:rPr>
              <w:t>S06.3,</w:t>
            </w:r>
            <w:r>
              <w:rPr>
                <w:spacing w:val="-5"/>
                <w:sz w:val="20"/>
              </w:rPr>
              <w:t> </w:t>
            </w:r>
            <w:r>
              <w:rPr>
                <w:spacing w:val="-2"/>
                <w:sz w:val="20"/>
              </w:rPr>
              <w:t>S06.5,</w:t>
            </w:r>
          </w:p>
          <w:p>
            <w:pPr>
              <w:pStyle w:val="TableParagraph"/>
              <w:spacing w:line="249" w:lineRule="auto" w:before="10"/>
              <w:ind w:left="154" w:right="143"/>
              <w:jc w:val="center"/>
              <w:rPr>
                <w:sz w:val="20"/>
              </w:rPr>
            </w:pPr>
            <w:r>
              <w:rPr>
                <w:sz w:val="20"/>
              </w:rPr>
              <w:t>S06.7,</w:t>
            </w:r>
            <w:r>
              <w:rPr>
                <w:spacing w:val="-13"/>
                <w:sz w:val="20"/>
              </w:rPr>
              <w:t> </w:t>
            </w:r>
            <w:r>
              <w:rPr>
                <w:sz w:val="20"/>
              </w:rPr>
              <w:t>S06.8,</w:t>
            </w:r>
            <w:r>
              <w:rPr>
                <w:spacing w:val="-12"/>
                <w:sz w:val="20"/>
              </w:rPr>
              <w:t> </w:t>
            </w:r>
            <w:r>
              <w:rPr>
                <w:sz w:val="20"/>
              </w:rPr>
              <w:t>S06.9, S08.8, S08.9,</w:t>
            </w:r>
          </w:p>
          <w:p>
            <w:pPr>
              <w:pStyle w:val="TableParagraph"/>
              <w:spacing w:line="229" w:lineRule="exact"/>
              <w:ind w:left="154" w:right="140"/>
              <w:jc w:val="center"/>
              <w:rPr>
                <w:sz w:val="20"/>
              </w:rPr>
            </w:pPr>
            <w:r>
              <w:rPr>
                <w:w w:val="95"/>
                <w:sz w:val="20"/>
              </w:rPr>
              <w:t>I60-</w:t>
            </w:r>
            <w:r>
              <w:rPr>
                <w:spacing w:val="-5"/>
                <w:sz w:val="20"/>
              </w:rPr>
              <w:t>I69</w:t>
            </w:r>
          </w:p>
        </w:tc>
        <w:tc>
          <w:tcPr>
            <w:tcW w:w="3390" w:type="dxa"/>
          </w:tcPr>
          <w:p>
            <w:pPr>
              <w:pStyle w:val="TableParagraph"/>
              <w:spacing w:line="249" w:lineRule="auto" w:before="41"/>
              <w:ind w:left="156" w:right="95"/>
              <w:rPr>
                <w:sz w:val="20"/>
              </w:rPr>
            </w:pPr>
            <w:r>
              <w:rPr>
                <w:sz w:val="20"/>
              </w:rPr>
              <w:t>острые нарушения мозгового кровообращения и черепно- мозговые травмы, состояния после острых нарушений</w:t>
            </w:r>
            <w:r>
              <w:rPr>
                <w:spacing w:val="40"/>
                <w:sz w:val="20"/>
              </w:rPr>
              <w:t> </w:t>
            </w:r>
            <w:r>
              <w:rPr>
                <w:sz w:val="20"/>
              </w:rPr>
              <w:t>мозгового кровообращения и черепно- мозговых</w:t>
            </w:r>
            <w:r>
              <w:rPr>
                <w:spacing w:val="-9"/>
                <w:sz w:val="20"/>
              </w:rPr>
              <w:t> </w:t>
            </w:r>
            <w:r>
              <w:rPr>
                <w:sz w:val="20"/>
              </w:rPr>
              <w:t>травм</w:t>
            </w:r>
            <w:r>
              <w:rPr>
                <w:spacing w:val="35"/>
                <w:sz w:val="20"/>
              </w:rPr>
              <w:t> </w:t>
            </w:r>
            <w:r>
              <w:rPr>
                <w:sz w:val="20"/>
              </w:rPr>
              <w:t>со</w:t>
            </w:r>
            <w:r>
              <w:rPr>
                <w:spacing w:val="-7"/>
                <w:sz w:val="20"/>
              </w:rPr>
              <w:t> </w:t>
            </w:r>
            <w:r>
              <w:rPr>
                <w:sz w:val="20"/>
              </w:rPr>
              <w:t>сроком</w:t>
            </w:r>
            <w:r>
              <w:rPr>
                <w:spacing w:val="-11"/>
                <w:sz w:val="20"/>
              </w:rPr>
              <w:t> </w:t>
            </w:r>
            <w:r>
              <w:rPr>
                <w:sz w:val="20"/>
              </w:rPr>
              <w:t>давности не более одного года с оценкой функциональных нарушений по модифицированной шкале Рэнкина</w:t>
            </w:r>
            <w:r>
              <w:rPr>
                <w:spacing w:val="40"/>
                <w:sz w:val="20"/>
              </w:rPr>
              <w:t> </w:t>
            </w:r>
            <w:r>
              <w:rPr>
                <w:sz w:val="20"/>
              </w:rPr>
              <w:t>3 степени</w:t>
            </w:r>
          </w:p>
        </w:tc>
        <w:tc>
          <w:tcPr>
            <w:tcW w:w="1460" w:type="dxa"/>
          </w:tcPr>
          <w:p>
            <w:pPr>
              <w:pStyle w:val="TableParagraph"/>
              <w:spacing w:line="247" w:lineRule="auto" w:before="41"/>
              <w:ind w:left="74"/>
              <w:rPr>
                <w:sz w:val="20"/>
              </w:rPr>
            </w:pPr>
            <w:r>
              <w:rPr>
                <w:spacing w:val="-2"/>
                <w:sz w:val="20"/>
              </w:rPr>
              <w:t>терапевтичес- </w:t>
            </w:r>
            <w:r>
              <w:rPr>
                <w:sz w:val="20"/>
              </w:rPr>
              <w:t>кое лечение</w:t>
            </w:r>
          </w:p>
        </w:tc>
        <w:tc>
          <w:tcPr>
            <w:tcW w:w="3923" w:type="dxa"/>
          </w:tcPr>
          <w:p>
            <w:pPr>
              <w:pStyle w:val="TableParagraph"/>
              <w:spacing w:line="249" w:lineRule="auto" w:before="41"/>
              <w:ind w:left="88" w:right="343"/>
              <w:rPr>
                <w:sz w:val="20"/>
              </w:rPr>
            </w:pPr>
            <w:r>
              <w:rPr>
                <w:sz w:val="20"/>
              </w:rPr>
              <w:t>реабилитационный тренинг с включением биологической обратной связи</w:t>
            </w:r>
            <w:r>
              <w:rPr>
                <w:spacing w:val="-12"/>
                <w:sz w:val="20"/>
              </w:rPr>
              <w:t> </w:t>
            </w:r>
            <w:r>
              <w:rPr>
                <w:sz w:val="20"/>
              </w:rPr>
              <w:t>(БОС)</w:t>
            </w:r>
            <w:r>
              <w:rPr>
                <w:spacing w:val="-11"/>
                <w:sz w:val="20"/>
              </w:rPr>
              <w:t> </w:t>
            </w:r>
            <w:r>
              <w:rPr>
                <w:sz w:val="20"/>
              </w:rPr>
              <w:t>с</w:t>
            </w:r>
            <w:r>
              <w:rPr>
                <w:spacing w:val="-11"/>
                <w:sz w:val="20"/>
              </w:rPr>
              <w:t> </w:t>
            </w:r>
            <w:r>
              <w:rPr>
                <w:sz w:val="20"/>
              </w:rPr>
              <w:t>применением</w:t>
            </w:r>
            <w:r>
              <w:rPr>
                <w:spacing w:val="-9"/>
                <w:sz w:val="20"/>
              </w:rPr>
              <w:t> </w:t>
            </w:r>
            <w:r>
              <w:rPr>
                <w:sz w:val="20"/>
              </w:rPr>
              <w:t>нескольких </w:t>
            </w:r>
            <w:r>
              <w:rPr>
                <w:spacing w:val="-2"/>
                <w:sz w:val="20"/>
              </w:rPr>
              <w:t>модальностей</w:t>
            </w:r>
          </w:p>
          <w:p>
            <w:pPr>
              <w:pStyle w:val="TableParagraph"/>
              <w:spacing w:line="249" w:lineRule="auto" w:before="3"/>
              <w:ind w:left="88" w:right="343"/>
              <w:rPr>
                <w:sz w:val="20"/>
              </w:rPr>
            </w:pPr>
            <w:r>
              <w:rPr>
                <w:sz w:val="20"/>
              </w:rPr>
              <w:t>восстановительное лечение с применением комплекса мероприятий в комбинации</w:t>
            </w:r>
            <w:r>
              <w:rPr>
                <w:spacing w:val="-13"/>
                <w:sz w:val="20"/>
              </w:rPr>
              <w:t> </w:t>
            </w:r>
            <w:r>
              <w:rPr>
                <w:sz w:val="20"/>
              </w:rPr>
              <w:t>с</w:t>
            </w:r>
            <w:r>
              <w:rPr>
                <w:spacing w:val="-12"/>
                <w:sz w:val="20"/>
              </w:rPr>
              <w:t> </w:t>
            </w:r>
            <w:r>
              <w:rPr>
                <w:sz w:val="20"/>
              </w:rPr>
              <w:t>виртуальной</w:t>
            </w:r>
            <w:r>
              <w:rPr>
                <w:spacing w:val="-13"/>
                <w:sz w:val="20"/>
              </w:rPr>
              <w:t> </w:t>
            </w:r>
            <w:r>
              <w:rPr>
                <w:sz w:val="20"/>
              </w:rPr>
              <w:t>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006" w:type="dxa"/>
          </w:tcPr>
          <w:p>
            <w:pPr>
              <w:pStyle w:val="TableParagraph"/>
              <w:spacing w:before="39"/>
              <w:ind w:right="44"/>
              <w:jc w:val="right"/>
              <w:rPr>
                <w:sz w:val="20"/>
              </w:rPr>
            </w:pPr>
            <w:r>
              <w:rPr>
                <w:spacing w:val="-2"/>
                <w:sz w:val="20"/>
              </w:rPr>
              <w:t>511518</w:t>
            </w:r>
          </w:p>
        </w:tc>
      </w:tr>
      <w:tr>
        <w:trPr>
          <w:trHeight w:val="321" w:hRule="atLeast"/>
        </w:trPr>
        <w:tc>
          <w:tcPr>
            <w:tcW w:w="458" w:type="dxa"/>
          </w:tcPr>
          <w:p>
            <w:pPr>
              <w:pStyle w:val="TableParagraph"/>
              <w:rPr>
                <w:sz w:val="18"/>
              </w:rPr>
            </w:pPr>
          </w:p>
        </w:tc>
        <w:tc>
          <w:tcPr>
            <w:tcW w:w="2909" w:type="dxa"/>
          </w:tcPr>
          <w:p>
            <w:pPr>
              <w:pStyle w:val="TableParagraph"/>
              <w:rPr>
                <w:sz w:val="18"/>
              </w:rPr>
            </w:pPr>
          </w:p>
        </w:tc>
        <w:tc>
          <w:tcPr>
            <w:tcW w:w="1951" w:type="dxa"/>
          </w:tcPr>
          <w:p>
            <w:pPr>
              <w:pStyle w:val="TableParagraph"/>
              <w:rPr>
                <w:sz w:val="18"/>
              </w:rPr>
            </w:pPr>
          </w:p>
        </w:tc>
        <w:tc>
          <w:tcPr>
            <w:tcW w:w="3390" w:type="dxa"/>
          </w:tcPr>
          <w:p>
            <w:pPr>
              <w:pStyle w:val="TableParagraph"/>
              <w:spacing w:before="22"/>
              <w:ind w:left="1880"/>
              <w:rPr>
                <w:sz w:val="20"/>
              </w:rPr>
            </w:pPr>
            <w:r>
              <w:rPr>
                <w:spacing w:val="-2"/>
                <w:sz w:val="20"/>
              </w:rPr>
              <w:t>Неврология</w:t>
            </w:r>
          </w:p>
        </w:tc>
        <w:tc>
          <w:tcPr>
            <w:tcW w:w="1460" w:type="dxa"/>
          </w:tcPr>
          <w:p>
            <w:pPr>
              <w:pStyle w:val="TableParagraph"/>
              <w:rPr>
                <w:sz w:val="18"/>
              </w:rPr>
            </w:pPr>
          </w:p>
        </w:tc>
        <w:tc>
          <w:tcPr>
            <w:tcW w:w="3923" w:type="dxa"/>
          </w:tcPr>
          <w:p>
            <w:pPr>
              <w:pStyle w:val="TableParagraph"/>
              <w:rPr>
                <w:sz w:val="18"/>
              </w:rPr>
            </w:pPr>
          </w:p>
        </w:tc>
        <w:tc>
          <w:tcPr>
            <w:tcW w:w="1006"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13.</w:t>
            </w:r>
          </w:p>
        </w:tc>
        <w:tc>
          <w:tcPr>
            <w:tcW w:w="2909" w:type="dxa"/>
          </w:tcPr>
          <w:p>
            <w:pPr>
              <w:pStyle w:val="TableParagraph"/>
              <w:spacing w:line="249" w:lineRule="auto" w:before="60"/>
              <w:ind w:left="155" w:right="591"/>
              <w:rPr>
                <w:sz w:val="20"/>
              </w:rPr>
            </w:pPr>
            <w:r>
              <w:rPr>
                <w:sz w:val="20"/>
              </w:rPr>
              <w:t>Установка интенсивной помпы для постоянной инфузии геля после </w:t>
            </w:r>
            <w:r>
              <w:rPr>
                <w:spacing w:val="-2"/>
                <w:sz w:val="20"/>
              </w:rPr>
              <w:t>предварительной </w:t>
            </w:r>
            <w:r>
              <w:rPr>
                <w:sz w:val="20"/>
              </w:rPr>
              <w:t>назоеюнальной</w:t>
            </w:r>
            <w:r>
              <w:rPr>
                <w:spacing w:val="-13"/>
                <w:sz w:val="20"/>
              </w:rPr>
              <w:t> </w:t>
            </w:r>
            <w:r>
              <w:rPr>
                <w:sz w:val="20"/>
              </w:rPr>
              <w:t>титрации</w:t>
            </w:r>
          </w:p>
        </w:tc>
        <w:tc>
          <w:tcPr>
            <w:tcW w:w="1951" w:type="dxa"/>
          </w:tcPr>
          <w:p>
            <w:pPr>
              <w:pStyle w:val="TableParagraph"/>
              <w:spacing w:before="60"/>
              <w:ind w:left="154" w:right="142"/>
              <w:jc w:val="center"/>
              <w:rPr>
                <w:sz w:val="20"/>
              </w:rPr>
            </w:pPr>
            <w:r>
              <w:rPr>
                <w:spacing w:val="-5"/>
                <w:sz w:val="20"/>
              </w:rPr>
              <w:t>G20</w:t>
            </w:r>
          </w:p>
        </w:tc>
        <w:tc>
          <w:tcPr>
            <w:tcW w:w="3390" w:type="dxa"/>
          </w:tcPr>
          <w:p>
            <w:pPr>
              <w:pStyle w:val="TableParagraph"/>
              <w:spacing w:line="249" w:lineRule="auto" w:before="60"/>
              <w:ind w:left="156" w:right="38"/>
              <w:rPr>
                <w:sz w:val="20"/>
              </w:rPr>
            </w:pPr>
            <w:r>
              <w:rPr>
                <w:sz w:val="20"/>
              </w:rPr>
              <w:t>развернутые стадии леводопа- чувствительной</w:t>
            </w:r>
            <w:r>
              <w:rPr>
                <w:spacing w:val="-13"/>
                <w:sz w:val="20"/>
              </w:rPr>
              <w:t> </w:t>
            </w:r>
            <w:r>
              <w:rPr>
                <w:sz w:val="20"/>
              </w:rPr>
              <w:t>болезни</w:t>
            </w:r>
            <w:r>
              <w:rPr>
                <w:spacing w:val="-12"/>
                <w:sz w:val="20"/>
              </w:rPr>
              <w:t> </w:t>
            </w:r>
            <w:r>
              <w:rPr>
                <w:sz w:val="20"/>
              </w:rPr>
              <w:t>Паркинсона с выраженными двигательными флюктуациями и дискинезиями при недостаточной эффективности других противопаркинсонических</w:t>
            </w:r>
          </w:p>
          <w:p>
            <w:pPr>
              <w:pStyle w:val="TableParagraph"/>
              <w:spacing w:line="210" w:lineRule="exact" w:before="6"/>
              <w:ind w:left="156"/>
              <w:rPr>
                <w:sz w:val="20"/>
              </w:rPr>
            </w:pPr>
            <w:r>
              <w:rPr>
                <w:spacing w:val="-2"/>
                <w:sz w:val="20"/>
              </w:rPr>
              <w:t>препаратов</w:t>
            </w:r>
          </w:p>
        </w:tc>
        <w:tc>
          <w:tcPr>
            <w:tcW w:w="1460" w:type="dxa"/>
          </w:tcPr>
          <w:p>
            <w:pPr>
              <w:pStyle w:val="TableParagraph"/>
              <w:spacing w:line="249" w:lineRule="auto" w:before="60"/>
              <w:ind w:left="74"/>
              <w:rPr>
                <w:sz w:val="20"/>
              </w:rPr>
            </w:pPr>
            <w:r>
              <w:rPr>
                <w:spacing w:val="-2"/>
                <w:sz w:val="20"/>
              </w:rPr>
              <w:t>комбинирован- </w:t>
            </w:r>
            <w:r>
              <w:rPr>
                <w:sz w:val="20"/>
              </w:rPr>
              <w:t>ная терапия</w:t>
            </w:r>
          </w:p>
        </w:tc>
        <w:tc>
          <w:tcPr>
            <w:tcW w:w="3923" w:type="dxa"/>
          </w:tcPr>
          <w:p>
            <w:pPr>
              <w:pStyle w:val="TableParagraph"/>
              <w:spacing w:line="249" w:lineRule="auto" w:before="60"/>
              <w:ind w:left="88" w:right="343"/>
              <w:rPr>
                <w:sz w:val="20"/>
              </w:rPr>
            </w:pPr>
            <w:r>
              <w:rPr>
                <w:sz w:val="20"/>
              </w:rPr>
              <w:t>установка</w:t>
            </w:r>
            <w:r>
              <w:rPr>
                <w:spacing w:val="-13"/>
                <w:sz w:val="20"/>
              </w:rPr>
              <w:t> </w:t>
            </w:r>
            <w:r>
              <w:rPr>
                <w:sz w:val="20"/>
              </w:rPr>
              <w:t>интенсивной</w:t>
            </w:r>
            <w:r>
              <w:rPr>
                <w:spacing w:val="-12"/>
                <w:sz w:val="20"/>
              </w:rPr>
              <w:t> </w:t>
            </w:r>
            <w:r>
              <w:rPr>
                <w:sz w:val="20"/>
              </w:rPr>
              <w:t>помпы</w:t>
            </w:r>
            <w:r>
              <w:rPr>
                <w:spacing w:val="-13"/>
                <w:sz w:val="20"/>
              </w:rPr>
              <w:t> </w:t>
            </w:r>
            <w:r>
              <w:rPr>
                <w:sz w:val="20"/>
              </w:rPr>
              <w:t>для постоянной инфузии геля после предварительной назоеюнальной </w:t>
            </w:r>
            <w:r>
              <w:rPr>
                <w:spacing w:val="-2"/>
                <w:sz w:val="20"/>
              </w:rPr>
              <w:t>титрации</w:t>
            </w:r>
          </w:p>
        </w:tc>
        <w:tc>
          <w:tcPr>
            <w:tcW w:w="1006" w:type="dxa"/>
          </w:tcPr>
          <w:p>
            <w:pPr>
              <w:pStyle w:val="TableParagraph"/>
              <w:spacing w:before="60"/>
              <w:ind w:right="44"/>
              <w:jc w:val="right"/>
              <w:rPr>
                <w:sz w:val="20"/>
              </w:rPr>
            </w:pPr>
            <w:r>
              <w:rPr>
                <w:spacing w:val="-2"/>
                <w:sz w:val="20"/>
              </w:rPr>
              <w:t>431772</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spacing w:before="2"/>
        <w:rPr>
          <w:sz w:val="17"/>
        </w:rPr>
      </w:pPr>
    </w:p>
    <w:p>
      <w:pPr>
        <w:tabs>
          <w:tab w:pos="931" w:val="left" w:leader="none"/>
        </w:tabs>
        <w:spacing w:line="249" w:lineRule="auto" w:before="0"/>
        <w:ind w:left="931" w:right="0" w:hanging="564"/>
        <w:jc w:val="left"/>
        <w:rPr>
          <w:sz w:val="20"/>
        </w:rPr>
      </w:pPr>
      <w:r>
        <w:rPr>
          <w:spacing w:val="-4"/>
          <w:sz w:val="20"/>
        </w:rPr>
        <w:t>14.</w:t>
      </w:r>
      <w:r>
        <w:rPr>
          <w:sz w:val="20"/>
        </w:rPr>
        <w:tab/>
      </w:r>
      <w:r>
        <w:rPr>
          <w:spacing w:val="-2"/>
          <w:sz w:val="20"/>
        </w:rPr>
        <w:t>Микрохирургические </w:t>
      </w:r>
      <w:r>
        <w:rPr>
          <w:sz w:val="20"/>
        </w:rPr>
        <w:t>вмешательства с </w:t>
      </w:r>
      <w:r>
        <w:rPr>
          <w:spacing w:val="-2"/>
          <w:sz w:val="20"/>
        </w:rPr>
        <w:t>использованием </w:t>
      </w:r>
      <w:r>
        <w:rPr>
          <w:sz w:val="20"/>
        </w:rPr>
        <w:t>операционного микроскопа, стереотаксической биопсии, </w:t>
      </w:r>
      <w:r>
        <w:rPr>
          <w:spacing w:val="-2"/>
          <w:sz w:val="20"/>
        </w:rPr>
        <w:t>интраоперационной </w:t>
      </w:r>
      <w:r>
        <w:rPr>
          <w:sz w:val="20"/>
        </w:rPr>
        <w:t>навигации и </w:t>
      </w:r>
      <w:r>
        <w:rPr>
          <w:spacing w:val="-2"/>
          <w:sz w:val="20"/>
        </w:rPr>
        <w:t>нейрофизиологического </w:t>
      </w:r>
      <w:r>
        <w:rPr>
          <w:sz w:val="20"/>
        </w:rPr>
        <w:t>мониторинга при </w:t>
      </w:r>
      <w:r>
        <w:rPr>
          <w:spacing w:val="-2"/>
          <w:sz w:val="20"/>
        </w:rPr>
        <w:t>внутримозговых </w:t>
      </w:r>
      <w:r>
        <w:rPr>
          <w:sz w:val="20"/>
        </w:rPr>
        <w:t>новообразованиях головного мозга и каверномах функционально</w:t>
      </w:r>
      <w:r>
        <w:rPr>
          <w:spacing w:val="-15"/>
          <w:sz w:val="20"/>
        </w:rPr>
        <w:t> </w:t>
      </w:r>
      <w:r>
        <w:rPr>
          <w:sz w:val="20"/>
        </w:rPr>
        <w:t>значимых</w:t>
      </w:r>
      <w:r>
        <w:rPr>
          <w:spacing w:val="-12"/>
          <w:sz w:val="20"/>
        </w:rPr>
        <w:t> </w:t>
      </w:r>
      <w:r>
        <w:rPr>
          <w:sz w:val="20"/>
        </w:rPr>
        <w:t>зон головного мозга</w:t>
      </w:r>
    </w:p>
    <w:p>
      <w:pPr>
        <w:spacing w:line="240" w:lineRule="auto" w:before="0"/>
        <w:rPr>
          <w:sz w:val="22"/>
        </w:rPr>
      </w:pPr>
      <w:r>
        <w:rPr/>
        <w:br w:type="column"/>
      </w:r>
      <w:r>
        <w:rPr>
          <w:sz w:val="22"/>
        </w:rPr>
      </w:r>
    </w:p>
    <w:p>
      <w:pPr>
        <w:pStyle w:val="BodyText"/>
        <w:spacing w:before="2"/>
        <w:rPr>
          <w:sz w:val="17"/>
        </w:rPr>
      </w:pPr>
    </w:p>
    <w:p>
      <w:pPr>
        <w:spacing w:before="0"/>
        <w:ind w:left="256" w:right="0" w:firstLine="0"/>
        <w:jc w:val="center"/>
        <w:rPr>
          <w:sz w:val="20"/>
        </w:rPr>
      </w:pPr>
      <w:r>
        <w:rPr>
          <w:sz w:val="20"/>
        </w:rPr>
        <w:t>C71.0,</w:t>
      </w:r>
      <w:r>
        <w:rPr>
          <w:spacing w:val="-5"/>
          <w:sz w:val="20"/>
        </w:rPr>
        <w:t> </w:t>
      </w:r>
      <w:r>
        <w:rPr>
          <w:sz w:val="20"/>
        </w:rPr>
        <w:t>C71.1,</w:t>
      </w:r>
      <w:r>
        <w:rPr>
          <w:spacing w:val="-5"/>
          <w:sz w:val="20"/>
        </w:rPr>
        <w:t> </w:t>
      </w:r>
      <w:r>
        <w:rPr>
          <w:spacing w:val="-2"/>
          <w:sz w:val="20"/>
        </w:rPr>
        <w:t>C71.2,</w:t>
      </w:r>
    </w:p>
    <w:p>
      <w:pPr>
        <w:spacing w:before="10"/>
        <w:ind w:left="257" w:right="0" w:firstLine="0"/>
        <w:jc w:val="center"/>
        <w:rPr>
          <w:sz w:val="20"/>
        </w:rPr>
      </w:pPr>
      <w:r>
        <w:rPr>
          <w:sz w:val="20"/>
        </w:rPr>
        <w:t>C71.3,</w:t>
      </w:r>
      <w:r>
        <w:rPr>
          <w:spacing w:val="-5"/>
          <w:sz w:val="20"/>
        </w:rPr>
        <w:t> </w:t>
      </w:r>
      <w:r>
        <w:rPr>
          <w:sz w:val="20"/>
        </w:rPr>
        <w:t>C71.4,</w:t>
      </w:r>
      <w:r>
        <w:rPr>
          <w:spacing w:val="-5"/>
          <w:sz w:val="20"/>
        </w:rPr>
        <w:t> </w:t>
      </w:r>
      <w:r>
        <w:rPr>
          <w:spacing w:val="-2"/>
          <w:sz w:val="20"/>
        </w:rPr>
        <w:t>C79.3,</w:t>
      </w:r>
    </w:p>
    <w:p>
      <w:pPr>
        <w:spacing w:line="249" w:lineRule="auto" w:before="11"/>
        <w:ind w:left="261" w:right="2" w:firstLine="0"/>
        <w:jc w:val="center"/>
        <w:rPr>
          <w:sz w:val="20"/>
        </w:rPr>
      </w:pPr>
      <w:r>
        <w:rPr>
          <w:sz w:val="20"/>
        </w:rPr>
        <w:t>D33.0,</w:t>
      </w:r>
      <w:r>
        <w:rPr>
          <w:spacing w:val="-13"/>
          <w:sz w:val="20"/>
        </w:rPr>
        <w:t> </w:t>
      </w:r>
      <w:r>
        <w:rPr>
          <w:sz w:val="20"/>
        </w:rPr>
        <w:t>D43.0,</w:t>
      </w:r>
      <w:r>
        <w:rPr>
          <w:spacing w:val="-12"/>
          <w:sz w:val="20"/>
        </w:rPr>
        <w:t> </w:t>
      </w:r>
      <w:r>
        <w:rPr>
          <w:sz w:val="20"/>
        </w:rPr>
        <w:t>C71.8, </w:t>
      </w:r>
      <w:r>
        <w:rPr>
          <w:spacing w:val="-4"/>
          <w:sz w:val="20"/>
        </w:rPr>
        <w:t>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spacing w:line="249" w:lineRule="auto" w:before="0"/>
        <w:ind w:left="261" w:right="0" w:firstLine="0"/>
        <w:jc w:val="center"/>
        <w:rPr>
          <w:sz w:val="20"/>
        </w:rPr>
      </w:pPr>
      <w:r>
        <w:rPr>
          <w:sz w:val="20"/>
        </w:rPr>
        <w:t>C71.5,</w:t>
      </w:r>
      <w:r>
        <w:rPr>
          <w:spacing w:val="-13"/>
          <w:sz w:val="20"/>
        </w:rPr>
        <w:t> </w:t>
      </w:r>
      <w:r>
        <w:rPr>
          <w:sz w:val="20"/>
        </w:rPr>
        <w:t>C79.3,</w:t>
      </w:r>
      <w:r>
        <w:rPr>
          <w:spacing w:val="-12"/>
          <w:sz w:val="20"/>
        </w:rPr>
        <w:t> </w:t>
      </w:r>
      <w:r>
        <w:rPr>
          <w:sz w:val="20"/>
        </w:rPr>
        <w:t>D33.0, D43.0, 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56" w:right="0" w:firstLine="0"/>
        <w:jc w:val="center"/>
        <w:rPr>
          <w:sz w:val="20"/>
        </w:rPr>
      </w:pPr>
      <w:r>
        <w:rPr>
          <w:sz w:val="20"/>
        </w:rPr>
        <w:t>C71.6,</w:t>
      </w:r>
      <w:r>
        <w:rPr>
          <w:spacing w:val="-5"/>
          <w:sz w:val="20"/>
        </w:rPr>
        <w:t> </w:t>
      </w:r>
      <w:r>
        <w:rPr>
          <w:sz w:val="20"/>
        </w:rPr>
        <w:t>C71.7,</w:t>
      </w:r>
      <w:r>
        <w:rPr>
          <w:spacing w:val="-5"/>
          <w:sz w:val="20"/>
        </w:rPr>
        <w:t> </w:t>
      </w:r>
      <w:r>
        <w:rPr>
          <w:spacing w:val="-2"/>
          <w:sz w:val="20"/>
        </w:rPr>
        <w:t>C79.3,</w:t>
      </w:r>
    </w:p>
    <w:p>
      <w:pPr>
        <w:spacing w:line="249" w:lineRule="auto" w:before="10"/>
        <w:ind w:left="256" w:right="0" w:firstLine="0"/>
        <w:jc w:val="center"/>
        <w:rPr>
          <w:sz w:val="20"/>
        </w:rPr>
      </w:pPr>
      <w:r>
        <w:rPr>
          <w:sz w:val="20"/>
        </w:rPr>
        <w:t>D33.1,</w:t>
      </w:r>
      <w:r>
        <w:rPr>
          <w:spacing w:val="-13"/>
          <w:sz w:val="20"/>
        </w:rPr>
        <w:t> </w:t>
      </w:r>
      <w:r>
        <w:rPr>
          <w:sz w:val="20"/>
        </w:rPr>
        <w:t>D18.0,</w:t>
      </w:r>
      <w:r>
        <w:rPr>
          <w:spacing w:val="-12"/>
          <w:sz w:val="20"/>
        </w:rPr>
        <w:t> </w:t>
      </w:r>
      <w:r>
        <w:rPr>
          <w:sz w:val="20"/>
        </w:rPr>
        <w:t>D43.1, </w:t>
      </w:r>
      <w:r>
        <w:rPr>
          <w:spacing w:val="-4"/>
          <w:sz w:val="20"/>
        </w:rPr>
        <w:t>Q85.0</w:t>
      </w:r>
    </w:p>
    <w:p>
      <w:pPr>
        <w:spacing w:before="91"/>
        <w:ind w:left="1785" w:right="0" w:firstLine="0"/>
        <w:jc w:val="left"/>
        <w:rPr>
          <w:sz w:val="20"/>
        </w:rPr>
      </w:pPr>
      <w:r>
        <w:rPr/>
        <w:br w:type="column"/>
      </w:r>
      <w:r>
        <w:rPr>
          <w:spacing w:val="-2"/>
          <w:sz w:val="20"/>
        </w:rPr>
        <w:t>Нейрохирургия</w:t>
      </w:r>
    </w:p>
    <w:p>
      <w:pPr>
        <w:spacing w:line="249" w:lineRule="auto" w:before="130"/>
        <w:ind w:left="222" w:right="272" w:firstLine="0"/>
        <w:jc w:val="left"/>
        <w:rPr>
          <w:sz w:val="20"/>
        </w:rPr>
      </w:pPr>
      <w:r>
        <w:rPr>
          <w:sz w:val="20"/>
        </w:rPr>
        <w:t>внутримозговые</w:t>
      </w:r>
      <w:r>
        <w:rPr>
          <w:spacing w:val="-13"/>
          <w:sz w:val="20"/>
        </w:rPr>
        <w:t> </w:t>
      </w:r>
      <w:r>
        <w:rPr>
          <w:sz w:val="20"/>
        </w:rPr>
        <w:t>злокачественные новообразования (первичные и вторичные)</w:t>
      </w:r>
      <w:r>
        <w:rPr>
          <w:spacing w:val="-5"/>
          <w:sz w:val="20"/>
        </w:rPr>
        <w:t> </w:t>
      </w:r>
      <w:r>
        <w:rPr>
          <w:sz w:val="20"/>
        </w:rPr>
        <w:t>и</w:t>
      </w:r>
      <w:r>
        <w:rPr>
          <w:spacing w:val="-4"/>
          <w:sz w:val="20"/>
        </w:rPr>
        <w:t> </w:t>
      </w:r>
      <w:r>
        <w:rPr>
          <w:sz w:val="20"/>
        </w:rPr>
        <w:t>доброкачественные новообразования функционально значимых зон головного 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4"/>
        </w:rPr>
      </w:pPr>
    </w:p>
    <w:p>
      <w:pPr>
        <w:spacing w:line="249" w:lineRule="auto" w:before="0"/>
        <w:ind w:left="222" w:right="0" w:firstLine="0"/>
        <w:jc w:val="left"/>
        <w:rPr>
          <w:sz w:val="20"/>
        </w:rPr>
      </w:pPr>
      <w:r>
        <w:rPr>
          <w:sz w:val="20"/>
        </w:rPr>
        <w:t>внутримозговые злокачественные (первичные и вторичные) и </w:t>
      </w:r>
      <w:r>
        <w:rPr>
          <w:spacing w:val="-2"/>
          <w:sz w:val="20"/>
        </w:rPr>
        <w:t>доброкачественные новообразования </w:t>
      </w:r>
      <w:r>
        <w:rPr>
          <w:sz w:val="20"/>
        </w:rPr>
        <w:t>боковых и III желудочков 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3"/>
        </w:rPr>
      </w:pPr>
    </w:p>
    <w:p>
      <w:pPr>
        <w:spacing w:line="249" w:lineRule="auto" w:before="1"/>
        <w:ind w:left="222" w:right="0" w:firstLine="0"/>
        <w:jc w:val="left"/>
        <w:rPr>
          <w:sz w:val="20"/>
        </w:rPr>
      </w:pPr>
      <w:r>
        <w:rPr>
          <w:sz w:val="20"/>
        </w:rPr>
        <w:t>внутримозговые злокачественные (первичные и вторичные) и </w:t>
      </w:r>
      <w:r>
        <w:rPr>
          <w:spacing w:val="-2"/>
          <w:sz w:val="20"/>
        </w:rPr>
        <w:t>доброкачественные новообразования </w:t>
      </w:r>
      <w:r>
        <w:rPr>
          <w:sz w:val="20"/>
        </w:rPr>
        <w:t>IV желудочка мозга, стволовой и парастволовой локализации</w:t>
      </w:r>
    </w:p>
    <w:p>
      <w:pPr>
        <w:spacing w:line="240" w:lineRule="auto" w:before="0"/>
        <w:rPr>
          <w:sz w:val="22"/>
        </w:rPr>
      </w:pPr>
      <w:r>
        <w:rPr/>
        <w:br w:type="column"/>
      </w:r>
      <w:r>
        <w:rPr>
          <w:sz w:val="22"/>
        </w:rPr>
      </w:r>
    </w:p>
    <w:p>
      <w:pPr>
        <w:pStyle w:val="BodyText"/>
        <w:spacing w:before="2"/>
        <w:rPr>
          <w:sz w:val="17"/>
        </w:rPr>
      </w:pPr>
    </w:p>
    <w:p>
      <w:pPr>
        <w:spacing w:line="249" w:lineRule="auto" w:before="0"/>
        <w:ind w:left="87"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spacing w:line="249" w:lineRule="auto" w:before="0"/>
        <w:ind w:left="87"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line="249" w:lineRule="auto" w:before="0"/>
        <w:ind w:left="87" w:right="0" w:firstLine="0"/>
        <w:jc w:val="left"/>
        <w:rPr>
          <w:sz w:val="20"/>
        </w:rPr>
      </w:pPr>
      <w:r>
        <w:rPr>
          <w:spacing w:val="-2"/>
          <w:sz w:val="20"/>
        </w:rPr>
        <w:t>хирургическое лечение</w:t>
      </w:r>
    </w:p>
    <w:p>
      <w:pPr>
        <w:spacing w:line="240" w:lineRule="auto" w:before="0"/>
        <w:rPr>
          <w:sz w:val="22"/>
        </w:rPr>
      </w:pPr>
      <w:r>
        <w:rPr/>
        <w:br w:type="column"/>
      </w:r>
      <w:r>
        <w:rPr>
          <w:sz w:val="22"/>
        </w:rPr>
      </w:r>
    </w:p>
    <w:p>
      <w:pPr>
        <w:pStyle w:val="BodyText"/>
        <w:spacing w:before="2"/>
        <w:rPr>
          <w:sz w:val="17"/>
        </w:rPr>
      </w:pPr>
    </w:p>
    <w:p>
      <w:pPr>
        <w:spacing w:line="249" w:lineRule="auto" w:before="0"/>
        <w:ind w:left="176" w:right="0" w:firstLine="0"/>
        <w:jc w:val="left"/>
        <w:rPr>
          <w:sz w:val="20"/>
        </w:rPr>
      </w:pPr>
      <w:r>
        <w:rPr>
          <w:sz w:val="20"/>
        </w:rPr>
        <w:t>удаление опухоли с применением нейрофизиологического мониторинга функционально</w:t>
      </w:r>
      <w:r>
        <w:rPr>
          <w:spacing w:val="-13"/>
          <w:sz w:val="20"/>
        </w:rPr>
        <w:t> </w:t>
      </w:r>
      <w:r>
        <w:rPr>
          <w:sz w:val="20"/>
        </w:rPr>
        <w:t>значимых</w:t>
      </w:r>
      <w:r>
        <w:rPr>
          <w:spacing w:val="-12"/>
          <w:sz w:val="20"/>
        </w:rPr>
        <w:t> </w:t>
      </w:r>
      <w:r>
        <w:rPr>
          <w:sz w:val="20"/>
        </w:rPr>
        <w:t>зон</w:t>
      </w:r>
      <w:r>
        <w:rPr>
          <w:spacing w:val="-13"/>
          <w:sz w:val="20"/>
        </w:rPr>
        <w:t> </w:t>
      </w:r>
      <w:r>
        <w:rPr>
          <w:sz w:val="20"/>
        </w:rPr>
        <w:t>головного </w:t>
      </w:r>
      <w:r>
        <w:rPr>
          <w:spacing w:val="-2"/>
          <w:sz w:val="20"/>
        </w:rPr>
        <w:t>мозга</w:t>
      </w:r>
    </w:p>
    <w:p>
      <w:pPr>
        <w:spacing w:line="249" w:lineRule="auto" w:before="124"/>
        <w:ind w:left="176" w:right="294" w:firstLine="0"/>
        <w:jc w:val="left"/>
        <w:rPr>
          <w:sz w:val="20"/>
        </w:rPr>
      </w:pPr>
      <w:r>
        <w:rPr>
          <w:sz w:val="20"/>
        </w:rPr>
        <w:t>удаление опухоли с применением интраоперационной</w:t>
      </w:r>
      <w:r>
        <w:rPr>
          <w:spacing w:val="-13"/>
          <w:sz w:val="20"/>
        </w:rPr>
        <w:t> </w:t>
      </w:r>
      <w:r>
        <w:rPr>
          <w:sz w:val="20"/>
        </w:rPr>
        <w:t>флюоресцентной микроскопии и эндоскопии</w:t>
      </w:r>
    </w:p>
    <w:p>
      <w:pPr>
        <w:spacing w:line="249" w:lineRule="auto" w:before="123"/>
        <w:ind w:left="176" w:right="0" w:firstLine="0"/>
        <w:jc w:val="left"/>
        <w:rPr>
          <w:sz w:val="20"/>
        </w:rPr>
      </w:pPr>
      <w:r>
        <w:rPr>
          <w:sz w:val="20"/>
        </w:rPr>
        <w:t>стереотаксическое вмешательство с целью</w:t>
      </w:r>
      <w:r>
        <w:rPr>
          <w:spacing w:val="-9"/>
          <w:sz w:val="20"/>
        </w:rPr>
        <w:t> </w:t>
      </w:r>
      <w:r>
        <w:rPr>
          <w:sz w:val="20"/>
        </w:rPr>
        <w:t>дренирования</w:t>
      </w:r>
      <w:r>
        <w:rPr>
          <w:spacing w:val="-12"/>
          <w:sz w:val="20"/>
        </w:rPr>
        <w:t> </w:t>
      </w:r>
      <w:r>
        <w:rPr>
          <w:sz w:val="20"/>
        </w:rPr>
        <w:t>опухолевых</w:t>
      </w:r>
      <w:r>
        <w:rPr>
          <w:spacing w:val="-12"/>
          <w:sz w:val="20"/>
        </w:rPr>
        <w:t> </w:t>
      </w:r>
      <w:r>
        <w:rPr>
          <w:sz w:val="20"/>
        </w:rPr>
        <w:t>кист</w:t>
      </w:r>
      <w:r>
        <w:rPr>
          <w:spacing w:val="-9"/>
          <w:sz w:val="20"/>
        </w:rPr>
        <w:t> </w:t>
      </w:r>
      <w:r>
        <w:rPr>
          <w:sz w:val="20"/>
        </w:rPr>
        <w:t>и установки длительно существующих дренажных систем</w:t>
      </w:r>
    </w:p>
    <w:p>
      <w:pPr>
        <w:spacing w:line="249" w:lineRule="auto" w:before="123"/>
        <w:ind w:left="176" w:right="600" w:firstLine="0"/>
        <w:jc w:val="left"/>
        <w:rPr>
          <w:sz w:val="20"/>
        </w:rPr>
      </w:pPr>
      <w:r>
        <w:rPr>
          <w:sz w:val="20"/>
        </w:rPr>
        <w:t>удаление опухоли с сочетанным применением</w:t>
      </w:r>
      <w:r>
        <w:rPr>
          <w:spacing w:val="-13"/>
          <w:sz w:val="20"/>
        </w:rPr>
        <w:t> </w:t>
      </w:r>
      <w:r>
        <w:rPr>
          <w:sz w:val="20"/>
        </w:rPr>
        <w:t>интраоперационной флюоресцентной микроскопии, эндоскопии</w:t>
      </w:r>
      <w:r>
        <w:rPr>
          <w:spacing w:val="-9"/>
          <w:sz w:val="20"/>
        </w:rPr>
        <w:t> </w:t>
      </w:r>
      <w:r>
        <w:rPr>
          <w:sz w:val="20"/>
        </w:rPr>
        <w:t>или</w:t>
      </w:r>
      <w:r>
        <w:rPr>
          <w:spacing w:val="-11"/>
          <w:sz w:val="20"/>
        </w:rPr>
        <w:t> </w:t>
      </w:r>
      <w:r>
        <w:rPr>
          <w:sz w:val="20"/>
        </w:rPr>
        <w:t>эндоскопической </w:t>
      </w:r>
      <w:r>
        <w:rPr>
          <w:spacing w:val="-2"/>
          <w:sz w:val="20"/>
        </w:rPr>
        <w:t>ассистенции</w:t>
      </w:r>
    </w:p>
    <w:p>
      <w:pPr>
        <w:spacing w:line="249" w:lineRule="auto" w:before="125"/>
        <w:ind w:left="176" w:right="280" w:firstLine="0"/>
        <w:jc w:val="left"/>
        <w:rPr>
          <w:sz w:val="20"/>
        </w:rPr>
      </w:pPr>
      <w:r>
        <w:rPr>
          <w:sz w:val="20"/>
        </w:rPr>
        <w:t>удаление опухоли с применением нейрофизиологического</w:t>
      </w:r>
      <w:r>
        <w:rPr>
          <w:spacing w:val="-13"/>
          <w:sz w:val="20"/>
        </w:rPr>
        <w:t> </w:t>
      </w:r>
      <w:r>
        <w:rPr>
          <w:sz w:val="20"/>
        </w:rPr>
        <w:t>мониторинга</w:t>
      </w:r>
    </w:p>
    <w:p>
      <w:pPr>
        <w:spacing w:line="249" w:lineRule="auto" w:before="121"/>
        <w:ind w:left="176" w:right="0" w:firstLine="0"/>
        <w:jc w:val="left"/>
        <w:rPr>
          <w:sz w:val="20"/>
        </w:rPr>
      </w:pPr>
      <w:r>
        <w:rPr>
          <w:sz w:val="20"/>
        </w:rPr>
        <w:t>стереотаксическое вмешательство с целью</w:t>
      </w:r>
      <w:r>
        <w:rPr>
          <w:spacing w:val="-9"/>
          <w:sz w:val="20"/>
        </w:rPr>
        <w:t> </w:t>
      </w:r>
      <w:r>
        <w:rPr>
          <w:sz w:val="20"/>
        </w:rPr>
        <w:t>дренирования</w:t>
      </w:r>
      <w:r>
        <w:rPr>
          <w:spacing w:val="-12"/>
          <w:sz w:val="20"/>
        </w:rPr>
        <w:t> </w:t>
      </w:r>
      <w:r>
        <w:rPr>
          <w:sz w:val="20"/>
        </w:rPr>
        <w:t>опухолевых</w:t>
      </w:r>
      <w:r>
        <w:rPr>
          <w:spacing w:val="-12"/>
          <w:sz w:val="20"/>
        </w:rPr>
        <w:t> </w:t>
      </w:r>
      <w:r>
        <w:rPr>
          <w:sz w:val="20"/>
        </w:rPr>
        <w:t>кист</w:t>
      </w:r>
      <w:r>
        <w:rPr>
          <w:spacing w:val="-9"/>
          <w:sz w:val="20"/>
        </w:rPr>
        <w:t> </w:t>
      </w:r>
      <w:r>
        <w:rPr>
          <w:sz w:val="20"/>
        </w:rPr>
        <w:t>и установки длительно существующих дренажных систем</w:t>
      </w:r>
    </w:p>
    <w:p>
      <w:pPr>
        <w:spacing w:line="249" w:lineRule="auto" w:before="124"/>
        <w:ind w:left="176" w:right="280" w:firstLine="0"/>
        <w:jc w:val="left"/>
        <w:rPr>
          <w:sz w:val="20"/>
        </w:rPr>
      </w:pPr>
      <w:r>
        <w:rPr>
          <w:sz w:val="20"/>
        </w:rPr>
        <w:t>удаление опухоли с применением нейрофизиологического</w:t>
      </w:r>
      <w:r>
        <w:rPr>
          <w:spacing w:val="-13"/>
          <w:sz w:val="20"/>
        </w:rPr>
        <w:t> </w:t>
      </w:r>
      <w:r>
        <w:rPr>
          <w:sz w:val="20"/>
        </w:rPr>
        <w:t>мониторинга</w:t>
      </w:r>
    </w:p>
    <w:p>
      <w:pPr>
        <w:spacing w:line="249" w:lineRule="auto" w:before="122"/>
        <w:ind w:left="176" w:right="294" w:firstLine="0"/>
        <w:jc w:val="left"/>
        <w:rPr>
          <w:sz w:val="20"/>
        </w:rPr>
      </w:pPr>
      <w:r>
        <w:rPr>
          <w:sz w:val="20"/>
        </w:rPr>
        <w:t>удаление опухоли с применением интраоперационной</w:t>
      </w:r>
      <w:r>
        <w:rPr>
          <w:spacing w:val="-13"/>
          <w:sz w:val="20"/>
        </w:rPr>
        <w:t> </w:t>
      </w:r>
      <w:r>
        <w:rPr>
          <w:sz w:val="20"/>
        </w:rPr>
        <w:t>флюоресцентной микроскопии и эндоскопии</w:t>
      </w:r>
    </w:p>
    <w:p>
      <w:pPr>
        <w:spacing w:line="240" w:lineRule="auto" w:before="0"/>
        <w:rPr>
          <w:sz w:val="22"/>
        </w:rPr>
      </w:pPr>
      <w:r>
        <w:rPr/>
        <w:br w:type="column"/>
      </w:r>
      <w:r>
        <w:rPr>
          <w:sz w:val="22"/>
        </w:rPr>
      </w:r>
    </w:p>
    <w:p>
      <w:pPr>
        <w:pStyle w:val="BodyText"/>
        <w:spacing w:before="2"/>
        <w:rPr>
          <w:sz w:val="17"/>
        </w:rPr>
      </w:pPr>
    </w:p>
    <w:p>
      <w:pPr>
        <w:spacing w:before="0"/>
        <w:ind w:left="367" w:right="0" w:firstLine="0"/>
        <w:jc w:val="left"/>
        <w:rPr>
          <w:sz w:val="20"/>
        </w:rPr>
      </w:pPr>
      <w:r>
        <w:rPr>
          <w:spacing w:val="-2"/>
          <w:sz w:val="20"/>
        </w:rPr>
        <w:t>326375</w:t>
      </w:r>
    </w:p>
    <w:p>
      <w:pPr>
        <w:spacing w:after="0"/>
        <w:jc w:val="left"/>
        <w:rPr>
          <w:sz w:val="20"/>
        </w:rPr>
        <w:sectPr>
          <w:type w:val="continuous"/>
          <w:pgSz w:w="16850" w:h="11910" w:orient="landscape"/>
          <w:pgMar w:header="753" w:footer="0" w:top="1080" w:bottom="280" w:left="400" w:right="400"/>
          <w:cols w:num="6" w:equalWidth="0">
            <w:col w:w="3502" w:space="40"/>
            <w:col w:w="1989" w:space="39"/>
            <w:col w:w="3403" w:space="40"/>
            <w:col w:w="1345" w:space="40"/>
            <w:col w:w="3698" w:space="304"/>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pStyle w:val="BodyText"/>
        <w:spacing w:before="4"/>
        <w:rPr>
          <w:sz w:val="32"/>
        </w:rPr>
      </w:pPr>
    </w:p>
    <w:p>
      <w:pPr>
        <w:tabs>
          <w:tab w:pos="5792" w:val="left" w:leader="none"/>
        </w:tabs>
        <w:spacing w:before="0"/>
        <w:ind w:left="4122" w:right="0" w:firstLine="0"/>
        <w:jc w:val="left"/>
        <w:rPr>
          <w:sz w:val="20"/>
        </w:rPr>
      </w:pPr>
      <w:r>
        <w:rPr>
          <w:sz w:val="20"/>
        </w:rPr>
        <w:t>D18.0,</w:t>
      </w:r>
      <w:r>
        <w:rPr>
          <w:spacing w:val="-3"/>
          <w:sz w:val="20"/>
        </w:rPr>
        <w:t> </w:t>
      </w:r>
      <w:r>
        <w:rPr>
          <w:spacing w:val="-2"/>
          <w:sz w:val="20"/>
        </w:rPr>
        <w:t>Q28.3</w:t>
      </w:r>
      <w:r>
        <w:rPr>
          <w:sz w:val="20"/>
        </w:rPr>
        <w:tab/>
        <w:t>кавернома</w:t>
      </w:r>
      <w:r>
        <w:rPr>
          <w:spacing w:val="-10"/>
          <w:sz w:val="20"/>
        </w:rPr>
        <w:t> </w:t>
      </w:r>
      <w:r>
        <w:rPr>
          <w:sz w:val="20"/>
        </w:rPr>
        <w:t>(кавернозная</w:t>
      </w:r>
      <w:r>
        <w:rPr>
          <w:spacing w:val="-11"/>
          <w:sz w:val="20"/>
        </w:rPr>
        <w:t> </w:t>
      </w:r>
      <w:r>
        <w:rPr>
          <w:spacing w:val="-2"/>
          <w:sz w:val="20"/>
        </w:rPr>
        <w:t>ангиома)</w:t>
      </w:r>
    </w:p>
    <w:p>
      <w:pPr>
        <w:spacing w:line="249" w:lineRule="auto" w:before="10"/>
        <w:ind w:left="5793" w:right="0" w:firstLine="0"/>
        <w:jc w:val="left"/>
        <w:rPr>
          <w:sz w:val="20"/>
        </w:rPr>
      </w:pPr>
      <w:r>
        <w:rPr>
          <w:sz w:val="20"/>
        </w:rPr>
        <w:t>функционально</w:t>
      </w:r>
      <w:r>
        <w:rPr>
          <w:spacing w:val="-13"/>
          <w:sz w:val="20"/>
        </w:rPr>
        <w:t> </w:t>
      </w:r>
      <w:r>
        <w:rPr>
          <w:sz w:val="20"/>
        </w:rPr>
        <w:t>значимых</w:t>
      </w:r>
      <w:r>
        <w:rPr>
          <w:spacing w:val="-12"/>
          <w:sz w:val="20"/>
        </w:rPr>
        <w:t> </w:t>
      </w:r>
      <w:r>
        <w:rPr>
          <w:sz w:val="20"/>
        </w:rPr>
        <w:t>зон головного мозга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4"/>
        <w:rPr>
          <w:sz w:val="32"/>
        </w:rPr>
      </w:pPr>
    </w:p>
    <w:p>
      <w:pPr>
        <w:spacing w:line="249" w:lineRule="auto" w:before="0"/>
        <w:ind w:left="402" w:right="0" w:firstLine="0"/>
        <w:jc w:val="left"/>
        <w:rPr>
          <w:sz w:val="20"/>
        </w:rPr>
      </w:pPr>
      <w:r>
        <w:rPr>
          <w:spacing w:val="-2"/>
          <w:sz w:val="20"/>
        </w:rPr>
        <w:t>хирургическое лечение</w:t>
      </w:r>
    </w:p>
    <w:p>
      <w:pPr>
        <w:spacing w:line="249" w:lineRule="auto" w:before="91"/>
        <w:ind w:left="178" w:right="1953" w:firstLine="0"/>
        <w:jc w:val="left"/>
        <w:rPr>
          <w:sz w:val="20"/>
        </w:rPr>
      </w:pPr>
      <w:r>
        <w:rPr/>
        <w:br w:type="column"/>
      </w:r>
      <w:r>
        <w:rPr>
          <w:sz w:val="20"/>
        </w:rPr>
        <w:t>удаление опухоли с применением нейрофизиологического мониторинга функционально</w:t>
      </w:r>
      <w:r>
        <w:rPr>
          <w:spacing w:val="-9"/>
          <w:sz w:val="20"/>
        </w:rPr>
        <w:t> </w:t>
      </w:r>
      <w:r>
        <w:rPr>
          <w:sz w:val="20"/>
        </w:rPr>
        <w:t>значимых</w:t>
      </w:r>
      <w:r>
        <w:rPr>
          <w:spacing w:val="-12"/>
          <w:sz w:val="20"/>
        </w:rPr>
        <w:t> </w:t>
      </w:r>
      <w:r>
        <w:rPr>
          <w:sz w:val="20"/>
        </w:rPr>
        <w:t>зон</w:t>
      </w:r>
      <w:r>
        <w:rPr>
          <w:spacing w:val="-12"/>
          <w:sz w:val="20"/>
        </w:rPr>
        <w:t> </w:t>
      </w:r>
      <w:r>
        <w:rPr>
          <w:sz w:val="20"/>
        </w:rPr>
        <w:t>головного </w:t>
      </w:r>
      <w:r>
        <w:rPr>
          <w:spacing w:val="-2"/>
          <w:sz w:val="20"/>
        </w:rPr>
        <w:t>мозга</w:t>
      </w:r>
    </w:p>
    <w:p>
      <w:pPr>
        <w:spacing w:line="249" w:lineRule="auto" w:before="83"/>
        <w:ind w:left="178" w:right="1953" w:firstLine="0"/>
        <w:jc w:val="left"/>
        <w:rPr>
          <w:sz w:val="20"/>
        </w:rPr>
      </w:pPr>
      <w:r>
        <w:rPr>
          <w:sz w:val="20"/>
        </w:rPr>
        <w:t>удаление опухоли с применением нейрофизиологического</w:t>
      </w:r>
      <w:r>
        <w:rPr>
          <w:spacing w:val="-13"/>
          <w:sz w:val="20"/>
        </w:rPr>
        <w:t> </w:t>
      </w:r>
      <w:r>
        <w:rPr>
          <w:sz w:val="20"/>
        </w:rPr>
        <w:t>мониторинга</w:t>
      </w:r>
    </w:p>
    <w:p>
      <w:pPr>
        <w:spacing w:after="0" w:line="249" w:lineRule="auto"/>
        <w:jc w:val="left"/>
        <w:rPr>
          <w:sz w:val="20"/>
        </w:rPr>
        <w:sectPr>
          <w:type w:val="continuous"/>
          <w:pgSz w:w="16850" w:h="11910" w:orient="landscape"/>
          <w:pgMar w:header="753" w:footer="0" w:top="1080" w:bottom="280" w:left="400" w:right="400"/>
          <w:cols w:num="3" w:equalWidth="0">
            <w:col w:w="8658" w:space="40"/>
            <w:col w:w="1659" w:space="39"/>
            <w:col w:w="5654"/>
          </w:cols>
        </w:sectPr>
      </w:pPr>
    </w:p>
    <w:p>
      <w:pPr>
        <w:spacing w:line="249" w:lineRule="auto" w:before="121"/>
        <w:ind w:left="931" w:right="-8" w:firstLine="0"/>
        <w:jc w:val="left"/>
        <w:rPr>
          <w:sz w:val="20"/>
        </w:rPr>
      </w:pPr>
      <w:r>
        <w:rPr>
          <w:spacing w:val="-2"/>
          <w:sz w:val="20"/>
        </w:rPr>
        <w:t>Микрохирургические </w:t>
      </w:r>
      <w:r>
        <w:rPr>
          <w:sz w:val="20"/>
        </w:rPr>
        <w:t>вмешательства при злокачественных</w:t>
      </w:r>
      <w:r>
        <w:rPr>
          <w:spacing w:val="-13"/>
          <w:sz w:val="20"/>
        </w:rPr>
        <w:t> </w:t>
      </w:r>
      <w:r>
        <w:rPr>
          <w:sz w:val="20"/>
        </w:rPr>
        <w:t>(первичных и вторичных) и </w:t>
      </w:r>
      <w:r>
        <w:rPr>
          <w:spacing w:val="-2"/>
          <w:sz w:val="20"/>
        </w:rPr>
        <w:t>доброкачественных </w:t>
      </w:r>
      <w:r>
        <w:rPr>
          <w:sz w:val="20"/>
        </w:rPr>
        <w:t>новообразованиях оболочек головного мозга с вовлечением синусов, фалькса, намета мозжечка, а также внутрижелудочковой </w:t>
      </w:r>
      <w:r>
        <w:rPr>
          <w:spacing w:val="-2"/>
          <w:sz w:val="20"/>
        </w:rPr>
        <w:t>локализации</w:t>
      </w:r>
    </w:p>
    <w:p>
      <w:pPr>
        <w:spacing w:line="249" w:lineRule="auto" w:before="121"/>
        <w:ind w:left="709" w:right="0" w:hanging="387"/>
        <w:jc w:val="left"/>
        <w:rPr>
          <w:sz w:val="20"/>
        </w:rPr>
      </w:pPr>
      <w:r>
        <w:rPr/>
        <w:br w:type="column"/>
      </w:r>
      <w:r>
        <w:rPr>
          <w:sz w:val="20"/>
        </w:rPr>
        <w:t>C70.0,</w:t>
      </w:r>
      <w:r>
        <w:rPr>
          <w:spacing w:val="-13"/>
          <w:sz w:val="20"/>
        </w:rPr>
        <w:t> </w:t>
      </w:r>
      <w:r>
        <w:rPr>
          <w:sz w:val="20"/>
        </w:rPr>
        <w:t>C79.3,</w:t>
      </w:r>
      <w:r>
        <w:rPr>
          <w:spacing w:val="-12"/>
          <w:sz w:val="20"/>
        </w:rPr>
        <w:t> </w:t>
      </w:r>
      <w:r>
        <w:rPr>
          <w:sz w:val="20"/>
        </w:rPr>
        <w:t>D32.0, Q85, D42.0</w:t>
      </w:r>
    </w:p>
    <w:p>
      <w:pPr>
        <w:spacing w:line="249" w:lineRule="auto" w:before="121"/>
        <w:ind w:left="232" w:right="0" w:firstLine="0"/>
        <w:jc w:val="left"/>
        <w:rPr>
          <w:sz w:val="20"/>
        </w:rPr>
      </w:pPr>
      <w:r>
        <w:rPr/>
        <w:br w:type="column"/>
      </w:r>
      <w:r>
        <w:rPr>
          <w:sz w:val="20"/>
        </w:rPr>
        <w:t>злокачественные (первичные и вторичные) и доброкачественные новообразования оболочек головного мозга парасаггитальной локализации</w:t>
      </w:r>
      <w:r>
        <w:rPr>
          <w:spacing w:val="-13"/>
          <w:sz w:val="20"/>
        </w:rPr>
        <w:t> </w:t>
      </w:r>
      <w:r>
        <w:rPr>
          <w:sz w:val="20"/>
        </w:rPr>
        <w:t>с</w:t>
      </w:r>
      <w:r>
        <w:rPr>
          <w:spacing w:val="-12"/>
          <w:sz w:val="20"/>
        </w:rPr>
        <w:t> </w:t>
      </w:r>
      <w:r>
        <w:rPr>
          <w:sz w:val="20"/>
        </w:rPr>
        <w:t>вовлечением</w:t>
      </w:r>
      <w:r>
        <w:rPr>
          <w:spacing w:val="-13"/>
          <w:sz w:val="20"/>
        </w:rPr>
        <w:t> </w:t>
      </w:r>
      <w:r>
        <w:rPr>
          <w:sz w:val="20"/>
        </w:rPr>
        <w:t>синусов, фалькса, намета мозжечка, а также внутрижелудочковой локализации</w:t>
      </w:r>
    </w:p>
    <w:p>
      <w:pPr>
        <w:spacing w:line="249" w:lineRule="auto" w:before="121"/>
        <w:ind w:left="119" w:right="0" w:firstLine="0"/>
        <w:jc w:val="left"/>
        <w:rPr>
          <w:sz w:val="20"/>
        </w:rPr>
      </w:pPr>
      <w:r>
        <w:rPr/>
        <w:br w:type="column"/>
      </w:r>
      <w:r>
        <w:rPr>
          <w:spacing w:val="-2"/>
          <w:sz w:val="20"/>
        </w:rPr>
        <w:t>хирургическое лечение</w:t>
      </w:r>
    </w:p>
    <w:p>
      <w:pPr>
        <w:spacing w:line="249" w:lineRule="auto" w:before="121"/>
        <w:ind w:left="178" w:right="1951"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spacing w:line="249" w:lineRule="auto" w:before="81"/>
        <w:ind w:left="178" w:right="1951" w:firstLine="0"/>
        <w:jc w:val="left"/>
        <w:rPr>
          <w:sz w:val="20"/>
        </w:rPr>
      </w:pPr>
      <w:r>
        <w:rPr>
          <w:sz w:val="20"/>
        </w:rPr>
        <w:t>удаление опухоли с применением интраоперационной флюоресцентной микроскопии</w:t>
      </w:r>
      <w:r>
        <w:rPr>
          <w:spacing w:val="-11"/>
          <w:sz w:val="20"/>
        </w:rPr>
        <w:t> </w:t>
      </w:r>
      <w:r>
        <w:rPr>
          <w:sz w:val="20"/>
        </w:rPr>
        <w:t>и</w:t>
      </w:r>
      <w:r>
        <w:rPr>
          <w:spacing w:val="-12"/>
          <w:sz w:val="20"/>
        </w:rPr>
        <w:t> </w:t>
      </w:r>
      <w:r>
        <w:rPr>
          <w:sz w:val="20"/>
        </w:rPr>
        <w:t>лазерной</w:t>
      </w:r>
      <w:r>
        <w:rPr>
          <w:spacing w:val="-12"/>
          <w:sz w:val="20"/>
        </w:rPr>
        <w:t> </w:t>
      </w:r>
      <w:r>
        <w:rPr>
          <w:sz w:val="20"/>
        </w:rPr>
        <w:t>спектроскопии</w:t>
      </w:r>
    </w:p>
    <w:p>
      <w:pPr>
        <w:spacing w:line="249" w:lineRule="auto" w:before="84"/>
        <w:ind w:left="178" w:right="1919" w:firstLine="0"/>
        <w:jc w:val="left"/>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p>
      <w:pPr>
        <w:spacing w:line="249" w:lineRule="auto" w:before="83"/>
        <w:ind w:left="178" w:right="1951" w:firstLine="0"/>
        <w:jc w:val="left"/>
        <w:rPr>
          <w:sz w:val="20"/>
        </w:rPr>
      </w:pPr>
      <w:r>
        <w:rPr>
          <w:sz w:val="20"/>
        </w:rPr>
        <w:t>эмболизация сосудов опухоли при помощи</w:t>
      </w:r>
      <w:r>
        <w:rPr>
          <w:spacing w:val="-9"/>
          <w:sz w:val="20"/>
        </w:rPr>
        <w:t> </w:t>
      </w:r>
      <w:r>
        <w:rPr>
          <w:sz w:val="20"/>
        </w:rPr>
        <w:t>адгезивных</w:t>
      </w:r>
      <w:r>
        <w:rPr>
          <w:spacing w:val="-9"/>
          <w:sz w:val="20"/>
        </w:rPr>
        <w:t> </w:t>
      </w:r>
      <w:r>
        <w:rPr>
          <w:sz w:val="20"/>
        </w:rPr>
        <w:t>материалов</w:t>
      </w:r>
      <w:r>
        <w:rPr>
          <w:spacing w:val="-9"/>
          <w:sz w:val="20"/>
        </w:rPr>
        <w:t> </w:t>
      </w:r>
      <w:r>
        <w:rPr>
          <w:sz w:val="20"/>
        </w:rPr>
        <w:t>и</w:t>
      </w:r>
      <w:r>
        <w:rPr>
          <w:spacing w:val="-9"/>
          <w:sz w:val="20"/>
        </w:rPr>
        <w:t> </w:t>
      </w:r>
      <w:r>
        <w:rPr>
          <w:sz w:val="20"/>
        </w:rPr>
        <w:t>(или) </w:t>
      </w:r>
      <w:r>
        <w:rPr>
          <w:spacing w:val="-2"/>
          <w:sz w:val="20"/>
        </w:rPr>
        <w:t>микроэмболов</w:t>
      </w:r>
    </w:p>
    <w:p>
      <w:pPr>
        <w:spacing w:after="0" w:line="249" w:lineRule="auto"/>
        <w:jc w:val="left"/>
        <w:rPr>
          <w:sz w:val="20"/>
        </w:rPr>
        <w:sectPr>
          <w:type w:val="continuous"/>
          <w:pgSz w:w="16850" w:h="11910" w:orient="landscape"/>
          <w:pgMar w:header="753" w:footer="0" w:top="1080" w:bottom="280" w:left="400" w:right="400"/>
          <w:cols w:num="5" w:equalWidth="0">
            <w:col w:w="3448" w:space="40"/>
            <w:col w:w="2033" w:space="39"/>
            <w:col w:w="3381" w:space="40"/>
            <w:col w:w="1376" w:space="40"/>
            <w:col w:w="5653"/>
          </w:cols>
        </w:sectPr>
      </w:pPr>
    </w:p>
    <w:p>
      <w:pPr>
        <w:spacing w:line="249" w:lineRule="auto" w:before="82"/>
        <w:ind w:left="931" w:right="0" w:firstLine="0"/>
        <w:jc w:val="left"/>
        <w:rPr>
          <w:sz w:val="20"/>
        </w:rPr>
      </w:pPr>
      <w:r>
        <w:rPr>
          <w:spacing w:val="-2"/>
          <w:sz w:val="20"/>
        </w:rPr>
        <w:t>Микрохирургические, </w:t>
      </w:r>
      <w:r>
        <w:rPr>
          <w:sz w:val="20"/>
        </w:rPr>
        <w:t>эндоскопические и </w:t>
      </w:r>
      <w:r>
        <w:rPr>
          <w:spacing w:val="-2"/>
          <w:sz w:val="20"/>
        </w:rPr>
        <w:t>стереотаксические </w:t>
      </w:r>
      <w:r>
        <w:rPr>
          <w:sz w:val="20"/>
        </w:rPr>
        <w:t>вмешательства при глиомах зрительных</w:t>
      </w:r>
      <w:r>
        <w:rPr>
          <w:spacing w:val="-13"/>
          <w:sz w:val="20"/>
        </w:rPr>
        <w:t> </w:t>
      </w:r>
      <w:r>
        <w:rPr>
          <w:sz w:val="20"/>
        </w:rPr>
        <w:t>нервов</w:t>
      </w:r>
      <w:r>
        <w:rPr>
          <w:spacing w:val="-12"/>
          <w:sz w:val="20"/>
        </w:rPr>
        <w:t> </w:t>
      </w:r>
      <w:r>
        <w:rPr>
          <w:sz w:val="20"/>
        </w:rPr>
        <w:t>и</w:t>
      </w:r>
      <w:r>
        <w:rPr>
          <w:spacing w:val="-13"/>
          <w:sz w:val="20"/>
        </w:rPr>
        <w:t> </w:t>
      </w:r>
      <w:r>
        <w:rPr>
          <w:sz w:val="20"/>
        </w:rPr>
        <w:t>хиазмы, </w:t>
      </w:r>
      <w:r>
        <w:rPr>
          <w:spacing w:val="-2"/>
          <w:sz w:val="20"/>
        </w:rPr>
        <w:t>краниофарингиомах, </w:t>
      </w:r>
      <w:r>
        <w:rPr>
          <w:sz w:val="20"/>
        </w:rPr>
        <w:t>аденомах гипофиза, невриномах, в том числе</w:t>
      </w:r>
    </w:p>
    <w:p>
      <w:pPr>
        <w:tabs>
          <w:tab w:pos="2300" w:val="left" w:leader="none"/>
        </w:tabs>
        <w:spacing w:before="82"/>
        <w:ind w:left="414" w:right="0" w:firstLine="0"/>
        <w:jc w:val="left"/>
        <w:rPr>
          <w:sz w:val="20"/>
        </w:rPr>
      </w:pPr>
      <w:r>
        <w:rPr/>
        <w:br w:type="column"/>
      </w:r>
      <w:r>
        <w:rPr>
          <w:sz w:val="20"/>
        </w:rPr>
        <w:t>C72.2,</w:t>
      </w:r>
      <w:r>
        <w:rPr>
          <w:spacing w:val="-5"/>
          <w:sz w:val="20"/>
        </w:rPr>
        <w:t> </w:t>
      </w:r>
      <w:r>
        <w:rPr>
          <w:sz w:val="20"/>
        </w:rPr>
        <w:t>D33.3,</w:t>
      </w:r>
      <w:r>
        <w:rPr>
          <w:spacing w:val="-4"/>
          <w:sz w:val="20"/>
        </w:rPr>
        <w:t> </w:t>
      </w:r>
      <w:r>
        <w:rPr>
          <w:spacing w:val="-5"/>
          <w:sz w:val="20"/>
        </w:rPr>
        <w:t>Q85</w:t>
      </w:r>
      <w:r>
        <w:rPr>
          <w:sz w:val="20"/>
        </w:rPr>
        <w:tab/>
      </w:r>
      <w:r>
        <w:rPr>
          <w:w w:val="95"/>
          <w:sz w:val="20"/>
        </w:rPr>
        <w:t>доброкачественные</w:t>
      </w:r>
      <w:r>
        <w:rPr>
          <w:spacing w:val="66"/>
          <w:sz w:val="20"/>
        </w:rPr>
        <w:t> </w:t>
      </w:r>
      <w:r>
        <w:rPr>
          <w:spacing w:val="-10"/>
          <w:sz w:val="20"/>
        </w:rPr>
        <w:t>и</w:t>
      </w:r>
    </w:p>
    <w:p>
      <w:pPr>
        <w:spacing w:line="249" w:lineRule="auto" w:before="10"/>
        <w:ind w:left="2301" w:right="0" w:firstLine="0"/>
        <w:jc w:val="left"/>
        <w:rPr>
          <w:sz w:val="20"/>
        </w:rPr>
      </w:pPr>
      <w:r>
        <w:rPr>
          <w:sz w:val="20"/>
        </w:rPr>
        <w:t>злокачественные новообразования зрительного нерва (глиомы, невриномы</w:t>
      </w:r>
      <w:r>
        <w:rPr>
          <w:spacing w:val="-11"/>
          <w:sz w:val="20"/>
        </w:rPr>
        <w:t> </w:t>
      </w:r>
      <w:r>
        <w:rPr>
          <w:sz w:val="20"/>
        </w:rPr>
        <w:t>и</w:t>
      </w:r>
      <w:r>
        <w:rPr>
          <w:spacing w:val="-12"/>
          <w:sz w:val="20"/>
        </w:rPr>
        <w:t> </w:t>
      </w:r>
      <w:r>
        <w:rPr>
          <w:sz w:val="20"/>
        </w:rPr>
        <w:t>нейрофибромы,</w:t>
      </w:r>
      <w:r>
        <w:rPr>
          <w:spacing w:val="-10"/>
          <w:sz w:val="20"/>
        </w:rPr>
        <w:t> </w:t>
      </w:r>
      <w:r>
        <w:rPr>
          <w:sz w:val="20"/>
        </w:rPr>
        <w:t>в</w:t>
      </w:r>
      <w:r>
        <w:rPr>
          <w:spacing w:val="-12"/>
          <w:sz w:val="20"/>
        </w:rPr>
        <w:t> </w:t>
      </w:r>
      <w:r>
        <w:rPr>
          <w:sz w:val="20"/>
        </w:rPr>
        <w:t>том числе внутричерепные новообразования при нейрофиброматозе I - II типов).</w:t>
      </w:r>
    </w:p>
    <w:p>
      <w:pPr>
        <w:spacing w:before="5"/>
        <w:ind w:left="2301" w:right="0" w:firstLine="0"/>
        <w:jc w:val="left"/>
        <w:rPr>
          <w:sz w:val="20"/>
        </w:rPr>
      </w:pPr>
      <w:r>
        <w:rPr>
          <w:sz w:val="20"/>
        </w:rPr>
        <w:t>Туберозный</w:t>
      </w:r>
      <w:r>
        <w:rPr>
          <w:spacing w:val="-9"/>
          <w:sz w:val="20"/>
        </w:rPr>
        <w:t> </w:t>
      </w:r>
      <w:r>
        <w:rPr>
          <w:sz w:val="20"/>
        </w:rPr>
        <w:t>склероз.</w:t>
      </w:r>
      <w:r>
        <w:rPr>
          <w:spacing w:val="-7"/>
          <w:sz w:val="20"/>
        </w:rPr>
        <w:t> </w:t>
      </w:r>
      <w:r>
        <w:rPr>
          <w:spacing w:val="-2"/>
          <w:sz w:val="20"/>
        </w:rPr>
        <w:t>Гамартоз</w:t>
      </w:r>
    </w:p>
    <w:p>
      <w:pPr>
        <w:spacing w:line="249" w:lineRule="auto" w:before="82"/>
        <w:ind w:left="237" w:right="0" w:firstLine="0"/>
        <w:jc w:val="left"/>
        <w:rPr>
          <w:sz w:val="20"/>
        </w:rPr>
      </w:pPr>
      <w:r>
        <w:rPr/>
        <w:br w:type="column"/>
      </w:r>
      <w:r>
        <w:rPr>
          <w:spacing w:val="-2"/>
          <w:sz w:val="20"/>
        </w:rPr>
        <w:t>хирургическое лечение</w:t>
      </w:r>
    </w:p>
    <w:p>
      <w:pPr>
        <w:spacing w:line="249" w:lineRule="auto" w:before="82"/>
        <w:ind w:left="178" w:right="1793"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spacing w:before="83"/>
        <w:ind w:left="178" w:right="0" w:firstLine="0"/>
        <w:jc w:val="left"/>
        <w:rPr>
          <w:sz w:val="20"/>
        </w:rPr>
      </w:pPr>
      <w:r>
        <w:rPr>
          <w:spacing w:val="-2"/>
          <w:sz w:val="20"/>
        </w:rPr>
        <w:t>эндоскопическое</w:t>
      </w:r>
      <w:r>
        <w:rPr>
          <w:spacing w:val="12"/>
          <w:sz w:val="20"/>
        </w:rPr>
        <w:t> </w:t>
      </w:r>
      <w:r>
        <w:rPr>
          <w:spacing w:val="-2"/>
          <w:sz w:val="20"/>
        </w:rPr>
        <w:t>удаление</w:t>
      </w:r>
      <w:r>
        <w:rPr>
          <w:spacing w:val="8"/>
          <w:sz w:val="20"/>
        </w:rPr>
        <w:t> </w:t>
      </w:r>
      <w:r>
        <w:rPr>
          <w:spacing w:val="-2"/>
          <w:sz w:val="20"/>
        </w:rPr>
        <w:t>опухоли</w:t>
      </w:r>
    </w:p>
    <w:p>
      <w:pPr>
        <w:spacing w:after="0"/>
        <w:jc w:val="left"/>
        <w:rPr>
          <w:sz w:val="20"/>
        </w:rPr>
        <w:sectPr>
          <w:type w:val="continuous"/>
          <w:pgSz w:w="16850" w:h="11910" w:orient="landscape"/>
          <w:pgMar w:header="753" w:footer="0" w:top="1080" w:bottom="280" w:left="400" w:right="400"/>
          <w:cols w:num="4" w:equalWidth="0">
            <w:col w:w="3452" w:space="40"/>
            <w:col w:w="5331" w:space="39"/>
            <w:col w:w="1494" w:space="40"/>
            <w:col w:w="5654"/>
          </w:cols>
        </w:sectPr>
      </w:pPr>
    </w:p>
    <w:p>
      <w:pPr>
        <w:spacing w:line="249" w:lineRule="auto" w:before="7"/>
        <w:ind w:left="931" w:right="-9" w:firstLine="0"/>
        <w:jc w:val="left"/>
        <w:rPr>
          <w:sz w:val="20"/>
        </w:rPr>
      </w:pPr>
      <w:r>
        <w:rPr>
          <w:spacing w:val="-2"/>
          <w:sz w:val="20"/>
        </w:rPr>
        <w:t>внутричерепных </w:t>
      </w:r>
      <w:r>
        <w:rPr>
          <w:sz w:val="20"/>
        </w:rPr>
        <w:t>новообразованиях</w:t>
      </w:r>
      <w:r>
        <w:rPr>
          <w:spacing w:val="-13"/>
          <w:sz w:val="20"/>
        </w:rPr>
        <w:t> </w:t>
      </w:r>
      <w:r>
        <w:rPr>
          <w:sz w:val="20"/>
        </w:rPr>
        <w:t>при </w:t>
      </w:r>
      <w:r>
        <w:rPr>
          <w:spacing w:val="-2"/>
          <w:sz w:val="20"/>
        </w:rPr>
        <w:t>нейрофиброматозе</w:t>
      </w:r>
    </w:p>
    <w:p>
      <w:pPr>
        <w:spacing w:before="89"/>
        <w:ind w:left="878" w:right="0" w:firstLine="0"/>
        <w:jc w:val="left"/>
        <w:rPr>
          <w:sz w:val="20"/>
        </w:rPr>
      </w:pPr>
      <w:r>
        <w:rPr/>
        <w:br w:type="column"/>
      </w:r>
      <w:r>
        <w:rPr>
          <w:sz w:val="20"/>
        </w:rPr>
        <w:t>C75.3,</w:t>
      </w:r>
      <w:r>
        <w:rPr>
          <w:spacing w:val="-4"/>
          <w:sz w:val="20"/>
        </w:rPr>
        <w:t> </w:t>
      </w:r>
      <w:r>
        <w:rPr>
          <w:sz w:val="20"/>
        </w:rPr>
        <w:t>D35.2 -</w:t>
      </w:r>
      <w:r>
        <w:rPr>
          <w:spacing w:val="-5"/>
          <w:sz w:val="20"/>
        </w:rPr>
        <w:t> </w:t>
      </w:r>
      <w:r>
        <w:rPr>
          <w:spacing w:val="-2"/>
          <w:sz w:val="20"/>
        </w:rPr>
        <w:t>D35.4,</w:t>
      </w:r>
    </w:p>
    <w:p>
      <w:pPr>
        <w:spacing w:line="249" w:lineRule="auto" w:before="10"/>
        <w:ind w:left="1526" w:right="0" w:hanging="623"/>
        <w:jc w:val="left"/>
        <w:rPr>
          <w:sz w:val="20"/>
        </w:rPr>
      </w:pPr>
      <w:r>
        <w:rPr>
          <w:sz w:val="20"/>
        </w:rPr>
        <w:t>D44.3,</w:t>
      </w:r>
      <w:r>
        <w:rPr>
          <w:spacing w:val="-13"/>
          <w:sz w:val="20"/>
        </w:rPr>
        <w:t> </w:t>
      </w:r>
      <w:r>
        <w:rPr>
          <w:sz w:val="20"/>
        </w:rPr>
        <w:t>D44.4,</w:t>
      </w:r>
      <w:r>
        <w:rPr>
          <w:spacing w:val="-12"/>
          <w:sz w:val="20"/>
        </w:rPr>
        <w:t> </w:t>
      </w:r>
      <w:r>
        <w:rPr>
          <w:sz w:val="20"/>
        </w:rPr>
        <w:t>D44.5, </w:t>
      </w:r>
      <w:r>
        <w:rPr>
          <w:spacing w:val="-2"/>
          <w:sz w:val="20"/>
        </w:rPr>
        <w:t>Q04.6</w:t>
      </w:r>
    </w:p>
    <w:p>
      <w:pPr>
        <w:spacing w:line="249" w:lineRule="auto" w:before="89"/>
        <w:ind w:left="191" w:right="0" w:firstLine="0"/>
        <w:jc w:val="left"/>
        <w:rPr>
          <w:sz w:val="20"/>
        </w:rPr>
      </w:pPr>
      <w:r>
        <w:rPr/>
        <w:br w:type="column"/>
      </w:r>
      <w:r>
        <w:rPr>
          <w:sz w:val="20"/>
        </w:rPr>
        <w:t>аденомы гипофиза, </w:t>
      </w:r>
      <w:r>
        <w:rPr>
          <w:spacing w:val="-2"/>
          <w:sz w:val="20"/>
        </w:rPr>
        <w:t>краниофарингиомы, </w:t>
      </w:r>
      <w:r>
        <w:rPr>
          <w:sz w:val="20"/>
        </w:rPr>
        <w:t>злокачественные и</w:t>
      </w:r>
    </w:p>
    <w:p>
      <w:pPr>
        <w:spacing w:line="249" w:lineRule="auto" w:before="89"/>
        <w:ind w:left="932" w:right="0" w:firstLine="0"/>
        <w:jc w:val="left"/>
        <w:rPr>
          <w:sz w:val="20"/>
        </w:rPr>
      </w:pPr>
      <w:r>
        <w:rPr/>
        <w:br w:type="column"/>
      </w:r>
      <w:r>
        <w:rPr>
          <w:spacing w:val="-2"/>
          <w:sz w:val="20"/>
        </w:rPr>
        <w:t>хирургическое лечение</w:t>
      </w:r>
    </w:p>
    <w:p>
      <w:pPr>
        <w:spacing w:line="249" w:lineRule="auto" w:before="89"/>
        <w:ind w:left="178" w:right="2233"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spacing w:after="0" w:line="249" w:lineRule="auto"/>
        <w:jc w:val="left"/>
        <w:rPr>
          <w:sz w:val="20"/>
        </w:rPr>
        <w:sectPr>
          <w:type w:val="continuous"/>
          <w:pgSz w:w="16850" w:h="11910" w:orient="landscape"/>
          <w:pgMar w:header="753" w:footer="0" w:top="1080" w:bottom="280" w:left="400" w:right="400"/>
          <w:cols w:num="5" w:equalWidth="0">
            <w:col w:w="2854" w:space="40"/>
            <w:col w:w="2668" w:space="39"/>
            <w:col w:w="1962" w:space="605"/>
            <w:col w:w="2189" w:space="40"/>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2"/>
        <w:gridCol w:w="1650"/>
        <w:gridCol w:w="3386"/>
        <w:gridCol w:w="1429"/>
        <w:gridCol w:w="3711"/>
      </w:tblGrid>
      <w:tr>
        <w:trPr>
          <w:trHeight w:val="1010" w:hRule="atLeast"/>
        </w:trPr>
        <w:tc>
          <w:tcPr>
            <w:tcW w:w="3122" w:type="dxa"/>
            <w:vMerge w:val="restart"/>
          </w:tcPr>
          <w:p>
            <w:pPr>
              <w:pStyle w:val="TableParagraph"/>
              <w:spacing w:line="249" w:lineRule="auto"/>
              <w:ind w:left="50" w:right="478"/>
              <w:rPr>
                <w:sz w:val="20"/>
              </w:rPr>
            </w:pPr>
            <w:r>
              <w:rPr>
                <w:sz w:val="20"/>
              </w:rPr>
              <w:t>I - II типов, врожденных </w:t>
            </w:r>
            <w:r>
              <w:rPr>
                <w:spacing w:val="-2"/>
                <w:sz w:val="20"/>
              </w:rPr>
              <w:t>(коллоидных, дермоидных, эпидермоидных) </w:t>
            </w:r>
            <w:r>
              <w:rPr>
                <w:sz w:val="20"/>
              </w:rPr>
              <w:t>церебральных кистах, злокачественных и добро- качественных новооб- разованиях шишковидной железы (в том числе кистозных), туберозном склерозе, гамартозе</w:t>
            </w:r>
          </w:p>
        </w:tc>
        <w:tc>
          <w:tcPr>
            <w:tcW w:w="1650" w:type="dxa"/>
          </w:tcPr>
          <w:p>
            <w:pPr>
              <w:pStyle w:val="TableParagraph"/>
              <w:rPr>
                <w:sz w:val="18"/>
              </w:rPr>
            </w:pPr>
          </w:p>
        </w:tc>
        <w:tc>
          <w:tcPr>
            <w:tcW w:w="3386" w:type="dxa"/>
          </w:tcPr>
          <w:p>
            <w:pPr>
              <w:pStyle w:val="TableParagraph"/>
              <w:spacing w:line="249" w:lineRule="auto"/>
              <w:ind w:left="138" w:right="55"/>
              <w:rPr>
                <w:sz w:val="20"/>
              </w:rPr>
            </w:pPr>
            <w:r>
              <w:rPr>
                <w:sz w:val="20"/>
              </w:rPr>
              <w:t>доброкачественные</w:t>
            </w:r>
            <w:r>
              <w:rPr>
                <w:spacing w:val="-13"/>
                <w:sz w:val="20"/>
              </w:rPr>
              <w:t> </w:t>
            </w:r>
            <w:r>
              <w:rPr>
                <w:sz w:val="20"/>
              </w:rPr>
              <w:t>новообразования шишковидной железы. Врожденные церебральные кисты</w:t>
            </w:r>
          </w:p>
        </w:tc>
        <w:tc>
          <w:tcPr>
            <w:tcW w:w="1429" w:type="dxa"/>
          </w:tcPr>
          <w:p>
            <w:pPr>
              <w:pStyle w:val="TableParagraph"/>
              <w:rPr>
                <w:sz w:val="18"/>
              </w:rPr>
            </w:pPr>
          </w:p>
        </w:tc>
        <w:tc>
          <w:tcPr>
            <w:tcW w:w="3711" w:type="dxa"/>
          </w:tcPr>
          <w:p>
            <w:pPr>
              <w:pStyle w:val="TableParagraph"/>
              <w:spacing w:line="249" w:lineRule="auto"/>
              <w:ind w:left="105" w:right="66"/>
              <w:rPr>
                <w:sz w:val="20"/>
              </w:rPr>
            </w:pPr>
            <w:r>
              <w:rPr>
                <w:sz w:val="20"/>
              </w:rPr>
              <w:t>эндоскопическое удаление опухоли, в том</w:t>
            </w:r>
            <w:r>
              <w:rPr>
                <w:spacing w:val="-11"/>
                <w:sz w:val="20"/>
              </w:rPr>
              <w:t> </w:t>
            </w:r>
            <w:r>
              <w:rPr>
                <w:sz w:val="20"/>
              </w:rPr>
              <w:t>числе</w:t>
            </w:r>
            <w:r>
              <w:rPr>
                <w:spacing w:val="-12"/>
                <w:sz w:val="20"/>
              </w:rPr>
              <w:t> </w:t>
            </w:r>
            <w:r>
              <w:rPr>
                <w:sz w:val="20"/>
              </w:rPr>
              <w:t>с</w:t>
            </w:r>
            <w:r>
              <w:rPr>
                <w:spacing w:val="-12"/>
                <w:sz w:val="20"/>
              </w:rPr>
              <w:t> </w:t>
            </w:r>
            <w:r>
              <w:rPr>
                <w:sz w:val="20"/>
              </w:rPr>
              <w:t>одномоментным</w:t>
            </w:r>
            <w:r>
              <w:rPr>
                <w:spacing w:val="-11"/>
                <w:sz w:val="20"/>
              </w:rPr>
              <w:t> </w:t>
            </w:r>
            <w:r>
              <w:rPr>
                <w:sz w:val="20"/>
              </w:rPr>
              <w:t>закрытием хирургического дефекта ауто- или </w:t>
            </w:r>
            <w:r>
              <w:rPr>
                <w:spacing w:val="-2"/>
                <w:sz w:val="20"/>
              </w:rPr>
              <w:t>аллотрансплантатом</w:t>
            </w:r>
          </w:p>
        </w:tc>
      </w:tr>
      <w:tr>
        <w:trPr>
          <w:trHeight w:val="1440" w:hRule="atLeast"/>
        </w:trPr>
        <w:tc>
          <w:tcPr>
            <w:tcW w:w="3122" w:type="dxa"/>
            <w:vMerge/>
            <w:tcBorders>
              <w:top w:val="nil"/>
            </w:tcBorders>
          </w:tcPr>
          <w:p>
            <w:pPr>
              <w:rPr>
                <w:sz w:val="2"/>
                <w:szCs w:val="2"/>
              </w:rPr>
            </w:pPr>
          </w:p>
        </w:tc>
        <w:tc>
          <w:tcPr>
            <w:tcW w:w="1650" w:type="dxa"/>
          </w:tcPr>
          <w:p>
            <w:pPr>
              <w:pStyle w:val="TableParagraph"/>
              <w:rPr>
                <w:sz w:val="18"/>
              </w:rPr>
            </w:pPr>
          </w:p>
        </w:tc>
        <w:tc>
          <w:tcPr>
            <w:tcW w:w="3386" w:type="dxa"/>
          </w:tcPr>
          <w:p>
            <w:pPr>
              <w:pStyle w:val="TableParagraph"/>
              <w:rPr>
                <w:sz w:val="18"/>
              </w:rPr>
            </w:pPr>
          </w:p>
        </w:tc>
        <w:tc>
          <w:tcPr>
            <w:tcW w:w="1429" w:type="dxa"/>
          </w:tcPr>
          <w:p>
            <w:pPr>
              <w:pStyle w:val="TableParagraph"/>
              <w:rPr>
                <w:sz w:val="18"/>
              </w:rPr>
            </w:pPr>
          </w:p>
        </w:tc>
        <w:tc>
          <w:tcPr>
            <w:tcW w:w="3711" w:type="dxa"/>
          </w:tcPr>
          <w:p>
            <w:pPr>
              <w:pStyle w:val="TableParagraph"/>
              <w:spacing w:line="249" w:lineRule="auto" w:before="60"/>
              <w:ind w:left="105" w:right="66"/>
              <w:rPr>
                <w:sz w:val="20"/>
              </w:rPr>
            </w:pPr>
            <w:r>
              <w:rPr>
                <w:sz w:val="20"/>
              </w:rPr>
              <w:t>стереотаксическое вмешательство с целью</w:t>
            </w:r>
            <w:r>
              <w:rPr>
                <w:spacing w:val="-10"/>
                <w:sz w:val="20"/>
              </w:rPr>
              <w:t> </w:t>
            </w:r>
            <w:r>
              <w:rPr>
                <w:sz w:val="20"/>
              </w:rPr>
              <w:t>дренирования</w:t>
            </w:r>
            <w:r>
              <w:rPr>
                <w:spacing w:val="-12"/>
                <w:sz w:val="20"/>
              </w:rPr>
              <w:t> </w:t>
            </w:r>
            <w:r>
              <w:rPr>
                <w:sz w:val="20"/>
              </w:rPr>
              <w:t>опухолевых</w:t>
            </w:r>
            <w:r>
              <w:rPr>
                <w:spacing w:val="-12"/>
                <w:sz w:val="20"/>
              </w:rPr>
              <w:t> </w:t>
            </w:r>
            <w:r>
              <w:rPr>
                <w:sz w:val="20"/>
              </w:rPr>
              <w:t>кист</w:t>
            </w:r>
            <w:r>
              <w:rPr>
                <w:spacing w:val="-10"/>
                <w:sz w:val="20"/>
              </w:rPr>
              <w:t> </w:t>
            </w:r>
            <w:r>
              <w:rPr>
                <w:sz w:val="20"/>
              </w:rPr>
              <w:t>и установки длительно существующих дренажных систем</w:t>
            </w:r>
          </w:p>
        </w:tc>
      </w:tr>
      <w:tr>
        <w:trPr>
          <w:trHeight w:val="1080" w:hRule="atLeast"/>
        </w:trPr>
        <w:tc>
          <w:tcPr>
            <w:tcW w:w="3122" w:type="dxa"/>
            <w:vMerge w:val="restart"/>
          </w:tcPr>
          <w:p>
            <w:pPr>
              <w:pStyle w:val="TableParagraph"/>
              <w:spacing w:line="249" w:lineRule="auto" w:before="60"/>
              <w:ind w:left="50" w:right="495"/>
              <w:rPr>
                <w:sz w:val="20"/>
              </w:rPr>
            </w:pPr>
            <w:r>
              <w:rPr>
                <w:spacing w:val="-2"/>
                <w:sz w:val="20"/>
              </w:rPr>
              <w:t>Микрохирургические, эндоскопические, </w:t>
            </w:r>
            <w:r>
              <w:rPr>
                <w:sz w:val="20"/>
              </w:rPr>
              <w:t>стереотаксические, а также </w:t>
            </w:r>
            <w:r>
              <w:rPr>
                <w:spacing w:val="-2"/>
                <w:sz w:val="20"/>
              </w:rPr>
              <w:t>комбинированные </w:t>
            </w:r>
            <w:r>
              <w:rPr>
                <w:sz w:val="20"/>
              </w:rPr>
              <w:t>вмешательства при</w:t>
            </w:r>
            <w:r>
              <w:rPr>
                <w:spacing w:val="40"/>
                <w:sz w:val="20"/>
              </w:rPr>
              <w:t> </w:t>
            </w:r>
            <w:r>
              <w:rPr>
                <w:sz w:val="20"/>
              </w:rPr>
              <w:t>различных новообразованиях и</w:t>
            </w:r>
            <w:r>
              <w:rPr>
                <w:spacing w:val="-13"/>
                <w:sz w:val="20"/>
              </w:rPr>
              <w:t> </w:t>
            </w:r>
            <w:r>
              <w:rPr>
                <w:sz w:val="20"/>
              </w:rPr>
              <w:t>других</w:t>
            </w:r>
            <w:r>
              <w:rPr>
                <w:spacing w:val="-12"/>
                <w:sz w:val="20"/>
              </w:rPr>
              <w:t> </w:t>
            </w:r>
            <w:r>
              <w:rPr>
                <w:sz w:val="20"/>
              </w:rPr>
              <w:t>объемных</w:t>
            </w:r>
            <w:r>
              <w:rPr>
                <w:spacing w:val="-13"/>
                <w:sz w:val="20"/>
              </w:rPr>
              <w:t> </w:t>
            </w:r>
            <w:r>
              <w:rPr>
                <w:sz w:val="20"/>
              </w:rPr>
              <w:t>процессах основания черепа и лицевого скелета, врастающих в</w:t>
            </w:r>
          </w:p>
          <w:p>
            <w:pPr>
              <w:pStyle w:val="TableParagraph"/>
              <w:spacing w:line="220" w:lineRule="exact" w:before="8"/>
              <w:ind w:left="50"/>
              <w:rPr>
                <w:sz w:val="20"/>
              </w:rPr>
            </w:pPr>
            <w:r>
              <w:rPr>
                <w:sz w:val="20"/>
              </w:rPr>
              <w:t>полость</w:t>
            </w:r>
            <w:r>
              <w:rPr>
                <w:spacing w:val="-8"/>
                <w:sz w:val="20"/>
              </w:rPr>
              <w:t> </w:t>
            </w:r>
            <w:r>
              <w:rPr>
                <w:spacing w:val="-2"/>
                <w:sz w:val="20"/>
              </w:rPr>
              <w:t>черепа</w:t>
            </w:r>
          </w:p>
        </w:tc>
        <w:tc>
          <w:tcPr>
            <w:tcW w:w="1650" w:type="dxa"/>
          </w:tcPr>
          <w:p>
            <w:pPr>
              <w:pStyle w:val="TableParagraph"/>
              <w:spacing w:before="60"/>
              <w:ind w:left="495"/>
              <w:rPr>
                <w:sz w:val="20"/>
              </w:rPr>
            </w:pPr>
            <w:r>
              <w:rPr>
                <w:spacing w:val="-5"/>
                <w:sz w:val="20"/>
              </w:rPr>
              <w:t>C31</w:t>
            </w:r>
          </w:p>
        </w:tc>
        <w:tc>
          <w:tcPr>
            <w:tcW w:w="3386" w:type="dxa"/>
          </w:tcPr>
          <w:p>
            <w:pPr>
              <w:pStyle w:val="TableParagraph"/>
              <w:spacing w:line="249" w:lineRule="auto" w:before="60"/>
              <w:ind w:left="138" w:right="280"/>
              <w:rPr>
                <w:sz w:val="20"/>
              </w:rPr>
            </w:pPr>
            <w:r>
              <w:rPr>
                <w:sz w:val="20"/>
              </w:rPr>
              <w:t>злокачественные</w:t>
            </w:r>
            <w:r>
              <w:rPr>
                <w:spacing w:val="-13"/>
                <w:sz w:val="20"/>
              </w:rPr>
              <w:t> </w:t>
            </w:r>
            <w:r>
              <w:rPr>
                <w:sz w:val="20"/>
              </w:rPr>
              <w:t>новообразования придаточных пазух носа, прорастающие в полость черепа</w:t>
            </w:r>
          </w:p>
        </w:tc>
        <w:tc>
          <w:tcPr>
            <w:tcW w:w="1429" w:type="dxa"/>
          </w:tcPr>
          <w:p>
            <w:pPr>
              <w:pStyle w:val="TableParagraph"/>
              <w:spacing w:line="249" w:lineRule="auto" w:before="60"/>
              <w:ind w:left="60"/>
              <w:rPr>
                <w:sz w:val="20"/>
              </w:rPr>
            </w:pPr>
            <w:r>
              <w:rPr>
                <w:spacing w:val="-2"/>
                <w:sz w:val="20"/>
              </w:rPr>
              <w:t>хирургическое лечение</w:t>
            </w:r>
          </w:p>
        </w:tc>
        <w:tc>
          <w:tcPr>
            <w:tcW w:w="3711" w:type="dxa"/>
          </w:tcPr>
          <w:p>
            <w:pPr>
              <w:pStyle w:val="TableParagraph"/>
              <w:spacing w:line="249" w:lineRule="auto" w:before="60"/>
              <w:ind w:left="105" w:right="58"/>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tc>
      </w:tr>
      <w:tr>
        <w:trPr>
          <w:trHeight w:val="1380" w:hRule="atLeast"/>
        </w:trPr>
        <w:tc>
          <w:tcPr>
            <w:tcW w:w="3122" w:type="dxa"/>
            <w:vMerge/>
            <w:tcBorders>
              <w:top w:val="nil"/>
            </w:tcBorders>
          </w:tcPr>
          <w:p>
            <w:pPr>
              <w:rPr>
                <w:sz w:val="2"/>
                <w:szCs w:val="2"/>
              </w:rPr>
            </w:pPr>
          </w:p>
        </w:tc>
        <w:tc>
          <w:tcPr>
            <w:tcW w:w="1650" w:type="dxa"/>
          </w:tcPr>
          <w:p>
            <w:pPr>
              <w:pStyle w:val="TableParagraph"/>
              <w:rPr>
                <w:sz w:val="18"/>
              </w:rPr>
            </w:pPr>
          </w:p>
        </w:tc>
        <w:tc>
          <w:tcPr>
            <w:tcW w:w="3386" w:type="dxa"/>
          </w:tcPr>
          <w:p>
            <w:pPr>
              <w:pStyle w:val="TableParagraph"/>
              <w:rPr>
                <w:sz w:val="18"/>
              </w:rPr>
            </w:pPr>
          </w:p>
        </w:tc>
        <w:tc>
          <w:tcPr>
            <w:tcW w:w="1429" w:type="dxa"/>
          </w:tcPr>
          <w:p>
            <w:pPr>
              <w:pStyle w:val="TableParagraph"/>
              <w:rPr>
                <w:sz w:val="18"/>
              </w:rPr>
            </w:pPr>
          </w:p>
        </w:tc>
        <w:tc>
          <w:tcPr>
            <w:tcW w:w="3711" w:type="dxa"/>
          </w:tcPr>
          <w:p>
            <w:pPr>
              <w:pStyle w:val="TableParagraph"/>
              <w:spacing w:line="249" w:lineRule="auto" w:before="60"/>
              <w:ind w:left="105" w:right="66"/>
              <w:rPr>
                <w:sz w:val="20"/>
              </w:rPr>
            </w:pPr>
            <w:r>
              <w:rPr>
                <w:sz w:val="20"/>
              </w:rPr>
              <w:t>эндоскопическое удаление опухоли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формируемых ауто- или </w:t>
            </w:r>
            <w:r>
              <w:rPr>
                <w:spacing w:val="-2"/>
                <w:sz w:val="20"/>
              </w:rPr>
              <w:t>аллотрансплантатов</w:t>
            </w:r>
          </w:p>
        </w:tc>
      </w:tr>
      <w:tr>
        <w:trPr>
          <w:trHeight w:val="780" w:hRule="atLeast"/>
        </w:trPr>
        <w:tc>
          <w:tcPr>
            <w:tcW w:w="3122" w:type="dxa"/>
          </w:tcPr>
          <w:p>
            <w:pPr>
              <w:pStyle w:val="TableParagraph"/>
              <w:rPr>
                <w:sz w:val="18"/>
              </w:rPr>
            </w:pPr>
          </w:p>
        </w:tc>
        <w:tc>
          <w:tcPr>
            <w:tcW w:w="1650" w:type="dxa"/>
          </w:tcPr>
          <w:p>
            <w:pPr>
              <w:pStyle w:val="TableParagraph"/>
              <w:rPr>
                <w:sz w:val="18"/>
              </w:rPr>
            </w:pPr>
          </w:p>
        </w:tc>
        <w:tc>
          <w:tcPr>
            <w:tcW w:w="3386" w:type="dxa"/>
          </w:tcPr>
          <w:p>
            <w:pPr>
              <w:pStyle w:val="TableParagraph"/>
              <w:rPr>
                <w:sz w:val="18"/>
              </w:rPr>
            </w:pPr>
          </w:p>
        </w:tc>
        <w:tc>
          <w:tcPr>
            <w:tcW w:w="1429" w:type="dxa"/>
          </w:tcPr>
          <w:p>
            <w:pPr>
              <w:pStyle w:val="TableParagraph"/>
              <w:rPr>
                <w:sz w:val="18"/>
              </w:rPr>
            </w:pPr>
          </w:p>
        </w:tc>
        <w:tc>
          <w:tcPr>
            <w:tcW w:w="3711" w:type="dxa"/>
          </w:tcPr>
          <w:p>
            <w:pPr>
              <w:pStyle w:val="TableParagraph"/>
              <w:spacing w:line="249" w:lineRule="auto"/>
              <w:ind w:left="105" w:right="66"/>
              <w:rPr>
                <w:sz w:val="20"/>
              </w:rPr>
            </w:pPr>
            <w:r>
              <w:rPr>
                <w:sz w:val="20"/>
              </w:rPr>
              <w:t>эмболизация сосудов опухоли при помощи</w:t>
            </w:r>
            <w:r>
              <w:rPr>
                <w:spacing w:val="-11"/>
                <w:sz w:val="20"/>
              </w:rPr>
              <w:t> </w:t>
            </w:r>
            <w:r>
              <w:rPr>
                <w:sz w:val="20"/>
              </w:rPr>
              <w:t>адгезивных</w:t>
            </w:r>
            <w:r>
              <w:rPr>
                <w:spacing w:val="-11"/>
                <w:sz w:val="20"/>
              </w:rPr>
              <w:t> </w:t>
            </w:r>
            <w:r>
              <w:rPr>
                <w:sz w:val="20"/>
              </w:rPr>
              <w:t>материалов</w:t>
            </w:r>
            <w:r>
              <w:rPr>
                <w:spacing w:val="-11"/>
                <w:sz w:val="20"/>
              </w:rPr>
              <w:t> </w:t>
            </w:r>
            <w:r>
              <w:rPr>
                <w:sz w:val="20"/>
              </w:rPr>
              <w:t>и</w:t>
            </w:r>
            <w:r>
              <w:rPr>
                <w:spacing w:val="-11"/>
                <w:sz w:val="20"/>
              </w:rPr>
              <w:t> </w:t>
            </w:r>
            <w:r>
              <w:rPr>
                <w:sz w:val="20"/>
              </w:rPr>
              <w:t>(или) </w:t>
            </w:r>
            <w:r>
              <w:rPr>
                <w:spacing w:val="-2"/>
                <w:sz w:val="20"/>
              </w:rPr>
              <w:t>макроэмболов</w:t>
            </w:r>
          </w:p>
        </w:tc>
      </w:tr>
      <w:tr>
        <w:trPr>
          <w:trHeight w:val="1080" w:hRule="atLeast"/>
        </w:trPr>
        <w:tc>
          <w:tcPr>
            <w:tcW w:w="4772" w:type="dxa"/>
            <w:gridSpan w:val="2"/>
          </w:tcPr>
          <w:p>
            <w:pPr>
              <w:pStyle w:val="TableParagraph"/>
              <w:spacing w:before="60"/>
              <w:ind w:left="2932"/>
              <w:rPr>
                <w:sz w:val="20"/>
              </w:rPr>
            </w:pPr>
            <w:r>
              <w:rPr>
                <w:sz w:val="20"/>
              </w:rPr>
              <w:t>C41.0,</w:t>
            </w:r>
            <w:r>
              <w:rPr>
                <w:spacing w:val="-5"/>
                <w:sz w:val="20"/>
              </w:rPr>
              <w:t> </w:t>
            </w:r>
            <w:r>
              <w:rPr>
                <w:sz w:val="20"/>
              </w:rPr>
              <w:t>C43.4,</w:t>
            </w:r>
            <w:r>
              <w:rPr>
                <w:spacing w:val="-5"/>
                <w:sz w:val="20"/>
              </w:rPr>
              <w:t> </w:t>
            </w:r>
            <w:r>
              <w:rPr>
                <w:spacing w:val="-2"/>
                <w:sz w:val="20"/>
              </w:rPr>
              <w:t>C44.4,</w:t>
            </w:r>
          </w:p>
          <w:p>
            <w:pPr>
              <w:pStyle w:val="TableParagraph"/>
              <w:spacing w:line="249" w:lineRule="auto" w:before="11"/>
              <w:ind w:left="2947" w:hanging="15"/>
              <w:rPr>
                <w:sz w:val="20"/>
              </w:rPr>
            </w:pPr>
            <w:r>
              <w:rPr>
                <w:sz w:val="20"/>
              </w:rPr>
              <w:t>C79.4,</w:t>
            </w:r>
            <w:r>
              <w:rPr>
                <w:spacing w:val="-13"/>
                <w:sz w:val="20"/>
              </w:rPr>
              <w:t> </w:t>
            </w:r>
            <w:r>
              <w:rPr>
                <w:sz w:val="20"/>
              </w:rPr>
              <w:t>C79.5,</w:t>
            </w:r>
            <w:r>
              <w:rPr>
                <w:spacing w:val="-12"/>
                <w:sz w:val="20"/>
              </w:rPr>
              <w:t> </w:t>
            </w:r>
            <w:r>
              <w:rPr>
                <w:sz w:val="20"/>
              </w:rPr>
              <w:t>C49.0, D16.4,</w:t>
            </w:r>
            <w:r>
              <w:rPr>
                <w:spacing w:val="-4"/>
                <w:sz w:val="20"/>
              </w:rPr>
              <w:t> </w:t>
            </w:r>
            <w:r>
              <w:rPr>
                <w:sz w:val="20"/>
              </w:rPr>
              <w:t>D48.0,</w:t>
            </w:r>
            <w:r>
              <w:rPr>
                <w:spacing w:val="-5"/>
                <w:sz w:val="20"/>
              </w:rPr>
              <w:t> </w:t>
            </w:r>
            <w:r>
              <w:rPr>
                <w:spacing w:val="-2"/>
                <w:sz w:val="20"/>
              </w:rPr>
              <w:t>C90.2</w:t>
            </w:r>
          </w:p>
        </w:tc>
        <w:tc>
          <w:tcPr>
            <w:tcW w:w="3386" w:type="dxa"/>
            <w:vMerge w:val="restart"/>
          </w:tcPr>
          <w:p>
            <w:pPr>
              <w:pStyle w:val="TableParagraph"/>
              <w:spacing w:line="249" w:lineRule="auto" w:before="60"/>
              <w:ind w:left="138"/>
              <w:rPr>
                <w:sz w:val="20"/>
              </w:rPr>
            </w:pPr>
            <w:r>
              <w:rPr>
                <w:sz w:val="20"/>
              </w:rPr>
              <w:t>злокачественные (первичные и вторичные) и доброкачественные новообразования костей черепа и лицевого</w:t>
            </w:r>
            <w:r>
              <w:rPr>
                <w:spacing w:val="-13"/>
                <w:sz w:val="20"/>
              </w:rPr>
              <w:t> </w:t>
            </w:r>
            <w:r>
              <w:rPr>
                <w:sz w:val="20"/>
              </w:rPr>
              <w:t>скелета,</w:t>
            </w:r>
            <w:r>
              <w:rPr>
                <w:spacing w:val="-12"/>
                <w:sz w:val="20"/>
              </w:rPr>
              <w:t> </w:t>
            </w:r>
            <w:r>
              <w:rPr>
                <w:sz w:val="20"/>
              </w:rPr>
              <w:t>прорастающие</w:t>
            </w:r>
            <w:r>
              <w:rPr>
                <w:spacing w:val="-13"/>
                <w:sz w:val="20"/>
              </w:rPr>
              <w:t> </w:t>
            </w:r>
            <w:r>
              <w:rPr>
                <w:sz w:val="20"/>
              </w:rPr>
              <w:t>в полость черепа</w:t>
            </w:r>
          </w:p>
        </w:tc>
        <w:tc>
          <w:tcPr>
            <w:tcW w:w="1429" w:type="dxa"/>
          </w:tcPr>
          <w:p>
            <w:pPr>
              <w:pStyle w:val="TableParagraph"/>
              <w:spacing w:line="252" w:lineRule="auto" w:before="60"/>
              <w:ind w:left="60"/>
              <w:rPr>
                <w:sz w:val="20"/>
              </w:rPr>
            </w:pPr>
            <w:r>
              <w:rPr>
                <w:spacing w:val="-2"/>
                <w:sz w:val="20"/>
              </w:rPr>
              <w:t>хирургическое лечение</w:t>
            </w:r>
          </w:p>
        </w:tc>
        <w:tc>
          <w:tcPr>
            <w:tcW w:w="3711" w:type="dxa"/>
          </w:tcPr>
          <w:p>
            <w:pPr>
              <w:pStyle w:val="TableParagraph"/>
              <w:spacing w:line="249" w:lineRule="auto" w:before="60"/>
              <w:ind w:left="105" w:right="52"/>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tc>
      </w:tr>
      <w:tr>
        <w:trPr>
          <w:trHeight w:val="770" w:hRule="atLeast"/>
        </w:trPr>
        <w:tc>
          <w:tcPr>
            <w:tcW w:w="4772" w:type="dxa"/>
            <w:gridSpan w:val="2"/>
          </w:tcPr>
          <w:p>
            <w:pPr>
              <w:pStyle w:val="TableParagraph"/>
              <w:rPr>
                <w:sz w:val="18"/>
              </w:rPr>
            </w:pPr>
          </w:p>
        </w:tc>
        <w:tc>
          <w:tcPr>
            <w:tcW w:w="3386" w:type="dxa"/>
            <w:vMerge/>
            <w:tcBorders>
              <w:top w:val="nil"/>
            </w:tcBorders>
          </w:tcPr>
          <w:p>
            <w:pPr>
              <w:rPr>
                <w:sz w:val="2"/>
                <w:szCs w:val="2"/>
              </w:rPr>
            </w:pPr>
          </w:p>
        </w:tc>
        <w:tc>
          <w:tcPr>
            <w:tcW w:w="1429" w:type="dxa"/>
          </w:tcPr>
          <w:p>
            <w:pPr>
              <w:pStyle w:val="TableParagraph"/>
              <w:rPr>
                <w:sz w:val="18"/>
              </w:rPr>
            </w:pPr>
          </w:p>
        </w:tc>
        <w:tc>
          <w:tcPr>
            <w:tcW w:w="3711" w:type="dxa"/>
          </w:tcPr>
          <w:p>
            <w:pPr>
              <w:pStyle w:val="TableParagraph"/>
              <w:spacing w:line="240" w:lineRule="atLeast" w:before="30"/>
              <w:ind w:left="105" w:right="66"/>
              <w:rPr>
                <w:sz w:val="20"/>
              </w:rPr>
            </w:pPr>
            <w:r>
              <w:rPr>
                <w:sz w:val="20"/>
              </w:rPr>
              <w:t>эндоскопическое</w:t>
            </w:r>
            <w:r>
              <w:rPr>
                <w:spacing w:val="-13"/>
                <w:sz w:val="20"/>
              </w:rPr>
              <w:t> </w:t>
            </w:r>
            <w:r>
              <w:rPr>
                <w:sz w:val="20"/>
              </w:rPr>
              <w:t>удаление</w:t>
            </w:r>
            <w:r>
              <w:rPr>
                <w:spacing w:val="-12"/>
                <w:sz w:val="20"/>
              </w:rPr>
              <w:t> </w:t>
            </w:r>
            <w:r>
              <w:rPr>
                <w:sz w:val="20"/>
              </w:rPr>
              <w:t>опухоли</w:t>
            </w:r>
            <w:r>
              <w:rPr>
                <w:spacing w:val="-13"/>
                <w:sz w:val="20"/>
              </w:rPr>
              <w:t> </w:t>
            </w:r>
            <w:r>
              <w:rPr>
                <w:sz w:val="20"/>
              </w:rPr>
              <w:t>с одномоментным пластическим закрытием хирургического дефекта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8"/>
        <w:gridCol w:w="2052"/>
        <w:gridCol w:w="3376"/>
        <w:gridCol w:w="1430"/>
        <w:gridCol w:w="3707"/>
      </w:tblGrid>
      <w:tr>
        <w:trPr>
          <w:trHeight w:val="53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ind w:left="106" w:right="94"/>
              <w:rPr>
                <w:sz w:val="20"/>
              </w:rPr>
            </w:pPr>
            <w:r>
              <w:rPr>
                <w:sz w:val="20"/>
              </w:rPr>
              <w:t>при</w:t>
            </w:r>
            <w:r>
              <w:rPr>
                <w:spacing w:val="-11"/>
                <w:sz w:val="20"/>
              </w:rPr>
              <w:t> </w:t>
            </w:r>
            <w:r>
              <w:rPr>
                <w:sz w:val="20"/>
              </w:rPr>
              <w:t>помощи</w:t>
            </w:r>
            <w:r>
              <w:rPr>
                <w:spacing w:val="-11"/>
                <w:sz w:val="20"/>
              </w:rPr>
              <w:t> </w:t>
            </w:r>
            <w:r>
              <w:rPr>
                <w:sz w:val="20"/>
              </w:rPr>
              <w:t>формируемых</w:t>
            </w:r>
            <w:r>
              <w:rPr>
                <w:spacing w:val="-8"/>
                <w:sz w:val="20"/>
              </w:rPr>
              <w:t> </w:t>
            </w:r>
            <w:r>
              <w:rPr>
                <w:sz w:val="20"/>
              </w:rPr>
              <w:t>ауто-</w:t>
            </w:r>
            <w:r>
              <w:rPr>
                <w:spacing w:val="-12"/>
                <w:sz w:val="20"/>
              </w:rPr>
              <w:t> </w:t>
            </w:r>
            <w:r>
              <w:rPr>
                <w:sz w:val="20"/>
              </w:rPr>
              <w:t>или </w:t>
            </w:r>
            <w:r>
              <w:rPr>
                <w:spacing w:val="-2"/>
                <w:sz w:val="20"/>
              </w:rPr>
              <w:t>аллотрансплантатов</w:t>
            </w:r>
          </w:p>
        </w:tc>
      </w:tr>
      <w:tr>
        <w:trPr>
          <w:trHeight w:val="84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эмболизация сосудов опухоли при помощи</w:t>
            </w:r>
            <w:r>
              <w:rPr>
                <w:spacing w:val="-11"/>
                <w:sz w:val="20"/>
              </w:rPr>
              <w:t> </w:t>
            </w:r>
            <w:r>
              <w:rPr>
                <w:sz w:val="20"/>
              </w:rPr>
              <w:t>адгезивных</w:t>
            </w:r>
            <w:r>
              <w:rPr>
                <w:spacing w:val="-11"/>
                <w:sz w:val="20"/>
              </w:rPr>
              <w:t> </w:t>
            </w:r>
            <w:r>
              <w:rPr>
                <w:sz w:val="20"/>
              </w:rPr>
              <w:t>материалов</w:t>
            </w:r>
            <w:r>
              <w:rPr>
                <w:spacing w:val="-11"/>
                <w:sz w:val="20"/>
              </w:rPr>
              <w:t> </w:t>
            </w:r>
            <w:r>
              <w:rPr>
                <w:sz w:val="20"/>
              </w:rPr>
              <w:t>и</w:t>
            </w:r>
            <w:r>
              <w:rPr>
                <w:spacing w:val="-11"/>
                <w:sz w:val="20"/>
              </w:rPr>
              <w:t> </w:t>
            </w:r>
            <w:r>
              <w:rPr>
                <w:sz w:val="20"/>
              </w:rPr>
              <w:t>(или) </w:t>
            </w:r>
            <w:r>
              <w:rPr>
                <w:spacing w:val="-2"/>
                <w:sz w:val="20"/>
              </w:rPr>
              <w:t>микроэмболов</w:t>
            </w:r>
          </w:p>
        </w:tc>
      </w:tr>
      <w:tr>
        <w:trPr>
          <w:trHeight w:val="1320" w:hRule="atLeast"/>
        </w:trPr>
        <w:tc>
          <w:tcPr>
            <w:tcW w:w="2728" w:type="dxa"/>
          </w:tcPr>
          <w:p>
            <w:pPr>
              <w:pStyle w:val="TableParagraph"/>
              <w:rPr>
                <w:sz w:val="18"/>
              </w:rPr>
            </w:pPr>
          </w:p>
        </w:tc>
        <w:tc>
          <w:tcPr>
            <w:tcW w:w="2052" w:type="dxa"/>
          </w:tcPr>
          <w:p>
            <w:pPr>
              <w:pStyle w:val="TableParagraph"/>
              <w:spacing w:before="60"/>
              <w:ind w:left="207" w:right="144"/>
              <w:jc w:val="center"/>
              <w:rPr>
                <w:sz w:val="20"/>
              </w:rPr>
            </w:pPr>
            <w:r>
              <w:rPr>
                <w:spacing w:val="-4"/>
                <w:sz w:val="20"/>
              </w:rPr>
              <w:t>M85.0</w:t>
            </w:r>
          </w:p>
        </w:tc>
        <w:tc>
          <w:tcPr>
            <w:tcW w:w="3376" w:type="dxa"/>
          </w:tcPr>
          <w:p>
            <w:pPr>
              <w:pStyle w:val="TableParagraph"/>
              <w:spacing w:before="60"/>
              <w:ind w:left="130"/>
              <w:rPr>
                <w:sz w:val="20"/>
              </w:rPr>
            </w:pPr>
            <w:r>
              <w:rPr>
                <w:sz w:val="20"/>
              </w:rPr>
              <w:t>фиброзная</w:t>
            </w:r>
            <w:r>
              <w:rPr>
                <w:spacing w:val="-10"/>
                <w:sz w:val="20"/>
              </w:rPr>
              <w:t> </w:t>
            </w:r>
            <w:r>
              <w:rPr>
                <w:spacing w:val="-2"/>
                <w:sz w:val="20"/>
              </w:rPr>
              <w:t>дисплазия</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07" w:type="dxa"/>
          </w:tcPr>
          <w:p>
            <w:pPr>
              <w:pStyle w:val="TableParagraph"/>
              <w:spacing w:line="249" w:lineRule="auto" w:before="60"/>
              <w:ind w:left="106" w:right="94"/>
              <w:rPr>
                <w:sz w:val="20"/>
              </w:rPr>
            </w:pPr>
            <w:r>
              <w:rPr>
                <w:sz w:val="20"/>
              </w:rPr>
              <w:t>эндоскопическое удаление опухоли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формируемых ауто- или </w:t>
            </w:r>
            <w:r>
              <w:rPr>
                <w:spacing w:val="-2"/>
                <w:sz w:val="20"/>
              </w:rPr>
              <w:t>аллотрансплантатов</w:t>
            </w:r>
          </w:p>
        </w:tc>
      </w:tr>
      <w:tr>
        <w:trPr>
          <w:trHeight w:val="132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микрохирургическое вмешательство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сложносоставных ауто- или </w:t>
            </w:r>
            <w:r>
              <w:rPr>
                <w:spacing w:val="-2"/>
                <w:sz w:val="20"/>
              </w:rPr>
              <w:t>аллотрансплантатов</w:t>
            </w:r>
          </w:p>
        </w:tc>
      </w:tr>
      <w:tr>
        <w:trPr>
          <w:trHeight w:val="1080" w:hRule="atLeast"/>
        </w:trPr>
        <w:tc>
          <w:tcPr>
            <w:tcW w:w="2728" w:type="dxa"/>
          </w:tcPr>
          <w:p>
            <w:pPr>
              <w:pStyle w:val="TableParagraph"/>
              <w:rPr>
                <w:sz w:val="18"/>
              </w:rPr>
            </w:pPr>
          </w:p>
        </w:tc>
        <w:tc>
          <w:tcPr>
            <w:tcW w:w="2052" w:type="dxa"/>
          </w:tcPr>
          <w:p>
            <w:pPr>
              <w:pStyle w:val="TableParagraph"/>
              <w:spacing w:before="60"/>
              <w:ind w:left="207" w:right="149"/>
              <w:jc w:val="center"/>
              <w:rPr>
                <w:sz w:val="20"/>
              </w:rPr>
            </w:pPr>
            <w:r>
              <w:rPr>
                <w:sz w:val="20"/>
              </w:rPr>
              <w:t>D10.6,</w:t>
            </w:r>
            <w:r>
              <w:rPr>
                <w:spacing w:val="-4"/>
                <w:sz w:val="20"/>
              </w:rPr>
              <w:t> </w:t>
            </w:r>
            <w:r>
              <w:rPr>
                <w:sz w:val="20"/>
              </w:rPr>
              <w:t>D10.9,</w:t>
            </w:r>
            <w:r>
              <w:rPr>
                <w:spacing w:val="-5"/>
                <w:sz w:val="20"/>
              </w:rPr>
              <w:t> </w:t>
            </w:r>
            <w:r>
              <w:rPr>
                <w:spacing w:val="-4"/>
                <w:sz w:val="20"/>
              </w:rPr>
              <w:t>D21.0</w:t>
            </w:r>
          </w:p>
        </w:tc>
        <w:tc>
          <w:tcPr>
            <w:tcW w:w="3376" w:type="dxa"/>
          </w:tcPr>
          <w:p>
            <w:pPr>
              <w:pStyle w:val="TableParagraph"/>
              <w:spacing w:line="249" w:lineRule="auto" w:before="60"/>
              <w:ind w:left="130" w:right="53"/>
              <w:rPr>
                <w:sz w:val="20"/>
              </w:rPr>
            </w:pPr>
            <w:r>
              <w:rPr>
                <w:sz w:val="20"/>
              </w:rPr>
              <w:t>доброкачественные</w:t>
            </w:r>
            <w:r>
              <w:rPr>
                <w:spacing w:val="-13"/>
                <w:sz w:val="20"/>
              </w:rPr>
              <w:t> </w:t>
            </w:r>
            <w:r>
              <w:rPr>
                <w:sz w:val="20"/>
              </w:rPr>
              <w:t>новообразования носоглотки и мягких тканей головы, лица и шеи, прорастающие в основание черепа</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07" w:type="dxa"/>
          </w:tcPr>
          <w:p>
            <w:pPr>
              <w:pStyle w:val="TableParagraph"/>
              <w:spacing w:line="249" w:lineRule="auto" w:before="60"/>
              <w:ind w:left="106" w:right="50"/>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tc>
      </w:tr>
      <w:tr>
        <w:trPr>
          <w:trHeight w:val="132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эндоскопическое удаление опухоли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формируемых ауто- или </w:t>
            </w:r>
            <w:r>
              <w:rPr>
                <w:spacing w:val="-2"/>
                <w:sz w:val="20"/>
              </w:rPr>
              <w:t>аллотрансплантатов</w:t>
            </w:r>
          </w:p>
        </w:tc>
      </w:tr>
      <w:tr>
        <w:trPr>
          <w:trHeight w:val="599" w:hRule="atLeast"/>
        </w:trPr>
        <w:tc>
          <w:tcPr>
            <w:tcW w:w="2728" w:type="dxa"/>
            <w:vMerge w:val="restart"/>
          </w:tcPr>
          <w:p>
            <w:pPr>
              <w:pStyle w:val="TableParagraph"/>
              <w:spacing w:line="240" w:lineRule="atLeast" w:before="30"/>
              <w:ind w:left="50" w:right="109"/>
              <w:rPr>
                <w:sz w:val="20"/>
              </w:rPr>
            </w:pPr>
            <w:r>
              <w:rPr>
                <w:spacing w:val="-2"/>
                <w:sz w:val="20"/>
              </w:rPr>
              <w:t>Микрохирургическое </w:t>
            </w:r>
            <w:r>
              <w:rPr>
                <w:sz w:val="20"/>
              </w:rPr>
              <w:t>удаление новообразований (первичных и вторичных) и дермоидов</w:t>
            </w:r>
            <w:r>
              <w:rPr>
                <w:spacing w:val="-13"/>
                <w:sz w:val="20"/>
              </w:rPr>
              <w:t> </w:t>
            </w:r>
            <w:r>
              <w:rPr>
                <w:sz w:val="20"/>
              </w:rPr>
              <w:t>(липом)</w:t>
            </w:r>
            <w:r>
              <w:rPr>
                <w:spacing w:val="-12"/>
                <w:sz w:val="20"/>
              </w:rPr>
              <w:t> </w:t>
            </w:r>
            <w:r>
              <w:rPr>
                <w:sz w:val="20"/>
              </w:rPr>
              <w:t>спинного мозга и его оболочек, корешков</w:t>
            </w:r>
            <w:r>
              <w:rPr>
                <w:spacing w:val="-11"/>
                <w:sz w:val="20"/>
              </w:rPr>
              <w:t> </w:t>
            </w:r>
            <w:r>
              <w:rPr>
                <w:sz w:val="20"/>
              </w:rPr>
              <w:t>и</w:t>
            </w:r>
            <w:r>
              <w:rPr>
                <w:spacing w:val="-11"/>
                <w:sz w:val="20"/>
              </w:rPr>
              <w:t> </w:t>
            </w:r>
            <w:r>
              <w:rPr>
                <w:sz w:val="20"/>
              </w:rPr>
              <w:t>спинномозговых</w:t>
            </w:r>
          </w:p>
        </w:tc>
        <w:tc>
          <w:tcPr>
            <w:tcW w:w="2052" w:type="dxa"/>
            <w:vMerge w:val="restart"/>
          </w:tcPr>
          <w:p>
            <w:pPr>
              <w:pStyle w:val="TableParagraph"/>
              <w:spacing w:before="60"/>
              <w:ind w:left="204"/>
              <w:rPr>
                <w:sz w:val="20"/>
              </w:rPr>
            </w:pPr>
            <w:r>
              <w:rPr>
                <w:sz w:val="20"/>
              </w:rPr>
              <w:t>C41.2,</w:t>
            </w:r>
            <w:r>
              <w:rPr>
                <w:spacing w:val="-5"/>
                <w:sz w:val="20"/>
              </w:rPr>
              <w:t> </w:t>
            </w:r>
            <w:r>
              <w:rPr>
                <w:sz w:val="20"/>
              </w:rPr>
              <w:t>C41.4,</w:t>
            </w:r>
            <w:r>
              <w:rPr>
                <w:spacing w:val="-5"/>
                <w:sz w:val="20"/>
              </w:rPr>
              <w:t> </w:t>
            </w:r>
            <w:r>
              <w:rPr>
                <w:spacing w:val="-2"/>
                <w:sz w:val="20"/>
              </w:rPr>
              <w:t>C70.1,</w:t>
            </w:r>
          </w:p>
          <w:p>
            <w:pPr>
              <w:pStyle w:val="TableParagraph"/>
              <w:spacing w:before="10"/>
              <w:ind w:left="204"/>
              <w:rPr>
                <w:sz w:val="20"/>
              </w:rPr>
            </w:pPr>
            <w:r>
              <w:rPr>
                <w:sz w:val="20"/>
              </w:rPr>
              <w:t>C72.0,</w:t>
            </w:r>
            <w:r>
              <w:rPr>
                <w:spacing w:val="-5"/>
                <w:sz w:val="20"/>
              </w:rPr>
              <w:t> </w:t>
            </w:r>
            <w:r>
              <w:rPr>
                <w:sz w:val="20"/>
              </w:rPr>
              <w:t>C72.1,</w:t>
            </w:r>
            <w:r>
              <w:rPr>
                <w:spacing w:val="-5"/>
                <w:sz w:val="20"/>
              </w:rPr>
              <w:t> </w:t>
            </w:r>
            <w:r>
              <w:rPr>
                <w:spacing w:val="-2"/>
                <w:sz w:val="20"/>
              </w:rPr>
              <w:t>C72.8,</w:t>
            </w:r>
          </w:p>
          <w:p>
            <w:pPr>
              <w:pStyle w:val="TableParagraph"/>
              <w:spacing w:before="10"/>
              <w:ind w:left="204"/>
              <w:rPr>
                <w:sz w:val="20"/>
              </w:rPr>
            </w:pPr>
            <w:r>
              <w:rPr>
                <w:sz w:val="20"/>
              </w:rPr>
              <w:t>C79.4,</w:t>
            </w:r>
            <w:r>
              <w:rPr>
                <w:spacing w:val="-5"/>
                <w:sz w:val="20"/>
              </w:rPr>
              <w:t> </w:t>
            </w:r>
            <w:r>
              <w:rPr>
                <w:sz w:val="20"/>
              </w:rPr>
              <w:t>C79.5,</w:t>
            </w:r>
            <w:r>
              <w:rPr>
                <w:spacing w:val="-5"/>
                <w:sz w:val="20"/>
              </w:rPr>
              <w:t> </w:t>
            </w:r>
            <w:r>
              <w:rPr>
                <w:spacing w:val="-2"/>
                <w:sz w:val="20"/>
              </w:rPr>
              <w:t>C90.0,</w:t>
            </w:r>
          </w:p>
          <w:p>
            <w:pPr>
              <w:pStyle w:val="TableParagraph"/>
              <w:spacing w:before="10"/>
              <w:ind w:left="192"/>
              <w:rPr>
                <w:sz w:val="20"/>
              </w:rPr>
            </w:pPr>
            <w:r>
              <w:rPr>
                <w:sz w:val="20"/>
              </w:rPr>
              <w:t>C90.2,</w:t>
            </w:r>
            <w:r>
              <w:rPr>
                <w:spacing w:val="-5"/>
                <w:sz w:val="20"/>
              </w:rPr>
              <w:t> </w:t>
            </w:r>
            <w:r>
              <w:rPr>
                <w:sz w:val="20"/>
              </w:rPr>
              <w:t>D48.0,</w:t>
            </w:r>
            <w:r>
              <w:rPr>
                <w:spacing w:val="-4"/>
                <w:sz w:val="20"/>
              </w:rPr>
              <w:t> </w:t>
            </w:r>
            <w:r>
              <w:rPr>
                <w:spacing w:val="-2"/>
                <w:sz w:val="20"/>
              </w:rPr>
              <w:t>D16.6,</w:t>
            </w:r>
          </w:p>
          <w:p>
            <w:pPr>
              <w:pStyle w:val="TableParagraph"/>
              <w:spacing w:before="10"/>
              <w:ind w:left="188"/>
              <w:rPr>
                <w:sz w:val="20"/>
              </w:rPr>
            </w:pPr>
            <w:r>
              <w:rPr>
                <w:sz w:val="20"/>
              </w:rPr>
              <w:t>D16.8,</w:t>
            </w:r>
            <w:r>
              <w:rPr>
                <w:spacing w:val="-4"/>
                <w:sz w:val="20"/>
              </w:rPr>
              <w:t> </w:t>
            </w:r>
            <w:r>
              <w:rPr>
                <w:sz w:val="20"/>
              </w:rPr>
              <w:t>D18.0,</w:t>
            </w:r>
            <w:r>
              <w:rPr>
                <w:spacing w:val="-5"/>
                <w:sz w:val="20"/>
              </w:rPr>
              <w:t> </w:t>
            </w:r>
            <w:r>
              <w:rPr>
                <w:spacing w:val="-2"/>
                <w:sz w:val="20"/>
              </w:rPr>
              <w:t>D32.1,</w:t>
            </w:r>
          </w:p>
          <w:p>
            <w:pPr>
              <w:pStyle w:val="TableParagraph"/>
              <w:spacing w:line="210" w:lineRule="exact" w:before="10"/>
              <w:ind w:left="188"/>
              <w:rPr>
                <w:sz w:val="20"/>
              </w:rPr>
            </w:pPr>
            <w:r>
              <w:rPr>
                <w:sz w:val="20"/>
              </w:rPr>
              <w:t>D33.4,</w:t>
            </w:r>
            <w:r>
              <w:rPr>
                <w:spacing w:val="-4"/>
                <w:sz w:val="20"/>
              </w:rPr>
              <w:t> </w:t>
            </w:r>
            <w:r>
              <w:rPr>
                <w:sz w:val="20"/>
              </w:rPr>
              <w:t>D33.7,</w:t>
            </w:r>
            <w:r>
              <w:rPr>
                <w:spacing w:val="-5"/>
                <w:sz w:val="20"/>
              </w:rPr>
              <w:t> </w:t>
            </w:r>
            <w:r>
              <w:rPr>
                <w:spacing w:val="-2"/>
                <w:sz w:val="20"/>
              </w:rPr>
              <w:t>D36.1,</w:t>
            </w:r>
          </w:p>
        </w:tc>
        <w:tc>
          <w:tcPr>
            <w:tcW w:w="3376" w:type="dxa"/>
            <w:vMerge w:val="restart"/>
          </w:tcPr>
          <w:p>
            <w:pPr>
              <w:pStyle w:val="TableParagraph"/>
              <w:spacing w:line="240" w:lineRule="atLeast" w:before="30"/>
              <w:ind w:left="130"/>
              <w:rPr>
                <w:sz w:val="20"/>
              </w:rPr>
            </w:pPr>
            <w:r>
              <w:rPr>
                <w:sz w:val="20"/>
              </w:rPr>
              <w:t>злокачественные (первичные и вторичные) и доброкачественные новообразования позвоночного столба, костей таза, крестца и копчика,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9"/>
                <w:sz w:val="20"/>
              </w:rPr>
              <w:t> </w:t>
            </w:r>
            <w:r>
              <w:rPr>
                <w:sz w:val="20"/>
              </w:rPr>
              <w:t>вовлечением твердой мозговой оболочки,</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07" w:type="dxa"/>
          </w:tcPr>
          <w:p>
            <w:pPr>
              <w:pStyle w:val="TableParagraph"/>
              <w:spacing w:line="249" w:lineRule="auto" w:before="60"/>
              <w:ind w:left="106" w:right="359"/>
              <w:rPr>
                <w:sz w:val="20"/>
              </w:rPr>
            </w:pPr>
            <w:r>
              <w:rPr>
                <w:sz w:val="20"/>
              </w:rPr>
              <w:t>удаление опухоли с применением нейрофизиологического</w:t>
            </w:r>
            <w:r>
              <w:rPr>
                <w:spacing w:val="-13"/>
                <w:sz w:val="20"/>
              </w:rPr>
              <w:t> </w:t>
            </w:r>
            <w:r>
              <w:rPr>
                <w:sz w:val="20"/>
              </w:rPr>
              <w:t>мониторинга</w:t>
            </w:r>
          </w:p>
        </w:tc>
      </w:tr>
      <w:tr>
        <w:trPr>
          <w:trHeight w:val="890" w:hRule="atLeast"/>
        </w:trPr>
        <w:tc>
          <w:tcPr>
            <w:tcW w:w="2728" w:type="dxa"/>
            <w:vMerge/>
            <w:tcBorders>
              <w:top w:val="nil"/>
            </w:tcBorders>
          </w:tcPr>
          <w:p>
            <w:pPr>
              <w:rPr>
                <w:sz w:val="2"/>
                <w:szCs w:val="2"/>
              </w:rPr>
            </w:pPr>
          </w:p>
        </w:tc>
        <w:tc>
          <w:tcPr>
            <w:tcW w:w="2052" w:type="dxa"/>
            <w:vMerge/>
            <w:tcBorders>
              <w:top w:val="nil"/>
            </w:tcBorders>
          </w:tcPr>
          <w:p>
            <w:pPr>
              <w:rPr>
                <w:sz w:val="2"/>
                <w:szCs w:val="2"/>
              </w:rPr>
            </w:pPr>
          </w:p>
        </w:tc>
        <w:tc>
          <w:tcPr>
            <w:tcW w:w="3376" w:type="dxa"/>
            <w:vMerge/>
            <w:tcBorders>
              <w:top w:val="nil"/>
            </w:tcBorders>
          </w:tcPr>
          <w:p>
            <w:pPr>
              <w:rPr>
                <w:sz w:val="2"/>
                <w:szCs w:val="2"/>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удаление опухоли с применением систем,</w:t>
            </w:r>
            <w:r>
              <w:rPr>
                <w:spacing w:val="-13"/>
                <w:sz w:val="20"/>
              </w:rPr>
              <w:t> </w:t>
            </w:r>
            <w:r>
              <w:rPr>
                <w:sz w:val="20"/>
              </w:rPr>
              <w:t>стабилизирующих</w:t>
            </w:r>
            <w:r>
              <w:rPr>
                <w:spacing w:val="-12"/>
                <w:sz w:val="20"/>
              </w:rPr>
              <w:t> </w:t>
            </w:r>
            <w:r>
              <w:rPr>
                <w:sz w:val="20"/>
              </w:rPr>
              <w:t>позвоночник</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0"/>
        <w:gridCol w:w="2084"/>
        <w:gridCol w:w="3342"/>
        <w:gridCol w:w="1430"/>
        <w:gridCol w:w="3725"/>
      </w:tblGrid>
      <w:tr>
        <w:trPr>
          <w:trHeight w:val="770" w:hRule="atLeast"/>
        </w:trPr>
        <w:tc>
          <w:tcPr>
            <w:tcW w:w="2730" w:type="dxa"/>
            <w:vMerge w:val="restart"/>
          </w:tcPr>
          <w:p>
            <w:pPr>
              <w:pStyle w:val="TableParagraph"/>
              <w:spacing w:line="249" w:lineRule="auto"/>
              <w:ind w:left="50" w:right="124"/>
              <w:rPr>
                <w:sz w:val="20"/>
              </w:rPr>
            </w:pPr>
            <w:r>
              <w:rPr>
                <w:sz w:val="20"/>
              </w:rPr>
              <w:t>нервов,</w:t>
            </w:r>
            <w:r>
              <w:rPr>
                <w:spacing w:val="-13"/>
                <w:sz w:val="20"/>
              </w:rPr>
              <w:t> </w:t>
            </w:r>
            <w:r>
              <w:rPr>
                <w:sz w:val="20"/>
              </w:rPr>
              <w:t>позвоночного</w:t>
            </w:r>
            <w:r>
              <w:rPr>
                <w:spacing w:val="-12"/>
                <w:sz w:val="20"/>
              </w:rPr>
              <w:t> </w:t>
            </w:r>
            <w:r>
              <w:rPr>
                <w:sz w:val="20"/>
              </w:rPr>
              <w:t>столба, костей таза, крестца и копчика при условии вовлечения</w:t>
            </w:r>
            <w:r>
              <w:rPr>
                <w:spacing w:val="-13"/>
                <w:sz w:val="20"/>
              </w:rPr>
              <w:t> </w:t>
            </w:r>
            <w:r>
              <w:rPr>
                <w:sz w:val="20"/>
              </w:rPr>
              <w:t>твердой</w:t>
            </w:r>
            <w:r>
              <w:rPr>
                <w:spacing w:val="-12"/>
                <w:sz w:val="20"/>
              </w:rPr>
              <w:t> </w:t>
            </w:r>
            <w:r>
              <w:rPr>
                <w:sz w:val="20"/>
              </w:rPr>
              <w:t>мозговой оболочки, корешков и спинномозговых нервов</w:t>
            </w:r>
          </w:p>
        </w:tc>
        <w:tc>
          <w:tcPr>
            <w:tcW w:w="2084" w:type="dxa"/>
          </w:tcPr>
          <w:p>
            <w:pPr>
              <w:pStyle w:val="TableParagraph"/>
              <w:spacing w:line="249" w:lineRule="auto"/>
              <w:ind w:left="808" w:hanging="639"/>
              <w:rPr>
                <w:sz w:val="20"/>
              </w:rPr>
            </w:pPr>
            <w:r>
              <w:rPr>
                <w:sz w:val="20"/>
              </w:rPr>
              <w:t>D43.4,</w:t>
            </w:r>
            <w:r>
              <w:rPr>
                <w:spacing w:val="-13"/>
                <w:sz w:val="20"/>
              </w:rPr>
              <w:t> </w:t>
            </w:r>
            <w:r>
              <w:rPr>
                <w:sz w:val="20"/>
              </w:rPr>
              <w:t>Q06.8,</w:t>
            </w:r>
            <w:r>
              <w:rPr>
                <w:spacing w:val="-12"/>
                <w:sz w:val="20"/>
              </w:rPr>
              <w:t> </w:t>
            </w:r>
            <w:r>
              <w:rPr>
                <w:sz w:val="20"/>
              </w:rPr>
              <w:t>M85.5, </w:t>
            </w:r>
            <w:r>
              <w:rPr>
                <w:spacing w:val="-2"/>
                <w:sz w:val="20"/>
              </w:rPr>
              <w:t>D42.1</w:t>
            </w:r>
          </w:p>
        </w:tc>
        <w:tc>
          <w:tcPr>
            <w:tcW w:w="3342" w:type="dxa"/>
          </w:tcPr>
          <w:p>
            <w:pPr>
              <w:pStyle w:val="TableParagraph"/>
              <w:spacing w:line="249" w:lineRule="auto"/>
              <w:ind w:left="96" w:right="46"/>
              <w:rPr>
                <w:sz w:val="20"/>
              </w:rPr>
            </w:pPr>
            <w:r>
              <w:rPr>
                <w:sz w:val="20"/>
              </w:rPr>
              <w:t>корешков</w:t>
            </w:r>
            <w:r>
              <w:rPr>
                <w:spacing w:val="-13"/>
                <w:sz w:val="20"/>
              </w:rPr>
              <w:t> </w:t>
            </w:r>
            <w:r>
              <w:rPr>
                <w:sz w:val="20"/>
              </w:rPr>
              <w:t>и</w:t>
            </w:r>
            <w:r>
              <w:rPr>
                <w:spacing w:val="-12"/>
                <w:sz w:val="20"/>
              </w:rPr>
              <w:t> </w:t>
            </w:r>
            <w:r>
              <w:rPr>
                <w:sz w:val="20"/>
              </w:rPr>
              <w:t>спинномозговых</w:t>
            </w:r>
            <w:r>
              <w:rPr>
                <w:spacing w:val="-13"/>
                <w:sz w:val="20"/>
              </w:rPr>
              <w:t> </w:t>
            </w:r>
            <w:r>
              <w:rPr>
                <w:sz w:val="20"/>
              </w:rPr>
              <w:t>нервов, дермоиды (липомы) спинного мозга</w:t>
            </w:r>
          </w:p>
        </w:tc>
        <w:tc>
          <w:tcPr>
            <w:tcW w:w="1430" w:type="dxa"/>
          </w:tcPr>
          <w:p>
            <w:pPr>
              <w:pStyle w:val="TableParagraph"/>
              <w:rPr>
                <w:sz w:val="18"/>
              </w:rPr>
            </w:pPr>
          </w:p>
        </w:tc>
        <w:tc>
          <w:tcPr>
            <w:tcW w:w="3725" w:type="dxa"/>
          </w:tcPr>
          <w:p>
            <w:pPr>
              <w:pStyle w:val="TableParagraph"/>
              <w:spacing w:line="249" w:lineRule="auto"/>
              <w:ind w:left="106"/>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одномоментным применением ауто- или </w:t>
            </w:r>
            <w:r>
              <w:rPr>
                <w:spacing w:val="-2"/>
                <w:sz w:val="20"/>
              </w:rPr>
              <w:t>аллотрансплантатов</w:t>
            </w:r>
          </w:p>
        </w:tc>
      </w:tr>
      <w:tr>
        <w:trPr>
          <w:trHeight w:val="72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before="60"/>
              <w:ind w:left="106"/>
              <w:rPr>
                <w:sz w:val="20"/>
              </w:rPr>
            </w:pPr>
            <w:r>
              <w:rPr>
                <w:spacing w:val="-2"/>
                <w:sz w:val="20"/>
              </w:rPr>
              <w:t>эндоскопическое</w:t>
            </w:r>
            <w:r>
              <w:rPr>
                <w:spacing w:val="12"/>
                <w:sz w:val="20"/>
              </w:rPr>
              <w:t> </w:t>
            </w:r>
            <w:r>
              <w:rPr>
                <w:spacing w:val="-2"/>
                <w:sz w:val="20"/>
              </w:rPr>
              <w:t>удаление</w:t>
            </w:r>
            <w:r>
              <w:rPr>
                <w:spacing w:val="8"/>
                <w:sz w:val="20"/>
              </w:rPr>
              <w:t> </w:t>
            </w:r>
            <w:r>
              <w:rPr>
                <w:spacing w:val="-2"/>
                <w:sz w:val="20"/>
              </w:rPr>
              <w:t>опухоли</w:t>
            </w:r>
          </w:p>
        </w:tc>
      </w:tr>
      <w:tr>
        <w:trPr>
          <w:trHeight w:val="1080" w:hRule="atLeast"/>
        </w:trPr>
        <w:tc>
          <w:tcPr>
            <w:tcW w:w="2730" w:type="dxa"/>
            <w:vMerge w:val="restart"/>
          </w:tcPr>
          <w:p>
            <w:pPr>
              <w:pStyle w:val="TableParagraph"/>
              <w:spacing w:line="249" w:lineRule="auto" w:before="60"/>
              <w:ind w:left="50" w:right="804"/>
              <w:rPr>
                <w:sz w:val="20"/>
              </w:rPr>
            </w:pPr>
            <w:r>
              <w:rPr>
                <w:spacing w:val="-2"/>
                <w:sz w:val="20"/>
              </w:rPr>
              <w:t>Микрохирургические </w:t>
            </w:r>
            <w:r>
              <w:rPr>
                <w:sz w:val="20"/>
              </w:rPr>
              <w:t>и эндоскопические вмешательства при</w:t>
            </w:r>
          </w:p>
          <w:p>
            <w:pPr>
              <w:pStyle w:val="TableParagraph"/>
              <w:spacing w:line="249" w:lineRule="auto" w:before="3"/>
              <w:ind w:left="50" w:right="117"/>
              <w:rPr>
                <w:sz w:val="20"/>
              </w:rPr>
            </w:pPr>
            <w:r>
              <w:rPr>
                <w:sz w:val="20"/>
              </w:rPr>
              <w:t>поражениях</w:t>
            </w:r>
            <w:r>
              <w:rPr>
                <w:spacing w:val="-13"/>
                <w:sz w:val="20"/>
              </w:rPr>
              <w:t> </w:t>
            </w:r>
            <w:r>
              <w:rPr>
                <w:sz w:val="20"/>
              </w:rPr>
              <w:t>межпозвоночных дисков шейных и грудных отделов с миелопатией, радикуло- и нейропатией, спондилолистезах и спинальных стенозах.</w:t>
            </w:r>
          </w:p>
        </w:tc>
        <w:tc>
          <w:tcPr>
            <w:tcW w:w="2084" w:type="dxa"/>
          </w:tcPr>
          <w:p>
            <w:pPr>
              <w:pStyle w:val="TableParagraph"/>
              <w:spacing w:line="249" w:lineRule="auto" w:before="60"/>
              <w:ind w:left="808" w:hanging="644"/>
              <w:rPr>
                <w:sz w:val="20"/>
              </w:rPr>
            </w:pPr>
            <w:r>
              <w:rPr>
                <w:sz w:val="20"/>
              </w:rPr>
              <w:t>M43.1,</w:t>
            </w:r>
            <w:r>
              <w:rPr>
                <w:spacing w:val="-13"/>
                <w:sz w:val="20"/>
              </w:rPr>
              <w:t> </w:t>
            </w:r>
            <w:r>
              <w:rPr>
                <w:sz w:val="20"/>
              </w:rPr>
              <w:t>M48.0,</w:t>
            </w:r>
            <w:r>
              <w:rPr>
                <w:spacing w:val="-12"/>
                <w:sz w:val="20"/>
              </w:rPr>
              <w:t> </w:t>
            </w:r>
            <w:r>
              <w:rPr>
                <w:sz w:val="20"/>
              </w:rPr>
              <w:t>T91.1, </w:t>
            </w:r>
            <w:r>
              <w:rPr>
                <w:spacing w:val="-2"/>
                <w:sz w:val="20"/>
              </w:rPr>
              <w:t>Q76.4</w:t>
            </w:r>
          </w:p>
        </w:tc>
        <w:tc>
          <w:tcPr>
            <w:tcW w:w="3342" w:type="dxa"/>
          </w:tcPr>
          <w:p>
            <w:pPr>
              <w:pStyle w:val="TableParagraph"/>
              <w:spacing w:line="249" w:lineRule="auto" w:before="60"/>
              <w:ind w:left="96" w:right="46"/>
              <w:rPr>
                <w:sz w:val="20"/>
              </w:rPr>
            </w:pPr>
            <w:r>
              <w:rPr>
                <w:sz w:val="20"/>
              </w:rPr>
              <w:t>спондилолистез (все уровни позвоночника).</w:t>
            </w:r>
            <w:r>
              <w:rPr>
                <w:spacing w:val="-13"/>
                <w:sz w:val="20"/>
              </w:rPr>
              <w:t> </w:t>
            </w:r>
            <w:r>
              <w:rPr>
                <w:sz w:val="20"/>
              </w:rPr>
              <w:t>Спинальный</w:t>
            </w:r>
            <w:r>
              <w:rPr>
                <w:spacing w:val="-12"/>
                <w:sz w:val="20"/>
              </w:rPr>
              <w:t> </w:t>
            </w:r>
            <w:r>
              <w:rPr>
                <w:sz w:val="20"/>
              </w:rPr>
              <w:t>стеноз (все уровни позвоночника)</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25" w:type="dxa"/>
          </w:tcPr>
          <w:p>
            <w:pPr>
              <w:pStyle w:val="TableParagraph"/>
              <w:spacing w:line="249" w:lineRule="auto" w:before="60"/>
              <w:ind w:left="106" w:right="76"/>
              <w:rPr>
                <w:sz w:val="20"/>
              </w:rPr>
            </w:pPr>
            <w:r>
              <w:rPr>
                <w:sz w:val="20"/>
              </w:rPr>
              <w:t>декомпрессия</w:t>
            </w:r>
            <w:r>
              <w:rPr>
                <w:spacing w:val="-13"/>
                <w:sz w:val="20"/>
              </w:rPr>
              <w:t> </w:t>
            </w:r>
            <w:r>
              <w:rPr>
                <w:sz w:val="20"/>
              </w:rPr>
              <w:t>спинного</w:t>
            </w:r>
            <w:r>
              <w:rPr>
                <w:spacing w:val="-12"/>
                <w:sz w:val="20"/>
              </w:rPr>
              <w:t> </w:t>
            </w:r>
            <w:r>
              <w:rPr>
                <w:sz w:val="20"/>
              </w:rPr>
              <w:t>мозга,</w:t>
            </w:r>
            <w:r>
              <w:rPr>
                <w:spacing w:val="-13"/>
                <w:sz w:val="20"/>
              </w:rPr>
              <w:t> </w:t>
            </w:r>
            <w:r>
              <w:rPr>
                <w:sz w:val="20"/>
              </w:rPr>
              <w:t>корешков и спинномозговых нервов с имплантацией различных стабилизирующих систем</w:t>
            </w:r>
          </w:p>
        </w:tc>
      </w:tr>
      <w:tr>
        <w:trPr>
          <w:trHeight w:val="120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line="249" w:lineRule="auto" w:before="60"/>
              <w:ind w:left="106" w:right="51"/>
              <w:rPr>
                <w:sz w:val="20"/>
              </w:rPr>
            </w:pPr>
            <w:r>
              <w:rPr>
                <w:sz w:val="20"/>
              </w:rPr>
              <w:t>двухуровневое проведение</w:t>
            </w:r>
            <w:r>
              <w:rPr>
                <w:spacing w:val="40"/>
                <w:sz w:val="20"/>
              </w:rPr>
              <w:t> </w:t>
            </w:r>
            <w:r>
              <w:rPr>
                <w:sz w:val="20"/>
              </w:rPr>
              <w:t>эпидуральных</w:t>
            </w:r>
            <w:r>
              <w:rPr>
                <w:spacing w:val="-13"/>
                <w:sz w:val="20"/>
              </w:rPr>
              <w:t> </w:t>
            </w:r>
            <w:r>
              <w:rPr>
                <w:sz w:val="20"/>
              </w:rPr>
              <w:t>электродов</w:t>
            </w:r>
            <w:r>
              <w:rPr>
                <w:spacing w:val="-12"/>
                <w:sz w:val="20"/>
              </w:rPr>
              <w:t> </w:t>
            </w:r>
            <w:r>
              <w:rPr>
                <w:sz w:val="20"/>
              </w:rPr>
              <w:t>с</w:t>
            </w:r>
            <w:r>
              <w:rPr>
                <w:spacing w:val="-13"/>
                <w:sz w:val="20"/>
              </w:rPr>
              <w:t> </w:t>
            </w:r>
            <w:r>
              <w:rPr>
                <w:sz w:val="20"/>
              </w:rPr>
              <w:t>применением малоинвазивного инструментария под нейровизуализационным контролем</w:t>
            </w:r>
          </w:p>
        </w:tc>
      </w:tr>
      <w:tr>
        <w:trPr>
          <w:trHeight w:val="1080" w:hRule="atLeast"/>
        </w:trPr>
        <w:tc>
          <w:tcPr>
            <w:tcW w:w="2730" w:type="dxa"/>
            <w:vMerge w:val="restart"/>
          </w:tcPr>
          <w:p>
            <w:pPr>
              <w:pStyle w:val="TableParagraph"/>
              <w:spacing w:line="249" w:lineRule="auto" w:before="60"/>
              <w:ind w:left="50" w:right="142"/>
              <w:rPr>
                <w:sz w:val="20"/>
              </w:rPr>
            </w:pPr>
            <w:r>
              <w:rPr>
                <w:sz w:val="20"/>
              </w:rPr>
              <w:t>Сложные</w:t>
            </w:r>
            <w:r>
              <w:rPr>
                <w:spacing w:val="-13"/>
                <w:sz w:val="20"/>
              </w:rPr>
              <w:t> </w:t>
            </w:r>
            <w:r>
              <w:rPr>
                <w:sz w:val="20"/>
              </w:rPr>
              <w:t>декомпрессионно</w:t>
            </w:r>
            <w:r>
              <w:rPr>
                <w:spacing w:val="-12"/>
                <w:sz w:val="20"/>
              </w:rPr>
              <w:t> </w:t>
            </w:r>
            <w:r>
              <w:rPr>
                <w:sz w:val="20"/>
              </w:rPr>
              <w:t>- стабилизирующие и реконструктивные</w:t>
            </w:r>
            <w:r>
              <w:rPr>
                <w:spacing w:val="-3"/>
                <w:sz w:val="20"/>
              </w:rPr>
              <w:t> </w:t>
            </w:r>
            <w:r>
              <w:rPr>
                <w:sz w:val="20"/>
              </w:rPr>
              <w:t>операции при травмах и заболеваниях </w:t>
            </w:r>
            <w:r>
              <w:rPr>
                <w:spacing w:val="-2"/>
                <w:sz w:val="20"/>
              </w:rPr>
              <w:t>позвоночника, сопровождающихся </w:t>
            </w:r>
            <w:r>
              <w:rPr>
                <w:sz w:val="20"/>
              </w:rPr>
              <w:t>развитием миелопатии,</w:t>
            </w:r>
          </w:p>
          <w:p>
            <w:pPr>
              <w:pStyle w:val="TableParagraph"/>
              <w:spacing w:line="249" w:lineRule="auto" w:before="6"/>
              <w:ind w:left="50" w:right="298"/>
              <w:rPr>
                <w:sz w:val="20"/>
              </w:rPr>
            </w:pPr>
            <w:r>
              <w:rPr>
                <w:sz w:val="20"/>
              </w:rPr>
              <w:t>с использованием </w:t>
            </w:r>
            <w:r>
              <w:rPr>
                <w:spacing w:val="-2"/>
                <w:sz w:val="20"/>
              </w:rPr>
              <w:t>остеозамещающих </w:t>
            </w:r>
            <w:r>
              <w:rPr>
                <w:sz w:val="20"/>
              </w:rPr>
              <w:t>материалов, погружных и наружных фиксирующих устройств. Имплантация временных электродов для нейростимуляции</w:t>
            </w:r>
            <w:r>
              <w:rPr>
                <w:spacing w:val="-13"/>
                <w:sz w:val="20"/>
              </w:rPr>
              <w:t> </w:t>
            </w:r>
            <w:r>
              <w:rPr>
                <w:sz w:val="20"/>
              </w:rPr>
              <w:t>спинного мозга и периферических </w:t>
            </w:r>
            <w:r>
              <w:rPr>
                <w:spacing w:val="-2"/>
                <w:sz w:val="20"/>
              </w:rPr>
              <w:t>нервов</w:t>
            </w:r>
          </w:p>
        </w:tc>
        <w:tc>
          <w:tcPr>
            <w:tcW w:w="2084" w:type="dxa"/>
          </w:tcPr>
          <w:p>
            <w:pPr>
              <w:pStyle w:val="TableParagraph"/>
              <w:spacing w:before="60"/>
              <w:ind w:left="186"/>
              <w:rPr>
                <w:sz w:val="20"/>
              </w:rPr>
            </w:pPr>
            <w:r>
              <w:rPr>
                <w:sz w:val="20"/>
              </w:rPr>
              <w:t>G95.1,</w:t>
            </w:r>
            <w:r>
              <w:rPr>
                <w:spacing w:val="-3"/>
                <w:sz w:val="20"/>
              </w:rPr>
              <w:t> </w:t>
            </w:r>
            <w:r>
              <w:rPr>
                <w:sz w:val="20"/>
              </w:rPr>
              <w:t>G95.2,</w:t>
            </w:r>
            <w:r>
              <w:rPr>
                <w:spacing w:val="-4"/>
                <w:sz w:val="20"/>
              </w:rPr>
              <w:t> </w:t>
            </w:r>
            <w:r>
              <w:rPr>
                <w:spacing w:val="-2"/>
                <w:sz w:val="20"/>
              </w:rPr>
              <w:t>G95.8,</w:t>
            </w:r>
          </w:p>
          <w:p>
            <w:pPr>
              <w:pStyle w:val="TableParagraph"/>
              <w:spacing w:line="249" w:lineRule="auto" w:before="10"/>
              <w:ind w:left="161" w:firstLine="33"/>
              <w:rPr>
                <w:sz w:val="20"/>
              </w:rPr>
            </w:pPr>
            <w:r>
              <w:rPr>
                <w:sz w:val="20"/>
              </w:rPr>
              <w:t>G95.9,</w:t>
            </w:r>
            <w:r>
              <w:rPr>
                <w:spacing w:val="-3"/>
                <w:sz w:val="20"/>
              </w:rPr>
              <w:t> </w:t>
            </w:r>
            <w:r>
              <w:rPr>
                <w:sz w:val="20"/>
              </w:rPr>
              <w:t>M50,</w:t>
            </w:r>
            <w:r>
              <w:rPr>
                <w:spacing w:val="-3"/>
                <w:sz w:val="20"/>
              </w:rPr>
              <w:t> </w:t>
            </w:r>
            <w:r>
              <w:rPr>
                <w:sz w:val="20"/>
              </w:rPr>
              <w:t>M51.0 - M51.3,</w:t>
            </w:r>
            <w:r>
              <w:rPr>
                <w:spacing w:val="-6"/>
                <w:sz w:val="20"/>
              </w:rPr>
              <w:t> </w:t>
            </w:r>
            <w:r>
              <w:rPr>
                <w:sz w:val="20"/>
              </w:rPr>
              <w:t>M51.8,</w:t>
            </w:r>
            <w:r>
              <w:rPr>
                <w:spacing w:val="-5"/>
                <w:sz w:val="20"/>
              </w:rPr>
              <w:t> </w:t>
            </w:r>
            <w:r>
              <w:rPr>
                <w:spacing w:val="-4"/>
                <w:sz w:val="20"/>
              </w:rPr>
              <w:t>M51.9</w:t>
            </w:r>
          </w:p>
        </w:tc>
        <w:tc>
          <w:tcPr>
            <w:tcW w:w="3342" w:type="dxa"/>
          </w:tcPr>
          <w:p>
            <w:pPr>
              <w:pStyle w:val="TableParagraph"/>
              <w:spacing w:line="249" w:lineRule="auto" w:before="60"/>
              <w:ind w:left="96" w:right="46"/>
              <w:rPr>
                <w:sz w:val="20"/>
              </w:rPr>
            </w:pPr>
            <w:r>
              <w:rPr>
                <w:sz w:val="20"/>
              </w:rPr>
              <w:t>поражения</w:t>
            </w:r>
            <w:r>
              <w:rPr>
                <w:spacing w:val="-13"/>
                <w:sz w:val="20"/>
              </w:rPr>
              <w:t> </w:t>
            </w:r>
            <w:r>
              <w:rPr>
                <w:sz w:val="20"/>
              </w:rPr>
              <w:t>межпозвоночных</w:t>
            </w:r>
            <w:r>
              <w:rPr>
                <w:spacing w:val="-12"/>
                <w:sz w:val="20"/>
              </w:rPr>
              <w:t> </w:t>
            </w:r>
            <w:r>
              <w:rPr>
                <w:sz w:val="20"/>
              </w:rPr>
              <w:t>дисков шейных и грудных отделов с миелопатией, радикуло- и </w:t>
            </w:r>
            <w:r>
              <w:rPr>
                <w:spacing w:val="-2"/>
                <w:sz w:val="20"/>
              </w:rPr>
              <w:t>нейропатией</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25" w:type="dxa"/>
          </w:tcPr>
          <w:p>
            <w:pPr>
              <w:pStyle w:val="TableParagraph"/>
              <w:spacing w:line="249" w:lineRule="auto" w:before="60"/>
              <w:ind w:left="106" w:right="695"/>
              <w:rPr>
                <w:sz w:val="20"/>
              </w:rPr>
            </w:pPr>
            <w:r>
              <w:rPr>
                <w:sz w:val="20"/>
              </w:rPr>
              <w:t>удаление</w:t>
            </w:r>
            <w:r>
              <w:rPr>
                <w:spacing w:val="-13"/>
                <w:sz w:val="20"/>
              </w:rPr>
              <w:t> </w:t>
            </w:r>
            <w:r>
              <w:rPr>
                <w:sz w:val="20"/>
              </w:rPr>
              <w:t>межпозвонкового</w:t>
            </w:r>
            <w:r>
              <w:rPr>
                <w:spacing w:val="-12"/>
                <w:sz w:val="20"/>
              </w:rPr>
              <w:t> </w:t>
            </w:r>
            <w:r>
              <w:rPr>
                <w:sz w:val="20"/>
              </w:rPr>
              <w:t>диска с имплантацией системы,</w:t>
            </w:r>
          </w:p>
          <w:p>
            <w:pPr>
              <w:pStyle w:val="TableParagraph"/>
              <w:spacing w:line="249" w:lineRule="auto" w:before="2"/>
              <w:ind w:left="106"/>
              <w:rPr>
                <w:sz w:val="20"/>
              </w:rPr>
            </w:pPr>
            <w:r>
              <w:rPr>
                <w:sz w:val="20"/>
              </w:rPr>
              <w:t>стабилизирующей позвоночник, или протезирование</w:t>
            </w:r>
            <w:r>
              <w:rPr>
                <w:spacing w:val="-13"/>
                <w:sz w:val="20"/>
              </w:rPr>
              <w:t> </w:t>
            </w:r>
            <w:r>
              <w:rPr>
                <w:sz w:val="20"/>
              </w:rPr>
              <w:t>межпозвонкового</w:t>
            </w:r>
            <w:r>
              <w:rPr>
                <w:spacing w:val="-12"/>
                <w:sz w:val="20"/>
              </w:rPr>
              <w:t> </w:t>
            </w:r>
            <w:r>
              <w:rPr>
                <w:sz w:val="20"/>
              </w:rPr>
              <w:t>диска</w:t>
            </w:r>
          </w:p>
        </w:tc>
      </w:tr>
      <w:tr>
        <w:trPr>
          <w:trHeight w:val="60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line="249" w:lineRule="auto" w:before="60"/>
              <w:ind w:left="106"/>
              <w:rPr>
                <w:sz w:val="20"/>
              </w:rPr>
            </w:pPr>
            <w:r>
              <w:rPr>
                <w:sz w:val="20"/>
              </w:rPr>
              <w:t>удаление</w:t>
            </w:r>
            <w:r>
              <w:rPr>
                <w:spacing w:val="-13"/>
                <w:sz w:val="20"/>
              </w:rPr>
              <w:t> </w:t>
            </w:r>
            <w:r>
              <w:rPr>
                <w:sz w:val="20"/>
              </w:rPr>
              <w:t>межпозвонкового</w:t>
            </w:r>
            <w:r>
              <w:rPr>
                <w:spacing w:val="-12"/>
                <w:sz w:val="20"/>
              </w:rPr>
              <w:t> </w:t>
            </w:r>
            <w:r>
              <w:rPr>
                <w:sz w:val="20"/>
              </w:rPr>
              <w:t>диска </w:t>
            </w:r>
            <w:r>
              <w:rPr>
                <w:spacing w:val="-2"/>
                <w:sz w:val="20"/>
              </w:rPr>
              <w:t>эндоскопическое</w:t>
            </w:r>
          </w:p>
        </w:tc>
      </w:tr>
      <w:tr>
        <w:trPr>
          <w:trHeight w:val="108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line="249" w:lineRule="auto" w:before="60"/>
              <w:ind w:left="106" w:right="51"/>
              <w:rPr>
                <w:sz w:val="20"/>
              </w:rPr>
            </w:pPr>
            <w:r>
              <w:rPr>
                <w:sz w:val="20"/>
              </w:rPr>
              <w:t>двухуровневое проведение</w:t>
            </w:r>
            <w:r>
              <w:rPr>
                <w:spacing w:val="40"/>
                <w:sz w:val="20"/>
              </w:rPr>
              <w:t> </w:t>
            </w:r>
            <w:r>
              <w:rPr>
                <w:sz w:val="20"/>
              </w:rPr>
              <w:t>эпидуральных</w:t>
            </w:r>
            <w:r>
              <w:rPr>
                <w:spacing w:val="-13"/>
                <w:sz w:val="20"/>
              </w:rPr>
              <w:t> </w:t>
            </w:r>
            <w:r>
              <w:rPr>
                <w:sz w:val="20"/>
              </w:rPr>
              <w:t>электродов</w:t>
            </w:r>
            <w:r>
              <w:rPr>
                <w:spacing w:val="-12"/>
                <w:sz w:val="20"/>
              </w:rPr>
              <w:t> </w:t>
            </w:r>
            <w:r>
              <w:rPr>
                <w:sz w:val="20"/>
              </w:rPr>
              <w:t>с</w:t>
            </w:r>
            <w:r>
              <w:rPr>
                <w:spacing w:val="-13"/>
                <w:sz w:val="20"/>
              </w:rPr>
              <w:t> </w:t>
            </w:r>
            <w:r>
              <w:rPr>
                <w:sz w:val="20"/>
              </w:rPr>
              <w:t>применением малоинвазивного инструментария под нейровизуализационным контролем</w:t>
            </w:r>
          </w:p>
        </w:tc>
      </w:tr>
      <w:tr>
        <w:trPr>
          <w:trHeight w:val="1250" w:hRule="atLeast"/>
        </w:trPr>
        <w:tc>
          <w:tcPr>
            <w:tcW w:w="2730" w:type="dxa"/>
            <w:vMerge/>
            <w:tcBorders>
              <w:top w:val="nil"/>
            </w:tcBorders>
          </w:tcPr>
          <w:p>
            <w:pPr>
              <w:rPr>
                <w:sz w:val="2"/>
                <w:szCs w:val="2"/>
              </w:rPr>
            </w:pPr>
          </w:p>
        </w:tc>
        <w:tc>
          <w:tcPr>
            <w:tcW w:w="2084" w:type="dxa"/>
          </w:tcPr>
          <w:p>
            <w:pPr>
              <w:pStyle w:val="TableParagraph"/>
              <w:spacing w:line="249" w:lineRule="auto" w:before="60"/>
              <w:ind w:left="118" w:right="96" w:firstLine="2"/>
              <w:jc w:val="center"/>
              <w:rPr>
                <w:sz w:val="20"/>
              </w:rPr>
            </w:pPr>
            <w:r>
              <w:rPr>
                <w:sz w:val="20"/>
              </w:rPr>
              <w:t>G95.1, G95.2, G95.8, G95.9,</w:t>
            </w:r>
            <w:r>
              <w:rPr>
                <w:spacing w:val="-13"/>
                <w:sz w:val="20"/>
              </w:rPr>
              <w:t> </w:t>
            </w:r>
            <w:r>
              <w:rPr>
                <w:sz w:val="20"/>
              </w:rPr>
              <w:t>B67,</w:t>
            </w:r>
            <w:r>
              <w:rPr>
                <w:spacing w:val="-12"/>
                <w:sz w:val="20"/>
              </w:rPr>
              <w:t> </w:t>
            </w:r>
            <w:r>
              <w:rPr>
                <w:sz w:val="20"/>
              </w:rPr>
              <w:t>D16,</w:t>
            </w:r>
            <w:r>
              <w:rPr>
                <w:spacing w:val="-12"/>
                <w:sz w:val="20"/>
              </w:rPr>
              <w:t> </w:t>
            </w:r>
            <w:r>
              <w:rPr>
                <w:sz w:val="20"/>
              </w:rPr>
              <w:t>D18, </w:t>
            </w:r>
            <w:r>
              <w:rPr>
                <w:spacing w:val="-4"/>
                <w:sz w:val="20"/>
              </w:rPr>
              <w:t>M88</w:t>
            </w:r>
          </w:p>
        </w:tc>
        <w:tc>
          <w:tcPr>
            <w:tcW w:w="3342" w:type="dxa"/>
          </w:tcPr>
          <w:p>
            <w:pPr>
              <w:pStyle w:val="TableParagraph"/>
              <w:spacing w:line="240" w:lineRule="atLeast" w:before="30"/>
              <w:ind w:left="96" w:right="46"/>
              <w:rPr>
                <w:sz w:val="20"/>
              </w:rPr>
            </w:pPr>
            <w:r>
              <w:rPr>
                <w:sz w:val="20"/>
              </w:rPr>
              <w:t>деструкция и деформация (патологический</w:t>
            </w:r>
            <w:r>
              <w:rPr>
                <w:spacing w:val="-13"/>
                <w:sz w:val="20"/>
              </w:rPr>
              <w:t> </w:t>
            </w:r>
            <w:r>
              <w:rPr>
                <w:sz w:val="20"/>
              </w:rPr>
              <w:t>перелом)</w:t>
            </w:r>
            <w:r>
              <w:rPr>
                <w:spacing w:val="-12"/>
                <w:sz w:val="20"/>
              </w:rPr>
              <w:t> </w:t>
            </w:r>
            <w:r>
              <w:rPr>
                <w:sz w:val="20"/>
              </w:rPr>
              <w:t>позвонков вследствие их поражения </w:t>
            </w:r>
            <w:r>
              <w:rPr>
                <w:spacing w:val="-2"/>
                <w:sz w:val="20"/>
              </w:rPr>
              <w:t>доброкачественным </w:t>
            </w:r>
            <w:r>
              <w:rPr>
                <w:sz w:val="20"/>
              </w:rPr>
              <w:t>новообразованием непосредственно</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25" w:type="dxa"/>
          </w:tcPr>
          <w:p>
            <w:pPr>
              <w:pStyle w:val="TableParagraph"/>
              <w:spacing w:line="240" w:lineRule="atLeast" w:before="30"/>
              <w:ind w:left="106"/>
              <w:rPr>
                <w:sz w:val="20"/>
              </w:rPr>
            </w:pPr>
            <w:r>
              <w:rPr>
                <w:sz w:val="20"/>
              </w:rPr>
              <w:t>резекция опухоли или иного опухолеподобного</w:t>
            </w:r>
            <w:r>
              <w:rPr>
                <w:spacing w:val="-13"/>
                <w:sz w:val="20"/>
              </w:rPr>
              <w:t> </w:t>
            </w:r>
            <w:r>
              <w:rPr>
                <w:sz w:val="20"/>
              </w:rPr>
              <w:t>образования</w:t>
            </w:r>
            <w:r>
              <w:rPr>
                <w:spacing w:val="-12"/>
                <w:sz w:val="20"/>
              </w:rPr>
              <w:t> </w:t>
            </w:r>
            <w:r>
              <w:rPr>
                <w:sz w:val="20"/>
              </w:rPr>
              <w:t>блоком или частями из комбинированных доступов с реконструкцией дефекта позвоночного</w:t>
            </w:r>
            <w:r>
              <w:rPr>
                <w:spacing w:val="-10"/>
                <w:sz w:val="20"/>
              </w:rPr>
              <w:t> </w:t>
            </w:r>
            <w:r>
              <w:rPr>
                <w:sz w:val="20"/>
              </w:rPr>
              <w:t>столба</w:t>
            </w:r>
            <w:r>
              <w:rPr>
                <w:spacing w:val="-12"/>
                <w:sz w:val="20"/>
              </w:rPr>
              <w:t> </w:t>
            </w:r>
            <w:r>
              <w:rPr>
                <w:sz w:val="20"/>
              </w:rPr>
              <w:t>с</w:t>
            </w:r>
            <w:r>
              <w:rPr>
                <w:spacing w:val="-9"/>
                <w:sz w:val="20"/>
              </w:rPr>
              <w:t> </w:t>
            </w:r>
            <w:r>
              <w:rPr>
                <w:sz w:val="20"/>
              </w:rPr>
              <w:t>использованием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7"/>
        <w:gridCol w:w="3288"/>
        <w:gridCol w:w="1456"/>
        <w:gridCol w:w="3704"/>
      </w:tblGrid>
      <w:tr>
        <w:trPr>
          <w:trHeight w:val="1010" w:hRule="atLeast"/>
        </w:trPr>
        <w:tc>
          <w:tcPr>
            <w:tcW w:w="2097" w:type="dxa"/>
          </w:tcPr>
          <w:p>
            <w:pPr>
              <w:pStyle w:val="TableParagraph"/>
              <w:rPr>
                <w:sz w:val="18"/>
              </w:rPr>
            </w:pPr>
          </w:p>
        </w:tc>
        <w:tc>
          <w:tcPr>
            <w:tcW w:w="3288" w:type="dxa"/>
          </w:tcPr>
          <w:p>
            <w:pPr>
              <w:pStyle w:val="TableParagraph"/>
              <w:spacing w:line="249" w:lineRule="auto"/>
              <w:ind w:left="70" w:right="58"/>
              <w:rPr>
                <w:sz w:val="20"/>
              </w:rPr>
            </w:pPr>
            <w:r>
              <w:rPr>
                <w:sz w:val="20"/>
              </w:rPr>
              <w:t>или</w:t>
            </w:r>
            <w:r>
              <w:rPr>
                <w:spacing w:val="-12"/>
                <w:sz w:val="20"/>
              </w:rPr>
              <w:t> </w:t>
            </w:r>
            <w:r>
              <w:rPr>
                <w:sz w:val="20"/>
              </w:rPr>
              <w:t>контактным</w:t>
            </w:r>
            <w:r>
              <w:rPr>
                <w:spacing w:val="-10"/>
                <w:sz w:val="20"/>
              </w:rPr>
              <w:t> </w:t>
            </w:r>
            <w:r>
              <w:rPr>
                <w:sz w:val="20"/>
              </w:rPr>
              <w:t>путем</w:t>
            </w:r>
            <w:r>
              <w:rPr>
                <w:spacing w:val="-10"/>
                <w:sz w:val="20"/>
              </w:rPr>
              <w:t> </w:t>
            </w:r>
            <w:r>
              <w:rPr>
                <w:sz w:val="20"/>
              </w:rPr>
              <w:t>в</w:t>
            </w:r>
            <w:r>
              <w:rPr>
                <w:spacing w:val="-12"/>
                <w:sz w:val="20"/>
              </w:rPr>
              <w:t> </w:t>
            </w:r>
            <w:r>
              <w:rPr>
                <w:sz w:val="20"/>
              </w:rPr>
              <w:t>результате воздействия опухоли спинного мозга, спинномозговых нервов, конского хвоста и их оболочек</w:t>
            </w:r>
          </w:p>
        </w:tc>
        <w:tc>
          <w:tcPr>
            <w:tcW w:w="1456" w:type="dxa"/>
          </w:tcPr>
          <w:p>
            <w:pPr>
              <w:pStyle w:val="TableParagraph"/>
              <w:rPr>
                <w:sz w:val="18"/>
              </w:rPr>
            </w:pPr>
          </w:p>
        </w:tc>
        <w:tc>
          <w:tcPr>
            <w:tcW w:w="3704" w:type="dxa"/>
          </w:tcPr>
          <w:p>
            <w:pPr>
              <w:pStyle w:val="TableParagraph"/>
              <w:spacing w:line="249" w:lineRule="auto"/>
              <w:ind w:left="108" w:right="18"/>
              <w:rPr>
                <w:sz w:val="20"/>
              </w:rPr>
            </w:pPr>
            <w:r>
              <w:rPr>
                <w:sz w:val="20"/>
              </w:rPr>
              <w:t>погружных имплантатов и </w:t>
            </w:r>
            <w:r>
              <w:rPr>
                <w:spacing w:val="-2"/>
                <w:sz w:val="20"/>
              </w:rPr>
              <w:t>спондилосинтезом стабилизирующими системами</w:t>
            </w:r>
          </w:p>
        </w:tc>
      </w:tr>
      <w:tr>
        <w:trPr>
          <w:trHeight w:val="3000" w:hRule="atLeast"/>
        </w:trPr>
        <w:tc>
          <w:tcPr>
            <w:tcW w:w="2097" w:type="dxa"/>
          </w:tcPr>
          <w:p>
            <w:pPr>
              <w:pStyle w:val="TableParagraph"/>
              <w:spacing w:line="249" w:lineRule="auto" w:before="60"/>
              <w:ind w:left="50" w:right="68" w:hanging="1"/>
              <w:jc w:val="center"/>
              <w:rPr>
                <w:sz w:val="20"/>
              </w:rPr>
            </w:pPr>
            <w:r>
              <w:rPr>
                <w:sz w:val="20"/>
              </w:rPr>
              <w:t>G95.1, G95.2, G95.8, G95.9,</w:t>
            </w:r>
            <w:r>
              <w:rPr>
                <w:spacing w:val="-13"/>
                <w:sz w:val="20"/>
              </w:rPr>
              <w:t> </w:t>
            </w:r>
            <w:r>
              <w:rPr>
                <w:sz w:val="20"/>
              </w:rPr>
              <w:t>M42,</w:t>
            </w:r>
            <w:r>
              <w:rPr>
                <w:spacing w:val="-12"/>
                <w:sz w:val="20"/>
              </w:rPr>
              <w:t> </w:t>
            </w:r>
            <w:r>
              <w:rPr>
                <w:sz w:val="20"/>
              </w:rPr>
              <w:t>M43,</w:t>
            </w:r>
            <w:r>
              <w:rPr>
                <w:spacing w:val="-13"/>
                <w:sz w:val="20"/>
              </w:rPr>
              <w:t> </w:t>
            </w:r>
            <w:r>
              <w:rPr>
                <w:sz w:val="20"/>
              </w:rPr>
              <w:t>M45, M46, M48, M50, M51, M53, M92, M93, M95, G95.1, G95.2, G95.8, G95.9, Q76.2</w:t>
            </w:r>
          </w:p>
        </w:tc>
        <w:tc>
          <w:tcPr>
            <w:tcW w:w="3288" w:type="dxa"/>
          </w:tcPr>
          <w:p>
            <w:pPr>
              <w:pStyle w:val="TableParagraph"/>
              <w:spacing w:line="249" w:lineRule="auto" w:before="60"/>
              <w:ind w:left="70" w:right="58"/>
              <w:rPr>
                <w:sz w:val="20"/>
              </w:rPr>
            </w:pPr>
            <w:r>
              <w:rPr>
                <w:spacing w:val="-2"/>
                <w:sz w:val="20"/>
              </w:rPr>
              <w:t>дегенеративно-дистрофическое </w:t>
            </w:r>
            <w:r>
              <w:rPr>
                <w:sz w:val="20"/>
              </w:rPr>
              <w:t>поражение</w:t>
            </w:r>
            <w:r>
              <w:rPr>
                <w:spacing w:val="-13"/>
                <w:sz w:val="20"/>
              </w:rPr>
              <w:t> </w:t>
            </w:r>
            <w:r>
              <w:rPr>
                <w:sz w:val="20"/>
              </w:rPr>
              <w:t>межпозвонковых</w:t>
            </w:r>
            <w:r>
              <w:rPr>
                <w:spacing w:val="-12"/>
                <w:sz w:val="20"/>
              </w:rPr>
              <w:t> </w:t>
            </w:r>
            <w:r>
              <w:rPr>
                <w:sz w:val="20"/>
              </w:rPr>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w:t>
            </w:r>
            <w:r>
              <w:rPr>
                <w:spacing w:val="-3"/>
                <w:sz w:val="20"/>
              </w:rPr>
              <w:t> </w:t>
            </w:r>
            <w:r>
              <w:rPr>
                <w:sz w:val="20"/>
              </w:rPr>
              <w:t>позвоночного</w:t>
            </w:r>
            <w:r>
              <w:rPr>
                <w:spacing w:val="-3"/>
                <w:sz w:val="20"/>
              </w:rPr>
              <w:t> </w:t>
            </w:r>
            <w:r>
              <w:rPr>
                <w:sz w:val="20"/>
              </w:rPr>
              <w:t>канала</w:t>
            </w:r>
            <w:r>
              <w:rPr>
                <w:spacing w:val="-4"/>
                <w:sz w:val="20"/>
              </w:rPr>
              <w:t> </w:t>
            </w:r>
            <w:r>
              <w:rPr>
                <w:sz w:val="20"/>
              </w:rPr>
              <w:t>и</w:t>
            </w:r>
            <w:r>
              <w:rPr>
                <w:spacing w:val="-5"/>
                <w:sz w:val="20"/>
              </w:rPr>
              <w:t> </w:t>
            </w:r>
            <w:r>
              <w:rPr>
                <w:sz w:val="20"/>
              </w:rPr>
              <w:t>его </w:t>
            </w:r>
            <w:r>
              <w:rPr>
                <w:spacing w:val="-2"/>
                <w:sz w:val="20"/>
              </w:rPr>
              <w:t>карманов</w:t>
            </w:r>
          </w:p>
        </w:tc>
        <w:tc>
          <w:tcPr>
            <w:tcW w:w="1456" w:type="dxa"/>
          </w:tcPr>
          <w:p>
            <w:pPr>
              <w:pStyle w:val="TableParagraph"/>
              <w:spacing w:line="249" w:lineRule="auto" w:before="60"/>
              <w:ind w:left="90"/>
              <w:rPr>
                <w:sz w:val="20"/>
              </w:rPr>
            </w:pPr>
            <w:r>
              <w:rPr>
                <w:spacing w:val="-2"/>
                <w:sz w:val="20"/>
              </w:rPr>
              <w:t>хирургическое лечение</w:t>
            </w:r>
          </w:p>
        </w:tc>
        <w:tc>
          <w:tcPr>
            <w:tcW w:w="3704" w:type="dxa"/>
          </w:tcPr>
          <w:p>
            <w:pPr>
              <w:pStyle w:val="TableParagraph"/>
              <w:spacing w:line="249" w:lineRule="auto" w:before="60"/>
              <w:ind w:left="108" w:right="18"/>
              <w:rPr>
                <w:sz w:val="20"/>
              </w:rPr>
            </w:pPr>
            <w:r>
              <w:rPr>
                <w:spacing w:val="-2"/>
                <w:sz w:val="20"/>
              </w:rPr>
              <w:t>декомпрессивно-стабилизирующее </w:t>
            </w:r>
            <w:r>
              <w:rPr>
                <w:sz w:val="20"/>
              </w:rPr>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 и стабилизирующих систем (ригидных или динамических) при помощи микроскопа,</w:t>
            </w:r>
            <w:r>
              <w:rPr>
                <w:spacing w:val="-6"/>
                <w:sz w:val="20"/>
              </w:rPr>
              <w:t> </w:t>
            </w:r>
            <w:r>
              <w:rPr>
                <w:sz w:val="20"/>
              </w:rPr>
              <w:t>эндоскопической</w:t>
            </w:r>
            <w:r>
              <w:rPr>
                <w:spacing w:val="-7"/>
                <w:sz w:val="20"/>
              </w:rPr>
              <w:t> </w:t>
            </w:r>
            <w:r>
              <w:rPr>
                <w:sz w:val="20"/>
              </w:rPr>
              <w:t>техники</w:t>
            </w:r>
            <w:r>
              <w:rPr>
                <w:spacing w:val="-6"/>
                <w:sz w:val="20"/>
              </w:rPr>
              <w:t> </w:t>
            </w:r>
            <w:r>
              <w:rPr>
                <w:sz w:val="20"/>
              </w:rPr>
              <w:t>и малоинвазивного инструментария</w:t>
            </w:r>
          </w:p>
        </w:tc>
      </w:tr>
      <w:tr>
        <w:trPr>
          <w:trHeight w:val="2760" w:hRule="atLeast"/>
        </w:trPr>
        <w:tc>
          <w:tcPr>
            <w:tcW w:w="2097" w:type="dxa"/>
          </w:tcPr>
          <w:p>
            <w:pPr>
              <w:pStyle w:val="TableParagraph"/>
              <w:rPr>
                <w:sz w:val="18"/>
              </w:rPr>
            </w:pPr>
          </w:p>
        </w:tc>
        <w:tc>
          <w:tcPr>
            <w:tcW w:w="3288" w:type="dxa"/>
          </w:tcPr>
          <w:p>
            <w:pPr>
              <w:pStyle w:val="TableParagraph"/>
              <w:rPr>
                <w:sz w:val="18"/>
              </w:rPr>
            </w:pPr>
          </w:p>
        </w:tc>
        <w:tc>
          <w:tcPr>
            <w:tcW w:w="1456" w:type="dxa"/>
          </w:tcPr>
          <w:p>
            <w:pPr>
              <w:pStyle w:val="TableParagraph"/>
              <w:rPr>
                <w:sz w:val="18"/>
              </w:rPr>
            </w:pPr>
          </w:p>
        </w:tc>
        <w:tc>
          <w:tcPr>
            <w:tcW w:w="3704" w:type="dxa"/>
          </w:tcPr>
          <w:p>
            <w:pPr>
              <w:pStyle w:val="TableParagraph"/>
              <w:spacing w:line="249" w:lineRule="auto" w:before="60"/>
              <w:ind w:left="108" w:right="18"/>
              <w:rPr>
                <w:sz w:val="20"/>
              </w:rPr>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w:t>
            </w:r>
            <w:r>
              <w:rPr>
                <w:spacing w:val="-2"/>
                <w:sz w:val="20"/>
              </w:rPr>
              <w:t> </w:t>
            </w:r>
            <w:r>
              <w:rPr>
                <w:sz w:val="20"/>
              </w:rPr>
              <w:t>доступа, с</w:t>
            </w:r>
            <w:r>
              <w:rPr>
                <w:spacing w:val="-3"/>
                <w:sz w:val="20"/>
              </w:rPr>
              <w:t> </w:t>
            </w:r>
            <w:r>
              <w:rPr>
                <w:sz w:val="20"/>
              </w:rPr>
              <w:t>фиксацией позвоночника,</w:t>
            </w:r>
            <w:r>
              <w:rPr>
                <w:spacing w:val="-13"/>
                <w:sz w:val="20"/>
              </w:rPr>
              <w:t> </w:t>
            </w:r>
            <w:r>
              <w:rPr>
                <w:sz w:val="20"/>
              </w:rPr>
              <w:t>с</w:t>
            </w:r>
            <w:r>
              <w:rPr>
                <w:spacing w:val="-12"/>
                <w:sz w:val="20"/>
              </w:rPr>
              <w:t> </w:t>
            </w:r>
            <w:r>
              <w:rPr>
                <w:sz w:val="20"/>
              </w:rPr>
              <w:t>использованием</w:t>
            </w:r>
            <w:r>
              <w:rPr>
                <w:spacing w:val="-13"/>
                <w:sz w:val="20"/>
              </w:rPr>
              <w:t> </w:t>
            </w:r>
            <w:r>
              <w:rPr>
                <w:sz w:val="20"/>
              </w:rPr>
              <w:t>костной пластики (спондилодеза), погружных имплантатов</w:t>
            </w:r>
            <w:r>
              <w:rPr>
                <w:spacing w:val="-3"/>
                <w:sz w:val="20"/>
              </w:rPr>
              <w:t> </w:t>
            </w:r>
            <w:r>
              <w:rPr>
                <w:sz w:val="20"/>
              </w:rPr>
              <w:t>и</w:t>
            </w:r>
            <w:r>
              <w:rPr>
                <w:spacing w:val="-3"/>
                <w:sz w:val="20"/>
              </w:rPr>
              <w:t> </w:t>
            </w:r>
            <w:r>
              <w:rPr>
                <w:sz w:val="20"/>
              </w:rPr>
              <w:t>стабилизирующих</w:t>
            </w:r>
            <w:r>
              <w:rPr>
                <w:spacing w:val="-3"/>
                <w:sz w:val="20"/>
              </w:rPr>
              <w:t> </w:t>
            </w:r>
            <w:r>
              <w:rPr>
                <w:sz w:val="20"/>
              </w:rPr>
              <w:t>систем при помощи микроскопа, эндоскопической техники и малоинвазивного инструментария</w:t>
            </w:r>
          </w:p>
        </w:tc>
      </w:tr>
      <w:tr>
        <w:trPr>
          <w:trHeight w:val="1010" w:hRule="atLeast"/>
        </w:trPr>
        <w:tc>
          <w:tcPr>
            <w:tcW w:w="2097" w:type="dxa"/>
          </w:tcPr>
          <w:p>
            <w:pPr>
              <w:pStyle w:val="TableParagraph"/>
              <w:spacing w:before="60"/>
              <w:ind w:left="172"/>
              <w:jc w:val="both"/>
              <w:rPr>
                <w:sz w:val="20"/>
              </w:rPr>
            </w:pPr>
            <w:r>
              <w:rPr>
                <w:sz w:val="20"/>
              </w:rPr>
              <w:t>G95.1,</w:t>
            </w:r>
            <w:r>
              <w:rPr>
                <w:spacing w:val="-4"/>
                <w:sz w:val="20"/>
              </w:rPr>
              <w:t> </w:t>
            </w:r>
            <w:r>
              <w:rPr>
                <w:sz w:val="20"/>
              </w:rPr>
              <w:t>G95.2,</w:t>
            </w:r>
            <w:r>
              <w:rPr>
                <w:spacing w:val="-5"/>
                <w:sz w:val="20"/>
              </w:rPr>
              <w:t> </w:t>
            </w:r>
            <w:r>
              <w:rPr>
                <w:spacing w:val="-2"/>
                <w:sz w:val="20"/>
              </w:rPr>
              <w:t>G95.8,</w:t>
            </w:r>
          </w:p>
          <w:p>
            <w:pPr>
              <w:pStyle w:val="TableParagraph"/>
              <w:spacing w:line="240" w:lineRule="atLeast"/>
              <w:ind w:left="93" w:right="107" w:firstLine="96"/>
              <w:jc w:val="both"/>
              <w:rPr>
                <w:sz w:val="20"/>
              </w:rPr>
            </w:pPr>
            <w:r>
              <w:rPr>
                <w:sz w:val="20"/>
              </w:rPr>
              <w:t>G95.9, A18.0, S12.0, S12.1, S13, S14, S19, S22.0,</w:t>
            </w:r>
            <w:r>
              <w:rPr>
                <w:spacing w:val="-5"/>
                <w:sz w:val="20"/>
              </w:rPr>
              <w:t> </w:t>
            </w:r>
            <w:r>
              <w:rPr>
                <w:sz w:val="20"/>
              </w:rPr>
              <w:t>S22.1,</w:t>
            </w:r>
            <w:r>
              <w:rPr>
                <w:spacing w:val="-5"/>
                <w:sz w:val="20"/>
              </w:rPr>
              <w:t> </w:t>
            </w:r>
            <w:r>
              <w:rPr>
                <w:sz w:val="20"/>
              </w:rPr>
              <w:t>S23,</w:t>
            </w:r>
            <w:r>
              <w:rPr>
                <w:spacing w:val="-4"/>
                <w:sz w:val="20"/>
              </w:rPr>
              <w:t> </w:t>
            </w:r>
            <w:r>
              <w:rPr>
                <w:spacing w:val="-4"/>
                <w:sz w:val="20"/>
              </w:rPr>
              <w:t>S24,</w:t>
            </w:r>
          </w:p>
        </w:tc>
        <w:tc>
          <w:tcPr>
            <w:tcW w:w="3288" w:type="dxa"/>
          </w:tcPr>
          <w:p>
            <w:pPr>
              <w:pStyle w:val="TableParagraph"/>
              <w:spacing w:line="240" w:lineRule="atLeast" w:before="30"/>
              <w:ind w:left="70" w:right="58"/>
              <w:rPr>
                <w:sz w:val="20"/>
              </w:rPr>
            </w:pPr>
            <w:r>
              <w:rPr>
                <w:sz w:val="20"/>
              </w:rPr>
              <w:t>переломы позвонков, повреждения (разрыв) межпозвонковых дисков и связок позвоночника, деформации позвоночного</w:t>
            </w:r>
            <w:r>
              <w:rPr>
                <w:spacing w:val="-13"/>
                <w:sz w:val="20"/>
              </w:rPr>
              <w:t> </w:t>
            </w:r>
            <w:r>
              <w:rPr>
                <w:sz w:val="20"/>
              </w:rPr>
              <w:t>столба</w:t>
            </w:r>
            <w:r>
              <w:rPr>
                <w:spacing w:val="-12"/>
                <w:sz w:val="20"/>
              </w:rPr>
              <w:t> </w:t>
            </w:r>
            <w:r>
              <w:rPr>
                <w:sz w:val="20"/>
              </w:rPr>
              <w:t>вследствие</w:t>
            </w:r>
            <w:r>
              <w:rPr>
                <w:spacing w:val="-13"/>
                <w:sz w:val="20"/>
              </w:rPr>
              <w:t> </w:t>
            </w:r>
            <w:r>
              <w:rPr>
                <w:sz w:val="20"/>
              </w:rPr>
              <w:t>его</w:t>
            </w:r>
          </w:p>
        </w:tc>
        <w:tc>
          <w:tcPr>
            <w:tcW w:w="1456" w:type="dxa"/>
          </w:tcPr>
          <w:p>
            <w:pPr>
              <w:pStyle w:val="TableParagraph"/>
              <w:spacing w:line="249" w:lineRule="auto" w:before="60"/>
              <w:ind w:left="90"/>
              <w:rPr>
                <w:sz w:val="20"/>
              </w:rPr>
            </w:pPr>
            <w:r>
              <w:rPr>
                <w:spacing w:val="-2"/>
                <w:sz w:val="20"/>
              </w:rPr>
              <w:t>хирургическое лечение</w:t>
            </w:r>
          </w:p>
        </w:tc>
        <w:tc>
          <w:tcPr>
            <w:tcW w:w="3704" w:type="dxa"/>
          </w:tcPr>
          <w:p>
            <w:pPr>
              <w:pStyle w:val="TableParagraph"/>
              <w:spacing w:line="240" w:lineRule="atLeast" w:before="30"/>
              <w:ind w:left="108" w:right="18"/>
              <w:rPr>
                <w:sz w:val="20"/>
              </w:rPr>
            </w:pPr>
            <w:r>
              <w:rPr>
                <w:spacing w:val="-2"/>
                <w:sz w:val="20"/>
              </w:rPr>
              <w:t>декомпрессивно-стабилизирующее </w:t>
            </w:r>
            <w:r>
              <w:rPr>
                <w:sz w:val="20"/>
              </w:rPr>
              <w:t>вмешательство</w:t>
            </w:r>
            <w:r>
              <w:rPr>
                <w:spacing w:val="-13"/>
                <w:sz w:val="20"/>
              </w:rPr>
              <w:t> </w:t>
            </w:r>
            <w:r>
              <w:rPr>
                <w:sz w:val="20"/>
              </w:rPr>
              <w:t>с</w:t>
            </w:r>
            <w:r>
              <w:rPr>
                <w:spacing w:val="-12"/>
                <w:sz w:val="20"/>
              </w:rPr>
              <w:t> </w:t>
            </w:r>
            <w:r>
              <w:rPr>
                <w:sz w:val="20"/>
              </w:rPr>
              <w:t>резекцией</w:t>
            </w:r>
            <w:r>
              <w:rPr>
                <w:spacing w:val="-13"/>
                <w:sz w:val="20"/>
              </w:rPr>
              <w:t> </w:t>
            </w:r>
            <w:r>
              <w:rPr>
                <w:sz w:val="20"/>
              </w:rPr>
              <w:t>позвонка, межпозвонкового диска, связочных элементов сегмента позвоночника из</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031"/>
        <w:gridCol w:w="1895"/>
        <w:gridCol w:w="3265"/>
        <w:gridCol w:w="1498"/>
        <w:gridCol w:w="3899"/>
        <w:gridCol w:w="1054"/>
      </w:tblGrid>
      <w:tr>
        <w:trPr>
          <w:trHeight w:val="1250" w:hRule="atLeast"/>
        </w:trPr>
        <w:tc>
          <w:tcPr>
            <w:tcW w:w="5384" w:type="dxa"/>
            <w:gridSpan w:val="3"/>
            <w:vMerge w:val="restart"/>
          </w:tcPr>
          <w:p>
            <w:pPr>
              <w:pStyle w:val="TableParagraph"/>
              <w:spacing w:line="249" w:lineRule="auto"/>
              <w:ind w:left="3400" w:right="86"/>
              <w:jc w:val="center"/>
              <w:rPr>
                <w:sz w:val="20"/>
              </w:rPr>
            </w:pPr>
            <w:r>
              <w:rPr>
                <w:sz w:val="20"/>
              </w:rPr>
              <w:t>S32.0,</w:t>
            </w:r>
            <w:r>
              <w:rPr>
                <w:spacing w:val="-13"/>
                <w:sz w:val="20"/>
              </w:rPr>
              <w:t> </w:t>
            </w:r>
            <w:r>
              <w:rPr>
                <w:sz w:val="20"/>
              </w:rPr>
              <w:t>S32.1,</w:t>
            </w:r>
            <w:r>
              <w:rPr>
                <w:spacing w:val="-12"/>
                <w:sz w:val="20"/>
              </w:rPr>
              <w:t> </w:t>
            </w:r>
            <w:r>
              <w:rPr>
                <w:sz w:val="20"/>
              </w:rPr>
              <w:t>S33,</w:t>
            </w:r>
            <w:r>
              <w:rPr>
                <w:spacing w:val="-13"/>
                <w:sz w:val="20"/>
              </w:rPr>
              <w:t> </w:t>
            </w:r>
            <w:r>
              <w:rPr>
                <w:sz w:val="20"/>
              </w:rPr>
              <w:t>S34, T08, T09, T85, T91, M80,M81, M82, M86, M85,</w:t>
            </w:r>
            <w:r>
              <w:rPr>
                <w:spacing w:val="-1"/>
                <w:sz w:val="20"/>
              </w:rPr>
              <w:t> </w:t>
            </w:r>
            <w:r>
              <w:rPr>
                <w:sz w:val="20"/>
              </w:rPr>
              <w:t>M87,</w:t>
            </w:r>
            <w:r>
              <w:rPr>
                <w:spacing w:val="-1"/>
                <w:sz w:val="20"/>
              </w:rPr>
              <w:t> </w:t>
            </w:r>
            <w:r>
              <w:rPr>
                <w:sz w:val="20"/>
              </w:rPr>
              <w:t>M96,</w:t>
            </w:r>
            <w:r>
              <w:rPr>
                <w:spacing w:val="-3"/>
                <w:sz w:val="20"/>
              </w:rPr>
              <w:t> </w:t>
            </w:r>
            <w:r>
              <w:rPr>
                <w:sz w:val="20"/>
              </w:rPr>
              <w:t>M99, Q67, Q76.0, Q76.1, Q76.4, Q77, Q76.3</w:t>
            </w:r>
          </w:p>
        </w:tc>
        <w:tc>
          <w:tcPr>
            <w:tcW w:w="3265" w:type="dxa"/>
          </w:tcPr>
          <w:p>
            <w:pPr>
              <w:pStyle w:val="TableParagraph"/>
              <w:spacing w:line="249" w:lineRule="auto"/>
              <w:ind w:left="90"/>
              <w:rPr>
                <w:sz w:val="20"/>
              </w:rPr>
            </w:pPr>
            <w:r>
              <w:rPr>
                <w:sz w:val="20"/>
              </w:rPr>
              <w:t>врожденной</w:t>
            </w:r>
            <w:r>
              <w:rPr>
                <w:spacing w:val="-13"/>
                <w:sz w:val="20"/>
              </w:rPr>
              <w:t> </w:t>
            </w:r>
            <w:r>
              <w:rPr>
                <w:sz w:val="20"/>
              </w:rPr>
              <w:t>патологии</w:t>
            </w:r>
            <w:r>
              <w:rPr>
                <w:spacing w:val="-12"/>
                <w:sz w:val="20"/>
              </w:rPr>
              <w:t> </w:t>
            </w:r>
            <w:r>
              <w:rPr>
                <w:sz w:val="20"/>
              </w:rPr>
              <w:t>или </w:t>
            </w:r>
            <w:r>
              <w:rPr>
                <w:w w:val="95"/>
                <w:sz w:val="20"/>
              </w:rPr>
              <w:t>перенесенных</w:t>
            </w:r>
            <w:r>
              <w:rPr>
                <w:spacing w:val="46"/>
                <w:sz w:val="20"/>
              </w:rPr>
              <w:t> </w:t>
            </w:r>
            <w:r>
              <w:rPr>
                <w:spacing w:val="-2"/>
                <w:sz w:val="20"/>
              </w:rPr>
              <w:t>заболеваний</w:t>
            </w:r>
          </w:p>
        </w:tc>
        <w:tc>
          <w:tcPr>
            <w:tcW w:w="1498" w:type="dxa"/>
          </w:tcPr>
          <w:p>
            <w:pPr>
              <w:pStyle w:val="TableParagraph"/>
              <w:rPr>
                <w:sz w:val="18"/>
              </w:rPr>
            </w:pPr>
          </w:p>
        </w:tc>
        <w:tc>
          <w:tcPr>
            <w:tcW w:w="3899" w:type="dxa"/>
          </w:tcPr>
          <w:p>
            <w:pPr>
              <w:pStyle w:val="TableParagraph"/>
              <w:spacing w:line="249" w:lineRule="auto"/>
              <w:ind w:left="109" w:right="812"/>
              <w:rPr>
                <w:sz w:val="20"/>
              </w:rPr>
            </w:pPr>
            <w:r>
              <w:rPr>
                <w:sz w:val="20"/>
              </w:rPr>
              <w:t>вентрального</w:t>
            </w:r>
            <w:r>
              <w:rPr>
                <w:spacing w:val="-13"/>
                <w:sz w:val="20"/>
              </w:rPr>
              <w:t> </w:t>
            </w:r>
            <w:r>
              <w:rPr>
                <w:sz w:val="20"/>
              </w:rPr>
              <w:t>или</w:t>
            </w:r>
            <w:r>
              <w:rPr>
                <w:spacing w:val="-12"/>
                <w:sz w:val="20"/>
              </w:rPr>
              <w:t> </w:t>
            </w:r>
            <w:r>
              <w:rPr>
                <w:sz w:val="20"/>
              </w:rPr>
              <w:t>заднего</w:t>
            </w:r>
            <w:r>
              <w:rPr>
                <w:spacing w:val="-13"/>
                <w:sz w:val="20"/>
              </w:rPr>
              <w:t> </w:t>
            </w:r>
            <w:r>
              <w:rPr>
                <w:sz w:val="20"/>
              </w:rPr>
              <w:t>доступа, </w:t>
            </w:r>
            <w:r>
              <w:rPr>
                <w:spacing w:val="-2"/>
                <w:sz w:val="20"/>
              </w:rPr>
              <w:t>репозиционно-стабилизирующий </w:t>
            </w:r>
            <w:r>
              <w:rPr>
                <w:sz w:val="20"/>
              </w:rPr>
              <w:t>спондилосинтез</w:t>
            </w:r>
            <w:r>
              <w:rPr>
                <w:spacing w:val="-3"/>
                <w:sz w:val="20"/>
              </w:rPr>
              <w:t> </w:t>
            </w:r>
            <w:r>
              <w:rPr>
                <w:sz w:val="20"/>
              </w:rPr>
              <w:t>с</w:t>
            </w:r>
            <w:r>
              <w:rPr>
                <w:spacing w:val="-3"/>
                <w:sz w:val="20"/>
              </w:rPr>
              <w:t> </w:t>
            </w:r>
            <w:r>
              <w:rPr>
                <w:sz w:val="20"/>
              </w:rPr>
              <w:t>использованием костной пластики (спондилодеза), погружных имплантатов</w:t>
            </w:r>
          </w:p>
        </w:tc>
        <w:tc>
          <w:tcPr>
            <w:tcW w:w="1054" w:type="dxa"/>
          </w:tcPr>
          <w:p>
            <w:pPr>
              <w:pStyle w:val="TableParagraph"/>
              <w:rPr>
                <w:sz w:val="18"/>
              </w:rPr>
            </w:pPr>
          </w:p>
        </w:tc>
      </w:tr>
      <w:tr>
        <w:trPr>
          <w:trHeight w:val="2520" w:hRule="atLeast"/>
        </w:trPr>
        <w:tc>
          <w:tcPr>
            <w:tcW w:w="5384" w:type="dxa"/>
            <w:gridSpan w:val="3"/>
            <w:vMerge/>
            <w:tcBorders>
              <w:top w:val="nil"/>
            </w:tcBorders>
          </w:tcPr>
          <w:p>
            <w:pPr>
              <w:rPr>
                <w:sz w:val="2"/>
                <w:szCs w:val="2"/>
              </w:rPr>
            </w:pPr>
          </w:p>
        </w:tc>
        <w:tc>
          <w:tcPr>
            <w:tcW w:w="3265" w:type="dxa"/>
          </w:tcPr>
          <w:p>
            <w:pPr>
              <w:pStyle w:val="TableParagraph"/>
              <w:rPr>
                <w:sz w:val="18"/>
              </w:rPr>
            </w:pPr>
          </w:p>
        </w:tc>
        <w:tc>
          <w:tcPr>
            <w:tcW w:w="1498" w:type="dxa"/>
          </w:tcPr>
          <w:p>
            <w:pPr>
              <w:pStyle w:val="TableParagraph"/>
              <w:rPr>
                <w:sz w:val="18"/>
              </w:rPr>
            </w:pPr>
          </w:p>
        </w:tc>
        <w:tc>
          <w:tcPr>
            <w:tcW w:w="3899" w:type="dxa"/>
          </w:tcPr>
          <w:p>
            <w:pPr>
              <w:pStyle w:val="TableParagraph"/>
              <w:spacing w:line="249" w:lineRule="auto" w:before="60"/>
              <w:ind w:left="109" w:right="209"/>
              <w:rPr>
                <w:sz w:val="20"/>
              </w:rPr>
            </w:pPr>
            <w:r>
              <w:rPr>
                <w:sz w:val="20"/>
              </w:rPr>
              <w:t>двух-</w:t>
            </w:r>
            <w:r>
              <w:rPr>
                <w:spacing w:val="-13"/>
                <w:sz w:val="20"/>
              </w:rPr>
              <w:t> </w:t>
            </w:r>
            <w:r>
              <w:rPr>
                <w:sz w:val="20"/>
              </w:rPr>
              <w:t>и</w:t>
            </w:r>
            <w:r>
              <w:rPr>
                <w:spacing w:val="-12"/>
                <w:sz w:val="20"/>
              </w:rPr>
              <w:t> </w:t>
            </w:r>
            <w:r>
              <w:rPr>
                <w:sz w:val="20"/>
              </w:rPr>
              <w:t>многоэтапное</w:t>
            </w:r>
            <w:r>
              <w:rPr>
                <w:spacing w:val="-13"/>
                <w:sz w:val="20"/>
              </w:rPr>
              <w:t> </w:t>
            </w:r>
            <w:r>
              <w:rPr>
                <w:sz w:val="20"/>
              </w:rPr>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 стабилизирующий спондилосинтез</w:t>
            </w:r>
          </w:p>
          <w:p>
            <w:pPr>
              <w:pStyle w:val="TableParagraph"/>
              <w:spacing w:line="252" w:lineRule="auto" w:before="7"/>
              <w:ind w:left="109" w:right="209"/>
              <w:rPr>
                <w:sz w:val="20"/>
              </w:rPr>
            </w:pPr>
            <w:r>
              <w:rPr>
                <w:sz w:val="20"/>
              </w:rPr>
              <w:t>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w:t>
            </w:r>
          </w:p>
        </w:tc>
        <w:tc>
          <w:tcPr>
            <w:tcW w:w="1054" w:type="dxa"/>
          </w:tcPr>
          <w:p>
            <w:pPr>
              <w:pStyle w:val="TableParagraph"/>
              <w:rPr>
                <w:sz w:val="18"/>
              </w:rPr>
            </w:pPr>
          </w:p>
        </w:tc>
      </w:tr>
      <w:tr>
        <w:trPr>
          <w:trHeight w:val="1080" w:hRule="atLeast"/>
        </w:trPr>
        <w:tc>
          <w:tcPr>
            <w:tcW w:w="458" w:type="dxa"/>
          </w:tcPr>
          <w:p>
            <w:pPr>
              <w:pStyle w:val="TableParagraph"/>
              <w:rPr>
                <w:sz w:val="18"/>
              </w:rPr>
            </w:pPr>
          </w:p>
        </w:tc>
        <w:tc>
          <w:tcPr>
            <w:tcW w:w="3031" w:type="dxa"/>
          </w:tcPr>
          <w:p>
            <w:pPr>
              <w:pStyle w:val="TableParagraph"/>
              <w:spacing w:line="249" w:lineRule="auto" w:before="60"/>
              <w:ind w:left="155" w:right="295"/>
              <w:rPr>
                <w:sz w:val="20"/>
              </w:rPr>
            </w:pPr>
            <w:r>
              <w:rPr>
                <w:spacing w:val="-2"/>
                <w:sz w:val="20"/>
              </w:rPr>
              <w:t>Микрохирургическая </w:t>
            </w:r>
            <w:r>
              <w:rPr>
                <w:sz w:val="20"/>
              </w:rPr>
              <w:t>васкулярная декомпрессия корешков</w:t>
            </w:r>
            <w:r>
              <w:rPr>
                <w:spacing w:val="-13"/>
                <w:sz w:val="20"/>
              </w:rPr>
              <w:t> </w:t>
            </w:r>
            <w:r>
              <w:rPr>
                <w:sz w:val="20"/>
              </w:rPr>
              <w:t>черепных</w:t>
            </w:r>
            <w:r>
              <w:rPr>
                <w:spacing w:val="-12"/>
                <w:sz w:val="20"/>
              </w:rPr>
              <w:t> </w:t>
            </w:r>
            <w:r>
              <w:rPr>
                <w:sz w:val="20"/>
              </w:rPr>
              <w:t>нервов</w:t>
            </w:r>
          </w:p>
        </w:tc>
        <w:tc>
          <w:tcPr>
            <w:tcW w:w="1895" w:type="dxa"/>
          </w:tcPr>
          <w:p>
            <w:pPr>
              <w:pStyle w:val="TableParagraph"/>
              <w:spacing w:before="60"/>
              <w:ind w:left="432"/>
              <w:rPr>
                <w:sz w:val="20"/>
              </w:rPr>
            </w:pPr>
            <w:r>
              <w:rPr>
                <w:sz w:val="20"/>
              </w:rPr>
              <w:t>G50 -</w:t>
            </w:r>
            <w:r>
              <w:rPr>
                <w:spacing w:val="-4"/>
                <w:sz w:val="20"/>
              </w:rPr>
              <w:t> </w:t>
            </w:r>
            <w:r>
              <w:rPr>
                <w:spacing w:val="-5"/>
                <w:sz w:val="20"/>
              </w:rPr>
              <w:t>G53</w:t>
            </w:r>
          </w:p>
        </w:tc>
        <w:tc>
          <w:tcPr>
            <w:tcW w:w="3265" w:type="dxa"/>
          </w:tcPr>
          <w:p>
            <w:pPr>
              <w:pStyle w:val="TableParagraph"/>
              <w:spacing w:line="249" w:lineRule="auto" w:before="60"/>
              <w:ind w:left="90"/>
              <w:rPr>
                <w:sz w:val="20"/>
              </w:rPr>
            </w:pPr>
            <w:r>
              <w:rPr>
                <w:sz w:val="20"/>
              </w:rPr>
              <w:t>невралгии</w:t>
            </w:r>
            <w:r>
              <w:rPr>
                <w:spacing w:val="-13"/>
                <w:sz w:val="20"/>
              </w:rPr>
              <w:t> </w:t>
            </w:r>
            <w:r>
              <w:rPr>
                <w:sz w:val="20"/>
              </w:rPr>
              <w:t>и</w:t>
            </w:r>
            <w:r>
              <w:rPr>
                <w:spacing w:val="-12"/>
                <w:sz w:val="20"/>
              </w:rPr>
              <w:t> </w:t>
            </w:r>
            <w:r>
              <w:rPr>
                <w:sz w:val="20"/>
              </w:rPr>
              <w:t>нейропатии</w:t>
            </w:r>
            <w:r>
              <w:rPr>
                <w:spacing w:val="-13"/>
                <w:sz w:val="20"/>
              </w:rPr>
              <w:t> </w:t>
            </w:r>
            <w:r>
              <w:rPr>
                <w:sz w:val="20"/>
              </w:rPr>
              <w:t>черепных </w:t>
            </w:r>
            <w:r>
              <w:rPr>
                <w:spacing w:val="-2"/>
                <w:sz w:val="20"/>
              </w:rPr>
              <w:t>нервов</w:t>
            </w:r>
          </w:p>
        </w:tc>
        <w:tc>
          <w:tcPr>
            <w:tcW w:w="1498" w:type="dxa"/>
          </w:tcPr>
          <w:p>
            <w:pPr>
              <w:pStyle w:val="TableParagraph"/>
              <w:spacing w:line="249" w:lineRule="auto" w:before="60"/>
              <w:ind w:left="133"/>
              <w:rPr>
                <w:sz w:val="20"/>
              </w:rPr>
            </w:pPr>
            <w:r>
              <w:rPr>
                <w:spacing w:val="-2"/>
                <w:sz w:val="20"/>
              </w:rPr>
              <w:t>хирургическое лечение</w:t>
            </w:r>
          </w:p>
        </w:tc>
        <w:tc>
          <w:tcPr>
            <w:tcW w:w="3899" w:type="dxa"/>
          </w:tcPr>
          <w:p>
            <w:pPr>
              <w:pStyle w:val="TableParagraph"/>
              <w:spacing w:line="249" w:lineRule="auto" w:before="60"/>
              <w:ind w:left="109" w:right="392"/>
              <w:rPr>
                <w:sz w:val="20"/>
              </w:rPr>
            </w:pPr>
            <w:r>
              <w:rPr>
                <w:sz w:val="20"/>
              </w:rPr>
              <w:t>интракраниальная</w:t>
            </w:r>
            <w:r>
              <w:rPr>
                <w:spacing w:val="-13"/>
                <w:sz w:val="20"/>
              </w:rPr>
              <w:t> </w:t>
            </w:r>
            <w:r>
              <w:rPr>
                <w:sz w:val="20"/>
              </w:rPr>
              <w:t>микрохирургическая васкулярная декомпрессия черепных нервов, в том числе с эндоскопической </w:t>
            </w:r>
            <w:r>
              <w:rPr>
                <w:spacing w:val="-2"/>
                <w:sz w:val="20"/>
              </w:rPr>
              <w:t>ассистенцией</w:t>
            </w:r>
          </w:p>
        </w:tc>
        <w:tc>
          <w:tcPr>
            <w:tcW w:w="1054" w:type="dxa"/>
          </w:tcPr>
          <w:p>
            <w:pPr>
              <w:pStyle w:val="TableParagraph"/>
              <w:rPr>
                <w:sz w:val="18"/>
              </w:rPr>
            </w:pPr>
          </w:p>
        </w:tc>
      </w:tr>
      <w:tr>
        <w:trPr>
          <w:trHeight w:val="840" w:hRule="atLeast"/>
        </w:trPr>
        <w:tc>
          <w:tcPr>
            <w:tcW w:w="458" w:type="dxa"/>
          </w:tcPr>
          <w:p>
            <w:pPr>
              <w:pStyle w:val="TableParagraph"/>
              <w:spacing w:before="60"/>
              <w:ind w:left="50"/>
              <w:rPr>
                <w:sz w:val="20"/>
              </w:rPr>
            </w:pPr>
            <w:r>
              <w:rPr>
                <w:spacing w:val="-5"/>
                <w:sz w:val="20"/>
              </w:rPr>
              <w:t>15.</w:t>
            </w:r>
          </w:p>
        </w:tc>
        <w:tc>
          <w:tcPr>
            <w:tcW w:w="3031" w:type="dxa"/>
            <w:vMerge w:val="restart"/>
          </w:tcPr>
          <w:p>
            <w:pPr>
              <w:pStyle w:val="TableParagraph"/>
              <w:spacing w:line="249" w:lineRule="auto" w:before="60"/>
              <w:ind w:left="155" w:right="681"/>
              <w:rPr>
                <w:sz w:val="20"/>
              </w:rPr>
            </w:pPr>
            <w:r>
              <w:rPr>
                <w:spacing w:val="-2"/>
                <w:sz w:val="20"/>
              </w:rPr>
              <w:t>Микрохирургические, </w:t>
            </w:r>
            <w:r>
              <w:rPr>
                <w:sz w:val="20"/>
              </w:rPr>
              <w:t>эндоваскулярные и </w:t>
            </w:r>
            <w:r>
              <w:rPr>
                <w:spacing w:val="-2"/>
                <w:sz w:val="20"/>
              </w:rPr>
              <w:t>стереотаксические </w:t>
            </w:r>
            <w:r>
              <w:rPr>
                <w:sz w:val="20"/>
              </w:rPr>
              <w:t>вмешательства с применением</w:t>
            </w:r>
            <w:r>
              <w:rPr>
                <w:spacing w:val="-13"/>
                <w:sz w:val="20"/>
              </w:rPr>
              <w:t> </w:t>
            </w:r>
            <w:r>
              <w:rPr>
                <w:sz w:val="20"/>
              </w:rPr>
              <w:t>адгезивных клеевых композиций, </w:t>
            </w:r>
            <w:r>
              <w:rPr>
                <w:spacing w:val="-2"/>
                <w:sz w:val="20"/>
              </w:rPr>
              <w:t>микроэмболов, </w:t>
            </w:r>
            <w:r>
              <w:rPr>
                <w:sz w:val="20"/>
              </w:rPr>
              <w:t>микроспиралей (менее</w:t>
            </w:r>
          </w:p>
          <w:p>
            <w:pPr>
              <w:pStyle w:val="TableParagraph"/>
              <w:spacing w:line="240" w:lineRule="exact"/>
              <w:ind w:left="155" w:right="295"/>
              <w:rPr>
                <w:sz w:val="20"/>
              </w:rPr>
            </w:pPr>
            <w:r>
              <w:rPr>
                <w:sz w:val="20"/>
              </w:rPr>
              <w:t>5 койлов), стентов при патологии</w:t>
            </w:r>
            <w:r>
              <w:rPr>
                <w:spacing w:val="-13"/>
                <w:sz w:val="20"/>
              </w:rPr>
              <w:t> </w:t>
            </w:r>
            <w:r>
              <w:rPr>
                <w:sz w:val="20"/>
              </w:rPr>
              <w:t>сосудов</w:t>
            </w:r>
            <w:r>
              <w:rPr>
                <w:spacing w:val="-12"/>
                <w:sz w:val="20"/>
              </w:rPr>
              <w:t> </w:t>
            </w:r>
            <w:r>
              <w:rPr>
                <w:sz w:val="20"/>
              </w:rPr>
              <w:t>головного и спинного мозга, </w:t>
            </w:r>
            <w:r>
              <w:rPr>
                <w:spacing w:val="-2"/>
                <w:sz w:val="20"/>
              </w:rPr>
              <w:t>богатокровоснабжаемых</w:t>
            </w:r>
          </w:p>
        </w:tc>
        <w:tc>
          <w:tcPr>
            <w:tcW w:w="1895" w:type="dxa"/>
          </w:tcPr>
          <w:p>
            <w:pPr>
              <w:pStyle w:val="TableParagraph"/>
              <w:spacing w:before="60"/>
              <w:ind w:left="358"/>
              <w:rPr>
                <w:sz w:val="20"/>
              </w:rPr>
            </w:pPr>
            <w:r>
              <w:rPr>
                <w:sz w:val="20"/>
              </w:rPr>
              <w:t>I60,</w:t>
            </w:r>
            <w:r>
              <w:rPr>
                <w:spacing w:val="-3"/>
                <w:sz w:val="20"/>
              </w:rPr>
              <w:t> </w:t>
            </w:r>
            <w:r>
              <w:rPr>
                <w:sz w:val="20"/>
              </w:rPr>
              <w:t>I61,</w:t>
            </w:r>
            <w:r>
              <w:rPr>
                <w:spacing w:val="-4"/>
                <w:sz w:val="20"/>
              </w:rPr>
              <w:t> </w:t>
            </w:r>
            <w:r>
              <w:rPr>
                <w:spacing w:val="-5"/>
                <w:sz w:val="20"/>
              </w:rPr>
              <w:t>I62</w:t>
            </w:r>
          </w:p>
        </w:tc>
        <w:tc>
          <w:tcPr>
            <w:tcW w:w="3265" w:type="dxa"/>
            <w:vMerge w:val="restart"/>
          </w:tcPr>
          <w:p>
            <w:pPr>
              <w:pStyle w:val="TableParagraph"/>
              <w:spacing w:line="249" w:lineRule="auto" w:before="60"/>
              <w:ind w:left="90"/>
              <w:rPr>
                <w:sz w:val="20"/>
              </w:rPr>
            </w:pPr>
            <w:r>
              <w:rPr>
                <w:sz w:val="20"/>
              </w:rPr>
              <w:t>артериальная</w:t>
            </w:r>
            <w:r>
              <w:rPr>
                <w:spacing w:val="-13"/>
                <w:sz w:val="20"/>
              </w:rPr>
              <w:t> </w:t>
            </w:r>
            <w:r>
              <w:rPr>
                <w:sz w:val="20"/>
              </w:rPr>
              <w:t>аневризма</w:t>
            </w:r>
            <w:r>
              <w:rPr>
                <w:spacing w:val="-12"/>
                <w:sz w:val="20"/>
              </w:rPr>
              <w:t> </w:t>
            </w:r>
            <w:r>
              <w:rPr>
                <w:sz w:val="20"/>
              </w:rPr>
              <w:t>в</w:t>
            </w:r>
            <w:r>
              <w:rPr>
                <w:spacing w:val="-13"/>
                <w:sz w:val="20"/>
              </w:rPr>
              <w:t> </w:t>
            </w:r>
            <w:r>
              <w:rPr>
                <w:sz w:val="20"/>
              </w:rPr>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tcPr>
          <w:p>
            <w:pPr>
              <w:pStyle w:val="TableParagraph"/>
              <w:spacing w:line="249" w:lineRule="auto" w:before="60"/>
              <w:ind w:left="133"/>
              <w:rPr>
                <w:sz w:val="20"/>
              </w:rPr>
            </w:pPr>
            <w:r>
              <w:rPr>
                <w:spacing w:val="-2"/>
                <w:sz w:val="20"/>
              </w:rPr>
              <w:t>хирургическое лечение</w:t>
            </w:r>
          </w:p>
        </w:tc>
        <w:tc>
          <w:tcPr>
            <w:tcW w:w="3899" w:type="dxa"/>
          </w:tcPr>
          <w:p>
            <w:pPr>
              <w:pStyle w:val="TableParagraph"/>
              <w:spacing w:line="249" w:lineRule="auto" w:before="60"/>
              <w:ind w:left="109" w:right="514"/>
              <w:jc w:val="both"/>
              <w:rPr>
                <w:sz w:val="20"/>
              </w:rPr>
            </w:pPr>
            <w:r>
              <w:rPr>
                <w:sz w:val="20"/>
              </w:rPr>
              <w:t>микрохирургическое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нейрофизиологического </w:t>
            </w:r>
            <w:r>
              <w:rPr>
                <w:spacing w:val="-2"/>
                <w:sz w:val="20"/>
              </w:rPr>
              <w:t>мониторинга</w:t>
            </w:r>
          </w:p>
        </w:tc>
        <w:tc>
          <w:tcPr>
            <w:tcW w:w="1054" w:type="dxa"/>
          </w:tcPr>
          <w:p>
            <w:pPr>
              <w:pStyle w:val="TableParagraph"/>
              <w:spacing w:before="60"/>
              <w:ind w:left="403"/>
              <w:rPr>
                <w:sz w:val="20"/>
              </w:rPr>
            </w:pPr>
            <w:r>
              <w:rPr>
                <w:spacing w:val="-2"/>
                <w:sz w:val="20"/>
              </w:rPr>
              <w:t>441737</w:t>
            </w:r>
          </w:p>
        </w:tc>
      </w:tr>
      <w:tr>
        <w:trPr>
          <w:trHeight w:val="840" w:hRule="atLeast"/>
        </w:trPr>
        <w:tc>
          <w:tcPr>
            <w:tcW w:w="458" w:type="dxa"/>
          </w:tcPr>
          <w:p>
            <w:pPr>
              <w:pStyle w:val="TableParagraph"/>
              <w:rPr>
                <w:sz w:val="18"/>
              </w:rPr>
            </w:pPr>
          </w:p>
        </w:tc>
        <w:tc>
          <w:tcPr>
            <w:tcW w:w="3031" w:type="dxa"/>
            <w:vMerge/>
            <w:tcBorders>
              <w:top w:val="nil"/>
            </w:tcBorders>
          </w:tcPr>
          <w:p>
            <w:pPr>
              <w:rPr>
                <w:sz w:val="2"/>
                <w:szCs w:val="2"/>
              </w:rPr>
            </w:pPr>
          </w:p>
        </w:tc>
        <w:tc>
          <w:tcPr>
            <w:tcW w:w="1895" w:type="dxa"/>
          </w:tcPr>
          <w:p>
            <w:pPr>
              <w:pStyle w:val="TableParagraph"/>
              <w:rPr>
                <w:sz w:val="18"/>
              </w:rPr>
            </w:pPr>
          </w:p>
        </w:tc>
        <w:tc>
          <w:tcPr>
            <w:tcW w:w="3265" w:type="dxa"/>
            <w:vMerge/>
            <w:tcBorders>
              <w:top w:val="nil"/>
            </w:tcBorders>
          </w:tcPr>
          <w:p>
            <w:pPr>
              <w:rPr>
                <w:sz w:val="2"/>
                <w:szCs w:val="2"/>
              </w:rPr>
            </w:pPr>
          </w:p>
        </w:tc>
        <w:tc>
          <w:tcPr>
            <w:tcW w:w="1498" w:type="dxa"/>
          </w:tcPr>
          <w:p>
            <w:pPr>
              <w:pStyle w:val="TableParagraph"/>
              <w:rPr>
                <w:sz w:val="18"/>
              </w:rPr>
            </w:pPr>
          </w:p>
        </w:tc>
        <w:tc>
          <w:tcPr>
            <w:tcW w:w="3899" w:type="dxa"/>
          </w:tcPr>
          <w:p>
            <w:pPr>
              <w:pStyle w:val="TableParagraph"/>
              <w:spacing w:line="249" w:lineRule="auto" w:before="60"/>
              <w:ind w:left="109" w:right="209"/>
              <w:rPr>
                <w:sz w:val="20"/>
              </w:rPr>
            </w:pPr>
            <w:r>
              <w:rPr>
                <w:sz w:val="20"/>
              </w:rPr>
              <w:t>пункционная</w:t>
            </w:r>
            <w:r>
              <w:rPr>
                <w:spacing w:val="-13"/>
                <w:sz w:val="20"/>
              </w:rPr>
              <w:t> </w:t>
            </w:r>
            <w:r>
              <w:rPr>
                <w:sz w:val="20"/>
              </w:rPr>
              <w:t>аспирация</w:t>
            </w:r>
            <w:r>
              <w:rPr>
                <w:spacing w:val="-12"/>
                <w:sz w:val="20"/>
              </w:rPr>
              <w:t> </w:t>
            </w:r>
            <w:r>
              <w:rPr>
                <w:sz w:val="20"/>
              </w:rPr>
              <w:t>внутримозговых и внутрижелудочковых гематом с использованием нейронавигации</w:t>
            </w:r>
          </w:p>
        </w:tc>
        <w:tc>
          <w:tcPr>
            <w:tcW w:w="1054" w:type="dxa"/>
          </w:tcPr>
          <w:p>
            <w:pPr>
              <w:pStyle w:val="TableParagraph"/>
              <w:rPr>
                <w:sz w:val="18"/>
              </w:rPr>
            </w:pPr>
          </w:p>
        </w:tc>
      </w:tr>
      <w:tr>
        <w:trPr>
          <w:trHeight w:val="1250" w:hRule="atLeast"/>
        </w:trPr>
        <w:tc>
          <w:tcPr>
            <w:tcW w:w="458" w:type="dxa"/>
          </w:tcPr>
          <w:p>
            <w:pPr>
              <w:pStyle w:val="TableParagraph"/>
              <w:rPr>
                <w:sz w:val="18"/>
              </w:rPr>
            </w:pPr>
          </w:p>
        </w:tc>
        <w:tc>
          <w:tcPr>
            <w:tcW w:w="3031" w:type="dxa"/>
            <w:vMerge/>
            <w:tcBorders>
              <w:top w:val="nil"/>
            </w:tcBorders>
          </w:tcPr>
          <w:p>
            <w:pPr>
              <w:rPr>
                <w:sz w:val="2"/>
                <w:szCs w:val="2"/>
              </w:rPr>
            </w:pPr>
          </w:p>
        </w:tc>
        <w:tc>
          <w:tcPr>
            <w:tcW w:w="1895" w:type="dxa"/>
          </w:tcPr>
          <w:p>
            <w:pPr>
              <w:pStyle w:val="TableParagraph"/>
              <w:spacing w:before="60"/>
              <w:ind w:left="638" w:right="809"/>
              <w:jc w:val="center"/>
              <w:rPr>
                <w:sz w:val="20"/>
              </w:rPr>
            </w:pPr>
            <w:r>
              <w:rPr>
                <w:spacing w:val="-2"/>
                <w:sz w:val="20"/>
              </w:rPr>
              <w:t>I67.1</w:t>
            </w:r>
          </w:p>
        </w:tc>
        <w:tc>
          <w:tcPr>
            <w:tcW w:w="3265" w:type="dxa"/>
          </w:tcPr>
          <w:p>
            <w:pPr>
              <w:pStyle w:val="TableParagraph"/>
              <w:spacing w:line="249" w:lineRule="auto" w:before="60"/>
              <w:ind w:left="90"/>
              <w:rPr>
                <w:sz w:val="20"/>
              </w:rPr>
            </w:pPr>
            <w:r>
              <w:rPr>
                <w:sz w:val="20"/>
              </w:rPr>
              <w:t>артериальная</w:t>
            </w:r>
            <w:r>
              <w:rPr>
                <w:spacing w:val="-13"/>
                <w:sz w:val="20"/>
              </w:rPr>
              <w:t> </w:t>
            </w:r>
            <w:r>
              <w:rPr>
                <w:sz w:val="20"/>
              </w:rPr>
              <w:t>аневризма</w:t>
            </w:r>
            <w:r>
              <w:rPr>
                <w:spacing w:val="-12"/>
                <w:sz w:val="20"/>
              </w:rPr>
              <w:t> </w:t>
            </w:r>
            <w:r>
              <w:rPr>
                <w:sz w:val="20"/>
              </w:rPr>
              <w:t>головного мозга вне стадии разрыва</w:t>
            </w:r>
          </w:p>
        </w:tc>
        <w:tc>
          <w:tcPr>
            <w:tcW w:w="1498" w:type="dxa"/>
          </w:tcPr>
          <w:p>
            <w:pPr>
              <w:pStyle w:val="TableParagraph"/>
              <w:spacing w:line="249" w:lineRule="auto" w:before="60"/>
              <w:ind w:left="133"/>
              <w:rPr>
                <w:sz w:val="20"/>
              </w:rPr>
            </w:pPr>
            <w:r>
              <w:rPr>
                <w:spacing w:val="-2"/>
                <w:sz w:val="20"/>
              </w:rPr>
              <w:t>хирургическое лечение</w:t>
            </w:r>
          </w:p>
        </w:tc>
        <w:tc>
          <w:tcPr>
            <w:tcW w:w="3899" w:type="dxa"/>
          </w:tcPr>
          <w:p>
            <w:pPr>
              <w:pStyle w:val="TableParagraph"/>
              <w:spacing w:line="249" w:lineRule="auto" w:before="60"/>
              <w:ind w:left="109" w:right="209"/>
              <w:rPr>
                <w:sz w:val="20"/>
              </w:rPr>
            </w:pPr>
            <w:r>
              <w:rPr>
                <w:sz w:val="20"/>
              </w:rPr>
              <w:t>микрохирургическое</w:t>
            </w:r>
            <w:r>
              <w:rPr>
                <w:spacing w:val="-2"/>
                <w:sz w:val="20"/>
              </w:rPr>
              <w:t> </w:t>
            </w:r>
            <w:r>
              <w:rPr>
                <w:sz w:val="20"/>
              </w:rPr>
              <w:t>вмешательство</w:t>
            </w:r>
            <w:r>
              <w:rPr>
                <w:spacing w:val="-2"/>
                <w:sz w:val="20"/>
              </w:rPr>
              <w:t> </w:t>
            </w:r>
            <w:r>
              <w:rPr>
                <w:sz w:val="20"/>
              </w:rPr>
              <w:t>с применением интраоперационного ультразвукового</w:t>
            </w:r>
            <w:r>
              <w:rPr>
                <w:spacing w:val="-13"/>
                <w:sz w:val="20"/>
              </w:rPr>
              <w:t> </w:t>
            </w:r>
            <w:r>
              <w:rPr>
                <w:sz w:val="20"/>
              </w:rPr>
              <w:t>контроля</w:t>
            </w:r>
            <w:r>
              <w:rPr>
                <w:spacing w:val="-12"/>
                <w:sz w:val="20"/>
              </w:rPr>
              <w:t> </w:t>
            </w:r>
            <w:r>
              <w:rPr>
                <w:sz w:val="20"/>
              </w:rPr>
              <w:t>кровотока</w:t>
            </w:r>
            <w:r>
              <w:rPr>
                <w:spacing w:val="-13"/>
                <w:sz w:val="20"/>
              </w:rPr>
              <w:t> </w:t>
            </w:r>
            <w:r>
              <w:rPr>
                <w:sz w:val="20"/>
              </w:rPr>
              <w:t>в церебральных артериях</w:t>
            </w:r>
          </w:p>
        </w:tc>
        <w:tc>
          <w:tcPr>
            <w:tcW w:w="105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37"/>
        <w:gridCol w:w="3252"/>
        <w:gridCol w:w="1493"/>
        <w:gridCol w:w="3431"/>
      </w:tblGrid>
      <w:tr>
        <w:trPr>
          <w:trHeight w:val="999" w:hRule="atLeast"/>
        </w:trPr>
        <w:tc>
          <w:tcPr>
            <w:tcW w:w="4837" w:type="dxa"/>
          </w:tcPr>
          <w:p>
            <w:pPr>
              <w:pStyle w:val="TableParagraph"/>
              <w:spacing w:line="249" w:lineRule="auto"/>
              <w:ind w:left="50" w:right="2121"/>
              <w:rPr>
                <w:sz w:val="20"/>
              </w:rPr>
            </w:pPr>
            <w:r>
              <w:rPr>
                <w:sz w:val="20"/>
              </w:rPr>
              <w:t>опухолях</w:t>
            </w:r>
            <w:r>
              <w:rPr>
                <w:spacing w:val="-13"/>
                <w:sz w:val="20"/>
              </w:rPr>
              <w:t> </w:t>
            </w:r>
            <w:r>
              <w:rPr>
                <w:sz w:val="20"/>
              </w:rPr>
              <w:t>головы</w:t>
            </w:r>
            <w:r>
              <w:rPr>
                <w:spacing w:val="-12"/>
                <w:sz w:val="20"/>
              </w:rPr>
              <w:t> </w:t>
            </w:r>
            <w:r>
              <w:rPr>
                <w:sz w:val="20"/>
              </w:rPr>
              <w:t>и</w:t>
            </w:r>
            <w:r>
              <w:rPr>
                <w:spacing w:val="-13"/>
                <w:sz w:val="20"/>
              </w:rPr>
              <w:t> </w:t>
            </w:r>
            <w:r>
              <w:rPr>
                <w:sz w:val="20"/>
              </w:rPr>
              <w:t>головного мозга, внутримозговых и </w:t>
            </w:r>
            <w:r>
              <w:rPr>
                <w:spacing w:val="-2"/>
                <w:sz w:val="20"/>
              </w:rPr>
              <w:t>внутрижелудочковых гематомах</w:t>
            </w:r>
          </w:p>
        </w:tc>
        <w:tc>
          <w:tcPr>
            <w:tcW w:w="3252" w:type="dxa"/>
          </w:tcPr>
          <w:p>
            <w:pPr>
              <w:pStyle w:val="TableParagraph"/>
              <w:rPr>
                <w:sz w:val="18"/>
              </w:rPr>
            </w:pPr>
          </w:p>
        </w:tc>
        <w:tc>
          <w:tcPr>
            <w:tcW w:w="1493" w:type="dxa"/>
          </w:tcPr>
          <w:p>
            <w:pPr>
              <w:pStyle w:val="TableParagraph"/>
              <w:rPr>
                <w:sz w:val="18"/>
              </w:rPr>
            </w:pPr>
          </w:p>
        </w:tc>
        <w:tc>
          <w:tcPr>
            <w:tcW w:w="3431" w:type="dxa"/>
          </w:tcPr>
          <w:p>
            <w:pPr>
              <w:pStyle w:val="TableParagraph"/>
              <w:spacing w:line="249" w:lineRule="auto"/>
              <w:ind w:left="110"/>
              <w:rPr>
                <w:sz w:val="20"/>
              </w:rPr>
            </w:pPr>
            <w:r>
              <w:rPr>
                <w:sz w:val="20"/>
              </w:rPr>
              <w:t>эндоваскулярное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адгезивных</w:t>
            </w:r>
            <w:r>
              <w:rPr>
                <w:spacing w:val="-12"/>
                <w:sz w:val="20"/>
              </w:rPr>
              <w:t> </w:t>
            </w:r>
            <w:r>
              <w:rPr>
                <w:sz w:val="20"/>
              </w:rPr>
              <w:t>клеевых композиций, микроэмболов, микроспиралей и стентов</w:t>
            </w:r>
          </w:p>
        </w:tc>
      </w:tr>
      <w:tr>
        <w:trPr>
          <w:trHeight w:val="818" w:hRule="atLeast"/>
        </w:trPr>
        <w:tc>
          <w:tcPr>
            <w:tcW w:w="4837" w:type="dxa"/>
          </w:tcPr>
          <w:p>
            <w:pPr>
              <w:pStyle w:val="TableParagraph"/>
              <w:spacing w:before="50"/>
              <w:ind w:left="2796" w:right="64"/>
              <w:jc w:val="center"/>
              <w:rPr>
                <w:sz w:val="20"/>
              </w:rPr>
            </w:pPr>
            <w:r>
              <w:rPr>
                <w:sz w:val="20"/>
              </w:rPr>
              <w:t>Q28.2,</w:t>
            </w:r>
            <w:r>
              <w:rPr>
                <w:spacing w:val="-3"/>
                <w:sz w:val="20"/>
              </w:rPr>
              <w:t> </w:t>
            </w:r>
            <w:r>
              <w:rPr>
                <w:spacing w:val="-2"/>
                <w:sz w:val="20"/>
              </w:rPr>
              <w:t>Q28.8</w:t>
            </w:r>
          </w:p>
        </w:tc>
        <w:tc>
          <w:tcPr>
            <w:tcW w:w="3252" w:type="dxa"/>
          </w:tcPr>
          <w:p>
            <w:pPr>
              <w:pStyle w:val="TableParagraph"/>
              <w:spacing w:line="249" w:lineRule="auto" w:before="50"/>
              <w:ind w:left="73" w:right="18"/>
              <w:rPr>
                <w:sz w:val="20"/>
              </w:rPr>
            </w:pPr>
            <w:r>
              <w:rPr>
                <w:sz w:val="20"/>
              </w:rPr>
              <w:t>артериовенозная мальформация головного</w:t>
            </w:r>
            <w:r>
              <w:rPr>
                <w:spacing w:val="-10"/>
                <w:sz w:val="20"/>
              </w:rPr>
              <w:t> </w:t>
            </w:r>
            <w:r>
              <w:rPr>
                <w:sz w:val="20"/>
              </w:rPr>
              <w:t>мозга</w:t>
            </w:r>
            <w:r>
              <w:rPr>
                <w:spacing w:val="-10"/>
                <w:sz w:val="20"/>
              </w:rPr>
              <w:t> </w:t>
            </w:r>
            <w:r>
              <w:rPr>
                <w:sz w:val="20"/>
              </w:rPr>
              <w:t>и</w:t>
            </w:r>
            <w:r>
              <w:rPr>
                <w:spacing w:val="-11"/>
                <w:sz w:val="20"/>
              </w:rPr>
              <w:t> </w:t>
            </w:r>
            <w:r>
              <w:rPr>
                <w:sz w:val="20"/>
              </w:rPr>
              <w:t>спинного</w:t>
            </w:r>
            <w:r>
              <w:rPr>
                <w:spacing w:val="-10"/>
                <w:sz w:val="20"/>
              </w:rPr>
              <w:t> </w:t>
            </w:r>
            <w:r>
              <w:rPr>
                <w:sz w:val="20"/>
              </w:rPr>
              <w:t>мозга</w:t>
            </w:r>
          </w:p>
        </w:tc>
        <w:tc>
          <w:tcPr>
            <w:tcW w:w="1493" w:type="dxa"/>
          </w:tcPr>
          <w:p>
            <w:pPr>
              <w:pStyle w:val="TableParagraph"/>
              <w:spacing w:line="249" w:lineRule="auto" w:before="50"/>
              <w:ind w:left="129"/>
              <w:rPr>
                <w:sz w:val="20"/>
              </w:rPr>
            </w:pPr>
            <w:r>
              <w:rPr>
                <w:spacing w:val="-2"/>
                <w:sz w:val="20"/>
              </w:rPr>
              <w:t>хирургическое лечение</w:t>
            </w:r>
          </w:p>
        </w:tc>
        <w:tc>
          <w:tcPr>
            <w:tcW w:w="3431" w:type="dxa"/>
          </w:tcPr>
          <w:p>
            <w:pPr>
              <w:pStyle w:val="TableParagraph"/>
              <w:spacing w:line="249" w:lineRule="auto" w:before="50"/>
              <w:ind w:left="110" w:right="44"/>
              <w:jc w:val="both"/>
              <w:rPr>
                <w:sz w:val="20"/>
              </w:rPr>
            </w:pPr>
            <w:r>
              <w:rPr>
                <w:sz w:val="20"/>
              </w:rPr>
              <w:t>микрохирургическое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нейрофизиологического </w:t>
            </w:r>
            <w:r>
              <w:rPr>
                <w:spacing w:val="-2"/>
                <w:sz w:val="20"/>
              </w:rPr>
              <w:t>мониторинга</w:t>
            </w:r>
          </w:p>
        </w:tc>
      </w:tr>
      <w:tr>
        <w:trPr>
          <w:trHeight w:val="1060" w:hRule="atLeast"/>
        </w:trPr>
        <w:tc>
          <w:tcPr>
            <w:tcW w:w="4837" w:type="dxa"/>
          </w:tcPr>
          <w:p>
            <w:pPr>
              <w:pStyle w:val="TableParagraph"/>
              <w:rPr>
                <w:sz w:val="18"/>
              </w:rPr>
            </w:pPr>
          </w:p>
        </w:tc>
        <w:tc>
          <w:tcPr>
            <w:tcW w:w="3252" w:type="dxa"/>
          </w:tcPr>
          <w:p>
            <w:pPr>
              <w:pStyle w:val="TableParagraph"/>
              <w:rPr>
                <w:sz w:val="18"/>
              </w:rPr>
            </w:pPr>
          </w:p>
        </w:tc>
        <w:tc>
          <w:tcPr>
            <w:tcW w:w="1493" w:type="dxa"/>
          </w:tcPr>
          <w:p>
            <w:pPr>
              <w:pStyle w:val="TableParagraph"/>
              <w:rPr>
                <w:sz w:val="18"/>
              </w:rPr>
            </w:pPr>
          </w:p>
        </w:tc>
        <w:tc>
          <w:tcPr>
            <w:tcW w:w="3431" w:type="dxa"/>
          </w:tcPr>
          <w:p>
            <w:pPr>
              <w:pStyle w:val="TableParagraph"/>
              <w:spacing w:line="249" w:lineRule="auto" w:before="52"/>
              <w:ind w:left="110"/>
              <w:rPr>
                <w:sz w:val="20"/>
              </w:rPr>
            </w:pPr>
            <w:r>
              <w:rPr>
                <w:sz w:val="20"/>
              </w:rPr>
              <w:t>эндоваскулярное вмешательство с применением адгезивной клеевой композиции,</w:t>
            </w:r>
            <w:r>
              <w:rPr>
                <w:spacing w:val="-13"/>
                <w:sz w:val="20"/>
              </w:rPr>
              <w:t> </w:t>
            </w:r>
            <w:r>
              <w:rPr>
                <w:sz w:val="20"/>
              </w:rPr>
              <w:t>микроэмболов</w:t>
            </w:r>
            <w:r>
              <w:rPr>
                <w:spacing w:val="-12"/>
                <w:sz w:val="20"/>
              </w:rPr>
              <w:t> </w:t>
            </w:r>
            <w:r>
              <w:rPr>
                <w:sz w:val="20"/>
              </w:rPr>
              <w:t>и</w:t>
            </w:r>
            <w:r>
              <w:rPr>
                <w:spacing w:val="-13"/>
                <w:sz w:val="20"/>
              </w:rPr>
              <w:t> </w:t>
            </w:r>
            <w:r>
              <w:rPr>
                <w:sz w:val="20"/>
              </w:rPr>
              <w:t>(или) микроспиралей (менее 5 койлов)</w:t>
            </w:r>
          </w:p>
        </w:tc>
      </w:tr>
      <w:tr>
        <w:trPr>
          <w:trHeight w:val="2032" w:hRule="atLeast"/>
        </w:trPr>
        <w:tc>
          <w:tcPr>
            <w:tcW w:w="4837" w:type="dxa"/>
          </w:tcPr>
          <w:p>
            <w:pPr>
              <w:pStyle w:val="TableParagraph"/>
              <w:spacing w:before="52"/>
              <w:ind w:left="2796" w:right="69"/>
              <w:jc w:val="center"/>
              <w:rPr>
                <w:sz w:val="20"/>
              </w:rPr>
            </w:pPr>
            <w:r>
              <w:rPr>
                <w:sz w:val="20"/>
              </w:rPr>
              <w:t>I67.8,</w:t>
            </w:r>
            <w:r>
              <w:rPr>
                <w:spacing w:val="-5"/>
                <w:sz w:val="20"/>
              </w:rPr>
              <w:t> </w:t>
            </w:r>
            <w:r>
              <w:rPr>
                <w:sz w:val="20"/>
              </w:rPr>
              <w:t>I72.0,</w:t>
            </w:r>
            <w:r>
              <w:rPr>
                <w:spacing w:val="-7"/>
                <w:sz w:val="20"/>
              </w:rPr>
              <w:t> </w:t>
            </w:r>
            <w:r>
              <w:rPr>
                <w:sz w:val="20"/>
              </w:rPr>
              <w:t>I77.0,</w:t>
            </w:r>
            <w:r>
              <w:rPr>
                <w:spacing w:val="-4"/>
                <w:sz w:val="20"/>
              </w:rPr>
              <w:t> I78.0</w:t>
            </w:r>
          </w:p>
        </w:tc>
        <w:tc>
          <w:tcPr>
            <w:tcW w:w="3252" w:type="dxa"/>
          </w:tcPr>
          <w:p>
            <w:pPr>
              <w:pStyle w:val="TableParagraph"/>
              <w:spacing w:line="249" w:lineRule="auto" w:before="52"/>
              <w:ind w:left="73" w:right="18"/>
              <w:rPr>
                <w:sz w:val="20"/>
              </w:rPr>
            </w:pPr>
            <w:r>
              <w:rPr>
                <w:sz w:val="20"/>
              </w:rPr>
              <w:t>дуральные артериовенозные фистулы головного и спинного мозга, в том числе каротидно- кавернозные.</w:t>
            </w:r>
            <w:r>
              <w:rPr>
                <w:spacing w:val="-13"/>
                <w:sz w:val="20"/>
              </w:rPr>
              <w:t> </w:t>
            </w:r>
            <w:r>
              <w:rPr>
                <w:sz w:val="20"/>
              </w:rPr>
              <w:t>Ложные</w:t>
            </w:r>
            <w:r>
              <w:rPr>
                <w:spacing w:val="-12"/>
                <w:sz w:val="20"/>
              </w:rPr>
              <w:t> </w:t>
            </w:r>
            <w:r>
              <w:rPr>
                <w:sz w:val="20"/>
              </w:rPr>
              <w:t>аневризмы внутренней сонной артерии.</w:t>
            </w:r>
          </w:p>
          <w:p>
            <w:pPr>
              <w:pStyle w:val="TableParagraph"/>
              <w:spacing w:line="249" w:lineRule="auto" w:before="4"/>
              <w:ind w:left="73" w:right="279"/>
              <w:jc w:val="both"/>
              <w:rPr>
                <w:sz w:val="20"/>
              </w:rPr>
            </w:pPr>
            <w:r>
              <w:rPr>
                <w:sz w:val="20"/>
              </w:rPr>
              <w:t>Наследственная геморрагическая телеангиэктазия</w:t>
            </w:r>
            <w:r>
              <w:rPr>
                <w:spacing w:val="-15"/>
                <w:sz w:val="20"/>
              </w:rPr>
              <w:t> </w:t>
            </w:r>
            <w:r>
              <w:rPr>
                <w:sz w:val="20"/>
              </w:rPr>
              <w:t>(болезнь</w:t>
            </w:r>
            <w:r>
              <w:rPr>
                <w:spacing w:val="-12"/>
                <w:sz w:val="20"/>
              </w:rPr>
              <w:t> </w:t>
            </w:r>
            <w:r>
              <w:rPr>
                <w:sz w:val="20"/>
              </w:rPr>
              <w:t>Рендю</w:t>
            </w:r>
            <w:r>
              <w:rPr>
                <w:spacing w:val="-11"/>
                <w:sz w:val="20"/>
              </w:rPr>
              <w:t> </w:t>
            </w:r>
            <w:r>
              <w:rPr>
                <w:sz w:val="20"/>
              </w:rPr>
              <w:t>- Ослера - Вебера)</w:t>
            </w:r>
          </w:p>
        </w:tc>
        <w:tc>
          <w:tcPr>
            <w:tcW w:w="1493" w:type="dxa"/>
          </w:tcPr>
          <w:p>
            <w:pPr>
              <w:pStyle w:val="TableParagraph"/>
              <w:spacing w:line="249" w:lineRule="auto" w:before="52"/>
              <w:ind w:left="129"/>
              <w:rPr>
                <w:sz w:val="20"/>
              </w:rPr>
            </w:pPr>
            <w:r>
              <w:rPr>
                <w:spacing w:val="-2"/>
                <w:sz w:val="20"/>
              </w:rPr>
              <w:t>хирургическое лечение</w:t>
            </w:r>
          </w:p>
        </w:tc>
        <w:tc>
          <w:tcPr>
            <w:tcW w:w="3431" w:type="dxa"/>
          </w:tcPr>
          <w:p>
            <w:pPr>
              <w:pStyle w:val="TableParagraph"/>
              <w:spacing w:line="249" w:lineRule="auto" w:before="52"/>
              <w:ind w:left="110" w:right="379"/>
              <w:jc w:val="both"/>
              <w:rPr>
                <w:sz w:val="20"/>
              </w:rPr>
            </w:pPr>
            <w:r>
              <w:rPr>
                <w:sz w:val="20"/>
              </w:rPr>
              <w:t>эндоваскулярное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адгезивных</w:t>
            </w:r>
            <w:r>
              <w:rPr>
                <w:spacing w:val="-12"/>
                <w:sz w:val="20"/>
              </w:rPr>
              <w:t> </w:t>
            </w:r>
            <w:r>
              <w:rPr>
                <w:sz w:val="20"/>
              </w:rPr>
              <w:t>клеевых композиций и микроэмболов</w:t>
            </w:r>
          </w:p>
        </w:tc>
      </w:tr>
      <w:tr>
        <w:trPr>
          <w:trHeight w:val="1069" w:hRule="atLeast"/>
        </w:trPr>
        <w:tc>
          <w:tcPr>
            <w:tcW w:w="4837" w:type="dxa"/>
          </w:tcPr>
          <w:p>
            <w:pPr>
              <w:pStyle w:val="TableParagraph"/>
              <w:spacing w:before="60"/>
              <w:ind w:left="2928"/>
              <w:rPr>
                <w:sz w:val="20"/>
              </w:rPr>
            </w:pPr>
            <w:r>
              <w:rPr>
                <w:sz w:val="20"/>
              </w:rPr>
              <w:t>C83.9,</w:t>
            </w:r>
            <w:r>
              <w:rPr>
                <w:spacing w:val="-5"/>
                <w:sz w:val="20"/>
              </w:rPr>
              <w:t> </w:t>
            </w:r>
            <w:r>
              <w:rPr>
                <w:sz w:val="20"/>
              </w:rPr>
              <w:t>C85.1,</w:t>
            </w:r>
            <w:r>
              <w:rPr>
                <w:spacing w:val="-5"/>
                <w:sz w:val="20"/>
              </w:rPr>
              <w:t> </w:t>
            </w:r>
            <w:r>
              <w:rPr>
                <w:spacing w:val="-2"/>
                <w:sz w:val="20"/>
              </w:rPr>
              <w:t>D10.6,</w:t>
            </w:r>
          </w:p>
          <w:p>
            <w:pPr>
              <w:pStyle w:val="TableParagraph"/>
              <w:spacing w:before="10"/>
              <w:ind w:left="2882"/>
              <w:rPr>
                <w:sz w:val="20"/>
              </w:rPr>
            </w:pPr>
            <w:r>
              <w:rPr>
                <w:sz w:val="20"/>
              </w:rPr>
              <w:t>D10.9,</w:t>
            </w:r>
            <w:r>
              <w:rPr>
                <w:spacing w:val="-3"/>
                <w:sz w:val="20"/>
              </w:rPr>
              <w:t> </w:t>
            </w:r>
            <w:r>
              <w:rPr>
                <w:sz w:val="20"/>
              </w:rPr>
              <w:t>D18.0 -</w:t>
            </w:r>
            <w:r>
              <w:rPr>
                <w:spacing w:val="-5"/>
                <w:sz w:val="20"/>
              </w:rPr>
              <w:t> </w:t>
            </w:r>
            <w:r>
              <w:rPr>
                <w:spacing w:val="-2"/>
                <w:sz w:val="20"/>
              </w:rPr>
              <w:t>D18.1,</w:t>
            </w:r>
          </w:p>
          <w:p>
            <w:pPr>
              <w:pStyle w:val="TableParagraph"/>
              <w:spacing w:line="249" w:lineRule="auto" w:before="10"/>
              <w:ind w:left="2942" w:hanging="60"/>
              <w:rPr>
                <w:sz w:val="20"/>
              </w:rPr>
            </w:pPr>
            <w:r>
              <w:rPr>
                <w:sz w:val="20"/>
              </w:rPr>
              <w:t>D21.0,</w:t>
            </w:r>
            <w:r>
              <w:rPr>
                <w:spacing w:val="-13"/>
                <w:sz w:val="20"/>
              </w:rPr>
              <w:t> </w:t>
            </w:r>
            <w:r>
              <w:rPr>
                <w:sz w:val="20"/>
              </w:rPr>
              <w:t>D35.5</w:t>
            </w:r>
            <w:r>
              <w:rPr>
                <w:spacing w:val="-10"/>
                <w:sz w:val="20"/>
              </w:rPr>
              <w:t> </w:t>
            </w:r>
            <w:r>
              <w:rPr>
                <w:sz w:val="20"/>
              </w:rPr>
              <w:t>-</w:t>
            </w:r>
            <w:r>
              <w:rPr>
                <w:spacing w:val="-13"/>
                <w:sz w:val="20"/>
              </w:rPr>
              <w:t> </w:t>
            </w:r>
            <w:r>
              <w:rPr>
                <w:sz w:val="20"/>
              </w:rPr>
              <w:t>D35.7, D36.0, Q85.8, Q28.8</w:t>
            </w:r>
          </w:p>
        </w:tc>
        <w:tc>
          <w:tcPr>
            <w:tcW w:w="3252" w:type="dxa"/>
            <w:vMerge w:val="restart"/>
          </w:tcPr>
          <w:p>
            <w:pPr>
              <w:pStyle w:val="TableParagraph"/>
              <w:spacing w:line="249" w:lineRule="auto" w:before="60"/>
              <w:ind w:left="73" w:right="18"/>
              <w:rPr>
                <w:sz w:val="20"/>
              </w:rPr>
            </w:pPr>
            <w:r>
              <w:rPr>
                <w:sz w:val="20"/>
              </w:rPr>
              <w:t>артериовенозные мальформации, ангиомы, гемангиомы, гемангиобластомы,</w:t>
            </w:r>
            <w:r>
              <w:rPr>
                <w:spacing w:val="-13"/>
                <w:sz w:val="20"/>
              </w:rPr>
              <w:t> </w:t>
            </w:r>
            <w:r>
              <w:rPr>
                <w:sz w:val="20"/>
              </w:rPr>
              <w:t>ангиофибромы, параганглиомы</w:t>
            </w:r>
            <w:r>
              <w:rPr>
                <w:spacing w:val="-13"/>
                <w:sz w:val="20"/>
              </w:rPr>
              <w:t> </w:t>
            </w:r>
            <w:r>
              <w:rPr>
                <w:sz w:val="20"/>
              </w:rPr>
              <w:t>и</w:t>
            </w:r>
            <w:r>
              <w:rPr>
                <w:spacing w:val="-12"/>
                <w:sz w:val="20"/>
              </w:rPr>
              <w:t> </w:t>
            </w:r>
            <w:r>
              <w:rPr>
                <w:sz w:val="20"/>
              </w:rPr>
              <w:t>лимфомы</w:t>
            </w:r>
            <w:r>
              <w:rPr>
                <w:spacing w:val="-13"/>
                <w:sz w:val="20"/>
              </w:rPr>
              <w:t> </w:t>
            </w:r>
            <w:r>
              <w:rPr>
                <w:sz w:val="20"/>
              </w:rPr>
              <w:t>головы, шеи, головного и спинного мозга</w:t>
            </w:r>
          </w:p>
        </w:tc>
        <w:tc>
          <w:tcPr>
            <w:tcW w:w="1493" w:type="dxa"/>
          </w:tcPr>
          <w:p>
            <w:pPr>
              <w:pStyle w:val="TableParagraph"/>
              <w:spacing w:line="249" w:lineRule="auto" w:before="60"/>
              <w:ind w:left="129"/>
              <w:rPr>
                <w:sz w:val="20"/>
              </w:rPr>
            </w:pPr>
            <w:r>
              <w:rPr>
                <w:spacing w:val="-2"/>
                <w:sz w:val="20"/>
              </w:rPr>
              <w:t>хирургическое лечение</w:t>
            </w:r>
          </w:p>
        </w:tc>
        <w:tc>
          <w:tcPr>
            <w:tcW w:w="3431" w:type="dxa"/>
          </w:tcPr>
          <w:p>
            <w:pPr>
              <w:pStyle w:val="TableParagraph"/>
              <w:spacing w:line="249" w:lineRule="auto" w:before="60"/>
              <w:ind w:left="110" w:right="341"/>
              <w:jc w:val="both"/>
              <w:rPr>
                <w:sz w:val="20"/>
              </w:rPr>
            </w:pPr>
            <w:r>
              <w:rPr>
                <w:sz w:val="20"/>
              </w:rPr>
              <w:t>эндоваскулярное вмешательство с применением адгезивных</w:t>
            </w:r>
            <w:r>
              <w:rPr>
                <w:spacing w:val="-2"/>
                <w:sz w:val="20"/>
              </w:rPr>
              <w:t> </w:t>
            </w:r>
            <w:r>
              <w:rPr>
                <w:sz w:val="20"/>
              </w:rPr>
              <w:t>клеевых композиций</w:t>
            </w:r>
            <w:r>
              <w:rPr>
                <w:spacing w:val="-13"/>
                <w:sz w:val="20"/>
              </w:rPr>
              <w:t> </w:t>
            </w:r>
            <w:r>
              <w:rPr>
                <w:sz w:val="20"/>
              </w:rPr>
              <w:t>микроэмболов</w:t>
            </w:r>
            <w:r>
              <w:rPr>
                <w:spacing w:val="-12"/>
                <w:sz w:val="20"/>
              </w:rPr>
              <w:t> </w:t>
            </w:r>
            <w:r>
              <w:rPr>
                <w:sz w:val="20"/>
              </w:rPr>
              <w:t>и</w:t>
            </w:r>
            <w:r>
              <w:rPr>
                <w:spacing w:val="-13"/>
                <w:sz w:val="20"/>
              </w:rPr>
              <w:t> </w:t>
            </w:r>
            <w:r>
              <w:rPr>
                <w:sz w:val="20"/>
              </w:rPr>
              <w:t>(или) микроспиралей (менее 5 койлов)</w:t>
            </w:r>
          </w:p>
        </w:tc>
      </w:tr>
      <w:tr>
        <w:trPr>
          <w:trHeight w:val="1058" w:hRule="atLeast"/>
        </w:trPr>
        <w:tc>
          <w:tcPr>
            <w:tcW w:w="4837" w:type="dxa"/>
          </w:tcPr>
          <w:p>
            <w:pPr>
              <w:pStyle w:val="TableParagraph"/>
              <w:rPr>
                <w:sz w:val="18"/>
              </w:rPr>
            </w:pPr>
          </w:p>
        </w:tc>
        <w:tc>
          <w:tcPr>
            <w:tcW w:w="3252" w:type="dxa"/>
            <w:vMerge/>
            <w:tcBorders>
              <w:top w:val="nil"/>
            </w:tcBorders>
          </w:tcPr>
          <w:p>
            <w:pPr>
              <w:rPr>
                <w:sz w:val="2"/>
                <w:szCs w:val="2"/>
              </w:rPr>
            </w:pPr>
          </w:p>
        </w:tc>
        <w:tc>
          <w:tcPr>
            <w:tcW w:w="1493" w:type="dxa"/>
          </w:tcPr>
          <w:p>
            <w:pPr>
              <w:pStyle w:val="TableParagraph"/>
              <w:rPr>
                <w:sz w:val="18"/>
              </w:rPr>
            </w:pPr>
          </w:p>
        </w:tc>
        <w:tc>
          <w:tcPr>
            <w:tcW w:w="3431" w:type="dxa"/>
          </w:tcPr>
          <w:p>
            <w:pPr>
              <w:pStyle w:val="TableParagraph"/>
              <w:spacing w:line="249" w:lineRule="auto" w:before="50"/>
              <w:ind w:left="110" w:right="356"/>
              <w:rPr>
                <w:sz w:val="20"/>
              </w:rPr>
            </w:pPr>
            <w:r>
              <w:rPr>
                <w:sz w:val="20"/>
              </w:rPr>
              <w:t>эндоваскулярное</w:t>
            </w:r>
            <w:r>
              <w:rPr>
                <w:spacing w:val="-8"/>
                <w:sz w:val="20"/>
              </w:rPr>
              <w:t> </w:t>
            </w:r>
            <w:r>
              <w:rPr>
                <w:sz w:val="20"/>
              </w:rPr>
              <w:t>вмешательство</w:t>
            </w:r>
            <w:r>
              <w:rPr>
                <w:spacing w:val="-7"/>
                <w:sz w:val="20"/>
              </w:rPr>
              <w:t> </w:t>
            </w:r>
            <w:r>
              <w:rPr>
                <w:sz w:val="20"/>
              </w:rPr>
              <w:t>с прорывом</w:t>
            </w:r>
            <w:r>
              <w:rPr>
                <w:spacing w:val="-13"/>
                <w:sz w:val="20"/>
              </w:rPr>
              <w:t> </w:t>
            </w:r>
            <w:r>
              <w:rPr>
                <w:sz w:val="20"/>
              </w:rPr>
              <w:t>гематоэнцефалического барьера для проведения интраартериальной</w:t>
            </w:r>
            <w:r>
              <w:rPr>
                <w:spacing w:val="-13"/>
                <w:sz w:val="20"/>
              </w:rPr>
              <w:t> </w:t>
            </w:r>
            <w:r>
              <w:rPr>
                <w:sz w:val="20"/>
              </w:rPr>
              <w:t>химиотерапии</w:t>
            </w:r>
          </w:p>
        </w:tc>
      </w:tr>
      <w:tr>
        <w:trPr>
          <w:trHeight w:val="759" w:hRule="atLeast"/>
        </w:trPr>
        <w:tc>
          <w:tcPr>
            <w:tcW w:w="4837" w:type="dxa"/>
          </w:tcPr>
          <w:p>
            <w:pPr>
              <w:pStyle w:val="TableParagraph"/>
              <w:rPr>
                <w:sz w:val="18"/>
              </w:rPr>
            </w:pPr>
          </w:p>
        </w:tc>
        <w:tc>
          <w:tcPr>
            <w:tcW w:w="3252" w:type="dxa"/>
          </w:tcPr>
          <w:p>
            <w:pPr>
              <w:pStyle w:val="TableParagraph"/>
              <w:rPr>
                <w:sz w:val="18"/>
              </w:rPr>
            </w:pPr>
          </w:p>
        </w:tc>
        <w:tc>
          <w:tcPr>
            <w:tcW w:w="1493" w:type="dxa"/>
          </w:tcPr>
          <w:p>
            <w:pPr>
              <w:pStyle w:val="TableParagraph"/>
              <w:rPr>
                <w:sz w:val="18"/>
              </w:rPr>
            </w:pPr>
          </w:p>
        </w:tc>
        <w:tc>
          <w:tcPr>
            <w:tcW w:w="3431" w:type="dxa"/>
          </w:tcPr>
          <w:p>
            <w:pPr>
              <w:pStyle w:val="TableParagraph"/>
              <w:spacing w:before="52"/>
              <w:ind w:left="110"/>
              <w:rPr>
                <w:sz w:val="20"/>
              </w:rPr>
            </w:pPr>
            <w:r>
              <w:rPr>
                <w:w w:val="95"/>
                <w:sz w:val="20"/>
              </w:rPr>
              <w:t>микрохирургические</w:t>
            </w:r>
            <w:r>
              <w:rPr>
                <w:spacing w:val="59"/>
                <w:sz w:val="20"/>
              </w:rPr>
              <w:t> </w:t>
            </w:r>
            <w:r>
              <w:rPr>
                <w:w w:val="95"/>
                <w:sz w:val="20"/>
              </w:rPr>
              <w:t>вмешательства</w:t>
            </w:r>
            <w:r>
              <w:rPr>
                <w:spacing w:val="57"/>
                <w:sz w:val="20"/>
              </w:rPr>
              <w:t> </w:t>
            </w:r>
            <w:r>
              <w:rPr>
                <w:spacing w:val="-10"/>
                <w:w w:val="95"/>
                <w:sz w:val="20"/>
              </w:rPr>
              <w:t>с</w:t>
            </w:r>
          </w:p>
          <w:p>
            <w:pPr>
              <w:pStyle w:val="TableParagraph"/>
              <w:spacing w:line="230" w:lineRule="atLeast"/>
              <w:ind w:left="110" w:right="408"/>
              <w:rPr>
                <w:sz w:val="20"/>
              </w:rPr>
            </w:pPr>
            <w:r>
              <w:rPr>
                <w:sz w:val="20"/>
              </w:rPr>
              <w:t>интраоперационным</w:t>
            </w:r>
            <w:r>
              <w:rPr>
                <w:spacing w:val="-13"/>
                <w:sz w:val="20"/>
              </w:rPr>
              <w:t> </w:t>
            </w:r>
            <w:r>
              <w:rPr>
                <w:sz w:val="20"/>
              </w:rPr>
              <w:t>нейрофизио- логическим мониторингом</w:t>
            </w:r>
          </w:p>
        </w:tc>
      </w:tr>
    </w:tbl>
    <w:p>
      <w:pPr>
        <w:spacing w:after="0" w:line="23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8"/>
        <w:gridCol w:w="2078"/>
        <w:gridCol w:w="3270"/>
        <w:gridCol w:w="1498"/>
        <w:gridCol w:w="3724"/>
      </w:tblGrid>
      <w:tr>
        <w:trPr>
          <w:trHeight w:val="530" w:hRule="atLeast"/>
        </w:trPr>
        <w:tc>
          <w:tcPr>
            <w:tcW w:w="2738" w:type="dxa"/>
          </w:tcPr>
          <w:p>
            <w:pPr>
              <w:pStyle w:val="TableParagraph"/>
              <w:rPr>
                <w:sz w:val="18"/>
              </w:rPr>
            </w:pPr>
          </w:p>
        </w:tc>
        <w:tc>
          <w:tcPr>
            <w:tcW w:w="2078" w:type="dxa"/>
          </w:tcPr>
          <w:p>
            <w:pPr>
              <w:pStyle w:val="TableParagraph"/>
              <w:rPr>
                <w:sz w:val="18"/>
              </w:rPr>
            </w:pPr>
          </w:p>
        </w:tc>
        <w:tc>
          <w:tcPr>
            <w:tcW w:w="3270" w:type="dxa"/>
          </w:tcPr>
          <w:p>
            <w:pPr>
              <w:pStyle w:val="TableParagraph"/>
              <w:rPr>
                <w:sz w:val="18"/>
              </w:rPr>
            </w:pPr>
          </w:p>
        </w:tc>
        <w:tc>
          <w:tcPr>
            <w:tcW w:w="1498" w:type="dxa"/>
          </w:tcPr>
          <w:p>
            <w:pPr>
              <w:pStyle w:val="TableParagraph"/>
              <w:rPr>
                <w:sz w:val="18"/>
              </w:rPr>
            </w:pPr>
          </w:p>
        </w:tc>
        <w:tc>
          <w:tcPr>
            <w:tcW w:w="3724" w:type="dxa"/>
          </w:tcPr>
          <w:p>
            <w:pPr>
              <w:pStyle w:val="TableParagraph"/>
              <w:spacing w:line="249" w:lineRule="auto"/>
              <w:ind w:left="108" w:right="47"/>
              <w:rPr>
                <w:sz w:val="20"/>
              </w:rPr>
            </w:pPr>
            <w:r>
              <w:rPr>
                <w:sz w:val="20"/>
              </w:rPr>
              <w:t>микрохирургические вмешательства с интраоперационной</w:t>
            </w:r>
            <w:r>
              <w:rPr>
                <w:spacing w:val="-13"/>
                <w:sz w:val="20"/>
              </w:rPr>
              <w:t> </w:t>
            </w:r>
            <w:r>
              <w:rPr>
                <w:sz w:val="20"/>
              </w:rPr>
              <w:t>реинфузией</w:t>
            </w:r>
            <w:r>
              <w:rPr>
                <w:spacing w:val="-12"/>
                <w:sz w:val="20"/>
              </w:rPr>
              <w:t> </w:t>
            </w:r>
            <w:r>
              <w:rPr>
                <w:sz w:val="20"/>
              </w:rPr>
              <w:t>крови</w:t>
            </w:r>
          </w:p>
        </w:tc>
      </w:tr>
      <w:tr>
        <w:trPr>
          <w:trHeight w:val="1320" w:hRule="atLeast"/>
        </w:trPr>
        <w:tc>
          <w:tcPr>
            <w:tcW w:w="2738" w:type="dxa"/>
            <w:vMerge w:val="restart"/>
          </w:tcPr>
          <w:p>
            <w:pPr>
              <w:pStyle w:val="TableParagraph"/>
              <w:spacing w:line="249" w:lineRule="auto" w:before="60"/>
              <w:ind w:left="50" w:right="110"/>
              <w:rPr>
                <w:sz w:val="20"/>
              </w:rPr>
            </w:pPr>
            <w:r>
              <w:rPr>
                <w:sz w:val="20"/>
              </w:rPr>
              <w:t>Имплантация временных электродов для нейростимуляции спинного мозга.</w:t>
            </w:r>
            <w:r>
              <w:rPr>
                <w:spacing w:val="-13"/>
                <w:sz w:val="20"/>
              </w:rPr>
              <w:t> </w:t>
            </w:r>
            <w:r>
              <w:rPr>
                <w:sz w:val="20"/>
              </w:rPr>
              <w:t>Микрохирургические</w:t>
            </w:r>
            <w:r>
              <w:rPr>
                <w:spacing w:val="-12"/>
                <w:sz w:val="20"/>
              </w:rPr>
              <w:t> </w:t>
            </w:r>
            <w:r>
              <w:rPr>
                <w:sz w:val="20"/>
              </w:rPr>
              <w:t>и </w:t>
            </w:r>
            <w:r>
              <w:rPr>
                <w:spacing w:val="-2"/>
                <w:sz w:val="20"/>
              </w:rPr>
              <w:t>стереотаксические </w:t>
            </w:r>
            <w:r>
              <w:rPr>
                <w:sz w:val="20"/>
              </w:rPr>
              <w:t>деструктивные операции на головном и спинном мозге и спинномозговых нервах, в</w:t>
            </w:r>
            <w:r>
              <w:rPr>
                <w:spacing w:val="40"/>
                <w:sz w:val="20"/>
              </w:rPr>
              <w:t> </w:t>
            </w:r>
            <w:r>
              <w:rPr>
                <w:sz w:val="20"/>
              </w:rPr>
              <w:t>том числе селективная ризотомия, для лечения эпилепсии, гиперкинезов и миелопатий различного</w:t>
            </w:r>
            <w:r>
              <w:rPr>
                <w:spacing w:val="40"/>
                <w:sz w:val="20"/>
              </w:rPr>
              <w:t> </w:t>
            </w:r>
            <w:r>
              <w:rPr>
                <w:spacing w:val="-2"/>
                <w:sz w:val="20"/>
              </w:rPr>
              <w:t>генеза</w:t>
            </w:r>
          </w:p>
        </w:tc>
        <w:tc>
          <w:tcPr>
            <w:tcW w:w="2078" w:type="dxa"/>
          </w:tcPr>
          <w:p>
            <w:pPr>
              <w:pStyle w:val="TableParagraph"/>
              <w:spacing w:line="249" w:lineRule="auto" w:before="60"/>
              <w:ind w:left="106" w:right="94"/>
              <w:jc w:val="center"/>
              <w:rPr>
                <w:sz w:val="20"/>
              </w:rPr>
            </w:pPr>
            <w:r>
              <w:rPr>
                <w:sz w:val="20"/>
              </w:rPr>
              <w:t>G20,</w:t>
            </w:r>
            <w:r>
              <w:rPr>
                <w:spacing w:val="-13"/>
                <w:sz w:val="20"/>
              </w:rPr>
              <w:t> </w:t>
            </w:r>
            <w:r>
              <w:rPr>
                <w:sz w:val="20"/>
              </w:rPr>
              <w:t>G21,</w:t>
            </w:r>
            <w:r>
              <w:rPr>
                <w:spacing w:val="-12"/>
                <w:sz w:val="20"/>
              </w:rPr>
              <w:t> </w:t>
            </w:r>
            <w:r>
              <w:rPr>
                <w:sz w:val="20"/>
              </w:rPr>
              <w:t>G24,</w:t>
            </w:r>
            <w:r>
              <w:rPr>
                <w:spacing w:val="-13"/>
                <w:sz w:val="20"/>
              </w:rPr>
              <w:t> </w:t>
            </w:r>
            <w:r>
              <w:rPr>
                <w:sz w:val="20"/>
              </w:rPr>
              <w:t>G25.0, G25.2, G80, G95.0, G95.1, G95.8</w:t>
            </w:r>
          </w:p>
        </w:tc>
        <w:tc>
          <w:tcPr>
            <w:tcW w:w="3270" w:type="dxa"/>
          </w:tcPr>
          <w:p>
            <w:pPr>
              <w:pStyle w:val="TableParagraph"/>
              <w:spacing w:line="249" w:lineRule="auto" w:before="60"/>
              <w:ind w:left="95" w:right="131"/>
              <w:rPr>
                <w:sz w:val="20"/>
              </w:rPr>
            </w:pPr>
            <w:r>
              <w:rPr>
                <w:sz w:val="20"/>
              </w:rPr>
              <w:t>болезнь</w:t>
            </w:r>
            <w:r>
              <w:rPr>
                <w:spacing w:val="-13"/>
                <w:sz w:val="20"/>
              </w:rPr>
              <w:t> </w:t>
            </w:r>
            <w:r>
              <w:rPr>
                <w:sz w:val="20"/>
              </w:rPr>
              <w:t>Паркинсона</w:t>
            </w:r>
            <w:r>
              <w:rPr>
                <w:spacing w:val="-12"/>
                <w:sz w:val="20"/>
              </w:rPr>
              <w:t> </w:t>
            </w:r>
            <w:r>
              <w:rPr>
                <w:sz w:val="20"/>
              </w:rPr>
              <w:t>и</w:t>
            </w:r>
            <w:r>
              <w:rPr>
                <w:spacing w:val="-13"/>
                <w:sz w:val="20"/>
              </w:rPr>
              <w:t> </w:t>
            </w:r>
            <w:r>
              <w:rPr>
                <w:sz w:val="20"/>
              </w:rPr>
              <w:t>вторичный паркинсонизм, деформирующая мышечная дистония, детский церебральный паралич и эссенциальный тремор</w:t>
            </w:r>
          </w:p>
        </w:tc>
        <w:tc>
          <w:tcPr>
            <w:tcW w:w="1498" w:type="dxa"/>
          </w:tcPr>
          <w:p>
            <w:pPr>
              <w:pStyle w:val="TableParagraph"/>
              <w:spacing w:line="252" w:lineRule="auto" w:before="60"/>
              <w:ind w:left="132"/>
              <w:rPr>
                <w:sz w:val="20"/>
              </w:rPr>
            </w:pPr>
            <w:r>
              <w:rPr>
                <w:spacing w:val="-2"/>
                <w:sz w:val="20"/>
              </w:rPr>
              <w:t>хирургическое лечение</w:t>
            </w:r>
          </w:p>
        </w:tc>
        <w:tc>
          <w:tcPr>
            <w:tcW w:w="3724" w:type="dxa"/>
          </w:tcPr>
          <w:p>
            <w:pPr>
              <w:pStyle w:val="TableParagraph"/>
              <w:spacing w:line="252" w:lineRule="auto" w:before="60"/>
              <w:ind w:left="108" w:right="1010"/>
              <w:rPr>
                <w:sz w:val="20"/>
              </w:rPr>
            </w:pPr>
            <w:r>
              <w:rPr>
                <w:sz w:val="20"/>
              </w:rPr>
              <w:t>стереотаксическая</w:t>
            </w:r>
            <w:r>
              <w:rPr>
                <w:spacing w:val="-13"/>
                <w:sz w:val="20"/>
              </w:rPr>
              <w:t> </w:t>
            </w:r>
            <w:r>
              <w:rPr>
                <w:sz w:val="20"/>
              </w:rPr>
              <w:t>деструкция подкорковых структур</w:t>
            </w:r>
          </w:p>
        </w:tc>
      </w:tr>
      <w:tr>
        <w:trPr>
          <w:trHeight w:val="1080" w:hRule="atLeast"/>
        </w:trPr>
        <w:tc>
          <w:tcPr>
            <w:tcW w:w="2738" w:type="dxa"/>
            <w:vMerge/>
            <w:tcBorders>
              <w:top w:val="nil"/>
            </w:tcBorders>
          </w:tcPr>
          <w:p>
            <w:pPr>
              <w:rPr>
                <w:sz w:val="2"/>
                <w:szCs w:val="2"/>
              </w:rPr>
            </w:pPr>
          </w:p>
        </w:tc>
        <w:tc>
          <w:tcPr>
            <w:tcW w:w="2078" w:type="dxa"/>
            <w:vMerge w:val="restart"/>
          </w:tcPr>
          <w:p>
            <w:pPr>
              <w:pStyle w:val="TableParagraph"/>
              <w:spacing w:line="249" w:lineRule="auto" w:before="60"/>
              <w:ind w:left="177" w:right="163" w:hanging="2"/>
              <w:jc w:val="center"/>
              <w:rPr>
                <w:sz w:val="20"/>
              </w:rPr>
            </w:pPr>
            <w:r>
              <w:rPr>
                <w:sz w:val="20"/>
              </w:rPr>
              <w:t>G09,</w:t>
            </w:r>
            <w:r>
              <w:rPr>
                <w:spacing w:val="-9"/>
                <w:sz w:val="20"/>
              </w:rPr>
              <w:t> </w:t>
            </w:r>
            <w:r>
              <w:rPr>
                <w:sz w:val="20"/>
              </w:rPr>
              <w:t>G24,</w:t>
            </w:r>
            <w:r>
              <w:rPr>
                <w:spacing w:val="-11"/>
                <w:sz w:val="20"/>
              </w:rPr>
              <w:t> </w:t>
            </w:r>
            <w:r>
              <w:rPr>
                <w:sz w:val="20"/>
              </w:rPr>
              <w:t>G35,</w:t>
            </w:r>
            <w:r>
              <w:rPr>
                <w:spacing w:val="-9"/>
                <w:sz w:val="20"/>
              </w:rPr>
              <w:t> </w:t>
            </w:r>
            <w:r>
              <w:rPr>
                <w:sz w:val="20"/>
              </w:rPr>
              <w:t>G80, G81.1,</w:t>
            </w:r>
            <w:r>
              <w:rPr>
                <w:spacing w:val="-3"/>
                <w:sz w:val="20"/>
              </w:rPr>
              <w:t> </w:t>
            </w:r>
            <w:r>
              <w:rPr>
                <w:sz w:val="20"/>
              </w:rPr>
              <w:t>G82.1,</w:t>
            </w:r>
            <w:r>
              <w:rPr>
                <w:spacing w:val="-5"/>
                <w:sz w:val="20"/>
              </w:rPr>
              <w:t> </w:t>
            </w:r>
            <w:r>
              <w:rPr>
                <w:spacing w:val="-2"/>
                <w:sz w:val="20"/>
              </w:rPr>
              <w:t>G82.4,</w:t>
            </w:r>
          </w:p>
          <w:p>
            <w:pPr>
              <w:pStyle w:val="TableParagraph"/>
              <w:spacing w:before="2"/>
              <w:ind w:left="104" w:right="94"/>
              <w:jc w:val="center"/>
              <w:rPr>
                <w:sz w:val="20"/>
              </w:rPr>
            </w:pPr>
            <w:r>
              <w:rPr>
                <w:sz w:val="20"/>
              </w:rPr>
              <w:t>G95.0,</w:t>
            </w:r>
            <w:r>
              <w:rPr>
                <w:spacing w:val="-4"/>
                <w:sz w:val="20"/>
              </w:rPr>
              <w:t> </w:t>
            </w:r>
            <w:r>
              <w:rPr>
                <w:sz w:val="20"/>
              </w:rPr>
              <w:t>G95.1,</w:t>
            </w:r>
            <w:r>
              <w:rPr>
                <w:spacing w:val="-5"/>
                <w:sz w:val="20"/>
              </w:rPr>
              <w:t> </w:t>
            </w:r>
            <w:r>
              <w:rPr>
                <w:spacing w:val="-2"/>
                <w:sz w:val="20"/>
              </w:rPr>
              <w:t>G95.8,</w:t>
            </w:r>
          </w:p>
          <w:p>
            <w:pPr>
              <w:pStyle w:val="TableParagraph"/>
              <w:spacing w:line="249" w:lineRule="auto" w:before="10"/>
              <w:ind w:left="106" w:right="90"/>
              <w:jc w:val="center"/>
              <w:rPr>
                <w:sz w:val="20"/>
              </w:rPr>
            </w:pPr>
            <w:r>
              <w:rPr>
                <w:sz w:val="20"/>
              </w:rPr>
              <w:t>I69.0</w:t>
            </w:r>
            <w:r>
              <w:rPr>
                <w:spacing w:val="-12"/>
                <w:sz w:val="20"/>
              </w:rPr>
              <w:t> </w:t>
            </w:r>
            <w:r>
              <w:rPr>
                <w:sz w:val="20"/>
              </w:rPr>
              <w:t>-</w:t>
            </w:r>
            <w:r>
              <w:rPr>
                <w:spacing w:val="-13"/>
                <w:sz w:val="20"/>
              </w:rPr>
              <w:t> </w:t>
            </w:r>
            <w:r>
              <w:rPr>
                <w:sz w:val="20"/>
              </w:rPr>
              <w:t>I69.8,</w:t>
            </w:r>
            <w:r>
              <w:rPr>
                <w:spacing w:val="-11"/>
                <w:sz w:val="20"/>
              </w:rPr>
              <w:t> </w:t>
            </w:r>
            <w:r>
              <w:rPr>
                <w:sz w:val="20"/>
              </w:rPr>
              <w:t>M96, T90.5, T91.3</w:t>
            </w:r>
          </w:p>
        </w:tc>
        <w:tc>
          <w:tcPr>
            <w:tcW w:w="3270" w:type="dxa"/>
            <w:vMerge w:val="restart"/>
          </w:tcPr>
          <w:p>
            <w:pPr>
              <w:pStyle w:val="TableParagraph"/>
              <w:spacing w:line="249" w:lineRule="auto" w:before="60"/>
              <w:ind w:left="95" w:right="131"/>
              <w:rPr>
                <w:sz w:val="20"/>
              </w:rPr>
            </w:pPr>
            <w:r>
              <w:rPr>
                <w:sz w:val="20"/>
              </w:rPr>
              <w:t>спастические, болевые синдромы, двигательные</w:t>
            </w:r>
            <w:r>
              <w:rPr>
                <w:spacing w:val="-13"/>
                <w:sz w:val="20"/>
              </w:rPr>
              <w:t> </w:t>
            </w:r>
            <w:r>
              <w:rPr>
                <w:sz w:val="20"/>
              </w:rPr>
              <w:t>и</w:t>
            </w:r>
            <w:r>
              <w:rPr>
                <w:spacing w:val="-12"/>
                <w:sz w:val="20"/>
              </w:rPr>
              <w:t> </w:t>
            </w:r>
            <w:r>
              <w:rPr>
                <w:sz w:val="20"/>
              </w:rPr>
              <w:t>тазовые</w:t>
            </w:r>
            <w:r>
              <w:rPr>
                <w:spacing w:val="-13"/>
                <w:sz w:val="20"/>
              </w:rPr>
              <w:t> </w:t>
            </w:r>
            <w:r>
              <w:rPr>
                <w:sz w:val="20"/>
              </w:rPr>
              <w:t>нарушения как проявления энцефалопатий и миелопатий различного генеза (онкологических процессов, последствий черепно-мозговой и </w:t>
            </w:r>
            <w:r>
              <w:rPr>
                <w:spacing w:val="-2"/>
                <w:sz w:val="20"/>
              </w:rPr>
              <w:t>позвоночно-спинномозговой </w:t>
            </w:r>
            <w:r>
              <w:rPr>
                <w:sz w:val="20"/>
              </w:rPr>
              <w:t>травмы, нарушений мозгового кровообращения</w:t>
            </w:r>
            <w:r>
              <w:rPr>
                <w:spacing w:val="-10"/>
                <w:sz w:val="20"/>
              </w:rPr>
              <w:t> </w:t>
            </w:r>
            <w:r>
              <w:rPr>
                <w:sz w:val="20"/>
              </w:rPr>
              <w:t>по</w:t>
            </w:r>
            <w:r>
              <w:rPr>
                <w:spacing w:val="-11"/>
                <w:sz w:val="20"/>
              </w:rPr>
              <w:t> </w:t>
            </w:r>
            <w:r>
              <w:rPr>
                <w:sz w:val="20"/>
              </w:rPr>
              <w:t>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98" w:type="dxa"/>
          </w:tcPr>
          <w:p>
            <w:pPr>
              <w:pStyle w:val="TableParagraph"/>
              <w:spacing w:line="249" w:lineRule="auto" w:before="60"/>
              <w:ind w:left="132"/>
              <w:rPr>
                <w:sz w:val="20"/>
              </w:rPr>
            </w:pPr>
            <w:r>
              <w:rPr>
                <w:spacing w:val="-2"/>
                <w:sz w:val="20"/>
              </w:rPr>
              <w:t>хирургическое лечение</w:t>
            </w:r>
          </w:p>
        </w:tc>
        <w:tc>
          <w:tcPr>
            <w:tcW w:w="3724" w:type="dxa"/>
          </w:tcPr>
          <w:p>
            <w:pPr>
              <w:pStyle w:val="TableParagraph"/>
              <w:spacing w:line="249" w:lineRule="auto" w:before="60"/>
              <w:ind w:left="108" w:right="47"/>
              <w:rPr>
                <w:sz w:val="20"/>
              </w:rPr>
            </w:pPr>
            <w:r>
              <w:rPr>
                <w:sz w:val="20"/>
              </w:rPr>
              <w:t>двухуровневое проведение</w:t>
            </w:r>
            <w:r>
              <w:rPr>
                <w:spacing w:val="40"/>
                <w:sz w:val="20"/>
              </w:rPr>
              <w:t> </w:t>
            </w:r>
            <w:r>
              <w:rPr>
                <w:sz w:val="20"/>
              </w:rPr>
              <w:t>эпидуральных</w:t>
            </w:r>
            <w:r>
              <w:rPr>
                <w:spacing w:val="-13"/>
                <w:sz w:val="20"/>
              </w:rPr>
              <w:t> </w:t>
            </w:r>
            <w:r>
              <w:rPr>
                <w:sz w:val="20"/>
              </w:rPr>
              <w:t>электродов</w:t>
            </w:r>
            <w:r>
              <w:rPr>
                <w:spacing w:val="-12"/>
                <w:sz w:val="20"/>
              </w:rPr>
              <w:t> </w:t>
            </w:r>
            <w:r>
              <w:rPr>
                <w:sz w:val="20"/>
              </w:rPr>
              <w:t>с</w:t>
            </w:r>
            <w:r>
              <w:rPr>
                <w:spacing w:val="-13"/>
                <w:sz w:val="20"/>
              </w:rPr>
              <w:t> </w:t>
            </w:r>
            <w:r>
              <w:rPr>
                <w:sz w:val="20"/>
              </w:rPr>
              <w:t>применением малоинвазивного инструментария под нейровизуализационным контролем</w:t>
            </w:r>
          </w:p>
        </w:tc>
      </w:tr>
      <w:tr>
        <w:trPr>
          <w:trHeight w:val="600" w:hRule="atLeast"/>
        </w:trPr>
        <w:tc>
          <w:tcPr>
            <w:tcW w:w="2738" w:type="dxa"/>
            <w:vMerge/>
            <w:tcBorders>
              <w:top w:val="nil"/>
            </w:tcBorders>
          </w:tcPr>
          <w:p>
            <w:pPr>
              <w:rPr>
                <w:sz w:val="2"/>
                <w:szCs w:val="2"/>
              </w:rPr>
            </w:pPr>
          </w:p>
        </w:tc>
        <w:tc>
          <w:tcPr>
            <w:tcW w:w="2078" w:type="dxa"/>
            <w:vMerge/>
            <w:tcBorders>
              <w:top w:val="nil"/>
            </w:tcBorders>
          </w:tcPr>
          <w:p>
            <w:pPr>
              <w:rPr>
                <w:sz w:val="2"/>
                <w:szCs w:val="2"/>
              </w:rPr>
            </w:pPr>
          </w:p>
        </w:tc>
        <w:tc>
          <w:tcPr>
            <w:tcW w:w="3270" w:type="dxa"/>
            <w:vMerge/>
            <w:tcBorders>
              <w:top w:val="nil"/>
            </w:tcBorders>
          </w:tcPr>
          <w:p>
            <w:pPr>
              <w:rPr>
                <w:sz w:val="2"/>
                <w:szCs w:val="2"/>
              </w:rPr>
            </w:pPr>
          </w:p>
        </w:tc>
        <w:tc>
          <w:tcPr>
            <w:tcW w:w="1498" w:type="dxa"/>
          </w:tcPr>
          <w:p>
            <w:pPr>
              <w:pStyle w:val="TableParagraph"/>
              <w:rPr>
                <w:sz w:val="18"/>
              </w:rPr>
            </w:pPr>
          </w:p>
        </w:tc>
        <w:tc>
          <w:tcPr>
            <w:tcW w:w="3724" w:type="dxa"/>
          </w:tcPr>
          <w:p>
            <w:pPr>
              <w:pStyle w:val="TableParagraph"/>
              <w:spacing w:line="249" w:lineRule="auto" w:before="60"/>
              <w:ind w:left="108" w:right="47"/>
              <w:rPr>
                <w:sz w:val="20"/>
              </w:rPr>
            </w:pPr>
            <w:r>
              <w:rPr>
                <w:sz w:val="20"/>
              </w:rPr>
              <w:t>селективная</w:t>
            </w:r>
            <w:r>
              <w:rPr>
                <w:spacing w:val="-13"/>
                <w:sz w:val="20"/>
              </w:rPr>
              <w:t> </w:t>
            </w:r>
            <w:r>
              <w:rPr>
                <w:sz w:val="20"/>
              </w:rPr>
              <w:t>невротомия,</w:t>
            </w:r>
            <w:r>
              <w:rPr>
                <w:spacing w:val="-12"/>
                <w:sz w:val="20"/>
              </w:rPr>
              <w:t> </w:t>
            </w:r>
            <w:r>
              <w:rPr>
                <w:sz w:val="20"/>
              </w:rPr>
              <w:t>селективная дорзальная ризотомия</w:t>
            </w:r>
          </w:p>
        </w:tc>
      </w:tr>
      <w:tr>
        <w:trPr>
          <w:trHeight w:val="1800" w:hRule="atLeast"/>
        </w:trPr>
        <w:tc>
          <w:tcPr>
            <w:tcW w:w="2738" w:type="dxa"/>
            <w:vMerge/>
            <w:tcBorders>
              <w:top w:val="nil"/>
            </w:tcBorders>
          </w:tcPr>
          <w:p>
            <w:pPr>
              <w:rPr>
                <w:sz w:val="2"/>
                <w:szCs w:val="2"/>
              </w:rPr>
            </w:pPr>
          </w:p>
        </w:tc>
        <w:tc>
          <w:tcPr>
            <w:tcW w:w="2078" w:type="dxa"/>
          </w:tcPr>
          <w:p>
            <w:pPr>
              <w:pStyle w:val="TableParagraph"/>
              <w:rPr>
                <w:sz w:val="18"/>
              </w:rPr>
            </w:pPr>
          </w:p>
        </w:tc>
        <w:tc>
          <w:tcPr>
            <w:tcW w:w="3270" w:type="dxa"/>
            <w:vMerge/>
            <w:tcBorders>
              <w:top w:val="nil"/>
            </w:tcBorders>
          </w:tcPr>
          <w:p>
            <w:pPr>
              <w:rPr>
                <w:sz w:val="2"/>
                <w:szCs w:val="2"/>
              </w:rPr>
            </w:pPr>
          </w:p>
        </w:tc>
        <w:tc>
          <w:tcPr>
            <w:tcW w:w="1498" w:type="dxa"/>
          </w:tcPr>
          <w:p>
            <w:pPr>
              <w:pStyle w:val="TableParagraph"/>
              <w:rPr>
                <w:sz w:val="18"/>
              </w:rPr>
            </w:pPr>
          </w:p>
        </w:tc>
        <w:tc>
          <w:tcPr>
            <w:tcW w:w="3724" w:type="dxa"/>
          </w:tcPr>
          <w:p>
            <w:pPr>
              <w:pStyle w:val="TableParagraph"/>
              <w:spacing w:line="249" w:lineRule="auto" w:before="60"/>
              <w:ind w:left="108" w:right="1010"/>
              <w:rPr>
                <w:sz w:val="20"/>
              </w:rPr>
            </w:pPr>
            <w:r>
              <w:rPr>
                <w:sz w:val="20"/>
              </w:rPr>
              <w:t>стереотаксическая</w:t>
            </w:r>
            <w:r>
              <w:rPr>
                <w:spacing w:val="-13"/>
                <w:sz w:val="20"/>
              </w:rPr>
              <w:t> </w:t>
            </w:r>
            <w:r>
              <w:rPr>
                <w:sz w:val="20"/>
              </w:rPr>
              <w:t>деструкция подкорковых структур</w:t>
            </w:r>
          </w:p>
        </w:tc>
      </w:tr>
      <w:tr>
        <w:trPr>
          <w:trHeight w:val="1080" w:hRule="atLeast"/>
        </w:trPr>
        <w:tc>
          <w:tcPr>
            <w:tcW w:w="2738" w:type="dxa"/>
          </w:tcPr>
          <w:p>
            <w:pPr>
              <w:pStyle w:val="TableParagraph"/>
              <w:rPr>
                <w:sz w:val="18"/>
              </w:rPr>
            </w:pPr>
          </w:p>
        </w:tc>
        <w:tc>
          <w:tcPr>
            <w:tcW w:w="2078" w:type="dxa"/>
          </w:tcPr>
          <w:p>
            <w:pPr>
              <w:pStyle w:val="TableParagraph"/>
              <w:spacing w:line="249" w:lineRule="auto" w:before="60"/>
              <w:ind w:left="501" w:hanging="358"/>
              <w:rPr>
                <w:sz w:val="20"/>
              </w:rPr>
            </w:pPr>
            <w:r>
              <w:rPr>
                <w:sz w:val="20"/>
              </w:rPr>
              <w:t>G31.8,</w:t>
            </w:r>
            <w:r>
              <w:rPr>
                <w:spacing w:val="-13"/>
                <w:sz w:val="20"/>
              </w:rPr>
              <w:t> </w:t>
            </w:r>
            <w:r>
              <w:rPr>
                <w:sz w:val="20"/>
              </w:rPr>
              <w:t>G40.1</w:t>
            </w:r>
            <w:r>
              <w:rPr>
                <w:spacing w:val="-9"/>
                <w:sz w:val="20"/>
              </w:rPr>
              <w:t> </w:t>
            </w:r>
            <w:r>
              <w:rPr>
                <w:sz w:val="20"/>
              </w:rPr>
              <w:t>-</w:t>
            </w:r>
            <w:r>
              <w:rPr>
                <w:spacing w:val="-13"/>
                <w:sz w:val="20"/>
              </w:rPr>
              <w:t> </w:t>
            </w:r>
            <w:r>
              <w:rPr>
                <w:sz w:val="20"/>
              </w:rPr>
              <w:t>G40.4, Q04.3, Q04.8</w:t>
            </w:r>
          </w:p>
        </w:tc>
        <w:tc>
          <w:tcPr>
            <w:tcW w:w="3270" w:type="dxa"/>
          </w:tcPr>
          <w:p>
            <w:pPr>
              <w:pStyle w:val="TableParagraph"/>
              <w:spacing w:line="249" w:lineRule="auto" w:before="60"/>
              <w:ind w:left="95" w:right="448"/>
              <w:rPr>
                <w:sz w:val="20"/>
              </w:rPr>
            </w:pPr>
            <w:r>
              <w:rPr>
                <w:sz w:val="20"/>
              </w:rPr>
              <w:t>симптоматическая эпилепсия </w:t>
            </w:r>
            <w:r>
              <w:rPr>
                <w:spacing w:val="-2"/>
                <w:w w:val="95"/>
                <w:sz w:val="20"/>
              </w:rPr>
              <w:t>(медикаментозно-резистентная)</w:t>
            </w:r>
          </w:p>
        </w:tc>
        <w:tc>
          <w:tcPr>
            <w:tcW w:w="1498" w:type="dxa"/>
          </w:tcPr>
          <w:p>
            <w:pPr>
              <w:pStyle w:val="TableParagraph"/>
              <w:spacing w:line="249" w:lineRule="auto" w:before="60"/>
              <w:ind w:left="132"/>
              <w:rPr>
                <w:sz w:val="20"/>
              </w:rPr>
            </w:pPr>
            <w:r>
              <w:rPr>
                <w:spacing w:val="-2"/>
                <w:sz w:val="20"/>
              </w:rPr>
              <w:t>хирургическое лечение</w:t>
            </w:r>
          </w:p>
        </w:tc>
        <w:tc>
          <w:tcPr>
            <w:tcW w:w="3724" w:type="dxa"/>
          </w:tcPr>
          <w:p>
            <w:pPr>
              <w:pStyle w:val="TableParagraph"/>
              <w:spacing w:line="249" w:lineRule="auto" w:before="60"/>
              <w:ind w:left="108" w:right="47"/>
              <w:rPr>
                <w:sz w:val="20"/>
              </w:rPr>
            </w:pPr>
            <w:r>
              <w:rPr>
                <w:sz w:val="20"/>
              </w:rPr>
              <w:t>селективное</w:t>
            </w:r>
            <w:r>
              <w:rPr>
                <w:spacing w:val="-13"/>
                <w:sz w:val="20"/>
              </w:rPr>
              <w:t> </w:t>
            </w:r>
            <w:r>
              <w:rPr>
                <w:sz w:val="20"/>
              </w:rPr>
              <w:t>удаление</w:t>
            </w:r>
            <w:r>
              <w:rPr>
                <w:spacing w:val="-12"/>
                <w:sz w:val="20"/>
              </w:rPr>
              <w:t> </w:t>
            </w:r>
            <w:r>
              <w:rPr>
                <w:sz w:val="20"/>
              </w:rPr>
              <w:t>и</w:t>
            </w:r>
            <w:r>
              <w:rPr>
                <w:spacing w:val="-13"/>
                <w:sz w:val="20"/>
              </w:rPr>
              <w:t> </w:t>
            </w:r>
            <w:r>
              <w:rPr>
                <w:sz w:val="20"/>
              </w:rPr>
              <w:t>разрушение эпилептических очагов с использо- ванием интраоперационного нейрофизиологического контроля</w:t>
            </w:r>
          </w:p>
        </w:tc>
      </w:tr>
      <w:tr>
        <w:trPr>
          <w:trHeight w:val="1250" w:hRule="atLeast"/>
        </w:trPr>
        <w:tc>
          <w:tcPr>
            <w:tcW w:w="2738" w:type="dxa"/>
          </w:tcPr>
          <w:p>
            <w:pPr>
              <w:pStyle w:val="TableParagraph"/>
              <w:rPr>
                <w:sz w:val="18"/>
              </w:rPr>
            </w:pPr>
          </w:p>
        </w:tc>
        <w:tc>
          <w:tcPr>
            <w:tcW w:w="2078" w:type="dxa"/>
          </w:tcPr>
          <w:p>
            <w:pPr>
              <w:pStyle w:val="TableParagraph"/>
              <w:rPr>
                <w:sz w:val="18"/>
              </w:rPr>
            </w:pPr>
          </w:p>
        </w:tc>
        <w:tc>
          <w:tcPr>
            <w:tcW w:w="3270" w:type="dxa"/>
          </w:tcPr>
          <w:p>
            <w:pPr>
              <w:pStyle w:val="TableParagraph"/>
              <w:rPr>
                <w:sz w:val="18"/>
              </w:rPr>
            </w:pPr>
          </w:p>
        </w:tc>
        <w:tc>
          <w:tcPr>
            <w:tcW w:w="1498" w:type="dxa"/>
          </w:tcPr>
          <w:p>
            <w:pPr>
              <w:pStyle w:val="TableParagraph"/>
              <w:rPr>
                <w:sz w:val="18"/>
              </w:rPr>
            </w:pPr>
          </w:p>
        </w:tc>
        <w:tc>
          <w:tcPr>
            <w:tcW w:w="3724" w:type="dxa"/>
          </w:tcPr>
          <w:p>
            <w:pPr>
              <w:pStyle w:val="TableParagraph"/>
              <w:spacing w:line="240" w:lineRule="atLeast" w:before="30"/>
              <w:ind w:left="108" w:right="47"/>
              <w:rPr>
                <w:sz w:val="20"/>
              </w:rPr>
            </w:pPr>
            <w:r>
              <w:rPr>
                <w:sz w:val="20"/>
              </w:rPr>
              <w:t>деструктивные операции на эпилеп- тических очагах с предварительным картированием мозга на основе инвазивной</w:t>
            </w:r>
            <w:r>
              <w:rPr>
                <w:spacing w:val="-13"/>
                <w:sz w:val="20"/>
              </w:rPr>
              <w:t> </w:t>
            </w:r>
            <w:r>
              <w:rPr>
                <w:sz w:val="20"/>
              </w:rPr>
              <w:t>имплантации</w:t>
            </w:r>
            <w:r>
              <w:rPr>
                <w:spacing w:val="-12"/>
                <w:sz w:val="20"/>
              </w:rPr>
              <w:t> </w:t>
            </w:r>
            <w:r>
              <w:rPr>
                <w:sz w:val="20"/>
              </w:rPr>
              <w:t>эпидуральных электродов и мониторирования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9"/>
        <w:gridCol w:w="2092"/>
        <w:gridCol w:w="3348"/>
        <w:gridCol w:w="1430"/>
        <w:gridCol w:w="3937"/>
        <w:gridCol w:w="1015"/>
      </w:tblGrid>
      <w:tr>
        <w:trPr>
          <w:trHeight w:val="1250" w:hRule="atLeast"/>
        </w:trPr>
        <w:tc>
          <w:tcPr>
            <w:tcW w:w="458" w:type="dxa"/>
          </w:tcPr>
          <w:p>
            <w:pPr>
              <w:pStyle w:val="TableParagraph"/>
              <w:rPr>
                <w:sz w:val="18"/>
              </w:rPr>
            </w:pPr>
          </w:p>
        </w:tc>
        <w:tc>
          <w:tcPr>
            <w:tcW w:w="2819" w:type="dxa"/>
          </w:tcPr>
          <w:p>
            <w:pPr>
              <w:pStyle w:val="TableParagraph"/>
              <w:rPr>
                <w:sz w:val="18"/>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9" w:lineRule="auto"/>
              <w:ind w:left="109" w:right="315"/>
              <w:rPr>
                <w:sz w:val="20"/>
              </w:rPr>
            </w:pPr>
            <w:r>
              <w:rPr>
                <w:sz w:val="20"/>
              </w:rPr>
              <w:t>имплантация, в том числе стереотаксическая,</w:t>
            </w:r>
            <w:r>
              <w:rPr>
                <w:spacing w:val="-13"/>
                <w:sz w:val="20"/>
              </w:rPr>
              <w:t> </w:t>
            </w:r>
            <w:r>
              <w:rPr>
                <w:sz w:val="20"/>
              </w:rPr>
              <w:t>внутримозговых</w:t>
            </w:r>
            <w:r>
              <w:rPr>
                <w:spacing w:val="-12"/>
                <w:sz w:val="20"/>
              </w:rPr>
              <w:t> </w:t>
            </w:r>
            <w:r>
              <w:rPr>
                <w:sz w:val="20"/>
              </w:rPr>
              <w:t>и эпидуральных электродов для проведения нейрофизиологического </w:t>
            </w:r>
            <w:r>
              <w:rPr>
                <w:spacing w:val="-2"/>
                <w:sz w:val="20"/>
              </w:rPr>
              <w:t>мониторинга</w:t>
            </w:r>
          </w:p>
        </w:tc>
        <w:tc>
          <w:tcPr>
            <w:tcW w:w="1015" w:type="dxa"/>
          </w:tcPr>
          <w:p>
            <w:pPr>
              <w:pStyle w:val="TableParagraph"/>
              <w:rPr>
                <w:sz w:val="18"/>
              </w:rPr>
            </w:pPr>
          </w:p>
        </w:tc>
      </w:tr>
      <w:tr>
        <w:trPr>
          <w:trHeight w:val="2280" w:hRule="atLeast"/>
        </w:trPr>
        <w:tc>
          <w:tcPr>
            <w:tcW w:w="458" w:type="dxa"/>
          </w:tcPr>
          <w:p>
            <w:pPr>
              <w:pStyle w:val="TableParagraph"/>
              <w:spacing w:before="60"/>
              <w:ind w:left="50"/>
              <w:rPr>
                <w:sz w:val="20"/>
              </w:rPr>
            </w:pPr>
            <w:r>
              <w:rPr>
                <w:spacing w:val="-5"/>
                <w:sz w:val="20"/>
              </w:rPr>
              <w:t>16.</w:t>
            </w:r>
          </w:p>
        </w:tc>
        <w:tc>
          <w:tcPr>
            <w:tcW w:w="2819" w:type="dxa"/>
            <w:vMerge w:val="restart"/>
          </w:tcPr>
          <w:p>
            <w:pPr>
              <w:pStyle w:val="TableParagraph"/>
              <w:spacing w:line="249" w:lineRule="auto" w:before="60"/>
              <w:ind w:left="155" w:right="140"/>
              <w:rPr>
                <w:sz w:val="20"/>
              </w:rPr>
            </w:pPr>
            <w:r>
              <w:rPr>
                <w:spacing w:val="-2"/>
                <w:sz w:val="20"/>
              </w:rPr>
              <w:t>Реконструктивные </w:t>
            </w:r>
            <w:r>
              <w:rPr>
                <w:sz w:val="20"/>
              </w:rPr>
              <w:t>вмешательства</w:t>
            </w:r>
            <w:r>
              <w:rPr>
                <w:spacing w:val="-13"/>
                <w:sz w:val="20"/>
              </w:rPr>
              <w:t> </w:t>
            </w:r>
            <w:r>
              <w:rPr>
                <w:sz w:val="20"/>
              </w:rPr>
              <w:t>при</w:t>
            </w:r>
            <w:r>
              <w:rPr>
                <w:spacing w:val="-12"/>
                <w:sz w:val="20"/>
              </w:rPr>
              <w:t> </w:t>
            </w:r>
            <w:r>
              <w:rPr>
                <w:sz w:val="20"/>
              </w:rPr>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rPr>
                <w:spacing w:val="-2"/>
                <w:sz w:val="20"/>
              </w:rPr>
              <w:t>использованием </w:t>
            </w:r>
            <w:r>
              <w:rPr>
                <w:sz w:val="20"/>
              </w:rPr>
              <w:t>ресурсоемких имплантатов</w:t>
            </w:r>
          </w:p>
        </w:tc>
        <w:tc>
          <w:tcPr>
            <w:tcW w:w="2092" w:type="dxa"/>
          </w:tcPr>
          <w:p>
            <w:pPr>
              <w:pStyle w:val="TableParagraph"/>
              <w:spacing w:before="60"/>
              <w:ind w:left="145" w:right="96"/>
              <w:jc w:val="center"/>
              <w:rPr>
                <w:sz w:val="20"/>
              </w:rPr>
            </w:pPr>
            <w:r>
              <w:rPr>
                <w:sz w:val="20"/>
              </w:rPr>
              <w:t>M84.8,</w:t>
            </w:r>
            <w:r>
              <w:rPr>
                <w:spacing w:val="-6"/>
                <w:sz w:val="20"/>
              </w:rPr>
              <w:t> </w:t>
            </w:r>
            <w:r>
              <w:rPr>
                <w:sz w:val="20"/>
              </w:rPr>
              <w:t>M85.0,</w:t>
            </w:r>
            <w:r>
              <w:rPr>
                <w:spacing w:val="-5"/>
                <w:sz w:val="20"/>
              </w:rPr>
              <w:t> </w:t>
            </w:r>
            <w:r>
              <w:rPr>
                <w:spacing w:val="-2"/>
                <w:sz w:val="20"/>
              </w:rPr>
              <w:t>M85.5,</w:t>
            </w:r>
          </w:p>
          <w:p>
            <w:pPr>
              <w:pStyle w:val="TableParagraph"/>
              <w:spacing w:before="10"/>
              <w:ind w:left="145" w:right="92"/>
              <w:jc w:val="center"/>
              <w:rPr>
                <w:sz w:val="20"/>
              </w:rPr>
            </w:pPr>
            <w:r>
              <w:rPr>
                <w:sz w:val="20"/>
              </w:rPr>
              <w:t>Q01,</w:t>
            </w:r>
            <w:r>
              <w:rPr>
                <w:spacing w:val="-3"/>
                <w:sz w:val="20"/>
              </w:rPr>
              <w:t> </w:t>
            </w:r>
            <w:r>
              <w:rPr>
                <w:sz w:val="20"/>
              </w:rPr>
              <w:t>Q67.2 -</w:t>
            </w:r>
            <w:r>
              <w:rPr>
                <w:spacing w:val="-4"/>
                <w:sz w:val="20"/>
              </w:rPr>
              <w:t> </w:t>
            </w:r>
            <w:r>
              <w:rPr>
                <w:spacing w:val="-2"/>
                <w:sz w:val="20"/>
              </w:rPr>
              <w:t>Q67.3,</w:t>
            </w:r>
          </w:p>
          <w:p>
            <w:pPr>
              <w:pStyle w:val="TableParagraph"/>
              <w:spacing w:before="10"/>
              <w:ind w:left="143" w:right="96"/>
              <w:jc w:val="center"/>
              <w:rPr>
                <w:sz w:val="20"/>
              </w:rPr>
            </w:pPr>
            <w:r>
              <w:rPr>
                <w:sz w:val="20"/>
              </w:rPr>
              <w:t>Q75.0</w:t>
            </w:r>
            <w:r>
              <w:rPr>
                <w:spacing w:val="-1"/>
                <w:sz w:val="20"/>
              </w:rPr>
              <w:t> </w:t>
            </w:r>
            <w:r>
              <w:rPr>
                <w:sz w:val="20"/>
              </w:rPr>
              <w:t>-</w:t>
            </w:r>
            <w:r>
              <w:rPr>
                <w:spacing w:val="-5"/>
                <w:sz w:val="20"/>
              </w:rPr>
              <w:t> </w:t>
            </w:r>
            <w:r>
              <w:rPr>
                <w:sz w:val="20"/>
              </w:rPr>
              <w:t>Q75.2,</w:t>
            </w:r>
            <w:r>
              <w:rPr>
                <w:spacing w:val="-3"/>
                <w:sz w:val="20"/>
              </w:rPr>
              <w:t> </w:t>
            </w:r>
            <w:r>
              <w:rPr>
                <w:spacing w:val="-2"/>
                <w:sz w:val="20"/>
              </w:rPr>
              <w:t>Q75.8,</w:t>
            </w:r>
          </w:p>
          <w:p>
            <w:pPr>
              <w:pStyle w:val="TableParagraph"/>
              <w:spacing w:before="10"/>
              <w:ind w:left="144" w:right="96"/>
              <w:jc w:val="center"/>
              <w:rPr>
                <w:sz w:val="20"/>
              </w:rPr>
            </w:pPr>
            <w:r>
              <w:rPr>
                <w:sz w:val="20"/>
              </w:rPr>
              <w:t>Q87.0,</w:t>
            </w:r>
            <w:r>
              <w:rPr>
                <w:spacing w:val="-3"/>
                <w:sz w:val="20"/>
              </w:rPr>
              <w:t> </w:t>
            </w:r>
            <w:r>
              <w:rPr>
                <w:sz w:val="20"/>
              </w:rPr>
              <w:t>S02.1 -</w:t>
            </w:r>
            <w:r>
              <w:rPr>
                <w:spacing w:val="-5"/>
                <w:sz w:val="20"/>
              </w:rPr>
              <w:t> </w:t>
            </w:r>
            <w:r>
              <w:rPr>
                <w:spacing w:val="-2"/>
                <w:sz w:val="20"/>
              </w:rPr>
              <w:t>S02.2,</w:t>
            </w:r>
          </w:p>
          <w:p>
            <w:pPr>
              <w:pStyle w:val="TableParagraph"/>
              <w:spacing w:line="249" w:lineRule="auto" w:before="10"/>
              <w:ind w:left="145" w:right="92"/>
              <w:jc w:val="center"/>
              <w:rPr>
                <w:sz w:val="20"/>
              </w:rPr>
            </w:pPr>
            <w:r>
              <w:rPr>
                <w:sz w:val="20"/>
              </w:rPr>
              <w:t>S02.7</w:t>
            </w:r>
            <w:r>
              <w:rPr>
                <w:spacing w:val="-12"/>
                <w:sz w:val="20"/>
              </w:rPr>
              <w:t> </w:t>
            </w:r>
            <w:r>
              <w:rPr>
                <w:sz w:val="20"/>
              </w:rPr>
              <w:t>-</w:t>
            </w:r>
            <w:r>
              <w:rPr>
                <w:spacing w:val="-12"/>
                <w:sz w:val="20"/>
              </w:rPr>
              <w:t> </w:t>
            </w:r>
            <w:r>
              <w:rPr>
                <w:sz w:val="20"/>
              </w:rPr>
              <w:t>S02.9,</w:t>
            </w:r>
            <w:r>
              <w:rPr>
                <w:spacing w:val="-13"/>
                <w:sz w:val="20"/>
              </w:rPr>
              <w:t> </w:t>
            </w:r>
            <w:r>
              <w:rPr>
                <w:sz w:val="20"/>
              </w:rPr>
              <w:t>T90.2, </w:t>
            </w:r>
            <w:r>
              <w:rPr>
                <w:spacing w:val="-2"/>
                <w:sz w:val="20"/>
              </w:rPr>
              <w:t>T88.8</w:t>
            </w:r>
          </w:p>
        </w:tc>
        <w:tc>
          <w:tcPr>
            <w:tcW w:w="3348" w:type="dxa"/>
          </w:tcPr>
          <w:p>
            <w:pPr>
              <w:pStyle w:val="TableParagraph"/>
              <w:spacing w:line="249" w:lineRule="auto" w:before="60"/>
              <w:ind w:left="105" w:right="58"/>
              <w:rPr>
                <w:sz w:val="20"/>
              </w:rPr>
            </w:pPr>
            <w:r>
              <w:rPr>
                <w:sz w:val="20"/>
              </w:rPr>
              <w:t>сложные</w:t>
            </w:r>
            <w:r>
              <w:rPr>
                <w:spacing w:val="-9"/>
                <w:sz w:val="20"/>
              </w:rPr>
              <w:t> </w:t>
            </w:r>
            <w:r>
              <w:rPr>
                <w:sz w:val="20"/>
              </w:rPr>
              <w:t>и</w:t>
            </w:r>
            <w:r>
              <w:rPr>
                <w:spacing w:val="-12"/>
                <w:sz w:val="20"/>
              </w:rPr>
              <w:t> </w:t>
            </w:r>
            <w:r>
              <w:rPr>
                <w:sz w:val="20"/>
              </w:rPr>
              <w:t>гигантские</w:t>
            </w:r>
            <w:r>
              <w:rPr>
                <w:spacing w:val="-11"/>
                <w:sz w:val="20"/>
              </w:rPr>
              <w:t> </w:t>
            </w:r>
            <w:r>
              <w:rPr>
                <w:sz w:val="20"/>
              </w:rPr>
              <w:t>дефекты</w:t>
            </w:r>
            <w:r>
              <w:rPr>
                <w:spacing w:val="-11"/>
                <w:sz w:val="20"/>
              </w:rPr>
              <w:t> </w:t>
            </w:r>
            <w:r>
              <w:rPr>
                <w:sz w:val="20"/>
              </w:rPr>
              <w:t>и деформации свода и основания черепа, орбиты и прилегающих отделов лицевого скелета врожденного и приобретенного </w:t>
            </w:r>
            <w:r>
              <w:rPr>
                <w:spacing w:val="-2"/>
                <w:sz w:val="20"/>
              </w:rPr>
              <w:t>генеза</w:t>
            </w:r>
          </w:p>
        </w:tc>
        <w:tc>
          <w:tcPr>
            <w:tcW w:w="1430" w:type="dxa"/>
          </w:tcPr>
          <w:p>
            <w:pPr>
              <w:pStyle w:val="TableParagraph"/>
              <w:spacing w:line="249" w:lineRule="auto" w:before="60"/>
              <w:ind w:left="65"/>
              <w:rPr>
                <w:sz w:val="20"/>
              </w:rPr>
            </w:pPr>
            <w:r>
              <w:rPr>
                <w:spacing w:val="-2"/>
                <w:sz w:val="20"/>
              </w:rPr>
              <w:t>хирургическое лечение</w:t>
            </w:r>
          </w:p>
        </w:tc>
        <w:tc>
          <w:tcPr>
            <w:tcW w:w="3937" w:type="dxa"/>
          </w:tcPr>
          <w:p>
            <w:pPr>
              <w:pStyle w:val="TableParagraph"/>
              <w:spacing w:line="249" w:lineRule="auto" w:before="60"/>
              <w:ind w:left="109" w:right="315"/>
              <w:rPr>
                <w:sz w:val="20"/>
              </w:rPr>
            </w:pPr>
            <w:r>
              <w:rPr>
                <w:sz w:val="20"/>
              </w:rPr>
              <w:t>микрохирургическая</w:t>
            </w:r>
            <w:r>
              <w:rPr>
                <w:spacing w:val="-13"/>
                <w:sz w:val="20"/>
              </w:rPr>
              <w:t> </w:t>
            </w:r>
            <w:r>
              <w:rPr>
                <w:sz w:val="20"/>
              </w:rPr>
              <w:t>реконструкция</w:t>
            </w:r>
            <w:r>
              <w:rPr>
                <w:spacing w:val="-12"/>
                <w:sz w:val="20"/>
              </w:rPr>
              <w:t> </w:t>
            </w:r>
            <w:r>
              <w:rPr>
                <w:sz w:val="20"/>
              </w:rPr>
              <w:t>при врожденных и приобретенных сложных и гигантских дефектах и деформациях свода, лицевого скелета и основания черепа с компьютерным и стереолито- графическим моделированием с применением биосовместимых пластических материалов и ресурсоемких имплантатов</w:t>
            </w:r>
          </w:p>
        </w:tc>
        <w:tc>
          <w:tcPr>
            <w:tcW w:w="1015" w:type="dxa"/>
          </w:tcPr>
          <w:p>
            <w:pPr>
              <w:pStyle w:val="TableParagraph"/>
              <w:spacing w:before="60"/>
              <w:ind w:left="365"/>
              <w:rPr>
                <w:sz w:val="20"/>
              </w:rPr>
            </w:pPr>
            <w:r>
              <w:rPr>
                <w:spacing w:val="-2"/>
                <w:sz w:val="20"/>
              </w:rPr>
              <w:t>237312</w:t>
            </w:r>
          </w:p>
        </w:tc>
      </w:tr>
      <w:tr>
        <w:trPr>
          <w:trHeight w:val="1320" w:hRule="atLeast"/>
        </w:trPr>
        <w:tc>
          <w:tcPr>
            <w:tcW w:w="458" w:type="dxa"/>
          </w:tcPr>
          <w:p>
            <w:pPr>
              <w:pStyle w:val="TableParagraph"/>
              <w:rPr>
                <w:sz w:val="18"/>
              </w:rPr>
            </w:pPr>
          </w:p>
        </w:tc>
        <w:tc>
          <w:tcPr>
            <w:tcW w:w="2819" w:type="dxa"/>
            <w:vMerge/>
            <w:tcBorders>
              <w:top w:val="nil"/>
            </w:tcBorders>
          </w:tcPr>
          <w:p>
            <w:pPr>
              <w:rPr>
                <w:sz w:val="2"/>
                <w:szCs w:val="2"/>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9" w:lineRule="auto" w:before="60"/>
              <w:ind w:left="109" w:right="383"/>
              <w:rPr>
                <w:sz w:val="20"/>
              </w:rPr>
            </w:pPr>
            <w:r>
              <w:rPr>
                <w:sz w:val="20"/>
              </w:rPr>
              <w:t>эндоскопическая реконструкция врожденных</w:t>
            </w:r>
            <w:r>
              <w:rPr>
                <w:spacing w:val="-13"/>
                <w:sz w:val="20"/>
              </w:rPr>
              <w:t> </w:t>
            </w:r>
            <w:r>
              <w:rPr>
                <w:sz w:val="20"/>
              </w:rPr>
              <w:t>и</w:t>
            </w:r>
            <w:r>
              <w:rPr>
                <w:spacing w:val="-12"/>
                <w:sz w:val="20"/>
              </w:rPr>
              <w:t> </w:t>
            </w:r>
            <w:r>
              <w:rPr>
                <w:sz w:val="20"/>
              </w:rPr>
              <w:t>приобретенных</w:t>
            </w:r>
            <w:r>
              <w:rPr>
                <w:spacing w:val="-13"/>
                <w:sz w:val="20"/>
              </w:rPr>
              <w:t> </w:t>
            </w:r>
            <w:r>
              <w:rPr>
                <w:sz w:val="20"/>
              </w:rPr>
              <w:t>дефектов и деформации лицевого скелета и основания черепа с применением ауто- и (или) аллотрансплантатов</w:t>
            </w:r>
          </w:p>
        </w:tc>
        <w:tc>
          <w:tcPr>
            <w:tcW w:w="1015" w:type="dxa"/>
          </w:tcPr>
          <w:p>
            <w:pPr>
              <w:pStyle w:val="TableParagraph"/>
              <w:rPr>
                <w:sz w:val="18"/>
              </w:rPr>
            </w:pPr>
          </w:p>
        </w:tc>
      </w:tr>
      <w:tr>
        <w:trPr>
          <w:trHeight w:val="1080" w:hRule="atLeast"/>
        </w:trPr>
        <w:tc>
          <w:tcPr>
            <w:tcW w:w="458" w:type="dxa"/>
          </w:tcPr>
          <w:p>
            <w:pPr>
              <w:pStyle w:val="TableParagraph"/>
              <w:rPr>
                <w:sz w:val="18"/>
              </w:rPr>
            </w:pPr>
          </w:p>
        </w:tc>
        <w:tc>
          <w:tcPr>
            <w:tcW w:w="2819" w:type="dxa"/>
            <w:vMerge w:val="restart"/>
          </w:tcPr>
          <w:p>
            <w:pPr>
              <w:pStyle w:val="TableParagraph"/>
              <w:spacing w:line="249" w:lineRule="auto" w:before="60"/>
              <w:ind w:left="155" w:right="140"/>
              <w:rPr>
                <w:sz w:val="20"/>
              </w:rPr>
            </w:pPr>
            <w:r>
              <w:rPr>
                <w:spacing w:val="-2"/>
                <w:sz w:val="20"/>
              </w:rPr>
              <w:t>Микрохирургические </w:t>
            </w:r>
            <w:r>
              <w:rPr>
                <w:sz w:val="20"/>
              </w:rPr>
              <w:t>вмешательства на периферических нервах и сплетениях</w:t>
            </w:r>
            <w:r>
              <w:rPr>
                <w:spacing w:val="-13"/>
                <w:sz w:val="20"/>
              </w:rPr>
              <w:t> </w:t>
            </w:r>
            <w:r>
              <w:rPr>
                <w:sz w:val="20"/>
              </w:rPr>
              <w:t>с</w:t>
            </w:r>
            <w:r>
              <w:rPr>
                <w:spacing w:val="-12"/>
                <w:sz w:val="20"/>
              </w:rPr>
              <w:t> </w:t>
            </w:r>
            <w:r>
              <w:rPr>
                <w:sz w:val="20"/>
              </w:rPr>
              <w:t>одномоментной пластикой нервных стволов </w:t>
            </w:r>
            <w:r>
              <w:rPr>
                <w:spacing w:val="-2"/>
                <w:sz w:val="20"/>
              </w:rPr>
              <w:t>аутотрансплантатами.</w:t>
            </w:r>
          </w:p>
          <w:p>
            <w:pPr>
              <w:pStyle w:val="TableParagraph"/>
              <w:spacing w:line="249" w:lineRule="auto" w:before="6"/>
              <w:ind w:left="155" w:right="282"/>
              <w:rPr>
                <w:sz w:val="20"/>
              </w:rPr>
            </w:pPr>
            <w:r>
              <w:rPr>
                <w:sz w:val="20"/>
              </w:rPr>
              <w:t>Имплантация временных электродов для нейростимуляции</w:t>
            </w:r>
            <w:r>
              <w:rPr>
                <w:spacing w:val="-13"/>
                <w:sz w:val="20"/>
              </w:rPr>
              <w:t> </w:t>
            </w:r>
            <w:r>
              <w:rPr>
                <w:sz w:val="20"/>
              </w:rPr>
              <w:t>спинного мозга и периферических </w:t>
            </w:r>
            <w:r>
              <w:rPr>
                <w:spacing w:val="-2"/>
                <w:sz w:val="20"/>
              </w:rPr>
              <w:t>нервов</w:t>
            </w:r>
          </w:p>
        </w:tc>
        <w:tc>
          <w:tcPr>
            <w:tcW w:w="2092" w:type="dxa"/>
          </w:tcPr>
          <w:p>
            <w:pPr>
              <w:pStyle w:val="TableParagraph"/>
              <w:spacing w:line="249" w:lineRule="auto" w:before="60"/>
              <w:ind w:left="526" w:hanging="358"/>
              <w:rPr>
                <w:sz w:val="20"/>
              </w:rPr>
            </w:pPr>
            <w:r>
              <w:rPr>
                <w:sz w:val="20"/>
              </w:rPr>
              <w:t>G54.0</w:t>
            </w:r>
            <w:r>
              <w:rPr>
                <w:spacing w:val="-11"/>
                <w:sz w:val="20"/>
              </w:rPr>
              <w:t> </w:t>
            </w:r>
            <w:r>
              <w:rPr>
                <w:sz w:val="20"/>
              </w:rPr>
              <w:t>-</w:t>
            </w:r>
            <w:r>
              <w:rPr>
                <w:spacing w:val="-13"/>
                <w:sz w:val="20"/>
              </w:rPr>
              <w:t> </w:t>
            </w:r>
            <w:r>
              <w:rPr>
                <w:sz w:val="20"/>
              </w:rPr>
              <w:t>G54.4,</w:t>
            </w:r>
            <w:r>
              <w:rPr>
                <w:spacing w:val="-12"/>
                <w:sz w:val="20"/>
              </w:rPr>
              <w:t> </w:t>
            </w:r>
            <w:r>
              <w:rPr>
                <w:sz w:val="20"/>
              </w:rPr>
              <w:t>G54.6, G54.8, G54.9</w:t>
            </w:r>
          </w:p>
        </w:tc>
        <w:tc>
          <w:tcPr>
            <w:tcW w:w="3348" w:type="dxa"/>
          </w:tcPr>
          <w:p>
            <w:pPr>
              <w:pStyle w:val="TableParagraph"/>
              <w:spacing w:line="249" w:lineRule="auto" w:before="60"/>
              <w:ind w:left="105" w:right="58"/>
              <w:rPr>
                <w:sz w:val="20"/>
              </w:rPr>
            </w:pPr>
            <w:r>
              <w:rPr>
                <w:sz w:val="20"/>
              </w:rPr>
              <w:t>поражения плечевого сплетения и шейных</w:t>
            </w:r>
            <w:r>
              <w:rPr>
                <w:spacing w:val="-13"/>
                <w:sz w:val="20"/>
              </w:rPr>
              <w:t> </w:t>
            </w:r>
            <w:r>
              <w:rPr>
                <w:sz w:val="20"/>
              </w:rPr>
              <w:t>корешков,</w:t>
            </w:r>
            <w:r>
              <w:rPr>
                <w:spacing w:val="-12"/>
                <w:sz w:val="20"/>
              </w:rPr>
              <w:t> </w:t>
            </w:r>
            <w:r>
              <w:rPr>
                <w:sz w:val="20"/>
              </w:rPr>
              <w:t>синдром</w:t>
            </w:r>
            <w:r>
              <w:rPr>
                <w:spacing w:val="-13"/>
                <w:sz w:val="20"/>
              </w:rPr>
              <w:t> </w:t>
            </w:r>
            <w:r>
              <w:rPr>
                <w:sz w:val="20"/>
              </w:rPr>
              <w:t>фантома конечности с болью, невропатией или радикулопатией</w:t>
            </w:r>
          </w:p>
        </w:tc>
        <w:tc>
          <w:tcPr>
            <w:tcW w:w="1430" w:type="dxa"/>
          </w:tcPr>
          <w:p>
            <w:pPr>
              <w:pStyle w:val="TableParagraph"/>
              <w:spacing w:line="249" w:lineRule="auto" w:before="60"/>
              <w:ind w:left="65"/>
              <w:rPr>
                <w:sz w:val="20"/>
              </w:rPr>
            </w:pPr>
            <w:r>
              <w:rPr>
                <w:spacing w:val="-2"/>
                <w:sz w:val="20"/>
              </w:rPr>
              <w:t>хирургическое лечение</w:t>
            </w:r>
          </w:p>
        </w:tc>
        <w:tc>
          <w:tcPr>
            <w:tcW w:w="3937" w:type="dxa"/>
          </w:tcPr>
          <w:p>
            <w:pPr>
              <w:pStyle w:val="TableParagraph"/>
              <w:spacing w:line="249" w:lineRule="auto" w:before="60"/>
              <w:ind w:left="109" w:right="315"/>
              <w:rPr>
                <w:sz w:val="20"/>
              </w:rPr>
            </w:pPr>
            <w:r>
              <w:rPr>
                <w:sz w:val="20"/>
              </w:rPr>
              <w:t>невролиз</w:t>
            </w:r>
            <w:r>
              <w:rPr>
                <w:spacing w:val="-9"/>
                <w:sz w:val="20"/>
              </w:rPr>
              <w:t> </w:t>
            </w:r>
            <w:r>
              <w:rPr>
                <w:sz w:val="20"/>
              </w:rPr>
              <w:t>и</w:t>
            </w:r>
            <w:r>
              <w:rPr>
                <w:spacing w:val="-12"/>
                <w:sz w:val="20"/>
              </w:rPr>
              <w:t> </w:t>
            </w:r>
            <w:r>
              <w:rPr>
                <w:sz w:val="20"/>
              </w:rPr>
              <w:t>трансплантация</w:t>
            </w:r>
            <w:r>
              <w:rPr>
                <w:spacing w:val="-10"/>
                <w:sz w:val="20"/>
              </w:rPr>
              <w:t> </w:t>
            </w:r>
            <w:r>
              <w:rPr>
                <w:sz w:val="20"/>
              </w:rPr>
              <w:t>нерва</w:t>
            </w:r>
            <w:r>
              <w:rPr>
                <w:spacing w:val="-12"/>
                <w:sz w:val="20"/>
              </w:rPr>
              <w:t> </w:t>
            </w:r>
            <w:r>
              <w:rPr>
                <w:sz w:val="20"/>
              </w:rPr>
              <w:t>под </w:t>
            </w:r>
            <w:r>
              <w:rPr>
                <w:spacing w:val="-2"/>
                <w:sz w:val="20"/>
              </w:rPr>
              <w:t>интраоперационным </w:t>
            </w:r>
            <w:r>
              <w:rPr>
                <w:sz w:val="20"/>
              </w:rPr>
              <w:t>нейрофизиологическим и эндоскопическим контролем</w:t>
            </w:r>
          </w:p>
        </w:tc>
        <w:tc>
          <w:tcPr>
            <w:tcW w:w="1015" w:type="dxa"/>
          </w:tcPr>
          <w:p>
            <w:pPr>
              <w:pStyle w:val="TableParagraph"/>
              <w:rPr>
                <w:sz w:val="18"/>
              </w:rPr>
            </w:pPr>
          </w:p>
        </w:tc>
      </w:tr>
      <w:tr>
        <w:trPr>
          <w:trHeight w:val="1320" w:hRule="atLeast"/>
        </w:trPr>
        <w:tc>
          <w:tcPr>
            <w:tcW w:w="458" w:type="dxa"/>
          </w:tcPr>
          <w:p>
            <w:pPr>
              <w:pStyle w:val="TableParagraph"/>
              <w:rPr>
                <w:sz w:val="18"/>
              </w:rPr>
            </w:pPr>
          </w:p>
        </w:tc>
        <w:tc>
          <w:tcPr>
            <w:tcW w:w="2819" w:type="dxa"/>
            <w:vMerge/>
            <w:tcBorders>
              <w:top w:val="nil"/>
            </w:tcBorders>
          </w:tcPr>
          <w:p>
            <w:pPr>
              <w:rPr>
                <w:sz w:val="2"/>
                <w:szCs w:val="2"/>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9" w:lineRule="auto" w:before="60"/>
              <w:ind w:left="109" w:right="1517"/>
              <w:rPr>
                <w:sz w:val="20"/>
              </w:rPr>
            </w:pPr>
            <w:r>
              <w:rPr>
                <w:sz w:val="20"/>
              </w:rPr>
              <w:t>двухуровневое</w:t>
            </w:r>
            <w:r>
              <w:rPr>
                <w:spacing w:val="-13"/>
                <w:sz w:val="20"/>
              </w:rPr>
              <w:t> </w:t>
            </w:r>
            <w:r>
              <w:rPr>
                <w:sz w:val="20"/>
              </w:rPr>
              <w:t>проведение эпидуральных электродов</w:t>
            </w:r>
          </w:p>
          <w:p>
            <w:pPr>
              <w:pStyle w:val="TableParagraph"/>
              <w:spacing w:line="249" w:lineRule="auto" w:before="2"/>
              <w:ind w:left="109" w:right="728"/>
              <w:rPr>
                <w:sz w:val="20"/>
              </w:rPr>
            </w:pPr>
            <w:r>
              <w:rPr>
                <w:sz w:val="20"/>
              </w:rPr>
              <w:t>с применением малоинвазивного инструментария под нейровизуализационным</w:t>
            </w:r>
            <w:r>
              <w:rPr>
                <w:spacing w:val="-13"/>
                <w:sz w:val="20"/>
              </w:rPr>
              <w:t> </w:t>
            </w:r>
            <w:r>
              <w:rPr>
                <w:sz w:val="20"/>
              </w:rPr>
              <w:t>контролем</w:t>
            </w:r>
          </w:p>
        </w:tc>
        <w:tc>
          <w:tcPr>
            <w:tcW w:w="1015" w:type="dxa"/>
          </w:tcPr>
          <w:p>
            <w:pPr>
              <w:pStyle w:val="TableParagraph"/>
              <w:rPr>
                <w:sz w:val="18"/>
              </w:rPr>
            </w:pPr>
          </w:p>
        </w:tc>
      </w:tr>
      <w:tr>
        <w:trPr>
          <w:trHeight w:val="530" w:hRule="atLeast"/>
        </w:trPr>
        <w:tc>
          <w:tcPr>
            <w:tcW w:w="458" w:type="dxa"/>
          </w:tcPr>
          <w:p>
            <w:pPr>
              <w:pStyle w:val="TableParagraph"/>
              <w:rPr>
                <w:sz w:val="18"/>
              </w:rPr>
            </w:pPr>
          </w:p>
        </w:tc>
        <w:tc>
          <w:tcPr>
            <w:tcW w:w="2819" w:type="dxa"/>
            <w:vMerge/>
            <w:tcBorders>
              <w:top w:val="nil"/>
            </w:tcBorders>
          </w:tcPr>
          <w:p>
            <w:pPr>
              <w:rPr>
                <w:sz w:val="2"/>
                <w:szCs w:val="2"/>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0" w:lineRule="atLeast" w:before="30"/>
              <w:ind w:left="109" w:right="1222"/>
              <w:rPr>
                <w:sz w:val="20"/>
              </w:rPr>
            </w:pPr>
            <w:r>
              <w:rPr>
                <w:sz w:val="20"/>
              </w:rPr>
              <w:t>стереотаксическая</w:t>
            </w:r>
            <w:r>
              <w:rPr>
                <w:spacing w:val="-13"/>
                <w:sz w:val="20"/>
              </w:rPr>
              <w:t> </w:t>
            </w:r>
            <w:r>
              <w:rPr>
                <w:sz w:val="20"/>
              </w:rPr>
              <w:t>деструкция подкорковых структур</w:t>
            </w:r>
          </w:p>
        </w:tc>
        <w:tc>
          <w:tcPr>
            <w:tcW w:w="101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before="91"/>
        <w:ind w:left="3985" w:right="0" w:firstLine="0"/>
        <w:jc w:val="left"/>
        <w:rPr>
          <w:sz w:val="20"/>
        </w:rPr>
      </w:pPr>
      <w:r>
        <w:rPr>
          <w:sz w:val="20"/>
        </w:rPr>
        <w:t>G56,</w:t>
      </w:r>
      <w:r>
        <w:rPr>
          <w:spacing w:val="-3"/>
          <w:sz w:val="20"/>
        </w:rPr>
        <w:t> </w:t>
      </w:r>
      <w:r>
        <w:rPr>
          <w:sz w:val="20"/>
        </w:rPr>
        <w:t>G57,</w:t>
      </w:r>
      <w:r>
        <w:rPr>
          <w:spacing w:val="-5"/>
          <w:sz w:val="20"/>
        </w:rPr>
        <w:t> </w:t>
      </w:r>
      <w:r>
        <w:rPr>
          <w:spacing w:val="-4"/>
          <w:sz w:val="20"/>
        </w:rPr>
        <w:t>T14.4</w:t>
      </w:r>
      <w:r>
        <w:rPr>
          <w:sz w:val="20"/>
        </w:rPr>
        <w:tab/>
      </w:r>
      <w:r>
        <w:rPr>
          <w:w w:val="95"/>
          <w:sz w:val="20"/>
        </w:rPr>
        <w:t>последствия</w:t>
      </w:r>
      <w:r>
        <w:rPr>
          <w:spacing w:val="47"/>
          <w:sz w:val="20"/>
        </w:rPr>
        <w:t> </w:t>
      </w:r>
      <w:r>
        <w:rPr>
          <w:w w:val="95"/>
          <w:sz w:val="20"/>
        </w:rPr>
        <w:t>травматических</w:t>
      </w:r>
      <w:r>
        <w:rPr>
          <w:spacing w:val="47"/>
          <w:sz w:val="20"/>
        </w:rPr>
        <w:t> </w:t>
      </w:r>
      <w:r>
        <w:rPr>
          <w:spacing w:val="-10"/>
          <w:w w:val="95"/>
          <w:sz w:val="20"/>
        </w:rPr>
        <w:t>и</w:t>
      </w:r>
    </w:p>
    <w:p>
      <w:pPr>
        <w:spacing w:line="249" w:lineRule="auto" w:before="10"/>
        <w:ind w:left="5793" w:right="0" w:firstLine="0"/>
        <w:jc w:val="left"/>
        <w:rPr>
          <w:sz w:val="20"/>
        </w:rPr>
      </w:pPr>
      <w:r>
        <w:rPr>
          <w:sz w:val="20"/>
        </w:rPr>
        <w:t>других</w:t>
      </w:r>
      <w:r>
        <w:rPr>
          <w:spacing w:val="-13"/>
          <w:sz w:val="20"/>
        </w:rPr>
        <w:t> </w:t>
      </w:r>
      <w:r>
        <w:rPr>
          <w:sz w:val="20"/>
        </w:rPr>
        <w:t>поражений</w:t>
      </w:r>
      <w:r>
        <w:rPr>
          <w:spacing w:val="-12"/>
          <w:sz w:val="20"/>
        </w:rPr>
        <w:t> </w:t>
      </w:r>
      <w:r>
        <w:rPr>
          <w:sz w:val="20"/>
        </w:rPr>
        <w:t>периферических нервов</w:t>
      </w:r>
      <w:r>
        <w:rPr>
          <w:spacing w:val="-5"/>
          <w:sz w:val="20"/>
        </w:rPr>
        <w:t> </w:t>
      </w:r>
      <w:r>
        <w:rPr>
          <w:sz w:val="20"/>
        </w:rPr>
        <w:t>и</w:t>
      </w:r>
      <w:r>
        <w:rPr>
          <w:spacing w:val="-5"/>
          <w:sz w:val="20"/>
        </w:rPr>
        <w:t> </w:t>
      </w:r>
      <w:r>
        <w:rPr>
          <w:sz w:val="20"/>
        </w:rPr>
        <w:t>сплетений</w:t>
      </w:r>
      <w:r>
        <w:rPr>
          <w:spacing w:val="-5"/>
          <w:sz w:val="20"/>
        </w:rPr>
        <w:t> </w:t>
      </w:r>
      <w:r>
        <w:rPr>
          <w:sz w:val="20"/>
        </w:rPr>
        <w:t>с</w:t>
      </w:r>
      <w:r>
        <w:rPr>
          <w:spacing w:val="-4"/>
          <w:sz w:val="20"/>
        </w:rPr>
        <w:t> </w:t>
      </w:r>
      <w:r>
        <w:rPr>
          <w:sz w:val="20"/>
        </w:rPr>
        <w:t>туннельными и компрессионно-ишемическими </w:t>
      </w:r>
      <w:r>
        <w:rPr>
          <w:spacing w:val="-2"/>
          <w:sz w:val="20"/>
        </w:rPr>
        <w:t>невропатиями</w:t>
      </w:r>
    </w:p>
    <w:p>
      <w:pPr>
        <w:spacing w:line="249" w:lineRule="auto" w:before="91"/>
        <w:ind w:left="225" w:right="0" w:firstLine="0"/>
        <w:jc w:val="left"/>
        <w:rPr>
          <w:sz w:val="20"/>
        </w:rPr>
      </w:pPr>
      <w:r>
        <w:rPr/>
        <w:br w:type="column"/>
      </w:r>
      <w:r>
        <w:rPr>
          <w:spacing w:val="-2"/>
          <w:sz w:val="20"/>
        </w:rPr>
        <w:t>хирургическое лечение</w:t>
      </w:r>
    </w:p>
    <w:p>
      <w:pPr>
        <w:spacing w:line="249" w:lineRule="auto" w:before="91"/>
        <w:ind w:left="178" w:right="2340" w:firstLine="0"/>
        <w:jc w:val="left"/>
        <w:rPr>
          <w:sz w:val="20"/>
        </w:rPr>
      </w:pPr>
      <w:r>
        <w:rPr/>
        <w:br w:type="column"/>
      </w:r>
      <w:r>
        <w:rPr>
          <w:sz w:val="20"/>
        </w:rPr>
        <w:t>микрохирургические</w:t>
      </w:r>
      <w:r>
        <w:rPr>
          <w:spacing w:val="-13"/>
          <w:sz w:val="20"/>
        </w:rPr>
        <w:t> </w:t>
      </w:r>
      <w:r>
        <w:rPr>
          <w:sz w:val="20"/>
        </w:rPr>
        <w:t>вмешательства под интраоперационным </w:t>
      </w:r>
      <w:r>
        <w:rPr>
          <w:spacing w:val="-2"/>
          <w:sz w:val="20"/>
        </w:rPr>
        <w:t>нейрофизиологическим</w:t>
      </w:r>
    </w:p>
    <w:p>
      <w:pPr>
        <w:spacing w:before="2"/>
        <w:ind w:left="178" w:right="0" w:firstLine="0"/>
        <w:jc w:val="left"/>
        <w:rPr>
          <w:sz w:val="20"/>
        </w:rPr>
      </w:pPr>
      <w:r>
        <w:rPr>
          <w:sz w:val="20"/>
        </w:rPr>
        <w:t>и</w:t>
      </w:r>
      <w:r>
        <w:rPr>
          <w:spacing w:val="-11"/>
          <w:sz w:val="20"/>
        </w:rPr>
        <w:t> </w:t>
      </w:r>
      <w:r>
        <w:rPr>
          <w:sz w:val="20"/>
        </w:rPr>
        <w:t>эндоскопическим</w:t>
      </w:r>
      <w:r>
        <w:rPr>
          <w:spacing w:val="-9"/>
          <w:sz w:val="20"/>
        </w:rPr>
        <w:t> </w:t>
      </w:r>
      <w:r>
        <w:rPr>
          <w:spacing w:val="-2"/>
          <w:sz w:val="20"/>
        </w:rPr>
        <w:t>контролем</w:t>
      </w:r>
    </w:p>
    <w:p>
      <w:pPr>
        <w:spacing w:line="249" w:lineRule="auto" w:before="90"/>
        <w:ind w:left="178" w:right="1951" w:firstLine="0"/>
        <w:jc w:val="left"/>
        <w:rPr>
          <w:sz w:val="20"/>
        </w:rPr>
      </w:pPr>
      <w:r>
        <w:rPr>
          <w:sz w:val="20"/>
        </w:rPr>
        <w:t>комбинированное проведение эпидуральных и периферических электродов с применением малоинвазивного</w:t>
      </w:r>
      <w:r>
        <w:rPr>
          <w:spacing w:val="-13"/>
          <w:sz w:val="20"/>
        </w:rPr>
        <w:t> </w:t>
      </w:r>
      <w:r>
        <w:rPr>
          <w:sz w:val="20"/>
        </w:rPr>
        <w:t>инструментария</w:t>
      </w:r>
      <w:r>
        <w:rPr>
          <w:spacing w:val="-12"/>
          <w:sz w:val="20"/>
        </w:rPr>
        <w:t> </w:t>
      </w:r>
      <w:r>
        <w:rPr>
          <w:sz w:val="20"/>
        </w:rPr>
        <w:t>под рентгенологическим и нейрофизиологическим контролем</w:t>
      </w:r>
    </w:p>
    <w:p>
      <w:pPr>
        <w:spacing w:after="0" w:line="249" w:lineRule="auto"/>
        <w:jc w:val="left"/>
        <w:rPr>
          <w:sz w:val="20"/>
        </w:rPr>
        <w:sectPr>
          <w:type w:val="continuous"/>
          <w:pgSz w:w="16850" w:h="11910" w:orient="landscape"/>
          <w:pgMar w:header="753" w:footer="0" w:top="1080" w:bottom="280" w:left="400" w:right="400"/>
          <w:cols w:num="3" w:equalWidth="0">
            <w:col w:w="8835" w:space="40"/>
            <w:col w:w="1483" w:space="39"/>
            <w:col w:w="5653"/>
          </w:cols>
        </w:sectPr>
      </w:pPr>
    </w:p>
    <w:p>
      <w:pPr>
        <w:spacing w:line="249" w:lineRule="auto" w:before="84"/>
        <w:ind w:left="4420" w:right="0" w:hanging="541"/>
        <w:jc w:val="left"/>
        <w:rPr>
          <w:sz w:val="20"/>
        </w:rPr>
      </w:pPr>
      <w:r>
        <w:rPr>
          <w:sz w:val="20"/>
        </w:rPr>
        <w:t>C47,</w:t>
      </w:r>
      <w:r>
        <w:rPr>
          <w:spacing w:val="-13"/>
          <w:sz w:val="20"/>
        </w:rPr>
        <w:t> </w:t>
      </w:r>
      <w:r>
        <w:rPr>
          <w:sz w:val="20"/>
        </w:rPr>
        <w:t>D36.1,</w:t>
      </w:r>
      <w:r>
        <w:rPr>
          <w:spacing w:val="-12"/>
          <w:sz w:val="20"/>
        </w:rPr>
        <w:t> </w:t>
      </w:r>
      <w:r>
        <w:rPr>
          <w:sz w:val="20"/>
        </w:rPr>
        <w:t>D48.2, </w:t>
      </w:r>
      <w:r>
        <w:rPr>
          <w:spacing w:val="-2"/>
          <w:sz w:val="20"/>
        </w:rPr>
        <w:t>D48.7</w:t>
      </w:r>
    </w:p>
    <w:p>
      <w:pPr>
        <w:spacing w:line="249" w:lineRule="auto" w:before="84"/>
        <w:ind w:left="301" w:right="0" w:firstLine="0"/>
        <w:jc w:val="left"/>
        <w:rPr>
          <w:sz w:val="20"/>
        </w:rPr>
      </w:pPr>
      <w:r>
        <w:rPr/>
        <w:br w:type="column"/>
      </w:r>
      <w:r>
        <w:rPr>
          <w:sz w:val="20"/>
        </w:rPr>
        <w:t>злокачественные и доброкачественные опухоли периферических</w:t>
      </w:r>
      <w:r>
        <w:rPr>
          <w:spacing w:val="-13"/>
          <w:sz w:val="20"/>
        </w:rPr>
        <w:t> </w:t>
      </w:r>
      <w:r>
        <w:rPr>
          <w:sz w:val="20"/>
        </w:rPr>
        <w:t>нервов</w:t>
      </w:r>
      <w:r>
        <w:rPr>
          <w:spacing w:val="-12"/>
          <w:sz w:val="20"/>
        </w:rPr>
        <w:t> </w:t>
      </w:r>
      <w:r>
        <w:rPr>
          <w:sz w:val="20"/>
        </w:rPr>
        <w:t>и</w:t>
      </w:r>
      <w:r>
        <w:rPr>
          <w:spacing w:val="-13"/>
          <w:sz w:val="20"/>
        </w:rPr>
        <w:t> </w:t>
      </w:r>
      <w:r>
        <w:rPr>
          <w:sz w:val="20"/>
        </w:rPr>
        <w:t>сплетений</w:t>
      </w:r>
    </w:p>
    <w:p>
      <w:pPr>
        <w:spacing w:line="249" w:lineRule="auto" w:before="84"/>
        <w:ind w:left="137" w:right="0" w:firstLine="0"/>
        <w:jc w:val="left"/>
        <w:rPr>
          <w:sz w:val="20"/>
        </w:rPr>
      </w:pPr>
      <w:r>
        <w:rPr/>
        <w:br w:type="column"/>
      </w:r>
      <w:r>
        <w:rPr>
          <w:spacing w:val="-2"/>
          <w:sz w:val="20"/>
        </w:rPr>
        <w:t>хирургическое лечение</w:t>
      </w:r>
    </w:p>
    <w:p>
      <w:pPr>
        <w:spacing w:line="249" w:lineRule="auto" w:before="84"/>
        <w:ind w:left="178" w:right="1951" w:firstLine="0"/>
        <w:jc w:val="left"/>
        <w:rPr>
          <w:sz w:val="20"/>
        </w:rPr>
      </w:pPr>
      <w:r>
        <w:rPr/>
        <w:br w:type="column"/>
      </w:r>
      <w:r>
        <w:rPr>
          <w:sz w:val="20"/>
        </w:rPr>
        <w:t>микрохирургические</w:t>
      </w:r>
      <w:r>
        <w:rPr>
          <w:spacing w:val="-13"/>
          <w:sz w:val="20"/>
        </w:rPr>
        <w:t> </w:t>
      </w:r>
      <w:r>
        <w:rPr>
          <w:sz w:val="20"/>
        </w:rPr>
        <w:t>вмешательства</w:t>
      </w:r>
      <w:r>
        <w:rPr>
          <w:spacing w:val="-12"/>
          <w:sz w:val="20"/>
        </w:rPr>
        <w:t> </w:t>
      </w:r>
      <w:r>
        <w:rPr>
          <w:sz w:val="20"/>
        </w:rPr>
        <w:t>на периферических</w:t>
      </w:r>
      <w:r>
        <w:rPr>
          <w:spacing w:val="-3"/>
          <w:sz w:val="20"/>
        </w:rPr>
        <w:t> </w:t>
      </w:r>
      <w:r>
        <w:rPr>
          <w:sz w:val="20"/>
        </w:rPr>
        <w:t>нервах</w:t>
      </w:r>
      <w:r>
        <w:rPr>
          <w:spacing w:val="-3"/>
          <w:sz w:val="20"/>
        </w:rPr>
        <w:t> </w:t>
      </w:r>
      <w:r>
        <w:rPr>
          <w:sz w:val="20"/>
        </w:rPr>
        <w:t>и</w:t>
      </w:r>
      <w:r>
        <w:rPr>
          <w:spacing w:val="-3"/>
          <w:sz w:val="20"/>
        </w:rPr>
        <w:t> </w:t>
      </w:r>
      <w:r>
        <w:rPr>
          <w:sz w:val="20"/>
        </w:rPr>
        <w:t>сплетениях</w:t>
      </w:r>
      <w:r>
        <w:rPr>
          <w:spacing w:val="-4"/>
          <w:sz w:val="20"/>
        </w:rPr>
        <w:t> </w:t>
      </w:r>
      <w:r>
        <w:rPr>
          <w:sz w:val="20"/>
        </w:rPr>
        <w:t>с одномоментной пластикой нервных стволов аутотрансплантатами под </w:t>
      </w:r>
      <w:r>
        <w:rPr>
          <w:spacing w:val="-2"/>
          <w:sz w:val="20"/>
        </w:rPr>
        <w:t>интраоперационным </w:t>
      </w:r>
      <w:r>
        <w:rPr>
          <w:sz w:val="20"/>
        </w:rPr>
        <w:t>нейрофизиологическим контролем</w:t>
      </w:r>
    </w:p>
    <w:p>
      <w:pPr>
        <w:spacing w:after="0" w:line="249" w:lineRule="auto"/>
        <w:jc w:val="left"/>
        <w:rPr>
          <w:sz w:val="20"/>
        </w:rPr>
        <w:sectPr>
          <w:type w:val="continuous"/>
          <w:pgSz w:w="16850" w:h="11910" w:orient="landscape"/>
          <w:pgMar w:header="753" w:footer="0" w:top="1080" w:bottom="280" w:left="400" w:right="400"/>
          <w:cols w:num="4" w:equalWidth="0">
            <w:col w:w="5452" w:space="40"/>
            <w:col w:w="3433" w:space="39"/>
            <w:col w:w="1394" w:space="39"/>
            <w:col w:w="5653"/>
          </w:cols>
        </w:sectPr>
      </w:pPr>
    </w:p>
    <w:p>
      <w:pPr>
        <w:spacing w:line="249" w:lineRule="auto" w:before="87"/>
        <w:ind w:left="931" w:right="-9" w:firstLine="0"/>
        <w:jc w:val="left"/>
        <w:rPr>
          <w:sz w:val="20"/>
        </w:rPr>
      </w:pPr>
      <w:r>
        <w:rPr>
          <w:sz w:val="20"/>
        </w:rPr>
        <w:t>Эндоскопические и </w:t>
      </w:r>
      <w:r>
        <w:rPr>
          <w:spacing w:val="-2"/>
          <w:sz w:val="20"/>
        </w:rPr>
        <w:t>стереотаксические </w:t>
      </w:r>
      <w:r>
        <w:rPr>
          <w:sz w:val="20"/>
        </w:rPr>
        <w:t>вмешательства при врожденной или приобретенной</w:t>
      </w:r>
      <w:r>
        <w:rPr>
          <w:spacing w:val="-13"/>
          <w:sz w:val="20"/>
        </w:rPr>
        <w:t> </w:t>
      </w:r>
      <w:r>
        <w:rPr>
          <w:sz w:val="20"/>
        </w:rPr>
        <w:t>гидроцефалии окклюзионного характера и приобретенных</w:t>
      </w:r>
      <w:r>
        <w:rPr>
          <w:spacing w:val="-13"/>
          <w:sz w:val="20"/>
        </w:rPr>
        <w:t> </w:t>
      </w:r>
      <w:r>
        <w:rPr>
          <w:sz w:val="20"/>
        </w:rPr>
        <w:t>церебральных </w:t>
      </w:r>
      <w:r>
        <w:rPr>
          <w:spacing w:val="-2"/>
          <w:sz w:val="20"/>
        </w:rPr>
        <w:t>кистах</w:t>
      </w:r>
    </w:p>
    <w:p>
      <w:pPr>
        <w:tabs>
          <w:tab w:pos="2237" w:val="left" w:leader="none"/>
        </w:tabs>
        <w:spacing w:before="87"/>
        <w:ind w:left="420" w:right="0" w:firstLine="0"/>
        <w:jc w:val="left"/>
        <w:rPr>
          <w:sz w:val="20"/>
        </w:rPr>
      </w:pPr>
      <w:r>
        <w:rPr/>
        <w:br w:type="column"/>
      </w:r>
      <w:r>
        <w:rPr>
          <w:sz w:val="20"/>
        </w:rPr>
        <w:t>G91,</w:t>
      </w:r>
      <w:r>
        <w:rPr>
          <w:spacing w:val="-4"/>
          <w:sz w:val="20"/>
        </w:rPr>
        <w:t> </w:t>
      </w:r>
      <w:r>
        <w:rPr>
          <w:sz w:val="20"/>
        </w:rPr>
        <w:t>G93.0,</w:t>
      </w:r>
      <w:r>
        <w:rPr>
          <w:spacing w:val="-3"/>
          <w:sz w:val="20"/>
        </w:rPr>
        <w:t> </w:t>
      </w:r>
      <w:r>
        <w:rPr>
          <w:spacing w:val="-5"/>
          <w:sz w:val="20"/>
        </w:rPr>
        <w:t>Q03</w:t>
      </w:r>
      <w:r>
        <w:rPr>
          <w:sz w:val="20"/>
        </w:rPr>
        <w:tab/>
        <w:t>врожденная</w:t>
      </w:r>
      <w:r>
        <w:rPr>
          <w:spacing w:val="-7"/>
          <w:sz w:val="20"/>
        </w:rPr>
        <w:t> </w:t>
      </w:r>
      <w:r>
        <w:rPr>
          <w:sz w:val="20"/>
        </w:rPr>
        <w:t>или</w:t>
      </w:r>
      <w:r>
        <w:rPr>
          <w:spacing w:val="-9"/>
          <w:sz w:val="20"/>
        </w:rPr>
        <w:t> </w:t>
      </w:r>
      <w:r>
        <w:rPr>
          <w:spacing w:val="-2"/>
          <w:sz w:val="20"/>
        </w:rPr>
        <w:t>приобретенная</w:t>
      </w:r>
    </w:p>
    <w:p>
      <w:pPr>
        <w:spacing w:line="249" w:lineRule="auto" w:before="10"/>
        <w:ind w:left="2237" w:right="117" w:firstLine="0"/>
        <w:jc w:val="left"/>
        <w:rPr>
          <w:sz w:val="20"/>
        </w:rPr>
      </w:pPr>
      <w:r>
        <w:rPr>
          <w:sz w:val="20"/>
        </w:rPr>
        <w:t>гидроцефалия</w:t>
      </w:r>
      <w:r>
        <w:rPr>
          <w:spacing w:val="-13"/>
          <w:sz w:val="20"/>
        </w:rPr>
        <w:t> </w:t>
      </w:r>
      <w:r>
        <w:rPr>
          <w:sz w:val="20"/>
        </w:rPr>
        <w:t>окклюзионного характера. Приобретенные церебральные кисты</w:t>
      </w:r>
    </w:p>
    <w:p>
      <w:pPr>
        <w:spacing w:line="249" w:lineRule="auto" w:before="87"/>
        <w:ind w:left="564" w:right="0" w:firstLine="0"/>
        <w:jc w:val="left"/>
        <w:rPr>
          <w:sz w:val="20"/>
        </w:rPr>
      </w:pPr>
      <w:r>
        <w:rPr/>
        <w:br w:type="column"/>
      </w:r>
      <w:r>
        <w:rPr>
          <w:spacing w:val="-2"/>
          <w:sz w:val="20"/>
        </w:rPr>
        <w:t>хирургическое лечение</w:t>
      </w:r>
    </w:p>
    <w:p>
      <w:pPr>
        <w:spacing w:line="249" w:lineRule="auto" w:before="87"/>
        <w:ind w:left="178" w:right="1951" w:firstLine="0"/>
        <w:jc w:val="left"/>
        <w:rPr>
          <w:sz w:val="20"/>
        </w:rPr>
      </w:pPr>
      <w:r>
        <w:rPr/>
        <w:br w:type="column"/>
      </w:r>
      <w:r>
        <w:rPr>
          <w:sz w:val="20"/>
        </w:rPr>
        <w:t>эндоскопическая</w:t>
      </w:r>
      <w:r>
        <w:rPr>
          <w:spacing w:val="-13"/>
          <w:sz w:val="20"/>
        </w:rPr>
        <w:t> </w:t>
      </w:r>
      <w:r>
        <w:rPr>
          <w:sz w:val="20"/>
        </w:rPr>
        <w:t>вентрикулостомия</w:t>
      </w:r>
      <w:r>
        <w:rPr>
          <w:spacing w:val="-12"/>
          <w:sz w:val="20"/>
        </w:rPr>
        <w:t> </w:t>
      </w:r>
      <w:r>
        <w:rPr>
          <w:sz w:val="20"/>
        </w:rPr>
        <w:t>дна III желудочка мозга</w:t>
      </w:r>
    </w:p>
    <w:p>
      <w:pPr>
        <w:spacing w:line="249" w:lineRule="auto" w:before="81"/>
        <w:ind w:left="178" w:right="1951" w:firstLine="0"/>
        <w:jc w:val="left"/>
        <w:rPr>
          <w:sz w:val="20"/>
        </w:rPr>
      </w:pPr>
      <w:r>
        <w:rPr>
          <w:sz w:val="20"/>
        </w:rPr>
        <w:t>эндоскопическая</w:t>
      </w:r>
      <w:r>
        <w:rPr>
          <w:spacing w:val="-13"/>
          <w:sz w:val="20"/>
        </w:rPr>
        <w:t> </w:t>
      </w:r>
      <w:r>
        <w:rPr>
          <w:sz w:val="20"/>
        </w:rPr>
        <w:t>фенестрация</w:t>
      </w:r>
      <w:r>
        <w:rPr>
          <w:spacing w:val="-12"/>
          <w:sz w:val="20"/>
        </w:rPr>
        <w:t> </w:t>
      </w:r>
      <w:r>
        <w:rPr>
          <w:sz w:val="20"/>
        </w:rPr>
        <w:t>стенок </w:t>
      </w:r>
      <w:r>
        <w:rPr>
          <w:spacing w:val="-4"/>
          <w:sz w:val="20"/>
        </w:rPr>
        <w:t>кист</w:t>
      </w:r>
    </w:p>
    <w:p>
      <w:pPr>
        <w:spacing w:line="249" w:lineRule="auto" w:before="81"/>
        <w:ind w:left="178" w:right="1951" w:firstLine="0"/>
        <w:jc w:val="left"/>
        <w:rPr>
          <w:sz w:val="20"/>
        </w:rPr>
      </w:pPr>
      <w:r>
        <w:rPr>
          <w:spacing w:val="-2"/>
          <w:sz w:val="20"/>
        </w:rPr>
        <w:t>эндоскопическая кистовентрикулоциестерностомия</w:t>
      </w:r>
    </w:p>
    <w:p>
      <w:pPr>
        <w:spacing w:line="252" w:lineRule="auto" w:before="83"/>
        <w:ind w:left="178" w:right="1951" w:firstLine="0"/>
        <w:jc w:val="left"/>
        <w:rPr>
          <w:sz w:val="20"/>
        </w:rPr>
      </w:pPr>
      <w:r>
        <w:rPr>
          <w:sz w:val="20"/>
        </w:rPr>
        <w:t>стереотаксическая установка внутрижелудочковых</w:t>
      </w:r>
      <w:r>
        <w:rPr>
          <w:spacing w:val="-13"/>
          <w:sz w:val="20"/>
        </w:rPr>
        <w:t> </w:t>
      </w:r>
      <w:r>
        <w:rPr>
          <w:sz w:val="20"/>
        </w:rPr>
        <w:t>стентов</w:t>
      </w:r>
    </w:p>
    <w:p>
      <w:pPr>
        <w:spacing w:after="0" w:line="252" w:lineRule="auto"/>
        <w:jc w:val="left"/>
        <w:rPr>
          <w:sz w:val="20"/>
        </w:rPr>
        <w:sectPr>
          <w:type w:val="continuous"/>
          <w:pgSz w:w="16850" w:h="11910" w:orient="landscape"/>
          <w:pgMar w:header="753" w:footer="0" w:top="1080" w:bottom="280" w:left="400" w:right="400"/>
          <w:cols w:num="4" w:equalWidth="0">
            <w:col w:w="3516" w:space="40"/>
            <w:col w:w="4941" w:space="39"/>
            <w:col w:w="1821" w:space="40"/>
            <w:col w:w="5653"/>
          </w:cols>
        </w:sectPr>
      </w:pPr>
    </w:p>
    <w:p>
      <w:pPr>
        <w:pStyle w:val="ListParagraph"/>
        <w:numPr>
          <w:ilvl w:val="0"/>
          <w:numId w:val="6"/>
        </w:numPr>
        <w:tabs>
          <w:tab w:pos="931" w:val="left" w:leader="none"/>
          <w:tab w:pos="932" w:val="left" w:leader="none"/>
        </w:tabs>
        <w:spacing w:line="249" w:lineRule="auto" w:before="77" w:after="0"/>
        <w:ind w:left="931" w:right="0" w:hanging="564"/>
        <w:jc w:val="left"/>
        <w:rPr>
          <w:sz w:val="20"/>
        </w:rPr>
      </w:pPr>
      <w:r>
        <w:rPr>
          <w:spacing w:val="-2"/>
          <w:sz w:val="20"/>
        </w:rPr>
        <w:t>Стереотаксически ориентированное </w:t>
      </w:r>
      <w:r>
        <w:rPr>
          <w:sz w:val="20"/>
        </w:rPr>
        <w:t>дистанционное лучевое лечение при поражениях головы,</w:t>
      </w:r>
      <w:r>
        <w:rPr>
          <w:spacing w:val="-13"/>
          <w:sz w:val="20"/>
        </w:rPr>
        <w:t> </w:t>
      </w:r>
      <w:r>
        <w:rPr>
          <w:sz w:val="20"/>
        </w:rPr>
        <w:t>головного</w:t>
      </w:r>
      <w:r>
        <w:rPr>
          <w:spacing w:val="-12"/>
          <w:sz w:val="20"/>
        </w:rPr>
        <w:t> </w:t>
      </w:r>
      <w:r>
        <w:rPr>
          <w:sz w:val="20"/>
        </w:rPr>
        <w:t>и</w:t>
      </w:r>
      <w:r>
        <w:rPr>
          <w:spacing w:val="-13"/>
          <w:sz w:val="20"/>
        </w:rPr>
        <w:t> </w:t>
      </w:r>
      <w:r>
        <w:rPr>
          <w:sz w:val="20"/>
        </w:rPr>
        <w:t>спинного мозга, позвоночника,</w:t>
      </w:r>
    </w:p>
    <w:p>
      <w:pPr>
        <w:spacing w:line="249" w:lineRule="auto" w:before="77"/>
        <w:ind w:left="337" w:right="161" w:firstLine="5"/>
        <w:jc w:val="center"/>
        <w:rPr>
          <w:sz w:val="20"/>
        </w:rPr>
      </w:pPr>
      <w:r>
        <w:rPr/>
        <w:br w:type="column"/>
      </w:r>
      <w:r>
        <w:rPr>
          <w:sz w:val="20"/>
        </w:rPr>
        <w:t>C31, C41, C71.0 - C71.7,</w:t>
      </w:r>
      <w:r>
        <w:rPr>
          <w:spacing w:val="-4"/>
          <w:sz w:val="20"/>
        </w:rPr>
        <w:t> </w:t>
      </w:r>
      <w:r>
        <w:rPr>
          <w:sz w:val="20"/>
        </w:rPr>
        <w:t>C72,</w:t>
      </w:r>
      <w:r>
        <w:rPr>
          <w:spacing w:val="-3"/>
          <w:sz w:val="20"/>
        </w:rPr>
        <w:t> </w:t>
      </w:r>
      <w:r>
        <w:rPr>
          <w:spacing w:val="-2"/>
          <w:sz w:val="20"/>
        </w:rPr>
        <w:t>C75.3,</w:t>
      </w:r>
    </w:p>
    <w:p>
      <w:pPr>
        <w:spacing w:line="249" w:lineRule="auto" w:before="2"/>
        <w:ind w:left="174" w:right="0" w:hanging="1"/>
        <w:jc w:val="center"/>
        <w:rPr>
          <w:sz w:val="20"/>
        </w:rPr>
      </w:pPr>
      <w:r>
        <w:rPr>
          <w:sz w:val="20"/>
        </w:rPr>
        <w:t>D10.6, D16.4, D16.6, D16.8,</w:t>
      </w:r>
      <w:r>
        <w:rPr>
          <w:spacing w:val="-13"/>
          <w:sz w:val="20"/>
        </w:rPr>
        <w:t> </w:t>
      </w:r>
      <w:r>
        <w:rPr>
          <w:sz w:val="20"/>
        </w:rPr>
        <w:t>D21,</w:t>
      </w:r>
      <w:r>
        <w:rPr>
          <w:spacing w:val="-12"/>
          <w:sz w:val="20"/>
        </w:rPr>
        <w:t> </w:t>
      </w:r>
      <w:r>
        <w:rPr>
          <w:sz w:val="20"/>
        </w:rPr>
        <w:t>D32,</w:t>
      </w:r>
      <w:r>
        <w:rPr>
          <w:spacing w:val="-13"/>
          <w:sz w:val="20"/>
        </w:rPr>
        <w:t> </w:t>
      </w:r>
      <w:r>
        <w:rPr>
          <w:sz w:val="20"/>
        </w:rPr>
        <w:t>D33, D35, G50.0, Q28.2, Q85.0, I67.8</w:t>
      </w:r>
    </w:p>
    <w:p>
      <w:pPr>
        <w:spacing w:line="249" w:lineRule="auto" w:before="77"/>
        <w:ind w:left="150" w:right="0" w:firstLine="0"/>
        <w:jc w:val="left"/>
        <w:rPr>
          <w:sz w:val="20"/>
        </w:rPr>
      </w:pPr>
      <w:r>
        <w:rPr/>
        <w:br w:type="column"/>
      </w:r>
      <w:r>
        <w:rPr>
          <w:sz w:val="20"/>
        </w:rPr>
        <w:t>первичные злокачественные и доброкачественные опухоли головного и спинного мозга, их оболочек,</w:t>
      </w:r>
      <w:r>
        <w:rPr>
          <w:spacing w:val="-13"/>
          <w:sz w:val="20"/>
        </w:rPr>
        <w:t> </w:t>
      </w:r>
      <w:r>
        <w:rPr>
          <w:sz w:val="20"/>
        </w:rPr>
        <w:t>черепных</w:t>
      </w:r>
      <w:r>
        <w:rPr>
          <w:spacing w:val="-12"/>
          <w:sz w:val="20"/>
        </w:rPr>
        <w:t> </w:t>
      </w:r>
      <w:r>
        <w:rPr>
          <w:sz w:val="20"/>
        </w:rPr>
        <w:t>нервов,</w:t>
      </w:r>
      <w:r>
        <w:rPr>
          <w:spacing w:val="-13"/>
          <w:sz w:val="20"/>
        </w:rPr>
        <w:t> </w:t>
      </w:r>
      <w:r>
        <w:rPr>
          <w:sz w:val="20"/>
        </w:rPr>
        <w:t>костей черепа и лицевого скелета, позвоночника, мягких покровов</w:t>
      </w:r>
    </w:p>
    <w:p>
      <w:pPr>
        <w:spacing w:line="249" w:lineRule="auto" w:before="77"/>
        <w:ind w:left="251" w:right="33" w:firstLine="0"/>
        <w:jc w:val="left"/>
        <w:rPr>
          <w:sz w:val="20"/>
        </w:rPr>
      </w:pPr>
      <w:r>
        <w:rPr/>
        <w:br w:type="column"/>
      </w:r>
      <w:r>
        <w:rPr>
          <w:spacing w:val="-2"/>
          <w:sz w:val="20"/>
        </w:rPr>
        <w:t>лучевое лечение</w:t>
      </w:r>
    </w:p>
    <w:p>
      <w:pPr>
        <w:spacing w:line="249" w:lineRule="auto" w:before="77"/>
        <w:ind w:left="367" w:right="0" w:firstLine="0"/>
        <w:jc w:val="left"/>
        <w:rPr>
          <w:sz w:val="20"/>
        </w:rPr>
      </w:pPr>
      <w:r>
        <w:rPr/>
        <w:br w:type="column"/>
      </w:r>
      <w:r>
        <w:rPr>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w:t>
      </w:r>
      <w:r>
        <w:rPr>
          <w:spacing w:val="-12"/>
          <w:sz w:val="20"/>
        </w:rPr>
        <w:t> </w:t>
      </w:r>
      <w:r>
        <w:rPr>
          <w:sz w:val="20"/>
        </w:rPr>
        <w:t>основания</w:t>
      </w:r>
      <w:r>
        <w:rPr>
          <w:spacing w:val="-12"/>
          <w:sz w:val="20"/>
        </w:rPr>
        <w:t> </w:t>
      </w:r>
      <w:r>
        <w:rPr>
          <w:sz w:val="20"/>
        </w:rPr>
        <w:t>черепа</w:t>
      </w:r>
      <w:r>
        <w:rPr>
          <w:spacing w:val="-11"/>
          <w:sz w:val="20"/>
        </w:rPr>
        <w:t> </w:t>
      </w:r>
      <w:r>
        <w:rPr>
          <w:sz w:val="20"/>
        </w:rPr>
        <w:t>и</w:t>
      </w:r>
      <w:r>
        <w:rPr>
          <w:spacing w:val="-10"/>
          <w:sz w:val="20"/>
        </w:rPr>
        <w:t> </w:t>
      </w:r>
      <w:r>
        <w:rPr>
          <w:sz w:val="20"/>
        </w:rPr>
        <w:t>позвоночника</w:t>
      </w:r>
    </w:p>
    <w:p>
      <w:pPr>
        <w:spacing w:before="77"/>
        <w:ind w:left="367" w:right="0" w:firstLine="0"/>
        <w:jc w:val="left"/>
        <w:rPr>
          <w:sz w:val="20"/>
        </w:rPr>
      </w:pPr>
      <w:r>
        <w:rPr/>
        <w:br w:type="column"/>
      </w:r>
      <w:r>
        <w:rPr>
          <w:spacing w:val="-2"/>
          <w:sz w:val="20"/>
        </w:rPr>
        <w:t>359027</w:t>
      </w:r>
    </w:p>
    <w:p>
      <w:pPr>
        <w:spacing w:after="0"/>
        <w:jc w:val="left"/>
        <w:rPr>
          <w:sz w:val="20"/>
        </w:rPr>
        <w:sectPr>
          <w:type w:val="continuous"/>
          <w:pgSz w:w="16850" w:h="11910" w:orient="landscape"/>
          <w:pgMar w:header="753" w:footer="0" w:top="1080" w:bottom="280" w:left="400" w:right="400"/>
          <w:cols w:num="6" w:equalWidth="0">
            <w:col w:w="3512" w:space="40"/>
            <w:col w:w="2051" w:space="39"/>
            <w:col w:w="3167" w:space="40"/>
            <w:col w:w="971" w:space="387"/>
            <w:col w:w="3926" w:space="267"/>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150" w:firstLine="0"/>
        <w:jc w:val="left"/>
        <w:rPr>
          <w:sz w:val="20"/>
        </w:rPr>
      </w:pPr>
      <w:r>
        <w:rPr>
          <w:sz w:val="20"/>
        </w:rPr>
        <w:t>тригеминальной</w:t>
      </w:r>
      <w:r>
        <w:rPr>
          <w:spacing w:val="-13"/>
          <w:sz w:val="20"/>
        </w:rPr>
        <w:t> </w:t>
      </w:r>
      <w:r>
        <w:rPr>
          <w:sz w:val="20"/>
        </w:rPr>
        <w:t>невралгии</w:t>
      </w:r>
      <w:r>
        <w:rPr>
          <w:spacing w:val="-12"/>
          <w:sz w:val="20"/>
        </w:rPr>
        <w:t> </w:t>
      </w:r>
      <w:r>
        <w:rPr>
          <w:sz w:val="20"/>
        </w:rPr>
        <w:t>и </w:t>
      </w:r>
      <w:r>
        <w:rPr>
          <w:spacing w:val="-2"/>
          <w:sz w:val="20"/>
        </w:rPr>
        <w:t>медикаментознорезистен- </w:t>
      </w:r>
      <w:r>
        <w:rPr>
          <w:sz w:val="20"/>
        </w:rPr>
        <w:t>тных болевых синдромах различного генеза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ListParagraph"/>
        <w:numPr>
          <w:ilvl w:val="0"/>
          <w:numId w:val="6"/>
        </w:numPr>
        <w:tabs>
          <w:tab w:pos="931" w:val="left" w:leader="none"/>
          <w:tab w:pos="932" w:val="left" w:leader="none"/>
        </w:tabs>
        <w:spacing w:line="249" w:lineRule="auto" w:before="0" w:after="0"/>
        <w:ind w:left="931" w:right="38" w:hanging="564"/>
        <w:jc w:val="left"/>
        <w:rPr>
          <w:sz w:val="20"/>
        </w:rPr>
      </w:pPr>
      <w:r>
        <w:rPr>
          <w:spacing w:val="-2"/>
          <w:sz w:val="20"/>
        </w:rPr>
        <w:t>Микрохирургические, </w:t>
      </w:r>
      <w:r>
        <w:rPr>
          <w:sz w:val="20"/>
        </w:rPr>
        <w:t>эндоваскулярные и </w:t>
      </w:r>
      <w:r>
        <w:rPr>
          <w:spacing w:val="-2"/>
          <w:sz w:val="20"/>
        </w:rPr>
        <w:t>стереотаксические </w:t>
      </w:r>
      <w:r>
        <w:rPr>
          <w:sz w:val="20"/>
        </w:rPr>
        <w:t>вмешательства с</w:t>
      </w:r>
      <w:r>
        <w:rPr>
          <w:spacing w:val="40"/>
          <w:sz w:val="20"/>
        </w:rPr>
        <w:t> </w:t>
      </w:r>
      <w:r>
        <w:rPr>
          <w:sz w:val="20"/>
        </w:rPr>
        <w:t>применением неадгезивной клеевой композиции, микроспиралей (5 и более койлов) или потоковых стентов при патологии сосудов</w:t>
      </w:r>
      <w:r>
        <w:rPr>
          <w:spacing w:val="-13"/>
          <w:sz w:val="20"/>
        </w:rPr>
        <w:t> </w:t>
      </w:r>
      <w:r>
        <w:rPr>
          <w:sz w:val="20"/>
        </w:rPr>
        <w:t>головного</w:t>
      </w:r>
      <w:r>
        <w:rPr>
          <w:spacing w:val="-12"/>
          <w:sz w:val="20"/>
        </w:rPr>
        <w:t> </w:t>
      </w:r>
      <w:r>
        <w:rPr>
          <w:sz w:val="20"/>
        </w:rPr>
        <w:t>и</w:t>
      </w:r>
      <w:r>
        <w:rPr>
          <w:spacing w:val="-13"/>
          <w:sz w:val="20"/>
        </w:rPr>
        <w:t> </w:t>
      </w:r>
      <w:r>
        <w:rPr>
          <w:sz w:val="20"/>
        </w:rPr>
        <w:t>спинного </w:t>
      </w:r>
      <w:r>
        <w:rPr>
          <w:spacing w:val="-2"/>
          <w:sz w:val="20"/>
        </w:rPr>
        <w:t>мозга,</w:t>
      </w:r>
      <w:r>
        <w:rPr>
          <w:sz w:val="20"/>
        </w:rPr>
        <w:t> </w:t>
      </w:r>
      <w:r>
        <w:rPr>
          <w:spacing w:val="-2"/>
          <w:sz w:val="20"/>
        </w:rPr>
        <w:t>богатокровоснабжаемых </w:t>
      </w:r>
      <w:r>
        <w:rPr>
          <w:sz w:val="20"/>
        </w:rPr>
        <w:t>опухолях головы и головного </w:t>
      </w:r>
      <w:r>
        <w:rPr>
          <w:spacing w:val="-2"/>
          <w:sz w:val="20"/>
        </w:rPr>
        <w:t>мозга</w:t>
      </w:r>
    </w:p>
    <w:p>
      <w:pPr>
        <w:spacing w:line="249" w:lineRule="auto" w:before="91"/>
        <w:ind w:left="1995" w:right="0" w:firstLine="0"/>
        <w:jc w:val="left"/>
        <w:rPr>
          <w:sz w:val="20"/>
        </w:rPr>
      </w:pPr>
      <w:r>
        <w:rPr/>
        <w:br w:type="column"/>
      </w:r>
      <w:r>
        <w:rPr>
          <w:sz w:val="20"/>
        </w:rPr>
        <w:t>головы. Артериовенозные мальформации и дуральные артериовенозные</w:t>
      </w:r>
      <w:r>
        <w:rPr>
          <w:spacing w:val="-13"/>
          <w:sz w:val="20"/>
        </w:rPr>
        <w:t> </w:t>
      </w:r>
      <w:r>
        <w:rPr>
          <w:sz w:val="20"/>
        </w:rPr>
        <w:t>фистулы</w:t>
      </w:r>
      <w:r>
        <w:rPr>
          <w:spacing w:val="-12"/>
          <w:sz w:val="20"/>
        </w:rPr>
        <w:t> </w:t>
      </w:r>
      <w:r>
        <w:rPr>
          <w:sz w:val="20"/>
        </w:rPr>
        <w:t>головного мозга, оболочек головного мозга различного генеза. Тригеминальная </w:t>
      </w:r>
      <w:r>
        <w:rPr>
          <w:spacing w:val="-2"/>
          <w:sz w:val="20"/>
        </w:rPr>
        <w:t>невралгия.</w:t>
      </w:r>
    </w:p>
    <w:p>
      <w:pPr>
        <w:spacing w:line="249" w:lineRule="auto" w:before="5"/>
        <w:ind w:left="1995" w:right="542" w:firstLine="0"/>
        <w:jc w:val="both"/>
        <w:rPr>
          <w:sz w:val="20"/>
        </w:rPr>
      </w:pPr>
      <w:r>
        <w:rPr>
          <w:spacing w:val="-2"/>
          <w:sz w:val="20"/>
        </w:rPr>
        <w:t>Медикаментознорезистентные </w:t>
      </w:r>
      <w:r>
        <w:rPr>
          <w:sz w:val="20"/>
        </w:rPr>
        <w:t>болевые</w:t>
      </w:r>
      <w:r>
        <w:rPr>
          <w:spacing w:val="-13"/>
          <w:sz w:val="20"/>
        </w:rPr>
        <w:t> </w:t>
      </w:r>
      <w:r>
        <w:rPr>
          <w:sz w:val="20"/>
        </w:rPr>
        <w:t>синдромы</w:t>
      </w:r>
      <w:r>
        <w:rPr>
          <w:spacing w:val="-12"/>
          <w:sz w:val="20"/>
        </w:rPr>
        <w:t> </w:t>
      </w:r>
      <w:r>
        <w:rPr>
          <w:sz w:val="20"/>
        </w:rPr>
        <w:t>различного </w:t>
      </w:r>
      <w:r>
        <w:rPr>
          <w:spacing w:val="-2"/>
          <w:sz w:val="20"/>
        </w:rPr>
        <w:t>генеза</w:t>
      </w:r>
    </w:p>
    <w:p>
      <w:pPr>
        <w:tabs>
          <w:tab w:pos="1995" w:val="left" w:leader="none"/>
        </w:tabs>
        <w:spacing w:before="123"/>
        <w:ind w:left="368" w:right="0" w:firstLine="0"/>
        <w:jc w:val="left"/>
        <w:rPr>
          <w:sz w:val="20"/>
        </w:rPr>
      </w:pPr>
      <w:r>
        <w:rPr>
          <w:sz w:val="20"/>
        </w:rPr>
        <w:t>I60,</w:t>
      </w:r>
      <w:r>
        <w:rPr>
          <w:spacing w:val="-3"/>
          <w:sz w:val="20"/>
        </w:rPr>
        <w:t> </w:t>
      </w:r>
      <w:r>
        <w:rPr>
          <w:sz w:val="20"/>
        </w:rPr>
        <w:t>I61,</w:t>
      </w:r>
      <w:r>
        <w:rPr>
          <w:spacing w:val="-4"/>
          <w:sz w:val="20"/>
        </w:rPr>
        <w:t> </w:t>
      </w:r>
      <w:r>
        <w:rPr>
          <w:spacing w:val="-5"/>
          <w:sz w:val="20"/>
        </w:rPr>
        <w:t>I62</w:t>
      </w:r>
      <w:r>
        <w:rPr>
          <w:sz w:val="20"/>
        </w:rPr>
        <w:tab/>
        <w:t>артериальная</w:t>
      </w:r>
      <w:r>
        <w:rPr>
          <w:spacing w:val="-10"/>
          <w:sz w:val="20"/>
        </w:rPr>
        <w:t> </w:t>
      </w:r>
      <w:r>
        <w:rPr>
          <w:sz w:val="20"/>
        </w:rPr>
        <w:t>аневризма</w:t>
      </w:r>
      <w:r>
        <w:rPr>
          <w:spacing w:val="-8"/>
          <w:sz w:val="20"/>
        </w:rPr>
        <w:t> </w:t>
      </w:r>
      <w:r>
        <w:rPr>
          <w:sz w:val="20"/>
        </w:rPr>
        <w:t>в</w:t>
      </w:r>
      <w:r>
        <w:rPr>
          <w:spacing w:val="-7"/>
          <w:sz w:val="20"/>
        </w:rPr>
        <w:t> </w:t>
      </w:r>
      <w:r>
        <w:rPr>
          <w:spacing w:val="-2"/>
          <w:sz w:val="20"/>
        </w:rPr>
        <w:t>условиях</w:t>
      </w:r>
    </w:p>
    <w:p>
      <w:pPr>
        <w:spacing w:line="249" w:lineRule="auto" w:before="10"/>
        <w:ind w:left="1995" w:right="0" w:firstLine="0"/>
        <w:jc w:val="left"/>
        <w:rPr>
          <w:sz w:val="20"/>
        </w:rPr>
      </w:pPr>
      <w:r>
        <w:rPr>
          <w:sz w:val="20"/>
        </w:rPr>
        <w:t>разрыва или артериовенозная мальформация</w:t>
      </w:r>
      <w:r>
        <w:rPr>
          <w:spacing w:val="-10"/>
          <w:sz w:val="20"/>
        </w:rPr>
        <w:t> </w:t>
      </w:r>
      <w:r>
        <w:rPr>
          <w:sz w:val="20"/>
        </w:rPr>
        <w:t>головного</w:t>
      </w:r>
      <w:r>
        <w:rPr>
          <w:spacing w:val="-8"/>
          <w:sz w:val="20"/>
        </w:rPr>
        <w:t> </w:t>
      </w:r>
      <w:r>
        <w:rPr>
          <w:sz w:val="20"/>
        </w:rPr>
        <w:t>мозга</w:t>
      </w:r>
      <w:r>
        <w:rPr>
          <w:spacing w:val="-9"/>
          <w:sz w:val="20"/>
        </w:rPr>
        <w:t> </w:t>
      </w:r>
      <w:r>
        <w:rPr>
          <w:sz w:val="20"/>
        </w:rPr>
        <w:t>в условиях острого и подострого периода</w:t>
      </w:r>
      <w:r>
        <w:rPr>
          <w:spacing w:val="-13"/>
          <w:sz w:val="20"/>
        </w:rPr>
        <w:t> </w:t>
      </w:r>
      <w:r>
        <w:rPr>
          <w:sz w:val="20"/>
        </w:rPr>
        <w:t>субарахноидального</w:t>
      </w:r>
      <w:r>
        <w:rPr>
          <w:spacing w:val="-12"/>
          <w:sz w:val="20"/>
        </w:rPr>
        <w:t> </w:t>
      </w:r>
      <w:r>
        <w:rPr>
          <w:sz w:val="20"/>
        </w:rPr>
        <w:t>или внутримозгового кровоизлияния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3"/>
        </w:rPr>
      </w:pPr>
    </w:p>
    <w:p>
      <w:pPr>
        <w:tabs>
          <w:tab w:pos="1995" w:val="left" w:leader="none"/>
        </w:tabs>
        <w:spacing w:line="252" w:lineRule="auto" w:before="0"/>
        <w:ind w:left="1995" w:right="193" w:hanging="1335"/>
        <w:jc w:val="left"/>
        <w:rPr>
          <w:sz w:val="20"/>
        </w:rPr>
      </w:pPr>
      <w:r>
        <w:rPr>
          <w:spacing w:val="-2"/>
          <w:sz w:val="20"/>
        </w:rPr>
        <w:t>I67.1</w:t>
      </w:r>
      <w:r>
        <w:rPr>
          <w:sz w:val="20"/>
        </w:rPr>
        <w:tab/>
        <w:t>артериальная</w:t>
      </w:r>
      <w:r>
        <w:rPr>
          <w:spacing w:val="-13"/>
          <w:sz w:val="20"/>
        </w:rPr>
        <w:t> </w:t>
      </w:r>
      <w:r>
        <w:rPr>
          <w:sz w:val="20"/>
        </w:rPr>
        <w:t>аневризма</w:t>
      </w:r>
      <w:r>
        <w:rPr>
          <w:spacing w:val="-12"/>
          <w:sz w:val="20"/>
        </w:rPr>
        <w:t> </w:t>
      </w:r>
      <w:r>
        <w:rPr>
          <w:sz w:val="20"/>
        </w:rPr>
        <w:t>головного мозга вне стадии разрыва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0"/>
        </w:rPr>
      </w:pPr>
    </w:p>
    <w:p>
      <w:pPr>
        <w:spacing w:line="249" w:lineRule="auto" w:before="1"/>
        <w:ind w:left="88"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9"/>
        </w:rPr>
      </w:pPr>
    </w:p>
    <w:p>
      <w:pPr>
        <w:spacing w:line="252" w:lineRule="auto" w:before="0"/>
        <w:ind w:left="88" w:right="0" w:firstLine="0"/>
        <w:jc w:val="left"/>
        <w:rPr>
          <w:sz w:val="20"/>
        </w:rPr>
      </w:pPr>
      <w:r>
        <w:rPr>
          <w:spacing w:val="-2"/>
          <w:sz w:val="20"/>
        </w:rPr>
        <w:t>хирургическое лечение</w:t>
      </w:r>
    </w:p>
    <w:p>
      <w:pPr>
        <w:spacing w:line="249" w:lineRule="auto" w:before="91"/>
        <w:ind w:left="178" w:right="247" w:firstLine="0"/>
        <w:jc w:val="left"/>
        <w:rPr>
          <w:sz w:val="20"/>
        </w:rPr>
      </w:pPr>
      <w:r>
        <w:rPr/>
        <w:br w:type="column"/>
      </w:r>
      <w:r>
        <w:rPr>
          <w:sz w:val="20"/>
        </w:rPr>
        <w:t>стереотаксически ориентированное лучевое лечение артериовенозных мальформаций</w:t>
      </w:r>
      <w:r>
        <w:rPr>
          <w:spacing w:val="-13"/>
          <w:sz w:val="20"/>
        </w:rPr>
        <w:t> </w:t>
      </w:r>
      <w:r>
        <w:rPr>
          <w:sz w:val="20"/>
        </w:rPr>
        <w:t>головного</w:t>
      </w:r>
      <w:r>
        <w:rPr>
          <w:spacing w:val="-12"/>
          <w:sz w:val="20"/>
        </w:rPr>
        <w:t> </w:t>
      </w:r>
      <w:r>
        <w:rPr>
          <w:sz w:val="20"/>
        </w:rPr>
        <w:t>и</w:t>
      </w:r>
      <w:r>
        <w:rPr>
          <w:spacing w:val="-13"/>
          <w:sz w:val="20"/>
        </w:rPr>
        <w:t> </w:t>
      </w:r>
      <w:r>
        <w:rPr>
          <w:sz w:val="20"/>
        </w:rPr>
        <w:t>спинного мозга и патологических соустий головного мозга</w:t>
      </w:r>
    </w:p>
    <w:p>
      <w:pPr>
        <w:spacing w:line="249" w:lineRule="auto" w:before="125"/>
        <w:ind w:left="178" w:right="511" w:firstLine="0"/>
        <w:jc w:val="left"/>
        <w:rPr>
          <w:sz w:val="20"/>
        </w:rPr>
      </w:pPr>
      <w:r>
        <w:rPr>
          <w:sz w:val="20"/>
        </w:rPr>
        <w:t>стереотаксически</w:t>
      </w:r>
      <w:r>
        <w:rPr>
          <w:spacing w:val="-13"/>
          <w:sz w:val="20"/>
        </w:rPr>
        <w:t> </w:t>
      </w:r>
      <w:r>
        <w:rPr>
          <w:sz w:val="20"/>
        </w:rPr>
        <w:t>ориентированное лучевое лечение тригеминальной невралгии и болевых синдромов</w:t>
      </w:r>
    </w:p>
    <w:p>
      <w:pPr>
        <w:pStyle w:val="BodyText"/>
        <w:rPr>
          <w:sz w:val="21"/>
        </w:rPr>
      </w:pPr>
    </w:p>
    <w:p>
      <w:pPr>
        <w:spacing w:line="249" w:lineRule="auto" w:before="1"/>
        <w:ind w:left="178" w:right="247" w:firstLine="0"/>
        <w:jc w:val="left"/>
        <w:rPr>
          <w:sz w:val="20"/>
        </w:rPr>
      </w:pPr>
      <w:r>
        <w:rPr>
          <w:sz w:val="20"/>
        </w:rPr>
        <w:t>ресурсоемкое эндоваскулярное вмешательство с применением адгезивной и неадгезивной клеевой композиции,</w:t>
      </w:r>
      <w:r>
        <w:rPr>
          <w:spacing w:val="-13"/>
          <w:sz w:val="20"/>
        </w:rPr>
        <w:t> </w:t>
      </w:r>
      <w:r>
        <w:rPr>
          <w:sz w:val="20"/>
        </w:rPr>
        <w:t>микроспиралей,</w:t>
      </w:r>
      <w:r>
        <w:rPr>
          <w:spacing w:val="-12"/>
          <w:sz w:val="20"/>
        </w:rPr>
        <w:t> </w:t>
      </w:r>
      <w:r>
        <w:rPr>
          <w:sz w:val="20"/>
        </w:rPr>
        <w:t>стентов, в том числе потоковых</w:t>
      </w:r>
    </w:p>
    <w:p>
      <w:pPr>
        <w:spacing w:line="249" w:lineRule="auto" w:before="124"/>
        <w:ind w:left="178" w:right="0" w:firstLine="0"/>
        <w:jc w:val="left"/>
        <w:rPr>
          <w:sz w:val="20"/>
        </w:rPr>
      </w:pPr>
      <w:r>
        <w:rPr>
          <w:sz w:val="20"/>
        </w:rPr>
        <w:t>ресурсоемкое эндоваскулярное вмешательство с комбинированным применением</w:t>
      </w:r>
      <w:r>
        <w:rPr>
          <w:spacing w:val="-13"/>
          <w:sz w:val="20"/>
        </w:rPr>
        <w:t> </w:t>
      </w:r>
      <w:r>
        <w:rPr>
          <w:sz w:val="20"/>
        </w:rPr>
        <w:t>адгезивной</w:t>
      </w:r>
      <w:r>
        <w:rPr>
          <w:spacing w:val="-12"/>
          <w:sz w:val="20"/>
        </w:rPr>
        <w:t> </w:t>
      </w:r>
      <w:r>
        <w:rPr>
          <w:sz w:val="20"/>
        </w:rPr>
        <w:t>и</w:t>
      </w:r>
      <w:r>
        <w:rPr>
          <w:spacing w:val="-13"/>
          <w:sz w:val="20"/>
        </w:rPr>
        <w:t> </w:t>
      </w:r>
      <w:r>
        <w:rPr>
          <w:sz w:val="20"/>
        </w:rPr>
        <w:t>неадгезивной клеевой композиции, микроспиралей и </w:t>
      </w:r>
      <w:r>
        <w:rPr>
          <w:spacing w:val="-2"/>
          <w:sz w:val="20"/>
        </w:rPr>
        <w:t>стентов</w:t>
      </w:r>
    </w:p>
    <w:p>
      <w:pPr>
        <w:spacing w:line="249" w:lineRule="auto" w:before="124"/>
        <w:ind w:left="178" w:right="0" w:firstLine="0"/>
        <w:jc w:val="left"/>
        <w:rPr>
          <w:sz w:val="20"/>
        </w:rPr>
      </w:pPr>
      <w:r>
        <w:rPr>
          <w:sz w:val="20"/>
        </w:rPr>
        <w:t>ресурсоемкое комбинированное микрохирургическое</w:t>
      </w:r>
      <w:r>
        <w:rPr>
          <w:spacing w:val="-13"/>
          <w:sz w:val="20"/>
        </w:rPr>
        <w:t> </w:t>
      </w:r>
      <w:r>
        <w:rPr>
          <w:sz w:val="20"/>
        </w:rPr>
        <w:t>и</w:t>
      </w:r>
      <w:r>
        <w:rPr>
          <w:spacing w:val="-12"/>
          <w:sz w:val="20"/>
        </w:rPr>
        <w:t> </w:t>
      </w:r>
      <w:r>
        <w:rPr>
          <w:sz w:val="20"/>
        </w:rPr>
        <w:t>эндоваскулярное </w:t>
      </w:r>
      <w:r>
        <w:rPr>
          <w:spacing w:val="-2"/>
          <w:sz w:val="20"/>
        </w:rPr>
        <w:t>вмешательство</w:t>
      </w:r>
    </w:p>
    <w:p>
      <w:pPr>
        <w:spacing w:line="249" w:lineRule="auto" w:before="123"/>
        <w:ind w:left="178" w:right="247" w:firstLine="0"/>
        <w:jc w:val="left"/>
        <w:rPr>
          <w:sz w:val="20"/>
        </w:rPr>
      </w:pPr>
      <w:r>
        <w:rPr>
          <w:sz w:val="20"/>
        </w:rPr>
        <w:t>ресурсоемкое эндоваскулярное вмешательство с применением адгезивной</w:t>
      </w:r>
      <w:r>
        <w:rPr>
          <w:spacing w:val="-13"/>
          <w:sz w:val="20"/>
        </w:rPr>
        <w:t> </w:t>
      </w:r>
      <w:r>
        <w:rPr>
          <w:sz w:val="20"/>
        </w:rPr>
        <w:t>и</w:t>
      </w:r>
      <w:r>
        <w:rPr>
          <w:spacing w:val="-12"/>
          <w:sz w:val="20"/>
        </w:rPr>
        <w:t> </w:t>
      </w:r>
      <w:r>
        <w:rPr>
          <w:sz w:val="20"/>
        </w:rPr>
        <w:t>неадгезивной</w:t>
      </w:r>
      <w:r>
        <w:rPr>
          <w:spacing w:val="-13"/>
          <w:sz w:val="20"/>
        </w:rPr>
        <w:t> </w:t>
      </w:r>
      <w:r>
        <w:rPr>
          <w:sz w:val="20"/>
        </w:rPr>
        <w:t>клеевой композиции, микроспиралей</w:t>
      </w:r>
    </w:p>
    <w:p>
      <w:pPr>
        <w:spacing w:before="3"/>
        <w:ind w:left="178" w:right="0" w:firstLine="0"/>
        <w:jc w:val="left"/>
        <w:rPr>
          <w:sz w:val="20"/>
        </w:rPr>
      </w:pPr>
      <w:r>
        <w:rPr>
          <w:sz w:val="20"/>
        </w:rPr>
        <w:t>(5</w:t>
      </w:r>
      <w:r>
        <w:rPr>
          <w:spacing w:val="-3"/>
          <w:sz w:val="20"/>
        </w:rPr>
        <w:t> </w:t>
      </w:r>
      <w:r>
        <w:rPr>
          <w:sz w:val="20"/>
        </w:rPr>
        <w:t>и</w:t>
      </w:r>
      <w:r>
        <w:rPr>
          <w:spacing w:val="-4"/>
          <w:sz w:val="20"/>
        </w:rPr>
        <w:t> </w:t>
      </w:r>
      <w:r>
        <w:rPr>
          <w:sz w:val="20"/>
        </w:rPr>
        <w:t>более</w:t>
      </w:r>
      <w:r>
        <w:rPr>
          <w:spacing w:val="-3"/>
          <w:sz w:val="20"/>
        </w:rPr>
        <w:t> </w:t>
      </w:r>
      <w:r>
        <w:rPr>
          <w:sz w:val="20"/>
        </w:rPr>
        <w:t>койлов)</w:t>
      </w:r>
      <w:r>
        <w:rPr>
          <w:spacing w:val="-4"/>
          <w:sz w:val="20"/>
        </w:rPr>
        <w:t> </w:t>
      </w:r>
      <w:r>
        <w:rPr>
          <w:sz w:val="20"/>
        </w:rPr>
        <w:t>и</w:t>
      </w:r>
      <w:r>
        <w:rPr>
          <w:spacing w:val="-4"/>
          <w:sz w:val="20"/>
        </w:rPr>
        <w:t> </w:t>
      </w:r>
      <w:r>
        <w:rPr>
          <w:spacing w:val="-2"/>
          <w:sz w:val="20"/>
        </w:rPr>
        <w:t>стентов</w:t>
      </w:r>
    </w:p>
    <w:p>
      <w:pPr>
        <w:spacing w:line="249" w:lineRule="auto" w:before="130"/>
        <w:ind w:left="178" w:right="0" w:firstLine="0"/>
        <w:jc w:val="left"/>
        <w:rPr>
          <w:sz w:val="20"/>
        </w:rPr>
      </w:pPr>
      <w:r>
        <w:rPr>
          <w:sz w:val="20"/>
        </w:rPr>
        <w:t>ресурсоемкое комбинированное микрохирургическое</w:t>
      </w:r>
      <w:r>
        <w:rPr>
          <w:spacing w:val="-13"/>
          <w:sz w:val="20"/>
        </w:rPr>
        <w:t> </w:t>
      </w:r>
      <w:r>
        <w:rPr>
          <w:sz w:val="20"/>
        </w:rPr>
        <w:t>и</w:t>
      </w:r>
      <w:r>
        <w:rPr>
          <w:spacing w:val="-12"/>
          <w:sz w:val="20"/>
        </w:rPr>
        <w:t> </w:t>
      </w:r>
      <w:r>
        <w:rPr>
          <w:sz w:val="20"/>
        </w:rPr>
        <w:t>эндоваскулярное </w:t>
      </w:r>
      <w:r>
        <w:rPr>
          <w:spacing w:val="-2"/>
          <w:sz w:val="20"/>
        </w:rPr>
        <w:t>вмешательство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0"/>
        </w:rPr>
      </w:pPr>
    </w:p>
    <w:p>
      <w:pPr>
        <w:spacing w:before="1"/>
        <w:ind w:left="367" w:right="0" w:firstLine="0"/>
        <w:jc w:val="left"/>
        <w:rPr>
          <w:sz w:val="20"/>
        </w:rPr>
      </w:pPr>
      <w:r>
        <w:rPr>
          <w:spacing w:val="-2"/>
          <w:sz w:val="20"/>
        </w:rPr>
        <w:t>1178973</w:t>
      </w:r>
    </w:p>
    <w:p>
      <w:pPr>
        <w:spacing w:after="0"/>
        <w:jc w:val="left"/>
        <w:rPr>
          <w:sz w:val="20"/>
        </w:rPr>
        <w:sectPr>
          <w:type w:val="continuous"/>
          <w:pgSz w:w="16850" w:h="11910" w:orient="landscape"/>
          <w:pgMar w:header="753" w:footer="0" w:top="1080" w:bottom="280" w:left="400" w:right="400"/>
          <w:cols w:num="5" w:equalWidth="0">
            <w:col w:w="3564" w:space="234"/>
            <w:col w:w="5175" w:space="39"/>
            <w:col w:w="1345" w:space="40"/>
            <w:col w:w="3735" w:space="218"/>
            <w:col w:w="170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40"/>
        <w:gridCol w:w="2102"/>
        <w:gridCol w:w="3276"/>
        <w:gridCol w:w="1469"/>
        <w:gridCol w:w="3781"/>
        <w:gridCol w:w="1219"/>
      </w:tblGrid>
      <w:tr>
        <w:trPr>
          <w:trHeight w:val="101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line="221" w:lineRule="exact"/>
              <w:ind w:left="64" w:right="64"/>
              <w:jc w:val="center"/>
              <w:rPr>
                <w:sz w:val="20"/>
              </w:rPr>
            </w:pPr>
            <w:r>
              <w:rPr>
                <w:sz w:val="20"/>
              </w:rPr>
              <w:t>Q28.2,</w:t>
            </w:r>
            <w:r>
              <w:rPr>
                <w:spacing w:val="-3"/>
                <w:sz w:val="20"/>
              </w:rPr>
              <w:t> </w:t>
            </w:r>
            <w:r>
              <w:rPr>
                <w:spacing w:val="-2"/>
                <w:sz w:val="20"/>
              </w:rPr>
              <w:t>Q28.8</w:t>
            </w:r>
          </w:p>
        </w:tc>
        <w:tc>
          <w:tcPr>
            <w:tcW w:w="3276" w:type="dxa"/>
          </w:tcPr>
          <w:p>
            <w:pPr>
              <w:pStyle w:val="TableParagraph"/>
              <w:spacing w:line="249" w:lineRule="auto"/>
              <w:ind w:left="75" w:right="457"/>
              <w:rPr>
                <w:sz w:val="20"/>
              </w:rPr>
            </w:pPr>
            <w:r>
              <w:rPr>
                <w:sz w:val="20"/>
              </w:rPr>
              <w:t>артериовенозная</w:t>
            </w:r>
            <w:r>
              <w:rPr>
                <w:spacing w:val="-13"/>
                <w:sz w:val="20"/>
              </w:rPr>
              <w:t> </w:t>
            </w:r>
            <w:r>
              <w:rPr>
                <w:sz w:val="20"/>
              </w:rPr>
              <w:t>мальформация головного и спинного мозга</w:t>
            </w:r>
          </w:p>
        </w:tc>
        <w:tc>
          <w:tcPr>
            <w:tcW w:w="1469" w:type="dxa"/>
          </w:tcPr>
          <w:p>
            <w:pPr>
              <w:pStyle w:val="TableParagraph"/>
              <w:spacing w:line="249" w:lineRule="auto"/>
              <w:ind w:left="106"/>
              <w:rPr>
                <w:sz w:val="20"/>
              </w:rPr>
            </w:pPr>
            <w:r>
              <w:rPr>
                <w:spacing w:val="-2"/>
                <w:sz w:val="20"/>
              </w:rPr>
              <w:t>хирургическое лечение</w:t>
            </w:r>
          </w:p>
        </w:tc>
        <w:tc>
          <w:tcPr>
            <w:tcW w:w="3781" w:type="dxa"/>
          </w:tcPr>
          <w:p>
            <w:pPr>
              <w:pStyle w:val="TableParagraph"/>
              <w:spacing w:line="249" w:lineRule="auto"/>
              <w:ind w:left="111" w:right="100"/>
              <w:rPr>
                <w:sz w:val="20"/>
              </w:rPr>
            </w:pPr>
            <w:r>
              <w:rPr>
                <w:sz w:val="20"/>
              </w:rPr>
              <w:t>ресурсоемкое эндоваскулярное вмешательство с применением адгезивной</w:t>
            </w:r>
            <w:r>
              <w:rPr>
                <w:spacing w:val="-13"/>
                <w:sz w:val="20"/>
              </w:rPr>
              <w:t> </w:t>
            </w:r>
            <w:r>
              <w:rPr>
                <w:sz w:val="20"/>
              </w:rPr>
              <w:t>и</w:t>
            </w:r>
            <w:r>
              <w:rPr>
                <w:spacing w:val="-12"/>
                <w:sz w:val="20"/>
              </w:rPr>
              <w:t> </w:t>
            </w:r>
            <w:r>
              <w:rPr>
                <w:sz w:val="20"/>
              </w:rPr>
              <w:t>неадгезивной</w:t>
            </w:r>
            <w:r>
              <w:rPr>
                <w:spacing w:val="-13"/>
                <w:sz w:val="20"/>
              </w:rPr>
              <w:t> </w:t>
            </w:r>
            <w:r>
              <w:rPr>
                <w:sz w:val="20"/>
              </w:rPr>
              <w:t>клеевой композиции, микроспиралей</w:t>
            </w:r>
          </w:p>
        </w:tc>
        <w:tc>
          <w:tcPr>
            <w:tcW w:w="1219" w:type="dxa"/>
          </w:tcPr>
          <w:p>
            <w:pPr>
              <w:pStyle w:val="TableParagraph"/>
              <w:rPr>
                <w:sz w:val="18"/>
              </w:rPr>
            </w:pPr>
          </w:p>
        </w:tc>
      </w:tr>
      <w:tr>
        <w:trPr>
          <w:trHeight w:val="204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before="60"/>
              <w:ind w:left="64" w:right="67"/>
              <w:jc w:val="center"/>
              <w:rPr>
                <w:sz w:val="20"/>
              </w:rPr>
            </w:pPr>
            <w:r>
              <w:rPr>
                <w:sz w:val="20"/>
              </w:rPr>
              <w:t>I67.8,</w:t>
            </w:r>
            <w:r>
              <w:rPr>
                <w:spacing w:val="-5"/>
                <w:sz w:val="20"/>
              </w:rPr>
              <w:t> </w:t>
            </w:r>
            <w:r>
              <w:rPr>
                <w:sz w:val="20"/>
              </w:rPr>
              <w:t>I72.0,</w:t>
            </w:r>
            <w:r>
              <w:rPr>
                <w:spacing w:val="-7"/>
                <w:sz w:val="20"/>
              </w:rPr>
              <w:t> </w:t>
            </w:r>
            <w:r>
              <w:rPr>
                <w:sz w:val="20"/>
              </w:rPr>
              <w:t>I77.0,</w:t>
            </w:r>
            <w:r>
              <w:rPr>
                <w:spacing w:val="-4"/>
                <w:sz w:val="20"/>
              </w:rPr>
              <w:t> I78.0</w:t>
            </w:r>
          </w:p>
        </w:tc>
        <w:tc>
          <w:tcPr>
            <w:tcW w:w="3276" w:type="dxa"/>
          </w:tcPr>
          <w:p>
            <w:pPr>
              <w:pStyle w:val="TableParagraph"/>
              <w:spacing w:line="249" w:lineRule="auto" w:before="60"/>
              <w:ind w:left="75" w:right="200"/>
              <w:rPr>
                <w:sz w:val="20"/>
              </w:rPr>
            </w:pPr>
            <w:r>
              <w:rPr>
                <w:sz w:val="20"/>
              </w:rPr>
              <w:t>дуральные артериовенозные фистулы головного и спинного мозга, в том числе каротидно- кавернозные.</w:t>
            </w:r>
            <w:r>
              <w:rPr>
                <w:spacing w:val="-13"/>
                <w:sz w:val="20"/>
              </w:rPr>
              <w:t> </w:t>
            </w:r>
            <w:r>
              <w:rPr>
                <w:sz w:val="20"/>
              </w:rPr>
              <w:t>Ложные</w:t>
            </w:r>
            <w:r>
              <w:rPr>
                <w:spacing w:val="-12"/>
                <w:sz w:val="20"/>
              </w:rPr>
              <w:t> </w:t>
            </w:r>
            <w:r>
              <w:rPr>
                <w:sz w:val="20"/>
              </w:rPr>
              <w:t>аневризмы внутренней сонной артерии.</w:t>
            </w:r>
          </w:p>
          <w:p>
            <w:pPr>
              <w:pStyle w:val="TableParagraph"/>
              <w:spacing w:line="249" w:lineRule="auto" w:before="5"/>
              <w:ind w:left="75" w:right="302"/>
              <w:jc w:val="both"/>
              <w:rPr>
                <w:sz w:val="20"/>
              </w:rPr>
            </w:pPr>
            <w:r>
              <w:rPr>
                <w:sz w:val="20"/>
              </w:rPr>
              <w:t>Наследственная геморрагическая телеангиэктазия</w:t>
            </w:r>
            <w:r>
              <w:rPr>
                <w:spacing w:val="-15"/>
                <w:sz w:val="20"/>
              </w:rPr>
              <w:t> </w:t>
            </w:r>
            <w:r>
              <w:rPr>
                <w:sz w:val="20"/>
              </w:rPr>
              <w:t>(болезнь</w:t>
            </w:r>
            <w:r>
              <w:rPr>
                <w:spacing w:val="-12"/>
                <w:sz w:val="20"/>
              </w:rPr>
              <w:t> </w:t>
            </w:r>
            <w:r>
              <w:rPr>
                <w:sz w:val="20"/>
              </w:rPr>
              <w:t>Рендю</w:t>
            </w:r>
            <w:r>
              <w:rPr>
                <w:spacing w:val="-12"/>
                <w:sz w:val="20"/>
              </w:rPr>
              <w:t> </w:t>
            </w:r>
            <w:r>
              <w:rPr>
                <w:sz w:val="20"/>
              </w:rPr>
              <w:t>- Ослера - Вебера)</w:t>
            </w:r>
          </w:p>
        </w:tc>
        <w:tc>
          <w:tcPr>
            <w:tcW w:w="1469" w:type="dxa"/>
          </w:tcPr>
          <w:p>
            <w:pPr>
              <w:pStyle w:val="TableParagraph"/>
              <w:spacing w:line="249"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ресурсоемкое эндоваскулярное вмешательство с применением адгезивной и неадгезивной клеевой композиции,</w:t>
            </w:r>
            <w:r>
              <w:rPr>
                <w:spacing w:val="-13"/>
                <w:sz w:val="20"/>
              </w:rPr>
              <w:t> </w:t>
            </w:r>
            <w:r>
              <w:rPr>
                <w:sz w:val="20"/>
              </w:rPr>
              <w:t>микроспиралей,</w:t>
            </w:r>
            <w:r>
              <w:rPr>
                <w:spacing w:val="-12"/>
                <w:sz w:val="20"/>
              </w:rPr>
              <w:t> </w:t>
            </w:r>
            <w:r>
              <w:rPr>
                <w:sz w:val="20"/>
              </w:rPr>
              <w:t>стентов</w:t>
            </w:r>
          </w:p>
        </w:tc>
        <w:tc>
          <w:tcPr>
            <w:tcW w:w="1219" w:type="dxa"/>
          </w:tcPr>
          <w:p>
            <w:pPr>
              <w:pStyle w:val="TableParagraph"/>
              <w:rPr>
                <w:sz w:val="18"/>
              </w:rPr>
            </w:pPr>
          </w:p>
        </w:tc>
      </w:tr>
      <w:tr>
        <w:trPr>
          <w:trHeight w:val="156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before="60"/>
              <w:ind w:left="181"/>
              <w:rPr>
                <w:sz w:val="20"/>
              </w:rPr>
            </w:pPr>
            <w:r>
              <w:rPr>
                <w:sz w:val="20"/>
              </w:rPr>
              <w:t>D18.0,</w:t>
            </w:r>
            <w:r>
              <w:rPr>
                <w:spacing w:val="-4"/>
                <w:sz w:val="20"/>
              </w:rPr>
              <w:t> </w:t>
            </w:r>
            <w:r>
              <w:rPr>
                <w:sz w:val="20"/>
              </w:rPr>
              <w:t>D18.1,</w:t>
            </w:r>
            <w:r>
              <w:rPr>
                <w:spacing w:val="-5"/>
                <w:sz w:val="20"/>
              </w:rPr>
              <w:t> </w:t>
            </w:r>
            <w:r>
              <w:rPr>
                <w:spacing w:val="-2"/>
                <w:sz w:val="20"/>
              </w:rPr>
              <w:t>D21.0,</w:t>
            </w:r>
          </w:p>
          <w:p>
            <w:pPr>
              <w:pStyle w:val="TableParagraph"/>
              <w:spacing w:line="249" w:lineRule="auto" w:before="11"/>
              <w:ind w:left="804" w:hanging="584"/>
              <w:rPr>
                <w:sz w:val="20"/>
              </w:rPr>
            </w:pPr>
            <w:r>
              <w:rPr>
                <w:sz w:val="20"/>
              </w:rPr>
              <w:t>D36.0,</w:t>
            </w:r>
            <w:r>
              <w:rPr>
                <w:spacing w:val="-13"/>
                <w:sz w:val="20"/>
              </w:rPr>
              <w:t> </w:t>
            </w:r>
            <w:r>
              <w:rPr>
                <w:sz w:val="20"/>
              </w:rPr>
              <w:t>D35.6,</w:t>
            </w:r>
            <w:r>
              <w:rPr>
                <w:spacing w:val="-12"/>
                <w:sz w:val="20"/>
              </w:rPr>
              <w:t> </w:t>
            </w:r>
            <w:r>
              <w:rPr>
                <w:sz w:val="20"/>
              </w:rPr>
              <w:t>I67.8, </w:t>
            </w:r>
            <w:r>
              <w:rPr>
                <w:spacing w:val="-2"/>
                <w:sz w:val="20"/>
              </w:rPr>
              <w:t>Q28.8</w:t>
            </w:r>
          </w:p>
        </w:tc>
        <w:tc>
          <w:tcPr>
            <w:tcW w:w="3276" w:type="dxa"/>
          </w:tcPr>
          <w:p>
            <w:pPr>
              <w:pStyle w:val="TableParagraph"/>
              <w:spacing w:line="249" w:lineRule="auto" w:before="60"/>
              <w:ind w:left="75" w:right="200"/>
              <w:rPr>
                <w:sz w:val="20"/>
              </w:rPr>
            </w:pPr>
            <w:r>
              <w:rPr>
                <w:sz w:val="20"/>
              </w:rPr>
              <w:t>артериовенозные мальформации, ангиомы, гемангиомы, гемангиобластомы,</w:t>
            </w:r>
            <w:r>
              <w:rPr>
                <w:spacing w:val="-13"/>
                <w:sz w:val="20"/>
              </w:rPr>
              <w:t> </w:t>
            </w:r>
            <w:r>
              <w:rPr>
                <w:sz w:val="20"/>
              </w:rPr>
              <w:t>ангиофибромы и параганглиомы головы, шеи и головного и спинного мозга.</w:t>
            </w:r>
          </w:p>
          <w:p>
            <w:pPr>
              <w:pStyle w:val="TableParagraph"/>
              <w:spacing w:before="5"/>
              <w:ind w:left="75"/>
              <w:rPr>
                <w:sz w:val="20"/>
              </w:rPr>
            </w:pPr>
            <w:r>
              <w:rPr>
                <w:sz w:val="20"/>
              </w:rPr>
              <w:t>Варикозное</w:t>
            </w:r>
            <w:r>
              <w:rPr>
                <w:spacing w:val="-9"/>
                <w:sz w:val="20"/>
              </w:rPr>
              <w:t> </w:t>
            </w:r>
            <w:r>
              <w:rPr>
                <w:sz w:val="20"/>
              </w:rPr>
              <w:t>расширение</w:t>
            </w:r>
            <w:r>
              <w:rPr>
                <w:spacing w:val="-8"/>
                <w:sz w:val="20"/>
              </w:rPr>
              <w:t> </w:t>
            </w:r>
            <w:r>
              <w:rPr>
                <w:sz w:val="20"/>
              </w:rPr>
              <w:t>вен</w:t>
            </w:r>
            <w:r>
              <w:rPr>
                <w:spacing w:val="-7"/>
                <w:sz w:val="20"/>
              </w:rPr>
              <w:t> </w:t>
            </w:r>
            <w:r>
              <w:rPr>
                <w:spacing w:val="-2"/>
                <w:sz w:val="20"/>
              </w:rPr>
              <w:t>орбиты</w:t>
            </w:r>
          </w:p>
        </w:tc>
        <w:tc>
          <w:tcPr>
            <w:tcW w:w="1469" w:type="dxa"/>
          </w:tcPr>
          <w:p>
            <w:pPr>
              <w:pStyle w:val="TableParagraph"/>
              <w:spacing w:line="252"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ресурсоемкое эндоваскулярное вмешательство</w:t>
            </w:r>
            <w:r>
              <w:rPr>
                <w:spacing w:val="-13"/>
                <w:sz w:val="20"/>
              </w:rPr>
              <w:t> </w:t>
            </w:r>
            <w:r>
              <w:rPr>
                <w:sz w:val="20"/>
              </w:rPr>
              <w:t>с</w:t>
            </w:r>
            <w:r>
              <w:rPr>
                <w:spacing w:val="-12"/>
                <w:sz w:val="20"/>
              </w:rPr>
              <w:t> </w:t>
            </w:r>
            <w:r>
              <w:rPr>
                <w:sz w:val="20"/>
              </w:rPr>
              <w:t>комбинированным применением адгезивной</w:t>
            </w:r>
          </w:p>
          <w:p>
            <w:pPr>
              <w:pStyle w:val="TableParagraph"/>
              <w:spacing w:line="249" w:lineRule="auto" w:before="3"/>
              <w:ind w:left="111" w:right="100"/>
              <w:rPr>
                <w:sz w:val="20"/>
              </w:rPr>
            </w:pPr>
            <w:r>
              <w:rPr>
                <w:sz w:val="20"/>
              </w:rPr>
              <w:t>и</w:t>
            </w:r>
            <w:r>
              <w:rPr>
                <w:spacing w:val="-13"/>
                <w:sz w:val="20"/>
              </w:rPr>
              <w:t> </w:t>
            </w:r>
            <w:r>
              <w:rPr>
                <w:sz w:val="20"/>
              </w:rPr>
              <w:t>неадгезивной</w:t>
            </w:r>
            <w:r>
              <w:rPr>
                <w:spacing w:val="-12"/>
                <w:sz w:val="20"/>
              </w:rPr>
              <w:t> </w:t>
            </w:r>
            <w:r>
              <w:rPr>
                <w:sz w:val="20"/>
              </w:rPr>
              <w:t>клеевой</w:t>
            </w:r>
            <w:r>
              <w:rPr>
                <w:spacing w:val="-13"/>
                <w:sz w:val="20"/>
              </w:rPr>
              <w:t> </w:t>
            </w:r>
            <w:r>
              <w:rPr>
                <w:sz w:val="20"/>
              </w:rPr>
              <w:t>композиции, микроспиралей и стентов</w:t>
            </w:r>
          </w:p>
        </w:tc>
        <w:tc>
          <w:tcPr>
            <w:tcW w:w="1219" w:type="dxa"/>
          </w:tcPr>
          <w:p>
            <w:pPr>
              <w:pStyle w:val="TableParagraph"/>
              <w:rPr>
                <w:sz w:val="18"/>
              </w:rPr>
            </w:pPr>
          </w:p>
        </w:tc>
      </w:tr>
      <w:tr>
        <w:trPr>
          <w:trHeight w:val="156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before="60"/>
              <w:ind w:left="64" w:right="64"/>
              <w:jc w:val="center"/>
              <w:rPr>
                <w:sz w:val="20"/>
              </w:rPr>
            </w:pPr>
            <w:r>
              <w:rPr>
                <w:spacing w:val="-5"/>
                <w:sz w:val="20"/>
              </w:rPr>
              <w:t>I66</w:t>
            </w:r>
          </w:p>
        </w:tc>
        <w:tc>
          <w:tcPr>
            <w:tcW w:w="3276" w:type="dxa"/>
          </w:tcPr>
          <w:p>
            <w:pPr>
              <w:pStyle w:val="TableParagraph"/>
              <w:spacing w:line="249" w:lineRule="auto" w:before="60"/>
              <w:ind w:left="75" w:right="302"/>
              <w:rPr>
                <w:sz w:val="20"/>
              </w:rPr>
            </w:pPr>
            <w:r>
              <w:rPr>
                <w:sz w:val="20"/>
              </w:rPr>
              <w:t>окклюзии, стенозы, эмболии и тромбозы интракраниальных отделов церебральных артерий. Ишемия головного мозга как последствие</w:t>
            </w:r>
            <w:r>
              <w:rPr>
                <w:spacing w:val="-13"/>
                <w:sz w:val="20"/>
              </w:rPr>
              <w:t> </w:t>
            </w:r>
            <w:r>
              <w:rPr>
                <w:sz w:val="20"/>
              </w:rPr>
              <w:t>цереброваскулярных </w:t>
            </w:r>
            <w:r>
              <w:rPr>
                <w:spacing w:val="-2"/>
                <w:sz w:val="20"/>
              </w:rPr>
              <w:t>болезней</w:t>
            </w:r>
          </w:p>
        </w:tc>
        <w:tc>
          <w:tcPr>
            <w:tcW w:w="1469" w:type="dxa"/>
          </w:tcPr>
          <w:p>
            <w:pPr>
              <w:pStyle w:val="TableParagraph"/>
              <w:spacing w:line="249"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эндоваскулярная</w:t>
            </w:r>
            <w:r>
              <w:rPr>
                <w:spacing w:val="-13"/>
                <w:sz w:val="20"/>
              </w:rPr>
              <w:t> </w:t>
            </w:r>
            <w:r>
              <w:rPr>
                <w:sz w:val="20"/>
              </w:rPr>
              <w:t>ангиопластика</w:t>
            </w:r>
            <w:r>
              <w:rPr>
                <w:spacing w:val="-12"/>
                <w:sz w:val="20"/>
              </w:rPr>
              <w:t> </w:t>
            </w:r>
            <w:r>
              <w:rPr>
                <w:sz w:val="20"/>
              </w:rPr>
              <w:t>и </w:t>
            </w:r>
            <w:r>
              <w:rPr>
                <w:spacing w:val="-2"/>
                <w:sz w:val="20"/>
              </w:rPr>
              <w:t>стентирование</w:t>
            </w:r>
          </w:p>
        </w:tc>
        <w:tc>
          <w:tcPr>
            <w:tcW w:w="1219"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19.</w:t>
            </w:r>
          </w:p>
        </w:tc>
        <w:tc>
          <w:tcPr>
            <w:tcW w:w="2840" w:type="dxa"/>
          </w:tcPr>
          <w:p>
            <w:pPr>
              <w:pStyle w:val="TableParagraph"/>
              <w:spacing w:line="240" w:lineRule="atLeast" w:before="30"/>
              <w:ind w:left="155" w:right="49"/>
              <w:rPr>
                <w:sz w:val="20"/>
              </w:rPr>
            </w:pPr>
            <w:r>
              <w:rPr>
                <w:sz w:val="20"/>
              </w:rPr>
              <w:t>Имплантация, в том числе </w:t>
            </w:r>
            <w:r>
              <w:rPr>
                <w:spacing w:val="-2"/>
                <w:sz w:val="20"/>
              </w:rPr>
              <w:t>стереотаксическая, внутримозговых, </w:t>
            </w:r>
            <w:r>
              <w:rPr>
                <w:sz w:val="20"/>
              </w:rPr>
              <w:t>эпидуральных и периферийных электродов, включая тестовые, нейростимуляторов</w:t>
            </w:r>
            <w:r>
              <w:rPr>
                <w:spacing w:val="-13"/>
                <w:sz w:val="20"/>
              </w:rPr>
              <w:t> </w:t>
            </w:r>
            <w:r>
              <w:rPr>
                <w:sz w:val="20"/>
              </w:rPr>
              <w:t>и</w:t>
            </w:r>
            <w:r>
              <w:rPr>
                <w:spacing w:val="-12"/>
                <w:sz w:val="20"/>
              </w:rPr>
              <w:t> </w:t>
            </w:r>
            <w:r>
              <w:rPr>
                <w:sz w:val="20"/>
              </w:rPr>
              <w:t>помп</w:t>
            </w:r>
            <w:r>
              <w:rPr>
                <w:spacing w:val="-13"/>
                <w:sz w:val="20"/>
              </w:rPr>
              <w:t> </w:t>
            </w:r>
            <w:r>
              <w:rPr>
                <w:sz w:val="20"/>
              </w:rPr>
              <w:t>на</w:t>
            </w:r>
          </w:p>
        </w:tc>
        <w:tc>
          <w:tcPr>
            <w:tcW w:w="2102" w:type="dxa"/>
          </w:tcPr>
          <w:p>
            <w:pPr>
              <w:pStyle w:val="TableParagraph"/>
              <w:spacing w:line="249" w:lineRule="auto" w:before="60"/>
              <w:ind w:left="63" w:right="67"/>
              <w:jc w:val="center"/>
              <w:rPr>
                <w:sz w:val="20"/>
              </w:rPr>
            </w:pPr>
            <w:r>
              <w:rPr>
                <w:sz w:val="20"/>
              </w:rPr>
              <w:t>G20,</w:t>
            </w:r>
            <w:r>
              <w:rPr>
                <w:spacing w:val="-13"/>
                <w:sz w:val="20"/>
              </w:rPr>
              <w:t> </w:t>
            </w:r>
            <w:r>
              <w:rPr>
                <w:sz w:val="20"/>
              </w:rPr>
              <w:t>G21,</w:t>
            </w:r>
            <w:r>
              <w:rPr>
                <w:spacing w:val="-12"/>
                <w:sz w:val="20"/>
              </w:rPr>
              <w:t> </w:t>
            </w:r>
            <w:r>
              <w:rPr>
                <w:sz w:val="20"/>
              </w:rPr>
              <w:t>G24,</w:t>
            </w:r>
            <w:r>
              <w:rPr>
                <w:spacing w:val="-13"/>
                <w:sz w:val="20"/>
              </w:rPr>
              <w:t> </w:t>
            </w:r>
            <w:r>
              <w:rPr>
                <w:sz w:val="20"/>
              </w:rPr>
              <w:t>G25.0, G25.2, G80, G95.0, G95.1, G95.8</w:t>
            </w:r>
          </w:p>
        </w:tc>
        <w:tc>
          <w:tcPr>
            <w:tcW w:w="3276" w:type="dxa"/>
          </w:tcPr>
          <w:p>
            <w:pPr>
              <w:pStyle w:val="TableParagraph"/>
              <w:spacing w:line="249" w:lineRule="auto" w:before="60"/>
              <w:ind w:left="75" w:right="200"/>
              <w:rPr>
                <w:sz w:val="20"/>
              </w:rPr>
            </w:pPr>
            <w:r>
              <w:rPr>
                <w:sz w:val="20"/>
              </w:rPr>
              <w:t>болезнь</w:t>
            </w:r>
            <w:r>
              <w:rPr>
                <w:spacing w:val="-13"/>
                <w:sz w:val="20"/>
              </w:rPr>
              <w:t> </w:t>
            </w:r>
            <w:r>
              <w:rPr>
                <w:sz w:val="20"/>
              </w:rPr>
              <w:t>Паркинсона</w:t>
            </w:r>
            <w:r>
              <w:rPr>
                <w:spacing w:val="-12"/>
                <w:sz w:val="20"/>
              </w:rPr>
              <w:t> </w:t>
            </w:r>
            <w:r>
              <w:rPr>
                <w:sz w:val="20"/>
              </w:rPr>
              <w:t>и</w:t>
            </w:r>
            <w:r>
              <w:rPr>
                <w:spacing w:val="-13"/>
                <w:sz w:val="20"/>
              </w:rPr>
              <w:t> </w:t>
            </w:r>
            <w:r>
              <w:rPr>
                <w:sz w:val="20"/>
              </w:rPr>
              <w:t>вторичный паркинсонизм, деформирующая мышечная дистония, детский церебральный паралич и эссенциальный тремор</w:t>
            </w:r>
          </w:p>
        </w:tc>
        <w:tc>
          <w:tcPr>
            <w:tcW w:w="1469" w:type="dxa"/>
          </w:tcPr>
          <w:p>
            <w:pPr>
              <w:pStyle w:val="TableParagraph"/>
              <w:spacing w:line="249"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имплантация,</w:t>
            </w:r>
            <w:r>
              <w:rPr>
                <w:spacing w:val="-10"/>
                <w:sz w:val="20"/>
              </w:rPr>
              <w:t> </w:t>
            </w:r>
            <w:r>
              <w:rPr>
                <w:sz w:val="20"/>
              </w:rPr>
              <w:t>в</w:t>
            </w:r>
            <w:r>
              <w:rPr>
                <w:spacing w:val="-10"/>
                <w:sz w:val="20"/>
              </w:rPr>
              <w:t> </w:t>
            </w:r>
            <w:r>
              <w:rPr>
                <w:sz w:val="20"/>
              </w:rPr>
              <w:t>том</w:t>
            </w:r>
            <w:r>
              <w:rPr>
                <w:spacing w:val="-9"/>
                <w:sz w:val="20"/>
              </w:rPr>
              <w:t> </w:t>
            </w:r>
            <w:r>
              <w:rPr>
                <w:sz w:val="20"/>
              </w:rPr>
              <w:t>числе</w:t>
            </w:r>
            <w:r>
              <w:rPr>
                <w:spacing w:val="-10"/>
                <w:sz w:val="20"/>
              </w:rPr>
              <w:t> </w:t>
            </w:r>
            <w:r>
              <w:rPr>
                <w:sz w:val="20"/>
              </w:rPr>
              <w:t>стереотак- сическая, внутримозговых и эпиду- ральных электродов и постоянных нейростимуляторов на постоянных источниках тока и их замена</w:t>
            </w:r>
          </w:p>
        </w:tc>
        <w:tc>
          <w:tcPr>
            <w:tcW w:w="1219" w:type="dxa"/>
          </w:tcPr>
          <w:p>
            <w:pPr>
              <w:pStyle w:val="TableParagraph"/>
              <w:spacing w:before="60"/>
              <w:ind w:left="473"/>
              <w:rPr>
                <w:sz w:val="20"/>
              </w:rPr>
            </w:pPr>
            <w:r>
              <w:rPr>
                <w:spacing w:val="-2"/>
                <w:sz w:val="20"/>
              </w:rPr>
              <w:t>1555516</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4"/>
        <w:gridCol w:w="2114"/>
        <w:gridCol w:w="3307"/>
        <w:gridCol w:w="1430"/>
        <w:gridCol w:w="3680"/>
      </w:tblGrid>
      <w:tr>
        <w:trPr>
          <w:trHeight w:val="1250" w:hRule="atLeast"/>
        </w:trPr>
        <w:tc>
          <w:tcPr>
            <w:tcW w:w="2734" w:type="dxa"/>
          </w:tcPr>
          <w:p>
            <w:pPr>
              <w:pStyle w:val="TableParagraph"/>
              <w:spacing w:line="249" w:lineRule="auto"/>
              <w:ind w:left="50" w:right="86"/>
              <w:rPr>
                <w:sz w:val="20"/>
              </w:rPr>
            </w:pPr>
            <w:r>
              <w:rPr>
                <w:sz w:val="20"/>
              </w:rPr>
              <w:t>постоянных источниках тока</w:t>
            </w:r>
            <w:r>
              <w:rPr>
                <w:spacing w:val="40"/>
                <w:sz w:val="20"/>
              </w:rPr>
              <w:t> </w:t>
            </w:r>
            <w:r>
              <w:rPr>
                <w:sz w:val="20"/>
              </w:rPr>
              <w:t>и их замена для нейростимуляции</w:t>
            </w:r>
            <w:r>
              <w:rPr>
                <w:spacing w:val="-13"/>
                <w:sz w:val="20"/>
              </w:rPr>
              <w:t> </w:t>
            </w:r>
            <w:r>
              <w:rPr>
                <w:sz w:val="20"/>
              </w:rPr>
              <w:t>головного</w:t>
            </w:r>
            <w:r>
              <w:rPr>
                <w:spacing w:val="-12"/>
                <w:sz w:val="20"/>
              </w:rPr>
              <w:t> </w:t>
            </w:r>
            <w:r>
              <w:rPr>
                <w:sz w:val="20"/>
              </w:rPr>
              <w:t>и спинного мозга, периферических нервов</w:t>
            </w:r>
          </w:p>
        </w:tc>
        <w:tc>
          <w:tcPr>
            <w:tcW w:w="2114" w:type="dxa"/>
            <w:vMerge w:val="restart"/>
          </w:tcPr>
          <w:p>
            <w:pPr>
              <w:pStyle w:val="TableParagraph"/>
              <w:spacing w:line="249" w:lineRule="auto"/>
              <w:ind w:left="89" w:right="100"/>
              <w:jc w:val="center"/>
              <w:rPr>
                <w:sz w:val="20"/>
              </w:rPr>
            </w:pPr>
            <w:r>
              <w:rPr>
                <w:sz w:val="20"/>
              </w:rPr>
              <w:t>E75.2,</w:t>
            </w:r>
            <w:r>
              <w:rPr>
                <w:spacing w:val="-12"/>
                <w:sz w:val="20"/>
              </w:rPr>
              <w:t> </w:t>
            </w:r>
            <w:r>
              <w:rPr>
                <w:sz w:val="20"/>
              </w:rPr>
              <w:t>G09,</w:t>
            </w:r>
            <w:r>
              <w:rPr>
                <w:spacing w:val="-10"/>
                <w:sz w:val="20"/>
              </w:rPr>
              <w:t> </w:t>
            </w:r>
            <w:r>
              <w:rPr>
                <w:sz w:val="20"/>
              </w:rPr>
              <w:t>G24,</w:t>
            </w:r>
            <w:r>
              <w:rPr>
                <w:spacing w:val="-10"/>
                <w:sz w:val="20"/>
              </w:rPr>
              <w:t> </w:t>
            </w:r>
            <w:r>
              <w:rPr>
                <w:sz w:val="20"/>
              </w:rPr>
              <w:t>G35</w:t>
            </w:r>
            <w:r>
              <w:rPr>
                <w:spacing w:val="-6"/>
                <w:sz w:val="20"/>
              </w:rPr>
              <w:t> </w:t>
            </w:r>
            <w:r>
              <w:rPr>
                <w:sz w:val="20"/>
              </w:rPr>
              <w:t>- G37, G80, G81.1, G82.1, G82.4, G95.0,</w:t>
            </w:r>
          </w:p>
          <w:p>
            <w:pPr>
              <w:pStyle w:val="TableParagraph"/>
              <w:ind w:left="89" w:right="97"/>
              <w:jc w:val="center"/>
              <w:rPr>
                <w:sz w:val="20"/>
              </w:rPr>
            </w:pPr>
            <w:r>
              <w:rPr>
                <w:sz w:val="20"/>
              </w:rPr>
              <w:t>G95.1,</w:t>
            </w:r>
            <w:r>
              <w:rPr>
                <w:spacing w:val="-4"/>
                <w:sz w:val="20"/>
              </w:rPr>
              <w:t> </w:t>
            </w:r>
            <w:r>
              <w:rPr>
                <w:sz w:val="20"/>
              </w:rPr>
              <w:t>G95.8,</w:t>
            </w:r>
            <w:r>
              <w:rPr>
                <w:spacing w:val="-6"/>
                <w:sz w:val="20"/>
              </w:rPr>
              <w:t> </w:t>
            </w:r>
            <w:r>
              <w:rPr>
                <w:sz w:val="20"/>
              </w:rPr>
              <w:t>I69.0</w:t>
            </w:r>
            <w:r>
              <w:rPr>
                <w:spacing w:val="-1"/>
                <w:sz w:val="20"/>
              </w:rPr>
              <w:t> </w:t>
            </w:r>
            <w:r>
              <w:rPr>
                <w:spacing w:val="-10"/>
                <w:sz w:val="20"/>
              </w:rPr>
              <w:t>-</w:t>
            </w:r>
          </w:p>
          <w:p>
            <w:pPr>
              <w:pStyle w:val="TableParagraph"/>
              <w:spacing w:before="4"/>
              <w:ind w:left="87" w:right="100"/>
              <w:jc w:val="center"/>
              <w:rPr>
                <w:sz w:val="20"/>
              </w:rPr>
            </w:pPr>
            <w:r>
              <w:rPr>
                <w:sz w:val="20"/>
              </w:rPr>
              <w:t>I69.8,</w:t>
            </w:r>
            <w:r>
              <w:rPr>
                <w:spacing w:val="-5"/>
                <w:sz w:val="20"/>
              </w:rPr>
              <w:t> </w:t>
            </w:r>
            <w:r>
              <w:rPr>
                <w:sz w:val="20"/>
              </w:rPr>
              <w:t>M53.3,</w:t>
            </w:r>
            <w:r>
              <w:rPr>
                <w:spacing w:val="-5"/>
                <w:sz w:val="20"/>
              </w:rPr>
              <w:t> </w:t>
            </w:r>
            <w:r>
              <w:rPr>
                <w:spacing w:val="-4"/>
                <w:sz w:val="20"/>
              </w:rPr>
              <w:t>M54,</w:t>
            </w:r>
          </w:p>
          <w:p>
            <w:pPr>
              <w:pStyle w:val="TableParagraph"/>
              <w:spacing w:line="249" w:lineRule="auto" w:before="10"/>
              <w:ind w:left="87" w:right="100"/>
              <w:jc w:val="center"/>
              <w:rPr>
                <w:sz w:val="20"/>
              </w:rPr>
            </w:pPr>
            <w:r>
              <w:rPr>
                <w:sz w:val="20"/>
              </w:rPr>
              <w:t>M96,</w:t>
            </w:r>
            <w:r>
              <w:rPr>
                <w:spacing w:val="-13"/>
                <w:sz w:val="20"/>
              </w:rPr>
              <w:t> </w:t>
            </w:r>
            <w:r>
              <w:rPr>
                <w:sz w:val="20"/>
              </w:rPr>
              <w:t>T88.8,</w:t>
            </w:r>
            <w:r>
              <w:rPr>
                <w:spacing w:val="-12"/>
                <w:sz w:val="20"/>
              </w:rPr>
              <w:t> </w:t>
            </w:r>
            <w:r>
              <w:rPr>
                <w:sz w:val="20"/>
              </w:rPr>
              <w:t>T90.5, </w:t>
            </w:r>
            <w:r>
              <w:rPr>
                <w:spacing w:val="-2"/>
                <w:sz w:val="20"/>
              </w:rPr>
              <w:t>T91.3</w:t>
            </w:r>
          </w:p>
        </w:tc>
        <w:tc>
          <w:tcPr>
            <w:tcW w:w="3307" w:type="dxa"/>
            <w:vMerge w:val="restart"/>
          </w:tcPr>
          <w:p>
            <w:pPr>
              <w:pStyle w:val="TableParagraph"/>
              <w:spacing w:line="249" w:lineRule="auto"/>
              <w:ind w:left="62" w:right="76"/>
              <w:rPr>
                <w:sz w:val="20"/>
              </w:rPr>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rPr>
                <w:spacing w:val="-2"/>
                <w:sz w:val="20"/>
              </w:rPr>
              <w:t>позвоночно-спинномозговой</w:t>
            </w:r>
            <w:r>
              <w:rPr>
                <w:spacing w:val="80"/>
                <w:sz w:val="20"/>
              </w:rPr>
              <w:t> </w:t>
            </w:r>
            <w:r>
              <w:rPr>
                <w:sz w:val="20"/>
              </w:rPr>
              <w:t>травмы, нарушения мозгового кровообращения по ишемическому или геморрагическому типу, демиелинизирующие болезни, инфекционные</w:t>
            </w:r>
            <w:r>
              <w:rPr>
                <w:spacing w:val="-13"/>
                <w:sz w:val="20"/>
              </w:rPr>
              <w:t> </w:t>
            </w:r>
            <w:r>
              <w:rPr>
                <w:sz w:val="20"/>
              </w:rPr>
              <w:t>болезни,</w:t>
            </w:r>
            <w:r>
              <w:rPr>
                <w:spacing w:val="-12"/>
                <w:sz w:val="20"/>
              </w:rPr>
              <w:t> </w:t>
            </w:r>
            <w:r>
              <w:rPr>
                <w:sz w:val="20"/>
              </w:rPr>
              <w:t>последствия медицинских вмешательств и </w:t>
            </w:r>
            <w:r>
              <w:rPr>
                <w:spacing w:val="-2"/>
                <w:sz w:val="20"/>
              </w:rPr>
              <w:t>процедур)</w:t>
            </w:r>
          </w:p>
        </w:tc>
        <w:tc>
          <w:tcPr>
            <w:tcW w:w="1430" w:type="dxa"/>
          </w:tcPr>
          <w:p>
            <w:pPr>
              <w:pStyle w:val="TableParagraph"/>
              <w:spacing w:line="249" w:lineRule="auto"/>
              <w:ind w:left="63"/>
              <w:rPr>
                <w:sz w:val="20"/>
              </w:rPr>
            </w:pPr>
            <w:r>
              <w:rPr>
                <w:spacing w:val="-2"/>
                <w:sz w:val="20"/>
              </w:rPr>
              <w:t>хирургическое лечение</w:t>
            </w:r>
          </w:p>
        </w:tc>
        <w:tc>
          <w:tcPr>
            <w:tcW w:w="3680" w:type="dxa"/>
          </w:tcPr>
          <w:p>
            <w:pPr>
              <w:pStyle w:val="TableParagraph"/>
              <w:spacing w:line="249" w:lineRule="auto"/>
              <w:ind w:left="107" w:right="54"/>
              <w:rPr>
                <w:sz w:val="20"/>
              </w:rPr>
            </w:pPr>
            <w:r>
              <w:rPr>
                <w:sz w:val="20"/>
              </w:rPr>
              <w:t>имплантация,</w:t>
            </w:r>
            <w:r>
              <w:rPr>
                <w:spacing w:val="-10"/>
                <w:sz w:val="20"/>
              </w:rPr>
              <w:t> </w:t>
            </w:r>
            <w:r>
              <w:rPr>
                <w:sz w:val="20"/>
              </w:rPr>
              <w:t>в</w:t>
            </w:r>
            <w:r>
              <w:rPr>
                <w:spacing w:val="-10"/>
                <w:sz w:val="20"/>
              </w:rPr>
              <w:t> </w:t>
            </w:r>
            <w:r>
              <w:rPr>
                <w:sz w:val="20"/>
              </w:rPr>
              <w:t>том</w:t>
            </w:r>
            <w:r>
              <w:rPr>
                <w:spacing w:val="-9"/>
                <w:sz w:val="20"/>
              </w:rPr>
              <w:t> </w:t>
            </w:r>
            <w:r>
              <w:rPr>
                <w:sz w:val="20"/>
              </w:rPr>
              <w:t>числе</w:t>
            </w:r>
            <w:r>
              <w:rPr>
                <w:spacing w:val="-10"/>
                <w:sz w:val="20"/>
              </w:rPr>
              <w:t> </w:t>
            </w:r>
            <w:r>
              <w:rPr>
                <w:sz w:val="20"/>
              </w:rPr>
              <w:t>стереотак- сическая, внутримозговых и эпиду- ральных электродов и постоянных нейростимуляторов на постоянных источниках тока и их замена</w:t>
            </w:r>
          </w:p>
        </w:tc>
      </w:tr>
      <w:tr>
        <w:trPr>
          <w:trHeight w:val="2160" w:hRule="atLeast"/>
        </w:trPr>
        <w:tc>
          <w:tcPr>
            <w:tcW w:w="2734" w:type="dxa"/>
          </w:tcPr>
          <w:p>
            <w:pPr>
              <w:pStyle w:val="TableParagraph"/>
              <w:rPr>
                <w:sz w:val="18"/>
              </w:rPr>
            </w:pPr>
          </w:p>
        </w:tc>
        <w:tc>
          <w:tcPr>
            <w:tcW w:w="2114" w:type="dxa"/>
            <w:vMerge/>
            <w:tcBorders>
              <w:top w:val="nil"/>
            </w:tcBorders>
          </w:tcPr>
          <w:p>
            <w:pPr>
              <w:rPr>
                <w:sz w:val="2"/>
                <w:szCs w:val="2"/>
              </w:rPr>
            </w:pPr>
          </w:p>
        </w:tc>
        <w:tc>
          <w:tcPr>
            <w:tcW w:w="3307" w:type="dxa"/>
            <w:vMerge/>
            <w:tcBorders>
              <w:top w:val="nil"/>
            </w:tcBorders>
          </w:tcPr>
          <w:p>
            <w:pPr>
              <w:rPr>
                <w:sz w:val="2"/>
                <w:szCs w:val="2"/>
              </w:rPr>
            </w:pPr>
          </w:p>
        </w:tc>
        <w:tc>
          <w:tcPr>
            <w:tcW w:w="1430" w:type="dxa"/>
          </w:tcPr>
          <w:p>
            <w:pPr>
              <w:pStyle w:val="TableParagraph"/>
              <w:rPr>
                <w:sz w:val="18"/>
              </w:rPr>
            </w:pPr>
          </w:p>
        </w:tc>
        <w:tc>
          <w:tcPr>
            <w:tcW w:w="3680" w:type="dxa"/>
          </w:tcPr>
          <w:p>
            <w:pPr>
              <w:pStyle w:val="TableParagraph"/>
              <w:spacing w:line="249" w:lineRule="auto" w:before="60"/>
              <w:ind w:left="107" w:right="54"/>
              <w:rPr>
                <w:sz w:val="20"/>
              </w:rPr>
            </w:pPr>
            <w:r>
              <w:rPr>
                <w:sz w:val="20"/>
              </w:rPr>
              <w:t>имплантация</w:t>
            </w:r>
            <w:r>
              <w:rPr>
                <w:spacing w:val="-10"/>
                <w:sz w:val="20"/>
              </w:rPr>
              <w:t> </w:t>
            </w:r>
            <w:r>
              <w:rPr>
                <w:sz w:val="20"/>
              </w:rPr>
              <w:t>помпы</w:t>
            </w:r>
            <w:r>
              <w:rPr>
                <w:spacing w:val="-9"/>
                <w:sz w:val="20"/>
              </w:rPr>
              <w:t> </w:t>
            </w:r>
            <w:r>
              <w:rPr>
                <w:sz w:val="20"/>
              </w:rPr>
              <w:t>для</w:t>
            </w:r>
            <w:r>
              <w:rPr>
                <w:spacing w:val="-10"/>
                <w:sz w:val="20"/>
              </w:rPr>
              <w:t> </w:t>
            </w:r>
            <w:r>
              <w:rPr>
                <w:sz w:val="20"/>
              </w:rPr>
              <w:t>хронического интратекального введения лекарственных препаратов в спинномозговую</w:t>
            </w:r>
            <w:r>
              <w:rPr>
                <w:spacing w:val="-11"/>
                <w:sz w:val="20"/>
              </w:rPr>
              <w:t> </w:t>
            </w:r>
            <w:r>
              <w:rPr>
                <w:sz w:val="20"/>
              </w:rPr>
              <w:t>жидкость</w:t>
            </w:r>
            <w:r>
              <w:rPr>
                <w:spacing w:val="-11"/>
                <w:sz w:val="20"/>
              </w:rPr>
              <w:t> </w:t>
            </w:r>
            <w:r>
              <w:rPr>
                <w:sz w:val="20"/>
              </w:rPr>
              <w:t>и</w:t>
            </w:r>
            <w:r>
              <w:rPr>
                <w:spacing w:val="-11"/>
                <w:sz w:val="20"/>
              </w:rPr>
              <w:t> </w:t>
            </w:r>
            <w:r>
              <w:rPr>
                <w:sz w:val="20"/>
              </w:rPr>
              <w:t>ее</w:t>
            </w:r>
            <w:r>
              <w:rPr>
                <w:spacing w:val="-11"/>
                <w:sz w:val="20"/>
              </w:rPr>
              <w:t> </w:t>
            </w:r>
            <w:r>
              <w:rPr>
                <w:sz w:val="20"/>
              </w:rPr>
              <w:t>замена</w:t>
            </w:r>
          </w:p>
        </w:tc>
      </w:tr>
      <w:tr>
        <w:trPr>
          <w:trHeight w:val="1800" w:hRule="atLeast"/>
        </w:trPr>
        <w:tc>
          <w:tcPr>
            <w:tcW w:w="2734" w:type="dxa"/>
          </w:tcPr>
          <w:p>
            <w:pPr>
              <w:pStyle w:val="TableParagraph"/>
              <w:rPr>
                <w:sz w:val="18"/>
              </w:rPr>
            </w:pPr>
          </w:p>
        </w:tc>
        <w:tc>
          <w:tcPr>
            <w:tcW w:w="2114" w:type="dxa"/>
          </w:tcPr>
          <w:p>
            <w:pPr>
              <w:pStyle w:val="TableParagraph"/>
              <w:spacing w:line="249" w:lineRule="auto" w:before="60"/>
              <w:ind w:left="506" w:hanging="358"/>
              <w:rPr>
                <w:sz w:val="20"/>
              </w:rPr>
            </w:pPr>
            <w:r>
              <w:rPr>
                <w:sz w:val="20"/>
              </w:rPr>
              <w:t>G31.8,</w:t>
            </w:r>
            <w:r>
              <w:rPr>
                <w:spacing w:val="-13"/>
                <w:sz w:val="20"/>
              </w:rPr>
              <w:t> </w:t>
            </w:r>
            <w:r>
              <w:rPr>
                <w:sz w:val="20"/>
              </w:rPr>
              <w:t>G40.1</w:t>
            </w:r>
            <w:r>
              <w:rPr>
                <w:spacing w:val="-10"/>
                <w:sz w:val="20"/>
              </w:rPr>
              <w:t> </w:t>
            </w:r>
            <w:r>
              <w:rPr>
                <w:sz w:val="20"/>
              </w:rPr>
              <w:t>-</w:t>
            </w:r>
            <w:r>
              <w:rPr>
                <w:spacing w:val="-13"/>
                <w:sz w:val="20"/>
              </w:rPr>
              <w:t> </w:t>
            </w:r>
            <w:r>
              <w:rPr>
                <w:sz w:val="20"/>
              </w:rPr>
              <w:t>G40.4, Q04.3, Q04.8</w:t>
            </w:r>
          </w:p>
        </w:tc>
        <w:tc>
          <w:tcPr>
            <w:tcW w:w="3307" w:type="dxa"/>
          </w:tcPr>
          <w:p>
            <w:pPr>
              <w:pStyle w:val="TableParagraph"/>
              <w:spacing w:line="249" w:lineRule="auto" w:before="60"/>
              <w:ind w:left="62" w:right="615"/>
              <w:rPr>
                <w:sz w:val="20"/>
              </w:rPr>
            </w:pPr>
            <w:r>
              <w:rPr>
                <w:sz w:val="20"/>
              </w:rPr>
              <w:t>симптоматическая эпилепсия (резистентная к лечению лекарственными</w:t>
            </w:r>
            <w:r>
              <w:rPr>
                <w:spacing w:val="-13"/>
                <w:sz w:val="20"/>
              </w:rPr>
              <w:t> </w:t>
            </w:r>
            <w:r>
              <w:rPr>
                <w:sz w:val="20"/>
              </w:rPr>
              <w:t>препаратами)</w:t>
            </w:r>
          </w:p>
        </w:tc>
        <w:tc>
          <w:tcPr>
            <w:tcW w:w="1430" w:type="dxa"/>
          </w:tcPr>
          <w:p>
            <w:pPr>
              <w:pStyle w:val="TableParagraph"/>
              <w:spacing w:line="249" w:lineRule="auto" w:before="60"/>
              <w:ind w:left="63"/>
              <w:rPr>
                <w:sz w:val="20"/>
              </w:rPr>
            </w:pPr>
            <w:r>
              <w:rPr>
                <w:spacing w:val="-2"/>
                <w:sz w:val="20"/>
              </w:rPr>
              <w:t>хирургическое лечение</w:t>
            </w:r>
          </w:p>
        </w:tc>
        <w:tc>
          <w:tcPr>
            <w:tcW w:w="3680" w:type="dxa"/>
          </w:tcPr>
          <w:p>
            <w:pPr>
              <w:pStyle w:val="TableParagraph"/>
              <w:spacing w:line="249" w:lineRule="auto" w:before="60"/>
              <w:ind w:left="107" w:right="54"/>
              <w:rPr>
                <w:sz w:val="20"/>
              </w:rPr>
            </w:pPr>
            <w:r>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w:t>
            </w:r>
            <w:r>
              <w:rPr>
                <w:spacing w:val="-11"/>
                <w:sz w:val="20"/>
              </w:rPr>
              <w:t> </w:t>
            </w:r>
            <w:r>
              <w:rPr>
                <w:sz w:val="20"/>
              </w:rPr>
              <w:t>биопотенциалов</w:t>
            </w:r>
            <w:r>
              <w:rPr>
                <w:spacing w:val="-9"/>
                <w:sz w:val="20"/>
              </w:rPr>
              <w:t> </w:t>
            </w:r>
            <w:r>
              <w:rPr>
                <w:sz w:val="20"/>
              </w:rPr>
              <w:t>и</w:t>
            </w:r>
            <w:r>
              <w:rPr>
                <w:spacing w:val="-11"/>
                <w:sz w:val="20"/>
              </w:rPr>
              <w:t> </w:t>
            </w:r>
            <w:r>
              <w:rPr>
                <w:sz w:val="20"/>
              </w:rPr>
              <w:t>их</w:t>
            </w:r>
            <w:r>
              <w:rPr>
                <w:spacing w:val="-11"/>
                <w:sz w:val="20"/>
              </w:rPr>
              <w:t> </w:t>
            </w:r>
            <w:r>
              <w:rPr>
                <w:sz w:val="20"/>
              </w:rPr>
              <w:t>замена</w:t>
            </w:r>
          </w:p>
        </w:tc>
      </w:tr>
      <w:tr>
        <w:trPr>
          <w:trHeight w:val="1320" w:hRule="atLeast"/>
        </w:trPr>
        <w:tc>
          <w:tcPr>
            <w:tcW w:w="2734" w:type="dxa"/>
          </w:tcPr>
          <w:p>
            <w:pPr>
              <w:pStyle w:val="TableParagraph"/>
              <w:rPr>
                <w:sz w:val="18"/>
              </w:rPr>
            </w:pPr>
          </w:p>
        </w:tc>
        <w:tc>
          <w:tcPr>
            <w:tcW w:w="2114" w:type="dxa"/>
          </w:tcPr>
          <w:p>
            <w:pPr>
              <w:pStyle w:val="TableParagraph"/>
              <w:spacing w:line="249" w:lineRule="auto" w:before="60"/>
              <w:ind w:left="438" w:hanging="264"/>
              <w:rPr>
                <w:sz w:val="20"/>
              </w:rPr>
            </w:pPr>
            <w:r>
              <w:rPr>
                <w:sz w:val="20"/>
              </w:rPr>
              <w:t>M50,</w:t>
            </w:r>
            <w:r>
              <w:rPr>
                <w:spacing w:val="-13"/>
                <w:sz w:val="20"/>
              </w:rPr>
              <w:t> </w:t>
            </w:r>
            <w:r>
              <w:rPr>
                <w:sz w:val="20"/>
              </w:rPr>
              <w:t>M51.0</w:t>
            </w:r>
            <w:r>
              <w:rPr>
                <w:spacing w:val="-10"/>
                <w:sz w:val="20"/>
              </w:rPr>
              <w:t> </w:t>
            </w:r>
            <w:r>
              <w:rPr>
                <w:sz w:val="20"/>
              </w:rPr>
              <w:t>-</w:t>
            </w:r>
            <w:r>
              <w:rPr>
                <w:spacing w:val="-13"/>
                <w:sz w:val="20"/>
              </w:rPr>
              <w:t> </w:t>
            </w:r>
            <w:r>
              <w:rPr>
                <w:sz w:val="20"/>
              </w:rPr>
              <w:t>M51.3, M51.8 - M51.9</w:t>
            </w:r>
          </w:p>
        </w:tc>
        <w:tc>
          <w:tcPr>
            <w:tcW w:w="3307" w:type="dxa"/>
          </w:tcPr>
          <w:p>
            <w:pPr>
              <w:pStyle w:val="TableParagraph"/>
              <w:spacing w:line="249" w:lineRule="auto" w:before="60"/>
              <w:ind w:left="62" w:right="76"/>
              <w:rPr>
                <w:sz w:val="20"/>
              </w:rPr>
            </w:pPr>
            <w:r>
              <w:rPr>
                <w:sz w:val="20"/>
              </w:rPr>
              <w:t>поражения</w:t>
            </w:r>
            <w:r>
              <w:rPr>
                <w:spacing w:val="-13"/>
                <w:sz w:val="20"/>
              </w:rPr>
              <w:t> </w:t>
            </w:r>
            <w:r>
              <w:rPr>
                <w:sz w:val="20"/>
              </w:rPr>
              <w:t>межпозвоночных</w:t>
            </w:r>
            <w:r>
              <w:rPr>
                <w:spacing w:val="-12"/>
                <w:sz w:val="20"/>
              </w:rPr>
              <w:t> </w:t>
            </w:r>
            <w:r>
              <w:rPr>
                <w:sz w:val="20"/>
              </w:rPr>
              <w:t>дисков шейных и грудных отделов с миелопатией, радикуло- и </w:t>
            </w:r>
            <w:r>
              <w:rPr>
                <w:spacing w:val="-2"/>
                <w:sz w:val="20"/>
              </w:rPr>
              <w:t>нейропатией</w:t>
            </w:r>
          </w:p>
        </w:tc>
        <w:tc>
          <w:tcPr>
            <w:tcW w:w="1430" w:type="dxa"/>
          </w:tcPr>
          <w:p>
            <w:pPr>
              <w:pStyle w:val="TableParagraph"/>
              <w:spacing w:line="249" w:lineRule="auto" w:before="60"/>
              <w:ind w:left="63"/>
              <w:rPr>
                <w:sz w:val="20"/>
              </w:rPr>
            </w:pPr>
            <w:r>
              <w:rPr>
                <w:spacing w:val="-2"/>
                <w:sz w:val="20"/>
              </w:rPr>
              <w:t>хирургическое лечение</w:t>
            </w:r>
          </w:p>
        </w:tc>
        <w:tc>
          <w:tcPr>
            <w:tcW w:w="3680" w:type="dxa"/>
          </w:tcPr>
          <w:p>
            <w:pPr>
              <w:pStyle w:val="TableParagraph"/>
              <w:spacing w:line="249" w:lineRule="auto" w:before="60"/>
              <w:ind w:left="107" w:right="54"/>
              <w:rPr>
                <w:sz w:val="20"/>
              </w:rPr>
            </w:pPr>
            <w:r>
              <w:rPr>
                <w:sz w:val="20"/>
              </w:rPr>
              <w:t>имплантация, в том числе стереотаксическая, внутримозговых и эпидуральных</w:t>
            </w:r>
            <w:r>
              <w:rPr>
                <w:spacing w:val="-13"/>
                <w:sz w:val="20"/>
              </w:rPr>
              <w:t> </w:t>
            </w:r>
            <w:r>
              <w:rPr>
                <w:sz w:val="20"/>
              </w:rPr>
              <w:t>электродов</w:t>
            </w:r>
            <w:r>
              <w:rPr>
                <w:spacing w:val="-12"/>
                <w:sz w:val="20"/>
              </w:rPr>
              <w:t> </w:t>
            </w:r>
            <w:r>
              <w:rPr>
                <w:sz w:val="20"/>
              </w:rPr>
              <w:t>и</w:t>
            </w:r>
            <w:r>
              <w:rPr>
                <w:spacing w:val="-13"/>
                <w:sz w:val="20"/>
              </w:rPr>
              <w:t> </w:t>
            </w:r>
            <w:r>
              <w:rPr>
                <w:sz w:val="20"/>
              </w:rPr>
              <w:t>постоянных нейростимуляторов на постоянных источниках тока и их замена</w:t>
            </w:r>
          </w:p>
        </w:tc>
      </w:tr>
      <w:tr>
        <w:trPr>
          <w:trHeight w:val="1010" w:hRule="atLeast"/>
        </w:trPr>
        <w:tc>
          <w:tcPr>
            <w:tcW w:w="2734" w:type="dxa"/>
          </w:tcPr>
          <w:p>
            <w:pPr>
              <w:pStyle w:val="TableParagraph"/>
              <w:rPr>
                <w:sz w:val="18"/>
              </w:rPr>
            </w:pPr>
          </w:p>
        </w:tc>
        <w:tc>
          <w:tcPr>
            <w:tcW w:w="2114" w:type="dxa"/>
          </w:tcPr>
          <w:p>
            <w:pPr>
              <w:pStyle w:val="TableParagraph"/>
              <w:spacing w:line="240" w:lineRule="atLeast" w:before="30"/>
              <w:ind w:left="45" w:right="61" w:firstLine="5"/>
              <w:jc w:val="center"/>
              <w:rPr>
                <w:sz w:val="20"/>
              </w:rPr>
            </w:pPr>
            <w:r>
              <w:rPr>
                <w:sz w:val="20"/>
              </w:rPr>
              <w:t>G50 - G53, G54.0 - G54.4, G54.6, G54.8, G54.9,</w:t>
            </w:r>
            <w:r>
              <w:rPr>
                <w:spacing w:val="-13"/>
                <w:sz w:val="20"/>
              </w:rPr>
              <w:t> </w:t>
            </w:r>
            <w:r>
              <w:rPr>
                <w:sz w:val="20"/>
              </w:rPr>
              <w:t>G56,</w:t>
            </w:r>
            <w:r>
              <w:rPr>
                <w:spacing w:val="-12"/>
                <w:sz w:val="20"/>
              </w:rPr>
              <w:t> </w:t>
            </w:r>
            <w:r>
              <w:rPr>
                <w:sz w:val="20"/>
              </w:rPr>
              <w:t>G57,</w:t>
            </w:r>
            <w:r>
              <w:rPr>
                <w:spacing w:val="-13"/>
                <w:sz w:val="20"/>
              </w:rPr>
              <w:t> </w:t>
            </w:r>
            <w:r>
              <w:rPr>
                <w:sz w:val="20"/>
              </w:rPr>
              <w:t>T14.4, T91, T92, T93</w:t>
            </w:r>
          </w:p>
        </w:tc>
        <w:tc>
          <w:tcPr>
            <w:tcW w:w="3307" w:type="dxa"/>
          </w:tcPr>
          <w:p>
            <w:pPr>
              <w:pStyle w:val="TableParagraph"/>
              <w:spacing w:line="240" w:lineRule="atLeast" w:before="30"/>
              <w:ind w:left="62" w:right="60"/>
              <w:rPr>
                <w:sz w:val="20"/>
              </w:rPr>
            </w:pPr>
            <w:r>
              <w:rPr>
                <w:sz w:val="20"/>
              </w:rPr>
              <w:t>поражения плечевого сплетения и шейных</w:t>
            </w:r>
            <w:r>
              <w:rPr>
                <w:spacing w:val="-13"/>
                <w:sz w:val="20"/>
              </w:rPr>
              <w:t> </w:t>
            </w:r>
            <w:r>
              <w:rPr>
                <w:sz w:val="20"/>
              </w:rPr>
              <w:t>корешков,</w:t>
            </w:r>
            <w:r>
              <w:rPr>
                <w:spacing w:val="-12"/>
                <w:sz w:val="20"/>
              </w:rPr>
              <w:t> </w:t>
            </w:r>
            <w:r>
              <w:rPr>
                <w:sz w:val="20"/>
              </w:rPr>
              <w:t>синдром</w:t>
            </w:r>
            <w:r>
              <w:rPr>
                <w:spacing w:val="-13"/>
                <w:sz w:val="20"/>
              </w:rPr>
              <w:t> </w:t>
            </w:r>
            <w:r>
              <w:rPr>
                <w:sz w:val="20"/>
              </w:rPr>
              <w:t>фантома конечности с болью, невропатией или радикулопатией</w:t>
            </w:r>
          </w:p>
        </w:tc>
        <w:tc>
          <w:tcPr>
            <w:tcW w:w="1430" w:type="dxa"/>
          </w:tcPr>
          <w:p>
            <w:pPr>
              <w:pStyle w:val="TableParagraph"/>
              <w:spacing w:line="249" w:lineRule="auto" w:before="60"/>
              <w:ind w:left="63"/>
              <w:rPr>
                <w:sz w:val="20"/>
              </w:rPr>
            </w:pPr>
            <w:r>
              <w:rPr>
                <w:spacing w:val="-2"/>
                <w:sz w:val="20"/>
              </w:rPr>
              <w:t>хирургическое лечение</w:t>
            </w:r>
          </w:p>
        </w:tc>
        <w:tc>
          <w:tcPr>
            <w:tcW w:w="3680" w:type="dxa"/>
          </w:tcPr>
          <w:p>
            <w:pPr>
              <w:pStyle w:val="TableParagraph"/>
              <w:spacing w:line="240" w:lineRule="atLeast" w:before="30"/>
              <w:ind w:left="107"/>
              <w:rPr>
                <w:sz w:val="20"/>
              </w:rPr>
            </w:pPr>
            <w:r>
              <w:rPr>
                <w:sz w:val="20"/>
              </w:rPr>
              <w:t>имплантация эпидуральных и периферических электродов и постоянных нейростимуляторов на постоянных</w:t>
            </w:r>
            <w:r>
              <w:rPr>
                <w:spacing w:val="-9"/>
                <w:sz w:val="20"/>
              </w:rPr>
              <w:t> </w:t>
            </w:r>
            <w:r>
              <w:rPr>
                <w:sz w:val="20"/>
              </w:rPr>
              <w:t>источниках</w:t>
            </w:r>
            <w:r>
              <w:rPr>
                <w:spacing w:val="-7"/>
                <w:sz w:val="20"/>
              </w:rPr>
              <w:t> </w:t>
            </w:r>
            <w:r>
              <w:rPr>
                <w:sz w:val="20"/>
              </w:rPr>
              <w:t>тока</w:t>
            </w:r>
            <w:r>
              <w:rPr>
                <w:spacing w:val="-8"/>
                <w:sz w:val="20"/>
              </w:rPr>
              <w:t> </w:t>
            </w:r>
            <w:r>
              <w:rPr>
                <w:sz w:val="20"/>
              </w:rPr>
              <w:t>и</w:t>
            </w:r>
            <w:r>
              <w:rPr>
                <w:spacing w:val="-9"/>
                <w:sz w:val="20"/>
              </w:rPr>
              <w:t> </w:t>
            </w:r>
            <w:r>
              <w:rPr>
                <w:sz w:val="20"/>
              </w:rPr>
              <w:t>их</w:t>
            </w:r>
            <w:r>
              <w:rPr>
                <w:spacing w:val="-9"/>
                <w:sz w:val="20"/>
              </w:rPr>
              <w:t> </w:t>
            </w:r>
            <w:r>
              <w:rPr>
                <w:sz w:val="20"/>
              </w:rPr>
              <w:t>замена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03"/>
        <w:gridCol w:w="2145"/>
        <w:gridCol w:w="3307"/>
        <w:gridCol w:w="1433"/>
        <w:gridCol w:w="3942"/>
        <w:gridCol w:w="1061"/>
      </w:tblGrid>
      <w:tr>
        <w:trPr>
          <w:trHeight w:val="1237" w:hRule="atLeast"/>
        </w:trPr>
        <w:tc>
          <w:tcPr>
            <w:tcW w:w="458" w:type="dxa"/>
          </w:tcPr>
          <w:p>
            <w:pPr>
              <w:pStyle w:val="TableParagraph"/>
              <w:rPr>
                <w:sz w:val="18"/>
              </w:rPr>
            </w:pPr>
          </w:p>
        </w:tc>
        <w:tc>
          <w:tcPr>
            <w:tcW w:w="2803" w:type="dxa"/>
          </w:tcPr>
          <w:p>
            <w:pPr>
              <w:pStyle w:val="TableParagraph"/>
              <w:rPr>
                <w:sz w:val="18"/>
              </w:rPr>
            </w:pPr>
          </w:p>
        </w:tc>
        <w:tc>
          <w:tcPr>
            <w:tcW w:w="2145" w:type="dxa"/>
          </w:tcPr>
          <w:p>
            <w:pPr>
              <w:pStyle w:val="TableParagraph"/>
              <w:spacing w:line="247" w:lineRule="auto"/>
              <w:ind w:left="716" w:hanging="548"/>
              <w:rPr>
                <w:sz w:val="20"/>
              </w:rPr>
            </w:pPr>
            <w:r>
              <w:rPr>
                <w:sz w:val="20"/>
              </w:rPr>
              <w:t>G56,</w:t>
            </w:r>
            <w:r>
              <w:rPr>
                <w:spacing w:val="-13"/>
                <w:sz w:val="20"/>
              </w:rPr>
              <w:t> </w:t>
            </w:r>
            <w:r>
              <w:rPr>
                <w:sz w:val="20"/>
              </w:rPr>
              <w:t>G57,</w:t>
            </w:r>
            <w:r>
              <w:rPr>
                <w:spacing w:val="-12"/>
                <w:sz w:val="20"/>
              </w:rPr>
              <w:t> </w:t>
            </w:r>
            <w:r>
              <w:rPr>
                <w:sz w:val="20"/>
              </w:rPr>
              <w:t>T14.4,</w:t>
            </w:r>
            <w:r>
              <w:rPr>
                <w:spacing w:val="-13"/>
                <w:sz w:val="20"/>
              </w:rPr>
              <w:t> </w:t>
            </w:r>
            <w:r>
              <w:rPr>
                <w:sz w:val="20"/>
              </w:rPr>
              <w:t>T91, T92, T93</w:t>
            </w:r>
          </w:p>
        </w:tc>
        <w:tc>
          <w:tcPr>
            <w:tcW w:w="3307" w:type="dxa"/>
          </w:tcPr>
          <w:p>
            <w:pPr>
              <w:pStyle w:val="TableParagraph"/>
              <w:spacing w:line="249" w:lineRule="auto"/>
              <w:ind w:left="68" w:right="65"/>
              <w:rPr>
                <w:sz w:val="20"/>
              </w:rPr>
            </w:pPr>
            <w:r>
              <w:rPr>
                <w:sz w:val="20"/>
              </w:rPr>
              <w:t>последствия травматических и других поражений периферических нервов</w:t>
            </w:r>
            <w:r>
              <w:rPr>
                <w:spacing w:val="-9"/>
                <w:sz w:val="20"/>
              </w:rPr>
              <w:t> </w:t>
            </w:r>
            <w:r>
              <w:rPr>
                <w:sz w:val="20"/>
              </w:rPr>
              <w:t>и</w:t>
            </w:r>
            <w:r>
              <w:rPr>
                <w:spacing w:val="-9"/>
                <w:sz w:val="20"/>
              </w:rPr>
              <w:t> </w:t>
            </w:r>
            <w:r>
              <w:rPr>
                <w:sz w:val="20"/>
              </w:rPr>
              <w:t>сплетений</w:t>
            </w:r>
            <w:r>
              <w:rPr>
                <w:spacing w:val="-9"/>
                <w:sz w:val="20"/>
              </w:rPr>
              <w:t> </w:t>
            </w:r>
            <w:r>
              <w:rPr>
                <w:sz w:val="20"/>
              </w:rPr>
              <w:t>с</w:t>
            </w:r>
            <w:r>
              <w:rPr>
                <w:spacing w:val="-8"/>
                <w:sz w:val="20"/>
              </w:rPr>
              <w:t> </w:t>
            </w:r>
            <w:r>
              <w:rPr>
                <w:sz w:val="20"/>
              </w:rPr>
              <w:t>туннельными</w:t>
            </w:r>
            <w:r>
              <w:rPr>
                <w:spacing w:val="-9"/>
                <w:sz w:val="20"/>
              </w:rPr>
              <w:t> </w:t>
            </w:r>
            <w:r>
              <w:rPr>
                <w:sz w:val="20"/>
              </w:rPr>
              <w:t>и </w:t>
            </w:r>
            <w:r>
              <w:rPr>
                <w:spacing w:val="-2"/>
                <w:sz w:val="20"/>
              </w:rPr>
              <w:t>компрессионно-ишемическими невропатиями</w:t>
            </w:r>
          </w:p>
        </w:tc>
        <w:tc>
          <w:tcPr>
            <w:tcW w:w="1433" w:type="dxa"/>
          </w:tcPr>
          <w:p>
            <w:pPr>
              <w:pStyle w:val="TableParagraph"/>
              <w:spacing w:line="247" w:lineRule="auto"/>
              <w:ind w:left="69"/>
              <w:rPr>
                <w:sz w:val="20"/>
              </w:rPr>
            </w:pPr>
            <w:r>
              <w:rPr>
                <w:spacing w:val="-2"/>
                <w:sz w:val="20"/>
              </w:rPr>
              <w:t>хирургическое лечение</w:t>
            </w:r>
          </w:p>
        </w:tc>
        <w:tc>
          <w:tcPr>
            <w:tcW w:w="3942" w:type="dxa"/>
          </w:tcPr>
          <w:p>
            <w:pPr>
              <w:pStyle w:val="TableParagraph"/>
              <w:spacing w:line="249" w:lineRule="auto"/>
              <w:ind w:left="110" w:right="303"/>
              <w:rPr>
                <w:sz w:val="20"/>
              </w:rPr>
            </w:pPr>
            <w:r>
              <w:rPr>
                <w:sz w:val="20"/>
              </w:rPr>
              <w:t>имплантация эпидуральных и периферических электродов и постоянных нейростимуляторов на постоянных</w:t>
            </w:r>
            <w:r>
              <w:rPr>
                <w:spacing w:val="-9"/>
                <w:sz w:val="20"/>
              </w:rPr>
              <w:t> </w:t>
            </w:r>
            <w:r>
              <w:rPr>
                <w:sz w:val="20"/>
              </w:rPr>
              <w:t>источниках</w:t>
            </w:r>
            <w:r>
              <w:rPr>
                <w:spacing w:val="-7"/>
                <w:sz w:val="20"/>
              </w:rPr>
              <w:t> </w:t>
            </w:r>
            <w:r>
              <w:rPr>
                <w:sz w:val="20"/>
              </w:rPr>
              <w:t>тока</w:t>
            </w:r>
            <w:r>
              <w:rPr>
                <w:spacing w:val="-8"/>
                <w:sz w:val="20"/>
              </w:rPr>
              <w:t> </w:t>
            </w:r>
            <w:r>
              <w:rPr>
                <w:sz w:val="20"/>
              </w:rPr>
              <w:t>и</w:t>
            </w:r>
            <w:r>
              <w:rPr>
                <w:spacing w:val="-9"/>
                <w:sz w:val="20"/>
              </w:rPr>
              <w:t> </w:t>
            </w:r>
            <w:r>
              <w:rPr>
                <w:sz w:val="20"/>
              </w:rPr>
              <w:t>их</w:t>
            </w:r>
            <w:r>
              <w:rPr>
                <w:spacing w:val="-9"/>
                <w:sz w:val="20"/>
              </w:rPr>
              <w:t> </w:t>
            </w:r>
            <w:r>
              <w:rPr>
                <w:sz w:val="20"/>
              </w:rPr>
              <w:t>замена</w:t>
            </w:r>
          </w:p>
        </w:tc>
        <w:tc>
          <w:tcPr>
            <w:tcW w:w="1061" w:type="dxa"/>
          </w:tcPr>
          <w:p>
            <w:pPr>
              <w:pStyle w:val="TableParagraph"/>
              <w:rPr>
                <w:sz w:val="18"/>
              </w:rPr>
            </w:pPr>
          </w:p>
        </w:tc>
      </w:tr>
      <w:tr>
        <w:trPr>
          <w:trHeight w:val="2260" w:hRule="atLeast"/>
        </w:trPr>
        <w:tc>
          <w:tcPr>
            <w:tcW w:w="458" w:type="dxa"/>
          </w:tcPr>
          <w:p>
            <w:pPr>
              <w:pStyle w:val="TableParagraph"/>
              <w:spacing w:before="49"/>
              <w:ind w:left="50"/>
              <w:rPr>
                <w:sz w:val="20"/>
              </w:rPr>
            </w:pPr>
            <w:r>
              <w:rPr>
                <w:spacing w:val="-5"/>
                <w:sz w:val="20"/>
              </w:rPr>
              <w:t>20.</w:t>
            </w:r>
          </w:p>
        </w:tc>
        <w:tc>
          <w:tcPr>
            <w:tcW w:w="2803" w:type="dxa"/>
          </w:tcPr>
          <w:p>
            <w:pPr>
              <w:pStyle w:val="TableParagraph"/>
              <w:spacing w:line="247" w:lineRule="auto" w:before="52"/>
              <w:ind w:left="155"/>
              <w:rPr>
                <w:sz w:val="20"/>
              </w:rPr>
            </w:pPr>
            <w:r>
              <w:rPr>
                <w:sz w:val="20"/>
              </w:rPr>
              <w:t>Протонная</w:t>
            </w:r>
            <w:r>
              <w:rPr>
                <w:spacing w:val="-13"/>
                <w:sz w:val="20"/>
              </w:rPr>
              <w:t> </w:t>
            </w:r>
            <w:r>
              <w:rPr>
                <w:sz w:val="20"/>
              </w:rPr>
              <w:t>лучевая</w:t>
            </w:r>
            <w:r>
              <w:rPr>
                <w:spacing w:val="-12"/>
                <w:sz w:val="20"/>
              </w:rPr>
              <w:t> </w:t>
            </w:r>
            <w:r>
              <w:rPr>
                <w:sz w:val="20"/>
              </w:rPr>
              <w:t>терапия,</w:t>
            </w:r>
            <w:r>
              <w:rPr>
                <w:spacing w:val="-13"/>
                <w:sz w:val="20"/>
              </w:rPr>
              <w:t> </w:t>
            </w:r>
            <w:r>
              <w:rPr>
                <w:sz w:val="20"/>
              </w:rPr>
              <w:t>в том числе детям</w:t>
            </w:r>
          </w:p>
        </w:tc>
        <w:tc>
          <w:tcPr>
            <w:tcW w:w="2145" w:type="dxa"/>
          </w:tcPr>
          <w:p>
            <w:pPr>
              <w:pStyle w:val="TableParagraph"/>
              <w:spacing w:before="49"/>
              <w:ind w:left="210" w:right="178"/>
              <w:jc w:val="center"/>
              <w:rPr>
                <w:sz w:val="20"/>
              </w:rPr>
            </w:pPr>
            <w:r>
              <w:rPr>
                <w:spacing w:val="-4"/>
                <w:sz w:val="20"/>
              </w:rPr>
              <w:t>D16.4</w:t>
            </w:r>
          </w:p>
        </w:tc>
        <w:tc>
          <w:tcPr>
            <w:tcW w:w="3307" w:type="dxa"/>
          </w:tcPr>
          <w:p>
            <w:pPr>
              <w:pStyle w:val="TableParagraph"/>
              <w:spacing w:line="249" w:lineRule="auto" w:before="52"/>
              <w:ind w:left="68" w:right="76"/>
              <w:rPr>
                <w:sz w:val="20"/>
              </w:rPr>
            </w:pPr>
            <w:r>
              <w:rPr>
                <w:sz w:val="20"/>
              </w:rPr>
              <w:t>пациенты с неоперабельной доброкачественной оухолью, расположенной</w:t>
            </w:r>
            <w:r>
              <w:rPr>
                <w:spacing w:val="-13"/>
                <w:sz w:val="20"/>
              </w:rPr>
              <w:t> </w:t>
            </w:r>
            <w:r>
              <w:rPr>
                <w:sz w:val="20"/>
              </w:rPr>
              <w:t>в</w:t>
            </w:r>
            <w:r>
              <w:rPr>
                <w:spacing w:val="-12"/>
                <w:sz w:val="20"/>
              </w:rPr>
              <w:t> </w:t>
            </w:r>
            <w:r>
              <w:rPr>
                <w:sz w:val="20"/>
              </w:rPr>
              <w:t>области</w:t>
            </w:r>
            <w:r>
              <w:rPr>
                <w:spacing w:val="-13"/>
                <w:sz w:val="20"/>
              </w:rPr>
              <w:t> </w:t>
            </w:r>
            <w:r>
              <w:rPr>
                <w:sz w:val="20"/>
              </w:rPr>
              <w:t>основания </w:t>
            </w:r>
            <w:r>
              <w:rPr>
                <w:spacing w:val="-2"/>
                <w:sz w:val="20"/>
              </w:rPr>
              <w:t>черепа</w:t>
            </w:r>
          </w:p>
          <w:p>
            <w:pPr>
              <w:pStyle w:val="TableParagraph"/>
              <w:spacing w:line="249" w:lineRule="auto" w:before="3"/>
              <w:ind w:left="68" w:right="76"/>
              <w:rPr>
                <w:sz w:val="20"/>
              </w:rPr>
            </w:pPr>
            <w:r>
              <w:rPr>
                <w:sz w:val="20"/>
              </w:rPr>
              <w:t>пациенты с доброкачественным опухолевым процессом в области основания черепа после хирургического</w:t>
            </w:r>
            <w:r>
              <w:rPr>
                <w:spacing w:val="-8"/>
                <w:sz w:val="20"/>
              </w:rPr>
              <w:t> </w:t>
            </w:r>
            <w:r>
              <w:rPr>
                <w:sz w:val="20"/>
              </w:rPr>
              <w:t>этапа,</w:t>
            </w:r>
            <w:r>
              <w:rPr>
                <w:spacing w:val="-8"/>
                <w:sz w:val="20"/>
              </w:rPr>
              <w:t> </w:t>
            </w:r>
            <w:r>
              <w:rPr>
                <w:sz w:val="20"/>
              </w:rPr>
              <w:t>в</w:t>
            </w:r>
            <w:r>
              <w:rPr>
                <w:spacing w:val="-10"/>
                <w:sz w:val="20"/>
              </w:rPr>
              <w:t> </w:t>
            </w:r>
            <w:r>
              <w:rPr>
                <w:sz w:val="20"/>
              </w:rPr>
              <w:t>том</w:t>
            </w:r>
            <w:r>
              <w:rPr>
                <w:spacing w:val="-6"/>
                <w:sz w:val="20"/>
              </w:rPr>
              <w:t> </w:t>
            </w:r>
            <w:r>
              <w:rPr>
                <w:sz w:val="20"/>
              </w:rPr>
              <w:t>числе</w:t>
            </w:r>
            <w:r>
              <w:rPr>
                <w:spacing w:val="-9"/>
                <w:sz w:val="20"/>
              </w:rPr>
              <w:t> </w:t>
            </w:r>
            <w:r>
              <w:rPr>
                <w:sz w:val="20"/>
              </w:rPr>
              <w:t>с остаточной опухолью</w:t>
            </w:r>
          </w:p>
        </w:tc>
        <w:tc>
          <w:tcPr>
            <w:tcW w:w="1433" w:type="dxa"/>
          </w:tcPr>
          <w:p>
            <w:pPr>
              <w:pStyle w:val="TableParagraph"/>
              <w:spacing w:line="247" w:lineRule="auto" w:before="52"/>
              <w:ind w:left="69"/>
              <w:rPr>
                <w:sz w:val="20"/>
              </w:rPr>
            </w:pPr>
            <w:r>
              <w:rPr>
                <w:spacing w:val="-2"/>
                <w:sz w:val="20"/>
              </w:rPr>
              <w:t>терапевтичес- </w:t>
            </w:r>
            <w:r>
              <w:rPr>
                <w:sz w:val="20"/>
              </w:rPr>
              <w:t>кое лечение</w:t>
            </w:r>
          </w:p>
        </w:tc>
        <w:tc>
          <w:tcPr>
            <w:tcW w:w="3942" w:type="dxa"/>
          </w:tcPr>
          <w:p>
            <w:pPr>
              <w:pStyle w:val="TableParagraph"/>
              <w:spacing w:line="249" w:lineRule="auto" w:before="52"/>
              <w:ind w:left="110" w:right="303"/>
              <w:rPr>
                <w:sz w:val="20"/>
              </w:rPr>
            </w:pPr>
            <w:r>
              <w:rPr>
                <w:sz w:val="20"/>
              </w:rPr>
              <w:t>облучение</w:t>
            </w:r>
            <w:r>
              <w:rPr>
                <w:spacing w:val="-11"/>
                <w:sz w:val="20"/>
              </w:rPr>
              <w:t> </w:t>
            </w:r>
            <w:r>
              <w:rPr>
                <w:sz w:val="20"/>
              </w:rPr>
              <w:t>методом</w:t>
            </w:r>
            <w:r>
              <w:rPr>
                <w:spacing w:val="-10"/>
                <w:sz w:val="20"/>
              </w:rPr>
              <w:t> </w:t>
            </w:r>
            <w:r>
              <w:rPr>
                <w:sz w:val="20"/>
              </w:rPr>
              <w:t>протонной</w:t>
            </w:r>
            <w:r>
              <w:rPr>
                <w:spacing w:val="-11"/>
                <w:sz w:val="20"/>
              </w:rPr>
              <w:t> </w:t>
            </w:r>
            <w:r>
              <w:rPr>
                <w:sz w:val="20"/>
              </w:rPr>
              <w:t>терапии</w:t>
            </w:r>
            <w:r>
              <w:rPr>
                <w:spacing w:val="-10"/>
                <w:sz w:val="20"/>
              </w:rPr>
              <w:t> </w:t>
            </w:r>
            <w:r>
              <w:rPr>
                <w:sz w:val="20"/>
              </w:rPr>
              <w:t>у пациентов с доброкачественными новообразованиями, локализованными в области основания черепа</w:t>
            </w:r>
          </w:p>
        </w:tc>
        <w:tc>
          <w:tcPr>
            <w:tcW w:w="1061" w:type="dxa"/>
          </w:tcPr>
          <w:p>
            <w:pPr>
              <w:pStyle w:val="TableParagraph"/>
              <w:spacing w:before="49"/>
              <w:ind w:right="46"/>
              <w:jc w:val="right"/>
              <w:rPr>
                <w:sz w:val="20"/>
              </w:rPr>
            </w:pPr>
            <w:r>
              <w:rPr>
                <w:spacing w:val="-2"/>
                <w:sz w:val="20"/>
              </w:rPr>
              <w:t>2009410</w:t>
            </w:r>
          </w:p>
        </w:tc>
      </w:tr>
      <w:tr>
        <w:trPr>
          <w:trHeight w:val="331" w:hRule="atLeast"/>
        </w:trPr>
        <w:tc>
          <w:tcPr>
            <w:tcW w:w="458" w:type="dxa"/>
          </w:tcPr>
          <w:p>
            <w:pPr>
              <w:pStyle w:val="TableParagraph"/>
              <w:rPr>
                <w:sz w:val="18"/>
              </w:rPr>
            </w:pPr>
          </w:p>
        </w:tc>
        <w:tc>
          <w:tcPr>
            <w:tcW w:w="2803" w:type="dxa"/>
          </w:tcPr>
          <w:p>
            <w:pPr>
              <w:pStyle w:val="TableParagraph"/>
              <w:rPr>
                <w:sz w:val="18"/>
              </w:rPr>
            </w:pPr>
          </w:p>
        </w:tc>
        <w:tc>
          <w:tcPr>
            <w:tcW w:w="2145" w:type="dxa"/>
          </w:tcPr>
          <w:p>
            <w:pPr>
              <w:pStyle w:val="TableParagraph"/>
              <w:rPr>
                <w:sz w:val="18"/>
              </w:rPr>
            </w:pPr>
          </w:p>
        </w:tc>
        <w:tc>
          <w:tcPr>
            <w:tcW w:w="3307" w:type="dxa"/>
          </w:tcPr>
          <w:p>
            <w:pPr>
              <w:pStyle w:val="TableParagraph"/>
              <w:spacing w:before="52"/>
              <w:ind w:left="1831"/>
              <w:rPr>
                <w:sz w:val="20"/>
              </w:rPr>
            </w:pPr>
            <w:r>
              <w:rPr>
                <w:spacing w:val="-2"/>
                <w:sz w:val="20"/>
              </w:rPr>
              <w:t>Онкология</w:t>
            </w:r>
          </w:p>
        </w:tc>
        <w:tc>
          <w:tcPr>
            <w:tcW w:w="1433" w:type="dxa"/>
          </w:tcPr>
          <w:p>
            <w:pPr>
              <w:pStyle w:val="TableParagraph"/>
              <w:rPr>
                <w:sz w:val="18"/>
              </w:rPr>
            </w:pPr>
          </w:p>
        </w:tc>
        <w:tc>
          <w:tcPr>
            <w:tcW w:w="3942" w:type="dxa"/>
          </w:tcPr>
          <w:p>
            <w:pPr>
              <w:pStyle w:val="TableParagraph"/>
              <w:rPr>
                <w:sz w:val="18"/>
              </w:rPr>
            </w:pPr>
          </w:p>
        </w:tc>
        <w:tc>
          <w:tcPr>
            <w:tcW w:w="1061" w:type="dxa"/>
          </w:tcPr>
          <w:p>
            <w:pPr>
              <w:pStyle w:val="TableParagraph"/>
              <w:rPr>
                <w:sz w:val="18"/>
              </w:rPr>
            </w:pPr>
          </w:p>
        </w:tc>
      </w:tr>
      <w:tr>
        <w:trPr>
          <w:trHeight w:val="568" w:hRule="atLeast"/>
        </w:trPr>
        <w:tc>
          <w:tcPr>
            <w:tcW w:w="458" w:type="dxa"/>
          </w:tcPr>
          <w:p>
            <w:pPr>
              <w:pStyle w:val="TableParagraph"/>
              <w:spacing w:before="40"/>
              <w:ind w:left="50"/>
              <w:rPr>
                <w:sz w:val="20"/>
              </w:rPr>
            </w:pPr>
            <w:r>
              <w:rPr>
                <w:spacing w:val="-5"/>
                <w:sz w:val="20"/>
              </w:rPr>
              <w:t>21.</w:t>
            </w:r>
          </w:p>
        </w:tc>
        <w:tc>
          <w:tcPr>
            <w:tcW w:w="2803" w:type="dxa"/>
            <w:vMerge w:val="restart"/>
          </w:tcPr>
          <w:p>
            <w:pPr>
              <w:pStyle w:val="TableParagraph"/>
              <w:spacing w:line="249" w:lineRule="auto" w:before="40"/>
              <w:ind w:left="155" w:right="424"/>
              <w:rPr>
                <w:sz w:val="20"/>
              </w:rPr>
            </w:pPr>
            <w:r>
              <w:rPr>
                <w:spacing w:val="-2"/>
                <w:sz w:val="20"/>
              </w:rPr>
              <w:t>Видеоэндоскопические </w:t>
            </w:r>
            <w:r>
              <w:rPr>
                <w:sz w:val="20"/>
              </w:rPr>
              <w:t>внутриполостные и </w:t>
            </w:r>
            <w:r>
              <w:rPr>
                <w:spacing w:val="-2"/>
                <w:sz w:val="20"/>
              </w:rPr>
              <w:t>видеоэндоскопические </w:t>
            </w:r>
            <w:r>
              <w:rPr>
                <w:sz w:val="20"/>
              </w:rPr>
              <w:t>внутрипросветные</w:t>
            </w:r>
            <w:r>
              <w:rPr>
                <w:spacing w:val="-13"/>
                <w:sz w:val="20"/>
              </w:rPr>
              <w:t> </w:t>
            </w:r>
            <w:r>
              <w:rPr>
                <w:sz w:val="20"/>
              </w:rPr>
              <w:t>хирур- гические вмешательства, </w:t>
            </w:r>
            <w:r>
              <w:rPr>
                <w:spacing w:val="-2"/>
                <w:sz w:val="20"/>
              </w:rPr>
              <w:t>интервенционные радиологические вмешательства, малоинвазивные органосохранные </w:t>
            </w:r>
            <w:r>
              <w:rPr>
                <w:sz w:val="20"/>
              </w:rPr>
              <w:t>вмешательства при </w:t>
            </w:r>
            <w:r>
              <w:rPr>
                <w:spacing w:val="-2"/>
                <w:sz w:val="20"/>
              </w:rPr>
              <w:t>злокачественных новообразованиях</w:t>
            </w:r>
          </w:p>
        </w:tc>
        <w:tc>
          <w:tcPr>
            <w:tcW w:w="2145" w:type="dxa"/>
            <w:vMerge w:val="restart"/>
          </w:tcPr>
          <w:p>
            <w:pPr>
              <w:pStyle w:val="TableParagraph"/>
              <w:spacing w:line="249" w:lineRule="auto" w:before="40"/>
              <w:ind w:left="212" w:right="178"/>
              <w:jc w:val="center"/>
              <w:rPr>
                <w:sz w:val="20"/>
              </w:rPr>
            </w:pPr>
            <w:r>
              <w:rPr>
                <w:sz w:val="20"/>
              </w:rPr>
              <w:t>C00,</w:t>
            </w:r>
            <w:r>
              <w:rPr>
                <w:spacing w:val="-10"/>
                <w:sz w:val="20"/>
              </w:rPr>
              <w:t> </w:t>
            </w:r>
            <w:r>
              <w:rPr>
                <w:sz w:val="20"/>
              </w:rPr>
              <w:t>C01,</w:t>
            </w:r>
            <w:r>
              <w:rPr>
                <w:spacing w:val="-10"/>
                <w:sz w:val="20"/>
              </w:rPr>
              <w:t> </w:t>
            </w:r>
            <w:r>
              <w:rPr>
                <w:sz w:val="20"/>
              </w:rPr>
              <w:t>C02,</w:t>
            </w:r>
            <w:r>
              <w:rPr>
                <w:spacing w:val="-10"/>
                <w:sz w:val="20"/>
              </w:rPr>
              <w:t> </w:t>
            </w:r>
            <w:r>
              <w:rPr>
                <w:sz w:val="20"/>
              </w:rPr>
              <w:t>C04</w:t>
            </w:r>
            <w:r>
              <w:rPr>
                <w:spacing w:val="-6"/>
                <w:sz w:val="20"/>
              </w:rPr>
              <w:t> </w:t>
            </w:r>
            <w:r>
              <w:rPr>
                <w:sz w:val="20"/>
              </w:rPr>
              <w:t>- C06, C09.0, C09.1,</w:t>
            </w:r>
          </w:p>
          <w:p>
            <w:pPr>
              <w:pStyle w:val="TableParagraph"/>
              <w:spacing w:before="1"/>
              <w:ind w:left="202" w:right="178"/>
              <w:jc w:val="center"/>
              <w:rPr>
                <w:sz w:val="20"/>
              </w:rPr>
            </w:pPr>
            <w:r>
              <w:rPr>
                <w:sz w:val="20"/>
              </w:rPr>
              <w:t>C09.8,</w:t>
            </w:r>
            <w:r>
              <w:rPr>
                <w:spacing w:val="-5"/>
                <w:sz w:val="20"/>
              </w:rPr>
              <w:t> </w:t>
            </w:r>
            <w:r>
              <w:rPr>
                <w:sz w:val="20"/>
              </w:rPr>
              <w:t>C09.9,</w:t>
            </w:r>
            <w:r>
              <w:rPr>
                <w:spacing w:val="-5"/>
                <w:sz w:val="20"/>
              </w:rPr>
              <w:t> </w:t>
            </w:r>
            <w:r>
              <w:rPr>
                <w:spacing w:val="-2"/>
                <w:sz w:val="20"/>
              </w:rPr>
              <w:t>C10.0,</w:t>
            </w:r>
          </w:p>
          <w:p>
            <w:pPr>
              <w:pStyle w:val="TableParagraph"/>
              <w:spacing w:before="10"/>
              <w:ind w:left="204" w:right="178"/>
              <w:jc w:val="center"/>
              <w:rPr>
                <w:sz w:val="20"/>
              </w:rPr>
            </w:pPr>
            <w:r>
              <w:rPr>
                <w:sz w:val="20"/>
              </w:rPr>
              <w:t>C10.1,</w:t>
            </w:r>
            <w:r>
              <w:rPr>
                <w:spacing w:val="-3"/>
                <w:sz w:val="20"/>
              </w:rPr>
              <w:t> </w:t>
            </w:r>
            <w:r>
              <w:rPr>
                <w:sz w:val="20"/>
              </w:rPr>
              <w:t>C10.2,</w:t>
            </w:r>
            <w:r>
              <w:rPr>
                <w:spacing w:val="-5"/>
                <w:sz w:val="20"/>
              </w:rPr>
              <w:t> </w:t>
            </w:r>
            <w:r>
              <w:rPr>
                <w:spacing w:val="-2"/>
                <w:sz w:val="20"/>
              </w:rPr>
              <w:t>C10.3,</w:t>
            </w:r>
          </w:p>
          <w:p>
            <w:pPr>
              <w:pStyle w:val="TableParagraph"/>
              <w:spacing w:before="10"/>
              <w:ind w:left="202" w:right="178"/>
              <w:jc w:val="center"/>
              <w:rPr>
                <w:sz w:val="20"/>
              </w:rPr>
            </w:pPr>
            <w:r>
              <w:rPr>
                <w:sz w:val="20"/>
              </w:rPr>
              <w:t>C10.4,</w:t>
            </w:r>
            <w:r>
              <w:rPr>
                <w:spacing w:val="-5"/>
                <w:sz w:val="20"/>
              </w:rPr>
              <w:t> </w:t>
            </w:r>
            <w:r>
              <w:rPr>
                <w:sz w:val="20"/>
              </w:rPr>
              <w:t>C11.0,</w:t>
            </w:r>
            <w:r>
              <w:rPr>
                <w:spacing w:val="-5"/>
                <w:sz w:val="20"/>
              </w:rPr>
              <w:t> </w:t>
            </w:r>
            <w:r>
              <w:rPr>
                <w:spacing w:val="-2"/>
                <w:sz w:val="20"/>
              </w:rPr>
              <w:t>C11.1,</w:t>
            </w:r>
          </w:p>
          <w:p>
            <w:pPr>
              <w:pStyle w:val="TableParagraph"/>
              <w:spacing w:before="10"/>
              <w:ind w:left="202" w:right="178"/>
              <w:jc w:val="center"/>
              <w:rPr>
                <w:sz w:val="20"/>
              </w:rPr>
            </w:pPr>
            <w:r>
              <w:rPr>
                <w:sz w:val="20"/>
              </w:rPr>
              <w:t>C11.2,</w:t>
            </w:r>
            <w:r>
              <w:rPr>
                <w:spacing w:val="-5"/>
                <w:sz w:val="20"/>
              </w:rPr>
              <w:t> </w:t>
            </w:r>
            <w:r>
              <w:rPr>
                <w:sz w:val="20"/>
              </w:rPr>
              <w:t>C11.3,</w:t>
            </w:r>
            <w:r>
              <w:rPr>
                <w:spacing w:val="-5"/>
                <w:sz w:val="20"/>
              </w:rPr>
              <w:t> </w:t>
            </w:r>
            <w:r>
              <w:rPr>
                <w:spacing w:val="-2"/>
                <w:sz w:val="20"/>
              </w:rPr>
              <w:t>C11.8,</w:t>
            </w:r>
          </w:p>
          <w:p>
            <w:pPr>
              <w:pStyle w:val="TableParagraph"/>
              <w:spacing w:before="11"/>
              <w:ind w:left="203" w:right="178"/>
              <w:jc w:val="center"/>
              <w:rPr>
                <w:sz w:val="20"/>
              </w:rPr>
            </w:pPr>
            <w:r>
              <w:rPr>
                <w:sz w:val="20"/>
              </w:rPr>
              <w:t>C11.9,</w:t>
            </w:r>
            <w:r>
              <w:rPr>
                <w:spacing w:val="-4"/>
                <w:sz w:val="20"/>
              </w:rPr>
              <w:t> </w:t>
            </w:r>
            <w:r>
              <w:rPr>
                <w:sz w:val="20"/>
              </w:rPr>
              <w:t>C12,</w:t>
            </w:r>
            <w:r>
              <w:rPr>
                <w:spacing w:val="-3"/>
                <w:sz w:val="20"/>
              </w:rPr>
              <w:t> </w:t>
            </w:r>
            <w:r>
              <w:rPr>
                <w:spacing w:val="-2"/>
                <w:sz w:val="20"/>
              </w:rPr>
              <w:t>C13.0,</w:t>
            </w:r>
          </w:p>
          <w:p>
            <w:pPr>
              <w:pStyle w:val="TableParagraph"/>
              <w:spacing w:before="10"/>
              <w:ind w:left="202" w:right="178"/>
              <w:jc w:val="center"/>
              <w:rPr>
                <w:sz w:val="20"/>
              </w:rPr>
            </w:pPr>
            <w:r>
              <w:rPr>
                <w:sz w:val="20"/>
              </w:rPr>
              <w:t>C13.1,</w:t>
            </w:r>
            <w:r>
              <w:rPr>
                <w:spacing w:val="-5"/>
                <w:sz w:val="20"/>
              </w:rPr>
              <w:t> </w:t>
            </w:r>
            <w:r>
              <w:rPr>
                <w:sz w:val="20"/>
              </w:rPr>
              <w:t>C13.2,</w:t>
            </w:r>
            <w:r>
              <w:rPr>
                <w:spacing w:val="-5"/>
                <w:sz w:val="20"/>
              </w:rPr>
              <w:t> </w:t>
            </w:r>
            <w:r>
              <w:rPr>
                <w:spacing w:val="-2"/>
                <w:sz w:val="20"/>
              </w:rPr>
              <w:t>C13.8,</w:t>
            </w:r>
          </w:p>
          <w:p>
            <w:pPr>
              <w:pStyle w:val="TableParagraph"/>
              <w:spacing w:before="10"/>
              <w:ind w:left="202" w:right="178"/>
              <w:jc w:val="center"/>
              <w:rPr>
                <w:sz w:val="20"/>
              </w:rPr>
            </w:pPr>
            <w:r>
              <w:rPr>
                <w:sz w:val="20"/>
              </w:rPr>
              <w:t>C13.9,</w:t>
            </w:r>
            <w:r>
              <w:rPr>
                <w:spacing w:val="-5"/>
                <w:sz w:val="20"/>
              </w:rPr>
              <w:t> </w:t>
            </w:r>
            <w:r>
              <w:rPr>
                <w:sz w:val="20"/>
              </w:rPr>
              <w:t>C14.0,</w:t>
            </w:r>
            <w:r>
              <w:rPr>
                <w:spacing w:val="-5"/>
                <w:sz w:val="20"/>
              </w:rPr>
              <w:t> </w:t>
            </w:r>
            <w:r>
              <w:rPr>
                <w:spacing w:val="-2"/>
                <w:sz w:val="20"/>
              </w:rPr>
              <w:t>C14.2,</w:t>
            </w:r>
          </w:p>
          <w:p>
            <w:pPr>
              <w:pStyle w:val="TableParagraph"/>
              <w:spacing w:before="10"/>
              <w:ind w:left="202" w:right="178"/>
              <w:jc w:val="center"/>
              <w:rPr>
                <w:sz w:val="20"/>
              </w:rPr>
            </w:pPr>
            <w:r>
              <w:rPr>
                <w:sz w:val="20"/>
              </w:rPr>
              <w:t>C15.0,</w:t>
            </w:r>
            <w:r>
              <w:rPr>
                <w:spacing w:val="-5"/>
                <w:sz w:val="20"/>
              </w:rPr>
              <w:t> </w:t>
            </w:r>
            <w:r>
              <w:rPr>
                <w:sz w:val="20"/>
              </w:rPr>
              <w:t>C30.0,</w:t>
            </w:r>
            <w:r>
              <w:rPr>
                <w:spacing w:val="-5"/>
                <w:sz w:val="20"/>
              </w:rPr>
              <w:t> </w:t>
            </w:r>
            <w:r>
              <w:rPr>
                <w:spacing w:val="-2"/>
                <w:sz w:val="20"/>
              </w:rPr>
              <w:t>C31.0,</w:t>
            </w:r>
          </w:p>
          <w:p>
            <w:pPr>
              <w:pStyle w:val="TableParagraph"/>
              <w:spacing w:line="249" w:lineRule="auto" w:before="10"/>
              <w:ind w:left="94" w:right="65" w:hanging="2"/>
              <w:jc w:val="center"/>
              <w:rPr>
                <w:sz w:val="20"/>
              </w:rPr>
            </w:pPr>
            <w:r>
              <w:rPr>
                <w:sz w:val="20"/>
              </w:rPr>
              <w:t>C31.1, C31.2, C31.3, C31.8,</w:t>
            </w:r>
            <w:r>
              <w:rPr>
                <w:spacing w:val="-13"/>
                <w:sz w:val="20"/>
              </w:rPr>
              <w:t> </w:t>
            </w:r>
            <w:r>
              <w:rPr>
                <w:sz w:val="20"/>
              </w:rPr>
              <w:t>C31.9,</w:t>
            </w:r>
            <w:r>
              <w:rPr>
                <w:spacing w:val="-12"/>
                <w:sz w:val="20"/>
              </w:rPr>
              <w:t> </w:t>
            </w:r>
            <w:r>
              <w:rPr>
                <w:sz w:val="20"/>
              </w:rPr>
              <w:t>C32,</w:t>
            </w:r>
            <w:r>
              <w:rPr>
                <w:spacing w:val="-13"/>
                <w:sz w:val="20"/>
              </w:rPr>
              <w:t> </w:t>
            </w:r>
            <w:r>
              <w:rPr>
                <w:sz w:val="20"/>
              </w:rPr>
              <w:t>C43, C44, C69, C73</w:t>
            </w:r>
          </w:p>
        </w:tc>
        <w:tc>
          <w:tcPr>
            <w:tcW w:w="3307" w:type="dxa"/>
          </w:tcPr>
          <w:p>
            <w:pPr>
              <w:pStyle w:val="TableParagraph"/>
              <w:spacing w:line="249" w:lineRule="auto" w:before="40"/>
              <w:ind w:left="68" w:right="271"/>
              <w:rPr>
                <w:sz w:val="20"/>
              </w:rPr>
            </w:pPr>
            <w:r>
              <w:rPr>
                <w:sz w:val="20"/>
              </w:rPr>
              <w:t>злокачественные</w:t>
            </w:r>
            <w:r>
              <w:rPr>
                <w:spacing w:val="-13"/>
                <w:sz w:val="20"/>
              </w:rPr>
              <w:t> </w:t>
            </w:r>
            <w:r>
              <w:rPr>
                <w:sz w:val="20"/>
              </w:rPr>
              <w:t>новообразования головы и шеи I - III стадии</w:t>
            </w:r>
          </w:p>
        </w:tc>
        <w:tc>
          <w:tcPr>
            <w:tcW w:w="1433" w:type="dxa"/>
          </w:tcPr>
          <w:p>
            <w:pPr>
              <w:pStyle w:val="TableParagraph"/>
              <w:spacing w:line="249" w:lineRule="auto" w:before="40"/>
              <w:ind w:left="69"/>
              <w:rPr>
                <w:sz w:val="20"/>
              </w:rPr>
            </w:pPr>
            <w:r>
              <w:rPr>
                <w:spacing w:val="-2"/>
                <w:sz w:val="20"/>
              </w:rPr>
              <w:t>хирургическое лечение</w:t>
            </w:r>
          </w:p>
        </w:tc>
        <w:tc>
          <w:tcPr>
            <w:tcW w:w="3942" w:type="dxa"/>
          </w:tcPr>
          <w:p>
            <w:pPr>
              <w:pStyle w:val="TableParagraph"/>
              <w:spacing w:line="247" w:lineRule="auto" w:before="40"/>
              <w:ind w:left="110" w:right="303"/>
              <w:rPr>
                <w:sz w:val="20"/>
              </w:rPr>
            </w:pPr>
            <w:r>
              <w:rPr>
                <w:sz w:val="20"/>
              </w:rPr>
              <w:t>удаление</w:t>
            </w:r>
            <w:r>
              <w:rPr>
                <w:spacing w:val="-13"/>
                <w:sz w:val="20"/>
              </w:rPr>
              <w:t> </w:t>
            </w:r>
            <w:r>
              <w:rPr>
                <w:sz w:val="20"/>
              </w:rPr>
              <w:t>опухоли</w:t>
            </w:r>
            <w:r>
              <w:rPr>
                <w:spacing w:val="-12"/>
                <w:sz w:val="20"/>
              </w:rPr>
              <w:t> </w:t>
            </w:r>
            <w:r>
              <w:rPr>
                <w:sz w:val="20"/>
              </w:rPr>
              <w:t>полости</w:t>
            </w:r>
            <w:r>
              <w:rPr>
                <w:spacing w:val="-13"/>
                <w:sz w:val="20"/>
              </w:rPr>
              <w:t> </w:t>
            </w:r>
            <w:r>
              <w:rPr>
                <w:sz w:val="20"/>
              </w:rPr>
              <w:t>носа </w:t>
            </w:r>
            <w:r>
              <w:rPr>
                <w:spacing w:val="-2"/>
                <w:sz w:val="20"/>
              </w:rPr>
              <w:t>видеоэндоскопическое</w:t>
            </w:r>
          </w:p>
        </w:tc>
        <w:tc>
          <w:tcPr>
            <w:tcW w:w="1061" w:type="dxa"/>
          </w:tcPr>
          <w:p>
            <w:pPr>
              <w:pStyle w:val="TableParagraph"/>
              <w:spacing w:before="40"/>
              <w:ind w:right="96"/>
              <w:jc w:val="right"/>
              <w:rPr>
                <w:sz w:val="20"/>
              </w:rPr>
            </w:pPr>
            <w:r>
              <w:rPr>
                <w:spacing w:val="-2"/>
                <w:sz w:val="20"/>
              </w:rPr>
              <w:t>245183</w:t>
            </w:r>
          </w:p>
        </w:tc>
      </w:tr>
      <w:tr>
        <w:trPr>
          <w:trHeight w:val="35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before="49"/>
              <w:ind w:left="110"/>
              <w:rPr>
                <w:sz w:val="20"/>
              </w:rPr>
            </w:pPr>
            <w:r>
              <w:rPr>
                <w:spacing w:val="-2"/>
                <w:sz w:val="20"/>
              </w:rPr>
              <w:t>тиреоидэктомия</w:t>
            </w:r>
            <w:r>
              <w:rPr>
                <w:spacing w:val="13"/>
                <w:sz w:val="20"/>
              </w:rPr>
              <w:t> </w:t>
            </w:r>
            <w:r>
              <w:rPr>
                <w:spacing w:val="-2"/>
                <w:sz w:val="20"/>
              </w:rPr>
              <w:t>видеоэндоскопическая</w:t>
            </w:r>
          </w:p>
        </w:tc>
        <w:tc>
          <w:tcPr>
            <w:tcW w:w="1061" w:type="dxa"/>
          </w:tcPr>
          <w:p>
            <w:pPr>
              <w:pStyle w:val="TableParagraph"/>
              <w:rPr>
                <w:sz w:val="18"/>
              </w:rPr>
            </w:pPr>
          </w:p>
        </w:tc>
      </w:tr>
      <w:tr>
        <w:trPr>
          <w:trHeight w:val="83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9" w:lineRule="auto" w:before="61"/>
              <w:ind w:left="110" w:right="848"/>
              <w:rPr>
                <w:sz w:val="20"/>
              </w:rPr>
            </w:pPr>
            <w:r>
              <w:rPr>
                <w:sz w:val="20"/>
              </w:rPr>
              <w:t>микроэндоларингеальная</w:t>
            </w:r>
            <w:r>
              <w:rPr>
                <w:spacing w:val="-13"/>
                <w:sz w:val="20"/>
              </w:rPr>
              <w:t> </w:t>
            </w:r>
            <w:r>
              <w:rPr>
                <w:sz w:val="20"/>
              </w:rPr>
              <w:t>резекция гортани с использованием </w:t>
            </w:r>
            <w:r>
              <w:rPr>
                <w:spacing w:val="-2"/>
                <w:sz w:val="20"/>
              </w:rPr>
              <w:t>эндовидеотехники</w:t>
            </w:r>
          </w:p>
        </w:tc>
        <w:tc>
          <w:tcPr>
            <w:tcW w:w="1061" w:type="dxa"/>
          </w:tcPr>
          <w:p>
            <w:pPr>
              <w:pStyle w:val="TableParagraph"/>
              <w:rPr>
                <w:sz w:val="18"/>
              </w:rPr>
            </w:pPr>
          </w:p>
        </w:tc>
      </w:tr>
      <w:tr>
        <w:trPr>
          <w:trHeight w:val="578"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9" w:lineRule="auto" w:before="52"/>
              <w:ind w:left="110" w:right="848"/>
              <w:rPr>
                <w:sz w:val="20"/>
              </w:rPr>
            </w:pPr>
            <w:r>
              <w:rPr>
                <w:sz w:val="20"/>
              </w:rPr>
              <w:t>микроэндоларингеальная</w:t>
            </w:r>
            <w:r>
              <w:rPr>
                <w:spacing w:val="-13"/>
                <w:sz w:val="20"/>
              </w:rPr>
              <w:t> </w:t>
            </w:r>
            <w:r>
              <w:rPr>
                <w:sz w:val="20"/>
              </w:rPr>
              <w:t>резекция </w:t>
            </w:r>
            <w:r>
              <w:rPr>
                <w:spacing w:val="-2"/>
                <w:sz w:val="20"/>
              </w:rPr>
              <w:t>видеоэндоскопическая</w:t>
            </w:r>
          </w:p>
        </w:tc>
        <w:tc>
          <w:tcPr>
            <w:tcW w:w="1061" w:type="dxa"/>
          </w:tcPr>
          <w:p>
            <w:pPr>
              <w:pStyle w:val="TableParagraph"/>
              <w:rPr>
                <w:sz w:val="18"/>
              </w:rPr>
            </w:pPr>
          </w:p>
        </w:tc>
      </w:tr>
      <w:tr>
        <w:trPr>
          <w:trHeight w:val="35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before="49"/>
              <w:ind w:left="110"/>
              <w:rPr>
                <w:sz w:val="20"/>
              </w:rPr>
            </w:pPr>
            <w:r>
              <w:rPr>
                <w:spacing w:val="-2"/>
                <w:sz w:val="20"/>
              </w:rPr>
              <w:t>тиреоидэктомия</w:t>
            </w:r>
            <w:r>
              <w:rPr>
                <w:spacing w:val="13"/>
                <w:sz w:val="20"/>
              </w:rPr>
              <w:t> </w:t>
            </w:r>
            <w:r>
              <w:rPr>
                <w:spacing w:val="-2"/>
                <w:sz w:val="20"/>
              </w:rPr>
              <w:t>видеоассистированная</w:t>
            </w:r>
          </w:p>
        </w:tc>
        <w:tc>
          <w:tcPr>
            <w:tcW w:w="1061" w:type="dxa"/>
          </w:tcPr>
          <w:p>
            <w:pPr>
              <w:pStyle w:val="TableParagraph"/>
              <w:rPr>
                <w:sz w:val="18"/>
              </w:rPr>
            </w:pPr>
          </w:p>
        </w:tc>
      </w:tr>
      <w:tr>
        <w:trPr>
          <w:trHeight w:val="59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7" w:lineRule="auto" w:before="61"/>
              <w:ind w:left="110" w:right="303"/>
              <w:rPr>
                <w:sz w:val="20"/>
              </w:rPr>
            </w:pPr>
            <w:r>
              <w:rPr>
                <w:sz w:val="20"/>
              </w:rPr>
              <w:t>нервосберегающая шейная лимфаденэктомия</w:t>
            </w:r>
            <w:r>
              <w:rPr>
                <w:spacing w:val="-13"/>
                <w:sz w:val="20"/>
              </w:rPr>
              <w:t> </w:t>
            </w:r>
            <w:r>
              <w:rPr>
                <w:sz w:val="20"/>
              </w:rPr>
              <w:t>видеоассистированная</w:t>
            </w:r>
          </w:p>
        </w:tc>
        <w:tc>
          <w:tcPr>
            <w:tcW w:w="1061" w:type="dxa"/>
          </w:tcPr>
          <w:p>
            <w:pPr>
              <w:pStyle w:val="TableParagraph"/>
              <w:rPr>
                <w:sz w:val="18"/>
              </w:rPr>
            </w:pPr>
          </w:p>
        </w:tc>
      </w:tr>
      <w:tr>
        <w:trPr>
          <w:trHeight w:val="761" w:hRule="atLeast"/>
        </w:trPr>
        <w:tc>
          <w:tcPr>
            <w:tcW w:w="458" w:type="dxa"/>
          </w:tcPr>
          <w:p>
            <w:pPr>
              <w:pStyle w:val="TableParagraph"/>
              <w:rPr>
                <w:sz w:val="18"/>
              </w:rPr>
            </w:pPr>
          </w:p>
        </w:tc>
        <w:tc>
          <w:tcPr>
            <w:tcW w:w="2803" w:type="dxa"/>
          </w:tcPr>
          <w:p>
            <w:pPr>
              <w:pStyle w:val="TableParagraph"/>
              <w:rPr>
                <w:sz w:val="18"/>
              </w:rPr>
            </w:pPr>
          </w:p>
        </w:tc>
        <w:tc>
          <w:tcPr>
            <w:tcW w:w="2145" w:type="dxa"/>
          </w:tcPr>
          <w:p>
            <w:pPr>
              <w:pStyle w:val="TableParagraph"/>
              <w:rPr>
                <w:sz w:val="18"/>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0" w:lineRule="atLeast" w:before="22"/>
              <w:ind w:left="110" w:right="790"/>
              <w:rPr>
                <w:sz w:val="20"/>
              </w:rPr>
            </w:pPr>
            <w:r>
              <w:rPr>
                <w:sz w:val="20"/>
              </w:rPr>
              <w:t>удаление лимфатических узлов и клетчатки переднего верхнего средостения</w:t>
            </w:r>
            <w:r>
              <w:rPr>
                <w:spacing w:val="-13"/>
                <w:sz w:val="20"/>
              </w:rPr>
              <w:t> </w:t>
            </w:r>
            <w:r>
              <w:rPr>
                <w:sz w:val="20"/>
              </w:rPr>
              <w:t>видеоассистированное</w:t>
            </w:r>
          </w:p>
        </w:tc>
        <w:tc>
          <w:tcPr>
            <w:tcW w:w="106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6"/>
        <w:gridCol w:w="3369"/>
        <w:gridCol w:w="1446"/>
        <w:gridCol w:w="3700"/>
      </w:tblGrid>
      <w:tr>
        <w:trPr>
          <w:trHeight w:val="53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9" w:lineRule="auto"/>
              <w:ind w:left="109" w:right="11"/>
              <w:rPr>
                <w:sz w:val="20"/>
              </w:rPr>
            </w:pPr>
            <w:r>
              <w:rPr>
                <w:sz w:val="20"/>
              </w:rPr>
              <w:t>удаление</w:t>
            </w:r>
            <w:r>
              <w:rPr>
                <w:spacing w:val="-13"/>
                <w:sz w:val="20"/>
              </w:rPr>
              <w:t> </w:t>
            </w:r>
            <w:r>
              <w:rPr>
                <w:sz w:val="20"/>
              </w:rPr>
              <w:t>опухоли</w:t>
            </w:r>
            <w:r>
              <w:rPr>
                <w:spacing w:val="-12"/>
                <w:sz w:val="20"/>
              </w:rPr>
              <w:t> </w:t>
            </w:r>
            <w:r>
              <w:rPr>
                <w:sz w:val="20"/>
              </w:rPr>
              <w:t>придаточных</w:t>
            </w:r>
            <w:r>
              <w:rPr>
                <w:spacing w:val="-13"/>
                <w:sz w:val="20"/>
              </w:rPr>
              <w:t> </w:t>
            </w:r>
            <w:r>
              <w:rPr>
                <w:sz w:val="20"/>
              </w:rPr>
              <w:t>пазух носа видеоассистированное</w:t>
            </w:r>
          </w:p>
        </w:tc>
      </w:tr>
      <w:tr>
        <w:trPr>
          <w:trHeight w:val="60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52" w:lineRule="auto" w:before="60"/>
              <w:ind w:left="109" w:right="11"/>
              <w:rPr>
                <w:sz w:val="20"/>
              </w:rPr>
            </w:pPr>
            <w:r>
              <w:rPr>
                <w:sz w:val="20"/>
              </w:rPr>
              <w:t>резекция</w:t>
            </w:r>
            <w:r>
              <w:rPr>
                <w:spacing w:val="-13"/>
                <w:sz w:val="20"/>
              </w:rPr>
              <w:t> </w:t>
            </w:r>
            <w:r>
              <w:rPr>
                <w:sz w:val="20"/>
              </w:rPr>
              <w:t>верхней</w:t>
            </w:r>
            <w:r>
              <w:rPr>
                <w:spacing w:val="-12"/>
                <w:sz w:val="20"/>
              </w:rPr>
              <w:t> </w:t>
            </w:r>
            <w:r>
              <w:rPr>
                <w:sz w:val="20"/>
              </w:rPr>
              <w:t>челюсти </w:t>
            </w:r>
            <w:r>
              <w:rPr>
                <w:spacing w:val="-2"/>
                <w:sz w:val="20"/>
              </w:rPr>
              <w:t>видеоассистированная</w:t>
            </w:r>
          </w:p>
        </w:tc>
      </w:tr>
      <w:tr>
        <w:trPr>
          <w:trHeight w:val="60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9" w:lineRule="auto" w:before="60"/>
              <w:ind w:left="109" w:right="1138"/>
              <w:rPr>
                <w:sz w:val="20"/>
              </w:rPr>
            </w:pPr>
            <w:r>
              <w:rPr>
                <w:sz w:val="20"/>
              </w:rPr>
              <w:t>эндоларингеальная</w:t>
            </w:r>
            <w:r>
              <w:rPr>
                <w:spacing w:val="-13"/>
                <w:sz w:val="20"/>
              </w:rPr>
              <w:t> </w:t>
            </w:r>
            <w:r>
              <w:rPr>
                <w:sz w:val="20"/>
              </w:rPr>
              <w:t>резекция </w:t>
            </w:r>
            <w:r>
              <w:rPr>
                <w:spacing w:val="-2"/>
                <w:sz w:val="20"/>
              </w:rPr>
              <w:t>видеоэндоскопическая</w:t>
            </w:r>
          </w:p>
        </w:tc>
      </w:tr>
      <w:tr>
        <w:trPr>
          <w:trHeight w:val="108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9" w:lineRule="auto" w:before="60"/>
              <w:ind w:left="109" w:right="11"/>
              <w:rPr>
                <w:sz w:val="20"/>
              </w:rPr>
            </w:pPr>
            <w:r>
              <w:rPr>
                <w:sz w:val="20"/>
              </w:rPr>
              <w:t>селективная</w:t>
            </w:r>
            <w:r>
              <w:rPr>
                <w:spacing w:val="-13"/>
                <w:sz w:val="20"/>
              </w:rPr>
              <w:t> </w:t>
            </w:r>
            <w:r>
              <w:rPr>
                <w:sz w:val="20"/>
              </w:rPr>
              <w:t>и</w:t>
            </w:r>
            <w:r>
              <w:rPr>
                <w:spacing w:val="-12"/>
                <w:sz w:val="20"/>
              </w:rPr>
              <w:t> </w:t>
            </w:r>
            <w:r>
              <w:rPr>
                <w:sz w:val="20"/>
              </w:rPr>
              <w:t>суперселективная</w:t>
            </w:r>
            <w:r>
              <w:rPr>
                <w:spacing w:val="-13"/>
                <w:sz w:val="20"/>
              </w:rPr>
              <w:t> </w:t>
            </w:r>
            <w:r>
              <w:rPr>
                <w:sz w:val="20"/>
              </w:rPr>
              <w:t>инфузия в глазную артерию химиопрепарата как вид органосохраняющего лечения ретинобластомы у детей</w:t>
            </w:r>
          </w:p>
        </w:tc>
      </w:tr>
      <w:tr>
        <w:trPr>
          <w:trHeight w:val="2040" w:hRule="atLeast"/>
        </w:trPr>
        <w:tc>
          <w:tcPr>
            <w:tcW w:w="1876" w:type="dxa"/>
          </w:tcPr>
          <w:p>
            <w:pPr>
              <w:pStyle w:val="TableParagraph"/>
              <w:spacing w:line="249" w:lineRule="auto" w:before="60"/>
              <w:ind w:left="292" w:hanging="243"/>
              <w:rPr>
                <w:sz w:val="20"/>
              </w:rPr>
            </w:pPr>
            <w:r>
              <w:rPr>
                <w:sz w:val="20"/>
              </w:rPr>
              <w:t>C15,</w:t>
            </w:r>
            <w:r>
              <w:rPr>
                <w:spacing w:val="-12"/>
                <w:sz w:val="20"/>
              </w:rPr>
              <w:t> </w:t>
            </w:r>
            <w:r>
              <w:rPr>
                <w:sz w:val="20"/>
              </w:rPr>
              <w:t>C16,</w:t>
            </w:r>
            <w:r>
              <w:rPr>
                <w:spacing w:val="-12"/>
                <w:sz w:val="20"/>
              </w:rPr>
              <w:t> </w:t>
            </w:r>
            <w:r>
              <w:rPr>
                <w:sz w:val="20"/>
              </w:rPr>
              <w:t>C17,</w:t>
            </w:r>
            <w:r>
              <w:rPr>
                <w:spacing w:val="-12"/>
                <w:sz w:val="20"/>
              </w:rPr>
              <w:t> </w:t>
            </w:r>
            <w:r>
              <w:rPr>
                <w:sz w:val="20"/>
              </w:rPr>
              <w:t>C18, C19, C20, C21</w:t>
            </w:r>
          </w:p>
        </w:tc>
        <w:tc>
          <w:tcPr>
            <w:tcW w:w="3369" w:type="dxa"/>
          </w:tcPr>
          <w:p>
            <w:pPr>
              <w:pStyle w:val="TableParagraph"/>
              <w:spacing w:line="249" w:lineRule="auto" w:before="60"/>
              <w:ind w:left="142" w:right="259"/>
              <w:rPr>
                <w:sz w:val="20"/>
              </w:rPr>
            </w:pPr>
            <w:r>
              <w:rPr>
                <w:sz w:val="20"/>
              </w:rPr>
              <w:t>злокачественные</w:t>
            </w:r>
            <w:r>
              <w:rPr>
                <w:spacing w:val="-13"/>
                <w:sz w:val="20"/>
              </w:rPr>
              <w:t> </w:t>
            </w:r>
            <w:r>
              <w:rPr>
                <w:sz w:val="20"/>
              </w:rPr>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46" w:type="dxa"/>
          </w:tcPr>
          <w:p>
            <w:pPr>
              <w:pStyle w:val="TableParagraph"/>
              <w:spacing w:line="249" w:lineRule="auto" w:before="60"/>
              <w:ind w:left="81"/>
              <w:rPr>
                <w:sz w:val="20"/>
              </w:rPr>
            </w:pPr>
            <w:r>
              <w:rPr>
                <w:spacing w:val="-2"/>
                <w:sz w:val="20"/>
              </w:rPr>
              <w:t>хирургическое лечение</w:t>
            </w:r>
          </w:p>
        </w:tc>
        <w:tc>
          <w:tcPr>
            <w:tcW w:w="3700" w:type="dxa"/>
          </w:tcPr>
          <w:p>
            <w:pPr>
              <w:pStyle w:val="TableParagraph"/>
              <w:spacing w:line="249" w:lineRule="auto" w:before="60"/>
              <w:ind w:left="109" w:right="156"/>
              <w:rPr>
                <w:sz w:val="20"/>
              </w:rPr>
            </w:pPr>
            <w:r>
              <w:rPr>
                <w:sz w:val="20"/>
              </w:rPr>
              <w:t>эндоскопическое</w:t>
            </w:r>
            <w:r>
              <w:rPr>
                <w:spacing w:val="-13"/>
                <w:sz w:val="20"/>
              </w:rPr>
              <w:t> </w:t>
            </w:r>
            <w:r>
              <w:rPr>
                <w:sz w:val="20"/>
              </w:rPr>
              <w:t>электрохирургическое удаление опухоли</w:t>
            </w:r>
          </w:p>
        </w:tc>
      </w:tr>
      <w:tr>
        <w:trPr>
          <w:trHeight w:val="1080" w:hRule="atLeast"/>
        </w:trPr>
        <w:tc>
          <w:tcPr>
            <w:tcW w:w="1876" w:type="dxa"/>
          </w:tcPr>
          <w:p>
            <w:pPr>
              <w:pStyle w:val="TableParagraph"/>
              <w:spacing w:before="60"/>
              <w:ind w:left="725"/>
              <w:rPr>
                <w:sz w:val="20"/>
              </w:rPr>
            </w:pPr>
            <w:r>
              <w:rPr>
                <w:spacing w:val="-5"/>
                <w:sz w:val="20"/>
              </w:rPr>
              <w:t>C15</w:t>
            </w:r>
          </w:p>
        </w:tc>
        <w:tc>
          <w:tcPr>
            <w:tcW w:w="3369" w:type="dxa"/>
          </w:tcPr>
          <w:p>
            <w:pPr>
              <w:pStyle w:val="TableParagraph"/>
              <w:spacing w:line="249" w:lineRule="auto" w:before="60"/>
              <w:ind w:left="142" w:right="232"/>
              <w:rPr>
                <w:sz w:val="20"/>
              </w:rPr>
            </w:pPr>
            <w:r>
              <w:rPr>
                <w:sz w:val="20"/>
              </w:rPr>
              <w:t>локализованные и местнораспространенные формы злокачественных</w:t>
            </w:r>
            <w:r>
              <w:rPr>
                <w:spacing w:val="-13"/>
                <w:sz w:val="20"/>
              </w:rPr>
              <w:t> </w:t>
            </w:r>
            <w:r>
              <w:rPr>
                <w:sz w:val="20"/>
              </w:rPr>
              <w:t>новообразований </w:t>
            </w:r>
            <w:r>
              <w:rPr>
                <w:spacing w:val="-2"/>
                <w:sz w:val="20"/>
              </w:rPr>
              <w:t>пищевода</w:t>
            </w:r>
          </w:p>
        </w:tc>
        <w:tc>
          <w:tcPr>
            <w:tcW w:w="1446" w:type="dxa"/>
          </w:tcPr>
          <w:p>
            <w:pPr>
              <w:pStyle w:val="TableParagraph"/>
              <w:spacing w:line="249" w:lineRule="auto" w:before="60"/>
              <w:ind w:left="81"/>
              <w:rPr>
                <w:sz w:val="20"/>
              </w:rPr>
            </w:pPr>
            <w:r>
              <w:rPr>
                <w:spacing w:val="-2"/>
                <w:sz w:val="20"/>
              </w:rPr>
              <w:t>хирургическое лечение</w:t>
            </w:r>
          </w:p>
        </w:tc>
        <w:tc>
          <w:tcPr>
            <w:tcW w:w="3700" w:type="dxa"/>
          </w:tcPr>
          <w:p>
            <w:pPr>
              <w:pStyle w:val="TableParagraph"/>
              <w:spacing w:line="249" w:lineRule="auto" w:before="60"/>
              <w:ind w:left="109" w:right="274"/>
              <w:rPr>
                <w:sz w:val="20"/>
              </w:rPr>
            </w:pPr>
            <w:r>
              <w:rPr>
                <w:sz w:val="20"/>
              </w:rPr>
              <w:t>видеоассистированная</w:t>
            </w:r>
            <w:r>
              <w:rPr>
                <w:spacing w:val="-13"/>
                <w:sz w:val="20"/>
              </w:rPr>
              <w:t> </w:t>
            </w:r>
            <w:r>
              <w:rPr>
                <w:sz w:val="20"/>
              </w:rPr>
              <w:t>одномоментная резекция и пластика пищевода с лимфаденэктомией 2S, 2F, 3F</w:t>
            </w:r>
          </w:p>
        </w:tc>
      </w:tr>
      <w:tr>
        <w:trPr>
          <w:trHeight w:val="1080" w:hRule="atLeast"/>
        </w:trPr>
        <w:tc>
          <w:tcPr>
            <w:tcW w:w="1876" w:type="dxa"/>
          </w:tcPr>
          <w:p>
            <w:pPr>
              <w:pStyle w:val="TableParagraph"/>
              <w:spacing w:before="60"/>
              <w:ind w:left="725"/>
              <w:rPr>
                <w:sz w:val="20"/>
              </w:rPr>
            </w:pPr>
            <w:r>
              <w:rPr>
                <w:spacing w:val="-5"/>
                <w:sz w:val="20"/>
              </w:rPr>
              <w:t>C16</w:t>
            </w:r>
          </w:p>
        </w:tc>
        <w:tc>
          <w:tcPr>
            <w:tcW w:w="3369" w:type="dxa"/>
          </w:tcPr>
          <w:p>
            <w:pPr>
              <w:pStyle w:val="TableParagraph"/>
              <w:spacing w:line="249" w:lineRule="auto" w:before="60"/>
              <w:ind w:left="142"/>
              <w:rPr>
                <w:sz w:val="20"/>
              </w:rPr>
            </w:pPr>
            <w:r>
              <w:rPr>
                <w:sz w:val="20"/>
              </w:rPr>
              <w:t>начальные</w:t>
            </w:r>
            <w:r>
              <w:rPr>
                <w:spacing w:val="-13"/>
                <w:sz w:val="20"/>
              </w:rPr>
              <w:t> </w:t>
            </w:r>
            <w:r>
              <w:rPr>
                <w:sz w:val="20"/>
              </w:rPr>
              <w:t>и</w:t>
            </w:r>
            <w:r>
              <w:rPr>
                <w:spacing w:val="-12"/>
                <w:sz w:val="20"/>
              </w:rPr>
              <w:t> </w:t>
            </w:r>
            <w:r>
              <w:rPr>
                <w:sz w:val="20"/>
              </w:rPr>
              <w:t>локализованные</w:t>
            </w:r>
            <w:r>
              <w:rPr>
                <w:spacing w:val="-13"/>
                <w:sz w:val="20"/>
              </w:rPr>
              <w:t> </w:t>
            </w:r>
            <w:r>
              <w:rPr>
                <w:sz w:val="20"/>
              </w:rPr>
              <w:t>формы злокачественных новообразований </w:t>
            </w:r>
            <w:r>
              <w:rPr>
                <w:spacing w:val="-2"/>
                <w:sz w:val="20"/>
              </w:rPr>
              <w:t>желудка</w:t>
            </w:r>
          </w:p>
        </w:tc>
        <w:tc>
          <w:tcPr>
            <w:tcW w:w="1446" w:type="dxa"/>
          </w:tcPr>
          <w:p>
            <w:pPr>
              <w:pStyle w:val="TableParagraph"/>
              <w:spacing w:line="249" w:lineRule="auto" w:before="60"/>
              <w:ind w:left="81"/>
              <w:rPr>
                <w:sz w:val="20"/>
              </w:rPr>
            </w:pPr>
            <w:r>
              <w:rPr>
                <w:spacing w:val="-2"/>
                <w:sz w:val="20"/>
              </w:rPr>
              <w:t>хирургическое лечение</w:t>
            </w:r>
          </w:p>
        </w:tc>
        <w:tc>
          <w:tcPr>
            <w:tcW w:w="3700" w:type="dxa"/>
          </w:tcPr>
          <w:p>
            <w:pPr>
              <w:pStyle w:val="TableParagraph"/>
              <w:spacing w:line="249" w:lineRule="auto" w:before="60"/>
              <w:ind w:left="109" w:right="816"/>
              <w:rPr>
                <w:sz w:val="20"/>
              </w:rPr>
            </w:pPr>
            <w:r>
              <w:rPr>
                <w:sz w:val="20"/>
              </w:rPr>
              <w:t>лапароскопическая</w:t>
            </w:r>
            <w:r>
              <w:rPr>
                <w:spacing w:val="-13"/>
                <w:sz w:val="20"/>
              </w:rPr>
              <w:t> </w:t>
            </w:r>
            <w:r>
              <w:rPr>
                <w:sz w:val="20"/>
              </w:rPr>
              <w:t>парциальная резекция</w:t>
            </w:r>
            <w:r>
              <w:rPr>
                <w:spacing w:val="-7"/>
                <w:sz w:val="20"/>
              </w:rPr>
              <w:t> </w:t>
            </w:r>
            <w:r>
              <w:rPr>
                <w:sz w:val="20"/>
              </w:rPr>
              <w:t>желудка,</w:t>
            </w:r>
            <w:r>
              <w:rPr>
                <w:spacing w:val="-6"/>
                <w:sz w:val="20"/>
              </w:rPr>
              <w:t> </w:t>
            </w:r>
            <w:r>
              <w:rPr>
                <w:sz w:val="20"/>
              </w:rPr>
              <w:t>в</w:t>
            </w:r>
            <w:r>
              <w:rPr>
                <w:spacing w:val="-7"/>
                <w:sz w:val="20"/>
              </w:rPr>
              <w:t> </w:t>
            </w:r>
            <w:r>
              <w:rPr>
                <w:sz w:val="20"/>
              </w:rPr>
              <w:t>том</w:t>
            </w:r>
            <w:r>
              <w:rPr>
                <w:spacing w:val="-6"/>
                <w:sz w:val="20"/>
              </w:rPr>
              <w:t> </w:t>
            </w:r>
            <w:r>
              <w:rPr>
                <w:sz w:val="20"/>
              </w:rPr>
              <w:t>числе</w:t>
            </w:r>
            <w:r>
              <w:rPr>
                <w:spacing w:val="-7"/>
                <w:sz w:val="20"/>
              </w:rPr>
              <w:t> </w:t>
            </w:r>
            <w:r>
              <w:rPr>
                <w:sz w:val="20"/>
              </w:rPr>
              <w:t>с исследованием сторожевых лимфатических узлов</w:t>
            </w:r>
          </w:p>
        </w:tc>
      </w:tr>
      <w:tr>
        <w:trPr>
          <w:trHeight w:val="53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0" w:lineRule="atLeast" w:before="30"/>
              <w:ind w:left="109" w:right="11"/>
              <w:rPr>
                <w:sz w:val="20"/>
              </w:rPr>
            </w:pPr>
            <w:r>
              <w:rPr>
                <w:sz w:val="20"/>
              </w:rPr>
              <w:t>лапароскопическая дистальная субтотальная</w:t>
            </w:r>
            <w:r>
              <w:rPr>
                <w:spacing w:val="-13"/>
                <w:sz w:val="20"/>
              </w:rPr>
              <w:t> </w:t>
            </w:r>
            <w:r>
              <w:rPr>
                <w:sz w:val="20"/>
              </w:rPr>
              <w:t>резекция</w:t>
            </w:r>
            <w:r>
              <w:rPr>
                <w:spacing w:val="-12"/>
                <w:sz w:val="20"/>
              </w:rPr>
              <w:t> </w:t>
            </w:r>
            <w:r>
              <w:rPr>
                <w:sz w:val="20"/>
              </w:rPr>
              <w:t>желудка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79"/>
        <w:gridCol w:w="1433"/>
        <w:gridCol w:w="3570"/>
      </w:tblGrid>
      <w:tr>
        <w:trPr>
          <w:trHeight w:val="1010" w:hRule="atLeast"/>
        </w:trPr>
        <w:tc>
          <w:tcPr>
            <w:tcW w:w="1888" w:type="dxa"/>
          </w:tcPr>
          <w:p>
            <w:pPr>
              <w:pStyle w:val="TableParagraph"/>
              <w:rPr>
                <w:sz w:val="18"/>
              </w:rPr>
            </w:pPr>
          </w:p>
        </w:tc>
        <w:tc>
          <w:tcPr>
            <w:tcW w:w="3379" w:type="dxa"/>
          </w:tcPr>
          <w:p>
            <w:pPr>
              <w:pStyle w:val="TableParagraph"/>
              <w:rPr>
                <w:sz w:val="18"/>
              </w:rPr>
            </w:pPr>
          </w:p>
        </w:tc>
        <w:tc>
          <w:tcPr>
            <w:tcW w:w="1433" w:type="dxa"/>
          </w:tcPr>
          <w:p>
            <w:pPr>
              <w:pStyle w:val="TableParagraph"/>
              <w:rPr>
                <w:sz w:val="18"/>
              </w:rPr>
            </w:pPr>
          </w:p>
        </w:tc>
        <w:tc>
          <w:tcPr>
            <w:tcW w:w="3570" w:type="dxa"/>
          </w:tcPr>
          <w:p>
            <w:pPr>
              <w:pStyle w:val="TableParagraph"/>
              <w:spacing w:line="249" w:lineRule="auto"/>
              <w:ind w:left="110"/>
              <w:rPr>
                <w:sz w:val="20"/>
              </w:rPr>
            </w:pPr>
            <w:r>
              <w:rPr>
                <w:sz w:val="20"/>
              </w:rPr>
              <w:t>гастрэктомия с применением видеоэндоскопических</w:t>
            </w:r>
            <w:r>
              <w:rPr>
                <w:spacing w:val="-13"/>
                <w:sz w:val="20"/>
              </w:rPr>
              <w:t> </w:t>
            </w:r>
            <w:r>
              <w:rPr>
                <w:sz w:val="20"/>
              </w:rPr>
              <w:t>технологий</w:t>
            </w:r>
            <w:r>
              <w:rPr>
                <w:spacing w:val="-12"/>
                <w:sz w:val="20"/>
              </w:rPr>
              <w:t> </w:t>
            </w:r>
            <w:r>
              <w:rPr>
                <w:sz w:val="20"/>
              </w:rPr>
              <w:t>при злокачественных новообразованиях </w:t>
            </w:r>
            <w:r>
              <w:rPr>
                <w:spacing w:val="-2"/>
                <w:sz w:val="20"/>
              </w:rPr>
              <w:t>желудка</w:t>
            </w:r>
          </w:p>
        </w:tc>
      </w:tr>
      <w:tr>
        <w:trPr>
          <w:trHeight w:val="600" w:hRule="atLeast"/>
        </w:trPr>
        <w:tc>
          <w:tcPr>
            <w:tcW w:w="1888" w:type="dxa"/>
          </w:tcPr>
          <w:p>
            <w:pPr>
              <w:pStyle w:val="TableParagraph"/>
              <w:spacing w:before="60"/>
              <w:ind w:left="25" w:right="109"/>
              <w:jc w:val="center"/>
              <w:rPr>
                <w:sz w:val="20"/>
              </w:rPr>
            </w:pPr>
            <w:r>
              <w:rPr>
                <w:spacing w:val="-5"/>
                <w:sz w:val="20"/>
              </w:rPr>
              <w:t>C17</w:t>
            </w:r>
          </w:p>
        </w:tc>
        <w:tc>
          <w:tcPr>
            <w:tcW w:w="3379" w:type="dxa"/>
            <w:vMerge w:val="restart"/>
          </w:tcPr>
          <w:p>
            <w:pPr>
              <w:pStyle w:val="TableParagraph"/>
              <w:spacing w:line="249" w:lineRule="auto" w:before="60"/>
              <w:ind w:left="140"/>
              <w:rPr>
                <w:sz w:val="20"/>
              </w:rPr>
            </w:pPr>
            <w:r>
              <w:rPr>
                <w:sz w:val="20"/>
              </w:rPr>
              <w:t>локализованные и местнораспространенные формы злокачественных новообразований двенадцатиперстной</w:t>
            </w:r>
            <w:r>
              <w:rPr>
                <w:spacing w:val="-13"/>
                <w:sz w:val="20"/>
              </w:rPr>
              <w:t> </w:t>
            </w:r>
            <w:r>
              <w:rPr>
                <w:sz w:val="20"/>
              </w:rPr>
              <w:t>и</w:t>
            </w:r>
            <w:r>
              <w:rPr>
                <w:spacing w:val="-12"/>
                <w:sz w:val="20"/>
              </w:rPr>
              <w:t> </w:t>
            </w:r>
            <w:r>
              <w:rPr>
                <w:sz w:val="20"/>
              </w:rPr>
              <w:t>тонкой</w:t>
            </w:r>
            <w:r>
              <w:rPr>
                <w:spacing w:val="-13"/>
                <w:sz w:val="20"/>
              </w:rPr>
              <w:t> </w:t>
            </w:r>
            <w:r>
              <w:rPr>
                <w:sz w:val="20"/>
              </w:rPr>
              <w:t>кишки</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z w:val="20"/>
              </w:rPr>
              <w:t>лапароскопическая</w:t>
            </w:r>
            <w:r>
              <w:rPr>
                <w:spacing w:val="-13"/>
                <w:sz w:val="20"/>
              </w:rPr>
              <w:t> </w:t>
            </w:r>
            <w:r>
              <w:rPr>
                <w:sz w:val="20"/>
              </w:rPr>
              <w:t>резекция</w:t>
            </w:r>
            <w:r>
              <w:rPr>
                <w:spacing w:val="-12"/>
                <w:sz w:val="20"/>
              </w:rPr>
              <w:t> </w:t>
            </w:r>
            <w:r>
              <w:rPr>
                <w:sz w:val="20"/>
              </w:rPr>
              <w:t>тонкой </w:t>
            </w:r>
            <w:r>
              <w:rPr>
                <w:spacing w:val="-2"/>
                <w:sz w:val="20"/>
              </w:rPr>
              <w:t>кишки</w:t>
            </w:r>
          </w:p>
        </w:tc>
      </w:tr>
      <w:tr>
        <w:trPr>
          <w:trHeight w:val="60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ight="831"/>
              <w:rPr>
                <w:sz w:val="20"/>
              </w:rPr>
            </w:pPr>
            <w:r>
              <w:rPr>
                <w:sz w:val="20"/>
              </w:rPr>
              <w:t>лапароскопическая</w:t>
            </w:r>
            <w:r>
              <w:rPr>
                <w:spacing w:val="-13"/>
                <w:sz w:val="20"/>
              </w:rPr>
              <w:t> </w:t>
            </w:r>
            <w:r>
              <w:rPr>
                <w:sz w:val="20"/>
              </w:rPr>
              <w:t>панкреато- дуоденальная резекция</w:t>
            </w:r>
          </w:p>
        </w:tc>
      </w:tr>
      <w:tr>
        <w:trPr>
          <w:trHeight w:val="600" w:hRule="atLeast"/>
        </w:trPr>
        <w:tc>
          <w:tcPr>
            <w:tcW w:w="1888" w:type="dxa"/>
          </w:tcPr>
          <w:p>
            <w:pPr>
              <w:pStyle w:val="TableParagraph"/>
              <w:spacing w:line="249" w:lineRule="auto" w:before="60"/>
              <w:ind w:left="660" w:hanging="611"/>
              <w:rPr>
                <w:sz w:val="20"/>
              </w:rPr>
            </w:pPr>
            <w:r>
              <w:rPr>
                <w:sz w:val="20"/>
              </w:rPr>
              <w:t>C18.1,</w:t>
            </w:r>
            <w:r>
              <w:rPr>
                <w:spacing w:val="-13"/>
                <w:sz w:val="20"/>
              </w:rPr>
              <w:t> </w:t>
            </w:r>
            <w:r>
              <w:rPr>
                <w:sz w:val="20"/>
              </w:rPr>
              <w:t>C18.2,</w:t>
            </w:r>
            <w:r>
              <w:rPr>
                <w:spacing w:val="-12"/>
                <w:sz w:val="20"/>
              </w:rPr>
              <w:t> </w:t>
            </w:r>
            <w:r>
              <w:rPr>
                <w:sz w:val="20"/>
              </w:rPr>
              <w:t>C18.3, </w:t>
            </w:r>
            <w:r>
              <w:rPr>
                <w:spacing w:val="-2"/>
                <w:sz w:val="20"/>
              </w:rPr>
              <w:t>C18.4</w:t>
            </w:r>
          </w:p>
        </w:tc>
        <w:tc>
          <w:tcPr>
            <w:tcW w:w="3379" w:type="dxa"/>
            <w:vMerge w:val="restart"/>
          </w:tcPr>
          <w:p>
            <w:pPr>
              <w:pStyle w:val="TableParagraph"/>
              <w:spacing w:line="249" w:lineRule="auto" w:before="60"/>
              <w:ind w:left="140"/>
              <w:rPr>
                <w:sz w:val="20"/>
              </w:rPr>
            </w:pPr>
            <w:r>
              <w:rPr>
                <w:sz w:val="20"/>
              </w:rPr>
              <w:t>локализованные формы злокачественных новообразований правой</w:t>
            </w:r>
            <w:r>
              <w:rPr>
                <w:spacing w:val="-13"/>
                <w:sz w:val="20"/>
              </w:rPr>
              <w:t> </w:t>
            </w:r>
            <w:r>
              <w:rPr>
                <w:sz w:val="20"/>
              </w:rPr>
              <w:t>половины</w:t>
            </w:r>
            <w:r>
              <w:rPr>
                <w:spacing w:val="-12"/>
                <w:sz w:val="20"/>
              </w:rPr>
              <w:t> </w:t>
            </w:r>
            <w:r>
              <w:rPr>
                <w:sz w:val="20"/>
              </w:rPr>
              <w:t>ободочной</w:t>
            </w:r>
            <w:r>
              <w:rPr>
                <w:spacing w:val="-13"/>
                <w:sz w:val="20"/>
              </w:rPr>
              <w:t> </w:t>
            </w:r>
            <w:r>
              <w:rPr>
                <w:sz w:val="20"/>
              </w:rPr>
              <w:t>кишки. Карциноидные опухоли червеобразного отростка</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правосторонняя гемиколэктомия</w:t>
            </w:r>
          </w:p>
        </w:tc>
      </w:tr>
      <w:tr>
        <w:trPr>
          <w:trHeight w:val="84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правосторонняя гемиколэктомия с расширенной лимфаденэктомией</w:t>
            </w:r>
          </w:p>
        </w:tc>
      </w:tr>
      <w:tr>
        <w:trPr>
          <w:trHeight w:val="600" w:hRule="atLeast"/>
        </w:trPr>
        <w:tc>
          <w:tcPr>
            <w:tcW w:w="1888" w:type="dxa"/>
          </w:tcPr>
          <w:p>
            <w:pPr>
              <w:pStyle w:val="TableParagraph"/>
              <w:spacing w:before="60"/>
              <w:ind w:left="26" w:right="109"/>
              <w:jc w:val="center"/>
              <w:rPr>
                <w:sz w:val="20"/>
              </w:rPr>
            </w:pPr>
            <w:r>
              <w:rPr>
                <w:sz w:val="20"/>
              </w:rPr>
              <w:t>C18.5,</w:t>
            </w:r>
            <w:r>
              <w:rPr>
                <w:spacing w:val="-2"/>
                <w:sz w:val="20"/>
              </w:rPr>
              <w:t> C18.6</w:t>
            </w:r>
          </w:p>
        </w:tc>
        <w:tc>
          <w:tcPr>
            <w:tcW w:w="3379" w:type="dxa"/>
            <w:vMerge w:val="restart"/>
          </w:tcPr>
          <w:p>
            <w:pPr>
              <w:pStyle w:val="TableParagraph"/>
              <w:spacing w:line="249" w:lineRule="auto" w:before="60"/>
              <w:ind w:left="140" w:right="244"/>
              <w:rPr>
                <w:sz w:val="20"/>
              </w:rPr>
            </w:pPr>
            <w:r>
              <w:rPr>
                <w:sz w:val="20"/>
              </w:rPr>
              <w:t>локализованные формы злокачественных</w:t>
            </w:r>
            <w:r>
              <w:rPr>
                <w:spacing w:val="-13"/>
                <w:sz w:val="20"/>
              </w:rPr>
              <w:t> </w:t>
            </w:r>
            <w:r>
              <w:rPr>
                <w:sz w:val="20"/>
              </w:rPr>
              <w:t>новообразований левой</w:t>
            </w:r>
            <w:r>
              <w:rPr>
                <w:spacing w:val="-8"/>
                <w:sz w:val="20"/>
              </w:rPr>
              <w:t> </w:t>
            </w:r>
            <w:r>
              <w:rPr>
                <w:sz w:val="20"/>
              </w:rPr>
              <w:t>половины</w:t>
            </w:r>
            <w:r>
              <w:rPr>
                <w:spacing w:val="-8"/>
                <w:sz w:val="20"/>
              </w:rPr>
              <w:t> </w:t>
            </w:r>
            <w:r>
              <w:rPr>
                <w:sz w:val="20"/>
              </w:rPr>
              <w:t>ободочной</w:t>
            </w:r>
            <w:r>
              <w:rPr>
                <w:spacing w:val="-9"/>
                <w:sz w:val="20"/>
              </w:rPr>
              <w:t> </w:t>
            </w:r>
            <w:r>
              <w:rPr>
                <w:spacing w:val="-4"/>
                <w:sz w:val="20"/>
              </w:rPr>
              <w:t>кишки</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левосторонняя гемиколэктомия</w:t>
            </w:r>
          </w:p>
        </w:tc>
      </w:tr>
      <w:tr>
        <w:trPr>
          <w:trHeight w:val="84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левосторонняя гемиколэктомия с расширенной лимфаденэктомией</w:t>
            </w:r>
          </w:p>
        </w:tc>
      </w:tr>
      <w:tr>
        <w:trPr>
          <w:trHeight w:val="600" w:hRule="atLeast"/>
        </w:trPr>
        <w:tc>
          <w:tcPr>
            <w:tcW w:w="1888" w:type="dxa"/>
          </w:tcPr>
          <w:p>
            <w:pPr>
              <w:pStyle w:val="TableParagraph"/>
              <w:spacing w:before="60"/>
              <w:ind w:left="27" w:right="109"/>
              <w:jc w:val="center"/>
              <w:rPr>
                <w:sz w:val="20"/>
              </w:rPr>
            </w:pPr>
            <w:r>
              <w:rPr>
                <w:sz w:val="20"/>
              </w:rPr>
              <w:t>C18.7,</w:t>
            </w:r>
            <w:r>
              <w:rPr>
                <w:spacing w:val="-4"/>
                <w:sz w:val="20"/>
              </w:rPr>
              <w:t> </w:t>
            </w:r>
            <w:r>
              <w:rPr>
                <w:spacing w:val="-5"/>
                <w:sz w:val="20"/>
              </w:rPr>
              <w:t>C19</w:t>
            </w:r>
          </w:p>
        </w:tc>
        <w:tc>
          <w:tcPr>
            <w:tcW w:w="3379" w:type="dxa"/>
            <w:vMerge w:val="restart"/>
          </w:tcPr>
          <w:p>
            <w:pPr>
              <w:pStyle w:val="TableParagraph"/>
              <w:spacing w:line="249" w:lineRule="auto" w:before="60"/>
              <w:ind w:left="140" w:right="244"/>
              <w:rPr>
                <w:sz w:val="20"/>
              </w:rPr>
            </w:pPr>
            <w:r>
              <w:rPr>
                <w:sz w:val="20"/>
              </w:rPr>
              <w:t>локализованные формы злокачественных</w:t>
            </w:r>
            <w:r>
              <w:rPr>
                <w:spacing w:val="-13"/>
                <w:sz w:val="20"/>
              </w:rPr>
              <w:t> </w:t>
            </w:r>
            <w:r>
              <w:rPr>
                <w:sz w:val="20"/>
              </w:rPr>
              <w:t>новообразований сигмовидной кишки и ректосигмоидного отдела</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резекция сигмовидной кишки</w:t>
            </w:r>
          </w:p>
        </w:tc>
      </w:tr>
      <w:tr>
        <w:trPr>
          <w:trHeight w:val="84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резекция сигмовидной кишки с расширенной лимфаденэктомией</w:t>
            </w:r>
          </w:p>
        </w:tc>
      </w:tr>
      <w:tr>
        <w:trPr>
          <w:trHeight w:val="770" w:hRule="atLeast"/>
        </w:trPr>
        <w:tc>
          <w:tcPr>
            <w:tcW w:w="1888" w:type="dxa"/>
          </w:tcPr>
          <w:p>
            <w:pPr>
              <w:pStyle w:val="TableParagraph"/>
              <w:rPr>
                <w:sz w:val="18"/>
              </w:rPr>
            </w:pPr>
          </w:p>
        </w:tc>
        <w:tc>
          <w:tcPr>
            <w:tcW w:w="3379" w:type="dxa"/>
          </w:tcPr>
          <w:p>
            <w:pPr>
              <w:pStyle w:val="TableParagraph"/>
              <w:rPr>
                <w:sz w:val="18"/>
              </w:rPr>
            </w:pPr>
          </w:p>
        </w:tc>
        <w:tc>
          <w:tcPr>
            <w:tcW w:w="1433" w:type="dxa"/>
          </w:tcPr>
          <w:p>
            <w:pPr>
              <w:pStyle w:val="TableParagraph"/>
              <w:rPr>
                <w:sz w:val="18"/>
              </w:rPr>
            </w:pPr>
          </w:p>
        </w:tc>
        <w:tc>
          <w:tcPr>
            <w:tcW w:w="3570" w:type="dxa"/>
          </w:tcPr>
          <w:p>
            <w:pPr>
              <w:pStyle w:val="TableParagraph"/>
              <w:spacing w:line="240" w:lineRule="atLeast" w:before="30"/>
              <w:ind w:left="110"/>
              <w:rPr>
                <w:sz w:val="20"/>
              </w:rPr>
            </w:pPr>
            <w:r>
              <w:rPr>
                <w:sz w:val="20"/>
              </w:rPr>
              <w:t>нервосберегающая лапароскопически- ассистированная</w:t>
            </w:r>
            <w:r>
              <w:rPr>
                <w:spacing w:val="-13"/>
                <w:sz w:val="20"/>
              </w:rPr>
              <w:t> </w:t>
            </w:r>
            <w:r>
              <w:rPr>
                <w:sz w:val="20"/>
              </w:rPr>
              <w:t>резекция</w:t>
            </w:r>
            <w:r>
              <w:rPr>
                <w:spacing w:val="-12"/>
                <w:sz w:val="20"/>
              </w:rPr>
              <w:t> </w:t>
            </w:r>
            <w:r>
              <w:rPr>
                <w:sz w:val="20"/>
              </w:rPr>
              <w:t>сигмовидной </w:t>
            </w:r>
            <w:r>
              <w:rPr>
                <w:spacing w:val="-2"/>
                <w:sz w:val="20"/>
              </w:rPr>
              <w:t>кишки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before="91"/>
        <w:ind w:left="4283" w:right="0" w:firstLine="0"/>
        <w:jc w:val="left"/>
        <w:rPr>
          <w:sz w:val="20"/>
        </w:rPr>
      </w:pPr>
      <w:r>
        <w:rPr>
          <w:sz w:val="20"/>
        </w:rPr>
        <w:t>C20,</w:t>
      </w:r>
      <w:r>
        <w:rPr>
          <w:spacing w:val="-3"/>
          <w:sz w:val="20"/>
        </w:rPr>
        <w:t> </w:t>
      </w:r>
      <w:r>
        <w:rPr>
          <w:spacing w:val="-5"/>
          <w:sz w:val="20"/>
        </w:rPr>
        <w:t>C21</w:t>
      </w:r>
      <w:r>
        <w:rPr>
          <w:sz w:val="20"/>
        </w:rPr>
        <w:tab/>
        <w:t>ранние</w:t>
      </w:r>
      <w:r>
        <w:rPr>
          <w:spacing w:val="-7"/>
          <w:sz w:val="20"/>
        </w:rPr>
        <w:t> </w:t>
      </w:r>
      <w:r>
        <w:rPr>
          <w:sz w:val="20"/>
        </w:rPr>
        <w:t>формы</w:t>
      </w:r>
      <w:r>
        <w:rPr>
          <w:spacing w:val="-6"/>
          <w:sz w:val="20"/>
        </w:rPr>
        <w:t> </w:t>
      </w:r>
      <w:r>
        <w:rPr>
          <w:spacing w:val="-2"/>
          <w:sz w:val="20"/>
        </w:rPr>
        <w:t>злокачественных</w:t>
      </w:r>
    </w:p>
    <w:p>
      <w:pPr>
        <w:spacing w:line="249" w:lineRule="auto" w:before="10"/>
        <w:ind w:left="5793" w:right="39" w:firstLine="0"/>
        <w:jc w:val="left"/>
        <w:rPr>
          <w:sz w:val="20"/>
        </w:rPr>
      </w:pPr>
      <w:r>
        <w:rPr>
          <w:sz w:val="20"/>
        </w:rPr>
        <w:t>новообразований прямой кишки; локализованные формы злокачественных</w:t>
      </w:r>
      <w:r>
        <w:rPr>
          <w:spacing w:val="-13"/>
          <w:sz w:val="20"/>
        </w:rPr>
        <w:t> </w:t>
      </w:r>
      <w:r>
        <w:rPr>
          <w:sz w:val="20"/>
        </w:rPr>
        <w:t>новообразований прямой кишки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7"/>
        </w:rPr>
      </w:pPr>
    </w:p>
    <w:p>
      <w:pPr>
        <w:tabs>
          <w:tab w:pos="5792" w:val="left" w:leader="none"/>
        </w:tabs>
        <w:spacing w:before="0"/>
        <w:ind w:left="3915" w:right="0" w:firstLine="0"/>
        <w:jc w:val="left"/>
        <w:rPr>
          <w:sz w:val="20"/>
        </w:rPr>
      </w:pPr>
      <w:r>
        <w:rPr>
          <w:sz w:val="20"/>
        </w:rPr>
        <w:t>C22,</w:t>
      </w:r>
      <w:r>
        <w:rPr>
          <w:spacing w:val="-4"/>
          <w:sz w:val="20"/>
        </w:rPr>
        <w:t> </w:t>
      </w:r>
      <w:r>
        <w:rPr>
          <w:sz w:val="20"/>
        </w:rPr>
        <w:t>C78.7,</w:t>
      </w:r>
      <w:r>
        <w:rPr>
          <w:spacing w:val="-3"/>
          <w:sz w:val="20"/>
        </w:rPr>
        <w:t> </w:t>
      </w:r>
      <w:r>
        <w:rPr>
          <w:spacing w:val="-2"/>
          <w:sz w:val="20"/>
        </w:rPr>
        <w:t>C24.0</w:t>
      </w:r>
      <w:r>
        <w:rPr>
          <w:sz w:val="20"/>
        </w:rPr>
        <w:tab/>
        <w:t>первичные</w:t>
      </w:r>
      <w:r>
        <w:rPr>
          <w:spacing w:val="-8"/>
          <w:sz w:val="20"/>
        </w:rPr>
        <w:t> </w:t>
      </w:r>
      <w:r>
        <w:rPr>
          <w:sz w:val="20"/>
        </w:rPr>
        <w:t>и</w:t>
      </w:r>
      <w:r>
        <w:rPr>
          <w:spacing w:val="-8"/>
          <w:sz w:val="20"/>
        </w:rPr>
        <w:t> </w:t>
      </w:r>
      <w:r>
        <w:rPr>
          <w:spacing w:val="-2"/>
          <w:sz w:val="20"/>
        </w:rPr>
        <w:t>метастатические</w:t>
      </w:r>
    </w:p>
    <w:p>
      <w:pPr>
        <w:spacing w:line="249" w:lineRule="auto" w:before="10"/>
        <w:ind w:left="5793" w:right="66" w:firstLine="0"/>
        <w:jc w:val="left"/>
        <w:rPr>
          <w:sz w:val="20"/>
        </w:rPr>
      </w:pPr>
      <w:r>
        <w:rPr>
          <w:sz w:val="20"/>
        </w:rPr>
        <w:t>злокачественные</w:t>
      </w:r>
      <w:r>
        <w:rPr>
          <w:spacing w:val="-13"/>
          <w:sz w:val="20"/>
        </w:rPr>
        <w:t> </w:t>
      </w:r>
      <w:r>
        <w:rPr>
          <w:sz w:val="20"/>
        </w:rPr>
        <w:t>новообразования </w:t>
      </w:r>
      <w:r>
        <w:rPr>
          <w:spacing w:val="-2"/>
          <w:sz w:val="20"/>
        </w:rPr>
        <w:t>печени</w:t>
      </w:r>
    </w:p>
    <w:p>
      <w:pPr>
        <w:spacing w:line="249" w:lineRule="auto" w:before="122"/>
        <w:ind w:left="5793" w:right="0" w:firstLine="0"/>
        <w:jc w:val="both"/>
        <w:rPr>
          <w:sz w:val="20"/>
        </w:rPr>
      </w:pPr>
      <w:r>
        <w:rPr>
          <w:spacing w:val="-2"/>
          <w:sz w:val="20"/>
        </w:rPr>
        <w:t>нерезектабельные злокачественные </w:t>
      </w:r>
      <w:r>
        <w:rPr>
          <w:sz w:val="20"/>
        </w:rPr>
        <w:t>новообразования печени и внутри- печеночных желчных протоков</w:t>
      </w:r>
    </w:p>
    <w:p>
      <w:pPr>
        <w:spacing w:line="249" w:lineRule="auto" w:before="123"/>
        <w:ind w:left="5793" w:right="74" w:firstLine="0"/>
        <w:jc w:val="both"/>
        <w:rPr>
          <w:sz w:val="20"/>
        </w:rPr>
      </w:pPr>
      <w:r>
        <w:rPr>
          <w:sz w:val="20"/>
        </w:rPr>
        <w:t>злокачественные</w:t>
      </w:r>
      <w:r>
        <w:rPr>
          <w:spacing w:val="-13"/>
          <w:sz w:val="20"/>
        </w:rPr>
        <w:t> </w:t>
      </w:r>
      <w:r>
        <w:rPr>
          <w:sz w:val="20"/>
        </w:rPr>
        <w:t>новообразования общего желчного протока</w:t>
      </w:r>
    </w:p>
    <w:p>
      <w:pPr>
        <w:spacing w:line="249" w:lineRule="auto" w:before="91"/>
        <w:ind w:left="234"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spacing w:line="249" w:lineRule="auto" w:before="0"/>
        <w:ind w:left="234" w:right="0" w:firstLine="0"/>
        <w:jc w:val="left"/>
        <w:rPr>
          <w:sz w:val="20"/>
        </w:rPr>
      </w:pPr>
      <w:r>
        <w:rPr>
          <w:spacing w:val="-2"/>
          <w:sz w:val="20"/>
        </w:rPr>
        <w:t>хирургическое лечение</w:t>
      </w:r>
    </w:p>
    <w:p>
      <w:pPr>
        <w:pStyle w:val="BodyText"/>
        <w:spacing w:before="5"/>
        <w:rPr>
          <w:sz w:val="31"/>
        </w:rPr>
      </w:pPr>
    </w:p>
    <w:p>
      <w:pPr>
        <w:spacing w:line="252" w:lineRule="auto" w:before="1"/>
        <w:ind w:left="234" w:right="0" w:firstLine="0"/>
        <w:jc w:val="left"/>
        <w:rPr>
          <w:sz w:val="20"/>
        </w:rPr>
      </w:pPr>
      <w:r>
        <w:rPr>
          <w:spacing w:val="-2"/>
          <w:sz w:val="20"/>
        </w:rPr>
        <w:t>хирургическое лечение</w:t>
      </w:r>
    </w:p>
    <w:p>
      <w:pPr>
        <w:pStyle w:val="BodyText"/>
        <w:spacing w:before="1"/>
        <w:rPr>
          <w:sz w:val="31"/>
        </w:rPr>
      </w:pPr>
    </w:p>
    <w:p>
      <w:pPr>
        <w:spacing w:line="249" w:lineRule="auto" w:before="0"/>
        <w:ind w:left="234" w:right="0" w:firstLine="0"/>
        <w:jc w:val="left"/>
        <w:rPr>
          <w:sz w:val="20"/>
        </w:rPr>
      </w:pPr>
      <w:r>
        <w:rPr>
          <w:spacing w:val="-2"/>
          <w:sz w:val="20"/>
        </w:rPr>
        <w:t>хирургическое лечение</w:t>
      </w:r>
    </w:p>
    <w:p>
      <w:pPr>
        <w:spacing w:line="249" w:lineRule="auto" w:before="91"/>
        <w:ind w:left="178" w:right="1951" w:firstLine="0"/>
        <w:jc w:val="left"/>
        <w:rPr>
          <w:sz w:val="20"/>
        </w:rPr>
      </w:pPr>
      <w:r>
        <w:rPr/>
        <w:br w:type="column"/>
      </w:r>
      <w:r>
        <w:rPr>
          <w:sz w:val="20"/>
        </w:rPr>
        <w:t>трансанальная</w:t>
      </w:r>
      <w:r>
        <w:rPr>
          <w:spacing w:val="-13"/>
          <w:sz w:val="20"/>
        </w:rPr>
        <w:t> </w:t>
      </w:r>
      <w:r>
        <w:rPr>
          <w:sz w:val="20"/>
        </w:rPr>
        <w:t>эндоскопическая микрохирургия (ТЕМ)</w:t>
      </w:r>
    </w:p>
    <w:p>
      <w:pPr>
        <w:spacing w:line="252" w:lineRule="auto" w:before="121"/>
        <w:ind w:left="178" w:right="1951" w:firstLine="0"/>
        <w:jc w:val="left"/>
        <w:rPr>
          <w:sz w:val="20"/>
        </w:rPr>
      </w:pPr>
      <w:r>
        <w:rPr>
          <w:spacing w:val="-2"/>
          <w:sz w:val="20"/>
        </w:rPr>
        <w:t>лапароскопически-ассистированная </w:t>
      </w:r>
      <w:r>
        <w:rPr>
          <w:sz w:val="20"/>
        </w:rPr>
        <w:t>резекция прямой кишки</w:t>
      </w:r>
    </w:p>
    <w:p>
      <w:pPr>
        <w:spacing w:line="249" w:lineRule="auto" w:before="118"/>
        <w:ind w:left="178" w:right="1951" w:firstLine="0"/>
        <w:jc w:val="left"/>
        <w:rPr>
          <w:sz w:val="20"/>
        </w:rPr>
      </w:pPr>
      <w:r>
        <w:rPr>
          <w:spacing w:val="-2"/>
          <w:sz w:val="20"/>
        </w:rPr>
        <w:t>лапароскопически-ассистированная </w:t>
      </w:r>
      <w:r>
        <w:rPr>
          <w:sz w:val="20"/>
        </w:rPr>
        <w:t>резекция</w:t>
      </w:r>
      <w:r>
        <w:rPr>
          <w:spacing w:val="-9"/>
          <w:sz w:val="20"/>
        </w:rPr>
        <w:t> </w:t>
      </w:r>
      <w:r>
        <w:rPr>
          <w:sz w:val="20"/>
        </w:rPr>
        <w:t>прямой</w:t>
      </w:r>
      <w:r>
        <w:rPr>
          <w:spacing w:val="-9"/>
          <w:sz w:val="20"/>
        </w:rPr>
        <w:t> </w:t>
      </w:r>
      <w:r>
        <w:rPr>
          <w:sz w:val="20"/>
        </w:rPr>
        <w:t>кишки</w:t>
      </w:r>
      <w:r>
        <w:rPr>
          <w:spacing w:val="-9"/>
          <w:sz w:val="20"/>
        </w:rPr>
        <w:t> </w:t>
      </w:r>
      <w:r>
        <w:rPr>
          <w:sz w:val="20"/>
        </w:rPr>
        <w:t>с</w:t>
      </w:r>
      <w:r>
        <w:rPr>
          <w:spacing w:val="-8"/>
          <w:sz w:val="20"/>
        </w:rPr>
        <w:t> </w:t>
      </w:r>
      <w:r>
        <w:rPr>
          <w:sz w:val="20"/>
        </w:rPr>
        <w:t>расширенной </w:t>
      </w:r>
      <w:r>
        <w:rPr>
          <w:spacing w:val="-2"/>
          <w:sz w:val="20"/>
        </w:rPr>
        <w:t>лимфаденэктомией</w:t>
      </w:r>
    </w:p>
    <w:p>
      <w:pPr>
        <w:spacing w:line="249" w:lineRule="auto" w:before="123"/>
        <w:ind w:left="178" w:right="1951" w:firstLine="0"/>
        <w:jc w:val="left"/>
        <w:rPr>
          <w:sz w:val="20"/>
        </w:rPr>
      </w:pPr>
      <w:r>
        <w:rPr>
          <w:spacing w:val="-2"/>
          <w:sz w:val="20"/>
        </w:rPr>
        <w:t>лапароскопически-ассистированная </w:t>
      </w:r>
      <w:r>
        <w:rPr>
          <w:sz w:val="20"/>
        </w:rPr>
        <w:t>резекция прямой кишки с формированием тазового толстокишечного резервуара</w:t>
      </w:r>
    </w:p>
    <w:p>
      <w:pPr>
        <w:spacing w:line="252" w:lineRule="auto" w:before="123"/>
        <w:ind w:left="178" w:right="1919" w:firstLine="0"/>
        <w:jc w:val="left"/>
        <w:rPr>
          <w:sz w:val="20"/>
        </w:rPr>
      </w:pPr>
      <w:r>
        <w:rPr>
          <w:sz w:val="20"/>
        </w:rPr>
        <w:t>нервосберегающая лапароскопически- ассистированная</w:t>
      </w:r>
      <w:r>
        <w:rPr>
          <w:spacing w:val="-12"/>
          <w:sz w:val="20"/>
        </w:rPr>
        <w:t> </w:t>
      </w:r>
      <w:r>
        <w:rPr>
          <w:sz w:val="20"/>
        </w:rPr>
        <w:t>резекция</w:t>
      </w:r>
      <w:r>
        <w:rPr>
          <w:spacing w:val="-10"/>
          <w:sz w:val="20"/>
        </w:rPr>
        <w:t> </w:t>
      </w:r>
      <w:r>
        <w:rPr>
          <w:sz w:val="20"/>
        </w:rPr>
        <w:t>прямой</w:t>
      </w:r>
      <w:r>
        <w:rPr>
          <w:spacing w:val="-12"/>
          <w:sz w:val="20"/>
        </w:rPr>
        <w:t> </w:t>
      </w:r>
      <w:r>
        <w:rPr>
          <w:sz w:val="20"/>
        </w:rPr>
        <w:t>кишки</w:t>
      </w:r>
    </w:p>
    <w:p>
      <w:pPr>
        <w:spacing w:line="249" w:lineRule="auto" w:before="117"/>
        <w:ind w:left="178" w:right="1951" w:firstLine="0"/>
        <w:jc w:val="left"/>
        <w:rPr>
          <w:sz w:val="20"/>
        </w:rPr>
      </w:pPr>
      <w:r>
        <w:rPr>
          <w:sz w:val="20"/>
        </w:rPr>
        <w:t>брюшно-промежностная</w:t>
      </w:r>
      <w:r>
        <w:rPr>
          <w:spacing w:val="-13"/>
          <w:sz w:val="20"/>
        </w:rPr>
        <w:t> </w:t>
      </w:r>
      <w:r>
        <w:rPr>
          <w:sz w:val="20"/>
        </w:rPr>
        <w:t>экстирпация прямой кишки, в том числе с применением лапароскопических </w:t>
      </w:r>
      <w:r>
        <w:rPr>
          <w:spacing w:val="-2"/>
          <w:sz w:val="20"/>
        </w:rPr>
        <w:t>технологий</w:t>
      </w:r>
    </w:p>
    <w:p>
      <w:pPr>
        <w:spacing w:line="249" w:lineRule="auto" w:before="124"/>
        <w:ind w:left="178" w:right="2060" w:firstLine="0"/>
        <w:jc w:val="left"/>
        <w:rPr>
          <w:sz w:val="20"/>
        </w:rPr>
      </w:pPr>
      <w:r>
        <w:rPr>
          <w:sz w:val="20"/>
        </w:rPr>
        <w:t>видеоэндоскопическая</w:t>
      </w:r>
      <w:r>
        <w:rPr>
          <w:spacing w:val="-13"/>
          <w:sz w:val="20"/>
        </w:rPr>
        <w:t> </w:t>
      </w:r>
      <w:r>
        <w:rPr>
          <w:sz w:val="20"/>
        </w:rPr>
        <w:t>сегментэктомия, атипичная резекция печени</w:t>
      </w:r>
    </w:p>
    <w:p>
      <w:pPr>
        <w:pStyle w:val="BodyText"/>
        <w:spacing w:before="5"/>
        <w:rPr>
          <w:sz w:val="31"/>
        </w:rPr>
      </w:pPr>
    </w:p>
    <w:p>
      <w:pPr>
        <w:spacing w:line="249" w:lineRule="auto" w:before="0"/>
        <w:ind w:left="178" w:right="2244" w:firstLine="0"/>
        <w:jc w:val="left"/>
        <w:rPr>
          <w:sz w:val="20"/>
        </w:rPr>
      </w:pPr>
      <w:r>
        <w:rPr>
          <w:sz w:val="20"/>
        </w:rPr>
        <w:t>внутрипротоковая</w:t>
      </w:r>
      <w:r>
        <w:rPr>
          <w:spacing w:val="-13"/>
          <w:sz w:val="20"/>
        </w:rPr>
        <w:t> </w:t>
      </w:r>
      <w:r>
        <w:rPr>
          <w:sz w:val="20"/>
        </w:rPr>
        <w:t>фотодинамическая терапия под рентгеноскопическим </w:t>
      </w:r>
      <w:r>
        <w:rPr>
          <w:spacing w:val="-2"/>
          <w:sz w:val="20"/>
        </w:rPr>
        <w:t>контролем</w:t>
      </w:r>
    </w:p>
    <w:p>
      <w:pPr>
        <w:spacing w:line="249" w:lineRule="auto" w:before="123"/>
        <w:ind w:left="178" w:right="1951" w:firstLine="0"/>
        <w:jc w:val="left"/>
        <w:rPr>
          <w:sz w:val="20"/>
        </w:rPr>
      </w:pPr>
      <w:r>
        <w:rPr>
          <w:sz w:val="20"/>
        </w:rPr>
        <w:t>эндоскопическая комбинированная операция</w:t>
      </w:r>
      <w:r>
        <w:rPr>
          <w:spacing w:val="-5"/>
          <w:sz w:val="20"/>
        </w:rPr>
        <w:t> </w:t>
      </w:r>
      <w:r>
        <w:rPr>
          <w:sz w:val="20"/>
        </w:rPr>
        <w:t>(электрорезекция,</w:t>
      </w:r>
      <w:r>
        <w:rPr>
          <w:spacing w:val="-2"/>
          <w:sz w:val="20"/>
        </w:rPr>
        <w:t> </w:t>
      </w:r>
      <w:r>
        <w:rPr>
          <w:sz w:val="20"/>
        </w:rPr>
        <w:t>аргоно- плазменная коагуляция и фотодинамическая</w:t>
      </w:r>
      <w:r>
        <w:rPr>
          <w:spacing w:val="-13"/>
          <w:sz w:val="20"/>
        </w:rPr>
        <w:t> </w:t>
      </w:r>
      <w:r>
        <w:rPr>
          <w:sz w:val="20"/>
        </w:rPr>
        <w:t>терапия</w:t>
      </w:r>
      <w:r>
        <w:rPr>
          <w:spacing w:val="-12"/>
          <w:sz w:val="20"/>
        </w:rPr>
        <w:t> </w:t>
      </w:r>
      <w:r>
        <w:rPr>
          <w:sz w:val="20"/>
        </w:rPr>
        <w:t>опухоли желчных протоков)</w:t>
      </w:r>
    </w:p>
    <w:p>
      <w:pPr>
        <w:spacing w:after="0" w:line="249" w:lineRule="auto"/>
        <w:jc w:val="left"/>
        <w:rPr>
          <w:sz w:val="20"/>
        </w:rPr>
        <w:sectPr>
          <w:type w:val="continuous"/>
          <w:pgSz w:w="16850" w:h="11910" w:orient="landscape"/>
          <w:pgMar w:header="753" w:footer="0" w:top="1080" w:bottom="280" w:left="400" w:right="400"/>
          <w:cols w:num="3" w:equalWidth="0">
            <w:col w:w="8827" w:space="40"/>
            <w:col w:w="1491"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8"/>
        <w:gridCol w:w="3620"/>
        <w:gridCol w:w="1425"/>
        <w:gridCol w:w="3674"/>
      </w:tblGrid>
      <w:tr>
        <w:trPr>
          <w:trHeight w:val="1230" w:hRule="atLeast"/>
        </w:trPr>
        <w:tc>
          <w:tcPr>
            <w:tcW w:w="1188" w:type="dxa"/>
          </w:tcPr>
          <w:p>
            <w:pPr>
              <w:pStyle w:val="TableParagraph"/>
              <w:rPr>
                <w:sz w:val="18"/>
              </w:rPr>
            </w:pPr>
          </w:p>
        </w:tc>
        <w:tc>
          <w:tcPr>
            <w:tcW w:w="3620" w:type="dxa"/>
          </w:tcPr>
          <w:p>
            <w:pPr>
              <w:pStyle w:val="TableParagraph"/>
              <w:spacing w:line="249" w:lineRule="auto"/>
              <w:ind w:left="371"/>
              <w:rPr>
                <w:sz w:val="20"/>
              </w:rPr>
            </w:pPr>
            <w:r>
              <w:rPr>
                <w:sz w:val="20"/>
              </w:rPr>
              <w:t>злокачественные новообразования общего</w:t>
            </w:r>
            <w:r>
              <w:rPr>
                <w:spacing w:val="-10"/>
                <w:sz w:val="20"/>
              </w:rPr>
              <w:t> </w:t>
            </w:r>
            <w:r>
              <w:rPr>
                <w:sz w:val="20"/>
              </w:rPr>
              <w:t>желчного</w:t>
            </w:r>
            <w:r>
              <w:rPr>
                <w:spacing w:val="-10"/>
                <w:sz w:val="20"/>
              </w:rPr>
              <w:t> </w:t>
            </w:r>
            <w:r>
              <w:rPr>
                <w:sz w:val="20"/>
              </w:rPr>
              <w:t>протока</w:t>
            </w:r>
            <w:r>
              <w:rPr>
                <w:spacing w:val="-11"/>
                <w:sz w:val="20"/>
              </w:rPr>
              <w:t> </w:t>
            </w:r>
            <w:r>
              <w:rPr>
                <w:sz w:val="20"/>
              </w:rPr>
              <w:t>в</w:t>
            </w:r>
            <w:r>
              <w:rPr>
                <w:spacing w:val="-12"/>
                <w:sz w:val="20"/>
              </w:rPr>
              <w:t> </w:t>
            </w:r>
            <w:r>
              <w:rPr>
                <w:sz w:val="20"/>
              </w:rPr>
              <w:t>пределах слизистого слоя T1</w:t>
            </w:r>
          </w:p>
        </w:tc>
        <w:tc>
          <w:tcPr>
            <w:tcW w:w="1425" w:type="dxa"/>
          </w:tcPr>
          <w:p>
            <w:pPr>
              <w:pStyle w:val="TableParagraph"/>
              <w:spacing w:line="249" w:lineRule="auto"/>
              <w:ind w:left="59"/>
              <w:rPr>
                <w:sz w:val="20"/>
              </w:rPr>
            </w:pPr>
            <w:r>
              <w:rPr>
                <w:spacing w:val="-2"/>
                <w:sz w:val="20"/>
              </w:rPr>
              <w:t>хирургическое лечение</w:t>
            </w:r>
          </w:p>
        </w:tc>
        <w:tc>
          <w:tcPr>
            <w:tcW w:w="3674" w:type="dxa"/>
          </w:tcPr>
          <w:p>
            <w:pPr>
              <w:pStyle w:val="TableParagraph"/>
              <w:spacing w:line="249" w:lineRule="auto"/>
              <w:ind w:left="108"/>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желчных протоков)</w:t>
            </w:r>
          </w:p>
        </w:tc>
      </w:tr>
      <w:tr>
        <w:trPr>
          <w:trHeight w:val="1519" w:hRule="atLeast"/>
        </w:trPr>
        <w:tc>
          <w:tcPr>
            <w:tcW w:w="1188" w:type="dxa"/>
          </w:tcPr>
          <w:p>
            <w:pPr>
              <w:pStyle w:val="TableParagraph"/>
              <w:rPr>
                <w:sz w:val="18"/>
              </w:rPr>
            </w:pPr>
          </w:p>
        </w:tc>
        <w:tc>
          <w:tcPr>
            <w:tcW w:w="3620" w:type="dxa"/>
          </w:tcPr>
          <w:p>
            <w:pPr>
              <w:pStyle w:val="TableParagraph"/>
              <w:spacing w:line="249" w:lineRule="auto" w:before="40"/>
              <w:ind w:left="371" w:right="281"/>
              <w:rPr>
                <w:sz w:val="20"/>
              </w:rPr>
            </w:pPr>
            <w:r>
              <w:rPr>
                <w:sz w:val="20"/>
              </w:rPr>
              <w:t>злокачественные</w:t>
            </w:r>
            <w:r>
              <w:rPr>
                <w:spacing w:val="-13"/>
                <w:sz w:val="20"/>
              </w:rPr>
              <w:t> </w:t>
            </w:r>
            <w:r>
              <w:rPr>
                <w:sz w:val="20"/>
              </w:rPr>
              <w:t>новообразования желчных протоков</w:t>
            </w:r>
          </w:p>
        </w:tc>
        <w:tc>
          <w:tcPr>
            <w:tcW w:w="1425" w:type="dxa"/>
          </w:tcPr>
          <w:p>
            <w:pPr>
              <w:pStyle w:val="TableParagraph"/>
              <w:spacing w:line="249" w:lineRule="auto" w:before="40"/>
              <w:ind w:left="59"/>
              <w:rPr>
                <w:sz w:val="20"/>
              </w:rPr>
            </w:pPr>
            <w:r>
              <w:rPr>
                <w:spacing w:val="-2"/>
                <w:sz w:val="20"/>
              </w:rPr>
              <w:t>хирургическое лечение</w:t>
            </w:r>
          </w:p>
        </w:tc>
        <w:tc>
          <w:tcPr>
            <w:tcW w:w="3674" w:type="dxa"/>
          </w:tcPr>
          <w:p>
            <w:pPr>
              <w:pStyle w:val="TableParagraph"/>
              <w:spacing w:line="249" w:lineRule="auto" w:before="40"/>
              <w:ind w:left="108"/>
              <w:rPr>
                <w:sz w:val="20"/>
              </w:rPr>
            </w:pPr>
            <w:r>
              <w:rPr>
                <w:sz w:val="20"/>
              </w:rPr>
              <w:t>комбинированное интервенционно- радиологическое и эндоскопическое формирование и стентирование пункционного</w:t>
            </w:r>
            <w:r>
              <w:rPr>
                <w:spacing w:val="-13"/>
                <w:sz w:val="20"/>
              </w:rPr>
              <w:t> </w:t>
            </w:r>
            <w:r>
              <w:rPr>
                <w:sz w:val="20"/>
              </w:rPr>
              <w:t>билиодигестивного</w:t>
            </w:r>
            <w:r>
              <w:rPr>
                <w:spacing w:val="-12"/>
                <w:sz w:val="20"/>
              </w:rPr>
              <w:t> </w:t>
            </w:r>
            <w:r>
              <w:rPr>
                <w:sz w:val="20"/>
              </w:rPr>
              <w:t>шунта при опухолевых стенозах желчевыводящих путей</w:t>
            </w:r>
          </w:p>
        </w:tc>
      </w:tr>
      <w:tr>
        <w:trPr>
          <w:trHeight w:val="1760" w:hRule="atLeast"/>
        </w:trPr>
        <w:tc>
          <w:tcPr>
            <w:tcW w:w="1188" w:type="dxa"/>
          </w:tcPr>
          <w:p>
            <w:pPr>
              <w:pStyle w:val="TableParagraph"/>
              <w:rPr>
                <w:sz w:val="18"/>
              </w:rPr>
            </w:pPr>
          </w:p>
        </w:tc>
        <w:tc>
          <w:tcPr>
            <w:tcW w:w="3620" w:type="dxa"/>
          </w:tcPr>
          <w:p>
            <w:pPr>
              <w:pStyle w:val="TableParagraph"/>
              <w:rPr>
                <w:sz w:val="18"/>
              </w:rPr>
            </w:pPr>
          </w:p>
        </w:tc>
        <w:tc>
          <w:tcPr>
            <w:tcW w:w="1425" w:type="dxa"/>
          </w:tcPr>
          <w:p>
            <w:pPr>
              <w:pStyle w:val="TableParagraph"/>
              <w:rPr>
                <w:sz w:val="18"/>
              </w:rPr>
            </w:pPr>
          </w:p>
        </w:tc>
        <w:tc>
          <w:tcPr>
            <w:tcW w:w="3674" w:type="dxa"/>
          </w:tcPr>
          <w:p>
            <w:pPr>
              <w:pStyle w:val="TableParagraph"/>
              <w:spacing w:line="249" w:lineRule="auto" w:before="40"/>
              <w:ind w:left="108" w:right="131"/>
              <w:rPr>
                <w:sz w:val="20"/>
              </w:rPr>
            </w:pPr>
            <w:r>
              <w:rPr>
                <w:sz w:val="20"/>
              </w:rPr>
              <w:t>комбинированное интервенционно- радиологическое и эндоскопическое формирование и стентирование пункционного билиодигестивного шунта</w:t>
            </w:r>
            <w:r>
              <w:rPr>
                <w:spacing w:val="-6"/>
                <w:sz w:val="20"/>
              </w:rPr>
              <w:t> </w:t>
            </w:r>
            <w:r>
              <w:rPr>
                <w:sz w:val="20"/>
              </w:rPr>
              <w:t>с</w:t>
            </w:r>
            <w:r>
              <w:rPr>
                <w:spacing w:val="-6"/>
                <w:sz w:val="20"/>
              </w:rPr>
              <w:t> </w:t>
            </w:r>
            <w:r>
              <w:rPr>
                <w:sz w:val="20"/>
              </w:rPr>
              <w:t>использованием</w:t>
            </w:r>
            <w:r>
              <w:rPr>
                <w:spacing w:val="-5"/>
                <w:sz w:val="20"/>
              </w:rPr>
              <w:t> </w:t>
            </w:r>
            <w:r>
              <w:rPr>
                <w:sz w:val="20"/>
              </w:rPr>
              <w:t>специальных магнитных</w:t>
            </w:r>
            <w:r>
              <w:rPr>
                <w:spacing w:val="-13"/>
                <w:sz w:val="20"/>
              </w:rPr>
              <w:t> </w:t>
            </w:r>
            <w:r>
              <w:rPr>
                <w:sz w:val="20"/>
              </w:rPr>
              <w:t>элементов</w:t>
            </w:r>
            <w:r>
              <w:rPr>
                <w:spacing w:val="-12"/>
                <w:sz w:val="20"/>
              </w:rPr>
              <w:t> </w:t>
            </w:r>
            <w:r>
              <w:rPr>
                <w:sz w:val="20"/>
              </w:rPr>
              <w:t>при</w:t>
            </w:r>
            <w:r>
              <w:rPr>
                <w:spacing w:val="-13"/>
                <w:sz w:val="20"/>
              </w:rPr>
              <w:t> </w:t>
            </w:r>
            <w:r>
              <w:rPr>
                <w:sz w:val="20"/>
              </w:rPr>
              <w:t>опухолевых стенозах желчевыводящих путей</w:t>
            </w:r>
          </w:p>
        </w:tc>
      </w:tr>
      <w:tr>
        <w:trPr>
          <w:trHeight w:val="560" w:hRule="atLeast"/>
        </w:trPr>
        <w:tc>
          <w:tcPr>
            <w:tcW w:w="1188" w:type="dxa"/>
          </w:tcPr>
          <w:p>
            <w:pPr>
              <w:pStyle w:val="TableParagraph"/>
              <w:spacing w:before="41"/>
              <w:ind w:left="50"/>
              <w:rPr>
                <w:sz w:val="20"/>
              </w:rPr>
            </w:pPr>
            <w:r>
              <w:rPr>
                <w:sz w:val="20"/>
              </w:rPr>
              <w:t>C33,</w:t>
            </w:r>
            <w:r>
              <w:rPr>
                <w:spacing w:val="-3"/>
                <w:sz w:val="20"/>
              </w:rPr>
              <w:t> </w:t>
            </w:r>
            <w:r>
              <w:rPr>
                <w:spacing w:val="-5"/>
                <w:sz w:val="20"/>
              </w:rPr>
              <w:t>C34</w:t>
            </w:r>
          </w:p>
        </w:tc>
        <w:tc>
          <w:tcPr>
            <w:tcW w:w="3620" w:type="dxa"/>
            <w:vMerge w:val="restart"/>
          </w:tcPr>
          <w:p>
            <w:pPr>
              <w:pStyle w:val="TableParagraph"/>
              <w:spacing w:line="249" w:lineRule="auto" w:before="41"/>
              <w:ind w:left="371" w:right="952"/>
              <w:rPr>
                <w:sz w:val="20"/>
              </w:rPr>
            </w:pPr>
            <w:r>
              <w:rPr>
                <w:sz w:val="20"/>
              </w:rPr>
              <w:t>немелкоклеточный</w:t>
            </w:r>
            <w:r>
              <w:rPr>
                <w:spacing w:val="-13"/>
                <w:sz w:val="20"/>
              </w:rPr>
              <w:t> </w:t>
            </w:r>
            <w:r>
              <w:rPr>
                <w:sz w:val="20"/>
              </w:rPr>
              <w:t>ранний центральный рак легкого </w:t>
            </w:r>
            <w:r>
              <w:rPr>
                <w:spacing w:val="-2"/>
                <w:sz w:val="20"/>
              </w:rPr>
              <w:t>(Tis-T1NoMo)</w:t>
            </w:r>
          </w:p>
        </w:tc>
        <w:tc>
          <w:tcPr>
            <w:tcW w:w="1425" w:type="dxa"/>
          </w:tcPr>
          <w:p>
            <w:pPr>
              <w:pStyle w:val="TableParagraph"/>
              <w:spacing w:line="249" w:lineRule="auto" w:before="41"/>
              <w:ind w:left="59"/>
              <w:rPr>
                <w:sz w:val="20"/>
              </w:rPr>
            </w:pPr>
            <w:r>
              <w:rPr>
                <w:spacing w:val="-2"/>
                <w:sz w:val="20"/>
              </w:rPr>
              <w:t>хирургическое лечение</w:t>
            </w:r>
          </w:p>
        </w:tc>
        <w:tc>
          <w:tcPr>
            <w:tcW w:w="3674" w:type="dxa"/>
          </w:tcPr>
          <w:p>
            <w:pPr>
              <w:pStyle w:val="TableParagraph"/>
              <w:spacing w:line="249" w:lineRule="auto" w:before="41"/>
              <w:ind w:left="108" w:right="131"/>
              <w:rPr>
                <w:sz w:val="20"/>
              </w:rPr>
            </w:pPr>
            <w:r>
              <w:rPr>
                <w:sz w:val="20"/>
              </w:rPr>
              <w:t>эндоскопическое</w:t>
            </w:r>
            <w:r>
              <w:rPr>
                <w:spacing w:val="-13"/>
                <w:sz w:val="20"/>
              </w:rPr>
              <w:t> </w:t>
            </w:r>
            <w:r>
              <w:rPr>
                <w:sz w:val="20"/>
              </w:rPr>
              <w:t>электрохирургическое удаление опухоли бронхов</w:t>
            </w:r>
          </w:p>
        </w:tc>
      </w:tr>
      <w:tr>
        <w:trPr>
          <w:trHeight w:val="559" w:hRule="atLeast"/>
        </w:trPr>
        <w:tc>
          <w:tcPr>
            <w:tcW w:w="1188" w:type="dxa"/>
          </w:tcPr>
          <w:p>
            <w:pPr>
              <w:pStyle w:val="TableParagraph"/>
              <w:rPr>
                <w:sz w:val="18"/>
              </w:rPr>
            </w:pPr>
          </w:p>
        </w:tc>
        <w:tc>
          <w:tcPr>
            <w:tcW w:w="3620" w:type="dxa"/>
            <w:vMerge/>
            <w:tcBorders>
              <w:top w:val="nil"/>
            </w:tcBorders>
          </w:tcPr>
          <w:p>
            <w:pPr>
              <w:rPr>
                <w:sz w:val="2"/>
                <w:szCs w:val="2"/>
              </w:rPr>
            </w:pPr>
          </w:p>
        </w:tc>
        <w:tc>
          <w:tcPr>
            <w:tcW w:w="1425" w:type="dxa"/>
          </w:tcPr>
          <w:p>
            <w:pPr>
              <w:pStyle w:val="TableParagraph"/>
              <w:rPr>
                <w:sz w:val="18"/>
              </w:rPr>
            </w:pPr>
          </w:p>
        </w:tc>
        <w:tc>
          <w:tcPr>
            <w:tcW w:w="3674" w:type="dxa"/>
          </w:tcPr>
          <w:p>
            <w:pPr>
              <w:pStyle w:val="TableParagraph"/>
              <w:spacing w:line="249" w:lineRule="auto" w:before="40"/>
              <w:ind w:left="108"/>
              <w:rPr>
                <w:sz w:val="20"/>
              </w:rPr>
            </w:pPr>
            <w:r>
              <w:rPr>
                <w:spacing w:val="-2"/>
                <w:sz w:val="20"/>
              </w:rPr>
              <w:t>эндоскопическая фотодинамическая </w:t>
            </w:r>
            <w:r>
              <w:rPr>
                <w:sz w:val="20"/>
              </w:rPr>
              <w:t>терапия опухоли бронхов</w:t>
            </w:r>
          </w:p>
        </w:tc>
      </w:tr>
      <w:tr>
        <w:trPr>
          <w:trHeight w:val="1280" w:hRule="atLeast"/>
        </w:trPr>
        <w:tc>
          <w:tcPr>
            <w:tcW w:w="1188" w:type="dxa"/>
          </w:tcPr>
          <w:p>
            <w:pPr>
              <w:pStyle w:val="TableParagraph"/>
              <w:rPr>
                <w:sz w:val="18"/>
              </w:rPr>
            </w:pPr>
          </w:p>
        </w:tc>
        <w:tc>
          <w:tcPr>
            <w:tcW w:w="3620" w:type="dxa"/>
          </w:tcPr>
          <w:p>
            <w:pPr>
              <w:pStyle w:val="TableParagraph"/>
              <w:rPr>
                <w:sz w:val="18"/>
              </w:rPr>
            </w:pPr>
          </w:p>
        </w:tc>
        <w:tc>
          <w:tcPr>
            <w:tcW w:w="1425" w:type="dxa"/>
          </w:tcPr>
          <w:p>
            <w:pPr>
              <w:pStyle w:val="TableParagraph"/>
              <w:rPr>
                <w:sz w:val="18"/>
              </w:rPr>
            </w:pPr>
          </w:p>
        </w:tc>
        <w:tc>
          <w:tcPr>
            <w:tcW w:w="3674" w:type="dxa"/>
          </w:tcPr>
          <w:p>
            <w:pPr>
              <w:pStyle w:val="TableParagraph"/>
              <w:spacing w:line="249" w:lineRule="auto" w:before="40"/>
              <w:ind w:left="108"/>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бронхов)</w:t>
            </w:r>
          </w:p>
        </w:tc>
      </w:tr>
      <w:tr>
        <w:trPr>
          <w:trHeight w:val="751" w:hRule="atLeast"/>
        </w:trPr>
        <w:tc>
          <w:tcPr>
            <w:tcW w:w="1188" w:type="dxa"/>
          </w:tcPr>
          <w:p>
            <w:pPr>
              <w:pStyle w:val="TableParagraph"/>
              <w:rPr>
                <w:sz w:val="18"/>
              </w:rPr>
            </w:pPr>
          </w:p>
        </w:tc>
        <w:tc>
          <w:tcPr>
            <w:tcW w:w="3620" w:type="dxa"/>
          </w:tcPr>
          <w:p>
            <w:pPr>
              <w:pStyle w:val="TableParagraph"/>
              <w:rPr>
                <w:sz w:val="18"/>
              </w:rPr>
            </w:pPr>
          </w:p>
        </w:tc>
        <w:tc>
          <w:tcPr>
            <w:tcW w:w="1425" w:type="dxa"/>
          </w:tcPr>
          <w:p>
            <w:pPr>
              <w:pStyle w:val="TableParagraph"/>
              <w:rPr>
                <w:sz w:val="18"/>
              </w:rPr>
            </w:pPr>
          </w:p>
        </w:tc>
        <w:tc>
          <w:tcPr>
            <w:tcW w:w="3674" w:type="dxa"/>
          </w:tcPr>
          <w:p>
            <w:pPr>
              <w:pStyle w:val="TableParagraph"/>
              <w:spacing w:line="240" w:lineRule="atLeast" w:before="11"/>
              <w:ind w:left="108"/>
              <w:rPr>
                <w:sz w:val="20"/>
              </w:rPr>
            </w:pPr>
            <w:r>
              <w:rPr>
                <w:sz w:val="20"/>
              </w:rPr>
              <w:t>эндоскопическая реканализация и эндопротезирование</w:t>
            </w:r>
            <w:r>
              <w:rPr>
                <w:spacing w:val="-13"/>
                <w:sz w:val="20"/>
              </w:rPr>
              <w:t> </w:t>
            </w:r>
            <w:r>
              <w:rPr>
                <w:sz w:val="20"/>
              </w:rPr>
              <w:t>бронха</w:t>
            </w:r>
            <w:r>
              <w:rPr>
                <w:spacing w:val="-12"/>
                <w:sz w:val="20"/>
              </w:rPr>
              <w:t> </w:t>
            </w:r>
            <w:r>
              <w:rPr>
                <w:sz w:val="20"/>
              </w:rPr>
              <w:t>как</w:t>
            </w:r>
            <w:r>
              <w:rPr>
                <w:spacing w:val="-13"/>
                <w:sz w:val="20"/>
              </w:rPr>
              <w:t> </w:t>
            </w:r>
            <w:r>
              <w:rPr>
                <w:sz w:val="20"/>
              </w:rPr>
              <w:t>этап комбинированного лечения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gridCol w:w="3292"/>
        <w:gridCol w:w="1558"/>
        <w:gridCol w:w="3700"/>
      </w:tblGrid>
      <w:tr>
        <w:trPr>
          <w:trHeight w:val="1230" w:hRule="atLeast"/>
        </w:trPr>
        <w:tc>
          <w:tcPr>
            <w:tcW w:w="1777" w:type="dxa"/>
          </w:tcPr>
          <w:p>
            <w:pPr>
              <w:pStyle w:val="TableParagraph"/>
              <w:spacing w:line="221" w:lineRule="exact"/>
              <w:ind w:left="434" w:right="554"/>
              <w:jc w:val="center"/>
              <w:rPr>
                <w:sz w:val="20"/>
              </w:rPr>
            </w:pPr>
            <w:r>
              <w:rPr>
                <w:sz w:val="20"/>
              </w:rPr>
              <w:t>C33,</w:t>
            </w:r>
            <w:r>
              <w:rPr>
                <w:spacing w:val="-3"/>
                <w:sz w:val="20"/>
              </w:rPr>
              <w:t> </w:t>
            </w:r>
            <w:r>
              <w:rPr>
                <w:spacing w:val="-5"/>
                <w:sz w:val="20"/>
              </w:rPr>
              <w:t>C34</w:t>
            </w:r>
          </w:p>
        </w:tc>
        <w:tc>
          <w:tcPr>
            <w:tcW w:w="3292" w:type="dxa"/>
          </w:tcPr>
          <w:p>
            <w:pPr>
              <w:pStyle w:val="TableParagraph"/>
              <w:spacing w:line="221" w:lineRule="exact"/>
              <w:ind w:left="176"/>
              <w:rPr>
                <w:sz w:val="20"/>
              </w:rPr>
            </w:pPr>
            <w:r>
              <w:rPr>
                <w:sz w:val="20"/>
              </w:rPr>
              <w:t>ранний</w:t>
            </w:r>
            <w:r>
              <w:rPr>
                <w:spacing w:val="-6"/>
                <w:sz w:val="20"/>
              </w:rPr>
              <w:t> </w:t>
            </w:r>
            <w:r>
              <w:rPr>
                <w:sz w:val="20"/>
              </w:rPr>
              <w:t>рак</w:t>
            </w:r>
            <w:r>
              <w:rPr>
                <w:spacing w:val="-6"/>
                <w:sz w:val="20"/>
              </w:rPr>
              <w:t> </w:t>
            </w:r>
            <w:r>
              <w:rPr>
                <w:spacing w:val="-2"/>
                <w:sz w:val="20"/>
              </w:rPr>
              <w:t>трахеи</w:t>
            </w:r>
          </w:p>
        </w:tc>
        <w:tc>
          <w:tcPr>
            <w:tcW w:w="1558" w:type="dxa"/>
          </w:tcPr>
          <w:p>
            <w:pPr>
              <w:pStyle w:val="TableParagraph"/>
              <w:spacing w:line="249" w:lineRule="auto"/>
              <w:ind w:left="192"/>
              <w:rPr>
                <w:sz w:val="20"/>
              </w:rPr>
            </w:pPr>
            <w:r>
              <w:rPr>
                <w:spacing w:val="-2"/>
                <w:sz w:val="20"/>
              </w:rPr>
              <w:t>хирургическое лечение</w:t>
            </w:r>
          </w:p>
        </w:tc>
        <w:tc>
          <w:tcPr>
            <w:tcW w:w="3700" w:type="dxa"/>
          </w:tcPr>
          <w:p>
            <w:pPr>
              <w:pStyle w:val="TableParagraph"/>
              <w:spacing w:line="249" w:lineRule="auto"/>
              <w:ind w:left="108" w:right="11"/>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трахеи)</w:t>
            </w:r>
          </w:p>
        </w:tc>
      </w:tr>
      <w:tr>
        <w:trPr>
          <w:trHeight w:val="559" w:hRule="atLeast"/>
        </w:trPr>
        <w:tc>
          <w:tcPr>
            <w:tcW w:w="1777" w:type="dxa"/>
          </w:tcPr>
          <w:p>
            <w:pPr>
              <w:pStyle w:val="TableParagraph"/>
              <w:rPr>
                <w:sz w:val="18"/>
              </w:rPr>
            </w:pPr>
          </w:p>
        </w:tc>
        <w:tc>
          <w:tcPr>
            <w:tcW w:w="3292" w:type="dxa"/>
          </w:tcPr>
          <w:p>
            <w:pPr>
              <w:pStyle w:val="TableParagraph"/>
              <w:rPr>
                <w:sz w:val="18"/>
              </w:rPr>
            </w:pPr>
          </w:p>
        </w:tc>
        <w:tc>
          <w:tcPr>
            <w:tcW w:w="1558" w:type="dxa"/>
          </w:tcPr>
          <w:p>
            <w:pPr>
              <w:pStyle w:val="TableParagraph"/>
              <w:rPr>
                <w:sz w:val="18"/>
              </w:rPr>
            </w:pPr>
          </w:p>
        </w:tc>
        <w:tc>
          <w:tcPr>
            <w:tcW w:w="3700" w:type="dxa"/>
          </w:tcPr>
          <w:p>
            <w:pPr>
              <w:pStyle w:val="TableParagraph"/>
              <w:spacing w:line="249" w:lineRule="auto" w:before="40"/>
              <w:ind w:left="108" w:right="157"/>
              <w:rPr>
                <w:sz w:val="20"/>
              </w:rPr>
            </w:pPr>
            <w:r>
              <w:rPr>
                <w:sz w:val="20"/>
              </w:rPr>
              <w:t>эндоскопическое</w:t>
            </w:r>
            <w:r>
              <w:rPr>
                <w:spacing w:val="-13"/>
                <w:sz w:val="20"/>
              </w:rPr>
              <w:t> </w:t>
            </w:r>
            <w:r>
              <w:rPr>
                <w:sz w:val="20"/>
              </w:rPr>
              <w:t>электрохирургическое удаление опухоли трахеи</w:t>
            </w:r>
          </w:p>
        </w:tc>
      </w:tr>
      <w:tr>
        <w:trPr>
          <w:trHeight w:val="1280" w:hRule="atLeast"/>
        </w:trPr>
        <w:tc>
          <w:tcPr>
            <w:tcW w:w="1777" w:type="dxa"/>
          </w:tcPr>
          <w:p>
            <w:pPr>
              <w:pStyle w:val="TableParagraph"/>
              <w:rPr>
                <w:sz w:val="18"/>
              </w:rPr>
            </w:pPr>
          </w:p>
        </w:tc>
        <w:tc>
          <w:tcPr>
            <w:tcW w:w="3292" w:type="dxa"/>
          </w:tcPr>
          <w:p>
            <w:pPr>
              <w:pStyle w:val="TableParagraph"/>
              <w:spacing w:line="249" w:lineRule="auto" w:before="40"/>
              <w:ind w:left="176" w:right="251"/>
              <w:rPr>
                <w:sz w:val="20"/>
              </w:rPr>
            </w:pPr>
            <w:r>
              <w:rPr>
                <w:sz w:val="20"/>
              </w:rPr>
              <w:t>стенозирующие</w:t>
            </w:r>
            <w:r>
              <w:rPr>
                <w:spacing w:val="-13"/>
                <w:sz w:val="20"/>
              </w:rPr>
              <w:t> </w:t>
            </w:r>
            <w:r>
              <w:rPr>
                <w:sz w:val="20"/>
              </w:rPr>
              <w:t>злокачественные новообразования трахеи.</w:t>
            </w:r>
          </w:p>
          <w:p>
            <w:pPr>
              <w:pStyle w:val="TableParagraph"/>
              <w:spacing w:line="249" w:lineRule="auto" w:before="1"/>
              <w:ind w:left="176"/>
              <w:rPr>
                <w:sz w:val="20"/>
              </w:rPr>
            </w:pPr>
            <w:r>
              <w:rPr>
                <w:sz w:val="20"/>
              </w:rPr>
              <w:t>Стенозирующий</w:t>
            </w:r>
            <w:r>
              <w:rPr>
                <w:spacing w:val="-13"/>
                <w:sz w:val="20"/>
              </w:rPr>
              <w:t> </w:t>
            </w:r>
            <w:r>
              <w:rPr>
                <w:sz w:val="20"/>
              </w:rPr>
              <w:t>центральный</w:t>
            </w:r>
            <w:r>
              <w:rPr>
                <w:spacing w:val="-12"/>
                <w:sz w:val="20"/>
              </w:rPr>
              <w:t> </w:t>
            </w:r>
            <w:r>
              <w:rPr>
                <w:sz w:val="20"/>
              </w:rPr>
              <w:t>рак легкого (T2-4NxMx)</w:t>
            </w:r>
          </w:p>
        </w:tc>
        <w:tc>
          <w:tcPr>
            <w:tcW w:w="1558" w:type="dxa"/>
          </w:tcPr>
          <w:p>
            <w:pPr>
              <w:pStyle w:val="TableParagraph"/>
              <w:spacing w:line="249" w:lineRule="auto" w:before="40"/>
              <w:ind w:left="192"/>
              <w:rPr>
                <w:sz w:val="20"/>
              </w:rPr>
            </w:pPr>
            <w:r>
              <w:rPr>
                <w:spacing w:val="-2"/>
                <w:sz w:val="20"/>
              </w:rPr>
              <w:t>хирургическое лечение</w:t>
            </w:r>
          </w:p>
        </w:tc>
        <w:tc>
          <w:tcPr>
            <w:tcW w:w="3700" w:type="dxa"/>
          </w:tcPr>
          <w:p>
            <w:pPr>
              <w:pStyle w:val="TableParagraph"/>
              <w:spacing w:line="249" w:lineRule="auto" w:before="40"/>
              <w:ind w:left="108" w:right="11"/>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трахеи)</w:t>
            </w:r>
          </w:p>
        </w:tc>
      </w:tr>
      <w:tr>
        <w:trPr>
          <w:trHeight w:val="800" w:hRule="atLeast"/>
        </w:trPr>
        <w:tc>
          <w:tcPr>
            <w:tcW w:w="1777" w:type="dxa"/>
          </w:tcPr>
          <w:p>
            <w:pPr>
              <w:pStyle w:val="TableParagraph"/>
              <w:rPr>
                <w:sz w:val="18"/>
              </w:rPr>
            </w:pPr>
          </w:p>
        </w:tc>
        <w:tc>
          <w:tcPr>
            <w:tcW w:w="3292" w:type="dxa"/>
          </w:tcPr>
          <w:p>
            <w:pPr>
              <w:pStyle w:val="TableParagraph"/>
              <w:rPr>
                <w:sz w:val="18"/>
              </w:rPr>
            </w:pPr>
          </w:p>
        </w:tc>
        <w:tc>
          <w:tcPr>
            <w:tcW w:w="1558" w:type="dxa"/>
          </w:tcPr>
          <w:p>
            <w:pPr>
              <w:pStyle w:val="TableParagraph"/>
              <w:rPr>
                <w:sz w:val="18"/>
              </w:rPr>
            </w:pPr>
          </w:p>
        </w:tc>
        <w:tc>
          <w:tcPr>
            <w:tcW w:w="3700" w:type="dxa"/>
          </w:tcPr>
          <w:p>
            <w:pPr>
              <w:pStyle w:val="TableParagraph"/>
              <w:spacing w:line="249" w:lineRule="auto" w:before="41"/>
              <w:ind w:left="108" w:right="11"/>
              <w:rPr>
                <w:sz w:val="20"/>
              </w:rPr>
            </w:pPr>
            <w:r>
              <w:rPr>
                <w:sz w:val="20"/>
              </w:rPr>
              <w:t>эндоскопическая реканализация и эндопротезирование</w:t>
            </w:r>
            <w:r>
              <w:rPr>
                <w:spacing w:val="-13"/>
                <w:sz w:val="20"/>
              </w:rPr>
              <w:t> </w:t>
            </w:r>
            <w:r>
              <w:rPr>
                <w:sz w:val="20"/>
              </w:rPr>
              <w:t>трахеи</w:t>
            </w:r>
            <w:r>
              <w:rPr>
                <w:spacing w:val="-12"/>
                <w:sz w:val="20"/>
              </w:rPr>
              <w:t> </w:t>
            </w:r>
            <w:r>
              <w:rPr>
                <w:sz w:val="20"/>
              </w:rPr>
              <w:t>как</w:t>
            </w:r>
            <w:r>
              <w:rPr>
                <w:spacing w:val="-13"/>
                <w:sz w:val="20"/>
              </w:rPr>
              <w:t> </w:t>
            </w:r>
            <w:r>
              <w:rPr>
                <w:sz w:val="20"/>
              </w:rPr>
              <w:t>этап комбинированного лечения</w:t>
            </w:r>
          </w:p>
        </w:tc>
      </w:tr>
      <w:tr>
        <w:trPr>
          <w:trHeight w:val="1279" w:hRule="atLeast"/>
        </w:trPr>
        <w:tc>
          <w:tcPr>
            <w:tcW w:w="1777" w:type="dxa"/>
          </w:tcPr>
          <w:p>
            <w:pPr>
              <w:pStyle w:val="TableParagraph"/>
              <w:rPr>
                <w:sz w:val="18"/>
              </w:rPr>
            </w:pPr>
          </w:p>
        </w:tc>
        <w:tc>
          <w:tcPr>
            <w:tcW w:w="3292" w:type="dxa"/>
          </w:tcPr>
          <w:p>
            <w:pPr>
              <w:pStyle w:val="TableParagraph"/>
              <w:rPr>
                <w:sz w:val="18"/>
              </w:rPr>
            </w:pPr>
          </w:p>
        </w:tc>
        <w:tc>
          <w:tcPr>
            <w:tcW w:w="1558" w:type="dxa"/>
          </w:tcPr>
          <w:p>
            <w:pPr>
              <w:pStyle w:val="TableParagraph"/>
              <w:rPr>
                <w:sz w:val="18"/>
              </w:rPr>
            </w:pPr>
          </w:p>
        </w:tc>
        <w:tc>
          <w:tcPr>
            <w:tcW w:w="3700" w:type="dxa"/>
          </w:tcPr>
          <w:p>
            <w:pPr>
              <w:pStyle w:val="TableParagraph"/>
              <w:spacing w:line="249" w:lineRule="auto" w:before="40"/>
              <w:ind w:left="108" w:right="11"/>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бронхов)</w:t>
            </w:r>
          </w:p>
        </w:tc>
      </w:tr>
      <w:tr>
        <w:trPr>
          <w:trHeight w:val="560" w:hRule="atLeast"/>
        </w:trPr>
        <w:tc>
          <w:tcPr>
            <w:tcW w:w="1777" w:type="dxa"/>
          </w:tcPr>
          <w:p>
            <w:pPr>
              <w:pStyle w:val="TableParagraph"/>
              <w:spacing w:before="40"/>
              <w:ind w:left="432" w:right="554"/>
              <w:jc w:val="center"/>
              <w:rPr>
                <w:sz w:val="20"/>
              </w:rPr>
            </w:pPr>
            <w:r>
              <w:rPr>
                <w:spacing w:val="-5"/>
                <w:sz w:val="20"/>
              </w:rPr>
              <w:t>C34</w:t>
            </w:r>
          </w:p>
        </w:tc>
        <w:tc>
          <w:tcPr>
            <w:tcW w:w="3292" w:type="dxa"/>
          </w:tcPr>
          <w:p>
            <w:pPr>
              <w:pStyle w:val="TableParagraph"/>
              <w:spacing w:line="249" w:lineRule="auto" w:before="40"/>
              <w:ind w:left="176"/>
              <w:rPr>
                <w:sz w:val="20"/>
              </w:rPr>
            </w:pPr>
            <w:r>
              <w:rPr>
                <w:sz w:val="20"/>
              </w:rPr>
              <w:t>ранние</w:t>
            </w:r>
            <w:r>
              <w:rPr>
                <w:spacing w:val="-13"/>
                <w:sz w:val="20"/>
              </w:rPr>
              <w:t> </w:t>
            </w:r>
            <w:r>
              <w:rPr>
                <w:sz w:val="20"/>
              </w:rPr>
              <w:t>формы</w:t>
            </w:r>
            <w:r>
              <w:rPr>
                <w:spacing w:val="-12"/>
                <w:sz w:val="20"/>
              </w:rPr>
              <w:t> </w:t>
            </w:r>
            <w:r>
              <w:rPr>
                <w:sz w:val="20"/>
              </w:rPr>
              <w:t>злокачественных опухолей легкого (I - II стадия)</w:t>
            </w:r>
          </w:p>
        </w:tc>
        <w:tc>
          <w:tcPr>
            <w:tcW w:w="1558" w:type="dxa"/>
          </w:tcPr>
          <w:p>
            <w:pPr>
              <w:pStyle w:val="TableParagraph"/>
              <w:spacing w:line="249" w:lineRule="auto" w:before="40"/>
              <w:ind w:left="192"/>
              <w:rPr>
                <w:sz w:val="20"/>
              </w:rPr>
            </w:pPr>
            <w:r>
              <w:rPr>
                <w:spacing w:val="-2"/>
                <w:sz w:val="20"/>
              </w:rPr>
              <w:t>хирургическое лечение</w:t>
            </w:r>
          </w:p>
        </w:tc>
        <w:tc>
          <w:tcPr>
            <w:tcW w:w="3700" w:type="dxa"/>
          </w:tcPr>
          <w:p>
            <w:pPr>
              <w:pStyle w:val="TableParagraph"/>
              <w:spacing w:line="249" w:lineRule="auto" w:before="40"/>
              <w:ind w:left="108" w:right="366"/>
              <w:rPr>
                <w:sz w:val="20"/>
              </w:rPr>
            </w:pPr>
            <w:r>
              <w:rPr>
                <w:sz w:val="20"/>
              </w:rPr>
              <w:t>видеоторакоскопическая</w:t>
            </w:r>
            <w:r>
              <w:rPr>
                <w:spacing w:val="-13"/>
                <w:sz w:val="20"/>
              </w:rPr>
              <w:t> </w:t>
            </w:r>
            <w:r>
              <w:rPr>
                <w:sz w:val="20"/>
              </w:rPr>
              <w:t>лобэктомия, </w:t>
            </w:r>
            <w:r>
              <w:rPr>
                <w:spacing w:val="-2"/>
                <w:sz w:val="20"/>
              </w:rPr>
              <w:t>билобэктомия</w:t>
            </w:r>
          </w:p>
        </w:tc>
      </w:tr>
      <w:tr>
        <w:trPr>
          <w:trHeight w:val="581" w:hRule="atLeast"/>
        </w:trPr>
        <w:tc>
          <w:tcPr>
            <w:tcW w:w="1777" w:type="dxa"/>
          </w:tcPr>
          <w:p>
            <w:pPr>
              <w:pStyle w:val="TableParagraph"/>
              <w:spacing w:line="252" w:lineRule="auto" w:before="41"/>
              <w:ind w:left="585" w:hanging="536"/>
              <w:rPr>
                <w:sz w:val="20"/>
              </w:rPr>
            </w:pPr>
            <w:r>
              <w:rPr>
                <w:sz w:val="20"/>
              </w:rPr>
              <w:t>C37,</w:t>
            </w:r>
            <w:r>
              <w:rPr>
                <w:spacing w:val="-13"/>
                <w:sz w:val="20"/>
              </w:rPr>
              <w:t> </w:t>
            </w:r>
            <w:r>
              <w:rPr>
                <w:sz w:val="20"/>
              </w:rPr>
              <w:t>C38.1,</w:t>
            </w:r>
            <w:r>
              <w:rPr>
                <w:spacing w:val="-12"/>
                <w:sz w:val="20"/>
              </w:rPr>
              <w:t> </w:t>
            </w:r>
            <w:r>
              <w:rPr>
                <w:sz w:val="20"/>
              </w:rPr>
              <w:t>C38.2, </w:t>
            </w:r>
            <w:r>
              <w:rPr>
                <w:spacing w:val="-2"/>
                <w:sz w:val="20"/>
              </w:rPr>
              <w:t>C38.3</w:t>
            </w:r>
          </w:p>
        </w:tc>
        <w:tc>
          <w:tcPr>
            <w:tcW w:w="3292" w:type="dxa"/>
            <w:vMerge w:val="restart"/>
          </w:tcPr>
          <w:p>
            <w:pPr>
              <w:pStyle w:val="TableParagraph"/>
              <w:spacing w:before="41"/>
              <w:ind w:left="176"/>
              <w:rPr>
                <w:sz w:val="20"/>
              </w:rPr>
            </w:pPr>
            <w:r>
              <w:rPr>
                <w:sz w:val="20"/>
              </w:rPr>
              <w:t>опухоль</w:t>
            </w:r>
            <w:r>
              <w:rPr>
                <w:spacing w:val="-10"/>
                <w:sz w:val="20"/>
              </w:rPr>
              <w:t> </w:t>
            </w:r>
            <w:r>
              <w:rPr>
                <w:sz w:val="20"/>
              </w:rPr>
              <w:t>вилочковой</w:t>
            </w:r>
            <w:r>
              <w:rPr>
                <w:spacing w:val="-10"/>
                <w:sz w:val="20"/>
              </w:rPr>
              <w:t> </w:t>
            </w:r>
            <w:r>
              <w:rPr>
                <w:spacing w:val="-2"/>
                <w:sz w:val="20"/>
              </w:rPr>
              <w:t>железы</w:t>
            </w:r>
          </w:p>
          <w:p>
            <w:pPr>
              <w:pStyle w:val="TableParagraph"/>
              <w:spacing w:line="249" w:lineRule="auto" w:before="11"/>
              <w:ind w:left="176"/>
              <w:rPr>
                <w:sz w:val="20"/>
              </w:rPr>
            </w:pPr>
            <w:r>
              <w:rPr>
                <w:sz w:val="20"/>
              </w:rPr>
              <w:t>(I</w:t>
            </w:r>
            <w:r>
              <w:rPr>
                <w:spacing w:val="-7"/>
                <w:sz w:val="20"/>
              </w:rPr>
              <w:t> </w:t>
            </w:r>
            <w:r>
              <w:rPr>
                <w:sz w:val="20"/>
              </w:rPr>
              <w:t>-</w:t>
            </w:r>
            <w:r>
              <w:rPr>
                <w:spacing w:val="-10"/>
                <w:sz w:val="20"/>
              </w:rPr>
              <w:t> </w:t>
            </w:r>
            <w:r>
              <w:rPr>
                <w:sz w:val="20"/>
              </w:rPr>
              <w:t>II</w:t>
            </w:r>
            <w:r>
              <w:rPr>
                <w:spacing w:val="-8"/>
                <w:sz w:val="20"/>
              </w:rPr>
              <w:t> </w:t>
            </w:r>
            <w:r>
              <w:rPr>
                <w:sz w:val="20"/>
              </w:rPr>
              <w:t>стадия).</w:t>
            </w:r>
            <w:r>
              <w:rPr>
                <w:spacing w:val="-7"/>
                <w:sz w:val="20"/>
              </w:rPr>
              <w:t> </w:t>
            </w:r>
            <w:r>
              <w:rPr>
                <w:sz w:val="20"/>
              </w:rPr>
              <w:t>Опухоль</w:t>
            </w:r>
            <w:r>
              <w:rPr>
                <w:spacing w:val="-8"/>
                <w:sz w:val="20"/>
              </w:rPr>
              <w:t> </w:t>
            </w:r>
            <w:r>
              <w:rPr>
                <w:sz w:val="20"/>
              </w:rPr>
              <w:t>переднего, заднего средостения (начальные формы). Метастатическое поражение средостения</w:t>
            </w:r>
          </w:p>
        </w:tc>
        <w:tc>
          <w:tcPr>
            <w:tcW w:w="1558" w:type="dxa"/>
          </w:tcPr>
          <w:p>
            <w:pPr>
              <w:pStyle w:val="TableParagraph"/>
              <w:spacing w:line="252" w:lineRule="auto" w:before="41"/>
              <w:ind w:left="192"/>
              <w:rPr>
                <w:sz w:val="20"/>
              </w:rPr>
            </w:pPr>
            <w:r>
              <w:rPr>
                <w:spacing w:val="-2"/>
                <w:sz w:val="20"/>
              </w:rPr>
              <w:t>хирургическое лечение</w:t>
            </w:r>
          </w:p>
        </w:tc>
        <w:tc>
          <w:tcPr>
            <w:tcW w:w="3700" w:type="dxa"/>
          </w:tcPr>
          <w:p>
            <w:pPr>
              <w:pStyle w:val="TableParagraph"/>
              <w:spacing w:line="252" w:lineRule="auto" w:before="41"/>
              <w:ind w:left="108" w:right="11"/>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w:t>
            </w:r>
            <w:r>
              <w:rPr>
                <w:spacing w:val="-2"/>
                <w:sz w:val="20"/>
              </w:rPr>
              <w:t>средостения</w:t>
            </w:r>
          </w:p>
        </w:tc>
      </w:tr>
      <w:tr>
        <w:trPr>
          <w:trHeight w:val="827" w:hRule="atLeast"/>
        </w:trPr>
        <w:tc>
          <w:tcPr>
            <w:tcW w:w="1777" w:type="dxa"/>
          </w:tcPr>
          <w:p>
            <w:pPr>
              <w:pStyle w:val="TableParagraph"/>
              <w:rPr>
                <w:sz w:val="18"/>
              </w:rPr>
            </w:pPr>
          </w:p>
        </w:tc>
        <w:tc>
          <w:tcPr>
            <w:tcW w:w="3292" w:type="dxa"/>
            <w:vMerge/>
            <w:tcBorders>
              <w:top w:val="nil"/>
            </w:tcBorders>
          </w:tcPr>
          <w:p>
            <w:pPr>
              <w:rPr>
                <w:sz w:val="2"/>
                <w:szCs w:val="2"/>
              </w:rPr>
            </w:pPr>
          </w:p>
        </w:tc>
        <w:tc>
          <w:tcPr>
            <w:tcW w:w="1558" w:type="dxa"/>
          </w:tcPr>
          <w:p>
            <w:pPr>
              <w:pStyle w:val="TableParagraph"/>
              <w:rPr>
                <w:sz w:val="18"/>
              </w:rPr>
            </w:pPr>
          </w:p>
        </w:tc>
        <w:tc>
          <w:tcPr>
            <w:tcW w:w="3700" w:type="dxa"/>
          </w:tcPr>
          <w:p>
            <w:pPr>
              <w:pStyle w:val="TableParagraph"/>
              <w:spacing w:line="249" w:lineRule="auto" w:before="60"/>
              <w:ind w:left="108" w:right="11"/>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средостения с медиастинальной </w:t>
            </w:r>
            <w:r>
              <w:rPr>
                <w:spacing w:val="-2"/>
                <w:sz w:val="20"/>
              </w:rPr>
              <w:t>лимфаденэктомией</w:t>
            </w:r>
          </w:p>
        </w:tc>
      </w:tr>
      <w:tr>
        <w:trPr>
          <w:trHeight w:val="520" w:hRule="atLeast"/>
        </w:trPr>
        <w:tc>
          <w:tcPr>
            <w:tcW w:w="1777" w:type="dxa"/>
          </w:tcPr>
          <w:p>
            <w:pPr>
              <w:pStyle w:val="TableParagraph"/>
              <w:spacing w:before="51"/>
              <w:ind w:left="434" w:right="554"/>
              <w:jc w:val="center"/>
              <w:rPr>
                <w:sz w:val="20"/>
              </w:rPr>
            </w:pPr>
            <w:r>
              <w:rPr>
                <w:spacing w:val="-4"/>
                <w:sz w:val="20"/>
              </w:rPr>
              <w:t>C48.0</w:t>
            </w:r>
          </w:p>
        </w:tc>
        <w:tc>
          <w:tcPr>
            <w:tcW w:w="3292" w:type="dxa"/>
          </w:tcPr>
          <w:p>
            <w:pPr>
              <w:pStyle w:val="TableParagraph"/>
              <w:spacing w:line="240" w:lineRule="atLeast" w:before="21"/>
              <w:ind w:left="176" w:right="322"/>
              <w:rPr>
                <w:sz w:val="20"/>
              </w:rPr>
            </w:pPr>
            <w:r>
              <w:rPr>
                <w:sz w:val="20"/>
              </w:rPr>
              <w:t>неорганные злокачественные новообразования</w:t>
            </w:r>
            <w:r>
              <w:rPr>
                <w:spacing w:val="-13"/>
                <w:sz w:val="20"/>
              </w:rPr>
              <w:t> </w:t>
            </w:r>
            <w:r>
              <w:rPr>
                <w:sz w:val="20"/>
              </w:rPr>
              <w:t>забрюшинного</w:t>
            </w:r>
          </w:p>
        </w:tc>
        <w:tc>
          <w:tcPr>
            <w:tcW w:w="1558" w:type="dxa"/>
          </w:tcPr>
          <w:p>
            <w:pPr>
              <w:pStyle w:val="TableParagraph"/>
              <w:spacing w:line="240" w:lineRule="atLeast" w:before="21"/>
              <w:ind w:left="192"/>
              <w:rPr>
                <w:sz w:val="20"/>
              </w:rPr>
            </w:pPr>
            <w:r>
              <w:rPr>
                <w:spacing w:val="-2"/>
                <w:sz w:val="20"/>
              </w:rPr>
              <w:t>хирургическое лечение</w:t>
            </w:r>
          </w:p>
        </w:tc>
        <w:tc>
          <w:tcPr>
            <w:tcW w:w="3700" w:type="dxa"/>
          </w:tcPr>
          <w:p>
            <w:pPr>
              <w:pStyle w:val="TableParagraph"/>
              <w:spacing w:line="240" w:lineRule="atLeast" w:before="21"/>
              <w:ind w:left="108" w:right="11"/>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забрюшинного пространства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3364"/>
        <w:gridCol w:w="1461"/>
        <w:gridCol w:w="3701"/>
      </w:tblGrid>
      <w:tr>
        <w:trPr>
          <w:trHeight w:val="1010" w:hRule="atLeast"/>
        </w:trPr>
        <w:tc>
          <w:tcPr>
            <w:tcW w:w="1851" w:type="dxa"/>
          </w:tcPr>
          <w:p>
            <w:pPr>
              <w:pStyle w:val="TableParagraph"/>
              <w:rPr>
                <w:sz w:val="18"/>
              </w:rPr>
            </w:pPr>
          </w:p>
        </w:tc>
        <w:tc>
          <w:tcPr>
            <w:tcW w:w="3364" w:type="dxa"/>
          </w:tcPr>
          <w:p>
            <w:pPr>
              <w:pStyle w:val="TableParagraph"/>
              <w:spacing w:line="249" w:lineRule="auto"/>
              <w:ind w:left="150" w:right="50"/>
              <w:rPr>
                <w:sz w:val="20"/>
              </w:rPr>
            </w:pPr>
            <w:r>
              <w:rPr>
                <w:sz w:val="20"/>
              </w:rPr>
              <w:t>пространства</w:t>
            </w:r>
            <w:r>
              <w:rPr>
                <w:spacing w:val="-13"/>
                <w:sz w:val="20"/>
              </w:rPr>
              <w:t> </w:t>
            </w:r>
            <w:r>
              <w:rPr>
                <w:sz w:val="20"/>
              </w:rPr>
              <w:t>(первичные</w:t>
            </w:r>
            <w:r>
              <w:rPr>
                <w:spacing w:val="-12"/>
                <w:sz w:val="20"/>
              </w:rPr>
              <w:t> </w:t>
            </w:r>
            <w:r>
              <w:rPr>
                <w:sz w:val="20"/>
              </w:rPr>
              <w:t>и </w:t>
            </w:r>
            <w:r>
              <w:rPr>
                <w:spacing w:val="-2"/>
                <w:sz w:val="20"/>
              </w:rPr>
              <w:t>рецидивные)</w:t>
            </w:r>
          </w:p>
        </w:tc>
        <w:tc>
          <w:tcPr>
            <w:tcW w:w="1461" w:type="dxa"/>
          </w:tcPr>
          <w:p>
            <w:pPr>
              <w:pStyle w:val="TableParagraph"/>
              <w:rPr>
                <w:sz w:val="18"/>
              </w:rPr>
            </w:pPr>
          </w:p>
        </w:tc>
        <w:tc>
          <w:tcPr>
            <w:tcW w:w="3701" w:type="dxa"/>
          </w:tcPr>
          <w:p>
            <w:pPr>
              <w:pStyle w:val="TableParagraph"/>
              <w:spacing w:line="249" w:lineRule="auto"/>
              <w:ind w:left="107"/>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забрюшинного пространства с паракавальной, парааортальной, забрюшинной лимфаденэктомией</w:t>
            </w:r>
          </w:p>
        </w:tc>
      </w:tr>
      <w:tr>
        <w:trPr>
          <w:trHeight w:val="1080" w:hRule="atLeast"/>
        </w:trPr>
        <w:tc>
          <w:tcPr>
            <w:tcW w:w="1851" w:type="dxa"/>
          </w:tcPr>
          <w:p>
            <w:pPr>
              <w:pStyle w:val="TableParagraph"/>
              <w:spacing w:before="60"/>
              <w:ind w:left="40" w:right="139"/>
              <w:jc w:val="center"/>
              <w:rPr>
                <w:sz w:val="20"/>
              </w:rPr>
            </w:pPr>
            <w:r>
              <w:rPr>
                <w:sz w:val="20"/>
              </w:rPr>
              <w:t>C50.2,</w:t>
            </w:r>
            <w:r>
              <w:rPr>
                <w:spacing w:val="-5"/>
                <w:sz w:val="20"/>
              </w:rPr>
              <w:t> </w:t>
            </w:r>
            <w:r>
              <w:rPr>
                <w:sz w:val="20"/>
              </w:rPr>
              <w:t>C50.3,</w:t>
            </w:r>
            <w:r>
              <w:rPr>
                <w:spacing w:val="-5"/>
                <w:sz w:val="20"/>
              </w:rPr>
              <w:t> </w:t>
            </w:r>
            <w:r>
              <w:rPr>
                <w:spacing w:val="-2"/>
                <w:sz w:val="20"/>
              </w:rPr>
              <w:t>C50.9</w:t>
            </w:r>
          </w:p>
        </w:tc>
        <w:tc>
          <w:tcPr>
            <w:tcW w:w="3364" w:type="dxa"/>
          </w:tcPr>
          <w:p>
            <w:pPr>
              <w:pStyle w:val="TableParagraph"/>
              <w:spacing w:line="249" w:lineRule="auto" w:before="60"/>
              <w:ind w:left="150" w:right="50"/>
              <w:rPr>
                <w:sz w:val="20"/>
              </w:rPr>
            </w:pPr>
            <w:r>
              <w:rPr>
                <w:sz w:val="20"/>
              </w:rPr>
              <w:t>злокачественные новообразования молочной</w:t>
            </w:r>
            <w:r>
              <w:rPr>
                <w:spacing w:val="-10"/>
                <w:sz w:val="20"/>
              </w:rPr>
              <w:t> </w:t>
            </w:r>
            <w:r>
              <w:rPr>
                <w:sz w:val="20"/>
              </w:rPr>
              <w:t>железы</w:t>
            </w:r>
            <w:r>
              <w:rPr>
                <w:spacing w:val="-9"/>
                <w:sz w:val="20"/>
              </w:rPr>
              <w:t> </w:t>
            </w:r>
            <w:r>
              <w:rPr>
                <w:sz w:val="20"/>
              </w:rPr>
              <w:t>Iia,</w:t>
            </w:r>
            <w:r>
              <w:rPr>
                <w:spacing w:val="-9"/>
                <w:sz w:val="20"/>
              </w:rPr>
              <w:t> </w:t>
            </w:r>
            <w:r>
              <w:rPr>
                <w:sz w:val="20"/>
              </w:rPr>
              <w:t>Iib,</w:t>
            </w:r>
            <w:r>
              <w:rPr>
                <w:spacing w:val="-9"/>
                <w:sz w:val="20"/>
              </w:rPr>
              <w:t> </w:t>
            </w:r>
            <w:r>
              <w:rPr>
                <w:sz w:val="20"/>
              </w:rPr>
              <w:t>IIIa</w:t>
            </w:r>
            <w:r>
              <w:rPr>
                <w:spacing w:val="-9"/>
                <w:sz w:val="20"/>
              </w:rPr>
              <w:t> </w:t>
            </w:r>
            <w:r>
              <w:rPr>
                <w:sz w:val="20"/>
              </w:rPr>
              <w:t>стадии</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ight="133"/>
              <w:rPr>
                <w:sz w:val="20"/>
              </w:rPr>
            </w:pPr>
            <w:r>
              <w:rPr>
                <w:sz w:val="20"/>
              </w:rPr>
              <w:t>радикальная мастэктомия или радикальная резекция с видеоассистированной</w:t>
            </w:r>
            <w:r>
              <w:rPr>
                <w:spacing w:val="-13"/>
                <w:sz w:val="20"/>
              </w:rPr>
              <w:t> </w:t>
            </w:r>
            <w:r>
              <w:rPr>
                <w:sz w:val="20"/>
              </w:rPr>
              <w:t>парастернальной </w:t>
            </w:r>
            <w:r>
              <w:rPr>
                <w:spacing w:val="-2"/>
                <w:sz w:val="20"/>
              </w:rPr>
              <w:t>лимфаденэктомией</w:t>
            </w:r>
          </w:p>
        </w:tc>
      </w:tr>
      <w:tr>
        <w:trPr>
          <w:trHeight w:val="600" w:hRule="atLeast"/>
        </w:trPr>
        <w:tc>
          <w:tcPr>
            <w:tcW w:w="1851" w:type="dxa"/>
          </w:tcPr>
          <w:p>
            <w:pPr>
              <w:pStyle w:val="TableParagraph"/>
              <w:spacing w:before="60"/>
              <w:ind w:left="39" w:right="139"/>
              <w:jc w:val="center"/>
              <w:rPr>
                <w:sz w:val="20"/>
              </w:rPr>
            </w:pPr>
            <w:r>
              <w:rPr>
                <w:spacing w:val="-5"/>
                <w:sz w:val="20"/>
              </w:rPr>
              <w:t>C53</w:t>
            </w:r>
          </w:p>
        </w:tc>
        <w:tc>
          <w:tcPr>
            <w:tcW w:w="3364" w:type="dxa"/>
            <w:vMerge w:val="restart"/>
          </w:tcPr>
          <w:p>
            <w:pPr>
              <w:pStyle w:val="TableParagraph"/>
              <w:spacing w:line="249" w:lineRule="auto" w:before="60"/>
              <w:ind w:left="150" w:right="246"/>
              <w:rPr>
                <w:sz w:val="20"/>
              </w:rPr>
            </w:pPr>
            <w:r>
              <w:rPr>
                <w:sz w:val="20"/>
              </w:rPr>
              <w:t>злокачественные</w:t>
            </w:r>
            <w:r>
              <w:rPr>
                <w:spacing w:val="-13"/>
                <w:sz w:val="20"/>
              </w:rPr>
              <w:t> </w:t>
            </w:r>
            <w:r>
              <w:rPr>
                <w:sz w:val="20"/>
              </w:rPr>
              <w:t>новообразования шейки матки (I - III стадия).</w:t>
            </w:r>
          </w:p>
          <w:p>
            <w:pPr>
              <w:pStyle w:val="TableParagraph"/>
              <w:spacing w:line="249" w:lineRule="auto" w:before="2"/>
              <w:ind w:left="150" w:right="334"/>
              <w:rPr>
                <w:sz w:val="20"/>
              </w:rPr>
            </w:pPr>
            <w:r>
              <w:rPr>
                <w:sz w:val="20"/>
              </w:rPr>
              <w:t>Местнораспространенные</w:t>
            </w:r>
            <w:r>
              <w:rPr>
                <w:spacing w:val="-13"/>
                <w:sz w:val="20"/>
              </w:rPr>
              <w:t> </w:t>
            </w:r>
            <w:r>
              <w:rPr>
                <w:sz w:val="20"/>
              </w:rPr>
              <w:t>формы рака шейки матки, осложненные </w:t>
            </w:r>
            <w:r>
              <w:rPr>
                <w:spacing w:val="-2"/>
                <w:sz w:val="20"/>
              </w:rPr>
              <w:t>кровотечением</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ight="472"/>
              <w:rPr>
                <w:sz w:val="20"/>
              </w:rPr>
            </w:pPr>
            <w:r>
              <w:rPr>
                <w:sz w:val="20"/>
              </w:rPr>
              <w:t>видеоэндоскопическая</w:t>
            </w:r>
            <w:r>
              <w:rPr>
                <w:spacing w:val="-13"/>
                <w:sz w:val="20"/>
              </w:rPr>
              <w:t> </w:t>
            </w:r>
            <w:r>
              <w:rPr>
                <w:sz w:val="20"/>
              </w:rPr>
              <w:t>расширенная экстирпация матки с придатками</w:t>
            </w:r>
          </w:p>
        </w:tc>
      </w:tr>
      <w:tr>
        <w:trPr>
          <w:trHeight w:val="840" w:hRule="atLeast"/>
        </w:trPr>
        <w:tc>
          <w:tcPr>
            <w:tcW w:w="1851" w:type="dxa"/>
          </w:tcPr>
          <w:p>
            <w:pPr>
              <w:pStyle w:val="TableParagraph"/>
              <w:rPr>
                <w:sz w:val="18"/>
              </w:rPr>
            </w:pPr>
          </w:p>
        </w:tc>
        <w:tc>
          <w:tcPr>
            <w:tcW w:w="3364" w:type="dxa"/>
            <w:vMerge/>
            <w:tcBorders>
              <w:top w:val="nil"/>
            </w:tcBorders>
          </w:tcPr>
          <w:p>
            <w:pPr>
              <w:rPr>
                <w:sz w:val="2"/>
                <w:szCs w:val="2"/>
              </w:rPr>
            </w:pPr>
          </w:p>
        </w:tc>
        <w:tc>
          <w:tcPr>
            <w:tcW w:w="1461" w:type="dxa"/>
          </w:tcPr>
          <w:p>
            <w:pPr>
              <w:pStyle w:val="TableParagraph"/>
              <w:rPr>
                <w:sz w:val="18"/>
              </w:rPr>
            </w:pPr>
          </w:p>
        </w:tc>
        <w:tc>
          <w:tcPr>
            <w:tcW w:w="3701" w:type="dxa"/>
          </w:tcPr>
          <w:p>
            <w:pPr>
              <w:pStyle w:val="TableParagraph"/>
              <w:spacing w:line="249" w:lineRule="auto" w:before="60"/>
              <w:ind w:left="107" w:right="480"/>
              <w:jc w:val="both"/>
              <w:rPr>
                <w:sz w:val="20"/>
              </w:rPr>
            </w:pPr>
            <w:r>
              <w:rPr>
                <w:sz w:val="20"/>
              </w:rPr>
              <w:t>видеоэндоскопическая</w:t>
            </w:r>
            <w:r>
              <w:rPr>
                <w:spacing w:val="-13"/>
                <w:sz w:val="20"/>
              </w:rPr>
              <w:t> </w:t>
            </w:r>
            <w:r>
              <w:rPr>
                <w:sz w:val="20"/>
              </w:rPr>
              <w:t>расширенная экстирпация</w:t>
            </w:r>
            <w:r>
              <w:rPr>
                <w:spacing w:val="-6"/>
                <w:sz w:val="20"/>
              </w:rPr>
              <w:t> </w:t>
            </w:r>
            <w:r>
              <w:rPr>
                <w:sz w:val="20"/>
              </w:rPr>
              <w:t>матки</w:t>
            </w:r>
            <w:r>
              <w:rPr>
                <w:spacing w:val="-6"/>
                <w:sz w:val="20"/>
              </w:rPr>
              <w:t> </w:t>
            </w:r>
            <w:r>
              <w:rPr>
                <w:sz w:val="20"/>
              </w:rPr>
              <w:t>с</w:t>
            </w:r>
            <w:r>
              <w:rPr>
                <w:spacing w:val="-5"/>
                <w:sz w:val="20"/>
              </w:rPr>
              <w:t> </w:t>
            </w:r>
            <w:r>
              <w:rPr>
                <w:sz w:val="20"/>
              </w:rPr>
              <w:t>транспозицией </w:t>
            </w:r>
            <w:r>
              <w:rPr>
                <w:spacing w:val="-2"/>
                <w:sz w:val="20"/>
              </w:rPr>
              <w:t>яичников</w:t>
            </w:r>
          </w:p>
        </w:tc>
      </w:tr>
      <w:tr>
        <w:trPr>
          <w:trHeight w:val="840" w:hRule="atLeast"/>
        </w:trPr>
        <w:tc>
          <w:tcPr>
            <w:tcW w:w="1851" w:type="dxa"/>
          </w:tcPr>
          <w:p>
            <w:pPr>
              <w:pStyle w:val="TableParagraph"/>
              <w:spacing w:before="60"/>
              <w:ind w:left="39" w:right="139"/>
              <w:jc w:val="center"/>
              <w:rPr>
                <w:sz w:val="20"/>
              </w:rPr>
            </w:pPr>
            <w:r>
              <w:rPr>
                <w:spacing w:val="-5"/>
                <w:sz w:val="20"/>
              </w:rPr>
              <w:t>C54</w:t>
            </w:r>
          </w:p>
        </w:tc>
        <w:tc>
          <w:tcPr>
            <w:tcW w:w="3364" w:type="dxa"/>
          </w:tcPr>
          <w:p>
            <w:pPr>
              <w:pStyle w:val="TableParagraph"/>
              <w:spacing w:line="249" w:lineRule="auto" w:before="60"/>
              <w:ind w:left="150" w:right="246"/>
              <w:rPr>
                <w:sz w:val="20"/>
              </w:rPr>
            </w:pPr>
            <w:r>
              <w:rPr>
                <w:sz w:val="20"/>
              </w:rPr>
              <w:t>злокачественные</w:t>
            </w:r>
            <w:r>
              <w:rPr>
                <w:spacing w:val="-13"/>
                <w:sz w:val="20"/>
              </w:rPr>
              <w:t> </w:t>
            </w:r>
            <w:r>
              <w:rPr>
                <w:sz w:val="20"/>
              </w:rPr>
              <w:t>новообразования эндометрия in situ - III стадия</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ight="526"/>
              <w:rPr>
                <w:sz w:val="20"/>
              </w:rPr>
            </w:pPr>
            <w:r>
              <w:rPr>
                <w:sz w:val="20"/>
              </w:rPr>
              <w:t>видеоэндоскопическая</w:t>
            </w:r>
            <w:r>
              <w:rPr>
                <w:spacing w:val="-13"/>
                <w:sz w:val="20"/>
              </w:rPr>
              <w:t> </w:t>
            </w:r>
            <w:r>
              <w:rPr>
                <w:sz w:val="20"/>
              </w:rPr>
              <w:t>экстирпация матки с придатками и тазовой </w:t>
            </w:r>
            <w:r>
              <w:rPr>
                <w:spacing w:val="-2"/>
                <w:sz w:val="20"/>
              </w:rPr>
              <w:t>лимфаденэктомией</w:t>
            </w:r>
          </w:p>
        </w:tc>
      </w:tr>
      <w:tr>
        <w:trPr>
          <w:trHeight w:val="600" w:hRule="atLeast"/>
        </w:trPr>
        <w:tc>
          <w:tcPr>
            <w:tcW w:w="1851" w:type="dxa"/>
          </w:tcPr>
          <w:p>
            <w:pPr>
              <w:pStyle w:val="TableParagraph"/>
              <w:rPr>
                <w:sz w:val="18"/>
              </w:rPr>
            </w:pPr>
          </w:p>
        </w:tc>
        <w:tc>
          <w:tcPr>
            <w:tcW w:w="3364" w:type="dxa"/>
          </w:tcPr>
          <w:p>
            <w:pPr>
              <w:pStyle w:val="TableParagraph"/>
              <w:rPr>
                <w:sz w:val="18"/>
              </w:rPr>
            </w:pPr>
          </w:p>
        </w:tc>
        <w:tc>
          <w:tcPr>
            <w:tcW w:w="1461" w:type="dxa"/>
          </w:tcPr>
          <w:p>
            <w:pPr>
              <w:pStyle w:val="TableParagraph"/>
              <w:rPr>
                <w:sz w:val="18"/>
              </w:rPr>
            </w:pPr>
          </w:p>
        </w:tc>
        <w:tc>
          <w:tcPr>
            <w:tcW w:w="3701" w:type="dxa"/>
          </w:tcPr>
          <w:p>
            <w:pPr>
              <w:pStyle w:val="TableParagraph"/>
              <w:spacing w:line="249" w:lineRule="auto" w:before="60"/>
              <w:ind w:left="107"/>
              <w:rPr>
                <w:sz w:val="20"/>
              </w:rPr>
            </w:pPr>
            <w:r>
              <w:rPr>
                <w:sz w:val="20"/>
              </w:rPr>
              <w:t>экстирпация</w:t>
            </w:r>
            <w:r>
              <w:rPr>
                <w:spacing w:val="-13"/>
                <w:sz w:val="20"/>
              </w:rPr>
              <w:t> </w:t>
            </w:r>
            <w:r>
              <w:rPr>
                <w:sz w:val="20"/>
              </w:rPr>
              <w:t>матки</w:t>
            </w:r>
            <w:r>
              <w:rPr>
                <w:spacing w:val="-12"/>
                <w:sz w:val="20"/>
              </w:rPr>
              <w:t> </w:t>
            </w:r>
            <w:r>
              <w:rPr>
                <w:sz w:val="20"/>
              </w:rPr>
              <w:t>расширенная </w:t>
            </w:r>
            <w:r>
              <w:rPr>
                <w:spacing w:val="-2"/>
                <w:sz w:val="20"/>
              </w:rPr>
              <w:t>видеоэндоскопическая</w:t>
            </w:r>
          </w:p>
        </w:tc>
      </w:tr>
      <w:tr>
        <w:trPr>
          <w:trHeight w:val="1080" w:hRule="atLeast"/>
        </w:trPr>
        <w:tc>
          <w:tcPr>
            <w:tcW w:w="1851" w:type="dxa"/>
          </w:tcPr>
          <w:p>
            <w:pPr>
              <w:pStyle w:val="TableParagraph"/>
              <w:spacing w:before="60"/>
              <w:ind w:left="40" w:right="137"/>
              <w:jc w:val="center"/>
              <w:rPr>
                <w:sz w:val="20"/>
              </w:rPr>
            </w:pPr>
            <w:r>
              <w:rPr>
                <w:sz w:val="20"/>
              </w:rPr>
              <w:t>C54,</w:t>
            </w:r>
            <w:r>
              <w:rPr>
                <w:spacing w:val="-2"/>
                <w:sz w:val="20"/>
              </w:rPr>
              <w:t> </w:t>
            </w:r>
            <w:r>
              <w:rPr>
                <w:spacing w:val="-5"/>
                <w:sz w:val="20"/>
              </w:rPr>
              <w:t>C55</w:t>
            </w:r>
          </w:p>
        </w:tc>
        <w:tc>
          <w:tcPr>
            <w:tcW w:w="3364" w:type="dxa"/>
          </w:tcPr>
          <w:p>
            <w:pPr>
              <w:pStyle w:val="TableParagraph"/>
              <w:spacing w:line="249" w:lineRule="auto" w:before="60"/>
              <w:ind w:left="150" w:right="219"/>
              <w:rPr>
                <w:sz w:val="20"/>
              </w:rPr>
            </w:pPr>
            <w:r>
              <w:rPr>
                <w:sz w:val="20"/>
              </w:rPr>
              <w:t>местнораспространенные формы злокачественных</w:t>
            </w:r>
            <w:r>
              <w:rPr>
                <w:spacing w:val="-13"/>
                <w:sz w:val="20"/>
              </w:rPr>
              <w:t> </w:t>
            </w:r>
            <w:r>
              <w:rPr>
                <w:sz w:val="20"/>
              </w:rPr>
              <w:t>новообразований тела матки, осложненных </w:t>
            </w:r>
            <w:r>
              <w:rPr>
                <w:spacing w:val="-2"/>
                <w:sz w:val="20"/>
              </w:rPr>
              <w:t>кровотечением</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Pr>
                <w:sz w:val="20"/>
              </w:rPr>
            </w:pPr>
            <w:r>
              <w:rPr>
                <w:sz w:val="20"/>
              </w:rPr>
              <w:t>селективная эмболизация (химиоэмболизация)</w:t>
            </w:r>
            <w:r>
              <w:rPr>
                <w:spacing w:val="-13"/>
                <w:sz w:val="20"/>
              </w:rPr>
              <w:t> </w:t>
            </w:r>
            <w:r>
              <w:rPr>
                <w:sz w:val="20"/>
              </w:rPr>
              <w:t>маточных</w:t>
            </w:r>
            <w:r>
              <w:rPr>
                <w:spacing w:val="-12"/>
                <w:sz w:val="20"/>
              </w:rPr>
              <w:t> </w:t>
            </w:r>
            <w:r>
              <w:rPr>
                <w:sz w:val="20"/>
              </w:rPr>
              <w:t>артерий</w:t>
            </w:r>
          </w:p>
        </w:tc>
      </w:tr>
      <w:tr>
        <w:trPr>
          <w:trHeight w:val="840" w:hRule="atLeast"/>
        </w:trPr>
        <w:tc>
          <w:tcPr>
            <w:tcW w:w="1851" w:type="dxa"/>
          </w:tcPr>
          <w:p>
            <w:pPr>
              <w:pStyle w:val="TableParagraph"/>
              <w:spacing w:before="60"/>
              <w:ind w:left="39" w:right="139"/>
              <w:jc w:val="center"/>
              <w:rPr>
                <w:sz w:val="20"/>
              </w:rPr>
            </w:pPr>
            <w:r>
              <w:rPr>
                <w:spacing w:val="-5"/>
                <w:sz w:val="20"/>
              </w:rPr>
              <w:t>C56</w:t>
            </w:r>
          </w:p>
        </w:tc>
        <w:tc>
          <w:tcPr>
            <w:tcW w:w="3364" w:type="dxa"/>
          </w:tcPr>
          <w:p>
            <w:pPr>
              <w:pStyle w:val="TableParagraph"/>
              <w:spacing w:line="249" w:lineRule="auto" w:before="60"/>
              <w:ind w:left="150" w:right="246"/>
              <w:rPr>
                <w:sz w:val="20"/>
              </w:rPr>
            </w:pPr>
            <w:r>
              <w:rPr>
                <w:sz w:val="20"/>
              </w:rPr>
              <w:t>злокачественные</w:t>
            </w:r>
            <w:r>
              <w:rPr>
                <w:spacing w:val="-13"/>
                <w:sz w:val="20"/>
              </w:rPr>
              <w:t> </w:t>
            </w:r>
            <w:r>
              <w:rPr>
                <w:sz w:val="20"/>
              </w:rPr>
              <w:t>новообразования яичников I стадии</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Pr>
                <w:sz w:val="20"/>
              </w:rPr>
            </w:pPr>
            <w:r>
              <w:rPr>
                <w:sz w:val="20"/>
              </w:rPr>
              <w:t>лапароскопическая</w:t>
            </w:r>
            <w:r>
              <w:rPr>
                <w:spacing w:val="-13"/>
                <w:sz w:val="20"/>
              </w:rPr>
              <w:t> </w:t>
            </w:r>
            <w:r>
              <w:rPr>
                <w:sz w:val="20"/>
              </w:rPr>
              <w:t>экстирпация</w:t>
            </w:r>
            <w:r>
              <w:rPr>
                <w:spacing w:val="-12"/>
                <w:sz w:val="20"/>
              </w:rPr>
              <w:t> </w:t>
            </w:r>
            <w:r>
              <w:rPr>
                <w:sz w:val="20"/>
              </w:rPr>
              <w:t>матки</w:t>
            </w:r>
            <w:r>
              <w:rPr>
                <w:spacing w:val="-13"/>
                <w:sz w:val="20"/>
              </w:rPr>
              <w:t> </w:t>
            </w:r>
            <w:r>
              <w:rPr>
                <w:sz w:val="20"/>
              </w:rPr>
              <w:t>с придатками, субтотальная резекция большого сальника</w:t>
            </w:r>
          </w:p>
        </w:tc>
      </w:tr>
      <w:tr>
        <w:trPr>
          <w:trHeight w:val="770" w:hRule="atLeast"/>
        </w:trPr>
        <w:tc>
          <w:tcPr>
            <w:tcW w:w="1851" w:type="dxa"/>
          </w:tcPr>
          <w:p>
            <w:pPr>
              <w:pStyle w:val="TableParagraph"/>
              <w:spacing w:before="60"/>
              <w:ind w:left="39" w:right="139"/>
              <w:jc w:val="center"/>
              <w:rPr>
                <w:sz w:val="20"/>
              </w:rPr>
            </w:pPr>
            <w:r>
              <w:rPr>
                <w:spacing w:val="-5"/>
                <w:sz w:val="20"/>
              </w:rPr>
              <w:t>C61</w:t>
            </w:r>
          </w:p>
        </w:tc>
        <w:tc>
          <w:tcPr>
            <w:tcW w:w="3364" w:type="dxa"/>
          </w:tcPr>
          <w:p>
            <w:pPr>
              <w:pStyle w:val="TableParagraph"/>
              <w:spacing w:line="240" w:lineRule="atLeast" w:before="30"/>
              <w:ind w:left="150" w:right="324"/>
              <w:jc w:val="both"/>
              <w:rPr>
                <w:sz w:val="20"/>
              </w:rPr>
            </w:pPr>
            <w:r>
              <w:rPr>
                <w:spacing w:val="-2"/>
                <w:sz w:val="20"/>
              </w:rPr>
              <w:t>локализованные злокачественные </w:t>
            </w:r>
            <w:r>
              <w:rPr>
                <w:sz w:val="20"/>
              </w:rPr>
              <w:t>новообразования</w:t>
            </w:r>
            <w:r>
              <w:rPr>
                <w:spacing w:val="-5"/>
                <w:sz w:val="20"/>
              </w:rPr>
              <w:t> </w:t>
            </w:r>
            <w:r>
              <w:rPr>
                <w:sz w:val="20"/>
              </w:rPr>
              <w:t>предстательной железы I стадии (T1a-T2cNxMo)</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before="60"/>
              <w:ind w:left="107"/>
              <w:rPr>
                <w:sz w:val="20"/>
              </w:rPr>
            </w:pPr>
            <w:r>
              <w:rPr>
                <w:w w:val="95"/>
                <w:sz w:val="20"/>
              </w:rPr>
              <w:t>лапароскопическая</w:t>
            </w:r>
            <w:r>
              <w:rPr>
                <w:spacing w:val="64"/>
                <w:sz w:val="20"/>
              </w:rPr>
              <w:t> </w:t>
            </w:r>
            <w:r>
              <w:rPr>
                <w:spacing w:val="-2"/>
                <w:sz w:val="20"/>
              </w:rPr>
              <w:t>простатэктомия</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line="249" w:lineRule="auto" w:before="91"/>
        <w:ind w:left="5793" w:right="33" w:hanging="1294"/>
        <w:jc w:val="left"/>
        <w:rPr>
          <w:sz w:val="20"/>
        </w:rPr>
      </w:pPr>
      <w:r>
        <w:rPr>
          <w:spacing w:val="-4"/>
          <w:sz w:val="20"/>
        </w:rPr>
        <w:t>C64</w:t>
      </w:r>
      <w:r>
        <w:rPr>
          <w:sz w:val="20"/>
        </w:rPr>
        <w:tab/>
        <w:t>злокачественные новообразования почки</w:t>
      </w:r>
      <w:r>
        <w:rPr>
          <w:spacing w:val="-10"/>
          <w:sz w:val="20"/>
        </w:rPr>
        <w:t> </w:t>
      </w:r>
      <w:r>
        <w:rPr>
          <w:sz w:val="20"/>
        </w:rPr>
        <w:t>(I</w:t>
      </w:r>
      <w:r>
        <w:rPr>
          <w:spacing w:val="-7"/>
          <w:sz w:val="20"/>
        </w:rPr>
        <w:t> </w:t>
      </w:r>
      <w:r>
        <w:rPr>
          <w:sz w:val="20"/>
        </w:rPr>
        <w:t>-</w:t>
      </w:r>
      <w:r>
        <w:rPr>
          <w:spacing w:val="-11"/>
          <w:sz w:val="20"/>
        </w:rPr>
        <w:t> </w:t>
      </w:r>
      <w:r>
        <w:rPr>
          <w:sz w:val="20"/>
        </w:rPr>
        <w:t>III</w:t>
      </w:r>
      <w:r>
        <w:rPr>
          <w:spacing w:val="-9"/>
          <w:sz w:val="20"/>
        </w:rPr>
        <w:t> </w:t>
      </w:r>
      <w:r>
        <w:rPr>
          <w:sz w:val="20"/>
        </w:rPr>
        <w:t>стадия),</w:t>
      </w:r>
      <w:r>
        <w:rPr>
          <w:spacing w:val="-8"/>
          <w:sz w:val="20"/>
        </w:rPr>
        <w:t> </w:t>
      </w:r>
      <w:r>
        <w:rPr>
          <w:sz w:val="20"/>
        </w:rPr>
        <w:t>нефробластома</w:t>
      </w:r>
    </w:p>
    <w:p>
      <w:pPr>
        <w:tabs>
          <w:tab w:pos="5792" w:val="left" w:leader="none"/>
        </w:tabs>
        <w:spacing w:line="252" w:lineRule="auto" w:before="121"/>
        <w:ind w:left="5793" w:right="291" w:hanging="1294"/>
        <w:jc w:val="left"/>
        <w:rPr>
          <w:sz w:val="20"/>
        </w:rPr>
      </w:pPr>
      <w:r>
        <w:rPr>
          <w:spacing w:val="-4"/>
          <w:sz w:val="20"/>
        </w:rPr>
        <w:t>C64</w:t>
      </w:r>
      <w:r>
        <w:rPr>
          <w:sz w:val="20"/>
        </w:rPr>
        <w:tab/>
        <w:t>локализованные</w:t>
      </w:r>
      <w:r>
        <w:rPr>
          <w:spacing w:val="-13"/>
          <w:sz w:val="20"/>
        </w:rPr>
        <w:t> </w:t>
      </w:r>
      <w:r>
        <w:rPr>
          <w:sz w:val="20"/>
        </w:rPr>
        <w:t>злокачественные новообразования почки</w:t>
      </w:r>
    </w:p>
    <w:p>
      <w:pPr>
        <w:spacing w:line="249" w:lineRule="auto" w:before="0"/>
        <w:ind w:left="5793" w:right="496" w:firstLine="0"/>
        <w:jc w:val="left"/>
        <w:rPr>
          <w:sz w:val="20"/>
        </w:rPr>
      </w:pPr>
      <w:r>
        <w:rPr>
          <w:sz w:val="20"/>
        </w:rPr>
        <w:t>(I</w:t>
      </w:r>
      <w:r>
        <w:rPr>
          <w:spacing w:val="-9"/>
          <w:sz w:val="20"/>
        </w:rPr>
        <w:t> </w:t>
      </w:r>
      <w:r>
        <w:rPr>
          <w:sz w:val="20"/>
        </w:rPr>
        <w:t>-</w:t>
      </w:r>
      <w:r>
        <w:rPr>
          <w:spacing w:val="-12"/>
          <w:sz w:val="20"/>
        </w:rPr>
        <w:t> </w:t>
      </w:r>
      <w:r>
        <w:rPr>
          <w:sz w:val="20"/>
        </w:rPr>
        <w:t>IV</w:t>
      </w:r>
      <w:r>
        <w:rPr>
          <w:spacing w:val="-10"/>
          <w:sz w:val="20"/>
        </w:rPr>
        <w:t> </w:t>
      </w:r>
      <w:r>
        <w:rPr>
          <w:sz w:val="20"/>
        </w:rPr>
        <w:t>стадия),</w:t>
      </w:r>
      <w:r>
        <w:rPr>
          <w:spacing w:val="-9"/>
          <w:sz w:val="20"/>
        </w:rPr>
        <w:t> </w:t>
      </w:r>
      <w:r>
        <w:rPr>
          <w:sz w:val="20"/>
        </w:rPr>
        <w:t>нефробластома, в том числе двусторонняя</w:t>
      </w:r>
    </w:p>
    <w:p>
      <w:pPr>
        <w:spacing w:before="0"/>
        <w:ind w:left="5793" w:right="0" w:firstLine="0"/>
        <w:jc w:val="left"/>
        <w:rPr>
          <w:sz w:val="20"/>
        </w:rPr>
      </w:pPr>
      <w:r>
        <w:rPr>
          <w:w w:val="95"/>
          <w:sz w:val="20"/>
        </w:rPr>
        <w:t>(T1a-T2NxMo-</w:t>
      </w:r>
      <w:r>
        <w:rPr>
          <w:spacing w:val="-5"/>
          <w:w w:val="95"/>
          <w:sz w:val="20"/>
        </w:rPr>
        <w:t>M1)</w:t>
      </w:r>
    </w:p>
    <w:p>
      <w:pPr>
        <w:tabs>
          <w:tab w:pos="5792" w:val="left" w:leader="none"/>
        </w:tabs>
        <w:spacing w:before="130"/>
        <w:ind w:left="4283" w:right="0" w:firstLine="0"/>
        <w:jc w:val="left"/>
        <w:rPr>
          <w:sz w:val="20"/>
        </w:rPr>
      </w:pPr>
      <w:r>
        <w:rPr>
          <w:sz w:val="20"/>
        </w:rPr>
        <w:t>C66,</w:t>
      </w:r>
      <w:r>
        <w:rPr>
          <w:spacing w:val="-3"/>
          <w:sz w:val="20"/>
        </w:rPr>
        <w:t> </w:t>
      </w:r>
      <w:r>
        <w:rPr>
          <w:spacing w:val="-5"/>
          <w:sz w:val="20"/>
        </w:rPr>
        <w:t>C65</w:t>
      </w:r>
      <w:r>
        <w:rPr>
          <w:sz w:val="20"/>
        </w:rPr>
        <w:tab/>
      </w:r>
      <w:r>
        <w:rPr>
          <w:w w:val="95"/>
          <w:sz w:val="20"/>
        </w:rPr>
        <w:t>злокачественные</w:t>
      </w:r>
      <w:r>
        <w:rPr>
          <w:spacing w:val="56"/>
          <w:sz w:val="20"/>
        </w:rPr>
        <w:t> </w:t>
      </w:r>
      <w:r>
        <w:rPr>
          <w:spacing w:val="-2"/>
          <w:sz w:val="20"/>
        </w:rPr>
        <w:t>новообразования</w:t>
      </w:r>
    </w:p>
    <w:p>
      <w:pPr>
        <w:spacing w:line="249" w:lineRule="auto" w:before="10"/>
        <w:ind w:left="5793" w:right="328" w:firstLine="0"/>
        <w:jc w:val="left"/>
        <w:rPr>
          <w:sz w:val="20"/>
        </w:rPr>
      </w:pPr>
      <w:r>
        <w:rPr>
          <w:sz w:val="20"/>
        </w:rPr>
        <w:t>мочеточника,</w:t>
      </w:r>
      <w:r>
        <w:rPr>
          <w:spacing w:val="-13"/>
          <w:sz w:val="20"/>
        </w:rPr>
        <w:t> </w:t>
      </w:r>
      <w:r>
        <w:rPr>
          <w:sz w:val="20"/>
        </w:rPr>
        <w:t>почечной</w:t>
      </w:r>
      <w:r>
        <w:rPr>
          <w:spacing w:val="-12"/>
          <w:sz w:val="20"/>
        </w:rPr>
        <w:t> </w:t>
      </w:r>
      <w:r>
        <w:rPr>
          <w:sz w:val="20"/>
        </w:rPr>
        <w:t>лоханки (I - II стадия (T1a-T2NxMo)</w:t>
      </w:r>
    </w:p>
    <w:p>
      <w:pPr>
        <w:tabs>
          <w:tab w:pos="5792" w:val="left" w:leader="none"/>
        </w:tabs>
        <w:spacing w:line="249" w:lineRule="auto" w:before="121"/>
        <w:ind w:left="5793" w:right="89" w:hanging="1294"/>
        <w:jc w:val="left"/>
        <w:rPr>
          <w:sz w:val="20"/>
        </w:rPr>
      </w:pPr>
      <w:r>
        <w:rPr>
          <w:spacing w:val="-4"/>
          <w:sz w:val="20"/>
        </w:rPr>
        <w:t>C67</w:t>
      </w:r>
      <w:r>
        <w:rPr>
          <w:sz w:val="20"/>
        </w:rPr>
        <w:tab/>
        <w:t>локализованные злокачественные новообразования,</w:t>
      </w:r>
      <w:r>
        <w:rPr>
          <w:spacing w:val="-13"/>
          <w:sz w:val="20"/>
        </w:rPr>
        <w:t> </w:t>
      </w:r>
      <w:r>
        <w:rPr>
          <w:sz w:val="20"/>
        </w:rPr>
        <w:t>саркома</w:t>
      </w:r>
      <w:r>
        <w:rPr>
          <w:spacing w:val="-12"/>
          <w:sz w:val="20"/>
        </w:rPr>
        <w:t> </w:t>
      </w:r>
      <w:r>
        <w:rPr>
          <w:sz w:val="20"/>
        </w:rPr>
        <w:t>мочевого пузыря (I - II стадия (T1-T2bNxMo)</w:t>
      </w:r>
    </w:p>
    <w:p>
      <w:pPr>
        <w:pStyle w:val="BodyText"/>
        <w:rPr>
          <w:sz w:val="22"/>
        </w:rPr>
      </w:pPr>
    </w:p>
    <w:p>
      <w:pPr>
        <w:pStyle w:val="BodyText"/>
        <w:rPr>
          <w:sz w:val="22"/>
        </w:rPr>
      </w:pPr>
    </w:p>
    <w:p>
      <w:pPr>
        <w:pStyle w:val="BodyText"/>
        <w:spacing w:before="4"/>
        <w:rPr>
          <w:sz w:val="29"/>
        </w:rPr>
      </w:pPr>
    </w:p>
    <w:p>
      <w:pPr>
        <w:spacing w:line="249" w:lineRule="auto" w:before="0"/>
        <w:ind w:left="5793" w:right="0" w:firstLine="0"/>
        <w:jc w:val="left"/>
        <w:rPr>
          <w:sz w:val="20"/>
        </w:rPr>
      </w:pPr>
      <w:r>
        <w:rPr>
          <w:sz w:val="20"/>
        </w:rPr>
        <w:t>злокачественные новообразования мочевого</w:t>
      </w:r>
      <w:r>
        <w:rPr>
          <w:spacing w:val="-10"/>
          <w:sz w:val="20"/>
        </w:rPr>
        <w:t> </w:t>
      </w:r>
      <w:r>
        <w:rPr>
          <w:sz w:val="20"/>
        </w:rPr>
        <w:t>пузыря</w:t>
      </w:r>
      <w:r>
        <w:rPr>
          <w:spacing w:val="-11"/>
          <w:sz w:val="20"/>
        </w:rPr>
        <w:t> </w:t>
      </w:r>
      <w:r>
        <w:rPr>
          <w:sz w:val="20"/>
        </w:rPr>
        <w:t>(I</w:t>
      </w:r>
      <w:r>
        <w:rPr>
          <w:spacing w:val="-10"/>
          <w:sz w:val="20"/>
        </w:rPr>
        <w:t> </w:t>
      </w:r>
      <w:r>
        <w:rPr>
          <w:sz w:val="20"/>
        </w:rPr>
        <w:t>стадия</w:t>
      </w:r>
      <w:r>
        <w:rPr>
          <w:spacing w:val="-11"/>
          <w:sz w:val="20"/>
        </w:rPr>
        <w:t> </w:t>
      </w:r>
      <w:r>
        <w:rPr>
          <w:sz w:val="20"/>
        </w:rPr>
        <w:t>(T1NxMo)</w:t>
      </w:r>
    </w:p>
    <w:p>
      <w:pPr>
        <w:pStyle w:val="BodyText"/>
        <w:rPr>
          <w:sz w:val="22"/>
        </w:rPr>
      </w:pPr>
    </w:p>
    <w:p>
      <w:pPr>
        <w:pStyle w:val="BodyText"/>
        <w:spacing w:before="3"/>
        <w:rPr>
          <w:sz w:val="30"/>
        </w:rPr>
      </w:pPr>
    </w:p>
    <w:p>
      <w:pPr>
        <w:tabs>
          <w:tab w:pos="5792" w:val="left" w:leader="none"/>
        </w:tabs>
        <w:spacing w:line="249" w:lineRule="auto" w:before="1"/>
        <w:ind w:left="5793" w:right="223" w:hanging="1294"/>
        <w:jc w:val="left"/>
        <w:rPr>
          <w:sz w:val="20"/>
        </w:rPr>
      </w:pPr>
      <w:r>
        <w:rPr>
          <w:spacing w:val="-4"/>
          <w:sz w:val="20"/>
        </w:rPr>
        <w:t>C74</w:t>
      </w:r>
      <w:r>
        <w:rPr>
          <w:sz w:val="20"/>
        </w:rPr>
        <w:tab/>
        <w:t>злокачественные</w:t>
      </w:r>
      <w:r>
        <w:rPr>
          <w:spacing w:val="-13"/>
          <w:sz w:val="20"/>
        </w:rPr>
        <w:t> </w:t>
      </w:r>
      <w:r>
        <w:rPr>
          <w:sz w:val="20"/>
        </w:rPr>
        <w:t>новообразования </w:t>
      </w:r>
      <w:r>
        <w:rPr>
          <w:spacing w:val="-2"/>
          <w:sz w:val="20"/>
        </w:rPr>
        <w:t>надпочечника</w:t>
      </w:r>
    </w:p>
    <w:p>
      <w:pPr>
        <w:tabs>
          <w:tab w:pos="5792" w:val="left" w:leader="none"/>
        </w:tabs>
        <w:spacing w:before="122"/>
        <w:ind w:left="3841" w:right="0" w:firstLine="0"/>
        <w:jc w:val="left"/>
        <w:rPr>
          <w:sz w:val="20"/>
        </w:rPr>
      </w:pPr>
      <w:r>
        <w:rPr>
          <w:sz w:val="20"/>
        </w:rPr>
        <w:t>C38.4,</w:t>
      </w:r>
      <w:r>
        <w:rPr>
          <w:spacing w:val="-5"/>
          <w:sz w:val="20"/>
        </w:rPr>
        <w:t> </w:t>
      </w:r>
      <w:r>
        <w:rPr>
          <w:sz w:val="20"/>
        </w:rPr>
        <w:t>C38.8,</w:t>
      </w:r>
      <w:r>
        <w:rPr>
          <w:spacing w:val="-5"/>
          <w:sz w:val="20"/>
        </w:rPr>
        <w:t> </w:t>
      </w:r>
      <w:r>
        <w:rPr>
          <w:spacing w:val="-2"/>
          <w:sz w:val="20"/>
        </w:rPr>
        <w:t>C45.0</w:t>
      </w:r>
      <w:r>
        <w:rPr>
          <w:sz w:val="20"/>
        </w:rPr>
        <w:tab/>
        <w:t>опухоль</w:t>
      </w:r>
      <w:r>
        <w:rPr>
          <w:spacing w:val="-8"/>
          <w:sz w:val="20"/>
        </w:rPr>
        <w:t> </w:t>
      </w:r>
      <w:r>
        <w:rPr>
          <w:sz w:val="20"/>
        </w:rPr>
        <w:t>плевры.</w:t>
      </w:r>
      <w:r>
        <w:rPr>
          <w:spacing w:val="-6"/>
          <w:sz w:val="20"/>
        </w:rPr>
        <w:t> </w:t>
      </w:r>
      <w:r>
        <w:rPr>
          <w:spacing w:val="-2"/>
          <w:sz w:val="20"/>
        </w:rPr>
        <w:t>Распространенное</w:t>
      </w:r>
    </w:p>
    <w:p>
      <w:pPr>
        <w:spacing w:line="249" w:lineRule="auto" w:before="10"/>
        <w:ind w:left="5793" w:right="33" w:firstLine="0"/>
        <w:jc w:val="left"/>
        <w:rPr>
          <w:sz w:val="20"/>
        </w:rPr>
      </w:pPr>
      <w:r>
        <w:rPr>
          <w:sz w:val="20"/>
        </w:rPr>
        <w:t>поражение</w:t>
      </w:r>
      <w:r>
        <w:rPr>
          <w:spacing w:val="-13"/>
          <w:sz w:val="20"/>
        </w:rPr>
        <w:t> </w:t>
      </w:r>
      <w:r>
        <w:rPr>
          <w:sz w:val="20"/>
        </w:rPr>
        <w:t>плевры.</w:t>
      </w:r>
      <w:r>
        <w:rPr>
          <w:spacing w:val="-12"/>
          <w:sz w:val="20"/>
        </w:rPr>
        <w:t> </w:t>
      </w:r>
      <w:r>
        <w:rPr>
          <w:sz w:val="20"/>
        </w:rPr>
        <w:t>Мезотелиома </w:t>
      </w:r>
      <w:r>
        <w:rPr>
          <w:spacing w:val="-2"/>
          <w:sz w:val="20"/>
        </w:rPr>
        <w:t>плевры</w:t>
      </w:r>
    </w:p>
    <w:p>
      <w:pPr>
        <w:spacing w:line="249" w:lineRule="auto" w:before="91"/>
        <w:ind w:left="86" w:right="0" w:firstLine="0"/>
        <w:jc w:val="left"/>
        <w:rPr>
          <w:sz w:val="20"/>
        </w:rPr>
      </w:pPr>
      <w:r>
        <w:rPr/>
        <w:br w:type="column"/>
      </w:r>
      <w:r>
        <w:rPr>
          <w:spacing w:val="-2"/>
          <w:sz w:val="20"/>
        </w:rPr>
        <w:t>хирургическое лечение</w:t>
      </w:r>
    </w:p>
    <w:p>
      <w:pPr>
        <w:spacing w:line="252" w:lineRule="auto" w:before="121"/>
        <w:ind w:left="8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spacing w:before="10"/>
      </w:pPr>
    </w:p>
    <w:p>
      <w:pPr>
        <w:spacing w:line="249" w:lineRule="auto" w:before="0"/>
        <w:ind w:left="86" w:right="0" w:firstLine="0"/>
        <w:jc w:val="left"/>
        <w:rPr>
          <w:sz w:val="20"/>
        </w:rPr>
      </w:pPr>
      <w:r>
        <w:rPr>
          <w:spacing w:val="-2"/>
          <w:sz w:val="20"/>
        </w:rPr>
        <w:t>хирургическое лечение</w:t>
      </w:r>
    </w:p>
    <w:p>
      <w:pPr>
        <w:pStyle w:val="BodyText"/>
        <w:spacing w:before="5"/>
        <w:rPr>
          <w:sz w:val="31"/>
        </w:rPr>
      </w:pPr>
    </w:p>
    <w:p>
      <w:pPr>
        <w:spacing w:line="249" w:lineRule="auto" w:before="0"/>
        <w:ind w:left="8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spacing w:before="1"/>
      </w:pPr>
    </w:p>
    <w:p>
      <w:pPr>
        <w:spacing w:line="249" w:lineRule="auto" w:before="1"/>
        <w:ind w:left="86" w:right="0" w:firstLine="0"/>
        <w:jc w:val="left"/>
        <w:rPr>
          <w:sz w:val="20"/>
        </w:rPr>
      </w:pPr>
      <w:r>
        <w:rPr>
          <w:spacing w:val="-2"/>
          <w:sz w:val="20"/>
        </w:rPr>
        <w:t>хирургическое лечение</w:t>
      </w:r>
    </w:p>
    <w:p>
      <w:pPr>
        <w:pStyle w:val="BodyText"/>
        <w:rPr>
          <w:sz w:val="22"/>
        </w:rPr>
      </w:pPr>
    </w:p>
    <w:p>
      <w:pPr>
        <w:pStyle w:val="BodyText"/>
        <w:spacing w:before="3"/>
        <w:rPr>
          <w:sz w:val="30"/>
        </w:rPr>
      </w:pPr>
    </w:p>
    <w:p>
      <w:pPr>
        <w:spacing w:line="249" w:lineRule="auto" w:before="0"/>
        <w:ind w:left="86" w:right="0" w:firstLine="0"/>
        <w:jc w:val="left"/>
        <w:rPr>
          <w:sz w:val="20"/>
        </w:rPr>
      </w:pPr>
      <w:r>
        <w:rPr>
          <w:spacing w:val="-2"/>
          <w:sz w:val="20"/>
        </w:rPr>
        <w:t>хирургическое лечение</w:t>
      </w:r>
    </w:p>
    <w:p>
      <w:pPr>
        <w:spacing w:line="249" w:lineRule="auto" w:before="122"/>
        <w:ind w:left="86" w:right="0" w:firstLine="0"/>
        <w:jc w:val="left"/>
        <w:rPr>
          <w:sz w:val="20"/>
        </w:rPr>
      </w:pPr>
      <w:r>
        <w:rPr>
          <w:spacing w:val="-2"/>
          <w:sz w:val="20"/>
        </w:rPr>
        <w:t>хирургическое лечение</w:t>
      </w:r>
    </w:p>
    <w:p>
      <w:pPr>
        <w:spacing w:before="91"/>
        <w:ind w:left="178" w:right="0" w:firstLine="0"/>
        <w:jc w:val="left"/>
        <w:rPr>
          <w:sz w:val="20"/>
        </w:rPr>
      </w:pPr>
      <w:r>
        <w:rPr/>
        <w:br w:type="column"/>
      </w:r>
      <w:r>
        <w:rPr>
          <w:sz w:val="20"/>
        </w:rPr>
        <w:t>лапароскопическая</w:t>
      </w:r>
      <w:r>
        <w:rPr>
          <w:spacing w:val="-15"/>
          <w:sz w:val="20"/>
        </w:rPr>
        <w:t> </w:t>
      </w:r>
      <w:r>
        <w:rPr>
          <w:sz w:val="20"/>
        </w:rPr>
        <w:t>резекция</w:t>
      </w:r>
      <w:r>
        <w:rPr>
          <w:spacing w:val="-11"/>
          <w:sz w:val="20"/>
        </w:rPr>
        <w:t> </w:t>
      </w:r>
      <w:r>
        <w:rPr>
          <w:spacing w:val="-4"/>
          <w:sz w:val="20"/>
        </w:rPr>
        <w:t>почки</w:t>
      </w:r>
    </w:p>
    <w:p>
      <w:pPr>
        <w:pStyle w:val="BodyText"/>
        <w:spacing w:before="2"/>
        <w:rPr>
          <w:sz w:val="32"/>
        </w:rPr>
      </w:pPr>
    </w:p>
    <w:p>
      <w:pPr>
        <w:spacing w:line="252" w:lineRule="auto" w:before="0"/>
        <w:ind w:left="178" w:right="1600" w:firstLine="0"/>
        <w:jc w:val="left"/>
        <w:rPr>
          <w:sz w:val="20"/>
        </w:rPr>
      </w:pPr>
      <w:r>
        <w:rPr>
          <w:sz w:val="20"/>
        </w:rPr>
        <w:t>лапароскопическая</w:t>
      </w:r>
      <w:r>
        <w:rPr>
          <w:spacing w:val="-13"/>
          <w:sz w:val="20"/>
        </w:rPr>
        <w:t> </w:t>
      </w:r>
      <w:r>
        <w:rPr>
          <w:sz w:val="20"/>
        </w:rPr>
        <w:t>нефрадреналэктомия, парааортальная лимфаденэктомия</w:t>
      </w:r>
    </w:p>
    <w:p>
      <w:pPr>
        <w:pStyle w:val="BodyText"/>
        <w:rPr>
          <w:sz w:val="22"/>
        </w:rPr>
      </w:pPr>
    </w:p>
    <w:p>
      <w:pPr>
        <w:pStyle w:val="BodyText"/>
        <w:rPr>
          <w:sz w:val="22"/>
        </w:rPr>
      </w:pPr>
    </w:p>
    <w:p>
      <w:pPr>
        <w:pStyle w:val="BodyText"/>
        <w:spacing w:before="9"/>
      </w:pPr>
    </w:p>
    <w:p>
      <w:pPr>
        <w:spacing w:before="1"/>
        <w:ind w:left="178" w:right="0" w:firstLine="0"/>
        <w:jc w:val="left"/>
        <w:rPr>
          <w:sz w:val="20"/>
        </w:rPr>
      </w:pPr>
      <w:r>
        <w:rPr>
          <w:w w:val="95"/>
          <w:sz w:val="20"/>
        </w:rPr>
        <w:t>лапароскопическая</w:t>
      </w:r>
      <w:r>
        <w:rPr>
          <w:spacing w:val="64"/>
          <w:sz w:val="20"/>
        </w:rPr>
        <w:t> </w:t>
      </w:r>
      <w:r>
        <w:rPr>
          <w:spacing w:val="-2"/>
          <w:w w:val="95"/>
          <w:sz w:val="20"/>
        </w:rPr>
        <w:t>нефруретероэктомия</w:t>
      </w:r>
    </w:p>
    <w:p>
      <w:pPr>
        <w:pStyle w:val="BodyText"/>
        <w:rPr>
          <w:sz w:val="22"/>
        </w:rPr>
      </w:pPr>
    </w:p>
    <w:p>
      <w:pPr>
        <w:pStyle w:val="BodyText"/>
        <w:rPr>
          <w:sz w:val="31"/>
        </w:rPr>
      </w:pPr>
    </w:p>
    <w:p>
      <w:pPr>
        <w:spacing w:line="249" w:lineRule="auto" w:before="0"/>
        <w:ind w:left="178" w:right="1953" w:firstLine="0"/>
        <w:jc w:val="left"/>
        <w:rPr>
          <w:sz w:val="20"/>
        </w:rPr>
      </w:pPr>
      <w:r>
        <w:rPr>
          <w:sz w:val="20"/>
        </w:rPr>
        <w:t>лапароскопическая</w:t>
      </w:r>
      <w:r>
        <w:rPr>
          <w:spacing w:val="-13"/>
          <w:sz w:val="20"/>
        </w:rPr>
        <w:t> </w:t>
      </w:r>
      <w:r>
        <w:rPr>
          <w:sz w:val="20"/>
        </w:rPr>
        <w:t>резекция</w:t>
      </w:r>
      <w:r>
        <w:rPr>
          <w:spacing w:val="-12"/>
          <w:sz w:val="20"/>
        </w:rPr>
        <w:t> </w:t>
      </w:r>
      <w:r>
        <w:rPr>
          <w:sz w:val="20"/>
        </w:rPr>
        <w:t>мочевого </w:t>
      </w:r>
      <w:r>
        <w:rPr>
          <w:spacing w:val="-2"/>
          <w:sz w:val="20"/>
        </w:rPr>
        <w:t>пузыря</w:t>
      </w:r>
    </w:p>
    <w:p>
      <w:pPr>
        <w:spacing w:before="122"/>
        <w:ind w:left="178" w:right="0" w:firstLine="0"/>
        <w:jc w:val="left"/>
        <w:rPr>
          <w:sz w:val="20"/>
        </w:rPr>
      </w:pPr>
      <w:r>
        <w:rPr>
          <w:w w:val="95"/>
          <w:sz w:val="20"/>
        </w:rPr>
        <w:t>лапароскопическая</w:t>
      </w:r>
      <w:r>
        <w:rPr>
          <w:spacing w:val="64"/>
          <w:sz w:val="20"/>
        </w:rPr>
        <w:t> </w:t>
      </w:r>
      <w:r>
        <w:rPr>
          <w:spacing w:val="-2"/>
          <w:sz w:val="20"/>
        </w:rPr>
        <w:t>цистэктомия</w:t>
      </w:r>
    </w:p>
    <w:p>
      <w:pPr>
        <w:spacing w:line="249" w:lineRule="auto" w:before="130"/>
        <w:ind w:left="178" w:right="1953" w:firstLine="0"/>
        <w:jc w:val="left"/>
        <w:rPr>
          <w:sz w:val="20"/>
        </w:rPr>
      </w:pPr>
      <w:r>
        <w:rPr>
          <w:spacing w:val="-2"/>
          <w:sz w:val="20"/>
        </w:rPr>
        <w:t>лапароскопическая цистпростатвезикулэктомия</w:t>
      </w:r>
    </w:p>
    <w:p>
      <w:pPr>
        <w:spacing w:line="249" w:lineRule="auto" w:before="122"/>
        <w:ind w:left="178" w:right="1953" w:firstLine="0"/>
        <w:jc w:val="left"/>
        <w:rPr>
          <w:sz w:val="20"/>
        </w:rPr>
      </w:pPr>
      <w:r>
        <w:rPr>
          <w:sz w:val="20"/>
        </w:rPr>
        <w:t>трансуретральная</w:t>
      </w:r>
      <w:r>
        <w:rPr>
          <w:spacing w:val="-13"/>
          <w:sz w:val="20"/>
        </w:rPr>
        <w:t> </w:t>
      </w:r>
      <w:r>
        <w:rPr>
          <w:sz w:val="20"/>
        </w:rPr>
        <w:t>резекция</w:t>
      </w:r>
      <w:r>
        <w:rPr>
          <w:spacing w:val="-12"/>
          <w:sz w:val="20"/>
        </w:rPr>
        <w:t> </w:t>
      </w:r>
      <w:r>
        <w:rPr>
          <w:sz w:val="20"/>
        </w:rPr>
        <w:t>мочевого пузыря с внутрипузырной химиотерапией, фотодинамической диагностикой и терапией</w:t>
      </w:r>
    </w:p>
    <w:p>
      <w:pPr>
        <w:spacing w:before="123"/>
        <w:ind w:left="178" w:right="0" w:firstLine="0"/>
        <w:jc w:val="left"/>
        <w:rPr>
          <w:sz w:val="20"/>
        </w:rPr>
      </w:pPr>
      <w:r>
        <w:rPr>
          <w:w w:val="95"/>
          <w:sz w:val="20"/>
        </w:rPr>
        <w:t>лапароскопическая</w:t>
      </w:r>
      <w:r>
        <w:rPr>
          <w:spacing w:val="64"/>
          <w:sz w:val="20"/>
        </w:rPr>
        <w:t> </w:t>
      </w:r>
      <w:r>
        <w:rPr>
          <w:spacing w:val="-2"/>
          <w:sz w:val="20"/>
        </w:rPr>
        <w:t>адреналэктомия</w:t>
      </w:r>
    </w:p>
    <w:p>
      <w:pPr>
        <w:pStyle w:val="BodyText"/>
        <w:spacing w:before="3"/>
        <w:rPr>
          <w:sz w:val="32"/>
        </w:rPr>
      </w:pPr>
    </w:p>
    <w:p>
      <w:pPr>
        <w:spacing w:line="249" w:lineRule="auto" w:before="0"/>
        <w:ind w:left="178" w:right="1953" w:firstLine="0"/>
        <w:jc w:val="left"/>
        <w:rPr>
          <w:sz w:val="20"/>
        </w:rPr>
      </w:pPr>
      <w:r>
        <w:rPr>
          <w:sz w:val="20"/>
        </w:rPr>
        <w:t>видеоторакоскопическое</w:t>
      </w:r>
      <w:r>
        <w:rPr>
          <w:spacing w:val="-13"/>
          <w:sz w:val="20"/>
        </w:rPr>
        <w:t> </w:t>
      </w:r>
      <w:r>
        <w:rPr>
          <w:sz w:val="20"/>
        </w:rPr>
        <w:t>удаление опухоли плевры</w:t>
      </w:r>
    </w:p>
    <w:p>
      <w:pPr>
        <w:spacing w:before="121"/>
        <w:ind w:left="178" w:right="0" w:firstLine="0"/>
        <w:jc w:val="left"/>
        <w:rPr>
          <w:sz w:val="20"/>
        </w:rPr>
      </w:pPr>
      <w:r>
        <w:rPr>
          <w:w w:val="95"/>
          <w:sz w:val="20"/>
        </w:rPr>
        <w:t>видеоторакоскопическая</w:t>
      </w:r>
      <w:r>
        <w:rPr>
          <w:spacing w:val="57"/>
          <w:w w:val="150"/>
          <w:sz w:val="20"/>
        </w:rPr>
        <w:t> </w:t>
      </w:r>
      <w:r>
        <w:rPr>
          <w:spacing w:val="-2"/>
          <w:sz w:val="20"/>
        </w:rPr>
        <w:t>плеврэктомия</w:t>
      </w:r>
    </w:p>
    <w:p>
      <w:pPr>
        <w:spacing w:after="0"/>
        <w:jc w:val="left"/>
        <w:rPr>
          <w:sz w:val="20"/>
        </w:rPr>
        <w:sectPr>
          <w:type w:val="continuous"/>
          <w:pgSz w:w="16850" w:h="11910" w:orient="landscape"/>
          <w:pgMar w:header="753" w:footer="0" w:top="1080" w:bottom="280" w:left="400" w:right="400"/>
          <w:cols w:num="3" w:equalWidth="0">
            <w:col w:w="8974" w:space="40"/>
            <w:col w:w="1343" w:space="39"/>
            <w:col w:w="5654"/>
          </w:cols>
        </w:sectPr>
      </w:pPr>
    </w:p>
    <w:p>
      <w:pPr>
        <w:tabs>
          <w:tab w:pos="931" w:val="left" w:leader="none"/>
        </w:tabs>
        <w:spacing w:line="249" w:lineRule="auto" w:before="130"/>
        <w:ind w:left="931" w:right="0" w:hanging="564"/>
        <w:jc w:val="left"/>
        <w:rPr>
          <w:sz w:val="20"/>
        </w:rPr>
      </w:pPr>
      <w:r>
        <w:rPr>
          <w:spacing w:val="-4"/>
          <w:sz w:val="20"/>
        </w:rPr>
        <w:t>22.</w:t>
      </w:r>
      <w:r>
        <w:rPr>
          <w:sz w:val="20"/>
        </w:rPr>
        <w:tab/>
      </w:r>
      <w:r>
        <w:rPr>
          <w:spacing w:val="-2"/>
          <w:sz w:val="20"/>
        </w:rPr>
        <w:t>Реконструктивно- пластические, микрохирургические, </w:t>
      </w:r>
      <w:r>
        <w:rPr>
          <w:sz w:val="20"/>
        </w:rPr>
        <w:t>обширные</w:t>
      </w:r>
      <w:r>
        <w:rPr>
          <w:spacing w:val="-13"/>
          <w:sz w:val="20"/>
        </w:rPr>
        <w:t> </w:t>
      </w:r>
      <w:r>
        <w:rPr>
          <w:sz w:val="20"/>
        </w:rPr>
        <w:t>циторедуктивные,</w:t>
      </w:r>
    </w:p>
    <w:p>
      <w:pPr>
        <w:spacing w:before="130"/>
        <w:ind w:left="334" w:right="133" w:firstLine="0"/>
        <w:jc w:val="center"/>
        <w:rPr>
          <w:sz w:val="20"/>
        </w:rPr>
      </w:pPr>
      <w:r>
        <w:rPr/>
        <w:br w:type="column"/>
      </w:r>
      <w:r>
        <w:rPr>
          <w:sz w:val="20"/>
        </w:rPr>
        <w:t>C00.0,</w:t>
      </w:r>
      <w:r>
        <w:rPr>
          <w:spacing w:val="-5"/>
          <w:sz w:val="20"/>
        </w:rPr>
        <w:t> </w:t>
      </w:r>
      <w:r>
        <w:rPr>
          <w:sz w:val="20"/>
        </w:rPr>
        <w:t>C00.1,</w:t>
      </w:r>
      <w:r>
        <w:rPr>
          <w:spacing w:val="-5"/>
          <w:sz w:val="20"/>
        </w:rPr>
        <w:t> </w:t>
      </w:r>
      <w:r>
        <w:rPr>
          <w:spacing w:val="-2"/>
          <w:sz w:val="20"/>
        </w:rPr>
        <w:t>C00.2,</w:t>
      </w:r>
    </w:p>
    <w:p>
      <w:pPr>
        <w:spacing w:before="10"/>
        <w:ind w:left="334" w:right="133" w:firstLine="0"/>
        <w:jc w:val="center"/>
        <w:rPr>
          <w:sz w:val="20"/>
        </w:rPr>
      </w:pPr>
      <w:r>
        <w:rPr>
          <w:sz w:val="20"/>
        </w:rPr>
        <w:t>C00.3,</w:t>
      </w:r>
      <w:r>
        <w:rPr>
          <w:spacing w:val="-5"/>
          <w:sz w:val="20"/>
        </w:rPr>
        <w:t> </w:t>
      </w:r>
      <w:r>
        <w:rPr>
          <w:sz w:val="20"/>
        </w:rPr>
        <w:t>C00.4,</w:t>
      </w:r>
      <w:r>
        <w:rPr>
          <w:spacing w:val="-5"/>
          <w:sz w:val="20"/>
        </w:rPr>
        <w:t> </w:t>
      </w:r>
      <w:r>
        <w:rPr>
          <w:spacing w:val="-2"/>
          <w:sz w:val="20"/>
        </w:rPr>
        <w:t>C00.5,</w:t>
      </w:r>
    </w:p>
    <w:p>
      <w:pPr>
        <w:spacing w:line="249" w:lineRule="auto" w:before="10"/>
        <w:ind w:left="203" w:right="0" w:hanging="2"/>
        <w:jc w:val="center"/>
        <w:rPr>
          <w:sz w:val="20"/>
        </w:rPr>
      </w:pPr>
      <w:r>
        <w:rPr>
          <w:sz w:val="20"/>
        </w:rPr>
        <w:t>C00.6, C00.8, C00.9, C01,</w:t>
      </w:r>
      <w:r>
        <w:rPr>
          <w:spacing w:val="-13"/>
          <w:sz w:val="20"/>
        </w:rPr>
        <w:t> </w:t>
      </w:r>
      <w:r>
        <w:rPr>
          <w:sz w:val="20"/>
        </w:rPr>
        <w:t>C02,</w:t>
      </w:r>
      <w:r>
        <w:rPr>
          <w:spacing w:val="-12"/>
          <w:sz w:val="20"/>
        </w:rPr>
        <w:t> </w:t>
      </w:r>
      <w:r>
        <w:rPr>
          <w:sz w:val="20"/>
        </w:rPr>
        <w:t>C03.1,</w:t>
      </w:r>
      <w:r>
        <w:rPr>
          <w:spacing w:val="-13"/>
          <w:sz w:val="20"/>
        </w:rPr>
        <w:t> </w:t>
      </w:r>
      <w:r>
        <w:rPr>
          <w:sz w:val="20"/>
        </w:rPr>
        <w:t>C03.9,</w:t>
      </w:r>
    </w:p>
    <w:p>
      <w:pPr>
        <w:spacing w:line="249" w:lineRule="auto" w:before="130"/>
        <w:ind w:left="96" w:right="0" w:firstLine="0"/>
        <w:jc w:val="left"/>
        <w:rPr>
          <w:sz w:val="20"/>
        </w:rPr>
      </w:pPr>
      <w:r>
        <w:rPr/>
        <w:br w:type="column"/>
      </w:r>
      <w:r>
        <w:rPr>
          <w:sz w:val="20"/>
        </w:rPr>
        <w:t>опухоли головы и шеи, первичные и рецидивные,</w:t>
      </w:r>
      <w:r>
        <w:rPr>
          <w:spacing w:val="-13"/>
          <w:sz w:val="20"/>
        </w:rPr>
        <w:t> </w:t>
      </w:r>
      <w:r>
        <w:rPr>
          <w:sz w:val="20"/>
        </w:rPr>
        <w:t>метастатические</w:t>
      </w:r>
      <w:r>
        <w:rPr>
          <w:spacing w:val="-12"/>
          <w:sz w:val="20"/>
        </w:rPr>
        <w:t> </w:t>
      </w:r>
      <w:r>
        <w:rPr>
          <w:sz w:val="20"/>
        </w:rPr>
        <w:t>опухо- ли центральной нервной системы</w:t>
      </w:r>
    </w:p>
    <w:p>
      <w:pPr>
        <w:spacing w:line="249" w:lineRule="auto" w:before="130"/>
        <w:ind w:left="88" w:right="0" w:firstLine="0"/>
        <w:jc w:val="left"/>
        <w:rPr>
          <w:sz w:val="20"/>
        </w:rPr>
      </w:pPr>
      <w:r>
        <w:rPr/>
        <w:br w:type="column"/>
      </w:r>
      <w:r>
        <w:rPr>
          <w:spacing w:val="-2"/>
          <w:sz w:val="20"/>
        </w:rPr>
        <w:t>хирургическое лечение</w:t>
      </w:r>
    </w:p>
    <w:p>
      <w:pPr>
        <w:tabs>
          <w:tab w:pos="4971" w:val="right" w:leader="none"/>
        </w:tabs>
        <w:spacing w:before="130"/>
        <w:ind w:left="178" w:right="0" w:firstLine="0"/>
        <w:jc w:val="left"/>
        <w:rPr>
          <w:sz w:val="20"/>
        </w:rPr>
      </w:pPr>
      <w:r>
        <w:rPr/>
        <w:br w:type="column"/>
      </w:r>
      <w:r>
        <w:rPr>
          <w:w w:val="95"/>
          <w:sz w:val="20"/>
        </w:rPr>
        <w:t>поднакостничная</w:t>
      </w:r>
      <w:r>
        <w:rPr>
          <w:spacing w:val="51"/>
          <w:sz w:val="20"/>
        </w:rPr>
        <w:t> </w:t>
      </w:r>
      <w:r>
        <w:rPr>
          <w:w w:val="95"/>
          <w:sz w:val="20"/>
        </w:rPr>
        <w:t>экзентерация</w:t>
      </w:r>
      <w:r>
        <w:rPr>
          <w:spacing w:val="51"/>
          <w:sz w:val="20"/>
        </w:rPr>
        <w:t> </w:t>
      </w:r>
      <w:r>
        <w:rPr>
          <w:spacing w:val="-2"/>
          <w:w w:val="95"/>
          <w:sz w:val="20"/>
        </w:rPr>
        <w:t>орбиты</w:t>
      </w:r>
      <w:r>
        <w:rPr>
          <w:sz w:val="20"/>
        </w:rPr>
        <w:tab/>
      </w:r>
      <w:r>
        <w:rPr>
          <w:spacing w:val="-2"/>
          <w:sz w:val="20"/>
        </w:rPr>
        <w:t>269581</w:t>
      </w:r>
    </w:p>
    <w:p>
      <w:pPr>
        <w:spacing w:line="249" w:lineRule="auto" w:before="130"/>
        <w:ind w:left="178" w:right="1951" w:firstLine="0"/>
        <w:jc w:val="left"/>
        <w:rPr>
          <w:sz w:val="20"/>
        </w:rPr>
      </w:pPr>
      <w:r>
        <w:rPr>
          <w:sz w:val="20"/>
        </w:rPr>
        <w:t>поднакостничная</w:t>
      </w:r>
      <w:r>
        <w:rPr>
          <w:spacing w:val="-11"/>
          <w:sz w:val="20"/>
        </w:rPr>
        <w:t> </w:t>
      </w:r>
      <w:r>
        <w:rPr>
          <w:sz w:val="20"/>
        </w:rPr>
        <w:t>экзентерация</w:t>
      </w:r>
      <w:r>
        <w:rPr>
          <w:spacing w:val="-11"/>
          <w:sz w:val="20"/>
        </w:rPr>
        <w:t> </w:t>
      </w:r>
      <w:r>
        <w:rPr>
          <w:sz w:val="20"/>
        </w:rPr>
        <w:t>орбиты</w:t>
      </w:r>
      <w:r>
        <w:rPr>
          <w:spacing w:val="-10"/>
          <w:sz w:val="20"/>
        </w:rPr>
        <w:t> </w:t>
      </w:r>
      <w:r>
        <w:rPr>
          <w:sz w:val="20"/>
        </w:rPr>
        <w:t>с сохранением век</w:t>
      </w:r>
    </w:p>
    <w:p>
      <w:pPr>
        <w:spacing w:after="0" w:line="249" w:lineRule="auto"/>
        <w:jc w:val="left"/>
        <w:rPr>
          <w:sz w:val="20"/>
        </w:rPr>
        <w:sectPr>
          <w:type w:val="continuous"/>
          <w:pgSz w:w="16850" w:h="11910" w:orient="landscape"/>
          <w:pgMar w:header="753" w:footer="0" w:top="1080" w:bottom="280" w:left="400" w:right="400"/>
          <w:cols w:num="5" w:equalWidth="0">
            <w:col w:w="3431" w:space="40"/>
            <w:col w:w="2187" w:space="39"/>
            <w:col w:w="3276" w:space="39"/>
            <w:col w:w="1345" w:space="40"/>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line="249" w:lineRule="auto" w:before="368"/>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8"/>
        <w:gridCol w:w="4534"/>
        <w:gridCol w:w="6050"/>
      </w:tblGrid>
      <w:tr>
        <w:trPr>
          <w:trHeight w:val="290" w:hRule="atLeast"/>
        </w:trPr>
        <w:tc>
          <w:tcPr>
            <w:tcW w:w="2688" w:type="dxa"/>
            <w:vMerge w:val="restart"/>
          </w:tcPr>
          <w:p>
            <w:pPr>
              <w:pStyle w:val="TableParagraph"/>
              <w:spacing w:line="249" w:lineRule="auto"/>
              <w:ind w:left="50" w:right="87"/>
              <w:rPr>
                <w:sz w:val="20"/>
              </w:rPr>
            </w:pPr>
            <w:r>
              <w:rPr>
                <w:spacing w:val="-2"/>
                <w:sz w:val="20"/>
              </w:rPr>
              <w:t>расширенно- комбинированные хирургические </w:t>
            </w:r>
            <w:r>
              <w:rPr>
                <w:sz w:val="20"/>
              </w:rPr>
              <w:t>вмешательства,</w:t>
            </w:r>
            <w:r>
              <w:rPr>
                <w:spacing w:val="-11"/>
                <w:sz w:val="20"/>
              </w:rPr>
              <w:t> </w:t>
            </w:r>
            <w:r>
              <w:rPr>
                <w:sz w:val="20"/>
              </w:rPr>
              <w:t>в</w:t>
            </w:r>
            <w:r>
              <w:rPr>
                <w:spacing w:val="-11"/>
                <w:sz w:val="20"/>
              </w:rPr>
              <w:t> </w:t>
            </w:r>
            <w:r>
              <w:rPr>
                <w:sz w:val="20"/>
              </w:rPr>
              <w:t>том</w:t>
            </w:r>
            <w:r>
              <w:rPr>
                <w:spacing w:val="-10"/>
                <w:sz w:val="20"/>
              </w:rPr>
              <w:t> </w:t>
            </w:r>
            <w:r>
              <w:rPr>
                <w:sz w:val="20"/>
              </w:rPr>
              <w:t>числе</w:t>
            </w:r>
            <w:r>
              <w:rPr>
                <w:spacing w:val="-11"/>
                <w:sz w:val="20"/>
              </w:rPr>
              <w:t> </w:t>
            </w:r>
            <w:r>
              <w:rPr>
                <w:sz w:val="20"/>
              </w:rPr>
              <w:t>с применением физических факторов при </w:t>
            </w:r>
            <w:r>
              <w:rPr>
                <w:spacing w:val="-2"/>
                <w:sz w:val="20"/>
              </w:rPr>
              <w:t>злокачественных</w:t>
            </w:r>
          </w:p>
          <w:p>
            <w:pPr>
              <w:pStyle w:val="TableParagraph"/>
              <w:spacing w:line="220" w:lineRule="exact"/>
              <w:ind w:left="50"/>
              <w:rPr>
                <w:sz w:val="20"/>
              </w:rPr>
            </w:pPr>
            <w:r>
              <w:rPr>
                <w:spacing w:val="-2"/>
                <w:sz w:val="20"/>
              </w:rPr>
              <w:t>новообразованиях</w:t>
            </w:r>
          </w:p>
        </w:tc>
        <w:tc>
          <w:tcPr>
            <w:tcW w:w="4534" w:type="dxa"/>
            <w:vMerge w:val="restart"/>
          </w:tcPr>
          <w:p>
            <w:pPr>
              <w:pStyle w:val="TableParagraph"/>
              <w:spacing w:line="221" w:lineRule="exact"/>
              <w:ind w:left="232" w:right="2576"/>
              <w:jc w:val="center"/>
              <w:rPr>
                <w:sz w:val="20"/>
              </w:rPr>
            </w:pPr>
            <w:r>
              <w:rPr>
                <w:sz w:val="20"/>
              </w:rPr>
              <w:t>C04.0,</w:t>
            </w:r>
            <w:r>
              <w:rPr>
                <w:spacing w:val="-5"/>
                <w:sz w:val="20"/>
              </w:rPr>
              <w:t> </w:t>
            </w:r>
            <w:r>
              <w:rPr>
                <w:sz w:val="20"/>
              </w:rPr>
              <w:t>C04.1,</w:t>
            </w:r>
            <w:r>
              <w:rPr>
                <w:spacing w:val="-5"/>
                <w:sz w:val="20"/>
              </w:rPr>
              <w:t> </w:t>
            </w:r>
            <w:r>
              <w:rPr>
                <w:spacing w:val="-2"/>
                <w:sz w:val="20"/>
              </w:rPr>
              <w:t>C04.8,</w:t>
            </w:r>
          </w:p>
          <w:p>
            <w:pPr>
              <w:pStyle w:val="TableParagraph"/>
              <w:spacing w:before="10"/>
              <w:ind w:left="233" w:right="2576"/>
              <w:jc w:val="center"/>
              <w:rPr>
                <w:sz w:val="20"/>
              </w:rPr>
            </w:pPr>
            <w:r>
              <w:rPr>
                <w:sz w:val="20"/>
              </w:rPr>
              <w:t>C04.9,</w:t>
            </w:r>
            <w:r>
              <w:rPr>
                <w:spacing w:val="-4"/>
                <w:sz w:val="20"/>
              </w:rPr>
              <w:t> </w:t>
            </w:r>
            <w:r>
              <w:rPr>
                <w:sz w:val="20"/>
              </w:rPr>
              <w:t>C05,</w:t>
            </w:r>
            <w:r>
              <w:rPr>
                <w:spacing w:val="-3"/>
                <w:sz w:val="20"/>
              </w:rPr>
              <w:t> </w:t>
            </w:r>
            <w:r>
              <w:rPr>
                <w:spacing w:val="-2"/>
                <w:sz w:val="20"/>
              </w:rPr>
              <w:t>C06.0,</w:t>
            </w:r>
          </w:p>
          <w:p>
            <w:pPr>
              <w:pStyle w:val="TableParagraph"/>
              <w:spacing w:before="10"/>
              <w:ind w:left="232" w:right="2576"/>
              <w:jc w:val="center"/>
              <w:rPr>
                <w:sz w:val="20"/>
              </w:rPr>
            </w:pPr>
            <w:r>
              <w:rPr>
                <w:sz w:val="20"/>
              </w:rPr>
              <w:t>C06.1,</w:t>
            </w:r>
            <w:r>
              <w:rPr>
                <w:spacing w:val="-5"/>
                <w:sz w:val="20"/>
              </w:rPr>
              <w:t> </w:t>
            </w:r>
            <w:r>
              <w:rPr>
                <w:sz w:val="20"/>
              </w:rPr>
              <w:t>C06.2,</w:t>
            </w:r>
            <w:r>
              <w:rPr>
                <w:spacing w:val="-5"/>
                <w:sz w:val="20"/>
              </w:rPr>
              <w:t> </w:t>
            </w:r>
            <w:r>
              <w:rPr>
                <w:spacing w:val="-2"/>
                <w:sz w:val="20"/>
              </w:rPr>
              <w:t>C06.8,</w:t>
            </w:r>
          </w:p>
          <w:p>
            <w:pPr>
              <w:pStyle w:val="TableParagraph"/>
              <w:spacing w:before="10"/>
              <w:ind w:left="233" w:right="2576"/>
              <w:jc w:val="center"/>
              <w:rPr>
                <w:sz w:val="20"/>
              </w:rPr>
            </w:pPr>
            <w:r>
              <w:rPr>
                <w:sz w:val="20"/>
              </w:rPr>
              <w:t>C06.9,</w:t>
            </w:r>
            <w:r>
              <w:rPr>
                <w:spacing w:val="-4"/>
                <w:sz w:val="20"/>
              </w:rPr>
              <w:t> </w:t>
            </w:r>
            <w:r>
              <w:rPr>
                <w:sz w:val="20"/>
              </w:rPr>
              <w:t>C07,</w:t>
            </w:r>
            <w:r>
              <w:rPr>
                <w:spacing w:val="-3"/>
                <w:sz w:val="20"/>
              </w:rPr>
              <w:t> </w:t>
            </w:r>
            <w:r>
              <w:rPr>
                <w:spacing w:val="-2"/>
                <w:sz w:val="20"/>
              </w:rPr>
              <w:t>C08.0,</w:t>
            </w:r>
          </w:p>
          <w:p>
            <w:pPr>
              <w:pStyle w:val="TableParagraph"/>
              <w:spacing w:before="10"/>
              <w:ind w:left="232" w:right="2576"/>
              <w:jc w:val="center"/>
              <w:rPr>
                <w:sz w:val="20"/>
              </w:rPr>
            </w:pPr>
            <w:r>
              <w:rPr>
                <w:sz w:val="20"/>
              </w:rPr>
              <w:t>C08.1,</w:t>
            </w:r>
            <w:r>
              <w:rPr>
                <w:spacing w:val="-5"/>
                <w:sz w:val="20"/>
              </w:rPr>
              <w:t> </w:t>
            </w:r>
            <w:r>
              <w:rPr>
                <w:sz w:val="20"/>
              </w:rPr>
              <w:t>C08.8,</w:t>
            </w:r>
            <w:r>
              <w:rPr>
                <w:spacing w:val="-5"/>
                <w:sz w:val="20"/>
              </w:rPr>
              <w:t> </w:t>
            </w:r>
            <w:r>
              <w:rPr>
                <w:spacing w:val="-2"/>
                <w:sz w:val="20"/>
              </w:rPr>
              <w:t>C08.9,</w:t>
            </w:r>
          </w:p>
          <w:p>
            <w:pPr>
              <w:pStyle w:val="TableParagraph"/>
              <w:spacing w:before="10"/>
              <w:ind w:left="235" w:right="2576"/>
              <w:jc w:val="center"/>
              <w:rPr>
                <w:sz w:val="20"/>
              </w:rPr>
            </w:pPr>
            <w:r>
              <w:rPr>
                <w:sz w:val="20"/>
              </w:rPr>
              <w:t>C09.0,</w:t>
            </w:r>
            <w:r>
              <w:rPr>
                <w:spacing w:val="-5"/>
                <w:sz w:val="20"/>
              </w:rPr>
              <w:t> </w:t>
            </w:r>
            <w:r>
              <w:rPr>
                <w:sz w:val="20"/>
              </w:rPr>
              <w:t>C09.1,</w:t>
            </w:r>
            <w:r>
              <w:rPr>
                <w:spacing w:val="-2"/>
                <w:sz w:val="20"/>
              </w:rPr>
              <w:t> C09.8,</w:t>
            </w:r>
          </w:p>
          <w:p>
            <w:pPr>
              <w:pStyle w:val="TableParagraph"/>
              <w:spacing w:before="10"/>
              <w:ind w:left="232" w:right="2576"/>
              <w:jc w:val="center"/>
              <w:rPr>
                <w:sz w:val="20"/>
              </w:rPr>
            </w:pPr>
            <w:r>
              <w:rPr>
                <w:sz w:val="20"/>
              </w:rPr>
              <w:t>C09.9,</w:t>
            </w:r>
            <w:r>
              <w:rPr>
                <w:spacing w:val="-5"/>
                <w:sz w:val="20"/>
              </w:rPr>
              <w:t> </w:t>
            </w:r>
            <w:r>
              <w:rPr>
                <w:sz w:val="20"/>
              </w:rPr>
              <w:t>C10.0,</w:t>
            </w:r>
            <w:r>
              <w:rPr>
                <w:spacing w:val="-5"/>
                <w:sz w:val="20"/>
              </w:rPr>
              <w:t> </w:t>
            </w:r>
            <w:r>
              <w:rPr>
                <w:spacing w:val="-2"/>
                <w:sz w:val="20"/>
              </w:rPr>
              <w:t>C10.1,</w:t>
            </w:r>
          </w:p>
          <w:p>
            <w:pPr>
              <w:pStyle w:val="TableParagraph"/>
              <w:spacing w:before="10"/>
              <w:ind w:left="232" w:right="2576"/>
              <w:jc w:val="center"/>
              <w:rPr>
                <w:sz w:val="20"/>
              </w:rPr>
            </w:pPr>
            <w:r>
              <w:rPr>
                <w:sz w:val="20"/>
              </w:rPr>
              <w:t>C10.2,</w:t>
            </w:r>
            <w:r>
              <w:rPr>
                <w:spacing w:val="-5"/>
                <w:sz w:val="20"/>
              </w:rPr>
              <w:t> </w:t>
            </w:r>
            <w:r>
              <w:rPr>
                <w:sz w:val="20"/>
              </w:rPr>
              <w:t>C10.3,</w:t>
            </w:r>
            <w:r>
              <w:rPr>
                <w:spacing w:val="-5"/>
                <w:sz w:val="20"/>
              </w:rPr>
              <w:t> </w:t>
            </w:r>
            <w:r>
              <w:rPr>
                <w:spacing w:val="-2"/>
                <w:sz w:val="20"/>
              </w:rPr>
              <w:t>C10.4,</w:t>
            </w:r>
          </w:p>
          <w:p>
            <w:pPr>
              <w:pStyle w:val="TableParagraph"/>
              <w:spacing w:before="10"/>
              <w:ind w:left="232" w:right="2576"/>
              <w:jc w:val="center"/>
              <w:rPr>
                <w:sz w:val="20"/>
              </w:rPr>
            </w:pPr>
            <w:r>
              <w:rPr>
                <w:sz w:val="20"/>
              </w:rPr>
              <w:t>C10.8,</w:t>
            </w:r>
            <w:r>
              <w:rPr>
                <w:spacing w:val="-5"/>
                <w:sz w:val="20"/>
              </w:rPr>
              <w:t> </w:t>
            </w:r>
            <w:r>
              <w:rPr>
                <w:sz w:val="20"/>
              </w:rPr>
              <w:t>C10.9,</w:t>
            </w:r>
            <w:r>
              <w:rPr>
                <w:spacing w:val="-5"/>
                <w:sz w:val="20"/>
              </w:rPr>
              <w:t> </w:t>
            </w:r>
            <w:r>
              <w:rPr>
                <w:spacing w:val="-2"/>
                <w:sz w:val="20"/>
              </w:rPr>
              <w:t>C11.0,</w:t>
            </w:r>
          </w:p>
          <w:p>
            <w:pPr>
              <w:pStyle w:val="TableParagraph"/>
              <w:spacing w:before="10"/>
              <w:ind w:left="232" w:right="2576"/>
              <w:jc w:val="center"/>
              <w:rPr>
                <w:sz w:val="20"/>
              </w:rPr>
            </w:pPr>
            <w:r>
              <w:rPr>
                <w:sz w:val="20"/>
              </w:rPr>
              <w:t>C11.1,</w:t>
            </w:r>
            <w:r>
              <w:rPr>
                <w:spacing w:val="-5"/>
                <w:sz w:val="20"/>
              </w:rPr>
              <w:t> </w:t>
            </w:r>
            <w:r>
              <w:rPr>
                <w:sz w:val="20"/>
              </w:rPr>
              <w:t>C11.2,</w:t>
            </w:r>
            <w:r>
              <w:rPr>
                <w:spacing w:val="-5"/>
                <w:sz w:val="20"/>
              </w:rPr>
              <w:t> </w:t>
            </w:r>
            <w:r>
              <w:rPr>
                <w:spacing w:val="-2"/>
                <w:sz w:val="20"/>
              </w:rPr>
              <w:t>C11.3,</w:t>
            </w:r>
          </w:p>
          <w:p>
            <w:pPr>
              <w:pStyle w:val="TableParagraph"/>
              <w:spacing w:before="10"/>
              <w:ind w:left="233" w:right="2576"/>
              <w:jc w:val="center"/>
              <w:rPr>
                <w:sz w:val="20"/>
              </w:rPr>
            </w:pPr>
            <w:r>
              <w:rPr>
                <w:sz w:val="20"/>
              </w:rPr>
              <w:t>C11.8,</w:t>
            </w:r>
            <w:r>
              <w:rPr>
                <w:spacing w:val="-5"/>
                <w:sz w:val="20"/>
              </w:rPr>
              <w:t> </w:t>
            </w:r>
            <w:r>
              <w:rPr>
                <w:sz w:val="20"/>
              </w:rPr>
              <w:t>C11.9,</w:t>
            </w:r>
            <w:r>
              <w:rPr>
                <w:spacing w:val="-5"/>
                <w:sz w:val="20"/>
              </w:rPr>
              <w:t> </w:t>
            </w:r>
            <w:r>
              <w:rPr>
                <w:spacing w:val="-4"/>
                <w:sz w:val="20"/>
              </w:rPr>
              <w:t>C12,</w:t>
            </w:r>
          </w:p>
          <w:p>
            <w:pPr>
              <w:pStyle w:val="TableParagraph"/>
              <w:spacing w:before="11"/>
              <w:ind w:left="232" w:right="2576"/>
              <w:jc w:val="center"/>
              <w:rPr>
                <w:sz w:val="20"/>
              </w:rPr>
            </w:pPr>
            <w:r>
              <w:rPr>
                <w:sz w:val="20"/>
              </w:rPr>
              <w:t>C13.0,</w:t>
            </w:r>
            <w:r>
              <w:rPr>
                <w:spacing w:val="-5"/>
                <w:sz w:val="20"/>
              </w:rPr>
              <w:t> </w:t>
            </w:r>
            <w:r>
              <w:rPr>
                <w:sz w:val="20"/>
              </w:rPr>
              <w:t>C13.1,</w:t>
            </w:r>
            <w:r>
              <w:rPr>
                <w:spacing w:val="-5"/>
                <w:sz w:val="20"/>
              </w:rPr>
              <w:t> </w:t>
            </w:r>
            <w:r>
              <w:rPr>
                <w:spacing w:val="-2"/>
                <w:sz w:val="20"/>
              </w:rPr>
              <w:t>C13.2,</w:t>
            </w:r>
          </w:p>
          <w:p>
            <w:pPr>
              <w:pStyle w:val="TableParagraph"/>
              <w:spacing w:before="10"/>
              <w:ind w:left="232" w:right="2576"/>
              <w:jc w:val="center"/>
              <w:rPr>
                <w:sz w:val="20"/>
              </w:rPr>
            </w:pPr>
            <w:r>
              <w:rPr>
                <w:sz w:val="20"/>
              </w:rPr>
              <w:t>C13.8,</w:t>
            </w:r>
            <w:r>
              <w:rPr>
                <w:spacing w:val="-5"/>
                <w:sz w:val="20"/>
              </w:rPr>
              <w:t> </w:t>
            </w:r>
            <w:r>
              <w:rPr>
                <w:sz w:val="20"/>
              </w:rPr>
              <w:t>C13.9,</w:t>
            </w:r>
            <w:r>
              <w:rPr>
                <w:spacing w:val="-5"/>
                <w:sz w:val="20"/>
              </w:rPr>
              <w:t> </w:t>
            </w:r>
            <w:r>
              <w:rPr>
                <w:spacing w:val="-2"/>
                <w:sz w:val="20"/>
              </w:rPr>
              <w:t>C14.0,</w:t>
            </w:r>
          </w:p>
          <w:p>
            <w:pPr>
              <w:pStyle w:val="TableParagraph"/>
              <w:spacing w:before="10"/>
              <w:ind w:left="232" w:right="2576"/>
              <w:jc w:val="center"/>
              <w:rPr>
                <w:sz w:val="20"/>
              </w:rPr>
            </w:pPr>
            <w:r>
              <w:rPr>
                <w:sz w:val="20"/>
              </w:rPr>
              <w:t>C14.2,</w:t>
            </w:r>
            <w:r>
              <w:rPr>
                <w:spacing w:val="-5"/>
                <w:sz w:val="20"/>
              </w:rPr>
              <w:t> </w:t>
            </w:r>
            <w:r>
              <w:rPr>
                <w:sz w:val="20"/>
              </w:rPr>
              <w:t>C14.8,</w:t>
            </w:r>
            <w:r>
              <w:rPr>
                <w:spacing w:val="-5"/>
                <w:sz w:val="20"/>
              </w:rPr>
              <w:t> </w:t>
            </w:r>
            <w:r>
              <w:rPr>
                <w:spacing w:val="-2"/>
                <w:sz w:val="20"/>
              </w:rPr>
              <w:t>C15.0,</w:t>
            </w:r>
          </w:p>
          <w:p>
            <w:pPr>
              <w:pStyle w:val="TableParagraph"/>
              <w:spacing w:before="10"/>
              <w:ind w:left="232" w:right="2576"/>
              <w:jc w:val="center"/>
              <w:rPr>
                <w:sz w:val="20"/>
              </w:rPr>
            </w:pPr>
            <w:r>
              <w:rPr>
                <w:sz w:val="20"/>
              </w:rPr>
              <w:t>C30.0,</w:t>
            </w:r>
            <w:r>
              <w:rPr>
                <w:spacing w:val="-5"/>
                <w:sz w:val="20"/>
              </w:rPr>
              <w:t> </w:t>
            </w:r>
            <w:r>
              <w:rPr>
                <w:sz w:val="20"/>
              </w:rPr>
              <w:t>С30.1,</w:t>
            </w:r>
            <w:r>
              <w:rPr>
                <w:spacing w:val="-5"/>
                <w:sz w:val="20"/>
              </w:rPr>
              <w:t> </w:t>
            </w:r>
            <w:r>
              <w:rPr>
                <w:spacing w:val="-2"/>
                <w:sz w:val="20"/>
              </w:rPr>
              <w:t>C31.0,</w:t>
            </w:r>
          </w:p>
          <w:p>
            <w:pPr>
              <w:pStyle w:val="TableParagraph"/>
              <w:spacing w:before="10"/>
              <w:ind w:left="232" w:right="2576"/>
              <w:jc w:val="center"/>
              <w:rPr>
                <w:sz w:val="20"/>
              </w:rPr>
            </w:pPr>
            <w:r>
              <w:rPr>
                <w:sz w:val="20"/>
              </w:rPr>
              <w:t>C31.1,</w:t>
            </w:r>
            <w:r>
              <w:rPr>
                <w:spacing w:val="-5"/>
                <w:sz w:val="20"/>
              </w:rPr>
              <w:t> </w:t>
            </w:r>
            <w:r>
              <w:rPr>
                <w:sz w:val="20"/>
              </w:rPr>
              <w:t>C31.2,</w:t>
            </w:r>
            <w:r>
              <w:rPr>
                <w:spacing w:val="-5"/>
                <w:sz w:val="20"/>
              </w:rPr>
              <w:t> </w:t>
            </w:r>
            <w:r>
              <w:rPr>
                <w:spacing w:val="-2"/>
                <w:sz w:val="20"/>
              </w:rPr>
              <w:t>C31.3,</w:t>
            </w:r>
          </w:p>
          <w:p>
            <w:pPr>
              <w:pStyle w:val="TableParagraph"/>
              <w:spacing w:before="10"/>
              <w:ind w:left="232" w:right="2576"/>
              <w:jc w:val="center"/>
              <w:rPr>
                <w:sz w:val="20"/>
              </w:rPr>
            </w:pPr>
            <w:r>
              <w:rPr>
                <w:sz w:val="20"/>
              </w:rPr>
              <w:t>C31.8,</w:t>
            </w:r>
            <w:r>
              <w:rPr>
                <w:spacing w:val="-5"/>
                <w:sz w:val="20"/>
              </w:rPr>
              <w:t> </w:t>
            </w:r>
            <w:r>
              <w:rPr>
                <w:sz w:val="20"/>
              </w:rPr>
              <w:t>C31.9,</w:t>
            </w:r>
            <w:r>
              <w:rPr>
                <w:spacing w:val="-5"/>
                <w:sz w:val="20"/>
              </w:rPr>
              <w:t> </w:t>
            </w:r>
            <w:r>
              <w:rPr>
                <w:spacing w:val="-2"/>
                <w:sz w:val="20"/>
              </w:rPr>
              <w:t>C32.0,</w:t>
            </w:r>
          </w:p>
          <w:p>
            <w:pPr>
              <w:pStyle w:val="TableParagraph"/>
              <w:spacing w:before="10"/>
              <w:ind w:left="235" w:right="2575"/>
              <w:jc w:val="center"/>
              <w:rPr>
                <w:sz w:val="20"/>
              </w:rPr>
            </w:pPr>
            <w:r>
              <w:rPr>
                <w:sz w:val="20"/>
              </w:rPr>
              <w:t>C32.1,</w:t>
            </w:r>
            <w:r>
              <w:rPr>
                <w:spacing w:val="-5"/>
                <w:sz w:val="20"/>
              </w:rPr>
              <w:t> </w:t>
            </w:r>
            <w:r>
              <w:rPr>
                <w:sz w:val="20"/>
              </w:rPr>
              <w:t>C32.2,</w:t>
            </w:r>
            <w:r>
              <w:rPr>
                <w:spacing w:val="-5"/>
                <w:sz w:val="20"/>
              </w:rPr>
              <w:t> </w:t>
            </w:r>
            <w:r>
              <w:rPr>
                <w:spacing w:val="-2"/>
                <w:sz w:val="20"/>
              </w:rPr>
              <w:t>C32.3,</w:t>
            </w:r>
          </w:p>
          <w:p>
            <w:pPr>
              <w:pStyle w:val="TableParagraph"/>
              <w:spacing w:before="10"/>
              <w:ind w:left="233" w:right="2576"/>
              <w:jc w:val="center"/>
              <w:rPr>
                <w:sz w:val="20"/>
              </w:rPr>
            </w:pPr>
            <w:r>
              <w:rPr>
                <w:sz w:val="20"/>
              </w:rPr>
              <w:t>C32.8,</w:t>
            </w:r>
            <w:r>
              <w:rPr>
                <w:spacing w:val="-5"/>
                <w:sz w:val="20"/>
              </w:rPr>
              <w:t> </w:t>
            </w:r>
            <w:r>
              <w:rPr>
                <w:sz w:val="20"/>
              </w:rPr>
              <w:t>C32.9,</w:t>
            </w:r>
            <w:r>
              <w:rPr>
                <w:spacing w:val="-5"/>
                <w:sz w:val="20"/>
              </w:rPr>
              <w:t> </w:t>
            </w:r>
            <w:r>
              <w:rPr>
                <w:spacing w:val="-4"/>
                <w:sz w:val="20"/>
              </w:rPr>
              <w:t>C33,</w:t>
            </w:r>
          </w:p>
          <w:p>
            <w:pPr>
              <w:pStyle w:val="TableParagraph"/>
              <w:spacing w:line="240" w:lineRule="atLeast"/>
              <w:ind w:left="129" w:right="2469" w:firstLine="3"/>
              <w:jc w:val="center"/>
              <w:rPr>
                <w:sz w:val="20"/>
              </w:rPr>
            </w:pPr>
            <w:r>
              <w:rPr>
                <w:sz w:val="20"/>
              </w:rPr>
              <w:t>C43.0 - C43.9, C44.0 - C44.9,</w:t>
            </w:r>
            <w:r>
              <w:rPr>
                <w:spacing w:val="-13"/>
                <w:sz w:val="20"/>
              </w:rPr>
              <w:t> </w:t>
            </w:r>
            <w:r>
              <w:rPr>
                <w:sz w:val="20"/>
              </w:rPr>
              <w:t>C49.0,</w:t>
            </w:r>
            <w:r>
              <w:rPr>
                <w:spacing w:val="-12"/>
                <w:sz w:val="20"/>
              </w:rPr>
              <w:t> </w:t>
            </w:r>
            <w:r>
              <w:rPr>
                <w:sz w:val="20"/>
              </w:rPr>
              <w:t>C69,</w:t>
            </w:r>
            <w:r>
              <w:rPr>
                <w:spacing w:val="-13"/>
                <w:sz w:val="20"/>
              </w:rPr>
              <w:t> </w:t>
            </w:r>
            <w:r>
              <w:rPr>
                <w:sz w:val="20"/>
              </w:rPr>
              <w:t>C73</w:t>
            </w:r>
          </w:p>
        </w:tc>
        <w:tc>
          <w:tcPr>
            <w:tcW w:w="6050" w:type="dxa"/>
          </w:tcPr>
          <w:p>
            <w:pPr>
              <w:pStyle w:val="TableParagraph"/>
              <w:spacing w:line="221" w:lineRule="exact"/>
              <w:ind w:left="2470"/>
              <w:rPr>
                <w:sz w:val="20"/>
              </w:rPr>
            </w:pPr>
            <w:r>
              <w:rPr>
                <w:w w:val="95"/>
                <w:sz w:val="20"/>
              </w:rPr>
              <w:t>орбитосинуальная</w:t>
            </w:r>
            <w:r>
              <w:rPr>
                <w:spacing w:val="60"/>
                <w:sz w:val="20"/>
              </w:rPr>
              <w:t> </w:t>
            </w:r>
            <w:r>
              <w:rPr>
                <w:spacing w:val="-2"/>
                <w:sz w:val="20"/>
              </w:rPr>
              <w:t>экзентерация</w:t>
            </w:r>
          </w:p>
        </w:tc>
      </w:tr>
      <w:tr>
        <w:trPr>
          <w:trHeight w:val="600" w:hRule="atLeast"/>
        </w:trPr>
        <w:tc>
          <w:tcPr>
            <w:tcW w:w="2688" w:type="dxa"/>
            <w:vMerge/>
            <w:tcBorders>
              <w:top w:val="nil"/>
            </w:tcBorders>
          </w:tcPr>
          <w:p>
            <w:pPr>
              <w:rPr>
                <w:sz w:val="2"/>
                <w:szCs w:val="2"/>
              </w:rPr>
            </w:pPr>
          </w:p>
        </w:tc>
        <w:tc>
          <w:tcPr>
            <w:tcW w:w="4534" w:type="dxa"/>
            <w:vMerge/>
            <w:tcBorders>
              <w:top w:val="nil"/>
            </w:tcBorders>
          </w:tcPr>
          <w:p>
            <w:pPr>
              <w:rPr>
                <w:sz w:val="2"/>
                <w:szCs w:val="2"/>
              </w:rPr>
            </w:pPr>
          </w:p>
        </w:tc>
        <w:tc>
          <w:tcPr>
            <w:tcW w:w="6050" w:type="dxa"/>
          </w:tcPr>
          <w:p>
            <w:pPr>
              <w:pStyle w:val="TableParagraph"/>
              <w:spacing w:line="249" w:lineRule="auto" w:before="60"/>
              <w:ind w:left="2470"/>
              <w:rPr>
                <w:sz w:val="20"/>
              </w:rPr>
            </w:pPr>
            <w:r>
              <w:rPr>
                <w:sz w:val="20"/>
              </w:rPr>
              <w:t>удаление</w:t>
            </w:r>
            <w:r>
              <w:rPr>
                <w:spacing w:val="-13"/>
                <w:sz w:val="20"/>
              </w:rPr>
              <w:t> </w:t>
            </w:r>
            <w:r>
              <w:rPr>
                <w:sz w:val="20"/>
              </w:rPr>
              <w:t>опухоли</w:t>
            </w:r>
            <w:r>
              <w:rPr>
                <w:spacing w:val="-12"/>
                <w:sz w:val="20"/>
              </w:rPr>
              <w:t> </w:t>
            </w:r>
            <w:r>
              <w:rPr>
                <w:sz w:val="20"/>
              </w:rPr>
              <w:t>орбиты</w:t>
            </w:r>
            <w:r>
              <w:rPr>
                <w:spacing w:val="-13"/>
                <w:sz w:val="20"/>
              </w:rPr>
              <w:t> </w:t>
            </w:r>
            <w:r>
              <w:rPr>
                <w:sz w:val="20"/>
              </w:rPr>
              <w:t>темпоральным </w:t>
            </w:r>
            <w:r>
              <w:rPr>
                <w:spacing w:val="-2"/>
                <w:sz w:val="20"/>
              </w:rPr>
              <w:t>доступом</w:t>
            </w:r>
          </w:p>
        </w:tc>
      </w:tr>
      <w:tr>
        <w:trPr>
          <w:trHeight w:val="600" w:hRule="atLeast"/>
        </w:trPr>
        <w:tc>
          <w:tcPr>
            <w:tcW w:w="2688" w:type="dxa"/>
            <w:vMerge/>
            <w:tcBorders>
              <w:top w:val="nil"/>
            </w:tcBorders>
          </w:tcPr>
          <w:p>
            <w:pPr>
              <w:rPr>
                <w:sz w:val="2"/>
                <w:szCs w:val="2"/>
              </w:rPr>
            </w:pPr>
          </w:p>
        </w:tc>
        <w:tc>
          <w:tcPr>
            <w:tcW w:w="4534" w:type="dxa"/>
            <w:vMerge/>
            <w:tcBorders>
              <w:top w:val="nil"/>
            </w:tcBorders>
          </w:tcPr>
          <w:p>
            <w:pPr>
              <w:rPr>
                <w:sz w:val="2"/>
                <w:szCs w:val="2"/>
              </w:rPr>
            </w:pPr>
          </w:p>
        </w:tc>
        <w:tc>
          <w:tcPr>
            <w:tcW w:w="6050" w:type="dxa"/>
          </w:tcPr>
          <w:p>
            <w:pPr>
              <w:pStyle w:val="TableParagraph"/>
              <w:spacing w:line="249" w:lineRule="auto" w:before="60"/>
              <w:ind w:left="2470" w:right="1110"/>
              <w:rPr>
                <w:sz w:val="20"/>
              </w:rPr>
            </w:pPr>
            <w:r>
              <w:rPr>
                <w:sz w:val="20"/>
              </w:rPr>
              <w:t>удаление опухоли орбиты транзигоматозным</w:t>
            </w:r>
            <w:r>
              <w:rPr>
                <w:spacing w:val="-13"/>
                <w:sz w:val="20"/>
              </w:rPr>
              <w:t> </w:t>
            </w:r>
            <w:r>
              <w:rPr>
                <w:sz w:val="20"/>
              </w:rPr>
              <w:t>доступом</w:t>
            </w:r>
          </w:p>
        </w:tc>
      </w:tr>
      <w:tr>
        <w:trPr>
          <w:trHeight w:val="420" w:hRule="atLeast"/>
        </w:trPr>
        <w:tc>
          <w:tcPr>
            <w:tcW w:w="2688" w:type="dxa"/>
            <w:vMerge/>
            <w:tcBorders>
              <w:top w:val="nil"/>
            </w:tcBorders>
          </w:tcPr>
          <w:p>
            <w:pPr>
              <w:rPr>
                <w:sz w:val="2"/>
                <w:szCs w:val="2"/>
              </w:rPr>
            </w:pPr>
          </w:p>
        </w:tc>
        <w:tc>
          <w:tcPr>
            <w:tcW w:w="4534" w:type="dxa"/>
            <w:vMerge/>
            <w:tcBorders>
              <w:top w:val="nil"/>
            </w:tcBorders>
          </w:tcPr>
          <w:p>
            <w:pPr>
              <w:rPr>
                <w:sz w:val="2"/>
                <w:szCs w:val="2"/>
              </w:rPr>
            </w:pPr>
          </w:p>
        </w:tc>
        <w:tc>
          <w:tcPr>
            <w:tcW w:w="6050" w:type="dxa"/>
          </w:tcPr>
          <w:p>
            <w:pPr>
              <w:pStyle w:val="TableParagraph"/>
              <w:spacing w:before="60"/>
              <w:ind w:left="2470"/>
              <w:rPr>
                <w:sz w:val="20"/>
              </w:rPr>
            </w:pPr>
            <w:r>
              <w:rPr>
                <w:spacing w:val="-2"/>
                <w:sz w:val="20"/>
              </w:rPr>
              <w:t>транскраниальная</w:t>
            </w:r>
            <w:r>
              <w:rPr>
                <w:spacing w:val="9"/>
                <w:sz w:val="20"/>
              </w:rPr>
              <w:t> </w:t>
            </w:r>
            <w:r>
              <w:rPr>
                <w:spacing w:val="-2"/>
                <w:sz w:val="20"/>
              </w:rPr>
              <w:t>верхняя</w:t>
            </w:r>
            <w:r>
              <w:rPr>
                <w:spacing w:val="9"/>
                <w:sz w:val="20"/>
              </w:rPr>
              <w:t> </w:t>
            </w:r>
            <w:r>
              <w:rPr>
                <w:spacing w:val="-2"/>
                <w:sz w:val="20"/>
              </w:rPr>
              <w:t>орбитотомия</w:t>
            </w:r>
          </w:p>
        </w:tc>
      </w:tr>
      <w:tr>
        <w:trPr>
          <w:trHeight w:val="300"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ind w:left="2470"/>
              <w:rPr>
                <w:sz w:val="20"/>
              </w:rPr>
            </w:pPr>
            <w:r>
              <w:rPr>
                <w:sz w:val="20"/>
              </w:rPr>
              <w:t>орбитотомия</w:t>
            </w:r>
            <w:r>
              <w:rPr>
                <w:spacing w:val="-8"/>
                <w:sz w:val="20"/>
              </w:rPr>
              <w:t> </w:t>
            </w:r>
            <w:r>
              <w:rPr>
                <w:sz w:val="20"/>
              </w:rPr>
              <w:t>с</w:t>
            </w:r>
            <w:r>
              <w:rPr>
                <w:spacing w:val="-6"/>
                <w:sz w:val="20"/>
              </w:rPr>
              <w:t> </w:t>
            </w:r>
            <w:r>
              <w:rPr>
                <w:sz w:val="20"/>
              </w:rPr>
              <w:t>ревизией</w:t>
            </w:r>
            <w:r>
              <w:rPr>
                <w:spacing w:val="-7"/>
                <w:sz w:val="20"/>
              </w:rPr>
              <w:t> </w:t>
            </w:r>
            <w:r>
              <w:rPr>
                <w:sz w:val="20"/>
              </w:rPr>
              <w:t>носовых</w:t>
            </w:r>
            <w:r>
              <w:rPr>
                <w:spacing w:val="-7"/>
                <w:sz w:val="20"/>
              </w:rPr>
              <w:t> </w:t>
            </w:r>
            <w:r>
              <w:rPr>
                <w:spacing w:val="-4"/>
                <w:sz w:val="20"/>
              </w:rPr>
              <w:t>пазух</w:t>
            </w:r>
          </w:p>
        </w:tc>
      </w:tr>
      <w:tr>
        <w:trPr>
          <w:trHeight w:val="586"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line="247" w:lineRule="auto" w:before="60"/>
              <w:ind w:left="2470"/>
              <w:rPr>
                <w:sz w:val="20"/>
              </w:rPr>
            </w:pPr>
            <w:r>
              <w:rPr>
                <w:sz w:val="20"/>
              </w:rPr>
              <w:t>органосохраняющее</w:t>
            </w:r>
            <w:r>
              <w:rPr>
                <w:spacing w:val="-13"/>
                <w:sz w:val="20"/>
              </w:rPr>
              <w:t> </w:t>
            </w:r>
            <w:r>
              <w:rPr>
                <w:sz w:val="20"/>
              </w:rPr>
              <w:t>удаление</w:t>
            </w:r>
            <w:r>
              <w:rPr>
                <w:spacing w:val="-12"/>
                <w:sz w:val="20"/>
              </w:rPr>
              <w:t> </w:t>
            </w:r>
            <w:r>
              <w:rPr>
                <w:sz w:val="20"/>
              </w:rPr>
              <w:t>опухоли </w:t>
            </w:r>
            <w:r>
              <w:rPr>
                <w:spacing w:val="-2"/>
                <w:sz w:val="20"/>
              </w:rPr>
              <w:t>орбиты</w:t>
            </w:r>
          </w:p>
        </w:tc>
      </w:tr>
      <w:tr>
        <w:trPr>
          <w:trHeight w:val="349"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before="49"/>
              <w:ind w:left="2470"/>
              <w:rPr>
                <w:sz w:val="20"/>
              </w:rPr>
            </w:pPr>
            <w:r>
              <w:rPr>
                <w:sz w:val="20"/>
              </w:rPr>
              <w:t>реконструкция</w:t>
            </w:r>
            <w:r>
              <w:rPr>
                <w:spacing w:val="-11"/>
                <w:sz w:val="20"/>
              </w:rPr>
              <w:t> </w:t>
            </w:r>
            <w:r>
              <w:rPr>
                <w:sz w:val="20"/>
              </w:rPr>
              <w:t>стенок</w:t>
            </w:r>
            <w:r>
              <w:rPr>
                <w:spacing w:val="-11"/>
                <w:sz w:val="20"/>
              </w:rPr>
              <w:t> </w:t>
            </w:r>
            <w:r>
              <w:rPr>
                <w:spacing w:val="-2"/>
                <w:sz w:val="20"/>
              </w:rPr>
              <w:t>глазницы</w:t>
            </w:r>
          </w:p>
        </w:tc>
      </w:tr>
      <w:tr>
        <w:trPr>
          <w:trHeight w:val="361"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before="60"/>
              <w:ind w:left="2470"/>
              <w:rPr>
                <w:sz w:val="20"/>
              </w:rPr>
            </w:pPr>
            <w:r>
              <w:rPr>
                <w:sz w:val="20"/>
              </w:rPr>
              <w:t>пластика</w:t>
            </w:r>
            <w:r>
              <w:rPr>
                <w:spacing w:val="-10"/>
                <w:sz w:val="20"/>
              </w:rPr>
              <w:t> </w:t>
            </w:r>
            <w:r>
              <w:rPr>
                <w:sz w:val="20"/>
              </w:rPr>
              <w:t>верхнего</w:t>
            </w:r>
            <w:r>
              <w:rPr>
                <w:spacing w:val="-9"/>
                <w:sz w:val="20"/>
              </w:rPr>
              <w:t> </w:t>
            </w:r>
            <w:r>
              <w:rPr>
                <w:spacing w:val="-4"/>
                <w:sz w:val="20"/>
              </w:rPr>
              <w:t>неба</w:t>
            </w:r>
          </w:p>
        </w:tc>
      </w:tr>
      <w:tr>
        <w:trPr>
          <w:trHeight w:val="590"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line="247" w:lineRule="auto" w:before="62"/>
              <w:ind w:left="2470"/>
              <w:rPr>
                <w:sz w:val="20"/>
              </w:rPr>
            </w:pPr>
            <w:r>
              <w:rPr>
                <w:sz w:val="20"/>
              </w:rPr>
              <w:t>глосэктомия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892"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line="249" w:lineRule="auto" w:before="52"/>
              <w:ind w:left="2470" w:right="98"/>
              <w:rPr>
                <w:sz w:val="20"/>
              </w:rPr>
            </w:pPr>
            <w:r>
              <w:rPr>
                <w:sz w:val="20"/>
              </w:rPr>
              <w:t>резекция</w:t>
            </w:r>
            <w:r>
              <w:rPr>
                <w:spacing w:val="-13"/>
                <w:sz w:val="20"/>
              </w:rPr>
              <w:t> </w:t>
            </w:r>
            <w:r>
              <w:rPr>
                <w:sz w:val="20"/>
              </w:rPr>
              <w:t>ротоглотки</w:t>
            </w:r>
            <w:r>
              <w:rPr>
                <w:spacing w:val="-12"/>
                <w:sz w:val="20"/>
              </w:rPr>
              <w:t> </w:t>
            </w:r>
            <w:r>
              <w:rPr>
                <w:sz w:val="20"/>
              </w:rPr>
              <w:t>комбинированная</w:t>
            </w:r>
            <w:r>
              <w:rPr>
                <w:spacing w:val="-13"/>
                <w:sz w:val="20"/>
              </w:rPr>
              <w:t> </w:t>
            </w:r>
            <w:r>
              <w:rPr>
                <w:sz w:val="20"/>
              </w:rPr>
              <w:t>с </w:t>
            </w:r>
            <w:r>
              <w:rPr>
                <w:spacing w:val="-2"/>
                <w:sz w:val="20"/>
              </w:rPr>
              <w:t>реконструктивно-пластическим компонентом</w:t>
            </w:r>
          </w:p>
        </w:tc>
      </w:tr>
      <w:tr>
        <w:trPr>
          <w:trHeight w:val="718"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180" w:lineRule="exact"/>
              <w:ind w:left="2470"/>
              <w:rPr>
                <w:sz w:val="20"/>
              </w:rPr>
            </w:pPr>
            <w:r>
              <w:rPr>
                <w:w w:val="95"/>
                <w:sz w:val="20"/>
              </w:rPr>
              <w:t>фарингэктомия</w:t>
            </w:r>
            <w:r>
              <w:rPr>
                <w:spacing w:val="54"/>
                <w:sz w:val="20"/>
              </w:rPr>
              <w:t> </w:t>
            </w:r>
            <w:r>
              <w:rPr>
                <w:w w:val="95"/>
                <w:sz w:val="20"/>
              </w:rPr>
              <w:t>комбинированная</w:t>
            </w:r>
            <w:r>
              <w:rPr>
                <w:spacing w:val="54"/>
                <w:sz w:val="20"/>
              </w:rPr>
              <w:t> </w:t>
            </w:r>
            <w:r>
              <w:rPr>
                <w:spacing w:val="-10"/>
                <w:w w:val="95"/>
                <w:sz w:val="20"/>
              </w:rPr>
              <w:t>с</w:t>
            </w:r>
          </w:p>
          <w:p>
            <w:pPr>
              <w:pStyle w:val="TableParagraph"/>
              <w:spacing w:line="247" w:lineRule="auto" w:before="10"/>
              <w:ind w:left="2470"/>
              <w:rPr>
                <w:sz w:val="20"/>
              </w:rPr>
            </w:pPr>
            <w:r>
              <w:rPr>
                <w:spacing w:val="-2"/>
                <w:sz w:val="20"/>
              </w:rPr>
              <w:t>реконструктивно-пластическим компонентом</w:t>
            </w:r>
          </w:p>
        </w:tc>
      </w:tr>
      <w:tr>
        <w:trPr>
          <w:trHeight w:val="820"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249" w:lineRule="auto" w:before="51"/>
              <w:ind w:left="2470"/>
              <w:rPr>
                <w:sz w:val="20"/>
              </w:rPr>
            </w:pPr>
            <w:r>
              <w:rPr>
                <w:sz w:val="20"/>
              </w:rPr>
              <w:t>иссечение новообразования мягких тканей</w:t>
            </w:r>
            <w:r>
              <w:rPr>
                <w:spacing w:val="-13"/>
                <w:sz w:val="20"/>
              </w:rPr>
              <w:t> </w:t>
            </w:r>
            <w:r>
              <w:rPr>
                <w:sz w:val="20"/>
              </w:rPr>
              <w:t>с</w:t>
            </w:r>
            <w:r>
              <w:rPr>
                <w:spacing w:val="-12"/>
                <w:sz w:val="20"/>
              </w:rPr>
              <w:t> </w:t>
            </w:r>
            <w:r>
              <w:rPr>
                <w:sz w:val="20"/>
              </w:rPr>
              <w:t>реконструктивно-пластическим </w:t>
            </w:r>
            <w:r>
              <w:rPr>
                <w:spacing w:val="-2"/>
                <w:sz w:val="20"/>
              </w:rPr>
              <w:t>компонентом</w:t>
            </w:r>
          </w:p>
        </w:tc>
      </w:tr>
      <w:tr>
        <w:trPr>
          <w:trHeight w:val="820"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249" w:lineRule="auto" w:before="52"/>
              <w:ind w:left="2470" w:right="107"/>
              <w:rPr>
                <w:sz w:val="20"/>
              </w:rPr>
            </w:pPr>
            <w:r>
              <w:rPr>
                <w:sz w:val="20"/>
              </w:rPr>
              <w:t>резекция</w:t>
            </w:r>
            <w:r>
              <w:rPr>
                <w:spacing w:val="-9"/>
                <w:sz w:val="20"/>
              </w:rPr>
              <w:t> </w:t>
            </w:r>
            <w:r>
              <w:rPr>
                <w:sz w:val="20"/>
              </w:rPr>
              <w:t>верхней</w:t>
            </w:r>
            <w:r>
              <w:rPr>
                <w:spacing w:val="-7"/>
                <w:sz w:val="20"/>
              </w:rPr>
              <w:t> </w:t>
            </w:r>
            <w:r>
              <w:rPr>
                <w:sz w:val="20"/>
              </w:rPr>
              <w:t>или</w:t>
            </w:r>
            <w:r>
              <w:rPr>
                <w:spacing w:val="-9"/>
                <w:sz w:val="20"/>
              </w:rPr>
              <w:t> </w:t>
            </w:r>
            <w:r>
              <w:rPr>
                <w:sz w:val="20"/>
              </w:rPr>
              <w:t>нижней</w:t>
            </w:r>
            <w:r>
              <w:rPr>
                <w:spacing w:val="-9"/>
                <w:sz w:val="20"/>
              </w:rPr>
              <w:t> </w:t>
            </w:r>
            <w:r>
              <w:rPr>
                <w:sz w:val="20"/>
              </w:rPr>
              <w:t>челюсти</w:t>
            </w:r>
            <w:r>
              <w:rPr>
                <w:spacing w:val="-9"/>
                <w:sz w:val="20"/>
              </w:rPr>
              <w:t> </w:t>
            </w:r>
            <w:r>
              <w:rPr>
                <w:sz w:val="20"/>
              </w:rPr>
              <w:t>с </w:t>
            </w:r>
            <w:r>
              <w:rPr>
                <w:spacing w:val="-2"/>
                <w:sz w:val="20"/>
              </w:rPr>
              <w:t>реконструктивно-пластическим компонентом</w:t>
            </w:r>
          </w:p>
        </w:tc>
      </w:tr>
      <w:tr>
        <w:trPr>
          <w:trHeight w:val="521"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240" w:lineRule="atLeast" w:before="22"/>
              <w:ind w:left="2470"/>
              <w:rPr>
                <w:sz w:val="20"/>
              </w:rPr>
            </w:pPr>
            <w:r>
              <w:rPr>
                <w:sz w:val="20"/>
              </w:rPr>
              <w:t>резекция</w:t>
            </w:r>
            <w:r>
              <w:rPr>
                <w:spacing w:val="-13"/>
                <w:sz w:val="20"/>
              </w:rPr>
              <w:t> </w:t>
            </w:r>
            <w:r>
              <w:rPr>
                <w:sz w:val="20"/>
              </w:rPr>
              <w:t>губы</w:t>
            </w:r>
            <w:r>
              <w:rPr>
                <w:spacing w:val="-12"/>
                <w:sz w:val="20"/>
              </w:rPr>
              <w:t> </w:t>
            </w:r>
            <w:r>
              <w:rPr>
                <w:sz w:val="20"/>
              </w:rPr>
              <w:t>с</w:t>
            </w:r>
            <w:r>
              <w:rPr>
                <w:spacing w:val="-13"/>
                <w:sz w:val="20"/>
              </w:rPr>
              <w:t> </w:t>
            </w:r>
            <w:r>
              <w:rPr>
                <w:sz w:val="20"/>
              </w:rPr>
              <w:t>реконструктивно- пластическим компонентом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7"/>
      </w:tblGrid>
      <w:tr>
        <w:trPr>
          <w:trHeight w:val="770" w:hRule="atLeast"/>
        </w:trPr>
        <w:tc>
          <w:tcPr>
            <w:tcW w:w="3657" w:type="dxa"/>
          </w:tcPr>
          <w:p>
            <w:pPr>
              <w:pStyle w:val="TableParagraph"/>
              <w:spacing w:line="249" w:lineRule="auto"/>
              <w:ind w:left="50" w:right="271"/>
              <w:rPr>
                <w:sz w:val="20"/>
              </w:rPr>
            </w:pPr>
            <w:r>
              <w:rPr>
                <w:sz w:val="20"/>
              </w:rPr>
              <w:t>резекция</w:t>
            </w:r>
            <w:r>
              <w:rPr>
                <w:spacing w:val="-13"/>
                <w:sz w:val="20"/>
              </w:rPr>
              <w:t> </w:t>
            </w:r>
            <w:r>
              <w:rPr>
                <w:sz w:val="20"/>
              </w:rPr>
              <w:t>черепно-лицевого</w:t>
            </w:r>
            <w:r>
              <w:rPr>
                <w:spacing w:val="-12"/>
                <w:sz w:val="20"/>
              </w:rPr>
              <w:t> </w:t>
            </w:r>
            <w:r>
              <w:rPr>
                <w:sz w:val="20"/>
              </w:rPr>
              <w:t>комплекса с реконструктивно-пластическим </w:t>
            </w:r>
            <w:r>
              <w:rPr>
                <w:spacing w:val="-2"/>
                <w:sz w:val="20"/>
              </w:rPr>
              <w:t>компонентом</w:t>
            </w:r>
          </w:p>
        </w:tc>
      </w:tr>
      <w:tr>
        <w:trPr>
          <w:trHeight w:val="840" w:hRule="atLeast"/>
        </w:trPr>
        <w:tc>
          <w:tcPr>
            <w:tcW w:w="3657" w:type="dxa"/>
          </w:tcPr>
          <w:p>
            <w:pPr>
              <w:pStyle w:val="TableParagraph"/>
              <w:spacing w:line="249" w:lineRule="auto" w:before="60"/>
              <w:ind w:left="50" w:right="892"/>
              <w:rPr>
                <w:sz w:val="20"/>
              </w:rPr>
            </w:pPr>
            <w:r>
              <w:rPr>
                <w:sz w:val="20"/>
              </w:rPr>
              <w:t>паротидэктомия радикальная с </w:t>
            </w:r>
            <w:r>
              <w:rPr>
                <w:spacing w:val="-2"/>
                <w:sz w:val="20"/>
              </w:rPr>
              <w:t>реконструктивно-пластическим компонентом</w:t>
            </w:r>
          </w:p>
        </w:tc>
      </w:tr>
      <w:tr>
        <w:trPr>
          <w:trHeight w:val="840" w:hRule="atLeast"/>
        </w:trPr>
        <w:tc>
          <w:tcPr>
            <w:tcW w:w="3657" w:type="dxa"/>
          </w:tcPr>
          <w:p>
            <w:pPr>
              <w:pStyle w:val="TableParagraph"/>
              <w:spacing w:line="249" w:lineRule="auto" w:before="60"/>
              <w:ind w:left="50" w:right="892"/>
              <w:rPr>
                <w:sz w:val="20"/>
              </w:rPr>
            </w:pPr>
            <w:r>
              <w:rPr>
                <w:sz w:val="20"/>
              </w:rPr>
              <w:t>резекция твердого неба с </w:t>
            </w:r>
            <w:r>
              <w:rPr>
                <w:spacing w:val="-2"/>
                <w:sz w:val="20"/>
              </w:rPr>
              <w:t>реконструктивно-пластическим компонентом</w:t>
            </w:r>
          </w:p>
        </w:tc>
      </w:tr>
      <w:tr>
        <w:trPr>
          <w:trHeight w:val="600" w:hRule="atLeast"/>
        </w:trPr>
        <w:tc>
          <w:tcPr>
            <w:tcW w:w="3657" w:type="dxa"/>
          </w:tcPr>
          <w:p>
            <w:pPr>
              <w:pStyle w:val="TableParagraph"/>
              <w:spacing w:line="249" w:lineRule="auto" w:before="60"/>
              <w:ind w:left="50" w:right="181"/>
              <w:rPr>
                <w:sz w:val="20"/>
              </w:rPr>
            </w:pPr>
            <w:r>
              <w:rPr>
                <w:sz w:val="20"/>
              </w:rPr>
              <w:t>резекция</w:t>
            </w:r>
            <w:r>
              <w:rPr>
                <w:spacing w:val="-13"/>
                <w:sz w:val="20"/>
              </w:rPr>
              <w:t> </w:t>
            </w:r>
            <w:r>
              <w:rPr>
                <w:sz w:val="20"/>
              </w:rPr>
              <w:t>глотки</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600" w:hRule="atLeast"/>
        </w:trPr>
        <w:tc>
          <w:tcPr>
            <w:tcW w:w="3657" w:type="dxa"/>
          </w:tcPr>
          <w:p>
            <w:pPr>
              <w:pStyle w:val="TableParagraph"/>
              <w:spacing w:line="252" w:lineRule="auto" w:before="60"/>
              <w:ind w:left="50" w:right="35"/>
              <w:rPr>
                <w:sz w:val="20"/>
              </w:rPr>
            </w:pPr>
            <w:r>
              <w:rPr>
                <w:sz w:val="20"/>
              </w:rPr>
              <w:t>ларингофарингэктомия</w:t>
            </w:r>
            <w:r>
              <w:rPr>
                <w:spacing w:val="-13"/>
                <w:sz w:val="20"/>
              </w:rPr>
              <w:t> </w:t>
            </w:r>
            <w:r>
              <w:rPr>
                <w:sz w:val="20"/>
              </w:rPr>
              <w:t>с</w:t>
            </w:r>
            <w:r>
              <w:rPr>
                <w:spacing w:val="-12"/>
                <w:sz w:val="20"/>
              </w:rPr>
              <w:t> </w:t>
            </w:r>
            <w:r>
              <w:rPr>
                <w:sz w:val="20"/>
              </w:rPr>
              <w:t>реконструкцией перемещенным лоскутом</w:t>
            </w:r>
          </w:p>
        </w:tc>
      </w:tr>
      <w:tr>
        <w:trPr>
          <w:trHeight w:val="840" w:hRule="atLeast"/>
        </w:trPr>
        <w:tc>
          <w:tcPr>
            <w:tcW w:w="3657" w:type="dxa"/>
          </w:tcPr>
          <w:p>
            <w:pPr>
              <w:pStyle w:val="TableParagraph"/>
              <w:spacing w:line="249" w:lineRule="auto" w:before="60"/>
              <w:ind w:left="50" w:right="123"/>
              <w:rPr>
                <w:sz w:val="20"/>
              </w:rPr>
            </w:pPr>
            <w:r>
              <w:rPr>
                <w:sz w:val="20"/>
              </w:rPr>
              <w:t>резекция</w:t>
            </w:r>
            <w:r>
              <w:rPr>
                <w:spacing w:val="-13"/>
                <w:sz w:val="20"/>
              </w:rPr>
              <w:t> </w:t>
            </w:r>
            <w:r>
              <w:rPr>
                <w:sz w:val="20"/>
              </w:rPr>
              <w:t>ротоглотки</w:t>
            </w:r>
            <w:r>
              <w:rPr>
                <w:spacing w:val="-12"/>
                <w:sz w:val="20"/>
              </w:rPr>
              <w:t> </w:t>
            </w:r>
            <w:r>
              <w:rPr>
                <w:sz w:val="20"/>
              </w:rPr>
              <w:t>комбинированная</w:t>
            </w:r>
            <w:r>
              <w:rPr>
                <w:spacing w:val="-13"/>
                <w:sz w:val="20"/>
              </w:rPr>
              <w:t> </w:t>
            </w:r>
            <w:r>
              <w:rPr>
                <w:sz w:val="20"/>
              </w:rPr>
              <w:t>с </w:t>
            </w:r>
            <w:r>
              <w:rPr>
                <w:spacing w:val="-2"/>
                <w:sz w:val="20"/>
              </w:rPr>
              <w:t>реконструктивно-пластическим компонентом</w:t>
            </w:r>
          </w:p>
        </w:tc>
      </w:tr>
      <w:tr>
        <w:trPr>
          <w:trHeight w:val="840" w:hRule="atLeast"/>
        </w:trPr>
        <w:tc>
          <w:tcPr>
            <w:tcW w:w="3657" w:type="dxa"/>
          </w:tcPr>
          <w:p>
            <w:pPr>
              <w:pStyle w:val="TableParagraph"/>
              <w:spacing w:line="249" w:lineRule="auto" w:before="60"/>
              <w:ind w:left="50" w:right="35"/>
              <w:rPr>
                <w:sz w:val="20"/>
              </w:rPr>
            </w:pPr>
            <w:r>
              <w:rPr>
                <w:sz w:val="20"/>
              </w:rPr>
              <w:t>резекция дна полости рта комбинированная</w:t>
            </w:r>
            <w:r>
              <w:rPr>
                <w:spacing w:val="-13"/>
                <w:sz w:val="20"/>
              </w:rPr>
              <w:t> </w:t>
            </w:r>
            <w:r>
              <w:rPr>
                <w:sz w:val="20"/>
              </w:rPr>
              <w:t>с</w:t>
            </w:r>
            <w:r>
              <w:rPr>
                <w:spacing w:val="-12"/>
                <w:sz w:val="20"/>
              </w:rPr>
              <w:t> </w:t>
            </w:r>
            <w:r>
              <w:rPr>
                <w:sz w:val="20"/>
              </w:rPr>
              <w:t>микрохирургической </w:t>
            </w:r>
            <w:r>
              <w:rPr>
                <w:spacing w:val="-2"/>
                <w:sz w:val="20"/>
              </w:rPr>
              <w:t>пластикой</w:t>
            </w:r>
          </w:p>
        </w:tc>
      </w:tr>
      <w:tr>
        <w:trPr>
          <w:trHeight w:val="960" w:hRule="atLeast"/>
        </w:trPr>
        <w:tc>
          <w:tcPr>
            <w:tcW w:w="3657" w:type="dxa"/>
          </w:tcPr>
          <w:p>
            <w:pPr>
              <w:pStyle w:val="TableParagraph"/>
              <w:spacing w:line="249" w:lineRule="auto" w:before="60"/>
              <w:ind w:left="50" w:right="809"/>
              <w:jc w:val="both"/>
              <w:rPr>
                <w:sz w:val="20"/>
              </w:rPr>
            </w:pPr>
            <w:r>
              <w:rPr>
                <w:sz w:val="20"/>
              </w:rPr>
              <w:t>ларингофарингоэзофагэктомия</w:t>
            </w:r>
            <w:r>
              <w:rPr>
                <w:spacing w:val="-13"/>
                <w:sz w:val="20"/>
              </w:rPr>
              <w:t> </w:t>
            </w:r>
            <w:r>
              <w:rPr>
                <w:sz w:val="20"/>
              </w:rPr>
              <w:t>с реконструкцией</w:t>
            </w:r>
            <w:r>
              <w:rPr>
                <w:spacing w:val="-10"/>
                <w:sz w:val="20"/>
              </w:rPr>
              <w:t> </w:t>
            </w:r>
            <w:r>
              <w:rPr>
                <w:sz w:val="20"/>
              </w:rPr>
              <w:t>висцеральными </w:t>
            </w:r>
            <w:r>
              <w:rPr>
                <w:spacing w:val="-2"/>
                <w:sz w:val="20"/>
              </w:rPr>
              <w:t>лоскутами</w:t>
            </w:r>
          </w:p>
        </w:tc>
      </w:tr>
      <w:tr>
        <w:trPr>
          <w:trHeight w:val="719" w:hRule="atLeast"/>
        </w:trPr>
        <w:tc>
          <w:tcPr>
            <w:tcW w:w="3657" w:type="dxa"/>
          </w:tcPr>
          <w:p>
            <w:pPr>
              <w:pStyle w:val="TableParagraph"/>
              <w:spacing w:line="249" w:lineRule="auto" w:before="180"/>
              <w:ind w:left="50" w:right="857"/>
              <w:rPr>
                <w:sz w:val="20"/>
              </w:rPr>
            </w:pPr>
            <w:r>
              <w:rPr>
                <w:sz w:val="20"/>
              </w:rPr>
              <w:t>резекция твердого неба с микрохирургической</w:t>
            </w:r>
            <w:r>
              <w:rPr>
                <w:spacing w:val="-13"/>
                <w:sz w:val="20"/>
              </w:rPr>
              <w:t> </w:t>
            </w:r>
            <w:r>
              <w:rPr>
                <w:sz w:val="20"/>
              </w:rPr>
              <w:t>пластикой</w:t>
            </w:r>
          </w:p>
        </w:tc>
      </w:tr>
      <w:tr>
        <w:trPr>
          <w:trHeight w:val="770" w:hRule="atLeast"/>
        </w:trPr>
        <w:tc>
          <w:tcPr>
            <w:tcW w:w="3657" w:type="dxa"/>
          </w:tcPr>
          <w:p>
            <w:pPr>
              <w:pStyle w:val="TableParagraph"/>
              <w:spacing w:line="240" w:lineRule="atLeast" w:before="30"/>
              <w:ind w:left="50" w:right="181"/>
              <w:rPr>
                <w:sz w:val="20"/>
              </w:rPr>
            </w:pPr>
            <w:r>
              <w:rPr>
                <w:sz w:val="20"/>
              </w:rPr>
              <w:t>резекция</w:t>
            </w:r>
            <w:r>
              <w:rPr>
                <w:spacing w:val="-13"/>
                <w:sz w:val="20"/>
              </w:rPr>
              <w:t> </w:t>
            </w:r>
            <w:r>
              <w:rPr>
                <w:sz w:val="20"/>
              </w:rPr>
              <w:t>гортани</w:t>
            </w:r>
            <w:r>
              <w:rPr>
                <w:spacing w:val="-12"/>
                <w:sz w:val="20"/>
              </w:rPr>
              <w:t> </w:t>
            </w:r>
            <w:r>
              <w:rPr>
                <w:sz w:val="20"/>
              </w:rPr>
              <w:t>с</w:t>
            </w:r>
            <w:r>
              <w:rPr>
                <w:spacing w:val="-13"/>
                <w:sz w:val="20"/>
              </w:rPr>
              <w:t> </w:t>
            </w:r>
            <w:r>
              <w:rPr>
                <w:sz w:val="20"/>
              </w:rPr>
              <w:t>реконструкцией посредством имплантата или биоинженерной реконструкцией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0"/>
      </w:tblGrid>
      <w:tr>
        <w:trPr>
          <w:trHeight w:val="530" w:hRule="atLeast"/>
        </w:trPr>
        <w:tc>
          <w:tcPr>
            <w:tcW w:w="3640" w:type="dxa"/>
          </w:tcPr>
          <w:p>
            <w:pPr>
              <w:pStyle w:val="TableParagraph"/>
              <w:spacing w:line="249" w:lineRule="auto"/>
              <w:ind w:left="50" w:right="3"/>
              <w:rPr>
                <w:sz w:val="20"/>
              </w:rPr>
            </w:pPr>
            <w:r>
              <w:rPr>
                <w:sz w:val="20"/>
              </w:rPr>
              <w:t>ларингофарингэктомия</w:t>
            </w:r>
            <w:r>
              <w:rPr>
                <w:spacing w:val="-13"/>
                <w:sz w:val="20"/>
              </w:rPr>
              <w:t> </w:t>
            </w:r>
            <w:r>
              <w:rPr>
                <w:sz w:val="20"/>
              </w:rPr>
              <w:t>с</w:t>
            </w:r>
            <w:r>
              <w:rPr>
                <w:spacing w:val="-12"/>
                <w:sz w:val="20"/>
              </w:rPr>
              <w:t> </w:t>
            </w:r>
            <w:r>
              <w:rPr>
                <w:sz w:val="20"/>
              </w:rPr>
              <w:t>биоинженерной </w:t>
            </w:r>
            <w:r>
              <w:rPr>
                <w:spacing w:val="-2"/>
                <w:sz w:val="20"/>
              </w:rPr>
              <w:t>реконструкцией</w:t>
            </w:r>
          </w:p>
        </w:tc>
      </w:tr>
      <w:tr>
        <w:trPr>
          <w:trHeight w:val="600" w:hRule="atLeast"/>
        </w:trPr>
        <w:tc>
          <w:tcPr>
            <w:tcW w:w="3640" w:type="dxa"/>
          </w:tcPr>
          <w:p>
            <w:pPr>
              <w:pStyle w:val="TableParagraph"/>
              <w:spacing w:line="252" w:lineRule="auto" w:before="60"/>
              <w:ind w:left="50" w:right="656"/>
              <w:rPr>
                <w:sz w:val="20"/>
              </w:rPr>
            </w:pPr>
            <w:r>
              <w:rPr>
                <w:sz w:val="20"/>
              </w:rPr>
              <w:t>ларингофарингэктомия с микрососудистой</w:t>
            </w:r>
            <w:r>
              <w:rPr>
                <w:spacing w:val="-13"/>
                <w:sz w:val="20"/>
              </w:rPr>
              <w:t> </w:t>
            </w:r>
            <w:r>
              <w:rPr>
                <w:sz w:val="20"/>
              </w:rPr>
              <w:t>реконструкцией</w:t>
            </w:r>
          </w:p>
        </w:tc>
      </w:tr>
      <w:tr>
        <w:trPr>
          <w:trHeight w:val="600" w:hRule="atLeast"/>
        </w:trPr>
        <w:tc>
          <w:tcPr>
            <w:tcW w:w="3640" w:type="dxa"/>
          </w:tcPr>
          <w:p>
            <w:pPr>
              <w:pStyle w:val="TableParagraph"/>
              <w:spacing w:line="249" w:lineRule="auto" w:before="60"/>
              <w:ind w:left="50" w:right="840"/>
              <w:rPr>
                <w:sz w:val="20"/>
              </w:rPr>
            </w:pPr>
            <w:r>
              <w:rPr>
                <w:sz w:val="20"/>
              </w:rPr>
              <w:t>резекция нижней челюсти с микрохирургической</w:t>
            </w:r>
            <w:r>
              <w:rPr>
                <w:spacing w:val="-13"/>
                <w:sz w:val="20"/>
              </w:rPr>
              <w:t> </w:t>
            </w:r>
            <w:r>
              <w:rPr>
                <w:sz w:val="20"/>
              </w:rPr>
              <w:t>пластикой</w:t>
            </w:r>
          </w:p>
        </w:tc>
      </w:tr>
      <w:tr>
        <w:trPr>
          <w:trHeight w:val="600" w:hRule="atLeast"/>
        </w:trPr>
        <w:tc>
          <w:tcPr>
            <w:tcW w:w="3640" w:type="dxa"/>
          </w:tcPr>
          <w:p>
            <w:pPr>
              <w:pStyle w:val="TableParagraph"/>
              <w:spacing w:line="249" w:lineRule="auto" w:before="60"/>
              <w:ind w:left="50" w:right="3"/>
              <w:rPr>
                <w:sz w:val="20"/>
              </w:rPr>
            </w:pPr>
            <w:r>
              <w:rPr>
                <w:sz w:val="20"/>
              </w:rPr>
              <w:t>резекция</w:t>
            </w:r>
            <w:r>
              <w:rPr>
                <w:spacing w:val="-13"/>
                <w:sz w:val="20"/>
              </w:rPr>
              <w:t> </w:t>
            </w:r>
            <w:r>
              <w:rPr>
                <w:sz w:val="20"/>
              </w:rPr>
              <w:t>ротоглотки</w:t>
            </w:r>
            <w:r>
              <w:rPr>
                <w:spacing w:val="-12"/>
                <w:sz w:val="20"/>
              </w:rPr>
              <w:t> </w:t>
            </w:r>
            <w:r>
              <w:rPr>
                <w:sz w:val="20"/>
              </w:rPr>
              <w:t>комбинированная</w:t>
            </w:r>
            <w:r>
              <w:rPr>
                <w:spacing w:val="-13"/>
                <w:sz w:val="20"/>
              </w:rPr>
              <w:t> </w:t>
            </w:r>
            <w:r>
              <w:rPr>
                <w:sz w:val="20"/>
              </w:rPr>
              <w:t>с микрохирургической реконструкцией</w:t>
            </w:r>
          </w:p>
        </w:tc>
      </w:tr>
      <w:tr>
        <w:trPr>
          <w:trHeight w:val="600" w:hRule="atLeast"/>
        </w:trPr>
        <w:tc>
          <w:tcPr>
            <w:tcW w:w="3640" w:type="dxa"/>
          </w:tcPr>
          <w:p>
            <w:pPr>
              <w:pStyle w:val="TableParagraph"/>
              <w:spacing w:line="249" w:lineRule="auto" w:before="60"/>
              <w:ind w:left="50" w:right="3"/>
              <w:rPr>
                <w:sz w:val="20"/>
              </w:rPr>
            </w:pPr>
            <w:r>
              <w:rPr>
                <w:sz w:val="20"/>
              </w:rPr>
              <w:t>тиреоидэктомия</w:t>
            </w:r>
            <w:r>
              <w:rPr>
                <w:spacing w:val="-13"/>
                <w:sz w:val="20"/>
              </w:rPr>
              <w:t> </w:t>
            </w:r>
            <w:r>
              <w:rPr>
                <w:sz w:val="20"/>
              </w:rPr>
              <w:t>с</w:t>
            </w:r>
            <w:r>
              <w:rPr>
                <w:spacing w:val="-12"/>
                <w:sz w:val="20"/>
              </w:rPr>
              <w:t> </w:t>
            </w:r>
            <w:r>
              <w:rPr>
                <w:sz w:val="20"/>
              </w:rPr>
              <w:t>микрохирургической </w:t>
            </w:r>
            <w:r>
              <w:rPr>
                <w:spacing w:val="-2"/>
                <w:sz w:val="20"/>
              </w:rPr>
              <w:t>пластикой</w:t>
            </w:r>
          </w:p>
        </w:tc>
      </w:tr>
      <w:tr>
        <w:trPr>
          <w:trHeight w:val="600" w:hRule="atLeast"/>
        </w:trPr>
        <w:tc>
          <w:tcPr>
            <w:tcW w:w="3640" w:type="dxa"/>
          </w:tcPr>
          <w:p>
            <w:pPr>
              <w:pStyle w:val="TableParagraph"/>
              <w:spacing w:line="249" w:lineRule="auto" w:before="60"/>
              <w:ind w:left="50" w:right="840"/>
              <w:rPr>
                <w:sz w:val="20"/>
              </w:rPr>
            </w:pPr>
            <w:r>
              <w:rPr>
                <w:sz w:val="20"/>
              </w:rPr>
              <w:t>резекция верхней челюсти с микрохирургической</w:t>
            </w:r>
            <w:r>
              <w:rPr>
                <w:spacing w:val="-13"/>
                <w:sz w:val="20"/>
              </w:rPr>
              <w:t> </w:t>
            </w:r>
            <w:r>
              <w:rPr>
                <w:sz w:val="20"/>
              </w:rPr>
              <w:t>пластикой</w:t>
            </w:r>
          </w:p>
        </w:tc>
      </w:tr>
      <w:tr>
        <w:trPr>
          <w:trHeight w:val="600" w:hRule="atLeast"/>
        </w:trPr>
        <w:tc>
          <w:tcPr>
            <w:tcW w:w="3640" w:type="dxa"/>
          </w:tcPr>
          <w:p>
            <w:pPr>
              <w:pStyle w:val="TableParagraph"/>
              <w:spacing w:line="249" w:lineRule="auto" w:before="60"/>
              <w:ind w:left="50" w:right="3"/>
              <w:rPr>
                <w:sz w:val="20"/>
              </w:rPr>
            </w:pPr>
            <w:r>
              <w:rPr>
                <w:sz w:val="20"/>
              </w:rPr>
              <w:t>лимфаденэктомия</w:t>
            </w:r>
            <w:r>
              <w:rPr>
                <w:spacing w:val="-13"/>
                <w:sz w:val="20"/>
              </w:rPr>
              <w:t> </w:t>
            </w:r>
            <w:r>
              <w:rPr>
                <w:sz w:val="20"/>
              </w:rPr>
              <w:t>шейная</w:t>
            </w:r>
            <w:r>
              <w:rPr>
                <w:spacing w:val="-12"/>
                <w:sz w:val="20"/>
              </w:rPr>
              <w:t> </w:t>
            </w:r>
            <w:r>
              <w:rPr>
                <w:sz w:val="20"/>
              </w:rPr>
              <w:t>расширенная</w:t>
            </w:r>
            <w:r>
              <w:rPr>
                <w:spacing w:val="-13"/>
                <w:sz w:val="20"/>
              </w:rPr>
              <w:t> </w:t>
            </w:r>
            <w:r>
              <w:rPr>
                <w:sz w:val="20"/>
              </w:rPr>
              <w:t>с </w:t>
            </w:r>
            <w:r>
              <w:rPr>
                <w:spacing w:val="-2"/>
                <w:sz w:val="20"/>
              </w:rPr>
              <w:t>ангиопластикой</w:t>
            </w:r>
          </w:p>
        </w:tc>
      </w:tr>
      <w:tr>
        <w:trPr>
          <w:trHeight w:val="840" w:hRule="atLeast"/>
        </w:trPr>
        <w:tc>
          <w:tcPr>
            <w:tcW w:w="3640" w:type="dxa"/>
          </w:tcPr>
          <w:p>
            <w:pPr>
              <w:pStyle w:val="TableParagraph"/>
              <w:spacing w:line="249" w:lineRule="auto" w:before="60"/>
              <w:ind w:left="50" w:right="297"/>
              <w:rPr>
                <w:sz w:val="20"/>
              </w:rPr>
            </w:pPr>
            <w:r>
              <w:rPr>
                <w:sz w:val="20"/>
              </w:rPr>
              <w:t>резекция</w:t>
            </w:r>
            <w:r>
              <w:rPr>
                <w:spacing w:val="-13"/>
                <w:sz w:val="20"/>
              </w:rPr>
              <w:t> </w:t>
            </w:r>
            <w:r>
              <w:rPr>
                <w:sz w:val="20"/>
              </w:rPr>
              <w:t>черепно-глазнично-лицевого комплекса с микрохирургической </w:t>
            </w:r>
            <w:r>
              <w:rPr>
                <w:spacing w:val="-2"/>
                <w:sz w:val="20"/>
              </w:rPr>
              <w:t>пластикой</w:t>
            </w:r>
          </w:p>
        </w:tc>
      </w:tr>
      <w:tr>
        <w:trPr>
          <w:trHeight w:val="600" w:hRule="atLeast"/>
        </w:trPr>
        <w:tc>
          <w:tcPr>
            <w:tcW w:w="3640" w:type="dxa"/>
          </w:tcPr>
          <w:p>
            <w:pPr>
              <w:pStyle w:val="TableParagraph"/>
              <w:spacing w:line="249" w:lineRule="auto" w:before="60"/>
              <w:ind w:left="50" w:right="3"/>
              <w:rPr>
                <w:sz w:val="20"/>
              </w:rPr>
            </w:pPr>
            <w:r>
              <w:rPr>
                <w:sz w:val="20"/>
              </w:rPr>
              <w:t>иссечение новообразования мягких тканей</w:t>
            </w:r>
            <w:r>
              <w:rPr>
                <w:spacing w:val="-13"/>
                <w:sz w:val="20"/>
              </w:rPr>
              <w:t> </w:t>
            </w:r>
            <w:r>
              <w:rPr>
                <w:sz w:val="20"/>
              </w:rPr>
              <w:t>с</w:t>
            </w:r>
            <w:r>
              <w:rPr>
                <w:spacing w:val="-12"/>
                <w:sz w:val="20"/>
              </w:rPr>
              <w:t> </w:t>
            </w:r>
            <w:r>
              <w:rPr>
                <w:sz w:val="20"/>
              </w:rPr>
              <w:t>микрохирургической</w:t>
            </w:r>
            <w:r>
              <w:rPr>
                <w:spacing w:val="-13"/>
                <w:sz w:val="20"/>
              </w:rPr>
              <w:t> </w:t>
            </w:r>
            <w:r>
              <w:rPr>
                <w:sz w:val="20"/>
              </w:rPr>
              <w:t>пластикой</w:t>
            </w:r>
          </w:p>
        </w:tc>
      </w:tr>
      <w:tr>
        <w:trPr>
          <w:trHeight w:val="720" w:hRule="atLeast"/>
        </w:trPr>
        <w:tc>
          <w:tcPr>
            <w:tcW w:w="3640" w:type="dxa"/>
          </w:tcPr>
          <w:p>
            <w:pPr>
              <w:pStyle w:val="TableParagraph"/>
              <w:spacing w:line="252" w:lineRule="auto" w:before="60"/>
              <w:ind w:left="50" w:right="3"/>
              <w:rPr>
                <w:sz w:val="20"/>
              </w:rPr>
            </w:pPr>
            <w:r>
              <w:rPr>
                <w:sz w:val="20"/>
              </w:rPr>
              <w:t>резекция</w:t>
            </w:r>
            <w:r>
              <w:rPr>
                <w:spacing w:val="-13"/>
                <w:sz w:val="20"/>
              </w:rPr>
              <w:t> </w:t>
            </w:r>
            <w:r>
              <w:rPr>
                <w:sz w:val="20"/>
              </w:rPr>
              <w:t>черепно-лицевого</w:t>
            </w:r>
            <w:r>
              <w:rPr>
                <w:spacing w:val="-12"/>
                <w:sz w:val="20"/>
              </w:rPr>
              <w:t> </w:t>
            </w:r>
            <w:r>
              <w:rPr>
                <w:sz w:val="20"/>
              </w:rPr>
              <w:t>комплекса</w:t>
            </w:r>
            <w:r>
              <w:rPr>
                <w:spacing w:val="-13"/>
                <w:sz w:val="20"/>
              </w:rPr>
              <w:t> </w:t>
            </w:r>
            <w:r>
              <w:rPr>
                <w:sz w:val="20"/>
              </w:rPr>
              <w:t>с микрохирургической пластикой</w:t>
            </w:r>
          </w:p>
        </w:tc>
      </w:tr>
      <w:tr>
        <w:trPr>
          <w:trHeight w:val="959" w:hRule="atLeast"/>
        </w:trPr>
        <w:tc>
          <w:tcPr>
            <w:tcW w:w="3640" w:type="dxa"/>
          </w:tcPr>
          <w:p>
            <w:pPr>
              <w:pStyle w:val="TableParagraph"/>
              <w:spacing w:line="249" w:lineRule="auto" w:before="180"/>
              <w:ind w:left="50" w:right="3"/>
              <w:rPr>
                <w:sz w:val="20"/>
              </w:rPr>
            </w:pPr>
            <w:r>
              <w:rPr>
                <w:sz w:val="20"/>
              </w:rPr>
              <w:t>удаление внеорганной опухоли с комбинированной</w:t>
            </w:r>
            <w:r>
              <w:rPr>
                <w:spacing w:val="-13"/>
                <w:sz w:val="20"/>
              </w:rPr>
              <w:t> </w:t>
            </w:r>
            <w:r>
              <w:rPr>
                <w:sz w:val="20"/>
              </w:rPr>
              <w:t>резекцией</w:t>
            </w:r>
            <w:r>
              <w:rPr>
                <w:spacing w:val="-12"/>
                <w:sz w:val="20"/>
              </w:rPr>
              <w:t> </w:t>
            </w:r>
            <w:r>
              <w:rPr>
                <w:sz w:val="20"/>
              </w:rPr>
              <w:t>соседних </w:t>
            </w:r>
            <w:r>
              <w:rPr>
                <w:spacing w:val="-2"/>
                <w:sz w:val="20"/>
              </w:rPr>
              <w:t>органов</w:t>
            </w:r>
          </w:p>
        </w:tc>
      </w:tr>
      <w:tr>
        <w:trPr>
          <w:trHeight w:val="530" w:hRule="atLeast"/>
        </w:trPr>
        <w:tc>
          <w:tcPr>
            <w:tcW w:w="3640" w:type="dxa"/>
          </w:tcPr>
          <w:p>
            <w:pPr>
              <w:pStyle w:val="TableParagraph"/>
              <w:spacing w:line="240" w:lineRule="atLeast" w:before="30"/>
              <w:ind w:left="50" w:right="3"/>
              <w:rPr>
                <w:sz w:val="20"/>
              </w:rPr>
            </w:pPr>
            <w:r>
              <w:rPr>
                <w:sz w:val="20"/>
              </w:rPr>
              <w:t>удаление</w:t>
            </w:r>
            <w:r>
              <w:rPr>
                <w:spacing w:val="-13"/>
                <w:sz w:val="20"/>
              </w:rPr>
              <w:t> </w:t>
            </w:r>
            <w:r>
              <w:rPr>
                <w:sz w:val="20"/>
              </w:rPr>
              <w:t>внеорганной</w:t>
            </w:r>
            <w:r>
              <w:rPr>
                <w:spacing w:val="-12"/>
                <w:sz w:val="20"/>
              </w:rPr>
              <w:t> </w:t>
            </w:r>
            <w:r>
              <w:rPr>
                <w:sz w:val="20"/>
              </w:rPr>
              <w:t>опухоли</w:t>
            </w:r>
            <w:r>
              <w:rPr>
                <w:spacing w:val="-13"/>
                <w:sz w:val="20"/>
              </w:rPr>
              <w:t> </w:t>
            </w:r>
            <w:r>
              <w:rPr>
                <w:sz w:val="20"/>
              </w:rPr>
              <w:t>с </w:t>
            </w:r>
            <w:r>
              <w:rPr>
                <w:spacing w:val="-2"/>
                <w:sz w:val="20"/>
              </w:rPr>
              <w:t>ангиопластикой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1"/>
      </w:tblGrid>
      <w:tr>
        <w:trPr>
          <w:trHeight w:val="530" w:hRule="atLeast"/>
        </w:trPr>
        <w:tc>
          <w:tcPr>
            <w:tcW w:w="3651" w:type="dxa"/>
          </w:tcPr>
          <w:p>
            <w:pPr>
              <w:pStyle w:val="TableParagraph"/>
              <w:spacing w:line="249" w:lineRule="auto"/>
              <w:ind w:left="50"/>
              <w:rPr>
                <w:sz w:val="20"/>
              </w:rPr>
            </w:pPr>
            <w:r>
              <w:rPr>
                <w:sz w:val="20"/>
              </w:rPr>
              <w:t>удаление</w:t>
            </w:r>
            <w:r>
              <w:rPr>
                <w:spacing w:val="-13"/>
                <w:sz w:val="20"/>
              </w:rPr>
              <w:t> </w:t>
            </w:r>
            <w:r>
              <w:rPr>
                <w:sz w:val="20"/>
              </w:rPr>
              <w:t>внеорганной</w:t>
            </w:r>
            <w:r>
              <w:rPr>
                <w:spacing w:val="-12"/>
                <w:sz w:val="20"/>
              </w:rPr>
              <w:t> </w:t>
            </w:r>
            <w:r>
              <w:rPr>
                <w:sz w:val="20"/>
              </w:rPr>
              <w:t>опухоли</w:t>
            </w:r>
            <w:r>
              <w:rPr>
                <w:spacing w:val="-13"/>
                <w:sz w:val="20"/>
              </w:rPr>
              <w:t> </w:t>
            </w:r>
            <w:r>
              <w:rPr>
                <w:sz w:val="20"/>
              </w:rPr>
              <w:t>с пластикой нервов</w:t>
            </w:r>
          </w:p>
        </w:tc>
      </w:tr>
      <w:tr>
        <w:trPr>
          <w:trHeight w:val="840" w:hRule="atLeast"/>
        </w:trPr>
        <w:tc>
          <w:tcPr>
            <w:tcW w:w="3651" w:type="dxa"/>
          </w:tcPr>
          <w:p>
            <w:pPr>
              <w:pStyle w:val="TableParagraph"/>
              <w:spacing w:line="249" w:lineRule="auto" w:before="60"/>
              <w:ind w:left="50" w:right="805"/>
              <w:rPr>
                <w:sz w:val="20"/>
              </w:rPr>
            </w:pPr>
            <w:r>
              <w:rPr>
                <w:sz w:val="20"/>
              </w:rPr>
              <w:t>резекция</w:t>
            </w:r>
            <w:r>
              <w:rPr>
                <w:spacing w:val="-13"/>
                <w:sz w:val="20"/>
              </w:rPr>
              <w:t> </w:t>
            </w:r>
            <w:r>
              <w:rPr>
                <w:sz w:val="20"/>
              </w:rPr>
              <w:t>грушевидного</w:t>
            </w:r>
            <w:r>
              <w:rPr>
                <w:spacing w:val="-12"/>
                <w:sz w:val="20"/>
              </w:rPr>
              <w:t> </w:t>
            </w:r>
            <w:r>
              <w:rPr>
                <w:sz w:val="20"/>
              </w:rPr>
              <w:t>синуса</w:t>
            </w:r>
            <w:r>
              <w:rPr>
                <w:spacing w:val="-13"/>
                <w:sz w:val="20"/>
              </w:rPr>
              <w:t> </w:t>
            </w:r>
            <w:r>
              <w:rPr>
                <w:sz w:val="20"/>
              </w:rPr>
              <w:t>с </w:t>
            </w:r>
            <w:r>
              <w:rPr>
                <w:spacing w:val="-2"/>
                <w:sz w:val="20"/>
              </w:rPr>
              <w:t>реконструктивно-пластическим компонентом</w:t>
            </w:r>
          </w:p>
        </w:tc>
      </w:tr>
      <w:tr>
        <w:trPr>
          <w:trHeight w:val="600" w:hRule="atLeast"/>
        </w:trPr>
        <w:tc>
          <w:tcPr>
            <w:tcW w:w="3651" w:type="dxa"/>
          </w:tcPr>
          <w:p>
            <w:pPr>
              <w:pStyle w:val="TableParagraph"/>
              <w:spacing w:line="249" w:lineRule="auto" w:before="60"/>
              <w:ind w:left="50"/>
              <w:rPr>
                <w:sz w:val="20"/>
              </w:rPr>
            </w:pPr>
            <w:r>
              <w:rPr>
                <w:sz w:val="20"/>
              </w:rPr>
              <w:t>фарингэктомия</w:t>
            </w:r>
            <w:r>
              <w:rPr>
                <w:spacing w:val="-13"/>
                <w:sz w:val="20"/>
              </w:rPr>
              <w:t> </w:t>
            </w:r>
            <w:r>
              <w:rPr>
                <w:sz w:val="20"/>
              </w:rPr>
              <w:t>комбинированная</w:t>
            </w:r>
            <w:r>
              <w:rPr>
                <w:spacing w:val="-12"/>
                <w:sz w:val="20"/>
              </w:rPr>
              <w:t> </w:t>
            </w:r>
            <w:r>
              <w:rPr>
                <w:sz w:val="20"/>
              </w:rPr>
              <w:t>с микрососудистой реконструкцией</w:t>
            </w:r>
          </w:p>
        </w:tc>
      </w:tr>
      <w:tr>
        <w:trPr>
          <w:trHeight w:val="600" w:hRule="atLeast"/>
        </w:trPr>
        <w:tc>
          <w:tcPr>
            <w:tcW w:w="3651" w:type="dxa"/>
          </w:tcPr>
          <w:p>
            <w:pPr>
              <w:pStyle w:val="TableParagraph"/>
              <w:spacing w:line="249" w:lineRule="auto" w:before="60"/>
              <w:ind w:left="50"/>
              <w:rPr>
                <w:sz w:val="20"/>
              </w:rPr>
            </w:pPr>
            <w:r>
              <w:rPr>
                <w:sz w:val="20"/>
              </w:rPr>
              <w:t>резекция</w:t>
            </w:r>
            <w:r>
              <w:rPr>
                <w:spacing w:val="-13"/>
                <w:sz w:val="20"/>
              </w:rPr>
              <w:t> </w:t>
            </w:r>
            <w:r>
              <w:rPr>
                <w:sz w:val="20"/>
              </w:rPr>
              <w:t>глотки</w:t>
            </w:r>
            <w:r>
              <w:rPr>
                <w:spacing w:val="-12"/>
                <w:sz w:val="20"/>
              </w:rPr>
              <w:t> </w:t>
            </w:r>
            <w:r>
              <w:rPr>
                <w:sz w:val="20"/>
              </w:rPr>
              <w:t>с</w:t>
            </w:r>
            <w:r>
              <w:rPr>
                <w:spacing w:val="-13"/>
                <w:sz w:val="20"/>
              </w:rPr>
              <w:t> </w:t>
            </w:r>
            <w:r>
              <w:rPr>
                <w:sz w:val="20"/>
              </w:rPr>
              <w:t>микрососудистой </w:t>
            </w:r>
            <w:r>
              <w:rPr>
                <w:spacing w:val="-2"/>
                <w:sz w:val="20"/>
              </w:rPr>
              <w:t>реконструкцией</w:t>
            </w:r>
          </w:p>
        </w:tc>
      </w:tr>
      <w:tr>
        <w:trPr>
          <w:trHeight w:val="600" w:hRule="atLeast"/>
        </w:trPr>
        <w:tc>
          <w:tcPr>
            <w:tcW w:w="3651" w:type="dxa"/>
          </w:tcPr>
          <w:p>
            <w:pPr>
              <w:pStyle w:val="TableParagraph"/>
              <w:spacing w:line="249" w:lineRule="auto" w:before="60"/>
              <w:ind w:left="50" w:right="297"/>
              <w:rPr>
                <w:sz w:val="20"/>
              </w:rPr>
            </w:pPr>
            <w:r>
              <w:rPr>
                <w:sz w:val="20"/>
              </w:rPr>
              <w:t>пластика</w:t>
            </w:r>
            <w:r>
              <w:rPr>
                <w:spacing w:val="-13"/>
                <w:sz w:val="20"/>
              </w:rPr>
              <w:t> </w:t>
            </w:r>
            <w:r>
              <w:rPr>
                <w:sz w:val="20"/>
              </w:rPr>
              <w:t>трахеи</w:t>
            </w:r>
            <w:r>
              <w:rPr>
                <w:spacing w:val="-12"/>
                <w:sz w:val="20"/>
              </w:rPr>
              <w:t> </w:t>
            </w:r>
            <w:r>
              <w:rPr>
                <w:sz w:val="20"/>
              </w:rPr>
              <w:t>биоинженерным </w:t>
            </w:r>
            <w:r>
              <w:rPr>
                <w:spacing w:val="-2"/>
                <w:sz w:val="20"/>
              </w:rPr>
              <w:t>лоскутом</w:t>
            </w:r>
          </w:p>
        </w:tc>
      </w:tr>
      <w:tr>
        <w:trPr>
          <w:trHeight w:val="1080" w:hRule="atLeast"/>
        </w:trPr>
        <w:tc>
          <w:tcPr>
            <w:tcW w:w="3651" w:type="dxa"/>
          </w:tcPr>
          <w:p>
            <w:pPr>
              <w:pStyle w:val="TableParagraph"/>
              <w:spacing w:line="249" w:lineRule="auto" w:before="60"/>
              <w:ind w:left="50"/>
              <w:rPr>
                <w:sz w:val="20"/>
              </w:rPr>
            </w:pPr>
            <w:r>
              <w:rPr>
                <w:sz w:val="20"/>
              </w:rPr>
              <w:t>реконструкция</w:t>
            </w:r>
            <w:r>
              <w:rPr>
                <w:spacing w:val="-9"/>
                <w:sz w:val="20"/>
              </w:rPr>
              <w:t> </w:t>
            </w:r>
            <w:r>
              <w:rPr>
                <w:sz w:val="20"/>
              </w:rPr>
              <w:t>и</w:t>
            </w:r>
            <w:r>
              <w:rPr>
                <w:spacing w:val="-12"/>
                <w:sz w:val="20"/>
              </w:rPr>
              <w:t> </w:t>
            </w:r>
            <w:r>
              <w:rPr>
                <w:sz w:val="20"/>
              </w:rPr>
              <w:t>пластика</w:t>
            </w:r>
            <w:r>
              <w:rPr>
                <w:spacing w:val="-11"/>
                <w:sz w:val="20"/>
              </w:rPr>
              <w:t> </w:t>
            </w:r>
            <w:r>
              <w:rPr>
                <w:sz w:val="20"/>
              </w:rPr>
              <w:t>трахеостомы</w:t>
            </w:r>
            <w:r>
              <w:rPr>
                <w:spacing w:val="-11"/>
                <w:sz w:val="20"/>
              </w:rPr>
              <w:t> </w:t>
            </w:r>
            <w:r>
              <w:rPr>
                <w:sz w:val="20"/>
              </w:rPr>
              <w:t>и фарингостомы с отсроченным трахеопищеводным шунтированием и голосовым протезированием</w:t>
            </w:r>
          </w:p>
        </w:tc>
      </w:tr>
      <w:tr>
        <w:trPr>
          <w:trHeight w:val="1320" w:hRule="atLeast"/>
        </w:trPr>
        <w:tc>
          <w:tcPr>
            <w:tcW w:w="3651" w:type="dxa"/>
          </w:tcPr>
          <w:p>
            <w:pPr>
              <w:pStyle w:val="TableParagraph"/>
              <w:spacing w:line="249" w:lineRule="auto" w:before="60"/>
              <w:ind w:left="50" w:right="297"/>
              <w:rPr>
                <w:sz w:val="20"/>
              </w:rPr>
            </w:pPr>
            <w:r>
              <w:rPr>
                <w:sz w:val="20"/>
              </w:rPr>
              <w:t>расширенная</w:t>
            </w:r>
            <w:r>
              <w:rPr>
                <w:spacing w:val="-13"/>
                <w:sz w:val="20"/>
              </w:rPr>
              <w:t> </w:t>
            </w:r>
            <w:r>
              <w:rPr>
                <w:sz w:val="20"/>
              </w:rPr>
              <w:t>ларингофарингэктомия</w:t>
            </w:r>
            <w:r>
              <w:rPr>
                <w:spacing w:val="-12"/>
                <w:sz w:val="20"/>
              </w:rPr>
              <w:t> </w:t>
            </w:r>
            <w:r>
              <w:rPr>
                <w:sz w:val="20"/>
              </w:rPr>
              <w:t>с </w:t>
            </w:r>
            <w:r>
              <w:rPr>
                <w:spacing w:val="-2"/>
                <w:sz w:val="20"/>
              </w:rPr>
              <w:t>реконструктивно-пластическим </w:t>
            </w:r>
            <w:r>
              <w:rPr>
                <w:sz w:val="20"/>
              </w:rPr>
              <w:t>компонентом и одномоментным трахеопищеводным шунтированием и голосовым протезированием</w:t>
            </w:r>
          </w:p>
        </w:tc>
      </w:tr>
      <w:tr>
        <w:trPr>
          <w:trHeight w:val="600" w:hRule="atLeast"/>
        </w:trPr>
        <w:tc>
          <w:tcPr>
            <w:tcW w:w="3651" w:type="dxa"/>
          </w:tcPr>
          <w:p>
            <w:pPr>
              <w:pStyle w:val="TableParagraph"/>
              <w:spacing w:line="252" w:lineRule="auto" w:before="60"/>
              <w:ind w:left="50"/>
              <w:rPr>
                <w:sz w:val="20"/>
              </w:rPr>
            </w:pPr>
            <w:r>
              <w:rPr>
                <w:sz w:val="20"/>
              </w:rPr>
              <w:t>ларингэктомия</w:t>
            </w:r>
            <w:r>
              <w:rPr>
                <w:spacing w:val="-13"/>
                <w:sz w:val="20"/>
              </w:rPr>
              <w:t> </w:t>
            </w:r>
            <w:r>
              <w:rPr>
                <w:sz w:val="20"/>
              </w:rPr>
              <w:t>с</w:t>
            </w:r>
            <w:r>
              <w:rPr>
                <w:spacing w:val="-12"/>
                <w:sz w:val="20"/>
              </w:rPr>
              <w:t> </w:t>
            </w:r>
            <w:r>
              <w:rPr>
                <w:sz w:val="20"/>
              </w:rPr>
              <w:t>пластическим оформлением трахеостомы</w:t>
            </w:r>
          </w:p>
        </w:tc>
      </w:tr>
      <w:tr>
        <w:trPr>
          <w:trHeight w:val="600" w:hRule="atLeast"/>
        </w:trPr>
        <w:tc>
          <w:tcPr>
            <w:tcW w:w="3651" w:type="dxa"/>
          </w:tcPr>
          <w:p>
            <w:pPr>
              <w:pStyle w:val="TableParagraph"/>
              <w:spacing w:line="249" w:lineRule="auto" w:before="60"/>
              <w:ind w:left="50" w:right="700"/>
              <w:rPr>
                <w:sz w:val="20"/>
              </w:rPr>
            </w:pPr>
            <w:r>
              <w:rPr>
                <w:sz w:val="20"/>
              </w:rPr>
              <w:t>отсроченная</w:t>
            </w:r>
            <w:r>
              <w:rPr>
                <w:spacing w:val="-13"/>
                <w:sz w:val="20"/>
              </w:rPr>
              <w:t> </w:t>
            </w:r>
            <w:r>
              <w:rPr>
                <w:sz w:val="20"/>
              </w:rPr>
              <w:t>микрохирургическая пластика (все виды)</w:t>
            </w:r>
          </w:p>
        </w:tc>
      </w:tr>
      <w:tr>
        <w:trPr>
          <w:trHeight w:val="359" w:hRule="atLeast"/>
        </w:trPr>
        <w:tc>
          <w:tcPr>
            <w:tcW w:w="3651" w:type="dxa"/>
          </w:tcPr>
          <w:p>
            <w:pPr>
              <w:pStyle w:val="TableParagraph"/>
              <w:spacing w:before="60"/>
              <w:ind w:left="50"/>
              <w:rPr>
                <w:sz w:val="20"/>
              </w:rPr>
            </w:pPr>
            <w:r>
              <w:rPr>
                <w:sz w:val="20"/>
              </w:rPr>
              <w:t>резекция</w:t>
            </w:r>
            <w:r>
              <w:rPr>
                <w:spacing w:val="-10"/>
                <w:sz w:val="20"/>
              </w:rPr>
              <w:t> </w:t>
            </w:r>
            <w:r>
              <w:rPr>
                <w:sz w:val="20"/>
              </w:rPr>
              <w:t>ротоглотки</w:t>
            </w:r>
            <w:r>
              <w:rPr>
                <w:spacing w:val="-10"/>
                <w:sz w:val="20"/>
              </w:rPr>
              <w:t> </w:t>
            </w:r>
            <w:r>
              <w:rPr>
                <w:spacing w:val="-2"/>
                <w:sz w:val="20"/>
              </w:rPr>
              <w:t>комбинированная</w:t>
            </w:r>
          </w:p>
        </w:tc>
      </w:tr>
      <w:tr>
        <w:trPr>
          <w:trHeight w:val="530" w:hRule="atLeast"/>
        </w:trPr>
        <w:tc>
          <w:tcPr>
            <w:tcW w:w="3651" w:type="dxa"/>
          </w:tcPr>
          <w:p>
            <w:pPr>
              <w:pStyle w:val="TableParagraph"/>
              <w:spacing w:line="240" w:lineRule="atLeast" w:before="30"/>
              <w:ind w:left="50"/>
              <w:rPr>
                <w:sz w:val="20"/>
              </w:rPr>
            </w:pPr>
            <w:r>
              <w:rPr>
                <w:sz w:val="20"/>
              </w:rPr>
              <w:t>удаление</w:t>
            </w:r>
            <w:r>
              <w:rPr>
                <w:spacing w:val="-10"/>
                <w:sz w:val="20"/>
              </w:rPr>
              <w:t> </w:t>
            </w:r>
            <w:r>
              <w:rPr>
                <w:sz w:val="20"/>
              </w:rPr>
              <w:t>опухоли</w:t>
            </w:r>
            <w:r>
              <w:rPr>
                <w:spacing w:val="-11"/>
                <w:sz w:val="20"/>
              </w:rPr>
              <w:t> </w:t>
            </w:r>
            <w:r>
              <w:rPr>
                <w:sz w:val="20"/>
              </w:rPr>
              <w:t>головного</w:t>
            </w:r>
            <w:r>
              <w:rPr>
                <w:spacing w:val="-9"/>
                <w:sz w:val="20"/>
              </w:rPr>
              <w:t> </w:t>
            </w:r>
            <w:r>
              <w:rPr>
                <w:sz w:val="20"/>
              </w:rPr>
              <w:t>мозга</w:t>
            </w:r>
            <w:r>
              <w:rPr>
                <w:spacing w:val="-10"/>
                <w:sz w:val="20"/>
              </w:rPr>
              <w:t> </w:t>
            </w:r>
            <w:r>
              <w:rPr>
                <w:sz w:val="20"/>
              </w:rPr>
              <w:t>с краниоорбитофациальным ростом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tabs>
          <w:tab w:pos="5792" w:val="left" w:leader="none"/>
        </w:tabs>
        <w:spacing w:line="249" w:lineRule="auto" w:before="185"/>
        <w:ind w:left="5793" w:right="185" w:hanging="1294"/>
        <w:jc w:val="left"/>
        <w:rPr>
          <w:sz w:val="20"/>
        </w:rPr>
      </w:pPr>
      <w:r>
        <w:rPr>
          <w:spacing w:val="-4"/>
          <w:sz w:val="20"/>
        </w:rPr>
        <w:t>C15</w:t>
      </w:r>
      <w:r>
        <w:rPr>
          <w:sz w:val="20"/>
        </w:rPr>
        <w:tab/>
        <w:t>начальные, локализованные и местнораспространенные формы злокачественных</w:t>
      </w:r>
      <w:r>
        <w:rPr>
          <w:spacing w:val="-13"/>
          <w:sz w:val="20"/>
        </w:rPr>
        <w:t> </w:t>
      </w:r>
      <w:r>
        <w:rPr>
          <w:sz w:val="20"/>
        </w:rPr>
        <w:t>новообразований </w:t>
      </w:r>
      <w:r>
        <w:rPr>
          <w:spacing w:val="-2"/>
          <w:sz w:val="20"/>
        </w:rPr>
        <w:t>пищевода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9"/>
        </w:rPr>
      </w:pPr>
    </w:p>
    <w:p>
      <w:pPr>
        <w:tabs>
          <w:tab w:pos="5792" w:val="left" w:leader="none"/>
        </w:tabs>
        <w:spacing w:line="249" w:lineRule="auto" w:before="0"/>
        <w:ind w:left="5793" w:right="0" w:hanging="1294"/>
        <w:jc w:val="left"/>
        <w:rPr>
          <w:sz w:val="20"/>
        </w:rPr>
      </w:pPr>
      <w:r>
        <w:rPr>
          <w:spacing w:val="-4"/>
          <w:sz w:val="20"/>
        </w:rPr>
        <w:t>C17</w:t>
      </w:r>
      <w:r>
        <w:rPr>
          <w:sz w:val="20"/>
        </w:rPr>
        <w:tab/>
        <w:t>местнораспространенные и диссеминированные формы злокачественных новообразований двенадцатиперстной</w:t>
      </w:r>
      <w:r>
        <w:rPr>
          <w:spacing w:val="-13"/>
          <w:sz w:val="20"/>
        </w:rPr>
        <w:t> </w:t>
      </w:r>
      <w:r>
        <w:rPr>
          <w:sz w:val="20"/>
        </w:rPr>
        <w:t>и</w:t>
      </w:r>
      <w:r>
        <w:rPr>
          <w:spacing w:val="-12"/>
          <w:sz w:val="20"/>
        </w:rPr>
        <w:t> </w:t>
      </w:r>
      <w:r>
        <w:rPr>
          <w:sz w:val="20"/>
        </w:rPr>
        <w:t>тонкой</w:t>
      </w:r>
      <w:r>
        <w:rPr>
          <w:spacing w:val="-13"/>
          <w:sz w:val="20"/>
        </w:rPr>
        <w:t> </w:t>
      </w:r>
      <w:r>
        <w:rPr>
          <w:sz w:val="20"/>
        </w:rPr>
        <w:t>кишки</w:t>
      </w:r>
    </w:p>
    <w:p>
      <w:pPr>
        <w:pStyle w:val="BodyText"/>
        <w:rPr>
          <w:sz w:val="22"/>
        </w:rPr>
      </w:pPr>
    </w:p>
    <w:p>
      <w:pPr>
        <w:pStyle w:val="BodyText"/>
        <w:rPr>
          <w:sz w:val="22"/>
        </w:rPr>
      </w:pPr>
    </w:p>
    <w:p>
      <w:pPr>
        <w:pStyle w:val="BodyText"/>
        <w:rPr>
          <w:sz w:val="22"/>
        </w:rPr>
      </w:pPr>
    </w:p>
    <w:p>
      <w:pPr>
        <w:pStyle w:val="BodyText"/>
        <w:spacing w:before="9"/>
        <w:rPr>
          <w:sz w:val="17"/>
        </w:rPr>
      </w:pPr>
    </w:p>
    <w:p>
      <w:pPr>
        <w:tabs>
          <w:tab w:pos="5792" w:val="left" w:leader="none"/>
        </w:tabs>
        <w:spacing w:before="0"/>
        <w:ind w:left="4066" w:right="0" w:firstLine="0"/>
        <w:jc w:val="left"/>
        <w:rPr>
          <w:sz w:val="20"/>
        </w:rPr>
      </w:pPr>
      <w:r>
        <w:rPr>
          <w:sz w:val="20"/>
        </w:rPr>
        <w:t>C18,</w:t>
      </w:r>
      <w:r>
        <w:rPr>
          <w:spacing w:val="-2"/>
          <w:sz w:val="20"/>
        </w:rPr>
        <w:t> </w:t>
      </w:r>
      <w:r>
        <w:rPr>
          <w:sz w:val="20"/>
        </w:rPr>
        <w:t>C19,</w:t>
      </w:r>
      <w:r>
        <w:rPr>
          <w:spacing w:val="-2"/>
          <w:sz w:val="20"/>
        </w:rPr>
        <w:t> </w:t>
      </w:r>
      <w:r>
        <w:rPr>
          <w:spacing w:val="-5"/>
          <w:sz w:val="20"/>
        </w:rPr>
        <w:t>C20</w:t>
      </w:r>
      <w:r>
        <w:rPr>
          <w:sz w:val="20"/>
        </w:rPr>
        <w:tab/>
      </w:r>
      <w:r>
        <w:rPr>
          <w:w w:val="95"/>
          <w:sz w:val="20"/>
        </w:rPr>
        <w:t>местнораспространенные</w:t>
      </w:r>
      <w:r>
        <w:rPr>
          <w:spacing w:val="60"/>
          <w:w w:val="150"/>
          <w:sz w:val="20"/>
        </w:rPr>
        <w:t> </w:t>
      </w:r>
      <w:r>
        <w:rPr>
          <w:spacing w:val="-10"/>
          <w:sz w:val="20"/>
        </w:rPr>
        <w:t>и</w:t>
      </w:r>
    </w:p>
    <w:p>
      <w:pPr>
        <w:spacing w:line="249" w:lineRule="auto" w:before="10"/>
        <w:ind w:left="5793" w:right="58" w:firstLine="0"/>
        <w:jc w:val="left"/>
        <w:rPr>
          <w:sz w:val="20"/>
        </w:rPr>
      </w:pPr>
      <w:r>
        <w:rPr>
          <w:sz w:val="20"/>
        </w:rPr>
        <w:t>метастатические</w:t>
      </w:r>
      <w:r>
        <w:rPr>
          <w:spacing w:val="-13"/>
          <w:sz w:val="20"/>
        </w:rPr>
        <w:t> </w:t>
      </w:r>
      <w:r>
        <w:rPr>
          <w:sz w:val="20"/>
        </w:rPr>
        <w:t>формы</w:t>
      </w:r>
      <w:r>
        <w:rPr>
          <w:spacing w:val="-12"/>
          <w:sz w:val="20"/>
        </w:rPr>
        <w:t> </w:t>
      </w:r>
      <w:r>
        <w:rPr>
          <w:sz w:val="20"/>
        </w:rPr>
        <w:t>первичных и рецидивных злокачественных новообразований ободочной, сигмовидной, прямой кишки и</w:t>
      </w:r>
    </w:p>
    <w:p>
      <w:pPr>
        <w:spacing w:line="240" w:lineRule="auto" w:before="0"/>
        <w:rPr>
          <w:sz w:val="22"/>
        </w:rPr>
      </w:pPr>
      <w:r>
        <w:rPr/>
        <w:br w:type="column"/>
      </w:r>
      <w:r>
        <w:rPr>
          <w:sz w:val="22"/>
        </w:rPr>
      </w:r>
    </w:p>
    <w:p>
      <w:pPr>
        <w:pStyle w:val="BodyText"/>
        <w:rPr>
          <w:sz w:val="22"/>
        </w:rPr>
      </w:pPr>
    </w:p>
    <w:p>
      <w:pPr>
        <w:spacing w:line="252" w:lineRule="auto" w:before="185"/>
        <w:ind w:left="9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89"/>
        <w:ind w:left="9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8"/>
        <w:ind w:left="96" w:right="0" w:firstLine="0"/>
        <w:jc w:val="left"/>
        <w:rPr>
          <w:sz w:val="20"/>
        </w:rPr>
      </w:pPr>
      <w:r>
        <w:rPr>
          <w:spacing w:val="-2"/>
          <w:sz w:val="20"/>
        </w:rPr>
        <w:t>хирургическое лечение</w:t>
      </w:r>
    </w:p>
    <w:p>
      <w:pPr>
        <w:spacing w:line="249" w:lineRule="auto" w:before="91"/>
        <w:ind w:left="178" w:right="1951" w:firstLine="0"/>
        <w:jc w:val="left"/>
        <w:rPr>
          <w:sz w:val="20"/>
        </w:rPr>
      </w:pPr>
      <w:r>
        <w:rPr/>
        <w:br w:type="column"/>
      </w:r>
      <w:r>
        <w:rPr>
          <w:sz w:val="20"/>
        </w:rPr>
        <w:t>удаление</w:t>
      </w:r>
      <w:r>
        <w:rPr>
          <w:spacing w:val="-7"/>
          <w:sz w:val="20"/>
        </w:rPr>
        <w:t> </w:t>
      </w:r>
      <w:r>
        <w:rPr>
          <w:sz w:val="20"/>
        </w:rPr>
        <w:t>опухоли</w:t>
      </w:r>
      <w:r>
        <w:rPr>
          <w:spacing w:val="-8"/>
          <w:sz w:val="20"/>
        </w:rPr>
        <w:t> </w:t>
      </w:r>
      <w:r>
        <w:rPr>
          <w:sz w:val="20"/>
        </w:rPr>
        <w:t>головы</w:t>
      </w:r>
      <w:r>
        <w:rPr>
          <w:spacing w:val="-5"/>
          <w:sz w:val="20"/>
        </w:rPr>
        <w:t> </w:t>
      </w:r>
      <w:r>
        <w:rPr>
          <w:sz w:val="20"/>
        </w:rPr>
        <w:t>и</w:t>
      </w:r>
      <w:r>
        <w:rPr>
          <w:spacing w:val="-6"/>
          <w:sz w:val="20"/>
        </w:rPr>
        <w:t> </w:t>
      </w:r>
      <w:r>
        <w:rPr>
          <w:sz w:val="20"/>
        </w:rPr>
        <w:t>шеи</w:t>
      </w:r>
      <w:r>
        <w:rPr>
          <w:spacing w:val="-8"/>
          <w:sz w:val="20"/>
        </w:rPr>
        <w:t> </w:t>
      </w:r>
      <w:r>
        <w:rPr>
          <w:sz w:val="20"/>
        </w:rPr>
        <w:t>с интракраниальным ростом</w:t>
      </w:r>
    </w:p>
    <w:p>
      <w:pPr>
        <w:spacing w:line="252" w:lineRule="auto" w:before="121"/>
        <w:ind w:left="178" w:right="1951" w:firstLine="0"/>
        <w:jc w:val="left"/>
        <w:rPr>
          <w:sz w:val="20"/>
        </w:rPr>
      </w:pPr>
      <w:r>
        <w:rPr>
          <w:sz w:val="20"/>
        </w:rPr>
        <w:t>отсроченная</w:t>
      </w:r>
      <w:r>
        <w:rPr>
          <w:spacing w:val="-13"/>
          <w:sz w:val="20"/>
        </w:rPr>
        <w:t> </w:t>
      </w:r>
      <w:r>
        <w:rPr>
          <w:sz w:val="20"/>
        </w:rPr>
        <w:t>пластика</w:t>
      </w:r>
      <w:r>
        <w:rPr>
          <w:spacing w:val="-12"/>
          <w:sz w:val="20"/>
        </w:rPr>
        <w:t> </w:t>
      </w:r>
      <w:r>
        <w:rPr>
          <w:sz w:val="20"/>
        </w:rPr>
        <w:t>пищевода желудочным стеблем</w:t>
      </w:r>
    </w:p>
    <w:p>
      <w:pPr>
        <w:spacing w:line="249" w:lineRule="auto" w:before="118"/>
        <w:ind w:left="178" w:right="1951" w:firstLine="0"/>
        <w:jc w:val="left"/>
        <w:rPr>
          <w:sz w:val="20"/>
        </w:rPr>
      </w:pPr>
      <w:r>
        <w:rPr>
          <w:sz w:val="20"/>
        </w:rPr>
        <w:t>отсроченная</w:t>
      </w:r>
      <w:r>
        <w:rPr>
          <w:spacing w:val="-13"/>
          <w:sz w:val="20"/>
        </w:rPr>
        <w:t> </w:t>
      </w:r>
      <w:r>
        <w:rPr>
          <w:sz w:val="20"/>
        </w:rPr>
        <w:t>пластика</w:t>
      </w:r>
      <w:r>
        <w:rPr>
          <w:spacing w:val="-12"/>
          <w:sz w:val="20"/>
        </w:rPr>
        <w:t> </w:t>
      </w:r>
      <w:r>
        <w:rPr>
          <w:sz w:val="20"/>
        </w:rPr>
        <w:t>пищевода сегментом толстой кишки</w:t>
      </w:r>
    </w:p>
    <w:p>
      <w:pPr>
        <w:spacing w:line="249" w:lineRule="auto" w:before="122"/>
        <w:ind w:left="178" w:right="1951" w:firstLine="0"/>
        <w:jc w:val="left"/>
        <w:rPr>
          <w:sz w:val="20"/>
        </w:rPr>
      </w:pPr>
      <w:r>
        <w:rPr>
          <w:sz w:val="20"/>
        </w:rPr>
        <w:t>отсроченная</w:t>
      </w:r>
      <w:r>
        <w:rPr>
          <w:spacing w:val="-13"/>
          <w:sz w:val="20"/>
        </w:rPr>
        <w:t> </w:t>
      </w:r>
      <w:r>
        <w:rPr>
          <w:sz w:val="20"/>
        </w:rPr>
        <w:t>пластика</w:t>
      </w:r>
      <w:r>
        <w:rPr>
          <w:spacing w:val="-12"/>
          <w:sz w:val="20"/>
        </w:rPr>
        <w:t> </w:t>
      </w:r>
      <w:r>
        <w:rPr>
          <w:sz w:val="20"/>
        </w:rPr>
        <w:t>пищевода сегментом тонкой кишки</w:t>
      </w:r>
    </w:p>
    <w:p>
      <w:pPr>
        <w:spacing w:line="249" w:lineRule="auto" w:before="121"/>
        <w:ind w:left="178" w:right="1951" w:firstLine="0"/>
        <w:jc w:val="left"/>
        <w:rPr>
          <w:sz w:val="20"/>
        </w:rPr>
      </w:pPr>
      <w:r>
        <w:rPr>
          <w:sz w:val="20"/>
        </w:rPr>
        <w:t>отсроченная пластика пищевода с микрохирургической</w:t>
      </w:r>
      <w:r>
        <w:rPr>
          <w:spacing w:val="-13"/>
          <w:sz w:val="20"/>
        </w:rPr>
        <w:t> </w:t>
      </w:r>
      <w:r>
        <w:rPr>
          <w:sz w:val="20"/>
        </w:rPr>
        <w:t>реваскуляризацией </w:t>
      </w:r>
      <w:r>
        <w:rPr>
          <w:spacing w:val="-2"/>
          <w:sz w:val="20"/>
        </w:rPr>
        <w:t>трансплантата</w:t>
      </w:r>
    </w:p>
    <w:p>
      <w:pPr>
        <w:spacing w:line="249" w:lineRule="auto" w:before="123"/>
        <w:ind w:left="178" w:right="1901" w:firstLine="0"/>
        <w:jc w:val="left"/>
        <w:rPr>
          <w:sz w:val="20"/>
        </w:rPr>
      </w:pPr>
      <w:r>
        <w:rPr>
          <w:sz w:val="20"/>
        </w:rPr>
        <w:t>одномоментная эзофагэктомия или субтотальная резекция пищевода с лимфаденэктомией, интраоперационной фотодинамической</w:t>
      </w:r>
      <w:r>
        <w:rPr>
          <w:spacing w:val="-10"/>
          <w:sz w:val="20"/>
        </w:rPr>
        <w:t> </w:t>
      </w:r>
      <w:r>
        <w:rPr>
          <w:sz w:val="20"/>
        </w:rPr>
        <w:t>терапией</w:t>
      </w:r>
      <w:r>
        <w:rPr>
          <w:spacing w:val="-12"/>
          <w:sz w:val="20"/>
        </w:rPr>
        <w:t> </w:t>
      </w:r>
      <w:r>
        <w:rPr>
          <w:sz w:val="20"/>
        </w:rPr>
        <w:t>и</w:t>
      </w:r>
      <w:r>
        <w:rPr>
          <w:spacing w:val="-12"/>
          <w:sz w:val="20"/>
        </w:rPr>
        <w:t> </w:t>
      </w:r>
      <w:r>
        <w:rPr>
          <w:sz w:val="20"/>
        </w:rPr>
        <w:t>пластикой </w:t>
      </w:r>
      <w:r>
        <w:rPr>
          <w:spacing w:val="-2"/>
          <w:sz w:val="20"/>
        </w:rPr>
        <w:t>пищевода</w:t>
      </w:r>
    </w:p>
    <w:p>
      <w:pPr>
        <w:spacing w:line="249" w:lineRule="auto" w:before="124"/>
        <w:ind w:left="178" w:right="1951" w:firstLine="0"/>
        <w:jc w:val="left"/>
        <w:rPr>
          <w:sz w:val="20"/>
        </w:rPr>
      </w:pPr>
      <w:r>
        <w:rPr>
          <w:sz w:val="20"/>
        </w:rPr>
        <w:t>панкреатодуоденальная резекция с интраоперационной</w:t>
      </w:r>
      <w:r>
        <w:rPr>
          <w:spacing w:val="-13"/>
          <w:sz w:val="20"/>
        </w:rPr>
        <w:t> </w:t>
      </w:r>
      <w:r>
        <w:rPr>
          <w:sz w:val="20"/>
        </w:rPr>
        <w:t>фотодинамической </w:t>
      </w:r>
      <w:r>
        <w:rPr>
          <w:spacing w:val="-2"/>
          <w:sz w:val="20"/>
        </w:rPr>
        <w:t>терапией</w:t>
      </w:r>
    </w:p>
    <w:p>
      <w:pPr>
        <w:spacing w:line="249" w:lineRule="auto" w:before="123"/>
        <w:ind w:left="178" w:right="1919" w:firstLine="0"/>
        <w:jc w:val="left"/>
        <w:rPr>
          <w:sz w:val="20"/>
        </w:rPr>
      </w:pPr>
      <w:r>
        <w:rPr>
          <w:sz w:val="20"/>
        </w:rPr>
        <w:t>циторедуктивная</w:t>
      </w:r>
      <w:r>
        <w:rPr>
          <w:spacing w:val="-12"/>
          <w:sz w:val="20"/>
        </w:rPr>
        <w:t> </w:t>
      </w:r>
      <w:r>
        <w:rPr>
          <w:sz w:val="20"/>
        </w:rPr>
        <w:t>резекция</w:t>
      </w:r>
      <w:r>
        <w:rPr>
          <w:spacing w:val="-12"/>
          <w:sz w:val="20"/>
        </w:rPr>
        <w:t> </w:t>
      </w:r>
      <w:r>
        <w:rPr>
          <w:sz w:val="20"/>
        </w:rPr>
        <w:t>тонкой</w:t>
      </w:r>
      <w:r>
        <w:rPr>
          <w:spacing w:val="-12"/>
          <w:sz w:val="20"/>
        </w:rPr>
        <w:t> </w:t>
      </w:r>
      <w:r>
        <w:rPr>
          <w:sz w:val="20"/>
        </w:rPr>
        <w:t>кишки с</w:t>
      </w:r>
      <w:r>
        <w:rPr>
          <w:spacing w:val="-13"/>
          <w:sz w:val="20"/>
        </w:rPr>
        <w:t> </w:t>
      </w:r>
      <w:r>
        <w:rPr>
          <w:sz w:val="20"/>
        </w:rPr>
        <w:t>интраоперационной</w:t>
      </w:r>
      <w:r>
        <w:rPr>
          <w:spacing w:val="-12"/>
          <w:sz w:val="20"/>
        </w:rPr>
        <w:t> </w:t>
      </w:r>
      <w:r>
        <w:rPr>
          <w:sz w:val="20"/>
        </w:rPr>
        <w:t>фотодинамической терапией или внутрибрюшной гипертермической химиотерапией</w:t>
      </w:r>
    </w:p>
    <w:p>
      <w:pPr>
        <w:spacing w:line="249" w:lineRule="auto" w:before="124"/>
        <w:ind w:left="178" w:right="2714" w:firstLine="0"/>
        <w:jc w:val="left"/>
        <w:rPr>
          <w:sz w:val="20"/>
        </w:rPr>
      </w:pPr>
      <w:r>
        <w:rPr>
          <w:sz w:val="20"/>
        </w:rPr>
        <w:t>левосторонняя</w:t>
      </w:r>
      <w:r>
        <w:rPr>
          <w:spacing w:val="-13"/>
          <w:sz w:val="20"/>
        </w:rPr>
        <w:t> </w:t>
      </w:r>
      <w:r>
        <w:rPr>
          <w:sz w:val="20"/>
        </w:rPr>
        <w:t>гемиколэктомия с резекцией печени</w:t>
      </w:r>
    </w:p>
    <w:p>
      <w:pPr>
        <w:spacing w:line="249" w:lineRule="auto" w:before="121"/>
        <w:ind w:left="178" w:right="2714" w:firstLine="0"/>
        <w:jc w:val="left"/>
        <w:rPr>
          <w:sz w:val="20"/>
        </w:rPr>
      </w:pPr>
      <w:r>
        <w:rPr>
          <w:sz w:val="20"/>
        </w:rPr>
        <w:t>левосторонняя</w:t>
      </w:r>
      <w:r>
        <w:rPr>
          <w:spacing w:val="-13"/>
          <w:sz w:val="20"/>
        </w:rPr>
        <w:t> </w:t>
      </w:r>
      <w:r>
        <w:rPr>
          <w:sz w:val="20"/>
        </w:rPr>
        <w:t>гемиколэктомия с резекцией легкого</w:t>
      </w:r>
    </w:p>
    <w:p>
      <w:pPr>
        <w:spacing w:after="0" w:line="249" w:lineRule="auto"/>
        <w:jc w:val="left"/>
        <w:rPr>
          <w:sz w:val="20"/>
        </w:rPr>
        <w:sectPr>
          <w:type w:val="continuous"/>
          <w:pgSz w:w="16850" w:h="11910" w:orient="landscape"/>
          <w:pgMar w:header="753" w:footer="0" w:top="1080" w:bottom="280" w:left="400" w:right="400"/>
          <w:cols w:num="3" w:equalWidth="0">
            <w:col w:w="8965" w:space="40"/>
            <w:col w:w="1353"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36"/>
        <w:gridCol w:w="1517"/>
        <w:gridCol w:w="3721"/>
      </w:tblGrid>
      <w:tr>
        <w:trPr>
          <w:trHeight w:val="530" w:hRule="atLeast"/>
        </w:trPr>
        <w:tc>
          <w:tcPr>
            <w:tcW w:w="863" w:type="dxa"/>
          </w:tcPr>
          <w:p>
            <w:pPr>
              <w:pStyle w:val="TableParagraph"/>
              <w:rPr>
                <w:sz w:val="18"/>
              </w:rPr>
            </w:pPr>
          </w:p>
        </w:tc>
        <w:tc>
          <w:tcPr>
            <w:tcW w:w="3636" w:type="dxa"/>
          </w:tcPr>
          <w:p>
            <w:pPr>
              <w:pStyle w:val="TableParagraph"/>
              <w:spacing w:line="249" w:lineRule="auto"/>
              <w:ind w:left="480" w:right="535"/>
              <w:rPr>
                <w:sz w:val="20"/>
              </w:rPr>
            </w:pPr>
            <w:r>
              <w:rPr>
                <w:sz w:val="20"/>
              </w:rPr>
              <w:t>ректосигмоидного</w:t>
            </w:r>
            <w:r>
              <w:rPr>
                <w:spacing w:val="-13"/>
                <w:sz w:val="20"/>
              </w:rPr>
              <w:t> </w:t>
            </w:r>
            <w:r>
              <w:rPr>
                <w:sz w:val="20"/>
              </w:rPr>
              <w:t>соединения (II - IV стадия)</w:t>
            </w:r>
          </w:p>
        </w:tc>
        <w:tc>
          <w:tcPr>
            <w:tcW w:w="1517" w:type="dxa"/>
          </w:tcPr>
          <w:p>
            <w:pPr>
              <w:pStyle w:val="TableParagraph"/>
              <w:rPr>
                <w:sz w:val="18"/>
              </w:rPr>
            </w:pPr>
          </w:p>
        </w:tc>
        <w:tc>
          <w:tcPr>
            <w:tcW w:w="3721" w:type="dxa"/>
          </w:tcPr>
          <w:p>
            <w:pPr>
              <w:pStyle w:val="TableParagraph"/>
              <w:spacing w:line="249" w:lineRule="auto"/>
              <w:ind w:left="109" w:right="1024"/>
              <w:rPr>
                <w:sz w:val="20"/>
              </w:rPr>
            </w:pPr>
            <w:r>
              <w:rPr>
                <w:sz w:val="20"/>
              </w:rPr>
              <w:t>резекция</w:t>
            </w:r>
            <w:r>
              <w:rPr>
                <w:spacing w:val="-13"/>
                <w:sz w:val="20"/>
              </w:rPr>
              <w:t> </w:t>
            </w:r>
            <w:r>
              <w:rPr>
                <w:sz w:val="20"/>
              </w:rPr>
              <w:t>сигмовидной</w:t>
            </w:r>
            <w:r>
              <w:rPr>
                <w:spacing w:val="-12"/>
                <w:sz w:val="20"/>
              </w:rPr>
              <w:t> </w:t>
            </w:r>
            <w:r>
              <w:rPr>
                <w:sz w:val="20"/>
              </w:rPr>
              <w:t>кишки с резекцией печени</w:t>
            </w:r>
          </w:p>
        </w:tc>
      </w:tr>
      <w:tr>
        <w:trPr>
          <w:trHeight w:val="60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52" w:lineRule="auto" w:before="60"/>
              <w:ind w:left="109" w:right="1024"/>
              <w:rPr>
                <w:sz w:val="20"/>
              </w:rPr>
            </w:pPr>
            <w:r>
              <w:rPr>
                <w:sz w:val="20"/>
              </w:rPr>
              <w:t>резекция</w:t>
            </w:r>
            <w:r>
              <w:rPr>
                <w:spacing w:val="-13"/>
                <w:sz w:val="20"/>
              </w:rPr>
              <w:t> </w:t>
            </w:r>
            <w:r>
              <w:rPr>
                <w:sz w:val="20"/>
              </w:rPr>
              <w:t>сигмовидной</w:t>
            </w:r>
            <w:r>
              <w:rPr>
                <w:spacing w:val="-12"/>
                <w:sz w:val="20"/>
              </w:rPr>
              <w:t> </w:t>
            </w:r>
            <w:r>
              <w:rPr>
                <w:sz w:val="20"/>
              </w:rPr>
              <w:t>кишки с резекцией легкого</w:t>
            </w:r>
          </w:p>
        </w:tc>
      </w:tr>
      <w:tr>
        <w:trPr>
          <w:trHeight w:val="36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before="60"/>
              <w:ind w:left="109"/>
              <w:rPr>
                <w:sz w:val="20"/>
              </w:rPr>
            </w:pPr>
            <w:r>
              <w:rPr>
                <w:sz w:val="20"/>
              </w:rPr>
              <w:t>тотальная</w:t>
            </w:r>
            <w:r>
              <w:rPr>
                <w:spacing w:val="-10"/>
                <w:sz w:val="20"/>
              </w:rPr>
              <w:t> </w:t>
            </w:r>
            <w:r>
              <w:rPr>
                <w:sz w:val="20"/>
              </w:rPr>
              <w:t>экзентерация</w:t>
            </w:r>
            <w:r>
              <w:rPr>
                <w:spacing w:val="-10"/>
                <w:sz w:val="20"/>
              </w:rPr>
              <w:t> </w:t>
            </w:r>
            <w:r>
              <w:rPr>
                <w:sz w:val="20"/>
              </w:rPr>
              <w:t>малого</w:t>
            </w:r>
            <w:r>
              <w:rPr>
                <w:spacing w:val="-8"/>
                <w:sz w:val="20"/>
              </w:rPr>
              <w:t> </w:t>
            </w:r>
            <w:r>
              <w:rPr>
                <w:spacing w:val="-4"/>
                <w:sz w:val="20"/>
              </w:rPr>
              <w:t>таза</w:t>
            </w:r>
          </w:p>
        </w:tc>
      </w:tr>
      <w:tr>
        <w:trPr>
          <w:trHeight w:val="36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before="60"/>
              <w:ind w:left="109"/>
              <w:rPr>
                <w:sz w:val="20"/>
              </w:rPr>
            </w:pPr>
            <w:r>
              <w:rPr>
                <w:sz w:val="20"/>
              </w:rPr>
              <w:t>задняя</w:t>
            </w:r>
            <w:r>
              <w:rPr>
                <w:spacing w:val="-9"/>
                <w:sz w:val="20"/>
              </w:rPr>
              <w:t> </w:t>
            </w:r>
            <w:r>
              <w:rPr>
                <w:sz w:val="20"/>
              </w:rPr>
              <w:t>экзентерация</w:t>
            </w:r>
            <w:r>
              <w:rPr>
                <w:spacing w:val="-9"/>
                <w:sz w:val="20"/>
              </w:rPr>
              <w:t> </w:t>
            </w:r>
            <w:r>
              <w:rPr>
                <w:sz w:val="20"/>
              </w:rPr>
              <w:t>малого</w:t>
            </w:r>
            <w:r>
              <w:rPr>
                <w:spacing w:val="-7"/>
                <w:sz w:val="20"/>
              </w:rPr>
              <w:t> </w:t>
            </w:r>
            <w:r>
              <w:rPr>
                <w:spacing w:val="-4"/>
                <w:sz w:val="20"/>
              </w:rPr>
              <w:t>таза</w:t>
            </w:r>
          </w:p>
        </w:tc>
      </w:tr>
      <w:tr>
        <w:trPr>
          <w:trHeight w:val="84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ight="576"/>
              <w:rPr>
                <w:sz w:val="20"/>
              </w:rPr>
            </w:pPr>
            <w:r>
              <w:rPr>
                <w:sz w:val="20"/>
              </w:rPr>
              <w:t>расширенная, комбинированная брюшно-анальная</w:t>
            </w:r>
            <w:r>
              <w:rPr>
                <w:spacing w:val="-13"/>
                <w:sz w:val="20"/>
              </w:rPr>
              <w:t> </w:t>
            </w:r>
            <w:r>
              <w:rPr>
                <w:sz w:val="20"/>
              </w:rPr>
              <w:t>резекция</w:t>
            </w:r>
            <w:r>
              <w:rPr>
                <w:spacing w:val="-12"/>
                <w:sz w:val="20"/>
              </w:rPr>
              <w:t> </w:t>
            </w:r>
            <w:r>
              <w:rPr>
                <w:sz w:val="20"/>
              </w:rPr>
              <w:t>прямой </w:t>
            </w:r>
            <w:r>
              <w:rPr>
                <w:spacing w:val="-2"/>
                <w:sz w:val="20"/>
              </w:rPr>
              <w:t>кишки</w:t>
            </w:r>
          </w:p>
        </w:tc>
      </w:tr>
      <w:tr>
        <w:trPr>
          <w:trHeight w:val="60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Pr>
                <w:sz w:val="20"/>
              </w:rPr>
            </w:pPr>
            <w:r>
              <w:rPr>
                <w:sz w:val="20"/>
              </w:rPr>
              <w:t>резекция</w:t>
            </w:r>
            <w:r>
              <w:rPr>
                <w:spacing w:val="-10"/>
                <w:sz w:val="20"/>
              </w:rPr>
              <w:t> </w:t>
            </w:r>
            <w:r>
              <w:rPr>
                <w:sz w:val="20"/>
              </w:rPr>
              <w:t>прямой</w:t>
            </w:r>
            <w:r>
              <w:rPr>
                <w:spacing w:val="-10"/>
                <w:sz w:val="20"/>
              </w:rPr>
              <w:t> </w:t>
            </w:r>
            <w:r>
              <w:rPr>
                <w:sz w:val="20"/>
              </w:rPr>
              <w:t>кишки</w:t>
            </w:r>
            <w:r>
              <w:rPr>
                <w:spacing w:val="-10"/>
                <w:sz w:val="20"/>
              </w:rPr>
              <w:t> </w:t>
            </w:r>
            <w:r>
              <w:rPr>
                <w:sz w:val="20"/>
              </w:rPr>
              <w:t>с</w:t>
            </w:r>
            <w:r>
              <w:rPr>
                <w:spacing w:val="-9"/>
                <w:sz w:val="20"/>
              </w:rPr>
              <w:t> </w:t>
            </w:r>
            <w:r>
              <w:rPr>
                <w:sz w:val="20"/>
              </w:rPr>
              <w:t>резекцией </w:t>
            </w:r>
            <w:r>
              <w:rPr>
                <w:spacing w:val="-2"/>
                <w:sz w:val="20"/>
              </w:rPr>
              <w:t>легкого</w:t>
            </w:r>
          </w:p>
        </w:tc>
      </w:tr>
      <w:tr>
        <w:trPr>
          <w:trHeight w:val="84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ight="385"/>
              <w:rPr>
                <w:sz w:val="20"/>
              </w:rPr>
            </w:pPr>
            <w:r>
              <w:rPr>
                <w:sz w:val="20"/>
              </w:rPr>
              <w:t>расширенная, комбинированная брюшно-промежностная</w:t>
            </w:r>
            <w:r>
              <w:rPr>
                <w:spacing w:val="-13"/>
                <w:sz w:val="20"/>
              </w:rPr>
              <w:t> </w:t>
            </w:r>
            <w:r>
              <w:rPr>
                <w:sz w:val="20"/>
              </w:rPr>
              <w:t>экстирпация прямой кишки</w:t>
            </w:r>
          </w:p>
        </w:tc>
      </w:tr>
      <w:tr>
        <w:trPr>
          <w:trHeight w:val="108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ight="376"/>
              <w:rPr>
                <w:sz w:val="20"/>
              </w:rPr>
            </w:pPr>
            <w:r>
              <w:rPr>
                <w:sz w:val="20"/>
              </w:rPr>
              <w:t>брюшно-промежностная</w:t>
            </w:r>
            <w:r>
              <w:rPr>
                <w:spacing w:val="-13"/>
                <w:sz w:val="20"/>
              </w:rPr>
              <w:t> </w:t>
            </w:r>
            <w:r>
              <w:rPr>
                <w:sz w:val="20"/>
              </w:rPr>
              <w:t>экстирпация прямой кишки с формированием неосфинктера и толстокишечного </w:t>
            </w:r>
            <w:r>
              <w:rPr>
                <w:spacing w:val="-2"/>
                <w:sz w:val="20"/>
              </w:rPr>
              <w:t>резервуара</w:t>
            </w:r>
          </w:p>
        </w:tc>
      </w:tr>
      <w:tr>
        <w:trPr>
          <w:trHeight w:val="132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Pr>
                <w:sz w:val="20"/>
              </w:rPr>
            </w:pPr>
            <w:r>
              <w:rPr>
                <w:sz w:val="20"/>
              </w:rPr>
              <w:t>тотальная экзентерация малого таза с реконструкцией</w:t>
            </w:r>
            <w:r>
              <w:rPr>
                <w:spacing w:val="-13"/>
                <w:sz w:val="20"/>
              </w:rPr>
              <w:t> </w:t>
            </w:r>
            <w:r>
              <w:rPr>
                <w:sz w:val="20"/>
              </w:rPr>
              <w:t>сфинктерного</w:t>
            </w:r>
            <w:r>
              <w:rPr>
                <w:spacing w:val="-12"/>
                <w:sz w:val="20"/>
              </w:rPr>
              <w:t> </w:t>
            </w:r>
            <w:r>
              <w:rPr>
                <w:sz w:val="20"/>
              </w:rPr>
              <w:t>аппарата прямой кишки и толстокишечного резервуара,</w:t>
            </w:r>
            <w:r>
              <w:rPr>
                <w:spacing w:val="-10"/>
                <w:sz w:val="20"/>
              </w:rPr>
              <w:t> </w:t>
            </w:r>
            <w:r>
              <w:rPr>
                <w:sz w:val="20"/>
              </w:rPr>
              <w:t>а</w:t>
            </w:r>
            <w:r>
              <w:rPr>
                <w:spacing w:val="-11"/>
                <w:sz w:val="20"/>
              </w:rPr>
              <w:t> </w:t>
            </w:r>
            <w:r>
              <w:rPr>
                <w:sz w:val="20"/>
              </w:rPr>
              <w:t>также</w:t>
            </w:r>
            <w:r>
              <w:rPr>
                <w:spacing w:val="-11"/>
                <w:sz w:val="20"/>
              </w:rPr>
              <w:t> </w:t>
            </w:r>
            <w:r>
              <w:rPr>
                <w:sz w:val="20"/>
              </w:rPr>
              <w:t>пластикой</w:t>
            </w:r>
            <w:r>
              <w:rPr>
                <w:spacing w:val="-11"/>
                <w:sz w:val="20"/>
              </w:rPr>
              <w:t> </w:t>
            </w:r>
            <w:r>
              <w:rPr>
                <w:sz w:val="20"/>
              </w:rPr>
              <w:t>мочевого </w:t>
            </w:r>
            <w:r>
              <w:rPr>
                <w:spacing w:val="-2"/>
                <w:sz w:val="20"/>
              </w:rPr>
              <w:t>пузыря</w:t>
            </w:r>
          </w:p>
        </w:tc>
      </w:tr>
      <w:tr>
        <w:trPr>
          <w:trHeight w:val="1250" w:hRule="atLeast"/>
        </w:trPr>
        <w:tc>
          <w:tcPr>
            <w:tcW w:w="863" w:type="dxa"/>
          </w:tcPr>
          <w:p>
            <w:pPr>
              <w:pStyle w:val="TableParagraph"/>
              <w:spacing w:before="60"/>
              <w:ind w:left="50"/>
              <w:rPr>
                <w:sz w:val="20"/>
              </w:rPr>
            </w:pPr>
            <w:r>
              <w:rPr>
                <w:spacing w:val="-5"/>
                <w:sz w:val="20"/>
              </w:rPr>
              <w:t>C20</w:t>
            </w:r>
          </w:p>
        </w:tc>
        <w:tc>
          <w:tcPr>
            <w:tcW w:w="3636" w:type="dxa"/>
          </w:tcPr>
          <w:p>
            <w:pPr>
              <w:pStyle w:val="TableParagraph"/>
              <w:spacing w:line="249" w:lineRule="auto" w:before="60"/>
              <w:ind w:left="480" w:right="149"/>
              <w:jc w:val="both"/>
              <w:rPr>
                <w:sz w:val="20"/>
              </w:rPr>
            </w:pPr>
            <w:r>
              <w:rPr>
                <w:sz w:val="20"/>
              </w:rPr>
              <w:t>локализованные</w:t>
            </w:r>
            <w:r>
              <w:rPr>
                <w:spacing w:val="-13"/>
                <w:sz w:val="20"/>
              </w:rPr>
              <w:t> </w:t>
            </w:r>
            <w:r>
              <w:rPr>
                <w:sz w:val="20"/>
              </w:rPr>
              <w:t>опухоли</w:t>
            </w:r>
            <w:r>
              <w:rPr>
                <w:spacing w:val="-12"/>
                <w:sz w:val="20"/>
              </w:rPr>
              <w:t> </w:t>
            </w:r>
            <w:r>
              <w:rPr>
                <w:sz w:val="20"/>
              </w:rPr>
              <w:t>средне-</w:t>
            </w:r>
            <w:r>
              <w:rPr>
                <w:spacing w:val="-13"/>
                <w:sz w:val="20"/>
              </w:rPr>
              <w:t> </w:t>
            </w:r>
            <w:r>
              <w:rPr>
                <w:sz w:val="20"/>
              </w:rPr>
              <w:t>и нижнеампулярного отдела прямой </w:t>
            </w:r>
            <w:r>
              <w:rPr>
                <w:spacing w:val="-2"/>
                <w:sz w:val="20"/>
              </w:rPr>
              <w:t>кишки</w:t>
            </w:r>
          </w:p>
        </w:tc>
        <w:tc>
          <w:tcPr>
            <w:tcW w:w="1517" w:type="dxa"/>
          </w:tcPr>
          <w:p>
            <w:pPr>
              <w:pStyle w:val="TableParagraph"/>
              <w:spacing w:line="249" w:lineRule="auto" w:before="60"/>
              <w:ind w:left="152"/>
              <w:rPr>
                <w:sz w:val="20"/>
              </w:rPr>
            </w:pPr>
            <w:r>
              <w:rPr>
                <w:spacing w:val="-2"/>
                <w:sz w:val="20"/>
              </w:rPr>
              <w:t>хирургическое лечение</w:t>
            </w:r>
          </w:p>
        </w:tc>
        <w:tc>
          <w:tcPr>
            <w:tcW w:w="3721" w:type="dxa"/>
          </w:tcPr>
          <w:p>
            <w:pPr>
              <w:pStyle w:val="TableParagraph"/>
              <w:spacing w:line="240" w:lineRule="atLeast" w:before="30"/>
              <w:ind w:left="109" w:right="19"/>
              <w:rPr>
                <w:sz w:val="20"/>
              </w:rPr>
            </w:pPr>
            <w:r>
              <w:rPr>
                <w:sz w:val="20"/>
              </w:rPr>
              <w:t>сфинктеросохраняющие низкие внутрибрюшные</w:t>
            </w:r>
            <w:r>
              <w:rPr>
                <w:spacing w:val="-9"/>
                <w:sz w:val="20"/>
              </w:rPr>
              <w:t> </w:t>
            </w:r>
            <w:r>
              <w:rPr>
                <w:sz w:val="20"/>
              </w:rPr>
              <w:t>резекции</w:t>
            </w:r>
            <w:r>
              <w:rPr>
                <w:spacing w:val="-8"/>
                <w:sz w:val="20"/>
              </w:rPr>
              <w:t> </w:t>
            </w:r>
            <w:r>
              <w:rPr>
                <w:sz w:val="20"/>
              </w:rPr>
              <w:t>прямой</w:t>
            </w:r>
            <w:r>
              <w:rPr>
                <w:spacing w:val="-10"/>
                <w:sz w:val="20"/>
              </w:rPr>
              <w:t> </w:t>
            </w:r>
            <w:r>
              <w:rPr>
                <w:sz w:val="20"/>
              </w:rPr>
              <w:t>кишки с</w:t>
            </w:r>
            <w:r>
              <w:rPr>
                <w:spacing w:val="-13"/>
                <w:sz w:val="20"/>
              </w:rPr>
              <w:t> </w:t>
            </w:r>
            <w:r>
              <w:rPr>
                <w:sz w:val="20"/>
              </w:rPr>
              <w:t>реконструкцией</w:t>
            </w:r>
            <w:r>
              <w:rPr>
                <w:spacing w:val="-12"/>
                <w:sz w:val="20"/>
              </w:rPr>
              <w:t> </w:t>
            </w:r>
            <w:r>
              <w:rPr>
                <w:sz w:val="20"/>
              </w:rPr>
              <w:t>сфинктерного</w:t>
            </w:r>
            <w:r>
              <w:rPr>
                <w:spacing w:val="-13"/>
                <w:sz w:val="20"/>
              </w:rPr>
              <w:t> </w:t>
            </w:r>
            <w:r>
              <w:rPr>
                <w:sz w:val="20"/>
              </w:rPr>
              <w:t>аппарата и</w:t>
            </w:r>
            <w:r>
              <w:rPr>
                <w:spacing w:val="-4"/>
                <w:sz w:val="20"/>
              </w:rPr>
              <w:t> </w:t>
            </w:r>
            <w:r>
              <w:rPr>
                <w:sz w:val="20"/>
              </w:rPr>
              <w:t>(или)</w:t>
            </w:r>
            <w:r>
              <w:rPr>
                <w:spacing w:val="-3"/>
                <w:sz w:val="20"/>
              </w:rPr>
              <w:t> </w:t>
            </w:r>
            <w:r>
              <w:rPr>
                <w:sz w:val="20"/>
              </w:rPr>
              <w:t>формированием</w:t>
            </w:r>
            <w:r>
              <w:rPr>
                <w:spacing w:val="-2"/>
                <w:sz w:val="20"/>
              </w:rPr>
              <w:t> </w:t>
            </w:r>
            <w:r>
              <w:rPr>
                <w:sz w:val="20"/>
              </w:rPr>
              <w:t>толстокишечных </w:t>
            </w:r>
            <w:r>
              <w:rPr>
                <w:spacing w:val="-2"/>
                <w:sz w:val="20"/>
              </w:rPr>
              <w:t>резервуаров</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before="91"/>
        <w:ind w:left="3774" w:right="0" w:firstLine="0"/>
        <w:jc w:val="left"/>
        <w:rPr>
          <w:sz w:val="20"/>
        </w:rPr>
      </w:pPr>
      <w:r>
        <w:rPr>
          <w:sz w:val="20"/>
        </w:rPr>
        <w:t>C22,</w:t>
      </w:r>
      <w:r>
        <w:rPr>
          <w:spacing w:val="-3"/>
          <w:sz w:val="20"/>
        </w:rPr>
        <w:t> </w:t>
      </w:r>
      <w:r>
        <w:rPr>
          <w:sz w:val="20"/>
        </w:rPr>
        <w:t>C23,</w:t>
      </w:r>
      <w:r>
        <w:rPr>
          <w:spacing w:val="-3"/>
          <w:sz w:val="20"/>
        </w:rPr>
        <w:t> </w:t>
      </w:r>
      <w:r>
        <w:rPr>
          <w:sz w:val="20"/>
        </w:rPr>
        <w:t>C24, </w:t>
      </w:r>
      <w:r>
        <w:rPr>
          <w:spacing w:val="-4"/>
          <w:sz w:val="20"/>
        </w:rPr>
        <w:t>C78.7</w:t>
      </w:r>
      <w:r>
        <w:rPr>
          <w:sz w:val="20"/>
        </w:rPr>
        <w:tab/>
      </w:r>
      <w:r>
        <w:rPr>
          <w:w w:val="95"/>
          <w:sz w:val="20"/>
        </w:rPr>
        <w:t>местнораспространенные</w:t>
      </w:r>
      <w:r>
        <w:rPr>
          <w:spacing w:val="60"/>
          <w:w w:val="150"/>
          <w:sz w:val="20"/>
        </w:rPr>
        <w:t> </w:t>
      </w:r>
      <w:r>
        <w:rPr>
          <w:spacing w:val="-2"/>
          <w:w w:val="95"/>
          <w:sz w:val="20"/>
        </w:rPr>
        <w:t>первичные</w:t>
      </w:r>
    </w:p>
    <w:p>
      <w:pPr>
        <w:spacing w:before="10"/>
        <w:ind w:left="5793" w:right="0" w:firstLine="0"/>
        <w:jc w:val="left"/>
        <w:rPr>
          <w:sz w:val="20"/>
        </w:rPr>
      </w:pPr>
      <w:r>
        <w:rPr>
          <w:sz w:val="20"/>
        </w:rPr>
        <w:t>и</w:t>
      </w:r>
      <w:r>
        <w:rPr>
          <w:spacing w:val="-9"/>
          <w:sz w:val="20"/>
        </w:rPr>
        <w:t> </w:t>
      </w:r>
      <w:r>
        <w:rPr>
          <w:sz w:val="20"/>
        </w:rPr>
        <w:t>метастатические</w:t>
      </w:r>
      <w:r>
        <w:rPr>
          <w:spacing w:val="-8"/>
          <w:sz w:val="20"/>
        </w:rPr>
        <w:t> </w:t>
      </w:r>
      <w:r>
        <w:rPr>
          <w:sz w:val="20"/>
        </w:rPr>
        <w:t>опухоли</w:t>
      </w:r>
      <w:r>
        <w:rPr>
          <w:spacing w:val="-7"/>
          <w:sz w:val="20"/>
        </w:rPr>
        <w:t> </w:t>
      </w:r>
      <w:r>
        <w:rPr>
          <w:spacing w:val="-2"/>
          <w:sz w:val="20"/>
        </w:rPr>
        <w:t>печени</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7"/>
        </w:rPr>
      </w:pPr>
    </w:p>
    <w:p>
      <w:pPr>
        <w:tabs>
          <w:tab w:pos="5792" w:val="left" w:leader="none"/>
        </w:tabs>
        <w:spacing w:line="249" w:lineRule="auto" w:before="0"/>
        <w:ind w:left="5793" w:right="1049" w:hanging="1294"/>
        <w:jc w:val="left"/>
        <w:rPr>
          <w:sz w:val="20"/>
        </w:rPr>
      </w:pPr>
      <w:r>
        <w:rPr>
          <w:spacing w:val="-4"/>
          <w:sz w:val="20"/>
        </w:rPr>
        <w:t>C25</w:t>
      </w:r>
      <w:r>
        <w:rPr>
          <w:sz w:val="20"/>
        </w:rPr>
        <w:tab/>
        <w:t>резектабельные</w:t>
      </w:r>
      <w:r>
        <w:rPr>
          <w:spacing w:val="-13"/>
          <w:sz w:val="20"/>
        </w:rPr>
        <w:t> </w:t>
      </w:r>
      <w:r>
        <w:rPr>
          <w:sz w:val="20"/>
        </w:rPr>
        <w:t>опухоли поджелудочной железы</w:t>
      </w:r>
    </w:p>
    <w:p>
      <w:pPr>
        <w:spacing w:line="249" w:lineRule="auto" w:before="91"/>
        <w:ind w:left="114"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line="249" w:lineRule="auto" w:before="0"/>
        <w:ind w:left="114" w:right="0" w:firstLine="0"/>
        <w:jc w:val="left"/>
        <w:rPr>
          <w:sz w:val="20"/>
        </w:rPr>
      </w:pPr>
      <w:r>
        <w:rPr>
          <w:spacing w:val="-2"/>
          <w:sz w:val="20"/>
        </w:rPr>
        <w:t>хирургическое лечение</w:t>
      </w:r>
    </w:p>
    <w:p>
      <w:pPr>
        <w:spacing w:line="374" w:lineRule="auto" w:before="91"/>
        <w:ind w:left="178" w:right="2233" w:firstLine="0"/>
        <w:jc w:val="left"/>
        <w:rPr>
          <w:sz w:val="20"/>
        </w:rPr>
      </w:pPr>
      <w:r>
        <w:rPr/>
        <w:br w:type="column"/>
      </w:r>
      <w:r>
        <w:rPr>
          <w:sz w:val="20"/>
        </w:rPr>
        <w:t>анатомическая резекция печени правосторонняя</w:t>
      </w:r>
      <w:r>
        <w:rPr>
          <w:spacing w:val="-13"/>
          <w:sz w:val="20"/>
        </w:rPr>
        <w:t> </w:t>
      </w:r>
      <w:r>
        <w:rPr>
          <w:sz w:val="20"/>
        </w:rPr>
        <w:t>гемигепатэктомия левосторонняя гемигепатэктомия медианная резекция печени двухэтапная резекция печени панкреатодуоденальная резекция</w:t>
      </w:r>
    </w:p>
    <w:p>
      <w:pPr>
        <w:spacing w:line="247" w:lineRule="auto" w:before="8"/>
        <w:ind w:left="178" w:right="1951" w:firstLine="0"/>
        <w:jc w:val="left"/>
        <w:rPr>
          <w:sz w:val="20"/>
        </w:rPr>
      </w:pPr>
      <w:r>
        <w:rPr>
          <w:sz w:val="20"/>
        </w:rPr>
        <w:t>пилоруссберегающая</w:t>
      </w:r>
      <w:r>
        <w:rPr>
          <w:spacing w:val="-13"/>
          <w:sz w:val="20"/>
        </w:rPr>
        <w:t> </w:t>
      </w:r>
      <w:r>
        <w:rPr>
          <w:sz w:val="20"/>
        </w:rPr>
        <w:t>панкреато- дуоденальная резекция</w:t>
      </w:r>
    </w:p>
    <w:p>
      <w:pPr>
        <w:spacing w:line="247" w:lineRule="auto" w:before="104"/>
        <w:ind w:left="178" w:right="1951" w:firstLine="0"/>
        <w:jc w:val="left"/>
        <w:rPr>
          <w:sz w:val="20"/>
        </w:rPr>
      </w:pPr>
      <w:r>
        <w:rPr>
          <w:sz w:val="20"/>
        </w:rPr>
        <w:t>срединная</w:t>
      </w:r>
      <w:r>
        <w:rPr>
          <w:spacing w:val="-13"/>
          <w:sz w:val="20"/>
        </w:rPr>
        <w:t> </w:t>
      </w:r>
      <w:r>
        <w:rPr>
          <w:sz w:val="20"/>
        </w:rPr>
        <w:t>резекция</w:t>
      </w:r>
      <w:r>
        <w:rPr>
          <w:spacing w:val="-12"/>
          <w:sz w:val="20"/>
        </w:rPr>
        <w:t> </w:t>
      </w:r>
      <w:r>
        <w:rPr>
          <w:sz w:val="20"/>
        </w:rPr>
        <w:t>поджелудочной </w:t>
      </w:r>
      <w:r>
        <w:rPr>
          <w:spacing w:val="-2"/>
          <w:sz w:val="20"/>
        </w:rPr>
        <w:t>железы</w:t>
      </w:r>
    </w:p>
    <w:p>
      <w:pPr>
        <w:spacing w:before="106"/>
        <w:ind w:left="178" w:right="0" w:firstLine="0"/>
        <w:jc w:val="left"/>
        <w:rPr>
          <w:sz w:val="20"/>
        </w:rPr>
      </w:pPr>
      <w:r>
        <w:rPr>
          <w:sz w:val="20"/>
        </w:rPr>
        <w:t>тотальная</w:t>
      </w:r>
      <w:r>
        <w:rPr>
          <w:spacing w:val="-12"/>
          <w:sz w:val="20"/>
        </w:rPr>
        <w:t> </w:t>
      </w:r>
      <w:r>
        <w:rPr>
          <w:spacing w:val="-2"/>
          <w:sz w:val="20"/>
        </w:rPr>
        <w:t>дуоденопанкреатэктомия</w:t>
      </w:r>
    </w:p>
    <w:p>
      <w:pPr>
        <w:spacing w:line="247" w:lineRule="auto" w:before="132"/>
        <w:ind w:left="178" w:right="1951" w:firstLine="0"/>
        <w:jc w:val="left"/>
        <w:rPr>
          <w:sz w:val="20"/>
        </w:rPr>
      </w:pPr>
      <w:r>
        <w:rPr>
          <w:spacing w:val="-2"/>
          <w:sz w:val="20"/>
        </w:rPr>
        <w:t>расширенно-комбинированная </w:t>
      </w:r>
      <w:r>
        <w:rPr>
          <w:sz w:val="20"/>
        </w:rPr>
        <w:t>панкреатодуоденальная</w:t>
      </w:r>
      <w:r>
        <w:rPr>
          <w:spacing w:val="-13"/>
          <w:sz w:val="20"/>
        </w:rPr>
        <w:t> </w:t>
      </w:r>
      <w:r>
        <w:rPr>
          <w:sz w:val="20"/>
        </w:rPr>
        <w:t>резекция</w:t>
      </w:r>
    </w:p>
    <w:p>
      <w:pPr>
        <w:spacing w:line="249" w:lineRule="auto" w:before="107"/>
        <w:ind w:left="178" w:right="1951" w:firstLine="0"/>
        <w:jc w:val="left"/>
        <w:rPr>
          <w:sz w:val="20"/>
        </w:rPr>
      </w:pPr>
      <w:r>
        <w:rPr>
          <w:spacing w:val="-2"/>
          <w:sz w:val="20"/>
        </w:rPr>
        <w:t>расширенно-комбинированная </w:t>
      </w:r>
      <w:r>
        <w:rPr>
          <w:sz w:val="20"/>
        </w:rPr>
        <w:t>пилоруссберегающая</w:t>
      </w:r>
      <w:r>
        <w:rPr>
          <w:spacing w:val="-13"/>
          <w:sz w:val="20"/>
        </w:rPr>
        <w:t> </w:t>
      </w:r>
      <w:r>
        <w:rPr>
          <w:sz w:val="20"/>
        </w:rPr>
        <w:t>панкреато- дуоденальная резекция</w:t>
      </w:r>
    </w:p>
    <w:p>
      <w:pPr>
        <w:spacing w:line="247" w:lineRule="auto" w:before="101"/>
        <w:ind w:left="178" w:right="1901" w:firstLine="0"/>
        <w:jc w:val="left"/>
        <w:rPr>
          <w:sz w:val="20"/>
        </w:rPr>
      </w:pPr>
      <w:r>
        <w:rPr>
          <w:sz w:val="20"/>
        </w:rPr>
        <w:t>расширенно-комбинированная</w:t>
      </w:r>
      <w:r>
        <w:rPr>
          <w:spacing w:val="-13"/>
          <w:sz w:val="20"/>
        </w:rPr>
        <w:t> </w:t>
      </w:r>
      <w:r>
        <w:rPr>
          <w:sz w:val="20"/>
        </w:rPr>
        <w:t>срединная резекция поджелудочной железы</w:t>
      </w:r>
    </w:p>
    <w:p>
      <w:pPr>
        <w:spacing w:line="249" w:lineRule="auto" w:before="107"/>
        <w:ind w:left="178" w:right="0" w:firstLine="0"/>
        <w:jc w:val="left"/>
        <w:rPr>
          <w:sz w:val="20"/>
        </w:rPr>
      </w:pPr>
      <w:r>
        <w:rPr>
          <w:sz w:val="20"/>
        </w:rPr>
        <w:t>расширенно-комбинированная</w:t>
      </w:r>
      <w:r>
        <w:rPr>
          <w:spacing w:val="-13"/>
          <w:sz w:val="20"/>
        </w:rPr>
        <w:t> </w:t>
      </w:r>
      <w:r>
        <w:rPr>
          <w:sz w:val="20"/>
        </w:rPr>
        <w:t>тотальная </w:t>
      </w:r>
      <w:r>
        <w:rPr>
          <w:spacing w:val="-2"/>
          <w:sz w:val="20"/>
        </w:rPr>
        <w:t>дуоденопанкреатэктомия</w:t>
      </w:r>
    </w:p>
    <w:p>
      <w:pPr>
        <w:spacing w:line="247" w:lineRule="auto" w:before="103"/>
        <w:ind w:left="178" w:right="2233" w:firstLine="0"/>
        <w:jc w:val="left"/>
        <w:rPr>
          <w:sz w:val="20"/>
        </w:rPr>
      </w:pPr>
      <w:r>
        <w:rPr>
          <w:spacing w:val="-2"/>
          <w:sz w:val="20"/>
        </w:rPr>
        <w:t>расширенно-комбинированная </w:t>
      </w:r>
      <w:r>
        <w:rPr>
          <w:sz w:val="20"/>
        </w:rPr>
        <w:t>дистальная</w:t>
      </w:r>
      <w:r>
        <w:rPr>
          <w:spacing w:val="-13"/>
          <w:sz w:val="20"/>
        </w:rPr>
        <w:t> </w:t>
      </w:r>
      <w:r>
        <w:rPr>
          <w:sz w:val="20"/>
        </w:rPr>
        <w:t>гемипанкреатэктомия</w:t>
      </w:r>
    </w:p>
    <w:p>
      <w:pPr>
        <w:spacing w:after="0" w:line="247" w:lineRule="auto"/>
        <w:jc w:val="left"/>
        <w:rPr>
          <w:sz w:val="20"/>
        </w:rPr>
        <w:sectPr>
          <w:type w:val="continuous"/>
          <w:pgSz w:w="16850" w:h="11910" w:orient="landscape"/>
          <w:pgMar w:header="753" w:footer="0" w:top="1080" w:bottom="280" w:left="400" w:right="400"/>
          <w:cols w:num="3" w:equalWidth="0">
            <w:col w:w="8946" w:space="40"/>
            <w:col w:w="1372" w:space="39"/>
            <w:col w:w="5653"/>
          </w:cols>
        </w:sectPr>
      </w:pPr>
    </w:p>
    <w:p>
      <w:pPr>
        <w:tabs>
          <w:tab w:pos="5792" w:val="left" w:leader="none"/>
          <w:tab w:pos="9100" w:val="left" w:leader="none"/>
        </w:tabs>
        <w:spacing w:line="249" w:lineRule="auto" w:before="105"/>
        <w:ind w:left="9100" w:right="0" w:hanging="4602"/>
        <w:jc w:val="left"/>
        <w:rPr>
          <w:sz w:val="20"/>
        </w:rPr>
      </w:pPr>
      <w:r>
        <w:rPr>
          <w:spacing w:val="-4"/>
          <w:sz w:val="20"/>
        </w:rPr>
        <w:t>C33</w:t>
      </w:r>
      <w:r>
        <w:rPr>
          <w:sz w:val="20"/>
        </w:rPr>
        <w:tab/>
        <w:t>опухоль трахеи</w:t>
        <w:tab/>
      </w:r>
      <w:r>
        <w:rPr>
          <w:spacing w:val="-2"/>
          <w:w w:val="95"/>
          <w:sz w:val="20"/>
        </w:rPr>
        <w:t>хирургическое </w:t>
      </w:r>
      <w:r>
        <w:rPr>
          <w:spacing w:val="-2"/>
          <w:sz w:val="20"/>
        </w:rPr>
        <w:t>лечение</w:t>
      </w:r>
    </w:p>
    <w:p>
      <w:pPr>
        <w:spacing w:line="249" w:lineRule="auto" w:before="105"/>
        <w:ind w:left="178" w:right="1951" w:firstLine="0"/>
        <w:jc w:val="left"/>
        <w:rPr>
          <w:sz w:val="20"/>
        </w:rPr>
      </w:pPr>
      <w:r>
        <w:rPr/>
        <w:br w:type="column"/>
      </w:r>
      <w:r>
        <w:rPr>
          <w:sz w:val="20"/>
        </w:rPr>
        <w:t>расширенная, комбинированная циркулярная резекция трахеи с формированием</w:t>
      </w:r>
      <w:r>
        <w:rPr>
          <w:spacing w:val="-13"/>
          <w:sz w:val="20"/>
        </w:rPr>
        <w:t> </w:t>
      </w:r>
      <w:r>
        <w:rPr>
          <w:sz w:val="20"/>
        </w:rPr>
        <w:t>межтрахеального</w:t>
      </w:r>
      <w:r>
        <w:rPr>
          <w:spacing w:val="-12"/>
          <w:sz w:val="20"/>
        </w:rPr>
        <w:t> </w:t>
      </w:r>
      <w:r>
        <w:rPr>
          <w:sz w:val="20"/>
        </w:rPr>
        <w:t>или трахеогортанного анастомозов</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456"/>
        <w:gridCol w:w="1697"/>
        <w:gridCol w:w="3711"/>
      </w:tblGrid>
      <w:tr>
        <w:trPr>
          <w:trHeight w:val="77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ind w:left="109" w:right="66"/>
              <w:rPr>
                <w:sz w:val="20"/>
              </w:rPr>
            </w:pPr>
            <w:r>
              <w:rPr>
                <w:sz w:val="20"/>
              </w:rPr>
              <w:t>расширенная, комбинированная циркулярная резекция трахеи с формированием</w:t>
            </w:r>
            <w:r>
              <w:rPr>
                <w:spacing w:val="-13"/>
                <w:sz w:val="20"/>
              </w:rPr>
              <w:t> </w:t>
            </w:r>
            <w:r>
              <w:rPr>
                <w:sz w:val="20"/>
              </w:rPr>
              <w:t>концевой</w:t>
            </w:r>
            <w:r>
              <w:rPr>
                <w:spacing w:val="-12"/>
                <w:sz w:val="20"/>
              </w:rPr>
              <w:t> </w:t>
            </w:r>
            <w:r>
              <w:rPr>
                <w:sz w:val="20"/>
              </w:rPr>
              <w:t>трахеостомы</w:t>
            </w:r>
          </w:p>
        </w:tc>
      </w:tr>
      <w:tr>
        <w:trPr>
          <w:trHeight w:val="108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66"/>
              <w:rPr>
                <w:sz w:val="20"/>
              </w:rPr>
            </w:pPr>
            <w:r>
              <w:rPr>
                <w:sz w:val="20"/>
              </w:rPr>
              <w:t>пластика трахеи (ауто-, аллопластика, использование свободных микрохирургических,</w:t>
            </w:r>
            <w:r>
              <w:rPr>
                <w:spacing w:val="-13"/>
                <w:sz w:val="20"/>
              </w:rPr>
              <w:t> </w:t>
            </w:r>
            <w:r>
              <w:rPr>
                <w:sz w:val="20"/>
              </w:rPr>
              <w:t>перемещенных</w:t>
            </w:r>
            <w:r>
              <w:rPr>
                <w:spacing w:val="-12"/>
                <w:sz w:val="20"/>
              </w:rPr>
              <w:t> </w:t>
            </w:r>
            <w:r>
              <w:rPr>
                <w:sz w:val="20"/>
              </w:rPr>
              <w:t>и биоинженерных лоскутов)</w:t>
            </w:r>
          </w:p>
        </w:tc>
      </w:tr>
      <w:tr>
        <w:trPr>
          <w:trHeight w:val="840" w:hRule="atLeast"/>
        </w:trPr>
        <w:tc>
          <w:tcPr>
            <w:tcW w:w="863" w:type="dxa"/>
          </w:tcPr>
          <w:p>
            <w:pPr>
              <w:pStyle w:val="TableParagraph"/>
              <w:spacing w:before="60"/>
              <w:ind w:left="50"/>
              <w:rPr>
                <w:sz w:val="20"/>
              </w:rPr>
            </w:pPr>
            <w:r>
              <w:rPr>
                <w:spacing w:val="-5"/>
                <w:sz w:val="20"/>
              </w:rPr>
              <w:t>C34</w:t>
            </w:r>
          </w:p>
        </w:tc>
        <w:tc>
          <w:tcPr>
            <w:tcW w:w="3456" w:type="dxa"/>
          </w:tcPr>
          <w:p>
            <w:pPr>
              <w:pStyle w:val="TableParagraph"/>
              <w:spacing w:before="60"/>
              <w:ind w:left="480"/>
              <w:rPr>
                <w:sz w:val="20"/>
              </w:rPr>
            </w:pPr>
            <w:r>
              <w:rPr>
                <w:sz w:val="20"/>
              </w:rPr>
              <w:t>опухоли</w:t>
            </w:r>
            <w:r>
              <w:rPr>
                <w:spacing w:val="-3"/>
                <w:sz w:val="20"/>
              </w:rPr>
              <w:t> </w:t>
            </w:r>
            <w:r>
              <w:rPr>
                <w:sz w:val="20"/>
              </w:rPr>
              <w:t>легкого</w:t>
            </w:r>
            <w:r>
              <w:rPr>
                <w:spacing w:val="-3"/>
                <w:sz w:val="20"/>
              </w:rPr>
              <w:t> </w:t>
            </w:r>
            <w:r>
              <w:rPr>
                <w:sz w:val="20"/>
              </w:rPr>
              <w:t>(I</w:t>
            </w:r>
            <w:r>
              <w:rPr>
                <w:spacing w:val="-2"/>
                <w:sz w:val="20"/>
              </w:rPr>
              <w:t> </w:t>
            </w:r>
            <w:r>
              <w:rPr>
                <w:sz w:val="20"/>
              </w:rPr>
              <w:t>-</w:t>
            </w:r>
            <w:r>
              <w:rPr>
                <w:spacing w:val="-5"/>
                <w:sz w:val="20"/>
              </w:rPr>
              <w:t> </w:t>
            </w:r>
            <w:r>
              <w:rPr>
                <w:sz w:val="20"/>
              </w:rPr>
              <w:t>III</w:t>
            </w:r>
            <w:r>
              <w:rPr>
                <w:spacing w:val="-4"/>
                <w:sz w:val="20"/>
              </w:rPr>
              <w:t> </w:t>
            </w:r>
            <w:r>
              <w:rPr>
                <w:spacing w:val="-2"/>
                <w:sz w:val="20"/>
              </w:rPr>
              <w:t>стадия)</w:t>
            </w:r>
          </w:p>
        </w:tc>
        <w:tc>
          <w:tcPr>
            <w:tcW w:w="1697" w:type="dxa"/>
          </w:tcPr>
          <w:p>
            <w:pPr>
              <w:pStyle w:val="TableParagraph"/>
              <w:spacing w:line="249" w:lineRule="auto" w:before="60"/>
              <w:ind w:left="332"/>
              <w:rPr>
                <w:sz w:val="20"/>
              </w:rPr>
            </w:pPr>
            <w:r>
              <w:rPr>
                <w:spacing w:val="-2"/>
                <w:sz w:val="20"/>
              </w:rPr>
              <w:t>хирургическое лечение</w:t>
            </w:r>
          </w:p>
        </w:tc>
        <w:tc>
          <w:tcPr>
            <w:tcW w:w="3711" w:type="dxa"/>
          </w:tcPr>
          <w:p>
            <w:pPr>
              <w:pStyle w:val="TableParagraph"/>
              <w:spacing w:line="249" w:lineRule="auto" w:before="60"/>
              <w:ind w:left="109" w:right="66"/>
              <w:rPr>
                <w:sz w:val="20"/>
              </w:rPr>
            </w:pPr>
            <w:r>
              <w:rPr>
                <w:sz w:val="20"/>
              </w:rPr>
              <w:t>изолированная</w:t>
            </w:r>
            <w:r>
              <w:rPr>
                <w:spacing w:val="-13"/>
                <w:sz w:val="20"/>
              </w:rPr>
              <w:t> </w:t>
            </w:r>
            <w:r>
              <w:rPr>
                <w:sz w:val="20"/>
              </w:rPr>
              <w:t>(циркулярная)</w:t>
            </w:r>
            <w:r>
              <w:rPr>
                <w:spacing w:val="-12"/>
                <w:sz w:val="20"/>
              </w:rPr>
              <w:t> </w:t>
            </w:r>
            <w:r>
              <w:rPr>
                <w:sz w:val="20"/>
              </w:rPr>
              <w:t>резекция бронха (формирование межбронхиального анастомоза)</w:t>
            </w:r>
          </w:p>
        </w:tc>
      </w:tr>
      <w:tr>
        <w:trPr>
          <w:trHeight w:val="108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66"/>
              <w:rPr>
                <w:sz w:val="20"/>
              </w:rPr>
            </w:pPr>
            <w:r>
              <w:rPr>
                <w:sz w:val="20"/>
              </w:rPr>
              <w:t>комбинированная</w:t>
            </w:r>
            <w:r>
              <w:rPr>
                <w:spacing w:val="-13"/>
                <w:sz w:val="20"/>
              </w:rPr>
              <w:t> </w:t>
            </w:r>
            <w:r>
              <w:rPr>
                <w:sz w:val="20"/>
              </w:rPr>
              <w:t>пневмонэктомия</w:t>
            </w:r>
            <w:r>
              <w:rPr>
                <w:spacing w:val="-12"/>
                <w:sz w:val="20"/>
              </w:rPr>
              <w:t> </w:t>
            </w:r>
            <w:r>
              <w:rPr>
                <w:sz w:val="20"/>
              </w:rPr>
              <w:t>с циркулярной</w:t>
            </w:r>
            <w:r>
              <w:rPr>
                <w:spacing w:val="-13"/>
                <w:sz w:val="20"/>
              </w:rPr>
              <w:t> </w:t>
            </w:r>
            <w:r>
              <w:rPr>
                <w:sz w:val="20"/>
              </w:rPr>
              <w:t>резекцией</w:t>
            </w:r>
            <w:r>
              <w:rPr>
                <w:spacing w:val="-12"/>
                <w:sz w:val="20"/>
              </w:rPr>
              <w:t> </w:t>
            </w:r>
            <w:r>
              <w:rPr>
                <w:sz w:val="20"/>
              </w:rPr>
              <w:t>бифуркации трахеи (формирование трахео- бронхиального анастомоза)</w:t>
            </w:r>
          </w:p>
        </w:tc>
      </w:tr>
      <w:tr>
        <w:trPr>
          <w:trHeight w:val="156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728"/>
              <w:rPr>
                <w:sz w:val="20"/>
              </w:rPr>
            </w:pPr>
            <w:r>
              <w:rPr>
                <w:sz w:val="20"/>
              </w:rPr>
              <w:t>комбинированная лобэктомия (билобэктомия,</w:t>
            </w:r>
            <w:r>
              <w:rPr>
                <w:spacing w:val="-13"/>
                <w:sz w:val="20"/>
              </w:rPr>
              <w:t> </w:t>
            </w:r>
            <w:r>
              <w:rPr>
                <w:sz w:val="20"/>
              </w:rPr>
              <w:t>пневмонэктомия) с резекцией, пластикой (алло-,</w:t>
            </w:r>
          </w:p>
          <w:p>
            <w:pPr>
              <w:pStyle w:val="TableParagraph"/>
              <w:spacing w:line="249" w:lineRule="auto" w:before="3"/>
              <w:ind w:left="109" w:right="524"/>
              <w:jc w:val="both"/>
              <w:rPr>
                <w:sz w:val="20"/>
              </w:rPr>
            </w:pPr>
            <w:r>
              <w:rPr>
                <w:sz w:val="20"/>
              </w:rPr>
              <w:t>аутотрасплантатом,</w:t>
            </w:r>
            <w:r>
              <w:rPr>
                <w:spacing w:val="-13"/>
                <w:sz w:val="20"/>
              </w:rPr>
              <w:t> </w:t>
            </w:r>
            <w:r>
              <w:rPr>
                <w:sz w:val="20"/>
              </w:rPr>
              <w:t>перемещенным биоинженерным</w:t>
            </w:r>
            <w:r>
              <w:rPr>
                <w:spacing w:val="-13"/>
                <w:sz w:val="20"/>
              </w:rPr>
              <w:t> </w:t>
            </w:r>
            <w:r>
              <w:rPr>
                <w:sz w:val="20"/>
              </w:rPr>
              <w:t>лоскутом)</w:t>
            </w:r>
            <w:r>
              <w:rPr>
                <w:spacing w:val="-12"/>
                <w:sz w:val="20"/>
              </w:rPr>
              <w:t> </w:t>
            </w:r>
            <w:r>
              <w:rPr>
                <w:sz w:val="20"/>
              </w:rPr>
              <w:t>грудной </w:t>
            </w:r>
            <w:r>
              <w:rPr>
                <w:spacing w:val="-2"/>
                <w:sz w:val="20"/>
              </w:rPr>
              <w:t>стенки</w:t>
            </w:r>
          </w:p>
        </w:tc>
      </w:tr>
      <w:tr>
        <w:trPr>
          <w:trHeight w:val="108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66"/>
              <w:rPr>
                <w:sz w:val="20"/>
              </w:rPr>
            </w:pPr>
            <w:r>
              <w:rPr>
                <w:sz w:val="20"/>
              </w:rPr>
              <w:t>расширенные</w:t>
            </w:r>
            <w:r>
              <w:rPr>
                <w:spacing w:val="-13"/>
                <w:sz w:val="20"/>
              </w:rPr>
              <w:t> </w:t>
            </w:r>
            <w:r>
              <w:rPr>
                <w:sz w:val="20"/>
              </w:rPr>
              <w:t>лоб-,</w:t>
            </w:r>
            <w:r>
              <w:rPr>
                <w:spacing w:val="-12"/>
                <w:sz w:val="20"/>
              </w:rPr>
              <w:t> </w:t>
            </w:r>
            <w:r>
              <w:rPr>
                <w:sz w:val="20"/>
              </w:rPr>
              <w:t>билобэктомии, пневмонэктомия, включая билатеральную медиастинальную </w:t>
            </w:r>
            <w:r>
              <w:rPr>
                <w:spacing w:val="-2"/>
                <w:sz w:val="20"/>
              </w:rPr>
              <w:t>лимфаденэктомию</w:t>
            </w:r>
          </w:p>
        </w:tc>
      </w:tr>
      <w:tr>
        <w:trPr>
          <w:trHeight w:val="101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398"/>
              <w:rPr>
                <w:sz w:val="20"/>
              </w:rPr>
            </w:pPr>
            <w:r>
              <w:rPr>
                <w:sz w:val="20"/>
              </w:rPr>
              <w:t>лоб-, билоб-, пневмонэктомия с медиастинальной</w:t>
            </w:r>
            <w:r>
              <w:rPr>
                <w:spacing w:val="-13"/>
                <w:sz w:val="20"/>
              </w:rPr>
              <w:t> </w:t>
            </w:r>
            <w:r>
              <w:rPr>
                <w:sz w:val="20"/>
              </w:rPr>
              <w:t>лимфаденэктомией</w:t>
            </w:r>
          </w:p>
          <w:p>
            <w:pPr>
              <w:pStyle w:val="TableParagraph"/>
              <w:spacing w:before="2"/>
              <w:ind w:left="109"/>
              <w:rPr>
                <w:sz w:val="20"/>
              </w:rPr>
            </w:pPr>
            <w:r>
              <w:rPr>
                <w:sz w:val="20"/>
              </w:rPr>
              <w:t>и</w:t>
            </w:r>
            <w:r>
              <w:rPr>
                <w:spacing w:val="-11"/>
                <w:sz w:val="20"/>
              </w:rPr>
              <w:t> </w:t>
            </w:r>
            <w:r>
              <w:rPr>
                <w:sz w:val="20"/>
              </w:rPr>
              <w:t>интраоперационной</w:t>
            </w:r>
            <w:r>
              <w:rPr>
                <w:spacing w:val="-11"/>
                <w:sz w:val="20"/>
              </w:rPr>
              <w:t> </w:t>
            </w:r>
            <w:r>
              <w:rPr>
                <w:spacing w:val="-2"/>
                <w:sz w:val="20"/>
              </w:rPr>
              <w:t>фотодинамической</w:t>
            </w:r>
          </w:p>
          <w:p>
            <w:pPr>
              <w:pStyle w:val="TableParagraph"/>
              <w:spacing w:line="210" w:lineRule="exact" w:before="10"/>
              <w:ind w:left="109"/>
              <w:rPr>
                <w:sz w:val="20"/>
              </w:rPr>
            </w:pPr>
            <w:r>
              <w:rPr>
                <w:spacing w:val="-2"/>
                <w:sz w:val="20"/>
              </w:rPr>
              <w:t>терапией</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3385"/>
        <w:gridCol w:w="1439"/>
        <w:gridCol w:w="3554"/>
      </w:tblGrid>
      <w:tr>
        <w:trPr>
          <w:trHeight w:val="1490" w:hRule="atLeast"/>
        </w:trPr>
        <w:tc>
          <w:tcPr>
            <w:tcW w:w="1851" w:type="dxa"/>
          </w:tcPr>
          <w:p>
            <w:pPr>
              <w:pStyle w:val="TableParagraph"/>
              <w:spacing w:line="249" w:lineRule="auto"/>
              <w:ind w:left="340" w:hanging="243"/>
              <w:rPr>
                <w:sz w:val="20"/>
              </w:rPr>
            </w:pPr>
            <w:r>
              <w:rPr>
                <w:sz w:val="20"/>
              </w:rPr>
              <w:t>C37,</w:t>
            </w:r>
            <w:r>
              <w:rPr>
                <w:spacing w:val="-13"/>
                <w:sz w:val="20"/>
              </w:rPr>
              <w:t> </w:t>
            </w:r>
            <w:r>
              <w:rPr>
                <w:sz w:val="20"/>
              </w:rPr>
              <w:t>C08.1,</w:t>
            </w:r>
            <w:r>
              <w:rPr>
                <w:spacing w:val="-12"/>
                <w:sz w:val="20"/>
              </w:rPr>
              <w:t> </w:t>
            </w:r>
            <w:r>
              <w:rPr>
                <w:sz w:val="20"/>
              </w:rPr>
              <w:t>C38.2, C38.3, C78.1</w:t>
            </w:r>
          </w:p>
        </w:tc>
        <w:tc>
          <w:tcPr>
            <w:tcW w:w="3385" w:type="dxa"/>
          </w:tcPr>
          <w:p>
            <w:pPr>
              <w:pStyle w:val="TableParagraph"/>
              <w:spacing w:line="249" w:lineRule="auto"/>
              <w:ind w:left="150" w:right="627"/>
              <w:rPr>
                <w:sz w:val="20"/>
              </w:rPr>
            </w:pPr>
            <w:r>
              <w:rPr>
                <w:sz w:val="20"/>
              </w:rPr>
              <w:t>опухоль вилочковой железы III</w:t>
            </w:r>
            <w:r>
              <w:rPr>
                <w:spacing w:val="-13"/>
                <w:sz w:val="20"/>
              </w:rPr>
              <w:t> </w:t>
            </w:r>
            <w:r>
              <w:rPr>
                <w:sz w:val="20"/>
              </w:rPr>
              <w:t>стадии,</w:t>
            </w:r>
            <w:r>
              <w:rPr>
                <w:spacing w:val="-12"/>
                <w:sz w:val="20"/>
              </w:rPr>
              <w:t> </w:t>
            </w:r>
            <w:r>
              <w:rPr>
                <w:sz w:val="20"/>
              </w:rPr>
              <w:t>опухоль</w:t>
            </w:r>
            <w:r>
              <w:rPr>
                <w:spacing w:val="-13"/>
                <w:sz w:val="20"/>
              </w:rPr>
              <w:t> </w:t>
            </w:r>
            <w:r>
              <w:rPr>
                <w:sz w:val="20"/>
              </w:rPr>
              <w:t>переднего, заднего средостения,</w:t>
            </w:r>
          </w:p>
          <w:p>
            <w:pPr>
              <w:pStyle w:val="TableParagraph"/>
              <w:spacing w:line="249" w:lineRule="auto"/>
              <w:ind w:left="150" w:right="356"/>
              <w:rPr>
                <w:sz w:val="20"/>
              </w:rPr>
            </w:pPr>
            <w:r>
              <w:rPr>
                <w:sz w:val="20"/>
              </w:rPr>
              <w:t>местнораспространенные</w:t>
            </w:r>
            <w:r>
              <w:rPr>
                <w:spacing w:val="-13"/>
                <w:sz w:val="20"/>
              </w:rPr>
              <w:t> </w:t>
            </w:r>
            <w:r>
              <w:rPr>
                <w:sz w:val="20"/>
              </w:rPr>
              <w:t>формы, метастатическое поражение </w:t>
            </w:r>
            <w:r>
              <w:rPr>
                <w:spacing w:val="-2"/>
                <w:sz w:val="20"/>
              </w:rPr>
              <w:t>средостения</w:t>
            </w:r>
          </w:p>
        </w:tc>
        <w:tc>
          <w:tcPr>
            <w:tcW w:w="1439" w:type="dxa"/>
          </w:tcPr>
          <w:p>
            <w:pPr>
              <w:pStyle w:val="TableParagraph"/>
              <w:spacing w:line="249" w:lineRule="auto"/>
              <w:ind w:left="73" w:right="105"/>
              <w:rPr>
                <w:sz w:val="20"/>
              </w:rPr>
            </w:pPr>
            <w:r>
              <w:rPr>
                <w:spacing w:val="-2"/>
                <w:sz w:val="20"/>
              </w:rPr>
              <w:t>хирургическое лечение</w:t>
            </w:r>
          </w:p>
        </w:tc>
        <w:tc>
          <w:tcPr>
            <w:tcW w:w="3554" w:type="dxa"/>
          </w:tcPr>
          <w:p>
            <w:pPr>
              <w:pStyle w:val="TableParagraph"/>
              <w:spacing w:line="249" w:lineRule="auto"/>
              <w:ind w:left="108" w:right="41"/>
              <w:rPr>
                <w:sz w:val="20"/>
              </w:rPr>
            </w:pPr>
            <w:r>
              <w:rPr>
                <w:sz w:val="20"/>
              </w:rPr>
              <w:t>удаление опухоли средостения с интраоперационной</w:t>
            </w:r>
            <w:r>
              <w:rPr>
                <w:spacing w:val="-13"/>
                <w:sz w:val="20"/>
              </w:rPr>
              <w:t> </w:t>
            </w:r>
            <w:r>
              <w:rPr>
                <w:sz w:val="20"/>
              </w:rPr>
              <w:t>фотодинамической </w:t>
            </w:r>
            <w:r>
              <w:rPr>
                <w:spacing w:val="-2"/>
                <w:sz w:val="20"/>
              </w:rPr>
              <w:t>терапией</w:t>
            </w:r>
          </w:p>
        </w:tc>
      </w:tr>
      <w:tr>
        <w:trPr>
          <w:trHeight w:val="360" w:hRule="atLeast"/>
        </w:trPr>
        <w:tc>
          <w:tcPr>
            <w:tcW w:w="1851" w:type="dxa"/>
            <w:vMerge w:val="restart"/>
          </w:tcPr>
          <w:p>
            <w:pPr>
              <w:pStyle w:val="TableParagraph"/>
              <w:spacing w:line="249" w:lineRule="auto" w:before="60"/>
              <w:ind w:left="633" w:hanging="536"/>
              <w:rPr>
                <w:sz w:val="20"/>
              </w:rPr>
            </w:pPr>
            <w:r>
              <w:rPr>
                <w:sz w:val="20"/>
              </w:rPr>
              <w:t>C38.4,</w:t>
            </w:r>
            <w:r>
              <w:rPr>
                <w:spacing w:val="-13"/>
                <w:sz w:val="20"/>
              </w:rPr>
              <w:t> </w:t>
            </w:r>
            <w:r>
              <w:rPr>
                <w:sz w:val="20"/>
              </w:rPr>
              <w:t>C38.8,</w:t>
            </w:r>
            <w:r>
              <w:rPr>
                <w:spacing w:val="-12"/>
                <w:sz w:val="20"/>
              </w:rPr>
              <w:t> </w:t>
            </w:r>
            <w:r>
              <w:rPr>
                <w:sz w:val="20"/>
              </w:rPr>
              <w:t>C45, </w:t>
            </w:r>
            <w:r>
              <w:rPr>
                <w:spacing w:val="-2"/>
                <w:sz w:val="20"/>
              </w:rPr>
              <w:t>C78.2</w:t>
            </w:r>
          </w:p>
        </w:tc>
        <w:tc>
          <w:tcPr>
            <w:tcW w:w="3385" w:type="dxa"/>
            <w:vMerge w:val="restart"/>
          </w:tcPr>
          <w:p>
            <w:pPr>
              <w:pStyle w:val="TableParagraph"/>
              <w:spacing w:line="249" w:lineRule="auto" w:before="60"/>
              <w:ind w:left="150"/>
              <w:rPr>
                <w:sz w:val="20"/>
              </w:rPr>
            </w:pPr>
            <w:r>
              <w:rPr>
                <w:sz w:val="20"/>
              </w:rPr>
              <w:t>опухоль плевры. Распространенное поражение плевры. Мезотелиома плевры.</w:t>
            </w:r>
            <w:r>
              <w:rPr>
                <w:spacing w:val="-13"/>
                <w:sz w:val="20"/>
              </w:rPr>
              <w:t> </w:t>
            </w:r>
            <w:r>
              <w:rPr>
                <w:sz w:val="20"/>
              </w:rPr>
              <w:t>Метастатическое</w:t>
            </w:r>
            <w:r>
              <w:rPr>
                <w:spacing w:val="-12"/>
                <w:sz w:val="20"/>
              </w:rPr>
              <w:t> </w:t>
            </w:r>
            <w:r>
              <w:rPr>
                <w:sz w:val="20"/>
              </w:rPr>
              <w:t>поражение </w:t>
            </w:r>
            <w:r>
              <w:rPr>
                <w:spacing w:val="-2"/>
                <w:sz w:val="20"/>
              </w:rPr>
              <w:t>плевры</w:t>
            </w:r>
          </w:p>
        </w:tc>
        <w:tc>
          <w:tcPr>
            <w:tcW w:w="1439" w:type="dxa"/>
            <w:vMerge w:val="restart"/>
          </w:tcPr>
          <w:p>
            <w:pPr>
              <w:pStyle w:val="TableParagraph"/>
              <w:spacing w:line="249" w:lineRule="auto" w:before="60"/>
              <w:ind w:left="73"/>
              <w:rPr>
                <w:sz w:val="20"/>
              </w:rPr>
            </w:pPr>
            <w:r>
              <w:rPr>
                <w:spacing w:val="-2"/>
                <w:sz w:val="20"/>
              </w:rPr>
              <w:t>хирургическое лечение</w:t>
            </w:r>
          </w:p>
        </w:tc>
        <w:tc>
          <w:tcPr>
            <w:tcW w:w="3554" w:type="dxa"/>
          </w:tcPr>
          <w:p>
            <w:pPr>
              <w:pStyle w:val="TableParagraph"/>
              <w:spacing w:before="60"/>
              <w:ind w:left="108"/>
              <w:rPr>
                <w:sz w:val="20"/>
              </w:rPr>
            </w:pPr>
            <w:r>
              <w:rPr>
                <w:spacing w:val="-2"/>
                <w:sz w:val="20"/>
              </w:rPr>
              <w:t>плевропневмонэктомия</w:t>
            </w:r>
          </w:p>
        </w:tc>
      </w:tr>
      <w:tr>
        <w:trPr>
          <w:trHeight w:val="840" w:hRule="atLeast"/>
        </w:trPr>
        <w:tc>
          <w:tcPr>
            <w:tcW w:w="1851" w:type="dxa"/>
            <w:vMerge/>
            <w:tcBorders>
              <w:top w:val="nil"/>
            </w:tcBorders>
          </w:tcPr>
          <w:p>
            <w:pPr>
              <w:rPr>
                <w:sz w:val="2"/>
                <w:szCs w:val="2"/>
              </w:rPr>
            </w:pPr>
          </w:p>
        </w:tc>
        <w:tc>
          <w:tcPr>
            <w:tcW w:w="3385" w:type="dxa"/>
            <w:vMerge/>
            <w:tcBorders>
              <w:top w:val="nil"/>
            </w:tcBorders>
          </w:tcPr>
          <w:p>
            <w:pPr>
              <w:rPr>
                <w:sz w:val="2"/>
                <w:szCs w:val="2"/>
              </w:rPr>
            </w:pPr>
          </w:p>
        </w:tc>
        <w:tc>
          <w:tcPr>
            <w:tcW w:w="1439" w:type="dxa"/>
            <w:vMerge/>
            <w:tcBorders>
              <w:top w:val="nil"/>
            </w:tcBorders>
          </w:tcPr>
          <w:p>
            <w:pPr>
              <w:rPr>
                <w:sz w:val="2"/>
                <w:szCs w:val="2"/>
              </w:rPr>
            </w:pPr>
          </w:p>
        </w:tc>
        <w:tc>
          <w:tcPr>
            <w:tcW w:w="3554" w:type="dxa"/>
          </w:tcPr>
          <w:p>
            <w:pPr>
              <w:pStyle w:val="TableParagraph"/>
              <w:spacing w:line="249" w:lineRule="auto" w:before="60"/>
              <w:ind w:left="108" w:right="480"/>
              <w:rPr>
                <w:sz w:val="20"/>
              </w:rPr>
            </w:pPr>
            <w:r>
              <w:rPr>
                <w:sz w:val="20"/>
              </w:rPr>
              <w:t>тотальная плеврэктомия с гемиперикардэктомией,</w:t>
            </w:r>
            <w:r>
              <w:rPr>
                <w:spacing w:val="-13"/>
                <w:sz w:val="20"/>
              </w:rPr>
              <w:t> </w:t>
            </w:r>
            <w:r>
              <w:rPr>
                <w:sz w:val="20"/>
              </w:rPr>
              <w:t>резекцией </w:t>
            </w:r>
            <w:r>
              <w:rPr>
                <w:spacing w:val="-2"/>
                <w:sz w:val="20"/>
              </w:rPr>
              <w:t>диафрагмы</w:t>
            </w:r>
          </w:p>
        </w:tc>
      </w:tr>
      <w:tr>
        <w:trPr>
          <w:trHeight w:val="1320" w:hRule="atLeast"/>
        </w:trPr>
        <w:tc>
          <w:tcPr>
            <w:tcW w:w="1851" w:type="dxa"/>
          </w:tcPr>
          <w:p>
            <w:pPr>
              <w:pStyle w:val="TableParagraph"/>
              <w:rPr>
                <w:sz w:val="18"/>
              </w:rPr>
            </w:pPr>
          </w:p>
        </w:tc>
        <w:tc>
          <w:tcPr>
            <w:tcW w:w="3385" w:type="dxa"/>
          </w:tcPr>
          <w:p>
            <w:pPr>
              <w:pStyle w:val="TableParagraph"/>
              <w:rPr>
                <w:sz w:val="18"/>
              </w:rPr>
            </w:pPr>
          </w:p>
        </w:tc>
        <w:tc>
          <w:tcPr>
            <w:tcW w:w="1439" w:type="dxa"/>
          </w:tcPr>
          <w:p>
            <w:pPr>
              <w:pStyle w:val="TableParagraph"/>
              <w:rPr>
                <w:sz w:val="18"/>
              </w:rPr>
            </w:pPr>
          </w:p>
        </w:tc>
        <w:tc>
          <w:tcPr>
            <w:tcW w:w="3554" w:type="dxa"/>
          </w:tcPr>
          <w:p>
            <w:pPr>
              <w:pStyle w:val="TableParagraph"/>
              <w:spacing w:line="249" w:lineRule="auto" w:before="60"/>
              <w:ind w:left="108" w:right="41"/>
              <w:rPr>
                <w:sz w:val="20"/>
              </w:rPr>
            </w:pPr>
            <w:r>
              <w:rPr>
                <w:sz w:val="20"/>
              </w:rPr>
              <w:t>тотальная плеврэктомия или плевропневмонэктомия с интраоперационной</w:t>
            </w:r>
            <w:r>
              <w:rPr>
                <w:spacing w:val="-13"/>
                <w:sz w:val="20"/>
              </w:rPr>
              <w:t> </w:t>
            </w:r>
            <w:r>
              <w:rPr>
                <w:sz w:val="20"/>
              </w:rPr>
              <w:t>фотодинамической терапией, гипертермической </w:t>
            </w:r>
            <w:r>
              <w:rPr>
                <w:spacing w:val="-2"/>
                <w:sz w:val="20"/>
              </w:rPr>
              <w:t>хемоперфузией</w:t>
            </w:r>
          </w:p>
        </w:tc>
      </w:tr>
      <w:tr>
        <w:trPr>
          <w:trHeight w:val="1080" w:hRule="atLeast"/>
        </w:trPr>
        <w:tc>
          <w:tcPr>
            <w:tcW w:w="1851" w:type="dxa"/>
          </w:tcPr>
          <w:p>
            <w:pPr>
              <w:pStyle w:val="TableParagraph"/>
              <w:spacing w:before="60"/>
              <w:ind w:left="50"/>
              <w:rPr>
                <w:sz w:val="20"/>
              </w:rPr>
            </w:pPr>
            <w:r>
              <w:rPr>
                <w:sz w:val="20"/>
              </w:rPr>
              <w:t>C39.8,</w:t>
            </w:r>
            <w:r>
              <w:rPr>
                <w:spacing w:val="-5"/>
                <w:sz w:val="20"/>
              </w:rPr>
              <w:t> </w:t>
            </w:r>
            <w:r>
              <w:rPr>
                <w:sz w:val="20"/>
              </w:rPr>
              <w:t>C41.3,</w:t>
            </w:r>
            <w:r>
              <w:rPr>
                <w:spacing w:val="-5"/>
                <w:sz w:val="20"/>
              </w:rPr>
              <w:t> </w:t>
            </w:r>
            <w:r>
              <w:rPr>
                <w:spacing w:val="-2"/>
                <w:sz w:val="20"/>
              </w:rPr>
              <w:t>C49.3</w:t>
            </w:r>
          </w:p>
        </w:tc>
        <w:tc>
          <w:tcPr>
            <w:tcW w:w="3385" w:type="dxa"/>
          </w:tcPr>
          <w:p>
            <w:pPr>
              <w:pStyle w:val="TableParagraph"/>
              <w:spacing w:line="249" w:lineRule="auto" w:before="60"/>
              <w:ind w:left="150"/>
              <w:rPr>
                <w:sz w:val="20"/>
              </w:rPr>
            </w:pPr>
            <w:r>
              <w:rPr>
                <w:sz w:val="20"/>
              </w:rPr>
              <w:t>опухоли грудной стенки (мягких тканей,</w:t>
            </w:r>
            <w:r>
              <w:rPr>
                <w:spacing w:val="-13"/>
                <w:sz w:val="20"/>
              </w:rPr>
              <w:t> </w:t>
            </w:r>
            <w:r>
              <w:rPr>
                <w:sz w:val="20"/>
              </w:rPr>
              <w:t>ребер,</w:t>
            </w:r>
            <w:r>
              <w:rPr>
                <w:spacing w:val="-12"/>
                <w:sz w:val="20"/>
              </w:rPr>
              <w:t> </w:t>
            </w:r>
            <w:r>
              <w:rPr>
                <w:sz w:val="20"/>
              </w:rPr>
              <w:t>грудины,</w:t>
            </w:r>
            <w:r>
              <w:rPr>
                <w:spacing w:val="-13"/>
                <w:sz w:val="20"/>
              </w:rPr>
              <w:t> </w:t>
            </w:r>
            <w:r>
              <w:rPr>
                <w:sz w:val="20"/>
              </w:rPr>
              <w:t>ключицы)</w:t>
            </w:r>
          </w:p>
        </w:tc>
        <w:tc>
          <w:tcPr>
            <w:tcW w:w="1439" w:type="dxa"/>
          </w:tcPr>
          <w:p>
            <w:pPr>
              <w:pStyle w:val="TableParagraph"/>
              <w:spacing w:line="249" w:lineRule="auto" w:before="60"/>
              <w:ind w:left="73" w:right="105"/>
              <w:rPr>
                <w:sz w:val="20"/>
              </w:rPr>
            </w:pPr>
            <w:r>
              <w:rPr>
                <w:spacing w:val="-2"/>
                <w:sz w:val="20"/>
              </w:rPr>
              <w:t>хирургическое лечение</w:t>
            </w:r>
          </w:p>
        </w:tc>
        <w:tc>
          <w:tcPr>
            <w:tcW w:w="3554" w:type="dxa"/>
          </w:tcPr>
          <w:p>
            <w:pPr>
              <w:pStyle w:val="TableParagraph"/>
              <w:spacing w:line="249" w:lineRule="auto" w:before="60"/>
              <w:ind w:left="108" w:right="387"/>
              <w:rPr>
                <w:sz w:val="20"/>
              </w:rPr>
            </w:pPr>
            <w:r>
              <w:rPr>
                <w:sz w:val="20"/>
              </w:rPr>
              <w:t>удаление</w:t>
            </w:r>
            <w:r>
              <w:rPr>
                <w:spacing w:val="-10"/>
                <w:sz w:val="20"/>
              </w:rPr>
              <w:t> </w:t>
            </w:r>
            <w:r>
              <w:rPr>
                <w:sz w:val="20"/>
              </w:rPr>
              <w:t>опухоли</w:t>
            </w:r>
            <w:r>
              <w:rPr>
                <w:spacing w:val="-11"/>
                <w:sz w:val="20"/>
              </w:rPr>
              <w:t> </w:t>
            </w:r>
            <w:r>
              <w:rPr>
                <w:sz w:val="20"/>
              </w:rPr>
              <w:t>грудной</w:t>
            </w:r>
            <w:r>
              <w:rPr>
                <w:spacing w:val="-11"/>
                <w:sz w:val="20"/>
              </w:rPr>
              <w:t> </w:t>
            </w:r>
            <w:r>
              <w:rPr>
                <w:sz w:val="20"/>
              </w:rPr>
              <w:t>стенки</w:t>
            </w:r>
            <w:r>
              <w:rPr>
                <w:spacing w:val="-11"/>
                <w:sz w:val="20"/>
              </w:rPr>
              <w:t> </w:t>
            </w:r>
            <w:r>
              <w:rPr>
                <w:sz w:val="20"/>
              </w:rPr>
              <w:t>с экзартикуляцией</w:t>
            </w:r>
            <w:r>
              <w:rPr>
                <w:spacing w:val="-5"/>
                <w:sz w:val="20"/>
              </w:rPr>
              <w:t> </w:t>
            </w:r>
            <w:r>
              <w:rPr>
                <w:sz w:val="20"/>
              </w:rPr>
              <w:t>ребер,</w:t>
            </w:r>
            <w:r>
              <w:rPr>
                <w:spacing w:val="-4"/>
                <w:sz w:val="20"/>
              </w:rPr>
              <w:t> </w:t>
            </w:r>
            <w:r>
              <w:rPr>
                <w:sz w:val="20"/>
              </w:rPr>
              <w:t>ключицы</w:t>
            </w:r>
            <w:r>
              <w:rPr>
                <w:spacing w:val="-1"/>
                <w:sz w:val="20"/>
              </w:rPr>
              <w:t> </w:t>
            </w:r>
            <w:r>
              <w:rPr>
                <w:sz w:val="20"/>
              </w:rPr>
              <w:t>и пластикой дефекта грудной стенки местными тканями</w:t>
            </w:r>
          </w:p>
        </w:tc>
      </w:tr>
      <w:tr>
        <w:trPr>
          <w:trHeight w:val="1560" w:hRule="atLeast"/>
        </w:trPr>
        <w:tc>
          <w:tcPr>
            <w:tcW w:w="1851" w:type="dxa"/>
          </w:tcPr>
          <w:p>
            <w:pPr>
              <w:pStyle w:val="TableParagraph"/>
              <w:rPr>
                <w:sz w:val="18"/>
              </w:rPr>
            </w:pPr>
          </w:p>
        </w:tc>
        <w:tc>
          <w:tcPr>
            <w:tcW w:w="3385" w:type="dxa"/>
          </w:tcPr>
          <w:p>
            <w:pPr>
              <w:pStyle w:val="TableParagraph"/>
              <w:rPr>
                <w:sz w:val="18"/>
              </w:rPr>
            </w:pPr>
          </w:p>
        </w:tc>
        <w:tc>
          <w:tcPr>
            <w:tcW w:w="1439" w:type="dxa"/>
          </w:tcPr>
          <w:p>
            <w:pPr>
              <w:pStyle w:val="TableParagraph"/>
              <w:rPr>
                <w:sz w:val="18"/>
              </w:rPr>
            </w:pPr>
          </w:p>
        </w:tc>
        <w:tc>
          <w:tcPr>
            <w:tcW w:w="3554" w:type="dxa"/>
          </w:tcPr>
          <w:p>
            <w:pPr>
              <w:pStyle w:val="TableParagraph"/>
              <w:spacing w:line="249" w:lineRule="auto" w:before="60"/>
              <w:ind w:left="108"/>
              <w:rPr>
                <w:sz w:val="20"/>
              </w:rPr>
            </w:pPr>
            <w:r>
              <w:rPr>
                <w:sz w:val="20"/>
              </w:rPr>
              <w:t>удаление опухоли грудной стенки с экзартикуляцией ребер, ключицы и пластикой</w:t>
            </w:r>
            <w:r>
              <w:rPr>
                <w:spacing w:val="-13"/>
                <w:sz w:val="20"/>
              </w:rPr>
              <w:t> </w:t>
            </w:r>
            <w:r>
              <w:rPr>
                <w:sz w:val="20"/>
              </w:rPr>
              <w:t>обширного</w:t>
            </w:r>
            <w:r>
              <w:rPr>
                <w:spacing w:val="-12"/>
                <w:sz w:val="20"/>
              </w:rPr>
              <w:t> </w:t>
            </w:r>
            <w:r>
              <w:rPr>
                <w:sz w:val="20"/>
              </w:rPr>
              <w:t>дефекта</w:t>
            </w:r>
            <w:r>
              <w:rPr>
                <w:spacing w:val="-13"/>
                <w:sz w:val="20"/>
              </w:rPr>
              <w:t> </w:t>
            </w:r>
            <w:r>
              <w:rPr>
                <w:sz w:val="20"/>
              </w:rPr>
              <w:t>мягких тканей,</w:t>
            </w:r>
            <w:r>
              <w:rPr>
                <w:spacing w:val="-3"/>
                <w:sz w:val="20"/>
              </w:rPr>
              <w:t> </w:t>
            </w:r>
            <w:r>
              <w:rPr>
                <w:sz w:val="20"/>
              </w:rPr>
              <w:t>каркаса</w:t>
            </w:r>
            <w:r>
              <w:rPr>
                <w:spacing w:val="-3"/>
                <w:sz w:val="20"/>
              </w:rPr>
              <w:t> </w:t>
            </w:r>
            <w:r>
              <w:rPr>
                <w:sz w:val="20"/>
              </w:rPr>
              <w:t>грудной</w:t>
            </w:r>
            <w:r>
              <w:rPr>
                <w:spacing w:val="-4"/>
                <w:sz w:val="20"/>
              </w:rPr>
              <w:t> </w:t>
            </w:r>
            <w:r>
              <w:rPr>
                <w:sz w:val="20"/>
              </w:rPr>
              <w:t>стенки</w:t>
            </w:r>
            <w:r>
              <w:rPr>
                <w:spacing w:val="-4"/>
                <w:sz w:val="20"/>
              </w:rPr>
              <w:t> </w:t>
            </w:r>
            <w:r>
              <w:rPr>
                <w:sz w:val="20"/>
              </w:rPr>
              <w:t>ауто-, алломатериалами, перемещенными, биоинженерными лоскутами</w:t>
            </w:r>
          </w:p>
        </w:tc>
      </w:tr>
      <w:tr>
        <w:trPr>
          <w:trHeight w:val="1010" w:hRule="atLeast"/>
        </w:trPr>
        <w:tc>
          <w:tcPr>
            <w:tcW w:w="1851" w:type="dxa"/>
          </w:tcPr>
          <w:p>
            <w:pPr>
              <w:pStyle w:val="TableParagraph"/>
              <w:rPr>
                <w:sz w:val="18"/>
              </w:rPr>
            </w:pPr>
          </w:p>
        </w:tc>
        <w:tc>
          <w:tcPr>
            <w:tcW w:w="3385" w:type="dxa"/>
          </w:tcPr>
          <w:p>
            <w:pPr>
              <w:pStyle w:val="TableParagraph"/>
              <w:rPr>
                <w:sz w:val="18"/>
              </w:rPr>
            </w:pPr>
          </w:p>
        </w:tc>
        <w:tc>
          <w:tcPr>
            <w:tcW w:w="1439" w:type="dxa"/>
          </w:tcPr>
          <w:p>
            <w:pPr>
              <w:pStyle w:val="TableParagraph"/>
              <w:rPr>
                <w:sz w:val="18"/>
              </w:rPr>
            </w:pPr>
          </w:p>
        </w:tc>
        <w:tc>
          <w:tcPr>
            <w:tcW w:w="3554" w:type="dxa"/>
          </w:tcPr>
          <w:p>
            <w:pPr>
              <w:pStyle w:val="TableParagraph"/>
              <w:spacing w:line="240" w:lineRule="atLeast" w:before="30"/>
              <w:ind w:left="108"/>
              <w:rPr>
                <w:sz w:val="20"/>
              </w:rPr>
            </w:pPr>
            <w:r>
              <w:rPr>
                <w:sz w:val="20"/>
              </w:rPr>
              <w:t>удаление опухоли грудной стенки с экзартикуляцией ребер, ключицы и резекцией</w:t>
            </w:r>
            <w:r>
              <w:rPr>
                <w:spacing w:val="-12"/>
                <w:sz w:val="20"/>
              </w:rPr>
              <w:t> </w:t>
            </w:r>
            <w:r>
              <w:rPr>
                <w:sz w:val="20"/>
              </w:rPr>
              <w:t>соседних</w:t>
            </w:r>
            <w:r>
              <w:rPr>
                <w:spacing w:val="-12"/>
                <w:sz w:val="20"/>
              </w:rPr>
              <w:t> </w:t>
            </w:r>
            <w:r>
              <w:rPr>
                <w:sz w:val="20"/>
              </w:rPr>
              <w:t>органов</w:t>
            </w:r>
            <w:r>
              <w:rPr>
                <w:spacing w:val="-10"/>
                <w:sz w:val="20"/>
              </w:rPr>
              <w:t> </w:t>
            </w:r>
            <w:r>
              <w:rPr>
                <w:sz w:val="20"/>
              </w:rPr>
              <w:t>и</w:t>
            </w:r>
            <w:r>
              <w:rPr>
                <w:spacing w:val="-12"/>
                <w:sz w:val="20"/>
              </w:rPr>
              <w:t> </w:t>
            </w:r>
            <w:r>
              <w:rPr>
                <w:sz w:val="20"/>
              </w:rPr>
              <w:t>структур (легкого, мышечной стенки пищевода,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80"/>
        <w:gridCol w:w="1431"/>
        <w:gridCol w:w="3681"/>
      </w:tblGrid>
      <w:tr>
        <w:trPr>
          <w:trHeight w:val="53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ind w:left="111" w:right="24"/>
              <w:rPr>
                <w:sz w:val="20"/>
              </w:rPr>
            </w:pPr>
            <w:r>
              <w:rPr>
                <w:sz w:val="20"/>
              </w:rPr>
              <w:t>диафрагмы,</w:t>
            </w:r>
            <w:r>
              <w:rPr>
                <w:spacing w:val="-13"/>
                <w:sz w:val="20"/>
              </w:rPr>
              <w:t> </w:t>
            </w:r>
            <w:r>
              <w:rPr>
                <w:sz w:val="20"/>
              </w:rPr>
              <w:t>перикарда,</w:t>
            </w:r>
            <w:r>
              <w:rPr>
                <w:spacing w:val="-12"/>
                <w:sz w:val="20"/>
              </w:rPr>
              <w:t> </w:t>
            </w:r>
            <w:r>
              <w:rPr>
                <w:sz w:val="20"/>
              </w:rPr>
              <w:t>верхней</w:t>
            </w:r>
            <w:r>
              <w:rPr>
                <w:spacing w:val="-13"/>
                <w:sz w:val="20"/>
              </w:rPr>
              <w:t> </w:t>
            </w:r>
            <w:r>
              <w:rPr>
                <w:sz w:val="20"/>
              </w:rPr>
              <w:t>полой вены, адвентиции аорты и др.)</w:t>
            </w:r>
          </w:p>
        </w:tc>
      </w:tr>
      <w:tr>
        <w:trPr>
          <w:trHeight w:val="600" w:hRule="atLeast"/>
        </w:trPr>
        <w:tc>
          <w:tcPr>
            <w:tcW w:w="1888" w:type="dxa"/>
            <w:vMerge w:val="restart"/>
          </w:tcPr>
          <w:p>
            <w:pPr>
              <w:pStyle w:val="TableParagraph"/>
              <w:spacing w:before="60"/>
              <w:ind w:left="22" w:right="109"/>
              <w:jc w:val="center"/>
              <w:rPr>
                <w:sz w:val="20"/>
              </w:rPr>
            </w:pPr>
            <w:r>
              <w:rPr>
                <w:sz w:val="20"/>
              </w:rPr>
              <w:t>C40.0,</w:t>
            </w:r>
            <w:r>
              <w:rPr>
                <w:spacing w:val="-5"/>
                <w:sz w:val="20"/>
              </w:rPr>
              <w:t> </w:t>
            </w:r>
            <w:r>
              <w:rPr>
                <w:sz w:val="20"/>
              </w:rPr>
              <w:t>C40.1,</w:t>
            </w:r>
            <w:r>
              <w:rPr>
                <w:spacing w:val="-5"/>
                <w:sz w:val="20"/>
              </w:rPr>
              <w:t> </w:t>
            </w:r>
            <w:r>
              <w:rPr>
                <w:spacing w:val="-2"/>
                <w:sz w:val="20"/>
              </w:rPr>
              <w:t>C40.2,</w:t>
            </w:r>
          </w:p>
          <w:p>
            <w:pPr>
              <w:pStyle w:val="TableParagraph"/>
              <w:spacing w:before="11"/>
              <w:ind w:left="22" w:right="109"/>
              <w:jc w:val="center"/>
              <w:rPr>
                <w:sz w:val="20"/>
              </w:rPr>
            </w:pPr>
            <w:r>
              <w:rPr>
                <w:sz w:val="20"/>
              </w:rPr>
              <w:t>C40.3,</w:t>
            </w:r>
            <w:r>
              <w:rPr>
                <w:spacing w:val="-5"/>
                <w:sz w:val="20"/>
              </w:rPr>
              <w:t> </w:t>
            </w:r>
            <w:r>
              <w:rPr>
                <w:sz w:val="20"/>
              </w:rPr>
              <w:t>C40.8,</w:t>
            </w:r>
            <w:r>
              <w:rPr>
                <w:spacing w:val="-5"/>
                <w:sz w:val="20"/>
              </w:rPr>
              <w:t> </w:t>
            </w:r>
            <w:r>
              <w:rPr>
                <w:spacing w:val="-2"/>
                <w:sz w:val="20"/>
              </w:rPr>
              <w:t>C40.9,</w:t>
            </w:r>
          </w:p>
          <w:p>
            <w:pPr>
              <w:pStyle w:val="TableParagraph"/>
              <w:spacing w:before="10"/>
              <w:ind w:left="22" w:right="109"/>
              <w:jc w:val="center"/>
              <w:rPr>
                <w:sz w:val="20"/>
              </w:rPr>
            </w:pPr>
            <w:r>
              <w:rPr>
                <w:sz w:val="20"/>
              </w:rPr>
              <w:t>C41.2,</w:t>
            </w:r>
            <w:r>
              <w:rPr>
                <w:spacing w:val="-5"/>
                <w:sz w:val="20"/>
              </w:rPr>
              <w:t> </w:t>
            </w:r>
            <w:r>
              <w:rPr>
                <w:sz w:val="20"/>
              </w:rPr>
              <w:t>C41.3,</w:t>
            </w:r>
            <w:r>
              <w:rPr>
                <w:spacing w:val="-5"/>
                <w:sz w:val="20"/>
              </w:rPr>
              <w:t> </w:t>
            </w:r>
            <w:r>
              <w:rPr>
                <w:spacing w:val="-2"/>
                <w:sz w:val="20"/>
              </w:rPr>
              <w:t>C41.4,</w:t>
            </w:r>
          </w:p>
          <w:p>
            <w:pPr>
              <w:pStyle w:val="TableParagraph"/>
              <w:spacing w:line="249" w:lineRule="auto" w:before="10"/>
              <w:ind w:left="22" w:right="109"/>
              <w:jc w:val="center"/>
              <w:rPr>
                <w:sz w:val="20"/>
              </w:rPr>
            </w:pPr>
            <w:r>
              <w:rPr>
                <w:sz w:val="20"/>
              </w:rPr>
              <w:t>C41.8,</w:t>
            </w:r>
            <w:r>
              <w:rPr>
                <w:spacing w:val="-13"/>
                <w:sz w:val="20"/>
              </w:rPr>
              <w:t> </w:t>
            </w:r>
            <w:r>
              <w:rPr>
                <w:sz w:val="20"/>
              </w:rPr>
              <w:t>C41.9,</w:t>
            </w:r>
            <w:r>
              <w:rPr>
                <w:spacing w:val="-12"/>
                <w:sz w:val="20"/>
              </w:rPr>
              <w:t> </w:t>
            </w:r>
            <w:r>
              <w:rPr>
                <w:sz w:val="20"/>
              </w:rPr>
              <w:t>C79.5, </w:t>
            </w:r>
            <w:r>
              <w:rPr>
                <w:spacing w:val="-4"/>
                <w:sz w:val="20"/>
              </w:rPr>
              <w:t>C43.5</w:t>
            </w:r>
          </w:p>
        </w:tc>
        <w:tc>
          <w:tcPr>
            <w:tcW w:w="3380" w:type="dxa"/>
            <w:vMerge w:val="restart"/>
          </w:tcPr>
          <w:p>
            <w:pPr>
              <w:pStyle w:val="TableParagraph"/>
              <w:spacing w:line="249" w:lineRule="auto" w:before="60"/>
              <w:ind w:left="140" w:right="59"/>
              <w:rPr>
                <w:sz w:val="20"/>
              </w:rPr>
            </w:pPr>
            <w:r>
              <w:rPr>
                <w:sz w:val="20"/>
              </w:rPr>
              <w:t>первичные злокачественные новообразования</w:t>
            </w:r>
            <w:r>
              <w:rPr>
                <w:spacing w:val="-13"/>
                <w:sz w:val="20"/>
              </w:rPr>
              <w:t> </w:t>
            </w:r>
            <w:r>
              <w:rPr>
                <w:sz w:val="20"/>
              </w:rPr>
              <w:t>костей</w:t>
            </w:r>
            <w:r>
              <w:rPr>
                <w:spacing w:val="-12"/>
                <w:sz w:val="20"/>
              </w:rPr>
              <w:t> </w:t>
            </w:r>
            <w:r>
              <w:rPr>
                <w:sz w:val="20"/>
              </w:rPr>
              <w:t>и</w:t>
            </w:r>
            <w:r>
              <w:rPr>
                <w:spacing w:val="-13"/>
                <w:sz w:val="20"/>
              </w:rPr>
              <w:t> </w:t>
            </w:r>
            <w:r>
              <w:rPr>
                <w:sz w:val="20"/>
              </w:rPr>
              <w:t>суставных хрящей туловища и конечностей</w:t>
            </w:r>
          </w:p>
          <w:p>
            <w:pPr>
              <w:pStyle w:val="TableParagraph"/>
              <w:spacing w:line="249" w:lineRule="auto" w:before="3"/>
              <w:ind w:left="140" w:right="59"/>
              <w:rPr>
                <w:sz w:val="20"/>
              </w:rPr>
            </w:pPr>
            <w:r>
              <w:rPr>
                <w:sz w:val="20"/>
              </w:rPr>
              <w:t>Ia-b, Iia-b, Iva-b стадии. Метастатические новообразования костей,</w:t>
            </w:r>
            <w:r>
              <w:rPr>
                <w:spacing w:val="-13"/>
                <w:sz w:val="20"/>
              </w:rPr>
              <w:t> </w:t>
            </w:r>
            <w:r>
              <w:rPr>
                <w:sz w:val="20"/>
              </w:rPr>
              <w:t>суставных</w:t>
            </w:r>
            <w:r>
              <w:rPr>
                <w:spacing w:val="-12"/>
                <w:sz w:val="20"/>
              </w:rPr>
              <w:t> </w:t>
            </w:r>
            <w:r>
              <w:rPr>
                <w:sz w:val="20"/>
              </w:rPr>
              <w:t>хрящей</w:t>
            </w:r>
            <w:r>
              <w:rPr>
                <w:spacing w:val="-13"/>
                <w:sz w:val="20"/>
              </w:rPr>
              <w:t> </w:t>
            </w:r>
            <w:r>
              <w:rPr>
                <w:sz w:val="20"/>
              </w:rPr>
              <w:t>туловища и конечностей</w:t>
            </w:r>
          </w:p>
        </w:tc>
        <w:tc>
          <w:tcPr>
            <w:tcW w:w="1431" w:type="dxa"/>
          </w:tcPr>
          <w:p>
            <w:pPr>
              <w:pStyle w:val="TableParagraph"/>
              <w:spacing w:line="252" w:lineRule="auto" w:before="60"/>
              <w:ind w:left="67"/>
              <w:rPr>
                <w:sz w:val="20"/>
              </w:rPr>
            </w:pPr>
            <w:r>
              <w:rPr>
                <w:spacing w:val="-2"/>
                <w:sz w:val="20"/>
              </w:rPr>
              <w:t>хирургическое лечение</w:t>
            </w:r>
          </w:p>
        </w:tc>
        <w:tc>
          <w:tcPr>
            <w:tcW w:w="3681" w:type="dxa"/>
          </w:tcPr>
          <w:p>
            <w:pPr>
              <w:pStyle w:val="TableParagraph"/>
              <w:spacing w:line="252" w:lineRule="auto" w:before="60"/>
              <w:ind w:left="111" w:right="24"/>
              <w:rPr>
                <w:sz w:val="20"/>
              </w:rPr>
            </w:pPr>
            <w:r>
              <w:rPr>
                <w:sz w:val="20"/>
              </w:rPr>
              <w:t>резекция</w:t>
            </w:r>
            <w:r>
              <w:rPr>
                <w:spacing w:val="-13"/>
                <w:sz w:val="20"/>
              </w:rPr>
              <w:t> </w:t>
            </w:r>
            <w:r>
              <w:rPr>
                <w:sz w:val="20"/>
              </w:rPr>
              <w:t>кости</w:t>
            </w:r>
            <w:r>
              <w:rPr>
                <w:spacing w:val="-12"/>
                <w:sz w:val="20"/>
              </w:rPr>
              <w:t> </w:t>
            </w:r>
            <w:r>
              <w:rPr>
                <w:sz w:val="20"/>
              </w:rPr>
              <w:t>с</w:t>
            </w:r>
            <w:r>
              <w:rPr>
                <w:spacing w:val="-13"/>
                <w:sz w:val="20"/>
              </w:rPr>
              <w:t> </w:t>
            </w:r>
            <w:r>
              <w:rPr>
                <w:sz w:val="20"/>
              </w:rPr>
              <w:t>микрохирургической </w:t>
            </w:r>
            <w:r>
              <w:rPr>
                <w:spacing w:val="-2"/>
                <w:sz w:val="20"/>
              </w:rPr>
              <w:t>реконструкцией</w:t>
            </w:r>
          </w:p>
        </w:tc>
      </w:tr>
      <w:tr>
        <w:trPr>
          <w:trHeight w:val="720" w:hRule="atLeast"/>
        </w:trPr>
        <w:tc>
          <w:tcPr>
            <w:tcW w:w="1888" w:type="dxa"/>
            <w:vMerge/>
            <w:tcBorders>
              <w:top w:val="nil"/>
            </w:tcBorders>
          </w:tcPr>
          <w:p>
            <w:pPr>
              <w:rPr>
                <w:sz w:val="2"/>
                <w:szCs w:val="2"/>
              </w:rPr>
            </w:pPr>
          </w:p>
        </w:tc>
        <w:tc>
          <w:tcPr>
            <w:tcW w:w="3380" w:type="dxa"/>
            <w:vMerge/>
            <w:tcBorders>
              <w:top w:val="nil"/>
            </w:tcBorders>
          </w:tcPr>
          <w:p>
            <w:pPr>
              <w:rPr>
                <w:sz w:val="2"/>
                <w:szCs w:val="2"/>
              </w:rPr>
            </w:pPr>
          </w:p>
        </w:tc>
        <w:tc>
          <w:tcPr>
            <w:tcW w:w="1431" w:type="dxa"/>
          </w:tcPr>
          <w:p>
            <w:pPr>
              <w:pStyle w:val="TableParagraph"/>
              <w:rPr>
                <w:sz w:val="18"/>
              </w:rPr>
            </w:pPr>
          </w:p>
        </w:tc>
        <w:tc>
          <w:tcPr>
            <w:tcW w:w="3681" w:type="dxa"/>
          </w:tcPr>
          <w:p>
            <w:pPr>
              <w:pStyle w:val="TableParagraph"/>
              <w:spacing w:line="249" w:lineRule="auto" w:before="60"/>
              <w:ind w:left="111" w:right="327"/>
              <w:rPr>
                <w:sz w:val="20"/>
              </w:rPr>
            </w:pPr>
            <w:r>
              <w:rPr>
                <w:sz w:val="20"/>
              </w:rPr>
              <w:t>резекция грудной стенки с микрохирургической</w:t>
            </w:r>
            <w:r>
              <w:rPr>
                <w:spacing w:val="-13"/>
                <w:sz w:val="20"/>
              </w:rPr>
              <w:t> </w:t>
            </w:r>
            <w:r>
              <w:rPr>
                <w:sz w:val="20"/>
              </w:rPr>
              <w:t>реконструкцией</w:t>
            </w:r>
          </w:p>
        </w:tc>
      </w:tr>
      <w:tr>
        <w:trPr>
          <w:trHeight w:val="1080" w:hRule="atLeast"/>
        </w:trPr>
        <w:tc>
          <w:tcPr>
            <w:tcW w:w="1888" w:type="dxa"/>
          </w:tcPr>
          <w:p>
            <w:pPr>
              <w:pStyle w:val="TableParagraph"/>
              <w:rPr>
                <w:sz w:val="18"/>
              </w:rPr>
            </w:pPr>
          </w:p>
        </w:tc>
        <w:tc>
          <w:tcPr>
            <w:tcW w:w="3380" w:type="dxa"/>
            <w:vMerge/>
            <w:tcBorders>
              <w:top w:val="nil"/>
            </w:tcBorders>
          </w:tcPr>
          <w:p>
            <w:pPr>
              <w:rPr>
                <w:sz w:val="2"/>
                <w:szCs w:val="2"/>
              </w:rPr>
            </w:pPr>
          </w:p>
        </w:tc>
        <w:tc>
          <w:tcPr>
            <w:tcW w:w="1431" w:type="dxa"/>
          </w:tcPr>
          <w:p>
            <w:pPr>
              <w:pStyle w:val="TableParagraph"/>
              <w:rPr>
                <w:sz w:val="18"/>
              </w:rPr>
            </w:pPr>
          </w:p>
        </w:tc>
        <w:tc>
          <w:tcPr>
            <w:tcW w:w="3681" w:type="dxa"/>
          </w:tcPr>
          <w:p>
            <w:pPr>
              <w:pStyle w:val="TableParagraph"/>
              <w:spacing w:line="249" w:lineRule="auto" w:before="60"/>
              <w:ind w:left="111" w:right="327"/>
              <w:rPr>
                <w:sz w:val="20"/>
              </w:rPr>
            </w:pPr>
            <w:r>
              <w:rPr>
                <w:sz w:val="20"/>
              </w:rPr>
              <w:t>удаление злокачественного новообразования кости с микрохирургической</w:t>
            </w:r>
            <w:r>
              <w:rPr>
                <w:spacing w:val="-13"/>
                <w:sz w:val="20"/>
              </w:rPr>
              <w:t> </w:t>
            </w:r>
            <w:r>
              <w:rPr>
                <w:sz w:val="20"/>
              </w:rPr>
              <w:t>реконструкцией </w:t>
            </w:r>
            <w:r>
              <w:rPr>
                <w:spacing w:val="-2"/>
                <w:sz w:val="20"/>
              </w:rPr>
              <w:t>нерва</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стабилизирующие операции на позвоночнике</w:t>
            </w:r>
            <w:r>
              <w:rPr>
                <w:spacing w:val="-13"/>
                <w:sz w:val="20"/>
              </w:rPr>
              <w:t> </w:t>
            </w:r>
            <w:r>
              <w:rPr>
                <w:sz w:val="20"/>
              </w:rPr>
              <w:t>передним</w:t>
            </w:r>
            <w:r>
              <w:rPr>
                <w:spacing w:val="-12"/>
                <w:sz w:val="20"/>
              </w:rPr>
              <w:t> </w:t>
            </w:r>
            <w:r>
              <w:rPr>
                <w:sz w:val="20"/>
              </w:rPr>
              <w:t>доступом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резекция</w:t>
            </w:r>
            <w:r>
              <w:rPr>
                <w:spacing w:val="-13"/>
                <w:sz w:val="20"/>
              </w:rPr>
              <w:t> </w:t>
            </w:r>
            <w:r>
              <w:rPr>
                <w:sz w:val="20"/>
              </w:rPr>
              <w:t>кости</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резекция</w:t>
            </w:r>
            <w:r>
              <w:rPr>
                <w:spacing w:val="-13"/>
                <w:sz w:val="20"/>
              </w:rPr>
              <w:t> </w:t>
            </w:r>
            <w:r>
              <w:rPr>
                <w:sz w:val="20"/>
              </w:rPr>
              <w:t>лопатки</w:t>
            </w:r>
            <w:r>
              <w:rPr>
                <w:spacing w:val="-12"/>
                <w:sz w:val="20"/>
              </w:rPr>
              <w:t> </w:t>
            </w:r>
            <w:r>
              <w:rPr>
                <w:sz w:val="20"/>
              </w:rPr>
              <w:t>с</w:t>
            </w:r>
            <w:r>
              <w:rPr>
                <w:spacing w:val="-12"/>
                <w:sz w:val="20"/>
              </w:rPr>
              <w:t> </w:t>
            </w:r>
            <w:r>
              <w:rPr>
                <w:sz w:val="20"/>
              </w:rPr>
              <w:t>реконструктивно- пластическим компонентом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экстирпация</w:t>
            </w:r>
            <w:r>
              <w:rPr>
                <w:spacing w:val="-13"/>
                <w:sz w:val="20"/>
              </w:rPr>
              <w:t> </w:t>
            </w:r>
            <w:r>
              <w:rPr>
                <w:sz w:val="20"/>
              </w:rPr>
              <w:t>ребра</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экстирпация</w:t>
            </w:r>
            <w:r>
              <w:rPr>
                <w:spacing w:val="-13"/>
                <w:sz w:val="20"/>
              </w:rPr>
              <w:t> </w:t>
            </w:r>
            <w:r>
              <w:rPr>
                <w:sz w:val="20"/>
              </w:rPr>
              <w:t>лопатки</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819"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855"/>
              <w:rPr>
                <w:sz w:val="20"/>
              </w:rPr>
            </w:pPr>
            <w:r>
              <w:rPr>
                <w:sz w:val="20"/>
              </w:rPr>
              <w:t>экстирпация ключицы с </w:t>
            </w:r>
            <w:r>
              <w:rPr>
                <w:spacing w:val="-2"/>
                <w:sz w:val="20"/>
              </w:rPr>
              <w:t>реконструктивно-пластическим компонентом</w:t>
            </w:r>
          </w:p>
        </w:tc>
      </w:tr>
      <w:tr>
        <w:trPr>
          <w:trHeight w:val="749"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0" w:lineRule="atLeast" w:before="10"/>
              <w:ind w:left="111" w:right="87"/>
              <w:rPr>
                <w:sz w:val="20"/>
              </w:rPr>
            </w:pPr>
            <w:r>
              <w:rPr>
                <w:sz w:val="20"/>
              </w:rPr>
              <w:t>резекция</w:t>
            </w:r>
            <w:r>
              <w:rPr>
                <w:spacing w:val="-12"/>
                <w:sz w:val="20"/>
              </w:rPr>
              <w:t> </w:t>
            </w:r>
            <w:r>
              <w:rPr>
                <w:sz w:val="20"/>
              </w:rPr>
              <w:t>костей</w:t>
            </w:r>
            <w:r>
              <w:rPr>
                <w:spacing w:val="-12"/>
                <w:sz w:val="20"/>
              </w:rPr>
              <w:t> </w:t>
            </w:r>
            <w:r>
              <w:rPr>
                <w:sz w:val="20"/>
              </w:rPr>
              <w:t>таза</w:t>
            </w:r>
            <w:r>
              <w:rPr>
                <w:spacing w:val="-11"/>
                <w:sz w:val="20"/>
              </w:rPr>
              <w:t> </w:t>
            </w:r>
            <w:r>
              <w:rPr>
                <w:sz w:val="20"/>
              </w:rPr>
              <w:t>комбинированная</w:t>
            </w:r>
            <w:r>
              <w:rPr>
                <w:spacing w:val="-12"/>
                <w:sz w:val="20"/>
              </w:rPr>
              <w:t> </w:t>
            </w:r>
            <w:r>
              <w:rPr>
                <w:sz w:val="20"/>
              </w:rPr>
              <w:t>с </w:t>
            </w:r>
            <w:r>
              <w:rPr>
                <w:spacing w:val="-2"/>
                <w:sz w:val="20"/>
              </w:rPr>
              <w:t>реконструктивно-пластическим компонентом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52"/>
        <w:gridCol w:w="1461"/>
        <w:gridCol w:w="3638"/>
      </w:tblGrid>
      <w:tr>
        <w:trPr>
          <w:trHeight w:val="509"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ind w:left="109" w:right="93"/>
              <w:rPr>
                <w:sz w:val="20"/>
              </w:rPr>
            </w:pPr>
            <w:r>
              <w:rPr>
                <w:sz w:val="20"/>
              </w:rPr>
              <w:t>ампутация</w:t>
            </w:r>
            <w:r>
              <w:rPr>
                <w:spacing w:val="-13"/>
                <w:sz w:val="20"/>
              </w:rPr>
              <w:t> </w:t>
            </w:r>
            <w:r>
              <w:rPr>
                <w:sz w:val="20"/>
              </w:rPr>
              <w:t>межподвздошно-брюшная</w:t>
            </w:r>
            <w:r>
              <w:rPr>
                <w:spacing w:val="-12"/>
                <w:sz w:val="20"/>
              </w:rPr>
              <w:t> </w:t>
            </w:r>
            <w:r>
              <w:rPr>
                <w:sz w:val="20"/>
              </w:rPr>
              <w:t>с </w:t>
            </w:r>
            <w:r>
              <w:rPr>
                <w:spacing w:val="-2"/>
                <w:sz w:val="20"/>
              </w:rPr>
              <w:t>пластикой</w:t>
            </w:r>
          </w:p>
        </w:tc>
      </w:tr>
      <w:tr>
        <w:trPr>
          <w:trHeight w:val="559"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52" w:lineRule="auto" w:before="40"/>
              <w:ind w:left="109" w:right="93"/>
              <w:rPr>
                <w:sz w:val="20"/>
              </w:rPr>
            </w:pPr>
            <w:r>
              <w:rPr>
                <w:sz w:val="20"/>
              </w:rPr>
              <w:t>удаление позвонка с эндопротезированием</w:t>
            </w:r>
            <w:r>
              <w:rPr>
                <w:spacing w:val="-13"/>
                <w:sz w:val="20"/>
              </w:rPr>
              <w:t> </w:t>
            </w:r>
            <w:r>
              <w:rPr>
                <w:sz w:val="20"/>
              </w:rPr>
              <w:t>и</w:t>
            </w:r>
            <w:r>
              <w:rPr>
                <w:spacing w:val="-12"/>
                <w:sz w:val="20"/>
              </w:rPr>
              <w:t> </w:t>
            </w:r>
            <w:r>
              <w:rPr>
                <w:sz w:val="20"/>
              </w:rPr>
              <w:t>фиксацией</w:t>
            </w:r>
          </w:p>
        </w:tc>
      </w:tr>
      <w:tr>
        <w:trPr>
          <w:trHeight w:val="819"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40"/>
              <w:ind w:left="109" w:right="93"/>
              <w:rPr>
                <w:sz w:val="20"/>
              </w:rPr>
            </w:pPr>
            <w:r>
              <w:rPr>
                <w:sz w:val="20"/>
              </w:rPr>
              <w:t>резекция</w:t>
            </w:r>
            <w:r>
              <w:rPr>
                <w:spacing w:val="-9"/>
                <w:sz w:val="20"/>
              </w:rPr>
              <w:t> </w:t>
            </w:r>
            <w:r>
              <w:rPr>
                <w:sz w:val="20"/>
              </w:rPr>
              <w:t>лонной</w:t>
            </w:r>
            <w:r>
              <w:rPr>
                <w:spacing w:val="-8"/>
                <w:sz w:val="20"/>
              </w:rPr>
              <w:t> </w:t>
            </w:r>
            <w:r>
              <w:rPr>
                <w:sz w:val="20"/>
              </w:rPr>
              <w:t>и</w:t>
            </w:r>
            <w:r>
              <w:rPr>
                <w:spacing w:val="-9"/>
                <w:sz w:val="20"/>
              </w:rPr>
              <w:t> </w:t>
            </w:r>
            <w:r>
              <w:rPr>
                <w:sz w:val="20"/>
              </w:rPr>
              <w:t>седалищной</w:t>
            </w:r>
            <w:r>
              <w:rPr>
                <w:spacing w:val="-9"/>
                <w:sz w:val="20"/>
              </w:rPr>
              <w:t> </w:t>
            </w:r>
            <w:r>
              <w:rPr>
                <w:sz w:val="20"/>
              </w:rPr>
              <w:t>костей</w:t>
            </w:r>
            <w:r>
              <w:rPr>
                <w:spacing w:val="-9"/>
                <w:sz w:val="20"/>
              </w:rPr>
              <w:t> </w:t>
            </w:r>
            <w:r>
              <w:rPr>
                <w:sz w:val="20"/>
              </w:rPr>
              <w:t>с </w:t>
            </w:r>
            <w:r>
              <w:rPr>
                <w:spacing w:val="-2"/>
                <w:sz w:val="20"/>
              </w:rPr>
              <w:t>реконструктивно-пластическим 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93"/>
              <w:rPr>
                <w:sz w:val="20"/>
              </w:rPr>
            </w:pPr>
            <w:r>
              <w:rPr>
                <w:sz w:val="20"/>
              </w:rPr>
              <w:t>резекция костей верхнего плечевого пояса</w:t>
            </w:r>
            <w:r>
              <w:rPr>
                <w:spacing w:val="-13"/>
                <w:sz w:val="20"/>
              </w:rPr>
              <w:t> </w:t>
            </w:r>
            <w:r>
              <w:rPr>
                <w:sz w:val="20"/>
              </w:rPr>
              <w:t>с</w:t>
            </w:r>
            <w:r>
              <w:rPr>
                <w:spacing w:val="-12"/>
                <w:sz w:val="20"/>
              </w:rPr>
              <w:t> </w:t>
            </w:r>
            <w:r>
              <w:rPr>
                <w:sz w:val="20"/>
              </w:rPr>
              <w:t>реконструктивно-пластическим </w:t>
            </w:r>
            <w:r>
              <w:rPr>
                <w:spacing w:val="-2"/>
                <w:sz w:val="20"/>
              </w:rPr>
              <w:t>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122"/>
              <w:jc w:val="both"/>
              <w:rPr>
                <w:sz w:val="20"/>
              </w:rPr>
            </w:pPr>
            <w:r>
              <w:rPr>
                <w:sz w:val="20"/>
              </w:rPr>
              <w:t>экстирпация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w:t>
            </w:r>
            <w:r>
              <w:rPr>
                <w:spacing w:val="-8"/>
                <w:sz w:val="20"/>
              </w:rPr>
              <w:t> </w:t>
            </w:r>
            <w:r>
              <w:rPr>
                <w:sz w:val="20"/>
              </w:rPr>
              <w:t>с</w:t>
            </w:r>
            <w:r>
              <w:rPr>
                <w:spacing w:val="-8"/>
                <w:sz w:val="20"/>
              </w:rPr>
              <w:t> </w:t>
            </w:r>
            <w:r>
              <w:rPr>
                <w:sz w:val="20"/>
              </w:rPr>
              <w:t>реконструктивно-пластическим </w:t>
            </w:r>
            <w:r>
              <w:rPr>
                <w:spacing w:val="-2"/>
                <w:sz w:val="20"/>
              </w:rPr>
              <w:t>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48"/>
              <w:rPr>
                <w:sz w:val="20"/>
              </w:rPr>
            </w:pPr>
            <w:r>
              <w:rPr>
                <w:sz w:val="20"/>
              </w:rPr>
              <w:t>резекция</w:t>
            </w:r>
            <w:r>
              <w:rPr>
                <w:spacing w:val="-12"/>
                <w:sz w:val="20"/>
              </w:rPr>
              <w:t> </w:t>
            </w:r>
            <w:r>
              <w:rPr>
                <w:sz w:val="20"/>
              </w:rPr>
              <w:t>костей</w:t>
            </w:r>
            <w:r>
              <w:rPr>
                <w:spacing w:val="-12"/>
                <w:sz w:val="20"/>
              </w:rPr>
              <w:t> </w:t>
            </w:r>
            <w:r>
              <w:rPr>
                <w:sz w:val="20"/>
              </w:rPr>
              <w:t>таза</w:t>
            </w:r>
            <w:r>
              <w:rPr>
                <w:spacing w:val="-11"/>
                <w:sz w:val="20"/>
              </w:rPr>
              <w:t> </w:t>
            </w:r>
            <w:r>
              <w:rPr>
                <w:sz w:val="20"/>
              </w:rPr>
              <w:t>комбинированная</w:t>
            </w:r>
            <w:r>
              <w:rPr>
                <w:spacing w:val="-12"/>
                <w:sz w:val="20"/>
              </w:rPr>
              <w:t> </w:t>
            </w:r>
            <w:r>
              <w:rPr>
                <w:sz w:val="20"/>
              </w:rPr>
              <w:t>с </w:t>
            </w:r>
            <w:r>
              <w:rPr>
                <w:spacing w:val="-2"/>
                <w:sz w:val="20"/>
              </w:rPr>
              <w:t>реконструктивно-пластическим 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1180"/>
              <w:rPr>
                <w:sz w:val="20"/>
              </w:rPr>
            </w:pPr>
            <w:r>
              <w:rPr>
                <w:sz w:val="20"/>
              </w:rPr>
              <w:t>удаление</w:t>
            </w:r>
            <w:r>
              <w:rPr>
                <w:spacing w:val="-13"/>
                <w:sz w:val="20"/>
              </w:rPr>
              <w:t> </w:t>
            </w:r>
            <w:r>
              <w:rPr>
                <w:sz w:val="20"/>
              </w:rPr>
              <w:t>злокачественного новообразования кости с протезированием артерии</w:t>
            </w:r>
          </w:p>
        </w:tc>
      </w:tr>
      <w:tr>
        <w:trPr>
          <w:trHeight w:val="1080" w:hRule="atLeast"/>
        </w:trPr>
        <w:tc>
          <w:tcPr>
            <w:tcW w:w="1888" w:type="dxa"/>
          </w:tcPr>
          <w:p>
            <w:pPr>
              <w:pStyle w:val="TableParagraph"/>
              <w:rPr>
                <w:sz w:val="18"/>
              </w:rPr>
            </w:pPr>
          </w:p>
        </w:tc>
        <w:tc>
          <w:tcPr>
            <w:tcW w:w="3352" w:type="dxa"/>
          </w:tcPr>
          <w:p>
            <w:pPr>
              <w:pStyle w:val="TableParagraph"/>
              <w:spacing w:line="249" w:lineRule="auto" w:before="60"/>
              <w:ind w:left="140" w:right="43"/>
              <w:rPr>
                <w:sz w:val="20"/>
              </w:rPr>
            </w:pPr>
            <w:r>
              <w:rPr>
                <w:sz w:val="20"/>
              </w:rPr>
              <w:t>местнораспространенные формы первичных и метастатических злокачественных</w:t>
            </w:r>
            <w:r>
              <w:rPr>
                <w:spacing w:val="-13"/>
                <w:sz w:val="20"/>
              </w:rPr>
              <w:t> </w:t>
            </w:r>
            <w:r>
              <w:rPr>
                <w:sz w:val="20"/>
              </w:rPr>
              <w:t>опухолей</w:t>
            </w:r>
            <w:r>
              <w:rPr>
                <w:spacing w:val="-12"/>
                <w:sz w:val="20"/>
              </w:rPr>
              <w:t> </w:t>
            </w:r>
            <w:r>
              <w:rPr>
                <w:sz w:val="20"/>
              </w:rPr>
              <w:t>длинных трубчатых костей</w:t>
            </w:r>
          </w:p>
        </w:tc>
        <w:tc>
          <w:tcPr>
            <w:tcW w:w="1461" w:type="dxa"/>
          </w:tcPr>
          <w:p>
            <w:pPr>
              <w:pStyle w:val="TableParagraph"/>
              <w:spacing w:line="249" w:lineRule="auto" w:before="60"/>
              <w:ind w:left="95"/>
              <w:rPr>
                <w:sz w:val="20"/>
              </w:rPr>
            </w:pPr>
            <w:r>
              <w:rPr>
                <w:spacing w:val="-2"/>
                <w:sz w:val="20"/>
              </w:rPr>
              <w:t>хирургическое лечение</w:t>
            </w:r>
          </w:p>
        </w:tc>
        <w:tc>
          <w:tcPr>
            <w:tcW w:w="3638" w:type="dxa"/>
          </w:tcPr>
          <w:p>
            <w:pPr>
              <w:pStyle w:val="TableParagraph"/>
              <w:spacing w:line="249" w:lineRule="auto" w:before="60"/>
              <w:ind w:left="109" w:right="650"/>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tc>
      </w:tr>
      <w:tr>
        <w:trPr>
          <w:trHeight w:val="839" w:hRule="atLeast"/>
        </w:trPr>
        <w:tc>
          <w:tcPr>
            <w:tcW w:w="1888" w:type="dxa"/>
            <w:vMerge w:val="restart"/>
          </w:tcPr>
          <w:p>
            <w:pPr>
              <w:pStyle w:val="TableParagraph"/>
              <w:spacing w:before="60"/>
              <w:ind w:left="124"/>
              <w:rPr>
                <w:sz w:val="20"/>
              </w:rPr>
            </w:pPr>
            <w:r>
              <w:rPr>
                <w:sz w:val="20"/>
              </w:rPr>
              <w:t>C43,</w:t>
            </w:r>
            <w:r>
              <w:rPr>
                <w:spacing w:val="-4"/>
                <w:sz w:val="20"/>
              </w:rPr>
              <w:t> </w:t>
            </w:r>
            <w:r>
              <w:rPr>
                <w:sz w:val="20"/>
              </w:rPr>
              <w:t>C43.5,</w:t>
            </w:r>
            <w:r>
              <w:rPr>
                <w:spacing w:val="-3"/>
                <w:sz w:val="20"/>
              </w:rPr>
              <w:t> </w:t>
            </w:r>
            <w:r>
              <w:rPr>
                <w:spacing w:val="-2"/>
                <w:sz w:val="20"/>
              </w:rPr>
              <w:t>C43.6,</w:t>
            </w:r>
          </w:p>
          <w:p>
            <w:pPr>
              <w:pStyle w:val="TableParagraph"/>
              <w:spacing w:before="10"/>
              <w:ind w:left="50"/>
              <w:rPr>
                <w:sz w:val="20"/>
              </w:rPr>
            </w:pPr>
            <w:r>
              <w:rPr>
                <w:sz w:val="20"/>
              </w:rPr>
              <w:t>C43.7,</w:t>
            </w:r>
            <w:r>
              <w:rPr>
                <w:spacing w:val="-5"/>
                <w:sz w:val="20"/>
              </w:rPr>
              <w:t> </w:t>
            </w:r>
            <w:r>
              <w:rPr>
                <w:sz w:val="20"/>
              </w:rPr>
              <w:t>C43.8,</w:t>
            </w:r>
            <w:r>
              <w:rPr>
                <w:spacing w:val="-5"/>
                <w:sz w:val="20"/>
              </w:rPr>
              <w:t> </w:t>
            </w:r>
            <w:r>
              <w:rPr>
                <w:spacing w:val="-2"/>
                <w:sz w:val="20"/>
              </w:rPr>
              <w:t>C43.9,</w:t>
            </w:r>
          </w:p>
          <w:p>
            <w:pPr>
              <w:pStyle w:val="TableParagraph"/>
              <w:spacing w:line="249" w:lineRule="auto" w:before="10"/>
              <w:ind w:left="76" w:firstLine="48"/>
              <w:rPr>
                <w:sz w:val="20"/>
              </w:rPr>
            </w:pPr>
            <w:r>
              <w:rPr>
                <w:sz w:val="20"/>
              </w:rPr>
              <w:t>C44, C44.5, C44.6, C44.7,</w:t>
            </w:r>
            <w:r>
              <w:rPr>
                <w:spacing w:val="-5"/>
                <w:sz w:val="20"/>
              </w:rPr>
              <w:t> </w:t>
            </w:r>
            <w:r>
              <w:rPr>
                <w:sz w:val="20"/>
              </w:rPr>
              <w:t>C44.8,</w:t>
            </w:r>
            <w:r>
              <w:rPr>
                <w:spacing w:val="-5"/>
                <w:sz w:val="20"/>
              </w:rPr>
              <w:t> </w:t>
            </w:r>
            <w:r>
              <w:rPr>
                <w:spacing w:val="-4"/>
                <w:sz w:val="20"/>
              </w:rPr>
              <w:t>C44.9</w:t>
            </w:r>
          </w:p>
        </w:tc>
        <w:tc>
          <w:tcPr>
            <w:tcW w:w="3352" w:type="dxa"/>
          </w:tcPr>
          <w:p>
            <w:pPr>
              <w:pStyle w:val="TableParagraph"/>
              <w:spacing w:line="249" w:lineRule="auto" w:before="60"/>
              <w:ind w:left="140" w:right="244"/>
              <w:rPr>
                <w:sz w:val="20"/>
              </w:rPr>
            </w:pPr>
            <w:r>
              <w:rPr>
                <w:sz w:val="20"/>
              </w:rPr>
              <w:t>злокачественные</w:t>
            </w:r>
            <w:r>
              <w:rPr>
                <w:spacing w:val="-13"/>
                <w:sz w:val="20"/>
              </w:rPr>
              <w:t> </w:t>
            </w:r>
            <w:r>
              <w:rPr>
                <w:sz w:val="20"/>
              </w:rPr>
              <w:t>новообразования </w:t>
            </w:r>
            <w:r>
              <w:rPr>
                <w:spacing w:val="-4"/>
                <w:sz w:val="20"/>
              </w:rPr>
              <w:t>кожи</w:t>
            </w:r>
          </w:p>
        </w:tc>
        <w:tc>
          <w:tcPr>
            <w:tcW w:w="1461" w:type="dxa"/>
          </w:tcPr>
          <w:p>
            <w:pPr>
              <w:pStyle w:val="TableParagraph"/>
              <w:spacing w:line="249" w:lineRule="auto" w:before="60"/>
              <w:ind w:left="95"/>
              <w:rPr>
                <w:sz w:val="20"/>
              </w:rPr>
            </w:pPr>
            <w:r>
              <w:rPr>
                <w:spacing w:val="-2"/>
                <w:sz w:val="20"/>
              </w:rPr>
              <w:t>хирургическое лечение</w:t>
            </w:r>
          </w:p>
        </w:tc>
        <w:tc>
          <w:tcPr>
            <w:tcW w:w="3638" w:type="dxa"/>
          </w:tcPr>
          <w:p>
            <w:pPr>
              <w:pStyle w:val="TableParagraph"/>
              <w:spacing w:line="249" w:lineRule="auto" w:before="60"/>
              <w:ind w:left="109" w:right="283"/>
              <w:jc w:val="both"/>
              <w:rPr>
                <w:sz w:val="20"/>
              </w:rPr>
            </w:pPr>
            <w:r>
              <w:rPr>
                <w:sz w:val="20"/>
              </w:rPr>
              <w:t>широкое</w:t>
            </w:r>
            <w:r>
              <w:rPr>
                <w:spacing w:val="-3"/>
                <w:sz w:val="20"/>
              </w:rPr>
              <w:t> </w:t>
            </w:r>
            <w:r>
              <w:rPr>
                <w:sz w:val="20"/>
              </w:rPr>
              <w:t>иссечение</w:t>
            </w:r>
            <w:r>
              <w:rPr>
                <w:spacing w:val="-3"/>
                <w:sz w:val="20"/>
              </w:rPr>
              <w:t> </w:t>
            </w:r>
            <w:r>
              <w:rPr>
                <w:sz w:val="20"/>
              </w:rPr>
              <w:t>меланомы</w:t>
            </w:r>
            <w:r>
              <w:rPr>
                <w:spacing w:val="-3"/>
                <w:sz w:val="20"/>
              </w:rPr>
              <w:t> </w:t>
            </w:r>
            <w:r>
              <w:rPr>
                <w:sz w:val="20"/>
              </w:rPr>
              <w:t>кожи</w:t>
            </w:r>
            <w:r>
              <w:rPr>
                <w:spacing w:val="-4"/>
                <w:sz w:val="20"/>
              </w:rPr>
              <w:t> </w:t>
            </w:r>
            <w:r>
              <w:rPr>
                <w:sz w:val="20"/>
              </w:rPr>
              <w:t>с пластикой</w:t>
            </w:r>
            <w:r>
              <w:rPr>
                <w:spacing w:val="-13"/>
                <w:sz w:val="20"/>
              </w:rPr>
              <w:t> </w:t>
            </w:r>
            <w:r>
              <w:rPr>
                <w:sz w:val="20"/>
              </w:rPr>
              <w:t>дефекта</w:t>
            </w:r>
            <w:r>
              <w:rPr>
                <w:spacing w:val="-12"/>
                <w:sz w:val="20"/>
              </w:rPr>
              <w:t> </w:t>
            </w:r>
            <w:r>
              <w:rPr>
                <w:sz w:val="20"/>
              </w:rPr>
              <w:t>кожно-мышечным лоскутом на сосудистой ножке</w:t>
            </w:r>
          </w:p>
        </w:tc>
      </w:tr>
      <w:tr>
        <w:trPr>
          <w:trHeight w:val="530" w:hRule="atLeast"/>
        </w:trPr>
        <w:tc>
          <w:tcPr>
            <w:tcW w:w="1888" w:type="dxa"/>
            <w:vMerge/>
            <w:tcBorders>
              <w:top w:val="nil"/>
            </w:tcBorders>
          </w:tcPr>
          <w:p>
            <w:pPr>
              <w:rPr>
                <w:sz w:val="2"/>
                <w:szCs w:val="2"/>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0" w:lineRule="atLeast" w:before="30"/>
              <w:ind w:left="109" w:right="475"/>
              <w:rPr>
                <w:sz w:val="20"/>
              </w:rPr>
            </w:pPr>
            <w:r>
              <w:rPr>
                <w:sz w:val="20"/>
              </w:rPr>
              <w:t>широкое</w:t>
            </w:r>
            <w:r>
              <w:rPr>
                <w:spacing w:val="-11"/>
                <w:sz w:val="20"/>
              </w:rPr>
              <w:t> </w:t>
            </w:r>
            <w:r>
              <w:rPr>
                <w:sz w:val="20"/>
              </w:rPr>
              <w:t>иссечение</w:t>
            </w:r>
            <w:r>
              <w:rPr>
                <w:spacing w:val="-11"/>
                <w:sz w:val="20"/>
              </w:rPr>
              <w:t> </w:t>
            </w:r>
            <w:r>
              <w:rPr>
                <w:sz w:val="20"/>
              </w:rPr>
              <w:t>опухоли</w:t>
            </w:r>
            <w:r>
              <w:rPr>
                <w:spacing w:val="-11"/>
                <w:sz w:val="20"/>
              </w:rPr>
              <w:t> </w:t>
            </w:r>
            <w:r>
              <w:rPr>
                <w:sz w:val="20"/>
              </w:rPr>
              <w:t>кожи</w:t>
            </w:r>
            <w:r>
              <w:rPr>
                <w:spacing w:val="-12"/>
                <w:sz w:val="20"/>
              </w:rPr>
              <w:t> </w:t>
            </w:r>
            <w:r>
              <w:rPr>
                <w:sz w:val="20"/>
              </w:rPr>
              <w:t>с </w:t>
            </w:r>
            <w:r>
              <w:rPr>
                <w:spacing w:val="-2"/>
                <w:sz w:val="20"/>
              </w:rPr>
              <w:t>реконструктивно-пластическим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spacing w:line="249" w:lineRule="auto" w:before="185"/>
        <w:ind w:left="5793" w:right="-7" w:firstLine="0"/>
        <w:jc w:val="left"/>
        <w:rPr>
          <w:sz w:val="20"/>
        </w:rPr>
      </w:pPr>
      <w:r>
        <w:rPr>
          <w:sz w:val="20"/>
        </w:rPr>
        <w:t>местнораспространенные</w:t>
      </w:r>
      <w:r>
        <w:rPr>
          <w:spacing w:val="-13"/>
          <w:sz w:val="20"/>
        </w:rPr>
        <w:t> </w:t>
      </w:r>
      <w:r>
        <w:rPr>
          <w:sz w:val="20"/>
        </w:rPr>
        <w:t>формы первичных и метастатических меланом кожи конечностей</w:t>
      </w:r>
    </w:p>
    <w:p>
      <w:pPr>
        <w:tabs>
          <w:tab w:pos="5792" w:val="left" w:leader="none"/>
        </w:tabs>
        <w:spacing w:line="249" w:lineRule="auto" w:before="123"/>
        <w:ind w:left="5793" w:right="357" w:hanging="1294"/>
        <w:jc w:val="left"/>
        <w:rPr>
          <w:sz w:val="20"/>
        </w:rPr>
      </w:pPr>
      <w:r>
        <w:rPr>
          <w:spacing w:val="-4"/>
          <w:sz w:val="20"/>
        </w:rPr>
        <w:t>C48</w:t>
      </w:r>
      <w:r>
        <w:rPr>
          <w:sz w:val="20"/>
        </w:rPr>
        <w:tab/>
        <w:t>местнораспространенные и диссеминированные формы первичных и рецидивных неорганных опухолей забрюшинного</w:t>
      </w:r>
      <w:r>
        <w:rPr>
          <w:spacing w:val="-13"/>
          <w:sz w:val="20"/>
        </w:rPr>
        <w:t> </w:t>
      </w:r>
      <w:r>
        <w:rPr>
          <w:sz w:val="20"/>
        </w:rPr>
        <w:t>пространства</w:t>
      </w:r>
    </w:p>
    <w:p>
      <w:pPr>
        <w:pStyle w:val="BodyText"/>
        <w:rPr>
          <w:sz w:val="22"/>
        </w:rPr>
      </w:pPr>
    </w:p>
    <w:p>
      <w:pPr>
        <w:pStyle w:val="BodyText"/>
        <w:rPr>
          <w:sz w:val="22"/>
        </w:rPr>
      </w:pPr>
    </w:p>
    <w:p>
      <w:pPr>
        <w:pStyle w:val="BodyText"/>
        <w:rPr>
          <w:sz w:val="19"/>
        </w:rPr>
      </w:pPr>
    </w:p>
    <w:p>
      <w:pPr>
        <w:spacing w:line="249" w:lineRule="auto" w:before="0"/>
        <w:ind w:left="5793" w:right="-7" w:firstLine="0"/>
        <w:jc w:val="left"/>
        <w:rPr>
          <w:sz w:val="20"/>
        </w:rPr>
      </w:pPr>
      <w:r>
        <w:rPr>
          <w:sz w:val="20"/>
        </w:rPr>
        <w:t>местнораспространенные</w:t>
      </w:r>
      <w:r>
        <w:rPr>
          <w:spacing w:val="-13"/>
          <w:sz w:val="20"/>
        </w:rPr>
        <w:t> </w:t>
      </w:r>
      <w:r>
        <w:rPr>
          <w:sz w:val="20"/>
        </w:rPr>
        <w:t>формы первичных и метастатических опухолей брюшной стенки</w:t>
      </w:r>
    </w:p>
    <w:p>
      <w:pPr>
        <w:spacing w:line="240" w:lineRule="auto" w:before="0"/>
        <w:rPr>
          <w:sz w:val="22"/>
        </w:rPr>
      </w:pPr>
      <w:r>
        <w:rPr/>
        <w:br w:type="column"/>
      </w:r>
      <w:r>
        <w:rPr>
          <w:sz w:val="22"/>
        </w:rPr>
      </w:r>
    </w:p>
    <w:p>
      <w:pPr>
        <w:pStyle w:val="BodyText"/>
        <w:rPr>
          <w:sz w:val="22"/>
        </w:rPr>
      </w:pPr>
    </w:p>
    <w:p>
      <w:pPr>
        <w:spacing w:line="252" w:lineRule="auto" w:before="185"/>
        <w:ind w:left="445" w:right="0" w:firstLine="0"/>
        <w:jc w:val="left"/>
        <w:rPr>
          <w:sz w:val="20"/>
        </w:rPr>
      </w:pPr>
      <w:r>
        <w:rPr>
          <w:spacing w:val="-2"/>
          <w:sz w:val="20"/>
        </w:rPr>
        <w:t>хирургическое лечение</w:t>
      </w:r>
    </w:p>
    <w:p>
      <w:pPr>
        <w:pStyle w:val="BodyText"/>
        <w:spacing w:before="1"/>
        <w:rPr>
          <w:sz w:val="31"/>
        </w:rPr>
      </w:pPr>
    </w:p>
    <w:p>
      <w:pPr>
        <w:spacing w:line="249" w:lineRule="auto" w:before="0"/>
        <w:ind w:left="445"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7"/>
        <w:ind w:left="445" w:right="0" w:firstLine="0"/>
        <w:jc w:val="left"/>
        <w:rPr>
          <w:sz w:val="20"/>
        </w:rPr>
      </w:pPr>
      <w:r>
        <w:rPr>
          <w:spacing w:val="-2"/>
          <w:sz w:val="20"/>
        </w:rPr>
        <w:t>хирургическое лечение</w:t>
      </w:r>
    </w:p>
    <w:p>
      <w:pPr>
        <w:spacing w:line="249" w:lineRule="auto" w:before="91"/>
        <w:ind w:left="178" w:right="2351" w:firstLine="0"/>
        <w:jc w:val="left"/>
        <w:rPr>
          <w:sz w:val="20"/>
        </w:rPr>
      </w:pPr>
      <w:r>
        <w:rPr/>
        <w:br w:type="column"/>
      </w:r>
      <w:r>
        <w:rPr>
          <w:sz w:val="20"/>
        </w:rPr>
        <w:t>компонентом</w:t>
      </w:r>
      <w:r>
        <w:rPr>
          <w:spacing w:val="-13"/>
          <w:sz w:val="20"/>
        </w:rPr>
        <w:t> </w:t>
      </w:r>
      <w:r>
        <w:rPr>
          <w:sz w:val="20"/>
        </w:rPr>
        <w:t>комбинированное (местные ткани и эспандер)</w:t>
      </w:r>
    </w:p>
    <w:p>
      <w:pPr>
        <w:spacing w:line="249" w:lineRule="auto" w:before="121"/>
        <w:ind w:left="178" w:right="2351" w:firstLine="0"/>
        <w:jc w:val="left"/>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p>
      <w:pPr>
        <w:spacing w:line="249" w:lineRule="auto" w:before="124"/>
        <w:ind w:left="178" w:right="1953" w:firstLine="0"/>
        <w:jc w:val="left"/>
        <w:rPr>
          <w:sz w:val="20"/>
        </w:rPr>
      </w:pPr>
      <w:r>
        <w:rPr>
          <w:sz w:val="20"/>
        </w:rPr>
        <w:t>удаление первичных и рецидивных неорганных</w:t>
      </w:r>
      <w:r>
        <w:rPr>
          <w:spacing w:val="-11"/>
          <w:sz w:val="20"/>
        </w:rPr>
        <w:t> </w:t>
      </w:r>
      <w:r>
        <w:rPr>
          <w:sz w:val="20"/>
        </w:rPr>
        <w:t>забрюшинных</w:t>
      </w:r>
      <w:r>
        <w:rPr>
          <w:spacing w:val="-11"/>
          <w:sz w:val="20"/>
        </w:rPr>
        <w:t> </w:t>
      </w:r>
      <w:r>
        <w:rPr>
          <w:sz w:val="20"/>
        </w:rPr>
        <w:t>опухолей</w:t>
      </w:r>
      <w:r>
        <w:rPr>
          <w:spacing w:val="-11"/>
          <w:sz w:val="20"/>
        </w:rPr>
        <w:t> </w:t>
      </w:r>
      <w:r>
        <w:rPr>
          <w:sz w:val="20"/>
        </w:rPr>
        <w:t>с </w:t>
      </w:r>
      <w:r>
        <w:rPr>
          <w:spacing w:val="-2"/>
          <w:sz w:val="20"/>
        </w:rPr>
        <w:t>ангиопластикой</w:t>
      </w:r>
    </w:p>
    <w:p>
      <w:pPr>
        <w:spacing w:line="249" w:lineRule="auto" w:before="122"/>
        <w:ind w:left="178" w:right="2184" w:firstLine="0"/>
        <w:jc w:val="left"/>
        <w:rPr>
          <w:sz w:val="20"/>
        </w:rPr>
      </w:pPr>
      <w:r>
        <w:rPr>
          <w:sz w:val="20"/>
        </w:rPr>
        <w:t>удаление первичных и рецидивных неорганных</w:t>
      </w:r>
      <w:r>
        <w:rPr>
          <w:spacing w:val="-12"/>
          <w:sz w:val="20"/>
        </w:rPr>
        <w:t> </w:t>
      </w:r>
      <w:r>
        <w:rPr>
          <w:sz w:val="20"/>
        </w:rPr>
        <w:t>забрюшинных</w:t>
      </w:r>
      <w:r>
        <w:rPr>
          <w:spacing w:val="-12"/>
          <w:sz w:val="20"/>
        </w:rPr>
        <w:t> </w:t>
      </w:r>
      <w:r>
        <w:rPr>
          <w:sz w:val="20"/>
        </w:rPr>
        <w:t>опухолей</w:t>
      </w:r>
      <w:r>
        <w:rPr>
          <w:spacing w:val="-12"/>
          <w:sz w:val="20"/>
        </w:rPr>
        <w:t> </w:t>
      </w:r>
      <w:r>
        <w:rPr>
          <w:sz w:val="20"/>
        </w:rPr>
        <w:t>с </w:t>
      </w:r>
      <w:r>
        <w:rPr>
          <w:spacing w:val="-2"/>
          <w:sz w:val="20"/>
        </w:rPr>
        <w:t>реконструктивно-пластическим компонентом</w:t>
      </w:r>
    </w:p>
    <w:p>
      <w:pPr>
        <w:spacing w:line="249" w:lineRule="auto" w:before="124"/>
        <w:ind w:left="178" w:right="1953" w:firstLine="0"/>
        <w:jc w:val="left"/>
        <w:rPr>
          <w:sz w:val="20"/>
        </w:rPr>
      </w:pPr>
      <w:r>
        <w:rPr>
          <w:sz w:val="20"/>
        </w:rPr>
        <w:t>удаление первичных, рецидивных и метастатических опухолей брюшной стенки</w:t>
      </w:r>
      <w:r>
        <w:rPr>
          <w:spacing w:val="-13"/>
          <w:sz w:val="20"/>
        </w:rPr>
        <w:t> </w:t>
      </w:r>
      <w:r>
        <w:rPr>
          <w:sz w:val="20"/>
        </w:rPr>
        <w:t>с</w:t>
      </w:r>
      <w:r>
        <w:rPr>
          <w:spacing w:val="-12"/>
          <w:sz w:val="20"/>
        </w:rPr>
        <w:t> </w:t>
      </w:r>
      <w:r>
        <w:rPr>
          <w:sz w:val="20"/>
        </w:rPr>
        <w:t>реконструктивно-пластическим </w:t>
      </w:r>
      <w:r>
        <w:rPr>
          <w:spacing w:val="-2"/>
          <w:sz w:val="20"/>
        </w:rPr>
        <w:t>компонентом</w:t>
      </w:r>
    </w:p>
    <w:p>
      <w:pPr>
        <w:spacing w:after="0" w:line="249" w:lineRule="auto"/>
        <w:jc w:val="left"/>
        <w:rPr>
          <w:sz w:val="20"/>
        </w:rPr>
        <w:sectPr>
          <w:type w:val="continuous"/>
          <w:pgSz w:w="16850" w:h="11910" w:orient="landscape"/>
          <w:pgMar w:header="753" w:footer="0" w:top="1080" w:bottom="280" w:left="400" w:right="400"/>
          <w:cols w:num="3" w:equalWidth="0">
            <w:col w:w="8615" w:space="40"/>
            <w:col w:w="1702" w:space="39"/>
            <w:col w:w="5654"/>
          </w:cols>
        </w:sectPr>
      </w:pPr>
    </w:p>
    <w:p>
      <w:pPr>
        <w:spacing w:before="123"/>
        <w:ind w:left="3814" w:right="0" w:firstLine="0"/>
        <w:jc w:val="center"/>
        <w:rPr>
          <w:sz w:val="20"/>
        </w:rPr>
      </w:pPr>
      <w:r>
        <w:rPr>
          <w:sz w:val="20"/>
        </w:rPr>
        <w:t>C49.1,</w:t>
      </w:r>
      <w:r>
        <w:rPr>
          <w:spacing w:val="-5"/>
          <w:sz w:val="20"/>
        </w:rPr>
        <w:t> </w:t>
      </w:r>
      <w:r>
        <w:rPr>
          <w:sz w:val="20"/>
        </w:rPr>
        <w:t>C49.2,</w:t>
      </w:r>
      <w:r>
        <w:rPr>
          <w:spacing w:val="-5"/>
          <w:sz w:val="20"/>
        </w:rPr>
        <w:t> </w:t>
      </w:r>
      <w:r>
        <w:rPr>
          <w:spacing w:val="-2"/>
          <w:sz w:val="20"/>
        </w:rPr>
        <w:t>C49.3,</w:t>
      </w:r>
    </w:p>
    <w:p>
      <w:pPr>
        <w:spacing w:before="10"/>
        <w:ind w:left="3814" w:right="0" w:firstLine="0"/>
        <w:jc w:val="center"/>
        <w:rPr>
          <w:sz w:val="20"/>
        </w:rPr>
      </w:pPr>
      <w:r>
        <w:rPr>
          <w:sz w:val="20"/>
        </w:rPr>
        <w:t>C49.5,</w:t>
      </w:r>
      <w:r>
        <w:rPr>
          <w:spacing w:val="-5"/>
          <w:sz w:val="20"/>
        </w:rPr>
        <w:t> </w:t>
      </w:r>
      <w:r>
        <w:rPr>
          <w:sz w:val="20"/>
        </w:rPr>
        <w:t>C49.6,</w:t>
      </w:r>
      <w:r>
        <w:rPr>
          <w:spacing w:val="-5"/>
          <w:sz w:val="20"/>
        </w:rPr>
        <w:t> </w:t>
      </w:r>
      <w:r>
        <w:rPr>
          <w:spacing w:val="-2"/>
          <w:sz w:val="20"/>
        </w:rPr>
        <w:t>C47.1,</w:t>
      </w:r>
    </w:p>
    <w:p>
      <w:pPr>
        <w:spacing w:line="249" w:lineRule="auto" w:before="10"/>
        <w:ind w:left="3814" w:right="0" w:firstLine="0"/>
        <w:jc w:val="center"/>
        <w:rPr>
          <w:sz w:val="20"/>
        </w:rPr>
      </w:pPr>
      <w:r>
        <w:rPr>
          <w:sz w:val="20"/>
        </w:rPr>
        <w:t>C47.2,</w:t>
      </w:r>
      <w:r>
        <w:rPr>
          <w:spacing w:val="-13"/>
          <w:sz w:val="20"/>
        </w:rPr>
        <w:t> </w:t>
      </w:r>
      <w:r>
        <w:rPr>
          <w:sz w:val="20"/>
        </w:rPr>
        <w:t>C47.3,</w:t>
      </w:r>
      <w:r>
        <w:rPr>
          <w:spacing w:val="-12"/>
          <w:sz w:val="20"/>
        </w:rPr>
        <w:t> </w:t>
      </w:r>
      <w:r>
        <w:rPr>
          <w:sz w:val="20"/>
        </w:rPr>
        <w:t>C47.5, </w:t>
      </w:r>
      <w:r>
        <w:rPr>
          <w:spacing w:val="-4"/>
          <w:sz w:val="20"/>
        </w:rPr>
        <w:t>C43.5</w:t>
      </w:r>
    </w:p>
    <w:p>
      <w:pPr>
        <w:spacing w:line="249" w:lineRule="auto" w:before="123"/>
        <w:ind w:left="239" w:right="35" w:firstLine="0"/>
        <w:jc w:val="left"/>
        <w:rPr>
          <w:sz w:val="20"/>
        </w:rPr>
      </w:pPr>
      <w:r>
        <w:rPr/>
        <w:br w:type="column"/>
      </w:r>
      <w:r>
        <w:rPr>
          <w:sz w:val="20"/>
        </w:rPr>
        <w:t>первичные злокачественные новообразования мягких тканей туловища и конечностей, злокачественные</w:t>
      </w:r>
      <w:r>
        <w:rPr>
          <w:spacing w:val="-13"/>
          <w:sz w:val="20"/>
        </w:rPr>
        <w:t> </w:t>
      </w:r>
      <w:r>
        <w:rPr>
          <w:sz w:val="20"/>
        </w:rPr>
        <w:t>новообразования периферической</w:t>
      </w:r>
      <w:r>
        <w:rPr>
          <w:spacing w:val="-8"/>
          <w:sz w:val="20"/>
        </w:rPr>
        <w:t> </w:t>
      </w:r>
      <w:r>
        <w:rPr>
          <w:sz w:val="20"/>
        </w:rPr>
        <w:t>нервной</w:t>
      </w:r>
      <w:r>
        <w:rPr>
          <w:spacing w:val="-8"/>
          <w:sz w:val="20"/>
        </w:rPr>
        <w:t> </w:t>
      </w:r>
      <w:r>
        <w:rPr>
          <w:sz w:val="20"/>
        </w:rPr>
        <w:t>системы туловища, нижних и верхних конечностей</w:t>
      </w:r>
      <w:r>
        <w:rPr>
          <w:spacing w:val="-5"/>
          <w:sz w:val="20"/>
        </w:rPr>
        <w:t> </w:t>
      </w:r>
      <w:r>
        <w:rPr>
          <w:sz w:val="20"/>
        </w:rPr>
        <w:t>I</w:t>
      </w:r>
      <w:r>
        <w:rPr>
          <w:spacing w:val="-4"/>
          <w:sz w:val="20"/>
        </w:rPr>
        <w:t> </w:t>
      </w:r>
      <w:r>
        <w:rPr>
          <w:sz w:val="20"/>
        </w:rPr>
        <w:t>a-b,</w:t>
      </w:r>
      <w:r>
        <w:rPr>
          <w:spacing w:val="-4"/>
          <w:sz w:val="20"/>
        </w:rPr>
        <w:t> </w:t>
      </w:r>
      <w:r>
        <w:rPr>
          <w:sz w:val="20"/>
        </w:rPr>
        <w:t>II</w:t>
      </w:r>
      <w:r>
        <w:rPr>
          <w:spacing w:val="-4"/>
          <w:sz w:val="20"/>
        </w:rPr>
        <w:t> </w:t>
      </w:r>
      <w:r>
        <w:rPr>
          <w:sz w:val="20"/>
        </w:rPr>
        <w:t>a-b,</w:t>
      </w:r>
      <w:r>
        <w:rPr>
          <w:spacing w:val="-4"/>
          <w:sz w:val="20"/>
        </w:rPr>
        <w:t> </w:t>
      </w:r>
      <w:r>
        <w:rPr>
          <w:sz w:val="20"/>
        </w:rPr>
        <w:t>III,</w:t>
      </w:r>
      <w:r>
        <w:rPr>
          <w:spacing w:val="-6"/>
          <w:sz w:val="20"/>
        </w:rPr>
        <w:t> </w:t>
      </w:r>
      <w:r>
        <w:rPr>
          <w:sz w:val="20"/>
        </w:rPr>
        <w:t>IV</w:t>
      </w:r>
      <w:r>
        <w:rPr>
          <w:spacing w:val="-4"/>
          <w:sz w:val="20"/>
        </w:rPr>
        <w:t> </w:t>
      </w:r>
      <w:r>
        <w:rPr>
          <w:sz w:val="20"/>
        </w:rPr>
        <w:t>a-b </w:t>
      </w:r>
      <w:r>
        <w:rPr>
          <w:spacing w:val="-2"/>
          <w:sz w:val="20"/>
        </w:rPr>
        <w:t>стадии</w:t>
      </w:r>
    </w:p>
    <w:p>
      <w:pPr>
        <w:spacing w:line="249" w:lineRule="auto" w:before="127"/>
        <w:ind w:left="239" w:right="0" w:firstLine="0"/>
        <w:jc w:val="left"/>
        <w:rPr>
          <w:sz w:val="20"/>
        </w:rPr>
      </w:pPr>
      <w:r>
        <w:rPr>
          <w:sz w:val="20"/>
        </w:rPr>
        <w:t>местнораспространенные формы первичных и метастатических сарком</w:t>
      </w:r>
      <w:r>
        <w:rPr>
          <w:spacing w:val="-13"/>
          <w:sz w:val="20"/>
        </w:rPr>
        <w:t> </w:t>
      </w:r>
      <w:r>
        <w:rPr>
          <w:sz w:val="20"/>
        </w:rPr>
        <w:t>мягких</w:t>
      </w:r>
      <w:r>
        <w:rPr>
          <w:spacing w:val="-12"/>
          <w:sz w:val="20"/>
        </w:rPr>
        <w:t> </w:t>
      </w:r>
      <w:r>
        <w:rPr>
          <w:sz w:val="20"/>
        </w:rPr>
        <w:t>тканей</w:t>
      </w:r>
      <w:r>
        <w:rPr>
          <w:spacing w:val="-13"/>
          <w:sz w:val="20"/>
        </w:rPr>
        <w:t> </w:t>
      </w:r>
      <w:r>
        <w:rPr>
          <w:sz w:val="20"/>
        </w:rPr>
        <w:t>конечностей</w:t>
      </w:r>
    </w:p>
    <w:p>
      <w:pPr>
        <w:spacing w:line="249" w:lineRule="auto" w:before="123"/>
        <w:ind w:left="266"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spacing w:line="249" w:lineRule="auto" w:before="0"/>
        <w:ind w:left="266" w:right="0" w:firstLine="0"/>
        <w:jc w:val="left"/>
        <w:rPr>
          <w:sz w:val="20"/>
        </w:rPr>
      </w:pPr>
      <w:r>
        <w:rPr>
          <w:spacing w:val="-2"/>
          <w:sz w:val="20"/>
        </w:rPr>
        <w:t>хирургическое лечение</w:t>
      </w:r>
    </w:p>
    <w:p>
      <w:pPr>
        <w:spacing w:line="249" w:lineRule="auto" w:before="123"/>
        <w:ind w:left="178" w:right="1951" w:firstLine="0"/>
        <w:jc w:val="left"/>
        <w:rPr>
          <w:sz w:val="20"/>
        </w:rPr>
      </w:pPr>
      <w:r>
        <w:rPr/>
        <w:br w:type="column"/>
      </w:r>
      <w:r>
        <w:rPr>
          <w:sz w:val="20"/>
        </w:rPr>
        <w:t>иссечение новообразования мягких тканей</w:t>
      </w:r>
      <w:r>
        <w:rPr>
          <w:spacing w:val="-12"/>
          <w:sz w:val="20"/>
        </w:rPr>
        <w:t> </w:t>
      </w:r>
      <w:r>
        <w:rPr>
          <w:sz w:val="20"/>
        </w:rPr>
        <w:t>с</w:t>
      </w:r>
      <w:r>
        <w:rPr>
          <w:spacing w:val="-11"/>
          <w:sz w:val="20"/>
        </w:rPr>
        <w:t> </w:t>
      </w:r>
      <w:r>
        <w:rPr>
          <w:sz w:val="20"/>
        </w:rPr>
        <w:t>микрохирургической</w:t>
      </w:r>
      <w:r>
        <w:rPr>
          <w:spacing w:val="-12"/>
          <w:sz w:val="20"/>
        </w:rPr>
        <w:t> </w:t>
      </w:r>
      <w:r>
        <w:rPr>
          <w:sz w:val="20"/>
        </w:rPr>
        <w:t>пластикой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spacing w:line="249" w:lineRule="auto" w:before="0"/>
        <w:ind w:left="178" w:right="2233" w:firstLine="0"/>
        <w:jc w:val="left"/>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p>
      <w:pPr>
        <w:spacing w:after="0" w:line="249" w:lineRule="auto"/>
        <w:jc w:val="left"/>
        <w:rPr>
          <w:sz w:val="20"/>
        </w:rPr>
        <w:sectPr>
          <w:type w:val="continuous"/>
          <w:pgSz w:w="16850" w:h="11910" w:orient="landscape"/>
          <w:pgMar w:header="753" w:footer="0" w:top="1080" w:bottom="280" w:left="400" w:right="400"/>
          <w:cols w:num="4" w:equalWidth="0">
            <w:col w:w="5514" w:space="40"/>
            <w:col w:w="3242" w:space="39"/>
            <w:col w:w="1523"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272"/>
        <w:gridCol w:w="1540"/>
        <w:gridCol w:w="3725"/>
      </w:tblGrid>
      <w:tr>
        <w:trPr>
          <w:trHeight w:val="1010" w:hRule="atLeast"/>
        </w:trPr>
        <w:tc>
          <w:tcPr>
            <w:tcW w:w="1888" w:type="dxa"/>
          </w:tcPr>
          <w:p>
            <w:pPr>
              <w:pStyle w:val="TableParagraph"/>
              <w:spacing w:line="221" w:lineRule="exact"/>
              <w:ind w:left="124"/>
              <w:rPr>
                <w:sz w:val="20"/>
              </w:rPr>
            </w:pPr>
            <w:r>
              <w:rPr>
                <w:sz w:val="20"/>
              </w:rPr>
              <w:t>C50,</w:t>
            </w:r>
            <w:r>
              <w:rPr>
                <w:spacing w:val="-4"/>
                <w:sz w:val="20"/>
              </w:rPr>
              <w:t> </w:t>
            </w:r>
            <w:r>
              <w:rPr>
                <w:sz w:val="20"/>
              </w:rPr>
              <w:t>C50.1,</w:t>
            </w:r>
            <w:r>
              <w:rPr>
                <w:spacing w:val="-3"/>
                <w:sz w:val="20"/>
              </w:rPr>
              <w:t> </w:t>
            </w:r>
            <w:r>
              <w:rPr>
                <w:spacing w:val="-2"/>
                <w:sz w:val="20"/>
              </w:rPr>
              <w:t>C50.2,</w:t>
            </w:r>
          </w:p>
          <w:p>
            <w:pPr>
              <w:pStyle w:val="TableParagraph"/>
              <w:spacing w:line="249" w:lineRule="auto" w:before="10"/>
              <w:ind w:left="76" w:hanging="27"/>
              <w:rPr>
                <w:sz w:val="20"/>
              </w:rPr>
            </w:pPr>
            <w:r>
              <w:rPr>
                <w:sz w:val="20"/>
              </w:rPr>
              <w:t>C50.3,</w:t>
            </w:r>
            <w:r>
              <w:rPr>
                <w:spacing w:val="-13"/>
                <w:sz w:val="20"/>
              </w:rPr>
              <w:t> </w:t>
            </w:r>
            <w:r>
              <w:rPr>
                <w:sz w:val="20"/>
              </w:rPr>
              <w:t>C50.4,</w:t>
            </w:r>
            <w:r>
              <w:rPr>
                <w:spacing w:val="-12"/>
                <w:sz w:val="20"/>
              </w:rPr>
              <w:t> </w:t>
            </w:r>
            <w:r>
              <w:rPr>
                <w:sz w:val="20"/>
              </w:rPr>
              <w:t>C50.5, C50.6,</w:t>
            </w:r>
            <w:r>
              <w:rPr>
                <w:spacing w:val="-5"/>
                <w:sz w:val="20"/>
              </w:rPr>
              <w:t> </w:t>
            </w:r>
            <w:r>
              <w:rPr>
                <w:sz w:val="20"/>
              </w:rPr>
              <w:t>C50.8,</w:t>
            </w:r>
            <w:r>
              <w:rPr>
                <w:spacing w:val="-5"/>
                <w:sz w:val="20"/>
              </w:rPr>
              <w:t> </w:t>
            </w:r>
            <w:r>
              <w:rPr>
                <w:spacing w:val="-2"/>
                <w:sz w:val="20"/>
              </w:rPr>
              <w:t>C50.9</w:t>
            </w:r>
          </w:p>
        </w:tc>
        <w:tc>
          <w:tcPr>
            <w:tcW w:w="3272" w:type="dxa"/>
          </w:tcPr>
          <w:p>
            <w:pPr>
              <w:pStyle w:val="TableParagraph"/>
              <w:spacing w:line="249" w:lineRule="auto"/>
              <w:ind w:left="140" w:right="164"/>
              <w:rPr>
                <w:sz w:val="20"/>
              </w:rPr>
            </w:pPr>
            <w:r>
              <w:rPr>
                <w:sz w:val="20"/>
              </w:rPr>
              <w:t>злокачественные</w:t>
            </w:r>
            <w:r>
              <w:rPr>
                <w:spacing w:val="-13"/>
                <w:sz w:val="20"/>
              </w:rPr>
              <w:t> </w:t>
            </w:r>
            <w:r>
              <w:rPr>
                <w:sz w:val="20"/>
              </w:rPr>
              <w:t>новообразования молочной железы (0 - IV стадия)</w:t>
            </w:r>
          </w:p>
        </w:tc>
        <w:tc>
          <w:tcPr>
            <w:tcW w:w="1540" w:type="dxa"/>
          </w:tcPr>
          <w:p>
            <w:pPr>
              <w:pStyle w:val="TableParagraph"/>
              <w:spacing w:line="249" w:lineRule="auto"/>
              <w:ind w:left="175"/>
              <w:rPr>
                <w:sz w:val="20"/>
              </w:rPr>
            </w:pPr>
            <w:r>
              <w:rPr>
                <w:spacing w:val="-2"/>
                <w:sz w:val="20"/>
              </w:rPr>
              <w:t>хирургическое лечение</w:t>
            </w:r>
          </w:p>
        </w:tc>
        <w:tc>
          <w:tcPr>
            <w:tcW w:w="3725" w:type="dxa"/>
          </w:tcPr>
          <w:p>
            <w:pPr>
              <w:pStyle w:val="TableParagraph"/>
              <w:spacing w:line="249" w:lineRule="auto"/>
              <w:ind w:left="110" w:right="345"/>
              <w:rPr>
                <w:sz w:val="20"/>
              </w:rPr>
            </w:pPr>
            <w:r>
              <w:rPr>
                <w:sz w:val="20"/>
              </w:rPr>
              <w:t>радикальная</w:t>
            </w:r>
            <w:r>
              <w:rPr>
                <w:spacing w:val="-13"/>
                <w:sz w:val="20"/>
              </w:rPr>
              <w:t> </w:t>
            </w:r>
            <w:r>
              <w:rPr>
                <w:sz w:val="20"/>
              </w:rPr>
              <w:t>мастэктомия</w:t>
            </w:r>
            <w:r>
              <w:rPr>
                <w:spacing w:val="-12"/>
                <w:sz w:val="20"/>
              </w:rPr>
              <w:t> </w:t>
            </w:r>
            <w:r>
              <w:rPr>
                <w:sz w:val="20"/>
              </w:rPr>
              <w:t>с</w:t>
            </w:r>
            <w:r>
              <w:rPr>
                <w:spacing w:val="-13"/>
                <w:sz w:val="20"/>
              </w:rPr>
              <w:t> </w:t>
            </w:r>
            <w:r>
              <w:rPr>
                <w:sz w:val="20"/>
              </w:rPr>
              <w:t>пластикой </w:t>
            </w:r>
            <w:r>
              <w:rPr>
                <w:spacing w:val="-2"/>
                <w:sz w:val="20"/>
              </w:rPr>
              <w:t>подмышечно-подключично- </w:t>
            </w:r>
            <w:r>
              <w:rPr>
                <w:sz w:val="20"/>
              </w:rPr>
              <w:t>подлопаточной</w:t>
            </w:r>
            <w:r>
              <w:rPr>
                <w:spacing w:val="-12"/>
                <w:sz w:val="20"/>
              </w:rPr>
              <w:t> </w:t>
            </w:r>
            <w:r>
              <w:rPr>
                <w:sz w:val="20"/>
              </w:rPr>
              <w:t>области</w:t>
            </w:r>
            <w:r>
              <w:rPr>
                <w:spacing w:val="-12"/>
                <w:sz w:val="20"/>
              </w:rPr>
              <w:t> </w:t>
            </w:r>
            <w:r>
              <w:rPr>
                <w:sz w:val="20"/>
              </w:rPr>
              <w:t>композитным мышечным трансплантатом</w:t>
            </w:r>
          </w:p>
        </w:tc>
      </w:tr>
      <w:tr>
        <w:trPr>
          <w:trHeight w:val="132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9" w:lineRule="auto" w:before="60"/>
              <w:ind w:left="110" w:right="212"/>
              <w:rPr>
                <w:sz w:val="20"/>
              </w:rPr>
            </w:pPr>
            <w:r>
              <w:rPr>
                <w:sz w:val="20"/>
              </w:rPr>
              <w:t>радикальная мастэктомия с перевязкой лимфатических сосудов подмышечно- подключично-подлопаточной</w:t>
            </w:r>
            <w:r>
              <w:rPr>
                <w:spacing w:val="-13"/>
                <w:sz w:val="20"/>
              </w:rPr>
              <w:t> </w:t>
            </w:r>
            <w:r>
              <w:rPr>
                <w:sz w:val="20"/>
              </w:rPr>
              <w:t>области</w:t>
            </w:r>
            <w:r>
              <w:rPr>
                <w:spacing w:val="-12"/>
                <w:sz w:val="20"/>
              </w:rPr>
              <w:t> </w:t>
            </w:r>
            <w:r>
              <w:rPr>
                <w:sz w:val="20"/>
              </w:rPr>
              <w:t>с использованием микрохирургической </w:t>
            </w:r>
            <w:r>
              <w:rPr>
                <w:spacing w:val="-2"/>
                <w:sz w:val="20"/>
              </w:rPr>
              <w:t>техники</w:t>
            </w:r>
          </w:p>
        </w:tc>
      </w:tr>
      <w:tr>
        <w:trPr>
          <w:trHeight w:val="108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9" w:lineRule="auto" w:before="60"/>
              <w:ind w:left="110" w:right="345"/>
              <w:rPr>
                <w:sz w:val="20"/>
              </w:rPr>
            </w:pPr>
            <w:r>
              <w:rPr>
                <w:sz w:val="20"/>
              </w:rPr>
              <w:t>радикальная</w:t>
            </w:r>
            <w:r>
              <w:rPr>
                <w:spacing w:val="-13"/>
                <w:sz w:val="20"/>
              </w:rPr>
              <w:t> </w:t>
            </w:r>
            <w:r>
              <w:rPr>
                <w:sz w:val="20"/>
              </w:rPr>
              <w:t>мастэктомия</w:t>
            </w:r>
            <w:r>
              <w:rPr>
                <w:spacing w:val="-12"/>
                <w:sz w:val="20"/>
              </w:rPr>
              <w:t> </w:t>
            </w:r>
            <w:r>
              <w:rPr>
                <w:sz w:val="20"/>
              </w:rPr>
              <w:t>с</w:t>
            </w:r>
            <w:r>
              <w:rPr>
                <w:spacing w:val="-13"/>
                <w:sz w:val="20"/>
              </w:rPr>
              <w:t> </w:t>
            </w:r>
            <w:r>
              <w:rPr>
                <w:sz w:val="20"/>
              </w:rPr>
              <w:t>пластикой кожно-мышечным лоскутом прямой мышцы живота и использованием микрохирургической техники</w:t>
            </w:r>
          </w:p>
        </w:tc>
      </w:tr>
      <w:tr>
        <w:trPr>
          <w:trHeight w:val="156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before="60"/>
              <w:ind w:left="110"/>
              <w:rPr>
                <w:sz w:val="20"/>
              </w:rPr>
            </w:pPr>
            <w:r>
              <w:rPr>
                <w:spacing w:val="-2"/>
                <w:sz w:val="20"/>
              </w:rPr>
              <w:t>подкожная</w:t>
            </w:r>
            <w:r>
              <w:rPr>
                <w:spacing w:val="4"/>
                <w:sz w:val="20"/>
              </w:rPr>
              <w:t> </w:t>
            </w:r>
            <w:r>
              <w:rPr>
                <w:spacing w:val="-2"/>
                <w:sz w:val="20"/>
              </w:rPr>
              <w:t>мастэктомия</w:t>
            </w:r>
          </w:p>
          <w:p>
            <w:pPr>
              <w:pStyle w:val="TableParagraph"/>
              <w:spacing w:line="249" w:lineRule="auto" w:before="10"/>
              <w:ind w:left="110"/>
              <w:rPr>
                <w:sz w:val="20"/>
              </w:rPr>
            </w:pPr>
            <w:r>
              <w:rPr>
                <w:sz w:val="20"/>
              </w:rPr>
              <w:t>(или субтотальная радикальная резекция молочной железы) с одномоментной маммопластикой широчайшей мышцей спины</w:t>
            </w:r>
            <w:r>
              <w:rPr>
                <w:spacing w:val="-9"/>
                <w:sz w:val="20"/>
              </w:rPr>
              <w:t> </w:t>
            </w:r>
            <w:r>
              <w:rPr>
                <w:sz w:val="20"/>
              </w:rPr>
              <w:t>или</w:t>
            </w:r>
            <w:r>
              <w:rPr>
                <w:spacing w:val="-9"/>
                <w:sz w:val="20"/>
              </w:rPr>
              <w:t> </w:t>
            </w:r>
            <w:r>
              <w:rPr>
                <w:sz w:val="20"/>
              </w:rPr>
              <w:t>широчайшей</w:t>
            </w:r>
            <w:r>
              <w:rPr>
                <w:spacing w:val="-9"/>
                <w:sz w:val="20"/>
              </w:rPr>
              <w:t> </w:t>
            </w:r>
            <w:r>
              <w:rPr>
                <w:sz w:val="20"/>
              </w:rPr>
              <w:t>мышцей</w:t>
            </w:r>
            <w:r>
              <w:rPr>
                <w:spacing w:val="-9"/>
                <w:sz w:val="20"/>
              </w:rPr>
              <w:t> </w:t>
            </w:r>
            <w:r>
              <w:rPr>
                <w:sz w:val="20"/>
              </w:rPr>
              <w:t>спины</w:t>
            </w:r>
            <w:r>
              <w:rPr>
                <w:spacing w:val="-9"/>
                <w:sz w:val="20"/>
              </w:rPr>
              <w:t> </w:t>
            </w:r>
            <w:r>
              <w:rPr>
                <w:sz w:val="20"/>
              </w:rPr>
              <w:t>в комбинации с эндопротезом</w:t>
            </w:r>
          </w:p>
        </w:tc>
      </w:tr>
      <w:tr>
        <w:trPr>
          <w:trHeight w:val="156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9" w:lineRule="auto" w:before="60"/>
              <w:ind w:left="110" w:right="76"/>
              <w:rPr>
                <w:sz w:val="20"/>
              </w:rPr>
            </w:pPr>
            <w:r>
              <w:rPr>
                <w:sz w:val="20"/>
              </w:rPr>
              <w:t>подкожная мастэктомия (или субтотальная радикальная резекция молочной железы) с одномоментной маммопластикой широчайшей мышцей спины</w:t>
            </w:r>
            <w:r>
              <w:rPr>
                <w:spacing w:val="-8"/>
                <w:sz w:val="20"/>
              </w:rPr>
              <w:t> </w:t>
            </w:r>
            <w:r>
              <w:rPr>
                <w:sz w:val="20"/>
              </w:rPr>
              <w:t>и</w:t>
            </w:r>
            <w:r>
              <w:rPr>
                <w:spacing w:val="-9"/>
                <w:sz w:val="20"/>
              </w:rPr>
              <w:t> </w:t>
            </w:r>
            <w:r>
              <w:rPr>
                <w:sz w:val="20"/>
              </w:rPr>
              <w:t>(или)</w:t>
            </w:r>
            <w:r>
              <w:rPr>
                <w:spacing w:val="-8"/>
                <w:sz w:val="20"/>
              </w:rPr>
              <w:t> </w:t>
            </w:r>
            <w:r>
              <w:rPr>
                <w:sz w:val="20"/>
              </w:rPr>
              <w:t>большой</w:t>
            </w:r>
            <w:r>
              <w:rPr>
                <w:spacing w:val="-9"/>
                <w:sz w:val="20"/>
              </w:rPr>
              <w:t> </w:t>
            </w:r>
            <w:r>
              <w:rPr>
                <w:sz w:val="20"/>
              </w:rPr>
              <w:t>грудной</w:t>
            </w:r>
            <w:r>
              <w:rPr>
                <w:spacing w:val="-9"/>
                <w:sz w:val="20"/>
              </w:rPr>
              <w:t> </w:t>
            </w:r>
            <w:r>
              <w:rPr>
                <w:sz w:val="20"/>
              </w:rPr>
              <w:t>мышцей в комбинации с эндопротезом</w:t>
            </w:r>
          </w:p>
        </w:tc>
      </w:tr>
      <w:tr>
        <w:trPr>
          <w:trHeight w:val="125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0" w:lineRule="atLeast" w:before="30"/>
              <w:ind w:left="110" w:right="76"/>
              <w:rPr>
                <w:sz w:val="20"/>
              </w:rPr>
            </w:pPr>
            <w:r>
              <w:rPr>
                <w:sz w:val="20"/>
              </w:rPr>
              <w:t>подкожная мастэктомия (или субтотальная радикальная резекция молочной железы) с одномоментной маммопластикой кожно-мышечным лоскутом</w:t>
            </w:r>
            <w:r>
              <w:rPr>
                <w:spacing w:val="-10"/>
                <w:sz w:val="20"/>
              </w:rPr>
              <w:t> </w:t>
            </w:r>
            <w:r>
              <w:rPr>
                <w:sz w:val="20"/>
              </w:rPr>
              <w:t>прямой</w:t>
            </w:r>
            <w:r>
              <w:rPr>
                <w:spacing w:val="-11"/>
                <w:sz w:val="20"/>
              </w:rPr>
              <w:t> </w:t>
            </w:r>
            <w:r>
              <w:rPr>
                <w:sz w:val="20"/>
              </w:rPr>
              <w:t>мышцы</w:t>
            </w:r>
            <w:r>
              <w:rPr>
                <w:spacing w:val="-11"/>
                <w:sz w:val="20"/>
              </w:rPr>
              <w:t> </w:t>
            </w:r>
            <w:r>
              <w:rPr>
                <w:sz w:val="20"/>
              </w:rPr>
              <w:t>живота</w:t>
            </w:r>
            <w:r>
              <w:rPr>
                <w:spacing w:val="-11"/>
                <w:sz w:val="20"/>
              </w:rPr>
              <w:t> </w:t>
            </w:r>
            <w:r>
              <w:rPr>
                <w:sz w:val="20"/>
              </w:rPr>
              <w:t>или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13"/>
        <w:gridCol w:w="1541"/>
        <w:gridCol w:w="3722"/>
      </w:tblGrid>
      <w:tr>
        <w:trPr>
          <w:trHeight w:val="101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ind w:left="108" w:right="33"/>
              <w:rPr>
                <w:sz w:val="20"/>
              </w:rPr>
            </w:pPr>
            <w:r>
              <w:rPr>
                <w:sz w:val="20"/>
              </w:rPr>
              <w:t>кожно-мышечным лоскутом прямой мышцы живота в комбинации с эндопротезом,</w:t>
            </w:r>
            <w:r>
              <w:rPr>
                <w:spacing w:val="-8"/>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w:t>
            </w:r>
            <w:r>
              <w:rPr>
                <w:spacing w:val="-6"/>
                <w:sz w:val="20"/>
              </w:rPr>
              <w:t> </w:t>
            </w:r>
            <w:r>
              <w:rPr>
                <w:sz w:val="20"/>
              </w:rPr>
              <w:t>примене- нием микрохирургической техники</w:t>
            </w:r>
          </w:p>
        </w:tc>
      </w:tr>
      <w:tr>
        <w:trPr>
          <w:trHeight w:val="156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радикальная расширенная модифицированная мастэктомия с закрытием дефекта кожно-мышечным лоскутом</w:t>
            </w:r>
            <w:r>
              <w:rPr>
                <w:spacing w:val="-8"/>
                <w:sz w:val="20"/>
              </w:rPr>
              <w:t> </w:t>
            </w:r>
            <w:r>
              <w:rPr>
                <w:sz w:val="20"/>
              </w:rPr>
              <w:t>прямой</w:t>
            </w:r>
            <w:r>
              <w:rPr>
                <w:spacing w:val="-10"/>
                <w:sz w:val="20"/>
              </w:rPr>
              <w:t> </w:t>
            </w:r>
            <w:r>
              <w:rPr>
                <w:sz w:val="20"/>
              </w:rPr>
              <w:t>мышцы</w:t>
            </w:r>
            <w:r>
              <w:rPr>
                <w:spacing w:val="-9"/>
                <w:sz w:val="20"/>
              </w:rPr>
              <w:t> </w:t>
            </w:r>
            <w:r>
              <w:rPr>
                <w:sz w:val="20"/>
              </w:rPr>
              <w:t>живота,</w:t>
            </w:r>
            <w:r>
              <w:rPr>
                <w:spacing w:val="-8"/>
                <w:sz w:val="20"/>
              </w:rPr>
              <w:t> </w:t>
            </w:r>
            <w:r>
              <w:rPr>
                <w:sz w:val="20"/>
              </w:rPr>
              <w:t>в</w:t>
            </w:r>
            <w:r>
              <w:rPr>
                <w:spacing w:val="-10"/>
                <w:sz w:val="20"/>
              </w:rPr>
              <w:t> </w:t>
            </w:r>
            <w:r>
              <w:rPr>
                <w:sz w:val="20"/>
              </w:rPr>
              <w:t>том числе с применением микрохирургической техники</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подкожная радикальная мастэктомия с одномоментной</w:t>
            </w:r>
            <w:r>
              <w:rPr>
                <w:spacing w:val="-13"/>
                <w:sz w:val="20"/>
              </w:rPr>
              <w:t> </w:t>
            </w:r>
            <w:r>
              <w:rPr>
                <w:sz w:val="20"/>
              </w:rPr>
              <w:t>пластикой</w:t>
            </w:r>
            <w:r>
              <w:rPr>
                <w:spacing w:val="-12"/>
                <w:sz w:val="20"/>
              </w:rPr>
              <w:t> </w:t>
            </w:r>
            <w:r>
              <w:rPr>
                <w:sz w:val="20"/>
              </w:rPr>
              <w:t>эндопротезом и сетчатым имплантатом</w:t>
            </w:r>
          </w:p>
        </w:tc>
      </w:tr>
      <w:tr>
        <w:trPr>
          <w:trHeight w:val="132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мастэктомия</w:t>
            </w:r>
            <w:r>
              <w:rPr>
                <w:spacing w:val="-13"/>
                <w:sz w:val="20"/>
              </w:rPr>
              <w:t> </w:t>
            </w:r>
            <w:r>
              <w:rPr>
                <w:sz w:val="20"/>
              </w:rPr>
              <w:t>радикальная</w:t>
            </w:r>
            <w:r>
              <w:rPr>
                <w:spacing w:val="-12"/>
                <w:sz w:val="20"/>
              </w:rPr>
              <w:t> </w:t>
            </w:r>
            <w:r>
              <w:rPr>
                <w:sz w:val="20"/>
              </w:rPr>
              <w:t>расширенная модифицированная с пластическим закрытием дефекта грудной стенки различными вариантами кожно- мышечных лоскутов</w:t>
            </w:r>
          </w:p>
        </w:tc>
      </w:tr>
      <w:tr>
        <w:trPr>
          <w:trHeight w:val="840" w:hRule="atLeast"/>
        </w:trPr>
        <w:tc>
          <w:tcPr>
            <w:tcW w:w="863" w:type="dxa"/>
          </w:tcPr>
          <w:p>
            <w:pPr>
              <w:pStyle w:val="TableParagraph"/>
              <w:spacing w:before="60"/>
              <w:ind w:left="50"/>
              <w:rPr>
                <w:sz w:val="20"/>
              </w:rPr>
            </w:pPr>
            <w:r>
              <w:rPr>
                <w:spacing w:val="-5"/>
                <w:sz w:val="20"/>
              </w:rPr>
              <w:t>C51</w:t>
            </w: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вульвы (I - III стадия)</w:t>
            </w:r>
          </w:p>
        </w:tc>
        <w:tc>
          <w:tcPr>
            <w:tcW w:w="1541" w:type="dxa"/>
          </w:tcPr>
          <w:p>
            <w:pPr>
              <w:pStyle w:val="TableParagraph"/>
              <w:spacing w:line="249" w:lineRule="auto" w:before="60"/>
              <w:ind w:left="175"/>
              <w:rPr>
                <w:sz w:val="20"/>
              </w:rPr>
            </w:pPr>
            <w:r>
              <w:rPr>
                <w:spacing w:val="-2"/>
                <w:sz w:val="20"/>
              </w:rPr>
              <w:t>хирургическое лечение</w:t>
            </w:r>
          </w:p>
        </w:tc>
        <w:tc>
          <w:tcPr>
            <w:tcW w:w="3722" w:type="dxa"/>
          </w:tcPr>
          <w:p>
            <w:pPr>
              <w:pStyle w:val="TableParagraph"/>
              <w:spacing w:line="249" w:lineRule="auto" w:before="60"/>
              <w:ind w:left="108" w:right="898"/>
              <w:rPr>
                <w:sz w:val="20"/>
              </w:rPr>
            </w:pPr>
            <w:r>
              <w:rPr>
                <w:sz w:val="20"/>
              </w:rPr>
              <w:t>расширенная вульвэктомия с </w:t>
            </w:r>
            <w:r>
              <w:rPr>
                <w:spacing w:val="-2"/>
                <w:sz w:val="20"/>
              </w:rPr>
              <w:t>реконструктивно-пластическим компонентом</w:t>
            </w:r>
          </w:p>
        </w:tc>
      </w:tr>
      <w:tr>
        <w:trPr>
          <w:trHeight w:val="108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вульвэктомия с двусторонней расширенной подвздошно-паховой лимфаденэктомией</w:t>
            </w:r>
            <w:r>
              <w:rPr>
                <w:spacing w:val="-13"/>
                <w:sz w:val="20"/>
              </w:rPr>
              <w:t> </w:t>
            </w:r>
            <w:r>
              <w:rPr>
                <w:sz w:val="20"/>
              </w:rPr>
              <w:t>и</w:t>
            </w:r>
            <w:r>
              <w:rPr>
                <w:spacing w:val="-12"/>
                <w:sz w:val="20"/>
              </w:rPr>
              <w:t> </w:t>
            </w:r>
            <w:r>
              <w:rPr>
                <w:sz w:val="20"/>
              </w:rPr>
              <w:t>интраоперационной фотодинамической терапией</w:t>
            </w:r>
          </w:p>
        </w:tc>
      </w:tr>
      <w:tr>
        <w:trPr>
          <w:trHeight w:val="77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0" w:lineRule="atLeast" w:before="30"/>
              <w:ind w:left="108" w:right="33"/>
              <w:rPr>
                <w:sz w:val="20"/>
              </w:rPr>
            </w:pPr>
            <w:r>
              <w:rPr>
                <w:sz w:val="20"/>
              </w:rPr>
              <w:t>вульвэктомия с определением сторожевых</w:t>
            </w:r>
            <w:r>
              <w:rPr>
                <w:spacing w:val="-13"/>
                <w:sz w:val="20"/>
              </w:rPr>
              <w:t> </w:t>
            </w:r>
            <w:r>
              <w:rPr>
                <w:sz w:val="20"/>
              </w:rPr>
              <w:t>лимфоузлов</w:t>
            </w:r>
            <w:r>
              <w:rPr>
                <w:spacing w:val="-12"/>
                <w:sz w:val="20"/>
              </w:rPr>
              <w:t> </w:t>
            </w:r>
            <w:r>
              <w:rPr>
                <w:sz w:val="20"/>
              </w:rPr>
              <w:t>и</w:t>
            </w:r>
            <w:r>
              <w:rPr>
                <w:spacing w:val="-13"/>
                <w:sz w:val="20"/>
              </w:rPr>
              <w:t> </w:t>
            </w:r>
            <w:r>
              <w:rPr>
                <w:sz w:val="20"/>
              </w:rPr>
              <w:t>расширенной </w:t>
            </w:r>
            <w:r>
              <w:rPr>
                <w:spacing w:val="-2"/>
                <w:sz w:val="20"/>
              </w:rPr>
              <w:t>лимфаденэктомией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13"/>
        <w:gridCol w:w="1541"/>
        <w:gridCol w:w="3707"/>
      </w:tblGrid>
      <w:tr>
        <w:trPr>
          <w:trHeight w:val="53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ind w:left="108" w:right="91"/>
              <w:rPr>
                <w:sz w:val="20"/>
              </w:rPr>
            </w:pPr>
            <w:r>
              <w:rPr>
                <w:sz w:val="20"/>
              </w:rPr>
              <w:t>вульвэктомия с двусторонней подвздошно-паховой</w:t>
            </w:r>
            <w:r>
              <w:rPr>
                <w:spacing w:val="-13"/>
                <w:sz w:val="20"/>
              </w:rPr>
              <w:t> </w:t>
            </w:r>
            <w:r>
              <w:rPr>
                <w:sz w:val="20"/>
              </w:rPr>
              <w:t>лимфаденэктомией</w:t>
            </w:r>
          </w:p>
        </w:tc>
      </w:tr>
      <w:tr>
        <w:trPr>
          <w:trHeight w:val="840" w:hRule="atLeast"/>
        </w:trPr>
        <w:tc>
          <w:tcPr>
            <w:tcW w:w="863" w:type="dxa"/>
          </w:tcPr>
          <w:p>
            <w:pPr>
              <w:pStyle w:val="TableParagraph"/>
              <w:spacing w:before="60"/>
              <w:ind w:left="50"/>
              <w:rPr>
                <w:sz w:val="20"/>
              </w:rPr>
            </w:pPr>
            <w:r>
              <w:rPr>
                <w:spacing w:val="-5"/>
                <w:sz w:val="20"/>
              </w:rPr>
              <w:t>C52</w:t>
            </w:r>
          </w:p>
        </w:tc>
        <w:tc>
          <w:tcPr>
            <w:tcW w:w="3613" w:type="dxa"/>
          </w:tcPr>
          <w:p>
            <w:pPr>
              <w:pStyle w:val="TableParagraph"/>
              <w:spacing w:line="252" w:lineRule="auto" w:before="60"/>
              <w:ind w:left="480" w:right="165"/>
              <w:rPr>
                <w:sz w:val="20"/>
              </w:rPr>
            </w:pPr>
            <w:r>
              <w:rPr>
                <w:sz w:val="20"/>
              </w:rPr>
              <w:t>злокачественные</w:t>
            </w:r>
            <w:r>
              <w:rPr>
                <w:spacing w:val="-13"/>
                <w:sz w:val="20"/>
              </w:rPr>
              <w:t> </w:t>
            </w:r>
            <w:r>
              <w:rPr>
                <w:sz w:val="20"/>
              </w:rPr>
              <w:t>новообразования влагалища (II - III стадия)</w:t>
            </w:r>
          </w:p>
        </w:tc>
        <w:tc>
          <w:tcPr>
            <w:tcW w:w="1541" w:type="dxa"/>
          </w:tcPr>
          <w:p>
            <w:pPr>
              <w:pStyle w:val="TableParagraph"/>
              <w:spacing w:line="252" w:lineRule="auto" w:before="60"/>
              <w:ind w:left="175"/>
              <w:rPr>
                <w:sz w:val="20"/>
              </w:rPr>
            </w:pPr>
            <w:r>
              <w:rPr>
                <w:spacing w:val="-2"/>
                <w:sz w:val="20"/>
              </w:rPr>
              <w:t>хирургическое лечение</w:t>
            </w:r>
          </w:p>
        </w:tc>
        <w:tc>
          <w:tcPr>
            <w:tcW w:w="3707" w:type="dxa"/>
          </w:tcPr>
          <w:p>
            <w:pPr>
              <w:pStyle w:val="TableParagraph"/>
              <w:spacing w:line="249" w:lineRule="auto" w:before="60"/>
              <w:ind w:left="108" w:right="883"/>
              <w:rPr>
                <w:sz w:val="20"/>
              </w:rPr>
            </w:pPr>
            <w:r>
              <w:rPr>
                <w:sz w:val="20"/>
              </w:rPr>
              <w:t>удаление опухоли влагалища с </w:t>
            </w:r>
            <w:r>
              <w:rPr>
                <w:spacing w:val="-2"/>
                <w:sz w:val="20"/>
              </w:rPr>
              <w:t>реконструктивно-пластическим компонентом</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Pr>
                <w:sz w:val="20"/>
              </w:rPr>
            </w:pPr>
            <w:r>
              <w:rPr>
                <w:sz w:val="20"/>
              </w:rPr>
              <w:t>удаление</w:t>
            </w:r>
            <w:r>
              <w:rPr>
                <w:spacing w:val="-10"/>
                <w:sz w:val="20"/>
              </w:rPr>
              <w:t> </w:t>
            </w:r>
            <w:r>
              <w:rPr>
                <w:sz w:val="20"/>
              </w:rPr>
              <w:t>опухоли</w:t>
            </w:r>
            <w:r>
              <w:rPr>
                <w:spacing w:val="-11"/>
                <w:sz w:val="20"/>
              </w:rPr>
              <w:t> </w:t>
            </w:r>
            <w:r>
              <w:rPr>
                <w:sz w:val="20"/>
              </w:rPr>
              <w:t>влагалища</w:t>
            </w:r>
            <w:r>
              <w:rPr>
                <w:spacing w:val="-10"/>
                <w:sz w:val="20"/>
              </w:rPr>
              <w:t> </w:t>
            </w:r>
            <w:r>
              <w:rPr>
                <w:sz w:val="20"/>
              </w:rPr>
              <w:t>с</w:t>
            </w:r>
            <w:r>
              <w:rPr>
                <w:spacing w:val="-10"/>
                <w:sz w:val="20"/>
              </w:rPr>
              <w:t> </w:t>
            </w:r>
            <w:r>
              <w:rPr>
                <w:sz w:val="20"/>
              </w:rPr>
              <w:t>резекцией смежных органов, пахово-бедренной </w:t>
            </w:r>
            <w:r>
              <w:rPr>
                <w:spacing w:val="-2"/>
                <w:sz w:val="20"/>
              </w:rPr>
              <w:t>лимфаденэктомией</w:t>
            </w:r>
          </w:p>
        </w:tc>
      </w:tr>
      <w:tr>
        <w:trPr>
          <w:trHeight w:val="600" w:hRule="atLeast"/>
        </w:trPr>
        <w:tc>
          <w:tcPr>
            <w:tcW w:w="863" w:type="dxa"/>
          </w:tcPr>
          <w:p>
            <w:pPr>
              <w:pStyle w:val="TableParagraph"/>
              <w:spacing w:before="60"/>
              <w:ind w:left="50"/>
              <w:rPr>
                <w:sz w:val="20"/>
              </w:rPr>
            </w:pPr>
            <w:r>
              <w:rPr>
                <w:spacing w:val="-5"/>
                <w:sz w:val="20"/>
              </w:rPr>
              <w:t>C53</w:t>
            </w: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w:t>
            </w:r>
          </w:p>
        </w:tc>
        <w:tc>
          <w:tcPr>
            <w:tcW w:w="1541" w:type="dxa"/>
          </w:tcPr>
          <w:p>
            <w:pPr>
              <w:pStyle w:val="TableParagraph"/>
              <w:spacing w:line="249" w:lineRule="auto" w:before="60"/>
              <w:ind w:left="175"/>
              <w:rPr>
                <w:sz w:val="20"/>
              </w:rPr>
            </w:pPr>
            <w:r>
              <w:rPr>
                <w:spacing w:val="-2"/>
                <w:sz w:val="20"/>
              </w:rPr>
              <w:t>хирургическое лечение</w:t>
            </w:r>
          </w:p>
        </w:tc>
        <w:tc>
          <w:tcPr>
            <w:tcW w:w="3707" w:type="dxa"/>
          </w:tcPr>
          <w:p>
            <w:pPr>
              <w:pStyle w:val="TableParagraph"/>
              <w:spacing w:line="249" w:lineRule="auto" w:before="60"/>
              <w:ind w:left="108" w:right="1179"/>
              <w:rPr>
                <w:sz w:val="20"/>
              </w:rPr>
            </w:pPr>
            <w:r>
              <w:rPr>
                <w:sz w:val="20"/>
              </w:rPr>
              <w:t>радикальная</w:t>
            </w:r>
            <w:r>
              <w:rPr>
                <w:spacing w:val="-13"/>
                <w:sz w:val="20"/>
              </w:rPr>
              <w:t> </w:t>
            </w:r>
            <w:r>
              <w:rPr>
                <w:sz w:val="20"/>
              </w:rPr>
              <w:t>абдоминальная </w:t>
            </w:r>
            <w:r>
              <w:rPr>
                <w:spacing w:val="-2"/>
                <w:sz w:val="20"/>
              </w:rPr>
              <w:t>трахелэктомия</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50"/>
              <w:rPr>
                <w:sz w:val="20"/>
              </w:rPr>
            </w:pPr>
            <w:r>
              <w:rPr>
                <w:sz w:val="20"/>
              </w:rPr>
              <w:t>радикальная</w:t>
            </w:r>
            <w:r>
              <w:rPr>
                <w:spacing w:val="-13"/>
                <w:sz w:val="20"/>
              </w:rPr>
              <w:t> </w:t>
            </w:r>
            <w:r>
              <w:rPr>
                <w:sz w:val="20"/>
              </w:rPr>
              <w:t>влагалищная</w:t>
            </w:r>
            <w:r>
              <w:rPr>
                <w:spacing w:val="-12"/>
                <w:sz w:val="20"/>
              </w:rPr>
              <w:t> </w:t>
            </w:r>
            <w:r>
              <w:rPr>
                <w:sz w:val="20"/>
              </w:rPr>
              <w:t>трахелэктомия с видеоэндоскопической тазовой </w:t>
            </w:r>
            <w:r>
              <w:rPr>
                <w:spacing w:val="-2"/>
                <w:sz w:val="20"/>
              </w:rPr>
              <w:t>лимфаденэктомией</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488"/>
              <w:rPr>
                <w:sz w:val="20"/>
              </w:rPr>
            </w:pPr>
            <w:r>
              <w:rPr>
                <w:sz w:val="20"/>
              </w:rPr>
              <w:t>расширенная экстирпация матки с парааортальной</w:t>
            </w:r>
            <w:r>
              <w:rPr>
                <w:spacing w:val="-13"/>
                <w:sz w:val="20"/>
              </w:rPr>
              <w:t> </w:t>
            </w:r>
            <w:r>
              <w:rPr>
                <w:sz w:val="20"/>
              </w:rPr>
              <w:t>лимфаденэктомией, резекцией смежных органов</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94"/>
              <w:rPr>
                <w:sz w:val="20"/>
              </w:rPr>
            </w:pPr>
            <w:r>
              <w:rPr>
                <w:sz w:val="20"/>
              </w:rPr>
              <w:t>нервосберегающая расширенная экстирпация</w:t>
            </w:r>
            <w:r>
              <w:rPr>
                <w:spacing w:val="-11"/>
                <w:sz w:val="20"/>
              </w:rPr>
              <w:t> </w:t>
            </w:r>
            <w:r>
              <w:rPr>
                <w:sz w:val="20"/>
              </w:rPr>
              <w:t>матки</w:t>
            </w:r>
            <w:r>
              <w:rPr>
                <w:spacing w:val="-11"/>
                <w:sz w:val="20"/>
              </w:rPr>
              <w:t> </w:t>
            </w:r>
            <w:r>
              <w:rPr>
                <w:sz w:val="20"/>
              </w:rPr>
              <w:t>с</w:t>
            </w:r>
            <w:r>
              <w:rPr>
                <w:spacing w:val="-11"/>
                <w:sz w:val="20"/>
              </w:rPr>
              <w:t> </w:t>
            </w:r>
            <w:r>
              <w:rPr>
                <w:sz w:val="20"/>
              </w:rPr>
              <w:t>придатками</w:t>
            </w:r>
            <w:r>
              <w:rPr>
                <w:spacing w:val="-11"/>
                <w:sz w:val="20"/>
              </w:rPr>
              <w:t> </w:t>
            </w:r>
            <w:r>
              <w:rPr>
                <w:sz w:val="20"/>
              </w:rPr>
              <w:t>и тазовой лимфаденэктомией</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94"/>
              <w:rPr>
                <w:sz w:val="20"/>
              </w:rPr>
            </w:pPr>
            <w:r>
              <w:rPr>
                <w:sz w:val="20"/>
              </w:rPr>
              <w:t>нервосберегающая расширенная экстирпация матки с транспозицией яичников</w:t>
            </w:r>
            <w:r>
              <w:rPr>
                <w:spacing w:val="-13"/>
                <w:sz w:val="20"/>
              </w:rPr>
              <w:t> </w:t>
            </w:r>
            <w:r>
              <w:rPr>
                <w:sz w:val="20"/>
              </w:rPr>
              <w:t>и</w:t>
            </w:r>
            <w:r>
              <w:rPr>
                <w:spacing w:val="-12"/>
                <w:sz w:val="20"/>
              </w:rPr>
              <w:t> </w:t>
            </w:r>
            <w:r>
              <w:rPr>
                <w:sz w:val="20"/>
              </w:rPr>
              <w:t>тазовой</w:t>
            </w:r>
            <w:r>
              <w:rPr>
                <w:spacing w:val="-13"/>
                <w:sz w:val="20"/>
              </w:rPr>
              <w:t> </w:t>
            </w:r>
            <w:r>
              <w:rPr>
                <w:sz w:val="20"/>
              </w:rPr>
              <w:t>лимфаденэктомией</w:t>
            </w:r>
          </w:p>
        </w:tc>
      </w:tr>
      <w:tr>
        <w:trPr>
          <w:trHeight w:val="77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0" w:lineRule="atLeast" w:before="30"/>
              <w:ind w:left="108" w:right="94"/>
              <w:rPr>
                <w:sz w:val="20"/>
              </w:rPr>
            </w:pPr>
            <w:r>
              <w:rPr>
                <w:sz w:val="20"/>
              </w:rPr>
              <w:t>расширенная экстирпация матки с придатками</w:t>
            </w:r>
            <w:r>
              <w:rPr>
                <w:spacing w:val="-13"/>
                <w:sz w:val="20"/>
              </w:rPr>
              <w:t> </w:t>
            </w:r>
            <w:r>
              <w:rPr>
                <w:sz w:val="20"/>
              </w:rPr>
              <w:t>после</w:t>
            </w:r>
            <w:r>
              <w:rPr>
                <w:spacing w:val="-12"/>
                <w:sz w:val="20"/>
              </w:rPr>
              <w:t> </w:t>
            </w:r>
            <w:r>
              <w:rPr>
                <w:sz w:val="20"/>
              </w:rPr>
              <w:t>предоперационной лучевой терапии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line="249" w:lineRule="auto" w:before="91"/>
        <w:ind w:left="5793" w:right="92" w:hanging="1294"/>
        <w:jc w:val="left"/>
        <w:rPr>
          <w:sz w:val="20"/>
        </w:rPr>
      </w:pPr>
      <w:r>
        <w:rPr>
          <w:spacing w:val="-4"/>
          <w:sz w:val="20"/>
        </w:rPr>
        <w:t>C54</w:t>
      </w:r>
      <w:r>
        <w:rPr>
          <w:sz w:val="20"/>
        </w:rPr>
        <w:tab/>
        <w:t>злокачественные новообразования тела матки (местнораспространенные</w:t>
      </w:r>
      <w:r>
        <w:rPr>
          <w:spacing w:val="-13"/>
          <w:sz w:val="20"/>
        </w:rPr>
        <w:t> </w:t>
      </w:r>
      <w:r>
        <w:rPr>
          <w:sz w:val="20"/>
        </w:rPr>
        <w:t>формы). Злокачественные</w:t>
      </w:r>
      <w:r>
        <w:rPr>
          <w:spacing w:val="-13"/>
          <w:sz w:val="20"/>
        </w:rPr>
        <w:t> </w:t>
      </w:r>
      <w:r>
        <w:rPr>
          <w:sz w:val="20"/>
        </w:rPr>
        <w:t>новообразования эндометрия IA</w:t>
      </w:r>
    </w:p>
    <w:p>
      <w:pPr>
        <w:spacing w:line="249" w:lineRule="auto" w:before="5"/>
        <w:ind w:left="5793" w:right="0" w:firstLine="0"/>
        <w:jc w:val="left"/>
        <w:rPr>
          <w:sz w:val="20"/>
        </w:rPr>
      </w:pPr>
      <w:r>
        <w:rPr>
          <w:sz w:val="20"/>
        </w:rPr>
        <w:t>III стадии с осложненным соматическим статусом (тяжелая степень</w:t>
      </w:r>
      <w:r>
        <w:rPr>
          <w:spacing w:val="-13"/>
          <w:sz w:val="20"/>
        </w:rPr>
        <w:t> </w:t>
      </w:r>
      <w:r>
        <w:rPr>
          <w:sz w:val="20"/>
        </w:rPr>
        <w:t>ожирения,</w:t>
      </w:r>
      <w:r>
        <w:rPr>
          <w:spacing w:val="-12"/>
          <w:sz w:val="20"/>
        </w:rPr>
        <w:t> </w:t>
      </w:r>
      <w:r>
        <w:rPr>
          <w:sz w:val="20"/>
        </w:rPr>
        <w:t>тяжелая</w:t>
      </w:r>
      <w:r>
        <w:rPr>
          <w:spacing w:val="-13"/>
          <w:sz w:val="20"/>
        </w:rPr>
        <w:t> </w:t>
      </w:r>
      <w:r>
        <w:rPr>
          <w:sz w:val="20"/>
        </w:rPr>
        <w:t>степень сахарного диабета и т.д.)</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792" w:val="left" w:leader="none"/>
        </w:tabs>
        <w:spacing w:line="249" w:lineRule="auto" w:before="178"/>
        <w:ind w:left="5793" w:right="100" w:hanging="1294"/>
        <w:jc w:val="both"/>
        <w:rPr>
          <w:sz w:val="20"/>
        </w:rPr>
      </w:pPr>
      <w:r>
        <w:rPr>
          <w:spacing w:val="-4"/>
          <w:sz w:val="20"/>
        </w:rPr>
        <w:t>C56</w:t>
      </w:r>
      <w:r>
        <w:rPr>
          <w:sz w:val="20"/>
        </w:rPr>
        <w:tab/>
        <w:t>злокачественные</w:t>
      </w:r>
      <w:r>
        <w:rPr>
          <w:spacing w:val="-2"/>
          <w:sz w:val="20"/>
        </w:rPr>
        <w:t> </w:t>
      </w:r>
      <w:r>
        <w:rPr>
          <w:sz w:val="20"/>
        </w:rPr>
        <w:t>новообразования яичников</w:t>
      </w:r>
      <w:r>
        <w:rPr>
          <w:spacing w:val="-10"/>
          <w:sz w:val="20"/>
        </w:rPr>
        <w:t> </w:t>
      </w:r>
      <w:r>
        <w:rPr>
          <w:sz w:val="20"/>
        </w:rPr>
        <w:t>(I</w:t>
      </w:r>
      <w:r>
        <w:rPr>
          <w:spacing w:val="-7"/>
          <w:sz w:val="20"/>
        </w:rPr>
        <w:t> </w:t>
      </w:r>
      <w:r>
        <w:rPr>
          <w:sz w:val="20"/>
        </w:rPr>
        <w:t>-</w:t>
      </w:r>
      <w:r>
        <w:rPr>
          <w:spacing w:val="-10"/>
          <w:sz w:val="20"/>
        </w:rPr>
        <w:t> </w:t>
      </w:r>
      <w:r>
        <w:rPr>
          <w:sz w:val="20"/>
        </w:rPr>
        <w:t>IV</w:t>
      </w:r>
      <w:r>
        <w:rPr>
          <w:spacing w:val="-9"/>
          <w:sz w:val="20"/>
        </w:rPr>
        <w:t> </w:t>
      </w:r>
      <w:r>
        <w:rPr>
          <w:sz w:val="20"/>
        </w:rPr>
        <w:t>стадия).</w:t>
      </w:r>
      <w:r>
        <w:rPr>
          <w:spacing w:val="-8"/>
          <w:sz w:val="20"/>
        </w:rPr>
        <w:t> </w:t>
      </w:r>
      <w:r>
        <w:rPr>
          <w:sz w:val="20"/>
        </w:rPr>
        <w:t>Рецидивы злокачественных</w:t>
      </w:r>
      <w:r>
        <w:rPr>
          <w:spacing w:val="-13"/>
          <w:sz w:val="20"/>
        </w:rPr>
        <w:t> </w:t>
      </w:r>
      <w:r>
        <w:rPr>
          <w:sz w:val="20"/>
        </w:rPr>
        <w:t>новообразований </w:t>
      </w:r>
      <w:r>
        <w:rPr>
          <w:spacing w:val="-2"/>
          <w:sz w:val="20"/>
        </w:rPr>
        <w:t>яичников</w:t>
      </w:r>
    </w:p>
    <w:p>
      <w:pPr>
        <w:pStyle w:val="BodyText"/>
        <w:spacing w:before="7"/>
        <w:rPr>
          <w:sz w:val="31"/>
        </w:rPr>
      </w:pPr>
    </w:p>
    <w:p>
      <w:pPr>
        <w:tabs>
          <w:tab w:pos="5792" w:val="left" w:leader="none"/>
        </w:tabs>
        <w:spacing w:before="0"/>
        <w:ind w:left="3774" w:right="0" w:firstLine="0"/>
        <w:jc w:val="left"/>
        <w:rPr>
          <w:sz w:val="20"/>
        </w:rPr>
      </w:pPr>
      <w:r>
        <w:rPr>
          <w:sz w:val="20"/>
        </w:rPr>
        <w:t>C53,</w:t>
      </w:r>
      <w:r>
        <w:rPr>
          <w:spacing w:val="-3"/>
          <w:sz w:val="20"/>
        </w:rPr>
        <w:t> </w:t>
      </w:r>
      <w:r>
        <w:rPr>
          <w:sz w:val="20"/>
        </w:rPr>
        <w:t>C54,</w:t>
      </w:r>
      <w:r>
        <w:rPr>
          <w:spacing w:val="-3"/>
          <w:sz w:val="20"/>
        </w:rPr>
        <w:t> </w:t>
      </w:r>
      <w:r>
        <w:rPr>
          <w:sz w:val="20"/>
        </w:rPr>
        <w:t>C56,</w:t>
      </w:r>
      <w:r>
        <w:rPr>
          <w:spacing w:val="-3"/>
          <w:sz w:val="20"/>
        </w:rPr>
        <w:t> </w:t>
      </w:r>
      <w:r>
        <w:rPr>
          <w:spacing w:val="-4"/>
          <w:sz w:val="20"/>
        </w:rPr>
        <w:t>C57.8</w:t>
      </w:r>
      <w:r>
        <w:rPr>
          <w:sz w:val="20"/>
        </w:rPr>
        <w:tab/>
        <w:t>рецидивы</w:t>
      </w:r>
      <w:r>
        <w:rPr>
          <w:spacing w:val="-13"/>
          <w:sz w:val="20"/>
        </w:rPr>
        <w:t> </w:t>
      </w:r>
      <w:r>
        <w:rPr>
          <w:spacing w:val="-2"/>
          <w:sz w:val="20"/>
        </w:rPr>
        <w:t>злокачественных</w:t>
      </w:r>
    </w:p>
    <w:p>
      <w:pPr>
        <w:spacing w:line="249" w:lineRule="auto" w:before="10"/>
        <w:ind w:left="5793" w:right="0" w:firstLine="0"/>
        <w:jc w:val="left"/>
        <w:rPr>
          <w:sz w:val="20"/>
        </w:rPr>
      </w:pPr>
      <w:r>
        <w:rPr>
          <w:sz w:val="20"/>
        </w:rPr>
        <w:t>новообразований</w:t>
      </w:r>
      <w:r>
        <w:rPr>
          <w:spacing w:val="-13"/>
          <w:sz w:val="20"/>
        </w:rPr>
        <w:t> </w:t>
      </w:r>
      <w:r>
        <w:rPr>
          <w:sz w:val="20"/>
        </w:rPr>
        <w:t>тела</w:t>
      </w:r>
      <w:r>
        <w:rPr>
          <w:spacing w:val="-12"/>
          <w:sz w:val="20"/>
        </w:rPr>
        <w:t> </w:t>
      </w:r>
      <w:r>
        <w:rPr>
          <w:sz w:val="20"/>
        </w:rPr>
        <w:t>матки,</w:t>
      </w:r>
      <w:r>
        <w:rPr>
          <w:spacing w:val="-13"/>
          <w:sz w:val="20"/>
        </w:rPr>
        <w:t> </w:t>
      </w:r>
      <w:r>
        <w:rPr>
          <w:sz w:val="20"/>
        </w:rPr>
        <w:t>шейки матки и яичников</w:t>
      </w:r>
    </w:p>
    <w:p>
      <w:pPr>
        <w:tabs>
          <w:tab w:pos="5792" w:val="left" w:leader="none"/>
        </w:tabs>
        <w:spacing w:line="252" w:lineRule="auto" w:before="122"/>
        <w:ind w:left="5793" w:right="139" w:hanging="1294"/>
        <w:jc w:val="left"/>
        <w:rPr>
          <w:sz w:val="20"/>
        </w:rPr>
      </w:pPr>
      <w:r>
        <w:rPr>
          <w:spacing w:val="-4"/>
          <w:sz w:val="20"/>
        </w:rPr>
        <w:t>C60</w:t>
      </w:r>
      <w:r>
        <w:rPr>
          <w:sz w:val="20"/>
        </w:rPr>
        <w:tab/>
        <w:t>злокачественные</w:t>
      </w:r>
      <w:r>
        <w:rPr>
          <w:spacing w:val="-13"/>
          <w:sz w:val="20"/>
        </w:rPr>
        <w:t> </w:t>
      </w:r>
      <w:r>
        <w:rPr>
          <w:sz w:val="20"/>
        </w:rPr>
        <w:t>новообразования полового члена (I - IV стадия)</w:t>
      </w:r>
    </w:p>
    <w:p>
      <w:pPr>
        <w:tabs>
          <w:tab w:pos="5792" w:val="left" w:leader="none"/>
        </w:tabs>
        <w:spacing w:line="249" w:lineRule="auto" w:before="117"/>
        <w:ind w:left="5793" w:right="66" w:hanging="1294"/>
        <w:jc w:val="left"/>
        <w:rPr>
          <w:sz w:val="20"/>
        </w:rPr>
      </w:pPr>
      <w:r>
        <w:rPr>
          <w:spacing w:val="-4"/>
          <w:sz w:val="20"/>
        </w:rPr>
        <w:t>C61</w:t>
      </w:r>
      <w:r>
        <w:rPr>
          <w:sz w:val="20"/>
        </w:rPr>
        <w:tab/>
        <w:t>злокачественные новообразования предстательной железы II стадии (T1c-2bN0M0),</w:t>
      </w:r>
      <w:r>
        <w:rPr>
          <w:spacing w:val="-13"/>
          <w:sz w:val="20"/>
        </w:rPr>
        <w:t> </w:t>
      </w:r>
      <w:r>
        <w:rPr>
          <w:sz w:val="20"/>
        </w:rPr>
        <w:t>уровень</w:t>
      </w:r>
      <w:r>
        <w:rPr>
          <w:spacing w:val="-12"/>
          <w:sz w:val="20"/>
        </w:rPr>
        <w:t> </w:t>
      </w:r>
      <w:r>
        <w:rPr>
          <w:sz w:val="20"/>
        </w:rPr>
        <w:t>ПСА</w:t>
      </w:r>
      <w:r>
        <w:rPr>
          <w:spacing w:val="-13"/>
          <w:sz w:val="20"/>
        </w:rPr>
        <w:t> </w:t>
      </w:r>
      <w:r>
        <w:rPr>
          <w:sz w:val="20"/>
        </w:rPr>
        <w:t>менее 10</w:t>
      </w:r>
      <w:r>
        <w:rPr>
          <w:spacing w:val="-3"/>
          <w:sz w:val="20"/>
        </w:rPr>
        <w:t> </w:t>
      </w:r>
      <w:r>
        <w:rPr>
          <w:sz w:val="20"/>
        </w:rPr>
        <w:t>нг/мл,</w:t>
      </w:r>
      <w:r>
        <w:rPr>
          <w:spacing w:val="-4"/>
          <w:sz w:val="20"/>
        </w:rPr>
        <w:t> </w:t>
      </w:r>
      <w:r>
        <w:rPr>
          <w:sz w:val="20"/>
        </w:rPr>
        <w:t>сумма</w:t>
      </w:r>
      <w:r>
        <w:rPr>
          <w:spacing w:val="-4"/>
          <w:sz w:val="20"/>
        </w:rPr>
        <w:t> </w:t>
      </w:r>
      <w:r>
        <w:rPr>
          <w:sz w:val="20"/>
        </w:rPr>
        <w:t>баллов</w:t>
      </w:r>
      <w:r>
        <w:rPr>
          <w:spacing w:val="-5"/>
          <w:sz w:val="20"/>
        </w:rPr>
        <w:t> </w:t>
      </w:r>
      <w:r>
        <w:rPr>
          <w:sz w:val="20"/>
        </w:rPr>
        <w:t>по</w:t>
      </w:r>
      <w:r>
        <w:rPr>
          <w:spacing w:val="-3"/>
          <w:sz w:val="20"/>
        </w:rPr>
        <w:t> </w:t>
      </w:r>
      <w:r>
        <w:rPr>
          <w:sz w:val="20"/>
        </w:rPr>
        <w:t>Глисону менее 7</w:t>
      </w:r>
    </w:p>
    <w:p>
      <w:pPr>
        <w:spacing w:line="249" w:lineRule="auto" w:before="91"/>
        <w:ind w:left="169"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9"/>
        </w:rPr>
      </w:pPr>
    </w:p>
    <w:p>
      <w:pPr>
        <w:spacing w:line="249" w:lineRule="auto" w:before="0"/>
        <w:ind w:left="169"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spacing w:before="2"/>
        <w:rPr>
          <w:sz w:val="29"/>
        </w:rPr>
      </w:pPr>
    </w:p>
    <w:p>
      <w:pPr>
        <w:spacing w:line="249" w:lineRule="auto" w:before="0"/>
        <w:ind w:left="169" w:right="0" w:firstLine="0"/>
        <w:jc w:val="left"/>
        <w:rPr>
          <w:sz w:val="20"/>
        </w:rPr>
      </w:pPr>
      <w:r>
        <w:rPr>
          <w:spacing w:val="-2"/>
          <w:sz w:val="20"/>
        </w:rPr>
        <w:t>хирургическое лечение</w:t>
      </w:r>
    </w:p>
    <w:p>
      <w:pPr>
        <w:pStyle w:val="BodyText"/>
        <w:spacing w:before="5"/>
        <w:rPr>
          <w:sz w:val="31"/>
        </w:rPr>
      </w:pPr>
    </w:p>
    <w:p>
      <w:pPr>
        <w:spacing w:line="252" w:lineRule="auto" w:before="1"/>
        <w:ind w:left="169" w:right="0" w:firstLine="0"/>
        <w:jc w:val="left"/>
        <w:rPr>
          <w:sz w:val="20"/>
        </w:rPr>
      </w:pPr>
      <w:r>
        <w:rPr>
          <w:spacing w:val="-2"/>
          <w:sz w:val="20"/>
        </w:rPr>
        <w:t>хирургическое лечение</w:t>
      </w:r>
    </w:p>
    <w:p>
      <w:pPr>
        <w:spacing w:line="249" w:lineRule="auto" w:before="117"/>
        <w:ind w:left="169" w:right="0" w:firstLine="0"/>
        <w:jc w:val="left"/>
        <w:rPr>
          <w:sz w:val="20"/>
        </w:rPr>
      </w:pPr>
      <w:r>
        <w:rPr>
          <w:spacing w:val="-2"/>
          <w:sz w:val="20"/>
        </w:rPr>
        <w:t>хирургическое лечение</w:t>
      </w:r>
    </w:p>
    <w:p>
      <w:pPr>
        <w:spacing w:line="249" w:lineRule="auto" w:before="91"/>
        <w:ind w:left="177" w:right="1951" w:firstLine="0"/>
        <w:jc w:val="left"/>
        <w:rPr>
          <w:sz w:val="20"/>
        </w:rPr>
      </w:pPr>
      <w:r>
        <w:rPr/>
        <w:br w:type="column"/>
      </w:r>
      <w:r>
        <w:rPr>
          <w:sz w:val="20"/>
        </w:rPr>
        <w:t>расширенная экстирпация матки с парааортальной</w:t>
      </w:r>
      <w:r>
        <w:rPr>
          <w:spacing w:val="-13"/>
          <w:sz w:val="20"/>
        </w:rPr>
        <w:t> </w:t>
      </w:r>
      <w:r>
        <w:rPr>
          <w:sz w:val="20"/>
        </w:rPr>
        <w:t>лимфаденэктомией</w:t>
      </w:r>
      <w:r>
        <w:rPr>
          <w:spacing w:val="-12"/>
          <w:sz w:val="20"/>
        </w:rPr>
        <w:t> </w:t>
      </w:r>
      <w:r>
        <w:rPr>
          <w:sz w:val="20"/>
        </w:rPr>
        <w:t>и субтотальной резекцией большого </w:t>
      </w:r>
      <w:r>
        <w:rPr>
          <w:spacing w:val="-2"/>
          <w:sz w:val="20"/>
        </w:rPr>
        <w:t>сальника</w:t>
      </w:r>
    </w:p>
    <w:p>
      <w:pPr>
        <w:spacing w:line="249" w:lineRule="auto" w:before="124"/>
        <w:ind w:left="177" w:right="1878" w:firstLine="0"/>
        <w:jc w:val="left"/>
        <w:rPr>
          <w:sz w:val="20"/>
        </w:rPr>
      </w:pPr>
      <w:r>
        <w:rPr>
          <w:sz w:val="20"/>
        </w:rPr>
        <w:t>нервосберегающая экстирпация матки с придатками,</w:t>
      </w:r>
      <w:r>
        <w:rPr>
          <w:spacing w:val="-8"/>
          <w:sz w:val="20"/>
        </w:rPr>
        <w:t> </w:t>
      </w:r>
      <w:r>
        <w:rPr>
          <w:sz w:val="20"/>
        </w:rPr>
        <w:t>с</w:t>
      </w:r>
      <w:r>
        <w:rPr>
          <w:spacing w:val="-8"/>
          <w:sz w:val="20"/>
        </w:rPr>
        <w:t> </w:t>
      </w:r>
      <w:r>
        <w:rPr>
          <w:sz w:val="20"/>
        </w:rPr>
        <w:t>верхней</w:t>
      </w:r>
      <w:r>
        <w:rPr>
          <w:spacing w:val="-9"/>
          <w:sz w:val="20"/>
        </w:rPr>
        <w:t> </w:t>
      </w:r>
      <w:r>
        <w:rPr>
          <w:sz w:val="20"/>
        </w:rPr>
        <w:t>третью</w:t>
      </w:r>
      <w:r>
        <w:rPr>
          <w:spacing w:val="-8"/>
          <w:sz w:val="20"/>
        </w:rPr>
        <w:t> </w:t>
      </w:r>
      <w:r>
        <w:rPr>
          <w:sz w:val="20"/>
        </w:rPr>
        <w:t>влагалища и тазовой лимфаденкэтомией</w:t>
      </w:r>
    </w:p>
    <w:p>
      <w:pPr>
        <w:spacing w:line="249" w:lineRule="auto" w:before="122"/>
        <w:ind w:left="177" w:right="1951" w:firstLine="0"/>
        <w:jc w:val="left"/>
        <w:rPr>
          <w:sz w:val="20"/>
        </w:rPr>
      </w:pPr>
      <w:r>
        <w:rPr>
          <w:sz w:val="20"/>
        </w:rPr>
        <w:t>экстирпация матки с транспозицией яичников</w:t>
      </w:r>
      <w:r>
        <w:rPr>
          <w:spacing w:val="-11"/>
          <w:sz w:val="20"/>
        </w:rPr>
        <w:t> </w:t>
      </w:r>
      <w:r>
        <w:rPr>
          <w:sz w:val="20"/>
        </w:rPr>
        <w:t>и</w:t>
      </w:r>
      <w:r>
        <w:rPr>
          <w:spacing w:val="-11"/>
          <w:sz w:val="20"/>
        </w:rPr>
        <w:t> </w:t>
      </w:r>
      <w:r>
        <w:rPr>
          <w:sz w:val="20"/>
        </w:rPr>
        <w:t>тазовой</w:t>
      </w:r>
      <w:r>
        <w:rPr>
          <w:spacing w:val="-10"/>
          <w:sz w:val="20"/>
        </w:rPr>
        <w:t> </w:t>
      </w:r>
      <w:r>
        <w:rPr>
          <w:sz w:val="20"/>
        </w:rPr>
        <w:t>лимфаденэктомией</w:t>
      </w:r>
    </w:p>
    <w:p>
      <w:pPr>
        <w:spacing w:line="249" w:lineRule="auto" w:before="122"/>
        <w:ind w:left="177" w:right="1901" w:firstLine="0"/>
        <w:jc w:val="left"/>
        <w:rPr>
          <w:sz w:val="20"/>
        </w:rPr>
      </w:pPr>
      <w:r>
        <w:rPr>
          <w:sz w:val="20"/>
        </w:rPr>
        <w:t>экстирпация матки с придатками,</w:t>
      </w:r>
      <w:r>
        <w:rPr>
          <w:spacing w:val="40"/>
          <w:sz w:val="20"/>
        </w:rPr>
        <w:t> </w:t>
      </w:r>
      <w:r>
        <w:rPr>
          <w:sz w:val="20"/>
        </w:rPr>
        <w:t>верхней третью влагалища, тазовой лимфаденэктомией</w:t>
      </w:r>
      <w:r>
        <w:rPr>
          <w:spacing w:val="-13"/>
          <w:sz w:val="20"/>
        </w:rPr>
        <w:t> </w:t>
      </w:r>
      <w:r>
        <w:rPr>
          <w:sz w:val="20"/>
        </w:rPr>
        <w:t>и</w:t>
      </w:r>
      <w:r>
        <w:rPr>
          <w:spacing w:val="-12"/>
          <w:sz w:val="20"/>
        </w:rPr>
        <w:t> </w:t>
      </w:r>
      <w:r>
        <w:rPr>
          <w:sz w:val="20"/>
        </w:rPr>
        <w:t>интраоперационной лучевой терапией</w:t>
      </w:r>
    </w:p>
    <w:p>
      <w:pPr>
        <w:spacing w:line="249" w:lineRule="auto" w:before="124"/>
        <w:ind w:left="177" w:right="1951" w:firstLine="0"/>
        <w:jc w:val="left"/>
        <w:rPr>
          <w:sz w:val="20"/>
        </w:rPr>
      </w:pPr>
      <w:r>
        <w:rPr>
          <w:sz w:val="20"/>
        </w:rPr>
        <w:t>экстирпация</w:t>
      </w:r>
      <w:r>
        <w:rPr>
          <w:spacing w:val="-12"/>
          <w:sz w:val="20"/>
        </w:rPr>
        <w:t> </w:t>
      </w:r>
      <w:r>
        <w:rPr>
          <w:sz w:val="20"/>
        </w:rPr>
        <w:t>матки</w:t>
      </w:r>
      <w:r>
        <w:rPr>
          <w:spacing w:val="-12"/>
          <w:sz w:val="20"/>
        </w:rPr>
        <w:t> </w:t>
      </w:r>
      <w:r>
        <w:rPr>
          <w:sz w:val="20"/>
        </w:rPr>
        <w:t>с</w:t>
      </w:r>
      <w:r>
        <w:rPr>
          <w:spacing w:val="-11"/>
          <w:sz w:val="20"/>
        </w:rPr>
        <w:t> </w:t>
      </w:r>
      <w:r>
        <w:rPr>
          <w:sz w:val="20"/>
        </w:rPr>
        <w:t>придатками, субтотальная резекция большого сальника с интраоперационной флюоресцентной диагностикой и фотодинамической терапией</w:t>
      </w:r>
    </w:p>
    <w:p>
      <w:pPr>
        <w:spacing w:before="124"/>
        <w:ind w:left="177" w:right="0" w:firstLine="0"/>
        <w:jc w:val="left"/>
        <w:rPr>
          <w:sz w:val="20"/>
        </w:rPr>
      </w:pPr>
      <w:r>
        <w:rPr>
          <w:sz w:val="20"/>
        </w:rPr>
        <w:t>тазовые</w:t>
      </w:r>
      <w:r>
        <w:rPr>
          <w:spacing w:val="-9"/>
          <w:sz w:val="20"/>
        </w:rPr>
        <w:t> </w:t>
      </w:r>
      <w:r>
        <w:rPr>
          <w:spacing w:val="-2"/>
          <w:sz w:val="20"/>
        </w:rPr>
        <w:t>эвисцерации</w:t>
      </w:r>
    </w:p>
    <w:p>
      <w:pPr>
        <w:pStyle w:val="BodyText"/>
        <w:rPr>
          <w:sz w:val="22"/>
        </w:rPr>
      </w:pPr>
    </w:p>
    <w:p>
      <w:pPr>
        <w:pStyle w:val="BodyText"/>
        <w:rPr>
          <w:sz w:val="31"/>
        </w:rPr>
      </w:pPr>
    </w:p>
    <w:p>
      <w:pPr>
        <w:spacing w:before="0"/>
        <w:ind w:left="177" w:right="0" w:firstLine="0"/>
        <w:jc w:val="left"/>
        <w:rPr>
          <w:sz w:val="20"/>
        </w:rPr>
      </w:pPr>
      <w:r>
        <w:rPr>
          <w:sz w:val="20"/>
        </w:rPr>
        <w:t>резекция</w:t>
      </w:r>
      <w:r>
        <w:rPr>
          <w:spacing w:val="-7"/>
          <w:sz w:val="20"/>
        </w:rPr>
        <w:t> </w:t>
      </w:r>
      <w:r>
        <w:rPr>
          <w:sz w:val="20"/>
        </w:rPr>
        <w:t>полового</w:t>
      </w:r>
      <w:r>
        <w:rPr>
          <w:spacing w:val="-6"/>
          <w:sz w:val="20"/>
        </w:rPr>
        <w:t> </w:t>
      </w:r>
      <w:r>
        <w:rPr>
          <w:sz w:val="20"/>
        </w:rPr>
        <w:t>члена</w:t>
      </w:r>
      <w:r>
        <w:rPr>
          <w:spacing w:val="-6"/>
          <w:sz w:val="20"/>
        </w:rPr>
        <w:t> </w:t>
      </w:r>
      <w:r>
        <w:rPr>
          <w:sz w:val="20"/>
        </w:rPr>
        <w:t>с</w:t>
      </w:r>
      <w:r>
        <w:rPr>
          <w:spacing w:val="-6"/>
          <w:sz w:val="20"/>
        </w:rPr>
        <w:t> </w:t>
      </w:r>
      <w:r>
        <w:rPr>
          <w:spacing w:val="-2"/>
          <w:sz w:val="20"/>
        </w:rPr>
        <w:t>пластикой</w:t>
      </w:r>
    </w:p>
    <w:p>
      <w:pPr>
        <w:pStyle w:val="BodyText"/>
        <w:spacing w:before="3"/>
        <w:rPr>
          <w:sz w:val="32"/>
        </w:rPr>
      </w:pPr>
    </w:p>
    <w:p>
      <w:pPr>
        <w:spacing w:line="249" w:lineRule="auto" w:before="0"/>
        <w:ind w:left="177" w:right="1878" w:firstLine="0"/>
        <w:jc w:val="left"/>
        <w:rPr>
          <w:sz w:val="20"/>
        </w:rPr>
      </w:pPr>
      <w:r>
        <w:rPr>
          <w:sz w:val="20"/>
        </w:rPr>
        <w:t>радикальная</w:t>
      </w:r>
      <w:r>
        <w:rPr>
          <w:spacing w:val="-13"/>
          <w:sz w:val="20"/>
        </w:rPr>
        <w:t> </w:t>
      </w:r>
      <w:r>
        <w:rPr>
          <w:sz w:val="20"/>
        </w:rPr>
        <w:t>простатэктомия промежностным доступом</w:t>
      </w:r>
    </w:p>
    <w:p>
      <w:pPr>
        <w:spacing w:after="0" w:line="249" w:lineRule="auto"/>
        <w:jc w:val="left"/>
        <w:rPr>
          <w:sz w:val="20"/>
        </w:rPr>
        <w:sectPr>
          <w:type w:val="continuous"/>
          <w:pgSz w:w="16850" w:h="11910" w:orient="landscape"/>
          <w:pgMar w:header="753" w:footer="0" w:top="1080" w:bottom="280" w:left="400" w:right="400"/>
          <w:cols w:num="3" w:equalWidth="0">
            <w:col w:w="8892" w:space="40"/>
            <w:col w:w="1426"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69"/>
        <w:gridCol w:w="1485"/>
        <w:gridCol w:w="3727"/>
      </w:tblGrid>
      <w:tr>
        <w:trPr>
          <w:trHeight w:val="770" w:hRule="atLeast"/>
        </w:trPr>
        <w:tc>
          <w:tcPr>
            <w:tcW w:w="863" w:type="dxa"/>
          </w:tcPr>
          <w:p>
            <w:pPr>
              <w:pStyle w:val="TableParagraph"/>
              <w:rPr>
                <w:sz w:val="18"/>
              </w:rPr>
            </w:pPr>
          </w:p>
        </w:tc>
        <w:tc>
          <w:tcPr>
            <w:tcW w:w="3669" w:type="dxa"/>
          </w:tcPr>
          <w:p>
            <w:pPr>
              <w:pStyle w:val="TableParagraph"/>
              <w:spacing w:line="249" w:lineRule="auto"/>
              <w:ind w:left="480" w:right="229"/>
              <w:rPr>
                <w:sz w:val="20"/>
              </w:rPr>
            </w:pPr>
            <w:r>
              <w:rPr>
                <w:sz w:val="20"/>
              </w:rPr>
              <w:t>злокачественные</w:t>
            </w:r>
            <w:r>
              <w:rPr>
                <w:spacing w:val="-13"/>
                <w:sz w:val="20"/>
              </w:rPr>
              <w:t> </w:t>
            </w:r>
            <w:r>
              <w:rPr>
                <w:sz w:val="20"/>
              </w:rPr>
              <w:t>новообразования предстательной железы II стадии </w:t>
            </w:r>
            <w:r>
              <w:rPr>
                <w:spacing w:val="-2"/>
                <w:sz w:val="20"/>
              </w:rPr>
              <w:t>(T1b-T2cNxMo)</w:t>
            </w:r>
          </w:p>
        </w:tc>
        <w:tc>
          <w:tcPr>
            <w:tcW w:w="1485" w:type="dxa"/>
          </w:tcPr>
          <w:p>
            <w:pPr>
              <w:pStyle w:val="TableParagraph"/>
              <w:rPr>
                <w:sz w:val="18"/>
              </w:rPr>
            </w:pPr>
          </w:p>
        </w:tc>
        <w:tc>
          <w:tcPr>
            <w:tcW w:w="3727" w:type="dxa"/>
          </w:tcPr>
          <w:p>
            <w:pPr>
              <w:pStyle w:val="TableParagraph"/>
              <w:rPr>
                <w:sz w:val="18"/>
              </w:rPr>
            </w:pPr>
          </w:p>
        </w:tc>
      </w:tr>
      <w:tr>
        <w:trPr>
          <w:trHeight w:val="1320" w:hRule="atLeast"/>
        </w:trPr>
        <w:tc>
          <w:tcPr>
            <w:tcW w:w="863" w:type="dxa"/>
          </w:tcPr>
          <w:p>
            <w:pPr>
              <w:pStyle w:val="TableParagraph"/>
              <w:rPr>
                <w:sz w:val="18"/>
              </w:rPr>
            </w:pP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предстательной железы</w:t>
            </w:r>
          </w:p>
          <w:p>
            <w:pPr>
              <w:pStyle w:val="TableParagraph"/>
              <w:spacing w:line="249" w:lineRule="auto" w:before="2"/>
              <w:ind w:left="480" w:right="559"/>
              <w:jc w:val="both"/>
              <w:rPr>
                <w:sz w:val="20"/>
              </w:rPr>
            </w:pPr>
            <w:r>
              <w:rPr>
                <w:sz w:val="20"/>
              </w:rPr>
              <w:t>(II</w:t>
            </w:r>
            <w:r>
              <w:rPr>
                <w:spacing w:val="-2"/>
                <w:sz w:val="20"/>
              </w:rPr>
              <w:t> </w:t>
            </w:r>
            <w:r>
              <w:rPr>
                <w:sz w:val="20"/>
              </w:rPr>
              <w:t>-</w:t>
            </w:r>
            <w:r>
              <w:rPr>
                <w:spacing w:val="-5"/>
                <w:sz w:val="20"/>
              </w:rPr>
              <w:t> </w:t>
            </w:r>
            <w:r>
              <w:rPr>
                <w:sz w:val="20"/>
              </w:rPr>
              <w:t>III</w:t>
            </w:r>
            <w:r>
              <w:rPr>
                <w:spacing w:val="-3"/>
                <w:sz w:val="20"/>
              </w:rPr>
              <w:t> </w:t>
            </w:r>
            <w:r>
              <w:rPr>
                <w:sz w:val="20"/>
              </w:rPr>
              <w:t>стадия</w:t>
            </w:r>
            <w:r>
              <w:rPr>
                <w:spacing w:val="-4"/>
                <w:sz w:val="20"/>
              </w:rPr>
              <w:t> </w:t>
            </w:r>
            <w:r>
              <w:rPr>
                <w:sz w:val="20"/>
              </w:rPr>
              <w:t>(T1c-2bN0M0)</w:t>
            </w:r>
            <w:r>
              <w:rPr>
                <w:spacing w:val="-3"/>
                <w:sz w:val="20"/>
              </w:rPr>
              <w:t> </w:t>
            </w:r>
            <w:r>
              <w:rPr>
                <w:sz w:val="20"/>
              </w:rPr>
              <w:t>с высоким</w:t>
            </w:r>
            <w:r>
              <w:rPr>
                <w:spacing w:val="-13"/>
                <w:sz w:val="20"/>
              </w:rPr>
              <w:t> </w:t>
            </w:r>
            <w:r>
              <w:rPr>
                <w:sz w:val="20"/>
              </w:rPr>
              <w:t>риском</w:t>
            </w:r>
            <w:r>
              <w:rPr>
                <w:spacing w:val="-12"/>
                <w:sz w:val="20"/>
              </w:rPr>
              <w:t> </w:t>
            </w:r>
            <w:r>
              <w:rPr>
                <w:sz w:val="20"/>
              </w:rPr>
              <w:t>регионарного </w:t>
            </w:r>
            <w:r>
              <w:rPr>
                <w:spacing w:val="-2"/>
                <w:sz w:val="20"/>
              </w:rPr>
              <w:t>метастазирования</w:t>
            </w:r>
          </w:p>
        </w:tc>
        <w:tc>
          <w:tcPr>
            <w:tcW w:w="1485" w:type="dxa"/>
          </w:tcPr>
          <w:p>
            <w:pPr>
              <w:pStyle w:val="TableParagraph"/>
              <w:rPr>
                <w:sz w:val="18"/>
              </w:rPr>
            </w:pPr>
          </w:p>
        </w:tc>
        <w:tc>
          <w:tcPr>
            <w:tcW w:w="3727" w:type="dxa"/>
          </w:tcPr>
          <w:p>
            <w:pPr>
              <w:pStyle w:val="TableParagraph"/>
              <w:rPr>
                <w:sz w:val="18"/>
              </w:rPr>
            </w:pPr>
          </w:p>
        </w:tc>
      </w:tr>
      <w:tr>
        <w:trPr>
          <w:trHeight w:val="840" w:hRule="atLeast"/>
        </w:trPr>
        <w:tc>
          <w:tcPr>
            <w:tcW w:w="863" w:type="dxa"/>
          </w:tcPr>
          <w:p>
            <w:pPr>
              <w:pStyle w:val="TableParagraph"/>
              <w:rPr>
                <w:sz w:val="18"/>
              </w:rPr>
            </w:pPr>
          </w:p>
        </w:tc>
        <w:tc>
          <w:tcPr>
            <w:tcW w:w="3669" w:type="dxa"/>
          </w:tcPr>
          <w:p>
            <w:pPr>
              <w:pStyle w:val="TableParagraph"/>
              <w:spacing w:line="249" w:lineRule="auto" w:before="60"/>
              <w:ind w:left="480" w:right="276"/>
              <w:jc w:val="both"/>
              <w:rPr>
                <w:sz w:val="20"/>
              </w:rPr>
            </w:pPr>
            <w:r>
              <w:rPr>
                <w:sz w:val="20"/>
              </w:rPr>
              <w:t>локализованные</w:t>
            </w:r>
            <w:r>
              <w:rPr>
                <w:spacing w:val="-13"/>
                <w:sz w:val="20"/>
              </w:rPr>
              <w:t> </w:t>
            </w:r>
            <w:r>
              <w:rPr>
                <w:sz w:val="20"/>
              </w:rPr>
              <w:t>злокачественные новообразования предстательной железы</w:t>
            </w:r>
            <w:r>
              <w:rPr>
                <w:spacing w:val="-4"/>
                <w:sz w:val="20"/>
              </w:rPr>
              <w:t> </w:t>
            </w:r>
            <w:r>
              <w:rPr>
                <w:sz w:val="20"/>
              </w:rPr>
              <w:t>(I</w:t>
            </w:r>
            <w:r>
              <w:rPr>
                <w:spacing w:val="-3"/>
                <w:sz w:val="20"/>
              </w:rPr>
              <w:t> </w:t>
            </w:r>
            <w:r>
              <w:rPr>
                <w:sz w:val="20"/>
              </w:rPr>
              <w:t>-</w:t>
            </w:r>
            <w:r>
              <w:rPr>
                <w:spacing w:val="-6"/>
                <w:sz w:val="20"/>
              </w:rPr>
              <w:t> </w:t>
            </w:r>
            <w:r>
              <w:rPr>
                <w:sz w:val="20"/>
              </w:rPr>
              <w:t>II</w:t>
            </w:r>
            <w:r>
              <w:rPr>
                <w:spacing w:val="-4"/>
                <w:sz w:val="20"/>
              </w:rPr>
              <w:t> </w:t>
            </w:r>
            <w:r>
              <w:rPr>
                <w:sz w:val="20"/>
              </w:rPr>
              <w:t>стадия</w:t>
            </w:r>
            <w:r>
              <w:rPr>
                <w:spacing w:val="-4"/>
                <w:sz w:val="20"/>
              </w:rPr>
              <w:t> </w:t>
            </w:r>
            <w:r>
              <w:rPr>
                <w:sz w:val="20"/>
              </w:rPr>
              <w:t>(T1-</w:t>
            </w:r>
            <w:r>
              <w:rPr>
                <w:spacing w:val="-2"/>
                <w:sz w:val="20"/>
              </w:rPr>
              <w:t>2cN0M0)</w:t>
            </w:r>
          </w:p>
        </w:tc>
        <w:tc>
          <w:tcPr>
            <w:tcW w:w="1485" w:type="dxa"/>
          </w:tcPr>
          <w:p>
            <w:pPr>
              <w:pStyle w:val="TableParagraph"/>
              <w:rPr>
                <w:sz w:val="18"/>
              </w:rPr>
            </w:pPr>
          </w:p>
        </w:tc>
        <w:tc>
          <w:tcPr>
            <w:tcW w:w="3727" w:type="dxa"/>
          </w:tcPr>
          <w:p>
            <w:pPr>
              <w:pStyle w:val="TableParagraph"/>
              <w:rPr>
                <w:sz w:val="18"/>
              </w:rPr>
            </w:pPr>
          </w:p>
        </w:tc>
      </w:tr>
      <w:tr>
        <w:trPr>
          <w:trHeight w:val="840" w:hRule="atLeast"/>
        </w:trPr>
        <w:tc>
          <w:tcPr>
            <w:tcW w:w="863" w:type="dxa"/>
          </w:tcPr>
          <w:p>
            <w:pPr>
              <w:pStyle w:val="TableParagraph"/>
              <w:spacing w:before="60"/>
              <w:ind w:left="50"/>
              <w:rPr>
                <w:sz w:val="20"/>
              </w:rPr>
            </w:pPr>
            <w:r>
              <w:rPr>
                <w:spacing w:val="-5"/>
                <w:sz w:val="20"/>
              </w:rPr>
              <w:t>C64</w:t>
            </w: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единственной почки с инвазией в лоханку почки</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резекция</w:t>
            </w:r>
            <w:r>
              <w:rPr>
                <w:spacing w:val="-13"/>
                <w:sz w:val="20"/>
              </w:rPr>
              <w:t> </w:t>
            </w:r>
            <w:r>
              <w:rPr>
                <w:sz w:val="20"/>
              </w:rPr>
              <w:t>почечной</w:t>
            </w:r>
            <w:r>
              <w:rPr>
                <w:spacing w:val="-12"/>
                <w:sz w:val="20"/>
              </w:rPr>
              <w:t> </w:t>
            </w:r>
            <w:r>
              <w:rPr>
                <w:sz w:val="20"/>
              </w:rPr>
              <w:t>лоханки</w:t>
            </w:r>
            <w:r>
              <w:rPr>
                <w:spacing w:val="-13"/>
                <w:sz w:val="20"/>
              </w:rPr>
              <w:t> </w:t>
            </w:r>
            <w:r>
              <w:rPr>
                <w:sz w:val="20"/>
              </w:rPr>
              <w:t>с </w:t>
            </w:r>
            <w:r>
              <w:rPr>
                <w:spacing w:val="-2"/>
                <w:sz w:val="20"/>
              </w:rPr>
              <w:t>пиелопластикой</w:t>
            </w:r>
          </w:p>
        </w:tc>
      </w:tr>
      <w:tr>
        <w:trPr>
          <w:trHeight w:val="600" w:hRule="atLeast"/>
        </w:trPr>
        <w:tc>
          <w:tcPr>
            <w:tcW w:w="863" w:type="dxa"/>
          </w:tcPr>
          <w:p>
            <w:pPr>
              <w:pStyle w:val="TableParagraph"/>
              <w:rPr>
                <w:sz w:val="18"/>
              </w:rPr>
            </w:pP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почки (III - IV стадия)</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радикальная</w:t>
            </w:r>
            <w:r>
              <w:rPr>
                <w:spacing w:val="-13"/>
                <w:sz w:val="20"/>
              </w:rPr>
              <w:t> </w:t>
            </w:r>
            <w:r>
              <w:rPr>
                <w:sz w:val="20"/>
              </w:rPr>
              <w:t>нефрэктомия</w:t>
            </w:r>
            <w:r>
              <w:rPr>
                <w:spacing w:val="-12"/>
                <w:sz w:val="20"/>
              </w:rPr>
              <w:t> </w:t>
            </w:r>
            <w:r>
              <w:rPr>
                <w:sz w:val="20"/>
              </w:rPr>
              <w:t>с</w:t>
            </w:r>
            <w:r>
              <w:rPr>
                <w:spacing w:val="-13"/>
                <w:sz w:val="20"/>
              </w:rPr>
              <w:t> </w:t>
            </w:r>
            <w:r>
              <w:rPr>
                <w:sz w:val="20"/>
              </w:rPr>
              <w:t>расширенной забрюшинной лимфаденэктомией</w:t>
            </w:r>
          </w:p>
        </w:tc>
      </w:tr>
      <w:tr>
        <w:trPr>
          <w:trHeight w:val="600" w:hRule="atLeast"/>
        </w:trPr>
        <w:tc>
          <w:tcPr>
            <w:tcW w:w="863" w:type="dxa"/>
          </w:tcPr>
          <w:p>
            <w:pPr>
              <w:pStyle w:val="TableParagraph"/>
              <w:rPr>
                <w:sz w:val="18"/>
              </w:rPr>
            </w:pPr>
          </w:p>
        </w:tc>
        <w:tc>
          <w:tcPr>
            <w:tcW w:w="3669" w:type="dxa"/>
          </w:tcPr>
          <w:p>
            <w:pPr>
              <w:pStyle w:val="TableParagraph"/>
              <w:rPr>
                <w:sz w:val="18"/>
              </w:rPr>
            </w:pPr>
          </w:p>
        </w:tc>
        <w:tc>
          <w:tcPr>
            <w:tcW w:w="1485" w:type="dxa"/>
          </w:tcPr>
          <w:p>
            <w:pPr>
              <w:pStyle w:val="TableParagraph"/>
              <w:rPr>
                <w:sz w:val="18"/>
              </w:rPr>
            </w:pPr>
          </w:p>
        </w:tc>
        <w:tc>
          <w:tcPr>
            <w:tcW w:w="3727" w:type="dxa"/>
          </w:tcPr>
          <w:p>
            <w:pPr>
              <w:pStyle w:val="TableParagraph"/>
              <w:spacing w:line="249" w:lineRule="auto" w:before="60"/>
              <w:ind w:left="108"/>
              <w:rPr>
                <w:sz w:val="20"/>
              </w:rPr>
            </w:pPr>
            <w:r>
              <w:rPr>
                <w:sz w:val="20"/>
              </w:rPr>
              <w:t>радикальная</w:t>
            </w:r>
            <w:r>
              <w:rPr>
                <w:spacing w:val="-13"/>
                <w:sz w:val="20"/>
              </w:rPr>
              <w:t> </w:t>
            </w:r>
            <w:r>
              <w:rPr>
                <w:sz w:val="20"/>
              </w:rPr>
              <w:t>нефрэктомия</w:t>
            </w:r>
            <w:r>
              <w:rPr>
                <w:spacing w:val="-12"/>
                <w:sz w:val="20"/>
              </w:rPr>
              <w:t> </w:t>
            </w:r>
            <w:r>
              <w:rPr>
                <w:sz w:val="20"/>
              </w:rPr>
              <w:t>с</w:t>
            </w:r>
            <w:r>
              <w:rPr>
                <w:spacing w:val="-13"/>
                <w:sz w:val="20"/>
              </w:rPr>
              <w:t> </w:t>
            </w:r>
            <w:r>
              <w:rPr>
                <w:sz w:val="20"/>
              </w:rPr>
              <w:t>резекцией соседних органов</w:t>
            </w:r>
          </w:p>
        </w:tc>
      </w:tr>
      <w:tr>
        <w:trPr>
          <w:trHeight w:val="600" w:hRule="atLeast"/>
        </w:trPr>
        <w:tc>
          <w:tcPr>
            <w:tcW w:w="863" w:type="dxa"/>
          </w:tcPr>
          <w:p>
            <w:pPr>
              <w:pStyle w:val="TableParagraph"/>
              <w:rPr>
                <w:sz w:val="18"/>
              </w:rPr>
            </w:pPr>
          </w:p>
        </w:tc>
        <w:tc>
          <w:tcPr>
            <w:tcW w:w="3669" w:type="dxa"/>
          </w:tcPr>
          <w:p>
            <w:pPr>
              <w:pStyle w:val="TableParagraph"/>
              <w:spacing w:line="249" w:lineRule="auto" w:before="60"/>
              <w:ind w:left="480"/>
              <w:rPr>
                <w:sz w:val="20"/>
              </w:rPr>
            </w:pPr>
            <w:r>
              <w:rPr>
                <w:sz w:val="20"/>
              </w:rPr>
              <w:t>злокачественные новообразования почки</w:t>
            </w:r>
            <w:r>
              <w:rPr>
                <w:spacing w:val="-9"/>
                <w:sz w:val="20"/>
              </w:rPr>
              <w:t> </w:t>
            </w:r>
            <w:r>
              <w:rPr>
                <w:sz w:val="20"/>
              </w:rPr>
              <w:t>(I</w:t>
            </w:r>
            <w:r>
              <w:rPr>
                <w:spacing w:val="-6"/>
                <w:sz w:val="20"/>
              </w:rPr>
              <w:t> </w:t>
            </w:r>
            <w:r>
              <w:rPr>
                <w:sz w:val="20"/>
              </w:rPr>
              <w:t>-</w:t>
            </w:r>
            <w:r>
              <w:rPr>
                <w:spacing w:val="-10"/>
                <w:sz w:val="20"/>
              </w:rPr>
              <w:t> </w:t>
            </w:r>
            <w:r>
              <w:rPr>
                <w:sz w:val="20"/>
              </w:rPr>
              <w:t>III</w:t>
            </w:r>
            <w:r>
              <w:rPr>
                <w:spacing w:val="-8"/>
                <w:sz w:val="20"/>
              </w:rPr>
              <w:t> </w:t>
            </w:r>
            <w:r>
              <w:rPr>
                <w:sz w:val="20"/>
              </w:rPr>
              <w:t>стадия</w:t>
            </w:r>
            <w:r>
              <w:rPr>
                <w:spacing w:val="-9"/>
                <w:sz w:val="20"/>
              </w:rPr>
              <w:t> </w:t>
            </w:r>
            <w:r>
              <w:rPr>
                <w:sz w:val="20"/>
              </w:rPr>
              <w:t>(T1a-T3aNxMo)</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удаление</w:t>
            </w:r>
            <w:r>
              <w:rPr>
                <w:spacing w:val="-11"/>
                <w:sz w:val="20"/>
              </w:rPr>
              <w:t> </w:t>
            </w:r>
            <w:r>
              <w:rPr>
                <w:sz w:val="20"/>
              </w:rPr>
              <w:t>рецидивной</w:t>
            </w:r>
            <w:r>
              <w:rPr>
                <w:spacing w:val="-12"/>
                <w:sz w:val="20"/>
              </w:rPr>
              <w:t> </w:t>
            </w:r>
            <w:r>
              <w:rPr>
                <w:sz w:val="20"/>
              </w:rPr>
              <w:t>опухоли</w:t>
            </w:r>
            <w:r>
              <w:rPr>
                <w:spacing w:val="-10"/>
                <w:sz w:val="20"/>
              </w:rPr>
              <w:t> </w:t>
            </w:r>
            <w:r>
              <w:rPr>
                <w:sz w:val="20"/>
              </w:rPr>
              <w:t>почки</w:t>
            </w:r>
            <w:r>
              <w:rPr>
                <w:spacing w:val="-12"/>
                <w:sz w:val="20"/>
              </w:rPr>
              <w:t> </w:t>
            </w:r>
            <w:r>
              <w:rPr>
                <w:sz w:val="20"/>
              </w:rPr>
              <w:t>с расширенной лимфаденэктомией</w:t>
            </w:r>
          </w:p>
        </w:tc>
      </w:tr>
      <w:tr>
        <w:trPr>
          <w:trHeight w:val="600" w:hRule="atLeast"/>
        </w:trPr>
        <w:tc>
          <w:tcPr>
            <w:tcW w:w="863" w:type="dxa"/>
          </w:tcPr>
          <w:p>
            <w:pPr>
              <w:pStyle w:val="TableParagraph"/>
              <w:rPr>
                <w:sz w:val="18"/>
              </w:rPr>
            </w:pPr>
          </w:p>
        </w:tc>
        <w:tc>
          <w:tcPr>
            <w:tcW w:w="3669" w:type="dxa"/>
          </w:tcPr>
          <w:p>
            <w:pPr>
              <w:pStyle w:val="TableParagraph"/>
              <w:rPr>
                <w:sz w:val="18"/>
              </w:rPr>
            </w:pPr>
          </w:p>
        </w:tc>
        <w:tc>
          <w:tcPr>
            <w:tcW w:w="1485" w:type="dxa"/>
          </w:tcPr>
          <w:p>
            <w:pPr>
              <w:pStyle w:val="TableParagraph"/>
              <w:rPr>
                <w:sz w:val="18"/>
              </w:rPr>
            </w:pPr>
          </w:p>
        </w:tc>
        <w:tc>
          <w:tcPr>
            <w:tcW w:w="3727" w:type="dxa"/>
          </w:tcPr>
          <w:p>
            <w:pPr>
              <w:pStyle w:val="TableParagraph"/>
              <w:spacing w:line="252" w:lineRule="auto" w:before="60"/>
              <w:ind w:left="108"/>
              <w:rPr>
                <w:sz w:val="20"/>
              </w:rPr>
            </w:pPr>
            <w:r>
              <w:rPr>
                <w:sz w:val="20"/>
              </w:rPr>
              <w:t>удаление</w:t>
            </w:r>
            <w:r>
              <w:rPr>
                <w:spacing w:val="-11"/>
                <w:sz w:val="20"/>
              </w:rPr>
              <w:t> </w:t>
            </w:r>
            <w:r>
              <w:rPr>
                <w:sz w:val="20"/>
              </w:rPr>
              <w:t>рецидивной</w:t>
            </w:r>
            <w:r>
              <w:rPr>
                <w:spacing w:val="-12"/>
                <w:sz w:val="20"/>
              </w:rPr>
              <w:t> </w:t>
            </w:r>
            <w:r>
              <w:rPr>
                <w:sz w:val="20"/>
              </w:rPr>
              <w:t>опухоли</w:t>
            </w:r>
            <w:r>
              <w:rPr>
                <w:spacing w:val="-10"/>
                <w:sz w:val="20"/>
              </w:rPr>
              <w:t> </w:t>
            </w:r>
            <w:r>
              <w:rPr>
                <w:sz w:val="20"/>
              </w:rPr>
              <w:t>почки</w:t>
            </w:r>
            <w:r>
              <w:rPr>
                <w:spacing w:val="-12"/>
                <w:sz w:val="20"/>
              </w:rPr>
              <w:t> </w:t>
            </w:r>
            <w:r>
              <w:rPr>
                <w:sz w:val="20"/>
              </w:rPr>
              <w:t>с резекцией соседних органов</w:t>
            </w:r>
          </w:p>
        </w:tc>
      </w:tr>
      <w:tr>
        <w:trPr>
          <w:trHeight w:val="839" w:hRule="atLeast"/>
        </w:trPr>
        <w:tc>
          <w:tcPr>
            <w:tcW w:w="863" w:type="dxa"/>
          </w:tcPr>
          <w:p>
            <w:pPr>
              <w:pStyle w:val="TableParagraph"/>
              <w:spacing w:before="60"/>
              <w:ind w:left="50"/>
              <w:rPr>
                <w:sz w:val="20"/>
              </w:rPr>
            </w:pPr>
            <w:r>
              <w:rPr>
                <w:spacing w:val="-5"/>
                <w:sz w:val="20"/>
              </w:rPr>
              <w:t>C67</w:t>
            </w: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мочевого пузыря (I - IV стадия)</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цистпростатвезикулэктомия</w:t>
            </w:r>
            <w:r>
              <w:rPr>
                <w:spacing w:val="-13"/>
                <w:sz w:val="20"/>
              </w:rPr>
              <w:t> </w:t>
            </w:r>
            <w:r>
              <w:rPr>
                <w:sz w:val="20"/>
              </w:rPr>
              <w:t>с</w:t>
            </w:r>
            <w:r>
              <w:rPr>
                <w:spacing w:val="-12"/>
                <w:sz w:val="20"/>
              </w:rPr>
              <w:t> </w:t>
            </w:r>
            <w:r>
              <w:rPr>
                <w:sz w:val="20"/>
              </w:rPr>
              <w:t>пластикой мочевого резервуара сегментом тонкой </w:t>
            </w:r>
            <w:r>
              <w:rPr>
                <w:spacing w:val="-2"/>
                <w:sz w:val="20"/>
              </w:rPr>
              <w:t>кишки</w:t>
            </w:r>
          </w:p>
        </w:tc>
      </w:tr>
      <w:tr>
        <w:trPr>
          <w:trHeight w:val="290" w:hRule="atLeast"/>
        </w:trPr>
        <w:tc>
          <w:tcPr>
            <w:tcW w:w="863" w:type="dxa"/>
          </w:tcPr>
          <w:p>
            <w:pPr>
              <w:pStyle w:val="TableParagraph"/>
              <w:rPr>
                <w:sz w:val="18"/>
              </w:rPr>
            </w:pPr>
          </w:p>
        </w:tc>
        <w:tc>
          <w:tcPr>
            <w:tcW w:w="3669" w:type="dxa"/>
          </w:tcPr>
          <w:p>
            <w:pPr>
              <w:pStyle w:val="TableParagraph"/>
              <w:rPr>
                <w:sz w:val="18"/>
              </w:rPr>
            </w:pPr>
          </w:p>
        </w:tc>
        <w:tc>
          <w:tcPr>
            <w:tcW w:w="1485" w:type="dxa"/>
          </w:tcPr>
          <w:p>
            <w:pPr>
              <w:pStyle w:val="TableParagraph"/>
              <w:rPr>
                <w:sz w:val="18"/>
              </w:rPr>
            </w:pPr>
          </w:p>
        </w:tc>
        <w:tc>
          <w:tcPr>
            <w:tcW w:w="3727" w:type="dxa"/>
          </w:tcPr>
          <w:p>
            <w:pPr>
              <w:pStyle w:val="TableParagraph"/>
              <w:spacing w:line="210" w:lineRule="exact" w:before="60"/>
              <w:ind w:left="108"/>
              <w:rPr>
                <w:sz w:val="20"/>
              </w:rPr>
            </w:pPr>
            <w:r>
              <w:rPr>
                <w:sz w:val="20"/>
              </w:rPr>
              <w:t>передняя</w:t>
            </w:r>
            <w:r>
              <w:rPr>
                <w:spacing w:val="-12"/>
                <w:sz w:val="20"/>
              </w:rPr>
              <w:t> </w:t>
            </w:r>
            <w:r>
              <w:rPr>
                <w:sz w:val="20"/>
              </w:rPr>
              <w:t>экзентерация</w:t>
            </w:r>
            <w:r>
              <w:rPr>
                <w:spacing w:val="-12"/>
                <w:sz w:val="20"/>
              </w:rPr>
              <w:t> </w:t>
            </w:r>
            <w:r>
              <w:rPr>
                <w:spacing w:val="-4"/>
                <w:sz w:val="20"/>
              </w:rPr>
              <w:t>таза</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1"/>
        <w:gridCol w:w="2049"/>
        <w:gridCol w:w="3267"/>
        <w:gridCol w:w="1535"/>
        <w:gridCol w:w="3963"/>
        <w:gridCol w:w="967"/>
      </w:tblGrid>
      <w:tr>
        <w:trPr>
          <w:trHeight w:val="77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spacing w:line="221" w:lineRule="exact"/>
              <w:ind w:left="417" w:right="409"/>
              <w:jc w:val="center"/>
              <w:rPr>
                <w:sz w:val="20"/>
              </w:rPr>
            </w:pPr>
            <w:r>
              <w:rPr>
                <w:spacing w:val="-5"/>
                <w:sz w:val="20"/>
              </w:rPr>
              <w:t>C74</w:t>
            </w:r>
          </w:p>
        </w:tc>
        <w:tc>
          <w:tcPr>
            <w:tcW w:w="3267" w:type="dxa"/>
          </w:tcPr>
          <w:p>
            <w:pPr>
              <w:pStyle w:val="TableParagraph"/>
              <w:spacing w:line="249" w:lineRule="auto"/>
              <w:ind w:left="106" w:right="193"/>
              <w:rPr>
                <w:sz w:val="20"/>
              </w:rPr>
            </w:pPr>
            <w:r>
              <w:rPr>
                <w:sz w:val="20"/>
              </w:rPr>
              <w:t>злокачественные</w:t>
            </w:r>
            <w:r>
              <w:rPr>
                <w:spacing w:val="-13"/>
                <w:sz w:val="20"/>
              </w:rPr>
              <w:t> </w:t>
            </w:r>
            <w:r>
              <w:rPr>
                <w:sz w:val="20"/>
              </w:rPr>
              <w:t>новообразования надпочечника (I - III стадия</w:t>
            </w:r>
          </w:p>
          <w:p>
            <w:pPr>
              <w:pStyle w:val="TableParagraph"/>
              <w:ind w:left="157"/>
              <w:rPr>
                <w:sz w:val="20"/>
              </w:rPr>
            </w:pPr>
            <w:r>
              <w:rPr>
                <w:w w:val="95"/>
                <w:sz w:val="20"/>
              </w:rPr>
              <w:t>(T1a-</w:t>
            </w:r>
            <w:r>
              <w:rPr>
                <w:spacing w:val="-2"/>
                <w:sz w:val="20"/>
              </w:rPr>
              <w:t>T3aNxMo)</w:t>
            </w:r>
          </w:p>
        </w:tc>
        <w:tc>
          <w:tcPr>
            <w:tcW w:w="1535" w:type="dxa"/>
          </w:tcPr>
          <w:p>
            <w:pPr>
              <w:pStyle w:val="TableParagraph"/>
              <w:spacing w:line="249" w:lineRule="auto"/>
              <w:ind w:left="147"/>
              <w:rPr>
                <w:sz w:val="20"/>
              </w:rPr>
            </w:pPr>
            <w:r>
              <w:rPr>
                <w:spacing w:val="-2"/>
                <w:sz w:val="20"/>
              </w:rPr>
              <w:t>хирургическое лечение</w:t>
            </w:r>
          </w:p>
        </w:tc>
        <w:tc>
          <w:tcPr>
            <w:tcW w:w="3963" w:type="dxa"/>
          </w:tcPr>
          <w:p>
            <w:pPr>
              <w:pStyle w:val="TableParagraph"/>
              <w:spacing w:line="249" w:lineRule="auto"/>
              <w:ind w:left="86" w:right="220"/>
              <w:rPr>
                <w:sz w:val="20"/>
              </w:rPr>
            </w:pPr>
            <w:r>
              <w:rPr>
                <w:sz w:val="20"/>
              </w:rPr>
              <w:t>лапароскопическое</w:t>
            </w:r>
            <w:r>
              <w:rPr>
                <w:spacing w:val="-13"/>
                <w:sz w:val="20"/>
              </w:rPr>
              <w:t> </w:t>
            </w:r>
            <w:r>
              <w:rPr>
                <w:sz w:val="20"/>
              </w:rPr>
              <w:t>удаление</w:t>
            </w:r>
            <w:r>
              <w:rPr>
                <w:spacing w:val="-12"/>
                <w:sz w:val="20"/>
              </w:rPr>
              <w:t> </w:t>
            </w:r>
            <w:r>
              <w:rPr>
                <w:sz w:val="20"/>
              </w:rPr>
              <w:t>рецидивной опухоли надпочечника с расширенной </w:t>
            </w:r>
            <w:r>
              <w:rPr>
                <w:spacing w:val="-2"/>
                <w:sz w:val="20"/>
              </w:rPr>
              <w:t>лимфаденэктомией</w:t>
            </w:r>
          </w:p>
        </w:tc>
        <w:tc>
          <w:tcPr>
            <w:tcW w:w="967" w:type="dxa"/>
          </w:tcPr>
          <w:p>
            <w:pPr>
              <w:pStyle w:val="TableParagraph"/>
              <w:rPr>
                <w:sz w:val="18"/>
              </w:rPr>
            </w:pPr>
          </w:p>
        </w:tc>
      </w:tr>
      <w:tr>
        <w:trPr>
          <w:trHeight w:val="84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rPr>
                <w:sz w:val="18"/>
              </w:rPr>
            </w:pPr>
          </w:p>
        </w:tc>
        <w:tc>
          <w:tcPr>
            <w:tcW w:w="3267" w:type="dxa"/>
          </w:tcPr>
          <w:p>
            <w:pPr>
              <w:pStyle w:val="TableParagraph"/>
              <w:rPr>
                <w:sz w:val="18"/>
              </w:rPr>
            </w:pPr>
          </w:p>
        </w:tc>
        <w:tc>
          <w:tcPr>
            <w:tcW w:w="1535" w:type="dxa"/>
          </w:tcPr>
          <w:p>
            <w:pPr>
              <w:pStyle w:val="TableParagraph"/>
              <w:rPr>
                <w:sz w:val="18"/>
              </w:rPr>
            </w:pPr>
          </w:p>
        </w:tc>
        <w:tc>
          <w:tcPr>
            <w:tcW w:w="3963" w:type="dxa"/>
          </w:tcPr>
          <w:p>
            <w:pPr>
              <w:pStyle w:val="TableParagraph"/>
              <w:spacing w:line="249" w:lineRule="auto" w:before="60"/>
              <w:ind w:left="86" w:right="220"/>
              <w:rPr>
                <w:sz w:val="20"/>
              </w:rPr>
            </w:pPr>
            <w:r>
              <w:rPr>
                <w:sz w:val="20"/>
              </w:rPr>
              <w:t>удаление рецидивной опухоли надпочечника</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c>
          <w:tcPr>
            <w:tcW w:w="967" w:type="dxa"/>
          </w:tcPr>
          <w:p>
            <w:pPr>
              <w:pStyle w:val="TableParagraph"/>
              <w:rPr>
                <w:sz w:val="18"/>
              </w:rPr>
            </w:pPr>
          </w:p>
        </w:tc>
      </w:tr>
      <w:tr>
        <w:trPr>
          <w:trHeight w:val="84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rPr>
                <w:sz w:val="18"/>
              </w:rPr>
            </w:pPr>
          </w:p>
        </w:tc>
        <w:tc>
          <w:tcPr>
            <w:tcW w:w="3267" w:type="dxa"/>
          </w:tcPr>
          <w:p>
            <w:pPr>
              <w:pStyle w:val="TableParagraph"/>
              <w:spacing w:line="249" w:lineRule="auto" w:before="60"/>
              <w:ind w:left="106" w:right="193"/>
              <w:rPr>
                <w:sz w:val="20"/>
              </w:rPr>
            </w:pPr>
            <w:r>
              <w:rPr>
                <w:sz w:val="20"/>
              </w:rPr>
              <w:t>злокачественные</w:t>
            </w:r>
            <w:r>
              <w:rPr>
                <w:spacing w:val="-13"/>
                <w:sz w:val="20"/>
              </w:rPr>
              <w:t> </w:t>
            </w:r>
            <w:r>
              <w:rPr>
                <w:sz w:val="20"/>
              </w:rPr>
              <w:t>новообразования надпочечника (III - IV стадия)</w:t>
            </w:r>
          </w:p>
        </w:tc>
        <w:tc>
          <w:tcPr>
            <w:tcW w:w="1535" w:type="dxa"/>
          </w:tcPr>
          <w:p>
            <w:pPr>
              <w:pStyle w:val="TableParagraph"/>
              <w:spacing w:line="249" w:lineRule="auto" w:before="60"/>
              <w:ind w:left="147"/>
              <w:rPr>
                <w:sz w:val="20"/>
              </w:rPr>
            </w:pPr>
            <w:r>
              <w:rPr>
                <w:spacing w:val="-2"/>
                <w:sz w:val="20"/>
              </w:rPr>
              <w:t>хирургическое лечение</w:t>
            </w:r>
          </w:p>
        </w:tc>
        <w:tc>
          <w:tcPr>
            <w:tcW w:w="3963" w:type="dxa"/>
          </w:tcPr>
          <w:p>
            <w:pPr>
              <w:pStyle w:val="TableParagraph"/>
              <w:spacing w:line="249" w:lineRule="auto" w:before="60"/>
              <w:ind w:left="86" w:right="220"/>
              <w:rPr>
                <w:sz w:val="20"/>
              </w:rPr>
            </w:pPr>
            <w:r>
              <w:rPr>
                <w:sz w:val="20"/>
              </w:rPr>
              <w:t>лапароскопическая расширенная адреналэктомия</w:t>
            </w:r>
            <w:r>
              <w:rPr>
                <w:spacing w:val="-13"/>
                <w:sz w:val="20"/>
              </w:rPr>
              <w:t> </w:t>
            </w:r>
            <w:r>
              <w:rPr>
                <w:sz w:val="20"/>
              </w:rPr>
              <w:t>или</w:t>
            </w:r>
            <w:r>
              <w:rPr>
                <w:spacing w:val="-12"/>
                <w:sz w:val="20"/>
              </w:rPr>
              <w:t> </w:t>
            </w:r>
            <w:r>
              <w:rPr>
                <w:sz w:val="20"/>
              </w:rPr>
              <w:t>адреналэктомия</w:t>
            </w:r>
            <w:r>
              <w:rPr>
                <w:spacing w:val="-13"/>
                <w:sz w:val="20"/>
              </w:rPr>
              <w:t> </w:t>
            </w:r>
            <w:r>
              <w:rPr>
                <w:sz w:val="20"/>
              </w:rPr>
              <w:t>с резекцией соседних органов</w:t>
            </w:r>
          </w:p>
        </w:tc>
        <w:tc>
          <w:tcPr>
            <w:tcW w:w="967" w:type="dxa"/>
          </w:tcPr>
          <w:p>
            <w:pPr>
              <w:pStyle w:val="TableParagraph"/>
              <w:rPr>
                <w:sz w:val="18"/>
              </w:rPr>
            </w:pPr>
          </w:p>
        </w:tc>
      </w:tr>
      <w:tr>
        <w:trPr>
          <w:trHeight w:val="1800" w:hRule="atLeast"/>
        </w:trPr>
        <w:tc>
          <w:tcPr>
            <w:tcW w:w="458" w:type="dxa"/>
          </w:tcPr>
          <w:p>
            <w:pPr>
              <w:pStyle w:val="TableParagraph"/>
              <w:spacing w:before="60"/>
              <w:ind w:left="50"/>
              <w:rPr>
                <w:sz w:val="20"/>
              </w:rPr>
            </w:pPr>
            <w:r>
              <w:rPr>
                <w:spacing w:val="-5"/>
                <w:sz w:val="20"/>
              </w:rPr>
              <w:t>23.</w:t>
            </w:r>
          </w:p>
        </w:tc>
        <w:tc>
          <w:tcPr>
            <w:tcW w:w="2861" w:type="dxa"/>
            <w:vMerge w:val="restart"/>
          </w:tcPr>
          <w:p>
            <w:pPr>
              <w:pStyle w:val="TableParagraph"/>
              <w:spacing w:line="249" w:lineRule="auto" w:before="60"/>
              <w:ind w:left="155" w:right="108"/>
              <w:rPr>
                <w:sz w:val="20"/>
              </w:rPr>
            </w:pPr>
            <w:r>
              <w:rPr>
                <w:sz w:val="20"/>
              </w:rPr>
              <w:t>Комбинированное лечение </w:t>
            </w:r>
            <w:r>
              <w:rPr>
                <w:spacing w:val="-2"/>
                <w:sz w:val="20"/>
              </w:rPr>
              <w:t>злокачественных новообразований,</w:t>
            </w:r>
            <w:r>
              <w:rPr>
                <w:spacing w:val="80"/>
                <w:sz w:val="20"/>
              </w:rPr>
              <w:t> </w:t>
            </w:r>
            <w:r>
              <w:rPr>
                <w:sz w:val="20"/>
              </w:rPr>
              <w:t>сочетающее обширные хирургические</w:t>
            </w:r>
            <w:r>
              <w:rPr>
                <w:spacing w:val="-13"/>
                <w:sz w:val="20"/>
              </w:rPr>
              <w:t> </w:t>
            </w:r>
            <w:r>
              <w:rPr>
                <w:sz w:val="20"/>
              </w:rPr>
              <w:t>вмешательства и лекарственное противоопухолевое лечение, требующее интенсивной поддерживающей и корригирующей терапии</w:t>
            </w:r>
          </w:p>
        </w:tc>
        <w:tc>
          <w:tcPr>
            <w:tcW w:w="2049" w:type="dxa"/>
          </w:tcPr>
          <w:p>
            <w:pPr>
              <w:pStyle w:val="TableParagraph"/>
              <w:spacing w:line="249" w:lineRule="auto" w:before="60"/>
              <w:ind w:left="110" w:right="103" w:firstLine="5"/>
              <w:jc w:val="center"/>
              <w:rPr>
                <w:sz w:val="20"/>
              </w:rPr>
            </w:pPr>
            <w:r>
              <w:rPr>
                <w:sz w:val="20"/>
              </w:rPr>
              <w:t>C00, C01, C02, C03, C04, C05, C06, C07, C08, C09, C10, C11, C12,</w:t>
            </w:r>
            <w:r>
              <w:rPr>
                <w:spacing w:val="-13"/>
                <w:sz w:val="20"/>
              </w:rPr>
              <w:t> </w:t>
            </w:r>
            <w:r>
              <w:rPr>
                <w:sz w:val="20"/>
              </w:rPr>
              <w:t>C13,</w:t>
            </w:r>
            <w:r>
              <w:rPr>
                <w:spacing w:val="-12"/>
                <w:sz w:val="20"/>
              </w:rPr>
              <w:t> </w:t>
            </w:r>
            <w:r>
              <w:rPr>
                <w:sz w:val="20"/>
              </w:rPr>
              <w:t>C14,</w:t>
            </w:r>
            <w:r>
              <w:rPr>
                <w:spacing w:val="-13"/>
                <w:sz w:val="20"/>
              </w:rPr>
              <w:t> </w:t>
            </w:r>
            <w:r>
              <w:rPr>
                <w:sz w:val="20"/>
              </w:rPr>
              <w:t>C15.0, C30, C31, C32, C33, C43,</w:t>
            </w:r>
            <w:r>
              <w:rPr>
                <w:spacing w:val="-13"/>
                <w:sz w:val="20"/>
              </w:rPr>
              <w:t> </w:t>
            </w:r>
            <w:r>
              <w:rPr>
                <w:sz w:val="20"/>
              </w:rPr>
              <w:t>C44,</w:t>
            </w:r>
            <w:r>
              <w:rPr>
                <w:spacing w:val="-12"/>
                <w:sz w:val="20"/>
              </w:rPr>
              <w:t> </w:t>
            </w:r>
            <w:r>
              <w:rPr>
                <w:sz w:val="20"/>
              </w:rPr>
              <w:t>C49.0,</w:t>
            </w:r>
            <w:r>
              <w:rPr>
                <w:spacing w:val="-13"/>
                <w:sz w:val="20"/>
              </w:rPr>
              <w:t> </w:t>
            </w:r>
            <w:r>
              <w:rPr>
                <w:sz w:val="20"/>
              </w:rPr>
              <w:t>C69, </w:t>
            </w:r>
            <w:r>
              <w:rPr>
                <w:spacing w:val="-4"/>
                <w:sz w:val="20"/>
              </w:rPr>
              <w:t>C73</w:t>
            </w:r>
          </w:p>
        </w:tc>
        <w:tc>
          <w:tcPr>
            <w:tcW w:w="3267" w:type="dxa"/>
          </w:tcPr>
          <w:p>
            <w:pPr>
              <w:pStyle w:val="TableParagraph"/>
              <w:spacing w:line="249" w:lineRule="auto" w:before="60"/>
              <w:ind w:left="106" w:right="193"/>
              <w:rPr>
                <w:sz w:val="20"/>
              </w:rPr>
            </w:pPr>
            <w:r>
              <w:rPr>
                <w:sz w:val="20"/>
              </w:rPr>
              <w:t>злокачественные</w:t>
            </w:r>
            <w:r>
              <w:rPr>
                <w:spacing w:val="-13"/>
                <w:sz w:val="20"/>
              </w:rPr>
              <w:t> </w:t>
            </w:r>
            <w:r>
              <w:rPr>
                <w:sz w:val="20"/>
              </w:rPr>
              <w:t>новообразования головы и шеи (III - IV стадия), </w:t>
            </w:r>
            <w:r>
              <w:rPr>
                <w:spacing w:val="-2"/>
                <w:sz w:val="20"/>
              </w:rPr>
              <w:t>рецидив</w:t>
            </w:r>
          </w:p>
        </w:tc>
        <w:tc>
          <w:tcPr>
            <w:tcW w:w="1535" w:type="dxa"/>
          </w:tcPr>
          <w:p>
            <w:pPr>
              <w:pStyle w:val="TableParagraph"/>
              <w:spacing w:line="249"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9" w:lineRule="auto" w:before="60"/>
              <w:ind w:left="86" w:right="220"/>
              <w:rPr>
                <w:sz w:val="20"/>
              </w:rPr>
            </w:pPr>
            <w:r>
              <w:rPr>
                <w:sz w:val="20"/>
              </w:rPr>
              <w:t>внутриартериальная или системная предоперационная полихимиотерапия с последующей</w:t>
            </w:r>
            <w:r>
              <w:rPr>
                <w:spacing w:val="-11"/>
                <w:sz w:val="20"/>
              </w:rPr>
              <w:t> </w:t>
            </w:r>
            <w:r>
              <w:rPr>
                <w:sz w:val="20"/>
              </w:rPr>
              <w:t>операцией</w:t>
            </w:r>
            <w:r>
              <w:rPr>
                <w:spacing w:val="-9"/>
                <w:sz w:val="20"/>
              </w:rPr>
              <w:t> </w:t>
            </w:r>
            <w:r>
              <w:rPr>
                <w:sz w:val="20"/>
              </w:rPr>
              <w:t>в</w:t>
            </w:r>
            <w:r>
              <w:rPr>
                <w:spacing w:val="-11"/>
                <w:sz w:val="20"/>
              </w:rPr>
              <w:t> </w:t>
            </w:r>
            <w:r>
              <w:rPr>
                <w:sz w:val="20"/>
              </w:rPr>
              <w:t>течение</w:t>
            </w:r>
            <w:r>
              <w:rPr>
                <w:spacing w:val="-10"/>
                <w:sz w:val="20"/>
              </w:rPr>
              <w:t> </w:t>
            </w:r>
            <w:r>
              <w:rPr>
                <w:sz w:val="20"/>
              </w:rPr>
              <w:t>одной </w:t>
            </w:r>
            <w:r>
              <w:rPr>
                <w:spacing w:val="-2"/>
                <w:sz w:val="20"/>
              </w:rPr>
              <w:t>госпитализации</w:t>
            </w:r>
          </w:p>
        </w:tc>
        <w:tc>
          <w:tcPr>
            <w:tcW w:w="967" w:type="dxa"/>
          </w:tcPr>
          <w:p>
            <w:pPr>
              <w:pStyle w:val="TableParagraph"/>
              <w:spacing w:before="60"/>
              <w:ind w:left="317"/>
              <w:rPr>
                <w:sz w:val="20"/>
              </w:rPr>
            </w:pPr>
            <w:r>
              <w:rPr>
                <w:spacing w:val="-2"/>
                <w:sz w:val="20"/>
              </w:rPr>
              <w:t>413158</w:t>
            </w:r>
          </w:p>
        </w:tc>
      </w:tr>
      <w:tr>
        <w:trPr>
          <w:trHeight w:val="1320" w:hRule="atLeast"/>
        </w:trPr>
        <w:tc>
          <w:tcPr>
            <w:tcW w:w="458" w:type="dxa"/>
          </w:tcPr>
          <w:p>
            <w:pPr>
              <w:pStyle w:val="TableParagraph"/>
              <w:rPr>
                <w:sz w:val="18"/>
              </w:rPr>
            </w:pPr>
          </w:p>
        </w:tc>
        <w:tc>
          <w:tcPr>
            <w:tcW w:w="2861" w:type="dxa"/>
            <w:vMerge/>
            <w:tcBorders>
              <w:top w:val="nil"/>
            </w:tcBorders>
          </w:tcPr>
          <w:p>
            <w:pPr>
              <w:rPr>
                <w:sz w:val="2"/>
                <w:szCs w:val="2"/>
              </w:rPr>
            </w:pPr>
          </w:p>
        </w:tc>
        <w:tc>
          <w:tcPr>
            <w:tcW w:w="2049" w:type="dxa"/>
          </w:tcPr>
          <w:p>
            <w:pPr>
              <w:pStyle w:val="TableParagraph"/>
              <w:spacing w:before="60"/>
              <w:ind w:left="417" w:right="409"/>
              <w:jc w:val="center"/>
              <w:rPr>
                <w:sz w:val="20"/>
              </w:rPr>
            </w:pPr>
            <w:r>
              <w:rPr>
                <w:spacing w:val="-5"/>
                <w:sz w:val="20"/>
              </w:rPr>
              <w:t>C16</w:t>
            </w:r>
          </w:p>
        </w:tc>
        <w:tc>
          <w:tcPr>
            <w:tcW w:w="3267" w:type="dxa"/>
          </w:tcPr>
          <w:p>
            <w:pPr>
              <w:pStyle w:val="TableParagraph"/>
              <w:spacing w:line="249" w:lineRule="auto" w:before="60"/>
              <w:ind w:left="106" w:right="193"/>
              <w:rPr>
                <w:sz w:val="20"/>
              </w:rPr>
            </w:pPr>
            <w:r>
              <w:rPr>
                <w:spacing w:val="-2"/>
                <w:sz w:val="20"/>
              </w:rPr>
              <w:t>местнораспространенные </w:t>
            </w:r>
            <w:r>
              <w:rPr>
                <w:sz w:val="20"/>
              </w:rPr>
              <w:t>злокачественные</w:t>
            </w:r>
            <w:r>
              <w:rPr>
                <w:spacing w:val="-13"/>
                <w:sz w:val="20"/>
              </w:rPr>
              <w:t> </w:t>
            </w:r>
            <w:r>
              <w:rPr>
                <w:sz w:val="20"/>
              </w:rPr>
              <w:t>новообразования желудка (T2N2M0, T3N1M0, T4N0M0, T3N2M0, T4N1-3M0-1)</w:t>
            </w:r>
          </w:p>
          <w:p>
            <w:pPr>
              <w:pStyle w:val="TableParagraph"/>
              <w:spacing w:before="3"/>
              <w:ind w:left="106"/>
              <w:rPr>
                <w:sz w:val="20"/>
              </w:rPr>
            </w:pPr>
            <w:r>
              <w:rPr>
                <w:sz w:val="20"/>
              </w:rPr>
              <w:t>после</w:t>
            </w:r>
            <w:r>
              <w:rPr>
                <w:spacing w:val="-6"/>
                <w:sz w:val="20"/>
              </w:rPr>
              <w:t> </w:t>
            </w:r>
            <w:r>
              <w:rPr>
                <w:sz w:val="20"/>
              </w:rPr>
              <w:t>операций</w:t>
            </w:r>
            <w:r>
              <w:rPr>
                <w:spacing w:val="-4"/>
                <w:sz w:val="20"/>
              </w:rPr>
              <w:t> </w:t>
            </w:r>
            <w:r>
              <w:rPr>
                <w:sz w:val="20"/>
              </w:rPr>
              <w:t>в</w:t>
            </w:r>
            <w:r>
              <w:rPr>
                <w:spacing w:val="-6"/>
                <w:sz w:val="20"/>
              </w:rPr>
              <w:t> </w:t>
            </w:r>
            <w:r>
              <w:rPr>
                <w:sz w:val="20"/>
              </w:rPr>
              <w:t>объеме</w:t>
            </w:r>
            <w:r>
              <w:rPr>
                <w:spacing w:val="-5"/>
                <w:sz w:val="20"/>
              </w:rPr>
              <w:t> R0</w:t>
            </w:r>
          </w:p>
        </w:tc>
        <w:tc>
          <w:tcPr>
            <w:tcW w:w="1535" w:type="dxa"/>
          </w:tcPr>
          <w:p>
            <w:pPr>
              <w:pStyle w:val="TableParagraph"/>
              <w:spacing w:line="249"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9" w:lineRule="auto" w:before="60"/>
              <w:ind w:left="86" w:right="220"/>
              <w:rPr>
                <w:sz w:val="20"/>
              </w:rPr>
            </w:pPr>
            <w:r>
              <w:rPr>
                <w:sz w:val="20"/>
              </w:rPr>
              <w:t>хирургическое</w:t>
            </w:r>
            <w:r>
              <w:rPr>
                <w:spacing w:val="-13"/>
                <w:sz w:val="20"/>
              </w:rPr>
              <w:t> </w:t>
            </w:r>
            <w:r>
              <w:rPr>
                <w:sz w:val="20"/>
              </w:rPr>
              <w:t>лечение</w:t>
            </w:r>
            <w:r>
              <w:rPr>
                <w:spacing w:val="-12"/>
                <w:sz w:val="20"/>
              </w:rPr>
              <w:t> </w:t>
            </w:r>
            <w:r>
              <w:rPr>
                <w:sz w:val="20"/>
              </w:rPr>
              <w:t>с</w:t>
            </w:r>
            <w:r>
              <w:rPr>
                <w:spacing w:val="-13"/>
                <w:sz w:val="20"/>
              </w:rPr>
              <w:t> </w:t>
            </w:r>
            <w:r>
              <w:rPr>
                <w:sz w:val="20"/>
              </w:rPr>
              <w:t>последующим курсом химиотерапии в течение одной </w:t>
            </w:r>
            <w:r>
              <w:rPr>
                <w:spacing w:val="-2"/>
                <w:sz w:val="20"/>
              </w:rPr>
              <w:t>госпитализации</w:t>
            </w:r>
          </w:p>
        </w:tc>
        <w:tc>
          <w:tcPr>
            <w:tcW w:w="967" w:type="dxa"/>
          </w:tcPr>
          <w:p>
            <w:pPr>
              <w:pStyle w:val="TableParagraph"/>
              <w:rPr>
                <w:sz w:val="18"/>
              </w:rPr>
            </w:pPr>
          </w:p>
        </w:tc>
      </w:tr>
      <w:tr>
        <w:trPr>
          <w:trHeight w:val="108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spacing w:before="60"/>
              <w:ind w:left="419" w:right="409"/>
              <w:jc w:val="center"/>
              <w:rPr>
                <w:sz w:val="20"/>
              </w:rPr>
            </w:pPr>
            <w:r>
              <w:rPr>
                <w:sz w:val="20"/>
              </w:rPr>
              <w:t>C18,</w:t>
            </w:r>
            <w:r>
              <w:rPr>
                <w:spacing w:val="-3"/>
                <w:sz w:val="20"/>
              </w:rPr>
              <w:t> </w:t>
            </w:r>
            <w:r>
              <w:rPr>
                <w:sz w:val="20"/>
              </w:rPr>
              <w:t>C19,</w:t>
            </w:r>
            <w:r>
              <w:rPr>
                <w:spacing w:val="-3"/>
                <w:sz w:val="20"/>
              </w:rPr>
              <w:t> </w:t>
            </w:r>
            <w:r>
              <w:rPr>
                <w:spacing w:val="-5"/>
                <w:sz w:val="20"/>
              </w:rPr>
              <w:t>C20</w:t>
            </w:r>
          </w:p>
        </w:tc>
        <w:tc>
          <w:tcPr>
            <w:tcW w:w="3267" w:type="dxa"/>
          </w:tcPr>
          <w:p>
            <w:pPr>
              <w:pStyle w:val="TableParagraph"/>
              <w:spacing w:line="249" w:lineRule="auto" w:before="60"/>
              <w:ind w:left="106" w:right="273"/>
              <w:rPr>
                <w:sz w:val="20"/>
              </w:rPr>
            </w:pPr>
            <w:r>
              <w:rPr>
                <w:spacing w:val="-2"/>
                <w:sz w:val="20"/>
              </w:rPr>
              <w:t>местнораспространенные </w:t>
            </w:r>
            <w:r>
              <w:rPr>
                <w:sz w:val="20"/>
              </w:rPr>
              <w:t>колоректальные</w:t>
            </w:r>
            <w:r>
              <w:rPr>
                <w:spacing w:val="-13"/>
                <w:sz w:val="20"/>
              </w:rPr>
              <w:t> </w:t>
            </w:r>
            <w:r>
              <w:rPr>
                <w:sz w:val="20"/>
              </w:rPr>
              <w:t>злокачественные новообразования</w:t>
            </w:r>
            <w:r>
              <w:rPr>
                <w:spacing w:val="-13"/>
                <w:sz w:val="20"/>
              </w:rPr>
              <w:t> </w:t>
            </w:r>
            <w:r>
              <w:rPr>
                <w:sz w:val="20"/>
              </w:rPr>
              <w:t>(T1-2N1M0,</w:t>
            </w:r>
            <w:r>
              <w:rPr>
                <w:spacing w:val="-12"/>
                <w:sz w:val="20"/>
              </w:rPr>
              <w:t> </w:t>
            </w:r>
            <w:r>
              <w:rPr>
                <w:sz w:val="20"/>
              </w:rPr>
              <w:t>T3- 4N1M0, T1-4N2M0)</w:t>
            </w:r>
          </w:p>
        </w:tc>
        <w:tc>
          <w:tcPr>
            <w:tcW w:w="1535" w:type="dxa"/>
          </w:tcPr>
          <w:p>
            <w:pPr>
              <w:pStyle w:val="TableParagraph"/>
              <w:spacing w:line="252"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9" w:lineRule="auto" w:before="60"/>
              <w:ind w:left="86" w:right="220"/>
              <w:rPr>
                <w:sz w:val="20"/>
              </w:rPr>
            </w:pPr>
            <w:r>
              <w:rPr>
                <w:sz w:val="20"/>
              </w:rPr>
              <w:t>хирургическое</w:t>
            </w:r>
            <w:r>
              <w:rPr>
                <w:spacing w:val="-13"/>
                <w:sz w:val="20"/>
              </w:rPr>
              <w:t> </w:t>
            </w:r>
            <w:r>
              <w:rPr>
                <w:sz w:val="20"/>
              </w:rPr>
              <w:t>лечение</w:t>
            </w:r>
            <w:r>
              <w:rPr>
                <w:spacing w:val="-12"/>
                <w:sz w:val="20"/>
              </w:rPr>
              <w:t> </w:t>
            </w:r>
            <w:r>
              <w:rPr>
                <w:sz w:val="20"/>
              </w:rPr>
              <w:t>с</w:t>
            </w:r>
            <w:r>
              <w:rPr>
                <w:spacing w:val="-13"/>
                <w:sz w:val="20"/>
              </w:rPr>
              <w:t> </w:t>
            </w:r>
            <w:r>
              <w:rPr>
                <w:sz w:val="20"/>
              </w:rPr>
              <w:t>последующим курсом химиотерапии в течение одной </w:t>
            </w:r>
            <w:r>
              <w:rPr>
                <w:spacing w:val="-2"/>
                <w:sz w:val="20"/>
              </w:rPr>
              <w:t>госпитализации</w:t>
            </w:r>
          </w:p>
        </w:tc>
        <w:tc>
          <w:tcPr>
            <w:tcW w:w="967" w:type="dxa"/>
          </w:tcPr>
          <w:p>
            <w:pPr>
              <w:pStyle w:val="TableParagraph"/>
              <w:rPr>
                <w:sz w:val="18"/>
              </w:rPr>
            </w:pPr>
          </w:p>
        </w:tc>
      </w:tr>
      <w:tr>
        <w:trPr>
          <w:trHeight w:val="125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rPr>
                <w:sz w:val="18"/>
              </w:rPr>
            </w:pPr>
          </w:p>
        </w:tc>
        <w:tc>
          <w:tcPr>
            <w:tcW w:w="3267" w:type="dxa"/>
          </w:tcPr>
          <w:p>
            <w:pPr>
              <w:pStyle w:val="TableParagraph"/>
              <w:spacing w:line="240" w:lineRule="atLeast" w:before="30"/>
              <w:ind w:left="106"/>
              <w:rPr>
                <w:sz w:val="20"/>
              </w:rPr>
            </w:pPr>
            <w:r>
              <w:rPr>
                <w:sz w:val="20"/>
              </w:rPr>
              <w:t>метастатические колоректальные злокачественные</w:t>
            </w:r>
            <w:r>
              <w:rPr>
                <w:spacing w:val="-13"/>
                <w:sz w:val="20"/>
              </w:rPr>
              <w:t> </w:t>
            </w:r>
            <w:r>
              <w:rPr>
                <w:sz w:val="20"/>
              </w:rPr>
              <w:t>новообразования, предполагающие</w:t>
            </w:r>
            <w:r>
              <w:rPr>
                <w:spacing w:val="-13"/>
                <w:sz w:val="20"/>
              </w:rPr>
              <w:t> </w:t>
            </w:r>
            <w:r>
              <w:rPr>
                <w:sz w:val="20"/>
              </w:rPr>
              <w:t>использование</w:t>
            </w:r>
            <w:r>
              <w:rPr>
                <w:spacing w:val="-12"/>
                <w:sz w:val="20"/>
              </w:rPr>
              <w:t> </w:t>
            </w:r>
            <w:r>
              <w:rPr>
                <w:sz w:val="20"/>
              </w:rPr>
              <w:t>на одном из этапов лечения хирургического метода</w:t>
            </w:r>
          </w:p>
        </w:tc>
        <w:tc>
          <w:tcPr>
            <w:tcW w:w="1535" w:type="dxa"/>
          </w:tcPr>
          <w:p>
            <w:pPr>
              <w:pStyle w:val="TableParagraph"/>
              <w:spacing w:line="249"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0" w:lineRule="atLeast" w:before="30"/>
              <w:ind w:left="86" w:right="220"/>
              <w:rPr>
                <w:sz w:val="20"/>
              </w:rPr>
            </w:pPr>
            <w:r>
              <w:rPr>
                <w:sz w:val="20"/>
              </w:rPr>
              <w:t>предоперационная химиотерапия с применением таргетных лекарственных препаратов после проведения генетических</w:t>
            </w:r>
            <w:r>
              <w:rPr>
                <w:spacing w:val="-13"/>
                <w:sz w:val="20"/>
              </w:rPr>
              <w:t> </w:t>
            </w:r>
            <w:r>
              <w:rPr>
                <w:sz w:val="20"/>
              </w:rPr>
              <w:t>исследований</w:t>
            </w:r>
            <w:r>
              <w:rPr>
                <w:spacing w:val="-12"/>
                <w:sz w:val="20"/>
              </w:rPr>
              <w:t> </w:t>
            </w:r>
            <w:r>
              <w:rPr>
                <w:sz w:val="20"/>
              </w:rPr>
              <w:t>(определение мутаций)</w:t>
            </w:r>
            <w:r>
              <w:rPr>
                <w:spacing w:val="-9"/>
                <w:sz w:val="20"/>
              </w:rPr>
              <w:t> </w:t>
            </w:r>
            <w:r>
              <w:rPr>
                <w:sz w:val="20"/>
              </w:rPr>
              <w:t>с</w:t>
            </w:r>
            <w:r>
              <w:rPr>
                <w:spacing w:val="-9"/>
                <w:sz w:val="20"/>
              </w:rPr>
              <w:t> </w:t>
            </w:r>
            <w:r>
              <w:rPr>
                <w:sz w:val="20"/>
              </w:rPr>
              <w:t>последующим</w:t>
            </w:r>
            <w:r>
              <w:rPr>
                <w:spacing w:val="-8"/>
                <w:sz w:val="20"/>
              </w:rPr>
              <w:t> </w:t>
            </w:r>
            <w:r>
              <w:rPr>
                <w:spacing w:val="-2"/>
                <w:sz w:val="20"/>
              </w:rPr>
              <w:t>хирургическим</w:t>
            </w:r>
          </w:p>
        </w:tc>
        <w:tc>
          <w:tcPr>
            <w:tcW w:w="967"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3392"/>
        <w:gridCol w:w="1455"/>
        <w:gridCol w:w="3537"/>
      </w:tblGrid>
      <w:tr>
        <w:trPr>
          <w:trHeight w:val="530" w:hRule="atLeast"/>
        </w:trPr>
        <w:tc>
          <w:tcPr>
            <w:tcW w:w="1851" w:type="dxa"/>
          </w:tcPr>
          <w:p>
            <w:pPr>
              <w:pStyle w:val="TableParagraph"/>
              <w:rPr>
                <w:sz w:val="18"/>
              </w:rPr>
            </w:pPr>
          </w:p>
        </w:tc>
        <w:tc>
          <w:tcPr>
            <w:tcW w:w="3392" w:type="dxa"/>
          </w:tcPr>
          <w:p>
            <w:pPr>
              <w:pStyle w:val="TableParagraph"/>
              <w:rPr>
                <w:sz w:val="18"/>
              </w:rPr>
            </w:pPr>
          </w:p>
        </w:tc>
        <w:tc>
          <w:tcPr>
            <w:tcW w:w="1455" w:type="dxa"/>
          </w:tcPr>
          <w:p>
            <w:pPr>
              <w:pStyle w:val="TableParagraph"/>
              <w:rPr>
                <w:sz w:val="18"/>
              </w:rPr>
            </w:pPr>
          </w:p>
        </w:tc>
        <w:tc>
          <w:tcPr>
            <w:tcW w:w="3537" w:type="dxa"/>
          </w:tcPr>
          <w:p>
            <w:pPr>
              <w:pStyle w:val="TableParagraph"/>
              <w:spacing w:line="249" w:lineRule="auto"/>
              <w:ind w:left="85"/>
              <w:rPr>
                <w:sz w:val="20"/>
              </w:rPr>
            </w:pPr>
            <w:r>
              <w:rPr>
                <w:sz w:val="20"/>
              </w:rPr>
              <w:t>лечением</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560" w:hRule="atLeast"/>
        </w:trPr>
        <w:tc>
          <w:tcPr>
            <w:tcW w:w="1851" w:type="dxa"/>
          </w:tcPr>
          <w:p>
            <w:pPr>
              <w:pStyle w:val="TableParagraph"/>
              <w:rPr>
                <w:sz w:val="18"/>
              </w:rPr>
            </w:pPr>
          </w:p>
        </w:tc>
        <w:tc>
          <w:tcPr>
            <w:tcW w:w="3392" w:type="dxa"/>
          </w:tcPr>
          <w:p>
            <w:pPr>
              <w:pStyle w:val="TableParagraph"/>
              <w:rPr>
                <w:sz w:val="18"/>
              </w:rPr>
            </w:pPr>
          </w:p>
        </w:tc>
        <w:tc>
          <w:tcPr>
            <w:tcW w:w="1455" w:type="dxa"/>
          </w:tcPr>
          <w:p>
            <w:pPr>
              <w:pStyle w:val="TableParagraph"/>
              <w:rPr>
                <w:sz w:val="18"/>
              </w:rPr>
            </w:pPr>
          </w:p>
        </w:tc>
        <w:tc>
          <w:tcPr>
            <w:tcW w:w="3537" w:type="dxa"/>
          </w:tcPr>
          <w:p>
            <w:pPr>
              <w:pStyle w:val="TableParagraph"/>
              <w:spacing w:line="249" w:lineRule="auto" w:before="60"/>
              <w:ind w:left="85"/>
              <w:rPr>
                <w:sz w:val="20"/>
              </w:rPr>
            </w:pPr>
            <w:r>
              <w:rPr>
                <w:sz w:val="20"/>
              </w:rPr>
              <w:t>хирургическое</w:t>
            </w:r>
            <w:r>
              <w:rPr>
                <w:spacing w:val="-13"/>
                <w:sz w:val="20"/>
              </w:rPr>
              <w:t> </w:t>
            </w:r>
            <w:r>
              <w:rPr>
                <w:sz w:val="20"/>
              </w:rPr>
              <w:t>лечение</w:t>
            </w:r>
            <w:r>
              <w:rPr>
                <w:spacing w:val="-12"/>
                <w:sz w:val="20"/>
              </w:rPr>
              <w:t> </w:t>
            </w:r>
            <w:r>
              <w:rPr>
                <w:sz w:val="20"/>
              </w:rPr>
              <w:t>с</w:t>
            </w:r>
            <w:r>
              <w:rPr>
                <w:spacing w:val="-13"/>
                <w:sz w:val="20"/>
              </w:rPr>
              <w:t> </w:t>
            </w:r>
            <w:r>
              <w:rPr>
                <w:sz w:val="20"/>
              </w:rPr>
              <w:t>последующим курсом химиотерапии с применением таргетных лекарственных препаратов после проведения генетических исследований (определение мутаций)</w:t>
            </w:r>
          </w:p>
          <w:p>
            <w:pPr>
              <w:pStyle w:val="TableParagraph"/>
              <w:spacing w:before="5"/>
              <w:ind w:left="85"/>
              <w:rPr>
                <w:sz w:val="20"/>
              </w:rPr>
            </w:pPr>
            <w:r>
              <w:rPr>
                <w:sz w:val="20"/>
              </w:rPr>
              <w:t>в</w:t>
            </w:r>
            <w:r>
              <w:rPr>
                <w:spacing w:val="-6"/>
                <w:sz w:val="20"/>
              </w:rPr>
              <w:t> </w:t>
            </w:r>
            <w:r>
              <w:rPr>
                <w:sz w:val="20"/>
              </w:rPr>
              <w:t>течение</w:t>
            </w:r>
            <w:r>
              <w:rPr>
                <w:spacing w:val="-5"/>
                <w:sz w:val="20"/>
              </w:rPr>
              <w:t> </w:t>
            </w:r>
            <w:r>
              <w:rPr>
                <w:sz w:val="20"/>
              </w:rPr>
              <w:t>одной</w:t>
            </w:r>
            <w:r>
              <w:rPr>
                <w:spacing w:val="-6"/>
                <w:sz w:val="20"/>
              </w:rPr>
              <w:t> </w:t>
            </w:r>
            <w:r>
              <w:rPr>
                <w:spacing w:val="-2"/>
                <w:sz w:val="20"/>
              </w:rPr>
              <w:t>госпитализации</w:t>
            </w:r>
          </w:p>
        </w:tc>
      </w:tr>
      <w:tr>
        <w:trPr>
          <w:trHeight w:val="1320" w:hRule="atLeast"/>
        </w:trPr>
        <w:tc>
          <w:tcPr>
            <w:tcW w:w="1851" w:type="dxa"/>
          </w:tcPr>
          <w:p>
            <w:pPr>
              <w:pStyle w:val="TableParagraph"/>
              <w:spacing w:before="60"/>
              <w:ind w:left="708"/>
              <w:rPr>
                <w:sz w:val="20"/>
              </w:rPr>
            </w:pPr>
            <w:r>
              <w:rPr>
                <w:spacing w:val="-5"/>
                <w:sz w:val="20"/>
              </w:rPr>
              <w:t>C34</w:t>
            </w:r>
          </w:p>
        </w:tc>
        <w:tc>
          <w:tcPr>
            <w:tcW w:w="3392" w:type="dxa"/>
          </w:tcPr>
          <w:p>
            <w:pPr>
              <w:pStyle w:val="TableParagraph"/>
              <w:spacing w:line="249" w:lineRule="auto" w:before="60"/>
              <w:ind w:left="150" w:right="282"/>
              <w:rPr>
                <w:sz w:val="20"/>
              </w:rPr>
            </w:pPr>
            <w:r>
              <w:rPr>
                <w:spacing w:val="-2"/>
                <w:sz w:val="20"/>
              </w:rPr>
              <w:t>местнораспространенные </w:t>
            </w:r>
            <w:r>
              <w:rPr>
                <w:sz w:val="20"/>
              </w:rPr>
              <w:t>злокачественные</w:t>
            </w:r>
            <w:r>
              <w:rPr>
                <w:spacing w:val="-13"/>
                <w:sz w:val="20"/>
              </w:rPr>
              <w:t> </w:t>
            </w:r>
            <w:r>
              <w:rPr>
                <w:sz w:val="20"/>
              </w:rPr>
              <w:t>новообразования легкого (T3N1M0, T1-3N2M0, T4N0-2M0, T1-4N3M0)</w:t>
            </w:r>
          </w:p>
        </w:tc>
        <w:tc>
          <w:tcPr>
            <w:tcW w:w="1455" w:type="dxa"/>
          </w:tcPr>
          <w:p>
            <w:pPr>
              <w:pStyle w:val="TableParagraph"/>
              <w:spacing w:line="249"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840" w:hRule="atLeast"/>
        </w:trPr>
        <w:tc>
          <w:tcPr>
            <w:tcW w:w="1851" w:type="dxa"/>
          </w:tcPr>
          <w:p>
            <w:pPr>
              <w:pStyle w:val="TableParagraph"/>
              <w:spacing w:line="249" w:lineRule="auto" w:before="60"/>
              <w:ind w:left="50" w:firstLine="48"/>
              <w:rPr>
                <w:sz w:val="20"/>
              </w:rPr>
            </w:pPr>
            <w:r>
              <w:rPr>
                <w:sz w:val="20"/>
              </w:rPr>
              <w:t>C40, C41.2, C41.3, C41.4,</w:t>
            </w:r>
            <w:r>
              <w:rPr>
                <w:spacing w:val="-5"/>
                <w:sz w:val="20"/>
              </w:rPr>
              <w:t> </w:t>
            </w:r>
            <w:r>
              <w:rPr>
                <w:sz w:val="20"/>
              </w:rPr>
              <w:t>C41.8,</w:t>
            </w:r>
            <w:r>
              <w:rPr>
                <w:spacing w:val="-5"/>
                <w:sz w:val="20"/>
              </w:rPr>
              <w:t> </w:t>
            </w:r>
            <w:r>
              <w:rPr>
                <w:spacing w:val="-4"/>
                <w:sz w:val="20"/>
              </w:rPr>
              <w:t>C41.9</w:t>
            </w:r>
          </w:p>
        </w:tc>
        <w:tc>
          <w:tcPr>
            <w:tcW w:w="3392" w:type="dxa"/>
            <w:vMerge w:val="restart"/>
          </w:tcPr>
          <w:p>
            <w:pPr>
              <w:pStyle w:val="TableParagraph"/>
              <w:spacing w:line="249" w:lineRule="auto" w:before="60"/>
              <w:ind w:left="150"/>
              <w:rPr>
                <w:sz w:val="20"/>
              </w:rPr>
            </w:pPr>
            <w:r>
              <w:rPr>
                <w:sz w:val="20"/>
              </w:rPr>
              <w:t>первичные злокачественные новообразования</w:t>
            </w:r>
            <w:r>
              <w:rPr>
                <w:spacing w:val="-13"/>
                <w:sz w:val="20"/>
              </w:rPr>
              <w:t> </w:t>
            </w:r>
            <w:r>
              <w:rPr>
                <w:sz w:val="20"/>
              </w:rPr>
              <w:t>костей</w:t>
            </w:r>
            <w:r>
              <w:rPr>
                <w:spacing w:val="-12"/>
                <w:sz w:val="20"/>
              </w:rPr>
              <w:t> </w:t>
            </w:r>
            <w:r>
              <w:rPr>
                <w:sz w:val="20"/>
              </w:rPr>
              <w:t>и</w:t>
            </w:r>
            <w:r>
              <w:rPr>
                <w:spacing w:val="-13"/>
                <w:sz w:val="20"/>
              </w:rPr>
              <w:t> </w:t>
            </w:r>
            <w:r>
              <w:rPr>
                <w:sz w:val="20"/>
              </w:rPr>
              <w:t>суставных хрящей туловища и конечностей</w:t>
            </w:r>
          </w:p>
          <w:p>
            <w:pPr>
              <w:pStyle w:val="TableParagraph"/>
              <w:spacing w:line="249" w:lineRule="auto" w:before="3"/>
              <w:ind w:left="150" w:right="274"/>
              <w:rPr>
                <w:sz w:val="20"/>
              </w:rPr>
            </w:pPr>
            <w:r>
              <w:rPr>
                <w:sz w:val="20"/>
              </w:rPr>
              <w:t>IIb - IVa,b стадии. Первичные злокачественные</w:t>
            </w:r>
            <w:r>
              <w:rPr>
                <w:spacing w:val="-13"/>
                <w:sz w:val="20"/>
              </w:rPr>
              <w:t> </w:t>
            </w:r>
            <w:r>
              <w:rPr>
                <w:sz w:val="20"/>
              </w:rPr>
              <w:t>новообразования мягких тканей туловища и конечностей Iia-b, III, IV стадии</w:t>
            </w:r>
          </w:p>
        </w:tc>
        <w:tc>
          <w:tcPr>
            <w:tcW w:w="1455" w:type="dxa"/>
          </w:tcPr>
          <w:p>
            <w:pPr>
              <w:pStyle w:val="TableParagraph"/>
              <w:spacing w:line="249"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9" w:lineRule="auto" w:before="60"/>
              <w:ind w:left="85"/>
              <w:rPr>
                <w:sz w:val="20"/>
              </w:rPr>
            </w:pPr>
            <w:r>
              <w:rPr>
                <w:sz w:val="20"/>
              </w:rPr>
              <w:t>внутриартериальная</w:t>
            </w:r>
            <w:r>
              <w:rPr>
                <w:spacing w:val="-13"/>
                <w:sz w:val="20"/>
              </w:rPr>
              <w:t> </w:t>
            </w:r>
            <w:r>
              <w:rPr>
                <w:sz w:val="20"/>
              </w:rPr>
              <w:t>химиотерапия</w:t>
            </w:r>
            <w:r>
              <w:rPr>
                <w:spacing w:val="-12"/>
                <w:sz w:val="20"/>
              </w:rPr>
              <w:t> </w:t>
            </w:r>
            <w:r>
              <w:rPr>
                <w:sz w:val="20"/>
              </w:rPr>
              <w:t>с последующим хирургическим </w:t>
            </w:r>
            <w:r>
              <w:rPr>
                <w:spacing w:val="-2"/>
                <w:sz w:val="20"/>
              </w:rPr>
              <w:t>вмешательством</w:t>
            </w:r>
          </w:p>
        </w:tc>
      </w:tr>
      <w:tr>
        <w:trPr>
          <w:trHeight w:val="1320" w:hRule="atLeast"/>
        </w:trPr>
        <w:tc>
          <w:tcPr>
            <w:tcW w:w="1851" w:type="dxa"/>
          </w:tcPr>
          <w:p>
            <w:pPr>
              <w:pStyle w:val="TableParagraph"/>
              <w:rPr>
                <w:sz w:val="18"/>
              </w:rPr>
            </w:pPr>
          </w:p>
        </w:tc>
        <w:tc>
          <w:tcPr>
            <w:tcW w:w="3392" w:type="dxa"/>
            <w:vMerge/>
            <w:tcBorders>
              <w:top w:val="nil"/>
            </w:tcBorders>
          </w:tcPr>
          <w:p>
            <w:pPr>
              <w:rPr>
                <w:sz w:val="2"/>
                <w:szCs w:val="2"/>
              </w:rPr>
            </w:pPr>
          </w:p>
        </w:tc>
        <w:tc>
          <w:tcPr>
            <w:tcW w:w="1455" w:type="dxa"/>
          </w:tcPr>
          <w:p>
            <w:pPr>
              <w:pStyle w:val="TableParagraph"/>
              <w:rPr>
                <w:sz w:val="18"/>
              </w:rPr>
            </w:pPr>
          </w:p>
        </w:tc>
        <w:tc>
          <w:tcPr>
            <w:tcW w:w="3537"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320" w:hRule="atLeast"/>
        </w:trPr>
        <w:tc>
          <w:tcPr>
            <w:tcW w:w="1851" w:type="dxa"/>
          </w:tcPr>
          <w:p>
            <w:pPr>
              <w:pStyle w:val="TableParagraph"/>
              <w:spacing w:before="60"/>
              <w:ind w:left="708"/>
              <w:rPr>
                <w:sz w:val="20"/>
              </w:rPr>
            </w:pPr>
            <w:r>
              <w:rPr>
                <w:spacing w:val="-5"/>
                <w:sz w:val="20"/>
              </w:rPr>
              <w:t>C48</w:t>
            </w:r>
          </w:p>
        </w:tc>
        <w:tc>
          <w:tcPr>
            <w:tcW w:w="3392" w:type="dxa"/>
          </w:tcPr>
          <w:p>
            <w:pPr>
              <w:pStyle w:val="TableParagraph"/>
              <w:spacing w:line="249" w:lineRule="auto" w:before="60"/>
              <w:ind w:left="150" w:right="103"/>
              <w:rPr>
                <w:sz w:val="20"/>
              </w:rPr>
            </w:pPr>
            <w:r>
              <w:rPr>
                <w:sz w:val="20"/>
              </w:rPr>
              <w:t>местнораспространенные и метастатические формы первичных и</w:t>
            </w:r>
            <w:r>
              <w:rPr>
                <w:spacing w:val="-13"/>
                <w:sz w:val="20"/>
              </w:rPr>
              <w:t> </w:t>
            </w:r>
            <w:r>
              <w:rPr>
                <w:sz w:val="20"/>
              </w:rPr>
              <w:t>рецидивных</w:t>
            </w:r>
            <w:r>
              <w:rPr>
                <w:spacing w:val="-12"/>
                <w:sz w:val="20"/>
              </w:rPr>
              <w:t> </w:t>
            </w:r>
            <w:r>
              <w:rPr>
                <w:sz w:val="20"/>
              </w:rPr>
              <w:t>неорганных</w:t>
            </w:r>
            <w:r>
              <w:rPr>
                <w:spacing w:val="-13"/>
                <w:sz w:val="20"/>
              </w:rPr>
              <w:t> </w:t>
            </w:r>
            <w:r>
              <w:rPr>
                <w:sz w:val="20"/>
              </w:rPr>
              <w:t>опухолей забрюшинного пространства</w:t>
            </w:r>
          </w:p>
        </w:tc>
        <w:tc>
          <w:tcPr>
            <w:tcW w:w="1455" w:type="dxa"/>
          </w:tcPr>
          <w:p>
            <w:pPr>
              <w:pStyle w:val="TableParagraph"/>
              <w:spacing w:line="252"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770" w:hRule="atLeast"/>
        </w:trPr>
        <w:tc>
          <w:tcPr>
            <w:tcW w:w="1851" w:type="dxa"/>
          </w:tcPr>
          <w:p>
            <w:pPr>
              <w:pStyle w:val="TableParagraph"/>
              <w:rPr>
                <w:sz w:val="18"/>
              </w:rPr>
            </w:pPr>
          </w:p>
        </w:tc>
        <w:tc>
          <w:tcPr>
            <w:tcW w:w="3392" w:type="dxa"/>
          </w:tcPr>
          <w:p>
            <w:pPr>
              <w:pStyle w:val="TableParagraph"/>
              <w:spacing w:line="249" w:lineRule="auto" w:before="60"/>
              <w:ind w:left="150" w:right="413"/>
              <w:rPr>
                <w:sz w:val="20"/>
              </w:rPr>
            </w:pPr>
            <w:r>
              <w:rPr>
                <w:sz w:val="20"/>
              </w:rPr>
              <w:t>местнораспространенные</w:t>
            </w:r>
            <w:r>
              <w:rPr>
                <w:spacing w:val="-13"/>
                <w:sz w:val="20"/>
              </w:rPr>
              <w:t> </w:t>
            </w:r>
            <w:r>
              <w:rPr>
                <w:sz w:val="20"/>
              </w:rPr>
              <w:t>формы опухолей брюшной стенки</w:t>
            </w:r>
          </w:p>
        </w:tc>
        <w:tc>
          <w:tcPr>
            <w:tcW w:w="1455" w:type="dxa"/>
          </w:tcPr>
          <w:p>
            <w:pPr>
              <w:pStyle w:val="TableParagraph"/>
              <w:spacing w:line="249"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0" w:lineRule="atLeast" w:before="3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74"/>
        <w:gridCol w:w="1502"/>
        <w:gridCol w:w="3675"/>
      </w:tblGrid>
      <w:tr>
        <w:trPr>
          <w:trHeight w:val="530" w:hRule="atLeast"/>
        </w:trPr>
        <w:tc>
          <w:tcPr>
            <w:tcW w:w="863" w:type="dxa"/>
          </w:tcPr>
          <w:p>
            <w:pPr>
              <w:pStyle w:val="TableParagraph"/>
              <w:rPr>
                <w:sz w:val="18"/>
              </w:rPr>
            </w:pPr>
          </w:p>
        </w:tc>
        <w:tc>
          <w:tcPr>
            <w:tcW w:w="3674" w:type="dxa"/>
          </w:tcPr>
          <w:p>
            <w:pPr>
              <w:pStyle w:val="TableParagraph"/>
              <w:rPr>
                <w:sz w:val="18"/>
              </w:rPr>
            </w:pPr>
          </w:p>
        </w:tc>
        <w:tc>
          <w:tcPr>
            <w:tcW w:w="1502" w:type="dxa"/>
          </w:tcPr>
          <w:p>
            <w:pPr>
              <w:pStyle w:val="TableParagraph"/>
              <w:rPr>
                <w:sz w:val="18"/>
              </w:rPr>
            </w:pPr>
          </w:p>
        </w:tc>
        <w:tc>
          <w:tcPr>
            <w:tcW w:w="3675" w:type="dxa"/>
          </w:tcPr>
          <w:p>
            <w:pPr>
              <w:pStyle w:val="TableParagraph"/>
              <w:spacing w:line="249" w:lineRule="auto"/>
              <w:ind w:left="86"/>
              <w:rPr>
                <w:sz w:val="20"/>
              </w:rPr>
            </w:pPr>
            <w:r>
              <w:rPr>
                <w:sz w:val="20"/>
              </w:rPr>
              <w:t>вмешательства</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320" w:hRule="atLeast"/>
        </w:trPr>
        <w:tc>
          <w:tcPr>
            <w:tcW w:w="863" w:type="dxa"/>
          </w:tcPr>
          <w:p>
            <w:pPr>
              <w:pStyle w:val="TableParagraph"/>
              <w:spacing w:before="60"/>
              <w:ind w:left="50"/>
              <w:rPr>
                <w:sz w:val="20"/>
              </w:rPr>
            </w:pPr>
            <w:r>
              <w:rPr>
                <w:spacing w:val="-5"/>
                <w:sz w:val="20"/>
              </w:rPr>
              <w:t>C50</w:t>
            </w:r>
          </w:p>
        </w:tc>
        <w:tc>
          <w:tcPr>
            <w:tcW w:w="3674" w:type="dxa"/>
          </w:tcPr>
          <w:p>
            <w:pPr>
              <w:pStyle w:val="TableParagraph"/>
              <w:spacing w:line="249" w:lineRule="auto" w:before="60"/>
              <w:ind w:left="480" w:right="165"/>
              <w:rPr>
                <w:sz w:val="20"/>
              </w:rPr>
            </w:pPr>
            <w:r>
              <w:rPr>
                <w:sz w:val="20"/>
              </w:rPr>
              <w:t>первичные злокачественные новообразования</w:t>
            </w:r>
            <w:r>
              <w:rPr>
                <w:spacing w:val="-13"/>
                <w:sz w:val="20"/>
              </w:rPr>
              <w:t> </w:t>
            </w:r>
            <w:r>
              <w:rPr>
                <w:sz w:val="20"/>
              </w:rPr>
              <w:t>молочной</w:t>
            </w:r>
            <w:r>
              <w:rPr>
                <w:spacing w:val="-12"/>
                <w:sz w:val="20"/>
              </w:rPr>
              <w:t> </w:t>
            </w:r>
            <w:r>
              <w:rPr>
                <w:sz w:val="20"/>
              </w:rPr>
              <w:t>железы </w:t>
            </w:r>
            <w:r>
              <w:rPr>
                <w:spacing w:val="-2"/>
                <w:sz w:val="20"/>
              </w:rPr>
              <w:t>(T1-3N0-1M0)</w:t>
            </w:r>
          </w:p>
        </w:tc>
        <w:tc>
          <w:tcPr>
            <w:tcW w:w="1502"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560" w:hRule="atLeast"/>
        </w:trPr>
        <w:tc>
          <w:tcPr>
            <w:tcW w:w="863" w:type="dxa"/>
          </w:tcPr>
          <w:p>
            <w:pPr>
              <w:pStyle w:val="TableParagraph"/>
              <w:rPr>
                <w:sz w:val="18"/>
              </w:rPr>
            </w:pPr>
          </w:p>
        </w:tc>
        <w:tc>
          <w:tcPr>
            <w:tcW w:w="3674" w:type="dxa"/>
          </w:tcPr>
          <w:p>
            <w:pPr>
              <w:pStyle w:val="TableParagraph"/>
              <w:spacing w:line="249" w:lineRule="auto" w:before="60"/>
              <w:ind w:left="480" w:right="165"/>
              <w:rPr>
                <w:sz w:val="20"/>
              </w:rPr>
            </w:pPr>
            <w:r>
              <w:rPr>
                <w:sz w:val="20"/>
              </w:rPr>
              <w:t>первичные злокачественные новообразования</w:t>
            </w:r>
            <w:r>
              <w:rPr>
                <w:spacing w:val="-13"/>
                <w:sz w:val="20"/>
              </w:rPr>
              <w:t> </w:t>
            </w:r>
            <w:r>
              <w:rPr>
                <w:sz w:val="20"/>
              </w:rPr>
              <w:t>молочной</w:t>
            </w:r>
            <w:r>
              <w:rPr>
                <w:spacing w:val="-12"/>
                <w:sz w:val="20"/>
              </w:rPr>
              <w:t> </w:t>
            </w:r>
            <w:r>
              <w:rPr>
                <w:sz w:val="20"/>
              </w:rPr>
              <w:t>железы (T1N2-3M0; T2-3N1-3M0)</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w:t>
            </w:r>
            <w:r>
              <w:rPr>
                <w:spacing w:val="-13"/>
                <w:sz w:val="20"/>
              </w:rPr>
              <w:t> </w:t>
            </w:r>
            <w:r>
              <w:rPr>
                <w:sz w:val="20"/>
              </w:rPr>
              <w:t>химиотерапия,</w:t>
            </w:r>
            <w:r>
              <w:rPr>
                <w:spacing w:val="-12"/>
                <w:sz w:val="20"/>
              </w:rPr>
              <w:t> </w:t>
            </w:r>
            <w:r>
              <w:rPr>
                <w:sz w:val="20"/>
              </w:rPr>
              <w:t>в</w:t>
            </w:r>
            <w:r>
              <w:rPr>
                <w:spacing w:val="-13"/>
                <w:sz w:val="20"/>
              </w:rPr>
              <w:t> </w:t>
            </w:r>
            <w:r>
              <w:rPr>
                <w:sz w:val="20"/>
              </w:rPr>
              <w:t>том числе в сочетании с таргетными лекарственными препаратами, с проведением хирургического вмешательства в течение одной </w:t>
            </w:r>
            <w:r>
              <w:rPr>
                <w:spacing w:val="-2"/>
                <w:sz w:val="20"/>
              </w:rPr>
              <w:t>госпитализации</w:t>
            </w:r>
          </w:p>
        </w:tc>
      </w:tr>
      <w:tr>
        <w:trPr>
          <w:trHeight w:val="1320" w:hRule="atLeast"/>
        </w:trPr>
        <w:tc>
          <w:tcPr>
            <w:tcW w:w="863" w:type="dxa"/>
          </w:tcPr>
          <w:p>
            <w:pPr>
              <w:pStyle w:val="TableParagraph"/>
              <w:rPr>
                <w:sz w:val="18"/>
              </w:rPr>
            </w:pPr>
          </w:p>
        </w:tc>
        <w:tc>
          <w:tcPr>
            <w:tcW w:w="3674" w:type="dxa"/>
          </w:tcPr>
          <w:p>
            <w:pPr>
              <w:pStyle w:val="TableParagraph"/>
              <w:spacing w:line="249" w:lineRule="auto" w:before="60"/>
              <w:ind w:left="480"/>
              <w:rPr>
                <w:sz w:val="20"/>
              </w:rPr>
            </w:pPr>
            <w:r>
              <w:rPr>
                <w:sz w:val="20"/>
              </w:rPr>
              <w:t>метастатические и рецидивные злокачественные новообразования молочной</w:t>
            </w:r>
            <w:r>
              <w:rPr>
                <w:spacing w:val="-13"/>
                <w:sz w:val="20"/>
              </w:rPr>
              <w:t> </w:t>
            </w:r>
            <w:r>
              <w:rPr>
                <w:sz w:val="20"/>
              </w:rPr>
              <w:t>железы,</w:t>
            </w:r>
            <w:r>
              <w:rPr>
                <w:spacing w:val="-12"/>
                <w:sz w:val="20"/>
              </w:rPr>
              <w:t> </w:t>
            </w:r>
            <w:r>
              <w:rPr>
                <w:sz w:val="20"/>
              </w:rPr>
              <w:t>предполагающие использование на одном из этапов лечения хирургического метода</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 или послеопера- ционная химиотерапия с проведением хирургического</w:t>
            </w:r>
            <w:r>
              <w:rPr>
                <w:spacing w:val="-13"/>
                <w:sz w:val="20"/>
              </w:rPr>
              <w:t> </w:t>
            </w:r>
            <w:r>
              <w:rPr>
                <w:sz w:val="20"/>
              </w:rPr>
              <w:t>вмешательства</w:t>
            </w:r>
            <w:r>
              <w:rPr>
                <w:spacing w:val="-12"/>
                <w:sz w:val="20"/>
              </w:rPr>
              <w:t> </w:t>
            </w:r>
            <w:r>
              <w:rPr>
                <w:sz w:val="20"/>
              </w:rPr>
              <w:t>в</w:t>
            </w:r>
            <w:r>
              <w:rPr>
                <w:spacing w:val="-13"/>
                <w:sz w:val="20"/>
              </w:rPr>
              <w:t> </w:t>
            </w:r>
            <w:r>
              <w:rPr>
                <w:sz w:val="20"/>
              </w:rPr>
              <w:t>течение одной госпитализации</w:t>
            </w:r>
          </w:p>
        </w:tc>
      </w:tr>
      <w:tr>
        <w:trPr>
          <w:trHeight w:val="1320" w:hRule="atLeast"/>
        </w:trPr>
        <w:tc>
          <w:tcPr>
            <w:tcW w:w="863" w:type="dxa"/>
          </w:tcPr>
          <w:p>
            <w:pPr>
              <w:pStyle w:val="TableParagraph"/>
              <w:spacing w:before="60"/>
              <w:ind w:left="50"/>
              <w:rPr>
                <w:sz w:val="20"/>
              </w:rPr>
            </w:pPr>
            <w:r>
              <w:rPr>
                <w:spacing w:val="-5"/>
                <w:sz w:val="20"/>
              </w:rPr>
              <w:t>C53</w:t>
            </w:r>
          </w:p>
        </w:tc>
        <w:tc>
          <w:tcPr>
            <w:tcW w:w="3674" w:type="dxa"/>
          </w:tcPr>
          <w:p>
            <w:pPr>
              <w:pStyle w:val="TableParagraph"/>
              <w:spacing w:line="249" w:lineRule="auto" w:before="60"/>
              <w:ind w:left="480" w:right="199"/>
              <w:rPr>
                <w:sz w:val="20"/>
              </w:rPr>
            </w:pPr>
            <w:r>
              <w:rPr>
                <w:sz w:val="20"/>
              </w:rPr>
              <w:t>местнораспространенные формы злокачественных</w:t>
            </w:r>
            <w:r>
              <w:rPr>
                <w:spacing w:val="-13"/>
                <w:sz w:val="20"/>
              </w:rPr>
              <w:t> </w:t>
            </w:r>
            <w:r>
              <w:rPr>
                <w:sz w:val="20"/>
              </w:rPr>
              <w:t>новообразований шейки матки</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080" w:hRule="atLeast"/>
        </w:trPr>
        <w:tc>
          <w:tcPr>
            <w:tcW w:w="863" w:type="dxa"/>
          </w:tcPr>
          <w:p>
            <w:pPr>
              <w:pStyle w:val="TableParagraph"/>
              <w:spacing w:before="60"/>
              <w:ind w:left="50"/>
              <w:rPr>
                <w:sz w:val="20"/>
              </w:rPr>
            </w:pPr>
            <w:r>
              <w:rPr>
                <w:spacing w:val="-5"/>
                <w:sz w:val="20"/>
              </w:rPr>
              <w:t>C54</w:t>
            </w:r>
          </w:p>
        </w:tc>
        <w:tc>
          <w:tcPr>
            <w:tcW w:w="3674" w:type="dxa"/>
          </w:tcPr>
          <w:p>
            <w:pPr>
              <w:pStyle w:val="TableParagraph"/>
              <w:spacing w:line="249" w:lineRule="auto" w:before="60"/>
              <w:ind w:left="480" w:right="226"/>
              <w:rPr>
                <w:sz w:val="20"/>
              </w:rPr>
            </w:pPr>
            <w:r>
              <w:rPr>
                <w:sz w:val="20"/>
              </w:rPr>
              <w:t>злокачественные</w:t>
            </w:r>
            <w:r>
              <w:rPr>
                <w:spacing w:val="-13"/>
                <w:sz w:val="20"/>
              </w:rPr>
              <w:t> </w:t>
            </w:r>
            <w:r>
              <w:rPr>
                <w:sz w:val="20"/>
              </w:rPr>
              <w:t>новообразования эндометрия (II - III стадия)</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770" w:hRule="atLeast"/>
        </w:trPr>
        <w:tc>
          <w:tcPr>
            <w:tcW w:w="863" w:type="dxa"/>
          </w:tcPr>
          <w:p>
            <w:pPr>
              <w:pStyle w:val="TableParagraph"/>
              <w:spacing w:before="60"/>
              <w:ind w:left="50"/>
              <w:rPr>
                <w:sz w:val="20"/>
              </w:rPr>
            </w:pPr>
            <w:r>
              <w:rPr>
                <w:spacing w:val="-5"/>
                <w:sz w:val="20"/>
              </w:rPr>
              <w:t>C56</w:t>
            </w:r>
          </w:p>
        </w:tc>
        <w:tc>
          <w:tcPr>
            <w:tcW w:w="3674" w:type="dxa"/>
          </w:tcPr>
          <w:p>
            <w:pPr>
              <w:pStyle w:val="TableParagraph"/>
              <w:spacing w:line="249" w:lineRule="auto" w:before="60"/>
              <w:ind w:left="480" w:right="226"/>
              <w:rPr>
                <w:sz w:val="20"/>
              </w:rPr>
            </w:pPr>
            <w:r>
              <w:rPr>
                <w:sz w:val="20"/>
              </w:rPr>
              <w:t>злокачественные</w:t>
            </w:r>
            <w:r>
              <w:rPr>
                <w:spacing w:val="-13"/>
                <w:sz w:val="20"/>
              </w:rPr>
              <w:t> </w:t>
            </w:r>
            <w:r>
              <w:rPr>
                <w:sz w:val="20"/>
              </w:rPr>
              <w:t>новообразования яичников (I - IV стадия)</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0" w:lineRule="atLeast" w:before="3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3"/>
        <w:gridCol w:w="3456"/>
        <w:gridCol w:w="1503"/>
        <w:gridCol w:w="3504"/>
      </w:tblGrid>
      <w:tr>
        <w:trPr>
          <w:trHeight w:val="530" w:hRule="atLeast"/>
        </w:trPr>
        <w:tc>
          <w:tcPr>
            <w:tcW w:w="1513" w:type="dxa"/>
          </w:tcPr>
          <w:p>
            <w:pPr>
              <w:pStyle w:val="TableParagraph"/>
              <w:rPr>
                <w:sz w:val="18"/>
              </w:rPr>
            </w:pPr>
          </w:p>
        </w:tc>
        <w:tc>
          <w:tcPr>
            <w:tcW w:w="3456" w:type="dxa"/>
          </w:tcPr>
          <w:p>
            <w:pPr>
              <w:pStyle w:val="TableParagraph"/>
              <w:rPr>
                <w:sz w:val="18"/>
              </w:rPr>
            </w:pPr>
          </w:p>
        </w:tc>
        <w:tc>
          <w:tcPr>
            <w:tcW w:w="1503" w:type="dxa"/>
          </w:tcPr>
          <w:p>
            <w:pPr>
              <w:pStyle w:val="TableParagraph"/>
              <w:rPr>
                <w:sz w:val="18"/>
              </w:rPr>
            </w:pPr>
          </w:p>
        </w:tc>
        <w:tc>
          <w:tcPr>
            <w:tcW w:w="3504" w:type="dxa"/>
          </w:tcPr>
          <w:p>
            <w:pPr>
              <w:pStyle w:val="TableParagraph"/>
              <w:spacing w:line="249" w:lineRule="auto"/>
              <w:ind w:left="85"/>
              <w:rPr>
                <w:sz w:val="20"/>
              </w:rPr>
            </w:pPr>
            <w:r>
              <w:rPr>
                <w:sz w:val="20"/>
              </w:rPr>
              <w:t>вмешательства</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320" w:hRule="atLeast"/>
        </w:trPr>
        <w:tc>
          <w:tcPr>
            <w:tcW w:w="1513" w:type="dxa"/>
          </w:tcPr>
          <w:p>
            <w:pPr>
              <w:pStyle w:val="TableParagraph"/>
              <w:rPr>
                <w:sz w:val="18"/>
              </w:rPr>
            </w:pPr>
          </w:p>
        </w:tc>
        <w:tc>
          <w:tcPr>
            <w:tcW w:w="3456" w:type="dxa"/>
          </w:tcPr>
          <w:p>
            <w:pPr>
              <w:pStyle w:val="TableParagraph"/>
              <w:spacing w:line="252" w:lineRule="auto" w:before="60"/>
              <w:ind w:left="263" w:right="833"/>
              <w:rPr>
                <w:sz w:val="20"/>
              </w:rPr>
            </w:pPr>
            <w:r>
              <w:rPr>
                <w:sz w:val="20"/>
              </w:rPr>
              <w:t>рецидивы</w:t>
            </w:r>
            <w:r>
              <w:rPr>
                <w:spacing w:val="-13"/>
                <w:sz w:val="20"/>
              </w:rPr>
              <w:t> </w:t>
            </w:r>
            <w:r>
              <w:rPr>
                <w:sz w:val="20"/>
              </w:rPr>
              <w:t>злокачественных </w:t>
            </w:r>
            <w:r>
              <w:rPr>
                <w:w w:val="95"/>
                <w:sz w:val="20"/>
              </w:rPr>
              <w:t>новообразований</w:t>
            </w:r>
            <w:r>
              <w:rPr>
                <w:spacing w:val="55"/>
                <w:sz w:val="20"/>
              </w:rPr>
              <w:t> </w:t>
            </w:r>
            <w:r>
              <w:rPr>
                <w:spacing w:val="-2"/>
                <w:sz w:val="20"/>
              </w:rPr>
              <w:t>яичников</w:t>
            </w:r>
          </w:p>
        </w:tc>
        <w:tc>
          <w:tcPr>
            <w:tcW w:w="1503"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320" w:hRule="atLeast"/>
        </w:trPr>
        <w:tc>
          <w:tcPr>
            <w:tcW w:w="1513" w:type="dxa"/>
          </w:tcPr>
          <w:p>
            <w:pPr>
              <w:pStyle w:val="TableParagraph"/>
              <w:spacing w:before="60"/>
              <w:ind w:left="39" w:right="252"/>
              <w:jc w:val="center"/>
              <w:rPr>
                <w:sz w:val="20"/>
              </w:rPr>
            </w:pPr>
            <w:r>
              <w:rPr>
                <w:spacing w:val="-5"/>
                <w:sz w:val="20"/>
              </w:rPr>
              <w:t>C62</w:t>
            </w:r>
          </w:p>
        </w:tc>
        <w:tc>
          <w:tcPr>
            <w:tcW w:w="3456" w:type="dxa"/>
          </w:tcPr>
          <w:p>
            <w:pPr>
              <w:pStyle w:val="TableParagraph"/>
              <w:spacing w:line="249" w:lineRule="auto" w:before="60"/>
              <w:ind w:left="263" w:right="181"/>
              <w:rPr>
                <w:sz w:val="20"/>
              </w:rPr>
            </w:pPr>
            <w:r>
              <w:rPr>
                <w:sz w:val="20"/>
              </w:rPr>
              <w:t>местнораспространенные,</w:t>
            </w:r>
            <w:r>
              <w:rPr>
                <w:spacing w:val="-13"/>
                <w:sz w:val="20"/>
              </w:rPr>
              <w:t> </w:t>
            </w:r>
            <w:r>
              <w:rPr>
                <w:sz w:val="20"/>
              </w:rPr>
              <w:t>метаста- тические и рецидивные злокачественные новообразования </w:t>
            </w:r>
            <w:r>
              <w:rPr>
                <w:spacing w:val="-2"/>
                <w:sz w:val="20"/>
              </w:rPr>
              <w:t>яичка</w:t>
            </w:r>
          </w:p>
        </w:tc>
        <w:tc>
          <w:tcPr>
            <w:tcW w:w="1503"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320" w:hRule="atLeast"/>
        </w:trPr>
        <w:tc>
          <w:tcPr>
            <w:tcW w:w="1513" w:type="dxa"/>
          </w:tcPr>
          <w:p>
            <w:pPr>
              <w:pStyle w:val="TableParagraph"/>
              <w:rPr>
                <w:sz w:val="18"/>
              </w:rPr>
            </w:pPr>
          </w:p>
        </w:tc>
        <w:tc>
          <w:tcPr>
            <w:tcW w:w="3456" w:type="dxa"/>
          </w:tcPr>
          <w:p>
            <w:pPr>
              <w:pStyle w:val="TableParagraph"/>
              <w:spacing w:line="252" w:lineRule="auto" w:before="60"/>
              <w:ind w:left="263" w:right="16"/>
              <w:rPr>
                <w:sz w:val="20"/>
              </w:rPr>
            </w:pPr>
            <w:r>
              <w:rPr>
                <w:sz w:val="20"/>
              </w:rPr>
              <w:t>злокачественные новообразования яичка</w:t>
            </w:r>
            <w:r>
              <w:rPr>
                <w:spacing w:val="-8"/>
                <w:sz w:val="20"/>
              </w:rPr>
              <w:t> </w:t>
            </w:r>
            <w:r>
              <w:rPr>
                <w:sz w:val="20"/>
              </w:rPr>
              <w:t>(I</w:t>
            </w:r>
            <w:r>
              <w:rPr>
                <w:spacing w:val="-7"/>
                <w:sz w:val="20"/>
              </w:rPr>
              <w:t> </w:t>
            </w:r>
            <w:r>
              <w:rPr>
                <w:sz w:val="20"/>
              </w:rPr>
              <w:t>-</w:t>
            </w:r>
            <w:r>
              <w:rPr>
                <w:spacing w:val="-10"/>
                <w:sz w:val="20"/>
              </w:rPr>
              <w:t> </w:t>
            </w:r>
            <w:r>
              <w:rPr>
                <w:sz w:val="20"/>
              </w:rPr>
              <w:t>III</w:t>
            </w:r>
            <w:r>
              <w:rPr>
                <w:spacing w:val="-8"/>
                <w:sz w:val="20"/>
              </w:rPr>
              <w:t> </w:t>
            </w:r>
            <w:r>
              <w:rPr>
                <w:sz w:val="20"/>
              </w:rPr>
              <w:t>стадия</w:t>
            </w:r>
            <w:r>
              <w:rPr>
                <w:spacing w:val="-9"/>
                <w:sz w:val="20"/>
              </w:rPr>
              <w:t> </w:t>
            </w:r>
            <w:r>
              <w:rPr>
                <w:sz w:val="20"/>
              </w:rPr>
              <w:t>(T1-4N1-3M0-1)</w:t>
            </w:r>
          </w:p>
        </w:tc>
        <w:tc>
          <w:tcPr>
            <w:tcW w:w="1503"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080" w:hRule="atLeast"/>
        </w:trPr>
        <w:tc>
          <w:tcPr>
            <w:tcW w:w="1513" w:type="dxa"/>
          </w:tcPr>
          <w:p>
            <w:pPr>
              <w:pStyle w:val="TableParagraph"/>
              <w:spacing w:before="60"/>
              <w:ind w:left="39" w:right="252"/>
              <w:jc w:val="center"/>
              <w:rPr>
                <w:sz w:val="20"/>
              </w:rPr>
            </w:pPr>
            <w:r>
              <w:rPr>
                <w:spacing w:val="-5"/>
                <w:sz w:val="20"/>
              </w:rPr>
              <w:t>C64</w:t>
            </w:r>
          </w:p>
        </w:tc>
        <w:tc>
          <w:tcPr>
            <w:tcW w:w="3456" w:type="dxa"/>
          </w:tcPr>
          <w:p>
            <w:pPr>
              <w:pStyle w:val="TableParagraph"/>
              <w:spacing w:line="249" w:lineRule="auto" w:before="60"/>
              <w:ind w:left="263" w:right="16"/>
              <w:rPr>
                <w:sz w:val="20"/>
              </w:rPr>
            </w:pPr>
            <w:r>
              <w:rPr>
                <w:sz w:val="20"/>
              </w:rPr>
              <w:t>злокачественные новообразования почки</w:t>
            </w:r>
            <w:r>
              <w:rPr>
                <w:spacing w:val="-13"/>
                <w:sz w:val="20"/>
              </w:rPr>
              <w:t> </w:t>
            </w:r>
            <w:r>
              <w:rPr>
                <w:sz w:val="20"/>
              </w:rPr>
              <w:t>IV</w:t>
            </w:r>
            <w:r>
              <w:rPr>
                <w:spacing w:val="-12"/>
                <w:sz w:val="20"/>
              </w:rPr>
              <w:t> </w:t>
            </w:r>
            <w:r>
              <w:rPr>
                <w:sz w:val="20"/>
              </w:rPr>
              <w:t>стадии</w:t>
            </w:r>
            <w:r>
              <w:rPr>
                <w:spacing w:val="-12"/>
                <w:sz w:val="20"/>
              </w:rPr>
              <w:t> </w:t>
            </w:r>
            <w:r>
              <w:rPr>
                <w:sz w:val="20"/>
              </w:rPr>
              <w:t>(T3b-3c4,N0-1M1)</w:t>
            </w:r>
          </w:p>
        </w:tc>
        <w:tc>
          <w:tcPr>
            <w:tcW w:w="1503"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послеоперационная лекарственная терапия</w:t>
            </w:r>
            <w:r>
              <w:rPr>
                <w:spacing w:val="-13"/>
                <w:sz w:val="20"/>
              </w:rPr>
              <w:t> </w:t>
            </w:r>
            <w:r>
              <w:rPr>
                <w:sz w:val="20"/>
              </w:rPr>
              <w:t>с</w:t>
            </w:r>
            <w:r>
              <w:rPr>
                <w:spacing w:val="-12"/>
                <w:sz w:val="20"/>
              </w:rPr>
              <w:t> </w:t>
            </w:r>
            <w:r>
              <w:rPr>
                <w:sz w:val="20"/>
              </w:rPr>
              <w:t>проведением</w:t>
            </w:r>
            <w:r>
              <w:rPr>
                <w:spacing w:val="-13"/>
                <w:sz w:val="20"/>
              </w:rPr>
              <w:t> </w:t>
            </w:r>
            <w:r>
              <w:rPr>
                <w:sz w:val="20"/>
              </w:rPr>
              <w:t>хирургического вмешательства в течение одной </w:t>
            </w:r>
            <w:r>
              <w:rPr>
                <w:spacing w:val="-2"/>
                <w:sz w:val="20"/>
              </w:rPr>
              <w:t>госпитализации</w:t>
            </w:r>
          </w:p>
        </w:tc>
      </w:tr>
      <w:tr>
        <w:trPr>
          <w:trHeight w:val="1320" w:hRule="atLeast"/>
        </w:trPr>
        <w:tc>
          <w:tcPr>
            <w:tcW w:w="1513" w:type="dxa"/>
          </w:tcPr>
          <w:p>
            <w:pPr>
              <w:pStyle w:val="TableParagraph"/>
              <w:spacing w:before="60"/>
              <w:ind w:left="41" w:right="252"/>
              <w:jc w:val="center"/>
              <w:rPr>
                <w:sz w:val="20"/>
              </w:rPr>
            </w:pPr>
            <w:r>
              <w:rPr>
                <w:sz w:val="20"/>
              </w:rPr>
              <w:t>C65,</w:t>
            </w:r>
            <w:r>
              <w:rPr>
                <w:spacing w:val="-3"/>
                <w:sz w:val="20"/>
              </w:rPr>
              <w:t> </w:t>
            </w:r>
            <w:r>
              <w:rPr>
                <w:sz w:val="20"/>
              </w:rPr>
              <w:t>C66,</w:t>
            </w:r>
            <w:r>
              <w:rPr>
                <w:spacing w:val="-3"/>
                <w:sz w:val="20"/>
              </w:rPr>
              <w:t> </w:t>
            </w:r>
            <w:r>
              <w:rPr>
                <w:spacing w:val="-5"/>
                <w:sz w:val="20"/>
              </w:rPr>
              <w:t>C67</w:t>
            </w:r>
          </w:p>
        </w:tc>
        <w:tc>
          <w:tcPr>
            <w:tcW w:w="3456" w:type="dxa"/>
          </w:tcPr>
          <w:p>
            <w:pPr>
              <w:pStyle w:val="TableParagraph"/>
              <w:spacing w:line="249" w:lineRule="auto" w:before="60"/>
              <w:ind w:left="263" w:right="168"/>
              <w:rPr>
                <w:sz w:val="20"/>
              </w:rPr>
            </w:pPr>
            <w:r>
              <w:rPr>
                <w:spacing w:val="-2"/>
                <w:sz w:val="20"/>
              </w:rPr>
              <w:t>местнораспространенные </w:t>
            </w:r>
            <w:r>
              <w:rPr>
                <w:sz w:val="20"/>
              </w:rPr>
              <w:t>уротелиальные злокачественные новообразования (T3-4N0M0) при планировании</w:t>
            </w:r>
            <w:r>
              <w:rPr>
                <w:spacing w:val="-13"/>
                <w:sz w:val="20"/>
              </w:rPr>
              <w:t> </w:t>
            </w:r>
            <w:r>
              <w:rPr>
                <w:sz w:val="20"/>
              </w:rPr>
              <w:t>органосохраняющей </w:t>
            </w:r>
            <w:r>
              <w:rPr>
                <w:spacing w:val="-2"/>
                <w:sz w:val="20"/>
              </w:rPr>
              <w:t>операции</w:t>
            </w:r>
          </w:p>
        </w:tc>
        <w:tc>
          <w:tcPr>
            <w:tcW w:w="1503"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770" w:hRule="atLeast"/>
        </w:trPr>
        <w:tc>
          <w:tcPr>
            <w:tcW w:w="1513" w:type="dxa"/>
          </w:tcPr>
          <w:p>
            <w:pPr>
              <w:pStyle w:val="TableParagraph"/>
              <w:rPr>
                <w:sz w:val="18"/>
              </w:rPr>
            </w:pPr>
          </w:p>
        </w:tc>
        <w:tc>
          <w:tcPr>
            <w:tcW w:w="3456" w:type="dxa"/>
          </w:tcPr>
          <w:p>
            <w:pPr>
              <w:pStyle w:val="TableParagraph"/>
              <w:spacing w:line="240" w:lineRule="atLeast" w:before="30"/>
              <w:ind w:left="263" w:right="16"/>
              <w:rPr>
                <w:sz w:val="20"/>
              </w:rPr>
            </w:pPr>
            <w:r>
              <w:rPr>
                <w:spacing w:val="-2"/>
                <w:sz w:val="20"/>
              </w:rPr>
              <w:t>местнораспространенные уротелиальные злокачественные </w:t>
            </w:r>
            <w:r>
              <w:rPr>
                <w:sz w:val="20"/>
              </w:rPr>
              <w:t>новообразования (T1-4N1-3M0)</w:t>
            </w:r>
          </w:p>
        </w:tc>
        <w:tc>
          <w:tcPr>
            <w:tcW w:w="1503"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0" w:lineRule="atLeast" w:before="3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9"/>
        <w:gridCol w:w="3230"/>
        <w:gridCol w:w="1572"/>
        <w:gridCol w:w="3686"/>
      </w:tblGrid>
      <w:tr>
        <w:trPr>
          <w:trHeight w:val="530" w:hRule="atLeast"/>
        </w:trPr>
        <w:tc>
          <w:tcPr>
            <w:tcW w:w="1989" w:type="dxa"/>
          </w:tcPr>
          <w:p>
            <w:pPr>
              <w:pStyle w:val="TableParagraph"/>
              <w:rPr>
                <w:sz w:val="18"/>
              </w:rPr>
            </w:pPr>
          </w:p>
        </w:tc>
        <w:tc>
          <w:tcPr>
            <w:tcW w:w="3230" w:type="dxa"/>
          </w:tcPr>
          <w:p>
            <w:pPr>
              <w:pStyle w:val="TableParagraph"/>
              <w:rPr>
                <w:sz w:val="18"/>
              </w:rPr>
            </w:pPr>
          </w:p>
        </w:tc>
        <w:tc>
          <w:tcPr>
            <w:tcW w:w="1572" w:type="dxa"/>
          </w:tcPr>
          <w:p>
            <w:pPr>
              <w:pStyle w:val="TableParagraph"/>
              <w:rPr>
                <w:sz w:val="18"/>
              </w:rPr>
            </w:pPr>
          </w:p>
        </w:tc>
        <w:tc>
          <w:tcPr>
            <w:tcW w:w="3686" w:type="dxa"/>
          </w:tcPr>
          <w:p>
            <w:pPr>
              <w:pStyle w:val="TableParagraph"/>
              <w:spacing w:line="249" w:lineRule="auto"/>
              <w:ind w:left="86"/>
              <w:rPr>
                <w:sz w:val="20"/>
              </w:rPr>
            </w:pPr>
            <w:r>
              <w:rPr>
                <w:sz w:val="20"/>
              </w:rPr>
              <w:t>вмешательства</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320" w:hRule="atLeast"/>
        </w:trPr>
        <w:tc>
          <w:tcPr>
            <w:tcW w:w="1989" w:type="dxa"/>
          </w:tcPr>
          <w:p>
            <w:pPr>
              <w:pStyle w:val="TableParagraph"/>
              <w:spacing w:line="249" w:lineRule="auto" w:before="60"/>
              <w:ind w:left="50" w:right="104" w:firstLine="5"/>
              <w:jc w:val="center"/>
              <w:rPr>
                <w:sz w:val="20"/>
              </w:rPr>
            </w:pPr>
            <w:r>
              <w:rPr>
                <w:sz w:val="20"/>
              </w:rPr>
              <w:t>C00, C01, C02, C03, C04, C05, C09, C10, C11,</w:t>
            </w:r>
            <w:r>
              <w:rPr>
                <w:spacing w:val="-13"/>
                <w:sz w:val="20"/>
              </w:rPr>
              <w:t> </w:t>
            </w:r>
            <w:r>
              <w:rPr>
                <w:sz w:val="20"/>
              </w:rPr>
              <w:t>C30,</w:t>
            </w:r>
            <w:r>
              <w:rPr>
                <w:spacing w:val="-12"/>
                <w:sz w:val="20"/>
              </w:rPr>
              <w:t> </w:t>
            </w:r>
            <w:r>
              <w:rPr>
                <w:sz w:val="20"/>
              </w:rPr>
              <w:t>C31,</w:t>
            </w:r>
            <w:r>
              <w:rPr>
                <w:spacing w:val="-13"/>
                <w:sz w:val="20"/>
              </w:rPr>
              <w:t> </w:t>
            </w:r>
            <w:r>
              <w:rPr>
                <w:sz w:val="20"/>
              </w:rPr>
              <w:t>C41.0, C41.1, C49.0, C69.2, C69.4, C69.6</w:t>
            </w:r>
          </w:p>
        </w:tc>
        <w:tc>
          <w:tcPr>
            <w:tcW w:w="3230" w:type="dxa"/>
            <w:vMerge w:val="restart"/>
          </w:tcPr>
          <w:p>
            <w:pPr>
              <w:pStyle w:val="TableParagraph"/>
              <w:spacing w:line="249" w:lineRule="auto" w:before="60"/>
              <w:ind w:left="106"/>
              <w:rPr>
                <w:sz w:val="20"/>
              </w:rPr>
            </w:pPr>
            <w:r>
              <w:rPr>
                <w:sz w:val="20"/>
              </w:rPr>
              <w:t>опухоли головы и шеи у детей (остеосаркома,</w:t>
            </w:r>
            <w:r>
              <w:rPr>
                <w:spacing w:val="-13"/>
                <w:sz w:val="20"/>
              </w:rPr>
              <w:t> </w:t>
            </w:r>
            <w:r>
              <w:rPr>
                <w:sz w:val="20"/>
              </w:rPr>
              <w:t>опухоли</w:t>
            </w:r>
            <w:r>
              <w:rPr>
                <w:spacing w:val="-12"/>
                <w:sz w:val="20"/>
              </w:rPr>
              <w:t> </w:t>
            </w:r>
            <w:r>
              <w:rPr>
                <w:sz w:val="20"/>
              </w:rPr>
              <w:t>семейства саркомы Юинга, саркомы мягких тканей, хондросаркома, злокачественная фиброзная гистиоцитома, ретинобластома)</w:t>
            </w:r>
          </w:p>
        </w:tc>
        <w:tc>
          <w:tcPr>
            <w:tcW w:w="1572" w:type="dxa"/>
          </w:tcPr>
          <w:p>
            <w:pPr>
              <w:pStyle w:val="TableParagraph"/>
              <w:spacing w:line="252" w:lineRule="auto" w:before="60"/>
              <w:ind w:left="183"/>
              <w:rPr>
                <w:sz w:val="20"/>
              </w:rPr>
            </w:pPr>
            <w:r>
              <w:rPr>
                <w:spacing w:val="-2"/>
                <w:sz w:val="20"/>
              </w:rPr>
              <w:t>комбинирован- </w:t>
            </w:r>
            <w:r>
              <w:rPr>
                <w:sz w:val="20"/>
              </w:rPr>
              <w:t>ное лечение</w:t>
            </w:r>
          </w:p>
        </w:tc>
        <w:tc>
          <w:tcPr>
            <w:tcW w:w="3686"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2280" w:hRule="atLeast"/>
        </w:trPr>
        <w:tc>
          <w:tcPr>
            <w:tcW w:w="1989" w:type="dxa"/>
          </w:tcPr>
          <w:p>
            <w:pPr>
              <w:pStyle w:val="TableParagraph"/>
              <w:rPr>
                <w:sz w:val="18"/>
              </w:rPr>
            </w:pPr>
          </w:p>
        </w:tc>
        <w:tc>
          <w:tcPr>
            <w:tcW w:w="3230" w:type="dxa"/>
            <w:vMerge/>
            <w:tcBorders>
              <w:top w:val="nil"/>
            </w:tcBorders>
          </w:tcPr>
          <w:p>
            <w:pPr>
              <w:rPr>
                <w:sz w:val="2"/>
                <w:szCs w:val="2"/>
              </w:rPr>
            </w:pPr>
          </w:p>
        </w:tc>
        <w:tc>
          <w:tcPr>
            <w:tcW w:w="1572" w:type="dxa"/>
          </w:tcPr>
          <w:p>
            <w:pPr>
              <w:pStyle w:val="TableParagraph"/>
              <w:rPr>
                <w:sz w:val="18"/>
              </w:rPr>
            </w:pPr>
          </w:p>
        </w:tc>
        <w:tc>
          <w:tcPr>
            <w:tcW w:w="3686" w:type="dxa"/>
          </w:tcPr>
          <w:p>
            <w:pPr>
              <w:pStyle w:val="TableParagraph"/>
              <w:spacing w:line="249" w:lineRule="auto" w:before="60"/>
              <w:ind w:left="86"/>
              <w:rPr>
                <w:sz w:val="20"/>
              </w:rPr>
            </w:pPr>
            <w:r>
              <w:rPr>
                <w:sz w:val="20"/>
              </w:rPr>
              <w:t>комплексное лечение с применением высокотоксичных противоопухолевых лекарственных препаратов, включая таргетные</w:t>
            </w:r>
            <w:r>
              <w:rPr>
                <w:spacing w:val="-13"/>
                <w:sz w:val="20"/>
              </w:rPr>
              <w:t> </w:t>
            </w:r>
            <w:r>
              <w:rPr>
                <w:sz w:val="20"/>
              </w:rPr>
              <w:t>лекарственные</w:t>
            </w:r>
            <w:r>
              <w:rPr>
                <w:spacing w:val="-12"/>
                <w:sz w:val="20"/>
              </w:rPr>
              <w:t> </w:t>
            </w:r>
            <w:r>
              <w:rPr>
                <w:sz w:val="20"/>
              </w:rPr>
              <w:t>препараты,</w:t>
            </w:r>
            <w:r>
              <w:rPr>
                <w:spacing w:val="-13"/>
                <w:sz w:val="20"/>
              </w:rPr>
              <w:t> </w:t>
            </w:r>
            <w:r>
              <w:rPr>
                <w:sz w:val="20"/>
              </w:rPr>
              <w:t>при развитии выраженных токсических реакций с применением сопрово- дительной терапии, требующей постоянного мониторирования в стационарных условиях</w:t>
            </w:r>
          </w:p>
        </w:tc>
      </w:tr>
      <w:tr>
        <w:trPr>
          <w:trHeight w:val="1320" w:hRule="atLeast"/>
        </w:trPr>
        <w:tc>
          <w:tcPr>
            <w:tcW w:w="1989" w:type="dxa"/>
          </w:tcPr>
          <w:p>
            <w:pPr>
              <w:pStyle w:val="TableParagraph"/>
              <w:spacing w:before="60"/>
              <w:ind w:left="263" w:right="314"/>
              <w:jc w:val="center"/>
              <w:rPr>
                <w:sz w:val="20"/>
              </w:rPr>
            </w:pPr>
            <w:r>
              <w:rPr>
                <w:spacing w:val="-5"/>
                <w:sz w:val="20"/>
              </w:rPr>
              <w:t>C71</w:t>
            </w:r>
          </w:p>
        </w:tc>
        <w:tc>
          <w:tcPr>
            <w:tcW w:w="3230" w:type="dxa"/>
          </w:tcPr>
          <w:p>
            <w:pPr>
              <w:pStyle w:val="TableParagraph"/>
              <w:spacing w:line="249" w:lineRule="auto" w:before="60"/>
              <w:ind w:left="106"/>
              <w:rPr>
                <w:sz w:val="20"/>
              </w:rPr>
            </w:pPr>
            <w:r>
              <w:rPr>
                <w:sz w:val="20"/>
              </w:rPr>
              <w:t>опухоли</w:t>
            </w:r>
            <w:r>
              <w:rPr>
                <w:spacing w:val="-13"/>
                <w:sz w:val="20"/>
              </w:rPr>
              <w:t> </w:t>
            </w:r>
            <w:r>
              <w:rPr>
                <w:sz w:val="20"/>
              </w:rPr>
              <w:t>центральной</w:t>
            </w:r>
            <w:r>
              <w:rPr>
                <w:spacing w:val="-12"/>
                <w:sz w:val="20"/>
              </w:rPr>
              <w:t> </w:t>
            </w:r>
            <w:r>
              <w:rPr>
                <w:sz w:val="20"/>
              </w:rPr>
              <w:t>нервной системы у детей</w:t>
            </w:r>
          </w:p>
        </w:tc>
        <w:tc>
          <w:tcPr>
            <w:tcW w:w="1572" w:type="dxa"/>
          </w:tcPr>
          <w:p>
            <w:pPr>
              <w:pStyle w:val="TableParagraph"/>
              <w:spacing w:line="249" w:lineRule="auto" w:before="60"/>
              <w:ind w:left="183"/>
              <w:rPr>
                <w:sz w:val="20"/>
              </w:rPr>
            </w:pPr>
            <w:r>
              <w:rPr>
                <w:spacing w:val="-2"/>
                <w:sz w:val="20"/>
              </w:rPr>
              <w:t>комбинирован- </w:t>
            </w:r>
            <w:r>
              <w:rPr>
                <w:sz w:val="20"/>
              </w:rPr>
              <w:t>ное лечение</w:t>
            </w:r>
          </w:p>
        </w:tc>
        <w:tc>
          <w:tcPr>
            <w:tcW w:w="3686"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2210" w:hRule="atLeast"/>
        </w:trPr>
        <w:tc>
          <w:tcPr>
            <w:tcW w:w="1989" w:type="dxa"/>
          </w:tcPr>
          <w:p>
            <w:pPr>
              <w:pStyle w:val="TableParagraph"/>
              <w:rPr>
                <w:sz w:val="18"/>
              </w:rPr>
            </w:pPr>
          </w:p>
        </w:tc>
        <w:tc>
          <w:tcPr>
            <w:tcW w:w="3230" w:type="dxa"/>
          </w:tcPr>
          <w:p>
            <w:pPr>
              <w:pStyle w:val="TableParagraph"/>
              <w:rPr>
                <w:sz w:val="18"/>
              </w:rPr>
            </w:pPr>
          </w:p>
        </w:tc>
        <w:tc>
          <w:tcPr>
            <w:tcW w:w="1572" w:type="dxa"/>
          </w:tcPr>
          <w:p>
            <w:pPr>
              <w:pStyle w:val="TableParagraph"/>
              <w:rPr>
                <w:sz w:val="18"/>
              </w:rPr>
            </w:pPr>
          </w:p>
        </w:tc>
        <w:tc>
          <w:tcPr>
            <w:tcW w:w="3686" w:type="dxa"/>
          </w:tcPr>
          <w:p>
            <w:pPr>
              <w:pStyle w:val="TableParagraph"/>
              <w:spacing w:line="249" w:lineRule="auto" w:before="60"/>
              <w:ind w:left="86"/>
              <w:rPr>
                <w:sz w:val="20"/>
              </w:rPr>
            </w:pPr>
            <w:r>
              <w:rPr>
                <w:sz w:val="20"/>
              </w:rPr>
              <w:t>комплексное лечение с применением высокотоксичных противоопухолевых лекарственных препаратов, включая таргетные</w:t>
            </w:r>
            <w:r>
              <w:rPr>
                <w:spacing w:val="-13"/>
                <w:sz w:val="20"/>
              </w:rPr>
              <w:t> </w:t>
            </w:r>
            <w:r>
              <w:rPr>
                <w:sz w:val="20"/>
              </w:rPr>
              <w:t>лекарственные</w:t>
            </w:r>
            <w:r>
              <w:rPr>
                <w:spacing w:val="-12"/>
                <w:sz w:val="20"/>
              </w:rPr>
              <w:t> </w:t>
            </w:r>
            <w:r>
              <w:rPr>
                <w:sz w:val="20"/>
              </w:rPr>
              <w:t>препараты,</w:t>
            </w:r>
            <w:r>
              <w:rPr>
                <w:spacing w:val="-13"/>
                <w:sz w:val="20"/>
              </w:rPr>
              <w:t> </w:t>
            </w:r>
            <w:r>
              <w:rPr>
                <w:sz w:val="20"/>
              </w:rPr>
              <w:t>при развитии выраженных токсических реакций с применением сопрово- дительной терапии, требующей постоянного мониторирования в</w:t>
            </w:r>
          </w:p>
          <w:p>
            <w:pPr>
              <w:pStyle w:val="TableParagraph"/>
              <w:spacing w:line="210" w:lineRule="exact" w:before="7"/>
              <w:ind w:left="86"/>
              <w:rPr>
                <w:sz w:val="20"/>
              </w:rPr>
            </w:pPr>
            <w:r>
              <w:rPr>
                <w:sz w:val="20"/>
              </w:rPr>
              <w:t>стационарных</w:t>
            </w:r>
            <w:r>
              <w:rPr>
                <w:spacing w:val="-13"/>
                <w:sz w:val="20"/>
              </w:rPr>
              <w:t> </w:t>
            </w:r>
            <w:r>
              <w:rPr>
                <w:spacing w:val="-2"/>
                <w:sz w:val="20"/>
              </w:rPr>
              <w:t>условиях</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29"/>
        <w:gridCol w:w="2180"/>
        <w:gridCol w:w="3309"/>
        <w:gridCol w:w="1493"/>
        <w:gridCol w:w="3762"/>
        <w:gridCol w:w="1168"/>
      </w:tblGrid>
      <w:tr>
        <w:trPr>
          <w:trHeight w:val="125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spacing w:line="249" w:lineRule="auto"/>
              <w:ind w:left="242" w:right="102"/>
              <w:jc w:val="both"/>
              <w:rPr>
                <w:sz w:val="20"/>
              </w:rPr>
            </w:pPr>
            <w:r>
              <w:rPr>
                <w:sz w:val="20"/>
              </w:rPr>
              <w:t>C22,</w:t>
            </w:r>
            <w:r>
              <w:rPr>
                <w:spacing w:val="-13"/>
                <w:sz w:val="20"/>
              </w:rPr>
              <w:t> </w:t>
            </w:r>
            <w:r>
              <w:rPr>
                <w:sz w:val="20"/>
              </w:rPr>
              <w:t>C34,</w:t>
            </w:r>
            <w:r>
              <w:rPr>
                <w:spacing w:val="-12"/>
                <w:sz w:val="20"/>
              </w:rPr>
              <w:t> </w:t>
            </w:r>
            <w:r>
              <w:rPr>
                <w:sz w:val="20"/>
              </w:rPr>
              <w:t>C38,</w:t>
            </w:r>
            <w:r>
              <w:rPr>
                <w:spacing w:val="-13"/>
                <w:sz w:val="20"/>
              </w:rPr>
              <w:t> </w:t>
            </w:r>
            <w:r>
              <w:rPr>
                <w:sz w:val="20"/>
              </w:rPr>
              <w:t>C48.0, C52,</w:t>
            </w:r>
            <w:r>
              <w:rPr>
                <w:spacing w:val="-13"/>
                <w:sz w:val="20"/>
              </w:rPr>
              <w:t> </w:t>
            </w:r>
            <w:r>
              <w:rPr>
                <w:sz w:val="20"/>
              </w:rPr>
              <w:t>C53.9,</w:t>
            </w:r>
            <w:r>
              <w:rPr>
                <w:spacing w:val="-12"/>
                <w:sz w:val="20"/>
              </w:rPr>
              <w:t> </w:t>
            </w:r>
            <w:r>
              <w:rPr>
                <w:sz w:val="20"/>
              </w:rPr>
              <w:t>C56,</w:t>
            </w:r>
            <w:r>
              <w:rPr>
                <w:spacing w:val="-13"/>
                <w:sz w:val="20"/>
              </w:rPr>
              <w:t> </w:t>
            </w:r>
            <w:r>
              <w:rPr>
                <w:sz w:val="20"/>
              </w:rPr>
              <w:t>C61, C62, C64, C67.8, C74</w:t>
            </w:r>
          </w:p>
        </w:tc>
        <w:tc>
          <w:tcPr>
            <w:tcW w:w="3309" w:type="dxa"/>
            <w:vMerge w:val="restart"/>
          </w:tcPr>
          <w:p>
            <w:pPr>
              <w:pStyle w:val="TableParagraph"/>
              <w:spacing w:line="249" w:lineRule="auto"/>
              <w:ind w:left="107" w:right="104"/>
              <w:rPr>
                <w:sz w:val="20"/>
              </w:rPr>
            </w:pPr>
            <w:r>
              <w:rPr>
                <w:sz w:val="20"/>
              </w:rPr>
              <w:t>злокачественные новообразования торако-абдоминальной</w:t>
            </w:r>
            <w:r>
              <w:rPr>
                <w:spacing w:val="-13"/>
                <w:sz w:val="20"/>
              </w:rPr>
              <w:t> </w:t>
            </w:r>
            <w:r>
              <w:rPr>
                <w:sz w:val="20"/>
              </w:rPr>
              <w:t>локализации у детей (опухоли средостения, опухоли надпочечника, опухоли печени, яичка, яичников, неорганные</w:t>
            </w:r>
            <w:r>
              <w:rPr>
                <w:spacing w:val="-13"/>
                <w:sz w:val="20"/>
              </w:rPr>
              <w:t> </w:t>
            </w:r>
            <w:r>
              <w:rPr>
                <w:sz w:val="20"/>
              </w:rPr>
              <w:t>забрюшинные</w:t>
            </w:r>
            <w:r>
              <w:rPr>
                <w:spacing w:val="-12"/>
                <w:sz w:val="20"/>
              </w:rPr>
              <w:t> </w:t>
            </w:r>
            <w:r>
              <w:rPr>
                <w:sz w:val="20"/>
              </w:rPr>
              <w:t>опухоли, опухоли почки, мочевыводящей системы и другие). Программное </w:t>
            </w:r>
            <w:r>
              <w:rPr>
                <w:spacing w:val="-2"/>
                <w:sz w:val="20"/>
              </w:rPr>
              <w:t>лечение</w:t>
            </w:r>
          </w:p>
        </w:tc>
        <w:tc>
          <w:tcPr>
            <w:tcW w:w="1493" w:type="dxa"/>
          </w:tcPr>
          <w:p>
            <w:pPr>
              <w:pStyle w:val="TableParagraph"/>
              <w:spacing w:line="249" w:lineRule="auto"/>
              <w:ind w:left="106"/>
              <w:rPr>
                <w:sz w:val="20"/>
              </w:rPr>
            </w:pPr>
            <w:r>
              <w:rPr>
                <w:spacing w:val="-2"/>
                <w:sz w:val="20"/>
              </w:rPr>
              <w:t>комбинирован- </w:t>
            </w:r>
            <w:r>
              <w:rPr>
                <w:sz w:val="20"/>
              </w:rPr>
              <w:t>ное лечение</w:t>
            </w:r>
          </w:p>
        </w:tc>
        <w:tc>
          <w:tcPr>
            <w:tcW w:w="3762" w:type="dxa"/>
          </w:tcPr>
          <w:p>
            <w:pPr>
              <w:pStyle w:val="TableParagraph"/>
              <w:spacing w:line="249" w:lineRule="auto"/>
              <w:ind w:left="87" w:right="193"/>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c>
          <w:tcPr>
            <w:tcW w:w="1168" w:type="dxa"/>
          </w:tcPr>
          <w:p>
            <w:pPr>
              <w:pStyle w:val="TableParagraph"/>
              <w:rPr>
                <w:sz w:val="18"/>
              </w:rPr>
            </w:pPr>
          </w:p>
        </w:tc>
      </w:tr>
      <w:tr>
        <w:trPr>
          <w:trHeight w:val="228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rPr>
                <w:sz w:val="18"/>
              </w:rPr>
            </w:pPr>
          </w:p>
        </w:tc>
        <w:tc>
          <w:tcPr>
            <w:tcW w:w="3309" w:type="dxa"/>
            <w:vMerge/>
            <w:tcBorders>
              <w:top w:val="nil"/>
            </w:tcBorders>
          </w:tcPr>
          <w:p>
            <w:pPr>
              <w:rPr>
                <w:sz w:val="2"/>
                <w:szCs w:val="2"/>
              </w:rPr>
            </w:pPr>
          </w:p>
        </w:tc>
        <w:tc>
          <w:tcPr>
            <w:tcW w:w="1493" w:type="dxa"/>
          </w:tcPr>
          <w:p>
            <w:pPr>
              <w:pStyle w:val="TableParagraph"/>
              <w:rPr>
                <w:sz w:val="18"/>
              </w:rPr>
            </w:pPr>
          </w:p>
        </w:tc>
        <w:tc>
          <w:tcPr>
            <w:tcW w:w="3762" w:type="dxa"/>
          </w:tcPr>
          <w:p>
            <w:pPr>
              <w:pStyle w:val="TableParagraph"/>
              <w:spacing w:line="249" w:lineRule="auto" w:before="60"/>
              <w:ind w:left="87" w:right="193"/>
              <w:rPr>
                <w:sz w:val="20"/>
              </w:rPr>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w:t>
            </w:r>
            <w:r>
              <w:rPr>
                <w:spacing w:val="-13"/>
                <w:sz w:val="20"/>
              </w:rPr>
              <w:t> </w:t>
            </w:r>
            <w:r>
              <w:rPr>
                <w:sz w:val="20"/>
              </w:rPr>
              <w:t>развитии</w:t>
            </w:r>
            <w:r>
              <w:rPr>
                <w:spacing w:val="-12"/>
                <w:sz w:val="20"/>
              </w:rPr>
              <w:t> </w:t>
            </w:r>
            <w:r>
              <w:rPr>
                <w:sz w:val="20"/>
              </w:rPr>
              <w:t>выраженных</w:t>
            </w:r>
            <w:r>
              <w:rPr>
                <w:spacing w:val="-13"/>
                <w:sz w:val="20"/>
              </w:rPr>
              <w:t> </w:t>
            </w:r>
            <w:r>
              <w:rPr>
                <w:sz w:val="20"/>
              </w:rPr>
              <w:t>токсических реакций с применением сопрово- дительной терапии, требующей постоянного мониторирования в стационарных условиях</w:t>
            </w:r>
          </w:p>
        </w:tc>
        <w:tc>
          <w:tcPr>
            <w:tcW w:w="1168" w:type="dxa"/>
          </w:tcPr>
          <w:p>
            <w:pPr>
              <w:pStyle w:val="TableParagraph"/>
              <w:rPr>
                <w:sz w:val="18"/>
              </w:rPr>
            </w:pPr>
          </w:p>
        </w:tc>
      </w:tr>
      <w:tr>
        <w:trPr>
          <w:trHeight w:val="132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spacing w:before="60"/>
              <w:ind w:left="561"/>
              <w:rPr>
                <w:sz w:val="20"/>
              </w:rPr>
            </w:pPr>
            <w:r>
              <w:rPr>
                <w:sz w:val="20"/>
              </w:rPr>
              <w:t>C40,</w:t>
            </w:r>
            <w:r>
              <w:rPr>
                <w:spacing w:val="-3"/>
                <w:sz w:val="20"/>
              </w:rPr>
              <w:t> </w:t>
            </w:r>
            <w:r>
              <w:rPr>
                <w:sz w:val="20"/>
              </w:rPr>
              <w:t>C41,</w:t>
            </w:r>
            <w:r>
              <w:rPr>
                <w:spacing w:val="-3"/>
                <w:sz w:val="20"/>
              </w:rPr>
              <w:t> </w:t>
            </w:r>
            <w:r>
              <w:rPr>
                <w:spacing w:val="-5"/>
                <w:sz w:val="20"/>
              </w:rPr>
              <w:t>C49</w:t>
            </w:r>
          </w:p>
        </w:tc>
        <w:tc>
          <w:tcPr>
            <w:tcW w:w="3309" w:type="dxa"/>
            <w:vMerge w:val="restart"/>
          </w:tcPr>
          <w:p>
            <w:pPr>
              <w:pStyle w:val="TableParagraph"/>
              <w:spacing w:line="249" w:lineRule="auto" w:before="60"/>
              <w:ind w:left="107" w:right="77"/>
              <w:rPr>
                <w:sz w:val="20"/>
              </w:rPr>
            </w:pPr>
            <w:r>
              <w:rPr>
                <w:sz w:val="20"/>
              </w:rPr>
              <w:t>опухоли опорно-двигательного аппарата у детей (остеосаркома, опухоли</w:t>
            </w:r>
            <w:r>
              <w:rPr>
                <w:spacing w:val="-13"/>
                <w:sz w:val="20"/>
              </w:rPr>
              <w:t> </w:t>
            </w:r>
            <w:r>
              <w:rPr>
                <w:sz w:val="20"/>
              </w:rPr>
              <w:t>семейства</w:t>
            </w:r>
            <w:r>
              <w:rPr>
                <w:spacing w:val="-12"/>
                <w:sz w:val="20"/>
              </w:rPr>
              <w:t> </w:t>
            </w:r>
            <w:r>
              <w:rPr>
                <w:sz w:val="20"/>
              </w:rPr>
              <w:t>саркомы</w:t>
            </w:r>
            <w:r>
              <w:rPr>
                <w:spacing w:val="-13"/>
                <w:sz w:val="20"/>
              </w:rPr>
              <w:t> </w:t>
            </w:r>
            <w:r>
              <w:rPr>
                <w:sz w:val="20"/>
              </w:rPr>
              <w:t>Юинга, злокачественная фиброзная гистиоцитома, саркомы мягких </w:t>
            </w:r>
            <w:r>
              <w:rPr>
                <w:spacing w:val="-2"/>
                <w:sz w:val="20"/>
              </w:rPr>
              <w:t>тканей)</w:t>
            </w:r>
          </w:p>
        </w:tc>
        <w:tc>
          <w:tcPr>
            <w:tcW w:w="1493" w:type="dxa"/>
          </w:tcPr>
          <w:p>
            <w:pPr>
              <w:pStyle w:val="TableParagraph"/>
              <w:spacing w:line="249" w:lineRule="auto" w:before="60"/>
              <w:ind w:left="106"/>
              <w:rPr>
                <w:sz w:val="20"/>
              </w:rPr>
            </w:pPr>
            <w:r>
              <w:rPr>
                <w:spacing w:val="-2"/>
                <w:sz w:val="20"/>
              </w:rPr>
              <w:t>комбинирован- </w:t>
            </w:r>
            <w:r>
              <w:rPr>
                <w:sz w:val="20"/>
              </w:rPr>
              <w:t>ное лечение</w:t>
            </w:r>
          </w:p>
        </w:tc>
        <w:tc>
          <w:tcPr>
            <w:tcW w:w="3762" w:type="dxa"/>
          </w:tcPr>
          <w:p>
            <w:pPr>
              <w:pStyle w:val="TableParagraph"/>
              <w:spacing w:line="249" w:lineRule="auto" w:before="60"/>
              <w:ind w:left="87" w:right="193"/>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c>
          <w:tcPr>
            <w:tcW w:w="1168" w:type="dxa"/>
          </w:tcPr>
          <w:p>
            <w:pPr>
              <w:pStyle w:val="TableParagraph"/>
              <w:rPr>
                <w:sz w:val="18"/>
              </w:rPr>
            </w:pPr>
          </w:p>
        </w:tc>
      </w:tr>
      <w:tr>
        <w:trPr>
          <w:trHeight w:val="228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rPr>
                <w:sz w:val="18"/>
              </w:rPr>
            </w:pPr>
          </w:p>
        </w:tc>
        <w:tc>
          <w:tcPr>
            <w:tcW w:w="3309" w:type="dxa"/>
            <w:vMerge/>
            <w:tcBorders>
              <w:top w:val="nil"/>
            </w:tcBorders>
          </w:tcPr>
          <w:p>
            <w:pPr>
              <w:rPr>
                <w:sz w:val="2"/>
                <w:szCs w:val="2"/>
              </w:rPr>
            </w:pPr>
          </w:p>
        </w:tc>
        <w:tc>
          <w:tcPr>
            <w:tcW w:w="1493" w:type="dxa"/>
          </w:tcPr>
          <w:p>
            <w:pPr>
              <w:pStyle w:val="TableParagraph"/>
              <w:rPr>
                <w:sz w:val="18"/>
              </w:rPr>
            </w:pPr>
          </w:p>
        </w:tc>
        <w:tc>
          <w:tcPr>
            <w:tcW w:w="3762" w:type="dxa"/>
          </w:tcPr>
          <w:p>
            <w:pPr>
              <w:pStyle w:val="TableParagraph"/>
              <w:spacing w:line="249" w:lineRule="auto" w:before="60"/>
              <w:ind w:left="87" w:right="72"/>
              <w:rPr>
                <w:sz w:val="20"/>
              </w:rPr>
            </w:pPr>
            <w:r>
              <w:rPr>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w:t>
            </w:r>
            <w:r>
              <w:rPr>
                <w:spacing w:val="-13"/>
                <w:sz w:val="20"/>
              </w:rPr>
              <w:t> </w:t>
            </w:r>
            <w:r>
              <w:rPr>
                <w:sz w:val="20"/>
              </w:rPr>
              <w:t>сопроводительной</w:t>
            </w:r>
            <w:r>
              <w:rPr>
                <w:spacing w:val="-12"/>
                <w:sz w:val="20"/>
              </w:rPr>
              <w:t> </w:t>
            </w:r>
            <w:r>
              <w:rPr>
                <w:sz w:val="20"/>
              </w:rPr>
              <w:t>терапии, требующей постоянного мониторирования в стационарных </w:t>
            </w:r>
            <w:r>
              <w:rPr>
                <w:spacing w:val="-2"/>
                <w:sz w:val="20"/>
              </w:rPr>
              <w:t>условиях</w:t>
            </w:r>
          </w:p>
        </w:tc>
        <w:tc>
          <w:tcPr>
            <w:tcW w:w="1168" w:type="dxa"/>
          </w:tcPr>
          <w:p>
            <w:pPr>
              <w:pStyle w:val="TableParagraph"/>
              <w:rPr>
                <w:sz w:val="18"/>
              </w:rPr>
            </w:pPr>
          </w:p>
        </w:tc>
      </w:tr>
      <w:tr>
        <w:trPr>
          <w:trHeight w:val="770" w:hRule="atLeast"/>
        </w:trPr>
        <w:tc>
          <w:tcPr>
            <w:tcW w:w="458" w:type="dxa"/>
          </w:tcPr>
          <w:p>
            <w:pPr>
              <w:pStyle w:val="TableParagraph"/>
              <w:spacing w:before="60"/>
              <w:ind w:left="50"/>
              <w:rPr>
                <w:sz w:val="20"/>
              </w:rPr>
            </w:pPr>
            <w:r>
              <w:rPr>
                <w:spacing w:val="-5"/>
                <w:sz w:val="20"/>
              </w:rPr>
              <w:t>24.</w:t>
            </w:r>
          </w:p>
        </w:tc>
        <w:tc>
          <w:tcPr>
            <w:tcW w:w="2729" w:type="dxa"/>
          </w:tcPr>
          <w:p>
            <w:pPr>
              <w:pStyle w:val="TableParagraph"/>
              <w:spacing w:line="240" w:lineRule="atLeast" w:before="30"/>
              <w:ind w:left="155" w:right="298"/>
              <w:rPr>
                <w:sz w:val="20"/>
              </w:rPr>
            </w:pPr>
            <w:r>
              <w:rPr>
                <w:sz w:val="20"/>
              </w:rPr>
              <w:t>Комплексное лечение с применением</w:t>
            </w:r>
            <w:r>
              <w:rPr>
                <w:spacing w:val="-13"/>
                <w:sz w:val="20"/>
              </w:rPr>
              <w:t> </w:t>
            </w:r>
            <w:r>
              <w:rPr>
                <w:sz w:val="20"/>
              </w:rPr>
              <w:t>стандартной химио - и (или)</w:t>
            </w:r>
          </w:p>
        </w:tc>
        <w:tc>
          <w:tcPr>
            <w:tcW w:w="2180" w:type="dxa"/>
          </w:tcPr>
          <w:p>
            <w:pPr>
              <w:pStyle w:val="TableParagraph"/>
              <w:spacing w:line="240" w:lineRule="atLeast" w:before="30"/>
              <w:ind w:left="309" w:right="169" w:firstLine="5"/>
              <w:jc w:val="center"/>
              <w:rPr>
                <w:sz w:val="20"/>
              </w:rPr>
            </w:pPr>
            <w:r>
              <w:rPr>
                <w:sz w:val="20"/>
              </w:rPr>
              <w:t>C81 - C90, C91.1 - С91.9,</w:t>
            </w:r>
            <w:r>
              <w:rPr>
                <w:spacing w:val="-13"/>
                <w:sz w:val="20"/>
              </w:rPr>
              <w:t> </w:t>
            </w:r>
            <w:r>
              <w:rPr>
                <w:sz w:val="20"/>
              </w:rPr>
              <w:t>C92.1,</w:t>
            </w:r>
            <w:r>
              <w:rPr>
                <w:spacing w:val="-12"/>
                <w:sz w:val="20"/>
              </w:rPr>
              <w:t> </w:t>
            </w:r>
            <w:r>
              <w:rPr>
                <w:sz w:val="20"/>
              </w:rPr>
              <w:t>C93.1, D45, C95.1</w:t>
            </w:r>
          </w:p>
        </w:tc>
        <w:tc>
          <w:tcPr>
            <w:tcW w:w="3309" w:type="dxa"/>
          </w:tcPr>
          <w:p>
            <w:pPr>
              <w:pStyle w:val="TableParagraph"/>
              <w:spacing w:line="240" w:lineRule="atLeast" w:before="30"/>
              <w:ind w:left="107" w:right="104"/>
              <w:rPr>
                <w:sz w:val="20"/>
              </w:rPr>
            </w:pPr>
            <w:r>
              <w:rPr>
                <w:sz w:val="20"/>
              </w:rPr>
              <w:t>первичные</w:t>
            </w:r>
            <w:r>
              <w:rPr>
                <w:spacing w:val="-13"/>
                <w:sz w:val="20"/>
              </w:rPr>
              <w:t> </w:t>
            </w:r>
            <w:r>
              <w:rPr>
                <w:sz w:val="20"/>
              </w:rPr>
              <w:t>хронические</w:t>
            </w:r>
            <w:r>
              <w:rPr>
                <w:spacing w:val="-12"/>
                <w:sz w:val="20"/>
              </w:rPr>
              <w:t> </w:t>
            </w:r>
            <w:r>
              <w:rPr>
                <w:sz w:val="20"/>
              </w:rPr>
              <w:t>лейкозы</w:t>
            </w:r>
            <w:r>
              <w:rPr>
                <w:spacing w:val="-13"/>
                <w:sz w:val="20"/>
              </w:rPr>
              <w:t> </w:t>
            </w:r>
            <w:r>
              <w:rPr>
                <w:sz w:val="20"/>
              </w:rPr>
              <w:t>и лимфомы (кроме высокозлокачественных лимфом,</w:t>
            </w:r>
          </w:p>
        </w:tc>
        <w:tc>
          <w:tcPr>
            <w:tcW w:w="1493" w:type="dxa"/>
          </w:tcPr>
          <w:p>
            <w:pPr>
              <w:pStyle w:val="TableParagraph"/>
              <w:spacing w:line="249" w:lineRule="auto" w:before="60"/>
              <w:ind w:left="106"/>
              <w:rPr>
                <w:sz w:val="20"/>
              </w:rPr>
            </w:pPr>
            <w:r>
              <w:rPr>
                <w:spacing w:val="-2"/>
                <w:sz w:val="20"/>
              </w:rPr>
              <w:t>терапевтичес- </w:t>
            </w:r>
            <w:r>
              <w:rPr>
                <w:sz w:val="20"/>
              </w:rPr>
              <w:t>кое лечение</w:t>
            </w:r>
          </w:p>
        </w:tc>
        <w:tc>
          <w:tcPr>
            <w:tcW w:w="3762" w:type="dxa"/>
          </w:tcPr>
          <w:p>
            <w:pPr>
              <w:pStyle w:val="TableParagraph"/>
              <w:spacing w:line="240" w:lineRule="atLeast" w:before="30"/>
              <w:ind w:left="87" w:right="513"/>
              <w:jc w:val="both"/>
              <w:rPr>
                <w:sz w:val="20"/>
              </w:rPr>
            </w:pPr>
            <w:r>
              <w:rPr>
                <w:sz w:val="20"/>
              </w:rPr>
              <w:t>комплексная</w:t>
            </w:r>
            <w:r>
              <w:rPr>
                <w:spacing w:val="-13"/>
                <w:sz w:val="20"/>
              </w:rPr>
              <w:t> </w:t>
            </w:r>
            <w:r>
              <w:rPr>
                <w:sz w:val="20"/>
              </w:rPr>
              <w:t>иммунохимиотерапия</w:t>
            </w:r>
            <w:r>
              <w:rPr>
                <w:spacing w:val="-12"/>
                <w:sz w:val="20"/>
              </w:rPr>
              <w:t> </w:t>
            </w:r>
            <w:r>
              <w:rPr>
                <w:sz w:val="20"/>
              </w:rPr>
              <w:t>с поддержкой</w:t>
            </w:r>
            <w:r>
              <w:rPr>
                <w:spacing w:val="-13"/>
                <w:sz w:val="20"/>
              </w:rPr>
              <w:t> </w:t>
            </w:r>
            <w:r>
              <w:rPr>
                <w:sz w:val="20"/>
              </w:rPr>
              <w:t>ростовыми</w:t>
            </w:r>
            <w:r>
              <w:rPr>
                <w:spacing w:val="-12"/>
                <w:sz w:val="20"/>
              </w:rPr>
              <w:t> </w:t>
            </w:r>
            <w:r>
              <w:rPr>
                <w:sz w:val="20"/>
              </w:rPr>
              <w:t>факторами</w:t>
            </w:r>
            <w:r>
              <w:rPr>
                <w:spacing w:val="-13"/>
                <w:sz w:val="20"/>
              </w:rPr>
              <w:t> </w:t>
            </w:r>
            <w:r>
              <w:rPr>
                <w:sz w:val="20"/>
              </w:rPr>
              <w:t>и </w:t>
            </w:r>
            <w:r>
              <w:rPr>
                <w:w w:val="95"/>
                <w:sz w:val="20"/>
              </w:rPr>
              <w:t>использованием</w:t>
            </w:r>
            <w:r>
              <w:rPr>
                <w:spacing w:val="53"/>
                <w:sz w:val="20"/>
              </w:rPr>
              <w:t> </w:t>
            </w:r>
            <w:r>
              <w:rPr>
                <w:spacing w:val="-2"/>
                <w:w w:val="95"/>
                <w:sz w:val="20"/>
              </w:rPr>
              <w:t>антибактериальной,</w:t>
            </w:r>
          </w:p>
        </w:tc>
        <w:tc>
          <w:tcPr>
            <w:tcW w:w="1168" w:type="dxa"/>
          </w:tcPr>
          <w:p>
            <w:pPr>
              <w:pStyle w:val="TableParagraph"/>
              <w:spacing w:before="60"/>
              <w:ind w:left="518"/>
              <w:rPr>
                <w:sz w:val="20"/>
              </w:rPr>
            </w:pPr>
            <w:r>
              <w:rPr>
                <w:spacing w:val="-2"/>
                <w:sz w:val="20"/>
              </w:rPr>
              <w:t>335583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42"/>
        <w:gridCol w:w="2206"/>
        <w:gridCol w:w="3293"/>
        <w:gridCol w:w="1417"/>
        <w:gridCol w:w="4015"/>
        <w:gridCol w:w="968"/>
      </w:tblGrid>
      <w:tr>
        <w:trPr>
          <w:trHeight w:val="770" w:hRule="atLeast"/>
        </w:trPr>
        <w:tc>
          <w:tcPr>
            <w:tcW w:w="458" w:type="dxa"/>
            <w:vMerge w:val="restart"/>
          </w:tcPr>
          <w:p>
            <w:pPr>
              <w:pStyle w:val="TableParagraph"/>
              <w:rPr>
                <w:sz w:val="18"/>
              </w:rPr>
            </w:pPr>
          </w:p>
        </w:tc>
        <w:tc>
          <w:tcPr>
            <w:tcW w:w="2742" w:type="dxa"/>
            <w:vMerge w:val="restart"/>
          </w:tcPr>
          <w:p>
            <w:pPr>
              <w:pStyle w:val="TableParagraph"/>
              <w:spacing w:line="249" w:lineRule="auto"/>
              <w:ind w:left="155" w:right="144"/>
              <w:rPr>
                <w:sz w:val="20"/>
              </w:rPr>
            </w:pPr>
            <w:r>
              <w:rPr>
                <w:sz w:val="20"/>
              </w:rPr>
              <w:t>иммунотерапии (включая таргетные лекарственные препараты), лучевой и афферентной терапии при первичных острых и хронических лейкозах и лимфомах</w:t>
            </w:r>
            <w:r>
              <w:rPr>
                <w:spacing w:val="-13"/>
                <w:sz w:val="20"/>
              </w:rPr>
              <w:t> </w:t>
            </w:r>
            <w:r>
              <w:rPr>
                <w:sz w:val="20"/>
              </w:rPr>
              <w:t>(за</w:t>
            </w:r>
            <w:r>
              <w:rPr>
                <w:spacing w:val="-12"/>
                <w:sz w:val="20"/>
              </w:rPr>
              <w:t> </w:t>
            </w:r>
            <w:r>
              <w:rPr>
                <w:sz w:val="20"/>
              </w:rPr>
              <w:t>исключением </w:t>
            </w:r>
            <w:r>
              <w:rPr>
                <w:spacing w:val="-2"/>
                <w:sz w:val="20"/>
              </w:rPr>
              <w:t>высокозлокачественных </w:t>
            </w:r>
            <w:r>
              <w:rPr>
                <w:sz w:val="20"/>
              </w:rPr>
              <w:t>лимфом, хронического миелолейкоза в стадии бластного криза и фазе акселерации), рецидивах и рефрактерных формах солидных опухолей</w:t>
            </w:r>
          </w:p>
        </w:tc>
        <w:tc>
          <w:tcPr>
            <w:tcW w:w="2206" w:type="dxa"/>
          </w:tcPr>
          <w:p>
            <w:pPr>
              <w:pStyle w:val="TableParagraph"/>
              <w:rPr>
                <w:sz w:val="18"/>
              </w:rPr>
            </w:pPr>
          </w:p>
        </w:tc>
        <w:tc>
          <w:tcPr>
            <w:tcW w:w="3293" w:type="dxa"/>
          </w:tcPr>
          <w:p>
            <w:pPr>
              <w:pStyle w:val="TableParagraph"/>
              <w:spacing w:line="249" w:lineRule="auto"/>
              <w:ind w:left="68" w:right="18"/>
              <w:rPr>
                <w:sz w:val="20"/>
              </w:rPr>
            </w:pPr>
            <w:r>
              <w:rPr>
                <w:sz w:val="20"/>
              </w:rPr>
              <w:t>хронического миелолейкоза в фазе бластного</w:t>
            </w:r>
            <w:r>
              <w:rPr>
                <w:spacing w:val="-11"/>
                <w:sz w:val="20"/>
              </w:rPr>
              <w:t> </w:t>
            </w:r>
            <w:r>
              <w:rPr>
                <w:sz w:val="20"/>
              </w:rPr>
              <w:t>криза</w:t>
            </w:r>
            <w:r>
              <w:rPr>
                <w:spacing w:val="-11"/>
                <w:sz w:val="20"/>
              </w:rPr>
              <w:t> </w:t>
            </w:r>
            <w:r>
              <w:rPr>
                <w:sz w:val="20"/>
              </w:rPr>
              <w:t>и</w:t>
            </w:r>
            <w:r>
              <w:rPr>
                <w:spacing w:val="-12"/>
                <w:sz w:val="20"/>
              </w:rPr>
              <w:t> </w:t>
            </w:r>
            <w:r>
              <w:rPr>
                <w:sz w:val="20"/>
              </w:rPr>
              <w:t>фазе</w:t>
            </w:r>
            <w:r>
              <w:rPr>
                <w:spacing w:val="-11"/>
                <w:sz w:val="20"/>
              </w:rPr>
              <w:t> </w:t>
            </w:r>
            <w:r>
              <w:rPr>
                <w:sz w:val="20"/>
              </w:rPr>
              <w:t>акселерации)</w:t>
            </w:r>
          </w:p>
        </w:tc>
        <w:tc>
          <w:tcPr>
            <w:tcW w:w="1417" w:type="dxa"/>
          </w:tcPr>
          <w:p>
            <w:pPr>
              <w:pStyle w:val="TableParagraph"/>
              <w:rPr>
                <w:sz w:val="18"/>
              </w:rPr>
            </w:pPr>
          </w:p>
        </w:tc>
        <w:tc>
          <w:tcPr>
            <w:tcW w:w="4015" w:type="dxa"/>
          </w:tcPr>
          <w:p>
            <w:pPr>
              <w:pStyle w:val="TableParagraph"/>
              <w:spacing w:line="249" w:lineRule="auto"/>
              <w:ind w:left="140" w:right="278"/>
              <w:rPr>
                <w:sz w:val="20"/>
              </w:rPr>
            </w:pPr>
            <w:r>
              <w:rPr>
                <w:sz w:val="20"/>
              </w:rPr>
              <w:t>противогрибковой, противовирусной терапии,</w:t>
            </w:r>
            <w:r>
              <w:rPr>
                <w:spacing w:val="-10"/>
                <w:sz w:val="20"/>
              </w:rPr>
              <w:t> </w:t>
            </w:r>
            <w:r>
              <w:rPr>
                <w:sz w:val="20"/>
              </w:rPr>
              <w:t>методов</w:t>
            </w:r>
            <w:r>
              <w:rPr>
                <w:spacing w:val="-11"/>
                <w:sz w:val="20"/>
              </w:rPr>
              <w:t> </w:t>
            </w:r>
            <w:r>
              <w:rPr>
                <w:sz w:val="20"/>
              </w:rPr>
              <w:t>афферентной</w:t>
            </w:r>
            <w:r>
              <w:rPr>
                <w:spacing w:val="-11"/>
                <w:sz w:val="20"/>
              </w:rPr>
              <w:t> </w:t>
            </w:r>
            <w:r>
              <w:rPr>
                <w:sz w:val="20"/>
              </w:rPr>
              <w:t>терапии</w:t>
            </w:r>
            <w:r>
              <w:rPr>
                <w:spacing w:val="-11"/>
                <w:sz w:val="20"/>
              </w:rPr>
              <w:t> </w:t>
            </w:r>
            <w:r>
              <w:rPr>
                <w:sz w:val="20"/>
              </w:rPr>
              <w:t>и лучевой терапии</w:t>
            </w:r>
          </w:p>
        </w:tc>
        <w:tc>
          <w:tcPr>
            <w:tcW w:w="968" w:type="dxa"/>
          </w:tcPr>
          <w:p>
            <w:pPr>
              <w:pStyle w:val="TableParagraph"/>
              <w:rPr>
                <w:sz w:val="18"/>
              </w:rPr>
            </w:pPr>
          </w:p>
        </w:tc>
      </w:tr>
      <w:tr>
        <w:trPr>
          <w:trHeight w:val="1080" w:hRule="atLeast"/>
        </w:trPr>
        <w:tc>
          <w:tcPr>
            <w:tcW w:w="458" w:type="dxa"/>
            <w:vMerge/>
            <w:tcBorders>
              <w:top w:val="nil"/>
            </w:tcBorders>
          </w:tcPr>
          <w:p>
            <w:pPr>
              <w:rPr>
                <w:sz w:val="2"/>
                <w:szCs w:val="2"/>
              </w:rPr>
            </w:pPr>
          </w:p>
        </w:tc>
        <w:tc>
          <w:tcPr>
            <w:tcW w:w="2742" w:type="dxa"/>
            <w:vMerge/>
            <w:tcBorders>
              <w:top w:val="nil"/>
            </w:tcBorders>
          </w:tcPr>
          <w:p>
            <w:pPr>
              <w:rPr>
                <w:sz w:val="2"/>
                <w:szCs w:val="2"/>
              </w:rPr>
            </w:pPr>
          </w:p>
        </w:tc>
        <w:tc>
          <w:tcPr>
            <w:tcW w:w="2206" w:type="dxa"/>
          </w:tcPr>
          <w:p>
            <w:pPr>
              <w:pStyle w:val="TableParagraph"/>
              <w:rPr>
                <w:sz w:val="18"/>
              </w:rPr>
            </w:pPr>
          </w:p>
        </w:tc>
        <w:tc>
          <w:tcPr>
            <w:tcW w:w="3293" w:type="dxa"/>
          </w:tcPr>
          <w:p>
            <w:pPr>
              <w:pStyle w:val="TableParagraph"/>
              <w:rPr>
                <w:sz w:val="18"/>
              </w:rPr>
            </w:pPr>
          </w:p>
        </w:tc>
        <w:tc>
          <w:tcPr>
            <w:tcW w:w="1417" w:type="dxa"/>
          </w:tcPr>
          <w:p>
            <w:pPr>
              <w:pStyle w:val="TableParagraph"/>
              <w:rPr>
                <w:sz w:val="18"/>
              </w:rPr>
            </w:pPr>
          </w:p>
        </w:tc>
        <w:tc>
          <w:tcPr>
            <w:tcW w:w="4015" w:type="dxa"/>
          </w:tcPr>
          <w:p>
            <w:pPr>
              <w:pStyle w:val="TableParagraph"/>
              <w:spacing w:line="249" w:lineRule="auto" w:before="60"/>
              <w:ind w:left="140" w:right="278"/>
              <w:rPr>
                <w:sz w:val="20"/>
              </w:rPr>
            </w:pPr>
            <w:r>
              <w:rPr>
                <w:sz w:val="20"/>
              </w:rPr>
              <w:t>комплексное</w:t>
            </w:r>
            <w:r>
              <w:rPr>
                <w:spacing w:val="-13"/>
                <w:sz w:val="20"/>
              </w:rPr>
              <w:t> </w:t>
            </w:r>
            <w:r>
              <w:rPr>
                <w:sz w:val="20"/>
              </w:rPr>
              <w:t>лечение</w:t>
            </w:r>
            <w:r>
              <w:rPr>
                <w:spacing w:val="-12"/>
                <w:sz w:val="20"/>
              </w:rPr>
              <w:t> </w:t>
            </w:r>
            <w:r>
              <w:rPr>
                <w:sz w:val="20"/>
              </w:rPr>
              <w:t>с</w:t>
            </w:r>
            <w:r>
              <w:rPr>
                <w:spacing w:val="-13"/>
                <w:sz w:val="20"/>
              </w:rPr>
              <w:t> </w:t>
            </w:r>
            <w:r>
              <w:rPr>
                <w:sz w:val="20"/>
              </w:rPr>
              <w:t>использованием таргетных лекарственных препаратов, факторов роста, биопрепаратов, поддержкой стволовыми клетками</w:t>
            </w:r>
          </w:p>
        </w:tc>
        <w:tc>
          <w:tcPr>
            <w:tcW w:w="968" w:type="dxa"/>
          </w:tcPr>
          <w:p>
            <w:pPr>
              <w:pStyle w:val="TableParagraph"/>
              <w:rPr>
                <w:sz w:val="18"/>
              </w:rPr>
            </w:pPr>
          </w:p>
        </w:tc>
      </w:tr>
      <w:tr>
        <w:trPr>
          <w:trHeight w:val="1560" w:hRule="atLeast"/>
        </w:trPr>
        <w:tc>
          <w:tcPr>
            <w:tcW w:w="458" w:type="dxa"/>
            <w:vMerge/>
            <w:tcBorders>
              <w:top w:val="nil"/>
            </w:tcBorders>
          </w:tcPr>
          <w:p>
            <w:pPr>
              <w:rPr>
                <w:sz w:val="2"/>
                <w:szCs w:val="2"/>
              </w:rPr>
            </w:pPr>
          </w:p>
        </w:tc>
        <w:tc>
          <w:tcPr>
            <w:tcW w:w="2742" w:type="dxa"/>
            <w:vMerge/>
            <w:tcBorders>
              <w:top w:val="nil"/>
            </w:tcBorders>
          </w:tcPr>
          <w:p>
            <w:pPr>
              <w:rPr>
                <w:sz w:val="2"/>
                <w:szCs w:val="2"/>
              </w:rPr>
            </w:pPr>
          </w:p>
        </w:tc>
        <w:tc>
          <w:tcPr>
            <w:tcW w:w="2206" w:type="dxa"/>
          </w:tcPr>
          <w:p>
            <w:pPr>
              <w:pStyle w:val="TableParagraph"/>
              <w:rPr>
                <w:sz w:val="18"/>
              </w:rPr>
            </w:pPr>
          </w:p>
        </w:tc>
        <w:tc>
          <w:tcPr>
            <w:tcW w:w="3293" w:type="dxa"/>
          </w:tcPr>
          <w:p>
            <w:pPr>
              <w:pStyle w:val="TableParagraph"/>
              <w:rPr>
                <w:sz w:val="18"/>
              </w:rPr>
            </w:pPr>
          </w:p>
        </w:tc>
        <w:tc>
          <w:tcPr>
            <w:tcW w:w="1417" w:type="dxa"/>
          </w:tcPr>
          <w:p>
            <w:pPr>
              <w:pStyle w:val="TableParagraph"/>
              <w:rPr>
                <w:sz w:val="18"/>
              </w:rPr>
            </w:pPr>
          </w:p>
        </w:tc>
        <w:tc>
          <w:tcPr>
            <w:tcW w:w="4015" w:type="dxa"/>
          </w:tcPr>
          <w:p>
            <w:pPr>
              <w:pStyle w:val="TableParagraph"/>
              <w:spacing w:line="249" w:lineRule="auto" w:before="60"/>
              <w:ind w:left="140" w:right="359"/>
              <w:rPr>
                <w:sz w:val="20"/>
              </w:rPr>
            </w:pPr>
            <w:r>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w:t>
            </w:r>
            <w:r>
              <w:rPr>
                <w:spacing w:val="-11"/>
                <w:sz w:val="20"/>
              </w:rPr>
              <w:t> </w:t>
            </w:r>
            <w:r>
              <w:rPr>
                <w:sz w:val="20"/>
              </w:rPr>
              <w:t>терапии</w:t>
            </w:r>
            <w:r>
              <w:rPr>
                <w:spacing w:val="-10"/>
                <w:sz w:val="20"/>
              </w:rPr>
              <w:t> </w:t>
            </w:r>
            <w:r>
              <w:rPr>
                <w:sz w:val="20"/>
              </w:rPr>
              <w:t>и</w:t>
            </w:r>
            <w:r>
              <w:rPr>
                <w:spacing w:val="-11"/>
                <w:sz w:val="20"/>
              </w:rPr>
              <w:t> </w:t>
            </w:r>
            <w:r>
              <w:rPr>
                <w:sz w:val="20"/>
              </w:rPr>
              <w:t>лучевой</w:t>
            </w:r>
            <w:r>
              <w:rPr>
                <w:spacing w:val="-11"/>
                <w:sz w:val="20"/>
              </w:rPr>
              <w:t> </w:t>
            </w:r>
            <w:r>
              <w:rPr>
                <w:sz w:val="20"/>
              </w:rPr>
              <w:t>терапии</w:t>
            </w:r>
          </w:p>
        </w:tc>
        <w:tc>
          <w:tcPr>
            <w:tcW w:w="968" w:type="dxa"/>
          </w:tcPr>
          <w:p>
            <w:pPr>
              <w:pStyle w:val="TableParagraph"/>
              <w:rPr>
                <w:sz w:val="18"/>
              </w:rPr>
            </w:pPr>
          </w:p>
        </w:tc>
      </w:tr>
      <w:tr>
        <w:trPr>
          <w:trHeight w:val="3651" w:hRule="atLeast"/>
        </w:trPr>
        <w:tc>
          <w:tcPr>
            <w:tcW w:w="458" w:type="dxa"/>
          </w:tcPr>
          <w:p>
            <w:pPr>
              <w:pStyle w:val="TableParagraph"/>
              <w:spacing w:before="60"/>
              <w:ind w:left="50"/>
              <w:rPr>
                <w:sz w:val="20"/>
              </w:rPr>
            </w:pPr>
            <w:r>
              <w:rPr>
                <w:spacing w:val="-5"/>
                <w:sz w:val="20"/>
              </w:rPr>
              <w:t>25.</w:t>
            </w:r>
          </w:p>
        </w:tc>
        <w:tc>
          <w:tcPr>
            <w:tcW w:w="2742" w:type="dxa"/>
          </w:tcPr>
          <w:p>
            <w:pPr>
              <w:pStyle w:val="TableParagraph"/>
              <w:spacing w:line="249" w:lineRule="auto" w:before="60"/>
              <w:ind w:left="155" w:right="461"/>
              <w:rPr>
                <w:sz w:val="20"/>
              </w:rPr>
            </w:pPr>
            <w:r>
              <w:rPr>
                <w:spacing w:val="-2"/>
                <w:sz w:val="20"/>
              </w:rPr>
              <w:t>Внутритканевая, внутриполостная, </w:t>
            </w:r>
            <w:r>
              <w:rPr>
                <w:sz w:val="20"/>
              </w:rPr>
              <w:t>аппликационная</w:t>
            </w:r>
            <w:r>
              <w:rPr>
                <w:spacing w:val="-13"/>
                <w:sz w:val="20"/>
              </w:rPr>
              <w:t> </w:t>
            </w:r>
            <w:r>
              <w:rPr>
                <w:sz w:val="20"/>
              </w:rPr>
              <w:t>лучевая терапия в </w:t>
            </w:r>
            <w:r>
              <w:rPr>
                <w:spacing w:val="-2"/>
                <w:sz w:val="20"/>
              </w:rPr>
              <w:t>радиотерапевтических отделениях.</w:t>
            </w:r>
          </w:p>
          <w:p>
            <w:pPr>
              <w:pStyle w:val="TableParagraph"/>
              <w:spacing w:line="249" w:lineRule="auto" w:before="5"/>
              <w:ind w:left="155" w:right="144"/>
              <w:rPr>
                <w:sz w:val="20"/>
              </w:rPr>
            </w:pPr>
            <w:r>
              <w:rPr>
                <w:sz w:val="20"/>
              </w:rPr>
              <w:t>Интраоперационная</w:t>
            </w:r>
            <w:r>
              <w:rPr>
                <w:spacing w:val="-13"/>
                <w:sz w:val="20"/>
              </w:rPr>
              <w:t> </w:t>
            </w:r>
            <w:r>
              <w:rPr>
                <w:sz w:val="20"/>
              </w:rPr>
              <w:t>лучевая </w:t>
            </w:r>
            <w:r>
              <w:rPr>
                <w:spacing w:val="-2"/>
                <w:sz w:val="20"/>
              </w:rPr>
              <w:t>терапия</w:t>
            </w:r>
          </w:p>
        </w:tc>
        <w:tc>
          <w:tcPr>
            <w:tcW w:w="2206" w:type="dxa"/>
          </w:tcPr>
          <w:p>
            <w:pPr>
              <w:pStyle w:val="TableParagraph"/>
              <w:spacing w:line="249" w:lineRule="auto" w:before="60"/>
              <w:ind w:left="155" w:right="65" w:firstLine="1"/>
              <w:jc w:val="center"/>
              <w:rPr>
                <w:sz w:val="20"/>
              </w:rPr>
            </w:pPr>
            <w:r>
              <w:rPr>
                <w:sz w:val="20"/>
              </w:rPr>
              <w:t>C00 - C14, C15 - C17, C18 - C22, C23 - C25, C30, C31, C32, C33, C34, C37, C39, C40, C41, C44, C48, C49, C50, C51, C55, C60, C61, C64, C67, C68, C73,</w:t>
            </w:r>
            <w:r>
              <w:rPr>
                <w:spacing w:val="-13"/>
                <w:sz w:val="20"/>
              </w:rPr>
              <w:t> </w:t>
            </w:r>
            <w:r>
              <w:rPr>
                <w:sz w:val="20"/>
              </w:rPr>
              <w:t>C74,</w:t>
            </w:r>
            <w:r>
              <w:rPr>
                <w:spacing w:val="-12"/>
                <w:sz w:val="20"/>
              </w:rPr>
              <w:t> </w:t>
            </w:r>
            <w:r>
              <w:rPr>
                <w:sz w:val="20"/>
              </w:rPr>
              <w:t>C77,0,</w:t>
            </w:r>
            <w:r>
              <w:rPr>
                <w:spacing w:val="-13"/>
                <w:sz w:val="20"/>
              </w:rPr>
              <w:t> </w:t>
            </w:r>
            <w:r>
              <w:rPr>
                <w:sz w:val="20"/>
              </w:rPr>
              <w:t>C77.1, C77.2, C77.5</w:t>
            </w:r>
          </w:p>
        </w:tc>
        <w:tc>
          <w:tcPr>
            <w:tcW w:w="3293" w:type="dxa"/>
          </w:tcPr>
          <w:p>
            <w:pPr>
              <w:pStyle w:val="TableParagraph"/>
              <w:spacing w:line="249" w:lineRule="auto" w:before="60"/>
              <w:ind w:left="68" w:right="18"/>
              <w:rPr>
                <w:sz w:val="20"/>
              </w:rPr>
            </w:pPr>
            <w:r>
              <w:rPr>
                <w:sz w:val="20"/>
              </w:rPr>
              <w:t>злокачественные новообразования головы и шеи, трахеи, бронхов, легкого, плевры, средостения, щитовидной железы, молочной железы,</w:t>
            </w:r>
            <w:r>
              <w:rPr>
                <w:spacing w:val="-6"/>
                <w:sz w:val="20"/>
              </w:rPr>
              <w:t> </w:t>
            </w:r>
            <w:r>
              <w:rPr>
                <w:sz w:val="20"/>
              </w:rPr>
              <w:t>пищевода,</w:t>
            </w:r>
            <w:r>
              <w:rPr>
                <w:spacing w:val="-7"/>
                <w:sz w:val="20"/>
              </w:rPr>
              <w:t> </w:t>
            </w:r>
            <w:r>
              <w:rPr>
                <w:sz w:val="20"/>
              </w:rPr>
              <w:t>желудка,</w:t>
            </w:r>
            <w:r>
              <w:rPr>
                <w:spacing w:val="-5"/>
                <w:sz w:val="20"/>
              </w:rPr>
              <w:t> </w:t>
            </w:r>
            <w:r>
              <w:rPr>
                <w:sz w:val="20"/>
              </w:rPr>
              <w:t>тонкой кишки,</w:t>
            </w:r>
            <w:r>
              <w:rPr>
                <w:spacing w:val="-13"/>
                <w:sz w:val="20"/>
              </w:rPr>
              <w:t> </w:t>
            </w:r>
            <w:r>
              <w:rPr>
                <w:sz w:val="20"/>
              </w:rPr>
              <w:t>ободочной</w:t>
            </w:r>
            <w:r>
              <w:rPr>
                <w:spacing w:val="-12"/>
                <w:sz w:val="20"/>
              </w:rPr>
              <w:t> </w:t>
            </w:r>
            <w:r>
              <w:rPr>
                <w:sz w:val="20"/>
              </w:rPr>
              <w:t>кишки,</w:t>
            </w:r>
            <w:r>
              <w:rPr>
                <w:spacing w:val="-13"/>
                <w:sz w:val="20"/>
              </w:rPr>
              <w:t> </w:t>
            </w:r>
            <w:r>
              <w:rPr>
                <w:sz w:val="20"/>
              </w:rPr>
              <w:t>желчного пузыря, поджелудочной железы, толстой</w:t>
            </w:r>
            <w:r>
              <w:rPr>
                <w:spacing w:val="-5"/>
                <w:sz w:val="20"/>
              </w:rPr>
              <w:t> </w:t>
            </w:r>
            <w:r>
              <w:rPr>
                <w:sz w:val="20"/>
              </w:rPr>
              <w:t>и</w:t>
            </w:r>
            <w:r>
              <w:rPr>
                <w:spacing w:val="-7"/>
                <w:sz w:val="20"/>
              </w:rPr>
              <w:t> </w:t>
            </w:r>
            <w:r>
              <w:rPr>
                <w:sz w:val="20"/>
              </w:rPr>
              <w:t>прямой</w:t>
            </w:r>
            <w:r>
              <w:rPr>
                <w:spacing w:val="-5"/>
                <w:sz w:val="20"/>
              </w:rPr>
              <w:t> </w:t>
            </w:r>
            <w:r>
              <w:rPr>
                <w:sz w:val="20"/>
              </w:rPr>
              <w:t>кишки,</w:t>
            </w:r>
            <w:r>
              <w:rPr>
                <w:spacing w:val="-6"/>
                <w:sz w:val="20"/>
              </w:rPr>
              <w:t> </w:t>
            </w:r>
            <w:r>
              <w:rPr>
                <w:sz w:val="20"/>
              </w:rPr>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w:t>
            </w:r>
          </w:p>
          <w:p>
            <w:pPr>
              <w:pStyle w:val="TableParagraph"/>
              <w:spacing w:line="210" w:lineRule="exact" w:before="12"/>
              <w:ind w:left="68"/>
              <w:rPr>
                <w:sz w:val="20"/>
              </w:rPr>
            </w:pPr>
            <w:r>
              <w:rPr>
                <w:w w:val="95"/>
                <w:sz w:val="20"/>
              </w:rPr>
              <w:t>местнораспространенные</w:t>
            </w:r>
            <w:r>
              <w:rPr>
                <w:spacing w:val="60"/>
                <w:w w:val="150"/>
                <w:sz w:val="20"/>
              </w:rPr>
              <w:t> </w:t>
            </w:r>
            <w:r>
              <w:rPr>
                <w:spacing w:val="-2"/>
                <w:sz w:val="20"/>
              </w:rPr>
              <w:t>формы</w:t>
            </w:r>
          </w:p>
        </w:tc>
        <w:tc>
          <w:tcPr>
            <w:tcW w:w="1417" w:type="dxa"/>
          </w:tcPr>
          <w:p>
            <w:pPr>
              <w:pStyle w:val="TableParagraph"/>
              <w:spacing w:line="249" w:lineRule="auto" w:before="60"/>
              <w:ind w:left="83"/>
              <w:rPr>
                <w:sz w:val="20"/>
              </w:rPr>
            </w:pPr>
            <w:r>
              <w:rPr>
                <w:spacing w:val="-2"/>
                <w:sz w:val="20"/>
              </w:rPr>
              <w:t>терапевтичес- </w:t>
            </w:r>
            <w:r>
              <w:rPr>
                <w:sz w:val="20"/>
              </w:rPr>
              <w:t>кое лечение</w:t>
            </w:r>
          </w:p>
        </w:tc>
        <w:tc>
          <w:tcPr>
            <w:tcW w:w="4015" w:type="dxa"/>
          </w:tcPr>
          <w:p>
            <w:pPr>
              <w:pStyle w:val="TableParagraph"/>
              <w:spacing w:line="249" w:lineRule="auto" w:before="60"/>
              <w:ind w:left="140" w:right="359"/>
              <w:rPr>
                <w:sz w:val="20"/>
              </w:rPr>
            </w:pPr>
            <w:r>
              <w:rPr>
                <w:sz w:val="20"/>
              </w:rPr>
              <w:t>интраоперационная лучевая терапия. Внутритканевая, аппликационная лучевая</w:t>
            </w:r>
            <w:r>
              <w:rPr>
                <w:spacing w:val="-13"/>
                <w:sz w:val="20"/>
              </w:rPr>
              <w:t> </w:t>
            </w:r>
            <w:r>
              <w:rPr>
                <w:sz w:val="20"/>
              </w:rPr>
              <w:t>терапия.</w:t>
            </w:r>
            <w:r>
              <w:rPr>
                <w:spacing w:val="-12"/>
                <w:sz w:val="20"/>
              </w:rPr>
              <w:t> </w:t>
            </w:r>
            <w:r>
              <w:rPr>
                <w:sz w:val="20"/>
              </w:rPr>
              <w:t>3D-4D</w:t>
            </w:r>
            <w:r>
              <w:rPr>
                <w:spacing w:val="-13"/>
                <w:sz w:val="20"/>
              </w:rPr>
              <w:t> </w:t>
            </w:r>
            <w:r>
              <w:rPr>
                <w:sz w:val="20"/>
              </w:rPr>
              <w:t>планирование. Внутриполостная лучевая терапия.</w:t>
            </w:r>
          </w:p>
          <w:p>
            <w:pPr>
              <w:pStyle w:val="TableParagraph"/>
              <w:spacing w:line="249" w:lineRule="auto" w:before="4"/>
              <w:ind w:left="140" w:right="278"/>
              <w:rPr>
                <w:sz w:val="20"/>
              </w:rPr>
            </w:pPr>
            <w:r>
              <w:rPr>
                <w:sz w:val="20"/>
              </w:rPr>
              <w:t>Рентгенологический и/или ультразвуковой</w:t>
            </w:r>
            <w:r>
              <w:rPr>
                <w:spacing w:val="-13"/>
                <w:sz w:val="20"/>
              </w:rPr>
              <w:t> </w:t>
            </w:r>
            <w:r>
              <w:rPr>
                <w:sz w:val="20"/>
              </w:rPr>
              <w:t>контроль</w:t>
            </w:r>
            <w:r>
              <w:rPr>
                <w:spacing w:val="-12"/>
                <w:sz w:val="20"/>
              </w:rPr>
              <w:t> </w:t>
            </w:r>
            <w:r>
              <w:rPr>
                <w:sz w:val="20"/>
              </w:rPr>
              <w:t>установки </w:t>
            </w:r>
            <w:r>
              <w:rPr>
                <w:spacing w:val="-2"/>
                <w:sz w:val="20"/>
              </w:rPr>
              <w:t>эндостата</w:t>
            </w:r>
          </w:p>
        </w:tc>
        <w:tc>
          <w:tcPr>
            <w:tcW w:w="968" w:type="dxa"/>
          </w:tcPr>
          <w:p>
            <w:pPr>
              <w:pStyle w:val="TableParagraph"/>
              <w:spacing w:before="60"/>
              <w:ind w:left="318"/>
              <w:rPr>
                <w:sz w:val="20"/>
              </w:rPr>
            </w:pPr>
            <w:r>
              <w:rPr>
                <w:spacing w:val="-2"/>
                <w:sz w:val="20"/>
              </w:rPr>
              <w:t>248983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158"/>
        <w:gridCol w:w="3300"/>
        <w:gridCol w:w="1407"/>
        <w:gridCol w:w="3755"/>
      </w:tblGrid>
      <w:tr>
        <w:trPr>
          <w:trHeight w:val="770" w:hRule="atLeast"/>
        </w:trPr>
        <w:tc>
          <w:tcPr>
            <w:tcW w:w="2690" w:type="dxa"/>
          </w:tcPr>
          <w:p>
            <w:pPr>
              <w:pStyle w:val="TableParagraph"/>
              <w:rPr>
                <w:sz w:val="18"/>
              </w:rPr>
            </w:pPr>
          </w:p>
        </w:tc>
        <w:tc>
          <w:tcPr>
            <w:tcW w:w="2158" w:type="dxa"/>
          </w:tcPr>
          <w:p>
            <w:pPr>
              <w:pStyle w:val="TableParagraph"/>
              <w:spacing w:line="249" w:lineRule="auto"/>
              <w:ind w:left="927" w:hanging="675"/>
              <w:rPr>
                <w:sz w:val="20"/>
              </w:rPr>
            </w:pPr>
            <w:r>
              <w:rPr>
                <w:sz w:val="20"/>
              </w:rPr>
              <w:t>С51,</w:t>
            </w:r>
            <w:r>
              <w:rPr>
                <w:spacing w:val="-13"/>
                <w:sz w:val="20"/>
              </w:rPr>
              <w:t> </w:t>
            </w:r>
            <w:r>
              <w:rPr>
                <w:sz w:val="20"/>
              </w:rPr>
              <w:t>С52,</w:t>
            </w:r>
            <w:r>
              <w:rPr>
                <w:spacing w:val="-12"/>
                <w:sz w:val="20"/>
              </w:rPr>
              <w:t> </w:t>
            </w:r>
            <w:r>
              <w:rPr>
                <w:sz w:val="20"/>
              </w:rPr>
              <w:t>С53,</w:t>
            </w:r>
            <w:r>
              <w:rPr>
                <w:spacing w:val="-13"/>
                <w:sz w:val="20"/>
              </w:rPr>
              <w:t> </w:t>
            </w:r>
            <w:r>
              <w:rPr>
                <w:sz w:val="20"/>
              </w:rPr>
              <w:t>С54, </w:t>
            </w:r>
            <w:r>
              <w:rPr>
                <w:spacing w:val="-4"/>
                <w:sz w:val="20"/>
              </w:rPr>
              <w:t>С55</w:t>
            </w:r>
          </w:p>
        </w:tc>
        <w:tc>
          <w:tcPr>
            <w:tcW w:w="3300" w:type="dxa"/>
            <w:vMerge w:val="restart"/>
          </w:tcPr>
          <w:p>
            <w:pPr>
              <w:pStyle w:val="TableParagraph"/>
              <w:spacing w:line="249" w:lineRule="auto"/>
              <w:ind w:left="62"/>
              <w:rPr>
                <w:sz w:val="20"/>
              </w:rPr>
            </w:pPr>
            <w:r>
              <w:rPr>
                <w:spacing w:val="-2"/>
                <w:sz w:val="20"/>
              </w:rPr>
              <w:t>интраэпительальные, </w:t>
            </w:r>
            <w:r>
              <w:rPr>
                <w:sz w:val="20"/>
              </w:rPr>
              <w:t>микроинвазивные и инвазивные злокачественные новообразования вульвы, влагалища, шейки и тела матки</w:t>
            </w:r>
            <w:r>
              <w:rPr>
                <w:spacing w:val="-9"/>
                <w:sz w:val="20"/>
              </w:rPr>
              <w:t> </w:t>
            </w:r>
            <w:r>
              <w:rPr>
                <w:sz w:val="20"/>
              </w:rPr>
              <w:t>(Т0-4N0-1M0-1),</w:t>
            </w:r>
            <w:r>
              <w:rPr>
                <w:spacing w:val="-8"/>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 метастазированием</w:t>
            </w:r>
            <w:r>
              <w:rPr>
                <w:spacing w:val="-2"/>
                <w:sz w:val="20"/>
              </w:rPr>
              <w:t> </w:t>
            </w:r>
            <w:r>
              <w:rPr>
                <w:sz w:val="20"/>
              </w:rPr>
              <w:t>в</w:t>
            </w:r>
            <w:r>
              <w:rPr>
                <w:spacing w:val="-4"/>
                <w:sz w:val="20"/>
              </w:rPr>
              <w:t> </w:t>
            </w:r>
            <w:r>
              <w:rPr>
                <w:sz w:val="20"/>
              </w:rPr>
              <w:t>параортальные или паховые лимфоузлы</w:t>
            </w:r>
          </w:p>
        </w:tc>
        <w:tc>
          <w:tcPr>
            <w:tcW w:w="1407" w:type="dxa"/>
          </w:tcPr>
          <w:p>
            <w:pPr>
              <w:pStyle w:val="TableParagraph"/>
              <w:spacing w:line="249" w:lineRule="auto"/>
              <w:ind w:left="70"/>
              <w:rPr>
                <w:sz w:val="20"/>
              </w:rPr>
            </w:pPr>
            <w:r>
              <w:rPr>
                <w:spacing w:val="-2"/>
                <w:sz w:val="20"/>
              </w:rPr>
              <w:t>терапевтичес- </w:t>
            </w:r>
            <w:r>
              <w:rPr>
                <w:sz w:val="20"/>
              </w:rPr>
              <w:t>кое</w:t>
            </w:r>
            <w:r>
              <w:rPr>
                <w:spacing w:val="40"/>
                <w:sz w:val="20"/>
              </w:rPr>
              <w:t> </w:t>
            </w:r>
            <w:r>
              <w:rPr>
                <w:sz w:val="20"/>
              </w:rPr>
              <w:t>лечение</w:t>
            </w:r>
          </w:p>
        </w:tc>
        <w:tc>
          <w:tcPr>
            <w:tcW w:w="3755" w:type="dxa"/>
          </w:tcPr>
          <w:p>
            <w:pPr>
              <w:pStyle w:val="TableParagraph"/>
              <w:spacing w:line="249" w:lineRule="auto"/>
              <w:ind w:left="137"/>
              <w:rPr>
                <w:sz w:val="20"/>
              </w:rPr>
            </w:pPr>
            <w:r>
              <w:rPr>
                <w:sz w:val="20"/>
              </w:rPr>
              <w:t>внутритканевая,</w:t>
            </w:r>
            <w:r>
              <w:rPr>
                <w:spacing w:val="-13"/>
                <w:sz w:val="20"/>
              </w:rPr>
              <w:t> </w:t>
            </w:r>
            <w:r>
              <w:rPr>
                <w:sz w:val="20"/>
              </w:rPr>
              <w:t>аппликационная</w:t>
            </w:r>
            <w:r>
              <w:rPr>
                <w:spacing w:val="-12"/>
                <w:sz w:val="20"/>
              </w:rPr>
              <w:t> </w:t>
            </w:r>
            <w:r>
              <w:rPr>
                <w:sz w:val="20"/>
              </w:rPr>
              <w:t>лучевая терапия. 3D-4D планирование.</w:t>
            </w:r>
          </w:p>
          <w:p>
            <w:pPr>
              <w:pStyle w:val="TableParagraph"/>
              <w:ind w:left="137"/>
              <w:rPr>
                <w:sz w:val="20"/>
              </w:rPr>
            </w:pPr>
            <w:r>
              <w:rPr>
                <w:spacing w:val="-2"/>
                <w:sz w:val="20"/>
              </w:rPr>
              <w:t>Внутриполостная</w:t>
            </w:r>
            <w:r>
              <w:rPr>
                <w:spacing w:val="10"/>
                <w:sz w:val="20"/>
              </w:rPr>
              <w:t> </w:t>
            </w:r>
            <w:r>
              <w:rPr>
                <w:spacing w:val="-2"/>
                <w:sz w:val="20"/>
              </w:rPr>
              <w:t>лучевая</w:t>
            </w:r>
            <w:r>
              <w:rPr>
                <w:spacing w:val="7"/>
                <w:sz w:val="20"/>
              </w:rPr>
              <w:t> </w:t>
            </w:r>
            <w:r>
              <w:rPr>
                <w:spacing w:val="-2"/>
                <w:sz w:val="20"/>
              </w:rPr>
              <w:t>терапия.</w:t>
            </w:r>
          </w:p>
        </w:tc>
      </w:tr>
      <w:tr>
        <w:trPr>
          <w:trHeight w:val="960" w:hRule="atLeast"/>
        </w:trPr>
        <w:tc>
          <w:tcPr>
            <w:tcW w:w="2690" w:type="dxa"/>
          </w:tcPr>
          <w:p>
            <w:pPr>
              <w:pStyle w:val="TableParagraph"/>
              <w:rPr>
                <w:sz w:val="18"/>
              </w:rPr>
            </w:pPr>
          </w:p>
        </w:tc>
        <w:tc>
          <w:tcPr>
            <w:tcW w:w="2158" w:type="dxa"/>
          </w:tcPr>
          <w:p>
            <w:pPr>
              <w:pStyle w:val="TableParagraph"/>
              <w:rPr>
                <w:sz w:val="18"/>
              </w:rPr>
            </w:pPr>
          </w:p>
        </w:tc>
        <w:tc>
          <w:tcPr>
            <w:tcW w:w="3300" w:type="dxa"/>
            <w:vMerge/>
            <w:tcBorders>
              <w:top w:val="nil"/>
            </w:tcBorders>
          </w:tcPr>
          <w:p>
            <w:pPr>
              <w:rPr>
                <w:sz w:val="2"/>
                <w:szCs w:val="2"/>
              </w:rPr>
            </w:pPr>
          </w:p>
        </w:tc>
        <w:tc>
          <w:tcPr>
            <w:tcW w:w="1407" w:type="dxa"/>
          </w:tcPr>
          <w:p>
            <w:pPr>
              <w:pStyle w:val="TableParagraph"/>
              <w:rPr>
                <w:sz w:val="18"/>
              </w:rPr>
            </w:pPr>
          </w:p>
        </w:tc>
        <w:tc>
          <w:tcPr>
            <w:tcW w:w="3755" w:type="dxa"/>
          </w:tcPr>
          <w:p>
            <w:pPr>
              <w:pStyle w:val="TableParagraph"/>
              <w:spacing w:line="249" w:lineRule="auto" w:before="60"/>
              <w:ind w:left="137" w:right="449"/>
              <w:rPr>
                <w:sz w:val="20"/>
              </w:rPr>
            </w:pPr>
            <w:r>
              <w:rPr>
                <w:sz w:val="20"/>
              </w:rPr>
              <w:t>Рентгенологический и/или ультразвуковой</w:t>
            </w:r>
            <w:r>
              <w:rPr>
                <w:spacing w:val="-13"/>
                <w:sz w:val="20"/>
              </w:rPr>
              <w:t> </w:t>
            </w:r>
            <w:r>
              <w:rPr>
                <w:sz w:val="20"/>
              </w:rPr>
              <w:t>контроль</w:t>
            </w:r>
            <w:r>
              <w:rPr>
                <w:spacing w:val="-12"/>
                <w:sz w:val="20"/>
              </w:rPr>
              <w:t> </w:t>
            </w:r>
            <w:r>
              <w:rPr>
                <w:sz w:val="20"/>
              </w:rPr>
              <w:t>установки </w:t>
            </w:r>
            <w:r>
              <w:rPr>
                <w:spacing w:val="-2"/>
                <w:sz w:val="20"/>
              </w:rPr>
              <w:t>эндостата</w:t>
            </w:r>
          </w:p>
        </w:tc>
      </w:tr>
      <w:tr>
        <w:trPr>
          <w:trHeight w:val="1080" w:hRule="atLeast"/>
        </w:trPr>
        <w:tc>
          <w:tcPr>
            <w:tcW w:w="2690" w:type="dxa"/>
          </w:tcPr>
          <w:p>
            <w:pPr>
              <w:pStyle w:val="TableParagraph"/>
              <w:rPr>
                <w:sz w:val="18"/>
              </w:rPr>
            </w:pPr>
          </w:p>
        </w:tc>
        <w:tc>
          <w:tcPr>
            <w:tcW w:w="2158" w:type="dxa"/>
          </w:tcPr>
          <w:p>
            <w:pPr>
              <w:pStyle w:val="TableParagraph"/>
              <w:spacing w:before="60"/>
              <w:ind w:left="86" w:right="57"/>
              <w:jc w:val="center"/>
              <w:rPr>
                <w:sz w:val="20"/>
              </w:rPr>
            </w:pPr>
            <w:r>
              <w:rPr>
                <w:spacing w:val="-5"/>
                <w:sz w:val="20"/>
              </w:rPr>
              <w:t>C64</w:t>
            </w:r>
          </w:p>
        </w:tc>
        <w:tc>
          <w:tcPr>
            <w:tcW w:w="3300" w:type="dxa"/>
          </w:tcPr>
          <w:p>
            <w:pPr>
              <w:pStyle w:val="TableParagraph"/>
              <w:spacing w:line="249" w:lineRule="auto" w:before="60"/>
              <w:ind w:left="62" w:right="77"/>
              <w:rPr>
                <w:sz w:val="20"/>
              </w:rPr>
            </w:pPr>
            <w:r>
              <w:rPr>
                <w:sz w:val="20"/>
              </w:rPr>
              <w:t>злокачественные новообразования почки</w:t>
            </w:r>
            <w:r>
              <w:rPr>
                <w:spacing w:val="-13"/>
                <w:sz w:val="20"/>
              </w:rPr>
              <w:t> </w:t>
            </w:r>
            <w:r>
              <w:rPr>
                <w:sz w:val="20"/>
              </w:rPr>
              <w:t>(T1-3N0M0),</w:t>
            </w:r>
            <w:r>
              <w:rPr>
                <w:spacing w:val="-12"/>
                <w:sz w:val="20"/>
              </w:rPr>
              <w:t> </w:t>
            </w:r>
            <w:r>
              <w:rPr>
                <w:sz w:val="20"/>
              </w:rPr>
              <w:t>локализованные и местнораспространенные формы</w:t>
            </w:r>
          </w:p>
        </w:tc>
        <w:tc>
          <w:tcPr>
            <w:tcW w:w="1407" w:type="dxa"/>
          </w:tcPr>
          <w:p>
            <w:pPr>
              <w:pStyle w:val="TableParagraph"/>
              <w:rPr>
                <w:sz w:val="18"/>
              </w:rPr>
            </w:pPr>
          </w:p>
        </w:tc>
        <w:tc>
          <w:tcPr>
            <w:tcW w:w="3755" w:type="dxa"/>
          </w:tcPr>
          <w:p>
            <w:pPr>
              <w:pStyle w:val="TableParagraph"/>
              <w:spacing w:line="249" w:lineRule="auto" w:before="60"/>
              <w:ind w:left="137" w:right="449"/>
              <w:rPr>
                <w:sz w:val="20"/>
              </w:rPr>
            </w:pPr>
            <w:r>
              <w:rPr>
                <w:sz w:val="20"/>
              </w:rPr>
              <w:t>интраоперационная</w:t>
            </w:r>
            <w:r>
              <w:rPr>
                <w:spacing w:val="-13"/>
                <w:sz w:val="20"/>
              </w:rPr>
              <w:t> </w:t>
            </w:r>
            <w:r>
              <w:rPr>
                <w:sz w:val="20"/>
              </w:rPr>
              <w:t>лучевая</w:t>
            </w:r>
            <w:r>
              <w:rPr>
                <w:spacing w:val="-12"/>
                <w:sz w:val="20"/>
              </w:rPr>
              <w:t> </w:t>
            </w:r>
            <w:r>
              <w:rPr>
                <w:sz w:val="20"/>
              </w:rPr>
              <w:t>терапия. Компьютерная томография и (или) магнитно-резонансная топометрия. 3D - 4D планирование</w:t>
            </w:r>
          </w:p>
        </w:tc>
      </w:tr>
      <w:tr>
        <w:trPr>
          <w:trHeight w:val="600" w:hRule="atLeast"/>
        </w:trPr>
        <w:tc>
          <w:tcPr>
            <w:tcW w:w="2690" w:type="dxa"/>
          </w:tcPr>
          <w:p>
            <w:pPr>
              <w:pStyle w:val="TableParagraph"/>
              <w:rPr>
                <w:sz w:val="18"/>
              </w:rPr>
            </w:pPr>
          </w:p>
        </w:tc>
        <w:tc>
          <w:tcPr>
            <w:tcW w:w="2158" w:type="dxa"/>
          </w:tcPr>
          <w:p>
            <w:pPr>
              <w:pStyle w:val="TableParagraph"/>
              <w:spacing w:before="60"/>
              <w:ind w:left="86" w:right="57"/>
              <w:jc w:val="center"/>
              <w:rPr>
                <w:sz w:val="20"/>
              </w:rPr>
            </w:pPr>
            <w:r>
              <w:rPr>
                <w:spacing w:val="-5"/>
                <w:sz w:val="20"/>
              </w:rPr>
              <w:t>C73</w:t>
            </w:r>
          </w:p>
        </w:tc>
        <w:tc>
          <w:tcPr>
            <w:tcW w:w="3300" w:type="dxa"/>
          </w:tcPr>
          <w:p>
            <w:pPr>
              <w:pStyle w:val="TableParagraph"/>
              <w:spacing w:line="249" w:lineRule="auto" w:before="60"/>
              <w:ind w:left="62" w:right="270"/>
              <w:rPr>
                <w:sz w:val="20"/>
              </w:rPr>
            </w:pPr>
            <w:r>
              <w:rPr>
                <w:sz w:val="20"/>
              </w:rPr>
              <w:t>злокачественные</w:t>
            </w:r>
            <w:r>
              <w:rPr>
                <w:spacing w:val="-13"/>
                <w:sz w:val="20"/>
              </w:rPr>
              <w:t> </w:t>
            </w:r>
            <w:r>
              <w:rPr>
                <w:sz w:val="20"/>
              </w:rPr>
              <w:t>новообразования щитовидной железы</w:t>
            </w:r>
          </w:p>
        </w:tc>
        <w:tc>
          <w:tcPr>
            <w:tcW w:w="1407" w:type="dxa"/>
          </w:tcPr>
          <w:p>
            <w:pPr>
              <w:pStyle w:val="TableParagraph"/>
              <w:spacing w:line="249" w:lineRule="auto" w:before="60"/>
              <w:ind w:left="70"/>
              <w:rPr>
                <w:sz w:val="20"/>
              </w:rPr>
            </w:pPr>
            <w:r>
              <w:rPr>
                <w:spacing w:val="-2"/>
                <w:sz w:val="20"/>
              </w:rPr>
              <w:t>терапевтичес- </w:t>
            </w:r>
            <w:r>
              <w:rPr>
                <w:sz w:val="20"/>
              </w:rPr>
              <w:t>кое лечение</w:t>
            </w:r>
          </w:p>
        </w:tc>
        <w:tc>
          <w:tcPr>
            <w:tcW w:w="3755" w:type="dxa"/>
          </w:tcPr>
          <w:p>
            <w:pPr>
              <w:pStyle w:val="TableParagraph"/>
              <w:spacing w:line="249" w:lineRule="auto" w:before="60"/>
              <w:ind w:left="137"/>
              <w:rPr>
                <w:sz w:val="20"/>
              </w:rPr>
            </w:pPr>
            <w:r>
              <w:rPr>
                <w:sz w:val="20"/>
              </w:rPr>
              <w:t>радиойодабляция</w:t>
            </w:r>
            <w:r>
              <w:rPr>
                <w:spacing w:val="-13"/>
                <w:sz w:val="20"/>
              </w:rPr>
              <w:t> </w:t>
            </w:r>
            <w:r>
              <w:rPr>
                <w:sz w:val="20"/>
              </w:rPr>
              <w:t>остаточной</w:t>
            </w:r>
            <w:r>
              <w:rPr>
                <w:spacing w:val="-12"/>
                <w:sz w:val="20"/>
              </w:rPr>
              <w:t> </w:t>
            </w:r>
            <w:r>
              <w:rPr>
                <w:sz w:val="20"/>
              </w:rPr>
              <w:t>тиреоидной </w:t>
            </w:r>
            <w:r>
              <w:rPr>
                <w:spacing w:val="-2"/>
                <w:sz w:val="20"/>
              </w:rPr>
              <w:t>ткани</w:t>
            </w:r>
          </w:p>
        </w:tc>
      </w:tr>
      <w:tr>
        <w:trPr>
          <w:trHeight w:val="1080" w:hRule="atLeast"/>
        </w:trPr>
        <w:tc>
          <w:tcPr>
            <w:tcW w:w="2690" w:type="dxa"/>
          </w:tcPr>
          <w:p>
            <w:pPr>
              <w:pStyle w:val="TableParagraph"/>
              <w:rPr>
                <w:sz w:val="18"/>
              </w:rPr>
            </w:pPr>
          </w:p>
        </w:tc>
        <w:tc>
          <w:tcPr>
            <w:tcW w:w="2158" w:type="dxa"/>
          </w:tcPr>
          <w:p>
            <w:pPr>
              <w:pStyle w:val="TableParagraph"/>
              <w:rPr>
                <w:sz w:val="18"/>
              </w:rPr>
            </w:pPr>
          </w:p>
        </w:tc>
        <w:tc>
          <w:tcPr>
            <w:tcW w:w="3300" w:type="dxa"/>
          </w:tcPr>
          <w:p>
            <w:pPr>
              <w:pStyle w:val="TableParagraph"/>
              <w:rPr>
                <w:sz w:val="18"/>
              </w:rPr>
            </w:pPr>
          </w:p>
        </w:tc>
        <w:tc>
          <w:tcPr>
            <w:tcW w:w="1407" w:type="dxa"/>
          </w:tcPr>
          <w:p>
            <w:pPr>
              <w:pStyle w:val="TableParagraph"/>
              <w:rPr>
                <w:sz w:val="18"/>
              </w:rPr>
            </w:pPr>
          </w:p>
        </w:tc>
        <w:tc>
          <w:tcPr>
            <w:tcW w:w="3755" w:type="dxa"/>
          </w:tcPr>
          <w:p>
            <w:pPr>
              <w:pStyle w:val="TableParagraph"/>
              <w:spacing w:line="249" w:lineRule="auto" w:before="60"/>
              <w:ind w:left="137" w:right="61"/>
              <w:rPr>
                <w:sz w:val="20"/>
              </w:rPr>
            </w:pPr>
            <w:r>
              <w:rPr>
                <w:sz w:val="20"/>
              </w:rPr>
              <w:t>радиойодтерапия</w:t>
            </w:r>
            <w:r>
              <w:rPr>
                <w:spacing w:val="-13"/>
                <w:sz w:val="20"/>
              </w:rPr>
              <w:t> </w:t>
            </w:r>
            <w:r>
              <w:rPr>
                <w:sz w:val="20"/>
              </w:rPr>
              <w:t>отдаленных</w:t>
            </w:r>
            <w:r>
              <w:rPr>
                <w:spacing w:val="-12"/>
                <w:sz w:val="20"/>
              </w:rPr>
              <w:t> </w:t>
            </w:r>
            <w:r>
              <w:rPr>
                <w:sz w:val="20"/>
              </w:rPr>
              <w:t>метастазов дифференцированного</w:t>
            </w:r>
            <w:r>
              <w:rPr>
                <w:spacing w:val="-3"/>
                <w:sz w:val="20"/>
              </w:rPr>
              <w:t> </w:t>
            </w:r>
            <w:r>
              <w:rPr>
                <w:sz w:val="20"/>
              </w:rPr>
              <w:t>рака</w:t>
            </w:r>
            <w:r>
              <w:rPr>
                <w:spacing w:val="-2"/>
                <w:sz w:val="20"/>
              </w:rPr>
              <w:t> </w:t>
            </w:r>
            <w:r>
              <w:rPr>
                <w:sz w:val="20"/>
              </w:rPr>
              <w:t>щитовидной железы (в легкие, в кости и другие </w:t>
            </w:r>
            <w:r>
              <w:rPr>
                <w:spacing w:val="-2"/>
                <w:sz w:val="20"/>
              </w:rPr>
              <w:t>органы)</w:t>
            </w:r>
          </w:p>
        </w:tc>
      </w:tr>
      <w:tr>
        <w:trPr>
          <w:trHeight w:val="1080" w:hRule="atLeast"/>
        </w:trPr>
        <w:tc>
          <w:tcPr>
            <w:tcW w:w="2690" w:type="dxa"/>
          </w:tcPr>
          <w:p>
            <w:pPr>
              <w:pStyle w:val="TableParagraph"/>
              <w:rPr>
                <w:sz w:val="18"/>
              </w:rPr>
            </w:pPr>
          </w:p>
        </w:tc>
        <w:tc>
          <w:tcPr>
            <w:tcW w:w="2158" w:type="dxa"/>
          </w:tcPr>
          <w:p>
            <w:pPr>
              <w:pStyle w:val="TableParagraph"/>
              <w:rPr>
                <w:sz w:val="18"/>
              </w:rPr>
            </w:pPr>
          </w:p>
        </w:tc>
        <w:tc>
          <w:tcPr>
            <w:tcW w:w="3300" w:type="dxa"/>
          </w:tcPr>
          <w:p>
            <w:pPr>
              <w:pStyle w:val="TableParagraph"/>
              <w:rPr>
                <w:sz w:val="18"/>
              </w:rPr>
            </w:pPr>
          </w:p>
        </w:tc>
        <w:tc>
          <w:tcPr>
            <w:tcW w:w="1407" w:type="dxa"/>
          </w:tcPr>
          <w:p>
            <w:pPr>
              <w:pStyle w:val="TableParagraph"/>
              <w:rPr>
                <w:sz w:val="18"/>
              </w:rPr>
            </w:pPr>
          </w:p>
        </w:tc>
        <w:tc>
          <w:tcPr>
            <w:tcW w:w="3755" w:type="dxa"/>
          </w:tcPr>
          <w:p>
            <w:pPr>
              <w:pStyle w:val="TableParagraph"/>
              <w:spacing w:line="249" w:lineRule="auto" w:before="60"/>
              <w:ind w:left="137" w:right="61"/>
              <w:rPr>
                <w:sz w:val="20"/>
              </w:rPr>
            </w:pPr>
            <w:r>
              <w:rPr>
                <w:sz w:val="20"/>
              </w:rPr>
              <w:t>радиойодтерапия в сочетании с локальной лучевой терапией при метастазах</w:t>
            </w:r>
            <w:r>
              <w:rPr>
                <w:spacing w:val="-11"/>
                <w:sz w:val="20"/>
              </w:rPr>
              <w:t> </w:t>
            </w:r>
            <w:r>
              <w:rPr>
                <w:sz w:val="20"/>
              </w:rPr>
              <w:t>рака</w:t>
            </w:r>
            <w:r>
              <w:rPr>
                <w:spacing w:val="-11"/>
                <w:sz w:val="20"/>
              </w:rPr>
              <w:t> </w:t>
            </w:r>
            <w:r>
              <w:rPr>
                <w:sz w:val="20"/>
              </w:rPr>
              <w:t>щитовидной</w:t>
            </w:r>
            <w:r>
              <w:rPr>
                <w:spacing w:val="-11"/>
                <w:sz w:val="20"/>
              </w:rPr>
              <w:t> </w:t>
            </w:r>
            <w:r>
              <w:rPr>
                <w:sz w:val="20"/>
              </w:rPr>
              <w:t>железы</w:t>
            </w:r>
            <w:r>
              <w:rPr>
                <w:spacing w:val="-10"/>
                <w:sz w:val="20"/>
              </w:rPr>
              <w:t> </w:t>
            </w:r>
            <w:r>
              <w:rPr>
                <w:sz w:val="20"/>
              </w:rPr>
              <w:t>в </w:t>
            </w:r>
            <w:r>
              <w:rPr>
                <w:spacing w:val="-2"/>
                <w:sz w:val="20"/>
              </w:rPr>
              <w:t>кости</w:t>
            </w:r>
          </w:p>
        </w:tc>
      </w:tr>
      <w:tr>
        <w:trPr>
          <w:trHeight w:val="1320" w:hRule="atLeast"/>
        </w:trPr>
        <w:tc>
          <w:tcPr>
            <w:tcW w:w="2690" w:type="dxa"/>
          </w:tcPr>
          <w:p>
            <w:pPr>
              <w:pStyle w:val="TableParagraph"/>
              <w:rPr>
                <w:sz w:val="18"/>
              </w:rPr>
            </w:pPr>
          </w:p>
        </w:tc>
        <w:tc>
          <w:tcPr>
            <w:tcW w:w="2158" w:type="dxa"/>
          </w:tcPr>
          <w:p>
            <w:pPr>
              <w:pStyle w:val="TableParagraph"/>
              <w:rPr>
                <w:sz w:val="18"/>
              </w:rPr>
            </w:pPr>
          </w:p>
        </w:tc>
        <w:tc>
          <w:tcPr>
            <w:tcW w:w="3300" w:type="dxa"/>
          </w:tcPr>
          <w:p>
            <w:pPr>
              <w:pStyle w:val="TableParagraph"/>
              <w:rPr>
                <w:sz w:val="18"/>
              </w:rPr>
            </w:pPr>
          </w:p>
        </w:tc>
        <w:tc>
          <w:tcPr>
            <w:tcW w:w="1407" w:type="dxa"/>
          </w:tcPr>
          <w:p>
            <w:pPr>
              <w:pStyle w:val="TableParagraph"/>
              <w:rPr>
                <w:sz w:val="18"/>
              </w:rPr>
            </w:pPr>
          </w:p>
        </w:tc>
        <w:tc>
          <w:tcPr>
            <w:tcW w:w="3755" w:type="dxa"/>
          </w:tcPr>
          <w:p>
            <w:pPr>
              <w:pStyle w:val="TableParagraph"/>
              <w:spacing w:line="249" w:lineRule="auto" w:before="60"/>
              <w:ind w:left="137" w:right="449"/>
              <w:rPr>
                <w:sz w:val="20"/>
              </w:rPr>
            </w:pPr>
            <w:r>
              <w:rPr>
                <w:sz w:val="20"/>
              </w:rPr>
              <w:t>радиойодтерапия в сочетании с радионуклидной терапией при множественных</w:t>
            </w:r>
            <w:r>
              <w:rPr>
                <w:spacing w:val="-13"/>
                <w:sz w:val="20"/>
              </w:rPr>
              <w:t> </w:t>
            </w:r>
            <w:r>
              <w:rPr>
                <w:sz w:val="20"/>
              </w:rPr>
              <w:t>метастазах</w:t>
            </w:r>
            <w:r>
              <w:rPr>
                <w:spacing w:val="-12"/>
                <w:sz w:val="20"/>
              </w:rPr>
              <w:t> </w:t>
            </w:r>
            <w:r>
              <w:rPr>
                <w:sz w:val="20"/>
              </w:rPr>
              <w:t>рака щитовидной железы с болевым </w:t>
            </w:r>
            <w:r>
              <w:rPr>
                <w:spacing w:val="-2"/>
                <w:sz w:val="20"/>
              </w:rPr>
              <w:t>синдромом</w:t>
            </w:r>
          </w:p>
        </w:tc>
      </w:tr>
      <w:tr>
        <w:trPr>
          <w:trHeight w:val="1010" w:hRule="atLeast"/>
        </w:trPr>
        <w:tc>
          <w:tcPr>
            <w:tcW w:w="2690" w:type="dxa"/>
          </w:tcPr>
          <w:p>
            <w:pPr>
              <w:pStyle w:val="TableParagraph"/>
              <w:spacing w:line="240" w:lineRule="atLeast" w:before="30"/>
              <w:ind w:left="50"/>
              <w:rPr>
                <w:sz w:val="20"/>
              </w:rPr>
            </w:pPr>
            <w:r>
              <w:rPr>
                <w:sz w:val="20"/>
              </w:rPr>
              <w:t>Стереотаксическая лучевая терапия</w:t>
            </w:r>
            <w:r>
              <w:rPr>
                <w:spacing w:val="-13"/>
                <w:sz w:val="20"/>
              </w:rPr>
              <w:t> </w:t>
            </w:r>
            <w:r>
              <w:rPr>
                <w:sz w:val="20"/>
              </w:rPr>
              <w:t>при</w:t>
            </w:r>
            <w:r>
              <w:rPr>
                <w:spacing w:val="-12"/>
                <w:sz w:val="20"/>
              </w:rPr>
              <w:t> </w:t>
            </w:r>
            <w:r>
              <w:rPr>
                <w:sz w:val="20"/>
              </w:rPr>
              <w:t>злокачественных новообразованиях с </w:t>
            </w:r>
            <w:r>
              <w:rPr>
                <w:spacing w:val="-2"/>
                <w:sz w:val="20"/>
              </w:rPr>
              <w:t>олигометастатическим</w:t>
            </w:r>
          </w:p>
        </w:tc>
        <w:tc>
          <w:tcPr>
            <w:tcW w:w="2158" w:type="dxa"/>
          </w:tcPr>
          <w:p>
            <w:pPr>
              <w:pStyle w:val="TableParagraph"/>
              <w:spacing w:before="60"/>
              <w:ind w:left="87" w:right="57"/>
              <w:jc w:val="center"/>
              <w:rPr>
                <w:sz w:val="20"/>
              </w:rPr>
            </w:pPr>
            <w:r>
              <w:rPr>
                <w:sz w:val="20"/>
              </w:rPr>
              <w:t>С00-С75,</w:t>
            </w:r>
            <w:r>
              <w:rPr>
                <w:spacing w:val="-7"/>
                <w:sz w:val="20"/>
              </w:rPr>
              <w:t> </w:t>
            </w:r>
            <w:r>
              <w:rPr>
                <w:sz w:val="20"/>
              </w:rPr>
              <w:t>С78-С80,</w:t>
            </w:r>
            <w:r>
              <w:rPr>
                <w:spacing w:val="-6"/>
                <w:sz w:val="20"/>
              </w:rPr>
              <w:t> </w:t>
            </w:r>
            <w:r>
              <w:rPr>
                <w:spacing w:val="-5"/>
                <w:sz w:val="20"/>
              </w:rPr>
              <w:t>С97</w:t>
            </w:r>
          </w:p>
        </w:tc>
        <w:tc>
          <w:tcPr>
            <w:tcW w:w="3300" w:type="dxa"/>
          </w:tcPr>
          <w:p>
            <w:pPr>
              <w:pStyle w:val="TableParagraph"/>
              <w:spacing w:line="240" w:lineRule="atLeast" w:before="30"/>
              <w:ind w:left="62" w:right="77"/>
              <w:rPr>
                <w:sz w:val="20"/>
              </w:rPr>
            </w:pPr>
            <w:r>
              <w:rPr>
                <w:sz w:val="20"/>
              </w:rPr>
              <w:t>злокачественные новообразования головы и шеи, трахеи, бронхов, легкого,</w:t>
            </w:r>
            <w:r>
              <w:rPr>
                <w:spacing w:val="-13"/>
                <w:sz w:val="20"/>
              </w:rPr>
              <w:t> </w:t>
            </w:r>
            <w:r>
              <w:rPr>
                <w:sz w:val="20"/>
              </w:rPr>
              <w:t>пищевода,</w:t>
            </w:r>
            <w:r>
              <w:rPr>
                <w:spacing w:val="-12"/>
                <w:sz w:val="20"/>
              </w:rPr>
              <w:t> </w:t>
            </w:r>
            <w:r>
              <w:rPr>
                <w:sz w:val="20"/>
              </w:rPr>
              <w:t>желудка,</w:t>
            </w:r>
            <w:r>
              <w:rPr>
                <w:spacing w:val="-13"/>
                <w:sz w:val="20"/>
              </w:rPr>
              <w:t> </w:t>
            </w:r>
            <w:r>
              <w:rPr>
                <w:sz w:val="20"/>
              </w:rPr>
              <w:t>тонкой кишки, желчного пузыря, желчных</w:t>
            </w:r>
          </w:p>
        </w:tc>
        <w:tc>
          <w:tcPr>
            <w:tcW w:w="1407" w:type="dxa"/>
          </w:tcPr>
          <w:p>
            <w:pPr>
              <w:pStyle w:val="TableParagraph"/>
              <w:spacing w:line="249" w:lineRule="auto" w:before="60"/>
              <w:ind w:left="70"/>
              <w:rPr>
                <w:sz w:val="20"/>
              </w:rPr>
            </w:pPr>
            <w:r>
              <w:rPr>
                <w:spacing w:val="-2"/>
                <w:sz w:val="20"/>
              </w:rPr>
              <w:t>терапевтичес- </w:t>
            </w:r>
            <w:r>
              <w:rPr>
                <w:sz w:val="20"/>
              </w:rPr>
              <w:t>кое лечение</w:t>
            </w:r>
          </w:p>
        </w:tc>
        <w:tc>
          <w:tcPr>
            <w:tcW w:w="3755" w:type="dxa"/>
          </w:tcPr>
          <w:p>
            <w:pPr>
              <w:pStyle w:val="TableParagraph"/>
              <w:spacing w:line="240" w:lineRule="atLeast" w:before="30"/>
              <w:ind w:left="137" w:right="449"/>
              <w:rPr>
                <w:sz w:val="20"/>
              </w:rPr>
            </w:pPr>
            <w:r>
              <w:rPr>
                <w:sz w:val="20"/>
              </w:rPr>
              <w:t>стереотаксическая дистанционная лучевая терапия. Компьютерно- томографическая</w:t>
            </w:r>
            <w:r>
              <w:rPr>
                <w:spacing w:val="-13"/>
                <w:sz w:val="20"/>
              </w:rPr>
              <w:t> </w:t>
            </w:r>
            <w:r>
              <w:rPr>
                <w:sz w:val="20"/>
              </w:rPr>
              <w:t>и</w:t>
            </w:r>
            <w:r>
              <w:rPr>
                <w:spacing w:val="-12"/>
                <w:sz w:val="20"/>
              </w:rPr>
              <w:t> </w:t>
            </w:r>
            <w:r>
              <w:rPr>
                <w:sz w:val="20"/>
              </w:rPr>
              <w:t>(или)</w:t>
            </w:r>
            <w:r>
              <w:rPr>
                <w:spacing w:val="-12"/>
                <w:sz w:val="20"/>
              </w:rPr>
              <w:t> </w:t>
            </w:r>
            <w:r>
              <w:rPr>
                <w:sz w:val="20"/>
              </w:rPr>
              <w:t>магнитно- резонансная топометрия. 3D - 4D</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63"/>
        <w:gridCol w:w="2213"/>
        <w:gridCol w:w="3383"/>
        <w:gridCol w:w="1402"/>
        <w:gridCol w:w="3786"/>
        <w:gridCol w:w="1200"/>
      </w:tblGrid>
      <w:tr>
        <w:trPr>
          <w:trHeight w:val="4131" w:hRule="atLeast"/>
        </w:trPr>
        <w:tc>
          <w:tcPr>
            <w:tcW w:w="458" w:type="dxa"/>
          </w:tcPr>
          <w:p>
            <w:pPr>
              <w:pStyle w:val="TableParagraph"/>
              <w:rPr>
                <w:sz w:val="18"/>
              </w:rPr>
            </w:pPr>
          </w:p>
        </w:tc>
        <w:tc>
          <w:tcPr>
            <w:tcW w:w="2663" w:type="dxa"/>
          </w:tcPr>
          <w:p>
            <w:pPr>
              <w:pStyle w:val="TableParagraph"/>
              <w:spacing w:line="249" w:lineRule="auto"/>
              <w:ind w:left="155" w:right="400"/>
              <w:rPr>
                <w:sz w:val="20"/>
              </w:rPr>
            </w:pPr>
            <w:r>
              <w:rPr>
                <w:sz w:val="20"/>
              </w:rPr>
              <w:t>поражением</w:t>
            </w:r>
            <w:r>
              <w:rPr>
                <w:spacing w:val="-13"/>
                <w:sz w:val="20"/>
              </w:rPr>
              <w:t> </w:t>
            </w:r>
            <w:r>
              <w:rPr>
                <w:sz w:val="20"/>
              </w:rPr>
              <w:t>внутренних органов и ЦНС</w:t>
            </w:r>
          </w:p>
        </w:tc>
        <w:tc>
          <w:tcPr>
            <w:tcW w:w="2213" w:type="dxa"/>
          </w:tcPr>
          <w:p>
            <w:pPr>
              <w:pStyle w:val="TableParagraph"/>
              <w:rPr>
                <w:sz w:val="18"/>
              </w:rPr>
            </w:pPr>
          </w:p>
        </w:tc>
        <w:tc>
          <w:tcPr>
            <w:tcW w:w="3383" w:type="dxa"/>
          </w:tcPr>
          <w:p>
            <w:pPr>
              <w:pStyle w:val="TableParagraph"/>
              <w:spacing w:line="249" w:lineRule="auto"/>
              <w:ind w:left="140" w:right="118"/>
              <w:rPr>
                <w:sz w:val="20"/>
              </w:rPr>
            </w:pPr>
            <w:r>
              <w:rPr>
                <w:sz w:val="20"/>
              </w:rPr>
              <w:t>путей, поджелудочной железы, толстой</w:t>
            </w:r>
            <w:r>
              <w:rPr>
                <w:spacing w:val="-8"/>
                <w:sz w:val="20"/>
              </w:rPr>
              <w:t> </w:t>
            </w:r>
            <w:r>
              <w:rPr>
                <w:sz w:val="20"/>
              </w:rPr>
              <w:t>и</w:t>
            </w:r>
            <w:r>
              <w:rPr>
                <w:spacing w:val="-10"/>
                <w:sz w:val="20"/>
              </w:rPr>
              <w:t> </w:t>
            </w:r>
            <w:r>
              <w:rPr>
                <w:sz w:val="20"/>
              </w:rPr>
              <w:t>прямой</w:t>
            </w:r>
            <w:r>
              <w:rPr>
                <w:spacing w:val="-8"/>
                <w:sz w:val="20"/>
              </w:rPr>
              <w:t> </w:t>
            </w:r>
            <w:r>
              <w:rPr>
                <w:sz w:val="20"/>
              </w:rPr>
              <w:t>кишки,</w:t>
            </w:r>
            <w:r>
              <w:rPr>
                <w:spacing w:val="-9"/>
                <w:sz w:val="20"/>
              </w:rPr>
              <w:t> </w:t>
            </w:r>
            <w:r>
              <w:rPr>
                <w:sz w:val="20"/>
              </w:rPr>
              <w:t>анального канала, печени, плевры, средостения,</w:t>
            </w:r>
            <w:r>
              <w:rPr>
                <w:spacing w:val="-5"/>
                <w:sz w:val="20"/>
              </w:rPr>
              <w:t> </w:t>
            </w:r>
            <w:r>
              <w:rPr>
                <w:sz w:val="20"/>
              </w:rPr>
              <w:t>кожи,</w:t>
            </w:r>
            <w:r>
              <w:rPr>
                <w:spacing w:val="-5"/>
                <w:sz w:val="20"/>
              </w:rPr>
              <w:t> </w:t>
            </w:r>
            <w:r>
              <w:rPr>
                <w:sz w:val="20"/>
              </w:rPr>
              <w:t>мезотелиальной и</w:t>
            </w:r>
            <w:r>
              <w:rPr>
                <w:spacing w:val="-2"/>
                <w:sz w:val="20"/>
              </w:rPr>
              <w:t> </w:t>
            </w:r>
            <w:r>
              <w:rPr>
                <w:sz w:val="20"/>
              </w:rPr>
              <w:t>мягких</w:t>
            </w:r>
            <w:r>
              <w:rPr>
                <w:spacing w:val="-1"/>
                <w:sz w:val="20"/>
              </w:rPr>
              <w:t> </w:t>
            </w:r>
            <w:r>
              <w:rPr>
                <w:sz w:val="20"/>
              </w:rPr>
              <w:t>тканей,</w:t>
            </w:r>
            <w:r>
              <w:rPr>
                <w:spacing w:val="-2"/>
                <w:sz w:val="20"/>
              </w:rPr>
              <w:t> </w:t>
            </w:r>
            <w:r>
              <w:rPr>
                <w:sz w:val="20"/>
              </w:rPr>
              <w:t>молочной</w:t>
            </w:r>
            <w:r>
              <w:rPr>
                <w:spacing w:val="-1"/>
                <w:sz w:val="20"/>
              </w:rPr>
              <w:t> </w:t>
            </w:r>
            <w:r>
              <w:rPr>
                <w:sz w:val="20"/>
              </w:rPr>
              <w:t>железы, мочевого пузыря, надпочечников, щитовидной железы, женских и мужских</w:t>
            </w:r>
            <w:r>
              <w:rPr>
                <w:spacing w:val="-11"/>
                <w:sz w:val="20"/>
              </w:rPr>
              <w:t> </w:t>
            </w:r>
            <w:r>
              <w:rPr>
                <w:sz w:val="20"/>
              </w:rPr>
              <w:t>половых</w:t>
            </w:r>
            <w:r>
              <w:rPr>
                <w:spacing w:val="-11"/>
                <w:sz w:val="20"/>
              </w:rPr>
              <w:t> </w:t>
            </w:r>
            <w:r>
              <w:rPr>
                <w:sz w:val="20"/>
              </w:rPr>
              <w:t>органов,</w:t>
            </w:r>
            <w:r>
              <w:rPr>
                <w:spacing w:val="-8"/>
                <w:sz w:val="20"/>
              </w:rPr>
              <w:t> </w:t>
            </w:r>
            <w:r>
              <w:rPr>
                <w:sz w:val="20"/>
              </w:rPr>
              <w:t>костей</w:t>
            </w:r>
            <w:r>
              <w:rPr>
                <w:spacing w:val="-9"/>
                <w:sz w:val="20"/>
              </w:rPr>
              <w:t> </w:t>
            </w:r>
            <w:r>
              <w:rPr>
                <w:sz w:val="20"/>
              </w:rPr>
              <w:t>и суставных</w:t>
            </w:r>
            <w:r>
              <w:rPr>
                <w:spacing w:val="40"/>
                <w:sz w:val="20"/>
              </w:rPr>
              <w:t> </w:t>
            </w:r>
            <w:r>
              <w:rPr>
                <w:sz w:val="20"/>
              </w:rPr>
              <w:t>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1402" w:type="dxa"/>
          </w:tcPr>
          <w:p>
            <w:pPr>
              <w:pStyle w:val="TableParagraph"/>
              <w:rPr>
                <w:sz w:val="18"/>
              </w:rPr>
            </w:pPr>
          </w:p>
        </w:tc>
        <w:tc>
          <w:tcPr>
            <w:tcW w:w="3786" w:type="dxa"/>
          </w:tcPr>
          <w:p>
            <w:pPr>
              <w:pStyle w:val="TableParagraph"/>
              <w:spacing w:line="249" w:lineRule="auto"/>
              <w:ind w:left="137" w:right="123"/>
              <w:rPr>
                <w:sz w:val="20"/>
              </w:rPr>
            </w:pPr>
            <w:r>
              <w:rPr>
                <w:sz w:val="20"/>
              </w:rPr>
              <w:t>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Установка маркеров.</w:t>
            </w:r>
          </w:p>
        </w:tc>
        <w:tc>
          <w:tcPr>
            <w:tcW w:w="1200" w:type="dxa"/>
          </w:tcPr>
          <w:p>
            <w:pPr>
              <w:pStyle w:val="TableParagraph"/>
              <w:rPr>
                <w:sz w:val="18"/>
              </w:rPr>
            </w:pPr>
          </w:p>
        </w:tc>
      </w:tr>
      <w:tr>
        <w:trPr>
          <w:trHeight w:val="360" w:hRule="atLeast"/>
        </w:trPr>
        <w:tc>
          <w:tcPr>
            <w:tcW w:w="458" w:type="dxa"/>
          </w:tcPr>
          <w:p>
            <w:pPr>
              <w:pStyle w:val="TableParagraph"/>
              <w:spacing w:before="60"/>
              <w:ind w:left="50"/>
              <w:rPr>
                <w:sz w:val="20"/>
              </w:rPr>
            </w:pPr>
            <w:r>
              <w:rPr>
                <w:spacing w:val="-5"/>
                <w:sz w:val="20"/>
              </w:rPr>
              <w:t>26.</w:t>
            </w:r>
          </w:p>
        </w:tc>
        <w:tc>
          <w:tcPr>
            <w:tcW w:w="2663" w:type="dxa"/>
            <w:vMerge w:val="restart"/>
          </w:tcPr>
          <w:p>
            <w:pPr>
              <w:pStyle w:val="TableParagraph"/>
              <w:spacing w:line="249" w:lineRule="auto" w:before="60"/>
              <w:ind w:left="155" w:right="377"/>
              <w:rPr>
                <w:sz w:val="20"/>
              </w:rPr>
            </w:pPr>
            <w:r>
              <w:rPr>
                <w:sz w:val="20"/>
              </w:rPr>
              <w:t>Радионуклидная</w:t>
            </w:r>
            <w:r>
              <w:rPr>
                <w:spacing w:val="-13"/>
                <w:sz w:val="20"/>
              </w:rPr>
              <w:t> </w:t>
            </w:r>
            <w:r>
              <w:rPr>
                <w:sz w:val="20"/>
              </w:rPr>
              <w:t>лучевая терапия в </w:t>
            </w:r>
            <w:r>
              <w:rPr>
                <w:spacing w:val="-2"/>
                <w:sz w:val="20"/>
              </w:rPr>
              <w:t>радиотерапевтических отделениях</w:t>
            </w:r>
          </w:p>
        </w:tc>
        <w:tc>
          <w:tcPr>
            <w:tcW w:w="2213" w:type="dxa"/>
            <w:vMerge w:val="restart"/>
          </w:tcPr>
          <w:p>
            <w:pPr>
              <w:pStyle w:val="TableParagraph"/>
              <w:spacing w:line="249" w:lineRule="auto" w:before="60"/>
              <w:ind w:left="844" w:hanging="459"/>
              <w:rPr>
                <w:sz w:val="20"/>
              </w:rPr>
            </w:pPr>
            <w:r>
              <w:rPr>
                <w:sz w:val="20"/>
              </w:rPr>
              <w:t>C50,</w:t>
            </w:r>
            <w:r>
              <w:rPr>
                <w:spacing w:val="-13"/>
                <w:sz w:val="20"/>
              </w:rPr>
              <w:t> </w:t>
            </w:r>
            <w:r>
              <w:rPr>
                <w:sz w:val="20"/>
              </w:rPr>
              <w:t>C61,</w:t>
            </w:r>
            <w:r>
              <w:rPr>
                <w:spacing w:val="-12"/>
                <w:sz w:val="20"/>
              </w:rPr>
              <w:t> </w:t>
            </w:r>
            <w:r>
              <w:rPr>
                <w:sz w:val="20"/>
              </w:rPr>
              <w:t>C34,</w:t>
            </w:r>
            <w:r>
              <w:rPr>
                <w:spacing w:val="-13"/>
                <w:sz w:val="20"/>
              </w:rPr>
              <w:t> </w:t>
            </w:r>
            <w:r>
              <w:rPr>
                <w:sz w:val="20"/>
              </w:rPr>
              <w:t>C73, C64, C79</w:t>
            </w:r>
          </w:p>
        </w:tc>
        <w:tc>
          <w:tcPr>
            <w:tcW w:w="3383" w:type="dxa"/>
            <w:vMerge w:val="restart"/>
          </w:tcPr>
          <w:p>
            <w:pPr>
              <w:pStyle w:val="TableParagraph"/>
              <w:spacing w:line="249" w:lineRule="auto" w:before="60"/>
              <w:ind w:left="140"/>
              <w:rPr>
                <w:sz w:val="20"/>
              </w:rPr>
            </w:pPr>
            <w:r>
              <w:rPr>
                <w:sz w:val="20"/>
              </w:rPr>
              <w:t>множественные метастазы в кости при злокачественных новообразованиях</w:t>
            </w:r>
            <w:r>
              <w:rPr>
                <w:spacing w:val="-13"/>
                <w:sz w:val="20"/>
              </w:rPr>
              <w:t> </w:t>
            </w:r>
            <w:r>
              <w:rPr>
                <w:sz w:val="20"/>
              </w:rPr>
              <w:t>молочной</w:t>
            </w:r>
            <w:r>
              <w:rPr>
                <w:spacing w:val="-12"/>
                <w:sz w:val="20"/>
              </w:rPr>
              <w:t> </w:t>
            </w:r>
            <w:r>
              <w:rPr>
                <w:sz w:val="20"/>
              </w:rPr>
              <w:t>железы, предстательной железы, легкого, почки, щитовидной железы (радиойоднегативный вариант) и других опухолей, сопровожда- ющиеся болевым синдромом</w:t>
            </w:r>
          </w:p>
        </w:tc>
        <w:tc>
          <w:tcPr>
            <w:tcW w:w="1402" w:type="dxa"/>
            <w:vMerge w:val="restart"/>
          </w:tcPr>
          <w:p>
            <w:pPr>
              <w:pStyle w:val="TableParagraph"/>
              <w:spacing w:line="249" w:lineRule="auto" w:before="60"/>
              <w:ind w:left="65"/>
              <w:rPr>
                <w:sz w:val="20"/>
              </w:rPr>
            </w:pPr>
            <w:r>
              <w:rPr>
                <w:spacing w:val="-2"/>
                <w:sz w:val="20"/>
              </w:rPr>
              <w:t>терапевтичес- </w:t>
            </w:r>
            <w:r>
              <w:rPr>
                <w:sz w:val="20"/>
              </w:rPr>
              <w:t>кое лечение</w:t>
            </w:r>
          </w:p>
        </w:tc>
        <w:tc>
          <w:tcPr>
            <w:tcW w:w="3786" w:type="dxa"/>
          </w:tcPr>
          <w:p>
            <w:pPr>
              <w:pStyle w:val="TableParagraph"/>
              <w:spacing w:before="60"/>
              <w:ind w:left="137"/>
              <w:rPr>
                <w:sz w:val="20"/>
              </w:rPr>
            </w:pPr>
            <w:r>
              <w:rPr>
                <w:sz w:val="20"/>
              </w:rPr>
              <w:t>системная</w:t>
            </w:r>
            <w:r>
              <w:rPr>
                <w:spacing w:val="-13"/>
                <w:sz w:val="20"/>
              </w:rPr>
              <w:t> </w:t>
            </w:r>
            <w:r>
              <w:rPr>
                <w:sz w:val="20"/>
              </w:rPr>
              <w:t>радионуклидная</w:t>
            </w:r>
            <w:r>
              <w:rPr>
                <w:spacing w:val="-11"/>
                <w:sz w:val="20"/>
              </w:rPr>
              <w:t> </w:t>
            </w:r>
            <w:r>
              <w:rPr>
                <w:spacing w:val="-2"/>
                <w:sz w:val="20"/>
              </w:rPr>
              <w:t>терапия</w:t>
            </w:r>
          </w:p>
        </w:tc>
        <w:tc>
          <w:tcPr>
            <w:tcW w:w="1200" w:type="dxa"/>
          </w:tcPr>
          <w:p>
            <w:pPr>
              <w:pStyle w:val="TableParagraph"/>
              <w:spacing w:before="60"/>
              <w:ind w:left="544"/>
              <w:rPr>
                <w:sz w:val="20"/>
              </w:rPr>
            </w:pPr>
            <w:r>
              <w:rPr>
                <w:spacing w:val="-2"/>
                <w:sz w:val="20"/>
              </w:rPr>
              <w:t>326617</w:t>
            </w:r>
          </w:p>
        </w:tc>
      </w:tr>
      <w:tr>
        <w:trPr>
          <w:trHeight w:val="1680" w:hRule="atLeast"/>
        </w:trPr>
        <w:tc>
          <w:tcPr>
            <w:tcW w:w="458" w:type="dxa"/>
          </w:tcPr>
          <w:p>
            <w:pPr>
              <w:pStyle w:val="TableParagraph"/>
              <w:rPr>
                <w:sz w:val="18"/>
              </w:rPr>
            </w:pPr>
          </w:p>
        </w:tc>
        <w:tc>
          <w:tcPr>
            <w:tcW w:w="2663" w:type="dxa"/>
            <w:vMerge/>
            <w:tcBorders>
              <w:top w:val="nil"/>
            </w:tcBorders>
          </w:tcPr>
          <w:p>
            <w:pPr>
              <w:rPr>
                <w:sz w:val="2"/>
                <w:szCs w:val="2"/>
              </w:rPr>
            </w:pPr>
          </w:p>
        </w:tc>
        <w:tc>
          <w:tcPr>
            <w:tcW w:w="2213" w:type="dxa"/>
            <w:vMerge/>
            <w:tcBorders>
              <w:top w:val="nil"/>
            </w:tcBorders>
          </w:tcPr>
          <w:p>
            <w:pPr>
              <w:rPr>
                <w:sz w:val="2"/>
                <w:szCs w:val="2"/>
              </w:rPr>
            </w:pPr>
          </w:p>
        </w:tc>
        <w:tc>
          <w:tcPr>
            <w:tcW w:w="3383" w:type="dxa"/>
            <w:vMerge/>
            <w:tcBorders>
              <w:top w:val="nil"/>
            </w:tcBorders>
          </w:tcPr>
          <w:p>
            <w:pPr>
              <w:rPr>
                <w:sz w:val="2"/>
                <w:szCs w:val="2"/>
              </w:rPr>
            </w:pPr>
          </w:p>
        </w:tc>
        <w:tc>
          <w:tcPr>
            <w:tcW w:w="1402" w:type="dxa"/>
            <w:vMerge/>
            <w:tcBorders>
              <w:top w:val="nil"/>
            </w:tcBorders>
          </w:tcPr>
          <w:p>
            <w:pPr>
              <w:rPr>
                <w:sz w:val="2"/>
                <w:szCs w:val="2"/>
              </w:rPr>
            </w:pPr>
          </w:p>
        </w:tc>
        <w:tc>
          <w:tcPr>
            <w:tcW w:w="3786" w:type="dxa"/>
          </w:tcPr>
          <w:p>
            <w:pPr>
              <w:pStyle w:val="TableParagraph"/>
              <w:spacing w:line="249" w:lineRule="auto" w:before="60"/>
              <w:ind w:left="137" w:right="123"/>
              <w:rPr>
                <w:sz w:val="20"/>
              </w:rPr>
            </w:pPr>
            <w:r>
              <w:rPr>
                <w:sz w:val="20"/>
              </w:rPr>
              <w:t>сочетание</w:t>
            </w:r>
            <w:r>
              <w:rPr>
                <w:spacing w:val="-13"/>
                <w:sz w:val="20"/>
              </w:rPr>
              <w:t> </w:t>
            </w:r>
            <w:r>
              <w:rPr>
                <w:sz w:val="20"/>
              </w:rPr>
              <w:t>системной</w:t>
            </w:r>
            <w:r>
              <w:rPr>
                <w:spacing w:val="-12"/>
                <w:sz w:val="20"/>
              </w:rPr>
              <w:t> </w:t>
            </w:r>
            <w:r>
              <w:rPr>
                <w:sz w:val="20"/>
              </w:rPr>
              <w:t>радионуклидной терапии</w:t>
            </w:r>
            <w:r>
              <w:rPr>
                <w:spacing w:val="-8"/>
                <w:sz w:val="20"/>
              </w:rPr>
              <w:t> </w:t>
            </w:r>
            <w:r>
              <w:rPr>
                <w:sz w:val="20"/>
              </w:rPr>
              <w:t>и</w:t>
            </w:r>
            <w:r>
              <w:rPr>
                <w:spacing w:val="-6"/>
                <w:sz w:val="20"/>
              </w:rPr>
              <w:t> </w:t>
            </w:r>
            <w:r>
              <w:rPr>
                <w:sz w:val="20"/>
              </w:rPr>
              <w:t>локальной</w:t>
            </w:r>
            <w:r>
              <w:rPr>
                <w:spacing w:val="-6"/>
                <w:sz w:val="20"/>
              </w:rPr>
              <w:t> </w:t>
            </w:r>
            <w:r>
              <w:rPr>
                <w:sz w:val="20"/>
              </w:rPr>
              <w:t>лучевой</w:t>
            </w:r>
            <w:r>
              <w:rPr>
                <w:spacing w:val="-7"/>
                <w:sz w:val="20"/>
              </w:rPr>
              <w:t> </w:t>
            </w:r>
            <w:r>
              <w:rPr>
                <w:spacing w:val="-2"/>
                <w:sz w:val="20"/>
              </w:rPr>
              <w:t>терапии</w:t>
            </w:r>
          </w:p>
        </w:tc>
        <w:tc>
          <w:tcPr>
            <w:tcW w:w="1200" w:type="dxa"/>
          </w:tcPr>
          <w:p>
            <w:pPr>
              <w:pStyle w:val="TableParagraph"/>
              <w:rPr>
                <w:sz w:val="18"/>
              </w:rPr>
            </w:pPr>
          </w:p>
        </w:tc>
      </w:tr>
      <w:tr>
        <w:trPr>
          <w:trHeight w:val="1490" w:hRule="atLeast"/>
        </w:trPr>
        <w:tc>
          <w:tcPr>
            <w:tcW w:w="458" w:type="dxa"/>
          </w:tcPr>
          <w:p>
            <w:pPr>
              <w:pStyle w:val="TableParagraph"/>
              <w:rPr>
                <w:sz w:val="18"/>
              </w:rPr>
            </w:pPr>
          </w:p>
        </w:tc>
        <w:tc>
          <w:tcPr>
            <w:tcW w:w="2663" w:type="dxa"/>
          </w:tcPr>
          <w:p>
            <w:pPr>
              <w:pStyle w:val="TableParagraph"/>
              <w:rPr>
                <w:sz w:val="18"/>
              </w:rPr>
            </w:pPr>
          </w:p>
        </w:tc>
        <w:tc>
          <w:tcPr>
            <w:tcW w:w="2213" w:type="dxa"/>
          </w:tcPr>
          <w:p>
            <w:pPr>
              <w:pStyle w:val="TableParagraph"/>
              <w:spacing w:before="60"/>
              <w:ind w:left="476"/>
              <w:rPr>
                <w:sz w:val="20"/>
              </w:rPr>
            </w:pPr>
            <w:r>
              <w:rPr>
                <w:sz w:val="20"/>
              </w:rPr>
              <w:t>С22,</w:t>
            </w:r>
            <w:r>
              <w:rPr>
                <w:spacing w:val="-4"/>
                <w:sz w:val="20"/>
              </w:rPr>
              <w:t> </w:t>
            </w:r>
            <w:r>
              <w:rPr>
                <w:sz w:val="20"/>
              </w:rPr>
              <w:t>С24.0,</w:t>
            </w:r>
            <w:r>
              <w:rPr>
                <w:spacing w:val="-3"/>
                <w:sz w:val="20"/>
              </w:rPr>
              <w:t> </w:t>
            </w:r>
            <w:r>
              <w:rPr>
                <w:spacing w:val="-2"/>
                <w:sz w:val="20"/>
              </w:rPr>
              <w:t>С78.7</w:t>
            </w:r>
          </w:p>
        </w:tc>
        <w:tc>
          <w:tcPr>
            <w:tcW w:w="3383" w:type="dxa"/>
          </w:tcPr>
          <w:p>
            <w:pPr>
              <w:pStyle w:val="TableParagraph"/>
              <w:spacing w:line="240" w:lineRule="atLeast" w:before="30"/>
              <w:ind w:left="140" w:right="47"/>
              <w:rPr>
                <w:sz w:val="20"/>
              </w:rPr>
            </w:pPr>
            <w:r>
              <w:rPr>
                <w:sz w:val="20"/>
              </w:rPr>
              <w:t>первичные и метастатические злокачественные новообразования печени,</w:t>
            </w:r>
            <w:r>
              <w:rPr>
                <w:spacing w:val="-13"/>
                <w:sz w:val="20"/>
              </w:rPr>
              <w:t> </w:t>
            </w:r>
            <w:r>
              <w:rPr>
                <w:sz w:val="20"/>
              </w:rPr>
              <w:t>внутрипеченочных</w:t>
            </w:r>
            <w:r>
              <w:rPr>
                <w:spacing w:val="-12"/>
                <w:sz w:val="20"/>
              </w:rPr>
              <w:t> </w:t>
            </w:r>
            <w:r>
              <w:rPr>
                <w:sz w:val="20"/>
              </w:rPr>
              <w:t>желчных протоков,</w:t>
            </w:r>
            <w:r>
              <w:rPr>
                <w:spacing w:val="-13"/>
                <w:sz w:val="20"/>
              </w:rPr>
              <w:t> </w:t>
            </w:r>
            <w:r>
              <w:rPr>
                <w:sz w:val="20"/>
              </w:rPr>
              <w:t>общего</w:t>
            </w:r>
            <w:r>
              <w:rPr>
                <w:spacing w:val="-12"/>
                <w:sz w:val="20"/>
              </w:rPr>
              <w:t> </w:t>
            </w:r>
            <w:r>
              <w:rPr>
                <w:sz w:val="20"/>
              </w:rPr>
              <w:t>желчного</w:t>
            </w:r>
            <w:r>
              <w:rPr>
                <w:spacing w:val="-13"/>
                <w:sz w:val="20"/>
              </w:rPr>
              <w:t> </w:t>
            </w:r>
            <w:r>
              <w:rPr>
                <w:sz w:val="20"/>
              </w:rPr>
              <w:t>протока, в том числе у соматически- отягощенных пациентов</w:t>
            </w:r>
          </w:p>
        </w:tc>
        <w:tc>
          <w:tcPr>
            <w:tcW w:w="1402" w:type="dxa"/>
          </w:tcPr>
          <w:p>
            <w:pPr>
              <w:pStyle w:val="TableParagraph"/>
              <w:rPr>
                <w:sz w:val="18"/>
              </w:rPr>
            </w:pPr>
          </w:p>
        </w:tc>
        <w:tc>
          <w:tcPr>
            <w:tcW w:w="3786" w:type="dxa"/>
          </w:tcPr>
          <w:p>
            <w:pPr>
              <w:pStyle w:val="TableParagraph"/>
              <w:spacing w:line="249" w:lineRule="auto" w:before="60"/>
              <w:ind w:left="137" w:right="123"/>
              <w:rPr>
                <w:sz w:val="20"/>
              </w:rPr>
            </w:pPr>
            <w:r>
              <w:rPr>
                <w:sz w:val="20"/>
              </w:rPr>
              <w:t>эмболизация с использованием локальной</w:t>
            </w:r>
            <w:r>
              <w:rPr>
                <w:spacing w:val="-13"/>
                <w:sz w:val="20"/>
              </w:rPr>
              <w:t> </w:t>
            </w:r>
            <w:r>
              <w:rPr>
                <w:sz w:val="20"/>
              </w:rPr>
              <w:t>радионуклидной</w:t>
            </w:r>
            <w:r>
              <w:rPr>
                <w:spacing w:val="-12"/>
                <w:sz w:val="20"/>
              </w:rPr>
              <w:t> </w:t>
            </w:r>
            <w:r>
              <w:rPr>
                <w:sz w:val="20"/>
              </w:rPr>
              <w:t>терапии</w:t>
            </w:r>
          </w:p>
        </w:tc>
        <w:tc>
          <w:tcPr>
            <w:tcW w:w="12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31"/>
        <w:gridCol w:w="2101"/>
        <w:gridCol w:w="3325"/>
        <w:gridCol w:w="1399"/>
        <w:gridCol w:w="3983"/>
        <w:gridCol w:w="1000"/>
      </w:tblGrid>
      <w:tr>
        <w:trPr>
          <w:trHeight w:val="770" w:hRule="atLeast"/>
        </w:trPr>
        <w:tc>
          <w:tcPr>
            <w:tcW w:w="458" w:type="dxa"/>
          </w:tcPr>
          <w:p>
            <w:pPr>
              <w:pStyle w:val="TableParagraph"/>
              <w:spacing w:line="221" w:lineRule="exact"/>
              <w:ind w:left="50"/>
              <w:rPr>
                <w:sz w:val="20"/>
              </w:rPr>
            </w:pPr>
            <w:r>
              <w:rPr>
                <w:spacing w:val="-5"/>
                <w:sz w:val="20"/>
              </w:rPr>
              <w:t>27.</w:t>
            </w:r>
          </w:p>
        </w:tc>
        <w:tc>
          <w:tcPr>
            <w:tcW w:w="2831" w:type="dxa"/>
          </w:tcPr>
          <w:p>
            <w:pPr>
              <w:pStyle w:val="TableParagraph"/>
              <w:spacing w:line="249" w:lineRule="auto"/>
              <w:ind w:left="155"/>
              <w:rPr>
                <w:sz w:val="20"/>
              </w:rPr>
            </w:pPr>
            <w:r>
              <w:rPr>
                <w:sz w:val="20"/>
              </w:rPr>
              <w:t>Контактная</w:t>
            </w:r>
            <w:r>
              <w:rPr>
                <w:spacing w:val="-13"/>
                <w:sz w:val="20"/>
              </w:rPr>
              <w:t> </w:t>
            </w:r>
            <w:r>
              <w:rPr>
                <w:sz w:val="20"/>
              </w:rPr>
              <w:t>лучевая</w:t>
            </w:r>
            <w:r>
              <w:rPr>
                <w:spacing w:val="-12"/>
                <w:sz w:val="20"/>
              </w:rPr>
              <w:t> </w:t>
            </w:r>
            <w:r>
              <w:rPr>
                <w:sz w:val="20"/>
              </w:rPr>
              <w:t>терапия при раке предстательной </w:t>
            </w:r>
            <w:r>
              <w:rPr>
                <w:spacing w:val="-2"/>
                <w:sz w:val="20"/>
              </w:rPr>
              <w:t>железы</w:t>
            </w:r>
          </w:p>
        </w:tc>
        <w:tc>
          <w:tcPr>
            <w:tcW w:w="2101" w:type="dxa"/>
          </w:tcPr>
          <w:p>
            <w:pPr>
              <w:pStyle w:val="TableParagraph"/>
              <w:spacing w:line="221" w:lineRule="exact"/>
              <w:ind w:left="879" w:right="863"/>
              <w:jc w:val="center"/>
              <w:rPr>
                <w:sz w:val="20"/>
              </w:rPr>
            </w:pPr>
            <w:r>
              <w:rPr>
                <w:spacing w:val="-5"/>
                <w:sz w:val="20"/>
              </w:rPr>
              <w:t>C61</w:t>
            </w:r>
          </w:p>
        </w:tc>
        <w:tc>
          <w:tcPr>
            <w:tcW w:w="3325" w:type="dxa"/>
          </w:tcPr>
          <w:p>
            <w:pPr>
              <w:pStyle w:val="TableParagraph"/>
              <w:spacing w:line="249" w:lineRule="auto"/>
              <w:ind w:left="84" w:right="273"/>
              <w:rPr>
                <w:sz w:val="20"/>
              </w:rPr>
            </w:pPr>
            <w:r>
              <w:rPr>
                <w:sz w:val="20"/>
              </w:rPr>
              <w:t>злокачественные</w:t>
            </w:r>
            <w:r>
              <w:rPr>
                <w:spacing w:val="-13"/>
                <w:sz w:val="20"/>
              </w:rPr>
              <w:t> </w:t>
            </w:r>
            <w:r>
              <w:rPr>
                <w:sz w:val="20"/>
              </w:rPr>
              <w:t>новообразования предстательной железы</w:t>
            </w:r>
          </w:p>
          <w:p>
            <w:pPr>
              <w:pStyle w:val="TableParagraph"/>
              <w:ind w:left="84"/>
              <w:rPr>
                <w:sz w:val="20"/>
              </w:rPr>
            </w:pPr>
            <w:r>
              <w:rPr>
                <w:w w:val="95"/>
                <w:sz w:val="20"/>
              </w:rPr>
              <w:t>(T1-2N0M0),</w:t>
            </w:r>
            <w:r>
              <w:rPr>
                <w:spacing w:val="47"/>
                <w:sz w:val="20"/>
              </w:rPr>
              <w:t> </w:t>
            </w:r>
            <w:r>
              <w:rPr>
                <w:w w:val="95"/>
                <w:sz w:val="20"/>
              </w:rPr>
              <w:t>локализованные</w:t>
            </w:r>
            <w:r>
              <w:rPr>
                <w:spacing w:val="48"/>
                <w:sz w:val="20"/>
              </w:rPr>
              <w:t> </w:t>
            </w:r>
            <w:r>
              <w:rPr>
                <w:spacing w:val="-2"/>
                <w:w w:val="95"/>
                <w:sz w:val="20"/>
              </w:rPr>
              <w:t>формы</w:t>
            </w:r>
          </w:p>
        </w:tc>
        <w:tc>
          <w:tcPr>
            <w:tcW w:w="1399" w:type="dxa"/>
          </w:tcPr>
          <w:p>
            <w:pPr>
              <w:pStyle w:val="TableParagraph"/>
              <w:spacing w:line="249" w:lineRule="auto"/>
              <w:ind w:left="67"/>
              <w:rPr>
                <w:sz w:val="20"/>
              </w:rPr>
            </w:pPr>
            <w:r>
              <w:rPr>
                <w:spacing w:val="-2"/>
                <w:sz w:val="20"/>
              </w:rPr>
              <w:t>терапевтичес- </w:t>
            </w:r>
            <w:r>
              <w:rPr>
                <w:sz w:val="20"/>
              </w:rPr>
              <w:t>кое лечение</w:t>
            </w:r>
          </w:p>
        </w:tc>
        <w:tc>
          <w:tcPr>
            <w:tcW w:w="3983" w:type="dxa"/>
          </w:tcPr>
          <w:p>
            <w:pPr>
              <w:pStyle w:val="TableParagraph"/>
              <w:spacing w:line="249" w:lineRule="auto"/>
              <w:ind w:left="142" w:right="338"/>
              <w:rPr>
                <w:sz w:val="20"/>
              </w:rPr>
            </w:pPr>
            <w:r>
              <w:rPr>
                <w:sz w:val="20"/>
              </w:rPr>
              <w:t>внутритканевая лучевая терапия с использованием</w:t>
            </w:r>
            <w:r>
              <w:rPr>
                <w:spacing w:val="-13"/>
                <w:sz w:val="20"/>
              </w:rPr>
              <w:t> </w:t>
            </w:r>
            <w:r>
              <w:rPr>
                <w:sz w:val="20"/>
              </w:rPr>
              <w:t>постоянных</w:t>
            </w:r>
            <w:r>
              <w:rPr>
                <w:spacing w:val="-12"/>
                <w:sz w:val="20"/>
              </w:rPr>
              <w:t> </w:t>
            </w:r>
            <w:r>
              <w:rPr>
                <w:sz w:val="20"/>
              </w:rPr>
              <w:t>источников ионизирующего излучения</w:t>
            </w:r>
          </w:p>
        </w:tc>
        <w:tc>
          <w:tcPr>
            <w:tcW w:w="1000" w:type="dxa"/>
          </w:tcPr>
          <w:p>
            <w:pPr>
              <w:pStyle w:val="TableParagraph"/>
              <w:spacing w:line="221" w:lineRule="exact"/>
              <w:ind w:right="44"/>
              <w:jc w:val="right"/>
              <w:rPr>
                <w:sz w:val="20"/>
              </w:rPr>
            </w:pPr>
            <w:r>
              <w:rPr>
                <w:spacing w:val="-2"/>
                <w:sz w:val="20"/>
              </w:rPr>
              <w:t>478734</w:t>
            </w:r>
          </w:p>
        </w:tc>
      </w:tr>
      <w:tr>
        <w:trPr>
          <w:trHeight w:val="2040" w:hRule="atLeast"/>
        </w:trPr>
        <w:tc>
          <w:tcPr>
            <w:tcW w:w="458" w:type="dxa"/>
          </w:tcPr>
          <w:p>
            <w:pPr>
              <w:pStyle w:val="TableParagraph"/>
              <w:spacing w:before="60"/>
              <w:ind w:left="50"/>
              <w:rPr>
                <w:sz w:val="20"/>
              </w:rPr>
            </w:pPr>
            <w:r>
              <w:rPr>
                <w:spacing w:val="-5"/>
                <w:sz w:val="20"/>
              </w:rPr>
              <w:t>28.</w:t>
            </w:r>
          </w:p>
        </w:tc>
        <w:tc>
          <w:tcPr>
            <w:tcW w:w="2831" w:type="dxa"/>
            <w:vMerge w:val="restart"/>
          </w:tcPr>
          <w:p>
            <w:pPr>
              <w:pStyle w:val="TableParagraph"/>
              <w:spacing w:line="249" w:lineRule="auto" w:before="60"/>
              <w:ind w:left="155" w:right="102"/>
              <w:rPr>
                <w:sz w:val="20"/>
              </w:rPr>
            </w:pPr>
            <w:r>
              <w:rPr>
                <w:sz w:val="20"/>
              </w:rPr>
              <w:t>Комплексная и высокодозная химиотерапия (включая эпигеномную терапию) острых лейкозов, </w:t>
            </w:r>
            <w:r>
              <w:rPr>
                <w:spacing w:val="-2"/>
                <w:sz w:val="20"/>
              </w:rPr>
              <w:t>высокозлокачественных </w:t>
            </w:r>
            <w:r>
              <w:rPr>
                <w:sz w:val="20"/>
              </w:rPr>
              <w:t>лимфом, рецидивов и рефрактерных форм лим- фопролиферативных и </w:t>
            </w:r>
            <w:r>
              <w:rPr>
                <w:spacing w:val="-2"/>
                <w:sz w:val="20"/>
              </w:rPr>
              <w:t>миелопролиферативных </w:t>
            </w:r>
            <w:r>
              <w:rPr>
                <w:sz w:val="20"/>
              </w:rPr>
              <w:t>заболеваний. Комплексная, высокоинтенсивная и высокодозная химиотерапия (включая</w:t>
            </w:r>
            <w:r>
              <w:rPr>
                <w:spacing w:val="-13"/>
                <w:sz w:val="20"/>
              </w:rPr>
              <w:t> </w:t>
            </w:r>
            <w:r>
              <w:rPr>
                <w:sz w:val="20"/>
              </w:rPr>
              <w:t>лечение</w:t>
            </w:r>
            <w:r>
              <w:rPr>
                <w:spacing w:val="-12"/>
                <w:sz w:val="20"/>
              </w:rPr>
              <w:t> </w:t>
            </w:r>
            <w:r>
              <w:rPr>
                <w:sz w:val="20"/>
              </w:rPr>
              <w:t>таргетными </w:t>
            </w:r>
            <w:r>
              <w:rPr>
                <w:spacing w:val="-2"/>
                <w:sz w:val="20"/>
              </w:rPr>
              <w:t>лекарственными</w:t>
            </w:r>
            <w:r>
              <w:rPr>
                <w:spacing w:val="40"/>
                <w:sz w:val="20"/>
              </w:rPr>
              <w:t> </w:t>
            </w:r>
            <w:r>
              <w:rPr>
                <w:sz w:val="20"/>
              </w:rPr>
              <w:t>препаратами) солидных опухолей, рецидивов и рефрактерных форм</w:t>
            </w:r>
            <w:r>
              <w:rPr>
                <w:spacing w:val="40"/>
                <w:sz w:val="20"/>
              </w:rPr>
              <w:t> </w:t>
            </w:r>
            <w:r>
              <w:rPr>
                <w:sz w:val="20"/>
              </w:rPr>
              <w:t>солидных опухолей, гистиоцитоза у детей</w:t>
            </w:r>
          </w:p>
        </w:tc>
        <w:tc>
          <w:tcPr>
            <w:tcW w:w="2101" w:type="dxa"/>
            <w:vMerge w:val="restart"/>
          </w:tcPr>
          <w:p>
            <w:pPr>
              <w:pStyle w:val="TableParagraph"/>
              <w:spacing w:line="249" w:lineRule="auto" w:before="60"/>
              <w:ind w:left="248" w:right="231" w:firstLine="2"/>
              <w:jc w:val="center"/>
              <w:rPr>
                <w:sz w:val="20"/>
              </w:rPr>
            </w:pPr>
            <w:r>
              <w:rPr>
                <w:sz w:val="20"/>
              </w:rPr>
              <w:t>C81 - C90, C91.0, C91.5</w:t>
            </w:r>
            <w:r>
              <w:rPr>
                <w:spacing w:val="-1"/>
                <w:sz w:val="20"/>
              </w:rPr>
              <w:t> </w:t>
            </w:r>
            <w:r>
              <w:rPr>
                <w:sz w:val="20"/>
              </w:rPr>
              <w:t>-</w:t>
            </w:r>
            <w:r>
              <w:rPr>
                <w:spacing w:val="-5"/>
                <w:sz w:val="20"/>
              </w:rPr>
              <w:t> </w:t>
            </w:r>
            <w:r>
              <w:rPr>
                <w:sz w:val="20"/>
              </w:rPr>
              <w:t>C91.9,</w:t>
            </w:r>
            <w:r>
              <w:rPr>
                <w:spacing w:val="-2"/>
                <w:sz w:val="20"/>
              </w:rPr>
              <w:t> </w:t>
            </w:r>
            <w:r>
              <w:rPr>
                <w:spacing w:val="-4"/>
                <w:sz w:val="20"/>
              </w:rPr>
              <w:t>C92,</w:t>
            </w:r>
          </w:p>
          <w:p>
            <w:pPr>
              <w:pStyle w:val="TableParagraph"/>
              <w:spacing w:before="2"/>
              <w:ind w:left="100" w:right="80"/>
              <w:jc w:val="center"/>
              <w:rPr>
                <w:sz w:val="20"/>
              </w:rPr>
            </w:pPr>
            <w:r>
              <w:rPr>
                <w:sz w:val="20"/>
              </w:rPr>
              <w:t>C93,</w:t>
            </w:r>
            <w:r>
              <w:rPr>
                <w:spacing w:val="-7"/>
                <w:sz w:val="20"/>
              </w:rPr>
              <w:t> </w:t>
            </w:r>
            <w:r>
              <w:rPr>
                <w:sz w:val="20"/>
              </w:rPr>
              <w:t>C94.0,</w:t>
            </w:r>
            <w:r>
              <w:rPr>
                <w:spacing w:val="-4"/>
                <w:sz w:val="20"/>
              </w:rPr>
              <w:t> </w:t>
            </w:r>
            <w:r>
              <w:rPr>
                <w:sz w:val="20"/>
              </w:rPr>
              <w:t>C94.2 </w:t>
            </w:r>
            <w:r>
              <w:rPr>
                <w:spacing w:val="-10"/>
                <w:sz w:val="20"/>
              </w:rPr>
              <w:t>-</w:t>
            </w:r>
          </w:p>
          <w:p>
            <w:pPr>
              <w:pStyle w:val="TableParagraph"/>
              <w:spacing w:line="249" w:lineRule="auto" w:before="10"/>
              <w:ind w:left="100" w:right="80"/>
              <w:jc w:val="center"/>
              <w:rPr>
                <w:sz w:val="20"/>
              </w:rPr>
            </w:pPr>
            <w:r>
              <w:rPr>
                <w:sz w:val="20"/>
              </w:rPr>
              <w:t>94.7,</w:t>
            </w:r>
            <w:r>
              <w:rPr>
                <w:spacing w:val="-10"/>
                <w:sz w:val="20"/>
              </w:rPr>
              <w:t> </w:t>
            </w:r>
            <w:r>
              <w:rPr>
                <w:sz w:val="20"/>
              </w:rPr>
              <w:t>C95,</w:t>
            </w:r>
            <w:r>
              <w:rPr>
                <w:spacing w:val="-10"/>
                <w:sz w:val="20"/>
              </w:rPr>
              <w:t> </w:t>
            </w:r>
            <w:r>
              <w:rPr>
                <w:sz w:val="20"/>
              </w:rPr>
              <w:t>C96.9,</w:t>
            </w:r>
            <w:r>
              <w:rPr>
                <w:spacing w:val="-10"/>
                <w:sz w:val="20"/>
              </w:rPr>
              <w:t> </w:t>
            </w:r>
            <w:r>
              <w:rPr>
                <w:sz w:val="20"/>
              </w:rPr>
              <w:t>C00</w:t>
            </w:r>
            <w:r>
              <w:rPr>
                <w:spacing w:val="-6"/>
                <w:sz w:val="20"/>
              </w:rPr>
              <w:t> </w:t>
            </w:r>
            <w:r>
              <w:rPr>
                <w:sz w:val="20"/>
              </w:rPr>
              <w:t>- C14, C15 - C21, C22, C23 - C26, C30 - C32, C34, C37, C38, C39, C40, C41, C45, C46, C47, C48, C49,</w:t>
            </w:r>
          </w:p>
          <w:p>
            <w:pPr>
              <w:pStyle w:val="TableParagraph"/>
              <w:spacing w:line="249" w:lineRule="auto" w:before="5"/>
              <w:ind w:left="98" w:right="80"/>
              <w:jc w:val="center"/>
              <w:rPr>
                <w:sz w:val="20"/>
              </w:rPr>
            </w:pPr>
            <w:r>
              <w:rPr>
                <w:sz w:val="20"/>
              </w:rPr>
              <w:t>C51</w:t>
            </w:r>
            <w:r>
              <w:rPr>
                <w:spacing w:val="-9"/>
                <w:sz w:val="20"/>
              </w:rPr>
              <w:t> </w:t>
            </w:r>
            <w:r>
              <w:rPr>
                <w:sz w:val="20"/>
              </w:rPr>
              <w:t>-</w:t>
            </w:r>
            <w:r>
              <w:rPr>
                <w:spacing w:val="-11"/>
                <w:sz w:val="20"/>
              </w:rPr>
              <w:t> </w:t>
            </w:r>
            <w:r>
              <w:rPr>
                <w:sz w:val="20"/>
              </w:rPr>
              <w:t>C58,</w:t>
            </w:r>
            <w:r>
              <w:rPr>
                <w:spacing w:val="-10"/>
                <w:sz w:val="20"/>
              </w:rPr>
              <w:t> </w:t>
            </w:r>
            <w:r>
              <w:rPr>
                <w:sz w:val="20"/>
              </w:rPr>
              <w:t>C60,</w:t>
            </w:r>
            <w:r>
              <w:rPr>
                <w:spacing w:val="-10"/>
                <w:sz w:val="20"/>
              </w:rPr>
              <w:t> </w:t>
            </w:r>
            <w:r>
              <w:rPr>
                <w:sz w:val="20"/>
              </w:rPr>
              <w:t>C61, C62, C63, C64, C65, C66, C67, C68, C69, C71, C72, C73, C74, C75, C76, C77, C78, C79; C96.5; С96.6; С96.8; D 46; D 47.4</w:t>
            </w:r>
          </w:p>
        </w:tc>
        <w:tc>
          <w:tcPr>
            <w:tcW w:w="3325" w:type="dxa"/>
            <w:vMerge w:val="restart"/>
          </w:tcPr>
          <w:p>
            <w:pPr>
              <w:pStyle w:val="TableParagraph"/>
              <w:spacing w:line="249" w:lineRule="auto" w:before="60"/>
              <w:ind w:left="84" w:right="85"/>
              <w:rPr>
                <w:sz w:val="20"/>
              </w:rPr>
            </w:pPr>
            <w:r>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w:t>
            </w:r>
            <w:r>
              <w:rPr>
                <w:spacing w:val="-13"/>
                <w:sz w:val="20"/>
              </w:rPr>
              <w:t> </w:t>
            </w:r>
            <w:r>
              <w:rPr>
                <w:sz w:val="20"/>
              </w:rPr>
              <w:t>криза.</w:t>
            </w:r>
            <w:r>
              <w:rPr>
                <w:spacing w:val="-12"/>
                <w:sz w:val="20"/>
              </w:rPr>
              <w:t> </w:t>
            </w:r>
            <w:r>
              <w:rPr>
                <w:sz w:val="20"/>
              </w:rPr>
              <w:t>Солидные</w:t>
            </w:r>
            <w:r>
              <w:rPr>
                <w:spacing w:val="-13"/>
                <w:sz w:val="20"/>
              </w:rPr>
              <w:t> </w:t>
            </w:r>
            <w:r>
              <w:rPr>
                <w:sz w:val="20"/>
              </w:rPr>
              <w:t>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TableParagraph"/>
              <w:spacing w:line="249" w:lineRule="auto" w:before="13"/>
              <w:ind w:left="84" w:right="302"/>
              <w:rPr>
                <w:sz w:val="20"/>
              </w:rPr>
            </w:pPr>
            <w:r>
              <w:rPr>
                <w:sz w:val="20"/>
              </w:rPr>
              <w:t>Рак носоглотки. Меланома. Другие злокачественные эпителиальные</w:t>
            </w:r>
            <w:r>
              <w:rPr>
                <w:spacing w:val="-13"/>
                <w:sz w:val="20"/>
              </w:rPr>
              <w:t> </w:t>
            </w:r>
            <w:r>
              <w:rPr>
                <w:sz w:val="20"/>
              </w:rPr>
              <w:t>опухоли.</w:t>
            </w:r>
            <w:r>
              <w:rPr>
                <w:spacing w:val="-12"/>
                <w:sz w:val="20"/>
              </w:rPr>
              <w:t> </w:t>
            </w:r>
            <w:r>
              <w:rPr>
                <w:sz w:val="20"/>
              </w:rPr>
              <w:t>Опухоли</w:t>
            </w:r>
          </w:p>
          <w:p>
            <w:pPr>
              <w:pStyle w:val="TableParagraph"/>
              <w:spacing w:line="249" w:lineRule="auto" w:before="3"/>
              <w:ind w:left="84" w:right="64"/>
              <w:rPr>
                <w:sz w:val="20"/>
              </w:rPr>
            </w:pPr>
            <w:r>
              <w:rPr>
                <w:sz w:val="20"/>
              </w:rPr>
              <w:t>головы</w:t>
            </w:r>
            <w:r>
              <w:rPr>
                <w:spacing w:val="-8"/>
                <w:sz w:val="20"/>
              </w:rPr>
              <w:t> </w:t>
            </w:r>
            <w:r>
              <w:rPr>
                <w:sz w:val="20"/>
              </w:rPr>
              <w:t>и</w:t>
            </w:r>
            <w:r>
              <w:rPr>
                <w:spacing w:val="-9"/>
                <w:sz w:val="20"/>
              </w:rPr>
              <w:t> </w:t>
            </w:r>
            <w:r>
              <w:rPr>
                <w:sz w:val="20"/>
              </w:rPr>
              <w:t>шеи</w:t>
            </w:r>
            <w:r>
              <w:rPr>
                <w:spacing w:val="-6"/>
                <w:sz w:val="20"/>
              </w:rPr>
              <w:t> </w:t>
            </w:r>
            <w:r>
              <w:rPr>
                <w:sz w:val="20"/>
              </w:rPr>
              <w:t>у</w:t>
            </w:r>
            <w:r>
              <w:rPr>
                <w:spacing w:val="-9"/>
                <w:sz w:val="20"/>
              </w:rPr>
              <w:t> </w:t>
            </w:r>
            <w:r>
              <w:rPr>
                <w:sz w:val="20"/>
              </w:rPr>
              <w:t>детей</w:t>
            </w:r>
            <w:r>
              <w:rPr>
                <w:spacing w:val="-9"/>
                <w:sz w:val="20"/>
              </w:rPr>
              <w:t> </w:t>
            </w:r>
            <w:r>
              <w:rPr>
                <w:sz w:val="20"/>
              </w:rP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pPr>
              <w:pStyle w:val="TableParagraph"/>
              <w:spacing w:line="249" w:lineRule="auto" w:before="5"/>
              <w:ind w:left="84" w:right="64"/>
              <w:rPr>
                <w:sz w:val="20"/>
              </w:rPr>
            </w:pPr>
            <w:r>
              <w:rPr>
                <w:sz w:val="20"/>
              </w:rPr>
              <w:t>Миелодиспластические синдромы. Первичный миелофиброз,</w:t>
            </w:r>
            <w:r>
              <w:rPr>
                <w:spacing w:val="40"/>
                <w:sz w:val="20"/>
              </w:rPr>
              <w:t> </w:t>
            </w:r>
            <w:r>
              <w:rPr>
                <w:sz w:val="20"/>
              </w:rPr>
              <w:t>вторичный миелофиброз при миелопролиферативном</w:t>
            </w:r>
            <w:r>
              <w:rPr>
                <w:spacing w:val="-13"/>
                <w:sz w:val="20"/>
              </w:rPr>
              <w:t> </w:t>
            </w:r>
            <w:r>
              <w:rPr>
                <w:sz w:val="20"/>
              </w:rPr>
              <w:t>заболевании (трансформация истинной</w:t>
            </w:r>
          </w:p>
        </w:tc>
        <w:tc>
          <w:tcPr>
            <w:tcW w:w="1399" w:type="dxa"/>
          </w:tcPr>
          <w:p>
            <w:pPr>
              <w:pStyle w:val="TableParagraph"/>
              <w:spacing w:line="249" w:lineRule="auto" w:before="60"/>
              <w:ind w:left="67"/>
              <w:rPr>
                <w:sz w:val="20"/>
              </w:rPr>
            </w:pPr>
            <w:r>
              <w:rPr>
                <w:spacing w:val="-2"/>
                <w:sz w:val="20"/>
              </w:rPr>
              <w:t>терапевтичес- </w:t>
            </w:r>
            <w:r>
              <w:rPr>
                <w:sz w:val="20"/>
              </w:rPr>
              <w:t>кое лечение</w:t>
            </w:r>
          </w:p>
        </w:tc>
        <w:tc>
          <w:tcPr>
            <w:tcW w:w="3983" w:type="dxa"/>
          </w:tcPr>
          <w:p>
            <w:pPr>
              <w:pStyle w:val="TableParagraph"/>
              <w:spacing w:line="249" w:lineRule="auto" w:before="60"/>
              <w:ind w:left="142" w:right="338"/>
              <w:rPr>
                <w:sz w:val="20"/>
              </w:rPr>
            </w:pPr>
            <w:r>
              <w:rPr>
                <w:sz w:val="20"/>
              </w:rPr>
              <w:t>высокодозная химиотерапия, применение таргетных лекарственных препаратов с поддержкой ростовыми факторами, использованием компонентов</w:t>
            </w:r>
            <w:r>
              <w:rPr>
                <w:spacing w:val="-13"/>
                <w:sz w:val="20"/>
              </w:rPr>
              <w:t> </w:t>
            </w:r>
            <w:r>
              <w:rPr>
                <w:sz w:val="20"/>
              </w:rPr>
              <w:t>крови,</w:t>
            </w:r>
            <w:r>
              <w:rPr>
                <w:spacing w:val="-12"/>
                <w:sz w:val="20"/>
              </w:rPr>
              <w:t> </w:t>
            </w:r>
            <w:r>
              <w:rPr>
                <w:sz w:val="20"/>
              </w:rPr>
              <w:t>антибактериальных, противогрибковых, противовирусных лекарственных препаратов и методов афферентной терапии</w:t>
            </w:r>
          </w:p>
        </w:tc>
        <w:tc>
          <w:tcPr>
            <w:tcW w:w="1000" w:type="dxa"/>
          </w:tcPr>
          <w:p>
            <w:pPr>
              <w:pStyle w:val="TableParagraph"/>
              <w:spacing w:before="60"/>
              <w:ind w:right="44"/>
              <w:jc w:val="right"/>
              <w:rPr>
                <w:sz w:val="20"/>
              </w:rPr>
            </w:pPr>
            <w:r>
              <w:rPr>
                <w:spacing w:val="-2"/>
                <w:sz w:val="20"/>
              </w:rPr>
              <w:t>370117</w:t>
            </w:r>
          </w:p>
        </w:tc>
      </w:tr>
      <w:tr>
        <w:trPr>
          <w:trHeight w:val="1560" w:hRule="atLeast"/>
        </w:trPr>
        <w:tc>
          <w:tcPr>
            <w:tcW w:w="458" w:type="dxa"/>
          </w:tcPr>
          <w:p>
            <w:pPr>
              <w:pStyle w:val="TableParagraph"/>
              <w:rPr>
                <w:sz w:val="18"/>
              </w:rPr>
            </w:pPr>
          </w:p>
        </w:tc>
        <w:tc>
          <w:tcPr>
            <w:tcW w:w="2831" w:type="dxa"/>
            <w:vMerge/>
            <w:tcBorders>
              <w:top w:val="nil"/>
            </w:tcBorders>
          </w:tcPr>
          <w:p>
            <w:pPr>
              <w:rPr>
                <w:sz w:val="2"/>
                <w:szCs w:val="2"/>
              </w:rPr>
            </w:pPr>
          </w:p>
        </w:tc>
        <w:tc>
          <w:tcPr>
            <w:tcW w:w="2101" w:type="dxa"/>
            <w:vMerge/>
            <w:tcBorders>
              <w:top w:val="nil"/>
            </w:tcBorders>
          </w:tcPr>
          <w:p>
            <w:pPr>
              <w:rPr>
                <w:sz w:val="2"/>
                <w:szCs w:val="2"/>
              </w:rPr>
            </w:pPr>
          </w:p>
        </w:tc>
        <w:tc>
          <w:tcPr>
            <w:tcW w:w="3325" w:type="dxa"/>
            <w:vMerge/>
            <w:tcBorders>
              <w:top w:val="nil"/>
            </w:tcBorders>
          </w:tcPr>
          <w:p>
            <w:pPr>
              <w:rPr>
                <w:sz w:val="2"/>
                <w:szCs w:val="2"/>
              </w:rPr>
            </w:pPr>
          </w:p>
        </w:tc>
        <w:tc>
          <w:tcPr>
            <w:tcW w:w="1399" w:type="dxa"/>
          </w:tcPr>
          <w:p>
            <w:pPr>
              <w:pStyle w:val="TableParagraph"/>
              <w:rPr>
                <w:sz w:val="18"/>
              </w:rPr>
            </w:pPr>
          </w:p>
        </w:tc>
        <w:tc>
          <w:tcPr>
            <w:tcW w:w="3983" w:type="dxa"/>
          </w:tcPr>
          <w:p>
            <w:pPr>
              <w:pStyle w:val="TableParagraph"/>
              <w:spacing w:line="249" w:lineRule="auto" w:before="60"/>
              <w:ind w:left="142" w:right="338"/>
              <w:rPr>
                <w:sz w:val="20"/>
              </w:rPr>
            </w:pPr>
            <w:r>
              <w:rPr>
                <w:sz w:val="20"/>
              </w:rPr>
              <w:t>комплексная</w:t>
            </w:r>
            <w:r>
              <w:rPr>
                <w:spacing w:val="-13"/>
                <w:sz w:val="20"/>
              </w:rPr>
              <w:t> </w:t>
            </w:r>
            <w:r>
              <w:rPr>
                <w:sz w:val="20"/>
              </w:rPr>
              <w:t>терапия</w:t>
            </w:r>
            <w:r>
              <w:rPr>
                <w:spacing w:val="-12"/>
                <w:sz w:val="20"/>
              </w:rPr>
              <w:t> </w:t>
            </w:r>
            <w:r>
              <w:rPr>
                <w:sz w:val="20"/>
              </w:rPr>
              <w:t>химиопрепаратами и эпигеномная терапия с поддержкой ростовыми</w:t>
            </w:r>
            <w:r>
              <w:rPr>
                <w:spacing w:val="-13"/>
                <w:sz w:val="20"/>
              </w:rPr>
              <w:t> </w:t>
            </w:r>
            <w:r>
              <w:rPr>
                <w:sz w:val="20"/>
              </w:rPr>
              <w:t>факторами</w:t>
            </w:r>
            <w:r>
              <w:rPr>
                <w:spacing w:val="-12"/>
                <w:sz w:val="20"/>
              </w:rPr>
              <w:t> </w:t>
            </w:r>
            <w:r>
              <w:rPr>
                <w:sz w:val="20"/>
              </w:rPr>
              <w:t>и</w:t>
            </w:r>
            <w:r>
              <w:rPr>
                <w:spacing w:val="-13"/>
                <w:sz w:val="20"/>
              </w:rPr>
              <w:t> </w:t>
            </w:r>
            <w:r>
              <w:rPr>
                <w:sz w:val="20"/>
              </w:rPr>
              <w:t>использованием антибактериальных, противогрибковых, противовирусных лекарственных </w:t>
            </w:r>
            <w:r>
              <w:rPr>
                <w:spacing w:val="-2"/>
                <w:sz w:val="20"/>
              </w:rPr>
              <w:t>препаратов</w:t>
            </w:r>
          </w:p>
        </w:tc>
        <w:tc>
          <w:tcPr>
            <w:tcW w:w="1000" w:type="dxa"/>
          </w:tcPr>
          <w:p>
            <w:pPr>
              <w:pStyle w:val="TableParagraph"/>
              <w:rPr>
                <w:sz w:val="18"/>
              </w:rPr>
            </w:pPr>
          </w:p>
        </w:tc>
      </w:tr>
      <w:tr>
        <w:trPr>
          <w:trHeight w:val="2040" w:hRule="atLeast"/>
        </w:trPr>
        <w:tc>
          <w:tcPr>
            <w:tcW w:w="458" w:type="dxa"/>
          </w:tcPr>
          <w:p>
            <w:pPr>
              <w:pStyle w:val="TableParagraph"/>
              <w:rPr>
                <w:sz w:val="18"/>
              </w:rPr>
            </w:pPr>
          </w:p>
        </w:tc>
        <w:tc>
          <w:tcPr>
            <w:tcW w:w="2831" w:type="dxa"/>
            <w:vMerge/>
            <w:tcBorders>
              <w:top w:val="nil"/>
            </w:tcBorders>
          </w:tcPr>
          <w:p>
            <w:pPr>
              <w:rPr>
                <w:sz w:val="2"/>
                <w:szCs w:val="2"/>
              </w:rPr>
            </w:pPr>
          </w:p>
        </w:tc>
        <w:tc>
          <w:tcPr>
            <w:tcW w:w="2101" w:type="dxa"/>
            <w:vMerge/>
            <w:tcBorders>
              <w:top w:val="nil"/>
            </w:tcBorders>
          </w:tcPr>
          <w:p>
            <w:pPr>
              <w:rPr>
                <w:sz w:val="2"/>
                <w:szCs w:val="2"/>
              </w:rPr>
            </w:pPr>
          </w:p>
        </w:tc>
        <w:tc>
          <w:tcPr>
            <w:tcW w:w="3325" w:type="dxa"/>
            <w:vMerge/>
            <w:tcBorders>
              <w:top w:val="nil"/>
            </w:tcBorders>
          </w:tcPr>
          <w:p>
            <w:pPr>
              <w:rPr>
                <w:sz w:val="2"/>
                <w:szCs w:val="2"/>
              </w:rPr>
            </w:pPr>
          </w:p>
        </w:tc>
        <w:tc>
          <w:tcPr>
            <w:tcW w:w="1399" w:type="dxa"/>
          </w:tcPr>
          <w:p>
            <w:pPr>
              <w:pStyle w:val="TableParagraph"/>
              <w:rPr>
                <w:sz w:val="18"/>
              </w:rPr>
            </w:pPr>
          </w:p>
        </w:tc>
        <w:tc>
          <w:tcPr>
            <w:tcW w:w="3983" w:type="dxa"/>
          </w:tcPr>
          <w:p>
            <w:pPr>
              <w:pStyle w:val="TableParagraph"/>
              <w:spacing w:line="249" w:lineRule="auto" w:before="60"/>
              <w:ind w:left="142" w:right="293"/>
              <w:rPr>
                <w:sz w:val="20"/>
              </w:rPr>
            </w:pPr>
            <w:r>
              <w:rPr>
                <w:sz w:val="20"/>
              </w:rPr>
              <w:t>интенсивная высокотоксичная химиотерапия,</w:t>
            </w:r>
            <w:r>
              <w:rPr>
                <w:spacing w:val="-1"/>
                <w:sz w:val="20"/>
              </w:rPr>
              <w:t> </w:t>
            </w:r>
            <w:r>
              <w:rPr>
                <w:sz w:val="20"/>
              </w:rPr>
              <w:t>требующая</w:t>
            </w:r>
            <w:r>
              <w:rPr>
                <w:spacing w:val="-1"/>
                <w:sz w:val="20"/>
              </w:rPr>
              <w:t> </w:t>
            </w:r>
            <w:r>
              <w:rPr>
                <w:sz w:val="20"/>
              </w:rPr>
              <w:t>массивного и длительного</w:t>
            </w:r>
            <w:r>
              <w:rPr>
                <w:spacing w:val="-13"/>
                <w:sz w:val="20"/>
              </w:rPr>
              <w:t> </w:t>
            </w:r>
            <w:r>
              <w:rPr>
                <w:sz w:val="20"/>
              </w:rPr>
              <w:t>сопроводительного</w:t>
            </w:r>
            <w:r>
              <w:rPr>
                <w:spacing w:val="-12"/>
                <w:sz w:val="20"/>
              </w:rPr>
              <w:t> </w:t>
            </w:r>
            <w:r>
              <w:rPr>
                <w:sz w:val="20"/>
              </w:rPr>
              <w:t>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000" w:type="dxa"/>
          </w:tcPr>
          <w:p>
            <w:pPr>
              <w:pStyle w:val="TableParagraph"/>
              <w:rPr>
                <w:sz w:val="18"/>
              </w:rPr>
            </w:pPr>
          </w:p>
        </w:tc>
      </w:tr>
      <w:tr>
        <w:trPr>
          <w:trHeight w:val="1490" w:hRule="atLeast"/>
        </w:trPr>
        <w:tc>
          <w:tcPr>
            <w:tcW w:w="458" w:type="dxa"/>
          </w:tcPr>
          <w:p>
            <w:pPr>
              <w:pStyle w:val="TableParagraph"/>
              <w:rPr>
                <w:sz w:val="18"/>
              </w:rPr>
            </w:pPr>
          </w:p>
        </w:tc>
        <w:tc>
          <w:tcPr>
            <w:tcW w:w="2831" w:type="dxa"/>
          </w:tcPr>
          <w:p>
            <w:pPr>
              <w:pStyle w:val="TableParagraph"/>
              <w:rPr>
                <w:sz w:val="18"/>
              </w:rPr>
            </w:pPr>
          </w:p>
        </w:tc>
        <w:tc>
          <w:tcPr>
            <w:tcW w:w="2101" w:type="dxa"/>
          </w:tcPr>
          <w:p>
            <w:pPr>
              <w:pStyle w:val="TableParagraph"/>
              <w:rPr>
                <w:sz w:val="18"/>
              </w:rPr>
            </w:pPr>
          </w:p>
        </w:tc>
        <w:tc>
          <w:tcPr>
            <w:tcW w:w="3325" w:type="dxa"/>
            <w:vMerge/>
            <w:tcBorders>
              <w:top w:val="nil"/>
            </w:tcBorders>
          </w:tcPr>
          <w:p>
            <w:pPr>
              <w:rPr>
                <w:sz w:val="2"/>
                <w:szCs w:val="2"/>
              </w:rPr>
            </w:pPr>
          </w:p>
        </w:tc>
        <w:tc>
          <w:tcPr>
            <w:tcW w:w="1399" w:type="dxa"/>
          </w:tcPr>
          <w:p>
            <w:pPr>
              <w:pStyle w:val="TableParagraph"/>
              <w:rPr>
                <w:sz w:val="18"/>
              </w:rPr>
            </w:pPr>
          </w:p>
        </w:tc>
        <w:tc>
          <w:tcPr>
            <w:tcW w:w="3983" w:type="dxa"/>
          </w:tcPr>
          <w:p>
            <w:pPr>
              <w:pStyle w:val="TableParagraph"/>
              <w:spacing w:line="240" w:lineRule="atLeast" w:before="30"/>
              <w:ind w:left="142" w:right="398"/>
              <w:rPr>
                <w:sz w:val="20"/>
              </w:rPr>
            </w:pPr>
            <w:r>
              <w:rPr>
                <w:sz w:val="20"/>
              </w:rPr>
              <w:t>комплексная химиотерапия с использованием лекарственных препаратов направленного действия, бисфосфонатов,</w:t>
            </w:r>
            <w:r>
              <w:rPr>
                <w:spacing w:val="-13"/>
                <w:sz w:val="20"/>
              </w:rPr>
              <w:t> </w:t>
            </w:r>
            <w:r>
              <w:rPr>
                <w:sz w:val="20"/>
              </w:rPr>
              <w:t>иммуномодулирующих лекарственных препаратов, иммунопрепаратов (в том числе</w:t>
            </w:r>
          </w:p>
        </w:tc>
        <w:tc>
          <w:tcPr>
            <w:tcW w:w="10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6"/>
        <w:gridCol w:w="1990"/>
        <w:gridCol w:w="3339"/>
        <w:gridCol w:w="1471"/>
        <w:gridCol w:w="3918"/>
        <w:gridCol w:w="1083"/>
      </w:tblGrid>
      <w:tr>
        <w:trPr>
          <w:trHeight w:val="1490" w:hRule="atLeast"/>
        </w:trPr>
        <w:tc>
          <w:tcPr>
            <w:tcW w:w="458" w:type="dxa"/>
            <w:vMerge w:val="restart"/>
          </w:tcPr>
          <w:p>
            <w:pPr>
              <w:pStyle w:val="TableParagraph"/>
              <w:rPr>
                <w:sz w:val="18"/>
              </w:rPr>
            </w:pPr>
          </w:p>
        </w:tc>
        <w:tc>
          <w:tcPr>
            <w:tcW w:w="2886" w:type="dxa"/>
            <w:vMerge w:val="restart"/>
          </w:tcPr>
          <w:p>
            <w:pPr>
              <w:pStyle w:val="TableParagraph"/>
              <w:rPr>
                <w:sz w:val="18"/>
              </w:rPr>
            </w:pPr>
          </w:p>
        </w:tc>
        <w:tc>
          <w:tcPr>
            <w:tcW w:w="1990" w:type="dxa"/>
            <w:vMerge w:val="restart"/>
          </w:tcPr>
          <w:p>
            <w:pPr>
              <w:pStyle w:val="TableParagraph"/>
              <w:rPr>
                <w:sz w:val="18"/>
              </w:rPr>
            </w:pPr>
          </w:p>
        </w:tc>
        <w:tc>
          <w:tcPr>
            <w:tcW w:w="3339" w:type="dxa"/>
            <w:vMerge w:val="restart"/>
          </w:tcPr>
          <w:p>
            <w:pPr>
              <w:pStyle w:val="TableParagraph"/>
              <w:spacing w:line="249" w:lineRule="auto"/>
              <w:ind w:left="140"/>
              <w:rPr>
                <w:sz w:val="20"/>
              </w:rPr>
            </w:pPr>
            <w:r>
              <w:rPr>
                <w:sz w:val="20"/>
              </w:rPr>
              <w:t>полицитемии и эссенциальной тромбоцитемии в миелофиброз). Гистиоцитоз</w:t>
            </w:r>
            <w:r>
              <w:rPr>
                <w:spacing w:val="-13"/>
                <w:sz w:val="20"/>
              </w:rPr>
              <w:t> </w:t>
            </w:r>
            <w:r>
              <w:rPr>
                <w:sz w:val="20"/>
              </w:rPr>
              <w:t>X</w:t>
            </w:r>
            <w:r>
              <w:rPr>
                <w:spacing w:val="-12"/>
                <w:sz w:val="20"/>
              </w:rPr>
              <w:t> </w:t>
            </w:r>
            <w:r>
              <w:rPr>
                <w:sz w:val="20"/>
              </w:rPr>
              <w:t>(мультифокальный, унифокальный). Гистиоцитоз Лангерганса (мультифокальный, унифокальный). Злокачественный </w:t>
            </w:r>
            <w:r>
              <w:rPr>
                <w:spacing w:val="-2"/>
                <w:sz w:val="20"/>
              </w:rPr>
              <w:t>гистиоцитоз.</w:t>
            </w:r>
          </w:p>
        </w:tc>
        <w:tc>
          <w:tcPr>
            <w:tcW w:w="1471" w:type="dxa"/>
          </w:tcPr>
          <w:p>
            <w:pPr>
              <w:pStyle w:val="TableParagraph"/>
              <w:rPr>
                <w:sz w:val="18"/>
              </w:rPr>
            </w:pPr>
          </w:p>
        </w:tc>
        <w:tc>
          <w:tcPr>
            <w:tcW w:w="3918" w:type="dxa"/>
          </w:tcPr>
          <w:p>
            <w:pPr>
              <w:pStyle w:val="TableParagraph"/>
              <w:spacing w:line="249" w:lineRule="auto"/>
              <w:ind w:left="112" w:right="326"/>
              <w:rPr>
                <w:sz w:val="20"/>
              </w:rPr>
            </w:pPr>
            <w:r>
              <w:rPr>
                <w:sz w:val="20"/>
              </w:rPr>
              <w:t>вакцинотерапия</w:t>
            </w:r>
            <w:r>
              <w:rPr>
                <w:spacing w:val="-13"/>
                <w:sz w:val="20"/>
              </w:rPr>
              <w:t> </w:t>
            </w:r>
            <w:r>
              <w:rPr>
                <w:sz w:val="20"/>
              </w:rPr>
              <w:t>дендритными</w:t>
            </w:r>
            <w:r>
              <w:rPr>
                <w:spacing w:val="-12"/>
                <w:sz w:val="20"/>
              </w:rPr>
              <w:t> </w:t>
            </w:r>
            <w:r>
              <w:rPr>
                <w:sz w:val="20"/>
              </w:rPr>
              <w:t>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083" w:type="dxa"/>
          </w:tcPr>
          <w:p>
            <w:pPr>
              <w:pStyle w:val="TableParagraph"/>
              <w:rPr>
                <w:sz w:val="18"/>
              </w:rPr>
            </w:pPr>
          </w:p>
        </w:tc>
      </w:tr>
      <w:tr>
        <w:trPr>
          <w:trHeight w:val="1800" w:hRule="atLeast"/>
        </w:trPr>
        <w:tc>
          <w:tcPr>
            <w:tcW w:w="458" w:type="dxa"/>
            <w:vMerge/>
            <w:tcBorders>
              <w:top w:val="nil"/>
            </w:tcBorders>
          </w:tcPr>
          <w:p>
            <w:pPr>
              <w:rPr>
                <w:sz w:val="2"/>
                <w:szCs w:val="2"/>
              </w:rPr>
            </w:pPr>
          </w:p>
        </w:tc>
        <w:tc>
          <w:tcPr>
            <w:tcW w:w="2886" w:type="dxa"/>
            <w:vMerge/>
            <w:tcBorders>
              <w:top w:val="nil"/>
            </w:tcBorders>
          </w:tcPr>
          <w:p>
            <w:pPr>
              <w:rPr>
                <w:sz w:val="2"/>
                <w:szCs w:val="2"/>
              </w:rPr>
            </w:pPr>
          </w:p>
        </w:tc>
        <w:tc>
          <w:tcPr>
            <w:tcW w:w="1990" w:type="dxa"/>
            <w:vMerge/>
            <w:tcBorders>
              <w:top w:val="nil"/>
            </w:tcBorders>
          </w:tcPr>
          <w:p>
            <w:pPr>
              <w:rPr>
                <w:sz w:val="2"/>
                <w:szCs w:val="2"/>
              </w:rPr>
            </w:pPr>
          </w:p>
        </w:tc>
        <w:tc>
          <w:tcPr>
            <w:tcW w:w="3339" w:type="dxa"/>
            <w:vMerge/>
            <w:tcBorders>
              <w:top w:val="nil"/>
            </w:tcBorders>
          </w:tcPr>
          <w:p>
            <w:pPr>
              <w:rPr>
                <w:sz w:val="2"/>
                <w:szCs w:val="2"/>
              </w:rPr>
            </w:pPr>
          </w:p>
        </w:tc>
        <w:tc>
          <w:tcPr>
            <w:tcW w:w="1471" w:type="dxa"/>
          </w:tcPr>
          <w:p>
            <w:pPr>
              <w:pStyle w:val="TableParagraph"/>
              <w:rPr>
                <w:sz w:val="18"/>
              </w:rPr>
            </w:pPr>
          </w:p>
        </w:tc>
        <w:tc>
          <w:tcPr>
            <w:tcW w:w="3918" w:type="dxa"/>
          </w:tcPr>
          <w:p>
            <w:pPr>
              <w:pStyle w:val="TableParagraph"/>
              <w:spacing w:line="249" w:lineRule="auto" w:before="60"/>
              <w:ind w:left="112" w:right="200"/>
              <w:rPr>
                <w:sz w:val="20"/>
              </w:rPr>
            </w:pPr>
            <w:r>
              <w:rPr>
                <w:sz w:val="20"/>
              </w:rPr>
              <w:t>высокодозная химиотерапия с поддержкой</w:t>
            </w:r>
            <w:r>
              <w:rPr>
                <w:spacing w:val="-13"/>
                <w:sz w:val="20"/>
              </w:rPr>
              <w:t> </w:t>
            </w:r>
            <w:r>
              <w:rPr>
                <w:sz w:val="20"/>
              </w:rPr>
              <w:t>аутологичными</w:t>
            </w:r>
            <w:r>
              <w:rPr>
                <w:spacing w:val="-12"/>
                <w:sz w:val="20"/>
              </w:rPr>
              <w:t> </w:t>
            </w:r>
            <w:r>
              <w:rPr>
                <w:sz w:val="20"/>
              </w:rPr>
              <w:t>стволовыми клетками крови с использованием ростовых</w:t>
            </w:r>
            <w:r>
              <w:rPr>
                <w:spacing w:val="-6"/>
                <w:sz w:val="20"/>
              </w:rPr>
              <w:t> </w:t>
            </w:r>
            <w:r>
              <w:rPr>
                <w:sz w:val="20"/>
              </w:rPr>
              <w:t>факторов,</w:t>
            </w:r>
            <w:r>
              <w:rPr>
                <w:spacing w:val="-5"/>
                <w:sz w:val="20"/>
              </w:rPr>
              <w:t> </w:t>
            </w:r>
            <w:r>
              <w:rPr>
                <w:sz w:val="20"/>
              </w:rPr>
              <w:t>антибактериальных, противогрибковых, противовирусных лекарственных</w:t>
            </w:r>
            <w:r>
              <w:rPr>
                <w:spacing w:val="-13"/>
                <w:sz w:val="20"/>
              </w:rPr>
              <w:t> </w:t>
            </w:r>
            <w:r>
              <w:rPr>
                <w:sz w:val="20"/>
              </w:rPr>
              <w:t>препаратов,</w:t>
            </w:r>
            <w:r>
              <w:rPr>
                <w:spacing w:val="-12"/>
                <w:sz w:val="20"/>
              </w:rPr>
              <w:t> </w:t>
            </w:r>
            <w:r>
              <w:rPr>
                <w:sz w:val="20"/>
              </w:rPr>
              <w:t>компонентов </w:t>
            </w:r>
            <w:r>
              <w:rPr>
                <w:spacing w:val="-2"/>
                <w:sz w:val="20"/>
              </w:rPr>
              <w:t>крови</w:t>
            </w:r>
          </w:p>
        </w:tc>
        <w:tc>
          <w:tcPr>
            <w:tcW w:w="1083"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29.</w:t>
            </w:r>
          </w:p>
        </w:tc>
        <w:tc>
          <w:tcPr>
            <w:tcW w:w="2886" w:type="dxa"/>
            <w:vMerge w:val="restart"/>
          </w:tcPr>
          <w:p>
            <w:pPr>
              <w:pStyle w:val="TableParagraph"/>
              <w:spacing w:line="249" w:lineRule="auto" w:before="60"/>
              <w:ind w:left="155" w:right="148"/>
              <w:rPr>
                <w:sz w:val="20"/>
              </w:rPr>
            </w:pPr>
            <w:r>
              <w:rPr>
                <w:spacing w:val="-2"/>
                <w:sz w:val="20"/>
              </w:rPr>
              <w:t>Эндопротезирование, реэндопротезирование </w:t>
            </w:r>
            <w:r>
              <w:rPr>
                <w:sz w:val="20"/>
              </w:rPr>
              <w:t>сустава, реконструкция кости с применением эндопротезов онкологических раздвижных и нераздвижных при опухолевых заболеваниях, поражающих опорно- двигательный</w:t>
            </w:r>
            <w:r>
              <w:rPr>
                <w:spacing w:val="-13"/>
                <w:sz w:val="20"/>
              </w:rPr>
              <w:t> </w:t>
            </w:r>
            <w:r>
              <w:rPr>
                <w:sz w:val="20"/>
              </w:rPr>
              <w:t>аппарат</w:t>
            </w:r>
            <w:r>
              <w:rPr>
                <w:spacing w:val="-12"/>
                <w:sz w:val="20"/>
              </w:rPr>
              <w:t> </w:t>
            </w:r>
            <w:r>
              <w:rPr>
                <w:sz w:val="20"/>
              </w:rPr>
              <w:t>у</w:t>
            </w:r>
            <w:r>
              <w:rPr>
                <w:spacing w:val="-13"/>
                <w:sz w:val="20"/>
              </w:rPr>
              <w:t> </w:t>
            </w:r>
            <w:r>
              <w:rPr>
                <w:sz w:val="20"/>
              </w:rPr>
              <w:t>детей</w:t>
            </w:r>
          </w:p>
        </w:tc>
        <w:tc>
          <w:tcPr>
            <w:tcW w:w="1990" w:type="dxa"/>
          </w:tcPr>
          <w:p>
            <w:pPr>
              <w:pStyle w:val="TableParagraph"/>
              <w:spacing w:line="249" w:lineRule="auto" w:before="60"/>
              <w:ind w:left="762" w:hanging="611"/>
              <w:rPr>
                <w:sz w:val="20"/>
              </w:rPr>
            </w:pPr>
            <w:r>
              <w:rPr>
                <w:sz w:val="20"/>
              </w:rPr>
              <w:t>C40.0,</w:t>
            </w:r>
            <w:r>
              <w:rPr>
                <w:spacing w:val="-13"/>
                <w:sz w:val="20"/>
              </w:rPr>
              <w:t> </w:t>
            </w:r>
            <w:r>
              <w:rPr>
                <w:sz w:val="20"/>
              </w:rPr>
              <w:t>C40.2,</w:t>
            </w:r>
            <w:r>
              <w:rPr>
                <w:spacing w:val="-12"/>
                <w:sz w:val="20"/>
              </w:rPr>
              <w:t> </w:t>
            </w:r>
            <w:r>
              <w:rPr>
                <w:sz w:val="20"/>
              </w:rPr>
              <w:t>C41.2, </w:t>
            </w:r>
            <w:r>
              <w:rPr>
                <w:spacing w:val="-2"/>
                <w:sz w:val="20"/>
              </w:rPr>
              <w:t>C41.4</w:t>
            </w:r>
          </w:p>
        </w:tc>
        <w:tc>
          <w:tcPr>
            <w:tcW w:w="3339" w:type="dxa"/>
            <w:vMerge w:val="restart"/>
          </w:tcPr>
          <w:p>
            <w:pPr>
              <w:pStyle w:val="TableParagraph"/>
              <w:spacing w:line="249" w:lineRule="auto" w:before="60"/>
              <w:ind w:left="140"/>
              <w:rPr>
                <w:sz w:val="20"/>
              </w:rPr>
            </w:pPr>
            <w:r>
              <w:rPr>
                <w:sz w:val="20"/>
              </w:rPr>
              <w:t>опухоли опорно-двигательного аппарата у детей. Остеосаркома, опухоли</w:t>
            </w:r>
            <w:r>
              <w:rPr>
                <w:spacing w:val="-13"/>
                <w:sz w:val="20"/>
              </w:rPr>
              <w:t> </w:t>
            </w:r>
            <w:r>
              <w:rPr>
                <w:sz w:val="20"/>
              </w:rPr>
              <w:t>семейства</w:t>
            </w:r>
            <w:r>
              <w:rPr>
                <w:spacing w:val="-12"/>
                <w:sz w:val="20"/>
              </w:rPr>
              <w:t> </w:t>
            </w:r>
            <w:r>
              <w:rPr>
                <w:sz w:val="20"/>
              </w:rPr>
              <w:t>саркомы</w:t>
            </w:r>
            <w:r>
              <w:rPr>
                <w:spacing w:val="-13"/>
                <w:sz w:val="20"/>
              </w:rPr>
              <w:t> </w:t>
            </w:r>
            <w:r>
              <w:rPr>
                <w:sz w:val="20"/>
              </w:rPr>
              <w:t>Юинга, хондросаркома, злокачественная фиброзная гистиоцитома, саркомы мягких тканей</w:t>
            </w:r>
          </w:p>
        </w:tc>
        <w:tc>
          <w:tcPr>
            <w:tcW w:w="1471" w:type="dxa"/>
          </w:tcPr>
          <w:p>
            <w:pPr>
              <w:pStyle w:val="TableParagraph"/>
              <w:spacing w:line="249" w:lineRule="auto" w:before="60"/>
              <w:ind w:left="109"/>
              <w:rPr>
                <w:sz w:val="20"/>
              </w:rPr>
            </w:pPr>
            <w:r>
              <w:rPr>
                <w:spacing w:val="-2"/>
                <w:sz w:val="20"/>
              </w:rPr>
              <w:t>хирургическое лечение</w:t>
            </w:r>
          </w:p>
        </w:tc>
        <w:tc>
          <w:tcPr>
            <w:tcW w:w="3918" w:type="dxa"/>
          </w:tcPr>
          <w:p>
            <w:pPr>
              <w:pStyle w:val="TableParagraph"/>
              <w:spacing w:line="249" w:lineRule="auto" w:before="60"/>
              <w:ind w:left="112" w:right="326"/>
              <w:rPr>
                <w:sz w:val="20"/>
              </w:rPr>
            </w:pPr>
            <w:r>
              <w:rPr>
                <w:sz w:val="20"/>
              </w:rPr>
              <w:t>резекция большой берцовой кости сегментарная</w:t>
            </w:r>
            <w:r>
              <w:rPr>
                <w:spacing w:val="-13"/>
                <w:sz w:val="20"/>
              </w:rPr>
              <w:t> </w:t>
            </w:r>
            <w:r>
              <w:rPr>
                <w:sz w:val="20"/>
              </w:rPr>
              <w:t>с</w:t>
            </w:r>
            <w:r>
              <w:rPr>
                <w:spacing w:val="-12"/>
                <w:sz w:val="20"/>
              </w:rPr>
              <w:t> </w:t>
            </w:r>
            <w:r>
              <w:rPr>
                <w:sz w:val="20"/>
              </w:rPr>
              <w:t>эндопротезированием</w:t>
            </w:r>
          </w:p>
        </w:tc>
        <w:tc>
          <w:tcPr>
            <w:tcW w:w="1083" w:type="dxa"/>
          </w:tcPr>
          <w:p>
            <w:pPr>
              <w:pStyle w:val="TableParagraph"/>
              <w:spacing w:before="60"/>
              <w:ind w:left="337"/>
              <w:rPr>
                <w:sz w:val="20"/>
              </w:rPr>
            </w:pPr>
            <w:r>
              <w:rPr>
                <w:spacing w:val="-2"/>
                <w:sz w:val="20"/>
              </w:rPr>
              <w:t>1989764</w:t>
            </w:r>
          </w:p>
        </w:tc>
      </w:tr>
      <w:tr>
        <w:trPr>
          <w:trHeight w:val="600" w:hRule="atLeast"/>
        </w:trPr>
        <w:tc>
          <w:tcPr>
            <w:tcW w:w="458" w:type="dxa"/>
          </w:tcPr>
          <w:p>
            <w:pPr>
              <w:pStyle w:val="TableParagraph"/>
              <w:rPr>
                <w:sz w:val="18"/>
              </w:rPr>
            </w:pPr>
          </w:p>
        </w:tc>
        <w:tc>
          <w:tcPr>
            <w:tcW w:w="2886" w:type="dxa"/>
            <w:vMerge/>
            <w:tcBorders>
              <w:top w:val="nil"/>
            </w:tcBorders>
          </w:tcPr>
          <w:p>
            <w:pPr>
              <w:rPr>
                <w:sz w:val="2"/>
                <w:szCs w:val="2"/>
              </w:rPr>
            </w:pPr>
          </w:p>
        </w:tc>
        <w:tc>
          <w:tcPr>
            <w:tcW w:w="1990" w:type="dxa"/>
          </w:tcPr>
          <w:p>
            <w:pPr>
              <w:pStyle w:val="TableParagraph"/>
              <w:rPr>
                <w:sz w:val="18"/>
              </w:rPr>
            </w:pPr>
          </w:p>
        </w:tc>
        <w:tc>
          <w:tcPr>
            <w:tcW w:w="3339" w:type="dxa"/>
            <w:vMerge/>
            <w:tcBorders>
              <w:top w:val="nil"/>
            </w:tcBorders>
          </w:tcPr>
          <w:p>
            <w:pPr>
              <w:rPr>
                <w:sz w:val="2"/>
                <w:szCs w:val="2"/>
              </w:rPr>
            </w:pPr>
          </w:p>
        </w:tc>
        <w:tc>
          <w:tcPr>
            <w:tcW w:w="1471" w:type="dxa"/>
          </w:tcPr>
          <w:p>
            <w:pPr>
              <w:pStyle w:val="TableParagraph"/>
              <w:rPr>
                <w:sz w:val="18"/>
              </w:rPr>
            </w:pPr>
          </w:p>
        </w:tc>
        <w:tc>
          <w:tcPr>
            <w:tcW w:w="3918" w:type="dxa"/>
          </w:tcPr>
          <w:p>
            <w:pPr>
              <w:pStyle w:val="TableParagraph"/>
              <w:spacing w:line="249" w:lineRule="auto" w:before="60"/>
              <w:ind w:left="112" w:right="326"/>
              <w:rPr>
                <w:sz w:val="20"/>
              </w:rPr>
            </w:pPr>
            <w:r>
              <w:rPr>
                <w:sz w:val="20"/>
              </w:rPr>
              <w:t>резекция</w:t>
            </w:r>
            <w:r>
              <w:rPr>
                <w:spacing w:val="-11"/>
                <w:sz w:val="20"/>
              </w:rPr>
              <w:t> </w:t>
            </w:r>
            <w:r>
              <w:rPr>
                <w:sz w:val="20"/>
              </w:rPr>
              <w:t>костей</w:t>
            </w:r>
            <w:r>
              <w:rPr>
                <w:spacing w:val="-11"/>
                <w:sz w:val="20"/>
              </w:rPr>
              <w:t> </w:t>
            </w:r>
            <w:r>
              <w:rPr>
                <w:sz w:val="20"/>
              </w:rPr>
              <w:t>голени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083" w:type="dxa"/>
          </w:tcPr>
          <w:p>
            <w:pPr>
              <w:pStyle w:val="TableParagraph"/>
              <w:rPr>
                <w:sz w:val="18"/>
              </w:rPr>
            </w:pPr>
          </w:p>
        </w:tc>
      </w:tr>
      <w:tr>
        <w:trPr>
          <w:trHeight w:val="600" w:hRule="atLeast"/>
        </w:trPr>
        <w:tc>
          <w:tcPr>
            <w:tcW w:w="458" w:type="dxa"/>
          </w:tcPr>
          <w:p>
            <w:pPr>
              <w:pStyle w:val="TableParagraph"/>
              <w:rPr>
                <w:sz w:val="18"/>
              </w:rPr>
            </w:pPr>
          </w:p>
        </w:tc>
        <w:tc>
          <w:tcPr>
            <w:tcW w:w="2886" w:type="dxa"/>
            <w:vMerge/>
            <w:tcBorders>
              <w:top w:val="nil"/>
            </w:tcBorders>
          </w:tcPr>
          <w:p>
            <w:pPr>
              <w:rPr>
                <w:sz w:val="2"/>
                <w:szCs w:val="2"/>
              </w:rPr>
            </w:pPr>
          </w:p>
        </w:tc>
        <w:tc>
          <w:tcPr>
            <w:tcW w:w="1990" w:type="dxa"/>
          </w:tcPr>
          <w:p>
            <w:pPr>
              <w:pStyle w:val="TableParagraph"/>
              <w:rPr>
                <w:sz w:val="18"/>
              </w:rPr>
            </w:pPr>
          </w:p>
        </w:tc>
        <w:tc>
          <w:tcPr>
            <w:tcW w:w="3339" w:type="dxa"/>
            <w:vMerge/>
            <w:tcBorders>
              <w:top w:val="nil"/>
            </w:tcBorders>
          </w:tcPr>
          <w:p>
            <w:pPr>
              <w:rPr>
                <w:sz w:val="2"/>
                <w:szCs w:val="2"/>
              </w:rPr>
            </w:pPr>
          </w:p>
        </w:tc>
        <w:tc>
          <w:tcPr>
            <w:tcW w:w="1471" w:type="dxa"/>
          </w:tcPr>
          <w:p>
            <w:pPr>
              <w:pStyle w:val="TableParagraph"/>
              <w:rPr>
                <w:sz w:val="18"/>
              </w:rPr>
            </w:pPr>
          </w:p>
        </w:tc>
        <w:tc>
          <w:tcPr>
            <w:tcW w:w="3918" w:type="dxa"/>
          </w:tcPr>
          <w:p>
            <w:pPr>
              <w:pStyle w:val="TableParagraph"/>
              <w:spacing w:line="249" w:lineRule="auto" w:before="60"/>
              <w:ind w:left="112" w:right="337"/>
              <w:rPr>
                <w:sz w:val="20"/>
              </w:rPr>
            </w:pPr>
            <w:r>
              <w:rPr>
                <w:sz w:val="20"/>
              </w:rPr>
              <w:t>резекция</w:t>
            </w:r>
            <w:r>
              <w:rPr>
                <w:spacing w:val="-13"/>
                <w:sz w:val="20"/>
              </w:rPr>
              <w:t> </w:t>
            </w:r>
            <w:r>
              <w:rPr>
                <w:sz w:val="20"/>
              </w:rPr>
              <w:t>бедренной</w:t>
            </w:r>
            <w:r>
              <w:rPr>
                <w:spacing w:val="-12"/>
                <w:sz w:val="20"/>
              </w:rPr>
              <w:t> </w:t>
            </w:r>
            <w:r>
              <w:rPr>
                <w:sz w:val="20"/>
              </w:rPr>
              <w:t>кости</w:t>
            </w:r>
            <w:r>
              <w:rPr>
                <w:spacing w:val="-13"/>
                <w:sz w:val="20"/>
              </w:rPr>
              <w:t> </w:t>
            </w:r>
            <w:r>
              <w:rPr>
                <w:sz w:val="20"/>
              </w:rPr>
              <w:t>сегментарная с эндопротезированием</w:t>
            </w:r>
          </w:p>
        </w:tc>
        <w:tc>
          <w:tcPr>
            <w:tcW w:w="1083" w:type="dxa"/>
          </w:tcPr>
          <w:p>
            <w:pPr>
              <w:pStyle w:val="TableParagraph"/>
              <w:rPr>
                <w:sz w:val="18"/>
              </w:rPr>
            </w:pPr>
          </w:p>
        </w:tc>
      </w:tr>
      <w:tr>
        <w:trPr>
          <w:trHeight w:val="600" w:hRule="atLeast"/>
        </w:trPr>
        <w:tc>
          <w:tcPr>
            <w:tcW w:w="458" w:type="dxa"/>
          </w:tcPr>
          <w:p>
            <w:pPr>
              <w:pStyle w:val="TableParagraph"/>
              <w:rPr>
                <w:sz w:val="18"/>
              </w:rPr>
            </w:pPr>
          </w:p>
        </w:tc>
        <w:tc>
          <w:tcPr>
            <w:tcW w:w="2886" w:type="dxa"/>
            <w:vMerge/>
            <w:tcBorders>
              <w:top w:val="nil"/>
            </w:tcBorders>
          </w:tcPr>
          <w:p>
            <w:pPr>
              <w:rPr>
                <w:sz w:val="2"/>
                <w:szCs w:val="2"/>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49" w:lineRule="auto" w:before="60"/>
              <w:ind w:left="112" w:right="326"/>
              <w:rPr>
                <w:sz w:val="20"/>
              </w:rPr>
            </w:pPr>
            <w:r>
              <w:rPr>
                <w:sz w:val="20"/>
              </w:rPr>
              <w:t>резекция</w:t>
            </w:r>
            <w:r>
              <w:rPr>
                <w:spacing w:val="-11"/>
                <w:sz w:val="20"/>
              </w:rPr>
              <w:t> </w:t>
            </w:r>
            <w:r>
              <w:rPr>
                <w:sz w:val="20"/>
              </w:rPr>
              <w:t>плечевой</w:t>
            </w:r>
            <w:r>
              <w:rPr>
                <w:spacing w:val="-11"/>
                <w:sz w:val="20"/>
              </w:rPr>
              <w:t> </w:t>
            </w:r>
            <w:r>
              <w:rPr>
                <w:sz w:val="20"/>
              </w:rPr>
              <w:t>кости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083" w:type="dxa"/>
          </w:tcPr>
          <w:p>
            <w:pPr>
              <w:pStyle w:val="TableParagraph"/>
              <w:rPr>
                <w:sz w:val="18"/>
              </w:rPr>
            </w:pPr>
          </w:p>
        </w:tc>
      </w:tr>
      <w:tr>
        <w:trPr>
          <w:trHeight w:val="600" w:hRule="atLeast"/>
        </w:trPr>
        <w:tc>
          <w:tcPr>
            <w:tcW w:w="458" w:type="dxa"/>
          </w:tcPr>
          <w:p>
            <w:pPr>
              <w:pStyle w:val="TableParagraph"/>
              <w:rPr>
                <w:sz w:val="18"/>
              </w:rPr>
            </w:pPr>
          </w:p>
        </w:tc>
        <w:tc>
          <w:tcPr>
            <w:tcW w:w="2886" w:type="dxa"/>
          </w:tcPr>
          <w:p>
            <w:pPr>
              <w:pStyle w:val="TableParagraph"/>
              <w:rPr>
                <w:sz w:val="18"/>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52" w:lineRule="auto" w:before="60"/>
              <w:ind w:left="112" w:right="326"/>
              <w:rPr>
                <w:sz w:val="20"/>
              </w:rPr>
            </w:pPr>
            <w:r>
              <w:rPr>
                <w:sz w:val="20"/>
              </w:rPr>
              <w:t>резекция</w:t>
            </w:r>
            <w:r>
              <w:rPr>
                <w:spacing w:val="-13"/>
                <w:sz w:val="20"/>
              </w:rPr>
              <w:t> </w:t>
            </w:r>
            <w:r>
              <w:rPr>
                <w:sz w:val="20"/>
              </w:rPr>
              <w:t>костей</w:t>
            </w:r>
            <w:r>
              <w:rPr>
                <w:spacing w:val="-12"/>
                <w:sz w:val="20"/>
              </w:rPr>
              <w:t> </w:t>
            </w:r>
            <w:r>
              <w:rPr>
                <w:sz w:val="20"/>
              </w:rPr>
              <w:t>предплечья</w:t>
            </w:r>
            <w:r>
              <w:rPr>
                <w:spacing w:val="-13"/>
                <w:sz w:val="20"/>
              </w:rPr>
              <w:t> </w:t>
            </w:r>
            <w:r>
              <w:rPr>
                <w:sz w:val="20"/>
              </w:rPr>
              <w:t>сегмен- тарная с эндопротезированием</w:t>
            </w:r>
          </w:p>
        </w:tc>
        <w:tc>
          <w:tcPr>
            <w:tcW w:w="1083" w:type="dxa"/>
          </w:tcPr>
          <w:p>
            <w:pPr>
              <w:pStyle w:val="TableParagraph"/>
              <w:rPr>
                <w:sz w:val="18"/>
              </w:rPr>
            </w:pPr>
          </w:p>
        </w:tc>
      </w:tr>
      <w:tr>
        <w:trPr>
          <w:trHeight w:val="599" w:hRule="atLeast"/>
        </w:trPr>
        <w:tc>
          <w:tcPr>
            <w:tcW w:w="458" w:type="dxa"/>
          </w:tcPr>
          <w:p>
            <w:pPr>
              <w:pStyle w:val="TableParagraph"/>
              <w:rPr>
                <w:sz w:val="18"/>
              </w:rPr>
            </w:pPr>
          </w:p>
        </w:tc>
        <w:tc>
          <w:tcPr>
            <w:tcW w:w="2886" w:type="dxa"/>
          </w:tcPr>
          <w:p>
            <w:pPr>
              <w:pStyle w:val="TableParagraph"/>
              <w:rPr>
                <w:sz w:val="18"/>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49" w:lineRule="auto" w:before="60"/>
              <w:ind w:left="112" w:right="326"/>
              <w:rPr>
                <w:sz w:val="20"/>
              </w:rPr>
            </w:pPr>
            <w:r>
              <w:rPr>
                <w:sz w:val="20"/>
              </w:rPr>
              <w:t>резекция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083" w:type="dxa"/>
          </w:tcPr>
          <w:p>
            <w:pPr>
              <w:pStyle w:val="TableParagraph"/>
              <w:rPr>
                <w:sz w:val="18"/>
              </w:rPr>
            </w:pPr>
          </w:p>
        </w:tc>
      </w:tr>
      <w:tr>
        <w:trPr>
          <w:trHeight w:val="530" w:hRule="atLeast"/>
        </w:trPr>
        <w:tc>
          <w:tcPr>
            <w:tcW w:w="458" w:type="dxa"/>
          </w:tcPr>
          <w:p>
            <w:pPr>
              <w:pStyle w:val="TableParagraph"/>
              <w:rPr>
                <w:sz w:val="18"/>
              </w:rPr>
            </w:pPr>
          </w:p>
        </w:tc>
        <w:tc>
          <w:tcPr>
            <w:tcW w:w="2886" w:type="dxa"/>
          </w:tcPr>
          <w:p>
            <w:pPr>
              <w:pStyle w:val="TableParagraph"/>
              <w:rPr>
                <w:sz w:val="18"/>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40" w:lineRule="atLeast" w:before="30"/>
              <w:ind w:left="112" w:right="326"/>
              <w:rPr>
                <w:sz w:val="20"/>
              </w:rPr>
            </w:pPr>
            <w:r>
              <w:rPr>
                <w:sz w:val="20"/>
              </w:rPr>
              <w:t>экстирпация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08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28"/>
        <w:gridCol w:w="2113"/>
        <w:gridCol w:w="3292"/>
        <w:gridCol w:w="1454"/>
        <w:gridCol w:w="3909"/>
        <w:gridCol w:w="1093"/>
      </w:tblGrid>
      <w:tr>
        <w:trPr>
          <w:trHeight w:val="53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ind w:left="111" w:right="329"/>
              <w:rPr>
                <w:sz w:val="20"/>
              </w:rPr>
            </w:pPr>
            <w:r>
              <w:rPr>
                <w:sz w:val="20"/>
              </w:rPr>
              <w:t>экстирпация бедренной кости с </w:t>
            </w:r>
            <w:r>
              <w:rPr>
                <w:spacing w:val="-2"/>
                <w:sz w:val="20"/>
              </w:rPr>
              <w:t>тотальным эндопротезированием</w:t>
            </w:r>
          </w:p>
        </w:tc>
        <w:tc>
          <w:tcPr>
            <w:tcW w:w="1093" w:type="dxa"/>
          </w:tcPr>
          <w:p>
            <w:pPr>
              <w:pStyle w:val="TableParagraph"/>
              <w:rPr>
                <w:sz w:val="18"/>
              </w:rPr>
            </w:pPr>
          </w:p>
        </w:tc>
      </w:tr>
      <w:tr>
        <w:trPr>
          <w:trHeight w:val="36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before="60"/>
              <w:ind w:left="111"/>
              <w:rPr>
                <w:sz w:val="20"/>
              </w:rPr>
            </w:pPr>
            <w:r>
              <w:rPr>
                <w:spacing w:val="-2"/>
                <w:sz w:val="20"/>
              </w:rPr>
              <w:t>реэндопротезирование</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3"/>
                <w:sz w:val="20"/>
              </w:rPr>
              <w:t> </w:t>
            </w:r>
            <w:r>
              <w:rPr>
                <w:sz w:val="20"/>
              </w:rPr>
              <w:t>грудной</w:t>
            </w:r>
            <w:r>
              <w:rPr>
                <w:spacing w:val="-12"/>
                <w:sz w:val="20"/>
              </w:rPr>
              <w:t> </w:t>
            </w:r>
            <w:r>
              <w:rPr>
                <w:sz w:val="20"/>
              </w:rPr>
              <w:t>стенки</w:t>
            </w:r>
            <w:r>
              <w:rPr>
                <w:spacing w:val="-13"/>
                <w:sz w:val="20"/>
              </w:rPr>
              <w:t> </w:t>
            </w:r>
            <w:r>
              <w:rPr>
                <w:sz w:val="20"/>
              </w:rPr>
              <w:t>с </w:t>
            </w:r>
            <w:r>
              <w:rPr>
                <w:spacing w:val="-2"/>
                <w:sz w:val="20"/>
              </w:rPr>
              <w:t>эндопротезированием</w:t>
            </w:r>
          </w:p>
        </w:tc>
        <w:tc>
          <w:tcPr>
            <w:tcW w:w="1093" w:type="dxa"/>
          </w:tcPr>
          <w:p>
            <w:pPr>
              <w:pStyle w:val="TableParagraph"/>
              <w:rPr>
                <w:sz w:val="18"/>
              </w:rPr>
            </w:pPr>
          </w:p>
        </w:tc>
      </w:tr>
      <w:tr>
        <w:trPr>
          <w:trHeight w:val="84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3"/>
                <w:sz w:val="20"/>
              </w:rPr>
              <w:t> </w:t>
            </w:r>
            <w:r>
              <w:rPr>
                <w:sz w:val="20"/>
              </w:rPr>
              <w:t>костей,</w:t>
            </w:r>
            <w:r>
              <w:rPr>
                <w:spacing w:val="-12"/>
                <w:sz w:val="20"/>
              </w:rPr>
              <w:t> </w:t>
            </w:r>
            <w:r>
              <w:rPr>
                <w:sz w:val="20"/>
              </w:rPr>
              <w:t>образующих</w:t>
            </w:r>
            <w:r>
              <w:rPr>
                <w:spacing w:val="-13"/>
                <w:sz w:val="20"/>
              </w:rPr>
              <w:t> </w:t>
            </w:r>
            <w:r>
              <w:rPr>
                <w:sz w:val="20"/>
              </w:rPr>
              <w:t>коленный сустав, сегментарная с </w:t>
            </w:r>
            <w:r>
              <w:rPr>
                <w:spacing w:val="-2"/>
                <w:sz w:val="20"/>
              </w:rPr>
              <w:t>эндопротезированием</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0"/>
                <w:sz w:val="20"/>
              </w:rPr>
              <w:t> </w:t>
            </w:r>
            <w:r>
              <w:rPr>
                <w:sz w:val="20"/>
              </w:rPr>
              <w:t>костей</w:t>
            </w:r>
            <w:r>
              <w:rPr>
                <w:spacing w:val="-10"/>
                <w:sz w:val="20"/>
              </w:rPr>
              <w:t> </w:t>
            </w:r>
            <w:r>
              <w:rPr>
                <w:sz w:val="20"/>
              </w:rPr>
              <w:t>таза</w:t>
            </w:r>
            <w:r>
              <w:rPr>
                <w:spacing w:val="-9"/>
                <w:sz w:val="20"/>
              </w:rPr>
              <w:t> </w:t>
            </w:r>
            <w:r>
              <w:rPr>
                <w:sz w:val="20"/>
              </w:rPr>
              <w:t>и</w:t>
            </w:r>
            <w:r>
              <w:rPr>
                <w:spacing w:val="-10"/>
                <w:sz w:val="20"/>
              </w:rPr>
              <w:t> </w:t>
            </w:r>
            <w:r>
              <w:rPr>
                <w:sz w:val="20"/>
              </w:rPr>
              <w:t>бедренной</w:t>
            </w:r>
            <w:r>
              <w:rPr>
                <w:spacing w:val="-8"/>
                <w:sz w:val="20"/>
              </w:rPr>
              <w:t> </w:t>
            </w:r>
            <w:r>
              <w:rPr>
                <w:sz w:val="20"/>
              </w:rPr>
              <w:t>кости сегментарная с эндопротезированием</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удаление</w:t>
            </w:r>
            <w:r>
              <w:rPr>
                <w:spacing w:val="-13"/>
                <w:sz w:val="20"/>
              </w:rPr>
              <w:t> </w:t>
            </w:r>
            <w:r>
              <w:rPr>
                <w:sz w:val="20"/>
              </w:rPr>
              <w:t>тела</w:t>
            </w:r>
            <w:r>
              <w:rPr>
                <w:spacing w:val="-12"/>
                <w:sz w:val="20"/>
              </w:rPr>
              <w:t> </w:t>
            </w:r>
            <w:r>
              <w:rPr>
                <w:sz w:val="20"/>
              </w:rPr>
              <w:t>позвонка</w:t>
            </w:r>
            <w:r>
              <w:rPr>
                <w:spacing w:val="-13"/>
                <w:sz w:val="20"/>
              </w:rPr>
              <w:t> </w:t>
            </w:r>
            <w:r>
              <w:rPr>
                <w:sz w:val="20"/>
              </w:rPr>
              <w:t>с </w:t>
            </w:r>
            <w:r>
              <w:rPr>
                <w:spacing w:val="-2"/>
                <w:sz w:val="20"/>
              </w:rPr>
              <w:t>эндопротезированием</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удаление позвонка с эндопротезированием</w:t>
            </w:r>
            <w:r>
              <w:rPr>
                <w:spacing w:val="-13"/>
                <w:sz w:val="20"/>
              </w:rPr>
              <w:t> </w:t>
            </w:r>
            <w:r>
              <w:rPr>
                <w:sz w:val="20"/>
              </w:rPr>
              <w:t>и</w:t>
            </w:r>
            <w:r>
              <w:rPr>
                <w:spacing w:val="-12"/>
                <w:sz w:val="20"/>
              </w:rPr>
              <w:t> </w:t>
            </w:r>
            <w:r>
              <w:rPr>
                <w:sz w:val="20"/>
              </w:rPr>
              <w:t>фиксацией</w:t>
            </w:r>
          </w:p>
        </w:tc>
        <w:tc>
          <w:tcPr>
            <w:tcW w:w="1093" w:type="dxa"/>
          </w:tcPr>
          <w:p>
            <w:pPr>
              <w:pStyle w:val="TableParagraph"/>
              <w:rPr>
                <w:sz w:val="18"/>
              </w:rPr>
            </w:pPr>
          </w:p>
        </w:tc>
      </w:tr>
      <w:tr>
        <w:trPr>
          <w:trHeight w:val="1560" w:hRule="atLeast"/>
        </w:trPr>
        <w:tc>
          <w:tcPr>
            <w:tcW w:w="458" w:type="dxa"/>
          </w:tcPr>
          <w:p>
            <w:pPr>
              <w:pStyle w:val="TableParagraph"/>
              <w:spacing w:before="60"/>
              <w:ind w:left="50"/>
              <w:rPr>
                <w:sz w:val="20"/>
              </w:rPr>
            </w:pPr>
            <w:r>
              <w:rPr>
                <w:spacing w:val="-5"/>
                <w:sz w:val="20"/>
              </w:rPr>
              <w:t>30.</w:t>
            </w:r>
          </w:p>
        </w:tc>
        <w:tc>
          <w:tcPr>
            <w:tcW w:w="2828" w:type="dxa"/>
            <w:vMerge w:val="restart"/>
          </w:tcPr>
          <w:p>
            <w:pPr>
              <w:pStyle w:val="TableParagraph"/>
              <w:spacing w:line="249" w:lineRule="auto" w:before="60"/>
              <w:ind w:left="155" w:right="82"/>
              <w:rPr>
                <w:sz w:val="20"/>
              </w:rPr>
            </w:pPr>
            <w:r>
              <w:rPr>
                <w:spacing w:val="-2"/>
                <w:sz w:val="20"/>
              </w:rPr>
              <w:t>Эндопротезирование, реэндопротезирование </w:t>
            </w:r>
            <w:r>
              <w:rPr>
                <w:sz w:val="20"/>
              </w:rPr>
              <w:t>сустава, реконструкция кости при опухолевых заболеваниях, поражающих опорно-двигательный</w:t>
            </w:r>
            <w:r>
              <w:rPr>
                <w:spacing w:val="-13"/>
                <w:sz w:val="20"/>
              </w:rPr>
              <w:t> </w:t>
            </w:r>
            <w:r>
              <w:rPr>
                <w:sz w:val="20"/>
              </w:rPr>
              <w:t>аппарат у взрослых</w:t>
            </w:r>
          </w:p>
        </w:tc>
        <w:tc>
          <w:tcPr>
            <w:tcW w:w="2113" w:type="dxa"/>
          </w:tcPr>
          <w:p>
            <w:pPr>
              <w:pStyle w:val="TableParagraph"/>
              <w:spacing w:line="249" w:lineRule="auto" w:before="60"/>
              <w:ind w:left="210" w:hanging="125"/>
              <w:rPr>
                <w:sz w:val="20"/>
              </w:rPr>
            </w:pPr>
            <w:r>
              <w:rPr>
                <w:sz w:val="20"/>
              </w:rPr>
              <w:t>C12,</w:t>
            </w:r>
            <w:r>
              <w:rPr>
                <w:spacing w:val="-8"/>
                <w:sz w:val="20"/>
              </w:rPr>
              <w:t> </w:t>
            </w:r>
            <w:r>
              <w:rPr>
                <w:sz w:val="20"/>
              </w:rPr>
              <w:t>C13,</w:t>
            </w:r>
            <w:r>
              <w:rPr>
                <w:spacing w:val="34"/>
                <w:sz w:val="20"/>
              </w:rPr>
              <w:t> </w:t>
            </w:r>
            <w:r>
              <w:rPr>
                <w:sz w:val="20"/>
              </w:rPr>
              <w:t>C14,</w:t>
            </w:r>
            <w:r>
              <w:rPr>
                <w:spacing w:val="-8"/>
                <w:sz w:val="20"/>
              </w:rPr>
              <w:t> </w:t>
            </w:r>
            <w:r>
              <w:rPr>
                <w:sz w:val="20"/>
              </w:rPr>
              <w:t>C32.1</w:t>
            </w:r>
            <w:r>
              <w:rPr>
                <w:spacing w:val="-4"/>
                <w:sz w:val="20"/>
              </w:rPr>
              <w:t> </w:t>
            </w:r>
            <w:r>
              <w:rPr>
                <w:sz w:val="20"/>
              </w:rPr>
              <w:t>- C32.3, C32.8, C32.9,</w:t>
            </w:r>
          </w:p>
          <w:p>
            <w:pPr>
              <w:pStyle w:val="TableParagraph"/>
              <w:spacing w:before="2"/>
              <w:ind w:left="285"/>
              <w:rPr>
                <w:sz w:val="20"/>
              </w:rPr>
            </w:pPr>
            <w:r>
              <w:rPr>
                <w:sz w:val="20"/>
              </w:rPr>
              <w:t>C33,</w:t>
            </w:r>
            <w:r>
              <w:rPr>
                <w:spacing w:val="-4"/>
                <w:sz w:val="20"/>
              </w:rPr>
              <w:t> </w:t>
            </w:r>
            <w:r>
              <w:rPr>
                <w:sz w:val="20"/>
              </w:rPr>
              <w:t>C41.1,</w:t>
            </w:r>
            <w:r>
              <w:rPr>
                <w:spacing w:val="-3"/>
                <w:sz w:val="20"/>
              </w:rPr>
              <w:t> </w:t>
            </w:r>
            <w:r>
              <w:rPr>
                <w:spacing w:val="-2"/>
                <w:sz w:val="20"/>
              </w:rPr>
              <w:t>C41.2,</w:t>
            </w:r>
          </w:p>
          <w:p>
            <w:pPr>
              <w:pStyle w:val="TableParagraph"/>
              <w:spacing w:before="10"/>
              <w:ind w:left="210"/>
              <w:rPr>
                <w:sz w:val="20"/>
              </w:rPr>
            </w:pPr>
            <w:r>
              <w:rPr>
                <w:sz w:val="20"/>
              </w:rPr>
              <w:t>C43.1,</w:t>
            </w:r>
            <w:r>
              <w:rPr>
                <w:spacing w:val="-5"/>
                <w:sz w:val="20"/>
              </w:rPr>
              <w:t> </w:t>
            </w:r>
            <w:r>
              <w:rPr>
                <w:sz w:val="20"/>
              </w:rPr>
              <w:t>C43.2,</w:t>
            </w:r>
            <w:r>
              <w:rPr>
                <w:spacing w:val="-5"/>
                <w:sz w:val="20"/>
              </w:rPr>
              <w:t> </w:t>
            </w:r>
            <w:r>
              <w:rPr>
                <w:spacing w:val="-2"/>
                <w:sz w:val="20"/>
              </w:rPr>
              <w:t>C43.3,</w:t>
            </w:r>
          </w:p>
          <w:p>
            <w:pPr>
              <w:pStyle w:val="TableParagraph"/>
              <w:spacing w:line="249" w:lineRule="auto" w:before="10"/>
              <w:ind w:left="278" w:hanging="101"/>
              <w:rPr>
                <w:sz w:val="20"/>
              </w:rPr>
            </w:pPr>
            <w:r>
              <w:rPr>
                <w:sz w:val="20"/>
              </w:rPr>
              <w:t>C43.4,</w:t>
            </w:r>
            <w:r>
              <w:rPr>
                <w:spacing w:val="-13"/>
                <w:sz w:val="20"/>
              </w:rPr>
              <w:t> </w:t>
            </w:r>
            <w:r>
              <w:rPr>
                <w:sz w:val="20"/>
              </w:rPr>
              <w:t>C44.1</w:t>
            </w:r>
            <w:r>
              <w:rPr>
                <w:spacing w:val="-11"/>
                <w:sz w:val="20"/>
              </w:rPr>
              <w:t> </w:t>
            </w:r>
            <w:r>
              <w:rPr>
                <w:sz w:val="20"/>
              </w:rPr>
              <w:t>-</w:t>
            </w:r>
            <w:r>
              <w:rPr>
                <w:spacing w:val="-13"/>
                <w:sz w:val="20"/>
              </w:rPr>
              <w:t> </w:t>
            </w:r>
            <w:r>
              <w:rPr>
                <w:sz w:val="20"/>
              </w:rPr>
              <w:t>C44.4, C49.1 - C49.3, C69</w:t>
            </w:r>
          </w:p>
        </w:tc>
        <w:tc>
          <w:tcPr>
            <w:tcW w:w="3292" w:type="dxa"/>
          </w:tcPr>
          <w:p>
            <w:pPr>
              <w:pStyle w:val="TableParagraph"/>
              <w:spacing w:line="249" w:lineRule="auto" w:before="60"/>
              <w:ind w:left="75" w:right="758"/>
              <w:rPr>
                <w:sz w:val="20"/>
              </w:rPr>
            </w:pPr>
            <w:r>
              <w:rPr>
                <w:sz w:val="20"/>
              </w:rPr>
              <w:t>опухоли</w:t>
            </w:r>
            <w:r>
              <w:rPr>
                <w:spacing w:val="-13"/>
                <w:sz w:val="20"/>
              </w:rPr>
              <w:t> </w:t>
            </w:r>
            <w:r>
              <w:rPr>
                <w:sz w:val="20"/>
              </w:rPr>
              <w:t>черепно-челюстной </w:t>
            </w:r>
            <w:r>
              <w:rPr>
                <w:spacing w:val="-2"/>
                <w:sz w:val="20"/>
              </w:rPr>
              <w:t>локализации</w:t>
            </w:r>
          </w:p>
        </w:tc>
        <w:tc>
          <w:tcPr>
            <w:tcW w:w="1454" w:type="dxa"/>
          </w:tcPr>
          <w:p>
            <w:pPr>
              <w:pStyle w:val="TableParagraph"/>
              <w:spacing w:line="249" w:lineRule="auto" w:before="60"/>
              <w:ind w:left="91"/>
              <w:rPr>
                <w:sz w:val="20"/>
              </w:rPr>
            </w:pPr>
            <w:r>
              <w:rPr>
                <w:spacing w:val="-2"/>
                <w:sz w:val="20"/>
              </w:rPr>
              <w:t>хирургическое лечение</w:t>
            </w:r>
          </w:p>
        </w:tc>
        <w:tc>
          <w:tcPr>
            <w:tcW w:w="3909" w:type="dxa"/>
          </w:tcPr>
          <w:p>
            <w:pPr>
              <w:pStyle w:val="TableParagraph"/>
              <w:spacing w:line="249" w:lineRule="auto" w:before="60"/>
              <w:ind w:left="111" w:right="329"/>
              <w:rPr>
                <w:sz w:val="20"/>
              </w:rPr>
            </w:pPr>
            <w:r>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w:t>
            </w:r>
            <w:r>
              <w:rPr>
                <w:spacing w:val="-13"/>
                <w:sz w:val="20"/>
              </w:rPr>
              <w:t> </w:t>
            </w:r>
            <w:r>
              <w:rPr>
                <w:sz w:val="20"/>
              </w:rPr>
              <w:t>модели</w:t>
            </w:r>
            <w:r>
              <w:rPr>
                <w:spacing w:val="-12"/>
                <w:sz w:val="20"/>
              </w:rPr>
              <w:t> </w:t>
            </w:r>
            <w:r>
              <w:rPr>
                <w:sz w:val="20"/>
              </w:rPr>
              <w:t>и</w:t>
            </w:r>
            <w:r>
              <w:rPr>
                <w:spacing w:val="-13"/>
                <w:sz w:val="20"/>
              </w:rPr>
              <w:t> </w:t>
            </w:r>
            <w:r>
              <w:rPr>
                <w:sz w:val="20"/>
              </w:rPr>
              <w:t>пресс- </w:t>
            </w:r>
            <w:r>
              <w:rPr>
                <w:spacing w:val="-2"/>
                <w:sz w:val="20"/>
              </w:rPr>
              <w:t>формы</w:t>
            </w:r>
          </w:p>
        </w:tc>
        <w:tc>
          <w:tcPr>
            <w:tcW w:w="1093" w:type="dxa"/>
          </w:tcPr>
          <w:p>
            <w:pPr>
              <w:pStyle w:val="TableParagraph"/>
              <w:spacing w:before="60"/>
              <w:ind w:left="345"/>
              <w:rPr>
                <w:sz w:val="20"/>
              </w:rPr>
            </w:pPr>
            <w:r>
              <w:rPr>
                <w:spacing w:val="-2"/>
                <w:sz w:val="20"/>
              </w:rPr>
              <w:t>1067108</w:t>
            </w:r>
          </w:p>
        </w:tc>
      </w:tr>
      <w:tr>
        <w:trPr>
          <w:trHeight w:val="600" w:hRule="atLeast"/>
        </w:trPr>
        <w:tc>
          <w:tcPr>
            <w:tcW w:w="458" w:type="dxa"/>
          </w:tcPr>
          <w:p>
            <w:pPr>
              <w:pStyle w:val="TableParagraph"/>
              <w:rPr>
                <w:sz w:val="18"/>
              </w:rPr>
            </w:pPr>
          </w:p>
        </w:tc>
        <w:tc>
          <w:tcPr>
            <w:tcW w:w="2828" w:type="dxa"/>
            <w:vMerge/>
            <w:tcBorders>
              <w:top w:val="nil"/>
            </w:tcBorders>
          </w:tcPr>
          <w:p>
            <w:pPr>
              <w:rPr>
                <w:sz w:val="2"/>
                <w:szCs w:val="2"/>
              </w:rPr>
            </w:pPr>
          </w:p>
        </w:tc>
        <w:tc>
          <w:tcPr>
            <w:tcW w:w="2113" w:type="dxa"/>
            <w:vMerge w:val="restart"/>
          </w:tcPr>
          <w:p>
            <w:pPr>
              <w:pStyle w:val="TableParagraph"/>
              <w:spacing w:before="60"/>
              <w:ind w:left="210"/>
              <w:rPr>
                <w:sz w:val="20"/>
              </w:rPr>
            </w:pPr>
            <w:r>
              <w:rPr>
                <w:sz w:val="20"/>
              </w:rPr>
              <w:t>C40.0,</w:t>
            </w:r>
            <w:r>
              <w:rPr>
                <w:spacing w:val="-5"/>
                <w:sz w:val="20"/>
              </w:rPr>
              <w:t> </w:t>
            </w:r>
            <w:r>
              <w:rPr>
                <w:sz w:val="20"/>
              </w:rPr>
              <w:t>C40.1,</w:t>
            </w:r>
            <w:r>
              <w:rPr>
                <w:spacing w:val="-5"/>
                <w:sz w:val="20"/>
              </w:rPr>
              <w:t> </w:t>
            </w:r>
            <w:r>
              <w:rPr>
                <w:spacing w:val="-2"/>
                <w:sz w:val="20"/>
              </w:rPr>
              <w:t>C40.2,</w:t>
            </w:r>
          </w:p>
          <w:p>
            <w:pPr>
              <w:pStyle w:val="TableParagraph"/>
              <w:spacing w:before="11"/>
              <w:ind w:left="210"/>
              <w:rPr>
                <w:sz w:val="20"/>
              </w:rPr>
            </w:pPr>
            <w:r>
              <w:rPr>
                <w:sz w:val="20"/>
              </w:rPr>
              <w:t>C40.3,</w:t>
            </w:r>
            <w:r>
              <w:rPr>
                <w:spacing w:val="-5"/>
                <w:sz w:val="20"/>
              </w:rPr>
              <w:t> </w:t>
            </w:r>
            <w:r>
              <w:rPr>
                <w:sz w:val="20"/>
              </w:rPr>
              <w:t>C40.8,</w:t>
            </w:r>
            <w:r>
              <w:rPr>
                <w:spacing w:val="-5"/>
                <w:sz w:val="20"/>
              </w:rPr>
              <w:t> </w:t>
            </w:r>
            <w:r>
              <w:rPr>
                <w:spacing w:val="-2"/>
                <w:sz w:val="20"/>
              </w:rPr>
              <w:t>C40.9,</w:t>
            </w:r>
          </w:p>
          <w:p>
            <w:pPr>
              <w:pStyle w:val="TableParagraph"/>
              <w:spacing w:line="249" w:lineRule="auto" w:before="10"/>
              <w:ind w:left="237" w:hanging="27"/>
              <w:rPr>
                <w:sz w:val="20"/>
              </w:rPr>
            </w:pPr>
            <w:r>
              <w:rPr>
                <w:sz w:val="20"/>
              </w:rPr>
              <w:t>C41.2,</w:t>
            </w:r>
            <w:r>
              <w:rPr>
                <w:spacing w:val="-13"/>
                <w:sz w:val="20"/>
              </w:rPr>
              <w:t> </w:t>
            </w:r>
            <w:r>
              <w:rPr>
                <w:sz w:val="20"/>
              </w:rPr>
              <w:t>C41.3,</w:t>
            </w:r>
            <w:r>
              <w:rPr>
                <w:spacing w:val="-12"/>
                <w:sz w:val="20"/>
              </w:rPr>
              <w:t> </w:t>
            </w:r>
            <w:r>
              <w:rPr>
                <w:sz w:val="20"/>
              </w:rPr>
              <w:t>C41.4, C41.8,</w:t>
            </w:r>
            <w:r>
              <w:rPr>
                <w:spacing w:val="-5"/>
                <w:sz w:val="20"/>
              </w:rPr>
              <w:t> </w:t>
            </w:r>
            <w:r>
              <w:rPr>
                <w:sz w:val="20"/>
              </w:rPr>
              <w:t>C41.9,</w:t>
            </w:r>
            <w:r>
              <w:rPr>
                <w:spacing w:val="-5"/>
                <w:sz w:val="20"/>
              </w:rPr>
              <w:t> </w:t>
            </w:r>
            <w:r>
              <w:rPr>
                <w:spacing w:val="-2"/>
                <w:sz w:val="20"/>
              </w:rPr>
              <w:t>C79.5</w:t>
            </w:r>
          </w:p>
        </w:tc>
        <w:tc>
          <w:tcPr>
            <w:tcW w:w="3292" w:type="dxa"/>
            <w:vMerge w:val="restart"/>
          </w:tcPr>
          <w:p>
            <w:pPr>
              <w:pStyle w:val="TableParagraph"/>
              <w:spacing w:line="249" w:lineRule="auto" w:before="60"/>
              <w:ind w:left="75" w:right="85"/>
              <w:rPr>
                <w:sz w:val="20"/>
              </w:rPr>
            </w:pPr>
            <w:r>
              <w:rPr>
                <w:sz w:val="20"/>
              </w:rPr>
              <w:t>первичные</w:t>
            </w:r>
            <w:r>
              <w:rPr>
                <w:spacing w:val="-9"/>
                <w:sz w:val="20"/>
              </w:rPr>
              <w:t> </w:t>
            </w:r>
            <w:r>
              <w:rPr>
                <w:sz w:val="20"/>
              </w:rPr>
              <w:t>опухоли</w:t>
            </w:r>
            <w:r>
              <w:rPr>
                <w:spacing w:val="-10"/>
                <w:sz w:val="20"/>
              </w:rPr>
              <w:t> </w:t>
            </w:r>
            <w:r>
              <w:rPr>
                <w:sz w:val="20"/>
              </w:rPr>
              <w:t>длинных</w:t>
            </w:r>
            <w:r>
              <w:rPr>
                <w:spacing w:val="-10"/>
                <w:sz w:val="20"/>
              </w:rPr>
              <w:t> </w:t>
            </w:r>
            <w:r>
              <w:rPr>
                <w:sz w:val="20"/>
              </w:rPr>
              <w:t>костей Iа-б, IIа-б, IVа, IVб стадии у взрослых.</w:t>
            </w:r>
            <w:r>
              <w:rPr>
                <w:spacing w:val="-13"/>
                <w:sz w:val="20"/>
              </w:rPr>
              <w:t> </w:t>
            </w:r>
            <w:r>
              <w:rPr>
                <w:sz w:val="20"/>
              </w:rPr>
              <w:t>Метастатические</w:t>
            </w:r>
            <w:r>
              <w:rPr>
                <w:spacing w:val="-12"/>
                <w:sz w:val="20"/>
              </w:rPr>
              <w:t> </w:t>
            </w:r>
            <w:r>
              <w:rPr>
                <w:sz w:val="20"/>
              </w:rPr>
              <w:t>опухоли длинных костей у взрослых.</w:t>
            </w:r>
          </w:p>
          <w:p>
            <w:pPr>
              <w:pStyle w:val="TableParagraph"/>
              <w:spacing w:line="249" w:lineRule="auto" w:before="4"/>
              <w:ind w:left="75"/>
              <w:rPr>
                <w:sz w:val="20"/>
              </w:rPr>
            </w:pPr>
            <w:r>
              <w:rPr>
                <w:sz w:val="20"/>
              </w:rPr>
              <w:t>Гигантоклеточная</w:t>
            </w:r>
            <w:r>
              <w:rPr>
                <w:spacing w:val="-13"/>
                <w:sz w:val="20"/>
              </w:rPr>
              <w:t> </w:t>
            </w:r>
            <w:r>
              <w:rPr>
                <w:sz w:val="20"/>
              </w:rPr>
              <w:t>опухоль</w:t>
            </w:r>
            <w:r>
              <w:rPr>
                <w:spacing w:val="-12"/>
                <w:sz w:val="20"/>
              </w:rPr>
              <w:t> </w:t>
            </w:r>
            <w:r>
              <w:rPr>
                <w:sz w:val="20"/>
              </w:rPr>
              <w:t>длинных костей у взрослых</w:t>
            </w:r>
          </w:p>
        </w:tc>
        <w:tc>
          <w:tcPr>
            <w:tcW w:w="1454" w:type="dxa"/>
          </w:tcPr>
          <w:p>
            <w:pPr>
              <w:pStyle w:val="TableParagraph"/>
              <w:spacing w:line="252" w:lineRule="auto" w:before="60"/>
              <w:ind w:left="91"/>
              <w:rPr>
                <w:sz w:val="20"/>
              </w:rPr>
            </w:pPr>
            <w:r>
              <w:rPr>
                <w:spacing w:val="-2"/>
                <w:sz w:val="20"/>
              </w:rPr>
              <w:t>хирургическое лечение</w:t>
            </w:r>
          </w:p>
        </w:tc>
        <w:tc>
          <w:tcPr>
            <w:tcW w:w="3909" w:type="dxa"/>
          </w:tcPr>
          <w:p>
            <w:pPr>
              <w:pStyle w:val="TableParagraph"/>
              <w:spacing w:line="252" w:lineRule="auto" w:before="60"/>
              <w:ind w:left="111" w:right="329"/>
              <w:rPr>
                <w:sz w:val="20"/>
              </w:rPr>
            </w:pPr>
            <w:r>
              <w:rPr>
                <w:sz w:val="20"/>
              </w:rPr>
              <w:t>резекция большой берцовой кости сегментарная</w:t>
            </w:r>
            <w:r>
              <w:rPr>
                <w:spacing w:val="-13"/>
                <w:sz w:val="20"/>
              </w:rPr>
              <w:t> </w:t>
            </w:r>
            <w:r>
              <w:rPr>
                <w:sz w:val="20"/>
              </w:rPr>
              <w:t>с</w:t>
            </w:r>
            <w:r>
              <w:rPr>
                <w:spacing w:val="-12"/>
                <w:sz w:val="20"/>
              </w:rPr>
              <w:t> </w:t>
            </w:r>
            <w:r>
              <w:rPr>
                <w:sz w:val="20"/>
              </w:rPr>
              <w:t>эндопротезированием</w:t>
            </w:r>
          </w:p>
        </w:tc>
        <w:tc>
          <w:tcPr>
            <w:tcW w:w="1093" w:type="dxa"/>
          </w:tcPr>
          <w:p>
            <w:pPr>
              <w:pStyle w:val="TableParagraph"/>
              <w:rPr>
                <w:sz w:val="18"/>
              </w:rPr>
            </w:pPr>
          </w:p>
        </w:tc>
      </w:tr>
      <w:tr>
        <w:trPr>
          <w:trHeight w:val="599" w:hRule="atLeast"/>
        </w:trPr>
        <w:tc>
          <w:tcPr>
            <w:tcW w:w="458" w:type="dxa"/>
          </w:tcPr>
          <w:p>
            <w:pPr>
              <w:pStyle w:val="TableParagraph"/>
              <w:rPr>
                <w:sz w:val="18"/>
              </w:rPr>
            </w:pPr>
          </w:p>
        </w:tc>
        <w:tc>
          <w:tcPr>
            <w:tcW w:w="2828" w:type="dxa"/>
          </w:tcPr>
          <w:p>
            <w:pPr>
              <w:pStyle w:val="TableParagraph"/>
              <w:rPr>
                <w:sz w:val="18"/>
              </w:rPr>
            </w:pPr>
          </w:p>
        </w:tc>
        <w:tc>
          <w:tcPr>
            <w:tcW w:w="2113" w:type="dxa"/>
            <w:vMerge/>
            <w:tcBorders>
              <w:top w:val="nil"/>
            </w:tcBorders>
          </w:tcPr>
          <w:p>
            <w:pPr>
              <w:rPr>
                <w:sz w:val="2"/>
                <w:szCs w:val="2"/>
              </w:rPr>
            </w:pPr>
          </w:p>
        </w:tc>
        <w:tc>
          <w:tcPr>
            <w:tcW w:w="3292" w:type="dxa"/>
            <w:vMerge/>
            <w:tcBorders>
              <w:top w:val="nil"/>
            </w:tcBorders>
          </w:tcPr>
          <w:p>
            <w:pPr>
              <w:rPr>
                <w:sz w:val="2"/>
                <w:szCs w:val="2"/>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1"/>
                <w:sz w:val="20"/>
              </w:rPr>
              <w:t> </w:t>
            </w:r>
            <w:r>
              <w:rPr>
                <w:sz w:val="20"/>
              </w:rPr>
              <w:t>костей</w:t>
            </w:r>
            <w:r>
              <w:rPr>
                <w:spacing w:val="-11"/>
                <w:sz w:val="20"/>
              </w:rPr>
              <w:t> </w:t>
            </w:r>
            <w:r>
              <w:rPr>
                <w:sz w:val="20"/>
              </w:rPr>
              <w:t>голени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093" w:type="dxa"/>
          </w:tcPr>
          <w:p>
            <w:pPr>
              <w:pStyle w:val="TableParagraph"/>
              <w:rPr>
                <w:sz w:val="18"/>
              </w:rPr>
            </w:pPr>
          </w:p>
        </w:tc>
      </w:tr>
      <w:tr>
        <w:trPr>
          <w:trHeight w:val="53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vMerge/>
            <w:tcBorders>
              <w:top w:val="nil"/>
            </w:tcBorders>
          </w:tcPr>
          <w:p>
            <w:pPr>
              <w:rPr>
                <w:sz w:val="2"/>
                <w:szCs w:val="2"/>
              </w:rPr>
            </w:pPr>
          </w:p>
        </w:tc>
        <w:tc>
          <w:tcPr>
            <w:tcW w:w="1454" w:type="dxa"/>
          </w:tcPr>
          <w:p>
            <w:pPr>
              <w:pStyle w:val="TableParagraph"/>
              <w:rPr>
                <w:sz w:val="18"/>
              </w:rPr>
            </w:pPr>
          </w:p>
        </w:tc>
        <w:tc>
          <w:tcPr>
            <w:tcW w:w="3909" w:type="dxa"/>
          </w:tcPr>
          <w:p>
            <w:pPr>
              <w:pStyle w:val="TableParagraph"/>
              <w:spacing w:line="240" w:lineRule="atLeast" w:before="30"/>
              <w:ind w:left="111" w:right="329"/>
              <w:rPr>
                <w:sz w:val="20"/>
              </w:rPr>
            </w:pPr>
            <w:r>
              <w:rPr>
                <w:sz w:val="20"/>
              </w:rPr>
              <w:t>резекция</w:t>
            </w:r>
            <w:r>
              <w:rPr>
                <w:spacing w:val="-13"/>
                <w:sz w:val="20"/>
              </w:rPr>
              <w:t> </w:t>
            </w:r>
            <w:r>
              <w:rPr>
                <w:sz w:val="20"/>
              </w:rPr>
              <w:t>бедренной</w:t>
            </w:r>
            <w:r>
              <w:rPr>
                <w:spacing w:val="-12"/>
                <w:sz w:val="20"/>
              </w:rPr>
              <w:t> </w:t>
            </w:r>
            <w:r>
              <w:rPr>
                <w:sz w:val="20"/>
              </w:rPr>
              <w:t>кости</w:t>
            </w:r>
            <w:r>
              <w:rPr>
                <w:spacing w:val="-13"/>
                <w:sz w:val="20"/>
              </w:rPr>
              <w:t> </w:t>
            </w:r>
            <w:r>
              <w:rPr>
                <w:sz w:val="20"/>
              </w:rPr>
              <w:t>сегментарная с эндопротезированием</w:t>
            </w:r>
          </w:p>
        </w:tc>
        <w:tc>
          <w:tcPr>
            <w:tcW w:w="109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2"/>
        <w:gridCol w:w="2033"/>
        <w:gridCol w:w="3306"/>
        <w:gridCol w:w="1487"/>
        <w:gridCol w:w="3585"/>
        <w:gridCol w:w="1368"/>
      </w:tblGrid>
      <w:tr>
        <w:trPr>
          <w:trHeight w:val="53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ind w:left="110"/>
              <w:rPr>
                <w:sz w:val="20"/>
              </w:rPr>
            </w:pPr>
            <w:r>
              <w:rPr>
                <w:sz w:val="20"/>
              </w:rPr>
              <w:t>резекция</w:t>
            </w:r>
            <w:r>
              <w:rPr>
                <w:spacing w:val="-11"/>
                <w:sz w:val="20"/>
              </w:rPr>
              <w:t> </w:t>
            </w:r>
            <w:r>
              <w:rPr>
                <w:sz w:val="20"/>
              </w:rPr>
              <w:t>плечевой</w:t>
            </w:r>
            <w:r>
              <w:rPr>
                <w:spacing w:val="-11"/>
                <w:sz w:val="20"/>
              </w:rPr>
              <w:t> </w:t>
            </w:r>
            <w:r>
              <w:rPr>
                <w:sz w:val="20"/>
              </w:rPr>
              <w:t>кости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52" w:lineRule="auto" w:before="60"/>
              <w:ind w:left="110"/>
              <w:rPr>
                <w:sz w:val="20"/>
              </w:rPr>
            </w:pPr>
            <w:r>
              <w:rPr>
                <w:sz w:val="20"/>
              </w:rPr>
              <w:t>резекция костей предплечья сегментарная</w:t>
            </w:r>
            <w:r>
              <w:rPr>
                <w:spacing w:val="-13"/>
                <w:sz w:val="20"/>
              </w:rPr>
              <w:t> </w:t>
            </w:r>
            <w:r>
              <w:rPr>
                <w:sz w:val="20"/>
              </w:rPr>
              <w:t>с</w:t>
            </w:r>
            <w:r>
              <w:rPr>
                <w:spacing w:val="-12"/>
                <w:sz w:val="20"/>
              </w:rPr>
              <w:t> </w:t>
            </w:r>
            <w:r>
              <w:rPr>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резекция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экстирпация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экстирпация бедренной кости с </w:t>
            </w:r>
            <w:r>
              <w:rPr>
                <w:spacing w:val="-2"/>
                <w:sz w:val="20"/>
              </w:rPr>
              <w:t>тотальным эндопротезированием</w:t>
            </w:r>
          </w:p>
        </w:tc>
        <w:tc>
          <w:tcPr>
            <w:tcW w:w="1368" w:type="dxa"/>
          </w:tcPr>
          <w:p>
            <w:pPr>
              <w:pStyle w:val="TableParagraph"/>
              <w:rPr>
                <w:sz w:val="18"/>
              </w:rPr>
            </w:pPr>
          </w:p>
        </w:tc>
      </w:tr>
      <w:tr>
        <w:trPr>
          <w:trHeight w:val="36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before="60"/>
              <w:ind w:left="110"/>
              <w:rPr>
                <w:sz w:val="20"/>
              </w:rPr>
            </w:pPr>
            <w:r>
              <w:rPr>
                <w:spacing w:val="-2"/>
                <w:sz w:val="20"/>
              </w:rPr>
              <w:t>реэндопротезирование</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резекция</w:t>
            </w:r>
            <w:r>
              <w:rPr>
                <w:spacing w:val="-13"/>
                <w:sz w:val="20"/>
              </w:rPr>
              <w:t> </w:t>
            </w:r>
            <w:r>
              <w:rPr>
                <w:sz w:val="20"/>
              </w:rPr>
              <w:t>грудной</w:t>
            </w:r>
            <w:r>
              <w:rPr>
                <w:spacing w:val="-12"/>
                <w:sz w:val="20"/>
              </w:rPr>
              <w:t> </w:t>
            </w:r>
            <w:r>
              <w:rPr>
                <w:sz w:val="20"/>
              </w:rPr>
              <w:t>стенки</w:t>
            </w:r>
            <w:r>
              <w:rPr>
                <w:spacing w:val="-13"/>
                <w:sz w:val="20"/>
              </w:rPr>
              <w:t> </w:t>
            </w:r>
            <w:r>
              <w:rPr>
                <w:sz w:val="20"/>
              </w:rPr>
              <w:t>с </w:t>
            </w:r>
            <w:r>
              <w:rPr>
                <w:spacing w:val="-2"/>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удаление</w:t>
            </w:r>
            <w:r>
              <w:rPr>
                <w:spacing w:val="-13"/>
                <w:sz w:val="20"/>
              </w:rPr>
              <w:t> </w:t>
            </w:r>
            <w:r>
              <w:rPr>
                <w:sz w:val="20"/>
              </w:rPr>
              <w:t>тела</w:t>
            </w:r>
            <w:r>
              <w:rPr>
                <w:spacing w:val="-12"/>
                <w:sz w:val="20"/>
              </w:rPr>
              <w:t> </w:t>
            </w:r>
            <w:r>
              <w:rPr>
                <w:sz w:val="20"/>
              </w:rPr>
              <w:t>позвонка</w:t>
            </w:r>
            <w:r>
              <w:rPr>
                <w:spacing w:val="-13"/>
                <w:sz w:val="20"/>
              </w:rPr>
              <w:t> </w:t>
            </w:r>
            <w:r>
              <w:rPr>
                <w:sz w:val="20"/>
              </w:rPr>
              <w:t>с </w:t>
            </w:r>
            <w:r>
              <w:rPr>
                <w:spacing w:val="-2"/>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удаление позвонка с эндопротезированием</w:t>
            </w:r>
            <w:r>
              <w:rPr>
                <w:spacing w:val="-13"/>
                <w:sz w:val="20"/>
              </w:rPr>
              <w:t> </w:t>
            </w:r>
            <w:r>
              <w:rPr>
                <w:sz w:val="20"/>
              </w:rPr>
              <w:t>и</w:t>
            </w:r>
            <w:r>
              <w:rPr>
                <w:spacing w:val="-12"/>
                <w:sz w:val="20"/>
              </w:rPr>
              <w:t> </w:t>
            </w:r>
            <w:r>
              <w:rPr>
                <w:sz w:val="20"/>
              </w:rPr>
              <w:t>фиксацией</w:t>
            </w:r>
          </w:p>
        </w:tc>
        <w:tc>
          <w:tcPr>
            <w:tcW w:w="1368"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31.</w:t>
            </w:r>
          </w:p>
        </w:tc>
        <w:tc>
          <w:tcPr>
            <w:tcW w:w="2862" w:type="dxa"/>
            <w:vMerge w:val="restart"/>
          </w:tcPr>
          <w:p>
            <w:pPr>
              <w:pStyle w:val="TableParagraph"/>
              <w:spacing w:line="249" w:lineRule="auto" w:before="60"/>
              <w:ind w:left="155" w:right="96"/>
              <w:rPr>
                <w:sz w:val="20"/>
              </w:rPr>
            </w:pPr>
            <w:r>
              <w:rPr>
                <w:sz w:val="20"/>
              </w:rPr>
              <w:t>Хирургическое лечение </w:t>
            </w:r>
            <w:r>
              <w:rPr>
                <w:spacing w:val="-2"/>
                <w:sz w:val="20"/>
              </w:rPr>
              <w:t>злокачественных </w:t>
            </w:r>
            <w:r>
              <w:rPr>
                <w:sz w:val="20"/>
              </w:rPr>
              <w:t>новообразований,</w:t>
            </w:r>
            <w:r>
              <w:rPr>
                <w:spacing w:val="-13"/>
                <w:sz w:val="20"/>
              </w:rPr>
              <w:t> </w:t>
            </w:r>
            <w:r>
              <w:rPr>
                <w:sz w:val="20"/>
              </w:rPr>
              <w:t>в</w:t>
            </w:r>
            <w:r>
              <w:rPr>
                <w:spacing w:val="-12"/>
                <w:sz w:val="20"/>
              </w:rPr>
              <w:t> </w:t>
            </w:r>
            <w:r>
              <w:rPr>
                <w:sz w:val="20"/>
              </w:rPr>
              <w:t>том</w:t>
            </w:r>
            <w:r>
              <w:rPr>
                <w:spacing w:val="-13"/>
                <w:sz w:val="20"/>
              </w:rPr>
              <w:t> </w:t>
            </w:r>
            <w:r>
              <w:rPr>
                <w:sz w:val="20"/>
              </w:rPr>
              <w:t>числе у детей, с использованием</w:t>
            </w:r>
          </w:p>
          <w:p>
            <w:pPr>
              <w:pStyle w:val="TableParagraph"/>
              <w:spacing w:line="220" w:lineRule="exact" w:before="4"/>
              <w:ind w:left="155"/>
              <w:rPr>
                <w:sz w:val="20"/>
              </w:rPr>
            </w:pPr>
            <w:r>
              <w:rPr>
                <w:spacing w:val="-2"/>
                <w:sz w:val="20"/>
              </w:rPr>
              <w:t>робототехники</w:t>
            </w:r>
          </w:p>
        </w:tc>
        <w:tc>
          <w:tcPr>
            <w:tcW w:w="2033" w:type="dxa"/>
            <w:vMerge w:val="restart"/>
          </w:tcPr>
          <w:p>
            <w:pPr>
              <w:pStyle w:val="TableParagraph"/>
              <w:spacing w:before="60"/>
              <w:ind w:left="129" w:right="111"/>
              <w:jc w:val="center"/>
              <w:rPr>
                <w:sz w:val="20"/>
              </w:rPr>
            </w:pPr>
            <w:r>
              <w:rPr>
                <w:sz w:val="20"/>
              </w:rPr>
              <w:t>C06.2,</w:t>
            </w:r>
            <w:r>
              <w:rPr>
                <w:spacing w:val="-5"/>
                <w:sz w:val="20"/>
              </w:rPr>
              <w:t> </w:t>
            </w:r>
            <w:r>
              <w:rPr>
                <w:sz w:val="20"/>
              </w:rPr>
              <w:t>C09.0,</w:t>
            </w:r>
            <w:r>
              <w:rPr>
                <w:spacing w:val="-5"/>
                <w:sz w:val="20"/>
              </w:rPr>
              <w:t> </w:t>
            </w:r>
            <w:r>
              <w:rPr>
                <w:spacing w:val="-2"/>
                <w:sz w:val="20"/>
              </w:rPr>
              <w:t>C09.1,</w:t>
            </w:r>
          </w:p>
          <w:p>
            <w:pPr>
              <w:pStyle w:val="TableParagraph"/>
              <w:spacing w:before="10"/>
              <w:ind w:left="133" w:right="107"/>
              <w:jc w:val="center"/>
              <w:rPr>
                <w:sz w:val="20"/>
              </w:rPr>
            </w:pPr>
            <w:r>
              <w:rPr>
                <w:sz w:val="20"/>
              </w:rPr>
              <w:t>C09.8,</w:t>
            </w:r>
            <w:r>
              <w:rPr>
                <w:spacing w:val="-5"/>
                <w:sz w:val="20"/>
              </w:rPr>
              <w:t> </w:t>
            </w:r>
            <w:r>
              <w:rPr>
                <w:sz w:val="20"/>
              </w:rPr>
              <w:t>C09.9,</w:t>
            </w:r>
            <w:r>
              <w:rPr>
                <w:spacing w:val="-4"/>
                <w:sz w:val="20"/>
              </w:rPr>
              <w:t> </w:t>
            </w:r>
            <w:r>
              <w:rPr>
                <w:sz w:val="20"/>
              </w:rPr>
              <w:t>C10.0</w:t>
            </w:r>
            <w:r>
              <w:rPr>
                <w:spacing w:val="-3"/>
                <w:sz w:val="20"/>
              </w:rPr>
              <w:t> </w:t>
            </w:r>
            <w:r>
              <w:rPr>
                <w:spacing w:val="-10"/>
                <w:sz w:val="20"/>
              </w:rPr>
              <w:t>-</w:t>
            </w:r>
          </w:p>
          <w:p>
            <w:pPr>
              <w:pStyle w:val="TableParagraph"/>
              <w:spacing w:before="10"/>
              <w:ind w:left="132" w:right="111"/>
              <w:jc w:val="center"/>
              <w:rPr>
                <w:sz w:val="20"/>
              </w:rPr>
            </w:pPr>
            <w:r>
              <w:rPr>
                <w:sz w:val="20"/>
              </w:rPr>
              <w:t>С10.4,</w:t>
            </w:r>
            <w:r>
              <w:rPr>
                <w:spacing w:val="-3"/>
                <w:sz w:val="20"/>
              </w:rPr>
              <w:t> </w:t>
            </w:r>
            <w:r>
              <w:rPr>
                <w:sz w:val="20"/>
              </w:rPr>
              <w:t>C11.0</w:t>
            </w:r>
            <w:r>
              <w:rPr>
                <w:spacing w:val="-2"/>
                <w:sz w:val="20"/>
              </w:rPr>
              <w:t> </w:t>
            </w:r>
            <w:r>
              <w:rPr>
                <w:sz w:val="20"/>
              </w:rPr>
              <w:t>-</w:t>
            </w:r>
            <w:r>
              <w:rPr>
                <w:spacing w:val="-4"/>
                <w:sz w:val="20"/>
              </w:rPr>
              <w:t> </w:t>
            </w:r>
            <w:r>
              <w:rPr>
                <w:spacing w:val="-2"/>
                <w:sz w:val="20"/>
              </w:rPr>
              <w:t>C11.3,</w:t>
            </w:r>
          </w:p>
          <w:p>
            <w:pPr>
              <w:pStyle w:val="TableParagraph"/>
              <w:spacing w:before="11"/>
              <w:ind w:left="130" w:right="111"/>
              <w:jc w:val="center"/>
              <w:rPr>
                <w:sz w:val="20"/>
              </w:rPr>
            </w:pPr>
            <w:r>
              <w:rPr>
                <w:sz w:val="20"/>
              </w:rPr>
              <w:t>C11.8,</w:t>
            </w:r>
            <w:r>
              <w:rPr>
                <w:spacing w:val="-5"/>
                <w:sz w:val="20"/>
              </w:rPr>
              <w:t> </w:t>
            </w:r>
            <w:r>
              <w:rPr>
                <w:sz w:val="20"/>
              </w:rPr>
              <w:t>C11.9,</w:t>
            </w:r>
            <w:r>
              <w:rPr>
                <w:spacing w:val="-5"/>
                <w:sz w:val="20"/>
              </w:rPr>
              <w:t> </w:t>
            </w:r>
            <w:r>
              <w:rPr>
                <w:spacing w:val="-4"/>
                <w:sz w:val="20"/>
              </w:rPr>
              <w:t>C12,</w:t>
            </w:r>
          </w:p>
          <w:p>
            <w:pPr>
              <w:pStyle w:val="TableParagraph"/>
              <w:spacing w:before="10"/>
              <w:ind w:left="131" w:right="111"/>
              <w:jc w:val="center"/>
              <w:rPr>
                <w:sz w:val="20"/>
              </w:rPr>
            </w:pPr>
            <w:r>
              <w:rPr>
                <w:sz w:val="20"/>
              </w:rPr>
              <w:t>C13.0</w:t>
            </w:r>
            <w:r>
              <w:rPr>
                <w:spacing w:val="-1"/>
                <w:sz w:val="20"/>
              </w:rPr>
              <w:t> </w:t>
            </w:r>
            <w:r>
              <w:rPr>
                <w:sz w:val="20"/>
              </w:rPr>
              <w:t>-</w:t>
            </w:r>
            <w:r>
              <w:rPr>
                <w:spacing w:val="-5"/>
                <w:sz w:val="20"/>
              </w:rPr>
              <w:t> </w:t>
            </w:r>
            <w:r>
              <w:rPr>
                <w:sz w:val="20"/>
              </w:rPr>
              <w:t>C13.2,</w:t>
            </w:r>
            <w:r>
              <w:rPr>
                <w:spacing w:val="-2"/>
                <w:sz w:val="20"/>
              </w:rPr>
              <w:t> C13.8,</w:t>
            </w:r>
          </w:p>
          <w:p>
            <w:pPr>
              <w:pStyle w:val="TableParagraph"/>
              <w:spacing w:before="10"/>
              <w:ind w:left="132" w:right="111"/>
              <w:jc w:val="center"/>
              <w:rPr>
                <w:sz w:val="20"/>
              </w:rPr>
            </w:pPr>
            <w:r>
              <w:rPr>
                <w:sz w:val="20"/>
              </w:rPr>
              <w:t>C13.9,</w:t>
            </w:r>
            <w:r>
              <w:rPr>
                <w:spacing w:val="-3"/>
                <w:sz w:val="20"/>
              </w:rPr>
              <w:t> </w:t>
            </w:r>
            <w:r>
              <w:rPr>
                <w:sz w:val="20"/>
              </w:rPr>
              <w:t>C14.0</w:t>
            </w:r>
            <w:r>
              <w:rPr>
                <w:spacing w:val="-2"/>
                <w:sz w:val="20"/>
              </w:rPr>
              <w:t> </w:t>
            </w:r>
            <w:r>
              <w:rPr>
                <w:sz w:val="20"/>
              </w:rPr>
              <w:t>-</w:t>
            </w:r>
            <w:r>
              <w:rPr>
                <w:spacing w:val="-4"/>
                <w:sz w:val="20"/>
              </w:rPr>
              <w:t> </w:t>
            </w:r>
            <w:r>
              <w:rPr>
                <w:spacing w:val="-2"/>
                <w:sz w:val="20"/>
              </w:rPr>
              <w:t>C14.2,</w:t>
            </w:r>
          </w:p>
          <w:p>
            <w:pPr>
              <w:pStyle w:val="TableParagraph"/>
              <w:spacing w:before="10"/>
              <w:ind w:left="133" w:right="107"/>
              <w:jc w:val="center"/>
              <w:rPr>
                <w:sz w:val="20"/>
              </w:rPr>
            </w:pPr>
            <w:r>
              <w:rPr>
                <w:sz w:val="20"/>
              </w:rPr>
              <w:t>C15.0,</w:t>
            </w:r>
            <w:r>
              <w:rPr>
                <w:spacing w:val="-5"/>
                <w:sz w:val="20"/>
              </w:rPr>
              <w:t> </w:t>
            </w:r>
            <w:r>
              <w:rPr>
                <w:sz w:val="20"/>
              </w:rPr>
              <w:t>C30.0,</w:t>
            </w:r>
            <w:r>
              <w:rPr>
                <w:spacing w:val="-4"/>
                <w:sz w:val="20"/>
              </w:rPr>
              <w:t> </w:t>
            </w:r>
            <w:r>
              <w:rPr>
                <w:sz w:val="20"/>
              </w:rPr>
              <w:t>C31.0</w:t>
            </w:r>
            <w:r>
              <w:rPr>
                <w:spacing w:val="-3"/>
                <w:sz w:val="20"/>
              </w:rPr>
              <w:t> </w:t>
            </w:r>
            <w:r>
              <w:rPr>
                <w:spacing w:val="-10"/>
                <w:sz w:val="20"/>
              </w:rPr>
              <w:t>-</w:t>
            </w:r>
          </w:p>
          <w:p>
            <w:pPr>
              <w:pStyle w:val="TableParagraph"/>
              <w:spacing w:before="10"/>
              <w:ind w:left="129" w:right="111"/>
              <w:jc w:val="center"/>
              <w:rPr>
                <w:sz w:val="20"/>
              </w:rPr>
            </w:pPr>
            <w:r>
              <w:rPr>
                <w:sz w:val="20"/>
              </w:rPr>
              <w:t>C31.3,</w:t>
            </w:r>
            <w:r>
              <w:rPr>
                <w:spacing w:val="-5"/>
                <w:sz w:val="20"/>
              </w:rPr>
              <w:t> </w:t>
            </w:r>
            <w:r>
              <w:rPr>
                <w:sz w:val="20"/>
              </w:rPr>
              <w:t>C31.8,</w:t>
            </w:r>
            <w:r>
              <w:rPr>
                <w:spacing w:val="-5"/>
                <w:sz w:val="20"/>
              </w:rPr>
              <w:t> </w:t>
            </w:r>
            <w:r>
              <w:rPr>
                <w:spacing w:val="-2"/>
                <w:sz w:val="20"/>
              </w:rPr>
              <w:t>C31.9,</w:t>
            </w:r>
          </w:p>
          <w:p>
            <w:pPr>
              <w:pStyle w:val="TableParagraph"/>
              <w:spacing w:line="249" w:lineRule="auto" w:before="10"/>
              <w:ind w:left="133" w:right="110"/>
              <w:jc w:val="center"/>
              <w:rPr>
                <w:sz w:val="20"/>
              </w:rPr>
            </w:pPr>
            <w:r>
              <w:rPr>
                <w:sz w:val="20"/>
              </w:rPr>
              <w:t>C32.0</w:t>
            </w:r>
            <w:r>
              <w:rPr>
                <w:spacing w:val="-13"/>
                <w:sz w:val="20"/>
              </w:rPr>
              <w:t> </w:t>
            </w:r>
            <w:r>
              <w:rPr>
                <w:sz w:val="20"/>
              </w:rPr>
              <w:t>-</w:t>
            </w:r>
            <w:r>
              <w:rPr>
                <w:spacing w:val="-12"/>
                <w:sz w:val="20"/>
              </w:rPr>
              <w:t> </w:t>
            </w:r>
            <w:r>
              <w:rPr>
                <w:sz w:val="20"/>
              </w:rPr>
              <w:t>C32.3,</w:t>
            </w:r>
            <w:r>
              <w:rPr>
                <w:spacing w:val="-12"/>
                <w:sz w:val="20"/>
              </w:rPr>
              <w:t> </w:t>
            </w:r>
            <w:r>
              <w:rPr>
                <w:sz w:val="20"/>
              </w:rPr>
              <w:t>C32.8, </w:t>
            </w:r>
            <w:r>
              <w:rPr>
                <w:spacing w:val="-4"/>
                <w:sz w:val="20"/>
              </w:rPr>
              <w:t>C32.9</w:t>
            </w:r>
          </w:p>
        </w:tc>
        <w:tc>
          <w:tcPr>
            <w:tcW w:w="3306" w:type="dxa"/>
          </w:tcPr>
          <w:p>
            <w:pPr>
              <w:pStyle w:val="TableParagraph"/>
              <w:spacing w:line="249" w:lineRule="auto" w:before="60"/>
              <w:ind w:left="122"/>
              <w:rPr>
                <w:sz w:val="20"/>
              </w:rPr>
            </w:pPr>
            <w:r>
              <w:rPr>
                <w:sz w:val="20"/>
              </w:rPr>
              <w:t>опухоли</w:t>
            </w:r>
            <w:r>
              <w:rPr>
                <w:spacing w:val="-8"/>
                <w:sz w:val="20"/>
              </w:rPr>
              <w:t> </w:t>
            </w:r>
            <w:r>
              <w:rPr>
                <w:sz w:val="20"/>
              </w:rPr>
              <w:t>головы</w:t>
            </w:r>
            <w:r>
              <w:rPr>
                <w:spacing w:val="-7"/>
                <w:sz w:val="20"/>
              </w:rPr>
              <w:t> </w:t>
            </w:r>
            <w:r>
              <w:rPr>
                <w:sz w:val="20"/>
              </w:rPr>
              <w:t>и</w:t>
            </w:r>
            <w:r>
              <w:rPr>
                <w:spacing w:val="-8"/>
                <w:sz w:val="20"/>
              </w:rPr>
              <w:t> </w:t>
            </w:r>
            <w:r>
              <w:rPr>
                <w:sz w:val="20"/>
              </w:rPr>
              <w:t>шеи</w:t>
            </w:r>
            <w:r>
              <w:rPr>
                <w:spacing w:val="-8"/>
                <w:sz w:val="20"/>
              </w:rPr>
              <w:t> </w:t>
            </w:r>
            <w:r>
              <w:rPr>
                <w:sz w:val="20"/>
              </w:rPr>
              <w:t>(T1-2,</w:t>
            </w:r>
            <w:r>
              <w:rPr>
                <w:spacing w:val="-7"/>
                <w:sz w:val="20"/>
              </w:rPr>
              <w:t> </w:t>
            </w:r>
            <w:r>
              <w:rPr>
                <w:sz w:val="20"/>
              </w:rPr>
              <w:t>N3-4), </w:t>
            </w:r>
            <w:r>
              <w:rPr>
                <w:spacing w:val="-2"/>
                <w:sz w:val="20"/>
              </w:rPr>
              <w:t>рецидив</w:t>
            </w:r>
          </w:p>
        </w:tc>
        <w:tc>
          <w:tcPr>
            <w:tcW w:w="1487" w:type="dxa"/>
          </w:tcPr>
          <w:p>
            <w:pPr>
              <w:pStyle w:val="TableParagraph"/>
              <w:spacing w:line="249" w:lineRule="auto" w:before="60"/>
              <w:ind w:left="123"/>
              <w:rPr>
                <w:sz w:val="20"/>
              </w:rPr>
            </w:pPr>
            <w:r>
              <w:rPr>
                <w:spacing w:val="-2"/>
                <w:sz w:val="20"/>
              </w:rPr>
              <w:t>хирургическое лечение</w:t>
            </w:r>
          </w:p>
        </w:tc>
        <w:tc>
          <w:tcPr>
            <w:tcW w:w="3585" w:type="dxa"/>
          </w:tcPr>
          <w:p>
            <w:pPr>
              <w:pStyle w:val="TableParagraph"/>
              <w:spacing w:line="249" w:lineRule="auto" w:before="60"/>
              <w:ind w:left="110"/>
              <w:rPr>
                <w:sz w:val="20"/>
              </w:rPr>
            </w:pPr>
            <w:r>
              <w:rPr>
                <w:spacing w:val="-2"/>
                <w:sz w:val="20"/>
              </w:rPr>
              <w:t>роботассистированное удаление </w:t>
            </w:r>
            <w:r>
              <w:rPr>
                <w:sz w:val="20"/>
              </w:rPr>
              <w:t>опухолей головы и шеи</w:t>
            </w:r>
          </w:p>
        </w:tc>
        <w:tc>
          <w:tcPr>
            <w:tcW w:w="1368" w:type="dxa"/>
          </w:tcPr>
          <w:p>
            <w:pPr>
              <w:pStyle w:val="TableParagraph"/>
              <w:spacing w:before="60"/>
              <w:ind w:left="719"/>
              <w:rPr>
                <w:sz w:val="20"/>
              </w:rPr>
            </w:pPr>
            <w:r>
              <w:rPr>
                <w:spacing w:val="-2"/>
                <w:sz w:val="20"/>
              </w:rPr>
              <w:t>316371</w:t>
            </w:r>
          </w:p>
        </w:tc>
      </w:tr>
      <w:tr>
        <w:trPr>
          <w:trHeight w:val="660" w:hRule="atLeast"/>
        </w:trPr>
        <w:tc>
          <w:tcPr>
            <w:tcW w:w="458" w:type="dxa"/>
          </w:tcPr>
          <w:p>
            <w:pPr>
              <w:pStyle w:val="TableParagraph"/>
              <w:rPr>
                <w:sz w:val="18"/>
              </w:rPr>
            </w:pPr>
          </w:p>
        </w:tc>
        <w:tc>
          <w:tcPr>
            <w:tcW w:w="2862" w:type="dxa"/>
            <w:vMerge/>
            <w:tcBorders>
              <w:top w:val="nil"/>
            </w:tcBorders>
          </w:tcPr>
          <w:p>
            <w:pPr>
              <w:rPr>
                <w:sz w:val="2"/>
                <w:szCs w:val="2"/>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52" w:lineRule="auto" w:before="60"/>
              <w:ind w:left="110" w:right="677"/>
              <w:rPr>
                <w:sz w:val="20"/>
              </w:rPr>
            </w:pPr>
            <w:r>
              <w:rPr>
                <w:sz w:val="20"/>
              </w:rPr>
              <w:t>роботассистированные</w:t>
            </w:r>
            <w:r>
              <w:rPr>
                <w:spacing w:val="-13"/>
                <w:sz w:val="20"/>
              </w:rPr>
              <w:t> </w:t>
            </w:r>
            <w:r>
              <w:rPr>
                <w:sz w:val="20"/>
              </w:rPr>
              <w:t>резекции щитовидной железы</w:t>
            </w:r>
          </w:p>
        </w:tc>
        <w:tc>
          <w:tcPr>
            <w:tcW w:w="1368" w:type="dxa"/>
          </w:tcPr>
          <w:p>
            <w:pPr>
              <w:pStyle w:val="TableParagraph"/>
              <w:rPr>
                <w:sz w:val="18"/>
              </w:rPr>
            </w:pPr>
          </w:p>
        </w:tc>
      </w:tr>
      <w:tr>
        <w:trPr>
          <w:trHeight w:val="300" w:hRule="atLeast"/>
        </w:trPr>
        <w:tc>
          <w:tcPr>
            <w:tcW w:w="458" w:type="dxa"/>
          </w:tcPr>
          <w:p>
            <w:pPr>
              <w:pStyle w:val="TableParagraph"/>
              <w:rPr>
                <w:sz w:val="18"/>
              </w:rPr>
            </w:pPr>
          </w:p>
        </w:tc>
        <w:tc>
          <w:tcPr>
            <w:tcW w:w="2862" w:type="dxa"/>
          </w:tcPr>
          <w:p>
            <w:pPr>
              <w:pStyle w:val="TableParagraph"/>
              <w:rPr>
                <w:sz w:val="18"/>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ind w:left="110"/>
              <w:rPr>
                <w:sz w:val="20"/>
              </w:rPr>
            </w:pPr>
            <w:r>
              <w:rPr>
                <w:w w:val="95"/>
                <w:sz w:val="20"/>
              </w:rPr>
              <w:t>роботассистированная</w:t>
            </w:r>
            <w:r>
              <w:rPr>
                <w:spacing w:val="74"/>
                <w:sz w:val="20"/>
              </w:rPr>
              <w:t> </w:t>
            </w:r>
            <w:r>
              <w:rPr>
                <w:spacing w:val="-2"/>
                <w:sz w:val="20"/>
              </w:rPr>
              <w:t>тиреоидэктомия</w:t>
            </w:r>
          </w:p>
        </w:tc>
        <w:tc>
          <w:tcPr>
            <w:tcW w:w="1368" w:type="dxa"/>
          </w:tcPr>
          <w:p>
            <w:pPr>
              <w:pStyle w:val="TableParagraph"/>
              <w:rPr>
                <w:sz w:val="18"/>
              </w:rPr>
            </w:pPr>
          </w:p>
        </w:tc>
      </w:tr>
      <w:tr>
        <w:trPr>
          <w:trHeight w:val="599" w:hRule="atLeast"/>
        </w:trPr>
        <w:tc>
          <w:tcPr>
            <w:tcW w:w="458" w:type="dxa"/>
          </w:tcPr>
          <w:p>
            <w:pPr>
              <w:pStyle w:val="TableParagraph"/>
              <w:rPr>
                <w:sz w:val="18"/>
              </w:rPr>
            </w:pPr>
          </w:p>
        </w:tc>
        <w:tc>
          <w:tcPr>
            <w:tcW w:w="2862" w:type="dxa"/>
          </w:tcPr>
          <w:p>
            <w:pPr>
              <w:pStyle w:val="TableParagraph"/>
              <w:rPr>
                <w:sz w:val="18"/>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роботассистированная нервосбе- регающая</w:t>
            </w:r>
            <w:r>
              <w:rPr>
                <w:spacing w:val="-13"/>
                <w:sz w:val="20"/>
              </w:rPr>
              <w:t> </w:t>
            </w:r>
            <w:r>
              <w:rPr>
                <w:sz w:val="20"/>
              </w:rPr>
              <w:t>шейная</w:t>
            </w:r>
            <w:r>
              <w:rPr>
                <w:spacing w:val="-12"/>
                <w:sz w:val="20"/>
              </w:rPr>
              <w:t> </w:t>
            </w:r>
            <w:r>
              <w:rPr>
                <w:sz w:val="20"/>
              </w:rPr>
              <w:t>лимфаденэктомия</w:t>
            </w:r>
          </w:p>
        </w:tc>
        <w:tc>
          <w:tcPr>
            <w:tcW w:w="1368" w:type="dxa"/>
          </w:tcPr>
          <w:p>
            <w:pPr>
              <w:pStyle w:val="TableParagraph"/>
              <w:rPr>
                <w:sz w:val="18"/>
              </w:rPr>
            </w:pPr>
          </w:p>
        </w:tc>
      </w:tr>
      <w:tr>
        <w:trPr>
          <w:trHeight w:val="530" w:hRule="atLeast"/>
        </w:trPr>
        <w:tc>
          <w:tcPr>
            <w:tcW w:w="458" w:type="dxa"/>
          </w:tcPr>
          <w:p>
            <w:pPr>
              <w:pStyle w:val="TableParagraph"/>
              <w:rPr>
                <w:sz w:val="18"/>
              </w:rPr>
            </w:pPr>
          </w:p>
        </w:tc>
        <w:tc>
          <w:tcPr>
            <w:tcW w:w="2862" w:type="dxa"/>
          </w:tcPr>
          <w:p>
            <w:pPr>
              <w:pStyle w:val="TableParagraph"/>
              <w:rPr>
                <w:sz w:val="18"/>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0" w:lineRule="atLeast" w:before="30"/>
              <w:ind w:left="110" w:right="856"/>
              <w:rPr>
                <w:sz w:val="20"/>
              </w:rPr>
            </w:pPr>
            <w:r>
              <w:rPr>
                <w:sz w:val="20"/>
              </w:rPr>
              <w:t>роботассистированная</w:t>
            </w:r>
            <w:r>
              <w:rPr>
                <w:spacing w:val="-13"/>
                <w:sz w:val="20"/>
              </w:rPr>
              <w:t> </w:t>
            </w:r>
            <w:r>
              <w:rPr>
                <w:sz w:val="20"/>
              </w:rPr>
              <w:t>шейная </w:t>
            </w:r>
            <w:r>
              <w:rPr>
                <w:spacing w:val="-2"/>
                <w:sz w:val="20"/>
              </w:rPr>
              <w:t>лимфаденэктомия</w:t>
            </w:r>
          </w:p>
        </w:tc>
        <w:tc>
          <w:tcPr>
            <w:tcW w:w="136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66"/>
        <w:gridCol w:w="1445"/>
        <w:gridCol w:w="3681"/>
      </w:tblGrid>
      <w:tr>
        <w:trPr>
          <w:trHeight w:val="77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ind w:left="110" w:right="24"/>
              <w:rPr>
                <w:sz w:val="20"/>
              </w:rPr>
            </w:pPr>
            <w:r>
              <w:rPr>
                <w:sz w:val="20"/>
              </w:rPr>
              <w:t>роботассистированное удаление лимфатических</w:t>
            </w:r>
            <w:r>
              <w:rPr>
                <w:spacing w:val="-13"/>
                <w:sz w:val="20"/>
              </w:rPr>
              <w:t> </w:t>
            </w:r>
            <w:r>
              <w:rPr>
                <w:sz w:val="20"/>
              </w:rPr>
              <w:t>узлов</w:t>
            </w:r>
            <w:r>
              <w:rPr>
                <w:spacing w:val="-12"/>
                <w:sz w:val="20"/>
              </w:rPr>
              <w:t> </w:t>
            </w:r>
            <w:r>
              <w:rPr>
                <w:sz w:val="20"/>
              </w:rPr>
              <w:t>и</w:t>
            </w:r>
            <w:r>
              <w:rPr>
                <w:spacing w:val="-13"/>
                <w:sz w:val="20"/>
              </w:rPr>
              <w:t> </w:t>
            </w:r>
            <w:r>
              <w:rPr>
                <w:sz w:val="20"/>
              </w:rPr>
              <w:t>клетчатки передневерхнего средостения</w:t>
            </w:r>
          </w:p>
        </w:tc>
      </w:tr>
      <w:tr>
        <w:trPr>
          <w:trHeight w:val="84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 удаление опухолей</w:t>
            </w:r>
            <w:r>
              <w:rPr>
                <w:spacing w:val="-10"/>
                <w:sz w:val="20"/>
              </w:rPr>
              <w:t> </w:t>
            </w:r>
            <w:r>
              <w:rPr>
                <w:sz w:val="20"/>
              </w:rPr>
              <w:t>полости</w:t>
            </w:r>
            <w:r>
              <w:rPr>
                <w:spacing w:val="-12"/>
                <w:sz w:val="20"/>
              </w:rPr>
              <w:t> </w:t>
            </w:r>
            <w:r>
              <w:rPr>
                <w:sz w:val="20"/>
              </w:rPr>
              <w:t>носа</w:t>
            </w:r>
            <w:r>
              <w:rPr>
                <w:spacing w:val="-11"/>
                <w:sz w:val="20"/>
              </w:rPr>
              <w:t> </w:t>
            </w:r>
            <w:r>
              <w:rPr>
                <w:sz w:val="20"/>
              </w:rPr>
              <w:t>и</w:t>
            </w:r>
            <w:r>
              <w:rPr>
                <w:spacing w:val="-11"/>
                <w:sz w:val="20"/>
              </w:rPr>
              <w:t> </w:t>
            </w:r>
            <w:r>
              <w:rPr>
                <w:sz w:val="20"/>
              </w:rPr>
              <w:t>придаточных пазух носа</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1118"/>
              <w:rPr>
                <w:sz w:val="20"/>
              </w:rPr>
            </w:pPr>
            <w:r>
              <w:rPr>
                <w:spacing w:val="-2"/>
                <w:sz w:val="20"/>
              </w:rPr>
              <w:t>роботассистированная </w:t>
            </w:r>
            <w:r>
              <w:rPr>
                <w:sz w:val="20"/>
              </w:rPr>
              <w:t>эндоларингеальная</w:t>
            </w:r>
            <w:r>
              <w:rPr>
                <w:spacing w:val="-13"/>
                <w:sz w:val="20"/>
              </w:rPr>
              <w:t> </w:t>
            </w:r>
            <w:r>
              <w:rPr>
                <w:sz w:val="20"/>
              </w:rPr>
              <w:t>резекция</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w:t>
            </w:r>
            <w:r>
              <w:rPr>
                <w:spacing w:val="-13"/>
                <w:sz w:val="20"/>
              </w:rPr>
              <w:t> </w:t>
            </w:r>
            <w:r>
              <w:rPr>
                <w:sz w:val="20"/>
              </w:rPr>
              <w:t>удаление</w:t>
            </w:r>
            <w:r>
              <w:rPr>
                <w:spacing w:val="-12"/>
                <w:sz w:val="20"/>
              </w:rPr>
              <w:t> </w:t>
            </w:r>
            <w:r>
              <w:rPr>
                <w:sz w:val="20"/>
              </w:rPr>
              <w:t>опухоли полости рта</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w:t>
            </w:r>
            <w:r>
              <w:rPr>
                <w:spacing w:val="-13"/>
                <w:sz w:val="20"/>
              </w:rPr>
              <w:t> </w:t>
            </w:r>
            <w:r>
              <w:rPr>
                <w:sz w:val="20"/>
              </w:rPr>
              <w:t>удаление</w:t>
            </w:r>
            <w:r>
              <w:rPr>
                <w:spacing w:val="-12"/>
                <w:sz w:val="20"/>
              </w:rPr>
              <w:t> </w:t>
            </w:r>
            <w:r>
              <w:rPr>
                <w:sz w:val="20"/>
              </w:rPr>
              <w:t>опухоли </w:t>
            </w:r>
            <w:r>
              <w:rPr>
                <w:spacing w:val="-2"/>
                <w:sz w:val="20"/>
              </w:rPr>
              <w:t>глотки</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 удаление опухолей</w:t>
            </w:r>
            <w:r>
              <w:rPr>
                <w:spacing w:val="-9"/>
                <w:sz w:val="20"/>
              </w:rPr>
              <w:t> </w:t>
            </w:r>
            <w:r>
              <w:rPr>
                <w:sz w:val="20"/>
              </w:rPr>
              <w:t>мягких</w:t>
            </w:r>
            <w:r>
              <w:rPr>
                <w:spacing w:val="-7"/>
                <w:sz w:val="20"/>
              </w:rPr>
              <w:t> </w:t>
            </w:r>
            <w:r>
              <w:rPr>
                <w:sz w:val="20"/>
              </w:rPr>
              <w:t>тканей</w:t>
            </w:r>
            <w:r>
              <w:rPr>
                <w:spacing w:val="-9"/>
                <w:sz w:val="20"/>
              </w:rPr>
              <w:t> </w:t>
            </w:r>
            <w:r>
              <w:rPr>
                <w:sz w:val="20"/>
              </w:rPr>
              <w:t>головы</w:t>
            </w:r>
            <w:r>
              <w:rPr>
                <w:spacing w:val="-8"/>
                <w:sz w:val="20"/>
              </w:rPr>
              <w:t> </w:t>
            </w:r>
            <w:r>
              <w:rPr>
                <w:sz w:val="20"/>
              </w:rPr>
              <w:t>и</w:t>
            </w:r>
            <w:r>
              <w:rPr>
                <w:spacing w:val="-9"/>
                <w:sz w:val="20"/>
              </w:rPr>
              <w:t> </w:t>
            </w:r>
            <w:r>
              <w:rPr>
                <w:sz w:val="20"/>
              </w:rPr>
              <w:t>шеи</w:t>
            </w:r>
          </w:p>
        </w:tc>
      </w:tr>
      <w:tr>
        <w:trPr>
          <w:trHeight w:val="600" w:hRule="atLeast"/>
        </w:trPr>
        <w:tc>
          <w:tcPr>
            <w:tcW w:w="1888" w:type="dxa"/>
          </w:tcPr>
          <w:p>
            <w:pPr>
              <w:pStyle w:val="TableParagraph"/>
              <w:spacing w:before="60"/>
              <w:ind w:left="734"/>
              <w:rPr>
                <w:sz w:val="20"/>
              </w:rPr>
            </w:pPr>
            <w:r>
              <w:rPr>
                <w:spacing w:val="-5"/>
                <w:sz w:val="20"/>
              </w:rPr>
              <w:t>C16</w:t>
            </w:r>
          </w:p>
        </w:tc>
        <w:tc>
          <w:tcPr>
            <w:tcW w:w="3366" w:type="dxa"/>
            <w:vMerge w:val="restart"/>
          </w:tcPr>
          <w:p>
            <w:pPr>
              <w:pStyle w:val="TableParagraph"/>
              <w:spacing w:line="249" w:lineRule="auto" w:before="60"/>
              <w:ind w:left="140"/>
              <w:rPr>
                <w:sz w:val="20"/>
              </w:rPr>
            </w:pPr>
            <w:r>
              <w:rPr>
                <w:sz w:val="20"/>
              </w:rPr>
              <w:t>начальные</w:t>
            </w:r>
            <w:r>
              <w:rPr>
                <w:spacing w:val="-13"/>
                <w:sz w:val="20"/>
              </w:rPr>
              <w:t> </w:t>
            </w:r>
            <w:r>
              <w:rPr>
                <w:sz w:val="20"/>
              </w:rPr>
              <w:t>и</w:t>
            </w:r>
            <w:r>
              <w:rPr>
                <w:spacing w:val="-12"/>
                <w:sz w:val="20"/>
              </w:rPr>
              <w:t> </w:t>
            </w:r>
            <w:r>
              <w:rPr>
                <w:sz w:val="20"/>
              </w:rPr>
              <w:t>локализованные</w:t>
            </w:r>
            <w:r>
              <w:rPr>
                <w:spacing w:val="-13"/>
                <w:sz w:val="20"/>
              </w:rPr>
              <w:t> </w:t>
            </w:r>
            <w:r>
              <w:rPr>
                <w:sz w:val="20"/>
              </w:rPr>
              <w:t>формы злокачественных новообразований </w:t>
            </w:r>
            <w:r>
              <w:rPr>
                <w:spacing w:val="-2"/>
                <w:sz w:val="20"/>
              </w:rPr>
              <w:t>желудка</w:t>
            </w:r>
          </w:p>
        </w:tc>
        <w:tc>
          <w:tcPr>
            <w:tcW w:w="1445" w:type="dxa"/>
          </w:tcPr>
          <w:p>
            <w:pPr>
              <w:pStyle w:val="TableParagraph"/>
              <w:spacing w:line="249" w:lineRule="auto" w:before="60"/>
              <w:ind w:left="81"/>
              <w:rPr>
                <w:sz w:val="20"/>
              </w:rPr>
            </w:pPr>
            <w:r>
              <w:rPr>
                <w:spacing w:val="-2"/>
                <w:sz w:val="20"/>
              </w:rPr>
              <w:t>хирургическое лечение</w:t>
            </w:r>
          </w:p>
        </w:tc>
        <w:tc>
          <w:tcPr>
            <w:tcW w:w="3681" w:type="dxa"/>
          </w:tcPr>
          <w:p>
            <w:pPr>
              <w:pStyle w:val="TableParagraph"/>
              <w:spacing w:line="249" w:lineRule="auto" w:before="60"/>
              <w:ind w:left="110" w:right="512"/>
              <w:rPr>
                <w:sz w:val="20"/>
              </w:rPr>
            </w:pPr>
            <w:r>
              <w:rPr>
                <w:sz w:val="20"/>
              </w:rPr>
              <w:t>роботассистированная</w:t>
            </w:r>
            <w:r>
              <w:rPr>
                <w:spacing w:val="-13"/>
                <w:sz w:val="20"/>
              </w:rPr>
              <w:t> </w:t>
            </w:r>
            <w:r>
              <w:rPr>
                <w:sz w:val="20"/>
              </w:rPr>
              <w:t>парциальная резекция желудка</w:t>
            </w:r>
          </w:p>
        </w:tc>
      </w:tr>
      <w:tr>
        <w:trPr>
          <w:trHeight w:val="600" w:hRule="atLeast"/>
        </w:trPr>
        <w:tc>
          <w:tcPr>
            <w:tcW w:w="1888" w:type="dxa"/>
          </w:tcPr>
          <w:p>
            <w:pPr>
              <w:pStyle w:val="TableParagraph"/>
              <w:rPr>
                <w:sz w:val="18"/>
              </w:rPr>
            </w:pPr>
          </w:p>
        </w:tc>
        <w:tc>
          <w:tcPr>
            <w:tcW w:w="3366" w:type="dxa"/>
            <w:vMerge/>
            <w:tcBorders>
              <w:top w:val="nil"/>
            </w:tcBorders>
          </w:tcPr>
          <w:p>
            <w:pPr>
              <w:rPr>
                <w:sz w:val="2"/>
                <w:szCs w:val="2"/>
              </w:rPr>
            </w:pPr>
          </w:p>
        </w:tc>
        <w:tc>
          <w:tcPr>
            <w:tcW w:w="1445" w:type="dxa"/>
          </w:tcPr>
          <w:p>
            <w:pPr>
              <w:pStyle w:val="TableParagraph"/>
              <w:rPr>
                <w:sz w:val="18"/>
              </w:rPr>
            </w:pPr>
          </w:p>
        </w:tc>
        <w:tc>
          <w:tcPr>
            <w:tcW w:w="3681" w:type="dxa"/>
          </w:tcPr>
          <w:p>
            <w:pPr>
              <w:pStyle w:val="TableParagraph"/>
              <w:spacing w:line="249" w:lineRule="auto" w:before="60"/>
              <w:ind w:left="110" w:right="637"/>
              <w:rPr>
                <w:sz w:val="20"/>
              </w:rPr>
            </w:pPr>
            <w:r>
              <w:rPr>
                <w:sz w:val="20"/>
              </w:rPr>
              <w:t>роботассистированная</w:t>
            </w:r>
            <w:r>
              <w:rPr>
                <w:spacing w:val="-13"/>
                <w:sz w:val="20"/>
              </w:rPr>
              <w:t> </w:t>
            </w:r>
            <w:r>
              <w:rPr>
                <w:sz w:val="20"/>
              </w:rPr>
              <w:t>дистальная субтотальная резекция желудка</w:t>
            </w:r>
          </w:p>
        </w:tc>
      </w:tr>
      <w:tr>
        <w:trPr>
          <w:trHeight w:val="840" w:hRule="atLeast"/>
        </w:trPr>
        <w:tc>
          <w:tcPr>
            <w:tcW w:w="1888" w:type="dxa"/>
          </w:tcPr>
          <w:p>
            <w:pPr>
              <w:pStyle w:val="TableParagraph"/>
              <w:spacing w:before="60"/>
              <w:ind w:left="734"/>
              <w:rPr>
                <w:sz w:val="20"/>
              </w:rPr>
            </w:pPr>
            <w:r>
              <w:rPr>
                <w:spacing w:val="-5"/>
                <w:sz w:val="20"/>
              </w:rPr>
              <w:t>C17</w:t>
            </w:r>
          </w:p>
        </w:tc>
        <w:tc>
          <w:tcPr>
            <w:tcW w:w="3366" w:type="dxa"/>
          </w:tcPr>
          <w:p>
            <w:pPr>
              <w:pStyle w:val="TableParagraph"/>
              <w:spacing w:line="249" w:lineRule="auto" w:before="60"/>
              <w:ind w:left="140"/>
              <w:rPr>
                <w:sz w:val="20"/>
              </w:rPr>
            </w:pPr>
            <w:r>
              <w:rPr>
                <w:sz w:val="20"/>
              </w:rPr>
              <w:t>начальные</w:t>
            </w:r>
            <w:r>
              <w:rPr>
                <w:spacing w:val="-13"/>
                <w:sz w:val="20"/>
              </w:rPr>
              <w:t> </w:t>
            </w:r>
            <w:r>
              <w:rPr>
                <w:sz w:val="20"/>
              </w:rPr>
              <w:t>и</w:t>
            </w:r>
            <w:r>
              <w:rPr>
                <w:spacing w:val="-12"/>
                <w:sz w:val="20"/>
              </w:rPr>
              <w:t> </w:t>
            </w:r>
            <w:r>
              <w:rPr>
                <w:sz w:val="20"/>
              </w:rPr>
              <w:t>локализованные</w:t>
            </w:r>
            <w:r>
              <w:rPr>
                <w:spacing w:val="-13"/>
                <w:sz w:val="20"/>
              </w:rPr>
              <w:t> </w:t>
            </w:r>
            <w:r>
              <w:rPr>
                <w:sz w:val="20"/>
              </w:rPr>
              <w:t>формы злокачественных новообразований тонкой кишки</w:t>
            </w:r>
          </w:p>
        </w:tc>
        <w:tc>
          <w:tcPr>
            <w:tcW w:w="1445" w:type="dxa"/>
          </w:tcPr>
          <w:p>
            <w:pPr>
              <w:pStyle w:val="TableParagraph"/>
              <w:spacing w:line="249" w:lineRule="auto" w:before="60"/>
              <w:ind w:left="81"/>
              <w:rPr>
                <w:sz w:val="20"/>
              </w:rPr>
            </w:pPr>
            <w:r>
              <w:rPr>
                <w:spacing w:val="-2"/>
                <w:sz w:val="20"/>
              </w:rPr>
              <w:t>хирургическое лечение</w:t>
            </w:r>
          </w:p>
        </w:tc>
        <w:tc>
          <w:tcPr>
            <w:tcW w:w="3681" w:type="dxa"/>
          </w:tcPr>
          <w:p>
            <w:pPr>
              <w:pStyle w:val="TableParagraph"/>
              <w:spacing w:line="249" w:lineRule="auto" w:before="60"/>
              <w:ind w:left="110" w:right="24"/>
              <w:rPr>
                <w:sz w:val="20"/>
              </w:rPr>
            </w:pPr>
            <w:r>
              <w:rPr>
                <w:sz w:val="20"/>
              </w:rPr>
              <w:t>роботассистированная</w:t>
            </w:r>
            <w:r>
              <w:rPr>
                <w:spacing w:val="-13"/>
                <w:sz w:val="20"/>
              </w:rPr>
              <w:t> </w:t>
            </w:r>
            <w:r>
              <w:rPr>
                <w:sz w:val="20"/>
              </w:rPr>
              <w:t>резекция</w:t>
            </w:r>
            <w:r>
              <w:rPr>
                <w:spacing w:val="-12"/>
                <w:sz w:val="20"/>
              </w:rPr>
              <w:t> </w:t>
            </w:r>
            <w:r>
              <w:rPr>
                <w:sz w:val="20"/>
              </w:rPr>
              <w:t>тонкой </w:t>
            </w:r>
            <w:r>
              <w:rPr>
                <w:spacing w:val="-2"/>
                <w:sz w:val="20"/>
              </w:rPr>
              <w:t>кишки</w:t>
            </w:r>
          </w:p>
        </w:tc>
      </w:tr>
      <w:tr>
        <w:trPr>
          <w:trHeight w:val="600" w:hRule="atLeast"/>
        </w:trPr>
        <w:tc>
          <w:tcPr>
            <w:tcW w:w="1888" w:type="dxa"/>
          </w:tcPr>
          <w:p>
            <w:pPr>
              <w:pStyle w:val="TableParagraph"/>
              <w:spacing w:line="249" w:lineRule="auto" w:before="60"/>
              <w:ind w:left="660" w:hanging="611"/>
              <w:rPr>
                <w:sz w:val="20"/>
              </w:rPr>
            </w:pPr>
            <w:r>
              <w:rPr>
                <w:sz w:val="20"/>
              </w:rPr>
              <w:t>C18.1,</w:t>
            </w:r>
            <w:r>
              <w:rPr>
                <w:spacing w:val="-13"/>
                <w:sz w:val="20"/>
              </w:rPr>
              <w:t> </w:t>
            </w:r>
            <w:r>
              <w:rPr>
                <w:sz w:val="20"/>
              </w:rPr>
              <w:t>C18.2,</w:t>
            </w:r>
            <w:r>
              <w:rPr>
                <w:spacing w:val="-12"/>
                <w:sz w:val="20"/>
              </w:rPr>
              <w:t> </w:t>
            </w:r>
            <w:r>
              <w:rPr>
                <w:sz w:val="20"/>
              </w:rPr>
              <w:t>C18.3, </w:t>
            </w:r>
            <w:r>
              <w:rPr>
                <w:spacing w:val="-2"/>
                <w:sz w:val="20"/>
              </w:rPr>
              <w:t>C18.4</w:t>
            </w:r>
          </w:p>
        </w:tc>
        <w:tc>
          <w:tcPr>
            <w:tcW w:w="3366" w:type="dxa"/>
          </w:tcPr>
          <w:p>
            <w:pPr>
              <w:pStyle w:val="TableParagraph"/>
              <w:spacing w:line="249" w:lineRule="auto" w:before="60"/>
              <w:ind w:left="140"/>
              <w:rPr>
                <w:sz w:val="20"/>
              </w:rPr>
            </w:pPr>
            <w:r>
              <w:rPr>
                <w:sz w:val="20"/>
              </w:rPr>
              <w:t>локализованные</w:t>
            </w:r>
            <w:r>
              <w:rPr>
                <w:spacing w:val="-13"/>
                <w:sz w:val="20"/>
              </w:rPr>
              <w:t> </w:t>
            </w:r>
            <w:r>
              <w:rPr>
                <w:sz w:val="20"/>
              </w:rPr>
              <w:t>опухоли</w:t>
            </w:r>
            <w:r>
              <w:rPr>
                <w:spacing w:val="-12"/>
                <w:sz w:val="20"/>
              </w:rPr>
              <w:t> </w:t>
            </w:r>
            <w:r>
              <w:rPr>
                <w:sz w:val="20"/>
              </w:rPr>
              <w:t>правой половины ободочной кишки</w:t>
            </w:r>
          </w:p>
        </w:tc>
        <w:tc>
          <w:tcPr>
            <w:tcW w:w="1445" w:type="dxa"/>
          </w:tcPr>
          <w:p>
            <w:pPr>
              <w:pStyle w:val="TableParagraph"/>
              <w:spacing w:line="249" w:lineRule="auto" w:before="60"/>
              <w:ind w:left="81"/>
              <w:rPr>
                <w:sz w:val="20"/>
              </w:rPr>
            </w:pPr>
            <w:r>
              <w:rPr>
                <w:spacing w:val="-2"/>
                <w:sz w:val="20"/>
              </w:rPr>
              <w:t>хирургическое лечение</w:t>
            </w:r>
          </w:p>
        </w:tc>
        <w:tc>
          <w:tcPr>
            <w:tcW w:w="3681" w:type="dxa"/>
          </w:tcPr>
          <w:p>
            <w:pPr>
              <w:pStyle w:val="TableParagraph"/>
              <w:spacing w:line="249" w:lineRule="auto" w:before="60"/>
              <w:ind w:left="110" w:right="225"/>
              <w:rPr>
                <w:sz w:val="20"/>
              </w:rPr>
            </w:pPr>
            <w:r>
              <w:rPr>
                <w:sz w:val="20"/>
              </w:rPr>
              <w:t>роботассистированная</w:t>
            </w:r>
            <w:r>
              <w:rPr>
                <w:spacing w:val="-13"/>
                <w:sz w:val="20"/>
              </w:rPr>
              <w:t> </w:t>
            </w:r>
            <w:r>
              <w:rPr>
                <w:sz w:val="20"/>
              </w:rPr>
              <w:t>правосторонняя </w:t>
            </w:r>
            <w:r>
              <w:rPr>
                <w:spacing w:val="-2"/>
                <w:sz w:val="20"/>
              </w:rPr>
              <w:t>гемиколэктомия</w:t>
            </w:r>
          </w:p>
        </w:tc>
      </w:tr>
      <w:tr>
        <w:trPr>
          <w:trHeight w:val="77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0" w:lineRule="atLeast" w:before="30"/>
              <w:ind w:left="110" w:right="225"/>
              <w:rPr>
                <w:sz w:val="20"/>
              </w:rPr>
            </w:pPr>
            <w:r>
              <w:rPr>
                <w:sz w:val="20"/>
              </w:rPr>
              <w:t>роботассистированная</w:t>
            </w:r>
            <w:r>
              <w:rPr>
                <w:spacing w:val="-13"/>
                <w:sz w:val="20"/>
              </w:rPr>
              <w:t> </w:t>
            </w:r>
            <w:r>
              <w:rPr>
                <w:sz w:val="20"/>
              </w:rPr>
              <w:t>правосторонняя гемиколэктомия с расширенной </w:t>
            </w:r>
            <w:r>
              <w:rPr>
                <w:spacing w:val="-2"/>
                <w:sz w:val="20"/>
              </w:rPr>
              <w:t>лимфаденэктомией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4"/>
        <w:gridCol w:w="3368"/>
        <w:gridCol w:w="1601"/>
        <w:gridCol w:w="3572"/>
      </w:tblGrid>
      <w:tr>
        <w:trPr>
          <w:trHeight w:val="530" w:hRule="atLeast"/>
        </w:trPr>
        <w:tc>
          <w:tcPr>
            <w:tcW w:w="1414" w:type="dxa"/>
          </w:tcPr>
          <w:p>
            <w:pPr>
              <w:pStyle w:val="TableParagraph"/>
              <w:spacing w:line="221" w:lineRule="exact"/>
              <w:ind w:right="294"/>
              <w:jc w:val="right"/>
              <w:rPr>
                <w:sz w:val="20"/>
              </w:rPr>
            </w:pPr>
            <w:r>
              <w:rPr>
                <w:sz w:val="20"/>
              </w:rPr>
              <w:t>C18.5,</w:t>
            </w:r>
            <w:r>
              <w:rPr>
                <w:spacing w:val="-4"/>
                <w:sz w:val="20"/>
              </w:rPr>
              <w:t> </w:t>
            </w:r>
            <w:r>
              <w:rPr>
                <w:spacing w:val="-2"/>
                <w:sz w:val="20"/>
              </w:rPr>
              <w:t>C18.6</w:t>
            </w:r>
          </w:p>
        </w:tc>
        <w:tc>
          <w:tcPr>
            <w:tcW w:w="3368" w:type="dxa"/>
          </w:tcPr>
          <w:p>
            <w:pPr>
              <w:pStyle w:val="TableParagraph"/>
              <w:spacing w:line="249" w:lineRule="auto"/>
              <w:ind w:left="297"/>
              <w:rPr>
                <w:sz w:val="20"/>
              </w:rPr>
            </w:pPr>
            <w:r>
              <w:rPr>
                <w:sz w:val="20"/>
              </w:rPr>
              <w:t>локализованные</w:t>
            </w:r>
            <w:r>
              <w:rPr>
                <w:spacing w:val="-13"/>
                <w:sz w:val="20"/>
              </w:rPr>
              <w:t> </w:t>
            </w:r>
            <w:r>
              <w:rPr>
                <w:sz w:val="20"/>
              </w:rPr>
              <w:t>опухоли</w:t>
            </w:r>
            <w:r>
              <w:rPr>
                <w:spacing w:val="-12"/>
                <w:sz w:val="20"/>
              </w:rPr>
              <w:t> </w:t>
            </w:r>
            <w:r>
              <w:rPr>
                <w:sz w:val="20"/>
              </w:rPr>
              <w:t>левой половины ободочной кишки</w:t>
            </w:r>
          </w:p>
        </w:tc>
        <w:tc>
          <w:tcPr>
            <w:tcW w:w="1601" w:type="dxa"/>
          </w:tcPr>
          <w:p>
            <w:pPr>
              <w:pStyle w:val="TableParagraph"/>
              <w:spacing w:line="249" w:lineRule="auto"/>
              <w:ind w:left="236"/>
              <w:rPr>
                <w:sz w:val="20"/>
              </w:rPr>
            </w:pPr>
            <w:r>
              <w:rPr>
                <w:spacing w:val="-2"/>
                <w:sz w:val="20"/>
              </w:rPr>
              <w:t>хирургическое лечение</w:t>
            </w:r>
          </w:p>
        </w:tc>
        <w:tc>
          <w:tcPr>
            <w:tcW w:w="3572" w:type="dxa"/>
          </w:tcPr>
          <w:p>
            <w:pPr>
              <w:pStyle w:val="TableParagraph"/>
              <w:spacing w:line="249" w:lineRule="auto"/>
              <w:ind w:left="110" w:right="224"/>
              <w:rPr>
                <w:sz w:val="20"/>
              </w:rPr>
            </w:pPr>
            <w:r>
              <w:rPr>
                <w:sz w:val="20"/>
              </w:rPr>
              <w:t>роботассистированная</w:t>
            </w:r>
            <w:r>
              <w:rPr>
                <w:spacing w:val="-13"/>
                <w:sz w:val="20"/>
              </w:rPr>
              <w:t> </w:t>
            </w:r>
            <w:r>
              <w:rPr>
                <w:sz w:val="20"/>
              </w:rPr>
              <w:t>левосторонняя </w:t>
            </w:r>
            <w:r>
              <w:rPr>
                <w:spacing w:val="-2"/>
                <w:sz w:val="20"/>
              </w:rPr>
              <w:t>гемиколэктомия</w:t>
            </w:r>
          </w:p>
        </w:tc>
      </w:tr>
      <w:tr>
        <w:trPr>
          <w:trHeight w:val="84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224"/>
              <w:rPr>
                <w:sz w:val="20"/>
              </w:rPr>
            </w:pPr>
            <w:r>
              <w:rPr>
                <w:sz w:val="20"/>
              </w:rPr>
              <w:t>роботассистированная</w:t>
            </w:r>
            <w:r>
              <w:rPr>
                <w:spacing w:val="-13"/>
                <w:sz w:val="20"/>
              </w:rPr>
              <w:t> </w:t>
            </w:r>
            <w:r>
              <w:rPr>
                <w:sz w:val="20"/>
              </w:rPr>
              <w:t>левосторонняя гемиколэктомия с расширенной </w:t>
            </w:r>
            <w:r>
              <w:rPr>
                <w:spacing w:val="-2"/>
                <w:sz w:val="20"/>
              </w:rPr>
              <w:t>лимфаденэктомией</w:t>
            </w:r>
          </w:p>
        </w:tc>
      </w:tr>
      <w:tr>
        <w:trPr>
          <w:trHeight w:val="600" w:hRule="atLeast"/>
        </w:trPr>
        <w:tc>
          <w:tcPr>
            <w:tcW w:w="1414" w:type="dxa"/>
          </w:tcPr>
          <w:p>
            <w:pPr>
              <w:pStyle w:val="TableParagraph"/>
              <w:spacing w:before="60"/>
              <w:ind w:right="368"/>
              <w:jc w:val="right"/>
              <w:rPr>
                <w:sz w:val="20"/>
              </w:rPr>
            </w:pPr>
            <w:r>
              <w:rPr>
                <w:sz w:val="20"/>
              </w:rPr>
              <w:t>C18.7,</w:t>
            </w:r>
            <w:r>
              <w:rPr>
                <w:spacing w:val="-4"/>
                <w:sz w:val="20"/>
              </w:rPr>
              <w:t> </w:t>
            </w:r>
            <w:r>
              <w:rPr>
                <w:spacing w:val="-5"/>
                <w:sz w:val="20"/>
              </w:rPr>
              <w:t>C19</w:t>
            </w:r>
          </w:p>
        </w:tc>
        <w:tc>
          <w:tcPr>
            <w:tcW w:w="3368" w:type="dxa"/>
            <w:vMerge w:val="restart"/>
          </w:tcPr>
          <w:p>
            <w:pPr>
              <w:pStyle w:val="TableParagraph"/>
              <w:spacing w:line="249" w:lineRule="auto" w:before="60"/>
              <w:ind w:left="297" w:right="871"/>
              <w:rPr>
                <w:sz w:val="20"/>
              </w:rPr>
            </w:pPr>
            <w:r>
              <w:rPr>
                <w:sz w:val="20"/>
              </w:rPr>
              <w:t>локализованные</w:t>
            </w:r>
            <w:r>
              <w:rPr>
                <w:spacing w:val="-7"/>
                <w:sz w:val="20"/>
              </w:rPr>
              <w:t> </w:t>
            </w:r>
            <w:r>
              <w:rPr>
                <w:sz w:val="20"/>
              </w:rPr>
              <w:t>опухоли сигмовидной кишки и ректосигмоидного</w:t>
            </w:r>
            <w:r>
              <w:rPr>
                <w:spacing w:val="-13"/>
                <w:sz w:val="20"/>
              </w:rPr>
              <w:t> </w:t>
            </w:r>
            <w:r>
              <w:rPr>
                <w:sz w:val="20"/>
              </w:rPr>
              <w:t>отдела</w:t>
            </w:r>
          </w:p>
        </w:tc>
        <w:tc>
          <w:tcPr>
            <w:tcW w:w="1601" w:type="dxa"/>
          </w:tcPr>
          <w:p>
            <w:pPr>
              <w:pStyle w:val="TableParagraph"/>
              <w:spacing w:line="249" w:lineRule="auto" w:before="60"/>
              <w:ind w:left="236"/>
              <w:rPr>
                <w:sz w:val="20"/>
              </w:rPr>
            </w:pPr>
            <w:r>
              <w:rPr>
                <w:spacing w:val="-2"/>
                <w:sz w:val="20"/>
              </w:rPr>
              <w:t>хирургическое лечение</w:t>
            </w:r>
          </w:p>
        </w:tc>
        <w:tc>
          <w:tcPr>
            <w:tcW w:w="3572" w:type="dxa"/>
          </w:tcPr>
          <w:p>
            <w:pPr>
              <w:pStyle w:val="TableParagraph"/>
              <w:spacing w:line="249" w:lineRule="auto" w:before="60"/>
              <w:ind w:left="110" w:right="721"/>
              <w:rPr>
                <w:sz w:val="20"/>
              </w:rPr>
            </w:pPr>
            <w:r>
              <w:rPr>
                <w:sz w:val="20"/>
              </w:rPr>
              <w:t>роботассистированная</w:t>
            </w:r>
            <w:r>
              <w:rPr>
                <w:spacing w:val="-13"/>
                <w:sz w:val="20"/>
              </w:rPr>
              <w:t> </w:t>
            </w:r>
            <w:r>
              <w:rPr>
                <w:sz w:val="20"/>
              </w:rPr>
              <w:t>резекция сигмовидной кишки</w:t>
            </w:r>
          </w:p>
        </w:tc>
      </w:tr>
      <w:tr>
        <w:trPr>
          <w:trHeight w:val="840" w:hRule="atLeast"/>
        </w:trPr>
        <w:tc>
          <w:tcPr>
            <w:tcW w:w="1414" w:type="dxa"/>
          </w:tcPr>
          <w:p>
            <w:pPr>
              <w:pStyle w:val="TableParagraph"/>
              <w:rPr>
                <w:sz w:val="18"/>
              </w:rPr>
            </w:pPr>
          </w:p>
        </w:tc>
        <w:tc>
          <w:tcPr>
            <w:tcW w:w="3368" w:type="dxa"/>
            <w:vMerge/>
            <w:tcBorders>
              <w:top w:val="nil"/>
            </w:tcBorders>
          </w:tcPr>
          <w:p>
            <w:pPr>
              <w:rPr>
                <w:sz w:val="2"/>
                <w:szCs w:val="2"/>
              </w:rPr>
            </w:pPr>
          </w:p>
        </w:tc>
        <w:tc>
          <w:tcPr>
            <w:tcW w:w="1601" w:type="dxa"/>
          </w:tcPr>
          <w:p>
            <w:pPr>
              <w:pStyle w:val="TableParagraph"/>
              <w:rPr>
                <w:sz w:val="18"/>
              </w:rPr>
            </w:pPr>
          </w:p>
        </w:tc>
        <w:tc>
          <w:tcPr>
            <w:tcW w:w="3572" w:type="dxa"/>
          </w:tcPr>
          <w:p>
            <w:pPr>
              <w:pStyle w:val="TableParagraph"/>
              <w:spacing w:line="249" w:lineRule="auto" w:before="60"/>
              <w:ind w:left="110" w:right="224"/>
              <w:rPr>
                <w:sz w:val="20"/>
              </w:rPr>
            </w:pPr>
            <w:r>
              <w:rPr>
                <w:sz w:val="20"/>
              </w:rPr>
              <w:t>роботассистированная резекция сигмовидной</w:t>
            </w:r>
            <w:r>
              <w:rPr>
                <w:spacing w:val="-13"/>
                <w:sz w:val="20"/>
              </w:rPr>
              <w:t> </w:t>
            </w:r>
            <w:r>
              <w:rPr>
                <w:sz w:val="20"/>
              </w:rPr>
              <w:t>кишки</w:t>
            </w:r>
            <w:r>
              <w:rPr>
                <w:spacing w:val="-12"/>
                <w:sz w:val="20"/>
              </w:rPr>
              <w:t> </w:t>
            </w:r>
            <w:r>
              <w:rPr>
                <w:sz w:val="20"/>
              </w:rPr>
              <w:t>с</w:t>
            </w:r>
            <w:r>
              <w:rPr>
                <w:spacing w:val="-13"/>
                <w:sz w:val="20"/>
              </w:rPr>
              <w:t> </w:t>
            </w:r>
            <w:r>
              <w:rPr>
                <w:sz w:val="20"/>
              </w:rPr>
              <w:t>расширенной </w:t>
            </w:r>
            <w:r>
              <w:rPr>
                <w:spacing w:val="-2"/>
                <w:sz w:val="20"/>
              </w:rPr>
              <w:t>лимфаденэктомией</w:t>
            </w:r>
          </w:p>
        </w:tc>
      </w:tr>
      <w:tr>
        <w:trPr>
          <w:trHeight w:val="600" w:hRule="atLeast"/>
        </w:trPr>
        <w:tc>
          <w:tcPr>
            <w:tcW w:w="1414" w:type="dxa"/>
          </w:tcPr>
          <w:p>
            <w:pPr>
              <w:pStyle w:val="TableParagraph"/>
              <w:spacing w:before="60"/>
              <w:ind w:left="417"/>
              <w:rPr>
                <w:sz w:val="20"/>
              </w:rPr>
            </w:pPr>
            <w:r>
              <w:rPr>
                <w:spacing w:val="-5"/>
                <w:sz w:val="20"/>
              </w:rPr>
              <w:t>C20</w:t>
            </w:r>
          </w:p>
        </w:tc>
        <w:tc>
          <w:tcPr>
            <w:tcW w:w="3368" w:type="dxa"/>
          </w:tcPr>
          <w:p>
            <w:pPr>
              <w:pStyle w:val="TableParagraph"/>
              <w:spacing w:line="249" w:lineRule="auto" w:before="60"/>
              <w:ind w:left="297"/>
              <w:rPr>
                <w:sz w:val="20"/>
              </w:rPr>
            </w:pPr>
            <w:r>
              <w:rPr>
                <w:sz w:val="20"/>
              </w:rPr>
              <w:t>локализованные</w:t>
            </w:r>
            <w:r>
              <w:rPr>
                <w:spacing w:val="-13"/>
                <w:sz w:val="20"/>
              </w:rPr>
              <w:t> </w:t>
            </w:r>
            <w:r>
              <w:rPr>
                <w:sz w:val="20"/>
              </w:rPr>
              <w:t>опухоли</w:t>
            </w:r>
            <w:r>
              <w:rPr>
                <w:spacing w:val="-12"/>
                <w:sz w:val="20"/>
              </w:rPr>
              <w:t> </w:t>
            </w:r>
            <w:r>
              <w:rPr>
                <w:sz w:val="20"/>
              </w:rPr>
              <w:t>прямой </w:t>
            </w:r>
            <w:r>
              <w:rPr>
                <w:spacing w:val="-2"/>
                <w:sz w:val="20"/>
              </w:rPr>
              <w:t>кишки</w:t>
            </w:r>
          </w:p>
        </w:tc>
        <w:tc>
          <w:tcPr>
            <w:tcW w:w="1601" w:type="dxa"/>
          </w:tcPr>
          <w:p>
            <w:pPr>
              <w:pStyle w:val="TableParagraph"/>
              <w:spacing w:line="249" w:lineRule="auto" w:before="60"/>
              <w:ind w:left="236"/>
              <w:rPr>
                <w:sz w:val="20"/>
              </w:rPr>
            </w:pPr>
            <w:r>
              <w:rPr>
                <w:spacing w:val="-2"/>
                <w:sz w:val="20"/>
              </w:rPr>
              <w:t>хирургическое лечение</w:t>
            </w:r>
          </w:p>
        </w:tc>
        <w:tc>
          <w:tcPr>
            <w:tcW w:w="3572" w:type="dxa"/>
          </w:tcPr>
          <w:p>
            <w:pPr>
              <w:pStyle w:val="TableParagraph"/>
              <w:spacing w:line="249" w:lineRule="auto" w:before="60"/>
              <w:ind w:left="110"/>
              <w:rPr>
                <w:sz w:val="20"/>
              </w:rPr>
            </w:pPr>
            <w:r>
              <w:rPr>
                <w:sz w:val="20"/>
              </w:rPr>
              <w:t>роботассистированная</w:t>
            </w:r>
            <w:r>
              <w:rPr>
                <w:spacing w:val="-13"/>
                <w:sz w:val="20"/>
              </w:rPr>
              <w:t> </w:t>
            </w:r>
            <w:r>
              <w:rPr>
                <w:sz w:val="20"/>
              </w:rPr>
              <w:t>резекция</w:t>
            </w:r>
            <w:r>
              <w:rPr>
                <w:spacing w:val="-12"/>
                <w:sz w:val="20"/>
              </w:rPr>
              <w:t> </w:t>
            </w:r>
            <w:r>
              <w:rPr>
                <w:sz w:val="20"/>
              </w:rPr>
              <w:t>прямой </w:t>
            </w:r>
            <w:r>
              <w:rPr>
                <w:spacing w:val="-2"/>
                <w:sz w:val="20"/>
              </w:rPr>
              <w:t>кишки</w:t>
            </w:r>
          </w:p>
        </w:tc>
      </w:tr>
      <w:tr>
        <w:trPr>
          <w:trHeight w:val="84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Pr>
                <w:sz w:val="20"/>
              </w:rPr>
            </w:pPr>
            <w:r>
              <w:rPr>
                <w:sz w:val="20"/>
              </w:rPr>
              <w:t>роботассистированная</w:t>
            </w:r>
            <w:r>
              <w:rPr>
                <w:spacing w:val="-13"/>
                <w:sz w:val="20"/>
              </w:rPr>
              <w:t> </w:t>
            </w:r>
            <w:r>
              <w:rPr>
                <w:sz w:val="20"/>
              </w:rPr>
              <w:t>резекция</w:t>
            </w:r>
            <w:r>
              <w:rPr>
                <w:spacing w:val="-12"/>
                <w:sz w:val="20"/>
              </w:rPr>
              <w:t> </w:t>
            </w:r>
            <w:r>
              <w:rPr>
                <w:sz w:val="20"/>
              </w:rPr>
              <w:t>прямой кишки с расширенной </w:t>
            </w:r>
            <w:r>
              <w:rPr>
                <w:spacing w:val="-2"/>
                <w:sz w:val="20"/>
              </w:rPr>
              <w:t>лимфаденэктомией</w:t>
            </w:r>
          </w:p>
        </w:tc>
      </w:tr>
      <w:tr>
        <w:trPr>
          <w:trHeight w:val="600" w:hRule="atLeast"/>
        </w:trPr>
        <w:tc>
          <w:tcPr>
            <w:tcW w:w="1414" w:type="dxa"/>
          </w:tcPr>
          <w:p>
            <w:pPr>
              <w:pStyle w:val="TableParagraph"/>
              <w:spacing w:before="60"/>
              <w:ind w:left="417"/>
              <w:rPr>
                <w:sz w:val="20"/>
              </w:rPr>
            </w:pPr>
            <w:r>
              <w:rPr>
                <w:spacing w:val="-5"/>
                <w:sz w:val="20"/>
              </w:rPr>
              <w:t>C22</w:t>
            </w:r>
          </w:p>
        </w:tc>
        <w:tc>
          <w:tcPr>
            <w:tcW w:w="3368" w:type="dxa"/>
          </w:tcPr>
          <w:p>
            <w:pPr>
              <w:pStyle w:val="TableParagraph"/>
              <w:spacing w:line="249" w:lineRule="auto" w:before="60"/>
              <w:ind w:left="297"/>
              <w:rPr>
                <w:sz w:val="20"/>
              </w:rPr>
            </w:pPr>
            <w:r>
              <w:rPr>
                <w:sz w:val="20"/>
              </w:rPr>
              <w:t>резектабельные первичные и метастатические</w:t>
            </w:r>
            <w:r>
              <w:rPr>
                <w:spacing w:val="-13"/>
                <w:sz w:val="20"/>
              </w:rPr>
              <w:t> </w:t>
            </w:r>
            <w:r>
              <w:rPr>
                <w:sz w:val="20"/>
              </w:rPr>
              <w:t>опухоли</w:t>
            </w:r>
            <w:r>
              <w:rPr>
                <w:spacing w:val="-12"/>
                <w:sz w:val="20"/>
              </w:rPr>
              <w:t> </w:t>
            </w:r>
            <w:r>
              <w:rPr>
                <w:sz w:val="20"/>
              </w:rPr>
              <w:t>печени</w:t>
            </w:r>
          </w:p>
        </w:tc>
        <w:tc>
          <w:tcPr>
            <w:tcW w:w="1601" w:type="dxa"/>
          </w:tcPr>
          <w:p>
            <w:pPr>
              <w:pStyle w:val="TableParagraph"/>
              <w:spacing w:line="249" w:lineRule="auto" w:before="60"/>
              <w:ind w:left="236"/>
              <w:rPr>
                <w:sz w:val="20"/>
              </w:rPr>
            </w:pPr>
            <w:r>
              <w:rPr>
                <w:spacing w:val="-2"/>
                <w:sz w:val="20"/>
              </w:rPr>
              <w:t>хирургическое лечение</w:t>
            </w:r>
          </w:p>
        </w:tc>
        <w:tc>
          <w:tcPr>
            <w:tcW w:w="3572" w:type="dxa"/>
          </w:tcPr>
          <w:p>
            <w:pPr>
              <w:pStyle w:val="TableParagraph"/>
              <w:spacing w:line="249" w:lineRule="auto" w:before="60"/>
              <w:ind w:left="110" w:right="219"/>
              <w:rPr>
                <w:sz w:val="20"/>
              </w:rPr>
            </w:pPr>
            <w:r>
              <w:rPr>
                <w:sz w:val="20"/>
              </w:rPr>
              <w:t>роботассистированная</w:t>
            </w:r>
            <w:r>
              <w:rPr>
                <w:spacing w:val="-13"/>
                <w:sz w:val="20"/>
              </w:rPr>
              <w:t> </w:t>
            </w:r>
            <w:r>
              <w:rPr>
                <w:sz w:val="20"/>
              </w:rPr>
              <w:t>анатомическая резекция печени</w:t>
            </w:r>
          </w:p>
        </w:tc>
      </w:tr>
      <w:tr>
        <w:trPr>
          <w:trHeight w:val="60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116"/>
              <w:rPr>
                <w:sz w:val="20"/>
              </w:rPr>
            </w:pPr>
            <w:r>
              <w:rPr>
                <w:sz w:val="20"/>
              </w:rPr>
              <w:t>роботассистированная</w:t>
            </w:r>
            <w:r>
              <w:rPr>
                <w:spacing w:val="-13"/>
                <w:sz w:val="20"/>
              </w:rPr>
              <w:t> </w:t>
            </w:r>
            <w:r>
              <w:rPr>
                <w:sz w:val="20"/>
              </w:rPr>
              <w:t>правосторонняя </w:t>
            </w:r>
            <w:r>
              <w:rPr>
                <w:spacing w:val="-2"/>
                <w:sz w:val="20"/>
              </w:rPr>
              <w:t>гемигепатэктомия</w:t>
            </w:r>
          </w:p>
        </w:tc>
      </w:tr>
      <w:tr>
        <w:trPr>
          <w:trHeight w:val="60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224"/>
              <w:rPr>
                <w:sz w:val="20"/>
              </w:rPr>
            </w:pPr>
            <w:r>
              <w:rPr>
                <w:sz w:val="20"/>
              </w:rPr>
              <w:t>роботассистированная</w:t>
            </w:r>
            <w:r>
              <w:rPr>
                <w:spacing w:val="-13"/>
                <w:sz w:val="20"/>
              </w:rPr>
              <w:t> </w:t>
            </w:r>
            <w:r>
              <w:rPr>
                <w:sz w:val="20"/>
              </w:rPr>
              <w:t>левосторонняя </w:t>
            </w:r>
            <w:r>
              <w:rPr>
                <w:spacing w:val="-2"/>
                <w:sz w:val="20"/>
              </w:rPr>
              <w:t>гемигепатэктомия</w:t>
            </w:r>
          </w:p>
        </w:tc>
      </w:tr>
      <w:tr>
        <w:trPr>
          <w:trHeight w:val="60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359"/>
              <w:rPr>
                <w:sz w:val="20"/>
              </w:rPr>
            </w:pPr>
            <w:r>
              <w:rPr>
                <w:sz w:val="20"/>
              </w:rPr>
              <w:t>роботассистированная</w:t>
            </w:r>
            <w:r>
              <w:rPr>
                <w:spacing w:val="-13"/>
                <w:sz w:val="20"/>
              </w:rPr>
              <w:t> </w:t>
            </w:r>
            <w:r>
              <w:rPr>
                <w:sz w:val="20"/>
              </w:rPr>
              <w:t>расширенная правосторонняя гемигепатэктомия</w:t>
            </w:r>
          </w:p>
        </w:tc>
      </w:tr>
      <w:tr>
        <w:trPr>
          <w:trHeight w:val="599"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359"/>
              <w:rPr>
                <w:sz w:val="20"/>
              </w:rPr>
            </w:pPr>
            <w:r>
              <w:rPr>
                <w:sz w:val="20"/>
              </w:rPr>
              <w:t>роботассистированная</w:t>
            </w:r>
            <w:r>
              <w:rPr>
                <w:spacing w:val="-13"/>
                <w:sz w:val="20"/>
              </w:rPr>
              <w:t> </w:t>
            </w:r>
            <w:r>
              <w:rPr>
                <w:sz w:val="20"/>
              </w:rPr>
              <w:t>расширенная левосторонняя гемигепатэктомия</w:t>
            </w:r>
          </w:p>
        </w:tc>
      </w:tr>
      <w:tr>
        <w:trPr>
          <w:trHeight w:val="53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0" w:lineRule="atLeast" w:before="30"/>
              <w:ind w:left="110" w:right="573"/>
              <w:rPr>
                <w:sz w:val="20"/>
              </w:rPr>
            </w:pPr>
            <w:r>
              <w:rPr>
                <w:sz w:val="20"/>
              </w:rPr>
              <w:t>роботассистированная</w:t>
            </w:r>
            <w:r>
              <w:rPr>
                <w:spacing w:val="-13"/>
                <w:sz w:val="20"/>
              </w:rPr>
              <w:t> </w:t>
            </w:r>
            <w:r>
              <w:rPr>
                <w:sz w:val="20"/>
              </w:rPr>
              <w:t>медианная резекция печени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1"/>
        <w:gridCol w:w="3480"/>
        <w:gridCol w:w="1527"/>
        <w:gridCol w:w="3683"/>
      </w:tblGrid>
      <w:tr>
        <w:trPr>
          <w:trHeight w:val="770" w:hRule="atLeast"/>
        </w:trPr>
        <w:tc>
          <w:tcPr>
            <w:tcW w:w="1301" w:type="dxa"/>
          </w:tcPr>
          <w:p>
            <w:pPr>
              <w:pStyle w:val="TableParagraph"/>
              <w:spacing w:line="221" w:lineRule="exact"/>
              <w:ind w:left="35" w:right="319"/>
              <w:jc w:val="center"/>
              <w:rPr>
                <w:sz w:val="20"/>
              </w:rPr>
            </w:pPr>
            <w:r>
              <w:rPr>
                <w:spacing w:val="-5"/>
                <w:sz w:val="20"/>
              </w:rPr>
              <w:t>C23</w:t>
            </w:r>
          </w:p>
        </w:tc>
        <w:tc>
          <w:tcPr>
            <w:tcW w:w="3480" w:type="dxa"/>
          </w:tcPr>
          <w:p>
            <w:pPr>
              <w:pStyle w:val="TableParagraph"/>
              <w:spacing w:line="249" w:lineRule="auto"/>
              <w:ind w:left="333" w:right="152"/>
              <w:rPr>
                <w:sz w:val="20"/>
              </w:rPr>
            </w:pPr>
            <w:r>
              <w:rPr>
                <w:sz w:val="20"/>
              </w:rPr>
              <w:t>локализованные формы злокачественных</w:t>
            </w:r>
            <w:r>
              <w:rPr>
                <w:spacing w:val="-13"/>
                <w:sz w:val="20"/>
              </w:rPr>
              <w:t> </w:t>
            </w:r>
            <w:r>
              <w:rPr>
                <w:sz w:val="20"/>
              </w:rPr>
              <w:t>новообразований желчного пузыря</w:t>
            </w:r>
          </w:p>
        </w:tc>
        <w:tc>
          <w:tcPr>
            <w:tcW w:w="1527" w:type="dxa"/>
          </w:tcPr>
          <w:p>
            <w:pPr>
              <w:pStyle w:val="TableParagraph"/>
              <w:spacing w:line="249" w:lineRule="auto"/>
              <w:ind w:left="161"/>
              <w:rPr>
                <w:sz w:val="20"/>
              </w:rPr>
            </w:pPr>
            <w:r>
              <w:rPr>
                <w:spacing w:val="-2"/>
                <w:sz w:val="20"/>
              </w:rPr>
              <w:t>хирургическое лечение</w:t>
            </w:r>
          </w:p>
        </w:tc>
        <w:tc>
          <w:tcPr>
            <w:tcW w:w="3683" w:type="dxa"/>
          </w:tcPr>
          <w:p>
            <w:pPr>
              <w:pStyle w:val="TableParagraph"/>
              <w:spacing w:line="221" w:lineRule="exact"/>
              <w:ind w:left="108"/>
              <w:rPr>
                <w:sz w:val="20"/>
              </w:rPr>
            </w:pPr>
            <w:r>
              <w:rPr>
                <w:w w:val="95"/>
                <w:sz w:val="20"/>
              </w:rPr>
              <w:t>роботассистированная</w:t>
            </w:r>
            <w:r>
              <w:rPr>
                <w:spacing w:val="74"/>
                <w:sz w:val="20"/>
              </w:rPr>
              <w:t> </w:t>
            </w:r>
            <w:r>
              <w:rPr>
                <w:spacing w:val="-2"/>
                <w:sz w:val="20"/>
              </w:rPr>
              <w:t>холецистэктомия</w:t>
            </w:r>
          </w:p>
        </w:tc>
      </w:tr>
      <w:tr>
        <w:trPr>
          <w:trHeight w:val="600" w:hRule="atLeast"/>
        </w:trPr>
        <w:tc>
          <w:tcPr>
            <w:tcW w:w="1301" w:type="dxa"/>
          </w:tcPr>
          <w:p>
            <w:pPr>
              <w:pStyle w:val="TableParagraph"/>
              <w:spacing w:before="60"/>
              <w:ind w:left="35" w:right="319"/>
              <w:jc w:val="center"/>
              <w:rPr>
                <w:sz w:val="20"/>
              </w:rPr>
            </w:pPr>
            <w:r>
              <w:rPr>
                <w:spacing w:val="-5"/>
                <w:sz w:val="20"/>
              </w:rPr>
              <w:t>C24</w:t>
            </w:r>
          </w:p>
        </w:tc>
        <w:tc>
          <w:tcPr>
            <w:tcW w:w="3480" w:type="dxa"/>
          </w:tcPr>
          <w:p>
            <w:pPr>
              <w:pStyle w:val="TableParagraph"/>
              <w:spacing w:line="249" w:lineRule="auto" w:before="60"/>
              <w:ind w:left="333"/>
              <w:rPr>
                <w:sz w:val="20"/>
              </w:rPr>
            </w:pPr>
            <w:r>
              <w:rPr>
                <w:sz w:val="20"/>
              </w:rPr>
              <w:t>резектабельные опухоли внепеченочных</w:t>
            </w:r>
            <w:r>
              <w:rPr>
                <w:spacing w:val="-13"/>
                <w:sz w:val="20"/>
              </w:rPr>
              <w:t> </w:t>
            </w:r>
            <w:r>
              <w:rPr>
                <w:sz w:val="20"/>
              </w:rPr>
              <w:t>желчных</w:t>
            </w:r>
            <w:r>
              <w:rPr>
                <w:spacing w:val="-12"/>
                <w:sz w:val="20"/>
              </w:rPr>
              <w:t> </w:t>
            </w:r>
            <w:r>
              <w:rPr>
                <w:sz w:val="20"/>
              </w:rPr>
              <w:t>протоков</w:t>
            </w:r>
          </w:p>
        </w:tc>
        <w:tc>
          <w:tcPr>
            <w:tcW w:w="1527" w:type="dxa"/>
          </w:tcPr>
          <w:p>
            <w:pPr>
              <w:pStyle w:val="TableParagraph"/>
              <w:spacing w:line="249" w:lineRule="auto" w:before="60"/>
              <w:ind w:left="161"/>
              <w:rPr>
                <w:sz w:val="20"/>
              </w:rPr>
            </w:pPr>
            <w:r>
              <w:rPr>
                <w:spacing w:val="-2"/>
                <w:sz w:val="20"/>
              </w:rPr>
              <w:t>хирургическое лечение</w:t>
            </w:r>
          </w:p>
        </w:tc>
        <w:tc>
          <w:tcPr>
            <w:tcW w:w="3683" w:type="dxa"/>
          </w:tcPr>
          <w:p>
            <w:pPr>
              <w:pStyle w:val="TableParagraph"/>
              <w:spacing w:line="249" w:lineRule="auto" w:before="60"/>
              <w:ind w:left="108" w:right="662"/>
              <w:rPr>
                <w:sz w:val="20"/>
              </w:rPr>
            </w:pPr>
            <w:r>
              <w:rPr>
                <w:sz w:val="20"/>
              </w:rPr>
              <w:t>роботассистированная</w:t>
            </w:r>
            <w:r>
              <w:rPr>
                <w:spacing w:val="-13"/>
                <w:sz w:val="20"/>
              </w:rPr>
              <w:t> </w:t>
            </w:r>
            <w:r>
              <w:rPr>
                <w:sz w:val="20"/>
              </w:rPr>
              <w:t>панкреато- дуоденальная резекция</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Pr>
                <w:sz w:val="20"/>
              </w:rPr>
            </w:pPr>
            <w:r>
              <w:rPr>
                <w:sz w:val="20"/>
              </w:rPr>
              <w:t>роботассистированная панкреато- дуоденальная</w:t>
            </w:r>
            <w:r>
              <w:rPr>
                <w:spacing w:val="-13"/>
                <w:sz w:val="20"/>
              </w:rPr>
              <w:t> </w:t>
            </w:r>
            <w:r>
              <w:rPr>
                <w:sz w:val="20"/>
              </w:rPr>
              <w:t>резекция</w:t>
            </w:r>
            <w:r>
              <w:rPr>
                <w:spacing w:val="-12"/>
                <w:sz w:val="20"/>
              </w:rPr>
              <w:t> </w:t>
            </w:r>
            <w:r>
              <w:rPr>
                <w:sz w:val="20"/>
              </w:rPr>
              <w:t>с</w:t>
            </w:r>
            <w:r>
              <w:rPr>
                <w:spacing w:val="-13"/>
                <w:sz w:val="20"/>
              </w:rPr>
              <w:t> </w:t>
            </w:r>
            <w:r>
              <w:rPr>
                <w:sz w:val="20"/>
              </w:rPr>
              <w:t>расширенной </w:t>
            </w:r>
            <w:r>
              <w:rPr>
                <w:spacing w:val="-2"/>
                <w:sz w:val="20"/>
              </w:rPr>
              <w:t>лимфаденэктомией</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811"/>
              <w:rPr>
                <w:sz w:val="20"/>
              </w:rPr>
            </w:pPr>
            <w:r>
              <w:rPr>
                <w:spacing w:val="-2"/>
                <w:sz w:val="20"/>
              </w:rPr>
              <w:t>роботассистированная </w:t>
            </w:r>
            <w:r>
              <w:rPr>
                <w:sz w:val="20"/>
              </w:rPr>
              <w:t>пилоросохраняющая</w:t>
            </w:r>
            <w:r>
              <w:rPr>
                <w:spacing w:val="-13"/>
                <w:sz w:val="20"/>
              </w:rPr>
              <w:t> </w:t>
            </w:r>
            <w:r>
              <w:rPr>
                <w:sz w:val="20"/>
              </w:rPr>
              <w:t>панкреато- дуоденальная резекция</w:t>
            </w:r>
          </w:p>
        </w:tc>
      </w:tr>
      <w:tr>
        <w:trPr>
          <w:trHeight w:val="600" w:hRule="atLeast"/>
        </w:trPr>
        <w:tc>
          <w:tcPr>
            <w:tcW w:w="1301" w:type="dxa"/>
          </w:tcPr>
          <w:p>
            <w:pPr>
              <w:pStyle w:val="TableParagraph"/>
              <w:spacing w:before="60"/>
              <w:ind w:left="35" w:right="319"/>
              <w:jc w:val="center"/>
              <w:rPr>
                <w:sz w:val="20"/>
              </w:rPr>
            </w:pPr>
            <w:r>
              <w:rPr>
                <w:spacing w:val="-5"/>
                <w:sz w:val="20"/>
              </w:rPr>
              <w:t>C25</w:t>
            </w:r>
          </w:p>
        </w:tc>
        <w:tc>
          <w:tcPr>
            <w:tcW w:w="3480" w:type="dxa"/>
          </w:tcPr>
          <w:p>
            <w:pPr>
              <w:pStyle w:val="TableParagraph"/>
              <w:spacing w:line="252" w:lineRule="auto" w:before="60"/>
              <w:ind w:left="333" w:right="1034"/>
              <w:rPr>
                <w:sz w:val="20"/>
              </w:rPr>
            </w:pPr>
            <w:r>
              <w:rPr>
                <w:sz w:val="20"/>
              </w:rPr>
              <w:t>резектабельные</w:t>
            </w:r>
            <w:r>
              <w:rPr>
                <w:spacing w:val="-13"/>
                <w:sz w:val="20"/>
              </w:rPr>
              <w:t> </w:t>
            </w:r>
            <w:r>
              <w:rPr>
                <w:sz w:val="20"/>
              </w:rPr>
              <w:t>опухоли поджелудочной железы</w:t>
            </w:r>
          </w:p>
        </w:tc>
        <w:tc>
          <w:tcPr>
            <w:tcW w:w="1527" w:type="dxa"/>
          </w:tcPr>
          <w:p>
            <w:pPr>
              <w:pStyle w:val="TableParagraph"/>
              <w:spacing w:line="252" w:lineRule="auto" w:before="60"/>
              <w:ind w:left="161"/>
              <w:rPr>
                <w:sz w:val="20"/>
              </w:rPr>
            </w:pPr>
            <w:r>
              <w:rPr>
                <w:spacing w:val="-2"/>
                <w:sz w:val="20"/>
              </w:rPr>
              <w:t>хирургическое лечение</w:t>
            </w:r>
          </w:p>
        </w:tc>
        <w:tc>
          <w:tcPr>
            <w:tcW w:w="3683" w:type="dxa"/>
          </w:tcPr>
          <w:p>
            <w:pPr>
              <w:pStyle w:val="TableParagraph"/>
              <w:spacing w:line="252" w:lineRule="auto" w:before="60"/>
              <w:ind w:left="108" w:right="662"/>
              <w:rPr>
                <w:sz w:val="20"/>
              </w:rPr>
            </w:pPr>
            <w:r>
              <w:rPr>
                <w:sz w:val="20"/>
              </w:rPr>
              <w:t>роботассистированная</w:t>
            </w:r>
            <w:r>
              <w:rPr>
                <w:spacing w:val="-13"/>
                <w:sz w:val="20"/>
              </w:rPr>
              <w:t> </w:t>
            </w:r>
            <w:r>
              <w:rPr>
                <w:sz w:val="20"/>
              </w:rPr>
              <w:t>панкреато- дуоденальная резекция</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Pr>
                <w:sz w:val="20"/>
              </w:rPr>
            </w:pPr>
            <w:r>
              <w:rPr>
                <w:sz w:val="20"/>
              </w:rPr>
              <w:t>роботассистированная панкреато- дуоденальная</w:t>
            </w:r>
            <w:r>
              <w:rPr>
                <w:spacing w:val="-13"/>
                <w:sz w:val="20"/>
              </w:rPr>
              <w:t> </w:t>
            </w:r>
            <w:r>
              <w:rPr>
                <w:sz w:val="20"/>
              </w:rPr>
              <w:t>резекция</w:t>
            </w:r>
            <w:r>
              <w:rPr>
                <w:spacing w:val="-12"/>
                <w:sz w:val="20"/>
              </w:rPr>
              <w:t> </w:t>
            </w:r>
            <w:r>
              <w:rPr>
                <w:sz w:val="20"/>
              </w:rPr>
              <w:t>с</w:t>
            </w:r>
            <w:r>
              <w:rPr>
                <w:spacing w:val="-13"/>
                <w:sz w:val="20"/>
              </w:rPr>
              <w:t> </w:t>
            </w:r>
            <w:r>
              <w:rPr>
                <w:sz w:val="20"/>
              </w:rPr>
              <w:t>расширенной </w:t>
            </w:r>
            <w:r>
              <w:rPr>
                <w:spacing w:val="-2"/>
                <w:sz w:val="20"/>
              </w:rPr>
              <w:t>лимфаденэктомией</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811"/>
              <w:rPr>
                <w:sz w:val="20"/>
              </w:rPr>
            </w:pPr>
            <w:r>
              <w:rPr>
                <w:spacing w:val="-2"/>
                <w:sz w:val="20"/>
              </w:rPr>
              <w:t>роботассистированная </w:t>
            </w:r>
            <w:r>
              <w:rPr>
                <w:sz w:val="20"/>
              </w:rPr>
              <w:t>пилоросохраняющая</w:t>
            </w:r>
            <w:r>
              <w:rPr>
                <w:spacing w:val="-13"/>
                <w:sz w:val="20"/>
              </w:rPr>
              <w:t> </w:t>
            </w:r>
            <w:r>
              <w:rPr>
                <w:sz w:val="20"/>
              </w:rPr>
              <w:t>панкреато- дуоденальная резекция</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596"/>
              <w:jc w:val="both"/>
              <w:rPr>
                <w:sz w:val="20"/>
              </w:rPr>
            </w:pPr>
            <w:r>
              <w:rPr>
                <w:sz w:val="20"/>
              </w:rPr>
              <w:t>роботассистированная дистальная резекция</w:t>
            </w:r>
            <w:r>
              <w:rPr>
                <w:spacing w:val="-13"/>
                <w:sz w:val="20"/>
              </w:rPr>
              <w:t> </w:t>
            </w:r>
            <w:r>
              <w:rPr>
                <w:sz w:val="20"/>
              </w:rPr>
              <w:t>поджелудочной</w:t>
            </w:r>
            <w:r>
              <w:rPr>
                <w:spacing w:val="-12"/>
                <w:sz w:val="20"/>
              </w:rPr>
              <w:t> </w:t>
            </w:r>
            <w:r>
              <w:rPr>
                <w:sz w:val="20"/>
              </w:rPr>
              <w:t>железы</w:t>
            </w:r>
            <w:r>
              <w:rPr>
                <w:spacing w:val="-13"/>
                <w:sz w:val="20"/>
              </w:rPr>
              <w:t> </w:t>
            </w:r>
            <w:r>
              <w:rPr>
                <w:sz w:val="20"/>
              </w:rPr>
              <w:t>с расширенной лимфаденэктомией</w:t>
            </w:r>
          </w:p>
        </w:tc>
      </w:tr>
      <w:tr>
        <w:trPr>
          <w:trHeight w:val="60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686"/>
              <w:rPr>
                <w:sz w:val="20"/>
              </w:rPr>
            </w:pPr>
            <w:r>
              <w:rPr>
                <w:sz w:val="20"/>
              </w:rPr>
              <w:t>роботассистированная</w:t>
            </w:r>
            <w:r>
              <w:rPr>
                <w:spacing w:val="-13"/>
                <w:sz w:val="20"/>
              </w:rPr>
              <w:t> </w:t>
            </w:r>
            <w:r>
              <w:rPr>
                <w:sz w:val="20"/>
              </w:rPr>
              <w:t>медианная резекция поджелудочной железы</w:t>
            </w:r>
          </w:p>
        </w:tc>
      </w:tr>
      <w:tr>
        <w:trPr>
          <w:trHeight w:val="599" w:hRule="atLeast"/>
        </w:trPr>
        <w:tc>
          <w:tcPr>
            <w:tcW w:w="1301" w:type="dxa"/>
          </w:tcPr>
          <w:p>
            <w:pPr>
              <w:pStyle w:val="TableParagraph"/>
              <w:spacing w:before="60"/>
              <w:ind w:left="35" w:right="319"/>
              <w:jc w:val="center"/>
              <w:rPr>
                <w:sz w:val="20"/>
              </w:rPr>
            </w:pPr>
            <w:r>
              <w:rPr>
                <w:spacing w:val="-5"/>
                <w:sz w:val="20"/>
              </w:rPr>
              <w:t>C34</w:t>
            </w:r>
          </w:p>
        </w:tc>
        <w:tc>
          <w:tcPr>
            <w:tcW w:w="3480" w:type="dxa"/>
          </w:tcPr>
          <w:p>
            <w:pPr>
              <w:pStyle w:val="TableParagraph"/>
              <w:spacing w:line="249" w:lineRule="auto" w:before="60"/>
              <w:ind w:left="333"/>
              <w:rPr>
                <w:sz w:val="20"/>
              </w:rPr>
            </w:pPr>
            <w:r>
              <w:rPr>
                <w:sz w:val="20"/>
              </w:rPr>
              <w:t>ранние формы злокачественных новообразований</w:t>
            </w:r>
            <w:r>
              <w:rPr>
                <w:spacing w:val="-13"/>
                <w:sz w:val="20"/>
              </w:rPr>
              <w:t> </w:t>
            </w:r>
            <w:r>
              <w:rPr>
                <w:sz w:val="20"/>
              </w:rPr>
              <w:t>легкого</w:t>
            </w:r>
            <w:r>
              <w:rPr>
                <w:spacing w:val="-12"/>
                <w:sz w:val="20"/>
              </w:rPr>
              <w:t> </w:t>
            </w:r>
            <w:r>
              <w:rPr>
                <w:sz w:val="20"/>
              </w:rPr>
              <w:t>I</w:t>
            </w:r>
            <w:r>
              <w:rPr>
                <w:spacing w:val="-13"/>
                <w:sz w:val="20"/>
              </w:rPr>
              <w:t> </w:t>
            </w:r>
            <w:r>
              <w:rPr>
                <w:sz w:val="20"/>
              </w:rPr>
              <w:t>стадии</w:t>
            </w:r>
          </w:p>
        </w:tc>
        <w:tc>
          <w:tcPr>
            <w:tcW w:w="1527" w:type="dxa"/>
          </w:tcPr>
          <w:p>
            <w:pPr>
              <w:pStyle w:val="TableParagraph"/>
              <w:spacing w:line="249" w:lineRule="auto" w:before="60"/>
              <w:ind w:left="161"/>
              <w:rPr>
                <w:sz w:val="20"/>
              </w:rPr>
            </w:pPr>
            <w:r>
              <w:rPr>
                <w:spacing w:val="-2"/>
                <w:sz w:val="20"/>
              </w:rPr>
              <w:t>хирургическое лечение</w:t>
            </w:r>
          </w:p>
        </w:tc>
        <w:tc>
          <w:tcPr>
            <w:tcW w:w="3683" w:type="dxa"/>
          </w:tcPr>
          <w:p>
            <w:pPr>
              <w:pStyle w:val="TableParagraph"/>
              <w:spacing w:before="60"/>
              <w:ind w:left="108"/>
              <w:rPr>
                <w:sz w:val="20"/>
              </w:rPr>
            </w:pPr>
            <w:r>
              <w:rPr>
                <w:w w:val="95"/>
                <w:sz w:val="20"/>
              </w:rPr>
              <w:t>роботассистированная</w:t>
            </w:r>
            <w:r>
              <w:rPr>
                <w:spacing w:val="74"/>
                <w:sz w:val="20"/>
              </w:rPr>
              <w:t> </w:t>
            </w:r>
            <w:r>
              <w:rPr>
                <w:spacing w:val="-2"/>
                <w:sz w:val="20"/>
              </w:rPr>
              <w:t>лобэктомия</w:t>
            </w:r>
          </w:p>
        </w:tc>
      </w:tr>
      <w:tr>
        <w:trPr>
          <w:trHeight w:val="530" w:hRule="atLeast"/>
        </w:trPr>
        <w:tc>
          <w:tcPr>
            <w:tcW w:w="1301" w:type="dxa"/>
          </w:tcPr>
          <w:p>
            <w:pPr>
              <w:pStyle w:val="TableParagraph"/>
              <w:spacing w:before="60"/>
              <w:ind w:left="37" w:right="319"/>
              <w:jc w:val="center"/>
              <w:rPr>
                <w:sz w:val="20"/>
              </w:rPr>
            </w:pPr>
            <w:r>
              <w:rPr>
                <w:sz w:val="20"/>
              </w:rPr>
              <w:t>C37,</w:t>
            </w:r>
            <w:r>
              <w:rPr>
                <w:spacing w:val="-3"/>
                <w:sz w:val="20"/>
              </w:rPr>
              <w:t> </w:t>
            </w:r>
            <w:r>
              <w:rPr>
                <w:spacing w:val="-2"/>
                <w:sz w:val="20"/>
              </w:rPr>
              <w:t>C38.1</w:t>
            </w:r>
          </w:p>
        </w:tc>
        <w:tc>
          <w:tcPr>
            <w:tcW w:w="3480" w:type="dxa"/>
          </w:tcPr>
          <w:p>
            <w:pPr>
              <w:pStyle w:val="TableParagraph"/>
              <w:spacing w:line="240" w:lineRule="atLeast" w:before="30"/>
              <w:ind w:left="333" w:right="152"/>
              <w:rPr>
                <w:sz w:val="20"/>
              </w:rPr>
            </w:pPr>
            <w:r>
              <w:rPr>
                <w:sz w:val="20"/>
              </w:rPr>
              <w:t>опухоль</w:t>
            </w:r>
            <w:r>
              <w:rPr>
                <w:spacing w:val="-13"/>
                <w:sz w:val="20"/>
              </w:rPr>
              <w:t> </w:t>
            </w:r>
            <w:r>
              <w:rPr>
                <w:sz w:val="20"/>
              </w:rPr>
              <w:t>вилочковой</w:t>
            </w:r>
            <w:r>
              <w:rPr>
                <w:spacing w:val="-12"/>
                <w:sz w:val="20"/>
              </w:rPr>
              <w:t> </w:t>
            </w:r>
            <w:r>
              <w:rPr>
                <w:sz w:val="20"/>
              </w:rPr>
              <w:t>железы</w:t>
            </w:r>
            <w:r>
              <w:rPr>
                <w:spacing w:val="-13"/>
                <w:sz w:val="20"/>
              </w:rPr>
              <w:t> </w:t>
            </w:r>
            <w:r>
              <w:rPr>
                <w:sz w:val="20"/>
              </w:rPr>
              <w:t>I </w:t>
            </w:r>
            <w:r>
              <w:rPr>
                <w:spacing w:val="-2"/>
                <w:sz w:val="20"/>
              </w:rPr>
              <w:t>стадии.</w:t>
            </w:r>
          </w:p>
        </w:tc>
        <w:tc>
          <w:tcPr>
            <w:tcW w:w="1527" w:type="dxa"/>
          </w:tcPr>
          <w:p>
            <w:pPr>
              <w:pStyle w:val="TableParagraph"/>
              <w:spacing w:line="240" w:lineRule="atLeast" w:before="30"/>
              <w:ind w:left="161"/>
              <w:rPr>
                <w:sz w:val="20"/>
              </w:rPr>
            </w:pPr>
            <w:r>
              <w:rPr>
                <w:spacing w:val="-2"/>
                <w:sz w:val="20"/>
              </w:rPr>
              <w:t>хирургическое лечение</w:t>
            </w:r>
          </w:p>
        </w:tc>
        <w:tc>
          <w:tcPr>
            <w:tcW w:w="3683" w:type="dxa"/>
          </w:tcPr>
          <w:p>
            <w:pPr>
              <w:pStyle w:val="TableParagraph"/>
              <w:spacing w:line="240" w:lineRule="atLeast" w:before="30"/>
              <w:ind w:left="108"/>
              <w:rPr>
                <w:sz w:val="20"/>
              </w:rPr>
            </w:pPr>
            <w:r>
              <w:rPr>
                <w:sz w:val="20"/>
              </w:rPr>
              <w:t>роботассистированное</w:t>
            </w:r>
            <w:r>
              <w:rPr>
                <w:spacing w:val="-13"/>
                <w:sz w:val="20"/>
              </w:rPr>
              <w:t> </w:t>
            </w:r>
            <w:r>
              <w:rPr>
                <w:sz w:val="20"/>
              </w:rPr>
              <w:t>удаление</w:t>
            </w:r>
            <w:r>
              <w:rPr>
                <w:spacing w:val="-12"/>
                <w:sz w:val="20"/>
              </w:rPr>
              <w:t> </w:t>
            </w:r>
            <w:r>
              <w:rPr>
                <w:sz w:val="20"/>
              </w:rPr>
              <w:t>опухоли </w:t>
            </w:r>
            <w:r>
              <w:rPr>
                <w:spacing w:val="-2"/>
                <w:sz w:val="20"/>
              </w:rPr>
              <w:t>средостения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13"/>
        <w:gridCol w:w="1540"/>
        <w:gridCol w:w="3299"/>
      </w:tblGrid>
      <w:tr>
        <w:trPr>
          <w:trHeight w:val="530" w:hRule="atLeast"/>
        </w:trPr>
        <w:tc>
          <w:tcPr>
            <w:tcW w:w="863" w:type="dxa"/>
          </w:tcPr>
          <w:p>
            <w:pPr>
              <w:pStyle w:val="TableParagraph"/>
              <w:rPr>
                <w:sz w:val="18"/>
              </w:rPr>
            </w:pPr>
          </w:p>
        </w:tc>
        <w:tc>
          <w:tcPr>
            <w:tcW w:w="3613" w:type="dxa"/>
          </w:tcPr>
          <w:p>
            <w:pPr>
              <w:pStyle w:val="TableParagraph"/>
              <w:spacing w:line="249" w:lineRule="auto"/>
              <w:ind w:left="480"/>
              <w:rPr>
                <w:sz w:val="20"/>
              </w:rPr>
            </w:pPr>
            <w:r>
              <w:rPr>
                <w:sz w:val="20"/>
              </w:rPr>
              <w:t>Опухоль</w:t>
            </w:r>
            <w:r>
              <w:rPr>
                <w:spacing w:val="-13"/>
                <w:sz w:val="20"/>
              </w:rPr>
              <w:t> </w:t>
            </w:r>
            <w:r>
              <w:rPr>
                <w:sz w:val="20"/>
              </w:rPr>
              <w:t>переднего</w:t>
            </w:r>
            <w:r>
              <w:rPr>
                <w:spacing w:val="-12"/>
                <w:sz w:val="20"/>
              </w:rPr>
              <w:t> </w:t>
            </w:r>
            <w:r>
              <w:rPr>
                <w:sz w:val="20"/>
              </w:rPr>
              <w:t>средостения (начальные формы)</w:t>
            </w:r>
          </w:p>
        </w:tc>
        <w:tc>
          <w:tcPr>
            <w:tcW w:w="1540" w:type="dxa"/>
          </w:tcPr>
          <w:p>
            <w:pPr>
              <w:pStyle w:val="TableParagraph"/>
              <w:rPr>
                <w:sz w:val="18"/>
              </w:rPr>
            </w:pPr>
          </w:p>
        </w:tc>
        <w:tc>
          <w:tcPr>
            <w:tcW w:w="3299" w:type="dxa"/>
          </w:tcPr>
          <w:p>
            <w:pPr>
              <w:pStyle w:val="TableParagraph"/>
              <w:rPr>
                <w:sz w:val="18"/>
              </w:rPr>
            </w:pPr>
          </w:p>
        </w:tc>
      </w:tr>
      <w:tr>
        <w:trPr>
          <w:trHeight w:val="600" w:hRule="atLeast"/>
        </w:trPr>
        <w:tc>
          <w:tcPr>
            <w:tcW w:w="863" w:type="dxa"/>
          </w:tcPr>
          <w:p>
            <w:pPr>
              <w:pStyle w:val="TableParagraph"/>
              <w:spacing w:before="60"/>
              <w:ind w:left="50"/>
              <w:rPr>
                <w:sz w:val="20"/>
              </w:rPr>
            </w:pPr>
            <w:r>
              <w:rPr>
                <w:spacing w:val="-5"/>
                <w:sz w:val="20"/>
              </w:rPr>
              <w:t>C53</w:t>
            </w:r>
          </w:p>
        </w:tc>
        <w:tc>
          <w:tcPr>
            <w:tcW w:w="3613" w:type="dxa"/>
          </w:tcPr>
          <w:p>
            <w:pPr>
              <w:pStyle w:val="TableParagraph"/>
              <w:spacing w:line="252" w:lineRule="auto" w:before="60"/>
              <w:ind w:left="480" w:right="165"/>
              <w:rPr>
                <w:sz w:val="20"/>
              </w:rPr>
            </w:pPr>
            <w:r>
              <w:rPr>
                <w:sz w:val="20"/>
              </w:rPr>
              <w:t>злокачественные</w:t>
            </w:r>
            <w:r>
              <w:rPr>
                <w:spacing w:val="-13"/>
                <w:sz w:val="20"/>
              </w:rPr>
              <w:t> </w:t>
            </w:r>
            <w:r>
              <w:rPr>
                <w:sz w:val="20"/>
              </w:rPr>
              <w:t>новообразования шейки матки Ia стадии</w:t>
            </w:r>
          </w:p>
        </w:tc>
        <w:tc>
          <w:tcPr>
            <w:tcW w:w="1540" w:type="dxa"/>
          </w:tcPr>
          <w:p>
            <w:pPr>
              <w:pStyle w:val="TableParagraph"/>
              <w:spacing w:line="252" w:lineRule="auto" w:before="60"/>
              <w:ind w:left="175"/>
              <w:rPr>
                <w:sz w:val="20"/>
              </w:rPr>
            </w:pPr>
            <w:r>
              <w:rPr>
                <w:spacing w:val="-2"/>
                <w:sz w:val="20"/>
              </w:rPr>
              <w:t>хирургическое лечение</w:t>
            </w:r>
          </w:p>
        </w:tc>
        <w:tc>
          <w:tcPr>
            <w:tcW w:w="3299" w:type="dxa"/>
          </w:tcPr>
          <w:p>
            <w:pPr>
              <w:pStyle w:val="TableParagraph"/>
              <w:spacing w:line="252" w:lineRule="auto" w:before="60"/>
              <w:ind w:left="109" w:right="41"/>
              <w:rPr>
                <w:sz w:val="20"/>
              </w:rPr>
            </w:pPr>
            <w:r>
              <w:rPr>
                <w:sz w:val="20"/>
              </w:rPr>
              <w:t>роботассистрированная</w:t>
            </w:r>
            <w:r>
              <w:rPr>
                <w:spacing w:val="-13"/>
                <w:sz w:val="20"/>
              </w:rPr>
              <w:t> </w:t>
            </w:r>
            <w:r>
              <w:rPr>
                <w:sz w:val="20"/>
              </w:rPr>
              <w:t>экстирпация матки с придатками</w:t>
            </w:r>
          </w:p>
        </w:tc>
      </w:tr>
      <w:tr>
        <w:trPr>
          <w:trHeight w:val="60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9" w:lineRule="auto" w:before="60"/>
              <w:ind w:left="109" w:right="141"/>
              <w:rPr>
                <w:sz w:val="20"/>
              </w:rPr>
            </w:pPr>
            <w:r>
              <w:rPr>
                <w:sz w:val="20"/>
              </w:rPr>
              <w:t>роботассистированная</w:t>
            </w:r>
            <w:r>
              <w:rPr>
                <w:spacing w:val="-13"/>
                <w:sz w:val="20"/>
              </w:rPr>
              <w:t> </w:t>
            </w:r>
            <w:r>
              <w:rPr>
                <w:sz w:val="20"/>
              </w:rPr>
              <w:t>экстирпация матки без придатков</w:t>
            </w:r>
          </w:p>
        </w:tc>
      </w:tr>
      <w:tr>
        <w:trPr>
          <w:trHeight w:val="60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 (Ia2 - Ib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146"/>
              <w:rPr>
                <w:sz w:val="20"/>
              </w:rPr>
            </w:pPr>
            <w:r>
              <w:rPr>
                <w:sz w:val="20"/>
              </w:rPr>
              <w:t>роботассистированная</w:t>
            </w:r>
            <w:r>
              <w:rPr>
                <w:spacing w:val="-13"/>
                <w:sz w:val="20"/>
              </w:rPr>
              <w:t> </w:t>
            </w:r>
            <w:r>
              <w:rPr>
                <w:sz w:val="20"/>
              </w:rPr>
              <w:t>радикальная </w:t>
            </w:r>
            <w:r>
              <w:rPr>
                <w:spacing w:val="-2"/>
                <w:sz w:val="20"/>
              </w:rPr>
              <w:t>трахелэктомия</w:t>
            </w:r>
          </w:p>
        </w:tc>
      </w:tr>
      <w:tr>
        <w:trPr>
          <w:trHeight w:val="60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 (Ia2 - III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87"/>
              <w:rPr>
                <w:sz w:val="20"/>
              </w:rPr>
            </w:pPr>
            <w:r>
              <w:rPr>
                <w:sz w:val="20"/>
              </w:rPr>
              <w:t>роботассистированная</w:t>
            </w:r>
            <w:r>
              <w:rPr>
                <w:spacing w:val="-13"/>
                <w:sz w:val="20"/>
              </w:rPr>
              <w:t> </w:t>
            </w:r>
            <w:r>
              <w:rPr>
                <w:sz w:val="20"/>
              </w:rPr>
              <w:t>расширенная экстирпация матки с придатками</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9" w:lineRule="auto" w:before="60"/>
              <w:ind w:left="109" w:right="95"/>
              <w:jc w:val="both"/>
              <w:rPr>
                <w:sz w:val="20"/>
              </w:rPr>
            </w:pPr>
            <w:r>
              <w:rPr>
                <w:sz w:val="20"/>
              </w:rPr>
              <w:t>роботассистированная</w:t>
            </w:r>
            <w:r>
              <w:rPr>
                <w:spacing w:val="-13"/>
                <w:sz w:val="20"/>
              </w:rPr>
              <w:t> </w:t>
            </w:r>
            <w:r>
              <w:rPr>
                <w:sz w:val="20"/>
              </w:rPr>
              <w:t>расширенная экстирпация</w:t>
            </w:r>
            <w:r>
              <w:rPr>
                <w:spacing w:val="-12"/>
                <w:sz w:val="20"/>
              </w:rPr>
              <w:t> </w:t>
            </w:r>
            <w:r>
              <w:rPr>
                <w:sz w:val="20"/>
              </w:rPr>
              <w:t>матки</w:t>
            </w:r>
            <w:r>
              <w:rPr>
                <w:spacing w:val="-12"/>
                <w:sz w:val="20"/>
              </w:rPr>
              <w:t> </w:t>
            </w:r>
            <w:r>
              <w:rPr>
                <w:sz w:val="20"/>
              </w:rPr>
              <w:t>с</w:t>
            </w:r>
            <w:r>
              <w:rPr>
                <w:spacing w:val="-11"/>
                <w:sz w:val="20"/>
              </w:rPr>
              <w:t> </w:t>
            </w:r>
            <w:r>
              <w:rPr>
                <w:sz w:val="20"/>
              </w:rPr>
              <w:t>транспозицией </w:t>
            </w:r>
            <w:r>
              <w:rPr>
                <w:spacing w:val="-2"/>
                <w:sz w:val="20"/>
              </w:rPr>
              <w:t>яичников</w:t>
            </w:r>
          </w:p>
        </w:tc>
      </w:tr>
      <w:tr>
        <w:trPr>
          <w:trHeight w:val="84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 (II - III стадия), местнораспространенные формы</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38"/>
              <w:rPr>
                <w:sz w:val="20"/>
              </w:rPr>
            </w:pPr>
            <w:r>
              <w:rPr>
                <w:sz w:val="20"/>
              </w:rPr>
              <w:t>роботассистированная</w:t>
            </w:r>
            <w:r>
              <w:rPr>
                <w:spacing w:val="-13"/>
                <w:sz w:val="20"/>
              </w:rPr>
              <w:t> </w:t>
            </w:r>
            <w:r>
              <w:rPr>
                <w:sz w:val="20"/>
              </w:rPr>
              <w:t>транспозиция </w:t>
            </w:r>
            <w:r>
              <w:rPr>
                <w:spacing w:val="-2"/>
                <w:sz w:val="20"/>
              </w:rPr>
              <w:t>яичников</w:t>
            </w:r>
          </w:p>
        </w:tc>
      </w:tr>
      <w:tr>
        <w:trPr>
          <w:trHeight w:val="600" w:hRule="atLeast"/>
        </w:trPr>
        <w:tc>
          <w:tcPr>
            <w:tcW w:w="863" w:type="dxa"/>
          </w:tcPr>
          <w:p>
            <w:pPr>
              <w:pStyle w:val="TableParagraph"/>
              <w:spacing w:before="60"/>
              <w:ind w:left="50"/>
              <w:rPr>
                <w:sz w:val="20"/>
              </w:rPr>
            </w:pPr>
            <w:r>
              <w:rPr>
                <w:spacing w:val="-5"/>
                <w:sz w:val="20"/>
              </w:rPr>
              <w:t>C54</w:t>
            </w: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эндометрия (Ia - Ib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141"/>
              <w:rPr>
                <w:sz w:val="20"/>
              </w:rPr>
            </w:pPr>
            <w:r>
              <w:rPr>
                <w:sz w:val="20"/>
              </w:rPr>
              <w:t>роботассистированная</w:t>
            </w:r>
            <w:r>
              <w:rPr>
                <w:spacing w:val="-13"/>
                <w:sz w:val="20"/>
              </w:rPr>
              <w:t> </w:t>
            </w:r>
            <w:r>
              <w:rPr>
                <w:sz w:val="20"/>
              </w:rPr>
              <w:t>экстирпация матки с придатками</w:t>
            </w:r>
          </w:p>
        </w:tc>
      </w:tr>
      <w:tr>
        <w:trPr>
          <w:trHeight w:val="60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9" w:lineRule="auto" w:before="60"/>
              <w:ind w:left="109" w:right="41"/>
              <w:rPr>
                <w:sz w:val="20"/>
              </w:rPr>
            </w:pPr>
            <w:r>
              <w:rPr>
                <w:sz w:val="20"/>
              </w:rPr>
              <w:t>роботоассистированная</w:t>
            </w:r>
            <w:r>
              <w:rPr>
                <w:spacing w:val="-13"/>
                <w:sz w:val="20"/>
              </w:rPr>
              <w:t> </w:t>
            </w:r>
            <w:r>
              <w:rPr>
                <w:sz w:val="20"/>
              </w:rPr>
              <w:t>экстирпация матки с маточными трубами</w:t>
            </w:r>
          </w:p>
        </w:tc>
      </w:tr>
      <w:tr>
        <w:trPr>
          <w:trHeight w:val="84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эндометрия (Ib - III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141"/>
              <w:rPr>
                <w:sz w:val="20"/>
              </w:rPr>
            </w:pPr>
            <w:r>
              <w:rPr>
                <w:sz w:val="20"/>
              </w:rPr>
              <w:t>роботассистированная</w:t>
            </w:r>
            <w:r>
              <w:rPr>
                <w:spacing w:val="-13"/>
                <w:sz w:val="20"/>
              </w:rPr>
              <w:t> </w:t>
            </w:r>
            <w:r>
              <w:rPr>
                <w:sz w:val="20"/>
              </w:rPr>
              <w:t>экстирпация матки с придатками и тазовой </w:t>
            </w:r>
            <w:r>
              <w:rPr>
                <w:spacing w:val="-2"/>
                <w:sz w:val="20"/>
              </w:rPr>
              <w:t>лимфаденэктомией</w:t>
            </w:r>
          </w:p>
        </w:tc>
      </w:tr>
      <w:tr>
        <w:trPr>
          <w:trHeight w:val="53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0" w:lineRule="atLeast" w:before="30"/>
              <w:ind w:left="109" w:right="141"/>
              <w:rPr>
                <w:sz w:val="20"/>
              </w:rPr>
            </w:pPr>
            <w:r>
              <w:rPr>
                <w:sz w:val="20"/>
              </w:rPr>
              <w:t>роботассистированная</w:t>
            </w:r>
            <w:r>
              <w:rPr>
                <w:spacing w:val="-13"/>
                <w:sz w:val="20"/>
              </w:rPr>
              <w:t> </w:t>
            </w:r>
            <w:r>
              <w:rPr>
                <w:sz w:val="20"/>
              </w:rPr>
              <w:t>экстирпация матки расширенная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79"/>
        <w:gridCol w:w="1995"/>
        <w:gridCol w:w="3366"/>
        <w:gridCol w:w="1449"/>
        <w:gridCol w:w="3903"/>
        <w:gridCol w:w="1101"/>
      </w:tblGrid>
      <w:tr>
        <w:trPr>
          <w:trHeight w:val="77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line="221" w:lineRule="exact"/>
              <w:ind w:left="844"/>
              <w:rPr>
                <w:sz w:val="20"/>
              </w:rPr>
            </w:pPr>
            <w:r>
              <w:rPr>
                <w:spacing w:val="-5"/>
                <w:sz w:val="20"/>
              </w:rPr>
              <w:t>C56</w:t>
            </w:r>
          </w:p>
        </w:tc>
        <w:tc>
          <w:tcPr>
            <w:tcW w:w="3366" w:type="dxa"/>
          </w:tcPr>
          <w:p>
            <w:pPr>
              <w:pStyle w:val="TableParagraph"/>
              <w:spacing w:line="249" w:lineRule="auto"/>
              <w:ind w:left="142" w:right="256"/>
              <w:rPr>
                <w:sz w:val="20"/>
              </w:rPr>
            </w:pPr>
            <w:r>
              <w:rPr>
                <w:sz w:val="20"/>
              </w:rPr>
              <w:t>злокачественные</w:t>
            </w:r>
            <w:r>
              <w:rPr>
                <w:spacing w:val="-13"/>
                <w:sz w:val="20"/>
              </w:rPr>
              <w:t> </w:t>
            </w:r>
            <w:r>
              <w:rPr>
                <w:sz w:val="20"/>
              </w:rPr>
              <w:t>новообразования яичников I стадии</w:t>
            </w:r>
          </w:p>
        </w:tc>
        <w:tc>
          <w:tcPr>
            <w:tcW w:w="1449" w:type="dxa"/>
          </w:tcPr>
          <w:p>
            <w:pPr>
              <w:pStyle w:val="TableParagraph"/>
              <w:spacing w:line="249" w:lineRule="auto"/>
              <w:ind w:left="84"/>
              <w:rPr>
                <w:sz w:val="20"/>
              </w:rPr>
            </w:pPr>
            <w:r>
              <w:rPr>
                <w:spacing w:val="-2"/>
                <w:sz w:val="20"/>
              </w:rPr>
              <w:t>хирургическое лечение</w:t>
            </w:r>
          </w:p>
        </w:tc>
        <w:tc>
          <w:tcPr>
            <w:tcW w:w="3903" w:type="dxa"/>
          </w:tcPr>
          <w:p>
            <w:pPr>
              <w:pStyle w:val="TableParagraph"/>
              <w:spacing w:line="249" w:lineRule="auto"/>
              <w:ind w:left="109" w:right="552"/>
              <w:jc w:val="both"/>
              <w:rPr>
                <w:sz w:val="20"/>
              </w:rPr>
            </w:pPr>
            <w:r>
              <w:rPr>
                <w:sz w:val="20"/>
              </w:rPr>
              <w:t>роботассистированная</w:t>
            </w:r>
            <w:r>
              <w:rPr>
                <w:spacing w:val="-13"/>
                <w:sz w:val="20"/>
              </w:rPr>
              <w:t> </w:t>
            </w:r>
            <w:r>
              <w:rPr>
                <w:sz w:val="20"/>
              </w:rPr>
              <w:t>аднексэктомия или</w:t>
            </w:r>
            <w:r>
              <w:rPr>
                <w:spacing w:val="-4"/>
                <w:sz w:val="20"/>
              </w:rPr>
              <w:t> </w:t>
            </w:r>
            <w:r>
              <w:rPr>
                <w:sz w:val="20"/>
              </w:rPr>
              <w:t>резекция</w:t>
            </w:r>
            <w:r>
              <w:rPr>
                <w:spacing w:val="-4"/>
                <w:sz w:val="20"/>
              </w:rPr>
              <w:t> </w:t>
            </w:r>
            <w:r>
              <w:rPr>
                <w:sz w:val="20"/>
              </w:rPr>
              <w:t>яичников,</w:t>
            </w:r>
            <w:r>
              <w:rPr>
                <w:spacing w:val="-3"/>
                <w:sz w:val="20"/>
              </w:rPr>
              <w:t> </w:t>
            </w:r>
            <w:r>
              <w:rPr>
                <w:sz w:val="20"/>
              </w:rPr>
              <w:t>субтотальная резекция большого сальника</w:t>
            </w:r>
          </w:p>
        </w:tc>
        <w:tc>
          <w:tcPr>
            <w:tcW w:w="1101" w:type="dxa"/>
          </w:tcPr>
          <w:p>
            <w:pPr>
              <w:pStyle w:val="TableParagraph"/>
              <w:rPr>
                <w:sz w:val="18"/>
              </w:rPr>
            </w:pPr>
          </w:p>
        </w:tc>
      </w:tr>
      <w:tr>
        <w:trPr>
          <w:trHeight w:val="132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rPr>
                <w:sz w:val="18"/>
              </w:rPr>
            </w:pPr>
          </w:p>
        </w:tc>
        <w:tc>
          <w:tcPr>
            <w:tcW w:w="3366" w:type="dxa"/>
          </w:tcPr>
          <w:p>
            <w:pPr>
              <w:pStyle w:val="TableParagraph"/>
              <w:rPr>
                <w:sz w:val="18"/>
              </w:rPr>
            </w:pPr>
          </w:p>
        </w:tc>
        <w:tc>
          <w:tcPr>
            <w:tcW w:w="1449" w:type="dxa"/>
          </w:tcPr>
          <w:p>
            <w:pPr>
              <w:pStyle w:val="TableParagraph"/>
              <w:rPr>
                <w:sz w:val="18"/>
              </w:rPr>
            </w:pPr>
          </w:p>
        </w:tc>
        <w:tc>
          <w:tcPr>
            <w:tcW w:w="3903" w:type="dxa"/>
          </w:tcPr>
          <w:p>
            <w:pPr>
              <w:pStyle w:val="TableParagraph"/>
              <w:spacing w:line="249" w:lineRule="auto" w:before="60"/>
              <w:ind w:left="109" w:right="545"/>
              <w:rPr>
                <w:sz w:val="20"/>
              </w:rPr>
            </w:pPr>
            <w:r>
              <w:rPr>
                <w:sz w:val="20"/>
              </w:rPr>
              <w:t>роботассистированная</w:t>
            </w:r>
            <w:r>
              <w:rPr>
                <w:spacing w:val="-13"/>
                <w:sz w:val="20"/>
              </w:rPr>
              <w:t> </w:t>
            </w:r>
            <w:r>
              <w:rPr>
                <w:sz w:val="20"/>
              </w:rPr>
              <w:t>аднексэктомия односторонняя с резекцией контрлатерального яичника и субтотальная резекция большого </w:t>
            </w:r>
            <w:r>
              <w:rPr>
                <w:spacing w:val="-2"/>
                <w:sz w:val="20"/>
              </w:rPr>
              <w:t>сальника</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C61</w:t>
            </w:r>
          </w:p>
        </w:tc>
        <w:tc>
          <w:tcPr>
            <w:tcW w:w="3366" w:type="dxa"/>
          </w:tcPr>
          <w:p>
            <w:pPr>
              <w:pStyle w:val="TableParagraph"/>
              <w:spacing w:line="249" w:lineRule="auto" w:before="60"/>
              <w:ind w:left="142"/>
              <w:rPr>
                <w:sz w:val="20"/>
              </w:rPr>
            </w:pPr>
            <w:r>
              <w:rPr>
                <w:sz w:val="20"/>
              </w:rPr>
              <w:t>локализованный</w:t>
            </w:r>
            <w:r>
              <w:rPr>
                <w:spacing w:val="-13"/>
                <w:sz w:val="20"/>
              </w:rPr>
              <w:t> </w:t>
            </w:r>
            <w:r>
              <w:rPr>
                <w:sz w:val="20"/>
              </w:rPr>
              <w:t>рак</w:t>
            </w:r>
            <w:r>
              <w:rPr>
                <w:spacing w:val="-12"/>
                <w:sz w:val="20"/>
              </w:rPr>
              <w:t> </w:t>
            </w:r>
            <w:r>
              <w:rPr>
                <w:sz w:val="20"/>
              </w:rPr>
              <w:t>предстательной железы II стадии (T1C-2CN0M0)</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1067"/>
              <w:rPr>
                <w:sz w:val="20"/>
              </w:rPr>
            </w:pPr>
            <w:r>
              <w:rPr>
                <w:sz w:val="20"/>
              </w:rPr>
              <w:t>радикальная простатэктомия с использованием</w:t>
            </w:r>
            <w:r>
              <w:rPr>
                <w:spacing w:val="-13"/>
                <w:sz w:val="20"/>
              </w:rPr>
              <w:t> </w:t>
            </w:r>
            <w:r>
              <w:rPr>
                <w:sz w:val="20"/>
              </w:rPr>
              <w:t>робототехники</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rPr>
                <w:sz w:val="18"/>
              </w:rPr>
            </w:pPr>
          </w:p>
        </w:tc>
        <w:tc>
          <w:tcPr>
            <w:tcW w:w="3366" w:type="dxa"/>
          </w:tcPr>
          <w:p>
            <w:pPr>
              <w:pStyle w:val="TableParagraph"/>
              <w:rPr>
                <w:sz w:val="18"/>
              </w:rPr>
            </w:pPr>
          </w:p>
        </w:tc>
        <w:tc>
          <w:tcPr>
            <w:tcW w:w="1449" w:type="dxa"/>
          </w:tcPr>
          <w:p>
            <w:pPr>
              <w:pStyle w:val="TableParagraph"/>
              <w:rPr>
                <w:sz w:val="18"/>
              </w:rPr>
            </w:pPr>
          </w:p>
        </w:tc>
        <w:tc>
          <w:tcPr>
            <w:tcW w:w="3903" w:type="dxa"/>
          </w:tcPr>
          <w:p>
            <w:pPr>
              <w:pStyle w:val="TableParagraph"/>
              <w:spacing w:line="249" w:lineRule="auto" w:before="60"/>
              <w:ind w:left="109" w:right="1182"/>
              <w:rPr>
                <w:sz w:val="20"/>
              </w:rPr>
            </w:pPr>
            <w:r>
              <w:rPr>
                <w:sz w:val="20"/>
              </w:rPr>
              <w:t>роботассистированная</w:t>
            </w:r>
            <w:r>
              <w:rPr>
                <w:spacing w:val="-13"/>
                <w:sz w:val="20"/>
              </w:rPr>
              <w:t> </w:t>
            </w:r>
            <w:r>
              <w:rPr>
                <w:sz w:val="20"/>
              </w:rPr>
              <w:t>тазовая </w:t>
            </w:r>
            <w:r>
              <w:rPr>
                <w:spacing w:val="-2"/>
                <w:sz w:val="20"/>
              </w:rPr>
              <w:t>лимфаденэктомия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C64</w:t>
            </w:r>
          </w:p>
        </w:tc>
        <w:tc>
          <w:tcPr>
            <w:tcW w:w="3366" w:type="dxa"/>
          </w:tcPr>
          <w:p>
            <w:pPr>
              <w:pStyle w:val="TableParagraph"/>
              <w:spacing w:line="249" w:lineRule="auto" w:before="60"/>
              <w:ind w:left="142" w:right="256"/>
              <w:rPr>
                <w:sz w:val="20"/>
              </w:rPr>
            </w:pPr>
            <w:r>
              <w:rPr>
                <w:sz w:val="20"/>
              </w:rPr>
              <w:t>злокачественные</w:t>
            </w:r>
            <w:r>
              <w:rPr>
                <w:spacing w:val="-13"/>
                <w:sz w:val="20"/>
              </w:rPr>
              <w:t> </w:t>
            </w:r>
            <w:r>
              <w:rPr>
                <w:sz w:val="20"/>
              </w:rPr>
              <w:t>новообразования почки I стадии (T1a-1bN0M0)</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545"/>
              <w:rPr>
                <w:sz w:val="20"/>
              </w:rPr>
            </w:pPr>
            <w:r>
              <w:rPr>
                <w:sz w:val="20"/>
              </w:rPr>
              <w:t>резекция</w:t>
            </w:r>
            <w:r>
              <w:rPr>
                <w:spacing w:val="-13"/>
                <w:sz w:val="20"/>
              </w:rPr>
              <w:t> </w:t>
            </w:r>
            <w:r>
              <w:rPr>
                <w:sz w:val="20"/>
              </w:rPr>
              <w:t>почки</w:t>
            </w:r>
            <w:r>
              <w:rPr>
                <w:spacing w:val="-12"/>
                <w:sz w:val="20"/>
              </w:rPr>
              <w:t> </w:t>
            </w:r>
            <w:r>
              <w:rPr>
                <w:sz w:val="20"/>
              </w:rPr>
              <w:t>с</w:t>
            </w:r>
            <w:r>
              <w:rPr>
                <w:spacing w:val="-13"/>
                <w:sz w:val="20"/>
              </w:rPr>
              <w:t> </w:t>
            </w:r>
            <w:r>
              <w:rPr>
                <w:sz w:val="20"/>
              </w:rPr>
              <w:t>использованием </w:t>
            </w:r>
            <w:r>
              <w:rPr>
                <w:spacing w:val="-2"/>
                <w:sz w:val="20"/>
              </w:rPr>
              <w:t>робототехники</w:t>
            </w:r>
          </w:p>
        </w:tc>
        <w:tc>
          <w:tcPr>
            <w:tcW w:w="1101" w:type="dxa"/>
          </w:tcPr>
          <w:p>
            <w:pPr>
              <w:pStyle w:val="TableParagraph"/>
              <w:rPr>
                <w:sz w:val="18"/>
              </w:rPr>
            </w:pPr>
          </w:p>
        </w:tc>
      </w:tr>
      <w:tr>
        <w:trPr>
          <w:trHeight w:val="36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rPr>
                <w:sz w:val="18"/>
              </w:rPr>
            </w:pPr>
          </w:p>
        </w:tc>
        <w:tc>
          <w:tcPr>
            <w:tcW w:w="3366" w:type="dxa"/>
          </w:tcPr>
          <w:p>
            <w:pPr>
              <w:pStyle w:val="TableParagraph"/>
              <w:rPr>
                <w:sz w:val="18"/>
              </w:rPr>
            </w:pPr>
          </w:p>
        </w:tc>
        <w:tc>
          <w:tcPr>
            <w:tcW w:w="1449" w:type="dxa"/>
          </w:tcPr>
          <w:p>
            <w:pPr>
              <w:pStyle w:val="TableParagraph"/>
              <w:rPr>
                <w:sz w:val="18"/>
              </w:rPr>
            </w:pPr>
          </w:p>
        </w:tc>
        <w:tc>
          <w:tcPr>
            <w:tcW w:w="3903" w:type="dxa"/>
          </w:tcPr>
          <w:p>
            <w:pPr>
              <w:pStyle w:val="TableParagraph"/>
              <w:spacing w:before="60"/>
              <w:ind w:left="109"/>
              <w:rPr>
                <w:sz w:val="20"/>
              </w:rPr>
            </w:pPr>
            <w:r>
              <w:rPr>
                <w:w w:val="95"/>
                <w:sz w:val="20"/>
              </w:rPr>
              <w:t>роботассистированная</w:t>
            </w:r>
            <w:r>
              <w:rPr>
                <w:spacing w:val="74"/>
                <w:sz w:val="20"/>
              </w:rPr>
              <w:t> </w:t>
            </w:r>
            <w:r>
              <w:rPr>
                <w:spacing w:val="-2"/>
                <w:w w:val="95"/>
                <w:sz w:val="20"/>
              </w:rPr>
              <w:t>нефрэктомия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C62</w:t>
            </w:r>
          </w:p>
        </w:tc>
        <w:tc>
          <w:tcPr>
            <w:tcW w:w="3366" w:type="dxa"/>
          </w:tcPr>
          <w:p>
            <w:pPr>
              <w:pStyle w:val="TableParagraph"/>
              <w:spacing w:line="249" w:lineRule="auto" w:before="60"/>
              <w:ind w:left="142" w:right="256"/>
              <w:rPr>
                <w:sz w:val="20"/>
              </w:rPr>
            </w:pPr>
            <w:r>
              <w:rPr>
                <w:sz w:val="20"/>
              </w:rPr>
              <w:t>злокачественные</w:t>
            </w:r>
            <w:r>
              <w:rPr>
                <w:spacing w:val="-13"/>
                <w:sz w:val="20"/>
              </w:rPr>
              <w:t> </w:t>
            </w:r>
            <w:r>
              <w:rPr>
                <w:sz w:val="20"/>
              </w:rPr>
              <w:t>новообразования </w:t>
            </w:r>
            <w:r>
              <w:rPr>
                <w:spacing w:val="-2"/>
                <w:sz w:val="20"/>
              </w:rPr>
              <w:t>яичка</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691"/>
              <w:rPr>
                <w:sz w:val="20"/>
              </w:rPr>
            </w:pPr>
            <w:r>
              <w:rPr>
                <w:sz w:val="20"/>
              </w:rPr>
              <w:t>роботассистированная</w:t>
            </w:r>
            <w:r>
              <w:rPr>
                <w:spacing w:val="-13"/>
                <w:sz w:val="20"/>
              </w:rPr>
              <w:t> </w:t>
            </w:r>
            <w:r>
              <w:rPr>
                <w:sz w:val="20"/>
              </w:rPr>
              <w:t>расширенная забрюшинная лимфаденэктомия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C67</w:t>
            </w:r>
          </w:p>
        </w:tc>
        <w:tc>
          <w:tcPr>
            <w:tcW w:w="3366" w:type="dxa"/>
          </w:tcPr>
          <w:p>
            <w:pPr>
              <w:pStyle w:val="TableParagraph"/>
              <w:spacing w:line="249" w:lineRule="auto" w:before="60"/>
              <w:ind w:left="142" w:right="256"/>
              <w:rPr>
                <w:sz w:val="20"/>
              </w:rPr>
            </w:pPr>
            <w:r>
              <w:rPr>
                <w:sz w:val="20"/>
              </w:rPr>
              <w:t>злокачественные</w:t>
            </w:r>
            <w:r>
              <w:rPr>
                <w:spacing w:val="-13"/>
                <w:sz w:val="20"/>
              </w:rPr>
              <w:t> </w:t>
            </w:r>
            <w:r>
              <w:rPr>
                <w:sz w:val="20"/>
              </w:rPr>
              <w:t>новообразования мочевого пузыря (I - IV стадия)</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750"/>
              <w:rPr>
                <w:sz w:val="20"/>
              </w:rPr>
            </w:pPr>
            <w:r>
              <w:rPr>
                <w:sz w:val="20"/>
              </w:rPr>
              <w:t>роботассистированная</w:t>
            </w:r>
            <w:r>
              <w:rPr>
                <w:spacing w:val="-13"/>
                <w:sz w:val="20"/>
              </w:rPr>
              <w:t> </w:t>
            </w:r>
            <w:r>
              <w:rPr>
                <w:sz w:val="20"/>
              </w:rPr>
              <w:t>радикальная </w:t>
            </w:r>
            <w:r>
              <w:rPr>
                <w:spacing w:val="-2"/>
                <w:sz w:val="20"/>
              </w:rPr>
              <w:t>цистэктомия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C78</w:t>
            </w:r>
          </w:p>
        </w:tc>
        <w:tc>
          <w:tcPr>
            <w:tcW w:w="3366" w:type="dxa"/>
          </w:tcPr>
          <w:p>
            <w:pPr>
              <w:pStyle w:val="TableParagraph"/>
              <w:spacing w:before="60"/>
              <w:ind w:left="142"/>
              <w:rPr>
                <w:sz w:val="20"/>
              </w:rPr>
            </w:pPr>
            <w:r>
              <w:rPr>
                <w:sz w:val="20"/>
              </w:rPr>
              <w:t>метастатическое</w:t>
            </w:r>
            <w:r>
              <w:rPr>
                <w:spacing w:val="-13"/>
                <w:sz w:val="20"/>
              </w:rPr>
              <w:t> </w:t>
            </w:r>
            <w:r>
              <w:rPr>
                <w:sz w:val="20"/>
              </w:rPr>
              <w:t>поражение</w:t>
            </w:r>
            <w:r>
              <w:rPr>
                <w:spacing w:val="-10"/>
                <w:sz w:val="20"/>
              </w:rPr>
              <w:t> </w:t>
            </w:r>
            <w:r>
              <w:rPr>
                <w:spacing w:val="-2"/>
                <w:sz w:val="20"/>
              </w:rPr>
              <w:t>легкого</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927"/>
              <w:rPr>
                <w:sz w:val="20"/>
              </w:rPr>
            </w:pPr>
            <w:r>
              <w:rPr>
                <w:sz w:val="20"/>
              </w:rPr>
              <w:t>роботассистированная</w:t>
            </w:r>
            <w:r>
              <w:rPr>
                <w:spacing w:val="-13"/>
                <w:sz w:val="20"/>
              </w:rPr>
              <w:t> </w:t>
            </w:r>
            <w:r>
              <w:rPr>
                <w:sz w:val="20"/>
              </w:rPr>
              <w:t>атипичная резекция легкого</w:t>
            </w:r>
          </w:p>
        </w:tc>
        <w:tc>
          <w:tcPr>
            <w:tcW w:w="1101"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32.</w:t>
            </w:r>
          </w:p>
        </w:tc>
        <w:tc>
          <w:tcPr>
            <w:tcW w:w="2879" w:type="dxa"/>
          </w:tcPr>
          <w:p>
            <w:pPr>
              <w:pStyle w:val="TableParagraph"/>
              <w:spacing w:line="249" w:lineRule="auto" w:before="60"/>
              <w:ind w:left="155"/>
              <w:rPr>
                <w:sz w:val="20"/>
              </w:rPr>
            </w:pPr>
            <w:r>
              <w:rPr>
                <w:sz w:val="20"/>
              </w:rPr>
              <w:t>Протонная</w:t>
            </w:r>
            <w:r>
              <w:rPr>
                <w:spacing w:val="-13"/>
                <w:sz w:val="20"/>
              </w:rPr>
              <w:t> </w:t>
            </w:r>
            <w:r>
              <w:rPr>
                <w:sz w:val="20"/>
              </w:rPr>
              <w:t>лучевая</w:t>
            </w:r>
            <w:r>
              <w:rPr>
                <w:spacing w:val="-12"/>
                <w:sz w:val="20"/>
              </w:rPr>
              <w:t> </w:t>
            </w:r>
            <w:r>
              <w:rPr>
                <w:sz w:val="20"/>
              </w:rPr>
              <w:t>терапия,</w:t>
            </w:r>
            <w:r>
              <w:rPr>
                <w:spacing w:val="-13"/>
                <w:sz w:val="20"/>
              </w:rPr>
              <w:t> </w:t>
            </w:r>
            <w:r>
              <w:rPr>
                <w:sz w:val="20"/>
              </w:rPr>
              <w:t>в том числе детям</w:t>
            </w:r>
          </w:p>
        </w:tc>
        <w:tc>
          <w:tcPr>
            <w:tcW w:w="1995" w:type="dxa"/>
          </w:tcPr>
          <w:p>
            <w:pPr>
              <w:pStyle w:val="TableParagraph"/>
              <w:spacing w:line="240" w:lineRule="atLeast" w:before="30"/>
              <w:ind w:left="169" w:right="139" w:firstLine="33"/>
              <w:jc w:val="both"/>
              <w:rPr>
                <w:sz w:val="20"/>
              </w:rPr>
            </w:pPr>
            <w:r>
              <w:rPr>
                <w:sz w:val="20"/>
              </w:rPr>
              <w:t>С00-С14,</w:t>
            </w:r>
            <w:r>
              <w:rPr>
                <w:spacing w:val="-3"/>
                <w:sz w:val="20"/>
              </w:rPr>
              <w:t> </w:t>
            </w:r>
            <w:r>
              <w:rPr>
                <w:sz w:val="20"/>
              </w:rPr>
              <w:t>С15-С17, С18-С22, С23-С25, С30,</w:t>
            </w:r>
            <w:r>
              <w:rPr>
                <w:spacing w:val="-13"/>
                <w:sz w:val="20"/>
              </w:rPr>
              <w:t> </w:t>
            </w:r>
            <w:r>
              <w:rPr>
                <w:sz w:val="20"/>
              </w:rPr>
              <w:t>С31,</w:t>
            </w:r>
            <w:r>
              <w:rPr>
                <w:spacing w:val="-12"/>
                <w:sz w:val="20"/>
              </w:rPr>
              <w:t> </w:t>
            </w:r>
            <w:r>
              <w:rPr>
                <w:sz w:val="20"/>
              </w:rPr>
              <w:t>С32,</w:t>
            </w:r>
            <w:r>
              <w:rPr>
                <w:spacing w:val="-13"/>
                <w:sz w:val="20"/>
              </w:rPr>
              <w:t> </w:t>
            </w:r>
            <w:r>
              <w:rPr>
                <w:sz w:val="20"/>
              </w:rPr>
              <w:t>С33, С34,</w:t>
            </w:r>
            <w:r>
              <w:rPr>
                <w:spacing w:val="-13"/>
                <w:sz w:val="20"/>
              </w:rPr>
              <w:t> </w:t>
            </w:r>
            <w:r>
              <w:rPr>
                <w:sz w:val="20"/>
              </w:rPr>
              <w:t>С37,</w:t>
            </w:r>
            <w:r>
              <w:rPr>
                <w:spacing w:val="-12"/>
                <w:sz w:val="20"/>
              </w:rPr>
              <w:t> </w:t>
            </w:r>
            <w:r>
              <w:rPr>
                <w:sz w:val="20"/>
              </w:rPr>
              <w:t>С39,</w:t>
            </w:r>
            <w:r>
              <w:rPr>
                <w:spacing w:val="-13"/>
                <w:sz w:val="20"/>
              </w:rPr>
              <w:t> </w:t>
            </w:r>
            <w:r>
              <w:rPr>
                <w:sz w:val="20"/>
              </w:rPr>
              <w:t>С40, С41,</w:t>
            </w:r>
            <w:r>
              <w:rPr>
                <w:spacing w:val="-13"/>
                <w:sz w:val="20"/>
              </w:rPr>
              <w:t> </w:t>
            </w:r>
            <w:r>
              <w:rPr>
                <w:sz w:val="20"/>
              </w:rPr>
              <w:t>С44,</w:t>
            </w:r>
            <w:r>
              <w:rPr>
                <w:spacing w:val="-12"/>
                <w:sz w:val="20"/>
              </w:rPr>
              <w:t> </w:t>
            </w:r>
            <w:r>
              <w:rPr>
                <w:sz w:val="20"/>
              </w:rPr>
              <w:t>С48,</w:t>
            </w:r>
            <w:r>
              <w:rPr>
                <w:spacing w:val="-13"/>
                <w:sz w:val="20"/>
              </w:rPr>
              <w:t> </w:t>
            </w:r>
            <w:r>
              <w:rPr>
                <w:sz w:val="20"/>
              </w:rPr>
              <w:t>С49, С50,С51, С55, С60, С61,</w:t>
            </w:r>
            <w:r>
              <w:rPr>
                <w:spacing w:val="-3"/>
                <w:sz w:val="20"/>
              </w:rPr>
              <w:t> </w:t>
            </w:r>
            <w:r>
              <w:rPr>
                <w:sz w:val="20"/>
              </w:rPr>
              <w:t>С64,</w:t>
            </w:r>
            <w:r>
              <w:rPr>
                <w:spacing w:val="-3"/>
                <w:sz w:val="20"/>
              </w:rPr>
              <w:t> </w:t>
            </w:r>
            <w:r>
              <w:rPr>
                <w:sz w:val="20"/>
              </w:rPr>
              <w:t>С67,</w:t>
            </w:r>
            <w:r>
              <w:rPr>
                <w:spacing w:val="-3"/>
                <w:sz w:val="20"/>
              </w:rPr>
              <w:t> </w:t>
            </w:r>
            <w:r>
              <w:rPr>
                <w:spacing w:val="-4"/>
                <w:sz w:val="20"/>
              </w:rPr>
              <w:t>С68,</w:t>
            </w:r>
          </w:p>
        </w:tc>
        <w:tc>
          <w:tcPr>
            <w:tcW w:w="3366" w:type="dxa"/>
          </w:tcPr>
          <w:p>
            <w:pPr>
              <w:pStyle w:val="TableParagraph"/>
              <w:spacing w:line="240" w:lineRule="atLeast" w:before="30"/>
              <w:ind w:left="142"/>
              <w:rPr>
                <w:sz w:val="20"/>
              </w:rPr>
            </w:pPr>
            <w:r>
              <w:rPr>
                <w:sz w:val="20"/>
              </w:rPr>
              <w:t>злокачественные новообразования головы и шеи, трахеи, бронхов, легкого, плевры, средостения, щитовидной железы, молочной железы,</w:t>
            </w:r>
            <w:r>
              <w:rPr>
                <w:spacing w:val="-6"/>
                <w:sz w:val="20"/>
              </w:rPr>
              <w:t> </w:t>
            </w:r>
            <w:r>
              <w:rPr>
                <w:sz w:val="20"/>
              </w:rPr>
              <w:t>пищевода,</w:t>
            </w:r>
            <w:r>
              <w:rPr>
                <w:spacing w:val="-7"/>
                <w:sz w:val="20"/>
              </w:rPr>
              <w:t> </w:t>
            </w:r>
            <w:r>
              <w:rPr>
                <w:sz w:val="20"/>
              </w:rPr>
              <w:t>желудка,</w:t>
            </w:r>
            <w:r>
              <w:rPr>
                <w:spacing w:val="-5"/>
                <w:sz w:val="20"/>
              </w:rPr>
              <w:t> </w:t>
            </w:r>
            <w:r>
              <w:rPr>
                <w:sz w:val="20"/>
              </w:rPr>
              <w:t>тонкой кишки,</w:t>
            </w:r>
            <w:r>
              <w:rPr>
                <w:spacing w:val="-13"/>
                <w:sz w:val="20"/>
              </w:rPr>
              <w:t> </w:t>
            </w:r>
            <w:r>
              <w:rPr>
                <w:sz w:val="20"/>
              </w:rPr>
              <w:t>ободочной</w:t>
            </w:r>
            <w:r>
              <w:rPr>
                <w:spacing w:val="-12"/>
                <w:sz w:val="20"/>
              </w:rPr>
              <w:t> </w:t>
            </w:r>
            <w:r>
              <w:rPr>
                <w:sz w:val="20"/>
              </w:rPr>
              <w:t>кишки,</w:t>
            </w:r>
            <w:r>
              <w:rPr>
                <w:spacing w:val="-13"/>
                <w:sz w:val="20"/>
              </w:rPr>
              <w:t> </w:t>
            </w:r>
            <w:r>
              <w:rPr>
                <w:sz w:val="20"/>
              </w:rPr>
              <w:t>желчного пузыря, поджелудочной железы,</w:t>
            </w:r>
          </w:p>
        </w:tc>
        <w:tc>
          <w:tcPr>
            <w:tcW w:w="1449" w:type="dxa"/>
          </w:tcPr>
          <w:p>
            <w:pPr>
              <w:pStyle w:val="TableParagraph"/>
              <w:rPr>
                <w:sz w:val="18"/>
              </w:rPr>
            </w:pPr>
          </w:p>
        </w:tc>
        <w:tc>
          <w:tcPr>
            <w:tcW w:w="3903" w:type="dxa"/>
          </w:tcPr>
          <w:p>
            <w:pPr>
              <w:pStyle w:val="TableParagraph"/>
              <w:spacing w:line="249" w:lineRule="auto" w:before="60"/>
              <w:ind w:left="109"/>
              <w:rPr>
                <w:sz w:val="20"/>
              </w:rPr>
            </w:pPr>
            <w:r>
              <w:rPr>
                <w:sz w:val="20"/>
              </w:rPr>
              <w:t>протонная</w:t>
            </w:r>
            <w:r>
              <w:rPr>
                <w:spacing w:val="-9"/>
                <w:sz w:val="20"/>
              </w:rPr>
              <w:t> </w:t>
            </w:r>
            <w:r>
              <w:rPr>
                <w:sz w:val="20"/>
              </w:rPr>
              <w:t>лучевая</w:t>
            </w:r>
            <w:r>
              <w:rPr>
                <w:spacing w:val="-9"/>
                <w:sz w:val="20"/>
              </w:rPr>
              <w:t> </w:t>
            </w:r>
            <w:r>
              <w:rPr>
                <w:sz w:val="20"/>
              </w:rPr>
              <w:t>терапия,</w:t>
            </w:r>
            <w:r>
              <w:rPr>
                <w:spacing w:val="-9"/>
                <w:sz w:val="20"/>
              </w:rPr>
              <w:t> </w:t>
            </w:r>
            <w:r>
              <w:rPr>
                <w:sz w:val="20"/>
              </w:rPr>
              <w:t>в</w:t>
            </w:r>
            <w:r>
              <w:rPr>
                <w:spacing w:val="-9"/>
                <w:sz w:val="20"/>
              </w:rPr>
              <w:t> </w:t>
            </w:r>
            <w:r>
              <w:rPr>
                <w:sz w:val="20"/>
              </w:rPr>
              <w:t>том</w:t>
            </w:r>
            <w:r>
              <w:rPr>
                <w:spacing w:val="-8"/>
                <w:sz w:val="20"/>
              </w:rPr>
              <w:t> </w:t>
            </w:r>
            <w:r>
              <w:rPr>
                <w:sz w:val="20"/>
              </w:rPr>
              <w:t>числе IMPT. Радиомодификация.</w:t>
            </w:r>
          </w:p>
          <w:p>
            <w:pPr>
              <w:pStyle w:val="TableParagraph"/>
              <w:spacing w:line="249" w:lineRule="auto" w:before="2"/>
              <w:ind w:left="109" w:right="268"/>
              <w:rPr>
                <w:sz w:val="20"/>
              </w:rPr>
            </w:pPr>
            <w:r>
              <w:rPr>
                <w:sz w:val="20"/>
              </w:rPr>
              <w:t>Компьютерная томография и (или) магниторезонансная</w:t>
            </w:r>
            <w:r>
              <w:rPr>
                <w:spacing w:val="-13"/>
                <w:sz w:val="20"/>
              </w:rPr>
              <w:t> </w:t>
            </w:r>
            <w:r>
              <w:rPr>
                <w:sz w:val="20"/>
              </w:rPr>
              <w:t>топометрия.</w:t>
            </w:r>
            <w:r>
              <w:rPr>
                <w:spacing w:val="-12"/>
                <w:sz w:val="20"/>
              </w:rPr>
              <w:t> </w:t>
            </w:r>
            <w:r>
              <w:rPr>
                <w:sz w:val="20"/>
              </w:rPr>
              <w:t>3D-4D планирование. Фиксирующие устройства. Плоскостная и (или)</w:t>
            </w:r>
          </w:p>
          <w:p>
            <w:pPr>
              <w:pStyle w:val="TableParagraph"/>
              <w:spacing w:line="210" w:lineRule="exact" w:before="3"/>
              <w:ind w:left="109"/>
              <w:rPr>
                <w:sz w:val="20"/>
              </w:rPr>
            </w:pPr>
            <w:r>
              <w:rPr>
                <w:sz w:val="20"/>
              </w:rPr>
              <w:t>объемная</w:t>
            </w:r>
            <w:r>
              <w:rPr>
                <w:spacing w:val="-13"/>
                <w:sz w:val="20"/>
              </w:rPr>
              <w:t> </w:t>
            </w:r>
            <w:r>
              <w:rPr>
                <w:sz w:val="20"/>
              </w:rPr>
              <w:t>визуализация</w:t>
            </w:r>
            <w:r>
              <w:rPr>
                <w:spacing w:val="-12"/>
                <w:sz w:val="20"/>
              </w:rPr>
              <w:t> </w:t>
            </w:r>
            <w:r>
              <w:rPr>
                <w:spacing w:val="-2"/>
                <w:sz w:val="20"/>
              </w:rPr>
              <w:t>мишени</w:t>
            </w:r>
          </w:p>
        </w:tc>
        <w:tc>
          <w:tcPr>
            <w:tcW w:w="1101" w:type="dxa"/>
          </w:tcPr>
          <w:p>
            <w:pPr>
              <w:pStyle w:val="TableParagraph"/>
              <w:spacing w:before="60"/>
              <w:ind w:left="349"/>
              <w:rPr>
                <w:sz w:val="20"/>
              </w:rPr>
            </w:pPr>
            <w:r>
              <w:rPr>
                <w:spacing w:val="-2"/>
                <w:sz w:val="20"/>
              </w:rPr>
              <w:t>2661348</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010"/>
        <w:gridCol w:w="1940"/>
        <w:gridCol w:w="3272"/>
        <w:gridCol w:w="1437"/>
        <w:gridCol w:w="3988"/>
        <w:gridCol w:w="1045"/>
      </w:tblGrid>
      <w:tr>
        <w:trPr>
          <w:trHeight w:val="2690" w:hRule="atLeast"/>
        </w:trPr>
        <w:tc>
          <w:tcPr>
            <w:tcW w:w="5408" w:type="dxa"/>
            <w:gridSpan w:val="3"/>
          </w:tcPr>
          <w:p>
            <w:pPr>
              <w:pStyle w:val="TableParagraph"/>
              <w:spacing w:line="249" w:lineRule="auto"/>
              <w:ind w:left="3355" w:right="65" w:hanging="1"/>
              <w:jc w:val="center"/>
              <w:rPr>
                <w:sz w:val="20"/>
              </w:rPr>
            </w:pPr>
            <w:r>
              <w:rPr>
                <w:sz w:val="20"/>
              </w:rPr>
              <w:t>С71.0-C71.7, С72.0, С73,</w:t>
            </w:r>
            <w:r>
              <w:rPr>
                <w:spacing w:val="-13"/>
                <w:sz w:val="20"/>
              </w:rPr>
              <w:t> </w:t>
            </w:r>
            <w:r>
              <w:rPr>
                <w:sz w:val="20"/>
              </w:rPr>
              <w:t>С74,</w:t>
            </w:r>
            <w:r>
              <w:rPr>
                <w:spacing w:val="-11"/>
                <w:sz w:val="20"/>
              </w:rPr>
              <w:t> </w:t>
            </w:r>
            <w:r>
              <w:rPr>
                <w:sz w:val="20"/>
              </w:rPr>
              <w:t>C75.3,</w:t>
            </w:r>
            <w:r>
              <w:rPr>
                <w:spacing w:val="-13"/>
                <w:sz w:val="20"/>
              </w:rPr>
              <w:t> </w:t>
            </w:r>
            <w:r>
              <w:rPr>
                <w:sz w:val="20"/>
              </w:rPr>
              <w:t>С77.0, С77.1, С77.2, С77.5, C79.3 - C79.5</w:t>
            </w:r>
          </w:p>
        </w:tc>
        <w:tc>
          <w:tcPr>
            <w:tcW w:w="3272" w:type="dxa"/>
          </w:tcPr>
          <w:p>
            <w:pPr>
              <w:pStyle w:val="TableParagraph"/>
              <w:spacing w:line="249" w:lineRule="auto"/>
              <w:ind w:left="66" w:right="45"/>
              <w:rPr>
                <w:sz w:val="20"/>
              </w:rPr>
            </w:pPr>
            <w:r>
              <w:rPr>
                <w:sz w:val="20"/>
              </w:rPr>
              <w:t>толстой</w:t>
            </w:r>
            <w:r>
              <w:rPr>
                <w:spacing w:val="-7"/>
                <w:sz w:val="20"/>
              </w:rPr>
              <w:t> </w:t>
            </w:r>
            <w:r>
              <w:rPr>
                <w:sz w:val="20"/>
              </w:rPr>
              <w:t>и</w:t>
            </w:r>
            <w:r>
              <w:rPr>
                <w:spacing w:val="-9"/>
                <w:sz w:val="20"/>
              </w:rPr>
              <w:t> </w:t>
            </w:r>
            <w:r>
              <w:rPr>
                <w:sz w:val="20"/>
              </w:rPr>
              <w:t>прямой</w:t>
            </w:r>
            <w:r>
              <w:rPr>
                <w:spacing w:val="-7"/>
                <w:sz w:val="20"/>
              </w:rPr>
              <w:t> </w:t>
            </w:r>
            <w:r>
              <w:rPr>
                <w:sz w:val="20"/>
              </w:rPr>
              <w:t>кишки,</w:t>
            </w:r>
            <w:r>
              <w:rPr>
                <w:spacing w:val="-8"/>
                <w:sz w:val="20"/>
              </w:rPr>
              <w:t> </w:t>
            </w:r>
            <w:r>
              <w:rPr>
                <w:sz w:val="20"/>
              </w:rPr>
              <w:t>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w:t>
            </w:r>
            <w:r>
              <w:rPr>
                <w:spacing w:val="-13"/>
                <w:sz w:val="20"/>
              </w:rPr>
              <w:t> </w:t>
            </w:r>
            <w:r>
              <w:rPr>
                <w:sz w:val="20"/>
              </w:rPr>
              <w:t>(Т1-3N0М0),</w:t>
            </w:r>
            <w:r>
              <w:rPr>
                <w:spacing w:val="-12"/>
                <w:sz w:val="20"/>
              </w:rPr>
              <w:t> </w:t>
            </w:r>
            <w:r>
              <w:rPr>
                <w:sz w:val="20"/>
              </w:rPr>
              <w:t>локализованные и местнораспространенные формы</w:t>
            </w:r>
          </w:p>
        </w:tc>
        <w:tc>
          <w:tcPr>
            <w:tcW w:w="1437" w:type="dxa"/>
          </w:tcPr>
          <w:p>
            <w:pPr>
              <w:pStyle w:val="TableParagraph"/>
              <w:rPr>
                <w:sz w:val="18"/>
              </w:rPr>
            </w:pPr>
          </w:p>
        </w:tc>
        <w:tc>
          <w:tcPr>
            <w:tcW w:w="3988" w:type="dxa"/>
          </w:tcPr>
          <w:p>
            <w:pPr>
              <w:pStyle w:val="TableParagraph"/>
              <w:rPr>
                <w:sz w:val="18"/>
              </w:rPr>
            </w:pPr>
          </w:p>
        </w:tc>
        <w:tc>
          <w:tcPr>
            <w:tcW w:w="1045"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33.</w:t>
            </w:r>
          </w:p>
        </w:tc>
        <w:tc>
          <w:tcPr>
            <w:tcW w:w="3010" w:type="dxa"/>
          </w:tcPr>
          <w:p>
            <w:pPr>
              <w:pStyle w:val="TableParagraph"/>
              <w:spacing w:line="249" w:lineRule="auto" w:before="60"/>
              <w:ind w:left="155" w:right="811"/>
              <w:rPr>
                <w:sz w:val="20"/>
              </w:rPr>
            </w:pPr>
            <w:r>
              <w:rPr>
                <w:sz w:val="20"/>
              </w:rPr>
              <w:t>Иммунотерапия</w:t>
            </w:r>
            <w:r>
              <w:rPr>
                <w:spacing w:val="-13"/>
                <w:sz w:val="20"/>
              </w:rPr>
              <w:t> </w:t>
            </w:r>
            <w:r>
              <w:rPr>
                <w:sz w:val="20"/>
              </w:rPr>
              <w:t>острых </w:t>
            </w:r>
            <w:r>
              <w:rPr>
                <w:spacing w:val="-2"/>
                <w:sz w:val="20"/>
              </w:rPr>
              <w:t>лейкозов</w:t>
            </w:r>
          </w:p>
        </w:tc>
        <w:tc>
          <w:tcPr>
            <w:tcW w:w="1940" w:type="dxa"/>
          </w:tcPr>
          <w:p>
            <w:pPr>
              <w:pStyle w:val="TableParagraph"/>
              <w:spacing w:before="60"/>
              <w:ind w:left="334" w:right="510"/>
              <w:jc w:val="center"/>
              <w:rPr>
                <w:sz w:val="20"/>
              </w:rPr>
            </w:pPr>
            <w:r>
              <w:rPr>
                <w:spacing w:val="-4"/>
                <w:sz w:val="20"/>
              </w:rPr>
              <w:t>С91.0</w:t>
            </w:r>
          </w:p>
        </w:tc>
        <w:tc>
          <w:tcPr>
            <w:tcW w:w="3272" w:type="dxa"/>
          </w:tcPr>
          <w:p>
            <w:pPr>
              <w:pStyle w:val="TableParagraph"/>
              <w:spacing w:line="249" w:lineRule="auto" w:before="60"/>
              <w:ind w:left="66" w:right="45"/>
              <w:rPr>
                <w:sz w:val="20"/>
              </w:rPr>
            </w:pPr>
            <w:r>
              <w:rPr>
                <w:sz w:val="20"/>
              </w:rPr>
              <w:t>острый лимфобластный лейкоз у взрослых, в том числе рецидив, включая минимальную остаточную болезнь</w:t>
            </w:r>
            <w:r>
              <w:rPr>
                <w:spacing w:val="-13"/>
                <w:sz w:val="20"/>
              </w:rPr>
              <w:t> </w:t>
            </w:r>
            <w:r>
              <w:rPr>
                <w:sz w:val="20"/>
              </w:rPr>
              <w:t>(МОБ),</w:t>
            </w:r>
            <w:r>
              <w:rPr>
                <w:spacing w:val="-12"/>
                <w:sz w:val="20"/>
              </w:rPr>
              <w:t> </w:t>
            </w:r>
            <w:r>
              <w:rPr>
                <w:sz w:val="20"/>
              </w:rPr>
              <w:t>или</w:t>
            </w:r>
            <w:r>
              <w:rPr>
                <w:spacing w:val="-13"/>
                <w:sz w:val="20"/>
              </w:rPr>
              <w:t> </w:t>
            </w:r>
            <w:r>
              <w:rPr>
                <w:sz w:val="20"/>
              </w:rPr>
              <w:t>рефрактерность</w:t>
            </w:r>
          </w:p>
        </w:tc>
        <w:tc>
          <w:tcPr>
            <w:tcW w:w="1437" w:type="dxa"/>
          </w:tcPr>
          <w:p>
            <w:pPr>
              <w:pStyle w:val="TableParagraph"/>
              <w:spacing w:line="249"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306"/>
              <w:rPr>
                <w:sz w:val="20"/>
              </w:rPr>
            </w:pPr>
            <w:r>
              <w:rPr>
                <w:sz w:val="20"/>
              </w:rPr>
              <w:t>иммунотерапия</w:t>
            </w:r>
            <w:r>
              <w:rPr>
                <w:spacing w:val="-13"/>
                <w:sz w:val="20"/>
              </w:rPr>
              <w:t> </w:t>
            </w:r>
            <w:r>
              <w:rPr>
                <w:sz w:val="20"/>
              </w:rPr>
              <w:t>острого</w:t>
            </w:r>
            <w:r>
              <w:rPr>
                <w:spacing w:val="-12"/>
                <w:sz w:val="20"/>
              </w:rPr>
              <w:t> </w:t>
            </w:r>
            <w:r>
              <w:rPr>
                <w:sz w:val="20"/>
              </w:rPr>
              <w:t>лимфобластного лейкоза биспецифическими и конъюгированными моноклональными </w:t>
            </w:r>
            <w:r>
              <w:rPr>
                <w:spacing w:val="-2"/>
                <w:sz w:val="20"/>
              </w:rPr>
              <w:t>антителами</w:t>
            </w:r>
          </w:p>
        </w:tc>
        <w:tc>
          <w:tcPr>
            <w:tcW w:w="1045" w:type="dxa"/>
          </w:tcPr>
          <w:p>
            <w:pPr>
              <w:pStyle w:val="TableParagraph"/>
              <w:spacing w:before="60"/>
              <w:ind w:right="47"/>
              <w:jc w:val="right"/>
              <w:rPr>
                <w:sz w:val="20"/>
              </w:rPr>
            </w:pPr>
            <w:r>
              <w:rPr>
                <w:spacing w:val="-2"/>
                <w:sz w:val="20"/>
              </w:rPr>
              <w:t>4563232</w:t>
            </w:r>
          </w:p>
        </w:tc>
      </w:tr>
      <w:tr>
        <w:trPr>
          <w:trHeight w:val="840" w:hRule="atLeast"/>
        </w:trPr>
        <w:tc>
          <w:tcPr>
            <w:tcW w:w="458" w:type="dxa"/>
          </w:tcPr>
          <w:p>
            <w:pPr>
              <w:pStyle w:val="TableParagraph"/>
              <w:spacing w:before="60"/>
              <w:ind w:left="50"/>
              <w:rPr>
                <w:sz w:val="20"/>
              </w:rPr>
            </w:pPr>
            <w:r>
              <w:rPr>
                <w:spacing w:val="-5"/>
                <w:sz w:val="20"/>
              </w:rPr>
              <w:t>34.</w:t>
            </w:r>
          </w:p>
        </w:tc>
        <w:tc>
          <w:tcPr>
            <w:tcW w:w="3010" w:type="dxa"/>
          </w:tcPr>
          <w:p>
            <w:pPr>
              <w:pStyle w:val="TableParagraph"/>
              <w:spacing w:line="249" w:lineRule="auto" w:before="60"/>
              <w:ind w:left="155" w:right="335"/>
              <w:rPr>
                <w:sz w:val="20"/>
              </w:rPr>
            </w:pPr>
            <w:r>
              <w:rPr>
                <w:spacing w:val="-2"/>
                <w:sz w:val="20"/>
              </w:rPr>
              <w:t>Нехимиотерапевтическое </w:t>
            </w:r>
            <w:r>
              <w:rPr>
                <w:sz w:val="20"/>
              </w:rPr>
              <w:t>биологическое лечение острых лейкозов</w:t>
            </w:r>
          </w:p>
        </w:tc>
        <w:tc>
          <w:tcPr>
            <w:tcW w:w="1940" w:type="dxa"/>
          </w:tcPr>
          <w:p>
            <w:pPr>
              <w:pStyle w:val="TableParagraph"/>
              <w:spacing w:before="60"/>
              <w:ind w:left="334" w:right="510"/>
              <w:jc w:val="center"/>
              <w:rPr>
                <w:sz w:val="20"/>
              </w:rPr>
            </w:pPr>
            <w:r>
              <w:rPr>
                <w:spacing w:val="-4"/>
                <w:sz w:val="20"/>
              </w:rPr>
              <w:t>С92.0</w:t>
            </w:r>
          </w:p>
        </w:tc>
        <w:tc>
          <w:tcPr>
            <w:tcW w:w="3272" w:type="dxa"/>
          </w:tcPr>
          <w:p>
            <w:pPr>
              <w:pStyle w:val="TableParagraph"/>
              <w:spacing w:before="60"/>
              <w:ind w:left="66"/>
              <w:rPr>
                <w:sz w:val="20"/>
              </w:rPr>
            </w:pPr>
            <w:r>
              <w:rPr>
                <w:sz w:val="20"/>
              </w:rPr>
              <w:t>острые</w:t>
            </w:r>
            <w:r>
              <w:rPr>
                <w:spacing w:val="-10"/>
                <w:sz w:val="20"/>
              </w:rPr>
              <w:t> </w:t>
            </w:r>
            <w:r>
              <w:rPr>
                <w:sz w:val="20"/>
              </w:rPr>
              <w:t>миелоидные</w:t>
            </w:r>
            <w:r>
              <w:rPr>
                <w:spacing w:val="-10"/>
                <w:sz w:val="20"/>
              </w:rPr>
              <w:t> </w:t>
            </w:r>
            <w:r>
              <w:rPr>
                <w:spacing w:val="-2"/>
                <w:sz w:val="20"/>
              </w:rPr>
              <w:t>лейкозы</w:t>
            </w:r>
          </w:p>
        </w:tc>
        <w:tc>
          <w:tcPr>
            <w:tcW w:w="1437" w:type="dxa"/>
          </w:tcPr>
          <w:p>
            <w:pPr>
              <w:pStyle w:val="TableParagraph"/>
              <w:spacing w:line="249"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306"/>
              <w:rPr>
                <w:sz w:val="20"/>
              </w:rPr>
            </w:pPr>
            <w:r>
              <w:rPr>
                <w:sz w:val="20"/>
              </w:rPr>
              <w:t>эпигенетическая и таргетная терапия острых лейкозов ингибиторами ключевых</w:t>
            </w:r>
            <w:r>
              <w:rPr>
                <w:spacing w:val="-13"/>
                <w:sz w:val="20"/>
              </w:rPr>
              <w:t> </w:t>
            </w:r>
            <w:r>
              <w:rPr>
                <w:sz w:val="20"/>
              </w:rPr>
              <w:t>точек</w:t>
            </w:r>
            <w:r>
              <w:rPr>
                <w:spacing w:val="-12"/>
                <w:sz w:val="20"/>
              </w:rPr>
              <w:t> </w:t>
            </w:r>
            <w:r>
              <w:rPr>
                <w:sz w:val="20"/>
              </w:rPr>
              <w:t>сигнальных</w:t>
            </w:r>
            <w:r>
              <w:rPr>
                <w:spacing w:val="-13"/>
                <w:sz w:val="20"/>
              </w:rPr>
              <w:t> </w:t>
            </w:r>
            <w:r>
              <w:rPr>
                <w:sz w:val="20"/>
              </w:rPr>
              <w:t>каскадов</w:t>
            </w:r>
          </w:p>
        </w:tc>
        <w:tc>
          <w:tcPr>
            <w:tcW w:w="1045" w:type="dxa"/>
          </w:tcPr>
          <w:p>
            <w:pPr>
              <w:pStyle w:val="TableParagraph"/>
              <w:spacing w:before="60"/>
              <w:ind w:right="47"/>
              <w:jc w:val="right"/>
              <w:rPr>
                <w:sz w:val="20"/>
              </w:rPr>
            </w:pPr>
            <w:r>
              <w:rPr>
                <w:spacing w:val="-2"/>
                <w:sz w:val="20"/>
              </w:rPr>
              <w:t>1376665</w:t>
            </w:r>
          </w:p>
        </w:tc>
      </w:tr>
      <w:tr>
        <w:trPr>
          <w:trHeight w:val="1080" w:hRule="atLeast"/>
        </w:trPr>
        <w:tc>
          <w:tcPr>
            <w:tcW w:w="458" w:type="dxa"/>
          </w:tcPr>
          <w:p>
            <w:pPr>
              <w:pStyle w:val="TableParagraph"/>
              <w:spacing w:before="60"/>
              <w:ind w:left="50"/>
              <w:rPr>
                <w:sz w:val="20"/>
              </w:rPr>
            </w:pPr>
            <w:r>
              <w:rPr>
                <w:spacing w:val="-5"/>
                <w:sz w:val="20"/>
              </w:rPr>
              <w:t>35.</w:t>
            </w:r>
          </w:p>
        </w:tc>
        <w:tc>
          <w:tcPr>
            <w:tcW w:w="3010" w:type="dxa"/>
          </w:tcPr>
          <w:p>
            <w:pPr>
              <w:pStyle w:val="TableParagraph"/>
              <w:spacing w:line="249" w:lineRule="auto" w:before="60"/>
              <w:ind w:left="155" w:right="335"/>
              <w:rPr>
                <w:sz w:val="20"/>
              </w:rPr>
            </w:pPr>
            <w:r>
              <w:rPr>
                <w:sz w:val="20"/>
              </w:rPr>
              <w:t>Лечение острого лейкоза с </w:t>
            </w:r>
            <w:r>
              <w:rPr>
                <w:spacing w:val="-2"/>
                <w:sz w:val="20"/>
              </w:rPr>
              <w:t>использованием </w:t>
            </w:r>
            <w:r>
              <w:rPr>
                <w:sz w:val="20"/>
              </w:rPr>
              <w:t>биотехнологических</w:t>
            </w:r>
            <w:r>
              <w:rPr>
                <w:spacing w:val="-13"/>
                <w:sz w:val="20"/>
              </w:rPr>
              <w:t> </w:t>
            </w:r>
            <w:r>
              <w:rPr>
                <w:sz w:val="20"/>
              </w:rPr>
              <w:t>методов у детей</w:t>
            </w:r>
          </w:p>
        </w:tc>
        <w:tc>
          <w:tcPr>
            <w:tcW w:w="1940" w:type="dxa"/>
          </w:tcPr>
          <w:p>
            <w:pPr>
              <w:pStyle w:val="TableParagraph"/>
              <w:spacing w:before="60"/>
              <w:ind w:left="334" w:right="510"/>
              <w:jc w:val="center"/>
              <w:rPr>
                <w:sz w:val="20"/>
              </w:rPr>
            </w:pPr>
            <w:r>
              <w:rPr>
                <w:spacing w:val="-4"/>
                <w:sz w:val="20"/>
              </w:rPr>
              <w:t>С91.0</w:t>
            </w:r>
          </w:p>
        </w:tc>
        <w:tc>
          <w:tcPr>
            <w:tcW w:w="3272" w:type="dxa"/>
          </w:tcPr>
          <w:p>
            <w:pPr>
              <w:pStyle w:val="TableParagraph"/>
              <w:spacing w:line="249" w:lineRule="auto" w:before="60"/>
              <w:ind w:left="66" w:right="164"/>
              <w:rPr>
                <w:sz w:val="20"/>
              </w:rPr>
            </w:pPr>
            <w:r>
              <w:rPr>
                <w:sz w:val="20"/>
              </w:rPr>
              <w:t>острый</w:t>
            </w:r>
            <w:r>
              <w:rPr>
                <w:spacing w:val="-13"/>
                <w:sz w:val="20"/>
              </w:rPr>
              <w:t> </w:t>
            </w:r>
            <w:r>
              <w:rPr>
                <w:sz w:val="20"/>
              </w:rPr>
              <w:t>лимфобластный</w:t>
            </w:r>
            <w:r>
              <w:rPr>
                <w:spacing w:val="-12"/>
                <w:sz w:val="20"/>
              </w:rPr>
              <w:t> </w:t>
            </w:r>
            <w:r>
              <w:rPr>
                <w:sz w:val="20"/>
              </w:rPr>
              <w:t>лейкоз</w:t>
            </w:r>
            <w:r>
              <w:rPr>
                <w:spacing w:val="-12"/>
                <w:sz w:val="20"/>
              </w:rPr>
              <w:t> </w:t>
            </w:r>
            <w:r>
              <w:rPr>
                <w:sz w:val="20"/>
              </w:rPr>
              <w:t>у </w:t>
            </w:r>
            <w:r>
              <w:rPr>
                <w:spacing w:val="-2"/>
                <w:sz w:val="20"/>
              </w:rPr>
              <w:t>детей</w:t>
            </w:r>
          </w:p>
        </w:tc>
        <w:tc>
          <w:tcPr>
            <w:tcW w:w="1437" w:type="dxa"/>
          </w:tcPr>
          <w:p>
            <w:pPr>
              <w:pStyle w:val="TableParagraph"/>
              <w:spacing w:line="249"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248"/>
              <w:rPr>
                <w:sz w:val="20"/>
              </w:rPr>
            </w:pPr>
            <w:r>
              <w:rPr>
                <w:sz w:val="20"/>
              </w:rPr>
              <w:t>терапия</w:t>
            </w:r>
            <w:r>
              <w:rPr>
                <w:spacing w:val="-13"/>
                <w:sz w:val="20"/>
              </w:rPr>
              <w:t> </w:t>
            </w:r>
            <w:r>
              <w:rPr>
                <w:sz w:val="20"/>
              </w:rPr>
              <w:t>острого</w:t>
            </w:r>
            <w:r>
              <w:rPr>
                <w:spacing w:val="-12"/>
                <w:sz w:val="20"/>
              </w:rPr>
              <w:t> </w:t>
            </w:r>
            <w:r>
              <w:rPr>
                <w:sz w:val="20"/>
              </w:rPr>
              <w:t>лимфобластного</w:t>
            </w:r>
            <w:r>
              <w:rPr>
                <w:spacing w:val="-13"/>
                <w:sz w:val="20"/>
              </w:rPr>
              <w:t> </w:t>
            </w:r>
            <w:r>
              <w:rPr>
                <w:sz w:val="20"/>
              </w:rPr>
              <w:t>лейкоза у детей с применением моноклональных </w:t>
            </w:r>
            <w:r>
              <w:rPr>
                <w:spacing w:val="-2"/>
                <w:sz w:val="20"/>
              </w:rPr>
              <w:t>антител</w:t>
            </w:r>
          </w:p>
        </w:tc>
        <w:tc>
          <w:tcPr>
            <w:tcW w:w="1045" w:type="dxa"/>
          </w:tcPr>
          <w:p>
            <w:pPr>
              <w:pStyle w:val="TableParagraph"/>
              <w:spacing w:before="60"/>
              <w:ind w:right="47"/>
              <w:jc w:val="right"/>
              <w:rPr>
                <w:sz w:val="20"/>
              </w:rPr>
            </w:pPr>
            <w:r>
              <w:rPr>
                <w:spacing w:val="-2"/>
                <w:sz w:val="20"/>
              </w:rPr>
              <w:t>2972565</w:t>
            </w:r>
          </w:p>
        </w:tc>
      </w:tr>
      <w:tr>
        <w:trPr>
          <w:trHeight w:val="2210" w:hRule="atLeast"/>
        </w:trPr>
        <w:tc>
          <w:tcPr>
            <w:tcW w:w="458" w:type="dxa"/>
          </w:tcPr>
          <w:p>
            <w:pPr>
              <w:pStyle w:val="TableParagraph"/>
              <w:spacing w:before="60"/>
              <w:ind w:left="50"/>
              <w:rPr>
                <w:sz w:val="20"/>
              </w:rPr>
            </w:pPr>
            <w:r>
              <w:rPr>
                <w:spacing w:val="-5"/>
                <w:sz w:val="20"/>
              </w:rPr>
              <w:t>36.</w:t>
            </w:r>
          </w:p>
        </w:tc>
        <w:tc>
          <w:tcPr>
            <w:tcW w:w="3010" w:type="dxa"/>
          </w:tcPr>
          <w:p>
            <w:pPr>
              <w:pStyle w:val="TableParagraph"/>
              <w:spacing w:line="249" w:lineRule="auto" w:before="60"/>
              <w:ind w:left="155" w:right="335"/>
              <w:rPr>
                <w:sz w:val="20"/>
              </w:rPr>
            </w:pPr>
            <w:r>
              <w:rPr>
                <w:sz w:val="20"/>
              </w:rPr>
              <w:t>Тотальное облучение тела, тотальное лимфоидное облучение тела, тотальное облучение</w:t>
            </w:r>
            <w:r>
              <w:rPr>
                <w:spacing w:val="-13"/>
                <w:sz w:val="20"/>
              </w:rPr>
              <w:t> </w:t>
            </w:r>
            <w:r>
              <w:rPr>
                <w:sz w:val="20"/>
              </w:rPr>
              <w:t>костного</w:t>
            </w:r>
            <w:r>
              <w:rPr>
                <w:spacing w:val="-12"/>
                <w:sz w:val="20"/>
              </w:rPr>
              <w:t> </w:t>
            </w:r>
            <w:r>
              <w:rPr>
                <w:sz w:val="20"/>
              </w:rPr>
              <w:t>мозга</w:t>
            </w:r>
            <w:r>
              <w:rPr>
                <w:spacing w:val="-12"/>
                <w:sz w:val="20"/>
              </w:rPr>
              <w:t> </w:t>
            </w:r>
            <w:r>
              <w:rPr>
                <w:sz w:val="20"/>
              </w:rPr>
              <w:t>у </w:t>
            </w:r>
            <w:r>
              <w:rPr>
                <w:spacing w:val="-2"/>
                <w:sz w:val="20"/>
              </w:rPr>
              <w:t>детей</w:t>
            </w:r>
          </w:p>
        </w:tc>
        <w:tc>
          <w:tcPr>
            <w:tcW w:w="1940" w:type="dxa"/>
          </w:tcPr>
          <w:p>
            <w:pPr>
              <w:pStyle w:val="TableParagraph"/>
              <w:spacing w:before="60"/>
              <w:ind w:left="334" w:right="513"/>
              <w:jc w:val="center"/>
              <w:rPr>
                <w:sz w:val="20"/>
              </w:rPr>
            </w:pPr>
            <w:r>
              <w:rPr>
                <w:sz w:val="20"/>
              </w:rPr>
              <w:t>С91.0,</w:t>
            </w:r>
            <w:r>
              <w:rPr>
                <w:spacing w:val="-4"/>
                <w:sz w:val="20"/>
              </w:rPr>
              <w:t> </w:t>
            </w:r>
            <w:r>
              <w:rPr>
                <w:spacing w:val="-2"/>
                <w:sz w:val="20"/>
              </w:rPr>
              <w:t>С92.0</w:t>
            </w:r>
          </w:p>
        </w:tc>
        <w:tc>
          <w:tcPr>
            <w:tcW w:w="3272" w:type="dxa"/>
          </w:tcPr>
          <w:p>
            <w:pPr>
              <w:pStyle w:val="TableParagraph"/>
              <w:spacing w:line="249" w:lineRule="auto" w:before="60"/>
              <w:ind w:left="66" w:right="164"/>
              <w:rPr>
                <w:sz w:val="20"/>
              </w:rPr>
            </w:pPr>
            <w:r>
              <w:rPr>
                <w:sz w:val="20"/>
              </w:rPr>
              <w:t>острый</w:t>
            </w:r>
            <w:r>
              <w:rPr>
                <w:spacing w:val="-13"/>
                <w:sz w:val="20"/>
              </w:rPr>
              <w:t> </w:t>
            </w:r>
            <w:r>
              <w:rPr>
                <w:sz w:val="20"/>
              </w:rPr>
              <w:t>лимфобластный</w:t>
            </w:r>
            <w:r>
              <w:rPr>
                <w:spacing w:val="-12"/>
                <w:sz w:val="20"/>
              </w:rPr>
              <w:t> </w:t>
            </w:r>
            <w:r>
              <w:rPr>
                <w:sz w:val="20"/>
              </w:rPr>
              <w:t>лейкоз</w:t>
            </w:r>
            <w:r>
              <w:rPr>
                <w:spacing w:val="-12"/>
                <w:sz w:val="20"/>
              </w:rPr>
              <w:t> </w:t>
            </w:r>
            <w:r>
              <w:rPr>
                <w:sz w:val="20"/>
              </w:rPr>
              <w:t>у детей, острый миелобластный лейкоз у детей</w:t>
            </w:r>
          </w:p>
        </w:tc>
        <w:tc>
          <w:tcPr>
            <w:tcW w:w="1437" w:type="dxa"/>
          </w:tcPr>
          <w:p>
            <w:pPr>
              <w:pStyle w:val="TableParagraph"/>
              <w:spacing w:line="252"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396"/>
              <w:rPr>
                <w:sz w:val="20"/>
              </w:rPr>
            </w:pPr>
            <w:r>
              <w:rPr>
                <w:sz w:val="20"/>
              </w:rPr>
              <w:t>тотальное облучение тела с использованием компонентов крови, антибактериальных,</w:t>
            </w:r>
            <w:r>
              <w:rPr>
                <w:spacing w:val="-13"/>
                <w:sz w:val="20"/>
              </w:rPr>
              <w:t> </w:t>
            </w:r>
            <w:r>
              <w:rPr>
                <w:sz w:val="20"/>
              </w:rPr>
              <w:t>противогрибковых, противовирусных лекарственных </w:t>
            </w:r>
            <w:r>
              <w:rPr>
                <w:spacing w:val="-2"/>
                <w:sz w:val="20"/>
              </w:rPr>
              <w:t>препаратов</w:t>
            </w:r>
          </w:p>
          <w:p>
            <w:pPr>
              <w:pStyle w:val="TableParagraph"/>
              <w:spacing w:line="249" w:lineRule="auto" w:before="5"/>
              <w:ind w:left="139" w:right="306"/>
              <w:rPr>
                <w:sz w:val="20"/>
              </w:rPr>
            </w:pPr>
            <w:r>
              <w:rPr>
                <w:sz w:val="20"/>
              </w:rPr>
              <w:t>тотальное</w:t>
            </w:r>
            <w:r>
              <w:rPr>
                <w:spacing w:val="-11"/>
                <w:sz w:val="20"/>
              </w:rPr>
              <w:t> </w:t>
            </w:r>
            <w:r>
              <w:rPr>
                <w:sz w:val="20"/>
              </w:rPr>
              <w:t>лимфоидное</w:t>
            </w:r>
            <w:r>
              <w:rPr>
                <w:spacing w:val="-11"/>
                <w:sz w:val="20"/>
              </w:rPr>
              <w:t> </w:t>
            </w:r>
            <w:r>
              <w:rPr>
                <w:sz w:val="20"/>
              </w:rPr>
              <w:t>облучение</w:t>
            </w:r>
            <w:r>
              <w:rPr>
                <w:spacing w:val="-11"/>
                <w:sz w:val="20"/>
              </w:rPr>
              <w:t> </w:t>
            </w:r>
            <w:r>
              <w:rPr>
                <w:sz w:val="20"/>
              </w:rPr>
              <w:t>тела</w:t>
            </w:r>
            <w:r>
              <w:rPr>
                <w:spacing w:val="-11"/>
                <w:sz w:val="20"/>
              </w:rPr>
              <w:t> </w:t>
            </w:r>
            <w:r>
              <w:rPr>
                <w:sz w:val="20"/>
              </w:rPr>
              <w:t>с использованием компонентов крови, антибактериальных,</w:t>
            </w:r>
            <w:r>
              <w:rPr>
                <w:spacing w:val="-13"/>
                <w:sz w:val="20"/>
              </w:rPr>
              <w:t> </w:t>
            </w:r>
            <w:r>
              <w:rPr>
                <w:sz w:val="20"/>
              </w:rPr>
              <w:t>противогрибковых,</w:t>
            </w:r>
          </w:p>
          <w:p>
            <w:pPr>
              <w:pStyle w:val="TableParagraph"/>
              <w:spacing w:line="210" w:lineRule="exact" w:before="2"/>
              <w:ind w:left="139"/>
              <w:rPr>
                <w:sz w:val="20"/>
              </w:rPr>
            </w:pPr>
            <w:r>
              <w:rPr>
                <w:w w:val="95"/>
                <w:sz w:val="20"/>
              </w:rPr>
              <w:t>противовирусных</w:t>
            </w:r>
            <w:r>
              <w:rPr>
                <w:spacing w:val="56"/>
                <w:sz w:val="20"/>
              </w:rPr>
              <w:t> </w:t>
            </w:r>
            <w:r>
              <w:rPr>
                <w:spacing w:val="-2"/>
                <w:w w:val="95"/>
                <w:sz w:val="20"/>
              </w:rPr>
              <w:t>лекарственных</w:t>
            </w:r>
          </w:p>
        </w:tc>
        <w:tc>
          <w:tcPr>
            <w:tcW w:w="1045" w:type="dxa"/>
          </w:tcPr>
          <w:p>
            <w:pPr>
              <w:pStyle w:val="TableParagraph"/>
              <w:spacing w:before="60"/>
              <w:ind w:right="97"/>
              <w:jc w:val="right"/>
              <w:rPr>
                <w:sz w:val="20"/>
              </w:rPr>
            </w:pPr>
            <w:r>
              <w:rPr>
                <w:spacing w:val="-2"/>
                <w:sz w:val="20"/>
              </w:rPr>
              <w:t>391456</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tabs>
          <w:tab w:pos="931" w:val="left" w:leader="none"/>
        </w:tabs>
        <w:spacing w:line="249" w:lineRule="auto" w:before="1"/>
        <w:ind w:left="931" w:right="0" w:hanging="564"/>
        <w:jc w:val="left"/>
        <w:rPr>
          <w:sz w:val="20"/>
        </w:rPr>
      </w:pPr>
      <w:r>
        <w:rPr>
          <w:spacing w:val="-4"/>
          <w:sz w:val="20"/>
        </w:rPr>
        <w:t>37.</w:t>
      </w:r>
      <w:r>
        <w:rPr>
          <w:sz w:val="20"/>
        </w:rPr>
        <w:tab/>
        <w:t>Реконструктивные операции на</w:t>
      </w:r>
      <w:r>
        <w:rPr>
          <w:spacing w:val="-13"/>
          <w:sz w:val="20"/>
        </w:rPr>
        <w:t> </w:t>
      </w:r>
      <w:r>
        <w:rPr>
          <w:sz w:val="20"/>
        </w:rPr>
        <w:t>звукопроводящем</w:t>
      </w:r>
      <w:r>
        <w:rPr>
          <w:spacing w:val="-12"/>
          <w:sz w:val="20"/>
        </w:rPr>
        <w:t> </w:t>
      </w:r>
      <w:r>
        <w:rPr>
          <w:sz w:val="20"/>
        </w:rPr>
        <w:t>аппарате среднего уха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spacing w:line="249" w:lineRule="auto" w:before="1"/>
        <w:ind w:left="267" w:right="0" w:firstLine="48"/>
        <w:jc w:val="left"/>
        <w:rPr>
          <w:sz w:val="20"/>
        </w:rPr>
      </w:pPr>
      <w:r>
        <w:rPr>
          <w:sz w:val="20"/>
        </w:rPr>
        <w:t>H66.1, H66.2, Q16, H80.0,</w:t>
      </w:r>
      <w:r>
        <w:rPr>
          <w:spacing w:val="-4"/>
          <w:sz w:val="20"/>
        </w:rPr>
        <w:t> </w:t>
      </w:r>
      <w:r>
        <w:rPr>
          <w:sz w:val="20"/>
        </w:rPr>
        <w:t>H80.1,</w:t>
      </w:r>
      <w:r>
        <w:rPr>
          <w:spacing w:val="-5"/>
          <w:sz w:val="20"/>
        </w:rPr>
        <w:t> </w:t>
      </w:r>
      <w:r>
        <w:rPr>
          <w:spacing w:val="-4"/>
          <w:sz w:val="20"/>
        </w:rPr>
        <w:t>H80.9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34"/>
        <w:ind w:left="1519" w:right="0" w:firstLine="0"/>
        <w:jc w:val="left"/>
        <w:rPr>
          <w:sz w:val="20"/>
        </w:rPr>
      </w:pPr>
      <w:r>
        <w:rPr>
          <w:spacing w:val="-2"/>
          <w:sz w:val="20"/>
        </w:rPr>
        <w:t>Оториноларингология</w:t>
      </w:r>
    </w:p>
    <w:p>
      <w:pPr>
        <w:spacing w:line="249" w:lineRule="auto" w:before="130"/>
        <w:ind w:left="247" w:right="6" w:firstLine="0"/>
        <w:jc w:val="left"/>
        <w:rPr>
          <w:sz w:val="20"/>
        </w:rPr>
      </w:pPr>
      <w:r>
        <w:rPr>
          <w:sz w:val="20"/>
        </w:rPr>
        <w:t>хронический туботимпальный гнойный</w:t>
      </w:r>
      <w:r>
        <w:rPr>
          <w:spacing w:val="-13"/>
          <w:sz w:val="20"/>
        </w:rPr>
        <w:t> </w:t>
      </w:r>
      <w:r>
        <w:rPr>
          <w:sz w:val="20"/>
        </w:rPr>
        <w:t>средний</w:t>
      </w:r>
      <w:r>
        <w:rPr>
          <w:spacing w:val="-12"/>
          <w:sz w:val="20"/>
        </w:rPr>
        <w:t> </w:t>
      </w:r>
      <w:r>
        <w:rPr>
          <w:sz w:val="20"/>
        </w:rPr>
        <w:t>отит.</w:t>
      </w:r>
      <w:r>
        <w:rPr>
          <w:spacing w:val="-13"/>
          <w:sz w:val="20"/>
        </w:rPr>
        <w:t> </w:t>
      </w:r>
      <w:r>
        <w:rPr>
          <w:sz w:val="20"/>
        </w:rPr>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pPr>
        <w:spacing w:line="249" w:lineRule="auto" w:before="10"/>
        <w:ind w:left="247" w:right="0" w:firstLine="0"/>
        <w:jc w:val="left"/>
        <w:rPr>
          <w:sz w:val="20"/>
        </w:rPr>
      </w:pPr>
      <w:r>
        <w:rPr>
          <w:sz w:val="20"/>
        </w:rPr>
        <w:t>Отосклероз,</w:t>
      </w:r>
      <w:r>
        <w:rPr>
          <w:spacing w:val="-13"/>
          <w:sz w:val="20"/>
        </w:rPr>
        <w:t> </w:t>
      </w:r>
      <w:r>
        <w:rPr>
          <w:sz w:val="20"/>
        </w:rPr>
        <w:t>вовлекающий</w:t>
      </w:r>
      <w:r>
        <w:rPr>
          <w:spacing w:val="-12"/>
          <w:sz w:val="20"/>
        </w:rPr>
        <w:t> </w:t>
      </w:r>
      <w:r>
        <w:rPr>
          <w:sz w:val="20"/>
        </w:rPr>
        <w:t>овальное окно, облитерирующий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spacing w:line="249" w:lineRule="auto" w:before="1"/>
        <w:ind w:left="88" w:right="0" w:firstLine="0"/>
        <w:jc w:val="left"/>
        <w:rPr>
          <w:sz w:val="20"/>
        </w:rPr>
      </w:pPr>
      <w:r>
        <w:rPr>
          <w:spacing w:val="-2"/>
          <w:sz w:val="20"/>
        </w:rPr>
        <w:t>хирургическое лечение</w:t>
      </w:r>
    </w:p>
    <w:p>
      <w:pPr>
        <w:spacing w:before="91"/>
        <w:ind w:left="178" w:right="0" w:firstLine="0"/>
        <w:jc w:val="left"/>
        <w:rPr>
          <w:sz w:val="20"/>
        </w:rPr>
      </w:pPr>
      <w:r>
        <w:rPr/>
        <w:br w:type="column"/>
      </w:r>
      <w:r>
        <w:rPr>
          <w:spacing w:val="-2"/>
          <w:sz w:val="20"/>
        </w:rPr>
        <w:t>препаратов</w:t>
      </w:r>
    </w:p>
    <w:p>
      <w:pPr>
        <w:spacing w:line="249" w:lineRule="auto" w:before="10"/>
        <w:ind w:left="178" w:right="116" w:firstLine="0"/>
        <w:jc w:val="left"/>
        <w:rPr>
          <w:sz w:val="20"/>
        </w:rPr>
      </w:pPr>
      <w:r>
        <w:rPr>
          <w:sz w:val="20"/>
        </w:rPr>
        <w:t>тотальное облучение костного мозга с использованием компонентов крови, антибактериальных,</w:t>
      </w:r>
      <w:r>
        <w:rPr>
          <w:spacing w:val="-13"/>
          <w:sz w:val="20"/>
        </w:rPr>
        <w:t> </w:t>
      </w:r>
      <w:r>
        <w:rPr>
          <w:sz w:val="20"/>
        </w:rPr>
        <w:t>противогрибковых, противовирусных лекарственных </w:t>
      </w:r>
      <w:r>
        <w:rPr>
          <w:spacing w:val="-2"/>
          <w:sz w:val="20"/>
        </w:rPr>
        <w:t>препаратов.</w:t>
      </w:r>
    </w:p>
    <w:p>
      <w:pPr>
        <w:pStyle w:val="BodyText"/>
        <w:rPr>
          <w:sz w:val="22"/>
        </w:rPr>
      </w:pPr>
    </w:p>
    <w:p>
      <w:pPr>
        <w:pStyle w:val="BodyText"/>
        <w:spacing w:before="1"/>
        <w:rPr>
          <w:sz w:val="20"/>
        </w:rPr>
      </w:pPr>
    </w:p>
    <w:p>
      <w:pPr>
        <w:spacing w:line="249" w:lineRule="auto" w:before="1"/>
        <w:ind w:left="178" w:right="153" w:firstLine="0"/>
        <w:jc w:val="left"/>
        <w:rPr>
          <w:sz w:val="20"/>
        </w:rPr>
      </w:pPr>
      <w:r>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w:t>
      </w:r>
      <w:r>
        <w:rPr>
          <w:spacing w:val="-13"/>
          <w:sz w:val="20"/>
        </w:rPr>
        <w:t> </w:t>
      </w:r>
      <w:r>
        <w:rPr>
          <w:sz w:val="20"/>
        </w:rPr>
        <w:t>гнойного</w:t>
      </w:r>
      <w:r>
        <w:rPr>
          <w:spacing w:val="-12"/>
          <w:sz w:val="20"/>
        </w:rPr>
        <w:t> </w:t>
      </w:r>
      <w:r>
        <w:rPr>
          <w:sz w:val="20"/>
        </w:rPr>
        <w:t>среднего</w:t>
      </w:r>
      <w:r>
        <w:rPr>
          <w:spacing w:val="-13"/>
          <w:sz w:val="20"/>
        </w:rPr>
        <w:t> </w:t>
      </w:r>
      <w:r>
        <w:rPr>
          <w:sz w:val="20"/>
        </w:rPr>
        <w:t>отита, с применением микрохирургической техники, аллогенных трансплантатов,</w:t>
      </w:r>
    </w:p>
    <w:p>
      <w:pPr>
        <w:spacing w:before="6"/>
        <w:ind w:left="178" w:right="0" w:firstLine="0"/>
        <w:jc w:val="left"/>
        <w:rPr>
          <w:sz w:val="20"/>
        </w:rPr>
      </w:pPr>
      <w:r>
        <w:rPr>
          <w:sz w:val="20"/>
        </w:rPr>
        <w:t>в</w:t>
      </w:r>
      <w:r>
        <w:rPr>
          <w:spacing w:val="-5"/>
          <w:sz w:val="20"/>
        </w:rPr>
        <w:t> </w:t>
      </w:r>
      <w:r>
        <w:rPr>
          <w:sz w:val="20"/>
        </w:rPr>
        <w:t>том</w:t>
      </w:r>
      <w:r>
        <w:rPr>
          <w:spacing w:val="-3"/>
          <w:sz w:val="20"/>
        </w:rPr>
        <w:t> </w:t>
      </w:r>
      <w:r>
        <w:rPr>
          <w:sz w:val="20"/>
        </w:rPr>
        <w:t>числе</w:t>
      </w:r>
      <w:r>
        <w:rPr>
          <w:spacing w:val="-4"/>
          <w:sz w:val="20"/>
        </w:rPr>
        <w:t> </w:t>
      </w:r>
      <w:r>
        <w:rPr>
          <w:spacing w:val="-2"/>
          <w:sz w:val="20"/>
        </w:rPr>
        <w:t>металлических</w:t>
      </w:r>
    </w:p>
    <w:p>
      <w:pPr>
        <w:spacing w:line="249" w:lineRule="auto" w:before="130"/>
        <w:ind w:left="178" w:right="0" w:firstLine="0"/>
        <w:jc w:val="left"/>
        <w:rPr>
          <w:sz w:val="20"/>
        </w:rPr>
      </w:pPr>
      <w:r>
        <w:rPr>
          <w:sz w:val="20"/>
        </w:rPr>
        <w:t>стапедопластика при патологическом процессе, врожденном или приобретенном, с вовлечением окна преддверия,</w:t>
      </w:r>
      <w:r>
        <w:rPr>
          <w:spacing w:val="-11"/>
          <w:sz w:val="20"/>
        </w:rPr>
        <w:t> </w:t>
      </w:r>
      <w:r>
        <w:rPr>
          <w:sz w:val="20"/>
        </w:rPr>
        <w:t>с</w:t>
      </w:r>
      <w:r>
        <w:rPr>
          <w:spacing w:val="-11"/>
          <w:sz w:val="20"/>
        </w:rPr>
        <w:t> </w:t>
      </w:r>
      <w:r>
        <w:rPr>
          <w:sz w:val="20"/>
        </w:rPr>
        <w:t>применением</w:t>
      </w:r>
      <w:r>
        <w:rPr>
          <w:spacing w:val="-11"/>
          <w:sz w:val="20"/>
        </w:rPr>
        <w:t> </w:t>
      </w:r>
      <w:r>
        <w:rPr>
          <w:sz w:val="20"/>
        </w:rPr>
        <w:t>аутотканей</w:t>
      </w:r>
      <w:r>
        <w:rPr>
          <w:spacing w:val="-12"/>
          <w:sz w:val="20"/>
        </w:rPr>
        <w:t> </w:t>
      </w:r>
      <w:r>
        <w:rPr>
          <w:sz w:val="20"/>
        </w:rPr>
        <w:t>и аллогенных трансплантатов, в том числе </w:t>
      </w:r>
      <w:r>
        <w:rPr>
          <w:spacing w:val="-2"/>
          <w:sz w:val="20"/>
        </w:rPr>
        <w:t>металлических</w:t>
      </w:r>
    </w:p>
    <w:p>
      <w:pPr>
        <w:spacing w:line="249" w:lineRule="auto" w:before="125"/>
        <w:ind w:left="178" w:right="0" w:firstLine="0"/>
        <w:jc w:val="left"/>
        <w:rPr>
          <w:sz w:val="20"/>
        </w:rPr>
      </w:pPr>
      <w:r>
        <w:rPr>
          <w:sz w:val="20"/>
        </w:rPr>
        <w:t>слухоулучшающие операции с применением</w:t>
      </w:r>
      <w:r>
        <w:rPr>
          <w:spacing w:val="-13"/>
          <w:sz w:val="20"/>
        </w:rPr>
        <w:t> </w:t>
      </w:r>
      <w:r>
        <w:rPr>
          <w:sz w:val="20"/>
        </w:rPr>
        <w:t>имплантата</w:t>
      </w:r>
      <w:r>
        <w:rPr>
          <w:spacing w:val="-12"/>
          <w:sz w:val="20"/>
        </w:rPr>
        <w:t> </w:t>
      </w:r>
      <w:r>
        <w:rPr>
          <w:sz w:val="20"/>
        </w:rPr>
        <w:t>среднего</w:t>
      </w:r>
      <w:r>
        <w:rPr>
          <w:spacing w:val="-13"/>
          <w:sz w:val="20"/>
        </w:rPr>
        <w:t> </w:t>
      </w:r>
      <w:r>
        <w:rPr>
          <w:sz w:val="20"/>
        </w:rPr>
        <w:t>уха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spacing w:before="1"/>
        <w:ind w:left="367" w:right="0" w:firstLine="0"/>
        <w:jc w:val="left"/>
        <w:rPr>
          <w:sz w:val="20"/>
        </w:rPr>
      </w:pPr>
      <w:r>
        <w:rPr>
          <w:spacing w:val="-2"/>
          <w:sz w:val="20"/>
        </w:rPr>
        <w:t>142653</w:t>
      </w:r>
    </w:p>
    <w:p>
      <w:pPr>
        <w:spacing w:after="0"/>
        <w:jc w:val="left"/>
        <w:rPr>
          <w:sz w:val="20"/>
        </w:rPr>
        <w:sectPr>
          <w:type w:val="continuous"/>
          <w:pgSz w:w="16850" w:h="11910" w:orient="landscape"/>
          <w:pgMar w:header="753" w:footer="0" w:top="1080" w:bottom="280" w:left="400" w:right="400"/>
          <w:cols w:num="6" w:equalWidth="0">
            <w:col w:w="3517" w:space="40"/>
            <w:col w:w="1949" w:space="39"/>
            <w:col w:w="3427" w:space="40"/>
            <w:col w:w="1345" w:space="40"/>
            <w:col w:w="3747" w:space="256"/>
            <w:col w:w="1650"/>
          </w:cols>
        </w:sectPr>
      </w:pPr>
    </w:p>
    <w:p>
      <w:pPr>
        <w:spacing w:line="249" w:lineRule="auto" w:before="122"/>
        <w:ind w:left="931" w:right="-8" w:firstLine="0"/>
        <w:jc w:val="left"/>
        <w:rPr>
          <w:sz w:val="20"/>
        </w:rPr>
      </w:pPr>
      <w:r>
        <w:rPr>
          <w:sz w:val="20"/>
        </w:rPr>
        <w:t>Хирургическое лечение болезни</w:t>
      </w:r>
      <w:r>
        <w:rPr>
          <w:spacing w:val="-12"/>
          <w:sz w:val="20"/>
        </w:rPr>
        <w:t> </w:t>
      </w:r>
      <w:r>
        <w:rPr>
          <w:sz w:val="20"/>
        </w:rPr>
        <w:t>Меньера</w:t>
      </w:r>
      <w:r>
        <w:rPr>
          <w:spacing w:val="-11"/>
          <w:sz w:val="20"/>
        </w:rPr>
        <w:t> </w:t>
      </w:r>
      <w:r>
        <w:rPr>
          <w:sz w:val="20"/>
        </w:rPr>
        <w:t>и</w:t>
      </w:r>
      <w:r>
        <w:rPr>
          <w:spacing w:val="-10"/>
          <w:sz w:val="20"/>
        </w:rPr>
        <w:t> </w:t>
      </w:r>
      <w:r>
        <w:rPr>
          <w:sz w:val="20"/>
        </w:rPr>
        <w:t>других нарушений</w:t>
      </w:r>
      <w:r>
        <w:rPr>
          <w:spacing w:val="-13"/>
          <w:sz w:val="20"/>
        </w:rPr>
        <w:t> </w:t>
      </w:r>
      <w:r>
        <w:rPr>
          <w:sz w:val="20"/>
        </w:rPr>
        <w:t>вестибулярной </w:t>
      </w:r>
      <w:r>
        <w:rPr>
          <w:spacing w:val="-2"/>
          <w:sz w:val="20"/>
        </w:rPr>
        <w:t>функции</w:t>
      </w:r>
    </w:p>
    <w:p>
      <w:pPr>
        <w:spacing w:line="249" w:lineRule="auto" w:before="123"/>
        <w:ind w:left="931" w:right="240" w:firstLine="0"/>
        <w:jc w:val="left"/>
        <w:rPr>
          <w:sz w:val="20"/>
        </w:rPr>
      </w:pPr>
      <w:r>
        <w:rPr>
          <w:sz w:val="20"/>
        </w:rPr>
        <w:t>Хирургическое</w:t>
      </w:r>
      <w:r>
        <w:rPr>
          <w:spacing w:val="-13"/>
          <w:sz w:val="20"/>
        </w:rPr>
        <w:t> </w:t>
      </w:r>
      <w:r>
        <w:rPr>
          <w:sz w:val="20"/>
        </w:rPr>
        <w:t>лечение </w:t>
      </w:r>
      <w:r>
        <w:rPr>
          <w:spacing w:val="-2"/>
          <w:sz w:val="20"/>
        </w:rPr>
        <w:t>доброкачественных новообразований</w:t>
      </w:r>
    </w:p>
    <w:p>
      <w:pPr>
        <w:tabs>
          <w:tab w:pos="2539" w:val="left" w:leader="none"/>
        </w:tabs>
        <w:spacing w:line="249" w:lineRule="auto" w:before="122"/>
        <w:ind w:left="2539" w:right="221" w:hanging="1373"/>
        <w:jc w:val="left"/>
        <w:rPr>
          <w:sz w:val="20"/>
        </w:rPr>
      </w:pPr>
      <w:r>
        <w:rPr/>
        <w:br w:type="column"/>
      </w:r>
      <w:r>
        <w:rPr>
          <w:spacing w:val="-4"/>
          <w:sz w:val="20"/>
        </w:rPr>
        <w:t>H81.0</w:t>
      </w:r>
      <w:r>
        <w:rPr>
          <w:sz w:val="20"/>
        </w:rPr>
        <w:tab/>
        <w:t>болезнь Меньера при неэффективности</w:t>
      </w:r>
      <w:r>
        <w:rPr>
          <w:spacing w:val="-13"/>
          <w:sz w:val="20"/>
        </w:rPr>
        <w:t> </w:t>
      </w:r>
      <w:r>
        <w:rPr>
          <w:sz w:val="20"/>
        </w:rPr>
        <w:t>консервативной </w:t>
      </w:r>
      <w:r>
        <w:rPr>
          <w:spacing w:val="-2"/>
          <w:sz w:val="20"/>
        </w:rPr>
        <w:t>терапии</w:t>
      </w:r>
    </w:p>
    <w:p>
      <w:pPr>
        <w:pStyle w:val="BodyText"/>
        <w:spacing w:before="6"/>
        <w:rPr>
          <w:sz w:val="31"/>
        </w:rPr>
      </w:pPr>
    </w:p>
    <w:p>
      <w:pPr>
        <w:tabs>
          <w:tab w:pos="2539" w:val="left" w:leader="none"/>
        </w:tabs>
        <w:spacing w:before="0"/>
        <w:ind w:left="571" w:right="0" w:firstLine="0"/>
        <w:jc w:val="left"/>
        <w:rPr>
          <w:sz w:val="20"/>
        </w:rPr>
      </w:pPr>
      <w:r>
        <w:rPr>
          <w:sz w:val="20"/>
        </w:rPr>
        <w:t>D10.6,</w:t>
      </w:r>
      <w:r>
        <w:rPr>
          <w:spacing w:val="-4"/>
          <w:sz w:val="20"/>
        </w:rPr>
        <w:t> </w:t>
      </w:r>
      <w:r>
        <w:rPr>
          <w:sz w:val="20"/>
        </w:rPr>
        <w:t>D14.0,</w:t>
      </w:r>
      <w:r>
        <w:rPr>
          <w:spacing w:val="-5"/>
          <w:sz w:val="20"/>
        </w:rPr>
        <w:t> </w:t>
      </w:r>
      <w:r>
        <w:rPr>
          <w:spacing w:val="-4"/>
          <w:sz w:val="20"/>
        </w:rPr>
        <w:t>D33.3</w:t>
      </w:r>
      <w:r>
        <w:rPr>
          <w:sz w:val="20"/>
        </w:rPr>
        <w:tab/>
      </w:r>
      <w:r>
        <w:rPr>
          <w:w w:val="95"/>
          <w:sz w:val="20"/>
        </w:rPr>
        <w:t>доброкачественное</w:t>
      </w:r>
      <w:r>
        <w:rPr>
          <w:spacing w:val="62"/>
          <w:sz w:val="20"/>
        </w:rPr>
        <w:t> </w:t>
      </w:r>
      <w:r>
        <w:rPr>
          <w:spacing w:val="-2"/>
          <w:sz w:val="20"/>
        </w:rPr>
        <w:t>новообразование</w:t>
      </w:r>
    </w:p>
    <w:p>
      <w:pPr>
        <w:spacing w:line="249" w:lineRule="auto" w:before="10"/>
        <w:ind w:left="2539" w:right="393" w:firstLine="0"/>
        <w:jc w:val="left"/>
        <w:rPr>
          <w:sz w:val="20"/>
        </w:rPr>
      </w:pPr>
      <w:r>
        <w:rPr>
          <w:sz w:val="20"/>
        </w:rPr>
        <w:t>носоглотки.</w:t>
      </w:r>
      <w:r>
        <w:rPr>
          <w:spacing w:val="-13"/>
          <w:sz w:val="20"/>
        </w:rPr>
        <w:t> </w:t>
      </w:r>
      <w:r>
        <w:rPr>
          <w:sz w:val="20"/>
        </w:rPr>
        <w:t>Доброкачественное новообразование среднего уха.</w:t>
      </w:r>
    </w:p>
    <w:p>
      <w:pPr>
        <w:spacing w:line="249" w:lineRule="auto" w:before="122"/>
        <w:ind w:left="124" w:right="0" w:firstLine="0"/>
        <w:jc w:val="left"/>
        <w:rPr>
          <w:sz w:val="20"/>
        </w:rPr>
      </w:pPr>
      <w:r>
        <w:rPr/>
        <w:br w:type="column"/>
      </w:r>
      <w:r>
        <w:rPr>
          <w:spacing w:val="-2"/>
          <w:sz w:val="20"/>
        </w:rPr>
        <w:t>хирургическое лечение</w:t>
      </w:r>
    </w:p>
    <w:p>
      <w:pPr>
        <w:pStyle w:val="BodyText"/>
        <w:rPr>
          <w:sz w:val="22"/>
        </w:rPr>
      </w:pPr>
    </w:p>
    <w:p>
      <w:pPr>
        <w:pStyle w:val="BodyText"/>
        <w:spacing w:before="3"/>
        <w:rPr>
          <w:sz w:val="30"/>
        </w:rPr>
      </w:pPr>
    </w:p>
    <w:p>
      <w:pPr>
        <w:spacing w:line="249" w:lineRule="auto" w:before="1"/>
        <w:ind w:left="124" w:right="0" w:firstLine="0"/>
        <w:jc w:val="left"/>
        <w:rPr>
          <w:sz w:val="20"/>
        </w:rPr>
      </w:pPr>
      <w:r>
        <w:rPr>
          <w:spacing w:val="-2"/>
          <w:sz w:val="20"/>
        </w:rPr>
        <w:t>хирургическое лечение</w:t>
      </w:r>
    </w:p>
    <w:p>
      <w:pPr>
        <w:spacing w:line="249" w:lineRule="auto" w:before="122"/>
        <w:ind w:left="178" w:right="1951" w:firstLine="0"/>
        <w:jc w:val="left"/>
        <w:rPr>
          <w:sz w:val="20"/>
        </w:rPr>
      </w:pPr>
      <w:r>
        <w:rPr/>
        <w:br w:type="column"/>
      </w:r>
      <w:r>
        <w:rPr>
          <w:sz w:val="20"/>
        </w:rPr>
        <w:t>дренирование эндолимфатических пространств внутреннего уха с применением</w:t>
      </w:r>
      <w:r>
        <w:rPr>
          <w:spacing w:val="-13"/>
          <w:sz w:val="20"/>
        </w:rPr>
        <w:t> </w:t>
      </w:r>
      <w:r>
        <w:rPr>
          <w:sz w:val="20"/>
        </w:rPr>
        <w:t>микрохирургической</w:t>
      </w:r>
      <w:r>
        <w:rPr>
          <w:spacing w:val="-12"/>
          <w:sz w:val="20"/>
        </w:rPr>
        <w:t> </w:t>
      </w:r>
      <w:r>
        <w:rPr>
          <w:sz w:val="20"/>
        </w:rPr>
        <w:t>и лучевой техники</w:t>
      </w:r>
    </w:p>
    <w:p>
      <w:pPr>
        <w:spacing w:line="249" w:lineRule="auto" w:before="123"/>
        <w:ind w:left="178" w:right="1951" w:firstLine="0"/>
        <w:jc w:val="left"/>
        <w:rPr>
          <w:sz w:val="20"/>
        </w:rPr>
      </w:pPr>
      <w:r>
        <w:rPr>
          <w:sz w:val="20"/>
        </w:rPr>
        <w:t>удаление новообразования с применением</w:t>
      </w:r>
      <w:r>
        <w:rPr>
          <w:spacing w:val="-13"/>
          <w:sz w:val="20"/>
        </w:rPr>
        <w:t> </w:t>
      </w:r>
      <w:r>
        <w:rPr>
          <w:sz w:val="20"/>
        </w:rPr>
        <w:t>эндоскопической, навигационной техники,</w:t>
      </w:r>
    </w:p>
    <w:p>
      <w:pPr>
        <w:spacing w:after="0" w:line="249" w:lineRule="auto"/>
        <w:jc w:val="left"/>
        <w:rPr>
          <w:sz w:val="20"/>
        </w:rPr>
        <w:sectPr>
          <w:type w:val="continuous"/>
          <w:pgSz w:w="16850" w:h="11910" w:orient="landscape"/>
          <w:pgMar w:header="753" w:footer="0" w:top="1080" w:bottom="280" w:left="400" w:right="400"/>
          <w:cols w:num="4" w:equalWidth="0">
            <w:col w:w="3214" w:space="40"/>
            <w:col w:w="5684" w:space="39"/>
            <w:col w:w="1381"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4"/>
        <w:gridCol w:w="2014"/>
        <w:gridCol w:w="3380"/>
        <w:gridCol w:w="1429"/>
        <w:gridCol w:w="3869"/>
        <w:gridCol w:w="1132"/>
      </w:tblGrid>
      <w:tr>
        <w:trPr>
          <w:trHeight w:val="1710" w:hRule="atLeast"/>
        </w:trPr>
        <w:tc>
          <w:tcPr>
            <w:tcW w:w="458" w:type="dxa"/>
          </w:tcPr>
          <w:p>
            <w:pPr>
              <w:pStyle w:val="TableParagraph"/>
              <w:rPr>
                <w:sz w:val="18"/>
              </w:rPr>
            </w:pPr>
          </w:p>
        </w:tc>
        <w:tc>
          <w:tcPr>
            <w:tcW w:w="2864" w:type="dxa"/>
          </w:tcPr>
          <w:p>
            <w:pPr>
              <w:pStyle w:val="TableParagraph"/>
              <w:spacing w:line="249" w:lineRule="auto"/>
              <w:ind w:left="155" w:right="168"/>
              <w:rPr>
                <w:sz w:val="20"/>
              </w:rPr>
            </w:pPr>
            <w:r>
              <w:rPr>
                <w:sz w:val="20"/>
              </w:rPr>
              <w:t>околоносовых пазух, основания</w:t>
            </w:r>
            <w:r>
              <w:rPr>
                <w:spacing w:val="-13"/>
                <w:sz w:val="20"/>
              </w:rPr>
              <w:t> </w:t>
            </w:r>
            <w:r>
              <w:rPr>
                <w:sz w:val="20"/>
              </w:rPr>
              <w:t>черепа</w:t>
            </w:r>
            <w:r>
              <w:rPr>
                <w:spacing w:val="-12"/>
                <w:sz w:val="20"/>
              </w:rPr>
              <w:t> </w:t>
            </w:r>
            <w:r>
              <w:rPr>
                <w:sz w:val="20"/>
              </w:rPr>
              <w:t>и</w:t>
            </w:r>
            <w:r>
              <w:rPr>
                <w:spacing w:val="-13"/>
                <w:sz w:val="20"/>
              </w:rPr>
              <w:t> </w:t>
            </w:r>
            <w:r>
              <w:rPr>
                <w:sz w:val="20"/>
              </w:rPr>
              <w:t>среднего </w:t>
            </w:r>
            <w:r>
              <w:rPr>
                <w:spacing w:val="-4"/>
                <w:sz w:val="20"/>
              </w:rPr>
              <w:t>уха</w:t>
            </w:r>
          </w:p>
        </w:tc>
        <w:tc>
          <w:tcPr>
            <w:tcW w:w="2014" w:type="dxa"/>
          </w:tcPr>
          <w:p>
            <w:pPr>
              <w:pStyle w:val="TableParagraph"/>
              <w:rPr>
                <w:sz w:val="18"/>
              </w:rPr>
            </w:pPr>
          </w:p>
        </w:tc>
        <w:tc>
          <w:tcPr>
            <w:tcW w:w="3380" w:type="dxa"/>
          </w:tcPr>
          <w:p>
            <w:pPr>
              <w:pStyle w:val="TableParagraph"/>
              <w:spacing w:line="249" w:lineRule="auto"/>
              <w:ind w:left="138" w:right="62"/>
              <w:rPr>
                <w:sz w:val="20"/>
              </w:rPr>
            </w:pPr>
            <w:r>
              <w:rPr>
                <w:sz w:val="20"/>
              </w:rPr>
              <w:t>Юношеская ангиофиброма основания черепа. Гломусные опухоли с распространением в среднее ухо. Доброкачественное новообразование основания черепа. </w:t>
            </w:r>
            <w:r>
              <w:rPr>
                <w:spacing w:val="-2"/>
                <w:sz w:val="20"/>
              </w:rPr>
              <w:t>Доброкачественное новообразование </w:t>
            </w:r>
            <w:r>
              <w:rPr>
                <w:sz w:val="20"/>
              </w:rPr>
              <w:t>черепных нервов</w:t>
            </w:r>
          </w:p>
        </w:tc>
        <w:tc>
          <w:tcPr>
            <w:tcW w:w="1429" w:type="dxa"/>
          </w:tcPr>
          <w:p>
            <w:pPr>
              <w:pStyle w:val="TableParagraph"/>
              <w:rPr>
                <w:sz w:val="18"/>
              </w:rPr>
            </w:pPr>
          </w:p>
        </w:tc>
        <w:tc>
          <w:tcPr>
            <w:tcW w:w="3869" w:type="dxa"/>
          </w:tcPr>
          <w:p>
            <w:pPr>
              <w:pStyle w:val="TableParagraph"/>
              <w:spacing w:line="249" w:lineRule="auto"/>
              <w:ind w:left="111" w:right="114"/>
              <w:rPr>
                <w:sz w:val="20"/>
              </w:rPr>
            </w:pPr>
            <w:r>
              <w:rPr>
                <w:sz w:val="20"/>
              </w:rPr>
              <w:t>эндоваскулярной</w:t>
            </w:r>
            <w:r>
              <w:rPr>
                <w:spacing w:val="-13"/>
                <w:sz w:val="20"/>
              </w:rPr>
              <w:t> </w:t>
            </w:r>
            <w:r>
              <w:rPr>
                <w:sz w:val="20"/>
              </w:rPr>
              <w:t>эмболизации</w:t>
            </w:r>
            <w:r>
              <w:rPr>
                <w:spacing w:val="-12"/>
                <w:sz w:val="20"/>
              </w:rPr>
              <w:t> </w:t>
            </w:r>
            <w:r>
              <w:rPr>
                <w:sz w:val="20"/>
              </w:rPr>
              <w:t>сосудов микроэмболами и при помощи адгезивного агента</w:t>
            </w:r>
          </w:p>
        </w:tc>
        <w:tc>
          <w:tcPr>
            <w:tcW w:w="1132" w:type="dxa"/>
          </w:tcPr>
          <w:p>
            <w:pPr>
              <w:pStyle w:val="TableParagraph"/>
              <w:rPr>
                <w:sz w:val="18"/>
              </w:rPr>
            </w:pPr>
          </w:p>
        </w:tc>
      </w:tr>
      <w:tr>
        <w:trPr>
          <w:trHeight w:val="1039" w:hRule="atLeast"/>
        </w:trPr>
        <w:tc>
          <w:tcPr>
            <w:tcW w:w="458" w:type="dxa"/>
          </w:tcPr>
          <w:p>
            <w:pPr>
              <w:pStyle w:val="TableParagraph"/>
              <w:rPr>
                <w:sz w:val="18"/>
              </w:rPr>
            </w:pPr>
          </w:p>
        </w:tc>
        <w:tc>
          <w:tcPr>
            <w:tcW w:w="2864" w:type="dxa"/>
          </w:tcPr>
          <w:p>
            <w:pPr>
              <w:pStyle w:val="TableParagraph"/>
              <w:spacing w:line="249" w:lineRule="auto" w:before="40"/>
              <w:ind w:left="155" w:right="168"/>
              <w:rPr>
                <w:sz w:val="20"/>
              </w:rPr>
            </w:pPr>
            <w:r>
              <w:rPr>
                <w:spacing w:val="-2"/>
                <w:sz w:val="20"/>
              </w:rPr>
              <w:t>Реконструктивно- </w:t>
            </w:r>
            <w:r>
              <w:rPr>
                <w:sz w:val="20"/>
              </w:rPr>
              <w:t>пластическое</w:t>
            </w:r>
            <w:r>
              <w:rPr>
                <w:spacing w:val="-13"/>
                <w:sz w:val="20"/>
              </w:rPr>
              <w:t> </w:t>
            </w:r>
            <w:r>
              <w:rPr>
                <w:sz w:val="20"/>
              </w:rPr>
              <w:t>восстановление функции гортани и трахеи</w:t>
            </w:r>
          </w:p>
        </w:tc>
        <w:tc>
          <w:tcPr>
            <w:tcW w:w="2014" w:type="dxa"/>
          </w:tcPr>
          <w:p>
            <w:pPr>
              <w:pStyle w:val="TableParagraph"/>
              <w:spacing w:line="249" w:lineRule="auto" w:before="40"/>
              <w:ind w:left="813" w:hanging="623"/>
              <w:rPr>
                <w:sz w:val="20"/>
              </w:rPr>
            </w:pPr>
            <w:r>
              <w:rPr>
                <w:sz w:val="20"/>
              </w:rPr>
              <w:t>J38.6,</w:t>
            </w:r>
            <w:r>
              <w:rPr>
                <w:spacing w:val="-13"/>
                <w:sz w:val="20"/>
              </w:rPr>
              <w:t> </w:t>
            </w:r>
            <w:r>
              <w:rPr>
                <w:sz w:val="20"/>
              </w:rPr>
              <w:t>D14.1,</w:t>
            </w:r>
            <w:r>
              <w:rPr>
                <w:spacing w:val="-12"/>
                <w:sz w:val="20"/>
              </w:rPr>
              <w:t> </w:t>
            </w:r>
            <w:r>
              <w:rPr>
                <w:sz w:val="20"/>
              </w:rPr>
              <w:t>D14.2, </w:t>
            </w:r>
            <w:r>
              <w:rPr>
                <w:spacing w:val="-2"/>
                <w:sz w:val="20"/>
              </w:rPr>
              <w:t>J38.0</w:t>
            </w:r>
          </w:p>
        </w:tc>
        <w:tc>
          <w:tcPr>
            <w:tcW w:w="3380" w:type="dxa"/>
            <w:vMerge w:val="restart"/>
          </w:tcPr>
          <w:p>
            <w:pPr>
              <w:pStyle w:val="TableParagraph"/>
              <w:spacing w:line="249" w:lineRule="auto" w:before="40"/>
              <w:ind w:left="138" w:right="62"/>
              <w:rPr>
                <w:sz w:val="20"/>
              </w:rPr>
            </w:pPr>
            <w:r>
              <w:rPr>
                <w:sz w:val="20"/>
              </w:rPr>
              <w:t>стеноз</w:t>
            </w:r>
            <w:r>
              <w:rPr>
                <w:spacing w:val="-13"/>
                <w:sz w:val="20"/>
              </w:rPr>
              <w:t> </w:t>
            </w:r>
            <w:r>
              <w:rPr>
                <w:sz w:val="20"/>
              </w:rPr>
              <w:t>гортани.</w:t>
            </w:r>
            <w:r>
              <w:rPr>
                <w:spacing w:val="-12"/>
                <w:sz w:val="20"/>
              </w:rPr>
              <w:t> </w:t>
            </w:r>
            <w:r>
              <w:rPr>
                <w:sz w:val="20"/>
              </w:rPr>
              <w:t>Доброкачественное новообразование гортани.</w:t>
            </w:r>
          </w:p>
          <w:p>
            <w:pPr>
              <w:pStyle w:val="TableParagraph"/>
              <w:spacing w:line="249" w:lineRule="auto" w:before="1"/>
              <w:ind w:left="138" w:right="60"/>
              <w:rPr>
                <w:sz w:val="20"/>
              </w:rPr>
            </w:pPr>
            <w:r>
              <w:rPr>
                <w:sz w:val="20"/>
              </w:rPr>
              <w:t>Доброкачественное</w:t>
            </w:r>
            <w:r>
              <w:rPr>
                <w:spacing w:val="-13"/>
                <w:sz w:val="20"/>
              </w:rPr>
              <w:t> </w:t>
            </w:r>
            <w:r>
              <w:rPr>
                <w:sz w:val="20"/>
              </w:rPr>
              <w:t>новообразование трахеи. Паралич голосовых складок и гортани.</w:t>
            </w:r>
          </w:p>
        </w:tc>
        <w:tc>
          <w:tcPr>
            <w:tcW w:w="1429" w:type="dxa"/>
          </w:tcPr>
          <w:p>
            <w:pPr>
              <w:pStyle w:val="TableParagraph"/>
              <w:spacing w:line="249" w:lineRule="auto" w:before="40"/>
              <w:ind w:left="66"/>
              <w:rPr>
                <w:sz w:val="20"/>
              </w:rPr>
            </w:pPr>
            <w:r>
              <w:rPr>
                <w:spacing w:val="-2"/>
                <w:sz w:val="20"/>
              </w:rPr>
              <w:t>хирургическое лечение</w:t>
            </w:r>
          </w:p>
        </w:tc>
        <w:tc>
          <w:tcPr>
            <w:tcW w:w="3869" w:type="dxa"/>
          </w:tcPr>
          <w:p>
            <w:pPr>
              <w:pStyle w:val="TableParagraph"/>
              <w:spacing w:line="249" w:lineRule="auto" w:before="40"/>
              <w:ind w:left="111"/>
              <w:rPr>
                <w:sz w:val="20"/>
              </w:rPr>
            </w:pPr>
            <w:r>
              <w:rPr>
                <w:sz w:val="20"/>
              </w:rPr>
              <w:t>ларинготрахеопластика при доброкачественных новообразованиях гортани,</w:t>
            </w:r>
            <w:r>
              <w:rPr>
                <w:spacing w:val="-11"/>
                <w:sz w:val="20"/>
              </w:rPr>
              <w:t> </w:t>
            </w:r>
            <w:r>
              <w:rPr>
                <w:sz w:val="20"/>
              </w:rPr>
              <w:t>параличе</w:t>
            </w:r>
            <w:r>
              <w:rPr>
                <w:spacing w:val="-11"/>
                <w:sz w:val="20"/>
              </w:rPr>
              <w:t> </w:t>
            </w:r>
            <w:r>
              <w:rPr>
                <w:sz w:val="20"/>
              </w:rPr>
              <w:t>голосовых</w:t>
            </w:r>
            <w:r>
              <w:rPr>
                <w:spacing w:val="-11"/>
                <w:sz w:val="20"/>
              </w:rPr>
              <w:t> </w:t>
            </w:r>
            <w:r>
              <w:rPr>
                <w:sz w:val="20"/>
              </w:rPr>
              <w:t>складок</w:t>
            </w:r>
            <w:r>
              <w:rPr>
                <w:spacing w:val="-10"/>
                <w:sz w:val="20"/>
              </w:rPr>
              <w:t> </w:t>
            </w:r>
            <w:r>
              <w:rPr>
                <w:sz w:val="20"/>
              </w:rPr>
              <w:t>и гортани, стенозе гортани</w:t>
            </w:r>
          </w:p>
        </w:tc>
        <w:tc>
          <w:tcPr>
            <w:tcW w:w="1132" w:type="dxa"/>
          </w:tcPr>
          <w:p>
            <w:pPr>
              <w:pStyle w:val="TableParagraph"/>
              <w:rPr>
                <w:sz w:val="18"/>
              </w:rPr>
            </w:pPr>
          </w:p>
        </w:tc>
      </w:tr>
      <w:tr>
        <w:trPr>
          <w:trHeight w:val="1520" w:hRule="atLeast"/>
        </w:trPr>
        <w:tc>
          <w:tcPr>
            <w:tcW w:w="458" w:type="dxa"/>
          </w:tcPr>
          <w:p>
            <w:pPr>
              <w:pStyle w:val="TableParagraph"/>
              <w:rPr>
                <w:sz w:val="18"/>
              </w:rPr>
            </w:pPr>
          </w:p>
        </w:tc>
        <w:tc>
          <w:tcPr>
            <w:tcW w:w="2864" w:type="dxa"/>
          </w:tcPr>
          <w:p>
            <w:pPr>
              <w:pStyle w:val="TableParagraph"/>
              <w:rPr>
                <w:sz w:val="18"/>
              </w:rPr>
            </w:pPr>
          </w:p>
        </w:tc>
        <w:tc>
          <w:tcPr>
            <w:tcW w:w="2014" w:type="dxa"/>
          </w:tcPr>
          <w:p>
            <w:pPr>
              <w:pStyle w:val="TableParagraph"/>
              <w:rPr>
                <w:sz w:val="18"/>
              </w:rPr>
            </w:pPr>
          </w:p>
        </w:tc>
        <w:tc>
          <w:tcPr>
            <w:tcW w:w="3380" w:type="dxa"/>
            <w:vMerge/>
            <w:tcBorders>
              <w:top w:val="nil"/>
            </w:tcBorders>
          </w:tcPr>
          <w:p>
            <w:pPr>
              <w:rPr>
                <w:sz w:val="2"/>
                <w:szCs w:val="2"/>
              </w:rPr>
            </w:pPr>
          </w:p>
        </w:tc>
        <w:tc>
          <w:tcPr>
            <w:tcW w:w="1429" w:type="dxa"/>
          </w:tcPr>
          <w:p>
            <w:pPr>
              <w:pStyle w:val="TableParagraph"/>
              <w:rPr>
                <w:sz w:val="18"/>
              </w:rPr>
            </w:pPr>
          </w:p>
        </w:tc>
        <w:tc>
          <w:tcPr>
            <w:tcW w:w="3869" w:type="dxa"/>
          </w:tcPr>
          <w:p>
            <w:pPr>
              <w:pStyle w:val="TableParagraph"/>
              <w:spacing w:line="249" w:lineRule="auto" w:before="40"/>
              <w:ind w:left="111" w:right="737"/>
              <w:rPr>
                <w:sz w:val="20"/>
              </w:rPr>
            </w:pPr>
            <w:r>
              <w:rPr>
                <w:sz w:val="20"/>
              </w:rPr>
              <w:t>операции по реиннервации и заместительной функциональной пластике гортани и трахеи с применением</w:t>
            </w:r>
            <w:r>
              <w:rPr>
                <w:spacing w:val="-13"/>
                <w:sz w:val="20"/>
              </w:rPr>
              <w:t> </w:t>
            </w:r>
            <w:r>
              <w:rPr>
                <w:sz w:val="20"/>
              </w:rPr>
              <w:t>микрохирургической техники</w:t>
            </w:r>
            <w:r>
              <w:rPr>
                <w:spacing w:val="-13"/>
                <w:sz w:val="20"/>
              </w:rPr>
              <w:t> </w:t>
            </w:r>
            <w:r>
              <w:rPr>
                <w:sz w:val="20"/>
              </w:rPr>
              <w:t>и</w:t>
            </w:r>
            <w:r>
              <w:rPr>
                <w:spacing w:val="-12"/>
                <w:sz w:val="20"/>
              </w:rPr>
              <w:t> </w:t>
            </w:r>
            <w:r>
              <w:rPr>
                <w:sz w:val="20"/>
              </w:rPr>
              <w:t>электромиографическим </w:t>
            </w:r>
            <w:r>
              <w:rPr>
                <w:spacing w:val="-2"/>
                <w:sz w:val="20"/>
              </w:rPr>
              <w:t>мониторингом</w:t>
            </w:r>
          </w:p>
        </w:tc>
        <w:tc>
          <w:tcPr>
            <w:tcW w:w="1132" w:type="dxa"/>
          </w:tcPr>
          <w:p>
            <w:pPr>
              <w:pStyle w:val="TableParagraph"/>
              <w:rPr>
                <w:sz w:val="18"/>
              </w:rPr>
            </w:pPr>
          </w:p>
        </w:tc>
      </w:tr>
      <w:tr>
        <w:trPr>
          <w:trHeight w:val="800" w:hRule="atLeast"/>
        </w:trPr>
        <w:tc>
          <w:tcPr>
            <w:tcW w:w="458" w:type="dxa"/>
          </w:tcPr>
          <w:p>
            <w:pPr>
              <w:pStyle w:val="TableParagraph"/>
              <w:spacing w:before="41"/>
              <w:ind w:left="50"/>
              <w:rPr>
                <w:sz w:val="20"/>
              </w:rPr>
            </w:pPr>
            <w:r>
              <w:rPr>
                <w:spacing w:val="-5"/>
                <w:sz w:val="20"/>
              </w:rPr>
              <w:t>38.</w:t>
            </w:r>
          </w:p>
        </w:tc>
        <w:tc>
          <w:tcPr>
            <w:tcW w:w="2864" w:type="dxa"/>
          </w:tcPr>
          <w:p>
            <w:pPr>
              <w:pStyle w:val="TableParagraph"/>
              <w:spacing w:line="249" w:lineRule="auto" w:before="41"/>
              <w:ind w:left="155" w:right="241"/>
              <w:rPr>
                <w:sz w:val="20"/>
              </w:rPr>
            </w:pPr>
            <w:r>
              <w:rPr>
                <w:sz w:val="20"/>
              </w:rPr>
              <w:t>Хирургическое лечение сенсоневральной</w:t>
            </w:r>
            <w:r>
              <w:rPr>
                <w:spacing w:val="-13"/>
                <w:sz w:val="20"/>
              </w:rPr>
              <w:t> </w:t>
            </w:r>
            <w:r>
              <w:rPr>
                <w:sz w:val="20"/>
              </w:rPr>
              <w:t>тугоухости высокой степени и глухоты</w:t>
            </w:r>
          </w:p>
        </w:tc>
        <w:tc>
          <w:tcPr>
            <w:tcW w:w="2014" w:type="dxa"/>
          </w:tcPr>
          <w:p>
            <w:pPr>
              <w:pStyle w:val="TableParagraph"/>
              <w:spacing w:before="41"/>
              <w:ind w:left="770" w:right="729"/>
              <w:jc w:val="center"/>
              <w:rPr>
                <w:sz w:val="20"/>
              </w:rPr>
            </w:pPr>
            <w:r>
              <w:rPr>
                <w:spacing w:val="-4"/>
                <w:sz w:val="20"/>
              </w:rPr>
              <w:t>H90.3</w:t>
            </w:r>
          </w:p>
        </w:tc>
        <w:tc>
          <w:tcPr>
            <w:tcW w:w="3380" w:type="dxa"/>
          </w:tcPr>
          <w:p>
            <w:pPr>
              <w:pStyle w:val="TableParagraph"/>
              <w:spacing w:line="249" w:lineRule="auto" w:before="41"/>
              <w:ind w:left="138" w:right="62"/>
              <w:rPr>
                <w:sz w:val="20"/>
              </w:rPr>
            </w:pPr>
            <w:r>
              <w:rPr>
                <w:sz w:val="20"/>
              </w:rPr>
              <w:t>нейросенсорная</w:t>
            </w:r>
            <w:r>
              <w:rPr>
                <w:spacing w:val="-13"/>
                <w:sz w:val="20"/>
              </w:rPr>
              <w:t> </w:t>
            </w:r>
            <w:r>
              <w:rPr>
                <w:sz w:val="20"/>
              </w:rPr>
              <w:t>потеря</w:t>
            </w:r>
            <w:r>
              <w:rPr>
                <w:spacing w:val="-12"/>
                <w:sz w:val="20"/>
              </w:rPr>
              <w:t> </w:t>
            </w:r>
            <w:r>
              <w:rPr>
                <w:sz w:val="20"/>
              </w:rPr>
              <w:t>слуха </w:t>
            </w:r>
            <w:r>
              <w:rPr>
                <w:spacing w:val="-2"/>
                <w:sz w:val="20"/>
              </w:rPr>
              <w:t>двусторонняя</w:t>
            </w:r>
          </w:p>
        </w:tc>
        <w:tc>
          <w:tcPr>
            <w:tcW w:w="1429" w:type="dxa"/>
          </w:tcPr>
          <w:p>
            <w:pPr>
              <w:pStyle w:val="TableParagraph"/>
              <w:spacing w:line="249" w:lineRule="auto" w:before="41"/>
              <w:ind w:left="66"/>
              <w:rPr>
                <w:sz w:val="20"/>
              </w:rPr>
            </w:pPr>
            <w:r>
              <w:rPr>
                <w:spacing w:val="-2"/>
                <w:sz w:val="20"/>
              </w:rPr>
              <w:t>хирургическое лечение</w:t>
            </w:r>
          </w:p>
        </w:tc>
        <w:tc>
          <w:tcPr>
            <w:tcW w:w="3869" w:type="dxa"/>
          </w:tcPr>
          <w:p>
            <w:pPr>
              <w:pStyle w:val="TableParagraph"/>
              <w:spacing w:line="249" w:lineRule="auto" w:before="41"/>
              <w:ind w:left="111" w:right="439"/>
              <w:rPr>
                <w:sz w:val="20"/>
              </w:rPr>
            </w:pPr>
            <w:r>
              <w:rPr>
                <w:sz w:val="20"/>
              </w:rPr>
              <w:t>кохлеарная имплантация при двусторонней</w:t>
            </w:r>
            <w:r>
              <w:rPr>
                <w:spacing w:val="-13"/>
                <w:sz w:val="20"/>
              </w:rPr>
              <w:t> </w:t>
            </w:r>
            <w:r>
              <w:rPr>
                <w:sz w:val="20"/>
              </w:rPr>
              <w:t>нейросенсорной</w:t>
            </w:r>
            <w:r>
              <w:rPr>
                <w:spacing w:val="-12"/>
                <w:sz w:val="20"/>
              </w:rPr>
              <w:t> </w:t>
            </w:r>
            <w:r>
              <w:rPr>
                <w:sz w:val="20"/>
              </w:rPr>
              <w:t>потере </w:t>
            </w:r>
            <w:r>
              <w:rPr>
                <w:spacing w:val="-2"/>
                <w:sz w:val="20"/>
              </w:rPr>
              <w:t>слуха</w:t>
            </w:r>
          </w:p>
        </w:tc>
        <w:tc>
          <w:tcPr>
            <w:tcW w:w="1132" w:type="dxa"/>
          </w:tcPr>
          <w:p>
            <w:pPr>
              <w:pStyle w:val="TableParagraph"/>
              <w:spacing w:before="41"/>
              <w:ind w:right="43"/>
              <w:jc w:val="right"/>
              <w:rPr>
                <w:sz w:val="20"/>
              </w:rPr>
            </w:pPr>
            <w:r>
              <w:rPr>
                <w:spacing w:val="-2"/>
                <w:sz w:val="20"/>
              </w:rPr>
              <w:t>1515943</w:t>
            </w:r>
          </w:p>
        </w:tc>
      </w:tr>
      <w:tr>
        <w:trPr>
          <w:trHeight w:val="319" w:hRule="atLeast"/>
        </w:trPr>
        <w:tc>
          <w:tcPr>
            <w:tcW w:w="458" w:type="dxa"/>
          </w:tcPr>
          <w:p>
            <w:pPr>
              <w:pStyle w:val="TableParagraph"/>
              <w:rPr>
                <w:sz w:val="18"/>
              </w:rPr>
            </w:pPr>
          </w:p>
        </w:tc>
        <w:tc>
          <w:tcPr>
            <w:tcW w:w="2864" w:type="dxa"/>
          </w:tcPr>
          <w:p>
            <w:pPr>
              <w:pStyle w:val="TableParagraph"/>
              <w:rPr>
                <w:sz w:val="18"/>
              </w:rPr>
            </w:pPr>
          </w:p>
        </w:tc>
        <w:tc>
          <w:tcPr>
            <w:tcW w:w="2014" w:type="dxa"/>
          </w:tcPr>
          <w:p>
            <w:pPr>
              <w:pStyle w:val="TableParagraph"/>
              <w:rPr>
                <w:sz w:val="18"/>
              </w:rPr>
            </w:pPr>
          </w:p>
        </w:tc>
        <w:tc>
          <w:tcPr>
            <w:tcW w:w="3380" w:type="dxa"/>
          </w:tcPr>
          <w:p>
            <w:pPr>
              <w:pStyle w:val="TableParagraph"/>
              <w:spacing w:before="40"/>
              <w:ind w:left="1692"/>
              <w:rPr>
                <w:sz w:val="20"/>
              </w:rPr>
            </w:pPr>
            <w:r>
              <w:rPr>
                <w:spacing w:val="-2"/>
                <w:sz w:val="20"/>
              </w:rPr>
              <w:t>Офтальмология</w:t>
            </w:r>
          </w:p>
        </w:tc>
        <w:tc>
          <w:tcPr>
            <w:tcW w:w="1429" w:type="dxa"/>
          </w:tcPr>
          <w:p>
            <w:pPr>
              <w:pStyle w:val="TableParagraph"/>
              <w:rPr>
                <w:sz w:val="18"/>
              </w:rPr>
            </w:pPr>
          </w:p>
        </w:tc>
        <w:tc>
          <w:tcPr>
            <w:tcW w:w="3869" w:type="dxa"/>
          </w:tcPr>
          <w:p>
            <w:pPr>
              <w:pStyle w:val="TableParagraph"/>
              <w:rPr>
                <w:sz w:val="18"/>
              </w:rPr>
            </w:pPr>
          </w:p>
        </w:tc>
        <w:tc>
          <w:tcPr>
            <w:tcW w:w="1132" w:type="dxa"/>
          </w:tcPr>
          <w:p>
            <w:pPr>
              <w:pStyle w:val="TableParagraph"/>
              <w:rPr>
                <w:sz w:val="18"/>
              </w:rPr>
            </w:pPr>
          </w:p>
        </w:tc>
      </w:tr>
      <w:tr>
        <w:trPr>
          <w:trHeight w:val="1950" w:hRule="atLeast"/>
        </w:trPr>
        <w:tc>
          <w:tcPr>
            <w:tcW w:w="458" w:type="dxa"/>
          </w:tcPr>
          <w:p>
            <w:pPr>
              <w:pStyle w:val="TableParagraph"/>
              <w:spacing w:before="40"/>
              <w:ind w:left="50"/>
              <w:rPr>
                <w:sz w:val="20"/>
              </w:rPr>
            </w:pPr>
            <w:r>
              <w:rPr>
                <w:spacing w:val="-5"/>
                <w:sz w:val="20"/>
              </w:rPr>
              <w:t>39.</w:t>
            </w:r>
          </w:p>
        </w:tc>
        <w:tc>
          <w:tcPr>
            <w:tcW w:w="2864" w:type="dxa"/>
          </w:tcPr>
          <w:p>
            <w:pPr>
              <w:pStyle w:val="TableParagraph"/>
              <w:spacing w:line="249" w:lineRule="auto" w:before="40"/>
              <w:ind w:left="155" w:right="559"/>
              <w:rPr>
                <w:sz w:val="20"/>
              </w:rPr>
            </w:pPr>
            <w:r>
              <w:rPr>
                <w:sz w:val="20"/>
              </w:rPr>
              <w:t>Хирургическое лечение глаукомы, включая </w:t>
            </w:r>
            <w:r>
              <w:rPr>
                <w:spacing w:val="-2"/>
                <w:sz w:val="20"/>
              </w:rPr>
              <w:t>микроинвазивную </w:t>
            </w:r>
            <w:r>
              <w:rPr>
                <w:sz w:val="20"/>
              </w:rPr>
              <w:t>энергетическую оптико- реконструктивную и лазерную хирургию, имплантацию</w:t>
            </w:r>
            <w:r>
              <w:rPr>
                <w:spacing w:val="-13"/>
                <w:sz w:val="20"/>
              </w:rPr>
              <w:t> </w:t>
            </w:r>
            <w:r>
              <w:rPr>
                <w:sz w:val="20"/>
              </w:rPr>
              <w:t>различных</w:t>
            </w:r>
          </w:p>
          <w:p>
            <w:pPr>
              <w:pStyle w:val="TableParagraph"/>
              <w:spacing w:line="210" w:lineRule="exact" w:before="6"/>
              <w:ind w:left="155"/>
              <w:rPr>
                <w:sz w:val="20"/>
              </w:rPr>
            </w:pPr>
            <w:r>
              <w:rPr>
                <w:sz w:val="20"/>
              </w:rPr>
              <w:t>видов</w:t>
            </w:r>
            <w:r>
              <w:rPr>
                <w:spacing w:val="-6"/>
                <w:sz w:val="20"/>
              </w:rPr>
              <w:t> </w:t>
            </w:r>
            <w:r>
              <w:rPr>
                <w:spacing w:val="-2"/>
                <w:sz w:val="20"/>
              </w:rPr>
              <w:t>дренажей</w:t>
            </w:r>
          </w:p>
        </w:tc>
        <w:tc>
          <w:tcPr>
            <w:tcW w:w="2014" w:type="dxa"/>
          </w:tcPr>
          <w:p>
            <w:pPr>
              <w:pStyle w:val="TableParagraph"/>
              <w:spacing w:line="249" w:lineRule="auto" w:before="40"/>
              <w:ind w:left="177" w:right="134" w:firstLine="295"/>
              <w:rPr>
                <w:sz w:val="20"/>
              </w:rPr>
            </w:pPr>
            <w:r>
              <w:rPr>
                <w:spacing w:val="-2"/>
                <w:sz w:val="20"/>
              </w:rPr>
              <w:t>H26.0-H26.4, </w:t>
            </w:r>
            <w:r>
              <w:rPr>
                <w:sz w:val="20"/>
              </w:rPr>
              <w:t>H40.1-</w:t>
            </w:r>
            <w:r>
              <w:rPr>
                <w:spacing w:val="-13"/>
                <w:sz w:val="20"/>
              </w:rPr>
              <w:t> </w:t>
            </w:r>
            <w:r>
              <w:rPr>
                <w:sz w:val="20"/>
              </w:rPr>
              <w:t>H40.8,</w:t>
            </w:r>
            <w:r>
              <w:rPr>
                <w:spacing w:val="-12"/>
                <w:sz w:val="20"/>
              </w:rPr>
              <w:t> </w:t>
            </w:r>
            <w:r>
              <w:rPr>
                <w:sz w:val="20"/>
              </w:rPr>
              <w:t>Q15.0</w:t>
            </w:r>
          </w:p>
        </w:tc>
        <w:tc>
          <w:tcPr>
            <w:tcW w:w="3380" w:type="dxa"/>
          </w:tcPr>
          <w:p>
            <w:pPr>
              <w:pStyle w:val="TableParagraph"/>
              <w:spacing w:line="249" w:lineRule="auto" w:before="40"/>
              <w:ind w:left="138" w:right="144"/>
              <w:rPr>
                <w:sz w:val="20"/>
              </w:rPr>
            </w:pPr>
            <w:r>
              <w:rPr>
                <w:sz w:val="20"/>
              </w:rPr>
              <w:t>глаукома с повышенным или высоким</w:t>
            </w:r>
            <w:r>
              <w:rPr>
                <w:spacing w:val="-13"/>
                <w:sz w:val="20"/>
              </w:rPr>
              <w:t> </w:t>
            </w:r>
            <w:r>
              <w:rPr>
                <w:sz w:val="20"/>
              </w:rPr>
              <w:t>внутриглазным</w:t>
            </w:r>
            <w:r>
              <w:rPr>
                <w:spacing w:val="-12"/>
                <w:sz w:val="20"/>
              </w:rPr>
              <w:t> </w:t>
            </w:r>
            <w:r>
              <w:rPr>
                <w:sz w:val="20"/>
              </w:rPr>
              <w:t>давлением развитой,</w:t>
            </w:r>
            <w:r>
              <w:rPr>
                <w:spacing w:val="-4"/>
                <w:sz w:val="20"/>
              </w:rPr>
              <w:t> </w:t>
            </w:r>
            <w:r>
              <w:rPr>
                <w:sz w:val="20"/>
              </w:rPr>
              <w:t>далеко</w:t>
            </w:r>
            <w:r>
              <w:rPr>
                <w:spacing w:val="-4"/>
                <w:sz w:val="20"/>
              </w:rPr>
              <w:t> </w:t>
            </w:r>
            <w:r>
              <w:rPr>
                <w:sz w:val="20"/>
              </w:rPr>
              <w:t>зашедшей</w:t>
            </w:r>
            <w:r>
              <w:rPr>
                <w:spacing w:val="-2"/>
                <w:sz w:val="20"/>
              </w:rPr>
              <w:t> </w:t>
            </w:r>
            <w:r>
              <w:rPr>
                <w:sz w:val="20"/>
              </w:rPr>
              <w:t>стадии, в том числе с осложнениями,</w:t>
            </w:r>
          </w:p>
          <w:p>
            <w:pPr>
              <w:pStyle w:val="TableParagraph"/>
              <w:spacing w:before="4"/>
              <w:ind w:left="138"/>
              <w:rPr>
                <w:sz w:val="20"/>
              </w:rPr>
            </w:pPr>
            <w:r>
              <w:rPr>
                <w:sz w:val="20"/>
              </w:rPr>
              <w:t>у</w:t>
            </w:r>
            <w:r>
              <w:rPr>
                <w:spacing w:val="-2"/>
                <w:sz w:val="20"/>
              </w:rPr>
              <w:t> взрослых.</w:t>
            </w:r>
          </w:p>
        </w:tc>
        <w:tc>
          <w:tcPr>
            <w:tcW w:w="1429" w:type="dxa"/>
          </w:tcPr>
          <w:p>
            <w:pPr>
              <w:pStyle w:val="TableParagraph"/>
              <w:spacing w:line="249" w:lineRule="auto" w:before="40"/>
              <w:ind w:left="66"/>
              <w:rPr>
                <w:sz w:val="20"/>
              </w:rPr>
            </w:pPr>
            <w:r>
              <w:rPr>
                <w:spacing w:val="-2"/>
                <w:sz w:val="20"/>
              </w:rPr>
              <w:t>хирургическое лечение</w:t>
            </w:r>
          </w:p>
        </w:tc>
        <w:tc>
          <w:tcPr>
            <w:tcW w:w="3869" w:type="dxa"/>
          </w:tcPr>
          <w:p>
            <w:pPr>
              <w:pStyle w:val="TableParagraph"/>
              <w:spacing w:line="249" w:lineRule="auto" w:before="40"/>
              <w:ind w:left="111" w:right="753"/>
              <w:rPr>
                <w:sz w:val="20"/>
              </w:rPr>
            </w:pPr>
            <w:r>
              <w:rPr>
                <w:sz w:val="20"/>
              </w:rPr>
              <w:t>имплантация</w:t>
            </w:r>
            <w:r>
              <w:rPr>
                <w:spacing w:val="-13"/>
                <w:sz w:val="20"/>
              </w:rPr>
              <w:t> </w:t>
            </w:r>
            <w:r>
              <w:rPr>
                <w:sz w:val="20"/>
              </w:rPr>
              <w:t>антиглаукоматозного металлического шунта</w:t>
            </w:r>
          </w:p>
        </w:tc>
        <w:tc>
          <w:tcPr>
            <w:tcW w:w="1132" w:type="dxa"/>
          </w:tcPr>
          <w:p>
            <w:pPr>
              <w:pStyle w:val="TableParagraph"/>
              <w:spacing w:before="40"/>
              <w:ind w:right="92"/>
              <w:jc w:val="right"/>
              <w:rPr>
                <w:sz w:val="20"/>
              </w:rPr>
            </w:pPr>
            <w:r>
              <w:rPr>
                <w:spacing w:val="-2"/>
                <w:sz w:val="20"/>
              </w:rPr>
              <w:t>106625</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3"/>
        <w:gridCol w:w="2036"/>
        <w:gridCol w:w="3348"/>
        <w:gridCol w:w="1470"/>
        <w:gridCol w:w="3621"/>
      </w:tblGrid>
      <w:tr>
        <w:trPr>
          <w:trHeight w:val="770" w:hRule="atLeast"/>
        </w:trPr>
        <w:tc>
          <w:tcPr>
            <w:tcW w:w="2763" w:type="dxa"/>
            <w:vMerge w:val="restart"/>
          </w:tcPr>
          <w:p>
            <w:pPr>
              <w:pStyle w:val="TableParagraph"/>
              <w:spacing w:line="249" w:lineRule="auto"/>
              <w:ind w:left="50" w:right="119"/>
              <w:rPr>
                <w:sz w:val="20"/>
              </w:rPr>
            </w:pPr>
            <w:r>
              <w:rPr>
                <w:sz w:val="20"/>
              </w:rPr>
              <w:t>Хирургическое и (или) лучевое лечение новообразований глаза, его придаточного аппарата и орбиты, внутриорбитальных доброкачественных</w:t>
            </w:r>
            <w:r>
              <w:rPr>
                <w:spacing w:val="-13"/>
                <w:sz w:val="20"/>
              </w:rPr>
              <w:t> </w:t>
            </w:r>
            <w:r>
              <w:rPr>
                <w:sz w:val="20"/>
              </w:rPr>
              <w:t>опухолей, врожденных пороков</w:t>
            </w:r>
            <w:r>
              <w:rPr>
                <w:spacing w:val="40"/>
                <w:sz w:val="20"/>
              </w:rPr>
              <w:t> </w:t>
            </w:r>
            <w:r>
              <w:rPr>
                <w:sz w:val="20"/>
              </w:rPr>
              <w:t>развития орбиты, </w:t>
            </w:r>
            <w:r>
              <w:rPr>
                <w:spacing w:val="-2"/>
                <w:sz w:val="20"/>
              </w:rPr>
              <w:t>реконструктивно- </w:t>
            </w:r>
            <w:r>
              <w:rPr>
                <w:sz w:val="20"/>
              </w:rPr>
              <w:t>пластическая</w:t>
            </w:r>
            <w:r>
              <w:rPr>
                <w:spacing w:val="-13"/>
                <w:sz w:val="20"/>
              </w:rPr>
              <w:t> </w:t>
            </w:r>
            <w:r>
              <w:rPr>
                <w:sz w:val="20"/>
              </w:rPr>
              <w:t>хирургия</w:t>
            </w:r>
            <w:r>
              <w:rPr>
                <w:spacing w:val="-12"/>
                <w:sz w:val="20"/>
              </w:rPr>
              <w:t> </w:t>
            </w:r>
            <w:r>
              <w:rPr>
                <w:sz w:val="20"/>
              </w:rPr>
              <w:t>при</w:t>
            </w:r>
            <w:r>
              <w:rPr>
                <w:spacing w:val="-13"/>
                <w:sz w:val="20"/>
              </w:rPr>
              <w:t> </w:t>
            </w:r>
            <w:r>
              <w:rPr>
                <w:sz w:val="20"/>
              </w:rPr>
              <w:t>их </w:t>
            </w:r>
            <w:r>
              <w:rPr>
                <w:spacing w:val="-2"/>
                <w:sz w:val="20"/>
              </w:rPr>
              <w:t>последствиях</w:t>
            </w:r>
          </w:p>
        </w:tc>
        <w:tc>
          <w:tcPr>
            <w:tcW w:w="2036" w:type="dxa"/>
            <w:vMerge w:val="restart"/>
          </w:tcPr>
          <w:p>
            <w:pPr>
              <w:pStyle w:val="TableParagraph"/>
              <w:spacing w:line="221" w:lineRule="exact"/>
              <w:ind w:left="119" w:right="110"/>
              <w:jc w:val="center"/>
              <w:rPr>
                <w:sz w:val="20"/>
              </w:rPr>
            </w:pPr>
            <w:r>
              <w:rPr>
                <w:sz w:val="20"/>
              </w:rPr>
              <w:t>C43.1,</w:t>
            </w:r>
            <w:r>
              <w:rPr>
                <w:spacing w:val="-5"/>
                <w:sz w:val="20"/>
              </w:rPr>
              <w:t> </w:t>
            </w:r>
            <w:r>
              <w:rPr>
                <w:sz w:val="20"/>
              </w:rPr>
              <w:t>C44.1,</w:t>
            </w:r>
            <w:r>
              <w:rPr>
                <w:spacing w:val="-2"/>
                <w:sz w:val="20"/>
              </w:rPr>
              <w:t> </w:t>
            </w:r>
            <w:r>
              <w:rPr>
                <w:sz w:val="20"/>
              </w:rPr>
              <w:t>C69.0</w:t>
            </w:r>
            <w:r>
              <w:rPr>
                <w:spacing w:val="-5"/>
                <w:sz w:val="20"/>
              </w:rPr>
              <w:t> </w:t>
            </w:r>
            <w:r>
              <w:rPr>
                <w:spacing w:val="-10"/>
                <w:sz w:val="20"/>
              </w:rPr>
              <w:t>-</w:t>
            </w:r>
          </w:p>
          <w:p>
            <w:pPr>
              <w:pStyle w:val="TableParagraph"/>
              <w:spacing w:before="10"/>
              <w:ind w:left="114" w:right="110"/>
              <w:jc w:val="center"/>
              <w:rPr>
                <w:sz w:val="20"/>
              </w:rPr>
            </w:pPr>
            <w:r>
              <w:rPr>
                <w:sz w:val="20"/>
              </w:rPr>
              <w:t>C69.9,</w:t>
            </w:r>
            <w:r>
              <w:rPr>
                <w:spacing w:val="-5"/>
                <w:sz w:val="20"/>
              </w:rPr>
              <w:t> </w:t>
            </w:r>
            <w:r>
              <w:rPr>
                <w:sz w:val="20"/>
              </w:rPr>
              <w:t>C72.3,</w:t>
            </w:r>
            <w:r>
              <w:rPr>
                <w:spacing w:val="-5"/>
                <w:sz w:val="20"/>
              </w:rPr>
              <w:t> </w:t>
            </w:r>
            <w:r>
              <w:rPr>
                <w:spacing w:val="-2"/>
                <w:sz w:val="20"/>
              </w:rPr>
              <w:t>D31.5,</w:t>
            </w:r>
          </w:p>
          <w:p>
            <w:pPr>
              <w:pStyle w:val="TableParagraph"/>
              <w:spacing w:line="249" w:lineRule="auto" w:before="10"/>
              <w:ind w:left="121" w:right="110"/>
              <w:jc w:val="center"/>
              <w:rPr>
                <w:sz w:val="20"/>
              </w:rPr>
            </w:pPr>
            <w:r>
              <w:rPr>
                <w:sz w:val="20"/>
              </w:rPr>
              <w:t>D31.6,</w:t>
            </w:r>
            <w:r>
              <w:rPr>
                <w:spacing w:val="-13"/>
                <w:sz w:val="20"/>
              </w:rPr>
              <w:t> </w:t>
            </w:r>
            <w:r>
              <w:rPr>
                <w:sz w:val="20"/>
              </w:rPr>
              <w:t>Q10.7,</w:t>
            </w:r>
            <w:r>
              <w:rPr>
                <w:spacing w:val="-12"/>
                <w:sz w:val="20"/>
              </w:rPr>
              <w:t> </w:t>
            </w:r>
            <w:r>
              <w:rPr>
                <w:sz w:val="20"/>
              </w:rPr>
              <w:t>Q11.0</w:t>
            </w:r>
            <w:r>
              <w:rPr>
                <w:spacing w:val="-11"/>
                <w:sz w:val="20"/>
              </w:rPr>
              <w:t> </w:t>
            </w:r>
            <w:r>
              <w:rPr>
                <w:sz w:val="20"/>
              </w:rPr>
              <w:t>- </w:t>
            </w:r>
            <w:r>
              <w:rPr>
                <w:spacing w:val="-4"/>
                <w:sz w:val="20"/>
              </w:rPr>
              <w:t>Q11.2</w:t>
            </w:r>
          </w:p>
        </w:tc>
        <w:tc>
          <w:tcPr>
            <w:tcW w:w="3348" w:type="dxa"/>
            <w:vMerge w:val="restart"/>
          </w:tcPr>
          <w:p>
            <w:pPr>
              <w:pStyle w:val="TableParagraph"/>
              <w:spacing w:line="249" w:lineRule="auto"/>
              <w:ind w:left="111" w:right="277"/>
              <w:rPr>
                <w:sz w:val="20"/>
              </w:rPr>
            </w:pPr>
            <w:r>
              <w:rPr>
                <w:sz w:val="20"/>
              </w:rPr>
              <w:t>злокачественные</w:t>
            </w:r>
            <w:r>
              <w:rPr>
                <w:spacing w:val="-13"/>
                <w:sz w:val="20"/>
              </w:rPr>
              <w:t> </w:t>
            </w:r>
            <w:r>
              <w:rPr>
                <w:sz w:val="20"/>
              </w:rPr>
              <w:t>новообразования глаза, его придаточного аппарата, орбиты у взрослых и детей (стадии T1 - T3 N0 M0),</w:t>
            </w:r>
          </w:p>
          <w:p>
            <w:pPr>
              <w:pStyle w:val="TableParagraph"/>
              <w:spacing w:line="249" w:lineRule="auto"/>
              <w:ind w:left="111" w:right="69"/>
              <w:rPr>
                <w:sz w:val="20"/>
              </w:rPr>
            </w:pPr>
            <w:r>
              <w:rPr>
                <w:sz w:val="20"/>
              </w:rPr>
              <w:t>доброкачественные</w:t>
            </w:r>
            <w:r>
              <w:rPr>
                <w:spacing w:val="-13"/>
                <w:sz w:val="20"/>
              </w:rPr>
              <w:t> </w:t>
            </w:r>
            <w:r>
              <w:rPr>
                <w:sz w:val="20"/>
              </w:rPr>
              <w:t>опухоли</w:t>
            </w:r>
            <w:r>
              <w:rPr>
                <w:spacing w:val="-12"/>
                <w:sz w:val="20"/>
              </w:rPr>
              <w:t> </w:t>
            </w:r>
            <w:r>
              <w:rPr>
                <w:sz w:val="20"/>
              </w:rPr>
              <w:t>орбиты, врожденные пороки развития</w:t>
            </w:r>
            <w:r>
              <w:rPr>
                <w:spacing w:val="40"/>
                <w:sz w:val="20"/>
              </w:rPr>
              <w:t> </w:t>
            </w:r>
            <w:r>
              <w:rPr>
                <w:sz w:val="20"/>
              </w:rPr>
              <w:t>орбиты без осложнений или осложненные патологией роговицы, хрусталика, стекловидного тела, зрительного нерва, глазодвигательных мышц, </w:t>
            </w:r>
            <w:r>
              <w:rPr>
                <w:spacing w:val="-2"/>
                <w:sz w:val="20"/>
              </w:rPr>
              <w:t>офтальмогипертензией</w:t>
            </w:r>
          </w:p>
        </w:tc>
        <w:tc>
          <w:tcPr>
            <w:tcW w:w="1470" w:type="dxa"/>
          </w:tcPr>
          <w:p>
            <w:pPr>
              <w:pStyle w:val="TableParagraph"/>
              <w:spacing w:line="249" w:lineRule="auto"/>
              <w:ind w:left="71" w:right="73"/>
              <w:rPr>
                <w:sz w:val="20"/>
              </w:rPr>
            </w:pPr>
            <w:r>
              <w:rPr>
                <w:spacing w:val="-2"/>
                <w:sz w:val="20"/>
              </w:rPr>
              <w:t>хирургическое </w:t>
            </w:r>
            <w:r>
              <w:rPr>
                <w:sz w:val="20"/>
              </w:rPr>
              <w:t>и</w:t>
            </w:r>
            <w:r>
              <w:rPr>
                <w:spacing w:val="-13"/>
                <w:sz w:val="20"/>
              </w:rPr>
              <w:t> </w:t>
            </w:r>
            <w:r>
              <w:rPr>
                <w:sz w:val="20"/>
              </w:rPr>
              <w:t>(или)</w:t>
            </w:r>
            <w:r>
              <w:rPr>
                <w:spacing w:val="-12"/>
                <w:sz w:val="20"/>
              </w:rPr>
              <w:t> </w:t>
            </w:r>
            <w:r>
              <w:rPr>
                <w:sz w:val="20"/>
              </w:rPr>
              <w:t>лучевое </w:t>
            </w:r>
            <w:r>
              <w:rPr>
                <w:spacing w:val="-2"/>
                <w:sz w:val="20"/>
              </w:rPr>
              <w:t>лечение</w:t>
            </w:r>
          </w:p>
        </w:tc>
        <w:tc>
          <w:tcPr>
            <w:tcW w:w="3621" w:type="dxa"/>
          </w:tcPr>
          <w:p>
            <w:pPr>
              <w:pStyle w:val="TableParagraph"/>
              <w:spacing w:line="249" w:lineRule="auto"/>
              <w:ind w:left="75"/>
              <w:rPr>
                <w:sz w:val="20"/>
              </w:rPr>
            </w:pPr>
            <w:r>
              <w:rPr>
                <w:sz w:val="20"/>
              </w:rPr>
              <w:t>отсроченная</w:t>
            </w:r>
            <w:r>
              <w:rPr>
                <w:spacing w:val="-13"/>
                <w:sz w:val="20"/>
              </w:rPr>
              <w:t> </w:t>
            </w:r>
            <w:r>
              <w:rPr>
                <w:sz w:val="20"/>
              </w:rPr>
              <w:t>имплантация</w:t>
            </w:r>
            <w:r>
              <w:rPr>
                <w:spacing w:val="-12"/>
                <w:sz w:val="20"/>
              </w:rPr>
              <w:t> </w:t>
            </w:r>
            <w:r>
              <w:rPr>
                <w:sz w:val="20"/>
              </w:rPr>
              <w:t>иридо- хрусталиковой диафрагмы при новообразованиях глаза</w:t>
            </w:r>
          </w:p>
        </w:tc>
      </w:tr>
      <w:tr>
        <w:trPr>
          <w:trHeight w:val="840" w:hRule="atLeast"/>
        </w:trPr>
        <w:tc>
          <w:tcPr>
            <w:tcW w:w="2763" w:type="dxa"/>
            <w:vMerge/>
            <w:tcBorders>
              <w:top w:val="nil"/>
            </w:tcBorders>
          </w:tcPr>
          <w:p>
            <w:pPr>
              <w:rPr>
                <w:sz w:val="2"/>
                <w:szCs w:val="2"/>
              </w:rPr>
            </w:pPr>
          </w:p>
        </w:tc>
        <w:tc>
          <w:tcPr>
            <w:tcW w:w="2036" w:type="dxa"/>
            <w:vMerge/>
            <w:tcBorders>
              <w:top w:val="nil"/>
            </w:tcBorders>
          </w:tcPr>
          <w:p>
            <w:pPr>
              <w:rPr>
                <w:sz w:val="2"/>
                <w:szCs w:val="2"/>
              </w:rPr>
            </w:pPr>
          </w:p>
        </w:tc>
        <w:tc>
          <w:tcPr>
            <w:tcW w:w="3348" w:type="dxa"/>
            <w:vMerge/>
            <w:tcBorders>
              <w:top w:val="nil"/>
            </w:tcBorders>
          </w:tcPr>
          <w:p>
            <w:pPr>
              <w:rPr>
                <w:sz w:val="2"/>
                <w:szCs w:val="2"/>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брахитерапия, в том числе с одномоментной</w:t>
            </w:r>
            <w:r>
              <w:rPr>
                <w:spacing w:val="-13"/>
                <w:sz w:val="20"/>
              </w:rPr>
              <w:t> </w:t>
            </w:r>
            <w:r>
              <w:rPr>
                <w:sz w:val="20"/>
              </w:rPr>
              <w:t>склеропластикой,</w:t>
            </w:r>
            <w:r>
              <w:rPr>
                <w:spacing w:val="-12"/>
                <w:sz w:val="20"/>
              </w:rPr>
              <w:t> </w:t>
            </w:r>
            <w:r>
              <w:rPr>
                <w:sz w:val="20"/>
              </w:rPr>
              <w:t>при новообразованиях глаза</w:t>
            </w:r>
          </w:p>
        </w:tc>
      </w:tr>
      <w:tr>
        <w:trPr>
          <w:trHeight w:val="360" w:hRule="atLeast"/>
        </w:trPr>
        <w:tc>
          <w:tcPr>
            <w:tcW w:w="2763" w:type="dxa"/>
            <w:vMerge/>
            <w:tcBorders>
              <w:top w:val="nil"/>
            </w:tcBorders>
          </w:tcPr>
          <w:p>
            <w:pPr>
              <w:rPr>
                <w:sz w:val="2"/>
                <w:szCs w:val="2"/>
              </w:rPr>
            </w:pPr>
          </w:p>
        </w:tc>
        <w:tc>
          <w:tcPr>
            <w:tcW w:w="2036" w:type="dxa"/>
          </w:tcPr>
          <w:p>
            <w:pPr>
              <w:pStyle w:val="TableParagraph"/>
              <w:rPr>
                <w:sz w:val="18"/>
              </w:rPr>
            </w:pPr>
          </w:p>
        </w:tc>
        <w:tc>
          <w:tcPr>
            <w:tcW w:w="3348" w:type="dxa"/>
            <w:vMerge/>
            <w:tcBorders>
              <w:top w:val="nil"/>
            </w:tcBorders>
          </w:tcPr>
          <w:p>
            <w:pPr>
              <w:rPr>
                <w:sz w:val="2"/>
                <w:szCs w:val="2"/>
              </w:rPr>
            </w:pPr>
          </w:p>
        </w:tc>
        <w:tc>
          <w:tcPr>
            <w:tcW w:w="1470" w:type="dxa"/>
          </w:tcPr>
          <w:p>
            <w:pPr>
              <w:pStyle w:val="TableParagraph"/>
              <w:rPr>
                <w:sz w:val="18"/>
              </w:rPr>
            </w:pPr>
          </w:p>
        </w:tc>
        <w:tc>
          <w:tcPr>
            <w:tcW w:w="3621" w:type="dxa"/>
          </w:tcPr>
          <w:p>
            <w:pPr>
              <w:pStyle w:val="TableParagraph"/>
              <w:spacing w:before="60"/>
              <w:ind w:left="75"/>
              <w:rPr>
                <w:sz w:val="20"/>
              </w:rPr>
            </w:pPr>
            <w:r>
              <w:rPr>
                <w:sz w:val="20"/>
              </w:rPr>
              <w:t>орбитотомия</w:t>
            </w:r>
            <w:r>
              <w:rPr>
                <w:spacing w:val="-12"/>
                <w:sz w:val="20"/>
              </w:rPr>
              <w:t> </w:t>
            </w:r>
            <w:r>
              <w:rPr>
                <w:sz w:val="20"/>
              </w:rPr>
              <w:t>различными</w:t>
            </w:r>
            <w:r>
              <w:rPr>
                <w:spacing w:val="-12"/>
                <w:sz w:val="20"/>
              </w:rPr>
              <w:t> </w:t>
            </w:r>
            <w:r>
              <w:rPr>
                <w:spacing w:val="-2"/>
                <w:sz w:val="20"/>
              </w:rPr>
              <w:t>доступами</w:t>
            </w:r>
          </w:p>
        </w:tc>
      </w:tr>
      <w:tr>
        <w:trPr>
          <w:trHeight w:val="1080" w:hRule="atLeast"/>
        </w:trPr>
        <w:tc>
          <w:tcPr>
            <w:tcW w:w="2763" w:type="dxa"/>
            <w:vMerge/>
            <w:tcBorders>
              <w:top w:val="nil"/>
            </w:tcBorders>
          </w:tcPr>
          <w:p>
            <w:pPr>
              <w:rPr>
                <w:sz w:val="2"/>
                <w:szCs w:val="2"/>
              </w:rPr>
            </w:pPr>
          </w:p>
        </w:tc>
        <w:tc>
          <w:tcPr>
            <w:tcW w:w="2036" w:type="dxa"/>
          </w:tcPr>
          <w:p>
            <w:pPr>
              <w:pStyle w:val="TableParagraph"/>
              <w:rPr>
                <w:sz w:val="18"/>
              </w:rPr>
            </w:pPr>
          </w:p>
        </w:tc>
        <w:tc>
          <w:tcPr>
            <w:tcW w:w="3348" w:type="dxa"/>
            <w:vMerge/>
            <w:tcBorders>
              <w:top w:val="nil"/>
            </w:tcBorders>
          </w:tcPr>
          <w:p>
            <w:pPr>
              <w:rPr>
                <w:sz w:val="2"/>
                <w:szCs w:val="2"/>
              </w:rPr>
            </w:pPr>
          </w:p>
        </w:tc>
        <w:tc>
          <w:tcPr>
            <w:tcW w:w="1470" w:type="dxa"/>
          </w:tcPr>
          <w:p>
            <w:pPr>
              <w:pStyle w:val="TableParagraph"/>
              <w:rPr>
                <w:sz w:val="18"/>
              </w:rPr>
            </w:pPr>
          </w:p>
        </w:tc>
        <w:tc>
          <w:tcPr>
            <w:tcW w:w="3621" w:type="dxa"/>
          </w:tcPr>
          <w:p>
            <w:pPr>
              <w:pStyle w:val="TableParagraph"/>
              <w:spacing w:line="249" w:lineRule="auto" w:before="60"/>
              <w:ind w:left="75" w:right="692"/>
              <w:rPr>
                <w:sz w:val="20"/>
              </w:rPr>
            </w:pPr>
            <w:r>
              <w:rPr>
                <w:sz w:val="20"/>
              </w:rPr>
              <w:t>транспупиллярная</w:t>
            </w:r>
            <w:r>
              <w:rPr>
                <w:spacing w:val="-13"/>
                <w:sz w:val="20"/>
              </w:rPr>
              <w:t> </w:t>
            </w:r>
            <w:r>
              <w:rPr>
                <w:sz w:val="20"/>
              </w:rPr>
              <w:t>термотерапия, в том числе с ограничительной</w:t>
            </w:r>
          </w:p>
          <w:p>
            <w:pPr>
              <w:pStyle w:val="TableParagraph"/>
              <w:spacing w:line="249" w:lineRule="auto" w:before="2"/>
              <w:ind w:left="75"/>
              <w:rPr>
                <w:sz w:val="20"/>
              </w:rPr>
            </w:pPr>
            <w:r>
              <w:rPr>
                <w:sz w:val="20"/>
              </w:rPr>
              <w:t>лазеркоагуляцией</w:t>
            </w:r>
            <w:r>
              <w:rPr>
                <w:spacing w:val="-13"/>
                <w:sz w:val="20"/>
              </w:rPr>
              <w:t> </w:t>
            </w:r>
            <w:r>
              <w:rPr>
                <w:sz w:val="20"/>
              </w:rPr>
              <w:t>при</w:t>
            </w:r>
            <w:r>
              <w:rPr>
                <w:spacing w:val="-12"/>
                <w:sz w:val="20"/>
              </w:rPr>
              <w:t> </w:t>
            </w:r>
            <w:r>
              <w:rPr>
                <w:sz w:val="20"/>
              </w:rPr>
              <w:t>новообразованиях </w:t>
            </w:r>
            <w:r>
              <w:rPr>
                <w:spacing w:val="-2"/>
                <w:sz w:val="20"/>
              </w:rPr>
              <w:t>глаза</w:t>
            </w:r>
          </w:p>
        </w:tc>
      </w:tr>
      <w:tr>
        <w:trPr>
          <w:trHeight w:val="60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52" w:lineRule="auto" w:before="60"/>
              <w:ind w:left="75"/>
              <w:rPr>
                <w:sz w:val="20"/>
              </w:rPr>
            </w:pPr>
            <w:r>
              <w:rPr>
                <w:sz w:val="20"/>
              </w:rPr>
              <w:t>криодеструкция</w:t>
            </w:r>
            <w:r>
              <w:rPr>
                <w:spacing w:val="-13"/>
                <w:sz w:val="20"/>
              </w:rPr>
              <w:t> </w:t>
            </w:r>
            <w:r>
              <w:rPr>
                <w:sz w:val="20"/>
              </w:rPr>
              <w:t>при</w:t>
            </w:r>
            <w:r>
              <w:rPr>
                <w:spacing w:val="-12"/>
                <w:sz w:val="20"/>
              </w:rPr>
              <w:t> </w:t>
            </w:r>
            <w:r>
              <w:rPr>
                <w:sz w:val="20"/>
              </w:rPr>
              <w:t>новообразованиях </w:t>
            </w:r>
            <w:r>
              <w:rPr>
                <w:spacing w:val="-2"/>
                <w:sz w:val="20"/>
              </w:rPr>
              <w:t>глаза</w:t>
            </w:r>
          </w:p>
        </w:tc>
      </w:tr>
      <w:tr>
        <w:trPr>
          <w:trHeight w:val="84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энуклеация с пластикой культи и радиокоагуляцией</w:t>
            </w:r>
            <w:r>
              <w:rPr>
                <w:spacing w:val="-13"/>
                <w:sz w:val="20"/>
              </w:rPr>
              <w:t> </w:t>
            </w:r>
            <w:r>
              <w:rPr>
                <w:sz w:val="20"/>
              </w:rPr>
              <w:t>тканей</w:t>
            </w:r>
            <w:r>
              <w:rPr>
                <w:spacing w:val="-12"/>
                <w:sz w:val="20"/>
              </w:rPr>
              <w:t> </w:t>
            </w:r>
            <w:r>
              <w:rPr>
                <w:sz w:val="20"/>
              </w:rPr>
              <w:t>орбиты</w:t>
            </w:r>
            <w:r>
              <w:rPr>
                <w:spacing w:val="-13"/>
                <w:sz w:val="20"/>
              </w:rPr>
              <w:t> </w:t>
            </w:r>
            <w:r>
              <w:rPr>
                <w:sz w:val="20"/>
              </w:rPr>
              <w:t>при новообразованиях глаза</w:t>
            </w:r>
          </w:p>
        </w:tc>
      </w:tr>
      <w:tr>
        <w:trPr>
          <w:trHeight w:val="84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экзентерация орбиты с одномоментной пластикой</w:t>
            </w:r>
            <w:r>
              <w:rPr>
                <w:spacing w:val="-13"/>
                <w:sz w:val="20"/>
              </w:rPr>
              <w:t> </w:t>
            </w:r>
            <w:r>
              <w:rPr>
                <w:sz w:val="20"/>
              </w:rPr>
              <w:t>свободным</w:t>
            </w:r>
            <w:r>
              <w:rPr>
                <w:spacing w:val="-12"/>
                <w:sz w:val="20"/>
              </w:rPr>
              <w:t> </w:t>
            </w:r>
            <w:r>
              <w:rPr>
                <w:sz w:val="20"/>
              </w:rPr>
              <w:t>кожным</w:t>
            </w:r>
            <w:r>
              <w:rPr>
                <w:spacing w:val="-13"/>
                <w:sz w:val="20"/>
              </w:rPr>
              <w:t> </w:t>
            </w:r>
            <w:r>
              <w:rPr>
                <w:sz w:val="20"/>
              </w:rPr>
              <w:t>лоскутом или пластикой местными тканями</w:t>
            </w:r>
          </w:p>
        </w:tc>
      </w:tr>
      <w:tr>
        <w:trPr>
          <w:trHeight w:val="84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иридэктомия, в том числе с иридопластикой,</w:t>
            </w:r>
            <w:r>
              <w:rPr>
                <w:spacing w:val="-13"/>
                <w:sz w:val="20"/>
              </w:rPr>
              <w:t> </w:t>
            </w:r>
            <w:r>
              <w:rPr>
                <w:sz w:val="20"/>
              </w:rPr>
              <w:t>при</w:t>
            </w:r>
            <w:r>
              <w:rPr>
                <w:spacing w:val="-12"/>
                <w:sz w:val="20"/>
              </w:rPr>
              <w:t> </w:t>
            </w:r>
            <w:r>
              <w:rPr>
                <w:sz w:val="20"/>
              </w:rPr>
              <w:t>новообразованиях </w:t>
            </w:r>
            <w:r>
              <w:rPr>
                <w:spacing w:val="-2"/>
                <w:sz w:val="20"/>
              </w:rPr>
              <w:t>глаза</w:t>
            </w:r>
          </w:p>
        </w:tc>
      </w:tr>
      <w:tr>
        <w:trPr>
          <w:trHeight w:val="101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0" w:lineRule="atLeast" w:before="30"/>
              <w:ind w:left="75"/>
              <w:rPr>
                <w:sz w:val="20"/>
              </w:rPr>
            </w:pPr>
            <w:r>
              <w:rPr>
                <w:sz w:val="20"/>
              </w:rPr>
              <w:t>иридэктомия с иридопластикой с экстракцией</w:t>
            </w:r>
            <w:r>
              <w:rPr>
                <w:spacing w:val="-13"/>
                <w:sz w:val="20"/>
              </w:rPr>
              <w:t> </w:t>
            </w:r>
            <w:r>
              <w:rPr>
                <w:sz w:val="20"/>
              </w:rPr>
              <w:t>катаракты</w:t>
            </w:r>
            <w:r>
              <w:rPr>
                <w:spacing w:val="-12"/>
                <w:sz w:val="20"/>
              </w:rPr>
              <w:t> </w:t>
            </w:r>
            <w:r>
              <w:rPr>
                <w:sz w:val="20"/>
              </w:rPr>
              <w:t>с</w:t>
            </w:r>
            <w:r>
              <w:rPr>
                <w:spacing w:val="-13"/>
                <w:sz w:val="20"/>
              </w:rPr>
              <w:t> </w:t>
            </w:r>
            <w:r>
              <w:rPr>
                <w:sz w:val="20"/>
              </w:rPr>
              <w:t>имплантацией интраокулярной линзы при новообразованиях глаза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75"/>
        <w:gridCol w:w="2146"/>
        <w:gridCol w:w="3266"/>
        <w:gridCol w:w="1502"/>
        <w:gridCol w:w="3603"/>
        <w:gridCol w:w="1349"/>
      </w:tblGrid>
      <w:tr>
        <w:trPr>
          <w:trHeight w:val="77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ind w:left="109" w:right="67"/>
              <w:jc w:val="both"/>
              <w:rPr>
                <w:sz w:val="20"/>
              </w:rPr>
            </w:pPr>
            <w:r>
              <w:rPr>
                <w:sz w:val="20"/>
              </w:rPr>
              <w:t>иридоциклосклерэктомия,</w:t>
            </w:r>
            <w:r>
              <w:rPr>
                <w:spacing w:val="-11"/>
                <w:sz w:val="20"/>
              </w:rPr>
              <w:t> </w:t>
            </w: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 иридопластикой,</w:t>
            </w:r>
            <w:r>
              <w:rPr>
                <w:spacing w:val="-13"/>
                <w:sz w:val="20"/>
              </w:rPr>
              <w:t> </w:t>
            </w:r>
            <w:r>
              <w:rPr>
                <w:sz w:val="20"/>
              </w:rPr>
              <w:t>при</w:t>
            </w:r>
            <w:r>
              <w:rPr>
                <w:spacing w:val="-12"/>
                <w:sz w:val="20"/>
              </w:rPr>
              <w:t> </w:t>
            </w:r>
            <w:r>
              <w:rPr>
                <w:sz w:val="20"/>
              </w:rPr>
              <w:t>новообразованиях </w:t>
            </w:r>
            <w:r>
              <w:rPr>
                <w:spacing w:val="-2"/>
                <w:sz w:val="20"/>
              </w:rPr>
              <w:t>глаза</w:t>
            </w:r>
          </w:p>
        </w:tc>
        <w:tc>
          <w:tcPr>
            <w:tcW w:w="1349" w:type="dxa"/>
          </w:tcPr>
          <w:p>
            <w:pPr>
              <w:pStyle w:val="TableParagraph"/>
              <w:rPr>
                <w:sz w:val="18"/>
              </w:rPr>
            </w:pPr>
          </w:p>
        </w:tc>
      </w:tr>
      <w:tr>
        <w:trPr>
          <w:trHeight w:val="132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44"/>
              <w:rPr>
                <w:sz w:val="20"/>
              </w:rPr>
            </w:pPr>
            <w:r>
              <w:rPr>
                <w:sz w:val="20"/>
              </w:rPr>
              <w:t>иридоциклосклерэктомия с иридопластикой, экстракапсулярной экстракцией</w:t>
            </w:r>
            <w:r>
              <w:rPr>
                <w:spacing w:val="-13"/>
                <w:sz w:val="20"/>
              </w:rPr>
              <w:t> </w:t>
            </w:r>
            <w:r>
              <w:rPr>
                <w:sz w:val="20"/>
              </w:rPr>
              <w:t>катаракты,</w:t>
            </w:r>
            <w:r>
              <w:rPr>
                <w:spacing w:val="-12"/>
                <w:sz w:val="20"/>
              </w:rPr>
              <w:t> </w:t>
            </w:r>
            <w:r>
              <w:rPr>
                <w:sz w:val="20"/>
              </w:rPr>
              <w:t>имплантацией интраокулярной линзы при новообразованиях глаза</w:t>
            </w:r>
          </w:p>
        </w:tc>
        <w:tc>
          <w:tcPr>
            <w:tcW w:w="1349" w:type="dxa"/>
          </w:tcPr>
          <w:p>
            <w:pPr>
              <w:pStyle w:val="TableParagraph"/>
              <w:rPr>
                <w:sz w:val="18"/>
              </w:rPr>
            </w:pPr>
          </w:p>
        </w:tc>
      </w:tr>
      <w:tr>
        <w:trPr>
          <w:trHeight w:val="84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44"/>
              <w:rPr>
                <w:sz w:val="20"/>
              </w:rPr>
            </w:pPr>
            <w:r>
              <w:rPr>
                <w:sz w:val="20"/>
              </w:rPr>
              <w:t>иридоциклохориосклерэктомия,</w:t>
            </w:r>
            <w:r>
              <w:rPr>
                <w:spacing w:val="-13"/>
                <w:sz w:val="20"/>
              </w:rPr>
              <w:t> </w:t>
            </w:r>
            <w:r>
              <w:rPr>
                <w:sz w:val="20"/>
              </w:rPr>
              <w:t>в</w:t>
            </w:r>
            <w:r>
              <w:rPr>
                <w:spacing w:val="-12"/>
                <w:sz w:val="20"/>
              </w:rPr>
              <w:t> </w:t>
            </w:r>
            <w:r>
              <w:rPr>
                <w:sz w:val="20"/>
              </w:rPr>
              <w:t>том числе с иридопластикой, при новообразованиях глаза</w:t>
            </w:r>
          </w:p>
        </w:tc>
        <w:tc>
          <w:tcPr>
            <w:tcW w:w="1349" w:type="dxa"/>
          </w:tcPr>
          <w:p>
            <w:pPr>
              <w:pStyle w:val="TableParagraph"/>
              <w:rPr>
                <w:sz w:val="18"/>
              </w:rPr>
            </w:pPr>
          </w:p>
        </w:tc>
      </w:tr>
      <w:tr>
        <w:trPr>
          <w:trHeight w:val="840" w:hRule="atLeast"/>
        </w:trPr>
        <w:tc>
          <w:tcPr>
            <w:tcW w:w="15099" w:type="dxa"/>
            <w:gridSpan w:val="7"/>
          </w:tcPr>
          <w:p>
            <w:pPr>
              <w:pStyle w:val="TableParagraph"/>
              <w:spacing w:line="249" w:lineRule="auto" w:before="60"/>
              <w:ind w:left="10256" w:right="1301"/>
              <w:rPr>
                <w:sz w:val="20"/>
              </w:rPr>
            </w:pPr>
            <w:r>
              <w:rPr>
                <w:sz w:val="20"/>
              </w:rPr>
              <w:t>реконструктивно-пластические</w:t>
            </w:r>
            <w:r>
              <w:rPr>
                <w:spacing w:val="-13"/>
                <w:sz w:val="20"/>
              </w:rPr>
              <w:t> </w:t>
            </w:r>
            <w:r>
              <w:rPr>
                <w:sz w:val="20"/>
              </w:rPr>
              <w:t>операции переднего и заднего отделов глаза и его придаточного аппарата</w:t>
            </w:r>
          </w:p>
        </w:tc>
      </w:tr>
      <w:tr>
        <w:trPr>
          <w:trHeight w:val="60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Pr>
                <w:sz w:val="20"/>
              </w:rPr>
            </w:pPr>
            <w:r>
              <w:rPr>
                <w:sz w:val="20"/>
              </w:rPr>
              <w:t>орбитотомия</w:t>
            </w:r>
            <w:r>
              <w:rPr>
                <w:spacing w:val="-11"/>
                <w:sz w:val="20"/>
              </w:rPr>
              <w:t> </w:t>
            </w:r>
            <w:r>
              <w:rPr>
                <w:sz w:val="20"/>
              </w:rPr>
              <w:t>с</w:t>
            </w:r>
            <w:r>
              <w:rPr>
                <w:spacing w:val="-10"/>
                <w:sz w:val="20"/>
              </w:rPr>
              <w:t> </w:t>
            </w:r>
            <w:r>
              <w:rPr>
                <w:sz w:val="20"/>
              </w:rPr>
              <w:t>энуклеацией</w:t>
            </w:r>
            <w:r>
              <w:rPr>
                <w:spacing w:val="-10"/>
                <w:sz w:val="20"/>
              </w:rPr>
              <w:t> </w:t>
            </w:r>
            <w:r>
              <w:rPr>
                <w:sz w:val="20"/>
              </w:rPr>
              <w:t>и</w:t>
            </w:r>
            <w:r>
              <w:rPr>
                <w:spacing w:val="-11"/>
                <w:sz w:val="20"/>
              </w:rPr>
              <w:t> </w:t>
            </w:r>
            <w:r>
              <w:rPr>
                <w:sz w:val="20"/>
              </w:rPr>
              <w:t>пластикой </w:t>
            </w:r>
            <w:r>
              <w:rPr>
                <w:spacing w:val="-2"/>
                <w:sz w:val="20"/>
              </w:rPr>
              <w:t>культи</w:t>
            </w:r>
          </w:p>
        </w:tc>
        <w:tc>
          <w:tcPr>
            <w:tcW w:w="1349" w:type="dxa"/>
          </w:tcPr>
          <w:p>
            <w:pPr>
              <w:pStyle w:val="TableParagraph"/>
              <w:rPr>
                <w:sz w:val="18"/>
              </w:rPr>
            </w:pPr>
          </w:p>
        </w:tc>
      </w:tr>
      <w:tr>
        <w:trPr>
          <w:trHeight w:val="36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before="60"/>
              <w:ind w:left="109"/>
              <w:rPr>
                <w:sz w:val="20"/>
              </w:rPr>
            </w:pPr>
            <w:r>
              <w:rPr>
                <w:sz w:val="20"/>
              </w:rPr>
              <w:t>контурная</w:t>
            </w:r>
            <w:r>
              <w:rPr>
                <w:spacing w:val="-9"/>
                <w:sz w:val="20"/>
              </w:rPr>
              <w:t> </w:t>
            </w:r>
            <w:r>
              <w:rPr>
                <w:sz w:val="20"/>
              </w:rPr>
              <w:t>пластика</w:t>
            </w:r>
            <w:r>
              <w:rPr>
                <w:spacing w:val="-11"/>
                <w:sz w:val="20"/>
              </w:rPr>
              <w:t> </w:t>
            </w:r>
            <w:r>
              <w:rPr>
                <w:spacing w:val="-2"/>
                <w:sz w:val="20"/>
              </w:rPr>
              <w:t>орбиты</w:t>
            </w:r>
          </w:p>
        </w:tc>
        <w:tc>
          <w:tcPr>
            <w:tcW w:w="1349" w:type="dxa"/>
          </w:tcPr>
          <w:p>
            <w:pPr>
              <w:pStyle w:val="TableParagraph"/>
              <w:rPr>
                <w:sz w:val="18"/>
              </w:rPr>
            </w:pPr>
          </w:p>
        </w:tc>
      </w:tr>
      <w:tr>
        <w:trPr>
          <w:trHeight w:val="84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15"/>
              <w:rPr>
                <w:sz w:val="20"/>
              </w:rPr>
            </w:pPr>
            <w:r>
              <w:rPr>
                <w:sz w:val="20"/>
              </w:rPr>
              <w:t>эксцизия</w:t>
            </w:r>
            <w:r>
              <w:rPr>
                <w:spacing w:val="-13"/>
                <w:sz w:val="20"/>
              </w:rPr>
              <w:t> </w:t>
            </w:r>
            <w:r>
              <w:rPr>
                <w:sz w:val="20"/>
              </w:rPr>
              <w:t>новообразования</w:t>
            </w:r>
            <w:r>
              <w:rPr>
                <w:spacing w:val="-12"/>
                <w:sz w:val="20"/>
              </w:rPr>
              <w:t> </w:t>
            </w:r>
            <w:r>
              <w:rPr>
                <w:sz w:val="20"/>
              </w:rPr>
              <w:t>конъюнктивы и роговицы с послойной кератоконъюнктивальной пластикой</w:t>
            </w:r>
          </w:p>
        </w:tc>
        <w:tc>
          <w:tcPr>
            <w:tcW w:w="1349" w:type="dxa"/>
          </w:tcPr>
          <w:p>
            <w:pPr>
              <w:pStyle w:val="TableParagraph"/>
              <w:rPr>
                <w:sz w:val="18"/>
              </w:rPr>
            </w:pPr>
          </w:p>
        </w:tc>
      </w:tr>
      <w:tr>
        <w:trPr>
          <w:trHeight w:val="60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52" w:lineRule="auto" w:before="60"/>
              <w:ind w:left="109" w:right="44"/>
              <w:rPr>
                <w:sz w:val="20"/>
              </w:rPr>
            </w:pPr>
            <w:r>
              <w:rPr>
                <w:sz w:val="20"/>
              </w:rPr>
              <w:t>брахитерапия</w:t>
            </w:r>
            <w:r>
              <w:rPr>
                <w:spacing w:val="-13"/>
                <w:sz w:val="20"/>
              </w:rPr>
              <w:t> </w:t>
            </w:r>
            <w:r>
              <w:rPr>
                <w:sz w:val="20"/>
              </w:rPr>
              <w:t>при</w:t>
            </w:r>
            <w:r>
              <w:rPr>
                <w:spacing w:val="-12"/>
                <w:sz w:val="20"/>
              </w:rPr>
              <w:t> </w:t>
            </w:r>
            <w:r>
              <w:rPr>
                <w:sz w:val="20"/>
              </w:rPr>
              <w:t>новообразованиях придаточного аппарата глаза</w:t>
            </w:r>
          </w:p>
        </w:tc>
        <w:tc>
          <w:tcPr>
            <w:tcW w:w="1349" w:type="dxa"/>
          </w:tcPr>
          <w:p>
            <w:pPr>
              <w:pStyle w:val="TableParagraph"/>
              <w:rPr>
                <w:sz w:val="18"/>
              </w:rPr>
            </w:pPr>
          </w:p>
        </w:tc>
      </w:tr>
      <w:tr>
        <w:trPr>
          <w:trHeight w:val="60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44"/>
              <w:rPr>
                <w:sz w:val="20"/>
              </w:rPr>
            </w:pPr>
            <w:r>
              <w:rPr>
                <w:sz w:val="20"/>
              </w:rPr>
              <w:t>рентгенотерапия</w:t>
            </w:r>
            <w:r>
              <w:rPr>
                <w:spacing w:val="-13"/>
                <w:sz w:val="20"/>
              </w:rPr>
              <w:t> </w:t>
            </w:r>
            <w:r>
              <w:rPr>
                <w:sz w:val="20"/>
              </w:rPr>
              <w:t>при</w:t>
            </w:r>
            <w:r>
              <w:rPr>
                <w:spacing w:val="-12"/>
                <w:sz w:val="20"/>
              </w:rPr>
              <w:t> </w:t>
            </w:r>
            <w:r>
              <w:rPr>
                <w:sz w:val="20"/>
              </w:rPr>
              <w:t>злокачественных новообразованиях век</w:t>
            </w:r>
          </w:p>
        </w:tc>
        <w:tc>
          <w:tcPr>
            <w:tcW w:w="1349" w:type="dxa"/>
          </w:tcPr>
          <w:p>
            <w:pPr>
              <w:pStyle w:val="TableParagraph"/>
              <w:rPr>
                <w:sz w:val="18"/>
              </w:rPr>
            </w:pPr>
          </w:p>
        </w:tc>
      </w:tr>
      <w:tr>
        <w:trPr>
          <w:trHeight w:val="359" w:hRule="atLeast"/>
        </w:trPr>
        <w:tc>
          <w:tcPr>
            <w:tcW w:w="458" w:type="dxa"/>
          </w:tcPr>
          <w:p>
            <w:pPr>
              <w:pStyle w:val="TableParagraph"/>
              <w:spacing w:before="60"/>
              <w:ind w:left="50"/>
              <w:rPr>
                <w:sz w:val="20"/>
              </w:rPr>
            </w:pPr>
            <w:r>
              <w:rPr>
                <w:spacing w:val="-5"/>
                <w:sz w:val="20"/>
              </w:rPr>
              <w:t>40.</w:t>
            </w:r>
          </w:p>
        </w:tc>
        <w:tc>
          <w:tcPr>
            <w:tcW w:w="2775" w:type="dxa"/>
            <w:vMerge w:val="restart"/>
          </w:tcPr>
          <w:p>
            <w:pPr>
              <w:pStyle w:val="TableParagraph"/>
              <w:spacing w:line="240" w:lineRule="atLeast" w:before="30"/>
              <w:ind w:left="155" w:right="171"/>
              <w:rPr>
                <w:sz w:val="20"/>
              </w:rPr>
            </w:pPr>
            <w:r>
              <w:rPr>
                <w:spacing w:val="-2"/>
                <w:sz w:val="20"/>
              </w:rPr>
              <w:t>Реконструктивно- </w:t>
            </w:r>
            <w:r>
              <w:rPr>
                <w:sz w:val="20"/>
              </w:rPr>
              <w:t>пластические и оптико- реконструктивные</w:t>
            </w:r>
            <w:r>
              <w:rPr>
                <w:spacing w:val="-13"/>
                <w:sz w:val="20"/>
              </w:rPr>
              <w:t> </w:t>
            </w:r>
            <w:r>
              <w:rPr>
                <w:sz w:val="20"/>
              </w:rPr>
              <w:t>операции при травмах (открытых,</w:t>
            </w:r>
          </w:p>
        </w:tc>
        <w:tc>
          <w:tcPr>
            <w:tcW w:w="2146" w:type="dxa"/>
            <w:vMerge w:val="restart"/>
          </w:tcPr>
          <w:p>
            <w:pPr>
              <w:pStyle w:val="TableParagraph"/>
              <w:spacing w:before="60"/>
              <w:ind w:left="182"/>
              <w:rPr>
                <w:sz w:val="20"/>
              </w:rPr>
            </w:pPr>
            <w:r>
              <w:rPr>
                <w:sz w:val="20"/>
              </w:rPr>
              <w:t>H02.0</w:t>
            </w:r>
            <w:r>
              <w:rPr>
                <w:spacing w:val="-2"/>
                <w:sz w:val="20"/>
              </w:rPr>
              <w:t> </w:t>
            </w:r>
            <w:r>
              <w:rPr>
                <w:sz w:val="20"/>
              </w:rPr>
              <w:t>-</w:t>
            </w:r>
            <w:r>
              <w:rPr>
                <w:spacing w:val="-5"/>
                <w:sz w:val="20"/>
              </w:rPr>
              <w:t> </w:t>
            </w:r>
            <w:r>
              <w:rPr>
                <w:sz w:val="20"/>
              </w:rPr>
              <w:t>H02.5,</w:t>
            </w:r>
            <w:r>
              <w:rPr>
                <w:spacing w:val="-3"/>
                <w:sz w:val="20"/>
              </w:rPr>
              <w:t> </w:t>
            </w:r>
            <w:r>
              <w:rPr>
                <w:sz w:val="20"/>
              </w:rPr>
              <w:t>H04.0</w:t>
            </w:r>
            <w:r>
              <w:rPr>
                <w:spacing w:val="-1"/>
                <w:sz w:val="20"/>
              </w:rPr>
              <w:t> </w:t>
            </w:r>
            <w:r>
              <w:rPr>
                <w:spacing w:val="-10"/>
                <w:sz w:val="20"/>
              </w:rPr>
              <w:t>-</w:t>
            </w:r>
          </w:p>
          <w:p>
            <w:pPr>
              <w:pStyle w:val="TableParagraph"/>
              <w:spacing w:before="10"/>
              <w:ind w:left="213"/>
              <w:rPr>
                <w:sz w:val="20"/>
              </w:rPr>
            </w:pPr>
            <w:r>
              <w:rPr>
                <w:sz w:val="20"/>
              </w:rPr>
              <w:t>H04.6,</w:t>
            </w:r>
            <w:r>
              <w:rPr>
                <w:spacing w:val="-3"/>
                <w:sz w:val="20"/>
              </w:rPr>
              <w:t> </w:t>
            </w:r>
            <w:r>
              <w:rPr>
                <w:sz w:val="20"/>
              </w:rPr>
              <w:t>H05.0 -</w:t>
            </w:r>
            <w:r>
              <w:rPr>
                <w:spacing w:val="-5"/>
                <w:sz w:val="20"/>
              </w:rPr>
              <w:t> </w:t>
            </w:r>
            <w:r>
              <w:rPr>
                <w:spacing w:val="-2"/>
                <w:sz w:val="20"/>
              </w:rPr>
              <w:t>H05.5,</w:t>
            </w:r>
          </w:p>
          <w:p>
            <w:pPr>
              <w:pStyle w:val="TableParagraph"/>
              <w:spacing w:before="10"/>
              <w:ind w:left="246"/>
              <w:rPr>
                <w:sz w:val="20"/>
              </w:rPr>
            </w:pPr>
            <w:r>
              <w:rPr>
                <w:sz w:val="20"/>
              </w:rPr>
              <w:t>H11.2,</w:t>
            </w:r>
            <w:r>
              <w:rPr>
                <w:spacing w:val="-4"/>
                <w:sz w:val="20"/>
              </w:rPr>
              <w:t> </w:t>
            </w:r>
            <w:r>
              <w:rPr>
                <w:sz w:val="20"/>
              </w:rPr>
              <w:t>H21.5,</w:t>
            </w:r>
            <w:r>
              <w:rPr>
                <w:spacing w:val="-5"/>
                <w:sz w:val="20"/>
              </w:rPr>
              <w:t> </w:t>
            </w:r>
            <w:r>
              <w:rPr>
                <w:spacing w:val="-2"/>
                <w:sz w:val="20"/>
              </w:rPr>
              <w:t>H27.0,</w:t>
            </w:r>
          </w:p>
          <w:p>
            <w:pPr>
              <w:pStyle w:val="TableParagraph"/>
              <w:spacing w:line="210" w:lineRule="exact" w:before="10"/>
              <w:ind w:left="213"/>
              <w:rPr>
                <w:sz w:val="20"/>
              </w:rPr>
            </w:pPr>
            <w:r>
              <w:rPr>
                <w:sz w:val="20"/>
              </w:rPr>
              <w:t>H27.1,</w:t>
            </w:r>
            <w:r>
              <w:rPr>
                <w:spacing w:val="-3"/>
                <w:sz w:val="20"/>
              </w:rPr>
              <w:t> </w:t>
            </w:r>
            <w:r>
              <w:rPr>
                <w:sz w:val="20"/>
              </w:rPr>
              <w:t>H26.0 -</w:t>
            </w:r>
            <w:r>
              <w:rPr>
                <w:spacing w:val="-5"/>
                <w:sz w:val="20"/>
              </w:rPr>
              <w:t> </w:t>
            </w:r>
            <w:r>
              <w:rPr>
                <w:spacing w:val="-2"/>
                <w:sz w:val="20"/>
              </w:rPr>
              <w:t>H26.9,</w:t>
            </w:r>
          </w:p>
        </w:tc>
        <w:tc>
          <w:tcPr>
            <w:tcW w:w="3266" w:type="dxa"/>
            <w:vMerge w:val="restart"/>
          </w:tcPr>
          <w:p>
            <w:pPr>
              <w:pStyle w:val="TableParagraph"/>
              <w:spacing w:line="240" w:lineRule="atLeast" w:before="30"/>
              <w:ind w:left="95"/>
              <w:rPr>
                <w:sz w:val="20"/>
              </w:rPr>
            </w:pPr>
            <w:r>
              <w:rPr>
                <w:sz w:val="20"/>
              </w:rPr>
              <w:t>травма глаза и глазницы, термические и химические ожоги, ограниченные</w:t>
            </w:r>
            <w:r>
              <w:rPr>
                <w:spacing w:val="-10"/>
                <w:sz w:val="20"/>
              </w:rPr>
              <w:t> </w:t>
            </w:r>
            <w:r>
              <w:rPr>
                <w:sz w:val="20"/>
              </w:rPr>
              <w:t>областью</w:t>
            </w:r>
            <w:r>
              <w:rPr>
                <w:spacing w:val="-10"/>
                <w:sz w:val="20"/>
              </w:rPr>
              <w:t> </w:t>
            </w:r>
            <w:r>
              <w:rPr>
                <w:sz w:val="20"/>
              </w:rPr>
              <w:t>глаза</w:t>
            </w:r>
            <w:r>
              <w:rPr>
                <w:spacing w:val="-10"/>
                <w:sz w:val="20"/>
              </w:rPr>
              <w:t> </w:t>
            </w:r>
            <w:r>
              <w:rPr>
                <w:sz w:val="20"/>
              </w:rPr>
              <w:t>и</w:t>
            </w:r>
            <w:r>
              <w:rPr>
                <w:spacing w:val="-10"/>
                <w:sz w:val="20"/>
              </w:rPr>
              <w:t> </w:t>
            </w:r>
            <w:r>
              <w:rPr>
                <w:sz w:val="20"/>
              </w:rPr>
              <w:t>его придаточного</w:t>
            </w:r>
            <w:r>
              <w:rPr>
                <w:spacing w:val="-9"/>
                <w:sz w:val="20"/>
              </w:rPr>
              <w:t> </w:t>
            </w:r>
            <w:r>
              <w:rPr>
                <w:sz w:val="20"/>
              </w:rPr>
              <w:t>аппарата,</w:t>
            </w:r>
            <w:r>
              <w:rPr>
                <w:spacing w:val="-7"/>
                <w:sz w:val="20"/>
              </w:rPr>
              <w:t> </w:t>
            </w:r>
            <w:r>
              <w:rPr>
                <w:sz w:val="20"/>
              </w:rPr>
              <w:t>при</w:t>
            </w:r>
            <w:r>
              <w:rPr>
                <w:spacing w:val="-9"/>
                <w:sz w:val="20"/>
              </w:rPr>
              <w:t> </w:t>
            </w:r>
            <w:r>
              <w:rPr>
                <w:spacing w:val="-2"/>
                <w:sz w:val="20"/>
              </w:rPr>
              <w:t>острой</w:t>
            </w:r>
          </w:p>
        </w:tc>
        <w:tc>
          <w:tcPr>
            <w:tcW w:w="1502" w:type="dxa"/>
            <w:vMerge w:val="restart"/>
          </w:tcPr>
          <w:p>
            <w:pPr>
              <w:pStyle w:val="TableParagraph"/>
              <w:spacing w:line="249" w:lineRule="auto" w:before="60"/>
              <w:ind w:left="137"/>
              <w:rPr>
                <w:sz w:val="20"/>
              </w:rPr>
            </w:pPr>
            <w:r>
              <w:rPr>
                <w:spacing w:val="-2"/>
                <w:sz w:val="20"/>
              </w:rPr>
              <w:t>хирургическое лечение</w:t>
            </w:r>
          </w:p>
        </w:tc>
        <w:tc>
          <w:tcPr>
            <w:tcW w:w="3603" w:type="dxa"/>
          </w:tcPr>
          <w:p>
            <w:pPr>
              <w:pStyle w:val="TableParagraph"/>
              <w:spacing w:before="60"/>
              <w:ind w:left="109"/>
              <w:rPr>
                <w:sz w:val="20"/>
              </w:rPr>
            </w:pPr>
            <w:r>
              <w:rPr>
                <w:w w:val="95"/>
                <w:sz w:val="20"/>
              </w:rPr>
              <w:t>аллолимбальная</w:t>
            </w:r>
            <w:r>
              <w:rPr>
                <w:spacing w:val="54"/>
                <w:sz w:val="20"/>
              </w:rPr>
              <w:t> </w:t>
            </w:r>
            <w:r>
              <w:rPr>
                <w:spacing w:val="-2"/>
                <w:sz w:val="20"/>
              </w:rPr>
              <w:t>трансплантация</w:t>
            </w:r>
          </w:p>
        </w:tc>
        <w:tc>
          <w:tcPr>
            <w:tcW w:w="1349" w:type="dxa"/>
          </w:tcPr>
          <w:p>
            <w:pPr>
              <w:pStyle w:val="TableParagraph"/>
              <w:spacing w:before="60"/>
              <w:ind w:left="700"/>
              <w:rPr>
                <w:sz w:val="20"/>
              </w:rPr>
            </w:pPr>
            <w:r>
              <w:rPr>
                <w:spacing w:val="-2"/>
                <w:sz w:val="20"/>
              </w:rPr>
              <w:t>128992</w:t>
            </w:r>
          </w:p>
        </w:tc>
      </w:tr>
      <w:tr>
        <w:trPr>
          <w:trHeight w:val="650" w:hRule="atLeast"/>
        </w:trPr>
        <w:tc>
          <w:tcPr>
            <w:tcW w:w="458" w:type="dxa"/>
          </w:tcPr>
          <w:p>
            <w:pPr>
              <w:pStyle w:val="TableParagraph"/>
              <w:rPr>
                <w:sz w:val="18"/>
              </w:rPr>
            </w:pPr>
          </w:p>
        </w:tc>
        <w:tc>
          <w:tcPr>
            <w:tcW w:w="2775" w:type="dxa"/>
            <w:vMerge/>
            <w:tcBorders>
              <w:top w:val="nil"/>
            </w:tcBorders>
          </w:tcPr>
          <w:p>
            <w:pPr>
              <w:rPr>
                <w:sz w:val="2"/>
                <w:szCs w:val="2"/>
              </w:rPr>
            </w:pPr>
          </w:p>
        </w:tc>
        <w:tc>
          <w:tcPr>
            <w:tcW w:w="2146" w:type="dxa"/>
            <w:vMerge/>
            <w:tcBorders>
              <w:top w:val="nil"/>
            </w:tcBorders>
          </w:tcPr>
          <w:p>
            <w:pPr>
              <w:rPr>
                <w:sz w:val="2"/>
                <w:szCs w:val="2"/>
              </w:rPr>
            </w:pPr>
          </w:p>
        </w:tc>
        <w:tc>
          <w:tcPr>
            <w:tcW w:w="3266" w:type="dxa"/>
            <w:vMerge/>
            <w:tcBorders>
              <w:top w:val="nil"/>
            </w:tcBorders>
          </w:tcPr>
          <w:p>
            <w:pPr>
              <w:rPr>
                <w:sz w:val="2"/>
                <w:szCs w:val="2"/>
              </w:rPr>
            </w:pPr>
          </w:p>
        </w:tc>
        <w:tc>
          <w:tcPr>
            <w:tcW w:w="1502" w:type="dxa"/>
            <w:vMerge/>
            <w:tcBorders>
              <w:top w:val="nil"/>
            </w:tcBorders>
          </w:tcPr>
          <w:p>
            <w:pPr>
              <w:rPr>
                <w:sz w:val="2"/>
                <w:szCs w:val="2"/>
              </w:rPr>
            </w:pPr>
          </w:p>
        </w:tc>
        <w:tc>
          <w:tcPr>
            <w:tcW w:w="3603" w:type="dxa"/>
          </w:tcPr>
          <w:p>
            <w:pPr>
              <w:pStyle w:val="TableParagraph"/>
              <w:spacing w:line="249" w:lineRule="auto" w:before="60"/>
              <w:ind w:left="109" w:right="1057"/>
              <w:rPr>
                <w:sz w:val="20"/>
              </w:rPr>
            </w:pPr>
            <w:r>
              <w:rPr>
                <w:sz w:val="20"/>
              </w:rPr>
              <w:t>витрэктомия с удалением люксированного</w:t>
            </w:r>
            <w:r>
              <w:rPr>
                <w:spacing w:val="-13"/>
                <w:sz w:val="20"/>
              </w:rPr>
              <w:t> </w:t>
            </w:r>
            <w:r>
              <w:rPr>
                <w:sz w:val="20"/>
              </w:rPr>
              <w:t>хрусталика</w:t>
            </w:r>
          </w:p>
        </w:tc>
        <w:tc>
          <w:tcPr>
            <w:tcW w:w="134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8"/>
        <w:gridCol w:w="2326"/>
        <w:gridCol w:w="4083"/>
        <w:gridCol w:w="4413"/>
      </w:tblGrid>
      <w:tr>
        <w:trPr>
          <w:trHeight w:val="770" w:hRule="atLeast"/>
        </w:trPr>
        <w:tc>
          <w:tcPr>
            <w:tcW w:w="2478" w:type="dxa"/>
          </w:tcPr>
          <w:p>
            <w:pPr>
              <w:pStyle w:val="TableParagraph"/>
              <w:spacing w:line="249" w:lineRule="auto"/>
              <w:ind w:left="50" w:right="382"/>
              <w:rPr>
                <w:sz w:val="20"/>
              </w:rPr>
            </w:pPr>
            <w:r>
              <w:rPr>
                <w:sz w:val="20"/>
              </w:rPr>
              <w:t>закрытых) глаза, его придаточного</w:t>
            </w:r>
            <w:r>
              <w:rPr>
                <w:spacing w:val="-13"/>
                <w:sz w:val="20"/>
              </w:rPr>
              <w:t> </w:t>
            </w:r>
            <w:r>
              <w:rPr>
                <w:sz w:val="20"/>
              </w:rPr>
              <w:t>аппарата, </w:t>
            </w:r>
            <w:r>
              <w:rPr>
                <w:spacing w:val="-2"/>
                <w:sz w:val="20"/>
              </w:rPr>
              <w:t>орбиты</w:t>
            </w:r>
          </w:p>
        </w:tc>
        <w:tc>
          <w:tcPr>
            <w:tcW w:w="2326" w:type="dxa"/>
            <w:vMerge w:val="restart"/>
          </w:tcPr>
          <w:p>
            <w:pPr>
              <w:pStyle w:val="TableParagraph"/>
              <w:spacing w:line="221" w:lineRule="exact"/>
              <w:ind w:left="454"/>
              <w:rPr>
                <w:sz w:val="20"/>
              </w:rPr>
            </w:pPr>
            <w:r>
              <w:rPr>
                <w:sz w:val="20"/>
              </w:rPr>
              <w:t>H31.3,</w:t>
            </w:r>
            <w:r>
              <w:rPr>
                <w:spacing w:val="-4"/>
                <w:sz w:val="20"/>
              </w:rPr>
              <w:t> </w:t>
            </w:r>
            <w:r>
              <w:rPr>
                <w:sz w:val="20"/>
              </w:rPr>
              <w:t>H40.3,</w:t>
            </w:r>
            <w:r>
              <w:rPr>
                <w:spacing w:val="-5"/>
                <w:sz w:val="20"/>
              </w:rPr>
              <w:t> </w:t>
            </w:r>
            <w:r>
              <w:rPr>
                <w:spacing w:val="-2"/>
                <w:sz w:val="20"/>
              </w:rPr>
              <w:t>S00.1,</w:t>
            </w:r>
          </w:p>
          <w:p>
            <w:pPr>
              <w:pStyle w:val="TableParagraph"/>
              <w:spacing w:before="10"/>
              <w:ind w:left="430"/>
              <w:rPr>
                <w:sz w:val="20"/>
              </w:rPr>
            </w:pPr>
            <w:r>
              <w:rPr>
                <w:sz w:val="20"/>
              </w:rPr>
              <w:t>S00.2,</w:t>
            </w:r>
            <w:r>
              <w:rPr>
                <w:spacing w:val="-4"/>
                <w:sz w:val="20"/>
              </w:rPr>
              <w:t> </w:t>
            </w:r>
            <w:r>
              <w:rPr>
                <w:sz w:val="20"/>
              </w:rPr>
              <w:t>S02.3,</w:t>
            </w:r>
            <w:r>
              <w:rPr>
                <w:spacing w:val="43"/>
                <w:sz w:val="20"/>
              </w:rPr>
              <w:t> </w:t>
            </w:r>
            <w:r>
              <w:rPr>
                <w:sz w:val="20"/>
              </w:rPr>
              <w:t>S04.0</w:t>
            </w:r>
            <w:r>
              <w:rPr>
                <w:spacing w:val="1"/>
                <w:sz w:val="20"/>
              </w:rPr>
              <w:t> </w:t>
            </w:r>
            <w:r>
              <w:rPr>
                <w:spacing w:val="-10"/>
                <w:sz w:val="20"/>
              </w:rPr>
              <w:t>-</w:t>
            </w:r>
          </w:p>
          <w:p>
            <w:pPr>
              <w:pStyle w:val="TableParagraph"/>
              <w:spacing w:before="10"/>
              <w:ind w:left="454"/>
              <w:rPr>
                <w:sz w:val="20"/>
              </w:rPr>
            </w:pPr>
            <w:r>
              <w:rPr>
                <w:sz w:val="20"/>
              </w:rPr>
              <w:t>S04.5,</w:t>
            </w:r>
            <w:r>
              <w:rPr>
                <w:spacing w:val="-4"/>
                <w:sz w:val="20"/>
              </w:rPr>
              <w:t> </w:t>
            </w:r>
            <w:r>
              <w:rPr>
                <w:sz w:val="20"/>
              </w:rPr>
              <w:t>S05.0</w:t>
            </w:r>
            <w:r>
              <w:rPr>
                <w:spacing w:val="-1"/>
                <w:sz w:val="20"/>
              </w:rPr>
              <w:t> </w:t>
            </w:r>
            <w:r>
              <w:rPr>
                <w:sz w:val="20"/>
              </w:rPr>
              <w:t>-</w:t>
            </w:r>
            <w:r>
              <w:rPr>
                <w:spacing w:val="-5"/>
                <w:sz w:val="20"/>
              </w:rPr>
              <w:t> </w:t>
            </w:r>
            <w:r>
              <w:rPr>
                <w:spacing w:val="-2"/>
                <w:sz w:val="20"/>
              </w:rPr>
              <w:t>S05.9,</w:t>
            </w:r>
          </w:p>
          <w:p>
            <w:pPr>
              <w:pStyle w:val="TableParagraph"/>
              <w:spacing w:before="10"/>
              <w:ind w:left="394"/>
              <w:rPr>
                <w:sz w:val="20"/>
              </w:rPr>
            </w:pPr>
            <w:r>
              <w:rPr>
                <w:sz w:val="20"/>
              </w:rPr>
              <w:t>T26.0</w:t>
            </w:r>
            <w:r>
              <w:rPr>
                <w:spacing w:val="-2"/>
                <w:sz w:val="20"/>
              </w:rPr>
              <w:t> </w:t>
            </w:r>
            <w:r>
              <w:rPr>
                <w:sz w:val="20"/>
              </w:rPr>
              <w:t>-</w:t>
            </w:r>
            <w:r>
              <w:rPr>
                <w:spacing w:val="-6"/>
                <w:sz w:val="20"/>
              </w:rPr>
              <w:t> </w:t>
            </w:r>
            <w:r>
              <w:rPr>
                <w:sz w:val="20"/>
              </w:rPr>
              <w:t>T26.9,</w:t>
            </w:r>
            <w:r>
              <w:rPr>
                <w:spacing w:val="-3"/>
                <w:sz w:val="20"/>
              </w:rPr>
              <w:t> </w:t>
            </w:r>
            <w:r>
              <w:rPr>
                <w:sz w:val="20"/>
              </w:rPr>
              <w:t>H44.0</w:t>
            </w:r>
            <w:r>
              <w:rPr>
                <w:spacing w:val="-3"/>
                <w:sz w:val="20"/>
              </w:rPr>
              <w:t> </w:t>
            </w:r>
            <w:r>
              <w:rPr>
                <w:spacing w:val="-10"/>
                <w:sz w:val="20"/>
              </w:rPr>
              <w:t>-</w:t>
            </w:r>
          </w:p>
          <w:p>
            <w:pPr>
              <w:pStyle w:val="TableParagraph"/>
              <w:spacing w:line="240" w:lineRule="atLeast"/>
              <w:ind w:left="498" w:hanging="39"/>
              <w:rPr>
                <w:sz w:val="20"/>
              </w:rPr>
            </w:pPr>
            <w:r>
              <w:rPr>
                <w:sz w:val="20"/>
              </w:rPr>
              <w:t>H44.8,</w:t>
            </w:r>
            <w:r>
              <w:rPr>
                <w:spacing w:val="-13"/>
                <w:sz w:val="20"/>
              </w:rPr>
              <w:t> </w:t>
            </w:r>
            <w:r>
              <w:rPr>
                <w:sz w:val="20"/>
              </w:rPr>
              <w:t>T85.2,</w:t>
            </w:r>
            <w:r>
              <w:rPr>
                <w:spacing w:val="-12"/>
                <w:sz w:val="20"/>
              </w:rPr>
              <w:t> </w:t>
            </w:r>
            <w:r>
              <w:rPr>
                <w:sz w:val="20"/>
              </w:rPr>
              <w:t>T85.3, T90.4,</w:t>
            </w:r>
            <w:r>
              <w:rPr>
                <w:spacing w:val="-6"/>
                <w:sz w:val="20"/>
              </w:rPr>
              <w:t> </w:t>
            </w:r>
            <w:r>
              <w:rPr>
                <w:sz w:val="20"/>
              </w:rPr>
              <w:t>T95.0,</w:t>
            </w:r>
            <w:r>
              <w:rPr>
                <w:spacing w:val="-4"/>
                <w:sz w:val="20"/>
              </w:rPr>
              <w:t> </w:t>
            </w:r>
            <w:r>
              <w:rPr>
                <w:spacing w:val="-2"/>
                <w:sz w:val="20"/>
              </w:rPr>
              <w:t>T95.8</w:t>
            </w:r>
          </w:p>
        </w:tc>
        <w:tc>
          <w:tcPr>
            <w:tcW w:w="4083" w:type="dxa"/>
            <w:vMerge w:val="restart"/>
          </w:tcPr>
          <w:p>
            <w:pPr>
              <w:pStyle w:val="TableParagraph"/>
              <w:spacing w:line="249" w:lineRule="auto"/>
              <w:ind w:left="106" w:right="804"/>
              <w:rPr>
                <w:sz w:val="20"/>
              </w:rPr>
            </w:pPr>
            <w:r>
              <w:rPr>
                <w:sz w:val="20"/>
              </w:rPr>
              <w:t>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w:t>
            </w:r>
            <w:r>
              <w:rPr>
                <w:spacing w:val="-13"/>
                <w:sz w:val="20"/>
              </w:rPr>
              <w:t> </w:t>
            </w:r>
            <w:r>
              <w:rPr>
                <w:sz w:val="20"/>
              </w:rPr>
              <w:t>области,</w:t>
            </w:r>
            <w:r>
              <w:rPr>
                <w:spacing w:val="-12"/>
                <w:sz w:val="20"/>
              </w:rPr>
              <w:t> </w:t>
            </w:r>
            <w:r>
              <w:rPr>
                <w:sz w:val="20"/>
              </w:rPr>
              <w:t>вторичная глаукома, энтропион</w:t>
            </w:r>
            <w:r>
              <w:rPr>
                <w:spacing w:val="-1"/>
                <w:sz w:val="20"/>
              </w:rPr>
              <w:t> </w:t>
            </w:r>
            <w:r>
              <w:rPr>
                <w:sz w:val="20"/>
              </w:rPr>
              <w:t>и</w:t>
            </w:r>
            <w:r>
              <w:rPr>
                <w:spacing w:val="-1"/>
                <w:sz w:val="20"/>
              </w:rPr>
              <w:t> </w:t>
            </w:r>
            <w:r>
              <w:rPr>
                <w:sz w:val="20"/>
              </w:rPr>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4413" w:type="dxa"/>
          </w:tcPr>
          <w:p>
            <w:pPr>
              <w:pStyle w:val="TableParagraph"/>
              <w:spacing w:line="249" w:lineRule="auto"/>
              <w:ind w:left="805" w:right="16"/>
              <w:rPr>
                <w:sz w:val="20"/>
              </w:rPr>
            </w:pPr>
            <w:r>
              <w:rPr>
                <w:sz w:val="20"/>
              </w:rPr>
              <w:t>витреоленсэктомия с имплантацией интраокулярной</w:t>
            </w:r>
            <w:r>
              <w:rPr>
                <w:spacing w:val="-10"/>
                <w:sz w:val="20"/>
              </w:rPr>
              <w:t> </w:t>
            </w:r>
            <w:r>
              <w:rPr>
                <w:sz w:val="20"/>
              </w:rPr>
              <w:t>линзы,</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лазерным витриолизисом</w:t>
            </w:r>
          </w:p>
        </w:tc>
      </w:tr>
      <w:tr>
        <w:trPr>
          <w:trHeight w:val="660" w:hRule="atLeast"/>
        </w:trPr>
        <w:tc>
          <w:tcPr>
            <w:tcW w:w="2478" w:type="dxa"/>
          </w:tcPr>
          <w:p>
            <w:pPr>
              <w:pStyle w:val="TableParagraph"/>
              <w:rPr>
                <w:sz w:val="18"/>
              </w:rPr>
            </w:pPr>
          </w:p>
        </w:tc>
        <w:tc>
          <w:tcPr>
            <w:tcW w:w="2326" w:type="dxa"/>
            <w:vMerge/>
            <w:tcBorders>
              <w:top w:val="nil"/>
            </w:tcBorders>
          </w:tcPr>
          <w:p>
            <w:pPr>
              <w:rPr>
                <w:sz w:val="2"/>
                <w:szCs w:val="2"/>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дисклеральное</w:t>
            </w:r>
            <w:r>
              <w:rPr>
                <w:spacing w:val="-13"/>
                <w:sz w:val="20"/>
              </w:rPr>
              <w:t> </w:t>
            </w:r>
            <w:r>
              <w:rPr>
                <w:sz w:val="20"/>
              </w:rPr>
              <w:t>удаление</w:t>
            </w:r>
            <w:r>
              <w:rPr>
                <w:spacing w:val="-12"/>
                <w:sz w:val="20"/>
              </w:rPr>
              <w:t> </w:t>
            </w:r>
            <w:r>
              <w:rPr>
                <w:sz w:val="20"/>
              </w:rPr>
              <w:t>инородного</w:t>
            </w:r>
            <w:r>
              <w:rPr>
                <w:spacing w:val="-13"/>
                <w:sz w:val="20"/>
              </w:rPr>
              <w:t> </w:t>
            </w:r>
            <w:r>
              <w:rPr>
                <w:sz w:val="20"/>
              </w:rPr>
              <w:t>тела с локальной склеропластикой</w:t>
            </w:r>
          </w:p>
        </w:tc>
      </w:tr>
      <w:tr>
        <w:trPr>
          <w:trHeight w:val="198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ind w:left="805" w:right="235"/>
              <w:rPr>
                <w:sz w:val="20"/>
              </w:rPr>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 соединением, силиконовым маслом, эндолазеркоагуляцией сетчатки</w:t>
            </w:r>
          </w:p>
        </w:tc>
      </w:tr>
      <w:tr>
        <w:trPr>
          <w:trHeight w:val="60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имплантация</w:t>
            </w:r>
            <w:r>
              <w:rPr>
                <w:spacing w:val="-13"/>
                <w:sz w:val="20"/>
              </w:rPr>
              <w:t> </w:t>
            </w:r>
            <w:r>
              <w:rPr>
                <w:sz w:val="20"/>
              </w:rPr>
              <w:t>искусственной</w:t>
            </w:r>
            <w:r>
              <w:rPr>
                <w:spacing w:val="-12"/>
                <w:sz w:val="20"/>
              </w:rPr>
              <w:t> </w:t>
            </w:r>
            <w:r>
              <w:rPr>
                <w:sz w:val="20"/>
              </w:rPr>
              <w:t>радужки (иридохрусталиковой диафрагмы)</w:t>
            </w:r>
          </w:p>
        </w:tc>
      </w:tr>
      <w:tr>
        <w:trPr>
          <w:trHeight w:val="60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иридопластика,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7"/>
                <w:sz w:val="20"/>
              </w:rPr>
              <w:t> </w:t>
            </w:r>
            <w:r>
              <w:rPr>
                <w:sz w:val="20"/>
              </w:rPr>
              <w:t>с</w:t>
            </w:r>
            <w:r>
              <w:rPr>
                <w:spacing w:val="-9"/>
                <w:sz w:val="20"/>
              </w:rPr>
              <w:t> </w:t>
            </w:r>
            <w:r>
              <w:rPr>
                <w:sz w:val="20"/>
              </w:rPr>
              <w:t>лазерной реконструкцией, передней камеры</w:t>
            </w:r>
          </w:p>
        </w:tc>
      </w:tr>
      <w:tr>
        <w:trPr>
          <w:trHeight w:val="36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before="60"/>
              <w:ind w:left="805"/>
              <w:rPr>
                <w:sz w:val="20"/>
              </w:rPr>
            </w:pPr>
            <w:r>
              <w:rPr>
                <w:spacing w:val="-2"/>
                <w:sz w:val="20"/>
              </w:rPr>
              <w:t>кератопротезирование</w:t>
            </w:r>
          </w:p>
        </w:tc>
      </w:tr>
      <w:tr>
        <w:trPr>
          <w:trHeight w:val="84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пластика полости, века, свода (ов) с пересадкой</w:t>
            </w:r>
            <w:r>
              <w:rPr>
                <w:spacing w:val="-11"/>
                <w:sz w:val="20"/>
              </w:rPr>
              <w:t> </w:t>
            </w:r>
            <w:r>
              <w:rPr>
                <w:sz w:val="20"/>
              </w:rPr>
              <w:t>свободных</w:t>
            </w:r>
            <w:r>
              <w:rPr>
                <w:spacing w:val="-11"/>
                <w:sz w:val="20"/>
              </w:rPr>
              <w:t> </w:t>
            </w:r>
            <w:r>
              <w:rPr>
                <w:sz w:val="20"/>
              </w:rPr>
              <w:t>лоскутов,</w:t>
            </w:r>
            <w:r>
              <w:rPr>
                <w:spacing w:val="-10"/>
                <w:sz w:val="20"/>
              </w:rPr>
              <w:t> </w:t>
            </w:r>
            <w:r>
              <w:rPr>
                <w:sz w:val="20"/>
              </w:rPr>
              <w:t>в</w:t>
            </w:r>
            <w:r>
              <w:rPr>
                <w:spacing w:val="-11"/>
                <w:sz w:val="20"/>
              </w:rPr>
              <w:t> </w:t>
            </w:r>
            <w:r>
              <w:rPr>
                <w:sz w:val="20"/>
              </w:rPr>
              <w:t>том числе с пересадкой ресниц</w:t>
            </w:r>
          </w:p>
        </w:tc>
      </w:tr>
      <w:tr>
        <w:trPr>
          <w:trHeight w:val="84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пластика культи с орбитальным имплантатом</w:t>
            </w:r>
            <w:r>
              <w:rPr>
                <w:spacing w:val="-10"/>
                <w:sz w:val="20"/>
              </w:rPr>
              <w:t> </w:t>
            </w:r>
            <w:r>
              <w:rPr>
                <w:sz w:val="20"/>
              </w:rPr>
              <w:t>и</w:t>
            </w:r>
            <w:r>
              <w:rPr>
                <w:spacing w:val="-11"/>
                <w:sz w:val="20"/>
              </w:rPr>
              <w:t> </w:t>
            </w:r>
            <w:r>
              <w:rPr>
                <w:sz w:val="20"/>
              </w:rPr>
              <w:t>реконструкцией,</w:t>
            </w:r>
            <w:r>
              <w:rPr>
                <w:spacing w:val="-11"/>
                <w:sz w:val="20"/>
              </w:rPr>
              <w:t> </w:t>
            </w:r>
            <w:r>
              <w:rPr>
                <w:sz w:val="20"/>
              </w:rPr>
              <w:t>в</w:t>
            </w:r>
            <w:r>
              <w:rPr>
                <w:spacing w:val="-12"/>
                <w:sz w:val="20"/>
              </w:rPr>
              <w:t> </w:t>
            </w:r>
            <w:r>
              <w:rPr>
                <w:sz w:val="20"/>
              </w:rPr>
              <w:t>том числе с кровавой тарзорафией</w:t>
            </w:r>
          </w:p>
        </w:tc>
      </w:tr>
      <w:tr>
        <w:trPr>
          <w:trHeight w:val="770" w:hRule="atLeast"/>
        </w:trPr>
        <w:tc>
          <w:tcPr>
            <w:tcW w:w="2478" w:type="dxa"/>
          </w:tcPr>
          <w:p>
            <w:pPr>
              <w:pStyle w:val="TableParagraph"/>
              <w:rPr>
                <w:sz w:val="18"/>
              </w:rPr>
            </w:pPr>
          </w:p>
        </w:tc>
        <w:tc>
          <w:tcPr>
            <w:tcW w:w="2326" w:type="dxa"/>
          </w:tcPr>
          <w:p>
            <w:pPr>
              <w:pStyle w:val="TableParagraph"/>
              <w:rPr>
                <w:sz w:val="18"/>
              </w:rPr>
            </w:pPr>
          </w:p>
        </w:tc>
        <w:tc>
          <w:tcPr>
            <w:tcW w:w="4083" w:type="dxa"/>
          </w:tcPr>
          <w:p>
            <w:pPr>
              <w:pStyle w:val="TableParagraph"/>
              <w:rPr>
                <w:sz w:val="18"/>
              </w:rPr>
            </w:pPr>
          </w:p>
        </w:tc>
        <w:tc>
          <w:tcPr>
            <w:tcW w:w="4413" w:type="dxa"/>
          </w:tcPr>
          <w:p>
            <w:pPr>
              <w:pStyle w:val="TableParagraph"/>
              <w:spacing w:line="240" w:lineRule="atLeast" w:before="30"/>
              <w:ind w:left="805" w:right="16"/>
              <w:rPr>
                <w:sz w:val="20"/>
              </w:rPr>
            </w:pPr>
            <w:r>
              <w:rPr>
                <w:sz w:val="20"/>
              </w:rPr>
              <w:t>трансвитеральное удаление внутриглазного инородного тела с эндолазерной</w:t>
            </w:r>
            <w:r>
              <w:rPr>
                <w:spacing w:val="-13"/>
                <w:sz w:val="20"/>
              </w:rPr>
              <w:t> </w:t>
            </w:r>
            <w:r>
              <w:rPr>
                <w:sz w:val="20"/>
              </w:rPr>
              <w:t>коагуляцией</w:t>
            </w:r>
            <w:r>
              <w:rPr>
                <w:spacing w:val="-12"/>
                <w:sz w:val="20"/>
              </w:rPr>
              <w:t> </w:t>
            </w:r>
            <w:r>
              <w:rPr>
                <w:sz w:val="20"/>
              </w:rPr>
              <w:t>сетчатки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1"/>
      </w:tblGrid>
      <w:tr>
        <w:trPr>
          <w:trHeight w:val="770" w:hRule="atLeast"/>
        </w:trPr>
        <w:tc>
          <w:tcPr>
            <w:tcW w:w="3641" w:type="dxa"/>
          </w:tcPr>
          <w:p>
            <w:pPr>
              <w:pStyle w:val="TableParagraph"/>
              <w:spacing w:line="249" w:lineRule="auto"/>
              <w:ind w:left="50" w:right="49"/>
              <w:rPr>
                <w:sz w:val="20"/>
              </w:rPr>
            </w:pPr>
            <w:r>
              <w:rPr>
                <w:sz w:val="20"/>
              </w:rPr>
              <w:t>реконструктивно-пластические</w:t>
            </w:r>
            <w:r>
              <w:rPr>
                <w:spacing w:val="-13"/>
                <w:sz w:val="20"/>
              </w:rPr>
              <w:t> </w:t>
            </w:r>
            <w:r>
              <w:rPr>
                <w:sz w:val="20"/>
              </w:rPr>
              <w:t>операции на веках, в том числе с кровавой </w:t>
            </w:r>
            <w:r>
              <w:rPr>
                <w:spacing w:val="-2"/>
                <w:sz w:val="20"/>
              </w:rPr>
              <w:t>тарзорафией</w:t>
            </w:r>
          </w:p>
        </w:tc>
      </w:tr>
      <w:tr>
        <w:trPr>
          <w:trHeight w:val="360" w:hRule="atLeast"/>
        </w:trPr>
        <w:tc>
          <w:tcPr>
            <w:tcW w:w="3641" w:type="dxa"/>
          </w:tcPr>
          <w:p>
            <w:pPr>
              <w:pStyle w:val="TableParagraph"/>
              <w:spacing w:before="60"/>
              <w:ind w:left="50"/>
              <w:rPr>
                <w:sz w:val="20"/>
              </w:rPr>
            </w:pPr>
            <w:r>
              <w:rPr>
                <w:w w:val="95"/>
                <w:sz w:val="20"/>
              </w:rPr>
              <w:t>реконструкция</w:t>
            </w:r>
            <w:r>
              <w:rPr>
                <w:spacing w:val="50"/>
                <w:sz w:val="20"/>
              </w:rPr>
              <w:t> </w:t>
            </w:r>
            <w:r>
              <w:rPr>
                <w:w w:val="95"/>
                <w:sz w:val="20"/>
              </w:rPr>
              <w:t>слезоотводящих</w:t>
            </w:r>
            <w:r>
              <w:rPr>
                <w:spacing w:val="55"/>
                <w:sz w:val="20"/>
              </w:rPr>
              <w:t> </w:t>
            </w:r>
            <w:r>
              <w:rPr>
                <w:spacing w:val="-4"/>
                <w:w w:val="95"/>
                <w:sz w:val="20"/>
              </w:rPr>
              <w:t>путей</w:t>
            </w:r>
          </w:p>
        </w:tc>
      </w:tr>
      <w:tr>
        <w:trPr>
          <w:trHeight w:val="600" w:hRule="atLeast"/>
        </w:trPr>
        <w:tc>
          <w:tcPr>
            <w:tcW w:w="3641" w:type="dxa"/>
          </w:tcPr>
          <w:p>
            <w:pPr>
              <w:pStyle w:val="TableParagraph"/>
              <w:spacing w:line="249" w:lineRule="auto" w:before="60"/>
              <w:ind w:left="50" w:right="871"/>
              <w:rPr>
                <w:sz w:val="20"/>
              </w:rPr>
            </w:pPr>
            <w:r>
              <w:rPr>
                <w:sz w:val="20"/>
              </w:rPr>
              <w:t>трансплантация</w:t>
            </w:r>
            <w:r>
              <w:rPr>
                <w:spacing w:val="-13"/>
                <w:sz w:val="20"/>
              </w:rPr>
              <w:t> </w:t>
            </w:r>
            <w:r>
              <w:rPr>
                <w:sz w:val="20"/>
              </w:rPr>
              <w:t>амниотической </w:t>
            </w:r>
            <w:r>
              <w:rPr>
                <w:spacing w:val="-2"/>
                <w:sz w:val="20"/>
              </w:rPr>
              <w:t>мембраны</w:t>
            </w:r>
          </w:p>
        </w:tc>
      </w:tr>
      <w:tr>
        <w:trPr>
          <w:trHeight w:val="360" w:hRule="atLeast"/>
        </w:trPr>
        <w:tc>
          <w:tcPr>
            <w:tcW w:w="3641" w:type="dxa"/>
          </w:tcPr>
          <w:p>
            <w:pPr>
              <w:pStyle w:val="TableParagraph"/>
              <w:spacing w:before="60"/>
              <w:ind w:left="50"/>
              <w:rPr>
                <w:sz w:val="20"/>
              </w:rPr>
            </w:pPr>
            <w:r>
              <w:rPr>
                <w:sz w:val="20"/>
              </w:rPr>
              <w:t>контурная</w:t>
            </w:r>
            <w:r>
              <w:rPr>
                <w:spacing w:val="-9"/>
                <w:sz w:val="20"/>
              </w:rPr>
              <w:t> </w:t>
            </w:r>
            <w:r>
              <w:rPr>
                <w:sz w:val="20"/>
              </w:rPr>
              <w:t>пластика</w:t>
            </w:r>
            <w:r>
              <w:rPr>
                <w:spacing w:val="-11"/>
                <w:sz w:val="20"/>
              </w:rPr>
              <w:t> </w:t>
            </w:r>
            <w:r>
              <w:rPr>
                <w:spacing w:val="-2"/>
                <w:sz w:val="20"/>
              </w:rPr>
              <w:t>орбиты</w:t>
            </w:r>
          </w:p>
        </w:tc>
      </w:tr>
      <w:tr>
        <w:trPr>
          <w:trHeight w:val="840" w:hRule="atLeast"/>
        </w:trPr>
        <w:tc>
          <w:tcPr>
            <w:tcW w:w="3641" w:type="dxa"/>
          </w:tcPr>
          <w:p>
            <w:pPr>
              <w:pStyle w:val="TableParagraph"/>
              <w:spacing w:line="249" w:lineRule="auto" w:before="60"/>
              <w:ind w:left="50" w:right="49"/>
              <w:rPr>
                <w:sz w:val="20"/>
              </w:rPr>
            </w:pPr>
            <w:r>
              <w:rPr>
                <w:sz w:val="20"/>
              </w:rPr>
              <w:t>энуклеация</w:t>
            </w:r>
            <w:r>
              <w:rPr>
                <w:spacing w:val="-13"/>
                <w:sz w:val="20"/>
              </w:rPr>
              <w:t> </w:t>
            </w:r>
            <w:r>
              <w:rPr>
                <w:sz w:val="20"/>
              </w:rPr>
              <w:t>(эвисцерация)</w:t>
            </w:r>
            <w:r>
              <w:rPr>
                <w:spacing w:val="-12"/>
                <w:sz w:val="20"/>
              </w:rPr>
              <w:t> </w:t>
            </w:r>
            <w:r>
              <w:rPr>
                <w:sz w:val="20"/>
              </w:rPr>
              <w:t>глаза</w:t>
            </w:r>
            <w:r>
              <w:rPr>
                <w:spacing w:val="-13"/>
                <w:sz w:val="20"/>
              </w:rPr>
              <w:t> </w:t>
            </w:r>
            <w:r>
              <w:rPr>
                <w:sz w:val="20"/>
              </w:rPr>
              <w:t>с пластикой культи орбитальным </w:t>
            </w:r>
            <w:r>
              <w:rPr>
                <w:spacing w:val="-2"/>
                <w:sz w:val="20"/>
              </w:rPr>
              <w:t>имплантатом</w:t>
            </w:r>
          </w:p>
        </w:tc>
      </w:tr>
      <w:tr>
        <w:trPr>
          <w:trHeight w:val="600" w:hRule="atLeast"/>
        </w:trPr>
        <w:tc>
          <w:tcPr>
            <w:tcW w:w="3641" w:type="dxa"/>
          </w:tcPr>
          <w:p>
            <w:pPr>
              <w:pStyle w:val="TableParagraph"/>
              <w:spacing w:line="249" w:lineRule="auto" w:before="60"/>
              <w:ind w:left="50" w:right="49"/>
              <w:rPr>
                <w:sz w:val="20"/>
              </w:rPr>
            </w:pPr>
            <w:r>
              <w:rPr>
                <w:sz w:val="20"/>
              </w:rPr>
              <w:t>устранение</w:t>
            </w:r>
            <w:r>
              <w:rPr>
                <w:spacing w:val="-13"/>
                <w:sz w:val="20"/>
              </w:rPr>
              <w:t> </w:t>
            </w:r>
            <w:r>
              <w:rPr>
                <w:sz w:val="20"/>
              </w:rPr>
              <w:t>посттравматического</w:t>
            </w:r>
            <w:r>
              <w:rPr>
                <w:spacing w:val="-12"/>
                <w:sz w:val="20"/>
              </w:rPr>
              <w:t> </w:t>
            </w:r>
            <w:r>
              <w:rPr>
                <w:sz w:val="20"/>
              </w:rPr>
              <w:t>птоза верхнего века</w:t>
            </w:r>
          </w:p>
        </w:tc>
      </w:tr>
      <w:tr>
        <w:trPr>
          <w:trHeight w:val="600" w:hRule="atLeast"/>
        </w:trPr>
        <w:tc>
          <w:tcPr>
            <w:tcW w:w="3641" w:type="dxa"/>
          </w:tcPr>
          <w:p>
            <w:pPr>
              <w:pStyle w:val="TableParagraph"/>
              <w:spacing w:line="249" w:lineRule="auto" w:before="60"/>
              <w:ind w:left="50" w:right="49"/>
              <w:rPr>
                <w:sz w:val="20"/>
              </w:rPr>
            </w:pPr>
            <w:r>
              <w:rPr>
                <w:sz w:val="20"/>
              </w:rPr>
              <w:t>дилатация</w:t>
            </w:r>
            <w:r>
              <w:rPr>
                <w:spacing w:val="-13"/>
                <w:sz w:val="20"/>
              </w:rPr>
              <w:t> </w:t>
            </w:r>
            <w:r>
              <w:rPr>
                <w:sz w:val="20"/>
              </w:rPr>
              <w:t>слезных</w:t>
            </w:r>
            <w:r>
              <w:rPr>
                <w:spacing w:val="-12"/>
                <w:sz w:val="20"/>
              </w:rPr>
              <w:t> </w:t>
            </w:r>
            <w:r>
              <w:rPr>
                <w:sz w:val="20"/>
              </w:rPr>
              <w:t>протоков </w:t>
            </w:r>
            <w:r>
              <w:rPr>
                <w:spacing w:val="-2"/>
                <w:sz w:val="20"/>
              </w:rPr>
              <w:t>экспандерами</w:t>
            </w:r>
          </w:p>
        </w:tc>
      </w:tr>
      <w:tr>
        <w:trPr>
          <w:trHeight w:val="600" w:hRule="atLeast"/>
        </w:trPr>
        <w:tc>
          <w:tcPr>
            <w:tcW w:w="3641" w:type="dxa"/>
          </w:tcPr>
          <w:p>
            <w:pPr>
              <w:pStyle w:val="TableParagraph"/>
              <w:spacing w:line="249" w:lineRule="auto" w:before="60"/>
              <w:ind w:left="50" w:right="49"/>
              <w:rPr>
                <w:sz w:val="20"/>
              </w:rPr>
            </w:pPr>
            <w:r>
              <w:rPr>
                <w:spacing w:val="-2"/>
                <w:sz w:val="20"/>
              </w:rPr>
              <w:t>дакриоцисториностомия наружным доступом</w:t>
            </w:r>
          </w:p>
        </w:tc>
      </w:tr>
      <w:tr>
        <w:trPr>
          <w:trHeight w:val="1080" w:hRule="atLeast"/>
        </w:trPr>
        <w:tc>
          <w:tcPr>
            <w:tcW w:w="3641" w:type="dxa"/>
          </w:tcPr>
          <w:p>
            <w:pPr>
              <w:pStyle w:val="TableParagraph"/>
              <w:spacing w:line="249" w:lineRule="auto" w:before="60"/>
              <w:ind w:left="50" w:right="49"/>
              <w:rPr>
                <w:sz w:val="20"/>
              </w:rPr>
            </w:pPr>
            <w:r>
              <w:rPr>
                <w:sz w:val="20"/>
              </w:rPr>
              <w:t>вторичная имплантация интраокулярной линзы с реконструкцией передней камеры,</w:t>
            </w:r>
            <w:r>
              <w:rPr>
                <w:spacing w:val="-7"/>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w:t>
            </w:r>
            <w:r>
              <w:rPr>
                <w:spacing w:val="-8"/>
                <w:sz w:val="20"/>
              </w:rPr>
              <w:t> </w:t>
            </w:r>
            <w:r>
              <w:rPr>
                <w:sz w:val="20"/>
              </w:rPr>
              <w:t>дисцизией</w:t>
            </w:r>
            <w:r>
              <w:rPr>
                <w:spacing w:val="-7"/>
                <w:sz w:val="20"/>
              </w:rPr>
              <w:t> </w:t>
            </w:r>
            <w:r>
              <w:rPr>
                <w:sz w:val="20"/>
              </w:rPr>
              <w:t>лазером вторичной катаракты</w:t>
            </w:r>
          </w:p>
        </w:tc>
      </w:tr>
      <w:tr>
        <w:trPr>
          <w:trHeight w:val="1080" w:hRule="atLeast"/>
        </w:trPr>
        <w:tc>
          <w:tcPr>
            <w:tcW w:w="3641" w:type="dxa"/>
          </w:tcPr>
          <w:p>
            <w:pPr>
              <w:pStyle w:val="TableParagraph"/>
              <w:spacing w:line="249" w:lineRule="auto" w:before="60"/>
              <w:ind w:left="50" w:right="49"/>
              <w:rPr>
                <w:sz w:val="20"/>
              </w:rPr>
            </w:pPr>
            <w:r>
              <w:rPr>
                <w:sz w:val="20"/>
              </w:rPr>
              <w:t>реконструкция передней камеры с передней витрэктомией с удалением травматической</w:t>
            </w:r>
            <w:r>
              <w:rPr>
                <w:spacing w:val="-10"/>
                <w:sz w:val="20"/>
              </w:rPr>
              <w:t> </w:t>
            </w:r>
            <w:r>
              <w:rPr>
                <w:sz w:val="20"/>
              </w:rPr>
              <w:t>катаракты,</w:t>
            </w:r>
            <w:r>
              <w:rPr>
                <w:spacing w:val="-7"/>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имплантацией интраокулярной линзы</w:t>
            </w:r>
          </w:p>
        </w:tc>
      </w:tr>
      <w:tr>
        <w:trPr>
          <w:trHeight w:val="770" w:hRule="atLeast"/>
        </w:trPr>
        <w:tc>
          <w:tcPr>
            <w:tcW w:w="3641" w:type="dxa"/>
          </w:tcPr>
          <w:p>
            <w:pPr>
              <w:pStyle w:val="TableParagraph"/>
              <w:spacing w:line="240" w:lineRule="atLeast" w:before="30"/>
              <w:ind w:left="50" w:right="49"/>
              <w:rPr>
                <w:sz w:val="20"/>
              </w:rPr>
            </w:pPr>
            <w:r>
              <w:rPr>
                <w:sz w:val="20"/>
              </w:rPr>
              <w:t>удаление</w:t>
            </w:r>
            <w:r>
              <w:rPr>
                <w:spacing w:val="-13"/>
                <w:sz w:val="20"/>
              </w:rPr>
              <w:t> </w:t>
            </w:r>
            <w:r>
              <w:rPr>
                <w:sz w:val="20"/>
              </w:rPr>
              <w:t>подвывихнутого</w:t>
            </w:r>
            <w:r>
              <w:rPr>
                <w:spacing w:val="-12"/>
                <w:sz w:val="20"/>
              </w:rPr>
              <w:t> </w:t>
            </w:r>
            <w:r>
              <w:rPr>
                <w:sz w:val="20"/>
              </w:rPr>
              <w:t>хрусталика</w:t>
            </w:r>
            <w:r>
              <w:rPr>
                <w:spacing w:val="-13"/>
                <w:sz w:val="20"/>
              </w:rPr>
              <w:t> </w:t>
            </w:r>
            <w:r>
              <w:rPr>
                <w:sz w:val="20"/>
              </w:rPr>
              <w:t>с имплантацией различных моделей интраокулярной линзы</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9"/>
      </w:tblGrid>
      <w:tr>
        <w:trPr>
          <w:trHeight w:val="530" w:hRule="atLeast"/>
        </w:trPr>
        <w:tc>
          <w:tcPr>
            <w:tcW w:w="3639" w:type="dxa"/>
          </w:tcPr>
          <w:p>
            <w:pPr>
              <w:pStyle w:val="TableParagraph"/>
              <w:spacing w:line="249" w:lineRule="auto"/>
              <w:ind w:left="50" w:right="48"/>
              <w:rPr>
                <w:sz w:val="20"/>
              </w:rPr>
            </w:pPr>
            <w:r>
              <w:rPr>
                <w:sz w:val="20"/>
              </w:rPr>
              <w:t>сквозная</w:t>
            </w:r>
            <w:r>
              <w:rPr>
                <w:spacing w:val="-13"/>
                <w:sz w:val="20"/>
              </w:rPr>
              <w:t> </w:t>
            </w:r>
            <w:r>
              <w:rPr>
                <w:sz w:val="20"/>
              </w:rPr>
              <w:t>кератопластика</w:t>
            </w:r>
            <w:r>
              <w:rPr>
                <w:spacing w:val="-12"/>
                <w:sz w:val="20"/>
              </w:rPr>
              <w:t> </w:t>
            </w:r>
            <w:r>
              <w:rPr>
                <w:sz w:val="20"/>
              </w:rPr>
              <w:t>с</w:t>
            </w:r>
            <w:r>
              <w:rPr>
                <w:spacing w:val="-13"/>
                <w:sz w:val="20"/>
              </w:rPr>
              <w:t> </w:t>
            </w:r>
            <w:r>
              <w:rPr>
                <w:sz w:val="20"/>
              </w:rPr>
              <w:t>имплантацией иридохрусталиковой диафрагмы</w:t>
            </w:r>
          </w:p>
        </w:tc>
      </w:tr>
      <w:tr>
        <w:trPr>
          <w:trHeight w:val="840" w:hRule="atLeast"/>
        </w:trPr>
        <w:tc>
          <w:tcPr>
            <w:tcW w:w="3639" w:type="dxa"/>
          </w:tcPr>
          <w:p>
            <w:pPr>
              <w:pStyle w:val="TableParagraph"/>
              <w:spacing w:line="249" w:lineRule="auto" w:before="60"/>
              <w:ind w:left="50" w:right="48"/>
              <w:rPr>
                <w:sz w:val="20"/>
              </w:rPr>
            </w:pPr>
            <w:r>
              <w:rPr>
                <w:sz w:val="20"/>
              </w:rPr>
              <w:t>герметизация</w:t>
            </w:r>
            <w:r>
              <w:rPr>
                <w:spacing w:val="-11"/>
                <w:sz w:val="20"/>
              </w:rPr>
              <w:t> </w:t>
            </w:r>
            <w:r>
              <w:rPr>
                <w:sz w:val="20"/>
              </w:rPr>
              <w:t>раны</w:t>
            </w:r>
            <w:r>
              <w:rPr>
                <w:spacing w:val="-10"/>
                <w:sz w:val="20"/>
              </w:rPr>
              <w:t> </w:t>
            </w:r>
            <w:r>
              <w:rPr>
                <w:sz w:val="20"/>
              </w:rPr>
              <w:t>роговицы</w:t>
            </w:r>
            <w:r>
              <w:rPr>
                <w:spacing w:val="-10"/>
                <w:sz w:val="20"/>
              </w:rPr>
              <w:t> </w:t>
            </w:r>
            <w:r>
              <w:rPr>
                <w:sz w:val="20"/>
              </w:rPr>
              <w:t>(склеры)</w:t>
            </w:r>
            <w:r>
              <w:rPr>
                <w:spacing w:val="-10"/>
                <w:sz w:val="20"/>
              </w:rPr>
              <w:t> </w:t>
            </w:r>
            <w:r>
              <w:rPr>
                <w:sz w:val="20"/>
              </w:rPr>
              <w:t>с реконструкцией передней камеры с иридопластикой, склеропластикой</w:t>
            </w:r>
          </w:p>
        </w:tc>
      </w:tr>
      <w:tr>
        <w:trPr>
          <w:trHeight w:val="1320" w:hRule="atLeast"/>
        </w:trPr>
        <w:tc>
          <w:tcPr>
            <w:tcW w:w="3639" w:type="dxa"/>
          </w:tcPr>
          <w:p>
            <w:pPr>
              <w:pStyle w:val="TableParagraph"/>
              <w:spacing w:line="249" w:lineRule="auto" w:before="60"/>
              <w:ind w:left="50" w:right="64"/>
              <w:rPr>
                <w:sz w:val="20"/>
              </w:rPr>
            </w:pPr>
            <w:r>
              <w:rPr>
                <w:sz w:val="20"/>
              </w:rPr>
              <w:t>герметизация</w:t>
            </w:r>
            <w:r>
              <w:rPr>
                <w:spacing w:val="-11"/>
                <w:sz w:val="20"/>
              </w:rPr>
              <w:t> </w:t>
            </w:r>
            <w:r>
              <w:rPr>
                <w:sz w:val="20"/>
              </w:rPr>
              <w:t>раны</w:t>
            </w:r>
            <w:r>
              <w:rPr>
                <w:spacing w:val="-10"/>
                <w:sz w:val="20"/>
              </w:rPr>
              <w:t> </w:t>
            </w:r>
            <w:r>
              <w:rPr>
                <w:sz w:val="20"/>
              </w:rPr>
              <w:t>роговицы</w:t>
            </w:r>
            <w:r>
              <w:rPr>
                <w:spacing w:val="-10"/>
                <w:sz w:val="20"/>
              </w:rPr>
              <w:t> </w:t>
            </w:r>
            <w:r>
              <w:rPr>
                <w:sz w:val="20"/>
              </w:rPr>
              <w:t>(склеры)</w:t>
            </w:r>
            <w:r>
              <w:rPr>
                <w:spacing w:val="-10"/>
                <w:sz w:val="20"/>
              </w:rPr>
              <w:t> </w:t>
            </w:r>
            <w:r>
              <w:rPr>
                <w:sz w:val="20"/>
              </w:rPr>
              <w:t>с реконструкцией передней камеры с иридопластикой, с удалением инородного тела из переднего сегмента </w:t>
            </w:r>
            <w:r>
              <w:rPr>
                <w:spacing w:val="-2"/>
                <w:sz w:val="20"/>
              </w:rPr>
              <w:t>глаза</w:t>
            </w:r>
          </w:p>
        </w:tc>
      </w:tr>
      <w:tr>
        <w:trPr>
          <w:trHeight w:val="1080" w:hRule="atLeast"/>
        </w:trPr>
        <w:tc>
          <w:tcPr>
            <w:tcW w:w="3639" w:type="dxa"/>
          </w:tcPr>
          <w:p>
            <w:pPr>
              <w:pStyle w:val="TableParagraph"/>
              <w:spacing w:line="249" w:lineRule="auto" w:before="60"/>
              <w:ind w:left="50" w:right="48"/>
              <w:rPr>
                <w:sz w:val="20"/>
              </w:rPr>
            </w:pPr>
            <w:r>
              <w:rPr>
                <w:sz w:val="20"/>
              </w:rPr>
              <w:t>эндовитреальное вмешательство, в том числе с тампонадой витреальной полости,</w:t>
            </w:r>
            <w:r>
              <w:rPr>
                <w:spacing w:val="-10"/>
                <w:sz w:val="20"/>
              </w:rPr>
              <w:t> </w:t>
            </w:r>
            <w:r>
              <w:rPr>
                <w:sz w:val="20"/>
              </w:rPr>
              <w:t>с</w:t>
            </w:r>
            <w:r>
              <w:rPr>
                <w:spacing w:val="-8"/>
                <w:sz w:val="20"/>
              </w:rPr>
              <w:t> </w:t>
            </w:r>
            <w:r>
              <w:rPr>
                <w:sz w:val="20"/>
              </w:rPr>
              <w:t>удалением</w:t>
            </w:r>
            <w:r>
              <w:rPr>
                <w:spacing w:val="-9"/>
                <w:sz w:val="20"/>
              </w:rPr>
              <w:t> </w:t>
            </w:r>
            <w:r>
              <w:rPr>
                <w:sz w:val="20"/>
              </w:rPr>
              <w:t>инородного</w:t>
            </w:r>
            <w:r>
              <w:rPr>
                <w:spacing w:val="-9"/>
                <w:sz w:val="20"/>
              </w:rPr>
              <w:t> </w:t>
            </w:r>
            <w:r>
              <w:rPr>
                <w:sz w:val="20"/>
              </w:rPr>
              <w:t>тела</w:t>
            </w:r>
            <w:r>
              <w:rPr>
                <w:spacing w:val="-8"/>
                <w:sz w:val="20"/>
              </w:rPr>
              <w:t> </w:t>
            </w:r>
            <w:r>
              <w:rPr>
                <w:sz w:val="20"/>
              </w:rPr>
              <w:t>из заднего сегмента глаза</w:t>
            </w:r>
          </w:p>
        </w:tc>
      </w:tr>
      <w:tr>
        <w:trPr>
          <w:trHeight w:val="600" w:hRule="atLeast"/>
        </w:trPr>
        <w:tc>
          <w:tcPr>
            <w:tcW w:w="3639" w:type="dxa"/>
          </w:tcPr>
          <w:p>
            <w:pPr>
              <w:pStyle w:val="TableParagraph"/>
              <w:spacing w:line="249" w:lineRule="auto" w:before="60"/>
              <w:ind w:left="50" w:right="64"/>
              <w:rPr>
                <w:sz w:val="20"/>
              </w:rPr>
            </w:pPr>
            <w:r>
              <w:rPr>
                <w:sz w:val="20"/>
              </w:rPr>
              <w:t>пластика</w:t>
            </w:r>
            <w:r>
              <w:rPr>
                <w:spacing w:val="-9"/>
                <w:sz w:val="20"/>
              </w:rPr>
              <w:t> </w:t>
            </w:r>
            <w:r>
              <w:rPr>
                <w:sz w:val="20"/>
              </w:rPr>
              <w:t>орбиты,</w:t>
            </w:r>
            <w:r>
              <w:rPr>
                <w:spacing w:val="-8"/>
                <w:sz w:val="20"/>
              </w:rPr>
              <w:t> </w:t>
            </w:r>
            <w:r>
              <w:rPr>
                <w:sz w:val="20"/>
              </w:rPr>
              <w:t>в</w:t>
            </w:r>
            <w:r>
              <w:rPr>
                <w:spacing w:val="-7"/>
                <w:sz w:val="20"/>
              </w:rPr>
              <w:t> </w:t>
            </w:r>
            <w:r>
              <w:rPr>
                <w:sz w:val="20"/>
              </w:rPr>
              <w:t>том</w:t>
            </w:r>
            <w:r>
              <w:rPr>
                <w:spacing w:val="-8"/>
                <w:sz w:val="20"/>
              </w:rPr>
              <w:t> </w:t>
            </w:r>
            <w:r>
              <w:rPr>
                <w:sz w:val="20"/>
              </w:rPr>
              <w:t>числе</w:t>
            </w:r>
            <w:r>
              <w:rPr>
                <w:spacing w:val="-9"/>
                <w:sz w:val="20"/>
              </w:rPr>
              <w:t> </w:t>
            </w:r>
            <w:r>
              <w:rPr>
                <w:sz w:val="20"/>
              </w:rPr>
              <w:t>с удалением инородного тела</w:t>
            </w:r>
          </w:p>
        </w:tc>
      </w:tr>
      <w:tr>
        <w:trPr>
          <w:trHeight w:val="840" w:hRule="atLeast"/>
        </w:trPr>
        <w:tc>
          <w:tcPr>
            <w:tcW w:w="3639" w:type="dxa"/>
          </w:tcPr>
          <w:p>
            <w:pPr>
              <w:pStyle w:val="TableParagraph"/>
              <w:spacing w:line="249" w:lineRule="auto" w:before="60"/>
              <w:ind w:left="50" w:right="48"/>
              <w:rPr>
                <w:sz w:val="20"/>
              </w:rPr>
            </w:pPr>
            <w:r>
              <w:rPr>
                <w:sz w:val="20"/>
              </w:rPr>
              <w:t>шейверная (лазерная) реконструктивная операция</w:t>
            </w:r>
            <w:r>
              <w:rPr>
                <w:spacing w:val="-13"/>
                <w:sz w:val="20"/>
              </w:rPr>
              <w:t> </w:t>
            </w:r>
            <w:r>
              <w:rPr>
                <w:sz w:val="20"/>
              </w:rPr>
              <w:t>при</w:t>
            </w:r>
            <w:r>
              <w:rPr>
                <w:spacing w:val="-12"/>
                <w:sz w:val="20"/>
              </w:rPr>
              <w:t> </w:t>
            </w:r>
            <w:r>
              <w:rPr>
                <w:sz w:val="20"/>
              </w:rPr>
              <w:t>патологии</w:t>
            </w:r>
            <w:r>
              <w:rPr>
                <w:spacing w:val="-13"/>
                <w:sz w:val="20"/>
              </w:rPr>
              <w:t> </w:t>
            </w:r>
            <w:r>
              <w:rPr>
                <w:sz w:val="20"/>
              </w:rPr>
              <w:t>слезоотводящих </w:t>
            </w:r>
            <w:r>
              <w:rPr>
                <w:spacing w:val="-2"/>
                <w:sz w:val="20"/>
              </w:rPr>
              <w:t>путей</w:t>
            </w:r>
          </w:p>
        </w:tc>
      </w:tr>
      <w:tr>
        <w:trPr>
          <w:trHeight w:val="360" w:hRule="atLeast"/>
        </w:trPr>
        <w:tc>
          <w:tcPr>
            <w:tcW w:w="3639" w:type="dxa"/>
          </w:tcPr>
          <w:p>
            <w:pPr>
              <w:pStyle w:val="TableParagraph"/>
              <w:spacing w:before="60"/>
              <w:ind w:left="50"/>
              <w:rPr>
                <w:sz w:val="20"/>
              </w:rPr>
            </w:pPr>
            <w:r>
              <w:rPr>
                <w:w w:val="95"/>
                <w:sz w:val="20"/>
              </w:rPr>
              <w:t>реконструктивная</w:t>
            </w:r>
            <w:r>
              <w:rPr>
                <w:spacing w:val="57"/>
                <w:sz w:val="20"/>
              </w:rPr>
              <w:t> </w:t>
            </w:r>
            <w:r>
              <w:rPr>
                <w:spacing w:val="-2"/>
                <w:sz w:val="20"/>
              </w:rPr>
              <w:t>блефаропластика</w:t>
            </w:r>
          </w:p>
        </w:tc>
      </w:tr>
      <w:tr>
        <w:trPr>
          <w:trHeight w:val="840" w:hRule="atLeast"/>
        </w:trPr>
        <w:tc>
          <w:tcPr>
            <w:tcW w:w="3639" w:type="dxa"/>
          </w:tcPr>
          <w:p>
            <w:pPr>
              <w:pStyle w:val="TableParagraph"/>
              <w:spacing w:line="252" w:lineRule="auto" w:before="60"/>
              <w:ind w:left="50" w:right="48"/>
              <w:rPr>
                <w:sz w:val="20"/>
              </w:rPr>
            </w:pPr>
            <w:r>
              <w:rPr>
                <w:sz w:val="20"/>
              </w:rPr>
              <w:t>рассечение</w:t>
            </w:r>
            <w:r>
              <w:rPr>
                <w:spacing w:val="-13"/>
                <w:sz w:val="20"/>
              </w:rPr>
              <w:t> </w:t>
            </w:r>
            <w:r>
              <w:rPr>
                <w:sz w:val="20"/>
              </w:rPr>
              <w:t>симблефарона</w:t>
            </w:r>
            <w:r>
              <w:rPr>
                <w:spacing w:val="-12"/>
                <w:sz w:val="20"/>
              </w:rPr>
              <w:t> </w:t>
            </w:r>
            <w:r>
              <w:rPr>
                <w:sz w:val="20"/>
              </w:rPr>
              <w:t>с</w:t>
            </w:r>
            <w:r>
              <w:rPr>
                <w:spacing w:val="-13"/>
                <w:sz w:val="20"/>
              </w:rPr>
              <w:t> </w:t>
            </w:r>
            <w:r>
              <w:rPr>
                <w:sz w:val="20"/>
              </w:rPr>
              <w:t>пластикой конъюнктивальной полости</w:t>
            </w:r>
          </w:p>
          <w:p>
            <w:pPr>
              <w:pStyle w:val="TableParagraph"/>
              <w:spacing w:line="228" w:lineRule="exact"/>
              <w:ind w:left="50"/>
              <w:rPr>
                <w:sz w:val="20"/>
              </w:rPr>
            </w:pPr>
            <w:r>
              <w:rPr>
                <w:sz w:val="20"/>
              </w:rPr>
              <w:t>(с</w:t>
            </w:r>
            <w:r>
              <w:rPr>
                <w:spacing w:val="-7"/>
                <w:sz w:val="20"/>
              </w:rPr>
              <w:t> </w:t>
            </w:r>
            <w:r>
              <w:rPr>
                <w:sz w:val="20"/>
              </w:rPr>
              <w:t>пересадкой</w:t>
            </w:r>
            <w:r>
              <w:rPr>
                <w:spacing w:val="-7"/>
                <w:sz w:val="20"/>
              </w:rPr>
              <w:t> </w:t>
            </w:r>
            <w:r>
              <w:rPr>
                <w:spacing w:val="-2"/>
                <w:sz w:val="20"/>
              </w:rPr>
              <w:t>тканей)</w:t>
            </w:r>
          </w:p>
        </w:tc>
      </w:tr>
      <w:tr>
        <w:trPr>
          <w:trHeight w:val="599" w:hRule="atLeast"/>
        </w:trPr>
        <w:tc>
          <w:tcPr>
            <w:tcW w:w="3639" w:type="dxa"/>
          </w:tcPr>
          <w:p>
            <w:pPr>
              <w:pStyle w:val="TableParagraph"/>
              <w:spacing w:line="249" w:lineRule="auto" w:before="60"/>
              <w:ind w:left="50" w:right="48"/>
              <w:rPr>
                <w:sz w:val="20"/>
              </w:rPr>
            </w:pPr>
            <w:r>
              <w:rPr>
                <w:sz w:val="20"/>
              </w:rPr>
              <w:t>эндовитреальное вмешательство с репозицией</w:t>
            </w:r>
            <w:r>
              <w:rPr>
                <w:spacing w:val="-13"/>
                <w:sz w:val="20"/>
              </w:rPr>
              <w:t> </w:t>
            </w:r>
            <w:r>
              <w:rPr>
                <w:sz w:val="20"/>
              </w:rPr>
              <w:t>интраокулярной</w:t>
            </w:r>
            <w:r>
              <w:rPr>
                <w:spacing w:val="-12"/>
                <w:sz w:val="20"/>
              </w:rPr>
              <w:t> </w:t>
            </w:r>
            <w:r>
              <w:rPr>
                <w:sz w:val="20"/>
              </w:rPr>
              <w:t>линзы</w:t>
            </w:r>
          </w:p>
        </w:tc>
      </w:tr>
      <w:tr>
        <w:trPr>
          <w:trHeight w:val="770" w:hRule="atLeast"/>
        </w:trPr>
        <w:tc>
          <w:tcPr>
            <w:tcW w:w="3639" w:type="dxa"/>
          </w:tcPr>
          <w:p>
            <w:pPr>
              <w:pStyle w:val="TableParagraph"/>
              <w:spacing w:line="240" w:lineRule="atLeast" w:before="30"/>
              <w:ind w:left="50" w:right="48"/>
              <w:rPr>
                <w:sz w:val="20"/>
              </w:rPr>
            </w:pPr>
            <w:r>
              <w:rPr>
                <w:sz w:val="20"/>
              </w:rPr>
              <w:t>укрепление</w:t>
            </w:r>
            <w:r>
              <w:rPr>
                <w:spacing w:val="-13"/>
                <w:sz w:val="20"/>
              </w:rPr>
              <w:t> </w:t>
            </w:r>
            <w:r>
              <w:rPr>
                <w:sz w:val="20"/>
              </w:rPr>
              <w:t>бельма,</w:t>
            </w:r>
            <w:r>
              <w:rPr>
                <w:spacing w:val="-12"/>
                <w:sz w:val="20"/>
              </w:rPr>
              <w:t> </w:t>
            </w:r>
            <w:r>
              <w:rPr>
                <w:sz w:val="20"/>
              </w:rPr>
              <w:t>удаление ретропротезной пленки при </w:t>
            </w:r>
            <w:r>
              <w:rPr>
                <w:spacing w:val="-2"/>
                <w:sz w:val="20"/>
              </w:rPr>
              <w:t>кератопротезировании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7"/>
        <w:gridCol w:w="2091"/>
        <w:gridCol w:w="3356"/>
        <w:gridCol w:w="1453"/>
        <w:gridCol w:w="3642"/>
      </w:tblGrid>
      <w:tr>
        <w:trPr>
          <w:trHeight w:val="1490" w:hRule="atLeast"/>
        </w:trPr>
        <w:tc>
          <w:tcPr>
            <w:tcW w:w="2707" w:type="dxa"/>
          </w:tcPr>
          <w:p>
            <w:pPr>
              <w:pStyle w:val="TableParagraph"/>
              <w:spacing w:line="249" w:lineRule="auto"/>
              <w:ind w:left="50" w:right="173"/>
              <w:rPr>
                <w:sz w:val="20"/>
              </w:rPr>
            </w:pPr>
            <w:r>
              <w:rPr>
                <w:sz w:val="20"/>
              </w:rPr>
              <w:t>Комплексное лечение болезней</w:t>
            </w:r>
            <w:r>
              <w:rPr>
                <w:spacing w:val="-13"/>
                <w:sz w:val="20"/>
              </w:rPr>
              <w:t> </w:t>
            </w:r>
            <w:r>
              <w:rPr>
                <w:sz w:val="20"/>
              </w:rPr>
              <w:t>роговицы,</w:t>
            </w:r>
            <w:r>
              <w:rPr>
                <w:spacing w:val="-12"/>
                <w:sz w:val="20"/>
              </w:rPr>
              <w:t> </w:t>
            </w:r>
            <w:r>
              <w:rPr>
                <w:sz w:val="20"/>
              </w:rPr>
              <w:t>включая оптико-реконструктивную и лазерную хирургию, интенсивное</w:t>
            </w:r>
            <w:r>
              <w:rPr>
                <w:spacing w:val="-13"/>
                <w:sz w:val="20"/>
              </w:rPr>
              <w:t> </w:t>
            </w:r>
            <w:r>
              <w:rPr>
                <w:sz w:val="20"/>
              </w:rPr>
              <w:t>консервативное лечение язвы роговицы</w:t>
            </w:r>
          </w:p>
        </w:tc>
        <w:tc>
          <w:tcPr>
            <w:tcW w:w="2091" w:type="dxa"/>
          </w:tcPr>
          <w:p>
            <w:pPr>
              <w:pStyle w:val="TableParagraph"/>
              <w:spacing w:line="249" w:lineRule="auto"/>
              <w:ind w:left="499" w:hanging="324"/>
              <w:rPr>
                <w:sz w:val="20"/>
              </w:rPr>
            </w:pPr>
            <w:r>
              <w:rPr>
                <w:sz w:val="20"/>
              </w:rPr>
              <w:t>H16.0,</w:t>
            </w:r>
            <w:r>
              <w:rPr>
                <w:spacing w:val="-13"/>
                <w:sz w:val="20"/>
              </w:rPr>
              <w:t> </w:t>
            </w:r>
            <w:r>
              <w:rPr>
                <w:sz w:val="20"/>
              </w:rPr>
              <w:t>H17.0</w:t>
            </w:r>
            <w:r>
              <w:rPr>
                <w:spacing w:val="-10"/>
                <w:sz w:val="20"/>
              </w:rPr>
              <w:t> </w:t>
            </w:r>
            <w:r>
              <w:rPr>
                <w:sz w:val="20"/>
              </w:rPr>
              <w:t>-</w:t>
            </w:r>
            <w:r>
              <w:rPr>
                <w:spacing w:val="-13"/>
                <w:sz w:val="20"/>
              </w:rPr>
              <w:t> </w:t>
            </w:r>
            <w:r>
              <w:rPr>
                <w:sz w:val="20"/>
              </w:rPr>
              <w:t>H17.9, H18.0 - H18.9</w:t>
            </w:r>
          </w:p>
        </w:tc>
        <w:tc>
          <w:tcPr>
            <w:tcW w:w="3356" w:type="dxa"/>
            <w:vMerge w:val="restart"/>
          </w:tcPr>
          <w:p>
            <w:pPr>
              <w:pStyle w:val="TableParagraph"/>
              <w:spacing w:line="249" w:lineRule="auto"/>
              <w:ind w:left="112" w:right="63"/>
              <w:rPr>
                <w:sz w:val="20"/>
              </w:rPr>
            </w:pPr>
            <w:r>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w:t>
            </w:r>
            <w:r>
              <w:rPr>
                <w:spacing w:val="40"/>
                <w:sz w:val="20"/>
              </w:rPr>
              <w:t> </w:t>
            </w:r>
            <w:r>
              <w:rPr>
                <w:sz w:val="20"/>
              </w:rPr>
              <w:t>дегенерация, наследственные дистрофии</w:t>
            </w:r>
            <w:r>
              <w:rPr>
                <w:spacing w:val="-13"/>
                <w:sz w:val="20"/>
              </w:rPr>
              <w:t> </w:t>
            </w:r>
            <w:r>
              <w:rPr>
                <w:sz w:val="20"/>
              </w:rPr>
              <w:t>роговицы,</w:t>
            </w:r>
            <w:r>
              <w:rPr>
                <w:spacing w:val="-12"/>
                <w:sz w:val="20"/>
              </w:rPr>
              <w:t> </w:t>
            </w:r>
            <w:r>
              <w:rPr>
                <w:sz w:val="20"/>
              </w:rPr>
              <w:t>кератоконус)</w:t>
            </w:r>
            <w:r>
              <w:rPr>
                <w:spacing w:val="-10"/>
                <w:sz w:val="20"/>
              </w:rPr>
              <w:t> </w:t>
            </w:r>
            <w:r>
              <w:rPr>
                <w:sz w:val="20"/>
              </w:rPr>
              <w:t>у взрослых</w:t>
            </w:r>
            <w:r>
              <w:rPr>
                <w:spacing w:val="-9"/>
                <w:sz w:val="20"/>
              </w:rPr>
              <w:t> </w:t>
            </w:r>
            <w:r>
              <w:rPr>
                <w:sz w:val="20"/>
              </w:rPr>
              <w:t>и</w:t>
            </w:r>
            <w:r>
              <w:rPr>
                <w:spacing w:val="-7"/>
                <w:sz w:val="20"/>
              </w:rPr>
              <w:t> </w:t>
            </w:r>
            <w:r>
              <w:rPr>
                <w:sz w:val="20"/>
              </w:rPr>
              <w:t>детей</w:t>
            </w:r>
            <w:r>
              <w:rPr>
                <w:spacing w:val="-9"/>
                <w:sz w:val="20"/>
              </w:rPr>
              <w:t> </w:t>
            </w:r>
            <w:r>
              <w:rPr>
                <w:sz w:val="20"/>
              </w:rPr>
              <w:t>вне</w:t>
            </w:r>
            <w:r>
              <w:rPr>
                <w:spacing w:val="-8"/>
                <w:sz w:val="20"/>
              </w:rPr>
              <w:t> </w:t>
            </w:r>
            <w:r>
              <w:rPr>
                <w:sz w:val="20"/>
              </w:rPr>
              <w:t>зависимости</w:t>
            </w:r>
            <w:r>
              <w:rPr>
                <w:spacing w:val="-9"/>
                <w:sz w:val="20"/>
              </w:rPr>
              <w:t> </w:t>
            </w:r>
            <w:r>
              <w:rPr>
                <w:sz w:val="20"/>
              </w:rPr>
              <w:t>от </w:t>
            </w:r>
            <w:r>
              <w:rPr>
                <w:spacing w:val="-2"/>
                <w:sz w:val="20"/>
              </w:rPr>
              <w:t>осложнений</w:t>
            </w:r>
          </w:p>
        </w:tc>
        <w:tc>
          <w:tcPr>
            <w:tcW w:w="1453" w:type="dxa"/>
          </w:tcPr>
          <w:p>
            <w:pPr>
              <w:pStyle w:val="TableParagraph"/>
              <w:spacing w:line="249" w:lineRule="auto"/>
              <w:ind w:left="64"/>
              <w:rPr>
                <w:sz w:val="20"/>
              </w:rPr>
            </w:pPr>
            <w:r>
              <w:rPr>
                <w:spacing w:val="-2"/>
                <w:sz w:val="20"/>
              </w:rPr>
              <w:t>комбинирован- </w:t>
            </w:r>
            <w:r>
              <w:rPr>
                <w:sz w:val="20"/>
              </w:rPr>
              <w:t>ное лечение</w:t>
            </w:r>
          </w:p>
        </w:tc>
        <w:tc>
          <w:tcPr>
            <w:tcW w:w="3642" w:type="dxa"/>
          </w:tcPr>
          <w:p>
            <w:pPr>
              <w:pStyle w:val="TableParagraph"/>
              <w:spacing w:line="249" w:lineRule="auto"/>
              <w:ind w:left="85" w:right="217"/>
              <w:rPr>
                <w:sz w:val="20"/>
              </w:rPr>
            </w:pPr>
            <w:r>
              <w:rPr>
                <w:sz w:val="20"/>
              </w:rPr>
              <w:t>автоматизированная послойная кератопластика с использованием фемтосекундного</w:t>
            </w:r>
            <w:r>
              <w:rPr>
                <w:spacing w:val="-13"/>
                <w:sz w:val="20"/>
              </w:rPr>
              <w:t> </w:t>
            </w:r>
            <w:r>
              <w:rPr>
                <w:sz w:val="20"/>
              </w:rPr>
              <w:t>лазера</w:t>
            </w:r>
            <w:r>
              <w:rPr>
                <w:spacing w:val="-12"/>
                <w:sz w:val="20"/>
              </w:rPr>
              <w:t> </w:t>
            </w:r>
            <w:r>
              <w:rPr>
                <w:sz w:val="20"/>
              </w:rPr>
              <w:t>или</w:t>
            </w:r>
            <w:r>
              <w:rPr>
                <w:spacing w:val="-13"/>
                <w:sz w:val="20"/>
              </w:rPr>
              <w:t> </w:t>
            </w:r>
            <w:r>
              <w:rPr>
                <w:sz w:val="20"/>
              </w:rPr>
              <w:t>кератома, в том числе с реимплантацией эластичной интраокулярной линзы, при различных болезнях роговицы</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vMerge/>
            <w:tcBorders>
              <w:top w:val="nil"/>
            </w:tcBorders>
          </w:tcPr>
          <w:p>
            <w:pPr>
              <w:rPr>
                <w:sz w:val="2"/>
                <w:szCs w:val="2"/>
              </w:rPr>
            </w:pPr>
          </w:p>
        </w:tc>
        <w:tc>
          <w:tcPr>
            <w:tcW w:w="1453" w:type="dxa"/>
          </w:tcPr>
          <w:p>
            <w:pPr>
              <w:pStyle w:val="TableParagraph"/>
              <w:rPr>
                <w:sz w:val="18"/>
              </w:rPr>
            </w:pPr>
          </w:p>
        </w:tc>
        <w:tc>
          <w:tcPr>
            <w:tcW w:w="3642" w:type="dxa"/>
          </w:tcPr>
          <w:p>
            <w:pPr>
              <w:pStyle w:val="TableParagraph"/>
              <w:spacing w:line="249" w:lineRule="auto" w:before="60"/>
              <w:ind w:left="85" w:right="669"/>
              <w:rPr>
                <w:sz w:val="20"/>
              </w:rPr>
            </w:pPr>
            <w:r>
              <w:rPr>
                <w:sz w:val="20"/>
              </w:rPr>
              <w:t>неавтоматизированная</w:t>
            </w:r>
            <w:r>
              <w:rPr>
                <w:spacing w:val="-13"/>
                <w:sz w:val="20"/>
              </w:rPr>
              <w:t> </w:t>
            </w:r>
            <w:r>
              <w:rPr>
                <w:sz w:val="20"/>
              </w:rPr>
              <w:t>послойная </w:t>
            </w:r>
            <w:r>
              <w:rPr>
                <w:spacing w:val="-2"/>
                <w:sz w:val="20"/>
              </w:rPr>
              <w:t>кератопластика</w:t>
            </w:r>
          </w:p>
        </w:tc>
      </w:tr>
      <w:tr>
        <w:trPr>
          <w:trHeight w:val="840" w:hRule="atLeast"/>
        </w:trPr>
        <w:tc>
          <w:tcPr>
            <w:tcW w:w="2707" w:type="dxa"/>
          </w:tcPr>
          <w:p>
            <w:pPr>
              <w:pStyle w:val="TableParagraph"/>
              <w:rPr>
                <w:sz w:val="18"/>
              </w:rPr>
            </w:pPr>
          </w:p>
        </w:tc>
        <w:tc>
          <w:tcPr>
            <w:tcW w:w="2091" w:type="dxa"/>
          </w:tcPr>
          <w:p>
            <w:pPr>
              <w:pStyle w:val="TableParagraph"/>
              <w:rPr>
                <w:sz w:val="18"/>
              </w:rPr>
            </w:pPr>
          </w:p>
        </w:tc>
        <w:tc>
          <w:tcPr>
            <w:tcW w:w="3356" w:type="dxa"/>
            <w:vMerge/>
            <w:tcBorders>
              <w:top w:val="nil"/>
            </w:tcBorders>
          </w:tcPr>
          <w:p>
            <w:pPr>
              <w:rPr>
                <w:sz w:val="2"/>
                <w:szCs w:val="2"/>
              </w:rPr>
            </w:pPr>
          </w:p>
        </w:tc>
        <w:tc>
          <w:tcPr>
            <w:tcW w:w="1453" w:type="dxa"/>
          </w:tcPr>
          <w:p>
            <w:pPr>
              <w:pStyle w:val="TableParagraph"/>
              <w:rPr>
                <w:sz w:val="18"/>
              </w:rPr>
            </w:pPr>
          </w:p>
        </w:tc>
        <w:tc>
          <w:tcPr>
            <w:tcW w:w="3642" w:type="dxa"/>
          </w:tcPr>
          <w:p>
            <w:pPr>
              <w:pStyle w:val="TableParagraph"/>
              <w:spacing w:line="249" w:lineRule="auto" w:before="60"/>
              <w:ind w:left="85"/>
              <w:rPr>
                <w:sz w:val="20"/>
              </w:rPr>
            </w:pPr>
            <w:r>
              <w:rPr>
                <w:sz w:val="20"/>
              </w:rPr>
              <w:t>имплантация интрастромальных сегментов</w:t>
            </w:r>
            <w:r>
              <w:rPr>
                <w:spacing w:val="-13"/>
                <w:sz w:val="20"/>
              </w:rPr>
              <w:t> </w:t>
            </w:r>
            <w:r>
              <w:rPr>
                <w:sz w:val="20"/>
              </w:rPr>
              <w:t>с</w:t>
            </w:r>
            <w:r>
              <w:rPr>
                <w:spacing w:val="-12"/>
                <w:sz w:val="20"/>
              </w:rPr>
              <w:t> </w:t>
            </w:r>
            <w:r>
              <w:rPr>
                <w:sz w:val="20"/>
              </w:rPr>
              <w:t>помощью</w:t>
            </w:r>
            <w:r>
              <w:rPr>
                <w:spacing w:val="-13"/>
                <w:sz w:val="20"/>
              </w:rPr>
              <w:t> </w:t>
            </w:r>
            <w:r>
              <w:rPr>
                <w:sz w:val="20"/>
              </w:rPr>
              <w:t>фемтосекундного лазера при болезнях роговицы</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521"/>
              <w:rPr>
                <w:sz w:val="20"/>
              </w:rPr>
            </w:pPr>
            <w:r>
              <w:rPr>
                <w:sz w:val="20"/>
              </w:rPr>
              <w:t>эксимерлазерная коррекция посттравматического</w:t>
            </w:r>
            <w:r>
              <w:rPr>
                <w:spacing w:val="-13"/>
                <w:sz w:val="20"/>
              </w:rPr>
              <w:t> </w:t>
            </w:r>
            <w:r>
              <w:rPr>
                <w:sz w:val="20"/>
              </w:rPr>
              <w:t>астигматизма</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239"/>
              <w:rPr>
                <w:sz w:val="20"/>
              </w:rPr>
            </w:pPr>
            <w:r>
              <w:rPr>
                <w:sz w:val="20"/>
              </w:rPr>
              <w:t>эксимерлазерная</w:t>
            </w:r>
            <w:r>
              <w:rPr>
                <w:spacing w:val="-13"/>
                <w:sz w:val="20"/>
              </w:rPr>
              <w:t> </w:t>
            </w:r>
            <w:r>
              <w:rPr>
                <w:sz w:val="20"/>
              </w:rPr>
              <w:t>фототерапевтическая кератэктомия при язвах роговицы</w:t>
            </w:r>
          </w:p>
        </w:tc>
      </w:tr>
      <w:tr>
        <w:trPr>
          <w:trHeight w:val="84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239"/>
              <w:rPr>
                <w:sz w:val="20"/>
              </w:rPr>
            </w:pPr>
            <w:r>
              <w:rPr>
                <w:sz w:val="20"/>
              </w:rPr>
              <w:t>эксимерлазерная</w:t>
            </w:r>
            <w:r>
              <w:rPr>
                <w:spacing w:val="-13"/>
                <w:sz w:val="20"/>
              </w:rPr>
              <w:t> </w:t>
            </w:r>
            <w:r>
              <w:rPr>
                <w:sz w:val="20"/>
              </w:rPr>
              <w:t>фототерапевтическая кератэктомия рубцов и помутнений </w:t>
            </w:r>
            <w:r>
              <w:rPr>
                <w:spacing w:val="-2"/>
                <w:sz w:val="20"/>
              </w:rPr>
              <w:t>роговицы</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1209"/>
              <w:rPr>
                <w:sz w:val="20"/>
              </w:rPr>
            </w:pPr>
            <w:r>
              <w:rPr>
                <w:sz w:val="20"/>
              </w:rPr>
              <w:t>сквозная</w:t>
            </w:r>
            <w:r>
              <w:rPr>
                <w:spacing w:val="-13"/>
                <w:sz w:val="20"/>
              </w:rPr>
              <w:t> </w:t>
            </w:r>
            <w:r>
              <w:rPr>
                <w:sz w:val="20"/>
              </w:rPr>
              <w:t>реконструктивная </w:t>
            </w:r>
            <w:r>
              <w:rPr>
                <w:spacing w:val="-2"/>
                <w:sz w:val="20"/>
              </w:rPr>
              <w:t>кератопластика</w:t>
            </w:r>
          </w:p>
        </w:tc>
      </w:tr>
      <w:tr>
        <w:trPr>
          <w:trHeight w:val="36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before="60"/>
              <w:ind w:left="85"/>
              <w:rPr>
                <w:sz w:val="20"/>
              </w:rPr>
            </w:pPr>
            <w:r>
              <w:rPr>
                <w:sz w:val="20"/>
              </w:rPr>
              <w:t>сквозная</w:t>
            </w:r>
            <w:r>
              <w:rPr>
                <w:spacing w:val="-7"/>
                <w:sz w:val="20"/>
              </w:rPr>
              <w:t> </w:t>
            </w:r>
            <w:r>
              <w:rPr>
                <w:spacing w:val="-2"/>
                <w:sz w:val="20"/>
              </w:rPr>
              <w:t>кератопластика</w:t>
            </w:r>
          </w:p>
        </w:tc>
      </w:tr>
      <w:tr>
        <w:trPr>
          <w:trHeight w:val="36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before="60"/>
              <w:ind w:left="85"/>
              <w:rPr>
                <w:sz w:val="20"/>
              </w:rPr>
            </w:pPr>
            <w:r>
              <w:rPr>
                <w:sz w:val="20"/>
              </w:rPr>
              <w:t>трансплантация</w:t>
            </w:r>
            <w:r>
              <w:rPr>
                <w:spacing w:val="-12"/>
                <w:sz w:val="20"/>
              </w:rPr>
              <w:t> </w:t>
            </w:r>
            <w:r>
              <w:rPr>
                <w:sz w:val="20"/>
              </w:rPr>
              <w:t>десцеметовой</w:t>
            </w:r>
            <w:r>
              <w:rPr>
                <w:spacing w:val="-13"/>
                <w:sz w:val="20"/>
              </w:rPr>
              <w:t> </w:t>
            </w:r>
            <w:r>
              <w:rPr>
                <w:spacing w:val="-2"/>
                <w:sz w:val="20"/>
              </w:rPr>
              <w:t>мембраны</w:t>
            </w:r>
          </w:p>
        </w:tc>
      </w:tr>
      <w:tr>
        <w:trPr>
          <w:trHeight w:val="599"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837"/>
              <w:rPr>
                <w:sz w:val="20"/>
              </w:rPr>
            </w:pPr>
            <w:r>
              <w:rPr>
                <w:sz w:val="20"/>
              </w:rPr>
              <w:t>трансплантация</w:t>
            </w:r>
            <w:r>
              <w:rPr>
                <w:spacing w:val="-13"/>
                <w:sz w:val="20"/>
              </w:rPr>
              <w:t> </w:t>
            </w:r>
            <w:r>
              <w:rPr>
                <w:sz w:val="20"/>
              </w:rPr>
              <w:t>амниотической </w:t>
            </w:r>
            <w:r>
              <w:rPr>
                <w:spacing w:val="-2"/>
                <w:sz w:val="20"/>
              </w:rPr>
              <w:t>мембраны</w:t>
            </w:r>
          </w:p>
        </w:tc>
      </w:tr>
      <w:tr>
        <w:trPr>
          <w:trHeight w:val="599"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217"/>
              <w:rPr>
                <w:sz w:val="20"/>
              </w:rPr>
            </w:pPr>
            <w:r>
              <w:rPr>
                <w:sz w:val="20"/>
              </w:rPr>
              <w:t>послойная</w:t>
            </w:r>
            <w:r>
              <w:rPr>
                <w:spacing w:val="-13"/>
                <w:sz w:val="20"/>
              </w:rPr>
              <w:t> </w:t>
            </w:r>
            <w:r>
              <w:rPr>
                <w:sz w:val="20"/>
              </w:rPr>
              <w:t>глубокая</w:t>
            </w:r>
            <w:r>
              <w:rPr>
                <w:spacing w:val="-12"/>
                <w:sz w:val="20"/>
              </w:rPr>
              <w:t> </w:t>
            </w:r>
            <w:r>
              <w:rPr>
                <w:sz w:val="20"/>
              </w:rPr>
              <w:t>передняя </w:t>
            </w:r>
            <w:r>
              <w:rPr>
                <w:spacing w:val="-2"/>
                <w:sz w:val="20"/>
              </w:rPr>
              <w:t>кератопластика</w:t>
            </w:r>
          </w:p>
        </w:tc>
      </w:tr>
      <w:tr>
        <w:trPr>
          <w:trHeight w:val="29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10" w:lineRule="exact" w:before="60"/>
              <w:ind w:left="85"/>
              <w:rPr>
                <w:sz w:val="20"/>
              </w:rPr>
            </w:pPr>
            <w:r>
              <w:rPr>
                <w:spacing w:val="-2"/>
                <w:sz w:val="20"/>
              </w:rPr>
              <w:t>кератопротезирование</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0"/>
        <w:gridCol w:w="1382"/>
        <w:gridCol w:w="3661"/>
        <w:gridCol w:w="1450"/>
        <w:gridCol w:w="3637"/>
      </w:tblGrid>
      <w:tr>
        <w:trPr>
          <w:trHeight w:val="53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ind w:left="109"/>
              <w:rPr>
                <w:sz w:val="20"/>
              </w:rPr>
            </w:pPr>
            <w:r>
              <w:rPr>
                <w:sz w:val="20"/>
              </w:rPr>
              <w:t>кератопластика</w:t>
            </w:r>
            <w:r>
              <w:rPr>
                <w:spacing w:val="-13"/>
                <w:sz w:val="20"/>
              </w:rPr>
              <w:t> </w:t>
            </w:r>
            <w:r>
              <w:rPr>
                <w:sz w:val="20"/>
              </w:rPr>
              <w:t>послойная</w:t>
            </w:r>
            <w:r>
              <w:rPr>
                <w:spacing w:val="-12"/>
                <w:sz w:val="20"/>
              </w:rPr>
              <w:t> </w:t>
            </w:r>
            <w:r>
              <w:rPr>
                <w:sz w:val="20"/>
              </w:rPr>
              <w:t>ротационная или обменная</w:t>
            </w:r>
          </w:p>
        </w:tc>
      </w:tr>
      <w:tr>
        <w:trPr>
          <w:trHeight w:val="36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before="60"/>
              <w:ind w:left="109"/>
              <w:rPr>
                <w:sz w:val="20"/>
              </w:rPr>
            </w:pPr>
            <w:r>
              <w:rPr>
                <w:spacing w:val="-2"/>
                <w:sz w:val="20"/>
              </w:rPr>
              <w:t>кератопластика</w:t>
            </w:r>
            <w:r>
              <w:rPr>
                <w:spacing w:val="11"/>
                <w:sz w:val="20"/>
              </w:rPr>
              <w:t> </w:t>
            </w:r>
            <w:r>
              <w:rPr>
                <w:spacing w:val="-2"/>
                <w:sz w:val="20"/>
              </w:rPr>
              <w:t>послойная</w:t>
            </w:r>
            <w:r>
              <w:rPr>
                <w:spacing w:val="9"/>
                <w:sz w:val="20"/>
              </w:rPr>
              <w:t> </w:t>
            </w:r>
            <w:r>
              <w:rPr>
                <w:spacing w:val="-2"/>
                <w:sz w:val="20"/>
              </w:rPr>
              <w:t>инвертная</w:t>
            </w:r>
          </w:p>
        </w:tc>
      </w:tr>
      <w:tr>
        <w:trPr>
          <w:trHeight w:val="60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Pr>
                <w:sz w:val="20"/>
              </w:rPr>
            </w:pPr>
            <w:r>
              <w:rPr>
                <w:sz w:val="20"/>
              </w:rPr>
              <w:t>интенсивное</w:t>
            </w:r>
            <w:r>
              <w:rPr>
                <w:spacing w:val="-13"/>
                <w:sz w:val="20"/>
              </w:rPr>
              <w:t> </w:t>
            </w:r>
            <w:r>
              <w:rPr>
                <w:sz w:val="20"/>
              </w:rPr>
              <w:t>консервативное</w:t>
            </w:r>
            <w:r>
              <w:rPr>
                <w:spacing w:val="-12"/>
                <w:sz w:val="20"/>
              </w:rPr>
              <w:t> </w:t>
            </w:r>
            <w:r>
              <w:rPr>
                <w:sz w:val="20"/>
              </w:rPr>
              <w:t>лечение язвы роговицы</w:t>
            </w:r>
          </w:p>
        </w:tc>
      </w:tr>
      <w:tr>
        <w:trPr>
          <w:trHeight w:val="2040" w:hRule="atLeast"/>
        </w:trPr>
        <w:tc>
          <w:tcPr>
            <w:tcW w:w="3090" w:type="dxa"/>
            <w:vMerge w:val="restart"/>
          </w:tcPr>
          <w:p>
            <w:pPr>
              <w:pStyle w:val="TableParagraph"/>
              <w:spacing w:line="249" w:lineRule="auto" w:before="60"/>
              <w:ind w:left="50" w:right="446"/>
              <w:rPr>
                <w:sz w:val="20"/>
              </w:rPr>
            </w:pPr>
            <w:r>
              <w:rPr>
                <w:sz w:val="20"/>
              </w:rPr>
              <w:t>Хирургическое и (или) лазерное лечение </w:t>
            </w:r>
            <w:r>
              <w:rPr>
                <w:spacing w:val="-2"/>
                <w:sz w:val="20"/>
              </w:rPr>
              <w:t>ретролентальной</w:t>
            </w:r>
            <w:r>
              <w:rPr>
                <w:spacing w:val="40"/>
                <w:sz w:val="20"/>
              </w:rPr>
              <w:t> </w:t>
            </w:r>
            <w:r>
              <w:rPr>
                <w:sz w:val="20"/>
              </w:rPr>
              <w:t>фиброплазии (ретинопатия недоношенных),</w:t>
            </w:r>
            <w:r>
              <w:rPr>
                <w:spacing w:val="-11"/>
                <w:sz w:val="20"/>
              </w:rPr>
              <w:t> </w:t>
            </w:r>
            <w:r>
              <w:rPr>
                <w:sz w:val="20"/>
              </w:rPr>
              <w:t>в</w:t>
            </w:r>
            <w:r>
              <w:rPr>
                <w:spacing w:val="-12"/>
                <w:sz w:val="20"/>
              </w:rPr>
              <w:t> </w:t>
            </w:r>
            <w:r>
              <w:rPr>
                <w:sz w:val="20"/>
              </w:rPr>
              <w:t>том</w:t>
            </w:r>
            <w:r>
              <w:rPr>
                <w:spacing w:val="-10"/>
                <w:sz w:val="20"/>
              </w:rPr>
              <w:t> </w:t>
            </w:r>
            <w:r>
              <w:rPr>
                <w:sz w:val="20"/>
              </w:rPr>
              <w:t>числе</w:t>
            </w:r>
            <w:r>
              <w:rPr>
                <w:spacing w:val="-9"/>
                <w:sz w:val="20"/>
              </w:rPr>
              <w:t> </w:t>
            </w:r>
            <w:r>
              <w:rPr>
                <w:sz w:val="20"/>
              </w:rPr>
              <w:t>с применением комплексного </w:t>
            </w:r>
            <w:r>
              <w:rPr>
                <w:spacing w:val="-2"/>
                <w:sz w:val="20"/>
              </w:rPr>
              <w:t>офтальмологического </w:t>
            </w:r>
            <w:r>
              <w:rPr>
                <w:sz w:val="20"/>
              </w:rPr>
              <w:t>обследования под общей </w:t>
            </w:r>
            <w:r>
              <w:rPr>
                <w:spacing w:val="-2"/>
                <w:sz w:val="20"/>
              </w:rPr>
              <w:t>анестезией</w:t>
            </w:r>
          </w:p>
        </w:tc>
        <w:tc>
          <w:tcPr>
            <w:tcW w:w="1382" w:type="dxa"/>
          </w:tcPr>
          <w:p>
            <w:pPr>
              <w:pStyle w:val="TableParagraph"/>
              <w:spacing w:before="60"/>
              <w:ind w:left="448"/>
              <w:rPr>
                <w:sz w:val="20"/>
              </w:rPr>
            </w:pPr>
            <w:r>
              <w:rPr>
                <w:spacing w:val="-4"/>
                <w:sz w:val="20"/>
              </w:rPr>
              <w:t>H35.2</w:t>
            </w:r>
          </w:p>
        </w:tc>
        <w:tc>
          <w:tcPr>
            <w:tcW w:w="3661" w:type="dxa"/>
          </w:tcPr>
          <w:p>
            <w:pPr>
              <w:pStyle w:val="TableParagraph"/>
              <w:spacing w:line="249" w:lineRule="auto" w:before="60"/>
              <w:ind w:left="438" w:right="17"/>
              <w:rPr>
                <w:sz w:val="20"/>
              </w:rPr>
            </w:pPr>
            <w:r>
              <w:rPr>
                <w:sz w:val="20"/>
              </w:rPr>
              <w:t>ретролентальная фиброплазия (ретинопатия недоношенных) у детей,</w:t>
            </w:r>
            <w:r>
              <w:rPr>
                <w:spacing w:val="-11"/>
                <w:sz w:val="20"/>
              </w:rPr>
              <w:t> </w:t>
            </w:r>
            <w:r>
              <w:rPr>
                <w:sz w:val="20"/>
              </w:rPr>
              <w:t>активная</w:t>
            </w:r>
            <w:r>
              <w:rPr>
                <w:spacing w:val="-12"/>
                <w:sz w:val="20"/>
              </w:rPr>
              <w:t> </w:t>
            </w:r>
            <w:r>
              <w:rPr>
                <w:sz w:val="20"/>
              </w:rPr>
              <w:t>фаза,</w:t>
            </w:r>
            <w:r>
              <w:rPr>
                <w:spacing w:val="-10"/>
                <w:sz w:val="20"/>
              </w:rPr>
              <w:t> </w:t>
            </w:r>
            <w:r>
              <w:rPr>
                <w:sz w:val="20"/>
              </w:rPr>
              <w:t>рубцовая</w:t>
            </w:r>
            <w:r>
              <w:rPr>
                <w:spacing w:val="-12"/>
                <w:sz w:val="20"/>
              </w:rPr>
              <w:t> </w:t>
            </w:r>
            <w:r>
              <w:rPr>
                <w:sz w:val="20"/>
              </w:rPr>
              <w:t>фаза, любой стадии, без осложнений или осложненная патологией роговицы, хрусталика, стекловидного тела, глазодвигательных мышц, врожденной</w:t>
            </w:r>
            <w:r>
              <w:rPr>
                <w:spacing w:val="-1"/>
                <w:sz w:val="20"/>
              </w:rPr>
              <w:t> </w:t>
            </w:r>
            <w:r>
              <w:rPr>
                <w:sz w:val="20"/>
              </w:rPr>
              <w:t>и</w:t>
            </w:r>
            <w:r>
              <w:rPr>
                <w:spacing w:val="-3"/>
                <w:sz w:val="20"/>
              </w:rPr>
              <w:t> </w:t>
            </w:r>
            <w:r>
              <w:rPr>
                <w:sz w:val="20"/>
              </w:rPr>
              <w:t>вторичной</w:t>
            </w:r>
            <w:r>
              <w:rPr>
                <w:spacing w:val="-3"/>
                <w:sz w:val="20"/>
              </w:rPr>
              <w:t> </w:t>
            </w:r>
            <w:r>
              <w:rPr>
                <w:sz w:val="20"/>
              </w:rPr>
              <w:t>глаукомой</w:t>
            </w:r>
          </w:p>
        </w:tc>
        <w:tc>
          <w:tcPr>
            <w:tcW w:w="1450" w:type="dxa"/>
          </w:tcPr>
          <w:p>
            <w:pPr>
              <w:pStyle w:val="TableParagraph"/>
              <w:spacing w:line="249" w:lineRule="auto" w:before="60"/>
              <w:ind w:left="85"/>
              <w:rPr>
                <w:sz w:val="20"/>
              </w:rPr>
            </w:pPr>
            <w:r>
              <w:rPr>
                <w:spacing w:val="-2"/>
                <w:sz w:val="20"/>
              </w:rPr>
              <w:t>хирургическое лечение</w:t>
            </w:r>
          </w:p>
        </w:tc>
        <w:tc>
          <w:tcPr>
            <w:tcW w:w="3637" w:type="dxa"/>
          </w:tcPr>
          <w:p>
            <w:pPr>
              <w:pStyle w:val="TableParagraph"/>
              <w:spacing w:line="249" w:lineRule="auto" w:before="60"/>
              <w:ind w:left="109" w:right="48"/>
              <w:rPr>
                <w:sz w:val="20"/>
              </w:rPr>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перфторорганическими соединениями, силиконовым маслом, эндолазеркоагуляцией сетчатки</w:t>
            </w:r>
          </w:p>
        </w:tc>
      </w:tr>
      <w:tr>
        <w:trPr>
          <w:trHeight w:val="840" w:hRule="atLeast"/>
        </w:trPr>
        <w:tc>
          <w:tcPr>
            <w:tcW w:w="3090" w:type="dxa"/>
            <w:vMerge/>
            <w:tcBorders>
              <w:top w:val="nil"/>
            </w:tcBorders>
          </w:tcPr>
          <w:p>
            <w:pPr>
              <w:rPr>
                <w:sz w:val="2"/>
                <w:szCs w:val="2"/>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Pr>
                <w:sz w:val="20"/>
              </w:rPr>
            </w:pPr>
            <w:r>
              <w:rPr>
                <w:sz w:val="20"/>
              </w:rPr>
              <w:t>реконструкция</w:t>
            </w:r>
            <w:r>
              <w:rPr>
                <w:spacing w:val="-13"/>
                <w:sz w:val="20"/>
              </w:rPr>
              <w:t> </w:t>
            </w:r>
            <w:r>
              <w:rPr>
                <w:sz w:val="20"/>
              </w:rPr>
              <w:t>передней</w:t>
            </w:r>
            <w:r>
              <w:rPr>
                <w:spacing w:val="-12"/>
                <w:sz w:val="20"/>
              </w:rPr>
              <w:t> </w:t>
            </w:r>
            <w:r>
              <w:rPr>
                <w:sz w:val="20"/>
              </w:rPr>
              <w:t>камеры</w:t>
            </w:r>
            <w:r>
              <w:rPr>
                <w:spacing w:val="-13"/>
                <w:sz w:val="20"/>
              </w:rPr>
              <w:t> </w:t>
            </w:r>
            <w:r>
              <w:rPr>
                <w:sz w:val="20"/>
              </w:rPr>
              <w:t>с ленсэктомией, в том числе с витрэктомией, швартотомией</w:t>
            </w:r>
          </w:p>
        </w:tc>
      </w:tr>
      <w:tr>
        <w:trPr>
          <w:trHeight w:val="60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ight="48"/>
              <w:rPr>
                <w:sz w:val="20"/>
              </w:rPr>
            </w:pPr>
            <w:r>
              <w:rPr>
                <w:spacing w:val="-2"/>
                <w:sz w:val="20"/>
              </w:rPr>
              <w:t>модифицированная синустрабекулэктомия</w:t>
            </w:r>
          </w:p>
        </w:tc>
      </w:tr>
      <w:tr>
        <w:trPr>
          <w:trHeight w:val="108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Pr>
                <w:sz w:val="20"/>
              </w:rPr>
            </w:pPr>
            <w:r>
              <w:rPr>
                <w:sz w:val="20"/>
              </w:rPr>
              <w:t>эписклеральное круговое и (или) локальное</w:t>
            </w:r>
            <w:r>
              <w:rPr>
                <w:spacing w:val="-9"/>
                <w:sz w:val="20"/>
              </w:rPr>
              <w:t> </w:t>
            </w:r>
            <w:r>
              <w:rPr>
                <w:sz w:val="20"/>
              </w:rPr>
              <w:t>пломбирование,</w:t>
            </w:r>
            <w:r>
              <w:rPr>
                <w:spacing w:val="-8"/>
                <w:sz w:val="20"/>
              </w:rPr>
              <w:t> </w:t>
            </w:r>
            <w:r>
              <w:rPr>
                <w:sz w:val="20"/>
              </w:rPr>
              <w:t>в</w:t>
            </w:r>
            <w:r>
              <w:rPr>
                <w:spacing w:val="-8"/>
                <w:sz w:val="20"/>
              </w:rPr>
              <w:t> </w:t>
            </w:r>
            <w:r>
              <w:rPr>
                <w:sz w:val="20"/>
              </w:rPr>
              <w:t>том</w:t>
            </w:r>
            <w:r>
              <w:rPr>
                <w:spacing w:val="-8"/>
                <w:sz w:val="20"/>
              </w:rPr>
              <w:t> </w:t>
            </w:r>
            <w:r>
              <w:rPr>
                <w:sz w:val="20"/>
              </w:rPr>
              <w:t>числе</w:t>
            </w:r>
            <w:r>
              <w:rPr>
                <w:spacing w:val="-9"/>
                <w:sz w:val="20"/>
              </w:rPr>
              <w:t> </w:t>
            </w:r>
            <w:r>
              <w:rPr>
                <w:sz w:val="20"/>
              </w:rPr>
              <w:t>с трансклеральной лазерной коагуляцией </w:t>
            </w:r>
            <w:r>
              <w:rPr>
                <w:spacing w:val="-2"/>
                <w:sz w:val="20"/>
              </w:rPr>
              <w:t>сетчатки</w:t>
            </w:r>
          </w:p>
        </w:tc>
      </w:tr>
      <w:tr>
        <w:trPr>
          <w:trHeight w:val="173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0" w:lineRule="atLeast" w:before="30"/>
              <w:ind w:left="109"/>
              <w:rPr>
                <w:sz w:val="20"/>
              </w:rPr>
            </w:pPr>
            <w:r>
              <w:rPr>
                <w:sz w:val="20"/>
              </w:rPr>
              <w:t>эписклеральное круговое и (или) локальное</w:t>
            </w:r>
            <w:r>
              <w:rPr>
                <w:spacing w:val="-11"/>
                <w:sz w:val="20"/>
              </w:rPr>
              <w:t> </w:t>
            </w:r>
            <w:r>
              <w:rPr>
                <w:sz w:val="20"/>
              </w:rPr>
              <w:t>пломбирование</w:t>
            </w:r>
            <w:r>
              <w:rPr>
                <w:spacing w:val="-11"/>
                <w:sz w:val="20"/>
              </w:rPr>
              <w:t> </w:t>
            </w:r>
            <w:r>
              <w:rPr>
                <w:sz w:val="20"/>
              </w:rPr>
              <w:t>в</w:t>
            </w:r>
            <w:r>
              <w:rPr>
                <w:spacing w:val="-10"/>
                <w:sz w:val="20"/>
              </w:rPr>
              <w:t> </w:t>
            </w:r>
            <w:r>
              <w:rPr>
                <w:sz w:val="20"/>
              </w:rPr>
              <w:t>сочетании</w:t>
            </w:r>
            <w:r>
              <w:rPr>
                <w:spacing w:val="-12"/>
                <w:sz w:val="20"/>
              </w:rPr>
              <w:t> </w:t>
            </w:r>
            <w:r>
              <w:rPr>
                <w:sz w:val="20"/>
              </w:rPr>
              <w:t>с витрэктомией, в том числе с ленсэктомией, имплантацией интраокулярной линзы, мембранопилингом, швартэктомией, швартотомией, ретинотомией,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00"/>
        <w:gridCol w:w="2302"/>
        <w:gridCol w:w="3248"/>
        <w:gridCol w:w="1537"/>
        <w:gridCol w:w="3941"/>
        <w:gridCol w:w="1011"/>
      </w:tblGrid>
      <w:tr>
        <w:trPr>
          <w:trHeight w:val="77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ind w:left="111" w:right="350"/>
              <w:rPr>
                <w:sz w:val="20"/>
              </w:rPr>
            </w:pPr>
            <w:r>
              <w:rPr>
                <w:sz w:val="20"/>
              </w:rPr>
              <w:t>эндотампонадой</w:t>
            </w:r>
            <w:r>
              <w:rPr>
                <w:spacing w:val="-13"/>
                <w:sz w:val="20"/>
              </w:rPr>
              <w:t> </w:t>
            </w:r>
            <w:r>
              <w:rPr>
                <w:sz w:val="20"/>
              </w:rPr>
              <w:t>перфторорганическими соединениями, силиконовым маслом, эндолазеркоагуляцией сетчатки</w:t>
            </w:r>
          </w:p>
        </w:tc>
        <w:tc>
          <w:tcPr>
            <w:tcW w:w="1011" w:type="dxa"/>
          </w:tcPr>
          <w:p>
            <w:pPr>
              <w:pStyle w:val="TableParagraph"/>
              <w:rPr>
                <w:sz w:val="18"/>
              </w:rPr>
            </w:pPr>
          </w:p>
        </w:tc>
      </w:tr>
      <w:tr>
        <w:trPr>
          <w:trHeight w:val="60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исправление</w:t>
            </w:r>
            <w:r>
              <w:rPr>
                <w:spacing w:val="-13"/>
                <w:sz w:val="20"/>
              </w:rPr>
              <w:t> </w:t>
            </w:r>
            <w:r>
              <w:rPr>
                <w:sz w:val="20"/>
              </w:rPr>
              <w:t>косоглазия</w:t>
            </w:r>
            <w:r>
              <w:rPr>
                <w:spacing w:val="-12"/>
                <w:sz w:val="20"/>
              </w:rPr>
              <w:t> </w:t>
            </w:r>
            <w:r>
              <w:rPr>
                <w:sz w:val="20"/>
              </w:rPr>
              <w:t>с</w:t>
            </w:r>
            <w:r>
              <w:rPr>
                <w:spacing w:val="-13"/>
                <w:sz w:val="20"/>
              </w:rPr>
              <w:t> </w:t>
            </w:r>
            <w:r>
              <w:rPr>
                <w:sz w:val="20"/>
              </w:rPr>
              <w:t>пластикой экстраокулярных мышц</w:t>
            </w:r>
          </w:p>
        </w:tc>
        <w:tc>
          <w:tcPr>
            <w:tcW w:w="1011" w:type="dxa"/>
          </w:tcPr>
          <w:p>
            <w:pPr>
              <w:pStyle w:val="TableParagraph"/>
              <w:rPr>
                <w:sz w:val="18"/>
              </w:rPr>
            </w:pPr>
          </w:p>
        </w:tc>
      </w:tr>
      <w:tr>
        <w:trPr>
          <w:trHeight w:val="156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486"/>
              <w:rPr>
                <w:sz w:val="20"/>
              </w:rPr>
            </w:pPr>
            <w:r>
              <w:rPr>
                <w:sz w:val="20"/>
              </w:rPr>
              <w:t>удаление</w:t>
            </w:r>
            <w:r>
              <w:rPr>
                <w:spacing w:val="-13"/>
                <w:sz w:val="20"/>
              </w:rPr>
              <w:t> </w:t>
            </w:r>
            <w:r>
              <w:rPr>
                <w:sz w:val="20"/>
              </w:rPr>
              <w:t>силиконового</w:t>
            </w:r>
            <w:r>
              <w:rPr>
                <w:spacing w:val="-12"/>
                <w:sz w:val="20"/>
              </w:rPr>
              <w:t> </w:t>
            </w:r>
            <w:r>
              <w:rPr>
                <w:sz w:val="20"/>
              </w:rPr>
              <w:t>масла</w:t>
            </w:r>
            <w:r>
              <w:rPr>
                <w:spacing w:val="-13"/>
                <w:sz w:val="20"/>
              </w:rPr>
              <w:t> </w:t>
            </w:r>
            <w:r>
              <w:rPr>
                <w:sz w:val="20"/>
              </w:rPr>
              <w:t>(другого высокомолекулярного соединения) из витреальной полости с введением расширяющегося газа и (или) воздуха, в том числе с эндолазеркоагуляцией </w:t>
            </w:r>
            <w:r>
              <w:rPr>
                <w:spacing w:val="-2"/>
                <w:sz w:val="20"/>
              </w:rPr>
              <w:t>сетчатки</w:t>
            </w:r>
          </w:p>
        </w:tc>
        <w:tc>
          <w:tcPr>
            <w:tcW w:w="1011" w:type="dxa"/>
          </w:tcPr>
          <w:p>
            <w:pPr>
              <w:pStyle w:val="TableParagraph"/>
              <w:rPr>
                <w:sz w:val="18"/>
              </w:rPr>
            </w:pPr>
          </w:p>
        </w:tc>
      </w:tr>
      <w:tr>
        <w:trPr>
          <w:trHeight w:val="84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транспупиллярная лазеркоагуляция вторичных</w:t>
            </w:r>
            <w:r>
              <w:rPr>
                <w:spacing w:val="-13"/>
                <w:sz w:val="20"/>
              </w:rPr>
              <w:t> </w:t>
            </w:r>
            <w:r>
              <w:rPr>
                <w:sz w:val="20"/>
              </w:rPr>
              <w:t>ретинальных</w:t>
            </w:r>
            <w:r>
              <w:rPr>
                <w:spacing w:val="-12"/>
                <w:sz w:val="20"/>
              </w:rPr>
              <w:t> </w:t>
            </w:r>
            <w:r>
              <w:rPr>
                <w:sz w:val="20"/>
              </w:rPr>
              <w:t>дистрофий</w:t>
            </w:r>
            <w:r>
              <w:rPr>
                <w:spacing w:val="-13"/>
                <w:sz w:val="20"/>
              </w:rPr>
              <w:t> </w:t>
            </w:r>
            <w:r>
              <w:rPr>
                <w:sz w:val="20"/>
              </w:rPr>
              <w:t>и </w:t>
            </w:r>
            <w:r>
              <w:rPr>
                <w:spacing w:val="-2"/>
                <w:sz w:val="20"/>
              </w:rPr>
              <w:t>ретиношизиса</w:t>
            </w:r>
          </w:p>
        </w:tc>
        <w:tc>
          <w:tcPr>
            <w:tcW w:w="1011" w:type="dxa"/>
          </w:tcPr>
          <w:p>
            <w:pPr>
              <w:pStyle w:val="TableParagraph"/>
              <w:rPr>
                <w:sz w:val="18"/>
              </w:rPr>
            </w:pPr>
          </w:p>
        </w:tc>
      </w:tr>
      <w:tr>
        <w:trPr>
          <w:trHeight w:val="60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лазерная</w:t>
            </w:r>
            <w:r>
              <w:rPr>
                <w:spacing w:val="-13"/>
                <w:sz w:val="20"/>
              </w:rPr>
              <w:t> </w:t>
            </w:r>
            <w:r>
              <w:rPr>
                <w:sz w:val="20"/>
              </w:rPr>
              <w:t>корепраксия</w:t>
            </w:r>
            <w:r>
              <w:rPr>
                <w:spacing w:val="-12"/>
                <w:sz w:val="20"/>
              </w:rPr>
              <w:t> </w:t>
            </w:r>
            <w:r>
              <w:rPr>
                <w:sz w:val="20"/>
              </w:rPr>
              <w:t>(создание искусственного зрачка)</w:t>
            </w:r>
          </w:p>
        </w:tc>
        <w:tc>
          <w:tcPr>
            <w:tcW w:w="1011" w:type="dxa"/>
          </w:tcPr>
          <w:p>
            <w:pPr>
              <w:pStyle w:val="TableParagraph"/>
              <w:rPr>
                <w:sz w:val="18"/>
              </w:rPr>
            </w:pPr>
          </w:p>
        </w:tc>
      </w:tr>
      <w:tr>
        <w:trPr>
          <w:trHeight w:val="36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before="60"/>
              <w:ind w:left="111"/>
              <w:rPr>
                <w:sz w:val="20"/>
              </w:rPr>
            </w:pPr>
            <w:r>
              <w:rPr>
                <w:sz w:val="20"/>
              </w:rPr>
              <w:t>лазерная</w:t>
            </w:r>
            <w:r>
              <w:rPr>
                <w:spacing w:val="-8"/>
                <w:sz w:val="20"/>
              </w:rPr>
              <w:t> </w:t>
            </w:r>
            <w:r>
              <w:rPr>
                <w:spacing w:val="-2"/>
                <w:sz w:val="20"/>
              </w:rPr>
              <w:t>иридокореопластика</w:t>
            </w:r>
          </w:p>
        </w:tc>
        <w:tc>
          <w:tcPr>
            <w:tcW w:w="1011" w:type="dxa"/>
          </w:tcPr>
          <w:p>
            <w:pPr>
              <w:pStyle w:val="TableParagraph"/>
              <w:rPr>
                <w:sz w:val="18"/>
              </w:rPr>
            </w:pPr>
          </w:p>
        </w:tc>
      </w:tr>
      <w:tr>
        <w:trPr>
          <w:trHeight w:val="36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before="60"/>
              <w:ind w:left="111"/>
              <w:rPr>
                <w:sz w:val="20"/>
              </w:rPr>
            </w:pPr>
            <w:r>
              <w:rPr>
                <w:sz w:val="20"/>
              </w:rPr>
              <w:t>лазерная</w:t>
            </w:r>
            <w:r>
              <w:rPr>
                <w:spacing w:val="-11"/>
                <w:sz w:val="20"/>
              </w:rPr>
              <w:t> </w:t>
            </w:r>
            <w:r>
              <w:rPr>
                <w:spacing w:val="-2"/>
                <w:sz w:val="20"/>
              </w:rPr>
              <w:t>витреошвартотомия</w:t>
            </w:r>
          </w:p>
        </w:tc>
        <w:tc>
          <w:tcPr>
            <w:tcW w:w="1011" w:type="dxa"/>
          </w:tcPr>
          <w:p>
            <w:pPr>
              <w:pStyle w:val="TableParagraph"/>
              <w:rPr>
                <w:sz w:val="18"/>
              </w:rPr>
            </w:pPr>
          </w:p>
        </w:tc>
      </w:tr>
      <w:tr>
        <w:trPr>
          <w:trHeight w:val="60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Pr>
                <w:sz w:val="20"/>
              </w:rPr>
            </w:pPr>
            <w:r>
              <w:rPr>
                <w:sz w:val="20"/>
              </w:rPr>
              <w:t>лазерные</w:t>
            </w:r>
            <w:r>
              <w:rPr>
                <w:spacing w:val="-13"/>
                <w:sz w:val="20"/>
              </w:rPr>
              <w:t> </w:t>
            </w:r>
            <w:r>
              <w:rPr>
                <w:sz w:val="20"/>
              </w:rPr>
              <w:t>комбинированные</w:t>
            </w:r>
            <w:r>
              <w:rPr>
                <w:spacing w:val="-12"/>
                <w:sz w:val="20"/>
              </w:rPr>
              <w:t> </w:t>
            </w:r>
            <w:r>
              <w:rPr>
                <w:sz w:val="20"/>
              </w:rPr>
              <w:t>операции</w:t>
            </w:r>
            <w:r>
              <w:rPr>
                <w:spacing w:val="-13"/>
                <w:sz w:val="20"/>
              </w:rPr>
              <w:t> </w:t>
            </w:r>
            <w:r>
              <w:rPr>
                <w:sz w:val="20"/>
              </w:rPr>
              <w:t>на структурах угла передней камеры</w:t>
            </w:r>
          </w:p>
        </w:tc>
        <w:tc>
          <w:tcPr>
            <w:tcW w:w="1011" w:type="dxa"/>
          </w:tcPr>
          <w:p>
            <w:pPr>
              <w:pStyle w:val="TableParagraph"/>
              <w:rPr>
                <w:sz w:val="18"/>
              </w:rPr>
            </w:pPr>
          </w:p>
        </w:tc>
      </w:tr>
      <w:tr>
        <w:trPr>
          <w:trHeight w:val="84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лазерная</w:t>
            </w:r>
            <w:r>
              <w:rPr>
                <w:spacing w:val="-13"/>
                <w:sz w:val="20"/>
              </w:rPr>
              <w:t> </w:t>
            </w:r>
            <w:r>
              <w:rPr>
                <w:sz w:val="20"/>
              </w:rPr>
              <w:t>деструкция</w:t>
            </w:r>
            <w:r>
              <w:rPr>
                <w:spacing w:val="-12"/>
                <w:sz w:val="20"/>
              </w:rPr>
              <w:t> </w:t>
            </w:r>
            <w:r>
              <w:rPr>
                <w:sz w:val="20"/>
              </w:rPr>
              <w:t>зрачковой мембраны с коагуляцией (без коагуляции) сосудов</w:t>
            </w:r>
          </w:p>
        </w:tc>
        <w:tc>
          <w:tcPr>
            <w:tcW w:w="1011" w:type="dxa"/>
          </w:tcPr>
          <w:p>
            <w:pPr>
              <w:pStyle w:val="TableParagraph"/>
              <w:rPr>
                <w:sz w:val="18"/>
              </w:rPr>
            </w:pPr>
          </w:p>
        </w:tc>
      </w:tr>
      <w:tr>
        <w:trPr>
          <w:trHeight w:val="1250" w:hRule="atLeast"/>
        </w:trPr>
        <w:tc>
          <w:tcPr>
            <w:tcW w:w="458" w:type="dxa"/>
          </w:tcPr>
          <w:p>
            <w:pPr>
              <w:pStyle w:val="TableParagraph"/>
              <w:spacing w:before="60"/>
              <w:ind w:left="50"/>
              <w:rPr>
                <w:sz w:val="20"/>
              </w:rPr>
            </w:pPr>
            <w:r>
              <w:rPr>
                <w:spacing w:val="-5"/>
                <w:sz w:val="20"/>
              </w:rPr>
              <w:t>41.</w:t>
            </w:r>
          </w:p>
        </w:tc>
        <w:tc>
          <w:tcPr>
            <w:tcW w:w="2600" w:type="dxa"/>
          </w:tcPr>
          <w:p>
            <w:pPr>
              <w:pStyle w:val="TableParagraph"/>
              <w:spacing w:line="240" w:lineRule="atLeast" w:before="30"/>
              <w:ind w:left="155"/>
              <w:rPr>
                <w:sz w:val="20"/>
              </w:rPr>
            </w:pPr>
            <w:r>
              <w:rPr>
                <w:spacing w:val="-2"/>
                <w:sz w:val="20"/>
              </w:rPr>
              <w:t>Транспупиллярная, микроинвазивная </w:t>
            </w:r>
            <w:r>
              <w:rPr>
                <w:sz w:val="20"/>
              </w:rPr>
              <w:t>энергетическая оптико- </w:t>
            </w:r>
            <w:r>
              <w:rPr>
                <w:spacing w:val="-2"/>
                <w:sz w:val="20"/>
              </w:rPr>
              <w:t>реконструктивная, </w:t>
            </w:r>
            <w:r>
              <w:rPr>
                <w:sz w:val="20"/>
              </w:rPr>
              <w:t>эндовитреальная</w:t>
            </w:r>
            <w:r>
              <w:rPr>
                <w:spacing w:val="-13"/>
                <w:sz w:val="20"/>
              </w:rPr>
              <w:t> </w:t>
            </w:r>
            <w:r>
              <w:rPr>
                <w:sz w:val="20"/>
              </w:rPr>
              <w:t>23</w:t>
            </w:r>
            <w:r>
              <w:rPr>
                <w:spacing w:val="-11"/>
                <w:sz w:val="20"/>
              </w:rPr>
              <w:t> </w:t>
            </w:r>
            <w:r>
              <w:rPr>
                <w:sz w:val="20"/>
              </w:rPr>
              <w:t>-</w:t>
            </w:r>
            <w:r>
              <w:rPr>
                <w:spacing w:val="-12"/>
                <w:sz w:val="20"/>
              </w:rPr>
              <w:t> </w:t>
            </w:r>
            <w:r>
              <w:rPr>
                <w:sz w:val="20"/>
              </w:rPr>
              <w:t>27</w:t>
            </w:r>
          </w:p>
        </w:tc>
        <w:tc>
          <w:tcPr>
            <w:tcW w:w="2302" w:type="dxa"/>
          </w:tcPr>
          <w:p>
            <w:pPr>
              <w:pStyle w:val="TableParagraph"/>
              <w:spacing w:line="249" w:lineRule="auto" w:before="60"/>
              <w:ind w:left="388" w:firstLine="172"/>
              <w:rPr>
                <w:sz w:val="20"/>
              </w:rPr>
            </w:pPr>
            <w:r>
              <w:rPr>
                <w:sz w:val="20"/>
              </w:rPr>
              <w:t>E10, E11, H25.0 - H25.9,</w:t>
            </w:r>
            <w:r>
              <w:rPr>
                <w:spacing w:val="-13"/>
                <w:sz w:val="20"/>
              </w:rPr>
              <w:t> </w:t>
            </w:r>
            <w:r>
              <w:rPr>
                <w:sz w:val="20"/>
              </w:rPr>
              <w:t>H26.0</w:t>
            </w:r>
            <w:r>
              <w:rPr>
                <w:spacing w:val="-10"/>
                <w:sz w:val="20"/>
              </w:rPr>
              <w:t> </w:t>
            </w:r>
            <w:r>
              <w:rPr>
                <w:sz w:val="20"/>
              </w:rPr>
              <w:t>-</w:t>
            </w:r>
            <w:r>
              <w:rPr>
                <w:spacing w:val="-13"/>
                <w:sz w:val="20"/>
              </w:rPr>
              <w:t> </w:t>
            </w:r>
            <w:r>
              <w:rPr>
                <w:sz w:val="20"/>
              </w:rPr>
              <w:t>H26.4,</w:t>
            </w:r>
          </w:p>
          <w:p>
            <w:pPr>
              <w:pStyle w:val="TableParagraph"/>
              <w:spacing w:before="2"/>
              <w:ind w:left="465"/>
              <w:rPr>
                <w:sz w:val="20"/>
              </w:rPr>
            </w:pPr>
            <w:r>
              <w:rPr>
                <w:sz w:val="20"/>
              </w:rPr>
              <w:t>H27.0,</w:t>
            </w:r>
            <w:r>
              <w:rPr>
                <w:spacing w:val="-4"/>
                <w:sz w:val="20"/>
              </w:rPr>
              <w:t> </w:t>
            </w:r>
            <w:r>
              <w:rPr>
                <w:sz w:val="20"/>
              </w:rPr>
              <w:t>H28,</w:t>
            </w:r>
            <w:r>
              <w:rPr>
                <w:spacing w:val="-4"/>
                <w:sz w:val="20"/>
              </w:rPr>
              <w:t> </w:t>
            </w:r>
            <w:r>
              <w:rPr>
                <w:sz w:val="20"/>
              </w:rPr>
              <w:t>H30.0 </w:t>
            </w:r>
            <w:r>
              <w:rPr>
                <w:spacing w:val="-10"/>
                <w:sz w:val="20"/>
              </w:rPr>
              <w:t>-</w:t>
            </w:r>
          </w:p>
          <w:p>
            <w:pPr>
              <w:pStyle w:val="TableParagraph"/>
              <w:spacing w:before="10"/>
              <w:ind w:left="421"/>
              <w:rPr>
                <w:sz w:val="20"/>
              </w:rPr>
            </w:pPr>
            <w:r>
              <w:rPr>
                <w:sz w:val="20"/>
              </w:rPr>
              <w:t>H30.9,</w:t>
            </w:r>
            <w:r>
              <w:rPr>
                <w:spacing w:val="-4"/>
                <w:sz w:val="20"/>
              </w:rPr>
              <w:t> </w:t>
            </w:r>
            <w:r>
              <w:rPr>
                <w:sz w:val="20"/>
              </w:rPr>
              <w:t>H31.3,</w:t>
            </w:r>
            <w:r>
              <w:rPr>
                <w:spacing w:val="-5"/>
                <w:sz w:val="20"/>
              </w:rPr>
              <w:t> </w:t>
            </w:r>
            <w:r>
              <w:rPr>
                <w:spacing w:val="-2"/>
                <w:sz w:val="20"/>
              </w:rPr>
              <w:t>H32.8,</w:t>
            </w:r>
          </w:p>
          <w:p>
            <w:pPr>
              <w:pStyle w:val="TableParagraph"/>
              <w:spacing w:line="210" w:lineRule="exact" w:before="10"/>
              <w:ind w:left="388"/>
              <w:rPr>
                <w:sz w:val="20"/>
              </w:rPr>
            </w:pPr>
            <w:r>
              <w:rPr>
                <w:sz w:val="20"/>
              </w:rPr>
              <w:t>H33.0</w:t>
            </w:r>
            <w:r>
              <w:rPr>
                <w:spacing w:val="-1"/>
                <w:sz w:val="20"/>
              </w:rPr>
              <w:t> </w:t>
            </w:r>
            <w:r>
              <w:rPr>
                <w:sz w:val="20"/>
              </w:rPr>
              <w:t>-</w:t>
            </w:r>
            <w:r>
              <w:rPr>
                <w:spacing w:val="-5"/>
                <w:sz w:val="20"/>
              </w:rPr>
              <w:t> </w:t>
            </w:r>
            <w:r>
              <w:rPr>
                <w:sz w:val="20"/>
              </w:rPr>
              <w:t>H33.5,</w:t>
            </w:r>
            <w:r>
              <w:rPr>
                <w:spacing w:val="-3"/>
                <w:sz w:val="20"/>
              </w:rPr>
              <w:t> </w:t>
            </w:r>
            <w:r>
              <w:rPr>
                <w:spacing w:val="-2"/>
                <w:sz w:val="20"/>
              </w:rPr>
              <w:t>H34.8,</w:t>
            </w:r>
          </w:p>
        </w:tc>
        <w:tc>
          <w:tcPr>
            <w:tcW w:w="3248" w:type="dxa"/>
          </w:tcPr>
          <w:p>
            <w:pPr>
              <w:pStyle w:val="TableParagraph"/>
              <w:spacing w:line="240" w:lineRule="atLeast" w:before="30"/>
              <w:ind w:left="115" w:right="2"/>
              <w:rPr>
                <w:sz w:val="20"/>
              </w:rPr>
            </w:pPr>
            <w:r>
              <w:rPr>
                <w:sz w:val="20"/>
              </w:rPr>
              <w:t>сочетанная патология глаза у взрослых и детей (хориоретинальные воспаления, хориоретинальные</w:t>
            </w:r>
            <w:r>
              <w:rPr>
                <w:spacing w:val="-13"/>
                <w:sz w:val="20"/>
              </w:rPr>
              <w:t> </w:t>
            </w:r>
            <w:r>
              <w:rPr>
                <w:sz w:val="20"/>
              </w:rPr>
              <w:t>нарушения</w:t>
            </w:r>
            <w:r>
              <w:rPr>
                <w:spacing w:val="-12"/>
                <w:sz w:val="20"/>
              </w:rPr>
              <w:t> </w:t>
            </w:r>
            <w:r>
              <w:rPr>
                <w:sz w:val="20"/>
              </w:rPr>
              <w:t>при болезнях, классифицированных в</w:t>
            </w:r>
          </w:p>
        </w:tc>
        <w:tc>
          <w:tcPr>
            <w:tcW w:w="1537" w:type="dxa"/>
          </w:tcPr>
          <w:p>
            <w:pPr>
              <w:pStyle w:val="TableParagraph"/>
              <w:spacing w:line="249" w:lineRule="auto" w:before="60"/>
              <w:ind w:left="174"/>
              <w:rPr>
                <w:sz w:val="20"/>
              </w:rPr>
            </w:pPr>
            <w:r>
              <w:rPr>
                <w:spacing w:val="-2"/>
                <w:sz w:val="20"/>
              </w:rPr>
              <w:t>хирургическое лечение</w:t>
            </w:r>
          </w:p>
        </w:tc>
        <w:tc>
          <w:tcPr>
            <w:tcW w:w="3941" w:type="dxa"/>
          </w:tcPr>
          <w:p>
            <w:pPr>
              <w:pStyle w:val="TableParagraph"/>
              <w:spacing w:line="249" w:lineRule="auto" w:before="60"/>
              <w:ind w:left="111" w:right="839"/>
              <w:rPr>
                <w:sz w:val="20"/>
              </w:rPr>
            </w:pPr>
            <w:r>
              <w:rPr>
                <w:sz w:val="20"/>
              </w:rPr>
              <w:t>транспупиллярная</w:t>
            </w:r>
            <w:r>
              <w:rPr>
                <w:spacing w:val="-13"/>
                <w:sz w:val="20"/>
              </w:rPr>
              <w:t> </w:t>
            </w:r>
            <w:r>
              <w:rPr>
                <w:sz w:val="20"/>
              </w:rPr>
              <w:t>панретинальная </w:t>
            </w:r>
            <w:r>
              <w:rPr>
                <w:spacing w:val="-2"/>
                <w:sz w:val="20"/>
              </w:rPr>
              <w:t>лазеркоагуляция</w:t>
            </w:r>
          </w:p>
          <w:p>
            <w:pPr>
              <w:pStyle w:val="TableParagraph"/>
              <w:spacing w:line="249" w:lineRule="auto" w:before="2"/>
              <w:ind w:left="111" w:right="486"/>
              <w:rPr>
                <w:sz w:val="20"/>
              </w:rPr>
            </w:pPr>
            <w:r>
              <w:rPr>
                <w:sz w:val="20"/>
              </w:rPr>
              <w:t>реконструкция передней камеры с ультразвуковой</w:t>
            </w:r>
            <w:r>
              <w:rPr>
                <w:spacing w:val="-13"/>
                <w:sz w:val="20"/>
              </w:rPr>
              <w:t> </w:t>
            </w:r>
            <w:r>
              <w:rPr>
                <w:sz w:val="20"/>
              </w:rPr>
              <w:t>факоэмульсификацией</w:t>
            </w:r>
          </w:p>
          <w:p>
            <w:pPr>
              <w:pStyle w:val="TableParagraph"/>
              <w:spacing w:line="210" w:lineRule="exact" w:before="1"/>
              <w:ind w:left="111"/>
              <w:rPr>
                <w:sz w:val="20"/>
              </w:rPr>
            </w:pPr>
            <w:r>
              <w:rPr>
                <w:sz w:val="20"/>
              </w:rPr>
              <w:t>осложненной</w:t>
            </w:r>
            <w:r>
              <w:rPr>
                <w:spacing w:val="-9"/>
                <w:sz w:val="20"/>
              </w:rPr>
              <w:t> </w:t>
            </w:r>
            <w:r>
              <w:rPr>
                <w:sz w:val="20"/>
              </w:rPr>
              <w:t>катаракты</w:t>
            </w:r>
            <w:r>
              <w:rPr>
                <w:spacing w:val="-7"/>
                <w:sz w:val="20"/>
              </w:rPr>
              <w:t> </w:t>
            </w:r>
            <w:r>
              <w:rPr>
                <w:sz w:val="20"/>
              </w:rPr>
              <w:t>с</w:t>
            </w:r>
            <w:r>
              <w:rPr>
                <w:spacing w:val="-8"/>
                <w:sz w:val="20"/>
              </w:rPr>
              <w:t> </w:t>
            </w:r>
            <w:r>
              <w:rPr>
                <w:spacing w:val="-2"/>
                <w:sz w:val="20"/>
              </w:rPr>
              <w:t>имплантацией</w:t>
            </w:r>
          </w:p>
        </w:tc>
        <w:tc>
          <w:tcPr>
            <w:tcW w:w="1011" w:type="dxa"/>
          </w:tcPr>
          <w:p>
            <w:pPr>
              <w:pStyle w:val="TableParagraph"/>
              <w:spacing w:before="60"/>
              <w:ind w:left="363"/>
              <w:rPr>
                <w:sz w:val="20"/>
              </w:rPr>
            </w:pPr>
            <w:r>
              <w:rPr>
                <w:spacing w:val="-2"/>
                <w:sz w:val="20"/>
              </w:rPr>
              <w:t>155078</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0"/>
        <w:gridCol w:w="2038"/>
        <w:gridCol w:w="4099"/>
        <w:gridCol w:w="4318"/>
      </w:tblGrid>
      <w:tr>
        <w:trPr>
          <w:trHeight w:val="6942" w:hRule="atLeast"/>
        </w:trPr>
        <w:tc>
          <w:tcPr>
            <w:tcW w:w="2760" w:type="dxa"/>
          </w:tcPr>
          <w:p>
            <w:pPr>
              <w:pStyle w:val="TableParagraph"/>
              <w:spacing w:line="249" w:lineRule="auto"/>
              <w:ind w:left="50" w:right="112"/>
              <w:rPr>
                <w:sz w:val="20"/>
              </w:rPr>
            </w:pPr>
            <w:r>
              <w:rPr>
                <w:sz w:val="20"/>
              </w:rPr>
              <w:t>гейджевая хирургия при витреоретинальной</w:t>
            </w:r>
            <w:r>
              <w:rPr>
                <w:spacing w:val="-13"/>
                <w:sz w:val="20"/>
              </w:rPr>
              <w:t> </w:t>
            </w:r>
            <w:r>
              <w:rPr>
                <w:sz w:val="20"/>
              </w:rPr>
              <w:t>патологии различного генеза</w:t>
            </w:r>
          </w:p>
        </w:tc>
        <w:tc>
          <w:tcPr>
            <w:tcW w:w="2038" w:type="dxa"/>
          </w:tcPr>
          <w:p>
            <w:pPr>
              <w:pStyle w:val="TableParagraph"/>
              <w:spacing w:line="221" w:lineRule="exact"/>
              <w:ind w:left="122"/>
              <w:rPr>
                <w:sz w:val="20"/>
              </w:rPr>
            </w:pPr>
            <w:r>
              <w:rPr>
                <w:sz w:val="20"/>
              </w:rPr>
              <w:t>H35.2</w:t>
            </w:r>
            <w:r>
              <w:rPr>
                <w:spacing w:val="-1"/>
                <w:sz w:val="20"/>
              </w:rPr>
              <w:t> </w:t>
            </w:r>
            <w:r>
              <w:rPr>
                <w:sz w:val="20"/>
              </w:rPr>
              <w:t>-</w:t>
            </w:r>
            <w:r>
              <w:rPr>
                <w:spacing w:val="-5"/>
                <w:sz w:val="20"/>
              </w:rPr>
              <w:t> </w:t>
            </w:r>
            <w:r>
              <w:rPr>
                <w:sz w:val="20"/>
              </w:rPr>
              <w:t>H35.4,</w:t>
            </w:r>
            <w:r>
              <w:rPr>
                <w:spacing w:val="-3"/>
                <w:sz w:val="20"/>
              </w:rPr>
              <w:t> </w:t>
            </w:r>
            <w:r>
              <w:rPr>
                <w:spacing w:val="-2"/>
                <w:sz w:val="20"/>
              </w:rPr>
              <w:t>H36.0,</w:t>
            </w:r>
          </w:p>
          <w:p>
            <w:pPr>
              <w:pStyle w:val="TableParagraph"/>
              <w:spacing w:line="249" w:lineRule="auto" w:before="10"/>
              <w:ind w:left="480" w:hanging="324"/>
              <w:rPr>
                <w:sz w:val="20"/>
              </w:rPr>
            </w:pPr>
            <w:r>
              <w:rPr>
                <w:sz w:val="20"/>
              </w:rPr>
              <w:t>H36.8,</w:t>
            </w:r>
            <w:r>
              <w:rPr>
                <w:spacing w:val="-13"/>
                <w:sz w:val="20"/>
              </w:rPr>
              <w:t> </w:t>
            </w:r>
            <w:r>
              <w:rPr>
                <w:sz w:val="20"/>
              </w:rPr>
              <w:t>H43.1,</w:t>
            </w:r>
            <w:r>
              <w:rPr>
                <w:spacing w:val="-12"/>
                <w:sz w:val="20"/>
              </w:rPr>
              <w:t> </w:t>
            </w:r>
            <w:r>
              <w:rPr>
                <w:sz w:val="20"/>
              </w:rPr>
              <w:t>H43.3, H44.0, H44.1</w:t>
            </w:r>
          </w:p>
        </w:tc>
        <w:tc>
          <w:tcPr>
            <w:tcW w:w="4099" w:type="dxa"/>
          </w:tcPr>
          <w:p>
            <w:pPr>
              <w:pStyle w:val="TableParagraph"/>
              <w:spacing w:line="249" w:lineRule="auto"/>
              <w:ind w:left="112" w:right="850"/>
              <w:rPr>
                <w:sz w:val="20"/>
              </w:rPr>
            </w:pPr>
            <w:r>
              <w:rPr>
                <w:sz w:val="20"/>
              </w:rPr>
              <w:t>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w:t>
            </w:r>
            <w:r>
              <w:rPr>
                <w:spacing w:val="-13"/>
                <w:sz w:val="20"/>
              </w:rPr>
              <w:t> </w:t>
            </w:r>
            <w:r>
              <w:rPr>
                <w:sz w:val="20"/>
              </w:rPr>
              <w:t>тела.</w:t>
            </w:r>
            <w:r>
              <w:rPr>
                <w:spacing w:val="-12"/>
                <w:sz w:val="20"/>
              </w:rPr>
              <w:t> </w:t>
            </w:r>
            <w:r>
              <w:rPr>
                <w:sz w:val="20"/>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pPr>
              <w:pStyle w:val="TableParagraph"/>
              <w:spacing w:line="249" w:lineRule="auto" w:before="4"/>
              <w:ind w:left="112" w:right="789"/>
              <w:rPr>
                <w:sz w:val="20"/>
              </w:rPr>
            </w:pPr>
            <w:r>
              <w:rPr>
                <w:sz w:val="20"/>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w:t>
            </w:r>
            <w:r>
              <w:rPr>
                <w:spacing w:val="-13"/>
                <w:sz w:val="20"/>
              </w:rPr>
              <w:t> </w:t>
            </w:r>
            <w:r>
              <w:rPr>
                <w:sz w:val="20"/>
              </w:rPr>
              <w:t>эндовитреальных</w:t>
            </w:r>
          </w:p>
          <w:p>
            <w:pPr>
              <w:pStyle w:val="TableParagraph"/>
              <w:spacing w:line="210" w:lineRule="exact" w:before="11"/>
              <w:ind w:left="112"/>
              <w:rPr>
                <w:sz w:val="20"/>
              </w:rPr>
            </w:pPr>
            <w:r>
              <w:rPr>
                <w:sz w:val="20"/>
              </w:rPr>
              <w:t>вмешательств</w:t>
            </w:r>
            <w:r>
              <w:rPr>
                <w:spacing w:val="-5"/>
                <w:sz w:val="20"/>
              </w:rPr>
              <w:t> </w:t>
            </w:r>
            <w:r>
              <w:rPr>
                <w:sz w:val="20"/>
              </w:rPr>
              <w:t>у</w:t>
            </w:r>
            <w:r>
              <w:rPr>
                <w:spacing w:val="-8"/>
                <w:sz w:val="20"/>
              </w:rPr>
              <w:t> </w:t>
            </w:r>
            <w:r>
              <w:rPr>
                <w:sz w:val="20"/>
              </w:rPr>
              <w:t>взрослых</w:t>
            </w:r>
            <w:r>
              <w:rPr>
                <w:spacing w:val="-5"/>
                <w:sz w:val="20"/>
              </w:rPr>
              <w:t> </w:t>
            </w:r>
            <w:r>
              <w:rPr>
                <w:sz w:val="20"/>
              </w:rPr>
              <w:t>и</w:t>
            </w:r>
            <w:r>
              <w:rPr>
                <w:spacing w:val="-7"/>
                <w:sz w:val="20"/>
              </w:rPr>
              <w:t> </w:t>
            </w:r>
            <w:r>
              <w:rPr>
                <w:spacing w:val="-2"/>
                <w:sz w:val="20"/>
              </w:rPr>
              <w:t>детей</w:t>
            </w:r>
          </w:p>
        </w:tc>
        <w:tc>
          <w:tcPr>
            <w:tcW w:w="4318" w:type="dxa"/>
          </w:tcPr>
          <w:p>
            <w:pPr>
              <w:pStyle w:val="TableParagraph"/>
              <w:spacing w:line="249" w:lineRule="auto"/>
              <w:ind w:left="795" w:right="43"/>
              <w:rPr>
                <w:sz w:val="20"/>
              </w:rPr>
            </w:pPr>
            <w:r>
              <w:rPr>
                <w:sz w:val="20"/>
              </w:rPr>
              <w:t>эластичной интраокулярной линзы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перфторорганическими соединениями, силиконовым маслом, эндолазеркоагуляцией сетчатки 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перфторорганическими соединениями, силиконовым маслом, эндолазеркоагуляцией сетчатки</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7"/>
        <w:gridCol w:w="2031"/>
        <w:gridCol w:w="3312"/>
        <w:gridCol w:w="1472"/>
        <w:gridCol w:w="3637"/>
      </w:tblGrid>
      <w:tr>
        <w:trPr>
          <w:trHeight w:val="1010" w:hRule="atLeast"/>
        </w:trPr>
        <w:tc>
          <w:tcPr>
            <w:tcW w:w="2767" w:type="dxa"/>
            <w:vMerge w:val="restart"/>
          </w:tcPr>
          <w:p>
            <w:pPr>
              <w:pStyle w:val="TableParagraph"/>
              <w:spacing w:line="249" w:lineRule="auto"/>
              <w:ind w:left="50" w:right="112"/>
              <w:rPr>
                <w:sz w:val="20"/>
              </w:rPr>
            </w:pPr>
            <w:r>
              <w:rPr>
                <w:spacing w:val="-2"/>
                <w:sz w:val="20"/>
              </w:rPr>
              <w:t>Реконструктивное, восстановительное, реконструктивно- </w:t>
            </w:r>
            <w:r>
              <w:rPr>
                <w:sz w:val="20"/>
              </w:rPr>
              <w:t>пластическое хирургическое</w:t>
            </w:r>
            <w:r>
              <w:rPr>
                <w:spacing w:val="40"/>
                <w:sz w:val="20"/>
              </w:rPr>
              <w:t> </w:t>
            </w:r>
            <w:r>
              <w:rPr>
                <w:sz w:val="20"/>
              </w:rPr>
              <w:t>и лазерное лечение при врожденных аномалиях (пороках развития) века, слезного аппарата, глазницы, переднего и заднего</w:t>
            </w:r>
            <w:r>
              <w:rPr>
                <w:spacing w:val="40"/>
                <w:sz w:val="20"/>
              </w:rPr>
              <w:t> </w:t>
            </w:r>
            <w:r>
              <w:rPr>
                <w:sz w:val="20"/>
              </w:rPr>
              <w:t>сегментов</w:t>
            </w:r>
            <w:r>
              <w:rPr>
                <w:spacing w:val="-13"/>
                <w:sz w:val="20"/>
              </w:rPr>
              <w:t> </w:t>
            </w:r>
            <w:r>
              <w:rPr>
                <w:sz w:val="20"/>
              </w:rPr>
              <w:t>глаза,</w:t>
            </w:r>
            <w:r>
              <w:rPr>
                <w:spacing w:val="-12"/>
                <w:sz w:val="20"/>
              </w:rPr>
              <w:t> </w:t>
            </w:r>
            <w:r>
              <w:rPr>
                <w:sz w:val="20"/>
              </w:rPr>
              <w:t>хрусталика,</w:t>
            </w:r>
            <w:r>
              <w:rPr>
                <w:spacing w:val="-13"/>
                <w:sz w:val="20"/>
              </w:rPr>
              <w:t> </w:t>
            </w:r>
            <w:r>
              <w:rPr>
                <w:sz w:val="20"/>
              </w:rPr>
              <w:t>в том числе с применением </w:t>
            </w:r>
            <w:r>
              <w:rPr>
                <w:spacing w:val="-2"/>
                <w:sz w:val="20"/>
              </w:rPr>
              <w:t>комплексного офтальмологического </w:t>
            </w:r>
            <w:r>
              <w:rPr>
                <w:sz w:val="20"/>
              </w:rPr>
              <w:t>обследования под общей</w:t>
            </w:r>
          </w:p>
          <w:p>
            <w:pPr>
              <w:pStyle w:val="TableParagraph"/>
              <w:spacing w:line="220" w:lineRule="exact" w:before="3"/>
              <w:ind w:left="50"/>
              <w:rPr>
                <w:sz w:val="20"/>
              </w:rPr>
            </w:pPr>
            <w:r>
              <w:rPr>
                <w:spacing w:val="-2"/>
                <w:sz w:val="20"/>
              </w:rPr>
              <w:t>анестезией</w:t>
            </w:r>
          </w:p>
        </w:tc>
        <w:tc>
          <w:tcPr>
            <w:tcW w:w="2031" w:type="dxa"/>
            <w:vMerge w:val="restart"/>
          </w:tcPr>
          <w:p>
            <w:pPr>
              <w:pStyle w:val="TableParagraph"/>
              <w:spacing w:line="221" w:lineRule="exact"/>
              <w:ind w:left="102" w:right="102"/>
              <w:jc w:val="center"/>
              <w:rPr>
                <w:sz w:val="20"/>
              </w:rPr>
            </w:pPr>
            <w:r>
              <w:rPr>
                <w:sz w:val="20"/>
              </w:rPr>
              <w:t>H26.0,</w:t>
            </w:r>
            <w:r>
              <w:rPr>
                <w:spacing w:val="-4"/>
                <w:sz w:val="20"/>
              </w:rPr>
              <w:t> </w:t>
            </w:r>
            <w:r>
              <w:rPr>
                <w:sz w:val="20"/>
              </w:rPr>
              <w:t>H26.1,</w:t>
            </w:r>
            <w:r>
              <w:rPr>
                <w:spacing w:val="-5"/>
                <w:sz w:val="20"/>
              </w:rPr>
              <w:t> </w:t>
            </w:r>
            <w:r>
              <w:rPr>
                <w:spacing w:val="-2"/>
                <w:sz w:val="20"/>
              </w:rPr>
              <w:t>H26.2,</w:t>
            </w:r>
          </w:p>
          <w:p>
            <w:pPr>
              <w:pStyle w:val="TableParagraph"/>
              <w:spacing w:before="10"/>
              <w:ind w:left="102" w:right="102"/>
              <w:jc w:val="center"/>
              <w:rPr>
                <w:sz w:val="20"/>
              </w:rPr>
            </w:pPr>
            <w:r>
              <w:rPr>
                <w:sz w:val="20"/>
              </w:rPr>
              <w:t>H26.4,</w:t>
            </w:r>
            <w:r>
              <w:rPr>
                <w:spacing w:val="-4"/>
                <w:sz w:val="20"/>
              </w:rPr>
              <w:t> </w:t>
            </w:r>
            <w:r>
              <w:rPr>
                <w:sz w:val="20"/>
              </w:rPr>
              <w:t>H27.0,</w:t>
            </w:r>
            <w:r>
              <w:rPr>
                <w:spacing w:val="-5"/>
                <w:sz w:val="20"/>
              </w:rPr>
              <w:t> </w:t>
            </w:r>
            <w:r>
              <w:rPr>
                <w:spacing w:val="-2"/>
                <w:sz w:val="20"/>
              </w:rPr>
              <w:t>H33.0,</w:t>
            </w:r>
          </w:p>
          <w:p>
            <w:pPr>
              <w:pStyle w:val="TableParagraph"/>
              <w:spacing w:before="10"/>
              <w:ind w:left="102" w:right="102"/>
              <w:jc w:val="center"/>
              <w:rPr>
                <w:sz w:val="20"/>
              </w:rPr>
            </w:pPr>
            <w:r>
              <w:rPr>
                <w:sz w:val="20"/>
              </w:rPr>
              <w:t>H33.2</w:t>
            </w:r>
            <w:r>
              <w:rPr>
                <w:spacing w:val="-1"/>
                <w:sz w:val="20"/>
              </w:rPr>
              <w:t> </w:t>
            </w:r>
            <w:r>
              <w:rPr>
                <w:sz w:val="20"/>
              </w:rPr>
              <w:t>-</w:t>
            </w:r>
            <w:r>
              <w:rPr>
                <w:spacing w:val="-5"/>
                <w:sz w:val="20"/>
              </w:rPr>
              <w:t> </w:t>
            </w:r>
            <w:r>
              <w:rPr>
                <w:sz w:val="20"/>
              </w:rPr>
              <w:t>H33.5,</w:t>
            </w:r>
            <w:r>
              <w:rPr>
                <w:spacing w:val="-3"/>
                <w:sz w:val="20"/>
              </w:rPr>
              <w:t> </w:t>
            </w:r>
            <w:r>
              <w:rPr>
                <w:spacing w:val="-2"/>
                <w:sz w:val="20"/>
              </w:rPr>
              <w:t>H35.1,</w:t>
            </w:r>
          </w:p>
          <w:p>
            <w:pPr>
              <w:pStyle w:val="TableParagraph"/>
              <w:spacing w:before="10"/>
              <w:ind w:left="102" w:right="102"/>
              <w:jc w:val="center"/>
              <w:rPr>
                <w:sz w:val="20"/>
              </w:rPr>
            </w:pPr>
            <w:r>
              <w:rPr>
                <w:sz w:val="20"/>
              </w:rPr>
              <w:t>H40.3,</w:t>
            </w:r>
            <w:r>
              <w:rPr>
                <w:spacing w:val="-4"/>
                <w:sz w:val="20"/>
              </w:rPr>
              <w:t> </w:t>
            </w:r>
            <w:r>
              <w:rPr>
                <w:sz w:val="20"/>
              </w:rPr>
              <w:t>H40.4,</w:t>
            </w:r>
            <w:r>
              <w:rPr>
                <w:spacing w:val="-5"/>
                <w:sz w:val="20"/>
              </w:rPr>
              <w:t> </w:t>
            </w:r>
            <w:r>
              <w:rPr>
                <w:spacing w:val="-2"/>
                <w:sz w:val="20"/>
              </w:rPr>
              <w:t>H40.5,</w:t>
            </w:r>
          </w:p>
          <w:p>
            <w:pPr>
              <w:pStyle w:val="TableParagraph"/>
              <w:spacing w:before="10"/>
              <w:ind w:left="102" w:right="102"/>
              <w:jc w:val="center"/>
              <w:rPr>
                <w:sz w:val="20"/>
              </w:rPr>
            </w:pPr>
            <w:r>
              <w:rPr>
                <w:sz w:val="20"/>
              </w:rPr>
              <w:t>H43.1,</w:t>
            </w:r>
            <w:r>
              <w:rPr>
                <w:spacing w:val="-4"/>
                <w:sz w:val="20"/>
              </w:rPr>
              <w:t> </w:t>
            </w:r>
            <w:r>
              <w:rPr>
                <w:sz w:val="20"/>
              </w:rPr>
              <w:t>H43.3,</w:t>
            </w:r>
            <w:r>
              <w:rPr>
                <w:spacing w:val="-5"/>
                <w:sz w:val="20"/>
              </w:rPr>
              <w:t> </w:t>
            </w:r>
            <w:r>
              <w:rPr>
                <w:spacing w:val="-2"/>
                <w:sz w:val="20"/>
              </w:rPr>
              <w:t>H49.9,</w:t>
            </w:r>
          </w:p>
          <w:p>
            <w:pPr>
              <w:pStyle w:val="TableParagraph"/>
              <w:spacing w:before="10"/>
              <w:ind w:left="106" w:right="100"/>
              <w:jc w:val="center"/>
              <w:rPr>
                <w:sz w:val="20"/>
              </w:rPr>
            </w:pPr>
            <w:r>
              <w:rPr>
                <w:sz w:val="20"/>
              </w:rPr>
              <w:t>Q10.0,</w:t>
            </w:r>
            <w:r>
              <w:rPr>
                <w:spacing w:val="-4"/>
                <w:sz w:val="20"/>
              </w:rPr>
              <w:t> </w:t>
            </w:r>
            <w:r>
              <w:rPr>
                <w:sz w:val="20"/>
              </w:rPr>
              <w:t>Q10.1,</w:t>
            </w:r>
            <w:r>
              <w:rPr>
                <w:spacing w:val="-6"/>
                <w:sz w:val="20"/>
              </w:rPr>
              <w:t> </w:t>
            </w:r>
            <w:r>
              <w:rPr>
                <w:sz w:val="20"/>
              </w:rPr>
              <w:t>Q10.4 </w:t>
            </w:r>
            <w:r>
              <w:rPr>
                <w:spacing w:val="-10"/>
                <w:sz w:val="20"/>
              </w:rPr>
              <w:t>-</w:t>
            </w:r>
          </w:p>
          <w:p>
            <w:pPr>
              <w:pStyle w:val="TableParagraph"/>
              <w:spacing w:before="10"/>
              <w:ind w:left="102" w:right="102"/>
              <w:jc w:val="center"/>
              <w:rPr>
                <w:sz w:val="20"/>
              </w:rPr>
            </w:pPr>
            <w:r>
              <w:rPr>
                <w:sz w:val="20"/>
              </w:rPr>
              <w:t>Q10.7,</w:t>
            </w:r>
            <w:r>
              <w:rPr>
                <w:spacing w:val="-4"/>
                <w:sz w:val="20"/>
              </w:rPr>
              <w:t> </w:t>
            </w:r>
            <w:r>
              <w:rPr>
                <w:sz w:val="20"/>
              </w:rPr>
              <w:t>Q11.1,</w:t>
            </w:r>
            <w:r>
              <w:rPr>
                <w:spacing w:val="-5"/>
                <w:sz w:val="20"/>
              </w:rPr>
              <w:t> </w:t>
            </w:r>
            <w:r>
              <w:rPr>
                <w:spacing w:val="-2"/>
                <w:sz w:val="20"/>
              </w:rPr>
              <w:t>Q12.0,</w:t>
            </w:r>
          </w:p>
          <w:p>
            <w:pPr>
              <w:pStyle w:val="TableParagraph"/>
              <w:spacing w:before="10"/>
              <w:ind w:left="102" w:right="102"/>
              <w:jc w:val="center"/>
              <w:rPr>
                <w:sz w:val="20"/>
              </w:rPr>
            </w:pPr>
            <w:r>
              <w:rPr>
                <w:sz w:val="20"/>
              </w:rPr>
              <w:t>Q12.1,</w:t>
            </w:r>
            <w:r>
              <w:rPr>
                <w:spacing w:val="-4"/>
                <w:sz w:val="20"/>
              </w:rPr>
              <w:t> </w:t>
            </w:r>
            <w:r>
              <w:rPr>
                <w:sz w:val="20"/>
              </w:rPr>
              <w:t>Q12.3,</w:t>
            </w:r>
            <w:r>
              <w:rPr>
                <w:spacing w:val="-5"/>
                <w:sz w:val="20"/>
              </w:rPr>
              <w:t> </w:t>
            </w:r>
            <w:r>
              <w:rPr>
                <w:spacing w:val="-2"/>
                <w:sz w:val="20"/>
              </w:rPr>
              <w:t>Q12.4,</w:t>
            </w:r>
          </w:p>
          <w:p>
            <w:pPr>
              <w:pStyle w:val="TableParagraph"/>
              <w:spacing w:before="10"/>
              <w:ind w:left="102" w:right="102"/>
              <w:jc w:val="center"/>
              <w:rPr>
                <w:sz w:val="20"/>
              </w:rPr>
            </w:pPr>
            <w:r>
              <w:rPr>
                <w:sz w:val="20"/>
              </w:rPr>
              <w:t>Q12.8,</w:t>
            </w:r>
            <w:r>
              <w:rPr>
                <w:spacing w:val="-4"/>
                <w:sz w:val="20"/>
              </w:rPr>
              <w:t> </w:t>
            </w:r>
            <w:r>
              <w:rPr>
                <w:sz w:val="20"/>
              </w:rPr>
              <w:t>Q13.0,</w:t>
            </w:r>
            <w:r>
              <w:rPr>
                <w:spacing w:val="-5"/>
                <w:sz w:val="20"/>
              </w:rPr>
              <w:t> </w:t>
            </w:r>
            <w:r>
              <w:rPr>
                <w:spacing w:val="-2"/>
                <w:sz w:val="20"/>
              </w:rPr>
              <w:t>Q13.3,</w:t>
            </w:r>
          </w:p>
          <w:p>
            <w:pPr>
              <w:pStyle w:val="TableParagraph"/>
              <w:spacing w:before="10"/>
              <w:ind w:left="102" w:right="102"/>
              <w:jc w:val="center"/>
              <w:rPr>
                <w:sz w:val="20"/>
              </w:rPr>
            </w:pPr>
            <w:r>
              <w:rPr>
                <w:sz w:val="20"/>
              </w:rPr>
              <w:t>Q13.4,</w:t>
            </w:r>
            <w:r>
              <w:rPr>
                <w:spacing w:val="-4"/>
                <w:sz w:val="20"/>
              </w:rPr>
              <w:t> </w:t>
            </w:r>
            <w:r>
              <w:rPr>
                <w:sz w:val="20"/>
              </w:rPr>
              <w:t>Q13.8,</w:t>
            </w:r>
            <w:r>
              <w:rPr>
                <w:spacing w:val="-5"/>
                <w:sz w:val="20"/>
              </w:rPr>
              <w:t> </w:t>
            </w:r>
            <w:r>
              <w:rPr>
                <w:spacing w:val="-2"/>
                <w:sz w:val="20"/>
              </w:rPr>
              <w:t>Q14.0,</w:t>
            </w:r>
          </w:p>
          <w:p>
            <w:pPr>
              <w:pStyle w:val="TableParagraph"/>
              <w:spacing w:before="10"/>
              <w:ind w:left="102" w:right="102"/>
              <w:jc w:val="center"/>
              <w:rPr>
                <w:sz w:val="20"/>
              </w:rPr>
            </w:pPr>
            <w:r>
              <w:rPr>
                <w:sz w:val="20"/>
              </w:rPr>
              <w:t>Q14.1,</w:t>
            </w:r>
            <w:r>
              <w:rPr>
                <w:spacing w:val="-4"/>
                <w:sz w:val="20"/>
              </w:rPr>
              <w:t> </w:t>
            </w:r>
            <w:r>
              <w:rPr>
                <w:sz w:val="20"/>
              </w:rPr>
              <w:t>Q14.3,</w:t>
            </w:r>
            <w:r>
              <w:rPr>
                <w:spacing w:val="-5"/>
                <w:sz w:val="20"/>
              </w:rPr>
              <w:t> </w:t>
            </w:r>
            <w:r>
              <w:rPr>
                <w:spacing w:val="-2"/>
                <w:sz w:val="20"/>
              </w:rPr>
              <w:t>Q15.0,</w:t>
            </w:r>
          </w:p>
          <w:p>
            <w:pPr>
              <w:pStyle w:val="TableParagraph"/>
              <w:spacing w:line="249" w:lineRule="auto" w:before="11"/>
              <w:ind w:left="105" w:right="102"/>
              <w:jc w:val="center"/>
              <w:rPr>
                <w:sz w:val="20"/>
              </w:rPr>
            </w:pPr>
            <w:r>
              <w:rPr>
                <w:sz w:val="20"/>
              </w:rPr>
              <w:t>H02.0</w:t>
            </w:r>
            <w:r>
              <w:rPr>
                <w:spacing w:val="-12"/>
                <w:sz w:val="20"/>
              </w:rPr>
              <w:t> </w:t>
            </w:r>
            <w:r>
              <w:rPr>
                <w:sz w:val="20"/>
              </w:rPr>
              <w:t>-</w:t>
            </w:r>
            <w:r>
              <w:rPr>
                <w:spacing w:val="-13"/>
                <w:sz w:val="20"/>
              </w:rPr>
              <w:t> </w:t>
            </w:r>
            <w:r>
              <w:rPr>
                <w:sz w:val="20"/>
              </w:rPr>
              <w:t>H02.5,</w:t>
            </w:r>
            <w:r>
              <w:rPr>
                <w:spacing w:val="-12"/>
                <w:sz w:val="20"/>
              </w:rPr>
              <w:t> </w:t>
            </w:r>
            <w:r>
              <w:rPr>
                <w:sz w:val="20"/>
              </w:rPr>
              <w:t>H04.5, H05.3, H11.2</w:t>
            </w:r>
          </w:p>
        </w:tc>
        <w:tc>
          <w:tcPr>
            <w:tcW w:w="3312" w:type="dxa"/>
            <w:vMerge w:val="restart"/>
          </w:tcPr>
          <w:p>
            <w:pPr>
              <w:pStyle w:val="TableParagraph"/>
              <w:spacing w:line="249" w:lineRule="auto"/>
              <w:ind w:left="112" w:right="73"/>
              <w:rPr>
                <w:sz w:val="20"/>
              </w:rPr>
            </w:pPr>
            <w:r>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w:t>
            </w:r>
            <w:r>
              <w:rPr>
                <w:spacing w:val="-10"/>
                <w:sz w:val="20"/>
              </w:rPr>
              <w:t> </w:t>
            </w:r>
            <w:r>
              <w:rPr>
                <w:sz w:val="20"/>
              </w:rPr>
              <w:t>тела</w:t>
            </w:r>
            <w:r>
              <w:rPr>
                <w:spacing w:val="-11"/>
                <w:sz w:val="20"/>
              </w:rPr>
              <w:t> </w:t>
            </w:r>
            <w:r>
              <w:rPr>
                <w:sz w:val="20"/>
              </w:rPr>
              <w:t>и</w:t>
            </w:r>
            <w:r>
              <w:rPr>
                <w:spacing w:val="-10"/>
                <w:sz w:val="20"/>
              </w:rPr>
              <w:t> </w:t>
            </w:r>
            <w:r>
              <w:rPr>
                <w:sz w:val="20"/>
              </w:rPr>
              <w:t>передней</w:t>
            </w:r>
            <w:r>
              <w:rPr>
                <w:spacing w:val="-10"/>
                <w:sz w:val="20"/>
              </w:rPr>
              <w:t> </w:t>
            </w:r>
            <w:r>
              <w:rPr>
                <w:sz w:val="20"/>
              </w:rPr>
              <w:t>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pPr>
              <w:pStyle w:val="TableParagraph"/>
              <w:spacing w:line="249" w:lineRule="auto" w:before="2"/>
              <w:ind w:left="112" w:right="73"/>
              <w:rPr>
                <w:sz w:val="20"/>
              </w:rPr>
            </w:pPr>
            <w:r>
              <w:rPr>
                <w:sz w:val="20"/>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w:t>
            </w:r>
            <w:r>
              <w:rPr>
                <w:spacing w:val="-13"/>
                <w:sz w:val="20"/>
              </w:rPr>
              <w:t> </w:t>
            </w:r>
            <w:r>
              <w:rPr>
                <w:sz w:val="20"/>
              </w:rPr>
              <w:t>аппарата</w:t>
            </w:r>
            <w:r>
              <w:rPr>
                <w:spacing w:val="-12"/>
                <w:sz w:val="20"/>
              </w:rPr>
              <w:t> </w:t>
            </w:r>
            <w:r>
              <w:rPr>
                <w:sz w:val="20"/>
              </w:rPr>
              <w:t>без</w:t>
            </w:r>
            <w:r>
              <w:rPr>
                <w:spacing w:val="-13"/>
                <w:sz w:val="20"/>
              </w:rPr>
              <w:t> </w:t>
            </w:r>
            <w:r>
              <w:rPr>
                <w:sz w:val="20"/>
              </w:rPr>
              <w:t>осложнений или осложненные патологией роговицы. Врожденные болезни</w:t>
            </w:r>
          </w:p>
          <w:p>
            <w:pPr>
              <w:pStyle w:val="TableParagraph"/>
              <w:spacing w:line="240" w:lineRule="atLeast"/>
              <w:ind w:left="112" w:right="73"/>
              <w:rPr>
                <w:sz w:val="20"/>
              </w:rPr>
            </w:pPr>
            <w:r>
              <w:rPr>
                <w:sz w:val="20"/>
              </w:rPr>
              <w:t>мышц глаза, нарушение содружественного</w:t>
            </w:r>
            <w:r>
              <w:rPr>
                <w:spacing w:val="-13"/>
                <w:sz w:val="20"/>
              </w:rPr>
              <w:t> </w:t>
            </w:r>
            <w:r>
              <w:rPr>
                <w:sz w:val="20"/>
              </w:rPr>
              <w:t>движения</w:t>
            </w:r>
            <w:r>
              <w:rPr>
                <w:spacing w:val="-12"/>
                <w:sz w:val="20"/>
              </w:rPr>
              <w:t> </w:t>
            </w:r>
            <w:r>
              <w:rPr>
                <w:sz w:val="20"/>
              </w:rPr>
              <w:t>глаз</w:t>
            </w:r>
          </w:p>
        </w:tc>
        <w:tc>
          <w:tcPr>
            <w:tcW w:w="1472" w:type="dxa"/>
          </w:tcPr>
          <w:p>
            <w:pPr>
              <w:pStyle w:val="TableParagraph"/>
              <w:spacing w:line="249" w:lineRule="auto"/>
              <w:ind w:left="108"/>
              <w:rPr>
                <w:sz w:val="20"/>
              </w:rPr>
            </w:pPr>
            <w:r>
              <w:rPr>
                <w:spacing w:val="-2"/>
                <w:sz w:val="20"/>
              </w:rPr>
              <w:t>хирургическое лечение</w:t>
            </w:r>
          </w:p>
        </w:tc>
        <w:tc>
          <w:tcPr>
            <w:tcW w:w="3637" w:type="dxa"/>
          </w:tcPr>
          <w:p>
            <w:pPr>
              <w:pStyle w:val="TableParagraph"/>
              <w:spacing w:line="249" w:lineRule="auto"/>
              <w:ind w:left="110"/>
              <w:rPr>
                <w:sz w:val="20"/>
              </w:rPr>
            </w:pPr>
            <w:r>
              <w:rPr>
                <w:sz w:val="20"/>
              </w:rPr>
              <w:t>эписклеральное круговое и (или) локальное</w:t>
            </w:r>
            <w:r>
              <w:rPr>
                <w:spacing w:val="-9"/>
                <w:sz w:val="20"/>
              </w:rPr>
              <w:t> </w:t>
            </w:r>
            <w:r>
              <w:rPr>
                <w:sz w:val="20"/>
              </w:rPr>
              <w:t>пломбирование,</w:t>
            </w:r>
            <w:r>
              <w:rPr>
                <w:spacing w:val="-8"/>
                <w:sz w:val="20"/>
              </w:rPr>
              <w:t> </w:t>
            </w:r>
            <w:r>
              <w:rPr>
                <w:sz w:val="20"/>
              </w:rPr>
              <w:t>в</w:t>
            </w:r>
            <w:r>
              <w:rPr>
                <w:spacing w:val="-8"/>
                <w:sz w:val="20"/>
              </w:rPr>
              <w:t> </w:t>
            </w:r>
            <w:r>
              <w:rPr>
                <w:sz w:val="20"/>
              </w:rPr>
              <w:t>том</w:t>
            </w:r>
            <w:r>
              <w:rPr>
                <w:spacing w:val="-8"/>
                <w:sz w:val="20"/>
              </w:rPr>
              <w:t> </w:t>
            </w:r>
            <w:r>
              <w:rPr>
                <w:sz w:val="20"/>
              </w:rPr>
              <w:t>числе</w:t>
            </w:r>
            <w:r>
              <w:rPr>
                <w:spacing w:val="-9"/>
                <w:sz w:val="20"/>
              </w:rPr>
              <w:t> </w:t>
            </w:r>
            <w:r>
              <w:rPr>
                <w:sz w:val="20"/>
              </w:rPr>
              <w:t>с трансклеральной лазерной коагуляцией </w:t>
            </w:r>
            <w:r>
              <w:rPr>
                <w:spacing w:val="-2"/>
                <w:sz w:val="20"/>
              </w:rPr>
              <w:t>сетчатки</w:t>
            </w:r>
          </w:p>
        </w:tc>
      </w:tr>
      <w:tr>
        <w:trPr>
          <w:trHeight w:val="2580" w:hRule="atLeast"/>
        </w:trPr>
        <w:tc>
          <w:tcPr>
            <w:tcW w:w="2767" w:type="dxa"/>
            <w:vMerge/>
            <w:tcBorders>
              <w:top w:val="nil"/>
            </w:tcBorders>
          </w:tcPr>
          <w:p>
            <w:pPr>
              <w:rPr>
                <w:sz w:val="2"/>
                <w:szCs w:val="2"/>
              </w:rPr>
            </w:pPr>
          </w:p>
        </w:tc>
        <w:tc>
          <w:tcPr>
            <w:tcW w:w="2031" w:type="dxa"/>
            <w:vMerge/>
            <w:tcBorders>
              <w:top w:val="nil"/>
            </w:tcBorders>
          </w:tcPr>
          <w:p>
            <w:pPr>
              <w:rPr>
                <w:sz w:val="2"/>
                <w:szCs w:val="2"/>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9" w:lineRule="auto" w:before="60"/>
              <w:ind w:left="110"/>
              <w:rPr>
                <w:sz w:val="20"/>
              </w:rPr>
            </w:pPr>
            <w:r>
              <w:rPr>
                <w:sz w:val="20"/>
              </w:rPr>
              <w:t>эписклеральное круговое и (или) локальное</w:t>
            </w:r>
            <w:r>
              <w:rPr>
                <w:spacing w:val="-11"/>
                <w:sz w:val="20"/>
              </w:rPr>
              <w:t> </w:t>
            </w:r>
            <w:r>
              <w:rPr>
                <w:sz w:val="20"/>
              </w:rPr>
              <w:t>пломбирование</w:t>
            </w:r>
            <w:r>
              <w:rPr>
                <w:spacing w:val="-11"/>
                <w:sz w:val="20"/>
              </w:rPr>
              <w:t> </w:t>
            </w:r>
            <w:r>
              <w:rPr>
                <w:sz w:val="20"/>
              </w:rPr>
              <w:t>в</w:t>
            </w:r>
            <w:r>
              <w:rPr>
                <w:spacing w:val="-10"/>
                <w:sz w:val="20"/>
              </w:rPr>
              <w:t> </w:t>
            </w:r>
            <w:r>
              <w:rPr>
                <w:sz w:val="20"/>
              </w:rPr>
              <w:t>сочетании</w:t>
            </w:r>
            <w:r>
              <w:rPr>
                <w:spacing w:val="-12"/>
                <w:sz w:val="20"/>
              </w:rPr>
              <w:t> </w:t>
            </w:r>
            <w:r>
              <w:rPr>
                <w:sz w:val="20"/>
              </w:rPr>
              <w:t>с витрэктомией, в том числе с ленсэктомией, имплантацией интраокулярной линзы, мембрано- пилингом, швартэктомией, шварто- томией,</w:t>
            </w:r>
            <w:r>
              <w:rPr>
                <w:spacing w:val="-8"/>
                <w:sz w:val="20"/>
              </w:rPr>
              <w:t> </w:t>
            </w:r>
            <w:r>
              <w:rPr>
                <w:sz w:val="20"/>
              </w:rPr>
              <w:t>ретинотомией,</w:t>
            </w:r>
            <w:r>
              <w:rPr>
                <w:spacing w:val="-8"/>
                <w:sz w:val="20"/>
              </w:rPr>
              <w:t> </w:t>
            </w:r>
            <w:r>
              <w:rPr>
                <w:sz w:val="20"/>
              </w:rPr>
              <w:t>эндотампонадой перфторорганическим соединением, силиконовым маслом, эндолазеркоагуляцией сетчатки</w:t>
            </w:r>
          </w:p>
        </w:tc>
      </w:tr>
      <w:tr>
        <w:trPr>
          <w:trHeight w:val="102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9" w:lineRule="auto"/>
              <w:ind w:left="110"/>
              <w:rPr>
                <w:sz w:val="20"/>
              </w:rPr>
            </w:pPr>
            <w:r>
              <w:rPr>
                <w:sz w:val="20"/>
              </w:rPr>
              <w:t>сквозная</w:t>
            </w:r>
            <w:r>
              <w:rPr>
                <w:spacing w:val="-8"/>
                <w:sz w:val="20"/>
              </w:rPr>
              <w:t> </w:t>
            </w:r>
            <w:r>
              <w:rPr>
                <w:sz w:val="20"/>
              </w:rPr>
              <w:t>кератопластика,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реконструкцией передней камеры, имплантацией эластичной интраокулярной линзы</w:t>
            </w:r>
          </w:p>
        </w:tc>
      </w:tr>
      <w:tr>
        <w:trPr>
          <w:trHeight w:val="36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before="60"/>
              <w:ind w:left="110"/>
              <w:rPr>
                <w:sz w:val="20"/>
              </w:rPr>
            </w:pPr>
            <w:r>
              <w:rPr>
                <w:sz w:val="20"/>
              </w:rPr>
              <w:t>сквозная</w:t>
            </w:r>
            <w:r>
              <w:rPr>
                <w:spacing w:val="-7"/>
                <w:sz w:val="20"/>
              </w:rPr>
              <w:t> </w:t>
            </w:r>
            <w:r>
              <w:rPr>
                <w:spacing w:val="-2"/>
                <w:sz w:val="20"/>
              </w:rPr>
              <w:t>лимбокератопластика</w:t>
            </w:r>
          </w:p>
        </w:tc>
      </w:tr>
      <w:tr>
        <w:trPr>
          <w:trHeight w:val="36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before="60"/>
              <w:ind w:left="110"/>
              <w:rPr>
                <w:sz w:val="20"/>
              </w:rPr>
            </w:pPr>
            <w:r>
              <w:rPr>
                <w:sz w:val="20"/>
              </w:rPr>
              <w:t>послойная</w:t>
            </w:r>
            <w:r>
              <w:rPr>
                <w:spacing w:val="-12"/>
                <w:sz w:val="20"/>
              </w:rPr>
              <w:t> </w:t>
            </w:r>
            <w:r>
              <w:rPr>
                <w:spacing w:val="-2"/>
                <w:sz w:val="20"/>
              </w:rPr>
              <w:t>кератопластика</w:t>
            </w:r>
          </w:p>
        </w:tc>
      </w:tr>
      <w:tr>
        <w:trPr>
          <w:trHeight w:val="84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9" w:lineRule="auto" w:before="60"/>
              <w:ind w:left="110"/>
              <w:rPr>
                <w:sz w:val="20"/>
              </w:rPr>
            </w:pPr>
            <w:r>
              <w:rPr>
                <w:sz w:val="20"/>
              </w:rPr>
              <w:t>реконструкция</w:t>
            </w:r>
            <w:r>
              <w:rPr>
                <w:spacing w:val="-13"/>
                <w:sz w:val="20"/>
              </w:rPr>
              <w:t> </w:t>
            </w:r>
            <w:r>
              <w:rPr>
                <w:sz w:val="20"/>
              </w:rPr>
              <w:t>передней</w:t>
            </w:r>
            <w:r>
              <w:rPr>
                <w:spacing w:val="-12"/>
                <w:sz w:val="20"/>
              </w:rPr>
              <w:t> </w:t>
            </w:r>
            <w:r>
              <w:rPr>
                <w:sz w:val="20"/>
              </w:rPr>
              <w:t>камеры</w:t>
            </w:r>
            <w:r>
              <w:rPr>
                <w:spacing w:val="-13"/>
                <w:sz w:val="20"/>
              </w:rPr>
              <w:t> </w:t>
            </w:r>
            <w:r>
              <w:rPr>
                <w:sz w:val="20"/>
              </w:rPr>
              <w:t>с ленсэктомией, в том числе с витрэктомией, швартотомией</w:t>
            </w:r>
          </w:p>
        </w:tc>
      </w:tr>
      <w:tr>
        <w:trPr>
          <w:trHeight w:val="101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0" w:lineRule="atLeast" w:before="30"/>
              <w:ind w:left="110" w:right="48"/>
              <w:rPr>
                <w:sz w:val="20"/>
              </w:rPr>
            </w:pPr>
            <w:r>
              <w:rPr>
                <w:sz w:val="20"/>
              </w:rPr>
              <w:t>микроинвазивная</w:t>
            </w:r>
            <w:r>
              <w:rPr>
                <w:spacing w:val="-13"/>
                <w:sz w:val="20"/>
              </w:rPr>
              <w:t> </w:t>
            </w:r>
            <w:r>
              <w:rPr>
                <w:sz w:val="20"/>
              </w:rPr>
              <w:t>экстракция</w:t>
            </w:r>
            <w:r>
              <w:rPr>
                <w:spacing w:val="-12"/>
                <w:sz w:val="20"/>
              </w:rPr>
              <w:t> </w:t>
            </w:r>
            <w:r>
              <w:rPr>
                <w:sz w:val="20"/>
              </w:rPr>
              <w:t>катаракты, в том числе с реконструкцией передней камеры, витрэктомией, имплантацией эластичной интраокулярной линзы</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3"/>
      </w:tblGrid>
      <w:tr>
        <w:trPr>
          <w:trHeight w:val="770" w:hRule="atLeast"/>
        </w:trPr>
        <w:tc>
          <w:tcPr>
            <w:tcW w:w="3633" w:type="dxa"/>
          </w:tcPr>
          <w:p>
            <w:pPr>
              <w:pStyle w:val="TableParagraph"/>
              <w:spacing w:line="249" w:lineRule="auto"/>
              <w:ind w:left="50" w:right="41"/>
              <w:rPr>
                <w:sz w:val="20"/>
              </w:rPr>
            </w:pPr>
            <w:r>
              <w:rPr>
                <w:sz w:val="20"/>
              </w:rPr>
              <w:t>факоаспирация</w:t>
            </w:r>
            <w:r>
              <w:rPr>
                <w:spacing w:val="-13"/>
                <w:sz w:val="20"/>
              </w:rPr>
              <w:t> </w:t>
            </w:r>
            <w:r>
              <w:rPr>
                <w:sz w:val="20"/>
              </w:rPr>
              <w:t>врожденной</w:t>
            </w:r>
            <w:r>
              <w:rPr>
                <w:spacing w:val="-12"/>
                <w:sz w:val="20"/>
              </w:rPr>
              <w:t> </w:t>
            </w:r>
            <w:r>
              <w:rPr>
                <w:sz w:val="20"/>
              </w:rPr>
              <w:t>катаракты</w:t>
            </w:r>
            <w:r>
              <w:rPr>
                <w:spacing w:val="-13"/>
                <w:sz w:val="20"/>
              </w:rPr>
              <w:t> </w:t>
            </w:r>
            <w:r>
              <w:rPr>
                <w:sz w:val="20"/>
              </w:rPr>
              <w:t>с имплантацией эластичной интраокулярной линзы</w:t>
            </w:r>
          </w:p>
        </w:tc>
      </w:tr>
      <w:tr>
        <w:trPr>
          <w:trHeight w:val="600" w:hRule="atLeast"/>
        </w:trPr>
        <w:tc>
          <w:tcPr>
            <w:tcW w:w="3633" w:type="dxa"/>
          </w:tcPr>
          <w:p>
            <w:pPr>
              <w:pStyle w:val="TableParagraph"/>
              <w:spacing w:line="249" w:lineRule="auto" w:before="60"/>
              <w:ind w:left="50" w:right="743"/>
              <w:rPr>
                <w:sz w:val="20"/>
              </w:rPr>
            </w:pPr>
            <w:r>
              <w:rPr>
                <w:sz w:val="20"/>
              </w:rPr>
              <w:t>панретинальная</w:t>
            </w:r>
            <w:r>
              <w:rPr>
                <w:spacing w:val="-13"/>
                <w:sz w:val="20"/>
              </w:rPr>
              <w:t> </w:t>
            </w:r>
            <w:r>
              <w:rPr>
                <w:sz w:val="20"/>
              </w:rPr>
              <w:t>лазеркоагуляция </w:t>
            </w:r>
            <w:r>
              <w:rPr>
                <w:spacing w:val="-2"/>
                <w:sz w:val="20"/>
              </w:rPr>
              <w:t>сетчатки</w:t>
            </w:r>
          </w:p>
        </w:tc>
      </w:tr>
      <w:tr>
        <w:trPr>
          <w:trHeight w:val="2040" w:hRule="atLeast"/>
        </w:trPr>
        <w:tc>
          <w:tcPr>
            <w:tcW w:w="3633" w:type="dxa"/>
          </w:tcPr>
          <w:p>
            <w:pPr>
              <w:pStyle w:val="TableParagraph"/>
              <w:spacing w:line="249" w:lineRule="auto" w:before="60"/>
              <w:ind w:left="50" w:right="41"/>
              <w:rPr>
                <w:sz w:val="20"/>
              </w:rPr>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rPr>
                <w:spacing w:val="-2"/>
                <w:sz w:val="20"/>
              </w:rPr>
              <w:t>эндотампонадой перфторорганическим </w:t>
            </w:r>
            <w:r>
              <w:rPr>
                <w:sz w:val="20"/>
              </w:rPr>
              <w:t>соединением, силиконовым маслом, эндолазеркоагуляцией сетчатки</w:t>
            </w:r>
          </w:p>
        </w:tc>
      </w:tr>
      <w:tr>
        <w:trPr>
          <w:trHeight w:val="600" w:hRule="atLeast"/>
        </w:trPr>
        <w:tc>
          <w:tcPr>
            <w:tcW w:w="3633" w:type="dxa"/>
          </w:tcPr>
          <w:p>
            <w:pPr>
              <w:pStyle w:val="TableParagraph"/>
              <w:spacing w:line="249" w:lineRule="auto" w:before="60"/>
              <w:ind w:left="50" w:right="426"/>
              <w:rPr>
                <w:sz w:val="20"/>
              </w:rPr>
            </w:pPr>
            <w:r>
              <w:rPr>
                <w:spacing w:val="-2"/>
                <w:sz w:val="20"/>
              </w:rPr>
              <w:t>диодлазерная циклофотокоагуляция, </w:t>
            </w:r>
            <w:r>
              <w:rPr>
                <w:sz w:val="20"/>
              </w:rPr>
              <w:t>в том числе с коагуляцией сосудов</w:t>
            </w:r>
          </w:p>
        </w:tc>
      </w:tr>
      <w:tr>
        <w:trPr>
          <w:trHeight w:val="1560" w:hRule="atLeast"/>
        </w:trPr>
        <w:tc>
          <w:tcPr>
            <w:tcW w:w="3633" w:type="dxa"/>
          </w:tcPr>
          <w:p>
            <w:pPr>
              <w:pStyle w:val="TableParagraph"/>
              <w:spacing w:line="249" w:lineRule="auto" w:before="60"/>
              <w:ind w:left="50" w:right="216"/>
              <w:rPr>
                <w:sz w:val="20"/>
              </w:rPr>
            </w:pPr>
            <w:r>
              <w:rPr>
                <w:sz w:val="20"/>
              </w:rPr>
              <w:t>удаление</w:t>
            </w:r>
            <w:r>
              <w:rPr>
                <w:spacing w:val="-13"/>
                <w:sz w:val="20"/>
              </w:rPr>
              <w:t> </w:t>
            </w:r>
            <w:r>
              <w:rPr>
                <w:sz w:val="20"/>
              </w:rPr>
              <w:t>силиконового</w:t>
            </w:r>
            <w:r>
              <w:rPr>
                <w:spacing w:val="-12"/>
                <w:sz w:val="20"/>
              </w:rPr>
              <w:t> </w:t>
            </w:r>
            <w:r>
              <w:rPr>
                <w:sz w:val="20"/>
              </w:rPr>
              <w:t>масла</w:t>
            </w:r>
            <w:r>
              <w:rPr>
                <w:spacing w:val="-13"/>
                <w:sz w:val="20"/>
              </w:rPr>
              <w:t> </w:t>
            </w:r>
            <w:r>
              <w:rPr>
                <w:sz w:val="20"/>
              </w:rPr>
              <w:t>(другого высокомолекулярного соединения) из витреальной полости с введением расширяющегося газа и (или) воздуха, в том числе эндолазеркоагуляцией </w:t>
            </w:r>
            <w:r>
              <w:rPr>
                <w:spacing w:val="-2"/>
                <w:sz w:val="20"/>
              </w:rPr>
              <w:t>сетчатки</w:t>
            </w:r>
          </w:p>
        </w:tc>
      </w:tr>
      <w:tr>
        <w:trPr>
          <w:trHeight w:val="840" w:hRule="atLeast"/>
        </w:trPr>
        <w:tc>
          <w:tcPr>
            <w:tcW w:w="3633" w:type="dxa"/>
          </w:tcPr>
          <w:p>
            <w:pPr>
              <w:pStyle w:val="TableParagraph"/>
              <w:spacing w:line="249" w:lineRule="auto" w:before="60"/>
              <w:ind w:left="50" w:right="41"/>
              <w:rPr>
                <w:sz w:val="20"/>
              </w:rPr>
            </w:pPr>
            <w:r>
              <w:rPr>
                <w:sz w:val="20"/>
              </w:rPr>
              <w:t>реконструктивно-пластические</w:t>
            </w:r>
            <w:r>
              <w:rPr>
                <w:spacing w:val="-13"/>
                <w:sz w:val="20"/>
              </w:rPr>
              <w:t> </w:t>
            </w:r>
            <w:r>
              <w:rPr>
                <w:sz w:val="20"/>
              </w:rPr>
              <w:t>операции на экстраокулярных мышцах или веках или</w:t>
            </w:r>
            <w:r>
              <w:rPr>
                <w:spacing w:val="-4"/>
                <w:sz w:val="20"/>
              </w:rPr>
              <w:t> </w:t>
            </w:r>
            <w:r>
              <w:rPr>
                <w:sz w:val="20"/>
              </w:rPr>
              <w:t>слезных</w:t>
            </w:r>
            <w:r>
              <w:rPr>
                <w:spacing w:val="-1"/>
                <w:sz w:val="20"/>
              </w:rPr>
              <w:t> </w:t>
            </w:r>
            <w:r>
              <w:rPr>
                <w:sz w:val="20"/>
              </w:rPr>
              <w:t>путях</w:t>
            </w:r>
            <w:r>
              <w:rPr>
                <w:spacing w:val="-4"/>
                <w:sz w:val="20"/>
              </w:rPr>
              <w:t> </w:t>
            </w:r>
            <w:r>
              <w:rPr>
                <w:sz w:val="20"/>
              </w:rPr>
              <w:t>при</w:t>
            </w:r>
            <w:r>
              <w:rPr>
                <w:spacing w:val="-4"/>
                <w:sz w:val="20"/>
              </w:rPr>
              <w:t> </w:t>
            </w:r>
            <w:r>
              <w:rPr>
                <w:sz w:val="20"/>
              </w:rPr>
              <w:t>пороках</w:t>
            </w:r>
            <w:r>
              <w:rPr>
                <w:spacing w:val="-4"/>
                <w:sz w:val="20"/>
              </w:rPr>
              <w:t> </w:t>
            </w:r>
            <w:r>
              <w:rPr>
                <w:sz w:val="20"/>
              </w:rPr>
              <w:t>развития</w:t>
            </w:r>
          </w:p>
        </w:tc>
      </w:tr>
      <w:tr>
        <w:trPr>
          <w:trHeight w:val="839" w:hRule="atLeast"/>
        </w:trPr>
        <w:tc>
          <w:tcPr>
            <w:tcW w:w="3633" w:type="dxa"/>
          </w:tcPr>
          <w:p>
            <w:pPr>
              <w:pStyle w:val="TableParagraph"/>
              <w:spacing w:line="249" w:lineRule="auto" w:before="60"/>
              <w:ind w:left="50" w:right="41"/>
              <w:rPr>
                <w:sz w:val="20"/>
              </w:rPr>
            </w:pPr>
            <w:r>
              <w:rPr>
                <w:spacing w:val="-2"/>
                <w:sz w:val="20"/>
              </w:rPr>
              <w:t>модифицированная </w:t>
            </w:r>
            <w:r>
              <w:rPr>
                <w:sz w:val="20"/>
              </w:rPr>
              <w:t>синустрабекулэктомия,</w:t>
            </w:r>
            <w:r>
              <w:rPr>
                <w:spacing w:val="-11"/>
                <w:sz w:val="20"/>
              </w:rPr>
              <w:t> </w:t>
            </w: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 задней трепанацией склеры</w:t>
            </w:r>
          </w:p>
        </w:tc>
      </w:tr>
      <w:tr>
        <w:trPr>
          <w:trHeight w:val="530" w:hRule="atLeast"/>
        </w:trPr>
        <w:tc>
          <w:tcPr>
            <w:tcW w:w="3633" w:type="dxa"/>
          </w:tcPr>
          <w:p>
            <w:pPr>
              <w:pStyle w:val="TableParagraph"/>
              <w:spacing w:line="240" w:lineRule="atLeast" w:before="30"/>
              <w:ind w:left="50" w:right="61"/>
              <w:rPr>
                <w:sz w:val="20"/>
              </w:rPr>
            </w:pPr>
            <w:r>
              <w:rPr>
                <w:sz w:val="20"/>
              </w:rPr>
              <w:t>имплантация эластичной интраокулярной</w:t>
            </w:r>
            <w:r>
              <w:rPr>
                <w:spacing w:val="-12"/>
                <w:sz w:val="20"/>
              </w:rPr>
              <w:t> </w:t>
            </w:r>
            <w:r>
              <w:rPr>
                <w:sz w:val="20"/>
              </w:rPr>
              <w:t>линзы</w:t>
            </w:r>
            <w:r>
              <w:rPr>
                <w:spacing w:val="-10"/>
                <w:sz w:val="20"/>
              </w:rPr>
              <w:t> </w:t>
            </w:r>
            <w:r>
              <w:rPr>
                <w:sz w:val="20"/>
              </w:rPr>
              <w:t>в</w:t>
            </w:r>
            <w:r>
              <w:rPr>
                <w:spacing w:val="-12"/>
                <w:sz w:val="20"/>
              </w:rPr>
              <w:t> </w:t>
            </w:r>
            <w:r>
              <w:rPr>
                <w:sz w:val="20"/>
              </w:rPr>
              <w:t>афакичный</w:t>
            </w:r>
            <w:r>
              <w:rPr>
                <w:spacing w:val="-12"/>
                <w:sz w:val="20"/>
              </w:rPr>
              <w:t> </w:t>
            </w:r>
            <w:r>
              <w:rPr>
                <w:sz w:val="20"/>
              </w:rPr>
              <w:t>глаз</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5"/>
      </w:tblGrid>
      <w:tr>
        <w:trPr>
          <w:trHeight w:val="530" w:hRule="atLeast"/>
        </w:trPr>
        <w:tc>
          <w:tcPr>
            <w:tcW w:w="3645" w:type="dxa"/>
          </w:tcPr>
          <w:p>
            <w:pPr>
              <w:pStyle w:val="TableParagraph"/>
              <w:spacing w:line="249" w:lineRule="auto"/>
              <w:ind w:left="50"/>
              <w:rPr>
                <w:sz w:val="20"/>
              </w:rPr>
            </w:pPr>
            <w:r>
              <w:rPr>
                <w:sz w:val="20"/>
              </w:rPr>
              <w:t>с</w:t>
            </w:r>
            <w:r>
              <w:rPr>
                <w:spacing w:val="-8"/>
                <w:sz w:val="20"/>
              </w:rPr>
              <w:t> </w:t>
            </w:r>
            <w:r>
              <w:rPr>
                <w:sz w:val="20"/>
              </w:rPr>
              <w:t>реконструкцией</w:t>
            </w:r>
            <w:r>
              <w:rPr>
                <w:spacing w:val="-9"/>
                <w:sz w:val="20"/>
              </w:rPr>
              <w:t> </w:t>
            </w:r>
            <w:r>
              <w:rPr>
                <w:sz w:val="20"/>
              </w:rPr>
              <w:t>задней</w:t>
            </w:r>
            <w:r>
              <w:rPr>
                <w:spacing w:val="-9"/>
                <w:sz w:val="20"/>
              </w:rPr>
              <w:t> </w:t>
            </w:r>
            <w:r>
              <w:rPr>
                <w:sz w:val="20"/>
              </w:rPr>
              <w:t>камеры,</w:t>
            </w:r>
            <w:r>
              <w:rPr>
                <w:spacing w:val="-7"/>
                <w:sz w:val="20"/>
              </w:rPr>
              <w:t> </w:t>
            </w:r>
            <w:r>
              <w:rPr>
                <w:sz w:val="20"/>
              </w:rPr>
              <w:t>в</w:t>
            </w:r>
            <w:r>
              <w:rPr>
                <w:spacing w:val="-9"/>
                <w:sz w:val="20"/>
              </w:rPr>
              <w:t> </w:t>
            </w:r>
            <w:r>
              <w:rPr>
                <w:sz w:val="20"/>
              </w:rPr>
              <w:t>том числе с витрэктомией</w:t>
            </w:r>
          </w:p>
        </w:tc>
      </w:tr>
      <w:tr>
        <w:trPr>
          <w:trHeight w:val="600" w:hRule="atLeast"/>
        </w:trPr>
        <w:tc>
          <w:tcPr>
            <w:tcW w:w="3645" w:type="dxa"/>
          </w:tcPr>
          <w:p>
            <w:pPr>
              <w:pStyle w:val="TableParagraph"/>
              <w:spacing w:line="252" w:lineRule="auto" w:before="60"/>
              <w:ind w:left="50"/>
              <w:rPr>
                <w:sz w:val="20"/>
              </w:rPr>
            </w:pPr>
            <w:r>
              <w:rPr>
                <w:sz w:val="20"/>
              </w:rPr>
              <w:t>пластика культи орбитальным имплантатом</w:t>
            </w:r>
            <w:r>
              <w:rPr>
                <w:spacing w:val="-13"/>
                <w:sz w:val="20"/>
              </w:rPr>
              <w:t> </w:t>
            </w:r>
            <w:r>
              <w:rPr>
                <w:sz w:val="20"/>
              </w:rPr>
              <w:t>с</w:t>
            </w:r>
            <w:r>
              <w:rPr>
                <w:spacing w:val="-12"/>
                <w:sz w:val="20"/>
              </w:rPr>
              <w:t> </w:t>
            </w:r>
            <w:r>
              <w:rPr>
                <w:sz w:val="20"/>
              </w:rPr>
              <w:t>реконструкцией</w:t>
            </w:r>
          </w:p>
        </w:tc>
      </w:tr>
      <w:tr>
        <w:trPr>
          <w:trHeight w:val="1080" w:hRule="atLeast"/>
        </w:trPr>
        <w:tc>
          <w:tcPr>
            <w:tcW w:w="3645" w:type="dxa"/>
          </w:tcPr>
          <w:p>
            <w:pPr>
              <w:pStyle w:val="TableParagraph"/>
              <w:spacing w:line="249" w:lineRule="auto" w:before="60"/>
              <w:ind w:left="50"/>
              <w:rPr>
                <w:sz w:val="20"/>
              </w:rPr>
            </w:pPr>
            <w:r>
              <w:rPr>
                <w:sz w:val="20"/>
              </w:rPr>
              <w:t>удаление вторичной катаракты с реконструкцией задней камеры, в том числе</w:t>
            </w:r>
            <w:r>
              <w:rPr>
                <w:spacing w:val="-13"/>
                <w:sz w:val="20"/>
              </w:rPr>
              <w:t> </w:t>
            </w:r>
            <w:r>
              <w:rPr>
                <w:sz w:val="20"/>
              </w:rPr>
              <w:t>с</w:t>
            </w:r>
            <w:r>
              <w:rPr>
                <w:spacing w:val="-12"/>
                <w:sz w:val="20"/>
              </w:rPr>
              <w:t> </w:t>
            </w:r>
            <w:r>
              <w:rPr>
                <w:sz w:val="20"/>
              </w:rPr>
              <w:t>имплантацией</w:t>
            </w:r>
            <w:r>
              <w:rPr>
                <w:spacing w:val="-13"/>
                <w:sz w:val="20"/>
              </w:rPr>
              <w:t> </w:t>
            </w:r>
            <w:r>
              <w:rPr>
                <w:sz w:val="20"/>
              </w:rPr>
              <w:t>интраокулярной </w:t>
            </w:r>
            <w:r>
              <w:rPr>
                <w:spacing w:val="-2"/>
                <w:sz w:val="20"/>
              </w:rPr>
              <w:t>линзы</w:t>
            </w:r>
          </w:p>
        </w:tc>
      </w:tr>
      <w:tr>
        <w:trPr>
          <w:trHeight w:val="840" w:hRule="atLeast"/>
        </w:trPr>
        <w:tc>
          <w:tcPr>
            <w:tcW w:w="3645" w:type="dxa"/>
          </w:tcPr>
          <w:p>
            <w:pPr>
              <w:pStyle w:val="TableParagraph"/>
              <w:spacing w:line="249" w:lineRule="auto" w:before="60"/>
              <w:ind w:left="50"/>
              <w:rPr>
                <w:sz w:val="20"/>
              </w:rPr>
            </w:pPr>
            <w:r>
              <w:rPr>
                <w:sz w:val="20"/>
              </w:rPr>
              <w:t>микроинвазивная</w:t>
            </w:r>
            <w:r>
              <w:rPr>
                <w:spacing w:val="-13"/>
                <w:sz w:val="20"/>
              </w:rPr>
              <w:t> </w:t>
            </w:r>
            <w:r>
              <w:rPr>
                <w:sz w:val="20"/>
              </w:rPr>
              <w:t>капсулэктомия,</w:t>
            </w:r>
            <w:r>
              <w:rPr>
                <w:spacing w:val="-12"/>
                <w:sz w:val="20"/>
              </w:rPr>
              <w:t> </w:t>
            </w:r>
            <w:r>
              <w:rPr>
                <w:sz w:val="20"/>
              </w:rPr>
              <w:t>в</w:t>
            </w:r>
            <w:r>
              <w:rPr>
                <w:spacing w:val="-13"/>
                <w:sz w:val="20"/>
              </w:rPr>
              <w:t> </w:t>
            </w:r>
            <w:r>
              <w:rPr>
                <w:sz w:val="20"/>
              </w:rPr>
              <w:t>том числе с витрэктомией на афакичном (артифакичном) глазу</w:t>
            </w:r>
          </w:p>
        </w:tc>
      </w:tr>
      <w:tr>
        <w:trPr>
          <w:trHeight w:val="1080" w:hRule="atLeast"/>
        </w:trPr>
        <w:tc>
          <w:tcPr>
            <w:tcW w:w="3645" w:type="dxa"/>
          </w:tcPr>
          <w:p>
            <w:pPr>
              <w:pStyle w:val="TableParagraph"/>
              <w:spacing w:line="249" w:lineRule="auto" w:before="60"/>
              <w:ind w:left="50"/>
              <w:rPr>
                <w:sz w:val="20"/>
              </w:rPr>
            </w:pPr>
            <w:r>
              <w:rPr>
                <w:sz w:val="20"/>
              </w:rPr>
              <w:t>удаление подвывихнутого хрусталика, в том</w:t>
            </w:r>
            <w:r>
              <w:rPr>
                <w:spacing w:val="-10"/>
                <w:sz w:val="20"/>
              </w:rPr>
              <w:t> </w:t>
            </w:r>
            <w:r>
              <w:rPr>
                <w:sz w:val="20"/>
              </w:rPr>
              <w:t>числе</w:t>
            </w:r>
            <w:r>
              <w:rPr>
                <w:spacing w:val="-11"/>
                <w:sz w:val="20"/>
              </w:rPr>
              <w:t> </w:t>
            </w:r>
            <w:r>
              <w:rPr>
                <w:sz w:val="20"/>
              </w:rPr>
              <w:t>с</w:t>
            </w:r>
            <w:r>
              <w:rPr>
                <w:spacing w:val="-11"/>
                <w:sz w:val="20"/>
              </w:rPr>
              <w:t> </w:t>
            </w:r>
            <w:r>
              <w:rPr>
                <w:sz w:val="20"/>
              </w:rPr>
              <w:t>витрэктомией,</w:t>
            </w:r>
            <w:r>
              <w:rPr>
                <w:spacing w:val="-11"/>
                <w:sz w:val="20"/>
              </w:rPr>
              <w:t> </w:t>
            </w:r>
            <w:r>
              <w:rPr>
                <w:sz w:val="20"/>
              </w:rPr>
              <w:t>имплантацией различных моделей эластичной интраокулярной линзы</w:t>
            </w:r>
          </w:p>
        </w:tc>
      </w:tr>
      <w:tr>
        <w:trPr>
          <w:trHeight w:val="600" w:hRule="atLeast"/>
        </w:trPr>
        <w:tc>
          <w:tcPr>
            <w:tcW w:w="3645" w:type="dxa"/>
          </w:tcPr>
          <w:p>
            <w:pPr>
              <w:pStyle w:val="TableParagraph"/>
              <w:spacing w:line="249" w:lineRule="auto" w:before="60"/>
              <w:ind w:left="50"/>
              <w:rPr>
                <w:sz w:val="20"/>
              </w:rPr>
            </w:pPr>
            <w:r>
              <w:rPr>
                <w:sz w:val="20"/>
              </w:rPr>
              <w:t>репозиция</w:t>
            </w:r>
            <w:r>
              <w:rPr>
                <w:spacing w:val="-13"/>
                <w:sz w:val="20"/>
              </w:rPr>
              <w:t> </w:t>
            </w:r>
            <w:r>
              <w:rPr>
                <w:sz w:val="20"/>
              </w:rPr>
              <w:t>интраокулярной</w:t>
            </w:r>
            <w:r>
              <w:rPr>
                <w:spacing w:val="-12"/>
                <w:sz w:val="20"/>
              </w:rPr>
              <w:t> </w:t>
            </w:r>
            <w:r>
              <w:rPr>
                <w:sz w:val="20"/>
              </w:rPr>
              <w:t>линзы</w:t>
            </w:r>
            <w:r>
              <w:rPr>
                <w:spacing w:val="-13"/>
                <w:sz w:val="20"/>
              </w:rPr>
              <w:t> </w:t>
            </w:r>
            <w:r>
              <w:rPr>
                <w:sz w:val="20"/>
              </w:rPr>
              <w:t>с </w:t>
            </w:r>
            <w:r>
              <w:rPr>
                <w:spacing w:val="-2"/>
                <w:sz w:val="20"/>
              </w:rPr>
              <w:t>витрэктомией</w:t>
            </w:r>
          </w:p>
        </w:tc>
      </w:tr>
      <w:tr>
        <w:trPr>
          <w:trHeight w:val="360" w:hRule="atLeast"/>
        </w:trPr>
        <w:tc>
          <w:tcPr>
            <w:tcW w:w="3645" w:type="dxa"/>
          </w:tcPr>
          <w:p>
            <w:pPr>
              <w:pStyle w:val="TableParagraph"/>
              <w:spacing w:before="60"/>
              <w:ind w:left="50"/>
              <w:rPr>
                <w:sz w:val="20"/>
              </w:rPr>
            </w:pPr>
            <w:r>
              <w:rPr>
                <w:sz w:val="20"/>
              </w:rPr>
              <w:t>контурная</w:t>
            </w:r>
            <w:r>
              <w:rPr>
                <w:spacing w:val="-9"/>
                <w:sz w:val="20"/>
              </w:rPr>
              <w:t> </w:t>
            </w:r>
            <w:r>
              <w:rPr>
                <w:sz w:val="20"/>
              </w:rPr>
              <w:t>пластика</w:t>
            </w:r>
            <w:r>
              <w:rPr>
                <w:spacing w:val="-11"/>
                <w:sz w:val="20"/>
              </w:rPr>
              <w:t> </w:t>
            </w:r>
            <w:r>
              <w:rPr>
                <w:spacing w:val="-2"/>
                <w:sz w:val="20"/>
              </w:rPr>
              <w:t>орбиты</w:t>
            </w:r>
          </w:p>
        </w:tc>
      </w:tr>
      <w:tr>
        <w:trPr>
          <w:trHeight w:val="360" w:hRule="atLeast"/>
        </w:trPr>
        <w:tc>
          <w:tcPr>
            <w:tcW w:w="3645" w:type="dxa"/>
          </w:tcPr>
          <w:p>
            <w:pPr>
              <w:pStyle w:val="TableParagraph"/>
              <w:spacing w:before="60"/>
              <w:ind w:left="50"/>
              <w:rPr>
                <w:sz w:val="20"/>
              </w:rPr>
            </w:pPr>
            <w:r>
              <w:rPr>
                <w:w w:val="95"/>
                <w:sz w:val="20"/>
              </w:rPr>
              <w:t>пластика</w:t>
            </w:r>
            <w:r>
              <w:rPr>
                <w:spacing w:val="47"/>
                <w:sz w:val="20"/>
              </w:rPr>
              <w:t> </w:t>
            </w:r>
            <w:r>
              <w:rPr>
                <w:w w:val="95"/>
                <w:sz w:val="20"/>
              </w:rPr>
              <w:t>конъюнктивальных</w:t>
            </w:r>
            <w:r>
              <w:rPr>
                <w:spacing w:val="46"/>
                <w:sz w:val="20"/>
              </w:rPr>
              <w:t> </w:t>
            </w:r>
            <w:r>
              <w:rPr>
                <w:spacing w:val="-2"/>
                <w:w w:val="95"/>
                <w:sz w:val="20"/>
              </w:rPr>
              <w:t>сводов</w:t>
            </w:r>
          </w:p>
        </w:tc>
      </w:tr>
      <w:tr>
        <w:trPr>
          <w:trHeight w:val="840" w:hRule="atLeast"/>
        </w:trPr>
        <w:tc>
          <w:tcPr>
            <w:tcW w:w="3645" w:type="dxa"/>
          </w:tcPr>
          <w:p>
            <w:pPr>
              <w:pStyle w:val="TableParagraph"/>
              <w:spacing w:line="249" w:lineRule="auto" w:before="60"/>
              <w:ind w:left="50"/>
              <w:rPr>
                <w:sz w:val="20"/>
              </w:rPr>
            </w:pPr>
            <w:r>
              <w:rPr>
                <w:sz w:val="20"/>
              </w:rPr>
              <w:t>ленсвитрэктомия подвывихнутого хрусталика,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9"/>
                <w:sz w:val="20"/>
              </w:rPr>
              <w:t> </w:t>
            </w:r>
            <w:r>
              <w:rPr>
                <w:sz w:val="20"/>
              </w:rPr>
              <w:t>имплантацией интраокулярной линзы</w:t>
            </w:r>
          </w:p>
        </w:tc>
      </w:tr>
      <w:tr>
        <w:trPr>
          <w:trHeight w:val="599" w:hRule="atLeast"/>
        </w:trPr>
        <w:tc>
          <w:tcPr>
            <w:tcW w:w="3645" w:type="dxa"/>
          </w:tcPr>
          <w:p>
            <w:pPr>
              <w:pStyle w:val="TableParagraph"/>
              <w:spacing w:line="249" w:lineRule="auto" w:before="60"/>
              <w:ind w:left="50"/>
              <w:rPr>
                <w:sz w:val="20"/>
              </w:rPr>
            </w:pPr>
            <w:r>
              <w:rPr>
                <w:sz w:val="20"/>
              </w:rPr>
              <w:t>лазерная</w:t>
            </w:r>
            <w:r>
              <w:rPr>
                <w:spacing w:val="-13"/>
                <w:sz w:val="20"/>
              </w:rPr>
              <w:t> </w:t>
            </w:r>
            <w:r>
              <w:rPr>
                <w:sz w:val="20"/>
              </w:rPr>
              <w:t>корепраксия</w:t>
            </w:r>
            <w:r>
              <w:rPr>
                <w:spacing w:val="-12"/>
                <w:sz w:val="20"/>
              </w:rPr>
              <w:t> </w:t>
            </w:r>
            <w:r>
              <w:rPr>
                <w:sz w:val="20"/>
              </w:rPr>
              <w:t>(создание искусственного зрачка)</w:t>
            </w:r>
          </w:p>
        </w:tc>
      </w:tr>
      <w:tr>
        <w:trPr>
          <w:trHeight w:val="359" w:hRule="atLeast"/>
        </w:trPr>
        <w:tc>
          <w:tcPr>
            <w:tcW w:w="3645" w:type="dxa"/>
          </w:tcPr>
          <w:p>
            <w:pPr>
              <w:pStyle w:val="TableParagraph"/>
              <w:spacing w:before="60"/>
              <w:ind w:left="50"/>
              <w:rPr>
                <w:sz w:val="20"/>
              </w:rPr>
            </w:pPr>
            <w:r>
              <w:rPr>
                <w:sz w:val="20"/>
              </w:rPr>
              <w:t>лазерная</w:t>
            </w:r>
            <w:r>
              <w:rPr>
                <w:spacing w:val="-8"/>
                <w:sz w:val="20"/>
              </w:rPr>
              <w:t> </w:t>
            </w:r>
            <w:r>
              <w:rPr>
                <w:spacing w:val="-2"/>
                <w:sz w:val="20"/>
              </w:rPr>
              <w:t>иридокореопластика</w:t>
            </w:r>
          </w:p>
        </w:tc>
      </w:tr>
      <w:tr>
        <w:trPr>
          <w:trHeight w:val="290" w:hRule="atLeast"/>
        </w:trPr>
        <w:tc>
          <w:tcPr>
            <w:tcW w:w="3645" w:type="dxa"/>
          </w:tcPr>
          <w:p>
            <w:pPr>
              <w:pStyle w:val="TableParagraph"/>
              <w:spacing w:line="210" w:lineRule="exact" w:before="60"/>
              <w:ind w:left="50"/>
              <w:rPr>
                <w:sz w:val="20"/>
              </w:rPr>
            </w:pPr>
            <w:r>
              <w:rPr>
                <w:sz w:val="20"/>
              </w:rPr>
              <w:t>лазерная</w:t>
            </w:r>
            <w:r>
              <w:rPr>
                <w:spacing w:val="-11"/>
                <w:sz w:val="20"/>
              </w:rPr>
              <w:t> </w:t>
            </w:r>
            <w:r>
              <w:rPr>
                <w:spacing w:val="-2"/>
                <w:sz w:val="20"/>
              </w:rPr>
              <w:t>витреошвартотомия</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ListParagraph"/>
        <w:numPr>
          <w:ilvl w:val="0"/>
          <w:numId w:val="7"/>
        </w:numPr>
        <w:tabs>
          <w:tab w:pos="931" w:val="left" w:leader="none"/>
          <w:tab w:pos="932" w:val="left" w:leader="none"/>
        </w:tabs>
        <w:spacing w:line="249" w:lineRule="auto" w:before="0" w:after="0"/>
        <w:ind w:left="931" w:right="0" w:hanging="564"/>
        <w:jc w:val="left"/>
        <w:rPr>
          <w:sz w:val="20"/>
        </w:rPr>
      </w:pPr>
      <w:r>
        <w:rPr>
          <w:sz w:val="20"/>
        </w:rPr>
        <w:t>Комплексное лечение экзофтальма при нарушении функции</w:t>
      </w:r>
      <w:r>
        <w:rPr>
          <w:spacing w:val="-13"/>
          <w:sz w:val="20"/>
        </w:rPr>
        <w:t> </w:t>
      </w:r>
      <w:r>
        <w:rPr>
          <w:sz w:val="20"/>
        </w:rPr>
        <w:t>щитовидной</w:t>
      </w:r>
      <w:r>
        <w:rPr>
          <w:spacing w:val="-12"/>
          <w:sz w:val="20"/>
        </w:rPr>
        <w:t> </w:t>
      </w:r>
      <w:r>
        <w:rPr>
          <w:sz w:val="20"/>
        </w:rPr>
        <w:t>железы</w:t>
      </w:r>
      <w:r>
        <w:rPr>
          <w:sz w:val="20"/>
        </w:rPr>
        <w:t> </w:t>
      </w:r>
      <w:r>
        <w:rPr>
          <w:spacing w:val="-2"/>
          <w:sz w:val="20"/>
        </w:rPr>
        <w:t>(эндокринной офтальмопатии), </w:t>
      </w:r>
      <w:r>
        <w:rPr>
          <w:sz w:val="20"/>
        </w:rPr>
        <w:t>угрожающего</w:t>
      </w:r>
      <w:r>
        <w:rPr>
          <w:spacing w:val="-13"/>
          <w:sz w:val="20"/>
        </w:rPr>
        <w:t> </w:t>
      </w:r>
      <w:r>
        <w:rPr>
          <w:sz w:val="20"/>
        </w:rPr>
        <w:t>потерей</w:t>
      </w:r>
      <w:r>
        <w:rPr>
          <w:spacing w:val="-12"/>
          <w:sz w:val="20"/>
        </w:rPr>
        <w:t> </w:t>
      </w:r>
      <w:r>
        <w:rPr>
          <w:sz w:val="20"/>
        </w:rPr>
        <w:t>зрения и слепотой, включая хирургическое</w:t>
      </w:r>
      <w:r>
        <w:rPr>
          <w:spacing w:val="-13"/>
          <w:sz w:val="20"/>
        </w:rPr>
        <w:t> </w:t>
      </w:r>
      <w:r>
        <w:rPr>
          <w:sz w:val="20"/>
        </w:rPr>
        <w:t>и</w:t>
      </w:r>
      <w:r>
        <w:rPr>
          <w:spacing w:val="-12"/>
          <w:sz w:val="20"/>
        </w:rPr>
        <w:t> </w:t>
      </w:r>
      <w:r>
        <w:rPr>
          <w:sz w:val="20"/>
        </w:rPr>
        <w:t>интенсивное консервативное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7"/>
        </w:numPr>
        <w:tabs>
          <w:tab w:pos="931" w:val="left" w:leader="none"/>
          <w:tab w:pos="932" w:val="left" w:leader="none"/>
        </w:tabs>
        <w:spacing w:line="249" w:lineRule="auto" w:before="144" w:after="0"/>
        <w:ind w:left="931" w:right="406" w:hanging="564"/>
        <w:jc w:val="left"/>
        <w:rPr>
          <w:sz w:val="20"/>
        </w:rPr>
      </w:pPr>
      <w:r>
        <w:rPr>
          <w:sz w:val="20"/>
        </w:rPr>
        <w:t>Хирургическое лечение глаукомы, включая </w:t>
      </w:r>
      <w:r>
        <w:rPr>
          <w:spacing w:val="-2"/>
          <w:sz w:val="20"/>
        </w:rPr>
        <w:t>микроинвазивную </w:t>
      </w:r>
      <w:r>
        <w:rPr>
          <w:sz w:val="20"/>
        </w:rPr>
        <w:t>энергетическую оптико- реконструктивную и лазерную хирургию, имплантацию</w:t>
      </w:r>
      <w:r>
        <w:rPr>
          <w:spacing w:val="-13"/>
          <w:sz w:val="20"/>
        </w:rPr>
        <w:t> </w:t>
      </w:r>
      <w:r>
        <w:rPr>
          <w:sz w:val="20"/>
        </w:rPr>
        <w:t>различных видов дренажей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9" w:lineRule="auto" w:before="0"/>
        <w:ind w:left="270" w:right="0" w:firstLine="0"/>
        <w:jc w:val="center"/>
        <w:rPr>
          <w:sz w:val="20"/>
        </w:rPr>
      </w:pPr>
      <w:r>
        <w:rPr>
          <w:sz w:val="20"/>
        </w:rPr>
        <w:t>Н06.2;</w:t>
      </w:r>
      <w:r>
        <w:rPr>
          <w:spacing w:val="-13"/>
          <w:sz w:val="20"/>
        </w:rPr>
        <w:t> </w:t>
      </w:r>
      <w:r>
        <w:rPr>
          <w:sz w:val="20"/>
        </w:rPr>
        <w:t>Н16.8;</w:t>
      </w:r>
      <w:r>
        <w:rPr>
          <w:spacing w:val="-12"/>
          <w:sz w:val="20"/>
        </w:rPr>
        <w:t> </w:t>
      </w:r>
      <w:r>
        <w:rPr>
          <w:sz w:val="20"/>
        </w:rPr>
        <w:t>Н19.3; Н48; Н50.4; Н54</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spacing w:line="252" w:lineRule="auto" w:before="0"/>
        <w:ind w:left="269" w:right="0" w:firstLine="0"/>
        <w:jc w:val="center"/>
        <w:rPr>
          <w:sz w:val="20"/>
        </w:rPr>
      </w:pPr>
      <w:r>
        <w:rPr>
          <w:sz w:val="20"/>
        </w:rPr>
        <w:t>Н40.3,</w:t>
      </w:r>
      <w:r>
        <w:rPr>
          <w:spacing w:val="-13"/>
          <w:sz w:val="20"/>
        </w:rPr>
        <w:t> </w:t>
      </w:r>
      <w:r>
        <w:rPr>
          <w:sz w:val="20"/>
        </w:rPr>
        <w:t>Н40.4,</w:t>
      </w:r>
      <w:r>
        <w:rPr>
          <w:spacing w:val="-12"/>
          <w:sz w:val="20"/>
        </w:rPr>
        <w:t> </w:t>
      </w:r>
      <w:r>
        <w:rPr>
          <w:sz w:val="20"/>
        </w:rPr>
        <w:t>Н40.5, Н40.6,</w:t>
      </w:r>
      <w:r>
        <w:rPr>
          <w:spacing w:val="-5"/>
          <w:sz w:val="20"/>
        </w:rPr>
        <w:t> </w:t>
      </w:r>
      <w:r>
        <w:rPr>
          <w:sz w:val="20"/>
        </w:rPr>
        <w:t>Н40.8,</w:t>
      </w:r>
      <w:r>
        <w:rPr>
          <w:spacing w:val="-4"/>
          <w:sz w:val="20"/>
        </w:rPr>
        <w:t> Q15.0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9" w:lineRule="auto" w:before="0"/>
        <w:ind w:left="212" w:right="0" w:firstLine="0"/>
        <w:jc w:val="left"/>
        <w:rPr>
          <w:sz w:val="20"/>
        </w:rPr>
      </w:pPr>
      <w:r>
        <w:rPr>
          <w:sz w:val="20"/>
        </w:rPr>
        <w:t>экзофтальм</w:t>
      </w:r>
      <w:r>
        <w:rPr>
          <w:spacing w:val="-13"/>
          <w:sz w:val="20"/>
        </w:rPr>
        <w:t> </w:t>
      </w:r>
      <w:r>
        <w:rPr>
          <w:sz w:val="20"/>
        </w:rPr>
        <w:t>при</w:t>
      </w:r>
      <w:r>
        <w:rPr>
          <w:spacing w:val="-12"/>
          <w:sz w:val="20"/>
        </w:rPr>
        <w:t> </w:t>
      </w:r>
      <w:r>
        <w:rPr>
          <w:sz w:val="20"/>
        </w:rPr>
        <w:t>нарушении</w:t>
      </w:r>
      <w:r>
        <w:rPr>
          <w:spacing w:val="-13"/>
          <w:sz w:val="20"/>
        </w:rPr>
        <w:t> </w:t>
      </w:r>
      <w:r>
        <w:rPr>
          <w:sz w:val="20"/>
        </w:rPr>
        <w:t>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w:t>
      </w:r>
      <w:r>
        <w:rPr>
          <w:spacing w:val="-2"/>
          <w:sz w:val="20"/>
        </w:rPr>
        <w:t>косоглазием)</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2"/>
        <w:ind w:left="212" w:right="0" w:firstLine="0"/>
        <w:jc w:val="left"/>
        <w:rPr>
          <w:sz w:val="20"/>
        </w:rPr>
      </w:pPr>
      <w:r>
        <w:rPr>
          <w:sz w:val="20"/>
        </w:rPr>
        <w:t>врожденная глаукома, глаукома вторичная вследствие воспалительных и других заболеваний</w:t>
      </w:r>
      <w:r>
        <w:rPr>
          <w:spacing w:val="-10"/>
          <w:sz w:val="20"/>
        </w:rPr>
        <w:t> </w:t>
      </w:r>
      <w:r>
        <w:rPr>
          <w:sz w:val="20"/>
        </w:rPr>
        <w:t>глаза,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осложнениями,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9" w:lineRule="auto" w:before="0"/>
        <w:ind w:left="106" w:right="0" w:firstLine="0"/>
        <w:jc w:val="left"/>
        <w:rPr>
          <w:sz w:val="20"/>
        </w:rPr>
      </w:pPr>
      <w:r>
        <w:rPr>
          <w:spacing w:val="-2"/>
          <w:sz w:val="20"/>
        </w:rPr>
        <w:t>комбинирован- </w:t>
      </w:r>
      <w:r>
        <w:rPr>
          <w:sz w:val="20"/>
        </w:rPr>
        <w:t>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spacing w:line="252" w:lineRule="auto" w:before="0"/>
        <w:ind w:left="106" w:right="0" w:firstLine="0"/>
        <w:jc w:val="left"/>
        <w:rPr>
          <w:sz w:val="20"/>
        </w:rPr>
      </w:pPr>
      <w:r>
        <w:rPr>
          <w:spacing w:val="-2"/>
          <w:sz w:val="20"/>
        </w:rPr>
        <w:t>хирургическое лечение</w:t>
      </w:r>
    </w:p>
    <w:p>
      <w:pPr>
        <w:spacing w:line="249" w:lineRule="auto" w:before="91"/>
        <w:ind w:left="131" w:right="36" w:firstLine="0"/>
        <w:jc w:val="left"/>
        <w:rPr>
          <w:sz w:val="20"/>
        </w:rPr>
      </w:pPr>
      <w:r>
        <w:rPr/>
        <w:br w:type="column"/>
      </w:r>
      <w:r>
        <w:rPr>
          <w:sz w:val="20"/>
        </w:rPr>
        <w:t>лазерные</w:t>
      </w:r>
      <w:r>
        <w:rPr>
          <w:spacing w:val="-13"/>
          <w:sz w:val="20"/>
        </w:rPr>
        <w:t> </w:t>
      </w:r>
      <w:r>
        <w:rPr>
          <w:sz w:val="20"/>
        </w:rPr>
        <w:t>комбинированные</w:t>
      </w:r>
      <w:r>
        <w:rPr>
          <w:spacing w:val="-12"/>
          <w:sz w:val="20"/>
        </w:rPr>
        <w:t> </w:t>
      </w:r>
      <w:r>
        <w:rPr>
          <w:sz w:val="20"/>
        </w:rPr>
        <w:t>операции</w:t>
      </w:r>
      <w:r>
        <w:rPr>
          <w:spacing w:val="-13"/>
          <w:sz w:val="20"/>
        </w:rPr>
        <w:t> </w:t>
      </w:r>
      <w:r>
        <w:rPr>
          <w:sz w:val="20"/>
        </w:rPr>
        <w:t>на структурах угла передней камеры</w:t>
      </w:r>
    </w:p>
    <w:p>
      <w:pPr>
        <w:spacing w:line="249" w:lineRule="auto" w:before="121"/>
        <w:ind w:left="131" w:right="36" w:firstLine="0"/>
        <w:jc w:val="left"/>
        <w:rPr>
          <w:sz w:val="20"/>
        </w:rPr>
      </w:pPr>
      <w:r>
        <w:rPr>
          <w:sz w:val="20"/>
        </w:rPr>
        <w:t>лазерная деструкция зрачковой мембраны,</w:t>
      </w:r>
      <w:r>
        <w:rPr>
          <w:spacing w:val="-7"/>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w:t>
      </w:r>
      <w:r>
        <w:rPr>
          <w:spacing w:val="-8"/>
          <w:sz w:val="20"/>
        </w:rPr>
        <w:t> </w:t>
      </w:r>
      <w:r>
        <w:rPr>
          <w:sz w:val="20"/>
        </w:rPr>
        <w:t>коагуляцией </w:t>
      </w:r>
      <w:r>
        <w:rPr>
          <w:spacing w:val="-2"/>
          <w:sz w:val="20"/>
        </w:rPr>
        <w:t>сосудов</w:t>
      </w:r>
    </w:p>
    <w:p>
      <w:pPr>
        <w:spacing w:line="249" w:lineRule="auto" w:before="124"/>
        <w:ind w:left="131" w:right="36" w:firstLine="0"/>
        <w:jc w:val="left"/>
        <w:rPr>
          <w:sz w:val="20"/>
        </w:rPr>
      </w:pPr>
      <w:r>
        <w:rPr>
          <w:sz w:val="20"/>
        </w:rPr>
        <w:t>интенсивное комплексное консервативное</w:t>
      </w:r>
      <w:r>
        <w:rPr>
          <w:spacing w:val="-13"/>
          <w:sz w:val="20"/>
        </w:rPr>
        <w:t> </w:t>
      </w:r>
      <w:r>
        <w:rPr>
          <w:sz w:val="20"/>
        </w:rPr>
        <w:t>лечение</w:t>
      </w:r>
      <w:r>
        <w:rPr>
          <w:spacing w:val="-12"/>
          <w:sz w:val="20"/>
        </w:rPr>
        <w:t> </w:t>
      </w:r>
      <w:r>
        <w:rPr>
          <w:sz w:val="20"/>
        </w:rPr>
        <w:t>эндокринной </w:t>
      </w:r>
      <w:r>
        <w:rPr>
          <w:spacing w:val="-2"/>
          <w:sz w:val="20"/>
        </w:rPr>
        <w:t>офтальмопатии;</w:t>
      </w:r>
    </w:p>
    <w:p>
      <w:pPr>
        <w:spacing w:before="122"/>
        <w:ind w:left="131" w:right="0" w:firstLine="0"/>
        <w:jc w:val="left"/>
        <w:rPr>
          <w:sz w:val="20"/>
        </w:rPr>
      </w:pPr>
      <w:r>
        <w:rPr>
          <w:spacing w:val="-2"/>
          <w:sz w:val="20"/>
        </w:rPr>
        <w:t>внутренняя</w:t>
      </w:r>
      <w:r>
        <w:rPr>
          <w:spacing w:val="8"/>
          <w:sz w:val="20"/>
        </w:rPr>
        <w:t> </w:t>
      </w:r>
      <w:r>
        <w:rPr>
          <w:spacing w:val="-2"/>
          <w:sz w:val="20"/>
        </w:rPr>
        <w:t>декомпрессия</w:t>
      </w:r>
      <w:r>
        <w:rPr>
          <w:spacing w:val="9"/>
          <w:sz w:val="20"/>
        </w:rPr>
        <w:t> </w:t>
      </w:r>
      <w:r>
        <w:rPr>
          <w:spacing w:val="-2"/>
          <w:sz w:val="20"/>
        </w:rPr>
        <w:t>орбиты;</w:t>
      </w:r>
    </w:p>
    <w:p>
      <w:pPr>
        <w:spacing w:line="249" w:lineRule="auto" w:before="130"/>
        <w:ind w:left="131" w:right="36" w:firstLine="0"/>
        <w:jc w:val="left"/>
        <w:rPr>
          <w:sz w:val="20"/>
        </w:rPr>
      </w:pPr>
      <w:r>
        <w:rPr>
          <w:sz w:val="20"/>
        </w:rPr>
        <w:t>внутренняя</w:t>
      </w:r>
      <w:r>
        <w:rPr>
          <w:spacing w:val="-13"/>
          <w:sz w:val="20"/>
        </w:rPr>
        <w:t> </w:t>
      </w:r>
      <w:r>
        <w:rPr>
          <w:sz w:val="20"/>
        </w:rPr>
        <w:t>декомпрессия</w:t>
      </w:r>
      <w:r>
        <w:rPr>
          <w:spacing w:val="-12"/>
          <w:sz w:val="20"/>
        </w:rPr>
        <w:t> </w:t>
      </w:r>
      <w:r>
        <w:rPr>
          <w:sz w:val="20"/>
        </w:rPr>
        <w:t>орбиты</w:t>
      </w:r>
      <w:r>
        <w:rPr>
          <w:spacing w:val="-13"/>
          <w:sz w:val="20"/>
        </w:rPr>
        <w:t> </w:t>
      </w:r>
      <w:r>
        <w:rPr>
          <w:sz w:val="20"/>
        </w:rPr>
        <w:t>в сочетании с реконструктивно- пластическими операциями на глазодвигательных мышцах;</w:t>
      </w:r>
    </w:p>
    <w:p>
      <w:pPr>
        <w:spacing w:line="249" w:lineRule="auto" w:before="124"/>
        <w:ind w:left="131" w:right="36" w:firstLine="0"/>
        <w:jc w:val="left"/>
        <w:rPr>
          <w:sz w:val="20"/>
        </w:rPr>
      </w:pPr>
      <w:r>
        <w:rPr>
          <w:sz w:val="20"/>
        </w:rPr>
        <w:t>костная</w:t>
      </w:r>
      <w:r>
        <w:rPr>
          <w:spacing w:val="-13"/>
          <w:sz w:val="20"/>
        </w:rPr>
        <w:t> </w:t>
      </w:r>
      <w:r>
        <w:rPr>
          <w:sz w:val="20"/>
        </w:rPr>
        <w:t>декомпрессия</w:t>
      </w:r>
      <w:r>
        <w:rPr>
          <w:spacing w:val="-12"/>
          <w:sz w:val="20"/>
        </w:rPr>
        <w:t> </w:t>
      </w:r>
      <w:r>
        <w:rPr>
          <w:sz w:val="20"/>
        </w:rPr>
        <w:t>латеральной стенки орбиты;</w:t>
      </w:r>
    </w:p>
    <w:p>
      <w:pPr>
        <w:spacing w:line="249" w:lineRule="auto" w:before="121"/>
        <w:ind w:left="131" w:right="481" w:firstLine="0"/>
        <w:jc w:val="both"/>
        <w:rPr>
          <w:sz w:val="20"/>
        </w:rPr>
      </w:pPr>
      <w:r>
        <w:rPr>
          <w:sz w:val="20"/>
        </w:rPr>
        <w:t>внутренняя декомпрессия орбиты в сочетании</w:t>
      </w:r>
      <w:r>
        <w:rPr>
          <w:spacing w:val="-13"/>
          <w:sz w:val="20"/>
        </w:rPr>
        <w:t> </w:t>
      </w:r>
      <w:r>
        <w:rPr>
          <w:sz w:val="20"/>
        </w:rPr>
        <w:t>с</w:t>
      </w:r>
      <w:r>
        <w:rPr>
          <w:spacing w:val="-12"/>
          <w:sz w:val="20"/>
        </w:rPr>
        <w:t> </w:t>
      </w:r>
      <w:r>
        <w:rPr>
          <w:sz w:val="20"/>
        </w:rPr>
        <w:t>костной</w:t>
      </w:r>
      <w:r>
        <w:rPr>
          <w:spacing w:val="-13"/>
          <w:sz w:val="20"/>
        </w:rPr>
        <w:t> </w:t>
      </w:r>
      <w:r>
        <w:rPr>
          <w:sz w:val="20"/>
        </w:rPr>
        <w:t>декомпрессией латеральной стенки орбиты;</w:t>
      </w:r>
    </w:p>
    <w:p>
      <w:pPr>
        <w:spacing w:line="249" w:lineRule="auto" w:before="123"/>
        <w:ind w:left="131" w:right="32" w:firstLine="0"/>
        <w:jc w:val="left"/>
        <w:rPr>
          <w:sz w:val="20"/>
        </w:rPr>
      </w:pPr>
      <w:r>
        <w:rPr>
          <w:sz w:val="20"/>
        </w:rPr>
        <w:t>реконструктивно-пластические</w:t>
      </w:r>
      <w:r>
        <w:rPr>
          <w:spacing w:val="-13"/>
          <w:sz w:val="20"/>
        </w:rPr>
        <w:t> </w:t>
      </w:r>
      <w:r>
        <w:rPr>
          <w:sz w:val="20"/>
        </w:rPr>
        <w:t>операции на глазодвигательных мышцах</w:t>
      </w:r>
    </w:p>
    <w:p>
      <w:pPr>
        <w:spacing w:line="249" w:lineRule="auto" w:before="121"/>
        <w:ind w:left="131" w:right="36" w:firstLine="0"/>
        <w:jc w:val="left"/>
        <w:rPr>
          <w:sz w:val="20"/>
        </w:rPr>
      </w:pPr>
      <w:r>
        <w:rPr>
          <w:sz w:val="20"/>
        </w:rPr>
        <w:t>имплантация антиглаукоматозного металлического шунта или нерассасывающегося</w:t>
      </w:r>
      <w:r>
        <w:rPr>
          <w:spacing w:val="-13"/>
          <w:sz w:val="20"/>
        </w:rPr>
        <w:t> </w:t>
      </w:r>
      <w:r>
        <w:rPr>
          <w:sz w:val="20"/>
        </w:rPr>
        <w:t>клапана</w:t>
      </w:r>
      <w:r>
        <w:rPr>
          <w:spacing w:val="-12"/>
          <w:sz w:val="20"/>
        </w:rPr>
        <w:t> </w:t>
      </w:r>
      <w:r>
        <w:rPr>
          <w:sz w:val="20"/>
        </w:rPr>
        <w:t>дренажа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before="0"/>
        <w:ind w:left="367" w:right="0" w:firstLine="0"/>
        <w:jc w:val="left"/>
        <w:rPr>
          <w:sz w:val="20"/>
        </w:rPr>
      </w:pPr>
      <w:r>
        <w:rPr>
          <w:spacing w:val="-2"/>
          <w:sz w:val="20"/>
        </w:rPr>
        <w:t>196053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0"/>
        <w:ind w:left="367" w:right="0" w:firstLine="0"/>
        <w:jc w:val="left"/>
        <w:rPr>
          <w:sz w:val="20"/>
        </w:rPr>
      </w:pPr>
      <w:r>
        <w:rPr>
          <w:spacing w:val="-2"/>
          <w:sz w:val="20"/>
        </w:rPr>
        <w:t>126159</w:t>
      </w:r>
    </w:p>
    <w:p>
      <w:pPr>
        <w:spacing w:after="0"/>
        <w:jc w:val="left"/>
        <w:rPr>
          <w:sz w:val="20"/>
        </w:rPr>
        <w:sectPr>
          <w:type w:val="continuous"/>
          <w:pgSz w:w="16850" w:h="11910" w:orient="landscape"/>
          <w:pgMar w:header="753" w:footer="0" w:top="1080" w:bottom="280" w:left="400" w:right="400"/>
          <w:cols w:num="6" w:equalWidth="0">
            <w:col w:w="3481" w:space="40"/>
            <w:col w:w="2021" w:space="39"/>
            <w:col w:w="3374" w:space="39"/>
            <w:col w:w="1409" w:space="40"/>
            <w:col w:w="3705" w:space="252"/>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1"/>
        <w:gridCol w:w="2799"/>
        <w:gridCol w:w="2033"/>
        <w:gridCol w:w="3371"/>
        <w:gridCol w:w="1457"/>
        <w:gridCol w:w="3917"/>
        <w:gridCol w:w="1014"/>
      </w:tblGrid>
      <w:tr>
        <w:trPr>
          <w:trHeight w:val="290" w:hRule="atLeast"/>
        </w:trPr>
        <w:tc>
          <w:tcPr>
            <w:tcW w:w="511" w:type="dxa"/>
          </w:tcPr>
          <w:p>
            <w:pPr>
              <w:pStyle w:val="TableParagraph"/>
              <w:rPr>
                <w:sz w:val="18"/>
              </w:rPr>
            </w:pPr>
          </w:p>
        </w:tc>
        <w:tc>
          <w:tcPr>
            <w:tcW w:w="2799" w:type="dxa"/>
          </w:tcPr>
          <w:p>
            <w:pPr>
              <w:pStyle w:val="TableParagraph"/>
              <w:rPr>
                <w:sz w:val="18"/>
              </w:rPr>
            </w:pPr>
          </w:p>
        </w:tc>
        <w:tc>
          <w:tcPr>
            <w:tcW w:w="2033" w:type="dxa"/>
          </w:tcPr>
          <w:p>
            <w:pPr>
              <w:pStyle w:val="TableParagraph"/>
              <w:rPr>
                <w:sz w:val="18"/>
              </w:rPr>
            </w:pPr>
          </w:p>
        </w:tc>
        <w:tc>
          <w:tcPr>
            <w:tcW w:w="3371" w:type="dxa"/>
          </w:tcPr>
          <w:p>
            <w:pPr>
              <w:pStyle w:val="TableParagraph"/>
              <w:spacing w:line="221" w:lineRule="exact"/>
              <w:ind w:left="1901"/>
              <w:rPr>
                <w:sz w:val="20"/>
              </w:rPr>
            </w:pPr>
            <w:r>
              <w:rPr>
                <w:spacing w:val="-2"/>
                <w:sz w:val="20"/>
              </w:rPr>
              <w:t>Педиатрия</w:t>
            </w:r>
          </w:p>
        </w:tc>
        <w:tc>
          <w:tcPr>
            <w:tcW w:w="1457" w:type="dxa"/>
          </w:tcPr>
          <w:p>
            <w:pPr>
              <w:pStyle w:val="TableParagraph"/>
              <w:rPr>
                <w:sz w:val="18"/>
              </w:rPr>
            </w:pPr>
          </w:p>
        </w:tc>
        <w:tc>
          <w:tcPr>
            <w:tcW w:w="3917" w:type="dxa"/>
          </w:tcPr>
          <w:p>
            <w:pPr>
              <w:pStyle w:val="TableParagraph"/>
              <w:rPr>
                <w:sz w:val="18"/>
              </w:rPr>
            </w:pPr>
          </w:p>
        </w:tc>
        <w:tc>
          <w:tcPr>
            <w:tcW w:w="1014" w:type="dxa"/>
          </w:tcPr>
          <w:p>
            <w:pPr>
              <w:pStyle w:val="TableParagraph"/>
              <w:rPr>
                <w:sz w:val="18"/>
              </w:rPr>
            </w:pPr>
          </w:p>
        </w:tc>
      </w:tr>
      <w:tr>
        <w:trPr>
          <w:trHeight w:val="300" w:hRule="atLeast"/>
        </w:trPr>
        <w:tc>
          <w:tcPr>
            <w:tcW w:w="511" w:type="dxa"/>
          </w:tcPr>
          <w:p>
            <w:pPr>
              <w:pStyle w:val="TableParagraph"/>
              <w:spacing w:line="220" w:lineRule="exact" w:before="60"/>
              <w:ind w:left="50"/>
              <w:rPr>
                <w:sz w:val="20"/>
              </w:rPr>
            </w:pPr>
            <w:r>
              <w:rPr>
                <w:spacing w:val="-5"/>
                <w:sz w:val="20"/>
              </w:rPr>
              <w:t>44.</w:t>
            </w:r>
          </w:p>
        </w:tc>
        <w:tc>
          <w:tcPr>
            <w:tcW w:w="2799" w:type="dxa"/>
          </w:tcPr>
          <w:p>
            <w:pPr>
              <w:pStyle w:val="TableParagraph"/>
              <w:spacing w:line="220" w:lineRule="exact" w:before="60"/>
              <w:ind w:left="208"/>
              <w:rPr>
                <w:sz w:val="20"/>
              </w:rPr>
            </w:pPr>
            <w:r>
              <w:rPr>
                <w:w w:val="95"/>
                <w:sz w:val="20"/>
              </w:rPr>
              <w:t>Поликомпонентное</w:t>
            </w:r>
            <w:r>
              <w:rPr>
                <w:spacing w:val="66"/>
                <w:sz w:val="20"/>
              </w:rPr>
              <w:t> </w:t>
            </w:r>
            <w:r>
              <w:rPr>
                <w:spacing w:val="-2"/>
                <w:sz w:val="20"/>
              </w:rPr>
              <w:t>лечение</w:t>
            </w:r>
          </w:p>
        </w:tc>
        <w:tc>
          <w:tcPr>
            <w:tcW w:w="2033" w:type="dxa"/>
          </w:tcPr>
          <w:p>
            <w:pPr>
              <w:pStyle w:val="TableParagraph"/>
              <w:spacing w:line="220" w:lineRule="exact" w:before="60"/>
              <w:ind w:left="159" w:right="120"/>
              <w:jc w:val="center"/>
              <w:rPr>
                <w:sz w:val="20"/>
              </w:rPr>
            </w:pPr>
            <w:r>
              <w:rPr>
                <w:sz w:val="20"/>
              </w:rPr>
              <w:t>Q32.0,</w:t>
            </w:r>
            <w:r>
              <w:rPr>
                <w:spacing w:val="-4"/>
                <w:sz w:val="20"/>
              </w:rPr>
              <w:t> </w:t>
            </w:r>
            <w:r>
              <w:rPr>
                <w:sz w:val="20"/>
              </w:rPr>
              <w:t>Q32.2,</w:t>
            </w:r>
            <w:r>
              <w:rPr>
                <w:spacing w:val="-5"/>
                <w:sz w:val="20"/>
              </w:rPr>
              <w:t> </w:t>
            </w:r>
            <w:r>
              <w:rPr>
                <w:spacing w:val="-2"/>
                <w:sz w:val="20"/>
              </w:rPr>
              <w:t>Q32.3,</w:t>
            </w:r>
          </w:p>
        </w:tc>
        <w:tc>
          <w:tcPr>
            <w:tcW w:w="3371" w:type="dxa"/>
          </w:tcPr>
          <w:p>
            <w:pPr>
              <w:pStyle w:val="TableParagraph"/>
              <w:spacing w:line="220" w:lineRule="exact" w:before="60"/>
              <w:ind w:left="132"/>
              <w:rPr>
                <w:sz w:val="20"/>
              </w:rPr>
            </w:pPr>
            <w:r>
              <w:rPr>
                <w:sz w:val="20"/>
              </w:rPr>
              <w:t>врожденные</w:t>
            </w:r>
            <w:r>
              <w:rPr>
                <w:spacing w:val="-11"/>
                <w:sz w:val="20"/>
              </w:rPr>
              <w:t> </w:t>
            </w:r>
            <w:r>
              <w:rPr>
                <w:sz w:val="20"/>
              </w:rPr>
              <w:t>аномалии</w:t>
            </w:r>
            <w:r>
              <w:rPr>
                <w:spacing w:val="-11"/>
                <w:sz w:val="20"/>
              </w:rPr>
              <w:t> </w:t>
            </w:r>
            <w:r>
              <w:rPr>
                <w:spacing w:val="-2"/>
                <w:sz w:val="20"/>
              </w:rPr>
              <w:t>(пороки</w:t>
            </w:r>
          </w:p>
        </w:tc>
        <w:tc>
          <w:tcPr>
            <w:tcW w:w="1457" w:type="dxa"/>
          </w:tcPr>
          <w:p>
            <w:pPr>
              <w:pStyle w:val="TableParagraph"/>
              <w:spacing w:line="220" w:lineRule="exact" w:before="60"/>
              <w:ind w:left="68"/>
              <w:rPr>
                <w:sz w:val="20"/>
              </w:rPr>
            </w:pPr>
            <w:r>
              <w:rPr>
                <w:spacing w:val="-2"/>
                <w:sz w:val="20"/>
              </w:rPr>
              <w:t>терапевтичес-</w:t>
            </w:r>
          </w:p>
        </w:tc>
        <w:tc>
          <w:tcPr>
            <w:tcW w:w="3917" w:type="dxa"/>
          </w:tcPr>
          <w:p>
            <w:pPr>
              <w:pStyle w:val="TableParagraph"/>
              <w:spacing w:line="220" w:lineRule="exact" w:before="60"/>
              <w:ind w:left="85"/>
              <w:rPr>
                <w:sz w:val="20"/>
              </w:rPr>
            </w:pPr>
            <w:r>
              <w:rPr>
                <w:spacing w:val="-2"/>
                <w:sz w:val="20"/>
              </w:rPr>
              <w:t>поликомпонентное</w:t>
            </w:r>
            <w:r>
              <w:rPr>
                <w:spacing w:val="8"/>
                <w:sz w:val="20"/>
              </w:rPr>
              <w:t> </w:t>
            </w:r>
            <w:r>
              <w:rPr>
                <w:spacing w:val="-2"/>
                <w:sz w:val="20"/>
              </w:rPr>
              <w:t>лечение</w:t>
            </w:r>
            <w:r>
              <w:rPr>
                <w:spacing w:val="12"/>
                <w:sz w:val="20"/>
              </w:rPr>
              <w:t> </w:t>
            </w:r>
            <w:r>
              <w:rPr>
                <w:spacing w:val="-10"/>
                <w:sz w:val="20"/>
              </w:rPr>
              <w:t>с</w:t>
            </w:r>
          </w:p>
        </w:tc>
        <w:tc>
          <w:tcPr>
            <w:tcW w:w="1014" w:type="dxa"/>
          </w:tcPr>
          <w:p>
            <w:pPr>
              <w:pStyle w:val="TableParagraph"/>
              <w:spacing w:line="220" w:lineRule="exact" w:before="60"/>
              <w:ind w:left="362"/>
              <w:rPr>
                <w:sz w:val="20"/>
              </w:rPr>
            </w:pPr>
            <w:r>
              <w:rPr>
                <w:spacing w:val="-2"/>
                <w:sz w:val="20"/>
              </w:rPr>
              <w:t>113746</w:t>
            </w: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434"/>
              <w:rPr>
                <w:sz w:val="20"/>
              </w:rPr>
            </w:pPr>
            <w:r>
              <w:rPr>
                <w:sz w:val="20"/>
              </w:rPr>
              <w:t>врожденных</w:t>
            </w:r>
            <w:r>
              <w:rPr>
                <w:spacing w:val="-12"/>
                <w:sz w:val="20"/>
              </w:rPr>
              <w:t> </w:t>
            </w:r>
            <w:r>
              <w:rPr>
                <w:spacing w:val="-2"/>
                <w:sz w:val="20"/>
              </w:rPr>
              <w:t>аномалий</w:t>
            </w:r>
          </w:p>
        </w:tc>
        <w:tc>
          <w:tcPr>
            <w:tcW w:w="2033" w:type="dxa"/>
          </w:tcPr>
          <w:p>
            <w:pPr>
              <w:pStyle w:val="TableParagraph"/>
              <w:spacing w:line="220" w:lineRule="exact"/>
              <w:ind w:left="159" w:right="118"/>
              <w:jc w:val="center"/>
              <w:rPr>
                <w:sz w:val="20"/>
              </w:rPr>
            </w:pPr>
            <w:r>
              <w:rPr>
                <w:sz w:val="20"/>
              </w:rPr>
              <w:t>Q32.4,</w:t>
            </w:r>
            <w:r>
              <w:rPr>
                <w:spacing w:val="-4"/>
                <w:sz w:val="20"/>
              </w:rPr>
              <w:t> </w:t>
            </w:r>
            <w:r>
              <w:rPr>
                <w:sz w:val="20"/>
              </w:rPr>
              <w:t>Q33,</w:t>
            </w:r>
            <w:r>
              <w:rPr>
                <w:spacing w:val="-5"/>
                <w:sz w:val="20"/>
              </w:rPr>
              <w:t> </w:t>
            </w:r>
            <w:r>
              <w:rPr>
                <w:spacing w:val="-2"/>
                <w:sz w:val="20"/>
              </w:rPr>
              <w:t>P27.1</w:t>
            </w:r>
          </w:p>
        </w:tc>
        <w:tc>
          <w:tcPr>
            <w:tcW w:w="3371" w:type="dxa"/>
          </w:tcPr>
          <w:p>
            <w:pPr>
              <w:pStyle w:val="TableParagraph"/>
              <w:spacing w:line="220" w:lineRule="exact"/>
              <w:ind w:left="132"/>
              <w:rPr>
                <w:sz w:val="20"/>
              </w:rPr>
            </w:pPr>
            <w:r>
              <w:rPr>
                <w:sz w:val="20"/>
              </w:rPr>
              <w:t>развития)</w:t>
            </w:r>
            <w:r>
              <w:rPr>
                <w:spacing w:val="-9"/>
                <w:sz w:val="20"/>
              </w:rPr>
              <w:t> </w:t>
            </w:r>
            <w:r>
              <w:rPr>
                <w:sz w:val="20"/>
              </w:rPr>
              <w:t>трахеи,</w:t>
            </w:r>
            <w:r>
              <w:rPr>
                <w:spacing w:val="-9"/>
                <w:sz w:val="20"/>
              </w:rPr>
              <w:t> </w:t>
            </w:r>
            <w:r>
              <w:rPr>
                <w:sz w:val="20"/>
              </w:rPr>
              <w:t>бронхов,</w:t>
            </w:r>
            <w:r>
              <w:rPr>
                <w:spacing w:val="-9"/>
                <w:sz w:val="20"/>
              </w:rPr>
              <w:t> </w:t>
            </w:r>
            <w:r>
              <w:rPr>
                <w:spacing w:val="-2"/>
                <w:sz w:val="20"/>
              </w:rPr>
              <w:t>легкого,</w:t>
            </w:r>
          </w:p>
        </w:tc>
        <w:tc>
          <w:tcPr>
            <w:tcW w:w="1457" w:type="dxa"/>
          </w:tcPr>
          <w:p>
            <w:pPr>
              <w:pStyle w:val="TableParagraph"/>
              <w:spacing w:line="220" w:lineRule="exact"/>
              <w:ind w:left="68"/>
              <w:rPr>
                <w:sz w:val="20"/>
              </w:rPr>
            </w:pPr>
            <w:r>
              <w:rPr>
                <w:sz w:val="20"/>
              </w:rPr>
              <w:t>кое</w:t>
            </w:r>
            <w:r>
              <w:rPr>
                <w:spacing w:val="-3"/>
                <w:sz w:val="20"/>
              </w:rPr>
              <w:t> </w:t>
            </w:r>
            <w:r>
              <w:rPr>
                <w:spacing w:val="-2"/>
                <w:sz w:val="20"/>
              </w:rPr>
              <w:t>лечение</w:t>
            </w:r>
          </w:p>
        </w:tc>
        <w:tc>
          <w:tcPr>
            <w:tcW w:w="3917" w:type="dxa"/>
          </w:tcPr>
          <w:p>
            <w:pPr>
              <w:pStyle w:val="TableParagraph"/>
              <w:spacing w:line="220" w:lineRule="exact"/>
              <w:ind w:left="85"/>
              <w:rPr>
                <w:sz w:val="20"/>
              </w:rPr>
            </w:pPr>
            <w:r>
              <w:rPr>
                <w:spacing w:val="-2"/>
                <w:sz w:val="20"/>
              </w:rPr>
              <w:t>применением</w:t>
            </w:r>
            <w:r>
              <w:rPr>
                <w:spacing w:val="8"/>
                <w:sz w:val="20"/>
              </w:rPr>
              <w:t> </w:t>
            </w:r>
            <w:r>
              <w:rPr>
                <w:spacing w:val="-2"/>
                <w:sz w:val="20"/>
              </w:rPr>
              <w:t>химиотерапевтических</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251"/>
              <w:rPr>
                <w:sz w:val="20"/>
              </w:rPr>
            </w:pPr>
            <w:r>
              <w:rPr>
                <w:sz w:val="20"/>
              </w:rPr>
              <w:t>(пороков</w:t>
            </w:r>
            <w:r>
              <w:rPr>
                <w:spacing w:val="-10"/>
                <w:sz w:val="20"/>
              </w:rPr>
              <w:t> </w:t>
            </w:r>
            <w:r>
              <w:rPr>
                <w:sz w:val="20"/>
              </w:rPr>
              <w:t>развития)</w:t>
            </w:r>
            <w:r>
              <w:rPr>
                <w:spacing w:val="-8"/>
                <w:sz w:val="20"/>
              </w:rPr>
              <w:t> </w:t>
            </w:r>
            <w:r>
              <w:rPr>
                <w:spacing w:val="-2"/>
                <w:sz w:val="20"/>
              </w:rPr>
              <w:t>трахеи,</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сосудов</w:t>
            </w:r>
            <w:r>
              <w:rPr>
                <w:spacing w:val="-8"/>
                <w:sz w:val="20"/>
              </w:rPr>
              <w:t> </w:t>
            </w:r>
            <w:r>
              <w:rPr>
                <w:sz w:val="20"/>
              </w:rPr>
              <w:t>легкого,</w:t>
            </w:r>
            <w:r>
              <w:rPr>
                <w:spacing w:val="-7"/>
                <w:sz w:val="20"/>
              </w:rPr>
              <w:t> </w:t>
            </w:r>
            <w:r>
              <w:rPr>
                <w:spacing w:val="-2"/>
                <w:sz w:val="20"/>
              </w:rPr>
              <w:t>врожденная</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лекарственных</w:t>
            </w:r>
            <w:r>
              <w:rPr>
                <w:spacing w:val="-11"/>
                <w:sz w:val="20"/>
              </w:rPr>
              <w:t> </w:t>
            </w:r>
            <w:r>
              <w:rPr>
                <w:sz w:val="20"/>
              </w:rPr>
              <w:t>препаратов</w:t>
            </w:r>
            <w:r>
              <w:rPr>
                <w:spacing w:val="-12"/>
                <w:sz w:val="20"/>
              </w:rPr>
              <w:t> </w:t>
            </w:r>
            <w:r>
              <w:rPr>
                <w:spacing w:val="-5"/>
                <w:sz w:val="20"/>
              </w:rPr>
              <w:t>для</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612"/>
              <w:rPr>
                <w:sz w:val="20"/>
              </w:rPr>
            </w:pPr>
            <w:r>
              <w:rPr>
                <w:sz w:val="20"/>
              </w:rPr>
              <w:t>бронхов,</w:t>
            </w:r>
            <w:r>
              <w:rPr>
                <w:spacing w:val="-9"/>
                <w:sz w:val="20"/>
              </w:rPr>
              <w:t> </w:t>
            </w:r>
            <w:r>
              <w:rPr>
                <w:sz w:val="20"/>
              </w:rPr>
              <w:t>легкого</w:t>
            </w:r>
            <w:r>
              <w:rPr>
                <w:spacing w:val="-8"/>
                <w:sz w:val="20"/>
              </w:rPr>
              <w:t> </w:t>
            </w:r>
            <w:r>
              <w:rPr>
                <w:spacing w:val="-10"/>
                <w:sz w:val="20"/>
              </w:rPr>
              <w:t>с</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бронхоэктазия,</w:t>
            </w:r>
            <w:r>
              <w:rPr>
                <w:spacing w:val="48"/>
                <w:sz w:val="20"/>
              </w:rPr>
              <w:t> </w:t>
            </w:r>
            <w:r>
              <w:rPr>
                <w:spacing w:val="-2"/>
                <w:sz w:val="20"/>
              </w:rPr>
              <w:t>которые</w:t>
            </w:r>
          </w:p>
        </w:tc>
        <w:tc>
          <w:tcPr>
            <w:tcW w:w="1457" w:type="dxa"/>
          </w:tcPr>
          <w:p>
            <w:pPr>
              <w:pStyle w:val="TableParagraph"/>
              <w:rPr>
                <w:sz w:val="16"/>
              </w:rPr>
            </w:pPr>
          </w:p>
        </w:tc>
        <w:tc>
          <w:tcPr>
            <w:tcW w:w="3917" w:type="dxa"/>
          </w:tcPr>
          <w:p>
            <w:pPr>
              <w:pStyle w:val="TableParagraph"/>
              <w:spacing w:line="220" w:lineRule="exact"/>
              <w:ind w:left="85"/>
              <w:rPr>
                <w:sz w:val="20"/>
              </w:rPr>
            </w:pPr>
            <w:r>
              <w:rPr>
                <w:spacing w:val="-2"/>
                <w:sz w:val="20"/>
              </w:rPr>
              <w:t>длительного</w:t>
            </w:r>
            <w:r>
              <w:rPr>
                <w:spacing w:val="8"/>
                <w:sz w:val="20"/>
              </w:rPr>
              <w:t> </w:t>
            </w:r>
            <w:r>
              <w:rPr>
                <w:spacing w:val="-2"/>
                <w:sz w:val="20"/>
              </w:rPr>
              <w:t>внутривенного</w:t>
            </w:r>
            <w:r>
              <w:rPr>
                <w:spacing w:val="11"/>
                <w:sz w:val="20"/>
              </w:rPr>
              <w:t> </w:t>
            </w:r>
            <w:r>
              <w:rPr>
                <w:spacing w:val="-12"/>
                <w:sz w:val="20"/>
              </w:rPr>
              <w:t>и</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830"/>
              <w:rPr>
                <w:sz w:val="20"/>
              </w:rPr>
            </w:pPr>
            <w:r>
              <w:rPr>
                <w:spacing w:val="-2"/>
                <w:sz w:val="20"/>
              </w:rPr>
              <w:t>применением</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сопровождаются</w:t>
            </w:r>
            <w:r>
              <w:rPr>
                <w:spacing w:val="56"/>
                <w:sz w:val="20"/>
              </w:rPr>
              <w:t> </w:t>
            </w:r>
            <w:r>
              <w:rPr>
                <w:spacing w:val="-2"/>
                <w:sz w:val="20"/>
              </w:rPr>
              <w:t>развитием</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ингаляционного</w:t>
            </w:r>
            <w:r>
              <w:rPr>
                <w:spacing w:val="-9"/>
                <w:sz w:val="20"/>
              </w:rPr>
              <w:t> </w:t>
            </w:r>
            <w:r>
              <w:rPr>
                <w:sz w:val="20"/>
              </w:rPr>
              <w:t>введения</w:t>
            </w:r>
            <w:r>
              <w:rPr>
                <w:spacing w:val="-8"/>
                <w:sz w:val="20"/>
              </w:rPr>
              <w:t> </w:t>
            </w:r>
            <w:r>
              <w:rPr>
                <w:sz w:val="20"/>
              </w:rPr>
              <w:t>и</w:t>
            </w:r>
            <w:r>
              <w:rPr>
                <w:spacing w:val="-9"/>
                <w:sz w:val="20"/>
              </w:rPr>
              <w:t> </w:t>
            </w:r>
            <w:r>
              <w:rPr>
                <w:sz w:val="20"/>
              </w:rPr>
              <w:t>(или)</w:t>
            </w:r>
            <w:r>
              <w:rPr>
                <w:spacing w:val="-7"/>
                <w:sz w:val="20"/>
              </w:rPr>
              <w:t> </w:t>
            </w:r>
            <w:r>
              <w:rPr>
                <w:spacing w:val="-2"/>
                <w:sz w:val="20"/>
              </w:rPr>
              <w:t>генно-</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343"/>
              <w:rPr>
                <w:sz w:val="20"/>
              </w:rPr>
            </w:pPr>
            <w:r>
              <w:rPr>
                <w:w w:val="95"/>
                <w:sz w:val="20"/>
              </w:rPr>
              <w:t>химиотерапевтических</w:t>
            </w:r>
            <w:r>
              <w:rPr>
                <w:spacing w:val="76"/>
                <w:sz w:val="20"/>
              </w:rPr>
              <w:t> </w:t>
            </w:r>
            <w:r>
              <w:rPr>
                <w:spacing w:val="-10"/>
                <w:sz w:val="20"/>
              </w:rPr>
              <w:t>и</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тяжелого</w:t>
            </w:r>
            <w:r>
              <w:rPr>
                <w:spacing w:val="-9"/>
                <w:sz w:val="20"/>
              </w:rPr>
              <w:t> </w:t>
            </w:r>
            <w:r>
              <w:rPr>
                <w:spacing w:val="-2"/>
                <w:sz w:val="20"/>
              </w:rPr>
              <w:t>хронического</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инженерных</w:t>
            </w:r>
            <w:r>
              <w:rPr>
                <w:spacing w:val="-11"/>
                <w:sz w:val="20"/>
              </w:rPr>
              <w:t> </w:t>
            </w:r>
            <w:r>
              <w:rPr>
                <w:spacing w:val="-2"/>
                <w:sz w:val="20"/>
              </w:rPr>
              <w:t>биологических</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593"/>
              <w:rPr>
                <w:sz w:val="20"/>
              </w:rPr>
            </w:pPr>
            <w:r>
              <w:rPr>
                <w:w w:val="95"/>
                <w:sz w:val="20"/>
              </w:rPr>
              <w:t>генно-</w:t>
            </w:r>
            <w:r>
              <w:rPr>
                <w:spacing w:val="-2"/>
                <w:sz w:val="20"/>
              </w:rPr>
              <w:t>инженерных</w:t>
            </w: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бронхолегочного</w:t>
            </w:r>
            <w:r>
              <w:rPr>
                <w:spacing w:val="10"/>
                <w:sz w:val="20"/>
              </w:rPr>
              <w:t> </w:t>
            </w:r>
            <w:r>
              <w:rPr>
                <w:spacing w:val="-2"/>
                <w:sz w:val="20"/>
              </w:rPr>
              <w:t>процесса</w:t>
            </w:r>
            <w:r>
              <w:rPr>
                <w:spacing w:val="10"/>
                <w:sz w:val="20"/>
              </w:rPr>
              <w:t> </w:t>
            </w:r>
            <w:r>
              <w:rPr>
                <w:spacing w:val="-10"/>
                <w:sz w:val="20"/>
              </w:rPr>
              <w:t>с</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лекарственных</w:t>
            </w:r>
            <w:r>
              <w:rPr>
                <w:spacing w:val="-11"/>
                <w:sz w:val="20"/>
              </w:rPr>
              <w:t> </w:t>
            </w:r>
            <w:r>
              <w:rPr>
                <w:spacing w:val="-2"/>
                <w:sz w:val="20"/>
              </w:rPr>
              <w:t>препаратов</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768"/>
              <w:rPr>
                <w:sz w:val="20"/>
              </w:rPr>
            </w:pPr>
            <w:r>
              <w:rPr>
                <w:spacing w:val="-2"/>
                <w:sz w:val="20"/>
              </w:rPr>
              <w:t>биологических</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дыхательной</w:t>
            </w:r>
            <w:r>
              <w:rPr>
                <w:spacing w:val="51"/>
                <w:sz w:val="20"/>
              </w:rPr>
              <w:t> </w:t>
            </w:r>
            <w:r>
              <w:rPr>
                <w:w w:val="95"/>
                <w:sz w:val="20"/>
              </w:rPr>
              <w:t>недостаточностью</w:t>
            </w:r>
            <w:r>
              <w:rPr>
                <w:spacing w:val="53"/>
                <w:sz w:val="20"/>
              </w:rPr>
              <w:t> </w:t>
            </w:r>
            <w:r>
              <w:rPr>
                <w:spacing w:val="-10"/>
                <w:w w:val="95"/>
                <w:sz w:val="20"/>
              </w:rPr>
              <w:t>и</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259"/>
              <w:rPr>
                <w:sz w:val="20"/>
              </w:rPr>
            </w:pPr>
            <w:r>
              <w:rPr>
                <w:sz w:val="20"/>
              </w:rPr>
              <w:t>лекарственных</w:t>
            </w:r>
            <w:r>
              <w:rPr>
                <w:spacing w:val="-11"/>
                <w:sz w:val="20"/>
              </w:rPr>
              <w:t> </w:t>
            </w:r>
            <w:r>
              <w:rPr>
                <w:spacing w:val="-2"/>
                <w:sz w:val="20"/>
              </w:rPr>
              <w:t>препаратов</w:t>
            </w: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формированием</w:t>
            </w:r>
            <w:r>
              <w:rPr>
                <w:spacing w:val="9"/>
                <w:sz w:val="20"/>
              </w:rPr>
              <w:t> </w:t>
            </w:r>
            <w:r>
              <w:rPr>
                <w:spacing w:val="-2"/>
                <w:sz w:val="20"/>
              </w:rPr>
              <w:t>легочного</w:t>
            </w:r>
            <w:r>
              <w:rPr>
                <w:spacing w:val="9"/>
                <w:sz w:val="20"/>
              </w:rPr>
              <w:t> </w:t>
            </w:r>
            <w:r>
              <w:rPr>
                <w:spacing w:val="-2"/>
                <w:sz w:val="20"/>
              </w:rPr>
              <w:t>сердца.</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Врожденная</w:t>
            </w:r>
            <w:r>
              <w:rPr>
                <w:spacing w:val="-11"/>
                <w:sz w:val="20"/>
              </w:rPr>
              <w:t> </w:t>
            </w:r>
            <w:r>
              <w:rPr>
                <w:spacing w:val="-2"/>
                <w:sz w:val="20"/>
              </w:rPr>
              <w:t>трахеомаляция.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Врожденная</w:t>
            </w:r>
            <w:r>
              <w:rPr>
                <w:spacing w:val="-11"/>
                <w:sz w:val="20"/>
              </w:rPr>
              <w:t> </w:t>
            </w:r>
            <w:r>
              <w:rPr>
                <w:spacing w:val="-2"/>
                <w:sz w:val="20"/>
              </w:rPr>
              <w:t>бронхомаляция.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Врожденный</w:t>
            </w:r>
            <w:r>
              <w:rPr>
                <w:spacing w:val="-9"/>
                <w:sz w:val="20"/>
              </w:rPr>
              <w:t> </w:t>
            </w:r>
            <w:r>
              <w:rPr>
                <w:sz w:val="20"/>
              </w:rPr>
              <w:t>стеноз</w:t>
            </w:r>
            <w:r>
              <w:rPr>
                <w:spacing w:val="-8"/>
                <w:sz w:val="20"/>
              </w:rPr>
              <w:t> </w:t>
            </w:r>
            <w:r>
              <w:rPr>
                <w:spacing w:val="-2"/>
                <w:sz w:val="20"/>
              </w:rPr>
              <w:t>бронхов.</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Синдром</w:t>
            </w:r>
            <w:r>
              <w:rPr>
                <w:spacing w:val="-9"/>
                <w:sz w:val="20"/>
              </w:rPr>
              <w:t> </w:t>
            </w:r>
            <w:r>
              <w:rPr>
                <w:sz w:val="20"/>
              </w:rPr>
              <w:t>Картагенера,</w:t>
            </w:r>
            <w:r>
              <w:rPr>
                <w:spacing w:val="-9"/>
                <w:sz w:val="20"/>
              </w:rPr>
              <w:t> </w:t>
            </w:r>
            <w:r>
              <w:rPr>
                <w:spacing w:val="-2"/>
                <w:sz w:val="20"/>
              </w:rPr>
              <w:t>первичная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цилиарная</w:t>
            </w:r>
            <w:r>
              <w:rPr>
                <w:spacing w:val="6"/>
                <w:sz w:val="20"/>
              </w:rPr>
              <w:t> </w:t>
            </w:r>
            <w:r>
              <w:rPr>
                <w:spacing w:val="-2"/>
                <w:sz w:val="20"/>
              </w:rPr>
              <w:t>дискинезия.</w:t>
            </w:r>
            <w:r>
              <w:rPr>
                <w:spacing w:val="8"/>
                <w:sz w:val="20"/>
              </w:rPr>
              <w:t> </w:t>
            </w:r>
            <w:r>
              <w:rPr>
                <w:spacing w:val="-2"/>
                <w:sz w:val="20"/>
              </w:rPr>
              <w:t>Врожденные</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аномалии</w:t>
            </w:r>
            <w:r>
              <w:rPr>
                <w:spacing w:val="-9"/>
                <w:sz w:val="20"/>
              </w:rPr>
              <w:t> </w:t>
            </w:r>
            <w:r>
              <w:rPr>
                <w:sz w:val="20"/>
              </w:rPr>
              <w:t>(пороки</w:t>
            </w:r>
            <w:r>
              <w:rPr>
                <w:spacing w:val="-8"/>
                <w:sz w:val="20"/>
              </w:rPr>
              <w:t> </w:t>
            </w:r>
            <w:r>
              <w:rPr>
                <w:sz w:val="20"/>
              </w:rPr>
              <w:t>развития)</w:t>
            </w:r>
            <w:r>
              <w:rPr>
                <w:spacing w:val="-6"/>
                <w:sz w:val="20"/>
              </w:rPr>
              <w:t> </w:t>
            </w:r>
            <w:r>
              <w:rPr>
                <w:spacing w:val="-2"/>
                <w:sz w:val="20"/>
              </w:rPr>
              <w:t>легкого.</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Агенезия</w:t>
            </w:r>
            <w:r>
              <w:rPr>
                <w:spacing w:val="-9"/>
                <w:sz w:val="20"/>
              </w:rPr>
              <w:t> </w:t>
            </w:r>
            <w:r>
              <w:rPr>
                <w:sz w:val="20"/>
              </w:rPr>
              <w:t>легкого.</w:t>
            </w:r>
            <w:r>
              <w:rPr>
                <w:spacing w:val="-8"/>
                <w:sz w:val="20"/>
              </w:rPr>
              <w:t> </w:t>
            </w:r>
            <w:r>
              <w:rPr>
                <w:spacing w:val="-2"/>
                <w:sz w:val="20"/>
              </w:rPr>
              <w:t>Врожденная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бронхоэктазия.</w:t>
            </w:r>
            <w:r>
              <w:rPr>
                <w:spacing w:val="-12"/>
                <w:sz w:val="20"/>
              </w:rPr>
              <w:t> </w:t>
            </w:r>
            <w:r>
              <w:rPr>
                <w:sz w:val="20"/>
              </w:rPr>
              <w:t>Синдром</w:t>
            </w:r>
            <w:r>
              <w:rPr>
                <w:spacing w:val="-10"/>
                <w:sz w:val="20"/>
              </w:rPr>
              <w:t> </w:t>
            </w:r>
            <w:r>
              <w:rPr>
                <w:sz w:val="20"/>
              </w:rPr>
              <w:t>Вильямса</w:t>
            </w:r>
            <w:r>
              <w:rPr>
                <w:spacing w:val="-8"/>
                <w:sz w:val="20"/>
              </w:rPr>
              <w:t> </w:t>
            </w:r>
            <w:r>
              <w:rPr>
                <w:spacing w:val="-10"/>
                <w:sz w:val="20"/>
              </w:rPr>
              <w:t>-</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Кэмпбелла.</w:t>
            </w:r>
            <w:r>
              <w:rPr>
                <w:spacing w:val="-11"/>
                <w:sz w:val="20"/>
              </w:rPr>
              <w:t> </w:t>
            </w:r>
            <w:r>
              <w:rPr>
                <w:spacing w:val="-2"/>
                <w:sz w:val="20"/>
              </w:rPr>
              <w:t>Бронхолегочная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300" w:hRule="atLeast"/>
        </w:trPr>
        <w:tc>
          <w:tcPr>
            <w:tcW w:w="511" w:type="dxa"/>
          </w:tcPr>
          <w:p>
            <w:pPr>
              <w:pStyle w:val="TableParagraph"/>
              <w:rPr>
                <w:sz w:val="18"/>
              </w:rPr>
            </w:pPr>
          </w:p>
        </w:tc>
        <w:tc>
          <w:tcPr>
            <w:tcW w:w="2799" w:type="dxa"/>
          </w:tcPr>
          <w:p>
            <w:pPr>
              <w:pStyle w:val="TableParagraph"/>
              <w:rPr>
                <w:sz w:val="18"/>
              </w:rPr>
            </w:pPr>
          </w:p>
        </w:tc>
        <w:tc>
          <w:tcPr>
            <w:tcW w:w="2033" w:type="dxa"/>
          </w:tcPr>
          <w:p>
            <w:pPr>
              <w:pStyle w:val="TableParagraph"/>
              <w:rPr>
                <w:sz w:val="18"/>
              </w:rPr>
            </w:pPr>
          </w:p>
        </w:tc>
        <w:tc>
          <w:tcPr>
            <w:tcW w:w="3371" w:type="dxa"/>
          </w:tcPr>
          <w:p>
            <w:pPr>
              <w:pStyle w:val="TableParagraph"/>
              <w:ind w:left="132"/>
              <w:rPr>
                <w:sz w:val="20"/>
              </w:rPr>
            </w:pPr>
            <w:r>
              <w:rPr>
                <w:spacing w:val="-2"/>
                <w:sz w:val="20"/>
              </w:rPr>
              <w:t>дисплазия</w:t>
            </w:r>
          </w:p>
        </w:tc>
        <w:tc>
          <w:tcPr>
            <w:tcW w:w="1457" w:type="dxa"/>
          </w:tcPr>
          <w:p>
            <w:pPr>
              <w:pStyle w:val="TableParagraph"/>
              <w:rPr>
                <w:sz w:val="18"/>
              </w:rPr>
            </w:pPr>
          </w:p>
        </w:tc>
        <w:tc>
          <w:tcPr>
            <w:tcW w:w="3917" w:type="dxa"/>
          </w:tcPr>
          <w:p>
            <w:pPr>
              <w:pStyle w:val="TableParagraph"/>
              <w:rPr>
                <w:sz w:val="18"/>
              </w:rPr>
            </w:pPr>
          </w:p>
        </w:tc>
        <w:tc>
          <w:tcPr>
            <w:tcW w:w="1014" w:type="dxa"/>
          </w:tcPr>
          <w:p>
            <w:pPr>
              <w:pStyle w:val="TableParagraph"/>
              <w:rPr>
                <w:sz w:val="18"/>
              </w:rPr>
            </w:pPr>
          </w:p>
        </w:tc>
      </w:tr>
      <w:tr>
        <w:trPr>
          <w:trHeight w:val="300" w:hRule="atLeast"/>
        </w:trPr>
        <w:tc>
          <w:tcPr>
            <w:tcW w:w="511" w:type="dxa"/>
            <w:vMerge w:val="restart"/>
          </w:tcPr>
          <w:p>
            <w:pPr>
              <w:pStyle w:val="TableParagraph"/>
              <w:rPr>
                <w:sz w:val="18"/>
              </w:rPr>
            </w:pPr>
          </w:p>
        </w:tc>
        <w:tc>
          <w:tcPr>
            <w:tcW w:w="2799" w:type="dxa"/>
          </w:tcPr>
          <w:p>
            <w:pPr>
              <w:pStyle w:val="TableParagraph"/>
              <w:spacing w:line="220" w:lineRule="exact" w:before="60"/>
              <w:ind w:left="102"/>
              <w:rPr>
                <w:sz w:val="20"/>
              </w:rPr>
            </w:pPr>
            <w:r>
              <w:rPr>
                <w:w w:val="95"/>
                <w:sz w:val="20"/>
              </w:rPr>
              <w:t>Комбинированное</w:t>
            </w:r>
            <w:r>
              <w:rPr>
                <w:spacing w:val="59"/>
                <w:sz w:val="20"/>
              </w:rPr>
              <w:t> </w:t>
            </w:r>
            <w:r>
              <w:rPr>
                <w:spacing w:val="-2"/>
                <w:sz w:val="20"/>
              </w:rPr>
              <w:t>лечение</w:t>
            </w:r>
          </w:p>
        </w:tc>
        <w:tc>
          <w:tcPr>
            <w:tcW w:w="2033" w:type="dxa"/>
          </w:tcPr>
          <w:p>
            <w:pPr>
              <w:pStyle w:val="TableParagraph"/>
              <w:spacing w:line="220" w:lineRule="exact" w:before="60"/>
              <w:ind w:left="159" w:right="116"/>
              <w:jc w:val="center"/>
              <w:rPr>
                <w:sz w:val="20"/>
              </w:rPr>
            </w:pPr>
            <w:r>
              <w:rPr>
                <w:sz w:val="20"/>
              </w:rPr>
              <w:t>E30,</w:t>
            </w:r>
            <w:r>
              <w:rPr>
                <w:spacing w:val="-4"/>
                <w:sz w:val="20"/>
              </w:rPr>
              <w:t> </w:t>
            </w:r>
            <w:r>
              <w:rPr>
                <w:sz w:val="20"/>
              </w:rPr>
              <w:t>E22.8,</w:t>
            </w:r>
            <w:r>
              <w:rPr>
                <w:spacing w:val="-4"/>
                <w:sz w:val="20"/>
              </w:rPr>
              <w:t> Q78.1</w:t>
            </w:r>
          </w:p>
        </w:tc>
        <w:tc>
          <w:tcPr>
            <w:tcW w:w="3371" w:type="dxa"/>
          </w:tcPr>
          <w:p>
            <w:pPr>
              <w:pStyle w:val="TableParagraph"/>
              <w:spacing w:line="220" w:lineRule="exact" w:before="60"/>
              <w:ind w:left="132"/>
              <w:rPr>
                <w:sz w:val="20"/>
              </w:rPr>
            </w:pPr>
            <w:r>
              <w:rPr>
                <w:sz w:val="20"/>
              </w:rPr>
              <w:t>преждевременное</w:t>
            </w:r>
            <w:r>
              <w:rPr>
                <w:spacing w:val="-13"/>
                <w:sz w:val="20"/>
              </w:rPr>
              <w:t> </w:t>
            </w:r>
            <w:r>
              <w:rPr>
                <w:sz w:val="20"/>
              </w:rPr>
              <w:t>половое</w:t>
            </w:r>
            <w:r>
              <w:rPr>
                <w:spacing w:val="-12"/>
                <w:sz w:val="20"/>
              </w:rPr>
              <w:t> </w:t>
            </w:r>
            <w:r>
              <w:rPr>
                <w:spacing w:val="-2"/>
                <w:sz w:val="20"/>
              </w:rPr>
              <w:t>развитие,</w:t>
            </w:r>
          </w:p>
        </w:tc>
        <w:tc>
          <w:tcPr>
            <w:tcW w:w="1457" w:type="dxa"/>
          </w:tcPr>
          <w:p>
            <w:pPr>
              <w:pStyle w:val="TableParagraph"/>
              <w:spacing w:line="220" w:lineRule="exact" w:before="60"/>
              <w:ind w:left="68"/>
              <w:rPr>
                <w:sz w:val="20"/>
              </w:rPr>
            </w:pPr>
            <w:r>
              <w:rPr>
                <w:spacing w:val="-2"/>
                <w:sz w:val="20"/>
              </w:rPr>
              <w:t>комбинирован-</w:t>
            </w:r>
          </w:p>
        </w:tc>
        <w:tc>
          <w:tcPr>
            <w:tcW w:w="3917" w:type="dxa"/>
          </w:tcPr>
          <w:p>
            <w:pPr>
              <w:pStyle w:val="TableParagraph"/>
              <w:spacing w:line="220" w:lineRule="exact" w:before="60"/>
              <w:ind w:left="85"/>
              <w:rPr>
                <w:sz w:val="20"/>
              </w:rPr>
            </w:pPr>
            <w:r>
              <w:rPr>
                <w:sz w:val="20"/>
              </w:rPr>
              <w:t>введение</w:t>
            </w:r>
            <w:r>
              <w:rPr>
                <w:spacing w:val="-8"/>
                <w:sz w:val="20"/>
              </w:rPr>
              <w:t> </w:t>
            </w:r>
            <w:r>
              <w:rPr>
                <w:sz w:val="20"/>
              </w:rPr>
              <w:t>блокаторов</w:t>
            </w:r>
            <w:r>
              <w:rPr>
                <w:spacing w:val="-10"/>
                <w:sz w:val="20"/>
              </w:rPr>
              <w:t> </w:t>
            </w:r>
            <w:r>
              <w:rPr>
                <w:spacing w:val="-2"/>
                <w:sz w:val="20"/>
              </w:rPr>
              <w:t>гормональных</w:t>
            </w:r>
          </w:p>
        </w:tc>
        <w:tc>
          <w:tcPr>
            <w:tcW w:w="1014" w:type="dxa"/>
            <w:vMerge w:val="restart"/>
          </w:tcPr>
          <w:p>
            <w:pPr>
              <w:pStyle w:val="TableParagraph"/>
              <w:rPr>
                <w:sz w:val="18"/>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тяжелых</w:t>
            </w:r>
            <w:r>
              <w:rPr>
                <w:spacing w:val="-9"/>
                <w:sz w:val="20"/>
              </w:rPr>
              <w:t> </w:t>
            </w:r>
            <w:r>
              <w:rPr>
                <w:spacing w:val="-4"/>
                <w:sz w:val="20"/>
              </w:rPr>
              <w:t>форм</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обусловленное</w:t>
            </w:r>
            <w:r>
              <w:rPr>
                <w:spacing w:val="48"/>
                <w:sz w:val="20"/>
              </w:rPr>
              <w:t> </w:t>
            </w:r>
            <w:r>
              <w:rPr>
                <w:spacing w:val="-2"/>
                <w:sz w:val="20"/>
              </w:rPr>
              <w:t>врожденными</w:t>
            </w:r>
          </w:p>
        </w:tc>
        <w:tc>
          <w:tcPr>
            <w:tcW w:w="1457" w:type="dxa"/>
          </w:tcPr>
          <w:p>
            <w:pPr>
              <w:pStyle w:val="TableParagraph"/>
              <w:spacing w:line="220" w:lineRule="exact"/>
              <w:ind w:left="68"/>
              <w:rPr>
                <w:sz w:val="20"/>
              </w:rPr>
            </w:pPr>
            <w:r>
              <w:rPr>
                <w:sz w:val="20"/>
              </w:rPr>
              <w:t>ное</w:t>
            </w:r>
            <w:r>
              <w:rPr>
                <w:spacing w:val="-4"/>
                <w:sz w:val="20"/>
              </w:rPr>
              <w:t> </w:t>
            </w:r>
            <w:r>
              <w:rPr>
                <w:spacing w:val="-2"/>
                <w:sz w:val="20"/>
              </w:rPr>
              <w:t>лечение</w:t>
            </w:r>
          </w:p>
        </w:tc>
        <w:tc>
          <w:tcPr>
            <w:tcW w:w="3917" w:type="dxa"/>
          </w:tcPr>
          <w:p>
            <w:pPr>
              <w:pStyle w:val="TableParagraph"/>
              <w:spacing w:line="220" w:lineRule="exact"/>
              <w:ind w:left="85"/>
              <w:rPr>
                <w:sz w:val="20"/>
              </w:rPr>
            </w:pPr>
            <w:r>
              <w:rPr>
                <w:sz w:val="20"/>
              </w:rPr>
              <w:t>рецепторов</w:t>
            </w:r>
            <w:r>
              <w:rPr>
                <w:spacing w:val="-8"/>
                <w:sz w:val="20"/>
              </w:rPr>
              <w:t> </w:t>
            </w:r>
            <w:r>
              <w:rPr>
                <w:sz w:val="20"/>
              </w:rPr>
              <w:t>в</w:t>
            </w:r>
            <w:r>
              <w:rPr>
                <w:spacing w:val="-7"/>
                <w:sz w:val="20"/>
              </w:rPr>
              <w:t> </w:t>
            </w:r>
            <w:r>
              <w:rPr>
                <w:sz w:val="20"/>
              </w:rPr>
              <w:t>различном</w:t>
            </w:r>
            <w:r>
              <w:rPr>
                <w:spacing w:val="-6"/>
                <w:sz w:val="20"/>
              </w:rPr>
              <w:t> </w:t>
            </w:r>
            <w:r>
              <w:rPr>
                <w:spacing w:val="-2"/>
                <w:sz w:val="20"/>
              </w:rPr>
              <w:t>пульсовом</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w w:val="95"/>
                <w:sz w:val="20"/>
              </w:rPr>
              <w:t>преждевременного</w:t>
            </w:r>
            <w:r>
              <w:rPr>
                <w:spacing w:val="62"/>
                <w:sz w:val="20"/>
              </w:rPr>
              <w:t> </w:t>
            </w:r>
            <w:r>
              <w:rPr>
                <w:spacing w:val="-2"/>
                <w:sz w:val="20"/>
              </w:rPr>
              <w:t>полового</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мальформациями</w:t>
            </w:r>
            <w:r>
              <w:rPr>
                <w:spacing w:val="-8"/>
                <w:sz w:val="20"/>
              </w:rPr>
              <w:t> </w:t>
            </w:r>
            <w:r>
              <w:rPr>
                <w:sz w:val="20"/>
              </w:rPr>
              <w:t>и</w:t>
            </w:r>
            <w:r>
              <w:rPr>
                <w:spacing w:val="-9"/>
                <w:sz w:val="20"/>
              </w:rPr>
              <w:t> </w:t>
            </w:r>
            <w:r>
              <w:rPr>
                <w:sz w:val="20"/>
              </w:rPr>
              <w:t>(или)</w:t>
            </w:r>
            <w:r>
              <w:rPr>
                <w:spacing w:val="-8"/>
                <w:sz w:val="20"/>
              </w:rPr>
              <w:t> </w:t>
            </w:r>
            <w:r>
              <w:rPr>
                <w:spacing w:val="-2"/>
                <w:sz w:val="20"/>
              </w:rPr>
              <w:t>опухолями</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режиме</w:t>
            </w:r>
            <w:r>
              <w:rPr>
                <w:spacing w:val="-7"/>
                <w:sz w:val="20"/>
              </w:rPr>
              <w:t> </w:t>
            </w:r>
            <w:r>
              <w:rPr>
                <w:sz w:val="20"/>
              </w:rPr>
              <w:t>под</w:t>
            </w:r>
            <w:r>
              <w:rPr>
                <w:spacing w:val="-7"/>
                <w:sz w:val="20"/>
              </w:rPr>
              <w:t> </w:t>
            </w:r>
            <w:r>
              <w:rPr>
                <w:sz w:val="20"/>
              </w:rPr>
              <w:t>контролем</w:t>
            </w:r>
            <w:r>
              <w:rPr>
                <w:spacing w:val="-6"/>
                <w:sz w:val="20"/>
              </w:rPr>
              <w:t> </w:t>
            </w:r>
            <w:r>
              <w:rPr>
                <w:spacing w:val="-2"/>
                <w:sz w:val="20"/>
              </w:rPr>
              <w:t>комплекса</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развития</w:t>
            </w:r>
            <w:r>
              <w:rPr>
                <w:spacing w:val="-6"/>
                <w:sz w:val="20"/>
              </w:rPr>
              <w:t> </w:t>
            </w:r>
            <w:r>
              <w:rPr>
                <w:sz w:val="20"/>
              </w:rPr>
              <w:t>(II</w:t>
            </w:r>
            <w:r>
              <w:rPr>
                <w:spacing w:val="-3"/>
                <w:sz w:val="20"/>
              </w:rPr>
              <w:t> </w:t>
            </w:r>
            <w:r>
              <w:rPr>
                <w:sz w:val="20"/>
              </w:rPr>
              <w:t>-</w:t>
            </w:r>
            <w:r>
              <w:rPr>
                <w:spacing w:val="-6"/>
                <w:sz w:val="20"/>
              </w:rPr>
              <w:t> </w:t>
            </w:r>
            <w:r>
              <w:rPr>
                <w:sz w:val="20"/>
              </w:rPr>
              <w:t>V</w:t>
            </w:r>
            <w:r>
              <w:rPr>
                <w:spacing w:val="-4"/>
                <w:sz w:val="20"/>
              </w:rPr>
              <w:t> </w:t>
            </w:r>
            <w:r>
              <w:rPr>
                <w:sz w:val="20"/>
              </w:rPr>
              <w:t>степень</w:t>
            </w:r>
            <w:r>
              <w:rPr>
                <w:spacing w:val="-5"/>
                <w:sz w:val="20"/>
              </w:rPr>
              <w:t> по</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головного</w:t>
            </w:r>
            <w:r>
              <w:rPr>
                <w:spacing w:val="-8"/>
                <w:sz w:val="20"/>
              </w:rPr>
              <w:t> </w:t>
            </w:r>
            <w:r>
              <w:rPr>
                <w:sz w:val="20"/>
              </w:rPr>
              <w:t>мозга.</w:t>
            </w:r>
            <w:r>
              <w:rPr>
                <w:spacing w:val="-7"/>
                <w:sz w:val="20"/>
              </w:rPr>
              <w:t> </w:t>
            </w:r>
            <w:r>
              <w:rPr>
                <w:spacing w:val="-2"/>
                <w:sz w:val="20"/>
              </w:rPr>
              <w:t>Преждевременное</w:t>
            </w:r>
          </w:p>
        </w:tc>
        <w:tc>
          <w:tcPr>
            <w:tcW w:w="1457" w:type="dxa"/>
          </w:tcPr>
          <w:p>
            <w:pPr>
              <w:pStyle w:val="TableParagraph"/>
              <w:rPr>
                <w:sz w:val="16"/>
              </w:rPr>
            </w:pPr>
          </w:p>
        </w:tc>
        <w:tc>
          <w:tcPr>
            <w:tcW w:w="3917" w:type="dxa"/>
          </w:tcPr>
          <w:p>
            <w:pPr>
              <w:pStyle w:val="TableParagraph"/>
              <w:spacing w:line="220" w:lineRule="exact"/>
              <w:ind w:left="85"/>
              <w:rPr>
                <w:sz w:val="20"/>
              </w:rPr>
            </w:pPr>
            <w:r>
              <w:rPr>
                <w:spacing w:val="-2"/>
                <w:sz w:val="20"/>
              </w:rPr>
              <w:t>биохимических,</w:t>
            </w:r>
            <w:r>
              <w:rPr>
                <w:spacing w:val="14"/>
                <w:sz w:val="20"/>
              </w:rPr>
              <w:t> </w:t>
            </w:r>
            <w:r>
              <w:rPr>
                <w:spacing w:val="-2"/>
                <w:sz w:val="20"/>
              </w:rPr>
              <w:t>гормональных,</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Prader),</w:t>
            </w:r>
            <w:r>
              <w:rPr>
                <w:spacing w:val="-10"/>
                <w:sz w:val="20"/>
              </w:rPr>
              <w:t> </w:t>
            </w:r>
            <w:r>
              <w:rPr>
                <w:sz w:val="20"/>
              </w:rPr>
              <w:t>включая</w:t>
            </w:r>
            <w:r>
              <w:rPr>
                <w:spacing w:val="-10"/>
                <w:sz w:val="20"/>
              </w:rPr>
              <w:t> </w:t>
            </w:r>
            <w:r>
              <w:rPr>
                <w:spacing w:val="-2"/>
                <w:sz w:val="20"/>
              </w:rPr>
              <w:t>оперативное</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половое</w:t>
            </w:r>
            <w:r>
              <w:rPr>
                <w:spacing w:val="-10"/>
                <w:sz w:val="20"/>
              </w:rPr>
              <w:t> </w:t>
            </w:r>
            <w:r>
              <w:rPr>
                <w:sz w:val="20"/>
              </w:rPr>
              <w:t>развитие,</w:t>
            </w:r>
            <w:r>
              <w:rPr>
                <w:spacing w:val="-9"/>
                <w:sz w:val="20"/>
              </w:rPr>
              <w:t> </w:t>
            </w:r>
            <w:r>
              <w:rPr>
                <w:spacing w:val="-2"/>
                <w:sz w:val="20"/>
              </w:rPr>
              <w:t>обусловленное</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молекулярно-</w:t>
            </w:r>
            <w:r>
              <w:rPr>
                <w:spacing w:val="-2"/>
                <w:sz w:val="20"/>
              </w:rPr>
              <w:t>генетических,</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лечение,</w:t>
            </w:r>
            <w:r>
              <w:rPr>
                <w:spacing w:val="-9"/>
                <w:sz w:val="20"/>
              </w:rPr>
              <w:t> </w:t>
            </w:r>
            <w:r>
              <w:rPr>
                <w:spacing w:val="-2"/>
                <w:sz w:val="20"/>
              </w:rPr>
              <w:t>блокаду</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опухолями</w:t>
            </w:r>
            <w:r>
              <w:rPr>
                <w:spacing w:val="-11"/>
                <w:sz w:val="20"/>
              </w:rPr>
              <w:t> </w:t>
            </w:r>
            <w:r>
              <w:rPr>
                <w:spacing w:val="-2"/>
                <w:sz w:val="20"/>
              </w:rPr>
              <w:t>надпочечников.</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морфологических</w:t>
            </w:r>
            <w:r>
              <w:rPr>
                <w:spacing w:val="60"/>
                <w:sz w:val="20"/>
              </w:rPr>
              <w:t> </w:t>
            </w:r>
            <w:r>
              <w:rPr>
                <w:spacing w:val="-10"/>
                <w:sz w:val="20"/>
              </w:rPr>
              <w:t>и</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w w:val="95"/>
                <w:sz w:val="20"/>
              </w:rPr>
              <w:t>гормональных</w:t>
            </w:r>
            <w:r>
              <w:rPr>
                <w:spacing w:val="45"/>
                <w:sz w:val="20"/>
              </w:rPr>
              <w:t> </w:t>
            </w:r>
            <w:r>
              <w:rPr>
                <w:spacing w:val="-2"/>
                <w:sz w:val="20"/>
              </w:rPr>
              <w:t>рецепторов,</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Преждевременное</w:t>
            </w:r>
            <w:r>
              <w:rPr>
                <w:spacing w:val="-12"/>
                <w:sz w:val="20"/>
              </w:rPr>
              <w:t> </w:t>
            </w:r>
            <w:r>
              <w:rPr>
                <w:sz w:val="20"/>
              </w:rPr>
              <w:t>половое</w:t>
            </w:r>
            <w:r>
              <w:rPr>
                <w:spacing w:val="-12"/>
                <w:sz w:val="20"/>
              </w:rPr>
              <w:t> </w:t>
            </w:r>
            <w:r>
              <w:rPr>
                <w:spacing w:val="-2"/>
                <w:sz w:val="20"/>
              </w:rPr>
              <w:t>развитие,</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иммуногистохимических</w:t>
            </w:r>
            <w:r>
              <w:rPr>
                <w:spacing w:val="58"/>
                <w:w w:val="150"/>
                <w:sz w:val="20"/>
              </w:rPr>
              <w:t> </w:t>
            </w:r>
            <w:r>
              <w:rPr>
                <w:spacing w:val="-2"/>
                <w:sz w:val="20"/>
              </w:rPr>
              <w:t>методов</w:t>
            </w:r>
          </w:p>
        </w:tc>
        <w:tc>
          <w:tcPr>
            <w:tcW w:w="1014" w:type="dxa"/>
            <w:vMerge/>
            <w:tcBorders>
              <w:top w:val="nil"/>
            </w:tcBorders>
          </w:tcPr>
          <w:p>
            <w:pPr>
              <w:rPr>
                <w:sz w:val="2"/>
                <w:szCs w:val="2"/>
              </w:rPr>
            </w:pPr>
          </w:p>
        </w:tc>
      </w:tr>
      <w:tr>
        <w:trPr>
          <w:trHeight w:val="239" w:hRule="atLeast"/>
        </w:trPr>
        <w:tc>
          <w:tcPr>
            <w:tcW w:w="511" w:type="dxa"/>
            <w:vMerge/>
            <w:tcBorders>
              <w:top w:val="nil"/>
            </w:tcBorders>
          </w:tcPr>
          <w:p>
            <w:pPr>
              <w:rPr>
                <w:sz w:val="2"/>
                <w:szCs w:val="2"/>
              </w:rPr>
            </w:pPr>
          </w:p>
        </w:tc>
        <w:tc>
          <w:tcPr>
            <w:tcW w:w="2799" w:type="dxa"/>
          </w:tcPr>
          <w:p>
            <w:pPr>
              <w:pStyle w:val="TableParagraph"/>
              <w:spacing w:line="219" w:lineRule="exact"/>
              <w:ind w:left="102"/>
              <w:rPr>
                <w:sz w:val="20"/>
              </w:rPr>
            </w:pPr>
            <w:r>
              <w:rPr>
                <w:sz w:val="20"/>
              </w:rPr>
              <w:t>супрессивную</w:t>
            </w:r>
            <w:r>
              <w:rPr>
                <w:spacing w:val="-11"/>
                <w:sz w:val="20"/>
              </w:rPr>
              <w:t> </w:t>
            </w:r>
            <w:r>
              <w:rPr>
                <w:sz w:val="20"/>
              </w:rPr>
              <w:t>терапию</w:t>
            </w:r>
            <w:r>
              <w:rPr>
                <w:spacing w:val="-13"/>
                <w:sz w:val="20"/>
              </w:rPr>
              <w:t> </w:t>
            </w:r>
            <w:r>
              <w:rPr>
                <w:spacing w:val="-10"/>
                <w:sz w:val="20"/>
              </w:rPr>
              <w:t>в</w:t>
            </w:r>
          </w:p>
        </w:tc>
        <w:tc>
          <w:tcPr>
            <w:tcW w:w="2033" w:type="dxa"/>
          </w:tcPr>
          <w:p>
            <w:pPr>
              <w:pStyle w:val="TableParagraph"/>
              <w:rPr>
                <w:sz w:val="16"/>
              </w:rPr>
            </w:pPr>
          </w:p>
        </w:tc>
        <w:tc>
          <w:tcPr>
            <w:tcW w:w="3371" w:type="dxa"/>
          </w:tcPr>
          <w:p>
            <w:pPr>
              <w:pStyle w:val="TableParagraph"/>
              <w:spacing w:line="219" w:lineRule="exact"/>
              <w:ind w:left="132"/>
              <w:rPr>
                <w:sz w:val="20"/>
              </w:rPr>
            </w:pPr>
            <w:r>
              <w:rPr>
                <w:spacing w:val="-2"/>
                <w:sz w:val="20"/>
              </w:rPr>
              <w:t>обусловленное</w:t>
            </w:r>
            <w:r>
              <w:rPr>
                <w:spacing w:val="9"/>
                <w:sz w:val="20"/>
              </w:rPr>
              <w:t> </w:t>
            </w:r>
            <w:r>
              <w:rPr>
                <w:spacing w:val="-2"/>
                <w:sz w:val="20"/>
              </w:rPr>
              <w:t>опухолями</w:t>
            </w:r>
            <w:r>
              <w:rPr>
                <w:spacing w:val="8"/>
                <w:sz w:val="20"/>
              </w:rPr>
              <w:t> </w:t>
            </w:r>
            <w:r>
              <w:rPr>
                <w:spacing w:val="-2"/>
                <w:sz w:val="20"/>
              </w:rPr>
              <w:t>гонад.</w:t>
            </w:r>
          </w:p>
        </w:tc>
        <w:tc>
          <w:tcPr>
            <w:tcW w:w="1457" w:type="dxa"/>
          </w:tcPr>
          <w:p>
            <w:pPr>
              <w:pStyle w:val="TableParagraph"/>
              <w:rPr>
                <w:sz w:val="16"/>
              </w:rPr>
            </w:pPr>
          </w:p>
        </w:tc>
        <w:tc>
          <w:tcPr>
            <w:tcW w:w="3917" w:type="dxa"/>
          </w:tcPr>
          <w:p>
            <w:pPr>
              <w:pStyle w:val="TableParagraph"/>
              <w:spacing w:line="219" w:lineRule="exact"/>
              <w:ind w:left="85"/>
              <w:rPr>
                <w:sz w:val="20"/>
              </w:rPr>
            </w:pPr>
            <w:r>
              <w:rPr>
                <w:sz w:val="20"/>
              </w:rPr>
              <w:t>диагностики,</w:t>
            </w:r>
            <w:r>
              <w:rPr>
                <w:spacing w:val="-7"/>
                <w:sz w:val="20"/>
              </w:rPr>
              <w:t> </w:t>
            </w:r>
            <w:r>
              <w:rPr>
                <w:sz w:val="20"/>
              </w:rPr>
              <w:t>а</w:t>
            </w:r>
            <w:r>
              <w:rPr>
                <w:spacing w:val="-6"/>
                <w:sz w:val="20"/>
              </w:rPr>
              <w:t> </w:t>
            </w:r>
            <w:r>
              <w:rPr>
                <w:sz w:val="20"/>
              </w:rPr>
              <w:t>также</w:t>
            </w:r>
            <w:r>
              <w:rPr>
                <w:spacing w:val="-7"/>
                <w:sz w:val="20"/>
              </w:rPr>
              <w:t> </w:t>
            </w:r>
            <w:r>
              <w:rPr>
                <w:spacing w:val="-2"/>
                <w:sz w:val="20"/>
              </w:rPr>
              <w:t>методов</w:t>
            </w:r>
          </w:p>
        </w:tc>
        <w:tc>
          <w:tcPr>
            <w:tcW w:w="1014" w:type="dxa"/>
            <w:vMerge/>
            <w:tcBorders>
              <w:top w:val="nil"/>
            </w:tcBorders>
          </w:tcPr>
          <w:p>
            <w:pPr>
              <w:rPr>
                <w:sz w:val="2"/>
                <w:szCs w:val="2"/>
              </w:rPr>
            </w:pPr>
          </w:p>
        </w:tc>
      </w:tr>
      <w:tr>
        <w:trPr>
          <w:trHeight w:val="239"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пульсовом</w:t>
            </w:r>
            <w:r>
              <w:rPr>
                <w:spacing w:val="-10"/>
                <w:sz w:val="20"/>
              </w:rPr>
              <w:t> </w:t>
            </w:r>
            <w:r>
              <w:rPr>
                <w:spacing w:val="-2"/>
                <w:sz w:val="20"/>
              </w:rPr>
              <w:t>режиме</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Преждевременное</w:t>
            </w:r>
            <w:r>
              <w:rPr>
                <w:spacing w:val="-12"/>
                <w:sz w:val="20"/>
              </w:rPr>
              <w:t> </w:t>
            </w:r>
            <w:r>
              <w:rPr>
                <w:sz w:val="20"/>
              </w:rPr>
              <w:t>половое</w:t>
            </w:r>
            <w:r>
              <w:rPr>
                <w:spacing w:val="-12"/>
                <w:sz w:val="20"/>
              </w:rPr>
              <w:t> </w:t>
            </w:r>
            <w:r>
              <w:rPr>
                <w:spacing w:val="-2"/>
                <w:sz w:val="20"/>
              </w:rPr>
              <w:t>развитие,</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визуализации</w:t>
            </w:r>
            <w:r>
              <w:rPr>
                <w:spacing w:val="40"/>
                <w:sz w:val="20"/>
              </w:rPr>
              <w:t> </w:t>
            </w:r>
            <w:r>
              <w:rPr>
                <w:spacing w:val="-2"/>
                <w:sz w:val="20"/>
              </w:rPr>
              <w:t>(эндоскопических,</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обусловленное</w:t>
            </w:r>
            <w:r>
              <w:rPr>
                <w:spacing w:val="8"/>
                <w:sz w:val="20"/>
              </w:rPr>
              <w:t> </w:t>
            </w:r>
            <w:r>
              <w:rPr>
                <w:spacing w:val="-2"/>
                <w:sz w:val="20"/>
              </w:rPr>
              <w:t>мутацией</w:t>
            </w:r>
            <w:r>
              <w:rPr>
                <w:spacing w:val="8"/>
                <w:sz w:val="20"/>
              </w:rPr>
              <w:t> </w:t>
            </w:r>
            <w:r>
              <w:rPr>
                <w:spacing w:val="-4"/>
                <w:sz w:val="20"/>
              </w:rPr>
              <w:t>генов</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ультразвуковой</w:t>
            </w:r>
            <w:r>
              <w:rPr>
                <w:spacing w:val="46"/>
                <w:sz w:val="20"/>
              </w:rPr>
              <w:t> </w:t>
            </w:r>
            <w:r>
              <w:rPr>
                <w:w w:val="95"/>
                <w:sz w:val="20"/>
              </w:rPr>
              <w:t>диагностики</w:t>
            </w:r>
            <w:r>
              <w:rPr>
                <w:spacing w:val="47"/>
                <w:sz w:val="20"/>
              </w:rPr>
              <w:t> </w:t>
            </w:r>
            <w:r>
              <w:rPr>
                <w:spacing w:val="-10"/>
                <w:w w:val="95"/>
                <w:sz w:val="20"/>
              </w:rPr>
              <w:t>с</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половых</w:t>
            </w:r>
            <w:r>
              <w:rPr>
                <w:spacing w:val="-6"/>
                <w:sz w:val="20"/>
              </w:rPr>
              <w:t> </w:t>
            </w:r>
            <w:r>
              <w:rPr>
                <w:sz w:val="20"/>
              </w:rPr>
              <w:t>гормонов</w:t>
            </w:r>
            <w:r>
              <w:rPr>
                <w:spacing w:val="-6"/>
                <w:sz w:val="20"/>
              </w:rPr>
              <w:t> </w:t>
            </w:r>
            <w:r>
              <w:rPr>
                <w:sz w:val="20"/>
              </w:rPr>
              <w:t>и</w:t>
            </w:r>
            <w:r>
              <w:rPr>
                <w:spacing w:val="-6"/>
                <w:sz w:val="20"/>
              </w:rPr>
              <w:t> </w:t>
            </w:r>
            <w:r>
              <w:rPr>
                <w:sz w:val="20"/>
              </w:rPr>
              <w:t>их</w:t>
            </w:r>
            <w:r>
              <w:rPr>
                <w:spacing w:val="-6"/>
                <w:sz w:val="20"/>
              </w:rPr>
              <w:t> </w:t>
            </w:r>
            <w:r>
              <w:rPr>
                <w:spacing w:val="-2"/>
                <w:sz w:val="20"/>
              </w:rPr>
              <w:t>рецепторов</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доплерографией,</w:t>
            </w:r>
            <w:r>
              <w:rPr>
                <w:spacing w:val="66"/>
                <w:w w:val="150"/>
                <w:sz w:val="20"/>
              </w:rPr>
              <w:t> </w:t>
            </w:r>
            <w:r>
              <w:rPr>
                <w:w w:val="95"/>
                <w:sz w:val="20"/>
              </w:rPr>
              <w:t>магнитно-</w:t>
            </w:r>
            <w:r>
              <w:rPr>
                <w:spacing w:val="-2"/>
                <w:w w:val="95"/>
                <w:sz w:val="20"/>
              </w:rPr>
              <w:t>резонансной</w:t>
            </w:r>
          </w:p>
        </w:tc>
        <w:tc>
          <w:tcPr>
            <w:tcW w:w="1014" w:type="dxa"/>
            <w:vMerge/>
            <w:tcBorders>
              <w:top w:val="nil"/>
            </w:tcBorders>
          </w:tcPr>
          <w:p>
            <w:pPr>
              <w:rPr>
                <w:sz w:val="2"/>
                <w:szCs w:val="2"/>
              </w:rPr>
            </w:pPr>
          </w:p>
        </w:tc>
      </w:tr>
      <w:tr>
        <w:trPr>
          <w:trHeight w:val="230" w:hRule="atLeast"/>
        </w:trPr>
        <w:tc>
          <w:tcPr>
            <w:tcW w:w="511" w:type="dxa"/>
            <w:vMerge/>
            <w:tcBorders>
              <w:top w:val="nil"/>
            </w:tcBorders>
          </w:tcPr>
          <w:p>
            <w:pPr>
              <w:rPr>
                <w:sz w:val="2"/>
                <w:szCs w:val="2"/>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rPr>
                <w:sz w:val="16"/>
              </w:rPr>
            </w:pPr>
          </w:p>
        </w:tc>
        <w:tc>
          <w:tcPr>
            <w:tcW w:w="1457" w:type="dxa"/>
          </w:tcPr>
          <w:p>
            <w:pPr>
              <w:pStyle w:val="TableParagraph"/>
              <w:rPr>
                <w:sz w:val="16"/>
              </w:rPr>
            </w:pPr>
          </w:p>
        </w:tc>
        <w:tc>
          <w:tcPr>
            <w:tcW w:w="3917" w:type="dxa"/>
          </w:tcPr>
          <w:p>
            <w:pPr>
              <w:pStyle w:val="TableParagraph"/>
              <w:spacing w:line="210" w:lineRule="exact"/>
              <w:ind w:left="85"/>
              <w:rPr>
                <w:sz w:val="20"/>
              </w:rPr>
            </w:pPr>
            <w:r>
              <w:rPr>
                <w:spacing w:val="-2"/>
                <w:sz w:val="20"/>
              </w:rPr>
              <w:t>томографии,</w:t>
            </w:r>
            <w:r>
              <w:rPr>
                <w:spacing w:val="8"/>
                <w:sz w:val="20"/>
              </w:rPr>
              <w:t> </w:t>
            </w:r>
            <w:r>
              <w:rPr>
                <w:spacing w:val="-2"/>
                <w:sz w:val="20"/>
              </w:rPr>
              <w:t>компьютерной</w:t>
            </w:r>
          </w:p>
        </w:tc>
        <w:tc>
          <w:tcPr>
            <w:tcW w:w="1014"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6"/>
        <w:gridCol w:w="2030"/>
        <w:gridCol w:w="3063"/>
        <w:gridCol w:w="1736"/>
        <w:gridCol w:w="3740"/>
      </w:tblGrid>
      <w:tr>
        <w:trPr>
          <w:trHeight w:val="530"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line="249" w:lineRule="auto"/>
              <w:ind w:left="137" w:right="155"/>
              <w:rPr>
                <w:sz w:val="20"/>
              </w:rPr>
            </w:pPr>
            <w:r>
              <w:rPr>
                <w:sz w:val="20"/>
              </w:rPr>
              <w:t>томографии), включая </w:t>
            </w:r>
            <w:r>
              <w:rPr>
                <w:spacing w:val="-2"/>
                <w:sz w:val="20"/>
              </w:rPr>
              <w:t>рентгенрадиологические</w:t>
            </w:r>
          </w:p>
        </w:tc>
      </w:tr>
      <w:tr>
        <w:trPr>
          <w:trHeight w:val="3721"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line="249" w:lineRule="auto" w:before="60"/>
              <w:ind w:left="137" w:right="155"/>
              <w:rPr>
                <w:sz w:val="20"/>
              </w:rPr>
            </w:pPr>
            <w:r>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rPr>
                <w:spacing w:val="-2"/>
                <w:sz w:val="20"/>
              </w:rPr>
              <w:t>молекулярно-генетических, </w:t>
            </w:r>
            <w:r>
              <w:rPr>
                <w:sz w:val="20"/>
              </w:rPr>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w:t>
            </w:r>
            <w:r>
              <w:rPr>
                <w:spacing w:val="-13"/>
                <w:sz w:val="20"/>
              </w:rPr>
              <w:t> </w:t>
            </w:r>
            <w:r>
              <w:rPr>
                <w:sz w:val="20"/>
              </w:rPr>
              <w:t>магнитно-резонансной томографии, компьютерной томографии), включая </w:t>
            </w:r>
            <w:r>
              <w:rPr>
                <w:spacing w:val="-2"/>
                <w:sz w:val="20"/>
              </w:rPr>
              <w:t>рентгенрадиологические</w:t>
            </w:r>
          </w:p>
        </w:tc>
      </w:tr>
      <w:tr>
        <w:trPr>
          <w:trHeight w:val="360"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before="60"/>
              <w:ind w:left="137"/>
              <w:rPr>
                <w:sz w:val="20"/>
              </w:rPr>
            </w:pPr>
            <w:r>
              <w:rPr>
                <w:sz w:val="20"/>
              </w:rPr>
              <w:t>удаление</w:t>
            </w:r>
            <w:r>
              <w:rPr>
                <w:spacing w:val="-9"/>
                <w:sz w:val="20"/>
              </w:rPr>
              <w:t> </w:t>
            </w:r>
            <w:r>
              <w:rPr>
                <w:sz w:val="20"/>
              </w:rPr>
              <w:t>опухолей</w:t>
            </w:r>
            <w:r>
              <w:rPr>
                <w:spacing w:val="-7"/>
                <w:sz w:val="20"/>
              </w:rPr>
              <w:t> </w:t>
            </w:r>
            <w:r>
              <w:rPr>
                <w:spacing w:val="-2"/>
                <w:sz w:val="20"/>
              </w:rPr>
              <w:t>надпочечников</w:t>
            </w:r>
          </w:p>
        </w:tc>
      </w:tr>
      <w:tr>
        <w:trPr>
          <w:trHeight w:val="2520"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line="249" w:lineRule="auto" w:before="60"/>
              <w:ind w:left="137" w:right="51"/>
              <w:rPr>
                <w:sz w:val="20"/>
              </w:rPr>
            </w:pPr>
            <w:r>
              <w:rPr>
                <w:sz w:val="20"/>
              </w:rPr>
              <w:t>комплексное</w:t>
            </w:r>
            <w:r>
              <w:rPr>
                <w:spacing w:val="-13"/>
                <w:sz w:val="20"/>
              </w:rPr>
              <w:t> </w:t>
            </w:r>
            <w:r>
              <w:rPr>
                <w:sz w:val="20"/>
              </w:rPr>
              <w:t>лечение</w:t>
            </w:r>
            <w:r>
              <w:rPr>
                <w:spacing w:val="-12"/>
                <w:sz w:val="20"/>
              </w:rPr>
              <w:t> </w:t>
            </w:r>
            <w:r>
              <w:rPr>
                <w:sz w:val="20"/>
              </w:rPr>
              <w:t>костной</w:t>
            </w:r>
            <w:r>
              <w:rPr>
                <w:spacing w:val="-13"/>
                <w:sz w:val="20"/>
              </w:rPr>
              <w:t> </w:t>
            </w:r>
            <w:r>
              <w:rPr>
                <w:sz w:val="20"/>
              </w:rPr>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trPr>
          <w:trHeight w:val="770" w:hRule="atLeast"/>
        </w:trPr>
        <w:tc>
          <w:tcPr>
            <w:tcW w:w="2726" w:type="dxa"/>
          </w:tcPr>
          <w:p>
            <w:pPr>
              <w:pStyle w:val="TableParagraph"/>
              <w:spacing w:line="240" w:lineRule="atLeast" w:before="30"/>
              <w:ind w:left="50" w:right="132"/>
              <w:rPr>
                <w:sz w:val="20"/>
              </w:rPr>
            </w:pPr>
            <w:r>
              <w:rPr>
                <w:sz w:val="20"/>
              </w:rPr>
              <w:t>Поликомпонентное</w:t>
            </w:r>
            <w:r>
              <w:rPr>
                <w:spacing w:val="-2"/>
                <w:sz w:val="20"/>
              </w:rPr>
              <w:t> </w:t>
            </w:r>
            <w:r>
              <w:rPr>
                <w:sz w:val="20"/>
              </w:rPr>
              <w:t>лечение тяжелой формы бронхиальной</w:t>
            </w:r>
            <w:r>
              <w:rPr>
                <w:spacing w:val="-13"/>
                <w:sz w:val="20"/>
              </w:rPr>
              <w:t> </w:t>
            </w:r>
            <w:r>
              <w:rPr>
                <w:sz w:val="20"/>
              </w:rPr>
              <w:t>астмы</w:t>
            </w:r>
            <w:r>
              <w:rPr>
                <w:spacing w:val="-12"/>
                <w:sz w:val="20"/>
              </w:rPr>
              <w:t> </w:t>
            </w:r>
            <w:r>
              <w:rPr>
                <w:sz w:val="20"/>
              </w:rPr>
              <w:t>и</w:t>
            </w:r>
            <w:r>
              <w:rPr>
                <w:spacing w:val="-13"/>
                <w:sz w:val="20"/>
              </w:rPr>
              <w:t> </w:t>
            </w:r>
            <w:r>
              <w:rPr>
                <w:sz w:val="20"/>
              </w:rPr>
              <w:t>(или)</w:t>
            </w:r>
          </w:p>
        </w:tc>
        <w:tc>
          <w:tcPr>
            <w:tcW w:w="2030" w:type="dxa"/>
          </w:tcPr>
          <w:p>
            <w:pPr>
              <w:pStyle w:val="TableParagraph"/>
              <w:spacing w:line="249" w:lineRule="auto" w:before="60"/>
              <w:ind w:left="535" w:hanging="296"/>
              <w:rPr>
                <w:sz w:val="20"/>
              </w:rPr>
            </w:pPr>
            <w:r>
              <w:rPr>
                <w:sz w:val="20"/>
              </w:rPr>
              <w:t>J45.0,</w:t>
            </w:r>
            <w:r>
              <w:rPr>
                <w:spacing w:val="31"/>
                <w:sz w:val="20"/>
              </w:rPr>
              <w:t> </w:t>
            </w:r>
            <w:r>
              <w:rPr>
                <w:sz w:val="20"/>
              </w:rPr>
              <w:t>J45.1,</w:t>
            </w:r>
            <w:r>
              <w:rPr>
                <w:spacing w:val="31"/>
                <w:sz w:val="20"/>
              </w:rPr>
              <w:t> </w:t>
            </w:r>
            <w:r>
              <w:rPr>
                <w:sz w:val="20"/>
              </w:rPr>
              <w:t>J45.8, L20.8, T78.3</w:t>
            </w:r>
          </w:p>
        </w:tc>
        <w:tc>
          <w:tcPr>
            <w:tcW w:w="3063" w:type="dxa"/>
          </w:tcPr>
          <w:p>
            <w:pPr>
              <w:pStyle w:val="TableParagraph"/>
              <w:spacing w:line="240" w:lineRule="atLeast" w:before="30"/>
              <w:ind w:left="155" w:right="85"/>
              <w:rPr>
                <w:sz w:val="20"/>
              </w:rPr>
            </w:pPr>
            <w:r>
              <w:rPr>
                <w:sz w:val="20"/>
              </w:rPr>
              <w:t>бронхиальная</w:t>
            </w:r>
            <w:r>
              <w:rPr>
                <w:spacing w:val="-13"/>
                <w:sz w:val="20"/>
              </w:rPr>
              <w:t> </w:t>
            </w:r>
            <w:r>
              <w:rPr>
                <w:sz w:val="20"/>
              </w:rPr>
              <w:t>астма,</w:t>
            </w:r>
            <w:r>
              <w:rPr>
                <w:spacing w:val="-12"/>
                <w:sz w:val="20"/>
              </w:rPr>
              <w:t> </w:t>
            </w:r>
            <w:r>
              <w:rPr>
                <w:sz w:val="20"/>
              </w:rPr>
              <w:t>тяжелое персистирующее течение, неконтролируемая и (или)</w:t>
            </w:r>
          </w:p>
        </w:tc>
        <w:tc>
          <w:tcPr>
            <w:tcW w:w="1736" w:type="dxa"/>
          </w:tcPr>
          <w:p>
            <w:pPr>
              <w:pStyle w:val="TableParagraph"/>
              <w:spacing w:line="249" w:lineRule="auto" w:before="60"/>
              <w:ind w:left="399"/>
              <w:rPr>
                <w:sz w:val="20"/>
              </w:rPr>
            </w:pPr>
            <w:r>
              <w:rPr>
                <w:spacing w:val="-2"/>
                <w:sz w:val="20"/>
              </w:rPr>
              <w:t>терапевтичес- </w:t>
            </w:r>
            <w:r>
              <w:rPr>
                <w:sz w:val="20"/>
              </w:rPr>
              <w:t>кое лечение</w:t>
            </w:r>
          </w:p>
        </w:tc>
        <w:tc>
          <w:tcPr>
            <w:tcW w:w="3740" w:type="dxa"/>
          </w:tcPr>
          <w:p>
            <w:pPr>
              <w:pStyle w:val="TableParagraph"/>
              <w:spacing w:line="240" w:lineRule="atLeast" w:before="30"/>
              <w:ind w:left="137" w:right="155"/>
              <w:rPr>
                <w:sz w:val="20"/>
              </w:rPr>
            </w:pPr>
            <w:r>
              <w:rPr>
                <w:sz w:val="20"/>
              </w:rPr>
              <w:t>дифференцированное назначение иммунобиологического генно- инженерного</w:t>
            </w:r>
            <w:r>
              <w:rPr>
                <w:spacing w:val="-13"/>
                <w:sz w:val="20"/>
              </w:rPr>
              <w:t> </w:t>
            </w:r>
            <w:r>
              <w:rPr>
                <w:sz w:val="20"/>
              </w:rPr>
              <w:t>лекарственного</w:t>
            </w:r>
            <w:r>
              <w:rPr>
                <w:spacing w:val="-12"/>
                <w:sz w:val="20"/>
              </w:rPr>
              <w:t> </w:t>
            </w:r>
            <w:r>
              <w:rPr>
                <w:sz w:val="20"/>
              </w:rPr>
              <w:t>препарата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189"/>
        <w:gridCol w:w="1382"/>
        <w:gridCol w:w="3665"/>
        <w:gridCol w:w="1421"/>
        <w:gridCol w:w="4001"/>
        <w:gridCol w:w="981"/>
      </w:tblGrid>
      <w:tr>
        <w:trPr>
          <w:trHeight w:val="2690" w:hRule="atLeast"/>
        </w:trPr>
        <w:tc>
          <w:tcPr>
            <w:tcW w:w="458" w:type="dxa"/>
          </w:tcPr>
          <w:p>
            <w:pPr>
              <w:pStyle w:val="TableParagraph"/>
              <w:rPr>
                <w:sz w:val="18"/>
              </w:rPr>
            </w:pPr>
          </w:p>
        </w:tc>
        <w:tc>
          <w:tcPr>
            <w:tcW w:w="3189" w:type="dxa"/>
          </w:tcPr>
          <w:p>
            <w:pPr>
              <w:pStyle w:val="TableParagraph"/>
              <w:spacing w:line="249" w:lineRule="auto"/>
              <w:ind w:left="155" w:right="521"/>
              <w:rPr>
                <w:sz w:val="20"/>
              </w:rPr>
            </w:pPr>
            <w:r>
              <w:rPr>
                <w:sz w:val="20"/>
              </w:rPr>
              <w:t>атопического дерматита в сочетании с другими клиническими</w:t>
            </w:r>
            <w:r>
              <w:rPr>
                <w:spacing w:val="-13"/>
                <w:sz w:val="20"/>
              </w:rPr>
              <w:t> </w:t>
            </w:r>
            <w:r>
              <w:rPr>
                <w:sz w:val="20"/>
              </w:rPr>
              <w:t>проявлениями поливалентной аллергии с </w:t>
            </w:r>
            <w:r>
              <w:rPr>
                <w:spacing w:val="-2"/>
                <w:sz w:val="20"/>
              </w:rPr>
              <w:t>дифференцированным использованием </w:t>
            </w:r>
            <w:r>
              <w:rPr>
                <w:sz w:val="20"/>
              </w:rPr>
              <w:t>кортикостероидов (в том числе комбинированных), </w:t>
            </w:r>
            <w:r>
              <w:rPr>
                <w:spacing w:val="-2"/>
                <w:sz w:val="20"/>
              </w:rPr>
              <w:t>иммуносупрессивных</w:t>
            </w:r>
          </w:p>
          <w:p>
            <w:pPr>
              <w:pStyle w:val="TableParagraph"/>
              <w:spacing w:line="249" w:lineRule="auto"/>
              <w:ind w:left="155" w:right="732"/>
              <w:rPr>
                <w:sz w:val="20"/>
              </w:rPr>
            </w:pPr>
            <w:r>
              <w:rPr>
                <w:sz w:val="20"/>
              </w:rPr>
              <w:t>и иммунобиологических лекарственных</w:t>
            </w:r>
            <w:r>
              <w:rPr>
                <w:spacing w:val="-13"/>
                <w:sz w:val="20"/>
              </w:rPr>
              <w:t> </w:t>
            </w:r>
            <w:r>
              <w:rPr>
                <w:sz w:val="20"/>
              </w:rPr>
              <w:t>препаратов</w:t>
            </w:r>
          </w:p>
        </w:tc>
        <w:tc>
          <w:tcPr>
            <w:tcW w:w="1382" w:type="dxa"/>
          </w:tcPr>
          <w:p>
            <w:pPr>
              <w:pStyle w:val="TableParagraph"/>
              <w:rPr>
                <w:sz w:val="18"/>
              </w:rPr>
            </w:pPr>
          </w:p>
        </w:tc>
        <w:tc>
          <w:tcPr>
            <w:tcW w:w="3665" w:type="dxa"/>
          </w:tcPr>
          <w:p>
            <w:pPr>
              <w:pStyle w:val="TableParagraph"/>
              <w:spacing w:line="249" w:lineRule="auto"/>
              <w:ind w:left="445" w:right="85"/>
              <w:rPr>
                <w:sz w:val="20"/>
              </w:rPr>
            </w:pPr>
            <w:r>
              <w:rPr>
                <w:sz w:val="20"/>
              </w:rPr>
              <w:t>атопический дерматит, распространенная форма, обострение</w:t>
            </w:r>
            <w:r>
              <w:rPr>
                <w:spacing w:val="-10"/>
                <w:sz w:val="20"/>
              </w:rPr>
              <w:t> </w:t>
            </w:r>
            <w:r>
              <w:rPr>
                <w:sz w:val="20"/>
              </w:rPr>
              <w:t>в</w:t>
            </w:r>
            <w:r>
              <w:rPr>
                <w:spacing w:val="-10"/>
                <w:sz w:val="20"/>
              </w:rPr>
              <w:t> </w:t>
            </w:r>
            <w:r>
              <w:rPr>
                <w:sz w:val="20"/>
              </w:rPr>
              <w:t>сочетании</w:t>
            </w:r>
            <w:r>
              <w:rPr>
                <w:spacing w:val="-10"/>
                <w:sz w:val="20"/>
              </w:rPr>
              <w:t> </w:t>
            </w:r>
            <w:r>
              <w:rPr>
                <w:sz w:val="20"/>
              </w:rPr>
              <w:t>с</w:t>
            </w:r>
            <w:r>
              <w:rPr>
                <w:spacing w:val="-10"/>
                <w:sz w:val="20"/>
              </w:rPr>
              <w:t> </w:t>
            </w:r>
            <w:r>
              <w:rPr>
                <w:sz w:val="20"/>
              </w:rPr>
              <w:t>другими клиническими проявлениями поливалентной аллергии (аллергическим ринитом, </w:t>
            </w:r>
            <w:r>
              <w:rPr>
                <w:spacing w:val="-2"/>
                <w:sz w:val="20"/>
              </w:rPr>
              <w:t>риносинуситом, риноконъюнктивитом, конъюнктивитом)</w:t>
            </w:r>
          </w:p>
        </w:tc>
        <w:tc>
          <w:tcPr>
            <w:tcW w:w="1421" w:type="dxa"/>
          </w:tcPr>
          <w:p>
            <w:pPr>
              <w:pStyle w:val="TableParagraph"/>
              <w:rPr>
                <w:sz w:val="18"/>
              </w:rPr>
            </w:pPr>
          </w:p>
        </w:tc>
        <w:tc>
          <w:tcPr>
            <w:tcW w:w="4001" w:type="dxa"/>
          </w:tcPr>
          <w:p>
            <w:pPr>
              <w:pStyle w:val="TableParagraph"/>
              <w:spacing w:line="249" w:lineRule="auto"/>
              <w:ind w:left="141" w:right="326"/>
              <w:rPr>
                <w:sz w:val="20"/>
              </w:rPr>
            </w:pPr>
            <w:r>
              <w:rPr>
                <w:sz w:val="20"/>
              </w:rPr>
              <w:t>на</w:t>
            </w:r>
            <w:r>
              <w:rPr>
                <w:spacing w:val="-11"/>
                <w:sz w:val="20"/>
              </w:rPr>
              <w:t> </w:t>
            </w:r>
            <w:r>
              <w:rPr>
                <w:sz w:val="20"/>
              </w:rPr>
              <w:t>фоне</w:t>
            </w:r>
            <w:r>
              <w:rPr>
                <w:spacing w:val="-11"/>
                <w:sz w:val="20"/>
              </w:rPr>
              <w:t> </w:t>
            </w:r>
            <w:r>
              <w:rPr>
                <w:sz w:val="20"/>
              </w:rPr>
              <w:t>базисного</w:t>
            </w:r>
            <w:r>
              <w:rPr>
                <w:spacing w:val="-11"/>
                <w:sz w:val="20"/>
              </w:rPr>
              <w:t> </w:t>
            </w:r>
            <w:r>
              <w:rPr>
                <w:sz w:val="20"/>
              </w:rPr>
              <w:t>кортикостероидного</w:t>
            </w:r>
            <w:r>
              <w:rPr>
                <w:spacing w:val="-11"/>
                <w:sz w:val="20"/>
              </w:rPr>
              <w:t> </w:t>
            </w:r>
            <w:r>
              <w:rPr>
                <w:sz w:val="20"/>
              </w:rPr>
              <w:t>и иммуносупрессивного лечения</w:t>
            </w:r>
          </w:p>
        </w:tc>
        <w:tc>
          <w:tcPr>
            <w:tcW w:w="981" w:type="dxa"/>
          </w:tcPr>
          <w:p>
            <w:pPr>
              <w:pStyle w:val="TableParagraph"/>
              <w:rPr>
                <w:sz w:val="18"/>
              </w:rPr>
            </w:pPr>
          </w:p>
        </w:tc>
      </w:tr>
      <w:tr>
        <w:trPr>
          <w:trHeight w:val="4200" w:hRule="atLeast"/>
        </w:trPr>
        <w:tc>
          <w:tcPr>
            <w:tcW w:w="458" w:type="dxa"/>
          </w:tcPr>
          <w:p>
            <w:pPr>
              <w:pStyle w:val="TableParagraph"/>
              <w:spacing w:before="60"/>
              <w:ind w:left="50"/>
              <w:rPr>
                <w:sz w:val="20"/>
              </w:rPr>
            </w:pPr>
            <w:r>
              <w:rPr>
                <w:spacing w:val="-5"/>
                <w:sz w:val="20"/>
              </w:rPr>
              <w:t>45.</w:t>
            </w:r>
          </w:p>
        </w:tc>
        <w:tc>
          <w:tcPr>
            <w:tcW w:w="3189" w:type="dxa"/>
          </w:tcPr>
          <w:p>
            <w:pPr>
              <w:pStyle w:val="TableParagraph"/>
              <w:spacing w:line="249" w:lineRule="auto" w:before="60"/>
              <w:ind w:left="155" w:right="537"/>
              <w:rPr>
                <w:sz w:val="20"/>
              </w:rPr>
            </w:pPr>
            <w:r>
              <w:rPr>
                <w:sz w:val="20"/>
              </w:rPr>
              <w:t>Поликомпонентное лечение болезни Крона, неспецифического</w:t>
            </w:r>
            <w:r>
              <w:rPr>
                <w:spacing w:val="-13"/>
                <w:sz w:val="20"/>
              </w:rPr>
              <w:t> </w:t>
            </w:r>
            <w:r>
              <w:rPr>
                <w:sz w:val="20"/>
              </w:rPr>
              <w:t>язвенного колита, гликогеновой </w:t>
            </w:r>
            <w:r>
              <w:rPr>
                <w:spacing w:val="-2"/>
                <w:sz w:val="20"/>
              </w:rPr>
              <w:t>болезни, фармакорезистентных </w:t>
            </w:r>
            <w:r>
              <w:rPr>
                <w:sz w:val="20"/>
              </w:rPr>
              <w:t>хронических вирусных гепатитов, аутоиммунного гепатита, цирроза печени с </w:t>
            </w:r>
            <w:r>
              <w:rPr>
                <w:spacing w:val="-2"/>
                <w:sz w:val="20"/>
              </w:rPr>
              <w:t>применением химиотерапевтических, генно-инженерных биологических </w:t>
            </w:r>
            <w:r>
              <w:rPr>
                <w:sz w:val="20"/>
              </w:rPr>
              <w:t>лекарственных препаратов и методов</w:t>
            </w:r>
            <w:r>
              <w:rPr>
                <w:spacing w:val="-13"/>
                <w:sz w:val="20"/>
              </w:rPr>
              <w:t> </w:t>
            </w:r>
            <w:r>
              <w:rPr>
                <w:sz w:val="20"/>
              </w:rPr>
              <w:t>экстракорпоральной </w:t>
            </w:r>
            <w:r>
              <w:rPr>
                <w:spacing w:val="-2"/>
                <w:sz w:val="20"/>
              </w:rPr>
              <w:t>детоксикации</w:t>
            </w:r>
          </w:p>
        </w:tc>
        <w:tc>
          <w:tcPr>
            <w:tcW w:w="1382" w:type="dxa"/>
          </w:tcPr>
          <w:p>
            <w:pPr>
              <w:pStyle w:val="TableParagraph"/>
              <w:spacing w:before="60"/>
              <w:ind w:left="449" w:right="428"/>
              <w:jc w:val="center"/>
              <w:rPr>
                <w:sz w:val="20"/>
              </w:rPr>
            </w:pPr>
            <w:r>
              <w:rPr>
                <w:spacing w:val="-5"/>
                <w:sz w:val="20"/>
              </w:rPr>
              <w:t>K50</w:t>
            </w:r>
          </w:p>
        </w:tc>
        <w:tc>
          <w:tcPr>
            <w:tcW w:w="3665" w:type="dxa"/>
          </w:tcPr>
          <w:p>
            <w:pPr>
              <w:pStyle w:val="TableParagraph"/>
              <w:spacing w:line="249" w:lineRule="auto" w:before="60"/>
              <w:ind w:left="445" w:right="85"/>
              <w:rPr>
                <w:sz w:val="20"/>
              </w:rPr>
            </w:pPr>
            <w:r>
              <w:rPr>
                <w:sz w:val="20"/>
              </w:rPr>
              <w:t>болезнь Крона, непрерывно- рецидивирующее</w:t>
            </w:r>
            <w:r>
              <w:rPr>
                <w:spacing w:val="-10"/>
                <w:sz w:val="20"/>
              </w:rPr>
              <w:t> </w:t>
            </w:r>
            <w:r>
              <w:rPr>
                <w:sz w:val="20"/>
              </w:rPr>
              <w:t>течение</w:t>
            </w:r>
            <w:r>
              <w:rPr>
                <w:spacing w:val="-11"/>
                <w:sz w:val="20"/>
              </w:rPr>
              <w:t> </w:t>
            </w:r>
            <w:r>
              <w:rPr>
                <w:sz w:val="20"/>
              </w:rPr>
              <w:t>и</w:t>
            </w:r>
            <w:r>
              <w:rPr>
                <w:spacing w:val="-10"/>
                <w:sz w:val="20"/>
              </w:rPr>
              <w:t> </w:t>
            </w:r>
            <w:r>
              <w:rPr>
                <w:sz w:val="20"/>
              </w:rPr>
              <w:t>(или)</w:t>
            </w:r>
            <w:r>
              <w:rPr>
                <w:spacing w:val="-11"/>
                <w:sz w:val="20"/>
              </w:rPr>
              <w:t> </w:t>
            </w:r>
            <w:r>
              <w:rPr>
                <w:sz w:val="20"/>
              </w:rPr>
              <w:t>с формированием осложнений (стенозы, свищи)</w:t>
            </w:r>
          </w:p>
        </w:tc>
        <w:tc>
          <w:tcPr>
            <w:tcW w:w="1421" w:type="dxa"/>
          </w:tcPr>
          <w:p>
            <w:pPr>
              <w:pStyle w:val="TableParagraph"/>
              <w:spacing w:line="249" w:lineRule="auto" w:before="60"/>
              <w:ind w:left="88"/>
              <w:rPr>
                <w:sz w:val="20"/>
              </w:rPr>
            </w:pPr>
            <w:r>
              <w:rPr>
                <w:spacing w:val="-2"/>
                <w:sz w:val="20"/>
              </w:rPr>
              <w:t>терапевтичес- </w:t>
            </w:r>
            <w:r>
              <w:rPr>
                <w:sz w:val="20"/>
              </w:rPr>
              <w:t>кое лечение</w:t>
            </w:r>
          </w:p>
        </w:tc>
        <w:tc>
          <w:tcPr>
            <w:tcW w:w="4001" w:type="dxa"/>
          </w:tcPr>
          <w:p>
            <w:pPr>
              <w:pStyle w:val="TableParagraph"/>
              <w:spacing w:line="249" w:lineRule="auto" w:before="60"/>
              <w:ind w:left="141" w:right="326"/>
              <w:rPr>
                <w:sz w:val="20"/>
              </w:rPr>
            </w:pPr>
            <w:r>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w:t>
            </w:r>
            <w:r>
              <w:rPr>
                <w:spacing w:val="-2"/>
                <w:sz w:val="20"/>
              </w:rPr>
              <w:t>молекулярно-биологических, </w:t>
            </w:r>
            <w:r>
              <w:rPr>
                <w:sz w:val="20"/>
              </w:rPr>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r>
              <w:rPr>
                <w:spacing w:val="-13"/>
                <w:sz w:val="20"/>
              </w:rPr>
              <w:t> </w:t>
            </w:r>
            <w:r>
              <w:rPr>
                <w:sz w:val="20"/>
              </w:rPr>
              <w:t>компьютерной</w:t>
            </w:r>
            <w:r>
              <w:rPr>
                <w:spacing w:val="-12"/>
                <w:sz w:val="20"/>
              </w:rPr>
              <w:t> </w:t>
            </w:r>
            <w:r>
              <w:rPr>
                <w:sz w:val="20"/>
              </w:rPr>
              <w:t>томографии)</w:t>
            </w:r>
          </w:p>
        </w:tc>
        <w:tc>
          <w:tcPr>
            <w:tcW w:w="981" w:type="dxa"/>
          </w:tcPr>
          <w:p>
            <w:pPr>
              <w:pStyle w:val="TableParagraph"/>
              <w:spacing w:before="60"/>
              <w:ind w:left="333"/>
              <w:rPr>
                <w:sz w:val="20"/>
              </w:rPr>
            </w:pPr>
            <w:r>
              <w:rPr>
                <w:spacing w:val="-2"/>
                <w:sz w:val="20"/>
              </w:rPr>
              <w:t>179878</w:t>
            </w:r>
          </w:p>
        </w:tc>
      </w:tr>
      <w:tr>
        <w:trPr>
          <w:trHeight w:val="1010" w:hRule="atLeast"/>
        </w:trPr>
        <w:tc>
          <w:tcPr>
            <w:tcW w:w="458" w:type="dxa"/>
          </w:tcPr>
          <w:p>
            <w:pPr>
              <w:pStyle w:val="TableParagraph"/>
              <w:rPr>
                <w:sz w:val="18"/>
              </w:rPr>
            </w:pPr>
          </w:p>
        </w:tc>
        <w:tc>
          <w:tcPr>
            <w:tcW w:w="3189" w:type="dxa"/>
          </w:tcPr>
          <w:p>
            <w:pPr>
              <w:pStyle w:val="TableParagraph"/>
              <w:rPr>
                <w:sz w:val="18"/>
              </w:rPr>
            </w:pPr>
          </w:p>
        </w:tc>
        <w:tc>
          <w:tcPr>
            <w:tcW w:w="1382" w:type="dxa"/>
          </w:tcPr>
          <w:p>
            <w:pPr>
              <w:pStyle w:val="TableParagraph"/>
              <w:spacing w:before="60"/>
              <w:ind w:left="449" w:right="429"/>
              <w:jc w:val="center"/>
              <w:rPr>
                <w:sz w:val="20"/>
              </w:rPr>
            </w:pPr>
            <w:r>
              <w:rPr>
                <w:spacing w:val="-2"/>
                <w:sz w:val="20"/>
              </w:rPr>
              <w:t>E74.0</w:t>
            </w:r>
          </w:p>
        </w:tc>
        <w:tc>
          <w:tcPr>
            <w:tcW w:w="3665" w:type="dxa"/>
          </w:tcPr>
          <w:p>
            <w:pPr>
              <w:pStyle w:val="TableParagraph"/>
              <w:spacing w:line="249" w:lineRule="auto" w:before="60"/>
              <w:ind w:left="445"/>
              <w:rPr>
                <w:sz w:val="20"/>
              </w:rPr>
            </w:pPr>
            <w:r>
              <w:rPr>
                <w:sz w:val="20"/>
              </w:rPr>
              <w:t>гликогеновая</w:t>
            </w:r>
            <w:r>
              <w:rPr>
                <w:spacing w:val="-8"/>
                <w:sz w:val="20"/>
              </w:rPr>
              <w:t> </w:t>
            </w:r>
            <w:r>
              <w:rPr>
                <w:sz w:val="20"/>
              </w:rPr>
              <w:t>болезнь</w:t>
            </w:r>
            <w:r>
              <w:rPr>
                <w:spacing w:val="-7"/>
                <w:sz w:val="20"/>
              </w:rPr>
              <w:t> </w:t>
            </w:r>
            <w:r>
              <w:rPr>
                <w:sz w:val="20"/>
              </w:rPr>
              <w:t>(I</w:t>
            </w:r>
            <w:r>
              <w:rPr>
                <w:spacing w:val="-7"/>
                <w:sz w:val="20"/>
              </w:rPr>
              <w:t> </w:t>
            </w:r>
            <w:r>
              <w:rPr>
                <w:sz w:val="20"/>
              </w:rPr>
              <w:t>и</w:t>
            </w:r>
            <w:r>
              <w:rPr>
                <w:spacing w:val="-8"/>
                <w:sz w:val="20"/>
              </w:rPr>
              <w:t> </w:t>
            </w:r>
            <w:r>
              <w:rPr>
                <w:sz w:val="20"/>
              </w:rPr>
              <w:t>III</w:t>
            </w:r>
            <w:r>
              <w:rPr>
                <w:spacing w:val="-7"/>
                <w:sz w:val="20"/>
              </w:rPr>
              <w:t> </w:t>
            </w:r>
            <w:r>
              <w:rPr>
                <w:sz w:val="20"/>
              </w:rPr>
              <w:t>типы)</w:t>
            </w:r>
            <w:r>
              <w:rPr>
                <w:spacing w:val="-6"/>
                <w:sz w:val="20"/>
              </w:rPr>
              <w:t> </w:t>
            </w:r>
            <w:r>
              <w:rPr>
                <w:sz w:val="20"/>
              </w:rPr>
              <w:t>с формированием фиброза</w:t>
            </w:r>
          </w:p>
        </w:tc>
        <w:tc>
          <w:tcPr>
            <w:tcW w:w="1421" w:type="dxa"/>
          </w:tcPr>
          <w:p>
            <w:pPr>
              <w:pStyle w:val="TableParagraph"/>
              <w:spacing w:line="249" w:lineRule="auto" w:before="60"/>
              <w:ind w:left="88"/>
              <w:rPr>
                <w:sz w:val="20"/>
              </w:rPr>
            </w:pPr>
            <w:r>
              <w:rPr>
                <w:spacing w:val="-2"/>
                <w:sz w:val="20"/>
              </w:rPr>
              <w:t>терапевтичес- </w:t>
            </w:r>
            <w:r>
              <w:rPr>
                <w:sz w:val="20"/>
              </w:rPr>
              <w:t>кое лечение</w:t>
            </w:r>
          </w:p>
        </w:tc>
        <w:tc>
          <w:tcPr>
            <w:tcW w:w="4001" w:type="dxa"/>
          </w:tcPr>
          <w:p>
            <w:pPr>
              <w:pStyle w:val="TableParagraph"/>
              <w:spacing w:line="240" w:lineRule="atLeast" w:before="30"/>
              <w:ind w:left="141" w:right="326"/>
              <w:rPr>
                <w:sz w:val="20"/>
              </w:rPr>
            </w:pPr>
            <w:r>
              <w:rPr>
                <w:sz w:val="20"/>
              </w:rPr>
              <w:t>поликомпонентное лечение с применением гормональных, биологических и иных лекарственных препаратов,</w:t>
            </w:r>
            <w:r>
              <w:rPr>
                <w:spacing w:val="-13"/>
                <w:sz w:val="20"/>
              </w:rPr>
              <w:t> </w:t>
            </w:r>
            <w:r>
              <w:rPr>
                <w:sz w:val="20"/>
              </w:rPr>
              <w:t>влияющих</w:t>
            </w:r>
            <w:r>
              <w:rPr>
                <w:spacing w:val="-12"/>
                <w:sz w:val="20"/>
              </w:rPr>
              <w:t> </w:t>
            </w:r>
            <w:r>
              <w:rPr>
                <w:sz w:val="20"/>
              </w:rPr>
              <w:t>на</w:t>
            </w:r>
            <w:r>
              <w:rPr>
                <w:spacing w:val="-13"/>
                <w:sz w:val="20"/>
              </w:rPr>
              <w:t> </w:t>
            </w:r>
            <w:r>
              <w:rPr>
                <w:sz w:val="20"/>
              </w:rPr>
              <w:t>эндокринную</w:t>
            </w:r>
          </w:p>
        </w:tc>
        <w:tc>
          <w:tcPr>
            <w:tcW w:w="98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7"/>
        <w:gridCol w:w="3374"/>
        <w:gridCol w:w="1405"/>
        <w:gridCol w:w="3715"/>
      </w:tblGrid>
      <w:tr>
        <w:trPr>
          <w:trHeight w:val="2450" w:hRule="atLeast"/>
        </w:trPr>
        <w:tc>
          <w:tcPr>
            <w:tcW w:w="1897" w:type="dxa"/>
          </w:tcPr>
          <w:p>
            <w:pPr>
              <w:pStyle w:val="TableParagraph"/>
              <w:rPr>
                <w:sz w:val="18"/>
              </w:rPr>
            </w:pPr>
          </w:p>
        </w:tc>
        <w:tc>
          <w:tcPr>
            <w:tcW w:w="3374" w:type="dxa"/>
          </w:tcPr>
          <w:p>
            <w:pPr>
              <w:pStyle w:val="TableParagraph"/>
              <w:rPr>
                <w:sz w:val="18"/>
              </w:rPr>
            </w:pPr>
          </w:p>
        </w:tc>
        <w:tc>
          <w:tcPr>
            <w:tcW w:w="1405" w:type="dxa"/>
          </w:tcPr>
          <w:p>
            <w:pPr>
              <w:pStyle w:val="TableParagraph"/>
              <w:rPr>
                <w:sz w:val="18"/>
              </w:rPr>
            </w:pPr>
          </w:p>
        </w:tc>
        <w:tc>
          <w:tcPr>
            <w:tcW w:w="3715" w:type="dxa"/>
          </w:tcPr>
          <w:p>
            <w:pPr>
              <w:pStyle w:val="TableParagraph"/>
              <w:spacing w:line="249" w:lineRule="auto"/>
              <w:ind w:left="138" w:right="49"/>
              <w:rPr>
                <w:sz w:val="20"/>
              </w:rPr>
            </w:pPr>
            <w:r>
              <w:rPr>
                <w:sz w:val="20"/>
              </w:rPr>
              <w:t>систему, специализированных диет под контролем эффективности лечения с применением</w:t>
            </w:r>
            <w:r>
              <w:rPr>
                <w:spacing w:val="-13"/>
                <w:sz w:val="20"/>
              </w:rPr>
              <w:t> </w:t>
            </w:r>
            <w:r>
              <w:rPr>
                <w:sz w:val="20"/>
              </w:rPr>
              <w:t>комплекса</w:t>
            </w:r>
            <w:r>
              <w:rPr>
                <w:spacing w:val="-12"/>
                <w:sz w:val="20"/>
              </w:rPr>
              <w:t> </w:t>
            </w:r>
            <w:r>
              <w:rPr>
                <w:sz w:val="20"/>
              </w:rPr>
              <w:t>биохимических, иммунологических, молекулярно- биологических и морфологических методов</w:t>
            </w:r>
            <w:r>
              <w:rPr>
                <w:spacing w:val="-6"/>
                <w:sz w:val="20"/>
              </w:rPr>
              <w:t> </w:t>
            </w:r>
            <w:r>
              <w:rPr>
                <w:sz w:val="20"/>
              </w:rPr>
              <w:t>диагностики,</w:t>
            </w:r>
            <w:r>
              <w:rPr>
                <w:spacing w:val="-5"/>
                <w:sz w:val="20"/>
              </w:rPr>
              <w:t> </w:t>
            </w:r>
            <w:r>
              <w:rPr>
                <w:sz w:val="20"/>
              </w:rPr>
              <w:t>а</w:t>
            </w:r>
            <w:r>
              <w:rPr>
                <w:spacing w:val="-5"/>
                <w:sz w:val="20"/>
              </w:rPr>
              <w:t> </w:t>
            </w:r>
            <w:r>
              <w:rPr>
                <w:sz w:val="20"/>
              </w:rPr>
              <w:t>также</w:t>
            </w:r>
            <w:r>
              <w:rPr>
                <w:spacing w:val="-5"/>
                <w:sz w:val="20"/>
              </w:rPr>
              <w:t> </w:t>
            </w:r>
            <w:r>
              <w:rPr>
                <w:sz w:val="20"/>
              </w:rPr>
              <w:t>комплекса методов визуализации (ультразвуковой диагностики с доплерографией, магнитно-резонансной томографии, компьютерной томографии)</w:t>
            </w:r>
          </w:p>
        </w:tc>
      </w:tr>
      <w:tr>
        <w:trPr>
          <w:trHeight w:val="3960" w:hRule="atLeast"/>
        </w:trPr>
        <w:tc>
          <w:tcPr>
            <w:tcW w:w="1897" w:type="dxa"/>
          </w:tcPr>
          <w:p>
            <w:pPr>
              <w:pStyle w:val="TableParagraph"/>
              <w:spacing w:before="60"/>
              <w:ind w:left="723" w:right="804"/>
              <w:jc w:val="center"/>
              <w:rPr>
                <w:sz w:val="20"/>
              </w:rPr>
            </w:pPr>
            <w:r>
              <w:rPr>
                <w:spacing w:val="-5"/>
                <w:sz w:val="20"/>
              </w:rPr>
              <w:t>K51</w:t>
            </w:r>
          </w:p>
        </w:tc>
        <w:tc>
          <w:tcPr>
            <w:tcW w:w="3374" w:type="dxa"/>
          </w:tcPr>
          <w:p>
            <w:pPr>
              <w:pStyle w:val="TableParagraph"/>
              <w:spacing w:line="249" w:lineRule="auto" w:before="60"/>
              <w:ind w:left="135" w:right="108"/>
              <w:rPr>
                <w:sz w:val="20"/>
              </w:rPr>
            </w:pPr>
            <w:r>
              <w:rPr>
                <w:sz w:val="20"/>
              </w:rPr>
              <w:t>неспецифический язвенный колит, непрерывно рецидивирующее течение, с развитием первичного склерозирующего</w:t>
            </w:r>
            <w:r>
              <w:rPr>
                <w:spacing w:val="-13"/>
                <w:sz w:val="20"/>
              </w:rPr>
              <w:t> </w:t>
            </w:r>
            <w:r>
              <w:rPr>
                <w:sz w:val="20"/>
              </w:rPr>
              <w:t>холангита</w:t>
            </w:r>
            <w:r>
              <w:rPr>
                <w:spacing w:val="-12"/>
                <w:sz w:val="20"/>
              </w:rPr>
              <w:t> </w:t>
            </w:r>
            <w:r>
              <w:rPr>
                <w:sz w:val="20"/>
              </w:rPr>
              <w:t>и</w:t>
            </w:r>
            <w:r>
              <w:rPr>
                <w:spacing w:val="-13"/>
                <w:sz w:val="20"/>
              </w:rPr>
              <w:t> </w:t>
            </w:r>
            <w:r>
              <w:rPr>
                <w:sz w:val="20"/>
              </w:rPr>
              <w:t>(или) с формированием осложнений (мегаколон, кровотечения)</w:t>
            </w:r>
          </w:p>
        </w:tc>
        <w:tc>
          <w:tcPr>
            <w:tcW w:w="1405" w:type="dxa"/>
          </w:tcPr>
          <w:p>
            <w:pPr>
              <w:pStyle w:val="TableParagraph"/>
              <w:spacing w:line="249" w:lineRule="auto" w:before="60"/>
              <w:ind w:left="69"/>
              <w:rPr>
                <w:sz w:val="20"/>
              </w:rPr>
            </w:pPr>
            <w:r>
              <w:rPr>
                <w:spacing w:val="-2"/>
                <w:sz w:val="20"/>
              </w:rPr>
              <w:t>терапевтичес- </w:t>
            </w:r>
            <w:r>
              <w:rPr>
                <w:sz w:val="20"/>
              </w:rPr>
              <w:t>кое лечение</w:t>
            </w:r>
          </w:p>
        </w:tc>
        <w:tc>
          <w:tcPr>
            <w:tcW w:w="3715" w:type="dxa"/>
          </w:tcPr>
          <w:p>
            <w:pPr>
              <w:pStyle w:val="TableParagraph"/>
              <w:spacing w:line="249" w:lineRule="auto" w:before="60"/>
              <w:ind w:left="138" w:right="131"/>
              <w:rPr>
                <w:sz w:val="20"/>
              </w:rPr>
            </w:pPr>
            <w:r>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 биологических, цитохимических и морфологических методов, а также визуализирующих</w:t>
            </w:r>
            <w:r>
              <w:rPr>
                <w:spacing w:val="-13"/>
                <w:sz w:val="20"/>
              </w:rPr>
              <w:t> </w:t>
            </w:r>
            <w:r>
              <w:rPr>
                <w:sz w:val="20"/>
              </w:rPr>
              <w:t>методов</w:t>
            </w:r>
            <w:r>
              <w:rPr>
                <w:spacing w:val="-12"/>
                <w:sz w:val="20"/>
              </w:rPr>
              <w:t> </w:t>
            </w:r>
            <w:r>
              <w:rPr>
                <w:sz w:val="20"/>
              </w:rPr>
              <w:t>диагностики (эндоскопических, ультразвуковой диагностики с доплерографией, магнитно-резонансной томографии)</w:t>
            </w:r>
          </w:p>
        </w:tc>
      </w:tr>
      <w:tr>
        <w:trPr>
          <w:trHeight w:val="1490" w:hRule="atLeast"/>
        </w:trPr>
        <w:tc>
          <w:tcPr>
            <w:tcW w:w="1897" w:type="dxa"/>
          </w:tcPr>
          <w:p>
            <w:pPr>
              <w:pStyle w:val="TableParagraph"/>
              <w:spacing w:before="60"/>
              <w:ind w:left="54"/>
              <w:rPr>
                <w:sz w:val="20"/>
              </w:rPr>
            </w:pPr>
            <w:r>
              <w:rPr>
                <w:sz w:val="20"/>
              </w:rPr>
              <w:t>B18.0,</w:t>
            </w:r>
            <w:r>
              <w:rPr>
                <w:spacing w:val="-5"/>
                <w:sz w:val="20"/>
              </w:rPr>
              <w:t> </w:t>
            </w:r>
            <w:r>
              <w:rPr>
                <w:sz w:val="20"/>
              </w:rPr>
              <w:t>B18.1,</w:t>
            </w:r>
            <w:r>
              <w:rPr>
                <w:spacing w:val="-5"/>
                <w:sz w:val="20"/>
              </w:rPr>
              <w:t> </w:t>
            </w:r>
            <w:r>
              <w:rPr>
                <w:spacing w:val="-2"/>
                <w:sz w:val="20"/>
              </w:rPr>
              <w:t>B18.2,</w:t>
            </w:r>
          </w:p>
          <w:p>
            <w:pPr>
              <w:pStyle w:val="TableParagraph"/>
              <w:spacing w:line="249" w:lineRule="auto" w:before="10"/>
              <w:ind w:left="660" w:hanging="611"/>
              <w:rPr>
                <w:sz w:val="20"/>
              </w:rPr>
            </w:pPr>
            <w:r>
              <w:rPr>
                <w:sz w:val="20"/>
              </w:rPr>
              <w:t>B18.8,</w:t>
            </w:r>
            <w:r>
              <w:rPr>
                <w:spacing w:val="-13"/>
                <w:sz w:val="20"/>
              </w:rPr>
              <w:t> </w:t>
            </w:r>
            <w:r>
              <w:rPr>
                <w:sz w:val="20"/>
              </w:rPr>
              <w:t>B18.9,</w:t>
            </w:r>
            <w:r>
              <w:rPr>
                <w:spacing w:val="-12"/>
                <w:sz w:val="20"/>
              </w:rPr>
              <w:t> </w:t>
            </w:r>
            <w:r>
              <w:rPr>
                <w:sz w:val="20"/>
              </w:rPr>
              <w:t>K73.2, </w:t>
            </w:r>
            <w:r>
              <w:rPr>
                <w:spacing w:val="-2"/>
                <w:sz w:val="20"/>
              </w:rPr>
              <w:t>K73.9</w:t>
            </w:r>
          </w:p>
        </w:tc>
        <w:tc>
          <w:tcPr>
            <w:tcW w:w="3374" w:type="dxa"/>
          </w:tcPr>
          <w:p>
            <w:pPr>
              <w:pStyle w:val="TableParagraph"/>
              <w:spacing w:line="240" w:lineRule="atLeast" w:before="30"/>
              <w:ind w:left="135" w:right="36"/>
              <w:rPr>
                <w:sz w:val="20"/>
              </w:rPr>
            </w:pPr>
            <w:r>
              <w:rPr>
                <w:sz w:val="20"/>
              </w:rPr>
              <w:t>хронический вирусный гепатит с умеренной и высокой степенью активности и (или) формированием фиброза</w:t>
            </w:r>
            <w:r>
              <w:rPr>
                <w:spacing w:val="-10"/>
                <w:sz w:val="20"/>
              </w:rPr>
              <w:t> </w:t>
            </w:r>
            <w:r>
              <w:rPr>
                <w:sz w:val="20"/>
              </w:rPr>
              <w:t>печени</w:t>
            </w:r>
            <w:r>
              <w:rPr>
                <w:spacing w:val="-10"/>
                <w:sz w:val="20"/>
              </w:rPr>
              <w:t> </w:t>
            </w:r>
            <w:r>
              <w:rPr>
                <w:sz w:val="20"/>
              </w:rPr>
              <w:t>и</w:t>
            </w:r>
            <w:r>
              <w:rPr>
                <w:spacing w:val="-10"/>
                <w:sz w:val="20"/>
              </w:rPr>
              <w:t> </w:t>
            </w:r>
            <w:r>
              <w:rPr>
                <w:sz w:val="20"/>
              </w:rPr>
              <w:t>резистентностью</w:t>
            </w:r>
            <w:r>
              <w:rPr>
                <w:spacing w:val="-10"/>
                <w:sz w:val="20"/>
              </w:rPr>
              <w:t> </w:t>
            </w:r>
            <w:r>
              <w:rPr>
                <w:sz w:val="20"/>
              </w:rPr>
              <w:t>к проводимой</w:t>
            </w:r>
            <w:r>
              <w:rPr>
                <w:spacing w:val="-4"/>
                <w:sz w:val="20"/>
              </w:rPr>
              <w:t> </w:t>
            </w:r>
            <w:r>
              <w:rPr>
                <w:sz w:val="20"/>
              </w:rPr>
              <w:t>лекарственной</w:t>
            </w:r>
            <w:r>
              <w:rPr>
                <w:spacing w:val="-2"/>
                <w:sz w:val="20"/>
              </w:rPr>
              <w:t> </w:t>
            </w:r>
            <w:r>
              <w:rPr>
                <w:sz w:val="20"/>
              </w:rPr>
              <w:t>терапии. Аутоиммунный гепатит</w:t>
            </w:r>
          </w:p>
        </w:tc>
        <w:tc>
          <w:tcPr>
            <w:tcW w:w="1405" w:type="dxa"/>
          </w:tcPr>
          <w:p>
            <w:pPr>
              <w:pStyle w:val="TableParagraph"/>
              <w:spacing w:line="249" w:lineRule="auto" w:before="60"/>
              <w:ind w:left="69"/>
              <w:rPr>
                <w:sz w:val="20"/>
              </w:rPr>
            </w:pPr>
            <w:r>
              <w:rPr>
                <w:spacing w:val="-2"/>
                <w:sz w:val="20"/>
              </w:rPr>
              <w:t>терапевтичес- </w:t>
            </w:r>
            <w:r>
              <w:rPr>
                <w:sz w:val="20"/>
              </w:rPr>
              <w:t>кое лечение</w:t>
            </w:r>
          </w:p>
        </w:tc>
        <w:tc>
          <w:tcPr>
            <w:tcW w:w="3715" w:type="dxa"/>
          </w:tcPr>
          <w:p>
            <w:pPr>
              <w:pStyle w:val="TableParagraph"/>
              <w:spacing w:line="240" w:lineRule="atLeast" w:before="30"/>
              <w:ind w:left="138" w:right="49"/>
              <w:rPr>
                <w:sz w:val="20"/>
              </w:rPr>
            </w:pPr>
            <w:r>
              <w:rPr>
                <w:sz w:val="20"/>
              </w:rPr>
              <w:t>поликомпонентное лечение с применением</w:t>
            </w:r>
            <w:r>
              <w:rPr>
                <w:spacing w:val="-13"/>
                <w:sz w:val="20"/>
              </w:rPr>
              <w:t> </w:t>
            </w:r>
            <w:r>
              <w:rPr>
                <w:sz w:val="20"/>
              </w:rPr>
              <w:t>комбинированных</w:t>
            </w:r>
            <w:r>
              <w:rPr>
                <w:spacing w:val="-12"/>
                <w:sz w:val="20"/>
              </w:rPr>
              <w:t> </w:t>
            </w:r>
            <w:r>
              <w:rPr>
                <w:sz w:val="20"/>
              </w:rPr>
              <w:t>схем иммуносупрессивной терапии, включающей системные и (или) топические</w:t>
            </w:r>
            <w:r>
              <w:rPr>
                <w:spacing w:val="-6"/>
                <w:sz w:val="20"/>
              </w:rPr>
              <w:t> </w:t>
            </w:r>
            <w:r>
              <w:rPr>
                <w:sz w:val="20"/>
              </w:rPr>
              <w:t>глюкокортикостероиды</w:t>
            </w:r>
            <w:r>
              <w:rPr>
                <w:spacing w:val="-6"/>
                <w:sz w:val="20"/>
              </w:rPr>
              <w:t> </w:t>
            </w:r>
            <w:r>
              <w:rPr>
                <w:sz w:val="20"/>
              </w:rPr>
              <w:t>и цитостатики; гепатопротекторы 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3576"/>
        <w:gridCol w:w="1505"/>
        <w:gridCol w:w="3718"/>
      </w:tblGrid>
      <w:tr>
        <w:trPr>
          <w:trHeight w:val="3651" w:hRule="atLeast"/>
        </w:trPr>
        <w:tc>
          <w:tcPr>
            <w:tcW w:w="984" w:type="dxa"/>
          </w:tcPr>
          <w:p>
            <w:pPr>
              <w:pStyle w:val="TableParagraph"/>
              <w:rPr>
                <w:sz w:val="18"/>
              </w:rPr>
            </w:pPr>
          </w:p>
        </w:tc>
        <w:tc>
          <w:tcPr>
            <w:tcW w:w="3576" w:type="dxa"/>
          </w:tcPr>
          <w:p>
            <w:pPr>
              <w:pStyle w:val="TableParagraph"/>
              <w:rPr>
                <w:sz w:val="18"/>
              </w:rPr>
            </w:pPr>
          </w:p>
        </w:tc>
        <w:tc>
          <w:tcPr>
            <w:tcW w:w="1505" w:type="dxa"/>
          </w:tcPr>
          <w:p>
            <w:pPr>
              <w:pStyle w:val="TableParagraph"/>
              <w:rPr>
                <w:sz w:val="18"/>
              </w:rPr>
            </w:pPr>
          </w:p>
        </w:tc>
        <w:tc>
          <w:tcPr>
            <w:tcW w:w="3718" w:type="dxa"/>
          </w:tcPr>
          <w:p>
            <w:pPr>
              <w:pStyle w:val="TableParagraph"/>
              <w:spacing w:line="249" w:lineRule="auto"/>
              <w:ind w:left="139"/>
              <w:rPr>
                <w:sz w:val="20"/>
              </w:rPr>
            </w:pPr>
            <w:r>
              <w:rPr>
                <w:sz w:val="20"/>
              </w:rPr>
              <w:t>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 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w:t>
            </w:r>
            <w:r>
              <w:rPr>
                <w:spacing w:val="-12"/>
                <w:sz w:val="20"/>
              </w:rPr>
              <w:t> </w:t>
            </w:r>
            <w:r>
              <w:rPr>
                <w:sz w:val="20"/>
              </w:rPr>
              <w:t>паренхимы</w:t>
            </w:r>
            <w:r>
              <w:rPr>
                <w:spacing w:val="-12"/>
                <w:sz w:val="20"/>
              </w:rPr>
              <w:t> </w:t>
            </w:r>
            <w:r>
              <w:rPr>
                <w:sz w:val="20"/>
              </w:rPr>
              <w:t>печени,</w:t>
            </w:r>
            <w:r>
              <w:rPr>
                <w:spacing w:val="-12"/>
                <w:sz w:val="20"/>
              </w:rPr>
              <w:t> </w:t>
            </w:r>
            <w:r>
              <w:rPr>
                <w:sz w:val="20"/>
              </w:rPr>
              <w:t>магнитно- резонансной</w:t>
            </w:r>
            <w:r>
              <w:rPr>
                <w:spacing w:val="-11"/>
                <w:sz w:val="20"/>
              </w:rPr>
              <w:t> </w:t>
            </w:r>
            <w:r>
              <w:rPr>
                <w:sz w:val="20"/>
              </w:rPr>
              <w:t>томографии,</w:t>
            </w:r>
            <w:r>
              <w:rPr>
                <w:spacing w:val="-12"/>
                <w:sz w:val="20"/>
              </w:rPr>
              <w:t> </w:t>
            </w:r>
            <w:r>
              <w:rPr>
                <w:sz w:val="20"/>
              </w:rPr>
              <w:t>компьютерной </w:t>
            </w:r>
            <w:r>
              <w:rPr>
                <w:spacing w:val="-2"/>
                <w:sz w:val="20"/>
              </w:rPr>
              <w:t>томографии)</w:t>
            </w:r>
          </w:p>
        </w:tc>
      </w:tr>
      <w:tr>
        <w:trPr>
          <w:trHeight w:val="4130" w:hRule="atLeast"/>
        </w:trPr>
        <w:tc>
          <w:tcPr>
            <w:tcW w:w="984" w:type="dxa"/>
          </w:tcPr>
          <w:p>
            <w:pPr>
              <w:pStyle w:val="TableParagraph"/>
              <w:spacing w:before="60"/>
              <w:ind w:left="50"/>
              <w:rPr>
                <w:sz w:val="20"/>
              </w:rPr>
            </w:pPr>
            <w:r>
              <w:rPr>
                <w:spacing w:val="-4"/>
                <w:sz w:val="20"/>
              </w:rPr>
              <w:t>K74.6</w:t>
            </w:r>
          </w:p>
        </w:tc>
        <w:tc>
          <w:tcPr>
            <w:tcW w:w="3576" w:type="dxa"/>
          </w:tcPr>
          <w:p>
            <w:pPr>
              <w:pStyle w:val="TableParagraph"/>
              <w:spacing w:line="249" w:lineRule="auto" w:before="60"/>
              <w:ind w:left="438"/>
              <w:rPr>
                <w:sz w:val="20"/>
              </w:rPr>
            </w:pPr>
            <w:r>
              <w:rPr>
                <w:sz w:val="20"/>
              </w:rPr>
              <w:t>цирроз</w:t>
            </w:r>
            <w:r>
              <w:rPr>
                <w:spacing w:val="-11"/>
                <w:sz w:val="20"/>
              </w:rPr>
              <w:t> </w:t>
            </w:r>
            <w:r>
              <w:rPr>
                <w:sz w:val="20"/>
              </w:rPr>
              <w:t>печени,</w:t>
            </w:r>
            <w:r>
              <w:rPr>
                <w:spacing w:val="-11"/>
                <w:sz w:val="20"/>
              </w:rPr>
              <w:t> </w:t>
            </w:r>
            <w:r>
              <w:rPr>
                <w:sz w:val="20"/>
              </w:rPr>
              <w:t>активное</w:t>
            </w:r>
            <w:r>
              <w:rPr>
                <w:spacing w:val="-11"/>
                <w:sz w:val="20"/>
              </w:rPr>
              <w:t> </w:t>
            </w:r>
            <w:r>
              <w:rPr>
                <w:sz w:val="20"/>
              </w:rPr>
              <w:t>течение</w:t>
            </w:r>
            <w:r>
              <w:rPr>
                <w:spacing w:val="-11"/>
                <w:sz w:val="20"/>
              </w:rPr>
              <w:t> </w:t>
            </w:r>
            <w:r>
              <w:rPr>
                <w:sz w:val="20"/>
              </w:rPr>
              <w:t>с развитием коллатерального </w:t>
            </w:r>
            <w:r>
              <w:rPr>
                <w:spacing w:val="-2"/>
                <w:sz w:val="20"/>
              </w:rPr>
              <w:t>кровообращения</w:t>
            </w:r>
          </w:p>
        </w:tc>
        <w:tc>
          <w:tcPr>
            <w:tcW w:w="1505" w:type="dxa"/>
          </w:tcPr>
          <w:p>
            <w:pPr>
              <w:pStyle w:val="TableParagraph"/>
              <w:spacing w:line="249" w:lineRule="auto" w:before="60"/>
              <w:ind w:left="170"/>
              <w:rPr>
                <w:sz w:val="20"/>
              </w:rPr>
            </w:pPr>
            <w:r>
              <w:rPr>
                <w:spacing w:val="-2"/>
                <w:sz w:val="20"/>
              </w:rPr>
              <w:t>терапевтичес- </w:t>
            </w:r>
            <w:r>
              <w:rPr>
                <w:sz w:val="20"/>
              </w:rPr>
              <w:t>кое лечение</w:t>
            </w:r>
          </w:p>
        </w:tc>
        <w:tc>
          <w:tcPr>
            <w:tcW w:w="3718" w:type="dxa"/>
          </w:tcPr>
          <w:p>
            <w:pPr>
              <w:pStyle w:val="TableParagraph"/>
              <w:spacing w:line="249" w:lineRule="auto" w:before="60"/>
              <w:ind w:left="139" w:right="253"/>
              <w:rPr>
                <w:sz w:val="20"/>
              </w:rPr>
            </w:pPr>
            <w:r>
              <w:rPr>
                <w:sz w:val="20"/>
              </w:rPr>
              <w:t>поликомпонентное лечение с применением гормональных и (или) </w:t>
            </w:r>
            <w:r>
              <w:rPr>
                <w:spacing w:val="-2"/>
                <w:sz w:val="20"/>
              </w:rPr>
              <w:t>иммуномодулирующих, </w:t>
            </w:r>
            <w:r>
              <w:rPr>
                <w:sz w:val="20"/>
              </w:rPr>
              <w:t>противовирусных лекарственных препаратов, генно-инженерных стимуляторов</w:t>
            </w:r>
            <w:r>
              <w:rPr>
                <w:spacing w:val="-9"/>
                <w:sz w:val="20"/>
              </w:rPr>
              <w:t> </w:t>
            </w:r>
            <w:r>
              <w:rPr>
                <w:sz w:val="20"/>
              </w:rPr>
              <w:t>гемопоэза,</w:t>
            </w:r>
            <w:r>
              <w:rPr>
                <w:spacing w:val="-8"/>
                <w:sz w:val="20"/>
              </w:rPr>
              <w:t> </w:t>
            </w:r>
            <w:r>
              <w:rPr>
                <w:sz w:val="20"/>
              </w:rPr>
              <w:t>в</w:t>
            </w:r>
            <w:r>
              <w:rPr>
                <w:spacing w:val="-7"/>
                <w:sz w:val="20"/>
              </w:rPr>
              <w:t> </w:t>
            </w:r>
            <w:r>
              <w:rPr>
                <w:sz w:val="20"/>
              </w:rPr>
              <w:t>том</w:t>
            </w:r>
            <w:r>
              <w:rPr>
                <w:spacing w:val="-8"/>
                <w:sz w:val="20"/>
              </w:rPr>
              <w:t> </w:t>
            </w:r>
            <w:r>
              <w:rPr>
                <w:sz w:val="20"/>
              </w:rPr>
              <w:t>числе</w:t>
            </w:r>
            <w:r>
              <w:rPr>
                <w:spacing w:val="-8"/>
                <w:sz w:val="20"/>
              </w:rPr>
              <w:t> </w:t>
            </w:r>
            <w:r>
              <w:rPr>
                <w:sz w:val="20"/>
              </w:rPr>
              <w:t>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w:t>
            </w:r>
          </w:p>
          <w:p>
            <w:pPr>
              <w:pStyle w:val="TableParagraph"/>
              <w:spacing w:line="240" w:lineRule="atLeast"/>
              <w:ind w:left="139"/>
              <w:rPr>
                <w:sz w:val="20"/>
              </w:rPr>
            </w:pPr>
            <w:r>
              <w:rPr>
                <w:sz w:val="20"/>
              </w:rPr>
              <w:t>а также методов визуализации (эндоскопических, ультразвуковой диагностики с доплерографией и количественной</w:t>
            </w:r>
            <w:r>
              <w:rPr>
                <w:spacing w:val="-13"/>
                <w:sz w:val="20"/>
              </w:rPr>
              <w:t> </w:t>
            </w:r>
            <w:r>
              <w:rPr>
                <w:sz w:val="20"/>
              </w:rPr>
              <w:t>оценкой</w:t>
            </w:r>
            <w:r>
              <w:rPr>
                <w:spacing w:val="-12"/>
                <w:sz w:val="20"/>
              </w:rPr>
              <w:t> </w:t>
            </w:r>
            <w:r>
              <w:rPr>
                <w:sz w:val="20"/>
              </w:rPr>
              <w:t>нарушений структуры паренхимы печени,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7"/>
        <w:gridCol w:w="1755"/>
        <w:gridCol w:w="3389"/>
        <w:gridCol w:w="1482"/>
        <w:gridCol w:w="3740"/>
      </w:tblGrid>
      <w:tr>
        <w:trPr>
          <w:trHeight w:val="530" w:hRule="atLeast"/>
        </w:trPr>
        <w:tc>
          <w:tcPr>
            <w:tcW w:w="2927" w:type="dxa"/>
          </w:tcPr>
          <w:p>
            <w:pPr>
              <w:pStyle w:val="TableParagraph"/>
              <w:rPr>
                <w:sz w:val="18"/>
              </w:rPr>
            </w:pPr>
          </w:p>
        </w:tc>
        <w:tc>
          <w:tcPr>
            <w:tcW w:w="1755" w:type="dxa"/>
          </w:tcPr>
          <w:p>
            <w:pPr>
              <w:pStyle w:val="TableParagraph"/>
              <w:rPr>
                <w:sz w:val="18"/>
              </w:rPr>
            </w:pPr>
          </w:p>
        </w:tc>
        <w:tc>
          <w:tcPr>
            <w:tcW w:w="3389" w:type="dxa"/>
          </w:tcPr>
          <w:p>
            <w:pPr>
              <w:pStyle w:val="TableParagraph"/>
              <w:rPr>
                <w:sz w:val="18"/>
              </w:rPr>
            </w:pPr>
          </w:p>
        </w:tc>
        <w:tc>
          <w:tcPr>
            <w:tcW w:w="1482" w:type="dxa"/>
          </w:tcPr>
          <w:p>
            <w:pPr>
              <w:pStyle w:val="TableParagraph"/>
              <w:rPr>
                <w:sz w:val="18"/>
              </w:rPr>
            </w:pPr>
          </w:p>
        </w:tc>
        <w:tc>
          <w:tcPr>
            <w:tcW w:w="3740" w:type="dxa"/>
          </w:tcPr>
          <w:p>
            <w:pPr>
              <w:pStyle w:val="TableParagraph"/>
              <w:spacing w:line="249" w:lineRule="auto"/>
              <w:ind w:left="139" w:right="918"/>
              <w:rPr>
                <w:sz w:val="20"/>
              </w:rPr>
            </w:pPr>
            <w:r>
              <w:rPr>
                <w:sz w:val="20"/>
              </w:rPr>
              <w:t>фиброэластографии,</w:t>
            </w:r>
            <w:r>
              <w:rPr>
                <w:spacing w:val="-13"/>
                <w:sz w:val="20"/>
              </w:rPr>
              <w:t> </w:t>
            </w:r>
            <w:r>
              <w:rPr>
                <w:sz w:val="20"/>
              </w:rPr>
              <w:t>магнитно- резонансной томографии)</w:t>
            </w:r>
          </w:p>
        </w:tc>
      </w:tr>
      <w:tr>
        <w:trPr>
          <w:trHeight w:val="4681" w:hRule="atLeast"/>
        </w:trPr>
        <w:tc>
          <w:tcPr>
            <w:tcW w:w="2927" w:type="dxa"/>
          </w:tcPr>
          <w:p>
            <w:pPr>
              <w:pStyle w:val="TableParagraph"/>
              <w:spacing w:line="249" w:lineRule="auto" w:before="60"/>
              <w:ind w:left="50" w:right="352"/>
              <w:rPr>
                <w:sz w:val="20"/>
              </w:rPr>
            </w:pPr>
            <w:r>
              <w:rPr>
                <w:sz w:val="20"/>
              </w:rPr>
              <w:t>Поликомпонентное лечение ювенильного ревматоидного артрита, юношеского </w:t>
            </w:r>
            <w:r>
              <w:rPr>
                <w:spacing w:val="-2"/>
                <w:sz w:val="20"/>
              </w:rPr>
              <w:t>анкилозирующего </w:t>
            </w:r>
            <w:r>
              <w:rPr>
                <w:sz w:val="20"/>
              </w:rPr>
              <w:t>спондилита, системной красной волчанки, системного склероза, </w:t>
            </w:r>
            <w:r>
              <w:rPr>
                <w:spacing w:val="-2"/>
                <w:sz w:val="20"/>
              </w:rPr>
              <w:t>юношеского дерматополимиозита, </w:t>
            </w:r>
            <w:r>
              <w:rPr>
                <w:sz w:val="20"/>
              </w:rPr>
              <w:t>ювенильного узелкового полиартериит</w:t>
            </w:r>
            <w:r>
              <w:rPr>
                <w:spacing w:val="-13"/>
                <w:sz w:val="20"/>
              </w:rPr>
              <w:t> </w:t>
            </w:r>
            <w:r>
              <w:rPr>
                <w:sz w:val="20"/>
              </w:rPr>
              <w:t>с</w:t>
            </w:r>
            <w:r>
              <w:rPr>
                <w:spacing w:val="-12"/>
                <w:sz w:val="20"/>
              </w:rPr>
              <w:t> </w:t>
            </w:r>
            <w:r>
              <w:rPr>
                <w:sz w:val="20"/>
              </w:rPr>
              <w:t>применением </w:t>
            </w:r>
            <w:r>
              <w:rPr>
                <w:spacing w:val="-2"/>
                <w:sz w:val="20"/>
              </w:rPr>
              <w:t>химиотерапевтических, генно-инженерных биологических </w:t>
            </w:r>
            <w:r>
              <w:rPr>
                <w:sz w:val="20"/>
              </w:rPr>
              <w:t>лекарственных препаратов, </w:t>
            </w:r>
            <w:r>
              <w:rPr>
                <w:spacing w:val="-2"/>
                <w:sz w:val="20"/>
              </w:rPr>
              <w:t>протезно-ортопедической </w:t>
            </w:r>
            <w:r>
              <w:rPr>
                <w:sz w:val="20"/>
              </w:rPr>
              <w:t>коррекции и экстракорпоральных</w:t>
            </w:r>
            <w:r>
              <w:rPr>
                <w:spacing w:val="-13"/>
                <w:sz w:val="20"/>
              </w:rPr>
              <w:t> </w:t>
            </w:r>
            <w:r>
              <w:rPr>
                <w:sz w:val="20"/>
              </w:rPr>
              <w:t>методов очищения крови</w:t>
            </w:r>
          </w:p>
        </w:tc>
        <w:tc>
          <w:tcPr>
            <w:tcW w:w="1755" w:type="dxa"/>
          </w:tcPr>
          <w:p>
            <w:pPr>
              <w:pStyle w:val="TableParagraph"/>
              <w:spacing w:before="60"/>
              <w:ind w:left="181" w:right="220"/>
              <w:jc w:val="center"/>
              <w:rPr>
                <w:sz w:val="20"/>
              </w:rPr>
            </w:pPr>
            <w:r>
              <w:rPr>
                <w:sz w:val="20"/>
              </w:rPr>
              <w:t>M33,</w:t>
            </w:r>
            <w:r>
              <w:rPr>
                <w:spacing w:val="-3"/>
                <w:sz w:val="20"/>
              </w:rPr>
              <w:t> </w:t>
            </w:r>
            <w:r>
              <w:rPr>
                <w:spacing w:val="-2"/>
                <w:sz w:val="20"/>
              </w:rPr>
              <w:t>M34.9</w:t>
            </w:r>
          </w:p>
        </w:tc>
        <w:tc>
          <w:tcPr>
            <w:tcW w:w="3389" w:type="dxa"/>
          </w:tcPr>
          <w:p>
            <w:pPr>
              <w:pStyle w:val="TableParagraph"/>
              <w:spacing w:line="249" w:lineRule="auto" w:before="60"/>
              <w:ind w:left="228"/>
              <w:rPr>
                <w:sz w:val="20"/>
              </w:rPr>
            </w:pPr>
            <w:r>
              <w:rPr>
                <w:sz w:val="20"/>
              </w:rPr>
              <w:t>дерматополимиозит, системный склероз</w:t>
            </w:r>
            <w:r>
              <w:rPr>
                <w:spacing w:val="-10"/>
                <w:sz w:val="20"/>
              </w:rPr>
              <w:t> </w:t>
            </w:r>
            <w:r>
              <w:rPr>
                <w:sz w:val="20"/>
              </w:rPr>
              <w:t>с</w:t>
            </w:r>
            <w:r>
              <w:rPr>
                <w:spacing w:val="-10"/>
                <w:sz w:val="20"/>
              </w:rPr>
              <w:t> </w:t>
            </w:r>
            <w:r>
              <w:rPr>
                <w:sz w:val="20"/>
              </w:rPr>
              <w:t>высокой</w:t>
            </w:r>
            <w:r>
              <w:rPr>
                <w:spacing w:val="-11"/>
                <w:sz w:val="20"/>
              </w:rPr>
              <w:t> </w:t>
            </w:r>
            <w:r>
              <w:rPr>
                <w:sz w:val="20"/>
              </w:rPr>
              <w:t>степенью</w:t>
            </w:r>
            <w:r>
              <w:rPr>
                <w:spacing w:val="-9"/>
                <w:sz w:val="20"/>
              </w:rPr>
              <w:t> </w:t>
            </w:r>
            <w:r>
              <w:rPr>
                <w:sz w:val="20"/>
              </w:rPr>
              <w:t>актив- ности воспалительного процесса</w:t>
            </w:r>
          </w:p>
          <w:p>
            <w:pPr>
              <w:pStyle w:val="TableParagraph"/>
              <w:spacing w:line="249" w:lineRule="auto" w:before="3"/>
              <w:ind w:left="228"/>
              <w:rPr>
                <w:sz w:val="20"/>
              </w:rPr>
            </w:pPr>
            <w:r>
              <w:rPr>
                <w:sz w:val="20"/>
              </w:rPr>
              <w:t>и</w:t>
            </w:r>
            <w:r>
              <w:rPr>
                <w:spacing w:val="-10"/>
                <w:sz w:val="20"/>
              </w:rPr>
              <w:t> </w:t>
            </w:r>
            <w:r>
              <w:rPr>
                <w:sz w:val="20"/>
              </w:rPr>
              <w:t>(или)</w:t>
            </w:r>
            <w:r>
              <w:rPr>
                <w:spacing w:val="-9"/>
                <w:sz w:val="20"/>
              </w:rPr>
              <w:t> </w:t>
            </w:r>
            <w:r>
              <w:rPr>
                <w:sz w:val="20"/>
              </w:rPr>
              <w:t>резистентностью</w:t>
            </w:r>
            <w:r>
              <w:rPr>
                <w:spacing w:val="-9"/>
                <w:sz w:val="20"/>
              </w:rPr>
              <w:t> </w:t>
            </w:r>
            <w:r>
              <w:rPr>
                <w:sz w:val="20"/>
              </w:rPr>
              <w:t>к</w:t>
            </w:r>
            <w:r>
              <w:rPr>
                <w:spacing w:val="-8"/>
                <w:sz w:val="20"/>
              </w:rPr>
              <w:t> </w:t>
            </w:r>
            <w:r>
              <w:rPr>
                <w:sz w:val="20"/>
              </w:rPr>
              <w:t>прово- </w:t>
            </w:r>
            <w:r>
              <w:rPr>
                <w:w w:val="95"/>
                <w:sz w:val="20"/>
              </w:rPr>
              <w:t>димому</w:t>
            </w:r>
            <w:r>
              <w:rPr>
                <w:spacing w:val="37"/>
                <w:sz w:val="20"/>
              </w:rPr>
              <w:t> </w:t>
            </w:r>
            <w:r>
              <w:rPr>
                <w:w w:val="95"/>
                <w:sz w:val="20"/>
              </w:rPr>
              <w:t>лекарственному</w:t>
            </w:r>
            <w:r>
              <w:rPr>
                <w:spacing w:val="44"/>
                <w:sz w:val="20"/>
              </w:rPr>
              <w:t> </w:t>
            </w:r>
            <w:r>
              <w:rPr>
                <w:spacing w:val="-2"/>
                <w:w w:val="95"/>
                <w:sz w:val="20"/>
              </w:rPr>
              <w:t>лечению</w:t>
            </w:r>
          </w:p>
        </w:tc>
        <w:tc>
          <w:tcPr>
            <w:tcW w:w="1482" w:type="dxa"/>
          </w:tcPr>
          <w:p>
            <w:pPr>
              <w:pStyle w:val="TableParagraph"/>
              <w:spacing w:line="252" w:lineRule="auto" w:before="60"/>
              <w:ind w:left="147"/>
              <w:rPr>
                <w:sz w:val="20"/>
              </w:rPr>
            </w:pPr>
            <w:r>
              <w:rPr>
                <w:spacing w:val="-2"/>
                <w:sz w:val="20"/>
              </w:rPr>
              <w:t>терапевтичес- </w:t>
            </w:r>
            <w:r>
              <w:rPr>
                <w:sz w:val="20"/>
              </w:rPr>
              <w:t>кое лечение</w:t>
            </w:r>
          </w:p>
        </w:tc>
        <w:tc>
          <w:tcPr>
            <w:tcW w:w="3740" w:type="dxa"/>
          </w:tcPr>
          <w:p>
            <w:pPr>
              <w:pStyle w:val="TableParagraph"/>
              <w:spacing w:line="249" w:lineRule="auto" w:before="60"/>
              <w:ind w:left="139" w:right="47"/>
              <w:rPr>
                <w:sz w:val="20"/>
              </w:rPr>
            </w:pPr>
            <w:r>
              <w:rPr>
                <w:spacing w:val="-2"/>
                <w:sz w:val="20"/>
              </w:rPr>
              <w:t>поликомпонетное иммуномодулирующее </w:t>
            </w:r>
            <w:r>
              <w:rPr>
                <w:sz w:val="20"/>
              </w:rPr>
              <w:t>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rPr>
                <w:spacing w:val="-2"/>
                <w:sz w:val="20"/>
              </w:rPr>
              <w:t>иммунодепрессантов, </w:t>
            </w:r>
            <w:r>
              <w:rPr>
                <w:sz w:val="20"/>
              </w:rPr>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w:t>
            </w:r>
          </w:p>
          <w:p>
            <w:pPr>
              <w:pStyle w:val="TableParagraph"/>
              <w:spacing w:line="249" w:lineRule="auto" w:before="12"/>
              <w:ind w:left="139" w:right="155"/>
              <w:rPr>
                <w:sz w:val="20"/>
              </w:rPr>
            </w:pPr>
            <w:r>
              <w:rPr>
                <w:sz w:val="20"/>
              </w:rPr>
              <w:t>а</w:t>
            </w:r>
            <w:r>
              <w:rPr>
                <w:spacing w:val="-13"/>
                <w:sz w:val="20"/>
              </w:rPr>
              <w:t> </w:t>
            </w:r>
            <w:r>
              <w:rPr>
                <w:sz w:val="20"/>
              </w:rPr>
              <w:t>также</w:t>
            </w:r>
            <w:r>
              <w:rPr>
                <w:spacing w:val="-12"/>
                <w:sz w:val="20"/>
              </w:rPr>
              <w:t> </w:t>
            </w:r>
            <w:r>
              <w:rPr>
                <w:sz w:val="20"/>
              </w:rPr>
              <w:t>комплекса</w:t>
            </w:r>
            <w:r>
              <w:rPr>
                <w:spacing w:val="-13"/>
                <w:sz w:val="20"/>
              </w:rPr>
              <w:t> </w:t>
            </w:r>
            <w:r>
              <w:rPr>
                <w:sz w:val="20"/>
              </w:rPr>
              <w:t>визуализирующих методов диагностики ревматических болезней (включая компьютерную томографию, магнитно-резонансную томографию, сцинтиграфию, </w:t>
            </w:r>
            <w:r>
              <w:rPr>
                <w:spacing w:val="-2"/>
                <w:sz w:val="20"/>
              </w:rPr>
              <w:t>рентгенденситометрию)</w:t>
            </w:r>
          </w:p>
        </w:tc>
      </w:tr>
      <w:tr>
        <w:trPr>
          <w:trHeight w:val="2690" w:hRule="atLeast"/>
        </w:trPr>
        <w:tc>
          <w:tcPr>
            <w:tcW w:w="2927" w:type="dxa"/>
          </w:tcPr>
          <w:p>
            <w:pPr>
              <w:pStyle w:val="TableParagraph"/>
              <w:rPr>
                <w:sz w:val="18"/>
              </w:rPr>
            </w:pPr>
          </w:p>
        </w:tc>
        <w:tc>
          <w:tcPr>
            <w:tcW w:w="1755" w:type="dxa"/>
          </w:tcPr>
          <w:p>
            <w:pPr>
              <w:pStyle w:val="TableParagraph"/>
              <w:spacing w:before="60"/>
              <w:ind w:left="183" w:right="220"/>
              <w:jc w:val="center"/>
              <w:rPr>
                <w:sz w:val="20"/>
              </w:rPr>
            </w:pPr>
            <w:r>
              <w:rPr>
                <w:sz w:val="20"/>
              </w:rPr>
              <w:t>M30,</w:t>
            </w:r>
            <w:r>
              <w:rPr>
                <w:spacing w:val="-4"/>
                <w:sz w:val="20"/>
              </w:rPr>
              <w:t> </w:t>
            </w:r>
            <w:r>
              <w:rPr>
                <w:sz w:val="20"/>
              </w:rPr>
              <w:t>M31,</w:t>
            </w:r>
            <w:r>
              <w:rPr>
                <w:spacing w:val="-4"/>
                <w:sz w:val="20"/>
              </w:rPr>
              <w:t> </w:t>
            </w:r>
            <w:r>
              <w:rPr>
                <w:spacing w:val="-5"/>
                <w:sz w:val="20"/>
              </w:rPr>
              <w:t>M32</w:t>
            </w:r>
          </w:p>
        </w:tc>
        <w:tc>
          <w:tcPr>
            <w:tcW w:w="3389" w:type="dxa"/>
          </w:tcPr>
          <w:p>
            <w:pPr>
              <w:pStyle w:val="TableParagraph"/>
              <w:spacing w:line="249" w:lineRule="auto" w:before="60"/>
              <w:ind w:left="228"/>
              <w:rPr>
                <w:sz w:val="20"/>
              </w:rPr>
            </w:pPr>
            <w:r>
              <w:rPr>
                <w:sz w:val="20"/>
              </w:rPr>
              <w:t>системная красная волчанка, узелковый полиартериит и родственные состояния, другие некротизирующие</w:t>
            </w:r>
            <w:r>
              <w:rPr>
                <w:spacing w:val="-13"/>
                <w:sz w:val="20"/>
              </w:rPr>
              <w:t> </w:t>
            </w:r>
            <w:r>
              <w:rPr>
                <w:sz w:val="20"/>
              </w:rPr>
              <w:t>васкулопатии</w:t>
            </w:r>
            <w:r>
              <w:rPr>
                <w:spacing w:val="-12"/>
                <w:sz w:val="20"/>
              </w:rPr>
              <w:t> </w:t>
            </w:r>
            <w:r>
              <w:rPr>
                <w:sz w:val="20"/>
              </w:rPr>
              <w:t>с высокой степенью активности воспалительного</w:t>
            </w:r>
            <w:r>
              <w:rPr>
                <w:spacing w:val="-10"/>
                <w:sz w:val="20"/>
              </w:rPr>
              <w:t> </w:t>
            </w:r>
            <w:r>
              <w:rPr>
                <w:sz w:val="20"/>
              </w:rPr>
              <w:t>процесса</w:t>
            </w:r>
            <w:r>
              <w:rPr>
                <w:spacing w:val="-8"/>
                <w:sz w:val="20"/>
              </w:rPr>
              <w:t> </w:t>
            </w:r>
            <w:r>
              <w:rPr>
                <w:sz w:val="20"/>
              </w:rPr>
              <w:t>и</w:t>
            </w:r>
            <w:r>
              <w:rPr>
                <w:spacing w:val="-10"/>
                <w:sz w:val="20"/>
              </w:rPr>
              <w:t> </w:t>
            </w:r>
            <w:r>
              <w:rPr>
                <w:sz w:val="20"/>
              </w:rPr>
              <w:t>(или) резистентностью к проводимому лекарственному лечению</w:t>
            </w:r>
          </w:p>
        </w:tc>
        <w:tc>
          <w:tcPr>
            <w:tcW w:w="1482" w:type="dxa"/>
          </w:tcPr>
          <w:p>
            <w:pPr>
              <w:pStyle w:val="TableParagraph"/>
              <w:spacing w:line="249" w:lineRule="auto" w:before="60"/>
              <w:ind w:left="147"/>
              <w:rPr>
                <w:sz w:val="20"/>
              </w:rPr>
            </w:pPr>
            <w:r>
              <w:rPr>
                <w:spacing w:val="-2"/>
                <w:sz w:val="20"/>
              </w:rPr>
              <w:t>терапевтичес- </w:t>
            </w:r>
            <w:r>
              <w:rPr>
                <w:sz w:val="20"/>
              </w:rPr>
              <w:t>кое лечение</w:t>
            </w:r>
          </w:p>
        </w:tc>
        <w:tc>
          <w:tcPr>
            <w:tcW w:w="3740" w:type="dxa"/>
          </w:tcPr>
          <w:p>
            <w:pPr>
              <w:pStyle w:val="TableParagraph"/>
              <w:spacing w:line="249" w:lineRule="auto" w:before="60"/>
              <w:ind w:left="139" w:right="155"/>
              <w:rPr>
                <w:sz w:val="20"/>
              </w:rPr>
            </w:pPr>
            <w:r>
              <w:rPr>
                <w:spacing w:val="-2"/>
                <w:sz w:val="20"/>
              </w:rPr>
              <w:t>поликомпонентное </w:t>
            </w:r>
            <w:r>
              <w:rPr>
                <w:sz w:val="20"/>
              </w:rPr>
              <w:t>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rPr>
                <w:spacing w:val="-2"/>
                <w:sz w:val="20"/>
              </w:rPr>
              <w:t>иммунодепрессантов, </w:t>
            </w:r>
            <w:r>
              <w:rPr>
                <w:sz w:val="20"/>
              </w:rPr>
              <w:t>экстракорпоральных</w:t>
            </w:r>
            <w:r>
              <w:rPr>
                <w:spacing w:val="-13"/>
                <w:sz w:val="20"/>
              </w:rPr>
              <w:t> </w:t>
            </w:r>
            <w:r>
              <w:rPr>
                <w:sz w:val="20"/>
              </w:rPr>
              <w:t>методов</w:t>
            </w:r>
            <w:r>
              <w:rPr>
                <w:spacing w:val="-12"/>
                <w:sz w:val="20"/>
              </w:rPr>
              <w:t> </w:t>
            </w:r>
            <w:r>
              <w:rPr>
                <w:sz w:val="20"/>
              </w:rPr>
              <w:t>очищения крови под контролем лабораторных и инструментальных методов, включая</w:t>
            </w:r>
          </w:p>
          <w:p>
            <w:pPr>
              <w:pStyle w:val="TableParagraph"/>
              <w:spacing w:line="210" w:lineRule="exact" w:before="9"/>
              <w:ind w:left="139"/>
              <w:rPr>
                <w:sz w:val="20"/>
              </w:rPr>
            </w:pPr>
            <w:r>
              <w:rPr>
                <w:w w:val="95"/>
                <w:sz w:val="20"/>
              </w:rPr>
              <w:t>иммунологические,</w:t>
            </w:r>
            <w:r>
              <w:rPr>
                <w:spacing w:val="63"/>
                <w:sz w:val="20"/>
              </w:rPr>
              <w:t> </w:t>
            </w:r>
            <w:r>
              <w:rPr>
                <w:spacing w:val="-2"/>
                <w:sz w:val="20"/>
              </w:rPr>
              <w:t>молекулярно-</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5"/>
        <w:gridCol w:w="1407"/>
        <w:gridCol w:w="3657"/>
        <w:gridCol w:w="1454"/>
        <w:gridCol w:w="3750"/>
      </w:tblGrid>
      <w:tr>
        <w:trPr>
          <w:trHeight w:val="1490" w:hRule="atLeast"/>
        </w:trPr>
        <w:tc>
          <w:tcPr>
            <w:tcW w:w="3035" w:type="dxa"/>
          </w:tcPr>
          <w:p>
            <w:pPr>
              <w:pStyle w:val="TableParagraph"/>
              <w:rPr>
                <w:sz w:val="18"/>
              </w:rPr>
            </w:pPr>
          </w:p>
        </w:tc>
        <w:tc>
          <w:tcPr>
            <w:tcW w:w="1407" w:type="dxa"/>
          </w:tcPr>
          <w:p>
            <w:pPr>
              <w:pStyle w:val="TableParagraph"/>
              <w:rPr>
                <w:sz w:val="18"/>
              </w:rPr>
            </w:pPr>
          </w:p>
        </w:tc>
        <w:tc>
          <w:tcPr>
            <w:tcW w:w="3657" w:type="dxa"/>
          </w:tcPr>
          <w:p>
            <w:pPr>
              <w:pStyle w:val="TableParagraph"/>
              <w:rPr>
                <w:sz w:val="18"/>
              </w:rPr>
            </w:pPr>
          </w:p>
        </w:tc>
        <w:tc>
          <w:tcPr>
            <w:tcW w:w="1454" w:type="dxa"/>
          </w:tcPr>
          <w:p>
            <w:pPr>
              <w:pStyle w:val="TableParagraph"/>
              <w:rPr>
                <w:sz w:val="18"/>
              </w:rPr>
            </w:pPr>
          </w:p>
        </w:tc>
        <w:tc>
          <w:tcPr>
            <w:tcW w:w="3750" w:type="dxa"/>
          </w:tcPr>
          <w:p>
            <w:pPr>
              <w:pStyle w:val="TableParagraph"/>
              <w:spacing w:line="249" w:lineRule="auto"/>
              <w:ind w:left="139" w:right="267"/>
              <w:rPr>
                <w:sz w:val="20"/>
              </w:rPr>
            </w:pPr>
            <w:r>
              <w:rPr>
                <w:sz w:val="20"/>
              </w:rPr>
              <w:t>генетические методы, а также эндоскопические, рентгенологические (компьютерная</w:t>
            </w:r>
            <w:r>
              <w:rPr>
                <w:spacing w:val="-13"/>
                <w:sz w:val="20"/>
              </w:rPr>
              <w:t> </w:t>
            </w:r>
            <w:r>
              <w:rPr>
                <w:sz w:val="20"/>
              </w:rPr>
              <w:t>томография,</w:t>
            </w:r>
            <w:r>
              <w:rPr>
                <w:spacing w:val="-12"/>
                <w:sz w:val="20"/>
              </w:rPr>
              <w:t> </w:t>
            </w:r>
            <w:r>
              <w:rPr>
                <w:sz w:val="20"/>
              </w:rPr>
              <w:t>магнитно- резонансная томография), ультразвуковые методы и радиоизотопное сканирование</w:t>
            </w:r>
          </w:p>
        </w:tc>
      </w:tr>
      <w:tr>
        <w:trPr>
          <w:trHeight w:val="3720" w:hRule="atLeast"/>
        </w:trPr>
        <w:tc>
          <w:tcPr>
            <w:tcW w:w="3035" w:type="dxa"/>
          </w:tcPr>
          <w:p>
            <w:pPr>
              <w:pStyle w:val="TableParagraph"/>
              <w:rPr>
                <w:sz w:val="18"/>
              </w:rPr>
            </w:pPr>
          </w:p>
        </w:tc>
        <w:tc>
          <w:tcPr>
            <w:tcW w:w="1407" w:type="dxa"/>
          </w:tcPr>
          <w:p>
            <w:pPr>
              <w:pStyle w:val="TableParagraph"/>
              <w:spacing w:before="60"/>
              <w:ind w:left="548" w:right="456"/>
              <w:jc w:val="center"/>
              <w:rPr>
                <w:sz w:val="20"/>
              </w:rPr>
            </w:pPr>
            <w:r>
              <w:rPr>
                <w:spacing w:val="-5"/>
                <w:sz w:val="20"/>
              </w:rPr>
              <w:t>M08</w:t>
            </w:r>
          </w:p>
        </w:tc>
        <w:tc>
          <w:tcPr>
            <w:tcW w:w="3657" w:type="dxa"/>
          </w:tcPr>
          <w:p>
            <w:pPr>
              <w:pStyle w:val="TableParagraph"/>
              <w:spacing w:line="249" w:lineRule="auto" w:before="60"/>
              <w:ind w:left="468" w:right="181"/>
              <w:rPr>
                <w:sz w:val="20"/>
              </w:rPr>
            </w:pPr>
            <w:r>
              <w:rPr>
                <w:sz w:val="20"/>
              </w:rPr>
              <w:t>ювенильный артрит с высокой степенью активности воспалительного</w:t>
            </w:r>
            <w:r>
              <w:rPr>
                <w:spacing w:val="-13"/>
                <w:sz w:val="20"/>
              </w:rPr>
              <w:t> </w:t>
            </w:r>
            <w:r>
              <w:rPr>
                <w:sz w:val="20"/>
              </w:rPr>
              <w:t>процесса</w:t>
            </w:r>
            <w:r>
              <w:rPr>
                <w:spacing w:val="-12"/>
                <w:sz w:val="20"/>
              </w:rPr>
              <w:t> </w:t>
            </w:r>
            <w:r>
              <w:rPr>
                <w:sz w:val="20"/>
              </w:rPr>
              <w:t>и</w:t>
            </w:r>
            <w:r>
              <w:rPr>
                <w:spacing w:val="-13"/>
                <w:sz w:val="20"/>
              </w:rPr>
              <w:t> </w:t>
            </w:r>
            <w:r>
              <w:rPr>
                <w:sz w:val="20"/>
              </w:rPr>
              <w:t>(или) резистентностью к проводимому лекарственному лечению</w:t>
            </w:r>
          </w:p>
        </w:tc>
        <w:tc>
          <w:tcPr>
            <w:tcW w:w="1454" w:type="dxa"/>
          </w:tcPr>
          <w:p>
            <w:pPr>
              <w:pStyle w:val="TableParagraph"/>
              <w:spacing w:line="249" w:lineRule="auto" w:before="60"/>
              <w:ind w:left="119"/>
              <w:rPr>
                <w:sz w:val="20"/>
              </w:rPr>
            </w:pPr>
            <w:r>
              <w:rPr>
                <w:spacing w:val="-2"/>
                <w:sz w:val="20"/>
              </w:rPr>
              <w:t>терапевтичес- </w:t>
            </w:r>
            <w:r>
              <w:rPr>
                <w:sz w:val="20"/>
              </w:rPr>
              <w:t>кое лечение</w:t>
            </w:r>
          </w:p>
        </w:tc>
        <w:tc>
          <w:tcPr>
            <w:tcW w:w="3750" w:type="dxa"/>
          </w:tcPr>
          <w:p>
            <w:pPr>
              <w:pStyle w:val="TableParagraph"/>
              <w:spacing w:line="249" w:lineRule="auto" w:before="60"/>
              <w:ind w:left="139" w:right="267"/>
              <w:rPr>
                <w:sz w:val="20"/>
              </w:rPr>
            </w:pPr>
            <w:r>
              <w:rPr>
                <w:spacing w:val="-2"/>
                <w:sz w:val="20"/>
              </w:rPr>
              <w:t>поликомпонентная </w:t>
            </w:r>
            <w:r>
              <w:rPr>
                <w:sz w:val="20"/>
              </w:rPr>
              <w:t>иммуномодулирующая терапия с применением генно-инженерных биологических лекарственных препаратов,</w:t>
            </w:r>
            <w:r>
              <w:rPr>
                <w:spacing w:val="-13"/>
                <w:sz w:val="20"/>
              </w:rPr>
              <w:t> </w:t>
            </w:r>
            <w:r>
              <w:rPr>
                <w:sz w:val="20"/>
              </w:rPr>
              <w:t>пульс-терапии</w:t>
            </w:r>
            <w:r>
              <w:rPr>
                <w:spacing w:val="-12"/>
                <w:sz w:val="20"/>
              </w:rPr>
              <w:t> </w:t>
            </w:r>
            <w:r>
              <w:rPr>
                <w:sz w:val="20"/>
              </w:rPr>
              <w:t>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w:t>
            </w:r>
          </w:p>
          <w:p>
            <w:pPr>
              <w:pStyle w:val="TableParagraph"/>
              <w:spacing w:line="249" w:lineRule="auto" w:before="9"/>
              <w:ind w:left="139"/>
              <w:rPr>
                <w:sz w:val="20"/>
              </w:rPr>
            </w:pPr>
            <w:r>
              <w:rPr>
                <w:sz w:val="20"/>
              </w:rPr>
              <w:t>а также эндоскопические, рентгенологические (компьютерная томография, магнитно-резонансная томография),</w:t>
            </w:r>
            <w:r>
              <w:rPr>
                <w:spacing w:val="-13"/>
                <w:sz w:val="20"/>
              </w:rPr>
              <w:t> </w:t>
            </w:r>
            <w:r>
              <w:rPr>
                <w:sz w:val="20"/>
              </w:rPr>
              <w:t>ультразвуковые</w:t>
            </w:r>
            <w:r>
              <w:rPr>
                <w:spacing w:val="-12"/>
                <w:sz w:val="20"/>
              </w:rPr>
              <w:t> </w:t>
            </w:r>
            <w:r>
              <w:rPr>
                <w:sz w:val="20"/>
              </w:rPr>
              <w:t>методы</w:t>
            </w:r>
            <w:r>
              <w:rPr>
                <w:spacing w:val="-13"/>
                <w:sz w:val="20"/>
              </w:rPr>
              <w:t> </w:t>
            </w:r>
            <w:r>
              <w:rPr>
                <w:sz w:val="20"/>
              </w:rPr>
              <w:t>и радиоизотопное сканирование</w:t>
            </w:r>
          </w:p>
        </w:tc>
      </w:tr>
      <w:tr>
        <w:trPr>
          <w:trHeight w:val="2690" w:hRule="atLeast"/>
        </w:trPr>
        <w:tc>
          <w:tcPr>
            <w:tcW w:w="3035" w:type="dxa"/>
          </w:tcPr>
          <w:p>
            <w:pPr>
              <w:pStyle w:val="TableParagraph"/>
              <w:spacing w:line="249" w:lineRule="auto" w:before="60"/>
              <w:ind w:left="50" w:right="587"/>
              <w:rPr>
                <w:sz w:val="20"/>
              </w:rPr>
            </w:pPr>
            <w:r>
              <w:rPr>
                <w:sz w:val="20"/>
              </w:rPr>
              <w:t>Поликомпонентное</w:t>
            </w:r>
            <w:r>
              <w:rPr>
                <w:spacing w:val="-13"/>
                <w:sz w:val="20"/>
              </w:rPr>
              <w:t> </w:t>
            </w:r>
            <w:r>
              <w:rPr>
                <w:sz w:val="20"/>
              </w:rPr>
              <w:t>лечение кистозного фиброза (муковисцидоза) с </w:t>
            </w:r>
            <w:r>
              <w:rPr>
                <w:spacing w:val="-2"/>
                <w:sz w:val="20"/>
              </w:rPr>
              <w:t>использованием химиотерапевтических, </w:t>
            </w:r>
            <w:r>
              <w:rPr>
                <w:sz w:val="20"/>
              </w:rPr>
              <w:t>генно-инженерных биоло- гических лекарственных препаратов, включая генетическую диагностику</w:t>
            </w:r>
          </w:p>
        </w:tc>
        <w:tc>
          <w:tcPr>
            <w:tcW w:w="1407" w:type="dxa"/>
          </w:tcPr>
          <w:p>
            <w:pPr>
              <w:pStyle w:val="TableParagraph"/>
              <w:spacing w:before="60"/>
              <w:ind w:left="548" w:right="454"/>
              <w:jc w:val="center"/>
              <w:rPr>
                <w:sz w:val="20"/>
              </w:rPr>
            </w:pPr>
            <w:r>
              <w:rPr>
                <w:spacing w:val="-5"/>
                <w:sz w:val="20"/>
              </w:rPr>
              <w:t>E84</w:t>
            </w:r>
          </w:p>
        </w:tc>
        <w:tc>
          <w:tcPr>
            <w:tcW w:w="3657" w:type="dxa"/>
          </w:tcPr>
          <w:p>
            <w:pPr>
              <w:pStyle w:val="TableParagraph"/>
              <w:spacing w:line="249" w:lineRule="auto" w:before="60"/>
              <w:ind w:left="468" w:right="35"/>
              <w:rPr>
                <w:sz w:val="20"/>
              </w:rPr>
            </w:pPr>
            <w:r>
              <w:rPr>
                <w:sz w:val="20"/>
              </w:rPr>
              <w:t>кистозный фиброз. Кистозный фиброз</w:t>
            </w:r>
            <w:r>
              <w:rPr>
                <w:spacing w:val="-13"/>
                <w:sz w:val="20"/>
              </w:rPr>
              <w:t> </w:t>
            </w:r>
            <w:r>
              <w:rPr>
                <w:sz w:val="20"/>
              </w:rPr>
              <w:t>с</w:t>
            </w:r>
            <w:r>
              <w:rPr>
                <w:spacing w:val="-12"/>
                <w:sz w:val="20"/>
              </w:rPr>
              <w:t> </w:t>
            </w:r>
            <w:r>
              <w:rPr>
                <w:sz w:val="20"/>
              </w:rPr>
              <w:t>легочными</w:t>
            </w:r>
            <w:r>
              <w:rPr>
                <w:spacing w:val="-13"/>
                <w:sz w:val="20"/>
              </w:rPr>
              <w:t> </w:t>
            </w:r>
            <w:r>
              <w:rPr>
                <w:sz w:val="20"/>
              </w:rPr>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w:t>
            </w:r>
          </w:p>
          <w:p>
            <w:pPr>
              <w:pStyle w:val="TableParagraph"/>
              <w:spacing w:line="240" w:lineRule="exact"/>
              <w:ind w:left="468" w:right="181"/>
              <w:rPr>
                <w:sz w:val="20"/>
              </w:rPr>
            </w:pPr>
            <w:r>
              <w:rPr>
                <w:sz w:val="20"/>
              </w:rPr>
              <w:t>Кистозный фиброз с другими проявлениями, дыхательной недостаточностью</w:t>
            </w:r>
            <w:r>
              <w:rPr>
                <w:spacing w:val="-13"/>
                <w:sz w:val="20"/>
              </w:rPr>
              <w:t> </w:t>
            </w:r>
            <w:r>
              <w:rPr>
                <w:sz w:val="20"/>
              </w:rPr>
              <w:t>и</w:t>
            </w:r>
            <w:r>
              <w:rPr>
                <w:spacing w:val="-12"/>
                <w:sz w:val="20"/>
              </w:rPr>
              <w:t> </w:t>
            </w:r>
            <w:r>
              <w:rPr>
                <w:sz w:val="20"/>
              </w:rPr>
              <w:t>синдромом </w:t>
            </w:r>
            <w:r>
              <w:rPr>
                <w:spacing w:val="-2"/>
                <w:sz w:val="20"/>
              </w:rPr>
              <w:t>мальабсорбции</w:t>
            </w:r>
          </w:p>
        </w:tc>
        <w:tc>
          <w:tcPr>
            <w:tcW w:w="1454" w:type="dxa"/>
          </w:tcPr>
          <w:p>
            <w:pPr>
              <w:pStyle w:val="TableParagraph"/>
              <w:spacing w:line="249" w:lineRule="auto" w:before="60"/>
              <w:ind w:left="119"/>
              <w:rPr>
                <w:sz w:val="20"/>
              </w:rPr>
            </w:pPr>
            <w:r>
              <w:rPr>
                <w:spacing w:val="-2"/>
                <w:sz w:val="20"/>
              </w:rPr>
              <w:t>терапевтичес- </w:t>
            </w:r>
            <w:r>
              <w:rPr>
                <w:sz w:val="20"/>
              </w:rPr>
              <w:t>кое лечение</w:t>
            </w:r>
          </w:p>
        </w:tc>
        <w:tc>
          <w:tcPr>
            <w:tcW w:w="3750" w:type="dxa"/>
          </w:tcPr>
          <w:p>
            <w:pPr>
              <w:pStyle w:val="TableParagraph"/>
              <w:spacing w:line="249" w:lineRule="auto" w:before="60"/>
              <w:ind w:left="139"/>
              <w:rPr>
                <w:sz w:val="20"/>
              </w:rPr>
            </w:pPr>
            <w:r>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 инженерных биологических лекарственных препаратов; методов лечения, направленных на улучшение дренажной функции бронхов (физиотерапия,</w:t>
            </w:r>
            <w:r>
              <w:rPr>
                <w:spacing w:val="-13"/>
                <w:sz w:val="20"/>
              </w:rPr>
              <w:t> </w:t>
            </w:r>
            <w:r>
              <w:rPr>
                <w:sz w:val="20"/>
              </w:rPr>
              <w:t>кинезо-</w:t>
            </w:r>
            <w:r>
              <w:rPr>
                <w:spacing w:val="-12"/>
                <w:sz w:val="20"/>
              </w:rPr>
              <w:t> </w:t>
            </w:r>
            <w:r>
              <w:rPr>
                <w:sz w:val="20"/>
              </w:rPr>
              <w:t>и</w:t>
            </w:r>
            <w:r>
              <w:rPr>
                <w:spacing w:val="-13"/>
                <w:sz w:val="20"/>
              </w:rPr>
              <w:t> </w:t>
            </w:r>
            <w:r>
              <w:rPr>
                <w:sz w:val="20"/>
              </w:rPr>
              <w:t>механотерапия)</w:t>
            </w:r>
          </w:p>
          <w:p>
            <w:pPr>
              <w:pStyle w:val="TableParagraph"/>
              <w:spacing w:line="210" w:lineRule="exact" w:before="9"/>
              <w:ind w:left="139"/>
              <w:rPr>
                <w:sz w:val="20"/>
              </w:rPr>
            </w:pPr>
            <w:r>
              <w:rPr>
                <w:sz w:val="20"/>
              </w:rPr>
              <w:t>с</w:t>
            </w:r>
            <w:r>
              <w:rPr>
                <w:spacing w:val="-5"/>
                <w:sz w:val="20"/>
              </w:rPr>
              <w:t> </w:t>
            </w:r>
            <w:r>
              <w:rPr>
                <w:sz w:val="20"/>
              </w:rPr>
              <w:t>учетом</w:t>
            </w:r>
            <w:r>
              <w:rPr>
                <w:spacing w:val="-3"/>
                <w:sz w:val="20"/>
              </w:rPr>
              <w:t> </w:t>
            </w:r>
            <w:r>
              <w:rPr>
                <w:spacing w:val="-2"/>
                <w:sz w:val="20"/>
              </w:rPr>
              <w:t>резистентности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7"/>
        <w:gridCol w:w="2098"/>
        <w:gridCol w:w="3332"/>
        <w:gridCol w:w="1417"/>
        <w:gridCol w:w="3752"/>
      </w:tblGrid>
      <w:tr>
        <w:trPr>
          <w:trHeight w:val="4611" w:hRule="atLeast"/>
        </w:trPr>
        <w:tc>
          <w:tcPr>
            <w:tcW w:w="2707" w:type="dxa"/>
          </w:tcPr>
          <w:p>
            <w:pPr>
              <w:pStyle w:val="TableParagraph"/>
              <w:rPr>
                <w:sz w:val="18"/>
              </w:rPr>
            </w:pPr>
          </w:p>
        </w:tc>
        <w:tc>
          <w:tcPr>
            <w:tcW w:w="2098" w:type="dxa"/>
          </w:tcPr>
          <w:p>
            <w:pPr>
              <w:pStyle w:val="TableParagraph"/>
              <w:rPr>
                <w:sz w:val="18"/>
              </w:rPr>
            </w:pPr>
          </w:p>
        </w:tc>
        <w:tc>
          <w:tcPr>
            <w:tcW w:w="3332" w:type="dxa"/>
          </w:tcPr>
          <w:p>
            <w:pPr>
              <w:pStyle w:val="TableParagraph"/>
              <w:rPr>
                <w:sz w:val="18"/>
              </w:rPr>
            </w:pPr>
          </w:p>
        </w:tc>
        <w:tc>
          <w:tcPr>
            <w:tcW w:w="1417" w:type="dxa"/>
          </w:tcPr>
          <w:p>
            <w:pPr>
              <w:pStyle w:val="TableParagraph"/>
              <w:rPr>
                <w:sz w:val="18"/>
              </w:rPr>
            </w:pPr>
          </w:p>
        </w:tc>
        <w:tc>
          <w:tcPr>
            <w:tcW w:w="3752" w:type="dxa"/>
          </w:tcPr>
          <w:p>
            <w:pPr>
              <w:pStyle w:val="TableParagraph"/>
              <w:spacing w:line="249" w:lineRule="auto"/>
              <w:ind w:left="138" w:right="50"/>
              <w:rPr>
                <w:sz w:val="20"/>
              </w:rPr>
            </w:pPr>
            <w:r>
              <w:rPr>
                <w:sz w:val="20"/>
              </w:rPr>
              <w:t>патологического агента,</w:t>
            </w:r>
            <w:r>
              <w:rPr>
                <w:spacing w:val="40"/>
                <w:sz w:val="20"/>
              </w:rPr>
              <w:t> </w:t>
            </w:r>
            <w:r>
              <w:rPr>
                <w:sz w:val="20"/>
              </w:rPr>
              <w:t>эндоскопической</w:t>
            </w:r>
            <w:r>
              <w:rPr>
                <w:spacing w:val="-13"/>
                <w:sz w:val="20"/>
              </w:rPr>
              <w:t> </w:t>
            </w:r>
            <w:r>
              <w:rPr>
                <w:sz w:val="20"/>
              </w:rPr>
              <w:t>санации</w:t>
            </w:r>
            <w:r>
              <w:rPr>
                <w:spacing w:val="-12"/>
                <w:sz w:val="20"/>
              </w:rPr>
              <w:t> </w:t>
            </w:r>
            <w:r>
              <w:rPr>
                <w:sz w:val="20"/>
              </w:rPr>
              <w:t>бронхиального дерева и введением химиотерапевтических и генно- 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w:t>
            </w:r>
            <w:r>
              <w:rPr>
                <w:spacing w:val="-13"/>
                <w:sz w:val="20"/>
              </w:rPr>
              <w:t> </w:t>
            </w:r>
            <w:r>
              <w:rPr>
                <w:sz w:val="20"/>
              </w:rPr>
              <w:t>нарушений</w:t>
            </w:r>
            <w:r>
              <w:rPr>
                <w:spacing w:val="-12"/>
                <w:sz w:val="20"/>
              </w:rPr>
              <w:t> </w:t>
            </w:r>
            <w:r>
              <w:rPr>
                <w:sz w:val="20"/>
              </w:rPr>
              <w:t>структуры</w:t>
            </w:r>
            <w:r>
              <w:rPr>
                <w:spacing w:val="-13"/>
                <w:sz w:val="20"/>
              </w:rPr>
              <w:t> </w:t>
            </w:r>
            <w:r>
              <w:rPr>
                <w:sz w:val="20"/>
              </w:rPr>
              <w:t>паренхимы печени,</w:t>
            </w:r>
            <w:r>
              <w:rPr>
                <w:spacing w:val="-5"/>
                <w:sz w:val="20"/>
              </w:rPr>
              <w:t> </w:t>
            </w:r>
            <w:r>
              <w:rPr>
                <w:sz w:val="20"/>
              </w:rPr>
              <w:t>биохимические,</w:t>
            </w:r>
            <w:r>
              <w:rPr>
                <w:spacing w:val="-5"/>
                <w:sz w:val="20"/>
              </w:rPr>
              <w:t> </w:t>
            </w:r>
            <w:r>
              <w:rPr>
                <w:sz w:val="20"/>
              </w:rPr>
              <w:t>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trPr>
          <w:trHeight w:val="3170" w:hRule="atLeast"/>
        </w:trPr>
        <w:tc>
          <w:tcPr>
            <w:tcW w:w="2707" w:type="dxa"/>
          </w:tcPr>
          <w:p>
            <w:pPr>
              <w:pStyle w:val="TableParagraph"/>
              <w:spacing w:line="249" w:lineRule="auto" w:before="60"/>
              <w:ind w:left="50" w:right="161"/>
              <w:rPr>
                <w:sz w:val="20"/>
              </w:rPr>
            </w:pPr>
            <w:r>
              <w:rPr>
                <w:sz w:val="20"/>
              </w:rPr>
              <w:t>Поликомпонентное лечение </w:t>
            </w:r>
            <w:r>
              <w:rPr>
                <w:spacing w:val="-2"/>
                <w:sz w:val="20"/>
              </w:rPr>
              <w:t>врожденных </w:t>
            </w:r>
            <w:r>
              <w:rPr>
                <w:sz w:val="20"/>
              </w:rPr>
              <w:t>иммунодефицитов с </w:t>
            </w:r>
            <w:r>
              <w:rPr>
                <w:spacing w:val="-2"/>
                <w:sz w:val="20"/>
              </w:rPr>
              <w:t>применением </w:t>
            </w:r>
            <w:r>
              <w:rPr>
                <w:sz w:val="20"/>
              </w:rPr>
              <w:t>химиотерапевтических и </w:t>
            </w:r>
            <w:r>
              <w:rPr>
                <w:spacing w:val="-2"/>
                <w:sz w:val="20"/>
              </w:rPr>
              <w:t>генно-инженерных биологических </w:t>
            </w:r>
            <w:r>
              <w:rPr>
                <w:sz w:val="20"/>
              </w:rPr>
              <w:t>лекарственных препаратов, под</w:t>
            </w:r>
            <w:r>
              <w:rPr>
                <w:spacing w:val="-13"/>
                <w:sz w:val="20"/>
              </w:rPr>
              <w:t> </w:t>
            </w:r>
            <w:r>
              <w:rPr>
                <w:sz w:val="20"/>
              </w:rPr>
              <w:t>контролем</w:t>
            </w:r>
            <w:r>
              <w:rPr>
                <w:spacing w:val="-12"/>
                <w:sz w:val="20"/>
              </w:rPr>
              <w:t> </w:t>
            </w:r>
            <w:r>
              <w:rPr>
                <w:sz w:val="20"/>
              </w:rPr>
              <w:t>молекулярно- </w:t>
            </w:r>
            <w:r>
              <w:rPr>
                <w:spacing w:val="-2"/>
                <w:sz w:val="20"/>
              </w:rPr>
              <w:t>генетических, </w:t>
            </w:r>
            <w:r>
              <w:rPr>
                <w:sz w:val="20"/>
              </w:rPr>
              <w:t>иммунологических и цитологических методов</w:t>
            </w:r>
          </w:p>
          <w:p>
            <w:pPr>
              <w:pStyle w:val="TableParagraph"/>
              <w:spacing w:line="210" w:lineRule="exact" w:before="11"/>
              <w:ind w:left="50"/>
              <w:rPr>
                <w:sz w:val="20"/>
              </w:rPr>
            </w:pPr>
            <w:r>
              <w:rPr>
                <w:spacing w:val="-2"/>
                <w:sz w:val="20"/>
              </w:rPr>
              <w:t>обследования</w:t>
            </w:r>
          </w:p>
        </w:tc>
        <w:tc>
          <w:tcPr>
            <w:tcW w:w="2098" w:type="dxa"/>
          </w:tcPr>
          <w:p>
            <w:pPr>
              <w:pStyle w:val="TableParagraph"/>
              <w:spacing w:line="249" w:lineRule="auto" w:before="60"/>
              <w:ind w:left="163" w:firstLine="120"/>
              <w:rPr>
                <w:sz w:val="20"/>
              </w:rPr>
            </w:pPr>
            <w:r>
              <w:rPr>
                <w:sz w:val="20"/>
              </w:rPr>
              <w:t>D80, D81.0, D81.1, D81.2,</w:t>
            </w:r>
            <w:r>
              <w:rPr>
                <w:spacing w:val="-13"/>
                <w:sz w:val="20"/>
              </w:rPr>
              <w:t> </w:t>
            </w:r>
            <w:r>
              <w:rPr>
                <w:sz w:val="20"/>
              </w:rPr>
              <w:t>D82,</w:t>
            </w:r>
            <w:r>
              <w:rPr>
                <w:spacing w:val="-12"/>
                <w:sz w:val="20"/>
              </w:rPr>
              <w:t> </w:t>
            </w:r>
            <w:r>
              <w:rPr>
                <w:sz w:val="20"/>
              </w:rPr>
              <w:t>D83,</w:t>
            </w:r>
            <w:r>
              <w:rPr>
                <w:spacing w:val="-13"/>
                <w:sz w:val="20"/>
              </w:rPr>
              <w:t> </w:t>
            </w:r>
            <w:r>
              <w:rPr>
                <w:sz w:val="20"/>
              </w:rPr>
              <w:t>D84</w:t>
            </w:r>
          </w:p>
        </w:tc>
        <w:tc>
          <w:tcPr>
            <w:tcW w:w="3332" w:type="dxa"/>
          </w:tcPr>
          <w:p>
            <w:pPr>
              <w:pStyle w:val="TableParagraph"/>
              <w:spacing w:line="249" w:lineRule="auto" w:before="60"/>
              <w:ind w:left="105" w:right="80"/>
              <w:rPr>
                <w:sz w:val="20"/>
              </w:rPr>
            </w:pPr>
            <w:r>
              <w:rPr>
                <w:sz w:val="20"/>
              </w:rPr>
              <w:t>иммунодефициты с </w:t>
            </w:r>
            <w:r>
              <w:rPr>
                <w:spacing w:val="-2"/>
                <w:sz w:val="20"/>
              </w:rPr>
              <w:t>преимущественной </w:t>
            </w:r>
            <w:r>
              <w:rPr>
                <w:sz w:val="20"/>
              </w:rPr>
              <w:t>недостаточностью антител, </w:t>
            </w:r>
            <w:r>
              <w:rPr>
                <w:spacing w:val="-2"/>
                <w:sz w:val="20"/>
              </w:rPr>
              <w:t>наследственная гипогаммаглобулинемия,</w:t>
            </w:r>
            <w:r>
              <w:rPr>
                <w:spacing w:val="80"/>
                <w:sz w:val="20"/>
              </w:rPr>
              <w:t> </w:t>
            </w:r>
            <w:r>
              <w:rPr>
                <w:spacing w:val="-2"/>
                <w:sz w:val="20"/>
              </w:rPr>
              <w:t>несемейная</w:t>
            </w:r>
            <w:r>
              <w:rPr>
                <w:spacing w:val="80"/>
                <w:sz w:val="20"/>
              </w:rPr>
              <w:t> </w:t>
            </w:r>
            <w:r>
              <w:rPr>
                <w:spacing w:val="-2"/>
                <w:sz w:val="20"/>
              </w:rPr>
              <w:t>гипогаммаглобулинемия, </w:t>
            </w:r>
            <w:r>
              <w:rPr>
                <w:sz w:val="20"/>
              </w:rPr>
              <w:t>избирательный дефицит иммуноглобулина</w:t>
            </w:r>
            <w:r>
              <w:rPr>
                <w:spacing w:val="-13"/>
                <w:sz w:val="20"/>
              </w:rPr>
              <w:t> </w:t>
            </w:r>
            <w:r>
              <w:rPr>
                <w:sz w:val="20"/>
              </w:rPr>
              <w:t>A,</w:t>
            </w:r>
            <w:r>
              <w:rPr>
                <w:spacing w:val="-12"/>
                <w:sz w:val="20"/>
              </w:rPr>
              <w:t> </w:t>
            </w:r>
            <w:r>
              <w:rPr>
                <w:sz w:val="20"/>
              </w:rPr>
              <w:t>избирательный дефицит подклассов иммуноглобулина</w:t>
            </w:r>
            <w:r>
              <w:rPr>
                <w:spacing w:val="-13"/>
                <w:sz w:val="20"/>
              </w:rPr>
              <w:t> </w:t>
            </w:r>
            <w:r>
              <w:rPr>
                <w:sz w:val="20"/>
              </w:rPr>
              <w:t>G,</w:t>
            </w:r>
            <w:r>
              <w:rPr>
                <w:spacing w:val="-12"/>
                <w:sz w:val="20"/>
              </w:rPr>
              <w:t> </w:t>
            </w:r>
            <w:r>
              <w:rPr>
                <w:sz w:val="20"/>
              </w:rPr>
              <w:t>избирательный дефицит иммуноглобулина M,</w:t>
            </w:r>
          </w:p>
          <w:p>
            <w:pPr>
              <w:pStyle w:val="TableParagraph"/>
              <w:spacing w:line="210" w:lineRule="exact" w:before="11"/>
              <w:ind w:left="105"/>
              <w:rPr>
                <w:sz w:val="20"/>
              </w:rPr>
            </w:pPr>
            <w:r>
              <w:rPr>
                <w:sz w:val="20"/>
              </w:rPr>
              <w:t>иммунодефицит</w:t>
            </w:r>
            <w:r>
              <w:rPr>
                <w:spacing w:val="-9"/>
                <w:sz w:val="20"/>
              </w:rPr>
              <w:t> </w:t>
            </w:r>
            <w:r>
              <w:rPr>
                <w:sz w:val="20"/>
              </w:rPr>
              <w:t>с</w:t>
            </w:r>
            <w:r>
              <w:rPr>
                <w:spacing w:val="-8"/>
                <w:sz w:val="20"/>
              </w:rPr>
              <w:t> </w:t>
            </w:r>
            <w:r>
              <w:rPr>
                <w:spacing w:val="-2"/>
                <w:sz w:val="20"/>
              </w:rPr>
              <w:t>повышенным</w:t>
            </w:r>
          </w:p>
        </w:tc>
        <w:tc>
          <w:tcPr>
            <w:tcW w:w="1417" w:type="dxa"/>
          </w:tcPr>
          <w:p>
            <w:pPr>
              <w:pStyle w:val="TableParagraph"/>
              <w:spacing w:line="249" w:lineRule="auto" w:before="60"/>
              <w:ind w:left="81"/>
              <w:rPr>
                <w:sz w:val="20"/>
              </w:rPr>
            </w:pPr>
            <w:r>
              <w:rPr>
                <w:spacing w:val="-2"/>
                <w:sz w:val="20"/>
              </w:rPr>
              <w:t>терапевтичес- </w:t>
            </w:r>
            <w:r>
              <w:rPr>
                <w:sz w:val="20"/>
              </w:rPr>
              <w:t>кое лечение</w:t>
            </w:r>
          </w:p>
        </w:tc>
        <w:tc>
          <w:tcPr>
            <w:tcW w:w="3752" w:type="dxa"/>
          </w:tcPr>
          <w:p>
            <w:pPr>
              <w:pStyle w:val="TableParagraph"/>
              <w:spacing w:line="249" w:lineRule="auto" w:before="60"/>
              <w:ind w:left="138" w:right="23"/>
              <w:rPr>
                <w:sz w:val="20"/>
              </w:rPr>
            </w:pPr>
            <w:r>
              <w:rPr>
                <w:sz w:val="20"/>
              </w:rPr>
              <w:t>поликомпонентное</w:t>
            </w:r>
            <w:r>
              <w:rPr>
                <w:spacing w:val="-13"/>
                <w:sz w:val="20"/>
              </w:rPr>
              <w:t> </w:t>
            </w:r>
            <w:r>
              <w:rPr>
                <w:sz w:val="20"/>
              </w:rPr>
              <w:t>лечение</w:t>
            </w:r>
            <w:r>
              <w:rPr>
                <w:spacing w:val="-12"/>
                <w:sz w:val="20"/>
              </w:rPr>
              <w:t> </w:t>
            </w:r>
            <w:r>
              <w:rPr>
                <w:sz w:val="20"/>
              </w:rPr>
              <w:t>врожденных иммунодефицитов с применением химиотерапевтических и генно- 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1"/>
        <w:gridCol w:w="1785"/>
        <w:gridCol w:w="3481"/>
        <w:gridCol w:w="1416"/>
        <w:gridCol w:w="3692"/>
      </w:tblGrid>
      <w:tr>
        <w:trPr>
          <w:trHeight w:val="4131" w:hRule="atLeast"/>
        </w:trPr>
        <w:tc>
          <w:tcPr>
            <w:tcW w:w="2871" w:type="dxa"/>
          </w:tcPr>
          <w:p>
            <w:pPr>
              <w:pStyle w:val="TableParagraph"/>
              <w:rPr>
                <w:sz w:val="18"/>
              </w:rPr>
            </w:pPr>
          </w:p>
        </w:tc>
        <w:tc>
          <w:tcPr>
            <w:tcW w:w="1785" w:type="dxa"/>
          </w:tcPr>
          <w:p>
            <w:pPr>
              <w:pStyle w:val="TableParagraph"/>
              <w:rPr>
                <w:sz w:val="18"/>
              </w:rPr>
            </w:pPr>
          </w:p>
        </w:tc>
        <w:tc>
          <w:tcPr>
            <w:tcW w:w="3481" w:type="dxa"/>
          </w:tcPr>
          <w:p>
            <w:pPr>
              <w:pStyle w:val="TableParagraph"/>
              <w:spacing w:line="249" w:lineRule="auto"/>
              <w:ind w:left="255" w:right="82"/>
              <w:rPr>
                <w:sz w:val="20"/>
              </w:rPr>
            </w:pPr>
            <w:r>
              <w:rPr>
                <w:sz w:val="20"/>
              </w:rPr>
              <w:t>содержанием иммуноглобулина M, недостаточность антител с близким к</w:t>
            </w:r>
            <w:r>
              <w:rPr>
                <w:spacing w:val="-13"/>
                <w:sz w:val="20"/>
              </w:rPr>
              <w:t> </w:t>
            </w:r>
            <w:r>
              <w:rPr>
                <w:sz w:val="20"/>
              </w:rPr>
              <w:t>норме</w:t>
            </w:r>
            <w:r>
              <w:rPr>
                <w:spacing w:val="-12"/>
                <w:sz w:val="20"/>
              </w:rPr>
              <w:t> </w:t>
            </w:r>
            <w:r>
              <w:rPr>
                <w:sz w:val="20"/>
              </w:rPr>
              <w:t>уровнем</w:t>
            </w:r>
            <w:r>
              <w:rPr>
                <w:spacing w:val="-13"/>
                <w:sz w:val="20"/>
              </w:rPr>
              <w:t> </w:t>
            </w:r>
            <w:r>
              <w:rPr>
                <w:sz w:val="20"/>
              </w:rPr>
              <w:t>иммуноглобулинов или с гипериммуноглобулинемией. </w:t>
            </w:r>
            <w:r>
              <w:rPr>
                <w:spacing w:val="-2"/>
                <w:sz w:val="20"/>
              </w:rPr>
              <w:t>Преходящая </w:t>
            </w:r>
            <w:r>
              <w:rPr>
                <w:sz w:val="20"/>
              </w:rPr>
              <w:t>гипогаммаглобулинемия детей.</w:t>
            </w:r>
          </w:p>
          <w:p>
            <w:pPr>
              <w:pStyle w:val="TableParagraph"/>
              <w:spacing w:line="249" w:lineRule="auto"/>
              <w:ind w:left="255" w:right="59"/>
              <w:rPr>
                <w:sz w:val="20"/>
              </w:rPr>
            </w:pPr>
            <w:r>
              <w:rPr>
                <w:spacing w:val="-2"/>
                <w:sz w:val="20"/>
              </w:rPr>
              <w:t>Комбинированные</w:t>
            </w:r>
            <w:r>
              <w:rPr>
                <w:spacing w:val="40"/>
                <w:sz w:val="20"/>
              </w:rPr>
              <w:t> </w:t>
            </w:r>
            <w:r>
              <w:rPr>
                <w:sz w:val="20"/>
              </w:rPr>
              <w:t>иммунодефициты. Тяжелый комбинированный</w:t>
            </w:r>
            <w:r>
              <w:rPr>
                <w:spacing w:val="-13"/>
                <w:sz w:val="20"/>
              </w:rPr>
              <w:t> </w:t>
            </w:r>
            <w:r>
              <w:rPr>
                <w:sz w:val="20"/>
              </w:rPr>
              <w:t>иммунодефицит</w:t>
            </w:r>
            <w:r>
              <w:rPr>
                <w:spacing w:val="-12"/>
                <w:sz w:val="20"/>
              </w:rPr>
              <w:t> </w:t>
            </w:r>
            <w:r>
              <w:rPr>
                <w:sz w:val="20"/>
              </w:rPr>
              <w:t>с ретикулярным</w:t>
            </w:r>
            <w:r>
              <w:rPr>
                <w:spacing w:val="-8"/>
                <w:sz w:val="20"/>
              </w:rPr>
              <w:t> </w:t>
            </w:r>
            <w:r>
              <w:rPr>
                <w:sz w:val="20"/>
              </w:rPr>
              <w:t>дисгенезом.</w:t>
            </w:r>
            <w:r>
              <w:rPr>
                <w:spacing w:val="-9"/>
                <w:sz w:val="20"/>
              </w:rPr>
              <w:t> </w:t>
            </w:r>
            <w:r>
              <w:rPr>
                <w:sz w:val="20"/>
              </w:rPr>
              <w:t>Тяжелый комбинированный</w:t>
            </w:r>
            <w:r>
              <w:rPr>
                <w:spacing w:val="-13"/>
                <w:sz w:val="20"/>
              </w:rPr>
              <w:t> </w:t>
            </w:r>
            <w:r>
              <w:rPr>
                <w:sz w:val="20"/>
              </w:rPr>
              <w:t>иммунодефицит</w:t>
            </w:r>
            <w:r>
              <w:rPr>
                <w:spacing w:val="-12"/>
                <w:sz w:val="20"/>
              </w:rPr>
              <w:t> </w:t>
            </w:r>
            <w:r>
              <w:rPr>
                <w:sz w:val="20"/>
              </w:rPr>
              <w:t>с низким содержанием T- и B-клеток. Тяжелый комбинированный иммунодефицит с низким или нормальным</w:t>
            </w:r>
            <w:r>
              <w:rPr>
                <w:spacing w:val="-6"/>
                <w:sz w:val="20"/>
              </w:rPr>
              <w:t> </w:t>
            </w:r>
            <w:r>
              <w:rPr>
                <w:sz w:val="20"/>
              </w:rPr>
              <w:t>содержанием</w:t>
            </w:r>
            <w:r>
              <w:rPr>
                <w:spacing w:val="-6"/>
                <w:sz w:val="20"/>
              </w:rPr>
              <w:t> </w:t>
            </w:r>
            <w:r>
              <w:rPr>
                <w:sz w:val="20"/>
              </w:rPr>
              <w:t>B-клеток. Общий вариабельный </w:t>
            </w:r>
            <w:r>
              <w:rPr>
                <w:spacing w:val="-2"/>
                <w:sz w:val="20"/>
              </w:rPr>
              <w:t>иммунодефицит</w:t>
            </w:r>
          </w:p>
        </w:tc>
        <w:tc>
          <w:tcPr>
            <w:tcW w:w="1416" w:type="dxa"/>
          </w:tcPr>
          <w:p>
            <w:pPr>
              <w:pStyle w:val="TableParagraph"/>
              <w:rPr>
                <w:sz w:val="18"/>
              </w:rPr>
            </w:pPr>
          </w:p>
        </w:tc>
        <w:tc>
          <w:tcPr>
            <w:tcW w:w="3692" w:type="dxa"/>
          </w:tcPr>
          <w:p>
            <w:pPr>
              <w:pStyle w:val="TableParagraph"/>
              <w:rPr>
                <w:sz w:val="18"/>
              </w:rPr>
            </w:pPr>
          </w:p>
        </w:tc>
      </w:tr>
      <w:tr>
        <w:trPr>
          <w:trHeight w:val="3240" w:hRule="atLeast"/>
        </w:trPr>
        <w:tc>
          <w:tcPr>
            <w:tcW w:w="2871" w:type="dxa"/>
            <w:vMerge w:val="restart"/>
          </w:tcPr>
          <w:p>
            <w:pPr>
              <w:pStyle w:val="TableParagraph"/>
              <w:spacing w:line="249" w:lineRule="auto" w:before="60"/>
              <w:ind w:left="50" w:right="205"/>
              <w:rPr>
                <w:sz w:val="20"/>
              </w:rPr>
            </w:pPr>
            <w:r>
              <w:rPr>
                <w:sz w:val="20"/>
              </w:rPr>
              <w:t>Поликомпонентное лечение наследственных нефритов, </w:t>
            </w:r>
            <w:r>
              <w:rPr>
                <w:spacing w:val="-2"/>
                <w:sz w:val="20"/>
              </w:rPr>
              <w:t>тубулопатий, </w:t>
            </w:r>
            <w:r>
              <w:rPr>
                <w:sz w:val="20"/>
              </w:rPr>
              <w:t>стероидрезистентного и </w:t>
            </w:r>
            <w:r>
              <w:rPr>
                <w:spacing w:val="-2"/>
                <w:sz w:val="20"/>
              </w:rPr>
              <w:t>стероидзависимого </w:t>
            </w:r>
            <w:r>
              <w:rPr>
                <w:sz w:val="20"/>
              </w:rPr>
              <w:t>нефротических синдромов с </w:t>
            </w:r>
            <w:r>
              <w:rPr>
                <w:spacing w:val="-2"/>
                <w:sz w:val="20"/>
              </w:rPr>
              <w:t>применением </w:t>
            </w:r>
            <w:r>
              <w:rPr>
                <w:sz w:val="20"/>
              </w:rPr>
              <w:t>иммуносупрессивных</w:t>
            </w:r>
            <w:r>
              <w:rPr>
                <w:spacing w:val="-13"/>
                <w:sz w:val="20"/>
              </w:rPr>
              <w:t> </w:t>
            </w:r>
            <w:r>
              <w:rPr>
                <w:sz w:val="20"/>
              </w:rPr>
              <w:t>и</w:t>
            </w:r>
            <w:r>
              <w:rPr>
                <w:spacing w:val="-12"/>
                <w:sz w:val="20"/>
              </w:rPr>
              <w:t> </w:t>
            </w:r>
            <w:r>
              <w:rPr>
                <w:sz w:val="20"/>
              </w:rPr>
              <w:t>(или) </w:t>
            </w:r>
            <w:r>
              <w:rPr>
                <w:spacing w:val="-2"/>
                <w:sz w:val="20"/>
              </w:rPr>
              <w:t>ренопротективных </w:t>
            </w:r>
            <w:r>
              <w:rPr>
                <w:sz w:val="20"/>
              </w:rPr>
              <w:t>лекарственных препаратов с </w:t>
            </w:r>
            <w:r>
              <w:rPr>
                <w:spacing w:val="-2"/>
                <w:sz w:val="20"/>
              </w:rPr>
              <w:t>морфологическим </w:t>
            </w:r>
            <w:r>
              <w:rPr>
                <w:sz w:val="20"/>
              </w:rPr>
              <w:t>исследованием почечной ткани (методами световой, электронной микроскопии и иммунофлюоросценции) и</w:t>
            </w:r>
          </w:p>
        </w:tc>
        <w:tc>
          <w:tcPr>
            <w:tcW w:w="1785" w:type="dxa"/>
          </w:tcPr>
          <w:p>
            <w:pPr>
              <w:pStyle w:val="TableParagraph"/>
              <w:spacing w:before="60"/>
              <w:ind w:left="296"/>
              <w:rPr>
                <w:sz w:val="20"/>
              </w:rPr>
            </w:pPr>
            <w:r>
              <w:rPr>
                <w:sz w:val="20"/>
              </w:rPr>
              <w:t>N04,</w:t>
            </w:r>
            <w:r>
              <w:rPr>
                <w:spacing w:val="-2"/>
                <w:sz w:val="20"/>
              </w:rPr>
              <w:t> </w:t>
            </w:r>
            <w:r>
              <w:rPr>
                <w:sz w:val="20"/>
              </w:rPr>
              <w:t>N07,</w:t>
            </w:r>
            <w:r>
              <w:rPr>
                <w:spacing w:val="-4"/>
                <w:sz w:val="20"/>
              </w:rPr>
              <w:t> </w:t>
            </w:r>
            <w:r>
              <w:rPr>
                <w:spacing w:val="-5"/>
                <w:sz w:val="20"/>
              </w:rPr>
              <w:t>N25</w:t>
            </w:r>
          </w:p>
        </w:tc>
        <w:tc>
          <w:tcPr>
            <w:tcW w:w="3481" w:type="dxa"/>
            <w:vMerge w:val="restart"/>
          </w:tcPr>
          <w:p>
            <w:pPr>
              <w:pStyle w:val="TableParagraph"/>
              <w:spacing w:line="249" w:lineRule="auto" w:before="60"/>
              <w:ind w:left="255" w:right="79"/>
              <w:rPr>
                <w:sz w:val="20"/>
              </w:rPr>
            </w:pPr>
            <w:r>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w:t>
            </w:r>
            <w:r>
              <w:rPr>
                <w:spacing w:val="-13"/>
                <w:sz w:val="20"/>
              </w:rPr>
              <w:t> </w:t>
            </w:r>
            <w:r>
              <w:rPr>
                <w:sz w:val="20"/>
              </w:rPr>
              <w:t>нарушением</w:t>
            </w:r>
            <w:r>
              <w:rPr>
                <w:spacing w:val="-12"/>
                <w:sz w:val="20"/>
              </w:rPr>
              <w:t> </w:t>
            </w:r>
            <w:r>
              <w:rPr>
                <w:sz w:val="20"/>
              </w:rPr>
              <w:t>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w:t>
            </w:r>
          </w:p>
        </w:tc>
        <w:tc>
          <w:tcPr>
            <w:tcW w:w="1416" w:type="dxa"/>
          </w:tcPr>
          <w:p>
            <w:pPr>
              <w:pStyle w:val="TableParagraph"/>
              <w:spacing w:line="249" w:lineRule="auto" w:before="60"/>
              <w:ind w:left="81"/>
              <w:rPr>
                <w:sz w:val="20"/>
              </w:rPr>
            </w:pPr>
            <w:r>
              <w:rPr>
                <w:spacing w:val="-2"/>
                <w:sz w:val="20"/>
              </w:rPr>
              <w:t>терапевтичес- </w:t>
            </w:r>
            <w:r>
              <w:rPr>
                <w:sz w:val="20"/>
              </w:rPr>
              <w:t>кое лечение</w:t>
            </w:r>
          </w:p>
        </w:tc>
        <w:tc>
          <w:tcPr>
            <w:tcW w:w="3692" w:type="dxa"/>
          </w:tcPr>
          <w:p>
            <w:pPr>
              <w:pStyle w:val="TableParagraph"/>
              <w:spacing w:line="249" w:lineRule="auto" w:before="60"/>
              <w:ind w:left="139" w:right="38"/>
              <w:rPr>
                <w:sz w:val="20"/>
              </w:rPr>
            </w:pPr>
            <w:r>
              <w:rPr>
                <w:sz w:val="20"/>
              </w:rPr>
              <w:t>поликомпонентное</w:t>
            </w:r>
            <w:r>
              <w:rPr>
                <w:spacing w:val="-13"/>
                <w:sz w:val="20"/>
              </w:rPr>
              <w:t> </w:t>
            </w:r>
            <w:r>
              <w:rPr>
                <w:sz w:val="20"/>
              </w:rPr>
              <w:t>иммуносупрессивное лечение нефротического стероидозависимого и стероидрезистентного синдрома с применением селективных иммуносупрессивных, генно- 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w:t>
            </w:r>
          </w:p>
          <w:p>
            <w:pPr>
              <w:pStyle w:val="TableParagraph"/>
              <w:spacing w:line="249" w:lineRule="auto" w:before="10"/>
              <w:ind w:left="139" w:right="38"/>
              <w:rPr>
                <w:sz w:val="20"/>
              </w:rPr>
            </w:pPr>
            <w:r>
              <w:rPr>
                <w:sz w:val="20"/>
              </w:rPr>
              <w:t>а</w:t>
            </w:r>
            <w:r>
              <w:rPr>
                <w:spacing w:val="-11"/>
                <w:sz w:val="20"/>
              </w:rPr>
              <w:t> </w:t>
            </w:r>
            <w:r>
              <w:rPr>
                <w:sz w:val="20"/>
              </w:rPr>
              <w:t>также</w:t>
            </w:r>
            <w:r>
              <w:rPr>
                <w:spacing w:val="-11"/>
                <w:sz w:val="20"/>
              </w:rPr>
              <w:t> </w:t>
            </w:r>
            <w:r>
              <w:rPr>
                <w:sz w:val="20"/>
              </w:rPr>
              <w:t>эффективности</w:t>
            </w:r>
            <w:r>
              <w:rPr>
                <w:spacing w:val="-12"/>
                <w:sz w:val="20"/>
              </w:rPr>
              <w:t> </w:t>
            </w:r>
            <w:r>
              <w:rPr>
                <w:sz w:val="20"/>
              </w:rPr>
              <w:t>и</w:t>
            </w:r>
            <w:r>
              <w:rPr>
                <w:spacing w:val="-10"/>
                <w:sz w:val="20"/>
              </w:rPr>
              <w:t> </w:t>
            </w:r>
            <w:r>
              <w:rPr>
                <w:sz w:val="20"/>
              </w:rPr>
              <w:t>токсичности проводимого лечения</w:t>
            </w:r>
          </w:p>
        </w:tc>
      </w:tr>
      <w:tr>
        <w:trPr>
          <w:trHeight w:val="530" w:hRule="atLeast"/>
        </w:trPr>
        <w:tc>
          <w:tcPr>
            <w:tcW w:w="2871" w:type="dxa"/>
            <w:vMerge/>
            <w:tcBorders>
              <w:top w:val="nil"/>
            </w:tcBorders>
          </w:tcPr>
          <w:p>
            <w:pPr>
              <w:rPr>
                <w:sz w:val="2"/>
                <w:szCs w:val="2"/>
              </w:rPr>
            </w:pPr>
          </w:p>
        </w:tc>
        <w:tc>
          <w:tcPr>
            <w:tcW w:w="1785" w:type="dxa"/>
          </w:tcPr>
          <w:p>
            <w:pPr>
              <w:pStyle w:val="TableParagraph"/>
              <w:rPr>
                <w:sz w:val="18"/>
              </w:rPr>
            </w:pPr>
          </w:p>
        </w:tc>
        <w:tc>
          <w:tcPr>
            <w:tcW w:w="3481" w:type="dxa"/>
            <w:vMerge/>
            <w:tcBorders>
              <w:top w:val="nil"/>
            </w:tcBorders>
          </w:tcPr>
          <w:p>
            <w:pPr>
              <w:rPr>
                <w:sz w:val="2"/>
                <w:szCs w:val="2"/>
              </w:rPr>
            </w:pPr>
          </w:p>
        </w:tc>
        <w:tc>
          <w:tcPr>
            <w:tcW w:w="1416" w:type="dxa"/>
          </w:tcPr>
          <w:p>
            <w:pPr>
              <w:pStyle w:val="TableParagraph"/>
              <w:rPr>
                <w:sz w:val="18"/>
              </w:rPr>
            </w:pPr>
          </w:p>
        </w:tc>
        <w:tc>
          <w:tcPr>
            <w:tcW w:w="3692" w:type="dxa"/>
          </w:tcPr>
          <w:p>
            <w:pPr>
              <w:pStyle w:val="TableParagraph"/>
              <w:spacing w:line="240" w:lineRule="atLeast" w:before="30"/>
              <w:ind w:left="139" w:right="38"/>
              <w:rPr>
                <w:sz w:val="20"/>
              </w:rPr>
            </w:pPr>
            <w:r>
              <w:rPr>
                <w:spacing w:val="-2"/>
                <w:sz w:val="20"/>
              </w:rPr>
              <w:t>поликомпонентное иммуносупрессивное </w:t>
            </w:r>
            <w:r>
              <w:rPr>
                <w:sz w:val="20"/>
              </w:rPr>
              <w:t>лечение с включением селективных</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3"/>
        <w:gridCol w:w="4492"/>
        <w:gridCol w:w="1470"/>
        <w:gridCol w:w="3576"/>
      </w:tblGrid>
      <w:tr>
        <w:trPr>
          <w:trHeight w:val="3170" w:hRule="atLeast"/>
        </w:trPr>
        <w:tc>
          <w:tcPr>
            <w:tcW w:w="3653" w:type="dxa"/>
          </w:tcPr>
          <w:p>
            <w:pPr>
              <w:pStyle w:val="TableParagraph"/>
              <w:spacing w:line="249" w:lineRule="auto"/>
              <w:ind w:left="50" w:right="1255"/>
              <w:rPr>
                <w:sz w:val="20"/>
              </w:rPr>
            </w:pPr>
            <w:r>
              <w:rPr>
                <w:spacing w:val="-2"/>
                <w:sz w:val="20"/>
              </w:rPr>
              <w:t>дополнительным молекулярно-генетическим исследованием</w:t>
            </w:r>
          </w:p>
        </w:tc>
        <w:tc>
          <w:tcPr>
            <w:tcW w:w="4492" w:type="dxa"/>
          </w:tcPr>
          <w:p>
            <w:pPr>
              <w:pStyle w:val="TableParagraph"/>
              <w:spacing w:line="249" w:lineRule="auto"/>
              <w:ind w:left="1257" w:right="495"/>
              <w:rPr>
                <w:sz w:val="20"/>
              </w:rPr>
            </w:pPr>
            <w:r>
              <w:rPr>
                <w:sz w:val="20"/>
              </w:rPr>
              <w:t>нарушениями, склонностью к тромбообразованию,</w:t>
            </w:r>
            <w:r>
              <w:rPr>
                <w:spacing w:val="-13"/>
                <w:sz w:val="20"/>
              </w:rPr>
              <w:t> </w:t>
            </w:r>
            <w:r>
              <w:rPr>
                <w:sz w:val="20"/>
              </w:rPr>
              <w:t>задержкой роста и иммунодефицитным </w:t>
            </w:r>
            <w:r>
              <w:rPr>
                <w:spacing w:val="-2"/>
                <w:sz w:val="20"/>
              </w:rPr>
              <w:t>состоянием</w:t>
            </w:r>
          </w:p>
        </w:tc>
        <w:tc>
          <w:tcPr>
            <w:tcW w:w="1470" w:type="dxa"/>
          </w:tcPr>
          <w:p>
            <w:pPr>
              <w:pStyle w:val="TableParagraph"/>
              <w:rPr>
                <w:sz w:val="18"/>
              </w:rPr>
            </w:pPr>
          </w:p>
        </w:tc>
        <w:tc>
          <w:tcPr>
            <w:tcW w:w="3576" w:type="dxa"/>
          </w:tcPr>
          <w:p>
            <w:pPr>
              <w:pStyle w:val="TableParagraph"/>
              <w:spacing w:line="249" w:lineRule="auto"/>
              <w:ind w:left="77"/>
              <w:rPr>
                <w:sz w:val="20"/>
              </w:rPr>
            </w:pPr>
            <w:r>
              <w:rPr>
                <w:sz w:val="20"/>
              </w:rPr>
              <w:t>иммуносупрессивных, генно- инженерных рекобинантных и биологических лекарственных препаратов</w:t>
            </w:r>
            <w:r>
              <w:rPr>
                <w:spacing w:val="-11"/>
                <w:sz w:val="20"/>
              </w:rPr>
              <w:t> </w:t>
            </w:r>
            <w:r>
              <w:rPr>
                <w:sz w:val="20"/>
              </w:rPr>
              <w:t>при</w:t>
            </w:r>
            <w:r>
              <w:rPr>
                <w:spacing w:val="-11"/>
                <w:sz w:val="20"/>
              </w:rPr>
              <w:t> </w:t>
            </w:r>
            <w:r>
              <w:rPr>
                <w:sz w:val="20"/>
              </w:rPr>
              <w:t>первичных</w:t>
            </w:r>
            <w:r>
              <w:rPr>
                <w:spacing w:val="-9"/>
                <w:sz w:val="20"/>
              </w:rPr>
              <w:t> </w:t>
            </w:r>
            <w:r>
              <w:rPr>
                <w:sz w:val="20"/>
              </w:rPr>
              <w:t>и</w:t>
            </w:r>
            <w:r>
              <w:rPr>
                <w:spacing w:val="-11"/>
                <w:sz w:val="20"/>
              </w:rPr>
              <w:t> </w:t>
            </w:r>
            <w:r>
              <w:rPr>
                <w:sz w:val="20"/>
              </w:rPr>
              <w:t>вторичных нефритах, ассоциированных с коллагенозами и васкулигами, под контролем лабораторных и инструментальных методов, включая </w:t>
            </w:r>
            <w:r>
              <w:rPr>
                <w:spacing w:val="-2"/>
                <w:sz w:val="20"/>
              </w:rPr>
              <w:t>иммунологические, </w:t>
            </w:r>
            <w:r>
              <w:rPr>
                <w:sz w:val="20"/>
              </w:rPr>
              <w:t>фармакодинамические, а также </w:t>
            </w:r>
            <w:r>
              <w:rPr>
                <w:spacing w:val="-2"/>
                <w:sz w:val="20"/>
              </w:rPr>
              <w:t>эндоскопические, </w:t>
            </w:r>
            <w:r>
              <w:rPr>
                <w:sz w:val="20"/>
              </w:rPr>
              <w:t>рентгенорадиологические и ультразвуковые методы диагностики</w:t>
            </w:r>
          </w:p>
        </w:tc>
      </w:tr>
      <w:tr>
        <w:trPr>
          <w:trHeight w:val="2760" w:hRule="atLeast"/>
        </w:trPr>
        <w:tc>
          <w:tcPr>
            <w:tcW w:w="3653" w:type="dxa"/>
          </w:tcPr>
          <w:p>
            <w:pPr>
              <w:pStyle w:val="TableParagraph"/>
              <w:rPr>
                <w:sz w:val="18"/>
              </w:rPr>
            </w:pPr>
          </w:p>
        </w:tc>
        <w:tc>
          <w:tcPr>
            <w:tcW w:w="4492" w:type="dxa"/>
            <w:vMerge w:val="restart"/>
          </w:tcPr>
          <w:p>
            <w:pPr>
              <w:pStyle w:val="TableParagraph"/>
              <w:spacing w:line="249" w:lineRule="auto" w:before="60"/>
              <w:ind w:left="1257" w:right="74"/>
              <w:rPr>
                <w:sz w:val="20"/>
              </w:rPr>
            </w:pPr>
            <w:r>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w:t>
            </w:r>
            <w:r>
              <w:rPr>
                <w:spacing w:val="-13"/>
                <w:sz w:val="20"/>
              </w:rPr>
              <w:t> </w:t>
            </w:r>
            <w:r>
              <w:rPr>
                <w:sz w:val="20"/>
              </w:rPr>
              <w:t>недостаточности,</w:t>
            </w:r>
            <w:r>
              <w:rPr>
                <w:spacing w:val="-12"/>
                <w:sz w:val="20"/>
              </w:rPr>
              <w:t> </w:t>
            </w:r>
            <w:r>
              <w:rPr>
                <w:sz w:val="20"/>
              </w:rPr>
              <w:t>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w:t>
            </w:r>
            <w:r>
              <w:rPr>
                <w:spacing w:val="-2"/>
                <w:sz w:val="20"/>
              </w:rPr>
              <w:t>водноэлектролитного,</w:t>
            </w:r>
            <w:r>
              <w:rPr>
                <w:spacing w:val="80"/>
                <w:sz w:val="20"/>
              </w:rPr>
              <w:t> </w:t>
            </w:r>
            <w:r>
              <w:rPr>
                <w:sz w:val="20"/>
              </w:rPr>
              <w:t>минерального, кислотно-основного</w:t>
            </w:r>
          </w:p>
        </w:tc>
        <w:tc>
          <w:tcPr>
            <w:tcW w:w="1470" w:type="dxa"/>
          </w:tcPr>
          <w:p>
            <w:pPr>
              <w:pStyle w:val="TableParagraph"/>
              <w:spacing w:line="252" w:lineRule="auto" w:before="60"/>
              <w:ind w:left="73" w:right="73"/>
              <w:rPr>
                <w:sz w:val="20"/>
              </w:rPr>
            </w:pPr>
            <w:r>
              <w:rPr>
                <w:spacing w:val="-2"/>
                <w:sz w:val="20"/>
              </w:rPr>
              <w:t>терапевтическо </w:t>
            </w:r>
            <w:r>
              <w:rPr>
                <w:sz w:val="20"/>
              </w:rPr>
              <w:t>е лечение</w:t>
            </w:r>
          </w:p>
        </w:tc>
        <w:tc>
          <w:tcPr>
            <w:tcW w:w="3576" w:type="dxa"/>
          </w:tcPr>
          <w:p>
            <w:pPr>
              <w:pStyle w:val="TableParagraph"/>
              <w:spacing w:line="249" w:lineRule="auto" w:before="60"/>
              <w:ind w:left="77" w:right="308"/>
              <w:rPr>
                <w:sz w:val="20"/>
              </w:rPr>
            </w:pPr>
            <w:r>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w:t>
            </w:r>
            <w:r>
              <w:rPr>
                <w:spacing w:val="-13"/>
                <w:sz w:val="20"/>
              </w:rPr>
              <w:t> </w:t>
            </w:r>
            <w:r>
              <w:rPr>
                <w:sz w:val="20"/>
              </w:rPr>
              <w:t>методов,</w:t>
            </w:r>
            <w:r>
              <w:rPr>
                <w:spacing w:val="-12"/>
                <w:sz w:val="20"/>
              </w:rPr>
              <w:t> </w:t>
            </w:r>
            <w:r>
              <w:rPr>
                <w:sz w:val="20"/>
              </w:rPr>
              <w:t>включая </w:t>
            </w:r>
            <w:r>
              <w:rPr>
                <w:spacing w:val="-2"/>
                <w:sz w:val="20"/>
              </w:rPr>
              <w:t>иммунологические, </w:t>
            </w:r>
            <w:r>
              <w:rPr>
                <w:sz w:val="20"/>
              </w:rPr>
              <w:t>фармакодинамические, а также рентгенорадиологические и ультразвуковые</w:t>
            </w:r>
            <w:r>
              <w:rPr>
                <w:spacing w:val="-9"/>
                <w:sz w:val="20"/>
              </w:rPr>
              <w:t> </w:t>
            </w:r>
            <w:r>
              <w:rPr>
                <w:sz w:val="20"/>
              </w:rPr>
              <w:t>методы</w:t>
            </w:r>
            <w:r>
              <w:rPr>
                <w:spacing w:val="-10"/>
                <w:sz w:val="20"/>
              </w:rPr>
              <w:t> </w:t>
            </w:r>
            <w:r>
              <w:rPr>
                <w:sz w:val="20"/>
              </w:rPr>
              <w:t>диагностики</w:t>
            </w:r>
          </w:p>
        </w:tc>
      </w:tr>
      <w:tr>
        <w:trPr>
          <w:trHeight w:val="1970" w:hRule="atLeast"/>
        </w:trPr>
        <w:tc>
          <w:tcPr>
            <w:tcW w:w="3653" w:type="dxa"/>
          </w:tcPr>
          <w:p>
            <w:pPr>
              <w:pStyle w:val="TableParagraph"/>
              <w:rPr>
                <w:sz w:val="18"/>
              </w:rPr>
            </w:pPr>
          </w:p>
        </w:tc>
        <w:tc>
          <w:tcPr>
            <w:tcW w:w="4492" w:type="dxa"/>
            <w:vMerge/>
            <w:tcBorders>
              <w:top w:val="nil"/>
            </w:tcBorders>
          </w:tcPr>
          <w:p>
            <w:pPr>
              <w:rPr>
                <w:sz w:val="2"/>
                <w:szCs w:val="2"/>
              </w:rPr>
            </w:pPr>
          </w:p>
        </w:tc>
        <w:tc>
          <w:tcPr>
            <w:tcW w:w="1470" w:type="dxa"/>
          </w:tcPr>
          <w:p>
            <w:pPr>
              <w:pStyle w:val="TableParagraph"/>
              <w:rPr>
                <w:sz w:val="18"/>
              </w:rPr>
            </w:pPr>
          </w:p>
        </w:tc>
        <w:tc>
          <w:tcPr>
            <w:tcW w:w="3576" w:type="dxa"/>
          </w:tcPr>
          <w:p>
            <w:pPr>
              <w:pStyle w:val="TableParagraph"/>
              <w:spacing w:line="240" w:lineRule="atLeast" w:before="30"/>
              <w:ind w:left="77"/>
              <w:rPr>
                <w:sz w:val="20"/>
              </w:rPr>
            </w:pPr>
            <w:r>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w:t>
            </w:r>
            <w:r>
              <w:rPr>
                <w:spacing w:val="-13"/>
                <w:sz w:val="20"/>
              </w:rPr>
              <w:t> </w:t>
            </w:r>
            <w:r>
              <w:rPr>
                <w:sz w:val="20"/>
              </w:rPr>
              <w:t>цистеамина</w:t>
            </w:r>
            <w:r>
              <w:rPr>
                <w:spacing w:val="-12"/>
                <w:sz w:val="20"/>
              </w:rPr>
              <w:t> </w:t>
            </w:r>
            <w:r>
              <w:rPr>
                <w:sz w:val="20"/>
              </w:rPr>
              <w:t>и</w:t>
            </w:r>
            <w:r>
              <w:rPr>
                <w:spacing w:val="-13"/>
                <w:sz w:val="20"/>
              </w:rPr>
              <w:t> </w:t>
            </w:r>
            <w:r>
              <w:rPr>
                <w:sz w:val="20"/>
              </w:rPr>
              <w:t>других селективных метаболических корректоров под контролем лабораторных и инструментальных</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7"/>
        <w:gridCol w:w="1997"/>
        <w:gridCol w:w="3360"/>
        <w:gridCol w:w="1413"/>
        <w:gridCol w:w="3999"/>
        <w:gridCol w:w="983"/>
      </w:tblGrid>
      <w:tr>
        <w:trPr>
          <w:trHeight w:val="1490" w:hRule="atLeast"/>
        </w:trPr>
        <w:tc>
          <w:tcPr>
            <w:tcW w:w="458" w:type="dxa"/>
          </w:tcPr>
          <w:p>
            <w:pPr>
              <w:pStyle w:val="TableParagraph"/>
              <w:rPr>
                <w:sz w:val="18"/>
              </w:rPr>
            </w:pPr>
          </w:p>
        </w:tc>
        <w:tc>
          <w:tcPr>
            <w:tcW w:w="2887" w:type="dxa"/>
          </w:tcPr>
          <w:p>
            <w:pPr>
              <w:pStyle w:val="TableParagraph"/>
              <w:rPr>
                <w:sz w:val="18"/>
              </w:rPr>
            </w:pPr>
          </w:p>
        </w:tc>
        <w:tc>
          <w:tcPr>
            <w:tcW w:w="1997" w:type="dxa"/>
          </w:tcPr>
          <w:p>
            <w:pPr>
              <w:pStyle w:val="TableParagraph"/>
              <w:rPr>
                <w:sz w:val="18"/>
              </w:rPr>
            </w:pPr>
          </w:p>
        </w:tc>
        <w:tc>
          <w:tcPr>
            <w:tcW w:w="3360" w:type="dxa"/>
          </w:tcPr>
          <w:p>
            <w:pPr>
              <w:pStyle w:val="TableParagraph"/>
              <w:spacing w:line="249" w:lineRule="auto"/>
              <w:ind w:left="132" w:right="376"/>
              <w:rPr>
                <w:sz w:val="20"/>
              </w:rPr>
            </w:pPr>
            <w:r>
              <w:rPr>
                <w:sz w:val="20"/>
              </w:rPr>
              <w:t>гомеостаза, артериальной гипертензией,</w:t>
            </w:r>
            <w:r>
              <w:rPr>
                <w:spacing w:val="-13"/>
                <w:sz w:val="20"/>
              </w:rPr>
              <w:t> </w:t>
            </w:r>
            <w:r>
              <w:rPr>
                <w:sz w:val="20"/>
              </w:rPr>
              <w:t>неврологическими нарушениями,</w:t>
            </w:r>
            <w:r>
              <w:rPr>
                <w:spacing w:val="-13"/>
                <w:sz w:val="20"/>
              </w:rPr>
              <w:t> </w:t>
            </w:r>
            <w:r>
              <w:rPr>
                <w:sz w:val="20"/>
              </w:rPr>
              <w:t>задержкой</w:t>
            </w:r>
            <w:r>
              <w:rPr>
                <w:spacing w:val="-12"/>
                <w:sz w:val="20"/>
              </w:rPr>
              <w:t> </w:t>
            </w:r>
            <w:r>
              <w:rPr>
                <w:sz w:val="20"/>
              </w:rPr>
              <w:t>роста</w:t>
            </w:r>
            <w:r>
              <w:rPr>
                <w:spacing w:val="-13"/>
                <w:sz w:val="20"/>
              </w:rPr>
              <w:t> </w:t>
            </w:r>
            <w:r>
              <w:rPr>
                <w:sz w:val="20"/>
              </w:rPr>
              <w:t>и </w:t>
            </w:r>
            <w:r>
              <w:rPr>
                <w:spacing w:val="-2"/>
                <w:sz w:val="20"/>
              </w:rPr>
              <w:t>развития</w:t>
            </w:r>
          </w:p>
        </w:tc>
        <w:tc>
          <w:tcPr>
            <w:tcW w:w="1413" w:type="dxa"/>
          </w:tcPr>
          <w:p>
            <w:pPr>
              <w:pStyle w:val="TableParagraph"/>
              <w:rPr>
                <w:sz w:val="18"/>
              </w:rPr>
            </w:pPr>
          </w:p>
        </w:tc>
        <w:tc>
          <w:tcPr>
            <w:tcW w:w="3999" w:type="dxa"/>
          </w:tcPr>
          <w:p>
            <w:pPr>
              <w:pStyle w:val="TableParagraph"/>
              <w:spacing w:line="249" w:lineRule="auto"/>
              <w:ind w:left="141" w:right="302"/>
              <w:rPr>
                <w:sz w:val="20"/>
              </w:rPr>
            </w:pPr>
            <w:r>
              <w:rPr>
                <w:sz w:val="20"/>
              </w:rPr>
              <w:t>методов, включая иммунологические, цитохимические, а также рентгенорадиологические</w:t>
            </w:r>
            <w:r>
              <w:rPr>
                <w:spacing w:val="-13"/>
                <w:sz w:val="20"/>
              </w:rPr>
              <w:t> </w:t>
            </w:r>
            <w:r>
              <w:rPr>
                <w:sz w:val="20"/>
              </w:rPr>
              <w:t>(в</w:t>
            </w:r>
            <w:r>
              <w:rPr>
                <w:spacing w:val="-12"/>
                <w:sz w:val="20"/>
              </w:rPr>
              <w:t> </w:t>
            </w:r>
            <w:r>
              <w:rPr>
                <w:sz w:val="20"/>
              </w:rPr>
              <w:t>том</w:t>
            </w:r>
            <w:r>
              <w:rPr>
                <w:spacing w:val="-13"/>
                <w:sz w:val="20"/>
              </w:rPr>
              <w:t> </w:t>
            </w:r>
            <w:r>
              <w:rPr>
                <w:sz w:val="20"/>
              </w:rPr>
              <w:t>числе двухэнергетическая рентгеновская абсорбциометрия) и ультразвуковые методы диагностики</w:t>
            </w:r>
          </w:p>
        </w:tc>
        <w:tc>
          <w:tcPr>
            <w:tcW w:w="983" w:type="dxa"/>
          </w:tcPr>
          <w:p>
            <w:pPr>
              <w:pStyle w:val="TableParagraph"/>
              <w:rPr>
                <w:sz w:val="18"/>
              </w:rPr>
            </w:pPr>
          </w:p>
        </w:tc>
      </w:tr>
      <w:tr>
        <w:trPr>
          <w:trHeight w:val="4440" w:hRule="atLeast"/>
        </w:trPr>
        <w:tc>
          <w:tcPr>
            <w:tcW w:w="458" w:type="dxa"/>
          </w:tcPr>
          <w:p>
            <w:pPr>
              <w:pStyle w:val="TableParagraph"/>
              <w:spacing w:before="60"/>
              <w:ind w:left="50"/>
              <w:rPr>
                <w:sz w:val="20"/>
              </w:rPr>
            </w:pPr>
            <w:r>
              <w:rPr>
                <w:spacing w:val="-5"/>
                <w:sz w:val="20"/>
              </w:rPr>
              <w:t>46.</w:t>
            </w:r>
          </w:p>
        </w:tc>
        <w:tc>
          <w:tcPr>
            <w:tcW w:w="2887" w:type="dxa"/>
          </w:tcPr>
          <w:p>
            <w:pPr>
              <w:pStyle w:val="TableParagraph"/>
              <w:spacing w:line="249" w:lineRule="auto" w:before="60"/>
              <w:ind w:left="155" w:right="132"/>
              <w:rPr>
                <w:sz w:val="20"/>
              </w:rPr>
            </w:pPr>
            <w:r>
              <w:rPr>
                <w:sz w:val="20"/>
              </w:rPr>
              <w:t>Поликомпонентное лечение рассеянного склероза, оптикомиелита Девика, нейродегенеративных</w:t>
            </w:r>
            <w:r>
              <w:rPr>
                <w:spacing w:val="-13"/>
                <w:sz w:val="20"/>
              </w:rPr>
              <w:t> </w:t>
            </w:r>
            <w:r>
              <w:rPr>
                <w:sz w:val="20"/>
              </w:rPr>
              <w:t>нервно- мышечных заболеваний, спастических форм детского церебрального паралича, </w:t>
            </w:r>
            <w:r>
              <w:rPr>
                <w:spacing w:val="-2"/>
                <w:sz w:val="20"/>
              </w:rPr>
              <w:t>митохондриальных </w:t>
            </w:r>
            <w:r>
              <w:rPr>
                <w:sz w:val="20"/>
              </w:rPr>
              <w:t>энцефаломиопатий с </w:t>
            </w:r>
            <w:r>
              <w:rPr>
                <w:spacing w:val="-2"/>
                <w:sz w:val="20"/>
              </w:rPr>
              <w:t>применением химиотерапевтических,</w:t>
            </w:r>
          </w:p>
          <w:p>
            <w:pPr>
              <w:pStyle w:val="TableParagraph"/>
              <w:spacing w:line="249" w:lineRule="auto" w:before="10"/>
              <w:ind w:left="155" w:right="161"/>
              <w:rPr>
                <w:sz w:val="20"/>
              </w:rPr>
            </w:pPr>
            <w:r>
              <w:rPr>
                <w:spacing w:val="-2"/>
                <w:sz w:val="20"/>
              </w:rPr>
              <w:t>генно-инженерных биологических</w:t>
            </w:r>
            <w:r>
              <w:rPr>
                <w:spacing w:val="40"/>
                <w:sz w:val="20"/>
              </w:rPr>
              <w:t> </w:t>
            </w:r>
            <w:r>
              <w:rPr>
                <w:sz w:val="20"/>
              </w:rPr>
              <w:t>лекарственных препаратов, методов</w:t>
            </w:r>
            <w:r>
              <w:rPr>
                <w:spacing w:val="-13"/>
                <w:sz w:val="20"/>
              </w:rPr>
              <w:t> </w:t>
            </w:r>
            <w:r>
              <w:rPr>
                <w:sz w:val="20"/>
              </w:rPr>
              <w:t>экстракорпорального воздействия на кровь и с использованием прикладной </w:t>
            </w:r>
            <w:r>
              <w:rPr>
                <w:spacing w:val="-2"/>
                <w:sz w:val="20"/>
              </w:rPr>
              <w:t>кинезотерапии</w:t>
            </w:r>
          </w:p>
        </w:tc>
        <w:tc>
          <w:tcPr>
            <w:tcW w:w="1997" w:type="dxa"/>
          </w:tcPr>
          <w:p>
            <w:pPr>
              <w:pStyle w:val="TableParagraph"/>
              <w:spacing w:line="249" w:lineRule="auto" w:before="60"/>
              <w:ind w:left="137" w:right="130"/>
              <w:jc w:val="center"/>
              <w:rPr>
                <w:sz w:val="20"/>
              </w:rPr>
            </w:pPr>
            <w:r>
              <w:rPr>
                <w:sz w:val="20"/>
              </w:rPr>
              <w:t>G12.0, G31.8, G35, G36,</w:t>
            </w:r>
            <w:r>
              <w:rPr>
                <w:spacing w:val="-13"/>
                <w:sz w:val="20"/>
              </w:rPr>
              <w:t> </w:t>
            </w:r>
            <w:r>
              <w:rPr>
                <w:sz w:val="20"/>
              </w:rPr>
              <w:t>G60,</w:t>
            </w:r>
            <w:r>
              <w:rPr>
                <w:spacing w:val="-12"/>
                <w:sz w:val="20"/>
              </w:rPr>
              <w:t> </w:t>
            </w:r>
            <w:r>
              <w:rPr>
                <w:sz w:val="20"/>
              </w:rPr>
              <w:t>G70,</w:t>
            </w:r>
            <w:r>
              <w:rPr>
                <w:spacing w:val="-13"/>
                <w:sz w:val="20"/>
              </w:rPr>
              <w:t> </w:t>
            </w:r>
            <w:r>
              <w:rPr>
                <w:sz w:val="20"/>
              </w:rPr>
              <w:t>G71, G80, G80.1, G80.2, G80.8, G81.1, G82.4</w:t>
            </w:r>
          </w:p>
        </w:tc>
        <w:tc>
          <w:tcPr>
            <w:tcW w:w="3360" w:type="dxa"/>
            <w:vMerge w:val="restart"/>
          </w:tcPr>
          <w:p>
            <w:pPr>
              <w:pStyle w:val="TableParagraph"/>
              <w:spacing w:line="249" w:lineRule="auto" w:before="60"/>
              <w:ind w:left="132"/>
              <w:rPr>
                <w:sz w:val="20"/>
              </w:rPr>
            </w:pPr>
            <w:r>
              <w:rPr>
                <w:sz w:val="20"/>
              </w:rPr>
              <w:t>врожденные и дегенеративные заболевания центральной нервной системы</w:t>
            </w:r>
            <w:r>
              <w:rPr>
                <w:spacing w:val="-13"/>
                <w:sz w:val="20"/>
              </w:rPr>
              <w:t> </w:t>
            </w:r>
            <w:r>
              <w:rPr>
                <w:sz w:val="20"/>
              </w:rPr>
              <w:t>с</w:t>
            </w:r>
            <w:r>
              <w:rPr>
                <w:spacing w:val="-12"/>
                <w:sz w:val="20"/>
              </w:rPr>
              <w:t> </w:t>
            </w:r>
            <w:r>
              <w:rPr>
                <w:sz w:val="20"/>
              </w:rPr>
              <w:t>тяжелыми</w:t>
            </w:r>
            <w:r>
              <w:rPr>
                <w:spacing w:val="-13"/>
                <w:sz w:val="20"/>
              </w:rPr>
              <w:t> </w:t>
            </w:r>
            <w:r>
              <w:rPr>
                <w:sz w:val="20"/>
              </w:rPr>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w:t>
            </w:r>
          </w:p>
          <w:p>
            <w:pPr>
              <w:pStyle w:val="TableParagraph"/>
              <w:spacing w:line="249" w:lineRule="auto" w:before="9"/>
              <w:ind w:left="132"/>
              <w:rPr>
                <w:sz w:val="20"/>
              </w:rPr>
            </w:pPr>
            <w:r>
              <w:rPr>
                <w:sz w:val="20"/>
              </w:rPr>
              <w:t>Нервно-мышечные заболевания с тяжелыми двигательными нарушениями. Митохондриальные энцефаломиопатии с очаговыми поражениями</w:t>
            </w:r>
            <w:r>
              <w:rPr>
                <w:spacing w:val="-13"/>
                <w:sz w:val="20"/>
              </w:rPr>
              <w:t> </w:t>
            </w:r>
            <w:r>
              <w:rPr>
                <w:sz w:val="20"/>
              </w:rPr>
              <w:t>центральной</w:t>
            </w:r>
            <w:r>
              <w:rPr>
                <w:spacing w:val="-12"/>
                <w:sz w:val="20"/>
              </w:rPr>
              <w:t> </w:t>
            </w:r>
            <w:r>
              <w:rPr>
                <w:sz w:val="20"/>
              </w:rPr>
              <w:t>нервной системы. Спастические формы детского</w:t>
            </w:r>
            <w:r>
              <w:rPr>
                <w:spacing w:val="-11"/>
                <w:sz w:val="20"/>
              </w:rPr>
              <w:t> </w:t>
            </w:r>
            <w:r>
              <w:rPr>
                <w:sz w:val="20"/>
              </w:rPr>
              <w:t>церебрального</w:t>
            </w:r>
            <w:r>
              <w:rPr>
                <w:spacing w:val="-11"/>
                <w:sz w:val="20"/>
              </w:rPr>
              <w:t> </w:t>
            </w:r>
            <w:r>
              <w:rPr>
                <w:sz w:val="20"/>
              </w:rPr>
              <w:t>паралича</w:t>
            </w:r>
            <w:r>
              <w:rPr>
                <w:spacing w:val="-9"/>
                <w:sz w:val="20"/>
              </w:rPr>
              <w:t> </w:t>
            </w:r>
            <w:r>
              <w:rPr>
                <w:sz w:val="20"/>
              </w:rPr>
              <w:t>и другие паралитические синдромыс двигательными нарушениями, соответствующими 3-5 уровню по шкале GMFCS</w:t>
            </w:r>
          </w:p>
        </w:tc>
        <w:tc>
          <w:tcPr>
            <w:tcW w:w="1413" w:type="dxa"/>
          </w:tcPr>
          <w:p>
            <w:pPr>
              <w:pStyle w:val="TableParagraph"/>
              <w:spacing w:line="249" w:lineRule="auto" w:before="60"/>
              <w:ind w:left="80"/>
              <w:rPr>
                <w:sz w:val="20"/>
              </w:rPr>
            </w:pPr>
            <w:r>
              <w:rPr>
                <w:spacing w:val="-2"/>
                <w:sz w:val="20"/>
              </w:rPr>
              <w:t>терапевтичес- </w:t>
            </w:r>
            <w:r>
              <w:rPr>
                <w:sz w:val="20"/>
              </w:rPr>
              <w:t>кое лечение</w:t>
            </w:r>
          </w:p>
        </w:tc>
        <w:tc>
          <w:tcPr>
            <w:tcW w:w="3999" w:type="dxa"/>
          </w:tcPr>
          <w:p>
            <w:pPr>
              <w:pStyle w:val="TableParagraph"/>
              <w:spacing w:line="249" w:lineRule="auto" w:before="60"/>
              <w:ind w:left="141" w:right="302"/>
              <w:rPr>
                <w:sz w:val="20"/>
              </w:rPr>
            </w:pPr>
            <w:r>
              <w:rPr>
                <w:spacing w:val="-2"/>
                <w:sz w:val="20"/>
              </w:rPr>
              <w:t>поликомпонентное </w:t>
            </w:r>
            <w:r>
              <w:rPr>
                <w:sz w:val="20"/>
              </w:rPr>
              <w:t>иммуномодулирующее лечение нервно- мышечных, врожденных, дегенеративных, демиелинизирующих и митохондриальных заболеваний центральной нервной системы иммунобиологическими и генно- инженерными лекарственными препаратами, на основе комплекса иммунобиологических и молекулярно- генетических методов диагностики под контролем лабораторных и инструментальных методов, включая иммунологические, биохимические, цитохимические</w:t>
            </w:r>
            <w:r>
              <w:rPr>
                <w:spacing w:val="-11"/>
                <w:sz w:val="20"/>
              </w:rPr>
              <w:t> </w:t>
            </w:r>
            <w:r>
              <w:rPr>
                <w:sz w:val="20"/>
              </w:rPr>
              <w:t>методы,</w:t>
            </w:r>
            <w:r>
              <w:rPr>
                <w:spacing w:val="-11"/>
                <w:sz w:val="20"/>
              </w:rPr>
              <w:t> </w:t>
            </w:r>
            <w:r>
              <w:rPr>
                <w:sz w:val="20"/>
              </w:rPr>
              <w:t>а</w:t>
            </w:r>
            <w:r>
              <w:rPr>
                <w:spacing w:val="-11"/>
                <w:sz w:val="20"/>
              </w:rPr>
              <w:t> </w:t>
            </w:r>
            <w:r>
              <w:rPr>
                <w:sz w:val="20"/>
              </w:rPr>
              <w:t>также</w:t>
            </w:r>
            <w:r>
              <w:rPr>
                <w:spacing w:val="-11"/>
                <w:sz w:val="20"/>
              </w:rPr>
              <w:t> </w:t>
            </w:r>
            <w:r>
              <w:rPr>
                <w:sz w:val="20"/>
              </w:rPr>
              <w:t>методы визуализации (рентгенологические, ультразвуковые методы и радиоизотопное сканирование)</w:t>
            </w:r>
          </w:p>
        </w:tc>
        <w:tc>
          <w:tcPr>
            <w:tcW w:w="983" w:type="dxa"/>
          </w:tcPr>
          <w:p>
            <w:pPr>
              <w:pStyle w:val="TableParagraph"/>
              <w:spacing w:before="60"/>
              <w:ind w:left="336"/>
              <w:rPr>
                <w:sz w:val="20"/>
              </w:rPr>
            </w:pPr>
            <w:r>
              <w:rPr>
                <w:spacing w:val="-2"/>
                <w:sz w:val="20"/>
              </w:rPr>
              <w:t>240568</w:t>
            </w:r>
          </w:p>
        </w:tc>
      </w:tr>
      <w:tr>
        <w:trPr>
          <w:trHeight w:val="1970" w:hRule="atLeast"/>
        </w:trPr>
        <w:tc>
          <w:tcPr>
            <w:tcW w:w="458" w:type="dxa"/>
          </w:tcPr>
          <w:p>
            <w:pPr>
              <w:pStyle w:val="TableParagraph"/>
              <w:rPr>
                <w:sz w:val="18"/>
              </w:rPr>
            </w:pPr>
          </w:p>
        </w:tc>
        <w:tc>
          <w:tcPr>
            <w:tcW w:w="2887" w:type="dxa"/>
          </w:tcPr>
          <w:p>
            <w:pPr>
              <w:pStyle w:val="TableParagraph"/>
              <w:rPr>
                <w:sz w:val="18"/>
              </w:rPr>
            </w:pPr>
          </w:p>
        </w:tc>
        <w:tc>
          <w:tcPr>
            <w:tcW w:w="1997" w:type="dxa"/>
          </w:tcPr>
          <w:p>
            <w:pPr>
              <w:pStyle w:val="TableParagraph"/>
              <w:rPr>
                <w:sz w:val="18"/>
              </w:rPr>
            </w:pPr>
          </w:p>
        </w:tc>
        <w:tc>
          <w:tcPr>
            <w:tcW w:w="3360" w:type="dxa"/>
            <w:vMerge/>
            <w:tcBorders>
              <w:top w:val="nil"/>
            </w:tcBorders>
          </w:tcPr>
          <w:p>
            <w:pPr>
              <w:rPr>
                <w:sz w:val="2"/>
                <w:szCs w:val="2"/>
              </w:rPr>
            </w:pPr>
          </w:p>
        </w:tc>
        <w:tc>
          <w:tcPr>
            <w:tcW w:w="1413" w:type="dxa"/>
          </w:tcPr>
          <w:p>
            <w:pPr>
              <w:pStyle w:val="TableParagraph"/>
              <w:rPr>
                <w:sz w:val="18"/>
              </w:rPr>
            </w:pPr>
          </w:p>
        </w:tc>
        <w:tc>
          <w:tcPr>
            <w:tcW w:w="3999" w:type="dxa"/>
          </w:tcPr>
          <w:p>
            <w:pPr>
              <w:pStyle w:val="TableParagraph"/>
              <w:spacing w:line="240" w:lineRule="atLeast" w:before="30"/>
              <w:ind w:left="141" w:right="294"/>
              <w:rPr>
                <w:sz w:val="20"/>
              </w:rPr>
            </w:pPr>
            <w:r>
              <w:rPr>
                <w:sz w:val="20"/>
              </w:rPr>
              <w:t>поликомпонентное лечение нервно- мышечных, врожденных,</w:t>
            </w:r>
            <w:r>
              <w:rPr>
                <w:spacing w:val="40"/>
                <w:sz w:val="20"/>
              </w:rPr>
              <w:t> </w:t>
            </w:r>
            <w:r>
              <w:rPr>
                <w:sz w:val="20"/>
              </w:rPr>
              <w:t>дегенеративных</w:t>
            </w:r>
            <w:r>
              <w:rPr>
                <w:spacing w:val="-13"/>
                <w:sz w:val="20"/>
              </w:rPr>
              <w:t> </w:t>
            </w:r>
            <w:r>
              <w:rPr>
                <w:sz w:val="20"/>
              </w:rPr>
              <w:t>и</w:t>
            </w:r>
            <w:r>
              <w:rPr>
                <w:spacing w:val="-12"/>
                <w:sz w:val="20"/>
              </w:rPr>
              <w:t> </w:t>
            </w:r>
            <w:r>
              <w:rPr>
                <w:sz w:val="20"/>
              </w:rPr>
              <w:t>демиелинизирующих</w:t>
            </w:r>
            <w:r>
              <w:rPr>
                <w:spacing w:val="-13"/>
                <w:sz w:val="20"/>
              </w:rPr>
              <w:t> </w:t>
            </w:r>
            <w:r>
              <w:rPr>
                <w:sz w:val="20"/>
              </w:rPr>
              <w:t>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w:t>
            </w:r>
          </w:p>
        </w:tc>
        <w:tc>
          <w:tcPr>
            <w:tcW w:w="98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47"/>
        <w:gridCol w:w="2021"/>
        <w:gridCol w:w="4100"/>
        <w:gridCol w:w="4658"/>
        <w:gridCol w:w="1017"/>
      </w:tblGrid>
      <w:tr>
        <w:trPr>
          <w:trHeight w:val="1730" w:hRule="atLeast"/>
        </w:trPr>
        <w:tc>
          <w:tcPr>
            <w:tcW w:w="458" w:type="dxa"/>
          </w:tcPr>
          <w:p>
            <w:pPr>
              <w:pStyle w:val="TableParagraph"/>
              <w:rPr>
                <w:sz w:val="18"/>
              </w:rPr>
            </w:pPr>
          </w:p>
        </w:tc>
        <w:tc>
          <w:tcPr>
            <w:tcW w:w="2847" w:type="dxa"/>
          </w:tcPr>
          <w:p>
            <w:pPr>
              <w:pStyle w:val="TableParagraph"/>
              <w:rPr>
                <w:sz w:val="18"/>
              </w:rPr>
            </w:pPr>
          </w:p>
        </w:tc>
        <w:tc>
          <w:tcPr>
            <w:tcW w:w="2021" w:type="dxa"/>
          </w:tcPr>
          <w:p>
            <w:pPr>
              <w:pStyle w:val="TableParagraph"/>
              <w:rPr>
                <w:sz w:val="18"/>
              </w:rPr>
            </w:pPr>
          </w:p>
        </w:tc>
        <w:tc>
          <w:tcPr>
            <w:tcW w:w="4100" w:type="dxa"/>
          </w:tcPr>
          <w:p>
            <w:pPr>
              <w:pStyle w:val="TableParagraph"/>
              <w:rPr>
                <w:sz w:val="18"/>
              </w:rPr>
            </w:pPr>
          </w:p>
        </w:tc>
        <w:tc>
          <w:tcPr>
            <w:tcW w:w="4658" w:type="dxa"/>
          </w:tcPr>
          <w:p>
            <w:pPr>
              <w:pStyle w:val="TableParagraph"/>
              <w:spacing w:line="249" w:lineRule="auto"/>
              <w:ind w:left="830" w:right="232"/>
              <w:rPr>
                <w:sz w:val="20"/>
              </w:rPr>
            </w:pPr>
            <w:r>
              <w:rPr>
                <w:sz w:val="20"/>
              </w:rPr>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w:t>
            </w:r>
            <w:r>
              <w:rPr>
                <w:spacing w:val="-13"/>
                <w:sz w:val="20"/>
              </w:rPr>
              <w:t> </w:t>
            </w:r>
            <w:r>
              <w:rPr>
                <w:sz w:val="20"/>
              </w:rPr>
              <w:t>патологического</w:t>
            </w:r>
            <w:r>
              <w:rPr>
                <w:spacing w:val="-12"/>
                <w:sz w:val="20"/>
              </w:rPr>
              <w:t> </w:t>
            </w:r>
            <w:r>
              <w:rPr>
                <w:sz w:val="20"/>
              </w:rPr>
              <w:t>процесса</w:t>
            </w:r>
          </w:p>
        </w:tc>
        <w:tc>
          <w:tcPr>
            <w:tcW w:w="1017" w:type="dxa"/>
          </w:tcPr>
          <w:p>
            <w:pPr>
              <w:pStyle w:val="TableParagraph"/>
              <w:rPr>
                <w:sz w:val="18"/>
              </w:rPr>
            </w:pPr>
          </w:p>
        </w:tc>
      </w:tr>
      <w:tr>
        <w:trPr>
          <w:trHeight w:val="4200" w:hRule="atLeast"/>
        </w:trPr>
        <w:tc>
          <w:tcPr>
            <w:tcW w:w="458" w:type="dxa"/>
          </w:tcPr>
          <w:p>
            <w:pPr>
              <w:pStyle w:val="TableParagraph"/>
              <w:rPr>
                <w:sz w:val="18"/>
              </w:rPr>
            </w:pPr>
          </w:p>
        </w:tc>
        <w:tc>
          <w:tcPr>
            <w:tcW w:w="2847" w:type="dxa"/>
          </w:tcPr>
          <w:p>
            <w:pPr>
              <w:pStyle w:val="TableParagraph"/>
              <w:rPr>
                <w:sz w:val="18"/>
              </w:rPr>
            </w:pPr>
          </w:p>
        </w:tc>
        <w:tc>
          <w:tcPr>
            <w:tcW w:w="2021" w:type="dxa"/>
          </w:tcPr>
          <w:p>
            <w:pPr>
              <w:pStyle w:val="TableParagraph"/>
              <w:rPr>
                <w:sz w:val="18"/>
              </w:rPr>
            </w:pPr>
          </w:p>
        </w:tc>
        <w:tc>
          <w:tcPr>
            <w:tcW w:w="4100" w:type="dxa"/>
          </w:tcPr>
          <w:p>
            <w:pPr>
              <w:pStyle w:val="TableParagraph"/>
              <w:rPr>
                <w:sz w:val="18"/>
              </w:rPr>
            </w:pPr>
          </w:p>
        </w:tc>
        <w:tc>
          <w:tcPr>
            <w:tcW w:w="4658" w:type="dxa"/>
          </w:tcPr>
          <w:p>
            <w:pPr>
              <w:pStyle w:val="TableParagraph"/>
              <w:spacing w:line="249" w:lineRule="auto" w:before="60"/>
              <w:ind w:left="830" w:right="232"/>
              <w:rPr>
                <w:sz w:val="20"/>
              </w:rPr>
            </w:pPr>
            <w:r>
              <w:rPr>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w:t>
            </w:r>
            <w:r>
              <w:rPr>
                <w:spacing w:val="-13"/>
                <w:sz w:val="20"/>
              </w:rPr>
              <w:t> </w:t>
            </w:r>
            <w:r>
              <w:rPr>
                <w:sz w:val="20"/>
              </w:rPr>
              <w:t>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w:t>
            </w:r>
            <w:r>
              <w:rPr>
                <w:spacing w:val="-13"/>
                <w:sz w:val="20"/>
              </w:rPr>
              <w:t> </w:t>
            </w:r>
            <w:r>
              <w:rPr>
                <w:sz w:val="20"/>
              </w:rPr>
              <w:t>механотерапии</w:t>
            </w:r>
            <w:r>
              <w:rPr>
                <w:spacing w:val="-12"/>
                <w:sz w:val="20"/>
              </w:rPr>
              <w:t> </w:t>
            </w:r>
            <w:r>
              <w:rPr>
                <w:sz w:val="20"/>
              </w:rPr>
              <w:t>и</w:t>
            </w:r>
            <w:r>
              <w:rPr>
                <w:spacing w:val="-13"/>
                <w:sz w:val="20"/>
              </w:rPr>
              <w:t> </w:t>
            </w:r>
            <w:r>
              <w:rPr>
                <w:sz w:val="20"/>
              </w:rPr>
              <w:t>(или) ботулинотерапии под контролем комплекса нейровизуализационных и (или) нейрофункциональных методов </w:t>
            </w:r>
            <w:r>
              <w:rPr>
                <w:spacing w:val="-2"/>
                <w:sz w:val="20"/>
              </w:rPr>
              <w:t>обследования</w:t>
            </w:r>
          </w:p>
        </w:tc>
        <w:tc>
          <w:tcPr>
            <w:tcW w:w="1017"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47.</w:t>
            </w:r>
          </w:p>
        </w:tc>
        <w:tc>
          <w:tcPr>
            <w:tcW w:w="2847" w:type="dxa"/>
          </w:tcPr>
          <w:p>
            <w:pPr>
              <w:pStyle w:val="TableParagraph"/>
              <w:spacing w:line="249" w:lineRule="auto" w:before="60"/>
              <w:ind w:left="155" w:right="91"/>
              <w:rPr>
                <w:sz w:val="20"/>
              </w:rPr>
            </w:pPr>
            <w:r>
              <w:rPr>
                <w:sz w:val="20"/>
              </w:rPr>
              <w:t>Лечение</w:t>
            </w:r>
            <w:r>
              <w:rPr>
                <w:spacing w:val="-13"/>
                <w:sz w:val="20"/>
              </w:rPr>
              <w:t> </w:t>
            </w:r>
            <w:r>
              <w:rPr>
                <w:sz w:val="20"/>
              </w:rPr>
              <w:t>сахарного</w:t>
            </w:r>
            <w:r>
              <w:rPr>
                <w:spacing w:val="-12"/>
                <w:sz w:val="20"/>
              </w:rPr>
              <w:t> </w:t>
            </w:r>
            <w:r>
              <w:rPr>
                <w:sz w:val="20"/>
              </w:rPr>
              <w:t>диабета</w:t>
            </w:r>
            <w:r>
              <w:rPr>
                <w:spacing w:val="-13"/>
                <w:sz w:val="20"/>
              </w:rPr>
              <w:t> </w:t>
            </w:r>
            <w:r>
              <w:rPr>
                <w:sz w:val="20"/>
              </w:rPr>
              <w:t>у детей с использованием систем непрерывного введения инсулина с гибридной обратной связью</w:t>
            </w:r>
          </w:p>
        </w:tc>
        <w:tc>
          <w:tcPr>
            <w:tcW w:w="2021" w:type="dxa"/>
          </w:tcPr>
          <w:p>
            <w:pPr>
              <w:pStyle w:val="TableParagraph"/>
              <w:spacing w:before="60"/>
              <w:ind w:left="208"/>
              <w:rPr>
                <w:sz w:val="20"/>
              </w:rPr>
            </w:pPr>
            <w:r>
              <w:rPr>
                <w:sz w:val="20"/>
              </w:rPr>
              <w:t>E10.2,</w:t>
            </w:r>
            <w:r>
              <w:rPr>
                <w:spacing w:val="-6"/>
                <w:sz w:val="20"/>
              </w:rPr>
              <w:t> </w:t>
            </w:r>
            <w:r>
              <w:rPr>
                <w:sz w:val="20"/>
              </w:rPr>
              <w:t>Е10.3.</w:t>
            </w:r>
            <w:r>
              <w:rPr>
                <w:spacing w:val="-3"/>
                <w:sz w:val="20"/>
              </w:rPr>
              <w:t> </w:t>
            </w:r>
            <w:r>
              <w:rPr>
                <w:spacing w:val="-2"/>
                <w:sz w:val="20"/>
              </w:rPr>
              <w:t>Е10.4,</w:t>
            </w:r>
          </w:p>
          <w:p>
            <w:pPr>
              <w:pStyle w:val="TableParagraph"/>
              <w:spacing w:line="249" w:lineRule="auto" w:before="11"/>
              <w:ind w:left="520" w:hanging="312"/>
              <w:rPr>
                <w:sz w:val="20"/>
              </w:rPr>
            </w:pPr>
            <w:r>
              <w:rPr>
                <w:sz w:val="20"/>
              </w:rPr>
              <w:t>Е10.5,</w:t>
            </w:r>
            <w:r>
              <w:rPr>
                <w:spacing w:val="-13"/>
                <w:sz w:val="20"/>
              </w:rPr>
              <w:t> </w:t>
            </w:r>
            <w:r>
              <w:rPr>
                <w:sz w:val="20"/>
              </w:rPr>
              <w:t>Е10.6,</w:t>
            </w:r>
            <w:r>
              <w:rPr>
                <w:spacing w:val="-12"/>
                <w:sz w:val="20"/>
              </w:rPr>
              <w:t> </w:t>
            </w:r>
            <w:r>
              <w:rPr>
                <w:sz w:val="20"/>
              </w:rPr>
              <w:t>Е10.7, Е10.8, Е10.9</w:t>
            </w:r>
          </w:p>
        </w:tc>
        <w:tc>
          <w:tcPr>
            <w:tcW w:w="4100" w:type="dxa"/>
          </w:tcPr>
          <w:p>
            <w:pPr>
              <w:pStyle w:val="TableParagraph"/>
              <w:spacing w:line="249" w:lineRule="auto" w:before="60"/>
              <w:ind w:left="148" w:right="780"/>
              <w:rPr>
                <w:sz w:val="20"/>
              </w:rPr>
            </w:pPr>
            <w:r>
              <w:rPr>
                <w:sz w:val="20"/>
              </w:rPr>
              <w:t>сахарный диабет 1 типа в детском возрасте, сопровождающийся высокой</w:t>
            </w:r>
            <w:r>
              <w:rPr>
                <w:spacing w:val="-13"/>
                <w:sz w:val="20"/>
              </w:rPr>
              <w:t> </w:t>
            </w:r>
            <w:r>
              <w:rPr>
                <w:sz w:val="20"/>
              </w:rPr>
              <w:t>вариабельностью</w:t>
            </w:r>
            <w:r>
              <w:rPr>
                <w:spacing w:val="-12"/>
                <w:sz w:val="20"/>
              </w:rPr>
              <w:t> </w:t>
            </w:r>
            <w:r>
              <w:rPr>
                <w:sz w:val="20"/>
              </w:rPr>
              <w:t>гликемии в виде подтвержденных эпизодов частой легкой или тяжелой </w:t>
            </w:r>
            <w:r>
              <w:rPr>
                <w:spacing w:val="-2"/>
                <w:sz w:val="20"/>
              </w:rPr>
              <w:t>гипогликемии</w:t>
            </w:r>
          </w:p>
        </w:tc>
        <w:tc>
          <w:tcPr>
            <w:tcW w:w="4658" w:type="dxa"/>
          </w:tcPr>
          <w:p>
            <w:pPr>
              <w:pStyle w:val="TableParagraph"/>
              <w:spacing w:line="240" w:lineRule="atLeast" w:before="30"/>
              <w:ind w:left="830" w:right="304"/>
              <w:rPr>
                <w:sz w:val="20"/>
              </w:rPr>
            </w:pPr>
            <w:r>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w:t>
            </w:r>
            <w:r>
              <w:rPr>
                <w:spacing w:val="-13"/>
                <w:sz w:val="20"/>
              </w:rPr>
              <w:t> </w:t>
            </w:r>
            <w:r>
              <w:rPr>
                <w:sz w:val="20"/>
              </w:rPr>
              <w:t>проведения</w:t>
            </w:r>
            <w:r>
              <w:rPr>
                <w:spacing w:val="-12"/>
                <w:sz w:val="20"/>
              </w:rPr>
              <w:t> </w:t>
            </w:r>
            <w:r>
              <w:rPr>
                <w:sz w:val="20"/>
              </w:rPr>
              <w:t>мониторинга и контроля проводимого лечения у пациента с сахарным диабетом</w:t>
            </w:r>
          </w:p>
        </w:tc>
        <w:tc>
          <w:tcPr>
            <w:tcW w:w="1017" w:type="dxa"/>
          </w:tcPr>
          <w:p>
            <w:pPr>
              <w:pStyle w:val="TableParagraph"/>
              <w:spacing w:before="60"/>
              <w:ind w:left="365"/>
              <w:rPr>
                <w:sz w:val="20"/>
              </w:rPr>
            </w:pPr>
            <w:r>
              <w:rPr>
                <w:spacing w:val="-2"/>
                <w:sz w:val="20"/>
              </w:rPr>
              <w:t>524333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4"/>
        <w:gridCol w:w="2141"/>
        <w:gridCol w:w="3290"/>
        <w:gridCol w:w="1444"/>
        <w:gridCol w:w="3924"/>
        <w:gridCol w:w="1029"/>
      </w:tblGrid>
      <w:tr>
        <w:trPr>
          <w:trHeight w:val="1970" w:hRule="atLeast"/>
        </w:trPr>
        <w:tc>
          <w:tcPr>
            <w:tcW w:w="458" w:type="dxa"/>
          </w:tcPr>
          <w:p>
            <w:pPr>
              <w:pStyle w:val="TableParagraph"/>
              <w:rPr>
                <w:sz w:val="18"/>
              </w:rPr>
            </w:pPr>
          </w:p>
        </w:tc>
        <w:tc>
          <w:tcPr>
            <w:tcW w:w="2814" w:type="dxa"/>
          </w:tcPr>
          <w:p>
            <w:pPr>
              <w:pStyle w:val="TableParagraph"/>
              <w:rPr>
                <w:sz w:val="18"/>
              </w:rPr>
            </w:pPr>
          </w:p>
        </w:tc>
        <w:tc>
          <w:tcPr>
            <w:tcW w:w="2141" w:type="dxa"/>
          </w:tcPr>
          <w:p>
            <w:pPr>
              <w:pStyle w:val="TableParagraph"/>
              <w:rPr>
                <w:sz w:val="18"/>
              </w:rPr>
            </w:pPr>
          </w:p>
        </w:tc>
        <w:tc>
          <w:tcPr>
            <w:tcW w:w="3290" w:type="dxa"/>
          </w:tcPr>
          <w:p>
            <w:pPr>
              <w:pStyle w:val="TableParagraph"/>
              <w:rPr>
                <w:sz w:val="18"/>
              </w:rPr>
            </w:pPr>
          </w:p>
        </w:tc>
        <w:tc>
          <w:tcPr>
            <w:tcW w:w="1444" w:type="dxa"/>
          </w:tcPr>
          <w:p>
            <w:pPr>
              <w:pStyle w:val="TableParagraph"/>
              <w:rPr>
                <w:sz w:val="18"/>
              </w:rPr>
            </w:pPr>
          </w:p>
        </w:tc>
        <w:tc>
          <w:tcPr>
            <w:tcW w:w="3924" w:type="dxa"/>
          </w:tcPr>
          <w:p>
            <w:pPr>
              <w:pStyle w:val="TableParagraph"/>
              <w:spacing w:line="249" w:lineRule="auto"/>
              <w:ind w:left="109" w:right="336"/>
              <w:rPr>
                <w:sz w:val="20"/>
              </w:rPr>
            </w:pPr>
            <w:r>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w:t>
            </w:r>
            <w:r>
              <w:rPr>
                <w:spacing w:val="-13"/>
                <w:sz w:val="20"/>
              </w:rPr>
              <w:t> </w:t>
            </w:r>
            <w:r>
              <w:rPr>
                <w:sz w:val="20"/>
              </w:rPr>
              <w:t>проведения</w:t>
            </w:r>
            <w:r>
              <w:rPr>
                <w:spacing w:val="-12"/>
                <w:sz w:val="20"/>
              </w:rPr>
              <w:t> </w:t>
            </w:r>
            <w:r>
              <w:rPr>
                <w:sz w:val="20"/>
              </w:rPr>
              <w:t>мониторинга и контроля проводимого лечения у пациента с сахарным диабетом</w:t>
            </w:r>
          </w:p>
        </w:tc>
        <w:tc>
          <w:tcPr>
            <w:tcW w:w="1029" w:type="dxa"/>
          </w:tcPr>
          <w:p>
            <w:pPr>
              <w:pStyle w:val="TableParagraph"/>
              <w:rPr>
                <w:sz w:val="18"/>
              </w:rPr>
            </w:pPr>
          </w:p>
        </w:tc>
      </w:tr>
      <w:tr>
        <w:trPr>
          <w:trHeight w:val="360" w:hRule="atLeast"/>
        </w:trPr>
        <w:tc>
          <w:tcPr>
            <w:tcW w:w="15100" w:type="dxa"/>
            <w:gridSpan w:val="7"/>
          </w:tcPr>
          <w:p>
            <w:pPr>
              <w:pStyle w:val="TableParagraph"/>
              <w:spacing w:before="60"/>
              <w:ind w:left="6383" w:right="6082"/>
              <w:jc w:val="center"/>
              <w:rPr>
                <w:sz w:val="20"/>
              </w:rPr>
            </w:pPr>
            <w:r>
              <w:rPr>
                <w:w w:val="95"/>
                <w:sz w:val="20"/>
              </w:rPr>
              <w:t>Сердечно-сосудистая</w:t>
            </w:r>
            <w:r>
              <w:rPr>
                <w:spacing w:val="72"/>
                <w:sz w:val="20"/>
              </w:rPr>
              <w:t> </w:t>
            </w:r>
            <w:r>
              <w:rPr>
                <w:spacing w:val="-2"/>
                <w:w w:val="95"/>
                <w:sz w:val="20"/>
              </w:rPr>
              <w:t>хирургия</w:t>
            </w:r>
          </w:p>
        </w:tc>
      </w:tr>
      <w:tr>
        <w:trPr>
          <w:trHeight w:val="1080" w:hRule="atLeast"/>
        </w:trPr>
        <w:tc>
          <w:tcPr>
            <w:tcW w:w="458" w:type="dxa"/>
          </w:tcPr>
          <w:p>
            <w:pPr>
              <w:pStyle w:val="TableParagraph"/>
              <w:spacing w:before="60"/>
              <w:ind w:left="50"/>
              <w:rPr>
                <w:sz w:val="20"/>
              </w:rPr>
            </w:pPr>
            <w:r>
              <w:rPr>
                <w:spacing w:val="-5"/>
                <w:sz w:val="20"/>
              </w:rPr>
              <w:t>48.</w:t>
            </w:r>
          </w:p>
        </w:tc>
        <w:tc>
          <w:tcPr>
            <w:tcW w:w="2814" w:type="dxa"/>
            <w:vMerge w:val="restart"/>
          </w:tcPr>
          <w:p>
            <w:pPr>
              <w:pStyle w:val="TableParagraph"/>
              <w:spacing w:line="249" w:lineRule="auto" w:before="60"/>
              <w:ind w:left="155" w:right="63"/>
              <w:rPr>
                <w:sz w:val="20"/>
              </w:rPr>
            </w:pPr>
            <w:r>
              <w:rPr>
                <w:sz w:val="20"/>
              </w:rPr>
              <w:t>Коронарная</w:t>
            </w:r>
            <w:r>
              <w:rPr>
                <w:spacing w:val="-13"/>
                <w:sz w:val="20"/>
              </w:rPr>
              <w:t> </w:t>
            </w:r>
            <w:r>
              <w:rPr>
                <w:sz w:val="20"/>
              </w:rPr>
              <w:t>реваскуляризация миокарда с применением </w:t>
            </w:r>
            <w:r>
              <w:rPr>
                <w:spacing w:val="-2"/>
                <w:sz w:val="20"/>
              </w:rPr>
              <w:t>аортокоронарного </w:t>
            </w:r>
            <w:r>
              <w:rPr>
                <w:sz w:val="20"/>
              </w:rPr>
              <w:t>шунтирования при ишемической болезни и различных формах сочетанной патологии</w:t>
            </w:r>
          </w:p>
        </w:tc>
        <w:tc>
          <w:tcPr>
            <w:tcW w:w="2141" w:type="dxa"/>
          </w:tcPr>
          <w:p>
            <w:pPr>
              <w:pStyle w:val="TableParagraph"/>
              <w:spacing w:before="60"/>
              <w:ind w:left="58" w:right="52"/>
              <w:jc w:val="center"/>
              <w:rPr>
                <w:sz w:val="20"/>
              </w:rPr>
            </w:pPr>
            <w:r>
              <w:rPr>
                <w:sz w:val="20"/>
              </w:rPr>
              <w:t>I20.1,</w:t>
            </w:r>
            <w:r>
              <w:rPr>
                <w:spacing w:val="-5"/>
                <w:sz w:val="20"/>
              </w:rPr>
              <w:t> </w:t>
            </w:r>
            <w:r>
              <w:rPr>
                <w:sz w:val="20"/>
              </w:rPr>
              <w:t>I20.8,</w:t>
            </w:r>
            <w:r>
              <w:rPr>
                <w:spacing w:val="-6"/>
                <w:sz w:val="20"/>
              </w:rPr>
              <w:t> </w:t>
            </w:r>
            <w:r>
              <w:rPr>
                <w:sz w:val="20"/>
              </w:rPr>
              <w:t>I20.9,</w:t>
            </w:r>
            <w:r>
              <w:rPr>
                <w:spacing w:val="-4"/>
                <w:sz w:val="20"/>
              </w:rPr>
              <w:t> I25,</w:t>
            </w:r>
          </w:p>
          <w:p>
            <w:pPr>
              <w:pStyle w:val="TableParagraph"/>
              <w:spacing w:before="10"/>
              <w:ind w:left="58" w:right="53"/>
              <w:jc w:val="center"/>
              <w:rPr>
                <w:sz w:val="20"/>
              </w:rPr>
            </w:pPr>
            <w:r>
              <w:rPr>
                <w:sz w:val="20"/>
              </w:rPr>
              <w:t>I44.1,</w:t>
            </w:r>
            <w:r>
              <w:rPr>
                <w:spacing w:val="-5"/>
                <w:sz w:val="20"/>
              </w:rPr>
              <w:t> </w:t>
            </w:r>
            <w:r>
              <w:rPr>
                <w:sz w:val="20"/>
              </w:rPr>
              <w:t>I44.2,</w:t>
            </w:r>
            <w:r>
              <w:rPr>
                <w:spacing w:val="-7"/>
                <w:sz w:val="20"/>
              </w:rPr>
              <w:t> </w:t>
            </w:r>
            <w:r>
              <w:rPr>
                <w:sz w:val="20"/>
              </w:rPr>
              <w:t>I45.2,</w:t>
            </w:r>
            <w:r>
              <w:rPr>
                <w:spacing w:val="-4"/>
                <w:sz w:val="20"/>
              </w:rPr>
              <w:t> </w:t>
            </w:r>
            <w:r>
              <w:rPr>
                <w:spacing w:val="-2"/>
                <w:sz w:val="20"/>
              </w:rPr>
              <w:t>I45.3,</w:t>
            </w:r>
          </w:p>
          <w:p>
            <w:pPr>
              <w:pStyle w:val="TableParagraph"/>
              <w:spacing w:line="249" w:lineRule="auto" w:before="10"/>
              <w:ind w:left="325" w:right="314"/>
              <w:jc w:val="center"/>
              <w:rPr>
                <w:sz w:val="20"/>
              </w:rPr>
            </w:pPr>
            <w:r>
              <w:rPr>
                <w:sz w:val="20"/>
              </w:rPr>
              <w:t>I45.6,</w:t>
            </w:r>
            <w:r>
              <w:rPr>
                <w:spacing w:val="-13"/>
                <w:sz w:val="20"/>
              </w:rPr>
              <w:t> </w:t>
            </w:r>
            <w:r>
              <w:rPr>
                <w:sz w:val="20"/>
              </w:rPr>
              <w:t>I46.0,</w:t>
            </w:r>
            <w:r>
              <w:rPr>
                <w:spacing w:val="-12"/>
                <w:sz w:val="20"/>
              </w:rPr>
              <w:t> </w:t>
            </w:r>
            <w:r>
              <w:rPr>
                <w:sz w:val="20"/>
              </w:rPr>
              <w:t>I49.5, Q21.0, Q24.6</w:t>
            </w:r>
          </w:p>
        </w:tc>
        <w:tc>
          <w:tcPr>
            <w:tcW w:w="3290" w:type="dxa"/>
            <w:vMerge w:val="restart"/>
          </w:tcPr>
          <w:p>
            <w:pPr>
              <w:pStyle w:val="TableParagraph"/>
              <w:spacing w:line="249" w:lineRule="auto" w:before="60"/>
              <w:ind w:left="61" w:right="111"/>
              <w:rPr>
                <w:sz w:val="20"/>
              </w:rPr>
            </w:pPr>
            <w:r>
              <w:rPr>
                <w:sz w:val="20"/>
              </w:rPr>
              <w:t>ишемическая болезнь сердца со значительным проксимальным стенозированием главного ствола левой</w:t>
            </w:r>
            <w:r>
              <w:rPr>
                <w:spacing w:val="-13"/>
                <w:sz w:val="20"/>
              </w:rPr>
              <w:t> </w:t>
            </w:r>
            <w:r>
              <w:rPr>
                <w:sz w:val="20"/>
              </w:rPr>
              <w:t>коронарной</w:t>
            </w:r>
            <w:r>
              <w:rPr>
                <w:spacing w:val="-12"/>
                <w:sz w:val="20"/>
              </w:rPr>
              <w:t> </w:t>
            </w:r>
            <w:r>
              <w:rPr>
                <w:sz w:val="20"/>
              </w:rPr>
              <w:t>артерии,</w:t>
            </w:r>
            <w:r>
              <w:rPr>
                <w:spacing w:val="-13"/>
                <w:sz w:val="20"/>
              </w:rPr>
              <w:t> </w:t>
            </w:r>
            <w:r>
              <w:rPr>
                <w:sz w:val="20"/>
              </w:rPr>
              <w:t>наличие 3 и более стенозов коронарных артерий в сочетании с патологией</w:t>
            </w:r>
          </w:p>
          <w:p>
            <w:pPr>
              <w:pStyle w:val="TableParagraph"/>
              <w:spacing w:line="249" w:lineRule="auto" w:before="6"/>
              <w:ind w:left="61" w:right="76"/>
              <w:rPr>
                <w:sz w:val="20"/>
              </w:rPr>
            </w:pPr>
            <w:r>
              <w:rPr>
                <w:sz w:val="20"/>
              </w:rPr>
              <w:t>1 или 2 клапанов сердца, аневризмой, дефектом межжелудочковой перегородки, нарушениями ритма и проводимости,</w:t>
            </w:r>
            <w:r>
              <w:rPr>
                <w:spacing w:val="-13"/>
                <w:sz w:val="20"/>
              </w:rPr>
              <w:t> </w:t>
            </w:r>
            <w:r>
              <w:rPr>
                <w:sz w:val="20"/>
              </w:rPr>
              <w:t>другими</w:t>
            </w:r>
            <w:r>
              <w:rPr>
                <w:spacing w:val="-12"/>
                <w:sz w:val="20"/>
              </w:rPr>
              <w:t> </w:t>
            </w:r>
            <w:r>
              <w:rPr>
                <w:sz w:val="20"/>
              </w:rPr>
              <w:t>полостными </w:t>
            </w:r>
            <w:r>
              <w:rPr>
                <w:spacing w:val="-2"/>
                <w:sz w:val="20"/>
              </w:rPr>
              <w:t>операциями</w:t>
            </w:r>
          </w:p>
        </w:tc>
        <w:tc>
          <w:tcPr>
            <w:tcW w:w="1444" w:type="dxa"/>
          </w:tcPr>
          <w:p>
            <w:pPr>
              <w:pStyle w:val="TableParagraph"/>
              <w:spacing w:line="249" w:lineRule="auto" w:before="60"/>
              <w:ind w:left="79"/>
              <w:rPr>
                <w:sz w:val="20"/>
              </w:rPr>
            </w:pPr>
            <w:r>
              <w:rPr>
                <w:spacing w:val="-2"/>
                <w:sz w:val="20"/>
              </w:rPr>
              <w:t>хирургическое лечение</w:t>
            </w:r>
          </w:p>
        </w:tc>
        <w:tc>
          <w:tcPr>
            <w:tcW w:w="3924" w:type="dxa"/>
          </w:tcPr>
          <w:p>
            <w:pPr>
              <w:pStyle w:val="TableParagraph"/>
              <w:spacing w:line="249" w:lineRule="auto" w:before="60"/>
              <w:ind w:left="109" w:right="336"/>
              <w:rPr>
                <w:sz w:val="20"/>
              </w:rPr>
            </w:pPr>
            <w:r>
              <w:rPr>
                <w:sz w:val="20"/>
              </w:rPr>
              <w:t>аортокоронарное шунтирование у больных</w:t>
            </w:r>
            <w:r>
              <w:rPr>
                <w:spacing w:val="-13"/>
                <w:sz w:val="20"/>
              </w:rPr>
              <w:t> </w:t>
            </w:r>
            <w:r>
              <w:rPr>
                <w:sz w:val="20"/>
              </w:rPr>
              <w:t>ишемической</w:t>
            </w:r>
            <w:r>
              <w:rPr>
                <w:spacing w:val="-12"/>
                <w:sz w:val="20"/>
              </w:rPr>
              <w:t> </w:t>
            </w:r>
            <w:r>
              <w:rPr>
                <w:sz w:val="20"/>
              </w:rPr>
              <w:t>болезнью</w:t>
            </w:r>
            <w:r>
              <w:rPr>
                <w:spacing w:val="-13"/>
                <w:sz w:val="20"/>
              </w:rPr>
              <w:t> </w:t>
            </w:r>
            <w:r>
              <w:rPr>
                <w:sz w:val="20"/>
              </w:rPr>
              <w:t>сердца в условиях искусственного </w:t>
            </w:r>
            <w:r>
              <w:rPr>
                <w:spacing w:val="-2"/>
                <w:sz w:val="20"/>
              </w:rPr>
              <w:t>кровоснабжения</w:t>
            </w:r>
          </w:p>
        </w:tc>
        <w:tc>
          <w:tcPr>
            <w:tcW w:w="1029" w:type="dxa"/>
          </w:tcPr>
          <w:p>
            <w:pPr>
              <w:pStyle w:val="TableParagraph"/>
              <w:spacing w:before="60"/>
              <w:ind w:left="378"/>
              <w:rPr>
                <w:sz w:val="20"/>
              </w:rPr>
            </w:pPr>
            <w:r>
              <w:rPr>
                <w:spacing w:val="-2"/>
                <w:sz w:val="20"/>
              </w:rPr>
              <w:t>391761</w:t>
            </w:r>
          </w:p>
        </w:tc>
      </w:tr>
      <w:tr>
        <w:trPr>
          <w:trHeight w:val="840" w:hRule="atLeast"/>
        </w:trPr>
        <w:tc>
          <w:tcPr>
            <w:tcW w:w="458" w:type="dxa"/>
          </w:tcPr>
          <w:p>
            <w:pPr>
              <w:pStyle w:val="TableParagraph"/>
              <w:rPr>
                <w:sz w:val="18"/>
              </w:rPr>
            </w:pPr>
          </w:p>
        </w:tc>
        <w:tc>
          <w:tcPr>
            <w:tcW w:w="2814" w:type="dxa"/>
            <w:vMerge/>
            <w:tcBorders>
              <w:top w:val="nil"/>
            </w:tcBorders>
          </w:tcPr>
          <w:p>
            <w:pPr>
              <w:rPr>
                <w:sz w:val="2"/>
                <w:szCs w:val="2"/>
              </w:rPr>
            </w:pPr>
          </w:p>
        </w:tc>
        <w:tc>
          <w:tcPr>
            <w:tcW w:w="2141" w:type="dxa"/>
          </w:tcPr>
          <w:p>
            <w:pPr>
              <w:pStyle w:val="TableParagraph"/>
              <w:rPr>
                <w:sz w:val="18"/>
              </w:rPr>
            </w:pPr>
          </w:p>
        </w:tc>
        <w:tc>
          <w:tcPr>
            <w:tcW w:w="3290" w:type="dxa"/>
            <w:vMerge/>
            <w:tcBorders>
              <w:top w:val="nil"/>
            </w:tcBorders>
          </w:tcPr>
          <w:p>
            <w:pPr>
              <w:rPr>
                <w:sz w:val="2"/>
                <w:szCs w:val="2"/>
              </w:rPr>
            </w:pPr>
          </w:p>
        </w:tc>
        <w:tc>
          <w:tcPr>
            <w:tcW w:w="1444" w:type="dxa"/>
          </w:tcPr>
          <w:p>
            <w:pPr>
              <w:pStyle w:val="TableParagraph"/>
              <w:rPr>
                <w:sz w:val="18"/>
              </w:rPr>
            </w:pPr>
          </w:p>
        </w:tc>
        <w:tc>
          <w:tcPr>
            <w:tcW w:w="3924" w:type="dxa"/>
          </w:tcPr>
          <w:p>
            <w:pPr>
              <w:pStyle w:val="TableParagraph"/>
              <w:spacing w:line="249" w:lineRule="auto" w:before="60"/>
              <w:ind w:left="109" w:right="336"/>
              <w:rPr>
                <w:sz w:val="20"/>
              </w:rPr>
            </w:pPr>
            <w:r>
              <w:rPr>
                <w:sz w:val="20"/>
              </w:rPr>
              <w:t>аортокоронарное шунтирование у больных</w:t>
            </w:r>
            <w:r>
              <w:rPr>
                <w:spacing w:val="-13"/>
                <w:sz w:val="20"/>
              </w:rPr>
              <w:t> </w:t>
            </w:r>
            <w:r>
              <w:rPr>
                <w:sz w:val="20"/>
              </w:rPr>
              <w:t>ишемической</w:t>
            </w:r>
            <w:r>
              <w:rPr>
                <w:spacing w:val="-12"/>
                <w:sz w:val="20"/>
              </w:rPr>
              <w:t> </w:t>
            </w:r>
            <w:r>
              <w:rPr>
                <w:sz w:val="20"/>
              </w:rPr>
              <w:t>болезнью</w:t>
            </w:r>
            <w:r>
              <w:rPr>
                <w:spacing w:val="-13"/>
                <w:sz w:val="20"/>
              </w:rPr>
              <w:t> </w:t>
            </w:r>
            <w:r>
              <w:rPr>
                <w:sz w:val="20"/>
              </w:rPr>
              <w:t>сердца на работающем сердце</w:t>
            </w:r>
          </w:p>
        </w:tc>
        <w:tc>
          <w:tcPr>
            <w:tcW w:w="1029" w:type="dxa"/>
          </w:tcPr>
          <w:p>
            <w:pPr>
              <w:pStyle w:val="TableParagraph"/>
              <w:rPr>
                <w:sz w:val="18"/>
              </w:rPr>
            </w:pPr>
          </w:p>
        </w:tc>
      </w:tr>
      <w:tr>
        <w:trPr>
          <w:trHeight w:val="840" w:hRule="atLeast"/>
        </w:trPr>
        <w:tc>
          <w:tcPr>
            <w:tcW w:w="458" w:type="dxa"/>
          </w:tcPr>
          <w:p>
            <w:pPr>
              <w:pStyle w:val="TableParagraph"/>
              <w:rPr>
                <w:sz w:val="18"/>
              </w:rPr>
            </w:pPr>
          </w:p>
        </w:tc>
        <w:tc>
          <w:tcPr>
            <w:tcW w:w="2814" w:type="dxa"/>
          </w:tcPr>
          <w:p>
            <w:pPr>
              <w:pStyle w:val="TableParagraph"/>
              <w:rPr>
                <w:sz w:val="18"/>
              </w:rPr>
            </w:pPr>
          </w:p>
        </w:tc>
        <w:tc>
          <w:tcPr>
            <w:tcW w:w="2141" w:type="dxa"/>
          </w:tcPr>
          <w:p>
            <w:pPr>
              <w:pStyle w:val="TableParagraph"/>
              <w:rPr>
                <w:sz w:val="18"/>
              </w:rPr>
            </w:pPr>
          </w:p>
        </w:tc>
        <w:tc>
          <w:tcPr>
            <w:tcW w:w="3290" w:type="dxa"/>
            <w:vMerge/>
            <w:tcBorders>
              <w:top w:val="nil"/>
            </w:tcBorders>
          </w:tcPr>
          <w:p>
            <w:pPr>
              <w:rPr>
                <w:sz w:val="2"/>
                <w:szCs w:val="2"/>
              </w:rPr>
            </w:pPr>
          </w:p>
        </w:tc>
        <w:tc>
          <w:tcPr>
            <w:tcW w:w="1444" w:type="dxa"/>
          </w:tcPr>
          <w:p>
            <w:pPr>
              <w:pStyle w:val="TableParagraph"/>
              <w:rPr>
                <w:sz w:val="18"/>
              </w:rPr>
            </w:pPr>
          </w:p>
        </w:tc>
        <w:tc>
          <w:tcPr>
            <w:tcW w:w="3924" w:type="dxa"/>
          </w:tcPr>
          <w:p>
            <w:pPr>
              <w:pStyle w:val="TableParagraph"/>
              <w:spacing w:line="249" w:lineRule="auto" w:before="60"/>
              <w:ind w:left="109" w:right="336"/>
              <w:rPr>
                <w:sz w:val="20"/>
              </w:rPr>
            </w:pPr>
            <w:r>
              <w:rPr>
                <w:sz w:val="20"/>
              </w:rPr>
              <w:t>аортокоронарное</w:t>
            </w:r>
            <w:r>
              <w:rPr>
                <w:spacing w:val="-13"/>
                <w:sz w:val="20"/>
              </w:rPr>
              <w:t> </w:t>
            </w:r>
            <w:r>
              <w:rPr>
                <w:sz w:val="20"/>
              </w:rPr>
              <w:t>шунтирование</w:t>
            </w:r>
            <w:r>
              <w:rPr>
                <w:spacing w:val="-12"/>
                <w:sz w:val="20"/>
              </w:rPr>
              <w:t> </w:t>
            </w:r>
            <w:r>
              <w:rPr>
                <w:sz w:val="20"/>
              </w:rPr>
              <w:t>в сочетании с пластикой (протезированием)</w:t>
            </w:r>
            <w:r>
              <w:rPr>
                <w:spacing w:val="-3"/>
                <w:sz w:val="20"/>
              </w:rPr>
              <w:t> </w:t>
            </w:r>
            <w:r>
              <w:rPr>
                <w:sz w:val="20"/>
              </w:rPr>
              <w:t>1 -</w:t>
            </w:r>
            <w:r>
              <w:rPr>
                <w:spacing w:val="-5"/>
                <w:sz w:val="20"/>
              </w:rPr>
              <w:t> </w:t>
            </w:r>
            <w:r>
              <w:rPr>
                <w:sz w:val="20"/>
              </w:rPr>
              <w:t>2</w:t>
            </w:r>
            <w:r>
              <w:rPr>
                <w:spacing w:val="-2"/>
                <w:sz w:val="20"/>
              </w:rPr>
              <w:t> </w:t>
            </w:r>
            <w:r>
              <w:rPr>
                <w:sz w:val="20"/>
              </w:rPr>
              <w:t>клапанов</w:t>
            </w:r>
          </w:p>
        </w:tc>
        <w:tc>
          <w:tcPr>
            <w:tcW w:w="1029" w:type="dxa"/>
          </w:tcPr>
          <w:p>
            <w:pPr>
              <w:pStyle w:val="TableParagraph"/>
              <w:rPr>
                <w:sz w:val="18"/>
              </w:rPr>
            </w:pPr>
          </w:p>
        </w:tc>
      </w:tr>
      <w:tr>
        <w:trPr>
          <w:trHeight w:val="2450" w:hRule="atLeast"/>
        </w:trPr>
        <w:tc>
          <w:tcPr>
            <w:tcW w:w="458" w:type="dxa"/>
          </w:tcPr>
          <w:p>
            <w:pPr>
              <w:pStyle w:val="TableParagraph"/>
              <w:rPr>
                <w:sz w:val="18"/>
              </w:rPr>
            </w:pPr>
          </w:p>
        </w:tc>
        <w:tc>
          <w:tcPr>
            <w:tcW w:w="2814" w:type="dxa"/>
          </w:tcPr>
          <w:p>
            <w:pPr>
              <w:pStyle w:val="TableParagraph"/>
              <w:rPr>
                <w:sz w:val="18"/>
              </w:rPr>
            </w:pPr>
          </w:p>
        </w:tc>
        <w:tc>
          <w:tcPr>
            <w:tcW w:w="2141" w:type="dxa"/>
          </w:tcPr>
          <w:p>
            <w:pPr>
              <w:pStyle w:val="TableParagraph"/>
              <w:rPr>
                <w:sz w:val="18"/>
              </w:rPr>
            </w:pPr>
          </w:p>
        </w:tc>
        <w:tc>
          <w:tcPr>
            <w:tcW w:w="3290" w:type="dxa"/>
            <w:vMerge/>
            <w:tcBorders>
              <w:top w:val="nil"/>
            </w:tcBorders>
          </w:tcPr>
          <w:p>
            <w:pPr>
              <w:rPr>
                <w:sz w:val="2"/>
                <w:szCs w:val="2"/>
              </w:rPr>
            </w:pPr>
          </w:p>
        </w:tc>
        <w:tc>
          <w:tcPr>
            <w:tcW w:w="1444" w:type="dxa"/>
          </w:tcPr>
          <w:p>
            <w:pPr>
              <w:pStyle w:val="TableParagraph"/>
              <w:rPr>
                <w:sz w:val="18"/>
              </w:rPr>
            </w:pPr>
          </w:p>
        </w:tc>
        <w:tc>
          <w:tcPr>
            <w:tcW w:w="3924" w:type="dxa"/>
          </w:tcPr>
          <w:p>
            <w:pPr>
              <w:pStyle w:val="TableParagraph"/>
              <w:spacing w:line="249" w:lineRule="auto" w:before="60"/>
              <w:ind w:left="109" w:right="278"/>
              <w:rPr>
                <w:sz w:val="20"/>
              </w:rPr>
            </w:pPr>
            <w:r>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w:t>
            </w:r>
            <w:r>
              <w:rPr>
                <w:spacing w:val="-2"/>
                <w:sz w:val="20"/>
              </w:rPr>
              <w:t>имплантацией электрокардиостимулятора, </w:t>
            </w:r>
            <w:r>
              <w:rPr>
                <w:sz w:val="20"/>
              </w:rPr>
              <w:t>кардиовертера-дефибриллятора,</w:t>
            </w:r>
            <w:r>
              <w:rPr>
                <w:spacing w:val="-13"/>
                <w:sz w:val="20"/>
              </w:rPr>
              <w:t> </w:t>
            </w:r>
            <w:r>
              <w:rPr>
                <w:sz w:val="20"/>
              </w:rPr>
              <w:t>другими</w:t>
            </w:r>
          </w:p>
          <w:p>
            <w:pPr>
              <w:pStyle w:val="TableParagraph"/>
              <w:spacing w:line="210" w:lineRule="exact" w:before="8"/>
              <w:ind w:left="109"/>
              <w:rPr>
                <w:sz w:val="20"/>
              </w:rPr>
            </w:pPr>
            <w:r>
              <w:rPr>
                <w:sz w:val="20"/>
              </w:rPr>
              <w:t>полостными</w:t>
            </w:r>
            <w:r>
              <w:rPr>
                <w:spacing w:val="-12"/>
                <w:sz w:val="20"/>
              </w:rPr>
              <w:t> </w:t>
            </w:r>
            <w:r>
              <w:rPr>
                <w:spacing w:val="-2"/>
                <w:sz w:val="20"/>
              </w:rPr>
              <w:t>операциями</w:t>
            </w:r>
          </w:p>
        </w:tc>
        <w:tc>
          <w:tcPr>
            <w:tcW w:w="102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ListParagraph"/>
        <w:numPr>
          <w:ilvl w:val="0"/>
          <w:numId w:val="8"/>
        </w:numPr>
        <w:tabs>
          <w:tab w:pos="931" w:val="left" w:leader="none"/>
          <w:tab w:pos="932" w:val="left" w:leader="none"/>
        </w:tabs>
        <w:spacing w:line="249" w:lineRule="auto" w:before="91" w:after="0"/>
        <w:ind w:left="931" w:right="35" w:hanging="564"/>
        <w:jc w:val="left"/>
        <w:rPr>
          <w:sz w:val="20"/>
        </w:rPr>
      </w:pPr>
      <w:r>
        <w:rPr>
          <w:spacing w:val="-2"/>
          <w:sz w:val="20"/>
        </w:rPr>
        <w:t>Эндоваскулярная, </w:t>
      </w:r>
      <w:r>
        <w:rPr>
          <w:sz w:val="20"/>
        </w:rPr>
        <w:t>хирургическая коррекция нарушений</w:t>
      </w:r>
      <w:r>
        <w:rPr>
          <w:spacing w:val="-4"/>
          <w:sz w:val="20"/>
        </w:rPr>
        <w:t> </w:t>
      </w:r>
      <w:r>
        <w:rPr>
          <w:sz w:val="20"/>
        </w:rPr>
        <w:t>ритма</w:t>
      </w:r>
      <w:r>
        <w:rPr>
          <w:spacing w:val="-3"/>
          <w:sz w:val="20"/>
        </w:rPr>
        <w:t> </w:t>
      </w:r>
      <w:r>
        <w:rPr>
          <w:sz w:val="20"/>
        </w:rPr>
        <w:t>сердца</w:t>
      </w:r>
      <w:r>
        <w:rPr>
          <w:spacing w:val="-3"/>
          <w:sz w:val="20"/>
        </w:rPr>
        <w:t> </w:t>
      </w:r>
      <w:r>
        <w:rPr>
          <w:sz w:val="20"/>
        </w:rPr>
        <w:t>без имплантации</w:t>
      </w:r>
      <w:r>
        <w:rPr>
          <w:spacing w:val="-13"/>
          <w:sz w:val="20"/>
        </w:rPr>
        <w:t> </w:t>
      </w:r>
      <w:r>
        <w:rPr>
          <w:sz w:val="20"/>
        </w:rPr>
        <w:t>кардиовертера- </w:t>
      </w:r>
      <w:r>
        <w:rPr>
          <w:spacing w:val="-2"/>
          <w:sz w:val="20"/>
        </w:rPr>
        <w:t>дефибриллятора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ListParagraph"/>
        <w:numPr>
          <w:ilvl w:val="0"/>
          <w:numId w:val="8"/>
        </w:numPr>
        <w:tabs>
          <w:tab w:pos="931" w:val="left" w:leader="none"/>
          <w:tab w:pos="932" w:val="left" w:leader="none"/>
        </w:tabs>
        <w:spacing w:line="249" w:lineRule="auto" w:before="0" w:after="0"/>
        <w:ind w:left="931" w:right="116" w:hanging="564"/>
        <w:jc w:val="left"/>
        <w:rPr>
          <w:sz w:val="20"/>
        </w:rPr>
      </w:pPr>
      <w:r>
        <w:rPr>
          <w:sz w:val="20"/>
        </w:rPr>
        <w:t>Хирургическая и эндоваскулярная</w:t>
      </w:r>
      <w:r>
        <w:rPr>
          <w:spacing w:val="-7"/>
          <w:sz w:val="20"/>
        </w:rPr>
        <w:t> </w:t>
      </w:r>
      <w:r>
        <w:rPr>
          <w:sz w:val="20"/>
        </w:rPr>
        <w:t>коррекция заболеваний</w:t>
      </w:r>
      <w:r>
        <w:rPr>
          <w:spacing w:val="-13"/>
          <w:sz w:val="20"/>
        </w:rPr>
        <w:t> </w:t>
      </w:r>
      <w:r>
        <w:rPr>
          <w:sz w:val="20"/>
        </w:rPr>
        <w:t>магистральных </w:t>
      </w:r>
      <w:r>
        <w:rPr>
          <w:spacing w:val="-2"/>
          <w:sz w:val="20"/>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1"/>
        </w:rPr>
      </w:pPr>
    </w:p>
    <w:p>
      <w:pPr>
        <w:spacing w:line="249" w:lineRule="auto" w:before="0"/>
        <w:ind w:left="931" w:right="-6" w:firstLine="0"/>
        <w:jc w:val="left"/>
        <w:rPr>
          <w:sz w:val="20"/>
        </w:rPr>
      </w:pPr>
      <w:r>
        <w:rPr>
          <w:sz w:val="20"/>
        </w:rPr>
        <w:t>Радикальная и гемодинамическая</w:t>
      </w:r>
      <w:r>
        <w:rPr>
          <w:spacing w:val="-13"/>
          <w:sz w:val="20"/>
        </w:rPr>
        <w:t> </w:t>
      </w:r>
      <w:r>
        <w:rPr>
          <w:sz w:val="20"/>
        </w:rPr>
        <w:t>коррекция врожденных пороков перегородок, камер сердца и соединений магистральных </w:t>
      </w:r>
      <w:r>
        <w:rPr>
          <w:spacing w:val="-2"/>
          <w:sz w:val="20"/>
        </w:rPr>
        <w:t>сосудов</w:t>
      </w:r>
    </w:p>
    <w:p>
      <w:pPr>
        <w:spacing w:before="91"/>
        <w:ind w:left="154" w:right="0" w:firstLine="0"/>
        <w:jc w:val="center"/>
        <w:rPr>
          <w:sz w:val="20"/>
        </w:rPr>
      </w:pPr>
      <w:r>
        <w:rPr/>
        <w:br w:type="column"/>
      </w:r>
      <w:r>
        <w:rPr>
          <w:sz w:val="20"/>
        </w:rPr>
        <w:t>I44.1,</w:t>
      </w:r>
      <w:r>
        <w:rPr>
          <w:spacing w:val="-5"/>
          <w:sz w:val="20"/>
        </w:rPr>
        <w:t> </w:t>
      </w:r>
      <w:r>
        <w:rPr>
          <w:sz w:val="20"/>
        </w:rPr>
        <w:t>I44.2,</w:t>
      </w:r>
      <w:r>
        <w:rPr>
          <w:spacing w:val="-7"/>
          <w:sz w:val="20"/>
        </w:rPr>
        <w:t> </w:t>
      </w:r>
      <w:r>
        <w:rPr>
          <w:sz w:val="20"/>
        </w:rPr>
        <w:t>I45.2,</w:t>
      </w:r>
      <w:r>
        <w:rPr>
          <w:spacing w:val="-4"/>
          <w:sz w:val="20"/>
        </w:rPr>
        <w:t> </w:t>
      </w:r>
      <w:r>
        <w:rPr>
          <w:spacing w:val="-2"/>
          <w:sz w:val="20"/>
        </w:rPr>
        <w:t>I45.3,</w:t>
      </w:r>
    </w:p>
    <w:p>
      <w:pPr>
        <w:spacing w:before="10"/>
        <w:ind w:left="154" w:right="0" w:firstLine="0"/>
        <w:jc w:val="center"/>
        <w:rPr>
          <w:sz w:val="20"/>
        </w:rPr>
      </w:pPr>
      <w:r>
        <w:rPr>
          <w:sz w:val="20"/>
        </w:rPr>
        <w:t>I45.6,</w:t>
      </w:r>
      <w:r>
        <w:rPr>
          <w:spacing w:val="-5"/>
          <w:sz w:val="20"/>
        </w:rPr>
        <w:t> </w:t>
      </w:r>
      <w:r>
        <w:rPr>
          <w:sz w:val="20"/>
        </w:rPr>
        <w:t>I46.0,</w:t>
      </w:r>
      <w:r>
        <w:rPr>
          <w:spacing w:val="-7"/>
          <w:sz w:val="20"/>
        </w:rPr>
        <w:t> </w:t>
      </w:r>
      <w:r>
        <w:rPr>
          <w:sz w:val="20"/>
        </w:rPr>
        <w:t>I47.0,</w:t>
      </w:r>
      <w:r>
        <w:rPr>
          <w:spacing w:val="-4"/>
          <w:sz w:val="20"/>
        </w:rPr>
        <w:t> </w:t>
      </w:r>
      <w:r>
        <w:rPr>
          <w:spacing w:val="-2"/>
          <w:sz w:val="20"/>
        </w:rPr>
        <w:t>I47.1,</w:t>
      </w:r>
    </w:p>
    <w:p>
      <w:pPr>
        <w:spacing w:line="249" w:lineRule="auto" w:before="10"/>
        <w:ind w:left="228" w:right="72" w:firstLine="0"/>
        <w:jc w:val="center"/>
        <w:rPr>
          <w:sz w:val="20"/>
        </w:rPr>
      </w:pPr>
      <w:r>
        <w:rPr>
          <w:sz w:val="20"/>
        </w:rPr>
        <w:t>I47.2,</w:t>
      </w:r>
      <w:r>
        <w:rPr>
          <w:spacing w:val="-13"/>
          <w:sz w:val="20"/>
        </w:rPr>
        <w:t> </w:t>
      </w:r>
      <w:r>
        <w:rPr>
          <w:sz w:val="20"/>
        </w:rPr>
        <w:t>I47.9,</w:t>
      </w:r>
      <w:r>
        <w:rPr>
          <w:spacing w:val="-12"/>
          <w:sz w:val="20"/>
        </w:rPr>
        <w:t> </w:t>
      </w:r>
      <w:r>
        <w:rPr>
          <w:sz w:val="20"/>
        </w:rPr>
        <w:t>I48,</w:t>
      </w:r>
      <w:r>
        <w:rPr>
          <w:spacing w:val="-13"/>
          <w:sz w:val="20"/>
        </w:rPr>
        <w:t> </w:t>
      </w:r>
      <w:r>
        <w:rPr>
          <w:sz w:val="20"/>
        </w:rPr>
        <w:t>I49.0, I49.5, Q22.5, Q24.6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1"/>
        </w:rPr>
      </w:pPr>
    </w:p>
    <w:p>
      <w:pPr>
        <w:spacing w:line="249" w:lineRule="auto" w:before="0"/>
        <w:ind w:left="159" w:right="0" w:firstLine="0"/>
        <w:jc w:val="center"/>
        <w:rPr>
          <w:sz w:val="20"/>
        </w:rPr>
      </w:pPr>
      <w:r>
        <w:rPr>
          <w:sz w:val="20"/>
        </w:rPr>
        <w:t>I20,</w:t>
      </w:r>
      <w:r>
        <w:rPr>
          <w:spacing w:val="-10"/>
          <w:sz w:val="20"/>
        </w:rPr>
        <w:t> </w:t>
      </w:r>
      <w:r>
        <w:rPr>
          <w:sz w:val="20"/>
        </w:rPr>
        <w:t>I25,</w:t>
      </w:r>
      <w:r>
        <w:rPr>
          <w:spacing w:val="-12"/>
          <w:sz w:val="20"/>
        </w:rPr>
        <w:t> </w:t>
      </w:r>
      <w:r>
        <w:rPr>
          <w:sz w:val="20"/>
        </w:rPr>
        <w:t>I26,</w:t>
      </w:r>
      <w:r>
        <w:rPr>
          <w:spacing w:val="-10"/>
          <w:sz w:val="20"/>
        </w:rPr>
        <w:t> </w:t>
      </w:r>
      <w:r>
        <w:rPr>
          <w:sz w:val="20"/>
        </w:rPr>
        <w:t>I65,</w:t>
      </w:r>
      <w:r>
        <w:rPr>
          <w:spacing w:val="-10"/>
          <w:sz w:val="20"/>
        </w:rPr>
        <w:t> </w:t>
      </w:r>
      <w:r>
        <w:rPr>
          <w:sz w:val="20"/>
        </w:rPr>
        <w:t>I70.0, I70.1, I70.8, I71, I72.0,</w:t>
      </w:r>
    </w:p>
    <w:p>
      <w:pPr>
        <w:spacing w:line="252" w:lineRule="auto" w:before="2"/>
        <w:ind w:left="154" w:right="0" w:firstLine="0"/>
        <w:jc w:val="center"/>
        <w:rPr>
          <w:sz w:val="20"/>
        </w:rPr>
      </w:pPr>
      <w:r>
        <w:rPr>
          <w:sz w:val="20"/>
        </w:rPr>
        <w:t>I72.2,</w:t>
      </w:r>
      <w:r>
        <w:rPr>
          <w:spacing w:val="-13"/>
          <w:sz w:val="20"/>
        </w:rPr>
        <w:t> </w:t>
      </w:r>
      <w:r>
        <w:rPr>
          <w:sz w:val="20"/>
        </w:rPr>
        <w:t>I72.3,</w:t>
      </w:r>
      <w:r>
        <w:rPr>
          <w:spacing w:val="-12"/>
          <w:sz w:val="20"/>
        </w:rPr>
        <w:t> </w:t>
      </w:r>
      <w:r>
        <w:rPr>
          <w:sz w:val="20"/>
        </w:rPr>
        <w:t>I72.8,</w:t>
      </w:r>
      <w:r>
        <w:rPr>
          <w:spacing w:val="-13"/>
          <w:sz w:val="20"/>
        </w:rPr>
        <w:t> </w:t>
      </w:r>
      <w:r>
        <w:rPr>
          <w:sz w:val="20"/>
        </w:rPr>
        <w:t>I73.1, I77.6,</w:t>
      </w:r>
      <w:r>
        <w:rPr>
          <w:spacing w:val="-5"/>
          <w:sz w:val="20"/>
        </w:rPr>
        <w:t> </w:t>
      </w:r>
      <w:r>
        <w:rPr>
          <w:sz w:val="20"/>
        </w:rPr>
        <w:t>I98,</w:t>
      </w:r>
      <w:r>
        <w:rPr>
          <w:spacing w:val="-5"/>
          <w:sz w:val="20"/>
        </w:rPr>
        <w:t> </w:t>
      </w:r>
      <w:r>
        <w:rPr>
          <w:sz w:val="20"/>
        </w:rPr>
        <w:t>Q26.0,</w:t>
      </w:r>
      <w:r>
        <w:rPr>
          <w:spacing w:val="-5"/>
          <w:sz w:val="20"/>
        </w:rPr>
        <w:t> </w:t>
      </w:r>
      <w:r>
        <w:rPr>
          <w:spacing w:val="-4"/>
          <w:sz w:val="20"/>
        </w:rPr>
        <w:t>Q27.3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spacing w:line="249" w:lineRule="auto" w:before="0"/>
        <w:ind w:left="324" w:right="164" w:firstLine="4"/>
        <w:jc w:val="center"/>
        <w:rPr>
          <w:sz w:val="20"/>
        </w:rPr>
      </w:pPr>
      <w:r>
        <w:rPr>
          <w:sz w:val="20"/>
        </w:rPr>
        <w:t>Q20.1</w:t>
      </w:r>
      <w:r>
        <w:rPr>
          <w:spacing w:val="-3"/>
          <w:sz w:val="20"/>
        </w:rPr>
        <w:t> </w:t>
      </w:r>
      <w:r>
        <w:rPr>
          <w:sz w:val="20"/>
        </w:rPr>
        <w:t>-</w:t>
      </w:r>
      <w:r>
        <w:rPr>
          <w:spacing w:val="-7"/>
          <w:sz w:val="20"/>
        </w:rPr>
        <w:t> </w:t>
      </w:r>
      <w:r>
        <w:rPr>
          <w:sz w:val="20"/>
        </w:rPr>
        <w:t>Q20.9,</w:t>
      </w:r>
      <w:r>
        <w:rPr>
          <w:spacing w:val="-5"/>
          <w:sz w:val="20"/>
        </w:rPr>
        <w:t> </w:t>
      </w:r>
      <w:r>
        <w:rPr>
          <w:sz w:val="20"/>
        </w:rPr>
        <w:t>Q21, Q22,</w:t>
      </w:r>
      <w:r>
        <w:rPr>
          <w:spacing w:val="-2"/>
          <w:sz w:val="20"/>
        </w:rPr>
        <w:t> </w:t>
      </w:r>
      <w:r>
        <w:rPr>
          <w:sz w:val="20"/>
        </w:rPr>
        <w:t>Q23,</w:t>
      </w:r>
      <w:r>
        <w:rPr>
          <w:spacing w:val="-4"/>
          <w:sz w:val="20"/>
        </w:rPr>
        <w:t> </w:t>
      </w:r>
      <w:r>
        <w:rPr>
          <w:sz w:val="20"/>
        </w:rPr>
        <w:t>Q24,</w:t>
      </w:r>
      <w:r>
        <w:rPr>
          <w:spacing w:val="-2"/>
          <w:sz w:val="20"/>
        </w:rPr>
        <w:t> </w:t>
      </w:r>
      <w:r>
        <w:rPr>
          <w:spacing w:val="-5"/>
          <w:sz w:val="20"/>
        </w:rPr>
        <w:t>Q25</w:t>
      </w:r>
    </w:p>
    <w:p>
      <w:pPr>
        <w:spacing w:line="249" w:lineRule="auto" w:before="91"/>
        <w:ind w:left="83" w:right="-10" w:firstLine="0"/>
        <w:jc w:val="left"/>
        <w:rPr>
          <w:sz w:val="20"/>
        </w:rPr>
      </w:pPr>
      <w:r>
        <w:rPr/>
        <w:br w:type="column"/>
      </w:r>
      <w:r>
        <w:rPr>
          <w:sz w:val="20"/>
        </w:rPr>
        <w:t>пароксизмальные нарушения ритма и проводимости различного генеза, сопровождающиеся сердечной </w:t>
      </w:r>
      <w:r>
        <w:rPr>
          <w:spacing w:val="-2"/>
          <w:sz w:val="20"/>
        </w:rPr>
        <w:t>недостаточностью, </w:t>
      </w:r>
      <w:r>
        <w:rPr>
          <w:sz w:val="20"/>
        </w:rPr>
        <w:t>гемодинамическими</w:t>
      </w:r>
      <w:r>
        <w:rPr>
          <w:spacing w:val="-13"/>
          <w:sz w:val="20"/>
        </w:rPr>
        <w:t> </w:t>
      </w:r>
      <w:r>
        <w:rPr>
          <w:sz w:val="20"/>
        </w:rPr>
        <w:t>расстройствами и отсутствием эффекта от лечения лекарственными препаратами</w:t>
      </w:r>
    </w:p>
    <w:p>
      <w:pPr>
        <w:pStyle w:val="BodyText"/>
        <w:rPr>
          <w:sz w:val="22"/>
        </w:rPr>
      </w:pPr>
    </w:p>
    <w:p>
      <w:pPr>
        <w:pStyle w:val="BodyText"/>
        <w:rPr>
          <w:sz w:val="22"/>
        </w:rPr>
      </w:pPr>
    </w:p>
    <w:p>
      <w:pPr>
        <w:pStyle w:val="BodyText"/>
        <w:rPr>
          <w:sz w:val="22"/>
        </w:rPr>
      </w:pPr>
    </w:p>
    <w:p>
      <w:pPr>
        <w:pStyle w:val="BodyText"/>
        <w:spacing w:before="10"/>
        <w:rPr>
          <w:sz w:val="24"/>
        </w:rPr>
      </w:pPr>
    </w:p>
    <w:p>
      <w:pPr>
        <w:spacing w:line="249" w:lineRule="auto" w:before="0"/>
        <w:ind w:left="83" w:right="-10" w:firstLine="0"/>
        <w:jc w:val="left"/>
        <w:rPr>
          <w:sz w:val="20"/>
        </w:rPr>
      </w:pPr>
      <w:r>
        <w:rPr>
          <w:sz w:val="20"/>
        </w:rPr>
        <w:t>врожденные и приобретенные заболевания</w:t>
      </w:r>
      <w:r>
        <w:rPr>
          <w:spacing w:val="-13"/>
          <w:sz w:val="20"/>
        </w:rPr>
        <w:t> </w:t>
      </w:r>
      <w:r>
        <w:rPr>
          <w:sz w:val="20"/>
        </w:rPr>
        <w:t>аорты</w:t>
      </w:r>
      <w:r>
        <w:rPr>
          <w:spacing w:val="-12"/>
          <w:sz w:val="20"/>
        </w:rPr>
        <w:t> </w:t>
      </w:r>
      <w:r>
        <w:rPr>
          <w:sz w:val="20"/>
        </w:rPr>
        <w:t>и</w:t>
      </w:r>
      <w:r>
        <w:rPr>
          <w:spacing w:val="-12"/>
          <w:sz w:val="20"/>
        </w:rPr>
        <w:t> </w:t>
      </w:r>
      <w:r>
        <w:rPr>
          <w:sz w:val="20"/>
        </w:rPr>
        <w:t>магистральных </w:t>
      </w:r>
      <w:r>
        <w:rPr>
          <w:spacing w:val="-2"/>
          <w:sz w:val="20"/>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0"/>
        </w:rPr>
      </w:pPr>
    </w:p>
    <w:p>
      <w:pPr>
        <w:spacing w:line="249" w:lineRule="auto" w:before="0"/>
        <w:ind w:left="83" w:right="-10" w:firstLine="0"/>
        <w:jc w:val="left"/>
        <w:rPr>
          <w:sz w:val="20"/>
        </w:rPr>
      </w:pPr>
      <w:r>
        <w:rPr>
          <w:sz w:val="20"/>
        </w:rPr>
        <w:t>врожденные</w:t>
      </w:r>
      <w:r>
        <w:rPr>
          <w:spacing w:val="-13"/>
          <w:sz w:val="20"/>
        </w:rPr>
        <w:t> </w:t>
      </w:r>
      <w:r>
        <w:rPr>
          <w:sz w:val="20"/>
        </w:rPr>
        <w:t>пороки</w:t>
      </w:r>
      <w:r>
        <w:rPr>
          <w:spacing w:val="-12"/>
          <w:sz w:val="20"/>
        </w:rPr>
        <w:t> </w:t>
      </w:r>
      <w:r>
        <w:rPr>
          <w:sz w:val="20"/>
        </w:rPr>
        <w:t>перегородок, камер сердца и соединений магистральных сосудов</w:t>
      </w:r>
    </w:p>
    <w:p>
      <w:pPr>
        <w:spacing w:line="249" w:lineRule="auto" w:before="91"/>
        <w:ind w:left="115"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8"/>
        </w:rPr>
      </w:pPr>
    </w:p>
    <w:p>
      <w:pPr>
        <w:spacing w:line="249" w:lineRule="auto" w:before="0"/>
        <w:ind w:left="115"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9"/>
        </w:rPr>
      </w:pPr>
    </w:p>
    <w:p>
      <w:pPr>
        <w:spacing w:line="249" w:lineRule="auto" w:before="0"/>
        <w:ind w:left="115" w:right="0" w:firstLine="0"/>
        <w:jc w:val="left"/>
        <w:rPr>
          <w:sz w:val="20"/>
        </w:rPr>
      </w:pPr>
      <w:r>
        <w:rPr>
          <w:spacing w:val="-2"/>
          <w:sz w:val="20"/>
        </w:rPr>
        <w:t>хирургическое лечение</w:t>
      </w:r>
    </w:p>
    <w:p>
      <w:pPr>
        <w:spacing w:line="249" w:lineRule="auto" w:before="91"/>
        <w:ind w:left="178" w:right="116" w:firstLine="0"/>
        <w:jc w:val="left"/>
        <w:rPr>
          <w:sz w:val="20"/>
        </w:rPr>
      </w:pPr>
      <w:r>
        <w:rPr/>
        <w:br w:type="column"/>
      </w:r>
      <w:r>
        <w:rPr>
          <w:sz w:val="20"/>
        </w:rPr>
        <w:t>эндоваскулярная деструкция дополнительных</w:t>
      </w:r>
      <w:r>
        <w:rPr>
          <w:spacing w:val="-13"/>
          <w:sz w:val="20"/>
        </w:rPr>
        <w:t> </w:t>
      </w:r>
      <w:r>
        <w:rPr>
          <w:sz w:val="20"/>
        </w:rPr>
        <w:t>проводящих</w:t>
      </w:r>
      <w:r>
        <w:rPr>
          <w:spacing w:val="-12"/>
          <w:sz w:val="20"/>
        </w:rPr>
        <w:t> </w:t>
      </w:r>
      <w:r>
        <w:rPr>
          <w:sz w:val="20"/>
        </w:rPr>
        <w:t>путей</w:t>
      </w:r>
      <w:r>
        <w:rPr>
          <w:spacing w:val="-12"/>
          <w:sz w:val="20"/>
        </w:rPr>
        <w:t> </w:t>
      </w:r>
      <w:r>
        <w:rPr>
          <w:sz w:val="20"/>
        </w:rPr>
        <w:t>и аритмогенных зон сердца</w:t>
      </w:r>
    </w:p>
    <w:p>
      <w:pPr>
        <w:spacing w:line="249" w:lineRule="auto" w:before="82"/>
        <w:ind w:left="178" w:right="116" w:firstLine="0"/>
        <w:jc w:val="left"/>
        <w:rPr>
          <w:sz w:val="20"/>
        </w:rPr>
      </w:pPr>
      <w:r>
        <w:rPr>
          <w:sz w:val="20"/>
        </w:rPr>
        <w:t>имплантация</w:t>
      </w:r>
      <w:r>
        <w:rPr>
          <w:spacing w:val="-13"/>
          <w:sz w:val="20"/>
        </w:rPr>
        <w:t> </w:t>
      </w:r>
      <w:r>
        <w:rPr>
          <w:sz w:val="20"/>
        </w:rPr>
        <w:t>частотно-адаптированного трехкамерного кардиостимулятора</w:t>
      </w:r>
    </w:p>
    <w:p>
      <w:pPr>
        <w:spacing w:line="249" w:lineRule="auto" w:before="81"/>
        <w:ind w:left="178" w:right="922" w:firstLine="0"/>
        <w:jc w:val="left"/>
        <w:rPr>
          <w:sz w:val="20"/>
        </w:rPr>
      </w:pPr>
      <w:r>
        <w:rPr>
          <w:sz w:val="20"/>
        </w:rPr>
        <w:t>торакоскопическая</w:t>
      </w:r>
      <w:r>
        <w:rPr>
          <w:spacing w:val="-13"/>
          <w:sz w:val="20"/>
        </w:rPr>
        <w:t> </w:t>
      </w:r>
      <w:r>
        <w:rPr>
          <w:sz w:val="20"/>
        </w:rPr>
        <w:t>деструкция аритмогенных зон сердца</w:t>
      </w:r>
    </w:p>
    <w:p>
      <w:pPr>
        <w:spacing w:line="249" w:lineRule="auto" w:before="83"/>
        <w:ind w:left="178" w:right="116" w:firstLine="0"/>
        <w:jc w:val="left"/>
        <w:rPr>
          <w:sz w:val="20"/>
        </w:rPr>
      </w:pPr>
      <w:r>
        <w:rPr>
          <w:sz w:val="20"/>
        </w:rPr>
        <w:t>хирургическая</w:t>
      </w:r>
      <w:r>
        <w:rPr>
          <w:spacing w:val="-13"/>
          <w:sz w:val="20"/>
        </w:rPr>
        <w:t> </w:t>
      </w:r>
      <w:r>
        <w:rPr>
          <w:sz w:val="20"/>
        </w:rPr>
        <w:t>и</w:t>
      </w:r>
      <w:r>
        <w:rPr>
          <w:spacing w:val="-12"/>
          <w:sz w:val="20"/>
        </w:rPr>
        <w:t> </w:t>
      </w:r>
      <w:r>
        <w:rPr>
          <w:sz w:val="20"/>
        </w:rPr>
        <w:t>(или)</w:t>
      </w:r>
      <w:r>
        <w:rPr>
          <w:spacing w:val="-13"/>
          <w:sz w:val="20"/>
        </w:rPr>
        <w:t> </w:t>
      </w:r>
      <w:r>
        <w:rPr>
          <w:sz w:val="20"/>
        </w:rPr>
        <w:t>криодеструкция дополнительных проводящих путей и аритмогенных зон сердца</w:t>
      </w:r>
    </w:p>
    <w:p>
      <w:pPr>
        <w:spacing w:line="249" w:lineRule="auto" w:before="82"/>
        <w:ind w:left="178" w:right="40" w:firstLine="0"/>
        <w:jc w:val="left"/>
        <w:rPr>
          <w:sz w:val="20"/>
        </w:rPr>
      </w:pPr>
      <w:r>
        <w:rPr>
          <w:sz w:val="20"/>
        </w:rPr>
        <w:t>эндоваскулярная (баллонная ангиопластика со стентированием) и хирургическая</w:t>
      </w:r>
      <w:r>
        <w:rPr>
          <w:spacing w:val="-13"/>
          <w:sz w:val="20"/>
        </w:rPr>
        <w:t> </w:t>
      </w:r>
      <w:r>
        <w:rPr>
          <w:sz w:val="20"/>
        </w:rPr>
        <w:t>коррекция</w:t>
      </w:r>
      <w:r>
        <w:rPr>
          <w:spacing w:val="-12"/>
          <w:sz w:val="20"/>
        </w:rPr>
        <w:t> </w:t>
      </w:r>
      <w:r>
        <w:rPr>
          <w:sz w:val="20"/>
        </w:rPr>
        <w:t>приобретенной и врожденной артериовенозной</w:t>
      </w:r>
      <w:r>
        <w:rPr>
          <w:spacing w:val="40"/>
          <w:sz w:val="20"/>
        </w:rPr>
        <w:t> </w:t>
      </w:r>
      <w:r>
        <w:rPr>
          <w:spacing w:val="-2"/>
          <w:sz w:val="20"/>
        </w:rPr>
        <w:t>аномалии</w:t>
      </w:r>
    </w:p>
    <w:p>
      <w:pPr>
        <w:spacing w:line="249" w:lineRule="auto" w:before="84"/>
        <w:ind w:left="178" w:right="116" w:firstLine="0"/>
        <w:jc w:val="left"/>
        <w:rPr>
          <w:sz w:val="20"/>
        </w:rPr>
      </w:pPr>
      <w:r>
        <w:rPr>
          <w:sz w:val="20"/>
        </w:rPr>
        <w:t>эндоваскулярные, хирургические и гибридные операции на аорте и магистральных</w:t>
      </w:r>
      <w:r>
        <w:rPr>
          <w:spacing w:val="-13"/>
          <w:sz w:val="20"/>
        </w:rPr>
        <w:t> </w:t>
      </w:r>
      <w:r>
        <w:rPr>
          <w:sz w:val="20"/>
        </w:rPr>
        <w:t>сосудах</w:t>
      </w:r>
      <w:r>
        <w:rPr>
          <w:spacing w:val="-12"/>
          <w:sz w:val="20"/>
        </w:rPr>
        <w:t> </w:t>
      </w:r>
      <w:r>
        <w:rPr>
          <w:sz w:val="20"/>
        </w:rPr>
        <w:t>(кроме</w:t>
      </w:r>
      <w:r>
        <w:rPr>
          <w:spacing w:val="-13"/>
          <w:sz w:val="20"/>
        </w:rPr>
        <w:t> </w:t>
      </w:r>
      <w:r>
        <w:rPr>
          <w:sz w:val="20"/>
        </w:rPr>
        <w:t>артерий </w:t>
      </w:r>
      <w:r>
        <w:rPr>
          <w:spacing w:val="-2"/>
          <w:sz w:val="20"/>
        </w:rPr>
        <w:t>конечностей)</w:t>
      </w:r>
    </w:p>
    <w:p>
      <w:pPr>
        <w:spacing w:line="249" w:lineRule="auto" w:before="84"/>
        <w:ind w:left="178" w:right="116" w:firstLine="0"/>
        <w:jc w:val="left"/>
        <w:rPr>
          <w:sz w:val="20"/>
        </w:rPr>
      </w:pPr>
      <w:r>
        <w:rPr>
          <w:sz w:val="20"/>
        </w:rPr>
        <w:t>аневризмэктомия аорты в сочетании с пластикой</w:t>
      </w:r>
      <w:r>
        <w:rPr>
          <w:spacing w:val="-3"/>
          <w:sz w:val="20"/>
        </w:rPr>
        <w:t> </w:t>
      </w:r>
      <w:r>
        <w:rPr>
          <w:sz w:val="20"/>
        </w:rPr>
        <w:t>или</w:t>
      </w:r>
      <w:r>
        <w:rPr>
          <w:spacing w:val="-3"/>
          <w:sz w:val="20"/>
        </w:rPr>
        <w:t> </w:t>
      </w:r>
      <w:r>
        <w:rPr>
          <w:sz w:val="20"/>
        </w:rPr>
        <w:t>без</w:t>
      </w:r>
      <w:r>
        <w:rPr>
          <w:spacing w:val="-2"/>
          <w:sz w:val="20"/>
        </w:rPr>
        <w:t> </w:t>
      </w:r>
      <w:r>
        <w:rPr>
          <w:sz w:val="20"/>
        </w:rPr>
        <w:t>пластики</w:t>
      </w:r>
      <w:r>
        <w:rPr>
          <w:spacing w:val="-1"/>
          <w:sz w:val="20"/>
        </w:rPr>
        <w:t> </w:t>
      </w:r>
      <w:r>
        <w:rPr>
          <w:sz w:val="20"/>
        </w:rPr>
        <w:t>ее</w:t>
      </w:r>
      <w:r>
        <w:rPr>
          <w:spacing w:val="-2"/>
          <w:sz w:val="20"/>
        </w:rPr>
        <w:t> </w:t>
      </w:r>
      <w:r>
        <w:rPr>
          <w:sz w:val="20"/>
        </w:rPr>
        <w:t>ветвей,</w:t>
      </w:r>
      <w:r>
        <w:rPr>
          <w:spacing w:val="-2"/>
          <w:sz w:val="20"/>
        </w:rPr>
        <w:t> </w:t>
      </w:r>
      <w:r>
        <w:rPr>
          <w:sz w:val="20"/>
        </w:rPr>
        <w:t>в сочетании</w:t>
      </w:r>
      <w:r>
        <w:rPr>
          <w:spacing w:val="-10"/>
          <w:sz w:val="20"/>
        </w:rPr>
        <w:t> </w:t>
      </w:r>
      <w:r>
        <w:rPr>
          <w:sz w:val="20"/>
        </w:rPr>
        <w:t>с</w:t>
      </w:r>
      <w:r>
        <w:rPr>
          <w:spacing w:val="-9"/>
          <w:sz w:val="20"/>
        </w:rPr>
        <w:t> </w:t>
      </w:r>
      <w:r>
        <w:rPr>
          <w:sz w:val="20"/>
        </w:rPr>
        <w:t>пластикой</w:t>
      </w:r>
      <w:r>
        <w:rPr>
          <w:spacing w:val="-8"/>
          <w:sz w:val="20"/>
        </w:rPr>
        <w:t> </w:t>
      </w:r>
      <w:r>
        <w:rPr>
          <w:sz w:val="20"/>
        </w:rPr>
        <w:t>или</w:t>
      </w:r>
      <w:r>
        <w:rPr>
          <w:spacing w:val="-8"/>
          <w:sz w:val="20"/>
        </w:rPr>
        <w:t> </w:t>
      </w:r>
      <w:r>
        <w:rPr>
          <w:sz w:val="20"/>
        </w:rPr>
        <w:t>без</w:t>
      </w:r>
      <w:r>
        <w:rPr>
          <w:spacing w:val="-9"/>
          <w:sz w:val="20"/>
        </w:rPr>
        <w:t> </w:t>
      </w:r>
      <w:r>
        <w:rPr>
          <w:sz w:val="20"/>
        </w:rPr>
        <w:t>пластики восходящей аорты клапансодержащим </w:t>
      </w:r>
      <w:r>
        <w:rPr>
          <w:spacing w:val="-2"/>
          <w:sz w:val="20"/>
        </w:rPr>
        <w:t>кондуитом</w:t>
      </w:r>
    </w:p>
    <w:p>
      <w:pPr>
        <w:spacing w:line="249" w:lineRule="auto" w:before="84"/>
        <w:ind w:left="178" w:right="116" w:firstLine="0"/>
        <w:jc w:val="left"/>
        <w:rPr>
          <w:sz w:val="20"/>
        </w:rPr>
      </w:pPr>
      <w:r>
        <w:rPr>
          <w:sz w:val="20"/>
        </w:rPr>
        <w:t>эндоваскулярная (баллонная ангиопластика и стентирование) коррекция</w:t>
      </w:r>
      <w:r>
        <w:rPr>
          <w:spacing w:val="-9"/>
          <w:sz w:val="20"/>
        </w:rPr>
        <w:t> </w:t>
      </w:r>
      <w:r>
        <w:rPr>
          <w:sz w:val="20"/>
        </w:rPr>
        <w:t>легочной</w:t>
      </w:r>
      <w:r>
        <w:rPr>
          <w:spacing w:val="-9"/>
          <w:sz w:val="20"/>
        </w:rPr>
        <w:t> </w:t>
      </w:r>
      <w:r>
        <w:rPr>
          <w:sz w:val="20"/>
        </w:rPr>
        <w:t>артерии,</w:t>
      </w:r>
      <w:r>
        <w:rPr>
          <w:spacing w:val="-8"/>
          <w:sz w:val="20"/>
        </w:rPr>
        <w:t> </w:t>
      </w:r>
      <w:r>
        <w:rPr>
          <w:sz w:val="20"/>
        </w:rPr>
        <w:t>аорты</w:t>
      </w:r>
      <w:r>
        <w:rPr>
          <w:spacing w:val="-8"/>
          <w:sz w:val="20"/>
        </w:rPr>
        <w:t> </w:t>
      </w:r>
      <w:r>
        <w:rPr>
          <w:sz w:val="20"/>
        </w:rPr>
        <w:t>и</w:t>
      </w:r>
      <w:r>
        <w:rPr>
          <w:spacing w:val="-9"/>
          <w:sz w:val="20"/>
        </w:rPr>
        <w:t> </w:t>
      </w:r>
      <w:r>
        <w:rPr>
          <w:sz w:val="20"/>
        </w:rPr>
        <w:t>ее </w:t>
      </w:r>
      <w:r>
        <w:rPr>
          <w:spacing w:val="-2"/>
          <w:sz w:val="20"/>
        </w:rPr>
        <w:t>ветвей</w:t>
      </w:r>
    </w:p>
    <w:p>
      <w:pPr>
        <w:spacing w:before="91"/>
        <w:ind w:left="367" w:right="0" w:firstLine="0"/>
        <w:jc w:val="left"/>
        <w:rPr>
          <w:sz w:val="20"/>
        </w:rPr>
      </w:pPr>
      <w:r>
        <w:rPr/>
        <w:br w:type="column"/>
      </w:r>
      <w:r>
        <w:rPr>
          <w:spacing w:val="-2"/>
          <w:sz w:val="20"/>
        </w:rPr>
        <w:t>308139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8"/>
        </w:rPr>
      </w:pPr>
    </w:p>
    <w:p>
      <w:pPr>
        <w:spacing w:before="0"/>
        <w:ind w:left="367" w:right="0" w:firstLine="0"/>
        <w:jc w:val="left"/>
        <w:rPr>
          <w:sz w:val="20"/>
        </w:rPr>
      </w:pPr>
      <w:r>
        <w:rPr>
          <w:spacing w:val="-2"/>
          <w:sz w:val="20"/>
        </w:rPr>
        <w:t>353550</w:t>
      </w:r>
    </w:p>
    <w:p>
      <w:pPr>
        <w:spacing w:after="0"/>
        <w:jc w:val="left"/>
        <w:rPr>
          <w:sz w:val="20"/>
        </w:rPr>
        <w:sectPr>
          <w:type w:val="continuous"/>
          <w:pgSz w:w="16850" w:h="11910" w:orient="landscape"/>
          <w:pgMar w:header="753" w:footer="0" w:top="1080" w:bottom="280" w:left="400" w:right="400"/>
          <w:cols w:num="6" w:equalWidth="0">
            <w:col w:w="3463" w:space="40"/>
            <w:col w:w="2168" w:space="39"/>
            <w:col w:w="3236" w:space="39"/>
            <w:col w:w="1372" w:space="40"/>
            <w:col w:w="3757" w:space="246"/>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9"/>
        <w:gridCol w:w="2136"/>
        <w:gridCol w:w="3094"/>
        <w:gridCol w:w="1640"/>
        <w:gridCol w:w="3613"/>
        <w:gridCol w:w="1339"/>
      </w:tblGrid>
      <w:tr>
        <w:trPr>
          <w:trHeight w:val="77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ind w:left="109" w:right="308"/>
              <w:rPr>
                <w:sz w:val="20"/>
              </w:rPr>
            </w:pPr>
            <w:r>
              <w:rPr>
                <w:sz w:val="20"/>
              </w:rPr>
              <w:t>радикальная, гемодинамическая, гибридная</w:t>
            </w:r>
            <w:r>
              <w:rPr>
                <w:spacing w:val="-11"/>
                <w:sz w:val="20"/>
              </w:rPr>
              <w:t> </w:t>
            </w:r>
            <w:r>
              <w:rPr>
                <w:sz w:val="20"/>
              </w:rPr>
              <w:t>коррекция</w:t>
            </w:r>
            <w:r>
              <w:rPr>
                <w:spacing w:val="-9"/>
                <w:sz w:val="20"/>
              </w:rPr>
              <w:t> </w:t>
            </w:r>
            <w:r>
              <w:rPr>
                <w:sz w:val="20"/>
              </w:rPr>
              <w:t>у</w:t>
            </w:r>
            <w:r>
              <w:rPr>
                <w:spacing w:val="-11"/>
                <w:sz w:val="20"/>
              </w:rPr>
              <w:t> </w:t>
            </w:r>
            <w:r>
              <w:rPr>
                <w:sz w:val="20"/>
              </w:rPr>
              <w:t>детей</w:t>
            </w:r>
            <w:r>
              <w:rPr>
                <w:spacing w:val="-11"/>
                <w:sz w:val="20"/>
              </w:rPr>
              <w:t> </w:t>
            </w:r>
            <w:r>
              <w:rPr>
                <w:sz w:val="20"/>
              </w:rPr>
              <w:t>старше 1 года и взрослых</w:t>
            </w:r>
          </w:p>
        </w:tc>
        <w:tc>
          <w:tcPr>
            <w:tcW w:w="1339" w:type="dxa"/>
          </w:tcPr>
          <w:p>
            <w:pPr>
              <w:pStyle w:val="TableParagraph"/>
              <w:rPr>
                <w:sz w:val="18"/>
              </w:rPr>
            </w:pPr>
          </w:p>
        </w:tc>
      </w:tr>
      <w:tr>
        <w:trPr>
          <w:trHeight w:val="108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before="60"/>
              <w:ind w:left="109"/>
              <w:rPr>
                <w:sz w:val="20"/>
              </w:rPr>
            </w:pPr>
            <w:r>
              <w:rPr>
                <w:sz w:val="20"/>
              </w:rPr>
              <w:t>реконструктивные и пластические операции</w:t>
            </w:r>
            <w:r>
              <w:rPr>
                <w:spacing w:val="-13"/>
                <w:sz w:val="20"/>
              </w:rPr>
              <w:t> </w:t>
            </w:r>
            <w:r>
              <w:rPr>
                <w:sz w:val="20"/>
              </w:rPr>
              <w:t>при</w:t>
            </w:r>
            <w:r>
              <w:rPr>
                <w:spacing w:val="-12"/>
                <w:sz w:val="20"/>
              </w:rPr>
              <w:t> </w:t>
            </w:r>
            <w:r>
              <w:rPr>
                <w:sz w:val="20"/>
              </w:rPr>
              <w:t>изолированных</w:t>
            </w:r>
            <w:r>
              <w:rPr>
                <w:spacing w:val="-13"/>
                <w:sz w:val="20"/>
              </w:rPr>
              <w:t> </w:t>
            </w:r>
            <w:r>
              <w:rPr>
                <w:sz w:val="20"/>
              </w:rPr>
              <w:t>дефектах перегородок сердца у детей старше</w:t>
            </w:r>
          </w:p>
          <w:p>
            <w:pPr>
              <w:pStyle w:val="TableParagraph"/>
              <w:spacing w:before="3"/>
              <w:ind w:left="109"/>
              <w:rPr>
                <w:sz w:val="20"/>
              </w:rPr>
            </w:pPr>
            <w:r>
              <w:rPr>
                <w:sz w:val="20"/>
              </w:rPr>
              <w:t>1</w:t>
            </w:r>
            <w:r>
              <w:rPr>
                <w:spacing w:val="-2"/>
                <w:sz w:val="20"/>
              </w:rPr>
              <w:t> </w:t>
            </w:r>
            <w:r>
              <w:rPr>
                <w:sz w:val="20"/>
              </w:rPr>
              <w:t>года</w:t>
            </w:r>
            <w:r>
              <w:rPr>
                <w:spacing w:val="-3"/>
                <w:sz w:val="20"/>
              </w:rPr>
              <w:t> </w:t>
            </w:r>
            <w:r>
              <w:rPr>
                <w:sz w:val="20"/>
              </w:rPr>
              <w:t>и</w:t>
            </w:r>
            <w:r>
              <w:rPr>
                <w:spacing w:val="-3"/>
                <w:sz w:val="20"/>
              </w:rPr>
              <w:t> </w:t>
            </w:r>
            <w:r>
              <w:rPr>
                <w:spacing w:val="-2"/>
                <w:sz w:val="20"/>
              </w:rPr>
              <w:t>взрослых</w:t>
            </w:r>
          </w:p>
        </w:tc>
        <w:tc>
          <w:tcPr>
            <w:tcW w:w="1339" w:type="dxa"/>
          </w:tcPr>
          <w:p>
            <w:pPr>
              <w:pStyle w:val="TableParagraph"/>
              <w:rPr>
                <w:sz w:val="18"/>
              </w:rPr>
            </w:pPr>
          </w:p>
        </w:tc>
      </w:tr>
      <w:tr>
        <w:trPr>
          <w:trHeight w:val="84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before="60"/>
              <w:ind w:left="109"/>
              <w:rPr>
                <w:sz w:val="20"/>
              </w:rPr>
            </w:pPr>
            <w:r>
              <w:rPr>
                <w:sz w:val="20"/>
              </w:rPr>
              <w:t>хирургическая (перевязка, суживание, пластика)</w:t>
            </w:r>
            <w:r>
              <w:rPr>
                <w:spacing w:val="-13"/>
                <w:sz w:val="20"/>
              </w:rPr>
              <w:t> </w:t>
            </w:r>
            <w:r>
              <w:rPr>
                <w:sz w:val="20"/>
              </w:rPr>
              <w:t>коррекция</w:t>
            </w:r>
            <w:r>
              <w:rPr>
                <w:spacing w:val="-12"/>
                <w:sz w:val="20"/>
              </w:rPr>
              <w:t> </w:t>
            </w:r>
            <w:r>
              <w:rPr>
                <w:sz w:val="20"/>
              </w:rPr>
              <w:t>легочной</w:t>
            </w:r>
            <w:r>
              <w:rPr>
                <w:spacing w:val="-13"/>
                <w:sz w:val="20"/>
              </w:rPr>
              <w:t> </w:t>
            </w:r>
            <w:r>
              <w:rPr>
                <w:sz w:val="20"/>
              </w:rPr>
              <w:t>артерии, аорты и ее ветвей</w:t>
            </w:r>
          </w:p>
        </w:tc>
        <w:tc>
          <w:tcPr>
            <w:tcW w:w="1339"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51.</w:t>
            </w:r>
          </w:p>
        </w:tc>
        <w:tc>
          <w:tcPr>
            <w:tcW w:w="2819" w:type="dxa"/>
            <w:vMerge w:val="restart"/>
          </w:tcPr>
          <w:p>
            <w:pPr>
              <w:pStyle w:val="TableParagraph"/>
              <w:spacing w:line="249" w:lineRule="auto" w:before="60"/>
              <w:ind w:left="155"/>
              <w:rPr>
                <w:sz w:val="20"/>
              </w:rPr>
            </w:pPr>
            <w:r>
              <w:rPr>
                <w:sz w:val="20"/>
              </w:rPr>
              <w:t>Хирургическое лечение врожденных,</w:t>
            </w:r>
            <w:r>
              <w:rPr>
                <w:spacing w:val="-13"/>
                <w:sz w:val="20"/>
              </w:rPr>
              <w:t> </w:t>
            </w:r>
            <w:r>
              <w:rPr>
                <w:sz w:val="20"/>
              </w:rPr>
              <w:t>ревматических</w:t>
            </w:r>
            <w:r>
              <w:rPr>
                <w:spacing w:val="-12"/>
                <w:sz w:val="20"/>
              </w:rPr>
              <w:t> </w:t>
            </w:r>
            <w:r>
              <w:rPr>
                <w:sz w:val="20"/>
              </w:rPr>
              <w:t>и неревматических пороков клапанов сердца, опухолей </w:t>
            </w:r>
            <w:r>
              <w:rPr>
                <w:spacing w:val="-2"/>
                <w:sz w:val="20"/>
              </w:rPr>
              <w:t>сердца</w:t>
            </w:r>
          </w:p>
        </w:tc>
        <w:tc>
          <w:tcPr>
            <w:tcW w:w="2136" w:type="dxa"/>
            <w:vMerge w:val="restart"/>
          </w:tcPr>
          <w:p>
            <w:pPr>
              <w:pStyle w:val="TableParagraph"/>
              <w:spacing w:before="60"/>
              <w:ind w:left="53" w:right="49"/>
              <w:jc w:val="center"/>
              <w:rPr>
                <w:sz w:val="20"/>
              </w:rPr>
            </w:pPr>
            <w:r>
              <w:rPr>
                <w:sz w:val="20"/>
              </w:rPr>
              <w:t>Q20.5,</w:t>
            </w:r>
            <w:r>
              <w:rPr>
                <w:spacing w:val="-4"/>
                <w:sz w:val="20"/>
              </w:rPr>
              <w:t> </w:t>
            </w:r>
            <w:r>
              <w:rPr>
                <w:sz w:val="20"/>
              </w:rPr>
              <w:t>Q21.3,</w:t>
            </w:r>
            <w:r>
              <w:rPr>
                <w:spacing w:val="-5"/>
                <w:sz w:val="20"/>
              </w:rPr>
              <w:t> </w:t>
            </w:r>
            <w:r>
              <w:rPr>
                <w:spacing w:val="-4"/>
                <w:sz w:val="20"/>
              </w:rPr>
              <w:t>Q22,</w:t>
            </w:r>
          </w:p>
          <w:p>
            <w:pPr>
              <w:pStyle w:val="TableParagraph"/>
              <w:spacing w:before="10"/>
              <w:ind w:left="53" w:right="50"/>
              <w:jc w:val="center"/>
              <w:rPr>
                <w:sz w:val="20"/>
              </w:rPr>
            </w:pPr>
            <w:r>
              <w:rPr>
                <w:sz w:val="20"/>
              </w:rPr>
              <w:t>Q23.0</w:t>
            </w:r>
            <w:r>
              <w:rPr>
                <w:spacing w:val="-1"/>
                <w:sz w:val="20"/>
              </w:rPr>
              <w:t> </w:t>
            </w:r>
            <w:r>
              <w:rPr>
                <w:sz w:val="20"/>
              </w:rPr>
              <w:t>-</w:t>
            </w:r>
            <w:r>
              <w:rPr>
                <w:spacing w:val="-5"/>
                <w:sz w:val="20"/>
              </w:rPr>
              <w:t> </w:t>
            </w:r>
            <w:r>
              <w:rPr>
                <w:sz w:val="20"/>
              </w:rPr>
              <w:t>Q23.3,</w:t>
            </w:r>
            <w:r>
              <w:rPr>
                <w:spacing w:val="-3"/>
                <w:sz w:val="20"/>
              </w:rPr>
              <w:t> </w:t>
            </w:r>
            <w:r>
              <w:rPr>
                <w:spacing w:val="-2"/>
                <w:sz w:val="20"/>
              </w:rPr>
              <w:t>Q24.4,</w:t>
            </w:r>
          </w:p>
          <w:p>
            <w:pPr>
              <w:pStyle w:val="TableParagraph"/>
              <w:spacing w:before="10"/>
              <w:ind w:left="53" w:right="49"/>
              <w:jc w:val="center"/>
              <w:rPr>
                <w:sz w:val="20"/>
              </w:rPr>
            </w:pPr>
            <w:r>
              <w:rPr>
                <w:sz w:val="20"/>
              </w:rPr>
              <w:t>Q25.3,</w:t>
            </w:r>
            <w:r>
              <w:rPr>
                <w:spacing w:val="-5"/>
                <w:sz w:val="20"/>
              </w:rPr>
              <w:t> </w:t>
            </w:r>
            <w:r>
              <w:rPr>
                <w:sz w:val="20"/>
              </w:rPr>
              <w:t>I34.0,</w:t>
            </w:r>
            <w:r>
              <w:rPr>
                <w:spacing w:val="-4"/>
                <w:sz w:val="20"/>
              </w:rPr>
              <w:t> </w:t>
            </w:r>
            <w:r>
              <w:rPr>
                <w:spacing w:val="-2"/>
                <w:sz w:val="20"/>
              </w:rPr>
              <w:t>I34.1,</w:t>
            </w:r>
          </w:p>
          <w:p>
            <w:pPr>
              <w:pStyle w:val="TableParagraph"/>
              <w:spacing w:before="11"/>
              <w:ind w:left="53" w:right="53"/>
              <w:jc w:val="center"/>
              <w:rPr>
                <w:sz w:val="20"/>
              </w:rPr>
            </w:pPr>
            <w:r>
              <w:rPr>
                <w:sz w:val="20"/>
              </w:rPr>
              <w:t>I34.2,</w:t>
            </w:r>
            <w:r>
              <w:rPr>
                <w:spacing w:val="-5"/>
                <w:sz w:val="20"/>
              </w:rPr>
              <w:t> </w:t>
            </w:r>
            <w:r>
              <w:rPr>
                <w:sz w:val="20"/>
              </w:rPr>
              <w:t>I35.1,</w:t>
            </w:r>
            <w:r>
              <w:rPr>
                <w:spacing w:val="-7"/>
                <w:sz w:val="20"/>
              </w:rPr>
              <w:t> </w:t>
            </w:r>
            <w:r>
              <w:rPr>
                <w:sz w:val="20"/>
              </w:rPr>
              <w:t>I35.2,</w:t>
            </w:r>
            <w:r>
              <w:rPr>
                <w:spacing w:val="-4"/>
                <w:sz w:val="20"/>
              </w:rPr>
              <w:t> </w:t>
            </w:r>
            <w:r>
              <w:rPr>
                <w:spacing w:val="-2"/>
                <w:sz w:val="20"/>
              </w:rPr>
              <w:t>I36.0,</w:t>
            </w:r>
          </w:p>
          <w:p>
            <w:pPr>
              <w:pStyle w:val="TableParagraph"/>
              <w:spacing w:before="10"/>
              <w:ind w:left="53" w:right="53"/>
              <w:jc w:val="center"/>
              <w:rPr>
                <w:sz w:val="20"/>
              </w:rPr>
            </w:pPr>
            <w:r>
              <w:rPr>
                <w:sz w:val="20"/>
              </w:rPr>
              <w:t>I36.1,</w:t>
            </w:r>
            <w:r>
              <w:rPr>
                <w:spacing w:val="-5"/>
                <w:sz w:val="20"/>
              </w:rPr>
              <w:t> </w:t>
            </w:r>
            <w:r>
              <w:rPr>
                <w:sz w:val="20"/>
              </w:rPr>
              <w:t>I36.2,</w:t>
            </w:r>
            <w:r>
              <w:rPr>
                <w:spacing w:val="-7"/>
                <w:sz w:val="20"/>
              </w:rPr>
              <w:t> </w:t>
            </w:r>
            <w:r>
              <w:rPr>
                <w:sz w:val="20"/>
              </w:rPr>
              <w:t>I05.0,</w:t>
            </w:r>
            <w:r>
              <w:rPr>
                <w:spacing w:val="-4"/>
                <w:sz w:val="20"/>
              </w:rPr>
              <w:t> </w:t>
            </w:r>
            <w:r>
              <w:rPr>
                <w:spacing w:val="-2"/>
                <w:sz w:val="20"/>
              </w:rPr>
              <w:t>I05.1,</w:t>
            </w:r>
          </w:p>
          <w:p>
            <w:pPr>
              <w:pStyle w:val="TableParagraph"/>
              <w:spacing w:before="10"/>
              <w:ind w:left="53" w:right="53"/>
              <w:jc w:val="center"/>
              <w:rPr>
                <w:sz w:val="20"/>
              </w:rPr>
            </w:pPr>
            <w:r>
              <w:rPr>
                <w:sz w:val="20"/>
              </w:rPr>
              <w:t>I05.2,</w:t>
            </w:r>
            <w:r>
              <w:rPr>
                <w:spacing w:val="-5"/>
                <w:sz w:val="20"/>
              </w:rPr>
              <w:t> </w:t>
            </w:r>
            <w:r>
              <w:rPr>
                <w:sz w:val="20"/>
              </w:rPr>
              <w:t>I06.0,</w:t>
            </w:r>
            <w:r>
              <w:rPr>
                <w:spacing w:val="-7"/>
                <w:sz w:val="20"/>
              </w:rPr>
              <w:t> </w:t>
            </w:r>
            <w:r>
              <w:rPr>
                <w:sz w:val="20"/>
              </w:rPr>
              <w:t>I06.1,</w:t>
            </w:r>
            <w:r>
              <w:rPr>
                <w:spacing w:val="-4"/>
                <w:sz w:val="20"/>
              </w:rPr>
              <w:t> </w:t>
            </w:r>
            <w:r>
              <w:rPr>
                <w:spacing w:val="-2"/>
                <w:sz w:val="20"/>
              </w:rPr>
              <w:t>I06.2,</w:t>
            </w:r>
          </w:p>
          <w:p>
            <w:pPr>
              <w:pStyle w:val="TableParagraph"/>
              <w:spacing w:before="10"/>
              <w:ind w:left="53" w:right="53"/>
              <w:jc w:val="center"/>
              <w:rPr>
                <w:sz w:val="20"/>
              </w:rPr>
            </w:pPr>
            <w:r>
              <w:rPr>
                <w:sz w:val="20"/>
              </w:rPr>
              <w:t>I07.0,</w:t>
            </w:r>
            <w:r>
              <w:rPr>
                <w:spacing w:val="-5"/>
                <w:sz w:val="20"/>
              </w:rPr>
              <w:t> </w:t>
            </w:r>
            <w:r>
              <w:rPr>
                <w:sz w:val="20"/>
              </w:rPr>
              <w:t>I07.1,</w:t>
            </w:r>
            <w:r>
              <w:rPr>
                <w:spacing w:val="-7"/>
                <w:sz w:val="20"/>
              </w:rPr>
              <w:t> </w:t>
            </w:r>
            <w:r>
              <w:rPr>
                <w:sz w:val="20"/>
              </w:rPr>
              <w:t>I07.2,</w:t>
            </w:r>
            <w:r>
              <w:rPr>
                <w:spacing w:val="-4"/>
                <w:sz w:val="20"/>
              </w:rPr>
              <w:t> </w:t>
            </w:r>
            <w:r>
              <w:rPr>
                <w:spacing w:val="-2"/>
                <w:sz w:val="20"/>
              </w:rPr>
              <w:t>I08.0,</w:t>
            </w:r>
          </w:p>
          <w:p>
            <w:pPr>
              <w:pStyle w:val="TableParagraph"/>
              <w:spacing w:line="249" w:lineRule="auto" w:before="10"/>
              <w:ind w:left="53" w:right="51"/>
              <w:jc w:val="center"/>
              <w:rPr>
                <w:sz w:val="20"/>
              </w:rPr>
            </w:pPr>
            <w:r>
              <w:rPr>
                <w:sz w:val="20"/>
              </w:rPr>
              <w:t>I08.1,</w:t>
            </w:r>
            <w:r>
              <w:rPr>
                <w:spacing w:val="-13"/>
                <w:sz w:val="20"/>
              </w:rPr>
              <w:t> </w:t>
            </w:r>
            <w:r>
              <w:rPr>
                <w:sz w:val="20"/>
              </w:rPr>
              <w:t>I08.2,</w:t>
            </w:r>
            <w:r>
              <w:rPr>
                <w:spacing w:val="-12"/>
                <w:sz w:val="20"/>
              </w:rPr>
              <w:t> </w:t>
            </w:r>
            <w:r>
              <w:rPr>
                <w:sz w:val="20"/>
              </w:rPr>
              <w:t>I08.3,</w:t>
            </w:r>
            <w:r>
              <w:rPr>
                <w:spacing w:val="-13"/>
                <w:sz w:val="20"/>
              </w:rPr>
              <w:t> </w:t>
            </w:r>
            <w:r>
              <w:rPr>
                <w:sz w:val="20"/>
              </w:rPr>
              <w:t>I08.8, I08.9, D15.1</w:t>
            </w:r>
          </w:p>
        </w:tc>
        <w:tc>
          <w:tcPr>
            <w:tcW w:w="3094" w:type="dxa"/>
            <w:vMerge w:val="restart"/>
          </w:tcPr>
          <w:p>
            <w:pPr>
              <w:pStyle w:val="TableParagraph"/>
              <w:spacing w:line="249" w:lineRule="auto" w:before="60"/>
              <w:ind w:left="61"/>
              <w:rPr>
                <w:sz w:val="20"/>
              </w:rPr>
            </w:pPr>
            <w:r>
              <w:rPr>
                <w:sz w:val="20"/>
              </w:rPr>
              <w:t>поражение</w:t>
            </w:r>
            <w:r>
              <w:rPr>
                <w:spacing w:val="-13"/>
                <w:sz w:val="20"/>
              </w:rPr>
              <w:t> </w:t>
            </w:r>
            <w:r>
              <w:rPr>
                <w:sz w:val="20"/>
              </w:rPr>
              <w:t>клапанного</w:t>
            </w:r>
            <w:r>
              <w:rPr>
                <w:spacing w:val="-12"/>
                <w:sz w:val="20"/>
              </w:rPr>
              <w:t> </w:t>
            </w:r>
            <w:r>
              <w:rPr>
                <w:sz w:val="20"/>
              </w:rPr>
              <w:t>аппарата сердца различного генеза (врожденные, приобретенные пороки</w:t>
            </w:r>
            <w:r>
              <w:rPr>
                <w:spacing w:val="-8"/>
                <w:sz w:val="20"/>
              </w:rPr>
              <w:t> </w:t>
            </w:r>
            <w:r>
              <w:rPr>
                <w:sz w:val="20"/>
              </w:rPr>
              <w:t>сердца,</w:t>
            </w:r>
            <w:r>
              <w:rPr>
                <w:spacing w:val="-6"/>
                <w:sz w:val="20"/>
              </w:rPr>
              <w:t> </w:t>
            </w:r>
            <w:r>
              <w:rPr>
                <w:sz w:val="20"/>
              </w:rPr>
              <w:t>опухоли</w:t>
            </w:r>
            <w:r>
              <w:rPr>
                <w:spacing w:val="-8"/>
                <w:sz w:val="20"/>
              </w:rPr>
              <w:t> </w:t>
            </w:r>
            <w:r>
              <w:rPr>
                <w:sz w:val="20"/>
              </w:rPr>
              <w:t>сердца)</w:t>
            </w:r>
          </w:p>
        </w:tc>
        <w:tc>
          <w:tcPr>
            <w:tcW w:w="1640" w:type="dxa"/>
          </w:tcPr>
          <w:p>
            <w:pPr>
              <w:pStyle w:val="TableParagraph"/>
              <w:spacing w:line="249" w:lineRule="auto" w:before="60"/>
              <w:ind w:left="275"/>
              <w:rPr>
                <w:sz w:val="20"/>
              </w:rPr>
            </w:pPr>
            <w:r>
              <w:rPr>
                <w:spacing w:val="-2"/>
                <w:sz w:val="20"/>
              </w:rPr>
              <w:t>хирургическое лечение</w:t>
            </w:r>
          </w:p>
        </w:tc>
        <w:tc>
          <w:tcPr>
            <w:tcW w:w="3613" w:type="dxa"/>
          </w:tcPr>
          <w:p>
            <w:pPr>
              <w:pStyle w:val="TableParagraph"/>
              <w:spacing w:line="249" w:lineRule="auto" w:before="60"/>
              <w:ind w:left="109" w:right="678"/>
              <w:rPr>
                <w:sz w:val="20"/>
              </w:rPr>
            </w:pPr>
            <w:r>
              <w:rPr>
                <w:sz w:val="20"/>
              </w:rPr>
              <w:t>пластика клапанов в условиях искусственного</w:t>
            </w:r>
            <w:r>
              <w:rPr>
                <w:spacing w:val="-13"/>
                <w:sz w:val="20"/>
              </w:rPr>
              <w:t> </w:t>
            </w:r>
            <w:r>
              <w:rPr>
                <w:sz w:val="20"/>
              </w:rPr>
              <w:t>кровообращения</w:t>
            </w:r>
          </w:p>
        </w:tc>
        <w:tc>
          <w:tcPr>
            <w:tcW w:w="1339" w:type="dxa"/>
          </w:tcPr>
          <w:p>
            <w:pPr>
              <w:pStyle w:val="TableParagraph"/>
              <w:spacing w:before="60"/>
              <w:ind w:left="690"/>
              <w:rPr>
                <w:sz w:val="20"/>
              </w:rPr>
            </w:pPr>
            <w:r>
              <w:rPr>
                <w:spacing w:val="-2"/>
                <w:sz w:val="20"/>
              </w:rPr>
              <w:t>442482</w:t>
            </w:r>
          </w:p>
        </w:tc>
      </w:tr>
      <w:tr>
        <w:trPr>
          <w:trHeight w:val="1080" w:hRule="atLeast"/>
        </w:trPr>
        <w:tc>
          <w:tcPr>
            <w:tcW w:w="458" w:type="dxa"/>
          </w:tcPr>
          <w:p>
            <w:pPr>
              <w:pStyle w:val="TableParagraph"/>
              <w:rPr>
                <w:sz w:val="18"/>
              </w:rPr>
            </w:pPr>
          </w:p>
        </w:tc>
        <w:tc>
          <w:tcPr>
            <w:tcW w:w="2819" w:type="dxa"/>
            <w:vMerge/>
            <w:tcBorders>
              <w:top w:val="nil"/>
            </w:tcBorders>
          </w:tcPr>
          <w:p>
            <w:pPr>
              <w:rPr>
                <w:sz w:val="2"/>
                <w:szCs w:val="2"/>
              </w:rPr>
            </w:pPr>
          </w:p>
        </w:tc>
        <w:tc>
          <w:tcPr>
            <w:tcW w:w="2136" w:type="dxa"/>
            <w:vMerge/>
            <w:tcBorders>
              <w:top w:val="nil"/>
            </w:tcBorders>
          </w:tcPr>
          <w:p>
            <w:pPr>
              <w:rPr>
                <w:sz w:val="2"/>
                <w:szCs w:val="2"/>
              </w:rPr>
            </w:pPr>
          </w:p>
        </w:tc>
        <w:tc>
          <w:tcPr>
            <w:tcW w:w="3094" w:type="dxa"/>
            <w:vMerge/>
            <w:tcBorders>
              <w:top w:val="nil"/>
            </w:tcBorders>
          </w:tcPr>
          <w:p>
            <w:pPr>
              <w:rPr>
                <w:sz w:val="2"/>
                <w:szCs w:val="2"/>
              </w:rPr>
            </w:pPr>
          </w:p>
        </w:tc>
        <w:tc>
          <w:tcPr>
            <w:tcW w:w="1640" w:type="dxa"/>
          </w:tcPr>
          <w:p>
            <w:pPr>
              <w:pStyle w:val="TableParagraph"/>
              <w:rPr>
                <w:sz w:val="18"/>
              </w:rPr>
            </w:pPr>
          </w:p>
        </w:tc>
        <w:tc>
          <w:tcPr>
            <w:tcW w:w="3613" w:type="dxa"/>
          </w:tcPr>
          <w:p>
            <w:pPr>
              <w:pStyle w:val="TableParagraph"/>
              <w:spacing w:line="249" w:lineRule="auto" w:before="60"/>
              <w:ind w:left="109"/>
              <w:rPr>
                <w:sz w:val="20"/>
              </w:rPr>
            </w:pPr>
            <w:r>
              <w:rPr>
                <w:sz w:val="20"/>
              </w:rPr>
              <w:t>протезирование</w:t>
            </w:r>
            <w:r>
              <w:rPr>
                <w:spacing w:val="-9"/>
                <w:sz w:val="20"/>
              </w:rPr>
              <w:t> </w:t>
            </w:r>
            <w:r>
              <w:rPr>
                <w:sz w:val="20"/>
              </w:rPr>
              <w:t>1</w:t>
            </w:r>
            <w:r>
              <w:rPr>
                <w:spacing w:val="-8"/>
                <w:sz w:val="20"/>
              </w:rPr>
              <w:t> </w:t>
            </w:r>
            <w:r>
              <w:rPr>
                <w:sz w:val="20"/>
              </w:rPr>
              <w:t>клапана</w:t>
            </w:r>
            <w:r>
              <w:rPr>
                <w:spacing w:val="-7"/>
                <w:sz w:val="20"/>
              </w:rPr>
              <w:t> </w:t>
            </w:r>
            <w:r>
              <w:rPr>
                <w:sz w:val="20"/>
              </w:rPr>
              <w:t>в</w:t>
            </w:r>
            <w:r>
              <w:rPr>
                <w:spacing w:val="-10"/>
                <w:sz w:val="20"/>
              </w:rPr>
              <w:t> </w:t>
            </w:r>
            <w:r>
              <w:rPr>
                <w:sz w:val="20"/>
              </w:rPr>
              <w:t>сочетании</w:t>
            </w:r>
            <w:r>
              <w:rPr>
                <w:spacing w:val="-10"/>
                <w:sz w:val="20"/>
              </w:rPr>
              <w:t> </w:t>
            </w:r>
            <w:r>
              <w:rPr>
                <w:sz w:val="20"/>
              </w:rPr>
              <w:t>с пластикой или без пластики клапана, удаление опухоли сердца с пластикой или без пластики клапана</w:t>
            </w:r>
          </w:p>
        </w:tc>
        <w:tc>
          <w:tcPr>
            <w:tcW w:w="1339" w:type="dxa"/>
          </w:tcPr>
          <w:p>
            <w:pPr>
              <w:pStyle w:val="TableParagraph"/>
              <w:rPr>
                <w:sz w:val="18"/>
              </w:rPr>
            </w:pPr>
          </w:p>
        </w:tc>
      </w:tr>
      <w:tr>
        <w:trPr>
          <w:trHeight w:val="1320" w:hRule="atLeast"/>
        </w:trPr>
        <w:tc>
          <w:tcPr>
            <w:tcW w:w="458" w:type="dxa"/>
          </w:tcPr>
          <w:p>
            <w:pPr>
              <w:pStyle w:val="TableParagraph"/>
              <w:rPr>
                <w:sz w:val="18"/>
              </w:rPr>
            </w:pPr>
          </w:p>
        </w:tc>
        <w:tc>
          <w:tcPr>
            <w:tcW w:w="2819" w:type="dxa"/>
          </w:tcPr>
          <w:p>
            <w:pPr>
              <w:pStyle w:val="TableParagraph"/>
              <w:rPr>
                <w:sz w:val="18"/>
              </w:rPr>
            </w:pPr>
          </w:p>
        </w:tc>
        <w:tc>
          <w:tcPr>
            <w:tcW w:w="2136" w:type="dxa"/>
            <w:vMerge/>
            <w:tcBorders>
              <w:top w:val="nil"/>
            </w:tcBorders>
          </w:tcPr>
          <w:p>
            <w:pPr>
              <w:rPr>
                <w:sz w:val="2"/>
                <w:szCs w:val="2"/>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before="60"/>
              <w:ind w:left="109" w:right="-43"/>
              <w:rPr>
                <w:sz w:val="20"/>
              </w:rPr>
            </w:pPr>
            <w:r>
              <w:rPr>
                <w:sz w:val="20"/>
              </w:rPr>
              <w:t>протезирование</w:t>
            </w:r>
            <w:r>
              <w:rPr>
                <w:spacing w:val="-8"/>
                <w:sz w:val="20"/>
              </w:rPr>
              <w:t> </w:t>
            </w:r>
            <w:r>
              <w:rPr>
                <w:sz w:val="20"/>
              </w:rPr>
              <w:t>2</w:t>
            </w:r>
            <w:r>
              <w:rPr>
                <w:spacing w:val="-8"/>
                <w:sz w:val="20"/>
              </w:rPr>
              <w:t> </w:t>
            </w:r>
            <w:r>
              <w:rPr>
                <w:sz w:val="20"/>
              </w:rPr>
              <w:t>клапанов</w:t>
            </w:r>
            <w:r>
              <w:rPr>
                <w:spacing w:val="-7"/>
                <w:sz w:val="20"/>
              </w:rPr>
              <w:t> </w:t>
            </w:r>
            <w:r>
              <w:rPr>
                <w:sz w:val="20"/>
              </w:rPr>
              <w:t>в</w:t>
            </w:r>
            <w:r>
              <w:rPr>
                <w:spacing w:val="-9"/>
                <w:sz w:val="20"/>
              </w:rPr>
              <w:t> </w:t>
            </w:r>
            <w:r>
              <w:rPr>
                <w:sz w:val="20"/>
              </w:rPr>
              <w:t>сочетании</w:t>
            </w:r>
            <w:r>
              <w:rPr>
                <w:spacing w:val="-9"/>
                <w:sz w:val="20"/>
              </w:rPr>
              <w:t> </w:t>
            </w:r>
            <w:r>
              <w:rPr>
                <w:sz w:val="20"/>
              </w:rPr>
              <w:t>с пластикой клапана или без пластики клапана, торакоскопическое протезирование</w:t>
            </w:r>
            <w:r>
              <w:rPr>
                <w:spacing w:val="-11"/>
                <w:sz w:val="20"/>
              </w:rPr>
              <w:t> </w:t>
            </w:r>
            <w:r>
              <w:rPr>
                <w:sz w:val="20"/>
              </w:rPr>
              <w:t>и</w:t>
            </w:r>
            <w:r>
              <w:rPr>
                <w:spacing w:val="-12"/>
                <w:sz w:val="20"/>
              </w:rPr>
              <w:t> </w:t>
            </w:r>
            <w:r>
              <w:rPr>
                <w:sz w:val="20"/>
              </w:rPr>
              <w:t>(или)</w:t>
            </w:r>
            <w:r>
              <w:rPr>
                <w:spacing w:val="-11"/>
                <w:sz w:val="20"/>
              </w:rPr>
              <w:t> </w:t>
            </w:r>
            <w:r>
              <w:rPr>
                <w:sz w:val="20"/>
              </w:rPr>
              <w:t>пластика</w:t>
            </w:r>
            <w:r>
              <w:rPr>
                <w:spacing w:val="-11"/>
                <w:sz w:val="20"/>
              </w:rPr>
              <w:t> </w:t>
            </w:r>
            <w:r>
              <w:rPr>
                <w:sz w:val="20"/>
              </w:rPr>
              <w:t>клапана </w:t>
            </w:r>
            <w:r>
              <w:rPr>
                <w:spacing w:val="-2"/>
                <w:sz w:val="20"/>
              </w:rPr>
              <w:t>сердца</w:t>
            </w:r>
          </w:p>
        </w:tc>
        <w:tc>
          <w:tcPr>
            <w:tcW w:w="1339" w:type="dxa"/>
          </w:tcPr>
          <w:p>
            <w:pPr>
              <w:pStyle w:val="TableParagraph"/>
              <w:rPr>
                <w:sz w:val="18"/>
              </w:rPr>
            </w:pPr>
          </w:p>
        </w:tc>
      </w:tr>
      <w:tr>
        <w:trPr>
          <w:trHeight w:val="101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52" w:lineRule="auto" w:before="60"/>
              <w:ind w:left="109"/>
              <w:rPr>
                <w:sz w:val="20"/>
              </w:rPr>
            </w:pPr>
            <w:r>
              <w:rPr>
                <w:sz w:val="20"/>
              </w:rPr>
              <w:t>протезирование</w:t>
            </w:r>
            <w:r>
              <w:rPr>
                <w:spacing w:val="-11"/>
                <w:sz w:val="20"/>
              </w:rPr>
              <w:t> </w:t>
            </w:r>
            <w:r>
              <w:rPr>
                <w:sz w:val="20"/>
              </w:rPr>
              <w:t>3</w:t>
            </w:r>
            <w:r>
              <w:rPr>
                <w:spacing w:val="-11"/>
                <w:sz w:val="20"/>
              </w:rPr>
              <w:t> </w:t>
            </w:r>
            <w:r>
              <w:rPr>
                <w:sz w:val="20"/>
              </w:rPr>
              <w:t>клапанов</w:t>
            </w:r>
            <w:r>
              <w:rPr>
                <w:spacing w:val="-10"/>
                <w:sz w:val="20"/>
              </w:rPr>
              <w:t> </w:t>
            </w:r>
            <w:r>
              <w:rPr>
                <w:sz w:val="20"/>
              </w:rPr>
              <w:t>у</w:t>
            </w:r>
            <w:r>
              <w:rPr>
                <w:spacing w:val="-12"/>
                <w:sz w:val="20"/>
              </w:rPr>
              <w:t> </w:t>
            </w:r>
            <w:r>
              <w:rPr>
                <w:sz w:val="20"/>
              </w:rPr>
              <w:t>больного без инфекционного эндокардита или</w:t>
            </w:r>
          </w:p>
          <w:p>
            <w:pPr>
              <w:pStyle w:val="TableParagraph"/>
              <w:spacing w:line="228" w:lineRule="exact"/>
              <w:ind w:left="109"/>
              <w:rPr>
                <w:sz w:val="20"/>
              </w:rPr>
            </w:pPr>
            <w:r>
              <w:rPr>
                <w:sz w:val="20"/>
              </w:rPr>
              <w:t>1</w:t>
            </w:r>
            <w:r>
              <w:rPr>
                <w:spacing w:val="-4"/>
                <w:sz w:val="20"/>
              </w:rPr>
              <w:t> </w:t>
            </w:r>
            <w:r>
              <w:rPr>
                <w:sz w:val="20"/>
              </w:rPr>
              <w:t>-</w:t>
            </w:r>
            <w:r>
              <w:rPr>
                <w:spacing w:val="-5"/>
                <w:sz w:val="20"/>
              </w:rPr>
              <w:t> </w:t>
            </w:r>
            <w:r>
              <w:rPr>
                <w:sz w:val="20"/>
              </w:rPr>
              <w:t>2</w:t>
            </w:r>
            <w:r>
              <w:rPr>
                <w:spacing w:val="-4"/>
                <w:sz w:val="20"/>
              </w:rPr>
              <w:t> </w:t>
            </w:r>
            <w:r>
              <w:rPr>
                <w:sz w:val="20"/>
              </w:rPr>
              <w:t>клапанов</w:t>
            </w:r>
            <w:r>
              <w:rPr>
                <w:spacing w:val="-2"/>
                <w:sz w:val="20"/>
              </w:rPr>
              <w:t> </w:t>
            </w:r>
            <w:r>
              <w:rPr>
                <w:sz w:val="20"/>
              </w:rPr>
              <w:t>у</w:t>
            </w:r>
            <w:r>
              <w:rPr>
                <w:spacing w:val="-5"/>
                <w:sz w:val="20"/>
              </w:rPr>
              <w:t> </w:t>
            </w:r>
            <w:r>
              <w:rPr>
                <w:sz w:val="20"/>
              </w:rPr>
              <w:t>больного</w:t>
            </w:r>
            <w:r>
              <w:rPr>
                <w:spacing w:val="-3"/>
                <w:sz w:val="20"/>
              </w:rPr>
              <w:t> </w:t>
            </w:r>
            <w:r>
              <w:rPr>
                <w:spacing w:val="-12"/>
                <w:sz w:val="20"/>
              </w:rPr>
              <w:t>с</w:t>
            </w:r>
          </w:p>
          <w:p>
            <w:pPr>
              <w:pStyle w:val="TableParagraph"/>
              <w:spacing w:line="210" w:lineRule="exact" w:before="10"/>
              <w:ind w:left="109"/>
              <w:rPr>
                <w:sz w:val="20"/>
              </w:rPr>
            </w:pPr>
            <w:r>
              <w:rPr>
                <w:spacing w:val="-2"/>
                <w:sz w:val="20"/>
              </w:rPr>
              <w:t>инфекционным</w:t>
            </w:r>
            <w:r>
              <w:rPr>
                <w:spacing w:val="8"/>
                <w:sz w:val="20"/>
              </w:rPr>
              <w:t> </w:t>
            </w:r>
            <w:r>
              <w:rPr>
                <w:spacing w:val="-2"/>
                <w:sz w:val="20"/>
              </w:rPr>
              <w:t>эндокардитом</w:t>
            </w:r>
          </w:p>
        </w:tc>
        <w:tc>
          <w:tcPr>
            <w:tcW w:w="133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9"/>
        <w:gridCol w:w="2136"/>
        <w:gridCol w:w="3295"/>
        <w:gridCol w:w="1438"/>
        <w:gridCol w:w="3933"/>
        <w:gridCol w:w="1069"/>
      </w:tblGrid>
      <w:tr>
        <w:trPr>
          <w:trHeight w:val="2210" w:hRule="atLeast"/>
        </w:trPr>
        <w:tc>
          <w:tcPr>
            <w:tcW w:w="458" w:type="dxa"/>
          </w:tcPr>
          <w:p>
            <w:pPr>
              <w:pStyle w:val="TableParagraph"/>
              <w:spacing w:line="221" w:lineRule="exact"/>
              <w:ind w:left="50"/>
              <w:rPr>
                <w:sz w:val="20"/>
              </w:rPr>
            </w:pPr>
            <w:r>
              <w:rPr>
                <w:spacing w:val="-5"/>
                <w:sz w:val="20"/>
              </w:rPr>
              <w:t>52.</w:t>
            </w:r>
          </w:p>
        </w:tc>
        <w:tc>
          <w:tcPr>
            <w:tcW w:w="2819" w:type="dxa"/>
          </w:tcPr>
          <w:p>
            <w:pPr>
              <w:pStyle w:val="TableParagraph"/>
              <w:spacing w:line="249" w:lineRule="auto"/>
              <w:ind w:left="155"/>
              <w:rPr>
                <w:sz w:val="20"/>
              </w:rPr>
            </w:pPr>
            <w:r>
              <w:rPr>
                <w:sz w:val="20"/>
              </w:rPr>
              <w:t>Эндоваскулярное лечение врожденных,</w:t>
            </w:r>
            <w:r>
              <w:rPr>
                <w:spacing w:val="-13"/>
                <w:sz w:val="20"/>
              </w:rPr>
              <w:t> </w:t>
            </w:r>
            <w:r>
              <w:rPr>
                <w:sz w:val="20"/>
              </w:rPr>
              <w:t>ревматических</w:t>
            </w:r>
            <w:r>
              <w:rPr>
                <w:spacing w:val="-12"/>
                <w:sz w:val="20"/>
              </w:rPr>
              <w:t> </w:t>
            </w:r>
            <w:r>
              <w:rPr>
                <w:sz w:val="20"/>
              </w:rPr>
              <w:t>и неревматических пороков клапанов сердца, опухолей </w:t>
            </w:r>
            <w:r>
              <w:rPr>
                <w:spacing w:val="-2"/>
                <w:sz w:val="20"/>
              </w:rPr>
              <w:t>сердца</w:t>
            </w:r>
          </w:p>
        </w:tc>
        <w:tc>
          <w:tcPr>
            <w:tcW w:w="2136" w:type="dxa"/>
          </w:tcPr>
          <w:p>
            <w:pPr>
              <w:pStyle w:val="TableParagraph"/>
              <w:spacing w:line="221" w:lineRule="exact"/>
              <w:ind w:left="53" w:right="51"/>
              <w:jc w:val="center"/>
              <w:rPr>
                <w:sz w:val="20"/>
              </w:rPr>
            </w:pPr>
            <w:r>
              <w:rPr>
                <w:sz w:val="20"/>
              </w:rPr>
              <w:t>Q20.5,</w:t>
            </w:r>
            <w:r>
              <w:rPr>
                <w:spacing w:val="-4"/>
                <w:sz w:val="20"/>
              </w:rPr>
              <w:t> </w:t>
            </w:r>
            <w:r>
              <w:rPr>
                <w:sz w:val="20"/>
              </w:rPr>
              <w:t>Q21.3,</w:t>
            </w:r>
            <w:r>
              <w:rPr>
                <w:spacing w:val="-5"/>
                <w:sz w:val="20"/>
              </w:rPr>
              <w:t> </w:t>
            </w:r>
            <w:r>
              <w:rPr>
                <w:spacing w:val="-4"/>
                <w:sz w:val="20"/>
              </w:rPr>
              <w:t>Q22,</w:t>
            </w:r>
          </w:p>
          <w:p>
            <w:pPr>
              <w:pStyle w:val="TableParagraph"/>
              <w:spacing w:before="10"/>
              <w:ind w:left="53" w:right="50"/>
              <w:jc w:val="center"/>
              <w:rPr>
                <w:sz w:val="20"/>
              </w:rPr>
            </w:pPr>
            <w:r>
              <w:rPr>
                <w:sz w:val="20"/>
              </w:rPr>
              <w:t>Q23.0</w:t>
            </w:r>
            <w:r>
              <w:rPr>
                <w:spacing w:val="-1"/>
                <w:sz w:val="20"/>
              </w:rPr>
              <w:t> </w:t>
            </w:r>
            <w:r>
              <w:rPr>
                <w:sz w:val="20"/>
              </w:rPr>
              <w:t>-</w:t>
            </w:r>
            <w:r>
              <w:rPr>
                <w:spacing w:val="-5"/>
                <w:sz w:val="20"/>
              </w:rPr>
              <w:t> </w:t>
            </w:r>
            <w:r>
              <w:rPr>
                <w:sz w:val="20"/>
              </w:rPr>
              <w:t>Q23.3,</w:t>
            </w:r>
            <w:r>
              <w:rPr>
                <w:spacing w:val="-3"/>
                <w:sz w:val="20"/>
              </w:rPr>
              <w:t> </w:t>
            </w:r>
            <w:r>
              <w:rPr>
                <w:spacing w:val="-2"/>
                <w:sz w:val="20"/>
              </w:rPr>
              <w:t>Q24.4,</w:t>
            </w:r>
          </w:p>
          <w:p>
            <w:pPr>
              <w:pStyle w:val="TableParagraph"/>
              <w:spacing w:before="10"/>
              <w:ind w:left="53" w:right="49"/>
              <w:jc w:val="center"/>
              <w:rPr>
                <w:sz w:val="20"/>
              </w:rPr>
            </w:pPr>
            <w:r>
              <w:rPr>
                <w:sz w:val="20"/>
              </w:rPr>
              <w:t>Q25.3,</w:t>
            </w:r>
            <w:r>
              <w:rPr>
                <w:spacing w:val="-5"/>
                <w:sz w:val="20"/>
              </w:rPr>
              <w:t> </w:t>
            </w:r>
            <w:r>
              <w:rPr>
                <w:sz w:val="20"/>
              </w:rPr>
              <w:t>I34.0,</w:t>
            </w:r>
            <w:r>
              <w:rPr>
                <w:spacing w:val="-4"/>
                <w:sz w:val="20"/>
              </w:rPr>
              <w:t> </w:t>
            </w:r>
            <w:r>
              <w:rPr>
                <w:spacing w:val="-2"/>
                <w:sz w:val="20"/>
              </w:rPr>
              <w:t>I34.1,</w:t>
            </w:r>
          </w:p>
          <w:p>
            <w:pPr>
              <w:pStyle w:val="TableParagraph"/>
              <w:spacing w:before="10"/>
              <w:ind w:left="53" w:right="53"/>
              <w:jc w:val="center"/>
              <w:rPr>
                <w:sz w:val="20"/>
              </w:rPr>
            </w:pPr>
            <w:r>
              <w:rPr>
                <w:sz w:val="20"/>
              </w:rPr>
              <w:t>I34.2,</w:t>
            </w:r>
            <w:r>
              <w:rPr>
                <w:spacing w:val="-5"/>
                <w:sz w:val="20"/>
              </w:rPr>
              <w:t> </w:t>
            </w:r>
            <w:r>
              <w:rPr>
                <w:sz w:val="20"/>
              </w:rPr>
              <w:t>I35.1,</w:t>
            </w:r>
            <w:r>
              <w:rPr>
                <w:spacing w:val="-7"/>
                <w:sz w:val="20"/>
              </w:rPr>
              <w:t> </w:t>
            </w:r>
            <w:r>
              <w:rPr>
                <w:sz w:val="20"/>
              </w:rPr>
              <w:t>I35.2,</w:t>
            </w:r>
            <w:r>
              <w:rPr>
                <w:spacing w:val="-4"/>
                <w:sz w:val="20"/>
              </w:rPr>
              <w:t> </w:t>
            </w:r>
            <w:r>
              <w:rPr>
                <w:spacing w:val="-2"/>
                <w:sz w:val="20"/>
              </w:rPr>
              <w:t>I36.0,</w:t>
            </w:r>
          </w:p>
          <w:p>
            <w:pPr>
              <w:pStyle w:val="TableParagraph"/>
              <w:spacing w:before="10"/>
              <w:ind w:left="53" w:right="53"/>
              <w:jc w:val="center"/>
              <w:rPr>
                <w:sz w:val="20"/>
              </w:rPr>
            </w:pPr>
            <w:r>
              <w:rPr>
                <w:sz w:val="20"/>
              </w:rPr>
              <w:t>I36.1,</w:t>
            </w:r>
            <w:r>
              <w:rPr>
                <w:spacing w:val="-5"/>
                <w:sz w:val="20"/>
              </w:rPr>
              <w:t> </w:t>
            </w:r>
            <w:r>
              <w:rPr>
                <w:sz w:val="20"/>
              </w:rPr>
              <w:t>I36.2,</w:t>
            </w:r>
            <w:r>
              <w:rPr>
                <w:spacing w:val="-7"/>
                <w:sz w:val="20"/>
              </w:rPr>
              <w:t> </w:t>
            </w:r>
            <w:r>
              <w:rPr>
                <w:sz w:val="20"/>
              </w:rPr>
              <w:t>I05.0,</w:t>
            </w:r>
            <w:r>
              <w:rPr>
                <w:spacing w:val="-4"/>
                <w:sz w:val="20"/>
              </w:rPr>
              <w:t> </w:t>
            </w:r>
            <w:r>
              <w:rPr>
                <w:spacing w:val="-2"/>
                <w:sz w:val="20"/>
              </w:rPr>
              <w:t>I05.1,</w:t>
            </w:r>
          </w:p>
          <w:p>
            <w:pPr>
              <w:pStyle w:val="TableParagraph"/>
              <w:spacing w:before="10"/>
              <w:ind w:left="53" w:right="53"/>
              <w:jc w:val="center"/>
              <w:rPr>
                <w:sz w:val="20"/>
              </w:rPr>
            </w:pPr>
            <w:r>
              <w:rPr>
                <w:sz w:val="20"/>
              </w:rPr>
              <w:t>I05.2,</w:t>
            </w:r>
            <w:r>
              <w:rPr>
                <w:spacing w:val="-5"/>
                <w:sz w:val="20"/>
              </w:rPr>
              <w:t> </w:t>
            </w:r>
            <w:r>
              <w:rPr>
                <w:sz w:val="20"/>
              </w:rPr>
              <w:t>I06.0,</w:t>
            </w:r>
            <w:r>
              <w:rPr>
                <w:spacing w:val="-7"/>
                <w:sz w:val="20"/>
              </w:rPr>
              <w:t> </w:t>
            </w:r>
            <w:r>
              <w:rPr>
                <w:sz w:val="20"/>
              </w:rPr>
              <w:t>I06.1,</w:t>
            </w:r>
            <w:r>
              <w:rPr>
                <w:spacing w:val="-4"/>
                <w:sz w:val="20"/>
              </w:rPr>
              <w:t> </w:t>
            </w:r>
            <w:r>
              <w:rPr>
                <w:spacing w:val="-2"/>
                <w:sz w:val="20"/>
              </w:rPr>
              <w:t>I06.2,</w:t>
            </w:r>
          </w:p>
          <w:p>
            <w:pPr>
              <w:pStyle w:val="TableParagraph"/>
              <w:spacing w:before="10"/>
              <w:ind w:left="53" w:right="53"/>
              <w:jc w:val="center"/>
              <w:rPr>
                <w:sz w:val="20"/>
              </w:rPr>
            </w:pPr>
            <w:r>
              <w:rPr>
                <w:sz w:val="20"/>
              </w:rPr>
              <w:t>I07.0,</w:t>
            </w:r>
            <w:r>
              <w:rPr>
                <w:spacing w:val="-5"/>
                <w:sz w:val="20"/>
              </w:rPr>
              <w:t> </w:t>
            </w:r>
            <w:r>
              <w:rPr>
                <w:sz w:val="20"/>
              </w:rPr>
              <w:t>I07.1,</w:t>
            </w:r>
            <w:r>
              <w:rPr>
                <w:spacing w:val="-7"/>
                <w:sz w:val="20"/>
              </w:rPr>
              <w:t> </w:t>
            </w:r>
            <w:r>
              <w:rPr>
                <w:sz w:val="20"/>
              </w:rPr>
              <w:t>I07.2,</w:t>
            </w:r>
            <w:r>
              <w:rPr>
                <w:spacing w:val="-4"/>
                <w:sz w:val="20"/>
              </w:rPr>
              <w:t> </w:t>
            </w:r>
            <w:r>
              <w:rPr>
                <w:spacing w:val="-2"/>
                <w:sz w:val="20"/>
              </w:rPr>
              <w:t>I08.0,</w:t>
            </w:r>
          </w:p>
          <w:p>
            <w:pPr>
              <w:pStyle w:val="TableParagraph"/>
              <w:spacing w:line="249" w:lineRule="auto" w:before="10"/>
              <w:ind w:left="53" w:right="51"/>
              <w:jc w:val="center"/>
              <w:rPr>
                <w:sz w:val="20"/>
              </w:rPr>
            </w:pPr>
            <w:r>
              <w:rPr>
                <w:sz w:val="20"/>
              </w:rPr>
              <w:t>I08.1,</w:t>
            </w:r>
            <w:r>
              <w:rPr>
                <w:spacing w:val="-13"/>
                <w:sz w:val="20"/>
              </w:rPr>
              <w:t> </w:t>
            </w:r>
            <w:r>
              <w:rPr>
                <w:sz w:val="20"/>
              </w:rPr>
              <w:t>I08.2,</w:t>
            </w:r>
            <w:r>
              <w:rPr>
                <w:spacing w:val="-12"/>
                <w:sz w:val="20"/>
              </w:rPr>
              <w:t> </w:t>
            </w:r>
            <w:r>
              <w:rPr>
                <w:sz w:val="20"/>
              </w:rPr>
              <w:t>I08.3,</w:t>
            </w:r>
            <w:r>
              <w:rPr>
                <w:spacing w:val="-13"/>
                <w:sz w:val="20"/>
              </w:rPr>
              <w:t> </w:t>
            </w:r>
            <w:r>
              <w:rPr>
                <w:sz w:val="20"/>
              </w:rPr>
              <w:t>I08.8, I08.9, D15.1</w:t>
            </w:r>
          </w:p>
        </w:tc>
        <w:tc>
          <w:tcPr>
            <w:tcW w:w="3295" w:type="dxa"/>
          </w:tcPr>
          <w:p>
            <w:pPr>
              <w:pStyle w:val="TableParagraph"/>
              <w:spacing w:line="249" w:lineRule="auto"/>
              <w:ind w:left="61" w:right="97"/>
              <w:rPr>
                <w:sz w:val="20"/>
              </w:rPr>
            </w:pPr>
            <w:r>
              <w:rPr>
                <w:sz w:val="20"/>
              </w:rPr>
              <w:t>поражение</w:t>
            </w:r>
            <w:r>
              <w:rPr>
                <w:spacing w:val="-13"/>
                <w:sz w:val="20"/>
              </w:rPr>
              <w:t> </w:t>
            </w:r>
            <w:r>
              <w:rPr>
                <w:sz w:val="20"/>
              </w:rPr>
              <w:t>клапанного</w:t>
            </w:r>
            <w:r>
              <w:rPr>
                <w:spacing w:val="-12"/>
                <w:sz w:val="20"/>
              </w:rPr>
              <w:t> </w:t>
            </w:r>
            <w:r>
              <w:rPr>
                <w:sz w:val="20"/>
              </w:rPr>
              <w:t>аппарата сердца различного генеза (врожденные, приобретенные пороки</w:t>
            </w:r>
            <w:r>
              <w:rPr>
                <w:spacing w:val="-9"/>
                <w:sz w:val="20"/>
              </w:rPr>
              <w:t> </w:t>
            </w:r>
            <w:r>
              <w:rPr>
                <w:sz w:val="20"/>
              </w:rPr>
              <w:t>сердца,</w:t>
            </w:r>
            <w:r>
              <w:rPr>
                <w:spacing w:val="-7"/>
                <w:sz w:val="20"/>
              </w:rPr>
              <w:t> </w:t>
            </w:r>
            <w:r>
              <w:rPr>
                <w:sz w:val="20"/>
              </w:rPr>
              <w:t>опухоли</w:t>
            </w:r>
            <w:r>
              <w:rPr>
                <w:spacing w:val="-7"/>
                <w:sz w:val="20"/>
              </w:rPr>
              <w:t> </w:t>
            </w:r>
            <w:r>
              <w:rPr>
                <w:sz w:val="20"/>
              </w:rPr>
              <w:t>сердца)</w:t>
            </w:r>
          </w:p>
        </w:tc>
        <w:tc>
          <w:tcPr>
            <w:tcW w:w="1438" w:type="dxa"/>
          </w:tcPr>
          <w:p>
            <w:pPr>
              <w:pStyle w:val="TableParagraph"/>
              <w:spacing w:line="249" w:lineRule="auto"/>
              <w:ind w:left="74"/>
              <w:rPr>
                <w:sz w:val="20"/>
              </w:rPr>
            </w:pPr>
            <w:r>
              <w:rPr>
                <w:spacing w:val="-2"/>
                <w:sz w:val="20"/>
              </w:rPr>
              <w:t>хирургическое лечение</w:t>
            </w:r>
          </w:p>
        </w:tc>
        <w:tc>
          <w:tcPr>
            <w:tcW w:w="3933" w:type="dxa"/>
          </w:tcPr>
          <w:p>
            <w:pPr>
              <w:pStyle w:val="TableParagraph"/>
              <w:spacing w:line="249" w:lineRule="auto"/>
              <w:ind w:left="110" w:right="1004"/>
              <w:rPr>
                <w:sz w:val="20"/>
              </w:rPr>
            </w:pPr>
            <w:r>
              <w:rPr>
                <w:sz w:val="20"/>
              </w:rPr>
              <w:t>транскатетерное</w:t>
            </w:r>
            <w:r>
              <w:rPr>
                <w:spacing w:val="-13"/>
                <w:sz w:val="20"/>
              </w:rPr>
              <w:t> </w:t>
            </w:r>
            <w:r>
              <w:rPr>
                <w:sz w:val="20"/>
              </w:rPr>
              <w:t>протезирование клапанов сердца</w:t>
            </w:r>
          </w:p>
        </w:tc>
        <w:tc>
          <w:tcPr>
            <w:tcW w:w="1069" w:type="dxa"/>
          </w:tcPr>
          <w:p>
            <w:pPr>
              <w:pStyle w:val="TableParagraph"/>
              <w:spacing w:line="221" w:lineRule="exact"/>
              <w:ind w:right="45"/>
              <w:jc w:val="right"/>
              <w:rPr>
                <w:sz w:val="20"/>
              </w:rPr>
            </w:pPr>
            <w:r>
              <w:rPr>
                <w:spacing w:val="-2"/>
                <w:sz w:val="20"/>
              </w:rPr>
              <w:t>1729954</w:t>
            </w:r>
          </w:p>
        </w:tc>
      </w:tr>
      <w:tr>
        <w:trPr>
          <w:trHeight w:val="840" w:hRule="atLeast"/>
        </w:trPr>
        <w:tc>
          <w:tcPr>
            <w:tcW w:w="458" w:type="dxa"/>
          </w:tcPr>
          <w:p>
            <w:pPr>
              <w:pStyle w:val="TableParagraph"/>
              <w:spacing w:before="60"/>
              <w:ind w:left="50"/>
              <w:rPr>
                <w:sz w:val="20"/>
              </w:rPr>
            </w:pPr>
            <w:r>
              <w:rPr>
                <w:spacing w:val="-5"/>
                <w:sz w:val="20"/>
              </w:rPr>
              <w:t>53.</w:t>
            </w:r>
          </w:p>
        </w:tc>
        <w:tc>
          <w:tcPr>
            <w:tcW w:w="2819" w:type="dxa"/>
          </w:tcPr>
          <w:p>
            <w:pPr>
              <w:pStyle w:val="TableParagraph"/>
              <w:spacing w:line="249" w:lineRule="auto" w:before="60"/>
              <w:ind w:left="155" w:right="630"/>
              <w:jc w:val="both"/>
              <w:rPr>
                <w:sz w:val="20"/>
              </w:rPr>
            </w:pPr>
            <w:r>
              <w:rPr>
                <w:sz w:val="20"/>
              </w:rPr>
              <w:t>Хирургическое</w:t>
            </w:r>
            <w:r>
              <w:rPr>
                <w:spacing w:val="-13"/>
                <w:sz w:val="20"/>
              </w:rPr>
              <w:t> </w:t>
            </w:r>
            <w:r>
              <w:rPr>
                <w:sz w:val="20"/>
              </w:rPr>
              <w:t>лечение хронической</w:t>
            </w:r>
            <w:r>
              <w:rPr>
                <w:spacing w:val="-13"/>
                <w:sz w:val="20"/>
              </w:rPr>
              <w:t> </w:t>
            </w:r>
            <w:r>
              <w:rPr>
                <w:sz w:val="20"/>
              </w:rPr>
              <w:t>сердечной </w:t>
            </w:r>
            <w:r>
              <w:rPr>
                <w:spacing w:val="-2"/>
                <w:sz w:val="20"/>
              </w:rPr>
              <w:t>недостаточности</w:t>
            </w:r>
          </w:p>
        </w:tc>
        <w:tc>
          <w:tcPr>
            <w:tcW w:w="2136" w:type="dxa"/>
          </w:tcPr>
          <w:p>
            <w:pPr>
              <w:pStyle w:val="TableParagraph"/>
              <w:spacing w:line="249" w:lineRule="auto" w:before="60"/>
              <w:ind w:left="863" w:hanging="803"/>
              <w:rPr>
                <w:sz w:val="20"/>
              </w:rPr>
            </w:pPr>
            <w:r>
              <w:rPr>
                <w:sz w:val="20"/>
              </w:rPr>
              <w:t>I42.1,</w:t>
            </w:r>
            <w:r>
              <w:rPr>
                <w:spacing w:val="-13"/>
                <w:sz w:val="20"/>
              </w:rPr>
              <w:t> </w:t>
            </w:r>
            <w:r>
              <w:rPr>
                <w:sz w:val="20"/>
              </w:rPr>
              <w:t>I23.3,</w:t>
            </w:r>
            <w:r>
              <w:rPr>
                <w:spacing w:val="-12"/>
                <w:sz w:val="20"/>
              </w:rPr>
              <w:t> </w:t>
            </w:r>
            <w:r>
              <w:rPr>
                <w:sz w:val="20"/>
              </w:rPr>
              <w:t>I23.5,</w:t>
            </w:r>
            <w:r>
              <w:rPr>
                <w:spacing w:val="-13"/>
                <w:sz w:val="20"/>
              </w:rPr>
              <w:t> </w:t>
            </w:r>
            <w:r>
              <w:rPr>
                <w:sz w:val="20"/>
              </w:rPr>
              <w:t>I23.4, </w:t>
            </w:r>
            <w:r>
              <w:rPr>
                <w:spacing w:val="-2"/>
                <w:sz w:val="20"/>
              </w:rPr>
              <w:t>I50.0</w:t>
            </w:r>
          </w:p>
        </w:tc>
        <w:tc>
          <w:tcPr>
            <w:tcW w:w="3295" w:type="dxa"/>
            <w:vMerge w:val="restart"/>
          </w:tcPr>
          <w:p>
            <w:pPr>
              <w:pStyle w:val="TableParagraph"/>
              <w:spacing w:line="249" w:lineRule="auto" w:before="60"/>
              <w:ind w:left="61" w:right="70"/>
              <w:rPr>
                <w:sz w:val="20"/>
              </w:rPr>
            </w:pPr>
            <w:r>
              <w:rPr>
                <w:sz w:val="20"/>
              </w:rPr>
              <w:t>хроническая сердечная недостаточность различного генеза (ишемическая болезнь сердца, гипертрофическая</w:t>
            </w:r>
            <w:r>
              <w:rPr>
                <w:spacing w:val="-13"/>
                <w:sz w:val="20"/>
              </w:rPr>
              <w:t> </w:t>
            </w:r>
            <w:r>
              <w:rPr>
                <w:sz w:val="20"/>
              </w:rPr>
              <w:t>кардиомиопатия</w:t>
            </w:r>
            <w:r>
              <w:rPr>
                <w:spacing w:val="-12"/>
                <w:sz w:val="20"/>
              </w:rPr>
              <w:t> </w:t>
            </w:r>
            <w:r>
              <w:rPr>
                <w:sz w:val="20"/>
              </w:rPr>
              <w:t>с обструкцией путей оттока, дилятационная кардиомиопатия и другие) 2Б - 3 стадии (классификация Стражеско- Василенко), III - IV функционального класса (NYHA), фракция выброса левого желудочка менее 40 процентов</w:t>
            </w:r>
          </w:p>
        </w:tc>
        <w:tc>
          <w:tcPr>
            <w:tcW w:w="1438" w:type="dxa"/>
          </w:tcPr>
          <w:p>
            <w:pPr>
              <w:pStyle w:val="TableParagraph"/>
              <w:spacing w:line="249" w:lineRule="auto" w:before="60"/>
              <w:ind w:left="74"/>
              <w:rPr>
                <w:sz w:val="20"/>
              </w:rPr>
            </w:pPr>
            <w:r>
              <w:rPr>
                <w:spacing w:val="-2"/>
                <w:sz w:val="20"/>
              </w:rPr>
              <w:t>хирургическое лечение</w:t>
            </w:r>
          </w:p>
        </w:tc>
        <w:tc>
          <w:tcPr>
            <w:tcW w:w="3933" w:type="dxa"/>
          </w:tcPr>
          <w:p>
            <w:pPr>
              <w:pStyle w:val="TableParagraph"/>
              <w:spacing w:line="249" w:lineRule="auto" w:before="60"/>
              <w:ind w:left="110" w:right="494"/>
              <w:jc w:val="both"/>
              <w:rPr>
                <w:sz w:val="20"/>
              </w:rPr>
            </w:pPr>
            <w:r>
              <w:rPr>
                <w:sz w:val="20"/>
              </w:rPr>
              <w:t>иссечение</w:t>
            </w:r>
            <w:r>
              <w:rPr>
                <w:spacing w:val="-13"/>
                <w:sz w:val="20"/>
              </w:rPr>
              <w:t> </w:t>
            </w:r>
            <w:r>
              <w:rPr>
                <w:sz w:val="20"/>
              </w:rPr>
              <w:t>гипертрофированных</w:t>
            </w:r>
            <w:r>
              <w:rPr>
                <w:spacing w:val="-12"/>
                <w:sz w:val="20"/>
              </w:rPr>
              <w:t> </w:t>
            </w:r>
            <w:r>
              <w:rPr>
                <w:sz w:val="20"/>
              </w:rPr>
              <w:t>мышц при обструктивной гипертрофической </w:t>
            </w:r>
            <w:r>
              <w:rPr>
                <w:spacing w:val="-2"/>
                <w:sz w:val="20"/>
              </w:rPr>
              <w:t>кардиомиопатии</w:t>
            </w:r>
          </w:p>
        </w:tc>
        <w:tc>
          <w:tcPr>
            <w:tcW w:w="1069" w:type="dxa"/>
          </w:tcPr>
          <w:p>
            <w:pPr>
              <w:pStyle w:val="TableParagraph"/>
              <w:spacing w:before="60"/>
              <w:ind w:right="95"/>
              <w:jc w:val="right"/>
              <w:rPr>
                <w:sz w:val="20"/>
              </w:rPr>
            </w:pPr>
            <w:r>
              <w:rPr>
                <w:spacing w:val="-2"/>
                <w:sz w:val="20"/>
              </w:rPr>
              <w:t>505666</w:t>
            </w:r>
          </w:p>
        </w:tc>
      </w:tr>
      <w:tr>
        <w:trPr>
          <w:trHeight w:val="36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before="60"/>
              <w:ind w:left="110"/>
              <w:rPr>
                <w:sz w:val="20"/>
              </w:rPr>
            </w:pPr>
            <w:r>
              <w:rPr>
                <w:sz w:val="20"/>
              </w:rPr>
              <w:t>реконструкция</w:t>
            </w:r>
            <w:r>
              <w:rPr>
                <w:spacing w:val="-9"/>
                <w:sz w:val="20"/>
              </w:rPr>
              <w:t> </w:t>
            </w:r>
            <w:r>
              <w:rPr>
                <w:sz w:val="20"/>
              </w:rPr>
              <w:t>левого</w:t>
            </w:r>
            <w:r>
              <w:rPr>
                <w:spacing w:val="-10"/>
                <w:sz w:val="20"/>
              </w:rPr>
              <w:t> </w:t>
            </w:r>
            <w:r>
              <w:rPr>
                <w:spacing w:val="-2"/>
                <w:sz w:val="20"/>
              </w:rPr>
              <w:t>желудочка</w:t>
            </w:r>
          </w:p>
        </w:tc>
        <w:tc>
          <w:tcPr>
            <w:tcW w:w="1069" w:type="dxa"/>
          </w:tcPr>
          <w:p>
            <w:pPr>
              <w:pStyle w:val="TableParagraph"/>
              <w:rPr>
                <w:sz w:val="18"/>
              </w:rPr>
            </w:pPr>
          </w:p>
        </w:tc>
      </w:tr>
      <w:tr>
        <w:trPr>
          <w:trHeight w:val="84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before="60"/>
              <w:ind w:left="110"/>
              <w:rPr>
                <w:sz w:val="20"/>
              </w:rPr>
            </w:pPr>
            <w:r>
              <w:rPr>
                <w:sz w:val="20"/>
              </w:rPr>
              <w:t>имплантация систем моно- и бивентрикулярного</w:t>
            </w:r>
            <w:r>
              <w:rPr>
                <w:spacing w:val="-13"/>
                <w:sz w:val="20"/>
              </w:rPr>
              <w:t> </w:t>
            </w:r>
            <w:r>
              <w:rPr>
                <w:sz w:val="20"/>
              </w:rPr>
              <w:t>обхода</w:t>
            </w:r>
            <w:r>
              <w:rPr>
                <w:spacing w:val="-12"/>
                <w:sz w:val="20"/>
              </w:rPr>
              <w:t> </w:t>
            </w:r>
            <w:r>
              <w:rPr>
                <w:sz w:val="20"/>
              </w:rPr>
              <w:t>желудочков </w:t>
            </w:r>
            <w:r>
              <w:rPr>
                <w:spacing w:val="-2"/>
                <w:sz w:val="20"/>
              </w:rPr>
              <w:t>сердца</w:t>
            </w:r>
          </w:p>
        </w:tc>
        <w:tc>
          <w:tcPr>
            <w:tcW w:w="1069" w:type="dxa"/>
          </w:tcPr>
          <w:p>
            <w:pPr>
              <w:pStyle w:val="TableParagraph"/>
              <w:rPr>
                <w:sz w:val="18"/>
              </w:rPr>
            </w:pPr>
          </w:p>
        </w:tc>
      </w:tr>
      <w:tr>
        <w:trPr>
          <w:trHeight w:val="96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before="60"/>
              <w:ind w:left="110"/>
              <w:rPr>
                <w:sz w:val="20"/>
              </w:rPr>
            </w:pPr>
            <w:r>
              <w:rPr>
                <w:spacing w:val="-2"/>
                <w:sz w:val="20"/>
              </w:rPr>
              <w:t>ресинхронизирующая электрокардиостимуляция</w:t>
            </w:r>
          </w:p>
        </w:tc>
        <w:tc>
          <w:tcPr>
            <w:tcW w:w="1069"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54.</w:t>
            </w:r>
          </w:p>
        </w:tc>
        <w:tc>
          <w:tcPr>
            <w:tcW w:w="2819" w:type="dxa"/>
            <w:vMerge w:val="restart"/>
          </w:tcPr>
          <w:p>
            <w:pPr>
              <w:pStyle w:val="TableParagraph"/>
              <w:spacing w:line="249" w:lineRule="auto" w:before="60"/>
              <w:ind w:left="155" w:right="75"/>
              <w:rPr>
                <w:sz w:val="20"/>
              </w:rPr>
            </w:pPr>
            <w:r>
              <w:rPr>
                <w:spacing w:val="-2"/>
                <w:sz w:val="20"/>
              </w:rPr>
              <w:t>Эндоваскулярная, </w:t>
            </w:r>
            <w:r>
              <w:rPr>
                <w:sz w:val="20"/>
              </w:rPr>
              <w:t>хирургическая коррекция нарушений ритма сердца с имплантацией</w:t>
            </w:r>
            <w:r>
              <w:rPr>
                <w:spacing w:val="-13"/>
                <w:sz w:val="20"/>
              </w:rPr>
              <w:t> </w:t>
            </w:r>
            <w:r>
              <w:rPr>
                <w:sz w:val="20"/>
              </w:rPr>
              <w:t>кардиовертера-</w:t>
            </w:r>
          </w:p>
          <w:p>
            <w:pPr>
              <w:pStyle w:val="TableParagraph"/>
              <w:spacing w:line="220" w:lineRule="exact" w:before="4"/>
              <w:ind w:left="155"/>
              <w:rPr>
                <w:sz w:val="20"/>
              </w:rPr>
            </w:pPr>
            <w:r>
              <w:rPr>
                <w:spacing w:val="-2"/>
                <w:sz w:val="20"/>
              </w:rPr>
              <w:t>дефибриллятора</w:t>
            </w:r>
          </w:p>
        </w:tc>
        <w:tc>
          <w:tcPr>
            <w:tcW w:w="2136" w:type="dxa"/>
            <w:vMerge w:val="restart"/>
          </w:tcPr>
          <w:p>
            <w:pPr>
              <w:pStyle w:val="TableParagraph"/>
              <w:spacing w:before="60"/>
              <w:ind w:left="53" w:right="53"/>
              <w:jc w:val="center"/>
              <w:rPr>
                <w:sz w:val="20"/>
              </w:rPr>
            </w:pPr>
            <w:r>
              <w:rPr>
                <w:sz w:val="20"/>
              </w:rPr>
              <w:t>I44.1,</w:t>
            </w:r>
            <w:r>
              <w:rPr>
                <w:spacing w:val="-5"/>
                <w:sz w:val="20"/>
              </w:rPr>
              <w:t> </w:t>
            </w:r>
            <w:r>
              <w:rPr>
                <w:sz w:val="20"/>
              </w:rPr>
              <w:t>I44.2,</w:t>
            </w:r>
            <w:r>
              <w:rPr>
                <w:spacing w:val="-7"/>
                <w:sz w:val="20"/>
              </w:rPr>
              <w:t> </w:t>
            </w:r>
            <w:r>
              <w:rPr>
                <w:sz w:val="20"/>
              </w:rPr>
              <w:t>I45.2,</w:t>
            </w:r>
            <w:r>
              <w:rPr>
                <w:spacing w:val="-4"/>
                <w:sz w:val="20"/>
              </w:rPr>
              <w:t> </w:t>
            </w:r>
            <w:r>
              <w:rPr>
                <w:spacing w:val="-2"/>
                <w:sz w:val="20"/>
              </w:rPr>
              <w:t>I45.3,</w:t>
            </w:r>
          </w:p>
          <w:p>
            <w:pPr>
              <w:pStyle w:val="TableParagraph"/>
              <w:spacing w:before="10"/>
              <w:ind w:left="53" w:right="53"/>
              <w:jc w:val="center"/>
              <w:rPr>
                <w:sz w:val="20"/>
              </w:rPr>
            </w:pPr>
            <w:r>
              <w:rPr>
                <w:sz w:val="20"/>
              </w:rPr>
              <w:t>I45.6,</w:t>
            </w:r>
            <w:r>
              <w:rPr>
                <w:spacing w:val="-5"/>
                <w:sz w:val="20"/>
              </w:rPr>
              <w:t> </w:t>
            </w:r>
            <w:r>
              <w:rPr>
                <w:sz w:val="20"/>
              </w:rPr>
              <w:t>I46.0,</w:t>
            </w:r>
            <w:r>
              <w:rPr>
                <w:spacing w:val="-7"/>
                <w:sz w:val="20"/>
              </w:rPr>
              <w:t> </w:t>
            </w:r>
            <w:r>
              <w:rPr>
                <w:sz w:val="20"/>
              </w:rPr>
              <w:t>I47.0,</w:t>
            </w:r>
            <w:r>
              <w:rPr>
                <w:spacing w:val="-4"/>
                <w:sz w:val="20"/>
              </w:rPr>
              <w:t> </w:t>
            </w:r>
            <w:r>
              <w:rPr>
                <w:spacing w:val="-2"/>
                <w:sz w:val="20"/>
              </w:rPr>
              <w:t>I47.1,</w:t>
            </w:r>
          </w:p>
          <w:p>
            <w:pPr>
              <w:pStyle w:val="TableParagraph"/>
              <w:spacing w:line="252" w:lineRule="auto" w:before="10"/>
              <w:ind w:left="53" w:right="51"/>
              <w:jc w:val="center"/>
              <w:rPr>
                <w:sz w:val="20"/>
              </w:rPr>
            </w:pPr>
            <w:r>
              <w:rPr>
                <w:sz w:val="20"/>
              </w:rPr>
              <w:t>I47.2,</w:t>
            </w:r>
            <w:r>
              <w:rPr>
                <w:spacing w:val="-13"/>
                <w:sz w:val="20"/>
              </w:rPr>
              <w:t> </w:t>
            </w:r>
            <w:r>
              <w:rPr>
                <w:sz w:val="20"/>
              </w:rPr>
              <w:t>I47.9,</w:t>
            </w:r>
            <w:r>
              <w:rPr>
                <w:spacing w:val="-12"/>
                <w:sz w:val="20"/>
              </w:rPr>
              <w:t> </w:t>
            </w:r>
            <w:r>
              <w:rPr>
                <w:sz w:val="20"/>
              </w:rPr>
              <w:t>I48,</w:t>
            </w:r>
            <w:r>
              <w:rPr>
                <w:spacing w:val="-13"/>
                <w:sz w:val="20"/>
              </w:rPr>
              <w:t> </w:t>
            </w:r>
            <w:r>
              <w:rPr>
                <w:sz w:val="20"/>
              </w:rPr>
              <w:t>I49.0, I49.5, Q22.5, Q24.6</w:t>
            </w:r>
          </w:p>
        </w:tc>
        <w:tc>
          <w:tcPr>
            <w:tcW w:w="3295" w:type="dxa"/>
            <w:vMerge w:val="restart"/>
          </w:tcPr>
          <w:p>
            <w:pPr>
              <w:pStyle w:val="TableParagraph"/>
              <w:spacing w:line="249" w:lineRule="auto" w:before="60"/>
              <w:ind w:left="61" w:right="71"/>
              <w:rPr>
                <w:sz w:val="20"/>
              </w:rPr>
            </w:pPr>
            <w:r>
              <w:rPr>
                <w:sz w:val="20"/>
              </w:rPr>
              <w:t>пароксизмальные нарушения ритма и проводимости различного генеза, </w:t>
            </w:r>
            <w:r>
              <w:rPr>
                <w:spacing w:val="-2"/>
                <w:sz w:val="20"/>
              </w:rPr>
              <w:t>сопровождающиеся </w:t>
            </w:r>
            <w:r>
              <w:rPr>
                <w:sz w:val="20"/>
              </w:rPr>
              <w:t>гемодинамическими</w:t>
            </w:r>
            <w:r>
              <w:rPr>
                <w:spacing w:val="-13"/>
                <w:sz w:val="20"/>
              </w:rPr>
              <w:t> </w:t>
            </w:r>
            <w:r>
              <w:rPr>
                <w:sz w:val="20"/>
              </w:rPr>
              <w:t>расстройствами и отсутствием эффекта от лечения лекарственными препаратами</w:t>
            </w:r>
          </w:p>
        </w:tc>
        <w:tc>
          <w:tcPr>
            <w:tcW w:w="1438" w:type="dxa"/>
          </w:tcPr>
          <w:p>
            <w:pPr>
              <w:pStyle w:val="TableParagraph"/>
              <w:spacing w:line="249" w:lineRule="auto" w:before="60"/>
              <w:ind w:left="74"/>
              <w:rPr>
                <w:sz w:val="20"/>
              </w:rPr>
            </w:pPr>
            <w:r>
              <w:rPr>
                <w:spacing w:val="-2"/>
                <w:sz w:val="20"/>
              </w:rPr>
              <w:t>хирургическое лечение</w:t>
            </w:r>
          </w:p>
        </w:tc>
        <w:tc>
          <w:tcPr>
            <w:tcW w:w="3933" w:type="dxa"/>
          </w:tcPr>
          <w:p>
            <w:pPr>
              <w:pStyle w:val="TableParagraph"/>
              <w:spacing w:line="249" w:lineRule="auto" w:before="60"/>
              <w:ind w:left="110" w:right="1107"/>
              <w:rPr>
                <w:sz w:val="20"/>
              </w:rPr>
            </w:pPr>
            <w:r>
              <w:rPr>
                <w:sz w:val="20"/>
              </w:rPr>
              <w:t>имплантация однокамерного </w:t>
            </w:r>
            <w:r>
              <w:rPr>
                <w:spacing w:val="-2"/>
                <w:sz w:val="20"/>
              </w:rPr>
              <w:t>кардиовертера-дефибриллятора</w:t>
            </w:r>
          </w:p>
        </w:tc>
        <w:tc>
          <w:tcPr>
            <w:tcW w:w="1069" w:type="dxa"/>
          </w:tcPr>
          <w:p>
            <w:pPr>
              <w:pStyle w:val="TableParagraph"/>
              <w:spacing w:before="60"/>
              <w:ind w:right="45"/>
              <w:jc w:val="right"/>
              <w:rPr>
                <w:sz w:val="20"/>
              </w:rPr>
            </w:pPr>
            <w:r>
              <w:rPr>
                <w:spacing w:val="-2"/>
                <w:sz w:val="20"/>
              </w:rPr>
              <w:t>1084184</w:t>
            </w:r>
          </w:p>
        </w:tc>
      </w:tr>
      <w:tr>
        <w:trPr>
          <w:trHeight w:val="660" w:hRule="atLeast"/>
        </w:trPr>
        <w:tc>
          <w:tcPr>
            <w:tcW w:w="458" w:type="dxa"/>
          </w:tcPr>
          <w:p>
            <w:pPr>
              <w:pStyle w:val="TableParagraph"/>
              <w:rPr>
                <w:sz w:val="18"/>
              </w:rPr>
            </w:pPr>
          </w:p>
        </w:tc>
        <w:tc>
          <w:tcPr>
            <w:tcW w:w="2819" w:type="dxa"/>
            <w:vMerge/>
            <w:tcBorders>
              <w:top w:val="nil"/>
            </w:tcBorders>
          </w:tcPr>
          <w:p>
            <w:pPr>
              <w:rPr>
                <w:sz w:val="2"/>
                <w:szCs w:val="2"/>
              </w:rPr>
            </w:pPr>
          </w:p>
        </w:tc>
        <w:tc>
          <w:tcPr>
            <w:tcW w:w="2136" w:type="dxa"/>
            <w:vMerge/>
            <w:tcBorders>
              <w:top w:val="nil"/>
            </w:tcBorders>
          </w:tcPr>
          <w:p>
            <w:pPr>
              <w:rPr>
                <w:sz w:val="2"/>
                <w:szCs w:val="2"/>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before="60"/>
              <w:ind w:left="110" w:right="1107"/>
              <w:rPr>
                <w:sz w:val="20"/>
              </w:rPr>
            </w:pPr>
            <w:r>
              <w:rPr>
                <w:sz w:val="20"/>
              </w:rPr>
              <w:t>имплантация двухкамерного </w:t>
            </w:r>
            <w:r>
              <w:rPr>
                <w:spacing w:val="-2"/>
                <w:sz w:val="20"/>
              </w:rPr>
              <w:t>кардиовертера-дефибриллятора</w:t>
            </w:r>
          </w:p>
        </w:tc>
        <w:tc>
          <w:tcPr>
            <w:tcW w:w="1069" w:type="dxa"/>
          </w:tcPr>
          <w:p>
            <w:pPr>
              <w:pStyle w:val="TableParagraph"/>
              <w:rPr>
                <w:sz w:val="18"/>
              </w:rPr>
            </w:pPr>
          </w:p>
        </w:tc>
      </w:tr>
      <w:tr>
        <w:trPr>
          <w:trHeight w:val="539"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ind w:left="110" w:right="1107"/>
              <w:rPr>
                <w:sz w:val="20"/>
              </w:rPr>
            </w:pPr>
            <w:r>
              <w:rPr>
                <w:sz w:val="20"/>
              </w:rPr>
              <w:t>имплантация трехкамерного </w:t>
            </w:r>
            <w:r>
              <w:rPr>
                <w:spacing w:val="-2"/>
                <w:sz w:val="20"/>
              </w:rPr>
              <w:t>кардиовертера-дефибриллятора</w:t>
            </w:r>
          </w:p>
        </w:tc>
        <w:tc>
          <w:tcPr>
            <w:tcW w:w="1069" w:type="dxa"/>
          </w:tcPr>
          <w:p>
            <w:pPr>
              <w:pStyle w:val="TableParagraph"/>
              <w:rPr>
                <w:sz w:val="18"/>
              </w:rPr>
            </w:pPr>
          </w:p>
        </w:tc>
      </w:tr>
      <w:tr>
        <w:trPr>
          <w:trHeight w:val="770" w:hRule="atLeast"/>
        </w:trPr>
        <w:tc>
          <w:tcPr>
            <w:tcW w:w="458" w:type="dxa"/>
          </w:tcPr>
          <w:p>
            <w:pPr>
              <w:pStyle w:val="TableParagraph"/>
              <w:spacing w:before="60"/>
              <w:ind w:left="50"/>
              <w:rPr>
                <w:sz w:val="20"/>
              </w:rPr>
            </w:pPr>
            <w:r>
              <w:rPr>
                <w:spacing w:val="-5"/>
                <w:sz w:val="20"/>
              </w:rPr>
              <w:t>55.</w:t>
            </w:r>
          </w:p>
        </w:tc>
        <w:tc>
          <w:tcPr>
            <w:tcW w:w="2819" w:type="dxa"/>
          </w:tcPr>
          <w:p>
            <w:pPr>
              <w:pStyle w:val="TableParagraph"/>
              <w:spacing w:line="240" w:lineRule="atLeast" w:before="30"/>
              <w:ind w:left="155" w:right="126"/>
              <w:rPr>
                <w:sz w:val="20"/>
              </w:rPr>
            </w:pPr>
            <w:r>
              <w:rPr>
                <w:sz w:val="20"/>
              </w:rPr>
              <w:t>Радикальная и гемодинамическая</w:t>
            </w:r>
            <w:r>
              <w:rPr>
                <w:spacing w:val="-13"/>
                <w:sz w:val="20"/>
              </w:rPr>
              <w:t> </w:t>
            </w:r>
            <w:r>
              <w:rPr>
                <w:sz w:val="20"/>
              </w:rPr>
              <w:t>коррекция врожденных пороков</w:t>
            </w:r>
          </w:p>
        </w:tc>
        <w:tc>
          <w:tcPr>
            <w:tcW w:w="2136" w:type="dxa"/>
          </w:tcPr>
          <w:p>
            <w:pPr>
              <w:pStyle w:val="TableParagraph"/>
              <w:spacing w:line="249" w:lineRule="auto" w:before="60"/>
              <w:ind w:left="231" w:firstLine="14"/>
              <w:rPr>
                <w:sz w:val="20"/>
              </w:rPr>
            </w:pPr>
            <w:r>
              <w:rPr>
                <w:sz w:val="20"/>
              </w:rPr>
              <w:t>Q20.1</w:t>
            </w:r>
            <w:r>
              <w:rPr>
                <w:spacing w:val="-7"/>
                <w:sz w:val="20"/>
              </w:rPr>
              <w:t> </w:t>
            </w:r>
            <w:r>
              <w:rPr>
                <w:sz w:val="20"/>
              </w:rPr>
              <w:t>-</w:t>
            </w:r>
            <w:r>
              <w:rPr>
                <w:spacing w:val="-10"/>
                <w:sz w:val="20"/>
              </w:rPr>
              <w:t> </w:t>
            </w:r>
            <w:r>
              <w:rPr>
                <w:sz w:val="20"/>
              </w:rPr>
              <w:t>Q20.9,</w:t>
            </w:r>
            <w:r>
              <w:rPr>
                <w:spacing w:val="-9"/>
                <w:sz w:val="20"/>
              </w:rPr>
              <w:t> </w:t>
            </w:r>
            <w:r>
              <w:rPr>
                <w:sz w:val="20"/>
              </w:rPr>
              <w:t>Q21, Q22,</w:t>
            </w:r>
            <w:r>
              <w:rPr>
                <w:spacing w:val="-2"/>
                <w:sz w:val="20"/>
              </w:rPr>
              <w:t> </w:t>
            </w:r>
            <w:r>
              <w:rPr>
                <w:sz w:val="20"/>
              </w:rPr>
              <w:t>Q23,</w:t>
            </w:r>
            <w:r>
              <w:rPr>
                <w:spacing w:val="-4"/>
                <w:sz w:val="20"/>
              </w:rPr>
              <w:t> </w:t>
            </w:r>
            <w:r>
              <w:rPr>
                <w:sz w:val="20"/>
              </w:rPr>
              <w:t>Q24,</w:t>
            </w:r>
            <w:r>
              <w:rPr>
                <w:spacing w:val="-2"/>
                <w:sz w:val="20"/>
              </w:rPr>
              <w:t> </w:t>
            </w:r>
            <w:r>
              <w:rPr>
                <w:spacing w:val="-5"/>
                <w:sz w:val="20"/>
              </w:rPr>
              <w:t>Q25</w:t>
            </w:r>
          </w:p>
        </w:tc>
        <w:tc>
          <w:tcPr>
            <w:tcW w:w="3295" w:type="dxa"/>
          </w:tcPr>
          <w:p>
            <w:pPr>
              <w:pStyle w:val="TableParagraph"/>
              <w:spacing w:line="240" w:lineRule="atLeast" w:before="30"/>
              <w:ind w:left="61" w:right="97"/>
              <w:rPr>
                <w:sz w:val="20"/>
              </w:rPr>
            </w:pPr>
            <w:r>
              <w:rPr>
                <w:sz w:val="20"/>
              </w:rPr>
              <w:t>врожденные</w:t>
            </w:r>
            <w:r>
              <w:rPr>
                <w:spacing w:val="-13"/>
                <w:sz w:val="20"/>
              </w:rPr>
              <w:t> </w:t>
            </w:r>
            <w:r>
              <w:rPr>
                <w:sz w:val="20"/>
              </w:rPr>
              <w:t>пороки</w:t>
            </w:r>
            <w:r>
              <w:rPr>
                <w:spacing w:val="-12"/>
                <w:sz w:val="20"/>
              </w:rPr>
              <w:t> </w:t>
            </w:r>
            <w:r>
              <w:rPr>
                <w:sz w:val="20"/>
              </w:rPr>
              <w:t>перегородок, камер сердца и соединений магистральных сосудов</w:t>
            </w:r>
          </w:p>
        </w:tc>
        <w:tc>
          <w:tcPr>
            <w:tcW w:w="1438" w:type="dxa"/>
          </w:tcPr>
          <w:p>
            <w:pPr>
              <w:pStyle w:val="TableParagraph"/>
              <w:spacing w:line="249" w:lineRule="auto" w:before="60"/>
              <w:ind w:left="74"/>
              <w:rPr>
                <w:sz w:val="20"/>
              </w:rPr>
            </w:pPr>
            <w:r>
              <w:rPr>
                <w:spacing w:val="-2"/>
                <w:sz w:val="20"/>
              </w:rPr>
              <w:t>хирургическое лечение</w:t>
            </w:r>
          </w:p>
        </w:tc>
        <w:tc>
          <w:tcPr>
            <w:tcW w:w="3933" w:type="dxa"/>
          </w:tcPr>
          <w:p>
            <w:pPr>
              <w:pStyle w:val="TableParagraph"/>
              <w:spacing w:line="240" w:lineRule="atLeast" w:before="30"/>
              <w:ind w:left="110" w:right="249"/>
              <w:rPr>
                <w:sz w:val="20"/>
              </w:rPr>
            </w:pPr>
            <w:r>
              <w:rPr>
                <w:sz w:val="20"/>
              </w:rPr>
              <w:t>радикальная, гемодинамическая, гибридная</w:t>
            </w:r>
            <w:r>
              <w:rPr>
                <w:spacing w:val="-13"/>
                <w:sz w:val="20"/>
              </w:rPr>
              <w:t> </w:t>
            </w:r>
            <w:r>
              <w:rPr>
                <w:sz w:val="20"/>
              </w:rPr>
              <w:t>коррекция,</w:t>
            </w:r>
            <w:r>
              <w:rPr>
                <w:spacing w:val="-12"/>
                <w:sz w:val="20"/>
              </w:rPr>
              <w:t> </w:t>
            </w:r>
            <w:r>
              <w:rPr>
                <w:sz w:val="20"/>
              </w:rPr>
              <w:t>реконструктивные и пластические операции при</w:t>
            </w:r>
          </w:p>
        </w:tc>
        <w:tc>
          <w:tcPr>
            <w:tcW w:w="1069" w:type="dxa"/>
          </w:tcPr>
          <w:p>
            <w:pPr>
              <w:pStyle w:val="TableParagraph"/>
              <w:spacing w:before="60"/>
              <w:ind w:right="95"/>
              <w:jc w:val="right"/>
              <w:rPr>
                <w:sz w:val="20"/>
              </w:rPr>
            </w:pPr>
            <w:r>
              <w:rPr>
                <w:spacing w:val="-2"/>
                <w:sz w:val="20"/>
              </w:rPr>
              <w:t>481872</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7"/>
        <w:gridCol w:w="2138"/>
        <w:gridCol w:w="3298"/>
        <w:gridCol w:w="1438"/>
        <w:gridCol w:w="3901"/>
        <w:gridCol w:w="1100"/>
      </w:tblGrid>
      <w:tr>
        <w:trPr>
          <w:trHeight w:val="770" w:hRule="atLeast"/>
        </w:trPr>
        <w:tc>
          <w:tcPr>
            <w:tcW w:w="458" w:type="dxa"/>
          </w:tcPr>
          <w:p>
            <w:pPr>
              <w:pStyle w:val="TableParagraph"/>
              <w:rPr>
                <w:sz w:val="18"/>
              </w:rPr>
            </w:pPr>
          </w:p>
        </w:tc>
        <w:tc>
          <w:tcPr>
            <w:tcW w:w="2817" w:type="dxa"/>
          </w:tcPr>
          <w:p>
            <w:pPr>
              <w:pStyle w:val="TableParagraph"/>
              <w:spacing w:line="249" w:lineRule="auto"/>
              <w:ind w:left="155" w:right="55"/>
              <w:rPr>
                <w:sz w:val="20"/>
              </w:rPr>
            </w:pPr>
            <w:r>
              <w:rPr>
                <w:sz w:val="20"/>
              </w:rPr>
              <w:t>перегородок,</w:t>
            </w:r>
            <w:r>
              <w:rPr>
                <w:spacing w:val="-13"/>
                <w:sz w:val="20"/>
              </w:rPr>
              <w:t> </w:t>
            </w:r>
            <w:r>
              <w:rPr>
                <w:sz w:val="20"/>
              </w:rPr>
              <w:t>камер</w:t>
            </w:r>
            <w:r>
              <w:rPr>
                <w:spacing w:val="-12"/>
                <w:sz w:val="20"/>
              </w:rPr>
              <w:t> </w:t>
            </w:r>
            <w:r>
              <w:rPr>
                <w:sz w:val="20"/>
              </w:rPr>
              <w:t>сердца</w:t>
            </w:r>
            <w:r>
              <w:rPr>
                <w:spacing w:val="-13"/>
                <w:sz w:val="20"/>
              </w:rPr>
              <w:t> </w:t>
            </w:r>
            <w:r>
              <w:rPr>
                <w:sz w:val="20"/>
              </w:rPr>
              <w:t>и соединений магистральных сосудов у детей до 1 года</w:t>
            </w:r>
          </w:p>
        </w:tc>
        <w:tc>
          <w:tcPr>
            <w:tcW w:w="2138" w:type="dxa"/>
          </w:tcPr>
          <w:p>
            <w:pPr>
              <w:pStyle w:val="TableParagraph"/>
              <w:rPr>
                <w:sz w:val="18"/>
              </w:rPr>
            </w:pPr>
          </w:p>
        </w:tc>
        <w:tc>
          <w:tcPr>
            <w:tcW w:w="3298" w:type="dxa"/>
          </w:tcPr>
          <w:p>
            <w:pPr>
              <w:pStyle w:val="TableParagraph"/>
              <w:rPr>
                <w:sz w:val="18"/>
              </w:rPr>
            </w:pPr>
          </w:p>
        </w:tc>
        <w:tc>
          <w:tcPr>
            <w:tcW w:w="1438" w:type="dxa"/>
          </w:tcPr>
          <w:p>
            <w:pPr>
              <w:pStyle w:val="TableParagraph"/>
              <w:rPr>
                <w:sz w:val="18"/>
              </w:rPr>
            </w:pPr>
          </w:p>
        </w:tc>
        <w:tc>
          <w:tcPr>
            <w:tcW w:w="3901" w:type="dxa"/>
          </w:tcPr>
          <w:p>
            <w:pPr>
              <w:pStyle w:val="TableParagraph"/>
              <w:spacing w:line="249" w:lineRule="auto"/>
              <w:ind w:left="107"/>
              <w:rPr>
                <w:sz w:val="20"/>
              </w:rPr>
            </w:pPr>
            <w:r>
              <w:rPr>
                <w:sz w:val="20"/>
              </w:rPr>
              <w:t>изолированных</w:t>
            </w:r>
            <w:r>
              <w:rPr>
                <w:spacing w:val="-13"/>
                <w:sz w:val="20"/>
              </w:rPr>
              <w:t> </w:t>
            </w:r>
            <w:r>
              <w:rPr>
                <w:sz w:val="20"/>
              </w:rPr>
              <w:t>дефектах</w:t>
            </w:r>
            <w:r>
              <w:rPr>
                <w:spacing w:val="-12"/>
                <w:sz w:val="20"/>
              </w:rPr>
              <w:t> </w:t>
            </w:r>
            <w:r>
              <w:rPr>
                <w:sz w:val="20"/>
              </w:rPr>
              <w:t>перегородок сердца у новорожденных и детей до</w:t>
            </w:r>
          </w:p>
          <w:p>
            <w:pPr>
              <w:pStyle w:val="TableParagraph"/>
              <w:ind w:left="107"/>
              <w:rPr>
                <w:sz w:val="20"/>
              </w:rPr>
            </w:pPr>
            <w:r>
              <w:rPr>
                <w:sz w:val="20"/>
              </w:rPr>
              <w:t>1 </w:t>
            </w:r>
            <w:r>
              <w:rPr>
                <w:spacing w:val="-4"/>
                <w:sz w:val="20"/>
              </w:rPr>
              <w:t>года</w:t>
            </w:r>
          </w:p>
        </w:tc>
        <w:tc>
          <w:tcPr>
            <w:tcW w:w="1100" w:type="dxa"/>
          </w:tcPr>
          <w:p>
            <w:pPr>
              <w:pStyle w:val="TableParagraph"/>
              <w:rPr>
                <w:sz w:val="18"/>
              </w:rPr>
            </w:pPr>
          </w:p>
        </w:tc>
      </w:tr>
      <w:tr>
        <w:trPr>
          <w:trHeight w:val="360" w:hRule="atLeast"/>
        </w:trPr>
        <w:tc>
          <w:tcPr>
            <w:tcW w:w="458" w:type="dxa"/>
          </w:tcPr>
          <w:p>
            <w:pPr>
              <w:pStyle w:val="TableParagraph"/>
              <w:spacing w:before="60"/>
              <w:ind w:left="50"/>
              <w:rPr>
                <w:sz w:val="20"/>
              </w:rPr>
            </w:pPr>
            <w:r>
              <w:rPr>
                <w:spacing w:val="-5"/>
                <w:sz w:val="20"/>
              </w:rPr>
              <w:t>56.</w:t>
            </w:r>
          </w:p>
        </w:tc>
        <w:tc>
          <w:tcPr>
            <w:tcW w:w="2817" w:type="dxa"/>
            <w:vMerge w:val="restart"/>
          </w:tcPr>
          <w:p>
            <w:pPr>
              <w:pStyle w:val="TableParagraph"/>
              <w:spacing w:line="249" w:lineRule="auto" w:before="60"/>
              <w:ind w:left="155" w:right="55"/>
              <w:rPr>
                <w:sz w:val="20"/>
              </w:rPr>
            </w:pPr>
            <w:r>
              <w:rPr>
                <w:sz w:val="20"/>
              </w:rPr>
              <w:t>Хирургическая коррекция поражений</w:t>
            </w:r>
            <w:r>
              <w:rPr>
                <w:spacing w:val="-13"/>
                <w:sz w:val="20"/>
              </w:rPr>
              <w:t> </w:t>
            </w:r>
            <w:r>
              <w:rPr>
                <w:sz w:val="20"/>
              </w:rPr>
              <w:t>клапанов</w:t>
            </w:r>
            <w:r>
              <w:rPr>
                <w:spacing w:val="-12"/>
                <w:sz w:val="20"/>
              </w:rPr>
              <w:t> </w:t>
            </w:r>
            <w:r>
              <w:rPr>
                <w:sz w:val="20"/>
              </w:rPr>
              <w:t>сердца при повторном </w:t>
            </w:r>
            <w:r>
              <w:rPr>
                <w:spacing w:val="-2"/>
                <w:sz w:val="20"/>
              </w:rPr>
              <w:t>многоклапанном протезировании</w:t>
            </w:r>
          </w:p>
        </w:tc>
        <w:tc>
          <w:tcPr>
            <w:tcW w:w="2138" w:type="dxa"/>
            <w:vMerge w:val="restart"/>
          </w:tcPr>
          <w:p>
            <w:pPr>
              <w:pStyle w:val="TableParagraph"/>
              <w:spacing w:before="60"/>
              <w:ind w:left="55" w:right="53"/>
              <w:jc w:val="center"/>
              <w:rPr>
                <w:sz w:val="20"/>
              </w:rPr>
            </w:pPr>
            <w:r>
              <w:rPr>
                <w:sz w:val="20"/>
              </w:rPr>
              <w:t>I08.0,</w:t>
            </w:r>
            <w:r>
              <w:rPr>
                <w:spacing w:val="-5"/>
                <w:sz w:val="20"/>
              </w:rPr>
              <w:t> </w:t>
            </w:r>
            <w:r>
              <w:rPr>
                <w:sz w:val="20"/>
              </w:rPr>
              <w:t>I08.1,</w:t>
            </w:r>
            <w:r>
              <w:rPr>
                <w:spacing w:val="-7"/>
                <w:sz w:val="20"/>
              </w:rPr>
              <w:t> </w:t>
            </w:r>
            <w:r>
              <w:rPr>
                <w:sz w:val="20"/>
              </w:rPr>
              <w:t>I08.2,</w:t>
            </w:r>
            <w:r>
              <w:rPr>
                <w:spacing w:val="-4"/>
                <w:sz w:val="20"/>
              </w:rPr>
              <w:t> </w:t>
            </w:r>
            <w:r>
              <w:rPr>
                <w:spacing w:val="-2"/>
                <w:sz w:val="20"/>
              </w:rPr>
              <w:t>I08.3,</w:t>
            </w:r>
          </w:p>
          <w:p>
            <w:pPr>
              <w:pStyle w:val="TableParagraph"/>
              <w:spacing w:before="11"/>
              <w:ind w:left="55" w:right="53"/>
              <w:jc w:val="center"/>
              <w:rPr>
                <w:sz w:val="20"/>
              </w:rPr>
            </w:pPr>
            <w:r>
              <w:rPr>
                <w:sz w:val="20"/>
              </w:rPr>
              <w:t>I08.8,</w:t>
            </w:r>
            <w:r>
              <w:rPr>
                <w:spacing w:val="-5"/>
                <w:sz w:val="20"/>
              </w:rPr>
              <w:t> </w:t>
            </w:r>
            <w:r>
              <w:rPr>
                <w:sz w:val="20"/>
              </w:rPr>
              <w:t>I08.9,</w:t>
            </w:r>
            <w:r>
              <w:rPr>
                <w:spacing w:val="-7"/>
                <w:sz w:val="20"/>
              </w:rPr>
              <w:t> </w:t>
            </w:r>
            <w:r>
              <w:rPr>
                <w:sz w:val="20"/>
              </w:rPr>
              <w:t>I47.0,</w:t>
            </w:r>
            <w:r>
              <w:rPr>
                <w:spacing w:val="-4"/>
                <w:sz w:val="20"/>
              </w:rPr>
              <w:t> </w:t>
            </w:r>
            <w:r>
              <w:rPr>
                <w:spacing w:val="-2"/>
                <w:sz w:val="20"/>
              </w:rPr>
              <w:t>I47.1,</w:t>
            </w:r>
          </w:p>
          <w:p>
            <w:pPr>
              <w:pStyle w:val="TableParagraph"/>
              <w:spacing w:before="10"/>
              <w:ind w:left="55" w:right="52"/>
              <w:jc w:val="center"/>
              <w:rPr>
                <w:sz w:val="20"/>
              </w:rPr>
            </w:pPr>
            <w:r>
              <w:rPr>
                <w:sz w:val="20"/>
              </w:rPr>
              <w:t>I33.0,</w:t>
            </w:r>
            <w:r>
              <w:rPr>
                <w:spacing w:val="-5"/>
                <w:sz w:val="20"/>
              </w:rPr>
              <w:t> </w:t>
            </w:r>
            <w:r>
              <w:rPr>
                <w:sz w:val="20"/>
              </w:rPr>
              <w:t>I33.9,</w:t>
            </w:r>
            <w:r>
              <w:rPr>
                <w:spacing w:val="-7"/>
                <w:sz w:val="20"/>
              </w:rPr>
              <w:t> </w:t>
            </w:r>
            <w:r>
              <w:rPr>
                <w:spacing w:val="-2"/>
                <w:sz w:val="20"/>
              </w:rPr>
              <w:t>T82.0,</w:t>
            </w:r>
          </w:p>
          <w:p>
            <w:pPr>
              <w:pStyle w:val="TableParagraph"/>
              <w:spacing w:line="249" w:lineRule="auto" w:before="10"/>
              <w:ind w:left="55" w:right="47"/>
              <w:jc w:val="center"/>
              <w:rPr>
                <w:sz w:val="20"/>
              </w:rPr>
            </w:pPr>
            <w:r>
              <w:rPr>
                <w:sz w:val="20"/>
              </w:rPr>
              <w:t>T82.1,</w:t>
            </w:r>
            <w:r>
              <w:rPr>
                <w:spacing w:val="-13"/>
                <w:sz w:val="20"/>
              </w:rPr>
              <w:t> </w:t>
            </w:r>
            <w:r>
              <w:rPr>
                <w:sz w:val="20"/>
              </w:rPr>
              <w:t>T82.2,</w:t>
            </w:r>
            <w:r>
              <w:rPr>
                <w:spacing w:val="-12"/>
                <w:sz w:val="20"/>
              </w:rPr>
              <w:t> </w:t>
            </w:r>
            <w:r>
              <w:rPr>
                <w:sz w:val="20"/>
              </w:rPr>
              <w:t>T82.3, T82.6,</w:t>
            </w:r>
            <w:r>
              <w:rPr>
                <w:spacing w:val="-6"/>
                <w:sz w:val="20"/>
              </w:rPr>
              <w:t> </w:t>
            </w:r>
            <w:r>
              <w:rPr>
                <w:sz w:val="20"/>
              </w:rPr>
              <w:t>T82.7,</w:t>
            </w:r>
            <w:r>
              <w:rPr>
                <w:spacing w:val="-4"/>
                <w:sz w:val="20"/>
              </w:rPr>
              <w:t> </w:t>
            </w:r>
            <w:r>
              <w:rPr>
                <w:spacing w:val="-2"/>
                <w:sz w:val="20"/>
              </w:rPr>
              <w:t>T82.8</w:t>
            </w:r>
          </w:p>
        </w:tc>
        <w:tc>
          <w:tcPr>
            <w:tcW w:w="3298" w:type="dxa"/>
            <w:vMerge w:val="restart"/>
          </w:tcPr>
          <w:p>
            <w:pPr>
              <w:pStyle w:val="TableParagraph"/>
              <w:spacing w:before="60"/>
              <w:ind w:left="62"/>
              <w:rPr>
                <w:sz w:val="20"/>
              </w:rPr>
            </w:pPr>
            <w:r>
              <w:rPr>
                <w:spacing w:val="-2"/>
                <w:sz w:val="20"/>
              </w:rPr>
              <w:t>повторные</w:t>
            </w:r>
            <w:r>
              <w:rPr>
                <w:spacing w:val="4"/>
                <w:sz w:val="20"/>
              </w:rPr>
              <w:t> </w:t>
            </w:r>
            <w:r>
              <w:rPr>
                <w:spacing w:val="-2"/>
                <w:sz w:val="20"/>
              </w:rPr>
              <w:t>операции</w:t>
            </w:r>
          </w:p>
          <w:p>
            <w:pPr>
              <w:pStyle w:val="TableParagraph"/>
              <w:spacing w:line="249" w:lineRule="auto" w:before="11"/>
              <w:ind w:left="62" w:right="14"/>
              <w:rPr>
                <w:sz w:val="20"/>
              </w:rPr>
            </w:pPr>
            <w:r>
              <w:rPr>
                <w:sz w:val="20"/>
              </w:rPr>
              <w:t>на 2 - 3 клапанах. Поражения клапанов сердца в сочетании с коррекцией фибрилляции предсердий. Поражения клапанов в сочетании с ИБС. Декомпенсированные</w:t>
            </w:r>
            <w:r>
              <w:rPr>
                <w:spacing w:val="-13"/>
                <w:sz w:val="20"/>
              </w:rPr>
              <w:t> </w:t>
            </w:r>
            <w:r>
              <w:rPr>
                <w:sz w:val="20"/>
              </w:rPr>
              <w:t>состояния</w:t>
            </w:r>
            <w:r>
              <w:rPr>
                <w:spacing w:val="-12"/>
                <w:sz w:val="20"/>
              </w:rPr>
              <w:t> </w:t>
            </w:r>
            <w:r>
              <w:rPr>
                <w:sz w:val="20"/>
              </w:rPr>
              <w:t>при многоклапанных пороках сердца, обусловленные инфекционным, протезным эндокардитом (острое, подострое течение)</w:t>
            </w:r>
          </w:p>
        </w:tc>
        <w:tc>
          <w:tcPr>
            <w:tcW w:w="1438" w:type="dxa"/>
            <w:vMerge w:val="restart"/>
          </w:tcPr>
          <w:p>
            <w:pPr>
              <w:pStyle w:val="TableParagraph"/>
              <w:spacing w:line="249" w:lineRule="auto" w:before="60"/>
              <w:ind w:left="71"/>
              <w:rPr>
                <w:sz w:val="20"/>
              </w:rPr>
            </w:pPr>
            <w:r>
              <w:rPr>
                <w:spacing w:val="-2"/>
                <w:sz w:val="20"/>
              </w:rPr>
              <w:t>хирургическое лечение</w:t>
            </w:r>
          </w:p>
        </w:tc>
        <w:tc>
          <w:tcPr>
            <w:tcW w:w="3901" w:type="dxa"/>
          </w:tcPr>
          <w:p>
            <w:pPr>
              <w:pStyle w:val="TableParagraph"/>
              <w:spacing w:before="60"/>
              <w:ind w:left="107"/>
              <w:rPr>
                <w:sz w:val="20"/>
              </w:rPr>
            </w:pPr>
            <w:r>
              <w:rPr>
                <w:spacing w:val="-2"/>
                <w:sz w:val="20"/>
              </w:rPr>
              <w:t>репротезирование</w:t>
            </w:r>
            <w:r>
              <w:rPr>
                <w:spacing w:val="13"/>
                <w:sz w:val="20"/>
              </w:rPr>
              <w:t> </w:t>
            </w:r>
            <w:r>
              <w:rPr>
                <w:spacing w:val="-2"/>
                <w:sz w:val="20"/>
              </w:rPr>
              <w:t>клапанов</w:t>
            </w:r>
            <w:r>
              <w:rPr>
                <w:spacing w:val="8"/>
                <w:sz w:val="20"/>
              </w:rPr>
              <w:t> </w:t>
            </w:r>
            <w:r>
              <w:rPr>
                <w:spacing w:val="-2"/>
                <w:sz w:val="20"/>
              </w:rPr>
              <w:t>сердца</w:t>
            </w:r>
          </w:p>
        </w:tc>
        <w:tc>
          <w:tcPr>
            <w:tcW w:w="1100" w:type="dxa"/>
          </w:tcPr>
          <w:p>
            <w:pPr>
              <w:pStyle w:val="TableParagraph"/>
              <w:spacing w:before="60"/>
              <w:ind w:right="97"/>
              <w:jc w:val="right"/>
              <w:rPr>
                <w:sz w:val="20"/>
              </w:rPr>
            </w:pPr>
            <w:r>
              <w:rPr>
                <w:spacing w:val="-2"/>
                <w:sz w:val="20"/>
              </w:rPr>
              <w:t>570790</w:t>
            </w:r>
          </w:p>
        </w:tc>
      </w:tr>
      <w:tr>
        <w:trPr>
          <w:trHeight w:val="360" w:hRule="atLeast"/>
        </w:trPr>
        <w:tc>
          <w:tcPr>
            <w:tcW w:w="458" w:type="dxa"/>
          </w:tcPr>
          <w:p>
            <w:pPr>
              <w:pStyle w:val="TableParagraph"/>
              <w:rPr>
                <w:sz w:val="18"/>
              </w:rPr>
            </w:pPr>
          </w:p>
        </w:tc>
        <w:tc>
          <w:tcPr>
            <w:tcW w:w="2817" w:type="dxa"/>
            <w:vMerge/>
            <w:tcBorders>
              <w:top w:val="nil"/>
            </w:tcBorders>
          </w:tcPr>
          <w:p>
            <w:pPr>
              <w:rPr>
                <w:sz w:val="2"/>
                <w:szCs w:val="2"/>
              </w:rPr>
            </w:pPr>
          </w:p>
        </w:tc>
        <w:tc>
          <w:tcPr>
            <w:tcW w:w="2138" w:type="dxa"/>
            <w:vMerge/>
            <w:tcBorders>
              <w:top w:val="nil"/>
            </w:tcBorders>
          </w:tcPr>
          <w:p>
            <w:pPr>
              <w:rPr>
                <w:sz w:val="2"/>
                <w:szCs w:val="2"/>
              </w:rPr>
            </w:pPr>
          </w:p>
        </w:tc>
        <w:tc>
          <w:tcPr>
            <w:tcW w:w="3298" w:type="dxa"/>
            <w:vMerge/>
            <w:tcBorders>
              <w:top w:val="nil"/>
            </w:tcBorders>
          </w:tcPr>
          <w:p>
            <w:pPr>
              <w:rPr>
                <w:sz w:val="2"/>
                <w:szCs w:val="2"/>
              </w:rPr>
            </w:pPr>
          </w:p>
        </w:tc>
        <w:tc>
          <w:tcPr>
            <w:tcW w:w="1438" w:type="dxa"/>
            <w:vMerge/>
            <w:tcBorders>
              <w:top w:val="nil"/>
            </w:tcBorders>
          </w:tcPr>
          <w:p>
            <w:pPr>
              <w:rPr>
                <w:sz w:val="2"/>
                <w:szCs w:val="2"/>
              </w:rPr>
            </w:pPr>
          </w:p>
        </w:tc>
        <w:tc>
          <w:tcPr>
            <w:tcW w:w="3901" w:type="dxa"/>
          </w:tcPr>
          <w:p>
            <w:pPr>
              <w:pStyle w:val="TableParagraph"/>
              <w:spacing w:before="60"/>
              <w:ind w:left="107"/>
              <w:rPr>
                <w:sz w:val="20"/>
              </w:rPr>
            </w:pPr>
            <w:r>
              <w:rPr>
                <w:w w:val="95"/>
                <w:sz w:val="20"/>
              </w:rPr>
              <w:t>ререпротезирование</w:t>
            </w:r>
            <w:r>
              <w:rPr>
                <w:spacing w:val="49"/>
                <w:sz w:val="20"/>
              </w:rPr>
              <w:t> </w:t>
            </w:r>
            <w:r>
              <w:rPr>
                <w:w w:val="95"/>
                <w:sz w:val="20"/>
              </w:rPr>
              <w:t>клапанов</w:t>
            </w:r>
            <w:r>
              <w:rPr>
                <w:spacing w:val="48"/>
                <w:sz w:val="20"/>
              </w:rPr>
              <w:t> </w:t>
            </w:r>
            <w:r>
              <w:rPr>
                <w:spacing w:val="-2"/>
                <w:w w:val="95"/>
                <w:sz w:val="20"/>
              </w:rPr>
              <w:t>сердца</w:t>
            </w:r>
          </w:p>
        </w:tc>
        <w:tc>
          <w:tcPr>
            <w:tcW w:w="1100" w:type="dxa"/>
          </w:tcPr>
          <w:p>
            <w:pPr>
              <w:pStyle w:val="TableParagraph"/>
              <w:rPr>
                <w:sz w:val="18"/>
              </w:rPr>
            </w:pPr>
          </w:p>
        </w:tc>
      </w:tr>
      <w:tr>
        <w:trPr>
          <w:trHeight w:val="360" w:hRule="atLeast"/>
        </w:trPr>
        <w:tc>
          <w:tcPr>
            <w:tcW w:w="458" w:type="dxa"/>
          </w:tcPr>
          <w:p>
            <w:pPr>
              <w:pStyle w:val="TableParagraph"/>
              <w:rPr>
                <w:sz w:val="18"/>
              </w:rPr>
            </w:pPr>
          </w:p>
        </w:tc>
        <w:tc>
          <w:tcPr>
            <w:tcW w:w="2817" w:type="dxa"/>
            <w:vMerge/>
            <w:tcBorders>
              <w:top w:val="nil"/>
            </w:tcBorders>
          </w:tcPr>
          <w:p>
            <w:pPr>
              <w:rPr>
                <w:sz w:val="2"/>
                <w:szCs w:val="2"/>
              </w:rPr>
            </w:pPr>
          </w:p>
        </w:tc>
        <w:tc>
          <w:tcPr>
            <w:tcW w:w="2138" w:type="dxa"/>
            <w:vMerge/>
            <w:tcBorders>
              <w:top w:val="nil"/>
            </w:tcBorders>
          </w:tcPr>
          <w:p>
            <w:pPr>
              <w:rPr>
                <w:sz w:val="2"/>
                <w:szCs w:val="2"/>
              </w:rPr>
            </w:pPr>
          </w:p>
        </w:tc>
        <w:tc>
          <w:tcPr>
            <w:tcW w:w="3298" w:type="dxa"/>
            <w:vMerge/>
            <w:tcBorders>
              <w:top w:val="nil"/>
            </w:tcBorders>
          </w:tcPr>
          <w:p>
            <w:pPr>
              <w:rPr>
                <w:sz w:val="2"/>
                <w:szCs w:val="2"/>
              </w:rPr>
            </w:pPr>
          </w:p>
        </w:tc>
        <w:tc>
          <w:tcPr>
            <w:tcW w:w="1438" w:type="dxa"/>
          </w:tcPr>
          <w:p>
            <w:pPr>
              <w:pStyle w:val="TableParagraph"/>
              <w:rPr>
                <w:sz w:val="18"/>
              </w:rPr>
            </w:pPr>
          </w:p>
        </w:tc>
        <w:tc>
          <w:tcPr>
            <w:tcW w:w="3901" w:type="dxa"/>
          </w:tcPr>
          <w:p>
            <w:pPr>
              <w:pStyle w:val="TableParagraph"/>
              <w:spacing w:before="60"/>
              <w:ind w:left="107"/>
              <w:rPr>
                <w:sz w:val="20"/>
              </w:rPr>
            </w:pPr>
            <w:r>
              <w:rPr>
                <w:sz w:val="20"/>
              </w:rPr>
              <w:t>репротезирование</w:t>
            </w:r>
            <w:r>
              <w:rPr>
                <w:spacing w:val="-8"/>
                <w:sz w:val="20"/>
              </w:rPr>
              <w:t> </w:t>
            </w:r>
            <w:r>
              <w:rPr>
                <w:sz w:val="20"/>
              </w:rPr>
              <w:t>и</w:t>
            </w:r>
            <w:r>
              <w:rPr>
                <w:spacing w:val="-10"/>
                <w:sz w:val="20"/>
              </w:rPr>
              <w:t> </w:t>
            </w:r>
            <w:r>
              <w:rPr>
                <w:sz w:val="20"/>
              </w:rPr>
              <w:t>пластика</w:t>
            </w:r>
            <w:r>
              <w:rPr>
                <w:spacing w:val="-10"/>
                <w:sz w:val="20"/>
              </w:rPr>
              <w:t> </w:t>
            </w:r>
            <w:r>
              <w:rPr>
                <w:spacing w:val="-2"/>
                <w:sz w:val="20"/>
              </w:rPr>
              <w:t>клапанов</w:t>
            </w:r>
          </w:p>
        </w:tc>
        <w:tc>
          <w:tcPr>
            <w:tcW w:w="1100" w:type="dxa"/>
          </w:tcPr>
          <w:p>
            <w:pPr>
              <w:pStyle w:val="TableParagraph"/>
              <w:rPr>
                <w:sz w:val="18"/>
              </w:rPr>
            </w:pPr>
          </w:p>
        </w:tc>
      </w:tr>
      <w:tr>
        <w:trPr>
          <w:trHeight w:val="840" w:hRule="atLeast"/>
        </w:trPr>
        <w:tc>
          <w:tcPr>
            <w:tcW w:w="458" w:type="dxa"/>
          </w:tcPr>
          <w:p>
            <w:pPr>
              <w:pStyle w:val="TableParagraph"/>
              <w:rPr>
                <w:sz w:val="18"/>
              </w:rPr>
            </w:pPr>
          </w:p>
        </w:tc>
        <w:tc>
          <w:tcPr>
            <w:tcW w:w="2817" w:type="dxa"/>
            <w:vMerge/>
            <w:tcBorders>
              <w:top w:val="nil"/>
            </w:tcBorders>
          </w:tcPr>
          <w:p>
            <w:pPr>
              <w:rPr>
                <w:sz w:val="2"/>
                <w:szCs w:val="2"/>
              </w:rPr>
            </w:pPr>
          </w:p>
        </w:tc>
        <w:tc>
          <w:tcPr>
            <w:tcW w:w="2138" w:type="dxa"/>
            <w:vMerge/>
            <w:tcBorders>
              <w:top w:val="nil"/>
            </w:tcBorders>
          </w:tcPr>
          <w:p>
            <w:pPr>
              <w:rPr>
                <w:sz w:val="2"/>
                <w:szCs w:val="2"/>
              </w:rPr>
            </w:pPr>
          </w:p>
        </w:tc>
        <w:tc>
          <w:tcPr>
            <w:tcW w:w="3298" w:type="dxa"/>
            <w:vMerge/>
            <w:tcBorders>
              <w:top w:val="nil"/>
            </w:tcBorders>
          </w:tcPr>
          <w:p>
            <w:pPr>
              <w:rPr>
                <w:sz w:val="2"/>
                <w:szCs w:val="2"/>
              </w:rPr>
            </w:pPr>
          </w:p>
        </w:tc>
        <w:tc>
          <w:tcPr>
            <w:tcW w:w="1438" w:type="dxa"/>
          </w:tcPr>
          <w:p>
            <w:pPr>
              <w:pStyle w:val="TableParagraph"/>
              <w:rPr>
                <w:sz w:val="18"/>
              </w:rPr>
            </w:pPr>
          </w:p>
        </w:tc>
        <w:tc>
          <w:tcPr>
            <w:tcW w:w="3901" w:type="dxa"/>
          </w:tcPr>
          <w:p>
            <w:pPr>
              <w:pStyle w:val="TableParagraph"/>
              <w:spacing w:line="249" w:lineRule="auto" w:before="60"/>
              <w:ind w:left="107"/>
              <w:rPr>
                <w:sz w:val="20"/>
              </w:rPr>
            </w:pPr>
            <w:r>
              <w:rPr>
                <w:sz w:val="20"/>
              </w:rPr>
              <w:t>протезирование 2 и более клапанов и вмешательства</w:t>
            </w:r>
            <w:r>
              <w:rPr>
                <w:spacing w:val="-13"/>
                <w:sz w:val="20"/>
              </w:rPr>
              <w:t> </w:t>
            </w:r>
            <w:r>
              <w:rPr>
                <w:sz w:val="20"/>
              </w:rPr>
              <w:t>на</w:t>
            </w:r>
            <w:r>
              <w:rPr>
                <w:spacing w:val="-12"/>
                <w:sz w:val="20"/>
              </w:rPr>
              <w:t> </w:t>
            </w:r>
            <w:r>
              <w:rPr>
                <w:sz w:val="20"/>
              </w:rPr>
              <w:t>коронарных</w:t>
            </w:r>
            <w:r>
              <w:rPr>
                <w:spacing w:val="-13"/>
                <w:sz w:val="20"/>
              </w:rPr>
              <w:t> </w:t>
            </w:r>
            <w:r>
              <w:rPr>
                <w:sz w:val="20"/>
              </w:rPr>
              <w:t>артериях (аортокоронарное шунтирование)</w:t>
            </w:r>
          </w:p>
        </w:tc>
        <w:tc>
          <w:tcPr>
            <w:tcW w:w="1100" w:type="dxa"/>
          </w:tcPr>
          <w:p>
            <w:pPr>
              <w:pStyle w:val="TableParagraph"/>
              <w:rPr>
                <w:sz w:val="18"/>
              </w:rPr>
            </w:pPr>
          </w:p>
        </w:tc>
      </w:tr>
      <w:tr>
        <w:trPr>
          <w:trHeight w:val="1320" w:hRule="atLeast"/>
        </w:trPr>
        <w:tc>
          <w:tcPr>
            <w:tcW w:w="458" w:type="dxa"/>
          </w:tcPr>
          <w:p>
            <w:pPr>
              <w:pStyle w:val="TableParagraph"/>
              <w:rPr>
                <w:sz w:val="18"/>
              </w:rPr>
            </w:pPr>
          </w:p>
        </w:tc>
        <w:tc>
          <w:tcPr>
            <w:tcW w:w="2817" w:type="dxa"/>
          </w:tcPr>
          <w:p>
            <w:pPr>
              <w:pStyle w:val="TableParagraph"/>
              <w:rPr>
                <w:sz w:val="18"/>
              </w:rPr>
            </w:pPr>
          </w:p>
        </w:tc>
        <w:tc>
          <w:tcPr>
            <w:tcW w:w="2138" w:type="dxa"/>
          </w:tcPr>
          <w:p>
            <w:pPr>
              <w:pStyle w:val="TableParagraph"/>
              <w:rPr>
                <w:sz w:val="18"/>
              </w:rPr>
            </w:pPr>
          </w:p>
        </w:tc>
        <w:tc>
          <w:tcPr>
            <w:tcW w:w="3298" w:type="dxa"/>
            <w:vMerge/>
            <w:tcBorders>
              <w:top w:val="nil"/>
            </w:tcBorders>
          </w:tcPr>
          <w:p>
            <w:pPr>
              <w:rPr>
                <w:sz w:val="2"/>
                <w:szCs w:val="2"/>
              </w:rPr>
            </w:pPr>
          </w:p>
        </w:tc>
        <w:tc>
          <w:tcPr>
            <w:tcW w:w="1438" w:type="dxa"/>
          </w:tcPr>
          <w:p>
            <w:pPr>
              <w:pStyle w:val="TableParagraph"/>
              <w:rPr>
                <w:sz w:val="18"/>
              </w:rPr>
            </w:pPr>
          </w:p>
        </w:tc>
        <w:tc>
          <w:tcPr>
            <w:tcW w:w="3901" w:type="dxa"/>
          </w:tcPr>
          <w:p>
            <w:pPr>
              <w:pStyle w:val="TableParagraph"/>
              <w:spacing w:line="249" w:lineRule="auto" w:before="60"/>
              <w:ind w:left="107" w:right="113"/>
              <w:rPr>
                <w:sz w:val="20"/>
              </w:rPr>
            </w:pPr>
            <w:r>
              <w:rPr>
                <w:sz w:val="20"/>
              </w:rPr>
              <w:t>протезирование 2 и более клапанов и вмешательства</w:t>
            </w:r>
            <w:r>
              <w:rPr>
                <w:spacing w:val="-4"/>
                <w:sz w:val="20"/>
              </w:rPr>
              <w:t> </w:t>
            </w:r>
            <w:r>
              <w:rPr>
                <w:sz w:val="20"/>
              </w:rPr>
              <w:t>по поводу</w:t>
            </w:r>
            <w:r>
              <w:rPr>
                <w:spacing w:val="-4"/>
                <w:sz w:val="20"/>
              </w:rPr>
              <w:t> </w:t>
            </w:r>
            <w:r>
              <w:rPr>
                <w:sz w:val="20"/>
              </w:rPr>
              <w:t>нарушений ритма (эндоваскулярная деструкция дополнительных</w:t>
            </w:r>
            <w:r>
              <w:rPr>
                <w:spacing w:val="-13"/>
                <w:sz w:val="20"/>
              </w:rPr>
              <w:t> </w:t>
            </w:r>
            <w:r>
              <w:rPr>
                <w:sz w:val="20"/>
              </w:rPr>
              <w:t>проводящих</w:t>
            </w:r>
            <w:r>
              <w:rPr>
                <w:spacing w:val="-12"/>
                <w:sz w:val="20"/>
              </w:rPr>
              <w:t> </w:t>
            </w:r>
            <w:r>
              <w:rPr>
                <w:sz w:val="20"/>
              </w:rPr>
              <w:t>путей</w:t>
            </w:r>
            <w:r>
              <w:rPr>
                <w:spacing w:val="-13"/>
                <w:sz w:val="20"/>
              </w:rPr>
              <w:t> </w:t>
            </w:r>
            <w:r>
              <w:rPr>
                <w:sz w:val="20"/>
              </w:rPr>
              <w:t>и аритмогенных зон сердца)</w:t>
            </w:r>
          </w:p>
        </w:tc>
        <w:tc>
          <w:tcPr>
            <w:tcW w:w="1100"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57.</w:t>
            </w:r>
          </w:p>
        </w:tc>
        <w:tc>
          <w:tcPr>
            <w:tcW w:w="2817" w:type="dxa"/>
          </w:tcPr>
          <w:p>
            <w:pPr>
              <w:pStyle w:val="TableParagraph"/>
              <w:spacing w:line="249" w:lineRule="auto" w:before="60"/>
              <w:ind w:left="155" w:right="226"/>
              <w:rPr>
                <w:sz w:val="20"/>
              </w:rPr>
            </w:pPr>
            <w:r>
              <w:rPr>
                <w:sz w:val="20"/>
              </w:rPr>
              <w:t>Эндоваскулярная</w:t>
            </w:r>
            <w:r>
              <w:rPr>
                <w:spacing w:val="-13"/>
                <w:sz w:val="20"/>
              </w:rPr>
              <w:t> </w:t>
            </w:r>
            <w:r>
              <w:rPr>
                <w:sz w:val="20"/>
              </w:rPr>
              <w:t>коррекция заболеваний аорты и магистральных артерий</w:t>
            </w:r>
          </w:p>
        </w:tc>
        <w:tc>
          <w:tcPr>
            <w:tcW w:w="2138" w:type="dxa"/>
          </w:tcPr>
          <w:p>
            <w:pPr>
              <w:pStyle w:val="TableParagraph"/>
              <w:spacing w:line="249" w:lineRule="auto" w:before="60"/>
              <w:ind w:left="137" w:hanging="32"/>
              <w:rPr>
                <w:sz w:val="20"/>
              </w:rPr>
            </w:pPr>
            <w:r>
              <w:rPr>
                <w:sz w:val="20"/>
              </w:rPr>
              <w:t>I20,</w:t>
            </w:r>
            <w:r>
              <w:rPr>
                <w:spacing w:val="-10"/>
                <w:sz w:val="20"/>
              </w:rPr>
              <w:t> </w:t>
            </w:r>
            <w:r>
              <w:rPr>
                <w:sz w:val="20"/>
              </w:rPr>
              <w:t>I25,</w:t>
            </w:r>
            <w:r>
              <w:rPr>
                <w:spacing w:val="-12"/>
                <w:sz w:val="20"/>
              </w:rPr>
              <w:t> </w:t>
            </w:r>
            <w:r>
              <w:rPr>
                <w:sz w:val="20"/>
              </w:rPr>
              <w:t>I26,</w:t>
            </w:r>
            <w:r>
              <w:rPr>
                <w:spacing w:val="-10"/>
                <w:sz w:val="20"/>
              </w:rPr>
              <w:t> </w:t>
            </w:r>
            <w:r>
              <w:rPr>
                <w:sz w:val="20"/>
              </w:rPr>
              <w:t>I65,</w:t>
            </w:r>
            <w:r>
              <w:rPr>
                <w:spacing w:val="-10"/>
                <w:sz w:val="20"/>
              </w:rPr>
              <w:t> </w:t>
            </w:r>
            <w:r>
              <w:rPr>
                <w:sz w:val="20"/>
              </w:rPr>
              <w:t>I70.0, I70.1,</w:t>
            </w:r>
            <w:r>
              <w:rPr>
                <w:spacing w:val="-5"/>
                <w:sz w:val="20"/>
              </w:rPr>
              <w:t> </w:t>
            </w:r>
            <w:r>
              <w:rPr>
                <w:sz w:val="20"/>
              </w:rPr>
              <w:t>I70.8,</w:t>
            </w:r>
            <w:r>
              <w:rPr>
                <w:spacing w:val="-6"/>
                <w:sz w:val="20"/>
              </w:rPr>
              <w:t> </w:t>
            </w:r>
            <w:r>
              <w:rPr>
                <w:sz w:val="20"/>
              </w:rPr>
              <w:t>I71,</w:t>
            </w:r>
            <w:r>
              <w:rPr>
                <w:spacing w:val="-5"/>
                <w:sz w:val="20"/>
              </w:rPr>
              <w:t> </w:t>
            </w:r>
            <w:r>
              <w:rPr>
                <w:spacing w:val="-2"/>
                <w:sz w:val="20"/>
              </w:rPr>
              <w:t>I72.0,</w:t>
            </w:r>
          </w:p>
          <w:p>
            <w:pPr>
              <w:pStyle w:val="TableParagraph"/>
              <w:spacing w:line="249" w:lineRule="auto" w:before="2"/>
              <w:ind w:left="87" w:hanging="24"/>
              <w:rPr>
                <w:sz w:val="20"/>
              </w:rPr>
            </w:pPr>
            <w:r>
              <w:rPr>
                <w:sz w:val="20"/>
              </w:rPr>
              <w:t>I72.2,</w:t>
            </w:r>
            <w:r>
              <w:rPr>
                <w:spacing w:val="-13"/>
                <w:sz w:val="20"/>
              </w:rPr>
              <w:t> </w:t>
            </w:r>
            <w:r>
              <w:rPr>
                <w:sz w:val="20"/>
              </w:rPr>
              <w:t>I72.3,</w:t>
            </w:r>
            <w:r>
              <w:rPr>
                <w:spacing w:val="-12"/>
                <w:sz w:val="20"/>
              </w:rPr>
              <w:t> </w:t>
            </w:r>
            <w:r>
              <w:rPr>
                <w:sz w:val="20"/>
              </w:rPr>
              <w:t>I72.8,</w:t>
            </w:r>
            <w:r>
              <w:rPr>
                <w:spacing w:val="-13"/>
                <w:sz w:val="20"/>
              </w:rPr>
              <w:t> </w:t>
            </w:r>
            <w:r>
              <w:rPr>
                <w:sz w:val="20"/>
              </w:rPr>
              <w:t>I73.1, I77.6,</w:t>
            </w:r>
            <w:r>
              <w:rPr>
                <w:spacing w:val="-5"/>
                <w:sz w:val="20"/>
              </w:rPr>
              <w:t> </w:t>
            </w:r>
            <w:r>
              <w:rPr>
                <w:sz w:val="20"/>
              </w:rPr>
              <w:t>I98,</w:t>
            </w:r>
            <w:r>
              <w:rPr>
                <w:spacing w:val="-5"/>
                <w:sz w:val="20"/>
              </w:rPr>
              <w:t> </w:t>
            </w:r>
            <w:r>
              <w:rPr>
                <w:sz w:val="20"/>
              </w:rPr>
              <w:t>Q26.0,</w:t>
            </w:r>
            <w:r>
              <w:rPr>
                <w:spacing w:val="-5"/>
                <w:sz w:val="20"/>
              </w:rPr>
              <w:t> </w:t>
            </w:r>
            <w:r>
              <w:rPr>
                <w:spacing w:val="-4"/>
                <w:sz w:val="20"/>
              </w:rPr>
              <w:t>Q27.3</w:t>
            </w:r>
          </w:p>
        </w:tc>
        <w:tc>
          <w:tcPr>
            <w:tcW w:w="3298" w:type="dxa"/>
          </w:tcPr>
          <w:p>
            <w:pPr>
              <w:pStyle w:val="TableParagraph"/>
              <w:spacing w:line="249" w:lineRule="auto" w:before="60"/>
              <w:ind w:left="62"/>
              <w:rPr>
                <w:sz w:val="20"/>
              </w:rPr>
            </w:pPr>
            <w:r>
              <w:rPr>
                <w:sz w:val="20"/>
              </w:rPr>
              <w:t>врожденные и приобретенные заболевания</w:t>
            </w:r>
            <w:r>
              <w:rPr>
                <w:spacing w:val="-13"/>
                <w:sz w:val="20"/>
              </w:rPr>
              <w:t> </w:t>
            </w:r>
            <w:r>
              <w:rPr>
                <w:sz w:val="20"/>
              </w:rPr>
              <w:t>аорты</w:t>
            </w:r>
            <w:r>
              <w:rPr>
                <w:spacing w:val="-12"/>
                <w:sz w:val="20"/>
              </w:rPr>
              <w:t> </w:t>
            </w:r>
            <w:r>
              <w:rPr>
                <w:sz w:val="20"/>
              </w:rPr>
              <w:t>и</w:t>
            </w:r>
            <w:r>
              <w:rPr>
                <w:spacing w:val="-13"/>
                <w:sz w:val="20"/>
              </w:rPr>
              <w:t> </w:t>
            </w:r>
            <w:r>
              <w:rPr>
                <w:sz w:val="20"/>
              </w:rPr>
              <w:t>магистральных </w:t>
            </w:r>
            <w:r>
              <w:rPr>
                <w:spacing w:val="-2"/>
                <w:sz w:val="20"/>
              </w:rPr>
              <w:t>артерий</w:t>
            </w:r>
          </w:p>
        </w:tc>
        <w:tc>
          <w:tcPr>
            <w:tcW w:w="1438" w:type="dxa"/>
          </w:tcPr>
          <w:p>
            <w:pPr>
              <w:pStyle w:val="TableParagraph"/>
              <w:spacing w:line="249" w:lineRule="auto" w:before="60"/>
              <w:ind w:left="71"/>
              <w:rPr>
                <w:sz w:val="20"/>
              </w:rPr>
            </w:pPr>
            <w:r>
              <w:rPr>
                <w:spacing w:val="-2"/>
                <w:sz w:val="20"/>
              </w:rPr>
              <w:t>хирургическое лечение</w:t>
            </w:r>
          </w:p>
        </w:tc>
        <w:tc>
          <w:tcPr>
            <w:tcW w:w="3901" w:type="dxa"/>
          </w:tcPr>
          <w:p>
            <w:pPr>
              <w:pStyle w:val="TableParagraph"/>
              <w:spacing w:before="60"/>
              <w:ind w:left="107"/>
              <w:rPr>
                <w:sz w:val="20"/>
              </w:rPr>
            </w:pPr>
            <w:r>
              <w:rPr>
                <w:w w:val="95"/>
                <w:sz w:val="20"/>
              </w:rPr>
              <w:t>эндопротезирование</w:t>
            </w:r>
            <w:r>
              <w:rPr>
                <w:spacing w:val="62"/>
                <w:sz w:val="20"/>
              </w:rPr>
              <w:t> </w:t>
            </w:r>
            <w:r>
              <w:rPr>
                <w:spacing w:val="-4"/>
                <w:sz w:val="20"/>
              </w:rPr>
              <w:t>аорты</w:t>
            </w:r>
          </w:p>
        </w:tc>
        <w:tc>
          <w:tcPr>
            <w:tcW w:w="1100" w:type="dxa"/>
          </w:tcPr>
          <w:p>
            <w:pPr>
              <w:pStyle w:val="TableParagraph"/>
              <w:spacing w:before="60"/>
              <w:ind w:right="47"/>
              <w:jc w:val="right"/>
              <w:rPr>
                <w:sz w:val="20"/>
              </w:rPr>
            </w:pPr>
            <w:r>
              <w:rPr>
                <w:spacing w:val="-2"/>
                <w:sz w:val="20"/>
              </w:rPr>
              <w:t>1185709</w:t>
            </w:r>
          </w:p>
        </w:tc>
      </w:tr>
      <w:tr>
        <w:trPr>
          <w:trHeight w:val="2040" w:hRule="atLeast"/>
        </w:trPr>
        <w:tc>
          <w:tcPr>
            <w:tcW w:w="458" w:type="dxa"/>
          </w:tcPr>
          <w:p>
            <w:pPr>
              <w:pStyle w:val="TableParagraph"/>
              <w:spacing w:before="60"/>
              <w:ind w:left="50"/>
              <w:rPr>
                <w:sz w:val="20"/>
              </w:rPr>
            </w:pPr>
            <w:r>
              <w:rPr>
                <w:spacing w:val="-5"/>
                <w:sz w:val="20"/>
              </w:rPr>
              <w:t>58.</w:t>
            </w:r>
          </w:p>
        </w:tc>
        <w:tc>
          <w:tcPr>
            <w:tcW w:w="2817" w:type="dxa"/>
          </w:tcPr>
          <w:p>
            <w:pPr>
              <w:pStyle w:val="TableParagraph"/>
              <w:spacing w:line="249" w:lineRule="auto" w:before="60"/>
              <w:ind w:left="155" w:right="55"/>
              <w:rPr>
                <w:sz w:val="20"/>
              </w:rPr>
            </w:pPr>
            <w:r>
              <w:rPr>
                <w:sz w:val="20"/>
              </w:rPr>
              <w:t>Транслюминальная</w:t>
            </w:r>
            <w:r>
              <w:rPr>
                <w:spacing w:val="-13"/>
                <w:sz w:val="20"/>
              </w:rPr>
              <w:t> </w:t>
            </w:r>
            <w:r>
              <w:rPr>
                <w:sz w:val="20"/>
              </w:rPr>
              <w:t>баллонная ангиопластика легочных </w:t>
            </w:r>
            <w:r>
              <w:rPr>
                <w:spacing w:val="-2"/>
                <w:sz w:val="20"/>
              </w:rPr>
              <w:t>артерий</w:t>
            </w:r>
          </w:p>
        </w:tc>
        <w:tc>
          <w:tcPr>
            <w:tcW w:w="2138" w:type="dxa"/>
          </w:tcPr>
          <w:p>
            <w:pPr>
              <w:pStyle w:val="TableParagraph"/>
              <w:spacing w:before="60"/>
              <w:ind w:left="160" w:right="154"/>
              <w:jc w:val="center"/>
              <w:rPr>
                <w:sz w:val="20"/>
              </w:rPr>
            </w:pPr>
            <w:r>
              <w:rPr>
                <w:sz w:val="20"/>
              </w:rPr>
              <w:t>I27.8,</w:t>
            </w:r>
            <w:r>
              <w:rPr>
                <w:spacing w:val="-5"/>
                <w:sz w:val="20"/>
              </w:rPr>
              <w:t> </w:t>
            </w:r>
            <w:r>
              <w:rPr>
                <w:spacing w:val="-2"/>
                <w:sz w:val="20"/>
              </w:rPr>
              <w:t>I28.8</w:t>
            </w:r>
          </w:p>
        </w:tc>
        <w:tc>
          <w:tcPr>
            <w:tcW w:w="3298" w:type="dxa"/>
          </w:tcPr>
          <w:p>
            <w:pPr>
              <w:pStyle w:val="TableParagraph"/>
              <w:spacing w:line="249" w:lineRule="auto" w:before="60"/>
              <w:ind w:left="62"/>
              <w:rPr>
                <w:sz w:val="20"/>
              </w:rPr>
            </w:pPr>
            <w:r>
              <w:rPr>
                <w:sz w:val="20"/>
              </w:rPr>
              <w:t>пациент с неоперабельной формой ХТЭЛГ</w:t>
            </w:r>
            <w:r>
              <w:rPr>
                <w:spacing w:val="-9"/>
                <w:sz w:val="20"/>
              </w:rPr>
              <w:t> </w:t>
            </w:r>
            <w:r>
              <w:rPr>
                <w:sz w:val="20"/>
              </w:rPr>
              <w:t>с</w:t>
            </w:r>
            <w:r>
              <w:rPr>
                <w:spacing w:val="-9"/>
                <w:sz w:val="20"/>
              </w:rPr>
              <w:t> </w:t>
            </w:r>
            <w:r>
              <w:rPr>
                <w:sz w:val="20"/>
              </w:rPr>
              <w:t>ФК</w:t>
            </w:r>
            <w:r>
              <w:rPr>
                <w:spacing w:val="-9"/>
                <w:sz w:val="20"/>
              </w:rPr>
              <w:t> </w:t>
            </w:r>
            <w:r>
              <w:rPr>
                <w:sz w:val="20"/>
              </w:rPr>
              <w:t>III</w:t>
            </w:r>
            <w:r>
              <w:rPr>
                <w:spacing w:val="-9"/>
                <w:sz w:val="20"/>
              </w:rPr>
              <w:t> </w:t>
            </w:r>
            <w:r>
              <w:rPr>
                <w:sz w:val="20"/>
              </w:rPr>
              <w:t>(ВОЗ)</w:t>
            </w:r>
            <w:r>
              <w:rPr>
                <w:spacing w:val="-9"/>
                <w:sz w:val="20"/>
              </w:rPr>
              <w:t> </w:t>
            </w:r>
            <w:r>
              <w:rPr>
                <w:sz w:val="20"/>
              </w:rPr>
              <w:t>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w:t>
            </w:r>
            <w:r>
              <w:rPr>
                <w:spacing w:val="-2"/>
                <w:sz w:val="20"/>
              </w:rPr>
              <w:t>ангиопульмонографии)</w:t>
            </w:r>
          </w:p>
        </w:tc>
        <w:tc>
          <w:tcPr>
            <w:tcW w:w="1438" w:type="dxa"/>
          </w:tcPr>
          <w:p>
            <w:pPr>
              <w:pStyle w:val="TableParagraph"/>
              <w:spacing w:line="249" w:lineRule="auto" w:before="60"/>
              <w:ind w:left="71"/>
              <w:rPr>
                <w:sz w:val="20"/>
              </w:rPr>
            </w:pPr>
            <w:r>
              <w:rPr>
                <w:spacing w:val="-2"/>
                <w:sz w:val="20"/>
              </w:rPr>
              <w:t>эндоваскулярн </w:t>
            </w:r>
            <w:r>
              <w:rPr>
                <w:sz w:val="20"/>
              </w:rPr>
              <w:t>ое лечение</w:t>
            </w:r>
          </w:p>
        </w:tc>
        <w:tc>
          <w:tcPr>
            <w:tcW w:w="3901" w:type="dxa"/>
          </w:tcPr>
          <w:p>
            <w:pPr>
              <w:pStyle w:val="TableParagraph"/>
              <w:spacing w:line="249" w:lineRule="auto" w:before="60"/>
              <w:ind w:left="107" w:right="113"/>
              <w:rPr>
                <w:sz w:val="20"/>
              </w:rPr>
            </w:pPr>
            <w:r>
              <w:rPr>
                <w:sz w:val="20"/>
              </w:rPr>
              <w:t>транслюминальная баллонная ангиопластика</w:t>
            </w:r>
            <w:r>
              <w:rPr>
                <w:spacing w:val="-13"/>
                <w:sz w:val="20"/>
              </w:rPr>
              <w:t> </w:t>
            </w:r>
            <w:r>
              <w:rPr>
                <w:sz w:val="20"/>
              </w:rPr>
              <w:t>легочных</w:t>
            </w:r>
            <w:r>
              <w:rPr>
                <w:spacing w:val="-12"/>
                <w:sz w:val="20"/>
              </w:rPr>
              <w:t> </w:t>
            </w:r>
            <w:r>
              <w:rPr>
                <w:sz w:val="20"/>
              </w:rPr>
              <w:t>артерий</w:t>
            </w:r>
          </w:p>
        </w:tc>
        <w:tc>
          <w:tcPr>
            <w:tcW w:w="1100" w:type="dxa"/>
          </w:tcPr>
          <w:p>
            <w:pPr>
              <w:pStyle w:val="TableParagraph"/>
              <w:spacing w:before="60"/>
              <w:ind w:right="97"/>
              <w:jc w:val="right"/>
              <w:rPr>
                <w:sz w:val="20"/>
              </w:rPr>
            </w:pPr>
            <w:r>
              <w:rPr>
                <w:spacing w:val="-2"/>
                <w:sz w:val="20"/>
              </w:rPr>
              <w:t>343459</w:t>
            </w:r>
          </w:p>
        </w:tc>
      </w:tr>
      <w:tr>
        <w:trPr>
          <w:trHeight w:val="770" w:hRule="atLeast"/>
        </w:trPr>
        <w:tc>
          <w:tcPr>
            <w:tcW w:w="458" w:type="dxa"/>
          </w:tcPr>
          <w:p>
            <w:pPr>
              <w:pStyle w:val="TableParagraph"/>
              <w:spacing w:before="60"/>
              <w:ind w:left="50"/>
              <w:rPr>
                <w:sz w:val="20"/>
              </w:rPr>
            </w:pPr>
            <w:r>
              <w:rPr>
                <w:spacing w:val="-5"/>
                <w:sz w:val="20"/>
              </w:rPr>
              <w:t>59.</w:t>
            </w:r>
          </w:p>
        </w:tc>
        <w:tc>
          <w:tcPr>
            <w:tcW w:w="2817" w:type="dxa"/>
          </w:tcPr>
          <w:p>
            <w:pPr>
              <w:pStyle w:val="TableParagraph"/>
              <w:spacing w:line="249" w:lineRule="auto" w:before="60"/>
              <w:ind w:left="155" w:right="744"/>
              <w:rPr>
                <w:sz w:val="20"/>
              </w:rPr>
            </w:pPr>
            <w:r>
              <w:rPr>
                <w:sz w:val="20"/>
              </w:rPr>
              <w:t>Модуляция</w:t>
            </w:r>
            <w:r>
              <w:rPr>
                <w:spacing w:val="-13"/>
                <w:sz w:val="20"/>
              </w:rPr>
              <w:t> </w:t>
            </w:r>
            <w:r>
              <w:rPr>
                <w:sz w:val="20"/>
              </w:rPr>
              <w:t>сердечной </w:t>
            </w:r>
            <w:r>
              <w:rPr>
                <w:spacing w:val="-2"/>
                <w:sz w:val="20"/>
              </w:rPr>
              <w:t>сократимости</w:t>
            </w:r>
          </w:p>
        </w:tc>
        <w:tc>
          <w:tcPr>
            <w:tcW w:w="2138" w:type="dxa"/>
          </w:tcPr>
          <w:p>
            <w:pPr>
              <w:pStyle w:val="TableParagraph"/>
              <w:spacing w:before="60"/>
              <w:ind w:left="160" w:right="156"/>
              <w:jc w:val="center"/>
              <w:rPr>
                <w:sz w:val="20"/>
              </w:rPr>
            </w:pPr>
            <w:r>
              <w:rPr>
                <w:sz w:val="20"/>
              </w:rPr>
              <w:t>I50.0,</w:t>
            </w:r>
            <w:r>
              <w:rPr>
                <w:spacing w:val="-6"/>
                <w:sz w:val="20"/>
              </w:rPr>
              <w:t> </w:t>
            </w:r>
            <w:r>
              <w:rPr>
                <w:sz w:val="20"/>
              </w:rPr>
              <w:t>I42,</w:t>
            </w:r>
            <w:r>
              <w:rPr>
                <w:spacing w:val="-5"/>
                <w:sz w:val="20"/>
              </w:rPr>
              <w:t> </w:t>
            </w:r>
            <w:r>
              <w:rPr>
                <w:sz w:val="20"/>
              </w:rPr>
              <w:t>I42.0,</w:t>
            </w:r>
            <w:r>
              <w:rPr>
                <w:spacing w:val="-5"/>
                <w:sz w:val="20"/>
              </w:rPr>
              <w:t> </w:t>
            </w:r>
            <w:r>
              <w:rPr>
                <w:spacing w:val="-4"/>
                <w:sz w:val="20"/>
              </w:rPr>
              <w:t>I25.5</w:t>
            </w:r>
          </w:p>
        </w:tc>
        <w:tc>
          <w:tcPr>
            <w:tcW w:w="3298" w:type="dxa"/>
          </w:tcPr>
          <w:p>
            <w:pPr>
              <w:pStyle w:val="TableParagraph"/>
              <w:spacing w:line="240" w:lineRule="atLeast" w:before="30"/>
              <w:ind w:left="62"/>
              <w:rPr>
                <w:sz w:val="20"/>
              </w:rPr>
            </w:pPr>
            <w:r>
              <w:rPr>
                <w:sz w:val="20"/>
              </w:rPr>
              <w:t>пациент</w:t>
            </w:r>
            <w:r>
              <w:rPr>
                <w:spacing w:val="-6"/>
                <w:sz w:val="20"/>
              </w:rPr>
              <w:t> </w:t>
            </w:r>
            <w:r>
              <w:rPr>
                <w:sz w:val="20"/>
              </w:rPr>
              <w:t>с</w:t>
            </w:r>
            <w:r>
              <w:rPr>
                <w:spacing w:val="-5"/>
                <w:sz w:val="20"/>
              </w:rPr>
              <w:t> </w:t>
            </w:r>
            <w:r>
              <w:rPr>
                <w:sz w:val="20"/>
              </w:rPr>
              <w:t>ХНС</w:t>
            </w:r>
            <w:r>
              <w:rPr>
                <w:spacing w:val="-5"/>
                <w:sz w:val="20"/>
              </w:rPr>
              <w:t> </w:t>
            </w:r>
            <w:r>
              <w:rPr>
                <w:sz w:val="20"/>
              </w:rPr>
              <w:t>с</w:t>
            </w:r>
            <w:r>
              <w:rPr>
                <w:spacing w:val="-5"/>
                <w:sz w:val="20"/>
              </w:rPr>
              <w:t> </w:t>
            </w:r>
            <w:r>
              <w:rPr>
                <w:sz w:val="20"/>
              </w:rPr>
              <w:t>ФК</w:t>
            </w:r>
            <w:r>
              <w:rPr>
                <w:spacing w:val="-6"/>
                <w:sz w:val="20"/>
              </w:rPr>
              <w:t> </w:t>
            </w:r>
            <w:r>
              <w:rPr>
                <w:sz w:val="20"/>
              </w:rPr>
              <w:t>III</w:t>
            </w:r>
            <w:r>
              <w:rPr>
                <w:spacing w:val="-5"/>
                <w:sz w:val="20"/>
              </w:rPr>
              <w:t> </w:t>
            </w:r>
            <w:r>
              <w:rPr>
                <w:sz w:val="20"/>
              </w:rPr>
              <w:t>по</w:t>
            </w:r>
            <w:r>
              <w:rPr>
                <w:spacing w:val="-4"/>
                <w:sz w:val="20"/>
              </w:rPr>
              <w:t> </w:t>
            </w:r>
            <w:r>
              <w:rPr>
                <w:sz w:val="20"/>
              </w:rPr>
              <w:t>NYHA,</w:t>
            </w:r>
            <w:r>
              <w:rPr>
                <w:spacing w:val="-5"/>
                <w:sz w:val="20"/>
              </w:rPr>
              <w:t> </w:t>
            </w:r>
            <w:r>
              <w:rPr>
                <w:sz w:val="20"/>
              </w:rPr>
              <w:t>с ФВ 25-45%, с симптомами СН несмотря на оптимальную</w:t>
            </w:r>
          </w:p>
        </w:tc>
        <w:tc>
          <w:tcPr>
            <w:tcW w:w="1438" w:type="dxa"/>
          </w:tcPr>
          <w:p>
            <w:pPr>
              <w:pStyle w:val="TableParagraph"/>
              <w:spacing w:line="249" w:lineRule="auto" w:before="60"/>
              <w:ind w:left="71"/>
              <w:rPr>
                <w:sz w:val="20"/>
              </w:rPr>
            </w:pPr>
            <w:r>
              <w:rPr>
                <w:spacing w:val="-2"/>
                <w:sz w:val="20"/>
              </w:rPr>
              <w:t>хирургическое лечение</w:t>
            </w:r>
          </w:p>
        </w:tc>
        <w:tc>
          <w:tcPr>
            <w:tcW w:w="3901" w:type="dxa"/>
          </w:tcPr>
          <w:p>
            <w:pPr>
              <w:pStyle w:val="TableParagraph"/>
              <w:spacing w:line="249" w:lineRule="auto" w:before="60"/>
              <w:ind w:left="107"/>
              <w:rPr>
                <w:sz w:val="20"/>
              </w:rPr>
            </w:pPr>
            <w:r>
              <w:rPr>
                <w:sz w:val="20"/>
              </w:rPr>
              <w:t>имплантация</w:t>
            </w:r>
            <w:r>
              <w:rPr>
                <w:spacing w:val="-13"/>
                <w:sz w:val="20"/>
              </w:rPr>
              <w:t> </w:t>
            </w:r>
            <w:r>
              <w:rPr>
                <w:sz w:val="20"/>
              </w:rPr>
              <w:t>устройства</w:t>
            </w:r>
            <w:r>
              <w:rPr>
                <w:spacing w:val="-12"/>
                <w:sz w:val="20"/>
              </w:rPr>
              <w:t> </w:t>
            </w:r>
            <w:r>
              <w:rPr>
                <w:sz w:val="20"/>
              </w:rPr>
              <w:t>для</w:t>
            </w:r>
            <w:r>
              <w:rPr>
                <w:spacing w:val="-13"/>
                <w:sz w:val="20"/>
              </w:rPr>
              <w:t> </w:t>
            </w:r>
            <w:r>
              <w:rPr>
                <w:sz w:val="20"/>
              </w:rPr>
              <w:t>модуляции сердечной сократимости</w:t>
            </w:r>
          </w:p>
        </w:tc>
        <w:tc>
          <w:tcPr>
            <w:tcW w:w="1100" w:type="dxa"/>
          </w:tcPr>
          <w:p>
            <w:pPr>
              <w:pStyle w:val="TableParagraph"/>
              <w:spacing w:before="60"/>
              <w:ind w:right="47"/>
              <w:jc w:val="right"/>
              <w:rPr>
                <w:sz w:val="20"/>
              </w:rPr>
            </w:pPr>
            <w:r>
              <w:rPr>
                <w:spacing w:val="-2"/>
                <w:sz w:val="20"/>
              </w:rPr>
              <w:t>1798091</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88"/>
        <w:gridCol w:w="2155"/>
        <w:gridCol w:w="3297"/>
        <w:gridCol w:w="1449"/>
        <w:gridCol w:w="3832"/>
        <w:gridCol w:w="1221"/>
      </w:tblGrid>
      <w:tr>
        <w:trPr>
          <w:trHeight w:val="1250" w:hRule="atLeast"/>
        </w:trPr>
        <w:tc>
          <w:tcPr>
            <w:tcW w:w="458" w:type="dxa"/>
          </w:tcPr>
          <w:p>
            <w:pPr>
              <w:pStyle w:val="TableParagraph"/>
              <w:rPr>
                <w:sz w:val="18"/>
              </w:rPr>
            </w:pPr>
          </w:p>
        </w:tc>
        <w:tc>
          <w:tcPr>
            <w:tcW w:w="2788" w:type="dxa"/>
          </w:tcPr>
          <w:p>
            <w:pPr>
              <w:pStyle w:val="TableParagraph"/>
              <w:rPr>
                <w:sz w:val="18"/>
              </w:rPr>
            </w:pPr>
          </w:p>
        </w:tc>
        <w:tc>
          <w:tcPr>
            <w:tcW w:w="2155" w:type="dxa"/>
          </w:tcPr>
          <w:p>
            <w:pPr>
              <w:pStyle w:val="TableParagraph"/>
              <w:rPr>
                <w:sz w:val="18"/>
              </w:rPr>
            </w:pPr>
          </w:p>
        </w:tc>
        <w:tc>
          <w:tcPr>
            <w:tcW w:w="3297" w:type="dxa"/>
          </w:tcPr>
          <w:p>
            <w:pPr>
              <w:pStyle w:val="TableParagraph"/>
              <w:spacing w:line="249" w:lineRule="auto"/>
              <w:ind w:left="73" w:right="114"/>
              <w:rPr>
                <w:sz w:val="20"/>
              </w:rPr>
            </w:pPr>
            <w:r>
              <w:rPr>
                <w:sz w:val="20"/>
              </w:rPr>
              <w:t>медикаментозную терапию с узким комплексом QRS (меньше/равно</w:t>
            </w:r>
            <w:r>
              <w:rPr>
                <w:spacing w:val="40"/>
                <w:sz w:val="20"/>
              </w:rPr>
              <w:t> </w:t>
            </w:r>
            <w:r>
              <w:rPr>
                <w:sz w:val="20"/>
              </w:rPr>
              <w:t>130</w:t>
            </w:r>
            <w:r>
              <w:rPr>
                <w:spacing w:val="-10"/>
                <w:sz w:val="20"/>
              </w:rPr>
              <w:t> </w:t>
            </w:r>
            <w:r>
              <w:rPr>
                <w:sz w:val="20"/>
              </w:rPr>
              <w:t>мс),</w:t>
            </w:r>
            <w:r>
              <w:rPr>
                <w:spacing w:val="-11"/>
                <w:sz w:val="20"/>
              </w:rPr>
              <w:t> </w:t>
            </w:r>
            <w:r>
              <w:rPr>
                <w:sz w:val="20"/>
              </w:rPr>
              <w:t>либо</w:t>
            </w:r>
            <w:r>
              <w:rPr>
                <w:spacing w:val="-11"/>
                <w:sz w:val="20"/>
              </w:rPr>
              <w:t> </w:t>
            </w:r>
            <w:r>
              <w:rPr>
                <w:sz w:val="20"/>
              </w:rPr>
              <w:t>с</w:t>
            </w:r>
            <w:r>
              <w:rPr>
                <w:spacing w:val="-11"/>
                <w:sz w:val="20"/>
              </w:rPr>
              <w:t> </w:t>
            </w:r>
            <w:r>
              <w:rPr>
                <w:sz w:val="20"/>
              </w:rPr>
              <w:t>противопоказаниями к кардиоресинхронизирующей </w:t>
            </w:r>
            <w:r>
              <w:rPr>
                <w:spacing w:val="-2"/>
                <w:sz w:val="20"/>
              </w:rPr>
              <w:t>терапии</w:t>
            </w:r>
          </w:p>
        </w:tc>
        <w:tc>
          <w:tcPr>
            <w:tcW w:w="1449" w:type="dxa"/>
          </w:tcPr>
          <w:p>
            <w:pPr>
              <w:pStyle w:val="TableParagraph"/>
              <w:rPr>
                <w:sz w:val="18"/>
              </w:rPr>
            </w:pPr>
          </w:p>
        </w:tc>
        <w:tc>
          <w:tcPr>
            <w:tcW w:w="3832" w:type="dxa"/>
          </w:tcPr>
          <w:p>
            <w:pPr>
              <w:pStyle w:val="TableParagraph"/>
              <w:rPr>
                <w:sz w:val="18"/>
              </w:rPr>
            </w:pPr>
          </w:p>
        </w:tc>
        <w:tc>
          <w:tcPr>
            <w:tcW w:w="1221" w:type="dxa"/>
          </w:tcPr>
          <w:p>
            <w:pPr>
              <w:pStyle w:val="TableParagraph"/>
              <w:rPr>
                <w:sz w:val="18"/>
              </w:rPr>
            </w:pPr>
          </w:p>
        </w:tc>
      </w:tr>
      <w:tr>
        <w:trPr>
          <w:trHeight w:val="1560" w:hRule="atLeast"/>
        </w:trPr>
        <w:tc>
          <w:tcPr>
            <w:tcW w:w="458" w:type="dxa"/>
          </w:tcPr>
          <w:p>
            <w:pPr>
              <w:pStyle w:val="TableParagraph"/>
              <w:spacing w:before="60"/>
              <w:ind w:left="50"/>
              <w:rPr>
                <w:sz w:val="20"/>
              </w:rPr>
            </w:pPr>
            <w:r>
              <w:rPr>
                <w:spacing w:val="-5"/>
                <w:sz w:val="20"/>
              </w:rPr>
              <w:t>60.</w:t>
            </w:r>
          </w:p>
        </w:tc>
        <w:tc>
          <w:tcPr>
            <w:tcW w:w="2788" w:type="dxa"/>
          </w:tcPr>
          <w:p>
            <w:pPr>
              <w:pStyle w:val="TableParagraph"/>
              <w:spacing w:line="249" w:lineRule="auto" w:before="60"/>
              <w:ind w:left="155" w:right="264"/>
              <w:rPr>
                <w:sz w:val="20"/>
              </w:rPr>
            </w:pPr>
            <w:r>
              <w:rPr>
                <w:sz w:val="20"/>
              </w:rPr>
              <w:t>Эндоваскулярная</w:t>
            </w:r>
            <w:r>
              <w:rPr>
                <w:spacing w:val="-13"/>
                <w:sz w:val="20"/>
              </w:rPr>
              <w:t> </w:t>
            </w:r>
            <w:r>
              <w:rPr>
                <w:sz w:val="20"/>
              </w:rPr>
              <w:t>окклюзия ушка левого предсердия</w:t>
            </w:r>
          </w:p>
        </w:tc>
        <w:tc>
          <w:tcPr>
            <w:tcW w:w="2155" w:type="dxa"/>
          </w:tcPr>
          <w:p>
            <w:pPr>
              <w:pStyle w:val="TableParagraph"/>
              <w:spacing w:before="60"/>
              <w:ind w:left="114" w:right="69"/>
              <w:jc w:val="center"/>
              <w:rPr>
                <w:sz w:val="20"/>
              </w:rPr>
            </w:pPr>
            <w:r>
              <w:rPr>
                <w:sz w:val="20"/>
              </w:rPr>
              <w:t>I48.0,</w:t>
            </w:r>
            <w:r>
              <w:rPr>
                <w:spacing w:val="-5"/>
                <w:sz w:val="20"/>
              </w:rPr>
              <w:t> </w:t>
            </w:r>
            <w:r>
              <w:rPr>
                <w:sz w:val="20"/>
              </w:rPr>
              <w:t>I48.1,</w:t>
            </w:r>
            <w:r>
              <w:rPr>
                <w:spacing w:val="-7"/>
                <w:sz w:val="20"/>
              </w:rPr>
              <w:t> </w:t>
            </w:r>
            <w:r>
              <w:rPr>
                <w:sz w:val="20"/>
              </w:rPr>
              <w:t>I48.2,</w:t>
            </w:r>
            <w:r>
              <w:rPr>
                <w:spacing w:val="-4"/>
                <w:sz w:val="20"/>
              </w:rPr>
              <w:t> I48.9</w:t>
            </w:r>
          </w:p>
        </w:tc>
        <w:tc>
          <w:tcPr>
            <w:tcW w:w="3297" w:type="dxa"/>
          </w:tcPr>
          <w:p>
            <w:pPr>
              <w:pStyle w:val="TableParagraph"/>
              <w:spacing w:line="249" w:lineRule="auto" w:before="60"/>
              <w:ind w:left="73" w:right="124"/>
              <w:rPr>
                <w:sz w:val="20"/>
              </w:rPr>
            </w:pPr>
            <w:r>
              <w:rPr>
                <w:sz w:val="20"/>
              </w:rPr>
              <w:t>пациент с неклапанной фибрилляцией предсердий при наличии противопоказаний, непереносимости</w:t>
            </w:r>
            <w:r>
              <w:rPr>
                <w:spacing w:val="-13"/>
                <w:sz w:val="20"/>
              </w:rPr>
              <w:t> </w:t>
            </w:r>
            <w:r>
              <w:rPr>
                <w:sz w:val="20"/>
              </w:rPr>
              <w:t>или</w:t>
            </w:r>
            <w:r>
              <w:rPr>
                <w:spacing w:val="-12"/>
                <w:sz w:val="20"/>
              </w:rPr>
              <w:t> </w:t>
            </w:r>
            <w:r>
              <w:rPr>
                <w:sz w:val="20"/>
              </w:rPr>
              <w:t>иных</w:t>
            </w:r>
            <w:r>
              <w:rPr>
                <w:spacing w:val="-13"/>
                <w:sz w:val="20"/>
              </w:rPr>
              <w:t> </w:t>
            </w:r>
            <w:r>
              <w:rPr>
                <w:sz w:val="20"/>
              </w:rPr>
              <w:t>рисков, связанных с антикоагулянтной </w:t>
            </w:r>
            <w:r>
              <w:rPr>
                <w:spacing w:val="-2"/>
                <w:sz w:val="20"/>
              </w:rPr>
              <w:t>терапией</w:t>
            </w:r>
          </w:p>
        </w:tc>
        <w:tc>
          <w:tcPr>
            <w:tcW w:w="1449" w:type="dxa"/>
          </w:tcPr>
          <w:p>
            <w:pPr>
              <w:pStyle w:val="TableParagraph"/>
              <w:spacing w:line="249" w:lineRule="auto" w:before="60"/>
              <w:ind w:left="84"/>
              <w:rPr>
                <w:sz w:val="20"/>
              </w:rPr>
            </w:pPr>
            <w:r>
              <w:rPr>
                <w:spacing w:val="-2"/>
                <w:sz w:val="20"/>
              </w:rPr>
              <w:t>хирургическое лечение</w:t>
            </w:r>
          </w:p>
        </w:tc>
        <w:tc>
          <w:tcPr>
            <w:tcW w:w="3832" w:type="dxa"/>
          </w:tcPr>
          <w:p>
            <w:pPr>
              <w:pStyle w:val="TableParagraph"/>
              <w:spacing w:line="249" w:lineRule="auto" w:before="60"/>
              <w:ind w:left="109" w:right="38"/>
              <w:rPr>
                <w:sz w:val="20"/>
              </w:rPr>
            </w:pPr>
            <w:r>
              <w:rPr>
                <w:sz w:val="20"/>
              </w:rPr>
              <w:t>имплантация</w:t>
            </w:r>
            <w:r>
              <w:rPr>
                <w:spacing w:val="-13"/>
                <w:sz w:val="20"/>
              </w:rPr>
              <w:t> </w:t>
            </w:r>
            <w:r>
              <w:rPr>
                <w:sz w:val="20"/>
              </w:rPr>
              <w:t>окклюдера</w:t>
            </w:r>
            <w:r>
              <w:rPr>
                <w:spacing w:val="-12"/>
                <w:sz w:val="20"/>
              </w:rPr>
              <w:t> </w:t>
            </w:r>
            <w:r>
              <w:rPr>
                <w:sz w:val="20"/>
              </w:rPr>
              <w:t>ушка</w:t>
            </w:r>
            <w:r>
              <w:rPr>
                <w:spacing w:val="-13"/>
                <w:sz w:val="20"/>
              </w:rPr>
              <w:t> </w:t>
            </w:r>
            <w:r>
              <w:rPr>
                <w:sz w:val="20"/>
              </w:rPr>
              <w:t>левого </w:t>
            </w:r>
            <w:r>
              <w:rPr>
                <w:spacing w:val="-2"/>
                <w:sz w:val="20"/>
              </w:rPr>
              <w:t>предсердия</w:t>
            </w:r>
          </w:p>
        </w:tc>
        <w:tc>
          <w:tcPr>
            <w:tcW w:w="1221" w:type="dxa"/>
          </w:tcPr>
          <w:p>
            <w:pPr>
              <w:pStyle w:val="TableParagraph"/>
              <w:spacing w:before="60"/>
              <w:ind w:right="147"/>
              <w:jc w:val="right"/>
              <w:rPr>
                <w:sz w:val="20"/>
              </w:rPr>
            </w:pPr>
            <w:r>
              <w:rPr>
                <w:spacing w:val="-2"/>
                <w:sz w:val="20"/>
              </w:rPr>
              <w:t>399087</w:t>
            </w:r>
          </w:p>
        </w:tc>
      </w:tr>
      <w:tr>
        <w:trPr>
          <w:trHeight w:val="2520" w:hRule="atLeast"/>
        </w:trPr>
        <w:tc>
          <w:tcPr>
            <w:tcW w:w="458" w:type="dxa"/>
          </w:tcPr>
          <w:p>
            <w:pPr>
              <w:pStyle w:val="TableParagraph"/>
              <w:spacing w:before="60"/>
              <w:ind w:left="50"/>
              <w:rPr>
                <w:sz w:val="20"/>
              </w:rPr>
            </w:pPr>
            <w:r>
              <w:rPr>
                <w:spacing w:val="-5"/>
                <w:sz w:val="20"/>
              </w:rPr>
              <w:t>61.</w:t>
            </w:r>
          </w:p>
        </w:tc>
        <w:tc>
          <w:tcPr>
            <w:tcW w:w="2788" w:type="dxa"/>
          </w:tcPr>
          <w:p>
            <w:pPr>
              <w:pStyle w:val="TableParagraph"/>
              <w:spacing w:line="249" w:lineRule="auto" w:before="60"/>
              <w:ind w:left="155" w:right="110"/>
              <w:rPr>
                <w:sz w:val="20"/>
              </w:rPr>
            </w:pPr>
            <w:r>
              <w:rPr>
                <w:sz w:val="20"/>
              </w:rPr>
              <w:t>Трансвенозная экстракция эндокардиальных</w:t>
            </w:r>
            <w:r>
              <w:rPr>
                <w:spacing w:val="-13"/>
                <w:sz w:val="20"/>
              </w:rPr>
              <w:t> </w:t>
            </w:r>
            <w:r>
              <w:rPr>
                <w:sz w:val="20"/>
              </w:rPr>
              <w:t>электродов у пациентов с </w:t>
            </w:r>
            <w:r>
              <w:rPr>
                <w:spacing w:val="-2"/>
                <w:sz w:val="20"/>
              </w:rPr>
              <w:t>имплантируемыми устройствами</w:t>
            </w:r>
          </w:p>
        </w:tc>
        <w:tc>
          <w:tcPr>
            <w:tcW w:w="2155" w:type="dxa"/>
          </w:tcPr>
          <w:p>
            <w:pPr>
              <w:pStyle w:val="TableParagraph"/>
              <w:spacing w:before="60"/>
              <w:ind w:left="267"/>
              <w:rPr>
                <w:sz w:val="20"/>
              </w:rPr>
            </w:pPr>
            <w:r>
              <w:rPr>
                <w:sz w:val="20"/>
              </w:rPr>
              <w:t>Т82.1,</w:t>
            </w:r>
            <w:r>
              <w:rPr>
                <w:spacing w:val="-6"/>
                <w:sz w:val="20"/>
              </w:rPr>
              <w:t> </w:t>
            </w:r>
            <w:r>
              <w:rPr>
                <w:sz w:val="20"/>
              </w:rPr>
              <w:t>Т82.7,</w:t>
            </w:r>
            <w:r>
              <w:rPr>
                <w:spacing w:val="-4"/>
                <w:sz w:val="20"/>
              </w:rPr>
              <w:t> </w:t>
            </w:r>
            <w:r>
              <w:rPr>
                <w:spacing w:val="-2"/>
                <w:sz w:val="20"/>
              </w:rPr>
              <w:t>Т82.8,</w:t>
            </w:r>
          </w:p>
          <w:p>
            <w:pPr>
              <w:pStyle w:val="TableParagraph"/>
              <w:spacing w:line="252" w:lineRule="auto" w:before="10"/>
              <w:ind w:left="634" w:hanging="312"/>
              <w:rPr>
                <w:sz w:val="20"/>
              </w:rPr>
            </w:pPr>
            <w:r>
              <w:rPr>
                <w:sz w:val="20"/>
              </w:rPr>
              <w:t>Т82.9,</w:t>
            </w:r>
            <w:r>
              <w:rPr>
                <w:spacing w:val="-13"/>
                <w:sz w:val="20"/>
              </w:rPr>
              <w:t> </w:t>
            </w:r>
            <w:r>
              <w:rPr>
                <w:sz w:val="20"/>
              </w:rPr>
              <w:t>I51.3,</w:t>
            </w:r>
            <w:r>
              <w:rPr>
                <w:spacing w:val="-12"/>
                <w:sz w:val="20"/>
              </w:rPr>
              <w:t> </w:t>
            </w:r>
            <w:r>
              <w:rPr>
                <w:sz w:val="20"/>
              </w:rPr>
              <w:t>I39.2, I39.4, I97.8</w:t>
            </w:r>
          </w:p>
        </w:tc>
        <w:tc>
          <w:tcPr>
            <w:tcW w:w="3297" w:type="dxa"/>
          </w:tcPr>
          <w:p>
            <w:pPr>
              <w:pStyle w:val="TableParagraph"/>
              <w:spacing w:line="249" w:lineRule="auto" w:before="60"/>
              <w:ind w:left="73" w:right="124"/>
              <w:rPr>
                <w:sz w:val="20"/>
              </w:rPr>
            </w:pPr>
            <w:r>
              <w:rPr>
                <w:sz w:val="20"/>
              </w:rPr>
              <w:t>осложнения со стороны имплантируемой</w:t>
            </w:r>
            <w:r>
              <w:rPr>
                <w:spacing w:val="-13"/>
                <w:sz w:val="20"/>
              </w:rPr>
              <w:t> </w:t>
            </w:r>
            <w:r>
              <w:rPr>
                <w:sz w:val="20"/>
              </w:rPr>
              <w:t>антиаритмической системы, связанные с местным или распространенным инфекционным процессом,</w:t>
            </w:r>
            <w:r>
              <w:rPr>
                <w:spacing w:val="-3"/>
                <w:sz w:val="20"/>
              </w:rPr>
              <w:t> </w:t>
            </w:r>
            <w:r>
              <w:rPr>
                <w:sz w:val="20"/>
              </w:rPr>
              <w:t>наличием</w:t>
            </w:r>
            <w:r>
              <w:rPr>
                <w:spacing w:val="-2"/>
                <w:sz w:val="20"/>
              </w:rPr>
              <w:t> </w:t>
            </w:r>
            <w:r>
              <w:rPr>
                <w:sz w:val="20"/>
              </w:rPr>
              <w:t>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49" w:type="dxa"/>
          </w:tcPr>
          <w:p>
            <w:pPr>
              <w:pStyle w:val="TableParagraph"/>
              <w:spacing w:line="249" w:lineRule="auto" w:before="60"/>
              <w:ind w:left="84"/>
              <w:rPr>
                <w:sz w:val="20"/>
              </w:rPr>
            </w:pPr>
            <w:r>
              <w:rPr>
                <w:spacing w:val="-2"/>
                <w:sz w:val="20"/>
              </w:rPr>
              <w:t>хирургическое лечение</w:t>
            </w:r>
          </w:p>
        </w:tc>
        <w:tc>
          <w:tcPr>
            <w:tcW w:w="3832" w:type="dxa"/>
          </w:tcPr>
          <w:p>
            <w:pPr>
              <w:pStyle w:val="TableParagraph"/>
              <w:spacing w:line="249" w:lineRule="auto" w:before="60"/>
              <w:ind w:left="109" w:right="38"/>
              <w:rPr>
                <w:sz w:val="20"/>
              </w:rPr>
            </w:pPr>
            <w:r>
              <w:rPr>
                <w:sz w:val="20"/>
              </w:rPr>
              <w:t>трансвенозная экстракция эндокардиальных электродов с применением</w:t>
            </w:r>
            <w:r>
              <w:rPr>
                <w:spacing w:val="-13"/>
                <w:sz w:val="20"/>
              </w:rPr>
              <w:t> </w:t>
            </w:r>
            <w:r>
              <w:rPr>
                <w:sz w:val="20"/>
              </w:rPr>
              <w:t>механических</w:t>
            </w:r>
            <w:r>
              <w:rPr>
                <w:spacing w:val="-12"/>
                <w:sz w:val="20"/>
              </w:rPr>
              <w:t> </w:t>
            </w:r>
            <w:r>
              <w:rPr>
                <w:sz w:val="20"/>
              </w:rPr>
              <w:t>и/или лазерных систем экстракции</w:t>
            </w:r>
          </w:p>
        </w:tc>
        <w:tc>
          <w:tcPr>
            <w:tcW w:w="1221" w:type="dxa"/>
          </w:tcPr>
          <w:p>
            <w:pPr>
              <w:pStyle w:val="TableParagraph"/>
              <w:spacing w:before="60"/>
              <w:ind w:right="147"/>
              <w:jc w:val="right"/>
              <w:rPr>
                <w:sz w:val="20"/>
              </w:rPr>
            </w:pPr>
            <w:r>
              <w:rPr>
                <w:spacing w:val="-2"/>
                <w:sz w:val="20"/>
              </w:rPr>
              <w:t>575647</w:t>
            </w:r>
          </w:p>
        </w:tc>
      </w:tr>
      <w:tr>
        <w:trPr>
          <w:trHeight w:val="1970" w:hRule="atLeast"/>
        </w:trPr>
        <w:tc>
          <w:tcPr>
            <w:tcW w:w="458" w:type="dxa"/>
          </w:tcPr>
          <w:p>
            <w:pPr>
              <w:pStyle w:val="TableParagraph"/>
              <w:spacing w:before="60"/>
              <w:ind w:left="50"/>
              <w:rPr>
                <w:sz w:val="20"/>
              </w:rPr>
            </w:pPr>
            <w:r>
              <w:rPr>
                <w:spacing w:val="-5"/>
                <w:sz w:val="20"/>
              </w:rPr>
              <w:t>62.</w:t>
            </w:r>
          </w:p>
        </w:tc>
        <w:tc>
          <w:tcPr>
            <w:tcW w:w="2788" w:type="dxa"/>
          </w:tcPr>
          <w:p>
            <w:pPr>
              <w:pStyle w:val="TableParagraph"/>
              <w:spacing w:line="249" w:lineRule="auto" w:before="60"/>
              <w:ind w:left="155" w:right="518"/>
              <w:jc w:val="both"/>
              <w:rPr>
                <w:sz w:val="20"/>
              </w:rPr>
            </w:pPr>
            <w:r>
              <w:rPr>
                <w:sz w:val="20"/>
              </w:rPr>
              <w:t>Хирургическое лечение хронической сердечной недостаточности</w:t>
            </w:r>
            <w:r>
              <w:rPr>
                <w:spacing w:val="-8"/>
                <w:sz w:val="20"/>
              </w:rPr>
              <w:t> </w:t>
            </w:r>
            <w:r>
              <w:rPr>
                <w:sz w:val="20"/>
              </w:rPr>
              <w:t>у</w:t>
            </w:r>
            <w:r>
              <w:rPr>
                <w:spacing w:val="-9"/>
                <w:sz w:val="20"/>
              </w:rPr>
              <w:t> </w:t>
            </w:r>
            <w:r>
              <w:rPr>
                <w:spacing w:val="-4"/>
                <w:sz w:val="20"/>
              </w:rPr>
              <w:t>детей</w:t>
            </w:r>
          </w:p>
        </w:tc>
        <w:tc>
          <w:tcPr>
            <w:tcW w:w="2155" w:type="dxa"/>
          </w:tcPr>
          <w:p>
            <w:pPr>
              <w:pStyle w:val="TableParagraph"/>
              <w:spacing w:before="60"/>
              <w:ind w:left="114" w:right="66"/>
              <w:jc w:val="center"/>
              <w:rPr>
                <w:sz w:val="20"/>
              </w:rPr>
            </w:pPr>
            <w:r>
              <w:rPr>
                <w:sz w:val="20"/>
              </w:rPr>
              <w:t>I42.1,</w:t>
            </w:r>
            <w:r>
              <w:rPr>
                <w:spacing w:val="-5"/>
                <w:sz w:val="20"/>
              </w:rPr>
              <w:t> </w:t>
            </w:r>
            <w:r>
              <w:rPr>
                <w:sz w:val="20"/>
              </w:rPr>
              <w:t>I50.0,</w:t>
            </w:r>
            <w:r>
              <w:rPr>
                <w:spacing w:val="-7"/>
                <w:sz w:val="20"/>
              </w:rPr>
              <w:t> </w:t>
            </w:r>
            <w:r>
              <w:rPr>
                <w:spacing w:val="-2"/>
                <w:sz w:val="20"/>
              </w:rPr>
              <w:t>I50.1</w:t>
            </w:r>
          </w:p>
        </w:tc>
        <w:tc>
          <w:tcPr>
            <w:tcW w:w="3297" w:type="dxa"/>
          </w:tcPr>
          <w:p>
            <w:pPr>
              <w:pStyle w:val="TableParagraph"/>
              <w:spacing w:line="249" w:lineRule="auto" w:before="60"/>
              <w:ind w:left="73"/>
              <w:rPr>
                <w:sz w:val="20"/>
              </w:rPr>
            </w:pPr>
            <w:r>
              <w:rPr>
                <w:sz w:val="20"/>
              </w:rPr>
              <w:t>хроническая сердечная недостаточность различного генеза (ишемическая болезнь сердца, дилятационная кардиомиопатия и другие),</w:t>
            </w:r>
            <w:r>
              <w:rPr>
                <w:spacing w:val="-11"/>
                <w:sz w:val="20"/>
              </w:rPr>
              <w:t> </w:t>
            </w:r>
            <w:r>
              <w:rPr>
                <w:sz w:val="20"/>
              </w:rPr>
              <w:t>III</w:t>
            </w:r>
            <w:r>
              <w:rPr>
                <w:spacing w:val="-11"/>
                <w:sz w:val="20"/>
              </w:rPr>
              <w:t> </w:t>
            </w:r>
            <w:r>
              <w:rPr>
                <w:sz w:val="20"/>
              </w:rPr>
              <w:t>или</w:t>
            </w:r>
            <w:r>
              <w:rPr>
                <w:spacing w:val="-12"/>
                <w:sz w:val="20"/>
              </w:rPr>
              <w:t> </w:t>
            </w:r>
            <w:r>
              <w:rPr>
                <w:sz w:val="20"/>
              </w:rPr>
              <w:t>IV</w:t>
            </w:r>
            <w:r>
              <w:rPr>
                <w:spacing w:val="-11"/>
                <w:sz w:val="20"/>
              </w:rPr>
              <w:t> </w:t>
            </w:r>
            <w:r>
              <w:rPr>
                <w:sz w:val="20"/>
              </w:rPr>
              <w:t>функционального класса (NYHA), фракция выброса</w:t>
            </w:r>
          </w:p>
          <w:p>
            <w:pPr>
              <w:pStyle w:val="TableParagraph"/>
              <w:spacing w:line="240" w:lineRule="exact"/>
              <w:ind w:left="73" w:right="124"/>
              <w:rPr>
                <w:sz w:val="20"/>
              </w:rPr>
            </w:pPr>
            <w:r>
              <w:rPr>
                <w:sz w:val="20"/>
              </w:rPr>
              <w:t>левого</w:t>
            </w:r>
            <w:r>
              <w:rPr>
                <w:spacing w:val="-10"/>
                <w:sz w:val="20"/>
              </w:rPr>
              <w:t> </w:t>
            </w:r>
            <w:r>
              <w:rPr>
                <w:sz w:val="20"/>
              </w:rPr>
              <w:t>желудочка</w:t>
            </w:r>
            <w:r>
              <w:rPr>
                <w:spacing w:val="-11"/>
                <w:sz w:val="20"/>
              </w:rPr>
              <w:t> </w:t>
            </w:r>
            <w:r>
              <w:rPr>
                <w:sz w:val="20"/>
              </w:rPr>
              <w:t>менее</w:t>
            </w:r>
            <w:r>
              <w:rPr>
                <w:spacing w:val="-11"/>
                <w:sz w:val="20"/>
              </w:rPr>
              <w:t> </w:t>
            </w:r>
            <w:r>
              <w:rPr>
                <w:sz w:val="20"/>
              </w:rPr>
              <w:t>или</w:t>
            </w:r>
            <w:r>
              <w:rPr>
                <w:spacing w:val="-10"/>
                <w:sz w:val="20"/>
              </w:rPr>
              <w:t> </w:t>
            </w:r>
            <w:r>
              <w:rPr>
                <w:sz w:val="20"/>
              </w:rPr>
              <w:t>равно 25 процентов</w:t>
            </w:r>
          </w:p>
        </w:tc>
        <w:tc>
          <w:tcPr>
            <w:tcW w:w="1449" w:type="dxa"/>
          </w:tcPr>
          <w:p>
            <w:pPr>
              <w:pStyle w:val="TableParagraph"/>
              <w:spacing w:line="249" w:lineRule="auto" w:before="60"/>
              <w:ind w:left="84"/>
              <w:rPr>
                <w:sz w:val="20"/>
              </w:rPr>
            </w:pPr>
            <w:r>
              <w:rPr>
                <w:spacing w:val="-2"/>
                <w:sz w:val="20"/>
              </w:rPr>
              <w:t>хирургическое лечение</w:t>
            </w:r>
          </w:p>
        </w:tc>
        <w:tc>
          <w:tcPr>
            <w:tcW w:w="3832" w:type="dxa"/>
          </w:tcPr>
          <w:p>
            <w:pPr>
              <w:pStyle w:val="TableParagraph"/>
              <w:spacing w:line="249" w:lineRule="auto" w:before="60"/>
              <w:ind w:left="109" w:right="38"/>
              <w:rPr>
                <w:sz w:val="20"/>
              </w:rPr>
            </w:pPr>
            <w:r>
              <w:rPr>
                <w:sz w:val="20"/>
              </w:rPr>
              <w:t>имплантация желудочковой вспомогательной</w:t>
            </w:r>
            <w:r>
              <w:rPr>
                <w:spacing w:val="-13"/>
                <w:sz w:val="20"/>
              </w:rPr>
              <w:t> </w:t>
            </w:r>
            <w:r>
              <w:rPr>
                <w:sz w:val="20"/>
              </w:rPr>
              <w:t>системы</w:t>
            </w:r>
            <w:r>
              <w:rPr>
                <w:spacing w:val="-12"/>
                <w:sz w:val="20"/>
              </w:rPr>
              <w:t> </w:t>
            </w:r>
            <w:r>
              <w:rPr>
                <w:sz w:val="20"/>
              </w:rPr>
              <w:t>длительного использования для детей</w:t>
            </w:r>
          </w:p>
        </w:tc>
        <w:tc>
          <w:tcPr>
            <w:tcW w:w="1221" w:type="dxa"/>
          </w:tcPr>
          <w:p>
            <w:pPr>
              <w:pStyle w:val="TableParagraph"/>
              <w:spacing w:before="60"/>
              <w:ind w:right="47"/>
              <w:jc w:val="right"/>
              <w:rPr>
                <w:sz w:val="20"/>
              </w:rPr>
            </w:pPr>
            <w:r>
              <w:rPr>
                <w:spacing w:val="-2"/>
                <w:sz w:val="20"/>
              </w:rPr>
              <w:t>10201829</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ListParagraph"/>
        <w:numPr>
          <w:ilvl w:val="0"/>
          <w:numId w:val="9"/>
        </w:numPr>
        <w:tabs>
          <w:tab w:pos="931" w:val="left" w:leader="none"/>
          <w:tab w:pos="932" w:val="left" w:leader="none"/>
        </w:tabs>
        <w:spacing w:line="249" w:lineRule="auto" w:before="91" w:after="0"/>
        <w:ind w:left="931" w:right="38" w:hanging="564"/>
        <w:jc w:val="left"/>
        <w:rPr>
          <w:sz w:val="20"/>
        </w:rPr>
      </w:pPr>
      <w:r>
        <w:rPr>
          <w:sz w:val="20"/>
        </w:rPr>
        <w:t>Гибридные операции при многоуровневом поражении магистральных артерий и артерий</w:t>
      </w:r>
      <w:r>
        <w:rPr>
          <w:spacing w:val="-13"/>
          <w:sz w:val="20"/>
        </w:rPr>
        <w:t> </w:t>
      </w:r>
      <w:r>
        <w:rPr>
          <w:sz w:val="20"/>
        </w:rPr>
        <w:t>нижних</w:t>
      </w:r>
      <w:r>
        <w:rPr>
          <w:spacing w:val="-12"/>
          <w:sz w:val="20"/>
        </w:rPr>
        <w:t> </w:t>
      </w:r>
      <w:r>
        <w:rPr>
          <w:sz w:val="20"/>
        </w:rPr>
        <w:t>конечностей у больных сахарным </w:t>
      </w:r>
      <w:r>
        <w:rPr>
          <w:spacing w:val="-2"/>
          <w:sz w:val="20"/>
        </w:rPr>
        <w:t>диабетом</w:t>
      </w:r>
    </w:p>
    <w:p>
      <w:pPr>
        <w:tabs>
          <w:tab w:pos="2017" w:val="left" w:leader="none"/>
        </w:tabs>
        <w:spacing w:before="91"/>
        <w:ind w:left="368" w:right="0" w:firstLine="0"/>
        <w:jc w:val="left"/>
        <w:rPr>
          <w:sz w:val="20"/>
        </w:rPr>
      </w:pPr>
      <w:r>
        <w:rPr/>
        <w:br w:type="column"/>
      </w:r>
      <w:r>
        <w:rPr>
          <w:sz w:val="20"/>
        </w:rPr>
        <w:t>Е10.5,</w:t>
      </w:r>
      <w:r>
        <w:rPr>
          <w:spacing w:val="-5"/>
          <w:sz w:val="20"/>
        </w:rPr>
        <w:t> </w:t>
      </w:r>
      <w:r>
        <w:rPr>
          <w:spacing w:val="-4"/>
          <w:sz w:val="20"/>
        </w:rPr>
        <w:t>Е11.5</w:t>
      </w:r>
      <w:r>
        <w:rPr>
          <w:sz w:val="20"/>
        </w:rPr>
        <w:tab/>
        <w:t>сахарный</w:t>
      </w:r>
      <w:r>
        <w:rPr>
          <w:spacing w:val="-5"/>
          <w:sz w:val="20"/>
        </w:rPr>
        <w:t> </w:t>
      </w:r>
      <w:r>
        <w:rPr>
          <w:sz w:val="20"/>
        </w:rPr>
        <w:t>диабет</w:t>
      </w:r>
      <w:r>
        <w:rPr>
          <w:spacing w:val="-5"/>
          <w:sz w:val="20"/>
        </w:rPr>
        <w:t> </w:t>
      </w:r>
      <w:r>
        <w:rPr>
          <w:sz w:val="20"/>
        </w:rPr>
        <w:t>1</w:t>
      </w:r>
      <w:r>
        <w:rPr>
          <w:spacing w:val="-2"/>
          <w:sz w:val="20"/>
        </w:rPr>
        <w:t> </w:t>
      </w:r>
      <w:r>
        <w:rPr>
          <w:sz w:val="20"/>
        </w:rPr>
        <w:t>и</w:t>
      </w:r>
      <w:r>
        <w:rPr>
          <w:spacing w:val="-5"/>
          <w:sz w:val="20"/>
        </w:rPr>
        <w:t> </w:t>
      </w:r>
      <w:r>
        <w:rPr>
          <w:sz w:val="20"/>
        </w:rPr>
        <w:t>2</w:t>
      </w:r>
      <w:r>
        <w:rPr>
          <w:spacing w:val="-3"/>
          <w:sz w:val="20"/>
        </w:rPr>
        <w:t> </w:t>
      </w:r>
      <w:r>
        <w:rPr>
          <w:sz w:val="20"/>
        </w:rPr>
        <w:t>типа </w:t>
      </w:r>
      <w:r>
        <w:rPr>
          <w:spacing w:val="-10"/>
          <w:sz w:val="20"/>
        </w:rPr>
        <w:t>с</w:t>
      </w:r>
    </w:p>
    <w:p>
      <w:pPr>
        <w:spacing w:line="249" w:lineRule="auto" w:before="10"/>
        <w:ind w:left="2017" w:right="0" w:firstLine="0"/>
        <w:jc w:val="left"/>
        <w:rPr>
          <w:sz w:val="20"/>
        </w:rPr>
      </w:pPr>
      <w:r>
        <w:rPr>
          <w:sz w:val="20"/>
        </w:rPr>
        <w:t>многоуровневым окклюзионно- стенотическим</w:t>
      </w:r>
      <w:r>
        <w:rPr>
          <w:spacing w:val="-13"/>
          <w:sz w:val="20"/>
        </w:rPr>
        <w:t> </w:t>
      </w:r>
      <w:r>
        <w:rPr>
          <w:sz w:val="20"/>
        </w:rPr>
        <w:t>поражением</w:t>
      </w:r>
      <w:r>
        <w:rPr>
          <w:spacing w:val="-12"/>
          <w:sz w:val="20"/>
        </w:rPr>
        <w:t> </w:t>
      </w:r>
      <w:r>
        <w:rPr>
          <w:sz w:val="20"/>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before="0"/>
        <w:ind w:left="3287" w:right="0" w:firstLine="0"/>
        <w:jc w:val="left"/>
        <w:rPr>
          <w:sz w:val="20"/>
        </w:rPr>
      </w:pPr>
      <w:r>
        <w:rPr>
          <w:sz w:val="20"/>
        </w:rPr>
        <w:t>Торакальная</w:t>
      </w:r>
      <w:r>
        <w:rPr>
          <w:spacing w:val="-11"/>
          <w:sz w:val="20"/>
        </w:rPr>
        <w:t> </w:t>
      </w:r>
      <w:r>
        <w:rPr>
          <w:spacing w:val="-2"/>
          <w:sz w:val="20"/>
        </w:rPr>
        <w:t>хирургия</w:t>
      </w:r>
    </w:p>
    <w:p>
      <w:pPr>
        <w:spacing w:line="249" w:lineRule="auto" w:before="91"/>
        <w:ind w:left="87" w:right="0" w:firstLine="0"/>
        <w:jc w:val="left"/>
        <w:rPr>
          <w:sz w:val="20"/>
        </w:rPr>
      </w:pPr>
      <w:r>
        <w:rPr/>
        <w:br w:type="column"/>
      </w:r>
      <w:r>
        <w:rPr>
          <w:spacing w:val="-2"/>
          <w:sz w:val="20"/>
        </w:rPr>
        <w:t>хирургическое лечение</w:t>
      </w:r>
    </w:p>
    <w:p>
      <w:pPr>
        <w:spacing w:line="249" w:lineRule="auto" w:before="91"/>
        <w:ind w:left="178" w:right="0" w:firstLine="0"/>
        <w:jc w:val="left"/>
        <w:rPr>
          <w:sz w:val="20"/>
        </w:rPr>
      </w:pPr>
      <w:r>
        <w:rPr/>
        <w:br w:type="column"/>
      </w:r>
      <w:r>
        <w:rPr>
          <w:sz w:val="20"/>
        </w:rPr>
        <w:t>одномоментное проведение </w:t>
      </w:r>
      <w:r>
        <w:rPr>
          <w:spacing w:val="-2"/>
          <w:sz w:val="20"/>
        </w:rPr>
        <w:t>рентгенэндоваскулярной </w:t>
      </w:r>
      <w:r>
        <w:rPr>
          <w:sz w:val="20"/>
        </w:rPr>
        <w:t>реваскуляризации</w:t>
      </w:r>
      <w:r>
        <w:rPr>
          <w:spacing w:val="-13"/>
          <w:sz w:val="20"/>
        </w:rPr>
        <w:t> </w:t>
      </w:r>
      <w:r>
        <w:rPr>
          <w:sz w:val="20"/>
        </w:rPr>
        <w:t>нижней</w:t>
      </w:r>
      <w:r>
        <w:rPr>
          <w:spacing w:val="-12"/>
          <w:sz w:val="20"/>
        </w:rPr>
        <w:t> </w:t>
      </w:r>
      <w:r>
        <w:rPr>
          <w:sz w:val="20"/>
        </w:rPr>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p>
      <w:pPr>
        <w:spacing w:before="91"/>
        <w:ind w:left="367" w:right="0" w:firstLine="0"/>
        <w:jc w:val="left"/>
        <w:rPr>
          <w:sz w:val="20"/>
        </w:rPr>
      </w:pPr>
      <w:r>
        <w:rPr/>
        <w:br w:type="column"/>
      </w:r>
      <w:r>
        <w:rPr>
          <w:spacing w:val="-2"/>
          <w:sz w:val="20"/>
        </w:rPr>
        <w:t>373260</w:t>
      </w:r>
    </w:p>
    <w:p>
      <w:pPr>
        <w:spacing w:after="0"/>
        <w:jc w:val="left"/>
        <w:rPr>
          <w:sz w:val="20"/>
        </w:rPr>
        <w:sectPr>
          <w:type w:val="continuous"/>
          <w:pgSz w:w="16850" w:h="11910" w:orient="landscape"/>
          <w:pgMar w:header="753" w:footer="0" w:top="1080" w:bottom="280" w:left="400" w:right="400"/>
          <w:cols w:num="5" w:equalWidth="0">
            <w:col w:w="3489" w:space="287"/>
            <w:col w:w="5198" w:space="39"/>
            <w:col w:w="1345" w:space="39"/>
            <w:col w:w="3498" w:space="505"/>
            <w:col w:w="1650"/>
          </w:cols>
        </w:sectPr>
      </w:pPr>
    </w:p>
    <w:p>
      <w:pPr>
        <w:pStyle w:val="ListParagraph"/>
        <w:numPr>
          <w:ilvl w:val="0"/>
          <w:numId w:val="9"/>
        </w:numPr>
        <w:tabs>
          <w:tab w:pos="931" w:val="left" w:leader="none"/>
          <w:tab w:pos="932" w:val="left" w:leader="none"/>
        </w:tabs>
        <w:spacing w:line="249" w:lineRule="auto" w:before="130" w:after="0"/>
        <w:ind w:left="931" w:right="38" w:hanging="564"/>
        <w:jc w:val="left"/>
        <w:rPr>
          <w:sz w:val="20"/>
        </w:rPr>
      </w:pPr>
      <w:r>
        <w:rPr>
          <w:spacing w:val="-2"/>
          <w:sz w:val="20"/>
        </w:rPr>
        <w:t>Реконструктивно- </w:t>
      </w:r>
      <w:r>
        <w:rPr>
          <w:sz w:val="20"/>
        </w:rPr>
        <w:t>пластические операции на грудной</w:t>
      </w:r>
      <w:r>
        <w:rPr>
          <w:spacing w:val="-13"/>
          <w:sz w:val="20"/>
        </w:rPr>
        <w:t> </w:t>
      </w:r>
      <w:r>
        <w:rPr>
          <w:sz w:val="20"/>
        </w:rPr>
        <w:t>стенке</w:t>
      </w:r>
      <w:r>
        <w:rPr>
          <w:spacing w:val="-12"/>
          <w:sz w:val="20"/>
        </w:rPr>
        <w:t> </w:t>
      </w:r>
      <w:r>
        <w:rPr>
          <w:sz w:val="20"/>
        </w:rPr>
        <w:t>и</w:t>
      </w:r>
      <w:r>
        <w:rPr>
          <w:spacing w:val="-13"/>
          <w:sz w:val="20"/>
        </w:rPr>
        <w:t> </w:t>
      </w:r>
      <w:r>
        <w:rPr>
          <w:sz w:val="20"/>
        </w:rPr>
        <w:t>диафрагме</w:t>
      </w:r>
    </w:p>
    <w:p>
      <w:pPr>
        <w:tabs>
          <w:tab w:pos="1889" w:val="left" w:leader="none"/>
          <w:tab w:pos="5197" w:val="left" w:leader="none"/>
        </w:tabs>
        <w:spacing w:before="130"/>
        <w:ind w:left="368" w:right="0" w:firstLine="0"/>
        <w:jc w:val="left"/>
        <w:rPr>
          <w:sz w:val="20"/>
        </w:rPr>
      </w:pPr>
      <w:r>
        <w:rPr/>
        <w:br w:type="column"/>
      </w:r>
      <w:r>
        <w:rPr>
          <w:sz w:val="20"/>
        </w:rPr>
        <w:t>A15,</w:t>
      </w:r>
      <w:r>
        <w:rPr>
          <w:spacing w:val="-5"/>
          <w:sz w:val="20"/>
        </w:rPr>
        <w:t> A16</w:t>
      </w:r>
      <w:r>
        <w:rPr>
          <w:sz w:val="20"/>
        </w:rPr>
        <w:tab/>
        <w:t>туберкулез</w:t>
      </w:r>
      <w:r>
        <w:rPr>
          <w:spacing w:val="-10"/>
          <w:sz w:val="20"/>
        </w:rPr>
        <w:t> </w:t>
      </w:r>
      <w:r>
        <w:rPr>
          <w:sz w:val="20"/>
        </w:rPr>
        <w:t>органов</w:t>
      </w:r>
      <w:r>
        <w:rPr>
          <w:spacing w:val="-10"/>
          <w:sz w:val="20"/>
        </w:rPr>
        <w:t> </w:t>
      </w:r>
      <w:r>
        <w:rPr>
          <w:spacing w:val="-2"/>
          <w:sz w:val="20"/>
        </w:rPr>
        <w:t>дыхания</w:t>
      </w:r>
      <w:r>
        <w:rPr>
          <w:sz w:val="20"/>
        </w:rPr>
        <w:tab/>
      </w:r>
      <w:r>
        <w:rPr>
          <w:spacing w:val="-2"/>
          <w:sz w:val="20"/>
        </w:rPr>
        <w:t>хирургическое</w:t>
      </w:r>
    </w:p>
    <w:p>
      <w:pPr>
        <w:spacing w:before="7"/>
        <w:ind w:left="5197" w:right="0" w:firstLine="0"/>
        <w:jc w:val="left"/>
        <w:rPr>
          <w:sz w:val="20"/>
        </w:rPr>
      </w:pPr>
      <w:r>
        <w:rPr>
          <w:spacing w:val="-2"/>
          <w:sz w:val="20"/>
        </w:rPr>
        <w:t>лечение</w:t>
      </w:r>
    </w:p>
    <w:p>
      <w:pPr>
        <w:tabs>
          <w:tab w:pos="4971" w:val="right" w:leader="none"/>
        </w:tabs>
        <w:spacing w:before="130"/>
        <w:ind w:left="178" w:right="0" w:firstLine="0"/>
        <w:jc w:val="left"/>
        <w:rPr>
          <w:sz w:val="20"/>
        </w:rPr>
      </w:pPr>
      <w:r>
        <w:rPr/>
        <w:br w:type="column"/>
      </w:r>
      <w:r>
        <w:rPr>
          <w:spacing w:val="-2"/>
          <w:sz w:val="20"/>
        </w:rPr>
        <w:t>торакопластика</w:t>
      </w:r>
      <w:r>
        <w:rPr>
          <w:sz w:val="20"/>
        </w:rPr>
        <w:tab/>
      </w:r>
      <w:r>
        <w:rPr>
          <w:spacing w:val="-2"/>
          <w:sz w:val="20"/>
        </w:rPr>
        <w:t>211354</w:t>
      </w:r>
    </w:p>
    <w:p>
      <w:pPr>
        <w:spacing w:before="106"/>
        <w:ind w:left="178" w:right="0" w:firstLine="0"/>
        <w:jc w:val="left"/>
        <w:rPr>
          <w:sz w:val="20"/>
        </w:rPr>
      </w:pPr>
      <w:r>
        <w:rPr>
          <w:spacing w:val="-2"/>
          <w:sz w:val="20"/>
        </w:rPr>
        <w:t>торакомиопластика</w:t>
      </w:r>
    </w:p>
    <w:p>
      <w:pPr>
        <w:spacing w:before="111"/>
        <w:ind w:left="178" w:right="0" w:firstLine="0"/>
        <w:jc w:val="left"/>
        <w:rPr>
          <w:sz w:val="20"/>
        </w:rPr>
      </w:pPr>
      <w:r>
        <w:rPr>
          <w:sz w:val="20"/>
        </w:rPr>
        <w:t>перемещение</w:t>
      </w:r>
      <w:r>
        <w:rPr>
          <w:spacing w:val="-6"/>
          <w:sz w:val="20"/>
        </w:rPr>
        <w:t> </w:t>
      </w:r>
      <w:r>
        <w:rPr>
          <w:sz w:val="20"/>
        </w:rPr>
        <w:t>и</w:t>
      </w:r>
      <w:r>
        <w:rPr>
          <w:spacing w:val="-10"/>
          <w:sz w:val="20"/>
        </w:rPr>
        <w:t> </w:t>
      </w:r>
      <w:r>
        <w:rPr>
          <w:sz w:val="20"/>
        </w:rPr>
        <w:t>пластика</w:t>
      </w:r>
      <w:r>
        <w:rPr>
          <w:spacing w:val="-6"/>
          <w:sz w:val="20"/>
        </w:rPr>
        <w:t> </w:t>
      </w:r>
      <w:r>
        <w:rPr>
          <w:spacing w:val="-2"/>
          <w:sz w:val="20"/>
        </w:rPr>
        <w:t>диафрагмы</w:t>
      </w:r>
    </w:p>
    <w:p>
      <w:pPr>
        <w:spacing w:after="0"/>
        <w:jc w:val="left"/>
        <w:rPr>
          <w:sz w:val="20"/>
        </w:rPr>
        <w:sectPr>
          <w:type w:val="continuous"/>
          <w:pgSz w:w="16850" w:h="11910" w:orient="landscape"/>
          <w:pgMar w:header="753" w:footer="0" w:top="1080" w:bottom="280" w:left="400" w:right="400"/>
          <w:cols w:num="3" w:equalWidth="0">
            <w:col w:w="3394" w:space="509"/>
            <w:col w:w="6454" w:space="40"/>
            <w:col w:w="5653"/>
          </w:cols>
        </w:sectPr>
      </w:pPr>
    </w:p>
    <w:p>
      <w:pPr>
        <w:spacing w:line="247" w:lineRule="auto" w:before="113"/>
        <w:ind w:left="4420" w:right="0" w:hanging="623"/>
        <w:jc w:val="left"/>
        <w:rPr>
          <w:sz w:val="20"/>
        </w:rPr>
      </w:pPr>
      <w:r>
        <w:rPr>
          <w:sz w:val="20"/>
        </w:rPr>
        <w:t>Q67.6,</w:t>
      </w:r>
      <w:r>
        <w:rPr>
          <w:spacing w:val="-13"/>
          <w:sz w:val="20"/>
        </w:rPr>
        <w:t> </w:t>
      </w:r>
      <w:r>
        <w:rPr>
          <w:sz w:val="20"/>
        </w:rPr>
        <w:t>Q67.7,</w:t>
      </w:r>
      <w:r>
        <w:rPr>
          <w:spacing w:val="-12"/>
          <w:sz w:val="20"/>
        </w:rPr>
        <w:t> </w:t>
      </w:r>
      <w:r>
        <w:rPr>
          <w:sz w:val="20"/>
        </w:rPr>
        <w:t>Q67.8, </w:t>
      </w:r>
      <w:r>
        <w:rPr>
          <w:spacing w:val="-2"/>
          <w:sz w:val="20"/>
        </w:rPr>
        <w:t>Q76.7</w:t>
      </w:r>
    </w:p>
    <w:p>
      <w:pPr>
        <w:spacing w:line="247" w:lineRule="auto" w:before="113"/>
        <w:ind w:left="222" w:right="0" w:firstLine="0"/>
        <w:jc w:val="left"/>
        <w:rPr>
          <w:sz w:val="20"/>
        </w:rPr>
      </w:pPr>
      <w:r>
        <w:rPr/>
        <w:br w:type="column"/>
      </w:r>
      <w:r>
        <w:rPr>
          <w:sz w:val="20"/>
        </w:rPr>
        <w:t>врожденные</w:t>
      </w:r>
      <w:r>
        <w:rPr>
          <w:spacing w:val="-13"/>
          <w:sz w:val="20"/>
        </w:rPr>
        <w:t> </w:t>
      </w:r>
      <w:r>
        <w:rPr>
          <w:sz w:val="20"/>
        </w:rPr>
        <w:t>аномалии</w:t>
      </w:r>
      <w:r>
        <w:rPr>
          <w:spacing w:val="-12"/>
          <w:sz w:val="20"/>
        </w:rPr>
        <w:t> </w:t>
      </w:r>
      <w:r>
        <w:rPr>
          <w:sz w:val="20"/>
        </w:rPr>
        <w:t>(пороки развития) грудной клетки</w:t>
      </w:r>
    </w:p>
    <w:p>
      <w:pPr>
        <w:spacing w:line="247" w:lineRule="auto" w:before="113"/>
        <w:ind w:left="607" w:right="0" w:firstLine="0"/>
        <w:jc w:val="left"/>
        <w:rPr>
          <w:sz w:val="20"/>
        </w:rPr>
      </w:pPr>
      <w:r>
        <w:rPr/>
        <w:br w:type="column"/>
      </w:r>
      <w:r>
        <w:rPr>
          <w:spacing w:val="-2"/>
          <w:sz w:val="20"/>
        </w:rPr>
        <w:t>хирургическое лечение</w:t>
      </w:r>
    </w:p>
    <w:p>
      <w:pPr>
        <w:spacing w:line="247" w:lineRule="auto" w:before="113"/>
        <w:ind w:left="178" w:right="1919" w:firstLine="0"/>
        <w:jc w:val="left"/>
        <w:rPr>
          <w:sz w:val="20"/>
        </w:rPr>
      </w:pPr>
      <w:r>
        <w:rPr/>
        <w:br w:type="column"/>
      </w:r>
      <w:r>
        <w:rPr>
          <w:sz w:val="20"/>
        </w:rPr>
        <w:t>коррекция</w:t>
      </w:r>
      <w:r>
        <w:rPr>
          <w:spacing w:val="-13"/>
          <w:sz w:val="20"/>
        </w:rPr>
        <w:t> </w:t>
      </w:r>
      <w:r>
        <w:rPr>
          <w:sz w:val="20"/>
        </w:rPr>
        <w:t>воронкообразной</w:t>
      </w:r>
      <w:r>
        <w:rPr>
          <w:spacing w:val="-12"/>
          <w:sz w:val="20"/>
        </w:rPr>
        <w:t> </w:t>
      </w:r>
      <w:r>
        <w:rPr>
          <w:sz w:val="20"/>
        </w:rPr>
        <w:t>деформации грудной клетки</w:t>
      </w:r>
    </w:p>
    <w:p>
      <w:pPr>
        <w:spacing w:line="247" w:lineRule="auto" w:before="105"/>
        <w:ind w:left="178" w:right="1951" w:firstLine="0"/>
        <w:jc w:val="left"/>
        <w:rPr>
          <w:sz w:val="20"/>
        </w:rPr>
      </w:pPr>
      <w:r>
        <w:rPr>
          <w:sz w:val="20"/>
        </w:rPr>
        <w:t>торакопластика:</w:t>
      </w:r>
      <w:r>
        <w:rPr>
          <w:spacing w:val="-13"/>
          <w:sz w:val="20"/>
        </w:rPr>
        <w:t> </w:t>
      </w:r>
      <w:r>
        <w:rPr>
          <w:sz w:val="20"/>
        </w:rPr>
        <w:t>резекция</w:t>
      </w:r>
      <w:r>
        <w:rPr>
          <w:spacing w:val="-12"/>
          <w:sz w:val="20"/>
        </w:rPr>
        <w:t> </w:t>
      </w:r>
      <w:r>
        <w:rPr>
          <w:sz w:val="20"/>
        </w:rPr>
        <w:t>реберного </w:t>
      </w:r>
      <w:r>
        <w:rPr>
          <w:spacing w:val="-2"/>
          <w:sz w:val="20"/>
        </w:rPr>
        <w:t>горба</w:t>
      </w:r>
    </w:p>
    <w:p>
      <w:pPr>
        <w:spacing w:after="0" w:line="247" w:lineRule="auto"/>
        <w:jc w:val="left"/>
        <w:rPr>
          <w:sz w:val="20"/>
        </w:rPr>
        <w:sectPr>
          <w:type w:val="continuous"/>
          <w:pgSz w:w="16850" w:h="11910" w:orient="landscape"/>
          <w:pgMar w:header="753" w:footer="0" w:top="1080" w:bottom="280" w:left="400" w:right="400"/>
          <w:cols w:num="4" w:equalWidth="0">
            <w:col w:w="5531" w:space="40"/>
            <w:col w:w="2884" w:space="39"/>
            <w:col w:w="1864" w:space="39"/>
            <w:col w:w="5653"/>
          </w:cols>
        </w:sectPr>
      </w:pPr>
    </w:p>
    <w:p>
      <w:pPr>
        <w:tabs>
          <w:tab w:pos="5792" w:val="left" w:leader="none"/>
        </w:tabs>
        <w:spacing w:line="249" w:lineRule="auto" w:before="107"/>
        <w:ind w:left="5793" w:right="1" w:hanging="1316"/>
        <w:jc w:val="left"/>
        <w:rPr>
          <w:sz w:val="20"/>
        </w:rPr>
      </w:pPr>
      <w:r>
        <w:rPr>
          <w:spacing w:val="-4"/>
          <w:sz w:val="20"/>
        </w:rPr>
        <w:t>M86</w:t>
      </w:r>
      <w:r>
        <w:rPr>
          <w:sz w:val="20"/>
        </w:rPr>
        <w:tab/>
        <w:t>гнойно-некротические заболевания грудной</w:t>
      </w:r>
      <w:r>
        <w:rPr>
          <w:spacing w:val="-13"/>
          <w:sz w:val="20"/>
        </w:rPr>
        <w:t> </w:t>
      </w:r>
      <w:r>
        <w:rPr>
          <w:sz w:val="20"/>
        </w:rPr>
        <w:t>стенки</w:t>
      </w:r>
      <w:r>
        <w:rPr>
          <w:spacing w:val="-12"/>
          <w:sz w:val="20"/>
        </w:rPr>
        <w:t> </w:t>
      </w:r>
      <w:r>
        <w:rPr>
          <w:sz w:val="20"/>
        </w:rPr>
        <w:t>(остеомиелит</w:t>
      </w:r>
      <w:r>
        <w:rPr>
          <w:spacing w:val="-13"/>
          <w:sz w:val="20"/>
        </w:rPr>
        <w:t> </w:t>
      </w:r>
      <w:r>
        <w:rPr>
          <w:sz w:val="20"/>
        </w:rPr>
        <w:t>ребер, грудины), лучевые язвы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tabs>
          <w:tab w:pos="5792" w:val="left" w:leader="none"/>
        </w:tabs>
        <w:spacing w:before="0"/>
        <w:ind w:left="4208" w:right="0" w:firstLine="0"/>
        <w:jc w:val="left"/>
        <w:rPr>
          <w:sz w:val="20"/>
        </w:rPr>
      </w:pPr>
      <w:r>
        <w:rPr>
          <w:sz w:val="20"/>
        </w:rPr>
        <w:t>Q79.0,</w:t>
      </w:r>
      <w:r>
        <w:rPr>
          <w:spacing w:val="-5"/>
          <w:sz w:val="20"/>
        </w:rPr>
        <w:t> </w:t>
      </w:r>
      <w:r>
        <w:rPr>
          <w:spacing w:val="-5"/>
          <w:w w:val="95"/>
          <w:sz w:val="20"/>
        </w:rPr>
        <w:t>T91</w:t>
      </w:r>
      <w:r>
        <w:rPr>
          <w:sz w:val="20"/>
        </w:rPr>
        <w:tab/>
      </w:r>
      <w:r>
        <w:rPr>
          <w:w w:val="95"/>
          <w:sz w:val="20"/>
        </w:rPr>
        <w:t>врожденная</w:t>
      </w:r>
      <w:r>
        <w:rPr>
          <w:spacing w:val="47"/>
          <w:sz w:val="20"/>
        </w:rPr>
        <w:t> </w:t>
      </w:r>
      <w:r>
        <w:rPr>
          <w:w w:val="95"/>
          <w:sz w:val="20"/>
        </w:rPr>
        <w:t>диафрагмальная</w:t>
      </w:r>
      <w:r>
        <w:rPr>
          <w:spacing w:val="48"/>
          <w:sz w:val="20"/>
        </w:rPr>
        <w:t> </w:t>
      </w:r>
      <w:r>
        <w:rPr>
          <w:spacing w:val="-2"/>
          <w:w w:val="95"/>
          <w:sz w:val="20"/>
        </w:rPr>
        <w:t>грыжа,</w:t>
      </w:r>
    </w:p>
    <w:p>
      <w:pPr>
        <w:spacing w:line="249" w:lineRule="auto" w:before="10"/>
        <w:ind w:left="5793" w:right="1047" w:firstLine="0"/>
        <w:jc w:val="left"/>
        <w:rPr>
          <w:sz w:val="20"/>
        </w:rPr>
      </w:pPr>
      <w:r>
        <w:rPr>
          <w:spacing w:val="-2"/>
          <w:sz w:val="20"/>
        </w:rPr>
        <w:t>посттравматические </w:t>
      </w:r>
      <w:r>
        <w:rPr>
          <w:sz w:val="20"/>
        </w:rPr>
        <w:t>диафрагмальные</w:t>
      </w:r>
      <w:r>
        <w:rPr>
          <w:spacing w:val="-13"/>
          <w:sz w:val="20"/>
        </w:rPr>
        <w:t> </w:t>
      </w:r>
      <w:r>
        <w:rPr>
          <w:sz w:val="20"/>
        </w:rPr>
        <w:t>грыжи</w:t>
      </w:r>
    </w:p>
    <w:p>
      <w:pPr>
        <w:spacing w:line="247" w:lineRule="auto" w:before="107"/>
        <w:ind w:left="166"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0"/>
        </w:rPr>
      </w:pPr>
    </w:p>
    <w:p>
      <w:pPr>
        <w:spacing w:line="249" w:lineRule="auto" w:before="0"/>
        <w:ind w:left="166" w:right="0" w:firstLine="0"/>
        <w:jc w:val="left"/>
        <w:rPr>
          <w:sz w:val="20"/>
        </w:rPr>
      </w:pPr>
      <w:r>
        <w:rPr>
          <w:spacing w:val="-2"/>
          <w:sz w:val="20"/>
        </w:rPr>
        <w:t>хирургическое лечение</w:t>
      </w:r>
    </w:p>
    <w:p>
      <w:pPr>
        <w:spacing w:line="249" w:lineRule="auto" w:before="107"/>
        <w:ind w:left="178" w:right="1953" w:firstLine="0"/>
        <w:jc w:val="left"/>
        <w:rPr>
          <w:sz w:val="20"/>
        </w:rPr>
      </w:pPr>
      <w:r>
        <w:rPr/>
        <w:br w:type="column"/>
      </w:r>
      <w:r>
        <w:rPr>
          <w:sz w:val="20"/>
        </w:rPr>
        <w:t>резекция грудины и (или) ребер с восстановлением</w:t>
      </w:r>
      <w:r>
        <w:rPr>
          <w:spacing w:val="-10"/>
          <w:sz w:val="20"/>
        </w:rPr>
        <w:t> </w:t>
      </w:r>
      <w:r>
        <w:rPr>
          <w:sz w:val="20"/>
        </w:rPr>
        <w:t>каркаса</w:t>
      </w:r>
      <w:r>
        <w:rPr>
          <w:spacing w:val="-11"/>
          <w:sz w:val="20"/>
        </w:rPr>
        <w:t> </w:t>
      </w:r>
      <w:r>
        <w:rPr>
          <w:sz w:val="20"/>
        </w:rPr>
        <w:t>при</w:t>
      </w:r>
      <w:r>
        <w:rPr>
          <w:spacing w:val="-12"/>
          <w:sz w:val="20"/>
        </w:rPr>
        <w:t> </w:t>
      </w:r>
      <w:r>
        <w:rPr>
          <w:sz w:val="20"/>
        </w:rPr>
        <w:t>помощи металлоконструкций, синтетических </w:t>
      </w:r>
      <w:r>
        <w:rPr>
          <w:spacing w:val="-2"/>
          <w:sz w:val="20"/>
        </w:rPr>
        <w:t>материалов</w:t>
      </w:r>
    </w:p>
    <w:p>
      <w:pPr>
        <w:spacing w:line="249" w:lineRule="auto" w:before="104"/>
        <w:ind w:left="178" w:right="1953" w:firstLine="0"/>
        <w:jc w:val="left"/>
        <w:rPr>
          <w:sz w:val="20"/>
        </w:rPr>
      </w:pPr>
      <w:r>
        <w:rPr>
          <w:sz w:val="20"/>
        </w:rPr>
        <w:t>резекция грудной стенки, торакомиопластика,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использованием перемещенных мышечных лоскутов, микрохирургической техники и </w:t>
      </w:r>
      <w:r>
        <w:rPr>
          <w:spacing w:val="-2"/>
          <w:sz w:val="20"/>
        </w:rPr>
        <w:t>аллотрансплантатов</w:t>
      </w:r>
    </w:p>
    <w:p>
      <w:pPr>
        <w:spacing w:line="249" w:lineRule="auto" w:before="104"/>
        <w:ind w:left="178" w:right="1953" w:firstLine="0"/>
        <w:jc w:val="left"/>
        <w:rPr>
          <w:sz w:val="20"/>
        </w:rPr>
      </w:pPr>
      <w:r>
        <w:rPr>
          <w:sz w:val="20"/>
        </w:rPr>
        <w:t>пластика</w:t>
      </w:r>
      <w:r>
        <w:rPr>
          <w:spacing w:val="-13"/>
          <w:sz w:val="20"/>
        </w:rPr>
        <w:t> </w:t>
      </w:r>
      <w:r>
        <w:rPr>
          <w:sz w:val="20"/>
        </w:rPr>
        <w:t>диафрагмы</w:t>
      </w:r>
      <w:r>
        <w:rPr>
          <w:spacing w:val="-12"/>
          <w:sz w:val="20"/>
        </w:rPr>
        <w:t> </w:t>
      </w:r>
      <w:r>
        <w:rPr>
          <w:sz w:val="20"/>
        </w:rPr>
        <w:t>синтетическими </w:t>
      </w:r>
      <w:r>
        <w:rPr>
          <w:spacing w:val="-2"/>
          <w:sz w:val="20"/>
        </w:rPr>
        <w:t>материалами</w:t>
      </w:r>
    </w:p>
    <w:p>
      <w:pPr>
        <w:spacing w:after="0" w:line="249" w:lineRule="auto"/>
        <w:jc w:val="left"/>
        <w:rPr>
          <w:sz w:val="20"/>
        </w:rPr>
        <w:sectPr>
          <w:type w:val="continuous"/>
          <w:pgSz w:w="16850" w:h="11910" w:orient="landscape"/>
          <w:pgMar w:header="753" w:footer="0" w:top="1080" w:bottom="280" w:left="400" w:right="400"/>
          <w:cols w:num="3" w:equalWidth="0">
            <w:col w:w="8894" w:space="40"/>
            <w:col w:w="1423" w:space="39"/>
            <w:col w:w="5654"/>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1"/>
        <w:gridCol w:w="1587"/>
        <w:gridCol w:w="3518"/>
        <w:gridCol w:w="1468"/>
        <w:gridCol w:w="3721"/>
      </w:tblGrid>
      <w:tr>
        <w:trPr>
          <w:trHeight w:val="770" w:hRule="atLeast"/>
        </w:trPr>
        <w:tc>
          <w:tcPr>
            <w:tcW w:w="3011" w:type="dxa"/>
          </w:tcPr>
          <w:p>
            <w:pPr>
              <w:pStyle w:val="TableParagraph"/>
              <w:spacing w:line="249" w:lineRule="auto"/>
              <w:ind w:left="50"/>
              <w:rPr>
                <w:sz w:val="20"/>
              </w:rPr>
            </w:pPr>
            <w:r>
              <w:rPr>
                <w:sz w:val="20"/>
              </w:rPr>
              <w:t>Эндоскопические и эндоваскулярные</w:t>
            </w:r>
            <w:r>
              <w:rPr>
                <w:spacing w:val="-13"/>
                <w:sz w:val="20"/>
              </w:rPr>
              <w:t> </w:t>
            </w:r>
            <w:r>
              <w:rPr>
                <w:sz w:val="20"/>
              </w:rPr>
              <w:t>операции</w:t>
            </w:r>
            <w:r>
              <w:rPr>
                <w:spacing w:val="-12"/>
                <w:sz w:val="20"/>
              </w:rPr>
              <w:t> </w:t>
            </w:r>
            <w:r>
              <w:rPr>
                <w:sz w:val="20"/>
              </w:rPr>
              <w:t>на органах грудной полости</w:t>
            </w:r>
          </w:p>
        </w:tc>
        <w:tc>
          <w:tcPr>
            <w:tcW w:w="1587" w:type="dxa"/>
          </w:tcPr>
          <w:p>
            <w:pPr>
              <w:pStyle w:val="TableParagraph"/>
              <w:spacing w:line="221" w:lineRule="exact"/>
              <w:ind w:left="263" w:right="306"/>
              <w:jc w:val="center"/>
              <w:rPr>
                <w:sz w:val="20"/>
              </w:rPr>
            </w:pPr>
            <w:r>
              <w:rPr>
                <w:sz w:val="20"/>
              </w:rPr>
              <w:t>A15,</w:t>
            </w:r>
            <w:r>
              <w:rPr>
                <w:spacing w:val="-5"/>
                <w:sz w:val="20"/>
              </w:rPr>
              <w:t> A16</w:t>
            </w:r>
          </w:p>
        </w:tc>
        <w:tc>
          <w:tcPr>
            <w:tcW w:w="3518" w:type="dxa"/>
          </w:tcPr>
          <w:p>
            <w:pPr>
              <w:pStyle w:val="TableParagraph"/>
              <w:spacing w:line="221" w:lineRule="exact"/>
              <w:ind w:left="312"/>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8" w:type="dxa"/>
          </w:tcPr>
          <w:p>
            <w:pPr>
              <w:pStyle w:val="TableParagraph"/>
              <w:spacing w:line="249" w:lineRule="auto"/>
              <w:ind w:left="102"/>
              <w:rPr>
                <w:sz w:val="20"/>
              </w:rPr>
            </w:pPr>
            <w:r>
              <w:rPr>
                <w:spacing w:val="-2"/>
                <w:sz w:val="20"/>
              </w:rPr>
              <w:t>хирургическое лечение</w:t>
            </w:r>
          </w:p>
        </w:tc>
        <w:tc>
          <w:tcPr>
            <w:tcW w:w="3721" w:type="dxa"/>
          </w:tcPr>
          <w:p>
            <w:pPr>
              <w:pStyle w:val="TableParagraph"/>
              <w:spacing w:line="249" w:lineRule="auto"/>
              <w:ind w:left="108"/>
              <w:rPr>
                <w:sz w:val="20"/>
              </w:rPr>
            </w:pPr>
            <w:r>
              <w:rPr>
                <w:sz w:val="20"/>
              </w:rPr>
              <w:t>клапанная</w:t>
            </w:r>
            <w:r>
              <w:rPr>
                <w:spacing w:val="-10"/>
                <w:sz w:val="20"/>
              </w:rPr>
              <w:t> </w:t>
            </w:r>
            <w:r>
              <w:rPr>
                <w:sz w:val="20"/>
              </w:rPr>
              <w:t>бронхоблокация,</w:t>
            </w:r>
            <w:r>
              <w:rPr>
                <w:spacing w:val="-7"/>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в сочетании с коллапсохирургическими </w:t>
            </w:r>
            <w:r>
              <w:rPr>
                <w:spacing w:val="-2"/>
                <w:sz w:val="20"/>
              </w:rPr>
              <w:t>вмешательствами</w:t>
            </w:r>
          </w:p>
        </w:tc>
      </w:tr>
      <w:tr>
        <w:trPr>
          <w:trHeight w:val="600" w:hRule="atLeast"/>
        </w:trPr>
        <w:tc>
          <w:tcPr>
            <w:tcW w:w="3011" w:type="dxa"/>
          </w:tcPr>
          <w:p>
            <w:pPr>
              <w:pStyle w:val="TableParagraph"/>
              <w:rPr>
                <w:sz w:val="18"/>
              </w:rPr>
            </w:pPr>
          </w:p>
        </w:tc>
        <w:tc>
          <w:tcPr>
            <w:tcW w:w="1587" w:type="dxa"/>
          </w:tcPr>
          <w:p>
            <w:pPr>
              <w:pStyle w:val="TableParagraph"/>
              <w:spacing w:before="60"/>
              <w:ind w:left="266" w:right="301"/>
              <w:jc w:val="center"/>
              <w:rPr>
                <w:sz w:val="20"/>
              </w:rPr>
            </w:pPr>
            <w:r>
              <w:rPr>
                <w:spacing w:val="-4"/>
                <w:sz w:val="20"/>
              </w:rPr>
              <w:t>D02.1</w:t>
            </w:r>
          </w:p>
        </w:tc>
        <w:tc>
          <w:tcPr>
            <w:tcW w:w="3518" w:type="dxa"/>
          </w:tcPr>
          <w:p>
            <w:pPr>
              <w:pStyle w:val="TableParagraph"/>
              <w:spacing w:before="60"/>
              <w:ind w:left="312"/>
              <w:rPr>
                <w:sz w:val="20"/>
              </w:rPr>
            </w:pPr>
            <w:r>
              <w:rPr>
                <w:sz w:val="20"/>
              </w:rPr>
              <w:t>новообразование</w:t>
            </w:r>
            <w:r>
              <w:rPr>
                <w:spacing w:val="-9"/>
                <w:sz w:val="20"/>
              </w:rPr>
              <w:t> </w:t>
            </w:r>
            <w:r>
              <w:rPr>
                <w:sz w:val="20"/>
              </w:rPr>
              <w:t>трахеи</w:t>
            </w:r>
            <w:r>
              <w:rPr>
                <w:spacing w:val="-10"/>
                <w:sz w:val="20"/>
              </w:rPr>
              <w:t> </w:t>
            </w:r>
            <w:r>
              <w:rPr>
                <w:sz w:val="20"/>
              </w:rPr>
              <w:t>in</w:t>
            </w:r>
            <w:r>
              <w:rPr>
                <w:spacing w:val="-9"/>
                <w:sz w:val="20"/>
              </w:rPr>
              <w:t> </w:t>
            </w:r>
            <w:r>
              <w:rPr>
                <w:spacing w:val="-4"/>
                <w:sz w:val="20"/>
              </w:rPr>
              <w:t>situ</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pacing w:val="-2"/>
                <w:sz w:val="20"/>
              </w:rPr>
              <w:t>эндоскопическая фотодинамическая </w:t>
            </w:r>
            <w:r>
              <w:rPr>
                <w:sz w:val="20"/>
              </w:rPr>
              <w:t>терапия опухоли 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542"/>
              <w:rPr>
                <w:sz w:val="20"/>
              </w:rPr>
            </w:pPr>
            <w:r>
              <w:rPr>
                <w:sz w:val="20"/>
              </w:rPr>
              <w:t>эндоскопическая</w:t>
            </w:r>
            <w:r>
              <w:rPr>
                <w:spacing w:val="-13"/>
                <w:sz w:val="20"/>
              </w:rPr>
              <w:t> </w:t>
            </w:r>
            <w:r>
              <w:rPr>
                <w:sz w:val="20"/>
              </w:rPr>
              <w:t>аргоноплазменная коагуляция опухоли 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576"/>
              <w:rPr>
                <w:sz w:val="20"/>
              </w:rPr>
            </w:pPr>
            <w:r>
              <w:rPr>
                <w:sz w:val="20"/>
              </w:rPr>
              <w:t>эндоскопическая лазерная фотодеструкция</w:t>
            </w:r>
            <w:r>
              <w:rPr>
                <w:spacing w:val="-13"/>
                <w:sz w:val="20"/>
              </w:rPr>
              <w:t> </w:t>
            </w:r>
            <w:r>
              <w:rPr>
                <w:sz w:val="20"/>
              </w:rPr>
              <w:t>опухоли</w:t>
            </w:r>
            <w:r>
              <w:rPr>
                <w:spacing w:val="-12"/>
                <w:sz w:val="20"/>
              </w:rPr>
              <w:t> </w:t>
            </w:r>
            <w:r>
              <w:rPr>
                <w:sz w:val="20"/>
              </w:rPr>
              <w:t>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178"/>
              <w:rPr>
                <w:sz w:val="20"/>
              </w:rPr>
            </w:pPr>
            <w:r>
              <w:rPr>
                <w:sz w:val="20"/>
              </w:rPr>
              <w:t>эндоскопическое</w:t>
            </w:r>
            <w:r>
              <w:rPr>
                <w:spacing w:val="-13"/>
                <w:sz w:val="20"/>
              </w:rPr>
              <w:t> </w:t>
            </w:r>
            <w:r>
              <w:rPr>
                <w:sz w:val="20"/>
              </w:rPr>
              <w:t>электрохирургическое удаление опухоли 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52" w:lineRule="auto" w:before="60"/>
              <w:ind w:left="108" w:right="420"/>
              <w:rPr>
                <w:sz w:val="20"/>
              </w:rPr>
            </w:pPr>
            <w:r>
              <w:rPr>
                <w:sz w:val="20"/>
              </w:rPr>
              <w:t>эндопротезирование</w:t>
            </w:r>
            <w:r>
              <w:rPr>
                <w:spacing w:val="-13"/>
                <w:sz w:val="20"/>
              </w:rPr>
              <w:t> </w:t>
            </w:r>
            <w:r>
              <w:rPr>
                <w:sz w:val="20"/>
              </w:rPr>
              <w:t>(стентирование) </w:t>
            </w:r>
            <w:r>
              <w:rPr>
                <w:spacing w:val="-2"/>
                <w:sz w:val="20"/>
              </w:rPr>
              <w:t>трахеи</w:t>
            </w:r>
          </w:p>
        </w:tc>
      </w:tr>
      <w:tr>
        <w:trPr>
          <w:trHeight w:val="840" w:hRule="atLeast"/>
        </w:trPr>
        <w:tc>
          <w:tcPr>
            <w:tcW w:w="3011" w:type="dxa"/>
          </w:tcPr>
          <w:p>
            <w:pPr>
              <w:pStyle w:val="TableParagraph"/>
              <w:rPr>
                <w:sz w:val="18"/>
              </w:rPr>
            </w:pPr>
          </w:p>
        </w:tc>
        <w:tc>
          <w:tcPr>
            <w:tcW w:w="1587" w:type="dxa"/>
          </w:tcPr>
          <w:p>
            <w:pPr>
              <w:pStyle w:val="TableParagraph"/>
              <w:spacing w:before="60"/>
              <w:ind w:left="266" w:right="306"/>
              <w:jc w:val="center"/>
              <w:rPr>
                <w:sz w:val="20"/>
              </w:rPr>
            </w:pPr>
            <w:r>
              <w:rPr>
                <w:sz w:val="20"/>
              </w:rPr>
              <w:t>J95.5,</w:t>
            </w:r>
            <w:r>
              <w:rPr>
                <w:spacing w:val="-5"/>
                <w:sz w:val="20"/>
              </w:rPr>
              <w:t> </w:t>
            </w:r>
            <w:r>
              <w:rPr>
                <w:spacing w:val="-4"/>
                <w:sz w:val="20"/>
              </w:rPr>
              <w:t>T98.3</w:t>
            </w:r>
          </w:p>
        </w:tc>
        <w:tc>
          <w:tcPr>
            <w:tcW w:w="3518" w:type="dxa"/>
          </w:tcPr>
          <w:p>
            <w:pPr>
              <w:pStyle w:val="TableParagraph"/>
              <w:spacing w:before="60"/>
              <w:ind w:left="312"/>
              <w:rPr>
                <w:sz w:val="20"/>
              </w:rPr>
            </w:pPr>
            <w:r>
              <w:rPr>
                <w:sz w:val="20"/>
              </w:rPr>
              <w:t>рубцовый</w:t>
            </w:r>
            <w:r>
              <w:rPr>
                <w:spacing w:val="-8"/>
                <w:sz w:val="20"/>
              </w:rPr>
              <w:t> </w:t>
            </w:r>
            <w:r>
              <w:rPr>
                <w:sz w:val="20"/>
              </w:rPr>
              <w:t>стеноз</w:t>
            </w:r>
            <w:r>
              <w:rPr>
                <w:spacing w:val="-7"/>
                <w:sz w:val="20"/>
              </w:rPr>
              <w:t> </w:t>
            </w:r>
            <w:r>
              <w:rPr>
                <w:spacing w:val="-2"/>
                <w:sz w:val="20"/>
              </w:rPr>
              <w:t>трахеи</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z w:val="20"/>
              </w:rPr>
              <w:t>эндоскопическая реканализация трахеи: бужирование,</w:t>
            </w:r>
            <w:r>
              <w:rPr>
                <w:spacing w:val="-13"/>
                <w:sz w:val="20"/>
              </w:rPr>
              <w:t> </w:t>
            </w:r>
            <w:r>
              <w:rPr>
                <w:sz w:val="20"/>
              </w:rPr>
              <w:t>электрорезекция,</w:t>
            </w:r>
            <w:r>
              <w:rPr>
                <w:spacing w:val="-12"/>
                <w:sz w:val="20"/>
              </w:rPr>
              <w:t> </w:t>
            </w:r>
            <w:r>
              <w:rPr>
                <w:sz w:val="20"/>
              </w:rPr>
              <w:t>лазерная фотодеструкция, криодеструкция</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420"/>
              <w:rPr>
                <w:sz w:val="20"/>
              </w:rPr>
            </w:pPr>
            <w:r>
              <w:rPr>
                <w:sz w:val="20"/>
              </w:rPr>
              <w:t>эндопротезирование</w:t>
            </w:r>
            <w:r>
              <w:rPr>
                <w:spacing w:val="-13"/>
                <w:sz w:val="20"/>
              </w:rPr>
              <w:t> </w:t>
            </w:r>
            <w:r>
              <w:rPr>
                <w:sz w:val="20"/>
              </w:rPr>
              <w:t>(стентирование) </w:t>
            </w:r>
            <w:r>
              <w:rPr>
                <w:spacing w:val="-2"/>
                <w:sz w:val="20"/>
              </w:rPr>
              <w:t>трахеи</w:t>
            </w:r>
          </w:p>
        </w:tc>
      </w:tr>
      <w:tr>
        <w:trPr>
          <w:trHeight w:val="840" w:hRule="atLeast"/>
        </w:trPr>
        <w:tc>
          <w:tcPr>
            <w:tcW w:w="3011" w:type="dxa"/>
          </w:tcPr>
          <w:p>
            <w:pPr>
              <w:pStyle w:val="TableParagraph"/>
              <w:rPr>
                <w:sz w:val="18"/>
              </w:rPr>
            </w:pPr>
          </w:p>
        </w:tc>
        <w:tc>
          <w:tcPr>
            <w:tcW w:w="1587" w:type="dxa"/>
          </w:tcPr>
          <w:p>
            <w:pPr>
              <w:pStyle w:val="TableParagraph"/>
              <w:spacing w:before="60"/>
              <w:ind w:left="266" w:right="301"/>
              <w:jc w:val="center"/>
              <w:rPr>
                <w:sz w:val="20"/>
              </w:rPr>
            </w:pPr>
            <w:r>
              <w:rPr>
                <w:spacing w:val="-5"/>
                <w:sz w:val="20"/>
              </w:rPr>
              <w:t>J86</w:t>
            </w:r>
          </w:p>
        </w:tc>
        <w:tc>
          <w:tcPr>
            <w:tcW w:w="3518" w:type="dxa"/>
          </w:tcPr>
          <w:p>
            <w:pPr>
              <w:pStyle w:val="TableParagraph"/>
              <w:spacing w:line="249" w:lineRule="auto" w:before="60"/>
              <w:ind w:left="312"/>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z w:val="20"/>
              </w:rPr>
              <w:t>установка</w:t>
            </w:r>
            <w:r>
              <w:rPr>
                <w:spacing w:val="-13"/>
                <w:sz w:val="20"/>
              </w:rPr>
              <w:t> </w:t>
            </w:r>
            <w:r>
              <w:rPr>
                <w:sz w:val="20"/>
              </w:rPr>
              <w:t>эндобронхиальных</w:t>
            </w:r>
            <w:r>
              <w:rPr>
                <w:spacing w:val="-12"/>
                <w:sz w:val="20"/>
              </w:rPr>
              <w:t> </w:t>
            </w:r>
            <w:r>
              <w:rPr>
                <w:sz w:val="20"/>
              </w:rPr>
              <w:t>клапанов</w:t>
            </w:r>
            <w:r>
              <w:rPr>
                <w:spacing w:val="-13"/>
                <w:sz w:val="20"/>
              </w:rPr>
              <w:t> </w:t>
            </w:r>
            <w:r>
              <w:rPr>
                <w:sz w:val="20"/>
              </w:rPr>
              <w:t>с целью лечения эмпиемы плевры с бронхоплевральным свищом</w:t>
            </w:r>
          </w:p>
        </w:tc>
      </w:tr>
      <w:tr>
        <w:trPr>
          <w:trHeight w:val="600" w:hRule="atLeast"/>
        </w:trPr>
        <w:tc>
          <w:tcPr>
            <w:tcW w:w="3011" w:type="dxa"/>
          </w:tcPr>
          <w:p>
            <w:pPr>
              <w:pStyle w:val="TableParagraph"/>
              <w:rPr>
                <w:sz w:val="18"/>
              </w:rPr>
            </w:pPr>
          </w:p>
        </w:tc>
        <w:tc>
          <w:tcPr>
            <w:tcW w:w="1587" w:type="dxa"/>
          </w:tcPr>
          <w:p>
            <w:pPr>
              <w:pStyle w:val="TableParagraph"/>
              <w:spacing w:before="60"/>
              <w:ind w:left="266" w:right="301"/>
              <w:jc w:val="center"/>
              <w:rPr>
                <w:sz w:val="20"/>
              </w:rPr>
            </w:pPr>
            <w:r>
              <w:rPr>
                <w:spacing w:val="-5"/>
                <w:sz w:val="20"/>
              </w:rPr>
              <w:t>J43</w:t>
            </w:r>
          </w:p>
        </w:tc>
        <w:tc>
          <w:tcPr>
            <w:tcW w:w="3518" w:type="dxa"/>
          </w:tcPr>
          <w:p>
            <w:pPr>
              <w:pStyle w:val="TableParagraph"/>
              <w:spacing w:before="60"/>
              <w:ind w:left="312"/>
              <w:rPr>
                <w:sz w:val="20"/>
              </w:rPr>
            </w:pPr>
            <w:r>
              <w:rPr>
                <w:sz w:val="20"/>
              </w:rPr>
              <w:t>эмфизема</w:t>
            </w:r>
            <w:r>
              <w:rPr>
                <w:spacing w:val="-7"/>
                <w:sz w:val="20"/>
              </w:rPr>
              <w:t> </w:t>
            </w:r>
            <w:r>
              <w:rPr>
                <w:spacing w:val="-2"/>
                <w:sz w:val="20"/>
              </w:rPr>
              <w:t>легкого</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z w:val="20"/>
              </w:rPr>
              <w:t>установка</w:t>
            </w:r>
            <w:r>
              <w:rPr>
                <w:spacing w:val="-13"/>
                <w:sz w:val="20"/>
              </w:rPr>
              <w:t> </w:t>
            </w:r>
            <w:r>
              <w:rPr>
                <w:sz w:val="20"/>
              </w:rPr>
              <w:t>эндобронхиальных</w:t>
            </w:r>
            <w:r>
              <w:rPr>
                <w:spacing w:val="-12"/>
                <w:sz w:val="20"/>
              </w:rPr>
              <w:t> </w:t>
            </w:r>
            <w:r>
              <w:rPr>
                <w:sz w:val="20"/>
              </w:rPr>
              <w:t>клапанов</w:t>
            </w:r>
            <w:r>
              <w:rPr>
                <w:spacing w:val="-13"/>
                <w:sz w:val="20"/>
              </w:rPr>
              <w:t> </w:t>
            </w:r>
            <w:r>
              <w:rPr>
                <w:sz w:val="20"/>
              </w:rPr>
              <w:t>с целью редукции легочного объема</w:t>
            </w:r>
          </w:p>
        </w:tc>
      </w:tr>
      <w:tr>
        <w:trPr>
          <w:trHeight w:val="770" w:hRule="atLeast"/>
        </w:trPr>
        <w:tc>
          <w:tcPr>
            <w:tcW w:w="3011" w:type="dxa"/>
          </w:tcPr>
          <w:p>
            <w:pPr>
              <w:pStyle w:val="TableParagraph"/>
              <w:rPr>
                <w:sz w:val="18"/>
              </w:rPr>
            </w:pPr>
          </w:p>
        </w:tc>
        <w:tc>
          <w:tcPr>
            <w:tcW w:w="1587" w:type="dxa"/>
          </w:tcPr>
          <w:p>
            <w:pPr>
              <w:pStyle w:val="TableParagraph"/>
              <w:spacing w:before="60"/>
              <w:ind w:left="263" w:right="306"/>
              <w:jc w:val="center"/>
              <w:rPr>
                <w:sz w:val="20"/>
              </w:rPr>
            </w:pPr>
            <w:r>
              <w:rPr>
                <w:sz w:val="20"/>
              </w:rPr>
              <w:t>A15,</w:t>
            </w:r>
            <w:r>
              <w:rPr>
                <w:spacing w:val="-5"/>
                <w:sz w:val="20"/>
              </w:rPr>
              <w:t> A16</w:t>
            </w:r>
          </w:p>
        </w:tc>
        <w:tc>
          <w:tcPr>
            <w:tcW w:w="3518" w:type="dxa"/>
          </w:tcPr>
          <w:p>
            <w:pPr>
              <w:pStyle w:val="TableParagraph"/>
              <w:spacing w:before="60"/>
              <w:ind w:left="312"/>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0" w:lineRule="atLeast" w:before="30"/>
              <w:ind w:left="108" w:right="178"/>
              <w:rPr>
                <w:sz w:val="20"/>
              </w:rPr>
            </w:pPr>
            <w:r>
              <w:rPr>
                <w:sz w:val="20"/>
              </w:rPr>
              <w:t>эндоваскулярная окклюзия (эмболизация)</w:t>
            </w:r>
            <w:r>
              <w:rPr>
                <w:spacing w:val="-13"/>
                <w:sz w:val="20"/>
              </w:rPr>
              <w:t> </w:t>
            </w:r>
            <w:r>
              <w:rPr>
                <w:sz w:val="20"/>
              </w:rPr>
              <w:t>бронхиальных</w:t>
            </w:r>
            <w:r>
              <w:rPr>
                <w:spacing w:val="-12"/>
                <w:sz w:val="20"/>
              </w:rPr>
              <w:t> </w:t>
            </w:r>
            <w:r>
              <w:rPr>
                <w:sz w:val="20"/>
              </w:rPr>
              <w:t>артерий при легочных кровотечениях</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7"/>
        <w:gridCol w:w="1679"/>
        <w:gridCol w:w="3459"/>
        <w:gridCol w:w="1468"/>
        <w:gridCol w:w="3653"/>
      </w:tblGrid>
      <w:tr>
        <w:trPr>
          <w:trHeight w:val="770" w:hRule="atLeast"/>
        </w:trPr>
        <w:tc>
          <w:tcPr>
            <w:tcW w:w="2977" w:type="dxa"/>
          </w:tcPr>
          <w:p>
            <w:pPr>
              <w:pStyle w:val="TableParagraph"/>
              <w:rPr>
                <w:sz w:val="18"/>
              </w:rPr>
            </w:pPr>
          </w:p>
        </w:tc>
        <w:tc>
          <w:tcPr>
            <w:tcW w:w="1679" w:type="dxa"/>
          </w:tcPr>
          <w:p>
            <w:pPr>
              <w:pStyle w:val="TableParagraph"/>
              <w:spacing w:line="221" w:lineRule="exact"/>
              <w:ind w:left="182" w:right="241"/>
              <w:jc w:val="center"/>
              <w:rPr>
                <w:sz w:val="20"/>
              </w:rPr>
            </w:pPr>
            <w:r>
              <w:rPr>
                <w:spacing w:val="-5"/>
                <w:sz w:val="20"/>
              </w:rPr>
              <w:t>J47</w:t>
            </w:r>
          </w:p>
        </w:tc>
        <w:tc>
          <w:tcPr>
            <w:tcW w:w="3459" w:type="dxa"/>
          </w:tcPr>
          <w:p>
            <w:pPr>
              <w:pStyle w:val="TableParagraph"/>
              <w:spacing w:line="221" w:lineRule="exact"/>
              <w:ind w:left="255"/>
              <w:rPr>
                <w:sz w:val="20"/>
              </w:rPr>
            </w:pPr>
            <w:r>
              <w:rPr>
                <w:spacing w:val="-2"/>
                <w:sz w:val="20"/>
              </w:rPr>
              <w:t>бронхоэктазии</w:t>
            </w:r>
          </w:p>
        </w:tc>
        <w:tc>
          <w:tcPr>
            <w:tcW w:w="1468" w:type="dxa"/>
          </w:tcPr>
          <w:p>
            <w:pPr>
              <w:pStyle w:val="TableParagraph"/>
              <w:spacing w:line="249" w:lineRule="auto"/>
              <w:ind w:left="103"/>
              <w:rPr>
                <w:sz w:val="20"/>
              </w:rPr>
            </w:pPr>
            <w:r>
              <w:rPr>
                <w:spacing w:val="-2"/>
                <w:sz w:val="20"/>
              </w:rPr>
              <w:t>хирургическое лечение</w:t>
            </w:r>
          </w:p>
        </w:tc>
        <w:tc>
          <w:tcPr>
            <w:tcW w:w="3653" w:type="dxa"/>
          </w:tcPr>
          <w:p>
            <w:pPr>
              <w:pStyle w:val="TableParagraph"/>
              <w:spacing w:line="249" w:lineRule="auto"/>
              <w:ind w:left="109" w:right="73"/>
              <w:rPr>
                <w:sz w:val="20"/>
              </w:rPr>
            </w:pPr>
            <w:r>
              <w:rPr>
                <w:sz w:val="20"/>
              </w:rPr>
              <w:t>эндоваскулярная окклюзия (эмболизация)</w:t>
            </w:r>
            <w:r>
              <w:rPr>
                <w:spacing w:val="-13"/>
                <w:sz w:val="20"/>
              </w:rPr>
              <w:t> </w:t>
            </w:r>
            <w:r>
              <w:rPr>
                <w:sz w:val="20"/>
              </w:rPr>
              <w:t>бронхиальных</w:t>
            </w:r>
            <w:r>
              <w:rPr>
                <w:spacing w:val="-12"/>
                <w:sz w:val="20"/>
              </w:rPr>
              <w:t> </w:t>
            </w:r>
            <w:r>
              <w:rPr>
                <w:sz w:val="20"/>
              </w:rPr>
              <w:t>артерий при легочных кровотечениях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3"/>
              <w:jc w:val="center"/>
              <w:rPr>
                <w:sz w:val="20"/>
              </w:rPr>
            </w:pPr>
            <w:r>
              <w:rPr>
                <w:sz w:val="20"/>
              </w:rPr>
              <w:t>Q32,</w:t>
            </w:r>
            <w:r>
              <w:rPr>
                <w:spacing w:val="-2"/>
                <w:sz w:val="20"/>
              </w:rPr>
              <w:t> </w:t>
            </w:r>
            <w:r>
              <w:rPr>
                <w:sz w:val="20"/>
              </w:rPr>
              <w:t>Q33,</w:t>
            </w:r>
            <w:r>
              <w:rPr>
                <w:spacing w:val="-4"/>
                <w:sz w:val="20"/>
              </w:rPr>
              <w:t> </w:t>
            </w:r>
            <w:r>
              <w:rPr>
                <w:spacing w:val="-5"/>
                <w:sz w:val="20"/>
              </w:rPr>
              <w:t>Q34</w:t>
            </w:r>
          </w:p>
        </w:tc>
        <w:tc>
          <w:tcPr>
            <w:tcW w:w="3459" w:type="dxa"/>
          </w:tcPr>
          <w:p>
            <w:pPr>
              <w:pStyle w:val="TableParagraph"/>
              <w:spacing w:line="249" w:lineRule="auto" w:before="60"/>
              <w:ind w:left="255"/>
              <w:rPr>
                <w:sz w:val="20"/>
              </w:rPr>
            </w:pPr>
            <w:r>
              <w:rPr>
                <w:sz w:val="20"/>
              </w:rPr>
              <w:t>врожденные</w:t>
            </w:r>
            <w:r>
              <w:rPr>
                <w:spacing w:val="-13"/>
                <w:sz w:val="20"/>
              </w:rPr>
              <w:t> </w:t>
            </w:r>
            <w:r>
              <w:rPr>
                <w:sz w:val="20"/>
              </w:rPr>
              <w:t>аномалии</w:t>
            </w:r>
            <w:r>
              <w:rPr>
                <w:spacing w:val="-12"/>
                <w:sz w:val="20"/>
              </w:rPr>
              <w:t> </w:t>
            </w:r>
            <w:r>
              <w:rPr>
                <w:sz w:val="20"/>
              </w:rPr>
              <w:t>(пороки развития) органов дыхания</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эндоваскулярная</w:t>
            </w:r>
            <w:r>
              <w:rPr>
                <w:spacing w:val="-13"/>
                <w:sz w:val="20"/>
              </w:rPr>
              <w:t> </w:t>
            </w:r>
            <w:r>
              <w:rPr>
                <w:sz w:val="20"/>
              </w:rPr>
              <w:t>эмболизация</w:t>
            </w:r>
            <w:r>
              <w:rPr>
                <w:spacing w:val="-12"/>
                <w:sz w:val="20"/>
              </w:rPr>
              <w:t> </w:t>
            </w:r>
            <w:r>
              <w:rPr>
                <w:sz w:val="20"/>
              </w:rPr>
              <w:t>легочных артериовенозных фистул</w:t>
            </w:r>
          </w:p>
        </w:tc>
      </w:tr>
      <w:tr>
        <w:trPr>
          <w:trHeight w:val="840" w:hRule="atLeast"/>
        </w:trPr>
        <w:tc>
          <w:tcPr>
            <w:tcW w:w="2977" w:type="dxa"/>
          </w:tcPr>
          <w:p>
            <w:pPr>
              <w:pStyle w:val="TableParagraph"/>
              <w:rPr>
                <w:sz w:val="18"/>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line="249" w:lineRule="auto" w:before="60"/>
              <w:ind w:left="109" w:right="73"/>
              <w:rPr>
                <w:sz w:val="20"/>
              </w:rPr>
            </w:pPr>
            <w:r>
              <w:rPr>
                <w:sz w:val="20"/>
              </w:rPr>
              <w:t>катетеризация и эмболизация бронхиальных</w:t>
            </w:r>
            <w:r>
              <w:rPr>
                <w:spacing w:val="-13"/>
                <w:sz w:val="20"/>
              </w:rPr>
              <w:t> </w:t>
            </w:r>
            <w:r>
              <w:rPr>
                <w:sz w:val="20"/>
              </w:rPr>
              <w:t>артерий</w:t>
            </w:r>
            <w:r>
              <w:rPr>
                <w:spacing w:val="-12"/>
                <w:sz w:val="20"/>
              </w:rPr>
              <w:t> </w:t>
            </w:r>
            <w:r>
              <w:rPr>
                <w:sz w:val="20"/>
              </w:rPr>
              <w:t>при</w:t>
            </w:r>
            <w:r>
              <w:rPr>
                <w:spacing w:val="-13"/>
                <w:sz w:val="20"/>
              </w:rPr>
              <w:t> </w:t>
            </w:r>
            <w:r>
              <w:rPr>
                <w:sz w:val="20"/>
              </w:rPr>
              <w:t>легочных </w:t>
            </w:r>
            <w:r>
              <w:rPr>
                <w:spacing w:val="-2"/>
                <w:sz w:val="20"/>
              </w:rPr>
              <w:t>кровотечениях</w:t>
            </w:r>
          </w:p>
        </w:tc>
      </w:tr>
      <w:tr>
        <w:trPr>
          <w:trHeight w:val="600" w:hRule="atLeast"/>
        </w:trPr>
        <w:tc>
          <w:tcPr>
            <w:tcW w:w="2977" w:type="dxa"/>
            <w:vMerge w:val="restart"/>
          </w:tcPr>
          <w:p>
            <w:pPr>
              <w:pStyle w:val="TableParagraph"/>
              <w:spacing w:line="249" w:lineRule="auto" w:before="60"/>
              <w:ind w:left="50" w:right="9"/>
              <w:rPr>
                <w:sz w:val="20"/>
              </w:rPr>
            </w:pPr>
            <w:r>
              <w:rPr>
                <w:spacing w:val="-2"/>
                <w:sz w:val="20"/>
              </w:rPr>
              <w:t>Видеоторакоскопические </w:t>
            </w:r>
            <w:r>
              <w:rPr>
                <w:sz w:val="20"/>
              </w:rPr>
              <w:t>операции</w:t>
            </w:r>
            <w:r>
              <w:rPr>
                <w:spacing w:val="-13"/>
                <w:sz w:val="20"/>
              </w:rPr>
              <w:t> </w:t>
            </w:r>
            <w:r>
              <w:rPr>
                <w:sz w:val="20"/>
              </w:rPr>
              <w:t>на</w:t>
            </w:r>
            <w:r>
              <w:rPr>
                <w:spacing w:val="-12"/>
                <w:sz w:val="20"/>
              </w:rPr>
              <w:t> </w:t>
            </w:r>
            <w:r>
              <w:rPr>
                <w:sz w:val="20"/>
              </w:rPr>
              <w:t>органах</w:t>
            </w:r>
            <w:r>
              <w:rPr>
                <w:spacing w:val="-13"/>
                <w:sz w:val="20"/>
              </w:rPr>
              <w:t> </w:t>
            </w:r>
            <w:r>
              <w:rPr>
                <w:sz w:val="20"/>
              </w:rPr>
              <w:t>грудной </w:t>
            </w:r>
            <w:r>
              <w:rPr>
                <w:spacing w:val="-2"/>
                <w:sz w:val="20"/>
              </w:rPr>
              <w:t>полости</w:t>
            </w:r>
          </w:p>
        </w:tc>
        <w:tc>
          <w:tcPr>
            <w:tcW w:w="1679" w:type="dxa"/>
          </w:tcPr>
          <w:p>
            <w:pPr>
              <w:pStyle w:val="TableParagraph"/>
              <w:spacing w:before="60"/>
              <w:ind w:left="176" w:right="243"/>
              <w:jc w:val="center"/>
              <w:rPr>
                <w:sz w:val="20"/>
              </w:rPr>
            </w:pPr>
            <w:r>
              <w:rPr>
                <w:sz w:val="20"/>
              </w:rPr>
              <w:t>A15,</w:t>
            </w:r>
            <w:r>
              <w:rPr>
                <w:spacing w:val="-5"/>
                <w:sz w:val="20"/>
              </w:rPr>
              <w:t> A16</w:t>
            </w:r>
          </w:p>
        </w:tc>
        <w:tc>
          <w:tcPr>
            <w:tcW w:w="3459" w:type="dxa"/>
          </w:tcPr>
          <w:p>
            <w:pPr>
              <w:pStyle w:val="TableParagraph"/>
              <w:spacing w:before="60"/>
              <w:ind w:left="255"/>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360" w:hRule="atLeast"/>
        </w:trPr>
        <w:tc>
          <w:tcPr>
            <w:tcW w:w="2977" w:type="dxa"/>
            <w:vMerge/>
            <w:tcBorders>
              <w:top w:val="nil"/>
            </w:tcBorders>
          </w:tcPr>
          <w:p>
            <w:pPr>
              <w:rPr>
                <w:sz w:val="2"/>
                <w:szCs w:val="2"/>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before="60"/>
              <w:ind w:left="115" w:right="130"/>
              <w:jc w:val="center"/>
              <w:rPr>
                <w:sz w:val="20"/>
              </w:rPr>
            </w:pPr>
            <w:r>
              <w:rPr>
                <w:w w:val="95"/>
                <w:sz w:val="20"/>
              </w:rPr>
              <w:t>видеоассистированные</w:t>
            </w:r>
            <w:r>
              <w:rPr>
                <w:spacing w:val="51"/>
                <w:sz w:val="20"/>
              </w:rPr>
              <w:t> </w:t>
            </w:r>
            <w:r>
              <w:rPr>
                <w:w w:val="95"/>
                <w:sz w:val="20"/>
              </w:rPr>
              <w:t>резекции</w:t>
            </w:r>
            <w:r>
              <w:rPr>
                <w:spacing w:val="53"/>
                <w:sz w:val="20"/>
              </w:rPr>
              <w:t> </w:t>
            </w:r>
            <w:r>
              <w:rPr>
                <w:spacing w:val="-2"/>
                <w:w w:val="95"/>
                <w:sz w:val="20"/>
              </w:rPr>
              <w:t>легких</w:t>
            </w:r>
          </w:p>
        </w:tc>
      </w:tr>
      <w:tr>
        <w:trPr>
          <w:trHeight w:val="360" w:hRule="atLeast"/>
        </w:trPr>
        <w:tc>
          <w:tcPr>
            <w:tcW w:w="2977" w:type="dxa"/>
          </w:tcPr>
          <w:p>
            <w:pPr>
              <w:pStyle w:val="TableParagraph"/>
              <w:rPr>
                <w:sz w:val="18"/>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before="60"/>
              <w:ind w:left="109" w:right="141"/>
              <w:jc w:val="center"/>
              <w:rPr>
                <w:sz w:val="20"/>
              </w:rPr>
            </w:pPr>
            <w:r>
              <w:rPr>
                <w:w w:val="95"/>
                <w:sz w:val="20"/>
              </w:rPr>
              <w:t>видеоассистированная</w:t>
            </w:r>
            <w:r>
              <w:rPr>
                <w:spacing w:val="71"/>
                <w:sz w:val="20"/>
              </w:rPr>
              <w:t> </w:t>
            </w:r>
            <w:r>
              <w:rPr>
                <w:spacing w:val="-2"/>
                <w:sz w:val="20"/>
              </w:rPr>
              <w:t>пневмонэктомия</w:t>
            </w:r>
          </w:p>
        </w:tc>
      </w:tr>
      <w:tr>
        <w:trPr>
          <w:trHeight w:val="600" w:hRule="atLeast"/>
        </w:trPr>
        <w:tc>
          <w:tcPr>
            <w:tcW w:w="2977" w:type="dxa"/>
          </w:tcPr>
          <w:p>
            <w:pPr>
              <w:pStyle w:val="TableParagraph"/>
              <w:rPr>
                <w:sz w:val="18"/>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line="249" w:lineRule="auto" w:before="60"/>
              <w:ind w:left="109" w:right="73"/>
              <w:rPr>
                <w:sz w:val="20"/>
              </w:rPr>
            </w:pPr>
            <w:r>
              <w:rPr>
                <w:sz w:val="20"/>
              </w:rPr>
              <w:t>видеоассистированная</w:t>
            </w:r>
            <w:r>
              <w:rPr>
                <w:spacing w:val="-13"/>
                <w:sz w:val="20"/>
              </w:rPr>
              <w:t> </w:t>
            </w:r>
            <w:r>
              <w:rPr>
                <w:sz w:val="20"/>
              </w:rPr>
              <w:t>плеврэктомия</w:t>
            </w:r>
            <w:r>
              <w:rPr>
                <w:spacing w:val="-12"/>
                <w:sz w:val="20"/>
              </w:rPr>
              <w:t> </w:t>
            </w:r>
            <w:r>
              <w:rPr>
                <w:sz w:val="20"/>
              </w:rPr>
              <w:t>с декортикацией легкого</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3"/>
              <w:jc w:val="center"/>
              <w:rPr>
                <w:sz w:val="20"/>
              </w:rPr>
            </w:pPr>
            <w:r>
              <w:rPr>
                <w:sz w:val="20"/>
              </w:rPr>
              <w:t>Q32,</w:t>
            </w:r>
            <w:r>
              <w:rPr>
                <w:spacing w:val="-2"/>
                <w:sz w:val="20"/>
              </w:rPr>
              <w:t> </w:t>
            </w:r>
            <w:r>
              <w:rPr>
                <w:sz w:val="20"/>
              </w:rPr>
              <w:t>Q33,</w:t>
            </w:r>
            <w:r>
              <w:rPr>
                <w:spacing w:val="-4"/>
                <w:sz w:val="20"/>
              </w:rPr>
              <w:t> </w:t>
            </w:r>
            <w:r>
              <w:rPr>
                <w:spacing w:val="-5"/>
                <w:sz w:val="20"/>
              </w:rPr>
              <w:t>Q34</w:t>
            </w:r>
          </w:p>
        </w:tc>
        <w:tc>
          <w:tcPr>
            <w:tcW w:w="3459" w:type="dxa"/>
          </w:tcPr>
          <w:p>
            <w:pPr>
              <w:pStyle w:val="TableParagraph"/>
              <w:spacing w:line="249" w:lineRule="auto" w:before="60"/>
              <w:ind w:left="255"/>
              <w:rPr>
                <w:sz w:val="20"/>
              </w:rPr>
            </w:pPr>
            <w:r>
              <w:rPr>
                <w:sz w:val="20"/>
              </w:rPr>
              <w:t>врожденные</w:t>
            </w:r>
            <w:r>
              <w:rPr>
                <w:spacing w:val="-13"/>
                <w:sz w:val="20"/>
              </w:rPr>
              <w:t> </w:t>
            </w:r>
            <w:r>
              <w:rPr>
                <w:sz w:val="20"/>
              </w:rPr>
              <w:t>аномалии</w:t>
            </w:r>
            <w:r>
              <w:rPr>
                <w:spacing w:val="-12"/>
                <w:sz w:val="20"/>
              </w:rPr>
              <w:t> </w:t>
            </w:r>
            <w:r>
              <w:rPr>
                <w:sz w:val="20"/>
              </w:rPr>
              <w:t>(пороки развития) органов дыхания</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5"/>
                <w:sz w:val="20"/>
              </w:rPr>
              <w:t>J47</w:t>
            </w:r>
          </w:p>
        </w:tc>
        <w:tc>
          <w:tcPr>
            <w:tcW w:w="3459" w:type="dxa"/>
          </w:tcPr>
          <w:p>
            <w:pPr>
              <w:pStyle w:val="TableParagraph"/>
              <w:spacing w:before="60"/>
              <w:ind w:left="255"/>
              <w:rPr>
                <w:sz w:val="20"/>
              </w:rPr>
            </w:pPr>
            <w:r>
              <w:rPr>
                <w:spacing w:val="-2"/>
                <w:sz w:val="20"/>
              </w:rPr>
              <w:t>бронхоэктазии</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5"/>
                <w:sz w:val="20"/>
              </w:rPr>
              <w:t>J85</w:t>
            </w:r>
          </w:p>
        </w:tc>
        <w:tc>
          <w:tcPr>
            <w:tcW w:w="3459" w:type="dxa"/>
          </w:tcPr>
          <w:p>
            <w:pPr>
              <w:pStyle w:val="TableParagraph"/>
              <w:spacing w:before="60"/>
              <w:ind w:left="255"/>
              <w:rPr>
                <w:sz w:val="20"/>
              </w:rPr>
            </w:pPr>
            <w:r>
              <w:rPr>
                <w:sz w:val="20"/>
              </w:rPr>
              <w:t>абсцесс</w:t>
            </w:r>
            <w:r>
              <w:rPr>
                <w:spacing w:val="-8"/>
                <w:sz w:val="20"/>
              </w:rPr>
              <w:t> </w:t>
            </w:r>
            <w:r>
              <w:rPr>
                <w:spacing w:val="-2"/>
                <w:sz w:val="20"/>
              </w:rPr>
              <w:t>легкого</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2"/>
                <w:sz w:val="20"/>
              </w:rPr>
              <w:t>J94.8</w:t>
            </w:r>
          </w:p>
        </w:tc>
        <w:tc>
          <w:tcPr>
            <w:tcW w:w="3459" w:type="dxa"/>
          </w:tcPr>
          <w:p>
            <w:pPr>
              <w:pStyle w:val="TableParagraph"/>
              <w:spacing w:before="60"/>
              <w:ind w:left="255"/>
              <w:rPr>
                <w:sz w:val="20"/>
              </w:rPr>
            </w:pPr>
            <w:r>
              <w:rPr>
                <w:sz w:val="20"/>
              </w:rPr>
              <w:t>эмпиема</w:t>
            </w:r>
            <w:r>
              <w:rPr>
                <w:spacing w:val="-10"/>
                <w:sz w:val="20"/>
              </w:rPr>
              <w:t> </w:t>
            </w:r>
            <w:r>
              <w:rPr>
                <w:spacing w:val="-2"/>
                <w:sz w:val="20"/>
              </w:rPr>
              <w:t>плевры</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191"/>
              <w:rPr>
                <w:sz w:val="20"/>
              </w:rPr>
            </w:pPr>
            <w:r>
              <w:rPr>
                <w:sz w:val="20"/>
              </w:rPr>
              <w:t>видеоторакоскопическая</w:t>
            </w:r>
            <w:r>
              <w:rPr>
                <w:spacing w:val="-13"/>
                <w:sz w:val="20"/>
              </w:rPr>
              <w:t> </w:t>
            </w:r>
            <w:r>
              <w:rPr>
                <w:sz w:val="20"/>
              </w:rPr>
              <w:t>декортикация </w:t>
            </w:r>
            <w:r>
              <w:rPr>
                <w:spacing w:val="-2"/>
                <w:sz w:val="20"/>
              </w:rPr>
              <w:t>легкого</w:t>
            </w:r>
          </w:p>
        </w:tc>
      </w:tr>
      <w:tr>
        <w:trPr>
          <w:trHeight w:val="599" w:hRule="atLeast"/>
        </w:trPr>
        <w:tc>
          <w:tcPr>
            <w:tcW w:w="2977" w:type="dxa"/>
          </w:tcPr>
          <w:p>
            <w:pPr>
              <w:pStyle w:val="TableParagraph"/>
              <w:rPr>
                <w:sz w:val="18"/>
              </w:rPr>
            </w:pPr>
          </w:p>
        </w:tc>
        <w:tc>
          <w:tcPr>
            <w:tcW w:w="1679" w:type="dxa"/>
          </w:tcPr>
          <w:p>
            <w:pPr>
              <w:pStyle w:val="TableParagraph"/>
              <w:spacing w:before="60"/>
              <w:ind w:left="181" w:right="243"/>
              <w:jc w:val="center"/>
              <w:rPr>
                <w:sz w:val="20"/>
              </w:rPr>
            </w:pPr>
            <w:r>
              <w:rPr>
                <w:sz w:val="20"/>
              </w:rPr>
              <w:t>J85,</w:t>
            </w:r>
            <w:r>
              <w:rPr>
                <w:spacing w:val="-3"/>
                <w:sz w:val="20"/>
              </w:rPr>
              <w:t> </w:t>
            </w:r>
            <w:r>
              <w:rPr>
                <w:spacing w:val="-5"/>
                <w:sz w:val="20"/>
              </w:rPr>
              <w:t>J86</w:t>
            </w:r>
          </w:p>
        </w:tc>
        <w:tc>
          <w:tcPr>
            <w:tcW w:w="3459" w:type="dxa"/>
          </w:tcPr>
          <w:p>
            <w:pPr>
              <w:pStyle w:val="TableParagraph"/>
              <w:spacing w:line="249" w:lineRule="auto" w:before="60"/>
              <w:ind w:left="255"/>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Pr>
                <w:sz w:val="20"/>
              </w:rPr>
            </w:pPr>
            <w:r>
              <w:rPr>
                <w:sz w:val="20"/>
              </w:rPr>
              <w:t>видеоторакоскопическая</w:t>
            </w:r>
            <w:r>
              <w:rPr>
                <w:spacing w:val="-13"/>
                <w:sz w:val="20"/>
              </w:rPr>
              <w:t> </w:t>
            </w:r>
            <w:r>
              <w:rPr>
                <w:sz w:val="20"/>
              </w:rPr>
              <w:t>плеврэктомия</w:t>
            </w:r>
            <w:r>
              <w:rPr>
                <w:spacing w:val="-12"/>
                <w:sz w:val="20"/>
              </w:rPr>
              <w:t> </w:t>
            </w:r>
            <w:r>
              <w:rPr>
                <w:sz w:val="20"/>
              </w:rPr>
              <w:t>с декортикацией легкого</w:t>
            </w:r>
          </w:p>
        </w:tc>
      </w:tr>
      <w:tr>
        <w:trPr>
          <w:trHeight w:val="77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2"/>
                <w:sz w:val="20"/>
              </w:rPr>
              <w:t>J43.1</w:t>
            </w:r>
          </w:p>
        </w:tc>
        <w:tc>
          <w:tcPr>
            <w:tcW w:w="3459" w:type="dxa"/>
          </w:tcPr>
          <w:p>
            <w:pPr>
              <w:pStyle w:val="TableParagraph"/>
              <w:spacing w:before="60"/>
              <w:ind w:left="255"/>
              <w:rPr>
                <w:sz w:val="20"/>
              </w:rPr>
            </w:pPr>
            <w:r>
              <w:rPr>
                <w:sz w:val="20"/>
              </w:rPr>
              <w:t>панлобулярная</w:t>
            </w:r>
            <w:r>
              <w:rPr>
                <w:spacing w:val="-11"/>
                <w:sz w:val="20"/>
              </w:rPr>
              <w:t> </w:t>
            </w:r>
            <w:r>
              <w:rPr>
                <w:sz w:val="20"/>
              </w:rPr>
              <w:t>эмфизема</w:t>
            </w:r>
            <w:r>
              <w:rPr>
                <w:spacing w:val="-11"/>
                <w:sz w:val="20"/>
              </w:rPr>
              <w:t> </w:t>
            </w:r>
            <w:r>
              <w:rPr>
                <w:spacing w:val="-2"/>
                <w:sz w:val="20"/>
              </w:rPr>
              <w:t>легкого</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0" w:lineRule="atLeast" w:before="30"/>
              <w:ind w:left="109" w:right="92"/>
              <w:jc w:val="both"/>
              <w:rPr>
                <w:sz w:val="20"/>
              </w:rPr>
            </w:pPr>
            <w:r>
              <w:rPr>
                <w:sz w:val="20"/>
              </w:rPr>
              <w:t>видеоторакоскопическая</w:t>
            </w:r>
            <w:r>
              <w:rPr>
                <w:spacing w:val="-12"/>
                <w:sz w:val="20"/>
              </w:rPr>
              <w:t> </w:t>
            </w:r>
            <w:r>
              <w:rPr>
                <w:sz w:val="20"/>
              </w:rPr>
              <w:t>хирургическая редукция</w:t>
            </w:r>
            <w:r>
              <w:rPr>
                <w:spacing w:val="-11"/>
                <w:sz w:val="20"/>
              </w:rPr>
              <w:t> </w:t>
            </w:r>
            <w:r>
              <w:rPr>
                <w:sz w:val="20"/>
              </w:rPr>
              <w:t>объема</w:t>
            </w:r>
            <w:r>
              <w:rPr>
                <w:spacing w:val="-11"/>
                <w:sz w:val="20"/>
              </w:rPr>
              <w:t> </w:t>
            </w:r>
            <w:r>
              <w:rPr>
                <w:sz w:val="20"/>
              </w:rPr>
              <w:t>легких</w:t>
            </w:r>
            <w:r>
              <w:rPr>
                <w:spacing w:val="-11"/>
                <w:sz w:val="20"/>
              </w:rPr>
              <w:t> </w:t>
            </w:r>
            <w:r>
              <w:rPr>
                <w:sz w:val="20"/>
              </w:rPr>
              <w:t>при</w:t>
            </w:r>
            <w:r>
              <w:rPr>
                <w:spacing w:val="-10"/>
                <w:sz w:val="20"/>
              </w:rPr>
              <w:t> </w:t>
            </w:r>
            <w:r>
              <w:rPr>
                <w:sz w:val="20"/>
              </w:rPr>
              <w:t>диффузной </w:t>
            </w:r>
            <w:r>
              <w:rPr>
                <w:spacing w:val="-2"/>
                <w:sz w:val="20"/>
              </w:rPr>
              <w:t>эмфиземе</w:t>
            </w:r>
          </w:p>
        </w:tc>
      </w:tr>
    </w:tbl>
    <w:p>
      <w:pPr>
        <w:spacing w:after="0" w:line="240" w:lineRule="atLeast"/>
        <w:jc w:val="both"/>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line="249" w:lineRule="auto" w:before="91"/>
        <w:ind w:left="5793" w:right="454" w:hanging="1373"/>
        <w:jc w:val="left"/>
        <w:rPr>
          <w:sz w:val="20"/>
        </w:rPr>
      </w:pPr>
      <w:r>
        <w:rPr>
          <w:spacing w:val="-4"/>
          <w:sz w:val="20"/>
        </w:rPr>
        <w:t>D38.3</w:t>
      </w:r>
      <w:r>
        <w:rPr>
          <w:sz w:val="20"/>
        </w:rPr>
        <w:tab/>
        <w:t>неуточненные</w:t>
      </w:r>
      <w:r>
        <w:rPr>
          <w:spacing w:val="-13"/>
          <w:sz w:val="20"/>
        </w:rPr>
        <w:t> </w:t>
      </w:r>
      <w:r>
        <w:rPr>
          <w:sz w:val="20"/>
        </w:rPr>
        <w:t>новообразования </w:t>
      </w:r>
      <w:r>
        <w:rPr>
          <w:spacing w:val="-2"/>
          <w:sz w:val="20"/>
        </w:rPr>
        <w:t>средостения</w:t>
      </w:r>
    </w:p>
    <w:p>
      <w:pPr>
        <w:tabs>
          <w:tab w:pos="5792" w:val="left" w:leader="none"/>
        </w:tabs>
        <w:spacing w:line="252" w:lineRule="auto" w:before="121"/>
        <w:ind w:left="5793" w:right="454" w:hanging="1373"/>
        <w:jc w:val="left"/>
        <w:rPr>
          <w:sz w:val="20"/>
        </w:rPr>
      </w:pPr>
      <w:r>
        <w:rPr>
          <w:spacing w:val="-4"/>
          <w:sz w:val="20"/>
        </w:rPr>
        <w:t>D38.4</w:t>
      </w:r>
      <w:r>
        <w:rPr>
          <w:sz w:val="20"/>
        </w:rPr>
        <w:tab/>
        <w:t>неуточненные</w:t>
      </w:r>
      <w:r>
        <w:rPr>
          <w:spacing w:val="-13"/>
          <w:sz w:val="20"/>
        </w:rPr>
        <w:t> </w:t>
      </w:r>
      <w:r>
        <w:rPr>
          <w:sz w:val="20"/>
        </w:rPr>
        <w:t>новообразования вилочковой железы</w:t>
      </w:r>
    </w:p>
    <w:p>
      <w:pPr>
        <w:tabs>
          <w:tab w:pos="5792" w:val="left" w:leader="none"/>
        </w:tabs>
        <w:spacing w:line="249" w:lineRule="auto" w:before="118"/>
        <w:ind w:left="5793" w:right="0" w:hanging="1373"/>
        <w:jc w:val="left"/>
        <w:rPr>
          <w:sz w:val="20"/>
        </w:rPr>
      </w:pPr>
      <w:r>
        <w:rPr>
          <w:spacing w:val="-4"/>
          <w:sz w:val="20"/>
        </w:rPr>
        <w:t>D15.0</w:t>
      </w:r>
      <w:r>
        <w:rPr>
          <w:sz w:val="20"/>
        </w:rPr>
        <w:tab/>
      </w:r>
      <w:r>
        <w:rPr>
          <w:spacing w:val="-2"/>
          <w:sz w:val="20"/>
        </w:rPr>
        <w:t>доброкачественные новообразования </w:t>
      </w:r>
      <w:r>
        <w:rPr>
          <w:sz w:val="20"/>
        </w:rPr>
        <w:t>вилочковой железы</w:t>
      </w:r>
    </w:p>
    <w:p>
      <w:pPr>
        <w:tabs>
          <w:tab w:pos="5792" w:val="left" w:leader="none"/>
        </w:tabs>
        <w:spacing w:before="122"/>
        <w:ind w:left="4420" w:right="0" w:firstLine="0"/>
        <w:jc w:val="left"/>
        <w:rPr>
          <w:sz w:val="20"/>
        </w:rPr>
      </w:pPr>
      <w:r>
        <w:rPr>
          <w:spacing w:val="-4"/>
          <w:sz w:val="20"/>
        </w:rPr>
        <w:t>D15.2</w:t>
      </w:r>
      <w:r>
        <w:rPr>
          <w:sz w:val="20"/>
        </w:rPr>
        <w:tab/>
      </w:r>
      <w:r>
        <w:rPr>
          <w:w w:val="95"/>
          <w:sz w:val="20"/>
        </w:rPr>
        <w:t>доброкачественные</w:t>
      </w:r>
      <w:r>
        <w:rPr>
          <w:spacing w:val="66"/>
          <w:sz w:val="20"/>
        </w:rPr>
        <w:t> </w:t>
      </w:r>
      <w:r>
        <w:rPr>
          <w:spacing w:val="-2"/>
          <w:sz w:val="20"/>
        </w:rPr>
        <w:t>новообразования</w:t>
      </w:r>
    </w:p>
    <w:p>
      <w:pPr>
        <w:spacing w:before="10"/>
        <w:ind w:left="5793" w:right="0" w:firstLine="0"/>
        <w:jc w:val="left"/>
        <w:rPr>
          <w:sz w:val="20"/>
        </w:rPr>
      </w:pPr>
      <w:r>
        <w:rPr>
          <w:spacing w:val="-2"/>
          <w:sz w:val="20"/>
        </w:rPr>
        <w:t>средостения</w:t>
      </w:r>
    </w:p>
    <w:p>
      <w:pPr>
        <w:spacing w:line="249" w:lineRule="auto" w:before="91"/>
        <w:ind w:left="87" w:right="0" w:firstLine="0"/>
        <w:jc w:val="left"/>
        <w:rPr>
          <w:sz w:val="20"/>
        </w:rPr>
      </w:pPr>
      <w:r>
        <w:rPr/>
        <w:br w:type="column"/>
      </w:r>
      <w:r>
        <w:rPr>
          <w:spacing w:val="-2"/>
          <w:sz w:val="20"/>
        </w:rPr>
        <w:t>хирургическое лечение</w:t>
      </w:r>
    </w:p>
    <w:p>
      <w:pPr>
        <w:spacing w:line="249" w:lineRule="auto" w:before="91"/>
        <w:ind w:left="178" w:right="1951" w:firstLine="0"/>
        <w:jc w:val="left"/>
        <w:rPr>
          <w:sz w:val="20"/>
        </w:rPr>
      </w:pPr>
      <w:r>
        <w:rPr/>
        <w:br w:type="column"/>
      </w:r>
      <w:r>
        <w:rPr>
          <w:sz w:val="20"/>
        </w:rPr>
        <w:t>видеоторакоскопическое</w:t>
      </w:r>
      <w:r>
        <w:rPr>
          <w:spacing w:val="-13"/>
          <w:sz w:val="20"/>
        </w:rPr>
        <w:t> </w:t>
      </w:r>
      <w:r>
        <w:rPr>
          <w:sz w:val="20"/>
        </w:rPr>
        <w:t>удаление новообразования средостения, вилочковой железы</w:t>
      </w:r>
    </w:p>
    <w:p>
      <w:pPr>
        <w:spacing w:after="0" w:line="249" w:lineRule="auto"/>
        <w:jc w:val="left"/>
        <w:rPr>
          <w:sz w:val="20"/>
        </w:rPr>
        <w:sectPr>
          <w:type w:val="continuous"/>
          <w:pgSz w:w="16850" w:h="11910" w:orient="landscape"/>
          <w:pgMar w:header="753" w:footer="0" w:top="1080" w:bottom="280" w:left="400" w:right="400"/>
          <w:cols w:num="3" w:equalWidth="0">
            <w:col w:w="8974" w:space="40"/>
            <w:col w:w="1344" w:space="39"/>
            <w:col w:w="5653"/>
          </w:cols>
        </w:sectPr>
      </w:pPr>
    </w:p>
    <w:p>
      <w:pPr>
        <w:tabs>
          <w:tab w:pos="5792" w:val="left" w:leader="none"/>
          <w:tab w:pos="9100" w:val="left" w:leader="none"/>
        </w:tabs>
        <w:spacing w:line="249" w:lineRule="auto" w:before="130"/>
        <w:ind w:left="9100" w:right="0" w:hanging="4568"/>
        <w:jc w:val="left"/>
        <w:rPr>
          <w:sz w:val="20"/>
        </w:rPr>
      </w:pPr>
      <w:r>
        <w:rPr>
          <w:spacing w:val="-4"/>
          <w:sz w:val="20"/>
        </w:rPr>
        <w:t>I32</w:t>
      </w:r>
      <w:r>
        <w:rPr>
          <w:sz w:val="20"/>
        </w:rPr>
        <w:tab/>
      </w:r>
      <w:r>
        <w:rPr>
          <w:spacing w:val="-2"/>
          <w:sz w:val="20"/>
        </w:rPr>
        <w:t>перикардит</w:t>
      </w:r>
      <w:r>
        <w:rPr>
          <w:sz w:val="20"/>
        </w:rPr>
        <w:tab/>
      </w:r>
      <w:r>
        <w:rPr>
          <w:spacing w:val="-2"/>
          <w:sz w:val="20"/>
        </w:rPr>
        <w:t>хирургическое лечение</w:t>
      </w:r>
    </w:p>
    <w:p>
      <w:pPr>
        <w:spacing w:line="249" w:lineRule="auto" w:before="130"/>
        <w:ind w:left="178" w:right="2233" w:firstLine="0"/>
        <w:jc w:val="left"/>
        <w:rPr>
          <w:sz w:val="20"/>
        </w:rPr>
      </w:pPr>
      <w:r>
        <w:rPr/>
        <w:br w:type="column"/>
      </w:r>
      <w:r>
        <w:rPr>
          <w:spacing w:val="-2"/>
          <w:sz w:val="20"/>
        </w:rPr>
        <w:t>видеоторакоскопическая перикардэктомия</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tabs>
          <w:tab w:pos="5792" w:val="left" w:leader="none"/>
        </w:tabs>
        <w:spacing w:before="121"/>
        <w:ind w:left="4208" w:right="0" w:firstLine="0"/>
        <w:jc w:val="left"/>
        <w:rPr>
          <w:sz w:val="20"/>
        </w:rPr>
      </w:pPr>
      <w:r>
        <w:rPr>
          <w:sz w:val="20"/>
        </w:rPr>
        <w:t>Q79.0,</w:t>
      </w:r>
      <w:r>
        <w:rPr>
          <w:spacing w:val="-5"/>
          <w:sz w:val="20"/>
        </w:rPr>
        <w:t> </w:t>
      </w:r>
      <w:r>
        <w:rPr>
          <w:spacing w:val="-5"/>
          <w:w w:val="95"/>
          <w:sz w:val="20"/>
        </w:rPr>
        <w:t>T91</w:t>
      </w:r>
      <w:r>
        <w:rPr>
          <w:sz w:val="20"/>
        </w:rPr>
        <w:tab/>
      </w:r>
      <w:r>
        <w:rPr>
          <w:w w:val="95"/>
          <w:sz w:val="20"/>
        </w:rPr>
        <w:t>врожденная</w:t>
      </w:r>
      <w:r>
        <w:rPr>
          <w:spacing w:val="47"/>
          <w:sz w:val="20"/>
        </w:rPr>
        <w:t> </w:t>
      </w:r>
      <w:r>
        <w:rPr>
          <w:w w:val="95"/>
          <w:sz w:val="20"/>
        </w:rPr>
        <w:t>диафрагмальная</w:t>
      </w:r>
      <w:r>
        <w:rPr>
          <w:spacing w:val="48"/>
          <w:sz w:val="20"/>
        </w:rPr>
        <w:t> </w:t>
      </w:r>
      <w:r>
        <w:rPr>
          <w:spacing w:val="-2"/>
          <w:w w:val="95"/>
          <w:sz w:val="20"/>
        </w:rPr>
        <w:t>грыжа,</w:t>
      </w:r>
    </w:p>
    <w:p>
      <w:pPr>
        <w:spacing w:line="252" w:lineRule="auto" w:before="10"/>
        <w:ind w:left="5793" w:right="1047" w:firstLine="0"/>
        <w:jc w:val="left"/>
        <w:rPr>
          <w:sz w:val="20"/>
        </w:rPr>
      </w:pPr>
      <w:r>
        <w:rPr>
          <w:spacing w:val="-2"/>
          <w:sz w:val="20"/>
        </w:rPr>
        <w:t>посттравматические </w:t>
      </w:r>
      <w:r>
        <w:rPr>
          <w:sz w:val="20"/>
        </w:rPr>
        <w:t>диафрагмальные</w:t>
      </w:r>
      <w:r>
        <w:rPr>
          <w:spacing w:val="-13"/>
          <w:sz w:val="20"/>
        </w:rPr>
        <w:t> </w:t>
      </w:r>
      <w:r>
        <w:rPr>
          <w:sz w:val="20"/>
        </w:rPr>
        <w:t>грыжи</w:t>
      </w:r>
    </w:p>
    <w:p>
      <w:pPr>
        <w:spacing w:line="249" w:lineRule="auto" w:before="121"/>
        <w:ind w:left="166" w:right="0" w:firstLine="0"/>
        <w:jc w:val="left"/>
        <w:rPr>
          <w:sz w:val="20"/>
        </w:rPr>
      </w:pPr>
      <w:r>
        <w:rPr/>
        <w:br w:type="column"/>
      </w:r>
      <w:r>
        <w:rPr>
          <w:spacing w:val="-2"/>
          <w:sz w:val="20"/>
        </w:rPr>
        <w:t>хирургическое лечение</w:t>
      </w:r>
    </w:p>
    <w:p>
      <w:pPr>
        <w:spacing w:line="249" w:lineRule="auto" w:before="121"/>
        <w:ind w:left="178" w:right="1953" w:firstLine="0"/>
        <w:jc w:val="left"/>
        <w:rPr>
          <w:sz w:val="20"/>
        </w:rPr>
      </w:pPr>
      <w:r>
        <w:rPr/>
        <w:br w:type="column"/>
      </w:r>
      <w:r>
        <w:rPr>
          <w:sz w:val="20"/>
        </w:rPr>
        <w:t>видеоторакоскопическая</w:t>
      </w:r>
      <w:r>
        <w:rPr>
          <w:spacing w:val="-13"/>
          <w:sz w:val="20"/>
        </w:rPr>
        <w:t> </w:t>
      </w:r>
      <w:r>
        <w:rPr>
          <w:sz w:val="20"/>
        </w:rPr>
        <w:t>пликация </w:t>
      </w:r>
      <w:r>
        <w:rPr>
          <w:spacing w:val="-2"/>
          <w:sz w:val="20"/>
        </w:rPr>
        <w:t>диафрагмы</w:t>
      </w:r>
    </w:p>
    <w:p>
      <w:pPr>
        <w:spacing w:line="249" w:lineRule="auto" w:before="123"/>
        <w:ind w:left="178" w:right="1600" w:firstLine="0"/>
        <w:jc w:val="left"/>
        <w:rPr>
          <w:sz w:val="20"/>
        </w:rPr>
      </w:pPr>
      <w:r>
        <w:rPr>
          <w:sz w:val="20"/>
        </w:rPr>
        <w:t>видеоторакоскопическая пластика диафрагмы</w:t>
      </w:r>
      <w:r>
        <w:rPr>
          <w:spacing w:val="-13"/>
          <w:sz w:val="20"/>
        </w:rPr>
        <w:t> </w:t>
      </w:r>
      <w:r>
        <w:rPr>
          <w:sz w:val="20"/>
        </w:rPr>
        <w:t>синтетическими</w:t>
      </w:r>
      <w:r>
        <w:rPr>
          <w:spacing w:val="-12"/>
          <w:sz w:val="20"/>
        </w:rPr>
        <w:t> </w:t>
      </w:r>
      <w:r>
        <w:rPr>
          <w:sz w:val="20"/>
        </w:rPr>
        <w:t>материалами</w:t>
      </w:r>
    </w:p>
    <w:p>
      <w:pPr>
        <w:spacing w:after="0" w:line="249" w:lineRule="auto"/>
        <w:jc w:val="left"/>
        <w:rPr>
          <w:sz w:val="20"/>
        </w:rPr>
        <w:sectPr>
          <w:type w:val="continuous"/>
          <w:pgSz w:w="16850" w:h="11910" w:orient="landscape"/>
          <w:pgMar w:header="753" w:footer="0" w:top="1080" w:bottom="280" w:left="400" w:right="400"/>
          <w:cols w:num="3" w:equalWidth="0">
            <w:col w:w="8894" w:space="40"/>
            <w:col w:w="1423" w:space="39"/>
            <w:col w:w="5654"/>
          </w:cols>
        </w:sectPr>
      </w:pPr>
    </w:p>
    <w:p>
      <w:pPr>
        <w:spacing w:line="249" w:lineRule="auto" w:before="121"/>
        <w:ind w:left="931" w:right="38" w:firstLine="0"/>
        <w:jc w:val="left"/>
        <w:rPr>
          <w:sz w:val="20"/>
        </w:rPr>
      </w:pPr>
      <w:r>
        <w:rPr>
          <w:sz w:val="20"/>
        </w:rPr>
        <w:t>Расширенные и </w:t>
      </w:r>
      <w:r>
        <w:rPr>
          <w:spacing w:val="-2"/>
          <w:sz w:val="20"/>
        </w:rPr>
        <w:t>реконструктивно- </w:t>
      </w:r>
      <w:r>
        <w:rPr>
          <w:sz w:val="20"/>
        </w:rPr>
        <w:t>пластические</w:t>
      </w:r>
      <w:r>
        <w:rPr>
          <w:spacing w:val="-13"/>
          <w:sz w:val="20"/>
        </w:rPr>
        <w:t> </w:t>
      </w:r>
      <w:r>
        <w:rPr>
          <w:sz w:val="20"/>
        </w:rPr>
        <w:t>операции</w:t>
      </w:r>
      <w:r>
        <w:rPr>
          <w:spacing w:val="-12"/>
          <w:sz w:val="20"/>
        </w:rPr>
        <w:t> </w:t>
      </w:r>
      <w:r>
        <w:rPr>
          <w:sz w:val="20"/>
        </w:rPr>
        <w:t>на органах грудной полости</w:t>
      </w:r>
    </w:p>
    <w:p>
      <w:pPr>
        <w:tabs>
          <w:tab w:pos="2453" w:val="left" w:leader="none"/>
          <w:tab w:pos="5761" w:val="left" w:leader="none"/>
        </w:tabs>
        <w:spacing w:before="121"/>
        <w:ind w:left="931" w:right="0" w:firstLine="0"/>
        <w:jc w:val="left"/>
        <w:rPr>
          <w:sz w:val="20"/>
        </w:rPr>
      </w:pPr>
      <w:r>
        <w:rPr/>
        <w:br w:type="column"/>
      </w:r>
      <w:r>
        <w:rPr>
          <w:sz w:val="20"/>
        </w:rPr>
        <w:t>A15,</w:t>
      </w:r>
      <w:r>
        <w:rPr>
          <w:spacing w:val="-5"/>
          <w:sz w:val="20"/>
        </w:rPr>
        <w:t> A16</w:t>
      </w:r>
      <w:r>
        <w:rPr>
          <w:sz w:val="20"/>
        </w:rPr>
        <w:tab/>
        <w:t>туберкулез</w:t>
      </w:r>
      <w:r>
        <w:rPr>
          <w:spacing w:val="-10"/>
          <w:sz w:val="20"/>
        </w:rPr>
        <w:t> </w:t>
      </w:r>
      <w:r>
        <w:rPr>
          <w:sz w:val="20"/>
        </w:rPr>
        <w:t>органов</w:t>
      </w:r>
      <w:r>
        <w:rPr>
          <w:spacing w:val="-10"/>
          <w:sz w:val="20"/>
        </w:rPr>
        <w:t> </w:t>
      </w:r>
      <w:r>
        <w:rPr>
          <w:spacing w:val="-2"/>
          <w:sz w:val="20"/>
        </w:rPr>
        <w:t>дыхания</w:t>
      </w:r>
      <w:r>
        <w:rPr>
          <w:sz w:val="20"/>
        </w:rPr>
        <w:tab/>
      </w:r>
      <w:r>
        <w:rPr>
          <w:spacing w:val="-2"/>
          <w:sz w:val="20"/>
        </w:rPr>
        <w:t>хирургическое</w:t>
      </w:r>
    </w:p>
    <w:p>
      <w:pPr>
        <w:spacing w:before="10"/>
        <w:ind w:left="5761" w:right="0" w:firstLine="0"/>
        <w:jc w:val="left"/>
        <w:rPr>
          <w:sz w:val="20"/>
        </w:rPr>
      </w:pPr>
      <w:r>
        <w:rPr>
          <w:spacing w:val="-2"/>
          <w:sz w:val="20"/>
        </w:rPr>
        <w:t>лечение</w:t>
      </w:r>
    </w:p>
    <w:p>
      <w:pPr>
        <w:spacing w:line="249" w:lineRule="auto" w:before="121"/>
        <w:ind w:left="178" w:right="1951" w:firstLine="0"/>
        <w:jc w:val="left"/>
        <w:rPr>
          <w:sz w:val="20"/>
        </w:rPr>
      </w:pPr>
      <w:r>
        <w:rPr/>
        <w:br w:type="column"/>
      </w:r>
      <w:r>
        <w:rPr>
          <w:sz w:val="20"/>
        </w:rPr>
        <w:t>резекционные</w:t>
      </w:r>
      <w:r>
        <w:rPr>
          <w:spacing w:val="-13"/>
          <w:sz w:val="20"/>
        </w:rPr>
        <w:t> </w:t>
      </w:r>
      <w:r>
        <w:rPr>
          <w:sz w:val="20"/>
        </w:rPr>
        <w:t>и</w:t>
      </w:r>
      <w:r>
        <w:rPr>
          <w:spacing w:val="-12"/>
          <w:sz w:val="20"/>
        </w:rPr>
        <w:t> </w:t>
      </w:r>
      <w:r>
        <w:rPr>
          <w:sz w:val="20"/>
        </w:rPr>
        <w:t>коллапсохирургические операции легких у детей и подростков</w:t>
      </w:r>
    </w:p>
    <w:p>
      <w:pPr>
        <w:spacing w:line="249" w:lineRule="auto" w:before="122"/>
        <w:ind w:left="178" w:right="1951" w:firstLine="0"/>
        <w:jc w:val="left"/>
        <w:rPr>
          <w:sz w:val="20"/>
        </w:rPr>
      </w:pPr>
      <w:r>
        <w:rPr>
          <w:sz w:val="20"/>
        </w:rPr>
        <w:t>двусторонняя</w:t>
      </w:r>
      <w:r>
        <w:rPr>
          <w:spacing w:val="-13"/>
          <w:sz w:val="20"/>
        </w:rPr>
        <w:t> </w:t>
      </w:r>
      <w:r>
        <w:rPr>
          <w:sz w:val="20"/>
        </w:rPr>
        <w:t>одномоментная</w:t>
      </w:r>
      <w:r>
        <w:rPr>
          <w:spacing w:val="-12"/>
          <w:sz w:val="20"/>
        </w:rPr>
        <w:t> </w:t>
      </w:r>
      <w:r>
        <w:rPr>
          <w:sz w:val="20"/>
        </w:rPr>
        <w:t>резекция </w:t>
      </w:r>
      <w:r>
        <w:rPr>
          <w:spacing w:val="-2"/>
          <w:sz w:val="20"/>
        </w:rPr>
        <w:t>легких</w:t>
      </w:r>
    </w:p>
    <w:p>
      <w:pPr>
        <w:spacing w:line="249" w:lineRule="auto" w:before="121"/>
        <w:ind w:left="178" w:right="1951" w:firstLine="0"/>
        <w:jc w:val="left"/>
        <w:rPr>
          <w:sz w:val="20"/>
        </w:rPr>
      </w:pPr>
      <w:r>
        <w:rPr>
          <w:sz w:val="20"/>
        </w:rPr>
        <w:t>плеврэктомия</w:t>
      </w:r>
      <w:r>
        <w:rPr>
          <w:spacing w:val="-13"/>
          <w:sz w:val="20"/>
        </w:rPr>
        <w:t> </w:t>
      </w:r>
      <w:r>
        <w:rPr>
          <w:sz w:val="20"/>
        </w:rPr>
        <w:t>с</w:t>
      </w:r>
      <w:r>
        <w:rPr>
          <w:spacing w:val="-11"/>
          <w:sz w:val="20"/>
        </w:rPr>
        <w:t> </w:t>
      </w:r>
      <w:r>
        <w:rPr>
          <w:sz w:val="20"/>
        </w:rPr>
        <w:t>декортикацией</w:t>
      </w:r>
      <w:r>
        <w:rPr>
          <w:spacing w:val="-10"/>
          <w:sz w:val="20"/>
        </w:rPr>
        <w:t> </w:t>
      </w:r>
      <w:r>
        <w:rPr>
          <w:sz w:val="20"/>
        </w:rPr>
        <w:t>легкого при эмпиеме плевры туберкулезной </w:t>
      </w:r>
      <w:r>
        <w:rPr>
          <w:spacing w:val="-2"/>
          <w:sz w:val="20"/>
        </w:rPr>
        <w:t>этитологии</w:t>
      </w:r>
    </w:p>
    <w:p>
      <w:pPr>
        <w:spacing w:line="249" w:lineRule="auto" w:before="123"/>
        <w:ind w:left="178" w:right="1951" w:firstLine="0"/>
        <w:jc w:val="left"/>
        <w:rPr>
          <w:sz w:val="20"/>
        </w:rPr>
      </w:pPr>
      <w:r>
        <w:rPr>
          <w:sz w:val="20"/>
        </w:rPr>
        <w:t>пневмонэктомия и </w:t>
      </w:r>
      <w:r>
        <w:rPr>
          <w:spacing w:val="-2"/>
          <w:sz w:val="20"/>
        </w:rPr>
        <w:t>плевропневмонэктомия</w:t>
      </w:r>
    </w:p>
    <w:p>
      <w:pPr>
        <w:spacing w:after="0" w:line="249" w:lineRule="auto"/>
        <w:jc w:val="left"/>
        <w:rPr>
          <w:sz w:val="20"/>
        </w:rPr>
        <w:sectPr>
          <w:type w:val="continuous"/>
          <w:pgSz w:w="16850" w:h="11910" w:orient="landscape"/>
          <w:pgMar w:header="753" w:footer="0" w:top="1080" w:bottom="280" w:left="400" w:right="400"/>
          <w:cols w:num="3" w:equalWidth="0">
            <w:col w:w="3219" w:space="120"/>
            <w:col w:w="7018" w:space="40"/>
            <w:col w:w="5653"/>
          </w:cols>
        </w:sectPr>
      </w:pPr>
    </w:p>
    <w:p>
      <w:pPr>
        <w:tabs>
          <w:tab w:pos="5792" w:val="left" w:leader="none"/>
        </w:tabs>
        <w:spacing w:line="249" w:lineRule="auto" w:before="122"/>
        <w:ind w:left="5793" w:right="0" w:hanging="1299"/>
        <w:jc w:val="left"/>
        <w:rPr>
          <w:sz w:val="20"/>
        </w:rPr>
      </w:pPr>
      <w:r>
        <w:rPr>
          <w:spacing w:val="-4"/>
          <w:sz w:val="20"/>
        </w:rPr>
        <w:t>Q39</w:t>
      </w:r>
      <w:r>
        <w:rPr>
          <w:sz w:val="20"/>
        </w:rPr>
        <w:tab/>
        <w:t>врожденные</w:t>
      </w:r>
      <w:r>
        <w:rPr>
          <w:spacing w:val="-13"/>
          <w:sz w:val="20"/>
        </w:rPr>
        <w:t> </w:t>
      </w:r>
      <w:r>
        <w:rPr>
          <w:sz w:val="20"/>
        </w:rPr>
        <w:t>аномалии</w:t>
      </w:r>
      <w:r>
        <w:rPr>
          <w:spacing w:val="-12"/>
          <w:sz w:val="20"/>
        </w:rPr>
        <w:t> </w:t>
      </w:r>
      <w:r>
        <w:rPr>
          <w:sz w:val="20"/>
        </w:rPr>
        <w:t>(пороки развития) пищевода</w:t>
      </w:r>
    </w:p>
    <w:p>
      <w:pPr>
        <w:spacing w:line="249" w:lineRule="auto" w:before="122"/>
        <w:ind w:left="607" w:right="0" w:firstLine="0"/>
        <w:jc w:val="left"/>
        <w:rPr>
          <w:sz w:val="20"/>
        </w:rPr>
      </w:pPr>
      <w:r>
        <w:rPr/>
        <w:br w:type="column"/>
      </w:r>
      <w:r>
        <w:rPr>
          <w:spacing w:val="-2"/>
          <w:sz w:val="20"/>
        </w:rPr>
        <w:t>хирургическое лечение</w:t>
      </w:r>
    </w:p>
    <w:p>
      <w:pPr>
        <w:spacing w:line="249" w:lineRule="auto" w:before="122"/>
        <w:ind w:left="178" w:right="1951" w:firstLine="0"/>
        <w:jc w:val="left"/>
        <w:rPr>
          <w:sz w:val="20"/>
        </w:rPr>
      </w:pPr>
      <w:r>
        <w:rPr/>
        <w:br w:type="column"/>
      </w:r>
      <w:r>
        <w:rPr>
          <w:sz w:val="20"/>
        </w:rPr>
        <w:t>реконструктивные операции на пищеводе,</w:t>
      </w:r>
      <w:r>
        <w:rPr>
          <w:spacing w:val="-8"/>
          <w:sz w:val="20"/>
        </w:rPr>
        <w:t> </w:t>
      </w:r>
      <w:r>
        <w:rPr>
          <w:sz w:val="20"/>
        </w:rPr>
        <w:t>в</w:t>
      </w:r>
      <w:r>
        <w:rPr>
          <w:spacing w:val="-8"/>
          <w:sz w:val="20"/>
        </w:rPr>
        <w:t> </w:t>
      </w:r>
      <w:r>
        <w:rPr>
          <w:sz w:val="20"/>
        </w:rPr>
        <w:t>том</w:t>
      </w:r>
      <w:r>
        <w:rPr>
          <w:spacing w:val="-7"/>
          <w:sz w:val="20"/>
        </w:rPr>
        <w:t> </w:t>
      </w:r>
      <w:r>
        <w:rPr>
          <w:sz w:val="20"/>
        </w:rPr>
        <w:t>числе</w:t>
      </w:r>
      <w:r>
        <w:rPr>
          <w:spacing w:val="-8"/>
          <w:sz w:val="20"/>
        </w:rPr>
        <w:t> </w:t>
      </w:r>
      <w:r>
        <w:rPr>
          <w:sz w:val="20"/>
        </w:rPr>
        <w:t>с</w:t>
      </w:r>
      <w:r>
        <w:rPr>
          <w:spacing w:val="-5"/>
          <w:sz w:val="20"/>
        </w:rPr>
        <w:t> </w:t>
      </w:r>
      <w:r>
        <w:rPr>
          <w:sz w:val="20"/>
        </w:rPr>
        <w:t>применением микрохирургической техники</w:t>
      </w:r>
    </w:p>
    <w:p>
      <w:pPr>
        <w:spacing w:after="0" w:line="249" w:lineRule="auto"/>
        <w:jc w:val="left"/>
        <w:rPr>
          <w:sz w:val="20"/>
        </w:rPr>
        <w:sectPr>
          <w:type w:val="continuous"/>
          <w:pgSz w:w="16850" w:h="11910" w:orient="landscape"/>
          <w:pgMar w:header="753" w:footer="0" w:top="1080" w:bottom="280" w:left="400" w:right="400"/>
          <w:cols w:num="3" w:equalWidth="0">
            <w:col w:w="8454" w:space="40"/>
            <w:col w:w="1864"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4"/>
        <w:gridCol w:w="3343"/>
        <w:gridCol w:w="1463"/>
        <w:gridCol w:w="3698"/>
      </w:tblGrid>
      <w:tr>
        <w:trPr>
          <w:trHeight w:val="530" w:hRule="atLeast"/>
        </w:trPr>
        <w:tc>
          <w:tcPr>
            <w:tcW w:w="1914" w:type="dxa"/>
          </w:tcPr>
          <w:p>
            <w:pPr>
              <w:pStyle w:val="TableParagraph"/>
              <w:spacing w:line="221" w:lineRule="exact"/>
              <w:ind w:left="411" w:right="487"/>
              <w:jc w:val="center"/>
              <w:rPr>
                <w:sz w:val="20"/>
              </w:rPr>
            </w:pPr>
            <w:r>
              <w:rPr>
                <w:spacing w:val="-5"/>
                <w:sz w:val="20"/>
              </w:rPr>
              <w:t>C33</w:t>
            </w:r>
          </w:p>
        </w:tc>
        <w:tc>
          <w:tcPr>
            <w:tcW w:w="3343" w:type="dxa"/>
          </w:tcPr>
          <w:p>
            <w:pPr>
              <w:pStyle w:val="TableParagraph"/>
              <w:spacing w:line="221" w:lineRule="exact"/>
              <w:ind w:left="130"/>
              <w:rPr>
                <w:sz w:val="20"/>
              </w:rPr>
            </w:pPr>
            <w:r>
              <w:rPr>
                <w:w w:val="95"/>
                <w:sz w:val="20"/>
              </w:rPr>
              <w:t>новообразование</w:t>
            </w:r>
            <w:r>
              <w:rPr>
                <w:spacing w:val="52"/>
                <w:sz w:val="20"/>
              </w:rPr>
              <w:t> </w:t>
            </w:r>
            <w:r>
              <w:rPr>
                <w:spacing w:val="-2"/>
                <w:sz w:val="20"/>
              </w:rPr>
              <w:t>трахеи</w:t>
            </w:r>
          </w:p>
        </w:tc>
        <w:tc>
          <w:tcPr>
            <w:tcW w:w="1463" w:type="dxa"/>
          </w:tcPr>
          <w:p>
            <w:pPr>
              <w:pStyle w:val="TableParagraph"/>
              <w:spacing w:line="249" w:lineRule="auto"/>
              <w:ind w:left="95"/>
              <w:rPr>
                <w:sz w:val="20"/>
              </w:rPr>
            </w:pPr>
            <w:r>
              <w:rPr>
                <w:spacing w:val="-2"/>
                <w:sz w:val="20"/>
              </w:rPr>
              <w:t>хирургическое лечение</w:t>
            </w:r>
          </w:p>
        </w:tc>
        <w:tc>
          <w:tcPr>
            <w:tcW w:w="3698" w:type="dxa"/>
          </w:tcPr>
          <w:p>
            <w:pPr>
              <w:pStyle w:val="TableParagraph"/>
              <w:spacing w:line="249" w:lineRule="auto"/>
              <w:ind w:left="106"/>
              <w:rPr>
                <w:sz w:val="20"/>
              </w:rPr>
            </w:pPr>
            <w:r>
              <w:rPr>
                <w:sz w:val="20"/>
              </w:rPr>
              <w:t>циркулярные</w:t>
            </w:r>
            <w:r>
              <w:rPr>
                <w:spacing w:val="-13"/>
                <w:sz w:val="20"/>
              </w:rPr>
              <w:t> </w:t>
            </w:r>
            <w:r>
              <w:rPr>
                <w:sz w:val="20"/>
              </w:rPr>
              <w:t>резекции</w:t>
            </w:r>
            <w:r>
              <w:rPr>
                <w:spacing w:val="-12"/>
                <w:sz w:val="20"/>
              </w:rPr>
              <w:t> </w:t>
            </w:r>
            <w:r>
              <w:rPr>
                <w:sz w:val="20"/>
              </w:rPr>
              <w:t>трахеи</w:t>
            </w:r>
            <w:r>
              <w:rPr>
                <w:spacing w:val="-13"/>
                <w:sz w:val="20"/>
              </w:rPr>
              <w:t> </w:t>
            </w:r>
            <w:r>
              <w:rPr>
                <w:sz w:val="20"/>
              </w:rPr>
              <w:t>торцевой </w:t>
            </w:r>
            <w:r>
              <w:rPr>
                <w:spacing w:val="-2"/>
                <w:sz w:val="20"/>
              </w:rPr>
              <w:t>трахеостомией</w:t>
            </w:r>
          </w:p>
        </w:tc>
      </w:tr>
      <w:tr>
        <w:trPr>
          <w:trHeight w:val="84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ight="56"/>
              <w:jc w:val="both"/>
              <w:rPr>
                <w:sz w:val="20"/>
              </w:rPr>
            </w:pPr>
            <w:r>
              <w:rPr>
                <w:sz w:val="20"/>
              </w:rPr>
              <w:t>реконструктивно-пластические</w:t>
            </w:r>
            <w:r>
              <w:rPr>
                <w:spacing w:val="-13"/>
                <w:sz w:val="20"/>
              </w:rPr>
              <w:t> </w:t>
            </w:r>
            <w:r>
              <w:rPr>
                <w:sz w:val="20"/>
              </w:rPr>
              <w:t>операции на</w:t>
            </w:r>
            <w:r>
              <w:rPr>
                <w:spacing w:val="-3"/>
                <w:sz w:val="20"/>
              </w:rPr>
              <w:t> </w:t>
            </w:r>
            <w:r>
              <w:rPr>
                <w:sz w:val="20"/>
              </w:rPr>
              <w:t>трахее и</w:t>
            </w:r>
            <w:r>
              <w:rPr>
                <w:spacing w:val="-4"/>
                <w:sz w:val="20"/>
              </w:rPr>
              <w:t> </w:t>
            </w:r>
            <w:r>
              <w:rPr>
                <w:sz w:val="20"/>
              </w:rPr>
              <w:t>ее</w:t>
            </w:r>
            <w:r>
              <w:rPr>
                <w:spacing w:val="-3"/>
                <w:sz w:val="20"/>
              </w:rPr>
              <w:t> </w:t>
            </w:r>
            <w:r>
              <w:rPr>
                <w:sz w:val="20"/>
              </w:rPr>
              <w:t>бифуркации,</w:t>
            </w:r>
            <w:r>
              <w:rPr>
                <w:spacing w:val="-1"/>
                <w:sz w:val="20"/>
              </w:rPr>
              <w:t> </w:t>
            </w:r>
            <w:r>
              <w:rPr>
                <w:sz w:val="20"/>
              </w:rPr>
              <w:t>в</w:t>
            </w:r>
            <w:r>
              <w:rPr>
                <w:spacing w:val="-4"/>
                <w:sz w:val="20"/>
              </w:rPr>
              <w:t> </w:t>
            </w:r>
            <w:r>
              <w:rPr>
                <w:sz w:val="20"/>
              </w:rPr>
              <w:t>том</w:t>
            </w:r>
            <w:r>
              <w:rPr>
                <w:spacing w:val="-2"/>
                <w:sz w:val="20"/>
              </w:rPr>
              <w:t> </w:t>
            </w:r>
            <w:r>
              <w:rPr>
                <w:sz w:val="20"/>
              </w:rPr>
              <w:t>числе</w:t>
            </w:r>
            <w:r>
              <w:rPr>
                <w:spacing w:val="-3"/>
                <w:sz w:val="20"/>
              </w:rPr>
              <w:t> </w:t>
            </w:r>
            <w:r>
              <w:rPr>
                <w:sz w:val="20"/>
              </w:rPr>
              <w:t>с резекцией легкого и пневмонэктомией</w:t>
            </w:r>
          </w:p>
        </w:tc>
      </w:tr>
      <w:tr>
        <w:trPr>
          <w:trHeight w:val="84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Pr>
                <w:sz w:val="20"/>
              </w:rPr>
            </w:pPr>
            <w:r>
              <w:rPr>
                <w:sz w:val="20"/>
              </w:rPr>
              <w:t>циркулярная резекция трахеи с формированием</w:t>
            </w:r>
            <w:r>
              <w:rPr>
                <w:spacing w:val="-13"/>
                <w:sz w:val="20"/>
              </w:rPr>
              <w:t> </w:t>
            </w:r>
            <w:r>
              <w:rPr>
                <w:sz w:val="20"/>
              </w:rPr>
              <w:t>межтрахеального</w:t>
            </w:r>
            <w:r>
              <w:rPr>
                <w:spacing w:val="-12"/>
                <w:sz w:val="20"/>
              </w:rPr>
              <w:t> </w:t>
            </w:r>
            <w:r>
              <w:rPr>
                <w:sz w:val="20"/>
              </w:rPr>
              <w:t>или трахеогортанного анастомоза</w:t>
            </w:r>
          </w:p>
        </w:tc>
      </w:tr>
      <w:tr>
        <w:trPr>
          <w:trHeight w:val="108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Pr>
                <w:sz w:val="20"/>
              </w:rPr>
            </w:pPr>
            <w:r>
              <w:rPr>
                <w:sz w:val="20"/>
              </w:rPr>
              <w:t>пластика трахеи (ауто-, аллопластика, использование свободных микрохирургических,</w:t>
            </w:r>
            <w:r>
              <w:rPr>
                <w:spacing w:val="-13"/>
                <w:sz w:val="20"/>
              </w:rPr>
              <w:t> </w:t>
            </w:r>
            <w:r>
              <w:rPr>
                <w:sz w:val="20"/>
              </w:rPr>
              <w:t>перемещенных</w:t>
            </w:r>
            <w:r>
              <w:rPr>
                <w:spacing w:val="-12"/>
                <w:sz w:val="20"/>
              </w:rPr>
              <w:t> </w:t>
            </w:r>
            <w:r>
              <w:rPr>
                <w:sz w:val="20"/>
              </w:rPr>
              <w:t>и биоинженерных лоскутов)</w:t>
            </w:r>
          </w:p>
        </w:tc>
      </w:tr>
      <w:tr>
        <w:trPr>
          <w:trHeight w:val="600" w:hRule="atLeast"/>
        </w:trPr>
        <w:tc>
          <w:tcPr>
            <w:tcW w:w="1914" w:type="dxa"/>
          </w:tcPr>
          <w:p>
            <w:pPr>
              <w:pStyle w:val="TableParagraph"/>
              <w:spacing w:before="60"/>
              <w:ind w:left="411" w:right="488"/>
              <w:jc w:val="center"/>
              <w:rPr>
                <w:sz w:val="20"/>
              </w:rPr>
            </w:pPr>
            <w:r>
              <w:rPr>
                <w:sz w:val="20"/>
              </w:rPr>
              <w:t>J95.5,</w:t>
            </w:r>
            <w:r>
              <w:rPr>
                <w:spacing w:val="-5"/>
                <w:sz w:val="20"/>
              </w:rPr>
              <w:t> </w:t>
            </w:r>
            <w:r>
              <w:rPr>
                <w:spacing w:val="-4"/>
                <w:sz w:val="20"/>
              </w:rPr>
              <w:t>T98.3</w:t>
            </w:r>
          </w:p>
        </w:tc>
        <w:tc>
          <w:tcPr>
            <w:tcW w:w="3343" w:type="dxa"/>
          </w:tcPr>
          <w:p>
            <w:pPr>
              <w:pStyle w:val="TableParagraph"/>
              <w:spacing w:line="249" w:lineRule="auto" w:before="60"/>
              <w:ind w:left="130"/>
              <w:rPr>
                <w:sz w:val="20"/>
              </w:rPr>
            </w:pPr>
            <w:r>
              <w:rPr>
                <w:sz w:val="20"/>
              </w:rPr>
              <w:t>рубцовый</w:t>
            </w:r>
            <w:r>
              <w:rPr>
                <w:spacing w:val="-11"/>
                <w:sz w:val="20"/>
              </w:rPr>
              <w:t> </w:t>
            </w:r>
            <w:r>
              <w:rPr>
                <w:sz w:val="20"/>
              </w:rPr>
              <w:t>стеноз</w:t>
            </w:r>
            <w:r>
              <w:rPr>
                <w:spacing w:val="-10"/>
                <w:sz w:val="20"/>
              </w:rPr>
              <w:t> </w:t>
            </w:r>
            <w:r>
              <w:rPr>
                <w:sz w:val="20"/>
              </w:rPr>
              <w:t>трахеи,</w:t>
            </w:r>
            <w:r>
              <w:rPr>
                <w:spacing w:val="-10"/>
                <w:sz w:val="20"/>
              </w:rPr>
              <w:t> </w:t>
            </w:r>
            <w:r>
              <w:rPr>
                <w:sz w:val="20"/>
              </w:rPr>
              <w:t>трахео-</w:t>
            </w:r>
            <w:r>
              <w:rPr>
                <w:spacing w:val="-9"/>
                <w:sz w:val="20"/>
              </w:rPr>
              <w:t> </w:t>
            </w:r>
            <w:r>
              <w:rPr>
                <w:sz w:val="20"/>
              </w:rPr>
              <w:t>и бронхопищеводные свищи</w:t>
            </w:r>
          </w:p>
        </w:tc>
        <w:tc>
          <w:tcPr>
            <w:tcW w:w="1463" w:type="dxa"/>
          </w:tcPr>
          <w:p>
            <w:pPr>
              <w:pStyle w:val="TableParagraph"/>
              <w:spacing w:line="249" w:lineRule="auto" w:before="60"/>
              <w:ind w:left="95"/>
              <w:rPr>
                <w:sz w:val="20"/>
              </w:rPr>
            </w:pPr>
            <w:r>
              <w:rPr>
                <w:spacing w:val="-2"/>
                <w:sz w:val="20"/>
              </w:rPr>
              <w:t>хирургическое лечение</w:t>
            </w:r>
          </w:p>
        </w:tc>
        <w:tc>
          <w:tcPr>
            <w:tcW w:w="3698" w:type="dxa"/>
          </w:tcPr>
          <w:p>
            <w:pPr>
              <w:pStyle w:val="TableParagraph"/>
              <w:spacing w:line="249" w:lineRule="auto" w:before="60"/>
              <w:ind w:left="106"/>
              <w:rPr>
                <w:sz w:val="20"/>
              </w:rPr>
            </w:pPr>
            <w:r>
              <w:rPr>
                <w:sz w:val="20"/>
              </w:rPr>
              <w:t>циркулярная</w:t>
            </w:r>
            <w:r>
              <w:rPr>
                <w:spacing w:val="-13"/>
                <w:sz w:val="20"/>
              </w:rPr>
              <w:t> </w:t>
            </w:r>
            <w:r>
              <w:rPr>
                <w:sz w:val="20"/>
              </w:rPr>
              <w:t>резекция</w:t>
            </w:r>
            <w:r>
              <w:rPr>
                <w:spacing w:val="-12"/>
                <w:sz w:val="20"/>
              </w:rPr>
              <w:t> </w:t>
            </w:r>
            <w:r>
              <w:rPr>
                <w:sz w:val="20"/>
              </w:rPr>
              <w:t>трахеи</w:t>
            </w:r>
            <w:r>
              <w:rPr>
                <w:spacing w:val="-13"/>
                <w:sz w:val="20"/>
              </w:rPr>
              <w:t> </w:t>
            </w:r>
            <w:r>
              <w:rPr>
                <w:sz w:val="20"/>
              </w:rPr>
              <w:t>с межтрахеальным анастомозом</w:t>
            </w:r>
          </w:p>
        </w:tc>
      </w:tr>
      <w:tr>
        <w:trPr>
          <w:trHeight w:val="60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Pr>
                <w:sz w:val="20"/>
              </w:rPr>
            </w:pPr>
            <w:r>
              <w:rPr>
                <w:sz w:val="20"/>
              </w:rPr>
              <w:t>трахеопластика</w:t>
            </w:r>
            <w:r>
              <w:rPr>
                <w:spacing w:val="-13"/>
                <w:sz w:val="20"/>
              </w:rPr>
              <w:t> </w:t>
            </w:r>
            <w:r>
              <w:rPr>
                <w:sz w:val="20"/>
              </w:rPr>
              <w:t>с</w:t>
            </w:r>
            <w:r>
              <w:rPr>
                <w:spacing w:val="-12"/>
                <w:sz w:val="20"/>
              </w:rPr>
              <w:t> </w:t>
            </w:r>
            <w:r>
              <w:rPr>
                <w:sz w:val="20"/>
              </w:rPr>
              <w:t>использованием микрохирургической техники</w:t>
            </w:r>
          </w:p>
        </w:tc>
      </w:tr>
      <w:tr>
        <w:trPr>
          <w:trHeight w:val="60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ight="184"/>
              <w:rPr>
                <w:sz w:val="20"/>
              </w:rPr>
            </w:pPr>
            <w:r>
              <w:rPr>
                <w:sz w:val="20"/>
              </w:rPr>
              <w:t>разобщение</w:t>
            </w:r>
            <w:r>
              <w:rPr>
                <w:spacing w:val="-13"/>
                <w:sz w:val="20"/>
              </w:rPr>
              <w:t> </w:t>
            </w:r>
            <w:r>
              <w:rPr>
                <w:sz w:val="20"/>
              </w:rPr>
              <w:t>респираторно-пищеводных </w:t>
            </w:r>
            <w:r>
              <w:rPr>
                <w:spacing w:val="-2"/>
                <w:sz w:val="20"/>
              </w:rPr>
              <w:t>свищей</w:t>
            </w:r>
          </w:p>
        </w:tc>
      </w:tr>
      <w:tr>
        <w:trPr>
          <w:trHeight w:val="840" w:hRule="atLeast"/>
        </w:trPr>
        <w:tc>
          <w:tcPr>
            <w:tcW w:w="1914" w:type="dxa"/>
          </w:tcPr>
          <w:p>
            <w:pPr>
              <w:pStyle w:val="TableParagraph"/>
              <w:spacing w:line="249" w:lineRule="auto" w:before="60"/>
              <w:ind w:left="672" w:hanging="623"/>
              <w:rPr>
                <w:sz w:val="20"/>
              </w:rPr>
            </w:pPr>
            <w:r>
              <w:rPr>
                <w:sz w:val="20"/>
              </w:rPr>
              <w:t>D38.1,</w:t>
            </w:r>
            <w:r>
              <w:rPr>
                <w:spacing w:val="-13"/>
                <w:sz w:val="20"/>
              </w:rPr>
              <w:t> </w:t>
            </w:r>
            <w:r>
              <w:rPr>
                <w:sz w:val="20"/>
              </w:rPr>
              <w:t>D38.2,</w:t>
            </w:r>
            <w:r>
              <w:rPr>
                <w:spacing w:val="-12"/>
                <w:sz w:val="20"/>
              </w:rPr>
              <w:t> </w:t>
            </w:r>
            <w:r>
              <w:rPr>
                <w:sz w:val="20"/>
              </w:rPr>
              <w:t>D38.3, </w:t>
            </w:r>
            <w:r>
              <w:rPr>
                <w:spacing w:val="-2"/>
                <w:sz w:val="20"/>
              </w:rPr>
              <w:t>D38.4</w:t>
            </w:r>
          </w:p>
        </w:tc>
        <w:tc>
          <w:tcPr>
            <w:tcW w:w="3343" w:type="dxa"/>
          </w:tcPr>
          <w:p>
            <w:pPr>
              <w:pStyle w:val="TableParagraph"/>
              <w:spacing w:line="249" w:lineRule="auto" w:before="60"/>
              <w:ind w:left="130"/>
              <w:rPr>
                <w:sz w:val="20"/>
              </w:rPr>
            </w:pPr>
            <w:r>
              <w:rPr>
                <w:sz w:val="20"/>
              </w:rPr>
              <w:t>новообразование</w:t>
            </w:r>
            <w:r>
              <w:rPr>
                <w:spacing w:val="-13"/>
                <w:sz w:val="20"/>
              </w:rPr>
              <w:t> </w:t>
            </w:r>
            <w:r>
              <w:rPr>
                <w:sz w:val="20"/>
              </w:rPr>
              <w:t>органов</w:t>
            </w:r>
            <w:r>
              <w:rPr>
                <w:spacing w:val="-12"/>
                <w:sz w:val="20"/>
              </w:rPr>
              <w:t> </w:t>
            </w:r>
            <w:r>
              <w:rPr>
                <w:sz w:val="20"/>
              </w:rPr>
              <w:t>дыхания</w:t>
            </w:r>
            <w:r>
              <w:rPr>
                <w:spacing w:val="-13"/>
                <w:sz w:val="20"/>
              </w:rPr>
              <w:t> </w:t>
            </w:r>
            <w:r>
              <w:rPr>
                <w:sz w:val="20"/>
              </w:rPr>
              <w:t>и грудной клетки</w:t>
            </w:r>
          </w:p>
        </w:tc>
        <w:tc>
          <w:tcPr>
            <w:tcW w:w="1463" w:type="dxa"/>
          </w:tcPr>
          <w:p>
            <w:pPr>
              <w:pStyle w:val="TableParagraph"/>
              <w:spacing w:line="249" w:lineRule="auto" w:before="60"/>
              <w:ind w:left="95"/>
              <w:rPr>
                <w:sz w:val="20"/>
              </w:rPr>
            </w:pPr>
            <w:r>
              <w:rPr>
                <w:spacing w:val="-2"/>
                <w:sz w:val="20"/>
              </w:rPr>
              <w:t>хирургическое лечение</w:t>
            </w:r>
          </w:p>
        </w:tc>
        <w:tc>
          <w:tcPr>
            <w:tcW w:w="3698" w:type="dxa"/>
          </w:tcPr>
          <w:p>
            <w:pPr>
              <w:pStyle w:val="TableParagraph"/>
              <w:spacing w:line="249" w:lineRule="auto" w:before="60"/>
              <w:ind w:left="106" w:right="626"/>
              <w:rPr>
                <w:sz w:val="20"/>
              </w:rPr>
            </w:pPr>
            <w:r>
              <w:rPr>
                <w:sz w:val="20"/>
              </w:rPr>
              <w:t>тотальная плеврэктомия с гемиперикардэктомией,</w:t>
            </w:r>
            <w:r>
              <w:rPr>
                <w:spacing w:val="-13"/>
                <w:sz w:val="20"/>
              </w:rPr>
              <w:t> </w:t>
            </w:r>
            <w:r>
              <w:rPr>
                <w:sz w:val="20"/>
              </w:rPr>
              <w:t>резекцией </w:t>
            </w:r>
            <w:r>
              <w:rPr>
                <w:spacing w:val="-2"/>
                <w:sz w:val="20"/>
              </w:rPr>
              <w:t>диафрагмы</w:t>
            </w:r>
          </w:p>
        </w:tc>
      </w:tr>
      <w:tr>
        <w:trPr>
          <w:trHeight w:val="36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before="60"/>
              <w:ind w:left="106"/>
              <w:rPr>
                <w:sz w:val="20"/>
              </w:rPr>
            </w:pPr>
            <w:r>
              <w:rPr>
                <w:spacing w:val="-2"/>
                <w:sz w:val="20"/>
              </w:rPr>
              <w:t>плевропневмонэктомия</w:t>
            </w:r>
          </w:p>
        </w:tc>
      </w:tr>
      <w:tr>
        <w:trPr>
          <w:trHeight w:val="1010" w:hRule="atLeast"/>
        </w:trPr>
        <w:tc>
          <w:tcPr>
            <w:tcW w:w="1914" w:type="dxa"/>
          </w:tcPr>
          <w:p>
            <w:pPr>
              <w:pStyle w:val="TableParagraph"/>
              <w:spacing w:before="60"/>
              <w:ind w:left="411" w:right="484"/>
              <w:jc w:val="center"/>
              <w:rPr>
                <w:sz w:val="20"/>
              </w:rPr>
            </w:pPr>
            <w:r>
              <w:rPr>
                <w:spacing w:val="-5"/>
                <w:sz w:val="20"/>
              </w:rPr>
              <w:t>Q32</w:t>
            </w:r>
          </w:p>
        </w:tc>
        <w:tc>
          <w:tcPr>
            <w:tcW w:w="3343" w:type="dxa"/>
          </w:tcPr>
          <w:p>
            <w:pPr>
              <w:pStyle w:val="TableParagraph"/>
              <w:spacing w:line="249" w:lineRule="auto" w:before="60"/>
              <w:ind w:left="130" w:right="310"/>
              <w:rPr>
                <w:sz w:val="20"/>
              </w:rPr>
            </w:pPr>
            <w:r>
              <w:rPr>
                <w:sz w:val="20"/>
              </w:rPr>
              <w:t>врожденные</w:t>
            </w:r>
            <w:r>
              <w:rPr>
                <w:spacing w:val="-13"/>
                <w:sz w:val="20"/>
              </w:rPr>
              <w:t> </w:t>
            </w:r>
            <w:r>
              <w:rPr>
                <w:sz w:val="20"/>
              </w:rPr>
              <w:t>аномалии</w:t>
            </w:r>
            <w:r>
              <w:rPr>
                <w:spacing w:val="-12"/>
                <w:sz w:val="20"/>
              </w:rPr>
              <w:t> </w:t>
            </w:r>
            <w:r>
              <w:rPr>
                <w:sz w:val="20"/>
              </w:rPr>
              <w:t>(пороки развития) трахеи и бронхов</w:t>
            </w:r>
          </w:p>
        </w:tc>
        <w:tc>
          <w:tcPr>
            <w:tcW w:w="1463" w:type="dxa"/>
          </w:tcPr>
          <w:p>
            <w:pPr>
              <w:pStyle w:val="TableParagraph"/>
              <w:spacing w:line="249" w:lineRule="auto" w:before="60"/>
              <w:ind w:left="95"/>
              <w:rPr>
                <w:sz w:val="20"/>
              </w:rPr>
            </w:pPr>
            <w:r>
              <w:rPr>
                <w:spacing w:val="-2"/>
                <w:sz w:val="20"/>
              </w:rPr>
              <w:t>хирургическое лечение</w:t>
            </w:r>
          </w:p>
        </w:tc>
        <w:tc>
          <w:tcPr>
            <w:tcW w:w="3698" w:type="dxa"/>
          </w:tcPr>
          <w:p>
            <w:pPr>
              <w:pStyle w:val="TableParagraph"/>
              <w:spacing w:line="240" w:lineRule="atLeast" w:before="30"/>
              <w:ind w:left="106" w:right="50"/>
              <w:rPr>
                <w:sz w:val="20"/>
              </w:rPr>
            </w:pPr>
            <w:r>
              <w:rPr>
                <w:sz w:val="20"/>
              </w:rPr>
              <w:t>реконструктивно-пластические</w:t>
            </w:r>
            <w:r>
              <w:rPr>
                <w:spacing w:val="-13"/>
                <w:sz w:val="20"/>
              </w:rPr>
              <w:t> </w:t>
            </w:r>
            <w:r>
              <w:rPr>
                <w:sz w:val="20"/>
              </w:rPr>
              <w:t>операции на трахее, ее бифуркации и главных бронхах,</w:t>
            </w:r>
            <w:r>
              <w:rPr>
                <w:spacing w:val="-7"/>
                <w:sz w:val="20"/>
              </w:rPr>
              <w:t> </w:t>
            </w:r>
            <w:r>
              <w:rPr>
                <w:sz w:val="20"/>
              </w:rPr>
              <w:t>в</w:t>
            </w:r>
            <w:r>
              <w:rPr>
                <w:spacing w:val="-8"/>
                <w:sz w:val="20"/>
              </w:rPr>
              <w:t> </w:t>
            </w:r>
            <w:r>
              <w:rPr>
                <w:sz w:val="20"/>
              </w:rPr>
              <w:t>том</w:t>
            </w:r>
            <w:r>
              <w:rPr>
                <w:spacing w:val="-7"/>
                <w:sz w:val="20"/>
              </w:rPr>
              <w:t> </w:t>
            </w:r>
            <w:r>
              <w:rPr>
                <w:sz w:val="20"/>
              </w:rPr>
              <w:t>числе</w:t>
            </w:r>
            <w:r>
              <w:rPr>
                <w:spacing w:val="-7"/>
                <w:sz w:val="20"/>
              </w:rPr>
              <w:t> </w:t>
            </w:r>
            <w:r>
              <w:rPr>
                <w:sz w:val="20"/>
              </w:rPr>
              <w:t>с</w:t>
            </w:r>
            <w:r>
              <w:rPr>
                <w:spacing w:val="-7"/>
                <w:sz w:val="20"/>
              </w:rPr>
              <w:t> </w:t>
            </w:r>
            <w:r>
              <w:rPr>
                <w:sz w:val="20"/>
              </w:rPr>
              <w:t>резекцией</w:t>
            </w:r>
            <w:r>
              <w:rPr>
                <w:spacing w:val="-8"/>
                <w:sz w:val="20"/>
              </w:rPr>
              <w:t> </w:t>
            </w:r>
            <w:r>
              <w:rPr>
                <w:sz w:val="20"/>
              </w:rPr>
              <w:t>легкого и пневмонэктомией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978"/>
        <w:gridCol w:w="1873"/>
        <w:gridCol w:w="3371"/>
        <w:gridCol w:w="1466"/>
        <w:gridCol w:w="3953"/>
        <w:gridCol w:w="997"/>
      </w:tblGrid>
      <w:tr>
        <w:trPr>
          <w:trHeight w:val="77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line="221" w:lineRule="exact"/>
              <w:ind w:left="105" w:right="148"/>
              <w:jc w:val="center"/>
              <w:rPr>
                <w:sz w:val="20"/>
              </w:rPr>
            </w:pPr>
            <w:r>
              <w:rPr>
                <w:spacing w:val="-2"/>
                <w:sz w:val="20"/>
              </w:rPr>
              <w:t>J43.1</w:t>
            </w:r>
          </w:p>
        </w:tc>
        <w:tc>
          <w:tcPr>
            <w:tcW w:w="3371" w:type="dxa"/>
          </w:tcPr>
          <w:p>
            <w:pPr>
              <w:pStyle w:val="TableParagraph"/>
              <w:spacing w:line="221" w:lineRule="exact"/>
              <w:ind w:left="165"/>
              <w:rPr>
                <w:sz w:val="20"/>
              </w:rPr>
            </w:pPr>
            <w:r>
              <w:rPr>
                <w:sz w:val="20"/>
              </w:rPr>
              <w:t>панлобарная</w:t>
            </w:r>
            <w:r>
              <w:rPr>
                <w:spacing w:val="-11"/>
                <w:sz w:val="20"/>
              </w:rPr>
              <w:t> </w:t>
            </w:r>
            <w:r>
              <w:rPr>
                <w:sz w:val="20"/>
              </w:rPr>
              <w:t>эмфизема</w:t>
            </w:r>
            <w:r>
              <w:rPr>
                <w:spacing w:val="-10"/>
                <w:sz w:val="20"/>
              </w:rPr>
              <w:t> </w:t>
            </w:r>
            <w:r>
              <w:rPr>
                <w:spacing w:val="-2"/>
                <w:sz w:val="20"/>
              </w:rPr>
              <w:t>легкого</w:t>
            </w:r>
          </w:p>
        </w:tc>
        <w:tc>
          <w:tcPr>
            <w:tcW w:w="1466" w:type="dxa"/>
          </w:tcPr>
          <w:p>
            <w:pPr>
              <w:pStyle w:val="TableParagraph"/>
              <w:spacing w:line="249" w:lineRule="auto"/>
              <w:ind w:left="102"/>
              <w:rPr>
                <w:sz w:val="20"/>
              </w:rPr>
            </w:pPr>
            <w:r>
              <w:rPr>
                <w:spacing w:val="-2"/>
                <w:sz w:val="20"/>
              </w:rPr>
              <w:t>хирургическое лечение</w:t>
            </w:r>
          </w:p>
        </w:tc>
        <w:tc>
          <w:tcPr>
            <w:tcW w:w="3953" w:type="dxa"/>
          </w:tcPr>
          <w:p>
            <w:pPr>
              <w:pStyle w:val="TableParagraph"/>
              <w:spacing w:line="249" w:lineRule="auto"/>
              <w:ind w:left="110" w:right="353"/>
              <w:rPr>
                <w:sz w:val="20"/>
              </w:rPr>
            </w:pPr>
            <w:r>
              <w:rPr>
                <w:sz w:val="20"/>
              </w:rPr>
              <w:t>одномоментная двусторонняя хирургическая</w:t>
            </w:r>
            <w:r>
              <w:rPr>
                <w:spacing w:val="-13"/>
                <w:sz w:val="20"/>
              </w:rPr>
              <w:t> </w:t>
            </w:r>
            <w:r>
              <w:rPr>
                <w:sz w:val="20"/>
              </w:rPr>
              <w:t>редукция</w:t>
            </w:r>
            <w:r>
              <w:rPr>
                <w:spacing w:val="-12"/>
                <w:sz w:val="20"/>
              </w:rPr>
              <w:t> </w:t>
            </w:r>
            <w:r>
              <w:rPr>
                <w:sz w:val="20"/>
              </w:rPr>
              <w:t>объема</w:t>
            </w:r>
            <w:r>
              <w:rPr>
                <w:spacing w:val="-13"/>
                <w:sz w:val="20"/>
              </w:rPr>
              <w:t> </w:t>
            </w:r>
            <w:r>
              <w:rPr>
                <w:sz w:val="20"/>
              </w:rPr>
              <w:t>легких при диффузной эмфиземе</w:t>
            </w:r>
          </w:p>
        </w:tc>
        <w:tc>
          <w:tcPr>
            <w:tcW w:w="997" w:type="dxa"/>
          </w:tcPr>
          <w:p>
            <w:pPr>
              <w:pStyle w:val="TableParagraph"/>
              <w:rPr>
                <w:sz w:val="18"/>
              </w:rPr>
            </w:pPr>
          </w:p>
        </w:tc>
      </w:tr>
      <w:tr>
        <w:trPr>
          <w:trHeight w:val="60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before="60"/>
              <w:ind w:left="105" w:right="151"/>
              <w:jc w:val="center"/>
              <w:rPr>
                <w:sz w:val="20"/>
              </w:rPr>
            </w:pPr>
            <w:r>
              <w:rPr>
                <w:sz w:val="20"/>
              </w:rPr>
              <w:t>J85,</w:t>
            </w:r>
            <w:r>
              <w:rPr>
                <w:spacing w:val="-3"/>
                <w:sz w:val="20"/>
              </w:rPr>
              <w:t> </w:t>
            </w:r>
            <w:r>
              <w:rPr>
                <w:spacing w:val="-5"/>
                <w:sz w:val="20"/>
              </w:rPr>
              <w:t>J86</w:t>
            </w:r>
          </w:p>
        </w:tc>
        <w:tc>
          <w:tcPr>
            <w:tcW w:w="3371" w:type="dxa"/>
          </w:tcPr>
          <w:p>
            <w:pPr>
              <w:pStyle w:val="TableParagraph"/>
              <w:spacing w:line="249" w:lineRule="auto" w:before="60"/>
              <w:ind w:left="165"/>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line="249" w:lineRule="auto" w:before="60"/>
              <w:ind w:left="110" w:right="353"/>
              <w:rPr>
                <w:sz w:val="20"/>
              </w:rPr>
            </w:pPr>
            <w:r>
              <w:rPr>
                <w:sz w:val="20"/>
              </w:rPr>
              <w:t>лоб-,</w:t>
            </w:r>
            <w:r>
              <w:rPr>
                <w:spacing w:val="-10"/>
                <w:sz w:val="20"/>
              </w:rPr>
              <w:t> </w:t>
            </w:r>
            <w:r>
              <w:rPr>
                <w:sz w:val="20"/>
              </w:rPr>
              <w:t>билобэктомия</w:t>
            </w:r>
            <w:r>
              <w:rPr>
                <w:spacing w:val="-11"/>
                <w:sz w:val="20"/>
              </w:rPr>
              <w:t> </w:t>
            </w:r>
            <w:r>
              <w:rPr>
                <w:sz w:val="20"/>
              </w:rPr>
              <w:t>с</w:t>
            </w:r>
            <w:r>
              <w:rPr>
                <w:spacing w:val="-10"/>
                <w:sz w:val="20"/>
              </w:rPr>
              <w:t> </w:t>
            </w:r>
            <w:r>
              <w:rPr>
                <w:sz w:val="20"/>
              </w:rPr>
              <w:t>плеврэктомией</w:t>
            </w:r>
            <w:r>
              <w:rPr>
                <w:spacing w:val="-11"/>
                <w:sz w:val="20"/>
              </w:rPr>
              <w:t> </w:t>
            </w:r>
            <w:r>
              <w:rPr>
                <w:sz w:val="20"/>
              </w:rPr>
              <w:t>и декортикацией легкого</w:t>
            </w:r>
          </w:p>
        </w:tc>
        <w:tc>
          <w:tcPr>
            <w:tcW w:w="997" w:type="dxa"/>
          </w:tcPr>
          <w:p>
            <w:pPr>
              <w:pStyle w:val="TableParagraph"/>
              <w:rPr>
                <w:sz w:val="18"/>
              </w:rPr>
            </w:pPr>
          </w:p>
        </w:tc>
      </w:tr>
      <w:tr>
        <w:trPr>
          <w:trHeight w:val="36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before="60"/>
              <w:ind w:left="110"/>
              <w:rPr>
                <w:sz w:val="20"/>
              </w:rPr>
            </w:pPr>
            <w:r>
              <w:rPr>
                <w:spacing w:val="-2"/>
                <w:sz w:val="20"/>
              </w:rPr>
              <w:t>плевропневмонэктомия</w:t>
            </w:r>
          </w:p>
        </w:tc>
        <w:tc>
          <w:tcPr>
            <w:tcW w:w="997"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65.</w:t>
            </w:r>
          </w:p>
        </w:tc>
        <w:tc>
          <w:tcPr>
            <w:tcW w:w="2978" w:type="dxa"/>
            <w:vMerge w:val="restart"/>
          </w:tcPr>
          <w:p>
            <w:pPr>
              <w:pStyle w:val="TableParagraph"/>
              <w:spacing w:line="240" w:lineRule="atLeast" w:before="40"/>
              <w:ind w:left="155" w:right="163"/>
              <w:rPr>
                <w:sz w:val="20"/>
              </w:rPr>
            </w:pPr>
            <w:r>
              <w:rPr>
                <w:sz w:val="20"/>
              </w:rPr>
              <w:t>Комбинированные и повторные операции на органах грудной полости, операции</w:t>
            </w:r>
            <w:r>
              <w:rPr>
                <w:spacing w:val="-13"/>
                <w:sz w:val="20"/>
              </w:rPr>
              <w:t> </w:t>
            </w:r>
            <w:r>
              <w:rPr>
                <w:sz w:val="20"/>
              </w:rPr>
              <w:t>с</w:t>
            </w:r>
            <w:r>
              <w:rPr>
                <w:spacing w:val="-12"/>
                <w:sz w:val="20"/>
              </w:rPr>
              <w:t> </w:t>
            </w:r>
            <w:r>
              <w:rPr>
                <w:sz w:val="20"/>
              </w:rPr>
              <w:t>искусственным </w:t>
            </w:r>
            <w:r>
              <w:rPr>
                <w:spacing w:val="-2"/>
                <w:sz w:val="20"/>
              </w:rPr>
              <w:t>кровообращением</w:t>
            </w:r>
          </w:p>
        </w:tc>
        <w:tc>
          <w:tcPr>
            <w:tcW w:w="1873" w:type="dxa"/>
          </w:tcPr>
          <w:p>
            <w:pPr>
              <w:pStyle w:val="TableParagraph"/>
              <w:spacing w:before="60"/>
              <w:ind w:left="100" w:right="151"/>
              <w:jc w:val="center"/>
              <w:rPr>
                <w:sz w:val="20"/>
              </w:rPr>
            </w:pPr>
            <w:r>
              <w:rPr>
                <w:sz w:val="20"/>
              </w:rPr>
              <w:t>A15,</w:t>
            </w:r>
            <w:r>
              <w:rPr>
                <w:spacing w:val="-5"/>
                <w:sz w:val="20"/>
              </w:rPr>
              <w:t> A16</w:t>
            </w:r>
          </w:p>
        </w:tc>
        <w:tc>
          <w:tcPr>
            <w:tcW w:w="3371" w:type="dxa"/>
          </w:tcPr>
          <w:p>
            <w:pPr>
              <w:pStyle w:val="TableParagraph"/>
              <w:spacing w:before="60"/>
              <w:ind w:left="165"/>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line="249" w:lineRule="auto" w:before="60"/>
              <w:ind w:left="110" w:right="353"/>
              <w:rPr>
                <w:sz w:val="20"/>
              </w:rPr>
            </w:pPr>
            <w:r>
              <w:rPr>
                <w:sz w:val="20"/>
              </w:rPr>
              <w:t>резекционные</w:t>
            </w:r>
            <w:r>
              <w:rPr>
                <w:spacing w:val="-13"/>
                <w:sz w:val="20"/>
              </w:rPr>
              <w:t> </w:t>
            </w:r>
            <w:r>
              <w:rPr>
                <w:sz w:val="20"/>
              </w:rPr>
              <w:t>и</w:t>
            </w:r>
            <w:r>
              <w:rPr>
                <w:spacing w:val="-12"/>
                <w:sz w:val="20"/>
              </w:rPr>
              <w:t> </w:t>
            </w:r>
            <w:r>
              <w:rPr>
                <w:sz w:val="20"/>
              </w:rPr>
              <w:t>коллапсохирургические операции на единственном легком</w:t>
            </w:r>
          </w:p>
        </w:tc>
        <w:tc>
          <w:tcPr>
            <w:tcW w:w="997" w:type="dxa"/>
          </w:tcPr>
          <w:p>
            <w:pPr>
              <w:pStyle w:val="TableParagraph"/>
              <w:spacing w:before="60"/>
              <w:ind w:left="350"/>
              <w:rPr>
                <w:sz w:val="20"/>
              </w:rPr>
            </w:pPr>
            <w:r>
              <w:rPr>
                <w:spacing w:val="-2"/>
                <w:sz w:val="20"/>
              </w:rPr>
              <w:t>292797</w:t>
            </w:r>
          </w:p>
        </w:tc>
      </w:tr>
      <w:tr>
        <w:trPr>
          <w:trHeight w:val="660" w:hRule="atLeast"/>
        </w:trPr>
        <w:tc>
          <w:tcPr>
            <w:tcW w:w="458" w:type="dxa"/>
          </w:tcPr>
          <w:p>
            <w:pPr>
              <w:pStyle w:val="TableParagraph"/>
              <w:rPr>
                <w:sz w:val="18"/>
              </w:rPr>
            </w:pPr>
          </w:p>
        </w:tc>
        <w:tc>
          <w:tcPr>
            <w:tcW w:w="2978" w:type="dxa"/>
            <w:vMerge/>
            <w:tcBorders>
              <w:top w:val="nil"/>
            </w:tcBorders>
          </w:tcPr>
          <w:p>
            <w:pPr>
              <w:rPr>
                <w:sz w:val="2"/>
                <w:szCs w:val="2"/>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53"/>
              <w:rPr>
                <w:sz w:val="20"/>
              </w:rPr>
            </w:pPr>
            <w:r>
              <w:rPr>
                <w:sz w:val="20"/>
              </w:rPr>
              <w:t>пневмонэктомия</w:t>
            </w:r>
            <w:r>
              <w:rPr>
                <w:spacing w:val="-13"/>
                <w:sz w:val="20"/>
              </w:rPr>
              <w:t> </w:t>
            </w:r>
            <w:r>
              <w:rPr>
                <w:sz w:val="20"/>
              </w:rPr>
              <w:t>при</w:t>
            </w:r>
            <w:r>
              <w:rPr>
                <w:spacing w:val="-12"/>
                <w:sz w:val="20"/>
              </w:rPr>
              <w:t> </w:t>
            </w:r>
            <w:r>
              <w:rPr>
                <w:sz w:val="20"/>
              </w:rPr>
              <w:t>резецированном противоположном легком</w:t>
            </w:r>
          </w:p>
        </w:tc>
        <w:tc>
          <w:tcPr>
            <w:tcW w:w="997" w:type="dxa"/>
          </w:tcPr>
          <w:p>
            <w:pPr>
              <w:pStyle w:val="TableParagraph"/>
              <w:rPr>
                <w:sz w:val="18"/>
              </w:rPr>
            </w:pPr>
          </w:p>
        </w:tc>
      </w:tr>
      <w:tr>
        <w:trPr>
          <w:trHeight w:val="78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ind w:left="110" w:right="353"/>
              <w:rPr>
                <w:sz w:val="20"/>
              </w:rPr>
            </w:pPr>
            <w:r>
              <w:rPr>
                <w:sz w:val="20"/>
              </w:rPr>
              <w:t>повторные</w:t>
            </w:r>
            <w:r>
              <w:rPr>
                <w:spacing w:val="-13"/>
                <w:sz w:val="20"/>
              </w:rPr>
              <w:t> </w:t>
            </w:r>
            <w:r>
              <w:rPr>
                <w:sz w:val="20"/>
              </w:rPr>
              <w:t>резекции</w:t>
            </w:r>
            <w:r>
              <w:rPr>
                <w:spacing w:val="-12"/>
                <w:sz w:val="20"/>
              </w:rPr>
              <w:t> </w:t>
            </w:r>
            <w:r>
              <w:rPr>
                <w:sz w:val="20"/>
              </w:rPr>
              <w:t>и</w:t>
            </w:r>
            <w:r>
              <w:rPr>
                <w:spacing w:val="-13"/>
                <w:sz w:val="20"/>
              </w:rPr>
              <w:t> </w:t>
            </w:r>
            <w:r>
              <w:rPr>
                <w:sz w:val="20"/>
              </w:rPr>
              <w:t>пневмонэктомия на стороне ранее оперированного </w:t>
            </w:r>
            <w:r>
              <w:rPr>
                <w:spacing w:val="-2"/>
                <w:sz w:val="20"/>
              </w:rPr>
              <w:t>легкого</w:t>
            </w:r>
          </w:p>
        </w:tc>
        <w:tc>
          <w:tcPr>
            <w:tcW w:w="997" w:type="dxa"/>
          </w:tcPr>
          <w:p>
            <w:pPr>
              <w:pStyle w:val="TableParagraph"/>
              <w:rPr>
                <w:sz w:val="18"/>
              </w:rPr>
            </w:pPr>
          </w:p>
        </w:tc>
      </w:tr>
      <w:tr>
        <w:trPr>
          <w:trHeight w:val="60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37"/>
              <w:rPr>
                <w:sz w:val="20"/>
              </w:rPr>
            </w:pPr>
            <w:r>
              <w:rPr>
                <w:sz w:val="20"/>
              </w:rPr>
              <w:t>трансстернальная</w:t>
            </w:r>
            <w:r>
              <w:rPr>
                <w:spacing w:val="-13"/>
                <w:sz w:val="20"/>
              </w:rPr>
              <w:t> </w:t>
            </w:r>
            <w:r>
              <w:rPr>
                <w:sz w:val="20"/>
              </w:rPr>
              <w:t>трансперикардиальная окклюзия главного бронха</w:t>
            </w:r>
          </w:p>
        </w:tc>
        <w:tc>
          <w:tcPr>
            <w:tcW w:w="997" w:type="dxa"/>
          </w:tcPr>
          <w:p>
            <w:pPr>
              <w:pStyle w:val="TableParagraph"/>
              <w:rPr>
                <w:sz w:val="18"/>
              </w:rPr>
            </w:pPr>
          </w:p>
        </w:tc>
      </w:tr>
      <w:tr>
        <w:trPr>
          <w:trHeight w:val="84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53"/>
              <w:rPr>
                <w:sz w:val="20"/>
              </w:rPr>
            </w:pPr>
            <w:r>
              <w:rPr>
                <w:sz w:val="20"/>
              </w:rPr>
              <w:t>реампутация культи бронха трансплевральная,</w:t>
            </w:r>
            <w:r>
              <w:rPr>
                <w:spacing w:val="-13"/>
                <w:sz w:val="20"/>
              </w:rPr>
              <w:t> </w:t>
            </w:r>
            <w:r>
              <w:rPr>
                <w:sz w:val="20"/>
              </w:rPr>
              <w:t>а</w:t>
            </w:r>
            <w:r>
              <w:rPr>
                <w:spacing w:val="-12"/>
                <w:sz w:val="20"/>
              </w:rPr>
              <w:t> </w:t>
            </w:r>
            <w:r>
              <w:rPr>
                <w:sz w:val="20"/>
              </w:rPr>
              <w:t>также</w:t>
            </w:r>
            <w:r>
              <w:rPr>
                <w:spacing w:val="-13"/>
                <w:sz w:val="20"/>
              </w:rPr>
              <w:t> </w:t>
            </w:r>
            <w:r>
              <w:rPr>
                <w:sz w:val="20"/>
              </w:rPr>
              <w:t>из контралатерального доступа</w:t>
            </w:r>
          </w:p>
        </w:tc>
        <w:tc>
          <w:tcPr>
            <w:tcW w:w="997" w:type="dxa"/>
          </w:tcPr>
          <w:p>
            <w:pPr>
              <w:pStyle w:val="TableParagraph"/>
              <w:rPr>
                <w:sz w:val="18"/>
              </w:rPr>
            </w:pPr>
          </w:p>
        </w:tc>
      </w:tr>
      <w:tr>
        <w:trPr>
          <w:trHeight w:val="60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before="60"/>
              <w:ind w:left="105" w:right="148"/>
              <w:jc w:val="center"/>
              <w:rPr>
                <w:sz w:val="20"/>
              </w:rPr>
            </w:pPr>
            <w:r>
              <w:rPr>
                <w:spacing w:val="-5"/>
                <w:sz w:val="20"/>
              </w:rPr>
              <w:t>J85</w:t>
            </w:r>
          </w:p>
        </w:tc>
        <w:tc>
          <w:tcPr>
            <w:tcW w:w="3371" w:type="dxa"/>
          </w:tcPr>
          <w:p>
            <w:pPr>
              <w:pStyle w:val="TableParagraph"/>
              <w:spacing w:line="249" w:lineRule="auto" w:before="60"/>
              <w:ind w:left="165"/>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line="249" w:lineRule="auto" w:before="60"/>
              <w:ind w:left="110" w:right="337"/>
              <w:rPr>
                <w:sz w:val="20"/>
              </w:rPr>
            </w:pPr>
            <w:r>
              <w:rPr>
                <w:sz w:val="20"/>
              </w:rPr>
              <w:t>трансстернальная</w:t>
            </w:r>
            <w:r>
              <w:rPr>
                <w:spacing w:val="-13"/>
                <w:sz w:val="20"/>
              </w:rPr>
              <w:t> </w:t>
            </w:r>
            <w:r>
              <w:rPr>
                <w:sz w:val="20"/>
              </w:rPr>
              <w:t>трансперикардиальная окклюзия главного бронха</w:t>
            </w:r>
          </w:p>
        </w:tc>
        <w:tc>
          <w:tcPr>
            <w:tcW w:w="997" w:type="dxa"/>
          </w:tcPr>
          <w:p>
            <w:pPr>
              <w:pStyle w:val="TableParagraph"/>
              <w:rPr>
                <w:sz w:val="18"/>
              </w:rPr>
            </w:pPr>
          </w:p>
        </w:tc>
      </w:tr>
      <w:tr>
        <w:trPr>
          <w:trHeight w:val="84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53"/>
              <w:rPr>
                <w:sz w:val="20"/>
              </w:rPr>
            </w:pPr>
            <w:r>
              <w:rPr>
                <w:sz w:val="20"/>
              </w:rPr>
              <w:t>реампутация культи бронха трансплевральная,</w:t>
            </w:r>
            <w:r>
              <w:rPr>
                <w:spacing w:val="-13"/>
                <w:sz w:val="20"/>
              </w:rPr>
              <w:t> </w:t>
            </w:r>
            <w:r>
              <w:rPr>
                <w:sz w:val="20"/>
              </w:rPr>
              <w:t>реампутация</w:t>
            </w:r>
            <w:r>
              <w:rPr>
                <w:spacing w:val="-12"/>
                <w:sz w:val="20"/>
              </w:rPr>
              <w:t> </w:t>
            </w:r>
            <w:r>
              <w:rPr>
                <w:sz w:val="20"/>
              </w:rPr>
              <w:t>культи бронха из контрлатерального доступа</w:t>
            </w:r>
          </w:p>
        </w:tc>
        <w:tc>
          <w:tcPr>
            <w:tcW w:w="997" w:type="dxa"/>
          </w:tcPr>
          <w:p>
            <w:pPr>
              <w:pStyle w:val="TableParagraph"/>
              <w:rPr>
                <w:sz w:val="18"/>
              </w:rPr>
            </w:pPr>
          </w:p>
        </w:tc>
      </w:tr>
      <w:tr>
        <w:trPr>
          <w:trHeight w:val="77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before="60"/>
              <w:ind w:left="105" w:right="151"/>
              <w:jc w:val="center"/>
              <w:rPr>
                <w:sz w:val="20"/>
              </w:rPr>
            </w:pPr>
            <w:r>
              <w:rPr>
                <w:sz w:val="20"/>
              </w:rPr>
              <w:t>J95.5,</w:t>
            </w:r>
            <w:r>
              <w:rPr>
                <w:spacing w:val="-5"/>
                <w:sz w:val="20"/>
              </w:rPr>
              <w:t> </w:t>
            </w:r>
            <w:r>
              <w:rPr>
                <w:sz w:val="20"/>
              </w:rPr>
              <w:t>T98.3,</w:t>
            </w:r>
            <w:r>
              <w:rPr>
                <w:spacing w:val="-4"/>
                <w:sz w:val="20"/>
              </w:rPr>
              <w:t> </w:t>
            </w:r>
            <w:r>
              <w:rPr>
                <w:spacing w:val="-2"/>
                <w:sz w:val="20"/>
              </w:rPr>
              <w:t>D14.2</w:t>
            </w:r>
          </w:p>
        </w:tc>
        <w:tc>
          <w:tcPr>
            <w:tcW w:w="3371" w:type="dxa"/>
          </w:tcPr>
          <w:p>
            <w:pPr>
              <w:pStyle w:val="TableParagraph"/>
              <w:spacing w:line="240" w:lineRule="atLeast" w:before="30"/>
              <w:ind w:left="165"/>
              <w:rPr>
                <w:sz w:val="20"/>
              </w:rPr>
            </w:pPr>
            <w:r>
              <w:rPr>
                <w:sz w:val="20"/>
              </w:rPr>
              <w:t>доброкачественные</w:t>
            </w:r>
            <w:r>
              <w:rPr>
                <w:spacing w:val="-13"/>
                <w:sz w:val="20"/>
              </w:rPr>
              <w:t> </w:t>
            </w:r>
            <w:r>
              <w:rPr>
                <w:sz w:val="20"/>
              </w:rPr>
              <w:t>опухоли</w:t>
            </w:r>
            <w:r>
              <w:rPr>
                <w:spacing w:val="-12"/>
                <w:sz w:val="20"/>
              </w:rPr>
              <w:t> </w:t>
            </w:r>
            <w:r>
              <w:rPr>
                <w:sz w:val="20"/>
              </w:rPr>
              <w:t>трахеи. Рецидивирующий рубцовый стеноз </w:t>
            </w:r>
            <w:r>
              <w:rPr>
                <w:spacing w:val="-2"/>
                <w:sz w:val="20"/>
              </w:rPr>
              <w:t>трахеи</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before="60"/>
              <w:ind w:left="110"/>
              <w:rPr>
                <w:sz w:val="20"/>
              </w:rPr>
            </w:pPr>
            <w:r>
              <w:rPr>
                <w:sz w:val="20"/>
              </w:rPr>
              <w:t>повторные</w:t>
            </w:r>
            <w:r>
              <w:rPr>
                <w:spacing w:val="-10"/>
                <w:sz w:val="20"/>
              </w:rPr>
              <w:t> </w:t>
            </w:r>
            <w:r>
              <w:rPr>
                <w:sz w:val="20"/>
              </w:rPr>
              <w:t>резекции</w:t>
            </w:r>
            <w:r>
              <w:rPr>
                <w:spacing w:val="-10"/>
                <w:sz w:val="20"/>
              </w:rPr>
              <w:t> </w:t>
            </w:r>
            <w:r>
              <w:rPr>
                <w:spacing w:val="-2"/>
                <w:sz w:val="20"/>
              </w:rPr>
              <w:t>трахеи</w:t>
            </w:r>
          </w:p>
        </w:tc>
        <w:tc>
          <w:tcPr>
            <w:tcW w:w="997"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ListParagraph"/>
        <w:numPr>
          <w:ilvl w:val="0"/>
          <w:numId w:val="10"/>
        </w:numPr>
        <w:tabs>
          <w:tab w:pos="931" w:val="left" w:leader="none"/>
          <w:tab w:pos="932" w:val="left" w:leader="none"/>
        </w:tabs>
        <w:spacing w:line="249" w:lineRule="auto" w:before="91" w:after="0"/>
        <w:ind w:left="931" w:right="38" w:hanging="564"/>
        <w:jc w:val="left"/>
        <w:rPr>
          <w:sz w:val="20"/>
        </w:rPr>
      </w:pPr>
      <w:r>
        <w:rPr>
          <w:spacing w:val="-2"/>
          <w:sz w:val="20"/>
        </w:rPr>
        <w:t>Роботассистированные </w:t>
      </w:r>
      <w:r>
        <w:rPr>
          <w:sz w:val="20"/>
        </w:rPr>
        <w:t>операции</w:t>
      </w:r>
      <w:r>
        <w:rPr>
          <w:spacing w:val="-13"/>
          <w:sz w:val="20"/>
        </w:rPr>
        <w:t> </w:t>
      </w:r>
      <w:r>
        <w:rPr>
          <w:sz w:val="20"/>
        </w:rPr>
        <w:t>на</w:t>
      </w:r>
      <w:r>
        <w:rPr>
          <w:spacing w:val="-12"/>
          <w:sz w:val="20"/>
        </w:rPr>
        <w:t> </w:t>
      </w:r>
      <w:r>
        <w:rPr>
          <w:sz w:val="20"/>
        </w:rPr>
        <w:t>органах</w:t>
      </w:r>
      <w:r>
        <w:rPr>
          <w:spacing w:val="-13"/>
          <w:sz w:val="20"/>
        </w:rPr>
        <w:t> </w:t>
      </w:r>
      <w:r>
        <w:rPr>
          <w:sz w:val="20"/>
        </w:rPr>
        <w:t>грудной</w:t>
      </w:r>
    </w:p>
    <w:p>
      <w:pPr>
        <w:tabs>
          <w:tab w:pos="1889" w:val="left" w:leader="none"/>
          <w:tab w:pos="5197" w:val="left" w:leader="none"/>
        </w:tabs>
        <w:spacing w:before="91"/>
        <w:ind w:left="368" w:right="0" w:firstLine="0"/>
        <w:jc w:val="left"/>
        <w:rPr>
          <w:sz w:val="20"/>
        </w:rPr>
      </w:pPr>
      <w:r>
        <w:rPr/>
        <w:br w:type="column"/>
      </w:r>
      <w:r>
        <w:rPr>
          <w:sz w:val="20"/>
        </w:rPr>
        <w:t>A15,</w:t>
      </w:r>
      <w:r>
        <w:rPr>
          <w:spacing w:val="-5"/>
          <w:sz w:val="20"/>
        </w:rPr>
        <w:t> A16</w:t>
      </w:r>
      <w:r>
        <w:rPr>
          <w:sz w:val="20"/>
        </w:rPr>
        <w:tab/>
        <w:t>туберкулез</w:t>
      </w:r>
      <w:r>
        <w:rPr>
          <w:spacing w:val="-10"/>
          <w:sz w:val="20"/>
        </w:rPr>
        <w:t> </w:t>
      </w:r>
      <w:r>
        <w:rPr>
          <w:sz w:val="20"/>
        </w:rPr>
        <w:t>органов</w:t>
      </w:r>
      <w:r>
        <w:rPr>
          <w:spacing w:val="-10"/>
          <w:sz w:val="20"/>
        </w:rPr>
        <w:t> </w:t>
      </w:r>
      <w:r>
        <w:rPr>
          <w:spacing w:val="-2"/>
          <w:sz w:val="20"/>
        </w:rPr>
        <w:t>дыхания</w:t>
      </w:r>
      <w:r>
        <w:rPr>
          <w:sz w:val="20"/>
        </w:rPr>
        <w:tab/>
      </w:r>
      <w:r>
        <w:rPr>
          <w:spacing w:val="-2"/>
          <w:sz w:val="20"/>
        </w:rPr>
        <w:t>хирургическое</w:t>
      </w:r>
    </w:p>
    <w:p>
      <w:pPr>
        <w:spacing w:before="10"/>
        <w:ind w:left="5197" w:right="0" w:firstLine="0"/>
        <w:jc w:val="left"/>
        <w:rPr>
          <w:sz w:val="20"/>
        </w:rPr>
      </w:pPr>
      <w:r>
        <w:rPr>
          <w:spacing w:val="-2"/>
          <w:sz w:val="20"/>
        </w:rPr>
        <w:t>лечение</w:t>
      </w:r>
    </w:p>
    <w:p>
      <w:pPr>
        <w:spacing w:line="249" w:lineRule="auto" w:before="91"/>
        <w:ind w:left="178" w:right="29" w:firstLine="0"/>
        <w:jc w:val="left"/>
        <w:rPr>
          <w:sz w:val="20"/>
        </w:rPr>
      </w:pPr>
      <w:r>
        <w:rPr/>
        <w:br w:type="column"/>
      </w:r>
      <w:r>
        <w:rPr>
          <w:sz w:val="20"/>
        </w:rPr>
        <w:t>роботассистированная</w:t>
      </w:r>
      <w:r>
        <w:rPr>
          <w:spacing w:val="-13"/>
          <w:sz w:val="20"/>
        </w:rPr>
        <w:t> </w:t>
      </w:r>
      <w:r>
        <w:rPr>
          <w:sz w:val="20"/>
        </w:rPr>
        <w:t>анатомическая резекция легких</w:t>
      </w:r>
    </w:p>
    <w:p>
      <w:pPr>
        <w:spacing w:before="91"/>
        <w:ind w:left="367" w:right="0" w:firstLine="0"/>
        <w:jc w:val="left"/>
        <w:rPr>
          <w:sz w:val="20"/>
        </w:rPr>
      </w:pPr>
      <w:r>
        <w:rPr/>
        <w:br w:type="column"/>
      </w:r>
      <w:r>
        <w:rPr>
          <w:spacing w:val="-2"/>
          <w:sz w:val="20"/>
        </w:rPr>
        <w:t>333337</w:t>
      </w:r>
    </w:p>
    <w:p>
      <w:pPr>
        <w:spacing w:after="0"/>
        <w:jc w:val="left"/>
        <w:rPr>
          <w:sz w:val="20"/>
        </w:rPr>
        <w:sectPr>
          <w:type w:val="continuous"/>
          <w:pgSz w:w="16850" w:h="11910" w:orient="landscape"/>
          <w:pgMar w:header="753" w:footer="0" w:top="1080" w:bottom="280" w:left="400" w:right="400"/>
          <w:cols w:num="4" w:equalWidth="0">
            <w:col w:w="3488" w:space="415"/>
            <w:col w:w="6454" w:space="40"/>
            <w:col w:w="3450" w:space="553"/>
            <w:col w:w="1650"/>
          </w:cols>
        </w:sectPr>
      </w:pPr>
    </w:p>
    <w:p>
      <w:pPr>
        <w:spacing w:before="1"/>
        <w:ind w:left="931" w:right="0" w:firstLine="0"/>
        <w:jc w:val="left"/>
        <w:rPr>
          <w:sz w:val="20"/>
        </w:rPr>
      </w:pPr>
      <w:r>
        <w:rPr>
          <w:spacing w:val="-2"/>
          <w:sz w:val="20"/>
        </w:rPr>
        <w:t>полости</w:t>
      </w:r>
    </w:p>
    <w:p>
      <w:pPr>
        <w:tabs>
          <w:tab w:pos="2674" w:val="left" w:leader="none"/>
        </w:tabs>
        <w:spacing w:line="252" w:lineRule="auto" w:before="121"/>
        <w:ind w:left="2674" w:right="0" w:hanging="1299"/>
        <w:jc w:val="left"/>
        <w:rPr>
          <w:sz w:val="20"/>
        </w:rPr>
      </w:pPr>
      <w:r>
        <w:rPr/>
        <w:br w:type="column"/>
      </w:r>
      <w:r>
        <w:rPr>
          <w:spacing w:val="-4"/>
          <w:sz w:val="20"/>
        </w:rPr>
        <w:t>Q39</w:t>
      </w:r>
      <w:r>
        <w:rPr>
          <w:sz w:val="20"/>
        </w:rPr>
        <w:tab/>
        <w:t>врожденные</w:t>
      </w:r>
      <w:r>
        <w:rPr>
          <w:spacing w:val="-13"/>
          <w:sz w:val="20"/>
        </w:rPr>
        <w:t> </w:t>
      </w:r>
      <w:r>
        <w:rPr>
          <w:sz w:val="20"/>
        </w:rPr>
        <w:t>аномалии</w:t>
      </w:r>
      <w:r>
        <w:rPr>
          <w:spacing w:val="-12"/>
          <w:sz w:val="20"/>
        </w:rPr>
        <w:t> </w:t>
      </w:r>
      <w:r>
        <w:rPr>
          <w:sz w:val="20"/>
        </w:rPr>
        <w:t>(пороки развития) пищевода</w:t>
      </w:r>
    </w:p>
    <w:p>
      <w:pPr>
        <w:tabs>
          <w:tab w:pos="2674" w:val="left" w:leader="none"/>
        </w:tabs>
        <w:spacing w:before="118"/>
        <w:ind w:left="931" w:right="0" w:firstLine="0"/>
        <w:jc w:val="left"/>
        <w:rPr>
          <w:sz w:val="20"/>
        </w:rPr>
      </w:pPr>
      <w:r>
        <w:rPr>
          <w:sz w:val="20"/>
        </w:rPr>
        <w:t>Q32,</w:t>
      </w:r>
      <w:r>
        <w:rPr>
          <w:spacing w:val="-2"/>
          <w:sz w:val="20"/>
        </w:rPr>
        <w:t> </w:t>
      </w:r>
      <w:r>
        <w:rPr>
          <w:sz w:val="20"/>
        </w:rPr>
        <w:t>Q33,</w:t>
      </w:r>
      <w:r>
        <w:rPr>
          <w:spacing w:val="-4"/>
          <w:sz w:val="20"/>
        </w:rPr>
        <w:t> </w:t>
      </w:r>
      <w:r>
        <w:rPr>
          <w:spacing w:val="-5"/>
          <w:sz w:val="20"/>
        </w:rPr>
        <w:t>Q34</w:t>
      </w:r>
      <w:r>
        <w:rPr>
          <w:sz w:val="20"/>
        </w:rPr>
        <w:tab/>
        <w:t>врожденные</w:t>
      </w:r>
      <w:r>
        <w:rPr>
          <w:spacing w:val="-11"/>
          <w:sz w:val="20"/>
        </w:rPr>
        <w:t> </w:t>
      </w:r>
      <w:r>
        <w:rPr>
          <w:sz w:val="20"/>
        </w:rPr>
        <w:t>аномалии</w:t>
      </w:r>
      <w:r>
        <w:rPr>
          <w:spacing w:val="-11"/>
          <w:sz w:val="20"/>
        </w:rPr>
        <w:t> </w:t>
      </w:r>
      <w:r>
        <w:rPr>
          <w:spacing w:val="-2"/>
          <w:sz w:val="20"/>
        </w:rPr>
        <w:t>(пороки</w:t>
      </w:r>
    </w:p>
    <w:p>
      <w:pPr>
        <w:spacing w:before="10"/>
        <w:ind w:left="2674" w:right="0" w:firstLine="0"/>
        <w:jc w:val="left"/>
        <w:rPr>
          <w:sz w:val="20"/>
        </w:rPr>
      </w:pPr>
      <w:r>
        <w:rPr>
          <w:sz w:val="20"/>
        </w:rPr>
        <w:t>развития)</w:t>
      </w:r>
      <w:r>
        <w:rPr>
          <w:spacing w:val="-10"/>
          <w:sz w:val="20"/>
        </w:rPr>
        <w:t> </w:t>
      </w:r>
      <w:r>
        <w:rPr>
          <w:sz w:val="20"/>
        </w:rPr>
        <w:t>органов</w:t>
      </w:r>
      <w:r>
        <w:rPr>
          <w:spacing w:val="-9"/>
          <w:sz w:val="20"/>
        </w:rPr>
        <w:t> </w:t>
      </w:r>
      <w:r>
        <w:rPr>
          <w:spacing w:val="-2"/>
          <w:sz w:val="20"/>
        </w:rPr>
        <w:t>дыхания</w:t>
      </w:r>
    </w:p>
    <w:p>
      <w:pPr>
        <w:spacing w:line="252" w:lineRule="auto" w:before="121"/>
        <w:ind w:left="607" w:right="0" w:firstLine="0"/>
        <w:jc w:val="left"/>
        <w:rPr>
          <w:sz w:val="20"/>
        </w:rPr>
      </w:pPr>
      <w:r>
        <w:rPr/>
        <w:br w:type="column"/>
      </w:r>
      <w:r>
        <w:rPr>
          <w:spacing w:val="-2"/>
          <w:sz w:val="20"/>
        </w:rPr>
        <w:t>хирургическое лечение</w:t>
      </w:r>
    </w:p>
    <w:p>
      <w:pPr>
        <w:spacing w:line="249" w:lineRule="auto" w:before="118"/>
        <w:ind w:left="607" w:right="0" w:firstLine="0"/>
        <w:jc w:val="left"/>
        <w:rPr>
          <w:sz w:val="20"/>
        </w:rPr>
      </w:pPr>
      <w:r>
        <w:rPr>
          <w:spacing w:val="-2"/>
          <w:sz w:val="20"/>
        </w:rPr>
        <w:t>хирургическое лечение</w:t>
      </w:r>
    </w:p>
    <w:p>
      <w:pPr>
        <w:spacing w:line="252" w:lineRule="auto" w:before="121"/>
        <w:ind w:left="178" w:right="1947" w:firstLine="0"/>
        <w:jc w:val="left"/>
        <w:rPr>
          <w:sz w:val="20"/>
        </w:rPr>
      </w:pPr>
      <w:r>
        <w:rPr/>
        <w:br w:type="column"/>
      </w:r>
      <w:r>
        <w:rPr>
          <w:sz w:val="20"/>
        </w:rPr>
        <w:t>реконструктивные операции на пищеводе</w:t>
      </w:r>
      <w:r>
        <w:rPr>
          <w:spacing w:val="-11"/>
          <w:sz w:val="20"/>
        </w:rPr>
        <w:t> </w:t>
      </w:r>
      <w:r>
        <w:rPr>
          <w:sz w:val="20"/>
        </w:rPr>
        <w:t>с</w:t>
      </w:r>
      <w:r>
        <w:rPr>
          <w:spacing w:val="-11"/>
          <w:sz w:val="20"/>
        </w:rPr>
        <w:t> </w:t>
      </w:r>
      <w:r>
        <w:rPr>
          <w:sz w:val="20"/>
        </w:rPr>
        <w:t>применением</w:t>
      </w:r>
      <w:r>
        <w:rPr>
          <w:spacing w:val="-10"/>
          <w:sz w:val="20"/>
        </w:rPr>
        <w:t> </w:t>
      </w:r>
      <w:r>
        <w:rPr>
          <w:sz w:val="20"/>
        </w:rPr>
        <w:t>робототехники</w:t>
      </w:r>
    </w:p>
    <w:p>
      <w:pPr>
        <w:spacing w:line="249" w:lineRule="auto" w:before="118"/>
        <w:ind w:left="178" w:right="1997" w:firstLine="0"/>
        <w:jc w:val="left"/>
        <w:rPr>
          <w:sz w:val="20"/>
        </w:rPr>
      </w:pPr>
      <w:r>
        <w:rPr>
          <w:sz w:val="20"/>
        </w:rPr>
        <w:t>роботассистированные</w:t>
      </w:r>
      <w:r>
        <w:rPr>
          <w:spacing w:val="-13"/>
          <w:sz w:val="20"/>
        </w:rPr>
        <w:t> </w:t>
      </w:r>
      <w:r>
        <w:rPr>
          <w:sz w:val="20"/>
        </w:rPr>
        <w:t>резекции</w:t>
      </w:r>
      <w:r>
        <w:rPr>
          <w:spacing w:val="-12"/>
          <w:sz w:val="20"/>
        </w:rPr>
        <w:t> </w:t>
      </w:r>
      <w:r>
        <w:rPr>
          <w:sz w:val="20"/>
        </w:rPr>
        <w:t>легких и пневмонэктомии</w:t>
      </w:r>
    </w:p>
    <w:p>
      <w:pPr>
        <w:spacing w:after="0" w:line="249" w:lineRule="auto"/>
        <w:jc w:val="left"/>
        <w:rPr>
          <w:sz w:val="20"/>
        </w:rPr>
        <w:sectPr>
          <w:type w:val="continuous"/>
          <w:pgSz w:w="16850" w:h="11910" w:orient="landscape"/>
          <w:pgMar w:header="753" w:footer="0" w:top="1080" w:bottom="280" w:left="400" w:right="400"/>
          <w:cols w:num="4" w:equalWidth="0">
            <w:col w:w="1662" w:space="1456"/>
            <w:col w:w="5336" w:space="40"/>
            <w:col w:w="1864" w:space="39"/>
            <w:col w:w="5653"/>
          </w:cols>
        </w:sectPr>
      </w:pPr>
    </w:p>
    <w:p>
      <w:pPr>
        <w:tabs>
          <w:tab w:pos="5792" w:val="left" w:leader="none"/>
          <w:tab w:pos="9100" w:val="left" w:leader="none"/>
        </w:tabs>
        <w:spacing w:line="249" w:lineRule="auto" w:before="122"/>
        <w:ind w:left="9100" w:right="0" w:hanging="4568"/>
        <w:jc w:val="left"/>
        <w:rPr>
          <w:sz w:val="20"/>
        </w:rPr>
      </w:pPr>
      <w:r>
        <w:rPr>
          <w:spacing w:val="-4"/>
          <w:sz w:val="20"/>
        </w:rPr>
        <w:t>I32</w:t>
      </w:r>
      <w:r>
        <w:rPr>
          <w:sz w:val="20"/>
        </w:rPr>
        <w:tab/>
      </w:r>
      <w:r>
        <w:rPr>
          <w:spacing w:val="-2"/>
          <w:sz w:val="20"/>
        </w:rPr>
        <w:t>перикардит</w:t>
      </w:r>
      <w:r>
        <w:rPr>
          <w:sz w:val="20"/>
        </w:rPr>
        <w:tab/>
      </w:r>
      <w:r>
        <w:rPr>
          <w:spacing w:val="-2"/>
          <w:sz w:val="20"/>
        </w:rPr>
        <w:t>хирургическое лечение</w:t>
      </w:r>
    </w:p>
    <w:p>
      <w:pPr>
        <w:tabs>
          <w:tab w:pos="5792" w:val="left" w:leader="none"/>
          <w:tab w:pos="9100" w:val="left" w:leader="none"/>
        </w:tabs>
        <w:spacing w:line="249" w:lineRule="auto" w:before="121"/>
        <w:ind w:left="9100" w:right="0" w:hanging="4573"/>
        <w:jc w:val="left"/>
        <w:rPr>
          <w:sz w:val="20"/>
        </w:rPr>
      </w:pPr>
      <w:r>
        <w:rPr>
          <w:spacing w:val="-4"/>
          <w:sz w:val="20"/>
        </w:rPr>
        <w:t>J47</w:t>
      </w:r>
      <w:r>
        <w:rPr>
          <w:sz w:val="20"/>
        </w:rPr>
        <w:tab/>
      </w:r>
      <w:r>
        <w:rPr>
          <w:spacing w:val="-2"/>
          <w:sz w:val="20"/>
        </w:rPr>
        <w:t>бронхоэктазия</w:t>
      </w:r>
      <w:r>
        <w:rPr>
          <w:sz w:val="20"/>
        </w:rPr>
        <w:tab/>
      </w:r>
      <w:r>
        <w:rPr>
          <w:spacing w:val="-2"/>
          <w:sz w:val="20"/>
        </w:rPr>
        <w:t>хирургическое лечение</w:t>
      </w:r>
    </w:p>
    <w:p>
      <w:pPr>
        <w:spacing w:before="122"/>
        <w:ind w:left="178" w:right="0" w:firstLine="0"/>
        <w:jc w:val="left"/>
        <w:rPr>
          <w:sz w:val="20"/>
        </w:rPr>
      </w:pPr>
      <w:r>
        <w:rPr/>
        <w:br w:type="column"/>
      </w:r>
      <w:r>
        <w:rPr>
          <w:w w:val="95"/>
          <w:sz w:val="20"/>
        </w:rPr>
        <w:t>роботассистированная</w:t>
      </w:r>
      <w:r>
        <w:rPr>
          <w:spacing w:val="74"/>
          <w:sz w:val="20"/>
        </w:rPr>
        <w:t> </w:t>
      </w:r>
      <w:r>
        <w:rPr>
          <w:spacing w:val="-2"/>
          <w:sz w:val="20"/>
        </w:rPr>
        <w:t>перикардэктомия</w:t>
      </w:r>
    </w:p>
    <w:p>
      <w:pPr>
        <w:pStyle w:val="BodyText"/>
        <w:spacing w:before="2"/>
        <w:rPr>
          <w:sz w:val="32"/>
        </w:rPr>
      </w:pPr>
    </w:p>
    <w:p>
      <w:pPr>
        <w:spacing w:line="249" w:lineRule="auto" w:before="0"/>
        <w:ind w:left="178" w:right="2175" w:firstLine="0"/>
        <w:jc w:val="left"/>
        <w:rPr>
          <w:sz w:val="20"/>
        </w:rPr>
      </w:pPr>
      <w:r>
        <w:rPr>
          <w:sz w:val="20"/>
        </w:rPr>
        <w:t>роботассистированные</w:t>
      </w:r>
      <w:r>
        <w:rPr>
          <w:spacing w:val="-13"/>
          <w:sz w:val="20"/>
        </w:rPr>
        <w:t> </w:t>
      </w:r>
      <w:r>
        <w:rPr>
          <w:sz w:val="20"/>
        </w:rPr>
        <w:t>анатомические резекции легких и пневмонэктомии</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tabs>
          <w:tab w:pos="5792" w:val="left" w:leader="none"/>
        </w:tabs>
        <w:spacing w:line="249" w:lineRule="auto" w:before="121"/>
        <w:ind w:left="5793" w:right="0" w:hanging="1299"/>
        <w:jc w:val="left"/>
        <w:rPr>
          <w:sz w:val="20"/>
        </w:rPr>
      </w:pPr>
      <w:r>
        <w:rPr>
          <w:spacing w:val="-4"/>
          <w:sz w:val="20"/>
        </w:rPr>
        <w:t>Q39</w:t>
      </w:r>
      <w:r>
        <w:rPr>
          <w:sz w:val="20"/>
        </w:rPr>
        <w:tab/>
        <w:t>врожденные</w:t>
      </w:r>
      <w:r>
        <w:rPr>
          <w:spacing w:val="-13"/>
          <w:sz w:val="20"/>
        </w:rPr>
        <w:t> </w:t>
      </w:r>
      <w:r>
        <w:rPr>
          <w:sz w:val="20"/>
        </w:rPr>
        <w:t>аномалии</w:t>
      </w:r>
      <w:r>
        <w:rPr>
          <w:spacing w:val="-12"/>
          <w:sz w:val="20"/>
        </w:rPr>
        <w:t> </w:t>
      </w:r>
      <w:r>
        <w:rPr>
          <w:sz w:val="20"/>
        </w:rPr>
        <w:t>(пороки развития) пищевода</w:t>
      </w:r>
    </w:p>
    <w:p>
      <w:pPr>
        <w:spacing w:line="249" w:lineRule="auto" w:before="121"/>
        <w:ind w:left="607" w:right="0" w:firstLine="0"/>
        <w:jc w:val="left"/>
        <w:rPr>
          <w:sz w:val="20"/>
        </w:rPr>
      </w:pPr>
      <w:r>
        <w:rPr/>
        <w:br w:type="column"/>
      </w:r>
      <w:r>
        <w:rPr>
          <w:spacing w:val="-2"/>
          <w:sz w:val="20"/>
        </w:rPr>
        <w:t>хирургическое лечение</w:t>
      </w:r>
    </w:p>
    <w:p>
      <w:pPr>
        <w:spacing w:line="249" w:lineRule="auto" w:before="121"/>
        <w:ind w:left="178" w:right="1951" w:firstLine="0"/>
        <w:jc w:val="left"/>
        <w:rPr>
          <w:sz w:val="20"/>
        </w:rPr>
      </w:pPr>
      <w:r>
        <w:rPr/>
        <w:br w:type="column"/>
      </w:r>
      <w:r>
        <w:rPr>
          <w:sz w:val="20"/>
        </w:rPr>
        <w:t>резекция пищевода с одномоментной пластикой</w:t>
      </w:r>
      <w:r>
        <w:rPr>
          <w:spacing w:val="-9"/>
          <w:sz w:val="20"/>
        </w:rPr>
        <w:t> </w:t>
      </w:r>
      <w:r>
        <w:rPr>
          <w:sz w:val="20"/>
        </w:rPr>
        <w:t>желудка,</w:t>
      </w:r>
      <w:r>
        <w:rPr>
          <w:spacing w:val="-7"/>
          <w:sz w:val="20"/>
        </w:rPr>
        <w:t> </w:t>
      </w:r>
      <w:r>
        <w:rPr>
          <w:sz w:val="20"/>
        </w:rPr>
        <w:t>тонкой</w:t>
      </w:r>
      <w:r>
        <w:rPr>
          <w:spacing w:val="-9"/>
          <w:sz w:val="20"/>
        </w:rPr>
        <w:t> </w:t>
      </w:r>
      <w:r>
        <w:rPr>
          <w:sz w:val="20"/>
        </w:rPr>
        <w:t>или</w:t>
      </w:r>
      <w:r>
        <w:rPr>
          <w:spacing w:val="-9"/>
          <w:sz w:val="20"/>
        </w:rPr>
        <w:t> </w:t>
      </w:r>
      <w:r>
        <w:rPr>
          <w:sz w:val="20"/>
        </w:rPr>
        <w:t>толстой кишки с применением робототехники</w:t>
      </w:r>
    </w:p>
    <w:p>
      <w:pPr>
        <w:spacing w:after="0" w:line="249" w:lineRule="auto"/>
        <w:jc w:val="left"/>
        <w:rPr>
          <w:sz w:val="20"/>
        </w:rPr>
        <w:sectPr>
          <w:type w:val="continuous"/>
          <w:pgSz w:w="16850" w:h="11910" w:orient="landscape"/>
          <w:pgMar w:header="753" w:footer="0" w:top="1080" w:bottom="280" w:left="400" w:right="400"/>
          <w:cols w:num="3" w:equalWidth="0">
            <w:col w:w="8454" w:space="40"/>
            <w:col w:w="1864" w:space="39"/>
            <w:col w:w="5653"/>
          </w:cols>
        </w:sectPr>
      </w:pPr>
    </w:p>
    <w:p>
      <w:pPr>
        <w:spacing w:before="123"/>
        <w:ind w:left="207" w:right="208" w:firstLine="0"/>
        <w:jc w:val="center"/>
        <w:rPr>
          <w:sz w:val="20"/>
        </w:rPr>
      </w:pPr>
      <w:r>
        <w:rPr>
          <w:sz w:val="20"/>
        </w:rPr>
        <w:t>Травматология</w:t>
      </w:r>
      <w:r>
        <w:rPr>
          <w:spacing w:val="-8"/>
          <w:sz w:val="20"/>
        </w:rPr>
        <w:t> </w:t>
      </w:r>
      <w:r>
        <w:rPr>
          <w:sz w:val="20"/>
        </w:rPr>
        <w:t>и</w:t>
      </w:r>
      <w:r>
        <w:rPr>
          <w:spacing w:val="-7"/>
          <w:sz w:val="20"/>
        </w:rPr>
        <w:t> </w:t>
      </w:r>
      <w:r>
        <w:rPr>
          <w:spacing w:val="-2"/>
          <w:sz w:val="20"/>
        </w:rPr>
        <w:t>ортопедия</w:t>
      </w:r>
    </w:p>
    <w:p>
      <w:pPr>
        <w:spacing w:after="0"/>
        <w:jc w:val="center"/>
        <w:rPr>
          <w:sz w:val="20"/>
        </w:rPr>
        <w:sectPr>
          <w:type w:val="continuous"/>
          <w:pgSz w:w="16850" w:h="11910" w:orient="landscape"/>
          <w:pgMar w:header="753" w:footer="0" w:top="1080" w:bottom="280" w:left="400" w:right="400"/>
        </w:sectPr>
      </w:pPr>
    </w:p>
    <w:p>
      <w:pPr>
        <w:pStyle w:val="ListParagraph"/>
        <w:numPr>
          <w:ilvl w:val="0"/>
          <w:numId w:val="10"/>
        </w:numPr>
        <w:tabs>
          <w:tab w:pos="931" w:val="left" w:leader="none"/>
          <w:tab w:pos="932" w:val="left" w:leader="none"/>
        </w:tabs>
        <w:spacing w:line="249" w:lineRule="auto" w:before="130" w:after="0"/>
        <w:ind w:left="931" w:right="0" w:hanging="564"/>
        <w:jc w:val="left"/>
        <w:rPr>
          <w:sz w:val="20"/>
        </w:rPr>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w:t>
      </w:r>
      <w:r>
        <w:rPr>
          <w:spacing w:val="-2"/>
          <w:sz w:val="20"/>
        </w:rPr>
        <w:t> </w:t>
      </w:r>
      <w:r>
        <w:rPr>
          <w:sz w:val="20"/>
        </w:rPr>
        <w:t>протезов</w:t>
      </w:r>
      <w:r>
        <w:rPr>
          <w:spacing w:val="-4"/>
          <w:sz w:val="20"/>
        </w:rPr>
        <w:t> </w:t>
      </w:r>
      <w:r>
        <w:rPr>
          <w:sz w:val="20"/>
        </w:rPr>
        <w:t>тел позвонков</w:t>
      </w:r>
      <w:r>
        <w:rPr>
          <w:spacing w:val="-13"/>
          <w:sz w:val="20"/>
        </w:rPr>
        <w:t> </w:t>
      </w:r>
      <w:r>
        <w:rPr>
          <w:sz w:val="20"/>
        </w:rPr>
        <w:t>и</w:t>
      </w:r>
      <w:r>
        <w:rPr>
          <w:spacing w:val="-12"/>
          <w:sz w:val="20"/>
        </w:rPr>
        <w:t> </w:t>
      </w:r>
      <w:r>
        <w:rPr>
          <w:sz w:val="20"/>
        </w:rPr>
        <w:t>межпозвонковых</w:t>
      </w:r>
      <w:r>
        <w:rPr>
          <w:sz w:val="20"/>
        </w:rPr>
        <w:t> дисков, костного цемента и </w:t>
      </w:r>
      <w:r>
        <w:rPr>
          <w:spacing w:val="-2"/>
          <w:sz w:val="20"/>
        </w:rPr>
        <w:t>остеозамещающих </w:t>
      </w:r>
      <w:r>
        <w:rPr>
          <w:sz w:val="20"/>
        </w:rPr>
        <w:t>материалов с применением погружных и наружных фиксирующих устройств</w:t>
      </w:r>
    </w:p>
    <w:p>
      <w:pPr>
        <w:tabs>
          <w:tab w:pos="2268" w:val="left" w:leader="none"/>
        </w:tabs>
        <w:spacing w:before="130"/>
        <w:ind w:left="293" w:right="0" w:firstLine="0"/>
        <w:jc w:val="left"/>
        <w:rPr>
          <w:sz w:val="20"/>
        </w:rPr>
      </w:pPr>
      <w:r>
        <w:rPr/>
        <w:br w:type="column"/>
      </w:r>
      <w:r>
        <w:rPr>
          <w:sz w:val="20"/>
        </w:rPr>
        <w:t>B67,</w:t>
      </w:r>
      <w:r>
        <w:rPr>
          <w:spacing w:val="-4"/>
          <w:sz w:val="20"/>
        </w:rPr>
        <w:t> </w:t>
      </w:r>
      <w:r>
        <w:rPr>
          <w:sz w:val="20"/>
        </w:rPr>
        <w:t>D16,</w:t>
      </w:r>
      <w:r>
        <w:rPr>
          <w:spacing w:val="-3"/>
          <w:sz w:val="20"/>
        </w:rPr>
        <w:t> </w:t>
      </w:r>
      <w:r>
        <w:rPr>
          <w:sz w:val="20"/>
        </w:rPr>
        <w:t>D18,</w:t>
      </w:r>
      <w:r>
        <w:rPr>
          <w:spacing w:val="-3"/>
          <w:sz w:val="20"/>
        </w:rPr>
        <w:t> </w:t>
      </w:r>
      <w:r>
        <w:rPr>
          <w:spacing w:val="-5"/>
          <w:sz w:val="20"/>
        </w:rPr>
        <w:t>M88</w:t>
      </w:r>
      <w:r>
        <w:rPr>
          <w:sz w:val="20"/>
        </w:rPr>
        <w:tab/>
        <w:t>деструкция</w:t>
      </w:r>
      <w:r>
        <w:rPr>
          <w:spacing w:val="-5"/>
          <w:sz w:val="20"/>
        </w:rPr>
        <w:t> </w:t>
      </w:r>
      <w:r>
        <w:rPr>
          <w:sz w:val="20"/>
        </w:rPr>
        <w:t>и</w:t>
      </w:r>
      <w:r>
        <w:rPr>
          <w:spacing w:val="-7"/>
          <w:sz w:val="20"/>
        </w:rPr>
        <w:t> </w:t>
      </w:r>
      <w:r>
        <w:rPr>
          <w:spacing w:val="-2"/>
          <w:sz w:val="20"/>
        </w:rPr>
        <w:t>деформация</w:t>
      </w:r>
    </w:p>
    <w:p>
      <w:pPr>
        <w:spacing w:line="249" w:lineRule="auto" w:before="10"/>
        <w:ind w:left="2268" w:right="0" w:firstLine="0"/>
        <w:jc w:val="left"/>
        <w:rPr>
          <w:sz w:val="20"/>
        </w:rPr>
      </w:pPr>
      <w:r>
        <w:rPr>
          <w:sz w:val="20"/>
        </w:rPr>
        <w:t>(патологический</w:t>
      </w:r>
      <w:r>
        <w:rPr>
          <w:spacing w:val="-13"/>
          <w:sz w:val="20"/>
        </w:rPr>
        <w:t> </w:t>
      </w:r>
      <w:r>
        <w:rPr>
          <w:sz w:val="20"/>
        </w:rPr>
        <w:t>перелом)</w:t>
      </w:r>
      <w:r>
        <w:rPr>
          <w:spacing w:val="-12"/>
          <w:sz w:val="20"/>
        </w:rPr>
        <w:t> </w:t>
      </w:r>
      <w:r>
        <w:rPr>
          <w:sz w:val="20"/>
        </w:rPr>
        <w:t>позвонков вследствие их поражения </w:t>
      </w:r>
      <w:r>
        <w:rPr>
          <w:spacing w:val="-2"/>
          <w:sz w:val="20"/>
        </w:rPr>
        <w:t>доброкачественным </w:t>
      </w:r>
      <w:r>
        <w:rPr>
          <w:sz w:val="20"/>
        </w:rP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pPr>
        <w:spacing w:line="249" w:lineRule="auto" w:before="130"/>
        <w:ind w:left="87" w:right="0" w:firstLine="0"/>
        <w:jc w:val="left"/>
        <w:rPr>
          <w:sz w:val="20"/>
        </w:rPr>
      </w:pPr>
      <w:r>
        <w:rPr/>
        <w:br w:type="column"/>
      </w:r>
      <w:r>
        <w:rPr>
          <w:spacing w:val="-2"/>
          <w:sz w:val="20"/>
        </w:rPr>
        <w:t>хирургическое лечение</w:t>
      </w:r>
    </w:p>
    <w:p>
      <w:pPr>
        <w:spacing w:line="249" w:lineRule="auto" w:before="130"/>
        <w:ind w:left="178" w:right="0" w:firstLine="0"/>
        <w:jc w:val="left"/>
        <w:rPr>
          <w:sz w:val="20"/>
        </w:rPr>
      </w:pPr>
      <w:r>
        <w:rPr/>
        <w:br w:type="column"/>
      </w:r>
      <w:r>
        <w:rPr>
          <w:spacing w:val="-2"/>
          <w:sz w:val="20"/>
        </w:rPr>
        <w:t>декомпрессивно-стабилизирующее </w:t>
      </w:r>
      <w:r>
        <w:rPr>
          <w:sz w:val="20"/>
        </w:rPr>
        <w:t>вмешательство с резекцией новообразования и позвонка из вентрального или заднего доступа со спондилосинтезом позвоночника с использованием</w:t>
      </w:r>
      <w:r>
        <w:rPr>
          <w:spacing w:val="-13"/>
          <w:sz w:val="20"/>
        </w:rPr>
        <w:t> </w:t>
      </w:r>
      <w:r>
        <w:rPr>
          <w:sz w:val="20"/>
        </w:rPr>
        <w:t>погружных</w:t>
      </w:r>
      <w:r>
        <w:rPr>
          <w:spacing w:val="-12"/>
          <w:sz w:val="20"/>
        </w:rPr>
        <w:t> </w:t>
      </w:r>
      <w:r>
        <w:rPr>
          <w:sz w:val="20"/>
        </w:rPr>
        <w:t>имплантатов и стабилизирующих систем</w:t>
      </w:r>
    </w:p>
    <w:p>
      <w:pPr>
        <w:spacing w:line="249" w:lineRule="auto" w:before="127"/>
        <w:ind w:left="178" w:right="0" w:firstLine="0"/>
        <w:jc w:val="left"/>
        <w:rPr>
          <w:sz w:val="20"/>
        </w:rPr>
      </w:pPr>
      <w:r>
        <w:rPr>
          <w:sz w:val="20"/>
        </w:rPr>
        <w:t>резекция опухоли или иного опухолеподобного</w:t>
      </w:r>
      <w:r>
        <w:rPr>
          <w:spacing w:val="-13"/>
          <w:sz w:val="20"/>
        </w:rPr>
        <w:t> </w:t>
      </w:r>
      <w:r>
        <w:rPr>
          <w:sz w:val="20"/>
        </w:rPr>
        <w:t>образования</w:t>
      </w:r>
      <w:r>
        <w:rPr>
          <w:spacing w:val="-12"/>
          <w:sz w:val="20"/>
        </w:rPr>
        <w:t> </w:t>
      </w:r>
      <w:r>
        <w:rPr>
          <w:sz w:val="20"/>
        </w:rPr>
        <w:t>блоком или частями из комбинированных доступов с реконструкцией дефекта позвоночного</w:t>
      </w:r>
      <w:r>
        <w:rPr>
          <w:spacing w:val="-11"/>
          <w:sz w:val="20"/>
        </w:rPr>
        <w:t> </w:t>
      </w:r>
      <w:r>
        <w:rPr>
          <w:sz w:val="20"/>
        </w:rPr>
        <w:t>столба</w:t>
      </w:r>
      <w:r>
        <w:rPr>
          <w:spacing w:val="-12"/>
          <w:sz w:val="20"/>
        </w:rPr>
        <w:t> </w:t>
      </w:r>
      <w:r>
        <w:rPr>
          <w:sz w:val="20"/>
        </w:rPr>
        <w:t>с</w:t>
      </w:r>
      <w:r>
        <w:rPr>
          <w:spacing w:val="-9"/>
          <w:sz w:val="20"/>
        </w:rPr>
        <w:t> </w:t>
      </w:r>
      <w:r>
        <w:rPr>
          <w:sz w:val="20"/>
        </w:rPr>
        <w:t>использованием погружных имплантатов и спондилосинтезом</w:t>
      </w:r>
      <w:r>
        <w:rPr>
          <w:spacing w:val="-13"/>
          <w:sz w:val="20"/>
        </w:rPr>
        <w:t> </w:t>
      </w:r>
      <w:r>
        <w:rPr>
          <w:sz w:val="20"/>
        </w:rPr>
        <w:t>стабилизирующими </w:t>
      </w:r>
      <w:r>
        <w:rPr>
          <w:spacing w:val="-2"/>
          <w:sz w:val="20"/>
        </w:rPr>
        <w:t>системами</w:t>
      </w:r>
    </w:p>
    <w:p>
      <w:pPr>
        <w:spacing w:before="130"/>
        <w:ind w:left="367" w:right="0" w:firstLine="0"/>
        <w:jc w:val="left"/>
        <w:rPr>
          <w:sz w:val="20"/>
        </w:rPr>
      </w:pPr>
      <w:r>
        <w:rPr/>
        <w:br w:type="column"/>
      </w:r>
      <w:r>
        <w:rPr>
          <w:spacing w:val="-2"/>
          <w:sz w:val="20"/>
        </w:rPr>
        <w:t>304273</w:t>
      </w:r>
    </w:p>
    <w:p>
      <w:pPr>
        <w:spacing w:after="0"/>
        <w:jc w:val="left"/>
        <w:rPr>
          <w:sz w:val="20"/>
        </w:rPr>
        <w:sectPr>
          <w:type w:val="continuous"/>
          <w:pgSz w:w="16850" w:h="11910" w:orient="landscape"/>
          <w:pgMar w:header="753" w:footer="0" w:top="1080" w:bottom="280" w:left="400" w:right="400"/>
          <w:cols w:num="5" w:equalWidth="0">
            <w:col w:w="3485" w:space="40"/>
            <w:col w:w="5449" w:space="39"/>
            <w:col w:w="1344" w:space="39"/>
            <w:col w:w="3763" w:space="241"/>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9"/>
        <w:gridCol w:w="3300"/>
        <w:gridCol w:w="1455"/>
        <w:gridCol w:w="3720"/>
      </w:tblGrid>
      <w:tr>
        <w:trPr>
          <w:trHeight w:val="2930" w:hRule="atLeast"/>
        </w:trPr>
        <w:tc>
          <w:tcPr>
            <w:tcW w:w="2059" w:type="dxa"/>
          </w:tcPr>
          <w:p>
            <w:pPr>
              <w:pStyle w:val="TableParagraph"/>
              <w:spacing w:line="249" w:lineRule="auto"/>
              <w:ind w:left="50" w:right="80" w:firstLine="33"/>
              <w:jc w:val="both"/>
              <w:rPr>
                <w:sz w:val="20"/>
              </w:rPr>
            </w:pPr>
            <w:r>
              <w:rPr>
                <w:sz w:val="20"/>
              </w:rPr>
              <w:t>M42,</w:t>
            </w:r>
            <w:r>
              <w:rPr>
                <w:spacing w:val="-2"/>
                <w:sz w:val="20"/>
              </w:rPr>
              <w:t> </w:t>
            </w:r>
            <w:r>
              <w:rPr>
                <w:sz w:val="20"/>
              </w:rPr>
              <w:t>M43,</w:t>
            </w:r>
            <w:r>
              <w:rPr>
                <w:spacing w:val="-2"/>
                <w:sz w:val="20"/>
              </w:rPr>
              <w:t> </w:t>
            </w:r>
            <w:r>
              <w:rPr>
                <w:sz w:val="20"/>
              </w:rPr>
              <w:t>M45,</w:t>
            </w:r>
            <w:r>
              <w:rPr>
                <w:spacing w:val="-4"/>
                <w:sz w:val="20"/>
              </w:rPr>
              <w:t> </w:t>
            </w:r>
            <w:r>
              <w:rPr>
                <w:sz w:val="20"/>
              </w:rPr>
              <w:t>M46, M48, M50, M51, M53, M92,</w:t>
            </w:r>
            <w:r>
              <w:rPr>
                <w:spacing w:val="-4"/>
                <w:sz w:val="20"/>
              </w:rPr>
              <w:t> </w:t>
            </w:r>
            <w:r>
              <w:rPr>
                <w:sz w:val="20"/>
              </w:rPr>
              <w:t>M93,</w:t>
            </w:r>
            <w:r>
              <w:rPr>
                <w:spacing w:val="-3"/>
                <w:sz w:val="20"/>
              </w:rPr>
              <w:t> </w:t>
            </w:r>
            <w:r>
              <w:rPr>
                <w:sz w:val="20"/>
              </w:rPr>
              <w:t>M95,</w:t>
            </w:r>
            <w:r>
              <w:rPr>
                <w:spacing w:val="-5"/>
                <w:sz w:val="20"/>
              </w:rPr>
              <w:t> </w:t>
            </w:r>
            <w:r>
              <w:rPr>
                <w:spacing w:val="-4"/>
                <w:sz w:val="20"/>
              </w:rPr>
              <w:t>Q76.2</w:t>
            </w:r>
          </w:p>
        </w:tc>
        <w:tc>
          <w:tcPr>
            <w:tcW w:w="3300" w:type="dxa"/>
          </w:tcPr>
          <w:p>
            <w:pPr>
              <w:pStyle w:val="TableParagraph"/>
              <w:spacing w:line="249" w:lineRule="auto"/>
              <w:ind w:left="81" w:right="77"/>
              <w:rPr>
                <w:sz w:val="20"/>
              </w:rPr>
            </w:pPr>
            <w:r>
              <w:rPr>
                <w:spacing w:val="-2"/>
                <w:sz w:val="20"/>
              </w:rPr>
              <w:t>дегенеративно-дистрофическое </w:t>
            </w:r>
            <w:r>
              <w:rPr>
                <w:sz w:val="20"/>
              </w:rPr>
              <w:t>поражение</w:t>
            </w:r>
            <w:r>
              <w:rPr>
                <w:spacing w:val="-13"/>
                <w:sz w:val="20"/>
              </w:rPr>
              <w:t> </w:t>
            </w:r>
            <w:r>
              <w:rPr>
                <w:sz w:val="20"/>
              </w:rPr>
              <w:t>межпозвонковых</w:t>
            </w:r>
            <w:r>
              <w:rPr>
                <w:spacing w:val="-12"/>
                <w:sz w:val="20"/>
              </w:rPr>
              <w:t> </w:t>
            </w:r>
            <w:r>
              <w:rPr>
                <w:sz w:val="20"/>
              </w:rPr>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w:t>
            </w:r>
            <w:r>
              <w:rPr>
                <w:spacing w:val="-3"/>
                <w:sz w:val="20"/>
              </w:rPr>
              <w:t> </w:t>
            </w:r>
            <w:r>
              <w:rPr>
                <w:sz w:val="20"/>
              </w:rPr>
              <w:t>позвоночного</w:t>
            </w:r>
            <w:r>
              <w:rPr>
                <w:spacing w:val="-3"/>
                <w:sz w:val="20"/>
              </w:rPr>
              <w:t> </w:t>
            </w:r>
            <w:r>
              <w:rPr>
                <w:sz w:val="20"/>
              </w:rPr>
              <w:t>канала</w:t>
            </w:r>
            <w:r>
              <w:rPr>
                <w:spacing w:val="-4"/>
                <w:sz w:val="20"/>
              </w:rPr>
              <w:t> </w:t>
            </w:r>
            <w:r>
              <w:rPr>
                <w:sz w:val="20"/>
              </w:rPr>
              <w:t>и</w:t>
            </w:r>
            <w:r>
              <w:rPr>
                <w:spacing w:val="-5"/>
                <w:sz w:val="20"/>
              </w:rPr>
              <w:t> </w:t>
            </w:r>
            <w:r>
              <w:rPr>
                <w:sz w:val="20"/>
              </w:rPr>
              <w:t>его </w:t>
            </w:r>
            <w:r>
              <w:rPr>
                <w:spacing w:val="-2"/>
                <w:sz w:val="20"/>
              </w:rPr>
              <w:t>карманов</w:t>
            </w:r>
          </w:p>
        </w:tc>
        <w:tc>
          <w:tcPr>
            <w:tcW w:w="1455" w:type="dxa"/>
          </w:tcPr>
          <w:p>
            <w:pPr>
              <w:pStyle w:val="TableParagraph"/>
              <w:spacing w:line="249" w:lineRule="auto"/>
              <w:ind w:left="89"/>
              <w:rPr>
                <w:sz w:val="20"/>
              </w:rPr>
            </w:pPr>
            <w:r>
              <w:rPr>
                <w:spacing w:val="-2"/>
                <w:sz w:val="20"/>
              </w:rPr>
              <w:t>хирургическое лечение</w:t>
            </w:r>
          </w:p>
        </w:tc>
        <w:tc>
          <w:tcPr>
            <w:tcW w:w="3720" w:type="dxa"/>
          </w:tcPr>
          <w:p>
            <w:pPr>
              <w:pStyle w:val="TableParagraph"/>
              <w:spacing w:line="249" w:lineRule="auto"/>
              <w:ind w:left="108" w:right="34"/>
              <w:rPr>
                <w:sz w:val="20"/>
              </w:rPr>
            </w:pPr>
            <w:r>
              <w:rPr>
                <w:spacing w:val="-2"/>
                <w:sz w:val="20"/>
              </w:rPr>
              <w:t>декомпрессивно-стабилизирующее </w:t>
            </w:r>
            <w:r>
              <w:rPr>
                <w:sz w:val="20"/>
              </w:rPr>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 и стабилизирующих систем (ригидных или динамических) при помощи микро- скопа, эндоскопической техники и малоинвазивного инструментария</w:t>
            </w:r>
          </w:p>
        </w:tc>
      </w:tr>
      <w:tr>
        <w:trPr>
          <w:trHeight w:val="2760" w:hRule="atLeast"/>
        </w:trPr>
        <w:tc>
          <w:tcPr>
            <w:tcW w:w="2059" w:type="dxa"/>
          </w:tcPr>
          <w:p>
            <w:pPr>
              <w:pStyle w:val="TableParagraph"/>
              <w:rPr>
                <w:sz w:val="18"/>
              </w:rPr>
            </w:pPr>
          </w:p>
        </w:tc>
        <w:tc>
          <w:tcPr>
            <w:tcW w:w="3300" w:type="dxa"/>
          </w:tcPr>
          <w:p>
            <w:pPr>
              <w:pStyle w:val="TableParagraph"/>
              <w:rPr>
                <w:sz w:val="18"/>
              </w:rPr>
            </w:pPr>
          </w:p>
        </w:tc>
        <w:tc>
          <w:tcPr>
            <w:tcW w:w="1455" w:type="dxa"/>
          </w:tcPr>
          <w:p>
            <w:pPr>
              <w:pStyle w:val="TableParagraph"/>
              <w:rPr>
                <w:sz w:val="18"/>
              </w:rPr>
            </w:pPr>
          </w:p>
        </w:tc>
        <w:tc>
          <w:tcPr>
            <w:tcW w:w="3720" w:type="dxa"/>
          </w:tcPr>
          <w:p>
            <w:pPr>
              <w:pStyle w:val="TableParagraph"/>
              <w:spacing w:line="249" w:lineRule="auto" w:before="60"/>
              <w:ind w:left="108" w:right="34"/>
              <w:rPr>
                <w:sz w:val="20"/>
              </w:rPr>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w:t>
            </w:r>
            <w:r>
              <w:rPr>
                <w:spacing w:val="-13"/>
                <w:sz w:val="20"/>
              </w:rPr>
              <w:t> </w:t>
            </w:r>
            <w:r>
              <w:rPr>
                <w:sz w:val="20"/>
              </w:rPr>
              <w:t>доступов,</w:t>
            </w:r>
            <w:r>
              <w:rPr>
                <w:spacing w:val="-12"/>
                <w:sz w:val="20"/>
              </w:rPr>
              <w:t> </w:t>
            </w:r>
            <w:r>
              <w:rPr>
                <w:sz w:val="20"/>
              </w:rPr>
              <w:t>с</w:t>
            </w:r>
            <w:r>
              <w:rPr>
                <w:spacing w:val="-13"/>
                <w:sz w:val="20"/>
              </w:rPr>
              <w:t> </w:t>
            </w:r>
            <w:r>
              <w:rPr>
                <w:sz w:val="20"/>
              </w:rPr>
              <w:t>фиксацией позвоночника,</w:t>
            </w:r>
            <w:r>
              <w:rPr>
                <w:spacing w:val="-9"/>
                <w:sz w:val="20"/>
              </w:rPr>
              <w:t> </w:t>
            </w:r>
            <w:r>
              <w:rPr>
                <w:sz w:val="20"/>
              </w:rPr>
              <w:t>с</w:t>
            </w:r>
            <w:r>
              <w:rPr>
                <w:spacing w:val="-9"/>
                <w:sz w:val="20"/>
              </w:rPr>
              <w:t> </w:t>
            </w:r>
            <w:r>
              <w:rPr>
                <w:sz w:val="20"/>
              </w:rPr>
              <w:t>использованием</w:t>
            </w:r>
            <w:r>
              <w:rPr>
                <w:spacing w:val="-9"/>
                <w:sz w:val="20"/>
              </w:rPr>
              <w:t> </w:t>
            </w:r>
            <w:r>
              <w:rPr>
                <w:sz w:val="20"/>
              </w:rPr>
              <w:t>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trPr>
          <w:trHeight w:val="2210" w:hRule="atLeast"/>
        </w:trPr>
        <w:tc>
          <w:tcPr>
            <w:tcW w:w="2059" w:type="dxa"/>
          </w:tcPr>
          <w:p>
            <w:pPr>
              <w:pStyle w:val="TableParagraph"/>
              <w:spacing w:line="249" w:lineRule="auto" w:before="60"/>
              <w:ind w:left="66" w:right="95"/>
              <w:jc w:val="center"/>
              <w:rPr>
                <w:sz w:val="20"/>
              </w:rPr>
            </w:pPr>
            <w:r>
              <w:rPr>
                <w:sz w:val="20"/>
              </w:rPr>
              <w:t>A18.0, S12.0, S12.1, S13, S14, S19, S22.0, S22.1,</w:t>
            </w:r>
            <w:r>
              <w:rPr>
                <w:spacing w:val="-13"/>
                <w:sz w:val="20"/>
              </w:rPr>
              <w:t> </w:t>
            </w:r>
            <w:r>
              <w:rPr>
                <w:sz w:val="20"/>
              </w:rPr>
              <w:t>S23,</w:t>
            </w:r>
            <w:r>
              <w:rPr>
                <w:spacing w:val="-12"/>
                <w:sz w:val="20"/>
              </w:rPr>
              <w:t> </w:t>
            </w:r>
            <w:r>
              <w:rPr>
                <w:sz w:val="20"/>
              </w:rPr>
              <w:t>S24,</w:t>
            </w:r>
            <w:r>
              <w:rPr>
                <w:spacing w:val="-13"/>
                <w:sz w:val="20"/>
              </w:rPr>
              <w:t> </w:t>
            </w:r>
            <w:r>
              <w:rPr>
                <w:sz w:val="20"/>
              </w:rPr>
              <w:t>S32.0, S32.1, S33, S34, T08, T09, T85, T91, M80, M81,</w:t>
            </w:r>
            <w:r>
              <w:rPr>
                <w:spacing w:val="-1"/>
                <w:sz w:val="20"/>
              </w:rPr>
              <w:t> </w:t>
            </w:r>
            <w:r>
              <w:rPr>
                <w:sz w:val="20"/>
              </w:rPr>
              <w:t>M82,</w:t>
            </w:r>
            <w:r>
              <w:rPr>
                <w:spacing w:val="-1"/>
                <w:sz w:val="20"/>
              </w:rPr>
              <w:t> </w:t>
            </w:r>
            <w:r>
              <w:rPr>
                <w:sz w:val="20"/>
              </w:rPr>
              <w:t>M86,</w:t>
            </w:r>
            <w:r>
              <w:rPr>
                <w:spacing w:val="-3"/>
                <w:sz w:val="20"/>
              </w:rPr>
              <w:t> </w:t>
            </w:r>
            <w:r>
              <w:rPr>
                <w:sz w:val="20"/>
              </w:rPr>
              <w:t>M85, M87, M96, M99, Q67,</w:t>
            </w:r>
          </w:p>
          <w:p>
            <w:pPr>
              <w:pStyle w:val="TableParagraph"/>
              <w:spacing w:line="240" w:lineRule="exact"/>
              <w:ind w:left="63" w:right="95"/>
              <w:jc w:val="center"/>
              <w:rPr>
                <w:sz w:val="20"/>
              </w:rPr>
            </w:pPr>
            <w:r>
              <w:rPr>
                <w:sz w:val="20"/>
              </w:rPr>
              <w:t>Q76.0,</w:t>
            </w:r>
            <w:r>
              <w:rPr>
                <w:spacing w:val="-13"/>
                <w:sz w:val="20"/>
              </w:rPr>
              <w:t> </w:t>
            </w:r>
            <w:r>
              <w:rPr>
                <w:sz w:val="20"/>
              </w:rPr>
              <w:t>Q76.1,</w:t>
            </w:r>
            <w:r>
              <w:rPr>
                <w:spacing w:val="-12"/>
                <w:sz w:val="20"/>
              </w:rPr>
              <w:t> </w:t>
            </w:r>
            <w:r>
              <w:rPr>
                <w:sz w:val="20"/>
              </w:rPr>
              <w:t>Q76.4, Q77, Q76.3</w:t>
            </w:r>
          </w:p>
        </w:tc>
        <w:tc>
          <w:tcPr>
            <w:tcW w:w="3300" w:type="dxa"/>
          </w:tcPr>
          <w:p>
            <w:pPr>
              <w:pStyle w:val="TableParagraph"/>
              <w:spacing w:line="249" w:lineRule="auto" w:before="60"/>
              <w:ind w:left="81" w:right="77"/>
              <w:rPr>
                <w:sz w:val="20"/>
              </w:rPr>
            </w:pPr>
            <w:r>
              <w:rPr>
                <w:sz w:val="20"/>
              </w:rPr>
              <w:t>переломы позвонков, повреждения (разрыв) межпозвонковых дисков и связок позвоночника, деформации позвоночного</w:t>
            </w:r>
            <w:r>
              <w:rPr>
                <w:spacing w:val="-13"/>
                <w:sz w:val="20"/>
              </w:rPr>
              <w:t> </w:t>
            </w:r>
            <w:r>
              <w:rPr>
                <w:sz w:val="20"/>
              </w:rPr>
              <w:t>столба</w:t>
            </w:r>
            <w:r>
              <w:rPr>
                <w:spacing w:val="-12"/>
                <w:sz w:val="20"/>
              </w:rPr>
              <w:t> </w:t>
            </w:r>
            <w:r>
              <w:rPr>
                <w:sz w:val="20"/>
              </w:rPr>
              <w:t>вследствие</w:t>
            </w:r>
            <w:r>
              <w:rPr>
                <w:spacing w:val="-13"/>
                <w:sz w:val="20"/>
              </w:rPr>
              <w:t> </w:t>
            </w:r>
            <w:r>
              <w:rPr>
                <w:sz w:val="20"/>
              </w:rPr>
              <w:t>его врожденной патологии или перенесенных заболеваний</w:t>
            </w:r>
          </w:p>
        </w:tc>
        <w:tc>
          <w:tcPr>
            <w:tcW w:w="1455" w:type="dxa"/>
          </w:tcPr>
          <w:p>
            <w:pPr>
              <w:pStyle w:val="TableParagraph"/>
              <w:spacing w:line="252" w:lineRule="auto" w:before="60"/>
              <w:ind w:left="89"/>
              <w:rPr>
                <w:sz w:val="20"/>
              </w:rPr>
            </w:pPr>
            <w:r>
              <w:rPr>
                <w:spacing w:val="-2"/>
                <w:sz w:val="20"/>
              </w:rPr>
              <w:t>хирургическое лечение</w:t>
            </w:r>
          </w:p>
        </w:tc>
        <w:tc>
          <w:tcPr>
            <w:tcW w:w="3720" w:type="dxa"/>
          </w:tcPr>
          <w:p>
            <w:pPr>
              <w:pStyle w:val="TableParagraph"/>
              <w:spacing w:line="249" w:lineRule="auto" w:before="60"/>
              <w:ind w:left="108" w:right="34"/>
              <w:rPr>
                <w:sz w:val="20"/>
              </w:rPr>
            </w:pPr>
            <w:r>
              <w:rPr>
                <w:sz w:val="20"/>
              </w:rPr>
              <w:t>двух-</w:t>
            </w:r>
            <w:r>
              <w:rPr>
                <w:spacing w:val="-13"/>
                <w:sz w:val="20"/>
              </w:rPr>
              <w:t> </w:t>
            </w:r>
            <w:r>
              <w:rPr>
                <w:sz w:val="20"/>
              </w:rPr>
              <w:t>и</w:t>
            </w:r>
            <w:r>
              <w:rPr>
                <w:spacing w:val="-12"/>
                <w:sz w:val="20"/>
              </w:rPr>
              <w:t> </w:t>
            </w:r>
            <w:r>
              <w:rPr>
                <w:sz w:val="20"/>
              </w:rPr>
              <w:t>многоэтапное</w:t>
            </w:r>
            <w:r>
              <w:rPr>
                <w:spacing w:val="-13"/>
                <w:sz w:val="20"/>
              </w:rPr>
              <w:t> </w:t>
            </w:r>
            <w:r>
              <w:rPr>
                <w:sz w:val="20"/>
              </w:rPr>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 стабилизирующий спондилосинтез</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3"/>
        <w:gridCol w:w="2134"/>
        <w:gridCol w:w="3312"/>
        <w:gridCol w:w="1429"/>
        <w:gridCol w:w="3952"/>
        <w:gridCol w:w="1000"/>
      </w:tblGrid>
      <w:tr>
        <w:trPr>
          <w:trHeight w:val="530" w:hRule="atLeast"/>
        </w:trPr>
        <w:tc>
          <w:tcPr>
            <w:tcW w:w="458" w:type="dxa"/>
          </w:tcPr>
          <w:p>
            <w:pPr>
              <w:pStyle w:val="TableParagraph"/>
              <w:rPr>
                <w:sz w:val="18"/>
              </w:rPr>
            </w:pPr>
          </w:p>
        </w:tc>
        <w:tc>
          <w:tcPr>
            <w:tcW w:w="2813" w:type="dxa"/>
          </w:tcPr>
          <w:p>
            <w:pPr>
              <w:pStyle w:val="TableParagraph"/>
              <w:rPr>
                <w:sz w:val="18"/>
              </w:rPr>
            </w:pPr>
          </w:p>
        </w:tc>
        <w:tc>
          <w:tcPr>
            <w:tcW w:w="2134" w:type="dxa"/>
          </w:tcPr>
          <w:p>
            <w:pPr>
              <w:pStyle w:val="TableParagraph"/>
              <w:rPr>
                <w:sz w:val="18"/>
              </w:rPr>
            </w:pPr>
          </w:p>
        </w:tc>
        <w:tc>
          <w:tcPr>
            <w:tcW w:w="3312" w:type="dxa"/>
          </w:tcPr>
          <w:p>
            <w:pPr>
              <w:pStyle w:val="TableParagraph"/>
              <w:rPr>
                <w:sz w:val="18"/>
              </w:rPr>
            </w:pPr>
          </w:p>
        </w:tc>
        <w:tc>
          <w:tcPr>
            <w:tcW w:w="1429" w:type="dxa"/>
          </w:tcPr>
          <w:p>
            <w:pPr>
              <w:pStyle w:val="TableParagraph"/>
              <w:rPr>
                <w:sz w:val="18"/>
              </w:rPr>
            </w:pPr>
          </w:p>
        </w:tc>
        <w:tc>
          <w:tcPr>
            <w:tcW w:w="3952" w:type="dxa"/>
          </w:tcPr>
          <w:p>
            <w:pPr>
              <w:pStyle w:val="TableParagraph"/>
              <w:spacing w:line="249" w:lineRule="auto"/>
              <w:ind w:left="110" w:right="168"/>
              <w:rPr>
                <w:sz w:val="20"/>
              </w:rPr>
            </w:pPr>
            <w:r>
              <w:rPr>
                <w:sz w:val="20"/>
              </w:rPr>
              <w:t>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w:t>
            </w:r>
          </w:p>
        </w:tc>
        <w:tc>
          <w:tcPr>
            <w:tcW w:w="1000" w:type="dxa"/>
          </w:tcPr>
          <w:p>
            <w:pPr>
              <w:pStyle w:val="TableParagraph"/>
              <w:rPr>
                <w:sz w:val="18"/>
              </w:rPr>
            </w:pPr>
          </w:p>
        </w:tc>
      </w:tr>
      <w:tr>
        <w:trPr>
          <w:trHeight w:val="1320" w:hRule="atLeast"/>
        </w:trPr>
        <w:tc>
          <w:tcPr>
            <w:tcW w:w="458" w:type="dxa"/>
          </w:tcPr>
          <w:p>
            <w:pPr>
              <w:pStyle w:val="TableParagraph"/>
              <w:spacing w:before="60"/>
              <w:ind w:left="50"/>
              <w:rPr>
                <w:sz w:val="20"/>
              </w:rPr>
            </w:pPr>
            <w:r>
              <w:rPr>
                <w:spacing w:val="-5"/>
                <w:sz w:val="20"/>
              </w:rPr>
              <w:t>68.</w:t>
            </w:r>
          </w:p>
        </w:tc>
        <w:tc>
          <w:tcPr>
            <w:tcW w:w="2813" w:type="dxa"/>
          </w:tcPr>
          <w:p>
            <w:pPr>
              <w:pStyle w:val="TableParagraph"/>
              <w:spacing w:line="249" w:lineRule="auto" w:before="60"/>
              <w:ind w:left="155" w:right="97"/>
              <w:rPr>
                <w:sz w:val="20"/>
              </w:rPr>
            </w:pPr>
            <w:r>
              <w:rPr>
                <w:sz w:val="20"/>
              </w:rPr>
              <w:t>Реплантация конечностей и их сегментов с применением микрохирургической</w:t>
            </w:r>
            <w:r>
              <w:rPr>
                <w:spacing w:val="-13"/>
                <w:sz w:val="20"/>
              </w:rPr>
              <w:t> </w:t>
            </w:r>
            <w:r>
              <w:rPr>
                <w:sz w:val="20"/>
              </w:rPr>
              <w:t>техники</w:t>
            </w:r>
          </w:p>
        </w:tc>
        <w:tc>
          <w:tcPr>
            <w:tcW w:w="2134" w:type="dxa"/>
          </w:tcPr>
          <w:p>
            <w:pPr>
              <w:pStyle w:val="TableParagraph"/>
              <w:spacing w:line="249" w:lineRule="auto" w:before="60"/>
              <w:ind w:left="112" w:right="92"/>
              <w:jc w:val="center"/>
              <w:rPr>
                <w:sz w:val="20"/>
              </w:rPr>
            </w:pPr>
            <w:r>
              <w:rPr>
                <w:sz w:val="20"/>
              </w:rPr>
              <w:t>T11.6, T13.4 - T13.6, T14.5,</w:t>
            </w:r>
            <w:r>
              <w:rPr>
                <w:spacing w:val="-13"/>
                <w:sz w:val="20"/>
              </w:rPr>
              <w:t> </w:t>
            </w:r>
            <w:r>
              <w:rPr>
                <w:sz w:val="20"/>
              </w:rPr>
              <w:t>T14.7,</w:t>
            </w:r>
            <w:r>
              <w:rPr>
                <w:spacing w:val="-12"/>
                <w:sz w:val="20"/>
              </w:rPr>
              <w:t> </w:t>
            </w:r>
            <w:r>
              <w:rPr>
                <w:sz w:val="20"/>
              </w:rPr>
              <w:t>T05,</w:t>
            </w:r>
            <w:r>
              <w:rPr>
                <w:spacing w:val="-13"/>
                <w:sz w:val="20"/>
              </w:rPr>
              <w:t> </w:t>
            </w:r>
            <w:r>
              <w:rPr>
                <w:sz w:val="20"/>
              </w:rPr>
              <w:t>S48, S58, S68, S88, S98</w:t>
            </w:r>
          </w:p>
        </w:tc>
        <w:tc>
          <w:tcPr>
            <w:tcW w:w="3312" w:type="dxa"/>
          </w:tcPr>
          <w:p>
            <w:pPr>
              <w:pStyle w:val="TableParagraph"/>
              <w:spacing w:line="249" w:lineRule="auto" w:before="60"/>
              <w:ind w:left="70" w:right="73"/>
              <w:rPr>
                <w:sz w:val="20"/>
              </w:rPr>
            </w:pPr>
            <w:r>
              <w:rPr>
                <w:sz w:val="20"/>
              </w:rPr>
              <w:t>полное</w:t>
            </w:r>
            <w:r>
              <w:rPr>
                <w:spacing w:val="-13"/>
                <w:sz w:val="20"/>
              </w:rPr>
              <w:t> </w:t>
            </w:r>
            <w:r>
              <w:rPr>
                <w:sz w:val="20"/>
              </w:rPr>
              <w:t>отчленение</w:t>
            </w:r>
            <w:r>
              <w:rPr>
                <w:spacing w:val="-12"/>
                <w:sz w:val="20"/>
              </w:rPr>
              <w:t> </w:t>
            </w:r>
            <w:r>
              <w:rPr>
                <w:sz w:val="20"/>
              </w:rPr>
              <w:t>или</w:t>
            </w:r>
            <w:r>
              <w:rPr>
                <w:spacing w:val="-13"/>
                <w:sz w:val="20"/>
              </w:rPr>
              <w:t> </w:t>
            </w:r>
            <w:r>
              <w:rPr>
                <w:sz w:val="20"/>
              </w:rPr>
              <w:t>неполное отчленение с декомпенсацией кровоснабжения различных сегментов верхней и нижней </w:t>
            </w:r>
            <w:r>
              <w:rPr>
                <w:spacing w:val="-2"/>
                <w:sz w:val="20"/>
              </w:rPr>
              <w:t>конечности</w:t>
            </w:r>
          </w:p>
        </w:tc>
        <w:tc>
          <w:tcPr>
            <w:tcW w:w="1429" w:type="dxa"/>
          </w:tcPr>
          <w:p>
            <w:pPr>
              <w:pStyle w:val="TableParagraph"/>
              <w:spacing w:line="252" w:lineRule="auto" w:before="60"/>
              <w:ind w:left="65"/>
              <w:rPr>
                <w:sz w:val="20"/>
              </w:rPr>
            </w:pPr>
            <w:r>
              <w:rPr>
                <w:spacing w:val="-2"/>
                <w:sz w:val="20"/>
              </w:rPr>
              <w:t>хирургическое лечение</w:t>
            </w:r>
          </w:p>
        </w:tc>
        <w:tc>
          <w:tcPr>
            <w:tcW w:w="3952" w:type="dxa"/>
          </w:tcPr>
          <w:p>
            <w:pPr>
              <w:pStyle w:val="TableParagraph"/>
              <w:spacing w:line="249" w:lineRule="auto" w:before="60"/>
              <w:ind w:left="110" w:right="168"/>
              <w:rPr>
                <w:sz w:val="20"/>
              </w:rPr>
            </w:pPr>
            <w:r>
              <w:rPr>
                <w:sz w:val="20"/>
              </w:rPr>
              <w:t>реплантация (реваскуляризация) отчлененного</w:t>
            </w:r>
            <w:r>
              <w:rPr>
                <w:spacing w:val="-13"/>
                <w:sz w:val="20"/>
              </w:rPr>
              <w:t> </w:t>
            </w:r>
            <w:r>
              <w:rPr>
                <w:sz w:val="20"/>
              </w:rPr>
              <w:t>сегмента</w:t>
            </w:r>
            <w:r>
              <w:rPr>
                <w:spacing w:val="-12"/>
                <w:sz w:val="20"/>
              </w:rPr>
              <w:t> </w:t>
            </w:r>
            <w:r>
              <w:rPr>
                <w:sz w:val="20"/>
              </w:rPr>
              <w:t>верхней</w:t>
            </w:r>
            <w:r>
              <w:rPr>
                <w:spacing w:val="-13"/>
                <w:sz w:val="20"/>
              </w:rPr>
              <w:t> </w:t>
            </w:r>
            <w:r>
              <w:rPr>
                <w:sz w:val="20"/>
              </w:rPr>
              <w:t>или нижней конечности</w:t>
            </w:r>
          </w:p>
        </w:tc>
        <w:tc>
          <w:tcPr>
            <w:tcW w:w="1000" w:type="dxa"/>
          </w:tcPr>
          <w:p>
            <w:pPr>
              <w:pStyle w:val="TableParagraph"/>
              <w:spacing w:before="60"/>
              <w:ind w:left="351"/>
              <w:rPr>
                <w:sz w:val="20"/>
              </w:rPr>
            </w:pPr>
            <w:r>
              <w:rPr>
                <w:spacing w:val="-2"/>
                <w:sz w:val="20"/>
              </w:rPr>
              <w:t>208633</w:t>
            </w:r>
          </w:p>
        </w:tc>
      </w:tr>
      <w:tr>
        <w:trPr>
          <w:trHeight w:val="1560" w:hRule="atLeast"/>
        </w:trPr>
        <w:tc>
          <w:tcPr>
            <w:tcW w:w="458" w:type="dxa"/>
          </w:tcPr>
          <w:p>
            <w:pPr>
              <w:pStyle w:val="TableParagraph"/>
              <w:rPr>
                <w:sz w:val="18"/>
              </w:rPr>
            </w:pPr>
          </w:p>
        </w:tc>
        <w:tc>
          <w:tcPr>
            <w:tcW w:w="2813" w:type="dxa"/>
            <w:vMerge w:val="restart"/>
          </w:tcPr>
          <w:p>
            <w:pPr>
              <w:pStyle w:val="TableParagraph"/>
              <w:spacing w:line="249" w:lineRule="auto" w:before="60"/>
              <w:ind w:left="155" w:right="77"/>
              <w:rPr>
                <w:sz w:val="20"/>
              </w:rPr>
            </w:pPr>
            <w:r>
              <w:rPr>
                <w:spacing w:val="-2"/>
                <w:sz w:val="20"/>
              </w:rPr>
              <w:t>Реконструктивно- </w:t>
            </w:r>
            <w:r>
              <w:rPr>
                <w:sz w:val="20"/>
              </w:rPr>
              <w:t>пластические операции при комбинированных</w:t>
            </w:r>
            <w:r>
              <w:rPr>
                <w:spacing w:val="-13"/>
                <w:sz w:val="20"/>
              </w:rPr>
              <w:t> </w:t>
            </w:r>
            <w:r>
              <w:rPr>
                <w:sz w:val="20"/>
              </w:rPr>
              <w:t>дефектах</w:t>
            </w:r>
            <w:r>
              <w:rPr>
                <w:spacing w:val="-12"/>
                <w:sz w:val="20"/>
              </w:rPr>
              <w:t> </w:t>
            </w:r>
            <w:r>
              <w:rPr>
                <w:sz w:val="20"/>
              </w:rPr>
              <w:t>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w:t>
            </w:r>
            <w:r>
              <w:rPr>
                <w:spacing w:val="-13"/>
                <w:sz w:val="20"/>
              </w:rPr>
              <w:t> </w:t>
            </w:r>
            <w:r>
              <w:rPr>
                <w:sz w:val="20"/>
              </w:rPr>
              <w:t>материалами</w:t>
            </w:r>
          </w:p>
        </w:tc>
        <w:tc>
          <w:tcPr>
            <w:tcW w:w="2134" w:type="dxa"/>
            <w:vMerge w:val="restart"/>
          </w:tcPr>
          <w:p>
            <w:pPr>
              <w:pStyle w:val="TableParagraph"/>
              <w:spacing w:before="60"/>
              <w:ind w:left="149" w:right="131"/>
              <w:jc w:val="center"/>
              <w:rPr>
                <w:sz w:val="20"/>
              </w:rPr>
            </w:pPr>
            <w:r>
              <w:rPr>
                <w:sz w:val="20"/>
              </w:rPr>
              <w:t>M24.6,</w:t>
            </w:r>
            <w:r>
              <w:rPr>
                <w:spacing w:val="-5"/>
                <w:sz w:val="20"/>
              </w:rPr>
              <w:t> </w:t>
            </w:r>
            <w:r>
              <w:rPr>
                <w:sz w:val="20"/>
              </w:rPr>
              <w:t>Z98.1,</w:t>
            </w:r>
            <w:r>
              <w:rPr>
                <w:spacing w:val="-4"/>
                <w:sz w:val="20"/>
              </w:rPr>
              <w:t> </w:t>
            </w:r>
            <w:r>
              <w:rPr>
                <w:spacing w:val="-2"/>
                <w:sz w:val="20"/>
              </w:rPr>
              <w:t>G80.1,</w:t>
            </w:r>
          </w:p>
          <w:p>
            <w:pPr>
              <w:pStyle w:val="TableParagraph"/>
              <w:spacing w:before="10"/>
              <w:ind w:left="148" w:right="133"/>
              <w:jc w:val="center"/>
              <w:rPr>
                <w:sz w:val="20"/>
              </w:rPr>
            </w:pPr>
            <w:r>
              <w:rPr>
                <w:sz w:val="20"/>
              </w:rPr>
              <w:t>G80.2,</w:t>
            </w:r>
            <w:r>
              <w:rPr>
                <w:spacing w:val="-6"/>
                <w:sz w:val="20"/>
              </w:rPr>
              <w:t> </w:t>
            </w:r>
            <w:r>
              <w:rPr>
                <w:sz w:val="20"/>
              </w:rPr>
              <w:t>M21.0,</w:t>
            </w:r>
            <w:r>
              <w:rPr>
                <w:spacing w:val="-5"/>
                <w:sz w:val="20"/>
              </w:rPr>
              <w:t> </w:t>
            </w:r>
            <w:r>
              <w:rPr>
                <w:spacing w:val="-2"/>
                <w:sz w:val="20"/>
              </w:rPr>
              <w:t>M21.2,</w:t>
            </w:r>
          </w:p>
          <w:p>
            <w:pPr>
              <w:pStyle w:val="TableParagraph"/>
              <w:spacing w:before="10"/>
              <w:ind w:left="149" w:right="133"/>
              <w:jc w:val="center"/>
              <w:rPr>
                <w:sz w:val="20"/>
              </w:rPr>
            </w:pPr>
            <w:r>
              <w:rPr>
                <w:sz w:val="20"/>
              </w:rPr>
              <w:t>M21.4,</w:t>
            </w:r>
            <w:r>
              <w:rPr>
                <w:spacing w:val="-6"/>
                <w:sz w:val="20"/>
              </w:rPr>
              <w:t> </w:t>
            </w:r>
            <w:r>
              <w:rPr>
                <w:sz w:val="20"/>
              </w:rPr>
              <w:t>M21.5,</w:t>
            </w:r>
            <w:r>
              <w:rPr>
                <w:spacing w:val="-5"/>
                <w:sz w:val="20"/>
              </w:rPr>
              <w:t> </w:t>
            </w:r>
            <w:r>
              <w:rPr>
                <w:spacing w:val="-2"/>
                <w:sz w:val="20"/>
              </w:rPr>
              <w:t>M21.9,</w:t>
            </w:r>
          </w:p>
          <w:p>
            <w:pPr>
              <w:pStyle w:val="TableParagraph"/>
              <w:spacing w:before="10"/>
              <w:ind w:left="149" w:right="133"/>
              <w:jc w:val="center"/>
              <w:rPr>
                <w:sz w:val="20"/>
              </w:rPr>
            </w:pPr>
            <w:r>
              <w:rPr>
                <w:sz w:val="20"/>
              </w:rPr>
              <w:t>Q68.1,</w:t>
            </w:r>
            <w:r>
              <w:rPr>
                <w:spacing w:val="-4"/>
                <w:sz w:val="20"/>
              </w:rPr>
              <w:t> </w:t>
            </w:r>
            <w:r>
              <w:rPr>
                <w:sz w:val="20"/>
              </w:rPr>
              <w:t>Q72.5,</w:t>
            </w:r>
            <w:r>
              <w:rPr>
                <w:spacing w:val="-5"/>
                <w:sz w:val="20"/>
              </w:rPr>
              <w:t> </w:t>
            </w:r>
            <w:r>
              <w:rPr>
                <w:spacing w:val="-2"/>
                <w:sz w:val="20"/>
              </w:rPr>
              <w:t>Q72.6,</w:t>
            </w:r>
          </w:p>
          <w:p>
            <w:pPr>
              <w:pStyle w:val="TableParagraph"/>
              <w:spacing w:before="10"/>
              <w:ind w:left="149" w:right="133"/>
              <w:jc w:val="center"/>
              <w:rPr>
                <w:sz w:val="20"/>
              </w:rPr>
            </w:pPr>
            <w:r>
              <w:rPr>
                <w:sz w:val="20"/>
              </w:rPr>
              <w:t>Q72.8,</w:t>
            </w:r>
            <w:r>
              <w:rPr>
                <w:spacing w:val="-4"/>
                <w:sz w:val="20"/>
              </w:rPr>
              <w:t> </w:t>
            </w:r>
            <w:r>
              <w:rPr>
                <w:sz w:val="20"/>
              </w:rPr>
              <w:t>Q72.9,</w:t>
            </w:r>
            <w:r>
              <w:rPr>
                <w:spacing w:val="-5"/>
                <w:sz w:val="20"/>
              </w:rPr>
              <w:t> </w:t>
            </w:r>
            <w:r>
              <w:rPr>
                <w:spacing w:val="-2"/>
                <w:sz w:val="20"/>
              </w:rPr>
              <w:t>Q74.2,</w:t>
            </w:r>
          </w:p>
          <w:p>
            <w:pPr>
              <w:pStyle w:val="TableParagraph"/>
              <w:spacing w:before="10"/>
              <w:ind w:left="149" w:right="133"/>
              <w:jc w:val="center"/>
              <w:rPr>
                <w:sz w:val="20"/>
              </w:rPr>
            </w:pPr>
            <w:r>
              <w:rPr>
                <w:sz w:val="20"/>
              </w:rPr>
              <w:t>Q74.3,</w:t>
            </w:r>
            <w:r>
              <w:rPr>
                <w:spacing w:val="-4"/>
                <w:sz w:val="20"/>
              </w:rPr>
              <w:t> </w:t>
            </w:r>
            <w:r>
              <w:rPr>
                <w:sz w:val="20"/>
              </w:rPr>
              <w:t>Q74.8,</w:t>
            </w:r>
            <w:r>
              <w:rPr>
                <w:spacing w:val="-5"/>
                <w:sz w:val="20"/>
              </w:rPr>
              <w:t> </w:t>
            </w:r>
            <w:r>
              <w:rPr>
                <w:spacing w:val="-2"/>
                <w:sz w:val="20"/>
              </w:rPr>
              <w:t>Q77.7,</w:t>
            </w:r>
          </w:p>
          <w:p>
            <w:pPr>
              <w:pStyle w:val="TableParagraph"/>
              <w:spacing w:line="249" w:lineRule="auto" w:before="11"/>
              <w:ind w:left="149" w:right="130"/>
              <w:jc w:val="center"/>
              <w:rPr>
                <w:sz w:val="20"/>
              </w:rPr>
            </w:pPr>
            <w:r>
              <w:rPr>
                <w:sz w:val="20"/>
              </w:rPr>
              <w:t>Q87.3,</w:t>
            </w:r>
            <w:r>
              <w:rPr>
                <w:spacing w:val="-13"/>
                <w:sz w:val="20"/>
              </w:rPr>
              <w:t> </w:t>
            </w:r>
            <w:r>
              <w:rPr>
                <w:sz w:val="20"/>
              </w:rPr>
              <w:t>G11.4,</w:t>
            </w:r>
            <w:r>
              <w:rPr>
                <w:spacing w:val="-12"/>
                <w:sz w:val="20"/>
              </w:rPr>
              <w:t> </w:t>
            </w:r>
            <w:r>
              <w:rPr>
                <w:sz w:val="20"/>
              </w:rPr>
              <w:t>G12.1, </w:t>
            </w:r>
            <w:r>
              <w:rPr>
                <w:spacing w:val="-4"/>
                <w:sz w:val="20"/>
              </w:rPr>
              <w:t>G80.9</w:t>
            </w:r>
          </w:p>
        </w:tc>
        <w:tc>
          <w:tcPr>
            <w:tcW w:w="3312" w:type="dxa"/>
            <w:vMerge w:val="restart"/>
          </w:tcPr>
          <w:p>
            <w:pPr>
              <w:pStyle w:val="TableParagraph"/>
              <w:spacing w:line="249" w:lineRule="auto" w:before="60"/>
              <w:ind w:left="70" w:right="80"/>
              <w:rPr>
                <w:sz w:val="20"/>
              </w:rPr>
            </w:pPr>
            <w:r>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w:t>
            </w:r>
            <w:r>
              <w:rPr>
                <w:spacing w:val="40"/>
                <w:sz w:val="20"/>
              </w:rPr>
              <w:t> </w:t>
            </w:r>
            <w:r>
              <w:rPr>
                <w:sz w:val="20"/>
              </w:rPr>
              <w:t>в</w:t>
            </w:r>
            <w:r>
              <w:rPr>
                <w:spacing w:val="-11"/>
                <w:sz w:val="20"/>
              </w:rPr>
              <w:t> </w:t>
            </w:r>
            <w:r>
              <w:rPr>
                <w:sz w:val="20"/>
              </w:rPr>
              <w:t>суставах</w:t>
            </w:r>
            <w:r>
              <w:rPr>
                <w:spacing w:val="-10"/>
                <w:sz w:val="20"/>
              </w:rPr>
              <w:t> </w:t>
            </w:r>
            <w:r>
              <w:rPr>
                <w:sz w:val="20"/>
              </w:rPr>
              <w:t>и</w:t>
            </w:r>
            <w:r>
              <w:rPr>
                <w:spacing w:val="-11"/>
                <w:sz w:val="20"/>
              </w:rPr>
              <w:t> </w:t>
            </w:r>
            <w:r>
              <w:rPr>
                <w:sz w:val="20"/>
              </w:rPr>
              <w:t>костными</w:t>
            </w:r>
            <w:r>
              <w:rPr>
                <w:spacing w:val="-11"/>
                <w:sz w:val="20"/>
              </w:rPr>
              <w:t> </w:t>
            </w:r>
            <w:r>
              <w:rPr>
                <w:sz w:val="20"/>
              </w:rPr>
              <w:t>нарушениями анатомии и функциональных возможностей сегмента (кисти, </w:t>
            </w:r>
            <w:r>
              <w:rPr>
                <w:spacing w:val="-2"/>
                <w:sz w:val="20"/>
              </w:rPr>
              <w:t>стопы)</w:t>
            </w:r>
          </w:p>
        </w:tc>
        <w:tc>
          <w:tcPr>
            <w:tcW w:w="1429" w:type="dxa"/>
          </w:tcPr>
          <w:p>
            <w:pPr>
              <w:pStyle w:val="TableParagraph"/>
              <w:spacing w:line="249" w:lineRule="auto" w:before="60"/>
              <w:ind w:left="65"/>
              <w:rPr>
                <w:sz w:val="20"/>
              </w:rPr>
            </w:pPr>
            <w:r>
              <w:rPr>
                <w:spacing w:val="-2"/>
                <w:sz w:val="20"/>
              </w:rPr>
              <w:t>хирургическое лечение</w:t>
            </w:r>
          </w:p>
        </w:tc>
        <w:tc>
          <w:tcPr>
            <w:tcW w:w="3952" w:type="dxa"/>
          </w:tcPr>
          <w:p>
            <w:pPr>
              <w:pStyle w:val="TableParagraph"/>
              <w:spacing w:line="249" w:lineRule="auto" w:before="60"/>
              <w:ind w:left="110" w:right="372"/>
              <w:rPr>
                <w:sz w:val="20"/>
              </w:rPr>
            </w:pPr>
            <w:r>
              <w:rPr>
                <w:sz w:val="20"/>
              </w:rPr>
              <w:t>устранение дефектов и деформаций методом корригирующих остеотомии, кожной и сухожильно-мышечной пластики,</w:t>
            </w:r>
            <w:r>
              <w:rPr>
                <w:spacing w:val="-10"/>
                <w:sz w:val="20"/>
              </w:rPr>
              <w:t> </w:t>
            </w:r>
            <w:r>
              <w:rPr>
                <w:sz w:val="20"/>
              </w:rPr>
              <w:t>костной</w:t>
            </w:r>
            <w:r>
              <w:rPr>
                <w:spacing w:val="-10"/>
                <w:sz w:val="20"/>
              </w:rPr>
              <w:t> </w:t>
            </w:r>
            <w:r>
              <w:rPr>
                <w:sz w:val="20"/>
              </w:rPr>
              <w:t>ауто-</w:t>
            </w:r>
            <w:r>
              <w:rPr>
                <w:spacing w:val="-11"/>
                <w:sz w:val="20"/>
              </w:rPr>
              <w:t> </w:t>
            </w:r>
            <w:r>
              <w:rPr>
                <w:sz w:val="20"/>
              </w:rPr>
              <w:t>и</w:t>
            </w:r>
            <w:r>
              <w:rPr>
                <w:spacing w:val="-10"/>
                <w:sz w:val="20"/>
              </w:rPr>
              <w:t> </w:t>
            </w:r>
            <w:r>
              <w:rPr>
                <w:sz w:val="20"/>
              </w:rPr>
              <w:t>аллопластики с использованием наружных и внутренних фиксаторов</w:t>
            </w:r>
          </w:p>
        </w:tc>
        <w:tc>
          <w:tcPr>
            <w:tcW w:w="1000" w:type="dxa"/>
          </w:tcPr>
          <w:p>
            <w:pPr>
              <w:pStyle w:val="TableParagraph"/>
              <w:rPr>
                <w:sz w:val="18"/>
              </w:rPr>
            </w:pPr>
          </w:p>
        </w:tc>
      </w:tr>
      <w:tr>
        <w:trPr>
          <w:trHeight w:val="1560" w:hRule="atLeast"/>
        </w:trPr>
        <w:tc>
          <w:tcPr>
            <w:tcW w:w="458" w:type="dxa"/>
          </w:tcPr>
          <w:p>
            <w:pPr>
              <w:pStyle w:val="TableParagraph"/>
              <w:rPr>
                <w:sz w:val="18"/>
              </w:rPr>
            </w:pPr>
          </w:p>
        </w:tc>
        <w:tc>
          <w:tcPr>
            <w:tcW w:w="2813" w:type="dxa"/>
            <w:vMerge/>
            <w:tcBorders>
              <w:top w:val="nil"/>
            </w:tcBorders>
          </w:tcPr>
          <w:p>
            <w:pPr>
              <w:rPr>
                <w:sz w:val="2"/>
                <w:szCs w:val="2"/>
              </w:rPr>
            </w:pPr>
          </w:p>
        </w:tc>
        <w:tc>
          <w:tcPr>
            <w:tcW w:w="2134" w:type="dxa"/>
            <w:vMerge/>
            <w:tcBorders>
              <w:top w:val="nil"/>
            </w:tcBorders>
          </w:tcPr>
          <w:p>
            <w:pPr>
              <w:rPr>
                <w:sz w:val="2"/>
                <w:szCs w:val="2"/>
              </w:rPr>
            </w:pPr>
          </w:p>
        </w:tc>
        <w:tc>
          <w:tcPr>
            <w:tcW w:w="3312" w:type="dxa"/>
            <w:vMerge/>
            <w:tcBorders>
              <w:top w:val="nil"/>
            </w:tcBorders>
          </w:tcPr>
          <w:p>
            <w:pPr>
              <w:rPr>
                <w:sz w:val="2"/>
                <w:szCs w:val="2"/>
              </w:rPr>
            </w:pPr>
          </w:p>
        </w:tc>
        <w:tc>
          <w:tcPr>
            <w:tcW w:w="1429" w:type="dxa"/>
          </w:tcPr>
          <w:p>
            <w:pPr>
              <w:pStyle w:val="TableParagraph"/>
              <w:rPr>
                <w:sz w:val="18"/>
              </w:rPr>
            </w:pPr>
          </w:p>
        </w:tc>
        <w:tc>
          <w:tcPr>
            <w:tcW w:w="3952" w:type="dxa"/>
          </w:tcPr>
          <w:p>
            <w:pPr>
              <w:pStyle w:val="TableParagraph"/>
              <w:spacing w:line="249" w:lineRule="auto" w:before="60"/>
              <w:ind w:left="110" w:right="168"/>
              <w:rPr>
                <w:sz w:val="20"/>
              </w:rPr>
            </w:pPr>
            <w:r>
              <w:rPr>
                <w:spacing w:val="-2"/>
                <w:sz w:val="20"/>
              </w:rPr>
              <w:t>реконструктивно-пластическое </w:t>
            </w:r>
            <w:r>
              <w:rPr>
                <w:sz w:val="20"/>
              </w:rPr>
              <w:t>хирургическое</w:t>
            </w:r>
            <w:r>
              <w:rPr>
                <w:spacing w:val="-13"/>
                <w:sz w:val="20"/>
              </w:rPr>
              <w:t> </w:t>
            </w:r>
            <w:r>
              <w:rPr>
                <w:sz w:val="20"/>
              </w:rPr>
              <w:t>вмешательство</w:t>
            </w:r>
            <w:r>
              <w:rPr>
                <w:spacing w:val="-12"/>
                <w:sz w:val="20"/>
              </w:rPr>
              <w:t> </w:t>
            </w:r>
            <w:r>
              <w:rPr>
                <w:sz w:val="20"/>
              </w:rPr>
              <w:t>на</w:t>
            </w:r>
            <w:r>
              <w:rPr>
                <w:spacing w:val="-13"/>
                <w:sz w:val="20"/>
              </w:rPr>
              <w:t> </w:t>
            </w:r>
            <w:r>
              <w:rPr>
                <w:sz w:val="20"/>
              </w:rPr>
              <w:t>костях стопы, кисти, с использованием ауто- и аллотрансплантатов, имплантатов, остеозамещающих материалов, </w:t>
            </w:r>
            <w:r>
              <w:rPr>
                <w:spacing w:val="-2"/>
                <w:sz w:val="20"/>
              </w:rPr>
              <w:t>металлоконструкций</w:t>
            </w:r>
          </w:p>
        </w:tc>
        <w:tc>
          <w:tcPr>
            <w:tcW w:w="1000" w:type="dxa"/>
          </w:tcPr>
          <w:p>
            <w:pPr>
              <w:pStyle w:val="TableParagraph"/>
              <w:rPr>
                <w:sz w:val="18"/>
              </w:rPr>
            </w:pPr>
          </w:p>
        </w:tc>
      </w:tr>
      <w:tr>
        <w:trPr>
          <w:trHeight w:val="2930" w:hRule="atLeast"/>
        </w:trPr>
        <w:tc>
          <w:tcPr>
            <w:tcW w:w="458" w:type="dxa"/>
          </w:tcPr>
          <w:p>
            <w:pPr>
              <w:pStyle w:val="TableParagraph"/>
              <w:rPr>
                <w:sz w:val="18"/>
              </w:rPr>
            </w:pPr>
          </w:p>
        </w:tc>
        <w:tc>
          <w:tcPr>
            <w:tcW w:w="2813" w:type="dxa"/>
          </w:tcPr>
          <w:p>
            <w:pPr>
              <w:pStyle w:val="TableParagraph"/>
              <w:spacing w:line="249" w:lineRule="auto" w:before="60"/>
              <w:ind w:left="155" w:right="98"/>
              <w:rPr>
                <w:sz w:val="20"/>
              </w:rPr>
            </w:pPr>
            <w:r>
              <w:rPr>
                <w:spacing w:val="-2"/>
                <w:sz w:val="20"/>
              </w:rPr>
              <w:t>Реконструктивно- </w:t>
            </w:r>
            <w:r>
              <w:rPr>
                <w:sz w:val="20"/>
              </w:rPr>
              <w:t>пластические операции на костях таза, верхних и нижних конечностях с использованием погружных или</w:t>
            </w:r>
            <w:r>
              <w:rPr>
                <w:spacing w:val="-13"/>
                <w:sz w:val="20"/>
              </w:rPr>
              <w:t> </w:t>
            </w:r>
            <w:r>
              <w:rPr>
                <w:sz w:val="20"/>
              </w:rPr>
              <w:t>наружных</w:t>
            </w:r>
            <w:r>
              <w:rPr>
                <w:spacing w:val="-12"/>
                <w:sz w:val="20"/>
              </w:rPr>
              <w:t> </w:t>
            </w:r>
            <w:r>
              <w:rPr>
                <w:sz w:val="20"/>
              </w:rPr>
              <w:t>фиксирующих устройств, синтетических и </w:t>
            </w:r>
            <w:r>
              <w:rPr>
                <w:spacing w:val="-2"/>
                <w:sz w:val="20"/>
              </w:rPr>
              <w:t>биологических остеозамещающих </w:t>
            </w:r>
            <w:r>
              <w:rPr>
                <w:sz w:val="20"/>
              </w:rPr>
              <w:t>материалов, компьютерной </w:t>
            </w:r>
            <w:r>
              <w:rPr>
                <w:spacing w:val="-2"/>
                <w:sz w:val="20"/>
              </w:rPr>
              <w:t>навигации</w:t>
            </w:r>
          </w:p>
        </w:tc>
        <w:tc>
          <w:tcPr>
            <w:tcW w:w="2134" w:type="dxa"/>
          </w:tcPr>
          <w:p>
            <w:pPr>
              <w:pStyle w:val="TableParagraph"/>
              <w:spacing w:line="249" w:lineRule="auto" w:before="60"/>
              <w:ind w:left="86" w:right="65" w:hanging="3"/>
              <w:jc w:val="center"/>
              <w:rPr>
                <w:sz w:val="20"/>
              </w:rPr>
            </w:pPr>
            <w:r>
              <w:rPr>
                <w:sz w:val="20"/>
              </w:rPr>
              <w:t>T94.1, M95.8, M96, M21, M85, M21.7, M25.6, M84.1, M84.2, M95.8,</w:t>
            </w:r>
            <w:r>
              <w:rPr>
                <w:spacing w:val="-10"/>
                <w:sz w:val="20"/>
              </w:rPr>
              <w:t> </w:t>
            </w:r>
            <w:r>
              <w:rPr>
                <w:sz w:val="20"/>
              </w:rPr>
              <w:t>Q65,</w:t>
            </w:r>
            <w:r>
              <w:rPr>
                <w:spacing w:val="-10"/>
                <w:sz w:val="20"/>
              </w:rPr>
              <w:t> </w:t>
            </w:r>
            <w:r>
              <w:rPr>
                <w:sz w:val="20"/>
              </w:rPr>
              <w:t>Q68</w:t>
            </w:r>
            <w:r>
              <w:rPr>
                <w:spacing w:val="-6"/>
                <w:sz w:val="20"/>
              </w:rPr>
              <w:t> </w:t>
            </w:r>
            <w:r>
              <w:rPr>
                <w:sz w:val="20"/>
              </w:rPr>
              <w:t>-</w:t>
            </w:r>
            <w:r>
              <w:rPr>
                <w:spacing w:val="-11"/>
                <w:sz w:val="20"/>
              </w:rPr>
              <w:t> </w:t>
            </w:r>
            <w:r>
              <w:rPr>
                <w:sz w:val="20"/>
              </w:rPr>
              <w:t>Q74, </w:t>
            </w:r>
            <w:r>
              <w:rPr>
                <w:spacing w:val="-4"/>
                <w:sz w:val="20"/>
              </w:rPr>
              <w:t>Q77</w:t>
            </w:r>
          </w:p>
        </w:tc>
        <w:tc>
          <w:tcPr>
            <w:tcW w:w="3312" w:type="dxa"/>
          </w:tcPr>
          <w:p>
            <w:pPr>
              <w:pStyle w:val="TableParagraph"/>
              <w:spacing w:line="249" w:lineRule="auto" w:before="60"/>
              <w:ind w:left="70"/>
              <w:rPr>
                <w:sz w:val="20"/>
              </w:rPr>
            </w:pPr>
            <w:r>
              <w:rPr>
                <w:sz w:val="20"/>
              </w:rPr>
              <w:t>любая этиология деформации таза, костей верхних и нижних конечностей</w:t>
            </w:r>
            <w:r>
              <w:rPr>
                <w:spacing w:val="-13"/>
                <w:sz w:val="20"/>
              </w:rPr>
              <w:t> </w:t>
            </w:r>
            <w:r>
              <w:rPr>
                <w:sz w:val="20"/>
              </w:rPr>
              <w:t>(угловая</w:t>
            </w:r>
            <w:r>
              <w:rPr>
                <w:spacing w:val="-12"/>
                <w:sz w:val="20"/>
              </w:rPr>
              <w:t> </w:t>
            </w:r>
            <w:r>
              <w:rPr>
                <w:sz w:val="20"/>
              </w:rPr>
              <w:t>деформация</w:t>
            </w:r>
            <w:r>
              <w:rPr>
                <w:spacing w:val="-13"/>
                <w:sz w:val="20"/>
              </w:rPr>
              <w:t> </w:t>
            </w:r>
            <w:r>
              <w:rPr>
                <w:sz w:val="20"/>
              </w:rPr>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w:t>
            </w:r>
          </w:p>
          <w:p>
            <w:pPr>
              <w:pStyle w:val="TableParagraph"/>
              <w:spacing w:line="210" w:lineRule="exact" w:before="10"/>
              <w:ind w:left="70"/>
              <w:rPr>
                <w:sz w:val="20"/>
              </w:rPr>
            </w:pPr>
            <w:r>
              <w:rPr>
                <w:sz w:val="20"/>
              </w:rPr>
              <w:t>таза.</w:t>
            </w:r>
            <w:r>
              <w:rPr>
                <w:spacing w:val="-6"/>
                <w:sz w:val="20"/>
              </w:rPr>
              <w:t> </w:t>
            </w:r>
            <w:r>
              <w:rPr>
                <w:sz w:val="20"/>
              </w:rPr>
              <w:t>Деформации</w:t>
            </w:r>
            <w:r>
              <w:rPr>
                <w:spacing w:val="-8"/>
                <w:sz w:val="20"/>
              </w:rPr>
              <w:t> </w:t>
            </w:r>
            <w:r>
              <w:rPr>
                <w:sz w:val="20"/>
              </w:rPr>
              <w:t>костей</w:t>
            </w:r>
            <w:r>
              <w:rPr>
                <w:spacing w:val="-7"/>
                <w:sz w:val="20"/>
              </w:rPr>
              <w:t> </w:t>
            </w:r>
            <w:r>
              <w:rPr>
                <w:spacing w:val="-2"/>
                <w:sz w:val="20"/>
              </w:rPr>
              <w:t>таза,</w:t>
            </w:r>
          </w:p>
        </w:tc>
        <w:tc>
          <w:tcPr>
            <w:tcW w:w="1429" w:type="dxa"/>
          </w:tcPr>
          <w:p>
            <w:pPr>
              <w:pStyle w:val="TableParagraph"/>
              <w:spacing w:line="249" w:lineRule="auto" w:before="60"/>
              <w:ind w:left="65"/>
              <w:rPr>
                <w:sz w:val="20"/>
              </w:rPr>
            </w:pPr>
            <w:r>
              <w:rPr>
                <w:spacing w:val="-2"/>
                <w:sz w:val="20"/>
              </w:rPr>
              <w:t>хирургическое лечение</w:t>
            </w:r>
          </w:p>
        </w:tc>
        <w:tc>
          <w:tcPr>
            <w:tcW w:w="3952" w:type="dxa"/>
          </w:tcPr>
          <w:p>
            <w:pPr>
              <w:pStyle w:val="TableParagraph"/>
              <w:spacing w:line="249" w:lineRule="auto" w:before="60"/>
              <w:ind w:left="110" w:right="168"/>
              <w:rPr>
                <w:sz w:val="20"/>
              </w:rPr>
            </w:pPr>
            <w:r>
              <w:rPr>
                <w:sz w:val="20"/>
              </w:rPr>
              <w:t>корригирующие</w:t>
            </w:r>
            <w:r>
              <w:rPr>
                <w:spacing w:val="-13"/>
                <w:sz w:val="20"/>
              </w:rPr>
              <w:t> </w:t>
            </w:r>
            <w:r>
              <w:rPr>
                <w:sz w:val="20"/>
              </w:rPr>
              <w:t>остеотомии</w:t>
            </w:r>
            <w:r>
              <w:rPr>
                <w:spacing w:val="-12"/>
                <w:sz w:val="20"/>
              </w:rPr>
              <w:t> </w:t>
            </w:r>
            <w:r>
              <w:rPr>
                <w:sz w:val="20"/>
              </w:rPr>
              <w:t>костей</w:t>
            </w:r>
            <w:r>
              <w:rPr>
                <w:spacing w:val="-13"/>
                <w:sz w:val="20"/>
              </w:rPr>
              <w:t> </w:t>
            </w:r>
            <w:r>
              <w:rPr>
                <w:sz w:val="20"/>
              </w:rPr>
              <w:t>таза, верхних и нижних конечностей</w:t>
            </w:r>
          </w:p>
        </w:tc>
        <w:tc>
          <w:tcPr>
            <w:tcW w:w="10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5"/>
        <w:gridCol w:w="3377"/>
        <w:gridCol w:w="1426"/>
        <w:gridCol w:w="3724"/>
      </w:tblGrid>
      <w:tr>
        <w:trPr>
          <w:trHeight w:val="530" w:hRule="atLeast"/>
        </w:trPr>
        <w:tc>
          <w:tcPr>
            <w:tcW w:w="1915" w:type="dxa"/>
          </w:tcPr>
          <w:p>
            <w:pPr>
              <w:pStyle w:val="TableParagraph"/>
              <w:rPr>
                <w:sz w:val="18"/>
              </w:rPr>
            </w:pPr>
          </w:p>
        </w:tc>
        <w:tc>
          <w:tcPr>
            <w:tcW w:w="3377" w:type="dxa"/>
          </w:tcPr>
          <w:p>
            <w:pPr>
              <w:pStyle w:val="TableParagraph"/>
              <w:spacing w:line="221" w:lineRule="exact"/>
              <w:ind w:left="130"/>
              <w:rPr>
                <w:sz w:val="20"/>
              </w:rPr>
            </w:pPr>
            <w:r>
              <w:rPr>
                <w:sz w:val="20"/>
              </w:rPr>
              <w:t>бедренной</w:t>
            </w:r>
            <w:r>
              <w:rPr>
                <w:spacing w:val="-6"/>
                <w:sz w:val="20"/>
              </w:rPr>
              <w:t> </w:t>
            </w:r>
            <w:r>
              <w:rPr>
                <w:sz w:val="20"/>
              </w:rPr>
              <w:t>кости</w:t>
            </w:r>
            <w:r>
              <w:rPr>
                <w:spacing w:val="-3"/>
                <w:sz w:val="20"/>
              </w:rPr>
              <w:t> </w:t>
            </w:r>
            <w:r>
              <w:rPr>
                <w:sz w:val="20"/>
              </w:rPr>
              <w:t>у</w:t>
            </w:r>
            <w:r>
              <w:rPr>
                <w:spacing w:val="-5"/>
                <w:sz w:val="20"/>
              </w:rPr>
              <w:t> </w:t>
            </w:r>
            <w:r>
              <w:rPr>
                <w:spacing w:val="-4"/>
                <w:sz w:val="20"/>
              </w:rPr>
              <w:t>детей</w:t>
            </w:r>
          </w:p>
          <w:p>
            <w:pPr>
              <w:pStyle w:val="TableParagraph"/>
              <w:spacing w:before="10"/>
              <w:ind w:left="130"/>
              <w:rPr>
                <w:sz w:val="20"/>
              </w:rPr>
            </w:pPr>
            <w:r>
              <w:rPr>
                <w:sz w:val="20"/>
              </w:rPr>
              <w:t>со</w:t>
            </w:r>
            <w:r>
              <w:rPr>
                <w:spacing w:val="-9"/>
                <w:sz w:val="20"/>
              </w:rPr>
              <w:t> </w:t>
            </w:r>
            <w:r>
              <w:rPr>
                <w:sz w:val="20"/>
              </w:rPr>
              <w:t>спастическим</w:t>
            </w:r>
            <w:r>
              <w:rPr>
                <w:spacing w:val="-8"/>
                <w:sz w:val="20"/>
              </w:rPr>
              <w:t> </w:t>
            </w:r>
            <w:r>
              <w:rPr>
                <w:spacing w:val="-2"/>
                <w:sz w:val="20"/>
              </w:rPr>
              <w:t>синдромом</w:t>
            </w:r>
          </w:p>
        </w:tc>
        <w:tc>
          <w:tcPr>
            <w:tcW w:w="1426" w:type="dxa"/>
          </w:tcPr>
          <w:p>
            <w:pPr>
              <w:pStyle w:val="TableParagraph"/>
              <w:rPr>
                <w:sz w:val="18"/>
              </w:rPr>
            </w:pPr>
          </w:p>
        </w:tc>
        <w:tc>
          <w:tcPr>
            <w:tcW w:w="3724" w:type="dxa"/>
          </w:tcPr>
          <w:p>
            <w:pPr>
              <w:pStyle w:val="TableParagraph"/>
              <w:rPr>
                <w:sz w:val="18"/>
              </w:rPr>
            </w:pPr>
          </w:p>
        </w:tc>
      </w:tr>
      <w:tr>
        <w:trPr>
          <w:trHeight w:val="1560" w:hRule="atLeast"/>
        </w:trPr>
        <w:tc>
          <w:tcPr>
            <w:tcW w:w="1915" w:type="dxa"/>
          </w:tcPr>
          <w:p>
            <w:pPr>
              <w:pStyle w:val="TableParagraph"/>
              <w:spacing w:before="60"/>
              <w:ind w:left="76"/>
              <w:rPr>
                <w:sz w:val="20"/>
              </w:rPr>
            </w:pPr>
            <w:r>
              <w:rPr>
                <w:sz w:val="20"/>
              </w:rPr>
              <w:t>M25.3,</w:t>
            </w:r>
            <w:r>
              <w:rPr>
                <w:spacing w:val="-4"/>
                <w:sz w:val="20"/>
              </w:rPr>
              <w:t> </w:t>
            </w:r>
            <w:r>
              <w:rPr>
                <w:sz w:val="20"/>
              </w:rPr>
              <w:t>M91,</w:t>
            </w:r>
            <w:r>
              <w:rPr>
                <w:spacing w:val="-4"/>
                <w:sz w:val="20"/>
              </w:rPr>
              <w:t> </w:t>
            </w:r>
            <w:r>
              <w:rPr>
                <w:spacing w:val="-2"/>
                <w:sz w:val="20"/>
              </w:rPr>
              <w:t>M95.8,</w:t>
            </w:r>
          </w:p>
          <w:p>
            <w:pPr>
              <w:pStyle w:val="TableParagraph"/>
              <w:spacing w:line="249" w:lineRule="auto" w:before="11"/>
              <w:ind w:left="373" w:hanging="324"/>
              <w:rPr>
                <w:sz w:val="20"/>
              </w:rPr>
            </w:pPr>
            <w:r>
              <w:rPr>
                <w:sz w:val="20"/>
              </w:rPr>
              <w:t>Q65.0,</w:t>
            </w:r>
            <w:r>
              <w:rPr>
                <w:spacing w:val="-13"/>
                <w:sz w:val="20"/>
              </w:rPr>
              <w:t> </w:t>
            </w:r>
            <w:r>
              <w:rPr>
                <w:sz w:val="20"/>
              </w:rPr>
              <w:t>Q65.1,</w:t>
            </w:r>
            <w:r>
              <w:rPr>
                <w:spacing w:val="-12"/>
                <w:sz w:val="20"/>
              </w:rPr>
              <w:t> </w:t>
            </w:r>
            <w:r>
              <w:rPr>
                <w:sz w:val="20"/>
              </w:rPr>
              <w:t>Q65.3, Q65.4, Q65.8</w:t>
            </w:r>
          </w:p>
        </w:tc>
        <w:tc>
          <w:tcPr>
            <w:tcW w:w="3377" w:type="dxa"/>
          </w:tcPr>
          <w:p>
            <w:pPr>
              <w:pStyle w:val="TableParagraph"/>
              <w:spacing w:line="252" w:lineRule="auto" w:before="60"/>
              <w:ind w:left="130"/>
              <w:rPr>
                <w:sz w:val="20"/>
              </w:rPr>
            </w:pPr>
            <w:r>
              <w:rPr>
                <w:sz w:val="20"/>
              </w:rPr>
              <w:t>дисплазии, аномалии развития, последствия</w:t>
            </w:r>
            <w:r>
              <w:rPr>
                <w:spacing w:val="-13"/>
                <w:sz w:val="20"/>
              </w:rPr>
              <w:t> </w:t>
            </w:r>
            <w:r>
              <w:rPr>
                <w:sz w:val="20"/>
              </w:rPr>
              <w:t>травм</w:t>
            </w:r>
            <w:r>
              <w:rPr>
                <w:spacing w:val="-12"/>
                <w:sz w:val="20"/>
              </w:rPr>
              <w:t> </w:t>
            </w:r>
            <w:r>
              <w:rPr>
                <w:sz w:val="20"/>
              </w:rPr>
              <w:t>крупных</w:t>
            </w:r>
            <w:r>
              <w:rPr>
                <w:spacing w:val="-13"/>
                <w:sz w:val="20"/>
              </w:rPr>
              <w:t> </w:t>
            </w:r>
            <w:r>
              <w:rPr>
                <w:sz w:val="20"/>
              </w:rPr>
              <w:t>суставов</w:t>
            </w:r>
          </w:p>
        </w:tc>
        <w:tc>
          <w:tcPr>
            <w:tcW w:w="1426" w:type="dxa"/>
          </w:tcPr>
          <w:p>
            <w:pPr>
              <w:pStyle w:val="TableParagraph"/>
              <w:spacing w:line="252" w:lineRule="auto" w:before="60"/>
              <w:ind w:left="60"/>
              <w:rPr>
                <w:sz w:val="20"/>
              </w:rPr>
            </w:pPr>
            <w:r>
              <w:rPr>
                <w:spacing w:val="-2"/>
                <w:sz w:val="20"/>
              </w:rPr>
              <w:t>хирургическое лечение</w:t>
            </w:r>
          </w:p>
        </w:tc>
        <w:tc>
          <w:tcPr>
            <w:tcW w:w="3724" w:type="dxa"/>
          </w:tcPr>
          <w:p>
            <w:pPr>
              <w:pStyle w:val="TableParagraph"/>
              <w:spacing w:line="249" w:lineRule="auto" w:before="60"/>
              <w:ind w:left="108" w:right="47"/>
              <w:rPr>
                <w:sz w:val="20"/>
              </w:rPr>
            </w:pPr>
            <w:r>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w:t>
            </w:r>
            <w:r>
              <w:rPr>
                <w:spacing w:val="-11"/>
                <w:sz w:val="20"/>
              </w:rPr>
              <w:t> </w:t>
            </w:r>
            <w:r>
              <w:rPr>
                <w:sz w:val="20"/>
              </w:rPr>
              <w:t>или</w:t>
            </w:r>
            <w:r>
              <w:rPr>
                <w:spacing w:val="-11"/>
                <w:sz w:val="20"/>
              </w:rPr>
              <w:t> </w:t>
            </w:r>
            <w:r>
              <w:rPr>
                <w:sz w:val="20"/>
              </w:rPr>
              <w:t>костных</w:t>
            </w:r>
            <w:r>
              <w:rPr>
                <w:spacing w:val="-11"/>
                <w:sz w:val="20"/>
              </w:rPr>
              <w:t> </w:t>
            </w:r>
            <w:r>
              <w:rPr>
                <w:sz w:val="20"/>
              </w:rPr>
              <w:t>заменителей</w:t>
            </w:r>
            <w:r>
              <w:rPr>
                <w:spacing w:val="-11"/>
                <w:sz w:val="20"/>
              </w:rPr>
              <w:t> </w:t>
            </w:r>
            <w:r>
              <w:rPr>
                <w:sz w:val="20"/>
              </w:rPr>
              <w:t>с </w:t>
            </w:r>
            <w:r>
              <w:rPr>
                <w:spacing w:val="-2"/>
                <w:sz w:val="20"/>
              </w:rPr>
              <w:t>остеосинтезом</w:t>
            </w:r>
          </w:p>
        </w:tc>
      </w:tr>
      <w:tr>
        <w:trPr>
          <w:trHeight w:val="1800" w:hRule="atLeast"/>
        </w:trPr>
        <w:tc>
          <w:tcPr>
            <w:tcW w:w="1915" w:type="dxa"/>
          </w:tcPr>
          <w:p>
            <w:pPr>
              <w:pStyle w:val="TableParagraph"/>
              <w:rPr>
                <w:sz w:val="18"/>
              </w:rPr>
            </w:pPr>
          </w:p>
        </w:tc>
        <w:tc>
          <w:tcPr>
            <w:tcW w:w="3377" w:type="dxa"/>
          </w:tcPr>
          <w:p>
            <w:pPr>
              <w:pStyle w:val="TableParagraph"/>
              <w:rPr>
                <w:sz w:val="18"/>
              </w:rPr>
            </w:pPr>
          </w:p>
        </w:tc>
        <w:tc>
          <w:tcPr>
            <w:tcW w:w="1426" w:type="dxa"/>
          </w:tcPr>
          <w:p>
            <w:pPr>
              <w:pStyle w:val="TableParagraph"/>
              <w:rPr>
                <w:sz w:val="18"/>
              </w:rPr>
            </w:pPr>
          </w:p>
        </w:tc>
        <w:tc>
          <w:tcPr>
            <w:tcW w:w="3724" w:type="dxa"/>
          </w:tcPr>
          <w:p>
            <w:pPr>
              <w:pStyle w:val="TableParagraph"/>
              <w:spacing w:line="249" w:lineRule="auto" w:before="60"/>
              <w:ind w:left="108" w:right="47"/>
              <w:rPr>
                <w:sz w:val="20"/>
              </w:rPr>
            </w:pPr>
            <w:r>
              <w:rPr>
                <w:sz w:val="20"/>
              </w:rPr>
              <w:t>реконструкция</w:t>
            </w:r>
            <w:r>
              <w:rPr>
                <w:spacing w:val="-13"/>
                <w:sz w:val="20"/>
              </w:rPr>
              <w:t> </w:t>
            </w:r>
            <w:r>
              <w:rPr>
                <w:sz w:val="20"/>
              </w:rPr>
              <w:t>вертлужной</w:t>
            </w:r>
            <w:r>
              <w:rPr>
                <w:spacing w:val="-12"/>
                <w:sz w:val="20"/>
              </w:rPr>
              <w:t> </w:t>
            </w:r>
            <w:r>
              <w:rPr>
                <w:sz w:val="20"/>
              </w:rPr>
              <w:t>впадины</w:t>
            </w:r>
            <w:r>
              <w:rPr>
                <w:spacing w:val="-13"/>
                <w:sz w:val="20"/>
              </w:rPr>
              <w:t> </w:t>
            </w:r>
            <w:r>
              <w:rPr>
                <w:sz w:val="20"/>
              </w:rPr>
              <w:t>при застарелых переломах и переломо- вывихах, требующих корригирующей остеотомии, костной аутопластики или использования костных заменителей с остеосинтезом погружными </w:t>
            </w:r>
            <w:r>
              <w:rPr>
                <w:spacing w:val="-2"/>
                <w:sz w:val="20"/>
              </w:rPr>
              <w:t>имплантатами</w:t>
            </w:r>
          </w:p>
        </w:tc>
      </w:tr>
      <w:tr>
        <w:trPr>
          <w:trHeight w:val="1320" w:hRule="atLeast"/>
        </w:trPr>
        <w:tc>
          <w:tcPr>
            <w:tcW w:w="1915" w:type="dxa"/>
          </w:tcPr>
          <w:p>
            <w:pPr>
              <w:pStyle w:val="TableParagraph"/>
              <w:rPr>
                <w:sz w:val="18"/>
              </w:rPr>
            </w:pPr>
          </w:p>
        </w:tc>
        <w:tc>
          <w:tcPr>
            <w:tcW w:w="3377" w:type="dxa"/>
          </w:tcPr>
          <w:p>
            <w:pPr>
              <w:pStyle w:val="TableParagraph"/>
              <w:rPr>
                <w:sz w:val="18"/>
              </w:rPr>
            </w:pPr>
          </w:p>
        </w:tc>
        <w:tc>
          <w:tcPr>
            <w:tcW w:w="1426" w:type="dxa"/>
          </w:tcPr>
          <w:p>
            <w:pPr>
              <w:pStyle w:val="TableParagraph"/>
              <w:rPr>
                <w:sz w:val="18"/>
              </w:rPr>
            </w:pPr>
          </w:p>
        </w:tc>
        <w:tc>
          <w:tcPr>
            <w:tcW w:w="3724" w:type="dxa"/>
          </w:tcPr>
          <w:p>
            <w:pPr>
              <w:pStyle w:val="TableParagraph"/>
              <w:spacing w:line="249" w:lineRule="auto" w:before="60"/>
              <w:ind w:left="108" w:right="47"/>
              <w:rPr>
                <w:sz w:val="20"/>
              </w:rPr>
            </w:pPr>
            <w:r>
              <w:rPr>
                <w:sz w:val="20"/>
              </w:rPr>
              <w:t>реконструкция тазобедренного сустава посредством</w:t>
            </w:r>
            <w:r>
              <w:rPr>
                <w:spacing w:val="-10"/>
                <w:sz w:val="20"/>
              </w:rPr>
              <w:t> </w:t>
            </w:r>
            <w:r>
              <w:rPr>
                <w:sz w:val="20"/>
              </w:rPr>
              <w:t>тройной</w:t>
            </w:r>
            <w:r>
              <w:rPr>
                <w:spacing w:val="-11"/>
                <w:sz w:val="20"/>
              </w:rPr>
              <w:t> </w:t>
            </w:r>
            <w:r>
              <w:rPr>
                <w:sz w:val="20"/>
              </w:rPr>
              <w:t>остеотомии</w:t>
            </w:r>
            <w:r>
              <w:rPr>
                <w:spacing w:val="-11"/>
                <w:sz w:val="20"/>
              </w:rPr>
              <w:t> </w:t>
            </w:r>
            <w:r>
              <w:rPr>
                <w:sz w:val="20"/>
              </w:rPr>
              <w:t>таза</w:t>
            </w:r>
            <w:r>
              <w:rPr>
                <w:spacing w:val="-10"/>
                <w:sz w:val="20"/>
              </w:rPr>
              <w:t> </w:t>
            </w:r>
            <w:r>
              <w:rPr>
                <w:sz w:val="20"/>
              </w:rPr>
              <w:t>и транспозиции вертлужной впадины с заданными углами антеверсии и фронтальной инклинации</w:t>
            </w:r>
          </w:p>
        </w:tc>
      </w:tr>
      <w:tr>
        <w:trPr>
          <w:trHeight w:val="1730" w:hRule="atLeast"/>
        </w:trPr>
        <w:tc>
          <w:tcPr>
            <w:tcW w:w="1915" w:type="dxa"/>
          </w:tcPr>
          <w:p>
            <w:pPr>
              <w:pStyle w:val="TableParagraph"/>
              <w:rPr>
                <w:sz w:val="18"/>
              </w:rPr>
            </w:pPr>
          </w:p>
        </w:tc>
        <w:tc>
          <w:tcPr>
            <w:tcW w:w="3377" w:type="dxa"/>
          </w:tcPr>
          <w:p>
            <w:pPr>
              <w:pStyle w:val="TableParagraph"/>
              <w:rPr>
                <w:sz w:val="18"/>
              </w:rPr>
            </w:pPr>
          </w:p>
        </w:tc>
        <w:tc>
          <w:tcPr>
            <w:tcW w:w="1426" w:type="dxa"/>
          </w:tcPr>
          <w:p>
            <w:pPr>
              <w:pStyle w:val="TableParagraph"/>
              <w:rPr>
                <w:sz w:val="18"/>
              </w:rPr>
            </w:pPr>
          </w:p>
        </w:tc>
        <w:tc>
          <w:tcPr>
            <w:tcW w:w="3724" w:type="dxa"/>
          </w:tcPr>
          <w:p>
            <w:pPr>
              <w:pStyle w:val="TableParagraph"/>
              <w:spacing w:line="249" w:lineRule="auto" w:before="60"/>
              <w:ind w:left="108" w:right="47"/>
              <w:rPr>
                <w:sz w:val="20"/>
              </w:rPr>
            </w:pPr>
            <w:r>
              <w:rPr>
                <w:sz w:val="20"/>
              </w:rPr>
              <w:t>создание</w:t>
            </w:r>
            <w:r>
              <w:rPr>
                <w:spacing w:val="-13"/>
                <w:sz w:val="20"/>
              </w:rPr>
              <w:t> </w:t>
            </w:r>
            <w:r>
              <w:rPr>
                <w:sz w:val="20"/>
              </w:rPr>
              <w:t>оптимальных</w:t>
            </w:r>
            <w:r>
              <w:rPr>
                <w:spacing w:val="-12"/>
                <w:sz w:val="20"/>
              </w:rPr>
              <w:t> </w:t>
            </w:r>
            <w:r>
              <w:rPr>
                <w:sz w:val="20"/>
              </w:rPr>
              <w:t>взаимоотношений в суставе путем выполнения различных вариантов остеотомий бедренной и большеберцовой</w:t>
            </w:r>
            <w:r>
              <w:rPr>
                <w:spacing w:val="-1"/>
                <w:sz w:val="20"/>
              </w:rPr>
              <w:t> </w:t>
            </w:r>
            <w:r>
              <w:rPr>
                <w:sz w:val="20"/>
              </w:rPr>
              <w:t>костей</w:t>
            </w:r>
            <w:r>
              <w:rPr>
                <w:spacing w:val="-1"/>
                <w:sz w:val="20"/>
              </w:rPr>
              <w:t> </w:t>
            </w:r>
            <w:r>
              <w:rPr>
                <w:sz w:val="20"/>
              </w:rPr>
              <w:t>с изменением их пространственного положения и фиксацией имплантатами или</w:t>
            </w:r>
          </w:p>
          <w:p>
            <w:pPr>
              <w:pStyle w:val="TableParagraph"/>
              <w:spacing w:line="210" w:lineRule="exact" w:before="6"/>
              <w:ind w:left="108"/>
              <w:rPr>
                <w:sz w:val="20"/>
              </w:rPr>
            </w:pPr>
            <w:r>
              <w:rPr>
                <w:sz w:val="20"/>
              </w:rPr>
              <w:t>аппаратами</w:t>
            </w:r>
            <w:r>
              <w:rPr>
                <w:spacing w:val="-10"/>
                <w:sz w:val="20"/>
              </w:rPr>
              <w:t> </w:t>
            </w:r>
            <w:r>
              <w:rPr>
                <w:sz w:val="20"/>
              </w:rPr>
              <w:t>внешней</w:t>
            </w:r>
            <w:r>
              <w:rPr>
                <w:spacing w:val="-9"/>
                <w:sz w:val="20"/>
              </w:rPr>
              <w:t> </w:t>
            </w:r>
            <w:r>
              <w:rPr>
                <w:spacing w:val="-2"/>
                <w:sz w:val="20"/>
              </w:rPr>
              <w:t>фиксации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3"/>
        <w:gridCol w:w="2142"/>
        <w:gridCol w:w="3310"/>
        <w:gridCol w:w="1425"/>
        <w:gridCol w:w="3989"/>
        <w:gridCol w:w="964"/>
      </w:tblGrid>
      <w:tr>
        <w:trPr>
          <w:trHeight w:val="2930" w:hRule="atLeast"/>
        </w:trPr>
        <w:tc>
          <w:tcPr>
            <w:tcW w:w="458" w:type="dxa"/>
          </w:tcPr>
          <w:p>
            <w:pPr>
              <w:pStyle w:val="TableParagraph"/>
              <w:rPr>
                <w:sz w:val="18"/>
              </w:rPr>
            </w:pPr>
          </w:p>
        </w:tc>
        <w:tc>
          <w:tcPr>
            <w:tcW w:w="2813" w:type="dxa"/>
          </w:tcPr>
          <w:p>
            <w:pPr>
              <w:pStyle w:val="TableParagraph"/>
              <w:spacing w:line="249" w:lineRule="auto"/>
              <w:ind w:left="155" w:right="97"/>
              <w:rPr>
                <w:sz w:val="20"/>
              </w:rPr>
            </w:pPr>
            <w:r>
              <w:rPr>
                <w:spacing w:val="-2"/>
                <w:sz w:val="20"/>
              </w:rPr>
              <w:t>Микрохирургическая </w:t>
            </w:r>
            <w:r>
              <w:rPr>
                <w:sz w:val="20"/>
              </w:rPr>
              <w:t>пересадка</w:t>
            </w:r>
            <w:r>
              <w:rPr>
                <w:spacing w:val="-13"/>
                <w:sz w:val="20"/>
              </w:rPr>
              <w:t> </w:t>
            </w:r>
            <w:r>
              <w:rPr>
                <w:sz w:val="20"/>
              </w:rPr>
              <w:t>комплексов</w:t>
            </w:r>
            <w:r>
              <w:rPr>
                <w:spacing w:val="-12"/>
                <w:sz w:val="20"/>
              </w:rPr>
              <w:t> </w:t>
            </w:r>
            <w:r>
              <w:rPr>
                <w:sz w:val="20"/>
              </w:rPr>
              <w:t>тканей с восстановлением их </w:t>
            </w:r>
            <w:r>
              <w:rPr>
                <w:spacing w:val="-2"/>
                <w:sz w:val="20"/>
              </w:rPr>
              <w:t>кровоснабжения</w:t>
            </w:r>
          </w:p>
        </w:tc>
        <w:tc>
          <w:tcPr>
            <w:tcW w:w="2142" w:type="dxa"/>
          </w:tcPr>
          <w:p>
            <w:pPr>
              <w:pStyle w:val="TableParagraph"/>
              <w:spacing w:line="221" w:lineRule="exact"/>
              <w:ind w:left="494"/>
              <w:rPr>
                <w:sz w:val="20"/>
              </w:rPr>
            </w:pPr>
            <w:r>
              <w:rPr>
                <w:sz w:val="20"/>
              </w:rPr>
              <w:t>T92,</w:t>
            </w:r>
            <w:r>
              <w:rPr>
                <w:spacing w:val="-4"/>
                <w:sz w:val="20"/>
              </w:rPr>
              <w:t> </w:t>
            </w:r>
            <w:r>
              <w:rPr>
                <w:sz w:val="20"/>
              </w:rPr>
              <w:t>T93,</w:t>
            </w:r>
            <w:r>
              <w:rPr>
                <w:spacing w:val="-4"/>
                <w:sz w:val="20"/>
              </w:rPr>
              <w:t> </w:t>
            </w:r>
            <w:r>
              <w:rPr>
                <w:spacing w:val="-5"/>
                <w:sz w:val="20"/>
              </w:rPr>
              <w:t>T95</w:t>
            </w:r>
          </w:p>
        </w:tc>
        <w:tc>
          <w:tcPr>
            <w:tcW w:w="3310" w:type="dxa"/>
          </w:tcPr>
          <w:p>
            <w:pPr>
              <w:pStyle w:val="TableParagraph"/>
              <w:spacing w:line="249" w:lineRule="auto"/>
              <w:ind w:left="62" w:right="90"/>
              <w:rPr>
                <w:sz w:val="20"/>
              </w:rPr>
            </w:pPr>
            <w:r>
              <w:rPr>
                <w:sz w:val="20"/>
              </w:rPr>
              <w:t>глубокий дефект тканей любой локализации.</w:t>
            </w:r>
            <w:r>
              <w:rPr>
                <w:spacing w:val="-13"/>
                <w:sz w:val="20"/>
              </w:rPr>
              <w:t> </w:t>
            </w:r>
            <w:r>
              <w:rPr>
                <w:sz w:val="20"/>
              </w:rPr>
              <w:t>Сегментарный</w:t>
            </w:r>
            <w:r>
              <w:rPr>
                <w:spacing w:val="-12"/>
                <w:sz w:val="20"/>
              </w:rPr>
              <w:t> </w:t>
            </w:r>
            <w:r>
              <w:rPr>
                <w:sz w:val="20"/>
              </w:rPr>
              <w:t>дефект длинных трубчатых костей конечностей. Культя первого луча кисти. Короткие культи трехфаланговых пальцев кисти.</w:t>
            </w:r>
          </w:p>
          <w:p>
            <w:pPr>
              <w:pStyle w:val="TableParagraph"/>
              <w:spacing w:line="249" w:lineRule="auto"/>
              <w:ind w:left="62" w:right="90"/>
              <w:rPr>
                <w:sz w:val="20"/>
              </w:rPr>
            </w:pPr>
            <w:r>
              <w:rPr>
                <w:sz w:val="20"/>
              </w:rPr>
              <w:t>Дефект пястных костей и суставов пальцев кисти. Хронический остеомиелит с рубцовыми изменениями кожи в зоне поражения. Утрата активной функции</w:t>
            </w:r>
            <w:r>
              <w:rPr>
                <w:spacing w:val="-13"/>
                <w:sz w:val="20"/>
              </w:rPr>
              <w:t> </w:t>
            </w:r>
            <w:r>
              <w:rPr>
                <w:sz w:val="20"/>
              </w:rPr>
              <w:t>мышц</w:t>
            </w:r>
            <w:r>
              <w:rPr>
                <w:spacing w:val="-12"/>
                <w:sz w:val="20"/>
              </w:rPr>
              <w:t> </w:t>
            </w:r>
            <w:r>
              <w:rPr>
                <w:sz w:val="20"/>
              </w:rPr>
              <w:t>верхней</w:t>
            </w:r>
            <w:r>
              <w:rPr>
                <w:spacing w:val="-13"/>
                <w:sz w:val="20"/>
              </w:rPr>
              <w:t> </w:t>
            </w:r>
            <w:r>
              <w:rPr>
                <w:sz w:val="20"/>
              </w:rPr>
              <w:t>конечности</w:t>
            </w:r>
          </w:p>
        </w:tc>
        <w:tc>
          <w:tcPr>
            <w:tcW w:w="1425" w:type="dxa"/>
          </w:tcPr>
          <w:p>
            <w:pPr>
              <w:pStyle w:val="TableParagraph"/>
              <w:spacing w:line="249" w:lineRule="auto"/>
              <w:ind w:left="59"/>
              <w:rPr>
                <w:sz w:val="20"/>
              </w:rPr>
            </w:pPr>
            <w:r>
              <w:rPr>
                <w:spacing w:val="-2"/>
                <w:sz w:val="20"/>
              </w:rPr>
              <w:t>хирургическое лечение</w:t>
            </w:r>
          </w:p>
        </w:tc>
        <w:tc>
          <w:tcPr>
            <w:tcW w:w="3989" w:type="dxa"/>
          </w:tcPr>
          <w:p>
            <w:pPr>
              <w:pStyle w:val="TableParagraph"/>
              <w:spacing w:line="249" w:lineRule="auto"/>
              <w:ind w:left="108" w:right="366"/>
              <w:rPr>
                <w:sz w:val="20"/>
              </w:rPr>
            </w:pPr>
            <w:r>
              <w:rPr>
                <w:sz w:val="20"/>
              </w:rPr>
              <w:t>свободная</w:t>
            </w:r>
            <w:r>
              <w:rPr>
                <w:spacing w:val="-13"/>
                <w:sz w:val="20"/>
              </w:rPr>
              <w:t> </w:t>
            </w:r>
            <w:r>
              <w:rPr>
                <w:sz w:val="20"/>
              </w:rPr>
              <w:t>пересадка</w:t>
            </w:r>
            <w:r>
              <w:rPr>
                <w:spacing w:val="-12"/>
                <w:sz w:val="20"/>
              </w:rPr>
              <w:t> </w:t>
            </w:r>
            <w:r>
              <w:rPr>
                <w:sz w:val="20"/>
              </w:rPr>
              <w:t>кровоснабжаемого комплекса тканей с использованием операционного микроскопа и прецессионной техники</w:t>
            </w:r>
          </w:p>
        </w:tc>
        <w:tc>
          <w:tcPr>
            <w:tcW w:w="964" w:type="dxa"/>
          </w:tcPr>
          <w:p>
            <w:pPr>
              <w:pStyle w:val="TableParagraph"/>
              <w:rPr>
                <w:sz w:val="18"/>
              </w:rPr>
            </w:pPr>
          </w:p>
        </w:tc>
      </w:tr>
      <w:tr>
        <w:trPr>
          <w:trHeight w:val="2040" w:hRule="atLeast"/>
        </w:trPr>
        <w:tc>
          <w:tcPr>
            <w:tcW w:w="458" w:type="dxa"/>
          </w:tcPr>
          <w:p>
            <w:pPr>
              <w:pStyle w:val="TableParagraph"/>
              <w:spacing w:before="60"/>
              <w:ind w:left="50"/>
              <w:rPr>
                <w:sz w:val="20"/>
              </w:rPr>
            </w:pPr>
            <w:r>
              <w:rPr>
                <w:spacing w:val="-5"/>
                <w:sz w:val="20"/>
              </w:rPr>
              <w:t>69.</w:t>
            </w:r>
          </w:p>
        </w:tc>
        <w:tc>
          <w:tcPr>
            <w:tcW w:w="2813" w:type="dxa"/>
          </w:tcPr>
          <w:p>
            <w:pPr>
              <w:pStyle w:val="TableParagraph"/>
              <w:spacing w:line="249" w:lineRule="auto" w:before="60"/>
              <w:ind w:left="155" w:right="75"/>
              <w:rPr>
                <w:sz w:val="20"/>
              </w:rPr>
            </w:pPr>
            <w:r>
              <w:rPr>
                <w:sz w:val="20"/>
              </w:rPr>
              <w:t>Пластика крупных суставов конечностей с восстановлением</w:t>
            </w:r>
            <w:r>
              <w:rPr>
                <w:spacing w:val="-13"/>
                <w:sz w:val="20"/>
              </w:rPr>
              <w:t> </w:t>
            </w:r>
            <w:r>
              <w:rPr>
                <w:sz w:val="20"/>
              </w:rPr>
              <w:t>целостности </w:t>
            </w:r>
            <w:r>
              <w:rPr>
                <w:spacing w:val="-2"/>
                <w:sz w:val="20"/>
              </w:rPr>
              <w:t>внутрисуставных </w:t>
            </w:r>
            <w:r>
              <w:rPr>
                <w:sz w:val="20"/>
              </w:rPr>
              <w:t>образований, замещением костно-хрящевых дефектов синтетическими и биологическими</w:t>
            </w:r>
            <w:r>
              <w:rPr>
                <w:spacing w:val="-13"/>
                <w:sz w:val="20"/>
              </w:rPr>
              <w:t> </w:t>
            </w:r>
            <w:r>
              <w:rPr>
                <w:sz w:val="20"/>
              </w:rPr>
              <w:t>материалами</w:t>
            </w:r>
          </w:p>
        </w:tc>
        <w:tc>
          <w:tcPr>
            <w:tcW w:w="2142" w:type="dxa"/>
          </w:tcPr>
          <w:p>
            <w:pPr>
              <w:pStyle w:val="TableParagraph"/>
              <w:spacing w:line="249" w:lineRule="auto" w:before="60"/>
              <w:ind w:left="326" w:hanging="257"/>
              <w:rPr>
                <w:sz w:val="20"/>
              </w:rPr>
            </w:pPr>
            <w:r>
              <w:rPr>
                <w:sz w:val="20"/>
              </w:rPr>
              <w:t>M15,</w:t>
            </w:r>
            <w:r>
              <w:rPr>
                <w:spacing w:val="-13"/>
                <w:sz w:val="20"/>
              </w:rPr>
              <w:t> </w:t>
            </w:r>
            <w:r>
              <w:rPr>
                <w:sz w:val="20"/>
              </w:rPr>
              <w:t>M17,</w:t>
            </w:r>
            <w:r>
              <w:rPr>
                <w:spacing w:val="-12"/>
                <w:sz w:val="20"/>
              </w:rPr>
              <w:t> </w:t>
            </w:r>
            <w:r>
              <w:rPr>
                <w:sz w:val="20"/>
              </w:rPr>
              <w:t>M19,</w:t>
            </w:r>
            <w:r>
              <w:rPr>
                <w:spacing w:val="-13"/>
                <w:sz w:val="20"/>
              </w:rPr>
              <w:t> </w:t>
            </w:r>
            <w:r>
              <w:rPr>
                <w:sz w:val="20"/>
              </w:rPr>
              <w:t>M24.1, M87, S83.3, S83.7</w:t>
            </w:r>
          </w:p>
        </w:tc>
        <w:tc>
          <w:tcPr>
            <w:tcW w:w="3310" w:type="dxa"/>
          </w:tcPr>
          <w:p>
            <w:pPr>
              <w:pStyle w:val="TableParagraph"/>
              <w:spacing w:line="249" w:lineRule="auto" w:before="60"/>
              <w:ind w:left="62" w:right="90"/>
              <w:rPr>
                <w:sz w:val="20"/>
              </w:rPr>
            </w:pPr>
            <w:r>
              <w:rPr>
                <w:sz w:val="20"/>
              </w:rPr>
              <w:t>умеренное</w:t>
            </w:r>
            <w:r>
              <w:rPr>
                <w:spacing w:val="-13"/>
                <w:sz w:val="20"/>
              </w:rPr>
              <w:t> </w:t>
            </w:r>
            <w:r>
              <w:rPr>
                <w:sz w:val="20"/>
              </w:rPr>
              <w:t>нарушение</w:t>
            </w:r>
            <w:r>
              <w:rPr>
                <w:spacing w:val="-12"/>
                <w:sz w:val="20"/>
              </w:rPr>
              <w:t> </w:t>
            </w:r>
            <w:r>
              <w:rPr>
                <w:sz w:val="20"/>
              </w:rPr>
              <w:t>анатомии</w:t>
            </w:r>
            <w:r>
              <w:rPr>
                <w:spacing w:val="-13"/>
                <w:sz w:val="20"/>
              </w:rPr>
              <w:t> </w:t>
            </w:r>
            <w:r>
              <w:rPr>
                <w:sz w:val="20"/>
              </w:rPr>
              <w:t>и функции крупного сустава</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9" w:type="dxa"/>
          </w:tcPr>
          <w:p>
            <w:pPr>
              <w:pStyle w:val="TableParagraph"/>
              <w:spacing w:line="249" w:lineRule="auto" w:before="60"/>
              <w:ind w:left="108" w:right="366"/>
              <w:rPr>
                <w:sz w:val="20"/>
              </w:rPr>
            </w:pPr>
            <w:r>
              <w:rPr>
                <w:sz w:val="20"/>
              </w:rPr>
              <w:t>замещение</w:t>
            </w:r>
            <w:r>
              <w:rPr>
                <w:spacing w:val="-13"/>
                <w:sz w:val="20"/>
              </w:rPr>
              <w:t> </w:t>
            </w:r>
            <w:r>
              <w:rPr>
                <w:sz w:val="20"/>
              </w:rPr>
              <w:t>хрящевых,</w:t>
            </w:r>
            <w:r>
              <w:rPr>
                <w:spacing w:val="-12"/>
                <w:sz w:val="20"/>
              </w:rPr>
              <w:t> </w:t>
            </w:r>
            <w:r>
              <w:rPr>
                <w:sz w:val="20"/>
              </w:rPr>
              <w:t>костно-хрящевых и связочных дефектов суставных поверхностей крупных суставов биологическими и синтетическими </w:t>
            </w:r>
            <w:r>
              <w:rPr>
                <w:spacing w:val="-2"/>
                <w:sz w:val="20"/>
              </w:rPr>
              <w:t>материалами</w:t>
            </w:r>
          </w:p>
        </w:tc>
        <w:tc>
          <w:tcPr>
            <w:tcW w:w="964" w:type="dxa"/>
          </w:tcPr>
          <w:p>
            <w:pPr>
              <w:pStyle w:val="TableParagraph"/>
              <w:spacing w:before="60"/>
              <w:ind w:right="48"/>
              <w:jc w:val="right"/>
              <w:rPr>
                <w:sz w:val="20"/>
              </w:rPr>
            </w:pPr>
            <w:r>
              <w:rPr>
                <w:spacing w:val="-2"/>
                <w:sz w:val="20"/>
              </w:rPr>
              <w:t>168809</w:t>
            </w:r>
          </w:p>
        </w:tc>
      </w:tr>
      <w:tr>
        <w:trPr>
          <w:trHeight w:val="1080" w:hRule="atLeast"/>
        </w:trPr>
        <w:tc>
          <w:tcPr>
            <w:tcW w:w="458" w:type="dxa"/>
          </w:tcPr>
          <w:p>
            <w:pPr>
              <w:pStyle w:val="TableParagraph"/>
              <w:spacing w:before="60"/>
              <w:ind w:left="50"/>
              <w:rPr>
                <w:sz w:val="20"/>
              </w:rPr>
            </w:pPr>
            <w:r>
              <w:rPr>
                <w:spacing w:val="-5"/>
                <w:sz w:val="20"/>
              </w:rPr>
              <w:t>70.</w:t>
            </w:r>
          </w:p>
        </w:tc>
        <w:tc>
          <w:tcPr>
            <w:tcW w:w="2813" w:type="dxa"/>
            <w:vMerge w:val="restart"/>
          </w:tcPr>
          <w:p>
            <w:pPr>
              <w:pStyle w:val="TableParagraph"/>
              <w:spacing w:line="249" w:lineRule="auto" w:before="60"/>
              <w:ind w:left="155" w:right="62"/>
              <w:rPr>
                <w:sz w:val="20"/>
              </w:rPr>
            </w:pPr>
            <w:r>
              <w:rPr>
                <w:sz w:val="20"/>
              </w:rPr>
              <w:t>Эндопротезирование</w:t>
            </w:r>
            <w:r>
              <w:rPr>
                <w:spacing w:val="-13"/>
                <w:sz w:val="20"/>
              </w:rPr>
              <w:t> </w:t>
            </w:r>
            <w:r>
              <w:rPr>
                <w:sz w:val="20"/>
              </w:rPr>
              <w:t>суставов конечностей</w:t>
            </w:r>
            <w:r>
              <w:rPr>
                <w:spacing w:val="-13"/>
                <w:sz w:val="20"/>
              </w:rPr>
              <w:t> </w:t>
            </w:r>
            <w:r>
              <w:rPr>
                <w:sz w:val="20"/>
              </w:rPr>
              <w:t>при</w:t>
            </w:r>
            <w:r>
              <w:rPr>
                <w:spacing w:val="-12"/>
                <w:sz w:val="20"/>
              </w:rPr>
              <w:t> </w:t>
            </w:r>
            <w:r>
              <w:rPr>
                <w:sz w:val="20"/>
              </w:rPr>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w:t>
            </w:r>
          </w:p>
          <w:p>
            <w:pPr>
              <w:pStyle w:val="TableParagraph"/>
              <w:spacing w:line="210" w:lineRule="exact" w:before="9"/>
              <w:ind w:left="155"/>
              <w:rPr>
                <w:sz w:val="20"/>
              </w:rPr>
            </w:pPr>
            <w:r>
              <w:rPr>
                <w:w w:val="95"/>
                <w:sz w:val="20"/>
              </w:rPr>
              <w:t>компьютерной</w:t>
            </w:r>
            <w:r>
              <w:rPr>
                <w:spacing w:val="45"/>
                <w:sz w:val="20"/>
              </w:rPr>
              <w:t> </w:t>
            </w:r>
            <w:r>
              <w:rPr>
                <w:spacing w:val="-2"/>
                <w:sz w:val="20"/>
              </w:rPr>
              <w:t>навигации</w:t>
            </w:r>
          </w:p>
        </w:tc>
        <w:tc>
          <w:tcPr>
            <w:tcW w:w="2142" w:type="dxa"/>
          </w:tcPr>
          <w:p>
            <w:pPr>
              <w:pStyle w:val="TableParagraph"/>
              <w:spacing w:line="249" w:lineRule="auto" w:before="60"/>
              <w:ind w:left="814" w:hanging="668"/>
              <w:rPr>
                <w:sz w:val="20"/>
              </w:rPr>
            </w:pPr>
            <w:r>
              <w:rPr>
                <w:sz w:val="20"/>
              </w:rPr>
              <w:t>M10,</w:t>
            </w:r>
            <w:r>
              <w:rPr>
                <w:spacing w:val="-13"/>
                <w:sz w:val="20"/>
              </w:rPr>
              <w:t> </w:t>
            </w:r>
            <w:r>
              <w:rPr>
                <w:sz w:val="20"/>
              </w:rPr>
              <w:t>M15,</w:t>
            </w:r>
            <w:r>
              <w:rPr>
                <w:spacing w:val="-10"/>
                <w:sz w:val="20"/>
              </w:rPr>
              <w:t> </w:t>
            </w:r>
            <w:r>
              <w:rPr>
                <w:sz w:val="20"/>
              </w:rPr>
              <w:t>M17,</w:t>
            </w:r>
            <w:r>
              <w:rPr>
                <w:spacing w:val="-13"/>
                <w:sz w:val="20"/>
              </w:rPr>
              <w:t> </w:t>
            </w:r>
            <w:r>
              <w:rPr>
                <w:sz w:val="20"/>
              </w:rPr>
              <w:t>M19, </w:t>
            </w:r>
            <w:r>
              <w:rPr>
                <w:spacing w:val="-2"/>
                <w:sz w:val="20"/>
              </w:rPr>
              <w:t>M95.9</w:t>
            </w:r>
          </w:p>
        </w:tc>
        <w:tc>
          <w:tcPr>
            <w:tcW w:w="3310" w:type="dxa"/>
            <w:vMerge w:val="restart"/>
          </w:tcPr>
          <w:p>
            <w:pPr>
              <w:pStyle w:val="TableParagraph"/>
              <w:spacing w:line="249" w:lineRule="auto" w:before="60"/>
              <w:ind w:left="62" w:right="50"/>
              <w:rPr>
                <w:sz w:val="20"/>
              </w:rPr>
            </w:pPr>
            <w:r>
              <w:rPr>
                <w:sz w:val="20"/>
              </w:rPr>
              <w:t>деформирующий артроз в сочетании с посттравматическими и послеоперационными</w:t>
            </w:r>
            <w:r>
              <w:rPr>
                <w:spacing w:val="-13"/>
                <w:sz w:val="20"/>
              </w:rPr>
              <w:t> </w:t>
            </w:r>
            <w:r>
              <w:rPr>
                <w:sz w:val="20"/>
              </w:rPr>
              <w:t>деформациями конечности на различном уровне и в различных плоскостях</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9" w:type="dxa"/>
          </w:tcPr>
          <w:p>
            <w:pPr>
              <w:pStyle w:val="TableParagraph"/>
              <w:spacing w:line="249" w:lineRule="auto" w:before="60"/>
              <w:ind w:left="108" w:right="284"/>
              <w:rPr>
                <w:sz w:val="20"/>
              </w:rPr>
            </w:pPr>
            <w:r>
              <w:rPr>
                <w:sz w:val="20"/>
              </w:rPr>
              <w:t>имплантация эндопротеза, в том числе под</w:t>
            </w:r>
            <w:r>
              <w:rPr>
                <w:spacing w:val="-13"/>
                <w:sz w:val="20"/>
              </w:rPr>
              <w:t> </w:t>
            </w:r>
            <w:r>
              <w:rPr>
                <w:sz w:val="20"/>
              </w:rPr>
              <w:t>контролем</w:t>
            </w:r>
            <w:r>
              <w:rPr>
                <w:spacing w:val="-12"/>
                <w:sz w:val="20"/>
              </w:rPr>
              <w:t> </w:t>
            </w:r>
            <w:r>
              <w:rPr>
                <w:sz w:val="20"/>
              </w:rPr>
              <w:t>компьютерной</w:t>
            </w:r>
            <w:r>
              <w:rPr>
                <w:spacing w:val="-13"/>
                <w:sz w:val="20"/>
              </w:rPr>
              <w:t> </w:t>
            </w:r>
            <w:r>
              <w:rPr>
                <w:sz w:val="20"/>
              </w:rPr>
              <w:t>навигации, с одновременной реконструкцией биологической оси конечности</w:t>
            </w:r>
          </w:p>
        </w:tc>
        <w:tc>
          <w:tcPr>
            <w:tcW w:w="964" w:type="dxa"/>
          </w:tcPr>
          <w:p>
            <w:pPr>
              <w:pStyle w:val="TableParagraph"/>
              <w:spacing w:before="60"/>
              <w:ind w:right="48"/>
              <w:jc w:val="right"/>
              <w:rPr>
                <w:sz w:val="20"/>
              </w:rPr>
            </w:pPr>
            <w:r>
              <w:rPr>
                <w:spacing w:val="-2"/>
                <w:sz w:val="20"/>
              </w:rPr>
              <w:t>227315</w:t>
            </w:r>
          </w:p>
        </w:tc>
      </w:tr>
      <w:tr>
        <w:trPr>
          <w:trHeight w:val="1080" w:hRule="atLeast"/>
        </w:trPr>
        <w:tc>
          <w:tcPr>
            <w:tcW w:w="458" w:type="dxa"/>
          </w:tcPr>
          <w:p>
            <w:pPr>
              <w:pStyle w:val="TableParagraph"/>
              <w:rPr>
                <w:sz w:val="18"/>
              </w:rPr>
            </w:pPr>
          </w:p>
        </w:tc>
        <w:tc>
          <w:tcPr>
            <w:tcW w:w="2813" w:type="dxa"/>
            <w:vMerge/>
            <w:tcBorders>
              <w:top w:val="nil"/>
            </w:tcBorders>
          </w:tcPr>
          <w:p>
            <w:pPr>
              <w:rPr>
                <w:sz w:val="2"/>
                <w:szCs w:val="2"/>
              </w:rPr>
            </w:pPr>
          </w:p>
        </w:tc>
        <w:tc>
          <w:tcPr>
            <w:tcW w:w="2142" w:type="dxa"/>
          </w:tcPr>
          <w:p>
            <w:pPr>
              <w:pStyle w:val="TableParagraph"/>
              <w:rPr>
                <w:sz w:val="18"/>
              </w:rPr>
            </w:pPr>
          </w:p>
        </w:tc>
        <w:tc>
          <w:tcPr>
            <w:tcW w:w="3310" w:type="dxa"/>
            <w:vMerge/>
            <w:tcBorders>
              <w:top w:val="nil"/>
            </w:tcBorders>
          </w:tcPr>
          <w:p>
            <w:pPr>
              <w:rPr>
                <w:sz w:val="2"/>
                <w:szCs w:val="2"/>
              </w:rPr>
            </w:pPr>
          </w:p>
        </w:tc>
        <w:tc>
          <w:tcPr>
            <w:tcW w:w="1425" w:type="dxa"/>
          </w:tcPr>
          <w:p>
            <w:pPr>
              <w:pStyle w:val="TableParagraph"/>
              <w:rPr>
                <w:sz w:val="18"/>
              </w:rPr>
            </w:pPr>
          </w:p>
        </w:tc>
        <w:tc>
          <w:tcPr>
            <w:tcW w:w="3989" w:type="dxa"/>
          </w:tcPr>
          <w:p>
            <w:pPr>
              <w:pStyle w:val="TableParagraph"/>
              <w:spacing w:line="249" w:lineRule="auto" w:before="60"/>
              <w:ind w:left="108" w:right="366"/>
              <w:rPr>
                <w:sz w:val="20"/>
              </w:rPr>
            </w:pPr>
            <w:r>
              <w:rPr>
                <w:sz w:val="20"/>
              </w:rPr>
              <w:t>устранение</w:t>
            </w:r>
            <w:r>
              <w:rPr>
                <w:spacing w:val="-13"/>
                <w:sz w:val="20"/>
              </w:rPr>
              <w:t> </w:t>
            </w:r>
            <w:r>
              <w:rPr>
                <w:sz w:val="20"/>
              </w:rPr>
              <w:t>сложных</w:t>
            </w:r>
            <w:r>
              <w:rPr>
                <w:spacing w:val="-12"/>
                <w:sz w:val="20"/>
              </w:rPr>
              <w:t> </w:t>
            </w:r>
            <w:r>
              <w:rPr>
                <w:sz w:val="20"/>
              </w:rPr>
              <w:t>многоплоскостных деформаций за счет использования чрескостных аппаратов со свойствами пассивной компьютерной навигации</w:t>
            </w:r>
          </w:p>
        </w:tc>
        <w:tc>
          <w:tcPr>
            <w:tcW w:w="964" w:type="dxa"/>
          </w:tcPr>
          <w:p>
            <w:pPr>
              <w:pStyle w:val="TableParagraph"/>
              <w:rPr>
                <w:sz w:val="18"/>
              </w:rPr>
            </w:pPr>
          </w:p>
        </w:tc>
      </w:tr>
      <w:tr>
        <w:trPr>
          <w:trHeight w:val="530" w:hRule="atLeast"/>
        </w:trPr>
        <w:tc>
          <w:tcPr>
            <w:tcW w:w="458" w:type="dxa"/>
          </w:tcPr>
          <w:p>
            <w:pPr>
              <w:pStyle w:val="TableParagraph"/>
              <w:rPr>
                <w:sz w:val="18"/>
              </w:rPr>
            </w:pPr>
          </w:p>
        </w:tc>
        <w:tc>
          <w:tcPr>
            <w:tcW w:w="2813" w:type="dxa"/>
            <w:vMerge/>
            <w:tcBorders>
              <w:top w:val="nil"/>
            </w:tcBorders>
          </w:tcPr>
          <w:p>
            <w:pPr>
              <w:rPr>
                <w:sz w:val="2"/>
                <w:szCs w:val="2"/>
              </w:rPr>
            </w:pPr>
          </w:p>
        </w:tc>
        <w:tc>
          <w:tcPr>
            <w:tcW w:w="2142" w:type="dxa"/>
          </w:tcPr>
          <w:p>
            <w:pPr>
              <w:pStyle w:val="TableParagraph"/>
              <w:rPr>
                <w:sz w:val="18"/>
              </w:rPr>
            </w:pPr>
          </w:p>
        </w:tc>
        <w:tc>
          <w:tcPr>
            <w:tcW w:w="3310" w:type="dxa"/>
          </w:tcPr>
          <w:p>
            <w:pPr>
              <w:pStyle w:val="TableParagraph"/>
              <w:rPr>
                <w:sz w:val="18"/>
              </w:rPr>
            </w:pPr>
          </w:p>
        </w:tc>
        <w:tc>
          <w:tcPr>
            <w:tcW w:w="1425" w:type="dxa"/>
          </w:tcPr>
          <w:p>
            <w:pPr>
              <w:pStyle w:val="TableParagraph"/>
              <w:rPr>
                <w:sz w:val="18"/>
              </w:rPr>
            </w:pPr>
          </w:p>
        </w:tc>
        <w:tc>
          <w:tcPr>
            <w:tcW w:w="3989" w:type="dxa"/>
          </w:tcPr>
          <w:p>
            <w:pPr>
              <w:pStyle w:val="TableParagraph"/>
              <w:spacing w:line="240" w:lineRule="atLeast" w:before="30"/>
              <w:ind w:left="108" w:right="284"/>
              <w:rPr>
                <w:sz w:val="20"/>
              </w:rPr>
            </w:pPr>
            <w:r>
              <w:rPr>
                <w:sz w:val="20"/>
              </w:rPr>
              <w:t>имплантация эндопротеза, в том числе под</w:t>
            </w:r>
            <w:r>
              <w:rPr>
                <w:spacing w:val="-13"/>
                <w:sz w:val="20"/>
              </w:rPr>
              <w:t> </w:t>
            </w:r>
            <w:r>
              <w:rPr>
                <w:sz w:val="20"/>
              </w:rPr>
              <w:t>контролем</w:t>
            </w:r>
            <w:r>
              <w:rPr>
                <w:spacing w:val="-12"/>
                <w:sz w:val="20"/>
              </w:rPr>
              <w:t> </w:t>
            </w:r>
            <w:r>
              <w:rPr>
                <w:sz w:val="20"/>
              </w:rPr>
              <w:t>компьютерной</w:t>
            </w:r>
            <w:r>
              <w:rPr>
                <w:spacing w:val="-13"/>
                <w:sz w:val="20"/>
              </w:rPr>
              <w:t> </w:t>
            </w:r>
            <w:r>
              <w:rPr>
                <w:sz w:val="20"/>
              </w:rPr>
              <w:t>навигации,</w:t>
            </w:r>
          </w:p>
        </w:tc>
        <w:tc>
          <w:tcPr>
            <w:tcW w:w="96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2"/>
        <w:gridCol w:w="3286"/>
        <w:gridCol w:w="1447"/>
        <w:gridCol w:w="3687"/>
      </w:tblGrid>
      <w:tr>
        <w:trPr>
          <w:trHeight w:val="530" w:hRule="atLeast"/>
        </w:trPr>
        <w:tc>
          <w:tcPr>
            <w:tcW w:w="2122" w:type="dxa"/>
          </w:tcPr>
          <w:p>
            <w:pPr>
              <w:pStyle w:val="TableParagraph"/>
              <w:rPr>
                <w:sz w:val="18"/>
              </w:rPr>
            </w:pPr>
          </w:p>
        </w:tc>
        <w:tc>
          <w:tcPr>
            <w:tcW w:w="3286" w:type="dxa"/>
          </w:tcPr>
          <w:p>
            <w:pPr>
              <w:pStyle w:val="TableParagraph"/>
              <w:rPr>
                <w:sz w:val="18"/>
              </w:rPr>
            </w:pPr>
          </w:p>
        </w:tc>
        <w:tc>
          <w:tcPr>
            <w:tcW w:w="1447" w:type="dxa"/>
          </w:tcPr>
          <w:p>
            <w:pPr>
              <w:pStyle w:val="TableParagraph"/>
              <w:rPr>
                <w:sz w:val="18"/>
              </w:rPr>
            </w:pPr>
          </w:p>
        </w:tc>
        <w:tc>
          <w:tcPr>
            <w:tcW w:w="3687" w:type="dxa"/>
          </w:tcPr>
          <w:p>
            <w:pPr>
              <w:pStyle w:val="TableParagraph"/>
              <w:spacing w:line="249" w:lineRule="auto"/>
              <w:ind w:left="111" w:right="39"/>
              <w:rPr>
                <w:sz w:val="20"/>
              </w:rPr>
            </w:pPr>
            <w:r>
              <w:rPr>
                <w:sz w:val="20"/>
              </w:rPr>
              <w:t>с</w:t>
            </w:r>
            <w:r>
              <w:rPr>
                <w:spacing w:val="-13"/>
                <w:sz w:val="20"/>
              </w:rPr>
              <w:t> </w:t>
            </w:r>
            <w:r>
              <w:rPr>
                <w:sz w:val="20"/>
              </w:rPr>
              <w:t>предварительным</w:t>
            </w:r>
            <w:r>
              <w:rPr>
                <w:spacing w:val="-12"/>
                <w:sz w:val="20"/>
              </w:rPr>
              <w:t> </w:t>
            </w:r>
            <w:r>
              <w:rPr>
                <w:sz w:val="20"/>
              </w:rPr>
              <w:t>удалением</w:t>
            </w:r>
            <w:r>
              <w:rPr>
                <w:spacing w:val="-13"/>
                <w:sz w:val="20"/>
              </w:rPr>
              <w:t> </w:t>
            </w:r>
            <w:r>
              <w:rPr>
                <w:sz w:val="20"/>
              </w:rPr>
              <w:t>аппаратов внешней фиксации</w:t>
            </w:r>
          </w:p>
        </w:tc>
      </w:tr>
      <w:tr>
        <w:trPr>
          <w:trHeight w:val="1560" w:hRule="atLeast"/>
        </w:trPr>
        <w:tc>
          <w:tcPr>
            <w:tcW w:w="2122" w:type="dxa"/>
          </w:tcPr>
          <w:p>
            <w:pPr>
              <w:pStyle w:val="TableParagraph"/>
              <w:spacing w:line="252" w:lineRule="auto" w:before="60"/>
              <w:ind w:left="794" w:hanging="745"/>
              <w:rPr>
                <w:sz w:val="20"/>
              </w:rPr>
            </w:pPr>
            <w:r>
              <w:rPr>
                <w:sz w:val="20"/>
              </w:rPr>
              <w:t>M17,</w:t>
            </w:r>
            <w:r>
              <w:rPr>
                <w:spacing w:val="-13"/>
                <w:sz w:val="20"/>
              </w:rPr>
              <w:t> </w:t>
            </w:r>
            <w:r>
              <w:rPr>
                <w:sz w:val="20"/>
              </w:rPr>
              <w:t>M19,</w:t>
            </w:r>
            <w:r>
              <w:rPr>
                <w:spacing w:val="-12"/>
                <w:sz w:val="20"/>
              </w:rPr>
              <w:t> </w:t>
            </w:r>
            <w:r>
              <w:rPr>
                <w:sz w:val="20"/>
              </w:rPr>
              <w:t>M87,</w:t>
            </w:r>
            <w:r>
              <w:rPr>
                <w:spacing w:val="-13"/>
                <w:sz w:val="20"/>
              </w:rPr>
              <w:t> </w:t>
            </w:r>
            <w:r>
              <w:rPr>
                <w:sz w:val="20"/>
              </w:rPr>
              <w:t>M88.8, </w:t>
            </w:r>
            <w:r>
              <w:rPr>
                <w:spacing w:val="-2"/>
                <w:sz w:val="20"/>
              </w:rPr>
              <w:t>M91.1</w:t>
            </w:r>
          </w:p>
        </w:tc>
        <w:tc>
          <w:tcPr>
            <w:tcW w:w="3286" w:type="dxa"/>
          </w:tcPr>
          <w:p>
            <w:pPr>
              <w:pStyle w:val="TableParagraph"/>
              <w:spacing w:line="252" w:lineRule="auto" w:before="60"/>
              <w:ind w:left="62" w:right="55"/>
              <w:rPr>
                <w:sz w:val="20"/>
              </w:rPr>
            </w:pPr>
            <w:r>
              <w:rPr>
                <w:sz w:val="20"/>
              </w:rPr>
              <w:t>деформирующий</w:t>
            </w:r>
            <w:r>
              <w:rPr>
                <w:spacing w:val="-13"/>
                <w:sz w:val="20"/>
              </w:rPr>
              <w:t> </w:t>
            </w:r>
            <w:r>
              <w:rPr>
                <w:sz w:val="20"/>
              </w:rPr>
              <w:t>артроз</w:t>
            </w:r>
            <w:r>
              <w:rPr>
                <w:spacing w:val="-12"/>
                <w:sz w:val="20"/>
              </w:rPr>
              <w:t> </w:t>
            </w:r>
            <w:r>
              <w:rPr>
                <w:sz w:val="20"/>
              </w:rPr>
              <w:t>в</w:t>
            </w:r>
            <w:r>
              <w:rPr>
                <w:spacing w:val="-13"/>
                <w:sz w:val="20"/>
              </w:rPr>
              <w:t> </w:t>
            </w:r>
            <w:r>
              <w:rPr>
                <w:sz w:val="20"/>
              </w:rPr>
              <w:t>сочетании с дисплазией сустава</w:t>
            </w:r>
          </w:p>
        </w:tc>
        <w:tc>
          <w:tcPr>
            <w:tcW w:w="1447" w:type="dxa"/>
          </w:tcPr>
          <w:p>
            <w:pPr>
              <w:pStyle w:val="TableParagraph"/>
              <w:spacing w:line="252" w:lineRule="auto" w:before="60"/>
              <w:ind w:left="83"/>
              <w:rPr>
                <w:sz w:val="20"/>
              </w:rPr>
            </w:pPr>
            <w:r>
              <w:rPr>
                <w:spacing w:val="-2"/>
                <w:sz w:val="20"/>
              </w:rPr>
              <w:t>хирургическое лечение</w:t>
            </w:r>
          </w:p>
        </w:tc>
        <w:tc>
          <w:tcPr>
            <w:tcW w:w="3687" w:type="dxa"/>
          </w:tcPr>
          <w:p>
            <w:pPr>
              <w:pStyle w:val="TableParagraph"/>
              <w:spacing w:line="249" w:lineRule="auto" w:before="60"/>
              <w:ind w:left="111" w:right="39"/>
              <w:rPr>
                <w:sz w:val="20"/>
              </w:rPr>
            </w:pPr>
            <w:r>
              <w:rPr>
                <w:sz w:val="20"/>
              </w:rPr>
              <w:t>имплантация специальных диспластических компонентов эндопротеза с костной аутопластикой крыши вертлужной впадины или замещением</w:t>
            </w:r>
            <w:r>
              <w:rPr>
                <w:spacing w:val="-13"/>
                <w:sz w:val="20"/>
              </w:rPr>
              <w:t> </w:t>
            </w:r>
            <w:r>
              <w:rPr>
                <w:sz w:val="20"/>
              </w:rPr>
              <w:t>дефекта</w:t>
            </w:r>
            <w:r>
              <w:rPr>
                <w:spacing w:val="-12"/>
                <w:sz w:val="20"/>
              </w:rPr>
              <w:t> </w:t>
            </w:r>
            <w:r>
              <w:rPr>
                <w:sz w:val="20"/>
              </w:rPr>
              <w:t>крыши</w:t>
            </w:r>
            <w:r>
              <w:rPr>
                <w:spacing w:val="-13"/>
                <w:sz w:val="20"/>
              </w:rPr>
              <w:t> </w:t>
            </w:r>
            <w:r>
              <w:rPr>
                <w:sz w:val="20"/>
              </w:rPr>
              <w:t>опорными блоками из трабекуллярного металла</w:t>
            </w:r>
          </w:p>
        </w:tc>
      </w:tr>
      <w:tr>
        <w:trPr>
          <w:trHeight w:val="1560" w:hRule="atLeast"/>
        </w:trPr>
        <w:tc>
          <w:tcPr>
            <w:tcW w:w="2122" w:type="dxa"/>
          </w:tcPr>
          <w:p>
            <w:pPr>
              <w:pStyle w:val="TableParagraph"/>
              <w:rPr>
                <w:sz w:val="18"/>
              </w:rPr>
            </w:pPr>
          </w:p>
        </w:tc>
        <w:tc>
          <w:tcPr>
            <w:tcW w:w="3286" w:type="dxa"/>
          </w:tcPr>
          <w:p>
            <w:pPr>
              <w:pStyle w:val="TableParagraph"/>
              <w:rPr>
                <w:sz w:val="18"/>
              </w:rPr>
            </w:pPr>
          </w:p>
        </w:tc>
        <w:tc>
          <w:tcPr>
            <w:tcW w:w="1447" w:type="dxa"/>
          </w:tcPr>
          <w:p>
            <w:pPr>
              <w:pStyle w:val="TableParagraph"/>
              <w:rPr>
                <w:sz w:val="18"/>
              </w:rPr>
            </w:pPr>
          </w:p>
        </w:tc>
        <w:tc>
          <w:tcPr>
            <w:tcW w:w="3687" w:type="dxa"/>
          </w:tcPr>
          <w:p>
            <w:pPr>
              <w:pStyle w:val="TableParagraph"/>
              <w:spacing w:line="249" w:lineRule="auto" w:before="60"/>
              <w:ind w:left="111" w:right="39"/>
              <w:rPr>
                <w:sz w:val="20"/>
              </w:rPr>
            </w:pPr>
            <w:r>
              <w:rPr>
                <w:sz w:val="20"/>
              </w:rPr>
              <w:t>укорачивающая</w:t>
            </w:r>
            <w:r>
              <w:rPr>
                <w:spacing w:val="-13"/>
                <w:sz w:val="20"/>
              </w:rPr>
              <w:t> </w:t>
            </w:r>
            <w:r>
              <w:rPr>
                <w:sz w:val="20"/>
              </w:rPr>
              <w:t>остеотомия</w:t>
            </w:r>
            <w:r>
              <w:rPr>
                <w:spacing w:val="-12"/>
                <w:sz w:val="20"/>
              </w:rPr>
              <w:t> </w:t>
            </w:r>
            <w:r>
              <w:rPr>
                <w:sz w:val="20"/>
              </w:rPr>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trPr>
          <w:trHeight w:val="1320" w:hRule="atLeast"/>
        </w:trPr>
        <w:tc>
          <w:tcPr>
            <w:tcW w:w="2122" w:type="dxa"/>
          </w:tcPr>
          <w:p>
            <w:pPr>
              <w:pStyle w:val="TableParagraph"/>
              <w:spacing w:before="60"/>
              <w:ind w:left="161" w:right="165"/>
              <w:jc w:val="center"/>
              <w:rPr>
                <w:sz w:val="20"/>
              </w:rPr>
            </w:pPr>
            <w:r>
              <w:rPr>
                <w:sz w:val="20"/>
              </w:rPr>
              <w:t>M80,</w:t>
            </w:r>
            <w:r>
              <w:rPr>
                <w:spacing w:val="-4"/>
                <w:sz w:val="20"/>
              </w:rPr>
              <w:t> </w:t>
            </w:r>
            <w:r>
              <w:rPr>
                <w:sz w:val="20"/>
              </w:rPr>
              <w:t>M10,</w:t>
            </w:r>
            <w:r>
              <w:rPr>
                <w:spacing w:val="-4"/>
                <w:sz w:val="20"/>
              </w:rPr>
              <w:t> M24.7</w:t>
            </w:r>
          </w:p>
        </w:tc>
        <w:tc>
          <w:tcPr>
            <w:tcW w:w="3286" w:type="dxa"/>
          </w:tcPr>
          <w:p>
            <w:pPr>
              <w:pStyle w:val="TableParagraph"/>
              <w:spacing w:line="249" w:lineRule="auto" w:before="60"/>
              <w:ind w:left="62" w:right="55"/>
              <w:rPr>
                <w:sz w:val="20"/>
              </w:rPr>
            </w:pPr>
            <w:r>
              <w:rPr>
                <w:sz w:val="20"/>
              </w:rPr>
              <w:t>деформирующий</w:t>
            </w:r>
            <w:r>
              <w:rPr>
                <w:spacing w:val="-13"/>
                <w:sz w:val="20"/>
              </w:rPr>
              <w:t> </w:t>
            </w:r>
            <w:r>
              <w:rPr>
                <w:sz w:val="20"/>
              </w:rPr>
              <w:t>артроз</w:t>
            </w:r>
            <w:r>
              <w:rPr>
                <w:spacing w:val="-12"/>
                <w:sz w:val="20"/>
              </w:rPr>
              <w:t> </w:t>
            </w:r>
            <w:r>
              <w:rPr>
                <w:sz w:val="20"/>
              </w:rPr>
              <w:t>в</w:t>
            </w:r>
            <w:r>
              <w:rPr>
                <w:spacing w:val="-13"/>
                <w:sz w:val="20"/>
              </w:rPr>
              <w:t> </w:t>
            </w:r>
            <w:r>
              <w:rPr>
                <w:sz w:val="20"/>
              </w:rPr>
              <w:t>сочетании с выраженным системным или локальным остеопорозом</w:t>
            </w:r>
          </w:p>
        </w:tc>
        <w:tc>
          <w:tcPr>
            <w:tcW w:w="1447" w:type="dxa"/>
          </w:tcPr>
          <w:p>
            <w:pPr>
              <w:pStyle w:val="TableParagraph"/>
              <w:spacing w:line="249" w:lineRule="auto" w:before="60"/>
              <w:ind w:left="83"/>
              <w:rPr>
                <w:sz w:val="20"/>
              </w:rPr>
            </w:pPr>
            <w:r>
              <w:rPr>
                <w:spacing w:val="-2"/>
                <w:sz w:val="20"/>
              </w:rPr>
              <w:t>хирургическое лечение</w:t>
            </w:r>
          </w:p>
        </w:tc>
        <w:tc>
          <w:tcPr>
            <w:tcW w:w="3687" w:type="dxa"/>
          </w:tcPr>
          <w:p>
            <w:pPr>
              <w:pStyle w:val="TableParagraph"/>
              <w:spacing w:line="249" w:lineRule="auto" w:before="60"/>
              <w:ind w:left="111" w:right="39"/>
              <w:rPr>
                <w:sz w:val="20"/>
              </w:rPr>
            </w:pPr>
            <w:r>
              <w:rPr>
                <w:sz w:val="20"/>
              </w:rPr>
              <w:t>имплантация</w:t>
            </w:r>
            <w:r>
              <w:rPr>
                <w:spacing w:val="-8"/>
                <w:sz w:val="20"/>
              </w:rPr>
              <w:t> </w:t>
            </w:r>
            <w:r>
              <w:rPr>
                <w:sz w:val="20"/>
              </w:rPr>
              <w:t>эндопротеза</w:t>
            </w:r>
            <w:r>
              <w:rPr>
                <w:spacing w:val="-7"/>
                <w:sz w:val="20"/>
              </w:rPr>
              <w:t> </w:t>
            </w:r>
            <w:r>
              <w:rPr>
                <w:sz w:val="20"/>
              </w:rPr>
              <w:t>сустава</w:t>
            </w:r>
            <w:r>
              <w:rPr>
                <w:spacing w:val="-8"/>
                <w:sz w:val="20"/>
              </w:rPr>
              <w:t> </w:t>
            </w:r>
            <w:r>
              <w:rPr>
                <w:sz w:val="20"/>
              </w:rPr>
              <w:t>в сочетании</w:t>
            </w:r>
            <w:r>
              <w:rPr>
                <w:spacing w:val="-13"/>
                <w:sz w:val="20"/>
              </w:rPr>
              <w:t> </w:t>
            </w:r>
            <w:r>
              <w:rPr>
                <w:sz w:val="20"/>
              </w:rPr>
              <w:t>с</w:t>
            </w:r>
            <w:r>
              <w:rPr>
                <w:spacing w:val="-12"/>
                <w:sz w:val="20"/>
              </w:rPr>
              <w:t> </w:t>
            </w:r>
            <w:r>
              <w:rPr>
                <w:sz w:val="20"/>
              </w:rPr>
              <w:t>костной</w:t>
            </w:r>
            <w:r>
              <w:rPr>
                <w:spacing w:val="-13"/>
                <w:sz w:val="20"/>
              </w:rPr>
              <w:t> </w:t>
            </w:r>
            <w:r>
              <w:rPr>
                <w:sz w:val="20"/>
              </w:rPr>
              <w:t>аутопластикой структурным или губчатым трансплантатом и использованием дополнительных средств фиксации</w:t>
            </w:r>
          </w:p>
        </w:tc>
      </w:tr>
      <w:tr>
        <w:trPr>
          <w:trHeight w:val="1560" w:hRule="atLeast"/>
        </w:trPr>
        <w:tc>
          <w:tcPr>
            <w:tcW w:w="2122" w:type="dxa"/>
          </w:tcPr>
          <w:p>
            <w:pPr>
              <w:pStyle w:val="TableParagraph"/>
              <w:spacing w:before="60"/>
              <w:ind w:left="161" w:right="168"/>
              <w:jc w:val="center"/>
              <w:rPr>
                <w:sz w:val="20"/>
              </w:rPr>
            </w:pPr>
            <w:r>
              <w:rPr>
                <w:sz w:val="20"/>
              </w:rPr>
              <w:t>M17.3,</w:t>
            </w:r>
            <w:r>
              <w:rPr>
                <w:spacing w:val="-6"/>
                <w:sz w:val="20"/>
              </w:rPr>
              <w:t> </w:t>
            </w:r>
            <w:r>
              <w:rPr>
                <w:sz w:val="20"/>
              </w:rPr>
              <w:t>M19.8,</w:t>
            </w:r>
            <w:r>
              <w:rPr>
                <w:spacing w:val="-5"/>
                <w:sz w:val="20"/>
              </w:rPr>
              <w:t> </w:t>
            </w:r>
            <w:r>
              <w:rPr>
                <w:spacing w:val="-4"/>
                <w:sz w:val="20"/>
              </w:rPr>
              <w:t>M19.9</w:t>
            </w:r>
          </w:p>
        </w:tc>
        <w:tc>
          <w:tcPr>
            <w:tcW w:w="3286" w:type="dxa"/>
          </w:tcPr>
          <w:p>
            <w:pPr>
              <w:pStyle w:val="TableParagraph"/>
              <w:spacing w:line="249" w:lineRule="auto" w:before="60"/>
              <w:ind w:left="62" w:right="55"/>
              <w:rPr>
                <w:sz w:val="20"/>
              </w:rPr>
            </w:pPr>
            <w:r>
              <w:rPr>
                <w:spacing w:val="-2"/>
                <w:sz w:val="20"/>
              </w:rPr>
              <w:t>посттравматический </w:t>
            </w:r>
            <w:r>
              <w:rPr>
                <w:sz w:val="20"/>
              </w:rPr>
              <w:t>деформирующий</w:t>
            </w:r>
            <w:r>
              <w:rPr>
                <w:spacing w:val="-13"/>
                <w:sz w:val="20"/>
              </w:rPr>
              <w:t> </w:t>
            </w:r>
            <w:r>
              <w:rPr>
                <w:sz w:val="20"/>
              </w:rPr>
              <w:t>артроз</w:t>
            </w:r>
            <w:r>
              <w:rPr>
                <w:spacing w:val="-12"/>
                <w:sz w:val="20"/>
              </w:rPr>
              <w:t> </w:t>
            </w:r>
            <w:r>
              <w:rPr>
                <w:sz w:val="20"/>
              </w:rPr>
              <w:t>сустава</w:t>
            </w:r>
            <w:r>
              <w:rPr>
                <w:spacing w:val="-13"/>
                <w:sz w:val="20"/>
              </w:rPr>
              <w:t> </w:t>
            </w:r>
            <w:r>
              <w:rPr>
                <w:sz w:val="20"/>
              </w:rPr>
              <w:t>с вывихом или подвывихом</w:t>
            </w:r>
          </w:p>
        </w:tc>
        <w:tc>
          <w:tcPr>
            <w:tcW w:w="1447" w:type="dxa"/>
          </w:tcPr>
          <w:p>
            <w:pPr>
              <w:pStyle w:val="TableParagraph"/>
              <w:spacing w:line="249" w:lineRule="auto" w:before="60"/>
              <w:ind w:left="83"/>
              <w:rPr>
                <w:sz w:val="20"/>
              </w:rPr>
            </w:pPr>
            <w:r>
              <w:rPr>
                <w:spacing w:val="-2"/>
                <w:sz w:val="20"/>
              </w:rPr>
              <w:t>хирургическое лечение</w:t>
            </w:r>
          </w:p>
        </w:tc>
        <w:tc>
          <w:tcPr>
            <w:tcW w:w="3687" w:type="dxa"/>
          </w:tcPr>
          <w:p>
            <w:pPr>
              <w:pStyle w:val="TableParagraph"/>
              <w:spacing w:line="249" w:lineRule="auto" w:before="60"/>
              <w:ind w:left="111" w:right="39"/>
              <w:rPr>
                <w:sz w:val="20"/>
              </w:rPr>
            </w:pPr>
            <w:r>
              <w:rPr>
                <w:sz w:val="20"/>
              </w:rPr>
              <w:t>имплантация</w:t>
            </w:r>
            <w:r>
              <w:rPr>
                <w:spacing w:val="-10"/>
                <w:sz w:val="20"/>
              </w:rPr>
              <w:t> </w:t>
            </w:r>
            <w:r>
              <w:rPr>
                <w:sz w:val="20"/>
              </w:rPr>
              <w:t>эндопротеза,</w:t>
            </w:r>
            <w:r>
              <w:rPr>
                <w:spacing w:val="-8"/>
                <w:sz w:val="20"/>
              </w:rPr>
              <w:t> </w:t>
            </w:r>
            <w:r>
              <w:rPr>
                <w:sz w:val="20"/>
              </w:rPr>
              <w:t>в</w:t>
            </w:r>
            <w:r>
              <w:rPr>
                <w:spacing w:val="-8"/>
                <w:sz w:val="20"/>
              </w:rPr>
              <w:t> </w:t>
            </w:r>
            <w:r>
              <w:rPr>
                <w:sz w:val="20"/>
              </w:rPr>
              <w:t>том</w:t>
            </w:r>
            <w:r>
              <w:rPr>
                <w:spacing w:val="-8"/>
                <w:sz w:val="20"/>
              </w:rPr>
              <w:t> </w:t>
            </w:r>
            <w:r>
              <w:rPr>
                <w:sz w:val="20"/>
              </w:rPr>
              <w:t>числе</w:t>
            </w:r>
            <w:r>
              <w:rPr>
                <w:spacing w:val="-9"/>
                <w:sz w:val="20"/>
              </w:rPr>
              <w:t> </w:t>
            </w:r>
            <w:r>
              <w:rPr>
                <w:sz w:val="20"/>
              </w:rPr>
              <w:t>с использованием компьютерной навигации, и замещением дефекта костным аутотрансплантатом или опорными блоками из трабекулярного </w:t>
            </w:r>
            <w:r>
              <w:rPr>
                <w:spacing w:val="-2"/>
                <w:sz w:val="20"/>
              </w:rPr>
              <w:t>металла</w:t>
            </w:r>
          </w:p>
        </w:tc>
      </w:tr>
      <w:tr>
        <w:trPr>
          <w:trHeight w:val="1010" w:hRule="atLeast"/>
        </w:trPr>
        <w:tc>
          <w:tcPr>
            <w:tcW w:w="2122" w:type="dxa"/>
          </w:tcPr>
          <w:p>
            <w:pPr>
              <w:pStyle w:val="TableParagraph"/>
              <w:rPr>
                <w:sz w:val="18"/>
              </w:rPr>
            </w:pPr>
          </w:p>
        </w:tc>
        <w:tc>
          <w:tcPr>
            <w:tcW w:w="3286" w:type="dxa"/>
          </w:tcPr>
          <w:p>
            <w:pPr>
              <w:pStyle w:val="TableParagraph"/>
              <w:rPr>
                <w:sz w:val="18"/>
              </w:rPr>
            </w:pPr>
          </w:p>
        </w:tc>
        <w:tc>
          <w:tcPr>
            <w:tcW w:w="1447" w:type="dxa"/>
          </w:tcPr>
          <w:p>
            <w:pPr>
              <w:pStyle w:val="TableParagraph"/>
              <w:rPr>
                <w:sz w:val="18"/>
              </w:rPr>
            </w:pPr>
          </w:p>
        </w:tc>
        <w:tc>
          <w:tcPr>
            <w:tcW w:w="3687" w:type="dxa"/>
          </w:tcPr>
          <w:p>
            <w:pPr>
              <w:pStyle w:val="TableParagraph"/>
              <w:spacing w:line="240" w:lineRule="atLeast" w:before="30"/>
              <w:ind w:left="111" w:right="39"/>
              <w:rPr>
                <w:sz w:val="20"/>
              </w:rPr>
            </w:pPr>
            <w:r>
              <w:rPr>
                <w:sz w:val="20"/>
              </w:rPr>
              <w:t>артролиз</w:t>
            </w:r>
            <w:r>
              <w:rPr>
                <w:spacing w:val="-13"/>
                <w:sz w:val="20"/>
              </w:rPr>
              <w:t> </w:t>
            </w:r>
            <w:r>
              <w:rPr>
                <w:sz w:val="20"/>
              </w:rPr>
              <w:t>и</w:t>
            </w:r>
            <w:r>
              <w:rPr>
                <w:spacing w:val="-12"/>
                <w:sz w:val="20"/>
              </w:rPr>
              <w:t> </w:t>
            </w:r>
            <w:r>
              <w:rPr>
                <w:sz w:val="20"/>
              </w:rPr>
              <w:t>управляемое</w:t>
            </w:r>
            <w:r>
              <w:rPr>
                <w:spacing w:val="-13"/>
                <w:sz w:val="20"/>
              </w:rPr>
              <w:t> </w:t>
            </w:r>
            <w:r>
              <w:rPr>
                <w:sz w:val="20"/>
              </w:rPr>
              <w:t>восстановление длины конечности посредством применения аппаратов внешней </w:t>
            </w:r>
            <w:r>
              <w:rPr>
                <w:spacing w:val="-2"/>
                <w:sz w:val="20"/>
              </w:rPr>
              <w:t>фиксации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7"/>
        <w:gridCol w:w="2034"/>
        <w:gridCol w:w="3364"/>
        <w:gridCol w:w="1425"/>
        <w:gridCol w:w="3987"/>
        <w:gridCol w:w="966"/>
      </w:tblGrid>
      <w:tr>
        <w:trPr>
          <w:trHeight w:val="1490" w:hRule="atLeast"/>
        </w:trPr>
        <w:tc>
          <w:tcPr>
            <w:tcW w:w="458" w:type="dxa"/>
          </w:tcPr>
          <w:p>
            <w:pPr>
              <w:pStyle w:val="TableParagraph"/>
              <w:rPr>
                <w:sz w:val="18"/>
              </w:rPr>
            </w:pPr>
          </w:p>
        </w:tc>
        <w:tc>
          <w:tcPr>
            <w:tcW w:w="2867" w:type="dxa"/>
          </w:tcPr>
          <w:p>
            <w:pPr>
              <w:pStyle w:val="TableParagraph"/>
              <w:rPr>
                <w:sz w:val="18"/>
              </w:rPr>
            </w:pPr>
          </w:p>
        </w:tc>
        <w:tc>
          <w:tcPr>
            <w:tcW w:w="2034" w:type="dxa"/>
          </w:tcPr>
          <w:p>
            <w:pPr>
              <w:pStyle w:val="TableParagraph"/>
              <w:rPr>
                <w:sz w:val="18"/>
              </w:rPr>
            </w:pPr>
          </w:p>
        </w:tc>
        <w:tc>
          <w:tcPr>
            <w:tcW w:w="3364" w:type="dxa"/>
          </w:tcPr>
          <w:p>
            <w:pPr>
              <w:pStyle w:val="TableParagraph"/>
              <w:rPr>
                <w:sz w:val="18"/>
              </w:rPr>
            </w:pPr>
          </w:p>
        </w:tc>
        <w:tc>
          <w:tcPr>
            <w:tcW w:w="1425" w:type="dxa"/>
          </w:tcPr>
          <w:p>
            <w:pPr>
              <w:pStyle w:val="TableParagraph"/>
              <w:rPr>
                <w:sz w:val="18"/>
              </w:rPr>
            </w:pPr>
          </w:p>
        </w:tc>
        <w:tc>
          <w:tcPr>
            <w:tcW w:w="3987" w:type="dxa"/>
          </w:tcPr>
          <w:p>
            <w:pPr>
              <w:pStyle w:val="TableParagraph"/>
              <w:spacing w:line="249" w:lineRule="auto"/>
              <w:ind w:left="108" w:right="320"/>
              <w:rPr>
                <w:sz w:val="20"/>
              </w:rPr>
            </w:pPr>
            <w:r>
              <w:rPr>
                <w:sz w:val="20"/>
              </w:rPr>
              <w:t>имплантация</w:t>
            </w:r>
            <w:r>
              <w:rPr>
                <w:spacing w:val="-13"/>
                <w:sz w:val="20"/>
              </w:rPr>
              <w:t> </w:t>
            </w:r>
            <w:r>
              <w:rPr>
                <w:sz w:val="20"/>
              </w:rPr>
              <w:t>эндопротеза</w:t>
            </w:r>
            <w:r>
              <w:rPr>
                <w:spacing w:val="-12"/>
                <w:sz w:val="20"/>
              </w:rPr>
              <w:t> </w:t>
            </w:r>
            <w:r>
              <w:rPr>
                <w:sz w:val="20"/>
              </w:rPr>
              <w:t>с</w:t>
            </w:r>
            <w:r>
              <w:rPr>
                <w:spacing w:val="-13"/>
                <w:sz w:val="20"/>
              </w:rPr>
              <w:t> </w:t>
            </w:r>
            <w:r>
              <w:rPr>
                <w:sz w:val="20"/>
              </w:rPr>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66" w:type="dxa"/>
          </w:tcPr>
          <w:p>
            <w:pPr>
              <w:pStyle w:val="TableParagraph"/>
              <w:rPr>
                <w:sz w:val="18"/>
              </w:rPr>
            </w:pPr>
          </w:p>
        </w:tc>
      </w:tr>
      <w:tr>
        <w:trPr>
          <w:trHeight w:val="1080" w:hRule="atLeast"/>
        </w:trPr>
        <w:tc>
          <w:tcPr>
            <w:tcW w:w="458" w:type="dxa"/>
          </w:tcPr>
          <w:p>
            <w:pPr>
              <w:pStyle w:val="TableParagraph"/>
              <w:rPr>
                <w:sz w:val="18"/>
              </w:rPr>
            </w:pPr>
          </w:p>
        </w:tc>
        <w:tc>
          <w:tcPr>
            <w:tcW w:w="2867" w:type="dxa"/>
          </w:tcPr>
          <w:p>
            <w:pPr>
              <w:pStyle w:val="TableParagraph"/>
              <w:rPr>
                <w:sz w:val="18"/>
              </w:rPr>
            </w:pPr>
          </w:p>
        </w:tc>
        <w:tc>
          <w:tcPr>
            <w:tcW w:w="2034" w:type="dxa"/>
          </w:tcPr>
          <w:p>
            <w:pPr>
              <w:pStyle w:val="TableParagraph"/>
              <w:spacing w:before="60"/>
              <w:ind w:left="275" w:right="262"/>
              <w:jc w:val="center"/>
              <w:rPr>
                <w:sz w:val="20"/>
              </w:rPr>
            </w:pPr>
            <w:r>
              <w:rPr>
                <w:sz w:val="20"/>
              </w:rPr>
              <w:t>M24.6,</w:t>
            </w:r>
            <w:r>
              <w:rPr>
                <w:spacing w:val="-3"/>
                <w:sz w:val="20"/>
              </w:rPr>
              <w:t> </w:t>
            </w:r>
            <w:r>
              <w:rPr>
                <w:spacing w:val="-2"/>
                <w:sz w:val="20"/>
              </w:rPr>
              <w:t>Z98.1</w:t>
            </w:r>
          </w:p>
        </w:tc>
        <w:tc>
          <w:tcPr>
            <w:tcW w:w="3364" w:type="dxa"/>
          </w:tcPr>
          <w:p>
            <w:pPr>
              <w:pStyle w:val="TableParagraph"/>
              <w:spacing w:line="249" w:lineRule="auto" w:before="60"/>
              <w:ind w:left="116" w:right="246"/>
              <w:rPr>
                <w:sz w:val="20"/>
              </w:rPr>
            </w:pPr>
            <w:r>
              <w:rPr>
                <w:sz w:val="20"/>
              </w:rPr>
              <w:t>анкилоз</w:t>
            </w:r>
            <w:r>
              <w:rPr>
                <w:spacing w:val="-13"/>
                <w:sz w:val="20"/>
              </w:rPr>
              <w:t> </w:t>
            </w:r>
            <w:r>
              <w:rPr>
                <w:sz w:val="20"/>
              </w:rPr>
              <w:t>крупного</w:t>
            </w:r>
            <w:r>
              <w:rPr>
                <w:spacing w:val="-12"/>
                <w:sz w:val="20"/>
              </w:rPr>
              <w:t> </w:t>
            </w:r>
            <w:r>
              <w:rPr>
                <w:sz w:val="20"/>
              </w:rPr>
              <w:t>сустава</w:t>
            </w:r>
            <w:r>
              <w:rPr>
                <w:spacing w:val="-13"/>
                <w:sz w:val="20"/>
              </w:rPr>
              <w:t> </w:t>
            </w:r>
            <w:r>
              <w:rPr>
                <w:sz w:val="20"/>
              </w:rPr>
              <w:t>в порочном положении</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9" w:lineRule="auto" w:before="60"/>
              <w:ind w:left="108" w:right="282"/>
              <w:rPr>
                <w:sz w:val="20"/>
              </w:rPr>
            </w:pPr>
            <w:r>
              <w:rPr>
                <w:sz w:val="20"/>
              </w:rPr>
              <w:t>имплантация эндопротеза, в том числе под</w:t>
            </w:r>
            <w:r>
              <w:rPr>
                <w:spacing w:val="-13"/>
                <w:sz w:val="20"/>
              </w:rPr>
              <w:t> </w:t>
            </w:r>
            <w:r>
              <w:rPr>
                <w:sz w:val="20"/>
              </w:rPr>
              <w:t>контролем</w:t>
            </w:r>
            <w:r>
              <w:rPr>
                <w:spacing w:val="-12"/>
                <w:sz w:val="20"/>
              </w:rPr>
              <w:t> </w:t>
            </w:r>
            <w:r>
              <w:rPr>
                <w:sz w:val="20"/>
              </w:rPr>
              <w:t>компьютерной</w:t>
            </w:r>
            <w:r>
              <w:rPr>
                <w:spacing w:val="-13"/>
                <w:sz w:val="20"/>
              </w:rPr>
              <w:t> </w:t>
            </w:r>
            <w:r>
              <w:rPr>
                <w:sz w:val="20"/>
              </w:rPr>
              <w:t>навигации, и стабилизация сустава за счет пластики мягких тканей</w:t>
            </w:r>
          </w:p>
        </w:tc>
        <w:tc>
          <w:tcPr>
            <w:tcW w:w="966" w:type="dxa"/>
          </w:tcPr>
          <w:p>
            <w:pPr>
              <w:pStyle w:val="TableParagraph"/>
              <w:rPr>
                <w:sz w:val="18"/>
              </w:rPr>
            </w:pPr>
          </w:p>
        </w:tc>
      </w:tr>
      <w:tr>
        <w:trPr>
          <w:trHeight w:val="3240" w:hRule="atLeast"/>
        </w:trPr>
        <w:tc>
          <w:tcPr>
            <w:tcW w:w="458" w:type="dxa"/>
          </w:tcPr>
          <w:p>
            <w:pPr>
              <w:pStyle w:val="TableParagraph"/>
              <w:rPr>
                <w:sz w:val="18"/>
              </w:rPr>
            </w:pPr>
          </w:p>
        </w:tc>
        <w:tc>
          <w:tcPr>
            <w:tcW w:w="2867" w:type="dxa"/>
          </w:tcPr>
          <w:p>
            <w:pPr>
              <w:pStyle w:val="TableParagraph"/>
              <w:spacing w:line="249" w:lineRule="auto" w:before="60"/>
              <w:ind w:left="155" w:right="190"/>
              <w:rPr>
                <w:sz w:val="20"/>
              </w:rPr>
            </w:pPr>
            <w:r>
              <w:rPr>
                <w:spacing w:val="-2"/>
                <w:sz w:val="20"/>
              </w:rPr>
              <w:t>Эндопротезирование </w:t>
            </w:r>
            <w:r>
              <w:rPr>
                <w:sz w:val="20"/>
              </w:rPr>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w:t>
            </w:r>
            <w:r>
              <w:rPr>
                <w:spacing w:val="-13"/>
                <w:sz w:val="20"/>
              </w:rPr>
              <w:t> </w:t>
            </w:r>
            <w:r>
              <w:rPr>
                <w:sz w:val="20"/>
              </w:rPr>
              <w:t>вывихах и подвывихах, остеопорозе,</w:t>
            </w:r>
          </w:p>
          <w:p>
            <w:pPr>
              <w:pStyle w:val="TableParagraph"/>
              <w:spacing w:line="249" w:lineRule="auto" w:before="10"/>
              <w:ind w:left="155"/>
              <w:rPr>
                <w:sz w:val="20"/>
              </w:rPr>
            </w:pPr>
            <w:r>
              <w:rPr>
                <w:sz w:val="20"/>
              </w:rPr>
              <w:t>в</w:t>
            </w:r>
            <w:r>
              <w:rPr>
                <w:spacing w:val="-11"/>
                <w:sz w:val="20"/>
              </w:rPr>
              <w:t> </w:t>
            </w:r>
            <w:r>
              <w:rPr>
                <w:sz w:val="20"/>
              </w:rPr>
              <w:t>том</w:t>
            </w:r>
            <w:r>
              <w:rPr>
                <w:spacing w:val="-10"/>
                <w:sz w:val="20"/>
              </w:rPr>
              <w:t> </w:t>
            </w:r>
            <w:r>
              <w:rPr>
                <w:sz w:val="20"/>
              </w:rPr>
              <w:t>числе</w:t>
            </w:r>
            <w:r>
              <w:rPr>
                <w:spacing w:val="-10"/>
                <w:sz w:val="20"/>
              </w:rPr>
              <w:t> </w:t>
            </w:r>
            <w:r>
              <w:rPr>
                <w:sz w:val="20"/>
              </w:rPr>
              <w:t>с</w:t>
            </w:r>
            <w:r>
              <w:rPr>
                <w:spacing w:val="-10"/>
                <w:sz w:val="20"/>
              </w:rPr>
              <w:t> </w:t>
            </w:r>
            <w:r>
              <w:rPr>
                <w:sz w:val="20"/>
              </w:rPr>
              <w:t>использованием компьютерной навигации</w:t>
            </w:r>
          </w:p>
        </w:tc>
        <w:tc>
          <w:tcPr>
            <w:tcW w:w="2034" w:type="dxa"/>
          </w:tcPr>
          <w:p>
            <w:pPr>
              <w:pStyle w:val="TableParagraph"/>
              <w:spacing w:before="60"/>
              <w:ind w:left="275" w:right="262"/>
              <w:jc w:val="center"/>
              <w:rPr>
                <w:sz w:val="20"/>
              </w:rPr>
            </w:pPr>
            <w:r>
              <w:rPr>
                <w:sz w:val="20"/>
              </w:rPr>
              <w:t>M17,</w:t>
            </w:r>
            <w:r>
              <w:rPr>
                <w:spacing w:val="-4"/>
                <w:sz w:val="20"/>
              </w:rPr>
              <w:t> </w:t>
            </w:r>
            <w:r>
              <w:rPr>
                <w:sz w:val="20"/>
              </w:rPr>
              <w:t>M19,</w:t>
            </w:r>
            <w:r>
              <w:rPr>
                <w:spacing w:val="-4"/>
                <w:sz w:val="20"/>
              </w:rPr>
              <w:t> M95.9</w:t>
            </w:r>
          </w:p>
        </w:tc>
        <w:tc>
          <w:tcPr>
            <w:tcW w:w="3364" w:type="dxa"/>
          </w:tcPr>
          <w:p>
            <w:pPr>
              <w:pStyle w:val="TableParagraph"/>
              <w:spacing w:line="249" w:lineRule="auto" w:before="60"/>
              <w:ind w:left="116" w:right="50"/>
              <w:rPr>
                <w:sz w:val="20"/>
              </w:rPr>
            </w:pPr>
            <w:r>
              <w:rPr>
                <w:sz w:val="20"/>
              </w:rPr>
              <w:t>деформирующий артроз в сочетании с посттравматическими и послеоперационными</w:t>
            </w:r>
            <w:r>
              <w:rPr>
                <w:spacing w:val="-13"/>
                <w:sz w:val="20"/>
              </w:rPr>
              <w:t> </w:t>
            </w:r>
            <w:r>
              <w:rPr>
                <w:sz w:val="20"/>
              </w:rPr>
              <w:t>деформациями конечности на различном уровне и в различных плоскостях</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9" w:lineRule="auto" w:before="60"/>
              <w:ind w:left="108" w:right="1117"/>
              <w:rPr>
                <w:sz w:val="20"/>
              </w:rPr>
            </w:pPr>
            <w:r>
              <w:rPr>
                <w:sz w:val="20"/>
              </w:rPr>
              <w:t>имплантация эндопротеза с одновременной</w:t>
            </w:r>
            <w:r>
              <w:rPr>
                <w:spacing w:val="-13"/>
                <w:sz w:val="20"/>
              </w:rPr>
              <w:t> </w:t>
            </w:r>
            <w:r>
              <w:rPr>
                <w:sz w:val="20"/>
              </w:rPr>
              <w:t>реконструкцией биологической оси конечности</w:t>
            </w:r>
          </w:p>
        </w:tc>
        <w:tc>
          <w:tcPr>
            <w:tcW w:w="966" w:type="dxa"/>
          </w:tcPr>
          <w:p>
            <w:pPr>
              <w:pStyle w:val="TableParagraph"/>
              <w:rPr>
                <w:sz w:val="18"/>
              </w:rPr>
            </w:pPr>
          </w:p>
        </w:tc>
      </w:tr>
      <w:tr>
        <w:trPr>
          <w:trHeight w:val="1320" w:hRule="atLeast"/>
        </w:trPr>
        <w:tc>
          <w:tcPr>
            <w:tcW w:w="458" w:type="dxa"/>
          </w:tcPr>
          <w:p>
            <w:pPr>
              <w:pStyle w:val="TableParagraph"/>
              <w:rPr>
                <w:sz w:val="18"/>
              </w:rPr>
            </w:pPr>
          </w:p>
        </w:tc>
        <w:tc>
          <w:tcPr>
            <w:tcW w:w="2867" w:type="dxa"/>
          </w:tcPr>
          <w:p>
            <w:pPr>
              <w:pStyle w:val="TableParagraph"/>
              <w:spacing w:line="249" w:lineRule="auto" w:before="60"/>
              <w:ind w:left="155" w:right="116"/>
              <w:rPr>
                <w:sz w:val="20"/>
              </w:rPr>
            </w:pPr>
            <w:r>
              <w:rPr>
                <w:sz w:val="20"/>
              </w:rPr>
              <w:t>Эндопротезирование</w:t>
            </w:r>
            <w:r>
              <w:rPr>
                <w:spacing w:val="-13"/>
                <w:sz w:val="20"/>
              </w:rPr>
              <w:t> </w:t>
            </w:r>
            <w:r>
              <w:rPr>
                <w:sz w:val="20"/>
              </w:rPr>
              <w:t>суставов конечностей у больных с системными заболеваниями соединительной ткани</w:t>
            </w:r>
          </w:p>
        </w:tc>
        <w:tc>
          <w:tcPr>
            <w:tcW w:w="2034" w:type="dxa"/>
          </w:tcPr>
          <w:p>
            <w:pPr>
              <w:pStyle w:val="TableParagraph"/>
              <w:spacing w:before="60"/>
              <w:ind w:left="273" w:right="262"/>
              <w:jc w:val="center"/>
              <w:rPr>
                <w:sz w:val="20"/>
              </w:rPr>
            </w:pPr>
            <w:r>
              <w:rPr>
                <w:sz w:val="20"/>
              </w:rPr>
              <w:t>M05,</w:t>
            </w:r>
            <w:r>
              <w:rPr>
                <w:spacing w:val="-3"/>
                <w:sz w:val="20"/>
              </w:rPr>
              <w:t> </w:t>
            </w:r>
            <w:r>
              <w:rPr>
                <w:spacing w:val="-5"/>
                <w:sz w:val="20"/>
              </w:rPr>
              <w:t>M06</w:t>
            </w:r>
          </w:p>
        </w:tc>
        <w:tc>
          <w:tcPr>
            <w:tcW w:w="3364" w:type="dxa"/>
          </w:tcPr>
          <w:p>
            <w:pPr>
              <w:pStyle w:val="TableParagraph"/>
              <w:spacing w:line="249" w:lineRule="auto" w:before="60"/>
              <w:ind w:left="116" w:right="50"/>
              <w:rPr>
                <w:sz w:val="20"/>
              </w:rPr>
            </w:pPr>
            <w:r>
              <w:rPr>
                <w:spacing w:val="-2"/>
                <w:w w:val="95"/>
                <w:sz w:val="20"/>
              </w:rPr>
              <w:t>дегенеративно-дистрофические </w:t>
            </w:r>
            <w:r>
              <w:rPr>
                <w:sz w:val="20"/>
              </w:rPr>
              <w:t>изменения в суставе на фоне системного заболевания соединительной ткани</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9" w:lineRule="auto" w:before="60"/>
              <w:ind w:left="108" w:right="320"/>
              <w:rPr>
                <w:sz w:val="20"/>
              </w:rPr>
            </w:pPr>
            <w:r>
              <w:rPr>
                <w:sz w:val="20"/>
              </w:rPr>
              <w:t>имплантация</w:t>
            </w:r>
            <w:r>
              <w:rPr>
                <w:spacing w:val="-9"/>
                <w:sz w:val="20"/>
              </w:rPr>
              <w:t> </w:t>
            </w:r>
            <w:r>
              <w:rPr>
                <w:sz w:val="20"/>
              </w:rPr>
              <w:t>эндопротеза</w:t>
            </w:r>
            <w:r>
              <w:rPr>
                <w:spacing w:val="-8"/>
                <w:sz w:val="20"/>
              </w:rPr>
              <w:t> </w:t>
            </w:r>
            <w:r>
              <w:rPr>
                <w:sz w:val="20"/>
              </w:rPr>
              <w:t>сустава</w:t>
            </w:r>
            <w:r>
              <w:rPr>
                <w:spacing w:val="-9"/>
                <w:sz w:val="20"/>
              </w:rPr>
              <w:t> </w:t>
            </w:r>
            <w:r>
              <w:rPr>
                <w:sz w:val="20"/>
              </w:rPr>
              <w:t>в сочетании</w:t>
            </w:r>
            <w:r>
              <w:rPr>
                <w:spacing w:val="-13"/>
                <w:sz w:val="20"/>
              </w:rPr>
              <w:t> </w:t>
            </w:r>
            <w:r>
              <w:rPr>
                <w:sz w:val="20"/>
              </w:rPr>
              <w:t>с</w:t>
            </w:r>
            <w:r>
              <w:rPr>
                <w:spacing w:val="-12"/>
                <w:sz w:val="20"/>
              </w:rPr>
              <w:t> </w:t>
            </w:r>
            <w:r>
              <w:rPr>
                <w:sz w:val="20"/>
              </w:rPr>
              <w:t>костной</w:t>
            </w:r>
            <w:r>
              <w:rPr>
                <w:spacing w:val="-13"/>
                <w:sz w:val="20"/>
              </w:rPr>
              <w:t> </w:t>
            </w:r>
            <w:r>
              <w:rPr>
                <w:sz w:val="20"/>
              </w:rPr>
              <w:t>аутопластикой структурным или губчатым трансплантатом и использованием дополнительных средств фиксации</w:t>
            </w:r>
          </w:p>
        </w:tc>
        <w:tc>
          <w:tcPr>
            <w:tcW w:w="966" w:type="dxa"/>
          </w:tcPr>
          <w:p>
            <w:pPr>
              <w:pStyle w:val="TableParagraph"/>
              <w:rPr>
                <w:sz w:val="18"/>
              </w:rPr>
            </w:pPr>
          </w:p>
        </w:tc>
      </w:tr>
      <w:tr>
        <w:trPr>
          <w:trHeight w:val="770" w:hRule="atLeast"/>
        </w:trPr>
        <w:tc>
          <w:tcPr>
            <w:tcW w:w="458" w:type="dxa"/>
          </w:tcPr>
          <w:p>
            <w:pPr>
              <w:pStyle w:val="TableParagraph"/>
              <w:spacing w:before="60"/>
              <w:ind w:left="50"/>
              <w:rPr>
                <w:sz w:val="20"/>
              </w:rPr>
            </w:pPr>
            <w:r>
              <w:rPr>
                <w:spacing w:val="-5"/>
                <w:sz w:val="20"/>
              </w:rPr>
              <w:t>71.</w:t>
            </w:r>
          </w:p>
        </w:tc>
        <w:tc>
          <w:tcPr>
            <w:tcW w:w="2867" w:type="dxa"/>
          </w:tcPr>
          <w:p>
            <w:pPr>
              <w:pStyle w:val="TableParagraph"/>
              <w:spacing w:line="240" w:lineRule="atLeast" w:before="30"/>
              <w:ind w:left="155" w:right="456"/>
              <w:rPr>
                <w:sz w:val="20"/>
              </w:rPr>
            </w:pPr>
            <w:r>
              <w:rPr>
                <w:sz w:val="20"/>
              </w:rPr>
              <w:t>Реконструктивные и корригирующие</w:t>
            </w:r>
            <w:r>
              <w:rPr>
                <w:spacing w:val="-13"/>
                <w:sz w:val="20"/>
              </w:rPr>
              <w:t> </w:t>
            </w:r>
            <w:r>
              <w:rPr>
                <w:sz w:val="20"/>
              </w:rPr>
              <w:t>операции при сколиотических</w:t>
            </w:r>
          </w:p>
        </w:tc>
        <w:tc>
          <w:tcPr>
            <w:tcW w:w="2034" w:type="dxa"/>
          </w:tcPr>
          <w:p>
            <w:pPr>
              <w:pStyle w:val="TableParagraph"/>
              <w:spacing w:line="249" w:lineRule="auto" w:before="60"/>
              <w:ind w:left="851" w:hanging="728"/>
              <w:rPr>
                <w:sz w:val="20"/>
              </w:rPr>
            </w:pPr>
            <w:r>
              <w:rPr>
                <w:sz w:val="20"/>
              </w:rPr>
              <w:t>M40,</w:t>
            </w:r>
            <w:r>
              <w:rPr>
                <w:spacing w:val="-13"/>
                <w:sz w:val="20"/>
              </w:rPr>
              <w:t> </w:t>
            </w:r>
            <w:r>
              <w:rPr>
                <w:sz w:val="20"/>
              </w:rPr>
              <w:t>M41,</w:t>
            </w:r>
            <w:r>
              <w:rPr>
                <w:spacing w:val="-12"/>
                <w:sz w:val="20"/>
              </w:rPr>
              <w:t> </w:t>
            </w:r>
            <w:r>
              <w:rPr>
                <w:sz w:val="20"/>
              </w:rPr>
              <w:t>Q76,</w:t>
            </w:r>
            <w:r>
              <w:rPr>
                <w:spacing w:val="-12"/>
                <w:sz w:val="20"/>
              </w:rPr>
              <w:t> </w:t>
            </w:r>
            <w:r>
              <w:rPr>
                <w:sz w:val="20"/>
              </w:rPr>
              <w:t>Q85, </w:t>
            </w:r>
            <w:r>
              <w:rPr>
                <w:spacing w:val="-4"/>
                <w:sz w:val="20"/>
              </w:rPr>
              <w:t>Q87</w:t>
            </w:r>
          </w:p>
        </w:tc>
        <w:tc>
          <w:tcPr>
            <w:tcW w:w="3364" w:type="dxa"/>
          </w:tcPr>
          <w:p>
            <w:pPr>
              <w:pStyle w:val="TableParagraph"/>
              <w:spacing w:line="240" w:lineRule="atLeast" w:before="30"/>
              <w:ind w:left="116" w:right="50"/>
              <w:rPr>
                <w:sz w:val="20"/>
              </w:rPr>
            </w:pPr>
            <w:r>
              <w:rPr>
                <w:sz w:val="20"/>
              </w:rPr>
              <w:t>инфантильный и идиопатический сколиоз</w:t>
            </w:r>
            <w:r>
              <w:rPr>
                <w:spacing w:val="-9"/>
                <w:sz w:val="20"/>
              </w:rPr>
              <w:t> </w:t>
            </w:r>
            <w:r>
              <w:rPr>
                <w:sz w:val="20"/>
              </w:rPr>
              <w:t>3</w:t>
            </w:r>
            <w:r>
              <w:rPr>
                <w:spacing w:val="-7"/>
                <w:sz w:val="20"/>
              </w:rPr>
              <w:t> </w:t>
            </w:r>
            <w:r>
              <w:rPr>
                <w:sz w:val="20"/>
              </w:rPr>
              <w:t>-</w:t>
            </w:r>
            <w:r>
              <w:rPr>
                <w:spacing w:val="-11"/>
                <w:sz w:val="20"/>
              </w:rPr>
              <w:t> </w:t>
            </w:r>
            <w:r>
              <w:rPr>
                <w:sz w:val="20"/>
              </w:rPr>
              <w:t>4</w:t>
            </w:r>
            <w:r>
              <w:rPr>
                <w:spacing w:val="-8"/>
                <w:sz w:val="20"/>
              </w:rPr>
              <w:t> </w:t>
            </w:r>
            <w:r>
              <w:rPr>
                <w:sz w:val="20"/>
              </w:rPr>
              <w:t>степени,</w:t>
            </w:r>
            <w:r>
              <w:rPr>
                <w:spacing w:val="-9"/>
                <w:sz w:val="20"/>
              </w:rPr>
              <w:t> </w:t>
            </w:r>
            <w:r>
              <w:rPr>
                <w:sz w:val="20"/>
              </w:rPr>
              <w:t>осложненный вторичным остеохондрозом с</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0" w:lineRule="atLeast" w:before="30"/>
              <w:ind w:left="108" w:right="320"/>
              <w:rPr>
                <w:sz w:val="20"/>
              </w:rPr>
            </w:pPr>
            <w:r>
              <w:rPr>
                <w:sz w:val="20"/>
              </w:rPr>
              <w:t>реконструктивное</w:t>
            </w:r>
            <w:r>
              <w:rPr>
                <w:spacing w:val="-13"/>
                <w:sz w:val="20"/>
              </w:rPr>
              <w:t> </w:t>
            </w:r>
            <w:r>
              <w:rPr>
                <w:sz w:val="20"/>
              </w:rPr>
              <w:t>вмешательство</w:t>
            </w:r>
            <w:r>
              <w:rPr>
                <w:spacing w:val="-12"/>
                <w:sz w:val="20"/>
              </w:rPr>
              <w:t> </w:t>
            </w:r>
            <w:r>
              <w:rPr>
                <w:sz w:val="20"/>
              </w:rPr>
              <w:t>с</w:t>
            </w:r>
            <w:r>
              <w:rPr>
                <w:spacing w:val="-13"/>
                <w:sz w:val="20"/>
              </w:rPr>
              <w:t> </w:t>
            </w:r>
            <w:r>
              <w:rPr>
                <w:sz w:val="20"/>
              </w:rPr>
              <w:t>одно- или многоуровневой вертебротомией, путем резекции позвонка,</w:t>
            </w:r>
          </w:p>
        </w:tc>
        <w:tc>
          <w:tcPr>
            <w:tcW w:w="966" w:type="dxa"/>
          </w:tcPr>
          <w:p>
            <w:pPr>
              <w:pStyle w:val="TableParagraph"/>
              <w:spacing w:before="60"/>
              <w:ind w:left="315"/>
              <w:rPr>
                <w:sz w:val="20"/>
              </w:rPr>
            </w:pPr>
            <w:r>
              <w:rPr>
                <w:spacing w:val="-2"/>
                <w:sz w:val="20"/>
              </w:rPr>
              <w:t>436058</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5"/>
        <w:gridCol w:w="1999"/>
        <w:gridCol w:w="3369"/>
        <w:gridCol w:w="1435"/>
        <w:gridCol w:w="3949"/>
        <w:gridCol w:w="1002"/>
      </w:tblGrid>
      <w:tr>
        <w:trPr>
          <w:trHeight w:val="1970" w:hRule="atLeast"/>
        </w:trPr>
        <w:tc>
          <w:tcPr>
            <w:tcW w:w="458" w:type="dxa"/>
            <w:vMerge w:val="restart"/>
          </w:tcPr>
          <w:p>
            <w:pPr>
              <w:pStyle w:val="TableParagraph"/>
              <w:rPr>
                <w:sz w:val="18"/>
              </w:rPr>
            </w:pPr>
          </w:p>
        </w:tc>
        <w:tc>
          <w:tcPr>
            <w:tcW w:w="2885" w:type="dxa"/>
            <w:vMerge w:val="restart"/>
          </w:tcPr>
          <w:p>
            <w:pPr>
              <w:pStyle w:val="TableParagraph"/>
              <w:spacing w:line="249" w:lineRule="auto"/>
              <w:ind w:left="155" w:right="270"/>
              <w:rPr>
                <w:sz w:val="20"/>
              </w:rPr>
            </w:pPr>
            <w:r>
              <w:rPr>
                <w:sz w:val="20"/>
              </w:rPr>
              <w:t>деформациях позвоночника 3</w:t>
            </w:r>
            <w:r>
              <w:rPr>
                <w:spacing w:val="-8"/>
                <w:sz w:val="20"/>
              </w:rPr>
              <w:t> </w:t>
            </w:r>
            <w:r>
              <w:rPr>
                <w:sz w:val="20"/>
              </w:rPr>
              <w:t>-</w:t>
            </w:r>
            <w:r>
              <w:rPr>
                <w:spacing w:val="-9"/>
                <w:sz w:val="20"/>
              </w:rPr>
              <w:t> </w:t>
            </w:r>
            <w:r>
              <w:rPr>
                <w:sz w:val="20"/>
              </w:rPr>
              <w:t>4</w:t>
            </w:r>
            <w:r>
              <w:rPr>
                <w:spacing w:val="-8"/>
                <w:sz w:val="20"/>
              </w:rPr>
              <w:t> </w:t>
            </w:r>
            <w:r>
              <w:rPr>
                <w:sz w:val="20"/>
              </w:rPr>
              <w:t>степени</w:t>
            </w:r>
            <w:r>
              <w:rPr>
                <w:spacing w:val="-9"/>
                <w:sz w:val="20"/>
              </w:rPr>
              <w:t> </w:t>
            </w:r>
            <w:r>
              <w:rPr>
                <w:sz w:val="20"/>
              </w:rPr>
              <w:t>с</w:t>
            </w:r>
            <w:r>
              <w:rPr>
                <w:spacing w:val="-8"/>
                <w:sz w:val="20"/>
              </w:rPr>
              <w:t> </w:t>
            </w:r>
            <w:r>
              <w:rPr>
                <w:sz w:val="20"/>
              </w:rPr>
              <w:t>применением </w:t>
            </w:r>
            <w:r>
              <w:rPr>
                <w:spacing w:val="-2"/>
                <w:sz w:val="20"/>
              </w:rPr>
              <w:t>имплантатов, </w:t>
            </w:r>
            <w:r>
              <w:rPr>
                <w:sz w:val="20"/>
              </w:rPr>
              <w:t>стабилизирующих систем,</w:t>
            </w:r>
          </w:p>
          <w:p>
            <w:pPr>
              <w:pStyle w:val="TableParagraph"/>
              <w:spacing w:line="249" w:lineRule="auto"/>
              <w:ind w:left="155" w:right="132"/>
              <w:rPr>
                <w:sz w:val="20"/>
              </w:rPr>
            </w:pPr>
            <w:r>
              <w:rPr>
                <w:sz w:val="20"/>
              </w:rPr>
              <w:t>аппаратов</w:t>
            </w:r>
            <w:r>
              <w:rPr>
                <w:spacing w:val="-13"/>
                <w:sz w:val="20"/>
              </w:rPr>
              <w:t> </w:t>
            </w:r>
            <w:r>
              <w:rPr>
                <w:sz w:val="20"/>
              </w:rPr>
              <w:t>внешней</w:t>
            </w:r>
            <w:r>
              <w:rPr>
                <w:spacing w:val="-12"/>
                <w:sz w:val="20"/>
              </w:rPr>
              <w:t> </w:t>
            </w:r>
            <w:r>
              <w:rPr>
                <w:sz w:val="20"/>
              </w:rPr>
              <w:t>фиксации, в том числе у детей первых лет жизни и в сочетании с аномалией развития грудной </w:t>
            </w:r>
            <w:r>
              <w:rPr>
                <w:spacing w:val="-2"/>
                <w:sz w:val="20"/>
              </w:rPr>
              <w:t>клетки</w:t>
            </w:r>
          </w:p>
        </w:tc>
        <w:tc>
          <w:tcPr>
            <w:tcW w:w="1999" w:type="dxa"/>
            <w:vMerge w:val="restart"/>
          </w:tcPr>
          <w:p>
            <w:pPr>
              <w:pStyle w:val="TableParagraph"/>
              <w:rPr>
                <w:sz w:val="18"/>
              </w:rPr>
            </w:pPr>
          </w:p>
        </w:tc>
        <w:tc>
          <w:tcPr>
            <w:tcW w:w="3369" w:type="dxa"/>
            <w:vMerge w:val="restart"/>
          </w:tcPr>
          <w:p>
            <w:pPr>
              <w:pStyle w:val="TableParagraph"/>
              <w:spacing w:line="249" w:lineRule="auto"/>
              <w:ind w:left="132"/>
              <w:rPr>
                <w:sz w:val="20"/>
              </w:rPr>
            </w:pPr>
            <w:r>
              <w:rPr>
                <w:sz w:val="20"/>
              </w:rPr>
              <w:t>ротацией и многоплоскостной деформацией позвонков шейного, грудного и поясничного отделов позвоночника,</w:t>
            </w:r>
            <w:r>
              <w:rPr>
                <w:spacing w:val="-13"/>
                <w:sz w:val="20"/>
              </w:rPr>
              <w:t> </w:t>
            </w:r>
            <w:r>
              <w:rPr>
                <w:sz w:val="20"/>
              </w:rPr>
              <w:t>с</w:t>
            </w:r>
            <w:r>
              <w:rPr>
                <w:spacing w:val="-12"/>
                <w:sz w:val="20"/>
              </w:rPr>
              <w:t> </w:t>
            </w:r>
            <w:r>
              <w:rPr>
                <w:sz w:val="20"/>
              </w:rPr>
              <w:t>наличием</w:t>
            </w:r>
            <w:r>
              <w:rPr>
                <w:spacing w:val="-13"/>
                <w:sz w:val="20"/>
              </w:rPr>
              <w:t> </w:t>
            </w:r>
            <w:r>
              <w:rPr>
                <w:sz w:val="20"/>
              </w:rPr>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w:t>
            </w:r>
          </w:p>
          <w:p>
            <w:pPr>
              <w:pStyle w:val="TableParagraph"/>
              <w:spacing w:line="249" w:lineRule="auto" w:before="3"/>
              <w:ind w:left="132" w:right="192"/>
              <w:rPr>
                <w:sz w:val="20"/>
              </w:rPr>
            </w:pPr>
            <w:r>
              <w:rPr>
                <w:sz w:val="20"/>
              </w:rPr>
              <w:t>Остеохондродисплазия и спондилоэпифизарная дисплазия. Ахондроплазия.</w:t>
            </w:r>
            <w:r>
              <w:rPr>
                <w:spacing w:val="-13"/>
                <w:sz w:val="20"/>
              </w:rPr>
              <w:t> </w:t>
            </w:r>
            <w:r>
              <w:rPr>
                <w:sz w:val="20"/>
              </w:rPr>
              <w:t>Нейрофиброматоз. Синдром Марфана</w:t>
            </w:r>
          </w:p>
        </w:tc>
        <w:tc>
          <w:tcPr>
            <w:tcW w:w="1435" w:type="dxa"/>
          </w:tcPr>
          <w:p>
            <w:pPr>
              <w:pStyle w:val="TableParagraph"/>
              <w:rPr>
                <w:sz w:val="18"/>
              </w:rPr>
            </w:pPr>
          </w:p>
        </w:tc>
        <w:tc>
          <w:tcPr>
            <w:tcW w:w="3949" w:type="dxa"/>
          </w:tcPr>
          <w:p>
            <w:pPr>
              <w:pStyle w:val="TableParagraph"/>
              <w:spacing w:line="249" w:lineRule="auto"/>
              <w:ind w:left="110" w:right="680"/>
              <w:rPr>
                <w:sz w:val="20"/>
              </w:rPr>
            </w:pPr>
            <w:r>
              <w:rPr>
                <w:sz w:val="20"/>
              </w:rPr>
              <w:t>межпозвонкового</w:t>
            </w:r>
            <w:r>
              <w:rPr>
                <w:spacing w:val="-11"/>
                <w:sz w:val="20"/>
              </w:rPr>
              <w:t> </w:t>
            </w:r>
            <w:r>
              <w:rPr>
                <w:sz w:val="20"/>
              </w:rPr>
              <w:t>диска</w:t>
            </w:r>
            <w:r>
              <w:rPr>
                <w:spacing w:val="-10"/>
                <w:sz w:val="20"/>
              </w:rPr>
              <w:t> </w:t>
            </w:r>
            <w:r>
              <w:rPr>
                <w:sz w:val="20"/>
              </w:rPr>
              <w:t>и</w:t>
            </w:r>
            <w:r>
              <w:rPr>
                <w:spacing w:val="-13"/>
                <w:sz w:val="20"/>
              </w:rPr>
              <w:t> </w:t>
            </w:r>
            <w:r>
              <w:rPr>
                <w:sz w:val="20"/>
              </w:rPr>
              <w:t>связочных элементов</w:t>
            </w:r>
            <w:r>
              <w:rPr>
                <w:spacing w:val="-13"/>
                <w:sz w:val="20"/>
              </w:rPr>
              <w:t> </w:t>
            </w:r>
            <w:r>
              <w:rPr>
                <w:sz w:val="20"/>
              </w:rPr>
              <w:t>сегмента</w:t>
            </w:r>
            <w:r>
              <w:rPr>
                <w:spacing w:val="-12"/>
                <w:sz w:val="20"/>
              </w:rPr>
              <w:t> </w:t>
            </w:r>
            <w:r>
              <w:rPr>
                <w:sz w:val="20"/>
              </w:rPr>
              <w:t>позвоночника</w:t>
            </w:r>
            <w:r>
              <w:rPr>
                <w:spacing w:val="-13"/>
                <w:sz w:val="20"/>
              </w:rPr>
              <w:t> </w:t>
            </w:r>
            <w:r>
              <w:rPr>
                <w:sz w:val="20"/>
              </w:rPr>
              <w:t>из вентрального или заднего доступов, </w:t>
            </w:r>
            <w:r>
              <w:rPr>
                <w:spacing w:val="-2"/>
                <w:sz w:val="20"/>
              </w:rPr>
              <w:t>репозиционно-стабилизирующий </w:t>
            </w:r>
            <w:r>
              <w:rPr>
                <w:sz w:val="20"/>
              </w:rPr>
              <w:t>спондилосинтез с использованием костной пластики (спондилодеза), погружных имплантатов и стабилизирующих систем</w:t>
            </w:r>
          </w:p>
        </w:tc>
        <w:tc>
          <w:tcPr>
            <w:tcW w:w="1002" w:type="dxa"/>
          </w:tcPr>
          <w:p>
            <w:pPr>
              <w:pStyle w:val="TableParagraph"/>
              <w:rPr>
                <w:sz w:val="18"/>
              </w:rPr>
            </w:pPr>
          </w:p>
        </w:tc>
      </w:tr>
      <w:tr>
        <w:trPr>
          <w:trHeight w:val="3000" w:hRule="atLeast"/>
        </w:trPr>
        <w:tc>
          <w:tcPr>
            <w:tcW w:w="458" w:type="dxa"/>
            <w:vMerge/>
            <w:tcBorders>
              <w:top w:val="nil"/>
            </w:tcBorders>
          </w:tcPr>
          <w:p>
            <w:pPr>
              <w:rPr>
                <w:sz w:val="2"/>
                <w:szCs w:val="2"/>
              </w:rPr>
            </w:pPr>
          </w:p>
        </w:tc>
        <w:tc>
          <w:tcPr>
            <w:tcW w:w="2885" w:type="dxa"/>
            <w:vMerge/>
            <w:tcBorders>
              <w:top w:val="nil"/>
            </w:tcBorders>
          </w:tcPr>
          <w:p>
            <w:pPr>
              <w:rPr>
                <w:sz w:val="2"/>
                <w:szCs w:val="2"/>
              </w:rPr>
            </w:pPr>
          </w:p>
        </w:tc>
        <w:tc>
          <w:tcPr>
            <w:tcW w:w="1999" w:type="dxa"/>
            <w:vMerge/>
            <w:tcBorders>
              <w:top w:val="nil"/>
            </w:tcBorders>
          </w:tcPr>
          <w:p>
            <w:pPr>
              <w:rPr>
                <w:sz w:val="2"/>
                <w:szCs w:val="2"/>
              </w:rPr>
            </w:pPr>
          </w:p>
        </w:tc>
        <w:tc>
          <w:tcPr>
            <w:tcW w:w="3369" w:type="dxa"/>
            <w:vMerge/>
            <w:tcBorders>
              <w:top w:val="nil"/>
            </w:tcBorders>
          </w:tcPr>
          <w:p>
            <w:pPr>
              <w:rPr>
                <w:sz w:val="2"/>
                <w:szCs w:val="2"/>
              </w:rPr>
            </w:pPr>
          </w:p>
        </w:tc>
        <w:tc>
          <w:tcPr>
            <w:tcW w:w="1435" w:type="dxa"/>
          </w:tcPr>
          <w:p>
            <w:pPr>
              <w:pStyle w:val="TableParagraph"/>
              <w:rPr>
                <w:sz w:val="18"/>
              </w:rPr>
            </w:pPr>
          </w:p>
        </w:tc>
        <w:tc>
          <w:tcPr>
            <w:tcW w:w="3949" w:type="dxa"/>
          </w:tcPr>
          <w:p>
            <w:pPr>
              <w:pStyle w:val="TableParagraph"/>
              <w:spacing w:line="249" w:lineRule="auto" w:before="60"/>
              <w:ind w:left="110" w:right="250"/>
              <w:rPr>
                <w:sz w:val="20"/>
              </w:rPr>
            </w:pPr>
            <w:r>
              <w:rPr>
                <w:sz w:val="20"/>
              </w:rPr>
              <w:t>двух- или многоэтапное реконструктивное</w:t>
            </w:r>
            <w:r>
              <w:rPr>
                <w:spacing w:val="-13"/>
                <w:sz w:val="20"/>
              </w:rPr>
              <w:t> </w:t>
            </w:r>
            <w:r>
              <w:rPr>
                <w:sz w:val="20"/>
              </w:rPr>
              <w:t>вмешательство</w:t>
            </w:r>
            <w:r>
              <w:rPr>
                <w:spacing w:val="-12"/>
                <w:sz w:val="20"/>
              </w:rPr>
              <w:t> </w:t>
            </w:r>
            <w:r>
              <w:rPr>
                <w:sz w:val="20"/>
              </w:rPr>
              <w:t>с</w:t>
            </w:r>
            <w:r>
              <w:rPr>
                <w:spacing w:val="-13"/>
                <w:sz w:val="20"/>
              </w:rPr>
              <w:t> </w:t>
            </w:r>
            <w:r>
              <w:rPr>
                <w:sz w:val="20"/>
              </w:rPr>
              <w:t>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 стабилизирующий спондилосинтез с использованием костной пластики (спондилодеза),</w:t>
            </w:r>
            <w:r>
              <w:rPr>
                <w:spacing w:val="-1"/>
                <w:sz w:val="20"/>
              </w:rPr>
              <w:t> </w:t>
            </w:r>
            <w:r>
              <w:rPr>
                <w:sz w:val="20"/>
              </w:rPr>
              <w:t>погружных имплантатов и стабилизирующих систем</w:t>
            </w:r>
          </w:p>
        </w:tc>
        <w:tc>
          <w:tcPr>
            <w:tcW w:w="1002" w:type="dxa"/>
          </w:tcPr>
          <w:p>
            <w:pPr>
              <w:pStyle w:val="TableParagraph"/>
              <w:rPr>
                <w:sz w:val="18"/>
              </w:rPr>
            </w:pPr>
          </w:p>
        </w:tc>
      </w:tr>
      <w:tr>
        <w:trPr>
          <w:trHeight w:val="2690" w:hRule="atLeast"/>
        </w:trPr>
        <w:tc>
          <w:tcPr>
            <w:tcW w:w="458" w:type="dxa"/>
          </w:tcPr>
          <w:p>
            <w:pPr>
              <w:pStyle w:val="TableParagraph"/>
              <w:spacing w:before="60"/>
              <w:ind w:left="50"/>
              <w:rPr>
                <w:sz w:val="20"/>
              </w:rPr>
            </w:pPr>
            <w:r>
              <w:rPr>
                <w:spacing w:val="-5"/>
                <w:sz w:val="20"/>
              </w:rPr>
              <w:t>72.</w:t>
            </w:r>
          </w:p>
        </w:tc>
        <w:tc>
          <w:tcPr>
            <w:tcW w:w="2885" w:type="dxa"/>
          </w:tcPr>
          <w:p>
            <w:pPr>
              <w:pStyle w:val="TableParagraph"/>
              <w:spacing w:line="249" w:lineRule="auto" w:before="60"/>
              <w:ind w:left="155" w:right="137"/>
              <w:rPr>
                <w:sz w:val="20"/>
              </w:rPr>
            </w:pPr>
            <w:r>
              <w:rPr>
                <w:spacing w:val="-2"/>
                <w:sz w:val="20"/>
              </w:rPr>
              <w:t>Тотальное </w:t>
            </w:r>
            <w:r>
              <w:rPr>
                <w:sz w:val="20"/>
              </w:rPr>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w:t>
            </w:r>
            <w:r>
              <w:rPr>
                <w:spacing w:val="-13"/>
                <w:sz w:val="20"/>
              </w:rPr>
              <w:t> </w:t>
            </w:r>
            <w:r>
              <w:rPr>
                <w:sz w:val="20"/>
              </w:rPr>
              <w:t>болезнью</w:t>
            </w:r>
            <w:r>
              <w:rPr>
                <w:spacing w:val="-12"/>
                <w:sz w:val="20"/>
              </w:rPr>
              <w:t> </w:t>
            </w:r>
            <w:r>
              <w:rPr>
                <w:sz w:val="20"/>
              </w:rPr>
              <w:t>Гоше, миеломной болезнью, с тромбоцитопениями и</w:t>
            </w:r>
          </w:p>
          <w:p>
            <w:pPr>
              <w:pStyle w:val="TableParagraph"/>
              <w:spacing w:line="210" w:lineRule="exact" w:before="9"/>
              <w:ind w:left="155"/>
              <w:rPr>
                <w:sz w:val="20"/>
              </w:rPr>
            </w:pPr>
            <w:r>
              <w:rPr>
                <w:spacing w:val="-2"/>
                <w:sz w:val="20"/>
              </w:rPr>
              <w:t>тромбоцитопатиями</w:t>
            </w:r>
          </w:p>
        </w:tc>
        <w:tc>
          <w:tcPr>
            <w:tcW w:w="1999" w:type="dxa"/>
          </w:tcPr>
          <w:p>
            <w:pPr>
              <w:pStyle w:val="TableParagraph"/>
              <w:spacing w:line="249" w:lineRule="auto" w:before="60"/>
              <w:ind w:left="523" w:hanging="384"/>
              <w:rPr>
                <w:sz w:val="20"/>
              </w:rPr>
            </w:pPr>
            <w:r>
              <w:rPr>
                <w:sz w:val="20"/>
              </w:rPr>
              <w:t>D61,</w:t>
            </w:r>
            <w:r>
              <w:rPr>
                <w:spacing w:val="-13"/>
                <w:sz w:val="20"/>
              </w:rPr>
              <w:t> </w:t>
            </w:r>
            <w:r>
              <w:rPr>
                <w:sz w:val="20"/>
              </w:rPr>
              <w:t>D66,</w:t>
            </w:r>
            <w:r>
              <w:rPr>
                <w:spacing w:val="-12"/>
                <w:sz w:val="20"/>
              </w:rPr>
              <w:t> </w:t>
            </w:r>
            <w:r>
              <w:rPr>
                <w:sz w:val="20"/>
              </w:rPr>
              <w:t>D67,</w:t>
            </w:r>
            <w:r>
              <w:rPr>
                <w:spacing w:val="-13"/>
                <w:sz w:val="20"/>
              </w:rPr>
              <w:t> </w:t>
            </w:r>
            <w:r>
              <w:rPr>
                <w:sz w:val="20"/>
              </w:rPr>
              <w:t>D68, C90, M87.0</w:t>
            </w:r>
          </w:p>
        </w:tc>
        <w:tc>
          <w:tcPr>
            <w:tcW w:w="3369" w:type="dxa"/>
          </w:tcPr>
          <w:p>
            <w:pPr>
              <w:pStyle w:val="TableParagraph"/>
              <w:spacing w:line="249" w:lineRule="auto" w:before="60"/>
              <w:ind w:left="132" w:right="259"/>
              <w:rPr>
                <w:sz w:val="20"/>
              </w:rPr>
            </w:pPr>
            <w:r>
              <w:rPr>
                <w:sz w:val="20"/>
              </w:rPr>
              <w:t>деформирующий артроз, контрактура крупных суставов с нарушением биологической оси конечности, асептический некроз головки</w:t>
            </w:r>
            <w:r>
              <w:rPr>
                <w:spacing w:val="-13"/>
                <w:sz w:val="20"/>
              </w:rPr>
              <w:t> </w:t>
            </w:r>
            <w:r>
              <w:rPr>
                <w:sz w:val="20"/>
              </w:rPr>
              <w:t>бедренной</w:t>
            </w:r>
            <w:r>
              <w:rPr>
                <w:spacing w:val="-12"/>
                <w:sz w:val="20"/>
              </w:rPr>
              <w:t> </w:t>
            </w:r>
            <w:r>
              <w:rPr>
                <w:sz w:val="20"/>
              </w:rPr>
              <w:t>кости,</w:t>
            </w:r>
            <w:r>
              <w:rPr>
                <w:spacing w:val="-13"/>
                <w:sz w:val="20"/>
              </w:rPr>
              <w:t> </w:t>
            </w:r>
            <w:r>
              <w:rPr>
                <w:sz w:val="20"/>
              </w:rPr>
              <w:t>перелом шейки бедра при невозможности других видов остеосинтеза</w:t>
            </w:r>
          </w:p>
        </w:tc>
        <w:tc>
          <w:tcPr>
            <w:tcW w:w="1435" w:type="dxa"/>
          </w:tcPr>
          <w:p>
            <w:pPr>
              <w:pStyle w:val="TableParagraph"/>
              <w:spacing w:line="249" w:lineRule="auto" w:before="60"/>
              <w:ind w:left="71"/>
              <w:rPr>
                <w:sz w:val="20"/>
              </w:rPr>
            </w:pPr>
            <w:r>
              <w:rPr>
                <w:spacing w:val="-2"/>
                <w:sz w:val="20"/>
              </w:rPr>
              <w:t>хирургическое лечение</w:t>
            </w:r>
          </w:p>
        </w:tc>
        <w:tc>
          <w:tcPr>
            <w:tcW w:w="3949" w:type="dxa"/>
          </w:tcPr>
          <w:p>
            <w:pPr>
              <w:pStyle w:val="TableParagraph"/>
              <w:spacing w:line="249" w:lineRule="auto" w:before="60"/>
              <w:ind w:left="110" w:right="250"/>
              <w:rPr>
                <w:sz w:val="20"/>
              </w:rPr>
            </w:pPr>
            <w:r>
              <w:rPr>
                <w:sz w:val="20"/>
              </w:rPr>
              <w:t>имплантация</w:t>
            </w:r>
            <w:r>
              <w:rPr>
                <w:spacing w:val="-13"/>
                <w:sz w:val="20"/>
              </w:rPr>
              <w:t> </w:t>
            </w:r>
            <w:r>
              <w:rPr>
                <w:sz w:val="20"/>
              </w:rPr>
              <w:t>эндопротеза</w:t>
            </w:r>
            <w:r>
              <w:rPr>
                <w:spacing w:val="-12"/>
                <w:sz w:val="20"/>
              </w:rPr>
              <w:t> </w:t>
            </w:r>
            <w:r>
              <w:rPr>
                <w:sz w:val="20"/>
              </w:rPr>
              <w:t>с</w:t>
            </w:r>
            <w:r>
              <w:rPr>
                <w:spacing w:val="-13"/>
                <w:sz w:val="20"/>
              </w:rPr>
              <w:t> </w:t>
            </w:r>
            <w:r>
              <w:rPr>
                <w:sz w:val="20"/>
              </w:rPr>
              <w:t>устранением контрактуры и восстановлением биологической оси конечности</w:t>
            </w:r>
          </w:p>
        </w:tc>
        <w:tc>
          <w:tcPr>
            <w:tcW w:w="1002" w:type="dxa"/>
          </w:tcPr>
          <w:p>
            <w:pPr>
              <w:pStyle w:val="TableParagraph"/>
              <w:spacing w:before="60"/>
              <w:ind w:left="354"/>
              <w:rPr>
                <w:sz w:val="20"/>
              </w:rPr>
            </w:pPr>
            <w:r>
              <w:rPr>
                <w:spacing w:val="-2"/>
                <w:sz w:val="20"/>
              </w:rPr>
              <w:t>532102</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531"/>
        <w:gridCol w:w="2388"/>
        <w:gridCol w:w="3287"/>
        <w:gridCol w:w="1485"/>
        <w:gridCol w:w="3978"/>
        <w:gridCol w:w="975"/>
      </w:tblGrid>
      <w:tr>
        <w:trPr>
          <w:trHeight w:val="1970" w:hRule="atLeast"/>
        </w:trPr>
        <w:tc>
          <w:tcPr>
            <w:tcW w:w="458" w:type="dxa"/>
          </w:tcPr>
          <w:p>
            <w:pPr>
              <w:pStyle w:val="TableParagraph"/>
              <w:spacing w:line="221" w:lineRule="exact"/>
              <w:ind w:left="50"/>
              <w:rPr>
                <w:sz w:val="20"/>
              </w:rPr>
            </w:pPr>
            <w:r>
              <w:rPr>
                <w:spacing w:val="-5"/>
                <w:sz w:val="20"/>
              </w:rPr>
              <w:t>73.</w:t>
            </w:r>
          </w:p>
        </w:tc>
        <w:tc>
          <w:tcPr>
            <w:tcW w:w="2531" w:type="dxa"/>
          </w:tcPr>
          <w:p>
            <w:pPr>
              <w:pStyle w:val="TableParagraph"/>
              <w:spacing w:line="249" w:lineRule="auto"/>
              <w:ind w:left="155"/>
              <w:rPr>
                <w:sz w:val="20"/>
              </w:rPr>
            </w:pPr>
            <w:r>
              <w:rPr>
                <w:spacing w:val="-2"/>
                <w:sz w:val="20"/>
              </w:rPr>
              <w:t>Реэндопротезирование </w:t>
            </w:r>
            <w:r>
              <w:rPr>
                <w:sz w:val="20"/>
              </w:rPr>
              <w:t>суставов конечностей</w:t>
            </w:r>
          </w:p>
        </w:tc>
        <w:tc>
          <w:tcPr>
            <w:tcW w:w="2388" w:type="dxa"/>
          </w:tcPr>
          <w:p>
            <w:pPr>
              <w:pStyle w:val="TableParagraph"/>
              <w:spacing w:line="249" w:lineRule="auto"/>
              <w:ind w:left="428" w:firstLine="132"/>
              <w:rPr>
                <w:sz w:val="20"/>
              </w:rPr>
            </w:pPr>
            <w:r>
              <w:rPr>
                <w:sz w:val="20"/>
              </w:rPr>
              <w:t>Z96.6, M96.6, D61, D66,</w:t>
            </w:r>
            <w:r>
              <w:rPr>
                <w:spacing w:val="-13"/>
                <w:sz w:val="20"/>
              </w:rPr>
              <w:t> </w:t>
            </w:r>
            <w:r>
              <w:rPr>
                <w:sz w:val="20"/>
              </w:rPr>
              <w:t>D67,</w:t>
            </w:r>
            <w:r>
              <w:rPr>
                <w:spacing w:val="-12"/>
                <w:sz w:val="20"/>
              </w:rPr>
              <w:t> </w:t>
            </w:r>
            <w:r>
              <w:rPr>
                <w:sz w:val="20"/>
              </w:rPr>
              <w:t>D68,</w:t>
            </w:r>
            <w:r>
              <w:rPr>
                <w:spacing w:val="-13"/>
                <w:sz w:val="20"/>
              </w:rPr>
              <w:t> </w:t>
            </w:r>
            <w:r>
              <w:rPr>
                <w:sz w:val="20"/>
              </w:rPr>
              <w:t>M87.0</w:t>
            </w:r>
          </w:p>
        </w:tc>
        <w:tc>
          <w:tcPr>
            <w:tcW w:w="3287" w:type="dxa"/>
          </w:tcPr>
          <w:p>
            <w:pPr>
              <w:pStyle w:val="TableParagraph"/>
              <w:spacing w:line="249" w:lineRule="auto"/>
              <w:ind w:left="97"/>
              <w:rPr>
                <w:sz w:val="20"/>
              </w:rPr>
            </w:pPr>
            <w:r>
              <w:rPr>
                <w:sz w:val="20"/>
              </w:rPr>
              <w:t>нестабильность компонентов эндопротеза</w:t>
            </w:r>
            <w:r>
              <w:rPr>
                <w:spacing w:val="-13"/>
                <w:sz w:val="20"/>
              </w:rPr>
              <w:t> </w:t>
            </w:r>
            <w:r>
              <w:rPr>
                <w:sz w:val="20"/>
              </w:rPr>
              <w:t>сустава</w:t>
            </w:r>
            <w:r>
              <w:rPr>
                <w:spacing w:val="-12"/>
                <w:sz w:val="20"/>
              </w:rPr>
              <w:t> </w:t>
            </w:r>
            <w:r>
              <w:rPr>
                <w:sz w:val="20"/>
              </w:rPr>
              <w:t>конечности</w:t>
            </w:r>
          </w:p>
        </w:tc>
        <w:tc>
          <w:tcPr>
            <w:tcW w:w="1485" w:type="dxa"/>
          </w:tcPr>
          <w:p>
            <w:pPr>
              <w:pStyle w:val="TableParagraph"/>
              <w:spacing w:line="249" w:lineRule="auto"/>
              <w:ind w:left="118"/>
              <w:rPr>
                <w:sz w:val="20"/>
              </w:rPr>
            </w:pPr>
            <w:r>
              <w:rPr>
                <w:spacing w:val="-2"/>
                <w:sz w:val="20"/>
              </w:rPr>
              <w:t>хирургическое лечение</w:t>
            </w:r>
          </w:p>
        </w:tc>
        <w:tc>
          <w:tcPr>
            <w:tcW w:w="3978" w:type="dxa"/>
          </w:tcPr>
          <w:p>
            <w:pPr>
              <w:pStyle w:val="TableParagraph"/>
              <w:spacing w:line="249" w:lineRule="auto"/>
              <w:ind w:left="107" w:right="320"/>
              <w:rPr>
                <w:sz w:val="20"/>
              </w:rPr>
            </w:pPr>
            <w:r>
              <w:rPr>
                <w:sz w:val="20"/>
              </w:rPr>
              <w:t>удаление нестабильных компонентов эндопротеза и костного цемента и имплантация ревизионных эндопротезных систем с замещением костных</w:t>
            </w:r>
            <w:r>
              <w:rPr>
                <w:spacing w:val="-13"/>
                <w:sz w:val="20"/>
              </w:rPr>
              <w:t> </w:t>
            </w:r>
            <w:r>
              <w:rPr>
                <w:sz w:val="20"/>
              </w:rPr>
              <w:t>дефектов</w:t>
            </w:r>
            <w:r>
              <w:rPr>
                <w:spacing w:val="-12"/>
                <w:sz w:val="20"/>
              </w:rPr>
              <w:t> </w:t>
            </w:r>
            <w:r>
              <w:rPr>
                <w:sz w:val="20"/>
              </w:rPr>
              <w:t>аллотрансплантатами или биокомпозитными материалами и применением дополнительных средств </w:t>
            </w:r>
            <w:r>
              <w:rPr>
                <w:spacing w:val="-2"/>
                <w:sz w:val="20"/>
              </w:rPr>
              <w:t>фиксации</w:t>
            </w:r>
          </w:p>
        </w:tc>
        <w:tc>
          <w:tcPr>
            <w:tcW w:w="975" w:type="dxa"/>
          </w:tcPr>
          <w:p>
            <w:pPr>
              <w:pStyle w:val="TableParagraph"/>
              <w:spacing w:line="221" w:lineRule="exact"/>
              <w:ind w:left="322"/>
              <w:rPr>
                <w:sz w:val="20"/>
              </w:rPr>
            </w:pPr>
            <w:r>
              <w:rPr>
                <w:spacing w:val="-2"/>
                <w:sz w:val="20"/>
              </w:rPr>
              <w:t>300868</w:t>
            </w:r>
          </w:p>
        </w:tc>
      </w:tr>
      <w:tr>
        <w:trPr>
          <w:trHeight w:val="156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spacing w:line="249" w:lineRule="auto" w:before="60"/>
              <w:ind w:left="97"/>
              <w:rPr>
                <w:sz w:val="20"/>
              </w:rPr>
            </w:pPr>
            <w:r>
              <w:rPr>
                <w:sz w:val="20"/>
              </w:rPr>
              <w:t>износ</w:t>
            </w:r>
            <w:r>
              <w:rPr>
                <w:spacing w:val="-13"/>
                <w:sz w:val="20"/>
              </w:rPr>
              <w:t> </w:t>
            </w:r>
            <w:r>
              <w:rPr>
                <w:sz w:val="20"/>
              </w:rPr>
              <w:t>или</w:t>
            </w:r>
            <w:r>
              <w:rPr>
                <w:spacing w:val="-12"/>
                <w:sz w:val="20"/>
              </w:rPr>
              <w:t> </w:t>
            </w:r>
            <w:r>
              <w:rPr>
                <w:sz w:val="20"/>
              </w:rPr>
              <w:t>разрушение</w:t>
            </w:r>
            <w:r>
              <w:rPr>
                <w:spacing w:val="-13"/>
                <w:sz w:val="20"/>
              </w:rPr>
              <w:t> </w:t>
            </w:r>
            <w:r>
              <w:rPr>
                <w:sz w:val="20"/>
              </w:rPr>
              <w:t>компонентов эндопротеза суставов конечностей</w:t>
            </w:r>
          </w:p>
        </w:tc>
        <w:tc>
          <w:tcPr>
            <w:tcW w:w="1485" w:type="dxa"/>
          </w:tcPr>
          <w:p>
            <w:pPr>
              <w:pStyle w:val="TableParagraph"/>
              <w:spacing w:line="249" w:lineRule="auto" w:before="60"/>
              <w:ind w:left="118"/>
              <w:rPr>
                <w:sz w:val="20"/>
              </w:rPr>
            </w:pPr>
            <w:r>
              <w:rPr>
                <w:spacing w:val="-2"/>
                <w:sz w:val="20"/>
              </w:rPr>
              <w:t>хирургическое лечение</w:t>
            </w:r>
          </w:p>
        </w:tc>
        <w:tc>
          <w:tcPr>
            <w:tcW w:w="3978" w:type="dxa"/>
          </w:tcPr>
          <w:p>
            <w:pPr>
              <w:pStyle w:val="TableParagraph"/>
              <w:spacing w:line="249" w:lineRule="auto" w:before="60"/>
              <w:ind w:left="107" w:right="320"/>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имплантация новых компонентов с применением дополнительных средств фиксации</w:t>
            </w:r>
          </w:p>
        </w:tc>
        <w:tc>
          <w:tcPr>
            <w:tcW w:w="975" w:type="dxa"/>
          </w:tcPr>
          <w:p>
            <w:pPr>
              <w:pStyle w:val="TableParagraph"/>
              <w:rPr>
                <w:sz w:val="18"/>
              </w:rPr>
            </w:pPr>
          </w:p>
        </w:tc>
      </w:tr>
      <w:tr>
        <w:trPr>
          <w:trHeight w:val="132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spacing w:line="249" w:lineRule="auto" w:before="60"/>
              <w:ind w:left="97"/>
              <w:rPr>
                <w:sz w:val="20"/>
              </w:rPr>
            </w:pPr>
            <w:r>
              <w:rPr>
                <w:sz w:val="20"/>
              </w:rPr>
              <w:t>перипротезные переломы с нарушением</w:t>
            </w:r>
            <w:r>
              <w:rPr>
                <w:spacing w:val="-13"/>
                <w:sz w:val="20"/>
              </w:rPr>
              <w:t> </w:t>
            </w:r>
            <w:r>
              <w:rPr>
                <w:sz w:val="20"/>
              </w:rPr>
              <w:t>(без</w:t>
            </w:r>
            <w:r>
              <w:rPr>
                <w:spacing w:val="-12"/>
                <w:sz w:val="20"/>
              </w:rPr>
              <w:t> </w:t>
            </w:r>
            <w:r>
              <w:rPr>
                <w:sz w:val="20"/>
              </w:rPr>
              <w:t>нарушения) стабильности компонентов </w:t>
            </w:r>
            <w:r>
              <w:rPr>
                <w:spacing w:val="-2"/>
                <w:sz w:val="20"/>
              </w:rPr>
              <w:t>эндопротеза</w:t>
            </w:r>
          </w:p>
        </w:tc>
        <w:tc>
          <w:tcPr>
            <w:tcW w:w="1485" w:type="dxa"/>
          </w:tcPr>
          <w:p>
            <w:pPr>
              <w:pStyle w:val="TableParagraph"/>
              <w:spacing w:line="249" w:lineRule="auto" w:before="60"/>
              <w:ind w:left="118"/>
              <w:rPr>
                <w:sz w:val="20"/>
              </w:rPr>
            </w:pPr>
            <w:r>
              <w:rPr>
                <w:spacing w:val="-2"/>
                <w:sz w:val="20"/>
              </w:rPr>
              <w:t>хирургическое лечение</w:t>
            </w:r>
          </w:p>
        </w:tc>
        <w:tc>
          <w:tcPr>
            <w:tcW w:w="3978" w:type="dxa"/>
          </w:tcPr>
          <w:p>
            <w:pPr>
              <w:pStyle w:val="TableParagraph"/>
              <w:spacing w:line="249" w:lineRule="auto" w:before="60"/>
              <w:ind w:left="107" w:right="320"/>
              <w:rPr>
                <w:sz w:val="20"/>
              </w:rPr>
            </w:pPr>
            <w:r>
              <w:rPr>
                <w:sz w:val="20"/>
              </w:rPr>
              <w:t>ревизия эндопротеза и различные варианты остеосинтеза перелома с реконструкцией</w:t>
            </w:r>
            <w:r>
              <w:rPr>
                <w:spacing w:val="-13"/>
                <w:sz w:val="20"/>
              </w:rPr>
              <w:t> </w:t>
            </w:r>
            <w:r>
              <w:rPr>
                <w:sz w:val="20"/>
              </w:rPr>
              <w:t>поврежденного</w:t>
            </w:r>
            <w:r>
              <w:rPr>
                <w:spacing w:val="-12"/>
                <w:sz w:val="20"/>
              </w:rPr>
              <w:t> </w:t>
            </w:r>
            <w:r>
              <w:rPr>
                <w:sz w:val="20"/>
              </w:rPr>
              <w:t>сегмента с помощью пластики аллокостью или биокомпозитными материалами</w:t>
            </w:r>
          </w:p>
        </w:tc>
        <w:tc>
          <w:tcPr>
            <w:tcW w:w="975" w:type="dxa"/>
          </w:tcPr>
          <w:p>
            <w:pPr>
              <w:pStyle w:val="TableParagraph"/>
              <w:rPr>
                <w:sz w:val="18"/>
              </w:rPr>
            </w:pPr>
          </w:p>
        </w:tc>
      </w:tr>
      <w:tr>
        <w:trPr>
          <w:trHeight w:val="156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rPr>
                <w:sz w:val="18"/>
              </w:rPr>
            </w:pPr>
          </w:p>
        </w:tc>
        <w:tc>
          <w:tcPr>
            <w:tcW w:w="1485" w:type="dxa"/>
          </w:tcPr>
          <w:p>
            <w:pPr>
              <w:pStyle w:val="TableParagraph"/>
              <w:rPr>
                <w:sz w:val="18"/>
              </w:rPr>
            </w:pPr>
          </w:p>
        </w:tc>
        <w:tc>
          <w:tcPr>
            <w:tcW w:w="3978" w:type="dxa"/>
          </w:tcPr>
          <w:p>
            <w:pPr>
              <w:pStyle w:val="TableParagraph"/>
              <w:spacing w:line="249" w:lineRule="auto" w:before="60"/>
              <w:ind w:left="107" w:right="320"/>
              <w:rPr>
                <w:sz w:val="20"/>
              </w:rPr>
            </w:pPr>
            <w:r>
              <w:rPr>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w:t>
            </w:r>
            <w:r>
              <w:rPr>
                <w:spacing w:val="-13"/>
                <w:sz w:val="20"/>
              </w:rPr>
              <w:t> </w:t>
            </w:r>
            <w:r>
              <w:rPr>
                <w:sz w:val="20"/>
              </w:rPr>
              <w:t>остеосинтезом</w:t>
            </w:r>
            <w:r>
              <w:rPr>
                <w:spacing w:val="-12"/>
                <w:sz w:val="20"/>
              </w:rPr>
              <w:t> </w:t>
            </w:r>
            <w:r>
              <w:rPr>
                <w:sz w:val="20"/>
              </w:rPr>
              <w:t>перелома различными методами</w:t>
            </w:r>
          </w:p>
        </w:tc>
        <w:tc>
          <w:tcPr>
            <w:tcW w:w="975" w:type="dxa"/>
          </w:tcPr>
          <w:p>
            <w:pPr>
              <w:pStyle w:val="TableParagraph"/>
              <w:rPr>
                <w:sz w:val="18"/>
              </w:rPr>
            </w:pPr>
          </w:p>
        </w:tc>
      </w:tr>
      <w:tr>
        <w:trPr>
          <w:trHeight w:val="125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spacing w:line="249" w:lineRule="auto" w:before="60"/>
              <w:ind w:left="97"/>
              <w:rPr>
                <w:sz w:val="20"/>
              </w:rPr>
            </w:pPr>
            <w:r>
              <w:rPr>
                <w:sz w:val="20"/>
              </w:rPr>
              <w:t>глубокая</w:t>
            </w:r>
            <w:r>
              <w:rPr>
                <w:spacing w:val="-13"/>
                <w:sz w:val="20"/>
              </w:rPr>
              <w:t> </w:t>
            </w:r>
            <w:r>
              <w:rPr>
                <w:sz w:val="20"/>
              </w:rPr>
              <w:t>инфекция</w:t>
            </w:r>
            <w:r>
              <w:rPr>
                <w:spacing w:val="-12"/>
                <w:sz w:val="20"/>
              </w:rPr>
              <w:t> </w:t>
            </w:r>
            <w:r>
              <w:rPr>
                <w:sz w:val="20"/>
              </w:rPr>
              <w:t>в</w:t>
            </w:r>
            <w:r>
              <w:rPr>
                <w:spacing w:val="-13"/>
                <w:sz w:val="20"/>
              </w:rPr>
              <w:t> </w:t>
            </w:r>
            <w:r>
              <w:rPr>
                <w:sz w:val="20"/>
              </w:rPr>
              <w:t>области </w:t>
            </w:r>
            <w:r>
              <w:rPr>
                <w:spacing w:val="-2"/>
                <w:sz w:val="20"/>
              </w:rPr>
              <w:t>эндопротеза</w:t>
            </w:r>
          </w:p>
        </w:tc>
        <w:tc>
          <w:tcPr>
            <w:tcW w:w="1485" w:type="dxa"/>
          </w:tcPr>
          <w:p>
            <w:pPr>
              <w:pStyle w:val="TableParagraph"/>
              <w:spacing w:line="249" w:lineRule="auto" w:before="60"/>
              <w:ind w:left="118"/>
              <w:rPr>
                <w:sz w:val="20"/>
              </w:rPr>
            </w:pPr>
            <w:r>
              <w:rPr>
                <w:spacing w:val="-2"/>
                <w:sz w:val="20"/>
              </w:rPr>
              <w:t>хирургическое лечение</w:t>
            </w:r>
          </w:p>
        </w:tc>
        <w:tc>
          <w:tcPr>
            <w:tcW w:w="3978" w:type="dxa"/>
          </w:tcPr>
          <w:p>
            <w:pPr>
              <w:pStyle w:val="TableParagraph"/>
              <w:spacing w:line="240" w:lineRule="atLeast" w:before="30"/>
              <w:ind w:left="107" w:right="320"/>
              <w:rPr>
                <w:sz w:val="20"/>
              </w:rPr>
            </w:pPr>
            <w:r>
              <w:rPr>
                <w:sz w:val="20"/>
              </w:rPr>
              <w:t>ревизия эндопротеза с заменой полиэтиленовых</w:t>
            </w:r>
            <w:r>
              <w:rPr>
                <w:spacing w:val="-13"/>
                <w:sz w:val="20"/>
              </w:rPr>
              <w:t> </w:t>
            </w:r>
            <w:r>
              <w:rPr>
                <w:sz w:val="20"/>
              </w:rPr>
              <w:t>компонентов</w:t>
            </w:r>
            <w:r>
              <w:rPr>
                <w:spacing w:val="-12"/>
                <w:sz w:val="20"/>
              </w:rPr>
              <w:t> </w:t>
            </w:r>
            <w:r>
              <w:rPr>
                <w:sz w:val="20"/>
              </w:rPr>
              <w:t>после ультразвуковой обработки раны и замещением костных дефектов биокомпозитными материалами</w:t>
            </w:r>
          </w:p>
        </w:tc>
        <w:tc>
          <w:tcPr>
            <w:tcW w:w="97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5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1"/>
        <w:gridCol w:w="1843"/>
        <w:gridCol w:w="3646"/>
      </w:tblGrid>
      <w:tr>
        <w:trPr>
          <w:trHeight w:val="2450" w:hRule="atLeast"/>
        </w:trPr>
        <w:tc>
          <w:tcPr>
            <w:tcW w:w="2881" w:type="dxa"/>
          </w:tcPr>
          <w:p>
            <w:pPr>
              <w:pStyle w:val="TableParagraph"/>
              <w:rPr>
                <w:sz w:val="18"/>
              </w:rPr>
            </w:pPr>
          </w:p>
        </w:tc>
        <w:tc>
          <w:tcPr>
            <w:tcW w:w="1843" w:type="dxa"/>
          </w:tcPr>
          <w:p>
            <w:pPr>
              <w:pStyle w:val="TableParagraph"/>
              <w:rPr>
                <w:sz w:val="18"/>
              </w:rPr>
            </w:pPr>
          </w:p>
        </w:tc>
        <w:tc>
          <w:tcPr>
            <w:tcW w:w="3646" w:type="dxa"/>
          </w:tcPr>
          <w:p>
            <w:pPr>
              <w:pStyle w:val="TableParagraph"/>
              <w:spacing w:line="249" w:lineRule="auto"/>
              <w:ind w:left="107"/>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Pr>
                <w:spacing w:val="-2"/>
                <w:sz w:val="20"/>
              </w:rPr>
              <w:t>фиксации</w:t>
            </w:r>
          </w:p>
        </w:tc>
      </w:tr>
      <w:tr>
        <w:trPr>
          <w:trHeight w:val="1800" w:hRule="atLeast"/>
        </w:trPr>
        <w:tc>
          <w:tcPr>
            <w:tcW w:w="2881" w:type="dxa"/>
          </w:tcPr>
          <w:p>
            <w:pPr>
              <w:pStyle w:val="TableParagraph"/>
              <w:rPr>
                <w:sz w:val="18"/>
              </w:rPr>
            </w:pPr>
          </w:p>
        </w:tc>
        <w:tc>
          <w:tcPr>
            <w:tcW w:w="1843" w:type="dxa"/>
          </w:tcPr>
          <w:p>
            <w:pPr>
              <w:pStyle w:val="TableParagraph"/>
              <w:rPr>
                <w:sz w:val="18"/>
              </w:rPr>
            </w:pPr>
          </w:p>
        </w:tc>
        <w:tc>
          <w:tcPr>
            <w:tcW w:w="3646" w:type="dxa"/>
          </w:tcPr>
          <w:p>
            <w:pPr>
              <w:pStyle w:val="TableParagraph"/>
              <w:spacing w:line="249" w:lineRule="auto" w:before="60"/>
              <w:ind w:left="107"/>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имплантация импрегнированного антибиотиками артикулирующего или блоковидного </w:t>
            </w:r>
            <w:r>
              <w:rPr>
                <w:spacing w:val="-2"/>
                <w:sz w:val="20"/>
              </w:rPr>
              <w:t>спейсера</w:t>
            </w:r>
          </w:p>
        </w:tc>
      </w:tr>
      <w:tr>
        <w:trPr>
          <w:trHeight w:val="2040" w:hRule="atLeast"/>
        </w:trPr>
        <w:tc>
          <w:tcPr>
            <w:tcW w:w="2881" w:type="dxa"/>
          </w:tcPr>
          <w:p>
            <w:pPr>
              <w:pStyle w:val="TableParagraph"/>
              <w:rPr>
                <w:sz w:val="18"/>
              </w:rPr>
            </w:pPr>
          </w:p>
        </w:tc>
        <w:tc>
          <w:tcPr>
            <w:tcW w:w="1843" w:type="dxa"/>
          </w:tcPr>
          <w:p>
            <w:pPr>
              <w:pStyle w:val="TableParagraph"/>
              <w:rPr>
                <w:sz w:val="18"/>
              </w:rPr>
            </w:pPr>
          </w:p>
        </w:tc>
        <w:tc>
          <w:tcPr>
            <w:tcW w:w="3646" w:type="dxa"/>
          </w:tcPr>
          <w:p>
            <w:pPr>
              <w:pStyle w:val="TableParagraph"/>
              <w:spacing w:line="249" w:lineRule="auto" w:before="60"/>
              <w:ind w:left="107"/>
              <w:rPr>
                <w:sz w:val="20"/>
              </w:rPr>
            </w:pPr>
            <w:r>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w:t>
            </w:r>
            <w:r>
              <w:rPr>
                <w:spacing w:val="-13"/>
                <w:sz w:val="20"/>
              </w:rPr>
              <w:t> </w:t>
            </w:r>
            <w:r>
              <w:rPr>
                <w:sz w:val="20"/>
              </w:rPr>
              <w:t>дефектов</w:t>
            </w:r>
            <w:r>
              <w:rPr>
                <w:spacing w:val="-12"/>
                <w:sz w:val="20"/>
              </w:rPr>
              <w:t> </w:t>
            </w:r>
            <w:r>
              <w:rPr>
                <w:sz w:val="20"/>
              </w:rPr>
              <w:t>аллотрансплантатами или биокомпозитными материалами и применением дополнительных средств </w:t>
            </w:r>
            <w:r>
              <w:rPr>
                <w:spacing w:val="-2"/>
                <w:sz w:val="20"/>
              </w:rPr>
              <w:t>фиксации</w:t>
            </w:r>
          </w:p>
        </w:tc>
      </w:tr>
      <w:tr>
        <w:trPr>
          <w:trHeight w:val="1490" w:hRule="atLeast"/>
        </w:trPr>
        <w:tc>
          <w:tcPr>
            <w:tcW w:w="2881" w:type="dxa"/>
          </w:tcPr>
          <w:p>
            <w:pPr>
              <w:pStyle w:val="TableParagraph"/>
              <w:spacing w:line="249" w:lineRule="auto" w:before="60"/>
              <w:ind w:left="50"/>
              <w:rPr>
                <w:sz w:val="20"/>
              </w:rPr>
            </w:pPr>
            <w:r>
              <w:rPr>
                <w:sz w:val="20"/>
              </w:rPr>
              <w:t>рецидивирующие</w:t>
            </w:r>
            <w:r>
              <w:rPr>
                <w:spacing w:val="-13"/>
                <w:sz w:val="20"/>
              </w:rPr>
              <w:t> </w:t>
            </w:r>
            <w:r>
              <w:rPr>
                <w:sz w:val="20"/>
              </w:rPr>
              <w:t>вывихи</w:t>
            </w:r>
            <w:r>
              <w:rPr>
                <w:spacing w:val="-12"/>
                <w:sz w:val="20"/>
              </w:rPr>
              <w:t> </w:t>
            </w:r>
            <w:r>
              <w:rPr>
                <w:sz w:val="20"/>
              </w:rPr>
              <w:t>и разобщение компонентов </w:t>
            </w:r>
            <w:r>
              <w:rPr>
                <w:spacing w:val="-2"/>
                <w:sz w:val="20"/>
              </w:rPr>
              <w:t>эндопротеза</w:t>
            </w:r>
          </w:p>
        </w:tc>
        <w:tc>
          <w:tcPr>
            <w:tcW w:w="1843" w:type="dxa"/>
          </w:tcPr>
          <w:p>
            <w:pPr>
              <w:pStyle w:val="TableParagraph"/>
              <w:spacing w:line="249" w:lineRule="auto" w:before="60"/>
              <w:ind w:left="476"/>
              <w:rPr>
                <w:sz w:val="20"/>
              </w:rPr>
            </w:pPr>
            <w:r>
              <w:rPr>
                <w:spacing w:val="-2"/>
                <w:sz w:val="20"/>
              </w:rPr>
              <w:t>хирургическое лечение</w:t>
            </w:r>
          </w:p>
        </w:tc>
        <w:tc>
          <w:tcPr>
            <w:tcW w:w="3646" w:type="dxa"/>
          </w:tcPr>
          <w:p>
            <w:pPr>
              <w:pStyle w:val="TableParagraph"/>
              <w:spacing w:line="240" w:lineRule="atLeast" w:before="30"/>
              <w:ind w:left="107"/>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реимплантация ревизионных эндопротезов в биомеханически</w:t>
            </w:r>
            <w:r>
              <w:rPr>
                <w:spacing w:val="-13"/>
                <w:sz w:val="20"/>
              </w:rPr>
              <w:t> </w:t>
            </w:r>
            <w:r>
              <w:rPr>
                <w:sz w:val="20"/>
              </w:rPr>
              <w:t>правильном</w:t>
            </w:r>
            <w:r>
              <w:rPr>
                <w:spacing w:val="-12"/>
                <w:sz w:val="20"/>
              </w:rPr>
              <w:t> </w:t>
            </w:r>
            <w:r>
              <w:rPr>
                <w:sz w:val="20"/>
              </w:rPr>
              <w:t>положении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05"/>
        <w:gridCol w:w="2025"/>
        <w:gridCol w:w="3431"/>
        <w:gridCol w:w="1436"/>
        <w:gridCol w:w="3938"/>
        <w:gridCol w:w="1052"/>
      </w:tblGrid>
      <w:tr>
        <w:trPr>
          <w:trHeight w:val="1250" w:hRule="atLeast"/>
        </w:trPr>
        <w:tc>
          <w:tcPr>
            <w:tcW w:w="458" w:type="dxa"/>
          </w:tcPr>
          <w:p>
            <w:pPr>
              <w:pStyle w:val="TableParagraph"/>
              <w:rPr>
                <w:sz w:val="18"/>
              </w:rPr>
            </w:pPr>
          </w:p>
        </w:tc>
        <w:tc>
          <w:tcPr>
            <w:tcW w:w="2805" w:type="dxa"/>
          </w:tcPr>
          <w:p>
            <w:pPr>
              <w:pStyle w:val="TableParagraph"/>
              <w:rPr>
                <w:sz w:val="18"/>
              </w:rPr>
            </w:pPr>
          </w:p>
        </w:tc>
        <w:tc>
          <w:tcPr>
            <w:tcW w:w="2025" w:type="dxa"/>
          </w:tcPr>
          <w:p>
            <w:pPr>
              <w:pStyle w:val="TableParagraph"/>
              <w:rPr>
                <w:sz w:val="18"/>
              </w:rPr>
            </w:pPr>
          </w:p>
        </w:tc>
        <w:tc>
          <w:tcPr>
            <w:tcW w:w="3431" w:type="dxa"/>
          </w:tcPr>
          <w:p>
            <w:pPr>
              <w:pStyle w:val="TableParagraph"/>
              <w:rPr>
                <w:sz w:val="18"/>
              </w:rPr>
            </w:pPr>
          </w:p>
        </w:tc>
        <w:tc>
          <w:tcPr>
            <w:tcW w:w="1436" w:type="dxa"/>
          </w:tcPr>
          <w:p>
            <w:pPr>
              <w:pStyle w:val="TableParagraph"/>
              <w:rPr>
                <w:sz w:val="18"/>
              </w:rPr>
            </w:pPr>
          </w:p>
        </w:tc>
        <w:tc>
          <w:tcPr>
            <w:tcW w:w="3938" w:type="dxa"/>
          </w:tcPr>
          <w:p>
            <w:pPr>
              <w:pStyle w:val="TableParagraph"/>
              <w:spacing w:line="249" w:lineRule="auto"/>
              <w:ind w:left="101" w:right="115"/>
              <w:rPr>
                <w:sz w:val="20"/>
              </w:rPr>
            </w:pPr>
            <w:r>
              <w:rPr>
                <w:sz w:val="20"/>
              </w:rPr>
              <w:t>ревизия эндопротеза с заменой стандартных</w:t>
            </w:r>
            <w:r>
              <w:rPr>
                <w:spacing w:val="-13"/>
                <w:sz w:val="20"/>
              </w:rPr>
              <w:t> </w:t>
            </w:r>
            <w:r>
              <w:rPr>
                <w:sz w:val="20"/>
              </w:rPr>
              <w:t>компонентов</w:t>
            </w:r>
            <w:r>
              <w:rPr>
                <w:spacing w:val="-12"/>
                <w:sz w:val="20"/>
              </w:rPr>
              <w:t> </w:t>
            </w:r>
            <w:r>
              <w:rPr>
                <w:sz w:val="20"/>
              </w:rPr>
              <w:t>ревизионными связанными эндопротезами и стабилизацией сустава за счет пластики мягких тканей</w:t>
            </w:r>
          </w:p>
        </w:tc>
        <w:tc>
          <w:tcPr>
            <w:tcW w:w="1052" w:type="dxa"/>
          </w:tcPr>
          <w:p>
            <w:pPr>
              <w:pStyle w:val="TableParagraph"/>
              <w:rPr>
                <w:sz w:val="18"/>
              </w:rPr>
            </w:pPr>
          </w:p>
        </w:tc>
      </w:tr>
      <w:tr>
        <w:trPr>
          <w:trHeight w:val="1800" w:hRule="atLeast"/>
        </w:trPr>
        <w:tc>
          <w:tcPr>
            <w:tcW w:w="458" w:type="dxa"/>
          </w:tcPr>
          <w:p>
            <w:pPr>
              <w:pStyle w:val="TableParagraph"/>
              <w:spacing w:before="60"/>
              <w:ind w:left="50"/>
              <w:rPr>
                <w:sz w:val="20"/>
              </w:rPr>
            </w:pPr>
            <w:r>
              <w:rPr>
                <w:spacing w:val="-5"/>
                <w:sz w:val="20"/>
              </w:rPr>
              <w:t>74.</w:t>
            </w:r>
          </w:p>
        </w:tc>
        <w:tc>
          <w:tcPr>
            <w:tcW w:w="2805" w:type="dxa"/>
          </w:tcPr>
          <w:p>
            <w:pPr>
              <w:pStyle w:val="TableParagraph"/>
              <w:spacing w:line="249" w:lineRule="auto" w:before="60"/>
              <w:ind w:left="155" w:right="12"/>
              <w:rPr>
                <w:sz w:val="20"/>
              </w:rPr>
            </w:pPr>
            <w:r>
              <w:rPr>
                <w:spacing w:val="-2"/>
                <w:sz w:val="20"/>
              </w:rPr>
              <w:t>Реконструктивно- </w:t>
            </w:r>
            <w:r>
              <w:rPr>
                <w:sz w:val="20"/>
              </w:rPr>
              <w:t>пластические операции на длинных</w:t>
            </w:r>
            <w:r>
              <w:rPr>
                <w:spacing w:val="-13"/>
                <w:sz w:val="20"/>
              </w:rPr>
              <w:t> </w:t>
            </w:r>
            <w:r>
              <w:rPr>
                <w:sz w:val="20"/>
              </w:rPr>
              <w:t>трубчатых</w:t>
            </w:r>
            <w:r>
              <w:rPr>
                <w:spacing w:val="-12"/>
                <w:sz w:val="20"/>
              </w:rPr>
              <w:t> </w:t>
            </w:r>
            <w:r>
              <w:rPr>
                <w:sz w:val="20"/>
              </w:rPr>
              <w:t>костях нижних конечностей с </w:t>
            </w:r>
            <w:r>
              <w:rPr>
                <w:spacing w:val="-2"/>
                <w:sz w:val="20"/>
              </w:rPr>
              <w:t>использованием интрамедуллярных </w:t>
            </w:r>
            <w:r>
              <w:rPr>
                <w:sz w:val="20"/>
              </w:rPr>
              <w:t>телескопических</w:t>
            </w:r>
            <w:r>
              <w:rPr>
                <w:spacing w:val="-13"/>
                <w:sz w:val="20"/>
              </w:rPr>
              <w:t> </w:t>
            </w:r>
            <w:r>
              <w:rPr>
                <w:sz w:val="20"/>
              </w:rPr>
              <w:t>стержней</w:t>
            </w:r>
          </w:p>
        </w:tc>
        <w:tc>
          <w:tcPr>
            <w:tcW w:w="2025" w:type="dxa"/>
          </w:tcPr>
          <w:p>
            <w:pPr>
              <w:pStyle w:val="TableParagraph"/>
              <w:spacing w:before="60"/>
              <w:ind w:left="318" w:right="170"/>
              <w:jc w:val="center"/>
              <w:rPr>
                <w:sz w:val="20"/>
              </w:rPr>
            </w:pPr>
            <w:r>
              <w:rPr>
                <w:spacing w:val="-4"/>
                <w:sz w:val="20"/>
              </w:rPr>
              <w:t>Q78.0</w:t>
            </w:r>
          </w:p>
        </w:tc>
        <w:tc>
          <w:tcPr>
            <w:tcW w:w="3431" w:type="dxa"/>
          </w:tcPr>
          <w:p>
            <w:pPr>
              <w:pStyle w:val="TableParagraph"/>
              <w:spacing w:line="249" w:lineRule="auto" w:before="60"/>
              <w:ind w:left="186" w:right="61"/>
              <w:rPr>
                <w:sz w:val="20"/>
              </w:rPr>
            </w:pPr>
            <w:r>
              <w:rPr>
                <w:sz w:val="20"/>
              </w:rPr>
              <w:t>переломы</w:t>
            </w:r>
            <w:r>
              <w:rPr>
                <w:spacing w:val="-13"/>
                <w:sz w:val="20"/>
              </w:rPr>
              <w:t> </w:t>
            </w:r>
            <w:r>
              <w:rPr>
                <w:sz w:val="20"/>
              </w:rPr>
              <w:t>и</w:t>
            </w:r>
            <w:r>
              <w:rPr>
                <w:spacing w:val="-12"/>
                <w:sz w:val="20"/>
              </w:rPr>
              <w:t> </w:t>
            </w:r>
            <w:r>
              <w:rPr>
                <w:sz w:val="20"/>
              </w:rPr>
              <w:t>деформации</w:t>
            </w:r>
            <w:r>
              <w:rPr>
                <w:spacing w:val="-13"/>
                <w:sz w:val="20"/>
              </w:rPr>
              <w:t> </w:t>
            </w:r>
            <w:r>
              <w:rPr>
                <w:sz w:val="20"/>
              </w:rPr>
              <w:t>длинных трубчатых костей нижних конечностей у детей с незавершенным</w:t>
            </w:r>
            <w:r>
              <w:rPr>
                <w:spacing w:val="40"/>
                <w:sz w:val="20"/>
              </w:rPr>
              <w:t> </w:t>
            </w:r>
            <w:r>
              <w:rPr>
                <w:sz w:val="20"/>
              </w:rPr>
              <w:t>остеогенезом</w:t>
            </w:r>
          </w:p>
        </w:tc>
        <w:tc>
          <w:tcPr>
            <w:tcW w:w="1436" w:type="dxa"/>
          </w:tcPr>
          <w:p>
            <w:pPr>
              <w:pStyle w:val="TableParagraph"/>
              <w:spacing w:line="249" w:lineRule="auto" w:before="60"/>
              <w:ind w:left="63"/>
              <w:rPr>
                <w:sz w:val="20"/>
              </w:rPr>
            </w:pPr>
            <w:r>
              <w:rPr>
                <w:spacing w:val="-2"/>
                <w:sz w:val="20"/>
              </w:rPr>
              <w:t>хирургической лечение</w:t>
            </w:r>
          </w:p>
        </w:tc>
        <w:tc>
          <w:tcPr>
            <w:tcW w:w="3938" w:type="dxa"/>
          </w:tcPr>
          <w:p>
            <w:pPr>
              <w:pStyle w:val="TableParagraph"/>
              <w:spacing w:line="249" w:lineRule="auto" w:before="60"/>
              <w:ind w:left="101" w:right="115"/>
              <w:rPr>
                <w:sz w:val="20"/>
              </w:rPr>
            </w:pPr>
            <w:r>
              <w:rPr>
                <w:sz w:val="20"/>
              </w:rPr>
              <w:t>корригирующие остеотомии длинных трубчатых</w:t>
            </w:r>
            <w:r>
              <w:rPr>
                <w:spacing w:val="-12"/>
                <w:sz w:val="20"/>
              </w:rPr>
              <w:t> </w:t>
            </w:r>
            <w:r>
              <w:rPr>
                <w:sz w:val="20"/>
              </w:rPr>
              <w:t>костей</w:t>
            </w:r>
            <w:r>
              <w:rPr>
                <w:spacing w:val="-9"/>
                <w:sz w:val="20"/>
              </w:rPr>
              <w:t> </w:t>
            </w:r>
            <w:r>
              <w:rPr>
                <w:sz w:val="20"/>
              </w:rPr>
              <w:t>нижних</w:t>
            </w:r>
            <w:r>
              <w:rPr>
                <w:spacing w:val="-12"/>
                <w:sz w:val="20"/>
              </w:rPr>
              <w:t> </w:t>
            </w:r>
            <w:r>
              <w:rPr>
                <w:sz w:val="20"/>
              </w:rPr>
              <w:t>конечностей</w:t>
            </w:r>
            <w:r>
              <w:rPr>
                <w:spacing w:val="-12"/>
                <w:sz w:val="20"/>
              </w:rPr>
              <w:t> </w:t>
            </w:r>
            <w:r>
              <w:rPr>
                <w:sz w:val="20"/>
              </w:rPr>
              <w:t>с использованием интрамедуллярного телескопического стержня</w:t>
            </w:r>
          </w:p>
        </w:tc>
        <w:tc>
          <w:tcPr>
            <w:tcW w:w="1052" w:type="dxa"/>
          </w:tcPr>
          <w:p>
            <w:pPr>
              <w:pStyle w:val="TableParagraph"/>
              <w:spacing w:before="60"/>
              <w:ind w:right="92"/>
              <w:jc w:val="right"/>
              <w:rPr>
                <w:sz w:val="20"/>
              </w:rPr>
            </w:pPr>
            <w:r>
              <w:rPr>
                <w:spacing w:val="-2"/>
                <w:sz w:val="20"/>
              </w:rPr>
              <w:t>537057</w:t>
            </w:r>
          </w:p>
        </w:tc>
      </w:tr>
      <w:tr>
        <w:trPr>
          <w:trHeight w:val="360" w:hRule="atLeast"/>
        </w:trPr>
        <w:tc>
          <w:tcPr>
            <w:tcW w:w="458" w:type="dxa"/>
          </w:tcPr>
          <w:p>
            <w:pPr>
              <w:pStyle w:val="TableParagraph"/>
              <w:rPr>
                <w:sz w:val="18"/>
              </w:rPr>
            </w:pPr>
          </w:p>
        </w:tc>
        <w:tc>
          <w:tcPr>
            <w:tcW w:w="2805" w:type="dxa"/>
          </w:tcPr>
          <w:p>
            <w:pPr>
              <w:pStyle w:val="TableParagraph"/>
              <w:rPr>
                <w:sz w:val="18"/>
              </w:rPr>
            </w:pPr>
          </w:p>
        </w:tc>
        <w:tc>
          <w:tcPr>
            <w:tcW w:w="2025" w:type="dxa"/>
          </w:tcPr>
          <w:p>
            <w:pPr>
              <w:pStyle w:val="TableParagraph"/>
              <w:rPr>
                <w:sz w:val="18"/>
              </w:rPr>
            </w:pPr>
          </w:p>
        </w:tc>
        <w:tc>
          <w:tcPr>
            <w:tcW w:w="3431" w:type="dxa"/>
          </w:tcPr>
          <w:p>
            <w:pPr>
              <w:pStyle w:val="TableParagraph"/>
              <w:spacing w:before="60"/>
              <w:ind w:left="1718"/>
              <w:rPr>
                <w:sz w:val="20"/>
              </w:rPr>
            </w:pPr>
            <w:r>
              <w:rPr>
                <w:spacing w:val="-2"/>
                <w:sz w:val="20"/>
              </w:rPr>
              <w:t>Трансплантация</w:t>
            </w:r>
          </w:p>
        </w:tc>
        <w:tc>
          <w:tcPr>
            <w:tcW w:w="1436" w:type="dxa"/>
          </w:tcPr>
          <w:p>
            <w:pPr>
              <w:pStyle w:val="TableParagraph"/>
              <w:rPr>
                <w:sz w:val="18"/>
              </w:rPr>
            </w:pPr>
          </w:p>
        </w:tc>
        <w:tc>
          <w:tcPr>
            <w:tcW w:w="3938" w:type="dxa"/>
          </w:tcPr>
          <w:p>
            <w:pPr>
              <w:pStyle w:val="TableParagraph"/>
              <w:rPr>
                <w:sz w:val="18"/>
              </w:rPr>
            </w:pPr>
          </w:p>
        </w:tc>
        <w:tc>
          <w:tcPr>
            <w:tcW w:w="1052"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75.</w:t>
            </w:r>
          </w:p>
        </w:tc>
        <w:tc>
          <w:tcPr>
            <w:tcW w:w="2805" w:type="dxa"/>
          </w:tcPr>
          <w:p>
            <w:pPr>
              <w:pStyle w:val="TableParagraph"/>
              <w:spacing w:before="60"/>
              <w:ind w:left="155"/>
              <w:rPr>
                <w:sz w:val="20"/>
              </w:rPr>
            </w:pPr>
            <w:r>
              <w:rPr>
                <w:w w:val="95"/>
                <w:sz w:val="20"/>
              </w:rPr>
              <w:t>Трансплантация</w:t>
            </w:r>
            <w:r>
              <w:rPr>
                <w:spacing w:val="54"/>
                <w:sz w:val="20"/>
              </w:rPr>
              <w:t> </w:t>
            </w:r>
            <w:r>
              <w:rPr>
                <w:spacing w:val="-4"/>
                <w:sz w:val="20"/>
              </w:rPr>
              <w:t>почки</w:t>
            </w:r>
          </w:p>
        </w:tc>
        <w:tc>
          <w:tcPr>
            <w:tcW w:w="2025" w:type="dxa"/>
          </w:tcPr>
          <w:p>
            <w:pPr>
              <w:pStyle w:val="TableParagraph"/>
              <w:spacing w:before="60"/>
              <w:ind w:left="318" w:right="173"/>
              <w:jc w:val="center"/>
              <w:rPr>
                <w:sz w:val="20"/>
              </w:rPr>
            </w:pPr>
            <w:r>
              <w:rPr>
                <w:sz w:val="20"/>
              </w:rPr>
              <w:t>N18.0,</w:t>
            </w:r>
            <w:r>
              <w:rPr>
                <w:spacing w:val="-4"/>
                <w:sz w:val="20"/>
              </w:rPr>
              <w:t> </w:t>
            </w:r>
            <w:r>
              <w:rPr>
                <w:sz w:val="20"/>
              </w:rPr>
              <w:t>N04,</w:t>
            </w:r>
            <w:r>
              <w:rPr>
                <w:spacing w:val="-5"/>
                <w:sz w:val="20"/>
              </w:rPr>
              <w:t> </w:t>
            </w:r>
            <w:r>
              <w:rPr>
                <w:spacing w:val="-2"/>
                <w:sz w:val="20"/>
              </w:rPr>
              <w:t>T86.1</w:t>
            </w:r>
          </w:p>
        </w:tc>
        <w:tc>
          <w:tcPr>
            <w:tcW w:w="3431" w:type="dxa"/>
          </w:tcPr>
          <w:p>
            <w:pPr>
              <w:pStyle w:val="TableParagraph"/>
              <w:spacing w:line="249" w:lineRule="auto" w:before="60"/>
              <w:ind w:left="186"/>
              <w:rPr>
                <w:sz w:val="20"/>
              </w:rPr>
            </w:pPr>
            <w:r>
              <w:rPr>
                <w:sz w:val="20"/>
              </w:rPr>
              <w:t>терминальная стадия поражения почек.</w:t>
            </w:r>
            <w:r>
              <w:rPr>
                <w:spacing w:val="-13"/>
                <w:sz w:val="20"/>
              </w:rPr>
              <w:t> </w:t>
            </w:r>
            <w:r>
              <w:rPr>
                <w:sz w:val="20"/>
              </w:rPr>
              <w:t>Врожденный</w:t>
            </w:r>
            <w:r>
              <w:rPr>
                <w:spacing w:val="-12"/>
                <w:sz w:val="20"/>
              </w:rPr>
              <w:t> </w:t>
            </w:r>
            <w:r>
              <w:rPr>
                <w:sz w:val="20"/>
              </w:rPr>
              <w:t>нефротический синдром. Отмирание и отторжение трансплантата почки</w:t>
            </w:r>
          </w:p>
        </w:tc>
        <w:tc>
          <w:tcPr>
            <w:tcW w:w="1436" w:type="dxa"/>
          </w:tcPr>
          <w:p>
            <w:pPr>
              <w:pStyle w:val="TableParagraph"/>
              <w:spacing w:line="249" w:lineRule="auto" w:before="60"/>
              <w:ind w:left="63"/>
              <w:rPr>
                <w:sz w:val="20"/>
              </w:rPr>
            </w:pPr>
            <w:r>
              <w:rPr>
                <w:spacing w:val="-2"/>
                <w:sz w:val="20"/>
              </w:rPr>
              <w:t>хирургическое лечение</w:t>
            </w:r>
          </w:p>
        </w:tc>
        <w:tc>
          <w:tcPr>
            <w:tcW w:w="3938" w:type="dxa"/>
          </w:tcPr>
          <w:p>
            <w:pPr>
              <w:pStyle w:val="TableParagraph"/>
              <w:spacing w:before="60"/>
              <w:ind w:left="101"/>
              <w:rPr>
                <w:sz w:val="20"/>
              </w:rPr>
            </w:pPr>
            <w:r>
              <w:rPr>
                <w:spacing w:val="-2"/>
                <w:sz w:val="20"/>
              </w:rPr>
              <w:t>трансплантация</w:t>
            </w:r>
            <w:r>
              <w:rPr>
                <w:spacing w:val="14"/>
                <w:sz w:val="20"/>
              </w:rPr>
              <w:t> </w:t>
            </w:r>
            <w:r>
              <w:rPr>
                <w:spacing w:val="-4"/>
                <w:sz w:val="20"/>
              </w:rPr>
              <w:t>почки</w:t>
            </w:r>
          </w:p>
        </w:tc>
        <w:tc>
          <w:tcPr>
            <w:tcW w:w="1052" w:type="dxa"/>
          </w:tcPr>
          <w:p>
            <w:pPr>
              <w:pStyle w:val="TableParagraph"/>
              <w:spacing w:before="60"/>
              <w:ind w:right="42"/>
              <w:jc w:val="right"/>
              <w:rPr>
                <w:sz w:val="20"/>
              </w:rPr>
            </w:pPr>
            <w:r>
              <w:rPr>
                <w:spacing w:val="-2"/>
                <w:sz w:val="20"/>
              </w:rPr>
              <w:t>1039886</w:t>
            </w:r>
          </w:p>
        </w:tc>
      </w:tr>
      <w:tr>
        <w:trPr>
          <w:trHeight w:val="600" w:hRule="atLeast"/>
        </w:trPr>
        <w:tc>
          <w:tcPr>
            <w:tcW w:w="458" w:type="dxa"/>
          </w:tcPr>
          <w:p>
            <w:pPr>
              <w:pStyle w:val="TableParagraph"/>
              <w:rPr>
                <w:sz w:val="18"/>
              </w:rPr>
            </w:pPr>
          </w:p>
        </w:tc>
        <w:tc>
          <w:tcPr>
            <w:tcW w:w="2805" w:type="dxa"/>
          </w:tcPr>
          <w:p>
            <w:pPr>
              <w:pStyle w:val="TableParagraph"/>
              <w:spacing w:line="249" w:lineRule="auto" w:before="60"/>
              <w:ind w:left="155" w:right="612"/>
              <w:rPr>
                <w:sz w:val="20"/>
              </w:rPr>
            </w:pPr>
            <w:r>
              <w:rPr>
                <w:spacing w:val="-2"/>
                <w:sz w:val="20"/>
              </w:rPr>
              <w:t>Трансплантация </w:t>
            </w:r>
            <w:r>
              <w:rPr>
                <w:sz w:val="20"/>
              </w:rPr>
              <w:t>поджелудочной</w:t>
            </w:r>
            <w:r>
              <w:rPr>
                <w:spacing w:val="-13"/>
                <w:sz w:val="20"/>
              </w:rPr>
              <w:t> </w:t>
            </w:r>
            <w:r>
              <w:rPr>
                <w:sz w:val="20"/>
              </w:rPr>
              <w:t>железы</w:t>
            </w:r>
          </w:p>
        </w:tc>
        <w:tc>
          <w:tcPr>
            <w:tcW w:w="2025" w:type="dxa"/>
          </w:tcPr>
          <w:p>
            <w:pPr>
              <w:pStyle w:val="TableParagraph"/>
              <w:spacing w:before="60"/>
              <w:ind w:left="318" w:right="171"/>
              <w:jc w:val="center"/>
              <w:rPr>
                <w:sz w:val="20"/>
              </w:rPr>
            </w:pPr>
            <w:r>
              <w:rPr>
                <w:sz w:val="20"/>
              </w:rPr>
              <w:t>E10,</w:t>
            </w:r>
            <w:r>
              <w:rPr>
                <w:spacing w:val="-3"/>
                <w:sz w:val="20"/>
              </w:rPr>
              <w:t> </w:t>
            </w:r>
            <w:r>
              <w:rPr>
                <w:sz w:val="20"/>
              </w:rPr>
              <w:t>Q45.0,</w:t>
            </w:r>
            <w:r>
              <w:rPr>
                <w:spacing w:val="-5"/>
                <w:sz w:val="20"/>
              </w:rPr>
              <w:t> </w:t>
            </w:r>
            <w:r>
              <w:rPr>
                <w:spacing w:val="-2"/>
                <w:sz w:val="20"/>
              </w:rPr>
              <w:t>T86.8</w:t>
            </w:r>
          </w:p>
        </w:tc>
        <w:tc>
          <w:tcPr>
            <w:tcW w:w="3431" w:type="dxa"/>
            <w:vMerge w:val="restart"/>
          </w:tcPr>
          <w:p>
            <w:pPr>
              <w:pStyle w:val="TableParagraph"/>
              <w:spacing w:line="249" w:lineRule="auto" w:before="60"/>
              <w:ind w:left="186" w:right="60"/>
              <w:rPr>
                <w:sz w:val="20"/>
              </w:rPr>
            </w:pPr>
            <w:r>
              <w:rPr>
                <w:sz w:val="20"/>
              </w:rPr>
              <w:t>инсулинзависимый</w:t>
            </w:r>
            <w:r>
              <w:rPr>
                <w:spacing w:val="-13"/>
                <w:sz w:val="20"/>
              </w:rPr>
              <w:t> </w:t>
            </w:r>
            <w:r>
              <w:rPr>
                <w:sz w:val="20"/>
              </w:rPr>
              <w:t>сахарный</w:t>
            </w:r>
            <w:r>
              <w:rPr>
                <w:spacing w:val="-12"/>
                <w:sz w:val="20"/>
              </w:rPr>
              <w:t> </w:t>
            </w:r>
            <w:r>
              <w:rPr>
                <w:sz w:val="20"/>
              </w:rPr>
              <w:t>диабет. Агенезия, аплазия и гипоплазия поджелудочной железы. Отмирание и отторжение других пересаженных органов</w:t>
            </w:r>
            <w:r>
              <w:rPr>
                <w:spacing w:val="-10"/>
                <w:sz w:val="20"/>
              </w:rPr>
              <w:t> </w:t>
            </w:r>
            <w:r>
              <w:rPr>
                <w:sz w:val="20"/>
              </w:rPr>
              <w:t>и</w:t>
            </w:r>
            <w:r>
              <w:rPr>
                <w:spacing w:val="-10"/>
                <w:sz w:val="20"/>
              </w:rPr>
              <w:t> </w:t>
            </w:r>
            <w:r>
              <w:rPr>
                <w:sz w:val="20"/>
              </w:rPr>
              <w:t>тканей</w:t>
            </w:r>
            <w:r>
              <w:rPr>
                <w:spacing w:val="-10"/>
                <w:sz w:val="20"/>
              </w:rPr>
              <w:t> </w:t>
            </w:r>
            <w:r>
              <w:rPr>
                <w:sz w:val="20"/>
              </w:rPr>
              <w:t>(панкреатопривные состояния неонкологического</w:t>
            </w:r>
            <w:r>
              <w:rPr>
                <w:spacing w:val="40"/>
                <w:sz w:val="20"/>
              </w:rPr>
              <w:t> </w:t>
            </w:r>
            <w:r>
              <w:rPr>
                <w:spacing w:val="-2"/>
                <w:sz w:val="20"/>
              </w:rPr>
              <w:t>генеза)</w:t>
            </w:r>
          </w:p>
        </w:tc>
        <w:tc>
          <w:tcPr>
            <w:tcW w:w="1436" w:type="dxa"/>
          </w:tcPr>
          <w:p>
            <w:pPr>
              <w:pStyle w:val="TableParagraph"/>
              <w:spacing w:line="249" w:lineRule="auto" w:before="60"/>
              <w:ind w:left="63"/>
              <w:rPr>
                <w:sz w:val="20"/>
              </w:rPr>
            </w:pPr>
            <w:r>
              <w:rPr>
                <w:spacing w:val="-2"/>
                <w:sz w:val="20"/>
              </w:rPr>
              <w:t>хирургическое лечение</w:t>
            </w:r>
          </w:p>
        </w:tc>
        <w:tc>
          <w:tcPr>
            <w:tcW w:w="3938" w:type="dxa"/>
          </w:tcPr>
          <w:p>
            <w:pPr>
              <w:pStyle w:val="TableParagraph"/>
              <w:spacing w:line="249" w:lineRule="auto" w:before="60"/>
              <w:ind w:left="101" w:right="290"/>
              <w:rPr>
                <w:sz w:val="20"/>
              </w:rPr>
            </w:pPr>
            <w:r>
              <w:rPr>
                <w:sz w:val="20"/>
              </w:rPr>
              <w:t>трансплантация</w:t>
            </w:r>
            <w:r>
              <w:rPr>
                <w:spacing w:val="-13"/>
                <w:sz w:val="20"/>
              </w:rPr>
              <w:t> </w:t>
            </w:r>
            <w:r>
              <w:rPr>
                <w:sz w:val="20"/>
              </w:rPr>
              <w:t>панкреатодуоденального </w:t>
            </w:r>
            <w:r>
              <w:rPr>
                <w:spacing w:val="-2"/>
                <w:sz w:val="20"/>
              </w:rPr>
              <w:t>комплекса</w:t>
            </w:r>
          </w:p>
        </w:tc>
        <w:tc>
          <w:tcPr>
            <w:tcW w:w="1052" w:type="dxa"/>
          </w:tcPr>
          <w:p>
            <w:pPr>
              <w:pStyle w:val="TableParagraph"/>
              <w:rPr>
                <w:sz w:val="18"/>
              </w:rPr>
            </w:pPr>
          </w:p>
        </w:tc>
      </w:tr>
      <w:tr>
        <w:trPr>
          <w:trHeight w:val="1200" w:hRule="atLeast"/>
        </w:trPr>
        <w:tc>
          <w:tcPr>
            <w:tcW w:w="458" w:type="dxa"/>
          </w:tcPr>
          <w:p>
            <w:pPr>
              <w:pStyle w:val="TableParagraph"/>
              <w:rPr>
                <w:sz w:val="18"/>
              </w:rPr>
            </w:pPr>
          </w:p>
        </w:tc>
        <w:tc>
          <w:tcPr>
            <w:tcW w:w="2805" w:type="dxa"/>
          </w:tcPr>
          <w:p>
            <w:pPr>
              <w:pStyle w:val="TableParagraph"/>
              <w:rPr>
                <w:sz w:val="18"/>
              </w:rPr>
            </w:pPr>
          </w:p>
        </w:tc>
        <w:tc>
          <w:tcPr>
            <w:tcW w:w="2025" w:type="dxa"/>
          </w:tcPr>
          <w:p>
            <w:pPr>
              <w:pStyle w:val="TableParagraph"/>
              <w:rPr>
                <w:sz w:val="18"/>
              </w:rPr>
            </w:pPr>
          </w:p>
        </w:tc>
        <w:tc>
          <w:tcPr>
            <w:tcW w:w="3431" w:type="dxa"/>
            <w:vMerge/>
            <w:tcBorders>
              <w:top w:val="nil"/>
            </w:tcBorders>
          </w:tcPr>
          <w:p>
            <w:pPr>
              <w:rPr>
                <w:sz w:val="2"/>
                <w:szCs w:val="2"/>
              </w:rPr>
            </w:pPr>
          </w:p>
        </w:tc>
        <w:tc>
          <w:tcPr>
            <w:tcW w:w="1436" w:type="dxa"/>
          </w:tcPr>
          <w:p>
            <w:pPr>
              <w:pStyle w:val="TableParagraph"/>
              <w:rPr>
                <w:sz w:val="18"/>
              </w:rPr>
            </w:pPr>
          </w:p>
        </w:tc>
        <w:tc>
          <w:tcPr>
            <w:tcW w:w="3938" w:type="dxa"/>
          </w:tcPr>
          <w:p>
            <w:pPr>
              <w:pStyle w:val="TableParagraph"/>
              <w:spacing w:line="249" w:lineRule="auto" w:before="60"/>
              <w:ind w:left="101" w:right="115"/>
              <w:rPr>
                <w:sz w:val="20"/>
              </w:rPr>
            </w:pPr>
            <w:r>
              <w:rPr>
                <w:sz w:val="20"/>
              </w:rPr>
              <w:t>трансплантация</w:t>
            </w:r>
            <w:r>
              <w:rPr>
                <w:spacing w:val="-13"/>
                <w:sz w:val="20"/>
              </w:rPr>
              <w:t> </w:t>
            </w:r>
            <w:r>
              <w:rPr>
                <w:sz w:val="20"/>
              </w:rPr>
              <w:t>дистального</w:t>
            </w:r>
            <w:r>
              <w:rPr>
                <w:spacing w:val="-12"/>
                <w:sz w:val="20"/>
              </w:rPr>
              <w:t> </w:t>
            </w:r>
            <w:r>
              <w:rPr>
                <w:sz w:val="20"/>
              </w:rPr>
              <w:t>фрагмента поджелудочной железы</w:t>
            </w:r>
          </w:p>
        </w:tc>
        <w:tc>
          <w:tcPr>
            <w:tcW w:w="1052" w:type="dxa"/>
          </w:tcPr>
          <w:p>
            <w:pPr>
              <w:pStyle w:val="TableParagraph"/>
              <w:rPr>
                <w:sz w:val="18"/>
              </w:rPr>
            </w:pPr>
          </w:p>
        </w:tc>
      </w:tr>
      <w:tr>
        <w:trPr>
          <w:trHeight w:val="599" w:hRule="atLeast"/>
        </w:trPr>
        <w:tc>
          <w:tcPr>
            <w:tcW w:w="458" w:type="dxa"/>
          </w:tcPr>
          <w:p>
            <w:pPr>
              <w:pStyle w:val="TableParagraph"/>
              <w:rPr>
                <w:sz w:val="18"/>
              </w:rPr>
            </w:pPr>
          </w:p>
        </w:tc>
        <w:tc>
          <w:tcPr>
            <w:tcW w:w="2805" w:type="dxa"/>
            <w:vMerge w:val="restart"/>
          </w:tcPr>
          <w:p>
            <w:pPr>
              <w:pStyle w:val="TableParagraph"/>
              <w:spacing w:line="249" w:lineRule="auto" w:before="60"/>
              <w:ind w:left="155" w:right="12"/>
              <w:rPr>
                <w:sz w:val="20"/>
              </w:rPr>
            </w:pPr>
            <w:r>
              <w:rPr>
                <w:spacing w:val="-2"/>
                <w:sz w:val="20"/>
              </w:rPr>
              <w:t>Трансплантация </w:t>
            </w:r>
            <w:r>
              <w:rPr>
                <w:sz w:val="20"/>
              </w:rPr>
              <w:t>поджелудочной</w:t>
            </w:r>
            <w:r>
              <w:rPr>
                <w:spacing w:val="-13"/>
                <w:sz w:val="20"/>
              </w:rPr>
              <w:t> </w:t>
            </w:r>
            <w:r>
              <w:rPr>
                <w:sz w:val="20"/>
              </w:rPr>
              <w:t>железы</w:t>
            </w:r>
            <w:r>
              <w:rPr>
                <w:spacing w:val="-12"/>
                <w:sz w:val="20"/>
              </w:rPr>
              <w:t> </w:t>
            </w:r>
            <w:r>
              <w:rPr>
                <w:sz w:val="20"/>
              </w:rPr>
              <w:t>и </w:t>
            </w:r>
            <w:r>
              <w:rPr>
                <w:spacing w:val="-2"/>
                <w:sz w:val="20"/>
              </w:rPr>
              <w:t>почки</w:t>
            </w:r>
          </w:p>
        </w:tc>
        <w:tc>
          <w:tcPr>
            <w:tcW w:w="2025" w:type="dxa"/>
          </w:tcPr>
          <w:p>
            <w:pPr>
              <w:pStyle w:val="TableParagraph"/>
              <w:spacing w:before="60"/>
              <w:ind w:left="318" w:right="173"/>
              <w:jc w:val="center"/>
              <w:rPr>
                <w:sz w:val="20"/>
              </w:rPr>
            </w:pPr>
            <w:r>
              <w:rPr>
                <w:sz w:val="20"/>
              </w:rPr>
              <w:t>E10,</w:t>
            </w:r>
            <w:r>
              <w:rPr>
                <w:spacing w:val="-4"/>
                <w:sz w:val="20"/>
              </w:rPr>
              <w:t> </w:t>
            </w:r>
            <w:r>
              <w:rPr>
                <w:sz w:val="20"/>
              </w:rPr>
              <w:t>N18.0,</w:t>
            </w:r>
            <w:r>
              <w:rPr>
                <w:spacing w:val="-5"/>
                <w:sz w:val="20"/>
              </w:rPr>
              <w:t> </w:t>
            </w:r>
            <w:r>
              <w:rPr>
                <w:spacing w:val="-4"/>
                <w:sz w:val="20"/>
              </w:rPr>
              <w:t>T86.8</w:t>
            </w:r>
          </w:p>
        </w:tc>
        <w:tc>
          <w:tcPr>
            <w:tcW w:w="3431" w:type="dxa"/>
            <w:vMerge w:val="restart"/>
          </w:tcPr>
          <w:p>
            <w:pPr>
              <w:pStyle w:val="TableParagraph"/>
              <w:spacing w:line="240" w:lineRule="atLeast" w:before="30"/>
              <w:ind w:left="186" w:right="61"/>
              <w:rPr>
                <w:sz w:val="20"/>
              </w:rPr>
            </w:pPr>
            <w:r>
              <w:rPr>
                <w:sz w:val="20"/>
              </w:rPr>
              <w:t>инсулинзависимый</w:t>
            </w:r>
            <w:r>
              <w:rPr>
                <w:spacing w:val="-13"/>
                <w:sz w:val="20"/>
              </w:rPr>
              <w:t> </w:t>
            </w:r>
            <w:r>
              <w:rPr>
                <w:sz w:val="20"/>
              </w:rPr>
              <w:t>сахарный</w:t>
            </w:r>
            <w:r>
              <w:rPr>
                <w:spacing w:val="-12"/>
                <w:sz w:val="20"/>
              </w:rPr>
              <w:t> </w:t>
            </w:r>
            <w:r>
              <w:rPr>
                <w:sz w:val="20"/>
              </w:rPr>
              <w:t>диабет с поражением почек. Терминальная стадия</w:t>
            </w:r>
            <w:r>
              <w:rPr>
                <w:spacing w:val="-13"/>
                <w:sz w:val="20"/>
              </w:rPr>
              <w:t> </w:t>
            </w:r>
            <w:r>
              <w:rPr>
                <w:sz w:val="20"/>
              </w:rPr>
              <w:t>поражения</w:t>
            </w:r>
            <w:r>
              <w:rPr>
                <w:spacing w:val="-12"/>
                <w:sz w:val="20"/>
              </w:rPr>
              <w:t> </w:t>
            </w:r>
            <w:r>
              <w:rPr>
                <w:sz w:val="20"/>
              </w:rPr>
              <w:t>почек.</w:t>
            </w:r>
            <w:r>
              <w:rPr>
                <w:spacing w:val="-13"/>
                <w:sz w:val="20"/>
              </w:rPr>
              <w:t> </w:t>
            </w:r>
            <w:r>
              <w:rPr>
                <w:sz w:val="20"/>
              </w:rPr>
              <w:t>Отмирание и отторжение других пересаженных органов и тканей</w:t>
            </w:r>
          </w:p>
        </w:tc>
        <w:tc>
          <w:tcPr>
            <w:tcW w:w="1436" w:type="dxa"/>
          </w:tcPr>
          <w:p>
            <w:pPr>
              <w:pStyle w:val="TableParagraph"/>
              <w:spacing w:line="249" w:lineRule="auto" w:before="60"/>
              <w:ind w:left="63"/>
              <w:rPr>
                <w:sz w:val="20"/>
              </w:rPr>
            </w:pPr>
            <w:r>
              <w:rPr>
                <w:spacing w:val="-2"/>
                <w:sz w:val="20"/>
              </w:rPr>
              <w:t>хирургическое лечение</w:t>
            </w:r>
          </w:p>
        </w:tc>
        <w:tc>
          <w:tcPr>
            <w:tcW w:w="3938" w:type="dxa"/>
          </w:tcPr>
          <w:p>
            <w:pPr>
              <w:pStyle w:val="TableParagraph"/>
              <w:spacing w:line="249" w:lineRule="auto" w:before="60"/>
              <w:ind w:left="101" w:right="290"/>
              <w:rPr>
                <w:sz w:val="20"/>
              </w:rPr>
            </w:pPr>
            <w:r>
              <w:rPr>
                <w:sz w:val="20"/>
              </w:rPr>
              <w:t>трансплантация</w:t>
            </w:r>
            <w:r>
              <w:rPr>
                <w:spacing w:val="-13"/>
                <w:sz w:val="20"/>
              </w:rPr>
              <w:t> </w:t>
            </w:r>
            <w:r>
              <w:rPr>
                <w:sz w:val="20"/>
              </w:rPr>
              <w:t>панкреатодуоденального комплекса и почки</w:t>
            </w:r>
          </w:p>
        </w:tc>
        <w:tc>
          <w:tcPr>
            <w:tcW w:w="1052" w:type="dxa"/>
          </w:tcPr>
          <w:p>
            <w:pPr>
              <w:pStyle w:val="TableParagraph"/>
              <w:rPr>
                <w:sz w:val="18"/>
              </w:rPr>
            </w:pPr>
          </w:p>
        </w:tc>
      </w:tr>
      <w:tr>
        <w:trPr>
          <w:trHeight w:val="650" w:hRule="atLeast"/>
        </w:trPr>
        <w:tc>
          <w:tcPr>
            <w:tcW w:w="458" w:type="dxa"/>
          </w:tcPr>
          <w:p>
            <w:pPr>
              <w:pStyle w:val="TableParagraph"/>
              <w:rPr>
                <w:sz w:val="18"/>
              </w:rPr>
            </w:pPr>
          </w:p>
        </w:tc>
        <w:tc>
          <w:tcPr>
            <w:tcW w:w="2805" w:type="dxa"/>
            <w:vMerge/>
            <w:tcBorders>
              <w:top w:val="nil"/>
            </w:tcBorders>
          </w:tcPr>
          <w:p>
            <w:pPr>
              <w:rPr>
                <w:sz w:val="2"/>
                <w:szCs w:val="2"/>
              </w:rPr>
            </w:pPr>
          </w:p>
        </w:tc>
        <w:tc>
          <w:tcPr>
            <w:tcW w:w="2025" w:type="dxa"/>
          </w:tcPr>
          <w:p>
            <w:pPr>
              <w:pStyle w:val="TableParagraph"/>
              <w:rPr>
                <w:sz w:val="18"/>
              </w:rPr>
            </w:pPr>
          </w:p>
        </w:tc>
        <w:tc>
          <w:tcPr>
            <w:tcW w:w="3431" w:type="dxa"/>
            <w:vMerge/>
            <w:tcBorders>
              <w:top w:val="nil"/>
            </w:tcBorders>
          </w:tcPr>
          <w:p>
            <w:pPr>
              <w:rPr>
                <w:sz w:val="2"/>
                <w:szCs w:val="2"/>
              </w:rPr>
            </w:pPr>
          </w:p>
        </w:tc>
        <w:tc>
          <w:tcPr>
            <w:tcW w:w="1436" w:type="dxa"/>
          </w:tcPr>
          <w:p>
            <w:pPr>
              <w:pStyle w:val="TableParagraph"/>
              <w:rPr>
                <w:sz w:val="18"/>
              </w:rPr>
            </w:pPr>
          </w:p>
        </w:tc>
        <w:tc>
          <w:tcPr>
            <w:tcW w:w="3938" w:type="dxa"/>
          </w:tcPr>
          <w:p>
            <w:pPr>
              <w:pStyle w:val="TableParagraph"/>
              <w:spacing w:line="249" w:lineRule="auto" w:before="60"/>
              <w:ind w:left="101" w:right="115"/>
              <w:rPr>
                <w:sz w:val="20"/>
              </w:rPr>
            </w:pPr>
            <w:r>
              <w:rPr>
                <w:sz w:val="20"/>
              </w:rPr>
              <w:t>трансплантация</w:t>
            </w:r>
            <w:r>
              <w:rPr>
                <w:spacing w:val="-13"/>
                <w:sz w:val="20"/>
              </w:rPr>
              <w:t> </w:t>
            </w:r>
            <w:r>
              <w:rPr>
                <w:sz w:val="20"/>
              </w:rPr>
              <w:t>дистального</w:t>
            </w:r>
            <w:r>
              <w:rPr>
                <w:spacing w:val="-12"/>
                <w:sz w:val="20"/>
              </w:rPr>
              <w:t> </w:t>
            </w:r>
            <w:r>
              <w:rPr>
                <w:sz w:val="20"/>
              </w:rPr>
              <w:t>фрагмента поджелудочной железы и почки</w:t>
            </w:r>
          </w:p>
        </w:tc>
        <w:tc>
          <w:tcPr>
            <w:tcW w:w="1052"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5"/>
        <w:gridCol w:w="2294"/>
        <w:gridCol w:w="3363"/>
        <w:gridCol w:w="1434"/>
        <w:gridCol w:w="3722"/>
      </w:tblGrid>
      <w:tr>
        <w:trPr>
          <w:trHeight w:val="290" w:hRule="atLeast"/>
        </w:trPr>
        <w:tc>
          <w:tcPr>
            <w:tcW w:w="2495" w:type="dxa"/>
            <w:vMerge w:val="restart"/>
          </w:tcPr>
          <w:p>
            <w:pPr>
              <w:pStyle w:val="TableParagraph"/>
              <w:spacing w:line="249" w:lineRule="auto"/>
              <w:ind w:left="50" w:right="397"/>
              <w:rPr>
                <w:sz w:val="20"/>
              </w:rPr>
            </w:pPr>
            <w:r>
              <w:rPr>
                <w:sz w:val="20"/>
              </w:rPr>
              <w:t>Трансплантация</w:t>
            </w:r>
            <w:r>
              <w:rPr>
                <w:spacing w:val="-13"/>
                <w:sz w:val="20"/>
              </w:rPr>
              <w:t> </w:t>
            </w:r>
            <w:r>
              <w:rPr>
                <w:sz w:val="20"/>
              </w:rPr>
              <w:t>тонкой </w:t>
            </w:r>
            <w:r>
              <w:rPr>
                <w:spacing w:val="-2"/>
                <w:sz w:val="20"/>
              </w:rPr>
              <w:t>кишки</w:t>
            </w:r>
          </w:p>
        </w:tc>
        <w:tc>
          <w:tcPr>
            <w:tcW w:w="2294" w:type="dxa"/>
            <w:vMerge w:val="restart"/>
          </w:tcPr>
          <w:p>
            <w:pPr>
              <w:pStyle w:val="TableParagraph"/>
              <w:spacing w:line="249" w:lineRule="auto"/>
              <w:ind w:left="831" w:hanging="411"/>
              <w:rPr>
                <w:sz w:val="20"/>
              </w:rPr>
            </w:pPr>
            <w:r>
              <w:rPr>
                <w:sz w:val="20"/>
              </w:rPr>
              <w:t>K52.8,</w:t>
            </w:r>
            <w:r>
              <w:rPr>
                <w:spacing w:val="-13"/>
                <w:sz w:val="20"/>
              </w:rPr>
              <w:t> </w:t>
            </w:r>
            <w:r>
              <w:rPr>
                <w:sz w:val="20"/>
              </w:rPr>
              <w:t>K63.8,</w:t>
            </w:r>
            <w:r>
              <w:rPr>
                <w:spacing w:val="-12"/>
                <w:sz w:val="20"/>
              </w:rPr>
              <w:t> </w:t>
            </w:r>
            <w:r>
              <w:rPr>
                <w:sz w:val="20"/>
              </w:rPr>
              <w:t>K91.2, Q41, T86.8</w:t>
            </w:r>
          </w:p>
        </w:tc>
        <w:tc>
          <w:tcPr>
            <w:tcW w:w="3363" w:type="dxa"/>
            <w:vMerge w:val="restart"/>
          </w:tcPr>
          <w:p>
            <w:pPr>
              <w:pStyle w:val="TableParagraph"/>
              <w:spacing w:line="249" w:lineRule="auto"/>
              <w:ind w:left="121"/>
              <w:rPr>
                <w:sz w:val="20"/>
              </w:rPr>
            </w:pPr>
            <w:r>
              <w:rPr>
                <w:sz w:val="20"/>
              </w:rPr>
              <w:t>другие</w:t>
            </w:r>
            <w:r>
              <w:rPr>
                <w:spacing w:val="-13"/>
                <w:sz w:val="20"/>
              </w:rPr>
              <w:t> </w:t>
            </w:r>
            <w:r>
              <w:rPr>
                <w:sz w:val="20"/>
              </w:rPr>
              <w:t>уточненные</w:t>
            </w:r>
            <w:r>
              <w:rPr>
                <w:spacing w:val="-12"/>
                <w:sz w:val="20"/>
              </w:rPr>
              <w:t> </w:t>
            </w:r>
            <w:r>
              <w:rPr>
                <w:sz w:val="20"/>
              </w:rPr>
              <w:t>неинфекционные гастроэнтериты и колиты. Другие уточненные болезни кишечника.</w:t>
            </w:r>
          </w:p>
          <w:p>
            <w:pPr>
              <w:pStyle w:val="TableParagraph"/>
              <w:spacing w:line="249" w:lineRule="auto"/>
              <w:ind w:left="121" w:right="333"/>
              <w:rPr>
                <w:sz w:val="20"/>
              </w:rPr>
            </w:pPr>
            <w:r>
              <w:rPr>
                <w:sz w:val="20"/>
              </w:rPr>
              <w:t>Нарушение всасывания после хирургического вмешательства, не</w:t>
            </w:r>
            <w:r>
              <w:rPr>
                <w:spacing w:val="-13"/>
                <w:sz w:val="20"/>
              </w:rPr>
              <w:t> </w:t>
            </w:r>
            <w:r>
              <w:rPr>
                <w:sz w:val="20"/>
              </w:rPr>
              <w:t>классифицированное</w:t>
            </w:r>
            <w:r>
              <w:rPr>
                <w:spacing w:val="-12"/>
                <w:sz w:val="20"/>
              </w:rPr>
              <w:t> </w:t>
            </w:r>
            <w:r>
              <w:rPr>
                <w:sz w:val="20"/>
              </w:rPr>
              <w:t>в</w:t>
            </w:r>
            <w:r>
              <w:rPr>
                <w:spacing w:val="-13"/>
                <w:sz w:val="20"/>
              </w:rPr>
              <w:t> </w:t>
            </w:r>
            <w:r>
              <w:rPr>
                <w:sz w:val="20"/>
              </w:rPr>
              <w:t>других</w:t>
            </w:r>
          </w:p>
          <w:p>
            <w:pPr>
              <w:pStyle w:val="TableParagraph"/>
              <w:spacing w:line="249" w:lineRule="auto"/>
              <w:ind w:left="121"/>
              <w:rPr>
                <w:sz w:val="20"/>
              </w:rPr>
            </w:pPr>
            <w:r>
              <w:rPr>
                <w:sz w:val="20"/>
              </w:rPr>
              <w:t>рубриках. Врожденные отсутствие, атрезия</w:t>
            </w:r>
            <w:r>
              <w:rPr>
                <w:spacing w:val="-11"/>
                <w:sz w:val="20"/>
              </w:rPr>
              <w:t> </w:t>
            </w:r>
            <w:r>
              <w:rPr>
                <w:sz w:val="20"/>
              </w:rPr>
              <w:t>и</w:t>
            </w:r>
            <w:r>
              <w:rPr>
                <w:spacing w:val="-11"/>
                <w:sz w:val="20"/>
              </w:rPr>
              <w:t> </w:t>
            </w:r>
            <w:r>
              <w:rPr>
                <w:sz w:val="20"/>
              </w:rPr>
              <w:t>стеноз</w:t>
            </w:r>
            <w:r>
              <w:rPr>
                <w:spacing w:val="-10"/>
                <w:sz w:val="20"/>
              </w:rPr>
              <w:t> </w:t>
            </w:r>
            <w:r>
              <w:rPr>
                <w:sz w:val="20"/>
              </w:rPr>
              <w:t>тонкого</w:t>
            </w:r>
            <w:r>
              <w:rPr>
                <w:spacing w:val="-9"/>
                <w:sz w:val="20"/>
              </w:rPr>
              <w:t> </w:t>
            </w:r>
            <w:r>
              <w:rPr>
                <w:sz w:val="20"/>
              </w:rPr>
              <w:t>кишечника. Отмирание и отторжение других пересаженных органов тканей (заболевания кишечника с энтеральной недостаточностью)</w:t>
            </w:r>
          </w:p>
        </w:tc>
        <w:tc>
          <w:tcPr>
            <w:tcW w:w="1434" w:type="dxa"/>
            <w:vMerge w:val="restart"/>
          </w:tcPr>
          <w:p>
            <w:pPr>
              <w:pStyle w:val="TableParagraph"/>
              <w:spacing w:line="249" w:lineRule="auto"/>
              <w:ind w:left="66"/>
              <w:rPr>
                <w:sz w:val="20"/>
              </w:rPr>
            </w:pPr>
            <w:r>
              <w:rPr>
                <w:spacing w:val="-2"/>
                <w:sz w:val="20"/>
              </w:rPr>
              <w:t>хирургическое лечение</w:t>
            </w:r>
          </w:p>
        </w:tc>
        <w:tc>
          <w:tcPr>
            <w:tcW w:w="3722" w:type="dxa"/>
          </w:tcPr>
          <w:p>
            <w:pPr>
              <w:pStyle w:val="TableParagraph"/>
              <w:spacing w:line="221" w:lineRule="exact"/>
              <w:ind w:left="106"/>
              <w:rPr>
                <w:sz w:val="20"/>
              </w:rPr>
            </w:pPr>
            <w:r>
              <w:rPr>
                <w:sz w:val="20"/>
              </w:rPr>
              <w:t>трансплантация</w:t>
            </w:r>
            <w:r>
              <w:rPr>
                <w:spacing w:val="-10"/>
                <w:sz w:val="20"/>
              </w:rPr>
              <w:t> </w:t>
            </w:r>
            <w:r>
              <w:rPr>
                <w:sz w:val="20"/>
              </w:rPr>
              <w:t>тонкой</w:t>
            </w:r>
            <w:r>
              <w:rPr>
                <w:spacing w:val="-11"/>
                <w:sz w:val="20"/>
              </w:rPr>
              <w:t> </w:t>
            </w:r>
            <w:r>
              <w:rPr>
                <w:spacing w:val="-2"/>
                <w:sz w:val="20"/>
              </w:rPr>
              <w:t>кишки</w:t>
            </w:r>
          </w:p>
        </w:tc>
      </w:tr>
      <w:tr>
        <w:trPr>
          <w:trHeight w:val="2640" w:hRule="atLeast"/>
        </w:trPr>
        <w:tc>
          <w:tcPr>
            <w:tcW w:w="2495" w:type="dxa"/>
            <w:vMerge/>
            <w:tcBorders>
              <w:top w:val="nil"/>
            </w:tcBorders>
          </w:tcPr>
          <w:p>
            <w:pPr>
              <w:rPr>
                <w:sz w:val="2"/>
                <w:szCs w:val="2"/>
              </w:rPr>
            </w:pPr>
          </w:p>
        </w:tc>
        <w:tc>
          <w:tcPr>
            <w:tcW w:w="2294" w:type="dxa"/>
            <w:vMerge/>
            <w:tcBorders>
              <w:top w:val="nil"/>
            </w:tcBorders>
          </w:tcPr>
          <w:p>
            <w:pPr>
              <w:rPr>
                <w:sz w:val="2"/>
                <w:szCs w:val="2"/>
              </w:rPr>
            </w:pPr>
          </w:p>
        </w:tc>
        <w:tc>
          <w:tcPr>
            <w:tcW w:w="3363" w:type="dxa"/>
            <w:vMerge/>
            <w:tcBorders>
              <w:top w:val="nil"/>
            </w:tcBorders>
          </w:tcPr>
          <w:p>
            <w:pPr>
              <w:rPr>
                <w:sz w:val="2"/>
                <w:szCs w:val="2"/>
              </w:rPr>
            </w:pPr>
          </w:p>
        </w:tc>
        <w:tc>
          <w:tcPr>
            <w:tcW w:w="1434" w:type="dxa"/>
            <w:vMerge/>
            <w:tcBorders>
              <w:top w:val="nil"/>
            </w:tcBorders>
          </w:tcPr>
          <w:p>
            <w:pPr>
              <w:rPr>
                <w:sz w:val="2"/>
                <w:szCs w:val="2"/>
              </w:rPr>
            </w:pPr>
          </w:p>
        </w:tc>
        <w:tc>
          <w:tcPr>
            <w:tcW w:w="3722" w:type="dxa"/>
          </w:tcPr>
          <w:p>
            <w:pPr>
              <w:pStyle w:val="TableParagraph"/>
              <w:spacing w:before="60"/>
              <w:ind w:left="106"/>
              <w:rPr>
                <w:sz w:val="20"/>
              </w:rPr>
            </w:pPr>
            <w:r>
              <w:rPr>
                <w:sz w:val="20"/>
              </w:rPr>
              <w:t>трансплантация</w:t>
            </w:r>
            <w:r>
              <w:rPr>
                <w:spacing w:val="-11"/>
                <w:sz w:val="20"/>
              </w:rPr>
              <w:t> </w:t>
            </w:r>
            <w:r>
              <w:rPr>
                <w:sz w:val="20"/>
              </w:rPr>
              <w:t>фрагмента</w:t>
            </w:r>
            <w:r>
              <w:rPr>
                <w:spacing w:val="-10"/>
                <w:sz w:val="20"/>
              </w:rPr>
              <w:t> </w:t>
            </w:r>
            <w:r>
              <w:rPr>
                <w:sz w:val="20"/>
              </w:rPr>
              <w:t>тонкой</w:t>
            </w:r>
            <w:r>
              <w:rPr>
                <w:spacing w:val="-10"/>
                <w:sz w:val="20"/>
              </w:rPr>
              <w:t> </w:t>
            </w:r>
            <w:r>
              <w:rPr>
                <w:spacing w:val="-4"/>
                <w:sz w:val="20"/>
              </w:rPr>
              <w:t>кишки</w:t>
            </w:r>
          </w:p>
        </w:tc>
      </w:tr>
      <w:tr>
        <w:trPr>
          <w:trHeight w:val="4611" w:hRule="atLeast"/>
        </w:trPr>
        <w:tc>
          <w:tcPr>
            <w:tcW w:w="2495" w:type="dxa"/>
          </w:tcPr>
          <w:p>
            <w:pPr>
              <w:pStyle w:val="TableParagraph"/>
              <w:spacing w:before="60"/>
              <w:ind w:left="50"/>
              <w:rPr>
                <w:sz w:val="20"/>
              </w:rPr>
            </w:pPr>
            <w:r>
              <w:rPr>
                <w:w w:val="95"/>
                <w:sz w:val="20"/>
              </w:rPr>
              <w:t>Трансплантация</w:t>
            </w:r>
            <w:r>
              <w:rPr>
                <w:spacing w:val="54"/>
                <w:sz w:val="20"/>
              </w:rPr>
              <w:t> </w:t>
            </w:r>
            <w:r>
              <w:rPr>
                <w:spacing w:val="-2"/>
                <w:sz w:val="20"/>
              </w:rPr>
              <w:t>легких</w:t>
            </w:r>
          </w:p>
        </w:tc>
        <w:tc>
          <w:tcPr>
            <w:tcW w:w="2294" w:type="dxa"/>
          </w:tcPr>
          <w:p>
            <w:pPr>
              <w:pStyle w:val="TableParagraph"/>
              <w:spacing w:line="249" w:lineRule="auto" w:before="60"/>
              <w:ind w:left="406" w:right="121"/>
              <w:jc w:val="center"/>
              <w:rPr>
                <w:sz w:val="20"/>
              </w:rPr>
            </w:pPr>
            <w:r>
              <w:rPr>
                <w:sz w:val="20"/>
              </w:rPr>
              <w:t>J43.9,</w:t>
            </w:r>
            <w:r>
              <w:rPr>
                <w:spacing w:val="-12"/>
                <w:sz w:val="20"/>
              </w:rPr>
              <w:t> </w:t>
            </w:r>
            <w:r>
              <w:rPr>
                <w:sz w:val="20"/>
              </w:rPr>
              <w:t>J44.9,</w:t>
            </w:r>
            <w:r>
              <w:rPr>
                <w:spacing w:val="-12"/>
                <w:sz w:val="20"/>
              </w:rPr>
              <w:t> </w:t>
            </w:r>
            <w:r>
              <w:rPr>
                <w:sz w:val="20"/>
              </w:rPr>
              <w:t>J47,</w:t>
            </w:r>
            <w:r>
              <w:rPr>
                <w:spacing w:val="-12"/>
                <w:sz w:val="20"/>
              </w:rPr>
              <w:t> </w:t>
            </w:r>
            <w:r>
              <w:rPr>
                <w:sz w:val="20"/>
              </w:rPr>
              <w:t>J84, J98.4, E84.0, E84.9, I27.0, I28.9, T86.8</w:t>
            </w:r>
          </w:p>
        </w:tc>
        <w:tc>
          <w:tcPr>
            <w:tcW w:w="3363" w:type="dxa"/>
          </w:tcPr>
          <w:p>
            <w:pPr>
              <w:pStyle w:val="TableParagraph"/>
              <w:spacing w:line="249" w:lineRule="auto" w:before="60"/>
              <w:ind w:left="121"/>
              <w:rPr>
                <w:sz w:val="20"/>
              </w:rPr>
            </w:pPr>
            <w:r>
              <w:rPr>
                <w:sz w:val="20"/>
              </w:rPr>
              <w:t>эмфизема неуточненная. Интерстициальная</w:t>
            </w:r>
            <w:r>
              <w:rPr>
                <w:spacing w:val="-13"/>
                <w:sz w:val="20"/>
              </w:rPr>
              <w:t> </w:t>
            </w:r>
            <w:r>
              <w:rPr>
                <w:sz w:val="20"/>
              </w:rPr>
              <w:t>легочная</w:t>
            </w:r>
            <w:r>
              <w:rPr>
                <w:spacing w:val="-12"/>
                <w:sz w:val="20"/>
              </w:rPr>
              <w:t> </w:t>
            </w:r>
            <w:r>
              <w:rPr>
                <w:sz w:val="20"/>
              </w:rPr>
              <w:t>болезнь неуточненная. Хроническая обструктивная легочная болезнь неуточненная. Бронхоэктатическая болезнь (бронхоэктаз).</w:t>
            </w:r>
          </w:p>
          <w:p>
            <w:pPr>
              <w:pStyle w:val="TableParagraph"/>
              <w:spacing w:line="249" w:lineRule="auto" w:before="6"/>
              <w:ind w:left="121" w:right="79"/>
              <w:rPr>
                <w:sz w:val="20"/>
              </w:rPr>
            </w:pPr>
            <w:r>
              <w:rPr>
                <w:sz w:val="20"/>
              </w:rPr>
              <w:t>Интерстициальная</w:t>
            </w:r>
            <w:r>
              <w:rPr>
                <w:spacing w:val="-7"/>
                <w:sz w:val="20"/>
              </w:rPr>
              <w:t> </w:t>
            </w:r>
            <w:r>
              <w:rPr>
                <w:sz w:val="20"/>
              </w:rPr>
              <w:t>легочная</w:t>
            </w:r>
            <w:r>
              <w:rPr>
                <w:spacing w:val="-4"/>
                <w:sz w:val="20"/>
              </w:rPr>
              <w:t> </w:t>
            </w:r>
            <w:r>
              <w:rPr>
                <w:sz w:val="20"/>
              </w:rPr>
              <w:t>болезнь неуточненная. Другие интерстициальные легочные болезни. Другие интерстициальные легочные болезни с упоминанием о фиброзе.</w:t>
            </w:r>
            <w:r>
              <w:rPr>
                <w:spacing w:val="-13"/>
                <w:sz w:val="20"/>
              </w:rPr>
              <w:t> </w:t>
            </w:r>
            <w:r>
              <w:rPr>
                <w:sz w:val="20"/>
              </w:rPr>
              <w:t>Другие</w:t>
            </w:r>
            <w:r>
              <w:rPr>
                <w:spacing w:val="-12"/>
                <w:sz w:val="20"/>
              </w:rPr>
              <w:t> </w:t>
            </w:r>
            <w:r>
              <w:rPr>
                <w:sz w:val="20"/>
              </w:rPr>
              <w:t>поражения</w:t>
            </w:r>
            <w:r>
              <w:rPr>
                <w:spacing w:val="-13"/>
                <w:sz w:val="20"/>
              </w:rPr>
              <w:t> </w:t>
            </w:r>
            <w:r>
              <w:rPr>
                <w:sz w:val="20"/>
              </w:rPr>
              <w:t>легкого. Кистозный фиброз с легочными проявлениями. Кистозный фиброз неуточненный. Первичная легочная гипертензия. Болезнь легочных сосудов</w:t>
            </w:r>
            <w:r>
              <w:rPr>
                <w:spacing w:val="-3"/>
                <w:sz w:val="20"/>
              </w:rPr>
              <w:t> </w:t>
            </w:r>
            <w:r>
              <w:rPr>
                <w:sz w:val="20"/>
              </w:rPr>
              <w:t>неуточненная.</w:t>
            </w:r>
            <w:r>
              <w:rPr>
                <w:spacing w:val="-2"/>
                <w:sz w:val="20"/>
              </w:rPr>
              <w:t> </w:t>
            </w:r>
            <w:r>
              <w:rPr>
                <w:sz w:val="20"/>
              </w:rPr>
              <w:t>Отмирание и отторжение других пересаженных</w:t>
            </w:r>
          </w:p>
          <w:p>
            <w:pPr>
              <w:pStyle w:val="TableParagraph"/>
              <w:spacing w:line="210" w:lineRule="exact" w:before="10"/>
              <w:ind w:left="121"/>
              <w:rPr>
                <w:sz w:val="20"/>
              </w:rPr>
            </w:pPr>
            <w:r>
              <w:rPr>
                <w:sz w:val="20"/>
              </w:rPr>
              <w:t>органов</w:t>
            </w:r>
            <w:r>
              <w:rPr>
                <w:spacing w:val="-5"/>
                <w:sz w:val="20"/>
              </w:rPr>
              <w:t> </w:t>
            </w:r>
            <w:r>
              <w:rPr>
                <w:sz w:val="20"/>
              </w:rPr>
              <w:t>и</w:t>
            </w:r>
            <w:r>
              <w:rPr>
                <w:spacing w:val="-5"/>
                <w:sz w:val="20"/>
              </w:rPr>
              <w:t> </w:t>
            </w:r>
            <w:r>
              <w:rPr>
                <w:spacing w:val="-2"/>
                <w:sz w:val="20"/>
              </w:rPr>
              <w:t>тканей</w:t>
            </w:r>
          </w:p>
        </w:tc>
        <w:tc>
          <w:tcPr>
            <w:tcW w:w="1434" w:type="dxa"/>
          </w:tcPr>
          <w:p>
            <w:pPr>
              <w:pStyle w:val="TableParagraph"/>
              <w:spacing w:line="249" w:lineRule="auto" w:before="60"/>
              <w:ind w:left="66"/>
              <w:rPr>
                <w:sz w:val="20"/>
              </w:rPr>
            </w:pPr>
            <w:r>
              <w:rPr>
                <w:spacing w:val="-2"/>
                <w:sz w:val="20"/>
              </w:rPr>
              <w:t>хирургическое лечение</w:t>
            </w:r>
          </w:p>
        </w:tc>
        <w:tc>
          <w:tcPr>
            <w:tcW w:w="3722" w:type="dxa"/>
          </w:tcPr>
          <w:p>
            <w:pPr>
              <w:pStyle w:val="TableParagraph"/>
              <w:spacing w:before="60"/>
              <w:ind w:left="106"/>
              <w:rPr>
                <w:sz w:val="20"/>
              </w:rPr>
            </w:pPr>
            <w:r>
              <w:rPr>
                <w:spacing w:val="-2"/>
                <w:sz w:val="20"/>
              </w:rPr>
              <w:t>трансплантация</w:t>
            </w:r>
            <w:r>
              <w:rPr>
                <w:spacing w:val="14"/>
                <w:sz w:val="20"/>
              </w:rPr>
              <w:t> </w:t>
            </w:r>
            <w:r>
              <w:rPr>
                <w:spacing w:val="-2"/>
                <w:sz w:val="20"/>
              </w:rPr>
              <w:t>легких</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574"/>
        <w:gridCol w:w="2346"/>
        <w:gridCol w:w="3341"/>
        <w:gridCol w:w="1427"/>
        <w:gridCol w:w="3878"/>
        <w:gridCol w:w="1123"/>
      </w:tblGrid>
      <w:tr>
        <w:trPr>
          <w:trHeight w:val="770" w:hRule="atLeast"/>
        </w:trPr>
        <w:tc>
          <w:tcPr>
            <w:tcW w:w="458" w:type="dxa"/>
          </w:tcPr>
          <w:p>
            <w:pPr>
              <w:pStyle w:val="TableParagraph"/>
              <w:spacing w:line="221" w:lineRule="exact"/>
              <w:ind w:left="50"/>
              <w:rPr>
                <w:sz w:val="20"/>
              </w:rPr>
            </w:pPr>
            <w:r>
              <w:rPr>
                <w:spacing w:val="-5"/>
                <w:sz w:val="20"/>
              </w:rPr>
              <w:t>76.</w:t>
            </w:r>
          </w:p>
        </w:tc>
        <w:tc>
          <w:tcPr>
            <w:tcW w:w="2574" w:type="dxa"/>
          </w:tcPr>
          <w:p>
            <w:pPr>
              <w:pStyle w:val="TableParagraph"/>
              <w:spacing w:line="221" w:lineRule="exact"/>
              <w:ind w:left="155"/>
              <w:rPr>
                <w:sz w:val="20"/>
              </w:rPr>
            </w:pPr>
            <w:r>
              <w:rPr>
                <w:w w:val="95"/>
                <w:sz w:val="20"/>
              </w:rPr>
              <w:t>Трансплантация</w:t>
            </w:r>
            <w:r>
              <w:rPr>
                <w:spacing w:val="54"/>
                <w:sz w:val="20"/>
              </w:rPr>
              <w:t> </w:t>
            </w:r>
            <w:r>
              <w:rPr>
                <w:spacing w:val="-2"/>
                <w:sz w:val="20"/>
              </w:rPr>
              <w:t>сердца</w:t>
            </w:r>
          </w:p>
        </w:tc>
        <w:tc>
          <w:tcPr>
            <w:tcW w:w="2346" w:type="dxa"/>
          </w:tcPr>
          <w:p>
            <w:pPr>
              <w:pStyle w:val="TableParagraph"/>
              <w:spacing w:line="221" w:lineRule="exact"/>
              <w:ind w:left="380"/>
              <w:rPr>
                <w:sz w:val="20"/>
              </w:rPr>
            </w:pPr>
            <w:r>
              <w:rPr>
                <w:sz w:val="20"/>
              </w:rPr>
              <w:t>I25.3,</w:t>
            </w:r>
            <w:r>
              <w:rPr>
                <w:spacing w:val="-5"/>
                <w:sz w:val="20"/>
              </w:rPr>
              <w:t> </w:t>
            </w:r>
            <w:r>
              <w:rPr>
                <w:sz w:val="20"/>
              </w:rPr>
              <w:t>I25.5,</w:t>
            </w:r>
            <w:r>
              <w:rPr>
                <w:spacing w:val="-7"/>
                <w:sz w:val="20"/>
              </w:rPr>
              <w:t> </w:t>
            </w:r>
            <w:r>
              <w:rPr>
                <w:sz w:val="20"/>
              </w:rPr>
              <w:t>I42,</w:t>
            </w:r>
            <w:r>
              <w:rPr>
                <w:spacing w:val="-6"/>
                <w:sz w:val="20"/>
              </w:rPr>
              <w:t> </w:t>
            </w:r>
            <w:r>
              <w:rPr>
                <w:spacing w:val="-4"/>
                <w:sz w:val="20"/>
              </w:rPr>
              <w:t>T86.2</w:t>
            </w:r>
          </w:p>
        </w:tc>
        <w:tc>
          <w:tcPr>
            <w:tcW w:w="3341" w:type="dxa"/>
          </w:tcPr>
          <w:p>
            <w:pPr>
              <w:pStyle w:val="TableParagraph"/>
              <w:spacing w:line="249" w:lineRule="auto"/>
              <w:ind w:left="96" w:right="230"/>
              <w:rPr>
                <w:sz w:val="20"/>
              </w:rPr>
            </w:pPr>
            <w:r>
              <w:rPr>
                <w:sz w:val="20"/>
              </w:rPr>
              <w:t>аневризма сердца. Ишемическая кардиомиопатия.</w:t>
            </w:r>
            <w:r>
              <w:rPr>
                <w:spacing w:val="-13"/>
                <w:sz w:val="20"/>
              </w:rPr>
              <w:t> </w:t>
            </w:r>
            <w:r>
              <w:rPr>
                <w:sz w:val="20"/>
              </w:rPr>
              <w:t>Кардиомиопатия. Дилатационная кардиомиопатия.</w:t>
            </w:r>
          </w:p>
        </w:tc>
        <w:tc>
          <w:tcPr>
            <w:tcW w:w="1427" w:type="dxa"/>
          </w:tcPr>
          <w:p>
            <w:pPr>
              <w:pStyle w:val="TableParagraph"/>
              <w:spacing w:line="249" w:lineRule="auto"/>
              <w:ind w:left="63"/>
              <w:rPr>
                <w:sz w:val="20"/>
              </w:rPr>
            </w:pPr>
            <w:r>
              <w:rPr>
                <w:spacing w:val="-2"/>
                <w:sz w:val="20"/>
              </w:rPr>
              <w:t>хирургическое лечение</w:t>
            </w:r>
          </w:p>
        </w:tc>
        <w:tc>
          <w:tcPr>
            <w:tcW w:w="3878" w:type="dxa"/>
          </w:tcPr>
          <w:p>
            <w:pPr>
              <w:pStyle w:val="TableParagraph"/>
              <w:spacing w:line="221" w:lineRule="exact"/>
              <w:ind w:left="110"/>
              <w:rPr>
                <w:sz w:val="20"/>
              </w:rPr>
            </w:pPr>
            <w:r>
              <w:rPr>
                <w:w w:val="95"/>
                <w:sz w:val="20"/>
              </w:rPr>
              <w:t>ортотопическая</w:t>
            </w:r>
            <w:r>
              <w:rPr>
                <w:spacing w:val="55"/>
                <w:sz w:val="20"/>
              </w:rPr>
              <w:t> </w:t>
            </w:r>
            <w:r>
              <w:rPr>
                <w:w w:val="95"/>
                <w:sz w:val="20"/>
              </w:rPr>
              <w:t>трансплантация</w:t>
            </w:r>
            <w:r>
              <w:rPr>
                <w:spacing w:val="49"/>
                <w:sz w:val="20"/>
              </w:rPr>
              <w:t> </w:t>
            </w:r>
            <w:r>
              <w:rPr>
                <w:spacing w:val="-2"/>
                <w:w w:val="95"/>
                <w:sz w:val="20"/>
              </w:rPr>
              <w:t>сердца</w:t>
            </w:r>
          </w:p>
        </w:tc>
        <w:tc>
          <w:tcPr>
            <w:tcW w:w="1123" w:type="dxa"/>
          </w:tcPr>
          <w:p>
            <w:pPr>
              <w:pStyle w:val="TableParagraph"/>
              <w:spacing w:line="221" w:lineRule="exact"/>
              <w:ind w:left="375"/>
              <w:rPr>
                <w:sz w:val="20"/>
              </w:rPr>
            </w:pPr>
            <w:r>
              <w:rPr>
                <w:spacing w:val="-2"/>
                <w:sz w:val="20"/>
              </w:rPr>
              <w:t>1317341</w:t>
            </w:r>
          </w:p>
        </w:tc>
      </w:tr>
      <w:tr>
        <w:trPr>
          <w:trHeight w:val="180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tcPr>
          <w:p>
            <w:pPr>
              <w:pStyle w:val="TableParagraph"/>
              <w:spacing w:line="249" w:lineRule="auto" w:before="60"/>
              <w:ind w:left="96" w:right="230"/>
              <w:rPr>
                <w:sz w:val="20"/>
              </w:rPr>
            </w:pPr>
            <w:r>
              <w:rPr>
                <w:sz w:val="20"/>
              </w:rPr>
              <w:t>Другая рестриктивная кардиомиопатия. Другие кардиомиопатии. Отмирание и отторжение</w:t>
            </w:r>
            <w:r>
              <w:rPr>
                <w:spacing w:val="-13"/>
                <w:sz w:val="20"/>
              </w:rPr>
              <w:t> </w:t>
            </w:r>
            <w:r>
              <w:rPr>
                <w:sz w:val="20"/>
              </w:rPr>
              <w:t>трансплантата</w:t>
            </w:r>
            <w:r>
              <w:rPr>
                <w:spacing w:val="-12"/>
                <w:sz w:val="20"/>
              </w:rPr>
              <w:t> </w:t>
            </w:r>
            <w:r>
              <w:rPr>
                <w:sz w:val="20"/>
              </w:rPr>
              <w:t>сердца (сердечная недостаточность</w:t>
            </w:r>
          </w:p>
          <w:p>
            <w:pPr>
              <w:pStyle w:val="TableParagraph"/>
              <w:spacing w:line="249" w:lineRule="auto" w:before="5"/>
              <w:ind w:left="96" w:right="230"/>
              <w:rPr>
                <w:sz w:val="20"/>
              </w:rPr>
            </w:pPr>
            <w:r>
              <w:rPr>
                <w:sz w:val="20"/>
              </w:rPr>
              <w:t>III,</w:t>
            </w:r>
            <w:r>
              <w:rPr>
                <w:spacing w:val="-12"/>
                <w:sz w:val="20"/>
              </w:rPr>
              <w:t> </w:t>
            </w:r>
            <w:r>
              <w:rPr>
                <w:sz w:val="20"/>
              </w:rPr>
              <w:t>IV</w:t>
            </w:r>
            <w:r>
              <w:rPr>
                <w:spacing w:val="-12"/>
                <w:sz w:val="20"/>
              </w:rPr>
              <w:t> </w:t>
            </w:r>
            <w:r>
              <w:rPr>
                <w:sz w:val="20"/>
              </w:rPr>
              <w:t>функционального</w:t>
            </w:r>
            <w:r>
              <w:rPr>
                <w:spacing w:val="-12"/>
                <w:sz w:val="20"/>
              </w:rPr>
              <w:t> </w:t>
            </w:r>
            <w:r>
              <w:rPr>
                <w:sz w:val="20"/>
              </w:rPr>
              <w:t>класса </w:t>
            </w:r>
            <w:r>
              <w:rPr>
                <w:spacing w:val="-2"/>
                <w:sz w:val="20"/>
              </w:rPr>
              <w:t>(NYHA))</w:t>
            </w:r>
          </w:p>
        </w:tc>
        <w:tc>
          <w:tcPr>
            <w:tcW w:w="1427" w:type="dxa"/>
          </w:tcPr>
          <w:p>
            <w:pPr>
              <w:pStyle w:val="TableParagraph"/>
              <w:rPr>
                <w:sz w:val="18"/>
              </w:rPr>
            </w:pPr>
          </w:p>
        </w:tc>
        <w:tc>
          <w:tcPr>
            <w:tcW w:w="3878" w:type="dxa"/>
          </w:tcPr>
          <w:p>
            <w:pPr>
              <w:pStyle w:val="TableParagraph"/>
              <w:rPr>
                <w:sz w:val="18"/>
              </w:rPr>
            </w:pPr>
          </w:p>
        </w:tc>
        <w:tc>
          <w:tcPr>
            <w:tcW w:w="1123" w:type="dxa"/>
          </w:tcPr>
          <w:p>
            <w:pPr>
              <w:pStyle w:val="TableParagraph"/>
              <w:rPr>
                <w:sz w:val="18"/>
              </w:rPr>
            </w:pPr>
          </w:p>
        </w:tc>
      </w:tr>
      <w:tr>
        <w:trPr>
          <w:trHeight w:val="360" w:hRule="atLeast"/>
        </w:trPr>
        <w:tc>
          <w:tcPr>
            <w:tcW w:w="458" w:type="dxa"/>
          </w:tcPr>
          <w:p>
            <w:pPr>
              <w:pStyle w:val="TableParagraph"/>
              <w:rPr>
                <w:sz w:val="18"/>
              </w:rPr>
            </w:pPr>
          </w:p>
        </w:tc>
        <w:tc>
          <w:tcPr>
            <w:tcW w:w="2574" w:type="dxa"/>
          </w:tcPr>
          <w:p>
            <w:pPr>
              <w:pStyle w:val="TableParagraph"/>
              <w:spacing w:before="60"/>
              <w:ind w:left="155"/>
              <w:rPr>
                <w:sz w:val="20"/>
              </w:rPr>
            </w:pPr>
            <w:r>
              <w:rPr>
                <w:w w:val="95"/>
                <w:sz w:val="20"/>
              </w:rPr>
              <w:t>Трансплантация</w:t>
            </w:r>
            <w:r>
              <w:rPr>
                <w:spacing w:val="54"/>
                <w:sz w:val="20"/>
              </w:rPr>
              <w:t> </w:t>
            </w:r>
            <w:r>
              <w:rPr>
                <w:spacing w:val="-2"/>
                <w:sz w:val="20"/>
              </w:rPr>
              <w:t>печени</w:t>
            </w:r>
          </w:p>
        </w:tc>
        <w:tc>
          <w:tcPr>
            <w:tcW w:w="2346" w:type="dxa"/>
            <w:vMerge w:val="restart"/>
          </w:tcPr>
          <w:p>
            <w:pPr>
              <w:pStyle w:val="TableParagraph"/>
              <w:spacing w:before="60"/>
              <w:ind w:left="437" w:right="155"/>
              <w:jc w:val="center"/>
              <w:rPr>
                <w:sz w:val="20"/>
              </w:rPr>
            </w:pPr>
            <w:r>
              <w:rPr>
                <w:sz w:val="20"/>
              </w:rPr>
              <w:t>K70.3,</w:t>
            </w:r>
            <w:r>
              <w:rPr>
                <w:spacing w:val="-4"/>
                <w:sz w:val="20"/>
              </w:rPr>
              <w:t> </w:t>
            </w:r>
            <w:r>
              <w:rPr>
                <w:sz w:val="20"/>
              </w:rPr>
              <w:t>K74.3,</w:t>
            </w:r>
            <w:r>
              <w:rPr>
                <w:spacing w:val="-5"/>
                <w:sz w:val="20"/>
              </w:rPr>
              <w:t> </w:t>
            </w:r>
            <w:r>
              <w:rPr>
                <w:spacing w:val="-2"/>
                <w:sz w:val="20"/>
              </w:rPr>
              <w:t>K74.4,</w:t>
            </w:r>
          </w:p>
          <w:p>
            <w:pPr>
              <w:pStyle w:val="TableParagraph"/>
              <w:spacing w:before="10"/>
              <w:ind w:left="437" w:right="155"/>
              <w:jc w:val="center"/>
              <w:rPr>
                <w:sz w:val="20"/>
              </w:rPr>
            </w:pPr>
            <w:r>
              <w:rPr>
                <w:sz w:val="20"/>
              </w:rPr>
              <w:t>K74.5,</w:t>
            </w:r>
            <w:r>
              <w:rPr>
                <w:spacing w:val="-4"/>
                <w:sz w:val="20"/>
              </w:rPr>
              <w:t> </w:t>
            </w:r>
            <w:r>
              <w:rPr>
                <w:sz w:val="20"/>
              </w:rPr>
              <w:t>K74.6,</w:t>
            </w:r>
            <w:r>
              <w:rPr>
                <w:spacing w:val="-5"/>
                <w:sz w:val="20"/>
              </w:rPr>
              <w:t> </w:t>
            </w:r>
            <w:r>
              <w:rPr>
                <w:spacing w:val="-2"/>
                <w:sz w:val="20"/>
              </w:rPr>
              <w:t>D13.4,</w:t>
            </w:r>
          </w:p>
          <w:p>
            <w:pPr>
              <w:pStyle w:val="TableParagraph"/>
              <w:spacing w:before="10"/>
              <w:ind w:left="437" w:right="153"/>
              <w:jc w:val="center"/>
              <w:rPr>
                <w:sz w:val="20"/>
              </w:rPr>
            </w:pPr>
            <w:r>
              <w:rPr>
                <w:sz w:val="20"/>
              </w:rPr>
              <w:t>C22,</w:t>
            </w:r>
            <w:r>
              <w:rPr>
                <w:spacing w:val="-5"/>
                <w:sz w:val="20"/>
              </w:rPr>
              <w:t> </w:t>
            </w:r>
            <w:r>
              <w:rPr>
                <w:sz w:val="20"/>
              </w:rPr>
              <w:t>Q44.2,</w:t>
            </w:r>
            <w:r>
              <w:rPr>
                <w:spacing w:val="-4"/>
                <w:sz w:val="20"/>
              </w:rPr>
              <w:t> </w:t>
            </w:r>
            <w:r>
              <w:rPr>
                <w:spacing w:val="-2"/>
                <w:sz w:val="20"/>
              </w:rPr>
              <w:t>Q44.5,</w:t>
            </w:r>
          </w:p>
          <w:p>
            <w:pPr>
              <w:pStyle w:val="TableParagraph"/>
              <w:spacing w:line="249" w:lineRule="auto" w:before="11"/>
              <w:ind w:left="437" w:right="150"/>
              <w:jc w:val="center"/>
              <w:rPr>
                <w:sz w:val="20"/>
              </w:rPr>
            </w:pPr>
            <w:r>
              <w:rPr>
                <w:sz w:val="20"/>
              </w:rPr>
              <w:t>Q44.6,</w:t>
            </w:r>
            <w:r>
              <w:rPr>
                <w:spacing w:val="-13"/>
                <w:sz w:val="20"/>
              </w:rPr>
              <w:t> </w:t>
            </w:r>
            <w:r>
              <w:rPr>
                <w:sz w:val="20"/>
              </w:rPr>
              <w:t>Q44.7,</w:t>
            </w:r>
            <w:r>
              <w:rPr>
                <w:spacing w:val="-12"/>
                <w:sz w:val="20"/>
              </w:rPr>
              <w:t> </w:t>
            </w:r>
            <w:r>
              <w:rPr>
                <w:sz w:val="20"/>
              </w:rPr>
              <w:t>E80.5, E74.0, T86.4</w:t>
            </w:r>
          </w:p>
        </w:tc>
        <w:tc>
          <w:tcPr>
            <w:tcW w:w="3341" w:type="dxa"/>
            <w:vMerge w:val="restart"/>
          </w:tcPr>
          <w:p>
            <w:pPr>
              <w:pStyle w:val="TableParagraph"/>
              <w:spacing w:line="249" w:lineRule="auto" w:before="60"/>
              <w:ind w:left="96" w:right="113"/>
              <w:rPr>
                <w:sz w:val="20"/>
              </w:rPr>
            </w:pPr>
            <w:r>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w:t>
            </w:r>
            <w:r>
              <w:rPr>
                <w:spacing w:val="-13"/>
                <w:sz w:val="20"/>
              </w:rPr>
              <w:t> </w:t>
            </w:r>
            <w:r>
              <w:rPr>
                <w:sz w:val="20"/>
              </w:rPr>
              <w:t>Доброкачественное</w:t>
            </w:r>
            <w:r>
              <w:rPr>
                <w:spacing w:val="-12"/>
                <w:sz w:val="20"/>
              </w:rPr>
              <w:t> </w:t>
            </w:r>
            <w:r>
              <w:rPr>
                <w:sz w:val="20"/>
              </w:rPr>
              <w:t>новооб- разование печени </w:t>
            </w:r>
            <w:r>
              <w:rPr>
                <w:spacing w:val="-2"/>
                <w:sz w:val="20"/>
              </w:rPr>
              <w:t>(нерезектабельное).</w:t>
            </w:r>
          </w:p>
          <w:p>
            <w:pPr>
              <w:pStyle w:val="TableParagraph"/>
              <w:spacing w:line="249" w:lineRule="auto" w:before="7"/>
              <w:ind w:left="96" w:right="59"/>
              <w:rPr>
                <w:sz w:val="20"/>
              </w:rPr>
            </w:pPr>
            <w:r>
              <w:rPr>
                <w:sz w:val="20"/>
              </w:rPr>
              <w:t>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w:t>
            </w:r>
            <w:r>
              <w:rPr>
                <w:spacing w:val="-13"/>
                <w:sz w:val="20"/>
              </w:rPr>
              <w:t> </w:t>
            </w:r>
            <w:r>
              <w:rPr>
                <w:sz w:val="20"/>
              </w:rPr>
              <w:t>Кистозная</w:t>
            </w:r>
            <w:r>
              <w:rPr>
                <w:spacing w:val="-12"/>
                <w:sz w:val="20"/>
              </w:rPr>
              <w:t> </w:t>
            </w:r>
            <w:r>
              <w:rPr>
                <w:sz w:val="20"/>
              </w:rPr>
              <w:t>болезнь</w:t>
            </w:r>
            <w:r>
              <w:rPr>
                <w:spacing w:val="-13"/>
                <w:sz w:val="20"/>
              </w:rPr>
              <w:t> </w:t>
            </w:r>
            <w:r>
              <w:rPr>
                <w:sz w:val="20"/>
              </w:rPr>
              <w:t>печени. Другие врожденные аномалии печени.</w:t>
            </w:r>
            <w:r>
              <w:rPr>
                <w:spacing w:val="-6"/>
                <w:sz w:val="20"/>
              </w:rPr>
              <w:t> </w:t>
            </w:r>
            <w:r>
              <w:rPr>
                <w:sz w:val="20"/>
              </w:rPr>
              <w:t>Синдром</w:t>
            </w:r>
            <w:r>
              <w:rPr>
                <w:spacing w:val="-5"/>
                <w:sz w:val="20"/>
              </w:rPr>
              <w:t> </w:t>
            </w:r>
            <w:r>
              <w:rPr>
                <w:sz w:val="20"/>
              </w:rPr>
              <w:t>Криглера</w:t>
            </w:r>
            <w:r>
              <w:rPr>
                <w:spacing w:val="-3"/>
                <w:sz w:val="20"/>
              </w:rPr>
              <w:t> </w:t>
            </w:r>
            <w:r>
              <w:rPr>
                <w:sz w:val="20"/>
              </w:rPr>
              <w:t>-</w:t>
            </w:r>
            <w:r>
              <w:rPr>
                <w:spacing w:val="-5"/>
                <w:sz w:val="20"/>
              </w:rPr>
              <w:t> </w:t>
            </w:r>
            <w:r>
              <w:rPr>
                <w:sz w:val="20"/>
              </w:rPr>
              <w:t>Найяра. Болезни накопления гликогена.</w:t>
            </w:r>
          </w:p>
          <w:p>
            <w:pPr>
              <w:pStyle w:val="TableParagraph"/>
              <w:spacing w:line="240" w:lineRule="exact"/>
              <w:ind w:left="96" w:right="230"/>
              <w:rPr>
                <w:sz w:val="20"/>
              </w:rPr>
            </w:pPr>
            <w:r>
              <w:rPr>
                <w:sz w:val="20"/>
              </w:rPr>
              <w:t>Отмирание</w:t>
            </w:r>
            <w:r>
              <w:rPr>
                <w:spacing w:val="-13"/>
                <w:sz w:val="20"/>
              </w:rPr>
              <w:t> </w:t>
            </w:r>
            <w:r>
              <w:rPr>
                <w:sz w:val="20"/>
              </w:rPr>
              <w:t>и</w:t>
            </w:r>
            <w:r>
              <w:rPr>
                <w:spacing w:val="-12"/>
                <w:sz w:val="20"/>
              </w:rPr>
              <w:t> </w:t>
            </w:r>
            <w:r>
              <w:rPr>
                <w:sz w:val="20"/>
              </w:rPr>
              <w:t>отторжение трансплантата печени</w:t>
            </w:r>
          </w:p>
        </w:tc>
        <w:tc>
          <w:tcPr>
            <w:tcW w:w="1427" w:type="dxa"/>
            <w:vMerge w:val="restart"/>
          </w:tcPr>
          <w:p>
            <w:pPr>
              <w:pStyle w:val="TableParagraph"/>
              <w:spacing w:line="249" w:lineRule="auto" w:before="60"/>
              <w:ind w:left="63"/>
              <w:rPr>
                <w:sz w:val="20"/>
              </w:rPr>
            </w:pPr>
            <w:r>
              <w:rPr>
                <w:spacing w:val="-2"/>
                <w:sz w:val="20"/>
              </w:rPr>
              <w:t>хирургическое лечение</w:t>
            </w:r>
          </w:p>
        </w:tc>
        <w:tc>
          <w:tcPr>
            <w:tcW w:w="3878" w:type="dxa"/>
          </w:tcPr>
          <w:p>
            <w:pPr>
              <w:pStyle w:val="TableParagraph"/>
              <w:spacing w:before="60"/>
              <w:ind w:left="110"/>
              <w:rPr>
                <w:sz w:val="20"/>
              </w:rPr>
            </w:pPr>
            <w:r>
              <w:rPr>
                <w:w w:val="95"/>
                <w:sz w:val="20"/>
              </w:rPr>
              <w:t>ортотопическая</w:t>
            </w:r>
            <w:r>
              <w:rPr>
                <w:spacing w:val="55"/>
                <w:sz w:val="20"/>
              </w:rPr>
              <w:t> </w:t>
            </w:r>
            <w:r>
              <w:rPr>
                <w:w w:val="95"/>
                <w:sz w:val="20"/>
              </w:rPr>
              <w:t>трансплантация</w:t>
            </w:r>
            <w:r>
              <w:rPr>
                <w:spacing w:val="49"/>
                <w:sz w:val="20"/>
              </w:rPr>
              <w:t> </w:t>
            </w:r>
            <w:r>
              <w:rPr>
                <w:spacing w:val="-2"/>
                <w:w w:val="95"/>
                <w:sz w:val="20"/>
              </w:rPr>
              <w:t>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vMerge/>
            <w:tcBorders>
              <w:top w:val="nil"/>
            </w:tcBorders>
          </w:tcPr>
          <w:p>
            <w:pPr>
              <w:rPr>
                <w:sz w:val="2"/>
                <w:szCs w:val="2"/>
              </w:rPr>
            </w:pPr>
          </w:p>
        </w:tc>
        <w:tc>
          <w:tcPr>
            <w:tcW w:w="3341" w:type="dxa"/>
            <w:vMerge/>
            <w:tcBorders>
              <w:top w:val="nil"/>
            </w:tcBorders>
          </w:tcPr>
          <w:p>
            <w:pPr>
              <w:rPr>
                <w:sz w:val="2"/>
                <w:szCs w:val="2"/>
              </w:rPr>
            </w:pPr>
          </w:p>
        </w:tc>
        <w:tc>
          <w:tcPr>
            <w:tcW w:w="1427" w:type="dxa"/>
            <w:vMerge/>
            <w:tcBorders>
              <w:top w:val="nil"/>
            </w:tcBorders>
          </w:tcPr>
          <w:p>
            <w:pPr>
              <w:rPr>
                <w:sz w:val="2"/>
                <w:szCs w:val="2"/>
              </w:rPr>
            </w:pPr>
          </w:p>
        </w:tc>
        <w:tc>
          <w:tcPr>
            <w:tcW w:w="3878" w:type="dxa"/>
          </w:tcPr>
          <w:p>
            <w:pPr>
              <w:pStyle w:val="TableParagraph"/>
              <w:spacing w:line="249" w:lineRule="auto" w:before="60"/>
              <w:ind w:left="110" w:right="284"/>
              <w:rPr>
                <w:sz w:val="20"/>
              </w:rPr>
            </w:pPr>
            <w:r>
              <w:rPr>
                <w:sz w:val="20"/>
              </w:rPr>
              <w:t>ортотопическая</w:t>
            </w:r>
            <w:r>
              <w:rPr>
                <w:spacing w:val="-13"/>
                <w:sz w:val="20"/>
              </w:rPr>
              <w:t> </w:t>
            </w:r>
            <w:r>
              <w:rPr>
                <w:sz w:val="20"/>
              </w:rPr>
              <w:t>трансплантация</w:t>
            </w:r>
            <w:r>
              <w:rPr>
                <w:spacing w:val="-12"/>
                <w:sz w:val="20"/>
              </w:rPr>
              <w:t> </w:t>
            </w:r>
            <w:r>
              <w:rPr>
                <w:sz w:val="20"/>
              </w:rPr>
              <w:t>правой доли 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vMerge/>
            <w:tcBorders>
              <w:top w:val="nil"/>
            </w:tcBorders>
          </w:tcPr>
          <w:p>
            <w:pPr>
              <w:rPr>
                <w:sz w:val="2"/>
                <w:szCs w:val="2"/>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Pr>
                <w:sz w:val="20"/>
              </w:rPr>
            </w:pPr>
            <w:r>
              <w:rPr>
                <w:sz w:val="20"/>
              </w:rPr>
              <w:t>ортотопическая трансплантация расширенной</w:t>
            </w:r>
            <w:r>
              <w:rPr>
                <w:spacing w:val="-13"/>
                <w:sz w:val="20"/>
              </w:rPr>
              <w:t> </w:t>
            </w:r>
            <w:r>
              <w:rPr>
                <w:sz w:val="20"/>
              </w:rPr>
              <w:t>правой</w:t>
            </w:r>
            <w:r>
              <w:rPr>
                <w:spacing w:val="-12"/>
                <w:sz w:val="20"/>
              </w:rPr>
              <w:t> </w:t>
            </w:r>
            <w:r>
              <w:rPr>
                <w:sz w:val="20"/>
              </w:rPr>
              <w:t>доли</w:t>
            </w:r>
            <w:r>
              <w:rPr>
                <w:spacing w:val="-13"/>
                <w:sz w:val="20"/>
              </w:rPr>
              <w:t> </w:t>
            </w:r>
            <w:r>
              <w:rPr>
                <w:sz w:val="20"/>
              </w:rPr>
              <w:t>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ight="284"/>
              <w:rPr>
                <w:sz w:val="20"/>
              </w:rPr>
            </w:pPr>
            <w:r>
              <w:rPr>
                <w:sz w:val="20"/>
              </w:rPr>
              <w:t>ортотопическая</w:t>
            </w:r>
            <w:r>
              <w:rPr>
                <w:spacing w:val="-13"/>
                <w:sz w:val="20"/>
              </w:rPr>
              <w:t> </w:t>
            </w:r>
            <w:r>
              <w:rPr>
                <w:sz w:val="20"/>
              </w:rPr>
              <w:t>трансплантация</w:t>
            </w:r>
            <w:r>
              <w:rPr>
                <w:spacing w:val="-12"/>
                <w:sz w:val="20"/>
              </w:rPr>
              <w:t> </w:t>
            </w:r>
            <w:r>
              <w:rPr>
                <w:sz w:val="20"/>
              </w:rPr>
              <w:t>левой доли 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Pr>
                <w:sz w:val="20"/>
              </w:rPr>
            </w:pPr>
            <w:r>
              <w:rPr>
                <w:sz w:val="20"/>
              </w:rPr>
              <w:t>ортотопическая</w:t>
            </w:r>
            <w:r>
              <w:rPr>
                <w:spacing w:val="-13"/>
                <w:sz w:val="20"/>
              </w:rPr>
              <w:t> </w:t>
            </w:r>
            <w:r>
              <w:rPr>
                <w:sz w:val="20"/>
              </w:rPr>
              <w:t>трансплантация</w:t>
            </w:r>
            <w:r>
              <w:rPr>
                <w:spacing w:val="-12"/>
                <w:sz w:val="20"/>
              </w:rPr>
              <w:t> </w:t>
            </w:r>
            <w:r>
              <w:rPr>
                <w:sz w:val="20"/>
              </w:rPr>
              <w:t>левого латерального сектора печени</w:t>
            </w:r>
          </w:p>
        </w:tc>
        <w:tc>
          <w:tcPr>
            <w:tcW w:w="1123" w:type="dxa"/>
          </w:tcPr>
          <w:p>
            <w:pPr>
              <w:pStyle w:val="TableParagraph"/>
              <w:rPr>
                <w:sz w:val="18"/>
              </w:rPr>
            </w:pPr>
          </w:p>
        </w:tc>
      </w:tr>
      <w:tr>
        <w:trPr>
          <w:trHeight w:val="209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ight="1009"/>
              <w:rPr>
                <w:sz w:val="20"/>
              </w:rPr>
            </w:pPr>
            <w:r>
              <w:rPr>
                <w:sz w:val="20"/>
              </w:rPr>
              <w:t>ортотопическая</w:t>
            </w:r>
            <w:r>
              <w:rPr>
                <w:spacing w:val="-13"/>
                <w:sz w:val="20"/>
              </w:rPr>
              <w:t> </w:t>
            </w:r>
            <w:r>
              <w:rPr>
                <w:sz w:val="20"/>
              </w:rPr>
              <w:t>трансплантация редуцированной печени</w:t>
            </w:r>
          </w:p>
        </w:tc>
        <w:tc>
          <w:tcPr>
            <w:tcW w:w="112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68"/>
        <w:gridCol w:w="2280"/>
        <w:gridCol w:w="3314"/>
        <w:gridCol w:w="1426"/>
        <w:gridCol w:w="3962"/>
        <w:gridCol w:w="1041"/>
      </w:tblGrid>
      <w:tr>
        <w:trPr>
          <w:trHeight w:val="2450" w:hRule="atLeast"/>
        </w:trPr>
        <w:tc>
          <w:tcPr>
            <w:tcW w:w="458" w:type="dxa"/>
          </w:tcPr>
          <w:p>
            <w:pPr>
              <w:pStyle w:val="TableParagraph"/>
              <w:spacing w:line="221" w:lineRule="exact"/>
              <w:ind w:left="50"/>
              <w:rPr>
                <w:sz w:val="20"/>
              </w:rPr>
            </w:pPr>
            <w:r>
              <w:rPr>
                <w:spacing w:val="-5"/>
                <w:sz w:val="20"/>
              </w:rPr>
              <w:t>77.</w:t>
            </w:r>
          </w:p>
        </w:tc>
        <w:tc>
          <w:tcPr>
            <w:tcW w:w="2668" w:type="dxa"/>
          </w:tcPr>
          <w:p>
            <w:pPr>
              <w:pStyle w:val="TableParagraph"/>
              <w:spacing w:line="249" w:lineRule="auto"/>
              <w:ind w:left="155" w:right="222"/>
              <w:rPr>
                <w:sz w:val="20"/>
              </w:rPr>
            </w:pPr>
            <w:r>
              <w:rPr>
                <w:sz w:val="20"/>
              </w:rPr>
              <w:t>Трансплантация</w:t>
            </w:r>
            <w:r>
              <w:rPr>
                <w:spacing w:val="-13"/>
                <w:sz w:val="20"/>
              </w:rPr>
              <w:t> </w:t>
            </w:r>
            <w:r>
              <w:rPr>
                <w:sz w:val="20"/>
              </w:rPr>
              <w:t>сердечно- легочного комплекса</w:t>
            </w:r>
          </w:p>
        </w:tc>
        <w:tc>
          <w:tcPr>
            <w:tcW w:w="2280" w:type="dxa"/>
          </w:tcPr>
          <w:p>
            <w:pPr>
              <w:pStyle w:val="TableParagraph"/>
              <w:spacing w:line="249" w:lineRule="auto"/>
              <w:ind w:left="690" w:hanging="219"/>
              <w:rPr>
                <w:sz w:val="20"/>
              </w:rPr>
            </w:pPr>
            <w:r>
              <w:rPr>
                <w:sz w:val="20"/>
              </w:rPr>
              <w:t>I27.0,</w:t>
            </w:r>
            <w:r>
              <w:rPr>
                <w:spacing w:val="-13"/>
                <w:sz w:val="20"/>
              </w:rPr>
              <w:t> </w:t>
            </w:r>
            <w:r>
              <w:rPr>
                <w:sz w:val="20"/>
              </w:rPr>
              <w:t>I27.8,</w:t>
            </w:r>
            <w:r>
              <w:rPr>
                <w:spacing w:val="-12"/>
                <w:sz w:val="20"/>
              </w:rPr>
              <w:t> </w:t>
            </w:r>
            <w:r>
              <w:rPr>
                <w:sz w:val="20"/>
              </w:rPr>
              <w:t>I27.9, Q21.8, T86.3</w:t>
            </w:r>
          </w:p>
        </w:tc>
        <w:tc>
          <w:tcPr>
            <w:tcW w:w="3314" w:type="dxa"/>
          </w:tcPr>
          <w:p>
            <w:pPr>
              <w:pStyle w:val="TableParagraph"/>
              <w:spacing w:line="249" w:lineRule="auto"/>
              <w:ind w:left="68" w:right="408"/>
              <w:rPr>
                <w:sz w:val="20"/>
              </w:rPr>
            </w:pPr>
            <w:r>
              <w:rPr>
                <w:sz w:val="20"/>
              </w:rPr>
              <w:t>первичная</w:t>
            </w:r>
            <w:r>
              <w:rPr>
                <w:spacing w:val="-13"/>
                <w:sz w:val="20"/>
              </w:rPr>
              <w:t> </w:t>
            </w:r>
            <w:r>
              <w:rPr>
                <w:sz w:val="20"/>
              </w:rPr>
              <w:t>легочная</w:t>
            </w:r>
            <w:r>
              <w:rPr>
                <w:spacing w:val="-12"/>
                <w:sz w:val="20"/>
              </w:rPr>
              <w:t> </w:t>
            </w:r>
            <w:r>
              <w:rPr>
                <w:sz w:val="20"/>
              </w:rPr>
              <w:t>гипертензия. Другие уточненные формы сердечно- легочной</w:t>
            </w:r>
          </w:p>
          <w:p>
            <w:pPr>
              <w:pStyle w:val="TableParagraph"/>
              <w:spacing w:line="252" w:lineRule="auto"/>
              <w:ind w:left="68" w:right="52"/>
              <w:rPr>
                <w:sz w:val="20"/>
              </w:rPr>
            </w:pPr>
            <w:r>
              <w:rPr>
                <w:sz w:val="20"/>
              </w:rPr>
              <w:t>недостаточности.</w:t>
            </w:r>
            <w:r>
              <w:rPr>
                <w:spacing w:val="-13"/>
                <w:sz w:val="20"/>
              </w:rPr>
              <w:t> </w:t>
            </w:r>
            <w:r>
              <w:rPr>
                <w:sz w:val="20"/>
              </w:rPr>
              <w:t>Сердечно-легочная недостаточность неуточненная.</w:t>
            </w:r>
          </w:p>
          <w:p>
            <w:pPr>
              <w:pStyle w:val="TableParagraph"/>
              <w:spacing w:line="249" w:lineRule="auto"/>
              <w:ind w:left="68" w:right="52"/>
              <w:rPr>
                <w:sz w:val="20"/>
              </w:rPr>
            </w:pPr>
            <w:r>
              <w:rPr>
                <w:sz w:val="20"/>
              </w:rPr>
              <w:t>Другие врожденные аномалии сердечной</w:t>
            </w:r>
            <w:r>
              <w:rPr>
                <w:spacing w:val="-13"/>
                <w:sz w:val="20"/>
              </w:rPr>
              <w:t> </w:t>
            </w:r>
            <w:r>
              <w:rPr>
                <w:sz w:val="20"/>
              </w:rPr>
              <w:t>перегородки</w:t>
            </w:r>
            <w:r>
              <w:rPr>
                <w:spacing w:val="-12"/>
                <w:sz w:val="20"/>
              </w:rPr>
              <w:t> </w:t>
            </w:r>
            <w:r>
              <w:rPr>
                <w:sz w:val="20"/>
              </w:rPr>
              <w:t>(синдром Эйзенменгера). Отмирание и отторжение сердечно-легочного </w:t>
            </w:r>
            <w:r>
              <w:rPr>
                <w:spacing w:val="-2"/>
                <w:sz w:val="20"/>
              </w:rPr>
              <w:t>трансплантата</w:t>
            </w:r>
          </w:p>
        </w:tc>
        <w:tc>
          <w:tcPr>
            <w:tcW w:w="1426" w:type="dxa"/>
          </w:tcPr>
          <w:p>
            <w:pPr>
              <w:pStyle w:val="TableParagraph"/>
              <w:spacing w:line="249" w:lineRule="auto"/>
              <w:ind w:left="62"/>
              <w:rPr>
                <w:sz w:val="20"/>
              </w:rPr>
            </w:pPr>
            <w:r>
              <w:rPr>
                <w:spacing w:val="-2"/>
                <w:sz w:val="20"/>
              </w:rPr>
              <w:t>хирургическое лечение</w:t>
            </w:r>
          </w:p>
        </w:tc>
        <w:tc>
          <w:tcPr>
            <w:tcW w:w="3962" w:type="dxa"/>
          </w:tcPr>
          <w:p>
            <w:pPr>
              <w:pStyle w:val="TableParagraph"/>
              <w:spacing w:line="249" w:lineRule="auto"/>
              <w:ind w:left="110" w:right="735"/>
              <w:rPr>
                <w:sz w:val="20"/>
              </w:rPr>
            </w:pPr>
            <w:r>
              <w:rPr>
                <w:sz w:val="20"/>
              </w:rPr>
              <w:t>трансплантация</w:t>
            </w:r>
            <w:r>
              <w:rPr>
                <w:spacing w:val="-13"/>
                <w:sz w:val="20"/>
              </w:rPr>
              <w:t> </w:t>
            </w:r>
            <w:r>
              <w:rPr>
                <w:sz w:val="20"/>
              </w:rPr>
              <w:t>сердечно-легочного </w:t>
            </w:r>
            <w:r>
              <w:rPr>
                <w:spacing w:val="-2"/>
                <w:sz w:val="20"/>
              </w:rPr>
              <w:t>комплекса</w:t>
            </w:r>
          </w:p>
        </w:tc>
        <w:tc>
          <w:tcPr>
            <w:tcW w:w="1041" w:type="dxa"/>
          </w:tcPr>
          <w:p>
            <w:pPr>
              <w:pStyle w:val="TableParagraph"/>
              <w:spacing w:line="221" w:lineRule="exact"/>
              <w:ind w:right="46"/>
              <w:jc w:val="right"/>
              <w:rPr>
                <w:sz w:val="20"/>
              </w:rPr>
            </w:pPr>
            <w:r>
              <w:rPr>
                <w:spacing w:val="-2"/>
                <w:sz w:val="20"/>
              </w:rPr>
              <w:t>1884029</w:t>
            </w:r>
          </w:p>
        </w:tc>
      </w:tr>
      <w:tr>
        <w:trPr>
          <w:trHeight w:val="2520" w:hRule="atLeast"/>
        </w:trPr>
        <w:tc>
          <w:tcPr>
            <w:tcW w:w="458" w:type="dxa"/>
          </w:tcPr>
          <w:p>
            <w:pPr>
              <w:pStyle w:val="TableParagraph"/>
              <w:spacing w:before="60"/>
              <w:ind w:left="50"/>
              <w:rPr>
                <w:sz w:val="20"/>
              </w:rPr>
            </w:pPr>
            <w:r>
              <w:rPr>
                <w:spacing w:val="-5"/>
                <w:sz w:val="20"/>
              </w:rPr>
              <w:t>78.</w:t>
            </w:r>
          </w:p>
        </w:tc>
        <w:tc>
          <w:tcPr>
            <w:tcW w:w="2668" w:type="dxa"/>
          </w:tcPr>
          <w:p>
            <w:pPr>
              <w:pStyle w:val="TableParagraph"/>
              <w:spacing w:line="249" w:lineRule="auto" w:before="60"/>
              <w:ind w:left="155" w:right="302"/>
              <w:rPr>
                <w:sz w:val="20"/>
              </w:rPr>
            </w:pPr>
            <w:r>
              <w:rPr>
                <w:sz w:val="20"/>
              </w:rPr>
              <w:t>Трансплантация</w:t>
            </w:r>
            <w:r>
              <w:rPr>
                <w:spacing w:val="-13"/>
                <w:sz w:val="20"/>
              </w:rPr>
              <w:t> </w:t>
            </w:r>
            <w:r>
              <w:rPr>
                <w:sz w:val="20"/>
              </w:rPr>
              <w:t>костного мозга аллогенная</w:t>
            </w:r>
          </w:p>
        </w:tc>
        <w:tc>
          <w:tcPr>
            <w:tcW w:w="2280" w:type="dxa"/>
            <w:vMerge w:val="restart"/>
          </w:tcPr>
          <w:p>
            <w:pPr>
              <w:pStyle w:val="TableParagraph"/>
              <w:spacing w:line="249" w:lineRule="auto" w:before="60"/>
              <w:ind w:left="253" w:right="88"/>
              <w:jc w:val="center"/>
              <w:rPr>
                <w:sz w:val="20"/>
              </w:rPr>
            </w:pPr>
            <w:r>
              <w:rPr>
                <w:sz w:val="20"/>
              </w:rPr>
              <w:t>C38.2,C40,</w:t>
            </w:r>
            <w:r>
              <w:rPr>
                <w:spacing w:val="-13"/>
                <w:sz w:val="20"/>
              </w:rPr>
              <w:t> </w:t>
            </w:r>
            <w:r>
              <w:rPr>
                <w:sz w:val="20"/>
              </w:rPr>
              <w:t>C41,</w:t>
            </w:r>
            <w:r>
              <w:rPr>
                <w:spacing w:val="-12"/>
                <w:sz w:val="20"/>
              </w:rPr>
              <w:t> </w:t>
            </w:r>
            <w:r>
              <w:rPr>
                <w:sz w:val="20"/>
              </w:rPr>
              <w:t>C47.0, C47.3, C47.4, C47.5,</w:t>
            </w:r>
          </w:p>
          <w:p>
            <w:pPr>
              <w:pStyle w:val="TableParagraph"/>
              <w:spacing w:line="249" w:lineRule="auto" w:before="2"/>
              <w:ind w:left="229" w:right="65" w:hanging="2"/>
              <w:jc w:val="center"/>
              <w:rPr>
                <w:sz w:val="20"/>
              </w:rPr>
            </w:pPr>
            <w:r>
              <w:rPr>
                <w:sz w:val="20"/>
              </w:rPr>
              <w:t>C47.6, C47.8, C47.9, C48.0,</w:t>
            </w:r>
            <w:r>
              <w:rPr>
                <w:spacing w:val="-13"/>
                <w:sz w:val="20"/>
              </w:rPr>
              <w:t> </w:t>
            </w:r>
            <w:r>
              <w:rPr>
                <w:sz w:val="20"/>
              </w:rPr>
              <w:t>C49,</w:t>
            </w:r>
            <w:r>
              <w:rPr>
                <w:spacing w:val="-12"/>
                <w:sz w:val="20"/>
              </w:rPr>
              <w:t> </w:t>
            </w:r>
            <w:r>
              <w:rPr>
                <w:sz w:val="20"/>
              </w:rPr>
              <w:t>C71,</w:t>
            </w:r>
            <w:r>
              <w:rPr>
                <w:spacing w:val="-13"/>
                <w:sz w:val="20"/>
              </w:rPr>
              <w:t> </w:t>
            </w:r>
            <w:r>
              <w:rPr>
                <w:sz w:val="20"/>
              </w:rPr>
              <w:t>C74.0, C74.1, C74.9,</w:t>
            </w:r>
          </w:p>
          <w:p>
            <w:pPr>
              <w:pStyle w:val="TableParagraph"/>
              <w:spacing w:line="249" w:lineRule="auto" w:before="3"/>
              <w:ind w:left="229" w:right="65" w:hanging="2"/>
              <w:jc w:val="center"/>
              <w:rPr>
                <w:sz w:val="20"/>
              </w:rPr>
            </w:pPr>
            <w:r>
              <w:rPr>
                <w:sz w:val="20"/>
              </w:rPr>
              <w:t>C76.0, C76.1, C76.2, C76.7,</w:t>
            </w:r>
            <w:r>
              <w:rPr>
                <w:spacing w:val="-13"/>
                <w:sz w:val="20"/>
              </w:rPr>
              <w:t> </w:t>
            </w:r>
            <w:r>
              <w:rPr>
                <w:sz w:val="20"/>
              </w:rPr>
              <w:t>C76.8,</w:t>
            </w:r>
            <w:r>
              <w:rPr>
                <w:spacing w:val="-12"/>
                <w:sz w:val="20"/>
              </w:rPr>
              <w:t> </w:t>
            </w:r>
            <w:r>
              <w:rPr>
                <w:sz w:val="20"/>
              </w:rPr>
              <w:t>C81,</w:t>
            </w:r>
            <w:r>
              <w:rPr>
                <w:spacing w:val="-13"/>
                <w:sz w:val="20"/>
              </w:rPr>
              <w:t> </w:t>
            </w:r>
            <w:r>
              <w:rPr>
                <w:sz w:val="20"/>
              </w:rPr>
              <w:t>C82, C83, C84, C85, C90, C91, C92, C93, C94.0, D46, D47,4, D56, D57, D58, D61, D69, D70, D71, D76, D80.5, D81, D82.0,</w:t>
            </w:r>
            <w:r>
              <w:rPr>
                <w:spacing w:val="-6"/>
                <w:sz w:val="20"/>
              </w:rPr>
              <w:t> </w:t>
            </w:r>
            <w:r>
              <w:rPr>
                <w:sz w:val="20"/>
              </w:rPr>
              <w:t>E70.3,</w:t>
            </w:r>
            <w:r>
              <w:rPr>
                <w:spacing w:val="-6"/>
                <w:sz w:val="20"/>
              </w:rPr>
              <w:t> </w:t>
            </w:r>
            <w:r>
              <w:rPr>
                <w:sz w:val="20"/>
              </w:rPr>
              <w:t>E76,</w:t>
            </w:r>
            <w:r>
              <w:rPr>
                <w:spacing w:val="-6"/>
                <w:sz w:val="20"/>
              </w:rPr>
              <w:t> </w:t>
            </w:r>
            <w:r>
              <w:rPr>
                <w:sz w:val="20"/>
              </w:rPr>
              <w:t>E77, Q45, Q78.2, L90.8</w:t>
            </w:r>
          </w:p>
        </w:tc>
        <w:tc>
          <w:tcPr>
            <w:tcW w:w="3314" w:type="dxa"/>
            <w:vMerge w:val="restart"/>
          </w:tcPr>
          <w:p>
            <w:pPr>
              <w:pStyle w:val="TableParagraph"/>
              <w:spacing w:line="249" w:lineRule="auto" w:before="60"/>
              <w:ind w:left="68" w:right="81"/>
              <w:rPr>
                <w:sz w:val="20"/>
              </w:rPr>
            </w:pPr>
            <w:r>
              <w:rPr>
                <w:sz w:val="20"/>
              </w:rPr>
              <w:t>болезнь Ходжкина. Неходжкинские лимфомы. Множественная миелома и</w:t>
            </w:r>
            <w:r>
              <w:rPr>
                <w:spacing w:val="-13"/>
                <w:sz w:val="20"/>
              </w:rPr>
              <w:t> </w:t>
            </w:r>
            <w:r>
              <w:rPr>
                <w:sz w:val="20"/>
              </w:rPr>
              <w:t>злокачественные</w:t>
            </w:r>
            <w:r>
              <w:rPr>
                <w:spacing w:val="-12"/>
                <w:sz w:val="20"/>
              </w:rPr>
              <w:t> </w:t>
            </w:r>
            <w:r>
              <w:rPr>
                <w:sz w:val="20"/>
              </w:rPr>
              <w:t>плазмоклеточные новообразования. Лимфоидный лейкоз (лимфолейкоз). Миелоидный лейкоз (миелолейкоз).</w:t>
            </w:r>
          </w:p>
          <w:p>
            <w:pPr>
              <w:pStyle w:val="TableParagraph"/>
              <w:spacing w:line="249" w:lineRule="auto" w:before="6"/>
              <w:ind w:left="68" w:right="408"/>
              <w:rPr>
                <w:sz w:val="20"/>
              </w:rPr>
            </w:pPr>
            <w:r>
              <w:rPr>
                <w:sz w:val="20"/>
              </w:rPr>
              <w:t>Моноцитарный</w:t>
            </w:r>
            <w:r>
              <w:rPr>
                <w:spacing w:val="-13"/>
                <w:sz w:val="20"/>
              </w:rPr>
              <w:t> </w:t>
            </w:r>
            <w:r>
              <w:rPr>
                <w:sz w:val="20"/>
              </w:rPr>
              <w:t>лейкоз,</w:t>
            </w:r>
            <w:r>
              <w:rPr>
                <w:spacing w:val="-12"/>
                <w:sz w:val="20"/>
              </w:rPr>
              <w:t> </w:t>
            </w:r>
            <w:r>
              <w:rPr>
                <w:sz w:val="20"/>
              </w:rPr>
              <w:t>острая эритремия и эритролейкоз.</w:t>
            </w:r>
          </w:p>
          <w:p>
            <w:pPr>
              <w:pStyle w:val="TableParagraph"/>
              <w:spacing w:line="249" w:lineRule="auto" w:before="1"/>
              <w:ind w:left="68" w:right="169"/>
              <w:rPr>
                <w:sz w:val="20"/>
              </w:rPr>
            </w:pPr>
            <w:r>
              <w:rPr>
                <w:sz w:val="20"/>
              </w:rPr>
              <w:t>Апластические анемии. Миелодиспластические синдромы. Примитивная</w:t>
            </w:r>
            <w:r>
              <w:rPr>
                <w:spacing w:val="-13"/>
                <w:sz w:val="20"/>
              </w:rPr>
              <w:t> </w:t>
            </w:r>
            <w:r>
              <w:rPr>
                <w:sz w:val="20"/>
              </w:rPr>
              <w:t>нейроэктодермальная опухоль (PNET). Нейробластома.</w:t>
            </w:r>
          </w:p>
          <w:p>
            <w:pPr>
              <w:pStyle w:val="TableParagraph"/>
              <w:spacing w:line="249" w:lineRule="auto" w:before="3"/>
              <w:ind w:left="68" w:right="69"/>
              <w:rPr>
                <w:sz w:val="20"/>
              </w:rPr>
            </w:pPr>
            <w:r>
              <w:rPr>
                <w:sz w:val="20"/>
              </w:rPr>
              <w:t>Первичный миелофиброз,</w:t>
            </w:r>
            <w:r>
              <w:rPr>
                <w:spacing w:val="40"/>
                <w:sz w:val="20"/>
              </w:rPr>
              <w:t> </w:t>
            </w:r>
            <w:r>
              <w:rPr>
                <w:sz w:val="20"/>
              </w:rPr>
              <w:t>вторичный миелофиброз при миелопролиферативном</w:t>
            </w:r>
            <w:r>
              <w:rPr>
                <w:spacing w:val="-13"/>
                <w:sz w:val="20"/>
              </w:rPr>
              <w:t> </w:t>
            </w:r>
            <w:r>
              <w:rPr>
                <w:sz w:val="20"/>
              </w:rPr>
              <w:t>заболевании (трансформация истинной полицитемии и эссенциальной тромбоцитемии в миелофиброз).</w:t>
            </w:r>
          </w:p>
          <w:p>
            <w:pPr>
              <w:pStyle w:val="TableParagraph"/>
              <w:spacing w:line="240" w:lineRule="exact"/>
              <w:ind w:left="68" w:right="256"/>
              <w:rPr>
                <w:sz w:val="20"/>
              </w:rPr>
            </w:pPr>
            <w:r>
              <w:rPr>
                <w:sz w:val="20"/>
              </w:rPr>
              <w:t>Злокачественные</w:t>
            </w:r>
            <w:r>
              <w:rPr>
                <w:spacing w:val="-13"/>
                <w:sz w:val="20"/>
              </w:rPr>
              <w:t> </w:t>
            </w:r>
            <w:r>
              <w:rPr>
                <w:sz w:val="20"/>
              </w:rPr>
              <w:t>новообразования других типов соединительной и мягких</w:t>
            </w:r>
            <w:r>
              <w:rPr>
                <w:spacing w:val="-13"/>
                <w:sz w:val="20"/>
              </w:rPr>
              <w:t> </w:t>
            </w:r>
            <w:r>
              <w:rPr>
                <w:sz w:val="20"/>
              </w:rPr>
              <w:t>тканей</w:t>
            </w:r>
            <w:r>
              <w:rPr>
                <w:spacing w:val="-12"/>
                <w:sz w:val="20"/>
              </w:rPr>
              <w:t> </w:t>
            </w:r>
            <w:r>
              <w:rPr>
                <w:sz w:val="20"/>
              </w:rPr>
              <w:t>(рабдомиосаркома). </w:t>
            </w:r>
            <w:r>
              <w:rPr>
                <w:spacing w:val="-2"/>
                <w:sz w:val="20"/>
              </w:rPr>
              <w:t>Злокачественные</w:t>
            </w:r>
            <w:r>
              <w:rPr>
                <w:spacing w:val="13"/>
                <w:sz w:val="20"/>
              </w:rPr>
              <w:t> </w:t>
            </w:r>
            <w:r>
              <w:rPr>
                <w:spacing w:val="-2"/>
                <w:sz w:val="20"/>
              </w:rPr>
              <w:t>новообразования</w:t>
            </w:r>
          </w:p>
        </w:tc>
        <w:tc>
          <w:tcPr>
            <w:tcW w:w="1426" w:type="dxa"/>
          </w:tcPr>
          <w:p>
            <w:pPr>
              <w:pStyle w:val="TableParagraph"/>
              <w:spacing w:line="249" w:lineRule="auto" w:before="60"/>
              <w:ind w:left="62"/>
              <w:rPr>
                <w:sz w:val="20"/>
              </w:rPr>
            </w:pPr>
            <w:r>
              <w:rPr>
                <w:spacing w:val="-2"/>
                <w:sz w:val="20"/>
              </w:rPr>
              <w:t>хирургическое лечение</w:t>
            </w:r>
          </w:p>
        </w:tc>
        <w:tc>
          <w:tcPr>
            <w:tcW w:w="3962" w:type="dxa"/>
          </w:tcPr>
          <w:p>
            <w:pPr>
              <w:pStyle w:val="TableParagraph"/>
              <w:spacing w:line="249" w:lineRule="auto" w:before="60"/>
              <w:ind w:left="110" w:right="176"/>
              <w:rPr>
                <w:sz w:val="20"/>
              </w:rPr>
            </w:pPr>
            <w:r>
              <w:rPr>
                <w:sz w:val="20"/>
              </w:rPr>
              <w:t>родственная</w:t>
            </w:r>
            <w:r>
              <w:rPr>
                <w:spacing w:val="-13"/>
                <w:sz w:val="20"/>
              </w:rPr>
              <w:t> </w:t>
            </w:r>
            <w:r>
              <w:rPr>
                <w:sz w:val="20"/>
              </w:rPr>
              <w:t>трансплантация</w:t>
            </w:r>
            <w:r>
              <w:rPr>
                <w:spacing w:val="-12"/>
                <w:sz w:val="20"/>
              </w:rPr>
              <w:t> </w:t>
            </w:r>
            <w:r>
              <w:rPr>
                <w:sz w:val="20"/>
              </w:rPr>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w:t>
            </w:r>
            <w:r>
              <w:rPr>
                <w:spacing w:val="-2"/>
                <w:sz w:val="20"/>
              </w:rPr>
              <w:t>терапию)</w:t>
            </w:r>
          </w:p>
        </w:tc>
        <w:tc>
          <w:tcPr>
            <w:tcW w:w="1041" w:type="dxa"/>
          </w:tcPr>
          <w:p>
            <w:pPr>
              <w:pStyle w:val="TableParagraph"/>
              <w:spacing w:before="60"/>
              <w:ind w:right="46"/>
              <w:jc w:val="right"/>
              <w:rPr>
                <w:sz w:val="20"/>
              </w:rPr>
            </w:pPr>
            <w:r>
              <w:rPr>
                <w:spacing w:val="-2"/>
                <w:sz w:val="20"/>
              </w:rPr>
              <w:t>3555090</w:t>
            </w:r>
          </w:p>
        </w:tc>
      </w:tr>
      <w:tr>
        <w:trPr>
          <w:trHeight w:val="2810" w:hRule="atLeast"/>
        </w:trPr>
        <w:tc>
          <w:tcPr>
            <w:tcW w:w="458" w:type="dxa"/>
          </w:tcPr>
          <w:p>
            <w:pPr>
              <w:pStyle w:val="TableParagraph"/>
              <w:rPr>
                <w:sz w:val="18"/>
              </w:rPr>
            </w:pPr>
          </w:p>
        </w:tc>
        <w:tc>
          <w:tcPr>
            <w:tcW w:w="2668" w:type="dxa"/>
          </w:tcPr>
          <w:p>
            <w:pPr>
              <w:pStyle w:val="TableParagraph"/>
              <w:rPr>
                <w:sz w:val="18"/>
              </w:rPr>
            </w:pPr>
          </w:p>
        </w:tc>
        <w:tc>
          <w:tcPr>
            <w:tcW w:w="2280" w:type="dxa"/>
            <w:vMerge/>
            <w:tcBorders>
              <w:top w:val="nil"/>
            </w:tcBorders>
          </w:tcPr>
          <w:p>
            <w:pPr>
              <w:rPr>
                <w:sz w:val="2"/>
                <w:szCs w:val="2"/>
              </w:rPr>
            </w:pPr>
          </w:p>
        </w:tc>
        <w:tc>
          <w:tcPr>
            <w:tcW w:w="3314" w:type="dxa"/>
            <w:vMerge/>
            <w:tcBorders>
              <w:top w:val="nil"/>
            </w:tcBorders>
          </w:tcPr>
          <w:p>
            <w:pPr>
              <w:rPr>
                <w:sz w:val="2"/>
                <w:szCs w:val="2"/>
              </w:rPr>
            </w:pPr>
          </w:p>
        </w:tc>
        <w:tc>
          <w:tcPr>
            <w:tcW w:w="1426" w:type="dxa"/>
          </w:tcPr>
          <w:p>
            <w:pPr>
              <w:pStyle w:val="TableParagraph"/>
              <w:rPr>
                <w:sz w:val="18"/>
              </w:rPr>
            </w:pPr>
          </w:p>
        </w:tc>
        <w:tc>
          <w:tcPr>
            <w:tcW w:w="3962" w:type="dxa"/>
          </w:tcPr>
          <w:p>
            <w:pPr>
              <w:pStyle w:val="TableParagraph"/>
              <w:spacing w:line="249" w:lineRule="auto" w:before="60"/>
              <w:ind w:left="110" w:right="176"/>
              <w:rPr>
                <w:sz w:val="20"/>
              </w:rPr>
            </w:pPr>
            <w:r>
              <w:rPr>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Pr>
                <w:spacing w:val="-2"/>
                <w:sz w:val="20"/>
              </w:rPr>
              <w:t>противомикробную, противогрибковую терапию)</w:t>
            </w:r>
          </w:p>
        </w:tc>
        <w:tc>
          <w:tcPr>
            <w:tcW w:w="104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27"/>
        <w:gridCol w:w="2322"/>
        <w:gridCol w:w="3309"/>
        <w:gridCol w:w="1432"/>
        <w:gridCol w:w="3916"/>
        <w:gridCol w:w="1086"/>
      </w:tblGrid>
      <w:tr>
        <w:trPr>
          <w:trHeight w:val="3411" w:hRule="atLeast"/>
        </w:trPr>
        <w:tc>
          <w:tcPr>
            <w:tcW w:w="458" w:type="dxa"/>
          </w:tcPr>
          <w:p>
            <w:pPr>
              <w:pStyle w:val="TableParagraph"/>
              <w:rPr>
                <w:sz w:val="18"/>
              </w:rPr>
            </w:pPr>
          </w:p>
        </w:tc>
        <w:tc>
          <w:tcPr>
            <w:tcW w:w="2627" w:type="dxa"/>
          </w:tcPr>
          <w:p>
            <w:pPr>
              <w:pStyle w:val="TableParagraph"/>
              <w:rPr>
                <w:sz w:val="18"/>
              </w:rPr>
            </w:pPr>
          </w:p>
        </w:tc>
        <w:tc>
          <w:tcPr>
            <w:tcW w:w="2322" w:type="dxa"/>
          </w:tcPr>
          <w:p>
            <w:pPr>
              <w:pStyle w:val="TableParagraph"/>
              <w:rPr>
                <w:sz w:val="18"/>
              </w:rPr>
            </w:pPr>
          </w:p>
        </w:tc>
        <w:tc>
          <w:tcPr>
            <w:tcW w:w="3309" w:type="dxa"/>
          </w:tcPr>
          <w:p>
            <w:pPr>
              <w:pStyle w:val="TableParagraph"/>
              <w:spacing w:line="249" w:lineRule="auto"/>
              <w:ind w:left="67" w:right="77"/>
              <w:rPr>
                <w:sz w:val="20"/>
              </w:rPr>
            </w:pPr>
            <w:r>
              <w:rPr>
                <w:sz w:val="20"/>
              </w:rPr>
              <w:t>костей</w:t>
            </w:r>
            <w:r>
              <w:rPr>
                <w:spacing w:val="-10"/>
                <w:sz w:val="20"/>
              </w:rPr>
              <w:t> </w:t>
            </w:r>
            <w:r>
              <w:rPr>
                <w:sz w:val="20"/>
              </w:rPr>
              <w:t>и</w:t>
            </w:r>
            <w:r>
              <w:rPr>
                <w:spacing w:val="-11"/>
                <w:sz w:val="20"/>
              </w:rPr>
              <w:t> </w:t>
            </w:r>
            <w:r>
              <w:rPr>
                <w:sz w:val="20"/>
              </w:rPr>
              <w:t>суставных</w:t>
            </w:r>
            <w:r>
              <w:rPr>
                <w:spacing w:val="-10"/>
                <w:sz w:val="20"/>
              </w:rPr>
              <w:t> </w:t>
            </w:r>
            <w:r>
              <w:rPr>
                <w:sz w:val="20"/>
              </w:rPr>
              <w:t>хрящей</w:t>
            </w:r>
            <w:r>
              <w:rPr>
                <w:spacing w:val="-10"/>
                <w:sz w:val="20"/>
              </w:rPr>
              <w:t> </w:t>
            </w:r>
            <w:r>
              <w:rPr>
                <w:sz w:val="20"/>
              </w:rPr>
              <w:t>(саркома Юинга, фибросаркома, хондросаркома). Болезни накопления. Остеопетроз.</w:t>
            </w:r>
          </w:p>
          <w:p>
            <w:pPr>
              <w:pStyle w:val="TableParagraph"/>
              <w:spacing w:line="249" w:lineRule="auto"/>
              <w:ind w:left="67" w:right="77"/>
              <w:rPr>
                <w:sz w:val="20"/>
              </w:rPr>
            </w:pPr>
            <w:r>
              <w:rPr>
                <w:sz w:val="20"/>
              </w:rPr>
              <w:t>Врожденные синдромы костно- мозговой</w:t>
            </w:r>
            <w:r>
              <w:rPr>
                <w:spacing w:val="-13"/>
                <w:sz w:val="20"/>
              </w:rPr>
              <w:t> </w:t>
            </w:r>
            <w:r>
              <w:rPr>
                <w:sz w:val="20"/>
              </w:rPr>
              <w:t>недостаточности.</w:t>
            </w:r>
            <w:r>
              <w:rPr>
                <w:spacing w:val="-12"/>
                <w:sz w:val="20"/>
              </w:rPr>
              <w:t> </w:t>
            </w:r>
            <w:r>
              <w:rPr>
                <w:sz w:val="20"/>
              </w:rPr>
              <w:t>Тяжелый комбинированный иммунодефицит. Синдром Вискотта - Олдрича.</w:t>
            </w:r>
          </w:p>
          <w:p>
            <w:pPr>
              <w:pStyle w:val="TableParagraph"/>
              <w:spacing w:line="249" w:lineRule="auto"/>
              <w:ind w:left="67" w:right="623"/>
              <w:rPr>
                <w:sz w:val="20"/>
              </w:rPr>
            </w:pPr>
            <w:r>
              <w:rPr>
                <w:sz w:val="20"/>
              </w:rPr>
              <w:t>Синдром Чедиака - Хигаши. Хроническая</w:t>
            </w:r>
            <w:r>
              <w:rPr>
                <w:spacing w:val="-13"/>
                <w:sz w:val="20"/>
              </w:rPr>
              <w:t> </w:t>
            </w:r>
            <w:r>
              <w:rPr>
                <w:sz w:val="20"/>
              </w:rPr>
              <w:t>грануломатозная болезнь. Гипер-IgM синдром. </w:t>
            </w:r>
            <w:r>
              <w:rPr>
                <w:spacing w:val="-2"/>
                <w:sz w:val="20"/>
              </w:rPr>
              <w:t>Гемоглобинопатии.</w:t>
            </w:r>
          </w:p>
          <w:p>
            <w:pPr>
              <w:pStyle w:val="TableParagraph"/>
              <w:spacing w:line="249" w:lineRule="auto" w:before="1"/>
              <w:ind w:left="67" w:right="623"/>
              <w:rPr>
                <w:sz w:val="20"/>
              </w:rPr>
            </w:pPr>
            <w:r>
              <w:rPr>
                <w:sz w:val="20"/>
              </w:rPr>
              <w:t>Серповидноклеточная</w:t>
            </w:r>
            <w:r>
              <w:rPr>
                <w:spacing w:val="-13"/>
                <w:sz w:val="20"/>
              </w:rPr>
              <w:t> </w:t>
            </w:r>
            <w:r>
              <w:rPr>
                <w:sz w:val="20"/>
              </w:rPr>
              <w:t>анемия. Талассемия. Гистиоцитозы.</w:t>
            </w:r>
          </w:p>
        </w:tc>
        <w:tc>
          <w:tcPr>
            <w:tcW w:w="1432" w:type="dxa"/>
          </w:tcPr>
          <w:p>
            <w:pPr>
              <w:pStyle w:val="TableParagraph"/>
              <w:rPr>
                <w:sz w:val="18"/>
              </w:rPr>
            </w:pPr>
          </w:p>
        </w:tc>
        <w:tc>
          <w:tcPr>
            <w:tcW w:w="3916" w:type="dxa"/>
          </w:tcPr>
          <w:p>
            <w:pPr>
              <w:pStyle w:val="TableParagraph"/>
              <w:rPr>
                <w:sz w:val="18"/>
              </w:rPr>
            </w:pPr>
          </w:p>
        </w:tc>
        <w:tc>
          <w:tcPr>
            <w:tcW w:w="1086" w:type="dxa"/>
          </w:tcPr>
          <w:p>
            <w:pPr>
              <w:pStyle w:val="TableParagraph"/>
              <w:rPr>
                <w:sz w:val="18"/>
              </w:rPr>
            </w:pPr>
          </w:p>
        </w:tc>
      </w:tr>
      <w:tr>
        <w:trPr>
          <w:trHeight w:val="4371" w:hRule="atLeast"/>
        </w:trPr>
        <w:tc>
          <w:tcPr>
            <w:tcW w:w="458" w:type="dxa"/>
          </w:tcPr>
          <w:p>
            <w:pPr>
              <w:pStyle w:val="TableParagraph"/>
              <w:spacing w:before="60"/>
              <w:ind w:left="50"/>
              <w:rPr>
                <w:sz w:val="20"/>
              </w:rPr>
            </w:pPr>
            <w:r>
              <w:rPr>
                <w:spacing w:val="-5"/>
                <w:sz w:val="20"/>
              </w:rPr>
              <w:t>79.</w:t>
            </w:r>
          </w:p>
        </w:tc>
        <w:tc>
          <w:tcPr>
            <w:tcW w:w="2627" w:type="dxa"/>
          </w:tcPr>
          <w:p>
            <w:pPr>
              <w:pStyle w:val="TableParagraph"/>
              <w:spacing w:line="249" w:lineRule="auto" w:before="60"/>
              <w:ind w:left="155" w:right="261"/>
              <w:rPr>
                <w:sz w:val="20"/>
              </w:rPr>
            </w:pPr>
            <w:r>
              <w:rPr>
                <w:sz w:val="20"/>
              </w:rPr>
              <w:t>Трансплантация</w:t>
            </w:r>
            <w:r>
              <w:rPr>
                <w:spacing w:val="-13"/>
                <w:sz w:val="20"/>
              </w:rPr>
              <w:t> </w:t>
            </w:r>
            <w:r>
              <w:rPr>
                <w:sz w:val="20"/>
              </w:rPr>
              <w:t>костного мозга аутологичная</w:t>
            </w:r>
          </w:p>
        </w:tc>
        <w:tc>
          <w:tcPr>
            <w:tcW w:w="2322" w:type="dxa"/>
          </w:tcPr>
          <w:p>
            <w:pPr>
              <w:pStyle w:val="TableParagraph"/>
              <w:spacing w:line="249" w:lineRule="auto" w:before="60"/>
              <w:ind w:left="270" w:right="66"/>
              <w:jc w:val="center"/>
              <w:rPr>
                <w:sz w:val="20"/>
              </w:rPr>
            </w:pPr>
            <w:r>
              <w:rPr>
                <w:sz w:val="20"/>
              </w:rPr>
              <w:t>C38.1,</w:t>
            </w:r>
            <w:r>
              <w:rPr>
                <w:spacing w:val="-13"/>
                <w:sz w:val="20"/>
              </w:rPr>
              <w:t> </w:t>
            </w:r>
            <w:r>
              <w:rPr>
                <w:sz w:val="20"/>
              </w:rPr>
              <w:t>C38.2,</w:t>
            </w:r>
            <w:r>
              <w:rPr>
                <w:spacing w:val="-12"/>
                <w:sz w:val="20"/>
              </w:rPr>
              <w:t> </w:t>
            </w:r>
            <w:r>
              <w:rPr>
                <w:sz w:val="20"/>
              </w:rPr>
              <w:t>C40,</w:t>
            </w:r>
            <w:r>
              <w:rPr>
                <w:spacing w:val="-13"/>
                <w:sz w:val="20"/>
              </w:rPr>
              <w:t> </w:t>
            </w:r>
            <w:r>
              <w:rPr>
                <w:sz w:val="20"/>
              </w:rPr>
              <w:t>C41, C47.0, C47.3, C47.4,</w:t>
            </w:r>
          </w:p>
          <w:p>
            <w:pPr>
              <w:pStyle w:val="TableParagraph"/>
              <w:spacing w:before="2"/>
              <w:ind w:left="265" w:right="66"/>
              <w:jc w:val="center"/>
              <w:rPr>
                <w:sz w:val="20"/>
              </w:rPr>
            </w:pPr>
            <w:r>
              <w:rPr>
                <w:sz w:val="20"/>
              </w:rPr>
              <w:t>C47.5,</w:t>
            </w:r>
            <w:r>
              <w:rPr>
                <w:spacing w:val="-5"/>
                <w:sz w:val="20"/>
              </w:rPr>
              <w:t> </w:t>
            </w:r>
            <w:r>
              <w:rPr>
                <w:sz w:val="20"/>
              </w:rPr>
              <w:t>C47.6,</w:t>
            </w:r>
            <w:r>
              <w:rPr>
                <w:spacing w:val="-5"/>
                <w:sz w:val="20"/>
              </w:rPr>
              <w:t> </w:t>
            </w:r>
            <w:r>
              <w:rPr>
                <w:spacing w:val="-2"/>
                <w:sz w:val="20"/>
              </w:rPr>
              <w:t>C47.8,</w:t>
            </w:r>
          </w:p>
          <w:p>
            <w:pPr>
              <w:pStyle w:val="TableParagraph"/>
              <w:spacing w:line="249" w:lineRule="auto" w:before="10"/>
              <w:ind w:left="344" w:right="139" w:hanging="3"/>
              <w:jc w:val="center"/>
              <w:rPr>
                <w:sz w:val="20"/>
              </w:rPr>
            </w:pPr>
            <w:r>
              <w:rPr>
                <w:sz w:val="20"/>
              </w:rPr>
              <w:t>C47.9, C48.0, C49, C49.5,</w:t>
            </w:r>
            <w:r>
              <w:rPr>
                <w:spacing w:val="-12"/>
                <w:sz w:val="20"/>
              </w:rPr>
              <w:t> </w:t>
            </w:r>
            <w:r>
              <w:rPr>
                <w:sz w:val="20"/>
              </w:rPr>
              <w:t>C52,</w:t>
            </w:r>
            <w:r>
              <w:rPr>
                <w:spacing w:val="-12"/>
                <w:sz w:val="20"/>
              </w:rPr>
              <w:t> </w:t>
            </w:r>
            <w:r>
              <w:rPr>
                <w:sz w:val="20"/>
              </w:rPr>
              <w:t>C56,</w:t>
            </w:r>
            <w:r>
              <w:rPr>
                <w:spacing w:val="-12"/>
                <w:sz w:val="20"/>
              </w:rPr>
              <w:t> </w:t>
            </w:r>
            <w:r>
              <w:rPr>
                <w:sz w:val="20"/>
              </w:rPr>
              <w:t>C62, C64, C65, C66, C68, C71, C74.0, C74.1,</w:t>
            </w:r>
          </w:p>
          <w:p>
            <w:pPr>
              <w:pStyle w:val="TableParagraph"/>
              <w:spacing w:before="3"/>
              <w:ind w:left="265" w:right="66"/>
              <w:jc w:val="center"/>
              <w:rPr>
                <w:sz w:val="20"/>
              </w:rPr>
            </w:pPr>
            <w:r>
              <w:rPr>
                <w:sz w:val="20"/>
              </w:rPr>
              <w:t>C74.9,</w:t>
            </w:r>
            <w:r>
              <w:rPr>
                <w:spacing w:val="-5"/>
                <w:sz w:val="20"/>
              </w:rPr>
              <w:t> </w:t>
            </w:r>
            <w:r>
              <w:rPr>
                <w:sz w:val="20"/>
              </w:rPr>
              <w:t>C76.0,</w:t>
            </w:r>
            <w:r>
              <w:rPr>
                <w:spacing w:val="-5"/>
                <w:sz w:val="20"/>
              </w:rPr>
              <w:t> </w:t>
            </w:r>
            <w:r>
              <w:rPr>
                <w:spacing w:val="-2"/>
                <w:sz w:val="20"/>
              </w:rPr>
              <w:t>C76.1,</w:t>
            </w:r>
          </w:p>
          <w:p>
            <w:pPr>
              <w:pStyle w:val="TableParagraph"/>
              <w:spacing w:line="249" w:lineRule="auto" w:before="10"/>
              <w:ind w:left="282" w:right="78" w:hanging="2"/>
              <w:jc w:val="center"/>
              <w:rPr>
                <w:sz w:val="20"/>
              </w:rPr>
            </w:pPr>
            <w:r>
              <w:rPr>
                <w:sz w:val="20"/>
              </w:rPr>
              <w:t>C76.2, C76.7, C76.8, C81, C82, C83, C84.0, C84, C85, C90, C91, C92, C93, C94.0, D46, D56, D57, D58, D61, D69, D70, D71, D47,4, D76, D80.5, D81, D82.0,</w:t>
            </w:r>
            <w:r>
              <w:rPr>
                <w:spacing w:val="-13"/>
                <w:sz w:val="20"/>
              </w:rPr>
              <w:t> </w:t>
            </w:r>
            <w:r>
              <w:rPr>
                <w:sz w:val="20"/>
              </w:rPr>
              <w:t>E70.3,</w:t>
            </w:r>
            <w:r>
              <w:rPr>
                <w:spacing w:val="-12"/>
                <w:sz w:val="20"/>
              </w:rPr>
              <w:t> </w:t>
            </w:r>
            <w:r>
              <w:rPr>
                <w:sz w:val="20"/>
              </w:rPr>
              <w:t>E76,</w:t>
            </w:r>
            <w:r>
              <w:rPr>
                <w:spacing w:val="-13"/>
                <w:sz w:val="20"/>
              </w:rPr>
              <w:t> </w:t>
            </w:r>
            <w:r>
              <w:rPr>
                <w:sz w:val="20"/>
              </w:rPr>
              <w:t>E77, Q45, Q78.2, L90.8</w:t>
            </w:r>
          </w:p>
        </w:tc>
        <w:tc>
          <w:tcPr>
            <w:tcW w:w="3309" w:type="dxa"/>
          </w:tcPr>
          <w:p>
            <w:pPr>
              <w:pStyle w:val="TableParagraph"/>
              <w:spacing w:line="249" w:lineRule="auto" w:before="60"/>
              <w:ind w:left="67" w:right="77"/>
              <w:rPr>
                <w:sz w:val="20"/>
              </w:rPr>
            </w:pPr>
            <w:r>
              <w:rPr>
                <w:sz w:val="20"/>
              </w:rPr>
              <w:t>болезнь Ходжкина. Неходжкинские лимфомы. Множественная миелома и</w:t>
            </w:r>
            <w:r>
              <w:rPr>
                <w:spacing w:val="-13"/>
                <w:sz w:val="20"/>
              </w:rPr>
              <w:t> </w:t>
            </w:r>
            <w:r>
              <w:rPr>
                <w:sz w:val="20"/>
              </w:rPr>
              <w:t>злокачественные</w:t>
            </w:r>
            <w:r>
              <w:rPr>
                <w:spacing w:val="-12"/>
                <w:sz w:val="20"/>
              </w:rPr>
              <w:t> </w:t>
            </w:r>
            <w:r>
              <w:rPr>
                <w:sz w:val="20"/>
              </w:rPr>
              <w:t>плазмоклеточные новообразования. Лимфоидный лейкоз (лимфолейкоз). Миелоидный лейкоз (миелолейкоз).</w:t>
            </w:r>
          </w:p>
          <w:p>
            <w:pPr>
              <w:pStyle w:val="TableParagraph"/>
              <w:spacing w:line="249" w:lineRule="auto" w:before="5"/>
              <w:ind w:left="67" w:right="104"/>
              <w:rPr>
                <w:sz w:val="20"/>
              </w:rPr>
            </w:pPr>
            <w:r>
              <w:rPr>
                <w:sz w:val="20"/>
              </w:rPr>
              <w:t>Моноцитарный</w:t>
            </w:r>
            <w:r>
              <w:rPr>
                <w:spacing w:val="-13"/>
                <w:sz w:val="20"/>
              </w:rPr>
              <w:t> </w:t>
            </w:r>
            <w:r>
              <w:rPr>
                <w:sz w:val="20"/>
              </w:rPr>
              <w:t>лейкоз,</w:t>
            </w:r>
            <w:r>
              <w:rPr>
                <w:spacing w:val="-12"/>
                <w:sz w:val="20"/>
              </w:rPr>
              <w:t> </w:t>
            </w:r>
            <w:r>
              <w:rPr>
                <w:sz w:val="20"/>
              </w:rPr>
              <w:t>острая эритремия и эритролейкоз.</w:t>
            </w:r>
          </w:p>
          <w:p>
            <w:pPr>
              <w:pStyle w:val="TableParagraph"/>
              <w:spacing w:line="249" w:lineRule="auto" w:before="2"/>
              <w:ind w:left="67" w:right="165"/>
              <w:rPr>
                <w:sz w:val="20"/>
              </w:rPr>
            </w:pPr>
            <w:r>
              <w:rPr>
                <w:sz w:val="20"/>
              </w:rPr>
              <w:t>Апластические анемии. Миелодиспластические синдромы. Примитивная</w:t>
            </w:r>
            <w:r>
              <w:rPr>
                <w:spacing w:val="-13"/>
                <w:sz w:val="20"/>
              </w:rPr>
              <w:t> </w:t>
            </w:r>
            <w:r>
              <w:rPr>
                <w:sz w:val="20"/>
              </w:rPr>
              <w:t>нейроэктодермальная опухоль (PNET). Нейробластома.</w:t>
            </w:r>
          </w:p>
          <w:p>
            <w:pPr>
              <w:pStyle w:val="TableParagraph"/>
              <w:spacing w:line="249" w:lineRule="auto" w:before="4"/>
              <w:ind w:left="67" w:right="65"/>
              <w:rPr>
                <w:sz w:val="20"/>
              </w:rPr>
            </w:pPr>
            <w:r>
              <w:rPr>
                <w:sz w:val="20"/>
              </w:rPr>
              <w:t>Первичный миелофиброз,</w:t>
            </w:r>
            <w:r>
              <w:rPr>
                <w:spacing w:val="40"/>
                <w:sz w:val="20"/>
              </w:rPr>
              <w:t> </w:t>
            </w:r>
            <w:r>
              <w:rPr>
                <w:sz w:val="20"/>
              </w:rPr>
              <w:t>вторичный миелофиброз при миелопролиферативном</w:t>
            </w:r>
            <w:r>
              <w:rPr>
                <w:spacing w:val="-13"/>
                <w:sz w:val="20"/>
              </w:rPr>
              <w:t> </w:t>
            </w:r>
            <w:r>
              <w:rPr>
                <w:sz w:val="20"/>
              </w:rPr>
              <w:t>заболевании (трансформация истинной полицитемии и эссенциальной</w:t>
            </w:r>
          </w:p>
          <w:p>
            <w:pPr>
              <w:pStyle w:val="TableParagraph"/>
              <w:spacing w:line="210" w:lineRule="exact" w:before="4"/>
              <w:ind w:left="67"/>
              <w:rPr>
                <w:sz w:val="20"/>
              </w:rPr>
            </w:pPr>
            <w:r>
              <w:rPr>
                <w:sz w:val="20"/>
              </w:rPr>
              <w:t>тромбоцитемии</w:t>
            </w:r>
            <w:r>
              <w:rPr>
                <w:spacing w:val="-10"/>
                <w:sz w:val="20"/>
              </w:rPr>
              <w:t> </w:t>
            </w:r>
            <w:r>
              <w:rPr>
                <w:sz w:val="20"/>
              </w:rPr>
              <w:t>в</w:t>
            </w:r>
            <w:r>
              <w:rPr>
                <w:spacing w:val="-9"/>
                <w:sz w:val="20"/>
              </w:rPr>
              <w:t> </w:t>
            </w:r>
            <w:r>
              <w:rPr>
                <w:spacing w:val="-2"/>
                <w:sz w:val="20"/>
              </w:rPr>
              <w:t>миелофиброз).</w:t>
            </w:r>
          </w:p>
        </w:tc>
        <w:tc>
          <w:tcPr>
            <w:tcW w:w="1432" w:type="dxa"/>
          </w:tcPr>
          <w:p>
            <w:pPr>
              <w:pStyle w:val="TableParagraph"/>
              <w:spacing w:line="249" w:lineRule="auto" w:before="60"/>
              <w:ind w:left="66"/>
              <w:rPr>
                <w:sz w:val="20"/>
              </w:rPr>
            </w:pPr>
            <w:r>
              <w:rPr>
                <w:spacing w:val="-2"/>
                <w:sz w:val="20"/>
              </w:rPr>
              <w:t>хирургическое лечение</w:t>
            </w:r>
          </w:p>
        </w:tc>
        <w:tc>
          <w:tcPr>
            <w:tcW w:w="3916" w:type="dxa"/>
          </w:tcPr>
          <w:p>
            <w:pPr>
              <w:pStyle w:val="TableParagraph"/>
              <w:spacing w:line="249" w:lineRule="auto" w:before="60"/>
              <w:ind w:left="108" w:right="295"/>
              <w:rPr>
                <w:sz w:val="20"/>
              </w:rPr>
            </w:pPr>
            <w:r>
              <w:rPr>
                <w:sz w:val="20"/>
              </w:rPr>
              <w:t>трансплантация</w:t>
            </w:r>
            <w:r>
              <w:rPr>
                <w:spacing w:val="-13"/>
                <w:sz w:val="20"/>
              </w:rPr>
              <w:t> </w:t>
            </w:r>
            <w:r>
              <w:rPr>
                <w:sz w:val="20"/>
              </w:rPr>
              <w:t>аутологичного</w:t>
            </w:r>
            <w:r>
              <w:rPr>
                <w:spacing w:val="-12"/>
                <w:sz w:val="20"/>
              </w:rPr>
              <w:t> </w:t>
            </w:r>
            <w:r>
              <w:rPr>
                <w:sz w:val="20"/>
              </w:rPr>
              <w:t>костного мозга (включая предтрансплантационный</w:t>
            </w:r>
            <w:r>
              <w:rPr>
                <w:spacing w:val="-3"/>
                <w:sz w:val="20"/>
              </w:rPr>
              <w:t> </w:t>
            </w:r>
            <w:r>
              <w:rPr>
                <w:sz w:val="20"/>
              </w:rPr>
              <w:t>период,</w:t>
            </w:r>
            <w:r>
              <w:rPr>
                <w:spacing w:val="-5"/>
                <w:sz w:val="20"/>
              </w:rPr>
              <w:t> </w:t>
            </w:r>
            <w:r>
              <w:rPr>
                <w:sz w:val="20"/>
              </w:rPr>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086" w:type="dxa"/>
          </w:tcPr>
          <w:p>
            <w:pPr>
              <w:pStyle w:val="TableParagraph"/>
              <w:spacing w:before="60"/>
              <w:ind w:left="335"/>
              <w:rPr>
                <w:sz w:val="20"/>
              </w:rPr>
            </w:pPr>
            <w:r>
              <w:rPr>
                <w:spacing w:val="-2"/>
                <w:sz w:val="20"/>
              </w:rPr>
              <w:t>2425216</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26"/>
        <w:gridCol w:w="2059"/>
        <w:gridCol w:w="3341"/>
        <w:gridCol w:w="1463"/>
        <w:gridCol w:w="3826"/>
        <w:gridCol w:w="1126"/>
      </w:tblGrid>
      <w:tr>
        <w:trPr>
          <w:trHeight w:val="4851" w:hRule="atLeast"/>
        </w:trPr>
        <w:tc>
          <w:tcPr>
            <w:tcW w:w="458" w:type="dxa"/>
          </w:tcPr>
          <w:p>
            <w:pPr>
              <w:pStyle w:val="TableParagraph"/>
              <w:rPr>
                <w:sz w:val="18"/>
              </w:rPr>
            </w:pPr>
          </w:p>
        </w:tc>
        <w:tc>
          <w:tcPr>
            <w:tcW w:w="2826" w:type="dxa"/>
          </w:tcPr>
          <w:p>
            <w:pPr>
              <w:pStyle w:val="TableParagraph"/>
              <w:rPr>
                <w:sz w:val="18"/>
              </w:rPr>
            </w:pPr>
          </w:p>
        </w:tc>
        <w:tc>
          <w:tcPr>
            <w:tcW w:w="2059" w:type="dxa"/>
          </w:tcPr>
          <w:p>
            <w:pPr>
              <w:pStyle w:val="TableParagraph"/>
              <w:rPr>
                <w:sz w:val="18"/>
              </w:rPr>
            </w:pPr>
          </w:p>
        </w:tc>
        <w:tc>
          <w:tcPr>
            <w:tcW w:w="3341" w:type="dxa"/>
          </w:tcPr>
          <w:p>
            <w:pPr>
              <w:pStyle w:val="TableParagraph"/>
              <w:spacing w:line="249" w:lineRule="auto"/>
              <w:ind w:left="131" w:right="23"/>
              <w:rPr>
                <w:sz w:val="20"/>
              </w:rPr>
            </w:pPr>
            <w:r>
              <w:rPr>
                <w:sz w:val="20"/>
              </w:rPr>
              <w:t>Злокачественные новообразования других типов соединительной и мягких тканей (рабдомиосаркома). Злокачественные новообразования костей</w:t>
            </w:r>
            <w:r>
              <w:rPr>
                <w:spacing w:val="-10"/>
                <w:sz w:val="20"/>
              </w:rPr>
              <w:t> </w:t>
            </w:r>
            <w:r>
              <w:rPr>
                <w:sz w:val="20"/>
              </w:rPr>
              <w:t>и</w:t>
            </w:r>
            <w:r>
              <w:rPr>
                <w:spacing w:val="-11"/>
                <w:sz w:val="20"/>
              </w:rPr>
              <w:t> </w:t>
            </w:r>
            <w:r>
              <w:rPr>
                <w:sz w:val="20"/>
              </w:rPr>
              <w:t>суставных</w:t>
            </w:r>
            <w:r>
              <w:rPr>
                <w:spacing w:val="-10"/>
                <w:sz w:val="20"/>
              </w:rPr>
              <w:t> </w:t>
            </w:r>
            <w:r>
              <w:rPr>
                <w:sz w:val="20"/>
              </w:rPr>
              <w:t>хрящей</w:t>
            </w:r>
            <w:r>
              <w:rPr>
                <w:spacing w:val="-10"/>
                <w:sz w:val="20"/>
              </w:rPr>
              <w:t> </w:t>
            </w:r>
            <w:r>
              <w:rPr>
                <w:sz w:val="20"/>
              </w:rPr>
              <w:t>(саркома Юинга, фибросаркома, хондросаркома). Болезни накопления. Остеопетроз.</w:t>
            </w:r>
          </w:p>
          <w:p>
            <w:pPr>
              <w:pStyle w:val="TableParagraph"/>
              <w:spacing w:line="249" w:lineRule="auto"/>
              <w:ind w:left="131" w:right="23"/>
              <w:rPr>
                <w:sz w:val="20"/>
              </w:rPr>
            </w:pPr>
            <w:r>
              <w:rPr>
                <w:sz w:val="20"/>
              </w:rPr>
              <w:t>Врожденные синдромы костно- мозговой</w:t>
            </w:r>
            <w:r>
              <w:rPr>
                <w:spacing w:val="-13"/>
                <w:sz w:val="20"/>
              </w:rPr>
              <w:t> </w:t>
            </w:r>
            <w:r>
              <w:rPr>
                <w:sz w:val="20"/>
              </w:rPr>
              <w:t>недостаточности.</w:t>
            </w:r>
            <w:r>
              <w:rPr>
                <w:spacing w:val="-12"/>
                <w:sz w:val="20"/>
              </w:rPr>
              <w:t> </w:t>
            </w:r>
            <w:r>
              <w:rPr>
                <w:sz w:val="20"/>
              </w:rPr>
              <w:t>Тяжелый комбинированный иммунодефицит. Синдром Вискотта - Олдрича.</w:t>
            </w:r>
          </w:p>
          <w:p>
            <w:pPr>
              <w:pStyle w:val="TableParagraph"/>
              <w:spacing w:line="249" w:lineRule="auto" w:before="1"/>
              <w:ind w:left="131" w:right="591"/>
              <w:rPr>
                <w:sz w:val="20"/>
              </w:rPr>
            </w:pPr>
            <w:r>
              <w:rPr>
                <w:sz w:val="20"/>
              </w:rPr>
              <w:t>Синдром Чедиака - Хигаши. Хроническая</w:t>
            </w:r>
            <w:r>
              <w:rPr>
                <w:spacing w:val="-13"/>
                <w:sz w:val="20"/>
              </w:rPr>
              <w:t> </w:t>
            </w:r>
            <w:r>
              <w:rPr>
                <w:sz w:val="20"/>
              </w:rPr>
              <w:t>грануломатозная болезнь. Гипер-IgM синдром. </w:t>
            </w:r>
            <w:r>
              <w:rPr>
                <w:spacing w:val="-2"/>
                <w:sz w:val="20"/>
              </w:rPr>
              <w:t>Гемоглобинопатии.</w:t>
            </w:r>
          </w:p>
          <w:p>
            <w:pPr>
              <w:pStyle w:val="TableParagraph"/>
              <w:spacing w:line="249" w:lineRule="auto" w:before="4"/>
              <w:ind w:left="131" w:right="591"/>
              <w:rPr>
                <w:sz w:val="20"/>
              </w:rPr>
            </w:pPr>
            <w:r>
              <w:rPr>
                <w:sz w:val="20"/>
              </w:rPr>
              <w:t>Серповидноклеточная</w:t>
            </w:r>
            <w:r>
              <w:rPr>
                <w:spacing w:val="-13"/>
                <w:sz w:val="20"/>
              </w:rPr>
              <w:t> </w:t>
            </w:r>
            <w:r>
              <w:rPr>
                <w:sz w:val="20"/>
              </w:rPr>
              <w:t>анемия. Талассемия. Гистиоцитозы.</w:t>
            </w:r>
          </w:p>
          <w:p>
            <w:pPr>
              <w:pStyle w:val="TableParagraph"/>
              <w:spacing w:line="249" w:lineRule="auto" w:before="1"/>
              <w:ind w:left="131" w:right="405"/>
              <w:rPr>
                <w:sz w:val="20"/>
              </w:rPr>
            </w:pPr>
            <w:r>
              <w:rPr>
                <w:sz w:val="20"/>
              </w:rPr>
              <w:t>Нефробластома.</w:t>
            </w:r>
            <w:r>
              <w:rPr>
                <w:spacing w:val="-13"/>
                <w:sz w:val="20"/>
              </w:rPr>
              <w:t> </w:t>
            </w:r>
            <w:r>
              <w:rPr>
                <w:sz w:val="20"/>
              </w:rPr>
              <w:t>Герминогенные </w:t>
            </w:r>
            <w:r>
              <w:rPr>
                <w:spacing w:val="-2"/>
                <w:sz w:val="20"/>
              </w:rPr>
              <w:t>опухоли.</w:t>
            </w:r>
          </w:p>
        </w:tc>
        <w:tc>
          <w:tcPr>
            <w:tcW w:w="1463" w:type="dxa"/>
          </w:tcPr>
          <w:p>
            <w:pPr>
              <w:pStyle w:val="TableParagraph"/>
              <w:rPr>
                <w:sz w:val="18"/>
              </w:rPr>
            </w:pPr>
          </w:p>
        </w:tc>
        <w:tc>
          <w:tcPr>
            <w:tcW w:w="3826" w:type="dxa"/>
          </w:tcPr>
          <w:p>
            <w:pPr>
              <w:pStyle w:val="TableParagraph"/>
              <w:rPr>
                <w:sz w:val="18"/>
              </w:rPr>
            </w:pPr>
          </w:p>
        </w:tc>
        <w:tc>
          <w:tcPr>
            <w:tcW w:w="1126" w:type="dxa"/>
          </w:tcPr>
          <w:p>
            <w:pPr>
              <w:pStyle w:val="TableParagraph"/>
              <w:rPr>
                <w:sz w:val="18"/>
              </w:rPr>
            </w:pPr>
          </w:p>
        </w:tc>
      </w:tr>
      <w:tr>
        <w:trPr>
          <w:trHeight w:val="360" w:hRule="atLeast"/>
        </w:trPr>
        <w:tc>
          <w:tcPr>
            <w:tcW w:w="458" w:type="dxa"/>
          </w:tcPr>
          <w:p>
            <w:pPr>
              <w:pStyle w:val="TableParagraph"/>
              <w:rPr>
                <w:sz w:val="18"/>
              </w:rPr>
            </w:pPr>
          </w:p>
        </w:tc>
        <w:tc>
          <w:tcPr>
            <w:tcW w:w="2826" w:type="dxa"/>
          </w:tcPr>
          <w:p>
            <w:pPr>
              <w:pStyle w:val="TableParagraph"/>
              <w:rPr>
                <w:sz w:val="18"/>
              </w:rPr>
            </w:pPr>
          </w:p>
        </w:tc>
        <w:tc>
          <w:tcPr>
            <w:tcW w:w="2059" w:type="dxa"/>
          </w:tcPr>
          <w:p>
            <w:pPr>
              <w:pStyle w:val="TableParagraph"/>
              <w:rPr>
                <w:sz w:val="18"/>
              </w:rPr>
            </w:pPr>
          </w:p>
        </w:tc>
        <w:tc>
          <w:tcPr>
            <w:tcW w:w="3341" w:type="dxa"/>
          </w:tcPr>
          <w:p>
            <w:pPr>
              <w:pStyle w:val="TableParagraph"/>
              <w:spacing w:before="60"/>
              <w:ind w:left="1946"/>
              <w:rPr>
                <w:sz w:val="20"/>
              </w:rPr>
            </w:pPr>
            <w:r>
              <w:rPr>
                <w:spacing w:val="-2"/>
                <w:sz w:val="20"/>
              </w:rPr>
              <w:t>Урология</w:t>
            </w:r>
          </w:p>
        </w:tc>
        <w:tc>
          <w:tcPr>
            <w:tcW w:w="1463" w:type="dxa"/>
          </w:tcPr>
          <w:p>
            <w:pPr>
              <w:pStyle w:val="TableParagraph"/>
              <w:rPr>
                <w:sz w:val="18"/>
              </w:rPr>
            </w:pPr>
          </w:p>
        </w:tc>
        <w:tc>
          <w:tcPr>
            <w:tcW w:w="3826" w:type="dxa"/>
          </w:tcPr>
          <w:p>
            <w:pPr>
              <w:pStyle w:val="TableParagraph"/>
              <w:rPr>
                <w:sz w:val="18"/>
              </w:rPr>
            </w:pPr>
          </w:p>
        </w:tc>
        <w:tc>
          <w:tcPr>
            <w:tcW w:w="1126"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80.</w:t>
            </w:r>
          </w:p>
        </w:tc>
        <w:tc>
          <w:tcPr>
            <w:tcW w:w="2826" w:type="dxa"/>
            <w:vMerge w:val="restart"/>
          </w:tcPr>
          <w:p>
            <w:pPr>
              <w:pStyle w:val="TableParagraph"/>
              <w:spacing w:line="249" w:lineRule="auto" w:before="60"/>
              <w:ind w:left="155" w:right="186"/>
              <w:rPr>
                <w:sz w:val="20"/>
              </w:rPr>
            </w:pPr>
            <w:r>
              <w:rPr>
                <w:sz w:val="20"/>
              </w:rPr>
              <w:t>Оперативные</w:t>
            </w:r>
            <w:r>
              <w:rPr>
                <w:spacing w:val="-13"/>
                <w:sz w:val="20"/>
              </w:rPr>
              <w:t> </w:t>
            </w:r>
            <w:r>
              <w:rPr>
                <w:sz w:val="20"/>
              </w:rPr>
              <w:t>вмешательства на органах мочеполовой системы с использованием абляционных технологий (ультразвуковой, крио, радиочастотной, лазерной, </w:t>
            </w:r>
            <w:r>
              <w:rPr>
                <w:spacing w:val="-2"/>
                <w:sz w:val="20"/>
              </w:rPr>
              <w:t>плазменной)</w:t>
            </w:r>
          </w:p>
        </w:tc>
        <w:tc>
          <w:tcPr>
            <w:tcW w:w="2059" w:type="dxa"/>
          </w:tcPr>
          <w:p>
            <w:pPr>
              <w:pStyle w:val="TableParagraph"/>
              <w:spacing w:line="249" w:lineRule="auto" w:before="60"/>
              <w:ind w:left="196" w:right="128" w:firstLine="3"/>
              <w:jc w:val="center"/>
              <w:rPr>
                <w:sz w:val="20"/>
              </w:rPr>
            </w:pPr>
            <w:r>
              <w:rPr>
                <w:sz w:val="20"/>
              </w:rPr>
              <w:t>N32.8, N35, N40, D30.0,</w:t>
            </w:r>
            <w:r>
              <w:rPr>
                <w:spacing w:val="-13"/>
                <w:sz w:val="20"/>
              </w:rPr>
              <w:t> </w:t>
            </w:r>
            <w:r>
              <w:rPr>
                <w:sz w:val="20"/>
              </w:rPr>
              <w:t>D30.1,</w:t>
            </w:r>
            <w:r>
              <w:rPr>
                <w:spacing w:val="-12"/>
                <w:sz w:val="20"/>
              </w:rPr>
              <w:t> </w:t>
            </w:r>
            <w:r>
              <w:rPr>
                <w:sz w:val="20"/>
              </w:rPr>
              <w:t>D30.2, D30.3, D29.1</w:t>
            </w:r>
          </w:p>
        </w:tc>
        <w:tc>
          <w:tcPr>
            <w:tcW w:w="3341" w:type="dxa"/>
            <w:vMerge w:val="restart"/>
          </w:tcPr>
          <w:p>
            <w:pPr>
              <w:pStyle w:val="TableParagraph"/>
              <w:spacing w:line="249" w:lineRule="auto" w:before="60"/>
              <w:ind w:left="131" w:right="59"/>
              <w:rPr>
                <w:sz w:val="20"/>
              </w:rPr>
            </w:pPr>
            <w:r>
              <w:rPr>
                <w:sz w:val="20"/>
              </w:rPr>
              <w:t>опухоль предстательной железы. Опухоль почки. Опухоль мочевого пузыря.</w:t>
            </w:r>
            <w:r>
              <w:rPr>
                <w:spacing w:val="-13"/>
                <w:sz w:val="20"/>
              </w:rPr>
              <w:t> </w:t>
            </w:r>
            <w:r>
              <w:rPr>
                <w:sz w:val="20"/>
              </w:rPr>
              <w:t>Опухоль</w:t>
            </w:r>
            <w:r>
              <w:rPr>
                <w:spacing w:val="-12"/>
                <w:sz w:val="20"/>
              </w:rPr>
              <w:t> </w:t>
            </w:r>
            <w:r>
              <w:rPr>
                <w:sz w:val="20"/>
              </w:rPr>
              <w:t>почечной</w:t>
            </w:r>
            <w:r>
              <w:rPr>
                <w:spacing w:val="-13"/>
                <w:sz w:val="20"/>
              </w:rPr>
              <w:t> </w:t>
            </w:r>
            <w:r>
              <w:rPr>
                <w:sz w:val="20"/>
              </w:rPr>
              <w:t>лоханки. Склероз шейки пузыря. Стриктуры уретры. Аденома простаты</w:t>
            </w:r>
          </w:p>
        </w:tc>
        <w:tc>
          <w:tcPr>
            <w:tcW w:w="1463" w:type="dxa"/>
          </w:tcPr>
          <w:p>
            <w:pPr>
              <w:pStyle w:val="TableParagraph"/>
              <w:spacing w:line="249" w:lineRule="auto" w:before="60"/>
              <w:ind w:left="98"/>
              <w:rPr>
                <w:sz w:val="20"/>
              </w:rPr>
            </w:pPr>
            <w:r>
              <w:rPr>
                <w:spacing w:val="-2"/>
                <w:sz w:val="20"/>
              </w:rPr>
              <w:t>хирургическое лечение</w:t>
            </w:r>
          </w:p>
        </w:tc>
        <w:tc>
          <w:tcPr>
            <w:tcW w:w="3826" w:type="dxa"/>
          </w:tcPr>
          <w:p>
            <w:pPr>
              <w:pStyle w:val="TableParagraph"/>
              <w:spacing w:line="249" w:lineRule="auto" w:before="60"/>
              <w:ind w:left="109"/>
              <w:rPr>
                <w:sz w:val="20"/>
              </w:rPr>
            </w:pPr>
            <w:r>
              <w:rPr>
                <w:sz w:val="20"/>
              </w:rPr>
              <w:t>высокоинтенсивная фокусированная ультразвуковая абляция доброкачественных</w:t>
            </w:r>
            <w:r>
              <w:rPr>
                <w:spacing w:val="-13"/>
                <w:sz w:val="20"/>
              </w:rPr>
              <w:t> </w:t>
            </w:r>
            <w:r>
              <w:rPr>
                <w:sz w:val="20"/>
              </w:rPr>
              <w:t>опухолей</w:t>
            </w:r>
            <w:r>
              <w:rPr>
                <w:spacing w:val="-12"/>
                <w:sz w:val="20"/>
              </w:rPr>
              <w:t> </w:t>
            </w:r>
            <w:r>
              <w:rPr>
                <w:sz w:val="20"/>
              </w:rPr>
              <w:t>почек</w:t>
            </w:r>
            <w:r>
              <w:rPr>
                <w:spacing w:val="-11"/>
                <w:sz w:val="20"/>
              </w:rPr>
              <w:t> </w:t>
            </w:r>
            <w:r>
              <w:rPr>
                <w:sz w:val="20"/>
              </w:rPr>
              <w:t>и мочевыделительного тракта</w:t>
            </w:r>
          </w:p>
        </w:tc>
        <w:tc>
          <w:tcPr>
            <w:tcW w:w="1126" w:type="dxa"/>
          </w:tcPr>
          <w:p>
            <w:pPr>
              <w:pStyle w:val="TableParagraph"/>
              <w:spacing w:before="60"/>
              <w:ind w:left="477"/>
              <w:rPr>
                <w:sz w:val="20"/>
              </w:rPr>
            </w:pPr>
            <w:r>
              <w:rPr>
                <w:spacing w:val="-2"/>
                <w:sz w:val="20"/>
              </w:rPr>
              <w:t>149822</w:t>
            </w:r>
          </w:p>
        </w:tc>
      </w:tr>
      <w:tr>
        <w:trPr>
          <w:trHeight w:val="839" w:hRule="atLeast"/>
        </w:trPr>
        <w:tc>
          <w:tcPr>
            <w:tcW w:w="458" w:type="dxa"/>
          </w:tcPr>
          <w:p>
            <w:pPr>
              <w:pStyle w:val="TableParagraph"/>
              <w:rPr>
                <w:sz w:val="18"/>
              </w:rPr>
            </w:pPr>
          </w:p>
        </w:tc>
        <w:tc>
          <w:tcPr>
            <w:tcW w:w="2826" w:type="dxa"/>
            <w:vMerge/>
            <w:tcBorders>
              <w:top w:val="nil"/>
            </w:tcBorders>
          </w:tcPr>
          <w:p>
            <w:pPr>
              <w:rPr>
                <w:sz w:val="2"/>
                <w:szCs w:val="2"/>
              </w:rPr>
            </w:pPr>
          </w:p>
        </w:tc>
        <w:tc>
          <w:tcPr>
            <w:tcW w:w="2059" w:type="dxa"/>
          </w:tcPr>
          <w:p>
            <w:pPr>
              <w:pStyle w:val="TableParagraph"/>
              <w:rPr>
                <w:sz w:val="18"/>
              </w:rPr>
            </w:pPr>
          </w:p>
        </w:tc>
        <w:tc>
          <w:tcPr>
            <w:tcW w:w="3341" w:type="dxa"/>
            <w:vMerge/>
            <w:tcBorders>
              <w:top w:val="nil"/>
            </w:tcBorders>
          </w:tcPr>
          <w:p>
            <w:pPr>
              <w:rPr>
                <w:sz w:val="2"/>
                <w:szCs w:val="2"/>
              </w:rPr>
            </w:pPr>
          </w:p>
        </w:tc>
        <w:tc>
          <w:tcPr>
            <w:tcW w:w="1463" w:type="dxa"/>
          </w:tcPr>
          <w:p>
            <w:pPr>
              <w:pStyle w:val="TableParagraph"/>
              <w:rPr>
                <w:sz w:val="18"/>
              </w:rPr>
            </w:pPr>
          </w:p>
        </w:tc>
        <w:tc>
          <w:tcPr>
            <w:tcW w:w="3826" w:type="dxa"/>
          </w:tcPr>
          <w:p>
            <w:pPr>
              <w:pStyle w:val="TableParagraph"/>
              <w:spacing w:line="249" w:lineRule="auto" w:before="60"/>
              <w:ind w:left="109" w:right="1029"/>
              <w:rPr>
                <w:sz w:val="20"/>
              </w:rPr>
            </w:pPr>
            <w:r>
              <w:rPr>
                <w:sz w:val="20"/>
              </w:rPr>
              <w:t>радиочастотная абляция доброкачественных</w:t>
            </w:r>
            <w:r>
              <w:rPr>
                <w:spacing w:val="-13"/>
                <w:sz w:val="20"/>
              </w:rPr>
              <w:t> </w:t>
            </w:r>
            <w:r>
              <w:rPr>
                <w:sz w:val="20"/>
              </w:rPr>
              <w:t>поражений мочевыделительного тракта</w:t>
            </w:r>
          </w:p>
        </w:tc>
        <w:tc>
          <w:tcPr>
            <w:tcW w:w="1126" w:type="dxa"/>
          </w:tcPr>
          <w:p>
            <w:pPr>
              <w:pStyle w:val="TableParagraph"/>
              <w:rPr>
                <w:sz w:val="18"/>
              </w:rPr>
            </w:pPr>
          </w:p>
        </w:tc>
      </w:tr>
      <w:tr>
        <w:trPr>
          <w:trHeight w:val="530" w:hRule="atLeast"/>
        </w:trPr>
        <w:tc>
          <w:tcPr>
            <w:tcW w:w="458" w:type="dxa"/>
          </w:tcPr>
          <w:p>
            <w:pPr>
              <w:pStyle w:val="TableParagraph"/>
              <w:rPr>
                <w:sz w:val="18"/>
              </w:rPr>
            </w:pPr>
          </w:p>
        </w:tc>
        <w:tc>
          <w:tcPr>
            <w:tcW w:w="2826" w:type="dxa"/>
          </w:tcPr>
          <w:p>
            <w:pPr>
              <w:pStyle w:val="TableParagraph"/>
              <w:rPr>
                <w:sz w:val="18"/>
              </w:rPr>
            </w:pPr>
          </w:p>
        </w:tc>
        <w:tc>
          <w:tcPr>
            <w:tcW w:w="2059" w:type="dxa"/>
          </w:tcPr>
          <w:p>
            <w:pPr>
              <w:pStyle w:val="TableParagraph"/>
              <w:rPr>
                <w:sz w:val="18"/>
              </w:rPr>
            </w:pPr>
          </w:p>
        </w:tc>
        <w:tc>
          <w:tcPr>
            <w:tcW w:w="3341" w:type="dxa"/>
          </w:tcPr>
          <w:p>
            <w:pPr>
              <w:pStyle w:val="TableParagraph"/>
              <w:rPr>
                <w:sz w:val="18"/>
              </w:rPr>
            </w:pPr>
          </w:p>
        </w:tc>
        <w:tc>
          <w:tcPr>
            <w:tcW w:w="1463" w:type="dxa"/>
          </w:tcPr>
          <w:p>
            <w:pPr>
              <w:pStyle w:val="TableParagraph"/>
              <w:rPr>
                <w:sz w:val="18"/>
              </w:rPr>
            </w:pPr>
          </w:p>
        </w:tc>
        <w:tc>
          <w:tcPr>
            <w:tcW w:w="3826" w:type="dxa"/>
          </w:tcPr>
          <w:p>
            <w:pPr>
              <w:pStyle w:val="TableParagraph"/>
              <w:spacing w:line="240" w:lineRule="atLeast" w:before="30"/>
              <w:ind w:left="109"/>
              <w:rPr>
                <w:sz w:val="20"/>
              </w:rPr>
            </w:pPr>
            <w:r>
              <w:rPr>
                <w:sz w:val="20"/>
              </w:rPr>
              <w:t>плазменная</w:t>
            </w:r>
            <w:r>
              <w:rPr>
                <w:spacing w:val="-13"/>
                <w:sz w:val="20"/>
              </w:rPr>
              <w:t> </w:t>
            </w:r>
            <w:r>
              <w:rPr>
                <w:sz w:val="20"/>
              </w:rPr>
              <w:t>абляция</w:t>
            </w:r>
            <w:r>
              <w:rPr>
                <w:spacing w:val="-12"/>
                <w:sz w:val="20"/>
              </w:rPr>
              <w:t> </w:t>
            </w:r>
            <w:r>
              <w:rPr>
                <w:sz w:val="20"/>
              </w:rPr>
              <w:t>доброкачественных поражений мочевыделительного тракта</w:t>
            </w:r>
          </w:p>
        </w:tc>
        <w:tc>
          <w:tcPr>
            <w:tcW w:w="112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spacing w:line="249" w:lineRule="auto" w:before="173"/>
        <w:ind w:left="931" w:right="65" w:firstLine="0"/>
        <w:jc w:val="left"/>
        <w:rPr>
          <w:sz w:val="20"/>
        </w:rPr>
      </w:pPr>
      <w:r>
        <w:rPr>
          <w:sz w:val="20"/>
        </w:rPr>
        <w:t>Оперативные</w:t>
      </w:r>
      <w:r>
        <w:rPr>
          <w:spacing w:val="-13"/>
          <w:sz w:val="20"/>
        </w:rPr>
        <w:t> </w:t>
      </w:r>
      <w:r>
        <w:rPr>
          <w:sz w:val="20"/>
        </w:rPr>
        <w:t>вмешательства на органах мочеполовой системы с имплантацией синтетических сложных и сетчатых протезов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27"/>
        <w:ind w:left="931" w:right="0" w:firstLine="0"/>
        <w:jc w:val="left"/>
        <w:rPr>
          <w:sz w:val="20"/>
        </w:rPr>
      </w:pPr>
      <w:r>
        <w:rPr>
          <w:sz w:val="20"/>
        </w:rPr>
        <w:t>Рецидивные</w:t>
      </w:r>
      <w:r>
        <w:rPr>
          <w:spacing w:val="-13"/>
          <w:sz w:val="20"/>
        </w:rPr>
        <w:t> </w:t>
      </w:r>
      <w:r>
        <w:rPr>
          <w:sz w:val="20"/>
        </w:rPr>
        <w:t>и</w:t>
      </w:r>
      <w:r>
        <w:rPr>
          <w:spacing w:val="-12"/>
          <w:sz w:val="20"/>
        </w:rPr>
        <w:t> </w:t>
      </w:r>
      <w:r>
        <w:rPr>
          <w:sz w:val="20"/>
        </w:rPr>
        <w:t>особо</w:t>
      </w:r>
      <w:r>
        <w:rPr>
          <w:spacing w:val="-13"/>
          <w:sz w:val="20"/>
        </w:rPr>
        <w:t> </w:t>
      </w:r>
      <w:r>
        <w:rPr>
          <w:sz w:val="20"/>
        </w:rPr>
        <w:t>сложные операции на органах мочеполовой системы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11"/>
        </w:numPr>
        <w:tabs>
          <w:tab w:pos="931" w:val="left" w:leader="none"/>
          <w:tab w:pos="932" w:val="left" w:leader="none"/>
        </w:tabs>
        <w:spacing w:line="249" w:lineRule="auto" w:before="139" w:after="0"/>
        <w:ind w:left="931" w:right="69" w:hanging="564"/>
        <w:jc w:val="left"/>
        <w:rPr>
          <w:sz w:val="20"/>
        </w:rPr>
      </w:pPr>
      <w:r>
        <w:rPr>
          <w:sz w:val="20"/>
        </w:rPr>
        <w:t>Оперативные</w:t>
      </w:r>
      <w:r>
        <w:rPr>
          <w:spacing w:val="-13"/>
          <w:sz w:val="20"/>
        </w:rPr>
        <w:t> </w:t>
      </w:r>
      <w:r>
        <w:rPr>
          <w:sz w:val="20"/>
        </w:rPr>
        <w:t>вмешательства на органах мочеполовой</w:t>
      </w:r>
    </w:p>
    <w:p>
      <w:pPr>
        <w:spacing w:line="240" w:lineRule="auto" w:before="0"/>
        <w:rPr>
          <w:sz w:val="22"/>
        </w:rPr>
      </w:pPr>
      <w:r>
        <w:rPr/>
        <w:br w:type="column"/>
      </w:r>
      <w:r>
        <w:rPr>
          <w:sz w:val="22"/>
        </w:rPr>
      </w:r>
    </w:p>
    <w:p>
      <w:pPr>
        <w:pStyle w:val="BodyText"/>
        <w:rPr>
          <w:sz w:val="22"/>
        </w:rPr>
      </w:pPr>
    </w:p>
    <w:p>
      <w:pPr>
        <w:pStyle w:val="BodyText"/>
        <w:rPr>
          <w:sz w:val="22"/>
        </w:rPr>
      </w:pPr>
    </w:p>
    <w:p>
      <w:pPr>
        <w:spacing w:line="249" w:lineRule="auto" w:before="173"/>
        <w:ind w:left="136" w:right="0" w:firstLine="0"/>
        <w:jc w:val="center"/>
        <w:rPr>
          <w:sz w:val="20"/>
        </w:rPr>
      </w:pPr>
      <w:r>
        <w:rPr>
          <w:sz w:val="20"/>
        </w:rPr>
        <w:t>N81,</w:t>
      </w:r>
      <w:r>
        <w:rPr>
          <w:spacing w:val="-13"/>
          <w:sz w:val="20"/>
        </w:rPr>
        <w:t> </w:t>
      </w:r>
      <w:r>
        <w:rPr>
          <w:sz w:val="20"/>
        </w:rPr>
        <w:t>R32,</w:t>
      </w:r>
      <w:r>
        <w:rPr>
          <w:spacing w:val="-12"/>
          <w:sz w:val="20"/>
        </w:rPr>
        <w:t> </w:t>
      </w:r>
      <w:r>
        <w:rPr>
          <w:sz w:val="20"/>
        </w:rPr>
        <w:t>N48.4,</w:t>
      </w:r>
      <w:r>
        <w:rPr>
          <w:spacing w:val="-13"/>
          <w:sz w:val="20"/>
        </w:rPr>
        <w:t> </w:t>
      </w:r>
      <w:r>
        <w:rPr>
          <w:sz w:val="20"/>
        </w:rPr>
        <w:t>N13.7, </w:t>
      </w:r>
      <w:r>
        <w:rPr>
          <w:spacing w:val="-4"/>
          <w:sz w:val="20"/>
        </w:rPr>
        <w:t>N31.2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spacing w:before="0"/>
        <w:ind w:left="136" w:right="0" w:firstLine="0"/>
        <w:jc w:val="center"/>
        <w:rPr>
          <w:sz w:val="20"/>
        </w:rPr>
      </w:pPr>
      <w:r>
        <w:rPr>
          <w:sz w:val="20"/>
        </w:rPr>
        <w:t>N20.2,</w:t>
      </w:r>
      <w:r>
        <w:rPr>
          <w:spacing w:val="-4"/>
          <w:sz w:val="20"/>
        </w:rPr>
        <w:t> </w:t>
      </w:r>
      <w:r>
        <w:rPr>
          <w:sz w:val="20"/>
        </w:rPr>
        <w:t>N20.0,</w:t>
      </w:r>
      <w:r>
        <w:rPr>
          <w:spacing w:val="-5"/>
          <w:sz w:val="20"/>
        </w:rPr>
        <w:t> </w:t>
      </w:r>
      <w:r>
        <w:rPr>
          <w:spacing w:val="-2"/>
          <w:sz w:val="20"/>
        </w:rPr>
        <w:t>N13.0,</w:t>
      </w:r>
    </w:p>
    <w:p>
      <w:pPr>
        <w:spacing w:before="10"/>
        <w:ind w:left="139" w:right="0" w:firstLine="0"/>
        <w:jc w:val="center"/>
        <w:rPr>
          <w:sz w:val="20"/>
        </w:rPr>
      </w:pPr>
      <w:r>
        <w:rPr>
          <w:sz w:val="20"/>
        </w:rPr>
        <w:t>N13.1,</w:t>
      </w:r>
      <w:r>
        <w:rPr>
          <w:spacing w:val="-4"/>
          <w:sz w:val="20"/>
        </w:rPr>
        <w:t> </w:t>
      </w:r>
      <w:r>
        <w:rPr>
          <w:sz w:val="20"/>
        </w:rPr>
        <w:t>N13.2,</w:t>
      </w:r>
      <w:r>
        <w:rPr>
          <w:spacing w:val="-5"/>
          <w:sz w:val="20"/>
        </w:rPr>
        <w:t> </w:t>
      </w:r>
      <w:r>
        <w:rPr>
          <w:spacing w:val="-4"/>
          <w:sz w:val="20"/>
        </w:rPr>
        <w:t>C67,</w:t>
      </w:r>
    </w:p>
    <w:p>
      <w:pPr>
        <w:spacing w:line="249" w:lineRule="auto" w:before="10"/>
        <w:ind w:left="138" w:right="0" w:firstLine="0"/>
        <w:jc w:val="center"/>
        <w:rPr>
          <w:sz w:val="20"/>
        </w:rPr>
      </w:pPr>
      <w:r>
        <w:rPr>
          <w:sz w:val="20"/>
        </w:rPr>
        <w:t>Q62.1,</w:t>
      </w:r>
      <w:r>
        <w:rPr>
          <w:spacing w:val="-13"/>
          <w:sz w:val="20"/>
        </w:rPr>
        <w:t> </w:t>
      </w:r>
      <w:r>
        <w:rPr>
          <w:sz w:val="20"/>
        </w:rPr>
        <w:t>Q62.2,</w:t>
      </w:r>
      <w:r>
        <w:rPr>
          <w:spacing w:val="-12"/>
          <w:sz w:val="20"/>
        </w:rPr>
        <w:t> </w:t>
      </w:r>
      <w:r>
        <w:rPr>
          <w:sz w:val="20"/>
        </w:rPr>
        <w:t>Q62.3, </w:t>
      </w:r>
      <w:r>
        <w:rPr>
          <w:spacing w:val="-4"/>
          <w:sz w:val="20"/>
        </w:rPr>
        <w:t>Q62.7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138" w:right="0" w:firstLine="0"/>
        <w:jc w:val="center"/>
        <w:rPr>
          <w:sz w:val="20"/>
        </w:rPr>
      </w:pPr>
      <w:r>
        <w:rPr>
          <w:sz w:val="20"/>
        </w:rPr>
        <w:t>N28.1,</w:t>
      </w:r>
      <w:r>
        <w:rPr>
          <w:spacing w:val="-13"/>
          <w:sz w:val="20"/>
        </w:rPr>
        <w:t> </w:t>
      </w:r>
      <w:r>
        <w:rPr>
          <w:sz w:val="20"/>
        </w:rPr>
        <w:t>Q61.0,</w:t>
      </w:r>
      <w:r>
        <w:rPr>
          <w:spacing w:val="-12"/>
          <w:sz w:val="20"/>
        </w:rPr>
        <w:t> </w:t>
      </w:r>
      <w:r>
        <w:rPr>
          <w:sz w:val="20"/>
        </w:rPr>
        <w:t>N13.0, N13.1, N13.2, N28</w:t>
      </w:r>
    </w:p>
    <w:p>
      <w:pPr>
        <w:spacing w:line="240" w:lineRule="auto" w:before="0"/>
        <w:rPr>
          <w:sz w:val="22"/>
        </w:rPr>
      </w:pPr>
      <w:r>
        <w:rPr/>
        <w:br w:type="column"/>
      </w:r>
      <w:r>
        <w:rPr>
          <w:sz w:val="22"/>
        </w:rPr>
      </w:r>
    </w:p>
    <w:p>
      <w:pPr>
        <w:pStyle w:val="BodyText"/>
        <w:rPr>
          <w:sz w:val="22"/>
        </w:rPr>
      </w:pPr>
    </w:p>
    <w:p>
      <w:pPr>
        <w:pStyle w:val="BodyText"/>
        <w:rPr>
          <w:sz w:val="22"/>
        </w:rPr>
      </w:pPr>
    </w:p>
    <w:p>
      <w:pPr>
        <w:spacing w:line="249" w:lineRule="auto" w:before="173"/>
        <w:ind w:left="81" w:right="0" w:firstLine="0"/>
        <w:jc w:val="left"/>
        <w:rPr>
          <w:sz w:val="20"/>
        </w:rPr>
      </w:pPr>
      <w:r>
        <w:rPr>
          <w:sz w:val="20"/>
        </w:rPr>
        <w:t>пролапс тазовых органов. Недержание</w:t>
      </w:r>
      <w:r>
        <w:rPr>
          <w:spacing w:val="-13"/>
          <w:sz w:val="20"/>
        </w:rPr>
        <w:t> </w:t>
      </w:r>
      <w:r>
        <w:rPr>
          <w:sz w:val="20"/>
        </w:rPr>
        <w:t>мочи</w:t>
      </w:r>
      <w:r>
        <w:rPr>
          <w:spacing w:val="-12"/>
          <w:sz w:val="20"/>
        </w:rPr>
        <w:t> </w:t>
      </w:r>
      <w:r>
        <w:rPr>
          <w:sz w:val="20"/>
        </w:rPr>
        <w:t>при</w:t>
      </w:r>
      <w:r>
        <w:rPr>
          <w:spacing w:val="-13"/>
          <w:sz w:val="20"/>
        </w:rPr>
        <w:t> </w:t>
      </w:r>
      <w:r>
        <w:rPr>
          <w:sz w:val="20"/>
        </w:rPr>
        <w:t>напряжении. Несостоятельность сфинктера мочевого пузыря. Эректильная дисфункция.</w:t>
      </w:r>
      <w:r>
        <w:rPr>
          <w:spacing w:val="-12"/>
          <w:sz w:val="20"/>
        </w:rPr>
        <w:t> </w:t>
      </w:r>
      <w:r>
        <w:rPr>
          <w:sz w:val="20"/>
        </w:rPr>
        <w:t>Пузырно-лоханочный рефлюкс высокой степени у детей.</w:t>
      </w:r>
    </w:p>
    <w:p>
      <w:pPr>
        <w:spacing w:before="4"/>
        <w:ind w:left="81" w:right="0" w:firstLine="0"/>
        <w:jc w:val="left"/>
        <w:rPr>
          <w:sz w:val="20"/>
        </w:rPr>
      </w:pPr>
      <w:r>
        <w:rPr>
          <w:sz w:val="20"/>
        </w:rPr>
        <w:t>Атония</w:t>
      </w:r>
      <w:r>
        <w:rPr>
          <w:spacing w:val="-9"/>
          <w:sz w:val="20"/>
        </w:rPr>
        <w:t> </w:t>
      </w:r>
      <w:r>
        <w:rPr>
          <w:sz w:val="20"/>
        </w:rPr>
        <w:t>мочевого</w:t>
      </w:r>
      <w:r>
        <w:rPr>
          <w:spacing w:val="-7"/>
          <w:sz w:val="20"/>
        </w:rPr>
        <w:t> </w:t>
      </w:r>
      <w:r>
        <w:rPr>
          <w:spacing w:val="-2"/>
          <w:sz w:val="20"/>
        </w:rPr>
        <w:t>пузыря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60"/>
        <w:ind w:left="81" w:right="93" w:firstLine="0"/>
        <w:jc w:val="left"/>
        <w:rPr>
          <w:sz w:val="20"/>
        </w:rPr>
      </w:pPr>
      <w:r>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w:t>
      </w:r>
      <w:r>
        <w:rPr>
          <w:spacing w:val="-13"/>
          <w:sz w:val="20"/>
        </w:rPr>
        <w:t> </w:t>
      </w:r>
      <w:r>
        <w:rPr>
          <w:sz w:val="20"/>
        </w:rPr>
        <w:t>рефлюкс</w:t>
      </w:r>
    </w:p>
    <w:p>
      <w:pPr>
        <w:pStyle w:val="BodyText"/>
        <w:rPr>
          <w:sz w:val="22"/>
        </w:rPr>
      </w:pPr>
    </w:p>
    <w:p>
      <w:pPr>
        <w:pStyle w:val="BodyText"/>
        <w:rPr>
          <w:sz w:val="22"/>
        </w:rPr>
      </w:pPr>
    </w:p>
    <w:p>
      <w:pPr>
        <w:pStyle w:val="BodyText"/>
        <w:rPr>
          <w:sz w:val="22"/>
        </w:rPr>
      </w:pPr>
    </w:p>
    <w:p>
      <w:pPr>
        <w:pStyle w:val="BodyText"/>
        <w:spacing w:before="1"/>
        <w:rPr>
          <w:sz w:val="18"/>
        </w:rPr>
      </w:pPr>
    </w:p>
    <w:p>
      <w:pPr>
        <w:spacing w:line="249" w:lineRule="auto" w:before="0"/>
        <w:ind w:left="81" w:right="0" w:firstLine="0"/>
        <w:jc w:val="left"/>
        <w:rPr>
          <w:sz w:val="20"/>
        </w:rPr>
      </w:pPr>
      <w:r>
        <w:rPr>
          <w:sz w:val="20"/>
        </w:rPr>
        <w:t>прогрессивно</w:t>
      </w:r>
      <w:r>
        <w:rPr>
          <w:spacing w:val="-13"/>
          <w:sz w:val="20"/>
        </w:rPr>
        <w:t> </w:t>
      </w:r>
      <w:r>
        <w:rPr>
          <w:sz w:val="20"/>
        </w:rPr>
        <w:t>растущая</w:t>
      </w:r>
      <w:r>
        <w:rPr>
          <w:spacing w:val="-12"/>
          <w:sz w:val="20"/>
        </w:rPr>
        <w:t> </w:t>
      </w:r>
      <w:r>
        <w:rPr>
          <w:sz w:val="20"/>
        </w:rPr>
        <w:t>киста</w:t>
      </w:r>
      <w:r>
        <w:rPr>
          <w:spacing w:val="-13"/>
          <w:sz w:val="20"/>
        </w:rPr>
        <w:t> </w:t>
      </w:r>
      <w:r>
        <w:rPr>
          <w:sz w:val="20"/>
        </w:rPr>
        <w:t>почки. Стриктура мочеточника</w:t>
      </w:r>
    </w:p>
    <w:p>
      <w:pPr>
        <w:spacing w:line="240" w:lineRule="auto" w:before="0"/>
        <w:rPr>
          <w:sz w:val="22"/>
        </w:rPr>
      </w:pPr>
      <w:r>
        <w:rPr/>
        <w:br w:type="column"/>
      </w:r>
      <w:r>
        <w:rPr>
          <w:sz w:val="22"/>
        </w:rPr>
      </w:r>
    </w:p>
    <w:p>
      <w:pPr>
        <w:pStyle w:val="BodyText"/>
        <w:rPr>
          <w:sz w:val="22"/>
        </w:rPr>
      </w:pPr>
    </w:p>
    <w:p>
      <w:pPr>
        <w:pStyle w:val="BodyText"/>
        <w:rPr>
          <w:sz w:val="22"/>
        </w:rPr>
      </w:pPr>
    </w:p>
    <w:p>
      <w:pPr>
        <w:spacing w:line="249" w:lineRule="auto" w:before="173"/>
        <w:ind w:left="129"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spacing w:line="249" w:lineRule="auto" w:before="0"/>
        <w:ind w:left="129"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2"/>
        </w:rPr>
      </w:pPr>
    </w:p>
    <w:p>
      <w:pPr>
        <w:spacing w:line="249" w:lineRule="auto" w:before="0"/>
        <w:ind w:left="129" w:right="0" w:firstLine="0"/>
        <w:jc w:val="left"/>
        <w:rPr>
          <w:sz w:val="20"/>
        </w:rPr>
      </w:pPr>
      <w:r>
        <w:rPr>
          <w:spacing w:val="-2"/>
          <w:sz w:val="20"/>
        </w:rPr>
        <w:t>хирургическое лечение</w:t>
      </w:r>
    </w:p>
    <w:p>
      <w:pPr>
        <w:spacing w:line="249" w:lineRule="auto" w:before="91"/>
        <w:ind w:left="178" w:right="0" w:firstLine="0"/>
        <w:jc w:val="left"/>
        <w:rPr>
          <w:sz w:val="20"/>
        </w:rPr>
      </w:pPr>
      <w:r>
        <w:rPr/>
        <w:br w:type="column"/>
      </w:r>
      <w:r>
        <w:rPr>
          <w:sz w:val="20"/>
        </w:rPr>
        <w:t>лазерная аблация доброкачественных поражений</w:t>
      </w:r>
      <w:r>
        <w:rPr>
          <w:spacing w:val="-13"/>
          <w:sz w:val="20"/>
        </w:rPr>
        <w:t> </w:t>
      </w:r>
      <w:r>
        <w:rPr>
          <w:sz w:val="20"/>
        </w:rPr>
        <w:t>мочевыделительного</w:t>
      </w:r>
      <w:r>
        <w:rPr>
          <w:spacing w:val="-12"/>
          <w:sz w:val="20"/>
        </w:rPr>
        <w:t> </w:t>
      </w:r>
      <w:r>
        <w:rPr>
          <w:sz w:val="20"/>
        </w:rPr>
        <w:t>тракта </w:t>
      </w:r>
      <w:r>
        <w:rPr>
          <w:spacing w:val="-2"/>
          <w:sz w:val="20"/>
        </w:rPr>
        <w:t>эндоскопическая</w:t>
      </w:r>
    </w:p>
    <w:p>
      <w:pPr>
        <w:spacing w:line="249" w:lineRule="auto" w:before="123"/>
        <w:ind w:left="178" w:right="0" w:firstLine="0"/>
        <w:jc w:val="left"/>
        <w:rPr>
          <w:sz w:val="20"/>
        </w:rPr>
      </w:pPr>
      <w:r>
        <w:rPr>
          <w:sz w:val="20"/>
        </w:rPr>
        <w:t>пластика</w:t>
      </w:r>
      <w:r>
        <w:rPr>
          <w:spacing w:val="-12"/>
          <w:sz w:val="20"/>
        </w:rPr>
        <w:t> </w:t>
      </w:r>
      <w:r>
        <w:rPr>
          <w:sz w:val="20"/>
        </w:rPr>
        <w:t>тазового</w:t>
      </w:r>
      <w:r>
        <w:rPr>
          <w:spacing w:val="-11"/>
          <w:sz w:val="20"/>
        </w:rPr>
        <w:t> </w:t>
      </w:r>
      <w:r>
        <w:rPr>
          <w:sz w:val="20"/>
        </w:rPr>
        <w:t>дна</w:t>
      </w:r>
      <w:r>
        <w:rPr>
          <w:spacing w:val="-12"/>
          <w:sz w:val="20"/>
        </w:rPr>
        <w:t> </w:t>
      </w:r>
      <w:r>
        <w:rPr>
          <w:sz w:val="20"/>
        </w:rPr>
        <w:t>с</w:t>
      </w:r>
      <w:r>
        <w:rPr>
          <w:spacing w:val="-12"/>
          <w:sz w:val="20"/>
        </w:rPr>
        <w:t> </w:t>
      </w:r>
      <w:r>
        <w:rPr>
          <w:sz w:val="20"/>
        </w:rPr>
        <w:t>использованием синтетического, сетчатого протеза при пролапсе гениталий у женщин</w:t>
      </w:r>
    </w:p>
    <w:p>
      <w:pPr>
        <w:spacing w:before="122"/>
        <w:ind w:left="178" w:right="0" w:firstLine="0"/>
        <w:jc w:val="left"/>
        <w:rPr>
          <w:sz w:val="20"/>
        </w:rPr>
      </w:pPr>
      <w:r>
        <w:rPr>
          <w:sz w:val="20"/>
        </w:rPr>
        <w:t>эндопластика</w:t>
      </w:r>
      <w:r>
        <w:rPr>
          <w:spacing w:val="-6"/>
          <w:sz w:val="20"/>
        </w:rPr>
        <w:t> </w:t>
      </w:r>
      <w:r>
        <w:rPr>
          <w:sz w:val="20"/>
        </w:rPr>
        <w:t>устья</w:t>
      </w:r>
      <w:r>
        <w:rPr>
          <w:spacing w:val="-9"/>
          <w:sz w:val="20"/>
        </w:rPr>
        <w:t> </w:t>
      </w:r>
      <w:r>
        <w:rPr>
          <w:sz w:val="20"/>
        </w:rPr>
        <w:t>мочеточника</w:t>
      </w:r>
      <w:r>
        <w:rPr>
          <w:spacing w:val="-5"/>
          <w:sz w:val="20"/>
        </w:rPr>
        <w:t> </w:t>
      </w:r>
      <w:r>
        <w:rPr>
          <w:sz w:val="20"/>
        </w:rPr>
        <w:t>у</w:t>
      </w:r>
      <w:r>
        <w:rPr>
          <w:spacing w:val="-9"/>
          <w:sz w:val="20"/>
        </w:rPr>
        <w:t> </w:t>
      </w:r>
      <w:r>
        <w:rPr>
          <w:spacing w:val="-4"/>
          <w:sz w:val="20"/>
        </w:rPr>
        <w:t>детей</w:t>
      </w:r>
    </w:p>
    <w:p>
      <w:pPr>
        <w:spacing w:line="249" w:lineRule="auto" w:before="130"/>
        <w:ind w:left="178" w:right="0" w:firstLine="0"/>
        <w:jc w:val="left"/>
        <w:rPr>
          <w:sz w:val="20"/>
        </w:rPr>
      </w:pPr>
      <w:r>
        <w:rPr>
          <w:sz w:val="20"/>
        </w:rPr>
        <w:t>имплантация</w:t>
      </w:r>
      <w:r>
        <w:rPr>
          <w:spacing w:val="-13"/>
          <w:sz w:val="20"/>
        </w:rPr>
        <w:t> </w:t>
      </w:r>
      <w:r>
        <w:rPr>
          <w:sz w:val="20"/>
        </w:rPr>
        <w:t>искусственного</w:t>
      </w:r>
      <w:r>
        <w:rPr>
          <w:spacing w:val="-12"/>
          <w:sz w:val="20"/>
        </w:rPr>
        <w:t> </w:t>
      </w:r>
      <w:r>
        <w:rPr>
          <w:sz w:val="20"/>
        </w:rPr>
        <w:t>сфинктера мочевого пузыря</w:t>
      </w:r>
    </w:p>
    <w:p>
      <w:pPr>
        <w:spacing w:line="249" w:lineRule="auto" w:before="122"/>
        <w:ind w:left="178" w:right="0" w:firstLine="0"/>
        <w:jc w:val="left"/>
        <w:rPr>
          <w:sz w:val="20"/>
        </w:rPr>
      </w:pPr>
      <w:r>
        <w:rPr>
          <w:sz w:val="20"/>
        </w:rPr>
        <w:t>фаллопластика</w:t>
      </w:r>
      <w:r>
        <w:rPr>
          <w:spacing w:val="-13"/>
          <w:sz w:val="20"/>
        </w:rPr>
        <w:t> </w:t>
      </w:r>
      <w:r>
        <w:rPr>
          <w:sz w:val="20"/>
        </w:rPr>
        <w:t>с</w:t>
      </w:r>
      <w:r>
        <w:rPr>
          <w:spacing w:val="-12"/>
          <w:sz w:val="20"/>
        </w:rPr>
        <w:t> </w:t>
      </w:r>
      <w:r>
        <w:rPr>
          <w:sz w:val="20"/>
        </w:rPr>
        <w:t>протезированием </w:t>
      </w:r>
      <w:r>
        <w:rPr>
          <w:spacing w:val="-2"/>
          <w:sz w:val="20"/>
        </w:rPr>
        <w:t>фаллопротезом</w:t>
      </w:r>
    </w:p>
    <w:p>
      <w:pPr>
        <w:spacing w:line="252" w:lineRule="auto" w:before="122"/>
        <w:ind w:left="178" w:right="0" w:firstLine="0"/>
        <w:jc w:val="left"/>
        <w:rPr>
          <w:sz w:val="20"/>
        </w:rPr>
      </w:pPr>
      <w:r>
        <w:rPr>
          <w:sz w:val="20"/>
        </w:rPr>
        <w:t>имплантация</w:t>
      </w:r>
      <w:r>
        <w:rPr>
          <w:spacing w:val="-13"/>
          <w:sz w:val="20"/>
        </w:rPr>
        <w:t> </w:t>
      </w:r>
      <w:r>
        <w:rPr>
          <w:sz w:val="20"/>
        </w:rPr>
        <w:t>временного</w:t>
      </w:r>
      <w:r>
        <w:rPr>
          <w:spacing w:val="-12"/>
          <w:sz w:val="20"/>
        </w:rPr>
        <w:t> </w:t>
      </w:r>
      <w:r>
        <w:rPr>
          <w:sz w:val="20"/>
        </w:rPr>
        <w:t>сакрального нейростимулятора мочевого пузыря</w:t>
      </w:r>
    </w:p>
    <w:p>
      <w:pPr>
        <w:spacing w:line="249" w:lineRule="auto" w:before="117"/>
        <w:ind w:left="178" w:right="0" w:firstLine="0"/>
        <w:jc w:val="left"/>
        <w:rPr>
          <w:sz w:val="20"/>
        </w:rPr>
      </w:pPr>
      <w:r>
        <w:rPr>
          <w:sz w:val="20"/>
        </w:rPr>
        <w:t>имплантация</w:t>
      </w:r>
      <w:r>
        <w:rPr>
          <w:spacing w:val="-13"/>
          <w:sz w:val="20"/>
        </w:rPr>
        <w:t> </w:t>
      </w:r>
      <w:r>
        <w:rPr>
          <w:sz w:val="20"/>
        </w:rPr>
        <w:t>постоянного</w:t>
      </w:r>
      <w:r>
        <w:rPr>
          <w:spacing w:val="-12"/>
          <w:sz w:val="20"/>
        </w:rPr>
        <w:t> </w:t>
      </w:r>
      <w:r>
        <w:rPr>
          <w:sz w:val="20"/>
        </w:rPr>
        <w:t>сакрального нейростимулятора мочевого пузыря</w:t>
      </w:r>
    </w:p>
    <w:p>
      <w:pPr>
        <w:spacing w:line="249" w:lineRule="auto" w:before="122"/>
        <w:ind w:left="178" w:right="0" w:firstLine="0"/>
        <w:jc w:val="left"/>
        <w:rPr>
          <w:sz w:val="20"/>
        </w:rPr>
      </w:pPr>
      <w:r>
        <w:rPr>
          <w:sz w:val="20"/>
        </w:rPr>
        <w:t>нефрэктомия</w:t>
      </w:r>
      <w:r>
        <w:rPr>
          <w:spacing w:val="-11"/>
          <w:sz w:val="20"/>
        </w:rPr>
        <w:t> </w:t>
      </w:r>
      <w:r>
        <w:rPr>
          <w:sz w:val="20"/>
        </w:rPr>
        <w:t>с</w:t>
      </w:r>
      <w:r>
        <w:rPr>
          <w:spacing w:val="-10"/>
          <w:sz w:val="20"/>
        </w:rPr>
        <w:t> </w:t>
      </w:r>
      <w:r>
        <w:rPr>
          <w:sz w:val="20"/>
        </w:rPr>
        <w:t>тромбэктомией</w:t>
      </w:r>
      <w:r>
        <w:rPr>
          <w:spacing w:val="-11"/>
          <w:sz w:val="20"/>
        </w:rPr>
        <w:t> </w:t>
      </w:r>
      <w:r>
        <w:rPr>
          <w:sz w:val="20"/>
        </w:rPr>
        <w:t>из</w:t>
      </w:r>
      <w:r>
        <w:rPr>
          <w:spacing w:val="-10"/>
          <w:sz w:val="20"/>
        </w:rPr>
        <w:t> </w:t>
      </w:r>
      <w:r>
        <w:rPr>
          <w:sz w:val="20"/>
        </w:rPr>
        <w:t>нижней полой вены</w:t>
      </w:r>
    </w:p>
    <w:p>
      <w:pPr>
        <w:spacing w:line="249" w:lineRule="auto" w:before="121"/>
        <w:ind w:left="178" w:right="783" w:firstLine="0"/>
        <w:jc w:val="left"/>
        <w:rPr>
          <w:sz w:val="20"/>
        </w:rPr>
      </w:pPr>
      <w:r>
        <w:rPr>
          <w:sz w:val="20"/>
        </w:rPr>
        <w:t>перкутанная</w:t>
      </w:r>
      <w:r>
        <w:rPr>
          <w:spacing w:val="-13"/>
          <w:sz w:val="20"/>
        </w:rPr>
        <w:t> </w:t>
      </w:r>
      <w:r>
        <w:rPr>
          <w:sz w:val="20"/>
        </w:rPr>
        <w:t>нефролитолапоксия с эндопиелотомией</w:t>
      </w:r>
    </w:p>
    <w:p>
      <w:pPr>
        <w:spacing w:before="122"/>
        <w:ind w:left="178" w:right="0" w:firstLine="0"/>
        <w:jc w:val="left"/>
        <w:rPr>
          <w:sz w:val="20"/>
        </w:rPr>
      </w:pPr>
      <w:r>
        <w:rPr>
          <w:sz w:val="20"/>
        </w:rPr>
        <w:t>дистанционная</w:t>
      </w:r>
      <w:r>
        <w:rPr>
          <w:spacing w:val="-8"/>
          <w:sz w:val="20"/>
        </w:rPr>
        <w:t> </w:t>
      </w:r>
      <w:r>
        <w:rPr>
          <w:sz w:val="20"/>
        </w:rPr>
        <w:t>литотрипсия</w:t>
      </w:r>
      <w:r>
        <w:rPr>
          <w:spacing w:val="-6"/>
          <w:sz w:val="20"/>
        </w:rPr>
        <w:t> </w:t>
      </w:r>
      <w:r>
        <w:rPr>
          <w:sz w:val="20"/>
        </w:rPr>
        <w:t>у</w:t>
      </w:r>
      <w:r>
        <w:rPr>
          <w:spacing w:val="-12"/>
          <w:sz w:val="20"/>
        </w:rPr>
        <w:t> </w:t>
      </w:r>
      <w:r>
        <w:rPr>
          <w:spacing w:val="-4"/>
          <w:sz w:val="20"/>
        </w:rPr>
        <w:t>детей</w:t>
      </w:r>
    </w:p>
    <w:p>
      <w:pPr>
        <w:spacing w:line="249" w:lineRule="auto" w:before="131"/>
        <w:ind w:left="178" w:right="0" w:firstLine="0"/>
        <w:jc w:val="left"/>
        <w:rPr>
          <w:sz w:val="20"/>
        </w:rPr>
      </w:pPr>
      <w:r>
        <w:rPr>
          <w:sz w:val="20"/>
        </w:rPr>
        <w:t>билатеральная</w:t>
      </w:r>
      <w:r>
        <w:rPr>
          <w:spacing w:val="-13"/>
          <w:sz w:val="20"/>
        </w:rPr>
        <w:t> </w:t>
      </w:r>
      <w:r>
        <w:rPr>
          <w:sz w:val="20"/>
        </w:rPr>
        <w:t>пластика</w:t>
      </w:r>
      <w:r>
        <w:rPr>
          <w:spacing w:val="-12"/>
          <w:sz w:val="20"/>
        </w:rPr>
        <w:t> </w:t>
      </w:r>
      <w:r>
        <w:rPr>
          <w:sz w:val="20"/>
        </w:rPr>
        <w:t>тазовых</w:t>
      </w:r>
      <w:r>
        <w:rPr>
          <w:spacing w:val="-13"/>
          <w:sz w:val="20"/>
        </w:rPr>
        <w:t> </w:t>
      </w:r>
      <w:r>
        <w:rPr>
          <w:sz w:val="20"/>
        </w:rPr>
        <w:t>отделов </w:t>
      </w:r>
      <w:r>
        <w:rPr>
          <w:spacing w:val="-2"/>
          <w:sz w:val="20"/>
        </w:rPr>
        <w:t>мочеточников</w:t>
      </w:r>
    </w:p>
    <w:p>
      <w:pPr>
        <w:spacing w:line="376" w:lineRule="auto" w:before="121"/>
        <w:ind w:left="178" w:right="108" w:firstLine="0"/>
        <w:jc w:val="left"/>
        <w:rPr>
          <w:sz w:val="20"/>
        </w:rPr>
      </w:pPr>
      <w:r>
        <w:rPr>
          <w:sz w:val="20"/>
        </w:rPr>
        <w:t>геминефруретерэктомия</w:t>
      </w:r>
      <w:r>
        <w:rPr>
          <w:spacing w:val="-13"/>
          <w:sz w:val="20"/>
        </w:rPr>
        <w:t> </w:t>
      </w:r>
      <w:r>
        <w:rPr>
          <w:sz w:val="20"/>
        </w:rPr>
        <w:t>у</w:t>
      </w:r>
      <w:r>
        <w:rPr>
          <w:spacing w:val="-12"/>
          <w:sz w:val="20"/>
        </w:rPr>
        <w:t> </w:t>
      </w:r>
      <w:r>
        <w:rPr>
          <w:sz w:val="20"/>
        </w:rPr>
        <w:t>детей передняя тазовая экзентерация</w:t>
      </w:r>
    </w:p>
    <w:p>
      <w:pPr>
        <w:spacing w:line="249" w:lineRule="auto" w:before="0"/>
        <w:ind w:left="178" w:right="0" w:firstLine="0"/>
        <w:jc w:val="left"/>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w:t>
      </w:r>
      <w:r>
        <w:rPr>
          <w:spacing w:val="-2"/>
          <w:sz w:val="20"/>
        </w:rPr>
        <w:t>нефроуретерэктомия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pPr>
    </w:p>
    <w:p>
      <w:pPr>
        <w:spacing w:before="0"/>
        <w:ind w:left="367" w:right="0" w:firstLine="0"/>
        <w:jc w:val="left"/>
        <w:rPr>
          <w:sz w:val="20"/>
        </w:rPr>
      </w:pPr>
      <w:r>
        <w:rPr>
          <w:spacing w:val="-2"/>
          <w:sz w:val="20"/>
        </w:rPr>
        <w:t>205487</w:t>
      </w:r>
    </w:p>
    <w:p>
      <w:pPr>
        <w:spacing w:after="0"/>
        <w:jc w:val="left"/>
        <w:rPr>
          <w:sz w:val="20"/>
        </w:rPr>
        <w:sectPr>
          <w:type w:val="continuous"/>
          <w:pgSz w:w="16850" w:h="11910" w:orient="landscape"/>
          <w:pgMar w:header="753" w:footer="0" w:top="1080" w:bottom="280" w:left="400" w:right="400"/>
          <w:cols w:num="6" w:equalWidth="0">
            <w:col w:w="3481" w:space="40"/>
            <w:col w:w="2152" w:space="39"/>
            <w:col w:w="3221" w:space="39"/>
            <w:col w:w="1386" w:space="39"/>
            <w:col w:w="3783" w:space="220"/>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98" w:firstLine="0"/>
        <w:jc w:val="left"/>
        <w:rPr>
          <w:sz w:val="20"/>
        </w:rPr>
      </w:pPr>
      <w:r>
        <w:rPr>
          <w:sz w:val="20"/>
        </w:rPr>
        <w:t>системы с использованием лапароскопической</w:t>
      </w:r>
      <w:r>
        <w:rPr>
          <w:spacing w:val="-13"/>
          <w:sz w:val="20"/>
        </w:rPr>
        <w:t> </w:t>
      </w:r>
      <w:r>
        <w:rPr>
          <w:sz w:val="20"/>
        </w:rPr>
        <w:t>техники</w:t>
      </w:r>
    </w:p>
    <w:p>
      <w:pPr>
        <w:pStyle w:val="ListParagraph"/>
        <w:numPr>
          <w:ilvl w:val="0"/>
          <w:numId w:val="11"/>
        </w:numPr>
        <w:tabs>
          <w:tab w:pos="931" w:val="left" w:leader="none"/>
          <w:tab w:pos="932" w:val="left" w:leader="none"/>
        </w:tabs>
        <w:spacing w:line="249" w:lineRule="auto" w:before="121" w:after="0"/>
        <w:ind w:left="931" w:right="38" w:hanging="564"/>
        <w:jc w:val="left"/>
        <w:rPr>
          <w:sz w:val="20"/>
        </w:rPr>
      </w:pPr>
      <w:r>
        <w:rPr>
          <w:sz w:val="20"/>
        </w:rPr>
        <w:t>Оперативные</w:t>
      </w:r>
      <w:r>
        <w:rPr>
          <w:spacing w:val="-13"/>
          <w:sz w:val="20"/>
        </w:rPr>
        <w:t> </w:t>
      </w:r>
      <w:r>
        <w:rPr>
          <w:sz w:val="20"/>
        </w:rPr>
        <w:t>вмешательства на органах мочеполовой системы с использованием </w:t>
      </w:r>
      <w:r>
        <w:rPr>
          <w:spacing w:val="-2"/>
          <w:sz w:val="20"/>
        </w:rPr>
        <w:t>робототехники</w:t>
      </w:r>
    </w:p>
    <w:p>
      <w:pPr>
        <w:spacing w:line="240" w:lineRule="auto" w:before="0"/>
        <w:rPr>
          <w:sz w:val="22"/>
        </w:rPr>
      </w:pPr>
      <w:r>
        <w:rPr/>
        <w:br w:type="column"/>
      </w:r>
      <w:r>
        <w:rPr>
          <w:sz w:val="22"/>
        </w:rPr>
      </w:r>
    </w:p>
    <w:p>
      <w:pPr>
        <w:pStyle w:val="BodyText"/>
        <w:rPr>
          <w:sz w:val="22"/>
        </w:rPr>
      </w:pPr>
    </w:p>
    <w:p>
      <w:pPr>
        <w:tabs>
          <w:tab w:pos="2070" w:val="left" w:leader="none"/>
        </w:tabs>
        <w:spacing w:before="185"/>
        <w:ind w:left="368" w:right="0" w:firstLine="0"/>
        <w:jc w:val="left"/>
        <w:rPr>
          <w:sz w:val="20"/>
        </w:rPr>
      </w:pPr>
      <w:r>
        <w:rPr>
          <w:sz w:val="20"/>
        </w:rPr>
        <w:t>C67,С61,</w:t>
      </w:r>
      <w:r>
        <w:rPr>
          <w:spacing w:val="-6"/>
          <w:sz w:val="20"/>
        </w:rPr>
        <w:t> </w:t>
      </w:r>
      <w:r>
        <w:rPr>
          <w:spacing w:val="-5"/>
          <w:sz w:val="20"/>
        </w:rPr>
        <w:t>С64</w:t>
      </w:r>
      <w:r>
        <w:rPr>
          <w:sz w:val="20"/>
        </w:rPr>
        <w:tab/>
        <w:t>опухоль</w:t>
      </w:r>
      <w:r>
        <w:rPr>
          <w:spacing w:val="-8"/>
          <w:sz w:val="20"/>
        </w:rPr>
        <w:t> </w:t>
      </w:r>
      <w:r>
        <w:rPr>
          <w:sz w:val="20"/>
        </w:rPr>
        <w:t>мочевого</w:t>
      </w:r>
      <w:r>
        <w:rPr>
          <w:spacing w:val="-7"/>
          <w:sz w:val="20"/>
        </w:rPr>
        <w:t> </w:t>
      </w:r>
      <w:r>
        <w:rPr>
          <w:sz w:val="20"/>
        </w:rPr>
        <w:t>пузыря,</w:t>
      </w:r>
      <w:r>
        <w:rPr>
          <w:spacing w:val="-8"/>
          <w:sz w:val="20"/>
        </w:rPr>
        <w:t> </w:t>
      </w:r>
      <w:r>
        <w:rPr>
          <w:spacing w:val="-2"/>
          <w:sz w:val="20"/>
        </w:rPr>
        <w:t>опухоль</w:t>
      </w:r>
    </w:p>
    <w:p>
      <w:pPr>
        <w:spacing w:line="249" w:lineRule="auto" w:before="11"/>
        <w:ind w:left="2070" w:right="0" w:firstLine="0"/>
        <w:jc w:val="left"/>
        <w:rPr>
          <w:sz w:val="20"/>
        </w:rPr>
      </w:pPr>
      <w:r>
        <w:rPr>
          <w:sz w:val="20"/>
        </w:rPr>
        <w:t>предстательной</w:t>
      </w:r>
      <w:r>
        <w:rPr>
          <w:spacing w:val="-13"/>
          <w:sz w:val="20"/>
        </w:rPr>
        <w:t> </w:t>
      </w:r>
      <w:r>
        <w:rPr>
          <w:sz w:val="20"/>
        </w:rPr>
        <w:t>железы,</w:t>
      </w:r>
      <w:r>
        <w:rPr>
          <w:spacing w:val="-12"/>
          <w:sz w:val="20"/>
        </w:rPr>
        <w:t> </w:t>
      </w:r>
      <w:r>
        <w:rPr>
          <w:sz w:val="20"/>
        </w:rPr>
        <w:t>опухоль </w:t>
      </w:r>
      <w:r>
        <w:rPr>
          <w:spacing w:val="-2"/>
          <w:sz w:val="20"/>
        </w:rPr>
        <w:t>почки</w:t>
      </w:r>
    </w:p>
    <w:p>
      <w:pPr>
        <w:spacing w:line="240" w:lineRule="auto" w:before="0"/>
        <w:rPr>
          <w:sz w:val="22"/>
        </w:rPr>
      </w:pPr>
      <w:r>
        <w:rPr/>
        <w:br w:type="column"/>
      </w:r>
      <w:r>
        <w:rPr>
          <w:sz w:val="22"/>
        </w:rPr>
      </w:r>
    </w:p>
    <w:p>
      <w:pPr>
        <w:pStyle w:val="BodyText"/>
        <w:rPr>
          <w:sz w:val="22"/>
        </w:rPr>
      </w:pPr>
    </w:p>
    <w:p>
      <w:pPr>
        <w:spacing w:line="252" w:lineRule="auto" w:before="185"/>
        <w:ind w:left="273" w:right="0" w:firstLine="0"/>
        <w:jc w:val="left"/>
        <w:rPr>
          <w:sz w:val="20"/>
        </w:rPr>
      </w:pPr>
      <w:r>
        <w:rPr>
          <w:spacing w:val="-2"/>
          <w:sz w:val="20"/>
        </w:rPr>
        <w:t>хирургическое лечение</w:t>
      </w:r>
    </w:p>
    <w:p>
      <w:pPr>
        <w:spacing w:line="249" w:lineRule="auto" w:before="91"/>
        <w:ind w:left="178" w:right="0" w:firstLine="0"/>
        <w:jc w:val="left"/>
        <w:rPr>
          <w:sz w:val="20"/>
        </w:rPr>
      </w:pPr>
      <w:r>
        <w:rPr/>
        <w:br w:type="column"/>
      </w:r>
      <w:r>
        <w:rPr>
          <w:sz w:val="20"/>
        </w:rPr>
        <w:t>лапаро-</w:t>
      </w:r>
      <w:r>
        <w:rPr>
          <w:spacing w:val="-13"/>
          <w:sz w:val="20"/>
        </w:rPr>
        <w:t> </w:t>
      </w:r>
      <w:r>
        <w:rPr>
          <w:sz w:val="20"/>
        </w:rPr>
        <w:t>и</w:t>
      </w:r>
      <w:r>
        <w:rPr>
          <w:spacing w:val="-12"/>
          <w:sz w:val="20"/>
        </w:rPr>
        <w:t> </w:t>
      </w:r>
      <w:r>
        <w:rPr>
          <w:sz w:val="20"/>
        </w:rPr>
        <w:t>ретроперитонеоскопическая резекция почки</w:t>
      </w:r>
    </w:p>
    <w:p>
      <w:pPr>
        <w:spacing w:line="252" w:lineRule="auto" w:before="121"/>
        <w:ind w:left="178" w:right="290" w:firstLine="0"/>
        <w:jc w:val="left"/>
        <w:rPr>
          <w:sz w:val="20"/>
        </w:rPr>
      </w:pPr>
      <w:r>
        <w:rPr>
          <w:sz w:val="20"/>
        </w:rPr>
        <w:t>роботассистированнная</w:t>
      </w:r>
      <w:r>
        <w:rPr>
          <w:spacing w:val="-13"/>
          <w:sz w:val="20"/>
        </w:rPr>
        <w:t> </w:t>
      </w:r>
      <w:r>
        <w:rPr>
          <w:sz w:val="20"/>
        </w:rPr>
        <w:t>расширенная </w:t>
      </w:r>
      <w:r>
        <w:rPr>
          <w:spacing w:val="-2"/>
          <w:sz w:val="20"/>
        </w:rPr>
        <w:t>лимфаденэктомия</w:t>
      </w:r>
    </w:p>
    <w:p>
      <w:pPr>
        <w:spacing w:line="249" w:lineRule="auto" w:before="118"/>
        <w:ind w:left="178" w:right="456" w:firstLine="0"/>
        <w:jc w:val="left"/>
        <w:rPr>
          <w:sz w:val="20"/>
        </w:rPr>
      </w:pPr>
      <w:r>
        <w:rPr>
          <w:sz w:val="20"/>
        </w:rPr>
        <w:t>роботассистированная</w:t>
      </w:r>
      <w:r>
        <w:rPr>
          <w:spacing w:val="-13"/>
          <w:sz w:val="20"/>
        </w:rPr>
        <w:t> </w:t>
      </w:r>
      <w:r>
        <w:rPr>
          <w:sz w:val="20"/>
        </w:rPr>
        <w:t>радикальная </w:t>
      </w:r>
      <w:r>
        <w:rPr>
          <w:spacing w:val="-2"/>
          <w:sz w:val="20"/>
        </w:rPr>
        <w:t>простатэктомия</w:t>
      </w:r>
    </w:p>
    <w:p>
      <w:pPr>
        <w:spacing w:line="376" w:lineRule="auto" w:before="122"/>
        <w:ind w:left="178" w:right="0" w:firstLine="0"/>
        <w:jc w:val="left"/>
        <w:rPr>
          <w:sz w:val="20"/>
        </w:rPr>
      </w:pPr>
      <w:r>
        <w:rPr>
          <w:sz w:val="20"/>
        </w:rPr>
        <w:t>роботассистированная цистэктомия роботассистированная резекция почки</w:t>
      </w:r>
    </w:p>
    <w:p>
      <w:pPr>
        <w:spacing w:line="249" w:lineRule="auto" w:before="0"/>
        <w:ind w:left="178" w:right="0" w:firstLine="0"/>
        <w:jc w:val="left"/>
        <w:rPr>
          <w:sz w:val="20"/>
        </w:rPr>
      </w:pPr>
      <w:r>
        <w:rPr>
          <w:sz w:val="20"/>
        </w:rPr>
        <w:t>роботассистированная</w:t>
      </w:r>
      <w:r>
        <w:rPr>
          <w:spacing w:val="-13"/>
          <w:sz w:val="20"/>
        </w:rPr>
        <w:t> </w:t>
      </w:r>
      <w:r>
        <w:rPr>
          <w:sz w:val="20"/>
        </w:rPr>
        <w:t>нефректомия</w:t>
      </w:r>
      <w:r>
        <w:rPr>
          <w:spacing w:val="-12"/>
          <w:sz w:val="20"/>
        </w:rPr>
        <w:t> </w:t>
      </w:r>
      <w:r>
        <w:rPr>
          <w:sz w:val="20"/>
        </w:rPr>
        <w:t>при злокачественных опухолях почки</w:t>
      </w:r>
    </w:p>
    <w:p>
      <w:pPr>
        <w:spacing w:line="240" w:lineRule="auto" w:before="0"/>
        <w:rPr>
          <w:sz w:val="22"/>
        </w:rPr>
      </w:pPr>
      <w:r>
        <w:rPr/>
        <w:br w:type="column"/>
      </w:r>
      <w:r>
        <w:rPr>
          <w:sz w:val="22"/>
        </w:rPr>
      </w:r>
    </w:p>
    <w:p>
      <w:pPr>
        <w:pStyle w:val="BodyText"/>
        <w:rPr>
          <w:sz w:val="22"/>
        </w:rPr>
      </w:pPr>
    </w:p>
    <w:p>
      <w:pPr>
        <w:spacing w:before="185"/>
        <w:ind w:left="367" w:right="0" w:firstLine="0"/>
        <w:jc w:val="left"/>
        <w:rPr>
          <w:sz w:val="20"/>
        </w:rPr>
      </w:pPr>
      <w:r>
        <w:rPr>
          <w:spacing w:val="-2"/>
          <w:sz w:val="20"/>
        </w:rPr>
        <w:t>298041</w:t>
      </w:r>
    </w:p>
    <w:p>
      <w:pPr>
        <w:spacing w:after="0"/>
        <w:jc w:val="left"/>
        <w:rPr>
          <w:sz w:val="20"/>
        </w:rPr>
        <w:sectPr>
          <w:type w:val="continuous"/>
          <w:pgSz w:w="16850" w:h="11910" w:orient="landscape"/>
          <w:pgMar w:header="753" w:footer="0" w:top="1080" w:bottom="280" w:left="400" w:right="400"/>
          <w:cols w:num="5" w:equalWidth="0">
            <w:col w:w="3448" w:space="275"/>
            <w:col w:w="5065" w:space="39"/>
            <w:col w:w="1530" w:space="40"/>
            <w:col w:w="3678" w:space="325"/>
            <w:col w:w="1650"/>
          </w:cols>
        </w:sectPr>
      </w:pPr>
    </w:p>
    <w:p>
      <w:pPr>
        <w:spacing w:before="119"/>
        <w:ind w:left="207" w:right="208" w:firstLine="0"/>
        <w:jc w:val="center"/>
        <w:rPr>
          <w:sz w:val="20"/>
        </w:rPr>
      </w:pPr>
      <w:r>
        <w:rPr>
          <w:w w:val="95"/>
          <w:sz w:val="20"/>
        </w:rPr>
        <w:t>Челюстно-лицевая</w:t>
      </w:r>
      <w:r>
        <w:rPr>
          <w:spacing w:val="59"/>
          <w:sz w:val="20"/>
        </w:rPr>
        <w:t> </w:t>
      </w:r>
      <w:r>
        <w:rPr>
          <w:spacing w:val="-2"/>
          <w:w w:val="95"/>
          <w:sz w:val="20"/>
        </w:rPr>
        <w:t>хирургия</w:t>
      </w:r>
    </w:p>
    <w:p>
      <w:pPr>
        <w:spacing w:after="0"/>
        <w:jc w:val="center"/>
        <w:rPr>
          <w:sz w:val="20"/>
        </w:rPr>
        <w:sectPr>
          <w:type w:val="continuous"/>
          <w:pgSz w:w="16850" w:h="11910" w:orient="landscape"/>
          <w:pgMar w:header="753" w:footer="0" w:top="1080" w:bottom="280" w:left="400" w:right="400"/>
        </w:sectPr>
      </w:pPr>
    </w:p>
    <w:p>
      <w:pPr>
        <w:pStyle w:val="ListParagraph"/>
        <w:numPr>
          <w:ilvl w:val="0"/>
          <w:numId w:val="11"/>
        </w:numPr>
        <w:tabs>
          <w:tab w:pos="931" w:val="left" w:leader="none"/>
          <w:tab w:pos="932" w:val="left" w:leader="none"/>
        </w:tabs>
        <w:spacing w:line="249" w:lineRule="auto" w:before="131" w:after="0"/>
        <w:ind w:left="931" w:right="38" w:hanging="564"/>
        <w:jc w:val="left"/>
        <w:rPr>
          <w:sz w:val="20"/>
        </w:rPr>
      </w:pPr>
      <w:r>
        <w:rPr>
          <w:spacing w:val="-2"/>
          <w:sz w:val="20"/>
        </w:rPr>
        <w:t>Реконструктивно- </w:t>
      </w:r>
      <w:r>
        <w:rPr>
          <w:sz w:val="20"/>
        </w:rPr>
        <w:t>пластические операции при врожденных пороках развития</w:t>
      </w:r>
      <w:r>
        <w:rPr>
          <w:spacing w:val="-13"/>
          <w:sz w:val="20"/>
        </w:rPr>
        <w:t> </w:t>
      </w:r>
      <w:r>
        <w:rPr>
          <w:sz w:val="20"/>
        </w:rPr>
        <w:t>черепно-челюстно- лицевой области</w:t>
      </w:r>
    </w:p>
    <w:p>
      <w:pPr>
        <w:tabs>
          <w:tab w:pos="2262" w:val="left" w:leader="none"/>
        </w:tabs>
        <w:spacing w:line="249" w:lineRule="auto" w:before="131"/>
        <w:ind w:left="2262" w:right="142" w:hanging="1373"/>
        <w:jc w:val="left"/>
        <w:rPr>
          <w:sz w:val="20"/>
        </w:rPr>
      </w:pPr>
      <w:r>
        <w:rPr/>
        <w:br w:type="column"/>
      </w:r>
      <w:r>
        <w:rPr>
          <w:spacing w:val="-4"/>
          <w:sz w:val="20"/>
        </w:rPr>
        <w:t>Q36.0</w:t>
      </w:r>
      <w:r>
        <w:rPr>
          <w:sz w:val="20"/>
        </w:rPr>
        <w:tab/>
        <w:t>врожденная</w:t>
      </w:r>
      <w:r>
        <w:rPr>
          <w:spacing w:val="-13"/>
          <w:sz w:val="20"/>
        </w:rPr>
        <w:t> </w:t>
      </w:r>
      <w:r>
        <w:rPr>
          <w:sz w:val="20"/>
        </w:rPr>
        <w:t>полная</w:t>
      </w:r>
      <w:r>
        <w:rPr>
          <w:spacing w:val="-12"/>
          <w:sz w:val="20"/>
        </w:rPr>
        <w:t> </w:t>
      </w:r>
      <w:r>
        <w:rPr>
          <w:sz w:val="20"/>
        </w:rPr>
        <w:t>двухсторонняя расщелина верхней губы</w:t>
      </w:r>
    </w:p>
    <w:p>
      <w:pPr>
        <w:tabs>
          <w:tab w:pos="2262" w:val="left" w:leader="none"/>
        </w:tabs>
        <w:spacing w:before="121"/>
        <w:ind w:left="368" w:right="0" w:firstLine="0"/>
        <w:jc w:val="left"/>
        <w:rPr>
          <w:sz w:val="20"/>
        </w:rPr>
      </w:pPr>
      <w:r>
        <w:rPr>
          <w:sz w:val="20"/>
        </w:rPr>
        <w:t>Q35,</w:t>
      </w:r>
      <w:r>
        <w:rPr>
          <w:spacing w:val="-4"/>
          <w:sz w:val="20"/>
        </w:rPr>
        <w:t> </w:t>
      </w:r>
      <w:r>
        <w:rPr>
          <w:sz w:val="20"/>
        </w:rPr>
        <w:t>Q37.0,</w:t>
      </w:r>
      <w:r>
        <w:rPr>
          <w:spacing w:val="-3"/>
          <w:sz w:val="20"/>
        </w:rPr>
        <w:t> </w:t>
      </w:r>
      <w:r>
        <w:rPr>
          <w:spacing w:val="-2"/>
          <w:sz w:val="20"/>
        </w:rPr>
        <w:t>Q37.1</w:t>
      </w:r>
      <w:r>
        <w:rPr>
          <w:sz w:val="20"/>
        </w:rPr>
        <w:tab/>
        <w:t>врожденная</w:t>
      </w:r>
      <w:r>
        <w:rPr>
          <w:spacing w:val="-8"/>
          <w:sz w:val="20"/>
        </w:rPr>
        <w:t> </w:t>
      </w:r>
      <w:r>
        <w:rPr>
          <w:sz w:val="20"/>
        </w:rPr>
        <w:t>одно-</w:t>
      </w:r>
      <w:r>
        <w:rPr>
          <w:spacing w:val="-6"/>
          <w:sz w:val="20"/>
        </w:rPr>
        <w:t> </w:t>
      </w:r>
      <w:r>
        <w:rPr>
          <w:sz w:val="20"/>
        </w:rPr>
        <w:t>или</w:t>
      </w:r>
      <w:r>
        <w:rPr>
          <w:spacing w:val="-8"/>
          <w:sz w:val="20"/>
        </w:rPr>
        <w:t> </w:t>
      </w:r>
      <w:r>
        <w:rPr>
          <w:spacing w:val="-2"/>
          <w:sz w:val="20"/>
        </w:rPr>
        <w:t>двусторонняя</w:t>
      </w:r>
    </w:p>
    <w:p>
      <w:pPr>
        <w:spacing w:line="249" w:lineRule="auto" w:before="10"/>
        <w:ind w:left="2262" w:right="0" w:firstLine="0"/>
        <w:jc w:val="left"/>
        <w:rPr>
          <w:sz w:val="20"/>
        </w:rPr>
      </w:pPr>
      <w:r>
        <w:rPr>
          <w:sz w:val="20"/>
        </w:rPr>
        <w:t>расщелина</w:t>
      </w:r>
      <w:r>
        <w:rPr>
          <w:spacing w:val="-13"/>
          <w:sz w:val="20"/>
        </w:rPr>
        <w:t> </w:t>
      </w:r>
      <w:r>
        <w:rPr>
          <w:sz w:val="20"/>
        </w:rPr>
        <w:t>неба</w:t>
      </w:r>
      <w:r>
        <w:rPr>
          <w:spacing w:val="-12"/>
          <w:sz w:val="20"/>
        </w:rPr>
        <w:t> </w:t>
      </w:r>
      <w:r>
        <w:rPr>
          <w:sz w:val="20"/>
        </w:rPr>
        <w:t>и</w:t>
      </w:r>
      <w:r>
        <w:rPr>
          <w:spacing w:val="-13"/>
          <w:sz w:val="20"/>
        </w:rPr>
        <w:t> </w:t>
      </w:r>
      <w:r>
        <w:rPr>
          <w:sz w:val="20"/>
        </w:rPr>
        <w:t>альвеолярного отростка верхней челюсти</w:t>
      </w:r>
    </w:p>
    <w:p>
      <w:pPr>
        <w:spacing w:line="249" w:lineRule="auto" w:before="131"/>
        <w:ind w:left="142" w:right="0" w:firstLine="0"/>
        <w:jc w:val="left"/>
        <w:rPr>
          <w:sz w:val="20"/>
        </w:rPr>
      </w:pPr>
      <w:r>
        <w:rPr/>
        <w:br w:type="column"/>
      </w:r>
      <w:r>
        <w:rPr>
          <w:spacing w:val="-2"/>
          <w:sz w:val="20"/>
        </w:rPr>
        <w:t>хирургическое лечение</w:t>
      </w:r>
    </w:p>
    <w:p>
      <w:pPr>
        <w:spacing w:line="249" w:lineRule="auto" w:before="121"/>
        <w:ind w:left="142" w:right="0" w:firstLine="0"/>
        <w:jc w:val="left"/>
        <w:rPr>
          <w:sz w:val="20"/>
        </w:rPr>
      </w:pPr>
      <w:r>
        <w:rPr>
          <w:spacing w:val="-2"/>
          <w:sz w:val="20"/>
        </w:rPr>
        <w:t>хирургическое лечение</w:t>
      </w:r>
    </w:p>
    <w:p>
      <w:pPr>
        <w:tabs>
          <w:tab w:pos="4997" w:val="right" w:leader="none"/>
        </w:tabs>
        <w:spacing w:before="131"/>
        <w:ind w:left="178" w:right="0" w:firstLine="0"/>
        <w:jc w:val="left"/>
        <w:rPr>
          <w:sz w:val="20"/>
        </w:rPr>
      </w:pPr>
      <w:r>
        <w:rPr/>
        <w:br w:type="column"/>
      </w:r>
      <w:r>
        <w:rPr>
          <w:w w:val="95"/>
          <w:sz w:val="20"/>
        </w:rPr>
        <w:t>реконструктивная</w:t>
      </w:r>
      <w:r>
        <w:rPr>
          <w:spacing w:val="57"/>
          <w:sz w:val="20"/>
        </w:rPr>
        <w:t> </w:t>
      </w:r>
      <w:r>
        <w:rPr>
          <w:spacing w:val="-2"/>
          <w:sz w:val="20"/>
        </w:rPr>
        <w:t>хейлоринопластика</w:t>
      </w:r>
      <w:r>
        <w:rPr>
          <w:sz w:val="20"/>
        </w:rPr>
        <w:tab/>
      </w:r>
      <w:r>
        <w:rPr>
          <w:spacing w:val="-5"/>
          <w:sz w:val="20"/>
        </w:rPr>
        <w:t>183 </w:t>
      </w:r>
      <w:r>
        <w:rPr>
          <w:sz w:val="20"/>
        </w:rPr>
        <w:t>714</w:t>
      </w:r>
    </w:p>
    <w:p>
      <w:pPr>
        <w:spacing w:line="249" w:lineRule="auto" w:before="370"/>
        <w:ind w:left="178" w:right="1953" w:firstLine="0"/>
        <w:jc w:val="left"/>
        <w:rPr>
          <w:sz w:val="20"/>
        </w:rPr>
      </w:pPr>
      <w:r>
        <w:rPr>
          <w:sz w:val="20"/>
        </w:rPr>
        <w:t>радикальная уранопластика при одно- и двусторонней расщелине неба, костная пластика альвеолярного отростка верхней</w:t>
      </w:r>
      <w:r>
        <w:rPr>
          <w:spacing w:val="-12"/>
          <w:sz w:val="20"/>
        </w:rPr>
        <w:t> </w:t>
      </w:r>
      <w:r>
        <w:rPr>
          <w:sz w:val="20"/>
        </w:rPr>
        <w:t>челюсти,</w:t>
      </w:r>
      <w:r>
        <w:rPr>
          <w:spacing w:val="-8"/>
          <w:sz w:val="20"/>
        </w:rPr>
        <w:t> </w:t>
      </w:r>
      <w:r>
        <w:rPr>
          <w:sz w:val="20"/>
        </w:rPr>
        <w:t>устранение</w:t>
      </w:r>
      <w:r>
        <w:rPr>
          <w:spacing w:val="-11"/>
          <w:sz w:val="20"/>
        </w:rPr>
        <w:t> </w:t>
      </w:r>
      <w:r>
        <w:rPr>
          <w:sz w:val="20"/>
        </w:rPr>
        <w:t>протрузии межчелюстной кости, в том числе</w:t>
      </w:r>
    </w:p>
    <w:p>
      <w:pPr>
        <w:spacing w:line="249" w:lineRule="auto" w:before="4"/>
        <w:ind w:left="178" w:right="1793" w:firstLine="0"/>
        <w:jc w:val="left"/>
        <w:rPr>
          <w:sz w:val="20"/>
        </w:rPr>
      </w:pPr>
      <w:r>
        <w:rPr>
          <w:sz w:val="20"/>
        </w:rPr>
        <w:t>с</w:t>
      </w:r>
      <w:r>
        <w:rPr>
          <w:spacing w:val="-13"/>
          <w:sz w:val="20"/>
        </w:rPr>
        <w:t> </w:t>
      </w:r>
      <w:r>
        <w:rPr>
          <w:sz w:val="20"/>
        </w:rPr>
        <w:t>использованием</w:t>
      </w:r>
      <w:r>
        <w:rPr>
          <w:spacing w:val="-12"/>
          <w:sz w:val="20"/>
        </w:rPr>
        <w:t> </w:t>
      </w:r>
      <w:r>
        <w:rPr>
          <w:sz w:val="20"/>
        </w:rPr>
        <w:t>ортодонтической </w:t>
      </w:r>
      <w:r>
        <w:rPr>
          <w:spacing w:val="-2"/>
          <w:sz w:val="20"/>
        </w:rPr>
        <w:t>техники</w:t>
      </w:r>
    </w:p>
    <w:p>
      <w:pPr>
        <w:spacing w:after="0" w:line="249" w:lineRule="auto"/>
        <w:jc w:val="left"/>
        <w:rPr>
          <w:sz w:val="20"/>
        </w:rPr>
        <w:sectPr>
          <w:type w:val="continuous"/>
          <w:pgSz w:w="16850" w:h="11910" w:orient="landscape"/>
          <w:pgMar w:header="753" w:footer="0" w:top="1080" w:bottom="280" w:left="400" w:right="400"/>
          <w:cols w:num="4" w:equalWidth="0">
            <w:col w:w="3425" w:space="106"/>
            <w:col w:w="5387" w:space="39"/>
            <w:col w:w="1399" w:space="40"/>
            <w:col w:w="5654"/>
          </w:cols>
        </w:sectPr>
      </w:pPr>
    </w:p>
    <w:p>
      <w:pPr>
        <w:tabs>
          <w:tab w:pos="5792" w:val="left" w:leader="none"/>
          <w:tab w:pos="9100" w:val="left" w:leader="none"/>
        </w:tabs>
        <w:spacing w:line="249" w:lineRule="auto" w:before="122"/>
        <w:ind w:left="9100" w:right="0" w:hanging="4681"/>
        <w:jc w:val="left"/>
        <w:rPr>
          <w:sz w:val="20"/>
        </w:rPr>
      </w:pPr>
      <w:r>
        <w:rPr>
          <w:spacing w:val="-4"/>
          <w:sz w:val="20"/>
        </w:rPr>
        <w:t>Q75.2</w:t>
      </w:r>
      <w:r>
        <w:rPr>
          <w:sz w:val="20"/>
        </w:rPr>
        <w:tab/>
      </w:r>
      <w:r>
        <w:rPr>
          <w:spacing w:val="-2"/>
          <w:sz w:val="20"/>
        </w:rPr>
        <w:t>гипертелоризм</w:t>
      </w:r>
      <w:r>
        <w:rPr>
          <w:sz w:val="20"/>
        </w:rPr>
        <w:tab/>
      </w:r>
      <w:r>
        <w:rPr>
          <w:spacing w:val="-2"/>
          <w:sz w:val="20"/>
        </w:rPr>
        <w:t>хирургическое лечение</w:t>
      </w:r>
    </w:p>
    <w:p>
      <w:pPr>
        <w:tabs>
          <w:tab w:pos="5792" w:val="left" w:leader="none"/>
          <w:tab w:pos="9100" w:val="left" w:leader="none"/>
        </w:tabs>
        <w:spacing w:line="249" w:lineRule="auto" w:before="602"/>
        <w:ind w:left="9100" w:right="0" w:hanging="4681"/>
        <w:jc w:val="left"/>
        <w:rPr>
          <w:sz w:val="20"/>
        </w:rPr>
      </w:pPr>
      <w:r>
        <w:rPr>
          <w:spacing w:val="-4"/>
          <w:sz w:val="20"/>
        </w:rPr>
        <w:t>Q75.0</w:t>
      </w:r>
      <w:r>
        <w:rPr>
          <w:sz w:val="20"/>
        </w:rPr>
        <w:tab/>
      </w:r>
      <w:r>
        <w:rPr>
          <w:spacing w:val="-2"/>
          <w:sz w:val="20"/>
        </w:rPr>
        <w:t>краниосиностозы</w:t>
      </w:r>
      <w:r>
        <w:rPr>
          <w:sz w:val="20"/>
        </w:rPr>
        <w:tab/>
      </w:r>
      <w:r>
        <w:rPr>
          <w:spacing w:val="-2"/>
          <w:sz w:val="20"/>
        </w:rPr>
        <w:t>хирургическое лечение</w:t>
      </w:r>
    </w:p>
    <w:p>
      <w:pPr>
        <w:spacing w:line="249" w:lineRule="auto" w:before="122"/>
        <w:ind w:left="178" w:right="1951" w:firstLine="0"/>
        <w:jc w:val="left"/>
        <w:rPr>
          <w:sz w:val="20"/>
        </w:rPr>
      </w:pPr>
      <w:r>
        <w:rPr/>
        <w:br w:type="column"/>
      </w:r>
      <w:r>
        <w:rPr>
          <w:sz w:val="20"/>
        </w:rPr>
        <w:t>реконструктивно-пластическая</w:t>
      </w:r>
      <w:r>
        <w:rPr>
          <w:spacing w:val="-13"/>
          <w:sz w:val="20"/>
        </w:rPr>
        <w:t> </w:t>
      </w:r>
      <w:r>
        <w:rPr>
          <w:sz w:val="20"/>
        </w:rPr>
        <w:t>операция устранения орбитального гипертелоризма</w:t>
      </w:r>
      <w:r>
        <w:rPr>
          <w:spacing w:val="-8"/>
          <w:sz w:val="20"/>
        </w:rPr>
        <w:t> </w:t>
      </w:r>
      <w:r>
        <w:rPr>
          <w:sz w:val="20"/>
        </w:rPr>
        <w:t>с</w:t>
      </w:r>
      <w:r>
        <w:rPr>
          <w:spacing w:val="-8"/>
          <w:sz w:val="20"/>
        </w:rPr>
        <w:t> </w:t>
      </w:r>
      <w:r>
        <w:rPr>
          <w:sz w:val="20"/>
        </w:rPr>
        <w:t>использованием</w:t>
      </w:r>
      <w:r>
        <w:rPr>
          <w:spacing w:val="-7"/>
          <w:sz w:val="20"/>
        </w:rPr>
        <w:t> </w:t>
      </w:r>
      <w:r>
        <w:rPr>
          <w:sz w:val="20"/>
        </w:rPr>
        <w:t>вне-</w:t>
      </w:r>
      <w:r>
        <w:rPr>
          <w:spacing w:val="-7"/>
          <w:sz w:val="20"/>
        </w:rPr>
        <w:t> </w:t>
      </w:r>
      <w:r>
        <w:rPr>
          <w:sz w:val="20"/>
        </w:rPr>
        <w:t>и внутричерепного доступа</w:t>
      </w:r>
    </w:p>
    <w:p>
      <w:pPr>
        <w:spacing w:line="249" w:lineRule="auto" w:before="123"/>
        <w:ind w:left="178" w:right="1951" w:firstLine="0"/>
        <w:jc w:val="left"/>
        <w:rPr>
          <w:sz w:val="20"/>
        </w:rPr>
      </w:pPr>
      <w:r>
        <w:rPr>
          <w:sz w:val="20"/>
        </w:rPr>
        <w:t>краниопластика с помощью костной реконструкции, дистракционного остеогенеза, в том числе с использованием</w:t>
      </w:r>
      <w:r>
        <w:rPr>
          <w:spacing w:val="-13"/>
          <w:sz w:val="20"/>
        </w:rPr>
        <w:t> </w:t>
      </w:r>
      <w:r>
        <w:rPr>
          <w:sz w:val="20"/>
        </w:rPr>
        <w:t>контурной</w:t>
      </w:r>
      <w:r>
        <w:rPr>
          <w:spacing w:val="-12"/>
          <w:sz w:val="20"/>
        </w:rPr>
        <w:t> </w:t>
      </w:r>
      <w:r>
        <w:rPr>
          <w:sz w:val="20"/>
        </w:rPr>
        <w:t>пластики</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0"/>
        </w:rPr>
      </w:pPr>
    </w:p>
    <w:p>
      <w:pPr>
        <w:tabs>
          <w:tab w:pos="5792" w:val="left" w:leader="none"/>
          <w:tab w:pos="9100" w:val="left" w:leader="none"/>
        </w:tabs>
        <w:spacing w:before="0"/>
        <w:ind w:left="4420" w:right="0" w:firstLine="0"/>
        <w:jc w:val="left"/>
        <w:rPr>
          <w:sz w:val="20"/>
        </w:rPr>
      </w:pPr>
      <w:r>
        <w:rPr>
          <w:spacing w:val="-4"/>
          <w:sz w:val="20"/>
        </w:rPr>
        <w:t>Q75.4</w:t>
      </w:r>
      <w:r>
        <w:rPr>
          <w:sz w:val="20"/>
        </w:rPr>
        <w:tab/>
      </w:r>
      <w:r>
        <w:rPr>
          <w:w w:val="95"/>
          <w:sz w:val="20"/>
        </w:rPr>
        <w:t>челюстно-лицевой</w:t>
      </w:r>
      <w:r>
        <w:rPr>
          <w:spacing w:val="60"/>
          <w:sz w:val="20"/>
        </w:rPr>
        <w:t> </w:t>
      </w:r>
      <w:r>
        <w:rPr>
          <w:spacing w:val="-2"/>
          <w:w w:val="95"/>
          <w:sz w:val="20"/>
        </w:rPr>
        <w:t>дизостоз</w:t>
      </w:r>
      <w:r>
        <w:rPr>
          <w:sz w:val="20"/>
        </w:rPr>
        <w:tab/>
      </w:r>
      <w:r>
        <w:rPr>
          <w:spacing w:val="-2"/>
          <w:sz w:val="20"/>
        </w:rPr>
        <w:t>хирургическое</w:t>
      </w:r>
    </w:p>
    <w:p>
      <w:pPr>
        <w:spacing w:before="11"/>
        <w:ind w:left="9100" w:right="0" w:firstLine="0"/>
        <w:jc w:val="left"/>
        <w:rPr>
          <w:sz w:val="20"/>
        </w:rPr>
      </w:pPr>
      <w:r>
        <w:rPr>
          <w:spacing w:val="-2"/>
          <w:sz w:val="20"/>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spacing w:line="249" w:lineRule="auto" w:before="0"/>
        <w:ind w:left="178" w:right="1951" w:firstLine="0"/>
        <w:jc w:val="left"/>
        <w:rPr>
          <w:sz w:val="20"/>
        </w:rPr>
      </w:pPr>
      <w:r>
        <w:rPr/>
        <w:pict>
          <v:shape style="position:absolute;margin-left:25.440001pt;margin-top:-85.364052pt;width:791.2pt;height:73.1pt;mso-position-horizontal-relative:page;mso-position-vertical-relative:paragraph;z-index:15729664" type="#_x0000_t202" id="docshape6"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pPr>
                </w:p>
              </w:txbxContent>
            </v:textbox>
            <w10:wrap type="none"/>
          </v:shape>
        </w:pict>
      </w:r>
      <w:r>
        <w:rPr>
          <w:sz w:val="20"/>
        </w:rPr>
        <w:t>индивидуально</w:t>
      </w:r>
      <w:r>
        <w:rPr>
          <w:spacing w:val="-13"/>
          <w:sz w:val="20"/>
        </w:rPr>
        <w:t> </w:t>
      </w:r>
      <w:r>
        <w:rPr>
          <w:sz w:val="20"/>
        </w:rPr>
        <w:t>изготовленными </w:t>
      </w:r>
      <w:r>
        <w:rPr>
          <w:spacing w:val="-2"/>
          <w:sz w:val="20"/>
        </w:rPr>
        <w:t>имплантатами</w:t>
      </w:r>
    </w:p>
    <w:p>
      <w:pPr>
        <w:spacing w:line="249" w:lineRule="auto" w:before="122"/>
        <w:ind w:left="178" w:right="1901" w:firstLine="0"/>
        <w:jc w:val="left"/>
        <w:rPr>
          <w:sz w:val="20"/>
        </w:rPr>
      </w:pPr>
      <w:r>
        <w:rPr>
          <w:sz w:val="20"/>
        </w:rPr>
        <w:t>реконструкция</w:t>
      </w:r>
      <w:r>
        <w:rPr>
          <w:spacing w:val="-8"/>
          <w:sz w:val="20"/>
        </w:rPr>
        <w:t> </w:t>
      </w:r>
      <w:r>
        <w:rPr>
          <w:sz w:val="20"/>
        </w:rPr>
        <w:t>костей</w:t>
      </w:r>
      <w:r>
        <w:rPr>
          <w:spacing w:val="-9"/>
          <w:sz w:val="20"/>
        </w:rPr>
        <w:t> </w:t>
      </w:r>
      <w:r>
        <w:rPr>
          <w:sz w:val="20"/>
        </w:rPr>
        <w:t>лицевого</w:t>
      </w:r>
      <w:r>
        <w:rPr>
          <w:spacing w:val="-9"/>
          <w:sz w:val="20"/>
        </w:rPr>
        <w:t> </w:t>
      </w:r>
      <w:r>
        <w:rPr>
          <w:sz w:val="20"/>
        </w:rPr>
        <w:t>скелета</w:t>
      </w:r>
      <w:r>
        <w:rPr>
          <w:spacing w:val="-10"/>
          <w:sz w:val="20"/>
        </w:rPr>
        <w:t> </w:t>
      </w:r>
      <w:r>
        <w:rPr>
          <w:sz w:val="20"/>
        </w:rPr>
        <w:t>и нижней челюсти, в том числе методом дистракционного остеогенеза и контурной пластики с помощью индивидуально изготовленных </w:t>
      </w:r>
      <w:r>
        <w:rPr>
          <w:spacing w:val="-2"/>
          <w:sz w:val="20"/>
        </w:rPr>
        <w:t>имплантатов</w:t>
      </w:r>
    </w:p>
    <w:p>
      <w:pPr>
        <w:spacing w:after="0" w:line="249" w:lineRule="auto"/>
        <w:jc w:val="left"/>
        <w:rPr>
          <w:sz w:val="20"/>
        </w:rPr>
        <w:sectPr>
          <w:pgSz w:w="16850" w:h="11910" w:orient="landscape"/>
          <w:pgMar w:header="753" w:footer="0" w:top="1060" w:bottom="280" w:left="400" w:right="400"/>
          <w:cols w:num="2" w:equalWidth="0">
            <w:col w:w="10357" w:space="40"/>
            <w:col w:w="5653"/>
          </w:cols>
        </w:sectPr>
      </w:pPr>
    </w:p>
    <w:p>
      <w:pPr>
        <w:spacing w:line="249" w:lineRule="auto" w:before="125"/>
        <w:ind w:left="931" w:right="0" w:firstLine="0"/>
        <w:jc w:val="left"/>
        <w:rPr>
          <w:sz w:val="20"/>
        </w:rPr>
      </w:pPr>
      <w:r>
        <w:rPr>
          <w:spacing w:val="-2"/>
          <w:sz w:val="20"/>
        </w:rPr>
        <w:t>Реконструктивно- </w:t>
      </w:r>
      <w:r>
        <w:rPr>
          <w:sz w:val="20"/>
        </w:rPr>
        <w:t>пластические операции по устранению обширных дефектов и деформаций мягких тканей, отдельных анатомических зон и (или) структур</w:t>
      </w:r>
      <w:r>
        <w:rPr>
          <w:spacing w:val="-11"/>
          <w:sz w:val="20"/>
        </w:rPr>
        <w:t> </w:t>
      </w:r>
      <w:r>
        <w:rPr>
          <w:sz w:val="20"/>
        </w:rPr>
        <w:t>головы,</w:t>
      </w:r>
      <w:r>
        <w:rPr>
          <w:spacing w:val="-9"/>
          <w:sz w:val="20"/>
        </w:rPr>
        <w:t> </w:t>
      </w:r>
      <w:r>
        <w:rPr>
          <w:sz w:val="20"/>
        </w:rPr>
        <w:t>лица</w:t>
      </w:r>
      <w:r>
        <w:rPr>
          <w:spacing w:val="-12"/>
          <w:sz w:val="20"/>
        </w:rPr>
        <w:t> </w:t>
      </w:r>
      <w:r>
        <w:rPr>
          <w:sz w:val="20"/>
        </w:rPr>
        <w:t>и</w:t>
      </w:r>
      <w:r>
        <w:rPr>
          <w:spacing w:val="-12"/>
          <w:sz w:val="20"/>
        </w:rPr>
        <w:t> </w:t>
      </w:r>
      <w:r>
        <w:rPr>
          <w:sz w:val="20"/>
        </w:rPr>
        <w:t>шеи</w:t>
      </w:r>
    </w:p>
    <w:p>
      <w:pPr>
        <w:spacing w:line="249" w:lineRule="auto" w:before="125"/>
        <w:ind w:left="953" w:right="0" w:hanging="471"/>
        <w:jc w:val="left"/>
        <w:rPr>
          <w:sz w:val="20"/>
        </w:rPr>
      </w:pPr>
      <w:r>
        <w:rPr/>
        <w:br w:type="column"/>
      </w:r>
      <w:r>
        <w:rPr>
          <w:sz w:val="20"/>
        </w:rPr>
        <w:t>Q30.2,</w:t>
      </w:r>
      <w:r>
        <w:rPr>
          <w:spacing w:val="-13"/>
          <w:sz w:val="20"/>
        </w:rPr>
        <w:t> </w:t>
      </w:r>
      <w:r>
        <w:rPr>
          <w:sz w:val="20"/>
        </w:rPr>
        <w:t>Q30,</w:t>
      </w:r>
      <w:r>
        <w:rPr>
          <w:spacing w:val="-12"/>
          <w:sz w:val="20"/>
        </w:rPr>
        <w:t> </w:t>
      </w:r>
      <w:r>
        <w:rPr>
          <w:sz w:val="20"/>
        </w:rPr>
        <w:t>M96, </w:t>
      </w:r>
      <w:r>
        <w:rPr>
          <w:spacing w:val="-2"/>
          <w:sz w:val="20"/>
        </w:rPr>
        <w:t>M95.0</w:t>
      </w:r>
    </w:p>
    <w:p>
      <w:pPr>
        <w:spacing w:line="249" w:lineRule="auto" w:before="125"/>
        <w:ind w:left="354" w:right="0" w:firstLine="0"/>
        <w:jc w:val="both"/>
        <w:rPr>
          <w:sz w:val="20"/>
        </w:rPr>
      </w:pPr>
      <w:r>
        <w:rPr/>
        <w:br w:type="column"/>
      </w:r>
      <w:r>
        <w:rPr>
          <w:sz w:val="20"/>
        </w:rPr>
        <w:t>обширный</w:t>
      </w:r>
      <w:r>
        <w:rPr>
          <w:spacing w:val="-13"/>
          <w:sz w:val="20"/>
        </w:rPr>
        <w:t> </w:t>
      </w:r>
      <w:r>
        <w:rPr>
          <w:sz w:val="20"/>
        </w:rPr>
        <w:t>или</w:t>
      </w:r>
      <w:r>
        <w:rPr>
          <w:spacing w:val="-12"/>
          <w:sz w:val="20"/>
        </w:rPr>
        <w:t> </w:t>
      </w:r>
      <w:r>
        <w:rPr>
          <w:sz w:val="20"/>
        </w:rPr>
        <w:t>субтотальный</w:t>
      </w:r>
      <w:r>
        <w:rPr>
          <w:spacing w:val="-13"/>
          <w:sz w:val="20"/>
        </w:rPr>
        <w:t> </w:t>
      </w:r>
      <w:r>
        <w:rPr>
          <w:sz w:val="20"/>
        </w:rPr>
        <w:t>дефект костно-хрящевого</w:t>
      </w:r>
      <w:r>
        <w:rPr>
          <w:spacing w:val="-13"/>
          <w:sz w:val="20"/>
        </w:rPr>
        <w:t> </w:t>
      </w:r>
      <w:r>
        <w:rPr>
          <w:sz w:val="20"/>
        </w:rPr>
        <w:t>отдела</w:t>
      </w:r>
      <w:r>
        <w:rPr>
          <w:spacing w:val="-12"/>
          <w:sz w:val="20"/>
        </w:rPr>
        <w:t> </w:t>
      </w:r>
      <w:r>
        <w:rPr>
          <w:sz w:val="20"/>
        </w:rPr>
        <w:t>наружного </w:t>
      </w:r>
      <w:r>
        <w:rPr>
          <w:spacing w:val="-4"/>
          <w:sz w:val="20"/>
        </w:rPr>
        <w:t>носа</w:t>
      </w:r>
    </w:p>
    <w:p>
      <w:pPr>
        <w:spacing w:line="249" w:lineRule="auto" w:before="125"/>
        <w:ind w:left="108" w:right="0" w:firstLine="0"/>
        <w:jc w:val="left"/>
        <w:rPr>
          <w:sz w:val="20"/>
        </w:rPr>
      </w:pPr>
      <w:r>
        <w:rPr/>
        <w:br w:type="column"/>
      </w:r>
      <w:r>
        <w:rPr>
          <w:spacing w:val="-2"/>
          <w:sz w:val="20"/>
        </w:rPr>
        <w:t>хирургическое лечение</w:t>
      </w:r>
    </w:p>
    <w:p>
      <w:pPr>
        <w:spacing w:line="249" w:lineRule="auto" w:before="125"/>
        <w:ind w:left="178" w:right="1953" w:firstLine="0"/>
        <w:jc w:val="left"/>
        <w:rPr>
          <w:sz w:val="20"/>
        </w:rPr>
      </w:pPr>
      <w:r>
        <w:rPr/>
        <w:br w:type="column"/>
      </w:r>
      <w:r>
        <w:rPr>
          <w:sz w:val="20"/>
        </w:rPr>
        <w:t>ринопластика,</w:t>
      </w:r>
      <w:r>
        <w:rPr>
          <w:spacing w:val="-6"/>
          <w:sz w:val="20"/>
        </w:rPr>
        <w:t> </w:t>
      </w:r>
      <w:r>
        <w:rPr>
          <w:sz w:val="20"/>
        </w:rPr>
        <w:t>в</w:t>
      </w:r>
      <w:r>
        <w:rPr>
          <w:spacing w:val="-8"/>
          <w:sz w:val="20"/>
        </w:rPr>
        <w:t> </w:t>
      </w:r>
      <w:r>
        <w:rPr>
          <w:sz w:val="20"/>
        </w:rPr>
        <w:t>том</w:t>
      </w:r>
      <w:r>
        <w:rPr>
          <w:spacing w:val="-6"/>
          <w:sz w:val="20"/>
        </w:rPr>
        <w:t> </w:t>
      </w:r>
      <w:r>
        <w:rPr>
          <w:sz w:val="20"/>
        </w:rPr>
        <w:t>числе</w:t>
      </w:r>
      <w:r>
        <w:rPr>
          <w:spacing w:val="-5"/>
          <w:sz w:val="20"/>
        </w:rPr>
        <w:t> </w:t>
      </w:r>
      <w:r>
        <w:rPr>
          <w:sz w:val="20"/>
        </w:rPr>
        <w:t>с</w:t>
      </w:r>
      <w:r>
        <w:rPr>
          <w:spacing w:val="-5"/>
          <w:sz w:val="20"/>
        </w:rPr>
        <w:t> </w:t>
      </w:r>
      <w:r>
        <w:rPr>
          <w:sz w:val="20"/>
        </w:rPr>
        <w:t>примене- нием хрящевых трансплантатов, имплантационных материалов</w:t>
      </w:r>
    </w:p>
    <w:p>
      <w:pPr>
        <w:spacing w:line="249" w:lineRule="auto" w:before="123"/>
        <w:ind w:left="178" w:right="1953" w:firstLine="0"/>
        <w:jc w:val="left"/>
        <w:rPr>
          <w:sz w:val="20"/>
        </w:rPr>
      </w:pPr>
      <w:r>
        <w:rPr>
          <w:sz w:val="20"/>
        </w:rPr>
        <w:t>пластика</w:t>
      </w:r>
      <w:r>
        <w:rPr>
          <w:spacing w:val="-9"/>
          <w:sz w:val="20"/>
        </w:rPr>
        <w:t> </w:t>
      </w:r>
      <w:r>
        <w:rPr>
          <w:sz w:val="20"/>
        </w:rPr>
        <w:t>при</w:t>
      </w:r>
      <w:r>
        <w:rPr>
          <w:spacing w:val="-10"/>
          <w:sz w:val="20"/>
        </w:rPr>
        <w:t> </w:t>
      </w:r>
      <w:r>
        <w:rPr>
          <w:sz w:val="20"/>
        </w:rPr>
        <w:t>обширном</w:t>
      </w:r>
      <w:r>
        <w:rPr>
          <w:spacing w:val="-8"/>
          <w:sz w:val="20"/>
        </w:rPr>
        <w:t> </w:t>
      </w:r>
      <w:r>
        <w:rPr>
          <w:sz w:val="20"/>
        </w:rPr>
        <w:t>дефекте</w:t>
      </w:r>
      <w:r>
        <w:rPr>
          <w:spacing w:val="-9"/>
          <w:sz w:val="20"/>
        </w:rPr>
        <w:t> </w:t>
      </w:r>
      <w:r>
        <w:rPr>
          <w:sz w:val="20"/>
        </w:rPr>
        <w:t>носа лоскутом на ножке из прилегающих </w:t>
      </w:r>
      <w:r>
        <w:rPr>
          <w:spacing w:val="-2"/>
          <w:sz w:val="20"/>
        </w:rPr>
        <w:t>участков</w:t>
      </w:r>
    </w:p>
    <w:p>
      <w:pPr>
        <w:spacing w:after="0" w:line="249" w:lineRule="auto"/>
        <w:jc w:val="left"/>
        <w:rPr>
          <w:sz w:val="20"/>
        </w:rPr>
        <w:sectPr>
          <w:type w:val="continuous"/>
          <w:pgSz w:w="16850" w:h="11910" w:orient="landscape"/>
          <w:pgMar w:header="753" w:footer="0" w:top="1080" w:bottom="280" w:left="400" w:right="400"/>
          <w:cols w:num="5" w:equalWidth="0">
            <w:col w:w="3410" w:space="40"/>
            <w:col w:w="1949" w:space="39"/>
            <w:col w:w="3514" w:space="40"/>
            <w:col w:w="1365" w:space="39"/>
            <w:col w:w="5654"/>
          </w:cols>
        </w:sectPr>
      </w:pPr>
    </w:p>
    <w:p>
      <w:pPr>
        <w:tabs>
          <w:tab w:pos="5792" w:val="left" w:leader="none"/>
        </w:tabs>
        <w:spacing w:line="249" w:lineRule="auto" w:before="6"/>
        <w:ind w:left="5793" w:right="0" w:hanging="1638"/>
        <w:jc w:val="left"/>
        <w:rPr>
          <w:sz w:val="20"/>
        </w:rPr>
      </w:pPr>
      <w:r>
        <w:rPr>
          <w:sz w:val="20"/>
        </w:rPr>
        <w:t>S08.8, S08.9</w:t>
        <w:tab/>
        <w:t>тотальный</w:t>
      </w:r>
      <w:r>
        <w:rPr>
          <w:spacing w:val="-13"/>
          <w:sz w:val="20"/>
        </w:rPr>
        <w:t> </w:t>
      </w:r>
      <w:r>
        <w:rPr>
          <w:sz w:val="20"/>
        </w:rPr>
        <w:t>дефект,</w:t>
      </w:r>
      <w:r>
        <w:rPr>
          <w:spacing w:val="-12"/>
          <w:sz w:val="20"/>
        </w:rPr>
        <w:t> </w:t>
      </w:r>
      <w:r>
        <w:rPr>
          <w:sz w:val="20"/>
        </w:rPr>
        <w:t>травматическая ампутация носа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792" w:val="left" w:leader="none"/>
        </w:tabs>
        <w:spacing w:before="152"/>
        <w:ind w:left="3841" w:right="0" w:firstLine="0"/>
        <w:jc w:val="left"/>
        <w:rPr>
          <w:sz w:val="20"/>
        </w:rPr>
      </w:pPr>
      <w:r>
        <w:rPr>
          <w:sz w:val="20"/>
        </w:rPr>
        <w:t>S08.1,</w:t>
      </w:r>
      <w:r>
        <w:rPr>
          <w:spacing w:val="-4"/>
          <w:sz w:val="20"/>
        </w:rPr>
        <w:t> </w:t>
      </w:r>
      <w:r>
        <w:rPr>
          <w:sz w:val="20"/>
        </w:rPr>
        <w:t>Q16.0,</w:t>
      </w:r>
      <w:r>
        <w:rPr>
          <w:spacing w:val="-4"/>
          <w:sz w:val="20"/>
        </w:rPr>
        <w:t> </w:t>
      </w:r>
      <w:r>
        <w:rPr>
          <w:spacing w:val="-2"/>
          <w:sz w:val="20"/>
        </w:rPr>
        <w:t>Q16.1</w:t>
      </w:r>
      <w:r>
        <w:rPr>
          <w:sz w:val="20"/>
        </w:rPr>
        <w:tab/>
        <w:t>врожденное</w:t>
      </w:r>
      <w:r>
        <w:rPr>
          <w:spacing w:val="-11"/>
          <w:sz w:val="20"/>
        </w:rPr>
        <w:t> </w:t>
      </w:r>
      <w:r>
        <w:rPr>
          <w:spacing w:val="-2"/>
          <w:sz w:val="20"/>
        </w:rPr>
        <w:t>отсутствие,</w:t>
      </w:r>
    </w:p>
    <w:p>
      <w:pPr>
        <w:spacing w:line="249" w:lineRule="auto" w:before="10"/>
        <w:ind w:left="5793" w:right="0" w:firstLine="0"/>
        <w:jc w:val="left"/>
        <w:rPr>
          <w:sz w:val="20"/>
        </w:rPr>
      </w:pPr>
      <w:r>
        <w:rPr>
          <w:sz w:val="20"/>
        </w:rPr>
        <w:t>травматическая</w:t>
      </w:r>
      <w:r>
        <w:rPr>
          <w:spacing w:val="-13"/>
          <w:sz w:val="20"/>
        </w:rPr>
        <w:t> </w:t>
      </w:r>
      <w:r>
        <w:rPr>
          <w:sz w:val="20"/>
        </w:rPr>
        <w:t>ампутация</w:t>
      </w:r>
      <w:r>
        <w:rPr>
          <w:spacing w:val="-12"/>
          <w:sz w:val="20"/>
        </w:rPr>
        <w:t> </w:t>
      </w:r>
      <w:r>
        <w:rPr>
          <w:sz w:val="20"/>
        </w:rPr>
        <w:t>ушной </w:t>
      </w:r>
      <w:r>
        <w:rPr>
          <w:spacing w:val="-2"/>
          <w:sz w:val="20"/>
        </w:rPr>
        <w:t>раковины</w:t>
      </w:r>
    </w:p>
    <w:p>
      <w:pPr>
        <w:spacing w:line="249" w:lineRule="auto" w:before="6"/>
        <w:ind w:left="288"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288" w:right="0" w:firstLine="0"/>
        <w:jc w:val="left"/>
        <w:rPr>
          <w:sz w:val="20"/>
        </w:rPr>
      </w:pPr>
      <w:r>
        <w:rPr>
          <w:spacing w:val="-2"/>
          <w:sz w:val="20"/>
        </w:rPr>
        <w:t>хирургическое лечение</w:t>
      </w:r>
    </w:p>
    <w:p>
      <w:pPr>
        <w:spacing w:before="6"/>
        <w:ind w:left="178" w:right="0" w:firstLine="0"/>
        <w:jc w:val="left"/>
        <w:rPr>
          <w:sz w:val="20"/>
        </w:rPr>
      </w:pPr>
      <w:r>
        <w:rPr/>
        <w:br w:type="column"/>
      </w:r>
      <w:r>
        <w:rPr>
          <w:sz w:val="20"/>
        </w:rPr>
        <w:t>ринопластика</w:t>
      </w:r>
      <w:r>
        <w:rPr>
          <w:spacing w:val="-6"/>
          <w:sz w:val="20"/>
        </w:rPr>
        <w:t> </w:t>
      </w:r>
      <w:r>
        <w:rPr>
          <w:sz w:val="20"/>
        </w:rPr>
        <w:t>лоскутом</w:t>
      </w:r>
      <w:r>
        <w:rPr>
          <w:spacing w:val="-7"/>
          <w:sz w:val="20"/>
        </w:rPr>
        <w:t> </w:t>
      </w:r>
      <w:r>
        <w:rPr>
          <w:sz w:val="20"/>
        </w:rPr>
        <w:t>со</w:t>
      </w:r>
      <w:r>
        <w:rPr>
          <w:spacing w:val="-7"/>
          <w:sz w:val="20"/>
        </w:rPr>
        <w:t> </w:t>
      </w:r>
      <w:r>
        <w:rPr>
          <w:spacing w:val="-5"/>
          <w:sz w:val="20"/>
        </w:rPr>
        <w:t>лба</w:t>
      </w:r>
    </w:p>
    <w:p>
      <w:pPr>
        <w:spacing w:line="249" w:lineRule="auto" w:before="130"/>
        <w:ind w:left="178" w:right="1951" w:firstLine="0"/>
        <w:jc w:val="left"/>
        <w:rPr>
          <w:sz w:val="20"/>
        </w:rPr>
      </w:pPr>
      <w:r>
        <w:rPr>
          <w:sz w:val="20"/>
        </w:rPr>
        <w:t>ринопластика</w:t>
      </w:r>
      <w:r>
        <w:rPr>
          <w:spacing w:val="-13"/>
          <w:sz w:val="20"/>
        </w:rPr>
        <w:t> </w:t>
      </w:r>
      <w:r>
        <w:rPr>
          <w:sz w:val="20"/>
        </w:rPr>
        <w:t>с</w:t>
      </w:r>
      <w:r>
        <w:rPr>
          <w:spacing w:val="-12"/>
          <w:sz w:val="20"/>
        </w:rPr>
        <w:t> </w:t>
      </w:r>
      <w:r>
        <w:rPr>
          <w:sz w:val="20"/>
        </w:rPr>
        <w:t>использованием стебельчатого лоскута</w:t>
      </w:r>
    </w:p>
    <w:p>
      <w:pPr>
        <w:spacing w:line="249" w:lineRule="auto" w:before="122"/>
        <w:ind w:left="178" w:right="1951" w:firstLine="0"/>
        <w:jc w:val="left"/>
        <w:rPr>
          <w:sz w:val="20"/>
        </w:rPr>
      </w:pPr>
      <w:r>
        <w:rPr>
          <w:sz w:val="20"/>
        </w:rPr>
        <w:t>замещение</w:t>
      </w:r>
      <w:r>
        <w:rPr>
          <w:spacing w:val="-9"/>
          <w:sz w:val="20"/>
        </w:rPr>
        <w:t> </w:t>
      </w:r>
      <w:r>
        <w:rPr>
          <w:sz w:val="20"/>
        </w:rPr>
        <w:t>обширного</w:t>
      </w:r>
      <w:r>
        <w:rPr>
          <w:spacing w:val="-8"/>
          <w:sz w:val="20"/>
        </w:rPr>
        <w:t> </w:t>
      </w:r>
      <w:r>
        <w:rPr>
          <w:sz w:val="20"/>
        </w:rPr>
        <w:t>дефекта</w:t>
      </w:r>
      <w:r>
        <w:rPr>
          <w:spacing w:val="-9"/>
          <w:sz w:val="20"/>
        </w:rPr>
        <w:t> </w:t>
      </w:r>
      <w:r>
        <w:rPr>
          <w:sz w:val="20"/>
        </w:rPr>
        <w:t>носа</w:t>
      </w:r>
      <w:r>
        <w:rPr>
          <w:spacing w:val="-9"/>
          <w:sz w:val="20"/>
        </w:rPr>
        <w:t> </w:t>
      </w:r>
      <w:r>
        <w:rPr>
          <w:sz w:val="20"/>
        </w:rPr>
        <w:t>с помощью сложного экзопротеза на </w:t>
      </w:r>
      <w:r>
        <w:rPr>
          <w:spacing w:val="-2"/>
          <w:sz w:val="20"/>
        </w:rPr>
        <w:t>имплантатах</w:t>
      </w:r>
    </w:p>
    <w:p>
      <w:pPr>
        <w:spacing w:line="252" w:lineRule="auto" w:before="122"/>
        <w:ind w:left="178" w:right="1951" w:firstLine="0"/>
        <w:jc w:val="left"/>
        <w:rPr>
          <w:sz w:val="20"/>
        </w:rPr>
      </w:pPr>
      <w:r>
        <w:rPr>
          <w:sz w:val="20"/>
        </w:rPr>
        <w:t>ринопластика с использованием реваскуляризированного</w:t>
      </w:r>
      <w:r>
        <w:rPr>
          <w:spacing w:val="-13"/>
          <w:sz w:val="20"/>
        </w:rPr>
        <w:t> </w:t>
      </w:r>
      <w:r>
        <w:rPr>
          <w:sz w:val="20"/>
        </w:rPr>
        <w:t>лоскута</w:t>
      </w:r>
    </w:p>
    <w:p>
      <w:pPr>
        <w:spacing w:line="249" w:lineRule="auto" w:before="118"/>
        <w:ind w:left="178" w:right="1951" w:firstLine="0"/>
        <w:jc w:val="left"/>
        <w:rPr>
          <w:sz w:val="20"/>
        </w:rPr>
      </w:pPr>
      <w:r>
        <w:rPr>
          <w:sz w:val="20"/>
        </w:rPr>
        <w:t>реконструктивно-пластическая</w:t>
      </w:r>
      <w:r>
        <w:rPr>
          <w:spacing w:val="-13"/>
          <w:sz w:val="20"/>
        </w:rPr>
        <w:t> </w:t>
      </w:r>
      <w:r>
        <w:rPr>
          <w:sz w:val="20"/>
        </w:rPr>
        <w:t>операция с</w:t>
      </w:r>
      <w:r>
        <w:rPr>
          <w:spacing w:val="-12"/>
          <w:sz w:val="20"/>
        </w:rPr>
        <w:t> </w:t>
      </w:r>
      <w:r>
        <w:rPr>
          <w:sz w:val="20"/>
        </w:rPr>
        <w:t>использованием</w:t>
      </w:r>
      <w:r>
        <w:rPr>
          <w:spacing w:val="-11"/>
          <w:sz w:val="20"/>
        </w:rPr>
        <w:t> </w:t>
      </w:r>
      <w:r>
        <w:rPr>
          <w:sz w:val="20"/>
        </w:rPr>
        <w:t>аутотрансплантатов</w:t>
      </w:r>
      <w:r>
        <w:rPr>
          <w:spacing w:val="-13"/>
          <w:sz w:val="20"/>
        </w:rPr>
        <w:t> </w:t>
      </w:r>
      <w:r>
        <w:rPr>
          <w:sz w:val="20"/>
        </w:rPr>
        <w:t>из прилегающих к ушной раковине участков и иных трансплантатов и </w:t>
      </w:r>
      <w:r>
        <w:rPr>
          <w:spacing w:val="-2"/>
          <w:sz w:val="20"/>
        </w:rPr>
        <w:t>имплантатов</w:t>
      </w:r>
    </w:p>
    <w:p>
      <w:pPr>
        <w:spacing w:after="0" w:line="249" w:lineRule="auto"/>
        <w:jc w:val="left"/>
        <w:rPr>
          <w:sz w:val="20"/>
        </w:rPr>
        <w:sectPr>
          <w:type w:val="continuous"/>
          <w:pgSz w:w="16850" w:h="11910" w:orient="landscape"/>
          <w:pgMar w:header="753" w:footer="0" w:top="1080" w:bottom="280" w:left="400" w:right="400"/>
          <w:cols w:num="3" w:equalWidth="0">
            <w:col w:w="8773" w:space="40"/>
            <w:col w:w="1545"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3"/>
        <w:gridCol w:w="3378"/>
        <w:gridCol w:w="1443"/>
        <w:gridCol w:w="3718"/>
      </w:tblGrid>
      <w:tr>
        <w:trPr>
          <w:trHeight w:val="770" w:hRule="atLeast"/>
        </w:trPr>
        <w:tc>
          <w:tcPr>
            <w:tcW w:w="1863" w:type="dxa"/>
          </w:tcPr>
          <w:p>
            <w:pPr>
              <w:pStyle w:val="TableParagraph"/>
              <w:rPr>
                <w:sz w:val="18"/>
              </w:rPr>
            </w:pPr>
          </w:p>
        </w:tc>
        <w:tc>
          <w:tcPr>
            <w:tcW w:w="3378" w:type="dxa"/>
          </w:tcPr>
          <w:p>
            <w:pPr>
              <w:pStyle w:val="TableParagraph"/>
              <w:rPr>
                <w:sz w:val="18"/>
              </w:rPr>
            </w:pPr>
          </w:p>
        </w:tc>
        <w:tc>
          <w:tcPr>
            <w:tcW w:w="1443" w:type="dxa"/>
          </w:tcPr>
          <w:p>
            <w:pPr>
              <w:pStyle w:val="TableParagraph"/>
              <w:rPr>
                <w:sz w:val="18"/>
              </w:rPr>
            </w:pPr>
          </w:p>
        </w:tc>
        <w:tc>
          <w:tcPr>
            <w:tcW w:w="3718" w:type="dxa"/>
          </w:tcPr>
          <w:p>
            <w:pPr>
              <w:pStyle w:val="TableParagraph"/>
              <w:spacing w:line="249" w:lineRule="auto"/>
              <w:ind w:left="109"/>
              <w:rPr>
                <w:sz w:val="20"/>
              </w:rPr>
            </w:pPr>
            <w:r>
              <w:rPr>
                <w:sz w:val="20"/>
              </w:rPr>
              <w:t>пластика при тотальном дефекте уха с помощью</w:t>
            </w:r>
            <w:r>
              <w:rPr>
                <w:spacing w:val="-10"/>
                <w:sz w:val="20"/>
              </w:rPr>
              <w:t> </w:t>
            </w:r>
            <w:r>
              <w:rPr>
                <w:sz w:val="20"/>
              </w:rPr>
              <w:t>сложного</w:t>
            </w:r>
            <w:r>
              <w:rPr>
                <w:spacing w:val="-9"/>
                <w:sz w:val="20"/>
              </w:rPr>
              <w:t> </w:t>
            </w:r>
            <w:r>
              <w:rPr>
                <w:sz w:val="20"/>
              </w:rPr>
              <w:t>экзопротеза</w:t>
            </w:r>
            <w:r>
              <w:rPr>
                <w:spacing w:val="-10"/>
                <w:sz w:val="20"/>
              </w:rPr>
              <w:t> </w:t>
            </w:r>
            <w:r>
              <w:rPr>
                <w:sz w:val="20"/>
              </w:rPr>
              <w:t>с</w:t>
            </w:r>
            <w:r>
              <w:rPr>
                <w:spacing w:val="-10"/>
                <w:sz w:val="20"/>
              </w:rPr>
              <w:t> </w:t>
            </w:r>
            <w:r>
              <w:rPr>
                <w:sz w:val="20"/>
              </w:rPr>
              <w:t>опорой на внутрикостные имплантаты</w:t>
            </w:r>
          </w:p>
        </w:tc>
      </w:tr>
      <w:tr>
        <w:trPr>
          <w:trHeight w:val="1560" w:hRule="atLeast"/>
        </w:trPr>
        <w:tc>
          <w:tcPr>
            <w:tcW w:w="1863" w:type="dxa"/>
          </w:tcPr>
          <w:p>
            <w:pPr>
              <w:pStyle w:val="TableParagraph"/>
              <w:spacing w:line="249" w:lineRule="auto" w:before="60"/>
              <w:ind w:left="648" w:hanging="599"/>
              <w:rPr>
                <w:sz w:val="20"/>
              </w:rPr>
            </w:pPr>
            <w:r>
              <w:rPr>
                <w:sz w:val="20"/>
              </w:rPr>
              <w:t>L90.5,</w:t>
            </w:r>
            <w:r>
              <w:rPr>
                <w:spacing w:val="-13"/>
                <w:sz w:val="20"/>
              </w:rPr>
              <w:t> </w:t>
            </w:r>
            <w:r>
              <w:rPr>
                <w:sz w:val="20"/>
              </w:rPr>
              <w:t>T95.0,</w:t>
            </w:r>
            <w:r>
              <w:rPr>
                <w:spacing w:val="-12"/>
                <w:sz w:val="20"/>
              </w:rPr>
              <w:t> </w:t>
            </w:r>
            <w:r>
              <w:rPr>
                <w:sz w:val="20"/>
              </w:rPr>
              <w:t>T95.8, </w:t>
            </w:r>
            <w:r>
              <w:rPr>
                <w:spacing w:val="-2"/>
                <w:sz w:val="20"/>
              </w:rPr>
              <w:t>T95.9</w:t>
            </w:r>
          </w:p>
        </w:tc>
        <w:tc>
          <w:tcPr>
            <w:tcW w:w="3378" w:type="dxa"/>
          </w:tcPr>
          <w:p>
            <w:pPr>
              <w:pStyle w:val="TableParagraph"/>
              <w:spacing w:line="249" w:lineRule="auto" w:before="60"/>
              <w:ind w:left="148" w:right="1116"/>
              <w:jc w:val="both"/>
              <w:rPr>
                <w:sz w:val="20"/>
              </w:rPr>
            </w:pPr>
            <w:r>
              <w:rPr>
                <w:sz w:val="20"/>
              </w:rPr>
              <w:t>послеожоговая</w:t>
            </w:r>
            <w:r>
              <w:rPr>
                <w:spacing w:val="-13"/>
                <w:sz w:val="20"/>
              </w:rPr>
              <w:t> </w:t>
            </w:r>
            <w:r>
              <w:rPr>
                <w:sz w:val="20"/>
              </w:rPr>
              <w:t>рубцовая контрактура лица и шеи (II и III степени)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9" w:lineRule="auto" w:before="60"/>
              <w:ind w:left="109" w:right="97"/>
              <w:rPr>
                <w:sz w:val="20"/>
              </w:rPr>
            </w:pPr>
            <w:r>
              <w:rPr>
                <w:sz w:val="20"/>
              </w:rPr>
              <w:t>хирургическое</w:t>
            </w:r>
            <w:r>
              <w:rPr>
                <w:spacing w:val="-13"/>
                <w:sz w:val="20"/>
              </w:rPr>
              <w:t> </w:t>
            </w:r>
            <w:r>
              <w:rPr>
                <w:sz w:val="20"/>
              </w:rPr>
              <w:t>устранение</w:t>
            </w:r>
            <w:r>
              <w:rPr>
                <w:spacing w:val="-12"/>
                <w:sz w:val="20"/>
              </w:rPr>
              <w:t> </w:t>
            </w:r>
            <w:r>
              <w:rPr>
                <w:sz w:val="20"/>
              </w:rPr>
              <w:t>контрактуры шеи с использованием лоскутов с осевыми сосудистыми рисунками, микрохирургическая пластика с помощью реваскуляризированного </w:t>
            </w:r>
            <w:r>
              <w:rPr>
                <w:spacing w:val="-2"/>
                <w:sz w:val="20"/>
              </w:rPr>
              <w:t>лоскута</w:t>
            </w:r>
          </w:p>
        </w:tc>
      </w:tr>
      <w:tr>
        <w:trPr>
          <w:trHeight w:val="1800" w:hRule="atLeast"/>
        </w:trPr>
        <w:tc>
          <w:tcPr>
            <w:tcW w:w="1863" w:type="dxa"/>
          </w:tcPr>
          <w:p>
            <w:pPr>
              <w:pStyle w:val="TableParagraph"/>
              <w:spacing w:before="60"/>
              <w:ind w:left="114" w:right="205"/>
              <w:jc w:val="center"/>
              <w:rPr>
                <w:sz w:val="20"/>
              </w:rPr>
            </w:pPr>
            <w:r>
              <w:rPr>
                <w:sz w:val="20"/>
              </w:rPr>
              <w:t>T90.9,</w:t>
            </w:r>
            <w:r>
              <w:rPr>
                <w:spacing w:val="-6"/>
                <w:sz w:val="20"/>
              </w:rPr>
              <w:t> </w:t>
            </w:r>
            <w:r>
              <w:rPr>
                <w:sz w:val="20"/>
              </w:rPr>
              <w:t>T90.8,</w:t>
            </w:r>
            <w:r>
              <w:rPr>
                <w:spacing w:val="-2"/>
                <w:sz w:val="20"/>
              </w:rPr>
              <w:t> </w:t>
            </w:r>
            <w:r>
              <w:rPr>
                <w:spacing w:val="-5"/>
                <w:sz w:val="20"/>
              </w:rPr>
              <w:t>M96</w:t>
            </w:r>
          </w:p>
        </w:tc>
        <w:tc>
          <w:tcPr>
            <w:tcW w:w="3378" w:type="dxa"/>
          </w:tcPr>
          <w:p>
            <w:pPr>
              <w:pStyle w:val="TableParagraph"/>
              <w:spacing w:line="249" w:lineRule="auto" w:before="60"/>
              <w:ind w:left="148"/>
              <w:rPr>
                <w:sz w:val="20"/>
              </w:rPr>
            </w:pPr>
            <w:r>
              <w:rPr>
                <w:sz w:val="20"/>
              </w:rPr>
              <w:t>обширный</w:t>
            </w:r>
            <w:r>
              <w:rPr>
                <w:spacing w:val="-13"/>
                <w:sz w:val="20"/>
              </w:rPr>
              <w:t> </w:t>
            </w:r>
            <w:r>
              <w:rPr>
                <w:sz w:val="20"/>
              </w:rPr>
              <w:t>дефект</w:t>
            </w:r>
            <w:r>
              <w:rPr>
                <w:spacing w:val="-12"/>
                <w:sz w:val="20"/>
              </w:rPr>
              <w:t> </w:t>
            </w:r>
            <w:r>
              <w:rPr>
                <w:sz w:val="20"/>
              </w:rPr>
              <w:t>мягких</w:t>
            </w:r>
            <w:r>
              <w:rPr>
                <w:spacing w:val="-13"/>
                <w:sz w:val="20"/>
              </w:rPr>
              <w:t> </w:t>
            </w:r>
            <w:r>
              <w:rPr>
                <w:sz w:val="20"/>
              </w:rPr>
              <w:t>тканей нижней зоны лица (2 и более анатомические области)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9" w:lineRule="auto" w:before="60"/>
              <w:ind w:left="109" w:right="97"/>
              <w:rPr>
                <w:sz w:val="20"/>
              </w:rPr>
            </w:pPr>
            <w:r>
              <w:rPr>
                <w:sz w:val="20"/>
              </w:rPr>
              <w:t>реконструктивно-пластическая</w:t>
            </w:r>
            <w:r>
              <w:rPr>
                <w:spacing w:val="-13"/>
                <w:sz w:val="20"/>
              </w:rPr>
              <w:t> </w:t>
            </w:r>
            <w:r>
              <w:rPr>
                <w:sz w:val="20"/>
              </w:rPr>
              <w:t>операция сложным лоскутом на ножке с грудной клетки, с использованием лоскутов с осевыми сосудистыми рисунками, тканями стебельчатого лоскута, микро- хирургическая пластика с помощью реваскуляризированного лоскута</w:t>
            </w:r>
          </w:p>
        </w:tc>
      </w:tr>
      <w:tr>
        <w:trPr>
          <w:trHeight w:val="2760" w:hRule="atLeast"/>
        </w:trPr>
        <w:tc>
          <w:tcPr>
            <w:tcW w:w="1863" w:type="dxa"/>
          </w:tcPr>
          <w:p>
            <w:pPr>
              <w:pStyle w:val="TableParagraph"/>
              <w:spacing w:before="60"/>
              <w:ind w:left="114" w:right="205"/>
              <w:jc w:val="center"/>
              <w:rPr>
                <w:sz w:val="20"/>
              </w:rPr>
            </w:pPr>
            <w:r>
              <w:rPr>
                <w:sz w:val="20"/>
              </w:rPr>
              <w:t>L91,</w:t>
            </w:r>
            <w:r>
              <w:rPr>
                <w:spacing w:val="-4"/>
                <w:sz w:val="20"/>
              </w:rPr>
              <w:t> </w:t>
            </w:r>
            <w:r>
              <w:rPr>
                <w:sz w:val="20"/>
              </w:rPr>
              <w:t>L90.5,</w:t>
            </w:r>
            <w:r>
              <w:rPr>
                <w:spacing w:val="-4"/>
                <w:sz w:val="20"/>
              </w:rPr>
              <w:t> </w:t>
            </w:r>
            <w:r>
              <w:rPr>
                <w:spacing w:val="-5"/>
                <w:sz w:val="20"/>
              </w:rPr>
              <w:t>Q18</w:t>
            </w:r>
          </w:p>
        </w:tc>
        <w:tc>
          <w:tcPr>
            <w:tcW w:w="3378" w:type="dxa"/>
          </w:tcPr>
          <w:p>
            <w:pPr>
              <w:pStyle w:val="TableParagraph"/>
              <w:spacing w:line="249" w:lineRule="auto" w:before="60"/>
              <w:ind w:left="148" w:right="92"/>
              <w:rPr>
                <w:sz w:val="20"/>
              </w:rPr>
            </w:pPr>
            <w:r>
              <w:rPr>
                <w:sz w:val="20"/>
              </w:rPr>
              <w:t>обширный</w:t>
            </w:r>
            <w:r>
              <w:rPr>
                <w:spacing w:val="-13"/>
                <w:sz w:val="20"/>
              </w:rPr>
              <w:t> </w:t>
            </w:r>
            <w:r>
              <w:rPr>
                <w:sz w:val="20"/>
              </w:rPr>
              <w:t>порок</w:t>
            </w:r>
            <w:r>
              <w:rPr>
                <w:spacing w:val="-12"/>
                <w:sz w:val="20"/>
              </w:rPr>
              <w:t> </w:t>
            </w:r>
            <w:r>
              <w:rPr>
                <w:sz w:val="20"/>
              </w:rPr>
              <w:t>развития,</w:t>
            </w:r>
            <w:r>
              <w:rPr>
                <w:spacing w:val="-13"/>
                <w:sz w:val="20"/>
              </w:rPr>
              <w:t> </w:t>
            </w:r>
            <w:r>
              <w:rPr>
                <w:sz w:val="20"/>
              </w:rPr>
              <w:t>рубцовая деформация кожи волосистой части головы, мягких тканей лица и шеи</w:t>
            </w:r>
            <w:r>
              <w:rPr>
                <w:spacing w:val="40"/>
                <w:sz w:val="20"/>
              </w:rPr>
              <w:t> </w:t>
            </w:r>
            <w:r>
              <w:rPr>
                <w:sz w:val="20"/>
              </w:rPr>
              <w:t>(2 и более анатомические области)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9" w:lineRule="auto" w:before="60"/>
              <w:ind w:left="109" w:right="291"/>
              <w:rPr>
                <w:sz w:val="20"/>
              </w:rPr>
            </w:pPr>
            <w:r>
              <w:rPr>
                <w:sz w:val="20"/>
              </w:rPr>
              <w:t>пластическое</w:t>
            </w:r>
            <w:r>
              <w:rPr>
                <w:spacing w:val="-13"/>
                <w:sz w:val="20"/>
              </w:rPr>
              <w:t> </w:t>
            </w:r>
            <w:r>
              <w:rPr>
                <w:sz w:val="20"/>
              </w:rPr>
              <w:t>устранение</w:t>
            </w:r>
            <w:r>
              <w:rPr>
                <w:spacing w:val="-12"/>
                <w:sz w:val="20"/>
              </w:rPr>
              <w:t> </w:t>
            </w:r>
            <w:r>
              <w:rPr>
                <w:sz w:val="20"/>
              </w:rPr>
              <w:t>деформации 2 и более ротационными лоскутами,</w:t>
            </w:r>
          </w:p>
          <w:p>
            <w:pPr>
              <w:pStyle w:val="TableParagraph"/>
              <w:spacing w:line="249" w:lineRule="auto" w:before="2"/>
              <w:ind w:left="109" w:right="97"/>
              <w:rPr>
                <w:sz w:val="20"/>
              </w:rPr>
            </w:pPr>
            <w:r>
              <w:rPr>
                <w:sz w:val="20"/>
              </w:rPr>
              <w:t>реконструктивно-пластическая</w:t>
            </w:r>
            <w:r>
              <w:rPr>
                <w:spacing w:val="-13"/>
                <w:sz w:val="20"/>
              </w:rPr>
              <w:t> </w:t>
            </w:r>
            <w:r>
              <w:rPr>
                <w:sz w:val="20"/>
              </w:rPr>
              <w:t>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trPr>
          <w:trHeight w:val="1010" w:hRule="atLeast"/>
        </w:trPr>
        <w:tc>
          <w:tcPr>
            <w:tcW w:w="1863" w:type="dxa"/>
          </w:tcPr>
          <w:p>
            <w:pPr>
              <w:pStyle w:val="TableParagraph"/>
              <w:spacing w:before="60"/>
              <w:ind w:left="116" w:right="205"/>
              <w:jc w:val="center"/>
              <w:rPr>
                <w:sz w:val="20"/>
              </w:rPr>
            </w:pPr>
            <w:r>
              <w:rPr>
                <w:sz w:val="20"/>
              </w:rPr>
              <w:t>T90.9,</w:t>
            </w:r>
            <w:r>
              <w:rPr>
                <w:spacing w:val="-5"/>
                <w:sz w:val="20"/>
              </w:rPr>
              <w:t> </w:t>
            </w:r>
            <w:r>
              <w:rPr>
                <w:sz w:val="20"/>
              </w:rPr>
              <w:t>T90.8,</w:t>
            </w:r>
            <w:r>
              <w:rPr>
                <w:spacing w:val="-2"/>
                <w:sz w:val="20"/>
              </w:rPr>
              <w:t> </w:t>
            </w:r>
            <w:r>
              <w:rPr>
                <w:spacing w:val="-5"/>
                <w:sz w:val="20"/>
              </w:rPr>
              <w:t>M96</w:t>
            </w:r>
          </w:p>
        </w:tc>
        <w:tc>
          <w:tcPr>
            <w:tcW w:w="3378" w:type="dxa"/>
          </w:tcPr>
          <w:p>
            <w:pPr>
              <w:pStyle w:val="TableParagraph"/>
              <w:spacing w:line="240" w:lineRule="atLeast" w:before="30"/>
              <w:ind w:left="148"/>
              <w:rPr>
                <w:sz w:val="20"/>
              </w:rPr>
            </w:pPr>
            <w:r>
              <w:rPr>
                <w:sz w:val="20"/>
              </w:rPr>
              <w:t>посттравматический дефект и рубцовая деформация волосистой части</w:t>
            </w:r>
            <w:r>
              <w:rPr>
                <w:spacing w:val="-10"/>
                <w:sz w:val="20"/>
              </w:rPr>
              <w:t> </w:t>
            </w:r>
            <w:r>
              <w:rPr>
                <w:sz w:val="20"/>
              </w:rPr>
              <w:t>головы,</w:t>
            </w:r>
            <w:r>
              <w:rPr>
                <w:spacing w:val="-9"/>
                <w:sz w:val="20"/>
              </w:rPr>
              <w:t> </w:t>
            </w:r>
            <w:r>
              <w:rPr>
                <w:sz w:val="20"/>
              </w:rPr>
              <w:t>мягких</w:t>
            </w:r>
            <w:r>
              <w:rPr>
                <w:spacing w:val="-10"/>
                <w:sz w:val="20"/>
              </w:rPr>
              <w:t> </w:t>
            </w:r>
            <w:r>
              <w:rPr>
                <w:sz w:val="20"/>
              </w:rPr>
              <w:t>тканей</w:t>
            </w:r>
            <w:r>
              <w:rPr>
                <w:spacing w:val="-10"/>
                <w:sz w:val="20"/>
              </w:rPr>
              <w:t> </w:t>
            </w:r>
            <w:r>
              <w:rPr>
                <w:sz w:val="20"/>
              </w:rPr>
              <w:t>лица</w:t>
            </w:r>
            <w:r>
              <w:rPr>
                <w:spacing w:val="-6"/>
                <w:sz w:val="20"/>
              </w:rPr>
              <w:t> </w:t>
            </w:r>
            <w:r>
              <w:rPr>
                <w:sz w:val="20"/>
              </w:rPr>
              <w:t>и </w:t>
            </w:r>
            <w:r>
              <w:rPr>
                <w:spacing w:val="-4"/>
                <w:sz w:val="20"/>
              </w:rPr>
              <w:t>шеи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0" w:lineRule="atLeast" w:before="30"/>
              <w:ind w:left="109" w:right="97"/>
              <w:rPr>
                <w:sz w:val="20"/>
              </w:rPr>
            </w:pPr>
            <w:r>
              <w:rPr>
                <w:sz w:val="20"/>
              </w:rPr>
              <w:t>реконструктивно-пластическая</w:t>
            </w:r>
            <w:r>
              <w:rPr>
                <w:spacing w:val="-13"/>
                <w:sz w:val="20"/>
              </w:rPr>
              <w:t> </w:t>
            </w:r>
            <w:r>
              <w:rPr>
                <w:sz w:val="20"/>
              </w:rPr>
              <w:t>операция сложным лоскутом на ножке с грудной клетки и плеча, с использованием лоскутов с осевыми сосудистыми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1765"/>
        <w:gridCol w:w="3348"/>
        <w:gridCol w:w="1513"/>
        <w:gridCol w:w="3682"/>
      </w:tblGrid>
      <w:tr>
        <w:trPr>
          <w:trHeight w:val="1490" w:hRule="atLeast"/>
        </w:trPr>
        <w:tc>
          <w:tcPr>
            <w:tcW w:w="2957" w:type="dxa"/>
          </w:tcPr>
          <w:p>
            <w:pPr>
              <w:pStyle w:val="TableParagraph"/>
              <w:rPr>
                <w:sz w:val="18"/>
              </w:rPr>
            </w:pPr>
          </w:p>
        </w:tc>
        <w:tc>
          <w:tcPr>
            <w:tcW w:w="1765" w:type="dxa"/>
          </w:tcPr>
          <w:p>
            <w:pPr>
              <w:pStyle w:val="TableParagraph"/>
              <w:rPr>
                <w:sz w:val="18"/>
              </w:rPr>
            </w:pPr>
          </w:p>
        </w:tc>
        <w:tc>
          <w:tcPr>
            <w:tcW w:w="3348" w:type="dxa"/>
          </w:tcPr>
          <w:p>
            <w:pPr>
              <w:pStyle w:val="TableParagraph"/>
              <w:rPr>
                <w:sz w:val="18"/>
              </w:rPr>
            </w:pPr>
          </w:p>
        </w:tc>
        <w:tc>
          <w:tcPr>
            <w:tcW w:w="1513" w:type="dxa"/>
          </w:tcPr>
          <w:p>
            <w:pPr>
              <w:pStyle w:val="TableParagraph"/>
              <w:rPr>
                <w:sz w:val="18"/>
              </w:rPr>
            </w:pPr>
          </w:p>
        </w:tc>
        <w:tc>
          <w:tcPr>
            <w:tcW w:w="3682" w:type="dxa"/>
          </w:tcPr>
          <w:p>
            <w:pPr>
              <w:pStyle w:val="TableParagraph"/>
              <w:spacing w:line="249" w:lineRule="auto"/>
              <w:ind w:left="109" w:right="42"/>
              <w:rPr>
                <w:sz w:val="20"/>
              </w:rPr>
            </w:pPr>
            <w:r>
              <w:rPr>
                <w:sz w:val="20"/>
              </w:rPr>
              <w:t>рисунками,</w:t>
            </w:r>
            <w:r>
              <w:rPr>
                <w:spacing w:val="-11"/>
                <w:sz w:val="20"/>
              </w:rPr>
              <w:t> </w:t>
            </w:r>
            <w:r>
              <w:rPr>
                <w:sz w:val="20"/>
              </w:rPr>
              <w:t>2</w:t>
            </w:r>
            <w:r>
              <w:rPr>
                <w:spacing w:val="-10"/>
                <w:sz w:val="20"/>
              </w:rPr>
              <w:t> </w:t>
            </w:r>
            <w:r>
              <w:rPr>
                <w:sz w:val="20"/>
              </w:rPr>
              <w:t>и</w:t>
            </w:r>
            <w:r>
              <w:rPr>
                <w:spacing w:val="-12"/>
                <w:sz w:val="20"/>
              </w:rPr>
              <w:t> </w:t>
            </w:r>
            <w:r>
              <w:rPr>
                <w:sz w:val="20"/>
              </w:rPr>
              <w:t>более</w:t>
            </w:r>
            <w:r>
              <w:rPr>
                <w:spacing w:val="-11"/>
                <w:sz w:val="20"/>
              </w:rPr>
              <w:t> </w:t>
            </w:r>
            <w:r>
              <w:rPr>
                <w:sz w:val="20"/>
              </w:rPr>
              <w:t>ротационными лоскутами, методом дерматензии с использованием</w:t>
            </w:r>
            <w:r>
              <w:rPr>
                <w:spacing w:val="-5"/>
                <w:sz w:val="20"/>
              </w:rPr>
              <w:t> </w:t>
            </w:r>
            <w:r>
              <w:rPr>
                <w:sz w:val="20"/>
              </w:rPr>
              <w:t>тканей,</w:t>
            </w:r>
            <w:r>
              <w:rPr>
                <w:spacing w:val="-6"/>
                <w:sz w:val="20"/>
              </w:rPr>
              <w:t> </w:t>
            </w:r>
            <w:r>
              <w:rPr>
                <w:sz w:val="20"/>
              </w:rPr>
              <w:t>растянутых эспандером, микрохирургическая пластика с помощью реваскуляризированного лоскута</w:t>
            </w:r>
          </w:p>
        </w:tc>
      </w:tr>
      <w:tr>
        <w:trPr>
          <w:trHeight w:val="1560" w:hRule="atLeast"/>
        </w:trPr>
        <w:tc>
          <w:tcPr>
            <w:tcW w:w="2957" w:type="dxa"/>
          </w:tcPr>
          <w:p>
            <w:pPr>
              <w:pStyle w:val="TableParagraph"/>
              <w:spacing w:line="249" w:lineRule="auto" w:before="60"/>
              <w:ind w:left="50" w:right="269"/>
              <w:rPr>
                <w:sz w:val="20"/>
              </w:rPr>
            </w:pPr>
            <w:r>
              <w:rPr>
                <w:spacing w:val="-2"/>
                <w:sz w:val="20"/>
              </w:rPr>
              <w:t>Реконструктивно- </w:t>
            </w:r>
            <w:r>
              <w:rPr>
                <w:sz w:val="20"/>
              </w:rPr>
              <w:t>пластические операции по устранению обширных дефектов</w:t>
            </w:r>
            <w:r>
              <w:rPr>
                <w:spacing w:val="-13"/>
                <w:sz w:val="20"/>
              </w:rPr>
              <w:t> </w:t>
            </w:r>
            <w:r>
              <w:rPr>
                <w:sz w:val="20"/>
              </w:rPr>
              <w:t>костей</w:t>
            </w:r>
            <w:r>
              <w:rPr>
                <w:spacing w:val="-12"/>
                <w:sz w:val="20"/>
              </w:rPr>
              <w:t> </w:t>
            </w:r>
            <w:r>
              <w:rPr>
                <w:sz w:val="20"/>
              </w:rPr>
              <w:t>свода</w:t>
            </w:r>
            <w:r>
              <w:rPr>
                <w:spacing w:val="-13"/>
                <w:sz w:val="20"/>
              </w:rPr>
              <w:t> </w:t>
            </w:r>
            <w:r>
              <w:rPr>
                <w:sz w:val="20"/>
              </w:rPr>
              <w:t>черепа, лицевого скелета</w:t>
            </w:r>
          </w:p>
        </w:tc>
        <w:tc>
          <w:tcPr>
            <w:tcW w:w="1765" w:type="dxa"/>
          </w:tcPr>
          <w:p>
            <w:pPr>
              <w:pStyle w:val="TableParagraph"/>
              <w:spacing w:before="60"/>
              <w:ind w:left="66" w:right="175"/>
              <w:jc w:val="center"/>
              <w:rPr>
                <w:sz w:val="20"/>
              </w:rPr>
            </w:pPr>
            <w:r>
              <w:rPr>
                <w:sz w:val="20"/>
              </w:rPr>
              <w:t>T90.1,</w:t>
            </w:r>
            <w:r>
              <w:rPr>
                <w:spacing w:val="-7"/>
                <w:sz w:val="20"/>
              </w:rPr>
              <w:t> </w:t>
            </w:r>
            <w:r>
              <w:rPr>
                <w:spacing w:val="-2"/>
                <w:sz w:val="20"/>
              </w:rPr>
              <w:t>T90.2</w:t>
            </w:r>
          </w:p>
        </w:tc>
        <w:tc>
          <w:tcPr>
            <w:tcW w:w="3348" w:type="dxa"/>
          </w:tcPr>
          <w:p>
            <w:pPr>
              <w:pStyle w:val="TableParagraph"/>
              <w:spacing w:line="249" w:lineRule="auto" w:before="60"/>
              <w:ind w:left="188" w:right="58"/>
              <w:rPr>
                <w:sz w:val="20"/>
              </w:rPr>
            </w:pPr>
            <w:r>
              <w:rPr>
                <w:sz w:val="20"/>
              </w:rPr>
              <w:t>посттравматический</w:t>
            </w:r>
            <w:r>
              <w:rPr>
                <w:spacing w:val="-13"/>
                <w:sz w:val="20"/>
              </w:rPr>
              <w:t> </w:t>
            </w:r>
            <w:r>
              <w:rPr>
                <w:sz w:val="20"/>
              </w:rPr>
              <w:t>дефект</w:t>
            </w:r>
            <w:r>
              <w:rPr>
                <w:spacing w:val="-12"/>
                <w:sz w:val="20"/>
              </w:rPr>
              <w:t> </w:t>
            </w:r>
            <w:r>
              <w:rPr>
                <w:sz w:val="20"/>
              </w:rPr>
              <w:t>костей черепа и верхней зоны лица</w:t>
            </w:r>
          </w:p>
        </w:tc>
        <w:tc>
          <w:tcPr>
            <w:tcW w:w="1513" w:type="dxa"/>
          </w:tcPr>
          <w:p>
            <w:pPr>
              <w:pStyle w:val="TableParagraph"/>
              <w:spacing w:line="249" w:lineRule="auto" w:before="60"/>
              <w:ind w:left="148"/>
              <w:rPr>
                <w:sz w:val="20"/>
              </w:rPr>
            </w:pPr>
            <w:r>
              <w:rPr>
                <w:spacing w:val="-2"/>
                <w:sz w:val="20"/>
              </w:rPr>
              <w:t>хирургическое лечение</w:t>
            </w:r>
          </w:p>
        </w:tc>
        <w:tc>
          <w:tcPr>
            <w:tcW w:w="3682" w:type="dxa"/>
          </w:tcPr>
          <w:p>
            <w:pPr>
              <w:pStyle w:val="TableParagraph"/>
              <w:spacing w:line="249" w:lineRule="auto" w:before="60"/>
              <w:ind w:left="109" w:right="42"/>
              <w:rPr>
                <w:sz w:val="20"/>
              </w:rPr>
            </w:pPr>
            <w:r>
              <w:rPr>
                <w:sz w:val="20"/>
              </w:rPr>
              <w:t>реконструкция костей свода черепа, верхней зоны лица с использованием дистракционных фиксирующих аппаратов,</w:t>
            </w:r>
            <w:r>
              <w:rPr>
                <w:spacing w:val="-13"/>
                <w:sz w:val="20"/>
              </w:rPr>
              <w:t> </w:t>
            </w:r>
            <w:r>
              <w:rPr>
                <w:sz w:val="20"/>
              </w:rPr>
              <w:t>костных</w:t>
            </w:r>
            <w:r>
              <w:rPr>
                <w:spacing w:val="-12"/>
                <w:sz w:val="20"/>
              </w:rPr>
              <w:t> </w:t>
            </w:r>
            <w:r>
              <w:rPr>
                <w:sz w:val="20"/>
              </w:rPr>
              <w:t>аутотрансплантатов, биодеградирующих материалов или реваскуляризированного лоскута</w:t>
            </w:r>
          </w:p>
        </w:tc>
      </w:tr>
      <w:tr>
        <w:trPr>
          <w:trHeight w:val="840" w:hRule="atLeast"/>
        </w:trPr>
        <w:tc>
          <w:tcPr>
            <w:tcW w:w="2957" w:type="dxa"/>
          </w:tcPr>
          <w:p>
            <w:pPr>
              <w:pStyle w:val="TableParagraph"/>
              <w:rPr>
                <w:sz w:val="18"/>
              </w:rPr>
            </w:pPr>
          </w:p>
        </w:tc>
        <w:tc>
          <w:tcPr>
            <w:tcW w:w="1765" w:type="dxa"/>
          </w:tcPr>
          <w:p>
            <w:pPr>
              <w:pStyle w:val="TableParagraph"/>
              <w:rPr>
                <w:sz w:val="18"/>
              </w:rPr>
            </w:pPr>
          </w:p>
        </w:tc>
        <w:tc>
          <w:tcPr>
            <w:tcW w:w="3348" w:type="dxa"/>
          </w:tcPr>
          <w:p>
            <w:pPr>
              <w:pStyle w:val="TableParagraph"/>
              <w:rPr>
                <w:sz w:val="18"/>
              </w:rPr>
            </w:pPr>
          </w:p>
        </w:tc>
        <w:tc>
          <w:tcPr>
            <w:tcW w:w="1513" w:type="dxa"/>
          </w:tcPr>
          <w:p>
            <w:pPr>
              <w:pStyle w:val="TableParagraph"/>
              <w:rPr>
                <w:sz w:val="18"/>
              </w:rPr>
            </w:pPr>
          </w:p>
        </w:tc>
        <w:tc>
          <w:tcPr>
            <w:tcW w:w="3682" w:type="dxa"/>
          </w:tcPr>
          <w:p>
            <w:pPr>
              <w:pStyle w:val="TableParagraph"/>
              <w:spacing w:line="249" w:lineRule="auto" w:before="60"/>
              <w:ind w:left="109" w:right="42"/>
              <w:rPr>
                <w:sz w:val="20"/>
              </w:rPr>
            </w:pPr>
            <w:r>
              <w:rPr>
                <w:sz w:val="20"/>
              </w:rPr>
              <w:t>реконструкция</w:t>
            </w:r>
            <w:r>
              <w:rPr>
                <w:spacing w:val="-9"/>
                <w:sz w:val="20"/>
              </w:rPr>
              <w:t> </w:t>
            </w:r>
            <w:r>
              <w:rPr>
                <w:sz w:val="20"/>
              </w:rPr>
              <w:t>лобной</w:t>
            </w:r>
            <w:r>
              <w:rPr>
                <w:spacing w:val="-11"/>
                <w:sz w:val="20"/>
              </w:rPr>
              <w:t> </w:t>
            </w:r>
            <w:r>
              <w:rPr>
                <w:sz w:val="20"/>
              </w:rPr>
              <w:t>кости</w:t>
            </w:r>
            <w:r>
              <w:rPr>
                <w:spacing w:val="-11"/>
                <w:sz w:val="20"/>
              </w:rPr>
              <w:t> </w:t>
            </w:r>
            <w:r>
              <w:rPr>
                <w:sz w:val="20"/>
              </w:rPr>
              <w:t>с</w:t>
            </w:r>
            <w:r>
              <w:rPr>
                <w:spacing w:val="-11"/>
                <w:sz w:val="20"/>
              </w:rPr>
              <w:t> </w:t>
            </w:r>
            <w:r>
              <w:rPr>
                <w:sz w:val="20"/>
              </w:rPr>
              <w:t>помощью металлоконструкций, силиконового имплантата или аллогенных материалов</w:t>
            </w:r>
          </w:p>
        </w:tc>
      </w:tr>
      <w:tr>
        <w:trPr>
          <w:trHeight w:val="2280" w:hRule="atLeast"/>
        </w:trPr>
        <w:tc>
          <w:tcPr>
            <w:tcW w:w="2957" w:type="dxa"/>
          </w:tcPr>
          <w:p>
            <w:pPr>
              <w:pStyle w:val="TableParagraph"/>
              <w:rPr>
                <w:sz w:val="18"/>
              </w:rPr>
            </w:pPr>
          </w:p>
        </w:tc>
        <w:tc>
          <w:tcPr>
            <w:tcW w:w="1765" w:type="dxa"/>
          </w:tcPr>
          <w:p>
            <w:pPr>
              <w:pStyle w:val="TableParagraph"/>
              <w:spacing w:before="60"/>
              <w:ind w:left="66" w:right="174"/>
              <w:jc w:val="center"/>
              <w:rPr>
                <w:sz w:val="20"/>
              </w:rPr>
            </w:pPr>
            <w:r>
              <w:rPr>
                <w:sz w:val="20"/>
              </w:rPr>
              <w:t>T90.2 -</w:t>
            </w:r>
            <w:r>
              <w:rPr>
                <w:spacing w:val="-6"/>
                <w:sz w:val="20"/>
              </w:rPr>
              <w:t> </w:t>
            </w:r>
            <w:r>
              <w:rPr>
                <w:spacing w:val="-2"/>
                <w:sz w:val="20"/>
              </w:rPr>
              <w:t>T90.4</w:t>
            </w:r>
          </w:p>
        </w:tc>
        <w:tc>
          <w:tcPr>
            <w:tcW w:w="3348" w:type="dxa"/>
          </w:tcPr>
          <w:p>
            <w:pPr>
              <w:pStyle w:val="TableParagraph"/>
              <w:spacing w:line="249" w:lineRule="auto" w:before="60"/>
              <w:ind w:left="188" w:right="347"/>
              <w:jc w:val="both"/>
              <w:rPr>
                <w:sz w:val="20"/>
              </w:rPr>
            </w:pPr>
            <w:r>
              <w:rPr>
                <w:sz w:val="20"/>
              </w:rPr>
              <w:t>посттравматическая</w:t>
            </w:r>
            <w:r>
              <w:rPr>
                <w:spacing w:val="-13"/>
                <w:sz w:val="20"/>
              </w:rPr>
              <w:t> </w:t>
            </w:r>
            <w:r>
              <w:rPr>
                <w:sz w:val="20"/>
              </w:rPr>
              <w:t>деформация </w:t>
            </w:r>
            <w:r>
              <w:rPr>
                <w:spacing w:val="-2"/>
                <w:sz w:val="20"/>
              </w:rPr>
              <w:t>скуло-носо-лобно-орбитального комплекса</w:t>
            </w:r>
          </w:p>
        </w:tc>
        <w:tc>
          <w:tcPr>
            <w:tcW w:w="1513" w:type="dxa"/>
          </w:tcPr>
          <w:p>
            <w:pPr>
              <w:pStyle w:val="TableParagraph"/>
              <w:spacing w:line="249" w:lineRule="auto" w:before="60"/>
              <w:ind w:left="148"/>
              <w:rPr>
                <w:sz w:val="20"/>
              </w:rPr>
            </w:pPr>
            <w:r>
              <w:rPr>
                <w:spacing w:val="-2"/>
                <w:sz w:val="20"/>
              </w:rPr>
              <w:t>хирургическое лечение</w:t>
            </w:r>
          </w:p>
        </w:tc>
        <w:tc>
          <w:tcPr>
            <w:tcW w:w="3682" w:type="dxa"/>
          </w:tcPr>
          <w:p>
            <w:pPr>
              <w:pStyle w:val="TableParagraph"/>
              <w:spacing w:line="249" w:lineRule="auto" w:before="60"/>
              <w:ind w:left="109" w:right="42"/>
              <w:rPr>
                <w:sz w:val="20"/>
              </w:rPr>
            </w:pPr>
            <w:r>
              <w:rPr>
                <w:sz w:val="20"/>
              </w:rPr>
              <w:t>реконструктивно-пластическая</w:t>
            </w:r>
            <w:r>
              <w:rPr>
                <w:spacing w:val="-13"/>
                <w:sz w:val="20"/>
              </w:rPr>
              <w:t> </w:t>
            </w:r>
            <w:r>
              <w:rPr>
                <w:sz w:val="20"/>
              </w:rPr>
              <w:t>операция путем остеотомии, репозиции смещенных костных отломков и замещения</w:t>
            </w:r>
            <w:r>
              <w:rPr>
                <w:spacing w:val="-9"/>
                <w:sz w:val="20"/>
              </w:rPr>
              <w:t> </w:t>
            </w:r>
            <w:r>
              <w:rPr>
                <w:sz w:val="20"/>
              </w:rPr>
              <w:t>дефекта</w:t>
            </w:r>
            <w:r>
              <w:rPr>
                <w:spacing w:val="-10"/>
                <w:sz w:val="20"/>
              </w:rPr>
              <w:t> </w:t>
            </w:r>
            <w:r>
              <w:rPr>
                <w:sz w:val="20"/>
              </w:rPr>
              <w:t>аутотрансплантатом, композитным</w:t>
            </w:r>
            <w:r>
              <w:rPr>
                <w:spacing w:val="-13"/>
                <w:sz w:val="20"/>
              </w:rPr>
              <w:t> </w:t>
            </w:r>
            <w:r>
              <w:rPr>
                <w:sz w:val="20"/>
              </w:rPr>
              <w:t>материалом</w:t>
            </w:r>
            <w:r>
              <w:rPr>
                <w:spacing w:val="-12"/>
                <w:sz w:val="20"/>
              </w:rPr>
              <w:t> </w:t>
            </w:r>
            <w:r>
              <w:rPr>
                <w:sz w:val="20"/>
              </w:rPr>
              <w:t>или</w:t>
            </w:r>
            <w:r>
              <w:rPr>
                <w:spacing w:val="-13"/>
                <w:sz w:val="20"/>
              </w:rPr>
              <w:t> </w:t>
            </w:r>
            <w:r>
              <w:rPr>
                <w:sz w:val="20"/>
              </w:rPr>
              <w:t>титановой пластиной (сеткой), в том числе с использованием компьютерных методов планирования, интраоперационной компьютерной навигации</w:t>
            </w:r>
          </w:p>
        </w:tc>
      </w:tr>
      <w:tr>
        <w:trPr>
          <w:trHeight w:val="1079" w:hRule="atLeast"/>
        </w:trPr>
        <w:tc>
          <w:tcPr>
            <w:tcW w:w="2957" w:type="dxa"/>
          </w:tcPr>
          <w:p>
            <w:pPr>
              <w:pStyle w:val="TableParagraph"/>
              <w:rPr>
                <w:sz w:val="18"/>
              </w:rPr>
            </w:pPr>
          </w:p>
        </w:tc>
        <w:tc>
          <w:tcPr>
            <w:tcW w:w="1765" w:type="dxa"/>
          </w:tcPr>
          <w:p>
            <w:pPr>
              <w:pStyle w:val="TableParagraph"/>
              <w:rPr>
                <w:sz w:val="18"/>
              </w:rPr>
            </w:pPr>
          </w:p>
        </w:tc>
        <w:tc>
          <w:tcPr>
            <w:tcW w:w="3348" w:type="dxa"/>
          </w:tcPr>
          <w:p>
            <w:pPr>
              <w:pStyle w:val="TableParagraph"/>
              <w:rPr>
                <w:sz w:val="18"/>
              </w:rPr>
            </w:pPr>
          </w:p>
        </w:tc>
        <w:tc>
          <w:tcPr>
            <w:tcW w:w="1513" w:type="dxa"/>
          </w:tcPr>
          <w:p>
            <w:pPr>
              <w:pStyle w:val="TableParagraph"/>
              <w:rPr>
                <w:sz w:val="18"/>
              </w:rPr>
            </w:pPr>
          </w:p>
        </w:tc>
        <w:tc>
          <w:tcPr>
            <w:tcW w:w="3682" w:type="dxa"/>
          </w:tcPr>
          <w:p>
            <w:pPr>
              <w:pStyle w:val="TableParagraph"/>
              <w:spacing w:line="249" w:lineRule="auto" w:before="60"/>
              <w:ind w:left="109" w:right="64"/>
              <w:rPr>
                <w:sz w:val="20"/>
              </w:rPr>
            </w:pPr>
            <w:r>
              <w:rPr>
                <w:sz w:val="20"/>
              </w:rPr>
              <w:t>реконструкция стенок глазницы с помощью</w:t>
            </w:r>
            <w:r>
              <w:rPr>
                <w:spacing w:val="-13"/>
                <w:sz w:val="20"/>
              </w:rPr>
              <w:t> </w:t>
            </w:r>
            <w:r>
              <w:rPr>
                <w:sz w:val="20"/>
              </w:rPr>
              <w:t>костного</w:t>
            </w:r>
            <w:r>
              <w:rPr>
                <w:spacing w:val="-12"/>
                <w:sz w:val="20"/>
              </w:rPr>
              <w:t> </w:t>
            </w:r>
            <w:r>
              <w:rPr>
                <w:sz w:val="20"/>
              </w:rPr>
              <w:t>аутотрансплантата, аллогенного материала или силиконового имплантата</w:t>
            </w:r>
          </w:p>
        </w:tc>
      </w:tr>
      <w:tr>
        <w:trPr>
          <w:trHeight w:val="530" w:hRule="atLeast"/>
        </w:trPr>
        <w:tc>
          <w:tcPr>
            <w:tcW w:w="2957" w:type="dxa"/>
          </w:tcPr>
          <w:p>
            <w:pPr>
              <w:pStyle w:val="TableParagraph"/>
              <w:rPr>
                <w:sz w:val="18"/>
              </w:rPr>
            </w:pPr>
          </w:p>
        </w:tc>
        <w:tc>
          <w:tcPr>
            <w:tcW w:w="1765" w:type="dxa"/>
          </w:tcPr>
          <w:p>
            <w:pPr>
              <w:pStyle w:val="TableParagraph"/>
              <w:spacing w:before="60"/>
              <w:ind w:left="66" w:right="176"/>
              <w:jc w:val="center"/>
              <w:rPr>
                <w:sz w:val="20"/>
              </w:rPr>
            </w:pPr>
            <w:r>
              <w:rPr>
                <w:sz w:val="20"/>
              </w:rPr>
              <w:t>S05,</w:t>
            </w:r>
            <w:r>
              <w:rPr>
                <w:spacing w:val="-4"/>
                <w:sz w:val="20"/>
              </w:rPr>
              <w:t> </w:t>
            </w:r>
            <w:r>
              <w:rPr>
                <w:sz w:val="20"/>
              </w:rPr>
              <w:t>H05.3,</w:t>
            </w:r>
            <w:r>
              <w:rPr>
                <w:spacing w:val="-4"/>
                <w:sz w:val="20"/>
              </w:rPr>
              <w:t> </w:t>
            </w:r>
            <w:r>
              <w:rPr>
                <w:spacing w:val="-2"/>
                <w:sz w:val="20"/>
              </w:rPr>
              <w:t>H05.4</w:t>
            </w:r>
          </w:p>
        </w:tc>
        <w:tc>
          <w:tcPr>
            <w:tcW w:w="3348" w:type="dxa"/>
          </w:tcPr>
          <w:p>
            <w:pPr>
              <w:pStyle w:val="TableParagraph"/>
              <w:spacing w:line="240" w:lineRule="atLeast" w:before="30"/>
              <w:ind w:left="188" w:right="341"/>
              <w:rPr>
                <w:sz w:val="20"/>
              </w:rPr>
            </w:pPr>
            <w:r>
              <w:rPr>
                <w:sz w:val="20"/>
              </w:rPr>
              <w:t>посттравматическая</w:t>
            </w:r>
            <w:r>
              <w:rPr>
                <w:spacing w:val="-13"/>
                <w:sz w:val="20"/>
              </w:rPr>
              <w:t> </w:t>
            </w:r>
            <w:r>
              <w:rPr>
                <w:sz w:val="20"/>
              </w:rPr>
              <w:t>деформация глазницы с энофтальмом</w:t>
            </w:r>
          </w:p>
        </w:tc>
        <w:tc>
          <w:tcPr>
            <w:tcW w:w="1513" w:type="dxa"/>
          </w:tcPr>
          <w:p>
            <w:pPr>
              <w:pStyle w:val="TableParagraph"/>
              <w:spacing w:line="240" w:lineRule="atLeast" w:before="30"/>
              <w:ind w:left="148"/>
              <w:rPr>
                <w:sz w:val="20"/>
              </w:rPr>
            </w:pPr>
            <w:r>
              <w:rPr>
                <w:spacing w:val="-2"/>
                <w:sz w:val="20"/>
              </w:rPr>
              <w:t>хирургическое лечение</w:t>
            </w:r>
          </w:p>
        </w:tc>
        <w:tc>
          <w:tcPr>
            <w:tcW w:w="3682" w:type="dxa"/>
          </w:tcPr>
          <w:p>
            <w:pPr>
              <w:pStyle w:val="TableParagraph"/>
              <w:spacing w:line="240" w:lineRule="atLeast" w:before="30"/>
              <w:ind w:left="109" w:right="42"/>
              <w:rPr>
                <w:sz w:val="20"/>
              </w:rPr>
            </w:pPr>
            <w:r>
              <w:rPr>
                <w:sz w:val="20"/>
              </w:rPr>
              <w:t>опорно-контурная</w:t>
            </w:r>
            <w:r>
              <w:rPr>
                <w:spacing w:val="-13"/>
                <w:sz w:val="20"/>
              </w:rPr>
              <w:t> </w:t>
            </w:r>
            <w:r>
              <w:rPr>
                <w:sz w:val="20"/>
              </w:rPr>
              <w:t>пластика</w:t>
            </w:r>
            <w:r>
              <w:rPr>
                <w:spacing w:val="-12"/>
                <w:sz w:val="20"/>
              </w:rPr>
              <w:t> </w:t>
            </w:r>
            <w:r>
              <w:rPr>
                <w:sz w:val="20"/>
              </w:rPr>
              <w:t>с </w:t>
            </w:r>
            <w:r>
              <w:rPr>
                <w:w w:val="95"/>
                <w:sz w:val="20"/>
              </w:rPr>
              <w:t>использованием</w:t>
            </w:r>
            <w:r>
              <w:rPr>
                <w:spacing w:val="53"/>
                <w:sz w:val="20"/>
              </w:rPr>
              <w:t> </w:t>
            </w:r>
            <w:r>
              <w:rPr>
                <w:spacing w:val="-2"/>
                <w:w w:val="95"/>
                <w:sz w:val="20"/>
              </w:rPr>
              <w:t>коронарного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4"/>
        <w:gridCol w:w="3352"/>
        <w:gridCol w:w="1453"/>
        <w:gridCol w:w="3716"/>
      </w:tblGrid>
      <w:tr>
        <w:trPr>
          <w:trHeight w:val="770"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9" w:lineRule="auto"/>
              <w:ind w:left="107" w:right="96"/>
              <w:rPr>
                <w:sz w:val="20"/>
              </w:rPr>
            </w:pPr>
            <w:r>
              <w:rPr>
                <w:sz w:val="20"/>
              </w:rPr>
              <w:t>(полукоронарного) хирургического доступа</w:t>
            </w:r>
            <w:r>
              <w:rPr>
                <w:spacing w:val="-11"/>
                <w:sz w:val="20"/>
              </w:rPr>
              <w:t> </w:t>
            </w:r>
            <w:r>
              <w:rPr>
                <w:sz w:val="20"/>
              </w:rPr>
              <w:t>и</w:t>
            </w:r>
            <w:r>
              <w:rPr>
                <w:spacing w:val="-10"/>
                <w:sz w:val="20"/>
              </w:rPr>
              <w:t> </w:t>
            </w:r>
            <w:r>
              <w:rPr>
                <w:sz w:val="20"/>
              </w:rPr>
              <w:t>костных</w:t>
            </w:r>
            <w:r>
              <w:rPr>
                <w:spacing w:val="-12"/>
                <w:sz w:val="20"/>
              </w:rPr>
              <w:t> </w:t>
            </w:r>
            <w:r>
              <w:rPr>
                <w:sz w:val="20"/>
              </w:rPr>
              <w:t>трансплантатов</w:t>
            </w:r>
            <w:r>
              <w:rPr>
                <w:spacing w:val="-9"/>
                <w:sz w:val="20"/>
              </w:rPr>
              <w:t> </w:t>
            </w:r>
            <w:r>
              <w:rPr>
                <w:sz w:val="20"/>
              </w:rPr>
              <w:t>из теменной кости</w:t>
            </w:r>
          </w:p>
        </w:tc>
      </w:tr>
      <w:tr>
        <w:trPr>
          <w:trHeight w:val="1080"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9" w:lineRule="auto" w:before="60"/>
              <w:ind w:left="107" w:right="96"/>
              <w:rPr>
                <w:sz w:val="20"/>
              </w:rPr>
            </w:pPr>
            <w:r>
              <w:rPr>
                <w:sz w:val="20"/>
              </w:rPr>
              <w:t>эндопротезирование</w:t>
            </w:r>
            <w:r>
              <w:rPr>
                <w:spacing w:val="-13"/>
                <w:sz w:val="20"/>
              </w:rPr>
              <w:t> </w:t>
            </w:r>
            <w:r>
              <w:rPr>
                <w:sz w:val="20"/>
              </w:rPr>
              <w:t>с</w:t>
            </w:r>
            <w:r>
              <w:rPr>
                <w:spacing w:val="-12"/>
                <w:sz w:val="20"/>
              </w:rPr>
              <w:t> </w:t>
            </w:r>
            <w:r>
              <w:rPr>
                <w:sz w:val="20"/>
              </w:rPr>
              <w:t>использованием компьютерных технологий при планировании и прогнозировании </w:t>
            </w:r>
            <w:r>
              <w:rPr>
                <w:spacing w:val="-2"/>
                <w:sz w:val="20"/>
              </w:rPr>
              <w:t>лечения</w:t>
            </w:r>
          </w:p>
        </w:tc>
      </w:tr>
      <w:tr>
        <w:trPr>
          <w:trHeight w:val="1080" w:hRule="atLeast"/>
        </w:trPr>
        <w:tc>
          <w:tcPr>
            <w:tcW w:w="1914" w:type="dxa"/>
          </w:tcPr>
          <w:p>
            <w:pPr>
              <w:pStyle w:val="TableParagraph"/>
              <w:spacing w:before="60"/>
              <w:ind w:left="167"/>
              <w:rPr>
                <w:sz w:val="20"/>
              </w:rPr>
            </w:pPr>
            <w:r>
              <w:rPr>
                <w:sz w:val="20"/>
              </w:rPr>
              <w:t>H05.2,</w:t>
            </w:r>
            <w:r>
              <w:rPr>
                <w:spacing w:val="-4"/>
                <w:sz w:val="20"/>
              </w:rPr>
              <w:t> </w:t>
            </w:r>
            <w:r>
              <w:rPr>
                <w:sz w:val="20"/>
              </w:rPr>
              <w:t>S05,</w:t>
            </w:r>
            <w:r>
              <w:rPr>
                <w:spacing w:val="-4"/>
                <w:sz w:val="20"/>
              </w:rPr>
              <w:t> </w:t>
            </w:r>
            <w:r>
              <w:rPr>
                <w:spacing w:val="-2"/>
                <w:sz w:val="20"/>
              </w:rPr>
              <w:t>H05.3</w:t>
            </w:r>
          </w:p>
        </w:tc>
        <w:tc>
          <w:tcPr>
            <w:tcW w:w="3352" w:type="dxa"/>
          </w:tcPr>
          <w:p>
            <w:pPr>
              <w:pStyle w:val="TableParagraph"/>
              <w:spacing w:line="249" w:lineRule="auto" w:before="60"/>
              <w:ind w:left="130" w:right="43"/>
              <w:rPr>
                <w:sz w:val="20"/>
              </w:rPr>
            </w:pPr>
            <w:r>
              <w:rPr>
                <w:sz w:val="20"/>
              </w:rPr>
              <w:t>деформация</w:t>
            </w:r>
            <w:r>
              <w:rPr>
                <w:spacing w:val="-13"/>
                <w:sz w:val="20"/>
              </w:rPr>
              <w:t> </w:t>
            </w:r>
            <w:r>
              <w:rPr>
                <w:sz w:val="20"/>
              </w:rPr>
              <w:t>глазницы</w:t>
            </w:r>
            <w:r>
              <w:rPr>
                <w:spacing w:val="-12"/>
                <w:sz w:val="20"/>
              </w:rPr>
              <w:t> </w:t>
            </w:r>
            <w:r>
              <w:rPr>
                <w:sz w:val="20"/>
              </w:rPr>
              <w:t>с </w:t>
            </w:r>
            <w:r>
              <w:rPr>
                <w:spacing w:val="-2"/>
                <w:sz w:val="20"/>
              </w:rPr>
              <w:t>экзофтальмом</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Pr>
                <w:sz w:val="20"/>
              </w:rPr>
            </w:pPr>
            <w:r>
              <w:rPr>
                <w:sz w:val="20"/>
              </w:rPr>
              <w:t>опорно-контурная пластика путем остеотомии</w:t>
            </w:r>
            <w:r>
              <w:rPr>
                <w:spacing w:val="-9"/>
                <w:sz w:val="20"/>
              </w:rPr>
              <w:t> </w:t>
            </w:r>
            <w:r>
              <w:rPr>
                <w:sz w:val="20"/>
              </w:rPr>
              <w:t>и</w:t>
            </w:r>
            <w:r>
              <w:rPr>
                <w:spacing w:val="-9"/>
                <w:sz w:val="20"/>
              </w:rPr>
              <w:t> </w:t>
            </w:r>
            <w:r>
              <w:rPr>
                <w:sz w:val="20"/>
              </w:rPr>
              <w:t>репозиции</w:t>
            </w:r>
            <w:r>
              <w:rPr>
                <w:spacing w:val="-9"/>
                <w:sz w:val="20"/>
              </w:rPr>
              <w:t> </w:t>
            </w:r>
            <w:r>
              <w:rPr>
                <w:sz w:val="20"/>
              </w:rPr>
              <w:t>стенок</w:t>
            </w:r>
            <w:r>
              <w:rPr>
                <w:spacing w:val="-9"/>
                <w:sz w:val="20"/>
              </w:rPr>
              <w:t> </w:t>
            </w:r>
            <w:r>
              <w:rPr>
                <w:sz w:val="20"/>
              </w:rPr>
              <w:t>орбиты</w:t>
            </w:r>
            <w:r>
              <w:rPr>
                <w:spacing w:val="-6"/>
                <w:sz w:val="20"/>
              </w:rPr>
              <w:t> </w:t>
            </w:r>
            <w:r>
              <w:rPr>
                <w:sz w:val="20"/>
              </w:rPr>
              <w:t>и (или) верхней челюсти по Фор III с выдвижением или дистракцией</w:t>
            </w:r>
          </w:p>
        </w:tc>
      </w:tr>
      <w:tr>
        <w:trPr>
          <w:trHeight w:val="1320" w:hRule="atLeast"/>
        </w:trPr>
        <w:tc>
          <w:tcPr>
            <w:tcW w:w="1914" w:type="dxa"/>
          </w:tcPr>
          <w:p>
            <w:pPr>
              <w:pStyle w:val="TableParagraph"/>
              <w:spacing w:line="249" w:lineRule="auto" w:before="60"/>
              <w:ind w:left="672" w:hanging="623"/>
              <w:rPr>
                <w:sz w:val="20"/>
              </w:rPr>
            </w:pPr>
            <w:r>
              <w:rPr>
                <w:sz w:val="20"/>
              </w:rPr>
              <w:t>K08.0,</w:t>
            </w:r>
            <w:r>
              <w:rPr>
                <w:spacing w:val="-13"/>
                <w:sz w:val="20"/>
              </w:rPr>
              <w:t> </w:t>
            </w:r>
            <w:r>
              <w:rPr>
                <w:sz w:val="20"/>
              </w:rPr>
              <w:t>K08.1,</w:t>
            </w:r>
            <w:r>
              <w:rPr>
                <w:spacing w:val="-12"/>
                <w:sz w:val="20"/>
              </w:rPr>
              <w:t> </w:t>
            </w:r>
            <w:r>
              <w:rPr>
                <w:sz w:val="20"/>
              </w:rPr>
              <w:t>K08.2, </w:t>
            </w:r>
            <w:r>
              <w:rPr>
                <w:spacing w:val="-2"/>
                <w:sz w:val="20"/>
              </w:rPr>
              <w:t>K08.9</w:t>
            </w:r>
          </w:p>
        </w:tc>
        <w:tc>
          <w:tcPr>
            <w:tcW w:w="3352" w:type="dxa"/>
          </w:tcPr>
          <w:p>
            <w:pPr>
              <w:pStyle w:val="TableParagraph"/>
              <w:spacing w:line="249" w:lineRule="auto" w:before="60"/>
              <w:ind w:left="130" w:right="43"/>
              <w:rPr>
                <w:sz w:val="20"/>
              </w:rPr>
            </w:pPr>
            <w:r>
              <w:rPr>
                <w:sz w:val="20"/>
              </w:rPr>
              <w:t>дефект (выраженная атрофия) альвеолярного отростка верхней (нижней)</w:t>
            </w:r>
            <w:r>
              <w:rPr>
                <w:spacing w:val="-6"/>
                <w:sz w:val="20"/>
              </w:rPr>
              <w:t> </w:t>
            </w:r>
            <w:r>
              <w:rPr>
                <w:sz w:val="20"/>
              </w:rPr>
              <w:t>челюсти</w:t>
            </w:r>
            <w:r>
              <w:rPr>
                <w:spacing w:val="-7"/>
                <w:sz w:val="20"/>
              </w:rPr>
              <w:t> </w:t>
            </w:r>
            <w:r>
              <w:rPr>
                <w:sz w:val="20"/>
              </w:rPr>
              <w:t>в</w:t>
            </w:r>
            <w:r>
              <w:rPr>
                <w:spacing w:val="-5"/>
                <w:sz w:val="20"/>
              </w:rPr>
              <w:t> </w:t>
            </w:r>
            <w:r>
              <w:rPr>
                <w:sz w:val="20"/>
              </w:rPr>
              <w:t>пределах</w:t>
            </w:r>
            <w:r>
              <w:rPr>
                <w:spacing w:val="-7"/>
                <w:sz w:val="20"/>
              </w:rPr>
              <w:t> </w:t>
            </w:r>
            <w:r>
              <w:rPr>
                <w:sz w:val="20"/>
              </w:rPr>
              <w:t>3</w:t>
            </w:r>
            <w:r>
              <w:rPr>
                <w:spacing w:val="-3"/>
                <w:sz w:val="20"/>
              </w:rPr>
              <w:t> </w:t>
            </w:r>
            <w:r>
              <w:rPr>
                <w:sz w:val="20"/>
              </w:rPr>
              <w:t>-</w:t>
            </w:r>
            <w:r>
              <w:rPr>
                <w:spacing w:val="-8"/>
                <w:sz w:val="20"/>
              </w:rPr>
              <w:t> </w:t>
            </w:r>
            <w:r>
              <w:rPr>
                <w:sz w:val="20"/>
              </w:rPr>
              <w:t>4</w:t>
            </w:r>
            <w:r>
              <w:rPr>
                <w:spacing w:val="-5"/>
                <w:sz w:val="20"/>
              </w:rPr>
              <w:t> </w:t>
            </w:r>
            <w:r>
              <w:rPr>
                <w:sz w:val="20"/>
              </w:rPr>
              <w:t>и более зубов</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ight="96"/>
              <w:rPr>
                <w:sz w:val="20"/>
              </w:rPr>
            </w:pPr>
            <w:r>
              <w:rPr>
                <w:sz w:val="20"/>
              </w:rPr>
              <w:t>пластическое устранение дефекта альвеолярного отростка челюсти с использованием</w:t>
            </w:r>
            <w:r>
              <w:rPr>
                <w:spacing w:val="-13"/>
                <w:sz w:val="20"/>
              </w:rPr>
              <w:t> </w:t>
            </w:r>
            <w:r>
              <w:rPr>
                <w:sz w:val="20"/>
              </w:rPr>
              <w:t>вне-</w:t>
            </w:r>
            <w:r>
              <w:rPr>
                <w:spacing w:val="-12"/>
                <w:sz w:val="20"/>
              </w:rPr>
              <w:t> </w:t>
            </w:r>
            <w:r>
              <w:rPr>
                <w:sz w:val="20"/>
              </w:rPr>
              <w:t>и</w:t>
            </w:r>
            <w:r>
              <w:rPr>
                <w:spacing w:val="-13"/>
                <w:sz w:val="20"/>
              </w:rPr>
              <w:t> </w:t>
            </w:r>
            <w:r>
              <w:rPr>
                <w:sz w:val="20"/>
              </w:rPr>
              <w:t>внутриротовых костных аутотрансплантатов или дистракционного метода</w:t>
            </w:r>
          </w:p>
        </w:tc>
      </w:tr>
      <w:tr>
        <w:trPr>
          <w:trHeight w:val="840" w:hRule="atLeast"/>
        </w:trPr>
        <w:tc>
          <w:tcPr>
            <w:tcW w:w="1914" w:type="dxa"/>
          </w:tcPr>
          <w:p>
            <w:pPr>
              <w:pStyle w:val="TableParagraph"/>
              <w:spacing w:before="60"/>
              <w:ind w:left="50"/>
              <w:rPr>
                <w:sz w:val="20"/>
              </w:rPr>
            </w:pPr>
            <w:r>
              <w:rPr>
                <w:sz w:val="20"/>
              </w:rPr>
              <w:t>K07.0,</w:t>
            </w:r>
            <w:r>
              <w:rPr>
                <w:spacing w:val="-4"/>
                <w:sz w:val="20"/>
              </w:rPr>
              <w:t> </w:t>
            </w:r>
            <w:r>
              <w:rPr>
                <w:sz w:val="20"/>
              </w:rPr>
              <w:t>K07.1,</w:t>
            </w:r>
            <w:r>
              <w:rPr>
                <w:spacing w:val="-5"/>
                <w:sz w:val="20"/>
              </w:rPr>
              <w:t> </w:t>
            </w:r>
            <w:r>
              <w:rPr>
                <w:spacing w:val="-2"/>
                <w:sz w:val="20"/>
              </w:rPr>
              <w:t>K07.2,</w:t>
            </w:r>
          </w:p>
          <w:p>
            <w:pPr>
              <w:pStyle w:val="TableParagraph"/>
              <w:spacing w:line="249" w:lineRule="auto" w:before="10"/>
              <w:ind w:left="672" w:hanging="623"/>
              <w:rPr>
                <w:sz w:val="20"/>
              </w:rPr>
            </w:pPr>
            <w:r>
              <w:rPr>
                <w:sz w:val="20"/>
              </w:rPr>
              <w:t>K07.3,</w:t>
            </w:r>
            <w:r>
              <w:rPr>
                <w:spacing w:val="-13"/>
                <w:sz w:val="20"/>
              </w:rPr>
              <w:t> </w:t>
            </w:r>
            <w:r>
              <w:rPr>
                <w:sz w:val="20"/>
              </w:rPr>
              <w:t>K07.4,</w:t>
            </w:r>
            <w:r>
              <w:rPr>
                <w:spacing w:val="-12"/>
                <w:sz w:val="20"/>
              </w:rPr>
              <w:t> </w:t>
            </w:r>
            <w:r>
              <w:rPr>
                <w:sz w:val="20"/>
              </w:rPr>
              <w:t>K07.8, </w:t>
            </w:r>
            <w:r>
              <w:rPr>
                <w:spacing w:val="-2"/>
                <w:sz w:val="20"/>
              </w:rPr>
              <w:t>K07.9</w:t>
            </w:r>
          </w:p>
        </w:tc>
        <w:tc>
          <w:tcPr>
            <w:tcW w:w="3352" w:type="dxa"/>
          </w:tcPr>
          <w:p>
            <w:pPr>
              <w:pStyle w:val="TableParagraph"/>
              <w:spacing w:line="249" w:lineRule="auto" w:before="60"/>
              <w:ind w:left="130" w:right="43"/>
              <w:rPr>
                <w:sz w:val="20"/>
              </w:rPr>
            </w:pPr>
            <w:r>
              <w:rPr>
                <w:sz w:val="20"/>
              </w:rPr>
              <w:t>аномалия и приобретенная деформация</w:t>
            </w:r>
            <w:r>
              <w:rPr>
                <w:spacing w:val="-11"/>
                <w:sz w:val="20"/>
              </w:rPr>
              <w:t> </w:t>
            </w:r>
            <w:r>
              <w:rPr>
                <w:sz w:val="20"/>
              </w:rPr>
              <w:t>верхней</w:t>
            </w:r>
            <w:r>
              <w:rPr>
                <w:spacing w:val="-11"/>
                <w:sz w:val="20"/>
              </w:rPr>
              <w:t> </w:t>
            </w:r>
            <w:r>
              <w:rPr>
                <w:sz w:val="20"/>
              </w:rPr>
              <w:t>и</w:t>
            </w:r>
            <w:r>
              <w:rPr>
                <w:spacing w:val="-11"/>
                <w:sz w:val="20"/>
              </w:rPr>
              <w:t> </w:t>
            </w:r>
            <w:r>
              <w:rPr>
                <w:sz w:val="20"/>
              </w:rPr>
              <w:t>(или)</w:t>
            </w:r>
            <w:r>
              <w:rPr>
                <w:spacing w:val="-10"/>
                <w:sz w:val="20"/>
              </w:rPr>
              <w:t> </w:t>
            </w:r>
            <w:r>
              <w:rPr>
                <w:sz w:val="20"/>
              </w:rPr>
              <w:t>нижней </w:t>
            </w:r>
            <w:r>
              <w:rPr>
                <w:spacing w:val="-2"/>
                <w:sz w:val="20"/>
              </w:rPr>
              <w:t>челюсти</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ight="96"/>
              <w:rPr>
                <w:sz w:val="20"/>
              </w:rPr>
            </w:pPr>
            <w:r>
              <w:rPr>
                <w:sz w:val="20"/>
              </w:rPr>
              <w:t>ортогнатическая операция путем остеотомии</w:t>
            </w:r>
            <w:r>
              <w:rPr>
                <w:spacing w:val="-12"/>
                <w:sz w:val="20"/>
              </w:rPr>
              <w:t> </w:t>
            </w:r>
            <w:r>
              <w:rPr>
                <w:sz w:val="20"/>
              </w:rPr>
              <w:t>верхней</w:t>
            </w:r>
            <w:r>
              <w:rPr>
                <w:spacing w:val="-9"/>
                <w:sz w:val="20"/>
              </w:rPr>
              <w:t> </w:t>
            </w:r>
            <w:r>
              <w:rPr>
                <w:sz w:val="20"/>
              </w:rPr>
              <w:t>и</w:t>
            </w:r>
            <w:r>
              <w:rPr>
                <w:spacing w:val="-12"/>
                <w:sz w:val="20"/>
              </w:rPr>
              <w:t> </w:t>
            </w:r>
            <w:r>
              <w:rPr>
                <w:sz w:val="20"/>
              </w:rPr>
              <w:t>(или)</w:t>
            </w:r>
            <w:r>
              <w:rPr>
                <w:spacing w:val="-9"/>
                <w:sz w:val="20"/>
              </w:rPr>
              <w:t> </w:t>
            </w:r>
            <w:r>
              <w:rPr>
                <w:sz w:val="20"/>
              </w:rPr>
              <w:t>нижней </w:t>
            </w:r>
            <w:r>
              <w:rPr>
                <w:spacing w:val="-2"/>
                <w:sz w:val="20"/>
              </w:rPr>
              <w:t>челюсти</w:t>
            </w:r>
          </w:p>
        </w:tc>
      </w:tr>
      <w:tr>
        <w:trPr>
          <w:trHeight w:val="1080" w:hRule="atLeast"/>
        </w:trPr>
        <w:tc>
          <w:tcPr>
            <w:tcW w:w="1914" w:type="dxa"/>
          </w:tcPr>
          <w:p>
            <w:pPr>
              <w:pStyle w:val="TableParagraph"/>
              <w:spacing w:before="60"/>
              <w:ind w:left="110"/>
              <w:rPr>
                <w:sz w:val="20"/>
              </w:rPr>
            </w:pPr>
            <w:r>
              <w:rPr>
                <w:sz w:val="20"/>
              </w:rPr>
              <w:t>T90.0,</w:t>
            </w:r>
            <w:r>
              <w:rPr>
                <w:spacing w:val="-6"/>
                <w:sz w:val="20"/>
              </w:rPr>
              <w:t> </w:t>
            </w:r>
            <w:r>
              <w:rPr>
                <w:sz w:val="20"/>
              </w:rPr>
              <w:t>T90.1,</w:t>
            </w:r>
            <w:r>
              <w:rPr>
                <w:spacing w:val="-4"/>
                <w:sz w:val="20"/>
              </w:rPr>
              <w:t> </w:t>
            </w:r>
            <w:r>
              <w:rPr>
                <w:spacing w:val="-2"/>
                <w:sz w:val="20"/>
              </w:rPr>
              <w:t>T90.2</w:t>
            </w:r>
          </w:p>
        </w:tc>
        <w:tc>
          <w:tcPr>
            <w:tcW w:w="3352" w:type="dxa"/>
          </w:tcPr>
          <w:p>
            <w:pPr>
              <w:pStyle w:val="TableParagraph"/>
              <w:spacing w:line="249" w:lineRule="auto" w:before="60"/>
              <w:ind w:left="130" w:right="367"/>
              <w:rPr>
                <w:sz w:val="20"/>
              </w:rPr>
            </w:pPr>
            <w:r>
              <w:rPr>
                <w:spacing w:val="-2"/>
                <w:sz w:val="20"/>
              </w:rPr>
              <w:t>послеоперационный </w:t>
            </w:r>
            <w:r>
              <w:rPr>
                <w:sz w:val="20"/>
              </w:rPr>
              <w:t>(посттравматический)</w:t>
            </w:r>
            <w:r>
              <w:rPr>
                <w:spacing w:val="-13"/>
                <w:sz w:val="20"/>
              </w:rPr>
              <w:t> </w:t>
            </w:r>
            <w:r>
              <w:rPr>
                <w:sz w:val="20"/>
              </w:rPr>
              <w:t>обширный дефект и (или) деформация </w:t>
            </w:r>
            <w:r>
              <w:rPr>
                <w:spacing w:val="-2"/>
                <w:sz w:val="20"/>
              </w:rPr>
              <w:t>челюстей</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ight="57"/>
              <w:rPr>
                <w:sz w:val="20"/>
              </w:rPr>
            </w:pPr>
            <w:r>
              <w:rPr>
                <w:sz w:val="20"/>
              </w:rPr>
              <w:t>костная пластика челюсти с</w:t>
            </w:r>
            <w:r>
              <w:rPr>
                <w:spacing w:val="40"/>
                <w:sz w:val="20"/>
              </w:rPr>
              <w:t> </w:t>
            </w:r>
            <w:r>
              <w:rPr>
                <w:sz w:val="20"/>
              </w:rPr>
              <w:t>применением</w:t>
            </w:r>
            <w:r>
              <w:rPr>
                <w:spacing w:val="-13"/>
                <w:sz w:val="20"/>
              </w:rPr>
              <w:t> </w:t>
            </w:r>
            <w:r>
              <w:rPr>
                <w:sz w:val="20"/>
              </w:rPr>
              <w:t>различных</w:t>
            </w:r>
            <w:r>
              <w:rPr>
                <w:spacing w:val="-12"/>
                <w:sz w:val="20"/>
              </w:rPr>
              <w:t> </w:t>
            </w:r>
            <w:r>
              <w:rPr>
                <w:sz w:val="20"/>
              </w:rPr>
              <w:t>трансплантатов, имплатационных материалов и (или) дистракционного аппарата</w:t>
            </w:r>
          </w:p>
        </w:tc>
      </w:tr>
      <w:tr>
        <w:trPr>
          <w:trHeight w:val="1079"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9" w:lineRule="auto" w:before="60"/>
              <w:ind w:left="107" w:right="96"/>
              <w:rPr>
                <w:sz w:val="20"/>
              </w:rPr>
            </w:pPr>
            <w:r>
              <w:rPr>
                <w:sz w:val="20"/>
              </w:rPr>
              <w:t>реконструкция</w:t>
            </w:r>
            <w:r>
              <w:rPr>
                <w:spacing w:val="-13"/>
                <w:sz w:val="20"/>
              </w:rPr>
              <w:t> </w:t>
            </w:r>
            <w:r>
              <w:rPr>
                <w:sz w:val="20"/>
              </w:rPr>
              <w:t>при</w:t>
            </w:r>
            <w:r>
              <w:rPr>
                <w:spacing w:val="-12"/>
                <w:sz w:val="20"/>
              </w:rPr>
              <w:t> </w:t>
            </w:r>
            <w:r>
              <w:rPr>
                <w:sz w:val="20"/>
              </w:rPr>
              <w:t>комбинированном дефекте челюсти с помощью </w:t>
            </w:r>
            <w:r>
              <w:rPr>
                <w:spacing w:val="-2"/>
                <w:sz w:val="20"/>
              </w:rPr>
              <w:t>реваскуляризированного аутотрансплантата</w:t>
            </w:r>
          </w:p>
        </w:tc>
      </w:tr>
      <w:tr>
        <w:trPr>
          <w:trHeight w:val="530"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0" w:lineRule="atLeast" w:before="30"/>
              <w:ind w:left="107" w:right="96"/>
              <w:rPr>
                <w:sz w:val="20"/>
              </w:rPr>
            </w:pPr>
            <w:r>
              <w:rPr>
                <w:sz w:val="20"/>
              </w:rPr>
              <w:t>сложное</w:t>
            </w:r>
            <w:r>
              <w:rPr>
                <w:spacing w:val="-13"/>
                <w:sz w:val="20"/>
              </w:rPr>
              <w:t> </w:t>
            </w:r>
            <w:r>
              <w:rPr>
                <w:sz w:val="20"/>
              </w:rPr>
              <w:t>зубочелюстное</w:t>
            </w:r>
            <w:r>
              <w:rPr>
                <w:spacing w:val="-12"/>
                <w:sz w:val="20"/>
              </w:rPr>
              <w:t> </w:t>
            </w:r>
            <w:r>
              <w:rPr>
                <w:sz w:val="20"/>
              </w:rPr>
              <w:t>протезирование с опорой на имплантаты</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3"/>
        <w:gridCol w:w="1985"/>
        <w:gridCol w:w="3374"/>
        <w:gridCol w:w="1447"/>
        <w:gridCol w:w="3956"/>
        <w:gridCol w:w="996"/>
      </w:tblGrid>
      <w:tr>
        <w:trPr>
          <w:trHeight w:val="77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ind w:left="109" w:right="335"/>
              <w:rPr>
                <w:sz w:val="20"/>
              </w:rPr>
            </w:pPr>
            <w:r>
              <w:rPr>
                <w:sz w:val="20"/>
              </w:rPr>
              <w:t>сложное челюстно-лицевое протезирование</w:t>
            </w:r>
            <w:r>
              <w:rPr>
                <w:spacing w:val="-13"/>
                <w:sz w:val="20"/>
              </w:rPr>
              <w:t> </w:t>
            </w:r>
            <w:r>
              <w:rPr>
                <w:sz w:val="20"/>
              </w:rPr>
              <w:t>и</w:t>
            </w:r>
            <w:r>
              <w:rPr>
                <w:spacing w:val="-12"/>
                <w:sz w:val="20"/>
              </w:rPr>
              <w:t> </w:t>
            </w:r>
            <w:r>
              <w:rPr>
                <w:sz w:val="20"/>
              </w:rPr>
              <w:t>эктопротезирование,</w:t>
            </w:r>
            <w:r>
              <w:rPr>
                <w:spacing w:val="-13"/>
                <w:sz w:val="20"/>
              </w:rPr>
              <w:t> </w:t>
            </w:r>
            <w:r>
              <w:rPr>
                <w:sz w:val="20"/>
              </w:rPr>
              <w:t>в том числе с опорой на имплантатах</w:t>
            </w:r>
          </w:p>
        </w:tc>
        <w:tc>
          <w:tcPr>
            <w:tcW w:w="996" w:type="dxa"/>
          </w:tcPr>
          <w:p>
            <w:pPr>
              <w:pStyle w:val="TableParagraph"/>
              <w:rPr>
                <w:sz w:val="18"/>
              </w:rPr>
            </w:pPr>
          </w:p>
        </w:tc>
      </w:tr>
      <w:tr>
        <w:trPr>
          <w:trHeight w:val="84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spacing w:before="60"/>
              <w:ind w:left="51" w:right="21"/>
              <w:jc w:val="center"/>
              <w:rPr>
                <w:sz w:val="20"/>
              </w:rPr>
            </w:pPr>
            <w:r>
              <w:rPr>
                <w:sz w:val="20"/>
              </w:rPr>
              <w:t>M24.6,</w:t>
            </w:r>
            <w:r>
              <w:rPr>
                <w:spacing w:val="-3"/>
                <w:sz w:val="20"/>
              </w:rPr>
              <w:t> </w:t>
            </w:r>
            <w:r>
              <w:rPr>
                <w:spacing w:val="-2"/>
                <w:sz w:val="20"/>
              </w:rPr>
              <w:t>M24.5</w:t>
            </w:r>
          </w:p>
        </w:tc>
        <w:tc>
          <w:tcPr>
            <w:tcW w:w="3374" w:type="dxa"/>
          </w:tcPr>
          <w:p>
            <w:pPr>
              <w:pStyle w:val="TableParagraph"/>
              <w:spacing w:line="249" w:lineRule="auto" w:before="60"/>
              <w:ind w:left="148" w:right="938"/>
              <w:rPr>
                <w:sz w:val="20"/>
              </w:rPr>
            </w:pPr>
            <w:r>
              <w:rPr>
                <w:sz w:val="20"/>
              </w:rPr>
              <w:t>анкилоз</w:t>
            </w:r>
            <w:r>
              <w:rPr>
                <w:spacing w:val="-13"/>
                <w:sz w:val="20"/>
              </w:rPr>
              <w:t> </w:t>
            </w:r>
            <w:r>
              <w:rPr>
                <w:sz w:val="20"/>
              </w:rPr>
              <w:t>(анкилозирующие поражения) височно- нижнечелюстного сустава</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реконструктивно-пластическая</w:t>
            </w:r>
            <w:r>
              <w:rPr>
                <w:spacing w:val="-13"/>
                <w:sz w:val="20"/>
              </w:rPr>
              <w:t> </w:t>
            </w:r>
            <w:r>
              <w:rPr>
                <w:sz w:val="20"/>
              </w:rPr>
              <w:t>операция с использованием ортотопических трансплантатов и имплантатов</w:t>
            </w:r>
          </w:p>
        </w:tc>
        <w:tc>
          <w:tcPr>
            <w:tcW w:w="996" w:type="dxa"/>
          </w:tcPr>
          <w:p>
            <w:pPr>
              <w:pStyle w:val="TableParagraph"/>
              <w:rPr>
                <w:sz w:val="18"/>
              </w:rPr>
            </w:pPr>
          </w:p>
        </w:tc>
      </w:tr>
      <w:tr>
        <w:trPr>
          <w:trHeight w:val="60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Pr>
                <w:sz w:val="20"/>
              </w:rPr>
            </w:pPr>
            <w:r>
              <w:rPr>
                <w:sz w:val="20"/>
              </w:rPr>
              <w:t>реконструкция</w:t>
            </w:r>
            <w:r>
              <w:rPr>
                <w:spacing w:val="-13"/>
                <w:sz w:val="20"/>
              </w:rPr>
              <w:t> </w:t>
            </w:r>
            <w:r>
              <w:rPr>
                <w:sz w:val="20"/>
              </w:rPr>
              <w:t>сустава</w:t>
            </w:r>
            <w:r>
              <w:rPr>
                <w:spacing w:val="-12"/>
                <w:sz w:val="20"/>
              </w:rPr>
              <w:t> </w:t>
            </w:r>
            <w:r>
              <w:rPr>
                <w:sz w:val="20"/>
              </w:rPr>
              <w:t>с</w:t>
            </w:r>
            <w:r>
              <w:rPr>
                <w:spacing w:val="-13"/>
                <w:sz w:val="20"/>
              </w:rPr>
              <w:t> </w:t>
            </w:r>
            <w:r>
              <w:rPr>
                <w:sz w:val="20"/>
              </w:rPr>
              <w:t>использованием </w:t>
            </w:r>
            <w:r>
              <w:rPr>
                <w:spacing w:val="-2"/>
                <w:sz w:val="20"/>
              </w:rPr>
              <w:t>эндопротезирования</w:t>
            </w:r>
          </w:p>
        </w:tc>
        <w:tc>
          <w:tcPr>
            <w:tcW w:w="996" w:type="dxa"/>
          </w:tcPr>
          <w:p>
            <w:pPr>
              <w:pStyle w:val="TableParagraph"/>
              <w:rPr>
                <w:sz w:val="18"/>
              </w:rPr>
            </w:pPr>
          </w:p>
        </w:tc>
      </w:tr>
      <w:tr>
        <w:trPr>
          <w:trHeight w:val="108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spacing w:before="60"/>
              <w:ind w:left="51" w:right="21"/>
              <w:jc w:val="center"/>
              <w:rPr>
                <w:sz w:val="20"/>
              </w:rPr>
            </w:pPr>
            <w:r>
              <w:rPr>
                <w:spacing w:val="-5"/>
                <w:sz w:val="20"/>
              </w:rPr>
              <w:t>M19</w:t>
            </w:r>
          </w:p>
        </w:tc>
        <w:tc>
          <w:tcPr>
            <w:tcW w:w="3374" w:type="dxa"/>
          </w:tcPr>
          <w:p>
            <w:pPr>
              <w:pStyle w:val="TableParagraph"/>
              <w:spacing w:line="249" w:lineRule="auto" w:before="60"/>
              <w:ind w:left="148" w:right="36"/>
              <w:rPr>
                <w:sz w:val="20"/>
              </w:rPr>
            </w:pPr>
            <w:r>
              <w:rPr>
                <w:sz w:val="20"/>
              </w:rPr>
              <w:t>деформирующий</w:t>
            </w:r>
            <w:r>
              <w:rPr>
                <w:spacing w:val="-13"/>
                <w:sz w:val="20"/>
              </w:rPr>
              <w:t> </w:t>
            </w:r>
            <w:r>
              <w:rPr>
                <w:sz w:val="20"/>
              </w:rPr>
              <w:t>артроз</w:t>
            </w:r>
            <w:r>
              <w:rPr>
                <w:spacing w:val="-12"/>
                <w:sz w:val="20"/>
              </w:rPr>
              <w:t> </w:t>
            </w:r>
            <w:r>
              <w:rPr>
                <w:sz w:val="20"/>
              </w:rPr>
              <w:t>височно- нижнечелюстного сустава</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эндоскопические</w:t>
            </w:r>
            <w:r>
              <w:rPr>
                <w:spacing w:val="-13"/>
                <w:sz w:val="20"/>
              </w:rPr>
              <w:t> </w:t>
            </w:r>
            <w:r>
              <w:rPr>
                <w:sz w:val="20"/>
              </w:rPr>
              <w:t>и</w:t>
            </w:r>
            <w:r>
              <w:rPr>
                <w:spacing w:val="-12"/>
                <w:sz w:val="20"/>
              </w:rPr>
              <w:t> </w:t>
            </w:r>
            <w:r>
              <w:rPr>
                <w:sz w:val="20"/>
              </w:rPr>
              <w:t>артроскопические операции по удалению, замещению внутрисуставного</w:t>
            </w:r>
            <w:r>
              <w:rPr>
                <w:spacing w:val="-13"/>
                <w:sz w:val="20"/>
              </w:rPr>
              <w:t> </w:t>
            </w:r>
            <w:r>
              <w:rPr>
                <w:sz w:val="20"/>
              </w:rPr>
              <w:t>диска</w:t>
            </w:r>
            <w:r>
              <w:rPr>
                <w:spacing w:val="-12"/>
                <w:sz w:val="20"/>
              </w:rPr>
              <w:t> </w:t>
            </w:r>
            <w:r>
              <w:rPr>
                <w:sz w:val="20"/>
              </w:rPr>
              <w:t>и</w:t>
            </w:r>
            <w:r>
              <w:rPr>
                <w:spacing w:val="-13"/>
                <w:sz w:val="20"/>
              </w:rPr>
              <w:t> </w:t>
            </w:r>
            <w:r>
              <w:rPr>
                <w:sz w:val="20"/>
              </w:rPr>
              <w:t>связочного </w:t>
            </w:r>
            <w:r>
              <w:rPr>
                <w:spacing w:val="-2"/>
                <w:sz w:val="20"/>
              </w:rPr>
              <w:t>аппарата</w:t>
            </w:r>
          </w:p>
        </w:tc>
        <w:tc>
          <w:tcPr>
            <w:tcW w:w="996" w:type="dxa"/>
          </w:tcPr>
          <w:p>
            <w:pPr>
              <w:pStyle w:val="TableParagraph"/>
              <w:rPr>
                <w:sz w:val="18"/>
              </w:rPr>
            </w:pPr>
          </w:p>
        </w:tc>
      </w:tr>
      <w:tr>
        <w:trPr>
          <w:trHeight w:val="60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Pr>
                <w:sz w:val="20"/>
              </w:rPr>
            </w:pPr>
            <w:r>
              <w:rPr>
                <w:sz w:val="20"/>
              </w:rPr>
              <w:t>реконструкция</w:t>
            </w:r>
            <w:r>
              <w:rPr>
                <w:spacing w:val="-13"/>
                <w:sz w:val="20"/>
              </w:rPr>
              <w:t> </w:t>
            </w:r>
            <w:r>
              <w:rPr>
                <w:sz w:val="20"/>
              </w:rPr>
              <w:t>сустава</w:t>
            </w:r>
            <w:r>
              <w:rPr>
                <w:spacing w:val="-12"/>
                <w:sz w:val="20"/>
              </w:rPr>
              <w:t> </w:t>
            </w:r>
            <w:r>
              <w:rPr>
                <w:sz w:val="20"/>
              </w:rPr>
              <w:t>с</w:t>
            </w:r>
            <w:r>
              <w:rPr>
                <w:spacing w:val="-13"/>
                <w:sz w:val="20"/>
              </w:rPr>
              <w:t> </w:t>
            </w:r>
            <w:r>
              <w:rPr>
                <w:sz w:val="20"/>
              </w:rPr>
              <w:t>использованием </w:t>
            </w:r>
            <w:r>
              <w:rPr>
                <w:spacing w:val="-2"/>
                <w:sz w:val="20"/>
              </w:rPr>
              <w:t>эндопротезирования</w:t>
            </w:r>
          </w:p>
        </w:tc>
        <w:tc>
          <w:tcPr>
            <w:tcW w:w="996" w:type="dxa"/>
          </w:tcPr>
          <w:p>
            <w:pPr>
              <w:pStyle w:val="TableParagraph"/>
              <w:rPr>
                <w:sz w:val="18"/>
              </w:rPr>
            </w:pPr>
          </w:p>
        </w:tc>
      </w:tr>
      <w:tr>
        <w:trPr>
          <w:trHeight w:val="84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ight="335"/>
              <w:rPr>
                <w:sz w:val="20"/>
              </w:rPr>
            </w:pPr>
            <w:r>
              <w:rPr>
                <w:sz w:val="20"/>
              </w:rPr>
              <w:t>реконструктивно-пластическая</w:t>
            </w:r>
            <w:r>
              <w:rPr>
                <w:spacing w:val="-13"/>
                <w:sz w:val="20"/>
              </w:rPr>
              <w:t> </w:t>
            </w:r>
            <w:r>
              <w:rPr>
                <w:sz w:val="20"/>
              </w:rPr>
              <w:t>операция с использованием ортотопических трансплантатов и имплантатов</w:t>
            </w:r>
          </w:p>
        </w:tc>
        <w:tc>
          <w:tcPr>
            <w:tcW w:w="996" w:type="dxa"/>
          </w:tcPr>
          <w:p>
            <w:pPr>
              <w:pStyle w:val="TableParagraph"/>
              <w:rPr>
                <w:sz w:val="18"/>
              </w:rPr>
            </w:pPr>
          </w:p>
        </w:tc>
      </w:tr>
      <w:tr>
        <w:trPr>
          <w:trHeight w:val="360" w:hRule="atLeast"/>
        </w:trPr>
        <w:tc>
          <w:tcPr>
            <w:tcW w:w="458" w:type="dxa"/>
            <w:vMerge w:val="restart"/>
          </w:tcPr>
          <w:p>
            <w:pPr>
              <w:pStyle w:val="TableParagraph"/>
              <w:rPr>
                <w:sz w:val="18"/>
              </w:rPr>
            </w:pPr>
          </w:p>
        </w:tc>
        <w:tc>
          <w:tcPr>
            <w:tcW w:w="2883" w:type="dxa"/>
            <w:vMerge w:val="restart"/>
          </w:tcPr>
          <w:p>
            <w:pPr>
              <w:pStyle w:val="TableParagraph"/>
              <w:spacing w:line="249" w:lineRule="auto" w:before="60"/>
              <w:ind w:left="155" w:right="167"/>
              <w:rPr>
                <w:sz w:val="20"/>
              </w:rPr>
            </w:pPr>
            <w:r>
              <w:rPr>
                <w:spacing w:val="-2"/>
                <w:sz w:val="20"/>
              </w:rPr>
              <w:t>Реконструктивно- </w:t>
            </w:r>
            <w:r>
              <w:rPr>
                <w:sz w:val="20"/>
              </w:rPr>
              <w:t>пластические операции по восстановлению функций пораженного нерва с </w:t>
            </w:r>
            <w:r>
              <w:rPr>
                <w:spacing w:val="-2"/>
                <w:sz w:val="20"/>
              </w:rPr>
              <w:t>использованием </w:t>
            </w:r>
            <w:r>
              <w:rPr>
                <w:sz w:val="20"/>
              </w:rPr>
              <w:t>микрохирургической</w:t>
            </w:r>
            <w:r>
              <w:rPr>
                <w:spacing w:val="-13"/>
                <w:sz w:val="20"/>
              </w:rPr>
              <w:t> </w:t>
            </w:r>
            <w:r>
              <w:rPr>
                <w:sz w:val="20"/>
              </w:rPr>
              <w:t>техники</w:t>
            </w:r>
          </w:p>
        </w:tc>
        <w:tc>
          <w:tcPr>
            <w:tcW w:w="1985" w:type="dxa"/>
            <w:vMerge w:val="restart"/>
          </w:tcPr>
          <w:p>
            <w:pPr>
              <w:pStyle w:val="TableParagraph"/>
              <w:spacing w:line="249" w:lineRule="auto" w:before="60"/>
              <w:ind w:left="177" w:firstLine="36"/>
              <w:rPr>
                <w:sz w:val="20"/>
              </w:rPr>
            </w:pPr>
            <w:r>
              <w:rPr>
                <w:sz w:val="20"/>
              </w:rPr>
              <w:t>G51, G51.9, G51.0, G51.8,</w:t>
            </w:r>
            <w:r>
              <w:rPr>
                <w:spacing w:val="-6"/>
                <w:sz w:val="20"/>
              </w:rPr>
              <w:t> </w:t>
            </w:r>
            <w:r>
              <w:rPr>
                <w:sz w:val="20"/>
              </w:rPr>
              <w:t>T90.3,</w:t>
            </w:r>
            <w:r>
              <w:rPr>
                <w:spacing w:val="-3"/>
                <w:sz w:val="20"/>
              </w:rPr>
              <w:t> </w:t>
            </w:r>
            <w:r>
              <w:rPr>
                <w:spacing w:val="-4"/>
                <w:sz w:val="20"/>
              </w:rPr>
              <w:t>G52.8</w:t>
            </w:r>
          </w:p>
        </w:tc>
        <w:tc>
          <w:tcPr>
            <w:tcW w:w="3374" w:type="dxa"/>
            <w:vMerge w:val="restart"/>
          </w:tcPr>
          <w:p>
            <w:pPr>
              <w:pStyle w:val="TableParagraph"/>
              <w:spacing w:line="249" w:lineRule="auto" w:before="60"/>
              <w:ind w:left="148" w:right="36"/>
              <w:rPr>
                <w:sz w:val="20"/>
              </w:rPr>
            </w:pPr>
            <w:r>
              <w:rPr>
                <w:sz w:val="20"/>
              </w:rPr>
              <w:t>парез</w:t>
            </w:r>
            <w:r>
              <w:rPr>
                <w:spacing w:val="-13"/>
                <w:sz w:val="20"/>
              </w:rPr>
              <w:t> </w:t>
            </w:r>
            <w:r>
              <w:rPr>
                <w:sz w:val="20"/>
              </w:rPr>
              <w:t>и</w:t>
            </w:r>
            <w:r>
              <w:rPr>
                <w:spacing w:val="-12"/>
                <w:sz w:val="20"/>
              </w:rPr>
              <w:t> </w:t>
            </w:r>
            <w:r>
              <w:rPr>
                <w:sz w:val="20"/>
              </w:rPr>
              <w:t>паралич</w:t>
            </w:r>
            <w:r>
              <w:rPr>
                <w:spacing w:val="-13"/>
                <w:sz w:val="20"/>
              </w:rPr>
              <w:t> </w:t>
            </w:r>
            <w:r>
              <w:rPr>
                <w:sz w:val="20"/>
              </w:rPr>
              <w:t>мимической </w:t>
            </w:r>
            <w:r>
              <w:rPr>
                <w:spacing w:val="-2"/>
                <w:sz w:val="20"/>
              </w:rPr>
              <w:t>мускулатуры</w:t>
            </w:r>
          </w:p>
        </w:tc>
        <w:tc>
          <w:tcPr>
            <w:tcW w:w="1447" w:type="dxa"/>
            <w:vMerge w:val="restart"/>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before="60"/>
              <w:ind w:left="109"/>
              <w:rPr>
                <w:sz w:val="20"/>
              </w:rPr>
            </w:pPr>
            <w:r>
              <w:rPr>
                <w:spacing w:val="-2"/>
                <w:sz w:val="20"/>
              </w:rPr>
              <w:t>мионевропластика</w:t>
            </w:r>
          </w:p>
        </w:tc>
        <w:tc>
          <w:tcPr>
            <w:tcW w:w="996" w:type="dxa"/>
          </w:tcPr>
          <w:p>
            <w:pPr>
              <w:pStyle w:val="TableParagraph"/>
              <w:rPr>
                <w:sz w:val="18"/>
              </w:rPr>
            </w:pPr>
          </w:p>
        </w:tc>
      </w:tr>
      <w:tr>
        <w:trPr>
          <w:trHeight w:val="360" w:hRule="atLeast"/>
        </w:trPr>
        <w:tc>
          <w:tcPr>
            <w:tcW w:w="458" w:type="dxa"/>
            <w:vMerge/>
            <w:tcBorders>
              <w:top w:val="nil"/>
            </w:tcBorders>
          </w:tcPr>
          <w:p>
            <w:pPr>
              <w:rPr>
                <w:sz w:val="2"/>
                <w:szCs w:val="2"/>
              </w:rPr>
            </w:pPr>
          </w:p>
        </w:tc>
        <w:tc>
          <w:tcPr>
            <w:tcW w:w="2883" w:type="dxa"/>
            <w:vMerge/>
            <w:tcBorders>
              <w:top w:val="nil"/>
            </w:tcBorders>
          </w:tcPr>
          <w:p>
            <w:pPr>
              <w:rPr>
                <w:sz w:val="2"/>
                <w:szCs w:val="2"/>
              </w:rPr>
            </w:pPr>
          </w:p>
        </w:tc>
        <w:tc>
          <w:tcPr>
            <w:tcW w:w="1985" w:type="dxa"/>
            <w:vMerge/>
            <w:tcBorders>
              <w:top w:val="nil"/>
            </w:tcBorders>
          </w:tcPr>
          <w:p>
            <w:pPr>
              <w:rPr>
                <w:sz w:val="2"/>
                <w:szCs w:val="2"/>
              </w:rPr>
            </w:pPr>
          </w:p>
        </w:tc>
        <w:tc>
          <w:tcPr>
            <w:tcW w:w="3374" w:type="dxa"/>
            <w:vMerge/>
            <w:tcBorders>
              <w:top w:val="nil"/>
            </w:tcBorders>
          </w:tcPr>
          <w:p>
            <w:pPr>
              <w:rPr>
                <w:sz w:val="2"/>
                <w:szCs w:val="2"/>
              </w:rPr>
            </w:pPr>
          </w:p>
        </w:tc>
        <w:tc>
          <w:tcPr>
            <w:tcW w:w="1447" w:type="dxa"/>
            <w:vMerge/>
            <w:tcBorders>
              <w:top w:val="nil"/>
            </w:tcBorders>
          </w:tcPr>
          <w:p>
            <w:pPr>
              <w:rPr>
                <w:sz w:val="2"/>
                <w:szCs w:val="2"/>
              </w:rPr>
            </w:pPr>
          </w:p>
        </w:tc>
        <w:tc>
          <w:tcPr>
            <w:tcW w:w="3956" w:type="dxa"/>
          </w:tcPr>
          <w:p>
            <w:pPr>
              <w:pStyle w:val="TableParagraph"/>
              <w:spacing w:before="60"/>
              <w:ind w:left="109"/>
              <w:rPr>
                <w:sz w:val="20"/>
              </w:rPr>
            </w:pPr>
            <w:r>
              <w:rPr>
                <w:sz w:val="20"/>
              </w:rPr>
              <w:t>кросспластика</w:t>
            </w:r>
            <w:r>
              <w:rPr>
                <w:spacing w:val="-11"/>
                <w:sz w:val="20"/>
              </w:rPr>
              <w:t> </w:t>
            </w:r>
            <w:r>
              <w:rPr>
                <w:sz w:val="20"/>
              </w:rPr>
              <w:t>лицевого</w:t>
            </w:r>
            <w:r>
              <w:rPr>
                <w:spacing w:val="-13"/>
                <w:sz w:val="20"/>
              </w:rPr>
              <w:t> </w:t>
            </w:r>
            <w:r>
              <w:rPr>
                <w:spacing w:val="-4"/>
                <w:sz w:val="20"/>
              </w:rPr>
              <w:t>нерва</w:t>
            </w:r>
          </w:p>
        </w:tc>
        <w:tc>
          <w:tcPr>
            <w:tcW w:w="996" w:type="dxa"/>
          </w:tcPr>
          <w:p>
            <w:pPr>
              <w:pStyle w:val="TableParagraph"/>
              <w:rPr>
                <w:sz w:val="18"/>
              </w:rPr>
            </w:pPr>
          </w:p>
        </w:tc>
      </w:tr>
      <w:tr>
        <w:trPr>
          <w:trHeight w:val="600" w:hRule="atLeast"/>
        </w:trPr>
        <w:tc>
          <w:tcPr>
            <w:tcW w:w="458" w:type="dxa"/>
            <w:vMerge/>
            <w:tcBorders>
              <w:top w:val="nil"/>
            </w:tcBorders>
          </w:tcPr>
          <w:p>
            <w:pPr>
              <w:rPr>
                <w:sz w:val="2"/>
                <w:szCs w:val="2"/>
              </w:rPr>
            </w:pPr>
          </w:p>
        </w:tc>
        <w:tc>
          <w:tcPr>
            <w:tcW w:w="2883" w:type="dxa"/>
            <w:vMerge/>
            <w:tcBorders>
              <w:top w:val="nil"/>
            </w:tcBorders>
          </w:tcPr>
          <w:p>
            <w:pPr>
              <w:rPr>
                <w:sz w:val="2"/>
                <w:szCs w:val="2"/>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ight="335"/>
              <w:rPr>
                <w:sz w:val="20"/>
              </w:rPr>
            </w:pPr>
            <w:r>
              <w:rPr>
                <w:sz w:val="20"/>
              </w:rPr>
              <w:t>невропластика</w:t>
            </w:r>
            <w:r>
              <w:rPr>
                <w:spacing w:val="-13"/>
                <w:sz w:val="20"/>
              </w:rPr>
              <w:t> </w:t>
            </w:r>
            <w:r>
              <w:rPr>
                <w:sz w:val="20"/>
              </w:rPr>
              <w:t>с</w:t>
            </w:r>
            <w:r>
              <w:rPr>
                <w:spacing w:val="-12"/>
                <w:sz w:val="20"/>
              </w:rPr>
              <w:t> </w:t>
            </w:r>
            <w:r>
              <w:rPr>
                <w:sz w:val="20"/>
              </w:rPr>
              <w:t>применением микрохирургической техники</w:t>
            </w:r>
          </w:p>
        </w:tc>
        <w:tc>
          <w:tcPr>
            <w:tcW w:w="996" w:type="dxa"/>
          </w:tcPr>
          <w:p>
            <w:pPr>
              <w:pStyle w:val="TableParagraph"/>
              <w:rPr>
                <w:sz w:val="18"/>
              </w:rPr>
            </w:pPr>
          </w:p>
        </w:tc>
      </w:tr>
      <w:tr>
        <w:trPr>
          <w:trHeight w:val="600" w:hRule="atLeast"/>
        </w:trPr>
        <w:tc>
          <w:tcPr>
            <w:tcW w:w="458" w:type="dxa"/>
            <w:vMerge/>
            <w:tcBorders>
              <w:top w:val="nil"/>
            </w:tcBorders>
          </w:tcPr>
          <w:p>
            <w:pPr>
              <w:rPr>
                <w:sz w:val="2"/>
                <w:szCs w:val="2"/>
              </w:rPr>
            </w:pPr>
          </w:p>
        </w:tc>
        <w:tc>
          <w:tcPr>
            <w:tcW w:w="2883" w:type="dxa"/>
            <w:vMerge/>
            <w:tcBorders>
              <w:top w:val="nil"/>
            </w:tcBorders>
          </w:tcPr>
          <w:p>
            <w:pPr>
              <w:rPr>
                <w:sz w:val="2"/>
                <w:szCs w:val="2"/>
              </w:rPr>
            </w:pPr>
          </w:p>
        </w:tc>
        <w:tc>
          <w:tcPr>
            <w:tcW w:w="1985" w:type="dxa"/>
          </w:tcPr>
          <w:p>
            <w:pPr>
              <w:pStyle w:val="TableParagraph"/>
              <w:spacing w:before="60"/>
              <w:ind w:left="51" w:right="22"/>
              <w:jc w:val="center"/>
              <w:rPr>
                <w:sz w:val="20"/>
              </w:rPr>
            </w:pPr>
            <w:r>
              <w:rPr>
                <w:sz w:val="20"/>
              </w:rPr>
              <w:t>G52.3,</w:t>
            </w:r>
            <w:r>
              <w:rPr>
                <w:spacing w:val="-4"/>
                <w:sz w:val="20"/>
              </w:rPr>
              <w:t> </w:t>
            </w:r>
            <w:r>
              <w:rPr>
                <w:sz w:val="20"/>
              </w:rPr>
              <w:t>S04.8,</w:t>
            </w:r>
            <w:r>
              <w:rPr>
                <w:spacing w:val="-6"/>
                <w:sz w:val="20"/>
              </w:rPr>
              <w:t> </w:t>
            </w:r>
            <w:r>
              <w:rPr>
                <w:spacing w:val="-2"/>
                <w:sz w:val="20"/>
              </w:rPr>
              <w:t>T90.3</w:t>
            </w:r>
          </w:p>
        </w:tc>
        <w:tc>
          <w:tcPr>
            <w:tcW w:w="3374" w:type="dxa"/>
          </w:tcPr>
          <w:p>
            <w:pPr>
              <w:pStyle w:val="TableParagraph"/>
              <w:spacing w:before="60"/>
              <w:ind w:left="148"/>
              <w:rPr>
                <w:sz w:val="20"/>
              </w:rPr>
            </w:pPr>
            <w:r>
              <w:rPr>
                <w:sz w:val="20"/>
              </w:rPr>
              <w:t>паралич</w:t>
            </w:r>
            <w:r>
              <w:rPr>
                <w:spacing w:val="-12"/>
                <w:sz w:val="20"/>
              </w:rPr>
              <w:t> </w:t>
            </w:r>
            <w:r>
              <w:rPr>
                <w:sz w:val="20"/>
              </w:rPr>
              <w:t>мускулатуры</w:t>
            </w:r>
            <w:r>
              <w:rPr>
                <w:spacing w:val="-12"/>
                <w:sz w:val="20"/>
              </w:rPr>
              <w:t> </w:t>
            </w:r>
            <w:r>
              <w:rPr>
                <w:spacing w:val="-4"/>
                <w:sz w:val="20"/>
              </w:rPr>
              <w:t>языка</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ревизия</w:t>
            </w:r>
            <w:r>
              <w:rPr>
                <w:spacing w:val="-13"/>
                <w:sz w:val="20"/>
              </w:rPr>
              <w:t> </w:t>
            </w:r>
            <w:r>
              <w:rPr>
                <w:sz w:val="20"/>
              </w:rPr>
              <w:t>и</w:t>
            </w:r>
            <w:r>
              <w:rPr>
                <w:spacing w:val="-12"/>
                <w:sz w:val="20"/>
              </w:rPr>
              <w:t> </w:t>
            </w:r>
            <w:r>
              <w:rPr>
                <w:sz w:val="20"/>
              </w:rPr>
              <w:t>невропластика</w:t>
            </w:r>
            <w:r>
              <w:rPr>
                <w:spacing w:val="-13"/>
                <w:sz w:val="20"/>
              </w:rPr>
              <w:t> </w:t>
            </w:r>
            <w:r>
              <w:rPr>
                <w:sz w:val="20"/>
              </w:rPr>
              <w:t>подъязычного </w:t>
            </w:r>
            <w:r>
              <w:rPr>
                <w:spacing w:val="-2"/>
                <w:sz w:val="20"/>
              </w:rPr>
              <w:t>нерва</w:t>
            </w:r>
          </w:p>
        </w:tc>
        <w:tc>
          <w:tcPr>
            <w:tcW w:w="996" w:type="dxa"/>
          </w:tcPr>
          <w:p>
            <w:pPr>
              <w:pStyle w:val="TableParagraph"/>
              <w:rPr>
                <w:sz w:val="18"/>
              </w:rPr>
            </w:pPr>
          </w:p>
        </w:tc>
      </w:tr>
      <w:tr>
        <w:trPr>
          <w:trHeight w:val="1010" w:hRule="atLeast"/>
        </w:trPr>
        <w:tc>
          <w:tcPr>
            <w:tcW w:w="458" w:type="dxa"/>
          </w:tcPr>
          <w:p>
            <w:pPr>
              <w:pStyle w:val="TableParagraph"/>
              <w:spacing w:before="60"/>
              <w:ind w:left="50"/>
              <w:rPr>
                <w:sz w:val="20"/>
              </w:rPr>
            </w:pPr>
            <w:r>
              <w:rPr>
                <w:spacing w:val="-5"/>
                <w:sz w:val="20"/>
              </w:rPr>
              <w:t>84.</w:t>
            </w:r>
          </w:p>
        </w:tc>
        <w:tc>
          <w:tcPr>
            <w:tcW w:w="2883" w:type="dxa"/>
          </w:tcPr>
          <w:p>
            <w:pPr>
              <w:pStyle w:val="TableParagraph"/>
              <w:spacing w:line="240" w:lineRule="atLeast" w:before="30"/>
              <w:ind w:left="155" w:right="298"/>
              <w:rPr>
                <w:sz w:val="20"/>
              </w:rPr>
            </w:pPr>
            <w:r>
              <w:rPr>
                <w:spacing w:val="-2"/>
                <w:sz w:val="20"/>
              </w:rPr>
              <w:t>Реконструктивно- пластические, </w:t>
            </w:r>
            <w:r>
              <w:rPr>
                <w:sz w:val="20"/>
              </w:rPr>
              <w:t>микрохирургические и комбинированные</w:t>
            </w:r>
            <w:r>
              <w:rPr>
                <w:spacing w:val="-13"/>
                <w:sz w:val="20"/>
              </w:rPr>
              <w:t> </w:t>
            </w:r>
            <w:r>
              <w:rPr>
                <w:sz w:val="20"/>
              </w:rPr>
              <w:t>операции</w:t>
            </w:r>
          </w:p>
        </w:tc>
        <w:tc>
          <w:tcPr>
            <w:tcW w:w="1985" w:type="dxa"/>
          </w:tcPr>
          <w:p>
            <w:pPr>
              <w:pStyle w:val="TableParagraph"/>
              <w:spacing w:before="60"/>
              <w:ind w:left="51" w:right="19"/>
              <w:jc w:val="center"/>
              <w:rPr>
                <w:sz w:val="20"/>
              </w:rPr>
            </w:pPr>
            <w:r>
              <w:rPr>
                <w:spacing w:val="-4"/>
                <w:sz w:val="20"/>
              </w:rPr>
              <w:t>D11.0</w:t>
            </w:r>
          </w:p>
        </w:tc>
        <w:tc>
          <w:tcPr>
            <w:tcW w:w="3374" w:type="dxa"/>
          </w:tcPr>
          <w:p>
            <w:pPr>
              <w:pStyle w:val="TableParagraph"/>
              <w:spacing w:line="249" w:lineRule="auto" w:before="60"/>
              <w:ind w:left="148" w:right="70"/>
              <w:rPr>
                <w:sz w:val="20"/>
              </w:rPr>
            </w:pPr>
            <w:r>
              <w:rPr>
                <w:sz w:val="20"/>
              </w:rPr>
              <w:t>доброкачественное</w:t>
            </w:r>
            <w:r>
              <w:rPr>
                <w:spacing w:val="-13"/>
                <w:sz w:val="20"/>
              </w:rPr>
              <w:t> </w:t>
            </w:r>
            <w:r>
              <w:rPr>
                <w:sz w:val="20"/>
              </w:rPr>
              <w:t>новообразование околоушной слюнной железы</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субтотальная резекция околоушной слюнной</w:t>
            </w:r>
            <w:r>
              <w:rPr>
                <w:spacing w:val="-10"/>
                <w:sz w:val="20"/>
              </w:rPr>
              <w:t> </w:t>
            </w:r>
            <w:r>
              <w:rPr>
                <w:sz w:val="20"/>
              </w:rPr>
              <w:t>железы</w:t>
            </w:r>
            <w:r>
              <w:rPr>
                <w:spacing w:val="-11"/>
                <w:sz w:val="20"/>
              </w:rPr>
              <w:t> </w:t>
            </w:r>
            <w:r>
              <w:rPr>
                <w:sz w:val="20"/>
              </w:rPr>
              <w:t>с</w:t>
            </w:r>
            <w:r>
              <w:rPr>
                <w:spacing w:val="-11"/>
                <w:sz w:val="20"/>
              </w:rPr>
              <w:t> </w:t>
            </w:r>
            <w:r>
              <w:rPr>
                <w:sz w:val="20"/>
              </w:rPr>
              <w:t>сохранением</w:t>
            </w:r>
            <w:r>
              <w:rPr>
                <w:spacing w:val="-10"/>
                <w:sz w:val="20"/>
              </w:rPr>
              <w:t> </w:t>
            </w:r>
            <w:r>
              <w:rPr>
                <w:sz w:val="20"/>
              </w:rPr>
              <w:t>ветвей лицевого нерва</w:t>
            </w:r>
          </w:p>
        </w:tc>
        <w:tc>
          <w:tcPr>
            <w:tcW w:w="996" w:type="dxa"/>
          </w:tcPr>
          <w:p>
            <w:pPr>
              <w:pStyle w:val="TableParagraph"/>
              <w:spacing w:before="60"/>
              <w:ind w:left="347"/>
              <w:rPr>
                <w:sz w:val="20"/>
              </w:rPr>
            </w:pPr>
            <w:r>
              <w:rPr>
                <w:spacing w:val="-2"/>
                <w:sz w:val="20"/>
              </w:rPr>
              <w:t>272715</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1931"/>
        <w:gridCol w:w="3405"/>
        <w:gridCol w:w="1438"/>
        <w:gridCol w:w="3616"/>
      </w:tblGrid>
      <w:tr>
        <w:trPr>
          <w:trHeight w:val="1010" w:hRule="atLeast"/>
        </w:trPr>
        <w:tc>
          <w:tcPr>
            <w:tcW w:w="2812" w:type="dxa"/>
            <w:vMerge w:val="restart"/>
          </w:tcPr>
          <w:p>
            <w:pPr>
              <w:pStyle w:val="TableParagraph"/>
              <w:spacing w:line="249" w:lineRule="auto"/>
              <w:ind w:left="50" w:right="164"/>
              <w:rPr>
                <w:sz w:val="20"/>
              </w:rPr>
            </w:pPr>
            <w:r>
              <w:rPr>
                <w:sz w:val="20"/>
              </w:rPr>
              <w:t>при</w:t>
            </w:r>
            <w:r>
              <w:rPr>
                <w:spacing w:val="-13"/>
                <w:sz w:val="20"/>
              </w:rPr>
              <w:t> </w:t>
            </w:r>
            <w:r>
              <w:rPr>
                <w:sz w:val="20"/>
              </w:rPr>
              <w:t>лечении</w:t>
            </w:r>
            <w:r>
              <w:rPr>
                <w:spacing w:val="-12"/>
                <w:sz w:val="20"/>
              </w:rPr>
              <w:t> </w:t>
            </w:r>
            <w:r>
              <w:rPr>
                <w:sz w:val="20"/>
              </w:rPr>
              <w:t>новообразований мягких тканей и (или) костей лицевого скелета</w:t>
            </w:r>
          </w:p>
          <w:p>
            <w:pPr>
              <w:pStyle w:val="TableParagraph"/>
              <w:spacing w:line="249" w:lineRule="auto"/>
              <w:ind w:left="50" w:right="291"/>
              <w:rPr>
                <w:sz w:val="20"/>
              </w:rPr>
            </w:pPr>
            <w:r>
              <w:rPr>
                <w:sz w:val="20"/>
              </w:rPr>
              <w:t>с одномоментным пласти- ческим устранением образовавшегося раневого дефекта</w:t>
            </w:r>
            <w:r>
              <w:rPr>
                <w:spacing w:val="-13"/>
                <w:sz w:val="20"/>
              </w:rPr>
              <w:t> </w:t>
            </w:r>
            <w:r>
              <w:rPr>
                <w:sz w:val="20"/>
              </w:rPr>
              <w:t>или</w:t>
            </w:r>
            <w:r>
              <w:rPr>
                <w:spacing w:val="-12"/>
                <w:sz w:val="20"/>
              </w:rPr>
              <w:t> </w:t>
            </w:r>
            <w:r>
              <w:rPr>
                <w:sz w:val="20"/>
              </w:rPr>
              <w:t>замещением</w:t>
            </w:r>
            <w:r>
              <w:rPr>
                <w:spacing w:val="-13"/>
                <w:sz w:val="20"/>
              </w:rPr>
              <w:t> </w:t>
            </w:r>
            <w:r>
              <w:rPr>
                <w:sz w:val="20"/>
              </w:rPr>
              <w:t>его с помощью сложного </w:t>
            </w:r>
            <w:r>
              <w:rPr>
                <w:spacing w:val="-2"/>
                <w:sz w:val="20"/>
              </w:rPr>
              <w:t>челюстно-лицевого протезирования</w:t>
            </w:r>
          </w:p>
        </w:tc>
        <w:tc>
          <w:tcPr>
            <w:tcW w:w="1931" w:type="dxa"/>
          </w:tcPr>
          <w:p>
            <w:pPr>
              <w:pStyle w:val="TableParagraph"/>
              <w:spacing w:line="221" w:lineRule="exact"/>
              <w:ind w:left="488" w:right="472"/>
              <w:jc w:val="center"/>
              <w:rPr>
                <w:sz w:val="20"/>
              </w:rPr>
            </w:pPr>
            <w:r>
              <w:rPr>
                <w:spacing w:val="-4"/>
                <w:sz w:val="20"/>
              </w:rPr>
              <w:t>D11.9</w:t>
            </w:r>
          </w:p>
        </w:tc>
        <w:tc>
          <w:tcPr>
            <w:tcW w:w="3405" w:type="dxa"/>
          </w:tcPr>
          <w:p>
            <w:pPr>
              <w:pStyle w:val="TableParagraph"/>
              <w:spacing w:line="249" w:lineRule="auto"/>
              <w:ind w:left="167" w:right="106"/>
              <w:rPr>
                <w:sz w:val="20"/>
              </w:rPr>
            </w:pPr>
            <w:r>
              <w:rPr>
                <w:sz w:val="20"/>
              </w:rPr>
              <w:t>новообразование околоушной слюнной железы с распространением</w:t>
            </w:r>
            <w:r>
              <w:rPr>
                <w:spacing w:val="-13"/>
                <w:sz w:val="20"/>
              </w:rPr>
              <w:t> </w:t>
            </w:r>
            <w:r>
              <w:rPr>
                <w:sz w:val="20"/>
              </w:rPr>
              <w:t>в</w:t>
            </w:r>
            <w:r>
              <w:rPr>
                <w:spacing w:val="-12"/>
                <w:sz w:val="20"/>
              </w:rPr>
              <w:t> </w:t>
            </w:r>
            <w:r>
              <w:rPr>
                <w:sz w:val="20"/>
              </w:rPr>
              <w:t>прилегающие </w:t>
            </w:r>
            <w:r>
              <w:rPr>
                <w:spacing w:val="-2"/>
                <w:sz w:val="20"/>
              </w:rPr>
              <w:t>области</w:t>
            </w:r>
          </w:p>
        </w:tc>
        <w:tc>
          <w:tcPr>
            <w:tcW w:w="1438" w:type="dxa"/>
          </w:tcPr>
          <w:p>
            <w:pPr>
              <w:pStyle w:val="TableParagraph"/>
              <w:spacing w:line="249" w:lineRule="auto"/>
              <w:ind w:left="70"/>
              <w:rPr>
                <w:sz w:val="20"/>
              </w:rPr>
            </w:pPr>
            <w:r>
              <w:rPr>
                <w:spacing w:val="-2"/>
                <w:sz w:val="20"/>
              </w:rPr>
              <w:t>хирургическое лечение</w:t>
            </w:r>
          </w:p>
        </w:tc>
        <w:tc>
          <w:tcPr>
            <w:tcW w:w="3616" w:type="dxa"/>
          </w:tcPr>
          <w:p>
            <w:pPr>
              <w:pStyle w:val="TableParagraph"/>
              <w:spacing w:line="249" w:lineRule="auto"/>
              <w:ind w:left="106" w:right="5"/>
              <w:rPr>
                <w:sz w:val="20"/>
              </w:rPr>
            </w:pPr>
            <w:r>
              <w:rPr>
                <w:sz w:val="20"/>
              </w:rPr>
              <w:t>паротидэктомия с пластическим замещением</w:t>
            </w:r>
            <w:r>
              <w:rPr>
                <w:spacing w:val="-13"/>
                <w:sz w:val="20"/>
              </w:rPr>
              <w:t> </w:t>
            </w:r>
            <w:r>
              <w:rPr>
                <w:sz w:val="20"/>
              </w:rPr>
              <w:t>резецированного</w:t>
            </w:r>
            <w:r>
              <w:rPr>
                <w:spacing w:val="-12"/>
                <w:sz w:val="20"/>
              </w:rPr>
              <w:t> </w:t>
            </w:r>
            <w:r>
              <w:rPr>
                <w:sz w:val="20"/>
              </w:rPr>
              <w:t>отрезка лицевого нерва</w:t>
            </w:r>
          </w:p>
        </w:tc>
      </w:tr>
      <w:tr>
        <w:trPr>
          <w:trHeight w:val="840" w:hRule="atLeast"/>
        </w:trPr>
        <w:tc>
          <w:tcPr>
            <w:tcW w:w="2812" w:type="dxa"/>
            <w:vMerge/>
            <w:tcBorders>
              <w:top w:val="nil"/>
            </w:tcBorders>
          </w:tcPr>
          <w:p>
            <w:pPr>
              <w:rPr>
                <w:sz w:val="2"/>
                <w:szCs w:val="2"/>
              </w:rPr>
            </w:pPr>
          </w:p>
        </w:tc>
        <w:tc>
          <w:tcPr>
            <w:tcW w:w="1931" w:type="dxa"/>
          </w:tcPr>
          <w:p>
            <w:pPr>
              <w:pStyle w:val="TableParagraph"/>
              <w:spacing w:before="60"/>
              <w:ind w:left="488" w:right="476"/>
              <w:jc w:val="center"/>
              <w:rPr>
                <w:sz w:val="20"/>
              </w:rPr>
            </w:pPr>
            <w:r>
              <w:rPr>
                <w:sz w:val="20"/>
              </w:rPr>
              <w:t>D10,</w:t>
            </w:r>
            <w:r>
              <w:rPr>
                <w:spacing w:val="-2"/>
                <w:sz w:val="20"/>
              </w:rPr>
              <w:t> D10.3</w:t>
            </w:r>
          </w:p>
        </w:tc>
        <w:tc>
          <w:tcPr>
            <w:tcW w:w="3405" w:type="dxa"/>
          </w:tcPr>
          <w:p>
            <w:pPr>
              <w:pStyle w:val="TableParagraph"/>
              <w:spacing w:line="249" w:lineRule="auto" w:before="60"/>
              <w:ind w:left="167"/>
              <w:rPr>
                <w:sz w:val="20"/>
              </w:rPr>
            </w:pPr>
            <w:r>
              <w:rPr>
                <w:sz w:val="20"/>
              </w:rPr>
              <w:t>обширное опухолевое поражение мягких</w:t>
            </w:r>
            <w:r>
              <w:rPr>
                <w:spacing w:val="-9"/>
                <w:sz w:val="20"/>
              </w:rPr>
              <w:t> </w:t>
            </w:r>
            <w:r>
              <w:rPr>
                <w:sz w:val="20"/>
              </w:rPr>
              <w:t>тканей</w:t>
            </w:r>
            <w:r>
              <w:rPr>
                <w:spacing w:val="-9"/>
                <w:sz w:val="20"/>
              </w:rPr>
              <w:t> </w:t>
            </w:r>
            <w:r>
              <w:rPr>
                <w:sz w:val="20"/>
              </w:rPr>
              <w:t>различных</w:t>
            </w:r>
            <w:r>
              <w:rPr>
                <w:spacing w:val="-9"/>
                <w:sz w:val="20"/>
              </w:rPr>
              <w:t> </w:t>
            </w:r>
            <w:r>
              <w:rPr>
                <w:sz w:val="20"/>
              </w:rPr>
              <w:t>зон</w:t>
            </w:r>
            <w:r>
              <w:rPr>
                <w:spacing w:val="-9"/>
                <w:sz w:val="20"/>
              </w:rPr>
              <w:t> </w:t>
            </w:r>
            <w:r>
              <w:rPr>
                <w:sz w:val="20"/>
              </w:rPr>
              <w:t>лица</w:t>
            </w:r>
            <w:r>
              <w:rPr>
                <w:spacing w:val="-6"/>
                <w:sz w:val="20"/>
              </w:rPr>
              <w:t> </w:t>
            </w:r>
            <w:r>
              <w:rPr>
                <w:sz w:val="20"/>
              </w:rPr>
              <w:t>и </w:t>
            </w:r>
            <w:r>
              <w:rPr>
                <w:spacing w:val="-4"/>
                <w:sz w:val="20"/>
              </w:rPr>
              <w:t>шеи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9" w:lineRule="auto" w:before="60"/>
              <w:ind w:left="106" w:right="5"/>
              <w:rPr>
                <w:sz w:val="20"/>
              </w:rPr>
            </w:pPr>
            <w:r>
              <w:rPr>
                <w:sz w:val="20"/>
              </w:rPr>
              <w:t>удаление</w:t>
            </w:r>
            <w:r>
              <w:rPr>
                <w:spacing w:val="-13"/>
                <w:sz w:val="20"/>
              </w:rPr>
              <w:t> </w:t>
            </w:r>
            <w:r>
              <w:rPr>
                <w:sz w:val="20"/>
              </w:rPr>
              <w:t>опухолевого</w:t>
            </w:r>
            <w:r>
              <w:rPr>
                <w:spacing w:val="-12"/>
                <w:sz w:val="20"/>
              </w:rPr>
              <w:t> </w:t>
            </w:r>
            <w:r>
              <w:rPr>
                <w:sz w:val="20"/>
              </w:rPr>
              <w:t>поражения</w:t>
            </w:r>
            <w:r>
              <w:rPr>
                <w:spacing w:val="-13"/>
                <w:sz w:val="20"/>
              </w:rPr>
              <w:t> </w:t>
            </w:r>
            <w:r>
              <w:rPr>
                <w:sz w:val="20"/>
              </w:rPr>
              <w:t>с одномоментным пластическим устранением раневого дефекта</w:t>
            </w:r>
          </w:p>
        </w:tc>
      </w:tr>
      <w:tr>
        <w:trPr>
          <w:trHeight w:val="1320" w:hRule="atLeast"/>
        </w:trPr>
        <w:tc>
          <w:tcPr>
            <w:tcW w:w="2812" w:type="dxa"/>
            <w:vMerge/>
            <w:tcBorders>
              <w:top w:val="nil"/>
            </w:tcBorders>
          </w:tcPr>
          <w:p>
            <w:pPr>
              <w:rPr>
                <w:sz w:val="2"/>
                <w:szCs w:val="2"/>
              </w:rPr>
            </w:pPr>
          </w:p>
        </w:tc>
        <w:tc>
          <w:tcPr>
            <w:tcW w:w="1931" w:type="dxa"/>
          </w:tcPr>
          <w:p>
            <w:pPr>
              <w:pStyle w:val="TableParagraph"/>
              <w:spacing w:line="249" w:lineRule="auto" w:before="60"/>
              <w:ind w:left="726" w:hanging="548"/>
              <w:rPr>
                <w:sz w:val="20"/>
              </w:rPr>
            </w:pPr>
            <w:r>
              <w:rPr>
                <w:sz w:val="20"/>
              </w:rPr>
              <w:t>D18,</w:t>
            </w:r>
            <w:r>
              <w:rPr>
                <w:spacing w:val="-13"/>
                <w:sz w:val="20"/>
              </w:rPr>
              <w:t> </w:t>
            </w:r>
            <w:r>
              <w:rPr>
                <w:sz w:val="20"/>
              </w:rPr>
              <w:t>Q27.3,</w:t>
            </w:r>
            <w:r>
              <w:rPr>
                <w:spacing w:val="-12"/>
                <w:sz w:val="20"/>
              </w:rPr>
              <w:t> </w:t>
            </w:r>
            <w:r>
              <w:rPr>
                <w:sz w:val="20"/>
              </w:rPr>
              <w:t>Q27.9, </w:t>
            </w:r>
            <w:r>
              <w:rPr>
                <w:spacing w:val="-2"/>
                <w:sz w:val="20"/>
              </w:rPr>
              <w:t>Q85.0</w:t>
            </w:r>
          </w:p>
        </w:tc>
        <w:tc>
          <w:tcPr>
            <w:tcW w:w="3405" w:type="dxa"/>
          </w:tcPr>
          <w:p>
            <w:pPr>
              <w:pStyle w:val="TableParagraph"/>
              <w:spacing w:line="249" w:lineRule="auto" w:before="60"/>
              <w:ind w:left="167" w:right="106"/>
              <w:rPr>
                <w:sz w:val="20"/>
              </w:rPr>
            </w:pPr>
            <w:r>
              <w:rPr>
                <w:sz w:val="20"/>
              </w:rPr>
              <w:t>обширная</w:t>
            </w:r>
            <w:r>
              <w:rPr>
                <w:spacing w:val="-9"/>
                <w:sz w:val="20"/>
              </w:rPr>
              <w:t> </w:t>
            </w:r>
            <w:r>
              <w:rPr>
                <w:sz w:val="20"/>
              </w:rPr>
              <w:t>(2</w:t>
            </w:r>
            <w:r>
              <w:rPr>
                <w:spacing w:val="-7"/>
                <w:sz w:val="20"/>
              </w:rPr>
              <w:t> </w:t>
            </w:r>
            <w:r>
              <w:rPr>
                <w:sz w:val="20"/>
              </w:rPr>
              <w:t>и</w:t>
            </w:r>
            <w:r>
              <w:rPr>
                <w:spacing w:val="-9"/>
                <w:sz w:val="20"/>
              </w:rPr>
              <w:t> </w:t>
            </w:r>
            <w:r>
              <w:rPr>
                <w:sz w:val="20"/>
              </w:rPr>
              <w:t>более</w:t>
            </w:r>
            <w:r>
              <w:rPr>
                <w:spacing w:val="-8"/>
                <w:sz w:val="20"/>
              </w:rPr>
              <w:t> </w:t>
            </w:r>
            <w:r>
              <w:rPr>
                <w:sz w:val="20"/>
              </w:rPr>
              <w:t>анатомические области)</w:t>
            </w:r>
            <w:r>
              <w:rPr>
                <w:spacing w:val="-13"/>
                <w:sz w:val="20"/>
              </w:rPr>
              <w:t> </w:t>
            </w:r>
            <w:r>
              <w:rPr>
                <w:sz w:val="20"/>
              </w:rPr>
              <w:t>сосудистая</w:t>
            </w:r>
            <w:r>
              <w:rPr>
                <w:spacing w:val="-12"/>
                <w:sz w:val="20"/>
              </w:rPr>
              <w:t> </w:t>
            </w:r>
            <w:r>
              <w:rPr>
                <w:sz w:val="20"/>
              </w:rPr>
              <w:t>мальформация, опухоль или диспластическое образование лица и шеи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9" w:lineRule="auto" w:before="60"/>
              <w:ind w:left="106" w:right="5"/>
              <w:rPr>
                <w:sz w:val="20"/>
              </w:rPr>
            </w:pPr>
            <w:r>
              <w:rPr>
                <w:sz w:val="20"/>
              </w:rPr>
              <w:t>деструкция сосудистого новообразования с использованием электрохимического лизиса, термического,</w:t>
            </w:r>
            <w:r>
              <w:rPr>
                <w:spacing w:val="-13"/>
                <w:sz w:val="20"/>
              </w:rPr>
              <w:t> </w:t>
            </w:r>
            <w:r>
              <w:rPr>
                <w:sz w:val="20"/>
              </w:rPr>
              <w:t>радиочастотного</w:t>
            </w:r>
            <w:r>
              <w:rPr>
                <w:spacing w:val="-12"/>
                <w:sz w:val="20"/>
              </w:rPr>
              <w:t> </w:t>
            </w:r>
            <w:r>
              <w:rPr>
                <w:sz w:val="20"/>
              </w:rPr>
              <w:t>и</w:t>
            </w:r>
            <w:r>
              <w:rPr>
                <w:spacing w:val="-13"/>
                <w:sz w:val="20"/>
              </w:rPr>
              <w:t> </w:t>
            </w:r>
            <w:r>
              <w:rPr>
                <w:sz w:val="20"/>
              </w:rPr>
              <w:t>(или) ульразвукового воздействия</w:t>
            </w:r>
          </w:p>
        </w:tc>
      </w:tr>
      <w:tr>
        <w:trPr>
          <w:trHeight w:val="1080" w:hRule="atLeast"/>
        </w:trPr>
        <w:tc>
          <w:tcPr>
            <w:tcW w:w="2812" w:type="dxa"/>
          </w:tcPr>
          <w:p>
            <w:pPr>
              <w:pStyle w:val="TableParagraph"/>
              <w:rPr>
                <w:sz w:val="18"/>
              </w:rPr>
            </w:pPr>
          </w:p>
        </w:tc>
        <w:tc>
          <w:tcPr>
            <w:tcW w:w="1931" w:type="dxa"/>
          </w:tcPr>
          <w:p>
            <w:pPr>
              <w:pStyle w:val="TableParagraph"/>
              <w:rPr>
                <w:sz w:val="18"/>
              </w:rPr>
            </w:pPr>
          </w:p>
        </w:tc>
        <w:tc>
          <w:tcPr>
            <w:tcW w:w="3405" w:type="dxa"/>
          </w:tcPr>
          <w:p>
            <w:pPr>
              <w:pStyle w:val="TableParagraph"/>
              <w:rPr>
                <w:sz w:val="18"/>
              </w:rPr>
            </w:pPr>
          </w:p>
        </w:tc>
        <w:tc>
          <w:tcPr>
            <w:tcW w:w="1438" w:type="dxa"/>
          </w:tcPr>
          <w:p>
            <w:pPr>
              <w:pStyle w:val="TableParagraph"/>
              <w:rPr>
                <w:sz w:val="18"/>
              </w:rPr>
            </w:pPr>
          </w:p>
        </w:tc>
        <w:tc>
          <w:tcPr>
            <w:tcW w:w="3616" w:type="dxa"/>
          </w:tcPr>
          <w:p>
            <w:pPr>
              <w:pStyle w:val="TableParagraph"/>
              <w:spacing w:line="249" w:lineRule="auto" w:before="60"/>
              <w:ind w:left="106" w:right="5"/>
              <w:rPr>
                <w:sz w:val="20"/>
              </w:rPr>
            </w:pPr>
            <w:r>
              <w:rPr>
                <w:sz w:val="20"/>
              </w:rPr>
              <w:t>блоковая резекция мальформации и сосудистого</w:t>
            </w:r>
            <w:r>
              <w:rPr>
                <w:spacing w:val="-11"/>
                <w:sz w:val="20"/>
              </w:rPr>
              <w:t> </w:t>
            </w:r>
            <w:r>
              <w:rPr>
                <w:sz w:val="20"/>
              </w:rPr>
              <w:t>образования</w:t>
            </w:r>
            <w:r>
              <w:rPr>
                <w:spacing w:val="-13"/>
                <w:sz w:val="20"/>
              </w:rPr>
              <w:t> </w:t>
            </w:r>
            <w:r>
              <w:rPr>
                <w:sz w:val="20"/>
              </w:rPr>
              <w:t>с</w:t>
            </w:r>
            <w:r>
              <w:rPr>
                <w:spacing w:val="-12"/>
                <w:sz w:val="20"/>
              </w:rPr>
              <w:t> </w:t>
            </w:r>
            <w:r>
              <w:rPr>
                <w:sz w:val="20"/>
              </w:rPr>
              <w:t>одномомент- ным пластическим устранением образовавшегося дефекта тканей</w:t>
            </w:r>
          </w:p>
        </w:tc>
      </w:tr>
      <w:tr>
        <w:trPr>
          <w:trHeight w:val="1320" w:hRule="atLeast"/>
        </w:trPr>
        <w:tc>
          <w:tcPr>
            <w:tcW w:w="2812" w:type="dxa"/>
          </w:tcPr>
          <w:p>
            <w:pPr>
              <w:pStyle w:val="TableParagraph"/>
              <w:rPr>
                <w:sz w:val="18"/>
              </w:rPr>
            </w:pPr>
          </w:p>
        </w:tc>
        <w:tc>
          <w:tcPr>
            <w:tcW w:w="1931" w:type="dxa"/>
          </w:tcPr>
          <w:p>
            <w:pPr>
              <w:pStyle w:val="TableParagraph"/>
              <w:spacing w:before="60"/>
              <w:ind w:left="488" w:right="472"/>
              <w:jc w:val="center"/>
              <w:rPr>
                <w:sz w:val="20"/>
              </w:rPr>
            </w:pPr>
            <w:r>
              <w:rPr>
                <w:spacing w:val="-4"/>
                <w:sz w:val="20"/>
              </w:rPr>
              <w:t>D16.5</w:t>
            </w:r>
          </w:p>
        </w:tc>
        <w:tc>
          <w:tcPr>
            <w:tcW w:w="3405" w:type="dxa"/>
          </w:tcPr>
          <w:p>
            <w:pPr>
              <w:pStyle w:val="TableParagraph"/>
              <w:spacing w:line="249" w:lineRule="auto" w:before="60"/>
              <w:ind w:left="167"/>
              <w:rPr>
                <w:sz w:val="20"/>
              </w:rPr>
            </w:pPr>
            <w:r>
              <w:rPr>
                <w:sz w:val="20"/>
              </w:rPr>
              <w:t>новообразование нижней челюсти в пределах</w:t>
            </w:r>
            <w:r>
              <w:rPr>
                <w:spacing w:val="-6"/>
                <w:sz w:val="20"/>
              </w:rPr>
              <w:t> </w:t>
            </w:r>
            <w:r>
              <w:rPr>
                <w:sz w:val="20"/>
              </w:rPr>
              <w:t>не</w:t>
            </w:r>
            <w:r>
              <w:rPr>
                <w:spacing w:val="-6"/>
                <w:sz w:val="20"/>
              </w:rPr>
              <w:t> </w:t>
            </w:r>
            <w:r>
              <w:rPr>
                <w:sz w:val="20"/>
              </w:rPr>
              <w:t>менее</w:t>
            </w:r>
            <w:r>
              <w:rPr>
                <w:spacing w:val="-6"/>
                <w:sz w:val="20"/>
              </w:rPr>
              <w:t> </w:t>
            </w:r>
            <w:r>
              <w:rPr>
                <w:sz w:val="20"/>
              </w:rPr>
              <w:t>3</w:t>
            </w:r>
            <w:r>
              <w:rPr>
                <w:spacing w:val="-1"/>
                <w:sz w:val="20"/>
              </w:rPr>
              <w:t> </w:t>
            </w:r>
            <w:r>
              <w:rPr>
                <w:sz w:val="20"/>
              </w:rPr>
              <w:t>-</w:t>
            </w:r>
            <w:r>
              <w:rPr>
                <w:spacing w:val="-7"/>
                <w:sz w:val="20"/>
              </w:rPr>
              <w:t> </w:t>
            </w:r>
            <w:r>
              <w:rPr>
                <w:sz w:val="20"/>
              </w:rPr>
              <w:t>4</w:t>
            </w:r>
            <w:r>
              <w:rPr>
                <w:spacing w:val="-5"/>
                <w:sz w:val="20"/>
              </w:rPr>
              <w:t> </w:t>
            </w:r>
            <w:r>
              <w:rPr>
                <w:sz w:val="20"/>
              </w:rPr>
              <w:t>зубов</w:t>
            </w:r>
            <w:r>
              <w:rPr>
                <w:spacing w:val="-6"/>
                <w:sz w:val="20"/>
              </w:rPr>
              <w:t> </w:t>
            </w:r>
            <w:r>
              <w:rPr>
                <w:sz w:val="20"/>
              </w:rPr>
              <w:t>и</w:t>
            </w:r>
            <w:r>
              <w:rPr>
                <w:spacing w:val="-6"/>
                <w:sz w:val="20"/>
              </w:rPr>
              <w:t> </w:t>
            </w:r>
            <w:r>
              <w:rPr>
                <w:sz w:val="20"/>
              </w:rPr>
              <w:t>(или) ее ветви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9" w:lineRule="auto" w:before="60"/>
              <w:ind w:left="106" w:right="5"/>
              <w:rPr>
                <w:sz w:val="20"/>
              </w:rPr>
            </w:pPr>
            <w:r>
              <w:rPr>
                <w:sz w:val="20"/>
              </w:rPr>
              <w:t>удаление новообразования с одномоментной костной пластикой нижней</w:t>
            </w:r>
            <w:r>
              <w:rPr>
                <w:spacing w:val="-13"/>
                <w:sz w:val="20"/>
              </w:rPr>
              <w:t> </w:t>
            </w:r>
            <w:r>
              <w:rPr>
                <w:sz w:val="20"/>
              </w:rPr>
              <w:t>челюсти,</w:t>
            </w:r>
            <w:r>
              <w:rPr>
                <w:spacing w:val="-12"/>
                <w:sz w:val="20"/>
              </w:rPr>
              <w:t> </w:t>
            </w:r>
            <w:r>
              <w:rPr>
                <w:sz w:val="20"/>
              </w:rPr>
              <w:t>микрохирургическая пластика с помощью реваскуляризированного лоскута</w:t>
            </w:r>
          </w:p>
        </w:tc>
      </w:tr>
      <w:tr>
        <w:trPr>
          <w:trHeight w:val="1560" w:hRule="atLeast"/>
        </w:trPr>
        <w:tc>
          <w:tcPr>
            <w:tcW w:w="2812" w:type="dxa"/>
          </w:tcPr>
          <w:p>
            <w:pPr>
              <w:pStyle w:val="TableParagraph"/>
              <w:rPr>
                <w:sz w:val="18"/>
              </w:rPr>
            </w:pPr>
          </w:p>
        </w:tc>
        <w:tc>
          <w:tcPr>
            <w:tcW w:w="1931" w:type="dxa"/>
          </w:tcPr>
          <w:p>
            <w:pPr>
              <w:pStyle w:val="TableParagraph"/>
              <w:rPr>
                <w:sz w:val="18"/>
              </w:rPr>
            </w:pPr>
          </w:p>
        </w:tc>
        <w:tc>
          <w:tcPr>
            <w:tcW w:w="3405" w:type="dxa"/>
          </w:tcPr>
          <w:p>
            <w:pPr>
              <w:pStyle w:val="TableParagraph"/>
              <w:rPr>
                <w:sz w:val="18"/>
              </w:rPr>
            </w:pPr>
          </w:p>
        </w:tc>
        <w:tc>
          <w:tcPr>
            <w:tcW w:w="1438" w:type="dxa"/>
          </w:tcPr>
          <w:p>
            <w:pPr>
              <w:pStyle w:val="TableParagraph"/>
              <w:rPr>
                <w:sz w:val="18"/>
              </w:rPr>
            </w:pPr>
          </w:p>
        </w:tc>
        <w:tc>
          <w:tcPr>
            <w:tcW w:w="3616" w:type="dxa"/>
          </w:tcPr>
          <w:p>
            <w:pPr>
              <w:pStyle w:val="TableParagraph"/>
              <w:spacing w:line="249" w:lineRule="auto" w:before="60"/>
              <w:ind w:left="106" w:right="5"/>
              <w:rPr>
                <w:sz w:val="20"/>
              </w:rPr>
            </w:pPr>
            <w:r>
              <w:rPr>
                <w:sz w:val="20"/>
              </w:rPr>
              <w:t>частичная</w:t>
            </w:r>
            <w:r>
              <w:rPr>
                <w:spacing w:val="-12"/>
                <w:sz w:val="20"/>
              </w:rPr>
              <w:t> </w:t>
            </w:r>
            <w:r>
              <w:rPr>
                <w:sz w:val="20"/>
              </w:rPr>
              <w:t>резекция</w:t>
            </w:r>
            <w:r>
              <w:rPr>
                <w:spacing w:val="-9"/>
                <w:sz w:val="20"/>
              </w:rPr>
              <w:t> </w:t>
            </w:r>
            <w:r>
              <w:rPr>
                <w:sz w:val="20"/>
              </w:rPr>
              <w:t>нижней</w:t>
            </w:r>
            <w:r>
              <w:rPr>
                <w:spacing w:val="-10"/>
                <w:sz w:val="20"/>
              </w:rPr>
              <w:t> </w:t>
            </w:r>
            <w:r>
              <w:rPr>
                <w:sz w:val="20"/>
              </w:rPr>
              <w:t>челюсти</w:t>
            </w:r>
            <w:r>
              <w:rPr>
                <w:spacing w:val="-12"/>
                <w:sz w:val="20"/>
              </w:rPr>
              <w:t> </w:t>
            </w:r>
            <w:r>
              <w:rPr>
                <w:sz w:val="20"/>
              </w:rPr>
              <w:t>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trPr>
          <w:trHeight w:val="770" w:hRule="atLeast"/>
        </w:trPr>
        <w:tc>
          <w:tcPr>
            <w:tcW w:w="2812" w:type="dxa"/>
          </w:tcPr>
          <w:p>
            <w:pPr>
              <w:pStyle w:val="TableParagraph"/>
              <w:rPr>
                <w:sz w:val="18"/>
              </w:rPr>
            </w:pPr>
          </w:p>
        </w:tc>
        <w:tc>
          <w:tcPr>
            <w:tcW w:w="1931" w:type="dxa"/>
          </w:tcPr>
          <w:p>
            <w:pPr>
              <w:pStyle w:val="TableParagraph"/>
              <w:spacing w:before="60"/>
              <w:ind w:left="488" w:right="472"/>
              <w:jc w:val="center"/>
              <w:rPr>
                <w:sz w:val="20"/>
              </w:rPr>
            </w:pPr>
            <w:r>
              <w:rPr>
                <w:spacing w:val="-4"/>
                <w:sz w:val="20"/>
              </w:rPr>
              <w:t>D16.4</w:t>
            </w:r>
          </w:p>
        </w:tc>
        <w:tc>
          <w:tcPr>
            <w:tcW w:w="3405" w:type="dxa"/>
          </w:tcPr>
          <w:p>
            <w:pPr>
              <w:pStyle w:val="TableParagraph"/>
              <w:spacing w:before="60"/>
              <w:ind w:left="167"/>
              <w:rPr>
                <w:sz w:val="20"/>
              </w:rPr>
            </w:pPr>
            <w:r>
              <w:rPr>
                <w:spacing w:val="-2"/>
                <w:sz w:val="20"/>
              </w:rPr>
              <w:t>новообразование</w:t>
            </w:r>
            <w:r>
              <w:rPr>
                <w:spacing w:val="7"/>
                <w:sz w:val="20"/>
              </w:rPr>
              <w:t> </w:t>
            </w:r>
            <w:r>
              <w:rPr>
                <w:spacing w:val="-2"/>
                <w:sz w:val="20"/>
              </w:rPr>
              <w:t>верхней</w:t>
            </w:r>
            <w:r>
              <w:rPr>
                <w:spacing w:val="7"/>
                <w:sz w:val="20"/>
              </w:rPr>
              <w:t> </w:t>
            </w:r>
            <w:r>
              <w:rPr>
                <w:spacing w:val="-2"/>
                <w:sz w:val="20"/>
              </w:rPr>
              <w:t>челюсти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0" w:lineRule="atLeast" w:before="30"/>
              <w:ind w:left="106" w:right="5"/>
              <w:rPr>
                <w:sz w:val="20"/>
              </w:rPr>
            </w:pPr>
            <w:r>
              <w:rPr>
                <w:sz w:val="20"/>
              </w:rPr>
              <w:t>удаление новообразования с одномоментным</w:t>
            </w:r>
            <w:r>
              <w:rPr>
                <w:spacing w:val="-13"/>
                <w:sz w:val="20"/>
              </w:rPr>
              <w:t> </w:t>
            </w:r>
            <w:r>
              <w:rPr>
                <w:sz w:val="20"/>
              </w:rPr>
              <w:t>замещением</w:t>
            </w:r>
            <w:r>
              <w:rPr>
                <w:spacing w:val="-12"/>
                <w:sz w:val="20"/>
              </w:rPr>
              <w:t> </w:t>
            </w:r>
            <w:r>
              <w:rPr>
                <w:sz w:val="20"/>
              </w:rPr>
              <w:t>дефекта верхней челюсти сложным протезом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017"/>
        <w:gridCol w:w="1721"/>
        <w:gridCol w:w="3511"/>
        <w:gridCol w:w="1439"/>
        <w:gridCol w:w="3985"/>
        <w:gridCol w:w="966"/>
      </w:tblGrid>
      <w:tr>
        <w:trPr>
          <w:trHeight w:val="1490" w:hRule="atLeast"/>
        </w:trPr>
        <w:tc>
          <w:tcPr>
            <w:tcW w:w="458" w:type="dxa"/>
          </w:tcPr>
          <w:p>
            <w:pPr>
              <w:pStyle w:val="TableParagraph"/>
              <w:rPr>
                <w:sz w:val="18"/>
              </w:rPr>
            </w:pPr>
          </w:p>
        </w:tc>
        <w:tc>
          <w:tcPr>
            <w:tcW w:w="3017" w:type="dxa"/>
          </w:tcPr>
          <w:p>
            <w:pPr>
              <w:pStyle w:val="TableParagraph"/>
              <w:rPr>
                <w:sz w:val="18"/>
              </w:rPr>
            </w:pPr>
          </w:p>
        </w:tc>
        <w:tc>
          <w:tcPr>
            <w:tcW w:w="1721" w:type="dxa"/>
          </w:tcPr>
          <w:p>
            <w:pPr>
              <w:pStyle w:val="TableParagraph"/>
              <w:spacing w:line="221" w:lineRule="exact"/>
              <w:ind w:right="300"/>
              <w:jc w:val="right"/>
              <w:rPr>
                <w:sz w:val="20"/>
              </w:rPr>
            </w:pPr>
            <w:r>
              <w:rPr>
                <w:sz w:val="20"/>
              </w:rPr>
              <w:t>D16.4,</w:t>
            </w:r>
            <w:r>
              <w:rPr>
                <w:spacing w:val="-3"/>
                <w:sz w:val="20"/>
              </w:rPr>
              <w:t> </w:t>
            </w:r>
            <w:r>
              <w:rPr>
                <w:spacing w:val="-2"/>
                <w:sz w:val="20"/>
              </w:rPr>
              <w:t>D16.5</w:t>
            </w:r>
          </w:p>
        </w:tc>
        <w:tc>
          <w:tcPr>
            <w:tcW w:w="3511" w:type="dxa"/>
          </w:tcPr>
          <w:p>
            <w:pPr>
              <w:pStyle w:val="TableParagraph"/>
              <w:spacing w:line="249" w:lineRule="auto"/>
              <w:ind w:left="278" w:right="102"/>
              <w:rPr>
                <w:sz w:val="20"/>
              </w:rPr>
            </w:pPr>
            <w:r>
              <w:rPr>
                <w:sz w:val="20"/>
              </w:rPr>
              <w:t>новообразование</w:t>
            </w:r>
            <w:r>
              <w:rPr>
                <w:spacing w:val="-13"/>
                <w:sz w:val="20"/>
              </w:rPr>
              <w:t> </w:t>
            </w:r>
            <w:r>
              <w:rPr>
                <w:sz w:val="20"/>
              </w:rPr>
              <w:t>верхней</w:t>
            </w:r>
            <w:r>
              <w:rPr>
                <w:spacing w:val="-12"/>
                <w:sz w:val="20"/>
              </w:rPr>
              <w:t> </w:t>
            </w:r>
            <w:r>
              <w:rPr>
                <w:sz w:val="20"/>
              </w:rPr>
              <w:t>(нижней) челюсти с распространением в прилегающие области</w:t>
            </w:r>
          </w:p>
        </w:tc>
        <w:tc>
          <w:tcPr>
            <w:tcW w:w="1439" w:type="dxa"/>
          </w:tcPr>
          <w:p>
            <w:pPr>
              <w:pStyle w:val="TableParagraph"/>
              <w:spacing w:line="249" w:lineRule="auto"/>
              <w:ind w:left="75" w:right="105"/>
              <w:rPr>
                <w:sz w:val="20"/>
              </w:rPr>
            </w:pPr>
            <w:r>
              <w:rPr>
                <w:spacing w:val="-2"/>
                <w:sz w:val="20"/>
              </w:rPr>
              <w:t>хирургическое лечение</w:t>
            </w:r>
          </w:p>
        </w:tc>
        <w:tc>
          <w:tcPr>
            <w:tcW w:w="3985" w:type="dxa"/>
          </w:tcPr>
          <w:p>
            <w:pPr>
              <w:pStyle w:val="TableParagraph"/>
              <w:spacing w:line="249" w:lineRule="auto"/>
              <w:ind w:left="110" w:right="341"/>
              <w:rPr>
                <w:sz w:val="20"/>
              </w:rPr>
            </w:pPr>
            <w:r>
              <w:rPr>
                <w:sz w:val="20"/>
              </w:rPr>
              <w:t>удаление</w:t>
            </w:r>
            <w:r>
              <w:rPr>
                <w:spacing w:val="-13"/>
                <w:sz w:val="20"/>
              </w:rPr>
              <w:t> </w:t>
            </w:r>
            <w:r>
              <w:rPr>
                <w:sz w:val="20"/>
              </w:rPr>
              <w:t>новообразования</w:t>
            </w:r>
            <w:r>
              <w:rPr>
                <w:spacing w:val="-12"/>
                <w:sz w:val="20"/>
              </w:rPr>
              <w:t> </w:t>
            </w:r>
            <w:r>
              <w:rPr>
                <w:sz w:val="20"/>
              </w:rPr>
              <w:t>с</w:t>
            </w:r>
            <w:r>
              <w:rPr>
                <w:spacing w:val="-13"/>
                <w:sz w:val="20"/>
              </w:rPr>
              <w:t> </w:t>
            </w:r>
            <w:r>
              <w:rPr>
                <w:sz w:val="20"/>
              </w:rPr>
              <w:t>резекцией части или всей челюсти и одномоментной костной пластикой аутотрансплантатом,</w:t>
            </w:r>
            <w:r>
              <w:rPr>
                <w:spacing w:val="-13"/>
                <w:sz w:val="20"/>
              </w:rPr>
              <w:t> </w:t>
            </w:r>
            <w:r>
              <w:rPr>
                <w:sz w:val="20"/>
              </w:rPr>
              <w:t>микрохирургиче- ской пластикой с помощью реваскуляризированного лоскута</w:t>
            </w:r>
          </w:p>
        </w:tc>
        <w:tc>
          <w:tcPr>
            <w:tcW w:w="966" w:type="dxa"/>
          </w:tcPr>
          <w:p>
            <w:pPr>
              <w:pStyle w:val="TableParagraph"/>
              <w:rPr>
                <w:sz w:val="18"/>
              </w:rPr>
            </w:pPr>
          </w:p>
        </w:tc>
      </w:tr>
      <w:tr>
        <w:trPr>
          <w:trHeight w:val="360" w:hRule="atLeast"/>
        </w:trPr>
        <w:tc>
          <w:tcPr>
            <w:tcW w:w="458" w:type="dxa"/>
          </w:tcPr>
          <w:p>
            <w:pPr>
              <w:pStyle w:val="TableParagraph"/>
              <w:rPr>
                <w:sz w:val="18"/>
              </w:rPr>
            </w:pPr>
          </w:p>
        </w:tc>
        <w:tc>
          <w:tcPr>
            <w:tcW w:w="3017" w:type="dxa"/>
          </w:tcPr>
          <w:p>
            <w:pPr>
              <w:pStyle w:val="TableParagraph"/>
              <w:rPr>
                <w:sz w:val="18"/>
              </w:rPr>
            </w:pPr>
          </w:p>
        </w:tc>
        <w:tc>
          <w:tcPr>
            <w:tcW w:w="1721" w:type="dxa"/>
          </w:tcPr>
          <w:p>
            <w:pPr>
              <w:pStyle w:val="TableParagraph"/>
              <w:rPr>
                <w:sz w:val="18"/>
              </w:rPr>
            </w:pPr>
          </w:p>
        </w:tc>
        <w:tc>
          <w:tcPr>
            <w:tcW w:w="3511" w:type="dxa"/>
          </w:tcPr>
          <w:p>
            <w:pPr>
              <w:pStyle w:val="TableParagraph"/>
              <w:spacing w:before="60"/>
              <w:ind w:left="1788"/>
              <w:rPr>
                <w:sz w:val="20"/>
              </w:rPr>
            </w:pPr>
            <w:r>
              <w:rPr>
                <w:spacing w:val="-2"/>
                <w:sz w:val="20"/>
              </w:rPr>
              <w:t>Эндокринология</w:t>
            </w:r>
          </w:p>
        </w:tc>
        <w:tc>
          <w:tcPr>
            <w:tcW w:w="1439" w:type="dxa"/>
          </w:tcPr>
          <w:p>
            <w:pPr>
              <w:pStyle w:val="TableParagraph"/>
              <w:rPr>
                <w:sz w:val="18"/>
              </w:rPr>
            </w:pPr>
          </w:p>
        </w:tc>
        <w:tc>
          <w:tcPr>
            <w:tcW w:w="3985" w:type="dxa"/>
          </w:tcPr>
          <w:p>
            <w:pPr>
              <w:pStyle w:val="TableParagraph"/>
              <w:rPr>
                <w:sz w:val="18"/>
              </w:rPr>
            </w:pPr>
          </w:p>
        </w:tc>
        <w:tc>
          <w:tcPr>
            <w:tcW w:w="966" w:type="dxa"/>
          </w:tcPr>
          <w:p>
            <w:pPr>
              <w:pStyle w:val="TableParagraph"/>
              <w:rPr>
                <w:sz w:val="18"/>
              </w:rPr>
            </w:pPr>
          </w:p>
        </w:tc>
      </w:tr>
      <w:tr>
        <w:trPr>
          <w:trHeight w:val="1800" w:hRule="atLeast"/>
        </w:trPr>
        <w:tc>
          <w:tcPr>
            <w:tcW w:w="458" w:type="dxa"/>
          </w:tcPr>
          <w:p>
            <w:pPr>
              <w:pStyle w:val="TableParagraph"/>
              <w:spacing w:before="60"/>
              <w:ind w:left="50"/>
              <w:rPr>
                <w:sz w:val="20"/>
              </w:rPr>
            </w:pPr>
            <w:r>
              <w:rPr>
                <w:spacing w:val="-5"/>
                <w:sz w:val="20"/>
              </w:rPr>
              <w:t>85.</w:t>
            </w:r>
          </w:p>
        </w:tc>
        <w:tc>
          <w:tcPr>
            <w:tcW w:w="3017" w:type="dxa"/>
          </w:tcPr>
          <w:p>
            <w:pPr>
              <w:pStyle w:val="TableParagraph"/>
              <w:spacing w:line="249" w:lineRule="auto" w:before="60"/>
              <w:ind w:left="155" w:right="291"/>
              <w:rPr>
                <w:sz w:val="20"/>
              </w:rPr>
            </w:pPr>
            <w:r>
              <w:rPr>
                <w:sz w:val="20"/>
              </w:rPr>
              <w:t>Хирургическая,</w:t>
            </w:r>
            <w:r>
              <w:rPr>
                <w:spacing w:val="-13"/>
                <w:sz w:val="20"/>
              </w:rPr>
              <w:t> </w:t>
            </w:r>
            <w:r>
              <w:rPr>
                <w:sz w:val="20"/>
              </w:rPr>
              <w:t>сосудистая</w:t>
            </w:r>
            <w:r>
              <w:rPr>
                <w:spacing w:val="-12"/>
                <w:sz w:val="20"/>
              </w:rPr>
              <w:t> </w:t>
            </w:r>
            <w:r>
              <w:rPr>
                <w:sz w:val="20"/>
              </w:rPr>
              <w:t>и </w:t>
            </w:r>
            <w:r>
              <w:rPr>
                <w:spacing w:val="-2"/>
                <w:sz w:val="20"/>
              </w:rPr>
              <w:t>эндоваскулярная реваскуляризация </w:t>
            </w:r>
            <w:r>
              <w:rPr>
                <w:sz w:val="20"/>
              </w:rPr>
              <w:t>магистральных артерий нижних конечностей при синдроме диабетической </w:t>
            </w:r>
            <w:r>
              <w:rPr>
                <w:spacing w:val="-2"/>
                <w:sz w:val="20"/>
              </w:rPr>
              <w:t>стопы</w:t>
            </w:r>
          </w:p>
        </w:tc>
        <w:tc>
          <w:tcPr>
            <w:tcW w:w="1721" w:type="dxa"/>
          </w:tcPr>
          <w:p>
            <w:pPr>
              <w:pStyle w:val="TableParagraph"/>
              <w:spacing w:before="60"/>
              <w:ind w:right="325"/>
              <w:jc w:val="right"/>
              <w:rPr>
                <w:sz w:val="20"/>
              </w:rPr>
            </w:pPr>
            <w:r>
              <w:rPr>
                <w:sz w:val="20"/>
              </w:rPr>
              <w:t>Е10.5,</w:t>
            </w:r>
            <w:r>
              <w:rPr>
                <w:spacing w:val="-5"/>
                <w:sz w:val="20"/>
              </w:rPr>
              <w:t> </w:t>
            </w:r>
            <w:r>
              <w:rPr>
                <w:spacing w:val="-4"/>
                <w:sz w:val="20"/>
              </w:rPr>
              <w:t>Е11.5</w:t>
            </w:r>
          </w:p>
        </w:tc>
        <w:tc>
          <w:tcPr>
            <w:tcW w:w="3511" w:type="dxa"/>
          </w:tcPr>
          <w:p>
            <w:pPr>
              <w:pStyle w:val="TableParagraph"/>
              <w:spacing w:line="249" w:lineRule="auto" w:before="60"/>
              <w:ind w:left="278" w:right="102"/>
              <w:rPr>
                <w:sz w:val="20"/>
              </w:rPr>
            </w:pPr>
            <w:r>
              <w:rPr>
                <w:sz w:val="20"/>
              </w:rPr>
              <w:t>сахарный</w:t>
            </w:r>
            <w:r>
              <w:rPr>
                <w:spacing w:val="-8"/>
                <w:sz w:val="20"/>
              </w:rPr>
              <w:t> </w:t>
            </w:r>
            <w:r>
              <w:rPr>
                <w:sz w:val="20"/>
              </w:rPr>
              <w:t>диабет</w:t>
            </w:r>
            <w:r>
              <w:rPr>
                <w:spacing w:val="-8"/>
                <w:sz w:val="20"/>
              </w:rPr>
              <w:t> </w:t>
            </w:r>
            <w:r>
              <w:rPr>
                <w:sz w:val="20"/>
              </w:rPr>
              <w:t>1</w:t>
            </w:r>
            <w:r>
              <w:rPr>
                <w:spacing w:val="-5"/>
                <w:sz w:val="20"/>
              </w:rPr>
              <w:t> </w:t>
            </w:r>
            <w:r>
              <w:rPr>
                <w:sz w:val="20"/>
              </w:rPr>
              <w:t>и</w:t>
            </w:r>
            <w:r>
              <w:rPr>
                <w:spacing w:val="-8"/>
                <w:sz w:val="20"/>
              </w:rPr>
              <w:t> </w:t>
            </w:r>
            <w:r>
              <w:rPr>
                <w:sz w:val="20"/>
              </w:rPr>
              <w:t>2</w:t>
            </w:r>
            <w:r>
              <w:rPr>
                <w:spacing w:val="-6"/>
                <w:sz w:val="20"/>
              </w:rPr>
              <w:t> </w:t>
            </w:r>
            <w:r>
              <w:rPr>
                <w:sz w:val="20"/>
              </w:rPr>
              <w:t>типа</w:t>
            </w:r>
            <w:r>
              <w:rPr>
                <w:spacing w:val="-5"/>
                <w:sz w:val="20"/>
              </w:rPr>
              <w:t> </w:t>
            </w:r>
            <w:r>
              <w:rPr>
                <w:sz w:val="20"/>
              </w:rPr>
              <w:t>с критической ишемией</w:t>
            </w:r>
          </w:p>
        </w:tc>
        <w:tc>
          <w:tcPr>
            <w:tcW w:w="1439" w:type="dxa"/>
          </w:tcPr>
          <w:p>
            <w:pPr>
              <w:pStyle w:val="TableParagraph"/>
              <w:spacing w:line="249" w:lineRule="auto" w:before="60"/>
              <w:ind w:left="75" w:right="105"/>
              <w:rPr>
                <w:sz w:val="20"/>
              </w:rPr>
            </w:pPr>
            <w:r>
              <w:rPr>
                <w:spacing w:val="-2"/>
                <w:sz w:val="20"/>
              </w:rPr>
              <w:t>хирургическое лечение</w:t>
            </w:r>
          </w:p>
        </w:tc>
        <w:tc>
          <w:tcPr>
            <w:tcW w:w="3985" w:type="dxa"/>
          </w:tcPr>
          <w:p>
            <w:pPr>
              <w:pStyle w:val="TableParagraph"/>
              <w:spacing w:line="249" w:lineRule="auto" w:before="60"/>
              <w:ind w:left="110" w:right="341"/>
              <w:rPr>
                <w:sz w:val="20"/>
              </w:rPr>
            </w:pPr>
            <w:r>
              <w:rPr>
                <w:sz w:val="20"/>
              </w:rPr>
              <w:t>хирургическое лечение синдрома диабетической стопы, включая пластическую реконструкцию и реваскуляризацию</w:t>
            </w:r>
            <w:r>
              <w:rPr>
                <w:spacing w:val="-13"/>
                <w:sz w:val="20"/>
              </w:rPr>
              <w:t> </w:t>
            </w:r>
            <w:r>
              <w:rPr>
                <w:sz w:val="20"/>
              </w:rPr>
              <w:t>артерий</w:t>
            </w:r>
            <w:r>
              <w:rPr>
                <w:spacing w:val="-12"/>
                <w:sz w:val="20"/>
              </w:rPr>
              <w:t> </w:t>
            </w:r>
            <w:r>
              <w:rPr>
                <w:sz w:val="20"/>
              </w:rPr>
              <w:t>нижних </w:t>
            </w:r>
            <w:r>
              <w:rPr>
                <w:spacing w:val="-2"/>
                <w:sz w:val="20"/>
              </w:rPr>
              <w:t>конечностей</w:t>
            </w:r>
          </w:p>
        </w:tc>
        <w:tc>
          <w:tcPr>
            <w:tcW w:w="966" w:type="dxa"/>
          </w:tcPr>
          <w:p>
            <w:pPr>
              <w:pStyle w:val="TableParagraph"/>
              <w:spacing w:before="60"/>
              <w:ind w:right="44"/>
              <w:jc w:val="right"/>
              <w:rPr>
                <w:sz w:val="20"/>
              </w:rPr>
            </w:pPr>
            <w:r>
              <w:rPr>
                <w:spacing w:val="-2"/>
                <w:sz w:val="20"/>
              </w:rPr>
              <w:t>378675</w:t>
            </w:r>
          </w:p>
        </w:tc>
      </w:tr>
      <w:tr>
        <w:trPr>
          <w:trHeight w:val="1800" w:hRule="atLeast"/>
        </w:trPr>
        <w:tc>
          <w:tcPr>
            <w:tcW w:w="458" w:type="dxa"/>
          </w:tcPr>
          <w:p>
            <w:pPr>
              <w:pStyle w:val="TableParagraph"/>
              <w:spacing w:before="60"/>
              <w:ind w:left="50"/>
              <w:rPr>
                <w:sz w:val="20"/>
              </w:rPr>
            </w:pPr>
            <w:r>
              <w:rPr>
                <w:spacing w:val="-5"/>
                <w:sz w:val="20"/>
              </w:rPr>
              <w:t>86.</w:t>
            </w:r>
          </w:p>
        </w:tc>
        <w:tc>
          <w:tcPr>
            <w:tcW w:w="3017" w:type="dxa"/>
            <w:vMerge w:val="restart"/>
          </w:tcPr>
          <w:p>
            <w:pPr>
              <w:pStyle w:val="TableParagraph"/>
              <w:spacing w:line="249" w:lineRule="auto" w:before="60"/>
              <w:ind w:left="155" w:right="291"/>
              <w:rPr>
                <w:sz w:val="20"/>
              </w:rPr>
            </w:pPr>
            <w:r>
              <w:rPr>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Pr>
                <w:spacing w:val="-2"/>
                <w:sz w:val="20"/>
              </w:rPr>
              <w:t>реконструктивные органосохраняющие </w:t>
            </w:r>
            <w:r>
              <w:rPr>
                <w:sz w:val="20"/>
              </w:rPr>
              <w:t>пластические операции стопы, заместительную инсулиновую терапию системами постоянной подкожной инфузии, с мониторированием</w:t>
            </w:r>
            <w:r>
              <w:rPr>
                <w:spacing w:val="-13"/>
                <w:sz w:val="20"/>
              </w:rPr>
              <w:t> </w:t>
            </w:r>
            <w:r>
              <w:rPr>
                <w:sz w:val="20"/>
              </w:rPr>
              <w:t>гликемии,</w:t>
            </w:r>
          </w:p>
          <w:p>
            <w:pPr>
              <w:pStyle w:val="TableParagraph"/>
              <w:spacing w:line="210" w:lineRule="exact" w:before="13"/>
              <w:ind w:left="155"/>
              <w:rPr>
                <w:sz w:val="20"/>
              </w:rPr>
            </w:pPr>
            <w:r>
              <w:rPr>
                <w:sz w:val="20"/>
              </w:rPr>
              <w:t>в</w:t>
            </w:r>
            <w:r>
              <w:rPr>
                <w:spacing w:val="-5"/>
                <w:sz w:val="20"/>
              </w:rPr>
              <w:t> </w:t>
            </w:r>
            <w:r>
              <w:rPr>
                <w:sz w:val="20"/>
              </w:rPr>
              <w:t>том</w:t>
            </w:r>
            <w:r>
              <w:rPr>
                <w:spacing w:val="-2"/>
                <w:sz w:val="20"/>
              </w:rPr>
              <w:t> </w:t>
            </w:r>
            <w:r>
              <w:rPr>
                <w:sz w:val="20"/>
              </w:rPr>
              <w:t>числе у</w:t>
            </w:r>
            <w:r>
              <w:rPr>
                <w:spacing w:val="-4"/>
                <w:sz w:val="20"/>
              </w:rPr>
              <w:t> </w:t>
            </w:r>
            <w:r>
              <w:rPr>
                <w:spacing w:val="-2"/>
                <w:sz w:val="20"/>
              </w:rPr>
              <w:t>пациентов</w:t>
            </w:r>
          </w:p>
        </w:tc>
        <w:tc>
          <w:tcPr>
            <w:tcW w:w="1721" w:type="dxa"/>
          </w:tcPr>
          <w:p>
            <w:pPr>
              <w:pStyle w:val="TableParagraph"/>
              <w:spacing w:before="60"/>
              <w:ind w:left="326"/>
              <w:rPr>
                <w:sz w:val="20"/>
              </w:rPr>
            </w:pPr>
            <w:r>
              <w:rPr>
                <w:sz w:val="20"/>
              </w:rPr>
              <w:t>E10.6,</w:t>
            </w:r>
            <w:r>
              <w:rPr>
                <w:spacing w:val="-5"/>
                <w:sz w:val="20"/>
              </w:rPr>
              <w:t> </w:t>
            </w:r>
            <w:r>
              <w:rPr>
                <w:spacing w:val="-2"/>
                <w:sz w:val="20"/>
              </w:rPr>
              <w:t>E10.7,</w:t>
            </w:r>
          </w:p>
          <w:p>
            <w:pPr>
              <w:pStyle w:val="TableParagraph"/>
              <w:spacing w:before="10"/>
              <w:ind w:left="326"/>
              <w:rPr>
                <w:sz w:val="20"/>
              </w:rPr>
            </w:pPr>
            <w:r>
              <w:rPr>
                <w:sz w:val="20"/>
              </w:rPr>
              <w:t>Е11.6,</w:t>
            </w:r>
            <w:r>
              <w:rPr>
                <w:spacing w:val="-5"/>
                <w:sz w:val="20"/>
              </w:rPr>
              <w:t> </w:t>
            </w:r>
            <w:r>
              <w:rPr>
                <w:spacing w:val="-2"/>
                <w:sz w:val="20"/>
              </w:rPr>
              <w:t>Е11.7,</w:t>
            </w:r>
          </w:p>
          <w:p>
            <w:pPr>
              <w:pStyle w:val="TableParagraph"/>
              <w:spacing w:line="249" w:lineRule="auto" w:before="10"/>
              <w:ind w:left="350" w:hanging="51"/>
              <w:rPr>
                <w:sz w:val="20"/>
              </w:rPr>
            </w:pPr>
            <w:r>
              <w:rPr>
                <w:sz w:val="20"/>
              </w:rPr>
              <w:t>Е13.6,</w:t>
            </w:r>
            <w:r>
              <w:rPr>
                <w:spacing w:val="-13"/>
                <w:sz w:val="20"/>
              </w:rPr>
              <w:t> </w:t>
            </w:r>
            <w:r>
              <w:rPr>
                <w:sz w:val="20"/>
              </w:rPr>
              <w:t>Е</w:t>
            </w:r>
            <w:r>
              <w:rPr>
                <w:spacing w:val="-12"/>
                <w:sz w:val="20"/>
              </w:rPr>
              <w:t> </w:t>
            </w:r>
            <w:r>
              <w:rPr>
                <w:sz w:val="20"/>
              </w:rPr>
              <w:t>13.7, Е14.6,</w:t>
            </w:r>
            <w:r>
              <w:rPr>
                <w:spacing w:val="-5"/>
                <w:sz w:val="20"/>
              </w:rPr>
              <w:t> </w:t>
            </w:r>
            <w:r>
              <w:rPr>
                <w:spacing w:val="-2"/>
                <w:sz w:val="20"/>
              </w:rPr>
              <w:t>Е14.7</w:t>
            </w:r>
          </w:p>
        </w:tc>
        <w:tc>
          <w:tcPr>
            <w:tcW w:w="3511" w:type="dxa"/>
          </w:tcPr>
          <w:p>
            <w:pPr>
              <w:pStyle w:val="TableParagraph"/>
              <w:spacing w:line="249" w:lineRule="auto" w:before="60"/>
              <w:ind w:left="278"/>
              <w:rPr>
                <w:sz w:val="20"/>
              </w:rPr>
            </w:pPr>
            <w:r>
              <w:rPr>
                <w:sz w:val="20"/>
              </w:rPr>
              <w:t>сахарный диабет 1 и 2 типа с сочетанным поражением сосудов почек,</w:t>
            </w:r>
            <w:r>
              <w:rPr>
                <w:spacing w:val="-10"/>
                <w:sz w:val="20"/>
              </w:rPr>
              <w:t> </w:t>
            </w:r>
            <w:r>
              <w:rPr>
                <w:sz w:val="20"/>
              </w:rPr>
              <w:t>сердца,</w:t>
            </w:r>
            <w:r>
              <w:rPr>
                <w:spacing w:val="-9"/>
                <w:sz w:val="20"/>
              </w:rPr>
              <w:t> </w:t>
            </w:r>
            <w:r>
              <w:rPr>
                <w:sz w:val="20"/>
              </w:rPr>
              <w:t>глаз,</w:t>
            </w:r>
            <w:r>
              <w:rPr>
                <w:spacing w:val="-10"/>
                <w:sz w:val="20"/>
              </w:rPr>
              <w:t> </w:t>
            </w:r>
            <w:r>
              <w:rPr>
                <w:sz w:val="20"/>
              </w:rPr>
              <w:t>головного</w:t>
            </w:r>
            <w:r>
              <w:rPr>
                <w:spacing w:val="-9"/>
                <w:sz w:val="20"/>
              </w:rPr>
              <w:t> </w:t>
            </w:r>
            <w:r>
              <w:rPr>
                <w:sz w:val="20"/>
              </w:rPr>
              <w:t>мозга, включая пациентов с трансплантированными органами</w:t>
            </w:r>
          </w:p>
        </w:tc>
        <w:tc>
          <w:tcPr>
            <w:tcW w:w="1439" w:type="dxa"/>
          </w:tcPr>
          <w:p>
            <w:pPr>
              <w:pStyle w:val="TableParagraph"/>
              <w:spacing w:line="249" w:lineRule="auto" w:before="60"/>
              <w:ind w:left="75" w:right="105"/>
              <w:rPr>
                <w:sz w:val="20"/>
              </w:rPr>
            </w:pPr>
            <w:r>
              <w:rPr>
                <w:spacing w:val="-2"/>
                <w:sz w:val="20"/>
              </w:rPr>
              <w:t>хирургическое лечение, терапевтичес- </w:t>
            </w:r>
            <w:r>
              <w:rPr>
                <w:sz w:val="20"/>
              </w:rPr>
              <w:t>кое лечение</w:t>
            </w:r>
          </w:p>
        </w:tc>
        <w:tc>
          <w:tcPr>
            <w:tcW w:w="3985" w:type="dxa"/>
          </w:tcPr>
          <w:p>
            <w:pPr>
              <w:pStyle w:val="TableParagraph"/>
              <w:spacing w:line="249" w:lineRule="auto" w:before="60"/>
              <w:ind w:left="110" w:right="85"/>
              <w:rPr>
                <w:sz w:val="20"/>
              </w:rPr>
            </w:pPr>
            <w:r>
              <w:rPr>
                <w:sz w:val="20"/>
              </w:rPr>
              <w:t>комплексное лечение, включая имплантацию средств суточного мониторирования гликемии с компьютерным</w:t>
            </w:r>
            <w:r>
              <w:rPr>
                <w:spacing w:val="-13"/>
                <w:sz w:val="20"/>
              </w:rPr>
              <w:t> </w:t>
            </w:r>
            <w:r>
              <w:rPr>
                <w:sz w:val="20"/>
              </w:rPr>
              <w:t>анализом</w:t>
            </w:r>
            <w:r>
              <w:rPr>
                <w:spacing w:val="-12"/>
                <w:sz w:val="20"/>
              </w:rPr>
              <w:t> </w:t>
            </w:r>
            <w:r>
              <w:rPr>
                <w:sz w:val="20"/>
              </w:rPr>
              <w:t>вариабельности суточной гликемии с целью предупреждения и коррекции жизнеугрожающих состояний</w:t>
            </w:r>
          </w:p>
        </w:tc>
        <w:tc>
          <w:tcPr>
            <w:tcW w:w="966" w:type="dxa"/>
          </w:tcPr>
          <w:p>
            <w:pPr>
              <w:pStyle w:val="TableParagraph"/>
              <w:spacing w:before="60"/>
              <w:ind w:right="44"/>
              <w:jc w:val="right"/>
              <w:rPr>
                <w:sz w:val="20"/>
              </w:rPr>
            </w:pPr>
            <w:r>
              <w:rPr>
                <w:spacing w:val="-2"/>
                <w:sz w:val="20"/>
              </w:rPr>
              <w:t>103274</w:t>
            </w:r>
          </w:p>
        </w:tc>
      </w:tr>
      <w:tr>
        <w:trPr>
          <w:trHeight w:val="840" w:hRule="atLeast"/>
        </w:trPr>
        <w:tc>
          <w:tcPr>
            <w:tcW w:w="458" w:type="dxa"/>
          </w:tcPr>
          <w:p>
            <w:pPr>
              <w:pStyle w:val="TableParagraph"/>
              <w:rPr>
                <w:sz w:val="18"/>
              </w:rPr>
            </w:pPr>
          </w:p>
        </w:tc>
        <w:tc>
          <w:tcPr>
            <w:tcW w:w="3017" w:type="dxa"/>
            <w:vMerge/>
            <w:tcBorders>
              <w:top w:val="nil"/>
            </w:tcBorders>
          </w:tcPr>
          <w:p>
            <w:pPr>
              <w:rPr>
                <w:sz w:val="2"/>
                <w:szCs w:val="2"/>
              </w:rPr>
            </w:pPr>
          </w:p>
        </w:tc>
        <w:tc>
          <w:tcPr>
            <w:tcW w:w="1721" w:type="dxa"/>
          </w:tcPr>
          <w:p>
            <w:pPr>
              <w:pStyle w:val="TableParagraph"/>
              <w:rPr>
                <w:sz w:val="18"/>
              </w:rPr>
            </w:pPr>
          </w:p>
        </w:tc>
        <w:tc>
          <w:tcPr>
            <w:tcW w:w="3511" w:type="dxa"/>
          </w:tcPr>
          <w:p>
            <w:pPr>
              <w:pStyle w:val="TableParagraph"/>
              <w:rPr>
                <w:sz w:val="18"/>
              </w:rPr>
            </w:pPr>
          </w:p>
        </w:tc>
        <w:tc>
          <w:tcPr>
            <w:tcW w:w="1439" w:type="dxa"/>
          </w:tcPr>
          <w:p>
            <w:pPr>
              <w:pStyle w:val="TableParagraph"/>
              <w:rPr>
                <w:sz w:val="18"/>
              </w:rPr>
            </w:pPr>
          </w:p>
        </w:tc>
        <w:tc>
          <w:tcPr>
            <w:tcW w:w="3985" w:type="dxa"/>
          </w:tcPr>
          <w:p>
            <w:pPr>
              <w:pStyle w:val="TableParagraph"/>
              <w:spacing w:line="249" w:lineRule="auto" w:before="60"/>
              <w:ind w:left="110" w:right="341"/>
              <w:rPr>
                <w:sz w:val="20"/>
              </w:rPr>
            </w:pPr>
            <w:r>
              <w:rPr>
                <w:sz w:val="20"/>
              </w:rPr>
              <w:t>комплексное лечение, включая хирургическое</w:t>
            </w:r>
            <w:r>
              <w:rPr>
                <w:spacing w:val="-9"/>
                <w:sz w:val="20"/>
              </w:rPr>
              <w:t> </w:t>
            </w:r>
            <w:r>
              <w:rPr>
                <w:sz w:val="20"/>
              </w:rPr>
              <w:t>и</w:t>
            </w:r>
            <w:r>
              <w:rPr>
                <w:spacing w:val="-12"/>
                <w:sz w:val="20"/>
              </w:rPr>
              <w:t> </w:t>
            </w:r>
            <w:r>
              <w:rPr>
                <w:sz w:val="20"/>
              </w:rPr>
              <w:t>(или)</w:t>
            </w:r>
            <w:r>
              <w:rPr>
                <w:spacing w:val="-11"/>
                <w:sz w:val="20"/>
              </w:rPr>
              <w:t> </w:t>
            </w:r>
            <w:r>
              <w:rPr>
                <w:sz w:val="20"/>
              </w:rPr>
              <w:t>лазерное</w:t>
            </w:r>
            <w:r>
              <w:rPr>
                <w:spacing w:val="-11"/>
                <w:sz w:val="20"/>
              </w:rPr>
              <w:t> </w:t>
            </w:r>
            <w:r>
              <w:rPr>
                <w:sz w:val="20"/>
              </w:rPr>
              <w:t>лечение, диабетической ретинопатии</w:t>
            </w:r>
          </w:p>
        </w:tc>
        <w:tc>
          <w:tcPr>
            <w:tcW w:w="966" w:type="dxa"/>
          </w:tcPr>
          <w:p>
            <w:pPr>
              <w:pStyle w:val="TableParagraph"/>
              <w:rPr>
                <w:sz w:val="18"/>
              </w:rPr>
            </w:pPr>
          </w:p>
        </w:tc>
      </w:tr>
      <w:tr>
        <w:trPr>
          <w:trHeight w:val="1250" w:hRule="atLeast"/>
        </w:trPr>
        <w:tc>
          <w:tcPr>
            <w:tcW w:w="458" w:type="dxa"/>
          </w:tcPr>
          <w:p>
            <w:pPr>
              <w:pStyle w:val="TableParagraph"/>
              <w:rPr>
                <w:sz w:val="18"/>
              </w:rPr>
            </w:pPr>
          </w:p>
        </w:tc>
        <w:tc>
          <w:tcPr>
            <w:tcW w:w="3017" w:type="dxa"/>
            <w:vMerge/>
            <w:tcBorders>
              <w:top w:val="nil"/>
            </w:tcBorders>
          </w:tcPr>
          <w:p>
            <w:pPr>
              <w:rPr>
                <w:sz w:val="2"/>
                <w:szCs w:val="2"/>
              </w:rPr>
            </w:pPr>
          </w:p>
        </w:tc>
        <w:tc>
          <w:tcPr>
            <w:tcW w:w="1721" w:type="dxa"/>
          </w:tcPr>
          <w:p>
            <w:pPr>
              <w:pStyle w:val="TableParagraph"/>
              <w:spacing w:line="249" w:lineRule="auto" w:before="60"/>
              <w:ind w:left="326" w:right="297" w:firstLine="24"/>
              <w:rPr>
                <w:sz w:val="20"/>
              </w:rPr>
            </w:pPr>
            <w:r>
              <w:rPr>
                <w:sz w:val="20"/>
              </w:rPr>
              <w:t>E10.4,</w:t>
            </w:r>
            <w:r>
              <w:rPr>
                <w:spacing w:val="-12"/>
                <w:sz w:val="20"/>
              </w:rPr>
              <w:t> </w:t>
            </w:r>
            <w:r>
              <w:rPr>
                <w:sz w:val="20"/>
              </w:rPr>
              <w:t>Е10.5 E11.4,</w:t>
            </w:r>
            <w:r>
              <w:rPr>
                <w:spacing w:val="-5"/>
                <w:sz w:val="20"/>
              </w:rPr>
              <w:t> </w:t>
            </w:r>
            <w:r>
              <w:rPr>
                <w:spacing w:val="-2"/>
                <w:sz w:val="20"/>
              </w:rPr>
              <w:t>Е11.5,</w:t>
            </w:r>
          </w:p>
          <w:p>
            <w:pPr>
              <w:pStyle w:val="TableParagraph"/>
              <w:spacing w:line="249" w:lineRule="auto" w:before="2"/>
              <w:ind w:left="350" w:right="293" w:hanging="24"/>
              <w:rPr>
                <w:sz w:val="20"/>
              </w:rPr>
            </w:pPr>
            <w:r>
              <w:rPr>
                <w:sz w:val="20"/>
              </w:rPr>
              <w:t>Е13.4,</w:t>
            </w:r>
            <w:r>
              <w:rPr>
                <w:spacing w:val="-13"/>
                <w:sz w:val="20"/>
              </w:rPr>
              <w:t> </w:t>
            </w:r>
            <w:r>
              <w:rPr>
                <w:sz w:val="20"/>
              </w:rPr>
              <w:t>Е13.5, Е14.4,</w:t>
            </w:r>
            <w:r>
              <w:rPr>
                <w:spacing w:val="-5"/>
                <w:sz w:val="20"/>
              </w:rPr>
              <w:t> </w:t>
            </w:r>
            <w:r>
              <w:rPr>
                <w:spacing w:val="-4"/>
                <w:sz w:val="20"/>
              </w:rPr>
              <w:t>Е14.5</w:t>
            </w:r>
          </w:p>
        </w:tc>
        <w:tc>
          <w:tcPr>
            <w:tcW w:w="3511" w:type="dxa"/>
          </w:tcPr>
          <w:p>
            <w:pPr>
              <w:pStyle w:val="TableParagraph"/>
              <w:spacing w:line="240" w:lineRule="atLeast" w:before="30"/>
              <w:ind w:left="278" w:right="75"/>
              <w:rPr>
                <w:sz w:val="20"/>
              </w:rPr>
            </w:pPr>
            <w:r>
              <w:rPr>
                <w:sz w:val="20"/>
              </w:rPr>
              <w:t>сахарный диабет 1 и 2 типа с неврологическими симптомами, нарушениями периферического кровообращения</w:t>
            </w:r>
            <w:r>
              <w:rPr>
                <w:spacing w:val="-13"/>
                <w:sz w:val="20"/>
              </w:rPr>
              <w:t> </w:t>
            </w:r>
            <w:r>
              <w:rPr>
                <w:sz w:val="20"/>
              </w:rPr>
              <w:t>и</w:t>
            </w:r>
            <w:r>
              <w:rPr>
                <w:spacing w:val="-12"/>
                <w:sz w:val="20"/>
              </w:rPr>
              <w:t> </w:t>
            </w:r>
            <w:r>
              <w:rPr>
                <w:sz w:val="20"/>
              </w:rPr>
              <w:t>множественными осложнениями. Нейропатическая</w:t>
            </w:r>
          </w:p>
        </w:tc>
        <w:tc>
          <w:tcPr>
            <w:tcW w:w="1439" w:type="dxa"/>
          </w:tcPr>
          <w:p>
            <w:pPr>
              <w:pStyle w:val="TableParagraph"/>
              <w:spacing w:line="249" w:lineRule="auto" w:before="60"/>
              <w:ind w:left="75" w:right="105"/>
              <w:rPr>
                <w:sz w:val="20"/>
              </w:rPr>
            </w:pPr>
            <w:r>
              <w:rPr>
                <w:spacing w:val="-2"/>
                <w:sz w:val="20"/>
              </w:rPr>
              <w:t>хирургическое лечение</w:t>
            </w:r>
          </w:p>
        </w:tc>
        <w:tc>
          <w:tcPr>
            <w:tcW w:w="3985" w:type="dxa"/>
          </w:tcPr>
          <w:p>
            <w:pPr>
              <w:pStyle w:val="TableParagraph"/>
              <w:spacing w:line="249" w:lineRule="auto" w:before="60"/>
              <w:ind w:left="110" w:right="341"/>
              <w:rPr>
                <w:sz w:val="20"/>
              </w:rPr>
            </w:pPr>
            <w:r>
              <w:rPr>
                <w:sz w:val="20"/>
              </w:rPr>
              <w:t>хирургическое</w:t>
            </w:r>
            <w:r>
              <w:rPr>
                <w:spacing w:val="-13"/>
                <w:sz w:val="20"/>
              </w:rPr>
              <w:t> </w:t>
            </w:r>
            <w:r>
              <w:rPr>
                <w:sz w:val="20"/>
              </w:rPr>
              <w:t>лечение</w:t>
            </w:r>
            <w:r>
              <w:rPr>
                <w:spacing w:val="-12"/>
                <w:sz w:val="20"/>
              </w:rPr>
              <w:t> </w:t>
            </w:r>
            <w:r>
              <w:rPr>
                <w:sz w:val="20"/>
              </w:rPr>
              <w:t>синдрома диабетической стопы, включая пластическую реконструкцию</w:t>
            </w:r>
          </w:p>
        </w:tc>
        <w:tc>
          <w:tcPr>
            <w:tcW w:w="96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0"/>
        <w:gridCol w:w="1892"/>
        <w:gridCol w:w="3517"/>
        <w:gridCol w:w="1447"/>
        <w:gridCol w:w="3683"/>
      </w:tblGrid>
      <w:tr>
        <w:trPr>
          <w:trHeight w:val="770" w:hRule="atLeast"/>
        </w:trPr>
        <w:tc>
          <w:tcPr>
            <w:tcW w:w="2730" w:type="dxa"/>
          </w:tcPr>
          <w:p>
            <w:pPr>
              <w:pStyle w:val="TableParagraph"/>
              <w:spacing w:line="249" w:lineRule="auto"/>
              <w:ind w:left="50" w:right="499"/>
              <w:rPr>
                <w:sz w:val="20"/>
              </w:rPr>
            </w:pPr>
            <w:r>
              <w:rPr>
                <w:sz w:val="20"/>
              </w:rPr>
              <w:t>с</w:t>
            </w:r>
            <w:r>
              <w:rPr>
                <w:spacing w:val="-13"/>
                <w:sz w:val="20"/>
              </w:rPr>
              <w:t> </w:t>
            </w:r>
            <w:r>
              <w:rPr>
                <w:sz w:val="20"/>
              </w:rPr>
              <w:t>трансплантированными </w:t>
            </w:r>
            <w:r>
              <w:rPr>
                <w:spacing w:val="-2"/>
                <w:sz w:val="20"/>
              </w:rPr>
              <w:t>органами</w:t>
            </w:r>
          </w:p>
        </w:tc>
        <w:tc>
          <w:tcPr>
            <w:tcW w:w="1892" w:type="dxa"/>
          </w:tcPr>
          <w:p>
            <w:pPr>
              <w:pStyle w:val="TableParagraph"/>
              <w:rPr>
                <w:sz w:val="18"/>
              </w:rPr>
            </w:pPr>
          </w:p>
        </w:tc>
        <w:tc>
          <w:tcPr>
            <w:tcW w:w="3517" w:type="dxa"/>
          </w:tcPr>
          <w:p>
            <w:pPr>
              <w:pStyle w:val="TableParagraph"/>
              <w:spacing w:line="249" w:lineRule="auto"/>
              <w:ind w:left="288"/>
              <w:rPr>
                <w:sz w:val="20"/>
              </w:rPr>
            </w:pPr>
            <w:r>
              <w:rPr>
                <w:sz w:val="20"/>
              </w:rPr>
              <w:t>форма синдрома диабетической стопы.</w:t>
            </w:r>
            <w:r>
              <w:rPr>
                <w:spacing w:val="-13"/>
                <w:sz w:val="20"/>
              </w:rPr>
              <w:t> </w:t>
            </w:r>
            <w:r>
              <w:rPr>
                <w:sz w:val="20"/>
              </w:rPr>
              <w:t>Нейроишемическая</w:t>
            </w:r>
            <w:r>
              <w:rPr>
                <w:spacing w:val="-12"/>
                <w:sz w:val="20"/>
              </w:rPr>
              <w:t> </w:t>
            </w:r>
            <w:r>
              <w:rPr>
                <w:sz w:val="20"/>
              </w:rPr>
              <w:t>форма синдрома диабетической стопы</w:t>
            </w:r>
          </w:p>
        </w:tc>
        <w:tc>
          <w:tcPr>
            <w:tcW w:w="1447" w:type="dxa"/>
          </w:tcPr>
          <w:p>
            <w:pPr>
              <w:pStyle w:val="TableParagraph"/>
              <w:rPr>
                <w:sz w:val="18"/>
              </w:rPr>
            </w:pPr>
          </w:p>
        </w:tc>
        <w:tc>
          <w:tcPr>
            <w:tcW w:w="3683" w:type="dxa"/>
          </w:tcPr>
          <w:p>
            <w:pPr>
              <w:pStyle w:val="TableParagraph"/>
              <w:rPr>
                <w:sz w:val="18"/>
              </w:rPr>
            </w:pPr>
          </w:p>
        </w:tc>
      </w:tr>
      <w:tr>
        <w:trPr>
          <w:trHeight w:val="4440" w:hRule="atLeast"/>
        </w:trPr>
        <w:tc>
          <w:tcPr>
            <w:tcW w:w="2730" w:type="dxa"/>
          </w:tcPr>
          <w:p>
            <w:pPr>
              <w:pStyle w:val="TableParagraph"/>
              <w:spacing w:line="249" w:lineRule="auto" w:before="60"/>
              <w:ind w:left="50" w:right="804"/>
              <w:rPr>
                <w:sz w:val="20"/>
              </w:rPr>
            </w:pPr>
            <w:r>
              <w:rPr>
                <w:sz w:val="20"/>
              </w:rPr>
              <w:t>Комплексное</w:t>
            </w:r>
            <w:r>
              <w:rPr>
                <w:spacing w:val="-13"/>
                <w:sz w:val="20"/>
              </w:rPr>
              <w:t> </w:t>
            </w:r>
            <w:r>
              <w:rPr>
                <w:sz w:val="20"/>
              </w:rPr>
              <w:t>лечение тяжелых форм </w:t>
            </w:r>
            <w:r>
              <w:rPr>
                <w:spacing w:val="-2"/>
                <w:sz w:val="20"/>
              </w:rPr>
              <w:t>тиреотоксикоза, гиперпаратиреоза</w:t>
            </w:r>
          </w:p>
        </w:tc>
        <w:tc>
          <w:tcPr>
            <w:tcW w:w="1892" w:type="dxa"/>
          </w:tcPr>
          <w:p>
            <w:pPr>
              <w:pStyle w:val="TableParagraph"/>
              <w:spacing w:line="249" w:lineRule="auto" w:before="60"/>
              <w:ind w:left="521" w:right="284" w:hanging="15"/>
              <w:rPr>
                <w:sz w:val="20"/>
              </w:rPr>
            </w:pPr>
            <w:r>
              <w:rPr>
                <w:sz w:val="20"/>
              </w:rPr>
              <w:t>E21.0,</w:t>
            </w:r>
            <w:r>
              <w:rPr>
                <w:spacing w:val="-13"/>
                <w:sz w:val="20"/>
              </w:rPr>
              <w:t> </w:t>
            </w:r>
            <w:r>
              <w:rPr>
                <w:sz w:val="20"/>
              </w:rPr>
              <w:t>E21.1, E35.8,</w:t>
            </w:r>
            <w:r>
              <w:rPr>
                <w:spacing w:val="-5"/>
                <w:sz w:val="20"/>
              </w:rPr>
              <w:t> </w:t>
            </w:r>
            <w:r>
              <w:rPr>
                <w:spacing w:val="-2"/>
                <w:sz w:val="20"/>
              </w:rPr>
              <w:t>D35.8</w:t>
            </w:r>
          </w:p>
        </w:tc>
        <w:tc>
          <w:tcPr>
            <w:tcW w:w="3517" w:type="dxa"/>
          </w:tcPr>
          <w:p>
            <w:pPr>
              <w:pStyle w:val="TableParagraph"/>
              <w:spacing w:line="249" w:lineRule="auto" w:before="60"/>
              <w:ind w:left="288" w:right="33"/>
              <w:rPr>
                <w:sz w:val="20"/>
              </w:rPr>
            </w:pPr>
            <w:r>
              <w:rPr>
                <w:sz w:val="20"/>
              </w:rPr>
              <w:t>первичный,</w:t>
            </w:r>
            <w:r>
              <w:rPr>
                <w:spacing w:val="-1"/>
                <w:sz w:val="20"/>
              </w:rPr>
              <w:t> </w:t>
            </w:r>
            <w:r>
              <w:rPr>
                <w:sz w:val="20"/>
              </w:rPr>
              <w:t>вторичный</w:t>
            </w:r>
            <w:r>
              <w:rPr>
                <w:spacing w:val="-2"/>
                <w:sz w:val="20"/>
              </w:rPr>
              <w:t> </w:t>
            </w:r>
            <w:r>
              <w:rPr>
                <w:sz w:val="20"/>
              </w:rPr>
              <w:t>и</w:t>
            </w:r>
            <w:r>
              <w:rPr>
                <w:spacing w:val="-2"/>
                <w:sz w:val="20"/>
              </w:rPr>
              <w:t> </w:t>
            </w:r>
            <w:r>
              <w:rPr>
                <w:sz w:val="20"/>
              </w:rPr>
              <w:t>третичный гиперпаратиреоз с тяжелыми полиорганными поражениями, резистентный к консервативному лечению. Первичный гиперпаратиреоз</w:t>
            </w:r>
            <w:r>
              <w:rPr>
                <w:spacing w:val="-13"/>
                <w:sz w:val="20"/>
              </w:rPr>
              <w:t> </w:t>
            </w:r>
            <w:r>
              <w:rPr>
                <w:sz w:val="20"/>
              </w:rPr>
              <w:t>в</w:t>
            </w:r>
            <w:r>
              <w:rPr>
                <w:spacing w:val="-12"/>
                <w:sz w:val="20"/>
              </w:rPr>
              <w:t> </w:t>
            </w:r>
            <w:r>
              <w:rPr>
                <w:sz w:val="20"/>
              </w:rPr>
              <w:t>структуре</w:t>
            </w:r>
            <w:r>
              <w:rPr>
                <w:spacing w:val="-13"/>
                <w:sz w:val="20"/>
              </w:rPr>
              <w:t> </w:t>
            </w:r>
            <w:r>
              <w:rPr>
                <w:sz w:val="20"/>
              </w:rPr>
              <w:t>МЭН-1 и МЭН-2 синдромов.</w:t>
            </w:r>
          </w:p>
          <w:p>
            <w:pPr>
              <w:pStyle w:val="TableParagraph"/>
              <w:spacing w:line="249" w:lineRule="auto" w:before="6"/>
              <w:ind w:left="288" w:right="1600"/>
              <w:jc w:val="both"/>
              <w:rPr>
                <w:sz w:val="20"/>
              </w:rPr>
            </w:pPr>
            <w:r>
              <w:rPr>
                <w:sz w:val="20"/>
              </w:rPr>
              <w:t>Гиперпаратиреоз</w:t>
            </w:r>
            <w:r>
              <w:rPr>
                <w:spacing w:val="-13"/>
                <w:sz w:val="20"/>
              </w:rPr>
              <w:t> </w:t>
            </w:r>
            <w:r>
              <w:rPr>
                <w:sz w:val="20"/>
              </w:rPr>
              <w:t>с </w:t>
            </w:r>
            <w:r>
              <w:rPr>
                <w:spacing w:val="-2"/>
                <w:sz w:val="20"/>
              </w:rPr>
              <w:t>жизнеугрожающей гиперкальциемией</w:t>
            </w:r>
          </w:p>
        </w:tc>
        <w:tc>
          <w:tcPr>
            <w:tcW w:w="1447" w:type="dxa"/>
          </w:tcPr>
          <w:p>
            <w:pPr>
              <w:pStyle w:val="TableParagraph"/>
              <w:spacing w:line="249" w:lineRule="auto" w:before="60"/>
              <w:ind w:left="79"/>
              <w:rPr>
                <w:sz w:val="20"/>
              </w:rPr>
            </w:pPr>
            <w:r>
              <w:rPr>
                <w:spacing w:val="-2"/>
                <w:sz w:val="20"/>
              </w:rPr>
              <w:t>хирургическое лечение</w:t>
            </w:r>
          </w:p>
        </w:tc>
        <w:tc>
          <w:tcPr>
            <w:tcW w:w="3683" w:type="dxa"/>
          </w:tcPr>
          <w:p>
            <w:pPr>
              <w:pStyle w:val="TableParagraph"/>
              <w:spacing w:line="249" w:lineRule="auto" w:before="60"/>
              <w:ind w:left="106" w:right="67"/>
              <w:rPr>
                <w:sz w:val="20"/>
              </w:rPr>
            </w:pPr>
            <w:r>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 цией</w:t>
            </w:r>
            <w:r>
              <w:rPr>
                <w:spacing w:val="-11"/>
                <w:sz w:val="20"/>
              </w:rPr>
              <w:t> </w:t>
            </w:r>
            <w:r>
              <w:rPr>
                <w:sz w:val="20"/>
              </w:rPr>
              <w:t>паращитовидной</w:t>
            </w:r>
            <w:r>
              <w:rPr>
                <w:spacing w:val="-11"/>
                <w:sz w:val="20"/>
              </w:rPr>
              <w:t> </w:t>
            </w:r>
            <w:r>
              <w:rPr>
                <w:sz w:val="20"/>
              </w:rPr>
              <w:t>железы</w:t>
            </w:r>
            <w:r>
              <w:rPr>
                <w:spacing w:val="-10"/>
                <w:sz w:val="20"/>
              </w:rPr>
              <w:t> </w:t>
            </w:r>
            <w:r>
              <w:rPr>
                <w:sz w:val="20"/>
              </w:rPr>
              <w:t>в</w:t>
            </w:r>
            <w:r>
              <w:rPr>
                <w:spacing w:val="-11"/>
                <w:sz w:val="20"/>
              </w:rPr>
              <w:t> </w:t>
            </w:r>
            <w:r>
              <w:rPr>
                <w:sz w:val="20"/>
              </w:rPr>
              <w:t>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trPr>
          <w:trHeight w:val="2690" w:hRule="atLeast"/>
        </w:trPr>
        <w:tc>
          <w:tcPr>
            <w:tcW w:w="2730" w:type="dxa"/>
          </w:tcPr>
          <w:p>
            <w:pPr>
              <w:pStyle w:val="TableParagraph"/>
              <w:rPr>
                <w:sz w:val="18"/>
              </w:rPr>
            </w:pPr>
          </w:p>
        </w:tc>
        <w:tc>
          <w:tcPr>
            <w:tcW w:w="1892" w:type="dxa"/>
          </w:tcPr>
          <w:p>
            <w:pPr>
              <w:pStyle w:val="TableParagraph"/>
              <w:spacing w:before="60"/>
              <w:ind w:left="531"/>
              <w:rPr>
                <w:sz w:val="20"/>
              </w:rPr>
            </w:pPr>
            <w:r>
              <w:rPr>
                <w:sz w:val="20"/>
              </w:rPr>
              <w:t>E05.0,</w:t>
            </w:r>
            <w:r>
              <w:rPr>
                <w:spacing w:val="-5"/>
                <w:sz w:val="20"/>
              </w:rPr>
              <w:t> </w:t>
            </w:r>
            <w:r>
              <w:rPr>
                <w:spacing w:val="-4"/>
                <w:sz w:val="20"/>
              </w:rPr>
              <w:t>E05.2</w:t>
            </w:r>
          </w:p>
        </w:tc>
        <w:tc>
          <w:tcPr>
            <w:tcW w:w="3517" w:type="dxa"/>
          </w:tcPr>
          <w:p>
            <w:pPr>
              <w:pStyle w:val="TableParagraph"/>
              <w:spacing w:line="249" w:lineRule="auto" w:before="60"/>
              <w:ind w:left="288" w:right="368"/>
              <w:rPr>
                <w:sz w:val="20"/>
              </w:rPr>
            </w:pPr>
            <w:r>
              <w:rPr>
                <w:sz w:val="20"/>
              </w:rPr>
              <w:t>тяжелые формы диффузно- токсического и многоузлового токсического зоба, осложненные </w:t>
            </w:r>
            <w:r>
              <w:rPr>
                <w:spacing w:val="-2"/>
                <w:sz w:val="20"/>
              </w:rPr>
              <w:t>кардиомиопатиями, </w:t>
            </w:r>
            <w:r>
              <w:rPr>
                <w:sz w:val="20"/>
              </w:rPr>
              <w:t>цереброваскулярными и </w:t>
            </w:r>
            <w:r>
              <w:rPr>
                <w:spacing w:val="-2"/>
                <w:sz w:val="20"/>
              </w:rPr>
              <w:t>гемодинамическими </w:t>
            </w:r>
            <w:r>
              <w:rPr>
                <w:sz w:val="20"/>
              </w:rPr>
              <w:t>расстройствами.</w:t>
            </w:r>
            <w:r>
              <w:rPr>
                <w:spacing w:val="-13"/>
                <w:sz w:val="20"/>
              </w:rPr>
              <w:t> </w:t>
            </w:r>
            <w:r>
              <w:rPr>
                <w:sz w:val="20"/>
              </w:rPr>
              <w:t>Тяжелые</w:t>
            </w:r>
            <w:r>
              <w:rPr>
                <w:spacing w:val="-12"/>
                <w:sz w:val="20"/>
              </w:rPr>
              <w:t> </w:t>
            </w:r>
            <w:r>
              <w:rPr>
                <w:sz w:val="20"/>
              </w:rPr>
              <w:t>формы диффузно-токсического зоба, осложненные эндокринной офтальмопатией, угрожающей</w:t>
            </w:r>
          </w:p>
          <w:p>
            <w:pPr>
              <w:pStyle w:val="TableParagraph"/>
              <w:spacing w:line="210" w:lineRule="exact" w:before="9"/>
              <w:ind w:left="288"/>
              <w:rPr>
                <w:sz w:val="20"/>
              </w:rPr>
            </w:pPr>
            <w:r>
              <w:rPr>
                <w:sz w:val="20"/>
              </w:rPr>
              <w:t>потерей</w:t>
            </w:r>
            <w:r>
              <w:rPr>
                <w:spacing w:val="-6"/>
                <w:sz w:val="20"/>
              </w:rPr>
              <w:t> </w:t>
            </w:r>
            <w:r>
              <w:rPr>
                <w:sz w:val="20"/>
              </w:rPr>
              <w:t>зрения</w:t>
            </w:r>
            <w:r>
              <w:rPr>
                <w:spacing w:val="-6"/>
                <w:sz w:val="20"/>
              </w:rPr>
              <w:t> </w:t>
            </w:r>
            <w:r>
              <w:rPr>
                <w:sz w:val="20"/>
              </w:rPr>
              <w:t>и</w:t>
            </w:r>
            <w:r>
              <w:rPr>
                <w:spacing w:val="-6"/>
                <w:sz w:val="20"/>
              </w:rPr>
              <w:t> </w:t>
            </w:r>
            <w:r>
              <w:rPr>
                <w:spacing w:val="-2"/>
                <w:sz w:val="20"/>
              </w:rPr>
              <w:t>слепотой</w:t>
            </w:r>
          </w:p>
        </w:tc>
        <w:tc>
          <w:tcPr>
            <w:tcW w:w="1447" w:type="dxa"/>
          </w:tcPr>
          <w:p>
            <w:pPr>
              <w:pStyle w:val="TableParagraph"/>
              <w:spacing w:line="249" w:lineRule="auto" w:before="60"/>
              <w:ind w:left="79"/>
              <w:rPr>
                <w:sz w:val="20"/>
              </w:rPr>
            </w:pPr>
            <w:r>
              <w:rPr>
                <w:spacing w:val="-2"/>
                <w:sz w:val="20"/>
              </w:rPr>
              <w:t>хирургическое лечение</w:t>
            </w:r>
          </w:p>
        </w:tc>
        <w:tc>
          <w:tcPr>
            <w:tcW w:w="3683" w:type="dxa"/>
          </w:tcPr>
          <w:p>
            <w:pPr>
              <w:pStyle w:val="TableParagraph"/>
              <w:spacing w:line="249" w:lineRule="auto" w:before="60"/>
              <w:ind w:left="106" w:right="50"/>
              <w:rPr>
                <w:sz w:val="20"/>
              </w:rPr>
            </w:pPr>
            <w:r>
              <w:rPr>
                <w:sz w:val="20"/>
              </w:rPr>
              <w:t>хирургическое лечение тяжелых форм тиреотоксикоза под контролем возвратно-гортанных нервов и паращитовидных желез с предоперационной</w:t>
            </w:r>
            <w:r>
              <w:rPr>
                <w:spacing w:val="-13"/>
                <w:sz w:val="20"/>
              </w:rPr>
              <w:t> </w:t>
            </w:r>
            <w:r>
              <w:rPr>
                <w:sz w:val="20"/>
              </w:rPr>
              <w:t>индукцией</w:t>
            </w:r>
            <w:r>
              <w:rPr>
                <w:spacing w:val="-12"/>
                <w:sz w:val="20"/>
              </w:rPr>
              <w:t> </w:t>
            </w:r>
            <w:r>
              <w:rPr>
                <w:sz w:val="20"/>
              </w:rPr>
              <w:t>эутиреоза, коррекцией метаболических повреждений миокарда, мерцательной аритмии и сердечной недостаточности. </w:t>
            </w:r>
            <w:r>
              <w:rPr>
                <w:spacing w:val="-2"/>
                <w:sz w:val="20"/>
              </w:rPr>
              <w:t>Поликомпонентное </w:t>
            </w:r>
            <w:r>
              <w:rPr>
                <w:sz w:val="20"/>
              </w:rPr>
              <w:t>иммуномодулирующее лечение с</w:t>
            </w:r>
          </w:p>
          <w:p>
            <w:pPr>
              <w:pStyle w:val="TableParagraph"/>
              <w:spacing w:line="210" w:lineRule="exact" w:before="9"/>
              <w:ind w:left="106"/>
              <w:rPr>
                <w:sz w:val="20"/>
              </w:rPr>
            </w:pPr>
            <w:r>
              <w:rPr>
                <w:spacing w:val="-2"/>
                <w:sz w:val="20"/>
              </w:rPr>
              <w:t>применением</w:t>
            </w:r>
            <w:r>
              <w:rPr>
                <w:spacing w:val="11"/>
                <w:sz w:val="20"/>
              </w:rPr>
              <w:t> </w:t>
            </w:r>
            <w:r>
              <w:rPr>
                <w:spacing w:val="-2"/>
                <w:sz w:val="20"/>
              </w:rPr>
              <w:t>пульс-терапии</w:t>
            </w:r>
            <w:r>
              <w:rPr>
                <w:spacing w:val="10"/>
                <w:sz w:val="20"/>
              </w:rPr>
              <w:t> </w:t>
            </w:r>
            <w:r>
              <w:rPr>
                <w:spacing w:val="-2"/>
                <w:sz w:val="20"/>
              </w:rPr>
              <w:t>мегадозами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135"/>
        <w:gridCol w:w="1449"/>
        <w:gridCol w:w="3618"/>
        <w:gridCol w:w="1484"/>
        <w:gridCol w:w="3928"/>
        <w:gridCol w:w="1023"/>
      </w:tblGrid>
      <w:tr>
        <w:trPr>
          <w:trHeight w:val="1250" w:hRule="atLeast"/>
        </w:trPr>
        <w:tc>
          <w:tcPr>
            <w:tcW w:w="458" w:type="dxa"/>
          </w:tcPr>
          <w:p>
            <w:pPr>
              <w:pStyle w:val="TableParagraph"/>
              <w:rPr>
                <w:sz w:val="18"/>
              </w:rPr>
            </w:pPr>
          </w:p>
        </w:tc>
        <w:tc>
          <w:tcPr>
            <w:tcW w:w="3135" w:type="dxa"/>
          </w:tcPr>
          <w:p>
            <w:pPr>
              <w:pStyle w:val="TableParagraph"/>
              <w:rPr>
                <w:sz w:val="18"/>
              </w:rPr>
            </w:pPr>
          </w:p>
        </w:tc>
        <w:tc>
          <w:tcPr>
            <w:tcW w:w="1449" w:type="dxa"/>
          </w:tcPr>
          <w:p>
            <w:pPr>
              <w:pStyle w:val="TableParagraph"/>
              <w:rPr>
                <w:sz w:val="18"/>
              </w:rPr>
            </w:pPr>
          </w:p>
        </w:tc>
        <w:tc>
          <w:tcPr>
            <w:tcW w:w="3618" w:type="dxa"/>
          </w:tcPr>
          <w:p>
            <w:pPr>
              <w:pStyle w:val="TableParagraph"/>
              <w:rPr>
                <w:sz w:val="18"/>
              </w:rPr>
            </w:pPr>
          </w:p>
        </w:tc>
        <w:tc>
          <w:tcPr>
            <w:tcW w:w="1484" w:type="dxa"/>
          </w:tcPr>
          <w:p>
            <w:pPr>
              <w:pStyle w:val="TableParagraph"/>
              <w:rPr>
                <w:sz w:val="18"/>
              </w:rPr>
            </w:pPr>
          </w:p>
        </w:tc>
        <w:tc>
          <w:tcPr>
            <w:tcW w:w="3928" w:type="dxa"/>
          </w:tcPr>
          <w:p>
            <w:pPr>
              <w:pStyle w:val="TableParagraph"/>
              <w:spacing w:line="249" w:lineRule="auto"/>
              <w:ind w:left="112" w:right="320"/>
              <w:rPr>
                <w:sz w:val="20"/>
              </w:rPr>
            </w:pPr>
            <w:r>
              <w:rPr>
                <w:sz w:val="20"/>
              </w:rPr>
              <w:t>глюкокортикоидов и цитотоксических иммунодепрессантов</w:t>
            </w:r>
            <w:r>
              <w:rPr>
                <w:spacing w:val="-13"/>
                <w:sz w:val="20"/>
              </w:rPr>
              <w:t> </w:t>
            </w:r>
            <w:r>
              <w:rPr>
                <w:sz w:val="20"/>
              </w:rPr>
              <w:t>с</w:t>
            </w:r>
            <w:r>
              <w:rPr>
                <w:spacing w:val="-12"/>
                <w:sz w:val="20"/>
              </w:rPr>
              <w:t> </w:t>
            </w:r>
            <w:r>
              <w:rPr>
                <w:sz w:val="20"/>
              </w:rPr>
              <w:t>использованием комплекса инструментальных, иммунологических и молекулярно- биологических методов диагностики</w:t>
            </w:r>
          </w:p>
        </w:tc>
        <w:tc>
          <w:tcPr>
            <w:tcW w:w="1023"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87.</w:t>
            </w:r>
          </w:p>
        </w:tc>
        <w:tc>
          <w:tcPr>
            <w:tcW w:w="3135" w:type="dxa"/>
            <w:vMerge w:val="restart"/>
          </w:tcPr>
          <w:p>
            <w:pPr>
              <w:pStyle w:val="TableParagraph"/>
              <w:spacing w:line="249" w:lineRule="auto" w:before="60"/>
              <w:ind w:left="155" w:right="491"/>
              <w:rPr>
                <w:sz w:val="20"/>
              </w:rPr>
            </w:pPr>
            <w:r>
              <w:rPr>
                <w:spacing w:val="-2"/>
                <w:sz w:val="20"/>
              </w:rPr>
              <w:t>Гастроинтестинальные комбинированные рестриктивно-шунтирующие </w:t>
            </w:r>
            <w:r>
              <w:rPr>
                <w:sz w:val="20"/>
              </w:rPr>
              <w:t>операции при сахарном диабете 2 типа</w:t>
            </w:r>
          </w:p>
        </w:tc>
        <w:tc>
          <w:tcPr>
            <w:tcW w:w="1449" w:type="dxa"/>
          </w:tcPr>
          <w:p>
            <w:pPr>
              <w:pStyle w:val="TableParagraph"/>
              <w:spacing w:line="249" w:lineRule="auto" w:before="60"/>
              <w:ind w:left="518" w:right="424" w:hanging="24"/>
              <w:rPr>
                <w:sz w:val="20"/>
              </w:rPr>
            </w:pPr>
            <w:r>
              <w:rPr>
                <w:spacing w:val="-2"/>
                <w:sz w:val="20"/>
              </w:rPr>
              <w:t>E11.6, </w:t>
            </w:r>
            <w:r>
              <w:rPr>
                <w:spacing w:val="-4"/>
                <w:sz w:val="20"/>
              </w:rPr>
              <w:t>E11.7</w:t>
            </w:r>
          </w:p>
        </w:tc>
        <w:tc>
          <w:tcPr>
            <w:tcW w:w="3618" w:type="dxa"/>
          </w:tcPr>
          <w:p>
            <w:pPr>
              <w:pStyle w:val="TableParagraph"/>
              <w:spacing w:line="249" w:lineRule="auto" w:before="60"/>
              <w:ind w:left="432" w:right="31"/>
              <w:rPr>
                <w:sz w:val="20"/>
              </w:rPr>
            </w:pPr>
            <w:r>
              <w:rPr>
                <w:sz w:val="20"/>
              </w:rPr>
              <w:t>сахарный диабет 2 типа с морбидным</w:t>
            </w:r>
            <w:r>
              <w:rPr>
                <w:spacing w:val="-13"/>
                <w:sz w:val="20"/>
              </w:rPr>
              <w:t> </w:t>
            </w:r>
            <w:r>
              <w:rPr>
                <w:sz w:val="20"/>
              </w:rPr>
              <w:t>ожирением,</w:t>
            </w:r>
            <w:r>
              <w:rPr>
                <w:spacing w:val="-12"/>
                <w:sz w:val="20"/>
              </w:rPr>
              <w:t> </w:t>
            </w:r>
            <w:r>
              <w:rPr>
                <w:sz w:val="20"/>
              </w:rPr>
              <w:t>с</w:t>
            </w:r>
            <w:r>
              <w:rPr>
                <w:spacing w:val="-13"/>
                <w:sz w:val="20"/>
              </w:rPr>
              <w:t> </w:t>
            </w:r>
            <w:r>
              <w:rPr>
                <w:sz w:val="20"/>
              </w:rPr>
              <w:t>индексом массы</w:t>
            </w:r>
            <w:r>
              <w:rPr>
                <w:spacing w:val="-4"/>
                <w:sz w:val="20"/>
              </w:rPr>
              <w:t> </w:t>
            </w:r>
            <w:r>
              <w:rPr>
                <w:sz w:val="20"/>
              </w:rPr>
              <w:t>тела</w:t>
            </w:r>
            <w:r>
              <w:rPr>
                <w:spacing w:val="-4"/>
                <w:sz w:val="20"/>
              </w:rPr>
              <w:t> </w:t>
            </w:r>
            <w:r>
              <w:rPr>
                <w:sz w:val="20"/>
              </w:rPr>
              <w:t>равным</w:t>
            </w:r>
            <w:r>
              <w:rPr>
                <w:spacing w:val="-3"/>
                <w:sz w:val="20"/>
              </w:rPr>
              <w:t> </w:t>
            </w:r>
            <w:r>
              <w:rPr>
                <w:sz w:val="20"/>
              </w:rPr>
              <w:t>и</w:t>
            </w:r>
            <w:r>
              <w:rPr>
                <w:spacing w:val="-4"/>
                <w:sz w:val="20"/>
              </w:rPr>
              <w:t> </w:t>
            </w:r>
            <w:r>
              <w:rPr>
                <w:sz w:val="20"/>
              </w:rPr>
              <w:t>более</w:t>
            </w:r>
            <w:r>
              <w:rPr>
                <w:spacing w:val="-4"/>
                <w:sz w:val="20"/>
              </w:rPr>
              <w:t> </w:t>
            </w:r>
            <w:r>
              <w:rPr>
                <w:sz w:val="20"/>
              </w:rPr>
              <w:t>40</w:t>
            </w:r>
            <w:r>
              <w:rPr>
                <w:spacing w:val="-3"/>
                <w:sz w:val="20"/>
              </w:rPr>
              <w:t> </w:t>
            </w:r>
            <w:r>
              <w:rPr>
                <w:spacing w:val="-2"/>
                <w:sz w:val="20"/>
              </w:rPr>
              <w:t>кг/м</w:t>
            </w:r>
            <w:r>
              <w:rPr>
                <w:spacing w:val="-2"/>
                <w:sz w:val="20"/>
                <w:vertAlign w:val="superscript"/>
              </w:rPr>
              <w:t>2</w:t>
            </w:r>
          </w:p>
        </w:tc>
        <w:tc>
          <w:tcPr>
            <w:tcW w:w="1484" w:type="dxa"/>
          </w:tcPr>
          <w:p>
            <w:pPr>
              <w:pStyle w:val="TableParagraph"/>
              <w:spacing w:line="249" w:lineRule="auto" w:before="60"/>
              <w:ind w:left="122"/>
              <w:rPr>
                <w:sz w:val="20"/>
              </w:rPr>
            </w:pPr>
            <w:r>
              <w:rPr>
                <w:spacing w:val="-2"/>
                <w:sz w:val="20"/>
              </w:rPr>
              <w:t>хирургическое лечение</w:t>
            </w:r>
          </w:p>
        </w:tc>
        <w:tc>
          <w:tcPr>
            <w:tcW w:w="3928" w:type="dxa"/>
          </w:tcPr>
          <w:p>
            <w:pPr>
              <w:pStyle w:val="TableParagraph"/>
              <w:spacing w:line="249" w:lineRule="auto" w:before="60"/>
              <w:ind w:left="112" w:right="320"/>
              <w:rPr>
                <w:sz w:val="20"/>
              </w:rPr>
            </w:pPr>
            <w:r>
              <w:rPr>
                <w:sz w:val="20"/>
              </w:rPr>
              <w:t>гастрошунтирование,</w:t>
            </w:r>
            <w:r>
              <w:rPr>
                <w:spacing w:val="-10"/>
                <w:sz w:val="20"/>
              </w:rPr>
              <w:t> </w:t>
            </w:r>
            <w:r>
              <w:rPr>
                <w:sz w:val="20"/>
              </w:rPr>
              <w:t>в</w:t>
            </w:r>
            <w:r>
              <w:rPr>
                <w:spacing w:val="-9"/>
                <w:sz w:val="20"/>
              </w:rPr>
              <w:t> </w:t>
            </w:r>
            <w:r>
              <w:rPr>
                <w:sz w:val="20"/>
              </w:rPr>
              <w:t>том</w:t>
            </w:r>
            <w:r>
              <w:rPr>
                <w:spacing w:val="-10"/>
                <w:sz w:val="20"/>
              </w:rPr>
              <w:t> </w:t>
            </w:r>
            <w:r>
              <w:rPr>
                <w:sz w:val="20"/>
              </w:rPr>
              <w:t>числе</w:t>
            </w:r>
            <w:r>
              <w:rPr>
                <w:spacing w:val="-11"/>
                <w:sz w:val="20"/>
              </w:rPr>
              <w:t> </w:t>
            </w:r>
            <w:r>
              <w:rPr>
                <w:sz w:val="20"/>
              </w:rPr>
              <w:t>мини- гастрошунтирование с наложением одного желудочно-кишечного </w:t>
            </w:r>
            <w:r>
              <w:rPr>
                <w:spacing w:val="-2"/>
                <w:sz w:val="20"/>
              </w:rPr>
              <w:t>анастомоза</w:t>
            </w:r>
          </w:p>
        </w:tc>
        <w:tc>
          <w:tcPr>
            <w:tcW w:w="1023" w:type="dxa"/>
          </w:tcPr>
          <w:p>
            <w:pPr>
              <w:pStyle w:val="TableParagraph"/>
              <w:spacing w:before="60"/>
              <w:ind w:left="377"/>
              <w:rPr>
                <w:sz w:val="20"/>
              </w:rPr>
            </w:pPr>
            <w:r>
              <w:rPr>
                <w:spacing w:val="-2"/>
                <w:sz w:val="20"/>
              </w:rPr>
              <w:t>268435</w:t>
            </w:r>
          </w:p>
        </w:tc>
      </w:tr>
      <w:tr>
        <w:trPr>
          <w:trHeight w:val="770" w:hRule="atLeast"/>
        </w:trPr>
        <w:tc>
          <w:tcPr>
            <w:tcW w:w="458" w:type="dxa"/>
          </w:tcPr>
          <w:p>
            <w:pPr>
              <w:pStyle w:val="TableParagraph"/>
              <w:rPr>
                <w:sz w:val="18"/>
              </w:rPr>
            </w:pPr>
          </w:p>
        </w:tc>
        <w:tc>
          <w:tcPr>
            <w:tcW w:w="3135" w:type="dxa"/>
            <w:vMerge/>
            <w:tcBorders>
              <w:top w:val="nil"/>
            </w:tcBorders>
          </w:tcPr>
          <w:p>
            <w:pPr>
              <w:rPr>
                <w:sz w:val="2"/>
                <w:szCs w:val="2"/>
              </w:rPr>
            </w:pPr>
          </w:p>
        </w:tc>
        <w:tc>
          <w:tcPr>
            <w:tcW w:w="1449" w:type="dxa"/>
          </w:tcPr>
          <w:p>
            <w:pPr>
              <w:pStyle w:val="TableParagraph"/>
              <w:rPr>
                <w:sz w:val="18"/>
              </w:rPr>
            </w:pPr>
          </w:p>
        </w:tc>
        <w:tc>
          <w:tcPr>
            <w:tcW w:w="3618" w:type="dxa"/>
          </w:tcPr>
          <w:p>
            <w:pPr>
              <w:pStyle w:val="TableParagraph"/>
              <w:rPr>
                <w:sz w:val="18"/>
              </w:rPr>
            </w:pPr>
          </w:p>
        </w:tc>
        <w:tc>
          <w:tcPr>
            <w:tcW w:w="1484" w:type="dxa"/>
          </w:tcPr>
          <w:p>
            <w:pPr>
              <w:pStyle w:val="TableParagraph"/>
              <w:rPr>
                <w:sz w:val="18"/>
              </w:rPr>
            </w:pPr>
          </w:p>
        </w:tc>
        <w:tc>
          <w:tcPr>
            <w:tcW w:w="3928" w:type="dxa"/>
          </w:tcPr>
          <w:p>
            <w:pPr>
              <w:pStyle w:val="TableParagraph"/>
              <w:spacing w:line="240" w:lineRule="atLeast" w:before="30"/>
              <w:ind w:left="112" w:right="504"/>
              <w:rPr>
                <w:sz w:val="20"/>
              </w:rPr>
            </w:pPr>
            <w:r>
              <w:rPr>
                <w:sz w:val="20"/>
              </w:rPr>
              <w:t>билиопанкреотическое</w:t>
            </w:r>
            <w:r>
              <w:rPr>
                <w:spacing w:val="-13"/>
                <w:sz w:val="20"/>
              </w:rPr>
              <w:t> </w:t>
            </w:r>
            <w:r>
              <w:rPr>
                <w:sz w:val="20"/>
              </w:rPr>
              <w:t>шунтирование, в том числе с наложением дуодено- </w:t>
            </w:r>
            <w:r>
              <w:rPr>
                <w:spacing w:val="-2"/>
                <w:sz w:val="20"/>
              </w:rPr>
              <w:t>илеоанастомоза</w:t>
            </w:r>
          </w:p>
        </w:tc>
        <w:tc>
          <w:tcPr>
            <w:tcW w:w="1023" w:type="dxa"/>
          </w:tcPr>
          <w:p>
            <w:pPr>
              <w:pStyle w:val="TableParagraph"/>
              <w:rPr>
                <w:sz w:val="18"/>
              </w:rPr>
            </w:pPr>
          </w:p>
        </w:tc>
      </w:tr>
    </w:tbl>
    <w:p>
      <w:pPr>
        <w:pStyle w:val="BodyText"/>
        <w:spacing w:before="11"/>
      </w:pPr>
      <w:r>
        <w:rPr/>
        <w:pict>
          <v:shape style="position:absolute;margin-left:28.32pt;margin-top:17.857635pt;width:114.9pt;height:.1pt;mso-position-horizontal-relative:page;mso-position-vertical-relative:paragraph;z-index:-15727104;mso-wrap-distance-left:0;mso-wrap-distance-right:0" id="docshape7" coordorigin="566,357" coordsize="2298,0" path="m566,357l2864,357e" filled="false" stroked="true" strokeweight=".39840pt" strokecolor="#000000">
            <v:path arrowok="t"/>
            <v:stroke dashstyle="solid"/>
            <w10:wrap type="topAndBottom"/>
          </v:shape>
        </w:pict>
      </w:r>
    </w:p>
    <w:p>
      <w:pPr>
        <w:spacing w:before="130"/>
        <w:ind w:left="166" w:right="0" w:firstLine="0"/>
        <w:jc w:val="both"/>
        <w:rPr>
          <w:sz w:val="20"/>
        </w:rPr>
      </w:pPr>
      <w:r>
        <w:rPr>
          <w:sz w:val="20"/>
          <w:vertAlign w:val="superscript"/>
        </w:rPr>
        <w:t>1</w:t>
      </w:r>
      <w:r>
        <w:rPr>
          <w:spacing w:val="-11"/>
          <w:sz w:val="20"/>
          <w:vertAlign w:val="baseline"/>
        </w:rPr>
        <w:t> </w:t>
      </w:r>
      <w:r>
        <w:rPr>
          <w:sz w:val="20"/>
          <w:vertAlign w:val="baseline"/>
        </w:rPr>
        <w:t>Высокотехнологичная</w:t>
      </w:r>
      <w:r>
        <w:rPr>
          <w:spacing w:val="-12"/>
          <w:sz w:val="20"/>
          <w:vertAlign w:val="baseline"/>
        </w:rPr>
        <w:t> </w:t>
      </w:r>
      <w:r>
        <w:rPr>
          <w:sz w:val="20"/>
          <w:vertAlign w:val="baseline"/>
        </w:rPr>
        <w:t>медицинская</w:t>
      </w:r>
      <w:r>
        <w:rPr>
          <w:spacing w:val="-9"/>
          <w:sz w:val="20"/>
          <w:vertAlign w:val="baseline"/>
        </w:rPr>
        <w:t> </w:t>
      </w:r>
      <w:r>
        <w:rPr>
          <w:spacing w:val="-2"/>
          <w:sz w:val="20"/>
          <w:vertAlign w:val="baseline"/>
        </w:rPr>
        <w:t>помощь.</w:t>
      </w:r>
    </w:p>
    <w:p>
      <w:pPr>
        <w:spacing w:before="10"/>
        <w:ind w:left="166" w:right="0" w:firstLine="0"/>
        <w:jc w:val="both"/>
        <w:rPr>
          <w:sz w:val="20"/>
        </w:rPr>
      </w:pPr>
      <w:r>
        <w:rPr>
          <w:sz w:val="20"/>
          <w:vertAlign w:val="superscript"/>
        </w:rPr>
        <w:t>2</w:t>
      </w:r>
      <w:r>
        <w:rPr>
          <w:spacing w:val="-8"/>
          <w:sz w:val="20"/>
          <w:vertAlign w:val="baseline"/>
        </w:rPr>
        <w:t> </w:t>
      </w:r>
      <w:r>
        <w:rPr>
          <w:sz w:val="20"/>
          <w:vertAlign w:val="baseline"/>
        </w:rPr>
        <w:t>Международная</w:t>
      </w:r>
      <w:r>
        <w:rPr>
          <w:spacing w:val="-7"/>
          <w:sz w:val="20"/>
          <w:vertAlign w:val="baseline"/>
        </w:rPr>
        <w:t> </w:t>
      </w:r>
      <w:r>
        <w:rPr>
          <w:sz w:val="20"/>
          <w:vertAlign w:val="baseline"/>
        </w:rPr>
        <w:t>статистическая</w:t>
      </w:r>
      <w:r>
        <w:rPr>
          <w:spacing w:val="-8"/>
          <w:sz w:val="20"/>
          <w:vertAlign w:val="baseline"/>
        </w:rPr>
        <w:t> </w:t>
      </w:r>
      <w:r>
        <w:rPr>
          <w:sz w:val="20"/>
          <w:vertAlign w:val="baseline"/>
        </w:rPr>
        <w:t>классификация</w:t>
      </w:r>
      <w:r>
        <w:rPr>
          <w:spacing w:val="-8"/>
          <w:sz w:val="20"/>
          <w:vertAlign w:val="baseline"/>
        </w:rPr>
        <w:t> </w:t>
      </w:r>
      <w:r>
        <w:rPr>
          <w:sz w:val="20"/>
          <w:vertAlign w:val="baseline"/>
        </w:rPr>
        <w:t>болезней</w:t>
      </w:r>
      <w:r>
        <w:rPr>
          <w:spacing w:val="-8"/>
          <w:sz w:val="20"/>
          <w:vertAlign w:val="baseline"/>
        </w:rPr>
        <w:t> </w:t>
      </w:r>
      <w:r>
        <w:rPr>
          <w:sz w:val="20"/>
          <w:vertAlign w:val="baseline"/>
        </w:rPr>
        <w:t>и</w:t>
      </w:r>
      <w:r>
        <w:rPr>
          <w:spacing w:val="-8"/>
          <w:sz w:val="20"/>
          <w:vertAlign w:val="baseline"/>
        </w:rPr>
        <w:t> </w:t>
      </w:r>
      <w:r>
        <w:rPr>
          <w:sz w:val="20"/>
          <w:vertAlign w:val="baseline"/>
        </w:rPr>
        <w:t>проблем,</w:t>
      </w:r>
      <w:r>
        <w:rPr>
          <w:spacing w:val="-7"/>
          <w:sz w:val="20"/>
          <w:vertAlign w:val="baseline"/>
        </w:rPr>
        <w:t> </w:t>
      </w:r>
      <w:r>
        <w:rPr>
          <w:sz w:val="20"/>
          <w:vertAlign w:val="baseline"/>
        </w:rPr>
        <w:t>связанных</w:t>
      </w:r>
      <w:r>
        <w:rPr>
          <w:spacing w:val="-8"/>
          <w:sz w:val="20"/>
          <w:vertAlign w:val="baseline"/>
        </w:rPr>
        <w:t> </w:t>
      </w:r>
      <w:r>
        <w:rPr>
          <w:sz w:val="20"/>
          <w:vertAlign w:val="baseline"/>
        </w:rPr>
        <w:t>со</w:t>
      </w:r>
      <w:r>
        <w:rPr>
          <w:spacing w:val="-6"/>
          <w:sz w:val="20"/>
          <w:vertAlign w:val="baseline"/>
        </w:rPr>
        <w:t> </w:t>
      </w:r>
      <w:r>
        <w:rPr>
          <w:sz w:val="20"/>
          <w:vertAlign w:val="baseline"/>
        </w:rPr>
        <w:t>здоровьем</w:t>
      </w:r>
      <w:r>
        <w:rPr>
          <w:spacing w:val="-7"/>
          <w:sz w:val="20"/>
          <w:vertAlign w:val="baseline"/>
        </w:rPr>
        <w:t> </w:t>
      </w:r>
      <w:r>
        <w:rPr>
          <w:sz w:val="20"/>
          <w:vertAlign w:val="baseline"/>
        </w:rPr>
        <w:t>(10-й</w:t>
      </w:r>
      <w:r>
        <w:rPr>
          <w:spacing w:val="-8"/>
          <w:sz w:val="20"/>
          <w:vertAlign w:val="baseline"/>
        </w:rPr>
        <w:t> </w:t>
      </w:r>
      <w:r>
        <w:rPr>
          <w:spacing w:val="-2"/>
          <w:sz w:val="20"/>
          <w:vertAlign w:val="baseline"/>
        </w:rPr>
        <w:t>пересмотр).</w:t>
      </w:r>
    </w:p>
    <w:p>
      <w:pPr>
        <w:spacing w:line="249" w:lineRule="auto" w:before="10"/>
        <w:ind w:left="166" w:right="164" w:firstLine="0"/>
        <w:jc w:val="both"/>
        <w:rPr>
          <w:sz w:val="20"/>
        </w:rPr>
      </w:pPr>
      <w:r>
        <w:rPr>
          <w:sz w:val="20"/>
          <w:vertAlign w:val="superscript"/>
        </w:rPr>
        <w:t>3</w:t>
      </w:r>
      <w:r>
        <w:rPr>
          <w:spacing w:val="-1"/>
          <w:sz w:val="20"/>
          <w:vertAlign w:val="baseline"/>
        </w:rPr>
        <w:t> </w:t>
      </w:r>
      <w:r>
        <w:rPr>
          <w:sz w:val="20"/>
          <w:vertAlign w:val="baseline"/>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w:t>
      </w:r>
      <w:r>
        <w:rPr>
          <w:spacing w:val="35"/>
          <w:sz w:val="20"/>
          <w:vertAlign w:val="baseline"/>
        </w:rPr>
        <w:t> </w:t>
      </w:r>
      <w:r>
        <w:rPr>
          <w:sz w:val="20"/>
          <w:vertAlign w:val="baseline"/>
        </w:rPr>
        <w:t>питания</w:t>
      </w:r>
      <w:r>
        <w:rPr>
          <w:spacing w:val="33"/>
          <w:sz w:val="20"/>
          <w:vertAlign w:val="baseline"/>
        </w:rPr>
        <w:t> </w:t>
      </w:r>
      <w:r>
        <w:rPr>
          <w:sz w:val="20"/>
          <w:vertAlign w:val="baseline"/>
        </w:rPr>
        <w:t>(при</w:t>
      </w:r>
      <w:r>
        <w:rPr>
          <w:spacing w:val="35"/>
          <w:sz w:val="20"/>
          <w:vertAlign w:val="baseline"/>
        </w:rPr>
        <w:t> </w:t>
      </w:r>
      <w:r>
        <w:rPr>
          <w:sz w:val="20"/>
          <w:vertAlign w:val="baseline"/>
        </w:rPr>
        <w:t>отсутствии</w:t>
      </w:r>
      <w:r>
        <w:rPr>
          <w:spacing w:val="33"/>
          <w:sz w:val="20"/>
          <w:vertAlign w:val="baseline"/>
        </w:rPr>
        <w:t> </w:t>
      </w:r>
      <w:r>
        <w:rPr>
          <w:sz w:val="20"/>
          <w:vertAlign w:val="baseline"/>
        </w:rPr>
        <w:t>организованного</w:t>
      </w:r>
      <w:r>
        <w:rPr>
          <w:spacing w:val="35"/>
          <w:sz w:val="20"/>
          <w:vertAlign w:val="baseline"/>
        </w:rPr>
        <w:t> </w:t>
      </w:r>
      <w:r>
        <w:rPr>
          <w:sz w:val="20"/>
          <w:vertAlign w:val="baseline"/>
        </w:rPr>
        <w:t>питания</w:t>
      </w:r>
      <w:r>
        <w:rPr>
          <w:spacing w:val="36"/>
          <w:sz w:val="20"/>
          <w:vertAlign w:val="baseline"/>
        </w:rPr>
        <w:t> </w:t>
      </w:r>
      <w:r>
        <w:rPr>
          <w:sz w:val="20"/>
          <w:vertAlign w:val="baseline"/>
        </w:rPr>
        <w:t>в</w:t>
      </w:r>
      <w:r>
        <w:rPr>
          <w:spacing w:val="33"/>
          <w:sz w:val="20"/>
          <w:vertAlign w:val="baseline"/>
        </w:rPr>
        <w:t> </w:t>
      </w:r>
      <w:r>
        <w:rPr>
          <w:sz w:val="20"/>
          <w:vertAlign w:val="baseline"/>
        </w:rPr>
        <w:t>медицинской</w:t>
      </w:r>
      <w:r>
        <w:rPr>
          <w:spacing w:val="35"/>
          <w:sz w:val="20"/>
          <w:vertAlign w:val="baseline"/>
        </w:rPr>
        <w:t> </w:t>
      </w:r>
      <w:r>
        <w:rPr>
          <w:sz w:val="20"/>
          <w:vertAlign w:val="baseline"/>
        </w:rPr>
        <w:t>организации),</w:t>
      </w:r>
      <w:r>
        <w:rPr>
          <w:spacing w:val="34"/>
          <w:sz w:val="20"/>
          <w:vertAlign w:val="baseline"/>
        </w:rPr>
        <w:t> </w:t>
      </w:r>
      <w:r>
        <w:rPr>
          <w:sz w:val="20"/>
          <w:vertAlign w:val="baseline"/>
        </w:rPr>
        <w:t>расходы</w:t>
      </w:r>
      <w:r>
        <w:rPr>
          <w:spacing w:val="34"/>
          <w:sz w:val="20"/>
          <w:vertAlign w:val="baseline"/>
        </w:rPr>
        <w:t> </w:t>
      </w:r>
      <w:r>
        <w:rPr>
          <w:sz w:val="20"/>
          <w:vertAlign w:val="baseline"/>
        </w:rPr>
        <w:t>на</w:t>
      </w:r>
      <w:r>
        <w:rPr>
          <w:spacing w:val="39"/>
          <w:sz w:val="20"/>
          <w:vertAlign w:val="baseline"/>
        </w:rPr>
        <w:t> </w:t>
      </w:r>
      <w:r>
        <w:rPr>
          <w:sz w:val="20"/>
          <w:vertAlign w:val="baseline"/>
        </w:rPr>
        <w:t>оплату</w:t>
      </w:r>
      <w:r>
        <w:rPr>
          <w:spacing w:val="35"/>
          <w:sz w:val="20"/>
          <w:vertAlign w:val="baseline"/>
        </w:rPr>
        <w:t> </w:t>
      </w:r>
      <w:r>
        <w:rPr>
          <w:sz w:val="20"/>
          <w:vertAlign w:val="baseline"/>
        </w:rPr>
        <w:t>услуг</w:t>
      </w:r>
      <w:r>
        <w:rPr>
          <w:spacing w:val="34"/>
          <w:sz w:val="20"/>
          <w:vertAlign w:val="baseline"/>
        </w:rPr>
        <w:t> </w:t>
      </w:r>
      <w:r>
        <w:rPr>
          <w:sz w:val="20"/>
          <w:vertAlign w:val="baseline"/>
        </w:rPr>
        <w:t>связи,</w:t>
      </w:r>
      <w:r>
        <w:rPr>
          <w:spacing w:val="34"/>
          <w:sz w:val="20"/>
          <w:vertAlign w:val="baseline"/>
        </w:rPr>
        <w:t> </w:t>
      </w:r>
      <w:r>
        <w:rPr>
          <w:sz w:val="20"/>
          <w:vertAlign w:val="baseline"/>
        </w:rPr>
        <w:t>транспортных</w:t>
      </w:r>
      <w:r>
        <w:rPr>
          <w:spacing w:val="36"/>
          <w:sz w:val="20"/>
          <w:vertAlign w:val="baseline"/>
        </w:rPr>
        <w:t> </w:t>
      </w:r>
      <w:r>
        <w:rPr>
          <w:sz w:val="20"/>
          <w:vertAlign w:val="baseline"/>
        </w:rPr>
        <w:t>услуг,</w:t>
      </w:r>
      <w:r>
        <w:rPr>
          <w:spacing w:val="36"/>
          <w:sz w:val="20"/>
          <w:vertAlign w:val="baseline"/>
        </w:rPr>
        <w:t> </w:t>
      </w:r>
      <w:r>
        <w:rPr>
          <w:sz w:val="20"/>
          <w:vertAlign w:val="baseline"/>
        </w:rPr>
        <w:t>коммунальных</w:t>
      </w:r>
      <w:r>
        <w:rPr>
          <w:spacing w:val="36"/>
          <w:sz w:val="20"/>
          <w:vertAlign w:val="baseline"/>
        </w:rPr>
        <w:t> </w:t>
      </w:r>
      <w:r>
        <w:rPr>
          <w:sz w:val="20"/>
          <w:vertAlign w:val="baseline"/>
        </w:rPr>
        <w:t>услуг,</w:t>
      </w:r>
      <w:r>
        <w:rPr>
          <w:spacing w:val="34"/>
          <w:sz w:val="20"/>
          <w:vertAlign w:val="baseline"/>
        </w:rPr>
        <w:t> </w:t>
      </w:r>
      <w:r>
        <w:rPr>
          <w:sz w:val="20"/>
          <w:vertAlign w:val="baseline"/>
        </w:rPr>
        <w:t>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BodyText"/>
        <w:rPr>
          <w:sz w:val="20"/>
        </w:rPr>
      </w:pPr>
    </w:p>
    <w:p>
      <w:pPr>
        <w:pStyle w:val="BodyText"/>
        <w:rPr>
          <w:sz w:val="20"/>
        </w:rPr>
      </w:pPr>
    </w:p>
    <w:p>
      <w:pPr>
        <w:pStyle w:val="BodyText"/>
        <w:rPr>
          <w:sz w:val="20"/>
        </w:rPr>
      </w:pPr>
    </w:p>
    <w:p>
      <w:pPr>
        <w:pStyle w:val="BodyText"/>
        <w:spacing w:before="11"/>
        <w:rPr>
          <w:sz w:val="20"/>
        </w:rPr>
      </w:pPr>
      <w:r>
        <w:rPr/>
        <w:pict>
          <v:shape style="position:absolute;margin-left:379.01001pt;margin-top:13.249023pt;width:84.05pt;height:.1pt;mso-position-horizontal-relative:page;mso-position-vertical-relative:paragraph;z-index:-15726592;mso-wrap-distance-left:0;mso-wrap-distance-right:0" id="docshape8" coordorigin="7580,265" coordsize="1681,0" path="m7580,265l9261,265e" filled="false" stroked="true" strokeweight=".5616pt" strokecolor="#000000">
            <v:path arrowok="t"/>
            <v:stroke dashstyle="solid"/>
            <w10:wrap type="topAndBottom"/>
          </v:shape>
        </w:pict>
      </w:r>
    </w:p>
    <w:p>
      <w:pPr>
        <w:spacing w:after="0"/>
        <w:rPr>
          <w:sz w:val="20"/>
        </w:rPr>
        <w:sectPr>
          <w:pgSz w:w="16850" w:h="11910" w:orient="landscape"/>
          <w:pgMar w:header="753" w:footer="0" w:top="1060" w:bottom="280" w:left="400" w:right="400"/>
        </w:sectPr>
      </w:pPr>
    </w:p>
    <w:p>
      <w:pPr>
        <w:pStyle w:val="BodyText"/>
        <w:spacing w:line="322" w:lineRule="exact" w:before="71"/>
        <w:ind w:left="4247" w:right="271"/>
        <w:jc w:val="center"/>
      </w:pPr>
      <w:r>
        <w:rPr/>
        <w:t>ПРИЛОЖЕНИЕ</w:t>
      </w:r>
      <w:r>
        <w:rPr>
          <w:spacing w:val="-6"/>
        </w:rPr>
        <w:t> </w:t>
      </w:r>
      <w:r>
        <w:rPr/>
        <w:t>№</w:t>
      </w:r>
      <w:r>
        <w:rPr>
          <w:spacing w:val="-6"/>
        </w:rPr>
        <w:t> </w:t>
      </w:r>
      <w:r>
        <w:rPr>
          <w:spacing w:val="-10"/>
        </w:rPr>
        <w:t>2</w:t>
      </w:r>
    </w:p>
    <w:p>
      <w:pPr>
        <w:pStyle w:val="BodyText"/>
        <w:ind w:left="4246" w:right="272"/>
        <w:jc w:val="center"/>
      </w:pPr>
      <w:r>
        <w:rPr/>
        <w:t>к</w:t>
      </w:r>
      <w:r>
        <w:rPr>
          <w:spacing w:val="-12"/>
        </w:rPr>
        <w:t> </w:t>
      </w:r>
      <w:r>
        <w:rPr/>
        <w:t>Программе</w:t>
      </w:r>
      <w:r>
        <w:rPr>
          <w:spacing w:val="-12"/>
        </w:rPr>
        <w:t> </w:t>
      </w:r>
      <w:r>
        <w:rPr/>
        <w:t>государственных</w:t>
      </w:r>
      <w:r>
        <w:rPr>
          <w:spacing w:val="-11"/>
        </w:rPr>
        <w:t> </w:t>
      </w:r>
      <w:r>
        <w:rPr/>
        <w:t>гарантий бесплатного оказания гражданам медицинской помощи на 2022 год</w:t>
      </w:r>
    </w:p>
    <w:p>
      <w:pPr>
        <w:pStyle w:val="BodyText"/>
        <w:spacing w:line="321" w:lineRule="exact"/>
        <w:ind w:left="4243" w:right="272"/>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rPr>
          <w:sz w:val="30"/>
        </w:rPr>
      </w:pPr>
    </w:p>
    <w:p>
      <w:pPr>
        <w:pStyle w:val="BodyText"/>
        <w:rPr>
          <w:sz w:val="30"/>
        </w:rPr>
      </w:pPr>
    </w:p>
    <w:p>
      <w:pPr>
        <w:pStyle w:val="BodyText"/>
        <w:spacing w:before="5"/>
        <w:rPr>
          <w:sz w:val="34"/>
        </w:rPr>
      </w:pPr>
    </w:p>
    <w:p>
      <w:pPr>
        <w:pStyle w:val="Heading1"/>
        <w:ind w:left="275" w:right="272"/>
      </w:pPr>
      <w:r>
        <w:rPr/>
        <w:t>П</w:t>
      </w:r>
      <w:r>
        <w:rPr>
          <w:spacing w:val="-1"/>
        </w:rPr>
        <w:t> </w:t>
      </w:r>
      <w:r>
        <w:rPr/>
        <w:t>Е</w:t>
      </w:r>
      <w:r>
        <w:rPr>
          <w:spacing w:val="-1"/>
        </w:rPr>
        <w:t> </w:t>
      </w:r>
      <w:r>
        <w:rPr/>
        <w:t>Р</w:t>
      </w:r>
      <w:r>
        <w:rPr>
          <w:spacing w:val="-2"/>
        </w:rPr>
        <w:t> </w:t>
      </w:r>
      <w:r>
        <w:rPr/>
        <w:t>Е</w:t>
      </w:r>
      <w:r>
        <w:rPr>
          <w:spacing w:val="-1"/>
        </w:rPr>
        <w:t> </w:t>
      </w:r>
      <w:r>
        <w:rPr/>
        <w:t>Ч</w:t>
      </w:r>
      <w:r>
        <w:rPr>
          <w:spacing w:val="-1"/>
        </w:rPr>
        <w:t> </w:t>
      </w:r>
      <w:r>
        <w:rPr/>
        <w:t>Е</w:t>
      </w:r>
      <w:r>
        <w:rPr>
          <w:spacing w:val="-1"/>
        </w:rPr>
        <w:t> </w:t>
      </w:r>
      <w:r>
        <w:rPr/>
        <w:t>Н</w:t>
      </w:r>
      <w:r>
        <w:rPr>
          <w:spacing w:val="-1"/>
        </w:rPr>
        <w:t> </w:t>
      </w:r>
      <w:r>
        <w:rPr>
          <w:spacing w:val="-10"/>
        </w:rPr>
        <w:t>Ь</w:t>
      </w:r>
    </w:p>
    <w:p>
      <w:pPr>
        <w:spacing w:before="121"/>
        <w:ind w:left="1313" w:right="1308" w:hanging="1"/>
        <w:jc w:val="center"/>
        <w:rPr>
          <w:b/>
          <w:sz w:val="28"/>
        </w:rPr>
      </w:pPr>
      <w:r>
        <w:rPr>
          <w:b/>
          <w:sz w:val="28"/>
        </w:rPr>
        <w:t>исследований и иных медицинских вмешательств, проводимых</w:t>
      </w:r>
      <w:r>
        <w:rPr>
          <w:b/>
          <w:spacing w:val="-7"/>
          <w:sz w:val="28"/>
        </w:rPr>
        <w:t> </w:t>
      </w:r>
      <w:r>
        <w:rPr>
          <w:b/>
          <w:sz w:val="28"/>
        </w:rPr>
        <w:t>в</w:t>
      </w:r>
      <w:r>
        <w:rPr>
          <w:b/>
          <w:spacing w:val="-9"/>
          <w:sz w:val="28"/>
        </w:rPr>
        <w:t> </w:t>
      </w:r>
      <w:r>
        <w:rPr>
          <w:b/>
          <w:sz w:val="28"/>
        </w:rPr>
        <w:t>рамках</w:t>
      </w:r>
      <w:r>
        <w:rPr>
          <w:b/>
          <w:spacing w:val="-10"/>
          <w:sz w:val="28"/>
        </w:rPr>
        <w:t> </w:t>
      </w:r>
      <w:r>
        <w:rPr>
          <w:b/>
          <w:sz w:val="28"/>
        </w:rPr>
        <w:t>углубленной</w:t>
      </w:r>
      <w:r>
        <w:rPr>
          <w:b/>
          <w:spacing w:val="-9"/>
          <w:sz w:val="28"/>
        </w:rPr>
        <w:t> </w:t>
      </w:r>
      <w:r>
        <w:rPr>
          <w:b/>
          <w:sz w:val="28"/>
        </w:rPr>
        <w:t>диспансеризации</w:t>
      </w:r>
    </w:p>
    <w:p>
      <w:pPr>
        <w:pStyle w:val="BodyText"/>
        <w:rPr>
          <w:b/>
          <w:sz w:val="30"/>
        </w:rPr>
      </w:pPr>
    </w:p>
    <w:p>
      <w:pPr>
        <w:pStyle w:val="BodyText"/>
        <w:spacing w:before="9"/>
        <w:rPr>
          <w:b/>
        </w:rPr>
      </w:pPr>
    </w:p>
    <w:p>
      <w:pPr>
        <w:pStyle w:val="ListParagraph"/>
        <w:numPr>
          <w:ilvl w:val="1"/>
          <w:numId w:val="11"/>
        </w:numPr>
        <w:tabs>
          <w:tab w:pos="1148" w:val="left" w:leader="none"/>
        </w:tabs>
        <w:spacing w:line="268" w:lineRule="auto" w:before="0" w:after="0"/>
        <w:ind w:left="158" w:right="150" w:firstLine="707"/>
        <w:jc w:val="both"/>
        <w:rPr>
          <w:sz w:val="28"/>
        </w:rPr>
      </w:pPr>
      <w:r>
        <w:rPr>
          <w:sz w:val="28"/>
        </w:rPr>
        <w:t>Первый</w:t>
      </w:r>
      <w:r>
        <w:rPr>
          <w:spacing w:val="-1"/>
          <w:sz w:val="28"/>
        </w:rPr>
        <w:t> </w:t>
      </w:r>
      <w:r>
        <w:rPr>
          <w:sz w:val="28"/>
        </w:rPr>
        <w:t>этап</w:t>
      </w:r>
      <w:r>
        <w:rPr>
          <w:spacing w:val="-1"/>
          <w:sz w:val="28"/>
        </w:rPr>
        <w:t> </w:t>
      </w:r>
      <w:r>
        <w:rPr>
          <w:sz w:val="28"/>
        </w:rPr>
        <w:t>углубленной</w:t>
      </w:r>
      <w:r>
        <w:rPr>
          <w:spacing w:val="-3"/>
          <w:sz w:val="28"/>
        </w:rPr>
        <w:t> </w:t>
      </w:r>
      <w:r>
        <w:rPr>
          <w:sz w:val="28"/>
        </w:rPr>
        <w:t>диспансеризации,</w:t>
      </w:r>
      <w:r>
        <w:rPr>
          <w:spacing w:val="-2"/>
          <w:sz w:val="28"/>
        </w:rPr>
        <w:t> </w:t>
      </w:r>
      <w:r>
        <w:rPr>
          <w:sz w:val="28"/>
        </w:rPr>
        <w:t>который</w:t>
      </w:r>
      <w:r>
        <w:rPr>
          <w:spacing w:val="-1"/>
          <w:sz w:val="28"/>
        </w:rPr>
        <w:t> </w:t>
      </w:r>
      <w:r>
        <w:rPr>
          <w:sz w:val="28"/>
        </w:rPr>
        <w:t>проводится</w:t>
      </w:r>
      <w:r>
        <w:rPr>
          <w:spacing w:val="-1"/>
          <w:sz w:val="28"/>
        </w:rPr>
        <w:t> </w:t>
      </w:r>
      <w:r>
        <w:rPr>
          <w:sz w:val="28"/>
        </w:rPr>
        <w:t>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w:t>
      </w:r>
      <w:r>
        <w:rPr>
          <w:spacing w:val="80"/>
          <w:sz w:val="28"/>
        </w:rPr>
        <w:t> </w:t>
      </w:r>
      <w:r>
        <w:rPr>
          <w:sz w:val="28"/>
        </w:rPr>
        <w:t>показаний</w:t>
      </w:r>
      <w:r>
        <w:rPr>
          <w:spacing w:val="80"/>
          <w:sz w:val="28"/>
        </w:rPr>
        <w:t> </w:t>
      </w:r>
      <w:r>
        <w:rPr>
          <w:sz w:val="28"/>
        </w:rPr>
        <w:t>к</w:t>
      </w:r>
      <w:r>
        <w:rPr>
          <w:spacing w:val="80"/>
          <w:sz w:val="28"/>
        </w:rPr>
        <w:t> </w:t>
      </w:r>
      <w:r>
        <w:rPr>
          <w:sz w:val="28"/>
        </w:rPr>
        <w:t>выполнению</w:t>
      </w:r>
      <w:r>
        <w:rPr>
          <w:spacing w:val="80"/>
          <w:sz w:val="28"/>
        </w:rPr>
        <w:t> </w:t>
      </w:r>
      <w:r>
        <w:rPr>
          <w:sz w:val="28"/>
        </w:rPr>
        <w:t>дополнительных</w:t>
      </w:r>
      <w:r>
        <w:rPr>
          <w:spacing w:val="80"/>
          <w:sz w:val="28"/>
        </w:rPr>
        <w:t> </w:t>
      </w:r>
      <w:r>
        <w:rPr>
          <w:sz w:val="28"/>
        </w:rPr>
        <w:t>обследований и осмотров врачами-специалистами для уточнения диагноза заболевания (состояния) на втором этапе диспансеризации:</w:t>
      </w:r>
    </w:p>
    <w:p>
      <w:pPr>
        <w:pStyle w:val="BodyText"/>
        <w:spacing w:line="318" w:lineRule="exact"/>
        <w:ind w:left="866"/>
        <w:jc w:val="both"/>
      </w:pPr>
      <w:r>
        <w:rPr/>
        <w:t>а)</w:t>
      </w:r>
      <w:r>
        <w:rPr>
          <w:spacing w:val="-8"/>
        </w:rPr>
        <w:t> </w:t>
      </w:r>
      <w:r>
        <w:rPr/>
        <w:t>измерение</w:t>
      </w:r>
      <w:r>
        <w:rPr>
          <w:spacing w:val="-8"/>
        </w:rPr>
        <w:t> </w:t>
      </w:r>
      <w:r>
        <w:rPr/>
        <w:t>насыщения</w:t>
      </w:r>
      <w:r>
        <w:rPr>
          <w:spacing w:val="-5"/>
        </w:rPr>
        <w:t> </w:t>
      </w:r>
      <w:r>
        <w:rPr/>
        <w:t>крови</w:t>
      </w:r>
      <w:r>
        <w:rPr>
          <w:spacing w:val="-5"/>
        </w:rPr>
        <w:t> </w:t>
      </w:r>
      <w:r>
        <w:rPr/>
        <w:t>кислородом</w:t>
      </w:r>
      <w:r>
        <w:rPr>
          <w:spacing w:val="-5"/>
        </w:rPr>
        <w:t> </w:t>
      </w:r>
      <w:r>
        <w:rPr/>
        <w:t>(сатурация)</w:t>
      </w:r>
      <w:r>
        <w:rPr>
          <w:spacing w:val="-5"/>
        </w:rPr>
        <w:t> </w:t>
      </w:r>
      <w:r>
        <w:rPr/>
        <w:t>в</w:t>
      </w:r>
      <w:r>
        <w:rPr>
          <w:spacing w:val="-7"/>
        </w:rPr>
        <w:t> </w:t>
      </w:r>
      <w:r>
        <w:rPr>
          <w:spacing w:val="-2"/>
        </w:rPr>
        <w:t>покое;</w:t>
      </w:r>
    </w:p>
    <w:p>
      <w:pPr>
        <w:pStyle w:val="BodyText"/>
        <w:spacing w:line="268" w:lineRule="auto" w:before="38"/>
        <w:ind w:left="158" w:right="160" w:firstLine="707"/>
        <w:jc w:val="both"/>
      </w:pPr>
      <w:r>
        <w:rPr/>
        <w:t>б)</w:t>
      </w:r>
      <w:r>
        <w:rPr>
          <w:spacing w:val="-3"/>
        </w:rPr>
        <w:t> </w:t>
      </w:r>
      <w:r>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w:t>
      </w:r>
      <w:r>
        <w:rPr>
          <w:spacing w:val="-2"/>
        </w:rPr>
        <w:t>интенсивность);</w:t>
      </w:r>
    </w:p>
    <w:p>
      <w:pPr>
        <w:pStyle w:val="BodyText"/>
        <w:spacing w:line="320" w:lineRule="exact"/>
        <w:ind w:left="866"/>
        <w:jc w:val="both"/>
      </w:pPr>
      <w:r>
        <w:rPr/>
        <w:t>в)</w:t>
      </w:r>
      <w:r>
        <w:rPr>
          <w:spacing w:val="-8"/>
        </w:rPr>
        <w:t> </w:t>
      </w:r>
      <w:r>
        <w:rPr/>
        <w:t>проведение</w:t>
      </w:r>
      <w:r>
        <w:rPr>
          <w:spacing w:val="-5"/>
        </w:rPr>
        <w:t> </w:t>
      </w:r>
      <w:r>
        <w:rPr/>
        <w:t>спирометрии</w:t>
      </w:r>
      <w:r>
        <w:rPr>
          <w:spacing w:val="-8"/>
        </w:rPr>
        <w:t> </w:t>
      </w:r>
      <w:r>
        <w:rPr/>
        <w:t>или</w:t>
      </w:r>
      <w:r>
        <w:rPr>
          <w:spacing w:val="-5"/>
        </w:rPr>
        <w:t> </w:t>
      </w:r>
      <w:r>
        <w:rPr>
          <w:spacing w:val="-2"/>
        </w:rPr>
        <w:t>спирографии;</w:t>
      </w:r>
    </w:p>
    <w:p>
      <w:pPr>
        <w:pStyle w:val="BodyText"/>
        <w:spacing w:before="38"/>
        <w:ind w:left="866"/>
        <w:jc w:val="both"/>
      </w:pPr>
      <w:r>
        <w:rPr/>
        <w:t>г)</w:t>
      </w:r>
      <w:r>
        <w:rPr>
          <w:spacing w:val="-7"/>
        </w:rPr>
        <w:t> </w:t>
      </w:r>
      <w:r>
        <w:rPr/>
        <w:t>общий</w:t>
      </w:r>
      <w:r>
        <w:rPr>
          <w:spacing w:val="-4"/>
        </w:rPr>
        <w:t> </w:t>
      </w:r>
      <w:r>
        <w:rPr/>
        <w:t>(клинический)</w:t>
      </w:r>
      <w:r>
        <w:rPr>
          <w:spacing w:val="-4"/>
        </w:rPr>
        <w:t> </w:t>
      </w:r>
      <w:r>
        <w:rPr/>
        <w:t>анализ</w:t>
      </w:r>
      <w:r>
        <w:rPr>
          <w:spacing w:val="-4"/>
        </w:rPr>
        <w:t> </w:t>
      </w:r>
      <w:r>
        <w:rPr/>
        <w:t>крови</w:t>
      </w:r>
      <w:r>
        <w:rPr>
          <w:spacing w:val="-4"/>
        </w:rPr>
        <w:t> </w:t>
      </w:r>
      <w:r>
        <w:rPr>
          <w:spacing w:val="-2"/>
        </w:rPr>
        <w:t>развернутый;</w:t>
      </w:r>
    </w:p>
    <w:p>
      <w:pPr>
        <w:pStyle w:val="BodyText"/>
        <w:spacing w:line="268" w:lineRule="auto" w:before="38"/>
        <w:ind w:left="158" w:right="153" w:firstLine="707"/>
        <w:jc w:val="both"/>
      </w:pPr>
      <w:r>
        <w:rPr/>
        <w:t>д)</w:t>
      </w:r>
      <w:r>
        <w:rPr>
          <w:spacing w:val="-3"/>
        </w:rPr>
        <w:t> </w:t>
      </w:r>
      <w:r>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w:t>
      </w:r>
      <w:r>
        <w:rPr>
          <w:spacing w:val="-1"/>
        </w:rPr>
        <w:t> </w:t>
      </w:r>
      <w:r>
        <w:rPr/>
        <w:t>креатинина в крови);</w:t>
      </w:r>
    </w:p>
    <w:p>
      <w:pPr>
        <w:pStyle w:val="BodyText"/>
        <w:spacing w:line="268" w:lineRule="auto"/>
        <w:ind w:left="158" w:right="154" w:firstLine="707"/>
        <w:jc w:val="both"/>
      </w:pPr>
      <w:r>
        <w:rPr/>
        <w:t>е)</w:t>
      </w:r>
      <w:r>
        <w:rPr>
          <w:spacing w:val="-2"/>
        </w:rPr>
        <w:t> </w:t>
      </w:r>
      <w:r>
        <w:rPr/>
        <w:t>определение концентрации Д-димера в крови у граждан, перенесших среднюю степень тяжести и выше новой коронавирусной инфекции (COVID-19);</w:t>
      </w:r>
    </w:p>
    <w:p>
      <w:pPr>
        <w:pStyle w:val="BodyText"/>
        <w:spacing w:line="268" w:lineRule="auto"/>
        <w:ind w:left="158" w:right="157" w:firstLine="707"/>
        <w:jc w:val="both"/>
      </w:pPr>
      <w:r>
        <w:rPr/>
        <w:t>ж)</w:t>
      </w:r>
      <w:r>
        <w:rPr>
          <w:spacing w:val="-3"/>
        </w:rPr>
        <w:t> </w:t>
      </w:r>
      <w:r>
        <w:rPr/>
        <w:t>проведение</w:t>
      </w:r>
      <w:r>
        <w:rPr>
          <w:spacing w:val="40"/>
        </w:rPr>
        <w:t>  </w:t>
      </w:r>
      <w:r>
        <w:rPr/>
        <w:t>рентгенографии</w:t>
      </w:r>
      <w:r>
        <w:rPr>
          <w:spacing w:val="40"/>
        </w:rPr>
        <w:t>  </w:t>
      </w:r>
      <w:r>
        <w:rPr/>
        <w:t>органов</w:t>
      </w:r>
      <w:r>
        <w:rPr>
          <w:spacing w:val="40"/>
        </w:rPr>
        <w:t>  </w:t>
      </w:r>
      <w:r>
        <w:rPr/>
        <w:t>грудной</w:t>
      </w:r>
      <w:r>
        <w:rPr>
          <w:spacing w:val="40"/>
        </w:rPr>
        <w:t>  </w:t>
      </w:r>
      <w:r>
        <w:rPr/>
        <w:t>клетки</w:t>
      </w:r>
      <w:r>
        <w:rPr>
          <w:spacing w:val="40"/>
        </w:rPr>
        <w:t>  </w:t>
      </w:r>
      <w:r>
        <w:rPr/>
        <w:t>(если не выполнялась ранее в течение года);</w:t>
      </w:r>
    </w:p>
    <w:p>
      <w:pPr>
        <w:spacing w:after="0" w:line="268" w:lineRule="auto"/>
        <w:jc w:val="both"/>
        <w:sectPr>
          <w:headerReference w:type="default" r:id="rId532"/>
          <w:pgSz w:w="11910" w:h="16850"/>
          <w:pgMar w:header="0" w:footer="0" w:top="1340" w:bottom="280" w:left="1260" w:right="1260"/>
        </w:sectPr>
      </w:pPr>
    </w:p>
    <w:p>
      <w:pPr>
        <w:pStyle w:val="BodyText"/>
        <w:spacing w:before="61"/>
        <w:jc w:val="center"/>
      </w:pPr>
      <w:r>
        <w:rPr>
          <w:w w:val="100"/>
        </w:rPr>
        <w:t>2</w:t>
      </w:r>
    </w:p>
    <w:p>
      <w:pPr>
        <w:pStyle w:val="BodyText"/>
        <w:spacing w:before="6"/>
        <w:rPr>
          <w:sz w:val="33"/>
        </w:rPr>
      </w:pPr>
    </w:p>
    <w:p>
      <w:pPr>
        <w:pStyle w:val="BodyText"/>
        <w:spacing w:line="268" w:lineRule="auto" w:before="1"/>
        <w:ind w:left="158" w:right="154" w:firstLine="707"/>
        <w:jc w:val="both"/>
      </w:pPr>
      <w:r>
        <w:rPr/>
        <w:t>з)</w:t>
      </w:r>
      <w:r>
        <w:rPr>
          <w:spacing w:val="-3"/>
        </w:rPr>
        <w:t> </w:t>
      </w:r>
      <w:r>
        <w:rPr/>
        <w:t>прием (осмотр) врачом-терапевтом (участковым терапевтом, врачом общей практики).</w:t>
      </w:r>
    </w:p>
    <w:p>
      <w:pPr>
        <w:pStyle w:val="ListParagraph"/>
        <w:numPr>
          <w:ilvl w:val="1"/>
          <w:numId w:val="11"/>
        </w:numPr>
        <w:tabs>
          <w:tab w:pos="1148" w:val="left" w:leader="none"/>
        </w:tabs>
        <w:spacing w:line="268" w:lineRule="auto" w:before="0" w:after="0"/>
        <w:ind w:left="158" w:right="158" w:firstLine="707"/>
        <w:jc w:val="both"/>
        <w:rPr>
          <w:sz w:val="28"/>
        </w:rPr>
      </w:pPr>
      <w:r>
        <w:rPr>
          <w:sz w:val="28"/>
        </w:rPr>
        <w:t>Второй</w:t>
      </w:r>
      <w:r>
        <w:rPr>
          <w:spacing w:val="-6"/>
          <w:sz w:val="28"/>
        </w:rPr>
        <w:t> </w:t>
      </w:r>
      <w:r>
        <w:rPr>
          <w:sz w:val="28"/>
        </w:rPr>
        <w:t>этап</w:t>
      </w:r>
      <w:r>
        <w:rPr>
          <w:spacing w:val="-6"/>
          <w:sz w:val="28"/>
        </w:rPr>
        <w:t> </w:t>
      </w:r>
      <w:r>
        <w:rPr>
          <w:sz w:val="28"/>
        </w:rPr>
        <w:t>диспансеризации,</w:t>
      </w:r>
      <w:r>
        <w:rPr>
          <w:spacing w:val="-7"/>
          <w:sz w:val="28"/>
        </w:rPr>
        <w:t> </w:t>
      </w:r>
      <w:r>
        <w:rPr>
          <w:sz w:val="28"/>
        </w:rPr>
        <w:t>который</w:t>
      </w:r>
      <w:r>
        <w:rPr>
          <w:spacing w:val="-6"/>
          <w:sz w:val="28"/>
        </w:rPr>
        <w:t> </w:t>
      </w:r>
      <w:r>
        <w:rPr>
          <w:sz w:val="28"/>
        </w:rPr>
        <w:t>проводится</w:t>
      </w:r>
      <w:r>
        <w:rPr>
          <w:spacing w:val="-6"/>
          <w:sz w:val="28"/>
        </w:rPr>
        <w:t> </w:t>
      </w:r>
      <w:r>
        <w:rPr>
          <w:sz w:val="28"/>
        </w:rPr>
        <w:t>по</w:t>
      </w:r>
      <w:r>
        <w:rPr>
          <w:spacing w:val="-5"/>
          <w:sz w:val="28"/>
        </w:rPr>
        <w:t> </w:t>
      </w:r>
      <w:r>
        <w:rPr>
          <w:sz w:val="28"/>
        </w:rPr>
        <w:t>результатам первого этапа в целях дополнительного обследования и уточнения диагноза заболевания (состояния):</w:t>
      </w:r>
    </w:p>
    <w:p>
      <w:pPr>
        <w:pStyle w:val="BodyText"/>
        <w:spacing w:line="268" w:lineRule="auto"/>
        <w:ind w:left="158" w:right="152" w:firstLine="707"/>
        <w:jc w:val="both"/>
      </w:pPr>
      <w:r>
        <w:rPr/>
        <w:t>а)</w:t>
      </w:r>
      <w:r>
        <w:rPr>
          <w:spacing w:val="-3"/>
        </w:rPr>
        <w:t> </w:t>
      </w:r>
      <w:r>
        <w:rPr/>
        <w:t>проведение</w:t>
      </w:r>
      <w:r>
        <w:rPr>
          <w:spacing w:val="80"/>
          <w:w w:val="150"/>
        </w:rPr>
        <w:t> </w:t>
      </w:r>
      <w:r>
        <w:rPr/>
        <w:t>эхокардиографии</w:t>
      </w:r>
      <w:r>
        <w:rPr>
          <w:spacing w:val="80"/>
          <w:w w:val="150"/>
        </w:rPr>
        <w:t> </w:t>
      </w:r>
      <w:r>
        <w:rPr/>
        <w:t>(в</w:t>
      </w:r>
      <w:r>
        <w:rPr>
          <w:spacing w:val="80"/>
          <w:w w:val="150"/>
        </w:rPr>
        <w:t> </w:t>
      </w:r>
      <w:r>
        <w:rPr/>
        <w:t>случае</w:t>
      </w:r>
      <w:r>
        <w:rPr>
          <w:spacing w:val="80"/>
          <w:w w:val="150"/>
        </w:rPr>
        <w:t> </w:t>
      </w:r>
      <w:r>
        <w:rPr/>
        <w:t>показателя</w:t>
      </w:r>
      <w:r>
        <w:rPr>
          <w:spacing w:val="80"/>
          <w:w w:val="150"/>
        </w:rPr>
        <w:t> </w:t>
      </w:r>
      <w:r>
        <w:rPr/>
        <w:t>сатурации в</w:t>
      </w:r>
      <w:r>
        <w:rPr>
          <w:spacing w:val="40"/>
        </w:rPr>
        <w:t> </w:t>
      </w:r>
      <w:r>
        <w:rPr/>
        <w:t>покое</w:t>
      </w:r>
      <w:r>
        <w:rPr>
          <w:spacing w:val="60"/>
        </w:rPr>
        <w:t> </w:t>
      </w:r>
      <w:r>
        <w:rPr/>
        <w:t>94</w:t>
      </w:r>
      <w:r>
        <w:rPr>
          <w:spacing w:val="60"/>
        </w:rPr>
        <w:t> </w:t>
      </w:r>
      <w:r>
        <w:rPr/>
        <w:t>процента</w:t>
      </w:r>
      <w:r>
        <w:rPr>
          <w:spacing w:val="40"/>
        </w:rPr>
        <w:t> </w:t>
      </w:r>
      <w:r>
        <w:rPr/>
        <w:t>и</w:t>
      </w:r>
      <w:r>
        <w:rPr>
          <w:spacing w:val="60"/>
        </w:rPr>
        <w:t> </w:t>
      </w:r>
      <w:r>
        <w:rPr/>
        <w:t>ниже,</w:t>
      </w:r>
      <w:r>
        <w:rPr>
          <w:spacing w:val="40"/>
        </w:rPr>
        <w:t> </w:t>
      </w:r>
      <w:r>
        <w:rPr/>
        <w:t>а</w:t>
      </w:r>
      <w:r>
        <w:rPr>
          <w:spacing w:val="60"/>
        </w:rPr>
        <w:t> </w:t>
      </w:r>
      <w:r>
        <w:rPr/>
        <w:t>также</w:t>
      </w:r>
      <w:r>
        <w:rPr>
          <w:spacing w:val="40"/>
        </w:rPr>
        <w:t> </w:t>
      </w:r>
      <w:r>
        <w:rPr/>
        <w:t>по</w:t>
      </w:r>
      <w:r>
        <w:rPr>
          <w:spacing w:val="60"/>
        </w:rPr>
        <w:t> </w:t>
      </w:r>
      <w:r>
        <w:rPr/>
        <w:t>результатам</w:t>
      </w:r>
      <w:r>
        <w:rPr>
          <w:spacing w:val="40"/>
        </w:rPr>
        <w:t> </w:t>
      </w:r>
      <w:r>
        <w:rPr/>
        <w:t>проведения</w:t>
      </w:r>
      <w:r>
        <w:rPr>
          <w:spacing w:val="60"/>
        </w:rPr>
        <w:t> </w:t>
      </w:r>
      <w:r>
        <w:rPr/>
        <w:t>теста с 6-минутной ходьбой);</w:t>
      </w:r>
    </w:p>
    <w:p>
      <w:pPr>
        <w:pStyle w:val="BodyText"/>
        <w:spacing w:line="268" w:lineRule="auto"/>
        <w:ind w:left="158" w:right="158" w:firstLine="707"/>
        <w:jc w:val="both"/>
      </w:pPr>
      <w:r>
        <w:rPr/>
        <w:t>б)</w:t>
      </w:r>
      <w:r>
        <w:rPr>
          <w:spacing w:val="-3"/>
        </w:rPr>
        <w:t> </w:t>
      </w:r>
      <w:r>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BodyText"/>
        <w:spacing w:line="268" w:lineRule="auto"/>
        <w:ind w:left="158" w:right="153" w:firstLine="707"/>
        <w:jc w:val="both"/>
      </w:pPr>
      <w:r>
        <w:rPr/>
        <w:t>в)</w:t>
      </w:r>
      <w:r>
        <w:rPr>
          <w:spacing w:val="-4"/>
        </w:rPr>
        <w:t> </w:t>
      </w:r>
      <w:r>
        <w:rPr/>
        <w:t>дуплексное сканирование вен нижних конечностей (при наличии показаний по результатам определения концентрации Д-димера в крови).</w:t>
      </w:r>
    </w:p>
    <w:p>
      <w:pPr>
        <w:pStyle w:val="BodyText"/>
        <w:rPr>
          <w:sz w:val="20"/>
        </w:rPr>
      </w:pPr>
    </w:p>
    <w:p>
      <w:pPr>
        <w:pStyle w:val="BodyText"/>
        <w:rPr>
          <w:sz w:val="20"/>
        </w:rPr>
      </w:pPr>
    </w:p>
    <w:p>
      <w:pPr>
        <w:pStyle w:val="BodyText"/>
        <w:rPr>
          <w:sz w:val="20"/>
        </w:rPr>
      </w:pPr>
    </w:p>
    <w:p>
      <w:pPr>
        <w:pStyle w:val="BodyText"/>
        <w:spacing w:before="4"/>
        <w:rPr>
          <w:sz w:val="27"/>
        </w:rPr>
      </w:pPr>
      <w:r>
        <w:rPr/>
        <w:pict>
          <v:shape style="position:absolute;margin-left:255.770004pt;margin-top:16.923681pt;width:84.05pt;height:.1pt;mso-position-horizontal-relative:page;mso-position-vertical-relative:paragraph;z-index:-15726080;mso-wrap-distance-left:0;mso-wrap-distance-right:0" id="docshape9" coordorigin="5115,338" coordsize="1681,0" path="m5115,338l6796,338e" filled="false" stroked="true" strokeweight=".5616pt" strokecolor="#000000">
            <v:path arrowok="t"/>
            <v:stroke dashstyle="solid"/>
            <w10:wrap type="topAndBottom"/>
          </v:shape>
        </w:pict>
      </w:r>
    </w:p>
    <w:p>
      <w:pPr>
        <w:spacing w:after="0"/>
        <w:rPr>
          <w:sz w:val="27"/>
        </w:rPr>
        <w:sectPr>
          <w:headerReference w:type="default" r:id="rId533"/>
          <w:pgSz w:w="11910" w:h="16850"/>
          <w:pgMar w:header="0" w:footer="0" w:top="680" w:bottom="280" w:left="1260" w:right="1260"/>
        </w:sectPr>
      </w:pPr>
    </w:p>
    <w:p>
      <w:pPr>
        <w:pStyle w:val="BodyText"/>
        <w:spacing w:line="322" w:lineRule="exact" w:before="132"/>
        <w:ind w:left="4247" w:right="271"/>
        <w:jc w:val="center"/>
      </w:pPr>
      <w:r>
        <w:rPr/>
        <w:t>ПРИЛОЖЕНИЕ</w:t>
      </w:r>
      <w:r>
        <w:rPr>
          <w:spacing w:val="-6"/>
        </w:rPr>
        <w:t> </w:t>
      </w:r>
      <w:r>
        <w:rPr/>
        <w:t>№</w:t>
      </w:r>
      <w:r>
        <w:rPr>
          <w:spacing w:val="-6"/>
        </w:rPr>
        <w:t> </w:t>
      </w:r>
      <w:r>
        <w:rPr>
          <w:spacing w:val="-10"/>
        </w:rPr>
        <w:t>3</w:t>
      </w:r>
    </w:p>
    <w:p>
      <w:pPr>
        <w:pStyle w:val="BodyText"/>
        <w:ind w:left="4246" w:right="272"/>
        <w:jc w:val="center"/>
      </w:pPr>
      <w:r>
        <w:rPr/>
        <w:t>к</w:t>
      </w:r>
      <w:r>
        <w:rPr>
          <w:spacing w:val="-12"/>
        </w:rPr>
        <w:t> </w:t>
      </w:r>
      <w:r>
        <w:rPr/>
        <w:t>Программе</w:t>
      </w:r>
      <w:r>
        <w:rPr>
          <w:spacing w:val="-12"/>
        </w:rPr>
        <w:t> </w:t>
      </w:r>
      <w:r>
        <w:rPr/>
        <w:t>государственных</w:t>
      </w:r>
      <w:r>
        <w:rPr>
          <w:spacing w:val="-11"/>
        </w:rPr>
        <w:t> </w:t>
      </w:r>
      <w:r>
        <w:rPr/>
        <w:t>гарантий бесплатного оказания гражданам медицинской помощи на 2022 год</w:t>
      </w:r>
    </w:p>
    <w:p>
      <w:pPr>
        <w:pStyle w:val="BodyText"/>
        <w:spacing w:before="1"/>
        <w:ind w:left="4247" w:right="272"/>
        <w:jc w:val="center"/>
      </w:pPr>
      <w:r>
        <w:rPr/>
        <w:t>и</w:t>
      </w:r>
      <w:r>
        <w:rPr>
          <w:spacing w:val="-3"/>
        </w:rPr>
        <w:t> </w:t>
      </w:r>
      <w:r>
        <w:rPr/>
        <w:t>на</w:t>
      </w:r>
      <w:r>
        <w:rPr>
          <w:spacing w:val="-6"/>
        </w:rPr>
        <w:t> </w:t>
      </w:r>
      <w:r>
        <w:rPr/>
        <w:t>плановый</w:t>
      </w:r>
      <w:r>
        <w:rPr>
          <w:spacing w:val="-2"/>
        </w:rPr>
        <w:t> </w:t>
      </w:r>
      <w:r>
        <w:rPr/>
        <w:t>период</w:t>
      </w:r>
      <w:r>
        <w:rPr>
          <w:spacing w:val="-5"/>
        </w:rPr>
        <w:t> </w:t>
      </w:r>
      <w:r>
        <w:rPr/>
        <w:t>2023</w:t>
      </w:r>
      <w:r>
        <w:rPr>
          <w:spacing w:val="-1"/>
        </w:rPr>
        <w:t> </w:t>
      </w:r>
      <w:r>
        <w:rPr/>
        <w:t>и</w:t>
      </w:r>
      <w:r>
        <w:rPr>
          <w:spacing w:val="-6"/>
        </w:rPr>
        <w:t> </w:t>
      </w:r>
      <w:r>
        <w:rPr/>
        <w:t>2024</w:t>
      </w:r>
      <w:r>
        <w:rPr>
          <w:spacing w:val="-1"/>
        </w:rPr>
        <w:t> </w:t>
      </w:r>
      <w:r>
        <w:rPr>
          <w:spacing w:val="-4"/>
        </w:rPr>
        <w:t>годов</w:t>
      </w:r>
    </w:p>
    <w:p>
      <w:pPr>
        <w:pStyle w:val="BodyText"/>
        <w:rPr>
          <w:sz w:val="30"/>
        </w:rPr>
      </w:pPr>
    </w:p>
    <w:p>
      <w:pPr>
        <w:pStyle w:val="BodyText"/>
        <w:rPr>
          <w:sz w:val="33"/>
        </w:rPr>
      </w:pPr>
    </w:p>
    <w:p>
      <w:pPr>
        <w:pStyle w:val="Heading1"/>
        <w:ind w:left="274" w:right="272"/>
      </w:pPr>
      <w:r>
        <w:rPr/>
        <w:t>П О</w:t>
      </w:r>
      <w:r>
        <w:rPr>
          <w:spacing w:val="-2"/>
        </w:rPr>
        <w:t> </w:t>
      </w:r>
      <w:r>
        <w:rPr/>
        <w:t>Л</w:t>
      </w:r>
      <w:r>
        <w:rPr>
          <w:spacing w:val="-1"/>
        </w:rPr>
        <w:t> </w:t>
      </w:r>
      <w:r>
        <w:rPr/>
        <w:t>О Ж Е</w:t>
      </w:r>
      <w:r>
        <w:rPr>
          <w:spacing w:val="-2"/>
        </w:rPr>
        <w:t> </w:t>
      </w:r>
      <w:r>
        <w:rPr/>
        <w:t>Н И</w:t>
      </w:r>
      <w:r>
        <w:rPr>
          <w:spacing w:val="-4"/>
        </w:rPr>
        <w:t> </w:t>
      </w:r>
      <w:r>
        <w:rPr>
          <w:spacing w:val="-10"/>
        </w:rPr>
        <w:t>Е</w:t>
      </w:r>
    </w:p>
    <w:p>
      <w:pPr>
        <w:spacing w:before="121"/>
        <w:ind w:left="895" w:right="0" w:hanging="677"/>
        <w:jc w:val="left"/>
        <w:rPr>
          <w:b/>
          <w:sz w:val="28"/>
        </w:rPr>
      </w:pPr>
      <w:r>
        <w:rPr>
          <w:b/>
          <w:sz w:val="28"/>
        </w:rPr>
        <w:t>об</w:t>
      </w:r>
      <w:r>
        <w:rPr>
          <w:b/>
          <w:spacing w:val="-7"/>
          <w:sz w:val="28"/>
        </w:rPr>
        <w:t> </w:t>
      </w:r>
      <w:r>
        <w:rPr>
          <w:b/>
          <w:sz w:val="28"/>
        </w:rPr>
        <w:t>установлении</w:t>
      </w:r>
      <w:r>
        <w:rPr>
          <w:b/>
          <w:spacing w:val="-5"/>
          <w:sz w:val="28"/>
        </w:rPr>
        <w:t> </w:t>
      </w:r>
      <w:r>
        <w:rPr>
          <w:b/>
          <w:sz w:val="28"/>
        </w:rPr>
        <w:t>тарифов</w:t>
      </w:r>
      <w:r>
        <w:rPr>
          <w:b/>
          <w:spacing w:val="-5"/>
          <w:sz w:val="28"/>
        </w:rPr>
        <w:t> </w:t>
      </w:r>
      <w:r>
        <w:rPr>
          <w:b/>
          <w:sz w:val="28"/>
        </w:rPr>
        <w:t>на</w:t>
      </w:r>
      <w:r>
        <w:rPr>
          <w:b/>
          <w:spacing w:val="-3"/>
          <w:sz w:val="28"/>
        </w:rPr>
        <w:t> </w:t>
      </w:r>
      <w:r>
        <w:rPr>
          <w:b/>
          <w:sz w:val="28"/>
        </w:rPr>
        <w:t>оплату</w:t>
      </w:r>
      <w:r>
        <w:rPr>
          <w:b/>
          <w:spacing w:val="-3"/>
          <w:sz w:val="28"/>
        </w:rPr>
        <w:t> </w:t>
      </w:r>
      <w:r>
        <w:rPr>
          <w:b/>
          <w:sz w:val="28"/>
        </w:rPr>
        <w:t>специализированной,</w:t>
      </w:r>
      <w:r>
        <w:rPr>
          <w:b/>
          <w:spacing w:val="-5"/>
          <w:sz w:val="28"/>
        </w:rPr>
        <w:t> </w:t>
      </w:r>
      <w:r>
        <w:rPr>
          <w:b/>
          <w:sz w:val="28"/>
        </w:rPr>
        <w:t>в</w:t>
      </w:r>
      <w:r>
        <w:rPr>
          <w:b/>
          <w:spacing w:val="-5"/>
          <w:sz w:val="28"/>
        </w:rPr>
        <w:t> </w:t>
      </w:r>
      <w:r>
        <w:rPr>
          <w:b/>
          <w:sz w:val="28"/>
        </w:rPr>
        <w:t>том</w:t>
      </w:r>
      <w:r>
        <w:rPr>
          <w:b/>
          <w:spacing w:val="-4"/>
          <w:sz w:val="28"/>
        </w:rPr>
        <w:t> </w:t>
      </w:r>
      <w:r>
        <w:rPr>
          <w:b/>
          <w:sz w:val="28"/>
        </w:rPr>
        <w:t>числе высокотехнологичной, медицинской помощи, оказываемой</w:t>
      </w:r>
    </w:p>
    <w:p>
      <w:pPr>
        <w:spacing w:line="240" w:lineRule="auto" w:before="0"/>
        <w:ind w:left="602" w:right="235" w:hanging="276"/>
        <w:jc w:val="left"/>
        <w:rPr>
          <w:b/>
          <w:sz w:val="28"/>
        </w:rPr>
      </w:pPr>
      <w:r>
        <w:rPr>
          <w:b/>
          <w:sz w:val="28"/>
        </w:rPr>
        <w:t>медицинскими</w:t>
      </w:r>
      <w:r>
        <w:rPr>
          <w:b/>
          <w:spacing w:val="-6"/>
          <w:sz w:val="28"/>
        </w:rPr>
        <w:t> </w:t>
      </w:r>
      <w:r>
        <w:rPr>
          <w:b/>
          <w:sz w:val="28"/>
        </w:rPr>
        <w:t>организациями,</w:t>
      </w:r>
      <w:r>
        <w:rPr>
          <w:b/>
          <w:spacing w:val="-7"/>
          <w:sz w:val="28"/>
        </w:rPr>
        <w:t> </w:t>
      </w:r>
      <w:r>
        <w:rPr>
          <w:b/>
          <w:sz w:val="28"/>
        </w:rPr>
        <w:t>функции</w:t>
      </w:r>
      <w:r>
        <w:rPr>
          <w:b/>
          <w:spacing w:val="-7"/>
          <w:sz w:val="28"/>
        </w:rPr>
        <w:t> </w:t>
      </w:r>
      <w:r>
        <w:rPr>
          <w:b/>
          <w:sz w:val="28"/>
        </w:rPr>
        <w:t>и</w:t>
      </w:r>
      <w:r>
        <w:rPr>
          <w:b/>
          <w:spacing w:val="-8"/>
          <w:sz w:val="28"/>
        </w:rPr>
        <w:t> </w:t>
      </w:r>
      <w:r>
        <w:rPr>
          <w:b/>
          <w:sz w:val="28"/>
        </w:rPr>
        <w:t>полномочия</w:t>
      </w:r>
      <w:r>
        <w:rPr>
          <w:b/>
          <w:spacing w:val="-8"/>
          <w:sz w:val="28"/>
        </w:rPr>
        <w:t> </w:t>
      </w:r>
      <w:r>
        <w:rPr>
          <w:b/>
          <w:sz w:val="28"/>
        </w:rPr>
        <w:t>учредителей в отношении которых осуществляет Правительство Российской Федерации или федеральные органы исполнительной власти,</w:t>
      </w:r>
    </w:p>
    <w:p>
      <w:pPr>
        <w:spacing w:before="0"/>
        <w:ind w:left="2013" w:right="0" w:hanging="1234"/>
        <w:jc w:val="left"/>
        <w:rPr>
          <w:b/>
          <w:sz w:val="28"/>
        </w:rPr>
      </w:pPr>
      <w:r>
        <w:rPr>
          <w:b/>
          <w:sz w:val="28"/>
        </w:rPr>
        <w:t>в</w:t>
      </w:r>
      <w:r>
        <w:rPr>
          <w:b/>
          <w:spacing w:val="-6"/>
          <w:sz w:val="28"/>
        </w:rPr>
        <w:t> </w:t>
      </w:r>
      <w:r>
        <w:rPr>
          <w:b/>
          <w:sz w:val="28"/>
        </w:rPr>
        <w:t>соответствии</w:t>
      </w:r>
      <w:r>
        <w:rPr>
          <w:b/>
          <w:spacing w:val="-6"/>
          <w:sz w:val="28"/>
        </w:rPr>
        <w:t> </w:t>
      </w:r>
      <w:r>
        <w:rPr>
          <w:b/>
          <w:sz w:val="28"/>
        </w:rPr>
        <w:t>с</w:t>
      </w:r>
      <w:r>
        <w:rPr>
          <w:b/>
          <w:spacing w:val="-6"/>
          <w:sz w:val="28"/>
        </w:rPr>
        <w:t> </w:t>
      </w:r>
      <w:r>
        <w:rPr>
          <w:b/>
          <w:sz w:val="28"/>
        </w:rPr>
        <w:t>едиными</w:t>
      </w:r>
      <w:r>
        <w:rPr>
          <w:b/>
          <w:spacing w:val="-5"/>
          <w:sz w:val="28"/>
        </w:rPr>
        <w:t> </w:t>
      </w:r>
      <w:r>
        <w:rPr>
          <w:b/>
          <w:sz w:val="28"/>
        </w:rPr>
        <w:t>требованиями</w:t>
      </w:r>
      <w:r>
        <w:rPr>
          <w:b/>
          <w:spacing w:val="-6"/>
          <w:sz w:val="28"/>
        </w:rPr>
        <w:t> </w:t>
      </w:r>
      <w:r>
        <w:rPr>
          <w:b/>
          <w:sz w:val="28"/>
        </w:rPr>
        <w:t>базовой</w:t>
      </w:r>
      <w:r>
        <w:rPr>
          <w:b/>
          <w:spacing w:val="-6"/>
          <w:sz w:val="28"/>
        </w:rPr>
        <w:t> </w:t>
      </w:r>
      <w:r>
        <w:rPr>
          <w:b/>
          <w:sz w:val="28"/>
        </w:rPr>
        <w:t>программы обязательного медицинского страхования</w:t>
      </w:r>
    </w:p>
    <w:p>
      <w:pPr>
        <w:pStyle w:val="BodyText"/>
        <w:rPr>
          <w:b/>
          <w:sz w:val="30"/>
        </w:rPr>
      </w:pPr>
    </w:p>
    <w:p>
      <w:pPr>
        <w:pStyle w:val="BodyText"/>
        <w:spacing w:before="9"/>
        <w:rPr>
          <w:b/>
        </w:rPr>
      </w:pPr>
    </w:p>
    <w:p>
      <w:pPr>
        <w:pStyle w:val="ListParagraph"/>
        <w:numPr>
          <w:ilvl w:val="0"/>
          <w:numId w:val="12"/>
        </w:numPr>
        <w:tabs>
          <w:tab w:pos="1148" w:val="left" w:leader="none"/>
        </w:tabs>
        <w:spacing w:line="268" w:lineRule="auto" w:before="0" w:after="0"/>
        <w:ind w:left="158" w:right="154" w:firstLine="707"/>
        <w:jc w:val="both"/>
        <w:rPr>
          <w:sz w:val="28"/>
        </w:rPr>
      </w:pPr>
      <w:r>
        <w:rPr>
          <w:sz w:val="28"/>
        </w:rPr>
        <w:t>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ListParagraph"/>
        <w:numPr>
          <w:ilvl w:val="0"/>
          <w:numId w:val="12"/>
        </w:numPr>
        <w:tabs>
          <w:tab w:pos="1148" w:val="left" w:leader="none"/>
        </w:tabs>
        <w:spacing w:line="268" w:lineRule="auto" w:before="0" w:after="0"/>
        <w:ind w:left="158" w:right="150" w:firstLine="707"/>
        <w:jc w:val="both"/>
        <w:rPr>
          <w:sz w:val="28"/>
        </w:rPr>
      </w:pPr>
      <w:r>
        <w:rPr>
          <w:sz w:val="28"/>
        </w:rPr>
        <w:t>Тарифы</w:t>
      </w:r>
      <w:r>
        <w:rPr>
          <w:spacing w:val="40"/>
          <w:sz w:val="28"/>
        </w:rPr>
        <w:t>  </w:t>
      </w:r>
      <w:r>
        <w:rPr>
          <w:sz w:val="28"/>
        </w:rPr>
        <w:t>на</w:t>
      </w:r>
      <w:r>
        <w:rPr>
          <w:spacing w:val="40"/>
          <w:sz w:val="28"/>
        </w:rPr>
        <w:t>  </w:t>
      </w:r>
      <w:r>
        <w:rPr>
          <w:sz w:val="28"/>
        </w:rPr>
        <w:t>оплату</w:t>
      </w:r>
      <w:r>
        <w:rPr>
          <w:spacing w:val="40"/>
          <w:sz w:val="28"/>
        </w:rPr>
        <w:t>  </w:t>
      </w:r>
      <w:r>
        <w:rPr>
          <w:sz w:val="28"/>
        </w:rPr>
        <w:t>медицинской</w:t>
      </w:r>
      <w:r>
        <w:rPr>
          <w:spacing w:val="40"/>
          <w:sz w:val="28"/>
        </w:rPr>
        <w:t>  </w:t>
      </w:r>
      <w:r>
        <w:rPr>
          <w:sz w:val="28"/>
        </w:rPr>
        <w:t>помощи</w:t>
      </w:r>
      <w:r>
        <w:rPr>
          <w:spacing w:val="40"/>
          <w:sz w:val="28"/>
        </w:rPr>
        <w:t>  </w:t>
      </w:r>
      <w:r>
        <w:rPr>
          <w:sz w:val="28"/>
        </w:rPr>
        <w:t>устанавливаются</w:t>
      </w:r>
      <w:r>
        <w:rPr>
          <w:spacing w:val="40"/>
          <w:sz w:val="28"/>
        </w:rPr>
        <w:t> </w:t>
      </w:r>
      <w:r>
        <w:rPr>
          <w:sz w:val="28"/>
        </w:rPr>
        <w:t>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 1 и 4 к Программе государственных гарантий бесплатного оказания гражданам медицинской помощи на 2022 год и на плановый период 2023 и 2024 годов, утвержденной</w:t>
      </w:r>
      <w:r>
        <w:rPr>
          <w:spacing w:val="80"/>
          <w:sz w:val="28"/>
        </w:rPr>
        <w:t> </w:t>
      </w:r>
      <w:r>
        <w:rPr>
          <w:sz w:val="28"/>
        </w:rPr>
        <w:t>постановлением</w:t>
      </w:r>
      <w:r>
        <w:rPr>
          <w:spacing w:val="80"/>
          <w:sz w:val="28"/>
        </w:rPr>
        <w:t> </w:t>
      </w:r>
      <w:r>
        <w:rPr>
          <w:sz w:val="28"/>
        </w:rPr>
        <w:t>Правительства</w:t>
      </w:r>
      <w:r>
        <w:rPr>
          <w:spacing w:val="80"/>
          <w:sz w:val="28"/>
        </w:rPr>
        <w:t> </w:t>
      </w:r>
      <w:r>
        <w:rPr>
          <w:sz w:val="28"/>
        </w:rPr>
        <w:t>Российской</w:t>
      </w:r>
      <w:r>
        <w:rPr>
          <w:spacing w:val="80"/>
          <w:sz w:val="28"/>
        </w:rPr>
        <w:t> </w:t>
      </w:r>
      <w:r>
        <w:rPr>
          <w:sz w:val="28"/>
        </w:rPr>
        <w:t>Федерации</w:t>
      </w:r>
      <w:r>
        <w:rPr>
          <w:spacing w:val="80"/>
          <w:sz w:val="28"/>
        </w:rPr>
        <w:t> </w:t>
      </w:r>
      <w:r>
        <w:rPr>
          <w:sz w:val="28"/>
        </w:rPr>
        <w:t>от 28 декабря 2021 г.</w:t>
      </w:r>
      <w:r>
        <w:rPr>
          <w:spacing w:val="40"/>
          <w:sz w:val="28"/>
        </w:rPr>
        <w:t> </w:t>
      </w:r>
      <w:r>
        <w:rPr>
          <w:sz w:val="28"/>
        </w:rPr>
        <w:t>№</w:t>
      </w:r>
      <w:r>
        <w:rPr>
          <w:spacing w:val="40"/>
          <w:sz w:val="28"/>
        </w:rPr>
        <w:t> </w:t>
      </w:r>
      <w:r>
        <w:rPr>
          <w:sz w:val="28"/>
        </w:rPr>
        <w:t>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pPr>
        <w:pStyle w:val="ListParagraph"/>
        <w:numPr>
          <w:ilvl w:val="0"/>
          <w:numId w:val="12"/>
        </w:numPr>
        <w:tabs>
          <w:tab w:pos="1148" w:val="left" w:leader="none"/>
        </w:tabs>
        <w:spacing w:line="268" w:lineRule="auto" w:before="0" w:after="0"/>
        <w:ind w:left="158" w:right="156" w:firstLine="707"/>
        <w:jc w:val="both"/>
        <w:rPr>
          <w:sz w:val="28"/>
        </w:rPr>
      </w:pPr>
      <w:r>
        <w:rPr>
          <w:sz w:val="28"/>
        </w:rPr>
        <w:t>Тариф на оплату j-й медицинской помощи (за исключением медицинской помощи, оплачиваемой по отдельным группам заболеваний,</w:t>
      </w:r>
    </w:p>
    <w:p>
      <w:pPr>
        <w:spacing w:after="0" w:line="268" w:lineRule="auto"/>
        <w:jc w:val="both"/>
        <w:rPr>
          <w:sz w:val="28"/>
        </w:rPr>
        <w:sectPr>
          <w:headerReference w:type="default" r:id="rId534"/>
          <w:pgSz w:w="11910" w:h="16850"/>
          <w:pgMar w:header="0" w:footer="0" w:top="1600" w:bottom="280" w:left="1260" w:right="1260"/>
        </w:sectPr>
      </w:pPr>
    </w:p>
    <w:p>
      <w:pPr>
        <w:pStyle w:val="BodyText"/>
        <w:rPr>
          <w:sz w:val="26"/>
        </w:rPr>
      </w:pPr>
    </w:p>
    <w:p>
      <w:pPr>
        <w:pStyle w:val="BodyText"/>
        <w:spacing w:line="268" w:lineRule="auto" w:before="89"/>
        <w:ind w:left="158" w:right="149"/>
        <w:jc w:val="both"/>
      </w:pPr>
      <w:r>
        <w:rPr/>
        <w:t>состояний, доли заработной платы и прочих расходов в составе норматива финансовых затрат которой предусмотрены приложением № 4 к Программе, и высокотехнологичной медицинской помощи), оказываемой</w:t>
      </w:r>
      <w:r>
        <w:rPr>
          <w:spacing w:val="40"/>
        </w:rPr>
        <w:t> </w:t>
      </w:r>
      <w:r>
        <w:rPr/>
        <w:t>i-й федеральной медицинской организацией в z-х условиях (стационарных условиях</w:t>
      </w:r>
      <w:r>
        <w:rPr>
          <w:spacing w:val="40"/>
        </w:rPr>
        <w:t>  </w:t>
      </w:r>
      <w:r>
        <w:rPr/>
        <w:t>или</w:t>
      </w:r>
      <w:r>
        <w:rPr>
          <w:spacing w:val="40"/>
        </w:rPr>
        <w:t>  </w:t>
      </w:r>
      <w:r>
        <w:rPr/>
        <w:t>условиях</w:t>
      </w:r>
      <w:r>
        <w:rPr>
          <w:spacing w:val="40"/>
        </w:rPr>
        <w:t>  </w:t>
      </w:r>
      <w:r>
        <w:rPr/>
        <w:t>дневного</w:t>
      </w:r>
      <w:r>
        <w:rPr>
          <w:spacing w:val="40"/>
        </w:rPr>
        <w:t>  </w:t>
      </w:r>
      <w:r>
        <w:rPr/>
        <w:t>стационара)</w:t>
      </w:r>
      <w:r>
        <w:rPr>
          <w:spacing w:val="40"/>
        </w:rPr>
        <w:t>  </w:t>
      </w:r>
      <w:r>
        <w:rPr/>
        <w:t>(T</w:t>
      </w:r>
      <w:r>
        <w:rPr>
          <w:vertAlign w:val="subscript"/>
        </w:rPr>
        <w:t>ijz</w:t>
      </w:r>
      <w:r>
        <w:rPr>
          <w:vertAlign w:val="baseline"/>
        </w:rPr>
        <w:t>),</w:t>
      </w:r>
      <w:r>
        <w:rPr>
          <w:spacing w:val="40"/>
          <w:vertAlign w:val="baseline"/>
        </w:rPr>
        <w:t>  </w:t>
      </w:r>
      <w:r>
        <w:rPr>
          <w:vertAlign w:val="baseline"/>
        </w:rPr>
        <w:t>определяется</w:t>
      </w:r>
      <w:r>
        <w:rPr>
          <w:spacing w:val="80"/>
          <w:w w:val="150"/>
          <w:vertAlign w:val="baseline"/>
        </w:rPr>
        <w:t> </w:t>
      </w:r>
      <w:r>
        <w:rPr>
          <w:vertAlign w:val="baseline"/>
        </w:rPr>
        <w:t>по формуле:</w:t>
      </w:r>
    </w:p>
    <w:p>
      <w:pPr>
        <w:pStyle w:val="BodyText"/>
        <w:spacing w:before="4"/>
        <w:rPr>
          <w:sz w:val="24"/>
        </w:rPr>
      </w:pPr>
    </w:p>
    <w:p>
      <w:pPr>
        <w:pStyle w:val="BodyText"/>
        <w:ind w:left="274" w:right="272"/>
        <w:jc w:val="center"/>
      </w:pPr>
      <w:r>
        <w:rPr/>
        <w:t>T</w:t>
      </w:r>
      <w:r>
        <w:rPr>
          <w:vertAlign w:val="subscript"/>
        </w:rPr>
        <w:t>ijz</w:t>
      </w:r>
      <w:r>
        <w:rPr>
          <w:spacing w:val="-3"/>
          <w:vertAlign w:val="baseline"/>
        </w:rPr>
        <w:t> </w:t>
      </w:r>
      <w:r>
        <w:rPr>
          <w:vertAlign w:val="baseline"/>
        </w:rPr>
        <w:t>=</w:t>
      </w:r>
      <w:r>
        <w:rPr>
          <w:spacing w:val="-1"/>
          <w:vertAlign w:val="baseline"/>
        </w:rPr>
        <w:t> </w:t>
      </w:r>
      <w:r>
        <w:rPr>
          <w:vertAlign w:val="baseline"/>
        </w:rPr>
        <w:t>НФЗ</w:t>
      </w:r>
      <w:r>
        <w:rPr>
          <w:vertAlign w:val="subscript"/>
        </w:rPr>
        <w:t>z</w:t>
      </w:r>
      <w:r>
        <w:rPr>
          <w:spacing w:val="-3"/>
          <w:vertAlign w:val="baseline"/>
        </w:rPr>
        <w:t> </w:t>
      </w:r>
      <w:r>
        <w:rPr>
          <w:vertAlign w:val="baseline"/>
        </w:rPr>
        <w:t>×</w:t>
      </w:r>
      <w:r>
        <w:rPr>
          <w:spacing w:val="-2"/>
          <w:vertAlign w:val="baseline"/>
        </w:rPr>
        <w:t> </w:t>
      </w:r>
      <w:r>
        <w:rPr>
          <w:vertAlign w:val="baseline"/>
        </w:rPr>
        <w:t>КБС</w:t>
      </w:r>
      <w:r>
        <w:rPr>
          <w:vertAlign w:val="subscript"/>
        </w:rPr>
        <w:t>z</w:t>
      </w:r>
      <w:r>
        <w:rPr>
          <w:spacing w:val="-3"/>
          <w:vertAlign w:val="baseline"/>
        </w:rPr>
        <w:t> </w:t>
      </w:r>
      <w:r>
        <w:rPr>
          <w:vertAlign w:val="baseline"/>
        </w:rPr>
        <w:t>×</w:t>
      </w:r>
      <w:r>
        <w:rPr>
          <w:spacing w:val="1"/>
          <w:vertAlign w:val="baseline"/>
        </w:rPr>
        <w:t> </w:t>
      </w:r>
      <w:r>
        <w:rPr>
          <w:vertAlign w:val="baseline"/>
        </w:rPr>
        <w:t>КД</w:t>
      </w:r>
      <w:r>
        <w:rPr>
          <w:vertAlign w:val="subscript"/>
        </w:rPr>
        <w:t>i</w:t>
      </w:r>
      <w:r>
        <w:rPr>
          <w:vertAlign w:val="baseline"/>
        </w:rPr>
        <w:t> ×</w:t>
      </w:r>
      <w:r>
        <w:rPr>
          <w:spacing w:val="-2"/>
          <w:vertAlign w:val="baseline"/>
        </w:rPr>
        <w:t> </w:t>
      </w:r>
      <w:r>
        <w:rPr>
          <w:vertAlign w:val="baseline"/>
        </w:rPr>
        <w:t>(КЗ</w:t>
      </w:r>
      <w:r>
        <w:rPr>
          <w:vertAlign w:val="subscript"/>
        </w:rPr>
        <w:t>jz</w:t>
      </w:r>
      <w:r>
        <w:rPr>
          <w:spacing w:val="-3"/>
          <w:vertAlign w:val="baseline"/>
        </w:rPr>
        <w:t> </w:t>
      </w:r>
      <w:r>
        <w:rPr>
          <w:vertAlign w:val="baseline"/>
        </w:rPr>
        <w:t>×</w:t>
      </w:r>
      <w:r>
        <w:rPr>
          <w:spacing w:val="-2"/>
          <w:vertAlign w:val="baseline"/>
        </w:rPr>
        <w:t> </w:t>
      </w:r>
      <w:r>
        <w:rPr>
          <w:vertAlign w:val="baseline"/>
        </w:rPr>
        <w:t>КС</w:t>
      </w:r>
      <w:r>
        <w:rPr>
          <w:vertAlign w:val="subscript"/>
        </w:rPr>
        <w:t>ij</w:t>
      </w:r>
      <w:r>
        <w:rPr>
          <w:spacing w:val="-1"/>
          <w:vertAlign w:val="baseline"/>
        </w:rPr>
        <w:t> </w:t>
      </w:r>
      <w:r>
        <w:rPr>
          <w:vertAlign w:val="baseline"/>
        </w:rPr>
        <w:t>+</w:t>
      </w:r>
      <w:r>
        <w:rPr>
          <w:spacing w:val="-3"/>
          <w:vertAlign w:val="baseline"/>
        </w:rPr>
        <w:t> </w:t>
      </w:r>
      <w:r>
        <w:rPr>
          <w:spacing w:val="-2"/>
          <w:vertAlign w:val="baseline"/>
        </w:rPr>
        <w:t>КСЛП),</w:t>
      </w:r>
    </w:p>
    <w:p>
      <w:pPr>
        <w:pStyle w:val="BodyText"/>
        <w:spacing w:before="4"/>
        <w:rPr>
          <w:sz w:val="31"/>
        </w:rPr>
      </w:pPr>
    </w:p>
    <w:p>
      <w:pPr>
        <w:pStyle w:val="BodyText"/>
        <w:ind w:left="866"/>
      </w:pPr>
      <w:r>
        <w:rPr>
          <w:spacing w:val="-4"/>
        </w:rPr>
        <w:t>где:</w:t>
      </w:r>
    </w:p>
    <w:p>
      <w:pPr>
        <w:pStyle w:val="BodyText"/>
        <w:spacing w:line="268" w:lineRule="auto" w:before="38"/>
        <w:ind w:left="158" w:right="152" w:firstLine="707"/>
        <w:jc w:val="both"/>
      </w:pPr>
      <w:r>
        <w:rPr/>
        <w:t>НФЗ</w:t>
      </w:r>
      <w:r>
        <w:rPr>
          <w:vertAlign w:val="subscript"/>
        </w:rPr>
        <w:t>z</w:t>
      </w:r>
      <w:r>
        <w:rPr>
          <w:vertAlign w:val="baseline"/>
        </w:rPr>
        <w:t>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 7 к Программе;</w:t>
      </w:r>
    </w:p>
    <w:p>
      <w:pPr>
        <w:pStyle w:val="BodyText"/>
        <w:spacing w:line="268" w:lineRule="auto"/>
        <w:ind w:left="158" w:right="152" w:firstLine="707"/>
        <w:jc w:val="both"/>
      </w:pPr>
      <w:r>
        <w:rPr/>
        <w:t>КБС</w:t>
      </w:r>
      <w:r>
        <w:rPr>
          <w:vertAlign w:val="subscript"/>
        </w:rPr>
        <w:t>z</w:t>
      </w:r>
      <w:r>
        <w:rPr>
          <w:vertAlign w:val="baseline"/>
        </w:rPr>
        <w:t> - коэффициент приведения среднего норматива финансовых затрат</w:t>
      </w:r>
      <w:r>
        <w:rPr>
          <w:spacing w:val="72"/>
          <w:vertAlign w:val="baseline"/>
        </w:rPr>
        <w:t>  </w:t>
      </w:r>
      <w:r>
        <w:rPr>
          <w:vertAlign w:val="baseline"/>
        </w:rPr>
        <w:t>на</w:t>
      </w:r>
      <w:r>
        <w:rPr>
          <w:spacing w:val="71"/>
          <w:vertAlign w:val="baseline"/>
        </w:rPr>
        <w:t>  </w:t>
      </w:r>
      <w:r>
        <w:rPr>
          <w:vertAlign w:val="baseline"/>
        </w:rPr>
        <w:t>единицу</w:t>
      </w:r>
      <w:r>
        <w:rPr>
          <w:spacing w:val="71"/>
          <w:vertAlign w:val="baseline"/>
        </w:rPr>
        <w:t>  </w:t>
      </w:r>
      <w:r>
        <w:rPr>
          <w:vertAlign w:val="baseline"/>
        </w:rPr>
        <w:t>объема</w:t>
      </w:r>
      <w:r>
        <w:rPr>
          <w:spacing w:val="71"/>
          <w:vertAlign w:val="baseline"/>
        </w:rPr>
        <w:t>  </w:t>
      </w:r>
      <w:r>
        <w:rPr>
          <w:vertAlign w:val="baseline"/>
        </w:rPr>
        <w:t>предоставления</w:t>
      </w:r>
      <w:r>
        <w:rPr>
          <w:spacing w:val="73"/>
          <w:vertAlign w:val="baseline"/>
        </w:rPr>
        <w:t>  </w:t>
      </w:r>
      <w:r>
        <w:rPr>
          <w:vertAlign w:val="baseline"/>
        </w:rPr>
        <w:t>медицинской</w:t>
      </w:r>
      <w:r>
        <w:rPr>
          <w:spacing w:val="72"/>
          <w:vertAlign w:val="baseline"/>
        </w:rPr>
        <w:t>  </w:t>
      </w:r>
      <w:r>
        <w:rPr>
          <w:vertAlign w:val="baseline"/>
        </w:rPr>
        <w:t>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w:t>
      </w:r>
      <w:r>
        <w:rPr>
          <w:spacing w:val="80"/>
          <w:vertAlign w:val="baseline"/>
        </w:rPr>
        <w:t>  </w:t>
      </w:r>
      <w:r>
        <w:rPr>
          <w:vertAlign w:val="baseline"/>
        </w:rPr>
        <w:t>лечения</w:t>
      </w:r>
      <w:r>
        <w:rPr>
          <w:spacing w:val="80"/>
          <w:vertAlign w:val="baseline"/>
        </w:rPr>
        <w:t>  </w:t>
      </w:r>
      <w:r>
        <w:rPr>
          <w:vertAlign w:val="baseline"/>
        </w:rPr>
        <w:t>пациентов,</w:t>
      </w:r>
      <w:r>
        <w:rPr>
          <w:spacing w:val="80"/>
          <w:vertAlign w:val="baseline"/>
        </w:rPr>
        <w:t>  </w:t>
      </w:r>
      <w:r>
        <w:rPr>
          <w:vertAlign w:val="baseline"/>
        </w:rPr>
        <w:t>принимающий</w:t>
      </w:r>
      <w:r>
        <w:rPr>
          <w:spacing w:val="80"/>
          <w:vertAlign w:val="baseline"/>
        </w:rPr>
        <w:t>  </w:t>
      </w:r>
      <w:r>
        <w:rPr>
          <w:vertAlign w:val="baseline"/>
        </w:rPr>
        <w:t>значение</w:t>
      </w:r>
      <w:r>
        <w:rPr>
          <w:spacing w:val="80"/>
          <w:vertAlign w:val="baseline"/>
        </w:rPr>
        <w:t>  </w:t>
      </w:r>
      <w:r>
        <w:rPr>
          <w:vertAlign w:val="baseline"/>
        </w:rPr>
        <w:t>0,35</w:t>
      </w:r>
      <w:r>
        <w:rPr>
          <w:spacing w:val="80"/>
          <w:vertAlign w:val="baseline"/>
        </w:rPr>
        <w:t>  </w:t>
      </w:r>
      <w:r>
        <w:rPr>
          <w:vertAlign w:val="baseline"/>
        </w:rPr>
        <w:t>- для стационара и 0,32 - для дневного стационара;</w:t>
      </w:r>
    </w:p>
    <w:p>
      <w:pPr>
        <w:pStyle w:val="BodyText"/>
        <w:spacing w:line="318" w:lineRule="exact"/>
        <w:ind w:left="866"/>
        <w:jc w:val="both"/>
      </w:pPr>
      <w:r>
        <w:rPr/>
        <w:t>КД</w:t>
      </w:r>
      <w:r>
        <w:rPr>
          <w:vertAlign w:val="subscript"/>
        </w:rPr>
        <w:t>i</w:t>
      </w:r>
      <w:r>
        <w:rPr>
          <w:spacing w:val="-8"/>
          <w:vertAlign w:val="baseline"/>
        </w:rPr>
        <w:t> </w:t>
      </w:r>
      <w:r>
        <w:rPr>
          <w:vertAlign w:val="baseline"/>
        </w:rPr>
        <w:t>-</w:t>
      </w:r>
      <w:r>
        <w:rPr>
          <w:spacing w:val="-7"/>
          <w:vertAlign w:val="baseline"/>
        </w:rPr>
        <w:t> </w:t>
      </w:r>
      <w:r>
        <w:rPr>
          <w:vertAlign w:val="baseline"/>
        </w:rPr>
        <w:t>коэффициент</w:t>
      </w:r>
      <w:r>
        <w:rPr>
          <w:spacing w:val="-10"/>
          <w:vertAlign w:val="baseline"/>
        </w:rPr>
        <w:t> </w:t>
      </w:r>
      <w:r>
        <w:rPr>
          <w:vertAlign w:val="baseline"/>
        </w:rPr>
        <w:t>дифференциации,</w:t>
      </w:r>
      <w:r>
        <w:rPr>
          <w:spacing w:val="-6"/>
          <w:vertAlign w:val="baseline"/>
        </w:rPr>
        <w:t> </w:t>
      </w:r>
      <w:r>
        <w:rPr>
          <w:spacing w:val="-2"/>
          <w:vertAlign w:val="baseline"/>
        </w:rPr>
        <w:t>устанавливаемый:</w:t>
      </w:r>
    </w:p>
    <w:p>
      <w:pPr>
        <w:pStyle w:val="BodyText"/>
        <w:spacing w:line="268" w:lineRule="auto" w:before="35"/>
        <w:ind w:left="158" w:right="149" w:firstLine="707"/>
        <w:jc w:val="both"/>
      </w:pPr>
      <w:r>
        <w:rPr/>
        <w:t>для субъекта Российской Федерации, на территории которого расположена</w:t>
      </w:r>
      <w:r>
        <w:rPr>
          <w:spacing w:val="-3"/>
        </w:rPr>
        <w:t> </w:t>
      </w:r>
      <w:r>
        <w:rPr/>
        <w:t>i-я</w:t>
      </w:r>
      <w:r>
        <w:rPr>
          <w:spacing w:val="-2"/>
        </w:rPr>
        <w:t> </w:t>
      </w:r>
      <w:r>
        <w:rPr/>
        <w:t>федеральная медицинская организация,</w:t>
      </w:r>
      <w:r>
        <w:rPr>
          <w:spacing w:val="-3"/>
        </w:rPr>
        <w:t> </w:t>
      </w:r>
      <w:r>
        <w:rPr/>
        <w:t>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w:t>
      </w:r>
      <w:r>
        <w:rPr>
          <w:spacing w:val="-1"/>
        </w:rPr>
        <w:t> </w:t>
      </w:r>
      <w:r>
        <w:rPr/>
        <w:t>г. №</w:t>
      </w:r>
      <w:r>
        <w:rPr>
          <w:spacing w:val="-4"/>
        </w:rPr>
        <w:t> </w:t>
      </w:r>
      <w:r>
        <w:rPr/>
        <w:t>462 "О порядке распределения, предоставления и расходования субвенций из бюджета Федерального фонда обязательного медицинского страхования бюджетам</w:t>
      </w:r>
    </w:p>
    <w:p>
      <w:pPr>
        <w:spacing w:after="0" w:line="268" w:lineRule="auto"/>
        <w:jc w:val="both"/>
        <w:sectPr>
          <w:headerReference w:type="default" r:id="rId535"/>
          <w:pgSz w:w="11910" w:h="16850"/>
          <w:pgMar w:header="751" w:footer="0" w:top="1060" w:bottom="280" w:left="1260" w:right="1260"/>
          <w:pgNumType w:start="2"/>
        </w:sectPr>
      </w:pPr>
    </w:p>
    <w:p>
      <w:pPr>
        <w:pStyle w:val="BodyText"/>
        <w:rPr>
          <w:sz w:val="26"/>
        </w:rPr>
      </w:pPr>
    </w:p>
    <w:p>
      <w:pPr>
        <w:pStyle w:val="BodyText"/>
        <w:spacing w:line="268" w:lineRule="auto" w:before="89"/>
        <w:ind w:left="158" w:right="153"/>
        <w:jc w:val="both"/>
      </w:pPr>
      <w:r>
        <w:rPr/>
        <w:t>территориальных</w:t>
      </w:r>
      <w:r>
        <w:rPr>
          <w:spacing w:val="40"/>
        </w:rPr>
        <w:t>  </w:t>
      </w:r>
      <w:r>
        <w:rPr/>
        <w:t>фондов</w:t>
      </w:r>
      <w:r>
        <w:rPr>
          <w:spacing w:val="40"/>
        </w:rPr>
        <w:t>  </w:t>
      </w:r>
      <w:r>
        <w:rPr/>
        <w:t>обязательного</w:t>
      </w:r>
      <w:r>
        <w:rPr>
          <w:spacing w:val="40"/>
        </w:rPr>
        <w:t>  </w:t>
      </w:r>
      <w:r>
        <w:rPr/>
        <w:t>медицинского</w:t>
      </w:r>
      <w:r>
        <w:rPr>
          <w:spacing w:val="40"/>
        </w:rPr>
        <w:t>  </w:t>
      </w:r>
      <w:r>
        <w:rPr/>
        <w:t>страхования</w:t>
      </w:r>
      <w:r>
        <w:rPr>
          <w:spacing w:val="40"/>
        </w:rPr>
        <w:t> </w:t>
      </w:r>
      <w:r>
        <w:rPr/>
        <w:t>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BodyText"/>
        <w:spacing w:line="268" w:lineRule="auto"/>
        <w:ind w:left="158" w:right="157" w:firstLine="707"/>
        <w:jc w:val="both"/>
      </w:pPr>
      <w:r>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pPr>
        <w:pStyle w:val="BodyText"/>
        <w:spacing w:line="268" w:lineRule="auto"/>
        <w:ind w:left="158" w:right="150" w:firstLine="707"/>
        <w:jc w:val="both"/>
      </w:pPr>
      <w:r>
        <w:rPr/>
        <w:t>КЗ</w:t>
      </w:r>
      <w:r>
        <w:rPr>
          <w:vertAlign w:val="subscript"/>
        </w:rPr>
        <w:t>jz</w:t>
      </w:r>
      <w:r>
        <w:rPr>
          <w:spacing w:val="77"/>
          <w:vertAlign w:val="baseline"/>
        </w:rPr>
        <w:t>  </w:t>
      </w:r>
      <w:r>
        <w:rPr>
          <w:vertAlign w:val="baseline"/>
        </w:rPr>
        <w:t>-</w:t>
      </w:r>
      <w:r>
        <w:rPr>
          <w:spacing w:val="78"/>
          <w:vertAlign w:val="baseline"/>
        </w:rPr>
        <w:t>  </w:t>
      </w:r>
      <w:r>
        <w:rPr>
          <w:vertAlign w:val="baseline"/>
        </w:rPr>
        <w:t>коэффициент</w:t>
      </w:r>
      <w:r>
        <w:rPr>
          <w:spacing w:val="77"/>
          <w:vertAlign w:val="baseline"/>
        </w:rPr>
        <w:t>  </w:t>
      </w:r>
      <w:r>
        <w:rPr>
          <w:vertAlign w:val="baseline"/>
        </w:rPr>
        <w:t>относительной</w:t>
      </w:r>
      <w:r>
        <w:rPr>
          <w:spacing w:val="78"/>
          <w:vertAlign w:val="baseline"/>
        </w:rPr>
        <w:t>  </w:t>
      </w:r>
      <w:r>
        <w:rPr>
          <w:vertAlign w:val="baseline"/>
        </w:rPr>
        <w:t>затратоемкости</w:t>
      </w:r>
      <w:r>
        <w:rPr>
          <w:spacing w:val="77"/>
          <w:vertAlign w:val="baseline"/>
        </w:rPr>
        <w:t>  </w:t>
      </w:r>
      <w:r>
        <w:rPr>
          <w:vertAlign w:val="baseline"/>
        </w:rPr>
        <w:t>оказания j-й</w:t>
      </w:r>
      <w:r>
        <w:rPr>
          <w:spacing w:val="32"/>
          <w:vertAlign w:val="baseline"/>
        </w:rPr>
        <w:t> </w:t>
      </w:r>
      <w:r>
        <w:rPr>
          <w:vertAlign w:val="baseline"/>
        </w:rPr>
        <w:t>медицинской</w:t>
      </w:r>
      <w:r>
        <w:rPr>
          <w:spacing w:val="30"/>
          <w:vertAlign w:val="baseline"/>
        </w:rPr>
        <w:t> </w:t>
      </w:r>
      <w:r>
        <w:rPr>
          <w:vertAlign w:val="baseline"/>
        </w:rPr>
        <w:t>помощи</w:t>
      </w:r>
      <w:r>
        <w:rPr>
          <w:spacing w:val="32"/>
          <w:vertAlign w:val="baseline"/>
        </w:rPr>
        <w:t> </w:t>
      </w:r>
      <w:r>
        <w:rPr>
          <w:vertAlign w:val="baseline"/>
        </w:rPr>
        <w:t>в</w:t>
      </w:r>
      <w:r>
        <w:rPr>
          <w:spacing w:val="31"/>
          <w:vertAlign w:val="baseline"/>
        </w:rPr>
        <w:t> </w:t>
      </w:r>
      <w:r>
        <w:rPr>
          <w:vertAlign w:val="baseline"/>
        </w:rPr>
        <w:t>z-х</w:t>
      </w:r>
      <w:r>
        <w:rPr>
          <w:spacing w:val="33"/>
          <w:vertAlign w:val="baseline"/>
        </w:rPr>
        <w:t> </w:t>
      </w:r>
      <w:r>
        <w:rPr>
          <w:vertAlign w:val="baseline"/>
        </w:rPr>
        <w:t>условиях,</w:t>
      </w:r>
      <w:r>
        <w:rPr>
          <w:spacing w:val="31"/>
          <w:vertAlign w:val="baseline"/>
        </w:rPr>
        <w:t> </w:t>
      </w:r>
      <w:r>
        <w:rPr>
          <w:vertAlign w:val="baseline"/>
        </w:rPr>
        <w:t>значение</w:t>
      </w:r>
      <w:r>
        <w:rPr>
          <w:spacing w:val="30"/>
          <w:vertAlign w:val="baseline"/>
        </w:rPr>
        <w:t> </w:t>
      </w:r>
      <w:r>
        <w:rPr>
          <w:vertAlign w:val="baseline"/>
        </w:rPr>
        <w:t>которого</w:t>
      </w:r>
      <w:r>
        <w:rPr>
          <w:spacing w:val="33"/>
          <w:vertAlign w:val="baseline"/>
        </w:rPr>
        <w:t> </w:t>
      </w:r>
      <w:r>
        <w:rPr>
          <w:vertAlign w:val="baseline"/>
        </w:rPr>
        <w:t>принимается в соответствии с приложением № 4 к Программе (далее - коэффициент относительной затратоемкости);</w:t>
      </w:r>
    </w:p>
    <w:p>
      <w:pPr>
        <w:pStyle w:val="BodyText"/>
        <w:spacing w:line="268" w:lineRule="auto"/>
        <w:ind w:left="158" w:right="154" w:firstLine="707"/>
        <w:jc w:val="both"/>
      </w:pPr>
      <w:r>
        <w:rPr/>
        <w:t>КС</w:t>
      </w:r>
      <w:r>
        <w:rPr>
          <w:vertAlign w:val="subscript"/>
        </w:rPr>
        <w:t>ij</w:t>
      </w:r>
      <w:r>
        <w:rPr>
          <w:spacing w:val="40"/>
          <w:vertAlign w:val="baseline"/>
        </w:rPr>
        <w:t> </w:t>
      </w:r>
      <w:r>
        <w:rPr>
          <w:vertAlign w:val="baseline"/>
        </w:rPr>
        <w:t>-</w:t>
      </w:r>
      <w:r>
        <w:rPr>
          <w:spacing w:val="40"/>
          <w:vertAlign w:val="baseline"/>
        </w:rPr>
        <w:t> </w:t>
      </w:r>
      <w:r>
        <w:rPr>
          <w:vertAlign w:val="baseline"/>
        </w:rPr>
        <w:t>коэффициент</w:t>
      </w:r>
      <w:r>
        <w:rPr>
          <w:spacing w:val="40"/>
          <w:vertAlign w:val="baseline"/>
        </w:rPr>
        <w:t> </w:t>
      </w:r>
      <w:r>
        <w:rPr>
          <w:vertAlign w:val="baseline"/>
        </w:rPr>
        <w:t>специфики</w:t>
      </w:r>
      <w:r>
        <w:rPr>
          <w:spacing w:val="40"/>
          <w:vertAlign w:val="baseline"/>
        </w:rPr>
        <w:t> </w:t>
      </w:r>
      <w:r>
        <w:rPr>
          <w:vertAlign w:val="baseline"/>
        </w:rPr>
        <w:t>оказания</w:t>
      </w:r>
      <w:r>
        <w:rPr>
          <w:spacing w:val="40"/>
          <w:vertAlign w:val="baseline"/>
        </w:rPr>
        <w:t> </w:t>
      </w:r>
      <w:r>
        <w:rPr>
          <w:vertAlign w:val="baseline"/>
        </w:rPr>
        <w:t>j-й</w:t>
      </w:r>
      <w:r>
        <w:rPr>
          <w:spacing w:val="40"/>
          <w:vertAlign w:val="baseline"/>
        </w:rPr>
        <w:t> </w:t>
      </w:r>
      <w:r>
        <w:rPr>
          <w:vertAlign w:val="baseline"/>
        </w:rPr>
        <w:t>медицинской</w:t>
      </w:r>
      <w:r>
        <w:rPr>
          <w:spacing w:val="40"/>
          <w:vertAlign w:val="baseline"/>
        </w:rPr>
        <w:t> </w:t>
      </w:r>
      <w:r>
        <w:rPr>
          <w:vertAlign w:val="baseline"/>
        </w:rPr>
        <w:t>помощи i-й федеральной медицинской организацией, значение которого принимается в соответствии с пунктом 5 настоящего Положения;</w:t>
      </w:r>
    </w:p>
    <w:p>
      <w:pPr>
        <w:pStyle w:val="BodyText"/>
        <w:spacing w:line="268" w:lineRule="auto"/>
        <w:ind w:left="158" w:right="152" w:firstLine="707"/>
        <w:jc w:val="both"/>
      </w:pPr>
      <w:r>
        <w:rPr/>
        <w:t>КСЛП - коэффициент сложности лечения пациента, значение которого принимается в соответствии с пунктом 6 настоящего Положения.</w:t>
      </w:r>
    </w:p>
    <w:p>
      <w:pPr>
        <w:pStyle w:val="ListParagraph"/>
        <w:numPr>
          <w:ilvl w:val="0"/>
          <w:numId w:val="12"/>
        </w:numPr>
        <w:tabs>
          <w:tab w:pos="1148" w:val="left" w:leader="none"/>
        </w:tabs>
        <w:spacing w:line="261" w:lineRule="auto" w:before="0" w:after="0"/>
        <w:ind w:left="158" w:right="152" w:firstLine="707"/>
        <w:jc w:val="both"/>
        <w:rPr>
          <w:sz w:val="28"/>
        </w:rPr>
      </w:pPr>
      <w:r>
        <w:rPr>
          <w:sz w:val="28"/>
        </w:rPr>
        <w:t>Тариф</w:t>
      </w:r>
      <w:r>
        <w:rPr>
          <w:spacing w:val="40"/>
          <w:sz w:val="28"/>
        </w:rPr>
        <w:t>  </w:t>
      </w:r>
      <w:r>
        <w:rPr>
          <w:sz w:val="28"/>
        </w:rPr>
        <w:t>на</w:t>
      </w:r>
      <w:r>
        <w:rPr>
          <w:spacing w:val="40"/>
          <w:sz w:val="28"/>
        </w:rPr>
        <w:t>  </w:t>
      </w:r>
      <w:r>
        <w:rPr>
          <w:sz w:val="28"/>
        </w:rPr>
        <w:t>оплату</w:t>
      </w:r>
      <w:r>
        <w:rPr>
          <w:spacing w:val="40"/>
          <w:sz w:val="28"/>
        </w:rPr>
        <w:t>  </w:t>
      </w:r>
      <w:r>
        <w:rPr>
          <w:sz w:val="28"/>
        </w:rPr>
        <w:t>j</w:t>
      </w:r>
      <w:r>
        <w:rPr>
          <w:sz w:val="28"/>
          <w:vertAlign w:val="subscript"/>
        </w:rPr>
        <w:t>LT</w:t>
      </w:r>
      <w:r>
        <w:rPr>
          <w:sz w:val="28"/>
          <w:vertAlign w:val="baseline"/>
        </w:rPr>
        <w:t>-й</w:t>
      </w:r>
      <w:r>
        <w:rPr>
          <w:spacing w:val="40"/>
          <w:sz w:val="28"/>
          <w:vertAlign w:val="baseline"/>
        </w:rPr>
        <w:t>  </w:t>
      </w:r>
      <w:r>
        <w:rPr>
          <w:sz w:val="28"/>
          <w:vertAlign w:val="baseline"/>
        </w:rPr>
        <w:t>медицинской</w:t>
      </w:r>
      <w:r>
        <w:rPr>
          <w:spacing w:val="40"/>
          <w:sz w:val="28"/>
          <w:vertAlign w:val="baseline"/>
        </w:rPr>
        <w:t>  </w:t>
      </w:r>
      <w:r>
        <w:rPr>
          <w:sz w:val="28"/>
          <w:vertAlign w:val="baseline"/>
        </w:rPr>
        <w:t>помощи,</w:t>
      </w:r>
      <w:r>
        <w:rPr>
          <w:spacing w:val="40"/>
          <w:sz w:val="28"/>
          <w:vertAlign w:val="baseline"/>
        </w:rPr>
        <w:t>  </w:t>
      </w:r>
      <w:r>
        <w:rPr>
          <w:sz w:val="28"/>
          <w:vertAlign w:val="baseline"/>
        </w:rPr>
        <w:t>оказываемой i-й федеральной медицинской организацией в z-х условиях по отдельным группам заболеваний, состояний, доли заработной платы и прочих расходов в</w:t>
      </w:r>
      <w:r>
        <w:rPr>
          <w:spacing w:val="40"/>
          <w:sz w:val="28"/>
          <w:vertAlign w:val="baseline"/>
        </w:rPr>
        <w:t> </w:t>
      </w:r>
      <w:r>
        <w:rPr>
          <w:sz w:val="28"/>
          <w:vertAlign w:val="baseline"/>
        </w:rPr>
        <w:t>составе норматива финансовых затрат которых установлены приложением № 4 к Программе (</w:t>
      </w:r>
      <w:r>
        <w:rPr>
          <w:spacing w:val="-32"/>
          <w:sz w:val="28"/>
          <w:vertAlign w:val="baseline"/>
        </w:rPr>
        <w:t> </w:t>
      </w:r>
      <w:r>
        <w:rPr>
          <w:sz w:val="28"/>
          <w:vertAlign w:val="baseline"/>
        </w:rPr>
        <w:t>Т</w:t>
      </w:r>
      <w:r>
        <w:rPr>
          <w:position w:val="-6"/>
          <w:sz w:val="20"/>
          <w:vertAlign w:val="baseline"/>
        </w:rPr>
        <w:t>ij</w:t>
      </w:r>
      <w:r>
        <w:rPr>
          <w:position w:val="-11"/>
          <w:sz w:val="16"/>
          <w:vertAlign w:val="baseline"/>
        </w:rPr>
        <w:t>LT</w:t>
      </w:r>
      <w:r>
        <w:rPr>
          <w:position w:val="-6"/>
          <w:sz w:val="20"/>
          <w:vertAlign w:val="baseline"/>
        </w:rPr>
        <w:t>z</w:t>
      </w:r>
      <w:r>
        <w:rPr>
          <w:spacing w:val="-7"/>
          <w:position w:val="-6"/>
          <w:sz w:val="20"/>
          <w:vertAlign w:val="baseline"/>
        </w:rPr>
        <w:t> </w:t>
      </w:r>
      <w:r>
        <w:rPr>
          <w:sz w:val="28"/>
          <w:vertAlign w:val="baseline"/>
        </w:rPr>
        <w:t>), определяется по формуле:</w:t>
      </w:r>
    </w:p>
    <w:p>
      <w:pPr>
        <w:pStyle w:val="BodyText"/>
        <w:spacing w:before="2"/>
        <w:rPr>
          <w:sz w:val="16"/>
        </w:rPr>
      </w:pPr>
    </w:p>
    <w:p>
      <w:pPr>
        <w:spacing w:after="0"/>
        <w:rPr>
          <w:sz w:val="16"/>
        </w:rPr>
        <w:sectPr>
          <w:pgSz w:w="11910" w:h="16850"/>
          <w:pgMar w:header="751" w:footer="0" w:top="1060" w:bottom="280" w:left="1260" w:right="1260"/>
        </w:sectPr>
      </w:pPr>
    </w:p>
    <w:p>
      <w:pPr>
        <w:tabs>
          <w:tab w:pos="636" w:val="left" w:leader="none"/>
        </w:tabs>
        <w:spacing w:before="100"/>
        <w:ind w:left="189" w:right="0" w:firstLine="0"/>
        <w:jc w:val="left"/>
        <w:rPr>
          <w:sz w:val="18"/>
        </w:rPr>
      </w:pPr>
      <w:r>
        <w:rPr/>
        <w:pict>
          <v:shape style="position:absolute;margin-left:80.035385pt;margin-top:16.050045pt;width:6pt;height:10pt;mso-position-horizontal-relative:page;mso-position-vertical-relative:paragraph;z-index:-79648768" type="#_x0000_t202" id="docshape11" filled="false" stroked="false">
            <v:textbox inset="0,0,0,0">
              <w:txbxContent>
                <w:p>
                  <w:pPr>
                    <w:spacing w:line="199" w:lineRule="exact" w:before="0"/>
                    <w:ind w:left="0" w:right="0" w:firstLine="0"/>
                    <w:jc w:val="left"/>
                    <w:rPr>
                      <w:sz w:val="18"/>
                    </w:rPr>
                  </w:pPr>
                  <w:r>
                    <w:rPr>
                      <w:spacing w:val="-5"/>
                      <w:sz w:val="18"/>
                    </w:rPr>
                    <w:t>ij</w:t>
                  </w:r>
                </w:p>
              </w:txbxContent>
            </v:textbox>
            <w10:wrap type="none"/>
          </v:shape>
        </w:pict>
      </w:r>
      <w:r>
        <w:rPr/>
        <w:pict>
          <v:shape style="position:absolute;margin-left:85.436432pt;margin-top:20.997484pt;width:8pt;height:7.8pt;mso-position-horizontal-relative:page;mso-position-vertical-relative:paragraph;z-index:-79647232" type="#_x0000_t202" id="docshape12" filled="false" stroked="false">
            <v:textbox inset="0,0,0,0">
              <w:txbxContent>
                <w:p>
                  <w:pPr>
                    <w:spacing w:line="155" w:lineRule="exact" w:before="0"/>
                    <w:ind w:left="0" w:right="0" w:firstLine="0"/>
                    <w:jc w:val="left"/>
                    <w:rPr>
                      <w:sz w:val="14"/>
                    </w:rPr>
                  </w:pPr>
                  <w:r>
                    <w:rPr>
                      <w:spacing w:val="-12"/>
                      <w:sz w:val="14"/>
                    </w:rPr>
                    <w:t>LT</w:t>
                  </w:r>
                </w:p>
              </w:txbxContent>
            </v:textbox>
            <w10:wrap type="none"/>
          </v:shape>
        </w:pict>
      </w:r>
      <w:r>
        <w:rPr/>
        <w:pict>
          <v:shape style="position:absolute;margin-left:226.312424pt;margin-top:20.997484pt;width:8pt;height:7.8pt;mso-position-horizontal-relative:page;mso-position-vertical-relative:paragraph;z-index:15733760" type="#_x0000_t202" id="docshape13" filled="false" stroked="false">
            <v:textbox inset="0,0,0,0">
              <w:txbxContent>
                <w:p>
                  <w:pPr>
                    <w:spacing w:line="155" w:lineRule="exact" w:before="0"/>
                    <w:ind w:left="0" w:right="0" w:firstLine="0"/>
                    <w:jc w:val="left"/>
                    <w:rPr>
                      <w:sz w:val="14"/>
                    </w:rPr>
                  </w:pPr>
                  <w:r>
                    <w:rPr>
                      <w:spacing w:val="-12"/>
                      <w:sz w:val="14"/>
                    </w:rPr>
                    <w:t>LT</w:t>
                  </w:r>
                </w:p>
              </w:txbxContent>
            </v:textbox>
            <w10:wrap type="none"/>
          </v:shape>
        </w:pict>
      </w:r>
      <w:r>
        <w:rPr>
          <w:spacing w:val="-10"/>
          <w:sz w:val="28"/>
        </w:rPr>
        <w:t>T</w:t>
      </w:r>
      <w:r>
        <w:rPr>
          <w:sz w:val="28"/>
        </w:rPr>
        <w:tab/>
      </w:r>
      <w:r>
        <w:rPr>
          <w:position w:val="-9"/>
          <w:sz w:val="18"/>
        </w:rPr>
        <w:t>z</w:t>
      </w:r>
      <w:r>
        <w:rPr>
          <w:spacing w:val="36"/>
          <w:position w:val="-9"/>
          <w:sz w:val="18"/>
        </w:rPr>
        <w:t> </w:t>
      </w:r>
      <w:r>
        <w:rPr>
          <w:rFonts w:ascii="Symbol" w:hAnsi="Symbol"/>
          <w:sz w:val="28"/>
        </w:rPr>
        <w:t></w:t>
      </w:r>
      <w:r>
        <w:rPr>
          <w:spacing w:val="-8"/>
          <w:sz w:val="28"/>
        </w:rPr>
        <w:t> </w:t>
      </w:r>
      <w:r>
        <w:rPr>
          <w:sz w:val="28"/>
        </w:rPr>
        <w:t>НФЗ</w:t>
      </w:r>
      <w:r>
        <w:rPr>
          <w:spacing w:val="-40"/>
          <w:sz w:val="28"/>
        </w:rPr>
        <w:t> </w:t>
      </w:r>
      <w:r>
        <w:rPr>
          <w:position w:val="-9"/>
          <w:sz w:val="18"/>
        </w:rPr>
        <w:t>z</w:t>
      </w:r>
      <w:r>
        <w:rPr>
          <w:spacing w:val="22"/>
          <w:position w:val="-9"/>
          <w:sz w:val="18"/>
        </w:rPr>
        <w:t> </w:t>
      </w:r>
      <w:r>
        <w:rPr>
          <w:rFonts w:ascii="Symbol" w:hAnsi="Symbol"/>
          <w:sz w:val="28"/>
        </w:rPr>
        <w:t></w:t>
      </w:r>
      <w:r>
        <w:rPr>
          <w:spacing w:val="-28"/>
          <w:sz w:val="28"/>
        </w:rPr>
        <w:t> </w:t>
      </w:r>
      <w:r>
        <w:rPr>
          <w:sz w:val="28"/>
        </w:rPr>
        <w:t>КБС</w:t>
      </w:r>
      <w:r>
        <w:rPr>
          <w:position w:val="-9"/>
          <w:sz w:val="18"/>
        </w:rPr>
        <w:t>z</w:t>
      </w:r>
      <w:r>
        <w:rPr>
          <w:spacing w:val="23"/>
          <w:position w:val="-9"/>
          <w:sz w:val="18"/>
        </w:rPr>
        <w:t> </w:t>
      </w:r>
      <w:r>
        <w:rPr>
          <w:rFonts w:ascii="Symbol" w:hAnsi="Symbol"/>
          <w:sz w:val="28"/>
        </w:rPr>
        <w:t></w:t>
      </w:r>
      <w:r>
        <w:rPr>
          <w:spacing w:val="-28"/>
          <w:sz w:val="28"/>
        </w:rPr>
        <w:t> </w:t>
      </w:r>
      <w:r>
        <w:rPr>
          <w:sz w:val="28"/>
        </w:rPr>
        <w:t>КЗ</w:t>
      </w:r>
      <w:r>
        <w:rPr>
          <w:spacing w:val="-38"/>
          <w:sz w:val="28"/>
        </w:rPr>
        <w:t> </w:t>
      </w:r>
      <w:r>
        <w:rPr>
          <w:spacing w:val="-10"/>
          <w:position w:val="-9"/>
          <w:sz w:val="18"/>
        </w:rPr>
        <w:t>j</w:t>
      </w:r>
    </w:p>
    <w:p>
      <w:pPr>
        <w:spacing w:before="100"/>
        <w:ind w:left="-12" w:right="0" w:firstLine="0"/>
        <w:jc w:val="left"/>
        <w:rPr>
          <w:sz w:val="18"/>
        </w:rPr>
      </w:pPr>
      <w:r>
        <w:rPr/>
        <w:br w:type="column"/>
      </w:r>
      <w:r>
        <w:rPr>
          <w:position w:val="-9"/>
          <w:sz w:val="18"/>
        </w:rPr>
        <w:t>z</w:t>
      </w:r>
      <w:r>
        <w:rPr>
          <w:spacing w:val="54"/>
          <w:position w:val="-9"/>
          <w:sz w:val="18"/>
        </w:rPr>
        <w:t> </w:t>
      </w:r>
      <w:r>
        <w:rPr>
          <w:rFonts w:ascii="Symbol" w:hAnsi="Symbol"/>
          <w:sz w:val="28"/>
        </w:rPr>
        <w:t></w:t>
      </w:r>
      <w:r>
        <w:rPr>
          <w:sz w:val="28"/>
        </w:rPr>
        <w:t>((1</w:t>
      </w:r>
      <w:r>
        <w:rPr>
          <w:rFonts w:ascii="Symbol" w:hAnsi="Symbol"/>
          <w:sz w:val="28"/>
        </w:rPr>
        <w:t></w:t>
      </w:r>
      <w:r>
        <w:rPr>
          <w:spacing w:val="-6"/>
          <w:sz w:val="28"/>
        </w:rPr>
        <w:t> </w:t>
      </w:r>
      <w:r>
        <w:rPr>
          <w:spacing w:val="-5"/>
          <w:sz w:val="28"/>
        </w:rPr>
        <w:t>Д</w:t>
      </w:r>
      <w:r>
        <w:rPr>
          <w:spacing w:val="-5"/>
          <w:position w:val="-9"/>
          <w:sz w:val="18"/>
        </w:rPr>
        <w:t>ЗП</w:t>
      </w:r>
    </w:p>
    <w:p>
      <w:pPr>
        <w:spacing w:line="240" w:lineRule="auto" w:before="0"/>
        <w:rPr>
          <w:sz w:val="20"/>
        </w:rPr>
      </w:pPr>
      <w:r>
        <w:rPr/>
        <w:br w:type="column"/>
      </w:r>
      <w:r>
        <w:rPr>
          <w:sz w:val="20"/>
        </w:rPr>
      </w:r>
    </w:p>
    <w:p>
      <w:pPr>
        <w:pStyle w:val="BodyText"/>
        <w:rPr>
          <w:sz w:val="16"/>
        </w:rPr>
      </w:pPr>
    </w:p>
    <w:p>
      <w:pPr>
        <w:spacing w:before="0"/>
        <w:ind w:left="-24" w:right="0" w:firstLine="0"/>
        <w:jc w:val="left"/>
        <w:rPr>
          <w:sz w:val="14"/>
        </w:rPr>
      </w:pPr>
      <w:r>
        <w:rPr>
          <w:spacing w:val="-4"/>
          <w:sz w:val="14"/>
        </w:rPr>
        <w:t>j</w:t>
      </w:r>
      <w:r>
        <w:rPr>
          <w:spacing w:val="-4"/>
          <w:position w:val="-4"/>
          <w:sz w:val="14"/>
        </w:rPr>
        <w:t>LT</w:t>
      </w:r>
      <w:r>
        <w:rPr>
          <w:spacing w:val="-4"/>
          <w:sz w:val="14"/>
        </w:rPr>
        <w:t>z</w:t>
      </w:r>
    </w:p>
    <w:p>
      <w:pPr>
        <w:spacing w:before="100"/>
        <w:ind w:left="23" w:right="0" w:firstLine="0"/>
        <w:jc w:val="left"/>
        <w:rPr>
          <w:sz w:val="18"/>
        </w:rPr>
      </w:pPr>
      <w:r>
        <w:rPr/>
        <w:br w:type="column"/>
      </w:r>
      <w:r>
        <w:rPr>
          <w:sz w:val="28"/>
        </w:rPr>
        <w:t>)</w:t>
      </w:r>
      <w:r>
        <w:rPr>
          <w:spacing w:val="-21"/>
          <w:sz w:val="28"/>
        </w:rPr>
        <w:t> </w:t>
      </w:r>
      <w:r>
        <w:rPr>
          <w:rFonts w:ascii="Symbol" w:hAnsi="Symbol"/>
          <w:sz w:val="28"/>
        </w:rPr>
        <w:t></w:t>
      </w:r>
      <w:r>
        <w:rPr>
          <w:spacing w:val="-20"/>
          <w:sz w:val="28"/>
        </w:rPr>
        <w:t> </w:t>
      </w:r>
      <w:r>
        <w:rPr>
          <w:spacing w:val="-5"/>
          <w:sz w:val="28"/>
        </w:rPr>
        <w:t>Д</w:t>
      </w:r>
      <w:r>
        <w:rPr>
          <w:spacing w:val="-5"/>
          <w:position w:val="-9"/>
          <w:sz w:val="18"/>
        </w:rPr>
        <w:t>ЗП</w:t>
      </w:r>
    </w:p>
    <w:p>
      <w:pPr>
        <w:spacing w:line="240" w:lineRule="auto" w:before="0"/>
        <w:rPr>
          <w:sz w:val="20"/>
        </w:rPr>
      </w:pPr>
      <w:r>
        <w:rPr/>
        <w:br w:type="column"/>
      </w:r>
      <w:r>
        <w:rPr>
          <w:sz w:val="20"/>
        </w:rPr>
      </w:r>
    </w:p>
    <w:p>
      <w:pPr>
        <w:pStyle w:val="BodyText"/>
        <w:rPr>
          <w:sz w:val="16"/>
        </w:rPr>
      </w:pPr>
    </w:p>
    <w:p>
      <w:pPr>
        <w:spacing w:before="0"/>
        <w:ind w:left="-24" w:right="0" w:firstLine="0"/>
        <w:jc w:val="left"/>
        <w:rPr>
          <w:sz w:val="14"/>
        </w:rPr>
      </w:pPr>
      <w:r>
        <w:rPr>
          <w:spacing w:val="-4"/>
          <w:sz w:val="14"/>
        </w:rPr>
        <w:t>j</w:t>
      </w:r>
      <w:r>
        <w:rPr>
          <w:spacing w:val="-4"/>
          <w:position w:val="-4"/>
          <w:sz w:val="14"/>
        </w:rPr>
        <w:t>LT</w:t>
      </w:r>
      <w:r>
        <w:rPr>
          <w:spacing w:val="-4"/>
          <w:sz w:val="14"/>
        </w:rPr>
        <w:t>z</w:t>
      </w:r>
    </w:p>
    <w:p>
      <w:pPr>
        <w:pStyle w:val="ListParagraph"/>
        <w:numPr>
          <w:ilvl w:val="0"/>
          <w:numId w:val="13"/>
        </w:numPr>
        <w:tabs>
          <w:tab w:pos="256" w:val="left" w:leader="none"/>
          <w:tab w:pos="1689" w:val="left" w:leader="none"/>
        </w:tabs>
        <w:spacing w:line="240" w:lineRule="auto" w:before="100" w:after="0"/>
        <w:ind w:left="255" w:right="0" w:hanging="200"/>
        <w:jc w:val="left"/>
        <w:rPr>
          <w:rFonts w:ascii="Symbol" w:hAnsi="Symbol"/>
          <w:sz w:val="28"/>
        </w:rPr>
      </w:pPr>
      <w:r>
        <w:rPr>
          <w:spacing w:val="-10"/>
          <w:w w:val="101"/>
          <w:sz w:val="28"/>
        </w:rPr>
        <w:br w:type="column"/>
      </w:r>
      <w:r>
        <w:rPr>
          <w:sz w:val="28"/>
        </w:rPr>
        <w:t>КД</w:t>
      </w:r>
      <w:r>
        <w:rPr>
          <w:position w:val="-9"/>
          <w:sz w:val="18"/>
        </w:rPr>
        <w:t>i</w:t>
      </w:r>
      <w:r>
        <w:rPr>
          <w:spacing w:val="34"/>
          <w:position w:val="-9"/>
          <w:sz w:val="18"/>
        </w:rPr>
        <w:t> </w:t>
      </w:r>
      <w:r>
        <w:rPr>
          <w:rFonts w:ascii="Symbol" w:hAnsi="Symbol"/>
          <w:sz w:val="28"/>
        </w:rPr>
        <w:t></w:t>
      </w:r>
      <w:r>
        <w:rPr>
          <w:spacing w:val="-22"/>
          <w:sz w:val="28"/>
        </w:rPr>
        <w:t> </w:t>
      </w:r>
      <w:r>
        <w:rPr>
          <w:spacing w:val="-4"/>
          <w:sz w:val="28"/>
        </w:rPr>
        <w:t>КС</w:t>
      </w:r>
      <w:r>
        <w:rPr>
          <w:spacing w:val="-4"/>
          <w:position w:val="-9"/>
          <w:sz w:val="18"/>
        </w:rPr>
        <w:t>ij</w:t>
      </w:r>
      <w:r>
        <w:rPr>
          <w:position w:val="-9"/>
          <w:sz w:val="18"/>
        </w:rPr>
        <w:tab/>
      </w:r>
      <w:r>
        <w:rPr>
          <w:sz w:val="28"/>
        </w:rPr>
        <w:t>)</w:t>
      </w:r>
      <w:r>
        <w:rPr>
          <w:spacing w:val="-22"/>
          <w:sz w:val="28"/>
        </w:rPr>
        <w:t> </w:t>
      </w:r>
      <w:r>
        <w:rPr>
          <w:rFonts w:ascii="Symbol" w:hAnsi="Symbol"/>
          <w:spacing w:val="-10"/>
          <w:sz w:val="28"/>
        </w:rPr>
        <w:t></w:t>
      </w:r>
    </w:p>
    <w:p>
      <w:pPr>
        <w:spacing w:after="0" w:line="240" w:lineRule="auto"/>
        <w:jc w:val="left"/>
        <w:rPr>
          <w:rFonts w:ascii="Symbol" w:hAnsi="Symbol"/>
          <w:sz w:val="28"/>
        </w:rPr>
        <w:sectPr>
          <w:type w:val="continuous"/>
          <w:pgSz w:w="11910" w:h="16850"/>
          <w:pgMar w:header="751" w:footer="0" w:top="1080" w:bottom="280" w:left="1260" w:right="1260"/>
          <w:cols w:num="6" w:equalWidth="0">
            <w:col w:w="3426" w:space="40"/>
            <w:col w:w="1327" w:space="39"/>
            <w:col w:w="255" w:space="40"/>
            <w:col w:w="827" w:space="40"/>
            <w:col w:w="256" w:space="39"/>
            <w:col w:w="3101"/>
          </w:cols>
        </w:sectPr>
      </w:pPr>
    </w:p>
    <w:p>
      <w:pPr>
        <w:pStyle w:val="ListParagraph"/>
        <w:numPr>
          <w:ilvl w:val="1"/>
          <w:numId w:val="13"/>
        </w:numPr>
        <w:tabs>
          <w:tab w:pos="2662" w:val="left" w:leader="none"/>
        </w:tabs>
        <w:spacing w:line="240" w:lineRule="auto" w:before="21" w:after="0"/>
        <w:ind w:left="2661" w:right="0" w:hanging="213"/>
        <w:jc w:val="left"/>
        <w:rPr>
          <w:sz w:val="28"/>
        </w:rPr>
      </w:pPr>
      <w:r>
        <w:rPr/>
        <w:pict>
          <v:shape style="position:absolute;margin-left:450.298279pt;margin-top:-10.284791pt;width:8pt;height:7.8pt;mso-position-horizontal-relative:page;mso-position-vertical-relative:paragraph;z-index:-79648256" type="#_x0000_t202" id="docshape14" filled="false" stroked="false">
            <v:textbox inset="0,0,0,0">
              <w:txbxContent>
                <w:p>
                  <w:pPr>
                    <w:spacing w:line="155" w:lineRule="exact" w:before="0"/>
                    <w:ind w:left="0" w:right="0" w:firstLine="0"/>
                    <w:jc w:val="left"/>
                    <w:rPr>
                      <w:sz w:val="14"/>
                    </w:rPr>
                  </w:pPr>
                  <w:r>
                    <w:rPr>
                      <w:spacing w:val="-12"/>
                      <w:sz w:val="14"/>
                    </w:rPr>
                    <w:t>LT</w:t>
                  </w:r>
                </w:p>
              </w:txbxContent>
            </v:textbox>
            <w10:wrap type="none"/>
          </v:shape>
        </w:pict>
      </w:r>
      <w:r>
        <w:rPr>
          <w:sz w:val="28"/>
        </w:rPr>
        <w:t>НФЗ</w:t>
      </w:r>
      <w:r>
        <w:rPr>
          <w:spacing w:val="-40"/>
          <w:sz w:val="28"/>
        </w:rPr>
        <w:t> </w:t>
      </w:r>
      <w:r>
        <w:rPr>
          <w:position w:val="-9"/>
          <w:sz w:val="18"/>
        </w:rPr>
        <w:t>z</w:t>
      </w:r>
      <w:r>
        <w:rPr>
          <w:spacing w:val="25"/>
          <w:position w:val="-9"/>
          <w:sz w:val="18"/>
        </w:rPr>
        <w:t> </w:t>
      </w:r>
      <w:r>
        <w:rPr>
          <w:rFonts w:ascii="Symbol" w:hAnsi="Symbol"/>
          <w:sz w:val="28"/>
        </w:rPr>
        <w:t></w:t>
      </w:r>
      <w:r>
        <w:rPr>
          <w:spacing w:val="-28"/>
          <w:sz w:val="28"/>
        </w:rPr>
        <w:t> </w:t>
      </w:r>
      <w:r>
        <w:rPr>
          <w:sz w:val="28"/>
        </w:rPr>
        <w:t>КБС</w:t>
      </w:r>
      <w:r>
        <w:rPr>
          <w:position w:val="-9"/>
          <w:sz w:val="18"/>
        </w:rPr>
        <w:t>z</w:t>
      </w:r>
      <w:r>
        <w:rPr>
          <w:spacing w:val="26"/>
          <w:position w:val="-9"/>
          <w:sz w:val="18"/>
        </w:rPr>
        <w:t> </w:t>
      </w:r>
      <w:r>
        <w:rPr>
          <w:rFonts w:ascii="Symbol" w:hAnsi="Symbol"/>
          <w:sz w:val="28"/>
        </w:rPr>
        <w:t></w:t>
      </w:r>
      <w:r>
        <w:rPr>
          <w:spacing w:val="-28"/>
          <w:sz w:val="28"/>
        </w:rPr>
        <w:t> </w:t>
      </w:r>
      <w:r>
        <w:rPr>
          <w:sz w:val="28"/>
        </w:rPr>
        <w:t>КД</w:t>
      </w:r>
      <w:r>
        <w:rPr>
          <w:position w:val="-9"/>
          <w:sz w:val="18"/>
        </w:rPr>
        <w:t>i</w:t>
      </w:r>
      <w:r>
        <w:rPr>
          <w:spacing w:val="22"/>
          <w:position w:val="-9"/>
          <w:sz w:val="18"/>
        </w:rPr>
        <w:t> </w:t>
      </w:r>
      <w:r>
        <w:rPr>
          <w:rFonts w:ascii="Symbol" w:hAnsi="Symbol"/>
          <w:sz w:val="28"/>
        </w:rPr>
        <w:t></w:t>
      </w:r>
      <w:r>
        <w:rPr>
          <w:spacing w:val="-28"/>
          <w:sz w:val="28"/>
        </w:rPr>
        <w:t> </w:t>
      </w:r>
      <w:r>
        <w:rPr>
          <w:spacing w:val="-4"/>
          <w:sz w:val="28"/>
        </w:rPr>
        <w:t>КСЛП,</w:t>
      </w:r>
    </w:p>
    <w:p>
      <w:pPr>
        <w:pStyle w:val="BodyText"/>
        <w:spacing w:before="3"/>
        <w:rPr>
          <w:sz w:val="23"/>
        </w:rPr>
      </w:pPr>
    </w:p>
    <w:p>
      <w:pPr>
        <w:spacing w:after="0"/>
        <w:rPr>
          <w:sz w:val="23"/>
        </w:rPr>
        <w:sectPr>
          <w:type w:val="continuous"/>
          <w:pgSz w:w="11910" w:h="16850"/>
          <w:pgMar w:header="751" w:footer="0" w:top="1080" w:bottom="280" w:left="1260" w:right="1260"/>
        </w:sectPr>
      </w:pPr>
    </w:p>
    <w:p>
      <w:pPr>
        <w:pStyle w:val="BodyText"/>
        <w:spacing w:before="89"/>
        <w:ind w:left="866"/>
      </w:pPr>
      <w:r>
        <w:rPr>
          <w:spacing w:val="-4"/>
        </w:rPr>
        <w:t>где:</w:t>
      </w:r>
    </w:p>
    <w:p>
      <w:pPr>
        <w:pStyle w:val="BodyText"/>
        <w:tabs>
          <w:tab w:pos="1546" w:val="left" w:leader="none"/>
        </w:tabs>
        <w:spacing w:line="308" w:lineRule="exact" w:before="64"/>
        <w:ind w:left="902"/>
      </w:pPr>
      <w:r>
        <w:rPr/>
        <w:pict>
          <v:shape style="position:absolute;margin-left:126.217789pt;margin-top:13.994352pt;width:2.85pt;height:11.1pt;mso-position-horizontal-relative:page;mso-position-vertical-relative:paragraph;z-index:-79646208" type="#_x0000_t202" id="docshape15" filled="false" stroked="false">
            <v:textbox inset="0,0,0,0">
              <w:txbxContent>
                <w:p>
                  <w:pPr>
                    <w:spacing w:line="221" w:lineRule="exact" w:before="0"/>
                    <w:ind w:left="0" w:right="0" w:firstLine="0"/>
                    <w:jc w:val="left"/>
                    <w:rPr>
                      <w:sz w:val="20"/>
                    </w:rPr>
                  </w:pPr>
                  <w:r>
                    <w:rPr>
                      <w:w w:val="101"/>
                      <w:sz w:val="20"/>
                    </w:rPr>
                    <w:t>j</w:t>
                  </w:r>
                </w:p>
              </w:txbxContent>
            </v:textbox>
            <w10:wrap type="none"/>
          </v:shape>
        </w:pict>
      </w:r>
      <w:r>
        <w:rPr>
          <w:spacing w:val="-5"/>
        </w:rPr>
        <w:t>КЗ</w:t>
      </w:r>
      <w:r>
        <w:rPr/>
        <w:tab/>
      </w:r>
      <w:r>
        <w:rPr>
          <w:spacing w:val="-18"/>
          <w:vertAlign w:val="subscript"/>
        </w:rPr>
        <w:t>z</w:t>
      </w:r>
    </w:p>
    <w:p>
      <w:pPr>
        <w:spacing w:line="102" w:lineRule="exact" w:before="0"/>
        <w:ind w:left="0" w:right="86" w:firstLine="0"/>
        <w:jc w:val="right"/>
        <w:rPr>
          <w:sz w:val="16"/>
        </w:rPr>
      </w:pPr>
      <w:r>
        <w:rPr>
          <w:spacing w:val="-5"/>
          <w:sz w:val="16"/>
        </w:rPr>
        <w:t>LT</w:t>
      </w:r>
    </w:p>
    <w:p>
      <w:pPr>
        <w:spacing w:line="240" w:lineRule="auto" w:before="11"/>
        <w:rPr>
          <w:sz w:val="40"/>
        </w:rPr>
      </w:pPr>
      <w:r>
        <w:rPr/>
        <w:br w:type="column"/>
      </w:r>
      <w:r>
        <w:rPr>
          <w:sz w:val="40"/>
        </w:rPr>
      </w:r>
    </w:p>
    <w:p>
      <w:pPr>
        <w:pStyle w:val="BodyText"/>
        <w:ind w:left="129"/>
      </w:pPr>
      <w:r>
        <w:rPr>
          <w:rFonts w:ascii="Cambria Math" w:hAnsi="Cambria Math"/>
        </w:rPr>
        <w:t>-</w:t>
      </w:r>
      <w:r>
        <w:rPr>
          <w:rFonts w:ascii="Cambria Math" w:hAnsi="Cambria Math"/>
          <w:spacing w:val="25"/>
        </w:rPr>
        <w:t> </w:t>
      </w:r>
      <w:r>
        <w:rPr/>
        <w:t>коэффициент</w:t>
      </w:r>
      <w:r>
        <w:rPr>
          <w:spacing w:val="24"/>
        </w:rPr>
        <w:t> </w:t>
      </w:r>
      <w:r>
        <w:rPr/>
        <w:t>относительной</w:t>
      </w:r>
      <w:r>
        <w:rPr>
          <w:spacing w:val="25"/>
        </w:rPr>
        <w:t> </w:t>
      </w:r>
      <w:r>
        <w:rPr/>
        <w:t>затратоемкости</w:t>
      </w:r>
      <w:r>
        <w:rPr>
          <w:spacing w:val="25"/>
        </w:rPr>
        <w:t> </w:t>
      </w:r>
      <w:r>
        <w:rPr/>
        <w:t>оказания</w:t>
      </w:r>
      <w:r>
        <w:rPr>
          <w:spacing w:val="26"/>
        </w:rPr>
        <w:t> </w:t>
      </w:r>
      <w:r>
        <w:rPr/>
        <w:t>j</w:t>
      </w:r>
      <w:r>
        <w:rPr>
          <w:vertAlign w:val="subscript"/>
        </w:rPr>
        <w:t>LT</w:t>
      </w:r>
      <w:r>
        <w:rPr>
          <w:vertAlign w:val="baseline"/>
        </w:rPr>
        <w:t>-</w:t>
      </w:r>
      <w:r>
        <w:rPr>
          <w:spacing w:val="-10"/>
          <w:vertAlign w:val="baseline"/>
        </w:rPr>
        <w:t>й</w:t>
      </w:r>
    </w:p>
    <w:p>
      <w:pPr>
        <w:spacing w:after="0"/>
        <w:sectPr>
          <w:type w:val="continuous"/>
          <w:pgSz w:w="11910" w:h="16850"/>
          <w:pgMar w:header="751" w:footer="0" w:top="1080" w:bottom="280" w:left="1260" w:right="1260"/>
          <w:cols w:num="2" w:equalWidth="0">
            <w:col w:w="1619" w:space="40"/>
            <w:col w:w="7731"/>
          </w:cols>
        </w:sectPr>
      </w:pPr>
    </w:p>
    <w:p>
      <w:pPr>
        <w:pStyle w:val="BodyText"/>
        <w:spacing w:line="297" w:lineRule="auto"/>
        <w:ind w:left="158" w:right="159"/>
      </w:pPr>
      <w:r>
        <w:rPr/>
        <w:pict>
          <v:shape style="position:absolute;margin-left:145.306290pt;margin-top:48.992641pt;width:3.65pt;height:8.9pt;mso-position-horizontal-relative:page;mso-position-vertical-relative:paragraph;z-index:15732736" type="#_x0000_t202" id="docshape16" filled="false" stroked="false">
            <v:textbox inset="0,0,0,0">
              <w:txbxContent>
                <w:p>
                  <w:pPr>
                    <w:spacing w:line="177" w:lineRule="exact" w:before="0"/>
                    <w:ind w:left="0" w:right="0" w:firstLine="0"/>
                    <w:jc w:val="left"/>
                    <w:rPr>
                      <w:sz w:val="16"/>
                    </w:rPr>
                  </w:pPr>
                  <w:r>
                    <w:rPr>
                      <w:w w:val="101"/>
                      <w:sz w:val="16"/>
                    </w:rPr>
                    <w:t>z</w:t>
                  </w:r>
                </w:p>
              </w:txbxContent>
            </v:textbox>
            <w10:wrap type="none"/>
          </v:shape>
        </w:pict>
      </w:r>
      <w:r>
        <w:rPr/>
        <w:t>медицинской</w:t>
      </w:r>
      <w:r>
        <w:rPr>
          <w:spacing w:val="80"/>
        </w:rPr>
        <w:t> </w:t>
      </w:r>
      <w:r>
        <w:rPr/>
        <w:t>помощи</w:t>
      </w:r>
      <w:r>
        <w:rPr>
          <w:spacing w:val="80"/>
        </w:rPr>
        <w:t> </w:t>
      </w:r>
      <w:r>
        <w:rPr/>
        <w:t>в</w:t>
      </w:r>
      <w:r>
        <w:rPr>
          <w:spacing w:val="80"/>
        </w:rPr>
        <w:t> </w:t>
      </w:r>
      <w:r>
        <w:rPr/>
        <w:t>z-x</w:t>
      </w:r>
      <w:r>
        <w:rPr>
          <w:spacing w:val="80"/>
        </w:rPr>
        <w:t> </w:t>
      </w:r>
      <w:r>
        <w:rPr/>
        <w:t>условиях,</w:t>
      </w:r>
      <w:r>
        <w:rPr>
          <w:spacing w:val="80"/>
        </w:rPr>
        <w:t> </w:t>
      </w:r>
      <w:r>
        <w:rPr/>
        <w:t>значение</w:t>
      </w:r>
      <w:r>
        <w:rPr>
          <w:spacing w:val="80"/>
        </w:rPr>
        <w:t> </w:t>
      </w:r>
      <w:r>
        <w:rPr/>
        <w:t>которого</w:t>
      </w:r>
      <w:r>
        <w:rPr>
          <w:spacing w:val="80"/>
        </w:rPr>
        <w:t> </w:t>
      </w:r>
      <w:r>
        <w:rPr/>
        <w:t>принимается в соответствии с приложением № 4 к Программе;</w:t>
      </w:r>
    </w:p>
    <w:p>
      <w:pPr>
        <w:spacing w:after="0" w:line="297" w:lineRule="auto"/>
        <w:sectPr>
          <w:type w:val="continuous"/>
          <w:pgSz w:w="11910" w:h="16850"/>
          <w:pgMar w:header="751" w:footer="0" w:top="1080" w:bottom="280" w:left="1260" w:right="1260"/>
        </w:sectPr>
      </w:pPr>
    </w:p>
    <w:p>
      <w:pPr>
        <w:spacing w:line="269" w:lineRule="exact" w:before="0"/>
        <w:ind w:left="903" w:right="0" w:firstLine="0"/>
        <w:jc w:val="left"/>
        <w:rPr>
          <w:sz w:val="20"/>
        </w:rPr>
      </w:pPr>
      <w:r>
        <w:rPr>
          <w:spacing w:val="-5"/>
          <w:position w:val="7"/>
          <w:sz w:val="28"/>
        </w:rPr>
        <w:t>Д</w:t>
      </w:r>
      <w:r>
        <w:rPr>
          <w:spacing w:val="-5"/>
          <w:sz w:val="20"/>
        </w:rPr>
        <w:t>ЗП</w:t>
      </w:r>
    </w:p>
    <w:p>
      <w:pPr>
        <w:spacing w:line="186" w:lineRule="exact" w:before="0"/>
        <w:ind w:left="0" w:right="0" w:firstLine="0"/>
        <w:jc w:val="right"/>
        <w:rPr>
          <w:sz w:val="16"/>
        </w:rPr>
      </w:pPr>
      <w:r>
        <w:rPr>
          <w:spacing w:val="-5"/>
          <w:position w:val="4"/>
          <w:sz w:val="16"/>
        </w:rPr>
        <w:t>j</w:t>
      </w:r>
      <w:r>
        <w:rPr>
          <w:spacing w:val="-5"/>
          <w:sz w:val="16"/>
        </w:rPr>
        <w:t>LT</w:t>
      </w:r>
    </w:p>
    <w:p>
      <w:pPr>
        <w:pStyle w:val="ListParagraph"/>
        <w:numPr>
          <w:ilvl w:val="0"/>
          <w:numId w:val="14"/>
        </w:numPr>
        <w:tabs>
          <w:tab w:pos="574" w:val="left" w:leader="none"/>
        </w:tabs>
        <w:spacing w:line="254" w:lineRule="exact" w:before="0" w:after="0"/>
        <w:ind w:left="573" w:right="0" w:hanging="273"/>
        <w:jc w:val="left"/>
        <w:rPr>
          <w:sz w:val="28"/>
        </w:rPr>
      </w:pPr>
      <w:r>
        <w:rPr>
          <w:spacing w:val="-2"/>
          <w:sz w:val="28"/>
        </w:rPr>
        <w:br w:type="column"/>
      </w:r>
      <w:r>
        <w:rPr>
          <w:sz w:val="28"/>
        </w:rPr>
        <w:t>доля</w:t>
      </w:r>
      <w:r>
        <w:rPr>
          <w:spacing w:val="65"/>
          <w:w w:val="150"/>
          <w:sz w:val="28"/>
        </w:rPr>
        <w:t> </w:t>
      </w:r>
      <w:r>
        <w:rPr>
          <w:sz w:val="28"/>
        </w:rPr>
        <w:t>заработной</w:t>
      </w:r>
      <w:r>
        <w:rPr>
          <w:spacing w:val="68"/>
          <w:w w:val="150"/>
          <w:sz w:val="28"/>
        </w:rPr>
        <w:t> </w:t>
      </w:r>
      <w:r>
        <w:rPr>
          <w:sz w:val="28"/>
        </w:rPr>
        <w:t>платы</w:t>
      </w:r>
      <w:r>
        <w:rPr>
          <w:spacing w:val="65"/>
          <w:w w:val="150"/>
          <w:sz w:val="28"/>
        </w:rPr>
        <w:t> </w:t>
      </w:r>
      <w:r>
        <w:rPr>
          <w:sz w:val="28"/>
        </w:rPr>
        <w:t>и</w:t>
      </w:r>
      <w:r>
        <w:rPr>
          <w:spacing w:val="66"/>
          <w:w w:val="150"/>
          <w:sz w:val="28"/>
        </w:rPr>
        <w:t> </w:t>
      </w:r>
      <w:r>
        <w:rPr>
          <w:sz w:val="28"/>
        </w:rPr>
        <w:t>прочих</w:t>
      </w:r>
      <w:r>
        <w:rPr>
          <w:spacing w:val="66"/>
          <w:w w:val="150"/>
          <w:sz w:val="28"/>
        </w:rPr>
        <w:t> </w:t>
      </w:r>
      <w:r>
        <w:rPr>
          <w:sz w:val="28"/>
        </w:rPr>
        <w:t>расходов</w:t>
      </w:r>
      <w:r>
        <w:rPr>
          <w:spacing w:val="74"/>
          <w:w w:val="150"/>
          <w:sz w:val="28"/>
        </w:rPr>
        <w:t> </w:t>
      </w:r>
      <w:r>
        <w:rPr>
          <w:sz w:val="28"/>
        </w:rPr>
        <w:t>в</w:t>
      </w:r>
      <w:r>
        <w:rPr>
          <w:spacing w:val="65"/>
          <w:w w:val="150"/>
          <w:sz w:val="28"/>
        </w:rPr>
        <w:t> </w:t>
      </w:r>
      <w:r>
        <w:rPr>
          <w:spacing w:val="-2"/>
          <w:sz w:val="28"/>
        </w:rPr>
        <w:t>составе</w:t>
      </w:r>
    </w:p>
    <w:p>
      <w:pPr>
        <w:spacing w:after="0" w:line="254" w:lineRule="exact"/>
        <w:jc w:val="left"/>
        <w:rPr>
          <w:sz w:val="28"/>
        </w:rPr>
        <w:sectPr>
          <w:type w:val="continuous"/>
          <w:pgSz w:w="11910" w:h="16850"/>
          <w:pgMar w:header="751" w:footer="0" w:top="1080" w:bottom="280" w:left="1260" w:right="1260"/>
          <w:cols w:num="2" w:equalWidth="0">
            <w:col w:w="1644" w:space="40"/>
            <w:col w:w="7706"/>
          </w:cols>
        </w:sectPr>
      </w:pPr>
    </w:p>
    <w:p>
      <w:pPr>
        <w:pStyle w:val="BodyText"/>
        <w:spacing w:line="268" w:lineRule="auto" w:before="51"/>
        <w:ind w:left="158" w:right="152"/>
        <w:jc w:val="both"/>
      </w:pPr>
      <w:r>
        <w:rPr/>
        <w:t>норматива</w:t>
      </w:r>
      <w:r>
        <w:rPr>
          <w:spacing w:val="80"/>
        </w:rPr>
        <w:t> </w:t>
      </w:r>
      <w:r>
        <w:rPr/>
        <w:t>финансовых</w:t>
      </w:r>
      <w:r>
        <w:rPr>
          <w:spacing w:val="80"/>
        </w:rPr>
        <w:t> </w:t>
      </w:r>
      <w:r>
        <w:rPr/>
        <w:t>затрат</w:t>
      </w:r>
      <w:r>
        <w:rPr>
          <w:spacing w:val="80"/>
        </w:rPr>
        <w:t> </w:t>
      </w:r>
      <w:r>
        <w:rPr/>
        <w:t>на</w:t>
      </w:r>
      <w:r>
        <w:rPr>
          <w:spacing w:val="80"/>
        </w:rPr>
        <w:t> </w:t>
      </w:r>
      <w:r>
        <w:rPr/>
        <w:t>оказание</w:t>
      </w:r>
      <w:r>
        <w:rPr>
          <w:spacing w:val="80"/>
        </w:rPr>
        <w:t> </w:t>
      </w:r>
      <w:r>
        <w:rPr/>
        <w:t>j</w:t>
      </w:r>
      <w:r>
        <w:rPr>
          <w:vertAlign w:val="subscript"/>
        </w:rPr>
        <w:t>LT</w:t>
      </w:r>
      <w:r>
        <w:rPr>
          <w:vertAlign w:val="baseline"/>
        </w:rPr>
        <w:t>-й</w:t>
      </w:r>
      <w:r>
        <w:rPr>
          <w:spacing w:val="80"/>
          <w:vertAlign w:val="baseline"/>
        </w:rPr>
        <w:t> </w:t>
      </w:r>
      <w:r>
        <w:rPr>
          <w:vertAlign w:val="baseline"/>
        </w:rPr>
        <w:t>медицинской</w:t>
      </w:r>
      <w:r>
        <w:rPr>
          <w:spacing w:val="80"/>
          <w:vertAlign w:val="baseline"/>
        </w:rPr>
        <w:t> </w:t>
      </w:r>
      <w:r>
        <w:rPr>
          <w:vertAlign w:val="baseline"/>
        </w:rPr>
        <w:t>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 4 к Программе, значение которой принимается в соответствии с приложением № 4 к Программе;</w:t>
      </w:r>
    </w:p>
    <w:p>
      <w:pPr>
        <w:spacing w:after="0" w:line="268" w:lineRule="auto"/>
        <w:jc w:val="both"/>
        <w:sectPr>
          <w:type w:val="continuous"/>
          <w:pgSz w:w="11910" w:h="16850"/>
          <w:pgMar w:header="751" w:footer="0" w:top="1080" w:bottom="280" w:left="1260" w:right="1260"/>
        </w:sectPr>
      </w:pPr>
    </w:p>
    <w:p>
      <w:pPr>
        <w:pStyle w:val="BodyText"/>
        <w:spacing w:before="1"/>
        <w:rPr>
          <w:sz w:val="23"/>
        </w:rPr>
      </w:pPr>
    </w:p>
    <w:p>
      <w:pPr>
        <w:spacing w:after="0"/>
        <w:rPr>
          <w:sz w:val="23"/>
        </w:rPr>
        <w:sectPr>
          <w:pgSz w:w="11910" w:h="16850"/>
          <w:pgMar w:header="751" w:footer="0" w:top="1060" w:bottom="280" w:left="1260" w:right="1260"/>
        </w:sectPr>
      </w:pPr>
    </w:p>
    <w:p>
      <w:pPr>
        <w:spacing w:before="90"/>
        <w:ind w:left="902" w:right="0" w:firstLine="0"/>
        <w:jc w:val="left"/>
        <w:rPr>
          <w:sz w:val="16"/>
        </w:rPr>
      </w:pPr>
      <w:r>
        <w:rPr>
          <w:spacing w:val="-2"/>
          <w:sz w:val="28"/>
        </w:rPr>
        <w:t>КС</w:t>
      </w:r>
      <w:r>
        <w:rPr>
          <w:spacing w:val="-2"/>
          <w:position w:val="-6"/>
          <w:sz w:val="20"/>
        </w:rPr>
        <w:t>ij</w:t>
      </w:r>
      <w:r>
        <w:rPr>
          <w:spacing w:val="-2"/>
          <w:position w:val="-11"/>
          <w:sz w:val="16"/>
        </w:rPr>
        <w:t>LT</w:t>
      </w:r>
    </w:p>
    <w:p>
      <w:pPr>
        <w:pStyle w:val="ListParagraph"/>
        <w:numPr>
          <w:ilvl w:val="0"/>
          <w:numId w:val="14"/>
        </w:numPr>
        <w:tabs>
          <w:tab w:pos="573" w:val="left" w:leader="none"/>
          <w:tab w:pos="574" w:val="left" w:leader="none"/>
          <w:tab w:pos="2400" w:val="left" w:leader="none"/>
          <w:tab w:pos="3937" w:val="left" w:leader="none"/>
          <w:tab w:pos="5227" w:val="left" w:leader="none"/>
          <w:tab w:pos="5989" w:val="left" w:leader="none"/>
        </w:tabs>
        <w:spacing w:line="240" w:lineRule="auto" w:before="89" w:after="0"/>
        <w:ind w:left="573" w:right="0" w:hanging="316"/>
        <w:jc w:val="left"/>
        <w:rPr>
          <w:sz w:val="28"/>
        </w:rPr>
      </w:pPr>
      <w:r>
        <w:rPr>
          <w:sz w:val="28"/>
        </w:rPr>
        <w:br w:type="column"/>
      </w:r>
      <w:r>
        <w:rPr>
          <w:spacing w:val="-2"/>
          <w:sz w:val="28"/>
        </w:rPr>
        <w:t>коэффициент</w:t>
      </w:r>
      <w:r>
        <w:rPr>
          <w:sz w:val="28"/>
        </w:rPr>
        <w:tab/>
      </w:r>
      <w:r>
        <w:rPr>
          <w:spacing w:val="-2"/>
          <w:sz w:val="28"/>
        </w:rPr>
        <w:t>специфики</w:t>
      </w:r>
      <w:r>
        <w:rPr>
          <w:sz w:val="28"/>
        </w:rPr>
        <w:tab/>
      </w:r>
      <w:r>
        <w:rPr>
          <w:spacing w:val="-2"/>
          <w:sz w:val="28"/>
        </w:rPr>
        <w:t>оказания</w:t>
      </w:r>
      <w:r>
        <w:rPr>
          <w:sz w:val="28"/>
        </w:rPr>
        <w:tab/>
      </w:r>
      <w:r>
        <w:rPr>
          <w:spacing w:val="-2"/>
          <w:sz w:val="28"/>
        </w:rPr>
        <w:t>j</w:t>
      </w:r>
      <w:r>
        <w:rPr>
          <w:spacing w:val="-2"/>
          <w:sz w:val="28"/>
          <w:vertAlign w:val="subscript"/>
        </w:rPr>
        <w:t>LT</w:t>
      </w:r>
      <w:r>
        <w:rPr>
          <w:spacing w:val="-2"/>
          <w:sz w:val="28"/>
          <w:vertAlign w:val="baseline"/>
        </w:rPr>
        <w:t>-</w:t>
      </w:r>
      <w:r>
        <w:rPr>
          <w:spacing w:val="-10"/>
          <w:sz w:val="28"/>
          <w:vertAlign w:val="baseline"/>
        </w:rPr>
        <w:t>й</w:t>
      </w:r>
      <w:r>
        <w:rPr>
          <w:sz w:val="28"/>
          <w:vertAlign w:val="baseline"/>
        </w:rPr>
        <w:tab/>
      </w:r>
      <w:r>
        <w:rPr>
          <w:spacing w:val="-2"/>
          <w:sz w:val="28"/>
          <w:vertAlign w:val="baseline"/>
        </w:rPr>
        <w:t>медицинской</w:t>
      </w:r>
    </w:p>
    <w:p>
      <w:pPr>
        <w:spacing w:after="0" w:line="240" w:lineRule="auto"/>
        <w:jc w:val="left"/>
        <w:rPr>
          <w:sz w:val="28"/>
        </w:rPr>
        <w:sectPr>
          <w:type w:val="continuous"/>
          <w:pgSz w:w="11910" w:h="16850"/>
          <w:pgMar w:header="751" w:footer="0" w:top="1080" w:bottom="280" w:left="1260" w:right="1260"/>
          <w:cols w:num="2" w:equalWidth="0">
            <w:col w:w="1610" w:space="40"/>
            <w:col w:w="7740"/>
          </w:cols>
        </w:sectPr>
      </w:pPr>
    </w:p>
    <w:p>
      <w:pPr>
        <w:pStyle w:val="BodyText"/>
        <w:spacing w:line="276" w:lineRule="auto" w:before="49"/>
        <w:ind w:left="158" w:right="159"/>
        <w:jc w:val="both"/>
      </w:pPr>
      <w:r>
        <w:rPr/>
        <w:t>помощи i-й федеральной медицинской организацией, значение которого принимается в соответствии с пунктом 5 настоящего Положения.</w:t>
      </w:r>
    </w:p>
    <w:p>
      <w:pPr>
        <w:pStyle w:val="ListParagraph"/>
        <w:numPr>
          <w:ilvl w:val="0"/>
          <w:numId w:val="12"/>
        </w:numPr>
        <w:tabs>
          <w:tab w:pos="1148" w:val="left" w:leader="none"/>
        </w:tabs>
        <w:spacing w:line="268" w:lineRule="auto" w:before="37" w:after="0"/>
        <w:ind w:left="158" w:right="151" w:firstLine="707"/>
        <w:jc w:val="both"/>
        <w:rPr>
          <w:sz w:val="28"/>
        </w:rPr>
      </w:pPr>
      <w:r>
        <w:rPr>
          <w:sz w:val="28"/>
        </w:rPr>
        <w:t>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BodyText"/>
        <w:spacing w:line="268" w:lineRule="auto"/>
        <w:ind w:left="158" w:right="152" w:firstLine="707"/>
        <w:jc w:val="both"/>
      </w:pPr>
      <w:r>
        <w:rPr/>
        <w:t>а)</w:t>
      </w:r>
      <w:r>
        <w:rPr>
          <w:spacing w:val="-3"/>
        </w:rPr>
        <w:t> </w:t>
      </w:r>
      <w:r>
        <w:rPr/>
        <w:t>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BodyText"/>
        <w:spacing w:line="268" w:lineRule="auto"/>
        <w:ind w:left="158" w:right="158" w:firstLine="707"/>
        <w:jc w:val="both"/>
      </w:pPr>
      <w:r>
        <w:rPr/>
        <w:t>б)</w:t>
      </w:r>
      <w:r>
        <w:rPr>
          <w:spacing w:val="-4"/>
        </w:rPr>
        <w:t> </w:t>
      </w:r>
      <w:r>
        <w:rPr/>
        <w:t>1,2 - при значении коэффициента относительной затратоемкости менее</w:t>
      </w:r>
      <w:r>
        <w:rPr>
          <w:spacing w:val="40"/>
        </w:rPr>
        <w:t>  </w:t>
      </w:r>
      <w:r>
        <w:rPr/>
        <w:t>2</w:t>
      </w:r>
      <w:r>
        <w:rPr>
          <w:spacing w:val="40"/>
        </w:rPr>
        <w:t>  </w:t>
      </w:r>
      <w:r>
        <w:rPr/>
        <w:t>и</w:t>
      </w:r>
      <w:r>
        <w:rPr>
          <w:spacing w:val="40"/>
        </w:rPr>
        <w:t>  </w:t>
      </w:r>
      <w:r>
        <w:rPr/>
        <w:t>расположении</w:t>
      </w:r>
      <w:r>
        <w:rPr>
          <w:spacing w:val="40"/>
        </w:rPr>
        <w:t>  </w:t>
      </w:r>
      <w:r>
        <w:rPr/>
        <w:t>федеральной</w:t>
      </w:r>
      <w:r>
        <w:rPr>
          <w:spacing w:val="40"/>
        </w:rPr>
        <w:t>  </w:t>
      </w:r>
      <w:r>
        <w:rPr/>
        <w:t>медицинской</w:t>
      </w:r>
      <w:r>
        <w:rPr>
          <w:spacing w:val="40"/>
        </w:rPr>
        <w:t>  </w:t>
      </w:r>
      <w:r>
        <w:rPr/>
        <w:t>организации</w:t>
      </w:r>
      <w:r>
        <w:rPr>
          <w:spacing w:val="80"/>
          <w:w w:val="150"/>
        </w:rPr>
        <w:t> </w:t>
      </w:r>
      <w:r>
        <w:rPr/>
        <w:t>на</w:t>
      </w:r>
      <w:r>
        <w:rPr>
          <w:spacing w:val="-13"/>
        </w:rPr>
        <w:t> </w:t>
      </w:r>
      <w:r>
        <w:rPr/>
        <w:t>территории</w:t>
      </w:r>
      <w:r>
        <w:rPr>
          <w:spacing w:val="-11"/>
        </w:rPr>
        <w:t> </w:t>
      </w:r>
      <w:r>
        <w:rPr/>
        <w:t>закрытого</w:t>
      </w:r>
      <w:r>
        <w:rPr>
          <w:spacing w:val="-10"/>
        </w:rPr>
        <w:t> </w:t>
      </w:r>
      <w:r>
        <w:rPr/>
        <w:t>административно-территориального</w:t>
      </w:r>
      <w:r>
        <w:rPr>
          <w:spacing w:val="-9"/>
        </w:rPr>
        <w:t> </w:t>
      </w:r>
      <w:r>
        <w:rPr>
          <w:spacing w:val="-2"/>
        </w:rPr>
        <w:t>образования;</w:t>
      </w:r>
    </w:p>
    <w:p>
      <w:pPr>
        <w:pStyle w:val="BodyText"/>
        <w:spacing w:line="320" w:lineRule="exact"/>
        <w:ind w:left="866"/>
        <w:jc w:val="both"/>
      </w:pPr>
      <w:r>
        <w:rPr/>
        <w:t>в)</w:t>
      </w:r>
      <w:r>
        <w:rPr>
          <w:spacing w:val="-2"/>
        </w:rPr>
        <w:t> </w:t>
      </w:r>
      <w:r>
        <w:rPr>
          <w:spacing w:val="-5"/>
        </w:rPr>
        <w:t>1:</w:t>
      </w:r>
    </w:p>
    <w:p>
      <w:pPr>
        <w:pStyle w:val="BodyText"/>
        <w:spacing w:line="268" w:lineRule="auto" w:before="33"/>
        <w:ind w:left="158" w:right="152" w:firstLine="707"/>
        <w:jc w:val="both"/>
      </w:pPr>
      <w:r>
        <w:rPr/>
        <w:t>при</w:t>
      </w:r>
      <w:r>
        <w:rPr>
          <w:spacing w:val="80"/>
          <w:w w:val="150"/>
        </w:rPr>
        <w:t> </w:t>
      </w:r>
      <w:r>
        <w:rPr/>
        <w:t>значении</w:t>
      </w:r>
      <w:r>
        <w:rPr>
          <w:spacing w:val="80"/>
          <w:w w:val="150"/>
        </w:rPr>
        <w:t> </w:t>
      </w:r>
      <w:r>
        <w:rPr/>
        <w:t>коэффициента</w:t>
      </w:r>
      <w:r>
        <w:rPr>
          <w:spacing w:val="80"/>
          <w:w w:val="150"/>
        </w:rPr>
        <w:t> </w:t>
      </w:r>
      <w:r>
        <w:rPr/>
        <w:t>относительной</w:t>
      </w:r>
      <w:r>
        <w:rPr>
          <w:spacing w:val="80"/>
          <w:w w:val="150"/>
        </w:rPr>
        <w:t> </w:t>
      </w:r>
      <w:r>
        <w:rPr/>
        <w:t>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w:t>
      </w:r>
      <w:r>
        <w:rPr>
          <w:spacing w:val="-1"/>
        </w:rPr>
        <w:t> </w:t>
      </w:r>
      <w:r>
        <w:rPr/>
        <w:t>помощи, а для</w:t>
      </w:r>
      <w:r>
        <w:rPr>
          <w:spacing w:val="-1"/>
        </w:rPr>
        <w:t> </w:t>
      </w:r>
      <w:r>
        <w:rPr/>
        <w:t>медицинских</w:t>
      </w:r>
      <w:r>
        <w:rPr>
          <w:spacing w:val="-1"/>
        </w:rPr>
        <w:t> </w:t>
      </w:r>
      <w:r>
        <w:rPr/>
        <w:t>организаций,</w:t>
      </w:r>
      <w:r>
        <w:rPr>
          <w:spacing w:val="-2"/>
        </w:rPr>
        <w:t> </w:t>
      </w:r>
      <w:r>
        <w:rPr/>
        <w:t>подведомственных Управлению делами Президента Российской Федерации, - при значении коэффициента относительной затратоемкости менее 1,7;</w:t>
      </w:r>
    </w:p>
    <w:p>
      <w:pPr>
        <w:pStyle w:val="BodyText"/>
        <w:spacing w:line="268" w:lineRule="auto"/>
        <w:ind w:left="158" w:right="151" w:firstLine="707"/>
        <w:jc w:val="both"/>
      </w:pPr>
      <w:r>
        <w:rPr/>
        <w:t>при</w:t>
      </w:r>
      <w:r>
        <w:rPr>
          <w:spacing w:val="80"/>
        </w:rPr>
        <w:t>  </w:t>
      </w:r>
      <w:r>
        <w:rPr/>
        <w:t>определении</w:t>
      </w:r>
      <w:r>
        <w:rPr>
          <w:spacing w:val="80"/>
        </w:rPr>
        <w:t>  </w:t>
      </w:r>
      <w:r>
        <w:rPr/>
        <w:t>тарифа</w:t>
      </w:r>
      <w:r>
        <w:rPr>
          <w:spacing w:val="80"/>
        </w:rPr>
        <w:t>  </w:t>
      </w:r>
      <w:r>
        <w:rPr/>
        <w:t>на</w:t>
      </w:r>
      <w:r>
        <w:rPr>
          <w:spacing w:val="80"/>
        </w:rPr>
        <w:t>  </w:t>
      </w:r>
      <w:r>
        <w:rPr/>
        <w:t>оплату</w:t>
      </w:r>
      <w:r>
        <w:rPr>
          <w:spacing w:val="80"/>
        </w:rPr>
        <w:t>  </w:t>
      </w:r>
      <w:r>
        <w:rPr/>
        <w:t>медицинской</w:t>
      </w:r>
      <w:r>
        <w:rPr>
          <w:spacing w:val="80"/>
        </w:rPr>
        <w:t>  </w:t>
      </w:r>
      <w:r>
        <w:rPr/>
        <w:t>помощи в стационарных условиях по следующим заболеваниям, состояниям (группам заболеваний, состояний):</w:t>
      </w:r>
    </w:p>
    <w:p>
      <w:pPr>
        <w:pStyle w:val="BodyText"/>
        <w:spacing w:line="320" w:lineRule="exact"/>
        <w:ind w:left="866"/>
        <w:jc w:val="both"/>
      </w:pPr>
      <w:r>
        <w:rPr/>
        <w:t>7</w:t>
      </w:r>
      <w:r>
        <w:rPr>
          <w:spacing w:val="-4"/>
        </w:rPr>
        <w:t> </w:t>
      </w:r>
      <w:r>
        <w:rPr/>
        <w:t>группа</w:t>
      </w:r>
      <w:r>
        <w:rPr>
          <w:spacing w:val="-3"/>
        </w:rPr>
        <w:t> </w:t>
      </w:r>
      <w:r>
        <w:rPr/>
        <w:t>-</w:t>
      </w:r>
      <w:r>
        <w:rPr>
          <w:spacing w:val="-6"/>
        </w:rPr>
        <w:t> </w:t>
      </w:r>
      <w:r>
        <w:rPr/>
        <w:t>послеродовой</w:t>
      </w:r>
      <w:r>
        <w:rPr>
          <w:spacing w:val="-3"/>
        </w:rPr>
        <w:t> </w:t>
      </w:r>
      <w:r>
        <w:rPr>
          <w:spacing w:val="-2"/>
        </w:rPr>
        <w:t>сепсис;</w:t>
      </w:r>
    </w:p>
    <w:p>
      <w:pPr>
        <w:pStyle w:val="BodyText"/>
        <w:spacing w:line="268" w:lineRule="auto" w:before="34"/>
        <w:ind w:left="866" w:right="158"/>
        <w:jc w:val="both"/>
      </w:pPr>
      <w:r>
        <w:rPr/>
        <w:t>40 группа - операции на мужских половых органах, дети (уровень 4); 44</w:t>
      </w:r>
      <w:r>
        <w:rPr>
          <w:spacing w:val="32"/>
        </w:rPr>
        <w:t> </w:t>
      </w:r>
      <w:r>
        <w:rPr/>
        <w:t>группа</w:t>
      </w:r>
      <w:r>
        <w:rPr>
          <w:spacing w:val="32"/>
        </w:rPr>
        <w:t> </w:t>
      </w:r>
      <w:r>
        <w:rPr/>
        <w:t>-</w:t>
      </w:r>
      <w:r>
        <w:rPr>
          <w:spacing w:val="31"/>
        </w:rPr>
        <w:t> </w:t>
      </w:r>
      <w:r>
        <w:rPr/>
        <w:t>операции</w:t>
      </w:r>
      <w:r>
        <w:rPr>
          <w:spacing w:val="31"/>
        </w:rPr>
        <w:t> </w:t>
      </w:r>
      <w:r>
        <w:rPr/>
        <w:t>на</w:t>
      </w:r>
      <w:r>
        <w:rPr>
          <w:spacing w:val="29"/>
        </w:rPr>
        <w:t> </w:t>
      </w:r>
      <w:r>
        <w:rPr/>
        <w:t>почке</w:t>
      </w:r>
      <w:r>
        <w:rPr>
          <w:spacing w:val="32"/>
        </w:rPr>
        <w:t> </w:t>
      </w:r>
      <w:r>
        <w:rPr/>
        <w:t>и</w:t>
      </w:r>
      <w:r>
        <w:rPr>
          <w:spacing w:val="31"/>
        </w:rPr>
        <w:t> </w:t>
      </w:r>
      <w:r>
        <w:rPr/>
        <w:t>мочевыделительной</w:t>
      </w:r>
      <w:r>
        <w:rPr>
          <w:spacing w:val="31"/>
        </w:rPr>
        <w:t> </w:t>
      </w:r>
      <w:r>
        <w:rPr/>
        <w:t>системе,</w:t>
      </w:r>
      <w:r>
        <w:rPr>
          <w:spacing w:val="31"/>
        </w:rPr>
        <w:t> </w:t>
      </w:r>
      <w:r>
        <w:rPr>
          <w:spacing w:val="-4"/>
        </w:rPr>
        <w:t>дети</w:t>
      </w:r>
    </w:p>
    <w:p>
      <w:pPr>
        <w:pStyle w:val="BodyText"/>
        <w:spacing w:line="321" w:lineRule="exact"/>
        <w:ind w:left="158"/>
        <w:jc w:val="both"/>
      </w:pPr>
      <w:r>
        <w:rPr/>
        <w:t>(уровень</w:t>
      </w:r>
      <w:r>
        <w:rPr>
          <w:spacing w:val="-8"/>
        </w:rPr>
        <w:t> </w:t>
      </w:r>
      <w:r>
        <w:rPr>
          <w:spacing w:val="-5"/>
        </w:rPr>
        <w:t>4);</w:t>
      </w:r>
    </w:p>
    <w:p>
      <w:pPr>
        <w:pStyle w:val="ListParagraph"/>
        <w:numPr>
          <w:ilvl w:val="0"/>
          <w:numId w:val="15"/>
        </w:numPr>
        <w:tabs>
          <w:tab w:pos="1256" w:val="left" w:leader="none"/>
        </w:tabs>
        <w:spacing w:line="268" w:lineRule="auto" w:before="38" w:after="0"/>
        <w:ind w:left="158" w:right="156" w:firstLine="707"/>
        <w:jc w:val="left"/>
        <w:rPr>
          <w:sz w:val="28"/>
        </w:rPr>
      </w:pPr>
      <w:r>
        <w:rPr>
          <w:sz w:val="28"/>
        </w:rPr>
        <w:t>группа - операции на почке и мочевыделительной системе, дети</w:t>
      </w:r>
      <w:r>
        <w:rPr>
          <w:spacing w:val="40"/>
          <w:sz w:val="28"/>
        </w:rPr>
        <w:t> </w:t>
      </w:r>
      <w:r>
        <w:rPr>
          <w:sz w:val="28"/>
        </w:rPr>
        <w:t>(уровень 5);</w:t>
      </w:r>
    </w:p>
    <w:p>
      <w:pPr>
        <w:pStyle w:val="ListParagraph"/>
        <w:numPr>
          <w:ilvl w:val="0"/>
          <w:numId w:val="15"/>
        </w:numPr>
        <w:tabs>
          <w:tab w:pos="1256" w:val="left" w:leader="none"/>
        </w:tabs>
        <w:spacing w:line="268" w:lineRule="auto" w:before="0" w:after="0"/>
        <w:ind w:left="158" w:right="158" w:firstLine="707"/>
        <w:jc w:val="left"/>
        <w:rPr>
          <w:sz w:val="28"/>
        </w:rPr>
      </w:pPr>
      <w:r>
        <w:rPr>
          <w:sz w:val="28"/>
        </w:rPr>
        <w:t>группа - операции на почке и мочевыделительной системе, дети</w:t>
      </w:r>
      <w:r>
        <w:rPr>
          <w:spacing w:val="40"/>
          <w:sz w:val="28"/>
        </w:rPr>
        <w:t> </w:t>
      </w:r>
      <w:r>
        <w:rPr>
          <w:sz w:val="28"/>
        </w:rPr>
        <w:t>(уровень 6);</w:t>
      </w:r>
    </w:p>
    <w:p>
      <w:pPr>
        <w:pStyle w:val="BodyText"/>
        <w:spacing w:line="268" w:lineRule="auto"/>
        <w:ind w:left="158" w:right="159" w:firstLine="707"/>
      </w:pPr>
      <w:r>
        <w:rPr/>
        <w:t>96</w:t>
      </w:r>
      <w:r>
        <w:rPr>
          <w:spacing w:val="40"/>
        </w:rPr>
        <w:t> </w:t>
      </w:r>
      <w:r>
        <w:rPr/>
        <w:t>группа</w:t>
      </w:r>
      <w:r>
        <w:rPr>
          <w:spacing w:val="40"/>
        </w:rPr>
        <w:t> </w:t>
      </w:r>
      <w:r>
        <w:rPr/>
        <w:t>-</w:t>
      </w:r>
      <w:r>
        <w:rPr>
          <w:spacing w:val="40"/>
        </w:rPr>
        <w:t> </w:t>
      </w:r>
      <w:r>
        <w:rPr/>
        <w:t>неврологические</w:t>
      </w:r>
      <w:r>
        <w:rPr>
          <w:spacing w:val="40"/>
        </w:rPr>
        <w:t> </w:t>
      </w:r>
      <w:r>
        <w:rPr/>
        <w:t>заболевания,</w:t>
      </w:r>
      <w:r>
        <w:rPr>
          <w:spacing w:val="40"/>
        </w:rPr>
        <w:t> </w:t>
      </w:r>
      <w:r>
        <w:rPr/>
        <w:t>лечение</w:t>
      </w:r>
      <w:r>
        <w:rPr>
          <w:spacing w:val="40"/>
        </w:rPr>
        <w:t> </w:t>
      </w:r>
      <w:r>
        <w:rPr/>
        <w:t>с</w:t>
      </w:r>
      <w:r>
        <w:rPr>
          <w:spacing w:val="40"/>
        </w:rPr>
        <w:t> </w:t>
      </w:r>
      <w:r>
        <w:rPr/>
        <w:t>применением ботулотоксина (уровень 2);</w:t>
      </w:r>
    </w:p>
    <w:p>
      <w:pPr>
        <w:spacing w:after="0" w:line="268" w:lineRule="auto"/>
        <w:sectPr>
          <w:type w:val="continuous"/>
          <w:pgSz w:w="11910" w:h="16850"/>
          <w:pgMar w:header="751" w:footer="0" w:top="1080" w:bottom="280" w:left="1260" w:right="1260"/>
        </w:sectPr>
      </w:pPr>
    </w:p>
    <w:p>
      <w:pPr>
        <w:pStyle w:val="BodyText"/>
        <w:rPr>
          <w:sz w:val="26"/>
        </w:rPr>
      </w:pPr>
    </w:p>
    <w:p>
      <w:pPr>
        <w:pStyle w:val="ListParagraph"/>
        <w:numPr>
          <w:ilvl w:val="0"/>
          <w:numId w:val="16"/>
        </w:numPr>
        <w:tabs>
          <w:tab w:pos="1533" w:val="left" w:leader="none"/>
          <w:tab w:pos="1534" w:val="left" w:leader="none"/>
          <w:tab w:pos="2600" w:val="left" w:leader="none"/>
          <w:tab w:pos="2938" w:val="left" w:leader="none"/>
          <w:tab w:pos="4310" w:val="left" w:leader="none"/>
          <w:tab w:pos="4830" w:val="left" w:leader="none"/>
          <w:tab w:pos="7051" w:val="left" w:leader="none"/>
          <w:tab w:pos="8281" w:val="left" w:leader="none"/>
        </w:tabs>
        <w:spacing w:line="268" w:lineRule="auto" w:before="89" w:after="0"/>
        <w:ind w:left="158" w:right="154" w:firstLine="707"/>
        <w:jc w:val="left"/>
        <w:rPr>
          <w:sz w:val="28"/>
        </w:rPr>
      </w:pPr>
      <w:r>
        <w:rPr>
          <w:spacing w:val="-2"/>
          <w:sz w:val="28"/>
        </w:rPr>
        <w:t>группа</w:t>
      </w:r>
      <w:r>
        <w:rPr>
          <w:sz w:val="28"/>
        </w:rPr>
        <w:tab/>
      </w:r>
      <w:r>
        <w:rPr>
          <w:spacing w:val="-10"/>
          <w:sz w:val="28"/>
        </w:rPr>
        <w:t>-</w:t>
      </w:r>
      <w:r>
        <w:rPr>
          <w:sz w:val="28"/>
        </w:rPr>
        <w:tab/>
      </w:r>
      <w:r>
        <w:rPr>
          <w:spacing w:val="-2"/>
          <w:sz w:val="28"/>
        </w:rPr>
        <w:t>операции</w:t>
      </w:r>
      <w:r>
        <w:rPr>
          <w:sz w:val="28"/>
        </w:rPr>
        <w:tab/>
      </w:r>
      <w:r>
        <w:rPr>
          <w:spacing w:val="-6"/>
          <w:sz w:val="28"/>
        </w:rPr>
        <w:t>на</w:t>
      </w:r>
      <w:r>
        <w:rPr>
          <w:sz w:val="28"/>
        </w:rPr>
        <w:tab/>
      </w:r>
      <w:r>
        <w:rPr>
          <w:spacing w:val="-2"/>
          <w:sz w:val="28"/>
        </w:rPr>
        <w:t>периферической</w:t>
      </w:r>
      <w:r>
        <w:rPr>
          <w:sz w:val="28"/>
        </w:rPr>
        <w:tab/>
      </w:r>
      <w:r>
        <w:rPr>
          <w:spacing w:val="-2"/>
          <w:sz w:val="28"/>
        </w:rPr>
        <w:t>нервной</w:t>
      </w:r>
      <w:r>
        <w:rPr>
          <w:sz w:val="28"/>
        </w:rPr>
        <w:tab/>
      </w:r>
      <w:r>
        <w:rPr>
          <w:spacing w:val="-2"/>
          <w:sz w:val="28"/>
        </w:rPr>
        <w:t>системе</w:t>
      </w:r>
      <w:r>
        <w:rPr>
          <w:spacing w:val="-2"/>
          <w:sz w:val="28"/>
        </w:rPr>
        <w:t> </w:t>
      </w:r>
      <w:r>
        <w:rPr>
          <w:sz w:val="28"/>
        </w:rPr>
        <w:t>(уровень 2);</w:t>
      </w:r>
    </w:p>
    <w:p>
      <w:pPr>
        <w:pStyle w:val="ListParagraph"/>
        <w:numPr>
          <w:ilvl w:val="0"/>
          <w:numId w:val="16"/>
        </w:numPr>
        <w:tabs>
          <w:tab w:pos="1533" w:val="left" w:leader="none"/>
          <w:tab w:pos="1534" w:val="left" w:leader="none"/>
          <w:tab w:pos="2600" w:val="left" w:leader="none"/>
          <w:tab w:pos="2938" w:val="left" w:leader="none"/>
          <w:tab w:pos="4310" w:val="left" w:leader="none"/>
          <w:tab w:pos="4830" w:val="left" w:leader="none"/>
          <w:tab w:pos="7048" w:val="left" w:leader="none"/>
          <w:tab w:pos="8278" w:val="left" w:leader="none"/>
        </w:tabs>
        <w:spacing w:line="268" w:lineRule="auto" w:before="0" w:after="0"/>
        <w:ind w:left="158" w:right="157" w:firstLine="707"/>
        <w:jc w:val="left"/>
        <w:rPr>
          <w:sz w:val="28"/>
        </w:rPr>
      </w:pPr>
      <w:r>
        <w:rPr>
          <w:spacing w:val="-2"/>
          <w:sz w:val="28"/>
        </w:rPr>
        <w:t>группа</w:t>
      </w:r>
      <w:r>
        <w:rPr>
          <w:sz w:val="28"/>
        </w:rPr>
        <w:tab/>
      </w:r>
      <w:r>
        <w:rPr>
          <w:spacing w:val="-10"/>
          <w:sz w:val="28"/>
        </w:rPr>
        <w:t>-</w:t>
      </w:r>
      <w:r>
        <w:rPr>
          <w:sz w:val="28"/>
        </w:rPr>
        <w:tab/>
      </w:r>
      <w:r>
        <w:rPr>
          <w:spacing w:val="-2"/>
          <w:sz w:val="28"/>
        </w:rPr>
        <w:t>операции</w:t>
      </w:r>
      <w:r>
        <w:rPr>
          <w:sz w:val="28"/>
        </w:rPr>
        <w:tab/>
      </w:r>
      <w:r>
        <w:rPr>
          <w:spacing w:val="-6"/>
          <w:sz w:val="28"/>
        </w:rPr>
        <w:t>на</w:t>
      </w:r>
      <w:r>
        <w:rPr>
          <w:sz w:val="28"/>
        </w:rPr>
        <w:tab/>
      </w:r>
      <w:r>
        <w:rPr>
          <w:spacing w:val="-2"/>
          <w:sz w:val="28"/>
        </w:rPr>
        <w:t>периферической</w:t>
      </w:r>
      <w:r>
        <w:rPr>
          <w:sz w:val="28"/>
        </w:rPr>
        <w:tab/>
      </w:r>
      <w:r>
        <w:rPr>
          <w:spacing w:val="-2"/>
          <w:sz w:val="28"/>
        </w:rPr>
        <w:t>нервной</w:t>
      </w:r>
      <w:r>
        <w:rPr>
          <w:sz w:val="28"/>
        </w:rPr>
        <w:tab/>
      </w:r>
      <w:r>
        <w:rPr>
          <w:spacing w:val="-2"/>
          <w:sz w:val="28"/>
        </w:rPr>
        <w:t>системе</w:t>
      </w:r>
      <w:r>
        <w:rPr>
          <w:spacing w:val="-2"/>
          <w:sz w:val="28"/>
        </w:rPr>
        <w:t> </w:t>
      </w:r>
      <w:r>
        <w:rPr>
          <w:sz w:val="28"/>
        </w:rPr>
        <w:t>(уровень 3);</w:t>
      </w:r>
    </w:p>
    <w:p>
      <w:pPr>
        <w:pStyle w:val="BodyText"/>
        <w:spacing w:line="321" w:lineRule="exact"/>
        <w:ind w:left="866"/>
      </w:pPr>
      <w:r>
        <w:rPr/>
        <w:t>214</w:t>
      </w:r>
      <w:r>
        <w:rPr>
          <w:spacing w:val="-3"/>
        </w:rPr>
        <w:t> </w:t>
      </w:r>
      <w:r>
        <w:rPr/>
        <w:t>группа</w:t>
      </w:r>
      <w:r>
        <w:rPr>
          <w:spacing w:val="-4"/>
        </w:rPr>
        <w:t> </w:t>
      </w:r>
      <w:r>
        <w:rPr/>
        <w:t>-</w:t>
      </w:r>
      <w:r>
        <w:rPr>
          <w:spacing w:val="-4"/>
        </w:rPr>
        <w:t> </w:t>
      </w:r>
      <w:r>
        <w:rPr/>
        <w:t>замена</w:t>
      </w:r>
      <w:r>
        <w:rPr>
          <w:spacing w:val="-7"/>
        </w:rPr>
        <w:t> </w:t>
      </w:r>
      <w:r>
        <w:rPr/>
        <w:t>речевого</w:t>
      </w:r>
      <w:r>
        <w:rPr>
          <w:spacing w:val="-2"/>
        </w:rPr>
        <w:t> процессора;</w:t>
      </w:r>
    </w:p>
    <w:p>
      <w:pPr>
        <w:pStyle w:val="BodyText"/>
        <w:spacing w:line="268" w:lineRule="auto" w:before="37"/>
        <w:ind w:left="866" w:right="1906"/>
      </w:pPr>
      <w:r>
        <w:rPr/>
        <w:t>219</w:t>
      </w:r>
      <w:r>
        <w:rPr>
          <w:spacing w:val="-2"/>
        </w:rPr>
        <w:t> </w:t>
      </w:r>
      <w:r>
        <w:rPr/>
        <w:t>группа</w:t>
      </w:r>
      <w:r>
        <w:rPr>
          <w:spacing w:val="-3"/>
        </w:rPr>
        <w:t> </w:t>
      </w:r>
      <w:r>
        <w:rPr/>
        <w:t>-</w:t>
      </w:r>
      <w:r>
        <w:rPr>
          <w:spacing w:val="-4"/>
        </w:rPr>
        <w:t> </w:t>
      </w:r>
      <w:r>
        <w:rPr/>
        <w:t>операции</w:t>
      </w:r>
      <w:r>
        <w:rPr>
          <w:spacing w:val="-6"/>
        </w:rPr>
        <w:t> </w:t>
      </w:r>
      <w:r>
        <w:rPr/>
        <w:t>на</w:t>
      </w:r>
      <w:r>
        <w:rPr>
          <w:spacing w:val="-3"/>
        </w:rPr>
        <w:t> </w:t>
      </w:r>
      <w:r>
        <w:rPr/>
        <w:t>органе</w:t>
      </w:r>
      <w:r>
        <w:rPr>
          <w:spacing w:val="-3"/>
        </w:rPr>
        <w:t> </w:t>
      </w:r>
      <w:r>
        <w:rPr/>
        <w:t>зрения</w:t>
      </w:r>
      <w:r>
        <w:rPr>
          <w:spacing w:val="-6"/>
        </w:rPr>
        <w:t> </w:t>
      </w:r>
      <w:r>
        <w:rPr/>
        <w:t>(уровень</w:t>
      </w:r>
      <w:r>
        <w:rPr>
          <w:spacing w:val="-4"/>
        </w:rPr>
        <w:t> </w:t>
      </w:r>
      <w:r>
        <w:rPr/>
        <w:t>5); 220</w:t>
      </w:r>
      <w:r>
        <w:rPr>
          <w:spacing w:val="-6"/>
        </w:rPr>
        <w:t> </w:t>
      </w:r>
      <w:r>
        <w:rPr/>
        <w:t>группа</w:t>
      </w:r>
      <w:r>
        <w:rPr>
          <w:spacing w:val="-4"/>
        </w:rPr>
        <w:t> </w:t>
      </w:r>
      <w:r>
        <w:rPr/>
        <w:t>-</w:t>
      </w:r>
      <w:r>
        <w:rPr>
          <w:spacing w:val="-5"/>
        </w:rPr>
        <w:t> </w:t>
      </w:r>
      <w:r>
        <w:rPr/>
        <w:t>операции</w:t>
      </w:r>
      <w:r>
        <w:rPr>
          <w:spacing w:val="-8"/>
        </w:rPr>
        <w:t> </w:t>
      </w:r>
      <w:r>
        <w:rPr/>
        <w:t>на</w:t>
      </w:r>
      <w:r>
        <w:rPr>
          <w:spacing w:val="-4"/>
        </w:rPr>
        <w:t> </w:t>
      </w:r>
      <w:r>
        <w:rPr/>
        <w:t>органе</w:t>
      </w:r>
      <w:r>
        <w:rPr>
          <w:spacing w:val="-4"/>
        </w:rPr>
        <w:t> </w:t>
      </w:r>
      <w:r>
        <w:rPr/>
        <w:t>зрения</w:t>
      </w:r>
      <w:r>
        <w:rPr>
          <w:spacing w:val="-7"/>
        </w:rPr>
        <w:t> </w:t>
      </w:r>
      <w:r>
        <w:rPr/>
        <w:t>(уровень</w:t>
      </w:r>
      <w:r>
        <w:rPr>
          <w:spacing w:val="-5"/>
        </w:rPr>
        <w:t> 6);</w:t>
      </w:r>
    </w:p>
    <w:p>
      <w:pPr>
        <w:pStyle w:val="ListParagraph"/>
        <w:numPr>
          <w:ilvl w:val="0"/>
          <w:numId w:val="17"/>
        </w:numPr>
        <w:tabs>
          <w:tab w:pos="1419" w:val="left" w:leader="none"/>
        </w:tabs>
        <w:spacing w:line="268" w:lineRule="auto" w:before="0" w:after="0"/>
        <w:ind w:left="158" w:right="156" w:firstLine="707"/>
        <w:jc w:val="left"/>
        <w:rPr>
          <w:sz w:val="28"/>
        </w:rPr>
      </w:pPr>
      <w:r>
        <w:rPr>
          <w:sz w:val="28"/>
        </w:rPr>
        <w:t>группа</w:t>
      </w:r>
      <w:r>
        <w:rPr>
          <w:spacing w:val="40"/>
          <w:sz w:val="28"/>
        </w:rPr>
        <w:t> </w:t>
      </w:r>
      <w:r>
        <w:rPr>
          <w:sz w:val="28"/>
        </w:rPr>
        <w:t>-</w:t>
      </w:r>
      <w:r>
        <w:rPr>
          <w:spacing w:val="40"/>
          <w:sz w:val="28"/>
        </w:rPr>
        <w:t> </w:t>
      </w:r>
      <w:r>
        <w:rPr>
          <w:sz w:val="28"/>
        </w:rPr>
        <w:t>операции</w:t>
      </w:r>
      <w:r>
        <w:rPr>
          <w:spacing w:val="40"/>
          <w:sz w:val="28"/>
        </w:rPr>
        <w:t> </w:t>
      </w:r>
      <w:r>
        <w:rPr>
          <w:sz w:val="28"/>
        </w:rPr>
        <w:t>на</w:t>
      </w:r>
      <w:r>
        <w:rPr>
          <w:spacing w:val="40"/>
          <w:sz w:val="28"/>
        </w:rPr>
        <w:t> </w:t>
      </w:r>
      <w:r>
        <w:rPr>
          <w:sz w:val="28"/>
        </w:rPr>
        <w:t>нижних</w:t>
      </w:r>
      <w:r>
        <w:rPr>
          <w:spacing w:val="40"/>
          <w:sz w:val="28"/>
        </w:rPr>
        <w:t> </w:t>
      </w:r>
      <w:r>
        <w:rPr>
          <w:sz w:val="28"/>
        </w:rPr>
        <w:t>дыхательных</w:t>
      </w:r>
      <w:r>
        <w:rPr>
          <w:spacing w:val="40"/>
          <w:sz w:val="28"/>
        </w:rPr>
        <w:t> </w:t>
      </w:r>
      <w:r>
        <w:rPr>
          <w:sz w:val="28"/>
        </w:rPr>
        <w:t>путях</w:t>
      </w:r>
      <w:r>
        <w:rPr>
          <w:spacing w:val="40"/>
          <w:sz w:val="28"/>
        </w:rPr>
        <w:t> </w:t>
      </w:r>
      <w:r>
        <w:rPr>
          <w:sz w:val="28"/>
        </w:rPr>
        <w:t>и</w:t>
      </w:r>
      <w:r>
        <w:rPr>
          <w:spacing w:val="40"/>
          <w:sz w:val="28"/>
        </w:rPr>
        <w:t> </w:t>
      </w:r>
      <w:r>
        <w:rPr>
          <w:sz w:val="28"/>
        </w:rPr>
        <w:t>легочной ткани, органах средостения (уровень 3);</w:t>
      </w:r>
    </w:p>
    <w:p>
      <w:pPr>
        <w:pStyle w:val="ListParagraph"/>
        <w:numPr>
          <w:ilvl w:val="0"/>
          <w:numId w:val="17"/>
        </w:numPr>
        <w:tabs>
          <w:tab w:pos="1419" w:val="left" w:leader="none"/>
        </w:tabs>
        <w:spacing w:line="268" w:lineRule="auto" w:before="0" w:after="0"/>
        <w:ind w:left="158" w:right="156" w:firstLine="707"/>
        <w:jc w:val="left"/>
        <w:rPr>
          <w:sz w:val="28"/>
        </w:rPr>
      </w:pPr>
      <w:r>
        <w:rPr>
          <w:sz w:val="28"/>
        </w:rPr>
        <w:t>группа</w:t>
      </w:r>
      <w:r>
        <w:rPr>
          <w:spacing w:val="40"/>
          <w:sz w:val="28"/>
        </w:rPr>
        <w:t> </w:t>
      </w:r>
      <w:r>
        <w:rPr>
          <w:sz w:val="28"/>
        </w:rPr>
        <w:t>-</w:t>
      </w:r>
      <w:r>
        <w:rPr>
          <w:spacing w:val="40"/>
          <w:sz w:val="28"/>
        </w:rPr>
        <w:t> </w:t>
      </w:r>
      <w:r>
        <w:rPr>
          <w:sz w:val="28"/>
        </w:rPr>
        <w:t>операции</w:t>
      </w:r>
      <w:r>
        <w:rPr>
          <w:spacing w:val="40"/>
          <w:sz w:val="28"/>
        </w:rPr>
        <w:t> </w:t>
      </w:r>
      <w:r>
        <w:rPr>
          <w:sz w:val="28"/>
        </w:rPr>
        <w:t>на</w:t>
      </w:r>
      <w:r>
        <w:rPr>
          <w:spacing w:val="40"/>
          <w:sz w:val="28"/>
        </w:rPr>
        <w:t> </w:t>
      </w:r>
      <w:r>
        <w:rPr>
          <w:sz w:val="28"/>
        </w:rPr>
        <w:t>нижних</w:t>
      </w:r>
      <w:r>
        <w:rPr>
          <w:spacing w:val="40"/>
          <w:sz w:val="28"/>
        </w:rPr>
        <w:t> </w:t>
      </w:r>
      <w:r>
        <w:rPr>
          <w:sz w:val="28"/>
        </w:rPr>
        <w:t>дыхательных</w:t>
      </w:r>
      <w:r>
        <w:rPr>
          <w:spacing w:val="40"/>
          <w:sz w:val="28"/>
        </w:rPr>
        <w:t> </w:t>
      </w:r>
      <w:r>
        <w:rPr>
          <w:sz w:val="28"/>
        </w:rPr>
        <w:t>путях</w:t>
      </w:r>
      <w:r>
        <w:rPr>
          <w:spacing w:val="40"/>
          <w:sz w:val="28"/>
        </w:rPr>
        <w:t> </w:t>
      </w:r>
      <w:r>
        <w:rPr>
          <w:sz w:val="28"/>
        </w:rPr>
        <w:t>и</w:t>
      </w:r>
      <w:r>
        <w:rPr>
          <w:spacing w:val="40"/>
          <w:sz w:val="28"/>
        </w:rPr>
        <w:t> </w:t>
      </w:r>
      <w:r>
        <w:rPr>
          <w:sz w:val="28"/>
        </w:rPr>
        <w:t>легочной ткани, органах средостения (уровень 4);</w:t>
      </w:r>
    </w:p>
    <w:p>
      <w:pPr>
        <w:pStyle w:val="ListParagraph"/>
        <w:numPr>
          <w:ilvl w:val="0"/>
          <w:numId w:val="18"/>
        </w:numPr>
        <w:tabs>
          <w:tab w:pos="1453" w:val="left" w:leader="none"/>
        </w:tabs>
        <w:spacing w:line="268" w:lineRule="auto" w:before="0" w:after="0"/>
        <w:ind w:left="158" w:right="155"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костно-мышечной</w:t>
      </w:r>
      <w:r>
        <w:rPr>
          <w:spacing w:val="80"/>
          <w:sz w:val="28"/>
        </w:rPr>
        <w:t> </w:t>
      </w:r>
      <w:r>
        <w:rPr>
          <w:sz w:val="28"/>
        </w:rPr>
        <w:t>системе</w:t>
      </w:r>
      <w:r>
        <w:rPr>
          <w:spacing w:val="80"/>
          <w:sz w:val="28"/>
        </w:rPr>
        <w:t> </w:t>
      </w:r>
      <w:r>
        <w:rPr>
          <w:sz w:val="28"/>
        </w:rPr>
        <w:t>и</w:t>
      </w:r>
      <w:r>
        <w:rPr>
          <w:spacing w:val="80"/>
          <w:sz w:val="28"/>
        </w:rPr>
        <w:t> </w:t>
      </w:r>
      <w:r>
        <w:rPr>
          <w:sz w:val="28"/>
        </w:rPr>
        <w:t>суставах (уровень 4);</w:t>
      </w:r>
    </w:p>
    <w:p>
      <w:pPr>
        <w:pStyle w:val="ListParagraph"/>
        <w:numPr>
          <w:ilvl w:val="0"/>
          <w:numId w:val="18"/>
        </w:numPr>
        <w:tabs>
          <w:tab w:pos="1453" w:val="left" w:leader="none"/>
        </w:tabs>
        <w:spacing w:line="268" w:lineRule="auto" w:before="0" w:after="0"/>
        <w:ind w:left="158" w:right="156"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костно-мышечной</w:t>
      </w:r>
      <w:r>
        <w:rPr>
          <w:spacing w:val="80"/>
          <w:sz w:val="28"/>
        </w:rPr>
        <w:t> </w:t>
      </w:r>
      <w:r>
        <w:rPr>
          <w:sz w:val="28"/>
        </w:rPr>
        <w:t>системе</w:t>
      </w:r>
      <w:r>
        <w:rPr>
          <w:spacing w:val="80"/>
          <w:sz w:val="28"/>
        </w:rPr>
        <w:t> </w:t>
      </w:r>
      <w:r>
        <w:rPr>
          <w:sz w:val="28"/>
        </w:rPr>
        <w:t>и</w:t>
      </w:r>
      <w:r>
        <w:rPr>
          <w:spacing w:val="80"/>
          <w:sz w:val="28"/>
        </w:rPr>
        <w:t> </w:t>
      </w:r>
      <w:r>
        <w:rPr>
          <w:sz w:val="28"/>
        </w:rPr>
        <w:t>суставах (уровень 5);</w:t>
      </w:r>
    </w:p>
    <w:p>
      <w:pPr>
        <w:pStyle w:val="ListParagraph"/>
        <w:numPr>
          <w:ilvl w:val="0"/>
          <w:numId w:val="19"/>
        </w:numPr>
        <w:tabs>
          <w:tab w:pos="1470" w:val="left" w:leader="none"/>
        </w:tabs>
        <w:spacing w:line="268" w:lineRule="auto" w:before="0" w:after="0"/>
        <w:ind w:left="158" w:right="157"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мужских</w:t>
      </w:r>
      <w:r>
        <w:rPr>
          <w:spacing w:val="80"/>
          <w:sz w:val="28"/>
        </w:rPr>
        <w:t> </w:t>
      </w:r>
      <w:r>
        <w:rPr>
          <w:sz w:val="28"/>
        </w:rPr>
        <w:t>половых</w:t>
      </w:r>
      <w:r>
        <w:rPr>
          <w:spacing w:val="80"/>
          <w:sz w:val="28"/>
        </w:rPr>
        <w:t> </w:t>
      </w:r>
      <w:r>
        <w:rPr>
          <w:sz w:val="28"/>
        </w:rPr>
        <w:t>органах,</w:t>
      </w:r>
      <w:r>
        <w:rPr>
          <w:spacing w:val="80"/>
          <w:sz w:val="28"/>
        </w:rPr>
        <w:t> </w:t>
      </w:r>
      <w:r>
        <w:rPr>
          <w:sz w:val="28"/>
        </w:rPr>
        <w:t>взрослые (уровень 3);</w:t>
      </w:r>
    </w:p>
    <w:p>
      <w:pPr>
        <w:pStyle w:val="ListParagraph"/>
        <w:numPr>
          <w:ilvl w:val="0"/>
          <w:numId w:val="19"/>
        </w:numPr>
        <w:tabs>
          <w:tab w:pos="1470" w:val="left" w:leader="none"/>
        </w:tabs>
        <w:spacing w:line="268" w:lineRule="auto" w:before="0" w:after="0"/>
        <w:ind w:left="158" w:right="157"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мужских</w:t>
      </w:r>
      <w:r>
        <w:rPr>
          <w:spacing w:val="80"/>
          <w:sz w:val="28"/>
        </w:rPr>
        <w:t> </w:t>
      </w:r>
      <w:r>
        <w:rPr>
          <w:sz w:val="28"/>
        </w:rPr>
        <w:t>половых</w:t>
      </w:r>
      <w:r>
        <w:rPr>
          <w:spacing w:val="80"/>
          <w:sz w:val="28"/>
        </w:rPr>
        <w:t> </w:t>
      </w:r>
      <w:r>
        <w:rPr>
          <w:sz w:val="28"/>
        </w:rPr>
        <w:t>органах,</w:t>
      </w:r>
      <w:r>
        <w:rPr>
          <w:spacing w:val="80"/>
          <w:sz w:val="28"/>
        </w:rPr>
        <w:t> </w:t>
      </w:r>
      <w:r>
        <w:rPr>
          <w:sz w:val="28"/>
        </w:rPr>
        <w:t>взрослые (уровень 4);</w:t>
      </w:r>
    </w:p>
    <w:p>
      <w:pPr>
        <w:pStyle w:val="BodyText"/>
        <w:spacing w:line="268" w:lineRule="auto"/>
        <w:ind w:left="158" w:right="159" w:firstLine="707"/>
      </w:pPr>
      <w:r>
        <w:rPr/>
        <w:t>296</w:t>
      </w:r>
      <w:r>
        <w:rPr>
          <w:spacing w:val="80"/>
        </w:rPr>
        <w:t> </w:t>
      </w:r>
      <w:r>
        <w:rPr/>
        <w:t>группа</w:t>
      </w:r>
      <w:r>
        <w:rPr>
          <w:spacing w:val="80"/>
        </w:rPr>
        <w:t> </w:t>
      </w:r>
      <w:r>
        <w:rPr/>
        <w:t>-</w:t>
      </w:r>
      <w:r>
        <w:rPr>
          <w:spacing w:val="80"/>
        </w:rPr>
        <w:t> </w:t>
      </w:r>
      <w:r>
        <w:rPr/>
        <w:t>операции</w:t>
      </w:r>
      <w:r>
        <w:rPr>
          <w:spacing w:val="80"/>
        </w:rPr>
        <w:t> </w:t>
      </w:r>
      <w:r>
        <w:rPr/>
        <w:t>на</w:t>
      </w:r>
      <w:r>
        <w:rPr>
          <w:spacing w:val="80"/>
        </w:rPr>
        <w:t> </w:t>
      </w:r>
      <w:r>
        <w:rPr/>
        <w:t>почке</w:t>
      </w:r>
      <w:r>
        <w:rPr>
          <w:spacing w:val="80"/>
        </w:rPr>
        <w:t> </w:t>
      </w:r>
      <w:r>
        <w:rPr/>
        <w:t>и</w:t>
      </w:r>
      <w:r>
        <w:rPr>
          <w:spacing w:val="80"/>
        </w:rPr>
        <w:t> </w:t>
      </w:r>
      <w:r>
        <w:rPr/>
        <w:t>мочевыделительной</w:t>
      </w:r>
      <w:r>
        <w:rPr>
          <w:spacing w:val="80"/>
        </w:rPr>
        <w:t> </w:t>
      </w:r>
      <w:r>
        <w:rPr/>
        <w:t>системе, взрослые (уровень 6);</w:t>
      </w:r>
    </w:p>
    <w:p>
      <w:pPr>
        <w:pStyle w:val="BodyText"/>
        <w:spacing w:line="268" w:lineRule="auto"/>
        <w:ind w:left="158" w:firstLine="707"/>
      </w:pPr>
      <w:r>
        <w:rPr/>
        <w:t>306</w:t>
      </w:r>
      <w:r>
        <w:rPr>
          <w:spacing w:val="40"/>
        </w:rPr>
        <w:t> </w:t>
      </w:r>
      <w:r>
        <w:rPr/>
        <w:t>группа</w:t>
      </w:r>
      <w:r>
        <w:rPr>
          <w:spacing w:val="40"/>
        </w:rPr>
        <w:t> </w:t>
      </w:r>
      <w:r>
        <w:rPr/>
        <w:t>-</w:t>
      </w:r>
      <w:r>
        <w:rPr>
          <w:spacing w:val="40"/>
        </w:rPr>
        <w:t> </w:t>
      </w:r>
      <w:r>
        <w:rPr/>
        <w:t>операции</w:t>
      </w:r>
      <w:r>
        <w:rPr>
          <w:spacing w:val="40"/>
        </w:rPr>
        <w:t> </w:t>
      </w:r>
      <w:r>
        <w:rPr/>
        <w:t>на</w:t>
      </w:r>
      <w:r>
        <w:rPr>
          <w:spacing w:val="40"/>
        </w:rPr>
        <w:t> </w:t>
      </w:r>
      <w:r>
        <w:rPr/>
        <w:t>эндокринных</w:t>
      </w:r>
      <w:r>
        <w:rPr>
          <w:spacing w:val="40"/>
        </w:rPr>
        <w:t> </w:t>
      </w:r>
      <w:r>
        <w:rPr/>
        <w:t>железах</w:t>
      </w:r>
      <w:r>
        <w:rPr>
          <w:spacing w:val="40"/>
        </w:rPr>
        <w:t> </w:t>
      </w:r>
      <w:r>
        <w:rPr/>
        <w:t>кроме</w:t>
      </w:r>
      <w:r>
        <w:rPr>
          <w:spacing w:val="40"/>
        </w:rPr>
        <w:t> </w:t>
      </w:r>
      <w:r>
        <w:rPr/>
        <w:t>гипофиза</w:t>
      </w:r>
      <w:r>
        <w:rPr>
          <w:spacing w:val="80"/>
          <w:w w:val="150"/>
        </w:rPr>
        <w:t> </w:t>
      </w:r>
      <w:r>
        <w:rPr/>
        <w:t>(уровень 2);</w:t>
      </w:r>
    </w:p>
    <w:p>
      <w:pPr>
        <w:pStyle w:val="BodyText"/>
        <w:spacing w:line="268" w:lineRule="auto"/>
        <w:ind w:left="158" w:firstLine="707"/>
      </w:pPr>
      <w:r>
        <w:rPr/>
        <w:t>319 группа - операции на желчном пузыре и желчевыводящих путях (уровень 4);</w:t>
      </w:r>
    </w:p>
    <w:p>
      <w:pPr>
        <w:pStyle w:val="BodyText"/>
        <w:spacing w:line="268" w:lineRule="auto"/>
        <w:ind w:left="158" w:firstLine="707"/>
      </w:pPr>
      <w:r>
        <w:rPr/>
        <w:t>325</w:t>
      </w:r>
      <w:r>
        <w:rPr>
          <w:spacing w:val="40"/>
        </w:rPr>
        <w:t> </w:t>
      </w:r>
      <w:r>
        <w:rPr/>
        <w:t>группа</w:t>
      </w:r>
      <w:r>
        <w:rPr>
          <w:spacing w:val="40"/>
        </w:rPr>
        <w:t> </w:t>
      </w:r>
      <w:r>
        <w:rPr/>
        <w:t>-</w:t>
      </w:r>
      <w:r>
        <w:rPr>
          <w:spacing w:val="40"/>
        </w:rPr>
        <w:t> </w:t>
      </w:r>
      <w:r>
        <w:rPr/>
        <w:t>операции</w:t>
      </w:r>
      <w:r>
        <w:rPr>
          <w:spacing w:val="40"/>
        </w:rPr>
        <w:t> </w:t>
      </w:r>
      <w:r>
        <w:rPr/>
        <w:t>на</w:t>
      </w:r>
      <w:r>
        <w:rPr>
          <w:spacing w:val="40"/>
        </w:rPr>
        <w:t> </w:t>
      </w:r>
      <w:r>
        <w:rPr/>
        <w:t>пищеводе,</w:t>
      </w:r>
      <w:r>
        <w:rPr>
          <w:spacing w:val="40"/>
        </w:rPr>
        <w:t> </w:t>
      </w:r>
      <w:r>
        <w:rPr/>
        <w:t>желудке,</w:t>
      </w:r>
      <w:r>
        <w:rPr>
          <w:spacing w:val="40"/>
        </w:rPr>
        <w:t> </w:t>
      </w:r>
      <w:r>
        <w:rPr/>
        <w:t>двенадцатиперстной кишке (уровень 3);</w:t>
      </w:r>
    </w:p>
    <w:p>
      <w:pPr>
        <w:pStyle w:val="BodyText"/>
        <w:tabs>
          <w:tab w:pos="2407" w:val="left" w:leader="none"/>
          <w:tab w:pos="2729" w:val="left" w:leader="none"/>
          <w:tab w:pos="4500" w:val="left" w:leader="none"/>
          <w:tab w:pos="5680" w:val="left" w:leader="none"/>
          <w:tab w:pos="6035" w:val="left" w:leader="none"/>
          <w:tab w:pos="7877" w:val="left" w:leader="none"/>
        </w:tabs>
        <w:spacing w:line="268" w:lineRule="auto"/>
        <w:ind w:left="158" w:right="159" w:firstLine="707"/>
      </w:pPr>
      <w:r>
        <w:rPr/>
        <w:t>357 группа</w:t>
        <w:tab/>
      </w:r>
      <w:r>
        <w:rPr>
          <w:spacing w:val="-10"/>
        </w:rPr>
        <w:t>-</w:t>
      </w:r>
      <w:r>
        <w:rPr/>
        <w:tab/>
      </w:r>
      <w:r>
        <w:rPr>
          <w:spacing w:val="-2"/>
        </w:rPr>
        <w:t>комплексное</w:t>
      </w:r>
      <w:r>
        <w:rPr/>
        <w:tab/>
      </w:r>
      <w:r>
        <w:rPr>
          <w:spacing w:val="-2"/>
        </w:rPr>
        <w:t>лечение</w:t>
      </w:r>
      <w:r>
        <w:rPr/>
        <w:tab/>
      </w:r>
      <w:r>
        <w:rPr>
          <w:spacing w:val="-10"/>
        </w:rPr>
        <w:t>с</w:t>
      </w:r>
      <w:r>
        <w:rPr/>
        <w:tab/>
      </w:r>
      <w:r>
        <w:rPr>
          <w:spacing w:val="-2"/>
        </w:rPr>
        <w:t>применением</w:t>
      </w:r>
      <w:r>
        <w:rPr/>
        <w:tab/>
      </w:r>
      <w:r>
        <w:rPr>
          <w:spacing w:val="-2"/>
        </w:rPr>
        <w:t>препаратов</w:t>
      </w:r>
      <w:r>
        <w:rPr>
          <w:spacing w:val="-2"/>
        </w:rPr>
        <w:t> иммуноглобулина;</w:t>
      </w:r>
    </w:p>
    <w:p>
      <w:pPr>
        <w:pStyle w:val="BodyText"/>
        <w:spacing w:line="268" w:lineRule="auto"/>
        <w:ind w:left="158" w:firstLine="707"/>
      </w:pPr>
      <w:r>
        <w:rPr/>
        <w:t>366</w:t>
      </w:r>
      <w:r>
        <w:rPr>
          <w:spacing w:val="40"/>
        </w:rPr>
        <w:t> </w:t>
      </w:r>
      <w:r>
        <w:rPr/>
        <w:t>группа</w:t>
      </w:r>
      <w:r>
        <w:rPr>
          <w:spacing w:val="40"/>
        </w:rPr>
        <w:t> </w:t>
      </w:r>
      <w:r>
        <w:rPr/>
        <w:t>-</w:t>
      </w:r>
      <w:r>
        <w:rPr>
          <w:spacing w:val="40"/>
        </w:rPr>
        <w:t> </w:t>
      </w:r>
      <w:r>
        <w:rPr/>
        <w:t>установка,</w:t>
      </w:r>
      <w:r>
        <w:rPr>
          <w:spacing w:val="40"/>
        </w:rPr>
        <w:t> </w:t>
      </w:r>
      <w:r>
        <w:rPr/>
        <w:t>замена,</w:t>
      </w:r>
      <w:r>
        <w:rPr>
          <w:spacing w:val="40"/>
        </w:rPr>
        <w:t> </w:t>
      </w:r>
      <w:r>
        <w:rPr/>
        <w:t>заправка</w:t>
      </w:r>
      <w:r>
        <w:rPr>
          <w:spacing w:val="40"/>
        </w:rPr>
        <w:t> </w:t>
      </w:r>
      <w:r>
        <w:rPr/>
        <w:t>помп</w:t>
      </w:r>
      <w:r>
        <w:rPr>
          <w:spacing w:val="40"/>
        </w:rPr>
        <w:t> </w:t>
      </w:r>
      <w:r>
        <w:rPr/>
        <w:t>для</w:t>
      </w:r>
      <w:r>
        <w:rPr>
          <w:spacing w:val="40"/>
        </w:rPr>
        <w:t> </w:t>
      </w:r>
      <w:r>
        <w:rPr/>
        <w:t>лекарственных </w:t>
      </w:r>
      <w:r>
        <w:rPr>
          <w:spacing w:val="-2"/>
        </w:rPr>
        <w:t>препаратов;</w:t>
      </w:r>
    </w:p>
    <w:p>
      <w:pPr>
        <w:pStyle w:val="ListParagraph"/>
        <w:numPr>
          <w:ilvl w:val="0"/>
          <w:numId w:val="20"/>
        </w:numPr>
        <w:tabs>
          <w:tab w:pos="1359" w:val="left" w:leader="none"/>
        </w:tabs>
        <w:spacing w:line="321" w:lineRule="exact" w:before="0" w:after="0"/>
        <w:ind w:left="1358" w:right="0" w:hanging="493"/>
        <w:jc w:val="left"/>
        <w:rPr>
          <w:sz w:val="28"/>
        </w:rPr>
      </w:pPr>
      <w:r>
        <w:rPr>
          <w:sz w:val="28"/>
        </w:rPr>
        <w:t>группа</w:t>
      </w:r>
      <w:r>
        <w:rPr>
          <w:spacing w:val="-5"/>
          <w:sz w:val="28"/>
        </w:rPr>
        <w:t> </w:t>
      </w:r>
      <w:r>
        <w:rPr>
          <w:sz w:val="28"/>
        </w:rPr>
        <w:t>-</w:t>
      </w:r>
      <w:r>
        <w:rPr>
          <w:spacing w:val="-5"/>
          <w:sz w:val="28"/>
        </w:rPr>
        <w:t> </w:t>
      </w:r>
      <w:r>
        <w:rPr>
          <w:sz w:val="28"/>
        </w:rPr>
        <w:t>реинфузия</w:t>
      </w:r>
      <w:r>
        <w:rPr>
          <w:spacing w:val="-4"/>
          <w:sz w:val="28"/>
        </w:rPr>
        <w:t> </w:t>
      </w:r>
      <w:r>
        <w:rPr>
          <w:spacing w:val="-2"/>
          <w:sz w:val="28"/>
        </w:rPr>
        <w:t>аутокрови;</w:t>
      </w:r>
    </w:p>
    <w:p>
      <w:pPr>
        <w:pStyle w:val="ListParagraph"/>
        <w:numPr>
          <w:ilvl w:val="0"/>
          <w:numId w:val="20"/>
        </w:numPr>
        <w:tabs>
          <w:tab w:pos="1359" w:val="left" w:leader="none"/>
        </w:tabs>
        <w:spacing w:line="268" w:lineRule="auto" w:before="25" w:after="0"/>
        <w:ind w:left="866" w:right="1417" w:firstLine="0"/>
        <w:jc w:val="left"/>
        <w:rPr>
          <w:sz w:val="28"/>
        </w:rPr>
      </w:pPr>
      <w:r>
        <w:rPr>
          <w:sz w:val="28"/>
        </w:rPr>
        <w:t>группа</w:t>
      </w:r>
      <w:r>
        <w:rPr>
          <w:spacing w:val="-4"/>
          <w:sz w:val="28"/>
        </w:rPr>
        <w:t> </w:t>
      </w:r>
      <w:r>
        <w:rPr>
          <w:sz w:val="28"/>
        </w:rPr>
        <w:t>-</w:t>
      </w:r>
      <w:r>
        <w:rPr>
          <w:spacing w:val="-4"/>
          <w:sz w:val="28"/>
        </w:rPr>
        <w:t> </w:t>
      </w:r>
      <w:r>
        <w:rPr>
          <w:sz w:val="28"/>
        </w:rPr>
        <w:t>баллонная</w:t>
      </w:r>
      <w:r>
        <w:rPr>
          <w:spacing w:val="-4"/>
          <w:sz w:val="28"/>
        </w:rPr>
        <w:t> </w:t>
      </w:r>
      <w:r>
        <w:rPr>
          <w:sz w:val="28"/>
        </w:rPr>
        <w:t>внутриаортальная</w:t>
      </w:r>
      <w:r>
        <w:rPr>
          <w:spacing w:val="-4"/>
          <w:sz w:val="28"/>
        </w:rPr>
        <w:t> </w:t>
      </w:r>
      <w:r>
        <w:rPr>
          <w:sz w:val="28"/>
        </w:rPr>
        <w:t>контрпульсация; 370</w:t>
      </w:r>
      <w:r>
        <w:rPr>
          <w:spacing w:val="-6"/>
          <w:sz w:val="28"/>
        </w:rPr>
        <w:t> </w:t>
      </w:r>
      <w:r>
        <w:rPr>
          <w:sz w:val="28"/>
        </w:rPr>
        <w:t>группа</w:t>
      </w:r>
      <w:r>
        <w:rPr>
          <w:spacing w:val="-7"/>
          <w:sz w:val="28"/>
        </w:rPr>
        <w:t> </w:t>
      </w:r>
      <w:r>
        <w:rPr>
          <w:sz w:val="28"/>
        </w:rPr>
        <w:t>-</w:t>
      </w:r>
      <w:r>
        <w:rPr>
          <w:spacing w:val="-8"/>
          <w:sz w:val="28"/>
        </w:rPr>
        <w:t> </w:t>
      </w:r>
      <w:r>
        <w:rPr>
          <w:sz w:val="28"/>
        </w:rPr>
        <w:t>экстракорпоральная</w:t>
      </w:r>
      <w:r>
        <w:rPr>
          <w:spacing w:val="-7"/>
          <w:sz w:val="28"/>
        </w:rPr>
        <w:t> </w:t>
      </w:r>
      <w:r>
        <w:rPr>
          <w:sz w:val="28"/>
        </w:rPr>
        <w:t>мембранная</w:t>
      </w:r>
      <w:r>
        <w:rPr>
          <w:spacing w:val="-7"/>
          <w:sz w:val="28"/>
        </w:rPr>
        <w:t> </w:t>
      </w:r>
      <w:r>
        <w:rPr>
          <w:sz w:val="28"/>
        </w:rPr>
        <w:t>оксигенация;</w:t>
      </w:r>
    </w:p>
    <w:p>
      <w:pPr>
        <w:pStyle w:val="ListParagraph"/>
        <w:numPr>
          <w:ilvl w:val="0"/>
          <w:numId w:val="21"/>
        </w:numPr>
        <w:tabs>
          <w:tab w:pos="1359" w:val="left" w:leader="none"/>
        </w:tabs>
        <w:spacing w:line="268" w:lineRule="auto" w:before="0" w:after="0"/>
        <w:ind w:left="158" w:right="152" w:firstLine="707"/>
        <w:jc w:val="both"/>
        <w:rPr>
          <w:sz w:val="28"/>
        </w:rPr>
      </w:pPr>
      <w:r>
        <w:rPr>
          <w:sz w:val="28"/>
        </w:rPr>
        <w:t>группа - лечение с применением генно-инженерных биологических</w:t>
      </w:r>
      <w:r>
        <w:rPr>
          <w:spacing w:val="80"/>
          <w:sz w:val="28"/>
        </w:rPr>
        <w:t> </w:t>
      </w:r>
      <w:r>
        <w:rPr>
          <w:sz w:val="28"/>
        </w:rPr>
        <w:t>препаратов</w:t>
      </w:r>
      <w:r>
        <w:rPr>
          <w:spacing w:val="80"/>
          <w:sz w:val="28"/>
        </w:rPr>
        <w:t> </w:t>
      </w:r>
      <w:r>
        <w:rPr>
          <w:sz w:val="28"/>
        </w:rPr>
        <w:t>и</w:t>
      </w:r>
      <w:r>
        <w:rPr>
          <w:spacing w:val="80"/>
          <w:sz w:val="28"/>
        </w:rPr>
        <w:t> </w:t>
      </w:r>
      <w:r>
        <w:rPr>
          <w:sz w:val="28"/>
        </w:rPr>
        <w:t>селективных</w:t>
      </w:r>
      <w:r>
        <w:rPr>
          <w:spacing w:val="80"/>
          <w:sz w:val="28"/>
        </w:rPr>
        <w:t> </w:t>
      </w:r>
      <w:r>
        <w:rPr>
          <w:sz w:val="28"/>
        </w:rPr>
        <w:t>иммунодепрессантов</w:t>
      </w:r>
      <w:r>
        <w:rPr>
          <w:spacing w:val="80"/>
          <w:sz w:val="28"/>
        </w:rPr>
        <w:t> </w:t>
      </w:r>
      <w:r>
        <w:rPr>
          <w:sz w:val="28"/>
        </w:rPr>
        <w:t>(уровень 1);</w:t>
      </w:r>
    </w:p>
    <w:p>
      <w:pPr>
        <w:spacing w:after="0" w:line="268" w:lineRule="auto"/>
        <w:jc w:val="both"/>
        <w:rPr>
          <w:sz w:val="28"/>
        </w:rPr>
        <w:sectPr>
          <w:pgSz w:w="11910" w:h="16850"/>
          <w:pgMar w:header="751" w:footer="0" w:top="1060" w:bottom="280" w:left="1260" w:right="1260"/>
        </w:sectPr>
      </w:pPr>
    </w:p>
    <w:p>
      <w:pPr>
        <w:pStyle w:val="BodyText"/>
        <w:rPr>
          <w:sz w:val="26"/>
        </w:rPr>
      </w:pPr>
    </w:p>
    <w:p>
      <w:pPr>
        <w:pStyle w:val="ListParagraph"/>
        <w:numPr>
          <w:ilvl w:val="0"/>
          <w:numId w:val="21"/>
        </w:numPr>
        <w:tabs>
          <w:tab w:pos="1359" w:val="left" w:leader="none"/>
        </w:tabs>
        <w:spacing w:line="268" w:lineRule="auto" w:before="89" w:after="0"/>
        <w:ind w:left="158" w:right="152" w:firstLine="707"/>
        <w:jc w:val="both"/>
        <w:rPr>
          <w:sz w:val="28"/>
        </w:rPr>
      </w:pPr>
      <w:r>
        <w:rPr>
          <w:sz w:val="28"/>
        </w:rPr>
        <w:t>группа - лечение с применением генно-инженерных биологических</w:t>
      </w:r>
      <w:r>
        <w:rPr>
          <w:spacing w:val="80"/>
          <w:sz w:val="28"/>
        </w:rPr>
        <w:t> </w:t>
      </w:r>
      <w:r>
        <w:rPr>
          <w:sz w:val="28"/>
        </w:rPr>
        <w:t>препаратов</w:t>
      </w:r>
      <w:r>
        <w:rPr>
          <w:spacing w:val="80"/>
          <w:sz w:val="28"/>
        </w:rPr>
        <w:t> </w:t>
      </w:r>
      <w:r>
        <w:rPr>
          <w:sz w:val="28"/>
        </w:rPr>
        <w:t>и</w:t>
      </w:r>
      <w:r>
        <w:rPr>
          <w:spacing w:val="80"/>
          <w:sz w:val="28"/>
        </w:rPr>
        <w:t> </w:t>
      </w:r>
      <w:r>
        <w:rPr>
          <w:sz w:val="28"/>
        </w:rPr>
        <w:t>селективных</w:t>
      </w:r>
      <w:r>
        <w:rPr>
          <w:spacing w:val="80"/>
          <w:sz w:val="28"/>
        </w:rPr>
        <w:t> </w:t>
      </w:r>
      <w:r>
        <w:rPr>
          <w:sz w:val="28"/>
        </w:rPr>
        <w:t>иммунодепрессантов</w:t>
      </w:r>
      <w:r>
        <w:rPr>
          <w:spacing w:val="80"/>
          <w:sz w:val="28"/>
        </w:rPr>
        <w:t> </w:t>
      </w:r>
      <w:r>
        <w:rPr>
          <w:sz w:val="28"/>
        </w:rPr>
        <w:t>(уровень 2);</w:t>
      </w:r>
    </w:p>
    <w:p>
      <w:pPr>
        <w:pStyle w:val="ListParagraph"/>
        <w:numPr>
          <w:ilvl w:val="0"/>
          <w:numId w:val="21"/>
        </w:numPr>
        <w:tabs>
          <w:tab w:pos="1359" w:val="left" w:leader="none"/>
        </w:tabs>
        <w:spacing w:line="268" w:lineRule="auto" w:before="0" w:after="0"/>
        <w:ind w:left="158" w:right="152" w:firstLine="707"/>
        <w:jc w:val="both"/>
        <w:rPr>
          <w:sz w:val="28"/>
        </w:rPr>
      </w:pPr>
      <w:r>
        <w:rPr>
          <w:sz w:val="28"/>
        </w:rPr>
        <w:t>группа - лечение с применением генно-инженерных биологических</w:t>
      </w:r>
      <w:r>
        <w:rPr>
          <w:spacing w:val="80"/>
          <w:sz w:val="28"/>
        </w:rPr>
        <w:t> </w:t>
      </w:r>
      <w:r>
        <w:rPr>
          <w:sz w:val="28"/>
        </w:rPr>
        <w:t>препаратов</w:t>
      </w:r>
      <w:r>
        <w:rPr>
          <w:spacing w:val="80"/>
          <w:sz w:val="28"/>
        </w:rPr>
        <w:t> </w:t>
      </w:r>
      <w:r>
        <w:rPr>
          <w:sz w:val="28"/>
        </w:rPr>
        <w:t>и</w:t>
      </w:r>
      <w:r>
        <w:rPr>
          <w:spacing w:val="80"/>
          <w:sz w:val="28"/>
        </w:rPr>
        <w:t> </w:t>
      </w:r>
      <w:r>
        <w:rPr>
          <w:sz w:val="28"/>
        </w:rPr>
        <w:t>селективных</w:t>
      </w:r>
      <w:r>
        <w:rPr>
          <w:spacing w:val="80"/>
          <w:sz w:val="28"/>
        </w:rPr>
        <w:t> </w:t>
      </w:r>
      <w:r>
        <w:rPr>
          <w:sz w:val="28"/>
        </w:rPr>
        <w:t>иммунодепрессантов</w:t>
      </w:r>
      <w:r>
        <w:rPr>
          <w:spacing w:val="80"/>
          <w:sz w:val="28"/>
        </w:rPr>
        <w:t> </w:t>
      </w:r>
      <w:r>
        <w:rPr>
          <w:sz w:val="28"/>
        </w:rPr>
        <w:t>(уровень 3);</w:t>
      </w:r>
    </w:p>
    <w:p>
      <w:pPr>
        <w:pStyle w:val="BodyText"/>
        <w:spacing w:line="268" w:lineRule="auto"/>
        <w:ind w:left="158" w:right="153" w:firstLine="707"/>
        <w:jc w:val="both"/>
      </w:pPr>
      <w:r>
        <w:rPr/>
        <w:t>382 группа - медицинская реабилитация пациентов с заболеваниями центральной нервной системы (6 баллов по шкале реабилитационной </w:t>
      </w:r>
      <w:r>
        <w:rPr>
          <w:spacing w:val="-2"/>
        </w:rPr>
        <w:t>маршрутизации);</w:t>
      </w:r>
    </w:p>
    <w:p>
      <w:pPr>
        <w:pStyle w:val="BodyText"/>
        <w:spacing w:line="268" w:lineRule="auto"/>
        <w:ind w:left="158" w:right="153" w:firstLine="707"/>
        <w:jc w:val="both"/>
      </w:pPr>
      <w:r>
        <w:rPr/>
        <w:t>г) 0,8 - для случаев, не указанных в подпунктах "а" - "в" настоящего </w:t>
      </w:r>
      <w:r>
        <w:rPr>
          <w:spacing w:val="-2"/>
        </w:rPr>
        <w:t>пункта.</w:t>
      </w:r>
    </w:p>
    <w:p>
      <w:pPr>
        <w:pStyle w:val="ListParagraph"/>
        <w:numPr>
          <w:ilvl w:val="0"/>
          <w:numId w:val="12"/>
        </w:numPr>
        <w:tabs>
          <w:tab w:pos="1148" w:val="left" w:leader="none"/>
        </w:tabs>
        <w:spacing w:line="268" w:lineRule="auto" w:before="0" w:after="0"/>
        <w:ind w:left="158" w:right="154" w:firstLine="707"/>
        <w:jc w:val="both"/>
        <w:rPr>
          <w:sz w:val="28"/>
        </w:rPr>
      </w:pPr>
      <w:r>
        <w:rPr>
          <w:sz w:val="28"/>
        </w:rPr>
        <w:t>Коэффициент сложности лечения пациента в зависимости от особенностей оказания медицинской помощи принимает следующие </w:t>
      </w:r>
      <w:r>
        <w:rPr>
          <w:spacing w:val="-2"/>
          <w:sz w:val="28"/>
        </w:rPr>
        <w:t>значения:</w:t>
      </w:r>
    </w:p>
    <w:p>
      <w:pPr>
        <w:pStyle w:val="BodyText"/>
        <w:spacing w:line="268" w:lineRule="auto"/>
        <w:ind w:left="158" w:right="158" w:firstLine="707"/>
        <w:jc w:val="both"/>
      </w:pPr>
      <w:r>
        <w:rPr/>
        <w:t>а)</w:t>
      </w:r>
      <w:r>
        <w:rPr>
          <w:spacing w:val="-3"/>
        </w:rPr>
        <w:t> </w:t>
      </w:r>
      <w:r>
        <w:rPr/>
        <w:t>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pPr>
        <w:pStyle w:val="BodyText"/>
        <w:spacing w:line="268" w:lineRule="auto"/>
        <w:ind w:left="158" w:right="155" w:firstLine="707"/>
        <w:jc w:val="both"/>
      </w:pPr>
      <w:r>
        <w:rPr/>
        <w:t>б)</w:t>
      </w:r>
      <w:r>
        <w:rPr>
          <w:spacing w:val="-3"/>
        </w:rPr>
        <w:t> </w:t>
      </w:r>
      <w:r>
        <w:rPr/>
        <w:t>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BodyText"/>
        <w:spacing w:line="268" w:lineRule="auto"/>
        <w:ind w:left="158" w:right="152" w:firstLine="707"/>
        <w:jc w:val="both"/>
      </w:pPr>
      <w:r>
        <w:rPr/>
        <w:t>в)</w:t>
      </w:r>
      <w:r>
        <w:rPr>
          <w:spacing w:val="-2"/>
        </w:rPr>
        <w:t> </w:t>
      </w:r>
      <w:r>
        <w:rPr/>
        <w:t>при</w:t>
      </w:r>
      <w:r>
        <w:rPr>
          <w:spacing w:val="40"/>
        </w:rPr>
        <w:t> </w:t>
      </w:r>
      <w:r>
        <w:rPr/>
        <w:t>оказании</w:t>
      </w:r>
      <w:r>
        <w:rPr>
          <w:spacing w:val="40"/>
        </w:rPr>
        <w:t> </w:t>
      </w:r>
      <w:r>
        <w:rPr/>
        <w:t>медицинской</w:t>
      </w:r>
      <w:r>
        <w:rPr>
          <w:spacing w:val="40"/>
        </w:rPr>
        <w:t> </w:t>
      </w:r>
      <w:r>
        <w:rPr/>
        <w:t>помощи пациенту в возрасте</w:t>
      </w:r>
      <w:r>
        <w:rPr>
          <w:spacing w:val="40"/>
        </w:rPr>
        <w:t> </w:t>
      </w:r>
      <w:r>
        <w:rPr/>
        <w:t>старше 75</w:t>
      </w:r>
      <w:r>
        <w:rPr>
          <w:spacing w:val="-3"/>
        </w:rPr>
        <w:t> </w:t>
      </w:r>
      <w:r>
        <w:rPr/>
        <w:t>лет</w:t>
      </w:r>
      <w:r>
        <w:rPr>
          <w:spacing w:val="-2"/>
        </w:rPr>
        <w:t> </w:t>
      </w:r>
      <w:r>
        <w:rPr/>
        <w:t>в</w:t>
      </w:r>
      <w:r>
        <w:rPr>
          <w:spacing w:val="-5"/>
        </w:rPr>
        <w:t> </w:t>
      </w:r>
      <w:r>
        <w:rPr/>
        <w:t>случае</w:t>
      </w:r>
      <w:r>
        <w:rPr>
          <w:spacing w:val="-1"/>
        </w:rPr>
        <w:t> </w:t>
      </w:r>
      <w:r>
        <w:rPr/>
        <w:t>проведения</w:t>
      </w:r>
      <w:r>
        <w:rPr>
          <w:spacing w:val="-4"/>
        </w:rPr>
        <w:t> </w:t>
      </w:r>
      <w:r>
        <w:rPr/>
        <w:t>консультации</w:t>
      </w:r>
      <w:r>
        <w:rPr>
          <w:spacing w:val="-1"/>
        </w:rPr>
        <w:t> </w:t>
      </w:r>
      <w:r>
        <w:rPr/>
        <w:t>врача-гериатра</w:t>
      </w:r>
      <w:r>
        <w:rPr>
          <w:spacing w:val="-4"/>
        </w:rPr>
        <w:t> </w:t>
      </w:r>
      <w:r>
        <w:rPr/>
        <w:t>и</w:t>
      </w:r>
      <w:r>
        <w:rPr>
          <w:spacing w:val="-3"/>
        </w:rPr>
        <w:t> </w:t>
      </w:r>
      <w:r>
        <w:rPr/>
        <w:t>за</w:t>
      </w:r>
      <w:r>
        <w:rPr>
          <w:spacing w:val="-2"/>
        </w:rPr>
        <w:t> </w:t>
      </w:r>
      <w:r>
        <w:rPr/>
        <w:t>исключением случаев госпитализации на геронтологические профильные койки - 0,2;</w:t>
      </w:r>
    </w:p>
    <w:p>
      <w:pPr>
        <w:pStyle w:val="BodyText"/>
        <w:spacing w:line="320" w:lineRule="exact"/>
        <w:ind w:left="866"/>
        <w:jc w:val="both"/>
      </w:pPr>
      <w:r>
        <w:rPr/>
        <w:t>г)</w:t>
      </w:r>
      <w:r>
        <w:rPr>
          <w:spacing w:val="-6"/>
        </w:rPr>
        <w:t> </w:t>
      </w:r>
      <w:r>
        <w:rPr/>
        <w:t>при</w:t>
      </w:r>
      <w:r>
        <w:rPr>
          <w:spacing w:val="-4"/>
        </w:rPr>
        <w:t> </w:t>
      </w:r>
      <w:r>
        <w:rPr/>
        <w:t>развертывании</w:t>
      </w:r>
      <w:r>
        <w:rPr>
          <w:spacing w:val="-4"/>
        </w:rPr>
        <w:t> </w:t>
      </w:r>
      <w:r>
        <w:rPr/>
        <w:t>индивидуального</w:t>
      </w:r>
      <w:r>
        <w:rPr>
          <w:spacing w:val="-6"/>
        </w:rPr>
        <w:t> </w:t>
      </w:r>
      <w:r>
        <w:rPr/>
        <w:t>поста</w:t>
      </w:r>
      <w:r>
        <w:rPr>
          <w:spacing w:val="-5"/>
        </w:rPr>
        <w:t> </w:t>
      </w:r>
      <w:r>
        <w:rPr/>
        <w:t>-</w:t>
      </w:r>
      <w:r>
        <w:rPr>
          <w:spacing w:val="-5"/>
        </w:rPr>
        <w:t> </w:t>
      </w:r>
      <w:r>
        <w:rPr>
          <w:spacing w:val="-4"/>
        </w:rPr>
        <w:t>0,2;</w:t>
      </w:r>
    </w:p>
    <w:p>
      <w:pPr>
        <w:pStyle w:val="BodyText"/>
        <w:spacing w:line="268" w:lineRule="auto" w:before="27"/>
        <w:ind w:left="158" w:right="150" w:firstLine="707"/>
        <w:jc w:val="right"/>
      </w:pPr>
      <w:r>
        <w:rPr/>
        <w:t>д)</w:t>
      </w:r>
      <w:r>
        <w:rPr>
          <w:spacing w:val="-2"/>
        </w:rPr>
        <w:t> </w:t>
      </w:r>
      <w:r>
        <w:rPr/>
        <w:t>при</w:t>
      </w:r>
      <w:r>
        <w:rPr>
          <w:spacing w:val="80"/>
        </w:rPr>
        <w:t> </w:t>
      </w:r>
      <w:r>
        <w:rPr/>
        <w:t>наличии</w:t>
      </w:r>
      <w:r>
        <w:rPr>
          <w:spacing w:val="80"/>
        </w:rPr>
        <w:t> </w:t>
      </w:r>
      <w:r>
        <w:rPr/>
        <w:t>у</w:t>
      </w:r>
      <w:r>
        <w:rPr>
          <w:spacing w:val="80"/>
        </w:rPr>
        <w:t> </w:t>
      </w:r>
      <w:r>
        <w:rPr/>
        <w:t>пациента</w:t>
      </w:r>
      <w:r>
        <w:rPr>
          <w:spacing w:val="80"/>
        </w:rPr>
        <w:t> </w:t>
      </w:r>
      <w:r>
        <w:rPr/>
        <w:t>тяжелой</w:t>
      </w:r>
      <w:r>
        <w:rPr>
          <w:spacing w:val="80"/>
        </w:rPr>
        <w:t> </w:t>
      </w:r>
      <w:r>
        <w:rPr/>
        <w:t>сопутствующей</w:t>
      </w:r>
      <w:r>
        <w:rPr>
          <w:spacing w:val="80"/>
        </w:rPr>
        <w:t> </w:t>
      </w:r>
      <w:r>
        <w:rPr/>
        <w:t>патологии,</w:t>
      </w:r>
      <w:r>
        <w:rPr>
          <w:spacing w:val="40"/>
        </w:rPr>
        <w:t> </w:t>
      </w:r>
      <w:r>
        <w:rPr/>
        <w:t>требующей оказания медицинской</w:t>
      </w:r>
      <w:r>
        <w:rPr>
          <w:spacing w:val="-1"/>
        </w:rPr>
        <w:t> </w:t>
      </w:r>
      <w:r>
        <w:rPr/>
        <w:t>помощи в</w:t>
      </w:r>
      <w:r>
        <w:rPr>
          <w:spacing w:val="-2"/>
        </w:rPr>
        <w:t> </w:t>
      </w:r>
      <w:r>
        <w:rPr/>
        <w:t>период госпитализации, -</w:t>
      </w:r>
      <w:r>
        <w:rPr>
          <w:spacing w:val="-1"/>
        </w:rPr>
        <w:t> </w:t>
      </w:r>
      <w:r>
        <w:rPr/>
        <w:t>0,6; е) при</w:t>
      </w:r>
      <w:r>
        <w:rPr>
          <w:spacing w:val="80"/>
        </w:rPr>
        <w:t> </w:t>
      </w:r>
      <w:r>
        <w:rPr/>
        <w:t>проведении</w:t>
      </w:r>
      <w:r>
        <w:rPr>
          <w:spacing w:val="80"/>
        </w:rPr>
        <w:t> </w:t>
      </w:r>
      <w:r>
        <w:rPr/>
        <w:t>сочетанных</w:t>
      </w:r>
      <w:r>
        <w:rPr>
          <w:spacing w:val="80"/>
        </w:rPr>
        <w:t> </w:t>
      </w:r>
      <w:r>
        <w:rPr/>
        <w:t>хирургических</w:t>
      </w:r>
      <w:r>
        <w:rPr>
          <w:spacing w:val="80"/>
        </w:rPr>
        <w:t> </w:t>
      </w:r>
      <w:r>
        <w:rPr/>
        <w:t>вмешательств</w:t>
      </w:r>
      <w:r>
        <w:rPr>
          <w:spacing w:val="80"/>
        </w:rPr>
        <w:t> </w:t>
      </w:r>
      <w:r>
        <w:rPr/>
        <w:t>или проведении</w:t>
      </w:r>
      <w:r>
        <w:rPr>
          <w:spacing w:val="57"/>
        </w:rPr>
        <w:t> </w:t>
      </w:r>
      <w:r>
        <w:rPr/>
        <w:t>однотипных</w:t>
      </w:r>
      <w:r>
        <w:rPr>
          <w:spacing w:val="58"/>
        </w:rPr>
        <w:t> </w:t>
      </w:r>
      <w:r>
        <w:rPr/>
        <w:t>операций</w:t>
      </w:r>
      <w:r>
        <w:rPr>
          <w:spacing w:val="57"/>
        </w:rPr>
        <w:t> </w:t>
      </w:r>
      <w:r>
        <w:rPr/>
        <w:t>на</w:t>
      </w:r>
      <w:r>
        <w:rPr>
          <w:spacing w:val="58"/>
        </w:rPr>
        <w:t> </w:t>
      </w:r>
      <w:r>
        <w:rPr/>
        <w:t>парных</w:t>
      </w:r>
      <w:r>
        <w:rPr>
          <w:spacing w:val="58"/>
        </w:rPr>
        <w:t> </w:t>
      </w:r>
      <w:r>
        <w:rPr/>
        <w:t>органах</w:t>
      </w:r>
      <w:r>
        <w:rPr>
          <w:spacing w:val="60"/>
        </w:rPr>
        <w:t> </w:t>
      </w:r>
      <w:r>
        <w:rPr/>
        <w:t>в</w:t>
      </w:r>
      <w:r>
        <w:rPr>
          <w:spacing w:val="56"/>
        </w:rPr>
        <w:t> </w:t>
      </w:r>
      <w:r>
        <w:rPr/>
        <w:t>зависимости</w:t>
      </w:r>
      <w:r>
        <w:rPr>
          <w:spacing w:val="58"/>
        </w:rPr>
        <w:t> </w:t>
      </w:r>
      <w:r>
        <w:rPr>
          <w:spacing w:val="-5"/>
        </w:rPr>
        <w:t>от</w:t>
      </w:r>
    </w:p>
    <w:p>
      <w:pPr>
        <w:pStyle w:val="BodyText"/>
        <w:spacing w:line="268" w:lineRule="auto"/>
        <w:ind w:left="866" w:right="3527" w:hanging="708"/>
      </w:pPr>
      <w:r>
        <w:rPr/>
        <w:t>сложности</w:t>
      </w:r>
      <w:r>
        <w:rPr>
          <w:spacing w:val="-11"/>
        </w:rPr>
        <w:t> </w:t>
      </w:r>
      <w:r>
        <w:rPr/>
        <w:t>вмешательств</w:t>
      </w:r>
      <w:r>
        <w:rPr>
          <w:spacing w:val="-13"/>
        </w:rPr>
        <w:t> </w:t>
      </w:r>
      <w:r>
        <w:rPr/>
        <w:t>или</w:t>
      </w:r>
      <w:r>
        <w:rPr>
          <w:spacing w:val="-11"/>
        </w:rPr>
        <w:t> </w:t>
      </w:r>
      <w:r>
        <w:rPr/>
        <w:t>операций: уровень 1 - 0,05;</w:t>
      </w:r>
    </w:p>
    <w:p>
      <w:pPr>
        <w:pStyle w:val="BodyText"/>
        <w:spacing w:line="321" w:lineRule="exact"/>
        <w:ind w:left="866"/>
      </w:pPr>
      <w:r>
        <w:rPr/>
        <w:t>уровень</w:t>
      </w:r>
      <w:r>
        <w:rPr>
          <w:spacing w:val="-4"/>
        </w:rPr>
        <w:t> </w:t>
      </w:r>
      <w:r>
        <w:rPr/>
        <w:t>2</w:t>
      </w:r>
      <w:r>
        <w:rPr>
          <w:spacing w:val="-1"/>
        </w:rPr>
        <w:t> </w:t>
      </w:r>
      <w:r>
        <w:rPr/>
        <w:t>-</w:t>
      </w:r>
      <w:r>
        <w:rPr>
          <w:spacing w:val="-3"/>
        </w:rPr>
        <w:t> </w:t>
      </w:r>
      <w:r>
        <w:rPr>
          <w:spacing w:val="-4"/>
        </w:rPr>
        <w:t>0,47;</w:t>
      </w:r>
    </w:p>
    <w:p>
      <w:pPr>
        <w:pStyle w:val="BodyText"/>
        <w:spacing w:before="35"/>
        <w:ind w:left="866"/>
      </w:pPr>
      <w:r>
        <w:rPr/>
        <w:t>уровень</w:t>
      </w:r>
      <w:r>
        <w:rPr>
          <w:spacing w:val="-4"/>
        </w:rPr>
        <w:t> </w:t>
      </w:r>
      <w:r>
        <w:rPr/>
        <w:t>3</w:t>
      </w:r>
      <w:r>
        <w:rPr>
          <w:spacing w:val="-1"/>
        </w:rPr>
        <w:t> </w:t>
      </w:r>
      <w:r>
        <w:rPr/>
        <w:t>-</w:t>
      </w:r>
      <w:r>
        <w:rPr>
          <w:spacing w:val="-3"/>
        </w:rPr>
        <w:t> </w:t>
      </w:r>
      <w:r>
        <w:rPr>
          <w:spacing w:val="-4"/>
        </w:rPr>
        <w:t>1,16;</w:t>
      </w:r>
    </w:p>
    <w:p>
      <w:pPr>
        <w:pStyle w:val="BodyText"/>
        <w:spacing w:before="39"/>
        <w:ind w:left="866"/>
      </w:pPr>
      <w:r>
        <w:rPr/>
        <w:t>уровень</w:t>
      </w:r>
      <w:r>
        <w:rPr>
          <w:spacing w:val="-4"/>
        </w:rPr>
        <w:t> </w:t>
      </w:r>
      <w:r>
        <w:rPr/>
        <w:t>4</w:t>
      </w:r>
      <w:r>
        <w:rPr>
          <w:spacing w:val="-1"/>
        </w:rPr>
        <w:t> </w:t>
      </w:r>
      <w:r>
        <w:rPr/>
        <w:t>-</w:t>
      </w:r>
      <w:r>
        <w:rPr>
          <w:spacing w:val="-3"/>
        </w:rPr>
        <w:t> </w:t>
      </w:r>
      <w:r>
        <w:rPr>
          <w:spacing w:val="-4"/>
        </w:rPr>
        <w:t>2,07;</w:t>
      </w:r>
    </w:p>
    <w:p>
      <w:pPr>
        <w:pStyle w:val="BodyText"/>
        <w:spacing w:before="38"/>
        <w:ind w:left="866"/>
      </w:pPr>
      <w:r>
        <w:rPr/>
        <w:t>уровень</w:t>
      </w:r>
      <w:r>
        <w:rPr>
          <w:spacing w:val="-4"/>
        </w:rPr>
        <w:t> </w:t>
      </w:r>
      <w:r>
        <w:rPr/>
        <w:t>5</w:t>
      </w:r>
      <w:r>
        <w:rPr>
          <w:spacing w:val="-1"/>
        </w:rPr>
        <w:t> </w:t>
      </w:r>
      <w:r>
        <w:rPr/>
        <w:t>-</w:t>
      </w:r>
      <w:r>
        <w:rPr>
          <w:spacing w:val="-3"/>
        </w:rPr>
        <w:t> </w:t>
      </w:r>
      <w:r>
        <w:rPr>
          <w:spacing w:val="-4"/>
        </w:rPr>
        <w:t>3,49;</w:t>
      </w:r>
    </w:p>
    <w:p>
      <w:pPr>
        <w:pStyle w:val="BodyText"/>
        <w:spacing w:line="268" w:lineRule="auto" w:before="38"/>
        <w:ind w:left="158" w:firstLine="707"/>
      </w:pPr>
      <w:r>
        <w:rPr/>
        <w:t>ж)</w:t>
      </w:r>
      <w:r>
        <w:rPr>
          <w:spacing w:val="-3"/>
        </w:rPr>
        <w:t> </w:t>
      </w:r>
      <w:r>
        <w:rPr/>
        <w:t>для</w:t>
      </w:r>
      <w:r>
        <w:rPr>
          <w:spacing w:val="75"/>
        </w:rPr>
        <w:t> </w:t>
      </w:r>
      <w:r>
        <w:rPr/>
        <w:t>случаев,</w:t>
      </w:r>
      <w:r>
        <w:rPr>
          <w:spacing w:val="77"/>
        </w:rPr>
        <w:t> </w:t>
      </w:r>
      <w:r>
        <w:rPr/>
        <w:t>не</w:t>
      </w:r>
      <w:r>
        <w:rPr>
          <w:spacing w:val="75"/>
        </w:rPr>
        <w:t> </w:t>
      </w:r>
      <w:r>
        <w:rPr/>
        <w:t>указанных</w:t>
      </w:r>
      <w:r>
        <w:rPr>
          <w:spacing w:val="76"/>
        </w:rPr>
        <w:t> </w:t>
      </w:r>
      <w:r>
        <w:rPr/>
        <w:t>в</w:t>
      </w:r>
      <w:r>
        <w:rPr>
          <w:spacing w:val="77"/>
        </w:rPr>
        <w:t> </w:t>
      </w:r>
      <w:r>
        <w:rPr/>
        <w:t>подпунктах</w:t>
      </w:r>
      <w:r>
        <w:rPr>
          <w:spacing w:val="80"/>
        </w:rPr>
        <w:t> </w:t>
      </w:r>
      <w:r>
        <w:rPr/>
        <w:t>"а"</w:t>
      </w:r>
      <w:r>
        <w:rPr>
          <w:spacing w:val="78"/>
        </w:rPr>
        <w:t> </w:t>
      </w:r>
      <w:r>
        <w:rPr/>
        <w:t>-</w:t>
      </w:r>
      <w:r>
        <w:rPr>
          <w:spacing w:val="75"/>
        </w:rPr>
        <w:t> </w:t>
      </w:r>
      <w:r>
        <w:rPr/>
        <w:t>"е"</w:t>
      </w:r>
      <w:r>
        <w:rPr>
          <w:spacing w:val="77"/>
        </w:rPr>
        <w:t> </w:t>
      </w:r>
      <w:r>
        <w:rPr/>
        <w:t>настоящего пункта, - 0.</w:t>
      </w:r>
    </w:p>
    <w:p>
      <w:pPr>
        <w:spacing w:after="0" w:line="268" w:lineRule="auto"/>
        <w:sectPr>
          <w:pgSz w:w="11910" w:h="16850"/>
          <w:pgMar w:header="751" w:footer="0" w:top="1060" w:bottom="280" w:left="1260" w:right="1260"/>
        </w:sectPr>
      </w:pPr>
    </w:p>
    <w:p>
      <w:pPr>
        <w:pStyle w:val="BodyText"/>
        <w:rPr>
          <w:sz w:val="26"/>
        </w:rPr>
      </w:pPr>
    </w:p>
    <w:p>
      <w:pPr>
        <w:pStyle w:val="ListParagraph"/>
        <w:numPr>
          <w:ilvl w:val="0"/>
          <w:numId w:val="12"/>
        </w:numPr>
        <w:tabs>
          <w:tab w:pos="1148" w:val="left" w:leader="none"/>
        </w:tabs>
        <w:spacing w:line="268" w:lineRule="auto" w:before="89" w:after="0"/>
        <w:ind w:left="158" w:right="152" w:firstLine="707"/>
        <w:jc w:val="both"/>
        <w:rPr>
          <w:sz w:val="28"/>
        </w:rPr>
      </w:pPr>
      <w:r>
        <w:rPr>
          <w:sz w:val="28"/>
        </w:rPr>
        <w:t>Тарифы</w:t>
      </w:r>
      <w:r>
        <w:rPr>
          <w:spacing w:val="80"/>
          <w:sz w:val="28"/>
        </w:rPr>
        <w:t>  </w:t>
      </w:r>
      <w:r>
        <w:rPr>
          <w:sz w:val="28"/>
        </w:rPr>
        <w:t>на</w:t>
      </w:r>
      <w:r>
        <w:rPr>
          <w:spacing w:val="80"/>
          <w:sz w:val="28"/>
        </w:rPr>
        <w:t>  </w:t>
      </w:r>
      <w:r>
        <w:rPr>
          <w:sz w:val="28"/>
        </w:rPr>
        <w:t>оплату</w:t>
      </w:r>
      <w:r>
        <w:rPr>
          <w:spacing w:val="80"/>
          <w:sz w:val="28"/>
        </w:rPr>
        <w:t>  </w:t>
      </w:r>
      <w:r>
        <w:rPr>
          <w:sz w:val="28"/>
        </w:rPr>
        <w:t>медицинской</w:t>
      </w:r>
      <w:r>
        <w:rPr>
          <w:spacing w:val="80"/>
          <w:sz w:val="28"/>
        </w:rPr>
        <w:t>  </w:t>
      </w:r>
      <w:r>
        <w:rPr>
          <w:sz w:val="28"/>
        </w:rPr>
        <w:t>помощи,</w:t>
      </w:r>
      <w:r>
        <w:rPr>
          <w:spacing w:val="80"/>
          <w:sz w:val="28"/>
        </w:rPr>
        <w:t>  </w:t>
      </w:r>
      <w:r>
        <w:rPr>
          <w:sz w:val="28"/>
        </w:rPr>
        <w:t>определенные</w:t>
      </w:r>
      <w:r>
        <w:rPr>
          <w:spacing w:val="80"/>
          <w:sz w:val="28"/>
        </w:rPr>
        <w:t> </w:t>
      </w:r>
      <w:r>
        <w:rPr>
          <w:sz w:val="28"/>
        </w:rPr>
        <w:t>в соответствии с пунктами 3 и 4 настоящего Положения, при прерывании случая оказания медицинской помощи уменьшаются:</w:t>
      </w:r>
    </w:p>
    <w:p>
      <w:pPr>
        <w:pStyle w:val="BodyText"/>
        <w:spacing w:line="320" w:lineRule="exact"/>
        <w:ind w:left="866"/>
        <w:jc w:val="both"/>
      </w:pPr>
      <w:r>
        <w:rPr/>
        <w:t>а)</w:t>
      </w:r>
      <w:r>
        <w:rPr>
          <w:spacing w:val="-3"/>
        </w:rPr>
        <w:t> </w:t>
      </w:r>
      <w:r>
        <w:rPr/>
        <w:t>на</w:t>
      </w:r>
      <w:r>
        <w:rPr>
          <w:spacing w:val="-2"/>
        </w:rPr>
        <w:t> </w:t>
      </w:r>
      <w:r>
        <w:rPr/>
        <w:t>70</w:t>
      </w:r>
      <w:r>
        <w:rPr>
          <w:spacing w:val="-5"/>
        </w:rPr>
        <w:t> </w:t>
      </w:r>
      <w:r>
        <w:rPr/>
        <w:t>процентов</w:t>
      </w:r>
      <w:r>
        <w:rPr>
          <w:spacing w:val="-2"/>
        </w:rPr>
        <w:t> </w:t>
      </w:r>
      <w:r>
        <w:rPr/>
        <w:t>-</w:t>
      </w:r>
      <w:r>
        <w:rPr>
          <w:spacing w:val="-5"/>
        </w:rPr>
        <w:t> </w:t>
      </w:r>
      <w:r>
        <w:rPr/>
        <w:t>при</w:t>
      </w:r>
      <w:r>
        <w:rPr>
          <w:spacing w:val="-2"/>
        </w:rPr>
        <w:t> </w:t>
      </w:r>
      <w:r>
        <w:rPr/>
        <w:t>длительности</w:t>
      </w:r>
      <w:r>
        <w:rPr>
          <w:spacing w:val="-3"/>
        </w:rPr>
        <w:t> </w:t>
      </w:r>
      <w:r>
        <w:rPr/>
        <w:t>лечения</w:t>
      </w:r>
      <w:r>
        <w:rPr>
          <w:spacing w:val="-5"/>
        </w:rPr>
        <w:t> </w:t>
      </w:r>
      <w:r>
        <w:rPr/>
        <w:t>до</w:t>
      </w:r>
      <w:r>
        <w:rPr>
          <w:spacing w:val="-5"/>
        </w:rPr>
        <w:t> </w:t>
      </w:r>
      <w:r>
        <w:rPr/>
        <w:t>3</w:t>
      </w:r>
      <w:r>
        <w:rPr>
          <w:spacing w:val="-1"/>
        </w:rPr>
        <w:t> </w:t>
      </w:r>
      <w:r>
        <w:rPr>
          <w:spacing w:val="-2"/>
        </w:rPr>
        <w:t>дней;</w:t>
      </w:r>
    </w:p>
    <w:p>
      <w:pPr>
        <w:pStyle w:val="BodyText"/>
        <w:spacing w:line="268" w:lineRule="auto" w:before="38"/>
        <w:ind w:left="866" w:right="1047"/>
        <w:jc w:val="both"/>
      </w:pPr>
      <w:r>
        <w:rPr/>
        <w:t>б)</w:t>
      </w:r>
      <w:r>
        <w:rPr>
          <w:spacing w:val="-2"/>
        </w:rPr>
        <w:t> </w:t>
      </w:r>
      <w:r>
        <w:rPr/>
        <w:t>на</w:t>
      </w:r>
      <w:r>
        <w:rPr>
          <w:spacing w:val="-5"/>
        </w:rPr>
        <w:t> </w:t>
      </w:r>
      <w:r>
        <w:rPr/>
        <w:t>50</w:t>
      </w:r>
      <w:r>
        <w:rPr>
          <w:spacing w:val="-1"/>
        </w:rPr>
        <w:t> </w:t>
      </w:r>
      <w:r>
        <w:rPr/>
        <w:t>процентов</w:t>
      </w:r>
      <w:r>
        <w:rPr>
          <w:spacing w:val="-1"/>
        </w:rPr>
        <w:t> </w:t>
      </w:r>
      <w:r>
        <w:rPr/>
        <w:t>-</w:t>
      </w:r>
      <w:r>
        <w:rPr>
          <w:spacing w:val="-5"/>
        </w:rPr>
        <w:t> </w:t>
      </w:r>
      <w:r>
        <w:rPr/>
        <w:t>при</w:t>
      </w:r>
      <w:r>
        <w:rPr>
          <w:spacing w:val="-2"/>
        </w:rPr>
        <w:t> </w:t>
      </w:r>
      <w:r>
        <w:rPr/>
        <w:t>длительности</w:t>
      </w:r>
      <w:r>
        <w:rPr>
          <w:spacing w:val="-2"/>
        </w:rPr>
        <w:t> </w:t>
      </w:r>
      <w:r>
        <w:rPr/>
        <w:t>лечения</w:t>
      </w:r>
      <w:r>
        <w:rPr>
          <w:spacing w:val="-5"/>
        </w:rPr>
        <w:t> </w:t>
      </w:r>
      <w:r>
        <w:rPr/>
        <w:t>от</w:t>
      </w:r>
      <w:r>
        <w:rPr>
          <w:spacing w:val="-3"/>
        </w:rPr>
        <w:t> </w:t>
      </w:r>
      <w:r>
        <w:rPr/>
        <w:t>3</w:t>
      </w:r>
      <w:r>
        <w:rPr>
          <w:spacing w:val="-5"/>
        </w:rPr>
        <w:t> </w:t>
      </w:r>
      <w:r>
        <w:rPr/>
        <w:t>до</w:t>
      </w:r>
      <w:r>
        <w:rPr>
          <w:spacing w:val="-5"/>
        </w:rPr>
        <w:t> </w:t>
      </w:r>
      <w:r>
        <w:rPr/>
        <w:t>5</w:t>
      </w:r>
      <w:r>
        <w:rPr>
          <w:spacing w:val="-1"/>
        </w:rPr>
        <w:t> </w:t>
      </w:r>
      <w:r>
        <w:rPr/>
        <w:t>дней; в) на 20 процентов - при длительности лечения более 5 дней.</w:t>
      </w:r>
    </w:p>
    <w:p>
      <w:pPr>
        <w:pStyle w:val="ListParagraph"/>
        <w:numPr>
          <w:ilvl w:val="0"/>
          <w:numId w:val="12"/>
        </w:numPr>
        <w:tabs>
          <w:tab w:pos="1148" w:val="left" w:leader="none"/>
        </w:tabs>
        <w:spacing w:line="268" w:lineRule="auto" w:before="0" w:after="0"/>
        <w:ind w:left="158" w:right="153" w:firstLine="707"/>
        <w:jc w:val="both"/>
        <w:rPr>
          <w:sz w:val="28"/>
        </w:rPr>
      </w:pPr>
      <w:r>
        <w:rPr>
          <w:sz w:val="28"/>
        </w:rPr>
        <w:t>Медицинская</w:t>
      </w:r>
      <w:r>
        <w:rPr>
          <w:spacing w:val="80"/>
          <w:sz w:val="28"/>
        </w:rPr>
        <w:t> </w:t>
      </w:r>
      <w:r>
        <w:rPr>
          <w:sz w:val="28"/>
        </w:rPr>
        <w:t>помощь,</w:t>
      </w:r>
      <w:r>
        <w:rPr>
          <w:spacing w:val="80"/>
          <w:sz w:val="28"/>
        </w:rPr>
        <w:t> </w:t>
      </w:r>
      <w:r>
        <w:rPr>
          <w:sz w:val="28"/>
        </w:rPr>
        <w:t>оказываемая</w:t>
      </w:r>
      <w:r>
        <w:rPr>
          <w:spacing w:val="80"/>
          <w:sz w:val="28"/>
        </w:rPr>
        <w:t> </w:t>
      </w:r>
      <w:r>
        <w:rPr>
          <w:sz w:val="28"/>
        </w:rPr>
        <w:t>пациентам</w:t>
      </w:r>
      <w:r>
        <w:rPr>
          <w:spacing w:val="80"/>
          <w:sz w:val="28"/>
        </w:rPr>
        <w:t> </w:t>
      </w:r>
      <w:r>
        <w:rPr>
          <w:sz w:val="28"/>
        </w:rPr>
        <w:t>одновременно</w:t>
      </w:r>
      <w:r>
        <w:rPr>
          <w:spacing w:val="40"/>
          <w:sz w:val="28"/>
        </w:rPr>
        <w:t> </w:t>
      </w:r>
      <w:r>
        <w:rPr>
          <w:sz w:val="28"/>
        </w:rPr>
        <w:t>по</w:t>
      </w:r>
      <w:r>
        <w:rPr>
          <w:spacing w:val="80"/>
          <w:sz w:val="28"/>
        </w:rPr>
        <w:t>  </w:t>
      </w:r>
      <w:r>
        <w:rPr>
          <w:sz w:val="28"/>
        </w:rPr>
        <w:t>2</w:t>
      </w:r>
      <w:r>
        <w:rPr>
          <w:spacing w:val="80"/>
          <w:sz w:val="28"/>
        </w:rPr>
        <w:t>  </w:t>
      </w:r>
      <w:r>
        <w:rPr>
          <w:sz w:val="28"/>
        </w:rPr>
        <w:t>и</w:t>
      </w:r>
      <w:r>
        <w:rPr>
          <w:spacing w:val="80"/>
          <w:sz w:val="28"/>
        </w:rPr>
        <w:t>  </w:t>
      </w:r>
      <w:r>
        <w:rPr>
          <w:sz w:val="28"/>
        </w:rPr>
        <w:t>более</w:t>
      </w:r>
      <w:r>
        <w:rPr>
          <w:spacing w:val="80"/>
          <w:sz w:val="28"/>
        </w:rPr>
        <w:t>  </w:t>
      </w:r>
      <w:r>
        <w:rPr>
          <w:sz w:val="28"/>
        </w:rPr>
        <w:t>группам</w:t>
      </w:r>
      <w:r>
        <w:rPr>
          <w:spacing w:val="80"/>
          <w:sz w:val="28"/>
        </w:rPr>
        <w:t>  </w:t>
      </w:r>
      <w:r>
        <w:rPr>
          <w:sz w:val="28"/>
        </w:rPr>
        <w:t>заболеваний,</w:t>
      </w:r>
      <w:r>
        <w:rPr>
          <w:spacing w:val="80"/>
          <w:sz w:val="28"/>
        </w:rPr>
        <w:t>  </w:t>
      </w:r>
      <w:r>
        <w:rPr>
          <w:sz w:val="28"/>
        </w:rPr>
        <w:t>состояний,</w:t>
      </w:r>
      <w:r>
        <w:rPr>
          <w:spacing w:val="80"/>
          <w:sz w:val="28"/>
        </w:rPr>
        <w:t>  </w:t>
      </w:r>
      <w:r>
        <w:rPr>
          <w:sz w:val="28"/>
        </w:rPr>
        <w:t>оплачивается по</w:t>
      </w:r>
      <w:r>
        <w:rPr>
          <w:spacing w:val="80"/>
          <w:sz w:val="28"/>
        </w:rPr>
        <w:t>  </w:t>
      </w:r>
      <w:r>
        <w:rPr>
          <w:sz w:val="28"/>
        </w:rPr>
        <w:t>соответствующим</w:t>
      </w:r>
      <w:r>
        <w:rPr>
          <w:spacing w:val="80"/>
          <w:sz w:val="28"/>
        </w:rPr>
        <w:t>  </w:t>
      </w:r>
      <w:r>
        <w:rPr>
          <w:sz w:val="28"/>
        </w:rPr>
        <w:t>тарифам</w:t>
      </w:r>
      <w:r>
        <w:rPr>
          <w:spacing w:val="80"/>
          <w:sz w:val="28"/>
        </w:rPr>
        <w:t>  </w:t>
      </w:r>
      <w:r>
        <w:rPr>
          <w:sz w:val="28"/>
        </w:rPr>
        <w:t>на</w:t>
      </w:r>
      <w:r>
        <w:rPr>
          <w:spacing w:val="80"/>
          <w:sz w:val="28"/>
        </w:rPr>
        <w:t>  </w:t>
      </w:r>
      <w:r>
        <w:rPr>
          <w:sz w:val="28"/>
        </w:rPr>
        <w:t>оплату</w:t>
      </w:r>
      <w:r>
        <w:rPr>
          <w:spacing w:val="80"/>
          <w:sz w:val="28"/>
        </w:rPr>
        <w:t>  </w:t>
      </w:r>
      <w:r>
        <w:rPr>
          <w:sz w:val="28"/>
        </w:rPr>
        <w:t>медицинской</w:t>
      </w:r>
      <w:r>
        <w:rPr>
          <w:spacing w:val="80"/>
          <w:sz w:val="28"/>
        </w:rPr>
        <w:t>  </w:t>
      </w:r>
      <w:r>
        <w:rPr>
          <w:sz w:val="28"/>
        </w:rPr>
        <w:t>помощи (с проведением Федеральным фондом обязательного медицинского страхования</w:t>
      </w:r>
      <w:r>
        <w:rPr>
          <w:spacing w:val="80"/>
          <w:sz w:val="28"/>
        </w:rPr>
        <w:t> </w:t>
      </w:r>
      <w:r>
        <w:rPr>
          <w:sz w:val="28"/>
        </w:rPr>
        <w:t>последующей</w:t>
      </w:r>
      <w:r>
        <w:rPr>
          <w:spacing w:val="80"/>
          <w:sz w:val="28"/>
        </w:rPr>
        <w:t> </w:t>
      </w:r>
      <w:r>
        <w:rPr>
          <w:sz w:val="28"/>
        </w:rPr>
        <w:t>экспертизы</w:t>
      </w:r>
      <w:r>
        <w:rPr>
          <w:spacing w:val="80"/>
          <w:sz w:val="28"/>
        </w:rPr>
        <w:t> </w:t>
      </w:r>
      <w:r>
        <w:rPr>
          <w:sz w:val="28"/>
        </w:rPr>
        <w:t>качества</w:t>
      </w:r>
      <w:r>
        <w:rPr>
          <w:spacing w:val="80"/>
          <w:sz w:val="28"/>
        </w:rPr>
        <w:t> </w:t>
      </w:r>
      <w:r>
        <w:rPr>
          <w:sz w:val="28"/>
        </w:rPr>
        <w:t>медицинской</w:t>
      </w:r>
      <w:r>
        <w:rPr>
          <w:spacing w:val="80"/>
          <w:sz w:val="28"/>
        </w:rPr>
        <w:t> </w:t>
      </w:r>
      <w:r>
        <w:rPr>
          <w:sz w:val="28"/>
        </w:rPr>
        <w:t>помощи) в следующих случаях:</w:t>
      </w:r>
    </w:p>
    <w:p>
      <w:pPr>
        <w:pStyle w:val="BodyText"/>
        <w:spacing w:line="268" w:lineRule="auto"/>
        <w:ind w:left="158" w:right="154" w:firstLine="707"/>
        <w:jc w:val="both"/>
      </w:pPr>
      <w:r>
        <w:rPr/>
        <w:t>а)</w:t>
      </w:r>
      <w:r>
        <w:rPr>
          <w:spacing w:val="-3"/>
        </w:rPr>
        <w:t> </w:t>
      </w:r>
      <w:r>
        <w:rPr/>
        <w:t>возникновение (наличие) нового заболевания или состояния (заболеваний или состояний), входящего в другой класс Международной статистической</w:t>
      </w:r>
      <w:r>
        <w:rPr>
          <w:spacing w:val="80"/>
        </w:rPr>
        <w:t>  </w:t>
      </w:r>
      <w:r>
        <w:rPr/>
        <w:t>классификации</w:t>
      </w:r>
      <w:r>
        <w:rPr>
          <w:spacing w:val="80"/>
        </w:rPr>
        <w:t>  </w:t>
      </w:r>
      <w:r>
        <w:rPr/>
        <w:t>болезней</w:t>
      </w:r>
      <w:r>
        <w:rPr>
          <w:spacing w:val="80"/>
        </w:rPr>
        <w:t>  </w:t>
      </w:r>
      <w:r>
        <w:rPr/>
        <w:t>и</w:t>
      </w:r>
      <w:r>
        <w:rPr>
          <w:spacing w:val="80"/>
        </w:rPr>
        <w:t>  </w:t>
      </w:r>
      <w:r>
        <w:rPr/>
        <w:t>проблем,</w:t>
      </w:r>
      <w:r>
        <w:rPr>
          <w:spacing w:val="80"/>
        </w:rPr>
        <w:t>  </w:t>
      </w:r>
      <w:r>
        <w:rPr/>
        <w:t>связанных</w:t>
      </w:r>
      <w:r>
        <w:rPr>
          <w:spacing w:val="40"/>
        </w:rPr>
        <w:t> </w:t>
      </w:r>
      <w:r>
        <w:rPr/>
        <w:t>со здоровьем (10-го пересмотра), и не являющегося следствием закономерного прогрессирования основного заболевания;</w:t>
      </w:r>
    </w:p>
    <w:p>
      <w:pPr>
        <w:pStyle w:val="BodyText"/>
        <w:spacing w:line="268" w:lineRule="auto"/>
        <w:ind w:left="158" w:right="156" w:firstLine="707"/>
        <w:jc w:val="both"/>
      </w:pPr>
      <w:r>
        <w:rPr/>
        <w:t>б)</w:t>
      </w:r>
      <w:r>
        <w:rPr>
          <w:spacing w:val="-3"/>
        </w:rPr>
        <w:t> </w:t>
      </w:r>
      <w:r>
        <w:rPr/>
        <w:t>дородовая госпитализация пациентки в отделение патологии беременности</w:t>
      </w:r>
      <w:r>
        <w:rPr>
          <w:spacing w:val="35"/>
        </w:rPr>
        <w:t> </w:t>
      </w:r>
      <w:r>
        <w:rPr/>
        <w:t>в</w:t>
      </w:r>
      <w:r>
        <w:rPr>
          <w:spacing w:val="34"/>
        </w:rPr>
        <w:t> </w:t>
      </w:r>
      <w:r>
        <w:rPr/>
        <w:t>случае</w:t>
      </w:r>
      <w:r>
        <w:rPr>
          <w:spacing w:val="35"/>
        </w:rPr>
        <w:t> </w:t>
      </w:r>
      <w:r>
        <w:rPr/>
        <w:t>пребывания</w:t>
      </w:r>
      <w:r>
        <w:rPr>
          <w:spacing w:val="35"/>
        </w:rPr>
        <w:t> </w:t>
      </w:r>
      <w:r>
        <w:rPr/>
        <w:t>в</w:t>
      </w:r>
      <w:r>
        <w:rPr>
          <w:spacing w:val="36"/>
        </w:rPr>
        <w:t> </w:t>
      </w:r>
      <w:r>
        <w:rPr/>
        <w:t>отделении</w:t>
      </w:r>
      <w:r>
        <w:rPr>
          <w:spacing w:val="35"/>
        </w:rPr>
        <w:t> </w:t>
      </w:r>
      <w:r>
        <w:rPr/>
        <w:t>патологии</w:t>
      </w:r>
      <w:r>
        <w:rPr>
          <w:spacing w:val="33"/>
        </w:rPr>
        <w:t> </w:t>
      </w:r>
      <w:r>
        <w:rPr/>
        <w:t>беременности в течение 6 и более дней с последующим родоразрешением;</w:t>
      </w:r>
    </w:p>
    <w:p>
      <w:pPr>
        <w:pStyle w:val="BodyText"/>
        <w:spacing w:line="268" w:lineRule="auto"/>
        <w:ind w:left="158" w:right="157" w:firstLine="707"/>
        <w:jc w:val="both"/>
      </w:pPr>
      <w:r>
        <w:rPr/>
        <w:t>в)</w:t>
      </w:r>
      <w:r>
        <w:rPr>
          <w:spacing w:val="-3"/>
        </w:rPr>
        <w:t> </w:t>
      </w:r>
      <w:r>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BodyText"/>
        <w:spacing w:line="268" w:lineRule="auto"/>
        <w:ind w:left="158" w:right="157" w:firstLine="707"/>
        <w:jc w:val="both"/>
      </w:pPr>
      <w:r>
        <w:rPr/>
        <w:t>г)</w:t>
      </w:r>
      <w:r>
        <w:rPr>
          <w:spacing w:val="-3"/>
        </w:rPr>
        <w:t> </w:t>
      </w:r>
      <w:r>
        <w:rPr/>
        <w:t>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w:t>
      </w:r>
      <w:r>
        <w:rPr>
          <w:spacing w:val="-2"/>
        </w:rPr>
        <w:t>госпитализации;</w:t>
      </w:r>
    </w:p>
    <w:p>
      <w:pPr>
        <w:pStyle w:val="BodyText"/>
        <w:spacing w:line="320" w:lineRule="exact" w:after="39"/>
        <w:ind w:left="866"/>
        <w:jc w:val="both"/>
      </w:pPr>
      <w:r>
        <w:rPr/>
        <w:t>д)</w:t>
      </w:r>
      <w:r>
        <w:rPr>
          <w:spacing w:val="-2"/>
        </w:rPr>
        <w:t> </w:t>
      </w:r>
      <w:r>
        <w:rPr/>
        <w:t>этапное</w:t>
      </w:r>
      <w:r>
        <w:rPr>
          <w:spacing w:val="52"/>
          <w:w w:val="150"/>
        </w:rPr>
        <w:t>   </w:t>
      </w:r>
      <w:r>
        <w:rPr/>
        <w:t>хирургическое</w:t>
      </w:r>
      <w:r>
        <w:rPr>
          <w:spacing w:val="53"/>
          <w:w w:val="150"/>
        </w:rPr>
        <w:t>   </w:t>
      </w:r>
      <w:r>
        <w:rPr/>
        <w:t>лечение</w:t>
      </w:r>
      <w:r>
        <w:rPr>
          <w:spacing w:val="52"/>
          <w:w w:val="150"/>
        </w:rPr>
        <w:t>   </w:t>
      </w:r>
      <w:r>
        <w:rPr/>
        <w:t>при</w:t>
      </w:r>
      <w:r>
        <w:rPr>
          <w:spacing w:val="53"/>
          <w:w w:val="150"/>
        </w:rPr>
        <w:t>   </w:t>
      </w:r>
      <w:r>
        <w:rPr>
          <w:spacing w:val="-2"/>
        </w:rPr>
        <w:t>злокачественных</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2"/>
        <w:gridCol w:w="3761"/>
        <w:gridCol w:w="1327"/>
        <w:gridCol w:w="1475"/>
      </w:tblGrid>
      <w:tr>
        <w:trPr>
          <w:trHeight w:val="335" w:hRule="atLeast"/>
        </w:trPr>
        <w:tc>
          <w:tcPr>
            <w:tcW w:w="2602" w:type="dxa"/>
          </w:tcPr>
          <w:p>
            <w:pPr>
              <w:pStyle w:val="TableParagraph"/>
              <w:spacing w:line="311" w:lineRule="exact"/>
              <w:ind w:left="50"/>
              <w:rPr>
                <w:sz w:val="28"/>
              </w:rPr>
            </w:pPr>
            <w:r>
              <w:rPr>
                <w:spacing w:val="-2"/>
                <w:sz w:val="28"/>
              </w:rPr>
              <w:t>новообразованиях,</w:t>
            </w:r>
          </w:p>
        </w:tc>
        <w:tc>
          <w:tcPr>
            <w:tcW w:w="3761" w:type="dxa"/>
          </w:tcPr>
          <w:p>
            <w:pPr>
              <w:pStyle w:val="TableParagraph"/>
              <w:tabs>
                <w:tab w:pos="933" w:val="left" w:leader="none"/>
              </w:tabs>
              <w:spacing w:line="311" w:lineRule="exact"/>
              <w:ind w:left="178"/>
              <w:rPr>
                <w:sz w:val="28"/>
              </w:rPr>
            </w:pPr>
            <w:r>
              <w:rPr>
                <w:spacing w:val="-5"/>
                <w:sz w:val="28"/>
              </w:rPr>
              <w:t>не</w:t>
            </w:r>
            <w:r>
              <w:rPr>
                <w:sz w:val="28"/>
              </w:rPr>
              <w:tab/>
            </w:r>
            <w:r>
              <w:rPr>
                <w:spacing w:val="-2"/>
                <w:sz w:val="28"/>
              </w:rPr>
              <w:t>предусматривающих</w:t>
            </w:r>
          </w:p>
        </w:tc>
        <w:tc>
          <w:tcPr>
            <w:tcW w:w="1327" w:type="dxa"/>
          </w:tcPr>
          <w:p>
            <w:pPr>
              <w:pStyle w:val="TableParagraph"/>
              <w:spacing w:line="311" w:lineRule="exact"/>
              <w:ind w:left="144" w:right="136"/>
              <w:jc w:val="center"/>
              <w:rPr>
                <w:sz w:val="28"/>
              </w:rPr>
            </w:pPr>
            <w:r>
              <w:rPr>
                <w:spacing w:val="-2"/>
                <w:sz w:val="28"/>
              </w:rPr>
              <w:t>выписку</w:t>
            </w:r>
          </w:p>
        </w:tc>
        <w:tc>
          <w:tcPr>
            <w:tcW w:w="1475" w:type="dxa"/>
          </w:tcPr>
          <w:p>
            <w:pPr>
              <w:pStyle w:val="TableParagraph"/>
              <w:spacing w:line="311" w:lineRule="exact"/>
              <w:ind w:right="46"/>
              <w:jc w:val="right"/>
              <w:rPr>
                <w:sz w:val="28"/>
              </w:rPr>
            </w:pPr>
            <w:r>
              <w:rPr>
                <w:spacing w:val="-2"/>
                <w:sz w:val="28"/>
              </w:rPr>
              <w:t>пациента</w:t>
            </w:r>
          </w:p>
        </w:tc>
      </w:tr>
      <w:tr>
        <w:trPr>
          <w:trHeight w:val="360" w:hRule="atLeast"/>
        </w:trPr>
        <w:tc>
          <w:tcPr>
            <w:tcW w:w="2602" w:type="dxa"/>
          </w:tcPr>
          <w:p>
            <w:pPr>
              <w:pStyle w:val="TableParagraph"/>
              <w:spacing w:before="13"/>
              <w:ind w:left="50"/>
              <w:rPr>
                <w:sz w:val="28"/>
              </w:rPr>
            </w:pPr>
            <w:r>
              <w:rPr>
                <w:sz w:val="28"/>
              </w:rPr>
              <w:t>из</w:t>
            </w:r>
            <w:r>
              <w:rPr>
                <w:spacing w:val="-1"/>
                <w:sz w:val="28"/>
              </w:rPr>
              <w:t> </w:t>
            </w:r>
            <w:r>
              <w:rPr>
                <w:spacing w:val="-2"/>
                <w:sz w:val="28"/>
              </w:rPr>
              <w:t>стационара;</w:t>
            </w:r>
          </w:p>
        </w:tc>
        <w:tc>
          <w:tcPr>
            <w:tcW w:w="3761" w:type="dxa"/>
          </w:tcPr>
          <w:p>
            <w:pPr>
              <w:pStyle w:val="TableParagraph"/>
              <w:rPr>
                <w:sz w:val="26"/>
              </w:rPr>
            </w:pPr>
          </w:p>
        </w:tc>
        <w:tc>
          <w:tcPr>
            <w:tcW w:w="1327" w:type="dxa"/>
          </w:tcPr>
          <w:p>
            <w:pPr>
              <w:pStyle w:val="TableParagraph"/>
              <w:rPr>
                <w:sz w:val="26"/>
              </w:rPr>
            </w:pPr>
          </w:p>
        </w:tc>
        <w:tc>
          <w:tcPr>
            <w:tcW w:w="1475" w:type="dxa"/>
          </w:tcPr>
          <w:p>
            <w:pPr>
              <w:pStyle w:val="TableParagraph"/>
              <w:rPr>
                <w:sz w:val="26"/>
              </w:rPr>
            </w:pPr>
          </w:p>
        </w:tc>
      </w:tr>
      <w:tr>
        <w:trPr>
          <w:trHeight w:val="335" w:hRule="atLeast"/>
        </w:trPr>
        <w:tc>
          <w:tcPr>
            <w:tcW w:w="2602" w:type="dxa"/>
          </w:tcPr>
          <w:p>
            <w:pPr>
              <w:pStyle w:val="TableParagraph"/>
              <w:spacing w:line="302" w:lineRule="exact" w:before="13"/>
              <w:ind w:left="757"/>
              <w:rPr>
                <w:sz w:val="28"/>
              </w:rPr>
            </w:pPr>
            <w:r>
              <w:rPr>
                <w:sz w:val="28"/>
              </w:rPr>
              <w:t>е)</w:t>
            </w:r>
            <w:r>
              <w:rPr>
                <w:spacing w:val="-1"/>
                <w:sz w:val="28"/>
              </w:rPr>
              <w:t> </w:t>
            </w:r>
            <w:r>
              <w:rPr>
                <w:spacing w:val="-2"/>
                <w:sz w:val="28"/>
              </w:rPr>
              <w:t>проведение</w:t>
            </w:r>
          </w:p>
        </w:tc>
        <w:tc>
          <w:tcPr>
            <w:tcW w:w="3761" w:type="dxa"/>
          </w:tcPr>
          <w:p>
            <w:pPr>
              <w:pStyle w:val="TableParagraph"/>
              <w:tabs>
                <w:tab w:pos="2310" w:val="left" w:leader="none"/>
              </w:tabs>
              <w:spacing w:line="302" w:lineRule="exact" w:before="13"/>
              <w:ind w:left="417"/>
              <w:rPr>
                <w:sz w:val="28"/>
              </w:rPr>
            </w:pPr>
            <w:r>
              <w:rPr>
                <w:spacing w:val="-2"/>
                <w:sz w:val="28"/>
              </w:rPr>
              <w:t>реинфузии</w:t>
            </w:r>
            <w:r>
              <w:rPr>
                <w:sz w:val="28"/>
              </w:rPr>
              <w:tab/>
            </w:r>
            <w:r>
              <w:rPr>
                <w:spacing w:val="-2"/>
                <w:sz w:val="28"/>
              </w:rPr>
              <w:t>аутокрови,</w:t>
            </w:r>
          </w:p>
        </w:tc>
        <w:tc>
          <w:tcPr>
            <w:tcW w:w="1327" w:type="dxa"/>
          </w:tcPr>
          <w:p>
            <w:pPr>
              <w:pStyle w:val="TableParagraph"/>
              <w:spacing w:line="302" w:lineRule="exact" w:before="13"/>
              <w:ind w:left="134" w:right="136"/>
              <w:jc w:val="center"/>
              <w:rPr>
                <w:sz w:val="28"/>
              </w:rPr>
            </w:pPr>
            <w:r>
              <w:rPr>
                <w:spacing w:val="-5"/>
                <w:sz w:val="28"/>
              </w:rPr>
              <w:t>или</w:t>
            </w:r>
          </w:p>
        </w:tc>
        <w:tc>
          <w:tcPr>
            <w:tcW w:w="1475" w:type="dxa"/>
          </w:tcPr>
          <w:p>
            <w:pPr>
              <w:pStyle w:val="TableParagraph"/>
              <w:spacing w:line="302" w:lineRule="exact" w:before="13"/>
              <w:ind w:right="47"/>
              <w:jc w:val="right"/>
              <w:rPr>
                <w:sz w:val="28"/>
              </w:rPr>
            </w:pPr>
            <w:r>
              <w:rPr>
                <w:spacing w:val="-2"/>
                <w:sz w:val="28"/>
              </w:rPr>
              <w:t>баллонной</w:t>
            </w:r>
          </w:p>
        </w:tc>
      </w:tr>
    </w:tbl>
    <w:p>
      <w:pPr>
        <w:pStyle w:val="BodyText"/>
        <w:spacing w:line="268" w:lineRule="auto" w:before="39"/>
        <w:ind w:left="158" w:right="159"/>
        <w:jc w:val="both"/>
      </w:pPr>
      <w:r>
        <w:rPr/>
        <w:t>внутриаортальной контрпульсации, или экстракорпоральной мембранной оксигенации на фоне лечения основного заболевания;</w:t>
      </w:r>
    </w:p>
    <w:p>
      <w:pPr>
        <w:pStyle w:val="BodyText"/>
        <w:spacing w:line="268" w:lineRule="auto"/>
        <w:ind w:left="158" w:right="158" w:firstLine="707"/>
        <w:jc w:val="both"/>
      </w:pPr>
      <w:r>
        <w:rPr/>
        <w:t>ж)</w:t>
      </w:r>
      <w:r>
        <w:rPr>
          <w:spacing w:val="-3"/>
        </w:rPr>
        <w:t> </w:t>
      </w:r>
      <w:r>
        <w:rPr/>
        <w:t>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BodyText"/>
        <w:spacing w:line="320" w:lineRule="exact"/>
        <w:ind w:left="866"/>
        <w:jc w:val="both"/>
      </w:pPr>
      <w:r>
        <w:rPr/>
        <w:t>з)</w:t>
      </w:r>
      <w:r>
        <w:rPr>
          <w:spacing w:val="-6"/>
        </w:rPr>
        <w:t> </w:t>
      </w:r>
      <w:r>
        <w:rPr/>
        <w:t>проведение</w:t>
      </w:r>
      <w:r>
        <w:rPr>
          <w:spacing w:val="-7"/>
        </w:rPr>
        <w:t> </w:t>
      </w:r>
      <w:r>
        <w:rPr>
          <w:spacing w:val="-2"/>
        </w:rPr>
        <w:t>диализа;</w:t>
      </w:r>
    </w:p>
    <w:p>
      <w:pPr>
        <w:spacing w:after="0" w:line="320" w:lineRule="exact"/>
        <w:jc w:val="both"/>
        <w:sectPr>
          <w:pgSz w:w="11910" w:h="16850"/>
          <w:pgMar w:header="751" w:footer="0" w:top="1060" w:bottom="280" w:left="1260" w:right="1260"/>
        </w:sectPr>
      </w:pPr>
    </w:p>
    <w:p>
      <w:pPr>
        <w:pStyle w:val="BodyText"/>
        <w:rPr>
          <w:sz w:val="26"/>
        </w:rPr>
      </w:pPr>
    </w:p>
    <w:p>
      <w:pPr>
        <w:pStyle w:val="BodyText"/>
        <w:spacing w:line="268" w:lineRule="auto" w:before="89"/>
        <w:ind w:left="158" w:right="149" w:firstLine="707"/>
        <w:jc w:val="both"/>
      </w:pPr>
      <w:r>
        <w:rPr/>
        <w:t>и)</w:t>
      </w:r>
      <w:r>
        <w:rPr>
          <w:spacing w:val="-2"/>
        </w:rPr>
        <w:t> </w:t>
      </w:r>
      <w:r>
        <w:rPr/>
        <w:t>проведение первой иммунизации против респираторно- 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BodyText"/>
        <w:spacing w:line="268" w:lineRule="auto"/>
        <w:ind w:left="158" w:right="159" w:firstLine="707"/>
        <w:jc w:val="both"/>
      </w:pPr>
      <w:r>
        <w:rPr/>
        <w:t>к)</w:t>
      </w:r>
      <w:r>
        <w:rPr>
          <w:spacing w:val="-3"/>
        </w:rPr>
        <w:t> </w:t>
      </w:r>
      <w:r>
        <w:rPr/>
        <w:t>проведение антимикробной терапии инфекций, вызванных полирезистентными микроорганизмами.</w:t>
      </w:r>
    </w:p>
    <w:p>
      <w:pPr>
        <w:pStyle w:val="ListParagraph"/>
        <w:numPr>
          <w:ilvl w:val="0"/>
          <w:numId w:val="12"/>
        </w:numPr>
        <w:tabs>
          <w:tab w:pos="1148" w:val="left" w:leader="none"/>
        </w:tabs>
        <w:spacing w:line="249" w:lineRule="auto" w:before="0" w:after="0"/>
        <w:ind w:left="158" w:right="151" w:firstLine="707"/>
        <w:jc w:val="both"/>
        <w:rPr>
          <w:sz w:val="28"/>
        </w:rPr>
      </w:pPr>
      <w:r>
        <w:rPr>
          <w:sz w:val="28"/>
        </w:rPr>
        <w:t>Тариф на оплату j-й высокотехнологичной медицинской помощи, оказываемой</w:t>
      </w:r>
      <w:r>
        <w:rPr>
          <w:spacing w:val="64"/>
          <w:sz w:val="28"/>
        </w:rPr>
        <w:t>  </w:t>
      </w:r>
      <w:r>
        <w:rPr>
          <w:sz w:val="28"/>
        </w:rPr>
        <w:t>i-й</w:t>
      </w:r>
      <w:r>
        <w:rPr>
          <w:spacing w:val="64"/>
          <w:sz w:val="28"/>
        </w:rPr>
        <w:t>  </w:t>
      </w:r>
      <w:r>
        <w:rPr>
          <w:sz w:val="28"/>
        </w:rPr>
        <w:t>федеральной</w:t>
      </w:r>
      <w:r>
        <w:rPr>
          <w:spacing w:val="65"/>
          <w:sz w:val="28"/>
        </w:rPr>
        <w:t>  </w:t>
      </w:r>
      <w:r>
        <w:rPr>
          <w:sz w:val="28"/>
        </w:rPr>
        <w:t>медицинской</w:t>
      </w:r>
      <w:r>
        <w:rPr>
          <w:spacing w:val="64"/>
          <w:sz w:val="28"/>
        </w:rPr>
        <w:t>  </w:t>
      </w:r>
      <w:r>
        <w:rPr>
          <w:sz w:val="28"/>
        </w:rPr>
        <w:t>организацией</w:t>
      </w:r>
      <w:r>
        <w:rPr>
          <w:spacing w:val="65"/>
          <w:sz w:val="28"/>
        </w:rPr>
        <w:t>  </w:t>
      </w:r>
      <w:r>
        <w:rPr>
          <w:sz w:val="28"/>
        </w:rPr>
        <w:t>(</w:t>
      </w:r>
      <w:r>
        <w:rPr>
          <w:spacing w:val="-33"/>
          <w:sz w:val="28"/>
        </w:rPr>
        <w:t> </w:t>
      </w:r>
      <w:r>
        <w:rPr>
          <w:sz w:val="28"/>
        </w:rPr>
        <w:t>Т</w:t>
      </w:r>
      <w:r>
        <w:rPr>
          <w:position w:val="-6"/>
          <w:sz w:val="20"/>
        </w:rPr>
        <w:t>ВМП</w:t>
      </w:r>
      <w:r>
        <w:rPr>
          <w:position w:val="-11"/>
          <w:sz w:val="16"/>
        </w:rPr>
        <w:t>ij</w:t>
      </w:r>
      <w:r>
        <w:rPr>
          <w:spacing w:val="13"/>
          <w:position w:val="-11"/>
          <w:sz w:val="16"/>
        </w:rPr>
        <w:t> </w:t>
      </w:r>
      <w:r>
        <w:rPr>
          <w:sz w:val="28"/>
        </w:rPr>
        <w:t>),</w:t>
      </w:r>
    </w:p>
    <w:p>
      <w:pPr>
        <w:pStyle w:val="BodyText"/>
        <w:spacing w:before="59"/>
        <w:ind w:left="158"/>
        <w:jc w:val="both"/>
      </w:pPr>
      <w:r>
        <w:rPr/>
        <w:t>определяется</w:t>
      </w:r>
      <w:r>
        <w:rPr>
          <w:spacing w:val="-5"/>
        </w:rPr>
        <w:t> </w:t>
      </w:r>
      <w:r>
        <w:rPr/>
        <w:t>по</w:t>
      </w:r>
      <w:r>
        <w:rPr>
          <w:spacing w:val="-4"/>
        </w:rPr>
        <w:t> </w:t>
      </w:r>
      <w:r>
        <w:rPr>
          <w:spacing w:val="-2"/>
        </w:rPr>
        <w:t>формуле:</w:t>
      </w:r>
    </w:p>
    <w:p>
      <w:pPr>
        <w:pStyle w:val="BodyText"/>
        <w:rPr>
          <w:sz w:val="18"/>
        </w:rPr>
      </w:pPr>
    </w:p>
    <w:p>
      <w:pPr>
        <w:spacing w:after="0"/>
        <w:rPr>
          <w:sz w:val="18"/>
        </w:rPr>
        <w:sectPr>
          <w:pgSz w:w="11910" w:h="16850"/>
          <w:pgMar w:header="751" w:footer="0" w:top="1060" w:bottom="280" w:left="1260" w:right="1260"/>
        </w:sectPr>
      </w:pPr>
    </w:p>
    <w:p>
      <w:pPr>
        <w:spacing w:before="124"/>
        <w:ind w:left="0" w:right="0" w:firstLine="0"/>
        <w:jc w:val="right"/>
        <w:rPr>
          <w:sz w:val="16"/>
        </w:rPr>
      </w:pPr>
      <w:r>
        <w:rPr>
          <w:spacing w:val="-2"/>
          <w:w w:val="105"/>
          <w:position w:val="7"/>
          <w:sz w:val="28"/>
        </w:rPr>
        <w:t>Т</w:t>
      </w:r>
      <w:r>
        <w:rPr>
          <w:spacing w:val="-2"/>
          <w:w w:val="105"/>
          <w:sz w:val="20"/>
        </w:rPr>
        <w:t>ВМП</w:t>
      </w:r>
      <w:r>
        <w:rPr>
          <w:spacing w:val="-2"/>
          <w:w w:val="105"/>
          <w:position w:val="-4"/>
          <w:sz w:val="16"/>
        </w:rPr>
        <w:t>ij</w:t>
      </w:r>
    </w:p>
    <w:p>
      <w:pPr>
        <w:spacing w:before="103"/>
        <w:ind w:left="85" w:right="0" w:firstLine="0"/>
        <w:jc w:val="left"/>
        <w:rPr>
          <w:sz w:val="28"/>
        </w:rPr>
      </w:pPr>
      <w:r>
        <w:rPr/>
        <w:br w:type="column"/>
      </w:r>
      <w:r>
        <w:rPr>
          <w:rFonts w:ascii="Symbol" w:hAnsi="Symbol"/>
          <w:sz w:val="28"/>
        </w:rPr>
        <w:t></w:t>
      </w:r>
      <w:r>
        <w:rPr>
          <w:spacing w:val="-12"/>
          <w:sz w:val="28"/>
        </w:rPr>
        <w:t> </w:t>
      </w:r>
      <w:r>
        <w:rPr>
          <w:sz w:val="28"/>
        </w:rPr>
        <w:t>НФЗ</w:t>
      </w:r>
      <w:r>
        <w:rPr>
          <w:spacing w:val="-38"/>
          <w:sz w:val="28"/>
        </w:rPr>
        <w:t> </w:t>
      </w:r>
      <w:r>
        <w:rPr>
          <w:position w:val="-6"/>
          <w:sz w:val="20"/>
        </w:rPr>
        <w:t>ВМПj</w:t>
      </w:r>
      <w:r>
        <w:rPr>
          <w:spacing w:val="9"/>
          <w:position w:val="-6"/>
          <w:sz w:val="20"/>
        </w:rPr>
        <w:t> </w:t>
      </w:r>
      <w:r>
        <w:rPr>
          <w:rFonts w:ascii="Symbol" w:hAnsi="Symbol"/>
          <w:sz w:val="28"/>
        </w:rPr>
        <w:t></w:t>
      </w:r>
      <w:r>
        <w:rPr>
          <w:spacing w:val="-25"/>
          <w:sz w:val="28"/>
        </w:rPr>
        <w:t> </w:t>
      </w:r>
      <w:r>
        <w:rPr>
          <w:sz w:val="28"/>
        </w:rPr>
        <w:t>((1</w:t>
      </w:r>
      <w:r>
        <w:rPr>
          <w:spacing w:val="-39"/>
          <w:sz w:val="28"/>
        </w:rPr>
        <w:t> </w:t>
      </w:r>
      <w:r>
        <w:rPr>
          <w:rFonts w:ascii="Symbol" w:hAnsi="Symbol"/>
          <w:sz w:val="28"/>
        </w:rPr>
        <w:t></w:t>
      </w:r>
      <w:r>
        <w:rPr>
          <w:spacing w:val="-12"/>
          <w:sz w:val="28"/>
        </w:rPr>
        <w:t> </w:t>
      </w:r>
      <w:r>
        <w:rPr>
          <w:sz w:val="28"/>
        </w:rPr>
        <w:t>Д</w:t>
      </w:r>
      <w:r>
        <w:rPr>
          <w:position w:val="-6"/>
          <w:sz w:val="20"/>
        </w:rPr>
        <w:t>ЗП</w:t>
      </w:r>
      <w:r>
        <w:rPr>
          <w:spacing w:val="-15"/>
          <w:position w:val="-6"/>
          <w:sz w:val="20"/>
        </w:rPr>
        <w:t> </w:t>
      </w:r>
      <w:r>
        <w:rPr>
          <w:position w:val="-11"/>
          <w:sz w:val="16"/>
        </w:rPr>
        <w:t>j</w:t>
      </w:r>
      <w:r>
        <w:rPr>
          <w:spacing w:val="19"/>
          <w:position w:val="-11"/>
          <w:sz w:val="16"/>
        </w:rPr>
        <w:t> </w:t>
      </w:r>
      <w:r>
        <w:rPr>
          <w:sz w:val="28"/>
        </w:rPr>
        <w:t>)</w:t>
      </w:r>
      <w:r>
        <w:rPr>
          <w:spacing w:val="-9"/>
          <w:sz w:val="28"/>
        </w:rPr>
        <w:t> </w:t>
      </w:r>
      <w:r>
        <w:rPr>
          <w:rFonts w:ascii="Symbol" w:hAnsi="Symbol"/>
          <w:sz w:val="28"/>
        </w:rPr>
        <w:t></w:t>
      </w:r>
      <w:r>
        <w:rPr>
          <w:spacing w:val="-7"/>
          <w:sz w:val="28"/>
        </w:rPr>
        <w:t> </w:t>
      </w:r>
      <w:r>
        <w:rPr>
          <w:sz w:val="28"/>
        </w:rPr>
        <w:t>Д</w:t>
      </w:r>
      <w:r>
        <w:rPr>
          <w:position w:val="-6"/>
          <w:sz w:val="20"/>
        </w:rPr>
        <w:t>ЗП</w:t>
      </w:r>
      <w:r>
        <w:rPr>
          <w:spacing w:val="-16"/>
          <w:position w:val="-6"/>
          <w:sz w:val="20"/>
        </w:rPr>
        <w:t> </w:t>
      </w:r>
      <w:r>
        <w:rPr>
          <w:position w:val="-11"/>
          <w:sz w:val="16"/>
        </w:rPr>
        <w:t>j</w:t>
      </w:r>
      <w:r>
        <w:rPr>
          <w:spacing w:val="64"/>
          <w:position w:val="-11"/>
          <w:sz w:val="16"/>
        </w:rPr>
        <w:t> </w:t>
      </w:r>
      <w:r>
        <w:rPr>
          <w:rFonts w:ascii="Symbol" w:hAnsi="Symbol"/>
          <w:sz w:val="28"/>
        </w:rPr>
        <w:t></w:t>
      </w:r>
      <w:r>
        <w:rPr>
          <w:spacing w:val="-21"/>
          <w:sz w:val="28"/>
        </w:rPr>
        <w:t> </w:t>
      </w:r>
      <w:r>
        <w:rPr>
          <w:sz w:val="28"/>
        </w:rPr>
        <w:t>КД</w:t>
      </w:r>
      <w:r>
        <w:rPr>
          <w:position w:val="-6"/>
          <w:sz w:val="20"/>
        </w:rPr>
        <w:t>i</w:t>
      </w:r>
      <w:r>
        <w:rPr>
          <w:spacing w:val="-13"/>
          <w:position w:val="-6"/>
          <w:sz w:val="20"/>
        </w:rPr>
        <w:t> </w:t>
      </w:r>
      <w:r>
        <w:rPr>
          <w:spacing w:val="-5"/>
          <w:sz w:val="28"/>
        </w:rPr>
        <w:t>),</w:t>
      </w:r>
    </w:p>
    <w:p>
      <w:pPr>
        <w:spacing w:after="0"/>
        <w:jc w:val="left"/>
        <w:rPr>
          <w:sz w:val="28"/>
        </w:rPr>
        <w:sectPr>
          <w:type w:val="continuous"/>
          <w:pgSz w:w="11910" w:h="16850"/>
          <w:pgMar w:header="751" w:footer="0" w:top="1080" w:bottom="280" w:left="1260" w:right="1260"/>
          <w:cols w:num="2" w:equalWidth="0">
            <w:col w:w="2714" w:space="40"/>
            <w:col w:w="6636"/>
          </w:cols>
        </w:sectPr>
      </w:pPr>
    </w:p>
    <w:p>
      <w:pPr>
        <w:pStyle w:val="BodyText"/>
        <w:spacing w:before="1"/>
        <w:rPr>
          <w:sz w:val="27"/>
        </w:rPr>
      </w:pPr>
    </w:p>
    <w:p>
      <w:pPr>
        <w:pStyle w:val="BodyText"/>
        <w:spacing w:before="89"/>
        <w:ind w:left="866"/>
      </w:pPr>
      <w:r>
        <w:rPr>
          <w:spacing w:val="-4"/>
        </w:rPr>
        <w:t>где:</w:t>
      </w:r>
    </w:p>
    <w:p>
      <w:pPr>
        <w:pStyle w:val="BodyText"/>
        <w:spacing w:line="268" w:lineRule="auto" w:before="33"/>
        <w:ind w:left="158" w:right="153" w:firstLine="707"/>
        <w:jc w:val="both"/>
      </w:pPr>
      <w:r>
        <w:rPr/>
        <w:t>НФЗ</w:t>
      </w:r>
      <w:r>
        <w:rPr>
          <w:vertAlign w:val="subscript"/>
        </w:rPr>
        <w:t>ВМПj</w:t>
      </w:r>
      <w:r>
        <w:rPr>
          <w:vertAlign w:val="baseline"/>
        </w:rPr>
        <w:t> - норматив финансовых затрат на единицу объема предоставления j-й высокотехнологичной медицинской помощи, значения которого</w:t>
      </w:r>
      <w:r>
        <w:rPr>
          <w:spacing w:val="80"/>
          <w:vertAlign w:val="baseline"/>
        </w:rPr>
        <w:t> </w:t>
      </w:r>
      <w:r>
        <w:rPr>
          <w:vertAlign w:val="baseline"/>
        </w:rPr>
        <w:t>принимаются</w:t>
      </w:r>
      <w:r>
        <w:rPr>
          <w:spacing w:val="80"/>
          <w:vertAlign w:val="baseline"/>
        </w:rPr>
        <w:t> </w:t>
      </w:r>
      <w:r>
        <w:rPr>
          <w:vertAlign w:val="baseline"/>
        </w:rPr>
        <w:t>в</w:t>
      </w:r>
      <w:r>
        <w:rPr>
          <w:spacing w:val="80"/>
          <w:vertAlign w:val="baseline"/>
        </w:rPr>
        <w:t> </w:t>
      </w:r>
      <w:r>
        <w:rPr>
          <w:vertAlign w:val="baseline"/>
        </w:rPr>
        <w:t>соответствии</w:t>
      </w:r>
      <w:r>
        <w:rPr>
          <w:spacing w:val="80"/>
          <w:vertAlign w:val="baseline"/>
        </w:rPr>
        <w:t> </w:t>
      </w:r>
      <w:r>
        <w:rPr>
          <w:vertAlign w:val="baseline"/>
        </w:rPr>
        <w:t>с</w:t>
      </w:r>
      <w:r>
        <w:rPr>
          <w:spacing w:val="80"/>
          <w:vertAlign w:val="baseline"/>
        </w:rPr>
        <w:t> </w:t>
      </w:r>
      <w:r>
        <w:rPr>
          <w:vertAlign w:val="baseline"/>
        </w:rPr>
        <w:t>разделом</w:t>
      </w:r>
      <w:r>
        <w:rPr>
          <w:spacing w:val="80"/>
          <w:vertAlign w:val="baseline"/>
        </w:rPr>
        <w:t> </w:t>
      </w:r>
      <w:r>
        <w:rPr>
          <w:vertAlign w:val="baseline"/>
        </w:rPr>
        <w:t>I</w:t>
      </w:r>
      <w:r>
        <w:rPr>
          <w:spacing w:val="80"/>
          <w:vertAlign w:val="baseline"/>
        </w:rPr>
        <w:t> </w:t>
      </w:r>
      <w:r>
        <w:rPr>
          <w:vertAlign w:val="baseline"/>
        </w:rPr>
        <w:t>приложения</w:t>
      </w:r>
      <w:r>
        <w:rPr>
          <w:spacing w:val="80"/>
          <w:vertAlign w:val="baseline"/>
        </w:rPr>
        <w:t> </w:t>
      </w:r>
      <w:r>
        <w:rPr>
          <w:vertAlign w:val="baseline"/>
        </w:rPr>
        <w:t>№ 1</w:t>
      </w:r>
      <w:r>
        <w:rPr>
          <w:spacing w:val="40"/>
          <w:vertAlign w:val="baseline"/>
        </w:rPr>
        <w:t> </w:t>
      </w:r>
      <w:r>
        <w:rPr>
          <w:vertAlign w:val="baseline"/>
        </w:rPr>
        <w:t>к Программе;</w:t>
      </w:r>
    </w:p>
    <w:p>
      <w:pPr>
        <w:spacing w:after="0" w:line="268" w:lineRule="auto"/>
        <w:jc w:val="both"/>
        <w:sectPr>
          <w:type w:val="continuous"/>
          <w:pgSz w:w="11910" w:h="16850"/>
          <w:pgMar w:header="751" w:footer="0" w:top="1080" w:bottom="280" w:left="1260" w:right="1260"/>
        </w:sectPr>
      </w:pPr>
    </w:p>
    <w:p>
      <w:pPr>
        <w:spacing w:line="387" w:lineRule="exact" w:before="0"/>
        <w:ind w:left="902" w:right="0" w:firstLine="0"/>
        <w:jc w:val="left"/>
        <w:rPr>
          <w:sz w:val="16"/>
        </w:rPr>
      </w:pPr>
      <w:r>
        <w:rPr>
          <w:position w:val="7"/>
          <w:sz w:val="28"/>
        </w:rPr>
        <w:t>Д</w:t>
      </w:r>
      <w:r>
        <w:rPr>
          <w:sz w:val="20"/>
        </w:rPr>
        <w:t>ЗП</w:t>
      </w:r>
      <w:r>
        <w:rPr>
          <w:spacing w:val="-9"/>
          <w:sz w:val="20"/>
        </w:rPr>
        <w:t> </w:t>
      </w:r>
      <w:r>
        <w:rPr>
          <w:spacing w:val="-10"/>
          <w:position w:val="-4"/>
          <w:sz w:val="16"/>
        </w:rPr>
        <w:t>j</w:t>
      </w:r>
    </w:p>
    <w:p>
      <w:pPr>
        <w:pStyle w:val="BodyText"/>
        <w:spacing w:line="296" w:lineRule="exact"/>
        <w:ind w:left="172"/>
      </w:pPr>
      <w:r>
        <w:rPr/>
        <w:br w:type="column"/>
      </w:r>
      <w:r>
        <w:rPr/>
        <w:t>-</w:t>
      </w:r>
      <w:r>
        <w:rPr>
          <w:spacing w:val="48"/>
          <w:w w:val="150"/>
        </w:rPr>
        <w:t> </w:t>
      </w:r>
      <w:r>
        <w:rPr/>
        <w:t>доля</w:t>
      </w:r>
      <w:r>
        <w:rPr>
          <w:spacing w:val="50"/>
          <w:w w:val="150"/>
        </w:rPr>
        <w:t> </w:t>
      </w:r>
      <w:r>
        <w:rPr/>
        <w:t>заработной</w:t>
      </w:r>
      <w:r>
        <w:rPr>
          <w:spacing w:val="50"/>
          <w:w w:val="150"/>
        </w:rPr>
        <w:t> </w:t>
      </w:r>
      <w:r>
        <w:rPr/>
        <w:t>платы</w:t>
      </w:r>
      <w:r>
        <w:rPr>
          <w:spacing w:val="50"/>
          <w:w w:val="150"/>
        </w:rPr>
        <w:t> </w:t>
      </w:r>
      <w:r>
        <w:rPr/>
        <w:t>в</w:t>
      </w:r>
      <w:r>
        <w:rPr>
          <w:spacing w:val="53"/>
          <w:w w:val="150"/>
        </w:rPr>
        <w:t> </w:t>
      </w:r>
      <w:r>
        <w:rPr/>
        <w:t>составе</w:t>
      </w:r>
      <w:r>
        <w:rPr>
          <w:spacing w:val="47"/>
          <w:w w:val="150"/>
        </w:rPr>
        <w:t> </w:t>
      </w:r>
      <w:r>
        <w:rPr/>
        <w:t>норматива</w:t>
      </w:r>
      <w:r>
        <w:rPr>
          <w:spacing w:val="50"/>
          <w:w w:val="150"/>
        </w:rPr>
        <w:t> </w:t>
      </w:r>
      <w:r>
        <w:rPr>
          <w:spacing w:val="-2"/>
        </w:rPr>
        <w:t>финансовых</w:t>
      </w:r>
    </w:p>
    <w:p>
      <w:pPr>
        <w:spacing w:after="0" w:line="296" w:lineRule="exact"/>
        <w:sectPr>
          <w:type w:val="continuous"/>
          <w:pgSz w:w="11910" w:h="16850"/>
          <w:pgMar w:header="751" w:footer="0" w:top="1080" w:bottom="280" w:left="1260" w:right="1260"/>
          <w:cols w:num="2" w:equalWidth="0">
            <w:col w:w="1427" w:space="40"/>
            <w:col w:w="7923"/>
          </w:cols>
        </w:sectPr>
      </w:pPr>
    </w:p>
    <w:p>
      <w:pPr>
        <w:pStyle w:val="BodyText"/>
        <w:spacing w:line="268" w:lineRule="auto" w:before="79"/>
        <w:ind w:left="158" w:right="150"/>
        <w:jc w:val="both"/>
      </w:pPr>
      <w:r>
        <w:rPr/>
        <w:t>затрат на оказание j-й высокотехнологичной медицинской помощи, значение</w:t>
      </w:r>
      <w:r>
        <w:rPr>
          <w:spacing w:val="80"/>
          <w:w w:val="150"/>
        </w:rPr>
        <w:t> </w:t>
      </w:r>
      <w:r>
        <w:rPr/>
        <w:t>которой</w:t>
      </w:r>
      <w:r>
        <w:rPr>
          <w:spacing w:val="80"/>
          <w:w w:val="150"/>
        </w:rPr>
        <w:t> </w:t>
      </w:r>
      <w:r>
        <w:rPr/>
        <w:t>принимается</w:t>
      </w:r>
      <w:r>
        <w:rPr>
          <w:spacing w:val="80"/>
          <w:w w:val="150"/>
        </w:rPr>
        <w:t> </w:t>
      </w:r>
      <w:r>
        <w:rPr/>
        <w:t>в</w:t>
      </w:r>
      <w:r>
        <w:rPr>
          <w:spacing w:val="80"/>
          <w:w w:val="150"/>
        </w:rPr>
        <w:t> </w:t>
      </w:r>
      <w:r>
        <w:rPr/>
        <w:t>соответствии</w:t>
      </w:r>
      <w:r>
        <w:rPr>
          <w:spacing w:val="80"/>
          <w:w w:val="150"/>
        </w:rPr>
        <w:t> </w:t>
      </w:r>
      <w:r>
        <w:rPr/>
        <w:t>с</w:t>
      </w:r>
      <w:r>
        <w:rPr>
          <w:spacing w:val="80"/>
          <w:w w:val="150"/>
        </w:rPr>
        <w:t> </w:t>
      </w:r>
      <w:hyperlink r:id="rId536">
        <w:r>
          <w:rPr/>
          <w:t>приложением</w:t>
        </w:r>
        <w:r>
          <w:rPr>
            <w:spacing w:val="80"/>
            <w:w w:val="150"/>
          </w:rPr>
          <w:t> </w:t>
        </w:r>
        <w:r>
          <w:rPr/>
          <w:t>№ 1</w:t>
        </w:r>
      </w:hyperlink>
      <w:r>
        <w:rPr>
          <w:spacing w:val="80"/>
          <w:w w:val="150"/>
        </w:rPr>
        <w:t> </w:t>
      </w:r>
      <w:r>
        <w:rPr/>
        <w:t>к Программе.</w:t>
      </w:r>
    </w:p>
    <w:p>
      <w:pPr>
        <w:pStyle w:val="BodyText"/>
        <w:rPr>
          <w:sz w:val="20"/>
        </w:rPr>
      </w:pPr>
    </w:p>
    <w:p>
      <w:pPr>
        <w:pStyle w:val="BodyText"/>
        <w:rPr>
          <w:sz w:val="20"/>
        </w:rPr>
      </w:pPr>
    </w:p>
    <w:p>
      <w:pPr>
        <w:pStyle w:val="BodyText"/>
        <w:rPr>
          <w:sz w:val="20"/>
        </w:rPr>
      </w:pPr>
    </w:p>
    <w:p>
      <w:pPr>
        <w:pStyle w:val="BodyText"/>
        <w:spacing w:before="1"/>
        <w:rPr>
          <w:sz w:val="18"/>
        </w:rPr>
      </w:pPr>
      <w:r>
        <w:rPr/>
        <w:pict>
          <v:shape style="position:absolute;margin-left:252.289993pt;margin-top:11.599289pt;width:91pt;height:.1pt;mso-position-horizontal-relative:page;mso-position-vertical-relative:paragraph;z-index:-15722496;mso-wrap-distance-left:0;mso-wrap-distance-right:0" id="docshape17" coordorigin="5046,232" coordsize="1820,0" path="m5046,232l6865,232e" filled="false" stroked="true" strokeweight=".5616pt" strokecolor="#000000">
            <v:path arrowok="t"/>
            <v:stroke dashstyle="solid"/>
            <w10:wrap type="topAndBottom"/>
          </v:shape>
        </w:pict>
      </w:r>
    </w:p>
    <w:p>
      <w:pPr>
        <w:spacing w:after="0"/>
        <w:rPr>
          <w:sz w:val="18"/>
        </w:rPr>
        <w:sectPr>
          <w:type w:val="continuous"/>
          <w:pgSz w:w="11910" w:h="16850"/>
          <w:pgMar w:header="751" w:footer="0" w:top="1080" w:bottom="280" w:left="1260" w:right="1260"/>
        </w:sectPr>
      </w:pPr>
    </w:p>
    <w:p>
      <w:pPr>
        <w:pStyle w:val="BodyText"/>
        <w:spacing w:before="59"/>
        <w:ind w:left="11058" w:right="1"/>
        <w:jc w:val="center"/>
      </w:pPr>
      <w:r>
        <w:rPr/>
        <w:t>ПРИЛОЖЕНИЕ</w:t>
      </w:r>
      <w:r>
        <w:rPr>
          <w:spacing w:val="-6"/>
        </w:rPr>
        <w:t> </w:t>
      </w:r>
      <w:r>
        <w:rPr/>
        <w:t>№</w:t>
      </w:r>
      <w:r>
        <w:rPr>
          <w:spacing w:val="-6"/>
        </w:rPr>
        <w:t> </w:t>
      </w:r>
      <w:r>
        <w:rPr>
          <w:spacing w:val="-10"/>
        </w:rPr>
        <w:t>4</w:t>
      </w:r>
    </w:p>
    <w:p>
      <w:pPr>
        <w:pStyle w:val="BodyText"/>
        <w:spacing w:before="3"/>
        <w:ind w:left="11436" w:right="380" w:hanging="1"/>
        <w:jc w:val="center"/>
      </w:pPr>
      <w:r>
        <w:rPr/>
        <w:t>к Программе государственных гарантий бесплатного оказания гражданам</w:t>
      </w:r>
      <w:r>
        <w:rPr>
          <w:spacing w:val="-9"/>
        </w:rPr>
        <w:t> </w:t>
      </w:r>
      <w:r>
        <w:rPr/>
        <w:t>медицинской</w:t>
      </w:r>
      <w:r>
        <w:rPr>
          <w:spacing w:val="-9"/>
        </w:rPr>
        <w:t> </w:t>
      </w:r>
      <w:r>
        <w:rPr/>
        <w:t>помощи</w:t>
      </w:r>
      <w:r>
        <w:rPr>
          <w:spacing w:val="-11"/>
        </w:rPr>
        <w:t> </w:t>
      </w:r>
      <w:r>
        <w:rPr/>
        <w:t>на 2022 год и на плановый период</w:t>
      </w:r>
      <w:r>
        <w:rPr>
          <w:spacing w:val="40"/>
        </w:rPr>
        <w:t> </w:t>
      </w:r>
      <w:r>
        <w:rPr/>
        <w:t>2023 и 2024 годов</w:t>
      </w:r>
    </w:p>
    <w:p>
      <w:pPr>
        <w:pStyle w:val="BodyText"/>
        <w:rPr>
          <w:sz w:val="30"/>
        </w:rPr>
      </w:pPr>
    </w:p>
    <w:p>
      <w:pPr>
        <w:pStyle w:val="BodyText"/>
        <w:rPr>
          <w:sz w:val="30"/>
        </w:rPr>
      </w:pPr>
    </w:p>
    <w:p>
      <w:pPr>
        <w:pStyle w:val="BodyText"/>
        <w:spacing w:before="2"/>
        <w:rPr>
          <w:sz w:val="34"/>
        </w:rPr>
      </w:pPr>
    </w:p>
    <w:p>
      <w:pPr>
        <w:pStyle w:val="Heading1"/>
        <w:ind w:left="284" w:right="285"/>
      </w:pPr>
      <w:r>
        <w:rPr/>
        <w:t>П Е</w:t>
      </w:r>
      <w:r>
        <w:rPr>
          <w:spacing w:val="-2"/>
        </w:rPr>
        <w:t> </w:t>
      </w:r>
      <w:r>
        <w:rPr/>
        <w:t>Р</w:t>
      </w:r>
      <w:r>
        <w:rPr>
          <w:spacing w:val="-1"/>
        </w:rPr>
        <w:t> </w:t>
      </w:r>
      <w:r>
        <w:rPr/>
        <w:t>Е</w:t>
      </w:r>
      <w:r>
        <w:rPr>
          <w:spacing w:val="-2"/>
        </w:rPr>
        <w:t> </w:t>
      </w:r>
      <w:r>
        <w:rPr/>
        <w:t>Ч Е</w:t>
      </w:r>
      <w:r>
        <w:rPr>
          <w:spacing w:val="-1"/>
        </w:rPr>
        <w:t> </w:t>
      </w:r>
      <w:r>
        <w:rPr/>
        <w:t>Н </w:t>
      </w:r>
      <w:r>
        <w:rPr>
          <w:spacing w:val="-10"/>
        </w:rPr>
        <w:t>Ь</w:t>
      </w:r>
    </w:p>
    <w:p>
      <w:pPr>
        <w:spacing w:before="122"/>
        <w:ind w:left="2581" w:right="2581" w:firstLine="0"/>
        <w:jc w:val="center"/>
        <w:rPr>
          <w:b/>
          <w:sz w:val="28"/>
        </w:rPr>
      </w:pPr>
      <w:r>
        <w:rPr>
          <w:b/>
          <w:sz w:val="28"/>
        </w:rPr>
        <w:t>групп</w:t>
      </w:r>
      <w:r>
        <w:rPr>
          <w:b/>
          <w:spacing w:val="-4"/>
          <w:sz w:val="28"/>
        </w:rPr>
        <w:t> </w:t>
      </w:r>
      <w:r>
        <w:rPr>
          <w:b/>
          <w:sz w:val="28"/>
        </w:rPr>
        <w:t>заболеваний,</w:t>
      </w:r>
      <w:r>
        <w:rPr>
          <w:b/>
          <w:spacing w:val="-4"/>
          <w:sz w:val="28"/>
        </w:rPr>
        <w:t> </w:t>
      </w:r>
      <w:r>
        <w:rPr>
          <w:b/>
          <w:sz w:val="28"/>
        </w:rPr>
        <w:t>состояний</w:t>
      </w:r>
      <w:r>
        <w:rPr>
          <w:b/>
          <w:spacing w:val="-4"/>
          <w:sz w:val="28"/>
        </w:rPr>
        <w:t> </w:t>
      </w:r>
      <w:r>
        <w:rPr>
          <w:b/>
          <w:sz w:val="28"/>
        </w:rPr>
        <w:t>для</w:t>
      </w:r>
      <w:r>
        <w:rPr>
          <w:b/>
          <w:spacing w:val="-5"/>
          <w:sz w:val="28"/>
        </w:rPr>
        <w:t> </w:t>
      </w:r>
      <w:r>
        <w:rPr>
          <w:b/>
          <w:sz w:val="28"/>
        </w:rPr>
        <w:t>оплаты</w:t>
      </w:r>
      <w:r>
        <w:rPr>
          <w:b/>
          <w:spacing w:val="-4"/>
          <w:sz w:val="28"/>
        </w:rPr>
        <w:t> </w:t>
      </w:r>
      <w:r>
        <w:rPr>
          <w:b/>
          <w:sz w:val="28"/>
        </w:rPr>
        <w:t>специализированной</w:t>
      </w:r>
      <w:r>
        <w:rPr>
          <w:b/>
          <w:spacing w:val="-4"/>
          <w:sz w:val="28"/>
        </w:rPr>
        <w:t> </w:t>
      </w:r>
      <w:r>
        <w:rPr>
          <w:b/>
          <w:sz w:val="28"/>
        </w:rPr>
        <w:t>медицинской</w:t>
      </w:r>
      <w:r>
        <w:rPr>
          <w:b/>
          <w:spacing w:val="-4"/>
          <w:sz w:val="28"/>
        </w:rPr>
        <w:t> </w:t>
      </w:r>
      <w:r>
        <w:rPr>
          <w:b/>
          <w:sz w:val="28"/>
        </w:rPr>
        <w:t>помощи (за исключением высокотехнологичной медицинской помощи)</w:t>
      </w:r>
    </w:p>
    <w:p>
      <w:pPr>
        <w:spacing w:line="321" w:lineRule="exact" w:before="0"/>
        <w:ind w:left="283" w:right="285" w:firstLine="0"/>
        <w:jc w:val="center"/>
        <w:rPr>
          <w:b/>
          <w:sz w:val="28"/>
        </w:rPr>
      </w:pPr>
      <w:r>
        <w:rPr>
          <w:b/>
          <w:sz w:val="28"/>
        </w:rPr>
        <w:t>в</w:t>
      </w:r>
      <w:r>
        <w:rPr>
          <w:b/>
          <w:spacing w:val="-7"/>
          <w:sz w:val="28"/>
        </w:rPr>
        <w:t> </w:t>
      </w:r>
      <w:r>
        <w:rPr>
          <w:b/>
          <w:sz w:val="28"/>
        </w:rPr>
        <w:t>стационарных</w:t>
      </w:r>
      <w:r>
        <w:rPr>
          <w:b/>
          <w:spacing w:val="-7"/>
          <w:sz w:val="28"/>
        </w:rPr>
        <w:t> </w:t>
      </w:r>
      <w:r>
        <w:rPr>
          <w:b/>
          <w:sz w:val="28"/>
        </w:rPr>
        <w:t>условиях</w:t>
      </w:r>
      <w:r>
        <w:rPr>
          <w:b/>
          <w:spacing w:val="-3"/>
          <w:sz w:val="28"/>
        </w:rPr>
        <w:t> </w:t>
      </w:r>
      <w:r>
        <w:rPr>
          <w:b/>
          <w:sz w:val="28"/>
        </w:rPr>
        <w:t>и</w:t>
      </w:r>
      <w:r>
        <w:rPr>
          <w:b/>
          <w:spacing w:val="-6"/>
          <w:sz w:val="28"/>
        </w:rPr>
        <w:t> </w:t>
      </w:r>
      <w:r>
        <w:rPr>
          <w:b/>
          <w:sz w:val="28"/>
        </w:rPr>
        <w:t>в</w:t>
      </w:r>
      <w:r>
        <w:rPr>
          <w:b/>
          <w:spacing w:val="-5"/>
          <w:sz w:val="28"/>
        </w:rPr>
        <w:t> </w:t>
      </w:r>
      <w:r>
        <w:rPr>
          <w:b/>
          <w:sz w:val="28"/>
        </w:rPr>
        <w:t>условиях</w:t>
      </w:r>
      <w:r>
        <w:rPr>
          <w:b/>
          <w:spacing w:val="-4"/>
          <w:sz w:val="28"/>
        </w:rPr>
        <w:t> </w:t>
      </w:r>
      <w:r>
        <w:rPr>
          <w:b/>
          <w:sz w:val="28"/>
        </w:rPr>
        <w:t>дневного</w:t>
      </w:r>
      <w:r>
        <w:rPr>
          <w:b/>
          <w:spacing w:val="-2"/>
          <w:sz w:val="28"/>
        </w:rPr>
        <w:t> стационара</w:t>
      </w:r>
    </w:p>
    <w:p>
      <w:pPr>
        <w:pStyle w:val="BodyText"/>
        <w:rPr>
          <w:b/>
          <w:sz w:val="20"/>
        </w:rPr>
      </w:pPr>
    </w:p>
    <w:p>
      <w:pPr>
        <w:pStyle w:val="BodyText"/>
        <w:rPr>
          <w:b/>
          <w:sz w:val="20"/>
        </w:rPr>
      </w:pPr>
    </w:p>
    <w:p>
      <w:pPr>
        <w:pStyle w:val="BodyText"/>
        <w:spacing w:before="1"/>
        <w:rPr>
          <w:b/>
          <w:sz w:val="1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b/>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b/>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b/>
          <w:sz w:val="12"/>
        </w:rPr>
      </w:pPr>
    </w:p>
    <w:p>
      <w:pPr>
        <w:spacing w:before="91"/>
        <w:ind w:left="285" w:right="285" w:firstLine="0"/>
        <w:jc w:val="center"/>
        <w:rPr>
          <w:sz w:val="20"/>
        </w:rPr>
      </w:pPr>
      <w:r>
        <w:rPr>
          <w:sz w:val="20"/>
        </w:rPr>
        <w:t>В</w:t>
      </w:r>
      <w:r>
        <w:rPr>
          <w:spacing w:val="-8"/>
          <w:sz w:val="20"/>
        </w:rPr>
        <w:t> </w:t>
      </w:r>
      <w:r>
        <w:rPr>
          <w:sz w:val="20"/>
        </w:rPr>
        <w:t>стационарных</w:t>
      </w:r>
      <w:r>
        <w:rPr>
          <w:spacing w:val="-6"/>
          <w:sz w:val="20"/>
        </w:rPr>
        <w:t> </w:t>
      </w:r>
      <w:r>
        <w:rPr>
          <w:spacing w:val="-2"/>
          <w:sz w:val="20"/>
        </w:rPr>
        <w:t>условиях</w:t>
      </w:r>
    </w:p>
    <w:p>
      <w:pPr>
        <w:tabs>
          <w:tab w:pos="1032" w:val="left" w:leader="none"/>
          <w:tab w:pos="7023" w:val="left" w:leader="none"/>
          <w:tab w:pos="14647" w:val="left" w:leader="none"/>
        </w:tabs>
        <w:spacing w:before="99"/>
        <w:ind w:left="0" w:right="285" w:firstLine="0"/>
        <w:jc w:val="center"/>
        <w:rPr>
          <w:sz w:val="20"/>
        </w:rPr>
      </w:pPr>
      <w:r>
        <w:rPr>
          <w:spacing w:val="-4"/>
          <w:sz w:val="20"/>
        </w:rPr>
        <w:t>st01</w:t>
      </w:r>
      <w:r>
        <w:rPr>
          <w:sz w:val="20"/>
        </w:rPr>
        <w:tab/>
      </w:r>
      <w:r>
        <w:rPr>
          <w:spacing w:val="-10"/>
          <w:sz w:val="20"/>
        </w:rPr>
        <w:t>1</w:t>
      </w:r>
      <w:r>
        <w:rPr>
          <w:sz w:val="20"/>
        </w:rPr>
        <w:tab/>
        <w:t>Акушерское</w:t>
      </w:r>
      <w:r>
        <w:rPr>
          <w:spacing w:val="-12"/>
          <w:sz w:val="20"/>
        </w:rPr>
        <w:t> </w:t>
      </w:r>
      <w:r>
        <w:rPr>
          <w:spacing w:val="-4"/>
          <w:sz w:val="20"/>
        </w:rPr>
        <w:t>дело</w:t>
      </w:r>
      <w:r>
        <w:rPr>
          <w:sz w:val="20"/>
        </w:rPr>
        <w:tab/>
      </w:r>
      <w:r>
        <w:rPr>
          <w:spacing w:val="-4"/>
          <w:sz w:val="20"/>
        </w:rPr>
        <w:t>0,50</w:t>
      </w:r>
    </w:p>
    <w:p>
      <w:pPr>
        <w:spacing w:after="0"/>
        <w:jc w:val="center"/>
        <w:rPr>
          <w:sz w:val="20"/>
        </w:rPr>
        <w:sectPr>
          <w:headerReference w:type="default" r:id="rId537"/>
          <w:pgSz w:w="16850" w:h="11910" w:orient="landscape"/>
          <w:pgMar w:header="0" w:footer="0" w:top="1060" w:bottom="280" w:left="340" w:right="340"/>
        </w:sectPr>
      </w:pPr>
    </w:p>
    <w:p>
      <w:pPr>
        <w:tabs>
          <w:tab w:pos="1469" w:val="left" w:leader="none"/>
          <w:tab w:pos="2057" w:val="left" w:leader="none"/>
        </w:tabs>
        <w:spacing w:before="101"/>
        <w:ind w:left="262" w:right="0" w:firstLine="0"/>
        <w:jc w:val="left"/>
        <w:rPr>
          <w:sz w:val="20"/>
        </w:rPr>
      </w:pPr>
      <w:r>
        <w:rPr>
          <w:spacing w:val="-2"/>
          <w:sz w:val="20"/>
        </w:rPr>
        <w:t>st01.001</w:t>
      </w:r>
      <w:r>
        <w:rPr>
          <w:sz w:val="20"/>
        </w:rPr>
        <w:tab/>
      </w:r>
      <w:r>
        <w:rPr>
          <w:spacing w:val="-10"/>
          <w:sz w:val="20"/>
        </w:rPr>
        <w:t>1</w:t>
      </w:r>
      <w:r>
        <w:rPr>
          <w:sz w:val="20"/>
        </w:rPr>
        <w:tab/>
        <w:t>Беременность</w:t>
      </w:r>
      <w:r>
        <w:rPr>
          <w:spacing w:val="-12"/>
          <w:sz w:val="20"/>
        </w:rPr>
        <w:t> </w:t>
      </w:r>
      <w:r>
        <w:rPr>
          <w:spacing w:val="-5"/>
          <w:sz w:val="20"/>
        </w:rPr>
        <w:t>без</w:t>
      </w:r>
    </w:p>
    <w:p>
      <w:pPr>
        <w:spacing w:before="0"/>
        <w:ind w:left="2058" w:right="30" w:firstLine="0"/>
        <w:jc w:val="left"/>
        <w:rPr>
          <w:sz w:val="20"/>
        </w:rPr>
      </w:pPr>
      <w:r>
        <w:rPr>
          <w:sz w:val="20"/>
        </w:rPr>
        <w:t>патологии, дородовая госпитализация в отделение</w:t>
      </w:r>
      <w:r>
        <w:rPr>
          <w:spacing w:val="-13"/>
          <w:sz w:val="20"/>
        </w:rPr>
        <w:t> </w:t>
      </w:r>
      <w:r>
        <w:rPr>
          <w:sz w:val="20"/>
        </w:rPr>
        <w:t>сестринского </w:t>
      </w:r>
      <w:r>
        <w:rPr>
          <w:spacing w:val="-2"/>
          <w:sz w:val="20"/>
        </w:rPr>
        <w:t>ухода</w:t>
      </w:r>
    </w:p>
    <w:p>
      <w:pPr>
        <w:spacing w:before="101"/>
        <w:ind w:left="256" w:right="38" w:firstLine="0"/>
        <w:jc w:val="center"/>
        <w:rPr>
          <w:sz w:val="20"/>
        </w:rPr>
      </w:pPr>
      <w:r>
        <w:rPr/>
        <w:br w:type="column"/>
      </w:r>
      <w:r>
        <w:rPr>
          <w:sz w:val="20"/>
        </w:rPr>
        <w:t>Z34,</w:t>
      </w:r>
      <w:r>
        <w:rPr>
          <w:spacing w:val="-5"/>
          <w:sz w:val="20"/>
        </w:rPr>
        <w:t> </w:t>
      </w:r>
      <w:r>
        <w:rPr>
          <w:sz w:val="20"/>
        </w:rPr>
        <w:t>Z34.0,</w:t>
      </w:r>
      <w:r>
        <w:rPr>
          <w:spacing w:val="-5"/>
          <w:sz w:val="20"/>
        </w:rPr>
        <w:t> </w:t>
      </w:r>
      <w:r>
        <w:rPr>
          <w:sz w:val="20"/>
        </w:rPr>
        <w:t>Z34.8,</w:t>
      </w:r>
      <w:r>
        <w:rPr>
          <w:spacing w:val="-4"/>
          <w:sz w:val="20"/>
        </w:rPr>
        <w:t> </w:t>
      </w:r>
      <w:r>
        <w:rPr>
          <w:sz w:val="20"/>
        </w:rPr>
        <w:t>Z34.9,</w:t>
      </w:r>
      <w:r>
        <w:rPr>
          <w:spacing w:val="-5"/>
          <w:sz w:val="20"/>
        </w:rPr>
        <w:t> </w:t>
      </w:r>
      <w:r>
        <w:rPr>
          <w:sz w:val="20"/>
        </w:rPr>
        <w:t>Z35,</w:t>
      </w:r>
      <w:r>
        <w:rPr>
          <w:spacing w:val="-4"/>
          <w:sz w:val="20"/>
        </w:rPr>
        <w:t> </w:t>
      </w:r>
      <w:r>
        <w:rPr>
          <w:sz w:val="20"/>
        </w:rPr>
        <w:t>Z35.0,</w:t>
      </w:r>
      <w:r>
        <w:rPr>
          <w:spacing w:val="-5"/>
          <w:sz w:val="20"/>
        </w:rPr>
        <w:t> </w:t>
      </w:r>
      <w:r>
        <w:rPr>
          <w:spacing w:val="-2"/>
          <w:sz w:val="20"/>
        </w:rPr>
        <w:t>Z35.1,</w:t>
      </w:r>
    </w:p>
    <w:p>
      <w:pPr>
        <w:spacing w:before="0"/>
        <w:ind w:left="262" w:right="38" w:firstLine="0"/>
        <w:jc w:val="center"/>
        <w:rPr>
          <w:sz w:val="20"/>
        </w:rPr>
      </w:pPr>
      <w:r>
        <w:rPr>
          <w:sz w:val="20"/>
        </w:rPr>
        <w:t>Z35.2,</w:t>
      </w:r>
      <w:r>
        <w:rPr>
          <w:spacing w:val="-7"/>
          <w:sz w:val="20"/>
        </w:rPr>
        <w:t> </w:t>
      </w:r>
      <w:r>
        <w:rPr>
          <w:sz w:val="20"/>
        </w:rPr>
        <w:t>Z35.3,</w:t>
      </w:r>
      <w:r>
        <w:rPr>
          <w:spacing w:val="-7"/>
          <w:sz w:val="20"/>
        </w:rPr>
        <w:t> </w:t>
      </w:r>
      <w:r>
        <w:rPr>
          <w:sz w:val="20"/>
        </w:rPr>
        <w:t>Z35.4,</w:t>
      </w:r>
      <w:r>
        <w:rPr>
          <w:spacing w:val="-7"/>
          <w:sz w:val="20"/>
        </w:rPr>
        <w:t> </w:t>
      </w:r>
      <w:r>
        <w:rPr>
          <w:sz w:val="20"/>
        </w:rPr>
        <w:t>Z35.5,</w:t>
      </w:r>
      <w:r>
        <w:rPr>
          <w:spacing w:val="-7"/>
          <w:sz w:val="20"/>
        </w:rPr>
        <w:t> </w:t>
      </w:r>
      <w:r>
        <w:rPr>
          <w:sz w:val="20"/>
        </w:rPr>
        <w:t>Z35.6,</w:t>
      </w:r>
      <w:r>
        <w:rPr>
          <w:spacing w:val="-7"/>
          <w:sz w:val="20"/>
        </w:rPr>
        <w:t> </w:t>
      </w:r>
      <w:r>
        <w:rPr>
          <w:sz w:val="20"/>
        </w:rPr>
        <w:t>Z35.7,</w:t>
      </w:r>
      <w:r>
        <w:rPr>
          <w:spacing w:val="-7"/>
          <w:sz w:val="20"/>
        </w:rPr>
        <w:t> </w:t>
      </w:r>
      <w:r>
        <w:rPr>
          <w:sz w:val="20"/>
        </w:rPr>
        <w:t>Z35.8, </w:t>
      </w:r>
      <w:r>
        <w:rPr>
          <w:spacing w:val="-2"/>
          <w:sz w:val="20"/>
        </w:rPr>
        <w:t>Z35.9</w:t>
      </w:r>
    </w:p>
    <w:p>
      <w:pPr>
        <w:tabs>
          <w:tab w:pos="3128" w:val="left" w:leader="none"/>
          <w:tab w:pos="4914" w:val="left" w:leader="none"/>
        </w:tabs>
        <w:spacing w:before="101"/>
        <w:ind w:left="262" w:right="0" w:firstLine="0"/>
        <w:jc w:val="left"/>
        <w:rPr>
          <w:sz w:val="20"/>
        </w:rPr>
      </w:pPr>
      <w:r>
        <w:rPr/>
        <w:br w:type="column"/>
      </w:r>
      <w:r>
        <w:rPr>
          <w:spacing w:val="-10"/>
          <w:sz w:val="20"/>
        </w:rPr>
        <w:t>-</w:t>
      </w:r>
      <w:r>
        <w:rPr>
          <w:sz w:val="20"/>
        </w:rPr>
        <w:tab/>
      </w:r>
      <w:r>
        <w:rPr>
          <w:spacing w:val="-10"/>
          <w:sz w:val="20"/>
        </w:rPr>
        <w:t>-</w:t>
      </w:r>
      <w:r>
        <w:rPr>
          <w:sz w:val="20"/>
        </w:rPr>
        <w:tab/>
      </w:r>
      <w:r>
        <w:rPr>
          <w:spacing w:val="-4"/>
          <w:sz w:val="20"/>
        </w:rPr>
        <w:t>0,50</w:t>
      </w:r>
    </w:p>
    <w:p>
      <w:pPr>
        <w:spacing w:after="0"/>
        <w:jc w:val="left"/>
        <w:rPr>
          <w:sz w:val="20"/>
        </w:rPr>
        <w:sectPr>
          <w:type w:val="continuous"/>
          <w:pgSz w:w="16850" w:h="11910" w:orient="landscape"/>
          <w:pgMar w:header="0" w:footer="0" w:top="1080" w:bottom="280" w:left="340" w:right="340"/>
          <w:cols w:num="3" w:equalWidth="0">
            <w:col w:w="4151" w:space="194"/>
            <w:col w:w="4254" w:space="1571"/>
            <w:col w:w="6000"/>
          </w:cols>
        </w:sectPr>
      </w:pPr>
    </w:p>
    <w:p>
      <w:pPr>
        <w:tabs>
          <w:tab w:pos="1469" w:val="left" w:leader="none"/>
          <w:tab w:pos="7048" w:val="left" w:leader="none"/>
          <w:tab w:pos="15084" w:val="left" w:leader="none"/>
        </w:tabs>
        <w:spacing w:before="99"/>
        <w:ind w:left="437" w:right="0" w:firstLine="0"/>
        <w:jc w:val="left"/>
        <w:rPr>
          <w:sz w:val="20"/>
        </w:rPr>
      </w:pPr>
      <w:r>
        <w:rPr>
          <w:spacing w:val="-4"/>
          <w:sz w:val="20"/>
        </w:rPr>
        <w:t>st02</w:t>
      </w:r>
      <w:r>
        <w:rPr>
          <w:sz w:val="20"/>
        </w:rPr>
        <w:tab/>
      </w:r>
      <w:r>
        <w:rPr>
          <w:spacing w:val="-10"/>
          <w:sz w:val="20"/>
        </w:rPr>
        <w:t>2</w:t>
      </w:r>
      <w:r>
        <w:rPr>
          <w:sz w:val="20"/>
        </w:rPr>
        <w:tab/>
        <w:t>Акушерство</w:t>
      </w:r>
      <w:r>
        <w:rPr>
          <w:spacing w:val="-6"/>
          <w:sz w:val="20"/>
        </w:rPr>
        <w:t> </w:t>
      </w:r>
      <w:r>
        <w:rPr>
          <w:sz w:val="20"/>
        </w:rPr>
        <w:t>и</w:t>
      </w:r>
      <w:r>
        <w:rPr>
          <w:spacing w:val="-8"/>
          <w:sz w:val="20"/>
        </w:rPr>
        <w:t> </w:t>
      </w:r>
      <w:r>
        <w:rPr>
          <w:spacing w:val="-2"/>
          <w:sz w:val="20"/>
        </w:rPr>
        <w:t>гинекология</w:t>
      </w:r>
      <w:r>
        <w:rPr>
          <w:sz w:val="20"/>
        </w:rPr>
        <w:tab/>
      </w:r>
      <w:r>
        <w:rPr>
          <w:spacing w:val="-4"/>
          <w:sz w:val="20"/>
        </w:rPr>
        <w:t>0,80</w:t>
      </w:r>
    </w:p>
    <w:p>
      <w:pPr>
        <w:spacing w:after="0"/>
        <w:jc w:val="left"/>
        <w:rPr>
          <w:sz w:val="20"/>
        </w:rPr>
        <w:sectPr>
          <w:type w:val="continuous"/>
          <w:pgSz w:w="16850" w:h="11910" w:orient="landscape"/>
          <w:pgMar w:header="0" w:footer="0" w:top="1080" w:bottom="280" w:left="340" w:right="340"/>
        </w:sectPr>
      </w:pPr>
    </w:p>
    <w:p>
      <w:pPr>
        <w:tabs>
          <w:tab w:pos="1469" w:val="left" w:leader="none"/>
          <w:tab w:pos="2057" w:val="left" w:leader="none"/>
        </w:tabs>
        <w:spacing w:before="101"/>
        <w:ind w:left="262" w:right="0" w:firstLine="0"/>
        <w:jc w:val="left"/>
        <w:rPr>
          <w:sz w:val="20"/>
        </w:rPr>
      </w:pPr>
      <w:r>
        <w:rPr>
          <w:spacing w:val="-2"/>
          <w:sz w:val="20"/>
        </w:rPr>
        <w:t>st02.001</w:t>
      </w:r>
      <w:r>
        <w:rPr>
          <w:sz w:val="20"/>
        </w:rPr>
        <w:tab/>
      </w:r>
      <w:r>
        <w:rPr>
          <w:spacing w:val="-10"/>
          <w:sz w:val="20"/>
        </w:rPr>
        <w:t>2</w:t>
      </w:r>
      <w:r>
        <w:rPr>
          <w:sz w:val="20"/>
        </w:rPr>
        <w:tab/>
        <w:t>Осложнения,</w:t>
      </w:r>
      <w:r>
        <w:rPr>
          <w:spacing w:val="-13"/>
          <w:sz w:val="20"/>
        </w:rPr>
        <w:t> </w:t>
      </w:r>
      <w:r>
        <w:rPr>
          <w:sz w:val="20"/>
        </w:rPr>
        <w:t>связанные</w:t>
      </w:r>
      <w:r>
        <w:rPr>
          <w:spacing w:val="-12"/>
          <w:sz w:val="20"/>
        </w:rPr>
        <w:t> </w:t>
      </w:r>
      <w:r>
        <w:rPr>
          <w:spacing w:val="-10"/>
          <w:sz w:val="20"/>
        </w:rPr>
        <w:t>с</w:t>
      </w:r>
    </w:p>
    <w:p>
      <w:pPr>
        <w:spacing w:before="0"/>
        <w:ind w:left="2058" w:right="0" w:firstLine="0"/>
        <w:jc w:val="left"/>
        <w:rPr>
          <w:sz w:val="20"/>
        </w:rPr>
      </w:pPr>
      <w:r>
        <w:rPr>
          <w:spacing w:val="-2"/>
          <w:sz w:val="20"/>
        </w:rPr>
        <w:t>беременностью</w:t>
      </w:r>
    </w:p>
    <w:p>
      <w:pPr>
        <w:spacing w:before="101"/>
        <w:ind w:left="263" w:right="41" w:firstLine="0"/>
        <w:jc w:val="center"/>
        <w:rPr>
          <w:sz w:val="20"/>
        </w:rPr>
      </w:pPr>
      <w:r>
        <w:rPr/>
        <w:br w:type="column"/>
      </w:r>
      <w:r>
        <w:rPr>
          <w:sz w:val="20"/>
        </w:rPr>
        <w:t>O10.0,</w:t>
      </w:r>
      <w:r>
        <w:rPr>
          <w:spacing w:val="-4"/>
          <w:sz w:val="20"/>
        </w:rPr>
        <w:t> </w:t>
      </w:r>
      <w:r>
        <w:rPr>
          <w:sz w:val="20"/>
        </w:rPr>
        <w:t>O10.1,</w:t>
      </w:r>
      <w:r>
        <w:rPr>
          <w:spacing w:val="-6"/>
          <w:sz w:val="20"/>
        </w:rPr>
        <w:t> </w:t>
      </w:r>
      <w:r>
        <w:rPr>
          <w:sz w:val="20"/>
        </w:rPr>
        <w:t>O10.2,</w:t>
      </w:r>
      <w:r>
        <w:rPr>
          <w:spacing w:val="-4"/>
          <w:sz w:val="20"/>
        </w:rPr>
        <w:t> </w:t>
      </w:r>
      <w:r>
        <w:rPr>
          <w:sz w:val="20"/>
        </w:rPr>
        <w:t>O10.3,</w:t>
      </w:r>
      <w:r>
        <w:rPr>
          <w:spacing w:val="-6"/>
          <w:sz w:val="20"/>
        </w:rPr>
        <w:t> </w:t>
      </w:r>
      <w:r>
        <w:rPr>
          <w:sz w:val="20"/>
        </w:rPr>
        <w:t>O10.4,</w:t>
      </w:r>
      <w:r>
        <w:rPr>
          <w:spacing w:val="1"/>
          <w:sz w:val="20"/>
        </w:rPr>
        <w:t> </w:t>
      </w:r>
      <w:r>
        <w:rPr>
          <w:sz w:val="20"/>
        </w:rPr>
        <w:t>O10.9,</w:t>
      </w:r>
      <w:r>
        <w:rPr>
          <w:spacing w:val="-6"/>
          <w:sz w:val="20"/>
        </w:rPr>
        <w:t> </w:t>
      </w:r>
      <w:r>
        <w:rPr>
          <w:spacing w:val="-4"/>
          <w:sz w:val="20"/>
        </w:rPr>
        <w:t>O11,</w:t>
      </w:r>
    </w:p>
    <w:p>
      <w:pPr>
        <w:spacing w:before="0"/>
        <w:ind w:left="260" w:right="41" w:firstLine="0"/>
        <w:jc w:val="center"/>
        <w:rPr>
          <w:sz w:val="20"/>
        </w:rPr>
      </w:pPr>
      <w:r>
        <w:rPr>
          <w:sz w:val="20"/>
        </w:rPr>
        <w:t>O12.0,</w:t>
      </w:r>
      <w:r>
        <w:rPr>
          <w:spacing w:val="-6"/>
          <w:sz w:val="20"/>
        </w:rPr>
        <w:t> </w:t>
      </w:r>
      <w:r>
        <w:rPr>
          <w:sz w:val="20"/>
        </w:rPr>
        <w:t>O12.1,</w:t>
      </w:r>
      <w:r>
        <w:rPr>
          <w:spacing w:val="-6"/>
          <w:sz w:val="20"/>
        </w:rPr>
        <w:t> </w:t>
      </w:r>
      <w:r>
        <w:rPr>
          <w:sz w:val="20"/>
        </w:rPr>
        <w:t>O12.2,</w:t>
      </w:r>
      <w:r>
        <w:rPr>
          <w:spacing w:val="-5"/>
          <w:sz w:val="20"/>
        </w:rPr>
        <w:t> </w:t>
      </w:r>
      <w:r>
        <w:rPr>
          <w:sz w:val="20"/>
        </w:rPr>
        <w:t>O13,</w:t>
      </w:r>
      <w:r>
        <w:rPr>
          <w:spacing w:val="-6"/>
          <w:sz w:val="20"/>
        </w:rPr>
        <w:t> </w:t>
      </w:r>
      <w:r>
        <w:rPr>
          <w:sz w:val="20"/>
        </w:rPr>
        <w:t>O14.0,</w:t>
      </w:r>
      <w:r>
        <w:rPr>
          <w:spacing w:val="-5"/>
          <w:sz w:val="20"/>
        </w:rPr>
        <w:t> </w:t>
      </w:r>
      <w:r>
        <w:rPr>
          <w:sz w:val="20"/>
        </w:rPr>
        <w:t>O14.1,</w:t>
      </w:r>
      <w:r>
        <w:rPr>
          <w:spacing w:val="-5"/>
          <w:sz w:val="20"/>
        </w:rPr>
        <w:t> </w:t>
      </w:r>
      <w:r>
        <w:rPr>
          <w:spacing w:val="-2"/>
          <w:sz w:val="20"/>
        </w:rPr>
        <w:t>O14.2,</w:t>
      </w:r>
    </w:p>
    <w:p>
      <w:pPr>
        <w:spacing w:line="229" w:lineRule="exact" w:before="1"/>
        <w:ind w:left="260" w:right="41" w:firstLine="0"/>
        <w:jc w:val="center"/>
        <w:rPr>
          <w:sz w:val="20"/>
        </w:rPr>
      </w:pPr>
      <w:r>
        <w:rPr>
          <w:sz w:val="20"/>
        </w:rPr>
        <w:t>O14.9,</w:t>
      </w:r>
      <w:r>
        <w:rPr>
          <w:spacing w:val="-5"/>
          <w:sz w:val="20"/>
        </w:rPr>
        <w:t> </w:t>
      </w:r>
      <w:r>
        <w:rPr>
          <w:sz w:val="20"/>
        </w:rPr>
        <w:t>O15.0,</w:t>
      </w:r>
      <w:r>
        <w:rPr>
          <w:spacing w:val="-6"/>
          <w:sz w:val="20"/>
        </w:rPr>
        <w:t> </w:t>
      </w:r>
      <w:r>
        <w:rPr>
          <w:sz w:val="20"/>
        </w:rPr>
        <w:t>O15.9,</w:t>
      </w:r>
      <w:r>
        <w:rPr>
          <w:spacing w:val="-5"/>
          <w:sz w:val="20"/>
        </w:rPr>
        <w:t> </w:t>
      </w:r>
      <w:r>
        <w:rPr>
          <w:sz w:val="20"/>
        </w:rPr>
        <w:t>O16,</w:t>
      </w:r>
      <w:r>
        <w:rPr>
          <w:spacing w:val="-4"/>
          <w:sz w:val="20"/>
        </w:rPr>
        <w:t> </w:t>
      </w:r>
      <w:r>
        <w:rPr>
          <w:sz w:val="20"/>
        </w:rPr>
        <w:t>O20,</w:t>
      </w:r>
      <w:r>
        <w:rPr>
          <w:spacing w:val="-5"/>
          <w:sz w:val="20"/>
        </w:rPr>
        <w:t> </w:t>
      </w:r>
      <w:r>
        <w:rPr>
          <w:sz w:val="20"/>
        </w:rPr>
        <w:t>O20.0,</w:t>
      </w:r>
      <w:r>
        <w:rPr>
          <w:spacing w:val="-4"/>
          <w:sz w:val="20"/>
        </w:rPr>
        <w:t> </w:t>
      </w:r>
      <w:r>
        <w:rPr>
          <w:spacing w:val="-2"/>
          <w:sz w:val="20"/>
        </w:rPr>
        <w:t>O20.8,</w:t>
      </w:r>
    </w:p>
    <w:p>
      <w:pPr>
        <w:spacing w:line="229" w:lineRule="exact" w:before="0"/>
        <w:ind w:left="261" w:right="41" w:firstLine="0"/>
        <w:jc w:val="center"/>
        <w:rPr>
          <w:sz w:val="20"/>
        </w:rPr>
      </w:pPr>
      <w:r>
        <w:rPr>
          <w:sz w:val="20"/>
        </w:rPr>
        <w:t>O20.9,</w:t>
      </w:r>
      <w:r>
        <w:rPr>
          <w:spacing w:val="-4"/>
          <w:sz w:val="20"/>
        </w:rPr>
        <w:t> </w:t>
      </w:r>
      <w:r>
        <w:rPr>
          <w:sz w:val="20"/>
        </w:rPr>
        <w:t>O21.0,</w:t>
      </w:r>
      <w:r>
        <w:rPr>
          <w:spacing w:val="-6"/>
          <w:sz w:val="20"/>
        </w:rPr>
        <w:t> </w:t>
      </w:r>
      <w:r>
        <w:rPr>
          <w:sz w:val="20"/>
        </w:rPr>
        <w:t>O21.1,</w:t>
      </w:r>
      <w:r>
        <w:rPr>
          <w:spacing w:val="-4"/>
          <w:sz w:val="20"/>
        </w:rPr>
        <w:t> </w:t>
      </w:r>
      <w:r>
        <w:rPr>
          <w:sz w:val="20"/>
        </w:rPr>
        <w:t>O21.2,</w:t>
      </w:r>
      <w:r>
        <w:rPr>
          <w:spacing w:val="-6"/>
          <w:sz w:val="20"/>
        </w:rPr>
        <w:t> </w:t>
      </w:r>
      <w:r>
        <w:rPr>
          <w:sz w:val="20"/>
        </w:rPr>
        <w:t>O21.8,</w:t>
      </w:r>
      <w:r>
        <w:rPr>
          <w:spacing w:val="-4"/>
          <w:sz w:val="20"/>
        </w:rPr>
        <w:t> </w:t>
      </w:r>
      <w:r>
        <w:rPr>
          <w:spacing w:val="-2"/>
          <w:sz w:val="20"/>
        </w:rPr>
        <w:t>O21.9,</w:t>
      </w:r>
    </w:p>
    <w:p>
      <w:pPr>
        <w:spacing w:before="0"/>
        <w:ind w:left="261" w:right="41" w:firstLine="0"/>
        <w:jc w:val="center"/>
        <w:rPr>
          <w:sz w:val="20"/>
        </w:rPr>
      </w:pPr>
      <w:r>
        <w:rPr>
          <w:sz w:val="20"/>
        </w:rPr>
        <w:t>O22.0,</w:t>
      </w:r>
      <w:r>
        <w:rPr>
          <w:spacing w:val="-4"/>
          <w:sz w:val="20"/>
        </w:rPr>
        <w:t> </w:t>
      </w:r>
      <w:r>
        <w:rPr>
          <w:sz w:val="20"/>
        </w:rPr>
        <w:t>O22.1,</w:t>
      </w:r>
      <w:r>
        <w:rPr>
          <w:spacing w:val="-6"/>
          <w:sz w:val="20"/>
        </w:rPr>
        <w:t> </w:t>
      </w:r>
      <w:r>
        <w:rPr>
          <w:sz w:val="20"/>
        </w:rPr>
        <w:t>O22.2,</w:t>
      </w:r>
      <w:r>
        <w:rPr>
          <w:spacing w:val="-4"/>
          <w:sz w:val="20"/>
        </w:rPr>
        <w:t> </w:t>
      </w:r>
      <w:r>
        <w:rPr>
          <w:sz w:val="20"/>
        </w:rPr>
        <w:t>O22.3,</w:t>
      </w:r>
      <w:r>
        <w:rPr>
          <w:spacing w:val="-6"/>
          <w:sz w:val="20"/>
        </w:rPr>
        <w:t> </w:t>
      </w:r>
      <w:r>
        <w:rPr>
          <w:sz w:val="20"/>
        </w:rPr>
        <w:t>O22.4,</w:t>
      </w:r>
      <w:r>
        <w:rPr>
          <w:spacing w:val="-4"/>
          <w:sz w:val="20"/>
        </w:rPr>
        <w:t> </w:t>
      </w:r>
      <w:r>
        <w:rPr>
          <w:spacing w:val="-2"/>
          <w:sz w:val="20"/>
        </w:rPr>
        <w:t>O22.5,</w:t>
      </w:r>
    </w:p>
    <w:p>
      <w:pPr>
        <w:tabs>
          <w:tab w:pos="3128" w:val="left" w:leader="none"/>
          <w:tab w:pos="4914" w:val="left" w:leader="none"/>
        </w:tabs>
        <w:spacing w:before="101"/>
        <w:ind w:left="262" w:right="0" w:firstLine="0"/>
        <w:jc w:val="left"/>
        <w:rPr>
          <w:sz w:val="20"/>
        </w:rPr>
      </w:pPr>
      <w:r>
        <w:rPr/>
        <w:br w:type="column"/>
      </w:r>
      <w:r>
        <w:rPr>
          <w:spacing w:val="-10"/>
          <w:sz w:val="20"/>
        </w:rPr>
        <w:t>-</w:t>
      </w:r>
      <w:r>
        <w:rPr>
          <w:sz w:val="20"/>
        </w:rPr>
        <w:tab/>
      </w:r>
      <w:r>
        <w:rPr>
          <w:spacing w:val="-10"/>
          <w:sz w:val="20"/>
        </w:rPr>
        <w:t>-</w:t>
      </w:r>
      <w:r>
        <w:rPr>
          <w:sz w:val="20"/>
        </w:rPr>
        <w:tab/>
      </w:r>
      <w:r>
        <w:rPr>
          <w:spacing w:val="-4"/>
          <w:sz w:val="20"/>
        </w:rPr>
        <w:t>0,93</w:t>
      </w:r>
    </w:p>
    <w:p>
      <w:pPr>
        <w:spacing w:after="0"/>
        <w:jc w:val="left"/>
        <w:rPr>
          <w:sz w:val="20"/>
        </w:rPr>
        <w:sectPr>
          <w:type w:val="continuous"/>
          <w:pgSz w:w="16850" w:h="11910" w:orient="landscape"/>
          <w:pgMar w:header="0" w:footer="0" w:top="1080" w:bottom="280" w:left="340" w:right="340"/>
          <w:cols w:num="3" w:equalWidth="0">
            <w:col w:w="4288" w:space="52"/>
            <w:col w:w="4266" w:space="1564"/>
            <w:col w:w="6000"/>
          </w:cols>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
        <w:gridCol w:w="606"/>
        <w:gridCol w:w="2426"/>
        <w:gridCol w:w="5257"/>
        <w:gridCol w:w="2402"/>
        <w:gridCol w:w="2326"/>
        <w:gridCol w:w="1261"/>
      </w:tblGrid>
      <w:tr>
        <w:trPr>
          <w:trHeight w:val="225" w:hRule="atLeast"/>
        </w:trPr>
        <w:tc>
          <w:tcPr>
            <w:tcW w:w="996" w:type="dxa"/>
            <w:vMerge w:val="restart"/>
          </w:tcPr>
          <w:p>
            <w:pPr>
              <w:pStyle w:val="TableParagraph"/>
              <w:rPr>
                <w:sz w:val="18"/>
              </w:rPr>
            </w:pPr>
          </w:p>
        </w:tc>
        <w:tc>
          <w:tcPr>
            <w:tcW w:w="606" w:type="dxa"/>
            <w:vMerge w:val="restart"/>
          </w:tcPr>
          <w:p>
            <w:pPr>
              <w:pStyle w:val="TableParagraph"/>
              <w:rPr>
                <w:sz w:val="18"/>
              </w:rPr>
            </w:pPr>
          </w:p>
        </w:tc>
        <w:tc>
          <w:tcPr>
            <w:tcW w:w="2426" w:type="dxa"/>
            <w:vMerge w:val="restart"/>
          </w:tcPr>
          <w:p>
            <w:pPr>
              <w:pStyle w:val="TableParagraph"/>
              <w:rPr>
                <w:sz w:val="18"/>
              </w:rPr>
            </w:pPr>
          </w:p>
        </w:tc>
        <w:tc>
          <w:tcPr>
            <w:tcW w:w="5257" w:type="dxa"/>
          </w:tcPr>
          <w:p>
            <w:pPr>
              <w:pStyle w:val="TableParagraph"/>
              <w:spacing w:line="205" w:lineRule="exact"/>
              <w:ind w:left="585"/>
              <w:rPr>
                <w:sz w:val="20"/>
              </w:rPr>
            </w:pPr>
            <w:r>
              <w:rPr>
                <w:sz w:val="20"/>
              </w:rPr>
              <w:t>O22.8,</w:t>
            </w:r>
            <w:r>
              <w:rPr>
                <w:spacing w:val="-4"/>
                <w:sz w:val="20"/>
              </w:rPr>
              <w:t> </w:t>
            </w:r>
            <w:r>
              <w:rPr>
                <w:sz w:val="20"/>
              </w:rPr>
              <w:t>O22.9,</w:t>
            </w:r>
            <w:r>
              <w:rPr>
                <w:spacing w:val="-6"/>
                <w:sz w:val="20"/>
              </w:rPr>
              <w:t> </w:t>
            </w:r>
            <w:r>
              <w:rPr>
                <w:sz w:val="20"/>
              </w:rPr>
              <w:t>O23.0,</w:t>
            </w:r>
            <w:r>
              <w:rPr>
                <w:spacing w:val="-4"/>
                <w:sz w:val="20"/>
              </w:rPr>
              <w:t> </w:t>
            </w:r>
            <w:r>
              <w:rPr>
                <w:sz w:val="20"/>
              </w:rPr>
              <w:t>O23.1,</w:t>
            </w:r>
            <w:r>
              <w:rPr>
                <w:spacing w:val="-6"/>
                <w:sz w:val="20"/>
              </w:rPr>
              <w:t> </w:t>
            </w:r>
            <w:r>
              <w:rPr>
                <w:sz w:val="20"/>
              </w:rPr>
              <w:t>O23.2,</w:t>
            </w:r>
            <w:r>
              <w:rPr>
                <w:spacing w:val="-4"/>
                <w:sz w:val="20"/>
              </w:rPr>
              <w:t> </w:t>
            </w:r>
            <w:r>
              <w:rPr>
                <w:spacing w:val="-2"/>
                <w:sz w:val="20"/>
              </w:rPr>
              <w:t>O23.3,</w:t>
            </w:r>
          </w:p>
        </w:tc>
        <w:tc>
          <w:tcPr>
            <w:tcW w:w="2402" w:type="dxa"/>
            <w:vMerge w:val="restart"/>
          </w:tcPr>
          <w:p>
            <w:pPr>
              <w:pStyle w:val="TableParagraph"/>
              <w:rPr>
                <w:sz w:val="18"/>
              </w:rPr>
            </w:pPr>
          </w:p>
        </w:tc>
        <w:tc>
          <w:tcPr>
            <w:tcW w:w="2326"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O23.4,</w:t>
            </w:r>
            <w:r>
              <w:rPr>
                <w:spacing w:val="-4"/>
                <w:sz w:val="20"/>
              </w:rPr>
              <w:t> </w:t>
            </w:r>
            <w:r>
              <w:rPr>
                <w:sz w:val="20"/>
              </w:rPr>
              <w:t>O23.5,</w:t>
            </w:r>
            <w:r>
              <w:rPr>
                <w:spacing w:val="-5"/>
                <w:sz w:val="20"/>
              </w:rPr>
              <w:t> </w:t>
            </w:r>
            <w:r>
              <w:rPr>
                <w:sz w:val="20"/>
              </w:rPr>
              <w:t>O23.9,</w:t>
            </w:r>
            <w:r>
              <w:rPr>
                <w:spacing w:val="-3"/>
                <w:sz w:val="20"/>
              </w:rPr>
              <w:t> </w:t>
            </w:r>
            <w:r>
              <w:rPr>
                <w:sz w:val="20"/>
              </w:rPr>
              <w:t>O24.0,</w:t>
            </w:r>
            <w:r>
              <w:rPr>
                <w:spacing w:val="-5"/>
                <w:sz w:val="20"/>
              </w:rPr>
              <w:t> </w:t>
            </w:r>
            <w:r>
              <w:rPr>
                <w:sz w:val="20"/>
              </w:rPr>
              <w:t>O24.1,</w:t>
            </w:r>
            <w:r>
              <w:rPr>
                <w:spacing w:val="-4"/>
                <w:sz w:val="20"/>
              </w:rPr>
              <w:t> </w:t>
            </w:r>
            <w:r>
              <w:rPr>
                <w:spacing w:val="-2"/>
                <w:sz w:val="20"/>
              </w:rPr>
              <w:t>O24.2,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364"/>
              <w:rPr>
                <w:sz w:val="20"/>
              </w:rPr>
            </w:pPr>
            <w:r>
              <w:rPr>
                <w:sz w:val="20"/>
              </w:rPr>
              <w:t>O24.3,</w:t>
            </w:r>
            <w:r>
              <w:rPr>
                <w:spacing w:val="-6"/>
                <w:sz w:val="20"/>
              </w:rPr>
              <w:t> </w:t>
            </w:r>
            <w:r>
              <w:rPr>
                <w:sz w:val="20"/>
              </w:rPr>
              <w:t>O24.4,</w:t>
            </w:r>
            <w:r>
              <w:rPr>
                <w:spacing w:val="-6"/>
                <w:sz w:val="20"/>
              </w:rPr>
              <w:t> </w:t>
            </w:r>
            <w:r>
              <w:rPr>
                <w:sz w:val="20"/>
              </w:rPr>
              <w:t>O24.9,</w:t>
            </w:r>
            <w:r>
              <w:rPr>
                <w:spacing w:val="-5"/>
                <w:sz w:val="20"/>
              </w:rPr>
              <w:t> </w:t>
            </w:r>
            <w:r>
              <w:rPr>
                <w:sz w:val="20"/>
              </w:rPr>
              <w:t>O25,</w:t>
            </w:r>
            <w:r>
              <w:rPr>
                <w:spacing w:val="-6"/>
                <w:sz w:val="20"/>
              </w:rPr>
              <w:t> </w:t>
            </w:r>
            <w:r>
              <w:rPr>
                <w:sz w:val="20"/>
              </w:rPr>
              <w:t>O26.0,</w:t>
            </w:r>
            <w:r>
              <w:rPr>
                <w:spacing w:val="-5"/>
                <w:sz w:val="20"/>
              </w:rPr>
              <w:t> </w:t>
            </w:r>
            <w:r>
              <w:rPr>
                <w:sz w:val="20"/>
              </w:rPr>
              <w:t>O26.1,</w:t>
            </w:r>
            <w:r>
              <w:rPr>
                <w:spacing w:val="-5"/>
                <w:sz w:val="20"/>
              </w:rPr>
              <w:t> </w:t>
            </w:r>
            <w:r>
              <w:rPr>
                <w:spacing w:val="-2"/>
                <w:sz w:val="20"/>
              </w:rPr>
              <w:t>O26.2,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O26.3,</w:t>
            </w:r>
            <w:r>
              <w:rPr>
                <w:spacing w:val="-4"/>
                <w:sz w:val="20"/>
              </w:rPr>
              <w:t> </w:t>
            </w:r>
            <w:r>
              <w:rPr>
                <w:sz w:val="20"/>
              </w:rPr>
              <w:t>O26.4,</w:t>
            </w:r>
            <w:r>
              <w:rPr>
                <w:spacing w:val="-6"/>
                <w:sz w:val="20"/>
              </w:rPr>
              <w:t> </w:t>
            </w:r>
            <w:r>
              <w:rPr>
                <w:sz w:val="20"/>
              </w:rPr>
              <w:t>O26.5,</w:t>
            </w:r>
            <w:r>
              <w:rPr>
                <w:spacing w:val="-4"/>
                <w:sz w:val="20"/>
              </w:rPr>
              <w:t> </w:t>
            </w:r>
            <w:r>
              <w:rPr>
                <w:sz w:val="20"/>
              </w:rPr>
              <w:t>O26.6,</w:t>
            </w:r>
            <w:r>
              <w:rPr>
                <w:spacing w:val="-6"/>
                <w:sz w:val="20"/>
              </w:rPr>
              <w:t> </w:t>
            </w:r>
            <w:r>
              <w:rPr>
                <w:sz w:val="20"/>
              </w:rPr>
              <w:t>O26.7,</w:t>
            </w:r>
            <w:r>
              <w:rPr>
                <w:spacing w:val="-4"/>
                <w:sz w:val="20"/>
              </w:rPr>
              <w:t> </w:t>
            </w:r>
            <w:r>
              <w:rPr>
                <w:spacing w:val="-2"/>
                <w:sz w:val="20"/>
              </w:rPr>
              <w:t>O26.8,</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O26.9,</w:t>
            </w:r>
            <w:r>
              <w:rPr>
                <w:spacing w:val="-4"/>
                <w:sz w:val="20"/>
              </w:rPr>
              <w:t> </w:t>
            </w:r>
            <w:r>
              <w:rPr>
                <w:sz w:val="20"/>
              </w:rPr>
              <w:t>O28.0,</w:t>
            </w:r>
            <w:r>
              <w:rPr>
                <w:spacing w:val="-6"/>
                <w:sz w:val="20"/>
              </w:rPr>
              <w:t> </w:t>
            </w:r>
            <w:r>
              <w:rPr>
                <w:sz w:val="20"/>
              </w:rPr>
              <w:t>O28.1,</w:t>
            </w:r>
            <w:r>
              <w:rPr>
                <w:spacing w:val="-4"/>
                <w:sz w:val="20"/>
              </w:rPr>
              <w:t> </w:t>
            </w:r>
            <w:r>
              <w:rPr>
                <w:sz w:val="20"/>
              </w:rPr>
              <w:t>O28.2,</w:t>
            </w:r>
            <w:r>
              <w:rPr>
                <w:spacing w:val="-6"/>
                <w:sz w:val="20"/>
              </w:rPr>
              <w:t> </w:t>
            </w:r>
            <w:r>
              <w:rPr>
                <w:sz w:val="20"/>
              </w:rPr>
              <w:t>O28.3,</w:t>
            </w:r>
            <w:r>
              <w:rPr>
                <w:spacing w:val="-4"/>
                <w:sz w:val="20"/>
              </w:rPr>
              <w:t> </w:t>
            </w:r>
            <w:r>
              <w:rPr>
                <w:spacing w:val="-2"/>
                <w:sz w:val="20"/>
              </w:rPr>
              <w:t>O28.4,</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O28.5,</w:t>
            </w:r>
            <w:r>
              <w:rPr>
                <w:spacing w:val="-4"/>
                <w:sz w:val="20"/>
              </w:rPr>
              <w:t> </w:t>
            </w:r>
            <w:r>
              <w:rPr>
                <w:sz w:val="20"/>
              </w:rPr>
              <w:t>O28.8,</w:t>
            </w:r>
            <w:r>
              <w:rPr>
                <w:spacing w:val="-6"/>
                <w:sz w:val="20"/>
              </w:rPr>
              <w:t> </w:t>
            </w:r>
            <w:r>
              <w:rPr>
                <w:sz w:val="20"/>
              </w:rPr>
              <w:t>O28.9,</w:t>
            </w:r>
            <w:r>
              <w:rPr>
                <w:spacing w:val="-4"/>
                <w:sz w:val="20"/>
              </w:rPr>
              <w:t> </w:t>
            </w:r>
            <w:r>
              <w:rPr>
                <w:sz w:val="20"/>
              </w:rPr>
              <w:t>O29.0,</w:t>
            </w:r>
            <w:r>
              <w:rPr>
                <w:spacing w:val="-6"/>
                <w:sz w:val="20"/>
              </w:rPr>
              <w:t> </w:t>
            </w:r>
            <w:r>
              <w:rPr>
                <w:sz w:val="20"/>
              </w:rPr>
              <w:t>O29.1,</w:t>
            </w:r>
            <w:r>
              <w:rPr>
                <w:spacing w:val="-4"/>
                <w:sz w:val="20"/>
              </w:rPr>
              <w:t> </w:t>
            </w:r>
            <w:r>
              <w:rPr>
                <w:spacing w:val="-2"/>
                <w:sz w:val="20"/>
              </w:rPr>
              <w:t>O29.2,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1" w:lineRule="exact"/>
              <w:ind w:left="585"/>
              <w:rPr>
                <w:sz w:val="20"/>
              </w:rPr>
            </w:pPr>
            <w:r>
              <w:rPr>
                <w:sz w:val="20"/>
              </w:rPr>
              <w:t>O29.3,</w:t>
            </w:r>
            <w:r>
              <w:rPr>
                <w:spacing w:val="-4"/>
                <w:sz w:val="20"/>
              </w:rPr>
              <w:t> </w:t>
            </w:r>
            <w:r>
              <w:rPr>
                <w:sz w:val="20"/>
              </w:rPr>
              <w:t>O29.4,</w:t>
            </w:r>
            <w:r>
              <w:rPr>
                <w:spacing w:val="-6"/>
                <w:sz w:val="20"/>
              </w:rPr>
              <w:t> </w:t>
            </w:r>
            <w:r>
              <w:rPr>
                <w:sz w:val="20"/>
              </w:rPr>
              <w:t>O29.5,</w:t>
            </w:r>
            <w:r>
              <w:rPr>
                <w:spacing w:val="-4"/>
                <w:sz w:val="20"/>
              </w:rPr>
              <w:t> </w:t>
            </w:r>
            <w:r>
              <w:rPr>
                <w:sz w:val="20"/>
              </w:rPr>
              <w:t>O29.6,</w:t>
            </w:r>
            <w:r>
              <w:rPr>
                <w:spacing w:val="-6"/>
                <w:sz w:val="20"/>
              </w:rPr>
              <w:t> </w:t>
            </w:r>
            <w:r>
              <w:rPr>
                <w:sz w:val="20"/>
              </w:rPr>
              <w:t>O29.8,</w:t>
            </w:r>
            <w:r>
              <w:rPr>
                <w:spacing w:val="-4"/>
                <w:sz w:val="20"/>
              </w:rPr>
              <w:t> </w:t>
            </w:r>
            <w:r>
              <w:rPr>
                <w:spacing w:val="-2"/>
                <w:sz w:val="20"/>
              </w:rPr>
              <w:t>O29.9,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O30.0,</w:t>
            </w:r>
            <w:r>
              <w:rPr>
                <w:spacing w:val="-4"/>
                <w:sz w:val="20"/>
              </w:rPr>
              <w:t> </w:t>
            </w:r>
            <w:r>
              <w:rPr>
                <w:sz w:val="20"/>
              </w:rPr>
              <w:t>O30.1,</w:t>
            </w:r>
            <w:r>
              <w:rPr>
                <w:spacing w:val="-5"/>
                <w:sz w:val="20"/>
              </w:rPr>
              <w:t> </w:t>
            </w:r>
            <w:r>
              <w:rPr>
                <w:sz w:val="20"/>
              </w:rPr>
              <w:t>O30.2,</w:t>
            </w:r>
            <w:r>
              <w:rPr>
                <w:spacing w:val="-3"/>
                <w:sz w:val="20"/>
              </w:rPr>
              <w:t> </w:t>
            </w:r>
            <w:r>
              <w:rPr>
                <w:sz w:val="20"/>
              </w:rPr>
              <w:t>O30.8,</w:t>
            </w:r>
            <w:r>
              <w:rPr>
                <w:spacing w:val="-5"/>
                <w:sz w:val="20"/>
              </w:rPr>
              <w:t> </w:t>
            </w:r>
            <w:r>
              <w:rPr>
                <w:sz w:val="20"/>
              </w:rPr>
              <w:t>O30.9,</w:t>
            </w:r>
            <w:r>
              <w:rPr>
                <w:spacing w:val="-4"/>
                <w:sz w:val="20"/>
              </w:rPr>
              <w:t> </w:t>
            </w:r>
            <w:r>
              <w:rPr>
                <w:spacing w:val="-2"/>
                <w:sz w:val="20"/>
              </w:rPr>
              <w:t>O31.0,</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O31.1,</w:t>
            </w:r>
            <w:r>
              <w:rPr>
                <w:spacing w:val="-4"/>
                <w:sz w:val="20"/>
              </w:rPr>
              <w:t> </w:t>
            </w:r>
            <w:r>
              <w:rPr>
                <w:sz w:val="20"/>
              </w:rPr>
              <w:t>O31.2,</w:t>
            </w:r>
            <w:r>
              <w:rPr>
                <w:spacing w:val="-6"/>
                <w:sz w:val="20"/>
              </w:rPr>
              <w:t> </w:t>
            </w:r>
            <w:r>
              <w:rPr>
                <w:sz w:val="20"/>
              </w:rPr>
              <w:t>O31.8,</w:t>
            </w:r>
            <w:r>
              <w:rPr>
                <w:spacing w:val="-4"/>
                <w:sz w:val="20"/>
              </w:rPr>
              <w:t> </w:t>
            </w:r>
            <w:r>
              <w:rPr>
                <w:sz w:val="20"/>
              </w:rPr>
              <w:t>O32.0,</w:t>
            </w:r>
            <w:r>
              <w:rPr>
                <w:spacing w:val="-6"/>
                <w:sz w:val="20"/>
              </w:rPr>
              <w:t> </w:t>
            </w:r>
            <w:r>
              <w:rPr>
                <w:sz w:val="20"/>
              </w:rPr>
              <w:t>O32.1,</w:t>
            </w:r>
            <w:r>
              <w:rPr>
                <w:spacing w:val="-4"/>
                <w:sz w:val="20"/>
              </w:rPr>
              <w:t> </w:t>
            </w:r>
            <w:r>
              <w:rPr>
                <w:spacing w:val="-2"/>
                <w:sz w:val="20"/>
              </w:rPr>
              <w:t>O32.2,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O32.3,</w:t>
            </w:r>
            <w:r>
              <w:rPr>
                <w:spacing w:val="-4"/>
                <w:sz w:val="20"/>
              </w:rPr>
              <w:t> </w:t>
            </w:r>
            <w:r>
              <w:rPr>
                <w:sz w:val="20"/>
              </w:rPr>
              <w:t>O32.4,</w:t>
            </w:r>
            <w:r>
              <w:rPr>
                <w:spacing w:val="-6"/>
                <w:sz w:val="20"/>
              </w:rPr>
              <w:t> </w:t>
            </w:r>
            <w:r>
              <w:rPr>
                <w:sz w:val="20"/>
              </w:rPr>
              <w:t>O32.5,</w:t>
            </w:r>
            <w:r>
              <w:rPr>
                <w:spacing w:val="-4"/>
                <w:sz w:val="20"/>
              </w:rPr>
              <w:t> </w:t>
            </w:r>
            <w:r>
              <w:rPr>
                <w:sz w:val="20"/>
              </w:rPr>
              <w:t>O32.6,</w:t>
            </w:r>
            <w:r>
              <w:rPr>
                <w:spacing w:val="-6"/>
                <w:sz w:val="20"/>
              </w:rPr>
              <w:t> </w:t>
            </w:r>
            <w:r>
              <w:rPr>
                <w:sz w:val="20"/>
              </w:rPr>
              <w:t>O32.8,</w:t>
            </w:r>
            <w:r>
              <w:rPr>
                <w:spacing w:val="-4"/>
                <w:sz w:val="20"/>
              </w:rPr>
              <w:t> </w:t>
            </w:r>
            <w:r>
              <w:rPr>
                <w:spacing w:val="-2"/>
                <w:sz w:val="20"/>
              </w:rPr>
              <w:t>O32.9,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O33.0,</w:t>
            </w:r>
            <w:r>
              <w:rPr>
                <w:spacing w:val="-4"/>
                <w:sz w:val="20"/>
              </w:rPr>
              <w:t> </w:t>
            </w:r>
            <w:r>
              <w:rPr>
                <w:sz w:val="20"/>
              </w:rPr>
              <w:t>O33.1,</w:t>
            </w:r>
            <w:r>
              <w:rPr>
                <w:spacing w:val="-6"/>
                <w:sz w:val="20"/>
              </w:rPr>
              <w:t> </w:t>
            </w:r>
            <w:r>
              <w:rPr>
                <w:sz w:val="20"/>
              </w:rPr>
              <w:t>O33.2,</w:t>
            </w:r>
            <w:r>
              <w:rPr>
                <w:spacing w:val="-4"/>
                <w:sz w:val="20"/>
              </w:rPr>
              <w:t> </w:t>
            </w:r>
            <w:r>
              <w:rPr>
                <w:sz w:val="20"/>
              </w:rPr>
              <w:t>O33.3,</w:t>
            </w:r>
            <w:r>
              <w:rPr>
                <w:spacing w:val="-6"/>
                <w:sz w:val="20"/>
              </w:rPr>
              <w:t> </w:t>
            </w:r>
            <w:r>
              <w:rPr>
                <w:sz w:val="20"/>
              </w:rPr>
              <w:t>O33.4,</w:t>
            </w:r>
            <w:r>
              <w:rPr>
                <w:spacing w:val="-4"/>
                <w:sz w:val="20"/>
              </w:rPr>
              <w:t> </w:t>
            </w:r>
            <w:r>
              <w:rPr>
                <w:spacing w:val="-2"/>
                <w:sz w:val="20"/>
              </w:rPr>
              <w:t>O33.5,</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O33.6,</w:t>
            </w:r>
            <w:r>
              <w:rPr>
                <w:spacing w:val="-4"/>
                <w:sz w:val="20"/>
              </w:rPr>
              <w:t> </w:t>
            </w:r>
            <w:r>
              <w:rPr>
                <w:sz w:val="20"/>
              </w:rPr>
              <w:t>O33.7,</w:t>
            </w:r>
            <w:r>
              <w:rPr>
                <w:spacing w:val="-6"/>
                <w:sz w:val="20"/>
              </w:rPr>
              <w:t> </w:t>
            </w:r>
            <w:r>
              <w:rPr>
                <w:sz w:val="20"/>
              </w:rPr>
              <w:t>O33.8,</w:t>
            </w:r>
            <w:r>
              <w:rPr>
                <w:spacing w:val="-4"/>
                <w:sz w:val="20"/>
              </w:rPr>
              <w:t> </w:t>
            </w:r>
            <w:r>
              <w:rPr>
                <w:sz w:val="20"/>
              </w:rPr>
              <w:t>O33.9,</w:t>
            </w:r>
            <w:r>
              <w:rPr>
                <w:spacing w:val="-6"/>
                <w:sz w:val="20"/>
              </w:rPr>
              <w:t> </w:t>
            </w:r>
            <w:r>
              <w:rPr>
                <w:sz w:val="20"/>
              </w:rPr>
              <w:t>O34.0,</w:t>
            </w:r>
            <w:r>
              <w:rPr>
                <w:spacing w:val="-4"/>
                <w:sz w:val="20"/>
              </w:rPr>
              <w:t> </w:t>
            </w:r>
            <w:r>
              <w:rPr>
                <w:spacing w:val="-2"/>
                <w:sz w:val="20"/>
              </w:rPr>
              <w:t>O34.1,</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O34.2,</w:t>
            </w:r>
            <w:r>
              <w:rPr>
                <w:spacing w:val="-4"/>
                <w:sz w:val="20"/>
              </w:rPr>
              <w:t> </w:t>
            </w:r>
            <w:r>
              <w:rPr>
                <w:sz w:val="20"/>
              </w:rPr>
              <w:t>O34.3,</w:t>
            </w:r>
            <w:r>
              <w:rPr>
                <w:spacing w:val="-6"/>
                <w:sz w:val="20"/>
              </w:rPr>
              <w:t> </w:t>
            </w:r>
            <w:r>
              <w:rPr>
                <w:sz w:val="20"/>
              </w:rPr>
              <w:t>O34.4,</w:t>
            </w:r>
            <w:r>
              <w:rPr>
                <w:spacing w:val="-4"/>
                <w:sz w:val="20"/>
              </w:rPr>
              <w:t> </w:t>
            </w:r>
            <w:r>
              <w:rPr>
                <w:sz w:val="20"/>
              </w:rPr>
              <w:t>O34.5,</w:t>
            </w:r>
            <w:r>
              <w:rPr>
                <w:spacing w:val="-6"/>
                <w:sz w:val="20"/>
              </w:rPr>
              <w:t> </w:t>
            </w:r>
            <w:r>
              <w:rPr>
                <w:sz w:val="20"/>
              </w:rPr>
              <w:t>O34.6,</w:t>
            </w:r>
            <w:r>
              <w:rPr>
                <w:spacing w:val="-4"/>
                <w:sz w:val="20"/>
              </w:rPr>
              <w:t> </w:t>
            </w:r>
            <w:r>
              <w:rPr>
                <w:spacing w:val="-2"/>
                <w:sz w:val="20"/>
              </w:rPr>
              <w:t>O34.7,</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O34.8,</w:t>
            </w:r>
            <w:r>
              <w:rPr>
                <w:spacing w:val="-4"/>
                <w:sz w:val="20"/>
              </w:rPr>
              <w:t> </w:t>
            </w:r>
            <w:r>
              <w:rPr>
                <w:sz w:val="20"/>
              </w:rPr>
              <w:t>O34.9,</w:t>
            </w:r>
            <w:r>
              <w:rPr>
                <w:spacing w:val="-6"/>
                <w:sz w:val="20"/>
              </w:rPr>
              <w:t> </w:t>
            </w:r>
            <w:r>
              <w:rPr>
                <w:sz w:val="20"/>
              </w:rPr>
              <w:t>O35.0,</w:t>
            </w:r>
            <w:r>
              <w:rPr>
                <w:spacing w:val="-4"/>
                <w:sz w:val="20"/>
              </w:rPr>
              <w:t> </w:t>
            </w:r>
            <w:r>
              <w:rPr>
                <w:sz w:val="20"/>
              </w:rPr>
              <w:t>O35.1,</w:t>
            </w:r>
            <w:r>
              <w:rPr>
                <w:spacing w:val="-2"/>
                <w:sz w:val="20"/>
              </w:rPr>
              <w:t> </w:t>
            </w:r>
            <w:r>
              <w:rPr>
                <w:sz w:val="20"/>
              </w:rPr>
              <w:t>O35.2,</w:t>
            </w:r>
            <w:r>
              <w:rPr>
                <w:spacing w:val="-4"/>
                <w:sz w:val="20"/>
              </w:rPr>
              <w:t> </w:t>
            </w:r>
            <w:r>
              <w:rPr>
                <w:spacing w:val="-2"/>
                <w:sz w:val="20"/>
              </w:rPr>
              <w:t>O35.3,</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O35.4,</w:t>
            </w:r>
            <w:r>
              <w:rPr>
                <w:spacing w:val="-4"/>
                <w:sz w:val="20"/>
              </w:rPr>
              <w:t> </w:t>
            </w:r>
            <w:r>
              <w:rPr>
                <w:sz w:val="20"/>
              </w:rPr>
              <w:t>O35.5,</w:t>
            </w:r>
            <w:r>
              <w:rPr>
                <w:spacing w:val="-6"/>
                <w:sz w:val="20"/>
              </w:rPr>
              <w:t> </w:t>
            </w:r>
            <w:r>
              <w:rPr>
                <w:sz w:val="20"/>
              </w:rPr>
              <w:t>O35.6,</w:t>
            </w:r>
            <w:r>
              <w:rPr>
                <w:spacing w:val="-4"/>
                <w:sz w:val="20"/>
              </w:rPr>
              <w:t> </w:t>
            </w:r>
            <w:r>
              <w:rPr>
                <w:sz w:val="20"/>
              </w:rPr>
              <w:t>O35.7,</w:t>
            </w:r>
            <w:r>
              <w:rPr>
                <w:spacing w:val="-6"/>
                <w:sz w:val="20"/>
              </w:rPr>
              <w:t> </w:t>
            </w:r>
            <w:r>
              <w:rPr>
                <w:sz w:val="20"/>
              </w:rPr>
              <w:t>O35.8,</w:t>
            </w:r>
            <w:r>
              <w:rPr>
                <w:spacing w:val="-4"/>
                <w:sz w:val="20"/>
              </w:rPr>
              <w:t> </w:t>
            </w:r>
            <w:r>
              <w:rPr>
                <w:spacing w:val="-2"/>
                <w:sz w:val="20"/>
              </w:rPr>
              <w:t>O35.9,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O36.0,</w:t>
            </w:r>
            <w:r>
              <w:rPr>
                <w:spacing w:val="-4"/>
                <w:sz w:val="20"/>
              </w:rPr>
              <w:t> </w:t>
            </w:r>
            <w:r>
              <w:rPr>
                <w:sz w:val="20"/>
              </w:rPr>
              <w:t>O36.1,</w:t>
            </w:r>
            <w:r>
              <w:rPr>
                <w:spacing w:val="-6"/>
                <w:sz w:val="20"/>
              </w:rPr>
              <w:t> </w:t>
            </w:r>
            <w:r>
              <w:rPr>
                <w:sz w:val="20"/>
              </w:rPr>
              <w:t>O36.2,</w:t>
            </w:r>
            <w:r>
              <w:rPr>
                <w:spacing w:val="-4"/>
                <w:sz w:val="20"/>
              </w:rPr>
              <w:t> </w:t>
            </w:r>
            <w:r>
              <w:rPr>
                <w:sz w:val="20"/>
              </w:rPr>
              <w:t>O36.3,</w:t>
            </w:r>
            <w:r>
              <w:rPr>
                <w:spacing w:val="-6"/>
                <w:sz w:val="20"/>
              </w:rPr>
              <w:t> </w:t>
            </w:r>
            <w:r>
              <w:rPr>
                <w:sz w:val="20"/>
              </w:rPr>
              <w:t>O36.4,</w:t>
            </w:r>
            <w:r>
              <w:rPr>
                <w:spacing w:val="-4"/>
                <w:sz w:val="20"/>
              </w:rPr>
              <w:t> </w:t>
            </w:r>
            <w:r>
              <w:rPr>
                <w:spacing w:val="-2"/>
                <w:sz w:val="20"/>
              </w:rPr>
              <w:t>O36.5,</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362"/>
              <w:rPr>
                <w:sz w:val="20"/>
              </w:rPr>
            </w:pPr>
            <w:r>
              <w:rPr>
                <w:sz w:val="20"/>
              </w:rPr>
              <w:t>O36.6,</w:t>
            </w:r>
            <w:r>
              <w:rPr>
                <w:spacing w:val="-4"/>
                <w:sz w:val="20"/>
              </w:rPr>
              <w:t> </w:t>
            </w:r>
            <w:r>
              <w:rPr>
                <w:sz w:val="20"/>
              </w:rPr>
              <w:t>O36.7,</w:t>
            </w:r>
            <w:r>
              <w:rPr>
                <w:spacing w:val="-6"/>
                <w:sz w:val="20"/>
              </w:rPr>
              <w:t> </w:t>
            </w:r>
            <w:r>
              <w:rPr>
                <w:sz w:val="20"/>
              </w:rPr>
              <w:t>O36.8,</w:t>
            </w:r>
            <w:r>
              <w:rPr>
                <w:spacing w:val="-4"/>
                <w:sz w:val="20"/>
              </w:rPr>
              <w:t> </w:t>
            </w:r>
            <w:r>
              <w:rPr>
                <w:sz w:val="20"/>
              </w:rPr>
              <w:t>O36.9,</w:t>
            </w:r>
            <w:r>
              <w:rPr>
                <w:spacing w:val="-6"/>
                <w:sz w:val="20"/>
              </w:rPr>
              <w:t> </w:t>
            </w:r>
            <w:r>
              <w:rPr>
                <w:sz w:val="20"/>
              </w:rPr>
              <w:t>O40,</w:t>
            </w:r>
            <w:r>
              <w:rPr>
                <w:spacing w:val="-4"/>
                <w:sz w:val="20"/>
              </w:rPr>
              <w:t> </w:t>
            </w:r>
            <w:r>
              <w:rPr>
                <w:sz w:val="20"/>
              </w:rPr>
              <w:t>O41.0,</w:t>
            </w:r>
            <w:r>
              <w:rPr>
                <w:spacing w:val="-4"/>
                <w:sz w:val="20"/>
              </w:rPr>
              <w:t> </w:t>
            </w:r>
            <w:r>
              <w:rPr>
                <w:spacing w:val="-2"/>
                <w:sz w:val="20"/>
              </w:rPr>
              <w:t>O41.1,</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1" w:lineRule="exact"/>
              <w:ind w:left="585"/>
              <w:rPr>
                <w:sz w:val="20"/>
              </w:rPr>
            </w:pPr>
            <w:r>
              <w:rPr>
                <w:sz w:val="20"/>
              </w:rPr>
              <w:t>O41.8,</w:t>
            </w:r>
            <w:r>
              <w:rPr>
                <w:spacing w:val="-4"/>
                <w:sz w:val="20"/>
              </w:rPr>
              <w:t> </w:t>
            </w:r>
            <w:r>
              <w:rPr>
                <w:sz w:val="20"/>
              </w:rPr>
              <w:t>O41.9,</w:t>
            </w:r>
            <w:r>
              <w:rPr>
                <w:spacing w:val="-6"/>
                <w:sz w:val="20"/>
              </w:rPr>
              <w:t> </w:t>
            </w:r>
            <w:r>
              <w:rPr>
                <w:sz w:val="20"/>
              </w:rPr>
              <w:t>O42.0,</w:t>
            </w:r>
            <w:r>
              <w:rPr>
                <w:spacing w:val="-4"/>
                <w:sz w:val="20"/>
              </w:rPr>
              <w:t> </w:t>
            </w:r>
            <w:r>
              <w:rPr>
                <w:sz w:val="20"/>
              </w:rPr>
              <w:t>O42.1,</w:t>
            </w:r>
            <w:r>
              <w:rPr>
                <w:spacing w:val="-6"/>
                <w:sz w:val="20"/>
              </w:rPr>
              <w:t> </w:t>
            </w:r>
            <w:r>
              <w:rPr>
                <w:sz w:val="20"/>
              </w:rPr>
              <w:t>O42.2,</w:t>
            </w:r>
            <w:r>
              <w:rPr>
                <w:spacing w:val="-4"/>
                <w:sz w:val="20"/>
              </w:rPr>
              <w:t> </w:t>
            </w:r>
            <w:r>
              <w:rPr>
                <w:spacing w:val="-2"/>
                <w:sz w:val="20"/>
              </w:rPr>
              <w:t>O42.9,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1" w:lineRule="exact"/>
              <w:ind w:left="585"/>
              <w:rPr>
                <w:sz w:val="20"/>
              </w:rPr>
            </w:pPr>
            <w:r>
              <w:rPr>
                <w:sz w:val="20"/>
              </w:rPr>
              <w:t>O43.0,</w:t>
            </w:r>
            <w:r>
              <w:rPr>
                <w:spacing w:val="-4"/>
                <w:sz w:val="20"/>
              </w:rPr>
              <w:t> </w:t>
            </w:r>
            <w:r>
              <w:rPr>
                <w:sz w:val="20"/>
              </w:rPr>
              <w:t>O43.1,</w:t>
            </w:r>
            <w:r>
              <w:rPr>
                <w:spacing w:val="-6"/>
                <w:sz w:val="20"/>
              </w:rPr>
              <w:t> </w:t>
            </w:r>
            <w:r>
              <w:rPr>
                <w:sz w:val="20"/>
              </w:rPr>
              <w:t>O43.2,</w:t>
            </w:r>
            <w:r>
              <w:rPr>
                <w:spacing w:val="-4"/>
                <w:sz w:val="20"/>
              </w:rPr>
              <w:t> </w:t>
            </w:r>
            <w:r>
              <w:rPr>
                <w:sz w:val="20"/>
              </w:rPr>
              <w:t>O43.8,</w:t>
            </w:r>
            <w:r>
              <w:rPr>
                <w:spacing w:val="-6"/>
                <w:sz w:val="20"/>
              </w:rPr>
              <w:t> </w:t>
            </w:r>
            <w:r>
              <w:rPr>
                <w:sz w:val="20"/>
              </w:rPr>
              <w:t>O43.9,</w:t>
            </w:r>
            <w:r>
              <w:rPr>
                <w:spacing w:val="-4"/>
                <w:sz w:val="20"/>
              </w:rPr>
              <w:t> </w:t>
            </w:r>
            <w:r>
              <w:rPr>
                <w:spacing w:val="-2"/>
                <w:sz w:val="20"/>
              </w:rPr>
              <w:t>O44.0,</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O44.1,</w:t>
            </w:r>
            <w:r>
              <w:rPr>
                <w:spacing w:val="-4"/>
                <w:sz w:val="20"/>
              </w:rPr>
              <w:t> </w:t>
            </w:r>
            <w:r>
              <w:rPr>
                <w:sz w:val="20"/>
              </w:rPr>
              <w:t>O45.0,</w:t>
            </w:r>
            <w:r>
              <w:rPr>
                <w:spacing w:val="-6"/>
                <w:sz w:val="20"/>
              </w:rPr>
              <w:t> </w:t>
            </w:r>
            <w:r>
              <w:rPr>
                <w:sz w:val="20"/>
              </w:rPr>
              <w:t>O45.8,</w:t>
            </w:r>
            <w:r>
              <w:rPr>
                <w:spacing w:val="-4"/>
                <w:sz w:val="20"/>
              </w:rPr>
              <w:t> </w:t>
            </w:r>
            <w:r>
              <w:rPr>
                <w:sz w:val="20"/>
              </w:rPr>
              <w:t>O45.9,</w:t>
            </w:r>
            <w:r>
              <w:rPr>
                <w:spacing w:val="-2"/>
                <w:sz w:val="20"/>
              </w:rPr>
              <w:t> </w:t>
            </w:r>
            <w:r>
              <w:rPr>
                <w:sz w:val="20"/>
              </w:rPr>
              <w:t>O46.0,</w:t>
            </w:r>
            <w:r>
              <w:rPr>
                <w:spacing w:val="-4"/>
                <w:sz w:val="20"/>
              </w:rPr>
              <w:t> </w:t>
            </w:r>
            <w:r>
              <w:rPr>
                <w:spacing w:val="-2"/>
                <w:sz w:val="20"/>
              </w:rPr>
              <w:t>O46.8,</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362"/>
              <w:rPr>
                <w:sz w:val="20"/>
              </w:rPr>
            </w:pPr>
            <w:r>
              <w:rPr>
                <w:sz w:val="20"/>
              </w:rPr>
              <w:t>O46.9,</w:t>
            </w:r>
            <w:r>
              <w:rPr>
                <w:spacing w:val="-4"/>
                <w:sz w:val="20"/>
              </w:rPr>
              <w:t> </w:t>
            </w:r>
            <w:r>
              <w:rPr>
                <w:sz w:val="20"/>
              </w:rPr>
              <w:t>O47.0,</w:t>
            </w:r>
            <w:r>
              <w:rPr>
                <w:spacing w:val="-6"/>
                <w:sz w:val="20"/>
              </w:rPr>
              <w:t> </w:t>
            </w:r>
            <w:r>
              <w:rPr>
                <w:sz w:val="20"/>
              </w:rPr>
              <w:t>O47.1,</w:t>
            </w:r>
            <w:r>
              <w:rPr>
                <w:spacing w:val="-4"/>
                <w:sz w:val="20"/>
              </w:rPr>
              <w:t> </w:t>
            </w:r>
            <w:r>
              <w:rPr>
                <w:sz w:val="20"/>
              </w:rPr>
              <w:t>O47.9,</w:t>
            </w:r>
            <w:r>
              <w:rPr>
                <w:spacing w:val="-6"/>
                <w:sz w:val="20"/>
              </w:rPr>
              <w:t> </w:t>
            </w:r>
            <w:r>
              <w:rPr>
                <w:sz w:val="20"/>
              </w:rPr>
              <w:t>O48,</w:t>
            </w:r>
            <w:r>
              <w:rPr>
                <w:spacing w:val="-4"/>
                <w:sz w:val="20"/>
              </w:rPr>
              <w:t> </w:t>
            </w:r>
            <w:r>
              <w:rPr>
                <w:sz w:val="20"/>
              </w:rPr>
              <w:t>O60.0,</w:t>
            </w:r>
            <w:r>
              <w:rPr>
                <w:spacing w:val="-4"/>
                <w:sz w:val="20"/>
              </w:rPr>
              <w:t> </w:t>
            </w:r>
            <w:r>
              <w:rPr>
                <w:spacing w:val="-2"/>
                <w:sz w:val="20"/>
              </w:rPr>
              <w:t>O98.0,</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O98.1,</w:t>
            </w:r>
            <w:r>
              <w:rPr>
                <w:spacing w:val="-4"/>
                <w:sz w:val="20"/>
              </w:rPr>
              <w:t> </w:t>
            </w:r>
            <w:r>
              <w:rPr>
                <w:sz w:val="20"/>
              </w:rPr>
              <w:t>O98.2,</w:t>
            </w:r>
            <w:r>
              <w:rPr>
                <w:spacing w:val="-6"/>
                <w:sz w:val="20"/>
              </w:rPr>
              <w:t> </w:t>
            </w:r>
            <w:r>
              <w:rPr>
                <w:sz w:val="20"/>
              </w:rPr>
              <w:t>O98.3,</w:t>
            </w:r>
            <w:r>
              <w:rPr>
                <w:spacing w:val="-4"/>
                <w:sz w:val="20"/>
              </w:rPr>
              <w:t> </w:t>
            </w:r>
            <w:r>
              <w:rPr>
                <w:sz w:val="20"/>
              </w:rPr>
              <w:t>O98.4,</w:t>
            </w:r>
            <w:r>
              <w:rPr>
                <w:spacing w:val="-6"/>
                <w:sz w:val="20"/>
              </w:rPr>
              <w:t> </w:t>
            </w:r>
            <w:r>
              <w:rPr>
                <w:sz w:val="20"/>
              </w:rPr>
              <w:t>O98.5,</w:t>
            </w:r>
            <w:r>
              <w:rPr>
                <w:spacing w:val="-4"/>
                <w:sz w:val="20"/>
              </w:rPr>
              <w:t> </w:t>
            </w:r>
            <w:r>
              <w:rPr>
                <w:spacing w:val="-2"/>
                <w:sz w:val="20"/>
              </w:rPr>
              <w:t>O98.6,</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O98.8,</w:t>
            </w:r>
            <w:r>
              <w:rPr>
                <w:spacing w:val="-4"/>
                <w:sz w:val="20"/>
              </w:rPr>
              <w:t> </w:t>
            </w:r>
            <w:r>
              <w:rPr>
                <w:sz w:val="20"/>
              </w:rPr>
              <w:t>O98.9,</w:t>
            </w:r>
            <w:r>
              <w:rPr>
                <w:spacing w:val="-6"/>
                <w:sz w:val="20"/>
              </w:rPr>
              <w:t> </w:t>
            </w:r>
            <w:r>
              <w:rPr>
                <w:sz w:val="20"/>
              </w:rPr>
              <w:t>O99.0,</w:t>
            </w:r>
            <w:r>
              <w:rPr>
                <w:spacing w:val="-4"/>
                <w:sz w:val="20"/>
              </w:rPr>
              <w:t> </w:t>
            </w:r>
            <w:r>
              <w:rPr>
                <w:sz w:val="20"/>
              </w:rPr>
              <w:t>O99.1,</w:t>
            </w:r>
            <w:r>
              <w:rPr>
                <w:spacing w:val="-6"/>
                <w:sz w:val="20"/>
              </w:rPr>
              <w:t> </w:t>
            </w:r>
            <w:r>
              <w:rPr>
                <w:sz w:val="20"/>
              </w:rPr>
              <w:t>O99.2,</w:t>
            </w:r>
            <w:r>
              <w:rPr>
                <w:spacing w:val="-4"/>
                <w:sz w:val="20"/>
              </w:rPr>
              <w:t> </w:t>
            </w:r>
            <w:r>
              <w:rPr>
                <w:spacing w:val="-2"/>
                <w:sz w:val="20"/>
              </w:rPr>
              <w:t>O99.3,</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26" w:lineRule="exact"/>
              <w:ind w:left="909"/>
              <w:rPr>
                <w:sz w:val="20"/>
              </w:rPr>
            </w:pPr>
            <w:r>
              <w:rPr>
                <w:sz w:val="20"/>
              </w:rPr>
              <w:t>O99.4,</w:t>
            </w:r>
            <w:r>
              <w:rPr>
                <w:spacing w:val="-5"/>
                <w:sz w:val="20"/>
              </w:rPr>
              <w:t> </w:t>
            </w:r>
            <w:r>
              <w:rPr>
                <w:sz w:val="20"/>
              </w:rPr>
              <w:t>O99.5,</w:t>
            </w:r>
            <w:r>
              <w:rPr>
                <w:spacing w:val="-6"/>
                <w:sz w:val="20"/>
              </w:rPr>
              <w:t> </w:t>
            </w:r>
            <w:r>
              <w:rPr>
                <w:sz w:val="20"/>
              </w:rPr>
              <w:t>O99.6,</w:t>
            </w:r>
            <w:r>
              <w:rPr>
                <w:spacing w:val="-4"/>
                <w:sz w:val="20"/>
              </w:rPr>
              <w:t> </w:t>
            </w:r>
            <w:r>
              <w:rPr>
                <w:sz w:val="20"/>
              </w:rPr>
              <w:t>O99.7,</w:t>
            </w:r>
            <w:r>
              <w:rPr>
                <w:spacing w:val="-6"/>
                <w:sz w:val="20"/>
              </w:rPr>
              <w:t> </w:t>
            </w:r>
            <w:r>
              <w:rPr>
                <w:spacing w:val="-4"/>
                <w:sz w:val="20"/>
              </w:rPr>
              <w:t>O99.8</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96" w:type="dxa"/>
          </w:tcPr>
          <w:p>
            <w:pPr>
              <w:pStyle w:val="TableParagraph"/>
              <w:spacing w:line="215" w:lineRule="exact" w:before="45"/>
              <w:ind w:left="50"/>
              <w:rPr>
                <w:sz w:val="20"/>
              </w:rPr>
            </w:pPr>
            <w:r>
              <w:rPr>
                <w:spacing w:val="-2"/>
                <w:sz w:val="20"/>
              </w:rPr>
              <w:t>st02.002</w:t>
            </w:r>
          </w:p>
        </w:tc>
        <w:tc>
          <w:tcPr>
            <w:tcW w:w="606" w:type="dxa"/>
          </w:tcPr>
          <w:p>
            <w:pPr>
              <w:pStyle w:val="TableParagraph"/>
              <w:spacing w:line="215" w:lineRule="exact" w:before="45"/>
              <w:ind w:left="16"/>
              <w:jc w:val="center"/>
              <w:rPr>
                <w:sz w:val="20"/>
              </w:rPr>
            </w:pPr>
            <w:r>
              <w:rPr>
                <w:w w:val="99"/>
                <w:sz w:val="20"/>
              </w:rPr>
              <w:t>3</w:t>
            </w:r>
          </w:p>
        </w:tc>
        <w:tc>
          <w:tcPr>
            <w:tcW w:w="2426" w:type="dxa"/>
          </w:tcPr>
          <w:p>
            <w:pPr>
              <w:pStyle w:val="TableParagraph"/>
              <w:spacing w:line="215" w:lineRule="exact" w:before="45"/>
              <w:ind w:left="243"/>
              <w:rPr>
                <w:sz w:val="20"/>
              </w:rPr>
            </w:pPr>
            <w:r>
              <w:rPr>
                <w:spacing w:val="-2"/>
                <w:sz w:val="20"/>
              </w:rPr>
              <w:t>Беременность,</w:t>
            </w:r>
          </w:p>
        </w:tc>
        <w:tc>
          <w:tcPr>
            <w:tcW w:w="5257" w:type="dxa"/>
          </w:tcPr>
          <w:p>
            <w:pPr>
              <w:pStyle w:val="TableParagraph"/>
              <w:spacing w:line="215" w:lineRule="exact" w:before="45"/>
              <w:ind w:left="439"/>
              <w:rPr>
                <w:sz w:val="20"/>
              </w:rPr>
            </w:pPr>
            <w:r>
              <w:rPr>
                <w:sz w:val="20"/>
              </w:rPr>
              <w:t>O00,</w:t>
            </w:r>
            <w:r>
              <w:rPr>
                <w:spacing w:val="-6"/>
                <w:sz w:val="20"/>
              </w:rPr>
              <w:t> </w:t>
            </w:r>
            <w:r>
              <w:rPr>
                <w:sz w:val="20"/>
              </w:rPr>
              <w:t>O00.0,</w:t>
            </w:r>
            <w:r>
              <w:rPr>
                <w:spacing w:val="-5"/>
                <w:sz w:val="20"/>
              </w:rPr>
              <w:t> </w:t>
            </w:r>
            <w:r>
              <w:rPr>
                <w:sz w:val="20"/>
              </w:rPr>
              <w:t>O00.1,</w:t>
            </w:r>
            <w:r>
              <w:rPr>
                <w:spacing w:val="-6"/>
                <w:sz w:val="20"/>
              </w:rPr>
              <w:t> </w:t>
            </w:r>
            <w:r>
              <w:rPr>
                <w:sz w:val="20"/>
              </w:rPr>
              <w:t>O00.2,</w:t>
            </w:r>
            <w:r>
              <w:rPr>
                <w:spacing w:val="-5"/>
                <w:sz w:val="20"/>
              </w:rPr>
              <w:t> </w:t>
            </w:r>
            <w:r>
              <w:rPr>
                <w:sz w:val="20"/>
              </w:rPr>
              <w:t>O00.8,</w:t>
            </w:r>
            <w:r>
              <w:rPr>
                <w:spacing w:val="-5"/>
                <w:sz w:val="20"/>
              </w:rPr>
              <w:t> </w:t>
            </w:r>
            <w:r>
              <w:rPr>
                <w:sz w:val="20"/>
              </w:rPr>
              <w:t>O00.9,</w:t>
            </w:r>
            <w:r>
              <w:rPr>
                <w:spacing w:val="-6"/>
                <w:sz w:val="20"/>
              </w:rPr>
              <w:t> </w:t>
            </w:r>
            <w:r>
              <w:rPr>
                <w:spacing w:val="-4"/>
                <w:sz w:val="20"/>
              </w:rPr>
              <w:t>O02,</w:t>
            </w:r>
          </w:p>
        </w:tc>
        <w:tc>
          <w:tcPr>
            <w:tcW w:w="2402" w:type="dxa"/>
          </w:tcPr>
          <w:p>
            <w:pPr>
              <w:pStyle w:val="TableParagraph"/>
              <w:spacing w:line="215" w:lineRule="exact" w:before="45"/>
              <w:ind w:right="463"/>
              <w:jc w:val="center"/>
              <w:rPr>
                <w:sz w:val="20"/>
              </w:rPr>
            </w:pPr>
            <w:r>
              <w:rPr>
                <w:w w:val="99"/>
                <w:sz w:val="20"/>
              </w:rPr>
              <w:t>-</w:t>
            </w:r>
          </w:p>
        </w:tc>
        <w:tc>
          <w:tcPr>
            <w:tcW w:w="2326" w:type="dxa"/>
          </w:tcPr>
          <w:p>
            <w:pPr>
              <w:pStyle w:val="TableParagraph"/>
              <w:spacing w:line="215" w:lineRule="exact" w:before="45"/>
              <w:ind w:left="539"/>
              <w:jc w:val="center"/>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0,28</w:t>
            </w: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spacing w:line="210" w:lineRule="exact"/>
              <w:ind w:left="243"/>
              <w:rPr>
                <w:sz w:val="20"/>
              </w:rPr>
            </w:pPr>
            <w:r>
              <w:rPr>
                <w:spacing w:val="-2"/>
                <w:sz w:val="20"/>
              </w:rPr>
              <w:t>закончившаяся</w:t>
            </w:r>
          </w:p>
        </w:tc>
        <w:tc>
          <w:tcPr>
            <w:tcW w:w="5257" w:type="dxa"/>
          </w:tcPr>
          <w:p>
            <w:pPr>
              <w:pStyle w:val="TableParagraph"/>
              <w:spacing w:line="210" w:lineRule="exact"/>
              <w:ind w:left="362"/>
              <w:rPr>
                <w:sz w:val="20"/>
              </w:rPr>
            </w:pPr>
            <w:r>
              <w:rPr>
                <w:sz w:val="20"/>
              </w:rPr>
              <w:t>O02.0,</w:t>
            </w:r>
            <w:r>
              <w:rPr>
                <w:spacing w:val="-4"/>
                <w:sz w:val="20"/>
              </w:rPr>
              <w:t> </w:t>
            </w:r>
            <w:r>
              <w:rPr>
                <w:sz w:val="20"/>
              </w:rPr>
              <w:t>O02.1,</w:t>
            </w:r>
            <w:r>
              <w:rPr>
                <w:spacing w:val="-6"/>
                <w:sz w:val="20"/>
              </w:rPr>
              <w:t> </w:t>
            </w:r>
            <w:r>
              <w:rPr>
                <w:sz w:val="20"/>
              </w:rPr>
              <w:t>O02.8,</w:t>
            </w:r>
            <w:r>
              <w:rPr>
                <w:spacing w:val="-4"/>
                <w:sz w:val="20"/>
              </w:rPr>
              <w:t> </w:t>
            </w:r>
            <w:r>
              <w:rPr>
                <w:sz w:val="20"/>
              </w:rPr>
              <w:t>O02.9,</w:t>
            </w:r>
            <w:r>
              <w:rPr>
                <w:spacing w:val="-6"/>
                <w:sz w:val="20"/>
              </w:rPr>
              <w:t> </w:t>
            </w:r>
            <w:r>
              <w:rPr>
                <w:sz w:val="20"/>
              </w:rPr>
              <w:t>O03,</w:t>
            </w:r>
            <w:r>
              <w:rPr>
                <w:spacing w:val="-4"/>
                <w:sz w:val="20"/>
              </w:rPr>
              <w:t> </w:t>
            </w:r>
            <w:r>
              <w:rPr>
                <w:sz w:val="20"/>
              </w:rPr>
              <w:t>O03.0,</w:t>
            </w:r>
            <w:r>
              <w:rPr>
                <w:spacing w:val="-4"/>
                <w:sz w:val="20"/>
              </w:rPr>
              <w:t> </w:t>
            </w:r>
            <w:r>
              <w:rPr>
                <w:spacing w:val="-2"/>
                <w:sz w:val="20"/>
              </w:rPr>
              <w:t>O03.1,</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spacing w:line="210" w:lineRule="exact"/>
              <w:ind w:left="243"/>
              <w:rPr>
                <w:sz w:val="20"/>
              </w:rPr>
            </w:pPr>
            <w:r>
              <w:rPr>
                <w:sz w:val="20"/>
              </w:rPr>
              <w:t>абортивным</w:t>
            </w:r>
            <w:r>
              <w:rPr>
                <w:spacing w:val="-13"/>
                <w:sz w:val="20"/>
              </w:rPr>
              <w:t> </w:t>
            </w:r>
            <w:r>
              <w:rPr>
                <w:spacing w:val="-2"/>
                <w:sz w:val="20"/>
              </w:rPr>
              <w:t>исходом</w:t>
            </w:r>
          </w:p>
        </w:tc>
        <w:tc>
          <w:tcPr>
            <w:tcW w:w="5257" w:type="dxa"/>
          </w:tcPr>
          <w:p>
            <w:pPr>
              <w:pStyle w:val="TableParagraph"/>
              <w:spacing w:line="210" w:lineRule="exact"/>
              <w:ind w:left="585"/>
              <w:rPr>
                <w:sz w:val="20"/>
              </w:rPr>
            </w:pPr>
            <w:r>
              <w:rPr>
                <w:sz w:val="20"/>
              </w:rPr>
              <w:t>O03.2,</w:t>
            </w:r>
            <w:r>
              <w:rPr>
                <w:spacing w:val="-4"/>
                <w:sz w:val="20"/>
              </w:rPr>
              <w:t> </w:t>
            </w:r>
            <w:r>
              <w:rPr>
                <w:sz w:val="20"/>
              </w:rPr>
              <w:t>O03.3,</w:t>
            </w:r>
            <w:r>
              <w:rPr>
                <w:spacing w:val="-6"/>
                <w:sz w:val="20"/>
              </w:rPr>
              <w:t> </w:t>
            </w:r>
            <w:r>
              <w:rPr>
                <w:sz w:val="20"/>
              </w:rPr>
              <w:t>O03.4,</w:t>
            </w:r>
            <w:r>
              <w:rPr>
                <w:spacing w:val="-4"/>
                <w:sz w:val="20"/>
              </w:rPr>
              <w:t> </w:t>
            </w:r>
            <w:r>
              <w:rPr>
                <w:sz w:val="20"/>
              </w:rPr>
              <w:t>O03.5,</w:t>
            </w:r>
            <w:r>
              <w:rPr>
                <w:spacing w:val="-6"/>
                <w:sz w:val="20"/>
              </w:rPr>
              <w:t> </w:t>
            </w:r>
            <w:r>
              <w:rPr>
                <w:sz w:val="20"/>
              </w:rPr>
              <w:t>O03.6,</w:t>
            </w:r>
            <w:r>
              <w:rPr>
                <w:spacing w:val="-4"/>
                <w:sz w:val="20"/>
              </w:rPr>
              <w:t> </w:t>
            </w:r>
            <w:r>
              <w:rPr>
                <w:spacing w:val="-2"/>
                <w:sz w:val="20"/>
              </w:rPr>
              <w:t>O03.7,</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4"/>
              <w:rPr>
                <w:sz w:val="20"/>
              </w:rPr>
            </w:pPr>
            <w:r>
              <w:rPr>
                <w:sz w:val="20"/>
              </w:rPr>
              <w:t>O03.8,</w:t>
            </w:r>
            <w:r>
              <w:rPr>
                <w:spacing w:val="-6"/>
                <w:sz w:val="20"/>
              </w:rPr>
              <w:t> </w:t>
            </w:r>
            <w:r>
              <w:rPr>
                <w:sz w:val="20"/>
              </w:rPr>
              <w:t>O03.9,</w:t>
            </w:r>
            <w:r>
              <w:rPr>
                <w:spacing w:val="-7"/>
                <w:sz w:val="20"/>
              </w:rPr>
              <w:t> </w:t>
            </w:r>
            <w:r>
              <w:rPr>
                <w:sz w:val="20"/>
              </w:rPr>
              <w:t>O04,</w:t>
            </w:r>
            <w:r>
              <w:rPr>
                <w:spacing w:val="-5"/>
                <w:sz w:val="20"/>
              </w:rPr>
              <w:t> </w:t>
            </w:r>
            <w:r>
              <w:rPr>
                <w:sz w:val="20"/>
              </w:rPr>
              <w:t>O04.0,</w:t>
            </w:r>
            <w:r>
              <w:rPr>
                <w:spacing w:val="-5"/>
                <w:sz w:val="20"/>
              </w:rPr>
              <w:t> </w:t>
            </w:r>
            <w:r>
              <w:rPr>
                <w:sz w:val="20"/>
              </w:rPr>
              <w:t>O04.1,</w:t>
            </w:r>
            <w:r>
              <w:rPr>
                <w:spacing w:val="-5"/>
                <w:sz w:val="20"/>
              </w:rPr>
              <w:t> </w:t>
            </w:r>
            <w:r>
              <w:rPr>
                <w:sz w:val="20"/>
              </w:rPr>
              <w:t>O04.2,</w:t>
            </w:r>
            <w:r>
              <w:rPr>
                <w:spacing w:val="-6"/>
                <w:sz w:val="20"/>
              </w:rPr>
              <w:t> </w:t>
            </w:r>
            <w:r>
              <w:rPr>
                <w:spacing w:val="-2"/>
                <w:sz w:val="20"/>
              </w:rPr>
              <w:t>O04.3,</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2"/>
              <w:rPr>
                <w:sz w:val="20"/>
              </w:rPr>
            </w:pPr>
            <w:r>
              <w:rPr>
                <w:sz w:val="20"/>
              </w:rPr>
              <w:t>O04.4,</w:t>
            </w:r>
            <w:r>
              <w:rPr>
                <w:spacing w:val="-5"/>
                <w:sz w:val="20"/>
              </w:rPr>
              <w:t> </w:t>
            </w:r>
            <w:r>
              <w:rPr>
                <w:sz w:val="20"/>
              </w:rPr>
              <w:t>O04.5,</w:t>
            </w:r>
            <w:r>
              <w:rPr>
                <w:spacing w:val="-5"/>
                <w:sz w:val="20"/>
              </w:rPr>
              <w:t> </w:t>
            </w:r>
            <w:r>
              <w:rPr>
                <w:sz w:val="20"/>
              </w:rPr>
              <w:t>O04.6,</w:t>
            </w:r>
            <w:r>
              <w:rPr>
                <w:spacing w:val="-4"/>
                <w:sz w:val="20"/>
              </w:rPr>
              <w:t> </w:t>
            </w:r>
            <w:r>
              <w:rPr>
                <w:sz w:val="20"/>
              </w:rPr>
              <w:t>O04.7,</w:t>
            </w:r>
            <w:r>
              <w:rPr>
                <w:spacing w:val="-6"/>
                <w:sz w:val="20"/>
              </w:rPr>
              <w:t> </w:t>
            </w:r>
            <w:r>
              <w:rPr>
                <w:sz w:val="20"/>
              </w:rPr>
              <w:t>O04.8,</w:t>
            </w:r>
            <w:r>
              <w:rPr>
                <w:spacing w:val="-4"/>
                <w:sz w:val="20"/>
              </w:rPr>
              <w:t> </w:t>
            </w:r>
            <w:r>
              <w:rPr>
                <w:sz w:val="20"/>
              </w:rPr>
              <w:t>O04.9,</w:t>
            </w:r>
            <w:r>
              <w:rPr>
                <w:spacing w:val="-6"/>
                <w:sz w:val="20"/>
              </w:rPr>
              <w:t> </w:t>
            </w:r>
            <w:r>
              <w:rPr>
                <w:spacing w:val="-4"/>
                <w:sz w:val="20"/>
              </w:rPr>
              <w:t>O05,</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09" w:lineRule="exact"/>
              <w:ind w:left="585"/>
              <w:rPr>
                <w:sz w:val="20"/>
              </w:rPr>
            </w:pPr>
            <w:r>
              <w:rPr>
                <w:sz w:val="20"/>
              </w:rPr>
              <w:t>O05.0,</w:t>
            </w:r>
            <w:r>
              <w:rPr>
                <w:spacing w:val="-4"/>
                <w:sz w:val="20"/>
              </w:rPr>
              <w:t> </w:t>
            </w:r>
            <w:r>
              <w:rPr>
                <w:sz w:val="20"/>
              </w:rPr>
              <w:t>O05.1,</w:t>
            </w:r>
            <w:r>
              <w:rPr>
                <w:spacing w:val="-6"/>
                <w:sz w:val="20"/>
              </w:rPr>
              <w:t> </w:t>
            </w:r>
            <w:r>
              <w:rPr>
                <w:sz w:val="20"/>
              </w:rPr>
              <w:t>O05.2,</w:t>
            </w:r>
            <w:r>
              <w:rPr>
                <w:spacing w:val="-4"/>
                <w:sz w:val="20"/>
              </w:rPr>
              <w:t> </w:t>
            </w:r>
            <w:r>
              <w:rPr>
                <w:sz w:val="20"/>
              </w:rPr>
              <w:t>O05.3,</w:t>
            </w:r>
            <w:r>
              <w:rPr>
                <w:spacing w:val="-6"/>
                <w:sz w:val="20"/>
              </w:rPr>
              <w:t> </w:t>
            </w:r>
            <w:r>
              <w:rPr>
                <w:sz w:val="20"/>
              </w:rPr>
              <w:t>O05.4,</w:t>
            </w:r>
            <w:r>
              <w:rPr>
                <w:spacing w:val="-4"/>
                <w:sz w:val="20"/>
              </w:rPr>
              <w:t> </w:t>
            </w:r>
            <w:r>
              <w:rPr>
                <w:spacing w:val="-2"/>
                <w:sz w:val="20"/>
              </w:rPr>
              <w:t>O05.5,</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2"/>
              <w:rPr>
                <w:sz w:val="20"/>
              </w:rPr>
            </w:pPr>
            <w:r>
              <w:rPr>
                <w:sz w:val="20"/>
              </w:rPr>
              <w:t>O05.6,</w:t>
            </w:r>
            <w:r>
              <w:rPr>
                <w:spacing w:val="-4"/>
                <w:sz w:val="20"/>
              </w:rPr>
              <w:t> </w:t>
            </w:r>
            <w:r>
              <w:rPr>
                <w:sz w:val="20"/>
              </w:rPr>
              <w:t>O05.7,</w:t>
            </w:r>
            <w:r>
              <w:rPr>
                <w:spacing w:val="-6"/>
                <w:sz w:val="20"/>
              </w:rPr>
              <w:t> </w:t>
            </w:r>
            <w:r>
              <w:rPr>
                <w:sz w:val="20"/>
              </w:rPr>
              <w:t>O05.8,</w:t>
            </w:r>
            <w:r>
              <w:rPr>
                <w:spacing w:val="-4"/>
                <w:sz w:val="20"/>
              </w:rPr>
              <w:t> </w:t>
            </w:r>
            <w:r>
              <w:rPr>
                <w:sz w:val="20"/>
              </w:rPr>
              <w:t>O05.9,</w:t>
            </w:r>
            <w:r>
              <w:rPr>
                <w:spacing w:val="-6"/>
                <w:sz w:val="20"/>
              </w:rPr>
              <w:t> </w:t>
            </w:r>
            <w:r>
              <w:rPr>
                <w:sz w:val="20"/>
              </w:rPr>
              <w:t>O06,</w:t>
            </w:r>
            <w:r>
              <w:rPr>
                <w:spacing w:val="-4"/>
                <w:sz w:val="20"/>
              </w:rPr>
              <w:t> </w:t>
            </w:r>
            <w:r>
              <w:rPr>
                <w:sz w:val="20"/>
              </w:rPr>
              <w:t>O06.0,</w:t>
            </w:r>
            <w:r>
              <w:rPr>
                <w:spacing w:val="-4"/>
                <w:sz w:val="20"/>
              </w:rPr>
              <w:t> </w:t>
            </w:r>
            <w:r>
              <w:rPr>
                <w:spacing w:val="-2"/>
                <w:sz w:val="20"/>
              </w:rPr>
              <w:t>O06.1,</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585"/>
              <w:rPr>
                <w:sz w:val="20"/>
              </w:rPr>
            </w:pPr>
            <w:r>
              <w:rPr>
                <w:sz w:val="20"/>
              </w:rPr>
              <w:t>O06.2,</w:t>
            </w:r>
            <w:r>
              <w:rPr>
                <w:spacing w:val="-4"/>
                <w:sz w:val="20"/>
              </w:rPr>
              <w:t> </w:t>
            </w:r>
            <w:r>
              <w:rPr>
                <w:sz w:val="20"/>
              </w:rPr>
              <w:t>O06.3,</w:t>
            </w:r>
            <w:r>
              <w:rPr>
                <w:spacing w:val="-6"/>
                <w:sz w:val="20"/>
              </w:rPr>
              <w:t> </w:t>
            </w:r>
            <w:r>
              <w:rPr>
                <w:sz w:val="20"/>
              </w:rPr>
              <w:t>O06.4,</w:t>
            </w:r>
            <w:r>
              <w:rPr>
                <w:spacing w:val="-4"/>
                <w:sz w:val="20"/>
              </w:rPr>
              <w:t> </w:t>
            </w:r>
            <w:r>
              <w:rPr>
                <w:sz w:val="20"/>
              </w:rPr>
              <w:t>O06.5,</w:t>
            </w:r>
            <w:r>
              <w:rPr>
                <w:spacing w:val="-6"/>
                <w:sz w:val="20"/>
              </w:rPr>
              <w:t> </w:t>
            </w:r>
            <w:r>
              <w:rPr>
                <w:sz w:val="20"/>
              </w:rPr>
              <w:t>O06.6,</w:t>
            </w:r>
            <w:r>
              <w:rPr>
                <w:spacing w:val="-4"/>
                <w:sz w:val="20"/>
              </w:rPr>
              <w:t> </w:t>
            </w:r>
            <w:r>
              <w:rPr>
                <w:spacing w:val="-2"/>
                <w:sz w:val="20"/>
              </w:rPr>
              <w:t>O06.7,</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4"/>
              <w:rPr>
                <w:sz w:val="20"/>
              </w:rPr>
            </w:pPr>
            <w:r>
              <w:rPr>
                <w:sz w:val="20"/>
              </w:rPr>
              <w:t>O06.8,</w:t>
            </w:r>
            <w:r>
              <w:rPr>
                <w:spacing w:val="-6"/>
                <w:sz w:val="20"/>
              </w:rPr>
              <w:t> </w:t>
            </w:r>
            <w:r>
              <w:rPr>
                <w:sz w:val="20"/>
              </w:rPr>
              <w:t>O06.9,</w:t>
            </w:r>
            <w:r>
              <w:rPr>
                <w:spacing w:val="-7"/>
                <w:sz w:val="20"/>
              </w:rPr>
              <w:t> </w:t>
            </w:r>
            <w:r>
              <w:rPr>
                <w:sz w:val="20"/>
              </w:rPr>
              <w:t>O07,</w:t>
            </w:r>
            <w:r>
              <w:rPr>
                <w:spacing w:val="-5"/>
                <w:sz w:val="20"/>
              </w:rPr>
              <w:t> </w:t>
            </w:r>
            <w:r>
              <w:rPr>
                <w:sz w:val="20"/>
              </w:rPr>
              <w:t>O07.0,</w:t>
            </w:r>
            <w:r>
              <w:rPr>
                <w:spacing w:val="-5"/>
                <w:sz w:val="20"/>
              </w:rPr>
              <w:t> </w:t>
            </w:r>
            <w:r>
              <w:rPr>
                <w:sz w:val="20"/>
              </w:rPr>
              <w:t>O07.1,</w:t>
            </w:r>
            <w:r>
              <w:rPr>
                <w:spacing w:val="-5"/>
                <w:sz w:val="20"/>
              </w:rPr>
              <w:t> </w:t>
            </w:r>
            <w:r>
              <w:rPr>
                <w:sz w:val="20"/>
              </w:rPr>
              <w:t>O07.2,</w:t>
            </w:r>
            <w:r>
              <w:rPr>
                <w:spacing w:val="-6"/>
                <w:sz w:val="20"/>
              </w:rPr>
              <w:t> </w:t>
            </w:r>
            <w:r>
              <w:rPr>
                <w:spacing w:val="-2"/>
                <w:sz w:val="20"/>
              </w:rPr>
              <w:t>O07.3,</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2"/>
              <w:rPr>
                <w:sz w:val="20"/>
              </w:rPr>
            </w:pPr>
            <w:r>
              <w:rPr>
                <w:sz w:val="20"/>
              </w:rPr>
              <w:t>O07.4,</w:t>
            </w:r>
            <w:r>
              <w:rPr>
                <w:spacing w:val="-5"/>
                <w:sz w:val="20"/>
              </w:rPr>
              <w:t> </w:t>
            </w:r>
            <w:r>
              <w:rPr>
                <w:sz w:val="20"/>
              </w:rPr>
              <w:t>O07.5,</w:t>
            </w:r>
            <w:r>
              <w:rPr>
                <w:spacing w:val="-5"/>
                <w:sz w:val="20"/>
              </w:rPr>
              <w:t> </w:t>
            </w:r>
            <w:r>
              <w:rPr>
                <w:sz w:val="20"/>
              </w:rPr>
              <w:t>O07.6,</w:t>
            </w:r>
            <w:r>
              <w:rPr>
                <w:spacing w:val="-4"/>
                <w:sz w:val="20"/>
              </w:rPr>
              <w:t> </w:t>
            </w:r>
            <w:r>
              <w:rPr>
                <w:sz w:val="20"/>
              </w:rPr>
              <w:t>O07.7,</w:t>
            </w:r>
            <w:r>
              <w:rPr>
                <w:spacing w:val="-6"/>
                <w:sz w:val="20"/>
              </w:rPr>
              <w:t> </w:t>
            </w:r>
            <w:r>
              <w:rPr>
                <w:sz w:val="20"/>
              </w:rPr>
              <w:t>O07.8,</w:t>
            </w:r>
            <w:r>
              <w:rPr>
                <w:spacing w:val="-4"/>
                <w:sz w:val="20"/>
              </w:rPr>
              <w:t> </w:t>
            </w:r>
            <w:r>
              <w:rPr>
                <w:sz w:val="20"/>
              </w:rPr>
              <w:t>O07.9,</w:t>
            </w:r>
            <w:r>
              <w:rPr>
                <w:spacing w:val="-6"/>
                <w:sz w:val="20"/>
              </w:rPr>
              <w:t> </w:t>
            </w:r>
            <w:r>
              <w:rPr>
                <w:spacing w:val="-4"/>
                <w:sz w:val="20"/>
              </w:rPr>
              <w:t>O08,</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09" w:lineRule="exact"/>
              <w:ind w:left="585"/>
              <w:rPr>
                <w:sz w:val="20"/>
              </w:rPr>
            </w:pPr>
            <w:r>
              <w:rPr>
                <w:sz w:val="20"/>
              </w:rPr>
              <w:t>O08.0,</w:t>
            </w:r>
            <w:r>
              <w:rPr>
                <w:spacing w:val="-4"/>
                <w:sz w:val="20"/>
              </w:rPr>
              <w:t> </w:t>
            </w:r>
            <w:r>
              <w:rPr>
                <w:sz w:val="20"/>
              </w:rPr>
              <w:t>O08.1,</w:t>
            </w:r>
            <w:r>
              <w:rPr>
                <w:spacing w:val="-6"/>
                <w:sz w:val="20"/>
              </w:rPr>
              <w:t> </w:t>
            </w:r>
            <w:r>
              <w:rPr>
                <w:sz w:val="20"/>
              </w:rPr>
              <w:t>O08.2,</w:t>
            </w:r>
            <w:r>
              <w:rPr>
                <w:spacing w:val="-4"/>
                <w:sz w:val="20"/>
              </w:rPr>
              <w:t> </w:t>
            </w:r>
            <w:r>
              <w:rPr>
                <w:sz w:val="20"/>
              </w:rPr>
              <w:t>O08.3,</w:t>
            </w:r>
            <w:r>
              <w:rPr>
                <w:spacing w:val="-6"/>
                <w:sz w:val="20"/>
              </w:rPr>
              <w:t> </w:t>
            </w:r>
            <w:r>
              <w:rPr>
                <w:sz w:val="20"/>
              </w:rPr>
              <w:t>O08.5,</w:t>
            </w:r>
            <w:r>
              <w:rPr>
                <w:spacing w:val="-4"/>
                <w:sz w:val="20"/>
              </w:rPr>
              <w:t> </w:t>
            </w:r>
            <w:r>
              <w:rPr>
                <w:spacing w:val="-2"/>
                <w:sz w:val="20"/>
              </w:rPr>
              <w:t>O08.6,</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4"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04" w:lineRule="exact"/>
              <w:ind w:left="1504"/>
              <w:rPr>
                <w:sz w:val="20"/>
              </w:rPr>
            </w:pPr>
            <w:r>
              <w:rPr>
                <w:sz w:val="20"/>
              </w:rPr>
              <w:t>O08.7,</w:t>
            </w:r>
            <w:r>
              <w:rPr>
                <w:spacing w:val="-4"/>
                <w:sz w:val="20"/>
              </w:rPr>
              <w:t> </w:t>
            </w:r>
            <w:r>
              <w:rPr>
                <w:sz w:val="20"/>
              </w:rPr>
              <w:t>O08.8,</w:t>
            </w:r>
            <w:r>
              <w:rPr>
                <w:spacing w:val="-5"/>
                <w:sz w:val="20"/>
              </w:rPr>
              <w:t> </w:t>
            </w:r>
            <w:r>
              <w:rPr>
                <w:spacing w:val="-4"/>
                <w:sz w:val="20"/>
              </w:rPr>
              <w:t>O08.9</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bl>
    <w:p>
      <w:pPr>
        <w:spacing w:after="0"/>
        <w:rPr>
          <w:sz w:val="16"/>
        </w:rPr>
        <w:sectPr>
          <w:headerReference w:type="default" r:id="rId538"/>
          <w:pgSz w:w="16850" w:h="11910" w:orient="landscape"/>
          <w:pgMar w:header="753" w:footer="0" w:top="1060" w:bottom="280" w:left="340" w:right="340"/>
          <w:pgNumType w:start="2"/>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
        <w:gridCol w:w="606"/>
        <w:gridCol w:w="2223"/>
        <w:gridCol w:w="4684"/>
        <w:gridCol w:w="3954"/>
        <w:gridCol w:w="1551"/>
        <w:gridCol w:w="1261"/>
      </w:tblGrid>
      <w:tr>
        <w:trPr>
          <w:trHeight w:val="8502" w:hRule="atLeast"/>
        </w:trPr>
        <w:tc>
          <w:tcPr>
            <w:tcW w:w="996" w:type="dxa"/>
          </w:tcPr>
          <w:p>
            <w:pPr>
              <w:pStyle w:val="TableParagraph"/>
              <w:spacing w:line="221" w:lineRule="exact"/>
              <w:ind w:left="50"/>
              <w:rPr>
                <w:sz w:val="20"/>
              </w:rPr>
            </w:pPr>
            <w:r>
              <w:rPr>
                <w:spacing w:val="-2"/>
                <w:sz w:val="20"/>
              </w:rPr>
              <w:t>st02.003</w:t>
            </w:r>
          </w:p>
        </w:tc>
        <w:tc>
          <w:tcPr>
            <w:tcW w:w="606" w:type="dxa"/>
          </w:tcPr>
          <w:p>
            <w:pPr>
              <w:pStyle w:val="TableParagraph"/>
              <w:spacing w:line="221" w:lineRule="exact"/>
              <w:ind w:left="16"/>
              <w:jc w:val="center"/>
              <w:rPr>
                <w:sz w:val="20"/>
              </w:rPr>
            </w:pPr>
            <w:r>
              <w:rPr>
                <w:w w:val="99"/>
                <w:sz w:val="20"/>
              </w:rPr>
              <w:t>4</w:t>
            </w:r>
          </w:p>
        </w:tc>
        <w:tc>
          <w:tcPr>
            <w:tcW w:w="2223" w:type="dxa"/>
          </w:tcPr>
          <w:p>
            <w:pPr>
              <w:pStyle w:val="TableParagraph"/>
              <w:spacing w:line="221" w:lineRule="exact"/>
              <w:ind w:left="243"/>
              <w:rPr>
                <w:sz w:val="20"/>
              </w:rPr>
            </w:pPr>
            <w:r>
              <w:rPr>
                <w:spacing w:val="-2"/>
                <w:sz w:val="20"/>
              </w:rPr>
              <w:t>Родоразрешение</w:t>
            </w:r>
          </w:p>
        </w:tc>
        <w:tc>
          <w:tcPr>
            <w:tcW w:w="4684" w:type="dxa"/>
          </w:tcPr>
          <w:p>
            <w:pPr>
              <w:pStyle w:val="TableParagraph"/>
              <w:spacing w:line="221" w:lineRule="exact"/>
              <w:ind w:left="565"/>
              <w:rPr>
                <w:sz w:val="20"/>
              </w:rPr>
            </w:pPr>
            <w:r>
              <w:rPr>
                <w:sz w:val="20"/>
              </w:rPr>
              <w:t>O10.0,</w:t>
            </w:r>
            <w:r>
              <w:rPr>
                <w:spacing w:val="-5"/>
                <w:sz w:val="20"/>
              </w:rPr>
              <w:t> </w:t>
            </w:r>
            <w:r>
              <w:rPr>
                <w:sz w:val="20"/>
              </w:rPr>
              <w:t>O10.1,</w:t>
            </w:r>
            <w:r>
              <w:rPr>
                <w:spacing w:val="-5"/>
                <w:sz w:val="20"/>
              </w:rPr>
              <w:t> </w:t>
            </w:r>
            <w:r>
              <w:rPr>
                <w:sz w:val="20"/>
              </w:rPr>
              <w:t>O10.2,</w:t>
            </w:r>
            <w:r>
              <w:rPr>
                <w:spacing w:val="-4"/>
                <w:sz w:val="20"/>
              </w:rPr>
              <w:t> </w:t>
            </w:r>
            <w:r>
              <w:rPr>
                <w:sz w:val="20"/>
              </w:rPr>
              <w:t>O10.3,</w:t>
            </w:r>
            <w:r>
              <w:rPr>
                <w:spacing w:val="-6"/>
                <w:sz w:val="20"/>
              </w:rPr>
              <w:t> </w:t>
            </w:r>
            <w:r>
              <w:rPr>
                <w:sz w:val="20"/>
              </w:rPr>
              <w:t>O10.4,</w:t>
            </w:r>
            <w:r>
              <w:rPr>
                <w:spacing w:val="-4"/>
                <w:sz w:val="20"/>
              </w:rPr>
              <w:t> </w:t>
            </w:r>
            <w:r>
              <w:rPr>
                <w:sz w:val="20"/>
              </w:rPr>
              <w:t>O10.9,</w:t>
            </w:r>
            <w:r>
              <w:rPr>
                <w:spacing w:val="-6"/>
                <w:sz w:val="20"/>
              </w:rPr>
              <w:t> </w:t>
            </w:r>
            <w:r>
              <w:rPr>
                <w:spacing w:val="-4"/>
                <w:sz w:val="20"/>
              </w:rPr>
              <w:t>O11,</w:t>
            </w:r>
          </w:p>
          <w:p>
            <w:pPr>
              <w:pStyle w:val="TableParagraph"/>
              <w:spacing w:line="229" w:lineRule="exact"/>
              <w:ind w:left="567"/>
              <w:rPr>
                <w:sz w:val="20"/>
              </w:rPr>
            </w:pPr>
            <w:r>
              <w:rPr>
                <w:sz w:val="20"/>
              </w:rPr>
              <w:t>O12.0,</w:t>
            </w:r>
            <w:r>
              <w:rPr>
                <w:spacing w:val="-6"/>
                <w:sz w:val="20"/>
              </w:rPr>
              <w:t> </w:t>
            </w:r>
            <w:r>
              <w:rPr>
                <w:sz w:val="20"/>
              </w:rPr>
              <w:t>O12.1,</w:t>
            </w:r>
            <w:r>
              <w:rPr>
                <w:spacing w:val="-6"/>
                <w:sz w:val="20"/>
              </w:rPr>
              <w:t> </w:t>
            </w:r>
            <w:r>
              <w:rPr>
                <w:sz w:val="20"/>
              </w:rPr>
              <w:t>O12.2,</w:t>
            </w:r>
            <w:r>
              <w:rPr>
                <w:spacing w:val="-5"/>
                <w:sz w:val="20"/>
              </w:rPr>
              <w:t> </w:t>
            </w:r>
            <w:r>
              <w:rPr>
                <w:sz w:val="20"/>
              </w:rPr>
              <w:t>O13,</w:t>
            </w:r>
            <w:r>
              <w:rPr>
                <w:spacing w:val="-6"/>
                <w:sz w:val="20"/>
              </w:rPr>
              <w:t> </w:t>
            </w:r>
            <w:r>
              <w:rPr>
                <w:sz w:val="20"/>
              </w:rPr>
              <w:t>O14.0,</w:t>
            </w:r>
            <w:r>
              <w:rPr>
                <w:spacing w:val="-5"/>
                <w:sz w:val="20"/>
              </w:rPr>
              <w:t> </w:t>
            </w:r>
            <w:r>
              <w:rPr>
                <w:sz w:val="20"/>
              </w:rPr>
              <w:t>O14.1,</w:t>
            </w:r>
            <w:r>
              <w:rPr>
                <w:spacing w:val="-5"/>
                <w:sz w:val="20"/>
              </w:rPr>
              <w:t> </w:t>
            </w:r>
            <w:r>
              <w:rPr>
                <w:spacing w:val="-2"/>
                <w:sz w:val="20"/>
              </w:rPr>
              <w:t>O14.2,</w:t>
            </w:r>
          </w:p>
          <w:p>
            <w:pPr>
              <w:pStyle w:val="TableParagraph"/>
              <w:spacing w:line="229" w:lineRule="exact"/>
              <w:ind w:left="565"/>
              <w:rPr>
                <w:sz w:val="20"/>
              </w:rPr>
            </w:pPr>
            <w:r>
              <w:rPr>
                <w:sz w:val="20"/>
              </w:rPr>
              <w:t>O14.9,</w:t>
            </w:r>
            <w:r>
              <w:rPr>
                <w:spacing w:val="-4"/>
                <w:sz w:val="20"/>
              </w:rPr>
              <w:t> </w:t>
            </w:r>
            <w:r>
              <w:rPr>
                <w:sz w:val="20"/>
              </w:rPr>
              <w:t>O15.0,</w:t>
            </w:r>
            <w:r>
              <w:rPr>
                <w:spacing w:val="-6"/>
                <w:sz w:val="20"/>
              </w:rPr>
              <w:t> </w:t>
            </w:r>
            <w:r>
              <w:rPr>
                <w:sz w:val="20"/>
              </w:rPr>
              <w:t>O15.1,</w:t>
            </w:r>
            <w:r>
              <w:rPr>
                <w:spacing w:val="-4"/>
                <w:sz w:val="20"/>
              </w:rPr>
              <w:t> </w:t>
            </w:r>
            <w:r>
              <w:rPr>
                <w:sz w:val="20"/>
              </w:rPr>
              <w:t>O15.9,</w:t>
            </w:r>
            <w:r>
              <w:rPr>
                <w:spacing w:val="-6"/>
                <w:sz w:val="20"/>
              </w:rPr>
              <w:t> </w:t>
            </w:r>
            <w:r>
              <w:rPr>
                <w:sz w:val="20"/>
              </w:rPr>
              <w:t>O16,</w:t>
            </w:r>
            <w:r>
              <w:rPr>
                <w:spacing w:val="-4"/>
                <w:sz w:val="20"/>
              </w:rPr>
              <w:t> </w:t>
            </w:r>
            <w:r>
              <w:rPr>
                <w:sz w:val="20"/>
              </w:rPr>
              <w:t>O21.0,</w:t>
            </w:r>
            <w:r>
              <w:rPr>
                <w:spacing w:val="-4"/>
                <w:sz w:val="20"/>
              </w:rPr>
              <w:t> </w:t>
            </w:r>
            <w:r>
              <w:rPr>
                <w:spacing w:val="-2"/>
                <w:sz w:val="20"/>
              </w:rPr>
              <w:t>O21.1,</w:t>
            </w:r>
          </w:p>
          <w:p>
            <w:pPr>
              <w:pStyle w:val="TableParagraph"/>
              <w:spacing w:before="1"/>
              <w:ind w:left="566" w:right="159"/>
              <w:jc w:val="center"/>
              <w:rPr>
                <w:sz w:val="20"/>
              </w:rPr>
            </w:pPr>
            <w:r>
              <w:rPr>
                <w:sz w:val="20"/>
              </w:rPr>
              <w:t>O21.2,</w:t>
            </w:r>
            <w:r>
              <w:rPr>
                <w:spacing w:val="-4"/>
                <w:sz w:val="20"/>
              </w:rPr>
              <w:t> </w:t>
            </w:r>
            <w:r>
              <w:rPr>
                <w:sz w:val="20"/>
              </w:rPr>
              <w:t>O21.8,</w:t>
            </w:r>
            <w:r>
              <w:rPr>
                <w:spacing w:val="-6"/>
                <w:sz w:val="20"/>
              </w:rPr>
              <w:t> </w:t>
            </w:r>
            <w:r>
              <w:rPr>
                <w:sz w:val="20"/>
              </w:rPr>
              <w:t>O21.9,</w:t>
            </w:r>
            <w:r>
              <w:rPr>
                <w:spacing w:val="-4"/>
                <w:sz w:val="20"/>
              </w:rPr>
              <w:t> </w:t>
            </w:r>
            <w:r>
              <w:rPr>
                <w:sz w:val="20"/>
              </w:rPr>
              <w:t>O22.0,</w:t>
            </w:r>
            <w:r>
              <w:rPr>
                <w:spacing w:val="-6"/>
                <w:sz w:val="20"/>
              </w:rPr>
              <w:t> </w:t>
            </w:r>
            <w:r>
              <w:rPr>
                <w:sz w:val="20"/>
              </w:rPr>
              <w:t>O22.1,</w:t>
            </w:r>
            <w:r>
              <w:rPr>
                <w:spacing w:val="-4"/>
                <w:sz w:val="20"/>
              </w:rPr>
              <w:t> </w:t>
            </w:r>
            <w:r>
              <w:rPr>
                <w:spacing w:val="-2"/>
                <w:sz w:val="20"/>
              </w:rPr>
              <w:t>O22.2,</w:t>
            </w:r>
          </w:p>
          <w:p>
            <w:pPr>
              <w:pStyle w:val="TableParagraph"/>
              <w:ind w:left="566" w:right="159"/>
              <w:jc w:val="center"/>
              <w:rPr>
                <w:sz w:val="20"/>
              </w:rPr>
            </w:pPr>
            <w:r>
              <w:rPr>
                <w:sz w:val="20"/>
              </w:rPr>
              <w:t>O22.3,</w:t>
            </w:r>
            <w:r>
              <w:rPr>
                <w:spacing w:val="-4"/>
                <w:sz w:val="20"/>
              </w:rPr>
              <w:t> </w:t>
            </w:r>
            <w:r>
              <w:rPr>
                <w:sz w:val="20"/>
              </w:rPr>
              <w:t>O22.4,</w:t>
            </w:r>
            <w:r>
              <w:rPr>
                <w:spacing w:val="-6"/>
                <w:sz w:val="20"/>
              </w:rPr>
              <w:t> </w:t>
            </w:r>
            <w:r>
              <w:rPr>
                <w:sz w:val="20"/>
              </w:rPr>
              <w:t>O22.5,</w:t>
            </w:r>
            <w:r>
              <w:rPr>
                <w:spacing w:val="-4"/>
                <w:sz w:val="20"/>
              </w:rPr>
              <w:t> </w:t>
            </w:r>
            <w:r>
              <w:rPr>
                <w:sz w:val="20"/>
              </w:rPr>
              <w:t>O22.8,</w:t>
            </w:r>
            <w:r>
              <w:rPr>
                <w:spacing w:val="-6"/>
                <w:sz w:val="20"/>
              </w:rPr>
              <w:t> </w:t>
            </w:r>
            <w:r>
              <w:rPr>
                <w:sz w:val="20"/>
              </w:rPr>
              <w:t>O22.9,</w:t>
            </w:r>
            <w:r>
              <w:rPr>
                <w:spacing w:val="-4"/>
                <w:sz w:val="20"/>
              </w:rPr>
              <w:t> </w:t>
            </w:r>
            <w:r>
              <w:rPr>
                <w:spacing w:val="-2"/>
                <w:sz w:val="20"/>
              </w:rPr>
              <w:t>O23.0,</w:t>
            </w:r>
          </w:p>
          <w:p>
            <w:pPr>
              <w:pStyle w:val="TableParagraph"/>
              <w:ind w:left="566" w:right="159"/>
              <w:jc w:val="center"/>
              <w:rPr>
                <w:sz w:val="20"/>
              </w:rPr>
            </w:pPr>
            <w:r>
              <w:rPr>
                <w:sz w:val="20"/>
              </w:rPr>
              <w:t>O23.1,</w:t>
            </w:r>
            <w:r>
              <w:rPr>
                <w:spacing w:val="-4"/>
                <w:sz w:val="20"/>
              </w:rPr>
              <w:t> </w:t>
            </w:r>
            <w:r>
              <w:rPr>
                <w:sz w:val="20"/>
              </w:rPr>
              <w:t>O23.2,</w:t>
            </w:r>
            <w:r>
              <w:rPr>
                <w:spacing w:val="-6"/>
                <w:sz w:val="20"/>
              </w:rPr>
              <w:t> </w:t>
            </w:r>
            <w:r>
              <w:rPr>
                <w:sz w:val="20"/>
              </w:rPr>
              <w:t>O23.3,</w:t>
            </w:r>
            <w:r>
              <w:rPr>
                <w:spacing w:val="-4"/>
                <w:sz w:val="20"/>
              </w:rPr>
              <w:t> </w:t>
            </w:r>
            <w:r>
              <w:rPr>
                <w:sz w:val="20"/>
              </w:rPr>
              <w:t>O23.4,</w:t>
            </w:r>
            <w:r>
              <w:rPr>
                <w:spacing w:val="-6"/>
                <w:sz w:val="20"/>
              </w:rPr>
              <w:t> </w:t>
            </w:r>
            <w:r>
              <w:rPr>
                <w:sz w:val="20"/>
              </w:rPr>
              <w:t>O23.5,</w:t>
            </w:r>
            <w:r>
              <w:rPr>
                <w:spacing w:val="-4"/>
                <w:sz w:val="20"/>
              </w:rPr>
              <w:t> </w:t>
            </w:r>
            <w:r>
              <w:rPr>
                <w:spacing w:val="-2"/>
                <w:sz w:val="20"/>
              </w:rPr>
              <w:t>O23.9,</w:t>
            </w:r>
          </w:p>
          <w:p>
            <w:pPr>
              <w:pStyle w:val="TableParagraph"/>
              <w:spacing w:before="1"/>
              <w:ind w:left="565" w:right="161"/>
              <w:jc w:val="center"/>
              <w:rPr>
                <w:sz w:val="20"/>
              </w:rPr>
            </w:pPr>
            <w:r>
              <w:rPr>
                <w:sz w:val="20"/>
              </w:rPr>
              <w:t>O24.0,</w:t>
            </w:r>
            <w:r>
              <w:rPr>
                <w:spacing w:val="-5"/>
                <w:sz w:val="20"/>
              </w:rPr>
              <w:t> </w:t>
            </w:r>
            <w:r>
              <w:rPr>
                <w:sz w:val="20"/>
              </w:rPr>
              <w:t>O24.1,</w:t>
            </w:r>
            <w:r>
              <w:rPr>
                <w:spacing w:val="-5"/>
                <w:sz w:val="20"/>
              </w:rPr>
              <w:t> </w:t>
            </w:r>
            <w:r>
              <w:rPr>
                <w:sz w:val="20"/>
              </w:rPr>
              <w:t>O24.2,</w:t>
            </w:r>
            <w:r>
              <w:rPr>
                <w:spacing w:val="-4"/>
                <w:sz w:val="20"/>
              </w:rPr>
              <w:t> </w:t>
            </w:r>
            <w:r>
              <w:rPr>
                <w:sz w:val="20"/>
              </w:rPr>
              <w:t>O24.3,</w:t>
            </w:r>
            <w:r>
              <w:rPr>
                <w:spacing w:val="-6"/>
                <w:sz w:val="20"/>
              </w:rPr>
              <w:t> </w:t>
            </w:r>
            <w:r>
              <w:rPr>
                <w:sz w:val="20"/>
              </w:rPr>
              <w:t>O24.4,</w:t>
            </w:r>
            <w:r>
              <w:rPr>
                <w:spacing w:val="-4"/>
                <w:sz w:val="20"/>
              </w:rPr>
              <w:t> </w:t>
            </w:r>
            <w:r>
              <w:rPr>
                <w:sz w:val="20"/>
              </w:rPr>
              <w:t>O24.9,</w:t>
            </w:r>
            <w:r>
              <w:rPr>
                <w:spacing w:val="-6"/>
                <w:sz w:val="20"/>
              </w:rPr>
              <w:t> </w:t>
            </w:r>
            <w:r>
              <w:rPr>
                <w:spacing w:val="-4"/>
                <w:sz w:val="20"/>
              </w:rPr>
              <w:t>O25,</w:t>
            </w:r>
          </w:p>
          <w:p>
            <w:pPr>
              <w:pStyle w:val="TableParagraph"/>
              <w:spacing w:line="229" w:lineRule="exact" w:before="1"/>
              <w:ind w:left="566" w:right="159"/>
              <w:jc w:val="center"/>
              <w:rPr>
                <w:sz w:val="20"/>
              </w:rPr>
            </w:pPr>
            <w:r>
              <w:rPr>
                <w:sz w:val="20"/>
              </w:rPr>
              <w:t>O26.0,</w:t>
            </w:r>
            <w:r>
              <w:rPr>
                <w:spacing w:val="-4"/>
                <w:sz w:val="20"/>
              </w:rPr>
              <w:t> </w:t>
            </w:r>
            <w:r>
              <w:rPr>
                <w:sz w:val="20"/>
              </w:rPr>
              <w:t>O26.1,</w:t>
            </w:r>
            <w:r>
              <w:rPr>
                <w:spacing w:val="-6"/>
                <w:sz w:val="20"/>
              </w:rPr>
              <w:t> </w:t>
            </w:r>
            <w:r>
              <w:rPr>
                <w:sz w:val="20"/>
              </w:rPr>
              <w:t>O26.2,</w:t>
            </w:r>
            <w:r>
              <w:rPr>
                <w:spacing w:val="-4"/>
                <w:sz w:val="20"/>
              </w:rPr>
              <w:t> </w:t>
            </w:r>
            <w:r>
              <w:rPr>
                <w:sz w:val="20"/>
              </w:rPr>
              <w:t>O26.3,</w:t>
            </w:r>
            <w:r>
              <w:rPr>
                <w:spacing w:val="-6"/>
                <w:sz w:val="20"/>
              </w:rPr>
              <w:t> </w:t>
            </w:r>
            <w:r>
              <w:rPr>
                <w:sz w:val="20"/>
              </w:rPr>
              <w:t>O26.4,</w:t>
            </w:r>
            <w:r>
              <w:rPr>
                <w:spacing w:val="-4"/>
                <w:sz w:val="20"/>
              </w:rPr>
              <w:t> </w:t>
            </w:r>
            <w:r>
              <w:rPr>
                <w:spacing w:val="-2"/>
                <w:sz w:val="20"/>
              </w:rPr>
              <w:t>O26.5,</w:t>
            </w:r>
          </w:p>
          <w:p>
            <w:pPr>
              <w:pStyle w:val="TableParagraph"/>
              <w:spacing w:line="229" w:lineRule="exact"/>
              <w:ind w:left="566" w:right="159"/>
              <w:jc w:val="center"/>
              <w:rPr>
                <w:sz w:val="20"/>
              </w:rPr>
            </w:pPr>
            <w:r>
              <w:rPr>
                <w:sz w:val="20"/>
              </w:rPr>
              <w:t>O26.6,</w:t>
            </w:r>
            <w:r>
              <w:rPr>
                <w:spacing w:val="-4"/>
                <w:sz w:val="20"/>
              </w:rPr>
              <w:t> </w:t>
            </w:r>
            <w:r>
              <w:rPr>
                <w:sz w:val="20"/>
              </w:rPr>
              <w:t>O26.7,</w:t>
            </w:r>
            <w:r>
              <w:rPr>
                <w:spacing w:val="-6"/>
                <w:sz w:val="20"/>
              </w:rPr>
              <w:t> </w:t>
            </w:r>
            <w:r>
              <w:rPr>
                <w:sz w:val="20"/>
              </w:rPr>
              <w:t>O26.8,</w:t>
            </w:r>
            <w:r>
              <w:rPr>
                <w:spacing w:val="-4"/>
                <w:sz w:val="20"/>
              </w:rPr>
              <w:t> </w:t>
            </w:r>
            <w:r>
              <w:rPr>
                <w:sz w:val="20"/>
              </w:rPr>
              <w:t>O26.9,</w:t>
            </w:r>
            <w:r>
              <w:rPr>
                <w:spacing w:val="-6"/>
                <w:sz w:val="20"/>
              </w:rPr>
              <w:t> </w:t>
            </w:r>
            <w:r>
              <w:rPr>
                <w:sz w:val="20"/>
              </w:rPr>
              <w:t>O28.0,</w:t>
            </w:r>
            <w:r>
              <w:rPr>
                <w:spacing w:val="-4"/>
                <w:sz w:val="20"/>
              </w:rPr>
              <w:t> </w:t>
            </w:r>
            <w:r>
              <w:rPr>
                <w:spacing w:val="-2"/>
                <w:sz w:val="20"/>
              </w:rPr>
              <w:t>O28.1,</w:t>
            </w:r>
          </w:p>
          <w:p>
            <w:pPr>
              <w:pStyle w:val="TableParagraph"/>
              <w:ind w:left="788"/>
              <w:rPr>
                <w:sz w:val="20"/>
              </w:rPr>
            </w:pPr>
            <w:r>
              <w:rPr>
                <w:sz w:val="20"/>
              </w:rPr>
              <w:t>O28.2,</w:t>
            </w:r>
            <w:r>
              <w:rPr>
                <w:spacing w:val="-4"/>
                <w:sz w:val="20"/>
              </w:rPr>
              <w:t> </w:t>
            </w:r>
            <w:r>
              <w:rPr>
                <w:sz w:val="20"/>
              </w:rPr>
              <w:t>O28.3,</w:t>
            </w:r>
            <w:r>
              <w:rPr>
                <w:spacing w:val="-6"/>
                <w:sz w:val="20"/>
              </w:rPr>
              <w:t> </w:t>
            </w:r>
            <w:r>
              <w:rPr>
                <w:sz w:val="20"/>
              </w:rPr>
              <w:t>O28.4,</w:t>
            </w:r>
            <w:r>
              <w:rPr>
                <w:spacing w:val="-4"/>
                <w:sz w:val="20"/>
              </w:rPr>
              <w:t> </w:t>
            </w:r>
            <w:r>
              <w:rPr>
                <w:sz w:val="20"/>
              </w:rPr>
              <w:t>O28.5,</w:t>
            </w:r>
            <w:r>
              <w:rPr>
                <w:spacing w:val="-6"/>
                <w:sz w:val="20"/>
              </w:rPr>
              <w:t> </w:t>
            </w:r>
            <w:r>
              <w:rPr>
                <w:sz w:val="20"/>
              </w:rPr>
              <w:t>O28.8,</w:t>
            </w:r>
            <w:r>
              <w:rPr>
                <w:spacing w:val="-4"/>
                <w:sz w:val="20"/>
              </w:rPr>
              <w:t> </w:t>
            </w:r>
            <w:r>
              <w:rPr>
                <w:spacing w:val="-2"/>
                <w:sz w:val="20"/>
              </w:rPr>
              <w:t>O28.9,</w:t>
            </w:r>
          </w:p>
          <w:p>
            <w:pPr>
              <w:pStyle w:val="TableParagraph"/>
              <w:spacing w:before="1"/>
              <w:ind w:left="788"/>
              <w:rPr>
                <w:sz w:val="20"/>
              </w:rPr>
            </w:pPr>
            <w:r>
              <w:rPr>
                <w:sz w:val="20"/>
              </w:rPr>
              <w:t>O29.0,</w:t>
            </w:r>
            <w:r>
              <w:rPr>
                <w:spacing w:val="-4"/>
                <w:sz w:val="20"/>
              </w:rPr>
              <w:t> </w:t>
            </w:r>
            <w:r>
              <w:rPr>
                <w:sz w:val="20"/>
              </w:rPr>
              <w:t>O29.1,</w:t>
            </w:r>
            <w:r>
              <w:rPr>
                <w:spacing w:val="-6"/>
                <w:sz w:val="20"/>
              </w:rPr>
              <w:t> </w:t>
            </w:r>
            <w:r>
              <w:rPr>
                <w:sz w:val="20"/>
              </w:rPr>
              <w:t>O29.2,</w:t>
            </w:r>
            <w:r>
              <w:rPr>
                <w:spacing w:val="-4"/>
                <w:sz w:val="20"/>
              </w:rPr>
              <w:t> </w:t>
            </w:r>
            <w:r>
              <w:rPr>
                <w:sz w:val="20"/>
              </w:rPr>
              <w:t>O29.3,</w:t>
            </w:r>
            <w:r>
              <w:rPr>
                <w:spacing w:val="-6"/>
                <w:sz w:val="20"/>
              </w:rPr>
              <w:t> </w:t>
            </w:r>
            <w:r>
              <w:rPr>
                <w:sz w:val="20"/>
              </w:rPr>
              <w:t>O29.4,</w:t>
            </w:r>
            <w:r>
              <w:rPr>
                <w:spacing w:val="-4"/>
                <w:sz w:val="20"/>
              </w:rPr>
              <w:t> </w:t>
            </w:r>
            <w:r>
              <w:rPr>
                <w:spacing w:val="-2"/>
                <w:sz w:val="20"/>
              </w:rPr>
              <w:t>O29.5,</w:t>
            </w:r>
          </w:p>
          <w:p>
            <w:pPr>
              <w:pStyle w:val="TableParagraph"/>
              <w:ind w:left="788"/>
              <w:rPr>
                <w:sz w:val="20"/>
              </w:rPr>
            </w:pPr>
            <w:r>
              <w:rPr>
                <w:sz w:val="20"/>
              </w:rPr>
              <w:t>O29.6,</w:t>
            </w:r>
            <w:r>
              <w:rPr>
                <w:spacing w:val="-4"/>
                <w:sz w:val="20"/>
              </w:rPr>
              <w:t> </w:t>
            </w:r>
            <w:r>
              <w:rPr>
                <w:sz w:val="20"/>
              </w:rPr>
              <w:t>O29.8,</w:t>
            </w:r>
            <w:r>
              <w:rPr>
                <w:spacing w:val="-6"/>
                <w:sz w:val="20"/>
              </w:rPr>
              <w:t> </w:t>
            </w:r>
            <w:r>
              <w:rPr>
                <w:sz w:val="20"/>
              </w:rPr>
              <w:t>O29.9,</w:t>
            </w:r>
            <w:r>
              <w:rPr>
                <w:spacing w:val="-4"/>
                <w:sz w:val="20"/>
              </w:rPr>
              <w:t> </w:t>
            </w:r>
            <w:r>
              <w:rPr>
                <w:sz w:val="20"/>
              </w:rPr>
              <w:t>O30.0,</w:t>
            </w:r>
            <w:r>
              <w:rPr>
                <w:spacing w:val="-6"/>
                <w:sz w:val="20"/>
              </w:rPr>
              <w:t> </w:t>
            </w:r>
            <w:r>
              <w:rPr>
                <w:sz w:val="20"/>
              </w:rPr>
              <w:t>O30.1,</w:t>
            </w:r>
            <w:r>
              <w:rPr>
                <w:spacing w:val="-4"/>
                <w:sz w:val="20"/>
              </w:rPr>
              <w:t> </w:t>
            </w:r>
            <w:r>
              <w:rPr>
                <w:spacing w:val="-2"/>
                <w:sz w:val="20"/>
              </w:rPr>
              <w:t>O30.2,</w:t>
            </w:r>
          </w:p>
          <w:p>
            <w:pPr>
              <w:pStyle w:val="TableParagraph"/>
              <w:ind w:left="788"/>
              <w:rPr>
                <w:sz w:val="20"/>
              </w:rPr>
            </w:pPr>
            <w:r>
              <w:rPr>
                <w:sz w:val="20"/>
              </w:rPr>
              <w:t>O30.8,</w:t>
            </w:r>
            <w:r>
              <w:rPr>
                <w:spacing w:val="-4"/>
                <w:sz w:val="20"/>
              </w:rPr>
              <w:t> </w:t>
            </w:r>
            <w:r>
              <w:rPr>
                <w:sz w:val="20"/>
              </w:rPr>
              <w:t>O30.9,</w:t>
            </w:r>
            <w:r>
              <w:rPr>
                <w:spacing w:val="-6"/>
                <w:sz w:val="20"/>
              </w:rPr>
              <w:t> </w:t>
            </w:r>
            <w:r>
              <w:rPr>
                <w:sz w:val="20"/>
              </w:rPr>
              <w:t>O31.0,</w:t>
            </w:r>
            <w:r>
              <w:rPr>
                <w:spacing w:val="-4"/>
                <w:sz w:val="20"/>
              </w:rPr>
              <w:t> </w:t>
            </w:r>
            <w:r>
              <w:rPr>
                <w:sz w:val="20"/>
              </w:rPr>
              <w:t>O31.1,</w:t>
            </w:r>
            <w:r>
              <w:rPr>
                <w:spacing w:val="-6"/>
                <w:sz w:val="20"/>
              </w:rPr>
              <w:t> </w:t>
            </w:r>
            <w:r>
              <w:rPr>
                <w:sz w:val="20"/>
              </w:rPr>
              <w:t>O31.2,</w:t>
            </w:r>
            <w:r>
              <w:rPr>
                <w:spacing w:val="-4"/>
                <w:sz w:val="20"/>
              </w:rPr>
              <w:t> </w:t>
            </w:r>
            <w:r>
              <w:rPr>
                <w:spacing w:val="-2"/>
                <w:sz w:val="20"/>
              </w:rPr>
              <w:t>O31.8,</w:t>
            </w:r>
          </w:p>
          <w:p>
            <w:pPr>
              <w:pStyle w:val="TableParagraph"/>
              <w:spacing w:line="229" w:lineRule="exact" w:before="1"/>
              <w:ind w:left="788"/>
              <w:rPr>
                <w:sz w:val="20"/>
              </w:rPr>
            </w:pPr>
            <w:r>
              <w:rPr>
                <w:sz w:val="20"/>
              </w:rPr>
              <w:t>O32.0,</w:t>
            </w:r>
            <w:r>
              <w:rPr>
                <w:spacing w:val="-4"/>
                <w:sz w:val="20"/>
              </w:rPr>
              <w:t> </w:t>
            </w:r>
            <w:r>
              <w:rPr>
                <w:sz w:val="20"/>
              </w:rPr>
              <w:t>O32.1,</w:t>
            </w:r>
            <w:r>
              <w:rPr>
                <w:spacing w:val="-6"/>
                <w:sz w:val="20"/>
              </w:rPr>
              <w:t> </w:t>
            </w:r>
            <w:r>
              <w:rPr>
                <w:sz w:val="20"/>
              </w:rPr>
              <w:t>O32.2,</w:t>
            </w:r>
            <w:r>
              <w:rPr>
                <w:spacing w:val="-4"/>
                <w:sz w:val="20"/>
              </w:rPr>
              <w:t> </w:t>
            </w:r>
            <w:r>
              <w:rPr>
                <w:sz w:val="20"/>
              </w:rPr>
              <w:t>O32.3,</w:t>
            </w:r>
            <w:r>
              <w:rPr>
                <w:spacing w:val="-6"/>
                <w:sz w:val="20"/>
              </w:rPr>
              <w:t> </w:t>
            </w:r>
            <w:r>
              <w:rPr>
                <w:sz w:val="20"/>
              </w:rPr>
              <w:t>O32.4,</w:t>
            </w:r>
            <w:r>
              <w:rPr>
                <w:spacing w:val="-4"/>
                <w:sz w:val="20"/>
              </w:rPr>
              <w:t> </w:t>
            </w:r>
            <w:r>
              <w:rPr>
                <w:spacing w:val="-2"/>
                <w:sz w:val="20"/>
              </w:rPr>
              <w:t>O32.5,</w:t>
            </w:r>
          </w:p>
          <w:p>
            <w:pPr>
              <w:pStyle w:val="TableParagraph"/>
              <w:spacing w:line="229" w:lineRule="exact"/>
              <w:ind w:left="788"/>
              <w:rPr>
                <w:sz w:val="20"/>
              </w:rPr>
            </w:pPr>
            <w:r>
              <w:rPr>
                <w:sz w:val="20"/>
              </w:rPr>
              <w:t>O32.6,</w:t>
            </w:r>
            <w:r>
              <w:rPr>
                <w:spacing w:val="-4"/>
                <w:sz w:val="20"/>
              </w:rPr>
              <w:t> </w:t>
            </w:r>
            <w:r>
              <w:rPr>
                <w:sz w:val="20"/>
              </w:rPr>
              <w:t>O32.8,</w:t>
            </w:r>
            <w:r>
              <w:rPr>
                <w:spacing w:val="-6"/>
                <w:sz w:val="20"/>
              </w:rPr>
              <w:t> </w:t>
            </w:r>
            <w:r>
              <w:rPr>
                <w:sz w:val="20"/>
              </w:rPr>
              <w:t>O32.9,</w:t>
            </w:r>
            <w:r>
              <w:rPr>
                <w:spacing w:val="-4"/>
                <w:sz w:val="20"/>
              </w:rPr>
              <w:t> </w:t>
            </w:r>
            <w:r>
              <w:rPr>
                <w:sz w:val="20"/>
              </w:rPr>
              <w:t>O33.0,</w:t>
            </w:r>
            <w:r>
              <w:rPr>
                <w:spacing w:val="-6"/>
                <w:sz w:val="20"/>
              </w:rPr>
              <w:t> </w:t>
            </w:r>
            <w:r>
              <w:rPr>
                <w:sz w:val="20"/>
              </w:rPr>
              <w:t>O33.1,</w:t>
            </w:r>
            <w:r>
              <w:rPr>
                <w:spacing w:val="-4"/>
                <w:sz w:val="20"/>
              </w:rPr>
              <w:t> </w:t>
            </w:r>
            <w:r>
              <w:rPr>
                <w:spacing w:val="-2"/>
                <w:sz w:val="20"/>
              </w:rPr>
              <w:t>O33.2,</w:t>
            </w:r>
          </w:p>
          <w:p>
            <w:pPr>
              <w:pStyle w:val="TableParagraph"/>
              <w:ind w:left="788"/>
              <w:rPr>
                <w:sz w:val="20"/>
              </w:rPr>
            </w:pPr>
            <w:r>
              <w:rPr>
                <w:sz w:val="20"/>
              </w:rPr>
              <w:t>O33.3,</w:t>
            </w:r>
            <w:r>
              <w:rPr>
                <w:spacing w:val="-4"/>
                <w:sz w:val="20"/>
              </w:rPr>
              <w:t> </w:t>
            </w:r>
            <w:r>
              <w:rPr>
                <w:sz w:val="20"/>
              </w:rPr>
              <w:t>O33.4,</w:t>
            </w:r>
            <w:r>
              <w:rPr>
                <w:spacing w:val="-6"/>
                <w:sz w:val="20"/>
              </w:rPr>
              <w:t> </w:t>
            </w:r>
            <w:r>
              <w:rPr>
                <w:sz w:val="20"/>
              </w:rPr>
              <w:t>O33.5,</w:t>
            </w:r>
            <w:r>
              <w:rPr>
                <w:spacing w:val="-4"/>
                <w:sz w:val="20"/>
              </w:rPr>
              <w:t> </w:t>
            </w:r>
            <w:r>
              <w:rPr>
                <w:sz w:val="20"/>
              </w:rPr>
              <w:t>O33.6,</w:t>
            </w:r>
            <w:r>
              <w:rPr>
                <w:spacing w:val="-6"/>
                <w:sz w:val="20"/>
              </w:rPr>
              <w:t> </w:t>
            </w:r>
            <w:r>
              <w:rPr>
                <w:sz w:val="20"/>
              </w:rPr>
              <w:t>O33.7,</w:t>
            </w:r>
            <w:r>
              <w:rPr>
                <w:spacing w:val="-4"/>
                <w:sz w:val="20"/>
              </w:rPr>
              <w:t> </w:t>
            </w:r>
            <w:r>
              <w:rPr>
                <w:spacing w:val="-2"/>
                <w:sz w:val="20"/>
              </w:rPr>
              <w:t>O33.8,</w:t>
            </w:r>
          </w:p>
          <w:p>
            <w:pPr>
              <w:pStyle w:val="TableParagraph"/>
              <w:spacing w:before="1"/>
              <w:ind w:left="788"/>
              <w:rPr>
                <w:sz w:val="20"/>
              </w:rPr>
            </w:pPr>
            <w:r>
              <w:rPr>
                <w:sz w:val="20"/>
              </w:rPr>
              <w:t>O33.9,</w:t>
            </w:r>
            <w:r>
              <w:rPr>
                <w:spacing w:val="-4"/>
                <w:sz w:val="20"/>
              </w:rPr>
              <w:t> </w:t>
            </w:r>
            <w:r>
              <w:rPr>
                <w:sz w:val="20"/>
              </w:rPr>
              <w:t>O34.0,</w:t>
            </w:r>
            <w:r>
              <w:rPr>
                <w:spacing w:val="-6"/>
                <w:sz w:val="20"/>
              </w:rPr>
              <w:t> </w:t>
            </w:r>
            <w:r>
              <w:rPr>
                <w:sz w:val="20"/>
              </w:rPr>
              <w:t>O34.1,</w:t>
            </w:r>
            <w:r>
              <w:rPr>
                <w:spacing w:val="-4"/>
                <w:sz w:val="20"/>
              </w:rPr>
              <w:t> </w:t>
            </w:r>
            <w:r>
              <w:rPr>
                <w:sz w:val="20"/>
              </w:rPr>
              <w:t>O34.2,</w:t>
            </w:r>
            <w:r>
              <w:rPr>
                <w:spacing w:val="-6"/>
                <w:sz w:val="20"/>
              </w:rPr>
              <w:t> </w:t>
            </w:r>
            <w:r>
              <w:rPr>
                <w:sz w:val="20"/>
              </w:rPr>
              <w:t>O34.3,</w:t>
            </w:r>
            <w:r>
              <w:rPr>
                <w:spacing w:val="-4"/>
                <w:sz w:val="20"/>
              </w:rPr>
              <w:t> </w:t>
            </w:r>
            <w:r>
              <w:rPr>
                <w:spacing w:val="-2"/>
                <w:sz w:val="20"/>
              </w:rPr>
              <w:t>O34.4,</w:t>
            </w:r>
          </w:p>
          <w:p>
            <w:pPr>
              <w:pStyle w:val="TableParagraph"/>
              <w:ind w:left="788"/>
              <w:rPr>
                <w:sz w:val="20"/>
              </w:rPr>
            </w:pPr>
            <w:r>
              <w:rPr>
                <w:sz w:val="20"/>
              </w:rPr>
              <w:t>O34.5,</w:t>
            </w:r>
            <w:r>
              <w:rPr>
                <w:spacing w:val="-4"/>
                <w:sz w:val="20"/>
              </w:rPr>
              <w:t> </w:t>
            </w:r>
            <w:r>
              <w:rPr>
                <w:sz w:val="20"/>
              </w:rPr>
              <w:t>O34.6,</w:t>
            </w:r>
            <w:r>
              <w:rPr>
                <w:spacing w:val="-6"/>
                <w:sz w:val="20"/>
              </w:rPr>
              <w:t> </w:t>
            </w:r>
            <w:r>
              <w:rPr>
                <w:sz w:val="20"/>
              </w:rPr>
              <w:t>O34.7,</w:t>
            </w:r>
            <w:r>
              <w:rPr>
                <w:spacing w:val="-4"/>
                <w:sz w:val="20"/>
              </w:rPr>
              <w:t> </w:t>
            </w:r>
            <w:r>
              <w:rPr>
                <w:sz w:val="20"/>
              </w:rPr>
              <w:t>O34.8,</w:t>
            </w:r>
            <w:r>
              <w:rPr>
                <w:spacing w:val="-6"/>
                <w:sz w:val="20"/>
              </w:rPr>
              <w:t> </w:t>
            </w:r>
            <w:r>
              <w:rPr>
                <w:sz w:val="20"/>
              </w:rPr>
              <w:t>O34.9,</w:t>
            </w:r>
            <w:r>
              <w:rPr>
                <w:spacing w:val="-4"/>
                <w:sz w:val="20"/>
              </w:rPr>
              <w:t> </w:t>
            </w:r>
            <w:r>
              <w:rPr>
                <w:spacing w:val="-2"/>
                <w:sz w:val="20"/>
              </w:rPr>
              <w:t>O35.0,</w:t>
            </w:r>
          </w:p>
          <w:p>
            <w:pPr>
              <w:pStyle w:val="TableParagraph"/>
              <w:spacing w:before="1"/>
              <w:ind w:left="788"/>
              <w:rPr>
                <w:sz w:val="20"/>
              </w:rPr>
            </w:pPr>
            <w:r>
              <w:rPr>
                <w:sz w:val="20"/>
              </w:rPr>
              <w:t>O35.1,</w:t>
            </w:r>
            <w:r>
              <w:rPr>
                <w:spacing w:val="-4"/>
                <w:sz w:val="20"/>
              </w:rPr>
              <w:t> </w:t>
            </w:r>
            <w:r>
              <w:rPr>
                <w:sz w:val="20"/>
              </w:rPr>
              <w:t>O35.2,</w:t>
            </w:r>
            <w:r>
              <w:rPr>
                <w:spacing w:val="-6"/>
                <w:sz w:val="20"/>
              </w:rPr>
              <w:t> </w:t>
            </w:r>
            <w:r>
              <w:rPr>
                <w:sz w:val="20"/>
              </w:rPr>
              <w:t>O35.3,</w:t>
            </w:r>
            <w:r>
              <w:rPr>
                <w:spacing w:val="-4"/>
                <w:sz w:val="20"/>
              </w:rPr>
              <w:t> </w:t>
            </w:r>
            <w:r>
              <w:rPr>
                <w:sz w:val="20"/>
              </w:rPr>
              <w:t>O35.4,</w:t>
            </w:r>
            <w:r>
              <w:rPr>
                <w:spacing w:val="-6"/>
                <w:sz w:val="20"/>
              </w:rPr>
              <w:t> </w:t>
            </w:r>
            <w:r>
              <w:rPr>
                <w:sz w:val="20"/>
              </w:rPr>
              <w:t>O35.5,</w:t>
            </w:r>
            <w:r>
              <w:rPr>
                <w:spacing w:val="-4"/>
                <w:sz w:val="20"/>
              </w:rPr>
              <w:t> </w:t>
            </w:r>
            <w:r>
              <w:rPr>
                <w:spacing w:val="-2"/>
                <w:sz w:val="20"/>
              </w:rPr>
              <w:t>O35.6,</w:t>
            </w:r>
          </w:p>
          <w:p>
            <w:pPr>
              <w:pStyle w:val="TableParagraph"/>
              <w:spacing w:line="229" w:lineRule="exact"/>
              <w:ind w:left="788"/>
              <w:rPr>
                <w:sz w:val="20"/>
              </w:rPr>
            </w:pPr>
            <w:r>
              <w:rPr>
                <w:sz w:val="20"/>
              </w:rPr>
              <w:t>O35.7,</w:t>
            </w:r>
            <w:r>
              <w:rPr>
                <w:spacing w:val="-4"/>
                <w:sz w:val="20"/>
              </w:rPr>
              <w:t> </w:t>
            </w:r>
            <w:r>
              <w:rPr>
                <w:sz w:val="20"/>
              </w:rPr>
              <w:t>O35.8,</w:t>
            </w:r>
            <w:r>
              <w:rPr>
                <w:spacing w:val="-6"/>
                <w:sz w:val="20"/>
              </w:rPr>
              <w:t> </w:t>
            </w:r>
            <w:r>
              <w:rPr>
                <w:sz w:val="20"/>
              </w:rPr>
              <w:t>O35.9,</w:t>
            </w:r>
            <w:r>
              <w:rPr>
                <w:spacing w:val="-4"/>
                <w:sz w:val="20"/>
              </w:rPr>
              <w:t> </w:t>
            </w:r>
            <w:r>
              <w:rPr>
                <w:sz w:val="20"/>
              </w:rPr>
              <w:t>O36.0,</w:t>
            </w:r>
            <w:r>
              <w:rPr>
                <w:spacing w:val="-6"/>
                <w:sz w:val="20"/>
              </w:rPr>
              <w:t> </w:t>
            </w:r>
            <w:r>
              <w:rPr>
                <w:sz w:val="20"/>
              </w:rPr>
              <w:t>O36.1,</w:t>
            </w:r>
            <w:r>
              <w:rPr>
                <w:spacing w:val="-4"/>
                <w:sz w:val="20"/>
              </w:rPr>
              <w:t> </w:t>
            </w:r>
            <w:r>
              <w:rPr>
                <w:spacing w:val="-2"/>
                <w:sz w:val="20"/>
              </w:rPr>
              <w:t>O36.2,</w:t>
            </w:r>
          </w:p>
          <w:p>
            <w:pPr>
              <w:pStyle w:val="TableParagraph"/>
              <w:spacing w:line="229" w:lineRule="exact"/>
              <w:ind w:left="788"/>
              <w:rPr>
                <w:sz w:val="20"/>
              </w:rPr>
            </w:pPr>
            <w:r>
              <w:rPr>
                <w:sz w:val="20"/>
              </w:rPr>
              <w:t>O36.3,</w:t>
            </w:r>
            <w:r>
              <w:rPr>
                <w:spacing w:val="-4"/>
                <w:sz w:val="20"/>
              </w:rPr>
              <w:t> </w:t>
            </w:r>
            <w:r>
              <w:rPr>
                <w:sz w:val="20"/>
              </w:rPr>
              <w:t>O36.4,</w:t>
            </w:r>
            <w:r>
              <w:rPr>
                <w:spacing w:val="-6"/>
                <w:sz w:val="20"/>
              </w:rPr>
              <w:t> </w:t>
            </w:r>
            <w:r>
              <w:rPr>
                <w:sz w:val="20"/>
              </w:rPr>
              <w:t>O36.5,</w:t>
            </w:r>
            <w:r>
              <w:rPr>
                <w:spacing w:val="-4"/>
                <w:sz w:val="20"/>
              </w:rPr>
              <w:t> </w:t>
            </w:r>
            <w:r>
              <w:rPr>
                <w:sz w:val="20"/>
              </w:rPr>
              <w:t>O36.6,</w:t>
            </w:r>
            <w:r>
              <w:rPr>
                <w:spacing w:val="-6"/>
                <w:sz w:val="20"/>
              </w:rPr>
              <w:t> </w:t>
            </w:r>
            <w:r>
              <w:rPr>
                <w:sz w:val="20"/>
              </w:rPr>
              <w:t>O36.7,</w:t>
            </w:r>
            <w:r>
              <w:rPr>
                <w:spacing w:val="-4"/>
                <w:sz w:val="20"/>
              </w:rPr>
              <w:t> </w:t>
            </w:r>
            <w:r>
              <w:rPr>
                <w:spacing w:val="-2"/>
                <w:sz w:val="20"/>
              </w:rPr>
              <w:t>O36.8,</w:t>
            </w:r>
          </w:p>
          <w:p>
            <w:pPr>
              <w:pStyle w:val="TableParagraph"/>
              <w:spacing w:before="1"/>
              <w:ind w:left="566" w:right="160"/>
              <w:jc w:val="center"/>
              <w:rPr>
                <w:sz w:val="20"/>
              </w:rPr>
            </w:pPr>
            <w:r>
              <w:rPr>
                <w:sz w:val="20"/>
              </w:rPr>
              <w:t>O36.9,</w:t>
            </w:r>
            <w:r>
              <w:rPr>
                <w:spacing w:val="-6"/>
                <w:sz w:val="20"/>
              </w:rPr>
              <w:t> </w:t>
            </w:r>
            <w:r>
              <w:rPr>
                <w:sz w:val="20"/>
              </w:rPr>
              <w:t>O40,</w:t>
            </w:r>
            <w:r>
              <w:rPr>
                <w:spacing w:val="-6"/>
                <w:sz w:val="20"/>
              </w:rPr>
              <w:t> </w:t>
            </w:r>
            <w:r>
              <w:rPr>
                <w:sz w:val="20"/>
              </w:rPr>
              <w:t>O41.0,</w:t>
            </w:r>
            <w:r>
              <w:rPr>
                <w:spacing w:val="-5"/>
                <w:sz w:val="20"/>
              </w:rPr>
              <w:t> </w:t>
            </w:r>
            <w:r>
              <w:rPr>
                <w:sz w:val="20"/>
              </w:rPr>
              <w:t>O41.1,</w:t>
            </w:r>
            <w:r>
              <w:rPr>
                <w:spacing w:val="-6"/>
                <w:sz w:val="20"/>
              </w:rPr>
              <w:t> </w:t>
            </w:r>
            <w:r>
              <w:rPr>
                <w:sz w:val="20"/>
              </w:rPr>
              <w:t>O41.8,</w:t>
            </w:r>
            <w:r>
              <w:rPr>
                <w:spacing w:val="-5"/>
                <w:sz w:val="20"/>
              </w:rPr>
              <w:t> </w:t>
            </w:r>
            <w:r>
              <w:rPr>
                <w:sz w:val="20"/>
              </w:rPr>
              <w:t>O41.9,</w:t>
            </w:r>
            <w:r>
              <w:rPr>
                <w:spacing w:val="-6"/>
                <w:sz w:val="20"/>
              </w:rPr>
              <w:t> </w:t>
            </w:r>
            <w:r>
              <w:rPr>
                <w:spacing w:val="-2"/>
                <w:sz w:val="20"/>
              </w:rPr>
              <w:t>O42.0,</w:t>
            </w:r>
          </w:p>
          <w:p>
            <w:pPr>
              <w:pStyle w:val="TableParagraph"/>
              <w:ind w:left="566" w:right="159"/>
              <w:jc w:val="center"/>
              <w:rPr>
                <w:sz w:val="20"/>
              </w:rPr>
            </w:pPr>
            <w:r>
              <w:rPr>
                <w:sz w:val="20"/>
              </w:rPr>
              <w:t>O42.1,</w:t>
            </w:r>
            <w:r>
              <w:rPr>
                <w:spacing w:val="-4"/>
                <w:sz w:val="20"/>
              </w:rPr>
              <w:t> </w:t>
            </w:r>
            <w:r>
              <w:rPr>
                <w:sz w:val="20"/>
              </w:rPr>
              <w:t>O42.2,</w:t>
            </w:r>
            <w:r>
              <w:rPr>
                <w:spacing w:val="-6"/>
                <w:sz w:val="20"/>
              </w:rPr>
              <w:t> </w:t>
            </w:r>
            <w:r>
              <w:rPr>
                <w:sz w:val="20"/>
              </w:rPr>
              <w:t>O42.9,</w:t>
            </w:r>
            <w:r>
              <w:rPr>
                <w:spacing w:val="-4"/>
                <w:sz w:val="20"/>
              </w:rPr>
              <w:t> </w:t>
            </w:r>
            <w:r>
              <w:rPr>
                <w:sz w:val="20"/>
              </w:rPr>
              <w:t>O43.0,</w:t>
            </w:r>
            <w:r>
              <w:rPr>
                <w:spacing w:val="-6"/>
                <w:sz w:val="20"/>
              </w:rPr>
              <w:t> </w:t>
            </w:r>
            <w:r>
              <w:rPr>
                <w:sz w:val="20"/>
              </w:rPr>
              <w:t>O43.1,</w:t>
            </w:r>
            <w:r>
              <w:rPr>
                <w:spacing w:val="-4"/>
                <w:sz w:val="20"/>
              </w:rPr>
              <w:t> </w:t>
            </w:r>
            <w:r>
              <w:rPr>
                <w:spacing w:val="-2"/>
                <w:sz w:val="20"/>
              </w:rPr>
              <w:t>O43.2,</w:t>
            </w:r>
          </w:p>
          <w:p>
            <w:pPr>
              <w:pStyle w:val="TableParagraph"/>
              <w:spacing w:before="1"/>
              <w:ind w:left="566" w:right="159"/>
              <w:jc w:val="center"/>
              <w:rPr>
                <w:sz w:val="20"/>
              </w:rPr>
            </w:pPr>
            <w:r>
              <w:rPr>
                <w:sz w:val="20"/>
              </w:rPr>
              <w:t>O43.8,</w:t>
            </w:r>
            <w:r>
              <w:rPr>
                <w:spacing w:val="-4"/>
                <w:sz w:val="20"/>
              </w:rPr>
              <w:t> </w:t>
            </w:r>
            <w:r>
              <w:rPr>
                <w:sz w:val="20"/>
              </w:rPr>
              <w:t>O43.9,</w:t>
            </w:r>
            <w:r>
              <w:rPr>
                <w:spacing w:val="-6"/>
                <w:sz w:val="20"/>
              </w:rPr>
              <w:t> </w:t>
            </w:r>
            <w:r>
              <w:rPr>
                <w:sz w:val="20"/>
              </w:rPr>
              <w:t>O44.0,</w:t>
            </w:r>
            <w:r>
              <w:rPr>
                <w:spacing w:val="-4"/>
                <w:sz w:val="20"/>
              </w:rPr>
              <w:t> </w:t>
            </w:r>
            <w:r>
              <w:rPr>
                <w:sz w:val="20"/>
              </w:rPr>
              <w:t>O44.1,</w:t>
            </w:r>
            <w:r>
              <w:rPr>
                <w:spacing w:val="-6"/>
                <w:sz w:val="20"/>
              </w:rPr>
              <w:t> </w:t>
            </w:r>
            <w:r>
              <w:rPr>
                <w:sz w:val="20"/>
              </w:rPr>
              <w:t>O45.0,</w:t>
            </w:r>
            <w:r>
              <w:rPr>
                <w:spacing w:val="-4"/>
                <w:sz w:val="20"/>
              </w:rPr>
              <w:t> </w:t>
            </w:r>
            <w:r>
              <w:rPr>
                <w:spacing w:val="-2"/>
                <w:sz w:val="20"/>
              </w:rPr>
              <w:t>O45.8,</w:t>
            </w:r>
          </w:p>
          <w:p>
            <w:pPr>
              <w:pStyle w:val="TableParagraph"/>
              <w:spacing w:line="229" w:lineRule="exact"/>
              <w:ind w:left="566" w:right="159"/>
              <w:jc w:val="center"/>
              <w:rPr>
                <w:sz w:val="20"/>
              </w:rPr>
            </w:pPr>
            <w:r>
              <w:rPr>
                <w:sz w:val="20"/>
              </w:rPr>
              <w:t>O45.9,</w:t>
            </w:r>
            <w:r>
              <w:rPr>
                <w:spacing w:val="-4"/>
                <w:sz w:val="20"/>
              </w:rPr>
              <w:t> </w:t>
            </w:r>
            <w:r>
              <w:rPr>
                <w:sz w:val="20"/>
              </w:rPr>
              <w:t>O46.0,</w:t>
            </w:r>
            <w:r>
              <w:rPr>
                <w:spacing w:val="-6"/>
                <w:sz w:val="20"/>
              </w:rPr>
              <w:t> </w:t>
            </w:r>
            <w:r>
              <w:rPr>
                <w:sz w:val="20"/>
              </w:rPr>
              <w:t>O46.8,</w:t>
            </w:r>
            <w:r>
              <w:rPr>
                <w:spacing w:val="-4"/>
                <w:sz w:val="20"/>
              </w:rPr>
              <w:t> </w:t>
            </w:r>
            <w:r>
              <w:rPr>
                <w:sz w:val="20"/>
              </w:rPr>
              <w:t>O46.9,</w:t>
            </w:r>
            <w:r>
              <w:rPr>
                <w:spacing w:val="-6"/>
                <w:sz w:val="20"/>
              </w:rPr>
              <w:t> </w:t>
            </w:r>
            <w:r>
              <w:rPr>
                <w:sz w:val="20"/>
              </w:rPr>
              <w:t>O47.0,</w:t>
            </w:r>
            <w:r>
              <w:rPr>
                <w:spacing w:val="-4"/>
                <w:sz w:val="20"/>
              </w:rPr>
              <w:t> </w:t>
            </w:r>
            <w:r>
              <w:rPr>
                <w:spacing w:val="-2"/>
                <w:sz w:val="20"/>
              </w:rPr>
              <w:t>O47.1,</w:t>
            </w:r>
          </w:p>
          <w:p>
            <w:pPr>
              <w:pStyle w:val="TableParagraph"/>
              <w:spacing w:line="229" w:lineRule="exact"/>
              <w:ind w:left="566" w:right="159"/>
              <w:jc w:val="center"/>
              <w:rPr>
                <w:sz w:val="20"/>
              </w:rPr>
            </w:pPr>
            <w:r>
              <w:rPr>
                <w:sz w:val="20"/>
              </w:rPr>
              <w:t>O47.9,</w:t>
            </w:r>
            <w:r>
              <w:rPr>
                <w:spacing w:val="-5"/>
                <w:sz w:val="20"/>
              </w:rPr>
              <w:t> </w:t>
            </w:r>
            <w:r>
              <w:rPr>
                <w:sz w:val="20"/>
              </w:rPr>
              <w:t>O48,</w:t>
            </w:r>
            <w:r>
              <w:rPr>
                <w:spacing w:val="-5"/>
                <w:sz w:val="20"/>
              </w:rPr>
              <w:t> </w:t>
            </w:r>
            <w:r>
              <w:rPr>
                <w:sz w:val="20"/>
              </w:rPr>
              <w:t>O60,</w:t>
            </w:r>
            <w:r>
              <w:rPr>
                <w:spacing w:val="-4"/>
                <w:sz w:val="20"/>
              </w:rPr>
              <w:t> </w:t>
            </w:r>
            <w:r>
              <w:rPr>
                <w:sz w:val="20"/>
              </w:rPr>
              <w:t>O60.1,</w:t>
            </w:r>
            <w:r>
              <w:rPr>
                <w:spacing w:val="-5"/>
                <w:sz w:val="20"/>
              </w:rPr>
              <w:t> </w:t>
            </w:r>
            <w:r>
              <w:rPr>
                <w:sz w:val="20"/>
              </w:rPr>
              <w:t>O60.2,</w:t>
            </w:r>
            <w:r>
              <w:rPr>
                <w:spacing w:val="-5"/>
                <w:sz w:val="20"/>
              </w:rPr>
              <w:t> </w:t>
            </w:r>
            <w:r>
              <w:rPr>
                <w:sz w:val="20"/>
              </w:rPr>
              <w:t>O60.3,</w:t>
            </w:r>
            <w:r>
              <w:rPr>
                <w:spacing w:val="-4"/>
                <w:sz w:val="20"/>
              </w:rPr>
              <w:t> </w:t>
            </w:r>
            <w:r>
              <w:rPr>
                <w:spacing w:val="-2"/>
                <w:sz w:val="20"/>
              </w:rPr>
              <w:t>O61.0,</w:t>
            </w:r>
          </w:p>
          <w:p>
            <w:pPr>
              <w:pStyle w:val="TableParagraph"/>
              <w:spacing w:before="1"/>
              <w:ind w:left="788"/>
              <w:rPr>
                <w:sz w:val="20"/>
              </w:rPr>
            </w:pPr>
            <w:r>
              <w:rPr>
                <w:sz w:val="20"/>
              </w:rPr>
              <w:t>O61.1,</w:t>
            </w:r>
            <w:r>
              <w:rPr>
                <w:spacing w:val="-4"/>
                <w:sz w:val="20"/>
              </w:rPr>
              <w:t> </w:t>
            </w:r>
            <w:r>
              <w:rPr>
                <w:sz w:val="20"/>
              </w:rPr>
              <w:t>O61.8,</w:t>
            </w:r>
            <w:r>
              <w:rPr>
                <w:spacing w:val="-6"/>
                <w:sz w:val="20"/>
              </w:rPr>
              <w:t> </w:t>
            </w:r>
            <w:r>
              <w:rPr>
                <w:sz w:val="20"/>
              </w:rPr>
              <w:t>O61.9,</w:t>
            </w:r>
            <w:r>
              <w:rPr>
                <w:spacing w:val="-4"/>
                <w:sz w:val="20"/>
              </w:rPr>
              <w:t> </w:t>
            </w:r>
            <w:r>
              <w:rPr>
                <w:sz w:val="20"/>
              </w:rPr>
              <w:t>O62.0,</w:t>
            </w:r>
            <w:r>
              <w:rPr>
                <w:spacing w:val="-6"/>
                <w:sz w:val="20"/>
              </w:rPr>
              <w:t> </w:t>
            </w:r>
            <w:r>
              <w:rPr>
                <w:sz w:val="20"/>
              </w:rPr>
              <w:t>O62.1,</w:t>
            </w:r>
            <w:r>
              <w:rPr>
                <w:spacing w:val="-4"/>
                <w:sz w:val="20"/>
              </w:rPr>
              <w:t> </w:t>
            </w:r>
            <w:r>
              <w:rPr>
                <w:spacing w:val="-2"/>
                <w:sz w:val="20"/>
              </w:rPr>
              <w:t>O62.2,</w:t>
            </w:r>
          </w:p>
          <w:p>
            <w:pPr>
              <w:pStyle w:val="TableParagraph"/>
              <w:ind w:left="788"/>
              <w:rPr>
                <w:sz w:val="20"/>
              </w:rPr>
            </w:pPr>
            <w:r>
              <w:rPr>
                <w:sz w:val="20"/>
              </w:rPr>
              <w:t>O62.3,</w:t>
            </w:r>
            <w:r>
              <w:rPr>
                <w:spacing w:val="-4"/>
                <w:sz w:val="20"/>
              </w:rPr>
              <w:t> </w:t>
            </w:r>
            <w:r>
              <w:rPr>
                <w:sz w:val="20"/>
              </w:rPr>
              <w:t>O62.4,</w:t>
            </w:r>
            <w:r>
              <w:rPr>
                <w:spacing w:val="-6"/>
                <w:sz w:val="20"/>
              </w:rPr>
              <w:t> </w:t>
            </w:r>
            <w:r>
              <w:rPr>
                <w:sz w:val="20"/>
              </w:rPr>
              <w:t>O62.8,</w:t>
            </w:r>
            <w:r>
              <w:rPr>
                <w:spacing w:val="-4"/>
                <w:sz w:val="20"/>
              </w:rPr>
              <w:t> </w:t>
            </w:r>
            <w:r>
              <w:rPr>
                <w:sz w:val="20"/>
              </w:rPr>
              <w:t>O62.9,</w:t>
            </w:r>
            <w:r>
              <w:rPr>
                <w:spacing w:val="-6"/>
                <w:sz w:val="20"/>
              </w:rPr>
              <w:t> </w:t>
            </w:r>
            <w:r>
              <w:rPr>
                <w:sz w:val="20"/>
              </w:rPr>
              <w:t>O63.0,</w:t>
            </w:r>
            <w:r>
              <w:rPr>
                <w:spacing w:val="-4"/>
                <w:sz w:val="20"/>
              </w:rPr>
              <w:t> </w:t>
            </w:r>
            <w:r>
              <w:rPr>
                <w:spacing w:val="-2"/>
                <w:sz w:val="20"/>
              </w:rPr>
              <w:t>O63.1,</w:t>
            </w:r>
          </w:p>
          <w:p>
            <w:pPr>
              <w:pStyle w:val="TableParagraph"/>
              <w:ind w:left="788"/>
              <w:rPr>
                <w:sz w:val="20"/>
              </w:rPr>
            </w:pPr>
            <w:r>
              <w:rPr>
                <w:sz w:val="20"/>
              </w:rPr>
              <w:t>O63.2,</w:t>
            </w:r>
            <w:r>
              <w:rPr>
                <w:spacing w:val="-4"/>
                <w:sz w:val="20"/>
              </w:rPr>
              <w:t> </w:t>
            </w:r>
            <w:r>
              <w:rPr>
                <w:sz w:val="20"/>
              </w:rPr>
              <w:t>O63.9,</w:t>
            </w:r>
            <w:r>
              <w:rPr>
                <w:spacing w:val="-6"/>
                <w:sz w:val="20"/>
              </w:rPr>
              <w:t> </w:t>
            </w:r>
            <w:r>
              <w:rPr>
                <w:sz w:val="20"/>
              </w:rPr>
              <w:t>O64.0,</w:t>
            </w:r>
            <w:r>
              <w:rPr>
                <w:spacing w:val="-4"/>
                <w:sz w:val="20"/>
              </w:rPr>
              <w:t> </w:t>
            </w:r>
            <w:r>
              <w:rPr>
                <w:sz w:val="20"/>
              </w:rPr>
              <w:t>O64.1,</w:t>
            </w:r>
            <w:r>
              <w:rPr>
                <w:spacing w:val="-6"/>
                <w:sz w:val="20"/>
              </w:rPr>
              <w:t> </w:t>
            </w:r>
            <w:r>
              <w:rPr>
                <w:sz w:val="20"/>
              </w:rPr>
              <w:t>O64.2,</w:t>
            </w:r>
            <w:r>
              <w:rPr>
                <w:spacing w:val="-4"/>
                <w:sz w:val="20"/>
              </w:rPr>
              <w:t> </w:t>
            </w:r>
            <w:r>
              <w:rPr>
                <w:spacing w:val="-2"/>
                <w:sz w:val="20"/>
              </w:rPr>
              <w:t>O64.3,</w:t>
            </w:r>
          </w:p>
          <w:p>
            <w:pPr>
              <w:pStyle w:val="TableParagraph"/>
              <w:spacing w:before="1"/>
              <w:ind w:left="788"/>
              <w:rPr>
                <w:sz w:val="20"/>
              </w:rPr>
            </w:pPr>
            <w:r>
              <w:rPr>
                <w:sz w:val="20"/>
              </w:rPr>
              <w:t>O64.4,</w:t>
            </w:r>
            <w:r>
              <w:rPr>
                <w:spacing w:val="-4"/>
                <w:sz w:val="20"/>
              </w:rPr>
              <w:t> </w:t>
            </w:r>
            <w:r>
              <w:rPr>
                <w:sz w:val="20"/>
              </w:rPr>
              <w:t>O64.5,</w:t>
            </w:r>
            <w:r>
              <w:rPr>
                <w:spacing w:val="-6"/>
                <w:sz w:val="20"/>
              </w:rPr>
              <w:t> </w:t>
            </w:r>
            <w:r>
              <w:rPr>
                <w:sz w:val="20"/>
              </w:rPr>
              <w:t>O64.8,</w:t>
            </w:r>
            <w:r>
              <w:rPr>
                <w:spacing w:val="-4"/>
                <w:sz w:val="20"/>
              </w:rPr>
              <w:t> </w:t>
            </w:r>
            <w:r>
              <w:rPr>
                <w:sz w:val="20"/>
              </w:rPr>
              <w:t>O64.9,</w:t>
            </w:r>
            <w:r>
              <w:rPr>
                <w:spacing w:val="-6"/>
                <w:sz w:val="20"/>
              </w:rPr>
              <w:t> </w:t>
            </w:r>
            <w:r>
              <w:rPr>
                <w:sz w:val="20"/>
              </w:rPr>
              <w:t>O65.0,</w:t>
            </w:r>
            <w:r>
              <w:rPr>
                <w:spacing w:val="-4"/>
                <w:sz w:val="20"/>
              </w:rPr>
              <w:t> </w:t>
            </w:r>
            <w:r>
              <w:rPr>
                <w:spacing w:val="-2"/>
                <w:sz w:val="20"/>
              </w:rPr>
              <w:t>O65.1,</w:t>
            </w:r>
          </w:p>
          <w:p>
            <w:pPr>
              <w:pStyle w:val="TableParagraph"/>
              <w:spacing w:line="229" w:lineRule="exact" w:before="1"/>
              <w:ind w:left="788"/>
              <w:rPr>
                <w:sz w:val="20"/>
              </w:rPr>
            </w:pPr>
            <w:r>
              <w:rPr>
                <w:sz w:val="20"/>
              </w:rPr>
              <w:t>O65.2,</w:t>
            </w:r>
            <w:r>
              <w:rPr>
                <w:spacing w:val="-4"/>
                <w:sz w:val="20"/>
              </w:rPr>
              <w:t> </w:t>
            </w:r>
            <w:r>
              <w:rPr>
                <w:sz w:val="20"/>
              </w:rPr>
              <w:t>O65.3,</w:t>
            </w:r>
            <w:r>
              <w:rPr>
                <w:spacing w:val="-6"/>
                <w:sz w:val="20"/>
              </w:rPr>
              <w:t> </w:t>
            </w:r>
            <w:r>
              <w:rPr>
                <w:sz w:val="20"/>
              </w:rPr>
              <w:t>O65.4,</w:t>
            </w:r>
            <w:r>
              <w:rPr>
                <w:spacing w:val="-4"/>
                <w:sz w:val="20"/>
              </w:rPr>
              <w:t> </w:t>
            </w:r>
            <w:r>
              <w:rPr>
                <w:sz w:val="20"/>
              </w:rPr>
              <w:t>O65.5,</w:t>
            </w:r>
            <w:r>
              <w:rPr>
                <w:spacing w:val="-6"/>
                <w:sz w:val="20"/>
              </w:rPr>
              <w:t> </w:t>
            </w:r>
            <w:r>
              <w:rPr>
                <w:sz w:val="20"/>
              </w:rPr>
              <w:t>O65.8,</w:t>
            </w:r>
            <w:r>
              <w:rPr>
                <w:spacing w:val="-4"/>
                <w:sz w:val="20"/>
              </w:rPr>
              <w:t> </w:t>
            </w:r>
            <w:r>
              <w:rPr>
                <w:spacing w:val="-2"/>
                <w:sz w:val="20"/>
              </w:rPr>
              <w:t>O65.9,</w:t>
            </w:r>
          </w:p>
          <w:p>
            <w:pPr>
              <w:pStyle w:val="TableParagraph"/>
              <w:spacing w:line="229" w:lineRule="exact"/>
              <w:ind w:left="788"/>
              <w:rPr>
                <w:sz w:val="20"/>
              </w:rPr>
            </w:pPr>
            <w:r>
              <w:rPr>
                <w:sz w:val="20"/>
              </w:rPr>
              <w:t>O66.0,</w:t>
            </w:r>
            <w:r>
              <w:rPr>
                <w:spacing w:val="-4"/>
                <w:sz w:val="20"/>
              </w:rPr>
              <w:t> </w:t>
            </w:r>
            <w:r>
              <w:rPr>
                <w:sz w:val="20"/>
              </w:rPr>
              <w:t>O66.1,</w:t>
            </w:r>
            <w:r>
              <w:rPr>
                <w:spacing w:val="-6"/>
                <w:sz w:val="20"/>
              </w:rPr>
              <w:t> </w:t>
            </w:r>
            <w:r>
              <w:rPr>
                <w:sz w:val="20"/>
              </w:rPr>
              <w:t>O66.2,</w:t>
            </w:r>
            <w:r>
              <w:rPr>
                <w:spacing w:val="-4"/>
                <w:sz w:val="20"/>
              </w:rPr>
              <w:t> </w:t>
            </w:r>
            <w:r>
              <w:rPr>
                <w:sz w:val="20"/>
              </w:rPr>
              <w:t>O66.3,</w:t>
            </w:r>
            <w:r>
              <w:rPr>
                <w:spacing w:val="-6"/>
                <w:sz w:val="20"/>
              </w:rPr>
              <w:t> </w:t>
            </w:r>
            <w:r>
              <w:rPr>
                <w:sz w:val="20"/>
              </w:rPr>
              <w:t>O66.4,</w:t>
            </w:r>
            <w:r>
              <w:rPr>
                <w:spacing w:val="-4"/>
                <w:sz w:val="20"/>
              </w:rPr>
              <w:t> </w:t>
            </w:r>
            <w:r>
              <w:rPr>
                <w:spacing w:val="-2"/>
                <w:sz w:val="20"/>
              </w:rPr>
              <w:t>O66.5,</w:t>
            </w:r>
          </w:p>
          <w:p>
            <w:pPr>
              <w:pStyle w:val="TableParagraph"/>
              <w:ind w:left="788"/>
              <w:rPr>
                <w:sz w:val="20"/>
              </w:rPr>
            </w:pPr>
            <w:r>
              <w:rPr>
                <w:sz w:val="20"/>
              </w:rPr>
              <w:t>O66.8,</w:t>
            </w:r>
            <w:r>
              <w:rPr>
                <w:spacing w:val="-4"/>
                <w:sz w:val="20"/>
              </w:rPr>
              <w:t> </w:t>
            </w:r>
            <w:r>
              <w:rPr>
                <w:sz w:val="20"/>
              </w:rPr>
              <w:t>O66.9,</w:t>
            </w:r>
            <w:r>
              <w:rPr>
                <w:spacing w:val="-6"/>
                <w:sz w:val="20"/>
              </w:rPr>
              <w:t> </w:t>
            </w:r>
            <w:r>
              <w:rPr>
                <w:sz w:val="20"/>
              </w:rPr>
              <w:t>O67.0,</w:t>
            </w:r>
            <w:r>
              <w:rPr>
                <w:spacing w:val="-4"/>
                <w:sz w:val="20"/>
              </w:rPr>
              <w:t> </w:t>
            </w:r>
            <w:r>
              <w:rPr>
                <w:sz w:val="20"/>
              </w:rPr>
              <w:t>O67.8,</w:t>
            </w:r>
            <w:r>
              <w:rPr>
                <w:spacing w:val="-6"/>
                <w:sz w:val="20"/>
              </w:rPr>
              <w:t> </w:t>
            </w:r>
            <w:r>
              <w:rPr>
                <w:sz w:val="20"/>
              </w:rPr>
              <w:t>O67.9,</w:t>
            </w:r>
            <w:r>
              <w:rPr>
                <w:spacing w:val="-4"/>
                <w:sz w:val="20"/>
              </w:rPr>
              <w:t> </w:t>
            </w:r>
            <w:r>
              <w:rPr>
                <w:spacing w:val="-2"/>
                <w:sz w:val="20"/>
              </w:rPr>
              <w:t>O68.0,</w:t>
            </w:r>
          </w:p>
          <w:p>
            <w:pPr>
              <w:pStyle w:val="TableParagraph"/>
              <w:spacing w:before="1"/>
              <w:ind w:left="788"/>
              <w:rPr>
                <w:sz w:val="20"/>
              </w:rPr>
            </w:pPr>
            <w:r>
              <w:rPr>
                <w:sz w:val="20"/>
              </w:rPr>
              <w:t>O68.1,</w:t>
            </w:r>
            <w:r>
              <w:rPr>
                <w:spacing w:val="-4"/>
                <w:sz w:val="20"/>
              </w:rPr>
              <w:t> </w:t>
            </w:r>
            <w:r>
              <w:rPr>
                <w:sz w:val="20"/>
              </w:rPr>
              <w:t>O68.2,</w:t>
            </w:r>
            <w:r>
              <w:rPr>
                <w:spacing w:val="-6"/>
                <w:sz w:val="20"/>
              </w:rPr>
              <w:t> </w:t>
            </w:r>
            <w:r>
              <w:rPr>
                <w:sz w:val="20"/>
              </w:rPr>
              <w:t>O68.3,</w:t>
            </w:r>
            <w:r>
              <w:rPr>
                <w:spacing w:val="-4"/>
                <w:sz w:val="20"/>
              </w:rPr>
              <w:t> </w:t>
            </w:r>
            <w:r>
              <w:rPr>
                <w:sz w:val="20"/>
              </w:rPr>
              <w:t>O68.8,</w:t>
            </w:r>
            <w:r>
              <w:rPr>
                <w:spacing w:val="-6"/>
                <w:sz w:val="20"/>
              </w:rPr>
              <w:t> </w:t>
            </w:r>
            <w:r>
              <w:rPr>
                <w:sz w:val="20"/>
              </w:rPr>
              <w:t>O68.9,</w:t>
            </w:r>
            <w:r>
              <w:rPr>
                <w:spacing w:val="-4"/>
                <w:sz w:val="20"/>
              </w:rPr>
              <w:t> </w:t>
            </w:r>
            <w:r>
              <w:rPr>
                <w:spacing w:val="-2"/>
                <w:sz w:val="20"/>
              </w:rPr>
              <w:t>O69.0,</w:t>
            </w:r>
          </w:p>
          <w:p>
            <w:pPr>
              <w:pStyle w:val="TableParagraph"/>
              <w:ind w:left="788"/>
              <w:rPr>
                <w:sz w:val="20"/>
              </w:rPr>
            </w:pPr>
            <w:r>
              <w:rPr>
                <w:sz w:val="20"/>
              </w:rPr>
              <w:t>O69.1,</w:t>
            </w:r>
            <w:r>
              <w:rPr>
                <w:spacing w:val="-4"/>
                <w:sz w:val="20"/>
              </w:rPr>
              <w:t> </w:t>
            </w:r>
            <w:r>
              <w:rPr>
                <w:sz w:val="20"/>
              </w:rPr>
              <w:t>O69.2,</w:t>
            </w:r>
            <w:r>
              <w:rPr>
                <w:spacing w:val="-6"/>
                <w:sz w:val="20"/>
              </w:rPr>
              <w:t> </w:t>
            </w:r>
            <w:r>
              <w:rPr>
                <w:sz w:val="20"/>
              </w:rPr>
              <w:t>O69.3,</w:t>
            </w:r>
            <w:r>
              <w:rPr>
                <w:spacing w:val="-4"/>
                <w:sz w:val="20"/>
              </w:rPr>
              <w:t> </w:t>
            </w:r>
            <w:r>
              <w:rPr>
                <w:sz w:val="20"/>
              </w:rPr>
              <w:t>O69.4,</w:t>
            </w:r>
            <w:r>
              <w:rPr>
                <w:spacing w:val="-6"/>
                <w:sz w:val="20"/>
              </w:rPr>
              <w:t> </w:t>
            </w:r>
            <w:r>
              <w:rPr>
                <w:sz w:val="20"/>
              </w:rPr>
              <w:t>O69.5,</w:t>
            </w:r>
            <w:r>
              <w:rPr>
                <w:spacing w:val="-4"/>
                <w:sz w:val="20"/>
              </w:rPr>
              <w:t> </w:t>
            </w:r>
            <w:r>
              <w:rPr>
                <w:spacing w:val="-2"/>
                <w:sz w:val="20"/>
              </w:rPr>
              <w:t>O69.8,</w:t>
            </w:r>
          </w:p>
          <w:p>
            <w:pPr>
              <w:pStyle w:val="TableParagraph"/>
              <w:ind w:left="788"/>
              <w:rPr>
                <w:sz w:val="20"/>
              </w:rPr>
            </w:pPr>
            <w:r>
              <w:rPr>
                <w:sz w:val="20"/>
              </w:rPr>
              <w:t>O69.9,</w:t>
            </w:r>
            <w:r>
              <w:rPr>
                <w:spacing w:val="-3"/>
                <w:sz w:val="20"/>
              </w:rPr>
              <w:t> </w:t>
            </w:r>
            <w:r>
              <w:rPr>
                <w:sz w:val="20"/>
              </w:rPr>
              <w:t>O70.0,</w:t>
            </w:r>
            <w:r>
              <w:rPr>
                <w:spacing w:val="-6"/>
                <w:sz w:val="20"/>
              </w:rPr>
              <w:t> </w:t>
            </w:r>
            <w:r>
              <w:rPr>
                <w:sz w:val="20"/>
              </w:rPr>
              <w:t>O70.1,</w:t>
            </w:r>
            <w:r>
              <w:rPr>
                <w:spacing w:val="-4"/>
                <w:sz w:val="20"/>
              </w:rPr>
              <w:t> </w:t>
            </w:r>
            <w:r>
              <w:rPr>
                <w:sz w:val="20"/>
              </w:rPr>
              <w:t>O70.2,</w:t>
            </w:r>
            <w:r>
              <w:rPr>
                <w:spacing w:val="-6"/>
                <w:sz w:val="20"/>
              </w:rPr>
              <w:t> </w:t>
            </w:r>
            <w:r>
              <w:rPr>
                <w:sz w:val="20"/>
              </w:rPr>
              <w:t>O70.3,</w:t>
            </w:r>
            <w:r>
              <w:rPr>
                <w:spacing w:val="-4"/>
                <w:sz w:val="20"/>
              </w:rPr>
              <w:t> </w:t>
            </w:r>
            <w:r>
              <w:rPr>
                <w:spacing w:val="-2"/>
                <w:sz w:val="20"/>
              </w:rPr>
              <w:t>O70.9,</w:t>
            </w:r>
          </w:p>
          <w:p>
            <w:pPr>
              <w:pStyle w:val="TableParagraph"/>
              <w:spacing w:line="210" w:lineRule="exact" w:before="1"/>
              <w:ind w:left="788"/>
              <w:rPr>
                <w:sz w:val="20"/>
              </w:rPr>
            </w:pPr>
            <w:r>
              <w:rPr>
                <w:sz w:val="20"/>
              </w:rPr>
              <w:t>O71.0,</w:t>
            </w:r>
            <w:r>
              <w:rPr>
                <w:spacing w:val="-4"/>
                <w:sz w:val="20"/>
              </w:rPr>
              <w:t> </w:t>
            </w:r>
            <w:r>
              <w:rPr>
                <w:sz w:val="20"/>
              </w:rPr>
              <w:t>O71.1,</w:t>
            </w:r>
            <w:r>
              <w:rPr>
                <w:spacing w:val="-6"/>
                <w:sz w:val="20"/>
              </w:rPr>
              <w:t> </w:t>
            </w:r>
            <w:r>
              <w:rPr>
                <w:sz w:val="20"/>
              </w:rPr>
              <w:t>O71.2,</w:t>
            </w:r>
            <w:r>
              <w:rPr>
                <w:spacing w:val="-4"/>
                <w:sz w:val="20"/>
              </w:rPr>
              <w:t> </w:t>
            </w:r>
            <w:r>
              <w:rPr>
                <w:sz w:val="20"/>
              </w:rPr>
              <w:t>O71.3,</w:t>
            </w:r>
            <w:r>
              <w:rPr>
                <w:spacing w:val="-6"/>
                <w:sz w:val="20"/>
              </w:rPr>
              <w:t> </w:t>
            </w:r>
            <w:r>
              <w:rPr>
                <w:sz w:val="20"/>
              </w:rPr>
              <w:t>O71.4,</w:t>
            </w:r>
            <w:r>
              <w:rPr>
                <w:spacing w:val="-4"/>
                <w:sz w:val="20"/>
              </w:rPr>
              <w:t> </w:t>
            </w:r>
            <w:r>
              <w:rPr>
                <w:spacing w:val="-2"/>
                <w:sz w:val="20"/>
              </w:rPr>
              <w:t>O71.5,</w:t>
            </w:r>
          </w:p>
        </w:tc>
        <w:tc>
          <w:tcPr>
            <w:tcW w:w="3954" w:type="dxa"/>
          </w:tcPr>
          <w:p>
            <w:pPr>
              <w:pStyle w:val="TableParagraph"/>
              <w:ind w:left="158" w:right="624" w:hanging="3"/>
              <w:jc w:val="center"/>
              <w:rPr>
                <w:sz w:val="20"/>
              </w:rPr>
            </w:pPr>
            <w:r>
              <w:rPr>
                <w:sz w:val="20"/>
              </w:rPr>
              <w:t>A16.20.007, A16.20.015, A16.20.023, A16.20.024,</w:t>
            </w:r>
            <w:r>
              <w:rPr>
                <w:spacing w:val="-13"/>
                <w:sz w:val="20"/>
              </w:rPr>
              <w:t> </w:t>
            </w:r>
            <w:r>
              <w:rPr>
                <w:sz w:val="20"/>
              </w:rPr>
              <w:t>A16.20.030,</w:t>
            </w:r>
            <w:r>
              <w:rPr>
                <w:spacing w:val="-12"/>
                <w:sz w:val="20"/>
              </w:rPr>
              <w:t> </w:t>
            </w:r>
            <w:r>
              <w:rPr>
                <w:sz w:val="20"/>
              </w:rPr>
              <w:t>B01.001.006, B01.001.009, B02.001.002</w:t>
            </w:r>
          </w:p>
        </w:tc>
        <w:tc>
          <w:tcPr>
            <w:tcW w:w="1551" w:type="dxa"/>
          </w:tcPr>
          <w:p>
            <w:pPr>
              <w:pStyle w:val="TableParagraph"/>
              <w:spacing w:line="221" w:lineRule="exact"/>
              <w:ind w:right="235"/>
              <w:jc w:val="center"/>
              <w:rPr>
                <w:sz w:val="20"/>
              </w:rPr>
            </w:pPr>
            <w:r>
              <w:rPr>
                <w:w w:val="99"/>
                <w:sz w:val="20"/>
              </w:rPr>
              <w:t>-</w:t>
            </w:r>
          </w:p>
        </w:tc>
        <w:tc>
          <w:tcPr>
            <w:tcW w:w="1261" w:type="dxa"/>
          </w:tcPr>
          <w:p>
            <w:pPr>
              <w:pStyle w:val="TableParagraph"/>
              <w:spacing w:line="221" w:lineRule="exact"/>
              <w:ind w:right="49"/>
              <w:jc w:val="right"/>
              <w:rPr>
                <w:sz w:val="20"/>
              </w:rPr>
            </w:pPr>
            <w:r>
              <w:rPr>
                <w:spacing w:val="-4"/>
                <w:sz w:val="20"/>
              </w:rPr>
              <w:t>0,98</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
        <w:gridCol w:w="606"/>
        <w:gridCol w:w="2633"/>
        <w:gridCol w:w="4834"/>
        <w:gridCol w:w="2839"/>
        <w:gridCol w:w="2107"/>
        <w:gridCol w:w="1262"/>
      </w:tblGrid>
      <w:tr>
        <w:trPr>
          <w:trHeight w:val="225" w:hRule="atLeast"/>
        </w:trPr>
        <w:tc>
          <w:tcPr>
            <w:tcW w:w="996" w:type="dxa"/>
            <w:vMerge w:val="restart"/>
          </w:tcPr>
          <w:p>
            <w:pPr>
              <w:pStyle w:val="TableParagraph"/>
              <w:rPr>
                <w:sz w:val="18"/>
              </w:rPr>
            </w:pPr>
          </w:p>
        </w:tc>
        <w:tc>
          <w:tcPr>
            <w:tcW w:w="606" w:type="dxa"/>
            <w:vMerge w:val="restart"/>
          </w:tcPr>
          <w:p>
            <w:pPr>
              <w:pStyle w:val="TableParagraph"/>
              <w:rPr>
                <w:sz w:val="18"/>
              </w:rPr>
            </w:pPr>
          </w:p>
        </w:tc>
        <w:tc>
          <w:tcPr>
            <w:tcW w:w="2633" w:type="dxa"/>
            <w:vMerge w:val="restart"/>
          </w:tcPr>
          <w:p>
            <w:pPr>
              <w:pStyle w:val="TableParagraph"/>
              <w:rPr>
                <w:sz w:val="18"/>
              </w:rPr>
            </w:pPr>
          </w:p>
        </w:tc>
        <w:tc>
          <w:tcPr>
            <w:tcW w:w="4834" w:type="dxa"/>
          </w:tcPr>
          <w:p>
            <w:pPr>
              <w:pStyle w:val="TableParagraph"/>
              <w:spacing w:line="205" w:lineRule="exact"/>
              <w:ind w:left="155"/>
              <w:rPr>
                <w:sz w:val="20"/>
              </w:rPr>
            </w:pPr>
            <w:r>
              <w:rPr>
                <w:sz w:val="20"/>
              </w:rPr>
              <w:t>O71.6,</w:t>
            </w:r>
            <w:r>
              <w:rPr>
                <w:spacing w:val="-4"/>
                <w:sz w:val="20"/>
              </w:rPr>
              <w:t> </w:t>
            </w:r>
            <w:r>
              <w:rPr>
                <w:sz w:val="20"/>
              </w:rPr>
              <w:t>O71.7,</w:t>
            </w:r>
            <w:r>
              <w:rPr>
                <w:spacing w:val="-6"/>
                <w:sz w:val="20"/>
              </w:rPr>
              <w:t> </w:t>
            </w:r>
            <w:r>
              <w:rPr>
                <w:sz w:val="20"/>
              </w:rPr>
              <w:t>O71.8,</w:t>
            </w:r>
            <w:r>
              <w:rPr>
                <w:spacing w:val="-4"/>
                <w:sz w:val="20"/>
              </w:rPr>
              <w:t> </w:t>
            </w:r>
            <w:r>
              <w:rPr>
                <w:sz w:val="20"/>
              </w:rPr>
              <w:t>O71.9,</w:t>
            </w:r>
            <w:r>
              <w:rPr>
                <w:spacing w:val="-6"/>
                <w:sz w:val="20"/>
              </w:rPr>
              <w:t> </w:t>
            </w:r>
            <w:r>
              <w:rPr>
                <w:sz w:val="20"/>
              </w:rPr>
              <w:t>O72,</w:t>
            </w:r>
            <w:r>
              <w:rPr>
                <w:spacing w:val="-4"/>
                <w:sz w:val="20"/>
              </w:rPr>
              <w:t> </w:t>
            </w:r>
            <w:r>
              <w:rPr>
                <w:sz w:val="20"/>
              </w:rPr>
              <w:t>O72.0,</w:t>
            </w:r>
            <w:r>
              <w:rPr>
                <w:spacing w:val="-4"/>
                <w:sz w:val="20"/>
              </w:rPr>
              <w:t> </w:t>
            </w:r>
            <w:r>
              <w:rPr>
                <w:spacing w:val="-2"/>
                <w:sz w:val="20"/>
              </w:rPr>
              <w:t>O72.1,</w:t>
            </w:r>
          </w:p>
        </w:tc>
        <w:tc>
          <w:tcPr>
            <w:tcW w:w="2839" w:type="dxa"/>
            <w:vMerge w:val="restart"/>
          </w:tcPr>
          <w:p>
            <w:pPr>
              <w:pStyle w:val="TableParagraph"/>
              <w:rPr>
                <w:sz w:val="18"/>
              </w:rPr>
            </w:pPr>
          </w:p>
        </w:tc>
        <w:tc>
          <w:tcPr>
            <w:tcW w:w="210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09" w:lineRule="exact"/>
              <w:ind w:left="231"/>
              <w:rPr>
                <w:sz w:val="20"/>
              </w:rPr>
            </w:pPr>
            <w:r>
              <w:rPr>
                <w:sz w:val="20"/>
              </w:rPr>
              <w:t>O72.2,</w:t>
            </w:r>
            <w:r>
              <w:rPr>
                <w:spacing w:val="-5"/>
                <w:sz w:val="20"/>
              </w:rPr>
              <w:t> </w:t>
            </w:r>
            <w:r>
              <w:rPr>
                <w:sz w:val="20"/>
              </w:rPr>
              <w:t>O72.3,</w:t>
            </w:r>
            <w:r>
              <w:rPr>
                <w:spacing w:val="-7"/>
                <w:sz w:val="20"/>
              </w:rPr>
              <w:t> </w:t>
            </w:r>
            <w:r>
              <w:rPr>
                <w:sz w:val="20"/>
              </w:rPr>
              <w:t>O73,</w:t>
            </w:r>
            <w:r>
              <w:rPr>
                <w:spacing w:val="-4"/>
                <w:sz w:val="20"/>
              </w:rPr>
              <w:t> </w:t>
            </w:r>
            <w:r>
              <w:rPr>
                <w:sz w:val="20"/>
              </w:rPr>
              <w:t>O73.0,</w:t>
            </w:r>
            <w:r>
              <w:rPr>
                <w:spacing w:val="-5"/>
                <w:sz w:val="20"/>
              </w:rPr>
              <w:t> </w:t>
            </w:r>
            <w:r>
              <w:rPr>
                <w:sz w:val="20"/>
              </w:rPr>
              <w:t>O73.1,</w:t>
            </w:r>
            <w:r>
              <w:rPr>
                <w:spacing w:val="-5"/>
                <w:sz w:val="20"/>
              </w:rPr>
              <w:t> </w:t>
            </w:r>
            <w:r>
              <w:rPr>
                <w:sz w:val="20"/>
              </w:rPr>
              <w:t>O74,</w:t>
            </w:r>
            <w:r>
              <w:rPr>
                <w:spacing w:val="-4"/>
                <w:sz w:val="20"/>
              </w:rPr>
              <w:t> </w:t>
            </w:r>
            <w:r>
              <w:rPr>
                <w:spacing w:val="-2"/>
                <w:sz w:val="20"/>
              </w:rPr>
              <w:t>O74.0,</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09" w:lineRule="exact"/>
              <w:ind w:left="378"/>
              <w:rPr>
                <w:sz w:val="20"/>
              </w:rPr>
            </w:pPr>
            <w:r>
              <w:rPr>
                <w:sz w:val="20"/>
              </w:rPr>
              <w:t>O74.1,</w:t>
            </w:r>
            <w:r>
              <w:rPr>
                <w:spacing w:val="-4"/>
                <w:sz w:val="20"/>
              </w:rPr>
              <w:t> </w:t>
            </w:r>
            <w:r>
              <w:rPr>
                <w:sz w:val="20"/>
              </w:rPr>
              <w:t>O74.2,</w:t>
            </w:r>
            <w:r>
              <w:rPr>
                <w:spacing w:val="-6"/>
                <w:sz w:val="20"/>
              </w:rPr>
              <w:t> </w:t>
            </w:r>
            <w:r>
              <w:rPr>
                <w:sz w:val="20"/>
              </w:rPr>
              <w:t>O74.3,</w:t>
            </w:r>
            <w:r>
              <w:rPr>
                <w:spacing w:val="-4"/>
                <w:sz w:val="20"/>
              </w:rPr>
              <w:t> </w:t>
            </w:r>
            <w:r>
              <w:rPr>
                <w:sz w:val="20"/>
              </w:rPr>
              <w:t>O74.4,</w:t>
            </w:r>
            <w:r>
              <w:rPr>
                <w:spacing w:val="-6"/>
                <w:sz w:val="20"/>
              </w:rPr>
              <w:t> </w:t>
            </w:r>
            <w:r>
              <w:rPr>
                <w:sz w:val="20"/>
              </w:rPr>
              <w:t>O74.5,</w:t>
            </w:r>
            <w:r>
              <w:rPr>
                <w:spacing w:val="-4"/>
                <w:sz w:val="20"/>
              </w:rPr>
              <w:t> </w:t>
            </w:r>
            <w:r>
              <w:rPr>
                <w:spacing w:val="-2"/>
                <w:sz w:val="20"/>
              </w:rPr>
              <w:t>O74.6,</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157"/>
              <w:rPr>
                <w:sz w:val="20"/>
              </w:rPr>
            </w:pPr>
            <w:r>
              <w:rPr>
                <w:sz w:val="20"/>
              </w:rPr>
              <w:t>O74.7,</w:t>
            </w:r>
            <w:r>
              <w:rPr>
                <w:spacing w:val="-6"/>
                <w:sz w:val="20"/>
              </w:rPr>
              <w:t> </w:t>
            </w:r>
            <w:r>
              <w:rPr>
                <w:sz w:val="20"/>
              </w:rPr>
              <w:t>O74.8,</w:t>
            </w:r>
            <w:r>
              <w:rPr>
                <w:spacing w:val="-6"/>
                <w:sz w:val="20"/>
              </w:rPr>
              <w:t> </w:t>
            </w:r>
            <w:r>
              <w:rPr>
                <w:sz w:val="20"/>
              </w:rPr>
              <w:t>O74.9,</w:t>
            </w:r>
            <w:r>
              <w:rPr>
                <w:spacing w:val="-5"/>
                <w:sz w:val="20"/>
              </w:rPr>
              <w:t> </w:t>
            </w:r>
            <w:r>
              <w:rPr>
                <w:sz w:val="20"/>
              </w:rPr>
              <w:t>O75,</w:t>
            </w:r>
            <w:r>
              <w:rPr>
                <w:spacing w:val="-6"/>
                <w:sz w:val="20"/>
              </w:rPr>
              <w:t> </w:t>
            </w:r>
            <w:r>
              <w:rPr>
                <w:sz w:val="20"/>
              </w:rPr>
              <w:t>O75.0,</w:t>
            </w:r>
            <w:r>
              <w:rPr>
                <w:spacing w:val="-5"/>
                <w:sz w:val="20"/>
              </w:rPr>
              <w:t> </w:t>
            </w:r>
            <w:r>
              <w:rPr>
                <w:sz w:val="20"/>
              </w:rPr>
              <w:t>O75.1,</w:t>
            </w:r>
            <w:r>
              <w:rPr>
                <w:spacing w:val="-5"/>
                <w:sz w:val="20"/>
              </w:rPr>
              <w:t> </w:t>
            </w:r>
            <w:r>
              <w:rPr>
                <w:spacing w:val="-2"/>
                <w:sz w:val="20"/>
              </w:rPr>
              <w:t>O75.2,</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O75.3,</w:t>
            </w:r>
            <w:r>
              <w:rPr>
                <w:spacing w:val="-4"/>
                <w:sz w:val="20"/>
              </w:rPr>
              <w:t> </w:t>
            </w:r>
            <w:r>
              <w:rPr>
                <w:sz w:val="20"/>
              </w:rPr>
              <w:t>O75.4,</w:t>
            </w:r>
            <w:r>
              <w:rPr>
                <w:spacing w:val="-6"/>
                <w:sz w:val="20"/>
              </w:rPr>
              <w:t> </w:t>
            </w:r>
            <w:r>
              <w:rPr>
                <w:sz w:val="20"/>
              </w:rPr>
              <w:t>O75.5,</w:t>
            </w:r>
            <w:r>
              <w:rPr>
                <w:spacing w:val="-4"/>
                <w:sz w:val="20"/>
              </w:rPr>
              <w:t> </w:t>
            </w:r>
            <w:r>
              <w:rPr>
                <w:sz w:val="20"/>
              </w:rPr>
              <w:t>O75.6,</w:t>
            </w:r>
            <w:r>
              <w:rPr>
                <w:spacing w:val="-6"/>
                <w:sz w:val="20"/>
              </w:rPr>
              <w:t> </w:t>
            </w:r>
            <w:r>
              <w:rPr>
                <w:sz w:val="20"/>
              </w:rPr>
              <w:t>O75.7,</w:t>
            </w:r>
            <w:r>
              <w:rPr>
                <w:spacing w:val="-4"/>
                <w:sz w:val="20"/>
              </w:rPr>
              <w:t> </w:t>
            </w:r>
            <w:r>
              <w:rPr>
                <w:spacing w:val="-2"/>
                <w:sz w:val="20"/>
              </w:rPr>
              <w:t>O75.8,</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231"/>
              <w:rPr>
                <w:sz w:val="20"/>
              </w:rPr>
            </w:pPr>
            <w:r>
              <w:rPr>
                <w:sz w:val="20"/>
              </w:rPr>
              <w:t>O75.9,</w:t>
            </w:r>
            <w:r>
              <w:rPr>
                <w:spacing w:val="-6"/>
                <w:sz w:val="20"/>
              </w:rPr>
              <w:t> </w:t>
            </w:r>
            <w:r>
              <w:rPr>
                <w:sz w:val="20"/>
              </w:rPr>
              <w:t>O80,</w:t>
            </w:r>
            <w:r>
              <w:rPr>
                <w:spacing w:val="-6"/>
                <w:sz w:val="20"/>
              </w:rPr>
              <w:t> </w:t>
            </w:r>
            <w:r>
              <w:rPr>
                <w:sz w:val="20"/>
              </w:rPr>
              <w:t>O80.0,</w:t>
            </w:r>
            <w:r>
              <w:rPr>
                <w:spacing w:val="-5"/>
                <w:sz w:val="20"/>
              </w:rPr>
              <w:t> </w:t>
            </w:r>
            <w:r>
              <w:rPr>
                <w:sz w:val="20"/>
              </w:rPr>
              <w:t>O80.1,</w:t>
            </w:r>
            <w:r>
              <w:rPr>
                <w:spacing w:val="-6"/>
                <w:sz w:val="20"/>
              </w:rPr>
              <w:t> </w:t>
            </w:r>
            <w:r>
              <w:rPr>
                <w:sz w:val="20"/>
              </w:rPr>
              <w:t>O80.8,</w:t>
            </w:r>
            <w:r>
              <w:rPr>
                <w:spacing w:val="-5"/>
                <w:sz w:val="20"/>
              </w:rPr>
              <w:t> </w:t>
            </w:r>
            <w:r>
              <w:rPr>
                <w:sz w:val="20"/>
              </w:rPr>
              <w:t>O80.9,</w:t>
            </w:r>
            <w:r>
              <w:rPr>
                <w:spacing w:val="-6"/>
                <w:sz w:val="20"/>
              </w:rPr>
              <w:t> </w:t>
            </w:r>
            <w:r>
              <w:rPr>
                <w:spacing w:val="-4"/>
                <w:sz w:val="20"/>
              </w:rPr>
              <w:t>O81,</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1" w:lineRule="exact"/>
              <w:ind w:left="155"/>
              <w:rPr>
                <w:sz w:val="20"/>
              </w:rPr>
            </w:pPr>
            <w:r>
              <w:rPr>
                <w:sz w:val="20"/>
              </w:rPr>
              <w:t>O81.0,</w:t>
            </w:r>
            <w:r>
              <w:rPr>
                <w:spacing w:val="-5"/>
                <w:sz w:val="20"/>
              </w:rPr>
              <w:t> </w:t>
            </w:r>
            <w:r>
              <w:rPr>
                <w:sz w:val="20"/>
              </w:rPr>
              <w:t>O81.1,</w:t>
            </w:r>
            <w:r>
              <w:rPr>
                <w:spacing w:val="-5"/>
                <w:sz w:val="20"/>
              </w:rPr>
              <w:t> </w:t>
            </w:r>
            <w:r>
              <w:rPr>
                <w:sz w:val="20"/>
              </w:rPr>
              <w:t>O81.2,</w:t>
            </w:r>
            <w:r>
              <w:rPr>
                <w:spacing w:val="-4"/>
                <w:sz w:val="20"/>
              </w:rPr>
              <w:t> </w:t>
            </w:r>
            <w:r>
              <w:rPr>
                <w:sz w:val="20"/>
              </w:rPr>
              <w:t>O81.3,</w:t>
            </w:r>
            <w:r>
              <w:rPr>
                <w:spacing w:val="-6"/>
                <w:sz w:val="20"/>
              </w:rPr>
              <w:t> </w:t>
            </w:r>
            <w:r>
              <w:rPr>
                <w:sz w:val="20"/>
              </w:rPr>
              <w:t>O81.4,</w:t>
            </w:r>
            <w:r>
              <w:rPr>
                <w:spacing w:val="-4"/>
                <w:sz w:val="20"/>
              </w:rPr>
              <w:t> </w:t>
            </w:r>
            <w:r>
              <w:rPr>
                <w:sz w:val="20"/>
              </w:rPr>
              <w:t>O81.5,</w:t>
            </w:r>
            <w:r>
              <w:rPr>
                <w:spacing w:val="-6"/>
                <w:sz w:val="20"/>
              </w:rPr>
              <w:t> </w:t>
            </w:r>
            <w:r>
              <w:rPr>
                <w:spacing w:val="-4"/>
                <w:sz w:val="20"/>
              </w:rPr>
              <w:t>O83,</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O83.0,</w:t>
            </w:r>
            <w:r>
              <w:rPr>
                <w:spacing w:val="-4"/>
                <w:sz w:val="20"/>
              </w:rPr>
              <w:t> </w:t>
            </w:r>
            <w:r>
              <w:rPr>
                <w:sz w:val="20"/>
              </w:rPr>
              <w:t>O83.1,</w:t>
            </w:r>
            <w:r>
              <w:rPr>
                <w:spacing w:val="-6"/>
                <w:sz w:val="20"/>
              </w:rPr>
              <w:t> </w:t>
            </w:r>
            <w:r>
              <w:rPr>
                <w:sz w:val="20"/>
              </w:rPr>
              <w:t>O83.2,</w:t>
            </w:r>
            <w:r>
              <w:rPr>
                <w:spacing w:val="-4"/>
                <w:sz w:val="20"/>
              </w:rPr>
              <w:t> </w:t>
            </w:r>
            <w:r>
              <w:rPr>
                <w:sz w:val="20"/>
              </w:rPr>
              <w:t>O83.3,</w:t>
            </w:r>
            <w:r>
              <w:rPr>
                <w:spacing w:val="-6"/>
                <w:sz w:val="20"/>
              </w:rPr>
              <w:t> </w:t>
            </w:r>
            <w:r>
              <w:rPr>
                <w:sz w:val="20"/>
              </w:rPr>
              <w:t>O83.4,</w:t>
            </w:r>
            <w:r>
              <w:rPr>
                <w:spacing w:val="-4"/>
                <w:sz w:val="20"/>
              </w:rPr>
              <w:t> </w:t>
            </w:r>
            <w:r>
              <w:rPr>
                <w:spacing w:val="-2"/>
                <w:sz w:val="20"/>
              </w:rPr>
              <w:t>O83.8,</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09" w:lineRule="exact"/>
              <w:ind w:left="157"/>
              <w:rPr>
                <w:sz w:val="20"/>
              </w:rPr>
            </w:pPr>
            <w:r>
              <w:rPr>
                <w:sz w:val="20"/>
              </w:rPr>
              <w:t>O83.9,</w:t>
            </w:r>
            <w:r>
              <w:rPr>
                <w:spacing w:val="-6"/>
                <w:sz w:val="20"/>
              </w:rPr>
              <w:t> </w:t>
            </w:r>
            <w:r>
              <w:rPr>
                <w:sz w:val="20"/>
              </w:rPr>
              <w:t>O84,</w:t>
            </w:r>
            <w:r>
              <w:rPr>
                <w:spacing w:val="-6"/>
                <w:sz w:val="20"/>
              </w:rPr>
              <w:t> </w:t>
            </w:r>
            <w:r>
              <w:rPr>
                <w:sz w:val="20"/>
              </w:rPr>
              <w:t>O84.0,</w:t>
            </w:r>
            <w:r>
              <w:rPr>
                <w:spacing w:val="-5"/>
                <w:sz w:val="20"/>
              </w:rPr>
              <w:t> </w:t>
            </w:r>
            <w:r>
              <w:rPr>
                <w:sz w:val="20"/>
              </w:rPr>
              <w:t>O84.1,</w:t>
            </w:r>
            <w:r>
              <w:rPr>
                <w:spacing w:val="-6"/>
                <w:sz w:val="20"/>
              </w:rPr>
              <w:t> </w:t>
            </w:r>
            <w:r>
              <w:rPr>
                <w:sz w:val="20"/>
              </w:rPr>
              <w:t>O84.8,</w:t>
            </w:r>
            <w:r>
              <w:rPr>
                <w:spacing w:val="-5"/>
                <w:sz w:val="20"/>
              </w:rPr>
              <w:t> </w:t>
            </w:r>
            <w:r>
              <w:rPr>
                <w:sz w:val="20"/>
              </w:rPr>
              <w:t>O84.9,</w:t>
            </w:r>
            <w:r>
              <w:rPr>
                <w:spacing w:val="-6"/>
                <w:sz w:val="20"/>
              </w:rPr>
              <w:t> </w:t>
            </w:r>
            <w:r>
              <w:rPr>
                <w:spacing w:val="-2"/>
                <w:sz w:val="20"/>
              </w:rPr>
              <w:t>O98.0,</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O98.1,</w:t>
            </w:r>
            <w:r>
              <w:rPr>
                <w:spacing w:val="-4"/>
                <w:sz w:val="20"/>
              </w:rPr>
              <w:t> </w:t>
            </w:r>
            <w:r>
              <w:rPr>
                <w:sz w:val="20"/>
              </w:rPr>
              <w:t>O98.2,</w:t>
            </w:r>
            <w:r>
              <w:rPr>
                <w:spacing w:val="-5"/>
                <w:sz w:val="20"/>
              </w:rPr>
              <w:t> </w:t>
            </w:r>
            <w:r>
              <w:rPr>
                <w:sz w:val="20"/>
              </w:rPr>
              <w:t>O98.3,</w:t>
            </w:r>
            <w:r>
              <w:rPr>
                <w:spacing w:val="-3"/>
                <w:sz w:val="20"/>
              </w:rPr>
              <w:t> </w:t>
            </w:r>
            <w:r>
              <w:rPr>
                <w:sz w:val="20"/>
              </w:rPr>
              <w:t>O98.4,</w:t>
            </w:r>
            <w:r>
              <w:rPr>
                <w:spacing w:val="-5"/>
                <w:sz w:val="20"/>
              </w:rPr>
              <w:t> </w:t>
            </w:r>
            <w:r>
              <w:rPr>
                <w:sz w:val="20"/>
              </w:rPr>
              <w:t>O98.5,</w:t>
            </w:r>
            <w:r>
              <w:rPr>
                <w:spacing w:val="-3"/>
                <w:sz w:val="20"/>
              </w:rPr>
              <w:t> </w:t>
            </w:r>
            <w:r>
              <w:rPr>
                <w:spacing w:val="-2"/>
                <w:sz w:val="20"/>
              </w:rPr>
              <w:t>O98.6,</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O98.8,</w:t>
            </w:r>
            <w:r>
              <w:rPr>
                <w:spacing w:val="-4"/>
                <w:sz w:val="20"/>
              </w:rPr>
              <w:t> </w:t>
            </w:r>
            <w:r>
              <w:rPr>
                <w:sz w:val="20"/>
              </w:rPr>
              <w:t>O98.9,</w:t>
            </w:r>
            <w:r>
              <w:rPr>
                <w:spacing w:val="-6"/>
                <w:sz w:val="20"/>
              </w:rPr>
              <w:t> </w:t>
            </w:r>
            <w:r>
              <w:rPr>
                <w:sz w:val="20"/>
              </w:rPr>
              <w:t>O99.0,</w:t>
            </w:r>
            <w:r>
              <w:rPr>
                <w:spacing w:val="-4"/>
                <w:sz w:val="20"/>
              </w:rPr>
              <w:t> </w:t>
            </w:r>
            <w:r>
              <w:rPr>
                <w:sz w:val="20"/>
              </w:rPr>
              <w:t>O99.1,</w:t>
            </w:r>
            <w:r>
              <w:rPr>
                <w:spacing w:val="-6"/>
                <w:sz w:val="20"/>
              </w:rPr>
              <w:t> </w:t>
            </w:r>
            <w:r>
              <w:rPr>
                <w:sz w:val="20"/>
              </w:rPr>
              <w:t>O99.2,</w:t>
            </w:r>
            <w:r>
              <w:rPr>
                <w:spacing w:val="-4"/>
                <w:sz w:val="20"/>
              </w:rPr>
              <w:t> </w:t>
            </w:r>
            <w:r>
              <w:rPr>
                <w:spacing w:val="-2"/>
                <w:sz w:val="20"/>
              </w:rPr>
              <w:t>O99.3,</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26" w:lineRule="exact"/>
              <w:ind w:left="702"/>
              <w:rPr>
                <w:sz w:val="20"/>
              </w:rPr>
            </w:pPr>
            <w:r>
              <w:rPr>
                <w:sz w:val="20"/>
              </w:rPr>
              <w:t>O99.4,</w:t>
            </w:r>
            <w:r>
              <w:rPr>
                <w:spacing w:val="-5"/>
                <w:sz w:val="20"/>
              </w:rPr>
              <w:t> </w:t>
            </w:r>
            <w:r>
              <w:rPr>
                <w:sz w:val="20"/>
              </w:rPr>
              <w:t>O99.5,</w:t>
            </w:r>
            <w:r>
              <w:rPr>
                <w:spacing w:val="-6"/>
                <w:sz w:val="20"/>
              </w:rPr>
              <w:t> </w:t>
            </w:r>
            <w:r>
              <w:rPr>
                <w:sz w:val="20"/>
              </w:rPr>
              <w:t>O99.6,</w:t>
            </w:r>
            <w:r>
              <w:rPr>
                <w:spacing w:val="-4"/>
                <w:sz w:val="20"/>
              </w:rPr>
              <w:t> </w:t>
            </w:r>
            <w:r>
              <w:rPr>
                <w:sz w:val="20"/>
              </w:rPr>
              <w:t>O99.7,</w:t>
            </w:r>
            <w:r>
              <w:rPr>
                <w:spacing w:val="-6"/>
                <w:sz w:val="20"/>
              </w:rPr>
              <w:t> </w:t>
            </w:r>
            <w:r>
              <w:rPr>
                <w:spacing w:val="-4"/>
                <w:sz w:val="20"/>
              </w:rPr>
              <w:t>O99.8</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330" w:hRule="atLeast"/>
        </w:trPr>
        <w:tc>
          <w:tcPr>
            <w:tcW w:w="996" w:type="dxa"/>
          </w:tcPr>
          <w:p>
            <w:pPr>
              <w:pStyle w:val="TableParagraph"/>
              <w:spacing w:before="45"/>
              <w:ind w:left="50"/>
              <w:rPr>
                <w:sz w:val="20"/>
              </w:rPr>
            </w:pPr>
            <w:r>
              <w:rPr>
                <w:spacing w:val="-2"/>
                <w:sz w:val="20"/>
              </w:rPr>
              <w:t>st02.004</w:t>
            </w:r>
          </w:p>
        </w:tc>
        <w:tc>
          <w:tcPr>
            <w:tcW w:w="606" w:type="dxa"/>
          </w:tcPr>
          <w:p>
            <w:pPr>
              <w:pStyle w:val="TableParagraph"/>
              <w:spacing w:before="45"/>
              <w:ind w:right="242"/>
              <w:jc w:val="right"/>
              <w:rPr>
                <w:sz w:val="20"/>
              </w:rPr>
            </w:pPr>
            <w:r>
              <w:rPr>
                <w:w w:val="99"/>
                <w:sz w:val="20"/>
              </w:rPr>
              <w:t>5</w:t>
            </w:r>
          </w:p>
        </w:tc>
        <w:tc>
          <w:tcPr>
            <w:tcW w:w="2633" w:type="dxa"/>
          </w:tcPr>
          <w:p>
            <w:pPr>
              <w:pStyle w:val="TableParagraph"/>
              <w:spacing w:before="45"/>
              <w:ind w:left="243"/>
              <w:rPr>
                <w:sz w:val="20"/>
              </w:rPr>
            </w:pPr>
            <w:r>
              <w:rPr>
                <w:sz w:val="20"/>
              </w:rPr>
              <w:t>Кесарево</w:t>
            </w:r>
            <w:r>
              <w:rPr>
                <w:spacing w:val="-7"/>
                <w:sz w:val="20"/>
              </w:rPr>
              <w:t> </w:t>
            </w:r>
            <w:r>
              <w:rPr>
                <w:spacing w:val="-2"/>
                <w:sz w:val="20"/>
              </w:rPr>
              <w:t>сечение</w:t>
            </w:r>
          </w:p>
        </w:tc>
        <w:tc>
          <w:tcPr>
            <w:tcW w:w="4834" w:type="dxa"/>
          </w:tcPr>
          <w:p>
            <w:pPr>
              <w:pStyle w:val="TableParagraph"/>
              <w:spacing w:before="45"/>
              <w:ind w:right="557"/>
              <w:jc w:val="center"/>
              <w:rPr>
                <w:sz w:val="20"/>
              </w:rPr>
            </w:pPr>
            <w:r>
              <w:rPr>
                <w:w w:val="99"/>
                <w:sz w:val="20"/>
              </w:rPr>
              <w:t>-</w:t>
            </w:r>
          </w:p>
        </w:tc>
        <w:tc>
          <w:tcPr>
            <w:tcW w:w="2839" w:type="dxa"/>
          </w:tcPr>
          <w:p>
            <w:pPr>
              <w:pStyle w:val="TableParagraph"/>
              <w:spacing w:before="45"/>
              <w:ind w:left="703" w:right="1170"/>
              <w:jc w:val="center"/>
              <w:rPr>
                <w:sz w:val="20"/>
              </w:rPr>
            </w:pPr>
            <w:r>
              <w:rPr>
                <w:spacing w:val="-2"/>
                <w:sz w:val="20"/>
              </w:rPr>
              <w:t>A16.20.005</w:t>
            </w:r>
          </w:p>
        </w:tc>
        <w:tc>
          <w:tcPr>
            <w:tcW w:w="2107" w:type="dxa"/>
          </w:tcPr>
          <w:p>
            <w:pPr>
              <w:pStyle w:val="TableParagraph"/>
              <w:spacing w:before="45"/>
              <w:ind w:right="860"/>
              <w:jc w:val="right"/>
              <w:rPr>
                <w:sz w:val="20"/>
              </w:rPr>
            </w:pPr>
            <w:r>
              <w:rPr>
                <w:w w:val="99"/>
                <w:sz w:val="20"/>
              </w:rPr>
              <w:t>-</w:t>
            </w:r>
          </w:p>
        </w:tc>
        <w:tc>
          <w:tcPr>
            <w:tcW w:w="1262" w:type="dxa"/>
          </w:tcPr>
          <w:p>
            <w:pPr>
              <w:pStyle w:val="TableParagraph"/>
              <w:spacing w:before="45"/>
              <w:ind w:right="51"/>
              <w:jc w:val="right"/>
              <w:rPr>
                <w:sz w:val="20"/>
              </w:rPr>
            </w:pPr>
            <w:r>
              <w:rPr>
                <w:spacing w:val="-4"/>
                <w:sz w:val="20"/>
              </w:rPr>
              <w:t>1,01</w:t>
            </w:r>
          </w:p>
        </w:tc>
      </w:tr>
      <w:tr>
        <w:trPr>
          <w:trHeight w:val="280" w:hRule="atLeast"/>
        </w:trPr>
        <w:tc>
          <w:tcPr>
            <w:tcW w:w="996" w:type="dxa"/>
          </w:tcPr>
          <w:p>
            <w:pPr>
              <w:pStyle w:val="TableParagraph"/>
              <w:spacing w:line="215" w:lineRule="exact" w:before="46"/>
              <w:ind w:left="50"/>
              <w:rPr>
                <w:sz w:val="20"/>
              </w:rPr>
            </w:pPr>
            <w:r>
              <w:rPr>
                <w:spacing w:val="-2"/>
                <w:sz w:val="20"/>
              </w:rPr>
              <w:t>st02.005</w:t>
            </w:r>
          </w:p>
        </w:tc>
        <w:tc>
          <w:tcPr>
            <w:tcW w:w="606" w:type="dxa"/>
          </w:tcPr>
          <w:p>
            <w:pPr>
              <w:pStyle w:val="TableParagraph"/>
              <w:spacing w:line="215" w:lineRule="exact" w:before="46"/>
              <w:ind w:right="242"/>
              <w:jc w:val="right"/>
              <w:rPr>
                <w:sz w:val="20"/>
              </w:rPr>
            </w:pPr>
            <w:r>
              <w:rPr>
                <w:w w:val="99"/>
                <w:sz w:val="20"/>
              </w:rPr>
              <w:t>6</w:t>
            </w:r>
          </w:p>
        </w:tc>
        <w:tc>
          <w:tcPr>
            <w:tcW w:w="2633" w:type="dxa"/>
          </w:tcPr>
          <w:p>
            <w:pPr>
              <w:pStyle w:val="TableParagraph"/>
              <w:spacing w:line="215" w:lineRule="exact" w:before="46"/>
              <w:ind w:left="243"/>
              <w:rPr>
                <w:sz w:val="20"/>
              </w:rPr>
            </w:pPr>
            <w:r>
              <w:rPr>
                <w:spacing w:val="-2"/>
                <w:sz w:val="20"/>
              </w:rPr>
              <w:t>Осложнения</w:t>
            </w:r>
          </w:p>
        </w:tc>
        <w:tc>
          <w:tcPr>
            <w:tcW w:w="4834" w:type="dxa"/>
          </w:tcPr>
          <w:p>
            <w:pPr>
              <w:pStyle w:val="TableParagraph"/>
              <w:spacing w:line="215" w:lineRule="exact" w:before="46"/>
              <w:ind w:left="231"/>
              <w:rPr>
                <w:sz w:val="20"/>
              </w:rPr>
            </w:pPr>
            <w:r>
              <w:rPr>
                <w:sz w:val="20"/>
              </w:rPr>
              <w:t>A34,</w:t>
            </w:r>
            <w:r>
              <w:rPr>
                <w:spacing w:val="-5"/>
                <w:sz w:val="20"/>
              </w:rPr>
              <w:t> </w:t>
            </w:r>
            <w:r>
              <w:rPr>
                <w:sz w:val="20"/>
              </w:rPr>
              <w:t>O15.2,</w:t>
            </w:r>
            <w:r>
              <w:rPr>
                <w:spacing w:val="-5"/>
                <w:sz w:val="20"/>
              </w:rPr>
              <w:t> </w:t>
            </w:r>
            <w:r>
              <w:rPr>
                <w:sz w:val="20"/>
              </w:rPr>
              <w:t>O72.2,</w:t>
            </w:r>
            <w:r>
              <w:rPr>
                <w:spacing w:val="-5"/>
                <w:sz w:val="20"/>
              </w:rPr>
              <w:t> </w:t>
            </w:r>
            <w:r>
              <w:rPr>
                <w:sz w:val="20"/>
              </w:rPr>
              <w:t>O86,</w:t>
            </w:r>
            <w:r>
              <w:rPr>
                <w:spacing w:val="-5"/>
                <w:sz w:val="20"/>
              </w:rPr>
              <w:t> </w:t>
            </w:r>
            <w:r>
              <w:rPr>
                <w:sz w:val="20"/>
              </w:rPr>
              <w:t>O86.0,</w:t>
            </w:r>
            <w:r>
              <w:rPr>
                <w:spacing w:val="-4"/>
                <w:sz w:val="20"/>
              </w:rPr>
              <w:t> </w:t>
            </w:r>
            <w:r>
              <w:rPr>
                <w:sz w:val="20"/>
              </w:rPr>
              <w:t>O86.1,</w:t>
            </w:r>
            <w:r>
              <w:rPr>
                <w:spacing w:val="-5"/>
                <w:sz w:val="20"/>
              </w:rPr>
              <w:t> </w:t>
            </w:r>
            <w:r>
              <w:rPr>
                <w:spacing w:val="-2"/>
                <w:sz w:val="20"/>
              </w:rPr>
              <w:t>O86.2,</w:t>
            </w:r>
          </w:p>
        </w:tc>
        <w:tc>
          <w:tcPr>
            <w:tcW w:w="2839" w:type="dxa"/>
          </w:tcPr>
          <w:p>
            <w:pPr>
              <w:pStyle w:val="TableParagraph"/>
              <w:spacing w:line="215" w:lineRule="exact" w:before="46"/>
              <w:ind w:right="468"/>
              <w:jc w:val="center"/>
              <w:rPr>
                <w:sz w:val="20"/>
              </w:rPr>
            </w:pPr>
            <w:r>
              <w:rPr>
                <w:w w:val="99"/>
                <w:sz w:val="20"/>
              </w:rPr>
              <w:t>-</w:t>
            </w:r>
          </w:p>
        </w:tc>
        <w:tc>
          <w:tcPr>
            <w:tcW w:w="2107" w:type="dxa"/>
          </w:tcPr>
          <w:p>
            <w:pPr>
              <w:pStyle w:val="TableParagraph"/>
              <w:spacing w:line="215" w:lineRule="exact" w:before="46"/>
              <w:ind w:right="860"/>
              <w:jc w:val="right"/>
              <w:rPr>
                <w:sz w:val="20"/>
              </w:rPr>
            </w:pPr>
            <w:r>
              <w:rPr>
                <w:w w:val="99"/>
                <w:sz w:val="20"/>
              </w:rPr>
              <w:t>-</w:t>
            </w:r>
          </w:p>
        </w:tc>
        <w:tc>
          <w:tcPr>
            <w:tcW w:w="1262" w:type="dxa"/>
          </w:tcPr>
          <w:p>
            <w:pPr>
              <w:pStyle w:val="TableParagraph"/>
              <w:spacing w:line="215" w:lineRule="exact" w:before="46"/>
              <w:ind w:right="51"/>
              <w:jc w:val="right"/>
              <w:rPr>
                <w:sz w:val="20"/>
              </w:rPr>
            </w:pPr>
            <w:r>
              <w:rPr>
                <w:spacing w:val="-4"/>
                <w:sz w:val="20"/>
              </w:rPr>
              <w:t>0,74</w:t>
            </w: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spacing w:val="-2"/>
                <w:sz w:val="20"/>
              </w:rPr>
              <w:t>послеродового</w:t>
            </w:r>
            <w:r>
              <w:rPr>
                <w:spacing w:val="12"/>
                <w:sz w:val="20"/>
              </w:rPr>
              <w:t> </w:t>
            </w:r>
            <w:r>
              <w:rPr>
                <w:spacing w:val="-2"/>
                <w:sz w:val="20"/>
              </w:rPr>
              <w:t>периода</w:t>
            </w:r>
          </w:p>
        </w:tc>
        <w:tc>
          <w:tcPr>
            <w:tcW w:w="4834" w:type="dxa"/>
          </w:tcPr>
          <w:p>
            <w:pPr>
              <w:pStyle w:val="TableParagraph"/>
              <w:spacing w:line="210" w:lineRule="exact"/>
              <w:ind w:left="157"/>
              <w:rPr>
                <w:sz w:val="20"/>
              </w:rPr>
            </w:pPr>
            <w:r>
              <w:rPr>
                <w:sz w:val="20"/>
              </w:rPr>
              <w:t>O86.3,</w:t>
            </w:r>
            <w:r>
              <w:rPr>
                <w:spacing w:val="-6"/>
                <w:sz w:val="20"/>
              </w:rPr>
              <w:t> </w:t>
            </w:r>
            <w:r>
              <w:rPr>
                <w:sz w:val="20"/>
              </w:rPr>
              <w:t>O86.4,</w:t>
            </w:r>
            <w:r>
              <w:rPr>
                <w:spacing w:val="-6"/>
                <w:sz w:val="20"/>
              </w:rPr>
              <w:t> </w:t>
            </w:r>
            <w:r>
              <w:rPr>
                <w:sz w:val="20"/>
              </w:rPr>
              <w:t>O86.8,</w:t>
            </w:r>
            <w:r>
              <w:rPr>
                <w:spacing w:val="-5"/>
                <w:sz w:val="20"/>
              </w:rPr>
              <w:t> </w:t>
            </w:r>
            <w:r>
              <w:rPr>
                <w:sz w:val="20"/>
              </w:rPr>
              <w:t>O87,</w:t>
            </w:r>
            <w:r>
              <w:rPr>
                <w:spacing w:val="-6"/>
                <w:sz w:val="20"/>
              </w:rPr>
              <w:t> </w:t>
            </w:r>
            <w:r>
              <w:rPr>
                <w:sz w:val="20"/>
              </w:rPr>
              <w:t>O87.0,</w:t>
            </w:r>
            <w:r>
              <w:rPr>
                <w:spacing w:val="-5"/>
                <w:sz w:val="20"/>
              </w:rPr>
              <w:t> </w:t>
            </w:r>
            <w:r>
              <w:rPr>
                <w:sz w:val="20"/>
              </w:rPr>
              <w:t>O87.1,</w:t>
            </w:r>
            <w:r>
              <w:rPr>
                <w:spacing w:val="-5"/>
                <w:sz w:val="20"/>
              </w:rPr>
              <w:t> </w:t>
            </w:r>
            <w:r>
              <w:rPr>
                <w:spacing w:val="-2"/>
                <w:sz w:val="20"/>
              </w:rPr>
              <w:t>O87.2,</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09" w:lineRule="exact"/>
              <w:ind w:left="157"/>
              <w:rPr>
                <w:sz w:val="20"/>
              </w:rPr>
            </w:pPr>
            <w:r>
              <w:rPr>
                <w:sz w:val="20"/>
              </w:rPr>
              <w:t>O87.3,</w:t>
            </w:r>
            <w:r>
              <w:rPr>
                <w:spacing w:val="-6"/>
                <w:sz w:val="20"/>
              </w:rPr>
              <w:t> </w:t>
            </w:r>
            <w:r>
              <w:rPr>
                <w:sz w:val="20"/>
              </w:rPr>
              <w:t>O87.8,</w:t>
            </w:r>
            <w:r>
              <w:rPr>
                <w:spacing w:val="-6"/>
                <w:sz w:val="20"/>
              </w:rPr>
              <w:t> </w:t>
            </w:r>
            <w:r>
              <w:rPr>
                <w:sz w:val="20"/>
              </w:rPr>
              <w:t>O87.9,</w:t>
            </w:r>
            <w:r>
              <w:rPr>
                <w:spacing w:val="-5"/>
                <w:sz w:val="20"/>
              </w:rPr>
              <w:t> </w:t>
            </w:r>
            <w:r>
              <w:rPr>
                <w:sz w:val="20"/>
              </w:rPr>
              <w:t>O88,</w:t>
            </w:r>
            <w:r>
              <w:rPr>
                <w:spacing w:val="-6"/>
                <w:sz w:val="20"/>
              </w:rPr>
              <w:t> </w:t>
            </w:r>
            <w:r>
              <w:rPr>
                <w:sz w:val="20"/>
              </w:rPr>
              <w:t>O88.0,</w:t>
            </w:r>
            <w:r>
              <w:rPr>
                <w:spacing w:val="-5"/>
                <w:sz w:val="20"/>
              </w:rPr>
              <w:t> </w:t>
            </w:r>
            <w:r>
              <w:rPr>
                <w:sz w:val="20"/>
              </w:rPr>
              <w:t>O88.1,</w:t>
            </w:r>
            <w:r>
              <w:rPr>
                <w:spacing w:val="-5"/>
                <w:sz w:val="20"/>
              </w:rPr>
              <w:t> </w:t>
            </w:r>
            <w:r>
              <w:rPr>
                <w:spacing w:val="-2"/>
                <w:sz w:val="20"/>
              </w:rPr>
              <w:t>O88.2,</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09" w:lineRule="exact"/>
              <w:ind w:left="157"/>
              <w:rPr>
                <w:sz w:val="20"/>
              </w:rPr>
            </w:pPr>
            <w:r>
              <w:rPr>
                <w:sz w:val="20"/>
              </w:rPr>
              <w:t>O88.3,</w:t>
            </w:r>
            <w:r>
              <w:rPr>
                <w:spacing w:val="-6"/>
                <w:sz w:val="20"/>
              </w:rPr>
              <w:t> </w:t>
            </w:r>
            <w:r>
              <w:rPr>
                <w:sz w:val="20"/>
              </w:rPr>
              <w:t>O88.8,</w:t>
            </w:r>
            <w:r>
              <w:rPr>
                <w:spacing w:val="-7"/>
                <w:sz w:val="20"/>
              </w:rPr>
              <w:t> </w:t>
            </w:r>
            <w:r>
              <w:rPr>
                <w:sz w:val="20"/>
              </w:rPr>
              <w:t>O89,</w:t>
            </w:r>
            <w:r>
              <w:rPr>
                <w:spacing w:val="-5"/>
                <w:sz w:val="20"/>
              </w:rPr>
              <w:t> </w:t>
            </w:r>
            <w:r>
              <w:rPr>
                <w:sz w:val="20"/>
              </w:rPr>
              <w:t>O89.0,</w:t>
            </w:r>
            <w:r>
              <w:rPr>
                <w:spacing w:val="-5"/>
                <w:sz w:val="20"/>
              </w:rPr>
              <w:t> </w:t>
            </w:r>
            <w:r>
              <w:rPr>
                <w:sz w:val="20"/>
              </w:rPr>
              <w:t>O89.1,</w:t>
            </w:r>
            <w:r>
              <w:rPr>
                <w:spacing w:val="-5"/>
                <w:sz w:val="20"/>
              </w:rPr>
              <w:t> </w:t>
            </w:r>
            <w:r>
              <w:rPr>
                <w:sz w:val="20"/>
              </w:rPr>
              <w:t>O89.2,</w:t>
            </w:r>
            <w:r>
              <w:rPr>
                <w:spacing w:val="-6"/>
                <w:sz w:val="20"/>
              </w:rPr>
              <w:t> </w:t>
            </w:r>
            <w:r>
              <w:rPr>
                <w:spacing w:val="-2"/>
                <w:sz w:val="20"/>
              </w:rPr>
              <w:t>O89.3,</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1" w:lineRule="exact"/>
              <w:ind w:left="155"/>
              <w:rPr>
                <w:sz w:val="20"/>
              </w:rPr>
            </w:pPr>
            <w:r>
              <w:rPr>
                <w:sz w:val="20"/>
              </w:rPr>
              <w:t>O89.4,</w:t>
            </w:r>
            <w:r>
              <w:rPr>
                <w:spacing w:val="-4"/>
                <w:sz w:val="20"/>
              </w:rPr>
              <w:t> </w:t>
            </w:r>
            <w:r>
              <w:rPr>
                <w:sz w:val="20"/>
              </w:rPr>
              <w:t>O89.5,</w:t>
            </w:r>
            <w:r>
              <w:rPr>
                <w:spacing w:val="-6"/>
                <w:sz w:val="20"/>
              </w:rPr>
              <w:t> </w:t>
            </w:r>
            <w:r>
              <w:rPr>
                <w:sz w:val="20"/>
              </w:rPr>
              <w:t>O89.6,</w:t>
            </w:r>
            <w:r>
              <w:rPr>
                <w:spacing w:val="-4"/>
                <w:sz w:val="20"/>
              </w:rPr>
              <w:t> </w:t>
            </w:r>
            <w:r>
              <w:rPr>
                <w:sz w:val="20"/>
              </w:rPr>
              <w:t>O89.8,</w:t>
            </w:r>
            <w:r>
              <w:rPr>
                <w:spacing w:val="-6"/>
                <w:sz w:val="20"/>
              </w:rPr>
              <w:t> </w:t>
            </w:r>
            <w:r>
              <w:rPr>
                <w:sz w:val="20"/>
              </w:rPr>
              <w:t>O89.9,</w:t>
            </w:r>
            <w:r>
              <w:rPr>
                <w:spacing w:val="-3"/>
                <w:sz w:val="20"/>
              </w:rPr>
              <w:t> </w:t>
            </w:r>
            <w:r>
              <w:rPr>
                <w:sz w:val="20"/>
              </w:rPr>
              <w:t>O90,</w:t>
            </w:r>
            <w:r>
              <w:rPr>
                <w:spacing w:val="1"/>
                <w:sz w:val="20"/>
              </w:rPr>
              <w:t> </w:t>
            </w:r>
            <w:r>
              <w:rPr>
                <w:spacing w:val="-2"/>
                <w:sz w:val="20"/>
              </w:rPr>
              <w:t>O90.0,</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5"/>
              <w:rPr>
                <w:sz w:val="20"/>
              </w:rPr>
            </w:pPr>
            <w:r>
              <w:rPr>
                <w:sz w:val="20"/>
              </w:rPr>
              <w:t>O90.1,</w:t>
            </w:r>
            <w:r>
              <w:rPr>
                <w:spacing w:val="-5"/>
                <w:sz w:val="20"/>
              </w:rPr>
              <w:t> </w:t>
            </w:r>
            <w:r>
              <w:rPr>
                <w:sz w:val="20"/>
              </w:rPr>
              <w:t>O90.2,</w:t>
            </w:r>
            <w:r>
              <w:rPr>
                <w:spacing w:val="-5"/>
                <w:sz w:val="20"/>
              </w:rPr>
              <w:t> </w:t>
            </w:r>
            <w:r>
              <w:rPr>
                <w:sz w:val="20"/>
              </w:rPr>
              <w:t>O90.3,</w:t>
            </w:r>
            <w:r>
              <w:rPr>
                <w:spacing w:val="-4"/>
                <w:sz w:val="20"/>
              </w:rPr>
              <w:t> </w:t>
            </w:r>
            <w:r>
              <w:rPr>
                <w:sz w:val="20"/>
              </w:rPr>
              <w:t>O90.5,</w:t>
            </w:r>
            <w:r>
              <w:rPr>
                <w:spacing w:val="-6"/>
                <w:sz w:val="20"/>
              </w:rPr>
              <w:t> </w:t>
            </w:r>
            <w:r>
              <w:rPr>
                <w:sz w:val="20"/>
              </w:rPr>
              <w:t>O90.8,</w:t>
            </w:r>
            <w:r>
              <w:rPr>
                <w:spacing w:val="-4"/>
                <w:sz w:val="20"/>
              </w:rPr>
              <w:t> </w:t>
            </w:r>
            <w:r>
              <w:rPr>
                <w:sz w:val="20"/>
              </w:rPr>
              <w:t>O90.9,</w:t>
            </w:r>
            <w:r>
              <w:rPr>
                <w:spacing w:val="-6"/>
                <w:sz w:val="20"/>
              </w:rPr>
              <w:t> </w:t>
            </w:r>
            <w:r>
              <w:rPr>
                <w:spacing w:val="-4"/>
                <w:sz w:val="20"/>
              </w:rPr>
              <w:t>O91,</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7"/>
              <w:rPr>
                <w:sz w:val="20"/>
              </w:rPr>
            </w:pPr>
            <w:r>
              <w:rPr>
                <w:sz w:val="20"/>
              </w:rPr>
              <w:t>O91.0,</w:t>
            </w:r>
            <w:r>
              <w:rPr>
                <w:spacing w:val="-6"/>
                <w:sz w:val="20"/>
              </w:rPr>
              <w:t> </w:t>
            </w:r>
            <w:r>
              <w:rPr>
                <w:sz w:val="20"/>
              </w:rPr>
              <w:t>O91.1,</w:t>
            </w:r>
            <w:r>
              <w:rPr>
                <w:spacing w:val="-6"/>
                <w:sz w:val="20"/>
              </w:rPr>
              <w:t> </w:t>
            </w:r>
            <w:r>
              <w:rPr>
                <w:sz w:val="20"/>
              </w:rPr>
              <w:t>O91.2,</w:t>
            </w:r>
            <w:r>
              <w:rPr>
                <w:spacing w:val="-5"/>
                <w:sz w:val="20"/>
              </w:rPr>
              <w:t> </w:t>
            </w:r>
            <w:r>
              <w:rPr>
                <w:sz w:val="20"/>
              </w:rPr>
              <w:t>O92,</w:t>
            </w:r>
            <w:r>
              <w:rPr>
                <w:spacing w:val="-6"/>
                <w:sz w:val="20"/>
              </w:rPr>
              <w:t> </w:t>
            </w:r>
            <w:r>
              <w:rPr>
                <w:sz w:val="20"/>
              </w:rPr>
              <w:t>O92.0,</w:t>
            </w:r>
            <w:r>
              <w:rPr>
                <w:spacing w:val="-5"/>
                <w:sz w:val="20"/>
              </w:rPr>
              <w:t> </w:t>
            </w:r>
            <w:r>
              <w:rPr>
                <w:sz w:val="20"/>
              </w:rPr>
              <w:t>O92.1,</w:t>
            </w:r>
            <w:r>
              <w:rPr>
                <w:spacing w:val="-5"/>
                <w:sz w:val="20"/>
              </w:rPr>
              <w:t> </w:t>
            </w:r>
            <w:r>
              <w:rPr>
                <w:spacing w:val="-2"/>
                <w:sz w:val="20"/>
              </w:rPr>
              <w:t>O92.2,</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79" w:hRule="atLeast"/>
        </w:trPr>
        <w:tc>
          <w:tcPr>
            <w:tcW w:w="996" w:type="dxa"/>
          </w:tcPr>
          <w:p>
            <w:pPr>
              <w:pStyle w:val="TableParagraph"/>
              <w:rPr>
                <w:sz w:val="18"/>
              </w:rPr>
            </w:pPr>
          </w:p>
        </w:tc>
        <w:tc>
          <w:tcPr>
            <w:tcW w:w="606" w:type="dxa"/>
          </w:tcPr>
          <w:p>
            <w:pPr>
              <w:pStyle w:val="TableParagraph"/>
              <w:rPr>
                <w:sz w:val="18"/>
              </w:rPr>
            </w:pPr>
          </w:p>
        </w:tc>
        <w:tc>
          <w:tcPr>
            <w:tcW w:w="2633" w:type="dxa"/>
          </w:tcPr>
          <w:p>
            <w:pPr>
              <w:pStyle w:val="TableParagraph"/>
              <w:rPr>
                <w:sz w:val="18"/>
              </w:rPr>
            </w:pPr>
          </w:p>
        </w:tc>
        <w:tc>
          <w:tcPr>
            <w:tcW w:w="4834" w:type="dxa"/>
          </w:tcPr>
          <w:p>
            <w:pPr>
              <w:pStyle w:val="TableParagraph"/>
              <w:spacing w:line="226" w:lineRule="exact"/>
              <w:ind w:left="479"/>
              <w:rPr>
                <w:sz w:val="20"/>
              </w:rPr>
            </w:pPr>
            <w:r>
              <w:rPr>
                <w:sz w:val="20"/>
              </w:rPr>
              <w:t>O92.3,</w:t>
            </w:r>
            <w:r>
              <w:rPr>
                <w:spacing w:val="-4"/>
                <w:sz w:val="20"/>
              </w:rPr>
              <w:t> </w:t>
            </w:r>
            <w:r>
              <w:rPr>
                <w:sz w:val="20"/>
              </w:rPr>
              <w:t>O92.4,</w:t>
            </w:r>
            <w:r>
              <w:rPr>
                <w:spacing w:val="-6"/>
                <w:sz w:val="20"/>
              </w:rPr>
              <w:t> </w:t>
            </w:r>
            <w:r>
              <w:rPr>
                <w:sz w:val="20"/>
              </w:rPr>
              <w:t>O92.5,</w:t>
            </w:r>
            <w:r>
              <w:rPr>
                <w:spacing w:val="-4"/>
                <w:sz w:val="20"/>
              </w:rPr>
              <w:t> </w:t>
            </w:r>
            <w:r>
              <w:rPr>
                <w:sz w:val="20"/>
              </w:rPr>
              <w:t>O92.6,</w:t>
            </w:r>
            <w:r>
              <w:rPr>
                <w:spacing w:val="-6"/>
                <w:sz w:val="20"/>
              </w:rPr>
              <w:t> </w:t>
            </w:r>
            <w:r>
              <w:rPr>
                <w:sz w:val="20"/>
              </w:rPr>
              <w:t>O92.7,</w:t>
            </w:r>
            <w:r>
              <w:rPr>
                <w:spacing w:val="-4"/>
                <w:sz w:val="20"/>
              </w:rPr>
              <w:t> </w:t>
            </w:r>
            <w:r>
              <w:rPr>
                <w:spacing w:val="-5"/>
                <w:sz w:val="20"/>
              </w:rPr>
              <w:t>O94</w:t>
            </w:r>
          </w:p>
        </w:tc>
        <w:tc>
          <w:tcPr>
            <w:tcW w:w="2839" w:type="dxa"/>
          </w:tcPr>
          <w:p>
            <w:pPr>
              <w:pStyle w:val="TableParagraph"/>
              <w:rPr>
                <w:sz w:val="18"/>
              </w:rPr>
            </w:pPr>
          </w:p>
        </w:tc>
        <w:tc>
          <w:tcPr>
            <w:tcW w:w="2107" w:type="dxa"/>
          </w:tcPr>
          <w:p>
            <w:pPr>
              <w:pStyle w:val="TableParagraph"/>
              <w:rPr>
                <w:sz w:val="18"/>
              </w:rPr>
            </w:pPr>
          </w:p>
        </w:tc>
        <w:tc>
          <w:tcPr>
            <w:tcW w:w="1262" w:type="dxa"/>
          </w:tcPr>
          <w:p>
            <w:pPr>
              <w:pStyle w:val="TableParagraph"/>
              <w:rPr>
                <w:sz w:val="18"/>
              </w:rPr>
            </w:pPr>
          </w:p>
        </w:tc>
      </w:tr>
      <w:tr>
        <w:trPr>
          <w:trHeight w:val="330" w:hRule="atLeast"/>
        </w:trPr>
        <w:tc>
          <w:tcPr>
            <w:tcW w:w="996" w:type="dxa"/>
          </w:tcPr>
          <w:p>
            <w:pPr>
              <w:pStyle w:val="TableParagraph"/>
              <w:spacing w:before="45"/>
              <w:ind w:left="50"/>
              <w:rPr>
                <w:sz w:val="20"/>
              </w:rPr>
            </w:pPr>
            <w:r>
              <w:rPr>
                <w:spacing w:val="-2"/>
                <w:sz w:val="20"/>
              </w:rPr>
              <w:t>st02.006</w:t>
            </w:r>
          </w:p>
        </w:tc>
        <w:tc>
          <w:tcPr>
            <w:tcW w:w="606" w:type="dxa"/>
          </w:tcPr>
          <w:p>
            <w:pPr>
              <w:pStyle w:val="TableParagraph"/>
              <w:spacing w:before="45"/>
              <w:ind w:right="242"/>
              <w:jc w:val="right"/>
              <w:rPr>
                <w:sz w:val="20"/>
              </w:rPr>
            </w:pPr>
            <w:r>
              <w:rPr>
                <w:w w:val="99"/>
                <w:sz w:val="20"/>
              </w:rPr>
              <w:t>7</w:t>
            </w:r>
          </w:p>
        </w:tc>
        <w:tc>
          <w:tcPr>
            <w:tcW w:w="2633" w:type="dxa"/>
          </w:tcPr>
          <w:p>
            <w:pPr>
              <w:pStyle w:val="TableParagraph"/>
              <w:spacing w:before="45"/>
              <w:ind w:left="243"/>
              <w:rPr>
                <w:sz w:val="20"/>
              </w:rPr>
            </w:pPr>
            <w:r>
              <w:rPr>
                <w:w w:val="95"/>
                <w:sz w:val="20"/>
              </w:rPr>
              <w:t>Послеродовой</w:t>
            </w:r>
            <w:r>
              <w:rPr>
                <w:spacing w:val="48"/>
                <w:sz w:val="20"/>
              </w:rPr>
              <w:t> </w:t>
            </w:r>
            <w:r>
              <w:rPr>
                <w:spacing w:val="-2"/>
                <w:sz w:val="20"/>
              </w:rPr>
              <w:t>сепсис</w:t>
            </w:r>
          </w:p>
        </w:tc>
        <w:tc>
          <w:tcPr>
            <w:tcW w:w="4834" w:type="dxa"/>
          </w:tcPr>
          <w:p>
            <w:pPr>
              <w:pStyle w:val="TableParagraph"/>
              <w:spacing w:before="45"/>
              <w:ind w:left="1879" w:right="2437"/>
              <w:jc w:val="center"/>
              <w:rPr>
                <w:sz w:val="20"/>
              </w:rPr>
            </w:pPr>
            <w:r>
              <w:rPr>
                <w:spacing w:val="-5"/>
                <w:sz w:val="20"/>
              </w:rPr>
              <w:t>O85</w:t>
            </w:r>
          </w:p>
        </w:tc>
        <w:tc>
          <w:tcPr>
            <w:tcW w:w="2839" w:type="dxa"/>
          </w:tcPr>
          <w:p>
            <w:pPr>
              <w:pStyle w:val="TableParagraph"/>
              <w:spacing w:before="45"/>
              <w:ind w:right="468"/>
              <w:jc w:val="center"/>
              <w:rPr>
                <w:sz w:val="20"/>
              </w:rPr>
            </w:pPr>
            <w:r>
              <w:rPr>
                <w:w w:val="99"/>
                <w:sz w:val="20"/>
              </w:rPr>
              <w:t>-</w:t>
            </w:r>
          </w:p>
        </w:tc>
        <w:tc>
          <w:tcPr>
            <w:tcW w:w="2107" w:type="dxa"/>
          </w:tcPr>
          <w:p>
            <w:pPr>
              <w:pStyle w:val="TableParagraph"/>
              <w:spacing w:before="45"/>
              <w:ind w:right="860"/>
              <w:jc w:val="right"/>
              <w:rPr>
                <w:sz w:val="20"/>
              </w:rPr>
            </w:pPr>
            <w:r>
              <w:rPr>
                <w:w w:val="99"/>
                <w:sz w:val="20"/>
              </w:rPr>
              <w:t>-</w:t>
            </w:r>
          </w:p>
        </w:tc>
        <w:tc>
          <w:tcPr>
            <w:tcW w:w="1262" w:type="dxa"/>
          </w:tcPr>
          <w:p>
            <w:pPr>
              <w:pStyle w:val="TableParagraph"/>
              <w:spacing w:before="45"/>
              <w:ind w:right="51"/>
              <w:jc w:val="right"/>
              <w:rPr>
                <w:sz w:val="20"/>
              </w:rPr>
            </w:pPr>
            <w:r>
              <w:rPr>
                <w:spacing w:val="-4"/>
                <w:sz w:val="20"/>
              </w:rPr>
              <w:t>3,21</w:t>
            </w:r>
          </w:p>
        </w:tc>
      </w:tr>
      <w:tr>
        <w:trPr>
          <w:trHeight w:val="279" w:hRule="atLeast"/>
        </w:trPr>
        <w:tc>
          <w:tcPr>
            <w:tcW w:w="996" w:type="dxa"/>
          </w:tcPr>
          <w:p>
            <w:pPr>
              <w:pStyle w:val="TableParagraph"/>
              <w:spacing w:line="214" w:lineRule="exact" w:before="46"/>
              <w:ind w:left="50"/>
              <w:rPr>
                <w:sz w:val="20"/>
              </w:rPr>
            </w:pPr>
            <w:r>
              <w:rPr>
                <w:spacing w:val="-2"/>
                <w:sz w:val="20"/>
              </w:rPr>
              <w:t>st02.007</w:t>
            </w:r>
          </w:p>
        </w:tc>
        <w:tc>
          <w:tcPr>
            <w:tcW w:w="606" w:type="dxa"/>
          </w:tcPr>
          <w:p>
            <w:pPr>
              <w:pStyle w:val="TableParagraph"/>
              <w:spacing w:line="214" w:lineRule="exact" w:before="46"/>
              <w:ind w:right="242"/>
              <w:jc w:val="right"/>
              <w:rPr>
                <w:sz w:val="20"/>
              </w:rPr>
            </w:pPr>
            <w:r>
              <w:rPr>
                <w:w w:val="99"/>
                <w:sz w:val="20"/>
              </w:rPr>
              <w:t>8</w:t>
            </w:r>
          </w:p>
        </w:tc>
        <w:tc>
          <w:tcPr>
            <w:tcW w:w="2633" w:type="dxa"/>
          </w:tcPr>
          <w:p>
            <w:pPr>
              <w:pStyle w:val="TableParagraph"/>
              <w:spacing w:line="214" w:lineRule="exact" w:before="46"/>
              <w:ind w:left="243"/>
              <w:rPr>
                <w:sz w:val="20"/>
              </w:rPr>
            </w:pPr>
            <w:r>
              <w:rPr>
                <w:w w:val="95"/>
                <w:sz w:val="20"/>
              </w:rPr>
              <w:t>Воспалительные</w:t>
            </w:r>
            <w:r>
              <w:rPr>
                <w:spacing w:val="54"/>
                <w:sz w:val="20"/>
              </w:rPr>
              <w:t> </w:t>
            </w:r>
            <w:r>
              <w:rPr>
                <w:spacing w:val="-2"/>
                <w:sz w:val="20"/>
              </w:rPr>
              <w:t>болезни</w:t>
            </w:r>
          </w:p>
        </w:tc>
        <w:tc>
          <w:tcPr>
            <w:tcW w:w="4834" w:type="dxa"/>
          </w:tcPr>
          <w:p>
            <w:pPr>
              <w:pStyle w:val="TableParagraph"/>
              <w:spacing w:line="214" w:lineRule="exact" w:before="46"/>
              <w:ind w:left="231"/>
              <w:rPr>
                <w:sz w:val="20"/>
              </w:rPr>
            </w:pPr>
            <w:r>
              <w:rPr>
                <w:sz w:val="20"/>
              </w:rPr>
              <w:t>N70,</w:t>
            </w:r>
            <w:r>
              <w:rPr>
                <w:spacing w:val="-5"/>
                <w:sz w:val="20"/>
              </w:rPr>
              <w:t> </w:t>
            </w:r>
            <w:r>
              <w:rPr>
                <w:sz w:val="20"/>
              </w:rPr>
              <w:t>N70.0,</w:t>
            </w:r>
            <w:r>
              <w:rPr>
                <w:spacing w:val="-5"/>
                <w:sz w:val="20"/>
              </w:rPr>
              <w:t> </w:t>
            </w:r>
            <w:r>
              <w:rPr>
                <w:sz w:val="20"/>
              </w:rPr>
              <w:t>N70.1,</w:t>
            </w:r>
            <w:r>
              <w:rPr>
                <w:spacing w:val="-5"/>
                <w:sz w:val="20"/>
              </w:rPr>
              <w:t> </w:t>
            </w:r>
            <w:r>
              <w:rPr>
                <w:sz w:val="20"/>
              </w:rPr>
              <w:t>N70.9,</w:t>
            </w:r>
            <w:r>
              <w:rPr>
                <w:spacing w:val="-5"/>
                <w:sz w:val="20"/>
              </w:rPr>
              <w:t> </w:t>
            </w:r>
            <w:r>
              <w:rPr>
                <w:sz w:val="20"/>
              </w:rPr>
              <w:t>N71,</w:t>
            </w:r>
            <w:r>
              <w:rPr>
                <w:spacing w:val="-5"/>
                <w:sz w:val="20"/>
              </w:rPr>
              <w:t> </w:t>
            </w:r>
            <w:r>
              <w:rPr>
                <w:sz w:val="20"/>
              </w:rPr>
              <w:t>N71.0,</w:t>
            </w:r>
            <w:r>
              <w:rPr>
                <w:spacing w:val="-5"/>
                <w:sz w:val="20"/>
              </w:rPr>
              <w:t> </w:t>
            </w:r>
            <w:r>
              <w:rPr>
                <w:spacing w:val="-2"/>
                <w:sz w:val="20"/>
              </w:rPr>
              <w:t>N71.1,</w:t>
            </w:r>
          </w:p>
        </w:tc>
        <w:tc>
          <w:tcPr>
            <w:tcW w:w="2839" w:type="dxa"/>
          </w:tcPr>
          <w:p>
            <w:pPr>
              <w:pStyle w:val="TableParagraph"/>
              <w:spacing w:line="214" w:lineRule="exact" w:before="46"/>
              <w:ind w:right="468"/>
              <w:jc w:val="center"/>
              <w:rPr>
                <w:sz w:val="20"/>
              </w:rPr>
            </w:pPr>
            <w:r>
              <w:rPr>
                <w:w w:val="99"/>
                <w:sz w:val="20"/>
              </w:rPr>
              <w:t>-</w:t>
            </w:r>
          </w:p>
        </w:tc>
        <w:tc>
          <w:tcPr>
            <w:tcW w:w="2107" w:type="dxa"/>
          </w:tcPr>
          <w:p>
            <w:pPr>
              <w:pStyle w:val="TableParagraph"/>
              <w:spacing w:line="214" w:lineRule="exact" w:before="46"/>
              <w:ind w:right="860"/>
              <w:jc w:val="right"/>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0,71</w:t>
            </w: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09" w:lineRule="exact"/>
              <w:ind w:left="243"/>
              <w:rPr>
                <w:sz w:val="20"/>
              </w:rPr>
            </w:pPr>
            <w:r>
              <w:rPr>
                <w:sz w:val="20"/>
              </w:rPr>
              <w:t>женских</w:t>
            </w:r>
            <w:r>
              <w:rPr>
                <w:spacing w:val="-9"/>
                <w:sz w:val="20"/>
              </w:rPr>
              <w:t> </w:t>
            </w:r>
            <w:r>
              <w:rPr>
                <w:sz w:val="20"/>
              </w:rPr>
              <w:t>половых</w:t>
            </w:r>
            <w:r>
              <w:rPr>
                <w:spacing w:val="-9"/>
                <w:sz w:val="20"/>
              </w:rPr>
              <w:t> </w:t>
            </w:r>
            <w:r>
              <w:rPr>
                <w:spacing w:val="-2"/>
                <w:sz w:val="20"/>
              </w:rPr>
              <w:t>органов</w:t>
            </w:r>
          </w:p>
        </w:tc>
        <w:tc>
          <w:tcPr>
            <w:tcW w:w="4834" w:type="dxa"/>
          </w:tcPr>
          <w:p>
            <w:pPr>
              <w:pStyle w:val="TableParagraph"/>
              <w:spacing w:line="209" w:lineRule="exact"/>
              <w:ind w:left="231"/>
              <w:rPr>
                <w:sz w:val="20"/>
              </w:rPr>
            </w:pPr>
            <w:r>
              <w:rPr>
                <w:sz w:val="20"/>
              </w:rPr>
              <w:t>N71.9,</w:t>
            </w:r>
            <w:r>
              <w:rPr>
                <w:spacing w:val="-5"/>
                <w:sz w:val="20"/>
              </w:rPr>
              <w:t> </w:t>
            </w:r>
            <w:r>
              <w:rPr>
                <w:sz w:val="20"/>
              </w:rPr>
              <w:t>N72,</w:t>
            </w:r>
            <w:r>
              <w:rPr>
                <w:spacing w:val="-5"/>
                <w:sz w:val="20"/>
              </w:rPr>
              <w:t> </w:t>
            </w:r>
            <w:r>
              <w:rPr>
                <w:sz w:val="20"/>
              </w:rPr>
              <w:t>N73,</w:t>
            </w:r>
            <w:r>
              <w:rPr>
                <w:spacing w:val="-4"/>
                <w:sz w:val="20"/>
              </w:rPr>
              <w:t> </w:t>
            </w:r>
            <w:r>
              <w:rPr>
                <w:sz w:val="20"/>
              </w:rPr>
              <w:t>N73.0,</w:t>
            </w:r>
            <w:r>
              <w:rPr>
                <w:spacing w:val="-5"/>
                <w:sz w:val="20"/>
              </w:rPr>
              <w:t> </w:t>
            </w:r>
            <w:r>
              <w:rPr>
                <w:sz w:val="20"/>
              </w:rPr>
              <w:t>N73.1,</w:t>
            </w:r>
            <w:r>
              <w:rPr>
                <w:spacing w:val="-5"/>
                <w:sz w:val="20"/>
              </w:rPr>
              <w:t> </w:t>
            </w:r>
            <w:r>
              <w:rPr>
                <w:sz w:val="20"/>
              </w:rPr>
              <w:t>N73.2,</w:t>
            </w:r>
            <w:r>
              <w:rPr>
                <w:spacing w:val="-4"/>
                <w:sz w:val="20"/>
              </w:rPr>
              <w:t> </w:t>
            </w:r>
            <w:r>
              <w:rPr>
                <w:spacing w:val="-2"/>
                <w:sz w:val="20"/>
              </w:rPr>
              <w:t>N73.3,</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5"/>
              <w:rPr>
                <w:sz w:val="20"/>
              </w:rPr>
            </w:pPr>
            <w:r>
              <w:rPr>
                <w:sz w:val="20"/>
              </w:rPr>
              <w:t>N73.4,</w:t>
            </w:r>
            <w:r>
              <w:rPr>
                <w:spacing w:val="-5"/>
                <w:sz w:val="20"/>
              </w:rPr>
              <w:t> </w:t>
            </w:r>
            <w:r>
              <w:rPr>
                <w:sz w:val="20"/>
              </w:rPr>
              <w:t>N73.5,</w:t>
            </w:r>
            <w:r>
              <w:rPr>
                <w:spacing w:val="-5"/>
                <w:sz w:val="20"/>
              </w:rPr>
              <w:t> </w:t>
            </w:r>
            <w:r>
              <w:rPr>
                <w:sz w:val="20"/>
              </w:rPr>
              <w:t>N73.6,</w:t>
            </w:r>
            <w:r>
              <w:rPr>
                <w:spacing w:val="-4"/>
                <w:sz w:val="20"/>
              </w:rPr>
              <w:t> </w:t>
            </w:r>
            <w:r>
              <w:rPr>
                <w:sz w:val="20"/>
              </w:rPr>
              <w:t>N73.8,</w:t>
            </w:r>
            <w:r>
              <w:rPr>
                <w:spacing w:val="-6"/>
                <w:sz w:val="20"/>
              </w:rPr>
              <w:t> </w:t>
            </w:r>
            <w:r>
              <w:rPr>
                <w:sz w:val="20"/>
              </w:rPr>
              <w:t>N73.9,</w:t>
            </w:r>
            <w:r>
              <w:rPr>
                <w:spacing w:val="-4"/>
                <w:sz w:val="20"/>
              </w:rPr>
              <w:t> </w:t>
            </w:r>
            <w:r>
              <w:rPr>
                <w:sz w:val="20"/>
              </w:rPr>
              <w:t>N74.8,</w:t>
            </w:r>
            <w:r>
              <w:rPr>
                <w:spacing w:val="-6"/>
                <w:sz w:val="20"/>
              </w:rPr>
              <w:t> </w:t>
            </w:r>
            <w:r>
              <w:rPr>
                <w:spacing w:val="-4"/>
                <w:sz w:val="20"/>
              </w:rPr>
              <w:t>N75,</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5"/>
              <w:rPr>
                <w:sz w:val="20"/>
              </w:rPr>
            </w:pPr>
            <w:r>
              <w:rPr>
                <w:sz w:val="20"/>
              </w:rPr>
              <w:t>N75.0,</w:t>
            </w:r>
            <w:r>
              <w:rPr>
                <w:spacing w:val="-4"/>
                <w:sz w:val="20"/>
              </w:rPr>
              <w:t> </w:t>
            </w:r>
            <w:r>
              <w:rPr>
                <w:sz w:val="20"/>
              </w:rPr>
              <w:t>N75.1,</w:t>
            </w:r>
            <w:r>
              <w:rPr>
                <w:spacing w:val="-6"/>
                <w:sz w:val="20"/>
              </w:rPr>
              <w:t> </w:t>
            </w:r>
            <w:r>
              <w:rPr>
                <w:sz w:val="20"/>
              </w:rPr>
              <w:t>N75.8,</w:t>
            </w:r>
            <w:r>
              <w:rPr>
                <w:spacing w:val="-4"/>
                <w:sz w:val="20"/>
              </w:rPr>
              <w:t> </w:t>
            </w:r>
            <w:r>
              <w:rPr>
                <w:sz w:val="20"/>
              </w:rPr>
              <w:t>N75.9,</w:t>
            </w:r>
            <w:r>
              <w:rPr>
                <w:spacing w:val="-6"/>
                <w:sz w:val="20"/>
              </w:rPr>
              <w:t> </w:t>
            </w:r>
            <w:r>
              <w:rPr>
                <w:sz w:val="20"/>
              </w:rPr>
              <w:t>N76,</w:t>
            </w:r>
            <w:r>
              <w:rPr>
                <w:spacing w:val="-4"/>
                <w:sz w:val="20"/>
              </w:rPr>
              <w:t> </w:t>
            </w:r>
            <w:r>
              <w:rPr>
                <w:sz w:val="20"/>
              </w:rPr>
              <w:t>N76.0,</w:t>
            </w:r>
            <w:r>
              <w:rPr>
                <w:spacing w:val="-4"/>
                <w:sz w:val="20"/>
              </w:rPr>
              <w:t> </w:t>
            </w:r>
            <w:r>
              <w:rPr>
                <w:spacing w:val="-2"/>
                <w:sz w:val="20"/>
              </w:rPr>
              <w:t>N76.1,</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1" w:lineRule="exact"/>
              <w:ind w:left="155"/>
              <w:rPr>
                <w:sz w:val="20"/>
              </w:rPr>
            </w:pPr>
            <w:r>
              <w:rPr>
                <w:sz w:val="20"/>
              </w:rPr>
              <w:t>N76.2,</w:t>
            </w:r>
            <w:r>
              <w:rPr>
                <w:spacing w:val="-5"/>
                <w:sz w:val="20"/>
              </w:rPr>
              <w:t> </w:t>
            </w:r>
            <w:r>
              <w:rPr>
                <w:sz w:val="20"/>
              </w:rPr>
              <w:t>N76.3,</w:t>
            </w:r>
            <w:r>
              <w:rPr>
                <w:spacing w:val="-5"/>
                <w:sz w:val="20"/>
              </w:rPr>
              <w:t> </w:t>
            </w:r>
            <w:r>
              <w:rPr>
                <w:sz w:val="20"/>
              </w:rPr>
              <w:t>N76.4,</w:t>
            </w:r>
            <w:r>
              <w:rPr>
                <w:spacing w:val="-4"/>
                <w:sz w:val="20"/>
              </w:rPr>
              <w:t> </w:t>
            </w:r>
            <w:r>
              <w:rPr>
                <w:sz w:val="20"/>
              </w:rPr>
              <w:t>N76.5,</w:t>
            </w:r>
            <w:r>
              <w:rPr>
                <w:spacing w:val="-6"/>
                <w:sz w:val="20"/>
              </w:rPr>
              <w:t> </w:t>
            </w:r>
            <w:r>
              <w:rPr>
                <w:sz w:val="20"/>
              </w:rPr>
              <w:t>N76.6,</w:t>
            </w:r>
            <w:r>
              <w:rPr>
                <w:spacing w:val="-4"/>
                <w:sz w:val="20"/>
              </w:rPr>
              <w:t> </w:t>
            </w:r>
            <w:r>
              <w:rPr>
                <w:sz w:val="20"/>
              </w:rPr>
              <w:t>N76.8,</w:t>
            </w:r>
            <w:r>
              <w:rPr>
                <w:spacing w:val="-6"/>
                <w:sz w:val="20"/>
              </w:rPr>
              <w:t> </w:t>
            </w:r>
            <w:r>
              <w:rPr>
                <w:spacing w:val="-4"/>
                <w:sz w:val="20"/>
              </w:rPr>
              <w:t>N77,</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79" w:hRule="atLeast"/>
        </w:trPr>
        <w:tc>
          <w:tcPr>
            <w:tcW w:w="996" w:type="dxa"/>
          </w:tcPr>
          <w:p>
            <w:pPr>
              <w:pStyle w:val="TableParagraph"/>
              <w:rPr>
                <w:sz w:val="18"/>
              </w:rPr>
            </w:pPr>
          </w:p>
        </w:tc>
        <w:tc>
          <w:tcPr>
            <w:tcW w:w="606" w:type="dxa"/>
          </w:tcPr>
          <w:p>
            <w:pPr>
              <w:pStyle w:val="TableParagraph"/>
              <w:rPr>
                <w:sz w:val="18"/>
              </w:rPr>
            </w:pPr>
          </w:p>
        </w:tc>
        <w:tc>
          <w:tcPr>
            <w:tcW w:w="2633" w:type="dxa"/>
          </w:tcPr>
          <w:p>
            <w:pPr>
              <w:pStyle w:val="TableParagraph"/>
              <w:rPr>
                <w:sz w:val="18"/>
              </w:rPr>
            </w:pPr>
          </w:p>
        </w:tc>
        <w:tc>
          <w:tcPr>
            <w:tcW w:w="4834" w:type="dxa"/>
          </w:tcPr>
          <w:p>
            <w:pPr>
              <w:pStyle w:val="TableParagraph"/>
              <w:spacing w:line="226" w:lineRule="exact"/>
              <w:ind w:left="1297"/>
              <w:rPr>
                <w:sz w:val="20"/>
              </w:rPr>
            </w:pPr>
            <w:r>
              <w:rPr>
                <w:sz w:val="20"/>
              </w:rPr>
              <w:t>N77.0,</w:t>
            </w:r>
            <w:r>
              <w:rPr>
                <w:spacing w:val="-4"/>
                <w:sz w:val="20"/>
              </w:rPr>
              <w:t> </w:t>
            </w:r>
            <w:r>
              <w:rPr>
                <w:sz w:val="20"/>
              </w:rPr>
              <w:t>N77.1,</w:t>
            </w:r>
            <w:r>
              <w:rPr>
                <w:spacing w:val="-5"/>
                <w:sz w:val="20"/>
              </w:rPr>
              <w:t> </w:t>
            </w:r>
            <w:r>
              <w:rPr>
                <w:spacing w:val="-4"/>
                <w:sz w:val="20"/>
              </w:rPr>
              <w:t>N77.8</w:t>
            </w:r>
          </w:p>
        </w:tc>
        <w:tc>
          <w:tcPr>
            <w:tcW w:w="2839" w:type="dxa"/>
          </w:tcPr>
          <w:p>
            <w:pPr>
              <w:pStyle w:val="TableParagraph"/>
              <w:rPr>
                <w:sz w:val="18"/>
              </w:rPr>
            </w:pPr>
          </w:p>
        </w:tc>
        <w:tc>
          <w:tcPr>
            <w:tcW w:w="2107" w:type="dxa"/>
          </w:tcPr>
          <w:p>
            <w:pPr>
              <w:pStyle w:val="TableParagraph"/>
              <w:rPr>
                <w:sz w:val="18"/>
              </w:rPr>
            </w:pPr>
          </w:p>
        </w:tc>
        <w:tc>
          <w:tcPr>
            <w:tcW w:w="1262" w:type="dxa"/>
          </w:tcPr>
          <w:p>
            <w:pPr>
              <w:pStyle w:val="TableParagraph"/>
              <w:rPr>
                <w:sz w:val="18"/>
              </w:rPr>
            </w:pPr>
          </w:p>
        </w:tc>
      </w:tr>
      <w:tr>
        <w:trPr>
          <w:trHeight w:val="279" w:hRule="atLeast"/>
        </w:trPr>
        <w:tc>
          <w:tcPr>
            <w:tcW w:w="996" w:type="dxa"/>
          </w:tcPr>
          <w:p>
            <w:pPr>
              <w:pStyle w:val="TableParagraph"/>
              <w:spacing w:line="215" w:lineRule="exact" w:before="45"/>
              <w:ind w:left="50"/>
              <w:rPr>
                <w:sz w:val="20"/>
              </w:rPr>
            </w:pPr>
            <w:r>
              <w:rPr>
                <w:spacing w:val="-2"/>
                <w:sz w:val="20"/>
              </w:rPr>
              <w:t>st02.008</w:t>
            </w:r>
          </w:p>
        </w:tc>
        <w:tc>
          <w:tcPr>
            <w:tcW w:w="606" w:type="dxa"/>
          </w:tcPr>
          <w:p>
            <w:pPr>
              <w:pStyle w:val="TableParagraph"/>
              <w:spacing w:line="215" w:lineRule="exact" w:before="45"/>
              <w:ind w:right="242"/>
              <w:jc w:val="right"/>
              <w:rPr>
                <w:sz w:val="20"/>
              </w:rPr>
            </w:pPr>
            <w:r>
              <w:rPr>
                <w:w w:val="99"/>
                <w:sz w:val="20"/>
              </w:rPr>
              <w:t>9</w:t>
            </w:r>
          </w:p>
        </w:tc>
        <w:tc>
          <w:tcPr>
            <w:tcW w:w="2633" w:type="dxa"/>
          </w:tcPr>
          <w:p>
            <w:pPr>
              <w:pStyle w:val="TableParagraph"/>
              <w:spacing w:line="215" w:lineRule="exact" w:before="45"/>
              <w:ind w:left="243"/>
              <w:rPr>
                <w:sz w:val="20"/>
              </w:rPr>
            </w:pPr>
            <w:r>
              <w:rPr>
                <w:spacing w:val="-2"/>
                <w:sz w:val="20"/>
              </w:rPr>
              <w:t>Доброкачественные</w:t>
            </w:r>
          </w:p>
        </w:tc>
        <w:tc>
          <w:tcPr>
            <w:tcW w:w="4834" w:type="dxa"/>
          </w:tcPr>
          <w:p>
            <w:pPr>
              <w:pStyle w:val="TableParagraph"/>
              <w:spacing w:line="215" w:lineRule="exact" w:before="45"/>
              <w:ind w:left="157"/>
              <w:rPr>
                <w:sz w:val="20"/>
              </w:rPr>
            </w:pPr>
            <w:r>
              <w:rPr>
                <w:sz w:val="20"/>
              </w:rPr>
              <w:t>D06,</w:t>
            </w:r>
            <w:r>
              <w:rPr>
                <w:spacing w:val="-6"/>
                <w:sz w:val="20"/>
              </w:rPr>
              <w:t> </w:t>
            </w:r>
            <w:r>
              <w:rPr>
                <w:sz w:val="20"/>
              </w:rPr>
              <w:t>D06.0,</w:t>
            </w:r>
            <w:r>
              <w:rPr>
                <w:spacing w:val="-6"/>
                <w:sz w:val="20"/>
              </w:rPr>
              <w:t> </w:t>
            </w:r>
            <w:r>
              <w:rPr>
                <w:sz w:val="20"/>
              </w:rPr>
              <w:t>D06.1,</w:t>
            </w:r>
            <w:r>
              <w:rPr>
                <w:spacing w:val="-5"/>
                <w:sz w:val="20"/>
              </w:rPr>
              <w:t> </w:t>
            </w:r>
            <w:r>
              <w:rPr>
                <w:sz w:val="20"/>
              </w:rPr>
              <w:t>D06.7,</w:t>
            </w:r>
            <w:r>
              <w:rPr>
                <w:spacing w:val="-6"/>
                <w:sz w:val="20"/>
              </w:rPr>
              <w:t> </w:t>
            </w:r>
            <w:r>
              <w:rPr>
                <w:sz w:val="20"/>
              </w:rPr>
              <w:t>D06.9,</w:t>
            </w:r>
            <w:r>
              <w:rPr>
                <w:spacing w:val="-5"/>
                <w:sz w:val="20"/>
              </w:rPr>
              <w:t> </w:t>
            </w:r>
            <w:r>
              <w:rPr>
                <w:sz w:val="20"/>
              </w:rPr>
              <w:t>D07.0,</w:t>
            </w:r>
            <w:r>
              <w:rPr>
                <w:spacing w:val="-6"/>
                <w:sz w:val="20"/>
              </w:rPr>
              <w:t> </w:t>
            </w:r>
            <w:r>
              <w:rPr>
                <w:spacing w:val="-2"/>
                <w:sz w:val="20"/>
              </w:rPr>
              <w:t>D07.1,</w:t>
            </w:r>
          </w:p>
        </w:tc>
        <w:tc>
          <w:tcPr>
            <w:tcW w:w="2839" w:type="dxa"/>
          </w:tcPr>
          <w:p>
            <w:pPr>
              <w:pStyle w:val="TableParagraph"/>
              <w:spacing w:line="215" w:lineRule="exact" w:before="45"/>
              <w:ind w:right="468"/>
              <w:jc w:val="center"/>
              <w:rPr>
                <w:sz w:val="20"/>
              </w:rPr>
            </w:pPr>
            <w:r>
              <w:rPr>
                <w:w w:val="99"/>
                <w:sz w:val="20"/>
              </w:rPr>
              <w:t>-</w:t>
            </w:r>
          </w:p>
        </w:tc>
        <w:tc>
          <w:tcPr>
            <w:tcW w:w="2107" w:type="dxa"/>
          </w:tcPr>
          <w:p>
            <w:pPr>
              <w:pStyle w:val="TableParagraph"/>
              <w:spacing w:line="215" w:lineRule="exact" w:before="45"/>
              <w:ind w:right="860"/>
              <w:jc w:val="right"/>
              <w:rPr>
                <w:sz w:val="20"/>
              </w:rPr>
            </w:pPr>
            <w:r>
              <w:rPr>
                <w:w w:val="99"/>
                <w:sz w:val="20"/>
              </w:rPr>
              <w:t>-</w:t>
            </w:r>
          </w:p>
        </w:tc>
        <w:tc>
          <w:tcPr>
            <w:tcW w:w="1262" w:type="dxa"/>
          </w:tcPr>
          <w:p>
            <w:pPr>
              <w:pStyle w:val="TableParagraph"/>
              <w:spacing w:line="215" w:lineRule="exact" w:before="45"/>
              <w:ind w:right="51"/>
              <w:jc w:val="right"/>
              <w:rPr>
                <w:sz w:val="20"/>
              </w:rPr>
            </w:pPr>
            <w:r>
              <w:rPr>
                <w:spacing w:val="-4"/>
                <w:sz w:val="20"/>
              </w:rPr>
              <w:t>0,89</w:t>
            </w: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spacing w:val="-2"/>
                <w:sz w:val="20"/>
              </w:rPr>
              <w:t>новообразования,</w:t>
            </w:r>
          </w:p>
        </w:tc>
        <w:tc>
          <w:tcPr>
            <w:tcW w:w="4834" w:type="dxa"/>
          </w:tcPr>
          <w:p>
            <w:pPr>
              <w:pStyle w:val="TableParagraph"/>
              <w:spacing w:line="210" w:lineRule="exact"/>
              <w:ind w:left="157"/>
              <w:rPr>
                <w:sz w:val="20"/>
              </w:rPr>
            </w:pPr>
            <w:r>
              <w:rPr>
                <w:sz w:val="20"/>
              </w:rPr>
              <w:t>D07.2,</w:t>
            </w:r>
            <w:r>
              <w:rPr>
                <w:spacing w:val="-6"/>
                <w:sz w:val="20"/>
              </w:rPr>
              <w:t> </w:t>
            </w:r>
            <w:r>
              <w:rPr>
                <w:sz w:val="20"/>
              </w:rPr>
              <w:t>D07.3,</w:t>
            </w:r>
            <w:r>
              <w:rPr>
                <w:spacing w:val="-7"/>
                <w:sz w:val="20"/>
              </w:rPr>
              <w:t> </w:t>
            </w:r>
            <w:r>
              <w:rPr>
                <w:sz w:val="20"/>
              </w:rPr>
              <w:t>D25,</w:t>
            </w:r>
            <w:r>
              <w:rPr>
                <w:spacing w:val="-5"/>
                <w:sz w:val="20"/>
              </w:rPr>
              <w:t> </w:t>
            </w:r>
            <w:r>
              <w:rPr>
                <w:sz w:val="20"/>
              </w:rPr>
              <w:t>D25.0,</w:t>
            </w:r>
            <w:r>
              <w:rPr>
                <w:spacing w:val="-5"/>
                <w:sz w:val="20"/>
              </w:rPr>
              <w:t> </w:t>
            </w:r>
            <w:r>
              <w:rPr>
                <w:sz w:val="20"/>
              </w:rPr>
              <w:t>D25.1,</w:t>
            </w:r>
            <w:r>
              <w:rPr>
                <w:spacing w:val="-5"/>
                <w:sz w:val="20"/>
              </w:rPr>
              <w:t> </w:t>
            </w:r>
            <w:r>
              <w:rPr>
                <w:sz w:val="20"/>
              </w:rPr>
              <w:t>D25.2,</w:t>
            </w:r>
            <w:r>
              <w:rPr>
                <w:spacing w:val="-6"/>
                <w:sz w:val="20"/>
              </w:rPr>
              <w:t> </w:t>
            </w:r>
            <w:r>
              <w:rPr>
                <w:spacing w:val="-2"/>
                <w:sz w:val="20"/>
              </w:rPr>
              <w:t>D25.9,</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sz w:val="20"/>
              </w:rPr>
              <w:t>новообразования</w:t>
            </w:r>
            <w:r>
              <w:rPr>
                <w:spacing w:val="-12"/>
                <w:sz w:val="20"/>
              </w:rPr>
              <w:t> </w:t>
            </w:r>
            <w:r>
              <w:rPr>
                <w:sz w:val="20"/>
              </w:rPr>
              <w:t>in</w:t>
            </w:r>
            <w:r>
              <w:rPr>
                <w:spacing w:val="-11"/>
                <w:sz w:val="20"/>
              </w:rPr>
              <w:t> </w:t>
            </w:r>
            <w:r>
              <w:rPr>
                <w:spacing w:val="-4"/>
                <w:sz w:val="20"/>
              </w:rPr>
              <w:t>situ,</w:t>
            </w:r>
          </w:p>
        </w:tc>
        <w:tc>
          <w:tcPr>
            <w:tcW w:w="4834" w:type="dxa"/>
          </w:tcPr>
          <w:p>
            <w:pPr>
              <w:pStyle w:val="TableParagraph"/>
              <w:spacing w:line="210" w:lineRule="exact"/>
              <w:ind w:left="306"/>
              <w:rPr>
                <w:sz w:val="20"/>
              </w:rPr>
            </w:pPr>
            <w:r>
              <w:rPr>
                <w:sz w:val="20"/>
              </w:rPr>
              <w:t>D26,</w:t>
            </w:r>
            <w:r>
              <w:rPr>
                <w:spacing w:val="-5"/>
                <w:sz w:val="20"/>
              </w:rPr>
              <w:t> </w:t>
            </w:r>
            <w:r>
              <w:rPr>
                <w:sz w:val="20"/>
              </w:rPr>
              <w:t>D26.0,</w:t>
            </w:r>
            <w:r>
              <w:rPr>
                <w:spacing w:val="-4"/>
                <w:sz w:val="20"/>
              </w:rPr>
              <w:t> </w:t>
            </w:r>
            <w:r>
              <w:rPr>
                <w:sz w:val="20"/>
              </w:rPr>
              <w:t>D26.1,</w:t>
            </w:r>
            <w:r>
              <w:rPr>
                <w:spacing w:val="-4"/>
                <w:sz w:val="20"/>
              </w:rPr>
              <w:t> </w:t>
            </w:r>
            <w:r>
              <w:rPr>
                <w:sz w:val="20"/>
              </w:rPr>
              <w:t>D26.7,</w:t>
            </w:r>
            <w:r>
              <w:rPr>
                <w:spacing w:val="-5"/>
                <w:sz w:val="20"/>
              </w:rPr>
              <w:t> </w:t>
            </w:r>
            <w:r>
              <w:rPr>
                <w:sz w:val="20"/>
              </w:rPr>
              <w:t>D26.9,</w:t>
            </w:r>
            <w:r>
              <w:rPr>
                <w:spacing w:val="-4"/>
                <w:sz w:val="20"/>
              </w:rPr>
              <w:t> </w:t>
            </w:r>
            <w:r>
              <w:rPr>
                <w:sz w:val="20"/>
              </w:rPr>
              <w:t>D27,</w:t>
            </w:r>
            <w:r>
              <w:rPr>
                <w:spacing w:val="-4"/>
                <w:sz w:val="20"/>
              </w:rPr>
              <w:t> D28,</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w w:val="95"/>
                <w:sz w:val="20"/>
              </w:rPr>
              <w:t>неопределенного</w:t>
            </w:r>
            <w:r>
              <w:rPr>
                <w:spacing w:val="57"/>
                <w:sz w:val="20"/>
              </w:rPr>
              <w:t> </w:t>
            </w:r>
            <w:r>
              <w:rPr>
                <w:spacing w:val="-10"/>
                <w:sz w:val="20"/>
              </w:rPr>
              <w:t>и</w:t>
            </w:r>
          </w:p>
        </w:tc>
        <w:tc>
          <w:tcPr>
            <w:tcW w:w="4834" w:type="dxa"/>
          </w:tcPr>
          <w:p>
            <w:pPr>
              <w:pStyle w:val="TableParagraph"/>
              <w:spacing w:line="210" w:lineRule="exact"/>
              <w:ind w:left="155"/>
              <w:rPr>
                <w:sz w:val="20"/>
              </w:rPr>
            </w:pPr>
            <w:r>
              <w:rPr>
                <w:sz w:val="20"/>
              </w:rPr>
              <w:t>D28.0,</w:t>
            </w:r>
            <w:r>
              <w:rPr>
                <w:spacing w:val="-4"/>
                <w:sz w:val="20"/>
              </w:rPr>
              <w:t> </w:t>
            </w:r>
            <w:r>
              <w:rPr>
                <w:sz w:val="20"/>
              </w:rPr>
              <w:t>D28.1,</w:t>
            </w:r>
            <w:r>
              <w:rPr>
                <w:spacing w:val="-6"/>
                <w:sz w:val="20"/>
              </w:rPr>
              <w:t> </w:t>
            </w:r>
            <w:r>
              <w:rPr>
                <w:sz w:val="20"/>
              </w:rPr>
              <w:t>D28.2,</w:t>
            </w:r>
            <w:r>
              <w:rPr>
                <w:spacing w:val="-4"/>
                <w:sz w:val="20"/>
              </w:rPr>
              <w:t> </w:t>
            </w:r>
            <w:r>
              <w:rPr>
                <w:sz w:val="20"/>
              </w:rPr>
              <w:t>D28.7,</w:t>
            </w:r>
            <w:r>
              <w:rPr>
                <w:spacing w:val="-6"/>
                <w:sz w:val="20"/>
              </w:rPr>
              <w:t> </w:t>
            </w:r>
            <w:r>
              <w:rPr>
                <w:sz w:val="20"/>
              </w:rPr>
              <w:t>D28.9,</w:t>
            </w:r>
            <w:r>
              <w:rPr>
                <w:spacing w:val="-4"/>
                <w:sz w:val="20"/>
              </w:rPr>
              <w:t> </w:t>
            </w:r>
            <w:r>
              <w:rPr>
                <w:sz w:val="20"/>
              </w:rPr>
              <w:t>D39,</w:t>
            </w:r>
            <w:r>
              <w:rPr>
                <w:spacing w:val="-4"/>
                <w:sz w:val="20"/>
              </w:rPr>
              <w:t> </w:t>
            </w:r>
            <w:r>
              <w:rPr>
                <w:spacing w:val="-2"/>
                <w:sz w:val="20"/>
              </w:rPr>
              <w:t>D39.0,</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09" w:lineRule="exact"/>
              <w:ind w:left="243"/>
              <w:rPr>
                <w:sz w:val="20"/>
              </w:rPr>
            </w:pPr>
            <w:r>
              <w:rPr>
                <w:spacing w:val="-2"/>
                <w:sz w:val="20"/>
              </w:rPr>
              <w:t>неизвестного</w:t>
            </w:r>
            <w:r>
              <w:rPr>
                <w:spacing w:val="9"/>
                <w:sz w:val="20"/>
              </w:rPr>
              <w:t> </w:t>
            </w:r>
            <w:r>
              <w:rPr>
                <w:spacing w:val="-2"/>
                <w:sz w:val="20"/>
              </w:rPr>
              <w:t>характера</w:t>
            </w:r>
          </w:p>
        </w:tc>
        <w:tc>
          <w:tcPr>
            <w:tcW w:w="4834" w:type="dxa"/>
          </w:tcPr>
          <w:p>
            <w:pPr>
              <w:pStyle w:val="TableParagraph"/>
              <w:spacing w:line="209" w:lineRule="exact"/>
              <w:ind w:left="155"/>
              <w:rPr>
                <w:sz w:val="20"/>
              </w:rPr>
            </w:pPr>
            <w:r>
              <w:rPr>
                <w:sz w:val="20"/>
              </w:rPr>
              <w:t>D39.1,</w:t>
            </w:r>
            <w:r>
              <w:rPr>
                <w:spacing w:val="-4"/>
                <w:sz w:val="20"/>
              </w:rPr>
              <w:t> </w:t>
            </w:r>
            <w:r>
              <w:rPr>
                <w:sz w:val="20"/>
              </w:rPr>
              <w:t>D39.2,</w:t>
            </w:r>
            <w:r>
              <w:rPr>
                <w:spacing w:val="-6"/>
                <w:sz w:val="20"/>
              </w:rPr>
              <w:t> </w:t>
            </w:r>
            <w:r>
              <w:rPr>
                <w:sz w:val="20"/>
              </w:rPr>
              <w:t>D39.7,</w:t>
            </w:r>
            <w:r>
              <w:rPr>
                <w:spacing w:val="-4"/>
                <w:sz w:val="20"/>
              </w:rPr>
              <w:t> </w:t>
            </w:r>
            <w:r>
              <w:rPr>
                <w:sz w:val="20"/>
              </w:rPr>
              <w:t>D39.9,</w:t>
            </w:r>
            <w:r>
              <w:rPr>
                <w:spacing w:val="-6"/>
                <w:sz w:val="20"/>
              </w:rPr>
              <w:t> </w:t>
            </w:r>
            <w:r>
              <w:rPr>
                <w:sz w:val="20"/>
              </w:rPr>
              <w:t>O01,</w:t>
            </w:r>
            <w:r>
              <w:rPr>
                <w:spacing w:val="-4"/>
                <w:sz w:val="20"/>
              </w:rPr>
              <w:t> </w:t>
            </w:r>
            <w:r>
              <w:rPr>
                <w:sz w:val="20"/>
              </w:rPr>
              <w:t>O01.0,</w:t>
            </w:r>
            <w:r>
              <w:rPr>
                <w:spacing w:val="-4"/>
                <w:sz w:val="20"/>
              </w:rPr>
              <w:t> </w:t>
            </w:r>
            <w:r>
              <w:rPr>
                <w:spacing w:val="-2"/>
                <w:sz w:val="20"/>
              </w:rPr>
              <w:t>O01.1,</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4"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04" w:lineRule="exact"/>
              <w:ind w:left="243"/>
              <w:rPr>
                <w:sz w:val="20"/>
              </w:rPr>
            </w:pPr>
            <w:r>
              <w:rPr>
                <w:sz w:val="20"/>
              </w:rPr>
              <w:t>женских</w:t>
            </w:r>
            <w:r>
              <w:rPr>
                <w:spacing w:val="-9"/>
                <w:sz w:val="20"/>
              </w:rPr>
              <w:t> </w:t>
            </w:r>
            <w:r>
              <w:rPr>
                <w:sz w:val="20"/>
              </w:rPr>
              <w:t>половых</w:t>
            </w:r>
            <w:r>
              <w:rPr>
                <w:spacing w:val="-8"/>
                <w:sz w:val="20"/>
              </w:rPr>
              <w:t> </w:t>
            </w:r>
            <w:r>
              <w:rPr>
                <w:spacing w:val="-2"/>
                <w:sz w:val="20"/>
              </w:rPr>
              <w:t>органов</w:t>
            </w:r>
          </w:p>
        </w:tc>
        <w:tc>
          <w:tcPr>
            <w:tcW w:w="4834" w:type="dxa"/>
          </w:tcPr>
          <w:p>
            <w:pPr>
              <w:pStyle w:val="TableParagraph"/>
              <w:spacing w:line="204" w:lineRule="exact"/>
              <w:ind w:left="1881" w:right="2437"/>
              <w:jc w:val="center"/>
              <w:rPr>
                <w:sz w:val="20"/>
              </w:rPr>
            </w:pPr>
            <w:r>
              <w:rPr>
                <w:spacing w:val="-4"/>
                <w:sz w:val="20"/>
              </w:rPr>
              <w:t>O01.9</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65"/>
        <w:gridCol w:w="4457"/>
        <w:gridCol w:w="3603"/>
        <w:gridCol w:w="2153"/>
        <w:gridCol w:w="973"/>
      </w:tblGrid>
      <w:tr>
        <w:trPr>
          <w:trHeight w:val="7866" w:hRule="atLeast"/>
        </w:trPr>
        <w:tc>
          <w:tcPr>
            <w:tcW w:w="971" w:type="dxa"/>
          </w:tcPr>
          <w:p>
            <w:pPr>
              <w:pStyle w:val="TableParagraph"/>
              <w:spacing w:line="221" w:lineRule="exact"/>
              <w:ind w:left="50"/>
              <w:rPr>
                <w:sz w:val="20"/>
              </w:rPr>
            </w:pPr>
            <w:r>
              <w:rPr>
                <w:spacing w:val="-2"/>
                <w:sz w:val="20"/>
              </w:rPr>
              <w:t>st02.009</w:t>
            </w:r>
          </w:p>
        </w:tc>
        <w:tc>
          <w:tcPr>
            <w:tcW w:w="657" w:type="dxa"/>
          </w:tcPr>
          <w:p>
            <w:pPr>
              <w:pStyle w:val="TableParagraph"/>
              <w:spacing w:line="221" w:lineRule="exact"/>
              <w:ind w:right="217"/>
              <w:jc w:val="right"/>
              <w:rPr>
                <w:sz w:val="20"/>
              </w:rPr>
            </w:pPr>
            <w:r>
              <w:rPr>
                <w:spacing w:val="-5"/>
                <w:sz w:val="20"/>
              </w:rPr>
              <w:t>10</w:t>
            </w:r>
          </w:p>
        </w:tc>
        <w:tc>
          <w:tcPr>
            <w:tcW w:w="2465" w:type="dxa"/>
          </w:tcPr>
          <w:p>
            <w:pPr>
              <w:pStyle w:val="TableParagraph"/>
              <w:ind w:left="217" w:right="255"/>
              <w:rPr>
                <w:sz w:val="20"/>
              </w:rPr>
            </w:pPr>
            <w:r>
              <w:rPr>
                <w:sz w:val="20"/>
              </w:rPr>
              <w:t>Другие болезни, врожденные</w:t>
            </w:r>
            <w:r>
              <w:rPr>
                <w:spacing w:val="-13"/>
                <w:sz w:val="20"/>
              </w:rPr>
              <w:t> </w:t>
            </w:r>
            <w:r>
              <w:rPr>
                <w:sz w:val="20"/>
              </w:rPr>
              <w:t>аномалии, повреждения женских половых органов</w:t>
            </w:r>
          </w:p>
        </w:tc>
        <w:tc>
          <w:tcPr>
            <w:tcW w:w="4457" w:type="dxa"/>
          </w:tcPr>
          <w:p>
            <w:pPr>
              <w:pStyle w:val="TableParagraph"/>
              <w:spacing w:line="221" w:lineRule="exact"/>
              <w:ind w:left="376"/>
              <w:rPr>
                <w:sz w:val="20"/>
              </w:rPr>
            </w:pPr>
            <w:r>
              <w:rPr>
                <w:sz w:val="20"/>
              </w:rPr>
              <w:t>E28,</w:t>
            </w:r>
            <w:r>
              <w:rPr>
                <w:spacing w:val="-6"/>
                <w:sz w:val="20"/>
              </w:rPr>
              <w:t> </w:t>
            </w:r>
            <w:r>
              <w:rPr>
                <w:sz w:val="20"/>
              </w:rPr>
              <w:t>E28.0,</w:t>
            </w:r>
            <w:r>
              <w:rPr>
                <w:spacing w:val="-7"/>
                <w:sz w:val="20"/>
              </w:rPr>
              <w:t> </w:t>
            </w:r>
            <w:r>
              <w:rPr>
                <w:sz w:val="20"/>
              </w:rPr>
              <w:t>E28.1,</w:t>
            </w:r>
            <w:r>
              <w:rPr>
                <w:spacing w:val="-5"/>
                <w:sz w:val="20"/>
              </w:rPr>
              <w:t> </w:t>
            </w:r>
            <w:r>
              <w:rPr>
                <w:sz w:val="20"/>
              </w:rPr>
              <w:t>E28.2,</w:t>
            </w:r>
            <w:r>
              <w:rPr>
                <w:spacing w:val="-5"/>
                <w:sz w:val="20"/>
              </w:rPr>
              <w:t> </w:t>
            </w:r>
            <w:r>
              <w:rPr>
                <w:sz w:val="20"/>
              </w:rPr>
              <w:t>E28.3,</w:t>
            </w:r>
            <w:r>
              <w:rPr>
                <w:spacing w:val="-5"/>
                <w:sz w:val="20"/>
              </w:rPr>
              <w:t> </w:t>
            </w:r>
            <w:r>
              <w:rPr>
                <w:sz w:val="20"/>
              </w:rPr>
              <w:t>E28.8,</w:t>
            </w:r>
            <w:r>
              <w:rPr>
                <w:spacing w:val="-5"/>
                <w:sz w:val="20"/>
              </w:rPr>
              <w:t> </w:t>
            </w:r>
            <w:r>
              <w:rPr>
                <w:spacing w:val="-2"/>
                <w:sz w:val="20"/>
              </w:rPr>
              <w:t>E28.9,</w:t>
            </w:r>
          </w:p>
          <w:p>
            <w:pPr>
              <w:pStyle w:val="TableParagraph"/>
              <w:spacing w:line="229" w:lineRule="exact"/>
              <w:ind w:left="350"/>
              <w:rPr>
                <w:sz w:val="20"/>
              </w:rPr>
            </w:pPr>
            <w:r>
              <w:rPr>
                <w:sz w:val="20"/>
              </w:rPr>
              <w:t>E89.4,</w:t>
            </w:r>
            <w:r>
              <w:rPr>
                <w:spacing w:val="-7"/>
                <w:sz w:val="20"/>
              </w:rPr>
              <w:t> </w:t>
            </w:r>
            <w:r>
              <w:rPr>
                <w:sz w:val="20"/>
              </w:rPr>
              <w:t>I86.3,</w:t>
            </w:r>
            <w:r>
              <w:rPr>
                <w:spacing w:val="-5"/>
                <w:sz w:val="20"/>
              </w:rPr>
              <w:t> </w:t>
            </w:r>
            <w:r>
              <w:rPr>
                <w:sz w:val="20"/>
              </w:rPr>
              <w:t>N80,</w:t>
            </w:r>
            <w:r>
              <w:rPr>
                <w:spacing w:val="-4"/>
                <w:sz w:val="20"/>
              </w:rPr>
              <w:t> </w:t>
            </w:r>
            <w:r>
              <w:rPr>
                <w:sz w:val="20"/>
              </w:rPr>
              <w:t>N80.0,</w:t>
            </w:r>
            <w:r>
              <w:rPr>
                <w:spacing w:val="-5"/>
                <w:sz w:val="20"/>
              </w:rPr>
              <w:t> </w:t>
            </w:r>
            <w:r>
              <w:rPr>
                <w:sz w:val="20"/>
              </w:rPr>
              <w:t>N80.1,</w:t>
            </w:r>
            <w:r>
              <w:rPr>
                <w:spacing w:val="-5"/>
                <w:sz w:val="20"/>
              </w:rPr>
              <w:t> </w:t>
            </w:r>
            <w:r>
              <w:rPr>
                <w:sz w:val="20"/>
              </w:rPr>
              <w:t>N80.2,</w:t>
            </w:r>
            <w:r>
              <w:rPr>
                <w:spacing w:val="-5"/>
                <w:sz w:val="20"/>
              </w:rPr>
              <w:t> </w:t>
            </w:r>
            <w:r>
              <w:rPr>
                <w:spacing w:val="-2"/>
                <w:sz w:val="20"/>
              </w:rPr>
              <w:t>N80.3,</w:t>
            </w:r>
          </w:p>
          <w:p>
            <w:pPr>
              <w:pStyle w:val="TableParagraph"/>
              <w:spacing w:line="229" w:lineRule="exact"/>
              <w:ind w:left="297"/>
              <w:rPr>
                <w:sz w:val="20"/>
              </w:rPr>
            </w:pPr>
            <w:r>
              <w:rPr>
                <w:sz w:val="20"/>
              </w:rPr>
              <w:t>N80.4,</w:t>
            </w:r>
            <w:r>
              <w:rPr>
                <w:spacing w:val="-4"/>
                <w:sz w:val="20"/>
              </w:rPr>
              <w:t> </w:t>
            </w:r>
            <w:r>
              <w:rPr>
                <w:sz w:val="20"/>
              </w:rPr>
              <w:t>N80.5,</w:t>
            </w:r>
            <w:r>
              <w:rPr>
                <w:spacing w:val="-6"/>
                <w:sz w:val="20"/>
              </w:rPr>
              <w:t> </w:t>
            </w:r>
            <w:r>
              <w:rPr>
                <w:sz w:val="20"/>
              </w:rPr>
              <w:t>N80.6,</w:t>
            </w:r>
            <w:r>
              <w:rPr>
                <w:spacing w:val="-4"/>
                <w:sz w:val="20"/>
              </w:rPr>
              <w:t> </w:t>
            </w:r>
            <w:r>
              <w:rPr>
                <w:sz w:val="20"/>
              </w:rPr>
              <w:t>N80.8,</w:t>
            </w:r>
            <w:r>
              <w:rPr>
                <w:spacing w:val="-6"/>
                <w:sz w:val="20"/>
              </w:rPr>
              <w:t> </w:t>
            </w:r>
            <w:r>
              <w:rPr>
                <w:sz w:val="20"/>
              </w:rPr>
              <w:t>N80.9,</w:t>
            </w:r>
            <w:r>
              <w:rPr>
                <w:spacing w:val="-4"/>
                <w:sz w:val="20"/>
              </w:rPr>
              <w:t> </w:t>
            </w:r>
            <w:r>
              <w:rPr>
                <w:sz w:val="20"/>
              </w:rPr>
              <w:t>N81,</w:t>
            </w:r>
            <w:r>
              <w:rPr>
                <w:spacing w:val="-4"/>
                <w:sz w:val="20"/>
              </w:rPr>
              <w:t> </w:t>
            </w:r>
            <w:r>
              <w:rPr>
                <w:spacing w:val="-2"/>
                <w:sz w:val="20"/>
              </w:rPr>
              <w:t>N81.0,</w:t>
            </w:r>
          </w:p>
          <w:p>
            <w:pPr>
              <w:pStyle w:val="TableParagraph"/>
              <w:spacing w:before="1"/>
              <w:ind w:left="263" w:right="165"/>
              <w:jc w:val="center"/>
              <w:rPr>
                <w:sz w:val="20"/>
              </w:rPr>
            </w:pPr>
            <w:r>
              <w:rPr>
                <w:sz w:val="20"/>
              </w:rPr>
              <w:t>N81.1,</w:t>
            </w:r>
            <w:r>
              <w:rPr>
                <w:spacing w:val="-4"/>
                <w:sz w:val="20"/>
              </w:rPr>
              <w:t> </w:t>
            </w:r>
            <w:r>
              <w:rPr>
                <w:sz w:val="20"/>
              </w:rPr>
              <w:t>N81.2,</w:t>
            </w:r>
            <w:r>
              <w:rPr>
                <w:spacing w:val="-6"/>
                <w:sz w:val="20"/>
              </w:rPr>
              <w:t> </w:t>
            </w:r>
            <w:r>
              <w:rPr>
                <w:sz w:val="20"/>
              </w:rPr>
              <w:t>N81.3,</w:t>
            </w:r>
            <w:r>
              <w:rPr>
                <w:spacing w:val="-4"/>
                <w:sz w:val="20"/>
              </w:rPr>
              <w:t> </w:t>
            </w:r>
            <w:r>
              <w:rPr>
                <w:sz w:val="20"/>
              </w:rPr>
              <w:t>N81.4,</w:t>
            </w:r>
            <w:r>
              <w:rPr>
                <w:spacing w:val="-6"/>
                <w:sz w:val="20"/>
              </w:rPr>
              <w:t> </w:t>
            </w:r>
            <w:r>
              <w:rPr>
                <w:sz w:val="20"/>
              </w:rPr>
              <w:t>N81.5,</w:t>
            </w:r>
            <w:r>
              <w:rPr>
                <w:spacing w:val="-4"/>
                <w:sz w:val="20"/>
              </w:rPr>
              <w:t> </w:t>
            </w:r>
            <w:r>
              <w:rPr>
                <w:spacing w:val="-2"/>
                <w:sz w:val="20"/>
              </w:rPr>
              <w:t>N81.6,</w:t>
            </w:r>
          </w:p>
          <w:p>
            <w:pPr>
              <w:pStyle w:val="TableParagraph"/>
              <w:ind w:left="263" w:right="166"/>
              <w:jc w:val="center"/>
              <w:rPr>
                <w:sz w:val="20"/>
              </w:rPr>
            </w:pPr>
            <w:r>
              <w:rPr>
                <w:sz w:val="20"/>
              </w:rPr>
              <w:t>N81.8,</w:t>
            </w:r>
            <w:r>
              <w:rPr>
                <w:spacing w:val="-6"/>
                <w:sz w:val="20"/>
              </w:rPr>
              <w:t> </w:t>
            </w:r>
            <w:r>
              <w:rPr>
                <w:sz w:val="20"/>
              </w:rPr>
              <w:t>N81.9,</w:t>
            </w:r>
            <w:r>
              <w:rPr>
                <w:spacing w:val="-7"/>
                <w:sz w:val="20"/>
              </w:rPr>
              <w:t> </w:t>
            </w:r>
            <w:r>
              <w:rPr>
                <w:sz w:val="20"/>
              </w:rPr>
              <w:t>N82,</w:t>
            </w:r>
            <w:r>
              <w:rPr>
                <w:spacing w:val="-5"/>
                <w:sz w:val="20"/>
              </w:rPr>
              <w:t> </w:t>
            </w:r>
            <w:r>
              <w:rPr>
                <w:sz w:val="20"/>
              </w:rPr>
              <w:t>N82.0,</w:t>
            </w:r>
            <w:r>
              <w:rPr>
                <w:spacing w:val="-5"/>
                <w:sz w:val="20"/>
              </w:rPr>
              <w:t> </w:t>
            </w:r>
            <w:r>
              <w:rPr>
                <w:sz w:val="20"/>
              </w:rPr>
              <w:t>N82.1,</w:t>
            </w:r>
            <w:r>
              <w:rPr>
                <w:spacing w:val="-5"/>
                <w:sz w:val="20"/>
              </w:rPr>
              <w:t> </w:t>
            </w:r>
            <w:r>
              <w:rPr>
                <w:sz w:val="20"/>
              </w:rPr>
              <w:t>N82.2,</w:t>
            </w:r>
            <w:r>
              <w:rPr>
                <w:spacing w:val="-6"/>
                <w:sz w:val="20"/>
              </w:rPr>
              <w:t> </w:t>
            </w:r>
            <w:r>
              <w:rPr>
                <w:spacing w:val="-2"/>
                <w:sz w:val="20"/>
              </w:rPr>
              <w:t>N82.3,</w:t>
            </w:r>
          </w:p>
          <w:p>
            <w:pPr>
              <w:pStyle w:val="TableParagraph"/>
              <w:ind w:left="261" w:right="166"/>
              <w:jc w:val="center"/>
              <w:rPr>
                <w:sz w:val="20"/>
              </w:rPr>
            </w:pPr>
            <w:r>
              <w:rPr>
                <w:sz w:val="20"/>
              </w:rPr>
              <w:t>N82.4,</w:t>
            </w:r>
            <w:r>
              <w:rPr>
                <w:spacing w:val="-4"/>
                <w:sz w:val="20"/>
              </w:rPr>
              <w:t> </w:t>
            </w:r>
            <w:r>
              <w:rPr>
                <w:sz w:val="20"/>
              </w:rPr>
              <w:t>N82.5,</w:t>
            </w:r>
            <w:r>
              <w:rPr>
                <w:spacing w:val="-6"/>
                <w:sz w:val="20"/>
              </w:rPr>
              <w:t> </w:t>
            </w:r>
            <w:r>
              <w:rPr>
                <w:sz w:val="20"/>
              </w:rPr>
              <w:t>N82.8,</w:t>
            </w:r>
            <w:r>
              <w:rPr>
                <w:spacing w:val="-4"/>
                <w:sz w:val="20"/>
              </w:rPr>
              <w:t> </w:t>
            </w:r>
            <w:r>
              <w:rPr>
                <w:sz w:val="20"/>
              </w:rPr>
              <w:t>N82.9,</w:t>
            </w:r>
            <w:r>
              <w:rPr>
                <w:spacing w:val="-6"/>
                <w:sz w:val="20"/>
              </w:rPr>
              <w:t> </w:t>
            </w:r>
            <w:r>
              <w:rPr>
                <w:sz w:val="20"/>
              </w:rPr>
              <w:t>N83,</w:t>
            </w:r>
            <w:r>
              <w:rPr>
                <w:spacing w:val="-4"/>
                <w:sz w:val="20"/>
              </w:rPr>
              <w:t> </w:t>
            </w:r>
            <w:r>
              <w:rPr>
                <w:sz w:val="20"/>
              </w:rPr>
              <w:t>N83.0,</w:t>
            </w:r>
            <w:r>
              <w:rPr>
                <w:spacing w:val="-4"/>
                <w:sz w:val="20"/>
              </w:rPr>
              <w:t> </w:t>
            </w:r>
            <w:r>
              <w:rPr>
                <w:spacing w:val="-2"/>
                <w:sz w:val="20"/>
              </w:rPr>
              <w:t>N83.1,</w:t>
            </w:r>
          </w:p>
          <w:p>
            <w:pPr>
              <w:pStyle w:val="TableParagraph"/>
              <w:spacing w:before="1"/>
              <w:ind w:left="263" w:right="162"/>
              <w:jc w:val="center"/>
              <w:rPr>
                <w:sz w:val="20"/>
              </w:rPr>
            </w:pPr>
            <w:r>
              <w:rPr>
                <w:sz w:val="20"/>
              </w:rPr>
              <w:t>N83.2,</w:t>
            </w:r>
            <w:r>
              <w:rPr>
                <w:spacing w:val="-4"/>
                <w:sz w:val="20"/>
              </w:rPr>
              <w:t> </w:t>
            </w:r>
            <w:r>
              <w:rPr>
                <w:sz w:val="20"/>
              </w:rPr>
              <w:t>N83.3,</w:t>
            </w:r>
            <w:r>
              <w:rPr>
                <w:spacing w:val="-6"/>
                <w:sz w:val="20"/>
              </w:rPr>
              <w:t> </w:t>
            </w:r>
            <w:r>
              <w:rPr>
                <w:sz w:val="20"/>
              </w:rPr>
              <w:t>N83.4,</w:t>
            </w:r>
            <w:r>
              <w:rPr>
                <w:spacing w:val="-1"/>
                <w:sz w:val="20"/>
              </w:rPr>
              <w:t> </w:t>
            </w:r>
            <w:r>
              <w:rPr>
                <w:sz w:val="20"/>
              </w:rPr>
              <w:t>N83.5,</w:t>
            </w:r>
            <w:r>
              <w:rPr>
                <w:spacing w:val="-6"/>
                <w:sz w:val="20"/>
              </w:rPr>
              <w:t> </w:t>
            </w:r>
            <w:r>
              <w:rPr>
                <w:sz w:val="20"/>
              </w:rPr>
              <w:t>N83.6,</w:t>
            </w:r>
            <w:r>
              <w:rPr>
                <w:spacing w:val="-4"/>
                <w:sz w:val="20"/>
              </w:rPr>
              <w:t> </w:t>
            </w:r>
            <w:r>
              <w:rPr>
                <w:spacing w:val="-2"/>
                <w:sz w:val="20"/>
              </w:rPr>
              <w:t>N83.7,</w:t>
            </w:r>
          </w:p>
          <w:p>
            <w:pPr>
              <w:pStyle w:val="TableParagraph"/>
              <w:spacing w:line="229" w:lineRule="exact" w:before="1"/>
              <w:ind w:left="263" w:right="166"/>
              <w:jc w:val="center"/>
              <w:rPr>
                <w:sz w:val="20"/>
              </w:rPr>
            </w:pPr>
            <w:r>
              <w:rPr>
                <w:sz w:val="20"/>
              </w:rPr>
              <w:t>N83.8,</w:t>
            </w:r>
            <w:r>
              <w:rPr>
                <w:spacing w:val="-6"/>
                <w:sz w:val="20"/>
              </w:rPr>
              <w:t> </w:t>
            </w:r>
            <w:r>
              <w:rPr>
                <w:sz w:val="20"/>
              </w:rPr>
              <w:t>N83.9,</w:t>
            </w:r>
            <w:r>
              <w:rPr>
                <w:spacing w:val="-7"/>
                <w:sz w:val="20"/>
              </w:rPr>
              <w:t> </w:t>
            </w:r>
            <w:r>
              <w:rPr>
                <w:sz w:val="20"/>
              </w:rPr>
              <w:t>N84,</w:t>
            </w:r>
            <w:r>
              <w:rPr>
                <w:spacing w:val="-5"/>
                <w:sz w:val="20"/>
              </w:rPr>
              <w:t> </w:t>
            </w:r>
            <w:r>
              <w:rPr>
                <w:sz w:val="20"/>
              </w:rPr>
              <w:t>N84.0,</w:t>
            </w:r>
            <w:r>
              <w:rPr>
                <w:spacing w:val="-5"/>
                <w:sz w:val="20"/>
              </w:rPr>
              <w:t> </w:t>
            </w:r>
            <w:r>
              <w:rPr>
                <w:sz w:val="20"/>
              </w:rPr>
              <w:t>N84.1,</w:t>
            </w:r>
            <w:r>
              <w:rPr>
                <w:spacing w:val="-5"/>
                <w:sz w:val="20"/>
              </w:rPr>
              <w:t> </w:t>
            </w:r>
            <w:r>
              <w:rPr>
                <w:sz w:val="20"/>
              </w:rPr>
              <w:t>N84.2,</w:t>
            </w:r>
            <w:r>
              <w:rPr>
                <w:spacing w:val="-6"/>
                <w:sz w:val="20"/>
              </w:rPr>
              <w:t> </w:t>
            </w:r>
            <w:r>
              <w:rPr>
                <w:spacing w:val="-2"/>
                <w:sz w:val="20"/>
              </w:rPr>
              <w:t>N84.3,</w:t>
            </w:r>
          </w:p>
          <w:p>
            <w:pPr>
              <w:pStyle w:val="TableParagraph"/>
              <w:spacing w:line="229" w:lineRule="exact"/>
              <w:ind w:left="263" w:right="166"/>
              <w:jc w:val="center"/>
              <w:rPr>
                <w:sz w:val="20"/>
              </w:rPr>
            </w:pPr>
            <w:r>
              <w:rPr>
                <w:sz w:val="20"/>
              </w:rPr>
              <w:t>N84.8,</w:t>
            </w:r>
            <w:r>
              <w:rPr>
                <w:spacing w:val="-6"/>
                <w:sz w:val="20"/>
              </w:rPr>
              <w:t> </w:t>
            </w:r>
            <w:r>
              <w:rPr>
                <w:sz w:val="20"/>
              </w:rPr>
              <w:t>N84.9,</w:t>
            </w:r>
            <w:r>
              <w:rPr>
                <w:spacing w:val="-7"/>
                <w:sz w:val="20"/>
              </w:rPr>
              <w:t> </w:t>
            </w:r>
            <w:r>
              <w:rPr>
                <w:sz w:val="20"/>
              </w:rPr>
              <w:t>N85,</w:t>
            </w:r>
            <w:r>
              <w:rPr>
                <w:spacing w:val="-5"/>
                <w:sz w:val="20"/>
              </w:rPr>
              <w:t> </w:t>
            </w:r>
            <w:r>
              <w:rPr>
                <w:sz w:val="20"/>
              </w:rPr>
              <w:t>N85.0,</w:t>
            </w:r>
            <w:r>
              <w:rPr>
                <w:spacing w:val="-5"/>
                <w:sz w:val="20"/>
              </w:rPr>
              <w:t> </w:t>
            </w:r>
            <w:r>
              <w:rPr>
                <w:sz w:val="20"/>
              </w:rPr>
              <w:t>N85.1,</w:t>
            </w:r>
            <w:r>
              <w:rPr>
                <w:spacing w:val="-5"/>
                <w:sz w:val="20"/>
              </w:rPr>
              <w:t> </w:t>
            </w:r>
            <w:r>
              <w:rPr>
                <w:sz w:val="20"/>
              </w:rPr>
              <w:t>N85.2,</w:t>
            </w:r>
            <w:r>
              <w:rPr>
                <w:spacing w:val="-6"/>
                <w:sz w:val="20"/>
              </w:rPr>
              <w:t> </w:t>
            </w:r>
            <w:r>
              <w:rPr>
                <w:spacing w:val="-2"/>
                <w:sz w:val="20"/>
              </w:rPr>
              <w:t>N85.3,</w:t>
            </w:r>
          </w:p>
          <w:p>
            <w:pPr>
              <w:pStyle w:val="TableParagraph"/>
              <w:ind w:left="261" w:right="166"/>
              <w:jc w:val="center"/>
              <w:rPr>
                <w:sz w:val="20"/>
              </w:rPr>
            </w:pPr>
            <w:r>
              <w:rPr>
                <w:sz w:val="20"/>
              </w:rPr>
              <w:t>N85.4,</w:t>
            </w:r>
            <w:r>
              <w:rPr>
                <w:spacing w:val="-5"/>
                <w:sz w:val="20"/>
              </w:rPr>
              <w:t> </w:t>
            </w:r>
            <w:r>
              <w:rPr>
                <w:sz w:val="20"/>
              </w:rPr>
              <w:t>N85.5,</w:t>
            </w:r>
            <w:r>
              <w:rPr>
                <w:spacing w:val="-5"/>
                <w:sz w:val="20"/>
              </w:rPr>
              <w:t> </w:t>
            </w:r>
            <w:r>
              <w:rPr>
                <w:sz w:val="20"/>
              </w:rPr>
              <w:t>N85.6,</w:t>
            </w:r>
            <w:r>
              <w:rPr>
                <w:spacing w:val="-4"/>
                <w:sz w:val="20"/>
              </w:rPr>
              <w:t> </w:t>
            </w:r>
            <w:r>
              <w:rPr>
                <w:sz w:val="20"/>
              </w:rPr>
              <w:t>N85.7,</w:t>
            </w:r>
            <w:r>
              <w:rPr>
                <w:spacing w:val="-6"/>
                <w:sz w:val="20"/>
              </w:rPr>
              <w:t> </w:t>
            </w:r>
            <w:r>
              <w:rPr>
                <w:sz w:val="20"/>
              </w:rPr>
              <w:t>N85.8,</w:t>
            </w:r>
            <w:r>
              <w:rPr>
                <w:spacing w:val="-4"/>
                <w:sz w:val="20"/>
              </w:rPr>
              <w:t> </w:t>
            </w:r>
            <w:r>
              <w:rPr>
                <w:sz w:val="20"/>
              </w:rPr>
              <w:t>N85.9,</w:t>
            </w:r>
            <w:r>
              <w:rPr>
                <w:spacing w:val="-6"/>
                <w:sz w:val="20"/>
              </w:rPr>
              <w:t> </w:t>
            </w:r>
            <w:r>
              <w:rPr>
                <w:spacing w:val="-4"/>
                <w:sz w:val="20"/>
              </w:rPr>
              <w:t>N86,</w:t>
            </w:r>
          </w:p>
          <w:p>
            <w:pPr>
              <w:pStyle w:val="TableParagraph"/>
              <w:spacing w:before="1"/>
              <w:ind w:left="263" w:right="166"/>
              <w:jc w:val="center"/>
              <w:rPr>
                <w:sz w:val="20"/>
              </w:rPr>
            </w:pPr>
            <w:r>
              <w:rPr>
                <w:sz w:val="20"/>
              </w:rPr>
              <w:t>N87,</w:t>
            </w:r>
            <w:r>
              <w:rPr>
                <w:spacing w:val="-5"/>
                <w:sz w:val="20"/>
              </w:rPr>
              <w:t> </w:t>
            </w:r>
            <w:r>
              <w:rPr>
                <w:sz w:val="20"/>
              </w:rPr>
              <w:t>N87.0,</w:t>
            </w:r>
            <w:r>
              <w:rPr>
                <w:spacing w:val="-5"/>
                <w:sz w:val="20"/>
              </w:rPr>
              <w:t> </w:t>
            </w:r>
            <w:r>
              <w:rPr>
                <w:sz w:val="20"/>
              </w:rPr>
              <w:t>N87.1,</w:t>
            </w:r>
            <w:r>
              <w:rPr>
                <w:spacing w:val="-5"/>
                <w:sz w:val="20"/>
              </w:rPr>
              <w:t> </w:t>
            </w:r>
            <w:r>
              <w:rPr>
                <w:sz w:val="20"/>
              </w:rPr>
              <w:t>N87.2,</w:t>
            </w:r>
            <w:r>
              <w:rPr>
                <w:spacing w:val="-5"/>
                <w:sz w:val="20"/>
              </w:rPr>
              <w:t> </w:t>
            </w:r>
            <w:r>
              <w:rPr>
                <w:sz w:val="20"/>
              </w:rPr>
              <w:t>N87.9,</w:t>
            </w:r>
            <w:r>
              <w:rPr>
                <w:spacing w:val="-5"/>
                <w:sz w:val="20"/>
              </w:rPr>
              <w:t> </w:t>
            </w:r>
            <w:r>
              <w:rPr>
                <w:sz w:val="20"/>
              </w:rPr>
              <w:t>N88,</w:t>
            </w:r>
            <w:r>
              <w:rPr>
                <w:spacing w:val="-5"/>
                <w:sz w:val="20"/>
              </w:rPr>
              <w:t> </w:t>
            </w:r>
            <w:r>
              <w:rPr>
                <w:spacing w:val="-2"/>
                <w:sz w:val="20"/>
              </w:rPr>
              <w:t>N88.0,</w:t>
            </w:r>
          </w:p>
          <w:p>
            <w:pPr>
              <w:pStyle w:val="TableParagraph"/>
              <w:ind w:left="261" w:right="166"/>
              <w:jc w:val="center"/>
              <w:rPr>
                <w:sz w:val="20"/>
              </w:rPr>
            </w:pPr>
            <w:r>
              <w:rPr>
                <w:sz w:val="20"/>
              </w:rPr>
              <w:t>N88.1,</w:t>
            </w:r>
            <w:r>
              <w:rPr>
                <w:spacing w:val="-5"/>
                <w:sz w:val="20"/>
              </w:rPr>
              <w:t> </w:t>
            </w:r>
            <w:r>
              <w:rPr>
                <w:sz w:val="20"/>
              </w:rPr>
              <w:t>N88.2,</w:t>
            </w:r>
            <w:r>
              <w:rPr>
                <w:spacing w:val="-5"/>
                <w:sz w:val="20"/>
              </w:rPr>
              <w:t> </w:t>
            </w:r>
            <w:r>
              <w:rPr>
                <w:sz w:val="20"/>
              </w:rPr>
              <w:t>N88.3,</w:t>
            </w:r>
            <w:r>
              <w:rPr>
                <w:spacing w:val="-4"/>
                <w:sz w:val="20"/>
              </w:rPr>
              <w:t> </w:t>
            </w:r>
            <w:r>
              <w:rPr>
                <w:sz w:val="20"/>
              </w:rPr>
              <w:t>N88.4,</w:t>
            </w:r>
            <w:r>
              <w:rPr>
                <w:spacing w:val="-6"/>
                <w:sz w:val="20"/>
              </w:rPr>
              <w:t> </w:t>
            </w:r>
            <w:r>
              <w:rPr>
                <w:sz w:val="20"/>
              </w:rPr>
              <w:t>N88.8,</w:t>
            </w:r>
            <w:r>
              <w:rPr>
                <w:spacing w:val="-4"/>
                <w:sz w:val="20"/>
              </w:rPr>
              <w:t> </w:t>
            </w:r>
            <w:r>
              <w:rPr>
                <w:sz w:val="20"/>
              </w:rPr>
              <w:t>N88.9,</w:t>
            </w:r>
            <w:r>
              <w:rPr>
                <w:spacing w:val="-6"/>
                <w:sz w:val="20"/>
              </w:rPr>
              <w:t> </w:t>
            </w:r>
            <w:r>
              <w:rPr>
                <w:spacing w:val="-4"/>
                <w:sz w:val="20"/>
              </w:rPr>
              <w:t>N89,</w:t>
            </w:r>
          </w:p>
          <w:p>
            <w:pPr>
              <w:pStyle w:val="TableParagraph"/>
              <w:ind w:left="263" w:right="165"/>
              <w:jc w:val="center"/>
              <w:rPr>
                <w:sz w:val="20"/>
              </w:rPr>
            </w:pPr>
            <w:r>
              <w:rPr>
                <w:sz w:val="20"/>
              </w:rPr>
              <w:t>N89.0,</w:t>
            </w:r>
            <w:r>
              <w:rPr>
                <w:spacing w:val="-4"/>
                <w:sz w:val="20"/>
              </w:rPr>
              <w:t> </w:t>
            </w:r>
            <w:r>
              <w:rPr>
                <w:sz w:val="20"/>
              </w:rPr>
              <w:t>N89.1,</w:t>
            </w:r>
            <w:r>
              <w:rPr>
                <w:spacing w:val="-6"/>
                <w:sz w:val="20"/>
              </w:rPr>
              <w:t> </w:t>
            </w:r>
            <w:r>
              <w:rPr>
                <w:sz w:val="20"/>
              </w:rPr>
              <w:t>N89.2,</w:t>
            </w:r>
            <w:r>
              <w:rPr>
                <w:spacing w:val="-4"/>
                <w:sz w:val="20"/>
              </w:rPr>
              <w:t> </w:t>
            </w:r>
            <w:r>
              <w:rPr>
                <w:sz w:val="20"/>
              </w:rPr>
              <w:t>N89.3,</w:t>
            </w:r>
            <w:r>
              <w:rPr>
                <w:spacing w:val="-6"/>
                <w:sz w:val="20"/>
              </w:rPr>
              <w:t> </w:t>
            </w:r>
            <w:r>
              <w:rPr>
                <w:sz w:val="20"/>
              </w:rPr>
              <w:t>N89.4,</w:t>
            </w:r>
            <w:r>
              <w:rPr>
                <w:spacing w:val="-4"/>
                <w:sz w:val="20"/>
              </w:rPr>
              <w:t> </w:t>
            </w:r>
            <w:r>
              <w:rPr>
                <w:spacing w:val="-2"/>
                <w:sz w:val="20"/>
              </w:rPr>
              <w:t>N89.5,</w:t>
            </w:r>
          </w:p>
          <w:p>
            <w:pPr>
              <w:pStyle w:val="TableParagraph"/>
              <w:spacing w:line="229" w:lineRule="exact" w:before="1"/>
              <w:ind w:left="261" w:right="166"/>
              <w:jc w:val="center"/>
              <w:rPr>
                <w:sz w:val="20"/>
              </w:rPr>
            </w:pPr>
            <w:r>
              <w:rPr>
                <w:sz w:val="20"/>
              </w:rPr>
              <w:t>N89.6,</w:t>
            </w:r>
            <w:r>
              <w:rPr>
                <w:spacing w:val="-4"/>
                <w:sz w:val="20"/>
              </w:rPr>
              <w:t> </w:t>
            </w:r>
            <w:r>
              <w:rPr>
                <w:sz w:val="20"/>
              </w:rPr>
              <w:t>N89.7,</w:t>
            </w:r>
            <w:r>
              <w:rPr>
                <w:spacing w:val="-6"/>
                <w:sz w:val="20"/>
              </w:rPr>
              <w:t> </w:t>
            </w:r>
            <w:r>
              <w:rPr>
                <w:sz w:val="20"/>
              </w:rPr>
              <w:t>N89.8,</w:t>
            </w:r>
            <w:r>
              <w:rPr>
                <w:spacing w:val="-4"/>
                <w:sz w:val="20"/>
              </w:rPr>
              <w:t> </w:t>
            </w:r>
            <w:r>
              <w:rPr>
                <w:sz w:val="20"/>
              </w:rPr>
              <w:t>N89.9,</w:t>
            </w:r>
            <w:r>
              <w:rPr>
                <w:spacing w:val="-6"/>
                <w:sz w:val="20"/>
              </w:rPr>
              <w:t> </w:t>
            </w:r>
            <w:r>
              <w:rPr>
                <w:sz w:val="20"/>
              </w:rPr>
              <w:t>N90,</w:t>
            </w:r>
            <w:r>
              <w:rPr>
                <w:spacing w:val="-4"/>
                <w:sz w:val="20"/>
              </w:rPr>
              <w:t> </w:t>
            </w:r>
            <w:r>
              <w:rPr>
                <w:sz w:val="20"/>
              </w:rPr>
              <w:t>N90.0,</w:t>
            </w:r>
            <w:r>
              <w:rPr>
                <w:spacing w:val="-4"/>
                <w:sz w:val="20"/>
              </w:rPr>
              <w:t> </w:t>
            </w:r>
            <w:r>
              <w:rPr>
                <w:spacing w:val="-2"/>
                <w:sz w:val="20"/>
              </w:rPr>
              <w:t>N90.1,</w:t>
            </w:r>
          </w:p>
          <w:p>
            <w:pPr>
              <w:pStyle w:val="TableParagraph"/>
              <w:spacing w:line="229" w:lineRule="exact"/>
              <w:ind w:left="263" w:right="165"/>
              <w:jc w:val="center"/>
              <w:rPr>
                <w:sz w:val="20"/>
              </w:rPr>
            </w:pPr>
            <w:r>
              <w:rPr>
                <w:sz w:val="20"/>
              </w:rPr>
              <w:t>N90.2,</w:t>
            </w:r>
            <w:r>
              <w:rPr>
                <w:spacing w:val="-4"/>
                <w:sz w:val="20"/>
              </w:rPr>
              <w:t> </w:t>
            </w:r>
            <w:r>
              <w:rPr>
                <w:sz w:val="20"/>
              </w:rPr>
              <w:t>N90.3,</w:t>
            </w:r>
            <w:r>
              <w:rPr>
                <w:spacing w:val="-6"/>
                <w:sz w:val="20"/>
              </w:rPr>
              <w:t> </w:t>
            </w:r>
            <w:r>
              <w:rPr>
                <w:sz w:val="20"/>
              </w:rPr>
              <w:t>N90.4,</w:t>
            </w:r>
            <w:r>
              <w:rPr>
                <w:spacing w:val="-4"/>
                <w:sz w:val="20"/>
              </w:rPr>
              <w:t> </w:t>
            </w:r>
            <w:r>
              <w:rPr>
                <w:sz w:val="20"/>
              </w:rPr>
              <w:t>N90.5,</w:t>
            </w:r>
            <w:r>
              <w:rPr>
                <w:spacing w:val="-6"/>
                <w:sz w:val="20"/>
              </w:rPr>
              <w:t> </w:t>
            </w:r>
            <w:r>
              <w:rPr>
                <w:sz w:val="20"/>
              </w:rPr>
              <w:t>N90.6,</w:t>
            </w:r>
            <w:r>
              <w:rPr>
                <w:spacing w:val="-4"/>
                <w:sz w:val="20"/>
              </w:rPr>
              <w:t> </w:t>
            </w:r>
            <w:r>
              <w:rPr>
                <w:spacing w:val="-2"/>
                <w:sz w:val="20"/>
              </w:rPr>
              <w:t>N90.7,</w:t>
            </w:r>
          </w:p>
          <w:p>
            <w:pPr>
              <w:pStyle w:val="TableParagraph"/>
              <w:ind w:left="299"/>
              <w:rPr>
                <w:sz w:val="20"/>
              </w:rPr>
            </w:pPr>
            <w:r>
              <w:rPr>
                <w:sz w:val="20"/>
              </w:rPr>
              <w:t>N90.8,</w:t>
            </w:r>
            <w:r>
              <w:rPr>
                <w:spacing w:val="-6"/>
                <w:sz w:val="20"/>
              </w:rPr>
              <w:t> </w:t>
            </w:r>
            <w:r>
              <w:rPr>
                <w:sz w:val="20"/>
              </w:rPr>
              <w:t>N90.9,</w:t>
            </w:r>
            <w:r>
              <w:rPr>
                <w:spacing w:val="-7"/>
                <w:sz w:val="20"/>
              </w:rPr>
              <w:t> </w:t>
            </w:r>
            <w:r>
              <w:rPr>
                <w:sz w:val="20"/>
              </w:rPr>
              <w:t>N91,</w:t>
            </w:r>
            <w:r>
              <w:rPr>
                <w:spacing w:val="-5"/>
                <w:sz w:val="20"/>
              </w:rPr>
              <w:t> </w:t>
            </w:r>
            <w:r>
              <w:rPr>
                <w:sz w:val="20"/>
              </w:rPr>
              <w:t>N91.0,</w:t>
            </w:r>
            <w:r>
              <w:rPr>
                <w:spacing w:val="-5"/>
                <w:sz w:val="20"/>
              </w:rPr>
              <w:t> </w:t>
            </w:r>
            <w:r>
              <w:rPr>
                <w:sz w:val="20"/>
              </w:rPr>
              <w:t>N91.1,</w:t>
            </w:r>
            <w:r>
              <w:rPr>
                <w:spacing w:val="-5"/>
                <w:sz w:val="20"/>
              </w:rPr>
              <w:t> </w:t>
            </w:r>
            <w:r>
              <w:rPr>
                <w:sz w:val="20"/>
              </w:rPr>
              <w:t>N91.2,</w:t>
            </w:r>
            <w:r>
              <w:rPr>
                <w:spacing w:val="-6"/>
                <w:sz w:val="20"/>
              </w:rPr>
              <w:t> </w:t>
            </w:r>
            <w:r>
              <w:rPr>
                <w:spacing w:val="-2"/>
                <w:sz w:val="20"/>
              </w:rPr>
              <w:t>N91.3,</w:t>
            </w:r>
          </w:p>
          <w:p>
            <w:pPr>
              <w:pStyle w:val="TableParagraph"/>
              <w:spacing w:before="1"/>
              <w:ind w:left="299"/>
              <w:rPr>
                <w:sz w:val="20"/>
              </w:rPr>
            </w:pPr>
            <w:r>
              <w:rPr>
                <w:sz w:val="20"/>
              </w:rPr>
              <w:t>N91.4,</w:t>
            </w:r>
            <w:r>
              <w:rPr>
                <w:spacing w:val="-6"/>
                <w:sz w:val="20"/>
              </w:rPr>
              <w:t> </w:t>
            </w:r>
            <w:r>
              <w:rPr>
                <w:sz w:val="20"/>
              </w:rPr>
              <w:t>N91.5,</w:t>
            </w:r>
            <w:r>
              <w:rPr>
                <w:spacing w:val="-7"/>
                <w:sz w:val="20"/>
              </w:rPr>
              <w:t> </w:t>
            </w:r>
            <w:r>
              <w:rPr>
                <w:sz w:val="20"/>
              </w:rPr>
              <w:t>N92,</w:t>
            </w:r>
            <w:r>
              <w:rPr>
                <w:spacing w:val="-5"/>
                <w:sz w:val="20"/>
              </w:rPr>
              <w:t> </w:t>
            </w:r>
            <w:r>
              <w:rPr>
                <w:sz w:val="20"/>
              </w:rPr>
              <w:t>N92.0,</w:t>
            </w:r>
            <w:r>
              <w:rPr>
                <w:spacing w:val="-5"/>
                <w:sz w:val="20"/>
              </w:rPr>
              <w:t> </w:t>
            </w:r>
            <w:r>
              <w:rPr>
                <w:sz w:val="20"/>
              </w:rPr>
              <w:t>N92.1,</w:t>
            </w:r>
            <w:r>
              <w:rPr>
                <w:spacing w:val="-5"/>
                <w:sz w:val="20"/>
              </w:rPr>
              <w:t> </w:t>
            </w:r>
            <w:r>
              <w:rPr>
                <w:sz w:val="20"/>
              </w:rPr>
              <w:t>N92.2,</w:t>
            </w:r>
            <w:r>
              <w:rPr>
                <w:spacing w:val="-6"/>
                <w:sz w:val="20"/>
              </w:rPr>
              <w:t> </w:t>
            </w:r>
            <w:r>
              <w:rPr>
                <w:spacing w:val="-2"/>
                <w:sz w:val="20"/>
              </w:rPr>
              <w:t>N92.3,</w:t>
            </w:r>
          </w:p>
          <w:p>
            <w:pPr>
              <w:pStyle w:val="TableParagraph"/>
              <w:ind w:left="299"/>
              <w:rPr>
                <w:sz w:val="20"/>
              </w:rPr>
            </w:pPr>
            <w:r>
              <w:rPr>
                <w:sz w:val="20"/>
              </w:rPr>
              <w:t>N92.4,</w:t>
            </w:r>
            <w:r>
              <w:rPr>
                <w:spacing w:val="-5"/>
                <w:sz w:val="20"/>
              </w:rPr>
              <w:t> </w:t>
            </w:r>
            <w:r>
              <w:rPr>
                <w:sz w:val="20"/>
              </w:rPr>
              <w:t>N92.5,</w:t>
            </w:r>
            <w:r>
              <w:rPr>
                <w:spacing w:val="-7"/>
                <w:sz w:val="20"/>
              </w:rPr>
              <w:t> </w:t>
            </w:r>
            <w:r>
              <w:rPr>
                <w:sz w:val="20"/>
              </w:rPr>
              <w:t>N92.6,</w:t>
            </w:r>
            <w:r>
              <w:rPr>
                <w:spacing w:val="-5"/>
                <w:sz w:val="20"/>
              </w:rPr>
              <w:t> </w:t>
            </w:r>
            <w:r>
              <w:rPr>
                <w:sz w:val="20"/>
              </w:rPr>
              <w:t>N93,</w:t>
            </w:r>
            <w:r>
              <w:rPr>
                <w:spacing w:val="-5"/>
                <w:sz w:val="20"/>
              </w:rPr>
              <w:t> </w:t>
            </w:r>
            <w:r>
              <w:rPr>
                <w:sz w:val="20"/>
              </w:rPr>
              <w:t>N93.0,</w:t>
            </w:r>
            <w:r>
              <w:rPr>
                <w:spacing w:val="-1"/>
                <w:sz w:val="20"/>
              </w:rPr>
              <w:t> </w:t>
            </w:r>
            <w:r>
              <w:rPr>
                <w:sz w:val="20"/>
              </w:rPr>
              <w:t>N93.8,</w:t>
            </w:r>
            <w:r>
              <w:rPr>
                <w:spacing w:val="-5"/>
                <w:sz w:val="20"/>
              </w:rPr>
              <w:t> </w:t>
            </w:r>
            <w:r>
              <w:rPr>
                <w:spacing w:val="-2"/>
                <w:sz w:val="20"/>
              </w:rPr>
              <w:t>N93.9,</w:t>
            </w:r>
          </w:p>
          <w:p>
            <w:pPr>
              <w:pStyle w:val="TableParagraph"/>
              <w:spacing w:before="1"/>
              <w:ind w:left="299"/>
              <w:rPr>
                <w:sz w:val="20"/>
              </w:rPr>
            </w:pPr>
            <w:r>
              <w:rPr>
                <w:sz w:val="20"/>
              </w:rPr>
              <w:t>N94,</w:t>
            </w:r>
            <w:r>
              <w:rPr>
                <w:spacing w:val="-6"/>
                <w:sz w:val="20"/>
              </w:rPr>
              <w:t> </w:t>
            </w:r>
            <w:r>
              <w:rPr>
                <w:sz w:val="20"/>
              </w:rPr>
              <w:t>N94.0,</w:t>
            </w:r>
            <w:r>
              <w:rPr>
                <w:spacing w:val="-6"/>
                <w:sz w:val="20"/>
              </w:rPr>
              <w:t> </w:t>
            </w:r>
            <w:r>
              <w:rPr>
                <w:sz w:val="20"/>
              </w:rPr>
              <w:t>N94.1,</w:t>
            </w:r>
            <w:r>
              <w:rPr>
                <w:spacing w:val="-5"/>
                <w:sz w:val="20"/>
              </w:rPr>
              <w:t> </w:t>
            </w:r>
            <w:r>
              <w:rPr>
                <w:sz w:val="20"/>
              </w:rPr>
              <w:t>N94.2,</w:t>
            </w:r>
            <w:r>
              <w:rPr>
                <w:spacing w:val="-6"/>
                <w:sz w:val="20"/>
              </w:rPr>
              <w:t> </w:t>
            </w:r>
            <w:r>
              <w:rPr>
                <w:sz w:val="20"/>
              </w:rPr>
              <w:t>N94.3,</w:t>
            </w:r>
            <w:r>
              <w:rPr>
                <w:spacing w:val="-5"/>
                <w:sz w:val="20"/>
              </w:rPr>
              <w:t> </w:t>
            </w:r>
            <w:r>
              <w:rPr>
                <w:sz w:val="20"/>
              </w:rPr>
              <w:t>N94.4,</w:t>
            </w:r>
            <w:r>
              <w:rPr>
                <w:spacing w:val="-6"/>
                <w:sz w:val="20"/>
              </w:rPr>
              <w:t> </w:t>
            </w:r>
            <w:r>
              <w:rPr>
                <w:spacing w:val="-2"/>
                <w:sz w:val="20"/>
              </w:rPr>
              <w:t>N94.5,</w:t>
            </w:r>
          </w:p>
          <w:p>
            <w:pPr>
              <w:pStyle w:val="TableParagraph"/>
              <w:spacing w:line="229" w:lineRule="exact"/>
              <w:ind w:left="299"/>
              <w:rPr>
                <w:sz w:val="20"/>
              </w:rPr>
            </w:pPr>
            <w:r>
              <w:rPr>
                <w:sz w:val="20"/>
              </w:rPr>
              <w:t>N94.6,</w:t>
            </w:r>
            <w:r>
              <w:rPr>
                <w:spacing w:val="-6"/>
                <w:sz w:val="20"/>
              </w:rPr>
              <w:t> </w:t>
            </w:r>
            <w:r>
              <w:rPr>
                <w:sz w:val="20"/>
              </w:rPr>
              <w:t>N94.8,</w:t>
            </w:r>
            <w:r>
              <w:rPr>
                <w:spacing w:val="-6"/>
                <w:sz w:val="20"/>
              </w:rPr>
              <w:t> </w:t>
            </w:r>
            <w:r>
              <w:rPr>
                <w:sz w:val="20"/>
              </w:rPr>
              <w:t>N94.9,</w:t>
            </w:r>
            <w:r>
              <w:rPr>
                <w:spacing w:val="-5"/>
                <w:sz w:val="20"/>
              </w:rPr>
              <w:t> </w:t>
            </w:r>
            <w:r>
              <w:rPr>
                <w:sz w:val="20"/>
              </w:rPr>
              <w:t>N95,</w:t>
            </w:r>
            <w:r>
              <w:rPr>
                <w:spacing w:val="-6"/>
                <w:sz w:val="20"/>
              </w:rPr>
              <w:t> </w:t>
            </w:r>
            <w:r>
              <w:rPr>
                <w:sz w:val="20"/>
              </w:rPr>
              <w:t>N95.0,</w:t>
            </w:r>
            <w:r>
              <w:rPr>
                <w:spacing w:val="-5"/>
                <w:sz w:val="20"/>
              </w:rPr>
              <w:t> </w:t>
            </w:r>
            <w:r>
              <w:rPr>
                <w:sz w:val="20"/>
              </w:rPr>
              <w:t>N95.1,</w:t>
            </w:r>
            <w:r>
              <w:rPr>
                <w:spacing w:val="-5"/>
                <w:sz w:val="20"/>
              </w:rPr>
              <w:t> </w:t>
            </w:r>
            <w:r>
              <w:rPr>
                <w:spacing w:val="-2"/>
                <w:sz w:val="20"/>
              </w:rPr>
              <w:t>N95.2,</w:t>
            </w:r>
          </w:p>
          <w:p>
            <w:pPr>
              <w:pStyle w:val="TableParagraph"/>
              <w:spacing w:line="229" w:lineRule="exact"/>
              <w:ind w:left="373"/>
              <w:rPr>
                <w:sz w:val="20"/>
              </w:rPr>
            </w:pPr>
            <w:r>
              <w:rPr>
                <w:sz w:val="20"/>
              </w:rPr>
              <w:t>N95.3,</w:t>
            </w:r>
            <w:r>
              <w:rPr>
                <w:spacing w:val="-5"/>
                <w:sz w:val="20"/>
              </w:rPr>
              <w:t> </w:t>
            </w:r>
            <w:r>
              <w:rPr>
                <w:sz w:val="20"/>
              </w:rPr>
              <w:t>N95.8,</w:t>
            </w:r>
            <w:r>
              <w:rPr>
                <w:spacing w:val="-6"/>
                <w:sz w:val="20"/>
              </w:rPr>
              <w:t> </w:t>
            </w:r>
            <w:r>
              <w:rPr>
                <w:sz w:val="20"/>
              </w:rPr>
              <w:t>N95.9,</w:t>
            </w:r>
            <w:r>
              <w:rPr>
                <w:spacing w:val="-5"/>
                <w:sz w:val="20"/>
              </w:rPr>
              <w:t> </w:t>
            </w:r>
            <w:r>
              <w:rPr>
                <w:sz w:val="20"/>
              </w:rPr>
              <w:t>N96,</w:t>
            </w:r>
            <w:r>
              <w:rPr>
                <w:spacing w:val="-4"/>
                <w:sz w:val="20"/>
              </w:rPr>
              <w:t> </w:t>
            </w:r>
            <w:r>
              <w:rPr>
                <w:sz w:val="20"/>
              </w:rPr>
              <w:t>N97,</w:t>
            </w:r>
            <w:r>
              <w:rPr>
                <w:spacing w:val="-5"/>
                <w:sz w:val="20"/>
              </w:rPr>
              <w:t> </w:t>
            </w:r>
            <w:r>
              <w:rPr>
                <w:sz w:val="20"/>
              </w:rPr>
              <w:t>N97.0,</w:t>
            </w:r>
            <w:r>
              <w:rPr>
                <w:spacing w:val="-4"/>
                <w:sz w:val="20"/>
              </w:rPr>
              <w:t> </w:t>
            </w:r>
            <w:r>
              <w:rPr>
                <w:spacing w:val="-2"/>
                <w:sz w:val="20"/>
              </w:rPr>
              <w:t>N97.1,</w:t>
            </w:r>
          </w:p>
          <w:p>
            <w:pPr>
              <w:pStyle w:val="TableParagraph"/>
              <w:spacing w:before="1"/>
              <w:ind w:left="261" w:right="166"/>
              <w:jc w:val="center"/>
              <w:rPr>
                <w:sz w:val="20"/>
              </w:rPr>
            </w:pPr>
            <w:r>
              <w:rPr>
                <w:sz w:val="20"/>
              </w:rPr>
              <w:t>N97.2,</w:t>
            </w:r>
            <w:r>
              <w:rPr>
                <w:spacing w:val="-4"/>
                <w:sz w:val="20"/>
              </w:rPr>
              <w:t> </w:t>
            </w:r>
            <w:r>
              <w:rPr>
                <w:sz w:val="20"/>
              </w:rPr>
              <w:t>N97.3,</w:t>
            </w:r>
            <w:r>
              <w:rPr>
                <w:spacing w:val="-6"/>
                <w:sz w:val="20"/>
              </w:rPr>
              <w:t> </w:t>
            </w:r>
            <w:r>
              <w:rPr>
                <w:sz w:val="20"/>
              </w:rPr>
              <w:t>N97.4,</w:t>
            </w:r>
            <w:r>
              <w:rPr>
                <w:spacing w:val="-4"/>
                <w:sz w:val="20"/>
              </w:rPr>
              <w:t> </w:t>
            </w:r>
            <w:r>
              <w:rPr>
                <w:sz w:val="20"/>
              </w:rPr>
              <w:t>N97.8,</w:t>
            </w:r>
            <w:r>
              <w:rPr>
                <w:spacing w:val="-6"/>
                <w:sz w:val="20"/>
              </w:rPr>
              <w:t> </w:t>
            </w:r>
            <w:r>
              <w:rPr>
                <w:sz w:val="20"/>
              </w:rPr>
              <w:t>N97.9,</w:t>
            </w:r>
            <w:r>
              <w:rPr>
                <w:spacing w:val="-4"/>
                <w:sz w:val="20"/>
              </w:rPr>
              <w:t> </w:t>
            </w:r>
            <w:r>
              <w:rPr>
                <w:sz w:val="20"/>
              </w:rPr>
              <w:t>N98,</w:t>
            </w:r>
            <w:r>
              <w:rPr>
                <w:spacing w:val="-4"/>
                <w:sz w:val="20"/>
              </w:rPr>
              <w:t> </w:t>
            </w:r>
            <w:r>
              <w:rPr>
                <w:spacing w:val="-2"/>
                <w:sz w:val="20"/>
              </w:rPr>
              <w:t>N98.0,</w:t>
            </w:r>
          </w:p>
          <w:p>
            <w:pPr>
              <w:pStyle w:val="TableParagraph"/>
              <w:ind w:left="263" w:right="165"/>
              <w:jc w:val="center"/>
              <w:rPr>
                <w:sz w:val="20"/>
              </w:rPr>
            </w:pPr>
            <w:r>
              <w:rPr>
                <w:sz w:val="20"/>
              </w:rPr>
              <w:t>N98.1,</w:t>
            </w:r>
            <w:r>
              <w:rPr>
                <w:spacing w:val="-4"/>
                <w:sz w:val="20"/>
              </w:rPr>
              <w:t> </w:t>
            </w:r>
            <w:r>
              <w:rPr>
                <w:sz w:val="20"/>
              </w:rPr>
              <w:t>N98.2,</w:t>
            </w:r>
            <w:r>
              <w:rPr>
                <w:spacing w:val="-6"/>
                <w:sz w:val="20"/>
              </w:rPr>
              <w:t> </w:t>
            </w:r>
            <w:r>
              <w:rPr>
                <w:sz w:val="20"/>
              </w:rPr>
              <w:t>N98.3,</w:t>
            </w:r>
            <w:r>
              <w:rPr>
                <w:spacing w:val="-4"/>
                <w:sz w:val="20"/>
              </w:rPr>
              <w:t> </w:t>
            </w:r>
            <w:r>
              <w:rPr>
                <w:sz w:val="20"/>
              </w:rPr>
              <w:t>N98.8,</w:t>
            </w:r>
            <w:r>
              <w:rPr>
                <w:spacing w:val="-6"/>
                <w:sz w:val="20"/>
              </w:rPr>
              <w:t> </w:t>
            </w:r>
            <w:r>
              <w:rPr>
                <w:sz w:val="20"/>
              </w:rPr>
              <w:t>N98.9,</w:t>
            </w:r>
            <w:r>
              <w:rPr>
                <w:spacing w:val="-4"/>
                <w:sz w:val="20"/>
              </w:rPr>
              <w:t> </w:t>
            </w:r>
            <w:r>
              <w:rPr>
                <w:spacing w:val="-2"/>
                <w:sz w:val="20"/>
              </w:rPr>
              <w:t>N99.2,</w:t>
            </w:r>
          </w:p>
          <w:p>
            <w:pPr>
              <w:pStyle w:val="TableParagraph"/>
              <w:spacing w:before="1"/>
              <w:ind w:left="263" w:right="164"/>
              <w:jc w:val="center"/>
              <w:rPr>
                <w:sz w:val="20"/>
              </w:rPr>
            </w:pPr>
            <w:r>
              <w:rPr>
                <w:sz w:val="20"/>
              </w:rPr>
              <w:t>N99.3,</w:t>
            </w:r>
            <w:r>
              <w:rPr>
                <w:spacing w:val="-6"/>
                <w:sz w:val="20"/>
              </w:rPr>
              <w:t> </w:t>
            </w:r>
            <w:r>
              <w:rPr>
                <w:sz w:val="20"/>
              </w:rPr>
              <w:t>Q50,</w:t>
            </w:r>
            <w:r>
              <w:rPr>
                <w:spacing w:val="-5"/>
                <w:sz w:val="20"/>
              </w:rPr>
              <w:t> </w:t>
            </w:r>
            <w:r>
              <w:rPr>
                <w:sz w:val="20"/>
              </w:rPr>
              <w:t>Q50.0,</w:t>
            </w:r>
            <w:r>
              <w:rPr>
                <w:spacing w:val="-6"/>
                <w:sz w:val="20"/>
              </w:rPr>
              <w:t> </w:t>
            </w:r>
            <w:r>
              <w:rPr>
                <w:sz w:val="20"/>
              </w:rPr>
              <w:t>Q50.1,</w:t>
            </w:r>
            <w:r>
              <w:rPr>
                <w:spacing w:val="-5"/>
                <w:sz w:val="20"/>
              </w:rPr>
              <w:t> </w:t>
            </w:r>
            <w:r>
              <w:rPr>
                <w:sz w:val="20"/>
              </w:rPr>
              <w:t>Q50.2,</w:t>
            </w:r>
            <w:r>
              <w:rPr>
                <w:spacing w:val="-5"/>
                <w:sz w:val="20"/>
              </w:rPr>
              <w:t> </w:t>
            </w:r>
            <w:r>
              <w:rPr>
                <w:sz w:val="20"/>
              </w:rPr>
              <w:t>Q50.3,</w:t>
            </w:r>
            <w:r>
              <w:rPr>
                <w:spacing w:val="-6"/>
                <w:sz w:val="20"/>
              </w:rPr>
              <w:t> </w:t>
            </w:r>
            <w:r>
              <w:rPr>
                <w:spacing w:val="-2"/>
                <w:sz w:val="20"/>
              </w:rPr>
              <w:t>Q50.4,</w:t>
            </w:r>
          </w:p>
          <w:p>
            <w:pPr>
              <w:pStyle w:val="TableParagraph"/>
              <w:spacing w:line="229" w:lineRule="exact"/>
              <w:ind w:left="263" w:right="166"/>
              <w:jc w:val="center"/>
              <w:rPr>
                <w:sz w:val="20"/>
              </w:rPr>
            </w:pPr>
            <w:r>
              <w:rPr>
                <w:sz w:val="20"/>
              </w:rPr>
              <w:t>Q50.5,</w:t>
            </w:r>
            <w:r>
              <w:rPr>
                <w:spacing w:val="-6"/>
                <w:sz w:val="20"/>
              </w:rPr>
              <w:t> </w:t>
            </w:r>
            <w:r>
              <w:rPr>
                <w:sz w:val="20"/>
              </w:rPr>
              <w:t>Q50.6,</w:t>
            </w:r>
            <w:r>
              <w:rPr>
                <w:spacing w:val="-7"/>
                <w:sz w:val="20"/>
              </w:rPr>
              <w:t> </w:t>
            </w:r>
            <w:r>
              <w:rPr>
                <w:sz w:val="20"/>
              </w:rPr>
              <w:t>Q51,</w:t>
            </w:r>
            <w:r>
              <w:rPr>
                <w:spacing w:val="-5"/>
                <w:sz w:val="20"/>
              </w:rPr>
              <w:t> </w:t>
            </w:r>
            <w:r>
              <w:rPr>
                <w:sz w:val="20"/>
              </w:rPr>
              <w:t>Q51.0,</w:t>
            </w:r>
            <w:r>
              <w:rPr>
                <w:spacing w:val="-5"/>
                <w:sz w:val="20"/>
              </w:rPr>
              <w:t> </w:t>
            </w:r>
            <w:r>
              <w:rPr>
                <w:sz w:val="20"/>
              </w:rPr>
              <w:t>Q51.1,</w:t>
            </w:r>
            <w:r>
              <w:rPr>
                <w:spacing w:val="-5"/>
                <w:sz w:val="20"/>
              </w:rPr>
              <w:t> </w:t>
            </w:r>
            <w:r>
              <w:rPr>
                <w:sz w:val="20"/>
              </w:rPr>
              <w:t>Q51.2,</w:t>
            </w:r>
            <w:r>
              <w:rPr>
                <w:spacing w:val="-6"/>
                <w:sz w:val="20"/>
              </w:rPr>
              <w:t> </w:t>
            </w:r>
            <w:r>
              <w:rPr>
                <w:spacing w:val="-2"/>
                <w:sz w:val="20"/>
              </w:rPr>
              <w:t>Q51.3,</w:t>
            </w:r>
          </w:p>
          <w:p>
            <w:pPr>
              <w:pStyle w:val="TableParagraph"/>
              <w:spacing w:line="229" w:lineRule="exact"/>
              <w:ind w:left="261" w:right="166"/>
              <w:jc w:val="center"/>
              <w:rPr>
                <w:sz w:val="20"/>
              </w:rPr>
            </w:pPr>
            <w:r>
              <w:rPr>
                <w:sz w:val="20"/>
              </w:rPr>
              <w:t>Q51.4,</w:t>
            </w:r>
            <w:r>
              <w:rPr>
                <w:spacing w:val="-5"/>
                <w:sz w:val="20"/>
              </w:rPr>
              <w:t> </w:t>
            </w:r>
            <w:r>
              <w:rPr>
                <w:sz w:val="20"/>
              </w:rPr>
              <w:t>Q51.5,</w:t>
            </w:r>
            <w:r>
              <w:rPr>
                <w:spacing w:val="-5"/>
                <w:sz w:val="20"/>
              </w:rPr>
              <w:t> </w:t>
            </w:r>
            <w:r>
              <w:rPr>
                <w:sz w:val="20"/>
              </w:rPr>
              <w:t>Q51.6,</w:t>
            </w:r>
            <w:r>
              <w:rPr>
                <w:spacing w:val="-4"/>
                <w:sz w:val="20"/>
              </w:rPr>
              <w:t> </w:t>
            </w:r>
            <w:r>
              <w:rPr>
                <w:sz w:val="20"/>
              </w:rPr>
              <w:t>Q51.7,</w:t>
            </w:r>
            <w:r>
              <w:rPr>
                <w:spacing w:val="-6"/>
                <w:sz w:val="20"/>
              </w:rPr>
              <w:t> </w:t>
            </w:r>
            <w:r>
              <w:rPr>
                <w:sz w:val="20"/>
              </w:rPr>
              <w:t>Q51.8,</w:t>
            </w:r>
            <w:r>
              <w:rPr>
                <w:spacing w:val="-4"/>
                <w:sz w:val="20"/>
              </w:rPr>
              <w:t> </w:t>
            </w:r>
            <w:r>
              <w:rPr>
                <w:sz w:val="20"/>
              </w:rPr>
              <w:t>Q51.9,</w:t>
            </w:r>
            <w:r>
              <w:rPr>
                <w:spacing w:val="-6"/>
                <w:sz w:val="20"/>
              </w:rPr>
              <w:t> </w:t>
            </w:r>
            <w:r>
              <w:rPr>
                <w:spacing w:val="-4"/>
                <w:sz w:val="20"/>
              </w:rPr>
              <w:t>Q52,</w:t>
            </w:r>
          </w:p>
          <w:p>
            <w:pPr>
              <w:pStyle w:val="TableParagraph"/>
              <w:spacing w:before="1"/>
              <w:ind w:left="263" w:right="165"/>
              <w:jc w:val="center"/>
              <w:rPr>
                <w:sz w:val="20"/>
              </w:rPr>
            </w:pPr>
            <w:r>
              <w:rPr>
                <w:sz w:val="20"/>
              </w:rPr>
              <w:t>Q52.0,</w:t>
            </w:r>
            <w:r>
              <w:rPr>
                <w:spacing w:val="-4"/>
                <w:sz w:val="20"/>
              </w:rPr>
              <w:t> </w:t>
            </w:r>
            <w:r>
              <w:rPr>
                <w:sz w:val="20"/>
              </w:rPr>
              <w:t>Q52.1,</w:t>
            </w:r>
            <w:r>
              <w:rPr>
                <w:spacing w:val="-6"/>
                <w:sz w:val="20"/>
              </w:rPr>
              <w:t> </w:t>
            </w:r>
            <w:r>
              <w:rPr>
                <w:sz w:val="20"/>
              </w:rPr>
              <w:t>Q52.2,</w:t>
            </w:r>
            <w:r>
              <w:rPr>
                <w:spacing w:val="-4"/>
                <w:sz w:val="20"/>
              </w:rPr>
              <w:t> </w:t>
            </w:r>
            <w:r>
              <w:rPr>
                <w:sz w:val="20"/>
              </w:rPr>
              <w:t>Q52.3,</w:t>
            </w:r>
            <w:r>
              <w:rPr>
                <w:spacing w:val="-6"/>
                <w:sz w:val="20"/>
              </w:rPr>
              <w:t> </w:t>
            </w:r>
            <w:r>
              <w:rPr>
                <w:sz w:val="20"/>
              </w:rPr>
              <w:t>Q52.4,</w:t>
            </w:r>
            <w:r>
              <w:rPr>
                <w:spacing w:val="-4"/>
                <w:sz w:val="20"/>
              </w:rPr>
              <w:t> </w:t>
            </w:r>
            <w:r>
              <w:rPr>
                <w:spacing w:val="-2"/>
                <w:sz w:val="20"/>
              </w:rPr>
              <w:t>Q52.5,</w:t>
            </w:r>
          </w:p>
          <w:p>
            <w:pPr>
              <w:pStyle w:val="TableParagraph"/>
              <w:ind w:left="261" w:right="166"/>
              <w:jc w:val="center"/>
              <w:rPr>
                <w:sz w:val="20"/>
              </w:rPr>
            </w:pPr>
            <w:r>
              <w:rPr>
                <w:sz w:val="20"/>
              </w:rPr>
              <w:t>Q52.6,</w:t>
            </w:r>
            <w:r>
              <w:rPr>
                <w:spacing w:val="-4"/>
                <w:sz w:val="20"/>
              </w:rPr>
              <w:t> </w:t>
            </w:r>
            <w:r>
              <w:rPr>
                <w:sz w:val="20"/>
              </w:rPr>
              <w:t>Q52.7,</w:t>
            </w:r>
            <w:r>
              <w:rPr>
                <w:spacing w:val="-6"/>
                <w:sz w:val="20"/>
              </w:rPr>
              <w:t> </w:t>
            </w:r>
            <w:r>
              <w:rPr>
                <w:sz w:val="20"/>
              </w:rPr>
              <w:t>Q52.8,</w:t>
            </w:r>
            <w:r>
              <w:rPr>
                <w:spacing w:val="-4"/>
                <w:sz w:val="20"/>
              </w:rPr>
              <w:t> </w:t>
            </w:r>
            <w:r>
              <w:rPr>
                <w:sz w:val="20"/>
              </w:rPr>
              <w:t>Q52.9,</w:t>
            </w:r>
            <w:r>
              <w:rPr>
                <w:spacing w:val="-6"/>
                <w:sz w:val="20"/>
              </w:rPr>
              <w:t> </w:t>
            </w:r>
            <w:r>
              <w:rPr>
                <w:sz w:val="20"/>
              </w:rPr>
              <w:t>Q56,</w:t>
            </w:r>
            <w:r>
              <w:rPr>
                <w:spacing w:val="-4"/>
                <w:sz w:val="20"/>
              </w:rPr>
              <w:t> </w:t>
            </w:r>
            <w:r>
              <w:rPr>
                <w:sz w:val="20"/>
              </w:rPr>
              <w:t>Q56.0,</w:t>
            </w:r>
            <w:r>
              <w:rPr>
                <w:spacing w:val="-4"/>
                <w:sz w:val="20"/>
              </w:rPr>
              <w:t> </w:t>
            </w:r>
            <w:r>
              <w:rPr>
                <w:spacing w:val="-2"/>
                <w:sz w:val="20"/>
              </w:rPr>
              <w:t>Q56.1,</w:t>
            </w:r>
          </w:p>
          <w:p>
            <w:pPr>
              <w:pStyle w:val="TableParagraph"/>
              <w:ind w:left="263" w:right="160"/>
              <w:jc w:val="center"/>
              <w:rPr>
                <w:sz w:val="20"/>
              </w:rPr>
            </w:pPr>
            <w:r>
              <w:rPr>
                <w:sz w:val="20"/>
              </w:rPr>
              <w:t>Q56.2,</w:t>
            </w:r>
            <w:r>
              <w:rPr>
                <w:spacing w:val="-5"/>
                <w:sz w:val="20"/>
              </w:rPr>
              <w:t> </w:t>
            </w:r>
            <w:r>
              <w:rPr>
                <w:sz w:val="20"/>
              </w:rPr>
              <w:t>Q56.3,</w:t>
            </w:r>
            <w:r>
              <w:rPr>
                <w:spacing w:val="-6"/>
                <w:sz w:val="20"/>
              </w:rPr>
              <w:t> </w:t>
            </w:r>
            <w:r>
              <w:rPr>
                <w:sz w:val="20"/>
              </w:rPr>
              <w:t>Q56.4,</w:t>
            </w:r>
            <w:r>
              <w:rPr>
                <w:spacing w:val="-4"/>
                <w:sz w:val="20"/>
              </w:rPr>
              <w:t> </w:t>
            </w:r>
            <w:r>
              <w:rPr>
                <w:sz w:val="20"/>
              </w:rPr>
              <w:t>R87,</w:t>
            </w:r>
            <w:r>
              <w:rPr>
                <w:spacing w:val="-4"/>
                <w:sz w:val="20"/>
              </w:rPr>
              <w:t> </w:t>
            </w:r>
            <w:r>
              <w:rPr>
                <w:sz w:val="20"/>
              </w:rPr>
              <w:t>R87.0,</w:t>
            </w:r>
            <w:r>
              <w:rPr>
                <w:spacing w:val="-5"/>
                <w:sz w:val="20"/>
              </w:rPr>
              <w:t> </w:t>
            </w:r>
            <w:r>
              <w:rPr>
                <w:sz w:val="20"/>
              </w:rPr>
              <w:t>R87.1,</w:t>
            </w:r>
            <w:r>
              <w:rPr>
                <w:spacing w:val="2"/>
                <w:sz w:val="20"/>
              </w:rPr>
              <w:t> </w:t>
            </w:r>
            <w:r>
              <w:rPr>
                <w:spacing w:val="-2"/>
                <w:sz w:val="20"/>
              </w:rPr>
              <w:t>R87.2,</w:t>
            </w:r>
          </w:p>
          <w:p>
            <w:pPr>
              <w:pStyle w:val="TableParagraph"/>
              <w:spacing w:before="1"/>
              <w:ind w:left="263" w:right="166"/>
              <w:jc w:val="center"/>
              <w:rPr>
                <w:sz w:val="20"/>
              </w:rPr>
            </w:pPr>
            <w:r>
              <w:rPr>
                <w:sz w:val="20"/>
              </w:rPr>
              <w:t>R87.3,</w:t>
            </w:r>
            <w:r>
              <w:rPr>
                <w:spacing w:val="-7"/>
                <w:sz w:val="20"/>
              </w:rPr>
              <w:t> </w:t>
            </w:r>
            <w:r>
              <w:rPr>
                <w:sz w:val="20"/>
              </w:rPr>
              <w:t>R87.4,</w:t>
            </w:r>
            <w:r>
              <w:rPr>
                <w:spacing w:val="-5"/>
                <w:sz w:val="20"/>
              </w:rPr>
              <w:t> </w:t>
            </w:r>
            <w:r>
              <w:rPr>
                <w:sz w:val="20"/>
              </w:rPr>
              <w:t>R87.5,</w:t>
            </w:r>
            <w:r>
              <w:rPr>
                <w:spacing w:val="-5"/>
                <w:sz w:val="20"/>
              </w:rPr>
              <w:t> </w:t>
            </w:r>
            <w:r>
              <w:rPr>
                <w:sz w:val="20"/>
              </w:rPr>
              <w:t>R87.6,</w:t>
            </w:r>
            <w:r>
              <w:rPr>
                <w:spacing w:val="-9"/>
                <w:sz w:val="20"/>
              </w:rPr>
              <w:t> </w:t>
            </w:r>
            <w:r>
              <w:rPr>
                <w:sz w:val="20"/>
              </w:rPr>
              <w:t>R87.7,</w:t>
            </w:r>
            <w:r>
              <w:rPr>
                <w:spacing w:val="-5"/>
                <w:sz w:val="20"/>
              </w:rPr>
              <w:t> </w:t>
            </w:r>
            <w:r>
              <w:rPr>
                <w:sz w:val="20"/>
              </w:rPr>
              <w:t>R87.8,</w:t>
            </w:r>
            <w:r>
              <w:rPr>
                <w:spacing w:val="-4"/>
                <w:sz w:val="20"/>
              </w:rPr>
              <w:t> </w:t>
            </w:r>
            <w:r>
              <w:rPr>
                <w:spacing w:val="-2"/>
                <w:sz w:val="20"/>
              </w:rPr>
              <w:t>R87.9,</w:t>
            </w:r>
          </w:p>
          <w:p>
            <w:pPr>
              <w:pStyle w:val="TableParagraph"/>
              <w:spacing w:before="1"/>
              <w:ind w:left="306" w:right="208" w:hanging="2"/>
              <w:jc w:val="center"/>
              <w:rPr>
                <w:sz w:val="20"/>
              </w:rPr>
            </w:pPr>
            <w:r>
              <w:rPr>
                <w:sz w:val="20"/>
              </w:rPr>
              <w:t>S30.2, S31.4, S37.4, S37.40, S37.41, S37.5, S37.50, S37.51, S37.6, S37.60, S37.61, S38.0, S38.2,</w:t>
            </w:r>
            <w:r>
              <w:rPr>
                <w:spacing w:val="-7"/>
                <w:sz w:val="20"/>
              </w:rPr>
              <w:t> </w:t>
            </w:r>
            <w:r>
              <w:rPr>
                <w:sz w:val="20"/>
              </w:rPr>
              <w:t>T19.2,</w:t>
            </w:r>
            <w:r>
              <w:rPr>
                <w:spacing w:val="-7"/>
                <w:sz w:val="20"/>
              </w:rPr>
              <w:t> </w:t>
            </w:r>
            <w:r>
              <w:rPr>
                <w:sz w:val="20"/>
              </w:rPr>
              <w:t>T19.3,</w:t>
            </w:r>
            <w:r>
              <w:rPr>
                <w:spacing w:val="-7"/>
                <w:sz w:val="20"/>
              </w:rPr>
              <w:t> </w:t>
            </w:r>
            <w:r>
              <w:rPr>
                <w:sz w:val="20"/>
              </w:rPr>
              <w:t>T19.8,</w:t>
            </w:r>
            <w:r>
              <w:rPr>
                <w:spacing w:val="-7"/>
                <w:sz w:val="20"/>
              </w:rPr>
              <w:t> </w:t>
            </w:r>
            <w:r>
              <w:rPr>
                <w:sz w:val="20"/>
              </w:rPr>
              <w:t>T19.9,</w:t>
            </w:r>
            <w:r>
              <w:rPr>
                <w:spacing w:val="-7"/>
                <w:sz w:val="20"/>
              </w:rPr>
              <w:t> </w:t>
            </w:r>
            <w:r>
              <w:rPr>
                <w:sz w:val="20"/>
              </w:rPr>
              <w:t>T28.3,</w:t>
            </w:r>
            <w:r>
              <w:rPr>
                <w:spacing w:val="-7"/>
                <w:sz w:val="20"/>
              </w:rPr>
              <w:t> </w:t>
            </w:r>
            <w:r>
              <w:rPr>
                <w:sz w:val="20"/>
              </w:rPr>
              <w:t>T28.8, </w:t>
            </w:r>
            <w:r>
              <w:rPr>
                <w:spacing w:val="-2"/>
                <w:sz w:val="20"/>
              </w:rPr>
              <w:t>T83.3</w:t>
            </w:r>
          </w:p>
        </w:tc>
        <w:tc>
          <w:tcPr>
            <w:tcW w:w="3603" w:type="dxa"/>
          </w:tcPr>
          <w:p>
            <w:pPr>
              <w:pStyle w:val="TableParagraph"/>
              <w:spacing w:line="221" w:lineRule="exact"/>
              <w:ind w:right="194"/>
              <w:jc w:val="center"/>
              <w:rPr>
                <w:sz w:val="20"/>
              </w:rPr>
            </w:pPr>
            <w:r>
              <w:rPr>
                <w:w w:val="99"/>
                <w:sz w:val="20"/>
              </w:rPr>
              <w:t>-</w:t>
            </w:r>
          </w:p>
        </w:tc>
        <w:tc>
          <w:tcPr>
            <w:tcW w:w="2153" w:type="dxa"/>
          </w:tcPr>
          <w:p>
            <w:pPr>
              <w:pStyle w:val="TableParagraph"/>
              <w:spacing w:line="221" w:lineRule="exact"/>
              <w:ind w:left="345" w:right="563"/>
              <w:jc w:val="center"/>
              <w:rPr>
                <w:sz w:val="20"/>
              </w:rPr>
            </w:pPr>
            <w:r>
              <w:rPr>
                <w:sz w:val="20"/>
              </w:rPr>
              <w:t>Пол:</w:t>
            </w:r>
            <w:r>
              <w:rPr>
                <w:spacing w:val="-6"/>
                <w:sz w:val="20"/>
              </w:rPr>
              <w:t> </w:t>
            </w:r>
            <w:r>
              <w:rPr>
                <w:spacing w:val="-2"/>
                <w:sz w:val="20"/>
              </w:rPr>
              <w:t>Женский</w:t>
            </w:r>
          </w:p>
        </w:tc>
        <w:tc>
          <w:tcPr>
            <w:tcW w:w="973" w:type="dxa"/>
          </w:tcPr>
          <w:p>
            <w:pPr>
              <w:pStyle w:val="TableParagraph"/>
              <w:spacing w:line="221" w:lineRule="exact"/>
              <w:ind w:right="53"/>
              <w:jc w:val="right"/>
              <w:rPr>
                <w:sz w:val="20"/>
              </w:rPr>
            </w:pPr>
            <w:r>
              <w:rPr>
                <w:spacing w:val="-4"/>
                <w:sz w:val="20"/>
              </w:rPr>
              <w:t>0,46</w:t>
            </w:r>
          </w:p>
        </w:tc>
      </w:tr>
      <w:tr>
        <w:trPr>
          <w:trHeight w:val="734" w:hRule="atLeast"/>
        </w:trPr>
        <w:tc>
          <w:tcPr>
            <w:tcW w:w="971" w:type="dxa"/>
          </w:tcPr>
          <w:p>
            <w:pPr>
              <w:pStyle w:val="TableParagraph"/>
              <w:spacing w:before="46"/>
              <w:ind w:left="50"/>
              <w:rPr>
                <w:sz w:val="20"/>
              </w:rPr>
            </w:pPr>
            <w:r>
              <w:rPr>
                <w:spacing w:val="-2"/>
                <w:sz w:val="20"/>
              </w:rPr>
              <w:t>st02.010</w:t>
            </w:r>
          </w:p>
        </w:tc>
        <w:tc>
          <w:tcPr>
            <w:tcW w:w="657" w:type="dxa"/>
          </w:tcPr>
          <w:p>
            <w:pPr>
              <w:pStyle w:val="TableParagraph"/>
              <w:spacing w:before="46"/>
              <w:ind w:right="217"/>
              <w:jc w:val="right"/>
              <w:rPr>
                <w:sz w:val="20"/>
              </w:rPr>
            </w:pPr>
            <w:r>
              <w:rPr>
                <w:spacing w:val="-5"/>
                <w:sz w:val="20"/>
              </w:rPr>
              <w:t>11</w:t>
            </w:r>
          </w:p>
        </w:tc>
        <w:tc>
          <w:tcPr>
            <w:tcW w:w="2465" w:type="dxa"/>
          </w:tcPr>
          <w:p>
            <w:pPr>
              <w:pStyle w:val="TableParagraph"/>
              <w:spacing w:before="46"/>
              <w:ind w:left="217" w:right="255"/>
              <w:rPr>
                <w:sz w:val="20"/>
              </w:rPr>
            </w:pPr>
            <w:r>
              <w:rPr>
                <w:sz w:val="20"/>
              </w:rPr>
              <w:t>Операции</w:t>
            </w:r>
            <w:r>
              <w:rPr>
                <w:spacing w:val="-13"/>
                <w:sz w:val="20"/>
              </w:rPr>
              <w:t> </w:t>
            </w:r>
            <w:r>
              <w:rPr>
                <w:sz w:val="20"/>
              </w:rPr>
              <w:t>на</w:t>
            </w:r>
            <w:r>
              <w:rPr>
                <w:spacing w:val="-12"/>
                <w:sz w:val="20"/>
              </w:rPr>
              <w:t> </w:t>
            </w:r>
            <w:r>
              <w:rPr>
                <w:sz w:val="20"/>
              </w:rPr>
              <w:t>женских половых органах</w:t>
            </w:r>
          </w:p>
          <w:p>
            <w:pPr>
              <w:pStyle w:val="TableParagraph"/>
              <w:spacing w:line="208" w:lineRule="exact"/>
              <w:ind w:left="217"/>
              <w:rPr>
                <w:sz w:val="20"/>
              </w:rPr>
            </w:pPr>
            <w:r>
              <w:rPr>
                <w:sz w:val="20"/>
              </w:rPr>
              <w:t>(уровень</w:t>
            </w:r>
            <w:r>
              <w:rPr>
                <w:spacing w:val="-10"/>
                <w:sz w:val="20"/>
              </w:rPr>
              <w:t> </w:t>
            </w:r>
            <w:r>
              <w:rPr>
                <w:spacing w:val="-5"/>
                <w:sz w:val="20"/>
              </w:rPr>
              <w:t>1)</w:t>
            </w:r>
          </w:p>
        </w:tc>
        <w:tc>
          <w:tcPr>
            <w:tcW w:w="4457" w:type="dxa"/>
          </w:tcPr>
          <w:p>
            <w:pPr>
              <w:pStyle w:val="TableParagraph"/>
              <w:spacing w:before="46"/>
              <w:ind w:left="101"/>
              <w:jc w:val="center"/>
              <w:rPr>
                <w:sz w:val="20"/>
              </w:rPr>
            </w:pPr>
            <w:r>
              <w:rPr>
                <w:w w:val="99"/>
                <w:sz w:val="20"/>
              </w:rPr>
              <w:t>-</w:t>
            </w:r>
          </w:p>
        </w:tc>
        <w:tc>
          <w:tcPr>
            <w:tcW w:w="3603" w:type="dxa"/>
          </w:tcPr>
          <w:p>
            <w:pPr>
              <w:pStyle w:val="TableParagraph"/>
              <w:spacing w:before="46"/>
              <w:ind w:left="508" w:right="706" w:firstLine="2"/>
              <w:jc w:val="center"/>
              <w:rPr>
                <w:sz w:val="20"/>
              </w:rPr>
            </w:pPr>
            <w:r>
              <w:rPr>
                <w:sz w:val="20"/>
              </w:rPr>
              <w:t>A11.20.007, A11.20.008, A11.20.011.003,</w:t>
            </w:r>
            <w:r>
              <w:rPr>
                <w:spacing w:val="-13"/>
                <w:sz w:val="20"/>
              </w:rPr>
              <w:t> </w:t>
            </w:r>
            <w:r>
              <w:rPr>
                <w:sz w:val="20"/>
              </w:rPr>
              <w:t>A11.20.015,</w:t>
            </w:r>
          </w:p>
          <w:p>
            <w:pPr>
              <w:pStyle w:val="TableParagraph"/>
              <w:spacing w:line="208" w:lineRule="exact"/>
              <w:ind w:left="160" w:right="359"/>
              <w:jc w:val="center"/>
              <w:rPr>
                <w:sz w:val="20"/>
              </w:rPr>
            </w:pPr>
            <w:r>
              <w:rPr>
                <w:sz w:val="20"/>
              </w:rPr>
              <w:t>A14.20.002,</w:t>
            </w:r>
            <w:r>
              <w:rPr>
                <w:spacing w:val="-9"/>
                <w:sz w:val="20"/>
              </w:rPr>
              <w:t> </w:t>
            </w:r>
            <w:r>
              <w:rPr>
                <w:sz w:val="20"/>
              </w:rPr>
              <w:t>A16.20.021,</w:t>
            </w:r>
            <w:r>
              <w:rPr>
                <w:spacing w:val="-10"/>
                <w:sz w:val="20"/>
              </w:rPr>
              <w:t> </w:t>
            </w:r>
            <w:r>
              <w:rPr>
                <w:spacing w:val="-2"/>
                <w:sz w:val="20"/>
              </w:rPr>
              <w:t>A16.20.025,</w:t>
            </w:r>
          </w:p>
        </w:tc>
        <w:tc>
          <w:tcPr>
            <w:tcW w:w="2153" w:type="dxa"/>
          </w:tcPr>
          <w:p>
            <w:pPr>
              <w:pStyle w:val="TableParagraph"/>
              <w:spacing w:before="46"/>
              <w:ind w:right="217"/>
              <w:jc w:val="center"/>
              <w:rPr>
                <w:sz w:val="20"/>
              </w:rPr>
            </w:pPr>
            <w:r>
              <w:rPr>
                <w:w w:val="99"/>
                <w:sz w:val="20"/>
              </w:rPr>
              <w:t>-</w:t>
            </w:r>
          </w:p>
        </w:tc>
        <w:tc>
          <w:tcPr>
            <w:tcW w:w="973" w:type="dxa"/>
          </w:tcPr>
          <w:p>
            <w:pPr>
              <w:pStyle w:val="TableParagraph"/>
              <w:spacing w:before="46"/>
              <w:ind w:right="53"/>
              <w:jc w:val="right"/>
              <w:rPr>
                <w:sz w:val="20"/>
              </w:rPr>
            </w:pPr>
            <w:r>
              <w:rPr>
                <w:spacing w:val="-4"/>
                <w:sz w:val="20"/>
              </w:rPr>
              <w:t>0,39</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400"/>
        <w:gridCol w:w="2531"/>
        <w:gridCol w:w="4881"/>
        <w:gridCol w:w="1574"/>
        <w:gridCol w:w="1261"/>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400" w:type="dxa"/>
            <w:vMerge w:val="restart"/>
          </w:tcPr>
          <w:p>
            <w:pPr>
              <w:pStyle w:val="TableParagraph"/>
              <w:rPr>
                <w:sz w:val="18"/>
              </w:rPr>
            </w:pPr>
          </w:p>
        </w:tc>
        <w:tc>
          <w:tcPr>
            <w:tcW w:w="2531" w:type="dxa"/>
            <w:vMerge w:val="restart"/>
          </w:tcPr>
          <w:p>
            <w:pPr>
              <w:pStyle w:val="TableParagraph"/>
              <w:rPr>
                <w:sz w:val="18"/>
              </w:rPr>
            </w:pPr>
          </w:p>
        </w:tc>
        <w:tc>
          <w:tcPr>
            <w:tcW w:w="4881" w:type="dxa"/>
          </w:tcPr>
          <w:p>
            <w:pPr>
              <w:pStyle w:val="TableParagraph"/>
              <w:spacing w:line="205" w:lineRule="exact"/>
              <w:ind w:left="1148" w:right="644"/>
              <w:jc w:val="center"/>
              <w:rPr>
                <w:sz w:val="20"/>
              </w:rPr>
            </w:pPr>
            <w:r>
              <w:rPr>
                <w:w w:val="95"/>
                <w:sz w:val="20"/>
              </w:rPr>
              <w:t>A16.20.025.001,</w:t>
            </w:r>
            <w:r>
              <w:rPr>
                <w:spacing w:val="54"/>
                <w:sz w:val="20"/>
              </w:rPr>
              <w:t> </w:t>
            </w:r>
            <w:r>
              <w:rPr>
                <w:spacing w:val="-2"/>
                <w:sz w:val="20"/>
              </w:rPr>
              <w:t>A16.20.036,</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A16.20.036.001,</w:t>
            </w:r>
            <w:r>
              <w:rPr>
                <w:spacing w:val="54"/>
                <w:sz w:val="20"/>
              </w:rPr>
              <w:t> </w:t>
            </w:r>
            <w:r>
              <w:rPr>
                <w:spacing w:val="-2"/>
                <w:sz w:val="20"/>
              </w:rPr>
              <w:t>A16.20.036.002,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A16.20.036.003,</w:t>
            </w:r>
            <w:r>
              <w:rPr>
                <w:spacing w:val="54"/>
                <w:sz w:val="20"/>
              </w:rPr>
              <w:t> </w:t>
            </w:r>
            <w:r>
              <w:rPr>
                <w:spacing w:val="-2"/>
                <w:sz w:val="20"/>
              </w:rPr>
              <w:t>A16.20.036.004,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A16.20.054,</w:t>
            </w:r>
            <w:r>
              <w:rPr>
                <w:spacing w:val="-9"/>
                <w:sz w:val="20"/>
              </w:rPr>
              <w:t> </w:t>
            </w:r>
            <w:r>
              <w:rPr>
                <w:spacing w:val="-2"/>
                <w:sz w:val="20"/>
              </w:rPr>
              <w:t>A16.20.054.002,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sz w:val="20"/>
              </w:rPr>
              <w:t>A16.20.055,</w:t>
            </w:r>
            <w:r>
              <w:rPr>
                <w:spacing w:val="-8"/>
                <w:sz w:val="20"/>
              </w:rPr>
              <w:t> </w:t>
            </w:r>
            <w:r>
              <w:rPr>
                <w:sz w:val="20"/>
              </w:rPr>
              <w:t>A16.20.059,</w:t>
            </w:r>
            <w:r>
              <w:rPr>
                <w:spacing w:val="-8"/>
                <w:sz w:val="20"/>
              </w:rPr>
              <w:t> </w:t>
            </w:r>
            <w:r>
              <w:rPr>
                <w:spacing w:val="-2"/>
                <w:sz w:val="20"/>
              </w:rPr>
              <w:t>A16.20.066,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26" w:lineRule="exact"/>
              <w:ind w:left="1148" w:right="644"/>
              <w:jc w:val="center"/>
              <w:rPr>
                <w:sz w:val="20"/>
              </w:rPr>
            </w:pPr>
            <w:r>
              <w:rPr>
                <w:sz w:val="20"/>
              </w:rPr>
              <w:t>A16.20.080,</w:t>
            </w:r>
            <w:r>
              <w:rPr>
                <w:spacing w:val="-9"/>
                <w:sz w:val="20"/>
              </w:rPr>
              <w:t> </w:t>
            </w:r>
            <w:r>
              <w:rPr>
                <w:spacing w:val="-2"/>
                <w:sz w:val="20"/>
              </w:rPr>
              <w:t>A16.20.084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st02.011</w:t>
            </w:r>
          </w:p>
        </w:tc>
        <w:tc>
          <w:tcPr>
            <w:tcW w:w="657" w:type="dxa"/>
          </w:tcPr>
          <w:p>
            <w:pPr>
              <w:pStyle w:val="TableParagraph"/>
              <w:spacing w:line="215" w:lineRule="exact" w:before="45"/>
              <w:ind w:right="217"/>
              <w:jc w:val="right"/>
              <w:rPr>
                <w:sz w:val="20"/>
              </w:rPr>
            </w:pPr>
            <w:r>
              <w:rPr>
                <w:spacing w:val="-5"/>
                <w:sz w:val="20"/>
              </w:rPr>
              <w:t>12</w:t>
            </w:r>
          </w:p>
        </w:tc>
        <w:tc>
          <w:tcPr>
            <w:tcW w:w="3400" w:type="dxa"/>
          </w:tcPr>
          <w:p>
            <w:pPr>
              <w:pStyle w:val="TableParagraph"/>
              <w:spacing w:line="215" w:lineRule="exact" w:before="45"/>
              <w:ind w:left="217"/>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31"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6" w:right="644"/>
              <w:jc w:val="center"/>
              <w:rPr>
                <w:sz w:val="20"/>
              </w:rPr>
            </w:pPr>
            <w:r>
              <w:rPr>
                <w:sz w:val="20"/>
              </w:rPr>
              <w:t>A03.20.003,</w:t>
            </w:r>
            <w:r>
              <w:rPr>
                <w:spacing w:val="-9"/>
                <w:sz w:val="20"/>
              </w:rPr>
              <w:t> </w:t>
            </w:r>
            <w:r>
              <w:rPr>
                <w:sz w:val="20"/>
              </w:rPr>
              <w:t>A06.20.001,</w:t>
            </w:r>
            <w:r>
              <w:rPr>
                <w:spacing w:val="-10"/>
                <w:sz w:val="20"/>
              </w:rPr>
              <w:t> </w:t>
            </w:r>
            <w:r>
              <w:rPr>
                <w:spacing w:val="-2"/>
                <w:sz w:val="20"/>
              </w:rPr>
              <w:t>A16.20.009,</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0,58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1" w:lineRule="exact"/>
              <w:ind w:left="217"/>
              <w:rPr>
                <w:sz w:val="20"/>
              </w:rPr>
            </w:pPr>
            <w:r>
              <w:rPr>
                <w:sz w:val="20"/>
              </w:rPr>
              <w:t>половых</w:t>
            </w:r>
            <w:r>
              <w:rPr>
                <w:spacing w:val="-9"/>
                <w:sz w:val="20"/>
              </w:rPr>
              <w:t> </w:t>
            </w:r>
            <w:r>
              <w:rPr>
                <w:spacing w:val="-2"/>
                <w:sz w:val="20"/>
              </w:rPr>
              <w:t>органах</w:t>
            </w:r>
          </w:p>
        </w:tc>
        <w:tc>
          <w:tcPr>
            <w:tcW w:w="2531" w:type="dxa"/>
          </w:tcPr>
          <w:p>
            <w:pPr>
              <w:pStyle w:val="TableParagraph"/>
              <w:rPr>
                <w:sz w:val="16"/>
              </w:rPr>
            </w:pPr>
          </w:p>
        </w:tc>
        <w:tc>
          <w:tcPr>
            <w:tcW w:w="4881" w:type="dxa"/>
          </w:tcPr>
          <w:p>
            <w:pPr>
              <w:pStyle w:val="TableParagraph"/>
              <w:spacing w:line="211" w:lineRule="exact"/>
              <w:ind w:left="1146" w:right="644"/>
              <w:jc w:val="center"/>
              <w:rPr>
                <w:sz w:val="20"/>
              </w:rPr>
            </w:pPr>
            <w:r>
              <w:rPr>
                <w:sz w:val="20"/>
              </w:rPr>
              <w:t>A16.20.016,</w:t>
            </w:r>
            <w:r>
              <w:rPr>
                <w:spacing w:val="-9"/>
                <w:sz w:val="20"/>
              </w:rPr>
              <w:t> </w:t>
            </w:r>
            <w:r>
              <w:rPr>
                <w:sz w:val="20"/>
              </w:rPr>
              <w:t>A16.20.018,</w:t>
            </w:r>
            <w:r>
              <w:rPr>
                <w:spacing w:val="-10"/>
                <w:sz w:val="20"/>
              </w:rPr>
              <w:t> </w:t>
            </w:r>
            <w:r>
              <w:rPr>
                <w:spacing w:val="-2"/>
                <w:sz w:val="20"/>
              </w:rPr>
              <w:t>A16.20.022,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0" w:lineRule="exact"/>
              <w:ind w:left="217"/>
              <w:rPr>
                <w:sz w:val="20"/>
              </w:rPr>
            </w:pPr>
            <w:r>
              <w:rPr>
                <w:sz w:val="20"/>
              </w:rPr>
              <w:t>(уровень</w:t>
            </w:r>
            <w:r>
              <w:rPr>
                <w:spacing w:val="-10"/>
                <w:sz w:val="20"/>
              </w:rPr>
              <w:t> </w:t>
            </w:r>
            <w:r>
              <w:rPr>
                <w:spacing w:val="-5"/>
                <w:sz w:val="20"/>
              </w:rPr>
              <w:t>2)</w:t>
            </w:r>
          </w:p>
        </w:tc>
        <w:tc>
          <w:tcPr>
            <w:tcW w:w="2531"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A16.20.026,</w:t>
            </w:r>
            <w:r>
              <w:rPr>
                <w:spacing w:val="-9"/>
                <w:sz w:val="20"/>
              </w:rPr>
              <w:t> </w:t>
            </w:r>
            <w:r>
              <w:rPr>
                <w:spacing w:val="-2"/>
                <w:sz w:val="20"/>
              </w:rPr>
              <w:t>A16.20.027,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A16.20.028.002,</w:t>
            </w:r>
            <w:r>
              <w:rPr>
                <w:spacing w:val="54"/>
                <w:sz w:val="20"/>
              </w:rPr>
              <w:t> </w:t>
            </w:r>
            <w:r>
              <w:rPr>
                <w:spacing w:val="-2"/>
                <w:sz w:val="20"/>
              </w:rPr>
              <w:t>A16.20.028.003,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50" w:right="643"/>
              <w:jc w:val="center"/>
              <w:rPr>
                <w:sz w:val="20"/>
              </w:rPr>
            </w:pPr>
            <w:r>
              <w:rPr>
                <w:w w:val="95"/>
                <w:sz w:val="20"/>
              </w:rPr>
              <w:t>A16.20.028.004,</w:t>
            </w:r>
            <w:r>
              <w:rPr>
                <w:spacing w:val="54"/>
                <w:sz w:val="20"/>
              </w:rPr>
              <w:t> </w:t>
            </w:r>
            <w:r>
              <w:rPr>
                <w:spacing w:val="-2"/>
                <w:sz w:val="20"/>
              </w:rPr>
              <w:t>A16.20.029,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A16.20.040,</w:t>
            </w:r>
            <w:r>
              <w:rPr>
                <w:spacing w:val="-9"/>
                <w:sz w:val="20"/>
              </w:rPr>
              <w:t> </w:t>
            </w:r>
            <w:r>
              <w:rPr>
                <w:spacing w:val="-2"/>
                <w:sz w:val="20"/>
              </w:rPr>
              <w:t>A16.20.041,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A16.20.041.001,</w:t>
            </w:r>
            <w:r>
              <w:rPr>
                <w:spacing w:val="54"/>
                <w:sz w:val="20"/>
              </w:rPr>
              <w:t> </w:t>
            </w:r>
            <w:r>
              <w:rPr>
                <w:spacing w:val="-2"/>
                <w:sz w:val="20"/>
              </w:rPr>
              <w:t>A16.20.054.001,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A16.20.056,</w:t>
            </w:r>
            <w:r>
              <w:rPr>
                <w:spacing w:val="-9"/>
                <w:sz w:val="20"/>
              </w:rPr>
              <w:t> </w:t>
            </w:r>
            <w:r>
              <w:rPr>
                <w:spacing w:val="-2"/>
                <w:sz w:val="20"/>
              </w:rPr>
              <w:t>A16.20.059.002,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A16.20.059.003,</w:t>
            </w:r>
            <w:r>
              <w:rPr>
                <w:spacing w:val="54"/>
                <w:sz w:val="20"/>
              </w:rPr>
              <w:t> </w:t>
            </w:r>
            <w:r>
              <w:rPr>
                <w:spacing w:val="-2"/>
                <w:sz w:val="20"/>
              </w:rPr>
              <w:t>A16.20.060,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A16.20.065,</w:t>
            </w:r>
            <w:r>
              <w:rPr>
                <w:spacing w:val="-9"/>
                <w:sz w:val="20"/>
              </w:rPr>
              <w:t> </w:t>
            </w:r>
            <w:r>
              <w:rPr>
                <w:sz w:val="20"/>
              </w:rPr>
              <w:t>A16.20.067,</w:t>
            </w:r>
            <w:r>
              <w:rPr>
                <w:spacing w:val="-10"/>
                <w:sz w:val="20"/>
              </w:rPr>
              <w:t> </w:t>
            </w:r>
            <w:r>
              <w:rPr>
                <w:spacing w:val="-2"/>
                <w:sz w:val="20"/>
              </w:rPr>
              <w:t>A16.20.068,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A16.20.069,</w:t>
            </w:r>
            <w:r>
              <w:rPr>
                <w:spacing w:val="-9"/>
                <w:sz w:val="20"/>
              </w:rPr>
              <w:t> </w:t>
            </w:r>
            <w:r>
              <w:rPr>
                <w:sz w:val="20"/>
              </w:rPr>
              <w:t>A16.20.072,</w:t>
            </w:r>
            <w:r>
              <w:rPr>
                <w:spacing w:val="-10"/>
                <w:sz w:val="20"/>
              </w:rPr>
              <w:t> </w:t>
            </w:r>
            <w:r>
              <w:rPr>
                <w:spacing w:val="-2"/>
                <w:sz w:val="20"/>
              </w:rPr>
              <w:t>A16.20.075,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6" w:right="644"/>
              <w:jc w:val="center"/>
              <w:rPr>
                <w:sz w:val="20"/>
              </w:rPr>
            </w:pPr>
            <w:r>
              <w:rPr>
                <w:sz w:val="20"/>
              </w:rPr>
              <w:t>A16.20.081,</w:t>
            </w:r>
            <w:r>
              <w:rPr>
                <w:spacing w:val="-9"/>
                <w:sz w:val="20"/>
              </w:rPr>
              <w:t> </w:t>
            </w:r>
            <w:r>
              <w:rPr>
                <w:sz w:val="20"/>
              </w:rPr>
              <w:t>A16.20.083,</w:t>
            </w:r>
            <w:r>
              <w:rPr>
                <w:spacing w:val="-10"/>
                <w:sz w:val="20"/>
              </w:rPr>
              <w:t> </w:t>
            </w:r>
            <w:r>
              <w:rPr>
                <w:spacing w:val="-2"/>
                <w:sz w:val="20"/>
              </w:rPr>
              <w:t>A16.20.089,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A16.20.096,</w:t>
            </w:r>
            <w:r>
              <w:rPr>
                <w:spacing w:val="-9"/>
                <w:sz w:val="20"/>
              </w:rPr>
              <w:t> </w:t>
            </w:r>
            <w:r>
              <w:rPr>
                <w:spacing w:val="-2"/>
                <w:sz w:val="20"/>
              </w:rPr>
              <w:t>A16.20.096.001,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400" w:type="dxa"/>
          </w:tcPr>
          <w:p>
            <w:pPr>
              <w:pStyle w:val="TableParagraph"/>
              <w:rPr>
                <w:sz w:val="18"/>
              </w:rPr>
            </w:pPr>
          </w:p>
        </w:tc>
        <w:tc>
          <w:tcPr>
            <w:tcW w:w="2531" w:type="dxa"/>
          </w:tcPr>
          <w:p>
            <w:pPr>
              <w:pStyle w:val="TableParagraph"/>
              <w:rPr>
                <w:sz w:val="18"/>
              </w:rPr>
            </w:pPr>
          </w:p>
        </w:tc>
        <w:tc>
          <w:tcPr>
            <w:tcW w:w="4881" w:type="dxa"/>
          </w:tcPr>
          <w:p>
            <w:pPr>
              <w:pStyle w:val="TableParagraph"/>
              <w:spacing w:line="226" w:lineRule="exact"/>
              <w:ind w:left="1147" w:right="644"/>
              <w:jc w:val="center"/>
              <w:rPr>
                <w:sz w:val="20"/>
              </w:rPr>
            </w:pPr>
            <w:r>
              <w:rPr>
                <w:sz w:val="20"/>
              </w:rPr>
              <w:t>A16.20.097,</w:t>
            </w:r>
            <w:r>
              <w:rPr>
                <w:spacing w:val="-9"/>
                <w:sz w:val="20"/>
              </w:rPr>
              <w:t> </w:t>
            </w:r>
            <w:r>
              <w:rPr>
                <w:spacing w:val="-2"/>
                <w:sz w:val="20"/>
              </w:rPr>
              <w:t>A16.30.036.002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st02.012</w:t>
            </w:r>
          </w:p>
        </w:tc>
        <w:tc>
          <w:tcPr>
            <w:tcW w:w="657" w:type="dxa"/>
          </w:tcPr>
          <w:p>
            <w:pPr>
              <w:pStyle w:val="TableParagraph"/>
              <w:spacing w:line="214" w:lineRule="exact" w:before="46"/>
              <w:ind w:right="217"/>
              <w:jc w:val="right"/>
              <w:rPr>
                <w:sz w:val="20"/>
              </w:rPr>
            </w:pPr>
            <w:r>
              <w:rPr>
                <w:spacing w:val="-5"/>
                <w:sz w:val="20"/>
              </w:rPr>
              <w:t>13</w:t>
            </w:r>
          </w:p>
        </w:tc>
        <w:tc>
          <w:tcPr>
            <w:tcW w:w="3400"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31" w:type="dxa"/>
          </w:tcPr>
          <w:p>
            <w:pPr>
              <w:pStyle w:val="TableParagraph"/>
              <w:spacing w:line="214" w:lineRule="exact" w:before="46"/>
              <w:ind w:right="1151"/>
              <w:jc w:val="right"/>
              <w:rPr>
                <w:sz w:val="20"/>
              </w:rPr>
            </w:pPr>
            <w:r>
              <w:rPr>
                <w:w w:val="99"/>
                <w:sz w:val="20"/>
              </w:rPr>
              <w:t>-</w:t>
            </w:r>
          </w:p>
        </w:tc>
        <w:tc>
          <w:tcPr>
            <w:tcW w:w="4881" w:type="dxa"/>
          </w:tcPr>
          <w:p>
            <w:pPr>
              <w:pStyle w:val="TableParagraph"/>
              <w:spacing w:line="214" w:lineRule="exact" w:before="46"/>
              <w:ind w:left="1148" w:right="644"/>
              <w:jc w:val="center"/>
              <w:rPr>
                <w:sz w:val="20"/>
              </w:rPr>
            </w:pPr>
            <w:r>
              <w:rPr>
                <w:w w:val="95"/>
                <w:sz w:val="20"/>
              </w:rPr>
              <w:t>A03.20.003.001,</w:t>
            </w:r>
            <w:r>
              <w:rPr>
                <w:spacing w:val="54"/>
                <w:sz w:val="20"/>
              </w:rPr>
              <w:t> </w:t>
            </w:r>
            <w:r>
              <w:rPr>
                <w:spacing w:val="-2"/>
                <w:sz w:val="20"/>
              </w:rPr>
              <w:t>A16.20.001,</w:t>
            </w:r>
          </w:p>
        </w:tc>
        <w:tc>
          <w:tcPr>
            <w:tcW w:w="1574" w:type="dxa"/>
          </w:tcPr>
          <w:p>
            <w:pPr>
              <w:pStyle w:val="TableParagraph"/>
              <w:spacing w:line="214" w:lineRule="exact" w:before="46"/>
              <w:ind w:left="646"/>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1,17</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09" w:lineRule="exact"/>
              <w:ind w:left="217"/>
              <w:rPr>
                <w:sz w:val="20"/>
              </w:rPr>
            </w:pPr>
            <w:r>
              <w:rPr>
                <w:sz w:val="20"/>
              </w:rPr>
              <w:t>половых</w:t>
            </w:r>
            <w:r>
              <w:rPr>
                <w:spacing w:val="-9"/>
                <w:sz w:val="20"/>
              </w:rPr>
              <w:t> </w:t>
            </w:r>
            <w:r>
              <w:rPr>
                <w:spacing w:val="-2"/>
                <w:sz w:val="20"/>
              </w:rPr>
              <w:t>органах</w:t>
            </w:r>
          </w:p>
        </w:tc>
        <w:tc>
          <w:tcPr>
            <w:tcW w:w="253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A16.20.001.001,</w:t>
            </w:r>
            <w:r>
              <w:rPr>
                <w:spacing w:val="54"/>
                <w:sz w:val="20"/>
              </w:rPr>
              <w:t> </w:t>
            </w:r>
            <w:r>
              <w:rPr>
                <w:spacing w:val="-2"/>
                <w:sz w:val="20"/>
              </w:rPr>
              <w:t>A16.20.002,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0" w:lineRule="exact"/>
              <w:ind w:left="217"/>
              <w:rPr>
                <w:sz w:val="20"/>
              </w:rPr>
            </w:pPr>
            <w:r>
              <w:rPr>
                <w:sz w:val="20"/>
              </w:rPr>
              <w:t>(уровень</w:t>
            </w:r>
            <w:r>
              <w:rPr>
                <w:spacing w:val="-10"/>
                <w:sz w:val="20"/>
              </w:rPr>
              <w:t> </w:t>
            </w:r>
            <w:r>
              <w:rPr>
                <w:spacing w:val="-5"/>
                <w:sz w:val="20"/>
              </w:rPr>
              <w:t>3)</w:t>
            </w: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A16.20.002.001,</w:t>
            </w:r>
            <w:r>
              <w:rPr>
                <w:spacing w:val="54"/>
                <w:sz w:val="20"/>
              </w:rPr>
              <w:t> </w:t>
            </w:r>
            <w:r>
              <w:rPr>
                <w:spacing w:val="-2"/>
                <w:sz w:val="20"/>
              </w:rPr>
              <w:t>A16.20.002.002,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A16.20.002.003,</w:t>
            </w:r>
            <w:r>
              <w:rPr>
                <w:spacing w:val="54"/>
                <w:sz w:val="20"/>
              </w:rPr>
              <w:t> </w:t>
            </w:r>
            <w:r>
              <w:rPr>
                <w:spacing w:val="-2"/>
                <w:sz w:val="20"/>
              </w:rPr>
              <w:t>A16.20.003,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A16.20.003.001,</w:t>
            </w:r>
            <w:r>
              <w:rPr>
                <w:spacing w:val="54"/>
                <w:sz w:val="20"/>
              </w:rPr>
              <w:t> </w:t>
            </w:r>
            <w:r>
              <w:rPr>
                <w:spacing w:val="-2"/>
                <w:sz w:val="20"/>
              </w:rPr>
              <w:t>A16.20.003.004,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A16.20.003.006,</w:t>
            </w:r>
            <w:r>
              <w:rPr>
                <w:spacing w:val="56"/>
                <w:sz w:val="20"/>
              </w:rPr>
              <w:t> </w:t>
            </w:r>
            <w:r>
              <w:rPr>
                <w:spacing w:val="-2"/>
                <w:sz w:val="20"/>
              </w:rPr>
              <w:t>A16.20.003.007,</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A16.20.004,</w:t>
            </w:r>
            <w:r>
              <w:rPr>
                <w:spacing w:val="-9"/>
                <w:sz w:val="20"/>
              </w:rPr>
              <w:t> </w:t>
            </w:r>
            <w:r>
              <w:rPr>
                <w:spacing w:val="-2"/>
                <w:sz w:val="20"/>
              </w:rPr>
              <w:t>A16.20.004.001,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6" w:right="644"/>
              <w:jc w:val="center"/>
              <w:rPr>
                <w:sz w:val="20"/>
              </w:rPr>
            </w:pPr>
            <w:r>
              <w:rPr>
                <w:sz w:val="20"/>
              </w:rPr>
              <w:t>A16.20.006,</w:t>
            </w:r>
            <w:r>
              <w:rPr>
                <w:spacing w:val="-9"/>
                <w:sz w:val="20"/>
              </w:rPr>
              <w:t> </w:t>
            </w:r>
            <w:r>
              <w:rPr>
                <w:sz w:val="20"/>
              </w:rPr>
              <w:t>A16.20.008,</w:t>
            </w:r>
            <w:r>
              <w:rPr>
                <w:spacing w:val="-10"/>
                <w:sz w:val="20"/>
              </w:rPr>
              <w:t> </w:t>
            </w:r>
            <w:r>
              <w:rPr>
                <w:spacing w:val="-2"/>
                <w:sz w:val="20"/>
              </w:rPr>
              <w:t>A16.20.010,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1" w:lineRule="exact"/>
              <w:ind w:left="1148" w:right="644"/>
              <w:jc w:val="center"/>
              <w:rPr>
                <w:sz w:val="20"/>
              </w:rPr>
            </w:pPr>
            <w:r>
              <w:rPr>
                <w:sz w:val="20"/>
              </w:rPr>
              <w:t>A16.20.011,</w:t>
            </w:r>
            <w:r>
              <w:rPr>
                <w:spacing w:val="-9"/>
                <w:sz w:val="20"/>
              </w:rPr>
              <w:t> </w:t>
            </w:r>
            <w:r>
              <w:rPr>
                <w:spacing w:val="-2"/>
                <w:sz w:val="20"/>
              </w:rPr>
              <w:t>A16.20.011.002,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A16.20.011.006,</w:t>
            </w:r>
            <w:r>
              <w:rPr>
                <w:spacing w:val="54"/>
                <w:sz w:val="20"/>
              </w:rPr>
              <w:t> </w:t>
            </w:r>
            <w:r>
              <w:rPr>
                <w:spacing w:val="-2"/>
                <w:sz w:val="20"/>
              </w:rPr>
              <w:t>A16.20.011.008,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A16.20.011.012,</w:t>
            </w:r>
            <w:r>
              <w:rPr>
                <w:spacing w:val="54"/>
                <w:sz w:val="20"/>
              </w:rPr>
              <w:t> </w:t>
            </w:r>
            <w:r>
              <w:rPr>
                <w:spacing w:val="-2"/>
                <w:sz w:val="20"/>
              </w:rPr>
              <w:t>A16.20.012,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A16.20.017,</w:t>
            </w:r>
            <w:r>
              <w:rPr>
                <w:spacing w:val="-9"/>
                <w:sz w:val="20"/>
              </w:rPr>
              <w:t> </w:t>
            </w:r>
            <w:r>
              <w:rPr>
                <w:spacing w:val="-2"/>
                <w:sz w:val="20"/>
              </w:rPr>
              <w:t>A16.20.017.001,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A16.20.019,</w:t>
            </w:r>
            <w:r>
              <w:rPr>
                <w:spacing w:val="-9"/>
                <w:sz w:val="20"/>
              </w:rPr>
              <w:t> </w:t>
            </w:r>
            <w:r>
              <w:rPr>
                <w:spacing w:val="-2"/>
                <w:sz w:val="20"/>
              </w:rPr>
              <w:t>A16.20.020,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50" w:right="642"/>
              <w:jc w:val="center"/>
              <w:rPr>
                <w:sz w:val="20"/>
              </w:rPr>
            </w:pPr>
            <w:r>
              <w:rPr>
                <w:w w:val="95"/>
                <w:sz w:val="20"/>
              </w:rPr>
              <w:t>A16.20.027.001,</w:t>
            </w:r>
            <w:r>
              <w:rPr>
                <w:spacing w:val="54"/>
                <w:sz w:val="20"/>
              </w:rPr>
              <w:t> </w:t>
            </w:r>
            <w:r>
              <w:rPr>
                <w:spacing w:val="-2"/>
                <w:sz w:val="20"/>
              </w:rPr>
              <w:t>A16.20.027.002,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A16.20.035,</w:t>
            </w:r>
            <w:r>
              <w:rPr>
                <w:spacing w:val="-9"/>
                <w:sz w:val="20"/>
              </w:rPr>
              <w:t> </w:t>
            </w:r>
            <w:r>
              <w:rPr>
                <w:sz w:val="20"/>
              </w:rPr>
              <w:t>A16.20.038,</w:t>
            </w:r>
            <w:r>
              <w:rPr>
                <w:spacing w:val="-10"/>
                <w:sz w:val="20"/>
              </w:rPr>
              <w:t> </w:t>
            </w:r>
            <w:r>
              <w:rPr>
                <w:spacing w:val="-2"/>
                <w:sz w:val="20"/>
              </w:rPr>
              <w:t>A16.20.057,</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5" w:lineRule="exact"/>
              <w:ind w:left="1147" w:right="644"/>
              <w:jc w:val="center"/>
              <w:rPr>
                <w:sz w:val="20"/>
              </w:rPr>
            </w:pPr>
            <w:r>
              <w:rPr>
                <w:w w:val="95"/>
                <w:sz w:val="20"/>
              </w:rPr>
              <w:t>A16.20.057.001,</w:t>
            </w:r>
            <w:r>
              <w:rPr>
                <w:spacing w:val="54"/>
                <w:sz w:val="20"/>
              </w:rPr>
              <w:t> </w:t>
            </w:r>
            <w:r>
              <w:rPr>
                <w:spacing w:val="-2"/>
                <w:sz w:val="20"/>
              </w:rPr>
              <w:t>A16.20.057.002,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400"/>
        <w:gridCol w:w="2617"/>
        <w:gridCol w:w="4710"/>
        <w:gridCol w:w="1658"/>
        <w:gridCol w:w="1261"/>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400" w:type="dxa"/>
            <w:vMerge w:val="restart"/>
          </w:tcPr>
          <w:p>
            <w:pPr>
              <w:pStyle w:val="TableParagraph"/>
              <w:rPr>
                <w:sz w:val="18"/>
              </w:rPr>
            </w:pPr>
          </w:p>
        </w:tc>
        <w:tc>
          <w:tcPr>
            <w:tcW w:w="2617" w:type="dxa"/>
            <w:vMerge w:val="restart"/>
          </w:tcPr>
          <w:p>
            <w:pPr>
              <w:pStyle w:val="TableParagraph"/>
              <w:rPr>
                <w:sz w:val="18"/>
              </w:rPr>
            </w:pPr>
          </w:p>
        </w:tc>
        <w:tc>
          <w:tcPr>
            <w:tcW w:w="4710" w:type="dxa"/>
          </w:tcPr>
          <w:p>
            <w:pPr>
              <w:pStyle w:val="TableParagraph"/>
              <w:spacing w:line="205" w:lineRule="exact"/>
              <w:ind w:left="1064" w:right="561"/>
              <w:jc w:val="center"/>
              <w:rPr>
                <w:sz w:val="20"/>
              </w:rPr>
            </w:pPr>
            <w:r>
              <w:rPr>
                <w:sz w:val="20"/>
              </w:rPr>
              <w:t>A16.20.058,</w:t>
            </w:r>
            <w:r>
              <w:rPr>
                <w:spacing w:val="-9"/>
                <w:sz w:val="20"/>
              </w:rPr>
              <w:t> </w:t>
            </w:r>
            <w:r>
              <w:rPr>
                <w:spacing w:val="-2"/>
                <w:sz w:val="20"/>
              </w:rPr>
              <w:t>A16.20.059.001,</w:t>
            </w:r>
          </w:p>
        </w:tc>
        <w:tc>
          <w:tcPr>
            <w:tcW w:w="1658"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1"/>
              <w:jc w:val="center"/>
              <w:rPr>
                <w:sz w:val="20"/>
              </w:rPr>
            </w:pPr>
            <w:r>
              <w:rPr>
                <w:sz w:val="20"/>
              </w:rPr>
              <w:t>A16.20.061,</w:t>
            </w:r>
            <w:r>
              <w:rPr>
                <w:spacing w:val="-9"/>
                <w:sz w:val="20"/>
              </w:rPr>
              <w:t> </w:t>
            </w:r>
            <w:r>
              <w:rPr>
                <w:spacing w:val="-2"/>
                <w:sz w:val="20"/>
              </w:rPr>
              <w:t>A16.20.061.001,</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2"/>
              <w:jc w:val="center"/>
              <w:rPr>
                <w:sz w:val="20"/>
              </w:rPr>
            </w:pPr>
            <w:r>
              <w:rPr>
                <w:w w:val="95"/>
                <w:sz w:val="20"/>
              </w:rPr>
              <w:t>A16.20.061.002,</w:t>
            </w:r>
            <w:r>
              <w:rPr>
                <w:spacing w:val="54"/>
                <w:sz w:val="20"/>
              </w:rPr>
              <w:t> </w:t>
            </w:r>
            <w:r>
              <w:rPr>
                <w:spacing w:val="-2"/>
                <w:sz w:val="20"/>
              </w:rPr>
              <w:t>A16.20.061.003,</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59"/>
              <w:jc w:val="center"/>
              <w:rPr>
                <w:sz w:val="20"/>
              </w:rPr>
            </w:pPr>
            <w:r>
              <w:rPr>
                <w:sz w:val="20"/>
              </w:rPr>
              <w:t>A16.20.062,</w:t>
            </w:r>
            <w:r>
              <w:rPr>
                <w:spacing w:val="-9"/>
                <w:sz w:val="20"/>
              </w:rPr>
              <w:t> </w:t>
            </w:r>
            <w:r>
              <w:rPr>
                <w:spacing w:val="-2"/>
                <w:sz w:val="20"/>
              </w:rPr>
              <w:t>A16.20.063,</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2"/>
              <w:jc w:val="center"/>
              <w:rPr>
                <w:sz w:val="20"/>
              </w:rPr>
            </w:pPr>
            <w:r>
              <w:rPr>
                <w:w w:val="95"/>
                <w:sz w:val="20"/>
              </w:rPr>
              <w:t>A16.20.063.002,</w:t>
            </w:r>
            <w:r>
              <w:rPr>
                <w:spacing w:val="54"/>
                <w:sz w:val="20"/>
              </w:rPr>
              <w:t> </w:t>
            </w:r>
            <w:r>
              <w:rPr>
                <w:spacing w:val="-2"/>
                <w:sz w:val="20"/>
              </w:rPr>
              <w:t>A16.20.063.004,</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2"/>
              <w:jc w:val="center"/>
              <w:rPr>
                <w:sz w:val="20"/>
              </w:rPr>
            </w:pPr>
            <w:r>
              <w:rPr>
                <w:w w:val="95"/>
                <w:sz w:val="20"/>
              </w:rPr>
              <w:t>A16.20.063.006,</w:t>
            </w:r>
            <w:r>
              <w:rPr>
                <w:spacing w:val="54"/>
                <w:sz w:val="20"/>
              </w:rPr>
              <w:t> </w:t>
            </w:r>
            <w:r>
              <w:rPr>
                <w:spacing w:val="-2"/>
                <w:sz w:val="20"/>
              </w:rPr>
              <w:t>A16.20.063.007,</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1" w:lineRule="exact"/>
              <w:ind w:left="1064" w:right="560"/>
              <w:jc w:val="center"/>
              <w:rPr>
                <w:sz w:val="20"/>
              </w:rPr>
            </w:pPr>
            <w:r>
              <w:rPr>
                <w:w w:val="95"/>
                <w:sz w:val="20"/>
              </w:rPr>
              <w:t>A16.20.063.008,</w:t>
            </w:r>
            <w:r>
              <w:rPr>
                <w:spacing w:val="56"/>
                <w:sz w:val="20"/>
              </w:rPr>
              <w:t> </w:t>
            </w:r>
            <w:r>
              <w:rPr>
                <w:spacing w:val="-2"/>
                <w:sz w:val="20"/>
              </w:rPr>
              <w:t>A16.20.063.010,</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2"/>
              <w:jc w:val="center"/>
              <w:rPr>
                <w:sz w:val="20"/>
              </w:rPr>
            </w:pPr>
            <w:r>
              <w:rPr>
                <w:w w:val="95"/>
                <w:sz w:val="20"/>
              </w:rPr>
              <w:t>A16.20.063.016,</w:t>
            </w:r>
            <w:r>
              <w:rPr>
                <w:spacing w:val="54"/>
                <w:sz w:val="20"/>
              </w:rPr>
              <w:t> </w:t>
            </w:r>
            <w:r>
              <w:rPr>
                <w:spacing w:val="-2"/>
                <w:sz w:val="20"/>
              </w:rPr>
              <w:t>A16.20.063.018,</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3"/>
              <w:jc w:val="center"/>
              <w:rPr>
                <w:sz w:val="20"/>
              </w:rPr>
            </w:pPr>
            <w:r>
              <w:rPr>
                <w:sz w:val="20"/>
              </w:rPr>
              <w:t>A16.20.064,</w:t>
            </w:r>
            <w:r>
              <w:rPr>
                <w:spacing w:val="-9"/>
                <w:sz w:val="20"/>
              </w:rPr>
              <w:t> </w:t>
            </w:r>
            <w:r>
              <w:rPr>
                <w:sz w:val="20"/>
              </w:rPr>
              <w:t>A16.20.087,</w:t>
            </w:r>
            <w:r>
              <w:rPr>
                <w:spacing w:val="-10"/>
                <w:sz w:val="20"/>
              </w:rPr>
              <w:t> </w:t>
            </w:r>
            <w:r>
              <w:rPr>
                <w:spacing w:val="-2"/>
                <w:sz w:val="20"/>
              </w:rPr>
              <w:t>A16.20.088,</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1"/>
              <w:jc w:val="center"/>
              <w:rPr>
                <w:sz w:val="20"/>
              </w:rPr>
            </w:pPr>
            <w:r>
              <w:rPr>
                <w:sz w:val="20"/>
              </w:rPr>
              <w:t>A16.20.091,</w:t>
            </w:r>
            <w:r>
              <w:rPr>
                <w:spacing w:val="-9"/>
                <w:sz w:val="20"/>
              </w:rPr>
              <w:t> </w:t>
            </w:r>
            <w:r>
              <w:rPr>
                <w:spacing w:val="-2"/>
                <w:sz w:val="20"/>
              </w:rPr>
              <w:t>A16.20.091.001,</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1"/>
              <w:jc w:val="center"/>
              <w:rPr>
                <w:sz w:val="20"/>
              </w:rPr>
            </w:pPr>
            <w:r>
              <w:rPr>
                <w:sz w:val="20"/>
              </w:rPr>
              <w:t>A16.20.092,</w:t>
            </w:r>
            <w:r>
              <w:rPr>
                <w:spacing w:val="-9"/>
                <w:sz w:val="20"/>
              </w:rPr>
              <w:t> </w:t>
            </w:r>
            <w:r>
              <w:rPr>
                <w:spacing w:val="-2"/>
                <w:sz w:val="20"/>
              </w:rPr>
              <w:t>A16.20.092.001,</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59"/>
              <w:jc w:val="center"/>
              <w:rPr>
                <w:sz w:val="20"/>
              </w:rPr>
            </w:pPr>
            <w:r>
              <w:rPr>
                <w:sz w:val="20"/>
              </w:rPr>
              <w:t>A16.20.093,</w:t>
            </w:r>
            <w:r>
              <w:rPr>
                <w:spacing w:val="-9"/>
                <w:sz w:val="20"/>
              </w:rPr>
              <w:t> </w:t>
            </w:r>
            <w:r>
              <w:rPr>
                <w:spacing w:val="-2"/>
                <w:sz w:val="20"/>
              </w:rPr>
              <w:t>A16.20.094,</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1"/>
              <w:jc w:val="center"/>
              <w:rPr>
                <w:sz w:val="20"/>
              </w:rPr>
            </w:pPr>
            <w:r>
              <w:rPr>
                <w:w w:val="95"/>
                <w:sz w:val="20"/>
              </w:rPr>
              <w:t>A16.20.094.001,</w:t>
            </w:r>
            <w:r>
              <w:rPr>
                <w:spacing w:val="54"/>
                <w:sz w:val="20"/>
              </w:rPr>
              <w:t> </w:t>
            </w:r>
            <w:r>
              <w:rPr>
                <w:spacing w:val="-2"/>
                <w:sz w:val="20"/>
              </w:rPr>
              <w:t>A16.20.095,</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3"/>
              <w:jc w:val="center"/>
              <w:rPr>
                <w:sz w:val="20"/>
              </w:rPr>
            </w:pPr>
            <w:r>
              <w:rPr>
                <w:sz w:val="20"/>
              </w:rPr>
              <w:t>A16.20.098,</w:t>
            </w:r>
            <w:r>
              <w:rPr>
                <w:spacing w:val="-9"/>
                <w:sz w:val="20"/>
              </w:rPr>
              <w:t> </w:t>
            </w:r>
            <w:r>
              <w:rPr>
                <w:sz w:val="20"/>
              </w:rPr>
              <w:t>A16.20.099,</w:t>
            </w:r>
            <w:r>
              <w:rPr>
                <w:spacing w:val="-10"/>
                <w:sz w:val="20"/>
              </w:rPr>
              <w:t> </w:t>
            </w:r>
            <w:r>
              <w:rPr>
                <w:spacing w:val="-2"/>
                <w:sz w:val="20"/>
              </w:rPr>
              <w:t>A16.20.100,</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24" w:lineRule="exact"/>
              <w:ind w:left="1064" w:right="557"/>
              <w:jc w:val="center"/>
              <w:rPr>
                <w:sz w:val="20"/>
              </w:rPr>
            </w:pPr>
            <w:r>
              <w:rPr>
                <w:sz w:val="20"/>
              </w:rPr>
              <w:t>A16.20.101,</w:t>
            </w:r>
            <w:r>
              <w:rPr>
                <w:spacing w:val="-7"/>
                <w:sz w:val="20"/>
              </w:rPr>
              <w:t> </w:t>
            </w:r>
            <w:r>
              <w:rPr>
                <w:sz w:val="20"/>
              </w:rPr>
              <w:t>A16.20.102,</w:t>
            </w:r>
            <w:r>
              <w:rPr>
                <w:spacing w:val="-8"/>
                <w:sz w:val="20"/>
              </w:rPr>
              <w:t> </w:t>
            </w:r>
            <w:r>
              <w:rPr>
                <w:spacing w:val="-2"/>
                <w:sz w:val="20"/>
              </w:rPr>
              <w:t>A16.30.036</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50"/>
              <w:rPr>
                <w:sz w:val="20"/>
              </w:rPr>
            </w:pPr>
            <w:r>
              <w:rPr>
                <w:spacing w:val="-2"/>
                <w:sz w:val="20"/>
              </w:rPr>
              <w:t>st02.013</w:t>
            </w:r>
          </w:p>
        </w:tc>
        <w:tc>
          <w:tcPr>
            <w:tcW w:w="657" w:type="dxa"/>
          </w:tcPr>
          <w:p>
            <w:pPr>
              <w:pStyle w:val="TableParagraph"/>
              <w:spacing w:line="215" w:lineRule="exact" w:before="46"/>
              <w:ind w:left="222" w:right="205"/>
              <w:jc w:val="center"/>
              <w:rPr>
                <w:sz w:val="20"/>
              </w:rPr>
            </w:pPr>
            <w:r>
              <w:rPr>
                <w:spacing w:val="-5"/>
                <w:sz w:val="20"/>
              </w:rPr>
              <w:t>14</w:t>
            </w:r>
          </w:p>
        </w:tc>
        <w:tc>
          <w:tcPr>
            <w:tcW w:w="3400"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617" w:type="dxa"/>
          </w:tcPr>
          <w:p>
            <w:pPr>
              <w:pStyle w:val="TableParagraph"/>
              <w:spacing w:line="215" w:lineRule="exact" w:before="46"/>
              <w:ind w:left="71"/>
              <w:jc w:val="center"/>
              <w:rPr>
                <w:sz w:val="20"/>
              </w:rPr>
            </w:pPr>
            <w:r>
              <w:rPr>
                <w:w w:val="99"/>
                <w:sz w:val="20"/>
              </w:rPr>
              <w:t>-</w:t>
            </w:r>
          </w:p>
        </w:tc>
        <w:tc>
          <w:tcPr>
            <w:tcW w:w="4710" w:type="dxa"/>
          </w:tcPr>
          <w:p>
            <w:pPr>
              <w:pStyle w:val="TableParagraph"/>
              <w:spacing w:line="215" w:lineRule="exact" w:before="46"/>
              <w:ind w:left="1064" w:right="562"/>
              <w:jc w:val="center"/>
              <w:rPr>
                <w:sz w:val="20"/>
              </w:rPr>
            </w:pPr>
            <w:r>
              <w:rPr>
                <w:w w:val="95"/>
                <w:sz w:val="20"/>
              </w:rPr>
              <w:t>A16.20.003.002,</w:t>
            </w:r>
            <w:r>
              <w:rPr>
                <w:spacing w:val="54"/>
                <w:sz w:val="20"/>
              </w:rPr>
              <w:t> </w:t>
            </w:r>
            <w:r>
              <w:rPr>
                <w:spacing w:val="-2"/>
                <w:sz w:val="20"/>
              </w:rPr>
              <w:t>A16.20.003.003,</w:t>
            </w:r>
          </w:p>
        </w:tc>
        <w:tc>
          <w:tcPr>
            <w:tcW w:w="1658" w:type="dxa"/>
          </w:tcPr>
          <w:p>
            <w:pPr>
              <w:pStyle w:val="TableParagraph"/>
              <w:spacing w:line="215" w:lineRule="exact" w:before="46"/>
              <w:ind w:right="126"/>
              <w:jc w:val="center"/>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2,20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0" w:lineRule="exact"/>
              <w:ind w:left="217"/>
              <w:rPr>
                <w:sz w:val="20"/>
              </w:rPr>
            </w:pPr>
            <w:r>
              <w:rPr>
                <w:sz w:val="20"/>
              </w:rPr>
              <w:t>половых</w:t>
            </w:r>
            <w:r>
              <w:rPr>
                <w:spacing w:val="-9"/>
                <w:sz w:val="20"/>
              </w:rPr>
              <w:t> </w:t>
            </w:r>
            <w:r>
              <w:rPr>
                <w:spacing w:val="-2"/>
                <w:sz w:val="20"/>
              </w:rPr>
              <w:t>органах</w:t>
            </w: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w w:val="95"/>
                <w:sz w:val="20"/>
              </w:rPr>
              <w:t>A16.20.003.005,</w:t>
            </w:r>
            <w:r>
              <w:rPr>
                <w:spacing w:val="54"/>
                <w:sz w:val="20"/>
              </w:rPr>
              <w:t> </w:t>
            </w:r>
            <w:r>
              <w:rPr>
                <w:spacing w:val="-2"/>
                <w:sz w:val="20"/>
              </w:rPr>
              <w:t>A16.20.007,</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09" w:lineRule="exact"/>
              <w:ind w:left="217"/>
              <w:rPr>
                <w:sz w:val="20"/>
              </w:rPr>
            </w:pPr>
            <w:r>
              <w:rPr>
                <w:sz w:val="20"/>
              </w:rPr>
              <w:t>(уровень</w:t>
            </w:r>
            <w:r>
              <w:rPr>
                <w:spacing w:val="-10"/>
                <w:sz w:val="20"/>
              </w:rPr>
              <w:t> </w:t>
            </w:r>
            <w:r>
              <w:rPr>
                <w:spacing w:val="-5"/>
                <w:sz w:val="20"/>
              </w:rPr>
              <w:t>4)</w:t>
            </w: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A16.20.010.001,</w:t>
            </w:r>
            <w:r>
              <w:rPr>
                <w:spacing w:val="54"/>
                <w:sz w:val="20"/>
              </w:rPr>
              <w:t> </w:t>
            </w:r>
            <w:r>
              <w:rPr>
                <w:spacing w:val="-2"/>
                <w:sz w:val="20"/>
              </w:rPr>
              <w:t>A16.20.010.002,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A16.20.010.003,</w:t>
            </w:r>
            <w:r>
              <w:rPr>
                <w:spacing w:val="54"/>
                <w:sz w:val="20"/>
              </w:rPr>
              <w:t> </w:t>
            </w:r>
            <w:r>
              <w:rPr>
                <w:spacing w:val="-2"/>
                <w:sz w:val="20"/>
              </w:rPr>
              <w:t>A16.20.011.001,</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A16.20.011.003,</w:t>
            </w:r>
            <w:r>
              <w:rPr>
                <w:spacing w:val="54"/>
                <w:sz w:val="20"/>
              </w:rPr>
              <w:t> </w:t>
            </w:r>
            <w:r>
              <w:rPr>
                <w:spacing w:val="-2"/>
                <w:sz w:val="20"/>
              </w:rPr>
              <w:t>A16.20.011.004,</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59"/>
              <w:jc w:val="center"/>
              <w:rPr>
                <w:sz w:val="20"/>
              </w:rPr>
            </w:pPr>
            <w:r>
              <w:rPr>
                <w:w w:val="95"/>
                <w:sz w:val="20"/>
              </w:rPr>
              <w:t>A16.20.011.005,</w:t>
            </w:r>
            <w:r>
              <w:rPr>
                <w:spacing w:val="54"/>
                <w:sz w:val="20"/>
              </w:rPr>
              <w:t> </w:t>
            </w:r>
            <w:r>
              <w:rPr>
                <w:spacing w:val="-2"/>
                <w:sz w:val="20"/>
              </w:rPr>
              <w:t>A16.20.011.007,</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A16.20.011.009,</w:t>
            </w:r>
            <w:r>
              <w:rPr>
                <w:spacing w:val="54"/>
                <w:sz w:val="20"/>
              </w:rPr>
              <w:t> </w:t>
            </w:r>
            <w:r>
              <w:rPr>
                <w:spacing w:val="-2"/>
                <w:sz w:val="20"/>
              </w:rPr>
              <w:t>A16.20.011.010,</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A16.20.011.011,</w:t>
            </w:r>
            <w:r>
              <w:rPr>
                <w:spacing w:val="54"/>
                <w:sz w:val="20"/>
              </w:rPr>
              <w:t> </w:t>
            </w:r>
            <w:r>
              <w:rPr>
                <w:spacing w:val="-2"/>
                <w:sz w:val="20"/>
              </w:rPr>
              <w:t>A16.20.012.002,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1"/>
              <w:jc w:val="center"/>
              <w:rPr>
                <w:sz w:val="20"/>
              </w:rPr>
            </w:pPr>
            <w:r>
              <w:rPr>
                <w:sz w:val="20"/>
              </w:rPr>
              <w:t>A16.20.013,</w:t>
            </w:r>
            <w:r>
              <w:rPr>
                <w:spacing w:val="-9"/>
                <w:sz w:val="20"/>
              </w:rPr>
              <w:t> </w:t>
            </w:r>
            <w:r>
              <w:rPr>
                <w:spacing w:val="-2"/>
                <w:sz w:val="20"/>
              </w:rPr>
              <w:t>A16.20.013.001,</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sz w:val="20"/>
              </w:rPr>
              <w:t>A16.20.014,</w:t>
            </w:r>
            <w:r>
              <w:rPr>
                <w:spacing w:val="-9"/>
                <w:sz w:val="20"/>
              </w:rPr>
              <w:t> </w:t>
            </w:r>
            <w:r>
              <w:rPr>
                <w:spacing w:val="-2"/>
                <w:sz w:val="20"/>
              </w:rPr>
              <w:t>A16.20.014.003,</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sz w:val="20"/>
              </w:rPr>
              <w:t>A16.20.015,</w:t>
            </w:r>
            <w:r>
              <w:rPr>
                <w:spacing w:val="-9"/>
                <w:sz w:val="20"/>
              </w:rPr>
              <w:t> </w:t>
            </w:r>
            <w:r>
              <w:rPr>
                <w:spacing w:val="-2"/>
                <w:sz w:val="20"/>
              </w:rPr>
              <w:t>A16.20.019.001,</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59"/>
              <w:jc w:val="center"/>
              <w:rPr>
                <w:sz w:val="20"/>
              </w:rPr>
            </w:pPr>
            <w:r>
              <w:rPr>
                <w:sz w:val="20"/>
              </w:rPr>
              <w:t>A16.20.023,</w:t>
            </w:r>
            <w:r>
              <w:rPr>
                <w:spacing w:val="-9"/>
                <w:sz w:val="20"/>
              </w:rPr>
              <w:t> </w:t>
            </w:r>
            <w:r>
              <w:rPr>
                <w:spacing w:val="-2"/>
                <w:sz w:val="20"/>
              </w:rPr>
              <w:t>A16.20.024,</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A16.20.024.001,</w:t>
            </w:r>
            <w:r>
              <w:rPr>
                <w:spacing w:val="54"/>
                <w:sz w:val="20"/>
              </w:rPr>
              <w:t> </w:t>
            </w:r>
            <w:r>
              <w:rPr>
                <w:spacing w:val="-2"/>
                <w:sz w:val="20"/>
              </w:rPr>
              <w:t>A16.20.026.001,</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sz w:val="20"/>
              </w:rPr>
              <w:t>A16.20.028,</w:t>
            </w:r>
            <w:r>
              <w:rPr>
                <w:spacing w:val="-9"/>
                <w:sz w:val="20"/>
              </w:rPr>
              <w:t> </w:t>
            </w:r>
            <w:r>
              <w:rPr>
                <w:spacing w:val="-2"/>
                <w:sz w:val="20"/>
              </w:rPr>
              <w:t>A16.20.028.001,</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0"/>
              <w:jc w:val="center"/>
              <w:rPr>
                <w:sz w:val="20"/>
              </w:rPr>
            </w:pPr>
            <w:r>
              <w:rPr>
                <w:w w:val="95"/>
                <w:sz w:val="20"/>
              </w:rPr>
              <w:t>A16.20.028.005,</w:t>
            </w:r>
            <w:r>
              <w:rPr>
                <w:spacing w:val="55"/>
                <w:sz w:val="20"/>
              </w:rPr>
              <w:t> </w:t>
            </w:r>
            <w:r>
              <w:rPr>
                <w:spacing w:val="-2"/>
                <w:sz w:val="20"/>
              </w:rPr>
              <w:t>A16.20.030,</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59"/>
              <w:jc w:val="center"/>
              <w:rPr>
                <w:sz w:val="20"/>
              </w:rPr>
            </w:pPr>
            <w:r>
              <w:rPr>
                <w:sz w:val="20"/>
              </w:rPr>
              <w:t>A16.20.033,</w:t>
            </w:r>
            <w:r>
              <w:rPr>
                <w:spacing w:val="-9"/>
                <w:sz w:val="20"/>
              </w:rPr>
              <w:t> </w:t>
            </w:r>
            <w:r>
              <w:rPr>
                <w:spacing w:val="-2"/>
                <w:sz w:val="20"/>
              </w:rPr>
              <w:t>A16.20.034,</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A16.20.034.001,</w:t>
            </w:r>
            <w:r>
              <w:rPr>
                <w:spacing w:val="54"/>
                <w:sz w:val="20"/>
              </w:rPr>
              <w:t> </w:t>
            </w:r>
            <w:r>
              <w:rPr>
                <w:spacing w:val="-2"/>
                <w:sz w:val="20"/>
              </w:rPr>
              <w:t>A16.20.034.002,</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w w:val="95"/>
                <w:sz w:val="20"/>
              </w:rPr>
              <w:t>A16.20.035.001,</w:t>
            </w:r>
            <w:r>
              <w:rPr>
                <w:spacing w:val="54"/>
                <w:sz w:val="20"/>
              </w:rPr>
              <w:t> </w:t>
            </w:r>
            <w:r>
              <w:rPr>
                <w:spacing w:val="-2"/>
                <w:sz w:val="20"/>
              </w:rPr>
              <w:t>A16.20.039,</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w w:val="95"/>
                <w:sz w:val="20"/>
              </w:rPr>
              <w:t>A16.20.039.001,</w:t>
            </w:r>
            <w:r>
              <w:rPr>
                <w:spacing w:val="54"/>
                <w:sz w:val="20"/>
              </w:rPr>
              <w:t> </w:t>
            </w:r>
            <w:r>
              <w:rPr>
                <w:spacing w:val="-2"/>
                <w:sz w:val="20"/>
              </w:rPr>
              <w:t>A16.20.042,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A16.20.042.001,</w:t>
            </w:r>
            <w:r>
              <w:rPr>
                <w:spacing w:val="54"/>
                <w:sz w:val="20"/>
              </w:rPr>
              <w:t> </w:t>
            </w:r>
            <w:r>
              <w:rPr>
                <w:spacing w:val="-2"/>
                <w:sz w:val="20"/>
              </w:rPr>
              <w:t>A16.20.042.002,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A16.20.042.003,</w:t>
            </w:r>
            <w:r>
              <w:rPr>
                <w:spacing w:val="54"/>
                <w:sz w:val="20"/>
              </w:rPr>
              <w:t> </w:t>
            </w:r>
            <w:r>
              <w:rPr>
                <w:spacing w:val="-2"/>
                <w:sz w:val="20"/>
              </w:rPr>
              <w:t>A16.20.042.004,</w:t>
            </w:r>
          </w:p>
        </w:tc>
        <w:tc>
          <w:tcPr>
            <w:tcW w:w="1658" w:type="dxa"/>
          </w:tcPr>
          <w:p>
            <w:pPr>
              <w:pStyle w:val="TableParagraph"/>
              <w:rPr>
                <w:sz w:val="16"/>
              </w:rPr>
            </w:pPr>
          </w:p>
        </w:tc>
        <w:tc>
          <w:tcPr>
            <w:tcW w:w="1261"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5" w:lineRule="exact"/>
              <w:ind w:left="1064" w:right="562"/>
              <w:jc w:val="center"/>
              <w:rPr>
                <w:sz w:val="20"/>
              </w:rPr>
            </w:pPr>
            <w:r>
              <w:rPr>
                <w:w w:val="95"/>
                <w:sz w:val="20"/>
              </w:rPr>
              <w:t>A16.20.063.001,</w:t>
            </w:r>
            <w:r>
              <w:rPr>
                <w:spacing w:val="54"/>
                <w:sz w:val="20"/>
              </w:rPr>
              <w:t> </w:t>
            </w:r>
            <w:r>
              <w:rPr>
                <w:spacing w:val="-2"/>
                <w:sz w:val="20"/>
              </w:rPr>
              <w:t>A16.20.063.003,</w:t>
            </w:r>
          </w:p>
        </w:tc>
        <w:tc>
          <w:tcPr>
            <w:tcW w:w="1658"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10"/>
        <w:gridCol w:w="5610"/>
        <w:gridCol w:w="1942"/>
        <w:gridCol w:w="2327"/>
        <w:gridCol w:w="1262"/>
      </w:tblGrid>
      <w:tr>
        <w:trPr>
          <w:trHeight w:val="225" w:hRule="atLeast"/>
        </w:trPr>
        <w:tc>
          <w:tcPr>
            <w:tcW w:w="15279" w:type="dxa"/>
            <w:gridSpan w:val="7"/>
          </w:tcPr>
          <w:p>
            <w:pPr>
              <w:pStyle w:val="TableParagraph"/>
              <w:spacing w:line="205" w:lineRule="exact"/>
              <w:ind w:left="8883"/>
              <w:rPr>
                <w:sz w:val="20"/>
              </w:rPr>
            </w:pPr>
            <w:r>
              <w:rPr>
                <w:w w:val="95"/>
                <w:sz w:val="20"/>
              </w:rPr>
              <w:t>A16.20.063.005,</w:t>
            </w:r>
            <w:r>
              <w:rPr>
                <w:spacing w:val="54"/>
                <w:sz w:val="20"/>
              </w:rPr>
              <w:t> </w:t>
            </w:r>
            <w:r>
              <w:rPr>
                <w:spacing w:val="-2"/>
                <w:sz w:val="20"/>
              </w:rPr>
              <w:t>A16.20.063.009,</w:t>
            </w:r>
          </w:p>
        </w:tc>
      </w:tr>
      <w:tr>
        <w:trPr>
          <w:trHeight w:val="229" w:hRule="atLeast"/>
        </w:trPr>
        <w:tc>
          <w:tcPr>
            <w:tcW w:w="15279" w:type="dxa"/>
            <w:gridSpan w:val="7"/>
          </w:tcPr>
          <w:p>
            <w:pPr>
              <w:pStyle w:val="TableParagraph"/>
              <w:spacing w:line="209" w:lineRule="exact"/>
              <w:ind w:left="8883"/>
              <w:rPr>
                <w:sz w:val="20"/>
              </w:rPr>
            </w:pPr>
            <w:r>
              <w:rPr>
                <w:w w:val="95"/>
                <w:sz w:val="20"/>
              </w:rPr>
              <w:t>A16.20.063.017,</w:t>
            </w:r>
            <w:r>
              <w:rPr>
                <w:spacing w:val="54"/>
                <w:sz w:val="20"/>
              </w:rPr>
              <w:t> </w:t>
            </w:r>
            <w:r>
              <w:rPr>
                <w:spacing w:val="-2"/>
                <w:sz w:val="20"/>
              </w:rPr>
              <w:t>A16.20.063.019,</w:t>
            </w:r>
          </w:p>
        </w:tc>
      </w:tr>
      <w:tr>
        <w:trPr>
          <w:trHeight w:val="229" w:hRule="atLeast"/>
        </w:trPr>
        <w:tc>
          <w:tcPr>
            <w:tcW w:w="15279" w:type="dxa"/>
            <w:gridSpan w:val="7"/>
          </w:tcPr>
          <w:p>
            <w:pPr>
              <w:pStyle w:val="TableParagraph"/>
              <w:spacing w:line="209" w:lineRule="exact"/>
              <w:ind w:left="9058"/>
              <w:rPr>
                <w:sz w:val="20"/>
              </w:rPr>
            </w:pPr>
            <w:r>
              <w:rPr>
                <w:w w:val="95"/>
                <w:sz w:val="20"/>
              </w:rPr>
              <w:t>A16.20.081.001,</w:t>
            </w:r>
            <w:r>
              <w:rPr>
                <w:spacing w:val="54"/>
                <w:sz w:val="20"/>
              </w:rPr>
              <w:t> </w:t>
            </w:r>
            <w:r>
              <w:rPr>
                <w:spacing w:val="-2"/>
                <w:sz w:val="20"/>
              </w:rPr>
              <w:t>A16.20.082,</w:t>
            </w:r>
          </w:p>
        </w:tc>
      </w:tr>
      <w:tr>
        <w:trPr>
          <w:trHeight w:val="230" w:hRule="atLeast"/>
        </w:trPr>
        <w:tc>
          <w:tcPr>
            <w:tcW w:w="15279" w:type="dxa"/>
            <w:gridSpan w:val="7"/>
          </w:tcPr>
          <w:p>
            <w:pPr>
              <w:pStyle w:val="TableParagraph"/>
              <w:spacing w:line="210" w:lineRule="exact"/>
              <w:ind w:left="8883"/>
              <w:rPr>
                <w:sz w:val="20"/>
              </w:rPr>
            </w:pPr>
            <w:r>
              <w:rPr>
                <w:w w:val="95"/>
                <w:sz w:val="20"/>
              </w:rPr>
              <w:t>A16.20.094.002,</w:t>
            </w:r>
            <w:r>
              <w:rPr>
                <w:spacing w:val="54"/>
                <w:sz w:val="20"/>
              </w:rPr>
              <w:t> </w:t>
            </w:r>
            <w:r>
              <w:rPr>
                <w:spacing w:val="-2"/>
                <w:sz w:val="20"/>
              </w:rPr>
              <w:t>A16.20.099.001,</w:t>
            </w:r>
          </w:p>
        </w:tc>
      </w:tr>
      <w:tr>
        <w:trPr>
          <w:trHeight w:val="280" w:hRule="atLeast"/>
        </w:trPr>
        <w:tc>
          <w:tcPr>
            <w:tcW w:w="15279" w:type="dxa"/>
            <w:gridSpan w:val="7"/>
          </w:tcPr>
          <w:p>
            <w:pPr>
              <w:pStyle w:val="TableParagraph"/>
              <w:spacing w:line="226" w:lineRule="exact"/>
              <w:ind w:left="9082"/>
              <w:rPr>
                <w:sz w:val="20"/>
              </w:rPr>
            </w:pPr>
            <w:r>
              <w:rPr>
                <w:w w:val="95"/>
                <w:sz w:val="20"/>
              </w:rPr>
              <w:t>A16.30.036.001,</w:t>
            </w:r>
            <w:r>
              <w:rPr>
                <w:spacing w:val="54"/>
                <w:sz w:val="20"/>
              </w:rPr>
              <w:t> </w:t>
            </w:r>
            <w:r>
              <w:rPr>
                <w:spacing w:val="-2"/>
                <w:sz w:val="20"/>
              </w:rPr>
              <w:t>A22.20.004</w:t>
            </w:r>
          </w:p>
        </w:tc>
      </w:tr>
      <w:tr>
        <w:trPr>
          <w:trHeight w:val="330" w:hRule="atLeast"/>
        </w:trPr>
        <w:tc>
          <w:tcPr>
            <w:tcW w:w="971" w:type="dxa"/>
          </w:tcPr>
          <w:p>
            <w:pPr>
              <w:pStyle w:val="TableParagraph"/>
              <w:spacing w:before="46"/>
              <w:ind w:left="37" w:right="223"/>
              <w:jc w:val="center"/>
              <w:rPr>
                <w:sz w:val="20"/>
              </w:rPr>
            </w:pPr>
            <w:r>
              <w:rPr>
                <w:spacing w:val="-4"/>
                <w:sz w:val="20"/>
              </w:rPr>
              <w:t>st03</w:t>
            </w:r>
          </w:p>
        </w:tc>
        <w:tc>
          <w:tcPr>
            <w:tcW w:w="657" w:type="dxa"/>
          </w:tcPr>
          <w:p>
            <w:pPr>
              <w:pStyle w:val="TableParagraph"/>
              <w:spacing w:before="46"/>
              <w:ind w:left="15"/>
              <w:jc w:val="center"/>
              <w:rPr>
                <w:sz w:val="20"/>
              </w:rPr>
            </w:pPr>
            <w:r>
              <w:rPr>
                <w:w w:val="99"/>
                <w:sz w:val="20"/>
              </w:rPr>
              <w:t>3</w:t>
            </w:r>
          </w:p>
        </w:tc>
        <w:tc>
          <w:tcPr>
            <w:tcW w:w="2510" w:type="dxa"/>
          </w:tcPr>
          <w:p>
            <w:pPr>
              <w:pStyle w:val="TableParagraph"/>
              <w:rPr>
                <w:sz w:val="18"/>
              </w:rPr>
            </w:pPr>
          </w:p>
        </w:tc>
        <w:tc>
          <w:tcPr>
            <w:tcW w:w="5610" w:type="dxa"/>
          </w:tcPr>
          <w:p>
            <w:pPr>
              <w:pStyle w:val="TableParagraph"/>
              <w:spacing w:before="46"/>
              <w:ind w:left="2584"/>
              <w:rPr>
                <w:sz w:val="20"/>
              </w:rPr>
            </w:pPr>
            <w:r>
              <w:rPr>
                <w:sz w:val="20"/>
              </w:rPr>
              <w:t>Аллергология</w:t>
            </w:r>
            <w:r>
              <w:rPr>
                <w:spacing w:val="-7"/>
                <w:sz w:val="20"/>
              </w:rPr>
              <w:t> </w:t>
            </w:r>
            <w:r>
              <w:rPr>
                <w:sz w:val="20"/>
              </w:rPr>
              <w:t>и</w:t>
            </w:r>
            <w:r>
              <w:rPr>
                <w:spacing w:val="-9"/>
                <w:sz w:val="20"/>
              </w:rPr>
              <w:t> </w:t>
            </w:r>
            <w:r>
              <w:rPr>
                <w:spacing w:val="-2"/>
                <w:sz w:val="20"/>
              </w:rPr>
              <w:t>иммунология</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spacing w:before="46"/>
              <w:ind w:right="53"/>
              <w:jc w:val="right"/>
              <w:rPr>
                <w:sz w:val="20"/>
              </w:rPr>
            </w:pPr>
            <w:r>
              <w:rPr>
                <w:spacing w:val="-4"/>
                <w:sz w:val="20"/>
              </w:rPr>
              <w:t>1,25</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st03.001</w:t>
            </w:r>
          </w:p>
        </w:tc>
        <w:tc>
          <w:tcPr>
            <w:tcW w:w="657" w:type="dxa"/>
          </w:tcPr>
          <w:p>
            <w:pPr>
              <w:pStyle w:val="TableParagraph"/>
              <w:spacing w:line="215" w:lineRule="exact" w:before="45"/>
              <w:ind w:left="222" w:right="205"/>
              <w:jc w:val="center"/>
              <w:rPr>
                <w:sz w:val="20"/>
              </w:rPr>
            </w:pPr>
            <w:r>
              <w:rPr>
                <w:spacing w:val="-5"/>
                <w:sz w:val="20"/>
              </w:rPr>
              <w:t>15</w:t>
            </w:r>
          </w:p>
        </w:tc>
        <w:tc>
          <w:tcPr>
            <w:tcW w:w="2510" w:type="dxa"/>
          </w:tcPr>
          <w:p>
            <w:pPr>
              <w:pStyle w:val="TableParagraph"/>
              <w:spacing w:line="215" w:lineRule="exact" w:before="45"/>
              <w:ind w:left="217"/>
              <w:rPr>
                <w:sz w:val="20"/>
              </w:rPr>
            </w:pPr>
            <w:r>
              <w:rPr>
                <w:spacing w:val="-2"/>
                <w:sz w:val="20"/>
              </w:rPr>
              <w:t>Нарушения</w:t>
            </w:r>
            <w:r>
              <w:rPr>
                <w:spacing w:val="3"/>
                <w:sz w:val="20"/>
              </w:rPr>
              <w:t> </w:t>
            </w:r>
            <w:r>
              <w:rPr>
                <w:spacing w:val="-10"/>
                <w:sz w:val="20"/>
              </w:rPr>
              <w:t>с</w:t>
            </w:r>
          </w:p>
        </w:tc>
        <w:tc>
          <w:tcPr>
            <w:tcW w:w="5610" w:type="dxa"/>
          </w:tcPr>
          <w:p>
            <w:pPr>
              <w:pStyle w:val="TableParagraph"/>
              <w:spacing w:line="215" w:lineRule="exact" w:before="45"/>
              <w:ind w:left="254"/>
              <w:rPr>
                <w:sz w:val="20"/>
              </w:rPr>
            </w:pPr>
            <w:r>
              <w:rPr>
                <w:sz w:val="20"/>
              </w:rPr>
              <w:t>D80,</w:t>
            </w:r>
            <w:r>
              <w:rPr>
                <w:spacing w:val="-5"/>
                <w:sz w:val="20"/>
              </w:rPr>
              <w:t> </w:t>
            </w:r>
            <w:r>
              <w:rPr>
                <w:sz w:val="20"/>
              </w:rPr>
              <w:t>D80.0,</w:t>
            </w:r>
            <w:r>
              <w:rPr>
                <w:spacing w:val="-5"/>
                <w:sz w:val="20"/>
              </w:rPr>
              <w:t> </w:t>
            </w:r>
            <w:r>
              <w:rPr>
                <w:sz w:val="20"/>
              </w:rPr>
              <w:t>D80.1,</w:t>
            </w:r>
            <w:r>
              <w:rPr>
                <w:spacing w:val="-5"/>
                <w:sz w:val="20"/>
              </w:rPr>
              <w:t> </w:t>
            </w:r>
            <w:r>
              <w:rPr>
                <w:sz w:val="20"/>
              </w:rPr>
              <w:t>D80.2,</w:t>
            </w:r>
            <w:r>
              <w:rPr>
                <w:spacing w:val="-5"/>
                <w:sz w:val="20"/>
              </w:rPr>
              <w:t> </w:t>
            </w:r>
            <w:r>
              <w:rPr>
                <w:sz w:val="20"/>
              </w:rPr>
              <w:t>D80.3,</w:t>
            </w:r>
            <w:r>
              <w:rPr>
                <w:spacing w:val="-5"/>
                <w:sz w:val="20"/>
              </w:rPr>
              <w:t> </w:t>
            </w:r>
            <w:r>
              <w:rPr>
                <w:sz w:val="20"/>
              </w:rPr>
              <w:t>D80.4,</w:t>
            </w:r>
            <w:r>
              <w:rPr>
                <w:spacing w:val="-5"/>
                <w:sz w:val="20"/>
              </w:rPr>
              <w:t> </w:t>
            </w:r>
            <w:r>
              <w:rPr>
                <w:spacing w:val="-2"/>
                <w:sz w:val="20"/>
              </w:rPr>
              <w:t>D80.5,</w:t>
            </w:r>
          </w:p>
        </w:tc>
        <w:tc>
          <w:tcPr>
            <w:tcW w:w="1942" w:type="dxa"/>
          </w:tcPr>
          <w:p>
            <w:pPr>
              <w:pStyle w:val="TableParagraph"/>
              <w:spacing w:line="215" w:lineRule="exact" w:before="45"/>
              <w:ind w:left="472"/>
              <w:rPr>
                <w:sz w:val="20"/>
              </w:rPr>
            </w:pPr>
            <w:r>
              <w:rPr>
                <w:w w:val="99"/>
                <w:sz w:val="20"/>
              </w:rPr>
              <w:t>-</w:t>
            </w:r>
          </w:p>
        </w:tc>
        <w:tc>
          <w:tcPr>
            <w:tcW w:w="2327" w:type="dxa"/>
          </w:tcPr>
          <w:p>
            <w:pPr>
              <w:pStyle w:val="TableParagraph"/>
              <w:spacing w:line="215" w:lineRule="exact" w:before="45"/>
              <w:ind w:right="862"/>
              <w:jc w:val="right"/>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4,52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pacing w:val="-2"/>
                <w:sz w:val="20"/>
              </w:rPr>
              <w:t>вовлечением</w:t>
            </w:r>
            <w:r>
              <w:rPr>
                <w:spacing w:val="7"/>
                <w:sz w:val="20"/>
              </w:rPr>
              <w:t> </w:t>
            </w:r>
            <w:r>
              <w:rPr>
                <w:spacing w:val="-2"/>
                <w:sz w:val="20"/>
              </w:rPr>
              <w:t>иммунного</w:t>
            </w:r>
          </w:p>
        </w:tc>
        <w:tc>
          <w:tcPr>
            <w:tcW w:w="5610" w:type="dxa"/>
          </w:tcPr>
          <w:p>
            <w:pPr>
              <w:pStyle w:val="TableParagraph"/>
              <w:spacing w:line="210" w:lineRule="exact"/>
              <w:ind w:left="252"/>
              <w:rPr>
                <w:sz w:val="20"/>
              </w:rPr>
            </w:pPr>
            <w:r>
              <w:rPr>
                <w:sz w:val="20"/>
              </w:rPr>
              <w:t>D80.6,</w:t>
            </w:r>
            <w:r>
              <w:rPr>
                <w:spacing w:val="-4"/>
                <w:sz w:val="20"/>
              </w:rPr>
              <w:t> </w:t>
            </w:r>
            <w:r>
              <w:rPr>
                <w:sz w:val="20"/>
              </w:rPr>
              <w:t>D80.7,</w:t>
            </w:r>
            <w:r>
              <w:rPr>
                <w:spacing w:val="-6"/>
                <w:sz w:val="20"/>
              </w:rPr>
              <w:t> </w:t>
            </w:r>
            <w:r>
              <w:rPr>
                <w:sz w:val="20"/>
              </w:rPr>
              <w:t>D80.8,</w:t>
            </w:r>
            <w:r>
              <w:rPr>
                <w:spacing w:val="-4"/>
                <w:sz w:val="20"/>
              </w:rPr>
              <w:t> </w:t>
            </w:r>
            <w:r>
              <w:rPr>
                <w:sz w:val="20"/>
              </w:rPr>
              <w:t>D80.9,</w:t>
            </w:r>
            <w:r>
              <w:rPr>
                <w:spacing w:val="-6"/>
                <w:sz w:val="20"/>
              </w:rPr>
              <w:t> </w:t>
            </w:r>
            <w:r>
              <w:rPr>
                <w:sz w:val="20"/>
              </w:rPr>
              <w:t>D81,</w:t>
            </w:r>
            <w:r>
              <w:rPr>
                <w:spacing w:val="-4"/>
                <w:sz w:val="20"/>
              </w:rPr>
              <w:t> </w:t>
            </w:r>
            <w:r>
              <w:rPr>
                <w:sz w:val="20"/>
              </w:rPr>
              <w:t>D81.0,</w:t>
            </w:r>
            <w:r>
              <w:rPr>
                <w:spacing w:val="-4"/>
                <w:sz w:val="20"/>
              </w:rPr>
              <w:t> </w:t>
            </w:r>
            <w:r>
              <w:rPr>
                <w:spacing w:val="-2"/>
                <w:sz w:val="20"/>
              </w:rPr>
              <w:t>D81.1,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pacing w:val="-2"/>
                <w:sz w:val="20"/>
              </w:rPr>
              <w:t>механизма</w:t>
            </w:r>
          </w:p>
        </w:tc>
        <w:tc>
          <w:tcPr>
            <w:tcW w:w="5610" w:type="dxa"/>
          </w:tcPr>
          <w:p>
            <w:pPr>
              <w:pStyle w:val="TableParagraph"/>
              <w:spacing w:line="210" w:lineRule="exact"/>
              <w:ind w:left="475"/>
              <w:rPr>
                <w:sz w:val="20"/>
              </w:rPr>
            </w:pPr>
            <w:r>
              <w:rPr>
                <w:sz w:val="20"/>
              </w:rPr>
              <w:t>D81.2,</w:t>
            </w:r>
            <w:r>
              <w:rPr>
                <w:spacing w:val="-4"/>
                <w:sz w:val="20"/>
              </w:rPr>
              <w:t> </w:t>
            </w:r>
            <w:r>
              <w:rPr>
                <w:sz w:val="20"/>
              </w:rPr>
              <w:t>D81.3,</w:t>
            </w:r>
            <w:r>
              <w:rPr>
                <w:spacing w:val="-6"/>
                <w:sz w:val="20"/>
              </w:rPr>
              <w:t> </w:t>
            </w:r>
            <w:r>
              <w:rPr>
                <w:sz w:val="20"/>
              </w:rPr>
              <w:t>D81.4,</w:t>
            </w:r>
            <w:r>
              <w:rPr>
                <w:spacing w:val="-4"/>
                <w:sz w:val="20"/>
              </w:rPr>
              <w:t> </w:t>
            </w:r>
            <w:r>
              <w:rPr>
                <w:sz w:val="20"/>
              </w:rPr>
              <w:t>D81.5,</w:t>
            </w:r>
            <w:r>
              <w:rPr>
                <w:spacing w:val="-6"/>
                <w:sz w:val="20"/>
              </w:rPr>
              <w:t> </w:t>
            </w:r>
            <w:r>
              <w:rPr>
                <w:sz w:val="20"/>
              </w:rPr>
              <w:t>D81.6,</w:t>
            </w:r>
            <w:r>
              <w:rPr>
                <w:spacing w:val="-4"/>
                <w:sz w:val="20"/>
              </w:rPr>
              <w:t> </w:t>
            </w:r>
            <w:r>
              <w:rPr>
                <w:spacing w:val="-2"/>
                <w:sz w:val="20"/>
              </w:rPr>
              <w:t>D81.7,</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254"/>
              <w:rPr>
                <w:sz w:val="20"/>
              </w:rPr>
            </w:pPr>
            <w:r>
              <w:rPr>
                <w:sz w:val="20"/>
              </w:rPr>
              <w:t>D81.8,</w:t>
            </w:r>
            <w:r>
              <w:rPr>
                <w:spacing w:val="-6"/>
                <w:sz w:val="20"/>
              </w:rPr>
              <w:t> </w:t>
            </w:r>
            <w:r>
              <w:rPr>
                <w:sz w:val="20"/>
              </w:rPr>
              <w:t>D81.9,</w:t>
            </w:r>
            <w:r>
              <w:rPr>
                <w:spacing w:val="-7"/>
                <w:sz w:val="20"/>
              </w:rPr>
              <w:t> </w:t>
            </w:r>
            <w:r>
              <w:rPr>
                <w:sz w:val="20"/>
              </w:rPr>
              <w:t>D82,</w:t>
            </w:r>
            <w:r>
              <w:rPr>
                <w:spacing w:val="-5"/>
                <w:sz w:val="20"/>
              </w:rPr>
              <w:t> </w:t>
            </w:r>
            <w:r>
              <w:rPr>
                <w:sz w:val="20"/>
              </w:rPr>
              <w:t>D82.0,</w:t>
            </w:r>
            <w:r>
              <w:rPr>
                <w:spacing w:val="-5"/>
                <w:sz w:val="20"/>
              </w:rPr>
              <w:t> </w:t>
            </w:r>
            <w:r>
              <w:rPr>
                <w:sz w:val="20"/>
              </w:rPr>
              <w:t>D82.1,</w:t>
            </w:r>
            <w:r>
              <w:rPr>
                <w:spacing w:val="-5"/>
                <w:sz w:val="20"/>
              </w:rPr>
              <w:t> </w:t>
            </w:r>
            <w:r>
              <w:rPr>
                <w:sz w:val="20"/>
              </w:rPr>
              <w:t>D82.2,</w:t>
            </w:r>
            <w:r>
              <w:rPr>
                <w:spacing w:val="-6"/>
                <w:sz w:val="20"/>
              </w:rPr>
              <w:t> </w:t>
            </w:r>
            <w:r>
              <w:rPr>
                <w:spacing w:val="-2"/>
                <w:sz w:val="20"/>
              </w:rPr>
              <w:t>D82.3,</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254"/>
              <w:rPr>
                <w:sz w:val="20"/>
              </w:rPr>
            </w:pPr>
            <w:r>
              <w:rPr>
                <w:sz w:val="20"/>
              </w:rPr>
              <w:t>D82.4,</w:t>
            </w:r>
            <w:r>
              <w:rPr>
                <w:spacing w:val="-6"/>
                <w:sz w:val="20"/>
              </w:rPr>
              <w:t> </w:t>
            </w:r>
            <w:r>
              <w:rPr>
                <w:sz w:val="20"/>
              </w:rPr>
              <w:t>D82.8,</w:t>
            </w:r>
            <w:r>
              <w:rPr>
                <w:spacing w:val="-6"/>
                <w:sz w:val="20"/>
              </w:rPr>
              <w:t> </w:t>
            </w:r>
            <w:r>
              <w:rPr>
                <w:sz w:val="20"/>
              </w:rPr>
              <w:t>D82.9,</w:t>
            </w:r>
            <w:r>
              <w:rPr>
                <w:spacing w:val="-5"/>
                <w:sz w:val="20"/>
              </w:rPr>
              <w:t> </w:t>
            </w:r>
            <w:r>
              <w:rPr>
                <w:sz w:val="20"/>
              </w:rPr>
              <w:t>D83,</w:t>
            </w:r>
            <w:r>
              <w:rPr>
                <w:spacing w:val="-6"/>
                <w:sz w:val="20"/>
              </w:rPr>
              <w:t> </w:t>
            </w:r>
            <w:r>
              <w:rPr>
                <w:sz w:val="20"/>
              </w:rPr>
              <w:t>D83.0,</w:t>
            </w:r>
            <w:r>
              <w:rPr>
                <w:spacing w:val="-5"/>
                <w:sz w:val="20"/>
              </w:rPr>
              <w:t> </w:t>
            </w:r>
            <w:r>
              <w:rPr>
                <w:sz w:val="20"/>
              </w:rPr>
              <w:t>D83.1,</w:t>
            </w:r>
            <w:r>
              <w:rPr>
                <w:spacing w:val="-5"/>
                <w:sz w:val="20"/>
              </w:rPr>
              <w:t> </w:t>
            </w:r>
            <w:r>
              <w:rPr>
                <w:spacing w:val="-2"/>
                <w:sz w:val="20"/>
              </w:rPr>
              <w:t>D83.2,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254"/>
              <w:rPr>
                <w:sz w:val="20"/>
              </w:rPr>
            </w:pPr>
            <w:r>
              <w:rPr>
                <w:sz w:val="20"/>
              </w:rPr>
              <w:t>D83.8,</w:t>
            </w:r>
            <w:r>
              <w:rPr>
                <w:spacing w:val="-6"/>
                <w:sz w:val="20"/>
              </w:rPr>
              <w:t> </w:t>
            </w:r>
            <w:r>
              <w:rPr>
                <w:sz w:val="20"/>
              </w:rPr>
              <w:t>D83.9,</w:t>
            </w:r>
            <w:r>
              <w:rPr>
                <w:spacing w:val="-7"/>
                <w:sz w:val="20"/>
              </w:rPr>
              <w:t> </w:t>
            </w:r>
            <w:r>
              <w:rPr>
                <w:sz w:val="20"/>
              </w:rPr>
              <w:t>D84,</w:t>
            </w:r>
            <w:r>
              <w:rPr>
                <w:spacing w:val="-5"/>
                <w:sz w:val="20"/>
              </w:rPr>
              <w:t> </w:t>
            </w:r>
            <w:r>
              <w:rPr>
                <w:sz w:val="20"/>
              </w:rPr>
              <w:t>D84.0,</w:t>
            </w:r>
            <w:r>
              <w:rPr>
                <w:spacing w:val="-5"/>
                <w:sz w:val="20"/>
              </w:rPr>
              <w:t> </w:t>
            </w:r>
            <w:r>
              <w:rPr>
                <w:sz w:val="20"/>
              </w:rPr>
              <w:t>D84.1,</w:t>
            </w:r>
            <w:r>
              <w:rPr>
                <w:spacing w:val="-5"/>
                <w:sz w:val="20"/>
              </w:rPr>
              <w:t> </w:t>
            </w:r>
            <w:r>
              <w:rPr>
                <w:sz w:val="20"/>
              </w:rPr>
              <w:t>D84.8,</w:t>
            </w:r>
            <w:r>
              <w:rPr>
                <w:spacing w:val="-6"/>
                <w:sz w:val="20"/>
              </w:rPr>
              <w:t> </w:t>
            </w:r>
            <w:r>
              <w:rPr>
                <w:spacing w:val="-2"/>
                <w:sz w:val="20"/>
              </w:rPr>
              <w:t>D84.9,</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252"/>
              <w:rPr>
                <w:sz w:val="20"/>
              </w:rPr>
            </w:pPr>
            <w:r>
              <w:rPr>
                <w:sz w:val="20"/>
              </w:rPr>
              <w:t>D86.1,</w:t>
            </w:r>
            <w:r>
              <w:rPr>
                <w:spacing w:val="-4"/>
                <w:sz w:val="20"/>
              </w:rPr>
              <w:t> </w:t>
            </w:r>
            <w:r>
              <w:rPr>
                <w:sz w:val="20"/>
              </w:rPr>
              <w:t>D86.3,</w:t>
            </w:r>
            <w:r>
              <w:rPr>
                <w:spacing w:val="-6"/>
                <w:sz w:val="20"/>
              </w:rPr>
              <w:t> </w:t>
            </w:r>
            <w:r>
              <w:rPr>
                <w:sz w:val="20"/>
              </w:rPr>
              <w:t>D86.8,</w:t>
            </w:r>
            <w:r>
              <w:rPr>
                <w:spacing w:val="-4"/>
                <w:sz w:val="20"/>
              </w:rPr>
              <w:t> </w:t>
            </w:r>
            <w:r>
              <w:rPr>
                <w:sz w:val="20"/>
              </w:rPr>
              <w:t>D86.9,</w:t>
            </w:r>
            <w:r>
              <w:rPr>
                <w:spacing w:val="-5"/>
                <w:sz w:val="20"/>
              </w:rPr>
              <w:t> </w:t>
            </w:r>
            <w:r>
              <w:rPr>
                <w:sz w:val="20"/>
              </w:rPr>
              <w:t>D89,</w:t>
            </w:r>
            <w:r>
              <w:rPr>
                <w:spacing w:val="-4"/>
                <w:sz w:val="20"/>
              </w:rPr>
              <w:t> </w:t>
            </w:r>
            <w:r>
              <w:rPr>
                <w:sz w:val="20"/>
              </w:rPr>
              <w:t>D89.0,</w:t>
            </w:r>
            <w:r>
              <w:rPr>
                <w:spacing w:val="-4"/>
                <w:sz w:val="20"/>
              </w:rPr>
              <w:t> </w:t>
            </w:r>
            <w:r>
              <w:rPr>
                <w:spacing w:val="-2"/>
                <w:sz w:val="20"/>
              </w:rPr>
              <w:t>D89.1,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10" w:type="dxa"/>
          </w:tcPr>
          <w:p>
            <w:pPr>
              <w:pStyle w:val="TableParagraph"/>
              <w:rPr>
                <w:sz w:val="18"/>
              </w:rPr>
            </w:pPr>
          </w:p>
        </w:tc>
        <w:tc>
          <w:tcPr>
            <w:tcW w:w="5610" w:type="dxa"/>
          </w:tcPr>
          <w:p>
            <w:pPr>
              <w:pStyle w:val="TableParagraph"/>
              <w:spacing w:line="226" w:lineRule="exact"/>
              <w:ind w:left="1394"/>
              <w:rPr>
                <w:sz w:val="20"/>
              </w:rPr>
            </w:pPr>
            <w:r>
              <w:rPr>
                <w:sz w:val="20"/>
              </w:rPr>
              <w:t>D89.2,</w:t>
            </w:r>
            <w:r>
              <w:rPr>
                <w:spacing w:val="-4"/>
                <w:sz w:val="20"/>
              </w:rPr>
              <w:t> </w:t>
            </w:r>
            <w:r>
              <w:rPr>
                <w:sz w:val="20"/>
              </w:rPr>
              <w:t>D89.8,</w:t>
            </w:r>
            <w:r>
              <w:rPr>
                <w:spacing w:val="-5"/>
                <w:sz w:val="20"/>
              </w:rPr>
              <w:t> </w:t>
            </w:r>
            <w:r>
              <w:rPr>
                <w:spacing w:val="-4"/>
                <w:sz w:val="20"/>
              </w:rPr>
              <w:t>D89.9</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790" w:hRule="atLeast"/>
        </w:trPr>
        <w:tc>
          <w:tcPr>
            <w:tcW w:w="971" w:type="dxa"/>
          </w:tcPr>
          <w:p>
            <w:pPr>
              <w:pStyle w:val="TableParagraph"/>
              <w:spacing w:before="45"/>
              <w:ind w:left="39" w:right="223"/>
              <w:jc w:val="center"/>
              <w:rPr>
                <w:sz w:val="20"/>
              </w:rPr>
            </w:pPr>
            <w:r>
              <w:rPr>
                <w:spacing w:val="-2"/>
                <w:sz w:val="20"/>
              </w:rPr>
              <w:t>st03.002</w:t>
            </w:r>
          </w:p>
        </w:tc>
        <w:tc>
          <w:tcPr>
            <w:tcW w:w="657" w:type="dxa"/>
          </w:tcPr>
          <w:p>
            <w:pPr>
              <w:pStyle w:val="TableParagraph"/>
              <w:spacing w:before="45"/>
              <w:ind w:left="222" w:right="205"/>
              <w:jc w:val="center"/>
              <w:rPr>
                <w:sz w:val="20"/>
              </w:rPr>
            </w:pPr>
            <w:r>
              <w:rPr>
                <w:spacing w:val="-5"/>
                <w:sz w:val="20"/>
              </w:rPr>
              <w:t>16</w:t>
            </w:r>
          </w:p>
        </w:tc>
        <w:tc>
          <w:tcPr>
            <w:tcW w:w="2510" w:type="dxa"/>
          </w:tcPr>
          <w:p>
            <w:pPr>
              <w:pStyle w:val="TableParagraph"/>
              <w:spacing w:before="45"/>
              <w:ind w:left="217" w:right="221"/>
              <w:rPr>
                <w:sz w:val="20"/>
              </w:rPr>
            </w:pPr>
            <w:r>
              <w:rPr>
                <w:spacing w:val="-2"/>
                <w:sz w:val="20"/>
              </w:rPr>
              <w:t>Ангионевротический </w:t>
            </w:r>
            <w:r>
              <w:rPr>
                <w:sz w:val="20"/>
              </w:rPr>
              <w:t>отек,</w:t>
            </w:r>
            <w:r>
              <w:rPr>
                <w:spacing w:val="-13"/>
                <w:sz w:val="20"/>
              </w:rPr>
              <w:t> </w:t>
            </w:r>
            <w:r>
              <w:rPr>
                <w:sz w:val="20"/>
              </w:rPr>
              <w:t>анафилактический </w:t>
            </w:r>
            <w:r>
              <w:rPr>
                <w:spacing w:val="-4"/>
                <w:sz w:val="20"/>
              </w:rPr>
              <w:t>шок</w:t>
            </w:r>
          </w:p>
        </w:tc>
        <w:tc>
          <w:tcPr>
            <w:tcW w:w="5610" w:type="dxa"/>
          </w:tcPr>
          <w:p>
            <w:pPr>
              <w:pStyle w:val="TableParagraph"/>
              <w:spacing w:before="45"/>
              <w:ind w:left="569"/>
              <w:rPr>
                <w:sz w:val="20"/>
              </w:rPr>
            </w:pPr>
            <w:r>
              <w:rPr>
                <w:sz w:val="20"/>
              </w:rPr>
              <w:t>T78.0,</w:t>
            </w:r>
            <w:r>
              <w:rPr>
                <w:spacing w:val="-7"/>
                <w:sz w:val="20"/>
              </w:rPr>
              <w:t> </w:t>
            </w:r>
            <w:r>
              <w:rPr>
                <w:sz w:val="20"/>
              </w:rPr>
              <w:t>T78.2,</w:t>
            </w:r>
            <w:r>
              <w:rPr>
                <w:spacing w:val="-5"/>
                <w:sz w:val="20"/>
              </w:rPr>
              <w:t> </w:t>
            </w:r>
            <w:r>
              <w:rPr>
                <w:sz w:val="20"/>
              </w:rPr>
              <w:t>T78.3,</w:t>
            </w:r>
            <w:r>
              <w:rPr>
                <w:spacing w:val="-4"/>
                <w:sz w:val="20"/>
              </w:rPr>
              <w:t> </w:t>
            </w:r>
            <w:r>
              <w:rPr>
                <w:sz w:val="20"/>
              </w:rPr>
              <w:t>T78.4,</w:t>
            </w:r>
            <w:r>
              <w:rPr>
                <w:spacing w:val="-5"/>
                <w:sz w:val="20"/>
              </w:rPr>
              <w:t> </w:t>
            </w:r>
            <w:r>
              <w:rPr>
                <w:sz w:val="20"/>
              </w:rPr>
              <w:t>T80.5,</w:t>
            </w:r>
            <w:r>
              <w:rPr>
                <w:spacing w:val="-5"/>
                <w:sz w:val="20"/>
              </w:rPr>
              <w:t> </w:t>
            </w:r>
            <w:r>
              <w:rPr>
                <w:spacing w:val="-4"/>
                <w:sz w:val="20"/>
              </w:rPr>
              <w:t>T88.6</w:t>
            </w:r>
          </w:p>
        </w:tc>
        <w:tc>
          <w:tcPr>
            <w:tcW w:w="1942" w:type="dxa"/>
          </w:tcPr>
          <w:p>
            <w:pPr>
              <w:pStyle w:val="TableParagraph"/>
              <w:spacing w:before="45"/>
              <w:ind w:left="472"/>
              <w:rPr>
                <w:sz w:val="20"/>
              </w:rPr>
            </w:pPr>
            <w:r>
              <w:rPr>
                <w:w w:val="99"/>
                <w:sz w:val="20"/>
              </w:rPr>
              <w:t>-</w:t>
            </w:r>
          </w:p>
        </w:tc>
        <w:tc>
          <w:tcPr>
            <w:tcW w:w="2327" w:type="dxa"/>
          </w:tcPr>
          <w:p>
            <w:pPr>
              <w:pStyle w:val="TableParagraph"/>
              <w:spacing w:before="45"/>
              <w:ind w:right="862"/>
              <w:jc w:val="right"/>
              <w:rPr>
                <w:sz w:val="20"/>
              </w:rPr>
            </w:pPr>
            <w:r>
              <w:rPr>
                <w:w w:val="99"/>
                <w:sz w:val="20"/>
              </w:rPr>
              <w:t>-</w:t>
            </w:r>
          </w:p>
        </w:tc>
        <w:tc>
          <w:tcPr>
            <w:tcW w:w="1262" w:type="dxa"/>
          </w:tcPr>
          <w:p>
            <w:pPr>
              <w:pStyle w:val="TableParagraph"/>
              <w:spacing w:before="45"/>
              <w:ind w:right="53"/>
              <w:jc w:val="right"/>
              <w:rPr>
                <w:sz w:val="20"/>
              </w:rPr>
            </w:pPr>
            <w:r>
              <w:rPr>
                <w:spacing w:val="-4"/>
                <w:sz w:val="20"/>
              </w:rPr>
              <w:t>0,27</w:t>
            </w:r>
          </w:p>
        </w:tc>
      </w:tr>
      <w:tr>
        <w:trPr>
          <w:trHeight w:val="330" w:hRule="atLeast"/>
        </w:trPr>
        <w:tc>
          <w:tcPr>
            <w:tcW w:w="971" w:type="dxa"/>
          </w:tcPr>
          <w:p>
            <w:pPr>
              <w:pStyle w:val="TableParagraph"/>
              <w:spacing w:before="46"/>
              <w:ind w:left="37" w:right="223"/>
              <w:jc w:val="center"/>
              <w:rPr>
                <w:sz w:val="20"/>
              </w:rPr>
            </w:pPr>
            <w:r>
              <w:rPr>
                <w:spacing w:val="-4"/>
                <w:sz w:val="20"/>
              </w:rPr>
              <w:t>st04</w:t>
            </w:r>
          </w:p>
        </w:tc>
        <w:tc>
          <w:tcPr>
            <w:tcW w:w="657" w:type="dxa"/>
          </w:tcPr>
          <w:p>
            <w:pPr>
              <w:pStyle w:val="TableParagraph"/>
              <w:spacing w:before="46"/>
              <w:ind w:left="15"/>
              <w:jc w:val="center"/>
              <w:rPr>
                <w:sz w:val="20"/>
              </w:rPr>
            </w:pPr>
            <w:r>
              <w:rPr>
                <w:w w:val="99"/>
                <w:sz w:val="20"/>
              </w:rPr>
              <w:t>4</w:t>
            </w:r>
          </w:p>
        </w:tc>
        <w:tc>
          <w:tcPr>
            <w:tcW w:w="2510" w:type="dxa"/>
          </w:tcPr>
          <w:p>
            <w:pPr>
              <w:pStyle w:val="TableParagraph"/>
              <w:rPr>
                <w:sz w:val="18"/>
              </w:rPr>
            </w:pPr>
          </w:p>
        </w:tc>
        <w:tc>
          <w:tcPr>
            <w:tcW w:w="5610" w:type="dxa"/>
          </w:tcPr>
          <w:p>
            <w:pPr>
              <w:pStyle w:val="TableParagraph"/>
              <w:spacing w:before="46"/>
              <w:ind w:left="3045"/>
              <w:rPr>
                <w:sz w:val="20"/>
              </w:rPr>
            </w:pPr>
            <w:r>
              <w:rPr>
                <w:spacing w:val="-2"/>
                <w:sz w:val="20"/>
              </w:rPr>
              <w:t>Гастроэнтерология</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spacing w:before="46"/>
              <w:ind w:right="53"/>
              <w:jc w:val="right"/>
              <w:rPr>
                <w:sz w:val="20"/>
              </w:rPr>
            </w:pPr>
            <w:r>
              <w:rPr>
                <w:spacing w:val="-4"/>
                <w:sz w:val="20"/>
              </w:rPr>
              <w:t>1,04</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st04.001</w:t>
            </w:r>
          </w:p>
        </w:tc>
        <w:tc>
          <w:tcPr>
            <w:tcW w:w="657" w:type="dxa"/>
          </w:tcPr>
          <w:p>
            <w:pPr>
              <w:pStyle w:val="TableParagraph"/>
              <w:spacing w:line="215" w:lineRule="exact" w:before="45"/>
              <w:ind w:left="222" w:right="205"/>
              <w:jc w:val="center"/>
              <w:rPr>
                <w:sz w:val="20"/>
              </w:rPr>
            </w:pPr>
            <w:r>
              <w:rPr>
                <w:spacing w:val="-5"/>
                <w:sz w:val="20"/>
              </w:rPr>
              <w:t>17</w:t>
            </w:r>
          </w:p>
        </w:tc>
        <w:tc>
          <w:tcPr>
            <w:tcW w:w="2510" w:type="dxa"/>
          </w:tcPr>
          <w:p>
            <w:pPr>
              <w:pStyle w:val="TableParagraph"/>
              <w:spacing w:line="215" w:lineRule="exact" w:before="45"/>
              <w:ind w:left="217"/>
              <w:rPr>
                <w:sz w:val="20"/>
              </w:rPr>
            </w:pPr>
            <w:r>
              <w:rPr>
                <w:sz w:val="20"/>
              </w:rPr>
              <w:t>Язва</w:t>
            </w:r>
            <w:r>
              <w:rPr>
                <w:spacing w:val="-7"/>
                <w:sz w:val="20"/>
              </w:rPr>
              <w:t> </w:t>
            </w:r>
            <w:r>
              <w:rPr>
                <w:sz w:val="20"/>
              </w:rPr>
              <w:t>желудка</w:t>
            </w:r>
            <w:r>
              <w:rPr>
                <w:spacing w:val="-5"/>
                <w:sz w:val="20"/>
              </w:rPr>
              <w:t> </w:t>
            </w:r>
            <w:r>
              <w:rPr>
                <w:spacing w:val="-10"/>
                <w:sz w:val="20"/>
              </w:rPr>
              <w:t>и</w:t>
            </w:r>
          </w:p>
        </w:tc>
        <w:tc>
          <w:tcPr>
            <w:tcW w:w="5610" w:type="dxa"/>
          </w:tcPr>
          <w:p>
            <w:pPr>
              <w:pStyle w:val="TableParagraph"/>
              <w:spacing w:line="215" w:lineRule="exact" w:before="45"/>
              <w:ind w:left="254"/>
              <w:rPr>
                <w:sz w:val="20"/>
              </w:rPr>
            </w:pPr>
            <w:r>
              <w:rPr>
                <w:sz w:val="20"/>
              </w:rPr>
              <w:t>K25,</w:t>
            </w:r>
            <w:r>
              <w:rPr>
                <w:spacing w:val="-6"/>
                <w:sz w:val="20"/>
              </w:rPr>
              <w:t> </w:t>
            </w:r>
            <w:r>
              <w:rPr>
                <w:sz w:val="20"/>
              </w:rPr>
              <w:t>K25.0,</w:t>
            </w:r>
            <w:r>
              <w:rPr>
                <w:spacing w:val="-6"/>
                <w:sz w:val="20"/>
              </w:rPr>
              <w:t> </w:t>
            </w:r>
            <w:r>
              <w:rPr>
                <w:sz w:val="20"/>
              </w:rPr>
              <w:t>K25.1,</w:t>
            </w:r>
            <w:r>
              <w:rPr>
                <w:spacing w:val="-5"/>
                <w:sz w:val="20"/>
              </w:rPr>
              <w:t> </w:t>
            </w:r>
            <w:r>
              <w:rPr>
                <w:sz w:val="20"/>
              </w:rPr>
              <w:t>K25.2,</w:t>
            </w:r>
            <w:r>
              <w:rPr>
                <w:spacing w:val="-6"/>
                <w:sz w:val="20"/>
              </w:rPr>
              <w:t> </w:t>
            </w:r>
            <w:r>
              <w:rPr>
                <w:sz w:val="20"/>
              </w:rPr>
              <w:t>K25.3,</w:t>
            </w:r>
            <w:r>
              <w:rPr>
                <w:spacing w:val="-5"/>
                <w:sz w:val="20"/>
              </w:rPr>
              <w:t> </w:t>
            </w:r>
            <w:r>
              <w:rPr>
                <w:sz w:val="20"/>
              </w:rPr>
              <w:t>K25.4,</w:t>
            </w:r>
            <w:r>
              <w:rPr>
                <w:spacing w:val="-6"/>
                <w:sz w:val="20"/>
              </w:rPr>
              <w:t> </w:t>
            </w:r>
            <w:r>
              <w:rPr>
                <w:spacing w:val="-2"/>
                <w:sz w:val="20"/>
              </w:rPr>
              <w:t>K25.5,</w:t>
            </w:r>
          </w:p>
        </w:tc>
        <w:tc>
          <w:tcPr>
            <w:tcW w:w="1942" w:type="dxa"/>
          </w:tcPr>
          <w:p>
            <w:pPr>
              <w:pStyle w:val="TableParagraph"/>
              <w:spacing w:line="215" w:lineRule="exact" w:before="45"/>
              <w:ind w:left="472"/>
              <w:rPr>
                <w:sz w:val="20"/>
              </w:rPr>
            </w:pPr>
            <w:r>
              <w:rPr>
                <w:w w:val="99"/>
                <w:sz w:val="20"/>
              </w:rPr>
              <w:t>-</w:t>
            </w:r>
          </w:p>
        </w:tc>
        <w:tc>
          <w:tcPr>
            <w:tcW w:w="2327" w:type="dxa"/>
          </w:tcPr>
          <w:p>
            <w:pPr>
              <w:pStyle w:val="TableParagraph"/>
              <w:spacing w:line="215" w:lineRule="exact" w:before="45"/>
              <w:ind w:right="862"/>
              <w:jc w:val="right"/>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0,89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pacing w:val="-2"/>
                <w:sz w:val="20"/>
              </w:rPr>
              <w:t>двенадцатиперстной</w:t>
            </w:r>
          </w:p>
        </w:tc>
        <w:tc>
          <w:tcPr>
            <w:tcW w:w="5610" w:type="dxa"/>
          </w:tcPr>
          <w:p>
            <w:pPr>
              <w:pStyle w:val="TableParagraph"/>
              <w:spacing w:line="210" w:lineRule="exact"/>
              <w:ind w:left="254"/>
              <w:rPr>
                <w:sz w:val="20"/>
              </w:rPr>
            </w:pPr>
            <w:r>
              <w:rPr>
                <w:sz w:val="20"/>
              </w:rPr>
              <w:t>K25.6,</w:t>
            </w:r>
            <w:r>
              <w:rPr>
                <w:spacing w:val="-6"/>
                <w:sz w:val="20"/>
              </w:rPr>
              <w:t> </w:t>
            </w:r>
            <w:r>
              <w:rPr>
                <w:sz w:val="20"/>
              </w:rPr>
              <w:t>K25.7,</w:t>
            </w:r>
            <w:r>
              <w:rPr>
                <w:spacing w:val="-6"/>
                <w:sz w:val="20"/>
              </w:rPr>
              <w:t> </w:t>
            </w:r>
            <w:r>
              <w:rPr>
                <w:sz w:val="20"/>
              </w:rPr>
              <w:t>K25.9,</w:t>
            </w:r>
            <w:r>
              <w:rPr>
                <w:spacing w:val="-5"/>
                <w:sz w:val="20"/>
              </w:rPr>
              <w:t> </w:t>
            </w:r>
            <w:r>
              <w:rPr>
                <w:sz w:val="20"/>
              </w:rPr>
              <w:t>K26,</w:t>
            </w:r>
            <w:r>
              <w:rPr>
                <w:spacing w:val="-6"/>
                <w:sz w:val="20"/>
              </w:rPr>
              <w:t> </w:t>
            </w:r>
            <w:r>
              <w:rPr>
                <w:sz w:val="20"/>
              </w:rPr>
              <w:t>K26.0,</w:t>
            </w:r>
            <w:r>
              <w:rPr>
                <w:spacing w:val="-5"/>
                <w:sz w:val="20"/>
              </w:rPr>
              <w:t> </w:t>
            </w:r>
            <w:r>
              <w:rPr>
                <w:sz w:val="20"/>
              </w:rPr>
              <w:t>K26.1,</w:t>
            </w:r>
            <w:r>
              <w:rPr>
                <w:spacing w:val="-5"/>
                <w:sz w:val="20"/>
              </w:rPr>
              <w:t> </w:t>
            </w:r>
            <w:r>
              <w:rPr>
                <w:spacing w:val="-2"/>
                <w:sz w:val="20"/>
              </w:rPr>
              <w:t>K26.2,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09" w:lineRule="exact"/>
              <w:ind w:left="217"/>
              <w:rPr>
                <w:sz w:val="20"/>
              </w:rPr>
            </w:pPr>
            <w:r>
              <w:rPr>
                <w:spacing w:val="-2"/>
                <w:sz w:val="20"/>
              </w:rPr>
              <w:t>кишки</w:t>
            </w:r>
          </w:p>
        </w:tc>
        <w:tc>
          <w:tcPr>
            <w:tcW w:w="5610" w:type="dxa"/>
          </w:tcPr>
          <w:p>
            <w:pPr>
              <w:pStyle w:val="TableParagraph"/>
              <w:spacing w:line="209" w:lineRule="exact"/>
              <w:ind w:left="252"/>
              <w:rPr>
                <w:sz w:val="20"/>
              </w:rPr>
            </w:pPr>
            <w:r>
              <w:rPr>
                <w:sz w:val="20"/>
              </w:rPr>
              <w:t>K26.3,</w:t>
            </w:r>
            <w:r>
              <w:rPr>
                <w:spacing w:val="-5"/>
                <w:sz w:val="20"/>
              </w:rPr>
              <w:t> </w:t>
            </w:r>
            <w:r>
              <w:rPr>
                <w:sz w:val="20"/>
              </w:rPr>
              <w:t>K26.4,</w:t>
            </w:r>
            <w:r>
              <w:rPr>
                <w:spacing w:val="-5"/>
                <w:sz w:val="20"/>
              </w:rPr>
              <w:t> </w:t>
            </w:r>
            <w:r>
              <w:rPr>
                <w:sz w:val="20"/>
              </w:rPr>
              <w:t>K26.5,</w:t>
            </w:r>
            <w:r>
              <w:rPr>
                <w:spacing w:val="-4"/>
                <w:sz w:val="20"/>
              </w:rPr>
              <w:t> </w:t>
            </w:r>
            <w:r>
              <w:rPr>
                <w:sz w:val="20"/>
              </w:rPr>
              <w:t>K26.6,</w:t>
            </w:r>
            <w:r>
              <w:rPr>
                <w:spacing w:val="-6"/>
                <w:sz w:val="20"/>
              </w:rPr>
              <w:t> </w:t>
            </w:r>
            <w:r>
              <w:rPr>
                <w:sz w:val="20"/>
              </w:rPr>
              <w:t>K26.7,</w:t>
            </w:r>
            <w:r>
              <w:rPr>
                <w:spacing w:val="-4"/>
                <w:sz w:val="20"/>
              </w:rPr>
              <w:t> </w:t>
            </w:r>
            <w:r>
              <w:rPr>
                <w:sz w:val="20"/>
              </w:rPr>
              <w:t>K26.9,</w:t>
            </w:r>
            <w:r>
              <w:rPr>
                <w:spacing w:val="-6"/>
                <w:sz w:val="20"/>
              </w:rPr>
              <w:t> </w:t>
            </w:r>
            <w:r>
              <w:rPr>
                <w:spacing w:val="-4"/>
                <w:sz w:val="20"/>
              </w:rPr>
              <w:t>K27,</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475"/>
              <w:rPr>
                <w:sz w:val="20"/>
              </w:rPr>
            </w:pPr>
            <w:r>
              <w:rPr>
                <w:sz w:val="20"/>
              </w:rPr>
              <w:t>K27.0,</w:t>
            </w:r>
            <w:r>
              <w:rPr>
                <w:spacing w:val="-4"/>
                <w:sz w:val="20"/>
              </w:rPr>
              <w:t> </w:t>
            </w:r>
            <w:r>
              <w:rPr>
                <w:sz w:val="20"/>
              </w:rPr>
              <w:t>K27.1,</w:t>
            </w:r>
            <w:r>
              <w:rPr>
                <w:spacing w:val="-6"/>
                <w:sz w:val="20"/>
              </w:rPr>
              <w:t> </w:t>
            </w:r>
            <w:r>
              <w:rPr>
                <w:sz w:val="20"/>
              </w:rPr>
              <w:t>K27.2,</w:t>
            </w:r>
            <w:r>
              <w:rPr>
                <w:spacing w:val="-4"/>
                <w:sz w:val="20"/>
              </w:rPr>
              <w:t> </w:t>
            </w:r>
            <w:r>
              <w:rPr>
                <w:sz w:val="20"/>
              </w:rPr>
              <w:t>K27.3,</w:t>
            </w:r>
            <w:r>
              <w:rPr>
                <w:spacing w:val="-6"/>
                <w:sz w:val="20"/>
              </w:rPr>
              <w:t> </w:t>
            </w:r>
            <w:r>
              <w:rPr>
                <w:sz w:val="20"/>
              </w:rPr>
              <w:t>K27.4,</w:t>
            </w:r>
            <w:r>
              <w:rPr>
                <w:spacing w:val="-4"/>
                <w:sz w:val="20"/>
              </w:rPr>
              <w:t> </w:t>
            </w:r>
            <w:r>
              <w:rPr>
                <w:spacing w:val="-2"/>
                <w:sz w:val="20"/>
              </w:rPr>
              <w:t>K27.5,</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254"/>
              <w:rPr>
                <w:sz w:val="20"/>
              </w:rPr>
            </w:pPr>
            <w:r>
              <w:rPr>
                <w:sz w:val="20"/>
              </w:rPr>
              <w:t>K27.6,</w:t>
            </w:r>
            <w:r>
              <w:rPr>
                <w:spacing w:val="-6"/>
                <w:sz w:val="20"/>
              </w:rPr>
              <w:t> </w:t>
            </w:r>
            <w:r>
              <w:rPr>
                <w:sz w:val="20"/>
              </w:rPr>
              <w:t>K27.7,</w:t>
            </w:r>
            <w:r>
              <w:rPr>
                <w:spacing w:val="-6"/>
                <w:sz w:val="20"/>
              </w:rPr>
              <w:t> </w:t>
            </w:r>
            <w:r>
              <w:rPr>
                <w:sz w:val="20"/>
              </w:rPr>
              <w:t>K27.9,</w:t>
            </w:r>
            <w:r>
              <w:rPr>
                <w:spacing w:val="-5"/>
                <w:sz w:val="20"/>
              </w:rPr>
              <w:t> </w:t>
            </w:r>
            <w:r>
              <w:rPr>
                <w:sz w:val="20"/>
              </w:rPr>
              <w:t>K28,</w:t>
            </w:r>
            <w:r>
              <w:rPr>
                <w:spacing w:val="-6"/>
                <w:sz w:val="20"/>
              </w:rPr>
              <w:t> </w:t>
            </w:r>
            <w:r>
              <w:rPr>
                <w:sz w:val="20"/>
              </w:rPr>
              <w:t>K28.0,</w:t>
            </w:r>
            <w:r>
              <w:rPr>
                <w:spacing w:val="-5"/>
                <w:sz w:val="20"/>
              </w:rPr>
              <w:t> </w:t>
            </w:r>
            <w:r>
              <w:rPr>
                <w:sz w:val="20"/>
              </w:rPr>
              <w:t>K28.1,</w:t>
            </w:r>
            <w:r>
              <w:rPr>
                <w:spacing w:val="-5"/>
                <w:sz w:val="20"/>
              </w:rPr>
              <w:t> </w:t>
            </w:r>
            <w:r>
              <w:rPr>
                <w:spacing w:val="-2"/>
                <w:sz w:val="20"/>
              </w:rPr>
              <w:t>K28.2,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10" w:type="dxa"/>
          </w:tcPr>
          <w:p>
            <w:pPr>
              <w:pStyle w:val="TableParagraph"/>
              <w:rPr>
                <w:sz w:val="18"/>
              </w:rPr>
            </w:pPr>
          </w:p>
        </w:tc>
        <w:tc>
          <w:tcPr>
            <w:tcW w:w="5610" w:type="dxa"/>
          </w:tcPr>
          <w:p>
            <w:pPr>
              <w:pStyle w:val="TableParagraph"/>
              <w:spacing w:line="226" w:lineRule="exact"/>
              <w:ind w:left="501"/>
              <w:rPr>
                <w:sz w:val="20"/>
              </w:rPr>
            </w:pPr>
            <w:r>
              <w:rPr>
                <w:sz w:val="20"/>
              </w:rPr>
              <w:t>K28.3,</w:t>
            </w:r>
            <w:r>
              <w:rPr>
                <w:spacing w:val="-4"/>
                <w:sz w:val="20"/>
              </w:rPr>
              <w:t> </w:t>
            </w:r>
            <w:r>
              <w:rPr>
                <w:sz w:val="20"/>
              </w:rPr>
              <w:t>K28.4,</w:t>
            </w:r>
            <w:r>
              <w:rPr>
                <w:spacing w:val="-5"/>
                <w:sz w:val="20"/>
              </w:rPr>
              <w:t> </w:t>
            </w:r>
            <w:r>
              <w:rPr>
                <w:sz w:val="20"/>
              </w:rPr>
              <w:t>K28.5,</w:t>
            </w:r>
            <w:r>
              <w:rPr>
                <w:spacing w:val="-3"/>
                <w:sz w:val="20"/>
              </w:rPr>
              <w:t> </w:t>
            </w:r>
            <w:r>
              <w:rPr>
                <w:sz w:val="20"/>
              </w:rPr>
              <w:t>K28.6,</w:t>
            </w:r>
            <w:r>
              <w:rPr>
                <w:spacing w:val="-5"/>
                <w:sz w:val="20"/>
              </w:rPr>
              <w:t> </w:t>
            </w:r>
            <w:r>
              <w:rPr>
                <w:sz w:val="20"/>
              </w:rPr>
              <w:t>K28.7,</w:t>
            </w:r>
            <w:r>
              <w:rPr>
                <w:spacing w:val="-4"/>
                <w:sz w:val="20"/>
              </w:rPr>
              <w:t> K28.9</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st04.002</w:t>
            </w:r>
          </w:p>
        </w:tc>
        <w:tc>
          <w:tcPr>
            <w:tcW w:w="657" w:type="dxa"/>
          </w:tcPr>
          <w:p>
            <w:pPr>
              <w:pStyle w:val="TableParagraph"/>
              <w:spacing w:line="214" w:lineRule="exact" w:before="46"/>
              <w:ind w:left="222" w:right="205"/>
              <w:jc w:val="center"/>
              <w:rPr>
                <w:sz w:val="20"/>
              </w:rPr>
            </w:pPr>
            <w:r>
              <w:rPr>
                <w:spacing w:val="-5"/>
                <w:sz w:val="20"/>
              </w:rPr>
              <w:t>18</w:t>
            </w:r>
          </w:p>
        </w:tc>
        <w:tc>
          <w:tcPr>
            <w:tcW w:w="2510" w:type="dxa"/>
          </w:tcPr>
          <w:p>
            <w:pPr>
              <w:pStyle w:val="TableParagraph"/>
              <w:spacing w:line="214" w:lineRule="exact" w:before="46"/>
              <w:ind w:left="217"/>
              <w:rPr>
                <w:sz w:val="20"/>
              </w:rPr>
            </w:pPr>
            <w:r>
              <w:rPr>
                <w:spacing w:val="-2"/>
                <w:sz w:val="20"/>
              </w:rPr>
              <w:t>Воспалительные</w:t>
            </w:r>
          </w:p>
        </w:tc>
        <w:tc>
          <w:tcPr>
            <w:tcW w:w="5610" w:type="dxa"/>
          </w:tcPr>
          <w:p>
            <w:pPr>
              <w:pStyle w:val="TableParagraph"/>
              <w:spacing w:line="214" w:lineRule="exact" w:before="46"/>
              <w:ind w:left="328"/>
              <w:rPr>
                <w:sz w:val="20"/>
              </w:rPr>
            </w:pPr>
            <w:r>
              <w:rPr>
                <w:sz w:val="20"/>
              </w:rPr>
              <w:t>K50,</w:t>
            </w:r>
            <w:r>
              <w:rPr>
                <w:spacing w:val="-5"/>
                <w:sz w:val="20"/>
              </w:rPr>
              <w:t> </w:t>
            </w:r>
            <w:r>
              <w:rPr>
                <w:sz w:val="20"/>
              </w:rPr>
              <w:t>K50.0,</w:t>
            </w:r>
            <w:r>
              <w:rPr>
                <w:spacing w:val="-5"/>
                <w:sz w:val="20"/>
              </w:rPr>
              <w:t> </w:t>
            </w:r>
            <w:r>
              <w:rPr>
                <w:sz w:val="20"/>
              </w:rPr>
              <w:t>K50.1,</w:t>
            </w:r>
            <w:r>
              <w:rPr>
                <w:spacing w:val="-5"/>
                <w:sz w:val="20"/>
              </w:rPr>
              <w:t> </w:t>
            </w:r>
            <w:r>
              <w:rPr>
                <w:sz w:val="20"/>
              </w:rPr>
              <w:t>K50.8,</w:t>
            </w:r>
            <w:r>
              <w:rPr>
                <w:spacing w:val="-5"/>
                <w:sz w:val="20"/>
              </w:rPr>
              <w:t> </w:t>
            </w:r>
            <w:r>
              <w:rPr>
                <w:sz w:val="20"/>
              </w:rPr>
              <w:t>K50.9,</w:t>
            </w:r>
            <w:r>
              <w:rPr>
                <w:spacing w:val="-5"/>
                <w:sz w:val="20"/>
              </w:rPr>
              <w:t> </w:t>
            </w:r>
            <w:r>
              <w:rPr>
                <w:sz w:val="20"/>
              </w:rPr>
              <w:t>K51,</w:t>
            </w:r>
            <w:r>
              <w:rPr>
                <w:spacing w:val="-5"/>
                <w:sz w:val="20"/>
              </w:rPr>
              <w:t> </w:t>
            </w:r>
            <w:r>
              <w:rPr>
                <w:spacing w:val="-2"/>
                <w:sz w:val="20"/>
              </w:rPr>
              <w:t>K51.0,</w:t>
            </w:r>
          </w:p>
        </w:tc>
        <w:tc>
          <w:tcPr>
            <w:tcW w:w="1942" w:type="dxa"/>
          </w:tcPr>
          <w:p>
            <w:pPr>
              <w:pStyle w:val="TableParagraph"/>
              <w:spacing w:line="214" w:lineRule="exact" w:before="46"/>
              <w:ind w:left="472"/>
              <w:rPr>
                <w:sz w:val="20"/>
              </w:rPr>
            </w:pPr>
            <w:r>
              <w:rPr>
                <w:w w:val="99"/>
                <w:sz w:val="20"/>
              </w:rPr>
              <w:t>-</w:t>
            </w:r>
          </w:p>
        </w:tc>
        <w:tc>
          <w:tcPr>
            <w:tcW w:w="2327" w:type="dxa"/>
          </w:tcPr>
          <w:p>
            <w:pPr>
              <w:pStyle w:val="TableParagraph"/>
              <w:spacing w:line="214" w:lineRule="exact" w:before="46"/>
              <w:ind w:right="862"/>
              <w:jc w:val="right"/>
              <w:rPr>
                <w:sz w:val="20"/>
              </w:rPr>
            </w:pPr>
            <w:r>
              <w:rPr>
                <w:w w:val="99"/>
                <w:sz w:val="20"/>
              </w:rPr>
              <w:t>-</w:t>
            </w:r>
          </w:p>
        </w:tc>
        <w:tc>
          <w:tcPr>
            <w:tcW w:w="1262" w:type="dxa"/>
          </w:tcPr>
          <w:p>
            <w:pPr>
              <w:pStyle w:val="TableParagraph"/>
              <w:spacing w:line="214" w:lineRule="exact" w:before="46"/>
              <w:ind w:right="53"/>
              <w:jc w:val="right"/>
              <w:rPr>
                <w:sz w:val="20"/>
              </w:rPr>
            </w:pPr>
            <w:r>
              <w:rPr>
                <w:spacing w:val="-4"/>
                <w:sz w:val="20"/>
              </w:rPr>
              <w:t>2,01</w:t>
            </w: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10" w:type="dxa"/>
          </w:tcPr>
          <w:p>
            <w:pPr>
              <w:pStyle w:val="TableParagraph"/>
              <w:spacing w:line="224" w:lineRule="exact"/>
              <w:ind w:left="217"/>
              <w:rPr>
                <w:sz w:val="20"/>
              </w:rPr>
            </w:pPr>
            <w:r>
              <w:rPr>
                <w:sz w:val="20"/>
              </w:rPr>
              <w:t>заболевания</w:t>
            </w:r>
            <w:r>
              <w:rPr>
                <w:spacing w:val="-12"/>
                <w:sz w:val="20"/>
              </w:rPr>
              <w:t> </w:t>
            </w:r>
            <w:r>
              <w:rPr>
                <w:spacing w:val="-2"/>
                <w:sz w:val="20"/>
              </w:rPr>
              <w:t>кишечника</w:t>
            </w:r>
          </w:p>
        </w:tc>
        <w:tc>
          <w:tcPr>
            <w:tcW w:w="5610" w:type="dxa"/>
          </w:tcPr>
          <w:p>
            <w:pPr>
              <w:pStyle w:val="TableParagraph"/>
              <w:spacing w:line="224" w:lineRule="exact"/>
              <w:ind w:left="501"/>
              <w:rPr>
                <w:sz w:val="20"/>
              </w:rPr>
            </w:pPr>
            <w:r>
              <w:rPr>
                <w:sz w:val="20"/>
              </w:rPr>
              <w:t>K51.2,</w:t>
            </w:r>
            <w:r>
              <w:rPr>
                <w:spacing w:val="-4"/>
                <w:sz w:val="20"/>
              </w:rPr>
              <w:t> </w:t>
            </w:r>
            <w:r>
              <w:rPr>
                <w:sz w:val="20"/>
              </w:rPr>
              <w:t>K51.3,</w:t>
            </w:r>
            <w:r>
              <w:rPr>
                <w:spacing w:val="-6"/>
                <w:sz w:val="20"/>
              </w:rPr>
              <w:t> </w:t>
            </w:r>
            <w:r>
              <w:rPr>
                <w:sz w:val="20"/>
              </w:rPr>
              <w:t>K51.4,</w:t>
            </w:r>
            <w:r>
              <w:rPr>
                <w:spacing w:val="-4"/>
                <w:sz w:val="20"/>
              </w:rPr>
              <w:t> </w:t>
            </w:r>
            <w:r>
              <w:rPr>
                <w:sz w:val="20"/>
              </w:rPr>
              <w:t>K51.5,</w:t>
            </w:r>
            <w:r>
              <w:rPr>
                <w:spacing w:val="-6"/>
                <w:sz w:val="20"/>
              </w:rPr>
              <w:t> </w:t>
            </w:r>
            <w:r>
              <w:rPr>
                <w:sz w:val="20"/>
              </w:rPr>
              <w:t>K51.8,</w:t>
            </w:r>
            <w:r>
              <w:rPr>
                <w:spacing w:val="-4"/>
                <w:sz w:val="20"/>
              </w:rPr>
              <w:t> K51.9</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81" w:hRule="atLeast"/>
        </w:trPr>
        <w:tc>
          <w:tcPr>
            <w:tcW w:w="971" w:type="dxa"/>
          </w:tcPr>
          <w:p>
            <w:pPr>
              <w:pStyle w:val="TableParagraph"/>
              <w:spacing w:line="215" w:lineRule="exact" w:before="46"/>
              <w:ind w:left="39" w:right="223"/>
              <w:jc w:val="center"/>
              <w:rPr>
                <w:sz w:val="20"/>
              </w:rPr>
            </w:pPr>
            <w:r>
              <w:rPr>
                <w:spacing w:val="-2"/>
                <w:sz w:val="20"/>
              </w:rPr>
              <w:t>st04.003</w:t>
            </w:r>
          </w:p>
        </w:tc>
        <w:tc>
          <w:tcPr>
            <w:tcW w:w="657" w:type="dxa"/>
          </w:tcPr>
          <w:p>
            <w:pPr>
              <w:pStyle w:val="TableParagraph"/>
              <w:spacing w:line="215" w:lineRule="exact" w:before="46"/>
              <w:ind w:left="222" w:right="205"/>
              <w:jc w:val="center"/>
              <w:rPr>
                <w:sz w:val="20"/>
              </w:rPr>
            </w:pPr>
            <w:r>
              <w:rPr>
                <w:spacing w:val="-5"/>
                <w:sz w:val="20"/>
              </w:rPr>
              <w:t>19</w:t>
            </w:r>
          </w:p>
        </w:tc>
        <w:tc>
          <w:tcPr>
            <w:tcW w:w="2510" w:type="dxa"/>
          </w:tcPr>
          <w:p>
            <w:pPr>
              <w:pStyle w:val="TableParagraph"/>
              <w:spacing w:line="215" w:lineRule="exact" w:before="46"/>
              <w:ind w:left="217"/>
              <w:rPr>
                <w:sz w:val="20"/>
              </w:rPr>
            </w:pPr>
            <w:r>
              <w:rPr>
                <w:sz w:val="20"/>
              </w:rPr>
              <w:t>Болезни</w:t>
            </w:r>
            <w:r>
              <w:rPr>
                <w:spacing w:val="-8"/>
                <w:sz w:val="20"/>
              </w:rPr>
              <w:t> </w:t>
            </w:r>
            <w:r>
              <w:rPr>
                <w:spacing w:val="-2"/>
                <w:sz w:val="20"/>
              </w:rPr>
              <w:t>печени,</w:t>
            </w:r>
          </w:p>
        </w:tc>
        <w:tc>
          <w:tcPr>
            <w:tcW w:w="5610" w:type="dxa"/>
          </w:tcPr>
          <w:p>
            <w:pPr>
              <w:pStyle w:val="TableParagraph"/>
              <w:spacing w:line="215" w:lineRule="exact" w:before="46"/>
              <w:ind w:left="292"/>
              <w:rPr>
                <w:sz w:val="20"/>
              </w:rPr>
            </w:pPr>
            <w:r>
              <w:rPr>
                <w:sz w:val="20"/>
              </w:rPr>
              <w:t>I81,</w:t>
            </w:r>
            <w:r>
              <w:rPr>
                <w:spacing w:val="-4"/>
                <w:sz w:val="20"/>
              </w:rPr>
              <w:t> </w:t>
            </w:r>
            <w:r>
              <w:rPr>
                <w:sz w:val="20"/>
              </w:rPr>
              <w:t>K70.0,</w:t>
            </w:r>
            <w:r>
              <w:rPr>
                <w:spacing w:val="-5"/>
                <w:sz w:val="20"/>
              </w:rPr>
              <w:t> </w:t>
            </w:r>
            <w:r>
              <w:rPr>
                <w:sz w:val="20"/>
              </w:rPr>
              <w:t>K70.1,</w:t>
            </w:r>
            <w:r>
              <w:rPr>
                <w:spacing w:val="-3"/>
                <w:sz w:val="20"/>
              </w:rPr>
              <w:t> </w:t>
            </w:r>
            <w:r>
              <w:rPr>
                <w:sz w:val="20"/>
              </w:rPr>
              <w:t>K70.2,</w:t>
            </w:r>
            <w:r>
              <w:rPr>
                <w:spacing w:val="-3"/>
                <w:sz w:val="20"/>
              </w:rPr>
              <w:t> </w:t>
            </w:r>
            <w:r>
              <w:rPr>
                <w:sz w:val="20"/>
              </w:rPr>
              <w:t>K70.4,</w:t>
            </w:r>
            <w:r>
              <w:rPr>
                <w:spacing w:val="-4"/>
                <w:sz w:val="20"/>
              </w:rPr>
              <w:t> </w:t>
            </w:r>
            <w:r>
              <w:rPr>
                <w:sz w:val="20"/>
              </w:rPr>
              <w:t>K70.9,</w:t>
            </w:r>
            <w:r>
              <w:rPr>
                <w:spacing w:val="-3"/>
                <w:sz w:val="20"/>
              </w:rPr>
              <w:t> </w:t>
            </w:r>
            <w:r>
              <w:rPr>
                <w:spacing w:val="-2"/>
                <w:sz w:val="20"/>
              </w:rPr>
              <w:t>K73.0,</w:t>
            </w:r>
          </w:p>
        </w:tc>
        <w:tc>
          <w:tcPr>
            <w:tcW w:w="1942" w:type="dxa"/>
          </w:tcPr>
          <w:p>
            <w:pPr>
              <w:pStyle w:val="TableParagraph"/>
              <w:spacing w:line="215" w:lineRule="exact" w:before="46"/>
              <w:ind w:left="472"/>
              <w:rPr>
                <w:sz w:val="20"/>
              </w:rPr>
            </w:pPr>
            <w:r>
              <w:rPr>
                <w:w w:val="99"/>
                <w:sz w:val="20"/>
              </w:rPr>
              <w:t>-</w:t>
            </w:r>
          </w:p>
        </w:tc>
        <w:tc>
          <w:tcPr>
            <w:tcW w:w="2327" w:type="dxa"/>
          </w:tcPr>
          <w:p>
            <w:pPr>
              <w:pStyle w:val="TableParagraph"/>
              <w:spacing w:line="215" w:lineRule="exact" w:before="46"/>
              <w:ind w:right="862"/>
              <w:jc w:val="right"/>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0,86</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z w:val="20"/>
              </w:rPr>
              <w:t>невирусные</w:t>
            </w:r>
            <w:r>
              <w:rPr>
                <w:spacing w:val="-12"/>
                <w:sz w:val="20"/>
              </w:rPr>
              <w:t> </w:t>
            </w:r>
            <w:r>
              <w:rPr>
                <w:sz w:val="20"/>
              </w:rPr>
              <w:t>(уровень</w:t>
            </w:r>
            <w:r>
              <w:rPr>
                <w:spacing w:val="-11"/>
                <w:sz w:val="20"/>
              </w:rPr>
              <w:t> </w:t>
            </w:r>
            <w:r>
              <w:rPr>
                <w:spacing w:val="-5"/>
                <w:sz w:val="20"/>
              </w:rPr>
              <w:t>1)</w:t>
            </w:r>
          </w:p>
        </w:tc>
        <w:tc>
          <w:tcPr>
            <w:tcW w:w="5610" w:type="dxa"/>
          </w:tcPr>
          <w:p>
            <w:pPr>
              <w:pStyle w:val="TableParagraph"/>
              <w:spacing w:line="210" w:lineRule="exact"/>
              <w:ind w:left="475"/>
              <w:rPr>
                <w:sz w:val="20"/>
              </w:rPr>
            </w:pPr>
            <w:r>
              <w:rPr>
                <w:sz w:val="20"/>
              </w:rPr>
              <w:t>K73.1,</w:t>
            </w:r>
            <w:r>
              <w:rPr>
                <w:spacing w:val="-4"/>
                <w:sz w:val="20"/>
              </w:rPr>
              <w:t> </w:t>
            </w:r>
            <w:r>
              <w:rPr>
                <w:sz w:val="20"/>
              </w:rPr>
              <w:t>K73.8,</w:t>
            </w:r>
            <w:r>
              <w:rPr>
                <w:spacing w:val="-6"/>
                <w:sz w:val="20"/>
              </w:rPr>
              <w:t> </w:t>
            </w:r>
            <w:r>
              <w:rPr>
                <w:sz w:val="20"/>
              </w:rPr>
              <w:t>K73.9,</w:t>
            </w:r>
            <w:r>
              <w:rPr>
                <w:spacing w:val="-4"/>
                <w:sz w:val="20"/>
              </w:rPr>
              <w:t> </w:t>
            </w:r>
            <w:r>
              <w:rPr>
                <w:sz w:val="20"/>
              </w:rPr>
              <w:t>K75.0,</w:t>
            </w:r>
            <w:r>
              <w:rPr>
                <w:spacing w:val="-6"/>
                <w:sz w:val="20"/>
              </w:rPr>
              <w:t> </w:t>
            </w:r>
            <w:r>
              <w:rPr>
                <w:sz w:val="20"/>
              </w:rPr>
              <w:t>K75.1,</w:t>
            </w:r>
            <w:r>
              <w:rPr>
                <w:spacing w:val="-4"/>
                <w:sz w:val="20"/>
              </w:rPr>
              <w:t> </w:t>
            </w:r>
            <w:r>
              <w:rPr>
                <w:spacing w:val="-2"/>
                <w:sz w:val="20"/>
              </w:rPr>
              <w:t>K75.2,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475"/>
              <w:rPr>
                <w:sz w:val="20"/>
              </w:rPr>
            </w:pPr>
            <w:r>
              <w:rPr>
                <w:sz w:val="20"/>
              </w:rPr>
              <w:t>K75.3,</w:t>
            </w:r>
            <w:r>
              <w:rPr>
                <w:spacing w:val="-4"/>
                <w:sz w:val="20"/>
              </w:rPr>
              <w:t> </w:t>
            </w:r>
            <w:r>
              <w:rPr>
                <w:sz w:val="20"/>
              </w:rPr>
              <w:t>K75.8,</w:t>
            </w:r>
            <w:r>
              <w:rPr>
                <w:spacing w:val="-6"/>
                <w:sz w:val="20"/>
              </w:rPr>
              <w:t> </w:t>
            </w:r>
            <w:r>
              <w:rPr>
                <w:sz w:val="20"/>
              </w:rPr>
              <w:t>K75.9,</w:t>
            </w:r>
            <w:r>
              <w:rPr>
                <w:spacing w:val="-4"/>
                <w:sz w:val="20"/>
              </w:rPr>
              <w:t> </w:t>
            </w:r>
            <w:r>
              <w:rPr>
                <w:sz w:val="20"/>
              </w:rPr>
              <w:t>K76.0,</w:t>
            </w:r>
            <w:r>
              <w:rPr>
                <w:spacing w:val="-6"/>
                <w:sz w:val="20"/>
              </w:rPr>
              <w:t> </w:t>
            </w:r>
            <w:r>
              <w:rPr>
                <w:sz w:val="20"/>
              </w:rPr>
              <w:t>K76.1,</w:t>
            </w:r>
            <w:r>
              <w:rPr>
                <w:spacing w:val="-4"/>
                <w:sz w:val="20"/>
              </w:rPr>
              <w:t> </w:t>
            </w:r>
            <w:r>
              <w:rPr>
                <w:spacing w:val="-2"/>
                <w:sz w:val="20"/>
              </w:rPr>
              <w:t>K76.2,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475"/>
              <w:rPr>
                <w:sz w:val="20"/>
              </w:rPr>
            </w:pPr>
            <w:r>
              <w:rPr>
                <w:sz w:val="20"/>
              </w:rPr>
              <w:t>K76.3,</w:t>
            </w:r>
            <w:r>
              <w:rPr>
                <w:spacing w:val="-4"/>
                <w:sz w:val="20"/>
              </w:rPr>
              <w:t> </w:t>
            </w:r>
            <w:r>
              <w:rPr>
                <w:sz w:val="20"/>
              </w:rPr>
              <w:t>K76.4,</w:t>
            </w:r>
            <w:r>
              <w:rPr>
                <w:spacing w:val="-6"/>
                <w:sz w:val="20"/>
              </w:rPr>
              <w:t> </w:t>
            </w:r>
            <w:r>
              <w:rPr>
                <w:sz w:val="20"/>
              </w:rPr>
              <w:t>K76.5,</w:t>
            </w:r>
            <w:r>
              <w:rPr>
                <w:spacing w:val="-4"/>
                <w:sz w:val="20"/>
              </w:rPr>
              <w:t> </w:t>
            </w:r>
            <w:r>
              <w:rPr>
                <w:sz w:val="20"/>
              </w:rPr>
              <w:t>K76.6,</w:t>
            </w:r>
            <w:r>
              <w:rPr>
                <w:spacing w:val="-6"/>
                <w:sz w:val="20"/>
              </w:rPr>
              <w:t> </w:t>
            </w:r>
            <w:r>
              <w:rPr>
                <w:sz w:val="20"/>
              </w:rPr>
              <w:t>K76.7,</w:t>
            </w:r>
            <w:r>
              <w:rPr>
                <w:spacing w:val="-4"/>
                <w:sz w:val="20"/>
              </w:rPr>
              <w:t> </w:t>
            </w:r>
            <w:r>
              <w:rPr>
                <w:spacing w:val="-2"/>
                <w:sz w:val="20"/>
              </w:rPr>
              <w:t>K76.8,</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189"/>
              <w:rPr>
                <w:sz w:val="20"/>
              </w:rPr>
            </w:pPr>
            <w:r>
              <w:rPr>
                <w:sz w:val="20"/>
              </w:rPr>
              <w:t>K76.9,</w:t>
            </w:r>
            <w:r>
              <w:rPr>
                <w:spacing w:val="-5"/>
                <w:sz w:val="20"/>
              </w:rPr>
              <w:t> </w:t>
            </w:r>
            <w:r>
              <w:rPr>
                <w:sz w:val="20"/>
              </w:rPr>
              <w:t>K77.0,</w:t>
            </w:r>
            <w:r>
              <w:rPr>
                <w:spacing w:val="-6"/>
                <w:sz w:val="20"/>
              </w:rPr>
              <w:t> </w:t>
            </w:r>
            <w:r>
              <w:rPr>
                <w:sz w:val="20"/>
              </w:rPr>
              <w:t>K77.8,</w:t>
            </w:r>
            <w:r>
              <w:rPr>
                <w:spacing w:val="-4"/>
                <w:sz w:val="20"/>
              </w:rPr>
              <w:t> </w:t>
            </w:r>
            <w:r>
              <w:rPr>
                <w:sz w:val="20"/>
              </w:rPr>
              <w:t>Q44.6,</w:t>
            </w:r>
            <w:r>
              <w:rPr>
                <w:spacing w:val="-6"/>
                <w:sz w:val="20"/>
              </w:rPr>
              <w:t> </w:t>
            </w:r>
            <w:r>
              <w:rPr>
                <w:sz w:val="20"/>
              </w:rPr>
              <w:t>Q44.7,</w:t>
            </w:r>
            <w:r>
              <w:rPr>
                <w:spacing w:val="-5"/>
                <w:sz w:val="20"/>
              </w:rPr>
              <w:t> </w:t>
            </w:r>
            <w:r>
              <w:rPr>
                <w:sz w:val="20"/>
              </w:rPr>
              <w:t>R16.0,</w:t>
            </w:r>
            <w:r>
              <w:rPr>
                <w:spacing w:val="-4"/>
                <w:sz w:val="20"/>
              </w:rPr>
              <w:t> </w:t>
            </w:r>
            <w:r>
              <w:rPr>
                <w:spacing w:val="-2"/>
                <w:sz w:val="20"/>
              </w:rPr>
              <w:t>R16.2,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379"/>
              <w:rPr>
                <w:sz w:val="20"/>
              </w:rPr>
            </w:pPr>
            <w:r>
              <w:rPr>
                <w:sz w:val="20"/>
              </w:rPr>
              <w:t>R17,</w:t>
            </w:r>
            <w:r>
              <w:rPr>
                <w:spacing w:val="-7"/>
                <w:sz w:val="20"/>
              </w:rPr>
              <w:t> </w:t>
            </w:r>
            <w:r>
              <w:rPr>
                <w:sz w:val="20"/>
              </w:rPr>
              <w:t>R17.0,</w:t>
            </w:r>
            <w:r>
              <w:rPr>
                <w:spacing w:val="-4"/>
                <w:sz w:val="20"/>
              </w:rPr>
              <w:t> </w:t>
            </w:r>
            <w:r>
              <w:rPr>
                <w:sz w:val="20"/>
              </w:rPr>
              <w:t>R17.9,</w:t>
            </w:r>
            <w:r>
              <w:rPr>
                <w:spacing w:val="-4"/>
                <w:sz w:val="20"/>
              </w:rPr>
              <w:t> </w:t>
            </w:r>
            <w:r>
              <w:rPr>
                <w:sz w:val="20"/>
              </w:rPr>
              <w:t>R18,</w:t>
            </w:r>
            <w:r>
              <w:rPr>
                <w:spacing w:val="-6"/>
                <w:sz w:val="20"/>
              </w:rPr>
              <w:t> </w:t>
            </w:r>
            <w:r>
              <w:rPr>
                <w:sz w:val="20"/>
              </w:rPr>
              <w:t>R93.2,</w:t>
            </w:r>
            <w:r>
              <w:rPr>
                <w:spacing w:val="-4"/>
                <w:sz w:val="20"/>
              </w:rPr>
              <w:t> </w:t>
            </w:r>
            <w:r>
              <w:rPr>
                <w:sz w:val="20"/>
              </w:rPr>
              <w:t>R94.5,</w:t>
            </w:r>
            <w:r>
              <w:rPr>
                <w:spacing w:val="-5"/>
                <w:sz w:val="20"/>
              </w:rPr>
              <w:t> </w:t>
            </w:r>
            <w:r>
              <w:rPr>
                <w:spacing w:val="-2"/>
                <w:sz w:val="20"/>
              </w:rPr>
              <w:t>S36.1,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5" w:lineRule="exact"/>
              <w:ind w:left="1624"/>
              <w:rPr>
                <w:sz w:val="20"/>
              </w:rPr>
            </w:pPr>
            <w:r>
              <w:rPr>
                <w:sz w:val="20"/>
              </w:rPr>
              <w:t>S36.10,</w:t>
            </w:r>
            <w:r>
              <w:rPr>
                <w:spacing w:val="-4"/>
                <w:sz w:val="20"/>
              </w:rPr>
              <w:t> </w:t>
            </w:r>
            <w:r>
              <w:rPr>
                <w:spacing w:val="-2"/>
                <w:sz w:val="20"/>
              </w:rPr>
              <w:t>S36.11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38"/>
        <w:gridCol w:w="5215"/>
        <w:gridCol w:w="1884"/>
        <w:gridCol w:w="3172"/>
        <w:gridCol w:w="837"/>
      </w:tblGrid>
      <w:tr>
        <w:trPr>
          <w:trHeight w:val="964" w:hRule="atLeast"/>
        </w:trPr>
        <w:tc>
          <w:tcPr>
            <w:tcW w:w="971" w:type="dxa"/>
          </w:tcPr>
          <w:p>
            <w:pPr>
              <w:pStyle w:val="TableParagraph"/>
              <w:spacing w:line="221" w:lineRule="exact"/>
              <w:ind w:left="39" w:right="223"/>
              <w:jc w:val="center"/>
              <w:rPr>
                <w:sz w:val="20"/>
              </w:rPr>
            </w:pPr>
            <w:r>
              <w:rPr>
                <w:spacing w:val="-2"/>
                <w:sz w:val="20"/>
              </w:rPr>
              <w:t>st04.004</w:t>
            </w:r>
          </w:p>
        </w:tc>
        <w:tc>
          <w:tcPr>
            <w:tcW w:w="657" w:type="dxa"/>
          </w:tcPr>
          <w:p>
            <w:pPr>
              <w:pStyle w:val="TableParagraph"/>
              <w:spacing w:line="221" w:lineRule="exact"/>
              <w:ind w:left="222" w:right="205"/>
              <w:jc w:val="center"/>
              <w:rPr>
                <w:sz w:val="20"/>
              </w:rPr>
            </w:pPr>
            <w:r>
              <w:rPr>
                <w:spacing w:val="-5"/>
                <w:sz w:val="20"/>
              </w:rPr>
              <w:t>20</w:t>
            </w:r>
          </w:p>
        </w:tc>
        <w:tc>
          <w:tcPr>
            <w:tcW w:w="2538" w:type="dxa"/>
          </w:tcPr>
          <w:p>
            <w:pPr>
              <w:pStyle w:val="TableParagraph"/>
              <w:ind w:left="217" w:right="215"/>
              <w:rPr>
                <w:sz w:val="20"/>
              </w:rPr>
            </w:pPr>
            <w:r>
              <w:rPr>
                <w:sz w:val="20"/>
              </w:rPr>
              <w:t>Болезни печени, невирусные</w:t>
            </w:r>
            <w:r>
              <w:rPr>
                <w:spacing w:val="-13"/>
                <w:sz w:val="20"/>
              </w:rPr>
              <w:t> </w:t>
            </w:r>
            <w:r>
              <w:rPr>
                <w:sz w:val="20"/>
              </w:rPr>
              <w:t>(уровень</w:t>
            </w:r>
            <w:r>
              <w:rPr>
                <w:spacing w:val="-12"/>
                <w:sz w:val="20"/>
              </w:rPr>
              <w:t> </w:t>
            </w:r>
            <w:r>
              <w:rPr>
                <w:sz w:val="20"/>
              </w:rPr>
              <w:t>2)</w:t>
            </w:r>
          </w:p>
        </w:tc>
        <w:tc>
          <w:tcPr>
            <w:tcW w:w="5215" w:type="dxa"/>
          </w:tcPr>
          <w:p>
            <w:pPr>
              <w:pStyle w:val="TableParagraph"/>
              <w:spacing w:line="221" w:lineRule="exact"/>
              <w:ind w:left="227" w:right="1031"/>
              <w:jc w:val="center"/>
              <w:rPr>
                <w:sz w:val="20"/>
              </w:rPr>
            </w:pPr>
            <w:r>
              <w:rPr>
                <w:sz w:val="20"/>
              </w:rPr>
              <w:t>K70.3,</w:t>
            </w:r>
            <w:r>
              <w:rPr>
                <w:spacing w:val="-6"/>
                <w:sz w:val="20"/>
              </w:rPr>
              <w:t> </w:t>
            </w:r>
            <w:r>
              <w:rPr>
                <w:sz w:val="20"/>
              </w:rPr>
              <w:t>K71,</w:t>
            </w:r>
            <w:r>
              <w:rPr>
                <w:spacing w:val="-6"/>
                <w:sz w:val="20"/>
              </w:rPr>
              <w:t> </w:t>
            </w:r>
            <w:r>
              <w:rPr>
                <w:sz w:val="20"/>
              </w:rPr>
              <w:t>K71.0,</w:t>
            </w:r>
            <w:r>
              <w:rPr>
                <w:spacing w:val="-5"/>
                <w:sz w:val="20"/>
              </w:rPr>
              <w:t> </w:t>
            </w:r>
            <w:r>
              <w:rPr>
                <w:sz w:val="20"/>
              </w:rPr>
              <w:t>K71.1,</w:t>
            </w:r>
            <w:r>
              <w:rPr>
                <w:spacing w:val="-6"/>
                <w:sz w:val="20"/>
              </w:rPr>
              <w:t> </w:t>
            </w:r>
            <w:r>
              <w:rPr>
                <w:sz w:val="20"/>
              </w:rPr>
              <w:t>K71.2,</w:t>
            </w:r>
            <w:r>
              <w:rPr>
                <w:spacing w:val="-5"/>
                <w:sz w:val="20"/>
              </w:rPr>
              <w:t> </w:t>
            </w:r>
            <w:r>
              <w:rPr>
                <w:sz w:val="20"/>
              </w:rPr>
              <w:t>K71.3,</w:t>
            </w:r>
            <w:r>
              <w:rPr>
                <w:spacing w:val="-6"/>
                <w:sz w:val="20"/>
              </w:rPr>
              <w:t> </w:t>
            </w:r>
            <w:r>
              <w:rPr>
                <w:spacing w:val="-2"/>
                <w:sz w:val="20"/>
              </w:rPr>
              <w:t>K71.4,</w:t>
            </w:r>
          </w:p>
          <w:p>
            <w:pPr>
              <w:pStyle w:val="TableParagraph"/>
              <w:spacing w:line="229" w:lineRule="exact"/>
              <w:ind w:left="227" w:right="1030"/>
              <w:jc w:val="center"/>
              <w:rPr>
                <w:sz w:val="20"/>
              </w:rPr>
            </w:pPr>
            <w:r>
              <w:rPr>
                <w:sz w:val="20"/>
              </w:rPr>
              <w:t>K71.5,</w:t>
            </w:r>
            <w:r>
              <w:rPr>
                <w:spacing w:val="-4"/>
                <w:sz w:val="20"/>
              </w:rPr>
              <w:t> </w:t>
            </w:r>
            <w:r>
              <w:rPr>
                <w:sz w:val="20"/>
              </w:rPr>
              <w:t>K71.6,</w:t>
            </w:r>
            <w:r>
              <w:rPr>
                <w:spacing w:val="-6"/>
                <w:sz w:val="20"/>
              </w:rPr>
              <w:t> </w:t>
            </w:r>
            <w:r>
              <w:rPr>
                <w:sz w:val="20"/>
              </w:rPr>
              <w:t>K71.7,</w:t>
            </w:r>
            <w:r>
              <w:rPr>
                <w:spacing w:val="-4"/>
                <w:sz w:val="20"/>
              </w:rPr>
              <w:t> </w:t>
            </w:r>
            <w:r>
              <w:rPr>
                <w:sz w:val="20"/>
              </w:rPr>
              <w:t>K71.8,</w:t>
            </w:r>
            <w:r>
              <w:rPr>
                <w:spacing w:val="-6"/>
                <w:sz w:val="20"/>
              </w:rPr>
              <w:t> </w:t>
            </w:r>
            <w:r>
              <w:rPr>
                <w:sz w:val="20"/>
              </w:rPr>
              <w:t>K71.9,</w:t>
            </w:r>
            <w:r>
              <w:rPr>
                <w:spacing w:val="-4"/>
                <w:sz w:val="20"/>
              </w:rPr>
              <w:t> </w:t>
            </w:r>
            <w:r>
              <w:rPr>
                <w:spacing w:val="-2"/>
                <w:sz w:val="20"/>
              </w:rPr>
              <w:t>K72.0,</w:t>
            </w:r>
          </w:p>
          <w:p>
            <w:pPr>
              <w:pStyle w:val="TableParagraph"/>
              <w:spacing w:line="229" w:lineRule="exact"/>
              <w:ind w:left="227" w:right="1030"/>
              <w:jc w:val="center"/>
              <w:rPr>
                <w:sz w:val="20"/>
              </w:rPr>
            </w:pPr>
            <w:r>
              <w:rPr>
                <w:sz w:val="20"/>
              </w:rPr>
              <w:t>K72.1,</w:t>
            </w:r>
            <w:r>
              <w:rPr>
                <w:spacing w:val="-4"/>
                <w:sz w:val="20"/>
              </w:rPr>
              <w:t> </w:t>
            </w:r>
            <w:r>
              <w:rPr>
                <w:sz w:val="20"/>
              </w:rPr>
              <w:t>K72.9,</w:t>
            </w:r>
            <w:r>
              <w:rPr>
                <w:spacing w:val="-6"/>
                <w:sz w:val="20"/>
              </w:rPr>
              <w:t> </w:t>
            </w:r>
            <w:r>
              <w:rPr>
                <w:sz w:val="20"/>
              </w:rPr>
              <w:t>K73.2,</w:t>
            </w:r>
            <w:r>
              <w:rPr>
                <w:spacing w:val="-4"/>
                <w:sz w:val="20"/>
              </w:rPr>
              <w:t> </w:t>
            </w:r>
            <w:r>
              <w:rPr>
                <w:sz w:val="20"/>
              </w:rPr>
              <w:t>K74.0,</w:t>
            </w:r>
            <w:r>
              <w:rPr>
                <w:spacing w:val="-6"/>
                <w:sz w:val="20"/>
              </w:rPr>
              <w:t> </w:t>
            </w:r>
            <w:r>
              <w:rPr>
                <w:sz w:val="20"/>
              </w:rPr>
              <w:t>K74.1,</w:t>
            </w:r>
            <w:r>
              <w:rPr>
                <w:spacing w:val="-4"/>
                <w:sz w:val="20"/>
              </w:rPr>
              <w:t> </w:t>
            </w:r>
            <w:r>
              <w:rPr>
                <w:spacing w:val="-2"/>
                <w:sz w:val="20"/>
              </w:rPr>
              <w:t>K74.2,</w:t>
            </w:r>
          </w:p>
          <w:p>
            <w:pPr>
              <w:pStyle w:val="TableParagraph"/>
              <w:spacing w:before="1"/>
              <w:ind w:left="227" w:right="1027"/>
              <w:jc w:val="center"/>
              <w:rPr>
                <w:sz w:val="20"/>
              </w:rPr>
            </w:pPr>
            <w:r>
              <w:rPr>
                <w:sz w:val="20"/>
              </w:rPr>
              <w:t>K74.3,</w:t>
            </w:r>
            <w:r>
              <w:rPr>
                <w:spacing w:val="-5"/>
                <w:sz w:val="20"/>
              </w:rPr>
              <w:t> </w:t>
            </w:r>
            <w:r>
              <w:rPr>
                <w:sz w:val="20"/>
              </w:rPr>
              <w:t>K74.4,</w:t>
            </w:r>
            <w:r>
              <w:rPr>
                <w:spacing w:val="-6"/>
                <w:sz w:val="20"/>
              </w:rPr>
              <w:t> </w:t>
            </w:r>
            <w:r>
              <w:rPr>
                <w:sz w:val="20"/>
              </w:rPr>
              <w:t>K74.5,</w:t>
            </w:r>
            <w:r>
              <w:rPr>
                <w:spacing w:val="-4"/>
                <w:sz w:val="20"/>
              </w:rPr>
              <w:t> </w:t>
            </w:r>
            <w:r>
              <w:rPr>
                <w:sz w:val="20"/>
              </w:rPr>
              <w:t>K74.6,</w:t>
            </w:r>
            <w:r>
              <w:rPr>
                <w:spacing w:val="-6"/>
                <w:sz w:val="20"/>
              </w:rPr>
              <w:t> </w:t>
            </w:r>
            <w:r>
              <w:rPr>
                <w:spacing w:val="-4"/>
                <w:sz w:val="20"/>
              </w:rPr>
              <w:t>K75.4</w:t>
            </w:r>
          </w:p>
        </w:tc>
        <w:tc>
          <w:tcPr>
            <w:tcW w:w="1884" w:type="dxa"/>
          </w:tcPr>
          <w:p>
            <w:pPr>
              <w:pStyle w:val="TableParagraph"/>
              <w:spacing w:line="221" w:lineRule="exact"/>
              <w:ind w:left="839"/>
              <w:rPr>
                <w:sz w:val="20"/>
              </w:rPr>
            </w:pPr>
            <w:r>
              <w:rPr>
                <w:w w:val="99"/>
                <w:sz w:val="20"/>
              </w:rPr>
              <w:t>-</w:t>
            </w:r>
          </w:p>
        </w:tc>
        <w:tc>
          <w:tcPr>
            <w:tcW w:w="3172" w:type="dxa"/>
          </w:tcPr>
          <w:p>
            <w:pPr>
              <w:pStyle w:val="TableParagraph"/>
              <w:spacing w:line="221" w:lineRule="exact"/>
              <w:ind w:right="1282"/>
              <w:jc w:val="right"/>
              <w:rPr>
                <w:sz w:val="20"/>
              </w:rPr>
            </w:pPr>
            <w:r>
              <w:rPr>
                <w:w w:val="99"/>
                <w:sz w:val="20"/>
              </w:rPr>
              <w:t>-</w:t>
            </w:r>
          </w:p>
        </w:tc>
        <w:tc>
          <w:tcPr>
            <w:tcW w:w="837" w:type="dxa"/>
          </w:tcPr>
          <w:p>
            <w:pPr>
              <w:pStyle w:val="TableParagraph"/>
              <w:spacing w:line="221" w:lineRule="exact"/>
              <w:ind w:right="48"/>
              <w:jc w:val="right"/>
              <w:rPr>
                <w:sz w:val="20"/>
              </w:rPr>
            </w:pPr>
            <w:r>
              <w:rPr>
                <w:spacing w:val="-4"/>
                <w:sz w:val="20"/>
              </w:rPr>
              <w:t>1,21</w:t>
            </w:r>
          </w:p>
        </w:tc>
      </w:tr>
      <w:tr>
        <w:trPr>
          <w:trHeight w:val="1020" w:hRule="atLeast"/>
        </w:trPr>
        <w:tc>
          <w:tcPr>
            <w:tcW w:w="971" w:type="dxa"/>
          </w:tcPr>
          <w:p>
            <w:pPr>
              <w:pStyle w:val="TableParagraph"/>
              <w:spacing w:before="46"/>
              <w:ind w:left="39" w:right="223"/>
              <w:jc w:val="center"/>
              <w:rPr>
                <w:sz w:val="20"/>
              </w:rPr>
            </w:pPr>
            <w:r>
              <w:rPr>
                <w:spacing w:val="-2"/>
                <w:sz w:val="20"/>
              </w:rPr>
              <w:t>st04.005</w:t>
            </w:r>
          </w:p>
        </w:tc>
        <w:tc>
          <w:tcPr>
            <w:tcW w:w="657" w:type="dxa"/>
          </w:tcPr>
          <w:p>
            <w:pPr>
              <w:pStyle w:val="TableParagraph"/>
              <w:spacing w:before="46"/>
              <w:ind w:left="222" w:right="205"/>
              <w:jc w:val="center"/>
              <w:rPr>
                <w:sz w:val="20"/>
              </w:rPr>
            </w:pPr>
            <w:r>
              <w:rPr>
                <w:spacing w:val="-5"/>
                <w:sz w:val="20"/>
              </w:rPr>
              <w:t>21</w:t>
            </w:r>
          </w:p>
        </w:tc>
        <w:tc>
          <w:tcPr>
            <w:tcW w:w="2538" w:type="dxa"/>
          </w:tcPr>
          <w:p>
            <w:pPr>
              <w:pStyle w:val="TableParagraph"/>
              <w:spacing w:before="46"/>
              <w:ind w:left="217" w:right="215"/>
              <w:rPr>
                <w:sz w:val="20"/>
              </w:rPr>
            </w:pPr>
            <w:r>
              <w:rPr>
                <w:sz w:val="20"/>
              </w:rPr>
              <w:t>Болезни</w:t>
            </w:r>
            <w:r>
              <w:rPr>
                <w:spacing w:val="-13"/>
                <w:sz w:val="20"/>
              </w:rPr>
              <w:t> </w:t>
            </w:r>
            <w:r>
              <w:rPr>
                <w:sz w:val="20"/>
              </w:rPr>
              <w:t>поджелудочной </w:t>
            </w:r>
            <w:r>
              <w:rPr>
                <w:spacing w:val="-2"/>
                <w:sz w:val="20"/>
              </w:rPr>
              <w:t>железы</w:t>
            </w:r>
          </w:p>
        </w:tc>
        <w:tc>
          <w:tcPr>
            <w:tcW w:w="5215" w:type="dxa"/>
          </w:tcPr>
          <w:p>
            <w:pPr>
              <w:pStyle w:val="TableParagraph"/>
              <w:spacing w:before="46"/>
              <w:ind w:left="227" w:right="1031"/>
              <w:jc w:val="center"/>
              <w:rPr>
                <w:sz w:val="20"/>
              </w:rPr>
            </w:pPr>
            <w:r>
              <w:rPr>
                <w:sz w:val="20"/>
              </w:rPr>
              <w:t>K85,</w:t>
            </w:r>
            <w:r>
              <w:rPr>
                <w:spacing w:val="-6"/>
                <w:sz w:val="20"/>
              </w:rPr>
              <w:t> </w:t>
            </w:r>
            <w:r>
              <w:rPr>
                <w:sz w:val="20"/>
              </w:rPr>
              <w:t>K85.0,</w:t>
            </w:r>
            <w:r>
              <w:rPr>
                <w:spacing w:val="-6"/>
                <w:sz w:val="20"/>
              </w:rPr>
              <w:t> </w:t>
            </w:r>
            <w:r>
              <w:rPr>
                <w:sz w:val="20"/>
              </w:rPr>
              <w:t>K85.1,</w:t>
            </w:r>
            <w:r>
              <w:rPr>
                <w:spacing w:val="-5"/>
                <w:sz w:val="20"/>
              </w:rPr>
              <w:t> </w:t>
            </w:r>
            <w:r>
              <w:rPr>
                <w:sz w:val="20"/>
              </w:rPr>
              <w:t>K85.2,</w:t>
            </w:r>
            <w:r>
              <w:rPr>
                <w:spacing w:val="-6"/>
                <w:sz w:val="20"/>
              </w:rPr>
              <w:t> </w:t>
            </w:r>
            <w:r>
              <w:rPr>
                <w:sz w:val="20"/>
              </w:rPr>
              <w:t>K85.3,</w:t>
            </w:r>
            <w:r>
              <w:rPr>
                <w:spacing w:val="-5"/>
                <w:sz w:val="20"/>
              </w:rPr>
              <w:t> </w:t>
            </w:r>
            <w:r>
              <w:rPr>
                <w:sz w:val="20"/>
              </w:rPr>
              <w:t>K85.8,</w:t>
            </w:r>
            <w:r>
              <w:rPr>
                <w:spacing w:val="-6"/>
                <w:sz w:val="20"/>
              </w:rPr>
              <w:t> </w:t>
            </w:r>
            <w:r>
              <w:rPr>
                <w:spacing w:val="-2"/>
                <w:sz w:val="20"/>
              </w:rPr>
              <w:t>K85.9,</w:t>
            </w:r>
          </w:p>
          <w:p>
            <w:pPr>
              <w:pStyle w:val="TableParagraph"/>
              <w:spacing w:line="229" w:lineRule="exact"/>
              <w:ind w:left="227" w:right="1031"/>
              <w:jc w:val="center"/>
              <w:rPr>
                <w:sz w:val="20"/>
              </w:rPr>
            </w:pPr>
            <w:r>
              <w:rPr>
                <w:sz w:val="20"/>
              </w:rPr>
              <w:t>K86,</w:t>
            </w:r>
            <w:r>
              <w:rPr>
                <w:spacing w:val="-6"/>
                <w:sz w:val="20"/>
              </w:rPr>
              <w:t> </w:t>
            </w:r>
            <w:r>
              <w:rPr>
                <w:sz w:val="20"/>
              </w:rPr>
              <w:t>K86.0,</w:t>
            </w:r>
            <w:r>
              <w:rPr>
                <w:spacing w:val="-6"/>
                <w:sz w:val="20"/>
              </w:rPr>
              <w:t> </w:t>
            </w:r>
            <w:r>
              <w:rPr>
                <w:sz w:val="20"/>
              </w:rPr>
              <w:t>K86.1,</w:t>
            </w:r>
            <w:r>
              <w:rPr>
                <w:spacing w:val="-5"/>
                <w:sz w:val="20"/>
              </w:rPr>
              <w:t> </w:t>
            </w:r>
            <w:r>
              <w:rPr>
                <w:sz w:val="20"/>
              </w:rPr>
              <w:t>K86.2,</w:t>
            </w:r>
            <w:r>
              <w:rPr>
                <w:spacing w:val="-6"/>
                <w:sz w:val="20"/>
              </w:rPr>
              <w:t> </w:t>
            </w:r>
            <w:r>
              <w:rPr>
                <w:sz w:val="20"/>
              </w:rPr>
              <w:t>K86.3,</w:t>
            </w:r>
            <w:r>
              <w:rPr>
                <w:spacing w:val="-5"/>
                <w:sz w:val="20"/>
              </w:rPr>
              <w:t> </w:t>
            </w:r>
            <w:r>
              <w:rPr>
                <w:sz w:val="20"/>
              </w:rPr>
              <w:t>K86.8,</w:t>
            </w:r>
            <w:r>
              <w:rPr>
                <w:spacing w:val="-6"/>
                <w:sz w:val="20"/>
              </w:rPr>
              <w:t> </w:t>
            </w:r>
            <w:r>
              <w:rPr>
                <w:spacing w:val="-2"/>
                <w:sz w:val="20"/>
              </w:rPr>
              <w:t>K86.9,</w:t>
            </w:r>
          </w:p>
          <w:p>
            <w:pPr>
              <w:pStyle w:val="TableParagraph"/>
              <w:ind w:left="227" w:right="1030"/>
              <w:jc w:val="center"/>
              <w:rPr>
                <w:sz w:val="20"/>
              </w:rPr>
            </w:pPr>
            <w:r>
              <w:rPr>
                <w:sz w:val="20"/>
              </w:rPr>
              <w:t>K87.1,</w:t>
            </w:r>
            <w:r>
              <w:rPr>
                <w:spacing w:val="-8"/>
                <w:sz w:val="20"/>
              </w:rPr>
              <w:t> </w:t>
            </w:r>
            <w:r>
              <w:rPr>
                <w:sz w:val="20"/>
              </w:rPr>
              <w:t>Q45.0,</w:t>
            </w:r>
            <w:r>
              <w:rPr>
                <w:spacing w:val="-9"/>
                <w:sz w:val="20"/>
              </w:rPr>
              <w:t> </w:t>
            </w:r>
            <w:r>
              <w:rPr>
                <w:sz w:val="20"/>
              </w:rPr>
              <w:t>Q45.1,</w:t>
            </w:r>
            <w:r>
              <w:rPr>
                <w:spacing w:val="-8"/>
                <w:sz w:val="20"/>
              </w:rPr>
              <w:t> </w:t>
            </w:r>
            <w:r>
              <w:rPr>
                <w:sz w:val="20"/>
              </w:rPr>
              <w:t>Q45.2,</w:t>
            </w:r>
            <w:r>
              <w:rPr>
                <w:spacing w:val="-9"/>
                <w:sz w:val="20"/>
              </w:rPr>
              <w:t> </w:t>
            </w:r>
            <w:r>
              <w:rPr>
                <w:sz w:val="20"/>
              </w:rPr>
              <w:t>Q45.3,</w:t>
            </w:r>
            <w:r>
              <w:rPr>
                <w:spacing w:val="-8"/>
                <w:sz w:val="20"/>
              </w:rPr>
              <w:t> </w:t>
            </w:r>
            <w:r>
              <w:rPr>
                <w:sz w:val="20"/>
              </w:rPr>
              <w:t>S36.2, S36.20, S36.21</w:t>
            </w:r>
          </w:p>
        </w:tc>
        <w:tc>
          <w:tcPr>
            <w:tcW w:w="1884" w:type="dxa"/>
          </w:tcPr>
          <w:p>
            <w:pPr>
              <w:pStyle w:val="TableParagraph"/>
              <w:spacing w:before="46"/>
              <w:ind w:left="839"/>
              <w:rPr>
                <w:sz w:val="20"/>
              </w:rPr>
            </w:pPr>
            <w:r>
              <w:rPr>
                <w:w w:val="99"/>
                <w:sz w:val="20"/>
              </w:rPr>
              <w:t>-</w:t>
            </w:r>
          </w:p>
        </w:tc>
        <w:tc>
          <w:tcPr>
            <w:tcW w:w="3172" w:type="dxa"/>
          </w:tcPr>
          <w:p>
            <w:pPr>
              <w:pStyle w:val="TableParagraph"/>
              <w:spacing w:before="46"/>
              <w:ind w:right="1282"/>
              <w:jc w:val="right"/>
              <w:rPr>
                <w:sz w:val="20"/>
              </w:rPr>
            </w:pPr>
            <w:r>
              <w:rPr>
                <w:w w:val="99"/>
                <w:sz w:val="20"/>
              </w:rPr>
              <w:t>-</w:t>
            </w:r>
          </w:p>
        </w:tc>
        <w:tc>
          <w:tcPr>
            <w:tcW w:w="837" w:type="dxa"/>
          </w:tcPr>
          <w:p>
            <w:pPr>
              <w:pStyle w:val="TableParagraph"/>
              <w:spacing w:before="46"/>
              <w:ind w:right="48"/>
              <w:jc w:val="right"/>
              <w:rPr>
                <w:sz w:val="20"/>
              </w:rPr>
            </w:pPr>
            <w:r>
              <w:rPr>
                <w:spacing w:val="-4"/>
                <w:sz w:val="20"/>
              </w:rPr>
              <w:t>0,87</w:t>
            </w:r>
          </w:p>
        </w:tc>
      </w:tr>
      <w:tr>
        <w:trPr>
          <w:trHeight w:val="789" w:hRule="atLeast"/>
        </w:trPr>
        <w:tc>
          <w:tcPr>
            <w:tcW w:w="971" w:type="dxa"/>
          </w:tcPr>
          <w:p>
            <w:pPr>
              <w:pStyle w:val="TableParagraph"/>
              <w:spacing w:before="46"/>
              <w:ind w:left="39" w:right="223"/>
              <w:jc w:val="center"/>
              <w:rPr>
                <w:sz w:val="20"/>
              </w:rPr>
            </w:pPr>
            <w:r>
              <w:rPr>
                <w:spacing w:val="-2"/>
                <w:sz w:val="20"/>
              </w:rPr>
              <w:t>st04.006</w:t>
            </w:r>
          </w:p>
        </w:tc>
        <w:tc>
          <w:tcPr>
            <w:tcW w:w="657" w:type="dxa"/>
          </w:tcPr>
          <w:p>
            <w:pPr>
              <w:pStyle w:val="TableParagraph"/>
              <w:spacing w:before="46"/>
              <w:ind w:left="222" w:right="205"/>
              <w:jc w:val="center"/>
              <w:rPr>
                <w:sz w:val="20"/>
              </w:rPr>
            </w:pPr>
            <w:r>
              <w:rPr>
                <w:spacing w:val="-5"/>
                <w:sz w:val="20"/>
              </w:rPr>
              <w:t>22</w:t>
            </w:r>
          </w:p>
        </w:tc>
        <w:tc>
          <w:tcPr>
            <w:tcW w:w="2538" w:type="dxa"/>
          </w:tcPr>
          <w:p>
            <w:pPr>
              <w:pStyle w:val="TableParagraph"/>
              <w:spacing w:before="46"/>
              <w:ind w:left="217"/>
              <w:rPr>
                <w:sz w:val="20"/>
              </w:rPr>
            </w:pPr>
            <w:r>
              <w:rPr>
                <w:sz w:val="20"/>
              </w:rPr>
              <w:t>Панкреатит</w:t>
            </w:r>
            <w:r>
              <w:rPr>
                <w:spacing w:val="-13"/>
                <w:sz w:val="20"/>
              </w:rPr>
              <w:t> </w:t>
            </w:r>
            <w:r>
              <w:rPr>
                <w:sz w:val="20"/>
              </w:rPr>
              <w:t>с</w:t>
            </w:r>
            <w:r>
              <w:rPr>
                <w:spacing w:val="-12"/>
                <w:sz w:val="20"/>
              </w:rPr>
              <w:t> </w:t>
            </w:r>
            <w:r>
              <w:rPr>
                <w:sz w:val="20"/>
              </w:rPr>
              <w:t>синдромом органной дисфункции</w:t>
            </w:r>
          </w:p>
        </w:tc>
        <w:tc>
          <w:tcPr>
            <w:tcW w:w="5215" w:type="dxa"/>
          </w:tcPr>
          <w:p>
            <w:pPr>
              <w:pStyle w:val="TableParagraph"/>
              <w:spacing w:before="46"/>
              <w:ind w:left="252"/>
              <w:rPr>
                <w:sz w:val="20"/>
              </w:rPr>
            </w:pPr>
            <w:r>
              <w:rPr>
                <w:sz w:val="20"/>
              </w:rPr>
              <w:t>K85,</w:t>
            </w:r>
            <w:r>
              <w:rPr>
                <w:spacing w:val="-5"/>
                <w:sz w:val="20"/>
              </w:rPr>
              <w:t> </w:t>
            </w:r>
            <w:r>
              <w:rPr>
                <w:sz w:val="20"/>
              </w:rPr>
              <w:t>K85.0,</w:t>
            </w:r>
            <w:r>
              <w:rPr>
                <w:spacing w:val="-5"/>
                <w:sz w:val="20"/>
              </w:rPr>
              <w:t> </w:t>
            </w:r>
            <w:r>
              <w:rPr>
                <w:sz w:val="20"/>
              </w:rPr>
              <w:t>K85.1,</w:t>
            </w:r>
            <w:r>
              <w:rPr>
                <w:spacing w:val="-5"/>
                <w:sz w:val="20"/>
              </w:rPr>
              <w:t> </w:t>
            </w:r>
            <w:r>
              <w:rPr>
                <w:sz w:val="20"/>
              </w:rPr>
              <w:t>K85.2,</w:t>
            </w:r>
            <w:r>
              <w:rPr>
                <w:spacing w:val="-5"/>
                <w:sz w:val="20"/>
              </w:rPr>
              <w:t> </w:t>
            </w:r>
            <w:r>
              <w:rPr>
                <w:sz w:val="20"/>
              </w:rPr>
              <w:t>K85.3,</w:t>
            </w:r>
            <w:r>
              <w:rPr>
                <w:spacing w:val="-5"/>
                <w:sz w:val="20"/>
              </w:rPr>
              <w:t> </w:t>
            </w:r>
            <w:r>
              <w:rPr>
                <w:sz w:val="20"/>
              </w:rPr>
              <w:t>K85.8,</w:t>
            </w:r>
            <w:r>
              <w:rPr>
                <w:spacing w:val="-5"/>
                <w:sz w:val="20"/>
              </w:rPr>
              <w:t> </w:t>
            </w:r>
            <w:r>
              <w:rPr>
                <w:spacing w:val="-4"/>
                <w:sz w:val="20"/>
              </w:rPr>
              <w:t>K85.9</w:t>
            </w:r>
          </w:p>
        </w:tc>
        <w:tc>
          <w:tcPr>
            <w:tcW w:w="1884" w:type="dxa"/>
          </w:tcPr>
          <w:p>
            <w:pPr>
              <w:pStyle w:val="TableParagraph"/>
              <w:spacing w:before="46"/>
              <w:ind w:left="839"/>
              <w:rPr>
                <w:sz w:val="20"/>
              </w:rPr>
            </w:pPr>
            <w:r>
              <w:rPr>
                <w:w w:val="99"/>
                <w:sz w:val="20"/>
              </w:rPr>
              <w:t>-</w:t>
            </w:r>
          </w:p>
        </w:tc>
        <w:tc>
          <w:tcPr>
            <w:tcW w:w="3172" w:type="dxa"/>
          </w:tcPr>
          <w:p>
            <w:pPr>
              <w:pStyle w:val="TableParagraph"/>
              <w:spacing w:before="46"/>
              <w:ind w:left="976" w:right="434" w:hanging="2"/>
              <w:jc w:val="center"/>
              <w:rPr>
                <w:sz w:val="20"/>
              </w:rPr>
            </w:pPr>
            <w:r>
              <w:rPr>
                <w:spacing w:val="-4"/>
                <w:sz w:val="20"/>
              </w:rPr>
              <w:t>Иной </w:t>
            </w:r>
            <w:r>
              <w:rPr>
                <w:spacing w:val="-2"/>
                <w:sz w:val="20"/>
              </w:rPr>
              <w:t>классификационный </w:t>
            </w:r>
            <w:r>
              <w:rPr>
                <w:sz w:val="20"/>
              </w:rPr>
              <w:t>критерий: it1</w:t>
            </w:r>
          </w:p>
        </w:tc>
        <w:tc>
          <w:tcPr>
            <w:tcW w:w="837" w:type="dxa"/>
          </w:tcPr>
          <w:p>
            <w:pPr>
              <w:pStyle w:val="TableParagraph"/>
              <w:spacing w:before="46"/>
              <w:ind w:right="48"/>
              <w:jc w:val="right"/>
              <w:rPr>
                <w:sz w:val="20"/>
              </w:rPr>
            </w:pPr>
            <w:r>
              <w:rPr>
                <w:spacing w:val="-4"/>
                <w:sz w:val="20"/>
              </w:rPr>
              <w:t>4,19</w:t>
            </w:r>
          </w:p>
        </w:tc>
      </w:tr>
      <w:tr>
        <w:trPr>
          <w:trHeight w:val="330" w:hRule="atLeast"/>
        </w:trPr>
        <w:tc>
          <w:tcPr>
            <w:tcW w:w="971" w:type="dxa"/>
          </w:tcPr>
          <w:p>
            <w:pPr>
              <w:pStyle w:val="TableParagraph"/>
              <w:spacing w:before="46"/>
              <w:ind w:left="37" w:right="223"/>
              <w:jc w:val="center"/>
              <w:rPr>
                <w:sz w:val="20"/>
              </w:rPr>
            </w:pPr>
            <w:r>
              <w:rPr>
                <w:spacing w:val="-4"/>
                <w:sz w:val="20"/>
              </w:rPr>
              <w:t>st05</w:t>
            </w:r>
          </w:p>
        </w:tc>
        <w:tc>
          <w:tcPr>
            <w:tcW w:w="657" w:type="dxa"/>
          </w:tcPr>
          <w:p>
            <w:pPr>
              <w:pStyle w:val="TableParagraph"/>
              <w:spacing w:before="46"/>
              <w:ind w:left="15"/>
              <w:jc w:val="center"/>
              <w:rPr>
                <w:sz w:val="20"/>
              </w:rPr>
            </w:pPr>
            <w:r>
              <w:rPr>
                <w:w w:val="99"/>
                <w:sz w:val="20"/>
              </w:rPr>
              <w:t>5</w:t>
            </w:r>
          </w:p>
        </w:tc>
        <w:tc>
          <w:tcPr>
            <w:tcW w:w="2538" w:type="dxa"/>
          </w:tcPr>
          <w:p>
            <w:pPr>
              <w:pStyle w:val="TableParagraph"/>
              <w:rPr>
                <w:sz w:val="18"/>
              </w:rPr>
            </w:pPr>
          </w:p>
        </w:tc>
        <w:tc>
          <w:tcPr>
            <w:tcW w:w="5215" w:type="dxa"/>
          </w:tcPr>
          <w:p>
            <w:pPr>
              <w:pStyle w:val="TableParagraph"/>
              <w:spacing w:before="46"/>
              <w:ind w:left="3289"/>
              <w:rPr>
                <w:sz w:val="20"/>
              </w:rPr>
            </w:pPr>
            <w:r>
              <w:rPr>
                <w:spacing w:val="-2"/>
                <w:sz w:val="20"/>
              </w:rPr>
              <w:t>Гематология</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8"/>
              <w:jc w:val="right"/>
              <w:rPr>
                <w:sz w:val="20"/>
              </w:rPr>
            </w:pPr>
            <w:r>
              <w:rPr>
                <w:spacing w:val="-4"/>
                <w:sz w:val="20"/>
              </w:rPr>
              <w:t>1,66</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st05.001</w:t>
            </w:r>
          </w:p>
        </w:tc>
        <w:tc>
          <w:tcPr>
            <w:tcW w:w="657" w:type="dxa"/>
          </w:tcPr>
          <w:p>
            <w:pPr>
              <w:pStyle w:val="TableParagraph"/>
              <w:spacing w:line="215" w:lineRule="exact" w:before="45"/>
              <w:ind w:left="222" w:right="205"/>
              <w:jc w:val="center"/>
              <w:rPr>
                <w:sz w:val="20"/>
              </w:rPr>
            </w:pPr>
            <w:r>
              <w:rPr>
                <w:spacing w:val="-5"/>
                <w:sz w:val="20"/>
              </w:rPr>
              <w:t>23</w:t>
            </w:r>
          </w:p>
        </w:tc>
        <w:tc>
          <w:tcPr>
            <w:tcW w:w="2538" w:type="dxa"/>
          </w:tcPr>
          <w:p>
            <w:pPr>
              <w:pStyle w:val="TableParagraph"/>
              <w:spacing w:line="215" w:lineRule="exact" w:before="45"/>
              <w:ind w:left="217"/>
              <w:rPr>
                <w:sz w:val="20"/>
              </w:rPr>
            </w:pPr>
            <w:r>
              <w:rPr>
                <w:sz w:val="20"/>
              </w:rPr>
              <w:t>Анемии</w:t>
            </w:r>
            <w:r>
              <w:rPr>
                <w:spacing w:val="-11"/>
                <w:sz w:val="20"/>
              </w:rPr>
              <w:t> </w:t>
            </w:r>
            <w:r>
              <w:rPr>
                <w:sz w:val="20"/>
              </w:rPr>
              <w:t>(уровень</w:t>
            </w:r>
            <w:r>
              <w:rPr>
                <w:spacing w:val="-9"/>
                <w:sz w:val="20"/>
              </w:rPr>
              <w:t> </w:t>
            </w:r>
            <w:r>
              <w:rPr>
                <w:spacing w:val="-5"/>
                <w:sz w:val="20"/>
              </w:rPr>
              <w:t>1)</w:t>
            </w:r>
          </w:p>
        </w:tc>
        <w:tc>
          <w:tcPr>
            <w:tcW w:w="5215" w:type="dxa"/>
          </w:tcPr>
          <w:p>
            <w:pPr>
              <w:pStyle w:val="TableParagraph"/>
              <w:spacing w:line="215" w:lineRule="exact" w:before="45"/>
              <w:ind w:left="300"/>
              <w:rPr>
                <w:sz w:val="20"/>
              </w:rPr>
            </w:pPr>
            <w:r>
              <w:rPr>
                <w:sz w:val="20"/>
              </w:rPr>
              <w:t>D50,</w:t>
            </w:r>
            <w:r>
              <w:rPr>
                <w:spacing w:val="-5"/>
                <w:sz w:val="20"/>
              </w:rPr>
              <w:t> </w:t>
            </w:r>
            <w:r>
              <w:rPr>
                <w:sz w:val="20"/>
              </w:rPr>
              <w:t>D50.0,</w:t>
            </w:r>
            <w:r>
              <w:rPr>
                <w:spacing w:val="-5"/>
                <w:sz w:val="20"/>
              </w:rPr>
              <w:t> </w:t>
            </w:r>
            <w:r>
              <w:rPr>
                <w:sz w:val="20"/>
              </w:rPr>
              <w:t>D50.1,</w:t>
            </w:r>
            <w:r>
              <w:rPr>
                <w:spacing w:val="-5"/>
                <w:sz w:val="20"/>
              </w:rPr>
              <w:t> </w:t>
            </w:r>
            <w:r>
              <w:rPr>
                <w:sz w:val="20"/>
              </w:rPr>
              <w:t>D50.8,</w:t>
            </w:r>
            <w:r>
              <w:rPr>
                <w:spacing w:val="-5"/>
                <w:sz w:val="20"/>
              </w:rPr>
              <w:t> </w:t>
            </w:r>
            <w:r>
              <w:rPr>
                <w:sz w:val="20"/>
              </w:rPr>
              <w:t>D50.9,</w:t>
            </w:r>
            <w:r>
              <w:rPr>
                <w:spacing w:val="-5"/>
                <w:sz w:val="20"/>
              </w:rPr>
              <w:t> </w:t>
            </w:r>
            <w:r>
              <w:rPr>
                <w:sz w:val="20"/>
              </w:rPr>
              <w:t>D51,</w:t>
            </w:r>
            <w:r>
              <w:rPr>
                <w:spacing w:val="-5"/>
                <w:sz w:val="20"/>
              </w:rPr>
              <w:t> </w:t>
            </w:r>
            <w:r>
              <w:rPr>
                <w:spacing w:val="-2"/>
                <w:sz w:val="20"/>
              </w:rPr>
              <w:t>D51.0,</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0,94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4"/>
              <w:rPr>
                <w:sz w:val="20"/>
              </w:rPr>
            </w:pPr>
            <w:r>
              <w:rPr>
                <w:sz w:val="20"/>
              </w:rPr>
              <w:t>D51.1,</w:t>
            </w:r>
            <w:r>
              <w:rPr>
                <w:spacing w:val="-4"/>
                <w:sz w:val="20"/>
              </w:rPr>
              <w:t> </w:t>
            </w:r>
            <w:r>
              <w:rPr>
                <w:sz w:val="20"/>
              </w:rPr>
              <w:t>D51.2,</w:t>
            </w:r>
            <w:r>
              <w:rPr>
                <w:spacing w:val="-6"/>
                <w:sz w:val="20"/>
              </w:rPr>
              <w:t> </w:t>
            </w:r>
            <w:r>
              <w:rPr>
                <w:sz w:val="20"/>
              </w:rPr>
              <w:t>D51.3,</w:t>
            </w:r>
            <w:r>
              <w:rPr>
                <w:spacing w:val="-4"/>
                <w:sz w:val="20"/>
              </w:rPr>
              <w:t> </w:t>
            </w:r>
            <w:r>
              <w:rPr>
                <w:sz w:val="20"/>
              </w:rPr>
              <w:t>D51.8,</w:t>
            </w:r>
            <w:r>
              <w:rPr>
                <w:spacing w:val="-6"/>
                <w:sz w:val="20"/>
              </w:rPr>
              <w:t> </w:t>
            </w:r>
            <w:r>
              <w:rPr>
                <w:sz w:val="20"/>
              </w:rPr>
              <w:t>D51.9,</w:t>
            </w:r>
            <w:r>
              <w:rPr>
                <w:spacing w:val="-4"/>
                <w:sz w:val="20"/>
              </w:rPr>
              <w:t> </w:t>
            </w:r>
            <w:r>
              <w:rPr>
                <w:sz w:val="20"/>
              </w:rPr>
              <w:t>D52,</w:t>
            </w:r>
            <w:r>
              <w:rPr>
                <w:spacing w:val="-4"/>
                <w:sz w:val="20"/>
              </w:rPr>
              <w:t> </w:t>
            </w:r>
            <w:r>
              <w:rPr>
                <w:spacing w:val="-2"/>
                <w:sz w:val="20"/>
              </w:rPr>
              <w:t>D52.0,</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6"/>
              <w:rPr>
                <w:sz w:val="20"/>
              </w:rPr>
            </w:pPr>
            <w:r>
              <w:rPr>
                <w:sz w:val="20"/>
              </w:rPr>
              <w:t>D52.1,</w:t>
            </w:r>
            <w:r>
              <w:rPr>
                <w:spacing w:val="-6"/>
                <w:sz w:val="20"/>
              </w:rPr>
              <w:t> </w:t>
            </w:r>
            <w:r>
              <w:rPr>
                <w:sz w:val="20"/>
              </w:rPr>
              <w:t>D52.8,</w:t>
            </w:r>
            <w:r>
              <w:rPr>
                <w:spacing w:val="-6"/>
                <w:sz w:val="20"/>
              </w:rPr>
              <w:t> </w:t>
            </w:r>
            <w:r>
              <w:rPr>
                <w:sz w:val="20"/>
              </w:rPr>
              <w:t>D52.9,</w:t>
            </w:r>
            <w:r>
              <w:rPr>
                <w:spacing w:val="-5"/>
                <w:sz w:val="20"/>
              </w:rPr>
              <w:t> </w:t>
            </w:r>
            <w:r>
              <w:rPr>
                <w:sz w:val="20"/>
              </w:rPr>
              <w:t>D53,</w:t>
            </w:r>
            <w:r>
              <w:rPr>
                <w:spacing w:val="-6"/>
                <w:sz w:val="20"/>
              </w:rPr>
              <w:t> </w:t>
            </w:r>
            <w:r>
              <w:rPr>
                <w:sz w:val="20"/>
              </w:rPr>
              <w:t>D53.0,</w:t>
            </w:r>
            <w:r>
              <w:rPr>
                <w:spacing w:val="-5"/>
                <w:sz w:val="20"/>
              </w:rPr>
              <w:t> </w:t>
            </w:r>
            <w:r>
              <w:rPr>
                <w:sz w:val="20"/>
              </w:rPr>
              <w:t>D53.1,</w:t>
            </w:r>
            <w:r>
              <w:rPr>
                <w:spacing w:val="-5"/>
                <w:sz w:val="20"/>
              </w:rPr>
              <w:t> </w:t>
            </w:r>
            <w:r>
              <w:rPr>
                <w:spacing w:val="-2"/>
                <w:sz w:val="20"/>
              </w:rPr>
              <w:t>D53.2,</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1" w:lineRule="exact"/>
              <w:ind w:left="447"/>
              <w:rPr>
                <w:sz w:val="20"/>
              </w:rPr>
            </w:pPr>
            <w:r>
              <w:rPr>
                <w:sz w:val="20"/>
              </w:rPr>
              <w:t>D53.8,</w:t>
            </w:r>
            <w:r>
              <w:rPr>
                <w:spacing w:val="-4"/>
                <w:sz w:val="20"/>
              </w:rPr>
              <w:t> </w:t>
            </w:r>
            <w:r>
              <w:rPr>
                <w:sz w:val="20"/>
              </w:rPr>
              <w:t>D53.9,</w:t>
            </w:r>
            <w:r>
              <w:rPr>
                <w:spacing w:val="-6"/>
                <w:sz w:val="20"/>
              </w:rPr>
              <w:t> </w:t>
            </w:r>
            <w:r>
              <w:rPr>
                <w:sz w:val="20"/>
              </w:rPr>
              <w:t>D57.1,</w:t>
            </w:r>
            <w:r>
              <w:rPr>
                <w:spacing w:val="-4"/>
                <w:sz w:val="20"/>
              </w:rPr>
              <w:t> </w:t>
            </w:r>
            <w:r>
              <w:rPr>
                <w:sz w:val="20"/>
              </w:rPr>
              <w:t>D57.3,</w:t>
            </w:r>
            <w:r>
              <w:rPr>
                <w:spacing w:val="-6"/>
                <w:sz w:val="20"/>
              </w:rPr>
              <w:t> </w:t>
            </w:r>
            <w:r>
              <w:rPr>
                <w:sz w:val="20"/>
              </w:rPr>
              <w:t>D63.0,</w:t>
            </w:r>
            <w:r>
              <w:rPr>
                <w:spacing w:val="-4"/>
                <w:sz w:val="20"/>
              </w:rPr>
              <w:t> </w:t>
            </w:r>
            <w:r>
              <w:rPr>
                <w:spacing w:val="-2"/>
                <w:sz w:val="20"/>
              </w:rPr>
              <w:t>D63.8,</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38" w:type="dxa"/>
          </w:tcPr>
          <w:p>
            <w:pPr>
              <w:pStyle w:val="TableParagraph"/>
              <w:rPr>
                <w:sz w:val="18"/>
              </w:rPr>
            </w:pPr>
          </w:p>
        </w:tc>
        <w:tc>
          <w:tcPr>
            <w:tcW w:w="5215" w:type="dxa"/>
          </w:tcPr>
          <w:p>
            <w:pPr>
              <w:pStyle w:val="TableParagraph"/>
              <w:spacing w:line="226" w:lineRule="exact"/>
              <w:ind w:left="1445"/>
              <w:rPr>
                <w:sz w:val="20"/>
              </w:rPr>
            </w:pPr>
            <w:r>
              <w:rPr>
                <w:sz w:val="20"/>
              </w:rPr>
              <w:t>D64.8,</w:t>
            </w:r>
            <w:r>
              <w:rPr>
                <w:spacing w:val="-4"/>
                <w:sz w:val="20"/>
              </w:rPr>
              <w:t> </w:t>
            </w:r>
            <w:r>
              <w:rPr>
                <w:sz w:val="20"/>
              </w:rPr>
              <w:t>D64.9,</w:t>
            </w:r>
            <w:r>
              <w:rPr>
                <w:spacing w:val="-5"/>
                <w:sz w:val="20"/>
              </w:rPr>
              <w:t> R71</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st05.002</w:t>
            </w:r>
          </w:p>
        </w:tc>
        <w:tc>
          <w:tcPr>
            <w:tcW w:w="657" w:type="dxa"/>
          </w:tcPr>
          <w:p>
            <w:pPr>
              <w:pStyle w:val="TableParagraph"/>
              <w:spacing w:line="215" w:lineRule="exact" w:before="45"/>
              <w:ind w:left="222" w:right="205"/>
              <w:jc w:val="center"/>
              <w:rPr>
                <w:sz w:val="20"/>
              </w:rPr>
            </w:pPr>
            <w:r>
              <w:rPr>
                <w:spacing w:val="-5"/>
                <w:sz w:val="20"/>
              </w:rPr>
              <w:t>24</w:t>
            </w:r>
          </w:p>
        </w:tc>
        <w:tc>
          <w:tcPr>
            <w:tcW w:w="2538" w:type="dxa"/>
          </w:tcPr>
          <w:p>
            <w:pPr>
              <w:pStyle w:val="TableParagraph"/>
              <w:spacing w:line="215" w:lineRule="exact" w:before="45"/>
              <w:ind w:left="217"/>
              <w:rPr>
                <w:sz w:val="20"/>
              </w:rPr>
            </w:pPr>
            <w:r>
              <w:rPr>
                <w:sz w:val="20"/>
              </w:rPr>
              <w:t>Анемии</w:t>
            </w:r>
            <w:r>
              <w:rPr>
                <w:spacing w:val="-11"/>
                <w:sz w:val="20"/>
              </w:rPr>
              <w:t> </w:t>
            </w:r>
            <w:r>
              <w:rPr>
                <w:sz w:val="20"/>
              </w:rPr>
              <w:t>(уровень</w:t>
            </w:r>
            <w:r>
              <w:rPr>
                <w:spacing w:val="-9"/>
                <w:sz w:val="20"/>
              </w:rPr>
              <w:t> </w:t>
            </w:r>
            <w:r>
              <w:rPr>
                <w:spacing w:val="-5"/>
                <w:sz w:val="20"/>
              </w:rPr>
              <w:t>2)</w:t>
            </w:r>
          </w:p>
        </w:tc>
        <w:tc>
          <w:tcPr>
            <w:tcW w:w="5215" w:type="dxa"/>
          </w:tcPr>
          <w:p>
            <w:pPr>
              <w:pStyle w:val="TableParagraph"/>
              <w:spacing w:line="215" w:lineRule="exact" w:before="45"/>
              <w:ind w:left="226"/>
              <w:rPr>
                <w:sz w:val="20"/>
              </w:rPr>
            </w:pPr>
            <w:r>
              <w:rPr>
                <w:sz w:val="20"/>
              </w:rPr>
              <w:t>D55,</w:t>
            </w:r>
            <w:r>
              <w:rPr>
                <w:spacing w:val="-6"/>
                <w:sz w:val="20"/>
              </w:rPr>
              <w:t> </w:t>
            </w:r>
            <w:r>
              <w:rPr>
                <w:sz w:val="20"/>
              </w:rPr>
              <w:t>D55.0,</w:t>
            </w:r>
            <w:r>
              <w:rPr>
                <w:spacing w:val="-6"/>
                <w:sz w:val="20"/>
              </w:rPr>
              <w:t> </w:t>
            </w:r>
            <w:r>
              <w:rPr>
                <w:sz w:val="20"/>
              </w:rPr>
              <w:t>D55.1,</w:t>
            </w:r>
            <w:r>
              <w:rPr>
                <w:spacing w:val="-5"/>
                <w:sz w:val="20"/>
              </w:rPr>
              <w:t> </w:t>
            </w:r>
            <w:r>
              <w:rPr>
                <w:sz w:val="20"/>
              </w:rPr>
              <w:t>D55.2,</w:t>
            </w:r>
            <w:r>
              <w:rPr>
                <w:spacing w:val="-6"/>
                <w:sz w:val="20"/>
              </w:rPr>
              <w:t> </w:t>
            </w:r>
            <w:r>
              <w:rPr>
                <w:sz w:val="20"/>
              </w:rPr>
              <w:t>D55.3,</w:t>
            </w:r>
            <w:r>
              <w:rPr>
                <w:spacing w:val="-5"/>
                <w:sz w:val="20"/>
              </w:rPr>
              <w:t> </w:t>
            </w:r>
            <w:r>
              <w:rPr>
                <w:sz w:val="20"/>
              </w:rPr>
              <w:t>D55.8,</w:t>
            </w:r>
            <w:r>
              <w:rPr>
                <w:spacing w:val="-6"/>
                <w:sz w:val="20"/>
              </w:rPr>
              <w:t> </w:t>
            </w:r>
            <w:r>
              <w:rPr>
                <w:spacing w:val="-2"/>
                <w:sz w:val="20"/>
              </w:rPr>
              <w:t>D55.9,</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5,32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6"/>
              <w:rPr>
                <w:sz w:val="20"/>
              </w:rPr>
            </w:pPr>
            <w:r>
              <w:rPr>
                <w:sz w:val="20"/>
              </w:rPr>
              <w:t>D56,</w:t>
            </w:r>
            <w:r>
              <w:rPr>
                <w:spacing w:val="-6"/>
                <w:sz w:val="20"/>
              </w:rPr>
              <w:t> </w:t>
            </w:r>
            <w:r>
              <w:rPr>
                <w:sz w:val="20"/>
              </w:rPr>
              <w:t>D56.0,</w:t>
            </w:r>
            <w:r>
              <w:rPr>
                <w:spacing w:val="-6"/>
                <w:sz w:val="20"/>
              </w:rPr>
              <w:t> </w:t>
            </w:r>
            <w:r>
              <w:rPr>
                <w:sz w:val="20"/>
              </w:rPr>
              <w:t>D56.1,</w:t>
            </w:r>
            <w:r>
              <w:rPr>
                <w:spacing w:val="-5"/>
                <w:sz w:val="20"/>
              </w:rPr>
              <w:t> </w:t>
            </w:r>
            <w:r>
              <w:rPr>
                <w:sz w:val="20"/>
              </w:rPr>
              <w:t>D56.2,</w:t>
            </w:r>
            <w:r>
              <w:rPr>
                <w:spacing w:val="-6"/>
                <w:sz w:val="20"/>
              </w:rPr>
              <w:t> </w:t>
            </w:r>
            <w:r>
              <w:rPr>
                <w:sz w:val="20"/>
              </w:rPr>
              <w:t>D56.3,</w:t>
            </w:r>
            <w:r>
              <w:rPr>
                <w:spacing w:val="-5"/>
                <w:sz w:val="20"/>
              </w:rPr>
              <w:t> </w:t>
            </w:r>
            <w:r>
              <w:rPr>
                <w:sz w:val="20"/>
              </w:rPr>
              <w:t>D56.4,</w:t>
            </w:r>
            <w:r>
              <w:rPr>
                <w:spacing w:val="-6"/>
                <w:sz w:val="20"/>
              </w:rPr>
              <w:t> </w:t>
            </w:r>
            <w:r>
              <w:rPr>
                <w:spacing w:val="-2"/>
                <w:sz w:val="20"/>
              </w:rPr>
              <w:t>D56.8,</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300"/>
              <w:rPr>
                <w:sz w:val="20"/>
              </w:rPr>
            </w:pPr>
            <w:r>
              <w:rPr>
                <w:sz w:val="20"/>
              </w:rPr>
              <w:t>D56.9,</w:t>
            </w:r>
            <w:r>
              <w:rPr>
                <w:spacing w:val="-5"/>
                <w:sz w:val="20"/>
              </w:rPr>
              <w:t> </w:t>
            </w:r>
            <w:r>
              <w:rPr>
                <w:sz w:val="20"/>
              </w:rPr>
              <w:t>D57,</w:t>
            </w:r>
            <w:r>
              <w:rPr>
                <w:spacing w:val="-5"/>
                <w:sz w:val="20"/>
              </w:rPr>
              <w:t> </w:t>
            </w:r>
            <w:r>
              <w:rPr>
                <w:sz w:val="20"/>
              </w:rPr>
              <w:t>D57.0,</w:t>
            </w:r>
            <w:r>
              <w:rPr>
                <w:spacing w:val="-5"/>
                <w:sz w:val="20"/>
              </w:rPr>
              <w:t> </w:t>
            </w:r>
            <w:r>
              <w:rPr>
                <w:sz w:val="20"/>
              </w:rPr>
              <w:t>D57.2,</w:t>
            </w:r>
            <w:r>
              <w:rPr>
                <w:spacing w:val="-5"/>
                <w:sz w:val="20"/>
              </w:rPr>
              <w:t> </w:t>
            </w:r>
            <w:r>
              <w:rPr>
                <w:sz w:val="20"/>
              </w:rPr>
              <w:t>D57.8,</w:t>
            </w:r>
            <w:r>
              <w:rPr>
                <w:spacing w:val="-5"/>
                <w:sz w:val="20"/>
              </w:rPr>
              <w:t> </w:t>
            </w:r>
            <w:r>
              <w:rPr>
                <w:sz w:val="20"/>
              </w:rPr>
              <w:t>D58,</w:t>
            </w:r>
            <w:r>
              <w:rPr>
                <w:spacing w:val="-5"/>
                <w:sz w:val="20"/>
              </w:rPr>
              <w:t> </w:t>
            </w:r>
            <w:r>
              <w:rPr>
                <w:spacing w:val="-2"/>
                <w:sz w:val="20"/>
              </w:rPr>
              <w:t>D58.0,</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09" w:lineRule="exact"/>
              <w:ind w:left="447"/>
              <w:rPr>
                <w:sz w:val="20"/>
              </w:rPr>
            </w:pPr>
            <w:r>
              <w:rPr>
                <w:sz w:val="20"/>
              </w:rPr>
              <w:t>D58.1,</w:t>
            </w:r>
            <w:r>
              <w:rPr>
                <w:spacing w:val="-4"/>
                <w:sz w:val="20"/>
              </w:rPr>
              <w:t> </w:t>
            </w:r>
            <w:r>
              <w:rPr>
                <w:sz w:val="20"/>
              </w:rPr>
              <w:t>D58.2,</w:t>
            </w:r>
            <w:r>
              <w:rPr>
                <w:spacing w:val="-6"/>
                <w:sz w:val="20"/>
              </w:rPr>
              <w:t> </w:t>
            </w:r>
            <w:r>
              <w:rPr>
                <w:sz w:val="20"/>
              </w:rPr>
              <w:t>D58.8,</w:t>
            </w:r>
            <w:r>
              <w:rPr>
                <w:spacing w:val="-3"/>
                <w:sz w:val="20"/>
              </w:rPr>
              <w:t> </w:t>
            </w:r>
            <w:r>
              <w:rPr>
                <w:sz w:val="20"/>
              </w:rPr>
              <w:t>D58.9,</w:t>
            </w:r>
            <w:r>
              <w:rPr>
                <w:spacing w:val="-6"/>
                <w:sz w:val="20"/>
              </w:rPr>
              <w:t> </w:t>
            </w:r>
            <w:r>
              <w:rPr>
                <w:sz w:val="20"/>
              </w:rPr>
              <w:t>D59.0,</w:t>
            </w:r>
            <w:r>
              <w:rPr>
                <w:spacing w:val="-4"/>
                <w:sz w:val="20"/>
              </w:rPr>
              <w:t> </w:t>
            </w:r>
            <w:r>
              <w:rPr>
                <w:spacing w:val="-2"/>
                <w:sz w:val="20"/>
              </w:rPr>
              <w:t>D59.1,</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09" w:lineRule="exact"/>
              <w:ind w:left="447"/>
              <w:rPr>
                <w:sz w:val="20"/>
              </w:rPr>
            </w:pPr>
            <w:r>
              <w:rPr>
                <w:sz w:val="20"/>
              </w:rPr>
              <w:t>D59.2,</w:t>
            </w:r>
            <w:r>
              <w:rPr>
                <w:spacing w:val="-4"/>
                <w:sz w:val="20"/>
              </w:rPr>
              <w:t> </w:t>
            </w:r>
            <w:r>
              <w:rPr>
                <w:sz w:val="20"/>
              </w:rPr>
              <w:t>D59.3,</w:t>
            </w:r>
            <w:r>
              <w:rPr>
                <w:spacing w:val="-6"/>
                <w:sz w:val="20"/>
              </w:rPr>
              <w:t> </w:t>
            </w:r>
            <w:r>
              <w:rPr>
                <w:sz w:val="20"/>
              </w:rPr>
              <w:t>D59.4,</w:t>
            </w:r>
            <w:r>
              <w:rPr>
                <w:spacing w:val="-4"/>
                <w:sz w:val="20"/>
              </w:rPr>
              <w:t> </w:t>
            </w:r>
            <w:r>
              <w:rPr>
                <w:sz w:val="20"/>
              </w:rPr>
              <w:t>D59.5,</w:t>
            </w:r>
            <w:r>
              <w:rPr>
                <w:spacing w:val="-6"/>
                <w:sz w:val="20"/>
              </w:rPr>
              <w:t> </w:t>
            </w:r>
            <w:r>
              <w:rPr>
                <w:sz w:val="20"/>
              </w:rPr>
              <w:t>D59.6,</w:t>
            </w:r>
            <w:r>
              <w:rPr>
                <w:spacing w:val="-4"/>
                <w:sz w:val="20"/>
              </w:rPr>
              <w:t> </w:t>
            </w:r>
            <w:r>
              <w:rPr>
                <w:spacing w:val="-2"/>
                <w:sz w:val="20"/>
              </w:rPr>
              <w:t>D59.8,</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300"/>
              <w:rPr>
                <w:sz w:val="20"/>
              </w:rPr>
            </w:pPr>
            <w:r>
              <w:rPr>
                <w:sz w:val="20"/>
              </w:rPr>
              <w:t>D59.9,</w:t>
            </w:r>
            <w:r>
              <w:rPr>
                <w:spacing w:val="-6"/>
                <w:sz w:val="20"/>
              </w:rPr>
              <w:t> </w:t>
            </w:r>
            <w:r>
              <w:rPr>
                <w:sz w:val="20"/>
              </w:rPr>
              <w:t>D60,</w:t>
            </w:r>
            <w:r>
              <w:rPr>
                <w:spacing w:val="-6"/>
                <w:sz w:val="20"/>
              </w:rPr>
              <w:t> </w:t>
            </w:r>
            <w:r>
              <w:rPr>
                <w:sz w:val="20"/>
              </w:rPr>
              <w:t>D60.0,</w:t>
            </w:r>
            <w:r>
              <w:rPr>
                <w:spacing w:val="-5"/>
                <w:sz w:val="20"/>
              </w:rPr>
              <w:t> </w:t>
            </w:r>
            <w:r>
              <w:rPr>
                <w:sz w:val="20"/>
              </w:rPr>
              <w:t>D60.1,</w:t>
            </w:r>
            <w:r>
              <w:rPr>
                <w:spacing w:val="-6"/>
                <w:sz w:val="20"/>
              </w:rPr>
              <w:t> </w:t>
            </w:r>
            <w:r>
              <w:rPr>
                <w:sz w:val="20"/>
              </w:rPr>
              <w:t>D60.8,</w:t>
            </w:r>
            <w:r>
              <w:rPr>
                <w:spacing w:val="-5"/>
                <w:sz w:val="20"/>
              </w:rPr>
              <w:t> </w:t>
            </w:r>
            <w:r>
              <w:rPr>
                <w:sz w:val="20"/>
              </w:rPr>
              <w:t>D60.9,</w:t>
            </w:r>
            <w:r>
              <w:rPr>
                <w:spacing w:val="-6"/>
                <w:sz w:val="20"/>
              </w:rPr>
              <w:t> </w:t>
            </w:r>
            <w:r>
              <w:rPr>
                <w:spacing w:val="-4"/>
                <w:sz w:val="20"/>
              </w:rPr>
              <w:t>D61,</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4"/>
              <w:rPr>
                <w:sz w:val="20"/>
              </w:rPr>
            </w:pPr>
            <w:r>
              <w:rPr>
                <w:sz w:val="20"/>
              </w:rPr>
              <w:t>D61.0,</w:t>
            </w:r>
            <w:r>
              <w:rPr>
                <w:spacing w:val="-5"/>
                <w:sz w:val="20"/>
              </w:rPr>
              <w:t> </w:t>
            </w:r>
            <w:r>
              <w:rPr>
                <w:sz w:val="20"/>
              </w:rPr>
              <w:t>D61.1,</w:t>
            </w:r>
            <w:r>
              <w:rPr>
                <w:spacing w:val="-5"/>
                <w:sz w:val="20"/>
              </w:rPr>
              <w:t> </w:t>
            </w:r>
            <w:r>
              <w:rPr>
                <w:sz w:val="20"/>
              </w:rPr>
              <w:t>D61.2,</w:t>
            </w:r>
            <w:r>
              <w:rPr>
                <w:spacing w:val="-4"/>
                <w:sz w:val="20"/>
              </w:rPr>
              <w:t> </w:t>
            </w:r>
            <w:r>
              <w:rPr>
                <w:sz w:val="20"/>
              </w:rPr>
              <w:t>D61.3,</w:t>
            </w:r>
            <w:r>
              <w:rPr>
                <w:spacing w:val="-6"/>
                <w:sz w:val="20"/>
              </w:rPr>
              <w:t> </w:t>
            </w:r>
            <w:r>
              <w:rPr>
                <w:sz w:val="20"/>
              </w:rPr>
              <w:t>D61.8,</w:t>
            </w:r>
            <w:r>
              <w:rPr>
                <w:spacing w:val="-4"/>
                <w:sz w:val="20"/>
              </w:rPr>
              <w:t> </w:t>
            </w:r>
            <w:r>
              <w:rPr>
                <w:sz w:val="20"/>
              </w:rPr>
              <w:t>D61.9,</w:t>
            </w:r>
            <w:r>
              <w:rPr>
                <w:spacing w:val="-6"/>
                <w:sz w:val="20"/>
              </w:rPr>
              <w:t> </w:t>
            </w:r>
            <w:r>
              <w:rPr>
                <w:spacing w:val="-4"/>
                <w:sz w:val="20"/>
              </w:rPr>
              <w:t>D62,</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300"/>
              <w:rPr>
                <w:sz w:val="20"/>
              </w:rPr>
            </w:pPr>
            <w:r>
              <w:rPr>
                <w:sz w:val="20"/>
              </w:rPr>
              <w:t>D64,</w:t>
            </w:r>
            <w:r>
              <w:rPr>
                <w:spacing w:val="-6"/>
                <w:sz w:val="20"/>
              </w:rPr>
              <w:t> </w:t>
            </w:r>
            <w:r>
              <w:rPr>
                <w:sz w:val="20"/>
              </w:rPr>
              <w:t>D64.0,</w:t>
            </w:r>
            <w:r>
              <w:rPr>
                <w:spacing w:val="-6"/>
                <w:sz w:val="20"/>
              </w:rPr>
              <w:t> </w:t>
            </w:r>
            <w:r>
              <w:rPr>
                <w:sz w:val="20"/>
              </w:rPr>
              <w:t>D64.1,</w:t>
            </w:r>
            <w:r>
              <w:rPr>
                <w:spacing w:val="-5"/>
                <w:sz w:val="20"/>
              </w:rPr>
              <w:t> </w:t>
            </w:r>
            <w:r>
              <w:rPr>
                <w:sz w:val="20"/>
              </w:rPr>
              <w:t>D64.2,</w:t>
            </w:r>
            <w:r>
              <w:rPr>
                <w:spacing w:val="-6"/>
                <w:sz w:val="20"/>
              </w:rPr>
              <w:t> </w:t>
            </w:r>
            <w:r>
              <w:rPr>
                <w:sz w:val="20"/>
              </w:rPr>
              <w:t>D64.3,</w:t>
            </w:r>
            <w:r>
              <w:rPr>
                <w:spacing w:val="-5"/>
                <w:sz w:val="20"/>
              </w:rPr>
              <w:t> </w:t>
            </w:r>
            <w:r>
              <w:rPr>
                <w:sz w:val="20"/>
              </w:rPr>
              <w:t>D64.4,</w:t>
            </w:r>
            <w:r>
              <w:rPr>
                <w:spacing w:val="-6"/>
                <w:sz w:val="20"/>
              </w:rPr>
              <w:t> </w:t>
            </w:r>
            <w:r>
              <w:rPr>
                <w:spacing w:val="-4"/>
                <w:sz w:val="20"/>
              </w:rPr>
              <w:t>D74,</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38" w:type="dxa"/>
          </w:tcPr>
          <w:p>
            <w:pPr>
              <w:pStyle w:val="TableParagraph"/>
              <w:rPr>
                <w:sz w:val="18"/>
              </w:rPr>
            </w:pPr>
          </w:p>
        </w:tc>
        <w:tc>
          <w:tcPr>
            <w:tcW w:w="5215" w:type="dxa"/>
          </w:tcPr>
          <w:p>
            <w:pPr>
              <w:pStyle w:val="TableParagraph"/>
              <w:spacing w:line="226" w:lineRule="exact"/>
              <w:ind w:left="1366"/>
              <w:rPr>
                <w:sz w:val="20"/>
              </w:rPr>
            </w:pPr>
            <w:r>
              <w:rPr>
                <w:sz w:val="20"/>
              </w:rPr>
              <w:t>D74.0,</w:t>
            </w:r>
            <w:r>
              <w:rPr>
                <w:spacing w:val="-4"/>
                <w:sz w:val="20"/>
              </w:rPr>
              <w:t> </w:t>
            </w:r>
            <w:r>
              <w:rPr>
                <w:sz w:val="20"/>
              </w:rPr>
              <w:t>D74.8,</w:t>
            </w:r>
            <w:r>
              <w:rPr>
                <w:spacing w:val="-5"/>
                <w:sz w:val="20"/>
              </w:rPr>
              <w:t> </w:t>
            </w:r>
            <w:r>
              <w:rPr>
                <w:spacing w:val="-4"/>
                <w:sz w:val="20"/>
              </w:rPr>
              <w:t>D74.9</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st05.003</w:t>
            </w:r>
          </w:p>
        </w:tc>
        <w:tc>
          <w:tcPr>
            <w:tcW w:w="657" w:type="dxa"/>
          </w:tcPr>
          <w:p>
            <w:pPr>
              <w:pStyle w:val="TableParagraph"/>
              <w:spacing w:line="215" w:lineRule="exact" w:before="45"/>
              <w:ind w:left="222" w:right="205"/>
              <w:jc w:val="center"/>
              <w:rPr>
                <w:sz w:val="20"/>
              </w:rPr>
            </w:pPr>
            <w:r>
              <w:rPr>
                <w:spacing w:val="-5"/>
                <w:sz w:val="20"/>
              </w:rPr>
              <w:t>25</w:t>
            </w:r>
          </w:p>
        </w:tc>
        <w:tc>
          <w:tcPr>
            <w:tcW w:w="2538" w:type="dxa"/>
          </w:tcPr>
          <w:p>
            <w:pPr>
              <w:pStyle w:val="TableParagraph"/>
              <w:spacing w:line="215" w:lineRule="exact" w:before="45"/>
              <w:ind w:left="217"/>
              <w:rPr>
                <w:sz w:val="20"/>
              </w:rPr>
            </w:pPr>
            <w:r>
              <w:rPr>
                <w:spacing w:val="-2"/>
                <w:sz w:val="20"/>
              </w:rPr>
              <w:t>Нарушения</w:t>
            </w:r>
          </w:p>
        </w:tc>
        <w:tc>
          <w:tcPr>
            <w:tcW w:w="5215" w:type="dxa"/>
          </w:tcPr>
          <w:p>
            <w:pPr>
              <w:pStyle w:val="TableParagraph"/>
              <w:spacing w:line="215" w:lineRule="exact" w:before="45"/>
              <w:ind w:left="452"/>
              <w:rPr>
                <w:sz w:val="20"/>
              </w:rPr>
            </w:pPr>
            <w:r>
              <w:rPr>
                <w:sz w:val="20"/>
              </w:rPr>
              <w:t>D65,</w:t>
            </w:r>
            <w:r>
              <w:rPr>
                <w:spacing w:val="-3"/>
                <w:sz w:val="20"/>
              </w:rPr>
              <w:t> </w:t>
            </w:r>
            <w:r>
              <w:rPr>
                <w:sz w:val="20"/>
              </w:rPr>
              <w:t>D66,</w:t>
            </w:r>
            <w:r>
              <w:rPr>
                <w:spacing w:val="-5"/>
                <w:sz w:val="20"/>
              </w:rPr>
              <w:t> </w:t>
            </w:r>
            <w:r>
              <w:rPr>
                <w:sz w:val="20"/>
              </w:rPr>
              <w:t>D67,</w:t>
            </w:r>
            <w:r>
              <w:rPr>
                <w:spacing w:val="-3"/>
                <w:sz w:val="20"/>
              </w:rPr>
              <w:t> </w:t>
            </w:r>
            <w:r>
              <w:rPr>
                <w:sz w:val="20"/>
              </w:rPr>
              <w:t>D68,</w:t>
            </w:r>
            <w:r>
              <w:rPr>
                <w:spacing w:val="-3"/>
                <w:sz w:val="20"/>
              </w:rPr>
              <w:t> </w:t>
            </w:r>
            <w:r>
              <w:rPr>
                <w:sz w:val="20"/>
              </w:rPr>
              <w:t>D68.0,</w:t>
            </w:r>
            <w:r>
              <w:rPr>
                <w:spacing w:val="-7"/>
                <w:sz w:val="20"/>
              </w:rPr>
              <w:t> </w:t>
            </w:r>
            <w:r>
              <w:rPr>
                <w:sz w:val="20"/>
              </w:rPr>
              <w:t>D68.1,</w:t>
            </w:r>
            <w:r>
              <w:rPr>
                <w:spacing w:val="-3"/>
                <w:sz w:val="20"/>
              </w:rPr>
              <w:t> </w:t>
            </w:r>
            <w:r>
              <w:rPr>
                <w:spacing w:val="-2"/>
                <w:sz w:val="20"/>
              </w:rPr>
              <w:t>D68.2,</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4,50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spacing w:line="210" w:lineRule="exact"/>
              <w:ind w:left="217"/>
              <w:rPr>
                <w:sz w:val="20"/>
              </w:rPr>
            </w:pPr>
            <w:r>
              <w:rPr>
                <w:w w:val="95"/>
                <w:sz w:val="20"/>
              </w:rPr>
              <w:t>свертываемости</w:t>
            </w:r>
            <w:r>
              <w:rPr>
                <w:spacing w:val="56"/>
                <w:sz w:val="20"/>
              </w:rPr>
              <w:t> </w:t>
            </w:r>
            <w:r>
              <w:rPr>
                <w:spacing w:val="-4"/>
                <w:sz w:val="20"/>
              </w:rPr>
              <w:t>крови</w:t>
            </w:r>
          </w:p>
        </w:tc>
        <w:tc>
          <w:tcPr>
            <w:tcW w:w="5215" w:type="dxa"/>
          </w:tcPr>
          <w:p>
            <w:pPr>
              <w:pStyle w:val="TableParagraph"/>
              <w:spacing w:line="210" w:lineRule="exact"/>
              <w:ind w:left="224"/>
              <w:rPr>
                <w:sz w:val="20"/>
              </w:rPr>
            </w:pPr>
            <w:r>
              <w:rPr>
                <w:sz w:val="20"/>
              </w:rPr>
              <w:t>D68.3,</w:t>
            </w:r>
            <w:r>
              <w:rPr>
                <w:spacing w:val="-4"/>
                <w:sz w:val="20"/>
              </w:rPr>
              <w:t> </w:t>
            </w:r>
            <w:r>
              <w:rPr>
                <w:sz w:val="20"/>
              </w:rPr>
              <w:t>D68.4,</w:t>
            </w:r>
            <w:r>
              <w:rPr>
                <w:spacing w:val="-6"/>
                <w:sz w:val="20"/>
              </w:rPr>
              <w:t> </w:t>
            </w:r>
            <w:r>
              <w:rPr>
                <w:sz w:val="20"/>
              </w:rPr>
              <w:t>D68.8,</w:t>
            </w:r>
            <w:r>
              <w:rPr>
                <w:spacing w:val="-4"/>
                <w:sz w:val="20"/>
              </w:rPr>
              <w:t> </w:t>
            </w:r>
            <w:r>
              <w:rPr>
                <w:sz w:val="20"/>
              </w:rPr>
              <w:t>D68.9,</w:t>
            </w:r>
            <w:r>
              <w:rPr>
                <w:spacing w:val="-6"/>
                <w:sz w:val="20"/>
              </w:rPr>
              <w:t> </w:t>
            </w:r>
            <w:r>
              <w:rPr>
                <w:sz w:val="20"/>
              </w:rPr>
              <w:t>D69,</w:t>
            </w:r>
            <w:r>
              <w:rPr>
                <w:spacing w:val="-4"/>
                <w:sz w:val="20"/>
              </w:rPr>
              <w:t> </w:t>
            </w:r>
            <w:r>
              <w:rPr>
                <w:sz w:val="20"/>
              </w:rPr>
              <w:t>D69.0,</w:t>
            </w:r>
            <w:r>
              <w:rPr>
                <w:spacing w:val="-4"/>
                <w:sz w:val="20"/>
              </w:rPr>
              <w:t> </w:t>
            </w:r>
            <w:r>
              <w:rPr>
                <w:spacing w:val="-2"/>
                <w:sz w:val="20"/>
              </w:rPr>
              <w:t>D69.1,</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38" w:type="dxa"/>
          </w:tcPr>
          <w:p>
            <w:pPr>
              <w:pStyle w:val="TableParagraph"/>
              <w:rPr>
                <w:sz w:val="18"/>
              </w:rPr>
            </w:pPr>
          </w:p>
        </w:tc>
        <w:tc>
          <w:tcPr>
            <w:tcW w:w="5215" w:type="dxa"/>
          </w:tcPr>
          <w:p>
            <w:pPr>
              <w:pStyle w:val="TableParagraph"/>
              <w:spacing w:line="226" w:lineRule="exact"/>
              <w:ind w:left="176"/>
              <w:rPr>
                <w:sz w:val="20"/>
              </w:rPr>
            </w:pPr>
            <w:r>
              <w:rPr>
                <w:sz w:val="20"/>
              </w:rPr>
              <w:t>D69.2,</w:t>
            </w:r>
            <w:r>
              <w:rPr>
                <w:spacing w:val="-5"/>
                <w:sz w:val="20"/>
              </w:rPr>
              <w:t> </w:t>
            </w:r>
            <w:r>
              <w:rPr>
                <w:sz w:val="20"/>
              </w:rPr>
              <w:t>D69.3,</w:t>
            </w:r>
            <w:r>
              <w:rPr>
                <w:spacing w:val="-5"/>
                <w:sz w:val="20"/>
              </w:rPr>
              <w:t> </w:t>
            </w:r>
            <w:r>
              <w:rPr>
                <w:sz w:val="20"/>
              </w:rPr>
              <w:t>D69.4,</w:t>
            </w:r>
            <w:r>
              <w:rPr>
                <w:spacing w:val="-4"/>
                <w:sz w:val="20"/>
              </w:rPr>
              <w:t> </w:t>
            </w:r>
            <w:r>
              <w:rPr>
                <w:sz w:val="20"/>
              </w:rPr>
              <w:t>D69.5,</w:t>
            </w:r>
            <w:r>
              <w:rPr>
                <w:spacing w:val="-6"/>
                <w:sz w:val="20"/>
              </w:rPr>
              <w:t> </w:t>
            </w:r>
            <w:r>
              <w:rPr>
                <w:sz w:val="20"/>
              </w:rPr>
              <w:t>D69.6,</w:t>
            </w:r>
            <w:r>
              <w:rPr>
                <w:spacing w:val="-4"/>
                <w:sz w:val="20"/>
              </w:rPr>
              <w:t> </w:t>
            </w:r>
            <w:r>
              <w:rPr>
                <w:sz w:val="20"/>
              </w:rPr>
              <w:t>D69.8,</w:t>
            </w:r>
            <w:r>
              <w:rPr>
                <w:spacing w:val="-6"/>
                <w:sz w:val="20"/>
              </w:rPr>
              <w:t> </w:t>
            </w:r>
            <w:r>
              <w:rPr>
                <w:spacing w:val="-4"/>
                <w:sz w:val="20"/>
              </w:rPr>
              <w:t>D69.9</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st05.004</w:t>
            </w:r>
          </w:p>
        </w:tc>
        <w:tc>
          <w:tcPr>
            <w:tcW w:w="657" w:type="dxa"/>
          </w:tcPr>
          <w:p>
            <w:pPr>
              <w:pStyle w:val="TableParagraph"/>
              <w:spacing w:line="215" w:lineRule="exact" w:before="45"/>
              <w:ind w:left="222" w:right="205"/>
              <w:jc w:val="center"/>
              <w:rPr>
                <w:sz w:val="20"/>
              </w:rPr>
            </w:pPr>
            <w:r>
              <w:rPr>
                <w:spacing w:val="-5"/>
                <w:sz w:val="20"/>
              </w:rPr>
              <w:t>26</w:t>
            </w:r>
          </w:p>
        </w:tc>
        <w:tc>
          <w:tcPr>
            <w:tcW w:w="2538" w:type="dxa"/>
          </w:tcPr>
          <w:p>
            <w:pPr>
              <w:pStyle w:val="TableParagraph"/>
              <w:spacing w:line="215" w:lineRule="exact" w:before="45"/>
              <w:ind w:left="217"/>
              <w:rPr>
                <w:sz w:val="20"/>
              </w:rPr>
            </w:pPr>
            <w:r>
              <w:rPr>
                <w:sz w:val="20"/>
              </w:rPr>
              <w:t>Другие</w:t>
            </w:r>
            <w:r>
              <w:rPr>
                <w:spacing w:val="-6"/>
                <w:sz w:val="20"/>
              </w:rPr>
              <w:t> </w:t>
            </w:r>
            <w:r>
              <w:rPr>
                <w:sz w:val="20"/>
              </w:rPr>
              <w:t>болезни</w:t>
            </w:r>
            <w:r>
              <w:rPr>
                <w:spacing w:val="-7"/>
                <w:sz w:val="20"/>
              </w:rPr>
              <w:t> </w:t>
            </w:r>
            <w:r>
              <w:rPr>
                <w:sz w:val="20"/>
              </w:rPr>
              <w:t>крови</w:t>
            </w:r>
            <w:r>
              <w:rPr>
                <w:spacing w:val="-5"/>
                <w:sz w:val="20"/>
              </w:rPr>
              <w:t> </w:t>
            </w:r>
            <w:r>
              <w:rPr>
                <w:spacing w:val="-10"/>
                <w:sz w:val="20"/>
              </w:rPr>
              <w:t>и</w:t>
            </w:r>
          </w:p>
        </w:tc>
        <w:tc>
          <w:tcPr>
            <w:tcW w:w="5215" w:type="dxa"/>
          </w:tcPr>
          <w:p>
            <w:pPr>
              <w:pStyle w:val="TableParagraph"/>
              <w:spacing w:line="215" w:lineRule="exact" w:before="45"/>
              <w:ind w:left="375"/>
              <w:rPr>
                <w:sz w:val="20"/>
              </w:rPr>
            </w:pPr>
            <w:r>
              <w:rPr>
                <w:sz w:val="20"/>
              </w:rPr>
              <w:t>D68.5,</w:t>
            </w:r>
            <w:r>
              <w:rPr>
                <w:spacing w:val="-4"/>
                <w:sz w:val="20"/>
              </w:rPr>
              <w:t> </w:t>
            </w:r>
            <w:r>
              <w:rPr>
                <w:sz w:val="20"/>
              </w:rPr>
              <w:t>D68.6,</w:t>
            </w:r>
            <w:r>
              <w:rPr>
                <w:spacing w:val="-4"/>
                <w:sz w:val="20"/>
              </w:rPr>
              <w:t> </w:t>
            </w:r>
            <w:r>
              <w:rPr>
                <w:sz w:val="20"/>
              </w:rPr>
              <w:t>D70,</w:t>
            </w:r>
            <w:r>
              <w:rPr>
                <w:spacing w:val="-4"/>
                <w:sz w:val="20"/>
              </w:rPr>
              <w:t> </w:t>
            </w:r>
            <w:r>
              <w:rPr>
                <w:sz w:val="20"/>
              </w:rPr>
              <w:t>D71,</w:t>
            </w:r>
            <w:r>
              <w:rPr>
                <w:spacing w:val="-4"/>
                <w:sz w:val="20"/>
              </w:rPr>
              <w:t> </w:t>
            </w:r>
            <w:r>
              <w:rPr>
                <w:sz w:val="20"/>
              </w:rPr>
              <w:t>D72,</w:t>
            </w:r>
            <w:r>
              <w:rPr>
                <w:spacing w:val="-4"/>
                <w:sz w:val="20"/>
              </w:rPr>
              <w:t> </w:t>
            </w:r>
            <w:r>
              <w:rPr>
                <w:sz w:val="20"/>
              </w:rPr>
              <w:t>D72.0,</w:t>
            </w:r>
            <w:r>
              <w:rPr>
                <w:spacing w:val="-6"/>
                <w:sz w:val="20"/>
              </w:rPr>
              <w:t> </w:t>
            </w:r>
            <w:r>
              <w:rPr>
                <w:spacing w:val="-2"/>
                <w:sz w:val="20"/>
              </w:rPr>
              <w:t>D72.1,</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1,09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spacing w:line="210" w:lineRule="exact"/>
              <w:ind w:left="217"/>
              <w:rPr>
                <w:sz w:val="20"/>
              </w:rPr>
            </w:pPr>
            <w:r>
              <w:rPr>
                <w:w w:val="95"/>
                <w:sz w:val="20"/>
              </w:rPr>
              <w:t>кроветворных</w:t>
            </w:r>
            <w:r>
              <w:rPr>
                <w:spacing w:val="45"/>
                <w:sz w:val="20"/>
              </w:rPr>
              <w:t> </w:t>
            </w:r>
            <w:r>
              <w:rPr>
                <w:spacing w:val="-2"/>
                <w:sz w:val="20"/>
              </w:rPr>
              <w:t>органов</w:t>
            </w:r>
          </w:p>
        </w:tc>
        <w:tc>
          <w:tcPr>
            <w:tcW w:w="5215" w:type="dxa"/>
          </w:tcPr>
          <w:p>
            <w:pPr>
              <w:pStyle w:val="TableParagraph"/>
              <w:spacing w:line="210" w:lineRule="exact"/>
              <w:ind w:left="226"/>
              <w:rPr>
                <w:sz w:val="20"/>
              </w:rPr>
            </w:pPr>
            <w:r>
              <w:rPr>
                <w:sz w:val="20"/>
              </w:rPr>
              <w:t>D72.8,</w:t>
            </w:r>
            <w:r>
              <w:rPr>
                <w:spacing w:val="-6"/>
                <w:sz w:val="20"/>
              </w:rPr>
              <w:t> </w:t>
            </w:r>
            <w:r>
              <w:rPr>
                <w:sz w:val="20"/>
              </w:rPr>
              <w:t>D72.9,</w:t>
            </w:r>
            <w:r>
              <w:rPr>
                <w:spacing w:val="-7"/>
                <w:sz w:val="20"/>
              </w:rPr>
              <w:t> </w:t>
            </w:r>
            <w:r>
              <w:rPr>
                <w:sz w:val="20"/>
              </w:rPr>
              <w:t>D73,</w:t>
            </w:r>
            <w:r>
              <w:rPr>
                <w:spacing w:val="-5"/>
                <w:sz w:val="20"/>
              </w:rPr>
              <w:t> </w:t>
            </w:r>
            <w:r>
              <w:rPr>
                <w:sz w:val="20"/>
              </w:rPr>
              <w:t>D73.0,</w:t>
            </w:r>
            <w:r>
              <w:rPr>
                <w:spacing w:val="-5"/>
                <w:sz w:val="20"/>
              </w:rPr>
              <w:t> </w:t>
            </w:r>
            <w:r>
              <w:rPr>
                <w:sz w:val="20"/>
              </w:rPr>
              <w:t>D73.1,</w:t>
            </w:r>
            <w:r>
              <w:rPr>
                <w:spacing w:val="-5"/>
                <w:sz w:val="20"/>
              </w:rPr>
              <w:t> </w:t>
            </w:r>
            <w:r>
              <w:rPr>
                <w:sz w:val="20"/>
              </w:rPr>
              <w:t>D73.2,</w:t>
            </w:r>
            <w:r>
              <w:rPr>
                <w:spacing w:val="-6"/>
                <w:sz w:val="20"/>
              </w:rPr>
              <w:t> </w:t>
            </w:r>
            <w:r>
              <w:rPr>
                <w:spacing w:val="-2"/>
                <w:sz w:val="20"/>
              </w:rPr>
              <w:t>D73.3,</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spacing w:line="210" w:lineRule="exact"/>
              <w:ind w:left="217"/>
              <w:rPr>
                <w:sz w:val="20"/>
              </w:rPr>
            </w:pPr>
            <w:r>
              <w:rPr>
                <w:sz w:val="20"/>
              </w:rPr>
              <w:t>(уровень</w:t>
            </w:r>
            <w:r>
              <w:rPr>
                <w:spacing w:val="-11"/>
                <w:sz w:val="20"/>
              </w:rPr>
              <w:t> </w:t>
            </w:r>
            <w:r>
              <w:rPr>
                <w:spacing w:val="-5"/>
                <w:sz w:val="20"/>
              </w:rPr>
              <w:t>1)</w:t>
            </w:r>
          </w:p>
        </w:tc>
        <w:tc>
          <w:tcPr>
            <w:tcW w:w="5215" w:type="dxa"/>
          </w:tcPr>
          <w:p>
            <w:pPr>
              <w:pStyle w:val="TableParagraph"/>
              <w:spacing w:line="210" w:lineRule="exact"/>
              <w:ind w:left="300"/>
              <w:rPr>
                <w:sz w:val="20"/>
              </w:rPr>
            </w:pPr>
            <w:r>
              <w:rPr>
                <w:sz w:val="20"/>
              </w:rPr>
              <w:t>D73.4,</w:t>
            </w:r>
            <w:r>
              <w:rPr>
                <w:spacing w:val="-4"/>
                <w:sz w:val="20"/>
              </w:rPr>
              <w:t> </w:t>
            </w:r>
            <w:r>
              <w:rPr>
                <w:sz w:val="20"/>
              </w:rPr>
              <w:t>D73.5,</w:t>
            </w:r>
            <w:r>
              <w:rPr>
                <w:spacing w:val="-6"/>
                <w:sz w:val="20"/>
              </w:rPr>
              <w:t> </w:t>
            </w:r>
            <w:r>
              <w:rPr>
                <w:sz w:val="20"/>
              </w:rPr>
              <w:t>D73.8,</w:t>
            </w:r>
            <w:r>
              <w:rPr>
                <w:spacing w:val="-4"/>
                <w:sz w:val="20"/>
              </w:rPr>
              <w:t> </w:t>
            </w:r>
            <w:r>
              <w:rPr>
                <w:sz w:val="20"/>
              </w:rPr>
              <w:t>D73.9,</w:t>
            </w:r>
            <w:r>
              <w:rPr>
                <w:spacing w:val="-6"/>
                <w:sz w:val="20"/>
              </w:rPr>
              <w:t> </w:t>
            </w:r>
            <w:r>
              <w:rPr>
                <w:sz w:val="20"/>
              </w:rPr>
              <w:t>D75,</w:t>
            </w:r>
            <w:r>
              <w:rPr>
                <w:spacing w:val="-4"/>
                <w:sz w:val="20"/>
              </w:rPr>
              <w:t> </w:t>
            </w:r>
            <w:r>
              <w:rPr>
                <w:sz w:val="20"/>
              </w:rPr>
              <w:t>D75.9,</w:t>
            </w:r>
            <w:r>
              <w:rPr>
                <w:spacing w:val="-4"/>
                <w:sz w:val="20"/>
              </w:rPr>
              <w:t> D77,</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91"/>
              <w:rPr>
                <w:sz w:val="20"/>
              </w:rPr>
            </w:pPr>
            <w:r>
              <w:rPr>
                <w:sz w:val="20"/>
              </w:rPr>
              <w:t>E32,</w:t>
            </w:r>
            <w:r>
              <w:rPr>
                <w:spacing w:val="-6"/>
                <w:sz w:val="20"/>
              </w:rPr>
              <w:t> </w:t>
            </w:r>
            <w:r>
              <w:rPr>
                <w:sz w:val="20"/>
              </w:rPr>
              <w:t>E32.0,</w:t>
            </w:r>
            <w:r>
              <w:rPr>
                <w:spacing w:val="-7"/>
                <w:sz w:val="20"/>
              </w:rPr>
              <w:t> </w:t>
            </w:r>
            <w:r>
              <w:rPr>
                <w:sz w:val="20"/>
              </w:rPr>
              <w:t>E32.1,</w:t>
            </w:r>
            <w:r>
              <w:rPr>
                <w:spacing w:val="-5"/>
                <w:sz w:val="20"/>
              </w:rPr>
              <w:t> </w:t>
            </w:r>
            <w:r>
              <w:rPr>
                <w:sz w:val="20"/>
              </w:rPr>
              <w:t>E32.8,</w:t>
            </w:r>
            <w:r>
              <w:rPr>
                <w:spacing w:val="-5"/>
                <w:sz w:val="20"/>
              </w:rPr>
              <w:t> </w:t>
            </w:r>
            <w:r>
              <w:rPr>
                <w:sz w:val="20"/>
              </w:rPr>
              <w:t>E32.9,</w:t>
            </w:r>
            <w:r>
              <w:rPr>
                <w:spacing w:val="-5"/>
                <w:sz w:val="20"/>
              </w:rPr>
              <w:t> </w:t>
            </w:r>
            <w:r>
              <w:rPr>
                <w:sz w:val="20"/>
              </w:rPr>
              <w:t>E88.0,</w:t>
            </w:r>
            <w:r>
              <w:rPr>
                <w:spacing w:val="-5"/>
                <w:sz w:val="20"/>
              </w:rPr>
              <w:t> </w:t>
            </w:r>
            <w:r>
              <w:rPr>
                <w:spacing w:val="-2"/>
                <w:sz w:val="20"/>
              </w:rPr>
              <w:t>Q89.0,</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05" w:lineRule="exact"/>
              <w:ind w:left="227" w:right="1025"/>
              <w:jc w:val="center"/>
              <w:rPr>
                <w:sz w:val="20"/>
              </w:rPr>
            </w:pPr>
            <w:r>
              <w:rPr>
                <w:spacing w:val="-5"/>
                <w:sz w:val="20"/>
              </w:rPr>
              <w:t>R72</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94"/>
        <w:gridCol w:w="5215"/>
        <w:gridCol w:w="2571"/>
        <w:gridCol w:w="2106"/>
        <w:gridCol w:w="1261"/>
      </w:tblGrid>
      <w:tr>
        <w:trPr>
          <w:trHeight w:val="734" w:hRule="atLeast"/>
        </w:trPr>
        <w:tc>
          <w:tcPr>
            <w:tcW w:w="971" w:type="dxa"/>
          </w:tcPr>
          <w:p>
            <w:pPr>
              <w:pStyle w:val="TableParagraph"/>
              <w:spacing w:line="221" w:lineRule="exact"/>
              <w:ind w:left="39" w:right="223"/>
              <w:jc w:val="center"/>
              <w:rPr>
                <w:sz w:val="20"/>
              </w:rPr>
            </w:pPr>
            <w:r>
              <w:rPr>
                <w:spacing w:val="-2"/>
                <w:sz w:val="20"/>
              </w:rPr>
              <w:t>st05.005</w:t>
            </w:r>
          </w:p>
        </w:tc>
        <w:tc>
          <w:tcPr>
            <w:tcW w:w="657" w:type="dxa"/>
          </w:tcPr>
          <w:p>
            <w:pPr>
              <w:pStyle w:val="TableParagraph"/>
              <w:spacing w:line="221" w:lineRule="exact"/>
              <w:ind w:left="222" w:right="205"/>
              <w:jc w:val="center"/>
              <w:rPr>
                <w:sz w:val="20"/>
              </w:rPr>
            </w:pPr>
            <w:r>
              <w:rPr>
                <w:spacing w:val="-5"/>
                <w:sz w:val="20"/>
              </w:rPr>
              <w:t>27</w:t>
            </w:r>
          </w:p>
        </w:tc>
        <w:tc>
          <w:tcPr>
            <w:tcW w:w="2494" w:type="dxa"/>
          </w:tcPr>
          <w:p>
            <w:pPr>
              <w:pStyle w:val="TableParagraph"/>
              <w:ind w:left="217"/>
              <w:rPr>
                <w:sz w:val="20"/>
              </w:rPr>
            </w:pPr>
            <w:r>
              <w:rPr>
                <w:sz w:val="20"/>
              </w:rPr>
              <w:t>Другие</w:t>
            </w:r>
            <w:r>
              <w:rPr>
                <w:spacing w:val="-13"/>
                <w:sz w:val="20"/>
              </w:rPr>
              <w:t> </w:t>
            </w:r>
            <w:r>
              <w:rPr>
                <w:sz w:val="20"/>
              </w:rPr>
              <w:t>болезни</w:t>
            </w:r>
            <w:r>
              <w:rPr>
                <w:spacing w:val="-12"/>
                <w:sz w:val="20"/>
              </w:rPr>
              <w:t> </w:t>
            </w:r>
            <w:r>
              <w:rPr>
                <w:sz w:val="20"/>
              </w:rPr>
              <w:t>крови</w:t>
            </w:r>
            <w:r>
              <w:rPr>
                <w:spacing w:val="-13"/>
                <w:sz w:val="20"/>
              </w:rPr>
              <w:t> </w:t>
            </w:r>
            <w:r>
              <w:rPr>
                <w:sz w:val="20"/>
              </w:rPr>
              <w:t>и кроветворных органов (уровень 2)</w:t>
            </w:r>
          </w:p>
        </w:tc>
        <w:tc>
          <w:tcPr>
            <w:tcW w:w="5215" w:type="dxa"/>
          </w:tcPr>
          <w:p>
            <w:pPr>
              <w:pStyle w:val="TableParagraph"/>
              <w:spacing w:line="221" w:lineRule="exact"/>
              <w:ind w:left="1410"/>
              <w:rPr>
                <w:sz w:val="20"/>
              </w:rPr>
            </w:pPr>
            <w:r>
              <w:rPr>
                <w:sz w:val="20"/>
              </w:rPr>
              <w:t>D75.0,</w:t>
            </w:r>
            <w:r>
              <w:rPr>
                <w:spacing w:val="-3"/>
                <w:sz w:val="20"/>
              </w:rPr>
              <w:t> </w:t>
            </w:r>
            <w:r>
              <w:rPr>
                <w:sz w:val="20"/>
              </w:rPr>
              <w:t>D75.1,</w:t>
            </w:r>
            <w:r>
              <w:rPr>
                <w:spacing w:val="-5"/>
                <w:sz w:val="20"/>
              </w:rPr>
              <w:t> </w:t>
            </w:r>
            <w:r>
              <w:rPr>
                <w:spacing w:val="-4"/>
                <w:sz w:val="20"/>
              </w:rPr>
              <w:t>D75.8</w:t>
            </w:r>
          </w:p>
        </w:tc>
        <w:tc>
          <w:tcPr>
            <w:tcW w:w="2571" w:type="dxa"/>
          </w:tcPr>
          <w:p>
            <w:pPr>
              <w:pStyle w:val="TableParagraph"/>
              <w:spacing w:line="221" w:lineRule="exact"/>
              <w:ind w:right="736"/>
              <w:jc w:val="center"/>
              <w:rPr>
                <w:sz w:val="20"/>
              </w:rPr>
            </w:pPr>
            <w:r>
              <w:rPr>
                <w:w w:val="99"/>
                <w:sz w:val="20"/>
              </w:rPr>
              <w:t>-</w:t>
            </w:r>
          </w:p>
        </w:tc>
        <w:tc>
          <w:tcPr>
            <w:tcW w:w="2106" w:type="dxa"/>
          </w:tcPr>
          <w:p>
            <w:pPr>
              <w:pStyle w:val="TableParagraph"/>
              <w:spacing w:line="221" w:lineRule="exact"/>
              <w:ind w:right="859"/>
              <w:jc w:val="right"/>
              <w:rPr>
                <w:sz w:val="20"/>
              </w:rPr>
            </w:pPr>
            <w:r>
              <w:rPr>
                <w:w w:val="99"/>
                <w:sz w:val="20"/>
              </w:rPr>
              <w:t>-</w:t>
            </w:r>
          </w:p>
        </w:tc>
        <w:tc>
          <w:tcPr>
            <w:tcW w:w="1261" w:type="dxa"/>
          </w:tcPr>
          <w:p>
            <w:pPr>
              <w:pStyle w:val="TableParagraph"/>
              <w:spacing w:line="221" w:lineRule="exact"/>
              <w:ind w:right="49"/>
              <w:jc w:val="right"/>
              <w:rPr>
                <w:sz w:val="20"/>
              </w:rPr>
            </w:pPr>
            <w:r>
              <w:rPr>
                <w:spacing w:val="-4"/>
                <w:sz w:val="20"/>
              </w:rPr>
              <w:t>4,51</w:t>
            </w: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st05.008</w:t>
            </w:r>
          </w:p>
        </w:tc>
        <w:tc>
          <w:tcPr>
            <w:tcW w:w="657" w:type="dxa"/>
          </w:tcPr>
          <w:p>
            <w:pPr>
              <w:pStyle w:val="TableParagraph"/>
              <w:spacing w:line="215" w:lineRule="exact" w:before="46"/>
              <w:ind w:left="222" w:right="205"/>
              <w:jc w:val="center"/>
              <w:rPr>
                <w:sz w:val="20"/>
              </w:rPr>
            </w:pPr>
            <w:r>
              <w:rPr>
                <w:spacing w:val="-5"/>
                <w:sz w:val="20"/>
              </w:rPr>
              <w:t>28</w:t>
            </w:r>
          </w:p>
        </w:tc>
        <w:tc>
          <w:tcPr>
            <w:tcW w:w="2494" w:type="dxa"/>
          </w:tcPr>
          <w:p>
            <w:pPr>
              <w:pStyle w:val="TableParagraph"/>
              <w:spacing w:line="215" w:lineRule="exact" w:before="46"/>
              <w:ind w:left="217"/>
              <w:rPr>
                <w:sz w:val="20"/>
              </w:rPr>
            </w:pPr>
            <w:r>
              <w:rPr>
                <w:w w:val="95"/>
                <w:sz w:val="20"/>
              </w:rPr>
              <w:t>Лекарственная</w:t>
            </w:r>
            <w:r>
              <w:rPr>
                <w:spacing w:val="49"/>
                <w:sz w:val="20"/>
              </w:rPr>
              <w:t> </w:t>
            </w:r>
            <w:r>
              <w:rPr>
                <w:spacing w:val="-2"/>
                <w:sz w:val="20"/>
              </w:rPr>
              <w:t>терапия</w:t>
            </w:r>
          </w:p>
        </w:tc>
        <w:tc>
          <w:tcPr>
            <w:tcW w:w="5215" w:type="dxa"/>
          </w:tcPr>
          <w:p>
            <w:pPr>
              <w:pStyle w:val="TableParagraph"/>
              <w:spacing w:line="215" w:lineRule="exact" w:before="46"/>
              <w:ind w:left="344"/>
              <w:rPr>
                <w:sz w:val="20"/>
              </w:rPr>
            </w:pPr>
            <w:r>
              <w:rPr>
                <w:sz w:val="20"/>
              </w:rPr>
              <w:t>D70,</w:t>
            </w:r>
            <w:r>
              <w:rPr>
                <w:spacing w:val="-5"/>
                <w:sz w:val="20"/>
              </w:rPr>
              <w:t> </w:t>
            </w:r>
            <w:r>
              <w:rPr>
                <w:sz w:val="20"/>
              </w:rPr>
              <w:t>D71,</w:t>
            </w:r>
            <w:r>
              <w:rPr>
                <w:spacing w:val="-6"/>
                <w:sz w:val="20"/>
              </w:rPr>
              <w:t> </w:t>
            </w:r>
            <w:r>
              <w:rPr>
                <w:sz w:val="20"/>
              </w:rPr>
              <w:t>D72.0,</w:t>
            </w:r>
            <w:r>
              <w:rPr>
                <w:spacing w:val="-4"/>
                <w:sz w:val="20"/>
              </w:rPr>
              <w:t> </w:t>
            </w:r>
            <w:r>
              <w:rPr>
                <w:sz w:val="20"/>
              </w:rPr>
              <w:t>D72.8,</w:t>
            </w:r>
            <w:r>
              <w:rPr>
                <w:spacing w:val="-5"/>
                <w:sz w:val="20"/>
              </w:rPr>
              <w:t> </w:t>
            </w:r>
            <w:r>
              <w:rPr>
                <w:sz w:val="20"/>
              </w:rPr>
              <w:t>D72.9,</w:t>
            </w:r>
            <w:r>
              <w:rPr>
                <w:spacing w:val="-4"/>
                <w:sz w:val="20"/>
              </w:rPr>
              <w:t> </w:t>
            </w:r>
            <w:r>
              <w:rPr>
                <w:sz w:val="20"/>
              </w:rPr>
              <w:t>D75.0,</w:t>
            </w:r>
            <w:r>
              <w:rPr>
                <w:spacing w:val="-4"/>
                <w:sz w:val="20"/>
              </w:rPr>
              <w:t> </w:t>
            </w:r>
            <w:r>
              <w:rPr>
                <w:spacing w:val="-2"/>
                <w:sz w:val="20"/>
              </w:rPr>
              <w:t>D75.1,</w:t>
            </w:r>
          </w:p>
        </w:tc>
        <w:tc>
          <w:tcPr>
            <w:tcW w:w="2571" w:type="dxa"/>
          </w:tcPr>
          <w:p>
            <w:pPr>
              <w:pStyle w:val="TableParagraph"/>
              <w:spacing w:line="215" w:lineRule="exact" w:before="46"/>
              <w:ind w:left="435" w:right="1170"/>
              <w:jc w:val="center"/>
              <w:rPr>
                <w:sz w:val="20"/>
              </w:rPr>
            </w:pPr>
            <w:r>
              <w:rPr>
                <w:spacing w:val="-2"/>
                <w:sz w:val="20"/>
              </w:rPr>
              <w:t>A25.05.001</w:t>
            </w:r>
          </w:p>
        </w:tc>
        <w:tc>
          <w:tcPr>
            <w:tcW w:w="2106" w:type="dxa"/>
          </w:tcPr>
          <w:p>
            <w:pPr>
              <w:pStyle w:val="TableParagraph"/>
              <w:spacing w:line="215" w:lineRule="exact" w:before="46"/>
              <w:ind w:right="859"/>
              <w:jc w:val="right"/>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2,05</w:t>
            </w: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94" w:type="dxa"/>
          </w:tcPr>
          <w:p>
            <w:pPr>
              <w:pStyle w:val="TableParagraph"/>
              <w:spacing w:line="205" w:lineRule="exact"/>
              <w:ind w:left="217"/>
              <w:rPr>
                <w:sz w:val="20"/>
              </w:rPr>
            </w:pPr>
            <w:r>
              <w:rPr>
                <w:sz w:val="20"/>
              </w:rPr>
              <w:t>при</w:t>
            </w:r>
            <w:r>
              <w:rPr>
                <w:spacing w:val="-6"/>
                <w:sz w:val="20"/>
              </w:rPr>
              <w:t> </w:t>
            </w:r>
            <w:r>
              <w:rPr>
                <w:spacing w:val="-2"/>
                <w:sz w:val="20"/>
              </w:rPr>
              <w:t>доброкачественных</w:t>
            </w:r>
          </w:p>
        </w:tc>
        <w:tc>
          <w:tcPr>
            <w:tcW w:w="5215" w:type="dxa"/>
          </w:tcPr>
          <w:p>
            <w:pPr>
              <w:pStyle w:val="TableParagraph"/>
              <w:spacing w:line="205" w:lineRule="exact"/>
              <w:ind w:left="1705"/>
              <w:rPr>
                <w:sz w:val="20"/>
              </w:rPr>
            </w:pPr>
            <w:r>
              <w:rPr>
                <w:sz w:val="20"/>
              </w:rPr>
              <w:t>D75.8,</w:t>
            </w:r>
            <w:r>
              <w:rPr>
                <w:spacing w:val="-3"/>
                <w:sz w:val="20"/>
              </w:rPr>
              <w:t> </w:t>
            </w:r>
            <w:r>
              <w:rPr>
                <w:spacing w:val="-2"/>
                <w:sz w:val="20"/>
              </w:rPr>
              <w:t>D75.9</w:t>
            </w:r>
          </w:p>
        </w:tc>
        <w:tc>
          <w:tcPr>
            <w:tcW w:w="2571" w:type="dxa"/>
          </w:tcPr>
          <w:p>
            <w:pPr>
              <w:pStyle w:val="TableParagraph"/>
              <w:rPr>
                <w:sz w:val="16"/>
              </w:rPr>
            </w:pPr>
          </w:p>
        </w:tc>
        <w:tc>
          <w:tcPr>
            <w:tcW w:w="2106" w:type="dxa"/>
          </w:tcPr>
          <w:p>
            <w:pPr>
              <w:pStyle w:val="TableParagraph"/>
              <w:rPr>
                <w:sz w:val="16"/>
              </w:rPr>
            </w:pPr>
          </w:p>
        </w:tc>
        <w:tc>
          <w:tcPr>
            <w:tcW w:w="1261" w:type="dxa"/>
          </w:tcPr>
          <w:p>
            <w:pPr>
              <w:pStyle w:val="TableParagraph"/>
              <w:rPr>
                <w:sz w:val="16"/>
              </w:rPr>
            </w:pPr>
          </w:p>
        </w:tc>
      </w:tr>
      <w:tr>
        <w:trPr>
          <w:trHeight w:val="449" w:hRule="atLeast"/>
        </w:trPr>
        <w:tc>
          <w:tcPr>
            <w:tcW w:w="971" w:type="dxa"/>
          </w:tcPr>
          <w:p>
            <w:pPr>
              <w:pStyle w:val="TableParagraph"/>
              <w:rPr>
                <w:sz w:val="18"/>
              </w:rPr>
            </w:pPr>
          </w:p>
        </w:tc>
        <w:tc>
          <w:tcPr>
            <w:tcW w:w="657" w:type="dxa"/>
          </w:tcPr>
          <w:p>
            <w:pPr>
              <w:pStyle w:val="TableParagraph"/>
              <w:rPr>
                <w:sz w:val="18"/>
              </w:rPr>
            </w:pPr>
          </w:p>
        </w:tc>
        <w:tc>
          <w:tcPr>
            <w:tcW w:w="2494" w:type="dxa"/>
          </w:tcPr>
          <w:p>
            <w:pPr>
              <w:pStyle w:val="TableParagraph"/>
              <w:spacing w:line="228" w:lineRule="exact"/>
              <w:ind w:left="217"/>
              <w:rPr>
                <w:sz w:val="20"/>
              </w:rPr>
            </w:pPr>
            <w:r>
              <w:rPr>
                <w:sz w:val="20"/>
              </w:rPr>
              <w:t>заболеваниях</w:t>
            </w:r>
            <w:r>
              <w:rPr>
                <w:spacing w:val="-13"/>
                <w:sz w:val="20"/>
              </w:rPr>
              <w:t> </w:t>
            </w:r>
            <w:r>
              <w:rPr>
                <w:sz w:val="20"/>
              </w:rPr>
              <w:t>крови</w:t>
            </w:r>
            <w:r>
              <w:rPr>
                <w:spacing w:val="-12"/>
                <w:sz w:val="20"/>
              </w:rPr>
              <w:t> </w:t>
            </w:r>
            <w:r>
              <w:rPr>
                <w:sz w:val="20"/>
              </w:rPr>
              <w:t>и пузырном заносе</w:t>
            </w:r>
          </w:p>
        </w:tc>
        <w:tc>
          <w:tcPr>
            <w:tcW w:w="5215" w:type="dxa"/>
          </w:tcPr>
          <w:p>
            <w:pPr>
              <w:pStyle w:val="TableParagraph"/>
              <w:spacing w:before="99"/>
              <w:ind w:left="1410"/>
              <w:rPr>
                <w:sz w:val="20"/>
              </w:rPr>
            </w:pPr>
            <w:r>
              <w:rPr>
                <w:sz w:val="20"/>
              </w:rPr>
              <w:t>D76.1,</w:t>
            </w:r>
            <w:r>
              <w:rPr>
                <w:spacing w:val="-4"/>
                <w:sz w:val="20"/>
              </w:rPr>
              <w:t> </w:t>
            </w:r>
            <w:r>
              <w:rPr>
                <w:sz w:val="20"/>
              </w:rPr>
              <w:t>D76.2,</w:t>
            </w:r>
            <w:r>
              <w:rPr>
                <w:spacing w:val="-5"/>
                <w:sz w:val="20"/>
              </w:rPr>
              <w:t> </w:t>
            </w:r>
            <w:r>
              <w:rPr>
                <w:spacing w:val="-4"/>
                <w:sz w:val="20"/>
              </w:rPr>
              <w:t>D76.3</w:t>
            </w:r>
          </w:p>
        </w:tc>
        <w:tc>
          <w:tcPr>
            <w:tcW w:w="2571" w:type="dxa"/>
          </w:tcPr>
          <w:p>
            <w:pPr>
              <w:pStyle w:val="TableParagraph"/>
              <w:spacing w:before="99"/>
              <w:ind w:left="435" w:right="1170"/>
              <w:jc w:val="center"/>
              <w:rPr>
                <w:sz w:val="20"/>
              </w:rPr>
            </w:pPr>
            <w:r>
              <w:rPr>
                <w:spacing w:val="-2"/>
                <w:sz w:val="20"/>
              </w:rPr>
              <w:t>A25.05.005</w:t>
            </w:r>
          </w:p>
        </w:tc>
        <w:tc>
          <w:tcPr>
            <w:tcW w:w="2106" w:type="dxa"/>
          </w:tcPr>
          <w:p>
            <w:pPr>
              <w:pStyle w:val="TableParagraph"/>
              <w:spacing w:before="99"/>
              <w:ind w:right="859"/>
              <w:jc w:val="right"/>
              <w:rPr>
                <w:sz w:val="20"/>
              </w:rPr>
            </w:pPr>
            <w:r>
              <w:rPr>
                <w:w w:val="99"/>
                <w:sz w:val="20"/>
              </w:rPr>
              <w:t>-</w:t>
            </w:r>
          </w:p>
        </w:tc>
        <w:tc>
          <w:tcPr>
            <w:tcW w:w="1261" w:type="dxa"/>
          </w:tcPr>
          <w:p>
            <w:pPr>
              <w:pStyle w:val="TableParagraph"/>
              <w:rPr>
                <w:sz w:val="18"/>
              </w:rPr>
            </w:pPr>
          </w:p>
        </w:tc>
      </w:tr>
      <w:tr>
        <w:trPr>
          <w:trHeight w:val="258" w:hRule="atLeast"/>
        </w:trPr>
        <w:tc>
          <w:tcPr>
            <w:tcW w:w="971" w:type="dxa"/>
          </w:tcPr>
          <w:p>
            <w:pPr>
              <w:pStyle w:val="TableParagraph"/>
              <w:rPr>
                <w:sz w:val="18"/>
              </w:rPr>
            </w:pPr>
          </w:p>
        </w:tc>
        <w:tc>
          <w:tcPr>
            <w:tcW w:w="657" w:type="dxa"/>
          </w:tcPr>
          <w:p>
            <w:pPr>
              <w:pStyle w:val="TableParagraph"/>
              <w:rPr>
                <w:sz w:val="18"/>
              </w:rPr>
            </w:pPr>
          </w:p>
        </w:tc>
        <w:tc>
          <w:tcPr>
            <w:tcW w:w="2494" w:type="dxa"/>
          </w:tcPr>
          <w:p>
            <w:pPr>
              <w:pStyle w:val="TableParagraph"/>
              <w:rPr>
                <w:sz w:val="18"/>
              </w:rPr>
            </w:pPr>
          </w:p>
        </w:tc>
        <w:tc>
          <w:tcPr>
            <w:tcW w:w="5215" w:type="dxa"/>
          </w:tcPr>
          <w:p>
            <w:pPr>
              <w:pStyle w:val="TableParagraph"/>
              <w:spacing w:line="205" w:lineRule="exact"/>
              <w:ind w:left="1410"/>
              <w:rPr>
                <w:sz w:val="20"/>
              </w:rPr>
            </w:pPr>
            <w:r>
              <w:rPr>
                <w:sz w:val="20"/>
              </w:rPr>
              <w:t>O01.0,</w:t>
            </w:r>
            <w:r>
              <w:rPr>
                <w:spacing w:val="-4"/>
                <w:sz w:val="20"/>
              </w:rPr>
              <w:t> </w:t>
            </w:r>
            <w:r>
              <w:rPr>
                <w:sz w:val="20"/>
              </w:rPr>
              <w:t>O01.1,</w:t>
            </w:r>
            <w:r>
              <w:rPr>
                <w:spacing w:val="-5"/>
                <w:sz w:val="20"/>
              </w:rPr>
              <w:t> </w:t>
            </w:r>
            <w:r>
              <w:rPr>
                <w:spacing w:val="-4"/>
                <w:sz w:val="20"/>
              </w:rPr>
              <w:t>O01.9</w:t>
            </w:r>
          </w:p>
        </w:tc>
        <w:tc>
          <w:tcPr>
            <w:tcW w:w="2571" w:type="dxa"/>
          </w:tcPr>
          <w:p>
            <w:pPr>
              <w:pStyle w:val="TableParagraph"/>
              <w:spacing w:line="205" w:lineRule="exact"/>
              <w:ind w:left="435" w:right="1170"/>
              <w:jc w:val="center"/>
              <w:rPr>
                <w:sz w:val="20"/>
              </w:rPr>
            </w:pPr>
            <w:r>
              <w:rPr>
                <w:spacing w:val="-2"/>
                <w:sz w:val="20"/>
              </w:rPr>
              <w:t>A25.30.038</w:t>
            </w:r>
          </w:p>
        </w:tc>
        <w:tc>
          <w:tcPr>
            <w:tcW w:w="2106" w:type="dxa"/>
          </w:tcPr>
          <w:p>
            <w:pPr>
              <w:pStyle w:val="TableParagraph"/>
              <w:spacing w:line="205" w:lineRule="exact"/>
              <w:ind w:right="859"/>
              <w:jc w:val="right"/>
              <w:rPr>
                <w:sz w:val="20"/>
              </w:rPr>
            </w:pPr>
            <w:r>
              <w:rPr>
                <w:w w:val="99"/>
                <w:sz w:val="20"/>
              </w:rPr>
              <w:t>-</w:t>
            </w:r>
          </w:p>
        </w:tc>
        <w:tc>
          <w:tcPr>
            <w:tcW w:w="1261"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st06</w:t>
            </w:r>
          </w:p>
        </w:tc>
        <w:tc>
          <w:tcPr>
            <w:tcW w:w="657" w:type="dxa"/>
          </w:tcPr>
          <w:p>
            <w:pPr>
              <w:pStyle w:val="TableParagraph"/>
              <w:spacing w:before="45"/>
              <w:ind w:left="15"/>
              <w:jc w:val="center"/>
              <w:rPr>
                <w:sz w:val="20"/>
              </w:rPr>
            </w:pPr>
            <w:r>
              <w:rPr>
                <w:w w:val="99"/>
                <w:sz w:val="20"/>
              </w:rPr>
              <w:t>6</w:t>
            </w:r>
          </w:p>
        </w:tc>
        <w:tc>
          <w:tcPr>
            <w:tcW w:w="2494" w:type="dxa"/>
          </w:tcPr>
          <w:p>
            <w:pPr>
              <w:pStyle w:val="TableParagraph"/>
              <w:rPr>
                <w:sz w:val="18"/>
              </w:rPr>
            </w:pPr>
          </w:p>
        </w:tc>
        <w:tc>
          <w:tcPr>
            <w:tcW w:w="5215" w:type="dxa"/>
          </w:tcPr>
          <w:p>
            <w:pPr>
              <w:pStyle w:val="TableParagraph"/>
              <w:spacing w:before="45"/>
              <w:ind w:left="2982"/>
              <w:rPr>
                <w:sz w:val="20"/>
              </w:rPr>
            </w:pPr>
            <w:r>
              <w:rPr>
                <w:spacing w:val="-2"/>
                <w:sz w:val="20"/>
              </w:rPr>
              <w:t>Дерматовенерология</w:t>
            </w:r>
          </w:p>
        </w:tc>
        <w:tc>
          <w:tcPr>
            <w:tcW w:w="2571" w:type="dxa"/>
          </w:tcPr>
          <w:p>
            <w:pPr>
              <w:pStyle w:val="TableParagraph"/>
              <w:rPr>
                <w:sz w:val="18"/>
              </w:rPr>
            </w:pPr>
          </w:p>
        </w:tc>
        <w:tc>
          <w:tcPr>
            <w:tcW w:w="2106" w:type="dxa"/>
          </w:tcPr>
          <w:p>
            <w:pPr>
              <w:pStyle w:val="TableParagraph"/>
              <w:rPr>
                <w:sz w:val="18"/>
              </w:rPr>
            </w:pPr>
          </w:p>
        </w:tc>
        <w:tc>
          <w:tcPr>
            <w:tcW w:w="1261" w:type="dxa"/>
          </w:tcPr>
          <w:p>
            <w:pPr>
              <w:pStyle w:val="TableParagraph"/>
              <w:spacing w:before="45"/>
              <w:ind w:right="49"/>
              <w:jc w:val="right"/>
              <w:rPr>
                <w:sz w:val="20"/>
              </w:rPr>
            </w:pPr>
            <w:r>
              <w:rPr>
                <w:spacing w:val="-4"/>
                <w:sz w:val="20"/>
              </w:rPr>
              <w:t>0,80</w:t>
            </w: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st06.004</w:t>
            </w:r>
          </w:p>
        </w:tc>
        <w:tc>
          <w:tcPr>
            <w:tcW w:w="657" w:type="dxa"/>
          </w:tcPr>
          <w:p>
            <w:pPr>
              <w:pStyle w:val="TableParagraph"/>
              <w:spacing w:line="215" w:lineRule="exact" w:before="46"/>
              <w:ind w:left="222" w:right="205"/>
              <w:jc w:val="center"/>
              <w:rPr>
                <w:sz w:val="20"/>
              </w:rPr>
            </w:pPr>
            <w:r>
              <w:rPr>
                <w:spacing w:val="-5"/>
                <w:sz w:val="20"/>
              </w:rPr>
              <w:t>29</w:t>
            </w:r>
          </w:p>
        </w:tc>
        <w:tc>
          <w:tcPr>
            <w:tcW w:w="2494" w:type="dxa"/>
          </w:tcPr>
          <w:p>
            <w:pPr>
              <w:pStyle w:val="TableParagraph"/>
              <w:spacing w:line="215" w:lineRule="exact" w:before="46"/>
              <w:ind w:left="217"/>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215" w:type="dxa"/>
          </w:tcPr>
          <w:p>
            <w:pPr>
              <w:pStyle w:val="TableParagraph"/>
              <w:spacing w:line="215" w:lineRule="exact" w:before="46"/>
              <w:ind w:left="222"/>
              <w:rPr>
                <w:sz w:val="20"/>
              </w:rPr>
            </w:pPr>
            <w:r>
              <w:rPr>
                <w:sz w:val="20"/>
              </w:rPr>
              <w:t>A26.0,</w:t>
            </w:r>
            <w:r>
              <w:rPr>
                <w:spacing w:val="-5"/>
                <w:sz w:val="20"/>
              </w:rPr>
              <w:t> </w:t>
            </w:r>
            <w:r>
              <w:rPr>
                <w:sz w:val="20"/>
              </w:rPr>
              <w:t>A26.8,</w:t>
            </w:r>
            <w:r>
              <w:rPr>
                <w:spacing w:val="-5"/>
                <w:sz w:val="20"/>
              </w:rPr>
              <w:t> </w:t>
            </w:r>
            <w:r>
              <w:rPr>
                <w:sz w:val="20"/>
              </w:rPr>
              <w:t>B35.0,</w:t>
            </w:r>
            <w:r>
              <w:rPr>
                <w:spacing w:val="-7"/>
                <w:sz w:val="20"/>
              </w:rPr>
              <w:t> </w:t>
            </w:r>
            <w:r>
              <w:rPr>
                <w:sz w:val="20"/>
              </w:rPr>
              <w:t>В35.2,</w:t>
            </w:r>
            <w:r>
              <w:rPr>
                <w:spacing w:val="-7"/>
                <w:sz w:val="20"/>
              </w:rPr>
              <w:t> </w:t>
            </w:r>
            <w:r>
              <w:rPr>
                <w:sz w:val="20"/>
              </w:rPr>
              <w:t>B35.3,</w:t>
            </w:r>
            <w:r>
              <w:rPr>
                <w:spacing w:val="-5"/>
                <w:sz w:val="20"/>
              </w:rPr>
              <w:t> </w:t>
            </w:r>
            <w:r>
              <w:rPr>
                <w:sz w:val="20"/>
              </w:rPr>
              <w:t>B35.4,</w:t>
            </w:r>
            <w:r>
              <w:rPr>
                <w:spacing w:val="-5"/>
                <w:sz w:val="20"/>
              </w:rPr>
              <w:t> </w:t>
            </w:r>
            <w:r>
              <w:rPr>
                <w:spacing w:val="-2"/>
                <w:sz w:val="20"/>
              </w:rPr>
              <w:t>B35.6,</w:t>
            </w:r>
          </w:p>
        </w:tc>
        <w:tc>
          <w:tcPr>
            <w:tcW w:w="2571" w:type="dxa"/>
          </w:tcPr>
          <w:p>
            <w:pPr>
              <w:pStyle w:val="TableParagraph"/>
              <w:spacing w:line="215" w:lineRule="exact" w:before="46"/>
              <w:ind w:right="736"/>
              <w:jc w:val="center"/>
              <w:rPr>
                <w:sz w:val="20"/>
              </w:rPr>
            </w:pPr>
            <w:r>
              <w:rPr>
                <w:w w:val="99"/>
                <w:sz w:val="20"/>
              </w:rPr>
              <w:t>-</w:t>
            </w:r>
          </w:p>
        </w:tc>
        <w:tc>
          <w:tcPr>
            <w:tcW w:w="2106" w:type="dxa"/>
          </w:tcPr>
          <w:p>
            <w:pPr>
              <w:pStyle w:val="TableParagraph"/>
              <w:spacing w:line="215" w:lineRule="exact" w:before="46"/>
              <w:ind w:right="859"/>
              <w:jc w:val="right"/>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0,32</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4" w:type="dxa"/>
          </w:tcPr>
          <w:p>
            <w:pPr>
              <w:pStyle w:val="TableParagraph"/>
              <w:spacing w:line="209" w:lineRule="exact"/>
              <w:ind w:left="217"/>
              <w:rPr>
                <w:sz w:val="20"/>
              </w:rPr>
            </w:pPr>
            <w:r>
              <w:rPr>
                <w:spacing w:val="-2"/>
                <w:sz w:val="20"/>
              </w:rPr>
              <w:t>применением</w:t>
            </w:r>
            <w:r>
              <w:rPr>
                <w:spacing w:val="8"/>
                <w:sz w:val="20"/>
              </w:rPr>
              <w:t> </w:t>
            </w:r>
            <w:r>
              <w:rPr>
                <w:spacing w:val="-2"/>
                <w:sz w:val="20"/>
              </w:rPr>
              <w:t>наружной</w:t>
            </w:r>
          </w:p>
        </w:tc>
        <w:tc>
          <w:tcPr>
            <w:tcW w:w="5215" w:type="dxa"/>
          </w:tcPr>
          <w:p>
            <w:pPr>
              <w:pStyle w:val="TableParagraph"/>
              <w:spacing w:line="209" w:lineRule="exact"/>
              <w:ind w:left="308"/>
              <w:rPr>
                <w:sz w:val="20"/>
              </w:rPr>
            </w:pPr>
            <w:r>
              <w:rPr>
                <w:sz w:val="20"/>
              </w:rPr>
              <w:t>B35.8,</w:t>
            </w:r>
            <w:r>
              <w:rPr>
                <w:spacing w:val="-4"/>
                <w:sz w:val="20"/>
              </w:rPr>
              <w:t> </w:t>
            </w:r>
            <w:r>
              <w:rPr>
                <w:sz w:val="20"/>
              </w:rPr>
              <w:t>B35.9,</w:t>
            </w:r>
            <w:r>
              <w:rPr>
                <w:spacing w:val="-4"/>
                <w:sz w:val="20"/>
              </w:rPr>
              <w:t> </w:t>
            </w:r>
            <w:r>
              <w:rPr>
                <w:sz w:val="20"/>
              </w:rPr>
              <w:t>B36,</w:t>
            </w:r>
            <w:r>
              <w:rPr>
                <w:spacing w:val="-6"/>
                <w:sz w:val="20"/>
              </w:rPr>
              <w:t> </w:t>
            </w:r>
            <w:r>
              <w:rPr>
                <w:sz w:val="20"/>
              </w:rPr>
              <w:t>B36.0,</w:t>
            </w:r>
            <w:r>
              <w:rPr>
                <w:spacing w:val="-6"/>
                <w:sz w:val="20"/>
              </w:rPr>
              <w:t> </w:t>
            </w:r>
            <w:r>
              <w:rPr>
                <w:sz w:val="20"/>
              </w:rPr>
              <w:t>B36.8,</w:t>
            </w:r>
            <w:r>
              <w:rPr>
                <w:spacing w:val="-6"/>
                <w:sz w:val="20"/>
              </w:rPr>
              <w:t> </w:t>
            </w:r>
            <w:r>
              <w:rPr>
                <w:sz w:val="20"/>
              </w:rPr>
              <w:t>B36.9,</w:t>
            </w:r>
            <w:r>
              <w:rPr>
                <w:spacing w:val="-4"/>
                <w:sz w:val="20"/>
              </w:rPr>
              <w:t> </w:t>
            </w:r>
            <w:r>
              <w:rPr>
                <w:spacing w:val="-2"/>
                <w:sz w:val="20"/>
              </w:rPr>
              <w:t>B85.0,</w:t>
            </w:r>
          </w:p>
        </w:tc>
        <w:tc>
          <w:tcPr>
            <w:tcW w:w="5938" w:type="dxa"/>
            <w:gridSpan w:val="3"/>
            <w:vMerge w:val="restart"/>
          </w:tcPr>
          <w:p>
            <w:pPr>
              <w:pStyle w:val="TableParagraph"/>
              <w:rPr>
                <w:sz w:val="18"/>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4" w:type="dxa"/>
          </w:tcPr>
          <w:p>
            <w:pPr>
              <w:pStyle w:val="TableParagraph"/>
              <w:spacing w:line="209" w:lineRule="exact"/>
              <w:ind w:left="217"/>
              <w:rPr>
                <w:sz w:val="20"/>
              </w:rPr>
            </w:pPr>
            <w:r>
              <w:rPr>
                <w:spacing w:val="-2"/>
                <w:sz w:val="20"/>
              </w:rPr>
              <w:t>терапии</w:t>
            </w:r>
          </w:p>
        </w:tc>
        <w:tc>
          <w:tcPr>
            <w:tcW w:w="5215" w:type="dxa"/>
          </w:tcPr>
          <w:p>
            <w:pPr>
              <w:pStyle w:val="TableParagraph"/>
              <w:spacing w:line="209" w:lineRule="exact"/>
              <w:ind w:left="404"/>
              <w:rPr>
                <w:sz w:val="20"/>
              </w:rPr>
            </w:pPr>
            <w:r>
              <w:rPr>
                <w:sz w:val="20"/>
              </w:rPr>
              <w:t>B85.1,</w:t>
            </w:r>
            <w:r>
              <w:rPr>
                <w:spacing w:val="-5"/>
                <w:sz w:val="20"/>
              </w:rPr>
              <w:t> </w:t>
            </w:r>
            <w:r>
              <w:rPr>
                <w:sz w:val="20"/>
              </w:rPr>
              <w:t>B85.4,</w:t>
            </w:r>
            <w:r>
              <w:rPr>
                <w:spacing w:val="-4"/>
                <w:sz w:val="20"/>
              </w:rPr>
              <w:t> </w:t>
            </w:r>
            <w:r>
              <w:rPr>
                <w:sz w:val="20"/>
              </w:rPr>
              <w:t>B86,</w:t>
            </w:r>
            <w:r>
              <w:rPr>
                <w:spacing w:val="-5"/>
                <w:sz w:val="20"/>
              </w:rPr>
              <w:t> </w:t>
            </w:r>
            <w:r>
              <w:rPr>
                <w:sz w:val="20"/>
              </w:rPr>
              <w:t>L00,</w:t>
            </w:r>
            <w:r>
              <w:rPr>
                <w:spacing w:val="-4"/>
                <w:sz w:val="20"/>
              </w:rPr>
              <w:t> </w:t>
            </w:r>
            <w:r>
              <w:rPr>
                <w:sz w:val="20"/>
              </w:rPr>
              <w:t>L01.0,</w:t>
            </w:r>
            <w:r>
              <w:rPr>
                <w:spacing w:val="-5"/>
                <w:sz w:val="20"/>
              </w:rPr>
              <w:t> </w:t>
            </w:r>
            <w:r>
              <w:rPr>
                <w:sz w:val="20"/>
              </w:rPr>
              <w:t>L01.1,</w:t>
            </w:r>
            <w:r>
              <w:rPr>
                <w:spacing w:val="-4"/>
                <w:sz w:val="20"/>
              </w:rPr>
              <w:t> </w:t>
            </w:r>
            <w:r>
              <w:rPr>
                <w:spacing w:val="-2"/>
                <w:sz w:val="20"/>
              </w:rPr>
              <w:t>L08.0,</w:t>
            </w:r>
          </w:p>
        </w:tc>
        <w:tc>
          <w:tcPr>
            <w:tcW w:w="5938" w:type="dxa"/>
            <w:gridSpan w:val="3"/>
            <w:vMerge/>
            <w:tcBorders>
              <w:top w:val="nil"/>
            </w:tcBorders>
          </w:tcPr>
          <w:p>
            <w:pPr>
              <w:rPr>
                <w:sz w:val="2"/>
                <w:szCs w:val="2"/>
              </w:rPr>
            </w:pPr>
          </w:p>
        </w:tc>
      </w:tr>
      <w:tr>
        <w:trPr>
          <w:trHeight w:val="230" w:hRule="atLeast"/>
        </w:trPr>
        <w:tc>
          <w:tcPr>
            <w:tcW w:w="4122" w:type="dxa"/>
            <w:gridSpan w:val="3"/>
            <w:vMerge w:val="restart"/>
          </w:tcPr>
          <w:p>
            <w:pPr>
              <w:pStyle w:val="TableParagraph"/>
              <w:rPr>
                <w:sz w:val="18"/>
              </w:rPr>
            </w:pPr>
          </w:p>
        </w:tc>
        <w:tc>
          <w:tcPr>
            <w:tcW w:w="5215" w:type="dxa"/>
          </w:tcPr>
          <w:p>
            <w:pPr>
              <w:pStyle w:val="TableParagraph"/>
              <w:spacing w:line="210" w:lineRule="exact"/>
              <w:ind w:left="272"/>
              <w:rPr>
                <w:sz w:val="20"/>
              </w:rPr>
            </w:pPr>
            <w:r>
              <w:rPr>
                <w:sz w:val="20"/>
              </w:rPr>
              <w:t>L08.1,</w:t>
            </w:r>
            <w:r>
              <w:rPr>
                <w:spacing w:val="-5"/>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L11.9,</w:t>
            </w:r>
            <w:r>
              <w:rPr>
                <w:spacing w:val="-6"/>
                <w:sz w:val="20"/>
              </w:rPr>
              <w:t> </w:t>
            </w:r>
            <w:r>
              <w:rPr>
                <w:sz w:val="20"/>
              </w:rPr>
              <w:t>L12.0,</w:t>
            </w:r>
            <w:r>
              <w:rPr>
                <w:spacing w:val="-5"/>
                <w:sz w:val="20"/>
              </w:rPr>
              <w:t> </w:t>
            </w:r>
            <w:r>
              <w:rPr>
                <w:sz w:val="20"/>
              </w:rPr>
              <w:t>L12.1,</w:t>
            </w:r>
            <w:r>
              <w:rPr>
                <w:spacing w:val="-5"/>
                <w:sz w:val="20"/>
              </w:rPr>
              <w:t> </w:t>
            </w:r>
            <w:r>
              <w:rPr>
                <w:sz w:val="20"/>
              </w:rPr>
              <w:t>L12.2,</w:t>
            </w:r>
            <w:r>
              <w:rPr>
                <w:spacing w:val="-5"/>
                <w:sz w:val="20"/>
              </w:rPr>
              <w:t> </w:t>
            </w:r>
            <w:r>
              <w:rPr>
                <w:sz w:val="20"/>
              </w:rPr>
              <w:t>L12.3,</w:t>
            </w:r>
            <w:r>
              <w:rPr>
                <w:spacing w:val="-5"/>
                <w:sz w:val="20"/>
              </w:rPr>
              <w:t> </w:t>
            </w:r>
            <w:r>
              <w:rPr>
                <w:sz w:val="20"/>
              </w:rPr>
              <w:t>L12.8,</w:t>
            </w:r>
            <w:r>
              <w:rPr>
                <w:spacing w:val="-5"/>
                <w:sz w:val="20"/>
              </w:rPr>
              <w:t> </w:t>
            </w:r>
            <w:r>
              <w:rPr>
                <w:spacing w:val="-2"/>
                <w:sz w:val="20"/>
              </w:rPr>
              <w:t>L12.9,</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L20.0,</w:t>
            </w:r>
            <w:r>
              <w:rPr>
                <w:spacing w:val="-6"/>
                <w:sz w:val="20"/>
              </w:rPr>
              <w:t> </w:t>
            </w:r>
            <w:r>
              <w:rPr>
                <w:spacing w:val="-2"/>
                <w:sz w:val="20"/>
              </w:rPr>
              <w:t>L20.8,</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347"/>
              <w:rPr>
                <w:sz w:val="20"/>
              </w:rPr>
            </w:pPr>
            <w:r>
              <w:rPr>
                <w:sz w:val="20"/>
              </w:rPr>
              <w:t>L20.9,</w:t>
            </w:r>
            <w:r>
              <w:rPr>
                <w:spacing w:val="-5"/>
                <w:sz w:val="20"/>
              </w:rPr>
              <w:t> </w:t>
            </w:r>
            <w:r>
              <w:rPr>
                <w:sz w:val="20"/>
              </w:rPr>
              <w:t>L21.0,</w:t>
            </w:r>
            <w:r>
              <w:rPr>
                <w:spacing w:val="-5"/>
                <w:sz w:val="20"/>
              </w:rPr>
              <w:t> </w:t>
            </w:r>
            <w:r>
              <w:rPr>
                <w:sz w:val="20"/>
              </w:rPr>
              <w:t>L21.1,</w:t>
            </w:r>
            <w:r>
              <w:rPr>
                <w:spacing w:val="-4"/>
                <w:sz w:val="20"/>
              </w:rPr>
              <w:t> </w:t>
            </w:r>
            <w:r>
              <w:rPr>
                <w:sz w:val="20"/>
              </w:rPr>
              <w:t>L21.8,</w:t>
            </w:r>
            <w:r>
              <w:rPr>
                <w:spacing w:val="-5"/>
                <w:sz w:val="20"/>
              </w:rPr>
              <w:t> </w:t>
            </w:r>
            <w:r>
              <w:rPr>
                <w:sz w:val="20"/>
              </w:rPr>
              <w:t>L21.9,</w:t>
            </w:r>
            <w:r>
              <w:rPr>
                <w:spacing w:val="-5"/>
                <w:sz w:val="20"/>
              </w:rPr>
              <w:t> </w:t>
            </w:r>
            <w:r>
              <w:rPr>
                <w:sz w:val="20"/>
              </w:rPr>
              <w:t>L22,</w:t>
            </w:r>
            <w:r>
              <w:rPr>
                <w:spacing w:val="-6"/>
                <w:sz w:val="20"/>
              </w:rPr>
              <w:t> </w:t>
            </w:r>
            <w:r>
              <w:rPr>
                <w:spacing w:val="-2"/>
                <w:sz w:val="20"/>
              </w:rPr>
              <w:t>L23.0,</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L23.1,</w:t>
            </w:r>
            <w:r>
              <w:rPr>
                <w:spacing w:val="-5"/>
                <w:sz w:val="20"/>
              </w:rPr>
              <w:t> </w:t>
            </w:r>
            <w:r>
              <w:rPr>
                <w:sz w:val="20"/>
              </w:rPr>
              <w:t>L23.2,</w:t>
            </w:r>
            <w:r>
              <w:rPr>
                <w:spacing w:val="-4"/>
                <w:sz w:val="20"/>
              </w:rPr>
              <w:t> </w:t>
            </w:r>
            <w:r>
              <w:rPr>
                <w:sz w:val="20"/>
              </w:rPr>
              <w:t>L23.3,</w:t>
            </w:r>
            <w:r>
              <w:rPr>
                <w:spacing w:val="-5"/>
                <w:sz w:val="20"/>
              </w:rPr>
              <w:t> </w:t>
            </w:r>
            <w:r>
              <w:rPr>
                <w:sz w:val="20"/>
              </w:rPr>
              <w:t>L23.4,</w:t>
            </w:r>
            <w:r>
              <w:rPr>
                <w:spacing w:val="-4"/>
                <w:sz w:val="20"/>
              </w:rPr>
              <w:t> </w:t>
            </w:r>
            <w:r>
              <w:rPr>
                <w:sz w:val="20"/>
              </w:rPr>
              <w:t>L23.5,</w:t>
            </w:r>
            <w:r>
              <w:rPr>
                <w:spacing w:val="-4"/>
                <w:sz w:val="20"/>
              </w:rPr>
              <w:t> </w:t>
            </w:r>
            <w:r>
              <w:rPr>
                <w:sz w:val="20"/>
              </w:rPr>
              <w:t>L23.6,</w:t>
            </w:r>
            <w:r>
              <w:rPr>
                <w:spacing w:val="-5"/>
                <w:sz w:val="20"/>
              </w:rPr>
              <w:t> </w:t>
            </w:r>
            <w:r>
              <w:rPr>
                <w:spacing w:val="-2"/>
                <w:sz w:val="20"/>
              </w:rPr>
              <w:t>L23.7,</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L23.8,</w:t>
            </w:r>
            <w:r>
              <w:rPr>
                <w:spacing w:val="-6"/>
                <w:sz w:val="20"/>
              </w:rPr>
              <w:t> </w:t>
            </w:r>
            <w:r>
              <w:rPr>
                <w:sz w:val="20"/>
              </w:rPr>
              <w:t>L23.9,</w:t>
            </w:r>
            <w:r>
              <w:rPr>
                <w:spacing w:val="-5"/>
                <w:sz w:val="20"/>
              </w:rPr>
              <w:t> </w:t>
            </w:r>
            <w:r>
              <w:rPr>
                <w:sz w:val="20"/>
              </w:rPr>
              <w:t>L24.0,</w:t>
            </w:r>
            <w:r>
              <w:rPr>
                <w:spacing w:val="-5"/>
                <w:sz w:val="20"/>
              </w:rPr>
              <w:t> </w:t>
            </w:r>
            <w:r>
              <w:rPr>
                <w:sz w:val="20"/>
              </w:rPr>
              <w:t>L24.1,</w:t>
            </w:r>
            <w:r>
              <w:rPr>
                <w:spacing w:val="-5"/>
                <w:sz w:val="20"/>
              </w:rPr>
              <w:t> </w:t>
            </w:r>
            <w:r>
              <w:rPr>
                <w:sz w:val="20"/>
              </w:rPr>
              <w:t>L24.2,</w:t>
            </w:r>
            <w:r>
              <w:rPr>
                <w:spacing w:val="-5"/>
                <w:sz w:val="20"/>
              </w:rPr>
              <w:t> </w:t>
            </w:r>
            <w:r>
              <w:rPr>
                <w:sz w:val="20"/>
              </w:rPr>
              <w:t>L24.3,</w:t>
            </w:r>
            <w:r>
              <w:rPr>
                <w:spacing w:val="-5"/>
                <w:sz w:val="20"/>
              </w:rPr>
              <w:t> </w:t>
            </w:r>
            <w:r>
              <w:rPr>
                <w:spacing w:val="-2"/>
                <w:sz w:val="20"/>
              </w:rPr>
              <w:t>L24.4,</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L24.5,</w:t>
            </w:r>
            <w:r>
              <w:rPr>
                <w:spacing w:val="-6"/>
                <w:sz w:val="20"/>
              </w:rPr>
              <w:t> </w:t>
            </w:r>
            <w:r>
              <w:rPr>
                <w:sz w:val="20"/>
              </w:rPr>
              <w:t>L24.6,</w:t>
            </w:r>
            <w:r>
              <w:rPr>
                <w:spacing w:val="-5"/>
                <w:sz w:val="20"/>
              </w:rPr>
              <w:t> </w:t>
            </w:r>
            <w:r>
              <w:rPr>
                <w:sz w:val="20"/>
              </w:rPr>
              <w:t>L24.7,</w:t>
            </w:r>
            <w:r>
              <w:rPr>
                <w:spacing w:val="-5"/>
                <w:sz w:val="20"/>
              </w:rPr>
              <w:t> </w:t>
            </w:r>
            <w:r>
              <w:rPr>
                <w:sz w:val="20"/>
              </w:rPr>
              <w:t>L24.8,</w:t>
            </w:r>
            <w:r>
              <w:rPr>
                <w:spacing w:val="-5"/>
                <w:sz w:val="20"/>
              </w:rPr>
              <w:t> </w:t>
            </w:r>
            <w:r>
              <w:rPr>
                <w:sz w:val="20"/>
              </w:rPr>
              <w:t>L24.9,</w:t>
            </w:r>
            <w:r>
              <w:rPr>
                <w:spacing w:val="-5"/>
                <w:sz w:val="20"/>
              </w:rPr>
              <w:t> </w:t>
            </w:r>
            <w:r>
              <w:rPr>
                <w:sz w:val="20"/>
              </w:rPr>
              <w:t>L25.0,</w:t>
            </w:r>
            <w:r>
              <w:rPr>
                <w:spacing w:val="-5"/>
                <w:sz w:val="20"/>
              </w:rPr>
              <w:t> </w:t>
            </w:r>
            <w:r>
              <w:rPr>
                <w:spacing w:val="-2"/>
                <w:sz w:val="20"/>
              </w:rPr>
              <w:t>L25.1,</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L25.2,</w:t>
            </w:r>
            <w:r>
              <w:rPr>
                <w:spacing w:val="-6"/>
                <w:sz w:val="20"/>
              </w:rPr>
              <w:t> </w:t>
            </w:r>
            <w:r>
              <w:rPr>
                <w:sz w:val="20"/>
              </w:rPr>
              <w:t>L25.3,</w:t>
            </w:r>
            <w:r>
              <w:rPr>
                <w:spacing w:val="-5"/>
                <w:sz w:val="20"/>
              </w:rPr>
              <w:t> </w:t>
            </w:r>
            <w:r>
              <w:rPr>
                <w:sz w:val="20"/>
              </w:rPr>
              <w:t>L25.4,</w:t>
            </w:r>
            <w:r>
              <w:rPr>
                <w:spacing w:val="-5"/>
                <w:sz w:val="20"/>
              </w:rPr>
              <w:t> </w:t>
            </w:r>
            <w:r>
              <w:rPr>
                <w:sz w:val="20"/>
              </w:rPr>
              <w:t>L25.5,</w:t>
            </w:r>
            <w:r>
              <w:rPr>
                <w:spacing w:val="-5"/>
                <w:sz w:val="20"/>
              </w:rPr>
              <w:t> </w:t>
            </w:r>
            <w:r>
              <w:rPr>
                <w:sz w:val="20"/>
              </w:rPr>
              <w:t>L25.8,</w:t>
            </w:r>
            <w:r>
              <w:rPr>
                <w:spacing w:val="-5"/>
                <w:sz w:val="20"/>
              </w:rPr>
              <w:t> </w:t>
            </w:r>
            <w:r>
              <w:rPr>
                <w:sz w:val="20"/>
              </w:rPr>
              <w:t>L25.9,</w:t>
            </w:r>
            <w:r>
              <w:rPr>
                <w:spacing w:val="-5"/>
                <w:sz w:val="20"/>
              </w:rPr>
              <w:t> </w:t>
            </w:r>
            <w:r>
              <w:rPr>
                <w:spacing w:val="-4"/>
                <w:sz w:val="20"/>
              </w:rPr>
              <w:t>L26,</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L27.0,</w:t>
            </w:r>
            <w:r>
              <w:rPr>
                <w:spacing w:val="-6"/>
                <w:sz w:val="20"/>
              </w:rPr>
              <w:t> </w:t>
            </w:r>
            <w:r>
              <w:rPr>
                <w:sz w:val="20"/>
              </w:rPr>
              <w:t>L27.1,</w:t>
            </w:r>
            <w:r>
              <w:rPr>
                <w:spacing w:val="-5"/>
                <w:sz w:val="20"/>
              </w:rPr>
              <w:t> </w:t>
            </w:r>
            <w:r>
              <w:rPr>
                <w:sz w:val="20"/>
              </w:rPr>
              <w:t>L27.2,</w:t>
            </w:r>
            <w:r>
              <w:rPr>
                <w:spacing w:val="-5"/>
                <w:sz w:val="20"/>
              </w:rPr>
              <w:t> </w:t>
            </w:r>
            <w:r>
              <w:rPr>
                <w:sz w:val="20"/>
              </w:rPr>
              <w:t>L27.8,</w:t>
            </w:r>
            <w:r>
              <w:rPr>
                <w:spacing w:val="-5"/>
                <w:sz w:val="20"/>
              </w:rPr>
              <w:t> </w:t>
            </w:r>
            <w:r>
              <w:rPr>
                <w:sz w:val="20"/>
              </w:rPr>
              <w:t>L27.9,</w:t>
            </w:r>
            <w:r>
              <w:rPr>
                <w:spacing w:val="-5"/>
                <w:sz w:val="20"/>
              </w:rPr>
              <w:t> </w:t>
            </w:r>
            <w:r>
              <w:rPr>
                <w:sz w:val="20"/>
              </w:rPr>
              <w:t>L28.0,</w:t>
            </w:r>
            <w:r>
              <w:rPr>
                <w:spacing w:val="-5"/>
                <w:sz w:val="20"/>
              </w:rPr>
              <w:t> </w:t>
            </w:r>
            <w:r>
              <w:rPr>
                <w:spacing w:val="-2"/>
                <w:sz w:val="20"/>
              </w:rPr>
              <w:t>L28.1,</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L28.2,</w:t>
            </w:r>
            <w:r>
              <w:rPr>
                <w:spacing w:val="-5"/>
                <w:sz w:val="20"/>
              </w:rPr>
              <w:t> </w:t>
            </w:r>
            <w:r>
              <w:rPr>
                <w:sz w:val="20"/>
              </w:rPr>
              <w:t>L30.0,</w:t>
            </w:r>
            <w:r>
              <w:rPr>
                <w:spacing w:val="-5"/>
                <w:sz w:val="20"/>
              </w:rPr>
              <w:t> </w:t>
            </w:r>
            <w:r>
              <w:rPr>
                <w:sz w:val="20"/>
              </w:rPr>
              <w:t>L30.1,</w:t>
            </w:r>
            <w:r>
              <w:rPr>
                <w:spacing w:val="-5"/>
                <w:sz w:val="20"/>
              </w:rPr>
              <w:t> </w:t>
            </w:r>
            <w:r>
              <w:rPr>
                <w:sz w:val="20"/>
              </w:rPr>
              <w:t>L30.2,</w:t>
            </w:r>
            <w:r>
              <w:rPr>
                <w:spacing w:val="-5"/>
                <w:sz w:val="20"/>
              </w:rPr>
              <w:t> </w:t>
            </w:r>
            <w:r>
              <w:rPr>
                <w:sz w:val="20"/>
              </w:rPr>
              <w:t>L30.3,</w:t>
            </w:r>
            <w:r>
              <w:rPr>
                <w:spacing w:val="1"/>
                <w:sz w:val="20"/>
              </w:rPr>
              <w:t> </w:t>
            </w:r>
            <w:r>
              <w:rPr>
                <w:sz w:val="20"/>
              </w:rPr>
              <w:t>L30.4,</w:t>
            </w:r>
            <w:r>
              <w:rPr>
                <w:spacing w:val="-5"/>
                <w:sz w:val="20"/>
              </w:rPr>
              <w:t> </w:t>
            </w:r>
            <w:r>
              <w:rPr>
                <w:spacing w:val="-2"/>
                <w:sz w:val="20"/>
              </w:rPr>
              <w:t>L30.5,</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L30.8,</w:t>
            </w:r>
            <w:r>
              <w:rPr>
                <w:spacing w:val="-6"/>
                <w:sz w:val="20"/>
              </w:rPr>
              <w:t> </w:t>
            </w:r>
            <w:r>
              <w:rPr>
                <w:sz w:val="20"/>
              </w:rPr>
              <w:t>L30.9,</w:t>
            </w:r>
            <w:r>
              <w:rPr>
                <w:spacing w:val="-5"/>
                <w:sz w:val="20"/>
              </w:rPr>
              <w:t> </w:t>
            </w:r>
            <w:r>
              <w:rPr>
                <w:sz w:val="20"/>
              </w:rPr>
              <w:t>L40.0,</w:t>
            </w:r>
            <w:r>
              <w:rPr>
                <w:spacing w:val="-5"/>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pacing w:val="-2"/>
                <w:sz w:val="20"/>
              </w:rPr>
              <w:t>L40.4,</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L40.5,</w:t>
            </w:r>
            <w:r>
              <w:rPr>
                <w:spacing w:val="-6"/>
                <w:sz w:val="20"/>
              </w:rPr>
              <w:t> </w:t>
            </w:r>
            <w:r>
              <w:rPr>
                <w:sz w:val="20"/>
              </w:rPr>
              <w:t>L40.8,</w:t>
            </w:r>
            <w:r>
              <w:rPr>
                <w:spacing w:val="-5"/>
                <w:sz w:val="20"/>
              </w:rPr>
              <w:t> </w:t>
            </w:r>
            <w:r>
              <w:rPr>
                <w:sz w:val="20"/>
              </w:rPr>
              <w:t>L40.9,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L42,</w:t>
            </w:r>
            <w:r>
              <w:rPr>
                <w:spacing w:val="-5"/>
                <w:sz w:val="20"/>
              </w:rPr>
              <w:t> </w:t>
            </w:r>
            <w:r>
              <w:rPr>
                <w:sz w:val="20"/>
              </w:rPr>
              <w:t>L43.0,</w:t>
            </w:r>
            <w:r>
              <w:rPr>
                <w:spacing w:val="-5"/>
                <w:sz w:val="20"/>
              </w:rPr>
              <w:t> </w:t>
            </w:r>
            <w:r>
              <w:rPr>
                <w:sz w:val="20"/>
              </w:rPr>
              <w:t>L43.1,</w:t>
            </w:r>
            <w:r>
              <w:rPr>
                <w:spacing w:val="-5"/>
                <w:sz w:val="20"/>
              </w:rPr>
              <w:t> </w:t>
            </w:r>
            <w:r>
              <w:rPr>
                <w:spacing w:val="-2"/>
                <w:sz w:val="20"/>
              </w:rPr>
              <w:t>L43.2,</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L43.3,</w:t>
            </w:r>
            <w:r>
              <w:rPr>
                <w:spacing w:val="-6"/>
                <w:sz w:val="20"/>
              </w:rPr>
              <w:t> </w:t>
            </w:r>
            <w:r>
              <w:rPr>
                <w:sz w:val="20"/>
              </w:rPr>
              <w:t>L43.8,</w:t>
            </w:r>
            <w:r>
              <w:rPr>
                <w:spacing w:val="-5"/>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pacing w:val="-2"/>
                <w:sz w:val="20"/>
              </w:rPr>
              <w:t>L44.4,</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L44.8,</w:t>
            </w:r>
            <w:r>
              <w:rPr>
                <w:spacing w:val="-6"/>
                <w:sz w:val="20"/>
              </w:rPr>
              <w:t> </w:t>
            </w:r>
            <w:r>
              <w:rPr>
                <w:sz w:val="20"/>
              </w:rPr>
              <w:t>L44.9,</w:t>
            </w:r>
            <w:r>
              <w:rPr>
                <w:spacing w:val="-5"/>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pacing w:val="-2"/>
                <w:sz w:val="20"/>
              </w:rPr>
              <w:t>L50.3,</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L50.4,</w:t>
            </w:r>
            <w:r>
              <w:rPr>
                <w:spacing w:val="-6"/>
                <w:sz w:val="20"/>
              </w:rPr>
              <w:t> </w:t>
            </w:r>
            <w:r>
              <w:rPr>
                <w:sz w:val="20"/>
              </w:rPr>
              <w:t>L50.5,</w:t>
            </w:r>
            <w:r>
              <w:rPr>
                <w:spacing w:val="-5"/>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pacing w:val="-2"/>
                <w:sz w:val="20"/>
              </w:rPr>
              <w:t>L51.1,</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L51.2,</w:t>
            </w:r>
            <w:r>
              <w:rPr>
                <w:spacing w:val="-6"/>
                <w:sz w:val="20"/>
              </w:rPr>
              <w:t> </w:t>
            </w:r>
            <w:r>
              <w:rPr>
                <w:sz w:val="20"/>
              </w:rPr>
              <w:t>L51.8,</w:t>
            </w:r>
            <w:r>
              <w:rPr>
                <w:spacing w:val="-5"/>
                <w:sz w:val="20"/>
              </w:rPr>
              <w:t> </w:t>
            </w:r>
            <w:r>
              <w:rPr>
                <w:sz w:val="20"/>
              </w:rPr>
              <w:t>L51.9,</w:t>
            </w:r>
            <w:r>
              <w:rPr>
                <w:spacing w:val="-5"/>
                <w:sz w:val="20"/>
              </w:rPr>
              <w:t> </w:t>
            </w:r>
            <w:r>
              <w:rPr>
                <w:sz w:val="20"/>
              </w:rPr>
              <w:t>L52,</w:t>
            </w:r>
            <w:r>
              <w:rPr>
                <w:spacing w:val="-5"/>
                <w:sz w:val="20"/>
              </w:rPr>
              <w:t> </w:t>
            </w:r>
            <w:r>
              <w:rPr>
                <w:sz w:val="20"/>
              </w:rPr>
              <w:t>L53.0,</w:t>
            </w:r>
            <w:r>
              <w:rPr>
                <w:spacing w:val="-5"/>
                <w:sz w:val="20"/>
              </w:rPr>
              <w:t> </w:t>
            </w:r>
            <w:r>
              <w:rPr>
                <w:sz w:val="20"/>
              </w:rPr>
              <w:t>L53.1,</w:t>
            </w:r>
            <w:r>
              <w:rPr>
                <w:spacing w:val="-5"/>
                <w:sz w:val="20"/>
              </w:rPr>
              <w:t> </w:t>
            </w:r>
            <w:r>
              <w:rPr>
                <w:spacing w:val="-2"/>
                <w:sz w:val="20"/>
              </w:rPr>
              <w:t>L53.2,</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L53.3,</w:t>
            </w:r>
            <w:r>
              <w:rPr>
                <w:spacing w:val="-6"/>
                <w:sz w:val="20"/>
              </w:rPr>
              <w:t> </w:t>
            </w:r>
            <w:r>
              <w:rPr>
                <w:sz w:val="20"/>
              </w:rPr>
              <w:t>L53.8,</w:t>
            </w:r>
            <w:r>
              <w:rPr>
                <w:spacing w:val="-5"/>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pacing w:val="-2"/>
                <w:sz w:val="20"/>
              </w:rPr>
              <w:t>L55.1,</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L55.2,</w:t>
            </w:r>
            <w:r>
              <w:rPr>
                <w:spacing w:val="-6"/>
                <w:sz w:val="20"/>
              </w:rPr>
              <w:t> </w:t>
            </w:r>
            <w:r>
              <w:rPr>
                <w:sz w:val="20"/>
              </w:rPr>
              <w:t>L55.8,</w:t>
            </w:r>
            <w:r>
              <w:rPr>
                <w:spacing w:val="-5"/>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pacing w:val="-2"/>
                <w:sz w:val="20"/>
              </w:rPr>
              <w:t>L56.3,</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L56.4,</w:t>
            </w:r>
            <w:r>
              <w:rPr>
                <w:spacing w:val="-6"/>
                <w:sz w:val="20"/>
              </w:rPr>
              <w:t> </w:t>
            </w:r>
            <w:r>
              <w:rPr>
                <w:sz w:val="20"/>
              </w:rPr>
              <w:t>L56.8,</w:t>
            </w:r>
            <w:r>
              <w:rPr>
                <w:spacing w:val="-5"/>
                <w:sz w:val="20"/>
              </w:rPr>
              <w:t> </w:t>
            </w:r>
            <w:r>
              <w:rPr>
                <w:sz w:val="20"/>
              </w:rPr>
              <w:t>L56.9,</w:t>
            </w:r>
            <w:r>
              <w:rPr>
                <w:spacing w:val="-5"/>
                <w:sz w:val="20"/>
              </w:rPr>
              <w:t> </w:t>
            </w:r>
            <w:r>
              <w:rPr>
                <w:sz w:val="20"/>
              </w:rPr>
              <w:t>L57.0,</w:t>
            </w:r>
            <w:r>
              <w:rPr>
                <w:spacing w:val="-5"/>
                <w:sz w:val="20"/>
              </w:rPr>
              <w:t> </w:t>
            </w:r>
            <w:r>
              <w:rPr>
                <w:sz w:val="20"/>
              </w:rPr>
              <w:t>L57.1,</w:t>
            </w:r>
            <w:r>
              <w:rPr>
                <w:spacing w:val="-5"/>
                <w:sz w:val="20"/>
              </w:rPr>
              <w:t> </w:t>
            </w:r>
            <w:r>
              <w:rPr>
                <w:sz w:val="20"/>
              </w:rPr>
              <w:t>L57.5,</w:t>
            </w:r>
            <w:r>
              <w:rPr>
                <w:spacing w:val="-5"/>
                <w:sz w:val="20"/>
              </w:rPr>
              <w:t> </w:t>
            </w:r>
            <w:r>
              <w:rPr>
                <w:spacing w:val="-2"/>
                <w:sz w:val="20"/>
              </w:rPr>
              <w:t>L57.8,</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L57.9,</w:t>
            </w:r>
            <w:r>
              <w:rPr>
                <w:spacing w:val="-5"/>
                <w:sz w:val="20"/>
              </w:rPr>
              <w:t> </w:t>
            </w:r>
            <w:r>
              <w:rPr>
                <w:sz w:val="20"/>
              </w:rPr>
              <w:t>L58.0,</w:t>
            </w:r>
            <w:r>
              <w:rPr>
                <w:spacing w:val="-3"/>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pacing w:val="-2"/>
                <w:sz w:val="20"/>
              </w:rPr>
              <w:t>L59.9,</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L63.0,</w:t>
            </w:r>
            <w:r>
              <w:rPr>
                <w:spacing w:val="-6"/>
                <w:sz w:val="20"/>
              </w:rPr>
              <w:t> </w:t>
            </w:r>
            <w:r>
              <w:rPr>
                <w:sz w:val="20"/>
              </w:rPr>
              <w:t>L63.1,</w:t>
            </w:r>
            <w:r>
              <w:rPr>
                <w:spacing w:val="-5"/>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5"/>
                <w:sz w:val="20"/>
              </w:rPr>
              <w:t> </w:t>
            </w:r>
            <w:r>
              <w:rPr>
                <w:spacing w:val="-2"/>
                <w:sz w:val="20"/>
              </w:rPr>
              <w:t>L65.0,</w:t>
            </w:r>
          </w:p>
        </w:tc>
        <w:tc>
          <w:tcPr>
            <w:tcW w:w="5938" w:type="dxa"/>
            <w:gridSpan w:val="3"/>
            <w:vMerge/>
            <w:tcBorders>
              <w:top w:val="nil"/>
            </w:tcBorders>
          </w:tcPr>
          <w:p>
            <w:pPr>
              <w:rPr>
                <w:sz w:val="2"/>
                <w:szCs w:val="2"/>
              </w:rPr>
            </w:pPr>
          </w:p>
        </w:tc>
      </w:tr>
      <w:tr>
        <w:trPr>
          <w:trHeight w:val="225" w:hRule="atLeast"/>
        </w:trPr>
        <w:tc>
          <w:tcPr>
            <w:tcW w:w="4122" w:type="dxa"/>
            <w:gridSpan w:val="3"/>
            <w:vMerge/>
            <w:tcBorders>
              <w:top w:val="nil"/>
            </w:tcBorders>
          </w:tcPr>
          <w:p>
            <w:pPr>
              <w:rPr>
                <w:sz w:val="2"/>
                <w:szCs w:val="2"/>
              </w:rPr>
            </w:pPr>
          </w:p>
        </w:tc>
        <w:tc>
          <w:tcPr>
            <w:tcW w:w="5215" w:type="dxa"/>
          </w:tcPr>
          <w:p>
            <w:pPr>
              <w:pStyle w:val="TableParagraph"/>
              <w:spacing w:line="205" w:lineRule="exact"/>
              <w:ind w:left="272"/>
              <w:rPr>
                <w:sz w:val="20"/>
              </w:rPr>
            </w:pPr>
            <w:r>
              <w:rPr>
                <w:sz w:val="20"/>
              </w:rPr>
              <w:t>L65.1,</w:t>
            </w:r>
            <w:r>
              <w:rPr>
                <w:spacing w:val="-6"/>
                <w:sz w:val="20"/>
              </w:rPr>
              <w:t> </w:t>
            </w:r>
            <w:r>
              <w:rPr>
                <w:sz w:val="20"/>
              </w:rPr>
              <w:t>L65.2,</w:t>
            </w:r>
            <w:r>
              <w:rPr>
                <w:spacing w:val="-5"/>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pacing w:val="-2"/>
                <w:sz w:val="20"/>
              </w:rPr>
              <w:t>L66.3,</w:t>
            </w:r>
          </w:p>
        </w:tc>
        <w:tc>
          <w:tcPr>
            <w:tcW w:w="5938" w:type="dxa"/>
            <w:gridSpan w:val="3"/>
            <w:vMerge/>
            <w:tcBorders>
              <w:top w:val="nil"/>
            </w:tcBorders>
          </w:tcPr>
          <w:p>
            <w:pPr>
              <w:rPr>
                <w:sz w:val="2"/>
                <w:szCs w:val="2"/>
              </w:rPr>
            </w:pPr>
          </w:p>
        </w:tc>
      </w:tr>
    </w:tbl>
    <w:p>
      <w:pPr>
        <w:spacing w:after="0"/>
        <w:rPr>
          <w:sz w:val="2"/>
          <w:szCs w:val="2"/>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2"/>
        <w:gridCol w:w="5110"/>
        <w:gridCol w:w="1957"/>
        <w:gridCol w:w="3173"/>
        <w:gridCol w:w="838"/>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72" w:type="dxa"/>
            <w:vMerge w:val="restart"/>
          </w:tcPr>
          <w:p>
            <w:pPr>
              <w:pStyle w:val="TableParagraph"/>
              <w:rPr>
                <w:sz w:val="18"/>
              </w:rPr>
            </w:pPr>
          </w:p>
        </w:tc>
        <w:tc>
          <w:tcPr>
            <w:tcW w:w="5110" w:type="dxa"/>
          </w:tcPr>
          <w:p>
            <w:pPr>
              <w:pStyle w:val="TableParagraph"/>
              <w:spacing w:line="205" w:lineRule="exact"/>
              <w:ind w:left="143" w:right="909"/>
              <w:jc w:val="center"/>
              <w:rPr>
                <w:sz w:val="20"/>
              </w:rPr>
            </w:pPr>
            <w:r>
              <w:rPr>
                <w:sz w:val="20"/>
              </w:rPr>
              <w:t>L66.4,</w:t>
            </w:r>
            <w:r>
              <w:rPr>
                <w:spacing w:val="-6"/>
                <w:sz w:val="20"/>
              </w:rPr>
              <w:t> </w:t>
            </w:r>
            <w:r>
              <w:rPr>
                <w:sz w:val="20"/>
              </w:rPr>
              <w:t>L66.9,</w:t>
            </w:r>
            <w:r>
              <w:rPr>
                <w:spacing w:val="-5"/>
                <w:sz w:val="20"/>
              </w:rPr>
              <w:t> </w:t>
            </w:r>
            <w:r>
              <w:rPr>
                <w:sz w:val="20"/>
              </w:rPr>
              <w:t>L67.0,</w:t>
            </w:r>
            <w:r>
              <w:rPr>
                <w:spacing w:val="-5"/>
                <w:sz w:val="20"/>
              </w:rPr>
              <w:t> </w:t>
            </w:r>
            <w:r>
              <w:rPr>
                <w:sz w:val="20"/>
              </w:rPr>
              <w:t>L70.0,</w:t>
            </w:r>
            <w:r>
              <w:rPr>
                <w:spacing w:val="-5"/>
                <w:sz w:val="20"/>
              </w:rPr>
              <w:t> </w:t>
            </w:r>
            <w:r>
              <w:rPr>
                <w:sz w:val="20"/>
              </w:rPr>
              <w:t>L70.1,</w:t>
            </w:r>
            <w:r>
              <w:rPr>
                <w:spacing w:val="-5"/>
                <w:sz w:val="20"/>
              </w:rPr>
              <w:t> </w:t>
            </w:r>
            <w:r>
              <w:rPr>
                <w:sz w:val="20"/>
              </w:rPr>
              <w:t>L70.2,</w:t>
            </w:r>
            <w:r>
              <w:rPr>
                <w:spacing w:val="-5"/>
                <w:sz w:val="20"/>
              </w:rPr>
              <w:t> </w:t>
            </w:r>
            <w:r>
              <w:rPr>
                <w:spacing w:val="-2"/>
                <w:sz w:val="20"/>
              </w:rPr>
              <w:t>L70.3,</w:t>
            </w:r>
          </w:p>
        </w:tc>
        <w:tc>
          <w:tcPr>
            <w:tcW w:w="1957" w:type="dxa"/>
            <w:vMerge w:val="restart"/>
          </w:tcPr>
          <w:p>
            <w:pPr>
              <w:pStyle w:val="TableParagraph"/>
              <w:rPr>
                <w:sz w:val="18"/>
              </w:rPr>
            </w:pPr>
          </w:p>
        </w:tc>
        <w:tc>
          <w:tcPr>
            <w:tcW w:w="3173" w:type="dxa"/>
            <w:vMerge w:val="restart"/>
          </w:tcPr>
          <w:p>
            <w:pPr>
              <w:pStyle w:val="TableParagraph"/>
              <w:rPr>
                <w:sz w:val="18"/>
              </w:rPr>
            </w:pPr>
          </w:p>
        </w:tc>
        <w:tc>
          <w:tcPr>
            <w:tcW w:w="838"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09" w:lineRule="exact"/>
              <w:ind w:left="143" w:right="909"/>
              <w:jc w:val="center"/>
              <w:rPr>
                <w:sz w:val="20"/>
              </w:rPr>
            </w:pPr>
            <w:r>
              <w:rPr>
                <w:sz w:val="20"/>
              </w:rPr>
              <w:t>L70.4,</w:t>
            </w:r>
            <w:r>
              <w:rPr>
                <w:spacing w:val="-6"/>
                <w:sz w:val="20"/>
              </w:rPr>
              <w:t> </w:t>
            </w:r>
            <w:r>
              <w:rPr>
                <w:sz w:val="20"/>
              </w:rPr>
              <w:t>L70.5,</w:t>
            </w:r>
            <w:r>
              <w:rPr>
                <w:spacing w:val="-5"/>
                <w:sz w:val="20"/>
              </w:rPr>
              <w:t> </w:t>
            </w:r>
            <w:r>
              <w:rPr>
                <w:sz w:val="20"/>
              </w:rPr>
              <w:t>L70.9,</w:t>
            </w:r>
            <w:r>
              <w:rPr>
                <w:spacing w:val="-5"/>
                <w:sz w:val="20"/>
              </w:rPr>
              <w:t> </w:t>
            </w:r>
            <w:r>
              <w:rPr>
                <w:sz w:val="20"/>
              </w:rPr>
              <w:t>L71.0,</w:t>
            </w:r>
            <w:r>
              <w:rPr>
                <w:spacing w:val="-5"/>
                <w:sz w:val="20"/>
              </w:rPr>
              <w:t> </w:t>
            </w:r>
            <w:r>
              <w:rPr>
                <w:sz w:val="20"/>
              </w:rPr>
              <w:t>L71.1,</w:t>
            </w:r>
            <w:r>
              <w:rPr>
                <w:spacing w:val="-5"/>
                <w:sz w:val="20"/>
              </w:rPr>
              <w:t> </w:t>
            </w:r>
            <w:r>
              <w:rPr>
                <w:sz w:val="20"/>
              </w:rPr>
              <w:t>L71.8,</w:t>
            </w:r>
            <w:r>
              <w:rPr>
                <w:spacing w:val="-5"/>
                <w:sz w:val="20"/>
              </w:rPr>
              <w:t> </w:t>
            </w:r>
            <w:r>
              <w:rPr>
                <w:spacing w:val="-2"/>
                <w:sz w:val="20"/>
              </w:rPr>
              <w:t>L71.9,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09" w:lineRule="exact"/>
              <w:ind w:left="145" w:right="907"/>
              <w:jc w:val="center"/>
              <w:rPr>
                <w:sz w:val="20"/>
              </w:rPr>
            </w:pPr>
            <w:r>
              <w:rPr>
                <w:sz w:val="20"/>
              </w:rPr>
              <w:t>L73.0,</w:t>
            </w:r>
            <w:r>
              <w:rPr>
                <w:spacing w:val="-5"/>
                <w:sz w:val="20"/>
              </w:rPr>
              <w:t> </w:t>
            </w:r>
            <w:r>
              <w:rPr>
                <w:sz w:val="20"/>
              </w:rPr>
              <w:t>L73.1,</w:t>
            </w:r>
            <w:r>
              <w:rPr>
                <w:spacing w:val="-4"/>
                <w:sz w:val="20"/>
              </w:rPr>
              <w:t> </w:t>
            </w:r>
            <w:r>
              <w:rPr>
                <w:sz w:val="20"/>
              </w:rPr>
              <w:t>L73.9,</w:t>
            </w:r>
            <w:r>
              <w:rPr>
                <w:spacing w:val="-5"/>
                <w:sz w:val="20"/>
              </w:rPr>
              <w:t> </w:t>
            </w:r>
            <w:r>
              <w:rPr>
                <w:sz w:val="20"/>
              </w:rPr>
              <w:t>L74.0,</w:t>
            </w:r>
            <w:r>
              <w:rPr>
                <w:spacing w:val="-4"/>
                <w:sz w:val="20"/>
              </w:rPr>
              <w:t> </w:t>
            </w:r>
            <w:r>
              <w:rPr>
                <w:sz w:val="20"/>
              </w:rPr>
              <w:t>L74.2,</w:t>
            </w:r>
            <w:r>
              <w:rPr>
                <w:spacing w:val="-4"/>
                <w:sz w:val="20"/>
              </w:rPr>
              <w:t> </w:t>
            </w:r>
            <w:r>
              <w:rPr>
                <w:sz w:val="20"/>
              </w:rPr>
              <w:t>L74.3,</w:t>
            </w:r>
            <w:r>
              <w:rPr>
                <w:spacing w:val="-5"/>
                <w:sz w:val="20"/>
              </w:rPr>
              <w:t> </w:t>
            </w:r>
            <w:r>
              <w:rPr>
                <w:spacing w:val="-2"/>
                <w:sz w:val="20"/>
              </w:rPr>
              <w:t>L74.9,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39" w:right="909"/>
              <w:jc w:val="center"/>
              <w:rPr>
                <w:sz w:val="20"/>
              </w:rPr>
            </w:pPr>
            <w:r>
              <w:rPr>
                <w:sz w:val="20"/>
              </w:rPr>
              <w:t>L75.2,</w:t>
            </w:r>
            <w:r>
              <w:rPr>
                <w:spacing w:val="-6"/>
                <w:sz w:val="20"/>
              </w:rPr>
              <w:t> </w:t>
            </w:r>
            <w:r>
              <w:rPr>
                <w:sz w:val="20"/>
              </w:rPr>
              <w:t>L75.9,</w:t>
            </w:r>
            <w:r>
              <w:rPr>
                <w:spacing w:val="-5"/>
                <w:sz w:val="20"/>
              </w:rPr>
              <w:t> </w:t>
            </w:r>
            <w:r>
              <w:rPr>
                <w:sz w:val="20"/>
              </w:rPr>
              <w:t>L80,</w:t>
            </w:r>
            <w:r>
              <w:rPr>
                <w:spacing w:val="-5"/>
                <w:sz w:val="20"/>
              </w:rPr>
              <w:t> </w:t>
            </w:r>
            <w:r>
              <w:rPr>
                <w:sz w:val="20"/>
              </w:rPr>
              <w:t>L81.3,</w:t>
            </w:r>
            <w:r>
              <w:rPr>
                <w:spacing w:val="-5"/>
                <w:sz w:val="20"/>
              </w:rPr>
              <w:t> </w:t>
            </w:r>
            <w:r>
              <w:rPr>
                <w:sz w:val="20"/>
              </w:rPr>
              <w:t>L81.5,</w:t>
            </w:r>
            <w:r>
              <w:rPr>
                <w:spacing w:val="-5"/>
                <w:sz w:val="20"/>
              </w:rPr>
              <w:t> </w:t>
            </w:r>
            <w:r>
              <w:rPr>
                <w:sz w:val="20"/>
              </w:rPr>
              <w:t>L81.7,</w:t>
            </w:r>
            <w:r>
              <w:rPr>
                <w:spacing w:val="-5"/>
                <w:sz w:val="20"/>
              </w:rPr>
              <w:t> </w:t>
            </w:r>
            <w:r>
              <w:rPr>
                <w:spacing w:val="-4"/>
                <w:sz w:val="20"/>
              </w:rPr>
              <w:t>L83,</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1" w:right="909"/>
              <w:jc w:val="center"/>
              <w:rPr>
                <w:sz w:val="20"/>
              </w:rPr>
            </w:pPr>
            <w:r>
              <w:rPr>
                <w:sz w:val="20"/>
              </w:rPr>
              <w:t>L85.0,</w:t>
            </w:r>
            <w:r>
              <w:rPr>
                <w:spacing w:val="-5"/>
                <w:sz w:val="20"/>
              </w:rPr>
              <w:t> </w:t>
            </w:r>
            <w:r>
              <w:rPr>
                <w:sz w:val="20"/>
              </w:rPr>
              <w:t>L85.1,</w:t>
            </w:r>
            <w:r>
              <w:rPr>
                <w:spacing w:val="-5"/>
                <w:sz w:val="20"/>
              </w:rPr>
              <w:t> </w:t>
            </w:r>
            <w:r>
              <w:rPr>
                <w:sz w:val="20"/>
              </w:rPr>
              <w:t>L85.2,</w:t>
            </w:r>
            <w:r>
              <w:rPr>
                <w:spacing w:val="-4"/>
                <w:sz w:val="20"/>
              </w:rPr>
              <w:t> </w:t>
            </w:r>
            <w:r>
              <w:rPr>
                <w:sz w:val="20"/>
              </w:rPr>
              <w:t>L85.3,</w:t>
            </w:r>
            <w:r>
              <w:rPr>
                <w:spacing w:val="-5"/>
                <w:sz w:val="20"/>
              </w:rPr>
              <w:t> </w:t>
            </w:r>
            <w:r>
              <w:rPr>
                <w:sz w:val="20"/>
              </w:rPr>
              <w:t>L86,</w:t>
            </w:r>
            <w:r>
              <w:rPr>
                <w:spacing w:val="-5"/>
                <w:sz w:val="20"/>
              </w:rPr>
              <w:t> </w:t>
            </w:r>
            <w:r>
              <w:rPr>
                <w:sz w:val="20"/>
              </w:rPr>
              <w:t>L87.0,</w:t>
            </w:r>
            <w:r>
              <w:rPr>
                <w:spacing w:val="-6"/>
                <w:sz w:val="20"/>
              </w:rPr>
              <w:t> </w:t>
            </w:r>
            <w:r>
              <w:rPr>
                <w:spacing w:val="-2"/>
                <w:sz w:val="20"/>
              </w:rPr>
              <w:t>L87.1,</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1" w:right="909"/>
              <w:jc w:val="center"/>
              <w:rPr>
                <w:sz w:val="20"/>
              </w:rPr>
            </w:pPr>
            <w:r>
              <w:rPr>
                <w:sz w:val="20"/>
              </w:rPr>
              <w:t>L87.2,</w:t>
            </w:r>
            <w:r>
              <w:rPr>
                <w:spacing w:val="-6"/>
                <w:sz w:val="20"/>
              </w:rPr>
              <w:t> </w:t>
            </w:r>
            <w:r>
              <w:rPr>
                <w:sz w:val="20"/>
              </w:rPr>
              <w:t>L87.9,</w:t>
            </w:r>
            <w:r>
              <w:rPr>
                <w:spacing w:val="-5"/>
                <w:sz w:val="20"/>
              </w:rPr>
              <w:t> </w:t>
            </w:r>
            <w:r>
              <w:rPr>
                <w:sz w:val="20"/>
              </w:rPr>
              <w:t>L88,</w:t>
            </w:r>
            <w:r>
              <w:rPr>
                <w:spacing w:val="-5"/>
                <w:sz w:val="20"/>
              </w:rPr>
              <w:t> </w:t>
            </w:r>
            <w:r>
              <w:rPr>
                <w:sz w:val="20"/>
              </w:rPr>
              <w:t>L90.0,</w:t>
            </w:r>
            <w:r>
              <w:rPr>
                <w:spacing w:val="-5"/>
                <w:sz w:val="20"/>
              </w:rPr>
              <w:t> </w:t>
            </w:r>
            <w:r>
              <w:rPr>
                <w:sz w:val="20"/>
              </w:rPr>
              <w:t>L90.1,</w:t>
            </w:r>
            <w:r>
              <w:rPr>
                <w:spacing w:val="-5"/>
                <w:sz w:val="20"/>
              </w:rPr>
              <w:t> </w:t>
            </w:r>
            <w:r>
              <w:rPr>
                <w:sz w:val="20"/>
              </w:rPr>
              <w:t>L90.2,</w:t>
            </w:r>
            <w:r>
              <w:rPr>
                <w:spacing w:val="-5"/>
                <w:sz w:val="20"/>
              </w:rPr>
              <w:t> </w:t>
            </w:r>
            <w:r>
              <w:rPr>
                <w:spacing w:val="-2"/>
                <w:sz w:val="20"/>
              </w:rPr>
              <w:t>L90.3,</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1" w:lineRule="exact"/>
              <w:ind w:left="143" w:right="909"/>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5" w:right="903"/>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09" w:lineRule="exact"/>
              <w:ind w:left="143" w:right="909"/>
              <w:jc w:val="center"/>
              <w:rPr>
                <w:sz w:val="20"/>
              </w:rPr>
            </w:pPr>
            <w:r>
              <w:rPr>
                <w:sz w:val="20"/>
              </w:rPr>
              <w:t>L93.2,</w:t>
            </w:r>
            <w:r>
              <w:rPr>
                <w:spacing w:val="-6"/>
                <w:sz w:val="20"/>
              </w:rPr>
              <w:t> </w:t>
            </w:r>
            <w:r>
              <w:rPr>
                <w:sz w:val="20"/>
              </w:rPr>
              <w:t>L94.0,</w:t>
            </w:r>
            <w:r>
              <w:rPr>
                <w:spacing w:val="-5"/>
                <w:sz w:val="20"/>
              </w:rPr>
              <w:t> </w:t>
            </w:r>
            <w:r>
              <w:rPr>
                <w:sz w:val="20"/>
              </w:rPr>
              <w:t>L94.1,</w:t>
            </w:r>
            <w:r>
              <w:rPr>
                <w:spacing w:val="-5"/>
                <w:sz w:val="20"/>
              </w:rPr>
              <w:t> </w:t>
            </w:r>
            <w:r>
              <w:rPr>
                <w:sz w:val="20"/>
              </w:rPr>
              <w:t>L94.5,</w:t>
            </w:r>
            <w:r>
              <w:rPr>
                <w:spacing w:val="-5"/>
                <w:sz w:val="20"/>
              </w:rPr>
              <w:t> </w:t>
            </w:r>
            <w:r>
              <w:rPr>
                <w:sz w:val="20"/>
              </w:rPr>
              <w:t>L94.6,</w:t>
            </w:r>
            <w:r>
              <w:rPr>
                <w:spacing w:val="-5"/>
                <w:sz w:val="20"/>
              </w:rPr>
              <w:t> </w:t>
            </w:r>
            <w:r>
              <w:rPr>
                <w:sz w:val="20"/>
              </w:rPr>
              <w:t>L94.8,</w:t>
            </w:r>
            <w:r>
              <w:rPr>
                <w:spacing w:val="-5"/>
                <w:sz w:val="20"/>
              </w:rPr>
              <w:t> </w:t>
            </w:r>
            <w:r>
              <w:rPr>
                <w:spacing w:val="-2"/>
                <w:sz w:val="20"/>
              </w:rPr>
              <w:t>L94.9,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3" w:right="909"/>
              <w:jc w:val="center"/>
              <w:rPr>
                <w:sz w:val="20"/>
              </w:rPr>
            </w:pPr>
            <w:r>
              <w:rPr>
                <w:sz w:val="20"/>
              </w:rPr>
              <w:t>L95.0,</w:t>
            </w:r>
            <w:r>
              <w:rPr>
                <w:spacing w:val="-6"/>
                <w:sz w:val="20"/>
              </w:rPr>
              <w:t> </w:t>
            </w:r>
            <w:r>
              <w:rPr>
                <w:sz w:val="20"/>
              </w:rPr>
              <w:t>L95.1,</w:t>
            </w:r>
            <w:r>
              <w:rPr>
                <w:spacing w:val="-5"/>
                <w:sz w:val="20"/>
              </w:rPr>
              <w:t> </w:t>
            </w:r>
            <w:r>
              <w:rPr>
                <w:sz w:val="20"/>
              </w:rPr>
              <w:t>L95.8,</w:t>
            </w:r>
            <w:r>
              <w:rPr>
                <w:spacing w:val="-5"/>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pacing w:val="-2"/>
                <w:sz w:val="20"/>
              </w:rPr>
              <w:t>L98.2,</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0" w:right="909"/>
              <w:jc w:val="center"/>
              <w:rPr>
                <w:sz w:val="20"/>
              </w:rPr>
            </w:pPr>
            <w:r>
              <w:rPr>
                <w:sz w:val="20"/>
              </w:rPr>
              <w:t>L98.3,</w:t>
            </w:r>
            <w:r>
              <w:rPr>
                <w:spacing w:val="-6"/>
                <w:sz w:val="20"/>
              </w:rPr>
              <w:t> </w:t>
            </w:r>
            <w:r>
              <w:rPr>
                <w:sz w:val="20"/>
              </w:rPr>
              <w:t>L98.5,</w:t>
            </w:r>
            <w:r>
              <w:rPr>
                <w:spacing w:val="-5"/>
                <w:sz w:val="20"/>
              </w:rPr>
              <w:t> </w:t>
            </w:r>
            <w:r>
              <w:rPr>
                <w:sz w:val="20"/>
              </w:rPr>
              <w:t>L98.6,</w:t>
            </w:r>
            <w:r>
              <w:rPr>
                <w:spacing w:val="-5"/>
                <w:sz w:val="20"/>
              </w:rPr>
              <w:t> </w:t>
            </w:r>
            <w:r>
              <w:rPr>
                <w:sz w:val="20"/>
              </w:rPr>
              <w:t>L98.8,</w:t>
            </w:r>
            <w:r>
              <w:rPr>
                <w:spacing w:val="-5"/>
                <w:sz w:val="20"/>
              </w:rPr>
              <w:t> </w:t>
            </w:r>
            <w:r>
              <w:rPr>
                <w:sz w:val="20"/>
              </w:rPr>
              <w:t>L98.9,</w:t>
            </w:r>
            <w:r>
              <w:rPr>
                <w:spacing w:val="-5"/>
                <w:sz w:val="20"/>
              </w:rPr>
              <w:t> </w:t>
            </w:r>
            <w:r>
              <w:rPr>
                <w:sz w:val="20"/>
              </w:rPr>
              <w:t>L99.0,</w:t>
            </w:r>
            <w:r>
              <w:rPr>
                <w:spacing w:val="-5"/>
                <w:sz w:val="20"/>
              </w:rPr>
              <w:t> </w:t>
            </w:r>
            <w:r>
              <w:rPr>
                <w:spacing w:val="-2"/>
                <w:sz w:val="20"/>
              </w:rPr>
              <w:t>Q80.0,</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3" w:right="909"/>
              <w:jc w:val="center"/>
              <w:rPr>
                <w:sz w:val="20"/>
              </w:rPr>
            </w:pPr>
            <w:r>
              <w:rPr>
                <w:sz w:val="20"/>
              </w:rPr>
              <w:t>Q80.1,</w:t>
            </w:r>
            <w:r>
              <w:rPr>
                <w:spacing w:val="-4"/>
                <w:sz w:val="20"/>
              </w:rPr>
              <w:t> </w:t>
            </w:r>
            <w:r>
              <w:rPr>
                <w:sz w:val="20"/>
              </w:rPr>
              <w:t>Q80.2,</w:t>
            </w:r>
            <w:r>
              <w:rPr>
                <w:spacing w:val="-6"/>
                <w:sz w:val="20"/>
              </w:rPr>
              <w:t> </w:t>
            </w:r>
            <w:r>
              <w:rPr>
                <w:sz w:val="20"/>
              </w:rPr>
              <w:t>Q80.3,</w:t>
            </w:r>
            <w:r>
              <w:rPr>
                <w:spacing w:val="-4"/>
                <w:sz w:val="20"/>
              </w:rPr>
              <w:t> </w:t>
            </w:r>
            <w:r>
              <w:rPr>
                <w:sz w:val="20"/>
              </w:rPr>
              <w:t>Q80.4,</w:t>
            </w:r>
            <w:r>
              <w:rPr>
                <w:spacing w:val="-6"/>
                <w:sz w:val="20"/>
              </w:rPr>
              <w:t> </w:t>
            </w:r>
            <w:r>
              <w:rPr>
                <w:sz w:val="20"/>
              </w:rPr>
              <w:t>Q80.8,</w:t>
            </w:r>
            <w:r>
              <w:rPr>
                <w:spacing w:val="-4"/>
                <w:sz w:val="20"/>
              </w:rPr>
              <w:t> </w:t>
            </w:r>
            <w:r>
              <w:rPr>
                <w:spacing w:val="-2"/>
                <w:sz w:val="20"/>
              </w:rPr>
              <w:t>Q80.9,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3" w:right="909"/>
              <w:jc w:val="center"/>
              <w:rPr>
                <w:sz w:val="20"/>
              </w:rPr>
            </w:pPr>
            <w:r>
              <w:rPr>
                <w:sz w:val="20"/>
              </w:rPr>
              <w:t>Q81.0,</w:t>
            </w:r>
            <w:r>
              <w:rPr>
                <w:spacing w:val="-4"/>
                <w:sz w:val="20"/>
              </w:rPr>
              <w:t> </w:t>
            </w:r>
            <w:r>
              <w:rPr>
                <w:sz w:val="20"/>
              </w:rPr>
              <w:t>Q81.1,</w:t>
            </w:r>
            <w:r>
              <w:rPr>
                <w:spacing w:val="-6"/>
                <w:sz w:val="20"/>
              </w:rPr>
              <w:t> </w:t>
            </w:r>
            <w:r>
              <w:rPr>
                <w:sz w:val="20"/>
              </w:rPr>
              <w:t>Q81.2,</w:t>
            </w:r>
            <w:r>
              <w:rPr>
                <w:spacing w:val="-4"/>
                <w:sz w:val="20"/>
              </w:rPr>
              <w:t> </w:t>
            </w:r>
            <w:r>
              <w:rPr>
                <w:sz w:val="20"/>
              </w:rPr>
              <w:t>Q81.8,</w:t>
            </w:r>
            <w:r>
              <w:rPr>
                <w:spacing w:val="-6"/>
                <w:sz w:val="20"/>
              </w:rPr>
              <w:t> </w:t>
            </w:r>
            <w:r>
              <w:rPr>
                <w:sz w:val="20"/>
              </w:rPr>
              <w:t>Q81.9,</w:t>
            </w:r>
            <w:r>
              <w:rPr>
                <w:spacing w:val="-4"/>
                <w:sz w:val="20"/>
              </w:rPr>
              <w:t> </w:t>
            </w:r>
            <w:r>
              <w:rPr>
                <w:spacing w:val="-2"/>
                <w:sz w:val="20"/>
              </w:rPr>
              <w:t>Q82.0,</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26" w:lineRule="exact"/>
              <w:ind w:left="145" w:right="909"/>
              <w:jc w:val="center"/>
              <w:rPr>
                <w:sz w:val="20"/>
              </w:rPr>
            </w:pPr>
            <w:r>
              <w:rPr>
                <w:sz w:val="20"/>
              </w:rPr>
              <w:t>Q82.1,</w:t>
            </w:r>
            <w:r>
              <w:rPr>
                <w:spacing w:val="-4"/>
                <w:sz w:val="20"/>
              </w:rPr>
              <w:t> </w:t>
            </w:r>
            <w:r>
              <w:rPr>
                <w:sz w:val="20"/>
              </w:rPr>
              <w:t>Q82.2,</w:t>
            </w:r>
            <w:r>
              <w:rPr>
                <w:spacing w:val="-6"/>
                <w:sz w:val="20"/>
              </w:rPr>
              <w:t> </w:t>
            </w:r>
            <w:r>
              <w:rPr>
                <w:sz w:val="20"/>
              </w:rPr>
              <w:t>Q82.9,</w:t>
            </w:r>
            <w:r>
              <w:rPr>
                <w:spacing w:val="-2"/>
                <w:sz w:val="20"/>
              </w:rPr>
              <w:t> </w:t>
            </w:r>
            <w:r>
              <w:rPr>
                <w:sz w:val="20"/>
              </w:rPr>
              <w:t>Q84.0,</w:t>
            </w:r>
            <w:r>
              <w:rPr>
                <w:spacing w:val="-5"/>
                <w:sz w:val="20"/>
              </w:rPr>
              <w:t> </w:t>
            </w:r>
            <w:r>
              <w:rPr>
                <w:sz w:val="20"/>
              </w:rPr>
              <w:t>Q84.3,</w:t>
            </w:r>
            <w:r>
              <w:rPr>
                <w:spacing w:val="-4"/>
                <w:sz w:val="20"/>
              </w:rPr>
              <w:t> </w:t>
            </w:r>
            <w:r>
              <w:rPr>
                <w:sz w:val="20"/>
              </w:rPr>
              <w:t>Q84.8,</w:t>
            </w:r>
            <w:r>
              <w:rPr>
                <w:spacing w:val="-6"/>
                <w:sz w:val="20"/>
              </w:rPr>
              <w:t> </w:t>
            </w:r>
            <w:r>
              <w:rPr>
                <w:spacing w:val="-4"/>
                <w:sz w:val="20"/>
              </w:rPr>
              <w:t>Q84.9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st06.005</w:t>
            </w:r>
          </w:p>
        </w:tc>
        <w:tc>
          <w:tcPr>
            <w:tcW w:w="657" w:type="dxa"/>
          </w:tcPr>
          <w:p>
            <w:pPr>
              <w:pStyle w:val="TableParagraph"/>
              <w:spacing w:line="215" w:lineRule="exact" w:before="45"/>
              <w:ind w:right="217"/>
              <w:jc w:val="right"/>
              <w:rPr>
                <w:sz w:val="20"/>
              </w:rPr>
            </w:pPr>
            <w:r>
              <w:rPr>
                <w:spacing w:val="-5"/>
                <w:sz w:val="20"/>
              </w:rPr>
              <w:t>30</w:t>
            </w:r>
          </w:p>
        </w:tc>
        <w:tc>
          <w:tcPr>
            <w:tcW w:w="2572" w:type="dxa"/>
          </w:tcPr>
          <w:p>
            <w:pPr>
              <w:pStyle w:val="TableParagraph"/>
              <w:spacing w:line="215" w:lineRule="exact" w:before="45"/>
              <w:ind w:left="217"/>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10" w:type="dxa"/>
          </w:tcPr>
          <w:p>
            <w:pPr>
              <w:pStyle w:val="TableParagraph"/>
              <w:spacing w:line="215" w:lineRule="exact" w:before="45"/>
              <w:ind w:left="141" w:right="909"/>
              <w:jc w:val="center"/>
              <w:rPr>
                <w:sz w:val="20"/>
              </w:rPr>
            </w:pPr>
            <w:r>
              <w:rPr>
                <w:sz w:val="20"/>
              </w:rPr>
              <w:t>L10.5,</w:t>
            </w:r>
            <w:r>
              <w:rPr>
                <w:spacing w:val="-6"/>
                <w:sz w:val="20"/>
              </w:rPr>
              <w:t> </w:t>
            </w:r>
            <w:r>
              <w:rPr>
                <w:sz w:val="20"/>
              </w:rPr>
              <w:t>L26,</w:t>
            </w:r>
            <w:r>
              <w:rPr>
                <w:spacing w:val="-5"/>
                <w:sz w:val="20"/>
              </w:rPr>
              <w:t> </w:t>
            </w:r>
            <w:r>
              <w:rPr>
                <w:sz w:val="20"/>
              </w:rPr>
              <w:t>L30.8,</w:t>
            </w:r>
            <w:r>
              <w:rPr>
                <w:spacing w:val="-5"/>
                <w:sz w:val="20"/>
              </w:rPr>
              <w:t> </w:t>
            </w:r>
            <w:r>
              <w:rPr>
                <w:sz w:val="20"/>
              </w:rPr>
              <w:t>L30.9,</w:t>
            </w:r>
            <w:r>
              <w:rPr>
                <w:spacing w:val="-5"/>
                <w:sz w:val="20"/>
              </w:rPr>
              <w:t> </w:t>
            </w:r>
            <w:r>
              <w:rPr>
                <w:sz w:val="20"/>
              </w:rPr>
              <w:t>L40.5,</w:t>
            </w:r>
            <w:r>
              <w:rPr>
                <w:spacing w:val="-5"/>
                <w:sz w:val="20"/>
              </w:rPr>
              <w:t> </w:t>
            </w:r>
            <w:r>
              <w:rPr>
                <w:sz w:val="20"/>
              </w:rPr>
              <w:t>L53.1,</w:t>
            </w:r>
            <w:r>
              <w:rPr>
                <w:spacing w:val="-5"/>
                <w:sz w:val="20"/>
              </w:rPr>
              <w:t> </w:t>
            </w:r>
            <w:r>
              <w:rPr>
                <w:spacing w:val="-2"/>
                <w:sz w:val="20"/>
              </w:rPr>
              <w:t>L53.3,</w:t>
            </w:r>
          </w:p>
        </w:tc>
        <w:tc>
          <w:tcPr>
            <w:tcW w:w="1957" w:type="dxa"/>
          </w:tcPr>
          <w:p>
            <w:pPr>
              <w:pStyle w:val="TableParagraph"/>
              <w:spacing w:line="215" w:lineRule="exact" w:before="45"/>
              <w:ind w:left="910"/>
              <w:rPr>
                <w:sz w:val="20"/>
              </w:rPr>
            </w:pPr>
            <w:r>
              <w:rPr>
                <w:w w:val="99"/>
                <w:sz w:val="20"/>
              </w:rPr>
              <w:t>-</w:t>
            </w:r>
          </w:p>
        </w:tc>
        <w:tc>
          <w:tcPr>
            <w:tcW w:w="3173" w:type="dxa"/>
          </w:tcPr>
          <w:p>
            <w:pPr>
              <w:pStyle w:val="TableParagraph"/>
              <w:spacing w:line="215" w:lineRule="exact" w:before="45"/>
              <w:ind w:left="966" w:right="433"/>
              <w:jc w:val="center"/>
              <w:rPr>
                <w:sz w:val="20"/>
              </w:rPr>
            </w:pPr>
            <w:r>
              <w:rPr>
                <w:spacing w:val="-4"/>
                <w:sz w:val="20"/>
              </w:rPr>
              <w:t>Иной</w:t>
            </w:r>
          </w:p>
        </w:tc>
        <w:tc>
          <w:tcPr>
            <w:tcW w:w="838" w:type="dxa"/>
          </w:tcPr>
          <w:p>
            <w:pPr>
              <w:pStyle w:val="TableParagraph"/>
              <w:spacing w:line="215" w:lineRule="exact" w:before="45"/>
              <w:ind w:right="52"/>
              <w:jc w:val="right"/>
              <w:rPr>
                <w:sz w:val="20"/>
              </w:rPr>
            </w:pPr>
            <w:r>
              <w:rPr>
                <w:spacing w:val="-4"/>
                <w:sz w:val="20"/>
              </w:rPr>
              <w:t>1,39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10" w:lineRule="exact"/>
              <w:ind w:left="217"/>
              <w:rPr>
                <w:sz w:val="20"/>
              </w:rPr>
            </w:pPr>
            <w:r>
              <w:rPr>
                <w:spacing w:val="-2"/>
                <w:sz w:val="20"/>
              </w:rPr>
              <w:t>применением</w:t>
            </w:r>
            <w:r>
              <w:rPr>
                <w:spacing w:val="8"/>
                <w:sz w:val="20"/>
              </w:rPr>
              <w:t> </w:t>
            </w:r>
            <w:r>
              <w:rPr>
                <w:spacing w:val="-2"/>
                <w:sz w:val="20"/>
              </w:rPr>
              <w:t>наружной</w:t>
            </w:r>
          </w:p>
        </w:tc>
        <w:tc>
          <w:tcPr>
            <w:tcW w:w="5110" w:type="dxa"/>
          </w:tcPr>
          <w:p>
            <w:pPr>
              <w:pStyle w:val="TableParagraph"/>
              <w:spacing w:line="210" w:lineRule="exact"/>
              <w:ind w:left="143" w:right="909"/>
              <w:jc w:val="center"/>
              <w:rPr>
                <w:sz w:val="20"/>
              </w:rPr>
            </w:pPr>
            <w:r>
              <w:rPr>
                <w:sz w:val="20"/>
              </w:rPr>
              <w:t>L53.8,</w:t>
            </w:r>
            <w:r>
              <w:rPr>
                <w:spacing w:val="-6"/>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pacing w:val="-2"/>
                <w:sz w:val="20"/>
              </w:rPr>
              <w:t>L91.9,</w:t>
            </w:r>
          </w:p>
        </w:tc>
        <w:tc>
          <w:tcPr>
            <w:tcW w:w="1957" w:type="dxa"/>
          </w:tcPr>
          <w:p>
            <w:pPr>
              <w:pStyle w:val="TableParagraph"/>
              <w:rPr>
                <w:sz w:val="16"/>
              </w:rPr>
            </w:pPr>
          </w:p>
        </w:tc>
        <w:tc>
          <w:tcPr>
            <w:tcW w:w="3173" w:type="dxa"/>
          </w:tcPr>
          <w:p>
            <w:pPr>
              <w:pStyle w:val="TableParagraph"/>
              <w:spacing w:line="210" w:lineRule="exact"/>
              <w:ind w:left="967" w:right="433"/>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10" w:lineRule="exact"/>
              <w:ind w:left="217"/>
              <w:rPr>
                <w:sz w:val="20"/>
              </w:rPr>
            </w:pPr>
            <w:r>
              <w:rPr>
                <w:sz w:val="20"/>
              </w:rPr>
              <w:t>терапии,</w:t>
            </w:r>
            <w:r>
              <w:rPr>
                <w:spacing w:val="-10"/>
                <w:sz w:val="20"/>
              </w:rPr>
              <w:t> </w:t>
            </w:r>
            <w:r>
              <w:rPr>
                <w:spacing w:val="-2"/>
                <w:sz w:val="20"/>
              </w:rPr>
              <w:t>физиотерапии,</w:t>
            </w:r>
          </w:p>
        </w:tc>
        <w:tc>
          <w:tcPr>
            <w:tcW w:w="5110" w:type="dxa"/>
          </w:tcPr>
          <w:p>
            <w:pPr>
              <w:pStyle w:val="TableParagraph"/>
              <w:spacing w:line="210" w:lineRule="exact"/>
              <w:ind w:left="145" w:right="906"/>
              <w:jc w:val="center"/>
              <w:rPr>
                <w:sz w:val="20"/>
              </w:rPr>
            </w:pPr>
            <w:r>
              <w:rPr>
                <w:sz w:val="20"/>
              </w:rPr>
              <w:t>L92.0,</w:t>
            </w:r>
            <w:r>
              <w:rPr>
                <w:spacing w:val="-5"/>
                <w:sz w:val="20"/>
              </w:rPr>
              <w:t> </w:t>
            </w:r>
            <w:r>
              <w:rPr>
                <w:sz w:val="20"/>
              </w:rPr>
              <w:t>L92.1,</w:t>
            </w:r>
            <w:r>
              <w:rPr>
                <w:spacing w:val="-4"/>
                <w:sz w:val="20"/>
              </w:rPr>
              <w:t> </w:t>
            </w:r>
            <w:r>
              <w:rPr>
                <w:sz w:val="20"/>
              </w:rPr>
              <w:t>L94.0,</w:t>
            </w:r>
            <w:r>
              <w:rPr>
                <w:spacing w:val="-4"/>
                <w:sz w:val="20"/>
              </w:rPr>
              <w:t> </w:t>
            </w:r>
            <w:r>
              <w:rPr>
                <w:sz w:val="20"/>
              </w:rPr>
              <w:t>L94.1,</w:t>
            </w:r>
            <w:r>
              <w:rPr>
                <w:spacing w:val="-4"/>
                <w:sz w:val="20"/>
              </w:rPr>
              <w:t> </w:t>
            </w:r>
            <w:r>
              <w:rPr>
                <w:sz w:val="20"/>
              </w:rPr>
              <w:t>L94.5,</w:t>
            </w:r>
            <w:r>
              <w:rPr>
                <w:spacing w:val="-4"/>
                <w:sz w:val="20"/>
              </w:rPr>
              <w:t> </w:t>
            </w:r>
            <w:r>
              <w:rPr>
                <w:sz w:val="20"/>
              </w:rPr>
              <w:t>L94.8,</w:t>
            </w:r>
            <w:r>
              <w:rPr>
                <w:spacing w:val="-4"/>
                <w:sz w:val="20"/>
              </w:rPr>
              <w:t> </w:t>
            </w:r>
            <w:r>
              <w:rPr>
                <w:spacing w:val="-2"/>
                <w:sz w:val="20"/>
              </w:rPr>
              <w:t>L94.9,</w:t>
            </w:r>
          </w:p>
        </w:tc>
        <w:tc>
          <w:tcPr>
            <w:tcW w:w="1957" w:type="dxa"/>
          </w:tcPr>
          <w:p>
            <w:pPr>
              <w:pStyle w:val="TableParagraph"/>
              <w:rPr>
                <w:sz w:val="16"/>
              </w:rPr>
            </w:pPr>
          </w:p>
        </w:tc>
        <w:tc>
          <w:tcPr>
            <w:tcW w:w="3173" w:type="dxa"/>
          </w:tcPr>
          <w:p>
            <w:pPr>
              <w:pStyle w:val="TableParagraph"/>
              <w:spacing w:line="210" w:lineRule="exact"/>
              <w:ind w:left="961" w:right="433"/>
              <w:jc w:val="center"/>
              <w:rPr>
                <w:sz w:val="20"/>
              </w:rPr>
            </w:pPr>
            <w:r>
              <w:rPr>
                <w:sz w:val="20"/>
              </w:rPr>
              <w:t>критерий:</w:t>
            </w:r>
            <w:r>
              <w:rPr>
                <w:spacing w:val="-13"/>
                <w:sz w:val="20"/>
              </w:rPr>
              <w:t> </w:t>
            </w:r>
            <w:r>
              <w:rPr>
                <w:spacing w:val="-2"/>
                <w:sz w:val="20"/>
              </w:rPr>
              <w:t>derm1</w:t>
            </w: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72" w:type="dxa"/>
          </w:tcPr>
          <w:p>
            <w:pPr>
              <w:pStyle w:val="TableParagraph"/>
              <w:spacing w:line="226" w:lineRule="exact"/>
              <w:ind w:left="217"/>
              <w:rPr>
                <w:sz w:val="20"/>
              </w:rPr>
            </w:pPr>
            <w:r>
              <w:rPr>
                <w:spacing w:val="-2"/>
                <w:sz w:val="20"/>
              </w:rPr>
              <w:t>плазмафереза</w:t>
            </w:r>
          </w:p>
        </w:tc>
        <w:tc>
          <w:tcPr>
            <w:tcW w:w="5110" w:type="dxa"/>
          </w:tcPr>
          <w:p>
            <w:pPr>
              <w:pStyle w:val="TableParagraph"/>
              <w:spacing w:line="226" w:lineRule="exact"/>
              <w:ind w:left="144" w:right="909"/>
              <w:jc w:val="center"/>
              <w:rPr>
                <w:sz w:val="20"/>
              </w:rPr>
            </w:pPr>
            <w:r>
              <w:rPr>
                <w:sz w:val="20"/>
              </w:rPr>
              <w:t>L95.0,</w:t>
            </w:r>
            <w:r>
              <w:rPr>
                <w:spacing w:val="-6"/>
                <w:sz w:val="20"/>
              </w:rPr>
              <w:t> </w:t>
            </w:r>
            <w:r>
              <w:rPr>
                <w:sz w:val="20"/>
              </w:rPr>
              <w:t>L98.1,</w:t>
            </w:r>
            <w:r>
              <w:rPr>
                <w:spacing w:val="-5"/>
                <w:sz w:val="20"/>
              </w:rPr>
              <w:t> </w:t>
            </w:r>
            <w:r>
              <w:rPr>
                <w:sz w:val="20"/>
              </w:rPr>
              <w:t>L98.5,</w:t>
            </w:r>
            <w:r>
              <w:rPr>
                <w:spacing w:val="-5"/>
                <w:sz w:val="20"/>
              </w:rPr>
              <w:t> </w:t>
            </w:r>
            <w:r>
              <w:rPr>
                <w:sz w:val="20"/>
              </w:rPr>
              <w:t>Q81.0,</w:t>
            </w:r>
            <w:r>
              <w:rPr>
                <w:spacing w:val="-5"/>
                <w:sz w:val="20"/>
              </w:rPr>
              <w:t> </w:t>
            </w:r>
            <w:r>
              <w:rPr>
                <w:sz w:val="20"/>
              </w:rPr>
              <w:t>Q81.1,</w:t>
            </w:r>
            <w:r>
              <w:rPr>
                <w:spacing w:val="-5"/>
                <w:sz w:val="20"/>
              </w:rPr>
              <w:t> </w:t>
            </w:r>
            <w:r>
              <w:rPr>
                <w:spacing w:val="-4"/>
                <w:sz w:val="20"/>
              </w:rPr>
              <w:t>Q81.2</w:t>
            </w:r>
          </w:p>
        </w:tc>
        <w:tc>
          <w:tcPr>
            <w:tcW w:w="1957" w:type="dxa"/>
          </w:tcPr>
          <w:p>
            <w:pPr>
              <w:pStyle w:val="TableParagraph"/>
              <w:rPr>
                <w:sz w:val="18"/>
              </w:rPr>
            </w:pPr>
          </w:p>
        </w:tc>
        <w:tc>
          <w:tcPr>
            <w:tcW w:w="3173"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st06.006</w:t>
            </w:r>
          </w:p>
        </w:tc>
        <w:tc>
          <w:tcPr>
            <w:tcW w:w="657" w:type="dxa"/>
          </w:tcPr>
          <w:p>
            <w:pPr>
              <w:pStyle w:val="TableParagraph"/>
              <w:spacing w:line="215" w:lineRule="exact" w:before="45"/>
              <w:ind w:right="217"/>
              <w:jc w:val="right"/>
              <w:rPr>
                <w:sz w:val="20"/>
              </w:rPr>
            </w:pPr>
            <w:r>
              <w:rPr>
                <w:spacing w:val="-5"/>
                <w:sz w:val="20"/>
              </w:rPr>
              <w:t>31</w:t>
            </w:r>
          </w:p>
        </w:tc>
        <w:tc>
          <w:tcPr>
            <w:tcW w:w="2572" w:type="dxa"/>
          </w:tcPr>
          <w:p>
            <w:pPr>
              <w:pStyle w:val="TableParagraph"/>
              <w:spacing w:line="215" w:lineRule="exact" w:before="45"/>
              <w:ind w:left="217"/>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10" w:type="dxa"/>
          </w:tcPr>
          <w:p>
            <w:pPr>
              <w:pStyle w:val="TableParagraph"/>
              <w:spacing w:line="215" w:lineRule="exact" w:before="45"/>
              <w:ind w:left="142" w:right="909"/>
              <w:jc w:val="center"/>
              <w:rPr>
                <w:sz w:val="20"/>
              </w:rPr>
            </w:pPr>
            <w:r>
              <w:rPr>
                <w:sz w:val="20"/>
              </w:rPr>
              <w:t>A26.0,</w:t>
            </w:r>
            <w:r>
              <w:rPr>
                <w:spacing w:val="-5"/>
                <w:sz w:val="20"/>
              </w:rPr>
              <w:t> </w:t>
            </w:r>
            <w:r>
              <w:rPr>
                <w:sz w:val="20"/>
              </w:rPr>
              <w:t>A26.8,</w:t>
            </w:r>
            <w:r>
              <w:rPr>
                <w:spacing w:val="-5"/>
                <w:sz w:val="20"/>
              </w:rPr>
              <w:t> </w:t>
            </w:r>
            <w:r>
              <w:rPr>
                <w:sz w:val="20"/>
              </w:rPr>
              <w:t>B35.0,</w:t>
            </w:r>
            <w:r>
              <w:rPr>
                <w:spacing w:val="-7"/>
                <w:sz w:val="20"/>
              </w:rPr>
              <w:t> </w:t>
            </w:r>
            <w:r>
              <w:rPr>
                <w:sz w:val="20"/>
              </w:rPr>
              <w:t>В35.2,</w:t>
            </w:r>
            <w:r>
              <w:rPr>
                <w:spacing w:val="-7"/>
                <w:sz w:val="20"/>
              </w:rPr>
              <w:t> </w:t>
            </w:r>
            <w:r>
              <w:rPr>
                <w:sz w:val="20"/>
              </w:rPr>
              <w:t>B35.3,</w:t>
            </w:r>
            <w:r>
              <w:rPr>
                <w:spacing w:val="-5"/>
                <w:sz w:val="20"/>
              </w:rPr>
              <w:t> </w:t>
            </w:r>
            <w:r>
              <w:rPr>
                <w:sz w:val="20"/>
              </w:rPr>
              <w:t>B35.4,</w:t>
            </w:r>
            <w:r>
              <w:rPr>
                <w:spacing w:val="-5"/>
                <w:sz w:val="20"/>
              </w:rPr>
              <w:t> </w:t>
            </w:r>
            <w:r>
              <w:rPr>
                <w:spacing w:val="-2"/>
                <w:sz w:val="20"/>
              </w:rPr>
              <w:t>B35.8,</w:t>
            </w:r>
          </w:p>
        </w:tc>
        <w:tc>
          <w:tcPr>
            <w:tcW w:w="1957" w:type="dxa"/>
          </w:tcPr>
          <w:p>
            <w:pPr>
              <w:pStyle w:val="TableParagraph"/>
              <w:spacing w:line="215" w:lineRule="exact" w:before="45"/>
              <w:ind w:left="910"/>
              <w:rPr>
                <w:sz w:val="20"/>
              </w:rPr>
            </w:pPr>
            <w:r>
              <w:rPr>
                <w:w w:val="99"/>
                <w:sz w:val="20"/>
              </w:rPr>
              <w:t>-</w:t>
            </w:r>
          </w:p>
        </w:tc>
        <w:tc>
          <w:tcPr>
            <w:tcW w:w="3173" w:type="dxa"/>
          </w:tcPr>
          <w:p>
            <w:pPr>
              <w:pStyle w:val="TableParagraph"/>
              <w:spacing w:line="215" w:lineRule="exact" w:before="45"/>
              <w:ind w:left="966" w:right="433"/>
              <w:jc w:val="center"/>
              <w:rPr>
                <w:sz w:val="20"/>
              </w:rPr>
            </w:pPr>
            <w:r>
              <w:rPr>
                <w:spacing w:val="-4"/>
                <w:sz w:val="20"/>
              </w:rPr>
              <w:t>Иной</w:t>
            </w:r>
          </w:p>
        </w:tc>
        <w:tc>
          <w:tcPr>
            <w:tcW w:w="838" w:type="dxa"/>
          </w:tcPr>
          <w:p>
            <w:pPr>
              <w:pStyle w:val="TableParagraph"/>
              <w:spacing w:line="215" w:lineRule="exact" w:before="45"/>
              <w:ind w:right="52"/>
              <w:jc w:val="right"/>
              <w:rPr>
                <w:sz w:val="20"/>
              </w:rPr>
            </w:pPr>
            <w:r>
              <w:rPr>
                <w:spacing w:val="-4"/>
                <w:sz w:val="20"/>
              </w:rPr>
              <w:t>2,10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10" w:lineRule="exact"/>
              <w:ind w:left="217"/>
              <w:rPr>
                <w:sz w:val="20"/>
              </w:rPr>
            </w:pPr>
            <w:r>
              <w:rPr>
                <w:sz w:val="20"/>
              </w:rPr>
              <w:t>применением</w:t>
            </w:r>
            <w:r>
              <w:rPr>
                <w:spacing w:val="-12"/>
                <w:sz w:val="20"/>
              </w:rPr>
              <w:t> </w:t>
            </w:r>
            <w:r>
              <w:rPr>
                <w:sz w:val="20"/>
              </w:rPr>
              <w:t>наружной</w:t>
            </w:r>
            <w:r>
              <w:rPr>
                <w:spacing w:val="-13"/>
                <w:sz w:val="20"/>
              </w:rPr>
              <w:t> </w:t>
            </w:r>
            <w:r>
              <w:rPr>
                <w:spacing w:val="-10"/>
                <w:sz w:val="20"/>
              </w:rPr>
              <w:t>и</w:t>
            </w:r>
          </w:p>
        </w:tc>
        <w:tc>
          <w:tcPr>
            <w:tcW w:w="5110" w:type="dxa"/>
          </w:tcPr>
          <w:p>
            <w:pPr>
              <w:pStyle w:val="TableParagraph"/>
              <w:spacing w:line="210" w:lineRule="exact"/>
              <w:ind w:left="143" w:right="909"/>
              <w:jc w:val="center"/>
              <w:rPr>
                <w:sz w:val="20"/>
              </w:rPr>
            </w:pPr>
            <w:r>
              <w:rPr>
                <w:sz w:val="20"/>
              </w:rPr>
              <w:t>B35.9,</w:t>
            </w:r>
            <w:r>
              <w:rPr>
                <w:spacing w:val="-4"/>
                <w:sz w:val="20"/>
              </w:rPr>
              <w:t> </w:t>
            </w:r>
            <w:r>
              <w:rPr>
                <w:sz w:val="20"/>
              </w:rPr>
              <w:t>B36,</w:t>
            </w:r>
            <w:r>
              <w:rPr>
                <w:spacing w:val="-5"/>
                <w:sz w:val="20"/>
              </w:rPr>
              <w:t> </w:t>
            </w:r>
            <w:r>
              <w:rPr>
                <w:sz w:val="20"/>
              </w:rPr>
              <w:t>B36.8,</w:t>
            </w:r>
            <w:r>
              <w:rPr>
                <w:spacing w:val="-4"/>
                <w:sz w:val="20"/>
              </w:rPr>
              <w:t> </w:t>
            </w:r>
            <w:r>
              <w:rPr>
                <w:sz w:val="20"/>
              </w:rPr>
              <w:t>L00,</w:t>
            </w:r>
            <w:r>
              <w:rPr>
                <w:spacing w:val="-3"/>
                <w:sz w:val="20"/>
              </w:rPr>
              <w:t> </w:t>
            </w:r>
            <w:r>
              <w:rPr>
                <w:sz w:val="20"/>
              </w:rPr>
              <w:t>L01.0,</w:t>
            </w:r>
            <w:r>
              <w:rPr>
                <w:spacing w:val="-4"/>
                <w:sz w:val="20"/>
              </w:rPr>
              <w:t> </w:t>
            </w:r>
            <w:r>
              <w:rPr>
                <w:sz w:val="20"/>
              </w:rPr>
              <w:t>L01.1,</w:t>
            </w:r>
            <w:r>
              <w:rPr>
                <w:spacing w:val="-3"/>
                <w:sz w:val="20"/>
              </w:rPr>
              <w:t> </w:t>
            </w:r>
            <w:r>
              <w:rPr>
                <w:spacing w:val="-2"/>
                <w:sz w:val="20"/>
              </w:rPr>
              <w:t>L08.0,</w:t>
            </w:r>
          </w:p>
        </w:tc>
        <w:tc>
          <w:tcPr>
            <w:tcW w:w="1957" w:type="dxa"/>
          </w:tcPr>
          <w:p>
            <w:pPr>
              <w:pStyle w:val="TableParagraph"/>
              <w:rPr>
                <w:sz w:val="16"/>
              </w:rPr>
            </w:pPr>
          </w:p>
        </w:tc>
        <w:tc>
          <w:tcPr>
            <w:tcW w:w="3173" w:type="dxa"/>
          </w:tcPr>
          <w:p>
            <w:pPr>
              <w:pStyle w:val="TableParagraph"/>
              <w:spacing w:line="210" w:lineRule="exact"/>
              <w:ind w:left="967" w:right="433"/>
              <w:jc w:val="center"/>
              <w:rPr>
                <w:sz w:val="20"/>
              </w:rPr>
            </w:pPr>
            <w:r>
              <w:rPr>
                <w:spacing w:val="-2"/>
                <w:sz w:val="20"/>
              </w:rPr>
              <w:t>классификационный</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09" w:lineRule="exact"/>
              <w:ind w:left="217"/>
              <w:rPr>
                <w:sz w:val="20"/>
              </w:rPr>
            </w:pPr>
            <w:r>
              <w:rPr>
                <w:sz w:val="20"/>
              </w:rPr>
              <w:t>системной</w:t>
            </w:r>
            <w:r>
              <w:rPr>
                <w:spacing w:val="-10"/>
                <w:sz w:val="20"/>
              </w:rPr>
              <w:t> </w:t>
            </w:r>
            <w:r>
              <w:rPr>
                <w:spacing w:val="-2"/>
                <w:sz w:val="20"/>
              </w:rPr>
              <w:t>терапии</w:t>
            </w:r>
          </w:p>
        </w:tc>
        <w:tc>
          <w:tcPr>
            <w:tcW w:w="5110" w:type="dxa"/>
          </w:tcPr>
          <w:p>
            <w:pPr>
              <w:pStyle w:val="TableParagraph"/>
              <w:spacing w:line="209" w:lineRule="exact"/>
              <w:ind w:left="143" w:right="909"/>
              <w:jc w:val="center"/>
              <w:rPr>
                <w:sz w:val="20"/>
              </w:rPr>
            </w:pPr>
            <w:r>
              <w:rPr>
                <w:sz w:val="20"/>
              </w:rPr>
              <w:t>L08.1,</w:t>
            </w:r>
            <w:r>
              <w:rPr>
                <w:spacing w:val="-6"/>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1957" w:type="dxa"/>
          </w:tcPr>
          <w:p>
            <w:pPr>
              <w:pStyle w:val="TableParagraph"/>
              <w:rPr>
                <w:sz w:val="16"/>
              </w:rPr>
            </w:pPr>
          </w:p>
        </w:tc>
        <w:tc>
          <w:tcPr>
            <w:tcW w:w="3173" w:type="dxa"/>
          </w:tcPr>
          <w:p>
            <w:pPr>
              <w:pStyle w:val="TableParagraph"/>
              <w:spacing w:line="209" w:lineRule="exact"/>
              <w:ind w:left="961" w:right="433"/>
              <w:jc w:val="center"/>
              <w:rPr>
                <w:sz w:val="20"/>
              </w:rPr>
            </w:pPr>
            <w:r>
              <w:rPr>
                <w:sz w:val="20"/>
              </w:rPr>
              <w:t>критерий:</w:t>
            </w:r>
            <w:r>
              <w:rPr>
                <w:spacing w:val="-13"/>
                <w:sz w:val="20"/>
              </w:rPr>
              <w:t> </w:t>
            </w:r>
            <w:r>
              <w:rPr>
                <w:spacing w:val="-2"/>
                <w:sz w:val="20"/>
              </w:rPr>
              <w:t>derm2</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L11.9,</w:t>
            </w:r>
            <w:r>
              <w:rPr>
                <w:spacing w:val="-6"/>
                <w:sz w:val="20"/>
              </w:rPr>
              <w:t> </w:t>
            </w:r>
            <w:r>
              <w:rPr>
                <w:sz w:val="20"/>
              </w:rPr>
              <w:t>L12.0,</w:t>
            </w:r>
            <w:r>
              <w:rPr>
                <w:spacing w:val="-5"/>
                <w:sz w:val="20"/>
              </w:rPr>
              <w:t> </w:t>
            </w:r>
            <w:r>
              <w:rPr>
                <w:sz w:val="20"/>
              </w:rPr>
              <w:t>L12.1,</w:t>
            </w:r>
            <w:r>
              <w:rPr>
                <w:spacing w:val="-5"/>
                <w:sz w:val="20"/>
              </w:rPr>
              <w:t> </w:t>
            </w:r>
            <w:r>
              <w:rPr>
                <w:sz w:val="20"/>
              </w:rPr>
              <w:t>L12.2,</w:t>
            </w:r>
            <w:r>
              <w:rPr>
                <w:spacing w:val="-5"/>
                <w:sz w:val="20"/>
              </w:rPr>
              <w:t> </w:t>
            </w:r>
            <w:r>
              <w:rPr>
                <w:sz w:val="20"/>
              </w:rPr>
              <w:t>L12.3,</w:t>
            </w:r>
            <w:r>
              <w:rPr>
                <w:spacing w:val="-5"/>
                <w:sz w:val="20"/>
              </w:rPr>
              <w:t> </w:t>
            </w:r>
            <w:r>
              <w:rPr>
                <w:sz w:val="20"/>
              </w:rPr>
              <w:t>L12.8,</w:t>
            </w:r>
            <w:r>
              <w:rPr>
                <w:spacing w:val="-5"/>
                <w:sz w:val="20"/>
              </w:rPr>
              <w:t> </w:t>
            </w:r>
            <w:r>
              <w:rPr>
                <w:spacing w:val="-2"/>
                <w:sz w:val="20"/>
              </w:rPr>
              <w:t>L12.9,</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1" w:right="909"/>
              <w:jc w:val="center"/>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L20.8,</w:t>
            </w:r>
            <w:r>
              <w:rPr>
                <w:spacing w:val="-6"/>
                <w:sz w:val="20"/>
              </w:rPr>
              <w:t> </w:t>
            </w:r>
            <w:r>
              <w:rPr>
                <w:spacing w:val="-2"/>
                <w:sz w:val="20"/>
              </w:rPr>
              <w:t>L20.9,</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5" w:right="903"/>
              <w:jc w:val="center"/>
              <w:rPr>
                <w:sz w:val="20"/>
              </w:rPr>
            </w:pPr>
            <w:r>
              <w:rPr>
                <w:sz w:val="20"/>
              </w:rPr>
              <w:t>L21.8,</w:t>
            </w:r>
            <w:r>
              <w:rPr>
                <w:spacing w:val="-6"/>
                <w:sz w:val="20"/>
              </w:rPr>
              <w:t> </w:t>
            </w:r>
            <w:r>
              <w:rPr>
                <w:sz w:val="20"/>
              </w:rPr>
              <w:t>L21.9,</w:t>
            </w:r>
            <w:r>
              <w:rPr>
                <w:spacing w:val="-5"/>
                <w:sz w:val="20"/>
              </w:rPr>
              <w:t> </w:t>
            </w:r>
            <w:r>
              <w:rPr>
                <w:sz w:val="20"/>
              </w:rPr>
              <w:t>L23.0,</w:t>
            </w:r>
            <w:r>
              <w:rPr>
                <w:spacing w:val="-5"/>
                <w:sz w:val="20"/>
              </w:rPr>
              <w:t> </w:t>
            </w:r>
            <w:r>
              <w:rPr>
                <w:sz w:val="20"/>
              </w:rPr>
              <w:t>L23.1,</w:t>
            </w:r>
            <w:r>
              <w:rPr>
                <w:spacing w:val="-5"/>
                <w:sz w:val="20"/>
              </w:rPr>
              <w:t> </w:t>
            </w:r>
            <w:r>
              <w:rPr>
                <w:sz w:val="20"/>
              </w:rPr>
              <w:t>L23.2,</w:t>
            </w:r>
            <w:r>
              <w:rPr>
                <w:spacing w:val="-5"/>
                <w:sz w:val="20"/>
              </w:rPr>
              <w:t> </w:t>
            </w:r>
            <w:r>
              <w:rPr>
                <w:sz w:val="20"/>
              </w:rPr>
              <w:t>L23.3,</w:t>
            </w:r>
            <w:r>
              <w:rPr>
                <w:spacing w:val="-5"/>
                <w:sz w:val="20"/>
              </w:rPr>
              <w:t> </w:t>
            </w:r>
            <w:r>
              <w:rPr>
                <w:spacing w:val="-2"/>
                <w:sz w:val="20"/>
              </w:rPr>
              <w:t>L23.4,</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L23.5,</w:t>
            </w:r>
            <w:r>
              <w:rPr>
                <w:spacing w:val="-6"/>
                <w:sz w:val="20"/>
              </w:rPr>
              <w:t> </w:t>
            </w:r>
            <w:r>
              <w:rPr>
                <w:sz w:val="20"/>
              </w:rPr>
              <w:t>L23.6,</w:t>
            </w:r>
            <w:r>
              <w:rPr>
                <w:spacing w:val="-5"/>
                <w:sz w:val="20"/>
              </w:rPr>
              <w:t> </w:t>
            </w:r>
            <w:r>
              <w:rPr>
                <w:sz w:val="20"/>
              </w:rPr>
              <w:t>L23.7,</w:t>
            </w:r>
            <w:r>
              <w:rPr>
                <w:spacing w:val="-5"/>
                <w:sz w:val="20"/>
              </w:rPr>
              <w:t> </w:t>
            </w:r>
            <w:r>
              <w:rPr>
                <w:sz w:val="20"/>
              </w:rPr>
              <w:t>L23.8,</w:t>
            </w:r>
            <w:r>
              <w:rPr>
                <w:spacing w:val="-5"/>
                <w:sz w:val="20"/>
              </w:rPr>
              <w:t> </w:t>
            </w:r>
            <w:r>
              <w:rPr>
                <w:sz w:val="20"/>
              </w:rPr>
              <w:t>L23.9,</w:t>
            </w:r>
            <w:r>
              <w:rPr>
                <w:spacing w:val="-5"/>
                <w:sz w:val="20"/>
              </w:rPr>
              <w:t> </w:t>
            </w:r>
            <w:r>
              <w:rPr>
                <w:sz w:val="20"/>
              </w:rPr>
              <w:t>L24.0,</w:t>
            </w:r>
            <w:r>
              <w:rPr>
                <w:spacing w:val="-5"/>
                <w:sz w:val="20"/>
              </w:rPr>
              <w:t> </w:t>
            </w:r>
            <w:r>
              <w:rPr>
                <w:spacing w:val="-2"/>
                <w:sz w:val="20"/>
              </w:rPr>
              <w:t>L24.1,</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L24.2,</w:t>
            </w:r>
            <w:r>
              <w:rPr>
                <w:spacing w:val="-6"/>
                <w:sz w:val="20"/>
              </w:rPr>
              <w:t> </w:t>
            </w:r>
            <w:r>
              <w:rPr>
                <w:sz w:val="20"/>
              </w:rPr>
              <w:t>L24.3,</w:t>
            </w:r>
            <w:r>
              <w:rPr>
                <w:spacing w:val="-5"/>
                <w:sz w:val="20"/>
              </w:rPr>
              <w:t> </w:t>
            </w:r>
            <w:r>
              <w:rPr>
                <w:sz w:val="20"/>
              </w:rPr>
              <w:t>L24.4,</w:t>
            </w:r>
            <w:r>
              <w:rPr>
                <w:spacing w:val="-5"/>
                <w:sz w:val="20"/>
              </w:rPr>
              <w:t> </w:t>
            </w:r>
            <w:r>
              <w:rPr>
                <w:sz w:val="20"/>
              </w:rPr>
              <w:t>L24.5,</w:t>
            </w:r>
            <w:r>
              <w:rPr>
                <w:spacing w:val="-5"/>
                <w:sz w:val="20"/>
              </w:rPr>
              <w:t> </w:t>
            </w:r>
            <w:r>
              <w:rPr>
                <w:sz w:val="20"/>
              </w:rPr>
              <w:t>L24.6,</w:t>
            </w:r>
            <w:r>
              <w:rPr>
                <w:spacing w:val="-5"/>
                <w:sz w:val="20"/>
              </w:rPr>
              <w:t> </w:t>
            </w:r>
            <w:r>
              <w:rPr>
                <w:sz w:val="20"/>
              </w:rPr>
              <w:t>L24.7,</w:t>
            </w:r>
            <w:r>
              <w:rPr>
                <w:spacing w:val="-5"/>
                <w:sz w:val="20"/>
              </w:rPr>
              <w:t> </w:t>
            </w:r>
            <w:r>
              <w:rPr>
                <w:spacing w:val="-2"/>
                <w:sz w:val="20"/>
              </w:rPr>
              <w:t>L24.8,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L24.9,</w:t>
            </w:r>
            <w:r>
              <w:rPr>
                <w:spacing w:val="-6"/>
                <w:sz w:val="20"/>
              </w:rPr>
              <w:t> </w:t>
            </w:r>
            <w:r>
              <w:rPr>
                <w:sz w:val="20"/>
              </w:rPr>
              <w:t>L25.0,</w:t>
            </w:r>
            <w:r>
              <w:rPr>
                <w:spacing w:val="-5"/>
                <w:sz w:val="20"/>
              </w:rPr>
              <w:t> </w:t>
            </w:r>
            <w:r>
              <w:rPr>
                <w:sz w:val="20"/>
              </w:rPr>
              <w:t>L25.1,</w:t>
            </w:r>
            <w:r>
              <w:rPr>
                <w:spacing w:val="-5"/>
                <w:sz w:val="20"/>
              </w:rPr>
              <w:t> </w:t>
            </w:r>
            <w:r>
              <w:rPr>
                <w:sz w:val="20"/>
              </w:rPr>
              <w:t>L25.2,</w:t>
            </w:r>
            <w:r>
              <w:rPr>
                <w:spacing w:val="-5"/>
                <w:sz w:val="20"/>
              </w:rPr>
              <w:t> </w:t>
            </w:r>
            <w:r>
              <w:rPr>
                <w:sz w:val="20"/>
              </w:rPr>
              <w:t>L25.3,</w:t>
            </w:r>
            <w:r>
              <w:rPr>
                <w:spacing w:val="-5"/>
                <w:sz w:val="20"/>
              </w:rPr>
              <w:t> </w:t>
            </w:r>
            <w:r>
              <w:rPr>
                <w:sz w:val="20"/>
              </w:rPr>
              <w:t>L25.4,</w:t>
            </w:r>
            <w:r>
              <w:rPr>
                <w:spacing w:val="-5"/>
                <w:sz w:val="20"/>
              </w:rPr>
              <w:t> </w:t>
            </w:r>
            <w:r>
              <w:rPr>
                <w:spacing w:val="-2"/>
                <w:sz w:val="20"/>
              </w:rPr>
              <w:t>L25.5,</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1" w:lineRule="exact"/>
              <w:ind w:left="141" w:right="909"/>
              <w:jc w:val="center"/>
              <w:rPr>
                <w:sz w:val="20"/>
              </w:rPr>
            </w:pPr>
            <w:r>
              <w:rPr>
                <w:sz w:val="20"/>
              </w:rPr>
              <w:t>L25.8,</w:t>
            </w:r>
            <w:r>
              <w:rPr>
                <w:spacing w:val="-6"/>
                <w:sz w:val="20"/>
              </w:rPr>
              <w:t> </w:t>
            </w:r>
            <w:r>
              <w:rPr>
                <w:sz w:val="20"/>
              </w:rPr>
              <w:t>L25.9,</w:t>
            </w:r>
            <w:r>
              <w:rPr>
                <w:spacing w:val="-5"/>
                <w:sz w:val="20"/>
              </w:rPr>
              <w:t> </w:t>
            </w:r>
            <w:r>
              <w:rPr>
                <w:sz w:val="20"/>
              </w:rPr>
              <w:t>L26,</w:t>
            </w:r>
            <w:r>
              <w:rPr>
                <w:spacing w:val="-5"/>
                <w:sz w:val="20"/>
              </w:rPr>
              <w:t> </w:t>
            </w:r>
            <w:r>
              <w:rPr>
                <w:sz w:val="20"/>
              </w:rPr>
              <w:t>L27.0,</w:t>
            </w:r>
            <w:r>
              <w:rPr>
                <w:spacing w:val="-5"/>
                <w:sz w:val="20"/>
              </w:rPr>
              <w:t> </w:t>
            </w:r>
            <w:r>
              <w:rPr>
                <w:sz w:val="20"/>
              </w:rPr>
              <w:t>L27.1,</w:t>
            </w:r>
            <w:r>
              <w:rPr>
                <w:spacing w:val="-5"/>
                <w:sz w:val="20"/>
              </w:rPr>
              <w:t> </w:t>
            </w:r>
            <w:r>
              <w:rPr>
                <w:sz w:val="20"/>
              </w:rPr>
              <w:t>L27.2,</w:t>
            </w:r>
            <w:r>
              <w:rPr>
                <w:spacing w:val="-5"/>
                <w:sz w:val="20"/>
              </w:rPr>
              <w:t> </w:t>
            </w:r>
            <w:r>
              <w:rPr>
                <w:spacing w:val="-2"/>
                <w:sz w:val="20"/>
              </w:rPr>
              <w:t>L27.8,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L27.9,</w:t>
            </w:r>
            <w:r>
              <w:rPr>
                <w:spacing w:val="-6"/>
                <w:sz w:val="20"/>
              </w:rPr>
              <w:t> </w:t>
            </w:r>
            <w:r>
              <w:rPr>
                <w:sz w:val="20"/>
              </w:rPr>
              <w:t>L28.0,</w:t>
            </w:r>
            <w:r>
              <w:rPr>
                <w:spacing w:val="-5"/>
                <w:sz w:val="20"/>
              </w:rPr>
              <w:t> </w:t>
            </w:r>
            <w:r>
              <w:rPr>
                <w:sz w:val="20"/>
              </w:rPr>
              <w:t>L28.1,</w:t>
            </w:r>
            <w:r>
              <w:rPr>
                <w:spacing w:val="-5"/>
                <w:sz w:val="20"/>
              </w:rPr>
              <w:t> </w:t>
            </w:r>
            <w:r>
              <w:rPr>
                <w:sz w:val="20"/>
              </w:rPr>
              <w:t>L28.2,</w:t>
            </w:r>
            <w:r>
              <w:rPr>
                <w:spacing w:val="-5"/>
                <w:sz w:val="20"/>
              </w:rPr>
              <w:t> </w:t>
            </w:r>
            <w:r>
              <w:rPr>
                <w:sz w:val="20"/>
              </w:rPr>
              <w:t>L30.0,</w:t>
            </w:r>
            <w:r>
              <w:rPr>
                <w:spacing w:val="-5"/>
                <w:sz w:val="20"/>
              </w:rPr>
              <w:t> </w:t>
            </w:r>
            <w:r>
              <w:rPr>
                <w:sz w:val="20"/>
              </w:rPr>
              <w:t>L30.1,</w:t>
            </w:r>
            <w:r>
              <w:rPr>
                <w:spacing w:val="-5"/>
                <w:sz w:val="20"/>
              </w:rPr>
              <w:t> </w:t>
            </w:r>
            <w:r>
              <w:rPr>
                <w:spacing w:val="-2"/>
                <w:sz w:val="20"/>
              </w:rPr>
              <w:t>L30.2,</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4" w:right="909"/>
              <w:jc w:val="center"/>
              <w:rPr>
                <w:sz w:val="20"/>
              </w:rPr>
            </w:pPr>
            <w:r>
              <w:rPr>
                <w:sz w:val="20"/>
              </w:rPr>
              <w:t>L30.3,</w:t>
            </w:r>
            <w:r>
              <w:rPr>
                <w:spacing w:val="-5"/>
                <w:sz w:val="20"/>
              </w:rPr>
              <w:t> </w:t>
            </w:r>
            <w:r>
              <w:rPr>
                <w:sz w:val="20"/>
              </w:rPr>
              <w:t>L30.8,</w:t>
            </w:r>
            <w:r>
              <w:rPr>
                <w:spacing w:val="-5"/>
                <w:sz w:val="20"/>
              </w:rPr>
              <w:t> </w:t>
            </w:r>
            <w:r>
              <w:rPr>
                <w:sz w:val="20"/>
              </w:rPr>
              <w:t>L30.9,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L43.0,</w:t>
            </w:r>
            <w:r>
              <w:rPr>
                <w:spacing w:val="-5"/>
                <w:sz w:val="20"/>
              </w:rPr>
              <w:t> </w:t>
            </w:r>
            <w:r>
              <w:rPr>
                <w:sz w:val="20"/>
              </w:rPr>
              <w:t>L43.1,</w:t>
            </w:r>
            <w:r>
              <w:rPr>
                <w:spacing w:val="-5"/>
                <w:sz w:val="20"/>
              </w:rPr>
              <w:t> </w:t>
            </w:r>
            <w:r>
              <w:rPr>
                <w:sz w:val="20"/>
              </w:rPr>
              <w:t>L43.2,</w:t>
            </w:r>
            <w:r>
              <w:rPr>
                <w:spacing w:val="-5"/>
                <w:sz w:val="20"/>
              </w:rPr>
              <w:t> </w:t>
            </w:r>
            <w:r>
              <w:rPr>
                <w:spacing w:val="-2"/>
                <w:sz w:val="20"/>
              </w:rPr>
              <w:t>L43.3,</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L43.8,</w:t>
            </w:r>
            <w:r>
              <w:rPr>
                <w:spacing w:val="-6"/>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z w:val="20"/>
              </w:rPr>
              <w:t>L44.4,</w:t>
            </w:r>
            <w:r>
              <w:rPr>
                <w:spacing w:val="-5"/>
                <w:sz w:val="20"/>
              </w:rPr>
              <w:t> </w:t>
            </w:r>
            <w:r>
              <w:rPr>
                <w:spacing w:val="-2"/>
                <w:sz w:val="20"/>
              </w:rPr>
              <w:t>L44.8,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1" w:right="909"/>
              <w:jc w:val="center"/>
              <w:rPr>
                <w:sz w:val="20"/>
              </w:rPr>
            </w:pPr>
            <w:r>
              <w:rPr>
                <w:sz w:val="20"/>
              </w:rPr>
              <w:t>L44.9,</w:t>
            </w:r>
            <w:r>
              <w:rPr>
                <w:spacing w:val="-6"/>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z w:val="20"/>
              </w:rPr>
              <w:t>L50.3,</w:t>
            </w:r>
            <w:r>
              <w:rPr>
                <w:spacing w:val="-5"/>
                <w:sz w:val="20"/>
              </w:rPr>
              <w:t> </w:t>
            </w:r>
            <w:r>
              <w:rPr>
                <w:spacing w:val="-2"/>
                <w:sz w:val="20"/>
              </w:rPr>
              <w:t>L50.4,</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L50.5,</w:t>
            </w:r>
            <w:r>
              <w:rPr>
                <w:spacing w:val="-6"/>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z w:val="20"/>
              </w:rPr>
              <w:t>L51.1,</w:t>
            </w:r>
            <w:r>
              <w:rPr>
                <w:spacing w:val="-5"/>
                <w:sz w:val="20"/>
              </w:rPr>
              <w:t> </w:t>
            </w:r>
            <w:r>
              <w:rPr>
                <w:spacing w:val="-2"/>
                <w:sz w:val="20"/>
              </w:rPr>
              <w:t>L51.2,</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5" w:lineRule="exact"/>
              <w:ind w:left="145" w:right="909"/>
              <w:jc w:val="center"/>
              <w:rPr>
                <w:sz w:val="20"/>
              </w:rPr>
            </w:pPr>
            <w:r>
              <w:rPr>
                <w:sz w:val="20"/>
              </w:rPr>
              <w:t>L51.8,</w:t>
            </w:r>
            <w:r>
              <w:rPr>
                <w:spacing w:val="-5"/>
                <w:sz w:val="20"/>
              </w:rPr>
              <w:t> </w:t>
            </w:r>
            <w:r>
              <w:rPr>
                <w:sz w:val="20"/>
              </w:rPr>
              <w:t>L51.9,</w:t>
            </w:r>
            <w:r>
              <w:rPr>
                <w:spacing w:val="-4"/>
                <w:sz w:val="20"/>
              </w:rPr>
              <w:t> </w:t>
            </w:r>
            <w:r>
              <w:rPr>
                <w:sz w:val="20"/>
              </w:rPr>
              <w:t>L52,</w:t>
            </w:r>
            <w:r>
              <w:rPr>
                <w:spacing w:val="-5"/>
                <w:sz w:val="20"/>
              </w:rPr>
              <w:t> </w:t>
            </w:r>
            <w:r>
              <w:rPr>
                <w:sz w:val="20"/>
              </w:rPr>
              <w:t>L53.0,</w:t>
            </w:r>
            <w:r>
              <w:rPr>
                <w:spacing w:val="-4"/>
                <w:sz w:val="20"/>
              </w:rPr>
              <w:t> </w:t>
            </w:r>
            <w:r>
              <w:rPr>
                <w:sz w:val="20"/>
              </w:rPr>
              <w:t>L53.1,</w:t>
            </w:r>
            <w:r>
              <w:rPr>
                <w:spacing w:val="-5"/>
                <w:sz w:val="20"/>
              </w:rPr>
              <w:t> </w:t>
            </w:r>
            <w:r>
              <w:rPr>
                <w:sz w:val="20"/>
              </w:rPr>
              <w:t>L53.2,</w:t>
            </w:r>
            <w:r>
              <w:rPr>
                <w:spacing w:val="-4"/>
                <w:sz w:val="20"/>
              </w:rPr>
              <w:t> </w:t>
            </w:r>
            <w:r>
              <w:rPr>
                <w:spacing w:val="-2"/>
                <w:sz w:val="20"/>
              </w:rPr>
              <w:t>L53.3,</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18"/>
        <w:gridCol w:w="5140"/>
        <w:gridCol w:w="1980"/>
        <w:gridCol w:w="3172"/>
        <w:gridCol w:w="837"/>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18" w:type="dxa"/>
            <w:vMerge w:val="restart"/>
          </w:tcPr>
          <w:p>
            <w:pPr>
              <w:pStyle w:val="TableParagraph"/>
              <w:rPr>
                <w:sz w:val="18"/>
              </w:rPr>
            </w:pPr>
          </w:p>
        </w:tc>
        <w:tc>
          <w:tcPr>
            <w:tcW w:w="5140" w:type="dxa"/>
          </w:tcPr>
          <w:p>
            <w:pPr>
              <w:pStyle w:val="TableParagraph"/>
              <w:spacing w:line="205" w:lineRule="exact"/>
              <w:ind w:left="199" w:right="887"/>
              <w:jc w:val="center"/>
              <w:rPr>
                <w:sz w:val="20"/>
              </w:rPr>
            </w:pPr>
            <w:r>
              <w:rPr>
                <w:sz w:val="20"/>
              </w:rPr>
              <w:t>L53.8,</w:t>
            </w:r>
            <w:r>
              <w:rPr>
                <w:spacing w:val="-6"/>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z w:val="20"/>
              </w:rPr>
              <w:t>L55.1,</w:t>
            </w:r>
            <w:r>
              <w:rPr>
                <w:spacing w:val="-5"/>
                <w:sz w:val="20"/>
              </w:rPr>
              <w:t> </w:t>
            </w:r>
            <w:r>
              <w:rPr>
                <w:spacing w:val="-2"/>
                <w:sz w:val="20"/>
              </w:rPr>
              <w:t>L55.2,</w:t>
            </w:r>
          </w:p>
        </w:tc>
        <w:tc>
          <w:tcPr>
            <w:tcW w:w="1980" w:type="dxa"/>
            <w:vMerge w:val="restart"/>
          </w:tcPr>
          <w:p>
            <w:pPr>
              <w:pStyle w:val="TableParagraph"/>
              <w:rPr>
                <w:sz w:val="18"/>
              </w:rPr>
            </w:pPr>
          </w:p>
        </w:tc>
        <w:tc>
          <w:tcPr>
            <w:tcW w:w="3172" w:type="dxa"/>
            <w:vMerge w:val="restart"/>
          </w:tcPr>
          <w:p>
            <w:pPr>
              <w:pStyle w:val="TableParagraph"/>
              <w:rPr>
                <w:sz w:val="18"/>
              </w:rPr>
            </w:pPr>
          </w:p>
        </w:tc>
        <w:tc>
          <w:tcPr>
            <w:tcW w:w="837"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L55.8,</w:t>
            </w:r>
            <w:r>
              <w:rPr>
                <w:spacing w:val="-6"/>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z w:val="20"/>
              </w:rPr>
              <w:t>L56.3,</w:t>
            </w:r>
            <w:r>
              <w:rPr>
                <w:spacing w:val="-5"/>
                <w:sz w:val="20"/>
              </w:rPr>
              <w:t> </w:t>
            </w:r>
            <w:r>
              <w:rPr>
                <w:spacing w:val="-2"/>
                <w:sz w:val="20"/>
              </w:rPr>
              <w:t>L56.4,</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L56.8,</w:t>
            </w:r>
            <w:r>
              <w:rPr>
                <w:spacing w:val="-6"/>
                <w:sz w:val="20"/>
              </w:rPr>
              <w:t> </w:t>
            </w:r>
            <w:r>
              <w:rPr>
                <w:sz w:val="20"/>
              </w:rPr>
              <w:t>L56.9,</w:t>
            </w:r>
            <w:r>
              <w:rPr>
                <w:spacing w:val="-5"/>
                <w:sz w:val="20"/>
              </w:rPr>
              <w:t> </w:t>
            </w:r>
            <w:r>
              <w:rPr>
                <w:sz w:val="20"/>
              </w:rPr>
              <w:t>L57.0,</w:t>
            </w:r>
            <w:r>
              <w:rPr>
                <w:spacing w:val="-5"/>
                <w:sz w:val="20"/>
              </w:rPr>
              <w:t> </w:t>
            </w:r>
            <w:r>
              <w:rPr>
                <w:sz w:val="20"/>
              </w:rPr>
              <w:t>L57.1,</w:t>
            </w:r>
            <w:r>
              <w:rPr>
                <w:spacing w:val="-5"/>
                <w:sz w:val="20"/>
              </w:rPr>
              <w:t> </w:t>
            </w:r>
            <w:r>
              <w:rPr>
                <w:sz w:val="20"/>
              </w:rPr>
              <w:t>L57.5,</w:t>
            </w:r>
            <w:r>
              <w:rPr>
                <w:spacing w:val="-5"/>
                <w:sz w:val="20"/>
              </w:rPr>
              <w:t> </w:t>
            </w:r>
            <w:r>
              <w:rPr>
                <w:sz w:val="20"/>
              </w:rPr>
              <w:t>L57.8,</w:t>
            </w:r>
            <w:r>
              <w:rPr>
                <w:spacing w:val="-5"/>
                <w:sz w:val="20"/>
              </w:rPr>
              <w:t> </w:t>
            </w:r>
            <w:r>
              <w:rPr>
                <w:spacing w:val="-2"/>
                <w:sz w:val="20"/>
              </w:rPr>
              <w:t>L57.9,</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L58.0,</w:t>
            </w:r>
            <w:r>
              <w:rPr>
                <w:spacing w:val="-6"/>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z w:val="20"/>
              </w:rPr>
              <w:t>L59.9,</w:t>
            </w:r>
            <w:r>
              <w:rPr>
                <w:spacing w:val="-5"/>
                <w:sz w:val="20"/>
              </w:rPr>
              <w:t> </w:t>
            </w:r>
            <w:r>
              <w:rPr>
                <w:spacing w:val="-2"/>
                <w:sz w:val="20"/>
              </w:rPr>
              <w:t>L63.0,</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1"/>
              <w:jc w:val="center"/>
              <w:rPr>
                <w:sz w:val="20"/>
              </w:rPr>
            </w:pPr>
            <w:r>
              <w:rPr>
                <w:sz w:val="20"/>
              </w:rPr>
              <w:t>L63.1,</w:t>
            </w:r>
            <w:r>
              <w:rPr>
                <w:spacing w:val="-5"/>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1"/>
                <w:sz w:val="20"/>
              </w:rPr>
              <w:t> </w:t>
            </w:r>
            <w:r>
              <w:rPr>
                <w:sz w:val="20"/>
              </w:rPr>
              <w:t>L65.0,</w:t>
            </w:r>
            <w:r>
              <w:rPr>
                <w:spacing w:val="-5"/>
                <w:sz w:val="20"/>
              </w:rPr>
              <w:t> </w:t>
            </w:r>
            <w:r>
              <w:rPr>
                <w:spacing w:val="-2"/>
                <w:sz w:val="20"/>
              </w:rPr>
              <w:t>L65.1,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L65.2,</w:t>
            </w:r>
            <w:r>
              <w:rPr>
                <w:spacing w:val="-6"/>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z w:val="20"/>
              </w:rPr>
              <w:t>L66.3,</w:t>
            </w:r>
            <w:r>
              <w:rPr>
                <w:spacing w:val="-5"/>
                <w:sz w:val="20"/>
              </w:rPr>
              <w:t> </w:t>
            </w:r>
            <w:r>
              <w:rPr>
                <w:spacing w:val="-2"/>
                <w:sz w:val="20"/>
              </w:rPr>
              <w:t>L66.4,</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1" w:lineRule="exact"/>
              <w:ind w:left="199" w:right="887"/>
              <w:jc w:val="center"/>
              <w:rPr>
                <w:sz w:val="20"/>
              </w:rPr>
            </w:pPr>
            <w:r>
              <w:rPr>
                <w:sz w:val="20"/>
              </w:rPr>
              <w:t>L66.9,</w:t>
            </w:r>
            <w:r>
              <w:rPr>
                <w:spacing w:val="-6"/>
                <w:sz w:val="20"/>
              </w:rPr>
              <w:t> </w:t>
            </w:r>
            <w:r>
              <w:rPr>
                <w:sz w:val="20"/>
              </w:rPr>
              <w:t>L67.0,</w:t>
            </w:r>
            <w:r>
              <w:rPr>
                <w:spacing w:val="-5"/>
                <w:sz w:val="20"/>
              </w:rPr>
              <w:t> </w:t>
            </w:r>
            <w:r>
              <w:rPr>
                <w:sz w:val="20"/>
              </w:rPr>
              <w:t>L70.0,</w:t>
            </w:r>
            <w:r>
              <w:rPr>
                <w:spacing w:val="-5"/>
                <w:sz w:val="20"/>
              </w:rPr>
              <w:t> </w:t>
            </w:r>
            <w:r>
              <w:rPr>
                <w:sz w:val="20"/>
              </w:rPr>
              <w:t>L70.1,</w:t>
            </w:r>
            <w:r>
              <w:rPr>
                <w:spacing w:val="-5"/>
                <w:sz w:val="20"/>
              </w:rPr>
              <w:t> </w:t>
            </w:r>
            <w:r>
              <w:rPr>
                <w:sz w:val="20"/>
              </w:rPr>
              <w:t>L70.2,</w:t>
            </w:r>
            <w:r>
              <w:rPr>
                <w:spacing w:val="-5"/>
                <w:sz w:val="20"/>
              </w:rPr>
              <w:t> </w:t>
            </w:r>
            <w:r>
              <w:rPr>
                <w:sz w:val="20"/>
              </w:rPr>
              <w:t>L70.3,</w:t>
            </w:r>
            <w:r>
              <w:rPr>
                <w:spacing w:val="-5"/>
                <w:sz w:val="20"/>
              </w:rPr>
              <w:t> </w:t>
            </w:r>
            <w:r>
              <w:rPr>
                <w:spacing w:val="-2"/>
                <w:sz w:val="20"/>
              </w:rPr>
              <w:t>L70.5,</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L70.9,</w:t>
            </w:r>
            <w:r>
              <w:rPr>
                <w:spacing w:val="-6"/>
                <w:sz w:val="20"/>
              </w:rPr>
              <w:t> </w:t>
            </w:r>
            <w:r>
              <w:rPr>
                <w:sz w:val="20"/>
              </w:rPr>
              <w:t>L71.1,</w:t>
            </w:r>
            <w:r>
              <w:rPr>
                <w:spacing w:val="-5"/>
                <w:sz w:val="20"/>
              </w:rPr>
              <w:t> </w:t>
            </w:r>
            <w:r>
              <w:rPr>
                <w:sz w:val="20"/>
              </w:rPr>
              <w:t>L71.8,</w:t>
            </w:r>
            <w:r>
              <w:rPr>
                <w:spacing w:val="-5"/>
                <w:sz w:val="20"/>
              </w:rPr>
              <w:t> </w:t>
            </w:r>
            <w:r>
              <w:rPr>
                <w:sz w:val="20"/>
              </w:rPr>
              <w:t>L71.9,</w:t>
            </w:r>
            <w:r>
              <w:rPr>
                <w:spacing w:val="-5"/>
                <w:sz w:val="20"/>
              </w:rPr>
              <w:t> </w:t>
            </w:r>
            <w:r>
              <w:rPr>
                <w:sz w:val="20"/>
              </w:rPr>
              <w:t>L73.0,</w:t>
            </w:r>
            <w:r>
              <w:rPr>
                <w:spacing w:val="-5"/>
                <w:sz w:val="20"/>
              </w:rPr>
              <w:t> </w:t>
            </w:r>
            <w:r>
              <w:rPr>
                <w:sz w:val="20"/>
              </w:rPr>
              <w:t>L73.1,</w:t>
            </w:r>
            <w:r>
              <w:rPr>
                <w:spacing w:val="-5"/>
                <w:sz w:val="20"/>
              </w:rPr>
              <w:t> </w:t>
            </w:r>
            <w:r>
              <w:rPr>
                <w:spacing w:val="-2"/>
                <w:sz w:val="20"/>
              </w:rPr>
              <w:t>L73.9,</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L74.2,</w:t>
            </w:r>
            <w:r>
              <w:rPr>
                <w:spacing w:val="-6"/>
                <w:sz w:val="20"/>
              </w:rPr>
              <w:t> </w:t>
            </w:r>
            <w:r>
              <w:rPr>
                <w:sz w:val="20"/>
              </w:rPr>
              <w:t>L74.3,</w:t>
            </w:r>
            <w:r>
              <w:rPr>
                <w:spacing w:val="-5"/>
                <w:sz w:val="20"/>
              </w:rPr>
              <w:t> </w:t>
            </w:r>
            <w:r>
              <w:rPr>
                <w:sz w:val="20"/>
              </w:rPr>
              <w:t>L74.9,</w:t>
            </w:r>
            <w:r>
              <w:rPr>
                <w:spacing w:val="-5"/>
                <w:sz w:val="20"/>
              </w:rPr>
              <w:t> </w:t>
            </w:r>
            <w:r>
              <w:rPr>
                <w:sz w:val="20"/>
              </w:rPr>
              <w:t>L75.2,</w:t>
            </w:r>
            <w:r>
              <w:rPr>
                <w:spacing w:val="-5"/>
                <w:sz w:val="20"/>
              </w:rPr>
              <w:t> </w:t>
            </w:r>
            <w:r>
              <w:rPr>
                <w:sz w:val="20"/>
              </w:rPr>
              <w:t>L75.9,</w:t>
            </w:r>
            <w:r>
              <w:rPr>
                <w:spacing w:val="-5"/>
                <w:sz w:val="20"/>
              </w:rPr>
              <w:t> </w:t>
            </w:r>
            <w:r>
              <w:rPr>
                <w:sz w:val="20"/>
              </w:rPr>
              <w:t>L81.3,</w:t>
            </w:r>
            <w:r>
              <w:rPr>
                <w:spacing w:val="-5"/>
                <w:sz w:val="20"/>
              </w:rPr>
              <w:t> </w:t>
            </w:r>
            <w:r>
              <w:rPr>
                <w:spacing w:val="-2"/>
                <w:sz w:val="20"/>
              </w:rPr>
              <w:t>L81.5,</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6" w:right="888"/>
              <w:jc w:val="center"/>
              <w:rPr>
                <w:sz w:val="20"/>
              </w:rPr>
            </w:pPr>
            <w:r>
              <w:rPr>
                <w:sz w:val="20"/>
              </w:rPr>
              <w:t>L83,</w:t>
            </w:r>
            <w:r>
              <w:rPr>
                <w:spacing w:val="-5"/>
                <w:sz w:val="20"/>
              </w:rPr>
              <w:t> </w:t>
            </w:r>
            <w:r>
              <w:rPr>
                <w:sz w:val="20"/>
              </w:rPr>
              <w:t>L85.0,</w:t>
            </w:r>
            <w:r>
              <w:rPr>
                <w:spacing w:val="-5"/>
                <w:sz w:val="20"/>
              </w:rPr>
              <w:t> </w:t>
            </w:r>
            <w:r>
              <w:rPr>
                <w:sz w:val="20"/>
              </w:rPr>
              <w:t>L85.1,</w:t>
            </w:r>
            <w:r>
              <w:rPr>
                <w:spacing w:val="-4"/>
                <w:sz w:val="20"/>
              </w:rPr>
              <w:t> </w:t>
            </w:r>
            <w:r>
              <w:rPr>
                <w:sz w:val="20"/>
              </w:rPr>
              <w:t>L85.2,</w:t>
            </w:r>
            <w:r>
              <w:rPr>
                <w:spacing w:val="-5"/>
                <w:sz w:val="20"/>
              </w:rPr>
              <w:t> </w:t>
            </w:r>
            <w:r>
              <w:rPr>
                <w:sz w:val="20"/>
              </w:rPr>
              <w:t>L86,</w:t>
            </w:r>
            <w:r>
              <w:rPr>
                <w:spacing w:val="-4"/>
                <w:sz w:val="20"/>
              </w:rPr>
              <w:t> </w:t>
            </w:r>
            <w:r>
              <w:rPr>
                <w:sz w:val="20"/>
              </w:rPr>
              <w:t>L87.0,</w:t>
            </w:r>
            <w:r>
              <w:rPr>
                <w:spacing w:val="-5"/>
                <w:sz w:val="20"/>
              </w:rPr>
              <w:t> </w:t>
            </w:r>
            <w:r>
              <w:rPr>
                <w:spacing w:val="-2"/>
                <w:sz w:val="20"/>
              </w:rPr>
              <w:t>L87.1,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8" w:right="888"/>
              <w:jc w:val="center"/>
              <w:rPr>
                <w:sz w:val="20"/>
              </w:rPr>
            </w:pPr>
            <w:r>
              <w:rPr>
                <w:sz w:val="20"/>
              </w:rPr>
              <w:t>L87.2,</w:t>
            </w:r>
            <w:r>
              <w:rPr>
                <w:spacing w:val="-6"/>
                <w:sz w:val="20"/>
              </w:rPr>
              <w:t> </w:t>
            </w:r>
            <w:r>
              <w:rPr>
                <w:sz w:val="20"/>
              </w:rPr>
              <w:t>L87.9,</w:t>
            </w:r>
            <w:r>
              <w:rPr>
                <w:spacing w:val="-5"/>
                <w:sz w:val="20"/>
              </w:rPr>
              <w:t> </w:t>
            </w:r>
            <w:r>
              <w:rPr>
                <w:sz w:val="20"/>
              </w:rPr>
              <w:t>L88,</w:t>
            </w:r>
            <w:r>
              <w:rPr>
                <w:spacing w:val="-5"/>
                <w:sz w:val="20"/>
              </w:rPr>
              <w:t> </w:t>
            </w:r>
            <w:r>
              <w:rPr>
                <w:sz w:val="20"/>
              </w:rPr>
              <w:t>L90.0,</w:t>
            </w:r>
            <w:r>
              <w:rPr>
                <w:spacing w:val="-5"/>
                <w:sz w:val="20"/>
              </w:rPr>
              <w:t> </w:t>
            </w:r>
            <w:r>
              <w:rPr>
                <w:sz w:val="20"/>
              </w:rPr>
              <w:t>L90.1,</w:t>
            </w:r>
            <w:r>
              <w:rPr>
                <w:spacing w:val="-5"/>
                <w:sz w:val="20"/>
              </w:rPr>
              <w:t> </w:t>
            </w:r>
            <w:r>
              <w:rPr>
                <w:sz w:val="20"/>
              </w:rPr>
              <w:t>L90.2,</w:t>
            </w:r>
            <w:r>
              <w:rPr>
                <w:spacing w:val="-5"/>
                <w:sz w:val="20"/>
              </w:rPr>
              <w:t> </w:t>
            </w:r>
            <w:r>
              <w:rPr>
                <w:spacing w:val="-2"/>
                <w:sz w:val="20"/>
              </w:rPr>
              <w:t>L90.3,</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L94.0,</w:t>
            </w:r>
            <w:r>
              <w:rPr>
                <w:spacing w:val="-6"/>
                <w:sz w:val="20"/>
              </w:rPr>
              <w:t> </w:t>
            </w:r>
            <w:r>
              <w:rPr>
                <w:sz w:val="20"/>
              </w:rPr>
              <w:t>L94.1,</w:t>
            </w:r>
            <w:r>
              <w:rPr>
                <w:spacing w:val="-5"/>
                <w:sz w:val="20"/>
              </w:rPr>
              <w:t> </w:t>
            </w:r>
            <w:r>
              <w:rPr>
                <w:sz w:val="20"/>
              </w:rPr>
              <w:t>L94.6,</w:t>
            </w:r>
            <w:r>
              <w:rPr>
                <w:spacing w:val="-5"/>
                <w:sz w:val="20"/>
              </w:rPr>
              <w:t> </w:t>
            </w:r>
            <w:r>
              <w:rPr>
                <w:sz w:val="20"/>
              </w:rPr>
              <w:t>L94.8,</w:t>
            </w:r>
            <w:r>
              <w:rPr>
                <w:spacing w:val="-5"/>
                <w:sz w:val="20"/>
              </w:rPr>
              <w:t> </w:t>
            </w:r>
            <w:r>
              <w:rPr>
                <w:sz w:val="20"/>
              </w:rPr>
              <w:t>L94.9,</w:t>
            </w:r>
            <w:r>
              <w:rPr>
                <w:spacing w:val="-5"/>
                <w:sz w:val="20"/>
              </w:rPr>
              <w:t> </w:t>
            </w:r>
            <w:r>
              <w:rPr>
                <w:sz w:val="20"/>
              </w:rPr>
              <w:t>L95.0,</w:t>
            </w:r>
            <w:r>
              <w:rPr>
                <w:spacing w:val="-5"/>
                <w:sz w:val="20"/>
              </w:rPr>
              <w:t> </w:t>
            </w:r>
            <w:r>
              <w:rPr>
                <w:spacing w:val="-2"/>
                <w:sz w:val="20"/>
              </w:rPr>
              <w:t>L95.1,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L95.8,</w:t>
            </w:r>
            <w:r>
              <w:rPr>
                <w:spacing w:val="-6"/>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z w:val="20"/>
              </w:rPr>
              <w:t>L98.2,</w:t>
            </w:r>
            <w:r>
              <w:rPr>
                <w:spacing w:val="-5"/>
                <w:sz w:val="20"/>
              </w:rPr>
              <w:t> </w:t>
            </w:r>
            <w:r>
              <w:rPr>
                <w:sz w:val="20"/>
              </w:rPr>
              <w:t>L98.3,</w:t>
            </w:r>
            <w:r>
              <w:rPr>
                <w:spacing w:val="-5"/>
                <w:sz w:val="20"/>
              </w:rPr>
              <w:t> </w:t>
            </w:r>
            <w:r>
              <w:rPr>
                <w:spacing w:val="-2"/>
                <w:sz w:val="20"/>
              </w:rPr>
              <w:t>L98.5,</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L98.6,</w:t>
            </w:r>
            <w:r>
              <w:rPr>
                <w:spacing w:val="-6"/>
                <w:sz w:val="20"/>
              </w:rPr>
              <w:t> </w:t>
            </w:r>
            <w:r>
              <w:rPr>
                <w:sz w:val="20"/>
              </w:rPr>
              <w:t>L98.8,</w:t>
            </w:r>
            <w:r>
              <w:rPr>
                <w:spacing w:val="-3"/>
                <w:sz w:val="20"/>
              </w:rPr>
              <w:t> </w:t>
            </w:r>
            <w:r>
              <w:rPr>
                <w:sz w:val="20"/>
              </w:rPr>
              <w:t>L98.9,</w:t>
            </w:r>
            <w:r>
              <w:rPr>
                <w:spacing w:val="-6"/>
                <w:sz w:val="20"/>
              </w:rPr>
              <w:t> </w:t>
            </w:r>
            <w:r>
              <w:rPr>
                <w:sz w:val="20"/>
              </w:rPr>
              <w:t>L99.0,</w:t>
            </w:r>
            <w:r>
              <w:rPr>
                <w:spacing w:val="-5"/>
                <w:sz w:val="20"/>
              </w:rPr>
              <w:t> </w:t>
            </w:r>
            <w:r>
              <w:rPr>
                <w:sz w:val="20"/>
              </w:rPr>
              <w:t>Q80.0,</w:t>
            </w:r>
            <w:r>
              <w:rPr>
                <w:spacing w:val="-6"/>
                <w:sz w:val="20"/>
              </w:rPr>
              <w:t> </w:t>
            </w:r>
            <w:r>
              <w:rPr>
                <w:sz w:val="20"/>
              </w:rPr>
              <w:t>Q80.1,</w:t>
            </w:r>
            <w:r>
              <w:rPr>
                <w:spacing w:val="-5"/>
                <w:sz w:val="20"/>
              </w:rPr>
              <w:t> </w:t>
            </w:r>
            <w:r>
              <w:rPr>
                <w:spacing w:val="-2"/>
                <w:sz w:val="20"/>
              </w:rPr>
              <w:t>Q80.2,</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Q80.3,</w:t>
            </w:r>
            <w:r>
              <w:rPr>
                <w:spacing w:val="-4"/>
                <w:sz w:val="20"/>
              </w:rPr>
              <w:t> </w:t>
            </w:r>
            <w:r>
              <w:rPr>
                <w:sz w:val="20"/>
              </w:rPr>
              <w:t>Q80.4,</w:t>
            </w:r>
            <w:r>
              <w:rPr>
                <w:spacing w:val="-6"/>
                <w:sz w:val="20"/>
              </w:rPr>
              <w:t> </w:t>
            </w:r>
            <w:r>
              <w:rPr>
                <w:sz w:val="20"/>
              </w:rPr>
              <w:t>Q80.8,</w:t>
            </w:r>
            <w:r>
              <w:rPr>
                <w:spacing w:val="-4"/>
                <w:sz w:val="20"/>
              </w:rPr>
              <w:t> </w:t>
            </w:r>
            <w:r>
              <w:rPr>
                <w:sz w:val="20"/>
              </w:rPr>
              <w:t>Q80.9,</w:t>
            </w:r>
            <w:r>
              <w:rPr>
                <w:spacing w:val="-6"/>
                <w:sz w:val="20"/>
              </w:rPr>
              <w:t> </w:t>
            </w:r>
            <w:r>
              <w:rPr>
                <w:sz w:val="20"/>
              </w:rPr>
              <w:t>Q81.0,</w:t>
            </w:r>
            <w:r>
              <w:rPr>
                <w:spacing w:val="-4"/>
                <w:sz w:val="20"/>
              </w:rPr>
              <w:t> </w:t>
            </w:r>
            <w:r>
              <w:rPr>
                <w:spacing w:val="-2"/>
                <w:sz w:val="20"/>
              </w:rPr>
              <w:t>Q81.1,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26" w:lineRule="exact"/>
              <w:ind w:left="199" w:right="888"/>
              <w:jc w:val="center"/>
              <w:rPr>
                <w:sz w:val="20"/>
              </w:rPr>
            </w:pPr>
            <w:r>
              <w:rPr>
                <w:sz w:val="20"/>
              </w:rPr>
              <w:t>Q81.2,</w:t>
            </w:r>
            <w:r>
              <w:rPr>
                <w:spacing w:val="-5"/>
                <w:sz w:val="20"/>
              </w:rPr>
              <w:t> </w:t>
            </w:r>
            <w:r>
              <w:rPr>
                <w:sz w:val="20"/>
              </w:rPr>
              <w:t>Q81.9,</w:t>
            </w:r>
            <w:r>
              <w:rPr>
                <w:spacing w:val="-5"/>
                <w:sz w:val="20"/>
              </w:rPr>
              <w:t> </w:t>
            </w:r>
            <w:r>
              <w:rPr>
                <w:sz w:val="20"/>
              </w:rPr>
              <w:t>Q82.0,</w:t>
            </w:r>
            <w:r>
              <w:rPr>
                <w:spacing w:val="-4"/>
                <w:sz w:val="20"/>
              </w:rPr>
              <w:t> </w:t>
            </w:r>
            <w:r>
              <w:rPr>
                <w:sz w:val="20"/>
              </w:rPr>
              <w:t>Q82.1,</w:t>
            </w:r>
            <w:r>
              <w:rPr>
                <w:spacing w:val="-6"/>
                <w:sz w:val="20"/>
              </w:rPr>
              <w:t> </w:t>
            </w:r>
            <w:r>
              <w:rPr>
                <w:sz w:val="20"/>
              </w:rPr>
              <w:t>Q82.2,</w:t>
            </w:r>
            <w:r>
              <w:rPr>
                <w:spacing w:val="-4"/>
                <w:sz w:val="20"/>
              </w:rPr>
              <w:t> </w:t>
            </w:r>
            <w:r>
              <w:rPr>
                <w:sz w:val="20"/>
              </w:rPr>
              <w:t>Q82.9,</w:t>
            </w:r>
            <w:r>
              <w:rPr>
                <w:spacing w:val="-6"/>
                <w:sz w:val="20"/>
              </w:rPr>
              <w:t> </w:t>
            </w:r>
            <w:r>
              <w:rPr>
                <w:spacing w:val="-4"/>
                <w:sz w:val="20"/>
              </w:rPr>
              <w:t>Q84.9</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18" w:type="dxa"/>
            <w:vMerge w:val="restart"/>
          </w:tcPr>
          <w:p>
            <w:pPr>
              <w:pStyle w:val="TableParagraph"/>
              <w:rPr>
                <w:sz w:val="18"/>
              </w:rPr>
            </w:pPr>
          </w:p>
        </w:tc>
        <w:tc>
          <w:tcPr>
            <w:tcW w:w="5140" w:type="dxa"/>
          </w:tcPr>
          <w:p>
            <w:pPr>
              <w:pStyle w:val="TableParagraph"/>
              <w:spacing w:line="215" w:lineRule="exact" w:before="45"/>
              <w:ind w:left="199" w:right="887"/>
              <w:jc w:val="center"/>
              <w:rPr>
                <w:sz w:val="20"/>
              </w:rPr>
            </w:pPr>
            <w:r>
              <w:rPr>
                <w:sz w:val="20"/>
              </w:rPr>
              <w:t>L40.0,</w:t>
            </w:r>
            <w:r>
              <w:rPr>
                <w:spacing w:val="-6"/>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2"/>
                <w:sz w:val="20"/>
              </w:rPr>
              <w:t>L40.8,</w:t>
            </w:r>
          </w:p>
        </w:tc>
        <w:tc>
          <w:tcPr>
            <w:tcW w:w="1980" w:type="dxa"/>
          </w:tcPr>
          <w:p>
            <w:pPr>
              <w:pStyle w:val="TableParagraph"/>
              <w:spacing w:line="215" w:lineRule="exact" w:before="45"/>
              <w:ind w:left="934"/>
              <w:rPr>
                <w:sz w:val="20"/>
              </w:rPr>
            </w:pPr>
            <w:r>
              <w:rPr>
                <w:w w:val="99"/>
                <w:sz w:val="20"/>
              </w:rPr>
              <w:t>-</w:t>
            </w:r>
          </w:p>
        </w:tc>
        <w:tc>
          <w:tcPr>
            <w:tcW w:w="3172" w:type="dxa"/>
          </w:tcPr>
          <w:p>
            <w:pPr>
              <w:pStyle w:val="TableParagraph"/>
              <w:spacing w:line="215" w:lineRule="exact" w:before="45"/>
              <w:ind w:left="967" w:right="431"/>
              <w:jc w:val="center"/>
              <w:rPr>
                <w:sz w:val="20"/>
              </w:rPr>
            </w:pPr>
            <w:r>
              <w:rPr>
                <w:spacing w:val="-4"/>
                <w:sz w:val="20"/>
              </w:rPr>
              <w:t>Иной</w:t>
            </w:r>
          </w:p>
        </w:tc>
        <w:tc>
          <w:tcPr>
            <w:tcW w:w="837"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3"/>
              <w:jc w:val="center"/>
              <w:rPr>
                <w:sz w:val="20"/>
              </w:rPr>
            </w:pPr>
            <w:r>
              <w:rPr>
                <w:spacing w:val="-2"/>
                <w:sz w:val="20"/>
              </w:rPr>
              <w:t>L40.9</w:t>
            </w:r>
          </w:p>
        </w:tc>
        <w:tc>
          <w:tcPr>
            <w:tcW w:w="1980" w:type="dxa"/>
          </w:tcPr>
          <w:p>
            <w:pPr>
              <w:pStyle w:val="TableParagraph"/>
              <w:rPr>
                <w:sz w:val="16"/>
              </w:rPr>
            </w:pPr>
          </w:p>
        </w:tc>
        <w:tc>
          <w:tcPr>
            <w:tcW w:w="3172" w:type="dxa"/>
          </w:tcPr>
          <w:p>
            <w:pPr>
              <w:pStyle w:val="TableParagraph"/>
              <w:spacing w:line="210" w:lineRule="exact"/>
              <w:ind w:left="968" w:right="431"/>
              <w:jc w:val="center"/>
              <w:rPr>
                <w:sz w:val="20"/>
              </w:rPr>
            </w:pPr>
            <w:r>
              <w:rPr>
                <w:spacing w:val="-2"/>
                <w:sz w:val="20"/>
              </w:rPr>
              <w:t>классификационный</w:t>
            </w:r>
          </w:p>
        </w:tc>
        <w:tc>
          <w:tcPr>
            <w:tcW w:w="837"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rPr>
                <w:sz w:val="18"/>
              </w:rPr>
            </w:pPr>
          </w:p>
        </w:tc>
        <w:tc>
          <w:tcPr>
            <w:tcW w:w="1980" w:type="dxa"/>
          </w:tcPr>
          <w:p>
            <w:pPr>
              <w:pStyle w:val="TableParagraph"/>
              <w:rPr>
                <w:sz w:val="18"/>
              </w:rPr>
            </w:pPr>
          </w:p>
        </w:tc>
        <w:tc>
          <w:tcPr>
            <w:tcW w:w="3172" w:type="dxa"/>
          </w:tcPr>
          <w:p>
            <w:pPr>
              <w:pStyle w:val="TableParagraph"/>
              <w:spacing w:line="226" w:lineRule="exact"/>
              <w:ind w:left="962" w:right="431"/>
              <w:jc w:val="center"/>
              <w:rPr>
                <w:sz w:val="20"/>
              </w:rPr>
            </w:pPr>
            <w:r>
              <w:rPr>
                <w:sz w:val="20"/>
              </w:rPr>
              <w:t>критерий:</w:t>
            </w:r>
            <w:r>
              <w:rPr>
                <w:spacing w:val="-13"/>
                <w:sz w:val="20"/>
              </w:rPr>
              <w:t> </w:t>
            </w:r>
            <w:r>
              <w:rPr>
                <w:spacing w:val="-2"/>
                <w:sz w:val="20"/>
              </w:rPr>
              <w:t>derm3</w:t>
            </w:r>
          </w:p>
        </w:tc>
        <w:tc>
          <w:tcPr>
            <w:tcW w:w="837" w:type="dxa"/>
            <w:vMerge/>
            <w:tcBorders>
              <w:top w:val="nil"/>
            </w:tcBorders>
          </w:tcPr>
          <w:p>
            <w:pPr>
              <w:rPr>
                <w:sz w:val="2"/>
                <w:szCs w:val="2"/>
              </w:rPr>
            </w:pPr>
          </w:p>
        </w:tc>
      </w:tr>
      <w:tr>
        <w:trPr>
          <w:trHeight w:val="790" w:hRule="atLeast"/>
        </w:trPr>
        <w:tc>
          <w:tcPr>
            <w:tcW w:w="971" w:type="dxa"/>
          </w:tcPr>
          <w:p>
            <w:pPr>
              <w:pStyle w:val="TableParagraph"/>
              <w:rPr>
                <w:sz w:val="18"/>
              </w:rPr>
            </w:pPr>
          </w:p>
        </w:tc>
        <w:tc>
          <w:tcPr>
            <w:tcW w:w="657" w:type="dxa"/>
          </w:tcPr>
          <w:p>
            <w:pPr>
              <w:pStyle w:val="TableParagraph"/>
              <w:rPr>
                <w:sz w:val="18"/>
              </w:rPr>
            </w:pPr>
          </w:p>
        </w:tc>
        <w:tc>
          <w:tcPr>
            <w:tcW w:w="2518" w:type="dxa"/>
          </w:tcPr>
          <w:p>
            <w:pPr>
              <w:pStyle w:val="TableParagraph"/>
              <w:rPr>
                <w:sz w:val="18"/>
              </w:rPr>
            </w:pPr>
          </w:p>
        </w:tc>
        <w:tc>
          <w:tcPr>
            <w:tcW w:w="5140" w:type="dxa"/>
          </w:tcPr>
          <w:p>
            <w:pPr>
              <w:pStyle w:val="TableParagraph"/>
              <w:spacing w:before="45"/>
              <w:ind w:left="199" w:right="880"/>
              <w:jc w:val="center"/>
              <w:rPr>
                <w:sz w:val="20"/>
              </w:rPr>
            </w:pPr>
            <w:r>
              <w:rPr>
                <w:spacing w:val="-4"/>
                <w:sz w:val="20"/>
              </w:rPr>
              <w:t>C84.0</w:t>
            </w:r>
          </w:p>
        </w:tc>
        <w:tc>
          <w:tcPr>
            <w:tcW w:w="1980" w:type="dxa"/>
          </w:tcPr>
          <w:p>
            <w:pPr>
              <w:pStyle w:val="TableParagraph"/>
              <w:spacing w:before="45"/>
              <w:ind w:left="934"/>
              <w:rPr>
                <w:sz w:val="20"/>
              </w:rPr>
            </w:pPr>
            <w:r>
              <w:rPr>
                <w:w w:val="99"/>
                <w:sz w:val="20"/>
              </w:rPr>
              <w:t>-</w:t>
            </w:r>
          </w:p>
        </w:tc>
        <w:tc>
          <w:tcPr>
            <w:tcW w:w="3172" w:type="dxa"/>
          </w:tcPr>
          <w:p>
            <w:pPr>
              <w:pStyle w:val="TableParagraph"/>
              <w:spacing w:before="45"/>
              <w:ind w:left="975" w:right="435" w:hanging="2"/>
              <w:jc w:val="center"/>
              <w:rPr>
                <w:sz w:val="20"/>
              </w:rPr>
            </w:pPr>
            <w:r>
              <w:rPr>
                <w:spacing w:val="-4"/>
                <w:sz w:val="20"/>
              </w:rPr>
              <w:t>Иной </w:t>
            </w:r>
            <w:r>
              <w:rPr>
                <w:spacing w:val="-2"/>
                <w:sz w:val="20"/>
              </w:rPr>
              <w:t>классификационный </w:t>
            </w:r>
            <w:r>
              <w:rPr>
                <w:sz w:val="20"/>
              </w:rPr>
              <w:t>критерий: derm4</w:t>
            </w:r>
          </w:p>
        </w:tc>
        <w:tc>
          <w:tcPr>
            <w:tcW w:w="837"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st06.007</w:t>
            </w:r>
          </w:p>
        </w:tc>
        <w:tc>
          <w:tcPr>
            <w:tcW w:w="657" w:type="dxa"/>
          </w:tcPr>
          <w:p>
            <w:pPr>
              <w:pStyle w:val="TableParagraph"/>
              <w:spacing w:line="214" w:lineRule="exact" w:before="46"/>
              <w:ind w:left="222" w:right="205"/>
              <w:jc w:val="center"/>
              <w:rPr>
                <w:sz w:val="20"/>
              </w:rPr>
            </w:pPr>
            <w:r>
              <w:rPr>
                <w:spacing w:val="-5"/>
                <w:sz w:val="20"/>
              </w:rPr>
              <w:t>32</w:t>
            </w:r>
          </w:p>
        </w:tc>
        <w:tc>
          <w:tcPr>
            <w:tcW w:w="2518" w:type="dxa"/>
          </w:tcPr>
          <w:p>
            <w:pPr>
              <w:pStyle w:val="TableParagraph"/>
              <w:spacing w:line="214" w:lineRule="exact" w:before="46"/>
              <w:ind w:left="33" w:right="243"/>
              <w:jc w:val="center"/>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40" w:type="dxa"/>
          </w:tcPr>
          <w:p>
            <w:pPr>
              <w:pStyle w:val="TableParagraph"/>
              <w:spacing w:line="214" w:lineRule="exact" w:before="46"/>
              <w:ind w:left="199" w:right="887"/>
              <w:jc w:val="center"/>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tc>
        <w:tc>
          <w:tcPr>
            <w:tcW w:w="1980" w:type="dxa"/>
          </w:tcPr>
          <w:p>
            <w:pPr>
              <w:pStyle w:val="TableParagraph"/>
              <w:spacing w:line="214" w:lineRule="exact" w:before="46"/>
              <w:ind w:left="934"/>
              <w:rPr>
                <w:sz w:val="20"/>
              </w:rPr>
            </w:pPr>
            <w:r>
              <w:rPr>
                <w:w w:val="99"/>
                <w:sz w:val="20"/>
              </w:rPr>
              <w:t>-</w:t>
            </w:r>
          </w:p>
        </w:tc>
        <w:tc>
          <w:tcPr>
            <w:tcW w:w="3172" w:type="dxa"/>
          </w:tcPr>
          <w:p>
            <w:pPr>
              <w:pStyle w:val="TableParagraph"/>
              <w:spacing w:line="214" w:lineRule="exact" w:before="46"/>
              <w:ind w:left="967" w:right="431"/>
              <w:jc w:val="center"/>
              <w:rPr>
                <w:sz w:val="20"/>
              </w:rPr>
            </w:pPr>
            <w:r>
              <w:rPr>
                <w:spacing w:val="-4"/>
                <w:sz w:val="20"/>
              </w:rPr>
              <w:t>Иной</w:t>
            </w:r>
          </w:p>
        </w:tc>
        <w:tc>
          <w:tcPr>
            <w:tcW w:w="837" w:type="dxa"/>
          </w:tcPr>
          <w:p>
            <w:pPr>
              <w:pStyle w:val="TableParagraph"/>
              <w:spacing w:line="214" w:lineRule="exact" w:before="46"/>
              <w:ind w:left="434"/>
              <w:rPr>
                <w:sz w:val="20"/>
              </w:rPr>
            </w:pPr>
            <w:r>
              <w:rPr>
                <w:spacing w:val="-4"/>
                <w:sz w:val="20"/>
              </w:rPr>
              <w:t>2,86</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8" w:type="dxa"/>
          </w:tcPr>
          <w:p>
            <w:pPr>
              <w:pStyle w:val="TableParagraph"/>
              <w:spacing w:line="209" w:lineRule="exact"/>
              <w:ind w:left="211" w:right="242"/>
              <w:jc w:val="center"/>
              <w:rPr>
                <w:sz w:val="20"/>
              </w:rPr>
            </w:pPr>
            <w:r>
              <w:rPr>
                <w:spacing w:val="-2"/>
                <w:sz w:val="20"/>
              </w:rPr>
              <w:t>применением</w:t>
            </w:r>
            <w:r>
              <w:rPr>
                <w:spacing w:val="8"/>
                <w:sz w:val="20"/>
              </w:rPr>
              <w:t> </w:t>
            </w:r>
            <w:r>
              <w:rPr>
                <w:spacing w:val="-2"/>
                <w:sz w:val="20"/>
              </w:rPr>
              <w:t>наружной</w:t>
            </w:r>
          </w:p>
        </w:tc>
        <w:tc>
          <w:tcPr>
            <w:tcW w:w="5140" w:type="dxa"/>
          </w:tcPr>
          <w:p>
            <w:pPr>
              <w:pStyle w:val="TableParagraph"/>
              <w:spacing w:line="209" w:lineRule="exact"/>
              <w:ind w:left="199" w:right="887"/>
              <w:jc w:val="center"/>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tc>
        <w:tc>
          <w:tcPr>
            <w:tcW w:w="1980" w:type="dxa"/>
          </w:tcPr>
          <w:p>
            <w:pPr>
              <w:pStyle w:val="TableParagraph"/>
              <w:rPr>
                <w:sz w:val="16"/>
              </w:rPr>
            </w:pPr>
          </w:p>
        </w:tc>
        <w:tc>
          <w:tcPr>
            <w:tcW w:w="3172" w:type="dxa"/>
          </w:tcPr>
          <w:p>
            <w:pPr>
              <w:pStyle w:val="TableParagraph"/>
              <w:spacing w:line="209" w:lineRule="exact"/>
              <w:ind w:left="968" w:right="431"/>
              <w:jc w:val="center"/>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8" w:type="dxa"/>
          </w:tcPr>
          <w:p>
            <w:pPr>
              <w:pStyle w:val="TableParagraph"/>
              <w:spacing w:line="210" w:lineRule="exact"/>
              <w:ind w:left="157" w:right="243"/>
              <w:jc w:val="center"/>
              <w:rPr>
                <w:sz w:val="20"/>
              </w:rPr>
            </w:pPr>
            <w:r>
              <w:rPr>
                <w:sz w:val="20"/>
              </w:rPr>
              <w:t>терапии</w:t>
            </w:r>
            <w:r>
              <w:rPr>
                <w:spacing w:val="-5"/>
                <w:sz w:val="20"/>
              </w:rPr>
              <w:t> </w:t>
            </w:r>
            <w:r>
              <w:rPr>
                <w:sz w:val="20"/>
              </w:rPr>
              <w:t>и</w:t>
            </w:r>
            <w:r>
              <w:rPr>
                <w:spacing w:val="-5"/>
                <w:sz w:val="20"/>
              </w:rPr>
              <w:t> </w:t>
            </w:r>
            <w:r>
              <w:rPr>
                <w:spacing w:val="-2"/>
                <w:sz w:val="20"/>
              </w:rPr>
              <w:t>фототерапии</w:t>
            </w:r>
          </w:p>
        </w:tc>
        <w:tc>
          <w:tcPr>
            <w:tcW w:w="5140" w:type="dxa"/>
          </w:tcPr>
          <w:p>
            <w:pPr>
              <w:pStyle w:val="TableParagraph"/>
              <w:spacing w:line="210" w:lineRule="exact"/>
              <w:ind w:left="199" w:right="885"/>
              <w:jc w:val="center"/>
              <w:rPr>
                <w:sz w:val="20"/>
              </w:rPr>
            </w:pPr>
            <w:r>
              <w:rPr>
                <w:sz w:val="20"/>
              </w:rPr>
              <w:t>L43.2,</w:t>
            </w:r>
            <w:r>
              <w:rPr>
                <w:spacing w:val="-5"/>
                <w:sz w:val="20"/>
              </w:rPr>
              <w:t> </w:t>
            </w:r>
            <w:r>
              <w:rPr>
                <w:sz w:val="20"/>
              </w:rPr>
              <w:t>L43.3,</w:t>
            </w:r>
            <w:r>
              <w:rPr>
                <w:spacing w:val="-5"/>
                <w:sz w:val="20"/>
              </w:rPr>
              <w:t> </w:t>
            </w:r>
            <w:r>
              <w:rPr>
                <w:sz w:val="20"/>
              </w:rPr>
              <w:t>L43.8,</w:t>
            </w:r>
            <w:r>
              <w:rPr>
                <w:spacing w:val="-5"/>
                <w:sz w:val="20"/>
              </w:rPr>
              <w:t> </w:t>
            </w:r>
            <w:r>
              <w:rPr>
                <w:sz w:val="20"/>
              </w:rPr>
              <w:t>L44.0,</w:t>
            </w:r>
            <w:r>
              <w:rPr>
                <w:spacing w:val="-4"/>
                <w:sz w:val="20"/>
              </w:rPr>
              <w:t> </w:t>
            </w:r>
            <w:r>
              <w:rPr>
                <w:sz w:val="20"/>
              </w:rPr>
              <w:t>L44.8,</w:t>
            </w:r>
            <w:r>
              <w:rPr>
                <w:spacing w:val="-5"/>
                <w:sz w:val="20"/>
              </w:rPr>
              <w:t> </w:t>
            </w:r>
            <w:r>
              <w:rPr>
                <w:sz w:val="20"/>
              </w:rPr>
              <w:t>L63.0,</w:t>
            </w:r>
            <w:r>
              <w:rPr>
                <w:spacing w:val="-5"/>
                <w:sz w:val="20"/>
              </w:rPr>
              <w:t> </w:t>
            </w:r>
            <w:r>
              <w:rPr>
                <w:spacing w:val="-2"/>
                <w:sz w:val="20"/>
              </w:rPr>
              <w:t>L63.1,</w:t>
            </w:r>
          </w:p>
        </w:tc>
        <w:tc>
          <w:tcPr>
            <w:tcW w:w="1980" w:type="dxa"/>
          </w:tcPr>
          <w:p>
            <w:pPr>
              <w:pStyle w:val="TableParagraph"/>
              <w:rPr>
                <w:sz w:val="16"/>
              </w:rPr>
            </w:pPr>
          </w:p>
        </w:tc>
        <w:tc>
          <w:tcPr>
            <w:tcW w:w="3172" w:type="dxa"/>
          </w:tcPr>
          <w:p>
            <w:pPr>
              <w:pStyle w:val="TableParagraph"/>
              <w:spacing w:line="210" w:lineRule="exact"/>
              <w:ind w:left="962" w:right="431"/>
              <w:jc w:val="center"/>
              <w:rPr>
                <w:sz w:val="20"/>
              </w:rPr>
            </w:pPr>
            <w:r>
              <w:rPr>
                <w:sz w:val="20"/>
              </w:rPr>
              <w:t>критерий:</w:t>
            </w:r>
            <w:r>
              <w:rPr>
                <w:spacing w:val="-13"/>
                <w:sz w:val="20"/>
              </w:rPr>
              <w:t> </w:t>
            </w:r>
            <w:r>
              <w:rPr>
                <w:spacing w:val="-2"/>
                <w:sz w:val="20"/>
              </w:rPr>
              <w:t>derm5</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8" w:type="dxa"/>
          </w:tcPr>
          <w:p>
            <w:pPr>
              <w:pStyle w:val="TableParagraph"/>
              <w:rPr>
                <w:sz w:val="16"/>
              </w:rPr>
            </w:pPr>
          </w:p>
        </w:tc>
        <w:tc>
          <w:tcPr>
            <w:tcW w:w="5140" w:type="dxa"/>
          </w:tcPr>
          <w:p>
            <w:pPr>
              <w:pStyle w:val="TableParagraph"/>
              <w:spacing w:line="211" w:lineRule="exact"/>
              <w:ind w:left="198" w:right="888"/>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tc>
        <w:tc>
          <w:tcPr>
            <w:tcW w:w="1980"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18" w:type="dxa"/>
          </w:tcPr>
          <w:p>
            <w:pPr>
              <w:pStyle w:val="TableParagraph"/>
              <w:rPr>
                <w:sz w:val="18"/>
              </w:rPr>
            </w:pPr>
          </w:p>
        </w:tc>
        <w:tc>
          <w:tcPr>
            <w:tcW w:w="5140" w:type="dxa"/>
          </w:tcPr>
          <w:p>
            <w:pPr>
              <w:pStyle w:val="TableParagraph"/>
              <w:spacing w:line="226" w:lineRule="exact"/>
              <w:ind w:left="199" w:right="886"/>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1980"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735" w:hRule="atLeast"/>
        </w:trPr>
        <w:tc>
          <w:tcPr>
            <w:tcW w:w="971" w:type="dxa"/>
          </w:tcPr>
          <w:p>
            <w:pPr>
              <w:pStyle w:val="TableParagraph"/>
              <w:rPr>
                <w:sz w:val="18"/>
              </w:rPr>
            </w:pPr>
          </w:p>
        </w:tc>
        <w:tc>
          <w:tcPr>
            <w:tcW w:w="657" w:type="dxa"/>
          </w:tcPr>
          <w:p>
            <w:pPr>
              <w:pStyle w:val="TableParagraph"/>
              <w:rPr>
                <w:sz w:val="18"/>
              </w:rPr>
            </w:pPr>
          </w:p>
        </w:tc>
        <w:tc>
          <w:tcPr>
            <w:tcW w:w="2518" w:type="dxa"/>
          </w:tcPr>
          <w:p>
            <w:pPr>
              <w:pStyle w:val="TableParagraph"/>
              <w:rPr>
                <w:sz w:val="18"/>
              </w:rPr>
            </w:pPr>
          </w:p>
        </w:tc>
        <w:tc>
          <w:tcPr>
            <w:tcW w:w="5140" w:type="dxa"/>
          </w:tcPr>
          <w:p>
            <w:pPr>
              <w:pStyle w:val="TableParagraph"/>
              <w:spacing w:before="45"/>
              <w:ind w:left="199" w:right="887"/>
              <w:jc w:val="center"/>
              <w:rPr>
                <w:sz w:val="20"/>
              </w:rPr>
            </w:pPr>
            <w:r>
              <w:rPr>
                <w:sz w:val="20"/>
              </w:rPr>
              <w:t>L40.0,</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4"/>
                <w:sz w:val="20"/>
              </w:rPr>
              <w:t>L40.8</w:t>
            </w:r>
          </w:p>
        </w:tc>
        <w:tc>
          <w:tcPr>
            <w:tcW w:w="1980" w:type="dxa"/>
          </w:tcPr>
          <w:p>
            <w:pPr>
              <w:pStyle w:val="TableParagraph"/>
              <w:spacing w:before="45"/>
              <w:ind w:left="934"/>
              <w:rPr>
                <w:sz w:val="20"/>
              </w:rPr>
            </w:pPr>
            <w:r>
              <w:rPr>
                <w:w w:val="99"/>
                <w:sz w:val="20"/>
              </w:rPr>
              <w:t>-</w:t>
            </w:r>
          </w:p>
        </w:tc>
        <w:tc>
          <w:tcPr>
            <w:tcW w:w="3172" w:type="dxa"/>
          </w:tcPr>
          <w:p>
            <w:pPr>
              <w:pStyle w:val="TableParagraph"/>
              <w:spacing w:line="230" w:lineRule="atLeast" w:before="25"/>
              <w:ind w:left="975" w:right="435" w:hanging="2"/>
              <w:jc w:val="center"/>
              <w:rPr>
                <w:sz w:val="20"/>
              </w:rPr>
            </w:pPr>
            <w:r>
              <w:rPr>
                <w:spacing w:val="-4"/>
                <w:sz w:val="20"/>
              </w:rPr>
              <w:t>Иной </w:t>
            </w:r>
            <w:r>
              <w:rPr>
                <w:spacing w:val="-2"/>
                <w:sz w:val="20"/>
              </w:rPr>
              <w:t>классификационный </w:t>
            </w:r>
            <w:r>
              <w:rPr>
                <w:sz w:val="20"/>
              </w:rPr>
              <w:t>критерий: derm6</w:t>
            </w:r>
          </w:p>
        </w:tc>
        <w:tc>
          <w:tcPr>
            <w:tcW w:w="837"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3"/>
        <w:gridCol w:w="5140"/>
        <w:gridCol w:w="2144"/>
        <w:gridCol w:w="2953"/>
        <w:gridCol w:w="837"/>
      </w:tblGrid>
      <w:tr>
        <w:trPr>
          <w:trHeight w:val="1195" w:hRule="atLeast"/>
        </w:trPr>
        <w:tc>
          <w:tcPr>
            <w:tcW w:w="971" w:type="dxa"/>
          </w:tcPr>
          <w:p>
            <w:pPr>
              <w:pStyle w:val="TableParagraph"/>
              <w:rPr>
                <w:sz w:val="18"/>
              </w:rPr>
            </w:pPr>
          </w:p>
        </w:tc>
        <w:tc>
          <w:tcPr>
            <w:tcW w:w="657" w:type="dxa"/>
          </w:tcPr>
          <w:p>
            <w:pPr>
              <w:pStyle w:val="TableParagraph"/>
              <w:rPr>
                <w:sz w:val="18"/>
              </w:rPr>
            </w:pPr>
          </w:p>
        </w:tc>
        <w:tc>
          <w:tcPr>
            <w:tcW w:w="2573" w:type="dxa"/>
          </w:tcPr>
          <w:p>
            <w:pPr>
              <w:pStyle w:val="TableParagraph"/>
              <w:rPr>
                <w:sz w:val="18"/>
              </w:rPr>
            </w:pPr>
          </w:p>
        </w:tc>
        <w:tc>
          <w:tcPr>
            <w:tcW w:w="5140" w:type="dxa"/>
          </w:tcPr>
          <w:p>
            <w:pPr>
              <w:pStyle w:val="TableParagraph"/>
              <w:spacing w:line="221" w:lineRule="exact"/>
              <w:ind w:left="193"/>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p>
            <w:pPr>
              <w:pStyle w:val="TableParagraph"/>
              <w:spacing w:line="229" w:lineRule="exact"/>
              <w:ind w:left="193"/>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p>
            <w:pPr>
              <w:pStyle w:val="TableParagraph"/>
              <w:spacing w:line="229" w:lineRule="exact"/>
              <w:ind w:left="193"/>
              <w:rPr>
                <w:sz w:val="20"/>
              </w:rPr>
            </w:pPr>
            <w:r>
              <w:rPr>
                <w:sz w:val="20"/>
              </w:rPr>
              <w:t>L43.2,</w:t>
            </w:r>
            <w:r>
              <w:rPr>
                <w:spacing w:val="-6"/>
                <w:sz w:val="20"/>
              </w:rPr>
              <w:t> </w:t>
            </w:r>
            <w:r>
              <w:rPr>
                <w:sz w:val="20"/>
              </w:rPr>
              <w:t>L43.3,</w:t>
            </w:r>
            <w:r>
              <w:rPr>
                <w:spacing w:val="-5"/>
                <w:sz w:val="20"/>
              </w:rPr>
              <w:t> </w:t>
            </w:r>
            <w:r>
              <w:rPr>
                <w:sz w:val="20"/>
              </w:rPr>
              <w:t>L43.8,</w:t>
            </w:r>
            <w:r>
              <w:rPr>
                <w:spacing w:val="-5"/>
                <w:sz w:val="20"/>
              </w:rPr>
              <w:t> </w:t>
            </w:r>
            <w:r>
              <w:rPr>
                <w:sz w:val="20"/>
              </w:rPr>
              <w:t>L44.0,</w:t>
            </w:r>
            <w:r>
              <w:rPr>
                <w:spacing w:val="-5"/>
                <w:sz w:val="20"/>
              </w:rPr>
              <w:t> </w:t>
            </w:r>
            <w:r>
              <w:rPr>
                <w:sz w:val="20"/>
              </w:rPr>
              <w:t>L44.8,</w:t>
            </w:r>
            <w:r>
              <w:rPr>
                <w:spacing w:val="-5"/>
                <w:sz w:val="20"/>
              </w:rPr>
              <w:t> </w:t>
            </w:r>
            <w:r>
              <w:rPr>
                <w:sz w:val="20"/>
              </w:rPr>
              <w:t>L63.0,</w:t>
            </w:r>
            <w:r>
              <w:rPr>
                <w:spacing w:val="-5"/>
                <w:sz w:val="20"/>
              </w:rPr>
              <w:t> </w:t>
            </w:r>
            <w:r>
              <w:rPr>
                <w:spacing w:val="-2"/>
                <w:sz w:val="20"/>
              </w:rPr>
              <w:t>L63.1,</w:t>
            </w:r>
          </w:p>
          <w:p>
            <w:pPr>
              <w:pStyle w:val="TableParagraph"/>
              <w:spacing w:before="1"/>
              <w:ind w:left="88" w:right="888"/>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p>
            <w:pPr>
              <w:pStyle w:val="TableParagraph"/>
              <w:ind w:left="91" w:right="888"/>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2144" w:type="dxa"/>
          </w:tcPr>
          <w:p>
            <w:pPr>
              <w:pStyle w:val="TableParagraph"/>
              <w:spacing w:line="221" w:lineRule="exact"/>
              <w:ind w:right="317"/>
              <w:jc w:val="center"/>
              <w:rPr>
                <w:sz w:val="20"/>
              </w:rPr>
            </w:pPr>
            <w:r>
              <w:rPr>
                <w:w w:val="99"/>
                <w:sz w:val="20"/>
              </w:rPr>
              <w:t>-</w:t>
            </w:r>
          </w:p>
        </w:tc>
        <w:tc>
          <w:tcPr>
            <w:tcW w:w="2953" w:type="dxa"/>
          </w:tcPr>
          <w:p>
            <w:pPr>
              <w:pStyle w:val="TableParagraph"/>
              <w:ind w:left="756" w:right="435" w:hanging="2"/>
              <w:jc w:val="center"/>
              <w:rPr>
                <w:sz w:val="20"/>
              </w:rPr>
            </w:pPr>
            <w:r>
              <w:rPr>
                <w:spacing w:val="-4"/>
                <w:sz w:val="20"/>
              </w:rPr>
              <w:t>Иной </w:t>
            </w:r>
            <w:r>
              <w:rPr>
                <w:spacing w:val="-2"/>
                <w:sz w:val="20"/>
              </w:rPr>
              <w:t>классификационный </w:t>
            </w:r>
            <w:r>
              <w:rPr>
                <w:sz w:val="20"/>
              </w:rPr>
              <w:t>критерий: derm7</w:t>
            </w:r>
          </w:p>
        </w:tc>
        <w:tc>
          <w:tcPr>
            <w:tcW w:w="837" w:type="dxa"/>
          </w:tcPr>
          <w:p>
            <w:pPr>
              <w:pStyle w:val="TableParagraph"/>
              <w:rPr>
                <w:sz w:val="18"/>
              </w:rPr>
            </w:pPr>
          </w:p>
        </w:tc>
      </w:tr>
      <w:tr>
        <w:trPr>
          <w:trHeight w:val="330" w:hRule="atLeast"/>
        </w:trPr>
        <w:tc>
          <w:tcPr>
            <w:tcW w:w="971" w:type="dxa"/>
          </w:tcPr>
          <w:p>
            <w:pPr>
              <w:pStyle w:val="TableParagraph"/>
              <w:spacing w:before="46"/>
              <w:ind w:left="37" w:right="223"/>
              <w:jc w:val="center"/>
              <w:rPr>
                <w:sz w:val="20"/>
              </w:rPr>
            </w:pPr>
            <w:r>
              <w:rPr>
                <w:spacing w:val="-4"/>
                <w:sz w:val="20"/>
              </w:rPr>
              <w:t>st07</w:t>
            </w:r>
          </w:p>
        </w:tc>
        <w:tc>
          <w:tcPr>
            <w:tcW w:w="657" w:type="dxa"/>
          </w:tcPr>
          <w:p>
            <w:pPr>
              <w:pStyle w:val="TableParagraph"/>
              <w:spacing w:before="46"/>
              <w:ind w:left="15"/>
              <w:jc w:val="center"/>
              <w:rPr>
                <w:sz w:val="20"/>
              </w:rPr>
            </w:pPr>
            <w:r>
              <w:rPr>
                <w:w w:val="99"/>
                <w:sz w:val="20"/>
              </w:rPr>
              <w:t>7</w:t>
            </w:r>
          </w:p>
        </w:tc>
        <w:tc>
          <w:tcPr>
            <w:tcW w:w="2573" w:type="dxa"/>
          </w:tcPr>
          <w:p>
            <w:pPr>
              <w:pStyle w:val="TableParagraph"/>
              <w:rPr>
                <w:sz w:val="18"/>
              </w:rPr>
            </w:pPr>
          </w:p>
        </w:tc>
        <w:tc>
          <w:tcPr>
            <w:tcW w:w="5140" w:type="dxa"/>
          </w:tcPr>
          <w:p>
            <w:pPr>
              <w:pStyle w:val="TableParagraph"/>
              <w:spacing w:before="46"/>
              <w:ind w:right="439"/>
              <w:jc w:val="right"/>
              <w:rPr>
                <w:sz w:val="20"/>
              </w:rPr>
            </w:pPr>
            <w:r>
              <w:rPr>
                <w:sz w:val="20"/>
              </w:rPr>
              <w:t>Детская</w:t>
            </w:r>
            <w:r>
              <w:rPr>
                <w:spacing w:val="-9"/>
                <w:sz w:val="20"/>
              </w:rPr>
              <w:t> </w:t>
            </w:r>
            <w:r>
              <w:rPr>
                <w:spacing w:val="-2"/>
                <w:sz w:val="20"/>
              </w:rPr>
              <w:t>кардиология</w:t>
            </w:r>
          </w:p>
        </w:tc>
        <w:tc>
          <w:tcPr>
            <w:tcW w:w="2144" w:type="dxa"/>
          </w:tcPr>
          <w:p>
            <w:pPr>
              <w:pStyle w:val="TableParagraph"/>
              <w:rPr>
                <w:sz w:val="18"/>
              </w:rPr>
            </w:pPr>
          </w:p>
        </w:tc>
        <w:tc>
          <w:tcPr>
            <w:tcW w:w="2953" w:type="dxa"/>
          </w:tcPr>
          <w:p>
            <w:pPr>
              <w:pStyle w:val="TableParagraph"/>
              <w:rPr>
                <w:sz w:val="18"/>
              </w:rPr>
            </w:pPr>
          </w:p>
        </w:tc>
        <w:tc>
          <w:tcPr>
            <w:tcW w:w="837" w:type="dxa"/>
          </w:tcPr>
          <w:p>
            <w:pPr>
              <w:pStyle w:val="TableParagraph"/>
              <w:spacing w:before="46"/>
              <w:ind w:right="49"/>
              <w:jc w:val="right"/>
              <w:rPr>
                <w:sz w:val="20"/>
              </w:rPr>
            </w:pPr>
            <w:r>
              <w:rPr>
                <w:spacing w:val="-4"/>
                <w:sz w:val="20"/>
              </w:rPr>
              <w:t>1,84</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st07.001</w:t>
            </w:r>
          </w:p>
        </w:tc>
        <w:tc>
          <w:tcPr>
            <w:tcW w:w="657" w:type="dxa"/>
          </w:tcPr>
          <w:p>
            <w:pPr>
              <w:pStyle w:val="TableParagraph"/>
              <w:spacing w:line="215" w:lineRule="exact" w:before="45"/>
              <w:ind w:left="222" w:right="205"/>
              <w:jc w:val="center"/>
              <w:rPr>
                <w:sz w:val="20"/>
              </w:rPr>
            </w:pPr>
            <w:r>
              <w:rPr>
                <w:spacing w:val="-5"/>
                <w:sz w:val="20"/>
              </w:rPr>
              <w:t>33</w:t>
            </w:r>
          </w:p>
        </w:tc>
        <w:tc>
          <w:tcPr>
            <w:tcW w:w="2573" w:type="dxa"/>
          </w:tcPr>
          <w:p>
            <w:pPr>
              <w:pStyle w:val="TableParagraph"/>
              <w:spacing w:line="215" w:lineRule="exact" w:before="45"/>
              <w:ind w:left="217"/>
              <w:rPr>
                <w:sz w:val="20"/>
              </w:rPr>
            </w:pPr>
            <w:r>
              <w:rPr>
                <w:spacing w:val="-2"/>
                <w:sz w:val="20"/>
              </w:rPr>
              <w:t>Врожденные</w:t>
            </w:r>
            <w:r>
              <w:rPr>
                <w:spacing w:val="7"/>
                <w:sz w:val="20"/>
              </w:rPr>
              <w:t> </w:t>
            </w:r>
            <w:r>
              <w:rPr>
                <w:spacing w:val="-2"/>
                <w:sz w:val="20"/>
              </w:rPr>
              <w:t>аномалии</w:t>
            </w:r>
          </w:p>
        </w:tc>
        <w:tc>
          <w:tcPr>
            <w:tcW w:w="5140" w:type="dxa"/>
          </w:tcPr>
          <w:p>
            <w:pPr>
              <w:pStyle w:val="TableParagraph"/>
              <w:spacing w:line="215" w:lineRule="exact" w:before="45"/>
              <w:ind w:left="412"/>
              <w:rPr>
                <w:sz w:val="20"/>
              </w:rPr>
            </w:pPr>
            <w:r>
              <w:rPr>
                <w:sz w:val="20"/>
              </w:rPr>
              <w:t>D18.0,</w:t>
            </w:r>
            <w:r>
              <w:rPr>
                <w:spacing w:val="-4"/>
                <w:sz w:val="20"/>
              </w:rPr>
              <w:t> </w:t>
            </w:r>
            <w:r>
              <w:rPr>
                <w:sz w:val="20"/>
              </w:rPr>
              <w:t>Q20.0,</w:t>
            </w:r>
            <w:r>
              <w:rPr>
                <w:spacing w:val="-6"/>
                <w:sz w:val="20"/>
              </w:rPr>
              <w:t> </w:t>
            </w:r>
            <w:r>
              <w:rPr>
                <w:sz w:val="20"/>
              </w:rPr>
              <w:t>Q20.1,</w:t>
            </w:r>
            <w:r>
              <w:rPr>
                <w:spacing w:val="-4"/>
                <w:sz w:val="20"/>
              </w:rPr>
              <w:t> </w:t>
            </w:r>
            <w:r>
              <w:rPr>
                <w:sz w:val="20"/>
              </w:rPr>
              <w:t>Q20.2,</w:t>
            </w:r>
            <w:r>
              <w:rPr>
                <w:spacing w:val="-6"/>
                <w:sz w:val="20"/>
              </w:rPr>
              <w:t> </w:t>
            </w:r>
            <w:r>
              <w:rPr>
                <w:sz w:val="20"/>
              </w:rPr>
              <w:t>Q20.3,</w:t>
            </w:r>
            <w:r>
              <w:rPr>
                <w:spacing w:val="-4"/>
                <w:sz w:val="20"/>
              </w:rPr>
              <w:t> </w:t>
            </w:r>
            <w:r>
              <w:rPr>
                <w:spacing w:val="-2"/>
                <w:sz w:val="20"/>
              </w:rPr>
              <w:t>Q20.4,</w:t>
            </w:r>
          </w:p>
        </w:tc>
        <w:tc>
          <w:tcPr>
            <w:tcW w:w="2144" w:type="dxa"/>
          </w:tcPr>
          <w:p>
            <w:pPr>
              <w:pStyle w:val="TableParagraph"/>
              <w:spacing w:line="215" w:lineRule="exact" w:before="45"/>
              <w:ind w:right="317"/>
              <w:jc w:val="center"/>
              <w:rPr>
                <w:sz w:val="20"/>
              </w:rPr>
            </w:pPr>
            <w:r>
              <w:rPr>
                <w:w w:val="99"/>
                <w:sz w:val="20"/>
              </w:rPr>
              <w:t>-</w:t>
            </w:r>
          </w:p>
        </w:tc>
        <w:tc>
          <w:tcPr>
            <w:tcW w:w="2953" w:type="dxa"/>
          </w:tcPr>
          <w:p>
            <w:pPr>
              <w:pStyle w:val="TableParagraph"/>
              <w:spacing w:line="215" w:lineRule="exact" w:before="45"/>
              <w:ind w:right="489"/>
              <w:jc w:val="right"/>
              <w:rPr>
                <w:sz w:val="20"/>
              </w:rPr>
            </w:pPr>
            <w:r>
              <w:rPr>
                <w:sz w:val="20"/>
              </w:rPr>
              <w:t>Возрастная</w:t>
            </w:r>
            <w:r>
              <w:rPr>
                <w:spacing w:val="-11"/>
                <w:sz w:val="20"/>
              </w:rPr>
              <w:t> </w:t>
            </w:r>
            <w:r>
              <w:rPr>
                <w:spacing w:val="-2"/>
                <w:sz w:val="20"/>
              </w:rPr>
              <w:t>группа:</w:t>
            </w:r>
          </w:p>
        </w:tc>
        <w:tc>
          <w:tcPr>
            <w:tcW w:w="837" w:type="dxa"/>
          </w:tcPr>
          <w:p>
            <w:pPr>
              <w:pStyle w:val="TableParagraph"/>
              <w:spacing w:line="215" w:lineRule="exact" w:before="45"/>
              <w:ind w:right="49"/>
              <w:jc w:val="right"/>
              <w:rPr>
                <w:sz w:val="20"/>
              </w:rPr>
            </w:pPr>
            <w:r>
              <w:rPr>
                <w:spacing w:val="-4"/>
                <w:sz w:val="20"/>
              </w:rPr>
              <w:t>1,84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w w:val="95"/>
                <w:sz w:val="20"/>
              </w:rPr>
              <w:t>сердечно-</w:t>
            </w:r>
            <w:r>
              <w:rPr>
                <w:spacing w:val="-2"/>
                <w:sz w:val="20"/>
              </w:rPr>
              <w:t>сосудистой</w:t>
            </w:r>
          </w:p>
        </w:tc>
        <w:tc>
          <w:tcPr>
            <w:tcW w:w="5140" w:type="dxa"/>
          </w:tcPr>
          <w:p>
            <w:pPr>
              <w:pStyle w:val="TableParagraph"/>
              <w:spacing w:line="210" w:lineRule="exact"/>
              <w:ind w:left="412"/>
              <w:rPr>
                <w:sz w:val="20"/>
              </w:rPr>
            </w:pPr>
            <w:r>
              <w:rPr>
                <w:sz w:val="20"/>
              </w:rPr>
              <w:t>Q20.5,</w:t>
            </w:r>
            <w:r>
              <w:rPr>
                <w:spacing w:val="-4"/>
                <w:sz w:val="20"/>
              </w:rPr>
              <w:t> </w:t>
            </w:r>
            <w:r>
              <w:rPr>
                <w:sz w:val="20"/>
              </w:rPr>
              <w:t>Q20.6,</w:t>
            </w:r>
            <w:r>
              <w:rPr>
                <w:spacing w:val="-6"/>
                <w:sz w:val="20"/>
              </w:rPr>
              <w:t> </w:t>
            </w:r>
            <w:r>
              <w:rPr>
                <w:sz w:val="20"/>
              </w:rPr>
              <w:t>Q20.8,</w:t>
            </w:r>
            <w:r>
              <w:rPr>
                <w:spacing w:val="-4"/>
                <w:sz w:val="20"/>
              </w:rPr>
              <w:t> </w:t>
            </w:r>
            <w:r>
              <w:rPr>
                <w:sz w:val="20"/>
              </w:rPr>
              <w:t>Q20.9,</w:t>
            </w:r>
            <w:r>
              <w:rPr>
                <w:spacing w:val="-6"/>
                <w:sz w:val="20"/>
              </w:rPr>
              <w:t> </w:t>
            </w:r>
            <w:r>
              <w:rPr>
                <w:sz w:val="20"/>
              </w:rPr>
              <w:t>Q21.0,</w:t>
            </w:r>
            <w:r>
              <w:rPr>
                <w:spacing w:val="-4"/>
                <w:sz w:val="20"/>
              </w:rPr>
              <w:t> </w:t>
            </w:r>
            <w:r>
              <w:rPr>
                <w:spacing w:val="-2"/>
                <w:sz w:val="20"/>
              </w:rPr>
              <w:t>Q21.1,</w:t>
            </w:r>
          </w:p>
        </w:tc>
        <w:tc>
          <w:tcPr>
            <w:tcW w:w="2144" w:type="dxa"/>
          </w:tcPr>
          <w:p>
            <w:pPr>
              <w:pStyle w:val="TableParagraph"/>
              <w:rPr>
                <w:sz w:val="16"/>
              </w:rPr>
            </w:pPr>
          </w:p>
        </w:tc>
        <w:tc>
          <w:tcPr>
            <w:tcW w:w="2953" w:type="dxa"/>
          </w:tcPr>
          <w:p>
            <w:pPr>
              <w:pStyle w:val="TableParagraph"/>
              <w:spacing w:line="210" w:lineRule="exact"/>
              <w:ind w:right="508"/>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sz w:val="20"/>
              </w:rPr>
              <w:t>системы,</w:t>
            </w:r>
            <w:r>
              <w:rPr>
                <w:spacing w:val="-7"/>
                <w:sz w:val="20"/>
              </w:rPr>
              <w:t> </w:t>
            </w:r>
            <w:r>
              <w:rPr>
                <w:spacing w:val="-4"/>
                <w:sz w:val="20"/>
              </w:rPr>
              <w:t>дети</w:t>
            </w:r>
          </w:p>
        </w:tc>
        <w:tc>
          <w:tcPr>
            <w:tcW w:w="5140" w:type="dxa"/>
          </w:tcPr>
          <w:p>
            <w:pPr>
              <w:pStyle w:val="TableParagraph"/>
              <w:spacing w:line="210" w:lineRule="exact"/>
              <w:ind w:left="412"/>
              <w:rPr>
                <w:sz w:val="20"/>
              </w:rPr>
            </w:pPr>
            <w:r>
              <w:rPr>
                <w:sz w:val="20"/>
              </w:rPr>
              <w:t>Q21.2,</w:t>
            </w:r>
            <w:r>
              <w:rPr>
                <w:spacing w:val="-4"/>
                <w:sz w:val="20"/>
              </w:rPr>
              <w:t> </w:t>
            </w:r>
            <w:r>
              <w:rPr>
                <w:sz w:val="20"/>
              </w:rPr>
              <w:t>Q21.3,</w:t>
            </w:r>
            <w:r>
              <w:rPr>
                <w:spacing w:val="-6"/>
                <w:sz w:val="20"/>
              </w:rPr>
              <w:t> </w:t>
            </w:r>
            <w:r>
              <w:rPr>
                <w:sz w:val="20"/>
              </w:rPr>
              <w:t>Q21.4,</w:t>
            </w:r>
            <w:r>
              <w:rPr>
                <w:spacing w:val="-4"/>
                <w:sz w:val="20"/>
              </w:rPr>
              <w:t> </w:t>
            </w:r>
            <w:r>
              <w:rPr>
                <w:sz w:val="20"/>
              </w:rPr>
              <w:t>Q21.8,</w:t>
            </w:r>
            <w:r>
              <w:rPr>
                <w:spacing w:val="-6"/>
                <w:sz w:val="20"/>
              </w:rPr>
              <w:t> </w:t>
            </w:r>
            <w:r>
              <w:rPr>
                <w:sz w:val="20"/>
              </w:rPr>
              <w:t>Q21.9,</w:t>
            </w:r>
            <w:r>
              <w:rPr>
                <w:spacing w:val="-4"/>
                <w:sz w:val="20"/>
              </w:rPr>
              <w:t> </w:t>
            </w:r>
            <w:r>
              <w:rPr>
                <w:spacing w:val="-2"/>
                <w:sz w:val="20"/>
              </w:rPr>
              <w:t>Q22.0,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412"/>
              <w:rPr>
                <w:sz w:val="20"/>
              </w:rPr>
            </w:pPr>
            <w:r>
              <w:rPr>
                <w:sz w:val="20"/>
              </w:rPr>
              <w:t>Q22.1,</w:t>
            </w:r>
            <w:r>
              <w:rPr>
                <w:spacing w:val="-4"/>
                <w:sz w:val="20"/>
              </w:rPr>
              <w:t> </w:t>
            </w:r>
            <w:r>
              <w:rPr>
                <w:sz w:val="20"/>
              </w:rPr>
              <w:t>Q22.2,</w:t>
            </w:r>
            <w:r>
              <w:rPr>
                <w:spacing w:val="-6"/>
                <w:sz w:val="20"/>
              </w:rPr>
              <w:t> </w:t>
            </w:r>
            <w:r>
              <w:rPr>
                <w:sz w:val="20"/>
              </w:rPr>
              <w:t>Q22.3,</w:t>
            </w:r>
            <w:r>
              <w:rPr>
                <w:spacing w:val="-4"/>
                <w:sz w:val="20"/>
              </w:rPr>
              <w:t> </w:t>
            </w:r>
            <w:r>
              <w:rPr>
                <w:sz w:val="20"/>
              </w:rPr>
              <w:t>Q22.4,</w:t>
            </w:r>
            <w:r>
              <w:rPr>
                <w:spacing w:val="-6"/>
                <w:sz w:val="20"/>
              </w:rPr>
              <w:t> </w:t>
            </w:r>
            <w:r>
              <w:rPr>
                <w:sz w:val="20"/>
              </w:rPr>
              <w:t>Q22.5,</w:t>
            </w:r>
            <w:r>
              <w:rPr>
                <w:spacing w:val="-4"/>
                <w:sz w:val="20"/>
              </w:rPr>
              <w:t> </w:t>
            </w:r>
            <w:r>
              <w:rPr>
                <w:spacing w:val="-2"/>
                <w:sz w:val="20"/>
              </w:rPr>
              <w:t>Q22.6,</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412"/>
              <w:rPr>
                <w:sz w:val="20"/>
              </w:rPr>
            </w:pPr>
            <w:r>
              <w:rPr>
                <w:sz w:val="20"/>
              </w:rPr>
              <w:t>Q22.8,</w:t>
            </w:r>
            <w:r>
              <w:rPr>
                <w:spacing w:val="-4"/>
                <w:sz w:val="20"/>
              </w:rPr>
              <w:t> </w:t>
            </w:r>
            <w:r>
              <w:rPr>
                <w:sz w:val="20"/>
              </w:rPr>
              <w:t>Q22.9,</w:t>
            </w:r>
            <w:r>
              <w:rPr>
                <w:spacing w:val="-6"/>
                <w:sz w:val="20"/>
              </w:rPr>
              <w:t> </w:t>
            </w:r>
            <w:r>
              <w:rPr>
                <w:sz w:val="20"/>
              </w:rPr>
              <w:t>Q23.0,</w:t>
            </w:r>
            <w:r>
              <w:rPr>
                <w:spacing w:val="-4"/>
                <w:sz w:val="20"/>
              </w:rPr>
              <w:t> </w:t>
            </w:r>
            <w:r>
              <w:rPr>
                <w:sz w:val="20"/>
              </w:rPr>
              <w:t>Q23.1,</w:t>
            </w:r>
            <w:r>
              <w:rPr>
                <w:spacing w:val="-6"/>
                <w:sz w:val="20"/>
              </w:rPr>
              <w:t> </w:t>
            </w:r>
            <w:r>
              <w:rPr>
                <w:sz w:val="20"/>
              </w:rPr>
              <w:t>Q23.2,</w:t>
            </w:r>
            <w:r>
              <w:rPr>
                <w:spacing w:val="-4"/>
                <w:sz w:val="20"/>
              </w:rPr>
              <w:t> </w:t>
            </w:r>
            <w:r>
              <w:rPr>
                <w:spacing w:val="-2"/>
                <w:sz w:val="20"/>
              </w:rPr>
              <w:t>Q23.3,</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Q23.4,</w:t>
            </w:r>
            <w:r>
              <w:rPr>
                <w:spacing w:val="-4"/>
                <w:sz w:val="20"/>
              </w:rPr>
              <w:t> </w:t>
            </w:r>
            <w:r>
              <w:rPr>
                <w:sz w:val="20"/>
              </w:rPr>
              <w:t>Q23.8,</w:t>
            </w:r>
            <w:r>
              <w:rPr>
                <w:spacing w:val="-6"/>
                <w:sz w:val="20"/>
              </w:rPr>
              <w:t> </w:t>
            </w:r>
            <w:r>
              <w:rPr>
                <w:sz w:val="20"/>
              </w:rPr>
              <w:t>Q23.9,</w:t>
            </w:r>
            <w:r>
              <w:rPr>
                <w:spacing w:val="-4"/>
                <w:sz w:val="20"/>
              </w:rPr>
              <w:t> </w:t>
            </w:r>
            <w:r>
              <w:rPr>
                <w:sz w:val="20"/>
              </w:rPr>
              <w:t>Q24.0,</w:t>
            </w:r>
            <w:r>
              <w:rPr>
                <w:spacing w:val="-6"/>
                <w:sz w:val="20"/>
              </w:rPr>
              <w:t> </w:t>
            </w:r>
            <w:r>
              <w:rPr>
                <w:sz w:val="20"/>
              </w:rPr>
              <w:t>Q24.1,</w:t>
            </w:r>
            <w:r>
              <w:rPr>
                <w:spacing w:val="-4"/>
                <w:sz w:val="20"/>
              </w:rPr>
              <w:t> </w:t>
            </w:r>
            <w:r>
              <w:rPr>
                <w:spacing w:val="-2"/>
                <w:sz w:val="20"/>
              </w:rPr>
              <w:t>Q24.2,</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Q24.3,</w:t>
            </w:r>
            <w:r>
              <w:rPr>
                <w:spacing w:val="-4"/>
                <w:sz w:val="20"/>
              </w:rPr>
              <w:t> </w:t>
            </w:r>
            <w:r>
              <w:rPr>
                <w:sz w:val="20"/>
              </w:rPr>
              <w:t>Q24.4,</w:t>
            </w:r>
            <w:r>
              <w:rPr>
                <w:spacing w:val="-6"/>
                <w:sz w:val="20"/>
              </w:rPr>
              <w:t> </w:t>
            </w:r>
            <w:r>
              <w:rPr>
                <w:sz w:val="20"/>
              </w:rPr>
              <w:t>Q24.5,</w:t>
            </w:r>
            <w:r>
              <w:rPr>
                <w:spacing w:val="-4"/>
                <w:sz w:val="20"/>
              </w:rPr>
              <w:t> </w:t>
            </w:r>
            <w:r>
              <w:rPr>
                <w:sz w:val="20"/>
              </w:rPr>
              <w:t>Q24.8,</w:t>
            </w:r>
            <w:r>
              <w:rPr>
                <w:spacing w:val="-6"/>
                <w:sz w:val="20"/>
              </w:rPr>
              <w:t> </w:t>
            </w:r>
            <w:r>
              <w:rPr>
                <w:sz w:val="20"/>
              </w:rPr>
              <w:t>Q24.9,</w:t>
            </w:r>
            <w:r>
              <w:rPr>
                <w:spacing w:val="-4"/>
                <w:sz w:val="20"/>
              </w:rPr>
              <w:t> </w:t>
            </w:r>
            <w:r>
              <w:rPr>
                <w:spacing w:val="-2"/>
                <w:sz w:val="20"/>
              </w:rPr>
              <w:t>Q25.0,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Q25.1,</w:t>
            </w:r>
            <w:r>
              <w:rPr>
                <w:spacing w:val="-4"/>
                <w:sz w:val="20"/>
              </w:rPr>
              <w:t> </w:t>
            </w:r>
            <w:r>
              <w:rPr>
                <w:sz w:val="20"/>
              </w:rPr>
              <w:t>Q25.2,</w:t>
            </w:r>
            <w:r>
              <w:rPr>
                <w:spacing w:val="-6"/>
                <w:sz w:val="20"/>
              </w:rPr>
              <w:t> </w:t>
            </w:r>
            <w:r>
              <w:rPr>
                <w:sz w:val="20"/>
              </w:rPr>
              <w:t>Q25.3,</w:t>
            </w:r>
            <w:r>
              <w:rPr>
                <w:spacing w:val="-4"/>
                <w:sz w:val="20"/>
              </w:rPr>
              <w:t> </w:t>
            </w:r>
            <w:r>
              <w:rPr>
                <w:sz w:val="20"/>
              </w:rPr>
              <w:t>Q25.4,</w:t>
            </w:r>
            <w:r>
              <w:rPr>
                <w:spacing w:val="-6"/>
                <w:sz w:val="20"/>
              </w:rPr>
              <w:t> </w:t>
            </w:r>
            <w:r>
              <w:rPr>
                <w:sz w:val="20"/>
              </w:rPr>
              <w:t>Q25.5,</w:t>
            </w:r>
            <w:r>
              <w:rPr>
                <w:spacing w:val="-4"/>
                <w:sz w:val="20"/>
              </w:rPr>
              <w:t> </w:t>
            </w:r>
            <w:r>
              <w:rPr>
                <w:spacing w:val="-2"/>
                <w:sz w:val="20"/>
              </w:rPr>
              <w:t>Q25.6,</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Q25.7,</w:t>
            </w:r>
            <w:r>
              <w:rPr>
                <w:spacing w:val="-4"/>
                <w:sz w:val="20"/>
              </w:rPr>
              <w:t> </w:t>
            </w:r>
            <w:r>
              <w:rPr>
                <w:sz w:val="20"/>
              </w:rPr>
              <w:t>Q25.8,</w:t>
            </w:r>
            <w:r>
              <w:rPr>
                <w:spacing w:val="-6"/>
                <w:sz w:val="20"/>
              </w:rPr>
              <w:t> </w:t>
            </w:r>
            <w:r>
              <w:rPr>
                <w:sz w:val="20"/>
              </w:rPr>
              <w:t>Q25.9,</w:t>
            </w:r>
            <w:r>
              <w:rPr>
                <w:spacing w:val="-4"/>
                <w:sz w:val="20"/>
              </w:rPr>
              <w:t> </w:t>
            </w:r>
            <w:r>
              <w:rPr>
                <w:sz w:val="20"/>
              </w:rPr>
              <w:t>Q26.0,</w:t>
            </w:r>
            <w:r>
              <w:rPr>
                <w:spacing w:val="-6"/>
                <w:sz w:val="20"/>
              </w:rPr>
              <w:t> </w:t>
            </w:r>
            <w:r>
              <w:rPr>
                <w:sz w:val="20"/>
              </w:rPr>
              <w:t>Q26.1,</w:t>
            </w:r>
            <w:r>
              <w:rPr>
                <w:spacing w:val="-4"/>
                <w:sz w:val="20"/>
              </w:rPr>
              <w:t> </w:t>
            </w:r>
            <w:r>
              <w:rPr>
                <w:spacing w:val="-2"/>
                <w:sz w:val="20"/>
              </w:rPr>
              <w:t>Q26.2,</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412"/>
              <w:rPr>
                <w:sz w:val="20"/>
              </w:rPr>
            </w:pPr>
            <w:r>
              <w:rPr>
                <w:sz w:val="20"/>
              </w:rPr>
              <w:t>Q26.3,</w:t>
            </w:r>
            <w:r>
              <w:rPr>
                <w:spacing w:val="-4"/>
                <w:sz w:val="20"/>
              </w:rPr>
              <w:t> </w:t>
            </w:r>
            <w:r>
              <w:rPr>
                <w:sz w:val="20"/>
              </w:rPr>
              <w:t>Q26.4,</w:t>
            </w:r>
            <w:r>
              <w:rPr>
                <w:spacing w:val="-6"/>
                <w:sz w:val="20"/>
              </w:rPr>
              <w:t> </w:t>
            </w:r>
            <w:r>
              <w:rPr>
                <w:sz w:val="20"/>
              </w:rPr>
              <w:t>Q26.5,</w:t>
            </w:r>
            <w:r>
              <w:rPr>
                <w:spacing w:val="-4"/>
                <w:sz w:val="20"/>
              </w:rPr>
              <w:t> </w:t>
            </w:r>
            <w:r>
              <w:rPr>
                <w:sz w:val="20"/>
              </w:rPr>
              <w:t>Q26.6,</w:t>
            </w:r>
            <w:r>
              <w:rPr>
                <w:spacing w:val="-6"/>
                <w:sz w:val="20"/>
              </w:rPr>
              <w:t> </w:t>
            </w:r>
            <w:r>
              <w:rPr>
                <w:sz w:val="20"/>
              </w:rPr>
              <w:t>Q26.8,</w:t>
            </w:r>
            <w:r>
              <w:rPr>
                <w:spacing w:val="-4"/>
                <w:sz w:val="20"/>
              </w:rPr>
              <w:t> </w:t>
            </w:r>
            <w:r>
              <w:rPr>
                <w:spacing w:val="-2"/>
                <w:sz w:val="20"/>
              </w:rPr>
              <w:t>Q26.9,</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189"/>
              <w:rPr>
                <w:sz w:val="20"/>
              </w:rPr>
            </w:pPr>
            <w:r>
              <w:rPr>
                <w:sz w:val="20"/>
              </w:rPr>
              <w:t>Q27.1,</w:t>
            </w:r>
            <w:r>
              <w:rPr>
                <w:spacing w:val="-5"/>
                <w:sz w:val="20"/>
              </w:rPr>
              <w:t> </w:t>
            </w:r>
            <w:r>
              <w:rPr>
                <w:sz w:val="20"/>
              </w:rPr>
              <w:t>Q27.2,</w:t>
            </w:r>
            <w:r>
              <w:rPr>
                <w:spacing w:val="-5"/>
                <w:sz w:val="20"/>
              </w:rPr>
              <w:t> </w:t>
            </w:r>
            <w:r>
              <w:rPr>
                <w:sz w:val="20"/>
              </w:rPr>
              <w:t>Q27.3,</w:t>
            </w:r>
            <w:r>
              <w:rPr>
                <w:spacing w:val="-4"/>
                <w:sz w:val="20"/>
              </w:rPr>
              <w:t> </w:t>
            </w:r>
            <w:r>
              <w:rPr>
                <w:sz w:val="20"/>
              </w:rPr>
              <w:t>Q27.4,</w:t>
            </w:r>
            <w:r>
              <w:rPr>
                <w:spacing w:val="-6"/>
                <w:sz w:val="20"/>
              </w:rPr>
              <w:t> </w:t>
            </w:r>
            <w:r>
              <w:rPr>
                <w:sz w:val="20"/>
              </w:rPr>
              <w:t>Q27.8,</w:t>
            </w:r>
            <w:r>
              <w:rPr>
                <w:spacing w:val="-4"/>
                <w:sz w:val="20"/>
              </w:rPr>
              <w:t> </w:t>
            </w:r>
            <w:r>
              <w:rPr>
                <w:sz w:val="20"/>
              </w:rPr>
              <w:t>Q27.9,</w:t>
            </w:r>
            <w:r>
              <w:rPr>
                <w:spacing w:val="-6"/>
                <w:sz w:val="20"/>
              </w:rPr>
              <w:t> </w:t>
            </w:r>
            <w:r>
              <w:rPr>
                <w:spacing w:val="-4"/>
                <w:sz w:val="20"/>
              </w:rPr>
              <w:t>Q28,</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73" w:type="dxa"/>
          </w:tcPr>
          <w:p>
            <w:pPr>
              <w:pStyle w:val="TableParagraph"/>
              <w:rPr>
                <w:sz w:val="18"/>
              </w:rPr>
            </w:pPr>
          </w:p>
        </w:tc>
        <w:tc>
          <w:tcPr>
            <w:tcW w:w="5140" w:type="dxa"/>
          </w:tcPr>
          <w:p>
            <w:pPr>
              <w:pStyle w:val="TableParagraph"/>
              <w:spacing w:line="226" w:lineRule="exact"/>
              <w:ind w:left="438"/>
              <w:rPr>
                <w:sz w:val="20"/>
              </w:rPr>
            </w:pPr>
            <w:r>
              <w:rPr>
                <w:sz w:val="20"/>
              </w:rPr>
              <w:t>Q28.0,</w:t>
            </w:r>
            <w:r>
              <w:rPr>
                <w:spacing w:val="-4"/>
                <w:sz w:val="20"/>
              </w:rPr>
              <w:t> </w:t>
            </w:r>
            <w:r>
              <w:rPr>
                <w:sz w:val="20"/>
              </w:rPr>
              <w:t>Q28.1,</w:t>
            </w:r>
            <w:r>
              <w:rPr>
                <w:spacing w:val="-6"/>
                <w:sz w:val="20"/>
              </w:rPr>
              <w:t> </w:t>
            </w:r>
            <w:r>
              <w:rPr>
                <w:sz w:val="20"/>
              </w:rPr>
              <w:t>Q28.2,</w:t>
            </w:r>
            <w:r>
              <w:rPr>
                <w:spacing w:val="-4"/>
                <w:sz w:val="20"/>
              </w:rPr>
              <w:t> </w:t>
            </w:r>
            <w:r>
              <w:rPr>
                <w:sz w:val="20"/>
              </w:rPr>
              <w:t>Q28.3,</w:t>
            </w:r>
            <w:r>
              <w:rPr>
                <w:spacing w:val="-6"/>
                <w:sz w:val="20"/>
              </w:rPr>
              <w:t> </w:t>
            </w:r>
            <w:r>
              <w:rPr>
                <w:sz w:val="20"/>
              </w:rPr>
              <w:t>Q28.8,</w:t>
            </w:r>
            <w:r>
              <w:rPr>
                <w:spacing w:val="-4"/>
                <w:sz w:val="20"/>
              </w:rPr>
              <w:t> Q28.9</w:t>
            </w:r>
          </w:p>
        </w:tc>
        <w:tc>
          <w:tcPr>
            <w:tcW w:w="2144" w:type="dxa"/>
          </w:tcPr>
          <w:p>
            <w:pPr>
              <w:pStyle w:val="TableParagraph"/>
              <w:rPr>
                <w:sz w:val="18"/>
              </w:rPr>
            </w:pPr>
          </w:p>
        </w:tc>
        <w:tc>
          <w:tcPr>
            <w:tcW w:w="2953" w:type="dxa"/>
          </w:tcPr>
          <w:p>
            <w:pPr>
              <w:pStyle w:val="TableParagraph"/>
              <w:rPr>
                <w:sz w:val="18"/>
              </w:rPr>
            </w:pPr>
          </w:p>
        </w:tc>
        <w:tc>
          <w:tcPr>
            <w:tcW w:w="837" w:type="dxa"/>
          </w:tcPr>
          <w:p>
            <w:pPr>
              <w:pStyle w:val="TableParagraph"/>
              <w:rPr>
                <w:sz w:val="18"/>
              </w:rPr>
            </w:pPr>
          </w:p>
        </w:tc>
      </w:tr>
      <w:tr>
        <w:trPr>
          <w:trHeight w:val="330" w:hRule="atLeast"/>
        </w:trPr>
        <w:tc>
          <w:tcPr>
            <w:tcW w:w="971" w:type="dxa"/>
          </w:tcPr>
          <w:p>
            <w:pPr>
              <w:pStyle w:val="TableParagraph"/>
              <w:spacing w:before="46"/>
              <w:ind w:left="37" w:right="223"/>
              <w:jc w:val="center"/>
              <w:rPr>
                <w:sz w:val="20"/>
              </w:rPr>
            </w:pPr>
            <w:r>
              <w:rPr>
                <w:spacing w:val="-4"/>
                <w:sz w:val="20"/>
              </w:rPr>
              <w:t>st08</w:t>
            </w:r>
          </w:p>
        </w:tc>
        <w:tc>
          <w:tcPr>
            <w:tcW w:w="657" w:type="dxa"/>
          </w:tcPr>
          <w:p>
            <w:pPr>
              <w:pStyle w:val="TableParagraph"/>
              <w:spacing w:before="46"/>
              <w:ind w:left="15"/>
              <w:jc w:val="center"/>
              <w:rPr>
                <w:sz w:val="20"/>
              </w:rPr>
            </w:pPr>
            <w:r>
              <w:rPr>
                <w:w w:val="99"/>
                <w:sz w:val="20"/>
              </w:rPr>
              <w:t>8</w:t>
            </w:r>
          </w:p>
        </w:tc>
        <w:tc>
          <w:tcPr>
            <w:tcW w:w="2573" w:type="dxa"/>
          </w:tcPr>
          <w:p>
            <w:pPr>
              <w:pStyle w:val="TableParagraph"/>
              <w:rPr>
                <w:sz w:val="18"/>
              </w:rPr>
            </w:pPr>
          </w:p>
        </w:tc>
        <w:tc>
          <w:tcPr>
            <w:tcW w:w="5140" w:type="dxa"/>
          </w:tcPr>
          <w:p>
            <w:pPr>
              <w:pStyle w:val="TableParagraph"/>
              <w:spacing w:before="46"/>
              <w:ind w:right="535"/>
              <w:jc w:val="right"/>
              <w:rPr>
                <w:sz w:val="20"/>
              </w:rPr>
            </w:pPr>
            <w:r>
              <w:rPr>
                <w:sz w:val="20"/>
              </w:rPr>
              <w:t>Детская</w:t>
            </w:r>
            <w:r>
              <w:rPr>
                <w:spacing w:val="-9"/>
                <w:sz w:val="20"/>
              </w:rPr>
              <w:t> </w:t>
            </w:r>
            <w:r>
              <w:rPr>
                <w:spacing w:val="-2"/>
                <w:sz w:val="20"/>
              </w:rPr>
              <w:t>онкология</w:t>
            </w:r>
          </w:p>
        </w:tc>
        <w:tc>
          <w:tcPr>
            <w:tcW w:w="2144" w:type="dxa"/>
          </w:tcPr>
          <w:p>
            <w:pPr>
              <w:pStyle w:val="TableParagraph"/>
              <w:rPr>
                <w:sz w:val="18"/>
              </w:rPr>
            </w:pPr>
          </w:p>
        </w:tc>
        <w:tc>
          <w:tcPr>
            <w:tcW w:w="2953" w:type="dxa"/>
          </w:tcPr>
          <w:p>
            <w:pPr>
              <w:pStyle w:val="TableParagraph"/>
              <w:rPr>
                <w:sz w:val="18"/>
              </w:rPr>
            </w:pPr>
          </w:p>
        </w:tc>
        <w:tc>
          <w:tcPr>
            <w:tcW w:w="837" w:type="dxa"/>
          </w:tcPr>
          <w:p>
            <w:pPr>
              <w:pStyle w:val="TableParagraph"/>
              <w:spacing w:before="46"/>
              <w:ind w:right="49"/>
              <w:jc w:val="right"/>
              <w:rPr>
                <w:sz w:val="20"/>
              </w:rPr>
            </w:pPr>
            <w:r>
              <w:rPr>
                <w:spacing w:val="-4"/>
                <w:sz w:val="20"/>
              </w:rPr>
              <w:t>6,36</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st08.001</w:t>
            </w:r>
          </w:p>
        </w:tc>
        <w:tc>
          <w:tcPr>
            <w:tcW w:w="657" w:type="dxa"/>
          </w:tcPr>
          <w:p>
            <w:pPr>
              <w:pStyle w:val="TableParagraph"/>
              <w:spacing w:line="215" w:lineRule="exact" w:before="45"/>
              <w:ind w:left="222" w:right="205"/>
              <w:jc w:val="center"/>
              <w:rPr>
                <w:sz w:val="20"/>
              </w:rPr>
            </w:pPr>
            <w:r>
              <w:rPr>
                <w:spacing w:val="-5"/>
                <w:sz w:val="20"/>
              </w:rPr>
              <w:t>34</w:t>
            </w:r>
          </w:p>
        </w:tc>
        <w:tc>
          <w:tcPr>
            <w:tcW w:w="2573" w:type="dxa"/>
          </w:tcPr>
          <w:p>
            <w:pPr>
              <w:pStyle w:val="TableParagraph"/>
              <w:spacing w:line="215" w:lineRule="exact" w:before="45"/>
              <w:ind w:left="217"/>
              <w:rPr>
                <w:sz w:val="20"/>
              </w:rPr>
            </w:pPr>
            <w:r>
              <w:rPr>
                <w:w w:val="95"/>
                <w:sz w:val="20"/>
              </w:rPr>
              <w:t>Лекарственная</w:t>
            </w:r>
            <w:r>
              <w:rPr>
                <w:spacing w:val="49"/>
                <w:sz w:val="20"/>
              </w:rPr>
              <w:t> </w:t>
            </w:r>
            <w:r>
              <w:rPr>
                <w:spacing w:val="-2"/>
                <w:sz w:val="20"/>
              </w:rPr>
              <w:t>терапия</w:t>
            </w:r>
          </w:p>
        </w:tc>
        <w:tc>
          <w:tcPr>
            <w:tcW w:w="5140" w:type="dxa"/>
          </w:tcPr>
          <w:p>
            <w:pPr>
              <w:pStyle w:val="TableParagraph"/>
              <w:spacing w:line="215" w:lineRule="exact" w:before="45"/>
              <w:ind w:left="229"/>
              <w:rPr>
                <w:sz w:val="20"/>
              </w:rPr>
            </w:pPr>
            <w:r>
              <w:rPr>
                <w:sz w:val="20"/>
              </w:rPr>
              <w:t>C00,</w:t>
            </w:r>
            <w:r>
              <w:rPr>
                <w:spacing w:val="-5"/>
                <w:sz w:val="20"/>
              </w:rPr>
              <w:t> </w:t>
            </w:r>
            <w:r>
              <w:rPr>
                <w:sz w:val="20"/>
              </w:rPr>
              <w:t>C00.0,</w:t>
            </w:r>
            <w:r>
              <w:rPr>
                <w:spacing w:val="-5"/>
                <w:sz w:val="20"/>
              </w:rPr>
              <w:t> </w:t>
            </w:r>
            <w:r>
              <w:rPr>
                <w:sz w:val="20"/>
              </w:rPr>
              <w:t>C00.1,</w:t>
            </w:r>
            <w:r>
              <w:rPr>
                <w:spacing w:val="-5"/>
                <w:sz w:val="20"/>
              </w:rPr>
              <w:t> </w:t>
            </w:r>
            <w:r>
              <w:rPr>
                <w:sz w:val="20"/>
              </w:rPr>
              <w:t>C00.2,</w:t>
            </w:r>
            <w:r>
              <w:rPr>
                <w:spacing w:val="-5"/>
                <w:sz w:val="20"/>
              </w:rPr>
              <w:t> </w:t>
            </w:r>
            <w:r>
              <w:rPr>
                <w:sz w:val="20"/>
              </w:rPr>
              <w:t>C00.3,</w:t>
            </w:r>
            <w:r>
              <w:rPr>
                <w:spacing w:val="-5"/>
                <w:sz w:val="20"/>
              </w:rPr>
              <w:t> </w:t>
            </w:r>
            <w:r>
              <w:rPr>
                <w:sz w:val="20"/>
              </w:rPr>
              <w:t>C00.4,</w:t>
            </w:r>
            <w:r>
              <w:rPr>
                <w:spacing w:val="-5"/>
                <w:sz w:val="20"/>
              </w:rPr>
              <w:t> </w:t>
            </w:r>
            <w:r>
              <w:rPr>
                <w:spacing w:val="-2"/>
                <w:sz w:val="20"/>
              </w:rPr>
              <w:t>C00.5,</w:t>
            </w:r>
          </w:p>
        </w:tc>
        <w:tc>
          <w:tcPr>
            <w:tcW w:w="2144" w:type="dxa"/>
          </w:tcPr>
          <w:p>
            <w:pPr>
              <w:pStyle w:val="TableParagraph"/>
              <w:spacing w:line="215" w:lineRule="exact" w:before="45"/>
              <w:ind w:left="431" w:right="747"/>
              <w:jc w:val="center"/>
              <w:rPr>
                <w:sz w:val="20"/>
              </w:rPr>
            </w:pPr>
            <w:r>
              <w:rPr>
                <w:spacing w:val="-2"/>
                <w:sz w:val="20"/>
              </w:rPr>
              <w:t>A25.30.014</w:t>
            </w:r>
          </w:p>
        </w:tc>
        <w:tc>
          <w:tcPr>
            <w:tcW w:w="2953" w:type="dxa"/>
          </w:tcPr>
          <w:p>
            <w:pPr>
              <w:pStyle w:val="TableParagraph"/>
              <w:spacing w:line="215" w:lineRule="exact" w:before="45"/>
              <w:ind w:right="489"/>
              <w:jc w:val="right"/>
              <w:rPr>
                <w:sz w:val="20"/>
              </w:rPr>
            </w:pPr>
            <w:r>
              <w:rPr>
                <w:sz w:val="20"/>
              </w:rPr>
              <w:t>Возрастная</w:t>
            </w:r>
            <w:r>
              <w:rPr>
                <w:spacing w:val="-11"/>
                <w:sz w:val="20"/>
              </w:rPr>
              <w:t> </w:t>
            </w:r>
            <w:r>
              <w:rPr>
                <w:spacing w:val="-2"/>
                <w:sz w:val="20"/>
              </w:rPr>
              <w:t>группа:</w:t>
            </w:r>
          </w:p>
        </w:tc>
        <w:tc>
          <w:tcPr>
            <w:tcW w:w="837" w:type="dxa"/>
          </w:tcPr>
          <w:p>
            <w:pPr>
              <w:pStyle w:val="TableParagraph"/>
              <w:spacing w:line="215" w:lineRule="exact" w:before="45"/>
              <w:ind w:right="49"/>
              <w:jc w:val="right"/>
              <w:rPr>
                <w:sz w:val="20"/>
              </w:rPr>
            </w:pPr>
            <w:r>
              <w:rPr>
                <w:spacing w:val="-4"/>
                <w:sz w:val="20"/>
              </w:rPr>
              <w:t>4,37</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sz w:val="20"/>
              </w:rPr>
              <w:t>при</w:t>
            </w:r>
            <w:r>
              <w:rPr>
                <w:spacing w:val="-6"/>
                <w:sz w:val="20"/>
              </w:rPr>
              <w:t> </w:t>
            </w:r>
            <w:r>
              <w:rPr>
                <w:spacing w:val="-2"/>
                <w:sz w:val="20"/>
              </w:rPr>
              <w:t>злокачественных</w:t>
            </w:r>
          </w:p>
        </w:tc>
        <w:tc>
          <w:tcPr>
            <w:tcW w:w="5140" w:type="dxa"/>
          </w:tcPr>
          <w:p>
            <w:pPr>
              <w:pStyle w:val="TableParagraph"/>
              <w:spacing w:line="210" w:lineRule="exact"/>
              <w:ind w:left="304"/>
              <w:rPr>
                <w:sz w:val="20"/>
              </w:rPr>
            </w:pPr>
            <w:r>
              <w:rPr>
                <w:sz w:val="20"/>
              </w:rPr>
              <w:t>C00.6,</w:t>
            </w:r>
            <w:r>
              <w:rPr>
                <w:spacing w:val="-7"/>
                <w:sz w:val="20"/>
              </w:rPr>
              <w:t> </w:t>
            </w:r>
            <w:r>
              <w:rPr>
                <w:sz w:val="20"/>
              </w:rPr>
              <w:t>C00.8,</w:t>
            </w:r>
            <w:r>
              <w:rPr>
                <w:spacing w:val="-5"/>
                <w:sz w:val="20"/>
              </w:rPr>
              <w:t> </w:t>
            </w:r>
            <w:r>
              <w:rPr>
                <w:sz w:val="20"/>
              </w:rPr>
              <w:t>C00.9,</w:t>
            </w:r>
            <w:r>
              <w:rPr>
                <w:spacing w:val="-5"/>
                <w:sz w:val="20"/>
              </w:rPr>
              <w:t> </w:t>
            </w:r>
            <w:r>
              <w:rPr>
                <w:sz w:val="20"/>
              </w:rPr>
              <w:t>C01,</w:t>
            </w:r>
            <w:r>
              <w:rPr>
                <w:spacing w:val="-4"/>
                <w:sz w:val="20"/>
              </w:rPr>
              <w:t> </w:t>
            </w:r>
            <w:r>
              <w:rPr>
                <w:sz w:val="20"/>
              </w:rPr>
              <w:t>C02,</w:t>
            </w:r>
            <w:r>
              <w:rPr>
                <w:spacing w:val="-5"/>
                <w:sz w:val="20"/>
              </w:rPr>
              <w:t> </w:t>
            </w:r>
            <w:r>
              <w:rPr>
                <w:sz w:val="20"/>
              </w:rPr>
              <w:t>C02.0,</w:t>
            </w:r>
            <w:r>
              <w:rPr>
                <w:spacing w:val="-6"/>
                <w:sz w:val="20"/>
              </w:rPr>
              <w:t> </w:t>
            </w:r>
            <w:r>
              <w:rPr>
                <w:spacing w:val="-2"/>
                <w:sz w:val="20"/>
              </w:rPr>
              <w:t>C02.1,</w:t>
            </w:r>
          </w:p>
        </w:tc>
        <w:tc>
          <w:tcPr>
            <w:tcW w:w="2144" w:type="dxa"/>
          </w:tcPr>
          <w:p>
            <w:pPr>
              <w:pStyle w:val="TableParagraph"/>
              <w:rPr>
                <w:sz w:val="16"/>
              </w:rPr>
            </w:pPr>
          </w:p>
        </w:tc>
        <w:tc>
          <w:tcPr>
            <w:tcW w:w="2953" w:type="dxa"/>
          </w:tcPr>
          <w:p>
            <w:pPr>
              <w:pStyle w:val="TableParagraph"/>
              <w:spacing w:line="210" w:lineRule="exact"/>
              <w:ind w:right="508"/>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w w:val="95"/>
                <w:sz w:val="20"/>
              </w:rPr>
              <w:t>новообразованиях</w:t>
            </w:r>
            <w:r>
              <w:rPr>
                <w:spacing w:val="56"/>
                <w:sz w:val="20"/>
              </w:rPr>
              <w:t> </w:t>
            </w:r>
            <w:r>
              <w:rPr>
                <w:spacing w:val="-2"/>
                <w:sz w:val="20"/>
              </w:rPr>
              <w:t>других</w:t>
            </w:r>
          </w:p>
        </w:tc>
        <w:tc>
          <w:tcPr>
            <w:tcW w:w="5140" w:type="dxa"/>
          </w:tcPr>
          <w:p>
            <w:pPr>
              <w:pStyle w:val="TableParagraph"/>
              <w:spacing w:line="210" w:lineRule="exact"/>
              <w:ind w:left="229"/>
              <w:rPr>
                <w:sz w:val="20"/>
              </w:rPr>
            </w:pPr>
            <w:r>
              <w:rPr>
                <w:sz w:val="20"/>
              </w:rPr>
              <w:t>C02.2,</w:t>
            </w:r>
            <w:r>
              <w:rPr>
                <w:spacing w:val="-5"/>
                <w:sz w:val="20"/>
              </w:rPr>
              <w:t> </w:t>
            </w:r>
            <w:r>
              <w:rPr>
                <w:sz w:val="20"/>
              </w:rPr>
              <w:t>C02.3,</w:t>
            </w:r>
            <w:r>
              <w:rPr>
                <w:spacing w:val="-4"/>
                <w:sz w:val="20"/>
              </w:rPr>
              <w:t> </w:t>
            </w:r>
            <w:r>
              <w:rPr>
                <w:sz w:val="20"/>
              </w:rPr>
              <w:t>C02.4,</w:t>
            </w:r>
            <w:r>
              <w:rPr>
                <w:spacing w:val="-4"/>
                <w:sz w:val="20"/>
              </w:rPr>
              <w:t> </w:t>
            </w:r>
            <w:r>
              <w:rPr>
                <w:sz w:val="20"/>
              </w:rPr>
              <w:t>C02.8,</w:t>
            </w:r>
            <w:r>
              <w:rPr>
                <w:spacing w:val="-8"/>
                <w:sz w:val="20"/>
              </w:rPr>
              <w:t> </w:t>
            </w:r>
            <w:r>
              <w:rPr>
                <w:sz w:val="20"/>
              </w:rPr>
              <w:t>C02.9,</w:t>
            </w:r>
            <w:r>
              <w:rPr>
                <w:spacing w:val="-5"/>
                <w:sz w:val="20"/>
              </w:rPr>
              <w:t> </w:t>
            </w:r>
            <w:r>
              <w:rPr>
                <w:sz w:val="20"/>
              </w:rPr>
              <w:t>C03,</w:t>
            </w:r>
            <w:r>
              <w:rPr>
                <w:spacing w:val="-4"/>
                <w:sz w:val="20"/>
              </w:rPr>
              <w:t> </w:t>
            </w:r>
            <w:r>
              <w:rPr>
                <w:spacing w:val="-2"/>
                <w:sz w:val="20"/>
              </w:rPr>
              <w:t>C03.0,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09" w:lineRule="exact"/>
              <w:ind w:left="217"/>
              <w:rPr>
                <w:sz w:val="20"/>
              </w:rPr>
            </w:pPr>
            <w:r>
              <w:rPr>
                <w:sz w:val="20"/>
              </w:rPr>
              <w:t>локализаций</w:t>
            </w:r>
            <w:r>
              <w:rPr>
                <w:spacing w:val="-12"/>
                <w:sz w:val="20"/>
              </w:rPr>
              <w:t> </w:t>
            </w:r>
            <w:r>
              <w:rPr>
                <w:spacing w:val="-2"/>
                <w:sz w:val="20"/>
              </w:rPr>
              <w:t>(кроме</w:t>
            </w:r>
          </w:p>
        </w:tc>
        <w:tc>
          <w:tcPr>
            <w:tcW w:w="5140" w:type="dxa"/>
          </w:tcPr>
          <w:p>
            <w:pPr>
              <w:pStyle w:val="TableParagraph"/>
              <w:spacing w:line="209" w:lineRule="exact"/>
              <w:ind w:left="229"/>
              <w:rPr>
                <w:sz w:val="20"/>
              </w:rPr>
            </w:pPr>
            <w:r>
              <w:rPr>
                <w:sz w:val="20"/>
              </w:rPr>
              <w:t>C03.1,</w:t>
            </w:r>
            <w:r>
              <w:rPr>
                <w:spacing w:val="-5"/>
                <w:sz w:val="20"/>
              </w:rPr>
              <w:t> </w:t>
            </w:r>
            <w:r>
              <w:rPr>
                <w:sz w:val="20"/>
              </w:rPr>
              <w:t>C03.9,</w:t>
            </w:r>
            <w:r>
              <w:rPr>
                <w:spacing w:val="-4"/>
                <w:sz w:val="20"/>
              </w:rPr>
              <w:t> </w:t>
            </w:r>
            <w:r>
              <w:rPr>
                <w:sz w:val="20"/>
              </w:rPr>
              <w:t>C04,</w:t>
            </w:r>
            <w:r>
              <w:rPr>
                <w:spacing w:val="-4"/>
                <w:sz w:val="20"/>
              </w:rPr>
              <w:t> </w:t>
            </w:r>
            <w:r>
              <w:rPr>
                <w:sz w:val="20"/>
              </w:rPr>
              <w:t>C04.0,</w:t>
            </w:r>
            <w:r>
              <w:rPr>
                <w:spacing w:val="-4"/>
                <w:sz w:val="20"/>
              </w:rPr>
              <w:t> </w:t>
            </w:r>
            <w:r>
              <w:rPr>
                <w:sz w:val="20"/>
              </w:rPr>
              <w:t>C04.1,</w:t>
            </w:r>
            <w:r>
              <w:rPr>
                <w:spacing w:val="-5"/>
                <w:sz w:val="20"/>
              </w:rPr>
              <w:t> </w:t>
            </w:r>
            <w:r>
              <w:rPr>
                <w:sz w:val="20"/>
              </w:rPr>
              <w:t>C04.8,</w:t>
            </w:r>
            <w:r>
              <w:rPr>
                <w:spacing w:val="-4"/>
                <w:sz w:val="20"/>
              </w:rPr>
              <w:t> </w:t>
            </w:r>
            <w:r>
              <w:rPr>
                <w:spacing w:val="-2"/>
                <w:sz w:val="20"/>
              </w:rPr>
              <w:t>C04.9,</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09" w:lineRule="exact"/>
              <w:ind w:left="217"/>
              <w:rPr>
                <w:sz w:val="20"/>
              </w:rPr>
            </w:pPr>
            <w:r>
              <w:rPr>
                <w:sz w:val="20"/>
              </w:rPr>
              <w:t>лимфоидной</w:t>
            </w:r>
            <w:r>
              <w:rPr>
                <w:spacing w:val="-11"/>
                <w:sz w:val="20"/>
              </w:rPr>
              <w:t> </w:t>
            </w:r>
            <w:r>
              <w:rPr>
                <w:spacing w:val="-12"/>
                <w:sz w:val="20"/>
              </w:rPr>
              <w:t>и</w:t>
            </w:r>
          </w:p>
        </w:tc>
        <w:tc>
          <w:tcPr>
            <w:tcW w:w="5140" w:type="dxa"/>
          </w:tcPr>
          <w:p>
            <w:pPr>
              <w:pStyle w:val="TableParagraph"/>
              <w:spacing w:line="209" w:lineRule="exact"/>
              <w:ind w:left="304"/>
              <w:rPr>
                <w:sz w:val="20"/>
              </w:rPr>
            </w:pPr>
            <w:r>
              <w:rPr>
                <w:sz w:val="20"/>
              </w:rPr>
              <w:t>C05,</w:t>
            </w:r>
            <w:r>
              <w:rPr>
                <w:spacing w:val="-5"/>
                <w:sz w:val="20"/>
              </w:rPr>
              <w:t> </w:t>
            </w:r>
            <w:r>
              <w:rPr>
                <w:sz w:val="20"/>
              </w:rPr>
              <w:t>C05.0,</w:t>
            </w:r>
            <w:r>
              <w:rPr>
                <w:spacing w:val="-5"/>
                <w:sz w:val="20"/>
              </w:rPr>
              <w:t> </w:t>
            </w:r>
            <w:r>
              <w:rPr>
                <w:sz w:val="20"/>
              </w:rPr>
              <w:t>C05.1,</w:t>
            </w:r>
            <w:r>
              <w:rPr>
                <w:spacing w:val="-5"/>
                <w:sz w:val="20"/>
              </w:rPr>
              <w:t> </w:t>
            </w:r>
            <w:r>
              <w:rPr>
                <w:sz w:val="20"/>
              </w:rPr>
              <w:t>C05.2,</w:t>
            </w:r>
            <w:r>
              <w:rPr>
                <w:spacing w:val="-5"/>
                <w:sz w:val="20"/>
              </w:rPr>
              <w:t> </w:t>
            </w:r>
            <w:r>
              <w:rPr>
                <w:sz w:val="20"/>
              </w:rPr>
              <w:t>C05.8,</w:t>
            </w:r>
            <w:r>
              <w:rPr>
                <w:spacing w:val="-5"/>
                <w:sz w:val="20"/>
              </w:rPr>
              <w:t> </w:t>
            </w:r>
            <w:r>
              <w:rPr>
                <w:sz w:val="20"/>
              </w:rPr>
              <w:t>C05.9,</w:t>
            </w:r>
            <w:r>
              <w:rPr>
                <w:spacing w:val="-5"/>
                <w:sz w:val="20"/>
              </w:rPr>
              <w:t> </w:t>
            </w:r>
            <w:r>
              <w:rPr>
                <w:spacing w:val="-4"/>
                <w:sz w:val="20"/>
              </w:rPr>
              <w:t>C06,</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w w:val="95"/>
                <w:sz w:val="20"/>
              </w:rPr>
              <w:t>кроветворной</w:t>
            </w:r>
            <w:r>
              <w:rPr>
                <w:spacing w:val="43"/>
                <w:sz w:val="20"/>
              </w:rPr>
              <w:t> </w:t>
            </w:r>
            <w:r>
              <w:rPr>
                <w:spacing w:val="-2"/>
                <w:sz w:val="20"/>
              </w:rPr>
              <w:t>тканей),</w:t>
            </w:r>
          </w:p>
        </w:tc>
        <w:tc>
          <w:tcPr>
            <w:tcW w:w="5140" w:type="dxa"/>
          </w:tcPr>
          <w:p>
            <w:pPr>
              <w:pStyle w:val="TableParagraph"/>
              <w:spacing w:line="210" w:lineRule="exact"/>
              <w:ind w:left="304"/>
              <w:rPr>
                <w:sz w:val="20"/>
              </w:rPr>
            </w:pPr>
            <w:r>
              <w:rPr>
                <w:sz w:val="20"/>
              </w:rPr>
              <w:t>C06.0,</w:t>
            </w:r>
            <w:r>
              <w:rPr>
                <w:spacing w:val="-5"/>
                <w:sz w:val="20"/>
              </w:rPr>
              <w:t> </w:t>
            </w:r>
            <w:r>
              <w:rPr>
                <w:sz w:val="20"/>
              </w:rPr>
              <w:t>C06.1,</w:t>
            </w:r>
            <w:r>
              <w:rPr>
                <w:spacing w:val="-4"/>
                <w:sz w:val="20"/>
              </w:rPr>
              <w:t> </w:t>
            </w:r>
            <w:r>
              <w:rPr>
                <w:sz w:val="20"/>
              </w:rPr>
              <w:t>C06.2,</w:t>
            </w:r>
            <w:r>
              <w:rPr>
                <w:spacing w:val="-4"/>
                <w:sz w:val="20"/>
              </w:rPr>
              <w:t> </w:t>
            </w:r>
            <w:r>
              <w:rPr>
                <w:sz w:val="20"/>
              </w:rPr>
              <w:t>C06.8,</w:t>
            </w:r>
            <w:r>
              <w:rPr>
                <w:spacing w:val="-8"/>
                <w:sz w:val="20"/>
              </w:rPr>
              <w:t> </w:t>
            </w:r>
            <w:r>
              <w:rPr>
                <w:sz w:val="20"/>
              </w:rPr>
              <w:t>C06.9,</w:t>
            </w:r>
            <w:r>
              <w:rPr>
                <w:spacing w:val="-5"/>
                <w:sz w:val="20"/>
              </w:rPr>
              <w:t> </w:t>
            </w:r>
            <w:r>
              <w:rPr>
                <w:sz w:val="20"/>
              </w:rPr>
              <w:t>C07,</w:t>
            </w:r>
            <w:r>
              <w:rPr>
                <w:spacing w:val="-4"/>
                <w:sz w:val="20"/>
              </w:rPr>
              <w:t> C08,</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spacing w:val="-4"/>
                <w:sz w:val="20"/>
              </w:rPr>
              <w:t>дети</w:t>
            </w:r>
          </w:p>
        </w:tc>
        <w:tc>
          <w:tcPr>
            <w:tcW w:w="5140" w:type="dxa"/>
          </w:tcPr>
          <w:p>
            <w:pPr>
              <w:pStyle w:val="TableParagraph"/>
              <w:spacing w:line="210" w:lineRule="exact"/>
              <w:ind w:left="229"/>
              <w:rPr>
                <w:sz w:val="20"/>
              </w:rPr>
            </w:pPr>
            <w:r>
              <w:rPr>
                <w:sz w:val="20"/>
              </w:rPr>
              <w:t>C08.0,</w:t>
            </w:r>
            <w:r>
              <w:rPr>
                <w:spacing w:val="-5"/>
                <w:sz w:val="20"/>
              </w:rPr>
              <w:t> </w:t>
            </w:r>
            <w:r>
              <w:rPr>
                <w:sz w:val="20"/>
              </w:rPr>
              <w:t>C08.1,</w:t>
            </w:r>
            <w:r>
              <w:rPr>
                <w:spacing w:val="-4"/>
                <w:sz w:val="20"/>
              </w:rPr>
              <w:t> </w:t>
            </w:r>
            <w:r>
              <w:rPr>
                <w:sz w:val="20"/>
              </w:rPr>
              <w:t>C08.8,</w:t>
            </w:r>
            <w:r>
              <w:rPr>
                <w:spacing w:val="-4"/>
                <w:sz w:val="20"/>
              </w:rPr>
              <w:t> </w:t>
            </w:r>
            <w:r>
              <w:rPr>
                <w:sz w:val="20"/>
              </w:rPr>
              <w:t>C08.9,</w:t>
            </w:r>
            <w:r>
              <w:rPr>
                <w:spacing w:val="-8"/>
                <w:sz w:val="20"/>
              </w:rPr>
              <w:t> </w:t>
            </w:r>
            <w:r>
              <w:rPr>
                <w:sz w:val="20"/>
              </w:rPr>
              <w:t>C09,</w:t>
            </w:r>
            <w:r>
              <w:rPr>
                <w:spacing w:val="-5"/>
                <w:sz w:val="20"/>
              </w:rPr>
              <w:t> </w:t>
            </w:r>
            <w:r>
              <w:rPr>
                <w:sz w:val="20"/>
              </w:rPr>
              <w:t>C09.0,</w:t>
            </w:r>
            <w:r>
              <w:rPr>
                <w:spacing w:val="-4"/>
                <w:sz w:val="20"/>
              </w:rPr>
              <w:t> </w:t>
            </w:r>
            <w:r>
              <w:rPr>
                <w:spacing w:val="-2"/>
                <w:sz w:val="20"/>
              </w:rPr>
              <w:t>C09.1,</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1" w:lineRule="exact"/>
              <w:ind w:left="229"/>
              <w:rPr>
                <w:sz w:val="20"/>
              </w:rPr>
            </w:pPr>
            <w:r>
              <w:rPr>
                <w:sz w:val="20"/>
              </w:rPr>
              <w:t>C09.8,</w:t>
            </w:r>
            <w:r>
              <w:rPr>
                <w:spacing w:val="-5"/>
                <w:sz w:val="20"/>
              </w:rPr>
              <w:t> </w:t>
            </w:r>
            <w:r>
              <w:rPr>
                <w:sz w:val="20"/>
              </w:rPr>
              <w:t>C09.9,</w:t>
            </w:r>
            <w:r>
              <w:rPr>
                <w:spacing w:val="-5"/>
                <w:sz w:val="20"/>
              </w:rPr>
              <w:t> </w:t>
            </w:r>
            <w:r>
              <w:rPr>
                <w:sz w:val="20"/>
              </w:rPr>
              <w:t>C10,</w:t>
            </w:r>
            <w:r>
              <w:rPr>
                <w:spacing w:val="-5"/>
                <w:sz w:val="20"/>
              </w:rPr>
              <w:t> </w:t>
            </w:r>
            <w:r>
              <w:rPr>
                <w:sz w:val="20"/>
              </w:rPr>
              <w:t>C10.0,</w:t>
            </w:r>
            <w:r>
              <w:rPr>
                <w:spacing w:val="-5"/>
                <w:sz w:val="20"/>
              </w:rPr>
              <w:t> </w:t>
            </w:r>
            <w:r>
              <w:rPr>
                <w:sz w:val="20"/>
              </w:rPr>
              <w:t>C10.1,</w:t>
            </w:r>
            <w:r>
              <w:rPr>
                <w:spacing w:val="-5"/>
                <w:sz w:val="20"/>
              </w:rPr>
              <w:t> </w:t>
            </w:r>
            <w:r>
              <w:rPr>
                <w:sz w:val="20"/>
              </w:rPr>
              <w:t>C10.2,</w:t>
            </w:r>
            <w:r>
              <w:rPr>
                <w:spacing w:val="-5"/>
                <w:sz w:val="20"/>
              </w:rPr>
              <w:t> </w:t>
            </w:r>
            <w:r>
              <w:rPr>
                <w:spacing w:val="-2"/>
                <w:sz w:val="20"/>
              </w:rPr>
              <w:t>C10.3,</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1" w:lineRule="exact"/>
              <w:ind w:left="229"/>
              <w:rPr>
                <w:sz w:val="20"/>
              </w:rPr>
            </w:pPr>
            <w:r>
              <w:rPr>
                <w:sz w:val="20"/>
              </w:rPr>
              <w:t>C10.4,</w:t>
            </w:r>
            <w:r>
              <w:rPr>
                <w:spacing w:val="-6"/>
                <w:sz w:val="20"/>
              </w:rPr>
              <w:t> </w:t>
            </w:r>
            <w:r>
              <w:rPr>
                <w:sz w:val="20"/>
              </w:rPr>
              <w:t>C10.8,</w:t>
            </w:r>
            <w:r>
              <w:rPr>
                <w:spacing w:val="-5"/>
                <w:sz w:val="20"/>
              </w:rPr>
              <w:t> </w:t>
            </w:r>
            <w:r>
              <w:rPr>
                <w:sz w:val="20"/>
              </w:rPr>
              <w:t>C10.9,</w:t>
            </w:r>
            <w:r>
              <w:rPr>
                <w:spacing w:val="-5"/>
                <w:sz w:val="20"/>
              </w:rPr>
              <w:t> </w:t>
            </w:r>
            <w:r>
              <w:rPr>
                <w:sz w:val="20"/>
              </w:rPr>
              <w:t>C11,</w:t>
            </w:r>
            <w:r>
              <w:rPr>
                <w:spacing w:val="-5"/>
                <w:sz w:val="20"/>
              </w:rPr>
              <w:t> </w:t>
            </w:r>
            <w:r>
              <w:rPr>
                <w:sz w:val="20"/>
              </w:rPr>
              <w:t>C11.0,</w:t>
            </w:r>
            <w:r>
              <w:rPr>
                <w:spacing w:val="-5"/>
                <w:sz w:val="20"/>
              </w:rPr>
              <w:t> </w:t>
            </w:r>
            <w:r>
              <w:rPr>
                <w:sz w:val="20"/>
              </w:rPr>
              <w:t>C11.1,</w:t>
            </w:r>
            <w:r>
              <w:rPr>
                <w:spacing w:val="-5"/>
                <w:sz w:val="20"/>
              </w:rPr>
              <w:t> </w:t>
            </w:r>
            <w:r>
              <w:rPr>
                <w:spacing w:val="-2"/>
                <w:sz w:val="20"/>
              </w:rPr>
              <w:t>C11.2,</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304"/>
              <w:rPr>
                <w:sz w:val="20"/>
              </w:rPr>
            </w:pPr>
            <w:r>
              <w:rPr>
                <w:sz w:val="20"/>
              </w:rPr>
              <w:t>C11.3,</w:t>
            </w:r>
            <w:r>
              <w:rPr>
                <w:spacing w:val="-7"/>
                <w:sz w:val="20"/>
              </w:rPr>
              <w:t> </w:t>
            </w:r>
            <w:r>
              <w:rPr>
                <w:sz w:val="20"/>
              </w:rPr>
              <w:t>C11.8,</w:t>
            </w:r>
            <w:r>
              <w:rPr>
                <w:spacing w:val="-5"/>
                <w:sz w:val="20"/>
              </w:rPr>
              <w:t> </w:t>
            </w:r>
            <w:r>
              <w:rPr>
                <w:sz w:val="20"/>
              </w:rPr>
              <w:t>C11.9,</w:t>
            </w:r>
            <w:r>
              <w:rPr>
                <w:spacing w:val="-4"/>
                <w:sz w:val="20"/>
              </w:rPr>
              <w:t> </w:t>
            </w:r>
            <w:r>
              <w:rPr>
                <w:sz w:val="20"/>
              </w:rPr>
              <w:t>C12,</w:t>
            </w:r>
            <w:r>
              <w:rPr>
                <w:spacing w:val="-5"/>
                <w:sz w:val="20"/>
              </w:rPr>
              <w:t> </w:t>
            </w:r>
            <w:r>
              <w:rPr>
                <w:sz w:val="20"/>
              </w:rPr>
              <w:t>C13,</w:t>
            </w:r>
            <w:r>
              <w:rPr>
                <w:spacing w:val="-4"/>
                <w:sz w:val="20"/>
              </w:rPr>
              <w:t> </w:t>
            </w:r>
            <w:r>
              <w:rPr>
                <w:sz w:val="20"/>
              </w:rPr>
              <w:t>C13.0,</w:t>
            </w:r>
            <w:r>
              <w:rPr>
                <w:spacing w:val="-6"/>
                <w:sz w:val="20"/>
              </w:rPr>
              <w:t> </w:t>
            </w:r>
            <w:r>
              <w:rPr>
                <w:spacing w:val="-2"/>
                <w:sz w:val="20"/>
              </w:rPr>
              <w:t>C13.1,</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229"/>
              <w:rPr>
                <w:sz w:val="20"/>
              </w:rPr>
            </w:pPr>
            <w:r>
              <w:rPr>
                <w:sz w:val="20"/>
              </w:rPr>
              <w:t>C13.2,</w:t>
            </w:r>
            <w:r>
              <w:rPr>
                <w:spacing w:val="-6"/>
                <w:sz w:val="20"/>
              </w:rPr>
              <w:t> </w:t>
            </w:r>
            <w:r>
              <w:rPr>
                <w:sz w:val="20"/>
              </w:rPr>
              <w:t>C13.8,</w:t>
            </w:r>
            <w:r>
              <w:rPr>
                <w:spacing w:val="-5"/>
                <w:sz w:val="20"/>
              </w:rPr>
              <w:t> </w:t>
            </w:r>
            <w:r>
              <w:rPr>
                <w:sz w:val="20"/>
              </w:rPr>
              <w:t>C13.9,</w:t>
            </w:r>
            <w:r>
              <w:rPr>
                <w:spacing w:val="-5"/>
                <w:sz w:val="20"/>
              </w:rPr>
              <w:t> </w:t>
            </w:r>
            <w:r>
              <w:rPr>
                <w:sz w:val="20"/>
              </w:rPr>
              <w:t>C14,</w:t>
            </w:r>
            <w:r>
              <w:rPr>
                <w:spacing w:val="-5"/>
                <w:sz w:val="20"/>
              </w:rPr>
              <w:t> </w:t>
            </w:r>
            <w:r>
              <w:rPr>
                <w:sz w:val="20"/>
              </w:rPr>
              <w:t>C14.0,</w:t>
            </w:r>
            <w:r>
              <w:rPr>
                <w:spacing w:val="-5"/>
                <w:sz w:val="20"/>
              </w:rPr>
              <w:t> </w:t>
            </w:r>
            <w:r>
              <w:rPr>
                <w:sz w:val="20"/>
              </w:rPr>
              <w:t>C14.2,</w:t>
            </w:r>
            <w:r>
              <w:rPr>
                <w:spacing w:val="-5"/>
                <w:sz w:val="20"/>
              </w:rPr>
              <w:t> </w:t>
            </w:r>
            <w:r>
              <w:rPr>
                <w:spacing w:val="-2"/>
                <w:sz w:val="20"/>
              </w:rPr>
              <w:t>C14.8,</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C15,</w:t>
            </w:r>
            <w:r>
              <w:rPr>
                <w:spacing w:val="-5"/>
                <w:sz w:val="20"/>
              </w:rPr>
              <w:t> </w:t>
            </w:r>
            <w:r>
              <w:rPr>
                <w:sz w:val="20"/>
              </w:rPr>
              <w:t>C15.0,</w:t>
            </w:r>
            <w:r>
              <w:rPr>
                <w:spacing w:val="-5"/>
                <w:sz w:val="20"/>
              </w:rPr>
              <w:t> </w:t>
            </w:r>
            <w:r>
              <w:rPr>
                <w:sz w:val="20"/>
              </w:rPr>
              <w:t>C15.1,</w:t>
            </w:r>
            <w:r>
              <w:rPr>
                <w:spacing w:val="-5"/>
                <w:sz w:val="20"/>
              </w:rPr>
              <w:t> </w:t>
            </w:r>
            <w:r>
              <w:rPr>
                <w:sz w:val="20"/>
              </w:rPr>
              <w:t>C15.2,</w:t>
            </w:r>
            <w:r>
              <w:rPr>
                <w:spacing w:val="-5"/>
                <w:sz w:val="20"/>
              </w:rPr>
              <w:t> </w:t>
            </w:r>
            <w:r>
              <w:rPr>
                <w:sz w:val="20"/>
              </w:rPr>
              <w:t>C15.3,</w:t>
            </w:r>
            <w:r>
              <w:rPr>
                <w:spacing w:val="-5"/>
                <w:sz w:val="20"/>
              </w:rPr>
              <w:t> </w:t>
            </w:r>
            <w:r>
              <w:rPr>
                <w:sz w:val="20"/>
              </w:rPr>
              <w:t>C15.4,</w:t>
            </w:r>
            <w:r>
              <w:rPr>
                <w:spacing w:val="-5"/>
                <w:sz w:val="20"/>
              </w:rPr>
              <w:t> </w:t>
            </w:r>
            <w:r>
              <w:rPr>
                <w:spacing w:val="-2"/>
                <w:sz w:val="20"/>
              </w:rPr>
              <w:t>C15.5,</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C15.8,</w:t>
            </w:r>
            <w:r>
              <w:rPr>
                <w:spacing w:val="-5"/>
                <w:sz w:val="20"/>
              </w:rPr>
              <w:t> </w:t>
            </w:r>
            <w:r>
              <w:rPr>
                <w:sz w:val="20"/>
              </w:rPr>
              <w:t>C15.9,</w:t>
            </w:r>
            <w:r>
              <w:rPr>
                <w:spacing w:val="-5"/>
                <w:sz w:val="20"/>
              </w:rPr>
              <w:t> </w:t>
            </w:r>
            <w:r>
              <w:rPr>
                <w:sz w:val="20"/>
              </w:rPr>
              <w:t>C16,</w:t>
            </w:r>
            <w:r>
              <w:rPr>
                <w:spacing w:val="-5"/>
                <w:sz w:val="20"/>
              </w:rPr>
              <w:t> </w:t>
            </w:r>
            <w:r>
              <w:rPr>
                <w:sz w:val="20"/>
              </w:rPr>
              <w:t>C16.0,</w:t>
            </w:r>
            <w:r>
              <w:rPr>
                <w:spacing w:val="-5"/>
                <w:sz w:val="20"/>
              </w:rPr>
              <w:t> </w:t>
            </w:r>
            <w:r>
              <w:rPr>
                <w:sz w:val="20"/>
              </w:rPr>
              <w:t>C16.1,</w:t>
            </w:r>
            <w:r>
              <w:rPr>
                <w:spacing w:val="-5"/>
                <w:sz w:val="20"/>
              </w:rPr>
              <w:t> </w:t>
            </w:r>
            <w:r>
              <w:rPr>
                <w:sz w:val="20"/>
              </w:rPr>
              <w:t>C16.2,</w:t>
            </w:r>
            <w:r>
              <w:rPr>
                <w:spacing w:val="-5"/>
                <w:sz w:val="20"/>
              </w:rPr>
              <w:t> </w:t>
            </w:r>
            <w:r>
              <w:rPr>
                <w:spacing w:val="-2"/>
                <w:sz w:val="20"/>
              </w:rPr>
              <w:t>C16.3,</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C16.4,</w:t>
            </w:r>
            <w:r>
              <w:rPr>
                <w:spacing w:val="-5"/>
                <w:sz w:val="20"/>
              </w:rPr>
              <w:t> </w:t>
            </w:r>
            <w:r>
              <w:rPr>
                <w:sz w:val="20"/>
              </w:rPr>
              <w:t>C16.5,</w:t>
            </w:r>
            <w:r>
              <w:rPr>
                <w:spacing w:val="-4"/>
                <w:sz w:val="20"/>
              </w:rPr>
              <w:t> </w:t>
            </w:r>
            <w:r>
              <w:rPr>
                <w:sz w:val="20"/>
              </w:rPr>
              <w:t>C16.6,</w:t>
            </w:r>
            <w:r>
              <w:rPr>
                <w:spacing w:val="-4"/>
                <w:sz w:val="20"/>
              </w:rPr>
              <w:t> </w:t>
            </w:r>
            <w:r>
              <w:rPr>
                <w:sz w:val="20"/>
              </w:rPr>
              <w:t>C16.8,</w:t>
            </w:r>
            <w:r>
              <w:rPr>
                <w:spacing w:val="-8"/>
                <w:sz w:val="20"/>
              </w:rPr>
              <w:t> </w:t>
            </w:r>
            <w:r>
              <w:rPr>
                <w:sz w:val="20"/>
              </w:rPr>
              <w:t>C16.9,</w:t>
            </w:r>
            <w:r>
              <w:rPr>
                <w:spacing w:val="-5"/>
                <w:sz w:val="20"/>
              </w:rPr>
              <w:t> </w:t>
            </w:r>
            <w:r>
              <w:rPr>
                <w:sz w:val="20"/>
              </w:rPr>
              <w:t>C17,</w:t>
            </w:r>
            <w:r>
              <w:rPr>
                <w:spacing w:val="-4"/>
                <w:sz w:val="20"/>
              </w:rPr>
              <w:t> </w:t>
            </w:r>
            <w:r>
              <w:rPr>
                <w:spacing w:val="-2"/>
                <w:sz w:val="20"/>
              </w:rPr>
              <w:t>C17.0,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C17.1,</w:t>
            </w:r>
            <w:r>
              <w:rPr>
                <w:spacing w:val="-4"/>
                <w:sz w:val="20"/>
              </w:rPr>
              <w:t> </w:t>
            </w:r>
            <w:r>
              <w:rPr>
                <w:sz w:val="20"/>
              </w:rPr>
              <w:t>C17.2,</w:t>
            </w:r>
            <w:r>
              <w:rPr>
                <w:spacing w:val="-4"/>
                <w:sz w:val="20"/>
              </w:rPr>
              <w:t> </w:t>
            </w:r>
            <w:r>
              <w:rPr>
                <w:sz w:val="20"/>
              </w:rPr>
              <w:t>C17.3,</w:t>
            </w:r>
            <w:r>
              <w:rPr>
                <w:spacing w:val="-3"/>
                <w:sz w:val="20"/>
              </w:rPr>
              <w:t> </w:t>
            </w:r>
            <w:r>
              <w:rPr>
                <w:sz w:val="20"/>
              </w:rPr>
              <w:t>C17.8,</w:t>
            </w:r>
            <w:r>
              <w:rPr>
                <w:spacing w:val="-8"/>
                <w:sz w:val="20"/>
              </w:rPr>
              <w:t> </w:t>
            </w:r>
            <w:r>
              <w:rPr>
                <w:sz w:val="20"/>
              </w:rPr>
              <w:t>C17.9,</w:t>
            </w:r>
            <w:r>
              <w:rPr>
                <w:spacing w:val="-3"/>
                <w:sz w:val="20"/>
              </w:rPr>
              <w:t> </w:t>
            </w:r>
            <w:r>
              <w:rPr>
                <w:sz w:val="20"/>
              </w:rPr>
              <w:t>C18,</w:t>
            </w:r>
            <w:r>
              <w:rPr>
                <w:spacing w:val="-4"/>
                <w:sz w:val="20"/>
              </w:rPr>
              <w:t> </w:t>
            </w:r>
            <w:r>
              <w:rPr>
                <w:spacing w:val="-2"/>
                <w:sz w:val="20"/>
              </w:rPr>
              <w:t>C18.0,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5" w:lineRule="exact"/>
              <w:ind w:left="155"/>
              <w:rPr>
                <w:sz w:val="20"/>
              </w:rPr>
            </w:pPr>
            <w:r>
              <w:rPr>
                <w:sz w:val="20"/>
              </w:rPr>
              <w:t>C18.1,</w:t>
            </w:r>
            <w:r>
              <w:rPr>
                <w:spacing w:val="-7"/>
                <w:sz w:val="20"/>
              </w:rPr>
              <w:t> </w:t>
            </w:r>
            <w:r>
              <w:rPr>
                <w:sz w:val="20"/>
              </w:rPr>
              <w:t>C18.2,</w:t>
            </w:r>
            <w:r>
              <w:rPr>
                <w:spacing w:val="-5"/>
                <w:sz w:val="20"/>
              </w:rPr>
              <w:t> </w:t>
            </w:r>
            <w:r>
              <w:rPr>
                <w:sz w:val="20"/>
              </w:rPr>
              <w:t>C18.3,</w:t>
            </w:r>
            <w:r>
              <w:rPr>
                <w:spacing w:val="-5"/>
                <w:sz w:val="20"/>
              </w:rPr>
              <w:t> </w:t>
            </w:r>
            <w:r>
              <w:rPr>
                <w:sz w:val="20"/>
              </w:rPr>
              <w:t>C18.4,</w:t>
            </w:r>
            <w:r>
              <w:rPr>
                <w:spacing w:val="-9"/>
                <w:sz w:val="20"/>
              </w:rPr>
              <w:t> </w:t>
            </w:r>
            <w:r>
              <w:rPr>
                <w:sz w:val="20"/>
              </w:rPr>
              <w:t>C18.5,</w:t>
            </w:r>
            <w:r>
              <w:rPr>
                <w:spacing w:val="-5"/>
                <w:sz w:val="20"/>
              </w:rPr>
              <w:t> </w:t>
            </w:r>
            <w:r>
              <w:rPr>
                <w:sz w:val="20"/>
              </w:rPr>
              <w:t>C18.6,</w:t>
            </w:r>
            <w:r>
              <w:rPr>
                <w:spacing w:val="-4"/>
                <w:sz w:val="20"/>
              </w:rPr>
              <w:t> </w:t>
            </w:r>
            <w:r>
              <w:rPr>
                <w:spacing w:val="-2"/>
                <w:sz w:val="20"/>
              </w:rPr>
              <w:t>C18.7,</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C18.8,</w:t>
      </w:r>
      <w:r>
        <w:rPr>
          <w:spacing w:val="-4"/>
          <w:sz w:val="20"/>
        </w:rPr>
        <w:t> </w:t>
      </w:r>
      <w:r>
        <w:rPr>
          <w:sz w:val="20"/>
        </w:rPr>
        <w:t>C18.9,</w:t>
      </w:r>
      <w:r>
        <w:rPr>
          <w:spacing w:val="-4"/>
          <w:sz w:val="20"/>
        </w:rPr>
        <w:t> </w:t>
      </w:r>
      <w:r>
        <w:rPr>
          <w:sz w:val="20"/>
        </w:rPr>
        <w:t>C19,</w:t>
      </w:r>
      <w:r>
        <w:rPr>
          <w:spacing w:val="-3"/>
          <w:sz w:val="20"/>
        </w:rPr>
        <w:t> </w:t>
      </w:r>
      <w:r>
        <w:rPr>
          <w:sz w:val="20"/>
        </w:rPr>
        <w:t>C20,</w:t>
      </w:r>
      <w:r>
        <w:rPr>
          <w:spacing w:val="-6"/>
          <w:sz w:val="20"/>
        </w:rPr>
        <w:t> </w:t>
      </w:r>
      <w:r>
        <w:rPr>
          <w:sz w:val="20"/>
        </w:rPr>
        <w:t>C21,</w:t>
      </w:r>
      <w:r>
        <w:rPr>
          <w:spacing w:val="-5"/>
          <w:sz w:val="20"/>
        </w:rPr>
        <w:t> </w:t>
      </w:r>
      <w:r>
        <w:rPr>
          <w:sz w:val="20"/>
        </w:rPr>
        <w:t>C21.0,</w:t>
      </w:r>
      <w:r>
        <w:rPr>
          <w:spacing w:val="-4"/>
          <w:sz w:val="20"/>
        </w:rPr>
        <w:t> </w:t>
      </w:r>
      <w:r>
        <w:rPr>
          <w:spacing w:val="-2"/>
          <w:sz w:val="20"/>
        </w:rPr>
        <w:t>C21.1,</w:t>
      </w:r>
    </w:p>
    <w:p>
      <w:pPr>
        <w:spacing w:line="229" w:lineRule="exact" w:before="1"/>
        <w:ind w:left="1161" w:right="4154" w:firstLine="0"/>
        <w:jc w:val="center"/>
        <w:rPr>
          <w:sz w:val="20"/>
        </w:rPr>
      </w:pPr>
      <w:r>
        <w:rPr>
          <w:sz w:val="20"/>
        </w:rPr>
        <w:t>C21.2,</w:t>
      </w:r>
      <w:r>
        <w:rPr>
          <w:spacing w:val="-5"/>
          <w:sz w:val="20"/>
        </w:rPr>
        <w:t> </w:t>
      </w:r>
      <w:r>
        <w:rPr>
          <w:sz w:val="20"/>
        </w:rPr>
        <w:t>C21.8,</w:t>
      </w:r>
      <w:r>
        <w:rPr>
          <w:spacing w:val="-5"/>
          <w:sz w:val="20"/>
        </w:rPr>
        <w:t> </w:t>
      </w:r>
      <w:r>
        <w:rPr>
          <w:sz w:val="20"/>
        </w:rPr>
        <w:t>C22,</w:t>
      </w:r>
      <w:r>
        <w:rPr>
          <w:spacing w:val="-5"/>
          <w:sz w:val="20"/>
        </w:rPr>
        <w:t> </w:t>
      </w:r>
      <w:r>
        <w:rPr>
          <w:sz w:val="20"/>
        </w:rPr>
        <w:t>C22.0,</w:t>
      </w:r>
      <w:r>
        <w:rPr>
          <w:spacing w:val="-5"/>
          <w:sz w:val="20"/>
        </w:rPr>
        <w:t> </w:t>
      </w:r>
      <w:r>
        <w:rPr>
          <w:sz w:val="20"/>
        </w:rPr>
        <w:t>C22.1,</w:t>
      </w:r>
      <w:r>
        <w:rPr>
          <w:spacing w:val="-5"/>
          <w:sz w:val="20"/>
        </w:rPr>
        <w:t> </w:t>
      </w:r>
      <w:r>
        <w:rPr>
          <w:sz w:val="20"/>
        </w:rPr>
        <w:t>C22.2,</w:t>
      </w:r>
      <w:r>
        <w:rPr>
          <w:spacing w:val="-5"/>
          <w:sz w:val="20"/>
        </w:rPr>
        <w:t> </w:t>
      </w:r>
      <w:r>
        <w:rPr>
          <w:spacing w:val="-2"/>
          <w:sz w:val="20"/>
        </w:rPr>
        <w:t>C22.3,</w:t>
      </w:r>
    </w:p>
    <w:p>
      <w:pPr>
        <w:spacing w:line="229" w:lineRule="exact" w:before="0"/>
        <w:ind w:left="1162" w:right="4154" w:firstLine="0"/>
        <w:jc w:val="center"/>
        <w:rPr>
          <w:sz w:val="20"/>
        </w:rPr>
      </w:pPr>
      <w:r>
        <w:rPr>
          <w:sz w:val="20"/>
        </w:rPr>
        <w:t>C22.4,</w:t>
      </w:r>
      <w:r>
        <w:rPr>
          <w:spacing w:val="-7"/>
          <w:sz w:val="20"/>
        </w:rPr>
        <w:t> </w:t>
      </w:r>
      <w:r>
        <w:rPr>
          <w:sz w:val="20"/>
        </w:rPr>
        <w:t>C22.7,</w:t>
      </w:r>
      <w:r>
        <w:rPr>
          <w:spacing w:val="-5"/>
          <w:sz w:val="20"/>
        </w:rPr>
        <w:t> </w:t>
      </w:r>
      <w:r>
        <w:rPr>
          <w:sz w:val="20"/>
        </w:rPr>
        <w:t>C22.9,</w:t>
      </w:r>
      <w:r>
        <w:rPr>
          <w:spacing w:val="-5"/>
          <w:sz w:val="20"/>
        </w:rPr>
        <w:t> </w:t>
      </w:r>
      <w:r>
        <w:rPr>
          <w:sz w:val="20"/>
        </w:rPr>
        <w:t>C23,</w:t>
      </w:r>
      <w:r>
        <w:rPr>
          <w:spacing w:val="-4"/>
          <w:sz w:val="20"/>
        </w:rPr>
        <w:t> </w:t>
      </w:r>
      <w:r>
        <w:rPr>
          <w:sz w:val="20"/>
        </w:rPr>
        <w:t>C24,</w:t>
      </w:r>
      <w:r>
        <w:rPr>
          <w:spacing w:val="-5"/>
          <w:sz w:val="20"/>
        </w:rPr>
        <w:t> </w:t>
      </w:r>
      <w:r>
        <w:rPr>
          <w:sz w:val="20"/>
        </w:rPr>
        <w:t>C24.0,</w:t>
      </w:r>
      <w:r>
        <w:rPr>
          <w:spacing w:val="-6"/>
          <w:sz w:val="20"/>
        </w:rPr>
        <w:t> </w:t>
      </w:r>
      <w:r>
        <w:rPr>
          <w:spacing w:val="-2"/>
          <w:sz w:val="20"/>
        </w:rPr>
        <w:t>C24.1,</w:t>
      </w:r>
    </w:p>
    <w:p>
      <w:pPr>
        <w:spacing w:before="0"/>
        <w:ind w:left="4643" w:right="0" w:firstLine="0"/>
        <w:jc w:val="left"/>
        <w:rPr>
          <w:sz w:val="20"/>
        </w:rPr>
      </w:pPr>
      <w:r>
        <w:rPr>
          <w:sz w:val="20"/>
        </w:rPr>
        <w:t>C24.8,</w:t>
      </w:r>
      <w:r>
        <w:rPr>
          <w:spacing w:val="-5"/>
          <w:sz w:val="20"/>
        </w:rPr>
        <w:t> </w:t>
      </w:r>
      <w:r>
        <w:rPr>
          <w:sz w:val="20"/>
        </w:rPr>
        <w:t>C24.9,</w:t>
      </w:r>
      <w:r>
        <w:rPr>
          <w:spacing w:val="-5"/>
          <w:sz w:val="20"/>
        </w:rPr>
        <w:t> </w:t>
      </w:r>
      <w:r>
        <w:rPr>
          <w:sz w:val="20"/>
        </w:rPr>
        <w:t>C25,</w:t>
      </w:r>
      <w:r>
        <w:rPr>
          <w:spacing w:val="-5"/>
          <w:sz w:val="20"/>
        </w:rPr>
        <w:t> </w:t>
      </w:r>
      <w:r>
        <w:rPr>
          <w:sz w:val="20"/>
        </w:rPr>
        <w:t>C25.0,</w:t>
      </w:r>
      <w:r>
        <w:rPr>
          <w:spacing w:val="-5"/>
          <w:sz w:val="20"/>
        </w:rPr>
        <w:t> </w:t>
      </w:r>
      <w:r>
        <w:rPr>
          <w:sz w:val="20"/>
        </w:rPr>
        <w:t>C25.1,</w:t>
      </w:r>
      <w:r>
        <w:rPr>
          <w:spacing w:val="-5"/>
          <w:sz w:val="20"/>
        </w:rPr>
        <w:t> </w:t>
      </w:r>
      <w:r>
        <w:rPr>
          <w:sz w:val="20"/>
        </w:rPr>
        <w:t>C25.2,</w:t>
      </w:r>
      <w:r>
        <w:rPr>
          <w:spacing w:val="-5"/>
          <w:sz w:val="20"/>
        </w:rPr>
        <w:t> </w:t>
      </w:r>
      <w:r>
        <w:rPr>
          <w:spacing w:val="-2"/>
          <w:sz w:val="20"/>
        </w:rPr>
        <w:t>C25.3,</w:t>
      </w:r>
    </w:p>
    <w:p>
      <w:pPr>
        <w:spacing w:before="1"/>
        <w:ind w:left="4643" w:right="0" w:firstLine="0"/>
        <w:jc w:val="left"/>
        <w:rPr>
          <w:sz w:val="20"/>
        </w:rPr>
      </w:pPr>
      <w:r>
        <w:rPr>
          <w:sz w:val="20"/>
        </w:rPr>
        <w:t>C25.4,</w:t>
      </w:r>
      <w:r>
        <w:rPr>
          <w:spacing w:val="-5"/>
          <w:sz w:val="20"/>
        </w:rPr>
        <w:t> </w:t>
      </w:r>
      <w:r>
        <w:rPr>
          <w:sz w:val="20"/>
        </w:rPr>
        <w:t>C25.7,</w:t>
      </w:r>
      <w:r>
        <w:rPr>
          <w:spacing w:val="-4"/>
          <w:sz w:val="20"/>
        </w:rPr>
        <w:t> </w:t>
      </w:r>
      <w:r>
        <w:rPr>
          <w:sz w:val="20"/>
        </w:rPr>
        <w:t>C25.8,</w:t>
      </w:r>
      <w:r>
        <w:rPr>
          <w:spacing w:val="-4"/>
          <w:sz w:val="20"/>
        </w:rPr>
        <w:t> </w:t>
      </w:r>
      <w:r>
        <w:rPr>
          <w:sz w:val="20"/>
        </w:rPr>
        <w:t>C25.9,</w:t>
      </w:r>
      <w:r>
        <w:rPr>
          <w:spacing w:val="-8"/>
          <w:sz w:val="20"/>
        </w:rPr>
        <w:t> </w:t>
      </w:r>
      <w:r>
        <w:rPr>
          <w:sz w:val="20"/>
        </w:rPr>
        <w:t>C26,</w:t>
      </w:r>
      <w:r>
        <w:rPr>
          <w:spacing w:val="-4"/>
          <w:sz w:val="20"/>
        </w:rPr>
        <w:t> </w:t>
      </w:r>
      <w:r>
        <w:rPr>
          <w:sz w:val="20"/>
        </w:rPr>
        <w:t>C26.0,</w:t>
      </w:r>
      <w:r>
        <w:rPr>
          <w:spacing w:val="-4"/>
          <w:sz w:val="20"/>
        </w:rPr>
        <w:t> </w:t>
      </w:r>
      <w:r>
        <w:rPr>
          <w:spacing w:val="-2"/>
          <w:sz w:val="20"/>
        </w:rPr>
        <w:t>C26.1,</w:t>
      </w:r>
    </w:p>
    <w:p>
      <w:pPr>
        <w:spacing w:before="0"/>
        <w:ind w:left="4717" w:right="0" w:firstLine="0"/>
        <w:jc w:val="left"/>
        <w:rPr>
          <w:sz w:val="20"/>
        </w:rPr>
      </w:pPr>
      <w:r>
        <w:rPr>
          <w:sz w:val="20"/>
        </w:rPr>
        <w:t>C26.8,</w:t>
      </w:r>
      <w:r>
        <w:rPr>
          <w:spacing w:val="-7"/>
          <w:sz w:val="20"/>
        </w:rPr>
        <w:t> </w:t>
      </w:r>
      <w:r>
        <w:rPr>
          <w:sz w:val="20"/>
        </w:rPr>
        <w:t>C26.9,</w:t>
      </w:r>
      <w:r>
        <w:rPr>
          <w:spacing w:val="-5"/>
          <w:sz w:val="20"/>
        </w:rPr>
        <w:t> </w:t>
      </w:r>
      <w:r>
        <w:rPr>
          <w:sz w:val="20"/>
        </w:rPr>
        <w:t>C30,</w:t>
      </w:r>
      <w:r>
        <w:rPr>
          <w:spacing w:val="-4"/>
          <w:sz w:val="20"/>
        </w:rPr>
        <w:t> </w:t>
      </w:r>
      <w:r>
        <w:rPr>
          <w:sz w:val="20"/>
        </w:rPr>
        <w:t>C30.0,</w:t>
      </w:r>
      <w:r>
        <w:rPr>
          <w:spacing w:val="-5"/>
          <w:sz w:val="20"/>
        </w:rPr>
        <w:t> </w:t>
      </w:r>
      <w:r>
        <w:rPr>
          <w:sz w:val="20"/>
        </w:rPr>
        <w:t>C30.1,</w:t>
      </w:r>
      <w:r>
        <w:rPr>
          <w:spacing w:val="-4"/>
          <w:sz w:val="20"/>
        </w:rPr>
        <w:t> </w:t>
      </w:r>
      <w:r>
        <w:rPr>
          <w:sz w:val="20"/>
        </w:rPr>
        <w:t>C31,</w:t>
      </w:r>
      <w:r>
        <w:rPr>
          <w:spacing w:val="-6"/>
          <w:sz w:val="20"/>
        </w:rPr>
        <w:t> </w:t>
      </w:r>
      <w:r>
        <w:rPr>
          <w:spacing w:val="-2"/>
          <w:sz w:val="20"/>
        </w:rPr>
        <w:t>C31.0,</w:t>
      </w:r>
    </w:p>
    <w:p>
      <w:pPr>
        <w:spacing w:before="0"/>
        <w:ind w:left="4643" w:right="0" w:firstLine="0"/>
        <w:jc w:val="left"/>
        <w:rPr>
          <w:sz w:val="20"/>
        </w:rPr>
      </w:pPr>
      <w:r>
        <w:rPr>
          <w:sz w:val="20"/>
        </w:rPr>
        <w:t>C31.1,</w:t>
      </w:r>
      <w:r>
        <w:rPr>
          <w:spacing w:val="-5"/>
          <w:sz w:val="20"/>
        </w:rPr>
        <w:t> </w:t>
      </w:r>
      <w:r>
        <w:rPr>
          <w:sz w:val="20"/>
        </w:rPr>
        <w:t>C31.2,</w:t>
      </w:r>
      <w:r>
        <w:rPr>
          <w:spacing w:val="-4"/>
          <w:sz w:val="20"/>
        </w:rPr>
        <w:t> </w:t>
      </w:r>
      <w:r>
        <w:rPr>
          <w:sz w:val="20"/>
        </w:rPr>
        <w:t>C31.3,</w:t>
      </w:r>
      <w:r>
        <w:rPr>
          <w:spacing w:val="-4"/>
          <w:sz w:val="20"/>
        </w:rPr>
        <w:t> </w:t>
      </w:r>
      <w:r>
        <w:rPr>
          <w:sz w:val="20"/>
        </w:rPr>
        <w:t>C31.8,</w:t>
      </w:r>
      <w:r>
        <w:rPr>
          <w:spacing w:val="-8"/>
          <w:sz w:val="20"/>
        </w:rPr>
        <w:t> </w:t>
      </w:r>
      <w:r>
        <w:rPr>
          <w:sz w:val="20"/>
        </w:rPr>
        <w:t>C31.9,</w:t>
      </w:r>
      <w:r>
        <w:rPr>
          <w:spacing w:val="-5"/>
          <w:sz w:val="20"/>
        </w:rPr>
        <w:t> </w:t>
      </w:r>
      <w:r>
        <w:rPr>
          <w:sz w:val="20"/>
        </w:rPr>
        <w:t>C32,</w:t>
      </w:r>
      <w:r>
        <w:rPr>
          <w:spacing w:val="-4"/>
          <w:sz w:val="20"/>
        </w:rPr>
        <w:t> </w:t>
      </w:r>
      <w:r>
        <w:rPr>
          <w:spacing w:val="-2"/>
          <w:sz w:val="20"/>
        </w:rPr>
        <w:t>C32.0,</w:t>
      </w:r>
    </w:p>
    <w:p>
      <w:pPr>
        <w:spacing w:line="229" w:lineRule="exact" w:before="1"/>
        <w:ind w:left="4717" w:right="0" w:firstLine="0"/>
        <w:jc w:val="left"/>
        <w:rPr>
          <w:sz w:val="20"/>
        </w:rPr>
      </w:pPr>
      <w:r>
        <w:rPr>
          <w:sz w:val="20"/>
        </w:rPr>
        <w:t>C32.1,</w:t>
      </w:r>
      <w:r>
        <w:rPr>
          <w:spacing w:val="-5"/>
          <w:sz w:val="20"/>
        </w:rPr>
        <w:t> </w:t>
      </w:r>
      <w:r>
        <w:rPr>
          <w:sz w:val="20"/>
        </w:rPr>
        <w:t>C32.2,</w:t>
      </w:r>
      <w:r>
        <w:rPr>
          <w:spacing w:val="-4"/>
          <w:sz w:val="20"/>
        </w:rPr>
        <w:t> </w:t>
      </w:r>
      <w:r>
        <w:rPr>
          <w:sz w:val="20"/>
        </w:rPr>
        <w:t>C32.3,</w:t>
      </w:r>
      <w:r>
        <w:rPr>
          <w:spacing w:val="-4"/>
          <w:sz w:val="20"/>
        </w:rPr>
        <w:t> </w:t>
      </w:r>
      <w:r>
        <w:rPr>
          <w:sz w:val="20"/>
        </w:rPr>
        <w:t>C32.8,</w:t>
      </w:r>
      <w:r>
        <w:rPr>
          <w:spacing w:val="-8"/>
          <w:sz w:val="20"/>
        </w:rPr>
        <w:t> </w:t>
      </w:r>
      <w:r>
        <w:rPr>
          <w:sz w:val="20"/>
        </w:rPr>
        <w:t>C32.9,</w:t>
      </w:r>
      <w:r>
        <w:rPr>
          <w:spacing w:val="-5"/>
          <w:sz w:val="20"/>
        </w:rPr>
        <w:t> </w:t>
      </w:r>
      <w:r>
        <w:rPr>
          <w:sz w:val="20"/>
        </w:rPr>
        <w:t>C33,</w:t>
      </w:r>
      <w:r>
        <w:rPr>
          <w:spacing w:val="-4"/>
          <w:sz w:val="20"/>
        </w:rPr>
        <w:t> C34,</w:t>
      </w:r>
    </w:p>
    <w:p>
      <w:pPr>
        <w:spacing w:line="229" w:lineRule="exact" w:before="0"/>
        <w:ind w:left="4643" w:right="0" w:firstLine="0"/>
        <w:jc w:val="left"/>
        <w:rPr>
          <w:sz w:val="20"/>
        </w:rPr>
      </w:pPr>
      <w:r>
        <w:rPr>
          <w:sz w:val="20"/>
        </w:rPr>
        <w:t>C34.0,</w:t>
      </w:r>
      <w:r>
        <w:rPr>
          <w:spacing w:val="-7"/>
          <w:sz w:val="20"/>
        </w:rPr>
        <w:t> </w:t>
      </w:r>
      <w:r>
        <w:rPr>
          <w:sz w:val="20"/>
        </w:rPr>
        <w:t>C34.1,</w:t>
      </w:r>
      <w:r>
        <w:rPr>
          <w:spacing w:val="-5"/>
          <w:sz w:val="20"/>
        </w:rPr>
        <w:t> </w:t>
      </w:r>
      <w:r>
        <w:rPr>
          <w:sz w:val="20"/>
        </w:rPr>
        <w:t>C34.2,</w:t>
      </w:r>
      <w:r>
        <w:rPr>
          <w:spacing w:val="-5"/>
          <w:sz w:val="20"/>
        </w:rPr>
        <w:t> </w:t>
      </w:r>
      <w:r>
        <w:rPr>
          <w:sz w:val="20"/>
        </w:rPr>
        <w:t>C34.3,</w:t>
      </w:r>
      <w:r>
        <w:rPr>
          <w:spacing w:val="-9"/>
          <w:sz w:val="20"/>
        </w:rPr>
        <w:t> </w:t>
      </w:r>
      <w:r>
        <w:rPr>
          <w:sz w:val="20"/>
        </w:rPr>
        <w:t>C34.8,</w:t>
      </w:r>
      <w:r>
        <w:rPr>
          <w:spacing w:val="-5"/>
          <w:sz w:val="20"/>
        </w:rPr>
        <w:t> </w:t>
      </w:r>
      <w:r>
        <w:rPr>
          <w:sz w:val="20"/>
        </w:rPr>
        <w:t>C34.9,</w:t>
      </w:r>
      <w:r>
        <w:rPr>
          <w:spacing w:val="-4"/>
          <w:sz w:val="20"/>
        </w:rPr>
        <w:t> C37,</w:t>
      </w:r>
    </w:p>
    <w:p>
      <w:pPr>
        <w:spacing w:before="1"/>
        <w:ind w:left="4643" w:right="0" w:firstLine="0"/>
        <w:jc w:val="left"/>
        <w:rPr>
          <w:sz w:val="20"/>
        </w:rPr>
      </w:pPr>
      <w:r>
        <w:rPr>
          <w:sz w:val="20"/>
        </w:rPr>
        <w:t>C38,</w:t>
      </w:r>
      <w:r>
        <w:rPr>
          <w:spacing w:val="-5"/>
          <w:sz w:val="20"/>
        </w:rPr>
        <w:t> </w:t>
      </w:r>
      <w:r>
        <w:rPr>
          <w:sz w:val="20"/>
        </w:rPr>
        <w:t>C38.0,</w:t>
      </w:r>
      <w:r>
        <w:rPr>
          <w:spacing w:val="-4"/>
          <w:sz w:val="20"/>
        </w:rPr>
        <w:t> </w:t>
      </w:r>
      <w:r>
        <w:rPr>
          <w:sz w:val="20"/>
        </w:rPr>
        <w:t>C38.1,</w:t>
      </w:r>
      <w:r>
        <w:rPr>
          <w:spacing w:val="-4"/>
          <w:sz w:val="20"/>
        </w:rPr>
        <w:t> </w:t>
      </w:r>
      <w:r>
        <w:rPr>
          <w:sz w:val="20"/>
        </w:rPr>
        <w:t>C38.2,</w:t>
      </w:r>
      <w:r>
        <w:rPr>
          <w:spacing w:val="-4"/>
          <w:sz w:val="20"/>
        </w:rPr>
        <w:t> </w:t>
      </w:r>
      <w:r>
        <w:rPr>
          <w:sz w:val="20"/>
        </w:rPr>
        <w:t>C38.3,</w:t>
      </w:r>
      <w:r>
        <w:rPr>
          <w:spacing w:val="-4"/>
          <w:sz w:val="20"/>
        </w:rPr>
        <w:t> </w:t>
      </w:r>
      <w:r>
        <w:rPr>
          <w:sz w:val="20"/>
        </w:rPr>
        <w:t>C38.4,</w:t>
      </w:r>
      <w:r>
        <w:rPr>
          <w:spacing w:val="-4"/>
          <w:sz w:val="20"/>
        </w:rPr>
        <w:t> </w:t>
      </w:r>
      <w:r>
        <w:rPr>
          <w:spacing w:val="-2"/>
          <w:sz w:val="20"/>
        </w:rPr>
        <w:t>C38.8,</w:t>
      </w:r>
    </w:p>
    <w:p>
      <w:pPr>
        <w:spacing w:before="0"/>
        <w:ind w:left="4717" w:right="0" w:firstLine="0"/>
        <w:jc w:val="left"/>
        <w:rPr>
          <w:sz w:val="20"/>
        </w:rPr>
      </w:pPr>
      <w:r>
        <w:rPr>
          <w:sz w:val="20"/>
        </w:rPr>
        <w:t>C39,</w:t>
      </w:r>
      <w:r>
        <w:rPr>
          <w:spacing w:val="-7"/>
          <w:sz w:val="20"/>
        </w:rPr>
        <w:t> </w:t>
      </w:r>
      <w:r>
        <w:rPr>
          <w:sz w:val="20"/>
        </w:rPr>
        <w:t>C39.0,</w:t>
      </w:r>
      <w:r>
        <w:rPr>
          <w:spacing w:val="-5"/>
          <w:sz w:val="20"/>
        </w:rPr>
        <w:t> </w:t>
      </w:r>
      <w:r>
        <w:rPr>
          <w:sz w:val="20"/>
        </w:rPr>
        <w:t>C39.8,</w:t>
      </w:r>
      <w:r>
        <w:rPr>
          <w:spacing w:val="-4"/>
          <w:sz w:val="20"/>
        </w:rPr>
        <w:t> </w:t>
      </w:r>
      <w:r>
        <w:rPr>
          <w:sz w:val="20"/>
        </w:rPr>
        <w:t>C39.9,</w:t>
      </w:r>
      <w:r>
        <w:rPr>
          <w:spacing w:val="-5"/>
          <w:sz w:val="20"/>
        </w:rPr>
        <w:t> </w:t>
      </w:r>
      <w:r>
        <w:rPr>
          <w:sz w:val="20"/>
        </w:rPr>
        <w:t>C40,</w:t>
      </w:r>
      <w:r>
        <w:rPr>
          <w:spacing w:val="-4"/>
          <w:sz w:val="20"/>
        </w:rPr>
        <w:t> </w:t>
      </w:r>
      <w:r>
        <w:rPr>
          <w:sz w:val="20"/>
        </w:rPr>
        <w:t>C40.0,</w:t>
      </w:r>
      <w:r>
        <w:rPr>
          <w:spacing w:val="-6"/>
          <w:sz w:val="20"/>
        </w:rPr>
        <w:t> </w:t>
      </w:r>
      <w:r>
        <w:rPr>
          <w:spacing w:val="-2"/>
          <w:sz w:val="20"/>
        </w:rPr>
        <w:t>C40.1,</w:t>
      </w:r>
    </w:p>
    <w:p>
      <w:pPr>
        <w:spacing w:before="1"/>
        <w:ind w:left="4643" w:right="0" w:firstLine="0"/>
        <w:jc w:val="left"/>
        <w:rPr>
          <w:sz w:val="20"/>
        </w:rPr>
      </w:pPr>
      <w:r>
        <w:rPr>
          <w:sz w:val="20"/>
        </w:rPr>
        <w:t>C40.2,</w:t>
      </w:r>
      <w:r>
        <w:rPr>
          <w:spacing w:val="-5"/>
          <w:sz w:val="20"/>
        </w:rPr>
        <w:t> </w:t>
      </w:r>
      <w:r>
        <w:rPr>
          <w:sz w:val="20"/>
        </w:rPr>
        <w:t>C40.3,</w:t>
      </w:r>
      <w:r>
        <w:rPr>
          <w:spacing w:val="-4"/>
          <w:sz w:val="20"/>
        </w:rPr>
        <w:t> </w:t>
      </w:r>
      <w:r>
        <w:rPr>
          <w:sz w:val="20"/>
        </w:rPr>
        <w:t>C40.8,</w:t>
      </w:r>
      <w:r>
        <w:rPr>
          <w:spacing w:val="-4"/>
          <w:sz w:val="20"/>
        </w:rPr>
        <w:t> </w:t>
      </w:r>
      <w:r>
        <w:rPr>
          <w:sz w:val="20"/>
        </w:rPr>
        <w:t>C40.9,</w:t>
      </w:r>
      <w:r>
        <w:rPr>
          <w:spacing w:val="-8"/>
          <w:sz w:val="20"/>
        </w:rPr>
        <w:t> </w:t>
      </w:r>
      <w:r>
        <w:rPr>
          <w:sz w:val="20"/>
        </w:rPr>
        <w:t>C41,</w:t>
      </w:r>
      <w:r>
        <w:rPr>
          <w:spacing w:val="-5"/>
          <w:sz w:val="20"/>
        </w:rPr>
        <w:t> </w:t>
      </w:r>
      <w:r>
        <w:rPr>
          <w:sz w:val="20"/>
        </w:rPr>
        <w:t>C41.0,</w:t>
      </w:r>
      <w:r>
        <w:rPr>
          <w:spacing w:val="-4"/>
          <w:sz w:val="20"/>
        </w:rPr>
        <w:t> </w:t>
      </w:r>
      <w:r>
        <w:rPr>
          <w:spacing w:val="-2"/>
          <w:sz w:val="20"/>
        </w:rPr>
        <w:t>C41.1,</w:t>
      </w:r>
    </w:p>
    <w:p>
      <w:pPr>
        <w:spacing w:before="0"/>
        <w:ind w:left="4643" w:right="0" w:firstLine="0"/>
        <w:jc w:val="left"/>
        <w:rPr>
          <w:sz w:val="20"/>
        </w:rPr>
      </w:pPr>
      <w:r>
        <w:rPr>
          <w:sz w:val="20"/>
        </w:rPr>
        <w:t>C41.2,</w:t>
      </w:r>
      <w:r>
        <w:rPr>
          <w:spacing w:val="-5"/>
          <w:sz w:val="20"/>
        </w:rPr>
        <w:t> </w:t>
      </w:r>
      <w:r>
        <w:rPr>
          <w:sz w:val="20"/>
        </w:rPr>
        <w:t>C41.3,</w:t>
      </w:r>
      <w:r>
        <w:rPr>
          <w:spacing w:val="-4"/>
          <w:sz w:val="20"/>
        </w:rPr>
        <w:t> </w:t>
      </w:r>
      <w:r>
        <w:rPr>
          <w:sz w:val="20"/>
        </w:rPr>
        <w:t>C41.4,</w:t>
      </w:r>
      <w:r>
        <w:rPr>
          <w:spacing w:val="-4"/>
          <w:sz w:val="20"/>
        </w:rPr>
        <w:t> </w:t>
      </w:r>
      <w:r>
        <w:rPr>
          <w:sz w:val="20"/>
        </w:rPr>
        <w:t>C41.8,</w:t>
      </w:r>
      <w:r>
        <w:rPr>
          <w:spacing w:val="-8"/>
          <w:sz w:val="20"/>
        </w:rPr>
        <w:t> </w:t>
      </w:r>
      <w:r>
        <w:rPr>
          <w:sz w:val="20"/>
        </w:rPr>
        <w:t>C41.9,</w:t>
      </w:r>
      <w:r>
        <w:rPr>
          <w:spacing w:val="-5"/>
          <w:sz w:val="20"/>
        </w:rPr>
        <w:t> </w:t>
      </w:r>
      <w:r>
        <w:rPr>
          <w:sz w:val="20"/>
        </w:rPr>
        <w:t>C43,</w:t>
      </w:r>
      <w:r>
        <w:rPr>
          <w:spacing w:val="-4"/>
          <w:sz w:val="20"/>
        </w:rPr>
        <w:t> </w:t>
      </w:r>
      <w:r>
        <w:rPr>
          <w:spacing w:val="-2"/>
          <w:sz w:val="20"/>
        </w:rPr>
        <w:t>C43.0,</w:t>
      </w:r>
    </w:p>
    <w:p>
      <w:pPr>
        <w:spacing w:line="229" w:lineRule="exact" w:before="1"/>
        <w:ind w:left="4569" w:right="0" w:firstLine="0"/>
        <w:jc w:val="left"/>
        <w:rPr>
          <w:sz w:val="20"/>
        </w:rPr>
      </w:pPr>
      <w:r>
        <w:rPr>
          <w:sz w:val="20"/>
        </w:rPr>
        <w:t>C43.1,</w:t>
      </w:r>
      <w:r>
        <w:rPr>
          <w:spacing w:val="-7"/>
          <w:sz w:val="20"/>
        </w:rPr>
        <w:t> </w:t>
      </w:r>
      <w:r>
        <w:rPr>
          <w:sz w:val="20"/>
        </w:rPr>
        <w:t>C43.2,</w:t>
      </w:r>
      <w:r>
        <w:rPr>
          <w:spacing w:val="-5"/>
          <w:sz w:val="20"/>
        </w:rPr>
        <w:t> </w:t>
      </w:r>
      <w:r>
        <w:rPr>
          <w:sz w:val="20"/>
        </w:rPr>
        <w:t>C43.3,</w:t>
      </w:r>
      <w:r>
        <w:rPr>
          <w:spacing w:val="-5"/>
          <w:sz w:val="20"/>
        </w:rPr>
        <w:t> </w:t>
      </w:r>
      <w:r>
        <w:rPr>
          <w:sz w:val="20"/>
        </w:rPr>
        <w:t>C43.4,</w:t>
      </w:r>
      <w:r>
        <w:rPr>
          <w:spacing w:val="-9"/>
          <w:sz w:val="20"/>
        </w:rPr>
        <w:t> </w:t>
      </w:r>
      <w:r>
        <w:rPr>
          <w:sz w:val="20"/>
        </w:rPr>
        <w:t>C43.5,</w:t>
      </w:r>
      <w:r>
        <w:rPr>
          <w:spacing w:val="-5"/>
          <w:sz w:val="20"/>
        </w:rPr>
        <w:t> </w:t>
      </w:r>
      <w:r>
        <w:rPr>
          <w:sz w:val="20"/>
        </w:rPr>
        <w:t>C43.6,</w:t>
      </w:r>
      <w:r>
        <w:rPr>
          <w:spacing w:val="-4"/>
          <w:sz w:val="20"/>
        </w:rPr>
        <w:t> </w:t>
      </w:r>
      <w:r>
        <w:rPr>
          <w:spacing w:val="-2"/>
          <w:sz w:val="20"/>
        </w:rPr>
        <w:t>C43.7,</w:t>
      </w:r>
    </w:p>
    <w:p>
      <w:pPr>
        <w:spacing w:line="229" w:lineRule="exact" w:before="0"/>
        <w:ind w:left="4643" w:right="0" w:firstLine="0"/>
        <w:jc w:val="left"/>
        <w:rPr>
          <w:sz w:val="20"/>
        </w:rPr>
      </w:pPr>
      <w:r>
        <w:rPr>
          <w:sz w:val="20"/>
        </w:rPr>
        <w:t>C43.8,</w:t>
      </w:r>
      <w:r>
        <w:rPr>
          <w:spacing w:val="-5"/>
          <w:sz w:val="20"/>
        </w:rPr>
        <w:t> </w:t>
      </w:r>
      <w:r>
        <w:rPr>
          <w:sz w:val="20"/>
        </w:rPr>
        <w:t>C43.9,</w:t>
      </w:r>
      <w:r>
        <w:rPr>
          <w:spacing w:val="-5"/>
          <w:sz w:val="20"/>
        </w:rPr>
        <w:t> </w:t>
      </w:r>
      <w:r>
        <w:rPr>
          <w:sz w:val="20"/>
        </w:rPr>
        <w:t>C44,</w:t>
      </w:r>
      <w:r>
        <w:rPr>
          <w:spacing w:val="-5"/>
          <w:sz w:val="20"/>
        </w:rPr>
        <w:t> </w:t>
      </w:r>
      <w:r>
        <w:rPr>
          <w:sz w:val="20"/>
        </w:rPr>
        <w:t>C44.0,</w:t>
      </w:r>
      <w:r>
        <w:rPr>
          <w:spacing w:val="-5"/>
          <w:sz w:val="20"/>
        </w:rPr>
        <w:t> </w:t>
      </w:r>
      <w:r>
        <w:rPr>
          <w:sz w:val="20"/>
        </w:rPr>
        <w:t>C44.1,</w:t>
      </w:r>
      <w:r>
        <w:rPr>
          <w:spacing w:val="-5"/>
          <w:sz w:val="20"/>
        </w:rPr>
        <w:t> </w:t>
      </w:r>
      <w:r>
        <w:rPr>
          <w:sz w:val="20"/>
        </w:rPr>
        <w:t>C44.2,</w:t>
      </w:r>
      <w:r>
        <w:rPr>
          <w:spacing w:val="-5"/>
          <w:sz w:val="20"/>
        </w:rPr>
        <w:t> </w:t>
      </w:r>
      <w:r>
        <w:rPr>
          <w:spacing w:val="-2"/>
          <w:sz w:val="20"/>
        </w:rPr>
        <w:t>C44.3,</w:t>
      </w:r>
    </w:p>
    <w:p>
      <w:pPr>
        <w:spacing w:before="0"/>
        <w:ind w:left="4643" w:right="0" w:firstLine="0"/>
        <w:jc w:val="left"/>
        <w:rPr>
          <w:sz w:val="20"/>
        </w:rPr>
      </w:pPr>
      <w:r>
        <w:rPr>
          <w:sz w:val="20"/>
        </w:rPr>
        <w:t>C44.4,</w:t>
      </w:r>
      <w:r>
        <w:rPr>
          <w:spacing w:val="-7"/>
          <w:sz w:val="20"/>
        </w:rPr>
        <w:t> </w:t>
      </w:r>
      <w:r>
        <w:rPr>
          <w:sz w:val="20"/>
        </w:rPr>
        <w:t>C44.5,</w:t>
      </w:r>
      <w:r>
        <w:rPr>
          <w:spacing w:val="-5"/>
          <w:sz w:val="20"/>
        </w:rPr>
        <w:t> </w:t>
      </w:r>
      <w:r>
        <w:rPr>
          <w:sz w:val="20"/>
        </w:rPr>
        <w:t>C44.6,</w:t>
      </w:r>
      <w:r>
        <w:rPr>
          <w:spacing w:val="-5"/>
          <w:sz w:val="20"/>
        </w:rPr>
        <w:t> </w:t>
      </w:r>
      <w:r>
        <w:rPr>
          <w:sz w:val="20"/>
        </w:rPr>
        <w:t>C44.7,</w:t>
      </w:r>
      <w:r>
        <w:rPr>
          <w:spacing w:val="-8"/>
          <w:sz w:val="20"/>
        </w:rPr>
        <w:t> </w:t>
      </w:r>
      <w:r>
        <w:rPr>
          <w:sz w:val="20"/>
        </w:rPr>
        <w:t>C44.8,</w:t>
      </w:r>
      <w:r>
        <w:rPr>
          <w:spacing w:val="-5"/>
          <w:sz w:val="20"/>
        </w:rPr>
        <w:t> </w:t>
      </w:r>
      <w:r>
        <w:rPr>
          <w:sz w:val="20"/>
        </w:rPr>
        <w:t>C44.9,</w:t>
      </w:r>
      <w:r>
        <w:rPr>
          <w:spacing w:val="-4"/>
          <w:sz w:val="20"/>
        </w:rPr>
        <w:t> C45,</w:t>
      </w:r>
    </w:p>
    <w:p>
      <w:pPr>
        <w:spacing w:before="0"/>
        <w:ind w:left="4643" w:right="0" w:firstLine="0"/>
        <w:jc w:val="left"/>
        <w:rPr>
          <w:sz w:val="20"/>
        </w:rPr>
      </w:pPr>
      <w:r>
        <w:rPr>
          <w:sz w:val="20"/>
        </w:rPr>
        <w:t>C45.0,</w:t>
      </w:r>
      <w:r>
        <w:rPr>
          <w:spacing w:val="-5"/>
          <w:sz w:val="20"/>
        </w:rPr>
        <w:t> </w:t>
      </w:r>
      <w:r>
        <w:rPr>
          <w:sz w:val="20"/>
        </w:rPr>
        <w:t>C45.1,</w:t>
      </w:r>
      <w:r>
        <w:rPr>
          <w:spacing w:val="-4"/>
          <w:sz w:val="20"/>
        </w:rPr>
        <w:t> </w:t>
      </w:r>
      <w:r>
        <w:rPr>
          <w:sz w:val="20"/>
        </w:rPr>
        <w:t>C45.2,</w:t>
      </w:r>
      <w:r>
        <w:rPr>
          <w:spacing w:val="-4"/>
          <w:sz w:val="20"/>
        </w:rPr>
        <w:t> </w:t>
      </w:r>
      <w:r>
        <w:rPr>
          <w:sz w:val="20"/>
        </w:rPr>
        <w:t>C45.7,</w:t>
      </w:r>
      <w:r>
        <w:rPr>
          <w:spacing w:val="-8"/>
          <w:sz w:val="20"/>
        </w:rPr>
        <w:t> </w:t>
      </w:r>
      <w:r>
        <w:rPr>
          <w:sz w:val="20"/>
        </w:rPr>
        <w:t>C45.9,</w:t>
      </w:r>
      <w:r>
        <w:rPr>
          <w:spacing w:val="-5"/>
          <w:sz w:val="20"/>
        </w:rPr>
        <w:t> </w:t>
      </w:r>
      <w:r>
        <w:rPr>
          <w:sz w:val="20"/>
        </w:rPr>
        <w:t>C46,</w:t>
      </w:r>
      <w:r>
        <w:rPr>
          <w:spacing w:val="-4"/>
          <w:sz w:val="20"/>
        </w:rPr>
        <w:t> </w:t>
      </w:r>
      <w:r>
        <w:rPr>
          <w:spacing w:val="-2"/>
          <w:sz w:val="20"/>
        </w:rPr>
        <w:t>C46.0,</w:t>
      </w:r>
    </w:p>
    <w:p>
      <w:pPr>
        <w:spacing w:before="1"/>
        <w:ind w:left="4643" w:right="0" w:firstLine="0"/>
        <w:jc w:val="left"/>
        <w:rPr>
          <w:sz w:val="20"/>
        </w:rPr>
      </w:pPr>
      <w:r>
        <w:rPr>
          <w:sz w:val="20"/>
        </w:rPr>
        <w:t>C46.1,</w:t>
      </w:r>
      <w:r>
        <w:rPr>
          <w:spacing w:val="-7"/>
          <w:sz w:val="20"/>
        </w:rPr>
        <w:t> </w:t>
      </w:r>
      <w:r>
        <w:rPr>
          <w:sz w:val="20"/>
        </w:rPr>
        <w:t>C46.2,</w:t>
      </w:r>
      <w:r>
        <w:rPr>
          <w:spacing w:val="-5"/>
          <w:sz w:val="20"/>
        </w:rPr>
        <w:t> </w:t>
      </w:r>
      <w:r>
        <w:rPr>
          <w:sz w:val="20"/>
        </w:rPr>
        <w:t>C46.3,</w:t>
      </w:r>
      <w:r>
        <w:rPr>
          <w:spacing w:val="-5"/>
          <w:sz w:val="20"/>
        </w:rPr>
        <w:t> </w:t>
      </w:r>
      <w:r>
        <w:rPr>
          <w:sz w:val="20"/>
        </w:rPr>
        <w:t>C46.7,</w:t>
      </w:r>
      <w:r>
        <w:rPr>
          <w:spacing w:val="-9"/>
          <w:sz w:val="20"/>
        </w:rPr>
        <w:t> </w:t>
      </w:r>
      <w:r>
        <w:rPr>
          <w:sz w:val="20"/>
        </w:rPr>
        <w:t>C46.8,</w:t>
      </w:r>
      <w:r>
        <w:rPr>
          <w:spacing w:val="-5"/>
          <w:sz w:val="20"/>
        </w:rPr>
        <w:t> </w:t>
      </w:r>
      <w:r>
        <w:rPr>
          <w:sz w:val="20"/>
        </w:rPr>
        <w:t>C46.9,</w:t>
      </w:r>
      <w:r>
        <w:rPr>
          <w:spacing w:val="-4"/>
          <w:sz w:val="20"/>
        </w:rPr>
        <w:t> C47,</w:t>
      </w:r>
    </w:p>
    <w:p>
      <w:pPr>
        <w:spacing w:before="1"/>
        <w:ind w:left="4569" w:right="0" w:firstLine="0"/>
        <w:jc w:val="left"/>
        <w:rPr>
          <w:sz w:val="20"/>
        </w:rPr>
      </w:pPr>
      <w:r>
        <w:rPr>
          <w:sz w:val="20"/>
        </w:rPr>
        <w:t>C47.0,</w:t>
      </w:r>
      <w:r>
        <w:rPr>
          <w:spacing w:val="-7"/>
          <w:sz w:val="20"/>
        </w:rPr>
        <w:t> </w:t>
      </w:r>
      <w:r>
        <w:rPr>
          <w:sz w:val="20"/>
        </w:rPr>
        <w:t>C47.1,</w:t>
      </w:r>
      <w:r>
        <w:rPr>
          <w:spacing w:val="-5"/>
          <w:sz w:val="20"/>
        </w:rPr>
        <w:t> </w:t>
      </w:r>
      <w:r>
        <w:rPr>
          <w:sz w:val="20"/>
        </w:rPr>
        <w:t>C47.2,</w:t>
      </w:r>
      <w:r>
        <w:rPr>
          <w:spacing w:val="-5"/>
          <w:sz w:val="20"/>
        </w:rPr>
        <w:t> </w:t>
      </w:r>
      <w:r>
        <w:rPr>
          <w:sz w:val="20"/>
        </w:rPr>
        <w:t>C47.3,</w:t>
      </w:r>
      <w:r>
        <w:rPr>
          <w:spacing w:val="-9"/>
          <w:sz w:val="20"/>
        </w:rPr>
        <w:t> </w:t>
      </w:r>
      <w:r>
        <w:rPr>
          <w:sz w:val="20"/>
        </w:rPr>
        <w:t>C47.4,</w:t>
      </w:r>
      <w:r>
        <w:rPr>
          <w:spacing w:val="-5"/>
          <w:sz w:val="20"/>
        </w:rPr>
        <w:t> </w:t>
      </w:r>
      <w:r>
        <w:rPr>
          <w:sz w:val="20"/>
        </w:rPr>
        <w:t>C47.5,</w:t>
      </w:r>
      <w:r>
        <w:rPr>
          <w:spacing w:val="-4"/>
          <w:sz w:val="20"/>
        </w:rPr>
        <w:t> </w:t>
      </w:r>
      <w:r>
        <w:rPr>
          <w:spacing w:val="-2"/>
          <w:sz w:val="20"/>
        </w:rPr>
        <w:t>C47.6,</w:t>
      </w:r>
    </w:p>
    <w:p>
      <w:pPr>
        <w:spacing w:line="229" w:lineRule="exact" w:before="0"/>
        <w:ind w:left="4643" w:right="0" w:firstLine="0"/>
        <w:jc w:val="left"/>
        <w:rPr>
          <w:sz w:val="20"/>
        </w:rPr>
      </w:pPr>
      <w:r>
        <w:rPr>
          <w:sz w:val="20"/>
        </w:rPr>
        <w:t>C47.8,</w:t>
      </w:r>
      <w:r>
        <w:rPr>
          <w:spacing w:val="-5"/>
          <w:sz w:val="20"/>
        </w:rPr>
        <w:t> </w:t>
      </w:r>
      <w:r>
        <w:rPr>
          <w:sz w:val="20"/>
        </w:rPr>
        <w:t>C47.9,</w:t>
      </w:r>
      <w:r>
        <w:rPr>
          <w:spacing w:val="-5"/>
          <w:sz w:val="20"/>
        </w:rPr>
        <w:t> </w:t>
      </w:r>
      <w:r>
        <w:rPr>
          <w:sz w:val="20"/>
        </w:rPr>
        <w:t>C48,</w:t>
      </w:r>
      <w:r>
        <w:rPr>
          <w:spacing w:val="-5"/>
          <w:sz w:val="20"/>
        </w:rPr>
        <w:t> </w:t>
      </w:r>
      <w:r>
        <w:rPr>
          <w:sz w:val="20"/>
        </w:rPr>
        <w:t>C48.0,</w:t>
      </w:r>
      <w:r>
        <w:rPr>
          <w:spacing w:val="-5"/>
          <w:sz w:val="20"/>
        </w:rPr>
        <w:t> </w:t>
      </w:r>
      <w:r>
        <w:rPr>
          <w:sz w:val="20"/>
        </w:rPr>
        <w:t>C48.1,</w:t>
      </w:r>
      <w:r>
        <w:rPr>
          <w:spacing w:val="-5"/>
          <w:sz w:val="20"/>
        </w:rPr>
        <w:t> </w:t>
      </w:r>
      <w:r>
        <w:rPr>
          <w:sz w:val="20"/>
        </w:rPr>
        <w:t>C48.2,</w:t>
      </w:r>
      <w:r>
        <w:rPr>
          <w:spacing w:val="-5"/>
          <w:sz w:val="20"/>
        </w:rPr>
        <w:t> </w:t>
      </w:r>
      <w:r>
        <w:rPr>
          <w:spacing w:val="-2"/>
          <w:sz w:val="20"/>
        </w:rPr>
        <w:t>C48.8,</w:t>
      </w:r>
    </w:p>
    <w:p>
      <w:pPr>
        <w:spacing w:line="229" w:lineRule="exact" w:before="0"/>
        <w:ind w:left="4643" w:right="0" w:firstLine="0"/>
        <w:jc w:val="left"/>
        <w:rPr>
          <w:sz w:val="20"/>
        </w:rPr>
      </w:pPr>
      <w:r>
        <w:rPr>
          <w:sz w:val="20"/>
        </w:rPr>
        <w:t>C49,</w:t>
      </w:r>
      <w:r>
        <w:rPr>
          <w:spacing w:val="-5"/>
          <w:sz w:val="20"/>
        </w:rPr>
        <w:t> </w:t>
      </w:r>
      <w:r>
        <w:rPr>
          <w:sz w:val="20"/>
        </w:rPr>
        <w:t>C49.0,</w:t>
      </w:r>
      <w:r>
        <w:rPr>
          <w:spacing w:val="-4"/>
          <w:sz w:val="20"/>
        </w:rPr>
        <w:t> </w:t>
      </w:r>
      <w:r>
        <w:rPr>
          <w:sz w:val="20"/>
        </w:rPr>
        <w:t>C49.1,</w:t>
      </w:r>
      <w:r>
        <w:rPr>
          <w:spacing w:val="-5"/>
          <w:sz w:val="20"/>
        </w:rPr>
        <w:t> </w:t>
      </w:r>
      <w:r>
        <w:rPr>
          <w:sz w:val="20"/>
        </w:rPr>
        <w:t>C49.2,</w:t>
      </w:r>
      <w:r>
        <w:rPr>
          <w:spacing w:val="-4"/>
          <w:sz w:val="20"/>
        </w:rPr>
        <w:t> </w:t>
      </w:r>
      <w:r>
        <w:rPr>
          <w:sz w:val="20"/>
        </w:rPr>
        <w:t>C49.3,</w:t>
      </w:r>
      <w:r>
        <w:rPr>
          <w:spacing w:val="-5"/>
          <w:sz w:val="20"/>
        </w:rPr>
        <w:t> </w:t>
      </w:r>
      <w:r>
        <w:rPr>
          <w:sz w:val="20"/>
        </w:rPr>
        <w:t>C49.4,</w:t>
      </w:r>
      <w:r>
        <w:rPr>
          <w:spacing w:val="-4"/>
          <w:sz w:val="20"/>
        </w:rPr>
        <w:t> </w:t>
      </w:r>
      <w:r>
        <w:rPr>
          <w:spacing w:val="-2"/>
          <w:sz w:val="20"/>
        </w:rPr>
        <w:t>C49.5,</w:t>
      </w:r>
    </w:p>
    <w:p>
      <w:pPr>
        <w:spacing w:before="0"/>
        <w:ind w:left="4643" w:right="0" w:firstLine="0"/>
        <w:jc w:val="left"/>
        <w:rPr>
          <w:sz w:val="20"/>
        </w:rPr>
      </w:pPr>
      <w:r>
        <w:rPr>
          <w:sz w:val="20"/>
        </w:rPr>
        <w:t>C49.6,</w:t>
      </w:r>
      <w:r>
        <w:rPr>
          <w:spacing w:val="-6"/>
          <w:sz w:val="20"/>
        </w:rPr>
        <w:t> </w:t>
      </w:r>
      <w:r>
        <w:rPr>
          <w:sz w:val="20"/>
        </w:rPr>
        <w:t>C49.8,</w:t>
      </w:r>
      <w:r>
        <w:rPr>
          <w:spacing w:val="-5"/>
          <w:sz w:val="20"/>
        </w:rPr>
        <w:t> </w:t>
      </w:r>
      <w:r>
        <w:rPr>
          <w:sz w:val="20"/>
        </w:rPr>
        <w:t>C49.9,</w:t>
      </w:r>
      <w:r>
        <w:rPr>
          <w:spacing w:val="-5"/>
          <w:sz w:val="20"/>
        </w:rPr>
        <w:t> </w:t>
      </w:r>
      <w:r>
        <w:rPr>
          <w:sz w:val="20"/>
        </w:rPr>
        <w:t>C50,</w:t>
      </w:r>
      <w:r>
        <w:rPr>
          <w:spacing w:val="-5"/>
          <w:sz w:val="20"/>
        </w:rPr>
        <w:t> </w:t>
      </w:r>
      <w:r>
        <w:rPr>
          <w:sz w:val="20"/>
        </w:rPr>
        <w:t>C50.0,</w:t>
      </w:r>
      <w:r>
        <w:rPr>
          <w:spacing w:val="-5"/>
          <w:sz w:val="20"/>
        </w:rPr>
        <w:t> </w:t>
      </w:r>
      <w:r>
        <w:rPr>
          <w:sz w:val="20"/>
        </w:rPr>
        <w:t>C50.1,</w:t>
      </w:r>
      <w:r>
        <w:rPr>
          <w:spacing w:val="-5"/>
          <w:sz w:val="20"/>
        </w:rPr>
        <w:t> </w:t>
      </w:r>
      <w:r>
        <w:rPr>
          <w:spacing w:val="-2"/>
          <w:sz w:val="20"/>
        </w:rPr>
        <w:t>C50.2,</w:t>
      </w:r>
    </w:p>
    <w:p>
      <w:pPr>
        <w:spacing w:before="1"/>
        <w:ind w:left="4643" w:right="0" w:firstLine="0"/>
        <w:jc w:val="left"/>
        <w:rPr>
          <w:sz w:val="20"/>
        </w:rPr>
      </w:pPr>
      <w:r>
        <w:rPr>
          <w:sz w:val="20"/>
        </w:rPr>
        <w:t>C50.3,</w:t>
      </w:r>
      <w:r>
        <w:rPr>
          <w:spacing w:val="-7"/>
          <w:sz w:val="20"/>
        </w:rPr>
        <w:t> </w:t>
      </w:r>
      <w:r>
        <w:rPr>
          <w:sz w:val="20"/>
        </w:rPr>
        <w:t>C50.4,</w:t>
      </w:r>
      <w:r>
        <w:rPr>
          <w:spacing w:val="-5"/>
          <w:sz w:val="20"/>
        </w:rPr>
        <w:t> </w:t>
      </w:r>
      <w:r>
        <w:rPr>
          <w:sz w:val="20"/>
        </w:rPr>
        <w:t>C50.5,</w:t>
      </w:r>
      <w:r>
        <w:rPr>
          <w:spacing w:val="-5"/>
          <w:sz w:val="20"/>
        </w:rPr>
        <w:t> </w:t>
      </w:r>
      <w:r>
        <w:rPr>
          <w:sz w:val="20"/>
        </w:rPr>
        <w:t>C50.6,</w:t>
      </w:r>
      <w:r>
        <w:rPr>
          <w:spacing w:val="-9"/>
          <w:sz w:val="20"/>
        </w:rPr>
        <w:t> </w:t>
      </w:r>
      <w:r>
        <w:rPr>
          <w:sz w:val="20"/>
        </w:rPr>
        <w:t>C50.8,</w:t>
      </w:r>
      <w:r>
        <w:rPr>
          <w:spacing w:val="-5"/>
          <w:sz w:val="20"/>
        </w:rPr>
        <w:t> </w:t>
      </w:r>
      <w:r>
        <w:rPr>
          <w:sz w:val="20"/>
        </w:rPr>
        <w:t>C50.9,</w:t>
      </w:r>
      <w:r>
        <w:rPr>
          <w:spacing w:val="-4"/>
          <w:sz w:val="20"/>
        </w:rPr>
        <w:t> C51,</w:t>
      </w:r>
    </w:p>
    <w:p>
      <w:pPr>
        <w:spacing w:before="0"/>
        <w:ind w:left="4717" w:right="0" w:firstLine="0"/>
        <w:jc w:val="left"/>
        <w:rPr>
          <w:sz w:val="20"/>
        </w:rPr>
      </w:pPr>
      <w:r>
        <w:rPr>
          <w:sz w:val="20"/>
        </w:rPr>
        <w:t>C51.0,</w:t>
      </w:r>
      <w:r>
        <w:rPr>
          <w:spacing w:val="-5"/>
          <w:sz w:val="20"/>
        </w:rPr>
        <w:t> </w:t>
      </w:r>
      <w:r>
        <w:rPr>
          <w:sz w:val="20"/>
        </w:rPr>
        <w:t>C51.1,</w:t>
      </w:r>
      <w:r>
        <w:rPr>
          <w:spacing w:val="-4"/>
          <w:sz w:val="20"/>
        </w:rPr>
        <w:t> </w:t>
      </w:r>
      <w:r>
        <w:rPr>
          <w:sz w:val="20"/>
        </w:rPr>
        <w:t>C51.2,</w:t>
      </w:r>
      <w:r>
        <w:rPr>
          <w:spacing w:val="-4"/>
          <w:sz w:val="20"/>
        </w:rPr>
        <w:t> </w:t>
      </w:r>
      <w:r>
        <w:rPr>
          <w:sz w:val="20"/>
        </w:rPr>
        <w:t>C51.8,</w:t>
      </w:r>
      <w:r>
        <w:rPr>
          <w:spacing w:val="-8"/>
          <w:sz w:val="20"/>
        </w:rPr>
        <w:t> </w:t>
      </w:r>
      <w:r>
        <w:rPr>
          <w:sz w:val="20"/>
        </w:rPr>
        <w:t>C51.9,</w:t>
      </w:r>
      <w:r>
        <w:rPr>
          <w:spacing w:val="-5"/>
          <w:sz w:val="20"/>
        </w:rPr>
        <w:t> </w:t>
      </w:r>
      <w:r>
        <w:rPr>
          <w:sz w:val="20"/>
        </w:rPr>
        <w:t>C52,</w:t>
      </w:r>
      <w:r>
        <w:rPr>
          <w:spacing w:val="-4"/>
          <w:sz w:val="20"/>
        </w:rPr>
        <w:t> C53,</w:t>
      </w:r>
    </w:p>
    <w:p>
      <w:pPr>
        <w:spacing w:line="229" w:lineRule="exact" w:before="1"/>
        <w:ind w:left="1161" w:right="4154" w:firstLine="0"/>
        <w:jc w:val="center"/>
        <w:rPr>
          <w:sz w:val="20"/>
        </w:rPr>
      </w:pPr>
      <w:r>
        <w:rPr>
          <w:sz w:val="20"/>
        </w:rPr>
        <w:t>C53.0,</w:t>
      </w:r>
      <w:r>
        <w:rPr>
          <w:spacing w:val="-5"/>
          <w:sz w:val="20"/>
        </w:rPr>
        <w:t> </w:t>
      </w:r>
      <w:r>
        <w:rPr>
          <w:sz w:val="20"/>
        </w:rPr>
        <w:t>C53.1,</w:t>
      </w:r>
      <w:r>
        <w:rPr>
          <w:spacing w:val="-4"/>
          <w:sz w:val="20"/>
        </w:rPr>
        <w:t> </w:t>
      </w:r>
      <w:r>
        <w:rPr>
          <w:sz w:val="20"/>
        </w:rPr>
        <w:t>C53.8,</w:t>
      </w:r>
      <w:r>
        <w:rPr>
          <w:spacing w:val="-4"/>
          <w:sz w:val="20"/>
        </w:rPr>
        <w:t> </w:t>
      </w:r>
      <w:r>
        <w:rPr>
          <w:sz w:val="20"/>
        </w:rPr>
        <w:t>C53.9,</w:t>
      </w:r>
      <w:r>
        <w:rPr>
          <w:spacing w:val="-8"/>
          <w:sz w:val="20"/>
        </w:rPr>
        <w:t> </w:t>
      </w:r>
      <w:r>
        <w:rPr>
          <w:sz w:val="20"/>
        </w:rPr>
        <w:t>C54,</w:t>
      </w:r>
      <w:r>
        <w:rPr>
          <w:spacing w:val="-5"/>
          <w:sz w:val="20"/>
        </w:rPr>
        <w:t> </w:t>
      </w:r>
      <w:r>
        <w:rPr>
          <w:sz w:val="20"/>
        </w:rPr>
        <w:t>C54.0,</w:t>
      </w:r>
      <w:r>
        <w:rPr>
          <w:spacing w:val="-4"/>
          <w:sz w:val="20"/>
        </w:rPr>
        <w:t> </w:t>
      </w:r>
      <w:r>
        <w:rPr>
          <w:spacing w:val="-2"/>
          <w:sz w:val="20"/>
        </w:rPr>
        <w:t>C54.1,</w:t>
      </w:r>
    </w:p>
    <w:p>
      <w:pPr>
        <w:spacing w:line="229" w:lineRule="exact" w:before="0"/>
        <w:ind w:left="1160" w:right="4154" w:firstLine="0"/>
        <w:jc w:val="center"/>
        <w:rPr>
          <w:sz w:val="20"/>
        </w:rPr>
      </w:pPr>
      <w:r>
        <w:rPr>
          <w:sz w:val="20"/>
        </w:rPr>
        <w:t>C54.2,</w:t>
      </w:r>
      <w:r>
        <w:rPr>
          <w:spacing w:val="-7"/>
          <w:sz w:val="20"/>
        </w:rPr>
        <w:t> </w:t>
      </w:r>
      <w:r>
        <w:rPr>
          <w:sz w:val="20"/>
        </w:rPr>
        <w:t>C54.3,</w:t>
      </w:r>
      <w:r>
        <w:rPr>
          <w:spacing w:val="-4"/>
          <w:sz w:val="20"/>
        </w:rPr>
        <w:t> </w:t>
      </w:r>
      <w:r>
        <w:rPr>
          <w:sz w:val="20"/>
        </w:rPr>
        <w:t>C54.8,</w:t>
      </w:r>
      <w:r>
        <w:rPr>
          <w:spacing w:val="-4"/>
          <w:sz w:val="20"/>
        </w:rPr>
        <w:t> </w:t>
      </w:r>
      <w:r>
        <w:rPr>
          <w:sz w:val="20"/>
        </w:rPr>
        <w:t>C54.9,</w:t>
      </w:r>
      <w:r>
        <w:rPr>
          <w:spacing w:val="-8"/>
          <w:sz w:val="20"/>
        </w:rPr>
        <w:t> </w:t>
      </w:r>
      <w:r>
        <w:rPr>
          <w:sz w:val="20"/>
        </w:rPr>
        <w:t>C55,</w:t>
      </w:r>
      <w:r>
        <w:rPr>
          <w:spacing w:val="-4"/>
          <w:sz w:val="20"/>
        </w:rPr>
        <w:t> </w:t>
      </w:r>
      <w:r>
        <w:rPr>
          <w:sz w:val="20"/>
        </w:rPr>
        <w:t>C56,</w:t>
      </w:r>
      <w:r>
        <w:rPr>
          <w:spacing w:val="-4"/>
          <w:sz w:val="20"/>
        </w:rPr>
        <w:t> C57,</w:t>
      </w:r>
    </w:p>
    <w:p>
      <w:pPr>
        <w:spacing w:before="0"/>
        <w:ind w:left="1162" w:right="4154" w:firstLine="0"/>
        <w:jc w:val="center"/>
        <w:rPr>
          <w:sz w:val="20"/>
        </w:rPr>
      </w:pPr>
      <w:r>
        <w:rPr>
          <w:sz w:val="20"/>
        </w:rPr>
        <w:t>C57.0,</w:t>
      </w:r>
      <w:r>
        <w:rPr>
          <w:spacing w:val="-6"/>
          <w:sz w:val="20"/>
        </w:rPr>
        <w:t> </w:t>
      </w:r>
      <w:r>
        <w:rPr>
          <w:sz w:val="20"/>
        </w:rPr>
        <w:t>C57.1,</w:t>
      </w:r>
      <w:r>
        <w:rPr>
          <w:spacing w:val="-5"/>
          <w:sz w:val="20"/>
        </w:rPr>
        <w:t> </w:t>
      </w:r>
      <w:r>
        <w:rPr>
          <w:sz w:val="20"/>
        </w:rPr>
        <w:t>C57.2,</w:t>
      </w:r>
      <w:r>
        <w:rPr>
          <w:spacing w:val="-5"/>
          <w:sz w:val="20"/>
        </w:rPr>
        <w:t> </w:t>
      </w:r>
      <w:r>
        <w:rPr>
          <w:sz w:val="20"/>
        </w:rPr>
        <w:t>C57.3,</w:t>
      </w:r>
      <w:r>
        <w:rPr>
          <w:spacing w:val="-9"/>
          <w:sz w:val="20"/>
        </w:rPr>
        <w:t> </w:t>
      </w:r>
      <w:r>
        <w:rPr>
          <w:sz w:val="20"/>
        </w:rPr>
        <w:t>C57.4,</w:t>
      </w:r>
      <w:r>
        <w:rPr>
          <w:spacing w:val="-5"/>
          <w:sz w:val="20"/>
        </w:rPr>
        <w:t> </w:t>
      </w:r>
      <w:r>
        <w:rPr>
          <w:sz w:val="20"/>
        </w:rPr>
        <w:t>C57.7,</w:t>
      </w:r>
      <w:r>
        <w:rPr>
          <w:spacing w:val="-4"/>
          <w:sz w:val="20"/>
        </w:rPr>
        <w:t> </w:t>
      </w:r>
      <w:r>
        <w:rPr>
          <w:spacing w:val="-2"/>
          <w:sz w:val="20"/>
        </w:rPr>
        <w:t>C57.8,</w:t>
      </w:r>
    </w:p>
    <w:p>
      <w:pPr>
        <w:spacing w:before="1"/>
        <w:ind w:left="1162" w:right="4154" w:firstLine="0"/>
        <w:jc w:val="center"/>
        <w:rPr>
          <w:sz w:val="20"/>
        </w:rPr>
      </w:pPr>
      <w:r>
        <w:rPr>
          <w:sz w:val="20"/>
        </w:rPr>
        <w:t>C57.9,</w:t>
      </w:r>
      <w:r>
        <w:rPr>
          <w:spacing w:val="-7"/>
          <w:sz w:val="20"/>
        </w:rPr>
        <w:t> </w:t>
      </w:r>
      <w:r>
        <w:rPr>
          <w:sz w:val="20"/>
        </w:rPr>
        <w:t>C58,</w:t>
      </w:r>
      <w:r>
        <w:rPr>
          <w:spacing w:val="-4"/>
          <w:sz w:val="20"/>
        </w:rPr>
        <w:t> </w:t>
      </w:r>
      <w:r>
        <w:rPr>
          <w:sz w:val="20"/>
        </w:rPr>
        <w:t>C60,</w:t>
      </w:r>
      <w:r>
        <w:rPr>
          <w:spacing w:val="-4"/>
          <w:sz w:val="20"/>
        </w:rPr>
        <w:t> </w:t>
      </w:r>
      <w:r>
        <w:rPr>
          <w:sz w:val="20"/>
        </w:rPr>
        <w:t>C60.0,</w:t>
      </w:r>
      <w:r>
        <w:rPr>
          <w:spacing w:val="-6"/>
          <w:sz w:val="20"/>
        </w:rPr>
        <w:t> </w:t>
      </w:r>
      <w:r>
        <w:rPr>
          <w:sz w:val="20"/>
        </w:rPr>
        <w:t>C60.1,</w:t>
      </w:r>
      <w:r>
        <w:rPr>
          <w:spacing w:val="-4"/>
          <w:sz w:val="20"/>
        </w:rPr>
        <w:t> </w:t>
      </w:r>
      <w:r>
        <w:rPr>
          <w:sz w:val="20"/>
        </w:rPr>
        <w:t>C60.2,</w:t>
      </w:r>
      <w:r>
        <w:rPr>
          <w:spacing w:val="-5"/>
          <w:sz w:val="20"/>
        </w:rPr>
        <w:t> </w:t>
      </w:r>
      <w:r>
        <w:rPr>
          <w:spacing w:val="-2"/>
          <w:sz w:val="20"/>
        </w:rPr>
        <w:t>C60.8,</w:t>
      </w:r>
    </w:p>
    <w:p>
      <w:pPr>
        <w:spacing w:before="0"/>
        <w:ind w:left="1160" w:right="4154" w:firstLine="0"/>
        <w:jc w:val="center"/>
        <w:rPr>
          <w:sz w:val="20"/>
        </w:rPr>
      </w:pPr>
      <w:r>
        <w:rPr>
          <w:sz w:val="20"/>
        </w:rPr>
        <w:t>C60.9,</w:t>
      </w:r>
      <w:r>
        <w:rPr>
          <w:spacing w:val="-7"/>
          <w:sz w:val="20"/>
        </w:rPr>
        <w:t> </w:t>
      </w:r>
      <w:r>
        <w:rPr>
          <w:sz w:val="20"/>
        </w:rPr>
        <w:t>C61,</w:t>
      </w:r>
      <w:r>
        <w:rPr>
          <w:spacing w:val="-4"/>
          <w:sz w:val="20"/>
        </w:rPr>
        <w:t> </w:t>
      </w:r>
      <w:r>
        <w:rPr>
          <w:sz w:val="20"/>
        </w:rPr>
        <w:t>C62,</w:t>
      </w:r>
      <w:r>
        <w:rPr>
          <w:spacing w:val="-4"/>
          <w:sz w:val="20"/>
        </w:rPr>
        <w:t> </w:t>
      </w:r>
      <w:r>
        <w:rPr>
          <w:sz w:val="20"/>
        </w:rPr>
        <w:t>C62.0,</w:t>
      </w:r>
      <w:r>
        <w:rPr>
          <w:spacing w:val="-6"/>
          <w:sz w:val="20"/>
        </w:rPr>
        <w:t> </w:t>
      </w:r>
      <w:r>
        <w:rPr>
          <w:sz w:val="20"/>
        </w:rPr>
        <w:t>C62.1,</w:t>
      </w:r>
      <w:r>
        <w:rPr>
          <w:spacing w:val="-4"/>
          <w:sz w:val="20"/>
        </w:rPr>
        <w:t> </w:t>
      </w:r>
      <w:r>
        <w:rPr>
          <w:sz w:val="20"/>
        </w:rPr>
        <w:t>C62.9,</w:t>
      </w:r>
      <w:r>
        <w:rPr>
          <w:spacing w:val="-5"/>
          <w:sz w:val="20"/>
        </w:rPr>
        <w:t> </w:t>
      </w:r>
      <w:r>
        <w:rPr>
          <w:spacing w:val="-4"/>
          <w:sz w:val="20"/>
        </w:rPr>
        <w:t>C63,</w:t>
      </w:r>
    </w:p>
    <w:p>
      <w:pPr>
        <w:spacing w:before="1"/>
        <w:ind w:left="1161" w:right="4154" w:firstLine="0"/>
        <w:jc w:val="center"/>
        <w:rPr>
          <w:sz w:val="20"/>
        </w:rPr>
      </w:pPr>
      <w:r>
        <w:rPr>
          <w:sz w:val="20"/>
        </w:rPr>
        <w:t>C63.0,</w:t>
      </w:r>
      <w:r>
        <w:rPr>
          <w:spacing w:val="-7"/>
          <w:sz w:val="20"/>
        </w:rPr>
        <w:t> </w:t>
      </w:r>
      <w:r>
        <w:rPr>
          <w:sz w:val="20"/>
        </w:rPr>
        <w:t>C63.1,</w:t>
      </w:r>
      <w:r>
        <w:rPr>
          <w:spacing w:val="-5"/>
          <w:sz w:val="20"/>
        </w:rPr>
        <w:t> </w:t>
      </w:r>
      <w:r>
        <w:rPr>
          <w:sz w:val="20"/>
        </w:rPr>
        <w:t>C63.2,</w:t>
      </w:r>
      <w:r>
        <w:rPr>
          <w:spacing w:val="-5"/>
          <w:sz w:val="20"/>
        </w:rPr>
        <w:t> </w:t>
      </w:r>
      <w:r>
        <w:rPr>
          <w:sz w:val="20"/>
        </w:rPr>
        <w:t>C63.7,</w:t>
      </w:r>
      <w:r>
        <w:rPr>
          <w:spacing w:val="-9"/>
          <w:sz w:val="20"/>
        </w:rPr>
        <w:t> </w:t>
      </w:r>
      <w:r>
        <w:rPr>
          <w:sz w:val="20"/>
        </w:rPr>
        <w:t>C63.8,</w:t>
      </w:r>
      <w:r>
        <w:rPr>
          <w:spacing w:val="-5"/>
          <w:sz w:val="20"/>
        </w:rPr>
        <w:t> </w:t>
      </w:r>
      <w:r>
        <w:rPr>
          <w:sz w:val="20"/>
        </w:rPr>
        <w:t>C63.9,</w:t>
      </w:r>
      <w:r>
        <w:rPr>
          <w:spacing w:val="-4"/>
          <w:sz w:val="20"/>
        </w:rPr>
        <w:t> C64,</w:t>
      </w:r>
    </w:p>
    <w:p>
      <w:pPr>
        <w:spacing w:line="229" w:lineRule="exact" w:before="0"/>
        <w:ind w:left="1160" w:right="4154" w:firstLine="0"/>
        <w:jc w:val="center"/>
        <w:rPr>
          <w:sz w:val="20"/>
        </w:rPr>
      </w:pPr>
      <w:r>
        <w:rPr>
          <w:sz w:val="20"/>
        </w:rPr>
        <w:t>C65,</w:t>
      </w:r>
      <w:r>
        <w:rPr>
          <w:spacing w:val="-4"/>
          <w:sz w:val="20"/>
        </w:rPr>
        <w:t> </w:t>
      </w:r>
      <w:r>
        <w:rPr>
          <w:sz w:val="20"/>
        </w:rPr>
        <w:t>C66,</w:t>
      </w:r>
      <w:r>
        <w:rPr>
          <w:spacing w:val="-4"/>
          <w:sz w:val="20"/>
        </w:rPr>
        <w:t> </w:t>
      </w:r>
      <w:r>
        <w:rPr>
          <w:sz w:val="20"/>
        </w:rPr>
        <w:t>C67,</w:t>
      </w:r>
      <w:r>
        <w:rPr>
          <w:spacing w:val="-4"/>
          <w:sz w:val="20"/>
        </w:rPr>
        <w:t> </w:t>
      </w:r>
      <w:r>
        <w:rPr>
          <w:sz w:val="20"/>
        </w:rPr>
        <w:t>C67.0,</w:t>
      </w:r>
      <w:r>
        <w:rPr>
          <w:spacing w:val="-4"/>
          <w:sz w:val="20"/>
        </w:rPr>
        <w:t> </w:t>
      </w:r>
      <w:r>
        <w:rPr>
          <w:sz w:val="20"/>
        </w:rPr>
        <w:t>C67.1,</w:t>
      </w:r>
      <w:r>
        <w:rPr>
          <w:spacing w:val="-5"/>
          <w:sz w:val="20"/>
        </w:rPr>
        <w:t> </w:t>
      </w:r>
      <w:r>
        <w:rPr>
          <w:sz w:val="20"/>
        </w:rPr>
        <w:t>C67.2,</w:t>
      </w:r>
      <w:r>
        <w:rPr>
          <w:spacing w:val="-4"/>
          <w:sz w:val="20"/>
        </w:rPr>
        <w:t> </w:t>
      </w:r>
      <w:r>
        <w:rPr>
          <w:spacing w:val="-2"/>
          <w:sz w:val="20"/>
        </w:rPr>
        <w:t>C67.3,</w:t>
      </w:r>
    </w:p>
    <w:p>
      <w:pPr>
        <w:spacing w:line="229" w:lineRule="exact" w:before="0"/>
        <w:ind w:left="1167" w:right="4154" w:firstLine="0"/>
        <w:jc w:val="center"/>
        <w:rPr>
          <w:sz w:val="20"/>
        </w:rPr>
      </w:pPr>
      <w:r>
        <w:rPr>
          <w:sz w:val="20"/>
        </w:rPr>
        <w:t>C67.4,</w:t>
      </w:r>
      <w:r>
        <w:rPr>
          <w:spacing w:val="-7"/>
          <w:sz w:val="20"/>
        </w:rPr>
        <w:t> </w:t>
      </w:r>
      <w:r>
        <w:rPr>
          <w:sz w:val="20"/>
        </w:rPr>
        <w:t>C67.5,</w:t>
      </w:r>
      <w:r>
        <w:rPr>
          <w:spacing w:val="-4"/>
          <w:sz w:val="20"/>
        </w:rPr>
        <w:t> </w:t>
      </w:r>
      <w:r>
        <w:rPr>
          <w:sz w:val="20"/>
        </w:rPr>
        <w:t>C67.6,</w:t>
      </w:r>
      <w:r>
        <w:rPr>
          <w:spacing w:val="-4"/>
          <w:sz w:val="20"/>
        </w:rPr>
        <w:t> </w:t>
      </w:r>
      <w:r>
        <w:rPr>
          <w:sz w:val="20"/>
        </w:rPr>
        <w:t>C67.7,</w:t>
      </w:r>
      <w:r>
        <w:rPr>
          <w:spacing w:val="-7"/>
          <w:sz w:val="20"/>
        </w:rPr>
        <w:t> </w:t>
      </w:r>
      <w:r>
        <w:rPr>
          <w:sz w:val="20"/>
        </w:rPr>
        <w:t>C67.8,</w:t>
      </w:r>
      <w:r>
        <w:rPr>
          <w:spacing w:val="-4"/>
          <w:sz w:val="20"/>
        </w:rPr>
        <w:t> </w:t>
      </w:r>
      <w:r>
        <w:rPr>
          <w:sz w:val="20"/>
        </w:rPr>
        <w:t>C67.9,</w:t>
      </w:r>
      <w:r>
        <w:rPr>
          <w:spacing w:val="-4"/>
          <w:sz w:val="20"/>
        </w:rPr>
        <w:t> C68,</w:t>
      </w:r>
    </w:p>
    <w:p>
      <w:pPr>
        <w:spacing w:before="1"/>
        <w:ind w:left="4643" w:right="0" w:firstLine="0"/>
        <w:jc w:val="left"/>
        <w:rPr>
          <w:sz w:val="20"/>
        </w:rPr>
      </w:pPr>
      <w:r>
        <w:rPr>
          <w:sz w:val="20"/>
        </w:rPr>
        <w:t>C68.0,</w:t>
      </w:r>
      <w:r>
        <w:rPr>
          <w:spacing w:val="-5"/>
          <w:sz w:val="20"/>
        </w:rPr>
        <w:t> </w:t>
      </w:r>
      <w:r>
        <w:rPr>
          <w:sz w:val="20"/>
        </w:rPr>
        <w:t>C68.1,</w:t>
      </w:r>
      <w:r>
        <w:rPr>
          <w:spacing w:val="-4"/>
          <w:sz w:val="20"/>
        </w:rPr>
        <w:t> </w:t>
      </w:r>
      <w:r>
        <w:rPr>
          <w:sz w:val="20"/>
        </w:rPr>
        <w:t>C68.8,</w:t>
      </w:r>
      <w:r>
        <w:rPr>
          <w:spacing w:val="-4"/>
          <w:sz w:val="20"/>
        </w:rPr>
        <w:t> </w:t>
      </w:r>
      <w:r>
        <w:rPr>
          <w:sz w:val="20"/>
        </w:rPr>
        <w:t>C68.9,</w:t>
      </w:r>
      <w:r>
        <w:rPr>
          <w:spacing w:val="-8"/>
          <w:sz w:val="20"/>
        </w:rPr>
        <w:t> </w:t>
      </w:r>
      <w:r>
        <w:rPr>
          <w:sz w:val="20"/>
        </w:rPr>
        <w:t>C69,</w:t>
      </w:r>
      <w:r>
        <w:rPr>
          <w:spacing w:val="-5"/>
          <w:sz w:val="20"/>
        </w:rPr>
        <w:t> </w:t>
      </w:r>
      <w:r>
        <w:rPr>
          <w:sz w:val="20"/>
        </w:rPr>
        <w:t>C69.0,</w:t>
      </w:r>
      <w:r>
        <w:rPr>
          <w:spacing w:val="-4"/>
          <w:sz w:val="20"/>
        </w:rPr>
        <w:t> </w:t>
      </w:r>
      <w:r>
        <w:rPr>
          <w:spacing w:val="-2"/>
          <w:sz w:val="20"/>
        </w:rPr>
        <w:t>C69.1,</w:t>
      </w:r>
    </w:p>
    <w:p>
      <w:pPr>
        <w:spacing w:before="0"/>
        <w:ind w:left="4569" w:right="0" w:firstLine="0"/>
        <w:jc w:val="left"/>
        <w:rPr>
          <w:sz w:val="20"/>
        </w:rPr>
      </w:pPr>
      <w:r>
        <w:rPr>
          <w:sz w:val="20"/>
        </w:rPr>
        <w:t>C69.2,</w:t>
      </w:r>
      <w:r>
        <w:rPr>
          <w:spacing w:val="-7"/>
          <w:sz w:val="20"/>
        </w:rPr>
        <w:t> </w:t>
      </w:r>
      <w:r>
        <w:rPr>
          <w:sz w:val="20"/>
        </w:rPr>
        <w:t>C69.3,</w:t>
      </w:r>
      <w:r>
        <w:rPr>
          <w:spacing w:val="-5"/>
          <w:sz w:val="20"/>
        </w:rPr>
        <w:t> </w:t>
      </w:r>
      <w:r>
        <w:rPr>
          <w:sz w:val="20"/>
        </w:rPr>
        <w:t>C69.4,</w:t>
      </w:r>
      <w:r>
        <w:rPr>
          <w:spacing w:val="-5"/>
          <w:sz w:val="20"/>
        </w:rPr>
        <w:t> </w:t>
      </w:r>
      <w:r>
        <w:rPr>
          <w:sz w:val="20"/>
        </w:rPr>
        <w:t>C69.5,</w:t>
      </w:r>
      <w:r>
        <w:rPr>
          <w:spacing w:val="-9"/>
          <w:sz w:val="20"/>
        </w:rPr>
        <w:t> </w:t>
      </w:r>
      <w:r>
        <w:rPr>
          <w:sz w:val="20"/>
        </w:rPr>
        <w:t>C69.6,</w:t>
      </w:r>
      <w:r>
        <w:rPr>
          <w:spacing w:val="-5"/>
          <w:sz w:val="20"/>
        </w:rPr>
        <w:t> </w:t>
      </w:r>
      <w:r>
        <w:rPr>
          <w:sz w:val="20"/>
        </w:rPr>
        <w:t>C69.8,</w:t>
      </w:r>
      <w:r>
        <w:rPr>
          <w:spacing w:val="-4"/>
          <w:sz w:val="20"/>
        </w:rPr>
        <w:t> </w:t>
      </w:r>
      <w:r>
        <w:rPr>
          <w:spacing w:val="-2"/>
          <w:sz w:val="20"/>
        </w:rPr>
        <w:t>C69.9,</w:t>
      </w:r>
    </w:p>
    <w:p>
      <w:pPr>
        <w:spacing w:before="1"/>
        <w:ind w:left="4717" w:right="0" w:firstLine="0"/>
        <w:jc w:val="left"/>
        <w:rPr>
          <w:sz w:val="20"/>
        </w:rPr>
      </w:pPr>
      <w:r>
        <w:rPr>
          <w:sz w:val="20"/>
        </w:rPr>
        <w:t>C70,</w:t>
      </w:r>
      <w:r>
        <w:rPr>
          <w:spacing w:val="-7"/>
          <w:sz w:val="20"/>
        </w:rPr>
        <w:t> </w:t>
      </w:r>
      <w:r>
        <w:rPr>
          <w:sz w:val="20"/>
        </w:rPr>
        <w:t>C70.0,</w:t>
      </w:r>
      <w:r>
        <w:rPr>
          <w:spacing w:val="-5"/>
          <w:sz w:val="20"/>
        </w:rPr>
        <w:t> </w:t>
      </w:r>
      <w:r>
        <w:rPr>
          <w:sz w:val="20"/>
        </w:rPr>
        <w:t>C70.1,</w:t>
      </w:r>
      <w:r>
        <w:rPr>
          <w:spacing w:val="-4"/>
          <w:sz w:val="20"/>
        </w:rPr>
        <w:t> </w:t>
      </w:r>
      <w:r>
        <w:rPr>
          <w:sz w:val="20"/>
        </w:rPr>
        <w:t>C70.9,</w:t>
      </w:r>
      <w:r>
        <w:rPr>
          <w:spacing w:val="-5"/>
          <w:sz w:val="20"/>
        </w:rPr>
        <w:t> </w:t>
      </w:r>
      <w:r>
        <w:rPr>
          <w:sz w:val="20"/>
        </w:rPr>
        <w:t>C71,</w:t>
      </w:r>
      <w:r>
        <w:rPr>
          <w:spacing w:val="-4"/>
          <w:sz w:val="20"/>
        </w:rPr>
        <w:t> </w:t>
      </w:r>
      <w:r>
        <w:rPr>
          <w:sz w:val="20"/>
        </w:rPr>
        <w:t>C71.0,</w:t>
      </w:r>
      <w:r>
        <w:rPr>
          <w:spacing w:val="-6"/>
          <w:sz w:val="20"/>
        </w:rPr>
        <w:t> </w:t>
      </w:r>
      <w:r>
        <w:rPr>
          <w:spacing w:val="-2"/>
          <w:sz w:val="20"/>
        </w:rPr>
        <w:t>C71.1,</w:t>
      </w:r>
    </w:p>
    <w:p>
      <w:pPr>
        <w:spacing w:before="0"/>
        <w:ind w:left="4569" w:right="0" w:firstLine="0"/>
        <w:jc w:val="left"/>
        <w:rPr>
          <w:sz w:val="20"/>
        </w:rPr>
      </w:pPr>
      <w:r>
        <w:rPr>
          <w:sz w:val="20"/>
        </w:rPr>
        <w:t>C71.2,</w:t>
      </w:r>
      <w:r>
        <w:rPr>
          <w:spacing w:val="-7"/>
          <w:sz w:val="20"/>
        </w:rPr>
        <w:t> </w:t>
      </w:r>
      <w:r>
        <w:rPr>
          <w:sz w:val="20"/>
        </w:rPr>
        <w:t>C71.3,</w:t>
      </w:r>
      <w:r>
        <w:rPr>
          <w:spacing w:val="-5"/>
          <w:sz w:val="20"/>
        </w:rPr>
        <w:t> </w:t>
      </w:r>
      <w:r>
        <w:rPr>
          <w:sz w:val="20"/>
        </w:rPr>
        <w:t>C71.4,</w:t>
      </w:r>
      <w:r>
        <w:rPr>
          <w:spacing w:val="-5"/>
          <w:sz w:val="20"/>
        </w:rPr>
        <w:t> </w:t>
      </w:r>
      <w:r>
        <w:rPr>
          <w:sz w:val="20"/>
        </w:rPr>
        <w:t>C71.5,</w:t>
      </w:r>
      <w:r>
        <w:rPr>
          <w:spacing w:val="-9"/>
          <w:sz w:val="20"/>
        </w:rPr>
        <w:t> </w:t>
      </w:r>
      <w:r>
        <w:rPr>
          <w:sz w:val="20"/>
        </w:rPr>
        <w:t>C71.6,</w:t>
      </w:r>
      <w:r>
        <w:rPr>
          <w:spacing w:val="-5"/>
          <w:sz w:val="20"/>
        </w:rPr>
        <w:t> </w:t>
      </w:r>
      <w:r>
        <w:rPr>
          <w:sz w:val="20"/>
        </w:rPr>
        <w:t>C71.7,</w:t>
      </w:r>
      <w:r>
        <w:rPr>
          <w:spacing w:val="-4"/>
          <w:sz w:val="20"/>
        </w:rPr>
        <w:t> </w:t>
      </w:r>
      <w:r>
        <w:rPr>
          <w:spacing w:val="-2"/>
          <w:sz w:val="20"/>
        </w:rPr>
        <w:t>C71.8,</w:t>
      </w:r>
    </w:p>
    <w:p>
      <w:pPr>
        <w:spacing w:before="0"/>
        <w:ind w:left="4643" w:right="0" w:firstLine="0"/>
        <w:jc w:val="left"/>
        <w:rPr>
          <w:sz w:val="20"/>
        </w:rPr>
      </w:pPr>
      <w:r>
        <w:rPr>
          <w:sz w:val="20"/>
        </w:rPr>
        <w:t>C71.9,</w:t>
      </w:r>
      <w:r>
        <w:rPr>
          <w:spacing w:val="-5"/>
          <w:sz w:val="20"/>
        </w:rPr>
        <w:t> </w:t>
      </w:r>
      <w:r>
        <w:rPr>
          <w:sz w:val="20"/>
        </w:rPr>
        <w:t>C72,</w:t>
      </w:r>
      <w:r>
        <w:rPr>
          <w:spacing w:val="-5"/>
          <w:sz w:val="20"/>
        </w:rPr>
        <w:t> </w:t>
      </w:r>
      <w:r>
        <w:rPr>
          <w:sz w:val="20"/>
        </w:rPr>
        <w:t>C72.0,</w:t>
      </w:r>
      <w:r>
        <w:rPr>
          <w:spacing w:val="-5"/>
          <w:sz w:val="20"/>
        </w:rPr>
        <w:t> </w:t>
      </w:r>
      <w:r>
        <w:rPr>
          <w:sz w:val="20"/>
        </w:rPr>
        <w:t>C72.1,</w:t>
      </w:r>
      <w:r>
        <w:rPr>
          <w:spacing w:val="-5"/>
          <w:sz w:val="20"/>
        </w:rPr>
        <w:t> </w:t>
      </w:r>
      <w:r>
        <w:rPr>
          <w:sz w:val="20"/>
        </w:rPr>
        <w:t>C72.2,</w:t>
      </w:r>
      <w:r>
        <w:rPr>
          <w:spacing w:val="-5"/>
          <w:sz w:val="20"/>
        </w:rPr>
        <w:t> </w:t>
      </w:r>
      <w:r>
        <w:rPr>
          <w:sz w:val="20"/>
        </w:rPr>
        <w:t>C72.3,</w:t>
      </w:r>
      <w:r>
        <w:rPr>
          <w:spacing w:val="-5"/>
          <w:sz w:val="20"/>
        </w:rPr>
        <w:t> </w:t>
      </w:r>
      <w:r>
        <w:rPr>
          <w:spacing w:val="-2"/>
          <w:sz w:val="20"/>
        </w:rPr>
        <w:t>C72.4,</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47"/>
        <w:gridCol w:w="4382"/>
        <w:gridCol w:w="3491"/>
        <w:gridCol w:w="2367"/>
        <w:gridCol w:w="864"/>
      </w:tblGrid>
      <w:tr>
        <w:trPr>
          <w:trHeight w:val="2114" w:hRule="atLeast"/>
        </w:trPr>
        <w:tc>
          <w:tcPr>
            <w:tcW w:w="971" w:type="dxa"/>
          </w:tcPr>
          <w:p>
            <w:pPr>
              <w:pStyle w:val="TableParagraph"/>
              <w:rPr>
                <w:sz w:val="18"/>
              </w:rPr>
            </w:pPr>
          </w:p>
        </w:tc>
        <w:tc>
          <w:tcPr>
            <w:tcW w:w="657" w:type="dxa"/>
          </w:tcPr>
          <w:p>
            <w:pPr>
              <w:pStyle w:val="TableParagraph"/>
              <w:rPr>
                <w:sz w:val="18"/>
              </w:rPr>
            </w:pPr>
          </w:p>
        </w:tc>
        <w:tc>
          <w:tcPr>
            <w:tcW w:w="2547" w:type="dxa"/>
          </w:tcPr>
          <w:p>
            <w:pPr>
              <w:pStyle w:val="TableParagraph"/>
              <w:rPr>
                <w:sz w:val="18"/>
              </w:rPr>
            </w:pPr>
          </w:p>
        </w:tc>
        <w:tc>
          <w:tcPr>
            <w:tcW w:w="4382" w:type="dxa"/>
          </w:tcPr>
          <w:p>
            <w:pPr>
              <w:pStyle w:val="TableParagraph"/>
              <w:spacing w:line="221" w:lineRule="exact"/>
              <w:ind w:left="330"/>
              <w:rPr>
                <w:sz w:val="20"/>
              </w:rPr>
            </w:pPr>
            <w:r>
              <w:rPr>
                <w:sz w:val="20"/>
              </w:rPr>
              <w:t>C72.5,</w:t>
            </w:r>
            <w:r>
              <w:rPr>
                <w:spacing w:val="-7"/>
                <w:sz w:val="20"/>
              </w:rPr>
              <w:t> </w:t>
            </w:r>
            <w:r>
              <w:rPr>
                <w:sz w:val="20"/>
              </w:rPr>
              <w:t>C72.8,</w:t>
            </w:r>
            <w:r>
              <w:rPr>
                <w:spacing w:val="-5"/>
                <w:sz w:val="20"/>
              </w:rPr>
              <w:t> </w:t>
            </w:r>
            <w:r>
              <w:rPr>
                <w:sz w:val="20"/>
              </w:rPr>
              <w:t>C72.9,</w:t>
            </w:r>
            <w:r>
              <w:rPr>
                <w:spacing w:val="-4"/>
                <w:sz w:val="20"/>
              </w:rPr>
              <w:t> </w:t>
            </w:r>
            <w:r>
              <w:rPr>
                <w:sz w:val="20"/>
              </w:rPr>
              <w:t>C73,</w:t>
            </w:r>
            <w:r>
              <w:rPr>
                <w:spacing w:val="-5"/>
                <w:sz w:val="20"/>
              </w:rPr>
              <w:t> </w:t>
            </w:r>
            <w:r>
              <w:rPr>
                <w:sz w:val="20"/>
              </w:rPr>
              <w:t>C74,</w:t>
            </w:r>
            <w:r>
              <w:rPr>
                <w:spacing w:val="-4"/>
                <w:sz w:val="20"/>
              </w:rPr>
              <w:t> </w:t>
            </w:r>
            <w:r>
              <w:rPr>
                <w:sz w:val="20"/>
              </w:rPr>
              <w:t>C74.0,</w:t>
            </w:r>
            <w:r>
              <w:rPr>
                <w:spacing w:val="-6"/>
                <w:sz w:val="20"/>
              </w:rPr>
              <w:t> </w:t>
            </w:r>
            <w:r>
              <w:rPr>
                <w:spacing w:val="-2"/>
                <w:sz w:val="20"/>
              </w:rPr>
              <w:t>C74.1,</w:t>
            </w:r>
          </w:p>
          <w:p>
            <w:pPr>
              <w:pStyle w:val="TableParagraph"/>
              <w:spacing w:line="229" w:lineRule="exact"/>
              <w:ind w:left="255"/>
              <w:rPr>
                <w:sz w:val="20"/>
              </w:rPr>
            </w:pPr>
            <w:r>
              <w:rPr>
                <w:sz w:val="20"/>
              </w:rPr>
              <w:t>C74.9,</w:t>
            </w:r>
            <w:r>
              <w:rPr>
                <w:spacing w:val="-5"/>
                <w:sz w:val="20"/>
              </w:rPr>
              <w:t> </w:t>
            </w:r>
            <w:r>
              <w:rPr>
                <w:sz w:val="20"/>
              </w:rPr>
              <w:t>C75,</w:t>
            </w:r>
            <w:r>
              <w:rPr>
                <w:spacing w:val="-5"/>
                <w:sz w:val="20"/>
              </w:rPr>
              <w:t> </w:t>
            </w:r>
            <w:r>
              <w:rPr>
                <w:sz w:val="20"/>
              </w:rPr>
              <w:t>C75.0,</w:t>
            </w:r>
            <w:r>
              <w:rPr>
                <w:spacing w:val="-5"/>
                <w:sz w:val="20"/>
              </w:rPr>
              <w:t> </w:t>
            </w:r>
            <w:r>
              <w:rPr>
                <w:sz w:val="20"/>
              </w:rPr>
              <w:t>C75.1,</w:t>
            </w:r>
            <w:r>
              <w:rPr>
                <w:spacing w:val="-5"/>
                <w:sz w:val="20"/>
              </w:rPr>
              <w:t> </w:t>
            </w:r>
            <w:r>
              <w:rPr>
                <w:sz w:val="20"/>
              </w:rPr>
              <w:t>C75.2,</w:t>
            </w:r>
            <w:r>
              <w:rPr>
                <w:spacing w:val="-5"/>
                <w:sz w:val="20"/>
              </w:rPr>
              <w:t> </w:t>
            </w:r>
            <w:r>
              <w:rPr>
                <w:sz w:val="20"/>
              </w:rPr>
              <w:t>C75.3,</w:t>
            </w:r>
            <w:r>
              <w:rPr>
                <w:spacing w:val="-5"/>
                <w:sz w:val="20"/>
              </w:rPr>
              <w:t> </w:t>
            </w:r>
            <w:r>
              <w:rPr>
                <w:spacing w:val="-2"/>
                <w:sz w:val="20"/>
              </w:rPr>
              <w:t>C75.4,</w:t>
            </w:r>
          </w:p>
          <w:p>
            <w:pPr>
              <w:pStyle w:val="TableParagraph"/>
              <w:spacing w:line="229" w:lineRule="exact"/>
              <w:ind w:left="255"/>
              <w:rPr>
                <w:sz w:val="20"/>
              </w:rPr>
            </w:pPr>
            <w:r>
              <w:rPr>
                <w:sz w:val="20"/>
              </w:rPr>
              <w:t>C75.5,</w:t>
            </w:r>
            <w:r>
              <w:rPr>
                <w:spacing w:val="-6"/>
                <w:sz w:val="20"/>
              </w:rPr>
              <w:t> </w:t>
            </w:r>
            <w:r>
              <w:rPr>
                <w:sz w:val="20"/>
              </w:rPr>
              <w:t>C75.8,</w:t>
            </w:r>
            <w:r>
              <w:rPr>
                <w:spacing w:val="-5"/>
                <w:sz w:val="20"/>
              </w:rPr>
              <w:t> </w:t>
            </w:r>
            <w:r>
              <w:rPr>
                <w:sz w:val="20"/>
              </w:rPr>
              <w:t>C75.9,</w:t>
            </w:r>
            <w:r>
              <w:rPr>
                <w:spacing w:val="-5"/>
                <w:sz w:val="20"/>
              </w:rPr>
              <w:t> </w:t>
            </w:r>
            <w:r>
              <w:rPr>
                <w:sz w:val="20"/>
              </w:rPr>
              <w:t>C76,</w:t>
            </w:r>
            <w:r>
              <w:rPr>
                <w:spacing w:val="-5"/>
                <w:sz w:val="20"/>
              </w:rPr>
              <w:t> </w:t>
            </w:r>
            <w:r>
              <w:rPr>
                <w:sz w:val="20"/>
              </w:rPr>
              <w:t>C76.0,</w:t>
            </w:r>
            <w:r>
              <w:rPr>
                <w:spacing w:val="-5"/>
                <w:sz w:val="20"/>
              </w:rPr>
              <w:t> </w:t>
            </w:r>
            <w:r>
              <w:rPr>
                <w:sz w:val="20"/>
              </w:rPr>
              <w:t>C76.1,</w:t>
            </w:r>
            <w:r>
              <w:rPr>
                <w:spacing w:val="-5"/>
                <w:sz w:val="20"/>
              </w:rPr>
              <w:t> </w:t>
            </w:r>
            <w:r>
              <w:rPr>
                <w:spacing w:val="-2"/>
                <w:sz w:val="20"/>
              </w:rPr>
              <w:t>C76.2,</w:t>
            </w:r>
          </w:p>
          <w:p>
            <w:pPr>
              <w:pStyle w:val="TableParagraph"/>
              <w:spacing w:before="1"/>
              <w:ind w:left="181" w:right="173"/>
              <w:jc w:val="center"/>
              <w:rPr>
                <w:sz w:val="20"/>
              </w:rPr>
            </w:pPr>
            <w:r>
              <w:rPr>
                <w:sz w:val="20"/>
              </w:rPr>
              <w:t>C76.3,</w:t>
            </w:r>
            <w:r>
              <w:rPr>
                <w:spacing w:val="-5"/>
                <w:sz w:val="20"/>
              </w:rPr>
              <w:t> </w:t>
            </w:r>
            <w:r>
              <w:rPr>
                <w:sz w:val="20"/>
              </w:rPr>
              <w:t>C76.4,</w:t>
            </w:r>
            <w:r>
              <w:rPr>
                <w:spacing w:val="-4"/>
                <w:sz w:val="20"/>
              </w:rPr>
              <w:t> </w:t>
            </w:r>
            <w:r>
              <w:rPr>
                <w:sz w:val="20"/>
              </w:rPr>
              <w:t>C76.5,</w:t>
            </w:r>
            <w:r>
              <w:rPr>
                <w:spacing w:val="-4"/>
                <w:sz w:val="20"/>
              </w:rPr>
              <w:t> </w:t>
            </w:r>
            <w:r>
              <w:rPr>
                <w:sz w:val="20"/>
              </w:rPr>
              <w:t>C76.7,</w:t>
            </w:r>
            <w:r>
              <w:rPr>
                <w:spacing w:val="-8"/>
                <w:sz w:val="20"/>
              </w:rPr>
              <w:t> </w:t>
            </w:r>
            <w:r>
              <w:rPr>
                <w:sz w:val="20"/>
              </w:rPr>
              <w:t>C76.8,</w:t>
            </w:r>
            <w:r>
              <w:rPr>
                <w:spacing w:val="-5"/>
                <w:sz w:val="20"/>
              </w:rPr>
              <w:t> </w:t>
            </w:r>
            <w:r>
              <w:rPr>
                <w:sz w:val="20"/>
              </w:rPr>
              <w:t>C77,</w:t>
            </w:r>
            <w:r>
              <w:rPr>
                <w:spacing w:val="-4"/>
                <w:sz w:val="20"/>
              </w:rPr>
              <w:t> </w:t>
            </w:r>
            <w:r>
              <w:rPr>
                <w:spacing w:val="-2"/>
                <w:sz w:val="20"/>
              </w:rPr>
              <w:t>C77.0,</w:t>
            </w:r>
          </w:p>
          <w:p>
            <w:pPr>
              <w:pStyle w:val="TableParagraph"/>
              <w:ind w:left="181" w:right="173"/>
              <w:jc w:val="center"/>
              <w:rPr>
                <w:sz w:val="20"/>
              </w:rPr>
            </w:pPr>
            <w:r>
              <w:rPr>
                <w:sz w:val="20"/>
              </w:rPr>
              <w:t>C77.1,</w:t>
            </w:r>
            <w:r>
              <w:rPr>
                <w:spacing w:val="-7"/>
                <w:sz w:val="20"/>
              </w:rPr>
              <w:t> </w:t>
            </w:r>
            <w:r>
              <w:rPr>
                <w:sz w:val="20"/>
              </w:rPr>
              <w:t>C77.2,</w:t>
            </w:r>
            <w:r>
              <w:rPr>
                <w:spacing w:val="-5"/>
                <w:sz w:val="20"/>
              </w:rPr>
              <w:t> </w:t>
            </w:r>
            <w:r>
              <w:rPr>
                <w:sz w:val="20"/>
              </w:rPr>
              <w:t>C77.3,</w:t>
            </w:r>
            <w:r>
              <w:rPr>
                <w:spacing w:val="-5"/>
                <w:sz w:val="20"/>
              </w:rPr>
              <w:t> </w:t>
            </w:r>
            <w:r>
              <w:rPr>
                <w:sz w:val="20"/>
              </w:rPr>
              <w:t>C77.4,</w:t>
            </w:r>
            <w:r>
              <w:rPr>
                <w:spacing w:val="-9"/>
                <w:sz w:val="20"/>
              </w:rPr>
              <w:t> </w:t>
            </w:r>
            <w:r>
              <w:rPr>
                <w:sz w:val="20"/>
              </w:rPr>
              <w:t>C77.5,</w:t>
            </w:r>
            <w:r>
              <w:rPr>
                <w:spacing w:val="-5"/>
                <w:sz w:val="20"/>
              </w:rPr>
              <w:t> </w:t>
            </w:r>
            <w:r>
              <w:rPr>
                <w:sz w:val="20"/>
              </w:rPr>
              <w:t>C77.8,</w:t>
            </w:r>
            <w:r>
              <w:rPr>
                <w:spacing w:val="-4"/>
                <w:sz w:val="20"/>
              </w:rPr>
              <w:t> </w:t>
            </w:r>
            <w:r>
              <w:rPr>
                <w:spacing w:val="-2"/>
                <w:sz w:val="20"/>
              </w:rPr>
              <w:t>C77.9,</w:t>
            </w:r>
          </w:p>
          <w:p>
            <w:pPr>
              <w:pStyle w:val="TableParagraph"/>
              <w:ind w:left="181" w:right="169"/>
              <w:jc w:val="center"/>
              <w:rPr>
                <w:sz w:val="20"/>
              </w:rPr>
            </w:pPr>
            <w:r>
              <w:rPr>
                <w:sz w:val="20"/>
              </w:rPr>
              <w:t>C78,</w:t>
            </w:r>
            <w:r>
              <w:rPr>
                <w:spacing w:val="-5"/>
                <w:sz w:val="20"/>
              </w:rPr>
              <w:t> </w:t>
            </w:r>
            <w:r>
              <w:rPr>
                <w:sz w:val="20"/>
              </w:rPr>
              <w:t>C78.0,</w:t>
            </w:r>
            <w:r>
              <w:rPr>
                <w:spacing w:val="-4"/>
                <w:sz w:val="20"/>
              </w:rPr>
              <w:t> </w:t>
            </w:r>
            <w:r>
              <w:rPr>
                <w:sz w:val="20"/>
              </w:rPr>
              <w:t>C78.1,</w:t>
            </w:r>
            <w:r>
              <w:rPr>
                <w:spacing w:val="-5"/>
                <w:sz w:val="20"/>
              </w:rPr>
              <w:t> </w:t>
            </w:r>
            <w:r>
              <w:rPr>
                <w:sz w:val="20"/>
              </w:rPr>
              <w:t>C78.2,</w:t>
            </w:r>
            <w:r>
              <w:rPr>
                <w:spacing w:val="-4"/>
                <w:sz w:val="20"/>
              </w:rPr>
              <w:t> </w:t>
            </w:r>
            <w:r>
              <w:rPr>
                <w:sz w:val="20"/>
              </w:rPr>
              <w:t>C78.3,</w:t>
            </w:r>
            <w:r>
              <w:rPr>
                <w:spacing w:val="-5"/>
                <w:sz w:val="20"/>
              </w:rPr>
              <w:t> </w:t>
            </w:r>
            <w:r>
              <w:rPr>
                <w:sz w:val="20"/>
              </w:rPr>
              <w:t>C78.4,</w:t>
            </w:r>
            <w:r>
              <w:rPr>
                <w:spacing w:val="-4"/>
                <w:sz w:val="20"/>
              </w:rPr>
              <w:t> </w:t>
            </w:r>
            <w:r>
              <w:rPr>
                <w:spacing w:val="-2"/>
                <w:sz w:val="20"/>
              </w:rPr>
              <w:t>C78.5,</w:t>
            </w:r>
          </w:p>
          <w:p>
            <w:pPr>
              <w:pStyle w:val="TableParagraph"/>
              <w:spacing w:before="1"/>
              <w:ind w:left="181" w:right="173"/>
              <w:jc w:val="center"/>
              <w:rPr>
                <w:sz w:val="20"/>
              </w:rPr>
            </w:pPr>
            <w:r>
              <w:rPr>
                <w:sz w:val="20"/>
              </w:rPr>
              <w:t>C78.6,</w:t>
            </w:r>
            <w:r>
              <w:rPr>
                <w:spacing w:val="-6"/>
                <w:sz w:val="20"/>
              </w:rPr>
              <w:t> </w:t>
            </w:r>
            <w:r>
              <w:rPr>
                <w:sz w:val="20"/>
              </w:rPr>
              <w:t>C78.7,</w:t>
            </w:r>
            <w:r>
              <w:rPr>
                <w:spacing w:val="-5"/>
                <w:sz w:val="20"/>
              </w:rPr>
              <w:t> </w:t>
            </w:r>
            <w:r>
              <w:rPr>
                <w:sz w:val="20"/>
              </w:rPr>
              <w:t>C78.8,</w:t>
            </w:r>
            <w:r>
              <w:rPr>
                <w:spacing w:val="-5"/>
                <w:sz w:val="20"/>
              </w:rPr>
              <w:t> </w:t>
            </w:r>
            <w:r>
              <w:rPr>
                <w:sz w:val="20"/>
              </w:rPr>
              <w:t>C79,</w:t>
            </w:r>
            <w:r>
              <w:rPr>
                <w:spacing w:val="-5"/>
                <w:sz w:val="20"/>
              </w:rPr>
              <w:t> </w:t>
            </w:r>
            <w:r>
              <w:rPr>
                <w:sz w:val="20"/>
              </w:rPr>
              <w:t>C79.0,</w:t>
            </w:r>
            <w:r>
              <w:rPr>
                <w:spacing w:val="-5"/>
                <w:sz w:val="20"/>
              </w:rPr>
              <w:t> </w:t>
            </w:r>
            <w:r>
              <w:rPr>
                <w:sz w:val="20"/>
              </w:rPr>
              <w:t>C79.1,</w:t>
            </w:r>
            <w:r>
              <w:rPr>
                <w:spacing w:val="-5"/>
                <w:sz w:val="20"/>
              </w:rPr>
              <w:t> </w:t>
            </w:r>
            <w:r>
              <w:rPr>
                <w:spacing w:val="-2"/>
                <w:sz w:val="20"/>
              </w:rPr>
              <w:t>C79.2,</w:t>
            </w:r>
          </w:p>
          <w:p>
            <w:pPr>
              <w:pStyle w:val="TableParagraph"/>
              <w:spacing w:before="1"/>
              <w:ind w:left="181" w:right="171"/>
              <w:jc w:val="center"/>
              <w:rPr>
                <w:sz w:val="20"/>
              </w:rPr>
            </w:pPr>
            <w:r>
              <w:rPr>
                <w:sz w:val="20"/>
              </w:rPr>
              <w:t>C79.3,</w:t>
            </w:r>
            <w:r>
              <w:rPr>
                <w:spacing w:val="-7"/>
                <w:sz w:val="20"/>
              </w:rPr>
              <w:t> </w:t>
            </w:r>
            <w:r>
              <w:rPr>
                <w:sz w:val="20"/>
              </w:rPr>
              <w:t>C79.4,</w:t>
            </w:r>
            <w:r>
              <w:rPr>
                <w:spacing w:val="-7"/>
                <w:sz w:val="20"/>
              </w:rPr>
              <w:t> </w:t>
            </w:r>
            <w:r>
              <w:rPr>
                <w:sz w:val="20"/>
              </w:rPr>
              <w:t>C79.5,</w:t>
            </w:r>
            <w:r>
              <w:rPr>
                <w:spacing w:val="-7"/>
                <w:sz w:val="20"/>
              </w:rPr>
              <w:t> </w:t>
            </w:r>
            <w:r>
              <w:rPr>
                <w:sz w:val="20"/>
              </w:rPr>
              <w:t>C79.6,</w:t>
            </w:r>
            <w:r>
              <w:rPr>
                <w:spacing w:val="-10"/>
                <w:sz w:val="20"/>
              </w:rPr>
              <w:t> </w:t>
            </w:r>
            <w:r>
              <w:rPr>
                <w:sz w:val="20"/>
              </w:rPr>
              <w:t>C79.7,</w:t>
            </w:r>
            <w:r>
              <w:rPr>
                <w:spacing w:val="-7"/>
                <w:sz w:val="20"/>
              </w:rPr>
              <w:t> </w:t>
            </w:r>
            <w:r>
              <w:rPr>
                <w:sz w:val="20"/>
              </w:rPr>
              <w:t>C79.8,</w:t>
            </w:r>
            <w:r>
              <w:rPr>
                <w:spacing w:val="-7"/>
                <w:sz w:val="20"/>
              </w:rPr>
              <w:t> </w:t>
            </w:r>
            <w:r>
              <w:rPr>
                <w:sz w:val="20"/>
              </w:rPr>
              <w:t>C80, C80.0, C80.9, C97</w:t>
            </w:r>
          </w:p>
        </w:tc>
        <w:tc>
          <w:tcPr>
            <w:tcW w:w="3491" w:type="dxa"/>
          </w:tcPr>
          <w:p>
            <w:pPr>
              <w:pStyle w:val="TableParagraph"/>
              <w:rPr>
                <w:sz w:val="18"/>
              </w:rPr>
            </w:pPr>
          </w:p>
        </w:tc>
        <w:tc>
          <w:tcPr>
            <w:tcW w:w="2367" w:type="dxa"/>
          </w:tcPr>
          <w:p>
            <w:pPr>
              <w:pStyle w:val="TableParagraph"/>
              <w:rPr>
                <w:sz w:val="18"/>
              </w:rPr>
            </w:pPr>
          </w:p>
        </w:tc>
        <w:tc>
          <w:tcPr>
            <w:tcW w:w="864" w:type="dxa"/>
          </w:tcPr>
          <w:p>
            <w:pPr>
              <w:pStyle w:val="TableParagraph"/>
              <w:rPr>
                <w:sz w:val="18"/>
              </w:rPr>
            </w:pPr>
          </w:p>
        </w:tc>
      </w:tr>
      <w:tr>
        <w:trPr>
          <w:trHeight w:val="560" w:hRule="atLeast"/>
        </w:trPr>
        <w:tc>
          <w:tcPr>
            <w:tcW w:w="971" w:type="dxa"/>
          </w:tcPr>
          <w:p>
            <w:pPr>
              <w:pStyle w:val="TableParagraph"/>
              <w:spacing w:before="46"/>
              <w:ind w:left="39" w:right="223"/>
              <w:jc w:val="center"/>
              <w:rPr>
                <w:sz w:val="20"/>
              </w:rPr>
            </w:pPr>
            <w:r>
              <w:rPr>
                <w:spacing w:val="-2"/>
                <w:sz w:val="20"/>
              </w:rPr>
              <w:t>st08.002</w:t>
            </w:r>
          </w:p>
        </w:tc>
        <w:tc>
          <w:tcPr>
            <w:tcW w:w="657" w:type="dxa"/>
          </w:tcPr>
          <w:p>
            <w:pPr>
              <w:pStyle w:val="TableParagraph"/>
              <w:spacing w:before="46"/>
              <w:ind w:left="222" w:right="205"/>
              <w:jc w:val="center"/>
              <w:rPr>
                <w:sz w:val="20"/>
              </w:rPr>
            </w:pPr>
            <w:r>
              <w:rPr>
                <w:spacing w:val="-5"/>
                <w:sz w:val="20"/>
              </w:rPr>
              <w:t>35</w:t>
            </w:r>
          </w:p>
        </w:tc>
        <w:tc>
          <w:tcPr>
            <w:tcW w:w="2547" w:type="dxa"/>
          </w:tcPr>
          <w:p>
            <w:pPr>
              <w:pStyle w:val="TableParagraph"/>
              <w:spacing w:before="46"/>
              <w:ind w:left="217" w:right="80"/>
              <w:rPr>
                <w:sz w:val="20"/>
              </w:rPr>
            </w:pPr>
            <w:r>
              <w:rPr>
                <w:sz w:val="20"/>
              </w:rPr>
              <w:t>Лекарственная терапия при</w:t>
            </w:r>
            <w:r>
              <w:rPr>
                <w:spacing w:val="-13"/>
                <w:sz w:val="20"/>
              </w:rPr>
              <w:t> </w:t>
            </w:r>
            <w:r>
              <w:rPr>
                <w:sz w:val="20"/>
              </w:rPr>
              <w:t>остром</w:t>
            </w:r>
            <w:r>
              <w:rPr>
                <w:spacing w:val="-12"/>
                <w:sz w:val="20"/>
              </w:rPr>
              <w:t> </w:t>
            </w:r>
            <w:r>
              <w:rPr>
                <w:sz w:val="20"/>
              </w:rPr>
              <w:t>лейкозе,</w:t>
            </w:r>
            <w:r>
              <w:rPr>
                <w:spacing w:val="-13"/>
                <w:sz w:val="20"/>
              </w:rPr>
              <w:t> </w:t>
            </w:r>
            <w:r>
              <w:rPr>
                <w:sz w:val="20"/>
              </w:rPr>
              <w:t>дети</w:t>
            </w:r>
          </w:p>
        </w:tc>
        <w:tc>
          <w:tcPr>
            <w:tcW w:w="4382" w:type="dxa"/>
          </w:tcPr>
          <w:p>
            <w:pPr>
              <w:pStyle w:val="TableParagraph"/>
              <w:spacing w:before="46"/>
              <w:ind w:left="1081" w:hanging="900"/>
              <w:rPr>
                <w:sz w:val="20"/>
              </w:rPr>
            </w:pPr>
            <w:r>
              <w:rPr>
                <w:sz w:val="20"/>
              </w:rPr>
              <w:t>C91.0,</w:t>
            </w:r>
            <w:r>
              <w:rPr>
                <w:spacing w:val="-7"/>
                <w:sz w:val="20"/>
              </w:rPr>
              <w:t> </w:t>
            </w:r>
            <w:r>
              <w:rPr>
                <w:sz w:val="20"/>
              </w:rPr>
              <w:t>C92.0,</w:t>
            </w:r>
            <w:r>
              <w:rPr>
                <w:spacing w:val="-7"/>
                <w:sz w:val="20"/>
              </w:rPr>
              <w:t> </w:t>
            </w:r>
            <w:r>
              <w:rPr>
                <w:sz w:val="20"/>
              </w:rPr>
              <w:t>C92.4,</w:t>
            </w:r>
            <w:r>
              <w:rPr>
                <w:spacing w:val="-7"/>
                <w:sz w:val="20"/>
              </w:rPr>
              <w:t> </w:t>
            </w:r>
            <w:r>
              <w:rPr>
                <w:sz w:val="20"/>
              </w:rPr>
              <w:t>C92.5,</w:t>
            </w:r>
            <w:r>
              <w:rPr>
                <w:spacing w:val="-10"/>
                <w:sz w:val="20"/>
              </w:rPr>
              <w:t> </w:t>
            </w:r>
            <w:r>
              <w:rPr>
                <w:sz w:val="20"/>
              </w:rPr>
              <w:t>C92.6,</w:t>
            </w:r>
            <w:r>
              <w:rPr>
                <w:spacing w:val="-7"/>
                <w:sz w:val="20"/>
              </w:rPr>
              <w:t> </w:t>
            </w:r>
            <w:r>
              <w:rPr>
                <w:sz w:val="20"/>
              </w:rPr>
              <w:t>C92.8,</w:t>
            </w:r>
            <w:r>
              <w:rPr>
                <w:spacing w:val="-7"/>
                <w:sz w:val="20"/>
              </w:rPr>
              <w:t> </w:t>
            </w:r>
            <w:r>
              <w:rPr>
                <w:sz w:val="20"/>
              </w:rPr>
              <w:t>C93.0, C93.3, C94.0, C94.2, C95.0</w:t>
            </w:r>
          </w:p>
        </w:tc>
        <w:tc>
          <w:tcPr>
            <w:tcW w:w="3491" w:type="dxa"/>
          </w:tcPr>
          <w:p>
            <w:pPr>
              <w:pStyle w:val="TableParagraph"/>
              <w:spacing w:before="46"/>
              <w:ind w:left="153" w:right="248"/>
              <w:jc w:val="center"/>
              <w:rPr>
                <w:sz w:val="20"/>
              </w:rPr>
            </w:pPr>
            <w:r>
              <w:rPr>
                <w:spacing w:val="-2"/>
                <w:sz w:val="20"/>
              </w:rPr>
              <w:t>A25.30.014</w:t>
            </w:r>
          </w:p>
        </w:tc>
        <w:tc>
          <w:tcPr>
            <w:tcW w:w="2367" w:type="dxa"/>
          </w:tcPr>
          <w:p>
            <w:pPr>
              <w:pStyle w:val="TableParagraph"/>
              <w:spacing w:before="46"/>
              <w:ind w:left="263" w:right="458"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before="46"/>
              <w:ind w:right="53"/>
              <w:jc w:val="right"/>
              <w:rPr>
                <w:sz w:val="20"/>
              </w:rPr>
            </w:pPr>
            <w:r>
              <w:rPr>
                <w:spacing w:val="-4"/>
                <w:sz w:val="20"/>
              </w:rPr>
              <w:t>7,82</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st08.003</w:t>
            </w:r>
          </w:p>
        </w:tc>
        <w:tc>
          <w:tcPr>
            <w:tcW w:w="657" w:type="dxa"/>
          </w:tcPr>
          <w:p>
            <w:pPr>
              <w:pStyle w:val="TableParagraph"/>
              <w:spacing w:line="215" w:lineRule="exact" w:before="45"/>
              <w:ind w:left="222" w:right="205"/>
              <w:jc w:val="center"/>
              <w:rPr>
                <w:sz w:val="20"/>
              </w:rPr>
            </w:pPr>
            <w:r>
              <w:rPr>
                <w:spacing w:val="-5"/>
                <w:sz w:val="20"/>
              </w:rPr>
              <w:t>36</w:t>
            </w:r>
          </w:p>
        </w:tc>
        <w:tc>
          <w:tcPr>
            <w:tcW w:w="2547" w:type="dxa"/>
          </w:tcPr>
          <w:p>
            <w:pPr>
              <w:pStyle w:val="TableParagraph"/>
              <w:spacing w:line="215" w:lineRule="exact" w:before="45"/>
              <w:ind w:left="217"/>
              <w:rPr>
                <w:sz w:val="20"/>
              </w:rPr>
            </w:pPr>
            <w:r>
              <w:rPr>
                <w:w w:val="95"/>
                <w:sz w:val="20"/>
              </w:rPr>
              <w:t>Лекарственная</w:t>
            </w:r>
            <w:r>
              <w:rPr>
                <w:spacing w:val="49"/>
                <w:sz w:val="20"/>
              </w:rPr>
              <w:t> </w:t>
            </w:r>
            <w:r>
              <w:rPr>
                <w:spacing w:val="-2"/>
                <w:sz w:val="20"/>
              </w:rPr>
              <w:t>терапия</w:t>
            </w:r>
          </w:p>
        </w:tc>
        <w:tc>
          <w:tcPr>
            <w:tcW w:w="4382" w:type="dxa"/>
          </w:tcPr>
          <w:p>
            <w:pPr>
              <w:pStyle w:val="TableParagraph"/>
              <w:spacing w:line="215" w:lineRule="exact" w:before="45"/>
              <w:ind w:right="242"/>
              <w:jc w:val="right"/>
              <w:rPr>
                <w:sz w:val="20"/>
              </w:rPr>
            </w:pPr>
            <w:r>
              <w:rPr>
                <w:sz w:val="20"/>
              </w:rPr>
              <w:t>C81,</w:t>
            </w:r>
            <w:r>
              <w:rPr>
                <w:spacing w:val="-5"/>
                <w:sz w:val="20"/>
              </w:rPr>
              <w:t> </w:t>
            </w:r>
            <w:r>
              <w:rPr>
                <w:sz w:val="20"/>
              </w:rPr>
              <w:t>C81.0,</w:t>
            </w:r>
            <w:r>
              <w:rPr>
                <w:spacing w:val="-5"/>
                <w:sz w:val="20"/>
              </w:rPr>
              <w:t> </w:t>
            </w:r>
            <w:r>
              <w:rPr>
                <w:sz w:val="20"/>
              </w:rPr>
              <w:t>C81.1,</w:t>
            </w:r>
            <w:r>
              <w:rPr>
                <w:spacing w:val="-4"/>
                <w:sz w:val="20"/>
              </w:rPr>
              <w:t> </w:t>
            </w:r>
            <w:r>
              <w:rPr>
                <w:sz w:val="20"/>
              </w:rPr>
              <w:t>C81.2,</w:t>
            </w:r>
            <w:r>
              <w:rPr>
                <w:spacing w:val="-5"/>
                <w:sz w:val="20"/>
              </w:rPr>
              <w:t> </w:t>
            </w:r>
            <w:r>
              <w:rPr>
                <w:sz w:val="20"/>
              </w:rPr>
              <w:t>C81.3,</w:t>
            </w:r>
            <w:r>
              <w:rPr>
                <w:spacing w:val="-4"/>
                <w:sz w:val="20"/>
              </w:rPr>
              <w:t> </w:t>
            </w:r>
            <w:r>
              <w:rPr>
                <w:sz w:val="20"/>
              </w:rPr>
              <w:t>C81.4,</w:t>
            </w:r>
            <w:r>
              <w:rPr>
                <w:spacing w:val="-5"/>
                <w:sz w:val="20"/>
              </w:rPr>
              <w:t> </w:t>
            </w:r>
            <w:r>
              <w:rPr>
                <w:spacing w:val="-2"/>
                <w:sz w:val="20"/>
              </w:rPr>
              <w:t>C81.7,</w:t>
            </w:r>
          </w:p>
        </w:tc>
        <w:tc>
          <w:tcPr>
            <w:tcW w:w="3491" w:type="dxa"/>
          </w:tcPr>
          <w:p>
            <w:pPr>
              <w:pStyle w:val="TableParagraph"/>
              <w:spacing w:line="215" w:lineRule="exact" w:before="45"/>
              <w:ind w:left="153" w:right="248"/>
              <w:jc w:val="center"/>
              <w:rPr>
                <w:sz w:val="20"/>
              </w:rPr>
            </w:pPr>
            <w:r>
              <w:rPr>
                <w:spacing w:val="-2"/>
                <w:sz w:val="20"/>
              </w:rPr>
              <w:t>A25.30.014</w:t>
            </w:r>
          </w:p>
        </w:tc>
        <w:tc>
          <w:tcPr>
            <w:tcW w:w="2367" w:type="dxa"/>
          </w:tcPr>
          <w:p>
            <w:pPr>
              <w:pStyle w:val="TableParagraph"/>
              <w:spacing w:line="215" w:lineRule="exact" w:before="45"/>
              <w:ind w:left="246"/>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3"/>
              <w:jc w:val="right"/>
              <w:rPr>
                <w:sz w:val="20"/>
              </w:rPr>
            </w:pPr>
            <w:r>
              <w:rPr>
                <w:spacing w:val="-4"/>
                <w:sz w:val="20"/>
              </w:rPr>
              <w:t>5,68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z w:val="20"/>
              </w:rPr>
              <w:t>при</w:t>
            </w:r>
            <w:r>
              <w:rPr>
                <w:spacing w:val="-6"/>
                <w:sz w:val="20"/>
              </w:rPr>
              <w:t> </w:t>
            </w:r>
            <w:r>
              <w:rPr>
                <w:spacing w:val="-2"/>
                <w:sz w:val="20"/>
              </w:rPr>
              <w:t>других</w:t>
            </w:r>
          </w:p>
        </w:tc>
        <w:tc>
          <w:tcPr>
            <w:tcW w:w="4382" w:type="dxa"/>
          </w:tcPr>
          <w:p>
            <w:pPr>
              <w:pStyle w:val="TableParagraph"/>
              <w:spacing w:line="210" w:lineRule="exact"/>
              <w:ind w:right="245"/>
              <w:jc w:val="right"/>
              <w:rPr>
                <w:sz w:val="20"/>
              </w:rPr>
            </w:pPr>
            <w:r>
              <w:rPr>
                <w:sz w:val="20"/>
              </w:rPr>
              <w:t>C81.9,</w:t>
            </w:r>
            <w:r>
              <w:rPr>
                <w:spacing w:val="-5"/>
                <w:sz w:val="20"/>
              </w:rPr>
              <w:t> </w:t>
            </w:r>
            <w:r>
              <w:rPr>
                <w:sz w:val="20"/>
              </w:rPr>
              <w:t>C82,</w:t>
            </w:r>
            <w:r>
              <w:rPr>
                <w:spacing w:val="-5"/>
                <w:sz w:val="20"/>
              </w:rPr>
              <w:t> </w:t>
            </w:r>
            <w:r>
              <w:rPr>
                <w:sz w:val="20"/>
              </w:rPr>
              <w:t>C82.0,</w:t>
            </w:r>
            <w:r>
              <w:rPr>
                <w:spacing w:val="-5"/>
                <w:sz w:val="20"/>
              </w:rPr>
              <w:t> </w:t>
            </w:r>
            <w:r>
              <w:rPr>
                <w:sz w:val="20"/>
              </w:rPr>
              <w:t>C82.1,</w:t>
            </w:r>
            <w:r>
              <w:rPr>
                <w:spacing w:val="-5"/>
                <w:sz w:val="20"/>
              </w:rPr>
              <w:t> </w:t>
            </w:r>
            <w:r>
              <w:rPr>
                <w:sz w:val="20"/>
              </w:rPr>
              <w:t>C82.2,</w:t>
            </w:r>
            <w:r>
              <w:rPr>
                <w:spacing w:val="-5"/>
                <w:sz w:val="20"/>
              </w:rPr>
              <w:t> </w:t>
            </w:r>
            <w:r>
              <w:rPr>
                <w:sz w:val="20"/>
              </w:rPr>
              <w:t>C82.3,</w:t>
            </w:r>
            <w:r>
              <w:rPr>
                <w:spacing w:val="-5"/>
                <w:sz w:val="20"/>
              </w:rPr>
              <w:t> </w:t>
            </w:r>
            <w:r>
              <w:rPr>
                <w:spacing w:val="-2"/>
                <w:sz w:val="20"/>
              </w:rPr>
              <w:t>C82.4,</w:t>
            </w:r>
          </w:p>
        </w:tc>
        <w:tc>
          <w:tcPr>
            <w:tcW w:w="3491" w:type="dxa"/>
          </w:tcPr>
          <w:p>
            <w:pPr>
              <w:pStyle w:val="TableParagraph"/>
              <w:rPr>
                <w:sz w:val="16"/>
              </w:rPr>
            </w:pPr>
          </w:p>
        </w:tc>
        <w:tc>
          <w:tcPr>
            <w:tcW w:w="2367" w:type="dxa"/>
          </w:tcPr>
          <w:p>
            <w:pPr>
              <w:pStyle w:val="TableParagraph"/>
              <w:spacing w:line="210" w:lineRule="exact"/>
              <w:ind w:left="263"/>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pacing w:val="-2"/>
                <w:sz w:val="20"/>
              </w:rPr>
              <w:t>злокачественных</w:t>
            </w:r>
          </w:p>
        </w:tc>
        <w:tc>
          <w:tcPr>
            <w:tcW w:w="4382" w:type="dxa"/>
          </w:tcPr>
          <w:p>
            <w:pPr>
              <w:pStyle w:val="TableParagraph"/>
              <w:spacing w:line="210" w:lineRule="exact"/>
              <w:ind w:right="245"/>
              <w:jc w:val="right"/>
              <w:rPr>
                <w:sz w:val="20"/>
              </w:rPr>
            </w:pPr>
            <w:r>
              <w:rPr>
                <w:sz w:val="20"/>
              </w:rPr>
              <w:t>C82.5,</w:t>
            </w:r>
            <w:r>
              <w:rPr>
                <w:spacing w:val="-5"/>
                <w:sz w:val="20"/>
              </w:rPr>
              <w:t> </w:t>
            </w:r>
            <w:r>
              <w:rPr>
                <w:sz w:val="20"/>
              </w:rPr>
              <w:t>C82.6,</w:t>
            </w:r>
            <w:r>
              <w:rPr>
                <w:spacing w:val="-4"/>
                <w:sz w:val="20"/>
              </w:rPr>
              <w:t> </w:t>
            </w:r>
            <w:r>
              <w:rPr>
                <w:sz w:val="20"/>
              </w:rPr>
              <w:t>C82.7,</w:t>
            </w:r>
            <w:r>
              <w:rPr>
                <w:spacing w:val="-4"/>
                <w:sz w:val="20"/>
              </w:rPr>
              <w:t> </w:t>
            </w:r>
            <w:r>
              <w:rPr>
                <w:sz w:val="20"/>
              </w:rPr>
              <w:t>C82.9,</w:t>
            </w:r>
            <w:r>
              <w:rPr>
                <w:spacing w:val="-8"/>
                <w:sz w:val="20"/>
              </w:rPr>
              <w:t> </w:t>
            </w:r>
            <w:r>
              <w:rPr>
                <w:sz w:val="20"/>
              </w:rPr>
              <w:t>C83,</w:t>
            </w:r>
            <w:r>
              <w:rPr>
                <w:spacing w:val="-5"/>
                <w:sz w:val="20"/>
              </w:rPr>
              <w:t> </w:t>
            </w:r>
            <w:r>
              <w:rPr>
                <w:sz w:val="20"/>
              </w:rPr>
              <w:t>C83.0,</w:t>
            </w:r>
            <w:r>
              <w:rPr>
                <w:spacing w:val="-4"/>
                <w:sz w:val="20"/>
              </w:rPr>
              <w:t> </w:t>
            </w:r>
            <w:r>
              <w:rPr>
                <w:spacing w:val="-2"/>
                <w:sz w:val="20"/>
              </w:rPr>
              <w:t>C83.1,</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pacing w:val="-2"/>
                <w:sz w:val="20"/>
              </w:rPr>
              <w:t>новообразованиях</w:t>
            </w:r>
          </w:p>
        </w:tc>
        <w:tc>
          <w:tcPr>
            <w:tcW w:w="4382" w:type="dxa"/>
          </w:tcPr>
          <w:p>
            <w:pPr>
              <w:pStyle w:val="TableParagraph"/>
              <w:spacing w:line="210" w:lineRule="exact"/>
              <w:ind w:right="245"/>
              <w:jc w:val="right"/>
              <w:rPr>
                <w:sz w:val="20"/>
              </w:rPr>
            </w:pPr>
            <w:r>
              <w:rPr>
                <w:sz w:val="20"/>
              </w:rPr>
              <w:t>C83.3,</w:t>
            </w:r>
            <w:r>
              <w:rPr>
                <w:spacing w:val="-5"/>
                <w:sz w:val="20"/>
              </w:rPr>
              <w:t> </w:t>
            </w:r>
            <w:r>
              <w:rPr>
                <w:sz w:val="20"/>
              </w:rPr>
              <w:t>C83.5,</w:t>
            </w:r>
            <w:r>
              <w:rPr>
                <w:spacing w:val="-4"/>
                <w:sz w:val="20"/>
              </w:rPr>
              <w:t> </w:t>
            </w:r>
            <w:r>
              <w:rPr>
                <w:sz w:val="20"/>
              </w:rPr>
              <w:t>C83.7,</w:t>
            </w:r>
            <w:r>
              <w:rPr>
                <w:spacing w:val="-4"/>
                <w:sz w:val="20"/>
              </w:rPr>
              <w:t> </w:t>
            </w:r>
            <w:r>
              <w:rPr>
                <w:sz w:val="20"/>
              </w:rPr>
              <w:t>C83.8,</w:t>
            </w:r>
            <w:r>
              <w:rPr>
                <w:spacing w:val="-8"/>
                <w:sz w:val="20"/>
              </w:rPr>
              <w:t> </w:t>
            </w:r>
            <w:r>
              <w:rPr>
                <w:sz w:val="20"/>
              </w:rPr>
              <w:t>C83.9,</w:t>
            </w:r>
            <w:r>
              <w:rPr>
                <w:spacing w:val="-5"/>
                <w:sz w:val="20"/>
              </w:rPr>
              <w:t> </w:t>
            </w:r>
            <w:r>
              <w:rPr>
                <w:sz w:val="20"/>
              </w:rPr>
              <w:t>C84,</w:t>
            </w:r>
            <w:r>
              <w:rPr>
                <w:spacing w:val="-4"/>
                <w:sz w:val="20"/>
              </w:rPr>
              <w:t> </w:t>
            </w:r>
            <w:r>
              <w:rPr>
                <w:spacing w:val="-2"/>
                <w:sz w:val="20"/>
              </w:rPr>
              <w:t>C84.0,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09" w:lineRule="exact"/>
              <w:ind w:left="217"/>
              <w:rPr>
                <w:sz w:val="20"/>
              </w:rPr>
            </w:pPr>
            <w:r>
              <w:rPr>
                <w:sz w:val="20"/>
              </w:rPr>
              <w:t>лимфоидной</w:t>
            </w:r>
            <w:r>
              <w:rPr>
                <w:spacing w:val="-11"/>
                <w:sz w:val="20"/>
              </w:rPr>
              <w:t> </w:t>
            </w:r>
            <w:r>
              <w:rPr>
                <w:spacing w:val="-12"/>
                <w:sz w:val="20"/>
              </w:rPr>
              <w:t>и</w:t>
            </w:r>
          </w:p>
        </w:tc>
        <w:tc>
          <w:tcPr>
            <w:tcW w:w="4382" w:type="dxa"/>
          </w:tcPr>
          <w:p>
            <w:pPr>
              <w:pStyle w:val="TableParagraph"/>
              <w:spacing w:line="209" w:lineRule="exact"/>
              <w:ind w:right="170"/>
              <w:jc w:val="right"/>
              <w:rPr>
                <w:sz w:val="20"/>
              </w:rPr>
            </w:pPr>
            <w:r>
              <w:rPr>
                <w:sz w:val="20"/>
              </w:rPr>
              <w:t>C84.1,</w:t>
            </w:r>
            <w:r>
              <w:rPr>
                <w:spacing w:val="-7"/>
                <w:sz w:val="20"/>
              </w:rPr>
              <w:t> </w:t>
            </w:r>
            <w:r>
              <w:rPr>
                <w:sz w:val="20"/>
              </w:rPr>
              <w:t>C84.4,</w:t>
            </w:r>
            <w:r>
              <w:rPr>
                <w:spacing w:val="-5"/>
                <w:sz w:val="20"/>
              </w:rPr>
              <w:t> </w:t>
            </w:r>
            <w:r>
              <w:rPr>
                <w:sz w:val="20"/>
              </w:rPr>
              <w:t>C84.5,</w:t>
            </w:r>
            <w:r>
              <w:rPr>
                <w:spacing w:val="-5"/>
                <w:sz w:val="20"/>
              </w:rPr>
              <w:t> </w:t>
            </w:r>
            <w:r>
              <w:rPr>
                <w:sz w:val="20"/>
              </w:rPr>
              <w:t>C84.6,</w:t>
            </w:r>
            <w:r>
              <w:rPr>
                <w:spacing w:val="-9"/>
                <w:sz w:val="20"/>
              </w:rPr>
              <w:t> </w:t>
            </w:r>
            <w:r>
              <w:rPr>
                <w:sz w:val="20"/>
              </w:rPr>
              <w:t>C84.7,</w:t>
            </w:r>
            <w:r>
              <w:rPr>
                <w:spacing w:val="-5"/>
                <w:sz w:val="20"/>
              </w:rPr>
              <w:t> </w:t>
            </w:r>
            <w:r>
              <w:rPr>
                <w:sz w:val="20"/>
              </w:rPr>
              <w:t>C84.8,</w:t>
            </w:r>
            <w:r>
              <w:rPr>
                <w:spacing w:val="-4"/>
                <w:sz w:val="20"/>
              </w:rPr>
              <w:t> </w:t>
            </w:r>
            <w:r>
              <w:rPr>
                <w:spacing w:val="-2"/>
                <w:sz w:val="20"/>
              </w:rPr>
              <w:t>C84.9,</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09" w:lineRule="exact"/>
              <w:ind w:left="217"/>
              <w:rPr>
                <w:sz w:val="20"/>
              </w:rPr>
            </w:pPr>
            <w:r>
              <w:rPr>
                <w:w w:val="95"/>
                <w:sz w:val="20"/>
              </w:rPr>
              <w:t>кроветворной</w:t>
            </w:r>
            <w:r>
              <w:rPr>
                <w:spacing w:val="43"/>
                <w:sz w:val="20"/>
              </w:rPr>
              <w:t> </w:t>
            </w:r>
            <w:r>
              <w:rPr>
                <w:spacing w:val="-2"/>
                <w:sz w:val="20"/>
              </w:rPr>
              <w:t>тканей,</w:t>
            </w:r>
          </w:p>
        </w:tc>
        <w:tc>
          <w:tcPr>
            <w:tcW w:w="4382" w:type="dxa"/>
          </w:tcPr>
          <w:p>
            <w:pPr>
              <w:pStyle w:val="TableParagraph"/>
              <w:spacing w:line="209" w:lineRule="exact"/>
              <w:ind w:left="330"/>
              <w:rPr>
                <w:sz w:val="20"/>
              </w:rPr>
            </w:pPr>
            <w:r>
              <w:rPr>
                <w:sz w:val="20"/>
              </w:rPr>
              <w:t>C85,</w:t>
            </w:r>
            <w:r>
              <w:rPr>
                <w:spacing w:val="-6"/>
                <w:sz w:val="20"/>
              </w:rPr>
              <w:t> </w:t>
            </w:r>
            <w:r>
              <w:rPr>
                <w:sz w:val="20"/>
              </w:rPr>
              <w:t>C85.1,</w:t>
            </w:r>
            <w:r>
              <w:rPr>
                <w:spacing w:val="-4"/>
                <w:sz w:val="20"/>
              </w:rPr>
              <w:t> </w:t>
            </w:r>
            <w:r>
              <w:rPr>
                <w:sz w:val="20"/>
              </w:rPr>
              <w:t>C85.2,</w:t>
            </w:r>
            <w:r>
              <w:rPr>
                <w:spacing w:val="-4"/>
                <w:sz w:val="20"/>
              </w:rPr>
              <w:t> </w:t>
            </w:r>
            <w:r>
              <w:rPr>
                <w:sz w:val="20"/>
              </w:rPr>
              <w:t>C85.7,</w:t>
            </w:r>
            <w:r>
              <w:rPr>
                <w:spacing w:val="-3"/>
                <w:sz w:val="20"/>
              </w:rPr>
              <w:t> </w:t>
            </w:r>
            <w:r>
              <w:rPr>
                <w:sz w:val="20"/>
              </w:rPr>
              <w:t>C85.9,</w:t>
            </w:r>
            <w:r>
              <w:rPr>
                <w:spacing w:val="-4"/>
                <w:sz w:val="20"/>
              </w:rPr>
              <w:t> </w:t>
            </w:r>
            <w:r>
              <w:rPr>
                <w:sz w:val="20"/>
              </w:rPr>
              <w:t>C86,</w:t>
            </w:r>
            <w:r>
              <w:rPr>
                <w:spacing w:val="-5"/>
                <w:sz w:val="20"/>
              </w:rPr>
              <w:t> </w:t>
            </w:r>
            <w:r>
              <w:rPr>
                <w:spacing w:val="-2"/>
                <w:sz w:val="20"/>
              </w:rPr>
              <w:t>C86.0,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1" w:lineRule="exact"/>
              <w:ind w:left="217"/>
              <w:rPr>
                <w:sz w:val="20"/>
              </w:rPr>
            </w:pPr>
            <w:r>
              <w:rPr>
                <w:spacing w:val="-4"/>
                <w:sz w:val="20"/>
              </w:rPr>
              <w:t>дети</w:t>
            </w:r>
          </w:p>
        </w:tc>
        <w:tc>
          <w:tcPr>
            <w:tcW w:w="4382" w:type="dxa"/>
          </w:tcPr>
          <w:p>
            <w:pPr>
              <w:pStyle w:val="TableParagraph"/>
              <w:spacing w:line="211" w:lineRule="exact"/>
              <w:ind w:right="245"/>
              <w:jc w:val="right"/>
              <w:rPr>
                <w:sz w:val="20"/>
              </w:rPr>
            </w:pPr>
            <w:r>
              <w:rPr>
                <w:sz w:val="20"/>
              </w:rPr>
              <w:t>C86.1,</w:t>
            </w:r>
            <w:r>
              <w:rPr>
                <w:spacing w:val="-7"/>
                <w:sz w:val="20"/>
              </w:rPr>
              <w:t> </w:t>
            </w:r>
            <w:r>
              <w:rPr>
                <w:sz w:val="20"/>
              </w:rPr>
              <w:t>C86.2,</w:t>
            </w:r>
            <w:r>
              <w:rPr>
                <w:spacing w:val="-5"/>
                <w:sz w:val="20"/>
              </w:rPr>
              <w:t> </w:t>
            </w:r>
            <w:r>
              <w:rPr>
                <w:sz w:val="20"/>
              </w:rPr>
              <w:t>C86.3,</w:t>
            </w:r>
            <w:r>
              <w:rPr>
                <w:spacing w:val="-5"/>
                <w:sz w:val="20"/>
              </w:rPr>
              <w:t> </w:t>
            </w:r>
            <w:r>
              <w:rPr>
                <w:sz w:val="20"/>
              </w:rPr>
              <w:t>C86.4,</w:t>
            </w:r>
            <w:r>
              <w:rPr>
                <w:spacing w:val="-9"/>
                <w:sz w:val="20"/>
              </w:rPr>
              <w:t> </w:t>
            </w:r>
            <w:r>
              <w:rPr>
                <w:sz w:val="20"/>
              </w:rPr>
              <w:t>C86.5,</w:t>
            </w:r>
            <w:r>
              <w:rPr>
                <w:spacing w:val="-5"/>
                <w:sz w:val="20"/>
              </w:rPr>
              <w:t> </w:t>
            </w:r>
            <w:r>
              <w:rPr>
                <w:sz w:val="20"/>
              </w:rPr>
              <w:t>C86.6,</w:t>
            </w:r>
            <w:r>
              <w:rPr>
                <w:spacing w:val="-4"/>
                <w:sz w:val="20"/>
              </w:rPr>
              <w:t> C88,</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45"/>
              <w:jc w:val="right"/>
              <w:rPr>
                <w:sz w:val="20"/>
              </w:rPr>
            </w:pPr>
            <w:r>
              <w:rPr>
                <w:sz w:val="20"/>
              </w:rPr>
              <w:t>C88.0,</w:t>
            </w:r>
            <w:r>
              <w:rPr>
                <w:spacing w:val="-7"/>
                <w:sz w:val="20"/>
              </w:rPr>
              <w:t> </w:t>
            </w:r>
            <w:r>
              <w:rPr>
                <w:sz w:val="20"/>
              </w:rPr>
              <w:t>C88.2,</w:t>
            </w:r>
            <w:r>
              <w:rPr>
                <w:spacing w:val="-5"/>
                <w:sz w:val="20"/>
              </w:rPr>
              <w:t> </w:t>
            </w:r>
            <w:r>
              <w:rPr>
                <w:sz w:val="20"/>
              </w:rPr>
              <w:t>C88.3,</w:t>
            </w:r>
            <w:r>
              <w:rPr>
                <w:spacing w:val="-5"/>
                <w:sz w:val="20"/>
              </w:rPr>
              <w:t> </w:t>
            </w:r>
            <w:r>
              <w:rPr>
                <w:sz w:val="20"/>
              </w:rPr>
              <w:t>C88.4,</w:t>
            </w:r>
            <w:r>
              <w:rPr>
                <w:spacing w:val="-9"/>
                <w:sz w:val="20"/>
              </w:rPr>
              <w:t> </w:t>
            </w:r>
            <w:r>
              <w:rPr>
                <w:sz w:val="20"/>
              </w:rPr>
              <w:t>C88.7,</w:t>
            </w:r>
            <w:r>
              <w:rPr>
                <w:spacing w:val="-5"/>
                <w:sz w:val="20"/>
              </w:rPr>
              <w:t> </w:t>
            </w:r>
            <w:r>
              <w:rPr>
                <w:sz w:val="20"/>
              </w:rPr>
              <w:t>C88.9,</w:t>
            </w:r>
            <w:r>
              <w:rPr>
                <w:spacing w:val="-4"/>
                <w:sz w:val="20"/>
              </w:rPr>
              <w:t> C90,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170"/>
              <w:jc w:val="right"/>
              <w:rPr>
                <w:sz w:val="20"/>
              </w:rPr>
            </w:pPr>
            <w:r>
              <w:rPr>
                <w:sz w:val="20"/>
              </w:rPr>
              <w:t>C90.0,</w:t>
            </w:r>
            <w:r>
              <w:rPr>
                <w:spacing w:val="-7"/>
                <w:sz w:val="20"/>
              </w:rPr>
              <w:t> </w:t>
            </w:r>
            <w:r>
              <w:rPr>
                <w:sz w:val="20"/>
              </w:rPr>
              <w:t>C90.1,</w:t>
            </w:r>
            <w:r>
              <w:rPr>
                <w:spacing w:val="-5"/>
                <w:sz w:val="20"/>
              </w:rPr>
              <w:t> </w:t>
            </w:r>
            <w:r>
              <w:rPr>
                <w:sz w:val="20"/>
              </w:rPr>
              <w:t>C90.2,</w:t>
            </w:r>
            <w:r>
              <w:rPr>
                <w:spacing w:val="-5"/>
                <w:sz w:val="20"/>
              </w:rPr>
              <w:t> </w:t>
            </w:r>
            <w:r>
              <w:rPr>
                <w:sz w:val="20"/>
              </w:rPr>
              <w:t>C90.3,</w:t>
            </w:r>
            <w:r>
              <w:rPr>
                <w:spacing w:val="-9"/>
                <w:sz w:val="20"/>
              </w:rPr>
              <w:t> </w:t>
            </w:r>
            <w:r>
              <w:rPr>
                <w:sz w:val="20"/>
              </w:rPr>
              <w:t>C91.1,</w:t>
            </w:r>
            <w:r>
              <w:rPr>
                <w:spacing w:val="-5"/>
                <w:sz w:val="20"/>
              </w:rPr>
              <w:t> </w:t>
            </w:r>
            <w:r>
              <w:rPr>
                <w:sz w:val="20"/>
              </w:rPr>
              <w:t>C91.3,</w:t>
            </w:r>
            <w:r>
              <w:rPr>
                <w:spacing w:val="-4"/>
                <w:sz w:val="20"/>
              </w:rPr>
              <w:t> </w:t>
            </w:r>
            <w:r>
              <w:rPr>
                <w:spacing w:val="-2"/>
                <w:sz w:val="20"/>
              </w:rPr>
              <w:t>C91.4,</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09" w:lineRule="exact"/>
              <w:ind w:right="170"/>
              <w:jc w:val="right"/>
              <w:rPr>
                <w:sz w:val="20"/>
              </w:rPr>
            </w:pPr>
            <w:r>
              <w:rPr>
                <w:sz w:val="20"/>
              </w:rPr>
              <w:t>C91.5,</w:t>
            </w:r>
            <w:r>
              <w:rPr>
                <w:spacing w:val="-7"/>
                <w:sz w:val="20"/>
              </w:rPr>
              <w:t> </w:t>
            </w:r>
            <w:r>
              <w:rPr>
                <w:sz w:val="20"/>
              </w:rPr>
              <w:t>C91.6,</w:t>
            </w:r>
            <w:r>
              <w:rPr>
                <w:spacing w:val="-5"/>
                <w:sz w:val="20"/>
              </w:rPr>
              <w:t> </w:t>
            </w:r>
            <w:r>
              <w:rPr>
                <w:sz w:val="20"/>
              </w:rPr>
              <w:t>C91.7,</w:t>
            </w:r>
            <w:r>
              <w:rPr>
                <w:spacing w:val="-5"/>
                <w:sz w:val="20"/>
              </w:rPr>
              <w:t> </w:t>
            </w:r>
            <w:r>
              <w:rPr>
                <w:sz w:val="20"/>
              </w:rPr>
              <w:t>C91.8,</w:t>
            </w:r>
            <w:r>
              <w:rPr>
                <w:spacing w:val="-9"/>
                <w:sz w:val="20"/>
              </w:rPr>
              <w:t> </w:t>
            </w:r>
            <w:r>
              <w:rPr>
                <w:sz w:val="20"/>
              </w:rPr>
              <w:t>C91.9,</w:t>
            </w:r>
            <w:r>
              <w:rPr>
                <w:spacing w:val="-5"/>
                <w:sz w:val="20"/>
              </w:rPr>
              <w:t> </w:t>
            </w:r>
            <w:r>
              <w:rPr>
                <w:sz w:val="20"/>
              </w:rPr>
              <w:t>C92.1,</w:t>
            </w:r>
            <w:r>
              <w:rPr>
                <w:spacing w:val="-4"/>
                <w:sz w:val="20"/>
              </w:rPr>
              <w:t> </w:t>
            </w:r>
            <w:r>
              <w:rPr>
                <w:spacing w:val="-2"/>
                <w:sz w:val="20"/>
              </w:rPr>
              <w:t>C92.2,</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09" w:lineRule="exact"/>
              <w:ind w:right="170"/>
              <w:jc w:val="right"/>
              <w:rPr>
                <w:sz w:val="20"/>
              </w:rPr>
            </w:pPr>
            <w:r>
              <w:rPr>
                <w:sz w:val="20"/>
              </w:rPr>
              <w:t>C92.3,</w:t>
            </w:r>
            <w:r>
              <w:rPr>
                <w:spacing w:val="-7"/>
                <w:sz w:val="20"/>
              </w:rPr>
              <w:t> </w:t>
            </w:r>
            <w:r>
              <w:rPr>
                <w:sz w:val="20"/>
              </w:rPr>
              <w:t>C92.7,</w:t>
            </w:r>
            <w:r>
              <w:rPr>
                <w:spacing w:val="-5"/>
                <w:sz w:val="20"/>
              </w:rPr>
              <w:t> </w:t>
            </w:r>
            <w:r>
              <w:rPr>
                <w:sz w:val="20"/>
              </w:rPr>
              <w:t>C92.9,</w:t>
            </w:r>
            <w:r>
              <w:rPr>
                <w:spacing w:val="-5"/>
                <w:sz w:val="20"/>
              </w:rPr>
              <w:t> </w:t>
            </w:r>
            <w:r>
              <w:rPr>
                <w:sz w:val="20"/>
              </w:rPr>
              <w:t>C93.1,</w:t>
            </w:r>
            <w:r>
              <w:rPr>
                <w:spacing w:val="-9"/>
                <w:sz w:val="20"/>
              </w:rPr>
              <w:t> </w:t>
            </w:r>
            <w:r>
              <w:rPr>
                <w:sz w:val="20"/>
              </w:rPr>
              <w:t>C93.7,</w:t>
            </w:r>
            <w:r>
              <w:rPr>
                <w:spacing w:val="-5"/>
                <w:sz w:val="20"/>
              </w:rPr>
              <w:t> </w:t>
            </w:r>
            <w:r>
              <w:rPr>
                <w:sz w:val="20"/>
              </w:rPr>
              <w:t>C93.9,</w:t>
            </w:r>
            <w:r>
              <w:rPr>
                <w:spacing w:val="-4"/>
                <w:sz w:val="20"/>
              </w:rPr>
              <w:t> </w:t>
            </w:r>
            <w:r>
              <w:rPr>
                <w:spacing w:val="-2"/>
                <w:sz w:val="20"/>
              </w:rPr>
              <w:t>C94.3,</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44"/>
              <w:jc w:val="right"/>
              <w:rPr>
                <w:sz w:val="20"/>
              </w:rPr>
            </w:pPr>
            <w:r>
              <w:rPr>
                <w:sz w:val="20"/>
              </w:rPr>
              <w:t>C94.4,</w:t>
            </w:r>
            <w:r>
              <w:rPr>
                <w:spacing w:val="-6"/>
                <w:sz w:val="20"/>
              </w:rPr>
              <w:t> </w:t>
            </w:r>
            <w:r>
              <w:rPr>
                <w:sz w:val="20"/>
              </w:rPr>
              <w:t>C94.6,</w:t>
            </w:r>
            <w:r>
              <w:rPr>
                <w:spacing w:val="-5"/>
                <w:sz w:val="20"/>
              </w:rPr>
              <w:t> </w:t>
            </w:r>
            <w:r>
              <w:rPr>
                <w:sz w:val="20"/>
              </w:rPr>
              <w:t>C94.7,</w:t>
            </w:r>
            <w:r>
              <w:rPr>
                <w:spacing w:val="-5"/>
                <w:sz w:val="20"/>
              </w:rPr>
              <w:t> </w:t>
            </w:r>
            <w:r>
              <w:rPr>
                <w:sz w:val="20"/>
              </w:rPr>
              <w:t>C95,</w:t>
            </w:r>
            <w:r>
              <w:rPr>
                <w:spacing w:val="-5"/>
                <w:sz w:val="20"/>
              </w:rPr>
              <w:t> </w:t>
            </w:r>
            <w:r>
              <w:rPr>
                <w:sz w:val="20"/>
              </w:rPr>
              <w:t>C95.1,</w:t>
            </w:r>
            <w:r>
              <w:rPr>
                <w:spacing w:val="-5"/>
                <w:sz w:val="20"/>
              </w:rPr>
              <w:t> </w:t>
            </w:r>
            <w:r>
              <w:rPr>
                <w:sz w:val="20"/>
              </w:rPr>
              <w:t>C95.7,</w:t>
            </w:r>
            <w:r>
              <w:rPr>
                <w:spacing w:val="-5"/>
                <w:sz w:val="20"/>
              </w:rPr>
              <w:t> </w:t>
            </w:r>
            <w:r>
              <w:rPr>
                <w:spacing w:val="-2"/>
                <w:sz w:val="20"/>
              </w:rPr>
              <w:t>C95.9,</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45"/>
              <w:jc w:val="right"/>
              <w:rPr>
                <w:sz w:val="20"/>
              </w:rPr>
            </w:pPr>
            <w:r>
              <w:rPr>
                <w:sz w:val="20"/>
              </w:rPr>
              <w:t>C96,</w:t>
            </w:r>
            <w:r>
              <w:rPr>
                <w:spacing w:val="-5"/>
                <w:sz w:val="20"/>
              </w:rPr>
              <w:t> </w:t>
            </w:r>
            <w:r>
              <w:rPr>
                <w:sz w:val="20"/>
              </w:rPr>
              <w:t>C96.0,</w:t>
            </w:r>
            <w:r>
              <w:rPr>
                <w:spacing w:val="-5"/>
                <w:sz w:val="20"/>
              </w:rPr>
              <w:t> </w:t>
            </w:r>
            <w:r>
              <w:rPr>
                <w:sz w:val="20"/>
              </w:rPr>
              <w:t>C96.2,</w:t>
            </w:r>
            <w:r>
              <w:rPr>
                <w:spacing w:val="-5"/>
                <w:sz w:val="20"/>
              </w:rPr>
              <w:t> </w:t>
            </w:r>
            <w:r>
              <w:rPr>
                <w:sz w:val="20"/>
              </w:rPr>
              <w:t>C96.4,</w:t>
            </w:r>
            <w:r>
              <w:rPr>
                <w:spacing w:val="-5"/>
                <w:sz w:val="20"/>
              </w:rPr>
              <w:t> </w:t>
            </w:r>
            <w:r>
              <w:rPr>
                <w:sz w:val="20"/>
              </w:rPr>
              <w:t>C96.5,</w:t>
            </w:r>
            <w:r>
              <w:rPr>
                <w:spacing w:val="-5"/>
                <w:sz w:val="20"/>
              </w:rPr>
              <w:t> </w:t>
            </w:r>
            <w:r>
              <w:rPr>
                <w:sz w:val="20"/>
              </w:rPr>
              <w:t>C96.6,</w:t>
            </w:r>
            <w:r>
              <w:rPr>
                <w:spacing w:val="-5"/>
                <w:sz w:val="20"/>
              </w:rPr>
              <w:t> </w:t>
            </w:r>
            <w:r>
              <w:rPr>
                <w:spacing w:val="-2"/>
                <w:sz w:val="20"/>
              </w:rPr>
              <w:t>C96.7,</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left="301"/>
              <w:rPr>
                <w:sz w:val="20"/>
              </w:rPr>
            </w:pPr>
            <w:r>
              <w:rPr>
                <w:sz w:val="20"/>
              </w:rPr>
              <w:t>C96.8,</w:t>
            </w:r>
            <w:r>
              <w:rPr>
                <w:spacing w:val="-5"/>
                <w:sz w:val="20"/>
              </w:rPr>
              <w:t> </w:t>
            </w:r>
            <w:r>
              <w:rPr>
                <w:sz w:val="20"/>
              </w:rPr>
              <w:t>C96.9,</w:t>
            </w:r>
            <w:r>
              <w:rPr>
                <w:spacing w:val="-4"/>
                <w:sz w:val="20"/>
              </w:rPr>
              <w:t> </w:t>
            </w:r>
            <w:r>
              <w:rPr>
                <w:sz w:val="20"/>
              </w:rPr>
              <w:t>D45,</w:t>
            </w:r>
            <w:r>
              <w:rPr>
                <w:spacing w:val="-6"/>
                <w:sz w:val="20"/>
              </w:rPr>
              <w:t> </w:t>
            </w:r>
            <w:r>
              <w:rPr>
                <w:sz w:val="20"/>
              </w:rPr>
              <w:t>D46,</w:t>
            </w:r>
            <w:r>
              <w:rPr>
                <w:spacing w:val="-4"/>
                <w:sz w:val="20"/>
              </w:rPr>
              <w:t> </w:t>
            </w:r>
            <w:r>
              <w:rPr>
                <w:sz w:val="20"/>
              </w:rPr>
              <w:t>D46.0,</w:t>
            </w:r>
            <w:r>
              <w:rPr>
                <w:spacing w:val="-5"/>
                <w:sz w:val="20"/>
              </w:rPr>
              <w:t> </w:t>
            </w:r>
            <w:r>
              <w:rPr>
                <w:sz w:val="20"/>
              </w:rPr>
              <w:t>D46.1,</w:t>
            </w:r>
            <w:r>
              <w:rPr>
                <w:spacing w:val="-4"/>
                <w:sz w:val="20"/>
              </w:rPr>
              <w:t> </w:t>
            </w:r>
            <w:r>
              <w:rPr>
                <w:spacing w:val="-2"/>
                <w:sz w:val="20"/>
              </w:rPr>
              <w:t>D46.2,</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06"/>
              <w:jc w:val="right"/>
              <w:rPr>
                <w:sz w:val="20"/>
              </w:rPr>
            </w:pPr>
            <w:r>
              <w:rPr>
                <w:sz w:val="20"/>
              </w:rPr>
              <w:t>D46.4,</w:t>
            </w:r>
            <w:r>
              <w:rPr>
                <w:spacing w:val="-4"/>
                <w:sz w:val="20"/>
              </w:rPr>
              <w:t> </w:t>
            </w:r>
            <w:r>
              <w:rPr>
                <w:sz w:val="20"/>
              </w:rPr>
              <w:t>D46.5,</w:t>
            </w:r>
            <w:r>
              <w:rPr>
                <w:spacing w:val="-6"/>
                <w:sz w:val="20"/>
              </w:rPr>
              <w:t> </w:t>
            </w:r>
            <w:r>
              <w:rPr>
                <w:sz w:val="20"/>
              </w:rPr>
              <w:t>D46.6,</w:t>
            </w:r>
            <w:r>
              <w:rPr>
                <w:spacing w:val="-4"/>
                <w:sz w:val="20"/>
              </w:rPr>
              <w:t> </w:t>
            </w:r>
            <w:r>
              <w:rPr>
                <w:sz w:val="20"/>
              </w:rPr>
              <w:t>D46.7,</w:t>
            </w:r>
            <w:r>
              <w:rPr>
                <w:spacing w:val="-6"/>
                <w:sz w:val="20"/>
              </w:rPr>
              <w:t> </w:t>
            </w:r>
            <w:r>
              <w:rPr>
                <w:sz w:val="20"/>
              </w:rPr>
              <w:t>D46.9,</w:t>
            </w:r>
            <w:r>
              <w:rPr>
                <w:spacing w:val="-4"/>
                <w:sz w:val="20"/>
              </w:rPr>
              <w:t> </w:t>
            </w:r>
            <w:r>
              <w:rPr>
                <w:sz w:val="20"/>
              </w:rPr>
              <w:t>D47,</w:t>
            </w:r>
            <w:r>
              <w:rPr>
                <w:spacing w:val="-4"/>
                <w:sz w:val="20"/>
              </w:rPr>
              <w:t> </w:t>
            </w:r>
            <w:r>
              <w:rPr>
                <w:spacing w:val="-2"/>
                <w:sz w:val="20"/>
              </w:rPr>
              <w:t>D47.0,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47" w:type="dxa"/>
          </w:tcPr>
          <w:p>
            <w:pPr>
              <w:pStyle w:val="TableParagraph"/>
              <w:rPr>
                <w:sz w:val="18"/>
              </w:rPr>
            </w:pPr>
          </w:p>
        </w:tc>
        <w:tc>
          <w:tcPr>
            <w:tcW w:w="4382" w:type="dxa"/>
          </w:tcPr>
          <w:p>
            <w:pPr>
              <w:pStyle w:val="TableParagraph"/>
              <w:spacing w:line="226" w:lineRule="exact"/>
              <w:ind w:right="156"/>
              <w:jc w:val="right"/>
              <w:rPr>
                <w:sz w:val="20"/>
              </w:rPr>
            </w:pPr>
            <w:r>
              <w:rPr>
                <w:sz w:val="20"/>
              </w:rPr>
              <w:t>D47.1,</w:t>
            </w:r>
            <w:r>
              <w:rPr>
                <w:spacing w:val="-5"/>
                <w:sz w:val="20"/>
              </w:rPr>
              <w:t> </w:t>
            </w:r>
            <w:r>
              <w:rPr>
                <w:sz w:val="20"/>
              </w:rPr>
              <w:t>D47.2,</w:t>
            </w:r>
            <w:r>
              <w:rPr>
                <w:spacing w:val="-5"/>
                <w:sz w:val="20"/>
              </w:rPr>
              <w:t> </w:t>
            </w:r>
            <w:r>
              <w:rPr>
                <w:sz w:val="20"/>
              </w:rPr>
              <w:t>D47.3,</w:t>
            </w:r>
            <w:r>
              <w:rPr>
                <w:spacing w:val="-4"/>
                <w:sz w:val="20"/>
              </w:rPr>
              <w:t> </w:t>
            </w:r>
            <w:r>
              <w:rPr>
                <w:sz w:val="20"/>
              </w:rPr>
              <w:t>D47.4,</w:t>
            </w:r>
            <w:r>
              <w:rPr>
                <w:spacing w:val="-6"/>
                <w:sz w:val="20"/>
              </w:rPr>
              <w:t> </w:t>
            </w:r>
            <w:r>
              <w:rPr>
                <w:sz w:val="20"/>
              </w:rPr>
              <w:t>D47.5,</w:t>
            </w:r>
            <w:r>
              <w:rPr>
                <w:spacing w:val="-4"/>
                <w:sz w:val="20"/>
              </w:rPr>
              <w:t> </w:t>
            </w:r>
            <w:r>
              <w:rPr>
                <w:sz w:val="20"/>
              </w:rPr>
              <w:t>D47.7,</w:t>
            </w:r>
            <w:r>
              <w:rPr>
                <w:spacing w:val="-6"/>
                <w:sz w:val="20"/>
              </w:rPr>
              <w:t> </w:t>
            </w:r>
            <w:r>
              <w:rPr>
                <w:spacing w:val="-4"/>
                <w:sz w:val="20"/>
              </w:rPr>
              <w:t>D47.9</w:t>
            </w:r>
          </w:p>
        </w:tc>
        <w:tc>
          <w:tcPr>
            <w:tcW w:w="3491" w:type="dxa"/>
          </w:tcPr>
          <w:p>
            <w:pPr>
              <w:pStyle w:val="TableParagraph"/>
              <w:rPr>
                <w:sz w:val="18"/>
              </w:rPr>
            </w:pPr>
          </w:p>
        </w:tc>
        <w:tc>
          <w:tcPr>
            <w:tcW w:w="2367" w:type="dxa"/>
          </w:tcPr>
          <w:p>
            <w:pPr>
              <w:pStyle w:val="TableParagraph"/>
              <w:rPr>
                <w:sz w:val="18"/>
              </w:rPr>
            </w:pPr>
          </w:p>
        </w:tc>
        <w:tc>
          <w:tcPr>
            <w:tcW w:w="864"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st09</w:t>
            </w:r>
          </w:p>
        </w:tc>
        <w:tc>
          <w:tcPr>
            <w:tcW w:w="657" w:type="dxa"/>
          </w:tcPr>
          <w:p>
            <w:pPr>
              <w:pStyle w:val="TableParagraph"/>
              <w:spacing w:before="45"/>
              <w:ind w:left="15"/>
              <w:jc w:val="center"/>
              <w:rPr>
                <w:sz w:val="20"/>
              </w:rPr>
            </w:pPr>
            <w:r>
              <w:rPr>
                <w:w w:val="99"/>
                <w:sz w:val="20"/>
              </w:rPr>
              <w:t>9</w:t>
            </w:r>
          </w:p>
        </w:tc>
        <w:tc>
          <w:tcPr>
            <w:tcW w:w="2547" w:type="dxa"/>
          </w:tcPr>
          <w:p>
            <w:pPr>
              <w:pStyle w:val="TableParagraph"/>
              <w:rPr>
                <w:sz w:val="18"/>
              </w:rPr>
            </w:pPr>
          </w:p>
        </w:tc>
        <w:tc>
          <w:tcPr>
            <w:tcW w:w="7873" w:type="dxa"/>
            <w:gridSpan w:val="2"/>
          </w:tcPr>
          <w:p>
            <w:pPr>
              <w:pStyle w:val="TableParagraph"/>
              <w:spacing w:before="45"/>
              <w:ind w:left="2568" w:right="2794"/>
              <w:jc w:val="center"/>
              <w:rPr>
                <w:sz w:val="20"/>
              </w:rPr>
            </w:pPr>
            <w:r>
              <w:rPr>
                <w:w w:val="95"/>
                <w:sz w:val="20"/>
              </w:rPr>
              <w:t>Детская</w:t>
            </w:r>
            <w:r>
              <w:rPr>
                <w:spacing w:val="61"/>
                <w:sz w:val="20"/>
              </w:rPr>
              <w:t> </w:t>
            </w:r>
            <w:r>
              <w:rPr>
                <w:w w:val="95"/>
                <w:sz w:val="20"/>
              </w:rPr>
              <w:t>урология-</w:t>
            </w:r>
            <w:r>
              <w:rPr>
                <w:spacing w:val="-2"/>
                <w:w w:val="95"/>
                <w:sz w:val="20"/>
              </w:rPr>
              <w:t>андрология</w:t>
            </w:r>
          </w:p>
        </w:tc>
        <w:tc>
          <w:tcPr>
            <w:tcW w:w="2367" w:type="dxa"/>
          </w:tcPr>
          <w:p>
            <w:pPr>
              <w:pStyle w:val="TableParagraph"/>
              <w:rPr>
                <w:sz w:val="18"/>
              </w:rPr>
            </w:pPr>
          </w:p>
        </w:tc>
        <w:tc>
          <w:tcPr>
            <w:tcW w:w="864" w:type="dxa"/>
          </w:tcPr>
          <w:p>
            <w:pPr>
              <w:pStyle w:val="TableParagraph"/>
              <w:spacing w:before="45"/>
              <w:ind w:right="53"/>
              <w:jc w:val="right"/>
              <w:rPr>
                <w:sz w:val="20"/>
              </w:rPr>
            </w:pPr>
            <w:r>
              <w:rPr>
                <w:spacing w:val="-4"/>
                <w:sz w:val="20"/>
              </w:rPr>
              <w:t>1,15</w:t>
            </w: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st09.001</w:t>
            </w:r>
          </w:p>
        </w:tc>
        <w:tc>
          <w:tcPr>
            <w:tcW w:w="657" w:type="dxa"/>
          </w:tcPr>
          <w:p>
            <w:pPr>
              <w:pStyle w:val="TableParagraph"/>
              <w:spacing w:line="214" w:lineRule="exact" w:before="46"/>
              <w:ind w:left="222" w:right="205"/>
              <w:jc w:val="center"/>
              <w:rPr>
                <w:sz w:val="20"/>
              </w:rPr>
            </w:pPr>
            <w:r>
              <w:rPr>
                <w:spacing w:val="-5"/>
                <w:sz w:val="20"/>
              </w:rPr>
              <w:t>37</w:t>
            </w:r>
          </w:p>
        </w:tc>
        <w:tc>
          <w:tcPr>
            <w:tcW w:w="2547"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4382" w:type="dxa"/>
          </w:tcPr>
          <w:p>
            <w:pPr>
              <w:pStyle w:val="TableParagraph"/>
              <w:spacing w:line="214" w:lineRule="exact" w:before="46"/>
              <w:ind w:left="12"/>
              <w:jc w:val="center"/>
              <w:rPr>
                <w:sz w:val="20"/>
              </w:rPr>
            </w:pPr>
            <w:r>
              <w:rPr>
                <w:w w:val="99"/>
                <w:sz w:val="20"/>
              </w:rPr>
              <w:t>-</w:t>
            </w:r>
          </w:p>
        </w:tc>
        <w:tc>
          <w:tcPr>
            <w:tcW w:w="3491" w:type="dxa"/>
          </w:tcPr>
          <w:p>
            <w:pPr>
              <w:pStyle w:val="TableParagraph"/>
              <w:spacing w:line="214" w:lineRule="exact" w:before="46"/>
              <w:ind w:left="153" w:right="252"/>
              <w:jc w:val="center"/>
              <w:rPr>
                <w:sz w:val="20"/>
              </w:rPr>
            </w:pPr>
            <w:r>
              <w:rPr>
                <w:sz w:val="20"/>
              </w:rPr>
              <w:t>A11.21.002,</w:t>
            </w:r>
            <w:r>
              <w:rPr>
                <w:spacing w:val="-7"/>
                <w:sz w:val="20"/>
              </w:rPr>
              <w:t> </w:t>
            </w:r>
            <w:r>
              <w:rPr>
                <w:sz w:val="20"/>
              </w:rPr>
              <w:t>A11.21.003,</w:t>
            </w:r>
            <w:r>
              <w:rPr>
                <w:spacing w:val="-10"/>
                <w:sz w:val="20"/>
              </w:rPr>
              <w:t> </w:t>
            </w:r>
            <w:r>
              <w:rPr>
                <w:spacing w:val="-2"/>
                <w:sz w:val="20"/>
              </w:rPr>
              <w:t>A11.21.005,</w:t>
            </w:r>
          </w:p>
        </w:tc>
        <w:tc>
          <w:tcPr>
            <w:tcW w:w="2367" w:type="dxa"/>
          </w:tcPr>
          <w:p>
            <w:pPr>
              <w:pStyle w:val="TableParagraph"/>
              <w:spacing w:line="214" w:lineRule="exact" w:before="46"/>
              <w:ind w:left="246"/>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53"/>
              <w:jc w:val="right"/>
              <w:rPr>
                <w:sz w:val="20"/>
              </w:rPr>
            </w:pPr>
            <w:r>
              <w:rPr>
                <w:spacing w:val="-4"/>
                <w:sz w:val="20"/>
              </w:rPr>
              <w:t>0,97</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09"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4382" w:type="dxa"/>
          </w:tcPr>
          <w:p>
            <w:pPr>
              <w:pStyle w:val="TableParagraph"/>
              <w:rPr>
                <w:sz w:val="16"/>
              </w:rPr>
            </w:pPr>
          </w:p>
        </w:tc>
        <w:tc>
          <w:tcPr>
            <w:tcW w:w="3491" w:type="dxa"/>
          </w:tcPr>
          <w:p>
            <w:pPr>
              <w:pStyle w:val="TableParagraph"/>
              <w:spacing w:line="209" w:lineRule="exact"/>
              <w:ind w:left="151" w:right="252"/>
              <w:jc w:val="center"/>
              <w:rPr>
                <w:sz w:val="20"/>
              </w:rPr>
            </w:pPr>
            <w:r>
              <w:rPr>
                <w:sz w:val="20"/>
              </w:rPr>
              <w:t>A16.21.008,</w:t>
            </w:r>
            <w:r>
              <w:rPr>
                <w:spacing w:val="-9"/>
                <w:sz w:val="20"/>
              </w:rPr>
              <w:t> </w:t>
            </w:r>
            <w:r>
              <w:rPr>
                <w:sz w:val="20"/>
              </w:rPr>
              <w:t>A16.21.009,</w:t>
            </w:r>
            <w:r>
              <w:rPr>
                <w:spacing w:val="-10"/>
                <w:sz w:val="20"/>
              </w:rPr>
              <w:t> </w:t>
            </w:r>
            <w:r>
              <w:rPr>
                <w:spacing w:val="-2"/>
                <w:sz w:val="20"/>
              </w:rPr>
              <w:t>A16.21.010,</w:t>
            </w:r>
          </w:p>
        </w:tc>
        <w:tc>
          <w:tcPr>
            <w:tcW w:w="2367" w:type="dxa"/>
          </w:tcPr>
          <w:p>
            <w:pPr>
              <w:pStyle w:val="TableParagraph"/>
              <w:spacing w:line="209" w:lineRule="exact"/>
              <w:ind w:left="263"/>
              <w:rPr>
                <w:sz w:val="20"/>
              </w:rPr>
            </w:pPr>
            <w:r>
              <w:rPr>
                <w:sz w:val="20"/>
              </w:rPr>
              <w:t>от</w:t>
            </w:r>
            <w:r>
              <w:rPr>
                <w:spacing w:val="-3"/>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z w:val="20"/>
              </w:rPr>
              <w:t>(уровень</w:t>
            </w:r>
            <w:r>
              <w:rPr>
                <w:spacing w:val="-11"/>
                <w:sz w:val="20"/>
              </w:rPr>
              <w:t> </w:t>
            </w:r>
            <w:r>
              <w:rPr>
                <w:spacing w:val="-5"/>
                <w:sz w:val="20"/>
              </w:rPr>
              <w:t>1)</w:t>
            </w:r>
          </w:p>
        </w:tc>
        <w:tc>
          <w:tcPr>
            <w:tcW w:w="4382" w:type="dxa"/>
          </w:tcPr>
          <w:p>
            <w:pPr>
              <w:pStyle w:val="TableParagraph"/>
              <w:rPr>
                <w:sz w:val="16"/>
              </w:rPr>
            </w:pPr>
          </w:p>
        </w:tc>
        <w:tc>
          <w:tcPr>
            <w:tcW w:w="3491" w:type="dxa"/>
          </w:tcPr>
          <w:p>
            <w:pPr>
              <w:pStyle w:val="TableParagraph"/>
              <w:spacing w:line="210" w:lineRule="exact"/>
              <w:ind w:left="153" w:right="252"/>
              <w:jc w:val="center"/>
              <w:rPr>
                <w:sz w:val="20"/>
              </w:rPr>
            </w:pPr>
            <w:r>
              <w:rPr>
                <w:w w:val="95"/>
                <w:sz w:val="20"/>
              </w:rPr>
              <w:t>A16.21.010.001,</w:t>
            </w:r>
            <w:r>
              <w:rPr>
                <w:spacing w:val="54"/>
                <w:sz w:val="20"/>
              </w:rPr>
              <w:t> </w:t>
            </w:r>
            <w:r>
              <w:rPr>
                <w:spacing w:val="-2"/>
                <w:sz w:val="20"/>
              </w:rPr>
              <w:t>A16.21.011,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10" w:lineRule="exact"/>
              <w:ind w:left="153" w:right="251"/>
              <w:jc w:val="center"/>
              <w:rPr>
                <w:sz w:val="20"/>
              </w:rPr>
            </w:pPr>
            <w:r>
              <w:rPr>
                <w:sz w:val="20"/>
              </w:rPr>
              <w:t>A16.21.012,</w:t>
            </w:r>
            <w:r>
              <w:rPr>
                <w:spacing w:val="-8"/>
                <w:sz w:val="20"/>
              </w:rPr>
              <w:t> </w:t>
            </w:r>
            <w:r>
              <w:rPr>
                <w:sz w:val="20"/>
              </w:rPr>
              <w:t>A16.21.013,</w:t>
            </w:r>
            <w:r>
              <w:rPr>
                <w:spacing w:val="-9"/>
                <w:sz w:val="20"/>
              </w:rPr>
              <w:t> </w:t>
            </w:r>
            <w:r>
              <w:rPr>
                <w:spacing w:val="-2"/>
                <w:sz w:val="20"/>
              </w:rPr>
              <w:t>A16.21.017,</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10" w:lineRule="exact"/>
              <w:ind w:left="151" w:right="252"/>
              <w:jc w:val="center"/>
              <w:rPr>
                <w:sz w:val="20"/>
              </w:rPr>
            </w:pPr>
            <w:r>
              <w:rPr>
                <w:sz w:val="20"/>
              </w:rPr>
              <w:t>A16.21.023,</w:t>
            </w:r>
            <w:r>
              <w:rPr>
                <w:spacing w:val="-9"/>
                <w:sz w:val="20"/>
              </w:rPr>
              <w:t> </w:t>
            </w:r>
            <w:r>
              <w:rPr>
                <w:sz w:val="20"/>
              </w:rPr>
              <w:t>A16.21.024,</w:t>
            </w:r>
            <w:r>
              <w:rPr>
                <w:spacing w:val="-10"/>
                <w:sz w:val="20"/>
              </w:rPr>
              <w:t> </w:t>
            </w:r>
            <w:r>
              <w:rPr>
                <w:spacing w:val="-2"/>
                <w:sz w:val="20"/>
              </w:rPr>
              <w:t>A16.21.025,</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10" w:lineRule="exact"/>
              <w:ind w:left="151" w:right="252"/>
              <w:jc w:val="center"/>
              <w:rPr>
                <w:sz w:val="20"/>
              </w:rPr>
            </w:pPr>
            <w:r>
              <w:rPr>
                <w:sz w:val="20"/>
              </w:rPr>
              <w:t>A16.21.031,</w:t>
            </w:r>
            <w:r>
              <w:rPr>
                <w:spacing w:val="-9"/>
                <w:sz w:val="20"/>
              </w:rPr>
              <w:t> </w:t>
            </w:r>
            <w:r>
              <w:rPr>
                <w:sz w:val="20"/>
              </w:rPr>
              <w:t>A16.21.032,</w:t>
            </w:r>
            <w:r>
              <w:rPr>
                <w:spacing w:val="-10"/>
                <w:sz w:val="20"/>
              </w:rPr>
              <w:t> </w:t>
            </w:r>
            <w:r>
              <w:rPr>
                <w:spacing w:val="-2"/>
                <w:sz w:val="20"/>
              </w:rPr>
              <w:t>A16.21.034,</w:t>
            </w: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05" w:lineRule="exact"/>
              <w:ind w:left="153" w:right="250"/>
              <w:jc w:val="center"/>
              <w:rPr>
                <w:sz w:val="20"/>
              </w:rPr>
            </w:pPr>
            <w:r>
              <w:rPr>
                <w:sz w:val="20"/>
              </w:rPr>
              <w:t>A16.21.035,</w:t>
            </w:r>
            <w:r>
              <w:rPr>
                <w:spacing w:val="-9"/>
                <w:sz w:val="20"/>
              </w:rPr>
              <w:t> </w:t>
            </w:r>
            <w:r>
              <w:rPr>
                <w:spacing w:val="-2"/>
                <w:sz w:val="20"/>
              </w:rPr>
              <w:t>A16.21.037,</w:t>
            </w: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51"/>
        <w:gridCol w:w="2380"/>
        <w:gridCol w:w="4487"/>
        <w:gridCol w:w="2365"/>
        <w:gridCol w:w="864"/>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51" w:type="dxa"/>
            <w:vMerge w:val="restart"/>
          </w:tcPr>
          <w:p>
            <w:pPr>
              <w:pStyle w:val="TableParagraph"/>
              <w:rPr>
                <w:sz w:val="18"/>
              </w:rPr>
            </w:pPr>
          </w:p>
        </w:tc>
        <w:tc>
          <w:tcPr>
            <w:tcW w:w="2380" w:type="dxa"/>
            <w:vMerge w:val="restart"/>
          </w:tcPr>
          <w:p>
            <w:pPr>
              <w:pStyle w:val="TableParagraph"/>
              <w:rPr>
                <w:sz w:val="18"/>
              </w:rPr>
            </w:pPr>
          </w:p>
        </w:tc>
        <w:tc>
          <w:tcPr>
            <w:tcW w:w="4487" w:type="dxa"/>
          </w:tcPr>
          <w:p>
            <w:pPr>
              <w:pStyle w:val="TableParagraph"/>
              <w:spacing w:line="205" w:lineRule="exact"/>
              <w:ind w:left="1147" w:right="250"/>
              <w:jc w:val="center"/>
              <w:rPr>
                <w:sz w:val="20"/>
              </w:rPr>
            </w:pPr>
            <w:r>
              <w:rPr>
                <w:w w:val="95"/>
                <w:sz w:val="20"/>
              </w:rPr>
              <w:t>A16.21.037.001,</w:t>
            </w:r>
            <w:r>
              <w:rPr>
                <w:spacing w:val="54"/>
                <w:sz w:val="20"/>
              </w:rPr>
              <w:t> </w:t>
            </w:r>
            <w:r>
              <w:rPr>
                <w:spacing w:val="-2"/>
                <w:sz w:val="20"/>
              </w:rPr>
              <w:t>A16.21.037.002,</w:t>
            </w:r>
          </w:p>
        </w:tc>
        <w:tc>
          <w:tcPr>
            <w:tcW w:w="2365"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7" w:type="dxa"/>
          </w:tcPr>
          <w:p>
            <w:pPr>
              <w:pStyle w:val="TableParagraph"/>
              <w:spacing w:line="209" w:lineRule="exact"/>
              <w:ind w:left="1148" w:right="250"/>
              <w:jc w:val="center"/>
              <w:rPr>
                <w:sz w:val="20"/>
              </w:rPr>
            </w:pPr>
            <w:r>
              <w:rPr>
                <w:w w:val="95"/>
                <w:sz w:val="20"/>
              </w:rPr>
              <w:t>A16.21.037.003,</w:t>
            </w:r>
            <w:r>
              <w:rPr>
                <w:spacing w:val="54"/>
                <w:sz w:val="20"/>
              </w:rPr>
              <w:t> </w:t>
            </w:r>
            <w:r>
              <w:rPr>
                <w:spacing w:val="-2"/>
                <w:sz w:val="20"/>
              </w:rPr>
              <w:t>A16.21.038,</w:t>
            </w:r>
          </w:p>
        </w:tc>
        <w:tc>
          <w:tcPr>
            <w:tcW w:w="2365"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7" w:type="dxa"/>
          </w:tcPr>
          <w:p>
            <w:pPr>
              <w:pStyle w:val="TableParagraph"/>
              <w:spacing w:line="209" w:lineRule="exact"/>
              <w:ind w:left="1146" w:right="250"/>
              <w:jc w:val="center"/>
              <w:rPr>
                <w:sz w:val="20"/>
              </w:rPr>
            </w:pPr>
            <w:r>
              <w:rPr>
                <w:sz w:val="20"/>
              </w:rPr>
              <w:t>A16.21.039,</w:t>
            </w:r>
            <w:r>
              <w:rPr>
                <w:spacing w:val="-9"/>
                <w:sz w:val="20"/>
              </w:rPr>
              <w:t> </w:t>
            </w:r>
            <w:r>
              <w:rPr>
                <w:sz w:val="20"/>
              </w:rPr>
              <w:t>A16.21.040,</w:t>
            </w:r>
            <w:r>
              <w:rPr>
                <w:spacing w:val="-10"/>
                <w:sz w:val="20"/>
              </w:rPr>
              <w:t> </w:t>
            </w:r>
            <w:r>
              <w:rPr>
                <w:spacing w:val="-2"/>
                <w:sz w:val="20"/>
              </w:rPr>
              <w:t>A16.21.043,</w:t>
            </w:r>
          </w:p>
        </w:tc>
        <w:tc>
          <w:tcPr>
            <w:tcW w:w="2365"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7" w:type="dxa"/>
          </w:tcPr>
          <w:p>
            <w:pPr>
              <w:pStyle w:val="TableParagraph"/>
              <w:spacing w:line="226" w:lineRule="exact"/>
              <w:ind w:left="1150" w:right="248"/>
              <w:jc w:val="center"/>
              <w:rPr>
                <w:sz w:val="20"/>
              </w:rPr>
            </w:pPr>
            <w:r>
              <w:rPr>
                <w:spacing w:val="-2"/>
                <w:sz w:val="20"/>
              </w:rPr>
              <w:t>A16.21.048</w:t>
            </w:r>
          </w:p>
        </w:tc>
        <w:tc>
          <w:tcPr>
            <w:tcW w:w="2365"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50"/>
              <w:rPr>
                <w:sz w:val="20"/>
              </w:rPr>
            </w:pPr>
            <w:r>
              <w:rPr>
                <w:spacing w:val="-2"/>
                <w:sz w:val="20"/>
              </w:rPr>
              <w:t>st09.002</w:t>
            </w:r>
          </w:p>
        </w:tc>
        <w:tc>
          <w:tcPr>
            <w:tcW w:w="657" w:type="dxa"/>
          </w:tcPr>
          <w:p>
            <w:pPr>
              <w:pStyle w:val="TableParagraph"/>
              <w:spacing w:line="215" w:lineRule="exact" w:before="46"/>
              <w:ind w:right="217"/>
              <w:jc w:val="right"/>
              <w:rPr>
                <w:sz w:val="20"/>
              </w:rPr>
            </w:pPr>
            <w:r>
              <w:rPr>
                <w:spacing w:val="-5"/>
                <w:sz w:val="20"/>
              </w:rPr>
              <w:t>38</w:t>
            </w:r>
          </w:p>
        </w:tc>
        <w:tc>
          <w:tcPr>
            <w:tcW w:w="3551"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380" w:type="dxa"/>
          </w:tcPr>
          <w:p>
            <w:pPr>
              <w:pStyle w:val="TableParagraph"/>
              <w:spacing w:line="215" w:lineRule="exact" w:before="46"/>
              <w:ind w:left="6"/>
              <w:jc w:val="center"/>
              <w:rPr>
                <w:sz w:val="20"/>
              </w:rPr>
            </w:pPr>
            <w:r>
              <w:rPr>
                <w:w w:val="99"/>
                <w:sz w:val="20"/>
              </w:rPr>
              <w:t>-</w:t>
            </w:r>
          </w:p>
        </w:tc>
        <w:tc>
          <w:tcPr>
            <w:tcW w:w="4487" w:type="dxa"/>
          </w:tcPr>
          <w:p>
            <w:pPr>
              <w:pStyle w:val="TableParagraph"/>
              <w:spacing w:line="215" w:lineRule="exact" w:before="46"/>
              <w:ind w:left="1150" w:right="249"/>
              <w:jc w:val="center"/>
              <w:rPr>
                <w:sz w:val="20"/>
              </w:rPr>
            </w:pPr>
            <w:r>
              <w:rPr>
                <w:sz w:val="20"/>
              </w:rPr>
              <w:t>A11.21.005.001,</w:t>
            </w:r>
            <w:r>
              <w:rPr>
                <w:spacing w:val="-10"/>
                <w:sz w:val="20"/>
              </w:rPr>
              <w:t> </w:t>
            </w:r>
            <w:r>
              <w:rPr>
                <w:spacing w:val="-2"/>
                <w:sz w:val="20"/>
              </w:rPr>
              <w:t>A16.21.001,</w:t>
            </w:r>
          </w:p>
        </w:tc>
        <w:tc>
          <w:tcPr>
            <w:tcW w:w="2365" w:type="dxa"/>
          </w:tcPr>
          <w:p>
            <w:pPr>
              <w:pStyle w:val="TableParagraph"/>
              <w:spacing w:line="215"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9"/>
              <w:jc w:val="right"/>
              <w:rPr>
                <w:sz w:val="20"/>
              </w:rPr>
            </w:pPr>
            <w:r>
              <w:rPr>
                <w:spacing w:val="-4"/>
                <w:sz w:val="20"/>
              </w:rPr>
              <w:t>1,11</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2380" w:type="dxa"/>
          </w:tcPr>
          <w:p>
            <w:pPr>
              <w:pStyle w:val="TableParagraph"/>
              <w:rPr>
                <w:sz w:val="16"/>
              </w:rPr>
            </w:pPr>
          </w:p>
        </w:tc>
        <w:tc>
          <w:tcPr>
            <w:tcW w:w="4487" w:type="dxa"/>
          </w:tcPr>
          <w:p>
            <w:pPr>
              <w:pStyle w:val="TableParagraph"/>
              <w:spacing w:line="209" w:lineRule="exact"/>
              <w:ind w:left="1150" w:right="247"/>
              <w:jc w:val="center"/>
              <w:rPr>
                <w:sz w:val="20"/>
              </w:rPr>
            </w:pPr>
            <w:r>
              <w:rPr>
                <w:sz w:val="20"/>
              </w:rPr>
              <w:t>A16.21.007,</w:t>
            </w:r>
            <w:r>
              <w:rPr>
                <w:spacing w:val="-7"/>
                <w:sz w:val="20"/>
              </w:rPr>
              <w:t> </w:t>
            </w:r>
            <w:r>
              <w:rPr>
                <w:spacing w:val="-2"/>
                <w:sz w:val="20"/>
              </w:rPr>
              <w:t>A16.21.015,</w:t>
            </w:r>
          </w:p>
        </w:tc>
        <w:tc>
          <w:tcPr>
            <w:tcW w:w="2365" w:type="dxa"/>
          </w:tcPr>
          <w:p>
            <w:pPr>
              <w:pStyle w:val="TableParagraph"/>
              <w:spacing w:line="209"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(уровень</w:t>
            </w:r>
            <w:r>
              <w:rPr>
                <w:spacing w:val="-11"/>
                <w:sz w:val="20"/>
              </w:rPr>
              <w:t> </w:t>
            </w:r>
            <w:r>
              <w:rPr>
                <w:spacing w:val="-5"/>
                <w:sz w:val="20"/>
              </w:rPr>
              <w:t>2)</w:t>
            </w: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w w:val="95"/>
                <w:sz w:val="20"/>
              </w:rPr>
              <w:t>A16.21.015.001,</w:t>
            </w:r>
            <w:r>
              <w:rPr>
                <w:spacing w:val="54"/>
                <w:sz w:val="20"/>
              </w:rPr>
              <w:t> </w:t>
            </w:r>
            <w:r>
              <w:rPr>
                <w:spacing w:val="-2"/>
                <w:sz w:val="20"/>
              </w:rPr>
              <w:t>A16.21.016,</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1" w:lineRule="exact"/>
              <w:ind w:left="1146" w:right="250"/>
              <w:jc w:val="center"/>
              <w:rPr>
                <w:sz w:val="20"/>
              </w:rPr>
            </w:pPr>
            <w:r>
              <w:rPr>
                <w:sz w:val="20"/>
              </w:rPr>
              <w:t>A16.21.018,</w:t>
            </w:r>
            <w:r>
              <w:rPr>
                <w:spacing w:val="-9"/>
                <w:sz w:val="20"/>
              </w:rPr>
              <w:t> </w:t>
            </w:r>
            <w:r>
              <w:rPr>
                <w:sz w:val="20"/>
              </w:rPr>
              <w:t>A16.21.021,</w:t>
            </w:r>
            <w:r>
              <w:rPr>
                <w:spacing w:val="-10"/>
                <w:sz w:val="20"/>
              </w:rPr>
              <w:t> </w:t>
            </w:r>
            <w:r>
              <w:rPr>
                <w:spacing w:val="-2"/>
                <w:sz w:val="20"/>
              </w:rPr>
              <w:t>A16.21.022,</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6" w:right="250"/>
              <w:jc w:val="center"/>
              <w:rPr>
                <w:sz w:val="20"/>
              </w:rPr>
            </w:pPr>
            <w:r>
              <w:rPr>
                <w:sz w:val="20"/>
              </w:rPr>
              <w:t>A16.21.027,</w:t>
            </w:r>
            <w:r>
              <w:rPr>
                <w:spacing w:val="-9"/>
                <w:sz w:val="20"/>
              </w:rPr>
              <w:t> </w:t>
            </w:r>
            <w:r>
              <w:rPr>
                <w:sz w:val="20"/>
              </w:rPr>
              <w:t>A16.21.028,</w:t>
            </w:r>
            <w:r>
              <w:rPr>
                <w:spacing w:val="-10"/>
                <w:sz w:val="20"/>
              </w:rPr>
              <w:t> </w:t>
            </w:r>
            <w:r>
              <w:rPr>
                <w:spacing w:val="-2"/>
                <w:sz w:val="20"/>
              </w:rPr>
              <w:t>A16.21.033,</w:t>
            </w:r>
          </w:p>
        </w:tc>
        <w:tc>
          <w:tcPr>
            <w:tcW w:w="2365" w:type="dxa"/>
          </w:tcPr>
          <w:p>
            <w:pPr>
              <w:pStyle w:val="TableParagraph"/>
              <w:rPr>
                <w:sz w:val="16"/>
              </w:rPr>
            </w:pPr>
          </w:p>
        </w:tc>
        <w:tc>
          <w:tcPr>
            <w:tcW w:w="864"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6" w:lineRule="exact"/>
              <w:ind w:left="1150" w:right="247"/>
              <w:jc w:val="center"/>
              <w:rPr>
                <w:sz w:val="20"/>
              </w:rPr>
            </w:pPr>
            <w:r>
              <w:rPr>
                <w:sz w:val="20"/>
              </w:rPr>
              <w:t>A16.21.044,</w:t>
            </w:r>
            <w:r>
              <w:rPr>
                <w:spacing w:val="-9"/>
                <w:sz w:val="20"/>
              </w:rPr>
              <w:t> </w:t>
            </w:r>
            <w:r>
              <w:rPr>
                <w:sz w:val="20"/>
              </w:rPr>
              <w:t>A16.21.045,</w:t>
            </w:r>
            <w:r>
              <w:rPr>
                <w:spacing w:val="-6"/>
                <w:sz w:val="20"/>
              </w:rPr>
              <w:t> </w:t>
            </w:r>
            <w:r>
              <w:rPr>
                <w:spacing w:val="-2"/>
                <w:sz w:val="20"/>
              </w:rPr>
              <w:t>A16.21.047</w:t>
            </w:r>
          </w:p>
        </w:tc>
        <w:tc>
          <w:tcPr>
            <w:tcW w:w="2365"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st09.003</w:t>
            </w:r>
          </w:p>
        </w:tc>
        <w:tc>
          <w:tcPr>
            <w:tcW w:w="657" w:type="dxa"/>
          </w:tcPr>
          <w:p>
            <w:pPr>
              <w:pStyle w:val="TableParagraph"/>
              <w:spacing w:line="215" w:lineRule="exact" w:before="45"/>
              <w:ind w:right="217"/>
              <w:jc w:val="right"/>
              <w:rPr>
                <w:sz w:val="20"/>
              </w:rPr>
            </w:pPr>
            <w:r>
              <w:rPr>
                <w:spacing w:val="-5"/>
                <w:sz w:val="20"/>
              </w:rPr>
              <w:t>39</w:t>
            </w:r>
          </w:p>
        </w:tc>
        <w:tc>
          <w:tcPr>
            <w:tcW w:w="3551" w:type="dxa"/>
          </w:tcPr>
          <w:p>
            <w:pPr>
              <w:pStyle w:val="TableParagraph"/>
              <w:spacing w:line="215" w:lineRule="exact" w:before="45"/>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380" w:type="dxa"/>
          </w:tcPr>
          <w:p>
            <w:pPr>
              <w:pStyle w:val="TableParagraph"/>
              <w:spacing w:line="215" w:lineRule="exact" w:before="45"/>
              <w:ind w:left="6"/>
              <w:jc w:val="center"/>
              <w:rPr>
                <w:sz w:val="20"/>
              </w:rPr>
            </w:pPr>
            <w:r>
              <w:rPr>
                <w:w w:val="99"/>
                <w:sz w:val="20"/>
              </w:rPr>
              <w:t>-</w:t>
            </w:r>
          </w:p>
        </w:tc>
        <w:tc>
          <w:tcPr>
            <w:tcW w:w="4487" w:type="dxa"/>
          </w:tcPr>
          <w:p>
            <w:pPr>
              <w:pStyle w:val="TableParagraph"/>
              <w:spacing w:line="215" w:lineRule="exact" w:before="45"/>
              <w:ind w:left="1150" w:right="250"/>
              <w:jc w:val="center"/>
              <w:rPr>
                <w:sz w:val="20"/>
              </w:rPr>
            </w:pPr>
            <w:r>
              <w:rPr>
                <w:sz w:val="20"/>
              </w:rPr>
              <w:t>A16.21.003,</w:t>
            </w:r>
            <w:r>
              <w:rPr>
                <w:spacing w:val="-7"/>
                <w:sz w:val="20"/>
              </w:rPr>
              <w:t> </w:t>
            </w:r>
            <w:r>
              <w:rPr>
                <w:sz w:val="20"/>
              </w:rPr>
              <w:t>A16.21.004,</w:t>
            </w:r>
            <w:r>
              <w:rPr>
                <w:spacing w:val="-8"/>
                <w:sz w:val="20"/>
              </w:rPr>
              <w:t> </w:t>
            </w:r>
            <w:r>
              <w:rPr>
                <w:spacing w:val="-2"/>
                <w:sz w:val="20"/>
              </w:rPr>
              <w:t>A16.21.006,</w:t>
            </w:r>
          </w:p>
        </w:tc>
        <w:tc>
          <w:tcPr>
            <w:tcW w:w="2365" w:type="dxa"/>
          </w:tcPr>
          <w:p>
            <w:pPr>
              <w:pStyle w:val="TableParagraph"/>
              <w:spacing w:line="215" w:lineRule="exact" w:before="45"/>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1,97</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2380" w:type="dxa"/>
          </w:tcPr>
          <w:p>
            <w:pPr>
              <w:pStyle w:val="TableParagraph"/>
              <w:rPr>
                <w:sz w:val="16"/>
              </w:rPr>
            </w:pPr>
          </w:p>
        </w:tc>
        <w:tc>
          <w:tcPr>
            <w:tcW w:w="4487" w:type="dxa"/>
          </w:tcPr>
          <w:p>
            <w:pPr>
              <w:pStyle w:val="TableParagraph"/>
              <w:spacing w:line="210" w:lineRule="exact"/>
              <w:ind w:left="1150" w:right="250"/>
              <w:jc w:val="center"/>
              <w:rPr>
                <w:sz w:val="20"/>
              </w:rPr>
            </w:pPr>
            <w:r>
              <w:rPr>
                <w:sz w:val="20"/>
              </w:rPr>
              <w:t>A16.21.006.001,</w:t>
            </w:r>
            <w:r>
              <w:rPr>
                <w:spacing w:val="-10"/>
                <w:sz w:val="20"/>
              </w:rPr>
              <w:t> </w:t>
            </w:r>
            <w:r>
              <w:rPr>
                <w:spacing w:val="-2"/>
                <w:sz w:val="20"/>
              </w:rPr>
              <w:t>A16.21.006.002,</w:t>
            </w:r>
          </w:p>
        </w:tc>
        <w:tc>
          <w:tcPr>
            <w:tcW w:w="2365" w:type="dxa"/>
          </w:tcPr>
          <w:p>
            <w:pPr>
              <w:pStyle w:val="TableParagraph"/>
              <w:spacing w:line="210"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(уровень</w:t>
            </w:r>
            <w:r>
              <w:rPr>
                <w:spacing w:val="-11"/>
                <w:sz w:val="20"/>
              </w:rPr>
              <w:t> </w:t>
            </w:r>
            <w:r>
              <w:rPr>
                <w:spacing w:val="-5"/>
                <w:sz w:val="20"/>
              </w:rPr>
              <w:t>3)</w:t>
            </w:r>
          </w:p>
        </w:tc>
        <w:tc>
          <w:tcPr>
            <w:tcW w:w="2380" w:type="dxa"/>
          </w:tcPr>
          <w:p>
            <w:pPr>
              <w:pStyle w:val="TableParagraph"/>
              <w:rPr>
                <w:sz w:val="16"/>
              </w:rPr>
            </w:pPr>
          </w:p>
        </w:tc>
        <w:tc>
          <w:tcPr>
            <w:tcW w:w="4487" w:type="dxa"/>
          </w:tcPr>
          <w:p>
            <w:pPr>
              <w:pStyle w:val="TableParagraph"/>
              <w:spacing w:line="210" w:lineRule="exact"/>
              <w:ind w:left="1147" w:right="250"/>
              <w:jc w:val="center"/>
              <w:rPr>
                <w:sz w:val="20"/>
              </w:rPr>
            </w:pPr>
            <w:r>
              <w:rPr>
                <w:w w:val="95"/>
                <w:sz w:val="20"/>
              </w:rPr>
              <w:t>A16.21.006.003,</w:t>
            </w:r>
            <w:r>
              <w:rPr>
                <w:spacing w:val="54"/>
                <w:sz w:val="20"/>
              </w:rPr>
              <w:t> </w:t>
            </w:r>
            <w:r>
              <w:rPr>
                <w:spacing w:val="-2"/>
                <w:sz w:val="20"/>
              </w:rPr>
              <w:t>A16.21.006.006,</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8" w:right="250"/>
              <w:jc w:val="center"/>
              <w:rPr>
                <w:sz w:val="20"/>
              </w:rPr>
            </w:pPr>
            <w:r>
              <w:rPr>
                <w:sz w:val="20"/>
              </w:rPr>
              <w:t>A16.21.019,</w:t>
            </w:r>
            <w:r>
              <w:rPr>
                <w:spacing w:val="-9"/>
                <w:sz w:val="20"/>
              </w:rPr>
              <w:t> </w:t>
            </w:r>
            <w:r>
              <w:rPr>
                <w:spacing w:val="-2"/>
                <w:sz w:val="20"/>
              </w:rPr>
              <w:t>A16.21.019.001,</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7" w:right="250"/>
              <w:jc w:val="center"/>
              <w:rPr>
                <w:sz w:val="20"/>
              </w:rPr>
            </w:pPr>
            <w:r>
              <w:rPr>
                <w:w w:val="95"/>
                <w:sz w:val="20"/>
              </w:rPr>
              <w:t>A16.21.019.002,</w:t>
            </w:r>
            <w:r>
              <w:rPr>
                <w:spacing w:val="54"/>
                <w:sz w:val="20"/>
              </w:rPr>
              <w:t> </w:t>
            </w:r>
            <w:r>
              <w:rPr>
                <w:spacing w:val="-2"/>
                <w:sz w:val="20"/>
              </w:rPr>
              <w:t>A16.21.019.003,</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6" w:right="250"/>
              <w:jc w:val="center"/>
              <w:rPr>
                <w:sz w:val="20"/>
              </w:rPr>
            </w:pPr>
            <w:r>
              <w:rPr>
                <w:sz w:val="20"/>
              </w:rPr>
              <w:t>A16.21.029,</w:t>
            </w:r>
            <w:r>
              <w:rPr>
                <w:spacing w:val="-9"/>
                <w:sz w:val="20"/>
              </w:rPr>
              <w:t> </w:t>
            </w:r>
            <w:r>
              <w:rPr>
                <w:sz w:val="20"/>
              </w:rPr>
              <w:t>A16.21.030,</w:t>
            </w:r>
            <w:r>
              <w:rPr>
                <w:spacing w:val="-10"/>
                <w:sz w:val="20"/>
              </w:rPr>
              <w:t> </w:t>
            </w:r>
            <w:r>
              <w:rPr>
                <w:spacing w:val="-2"/>
                <w:sz w:val="20"/>
              </w:rPr>
              <w:t>A16.21.036,</w:t>
            </w:r>
          </w:p>
        </w:tc>
        <w:tc>
          <w:tcPr>
            <w:tcW w:w="2365" w:type="dxa"/>
          </w:tcPr>
          <w:p>
            <w:pPr>
              <w:pStyle w:val="TableParagraph"/>
              <w:rPr>
                <w:sz w:val="16"/>
              </w:rPr>
            </w:pPr>
          </w:p>
        </w:tc>
        <w:tc>
          <w:tcPr>
            <w:tcW w:w="864"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4" w:lineRule="exact"/>
              <w:ind w:left="1148" w:right="250"/>
              <w:jc w:val="center"/>
              <w:rPr>
                <w:sz w:val="20"/>
              </w:rPr>
            </w:pPr>
            <w:r>
              <w:rPr>
                <w:sz w:val="20"/>
              </w:rPr>
              <w:t>A16.21.042,</w:t>
            </w:r>
            <w:r>
              <w:rPr>
                <w:spacing w:val="-9"/>
                <w:sz w:val="20"/>
              </w:rPr>
              <w:t> </w:t>
            </w:r>
            <w:r>
              <w:rPr>
                <w:sz w:val="20"/>
              </w:rPr>
              <w:t>A16.21.046,</w:t>
            </w:r>
            <w:r>
              <w:rPr>
                <w:spacing w:val="-10"/>
                <w:sz w:val="20"/>
              </w:rPr>
              <w:t> </w:t>
            </w:r>
            <w:r>
              <w:rPr>
                <w:spacing w:val="-2"/>
                <w:sz w:val="20"/>
              </w:rPr>
              <w:t>A24.21.003</w:t>
            </w:r>
          </w:p>
        </w:tc>
        <w:tc>
          <w:tcPr>
            <w:tcW w:w="2365" w:type="dxa"/>
          </w:tcPr>
          <w:p>
            <w:pPr>
              <w:pStyle w:val="TableParagraph"/>
              <w:rPr>
                <w:sz w:val="18"/>
              </w:rPr>
            </w:pPr>
          </w:p>
        </w:tc>
        <w:tc>
          <w:tcPr>
            <w:tcW w:w="864"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st09.004</w:t>
            </w:r>
          </w:p>
        </w:tc>
        <w:tc>
          <w:tcPr>
            <w:tcW w:w="657" w:type="dxa"/>
          </w:tcPr>
          <w:p>
            <w:pPr>
              <w:pStyle w:val="TableParagraph"/>
              <w:spacing w:line="215" w:lineRule="exact" w:before="46"/>
              <w:ind w:right="217"/>
              <w:jc w:val="right"/>
              <w:rPr>
                <w:sz w:val="20"/>
              </w:rPr>
            </w:pPr>
            <w:r>
              <w:rPr>
                <w:spacing w:val="-5"/>
                <w:sz w:val="20"/>
              </w:rPr>
              <w:t>40</w:t>
            </w:r>
          </w:p>
        </w:tc>
        <w:tc>
          <w:tcPr>
            <w:tcW w:w="3551"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380" w:type="dxa"/>
          </w:tcPr>
          <w:p>
            <w:pPr>
              <w:pStyle w:val="TableParagraph"/>
              <w:spacing w:line="215" w:lineRule="exact" w:before="46"/>
              <w:ind w:left="6"/>
              <w:jc w:val="center"/>
              <w:rPr>
                <w:sz w:val="20"/>
              </w:rPr>
            </w:pPr>
            <w:r>
              <w:rPr>
                <w:w w:val="99"/>
                <w:sz w:val="20"/>
              </w:rPr>
              <w:t>-</w:t>
            </w:r>
          </w:p>
        </w:tc>
        <w:tc>
          <w:tcPr>
            <w:tcW w:w="4487" w:type="dxa"/>
          </w:tcPr>
          <w:p>
            <w:pPr>
              <w:pStyle w:val="TableParagraph"/>
              <w:spacing w:line="215" w:lineRule="exact" w:before="46"/>
              <w:ind w:left="1325" w:right="426"/>
              <w:jc w:val="center"/>
              <w:rPr>
                <w:sz w:val="20"/>
              </w:rPr>
            </w:pPr>
            <w:r>
              <w:rPr>
                <w:sz w:val="20"/>
              </w:rPr>
              <w:t>A16.21.002,</w:t>
            </w:r>
            <w:r>
              <w:rPr>
                <w:spacing w:val="-7"/>
                <w:sz w:val="20"/>
              </w:rPr>
              <w:t> </w:t>
            </w:r>
            <w:r>
              <w:rPr>
                <w:spacing w:val="-2"/>
                <w:sz w:val="20"/>
              </w:rPr>
              <w:t>A16.21.002.001,</w:t>
            </w:r>
          </w:p>
        </w:tc>
        <w:tc>
          <w:tcPr>
            <w:tcW w:w="2365" w:type="dxa"/>
          </w:tcPr>
          <w:p>
            <w:pPr>
              <w:pStyle w:val="TableParagraph"/>
              <w:spacing w:line="215"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9"/>
              <w:jc w:val="right"/>
              <w:rPr>
                <w:sz w:val="20"/>
              </w:rPr>
            </w:pPr>
            <w:r>
              <w:rPr>
                <w:spacing w:val="-4"/>
                <w:sz w:val="20"/>
              </w:rPr>
              <w:t>2,78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2380" w:type="dxa"/>
          </w:tcPr>
          <w:p>
            <w:pPr>
              <w:pStyle w:val="TableParagraph"/>
              <w:rPr>
                <w:sz w:val="16"/>
              </w:rPr>
            </w:pPr>
          </w:p>
        </w:tc>
        <w:tc>
          <w:tcPr>
            <w:tcW w:w="4487" w:type="dxa"/>
          </w:tcPr>
          <w:p>
            <w:pPr>
              <w:pStyle w:val="TableParagraph"/>
              <w:spacing w:line="210" w:lineRule="exact"/>
              <w:ind w:left="1150" w:right="248"/>
              <w:jc w:val="center"/>
              <w:rPr>
                <w:sz w:val="20"/>
              </w:rPr>
            </w:pPr>
            <w:r>
              <w:rPr>
                <w:sz w:val="20"/>
              </w:rPr>
              <w:t>A16.21.005,</w:t>
            </w:r>
            <w:r>
              <w:rPr>
                <w:spacing w:val="-7"/>
                <w:sz w:val="20"/>
              </w:rPr>
              <w:t> </w:t>
            </w:r>
            <w:r>
              <w:rPr>
                <w:spacing w:val="-2"/>
                <w:sz w:val="20"/>
              </w:rPr>
              <w:t>A16.21.006.005,</w:t>
            </w:r>
          </w:p>
        </w:tc>
        <w:tc>
          <w:tcPr>
            <w:tcW w:w="2365" w:type="dxa"/>
          </w:tcPr>
          <w:p>
            <w:pPr>
              <w:pStyle w:val="TableParagraph"/>
              <w:spacing w:line="210"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(уровень</w:t>
            </w:r>
            <w:r>
              <w:rPr>
                <w:spacing w:val="-11"/>
                <w:sz w:val="20"/>
              </w:rPr>
              <w:t> </w:t>
            </w:r>
            <w:r>
              <w:rPr>
                <w:spacing w:val="-5"/>
                <w:sz w:val="20"/>
              </w:rPr>
              <w:t>4)</w:t>
            </w: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A16.21.014,</w:t>
            </w:r>
            <w:r>
              <w:rPr>
                <w:spacing w:val="-9"/>
                <w:sz w:val="20"/>
              </w:rPr>
              <w:t> </w:t>
            </w:r>
            <w:r>
              <w:rPr>
                <w:spacing w:val="-2"/>
                <w:sz w:val="20"/>
              </w:rPr>
              <w:t>A16.21.014.001,</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w w:val="95"/>
                <w:sz w:val="20"/>
              </w:rPr>
              <w:t>A16.21.014.002,</w:t>
            </w:r>
            <w:r>
              <w:rPr>
                <w:spacing w:val="54"/>
                <w:sz w:val="20"/>
              </w:rPr>
              <w:t> </w:t>
            </w:r>
            <w:r>
              <w:rPr>
                <w:spacing w:val="-2"/>
                <w:sz w:val="20"/>
              </w:rPr>
              <w:t>A16.21.041,</w:t>
            </w:r>
          </w:p>
        </w:tc>
        <w:tc>
          <w:tcPr>
            <w:tcW w:w="2365" w:type="dxa"/>
          </w:tcPr>
          <w:p>
            <w:pPr>
              <w:pStyle w:val="TableParagraph"/>
              <w:rPr>
                <w:sz w:val="16"/>
              </w:rPr>
            </w:pPr>
          </w:p>
        </w:tc>
        <w:tc>
          <w:tcPr>
            <w:tcW w:w="864"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6" w:lineRule="exact"/>
              <w:ind w:left="1147" w:right="250"/>
              <w:jc w:val="center"/>
              <w:rPr>
                <w:sz w:val="20"/>
              </w:rPr>
            </w:pPr>
            <w:r>
              <w:rPr>
                <w:w w:val="95"/>
                <w:sz w:val="20"/>
              </w:rPr>
              <w:t>A16.21.041.001,</w:t>
            </w:r>
            <w:r>
              <w:rPr>
                <w:spacing w:val="54"/>
                <w:sz w:val="20"/>
              </w:rPr>
              <w:t> </w:t>
            </w:r>
            <w:r>
              <w:rPr>
                <w:spacing w:val="-2"/>
                <w:sz w:val="20"/>
              </w:rPr>
              <w:t>A16.21.049</w:t>
            </w:r>
          </w:p>
        </w:tc>
        <w:tc>
          <w:tcPr>
            <w:tcW w:w="2365"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st09.005</w:t>
            </w:r>
          </w:p>
        </w:tc>
        <w:tc>
          <w:tcPr>
            <w:tcW w:w="657" w:type="dxa"/>
          </w:tcPr>
          <w:p>
            <w:pPr>
              <w:pStyle w:val="TableParagraph"/>
              <w:spacing w:line="214" w:lineRule="exact" w:before="46"/>
              <w:ind w:right="217"/>
              <w:jc w:val="right"/>
              <w:rPr>
                <w:sz w:val="20"/>
              </w:rPr>
            </w:pPr>
            <w:r>
              <w:rPr>
                <w:spacing w:val="-5"/>
                <w:sz w:val="20"/>
              </w:rPr>
              <w:t>41</w:t>
            </w:r>
          </w:p>
        </w:tc>
        <w:tc>
          <w:tcPr>
            <w:tcW w:w="3551"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4" w:lineRule="exact" w:before="46"/>
              <w:ind w:left="6"/>
              <w:jc w:val="center"/>
              <w:rPr>
                <w:sz w:val="20"/>
              </w:rPr>
            </w:pPr>
            <w:r>
              <w:rPr>
                <w:w w:val="99"/>
                <w:sz w:val="20"/>
              </w:rPr>
              <w:t>-</w:t>
            </w:r>
          </w:p>
        </w:tc>
        <w:tc>
          <w:tcPr>
            <w:tcW w:w="4487" w:type="dxa"/>
          </w:tcPr>
          <w:p>
            <w:pPr>
              <w:pStyle w:val="TableParagraph"/>
              <w:spacing w:line="214" w:lineRule="exact" w:before="46"/>
              <w:ind w:left="1150" w:right="250"/>
              <w:jc w:val="center"/>
              <w:rPr>
                <w:sz w:val="20"/>
              </w:rPr>
            </w:pPr>
            <w:r>
              <w:rPr>
                <w:sz w:val="20"/>
              </w:rPr>
              <w:t>A03.28.001,</w:t>
            </w:r>
            <w:r>
              <w:rPr>
                <w:spacing w:val="-7"/>
                <w:sz w:val="20"/>
              </w:rPr>
              <w:t> </w:t>
            </w:r>
            <w:r>
              <w:rPr>
                <w:sz w:val="20"/>
              </w:rPr>
              <w:t>A03.28.002,</w:t>
            </w:r>
            <w:r>
              <w:rPr>
                <w:spacing w:val="-8"/>
                <w:sz w:val="20"/>
              </w:rPr>
              <w:t> </w:t>
            </w:r>
            <w:r>
              <w:rPr>
                <w:spacing w:val="-2"/>
                <w:sz w:val="20"/>
              </w:rPr>
              <w:t>A03.28.003,</w:t>
            </w:r>
          </w:p>
        </w:tc>
        <w:tc>
          <w:tcPr>
            <w:tcW w:w="2365" w:type="dxa"/>
          </w:tcPr>
          <w:p>
            <w:pPr>
              <w:pStyle w:val="TableParagraph"/>
              <w:spacing w:line="214"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1,15</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2380" w:type="dxa"/>
          </w:tcPr>
          <w:p>
            <w:pPr>
              <w:pStyle w:val="TableParagraph"/>
              <w:rPr>
                <w:sz w:val="16"/>
              </w:rPr>
            </w:pPr>
          </w:p>
        </w:tc>
        <w:tc>
          <w:tcPr>
            <w:tcW w:w="4487" w:type="dxa"/>
          </w:tcPr>
          <w:p>
            <w:pPr>
              <w:pStyle w:val="TableParagraph"/>
              <w:spacing w:line="209" w:lineRule="exact"/>
              <w:ind w:left="1147" w:right="250"/>
              <w:jc w:val="center"/>
              <w:rPr>
                <w:sz w:val="20"/>
              </w:rPr>
            </w:pPr>
            <w:r>
              <w:rPr>
                <w:sz w:val="20"/>
              </w:rPr>
              <w:t>A03.28.004,</w:t>
            </w:r>
            <w:r>
              <w:rPr>
                <w:spacing w:val="-9"/>
                <w:sz w:val="20"/>
              </w:rPr>
              <w:t> </w:t>
            </w:r>
            <w:r>
              <w:rPr>
                <w:sz w:val="20"/>
              </w:rPr>
              <w:t>A06.28.003,</w:t>
            </w:r>
            <w:r>
              <w:rPr>
                <w:spacing w:val="-9"/>
                <w:sz w:val="20"/>
              </w:rPr>
              <w:t> </w:t>
            </w:r>
            <w:r>
              <w:rPr>
                <w:spacing w:val="-2"/>
                <w:sz w:val="20"/>
              </w:rPr>
              <w:t>A06.28.004,</w:t>
            </w:r>
          </w:p>
        </w:tc>
        <w:tc>
          <w:tcPr>
            <w:tcW w:w="2365" w:type="dxa"/>
          </w:tcPr>
          <w:p>
            <w:pPr>
              <w:pStyle w:val="TableParagraph"/>
              <w:spacing w:line="209"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1)</w:t>
            </w:r>
          </w:p>
        </w:tc>
        <w:tc>
          <w:tcPr>
            <w:tcW w:w="2380" w:type="dxa"/>
          </w:tcPr>
          <w:p>
            <w:pPr>
              <w:pStyle w:val="TableParagraph"/>
              <w:rPr>
                <w:sz w:val="16"/>
              </w:rPr>
            </w:pPr>
          </w:p>
        </w:tc>
        <w:tc>
          <w:tcPr>
            <w:tcW w:w="4487" w:type="dxa"/>
          </w:tcPr>
          <w:p>
            <w:pPr>
              <w:pStyle w:val="TableParagraph"/>
              <w:spacing w:line="210" w:lineRule="exact"/>
              <w:ind w:left="1146" w:right="250"/>
              <w:jc w:val="center"/>
              <w:rPr>
                <w:sz w:val="20"/>
              </w:rPr>
            </w:pPr>
            <w:r>
              <w:rPr>
                <w:sz w:val="20"/>
              </w:rPr>
              <w:t>A06.28.012,</w:t>
            </w:r>
            <w:r>
              <w:rPr>
                <w:spacing w:val="-9"/>
                <w:sz w:val="20"/>
              </w:rPr>
              <w:t> </w:t>
            </w:r>
            <w:r>
              <w:rPr>
                <w:sz w:val="20"/>
              </w:rPr>
              <w:t>A11.28.001,</w:t>
            </w:r>
            <w:r>
              <w:rPr>
                <w:spacing w:val="-10"/>
                <w:sz w:val="20"/>
              </w:rPr>
              <w:t> </w:t>
            </w:r>
            <w:r>
              <w:rPr>
                <w:spacing w:val="-2"/>
                <w:sz w:val="20"/>
              </w:rPr>
              <w:t>A11.28.002,</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7" w:right="250"/>
              <w:jc w:val="center"/>
              <w:rPr>
                <w:sz w:val="20"/>
              </w:rPr>
            </w:pPr>
            <w:r>
              <w:rPr>
                <w:w w:val="95"/>
                <w:sz w:val="20"/>
              </w:rPr>
              <w:t>A16.28.013.001,</w:t>
            </w:r>
            <w:r>
              <w:rPr>
                <w:spacing w:val="54"/>
                <w:sz w:val="20"/>
              </w:rPr>
              <w:t> </w:t>
            </w:r>
            <w:r>
              <w:rPr>
                <w:spacing w:val="-2"/>
                <w:sz w:val="20"/>
              </w:rPr>
              <w:t>A16.28.013.002,</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1" w:lineRule="exact"/>
              <w:ind w:left="1150" w:right="250"/>
              <w:jc w:val="center"/>
              <w:rPr>
                <w:sz w:val="20"/>
              </w:rPr>
            </w:pPr>
            <w:r>
              <w:rPr>
                <w:sz w:val="20"/>
              </w:rPr>
              <w:t>A16.28.025,</w:t>
            </w:r>
            <w:r>
              <w:rPr>
                <w:spacing w:val="-9"/>
                <w:sz w:val="20"/>
              </w:rPr>
              <w:t> </w:t>
            </w:r>
            <w:r>
              <w:rPr>
                <w:spacing w:val="-2"/>
                <w:sz w:val="20"/>
              </w:rPr>
              <w:t>A16.28.035,</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1" w:lineRule="exact"/>
              <w:ind w:left="1148" w:right="250"/>
              <w:jc w:val="center"/>
              <w:rPr>
                <w:sz w:val="20"/>
              </w:rPr>
            </w:pPr>
            <w:r>
              <w:rPr>
                <w:w w:val="95"/>
                <w:sz w:val="20"/>
              </w:rPr>
              <w:t>A16.28.035.001,</w:t>
            </w:r>
            <w:r>
              <w:rPr>
                <w:spacing w:val="54"/>
                <w:sz w:val="20"/>
              </w:rPr>
              <w:t> </w:t>
            </w:r>
            <w:r>
              <w:rPr>
                <w:spacing w:val="-2"/>
                <w:sz w:val="20"/>
              </w:rPr>
              <w:t>A16.28.040,</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A16.28.043,</w:t>
            </w:r>
            <w:r>
              <w:rPr>
                <w:spacing w:val="-9"/>
                <w:sz w:val="20"/>
              </w:rPr>
              <w:t> </w:t>
            </w:r>
            <w:r>
              <w:rPr>
                <w:spacing w:val="-2"/>
                <w:sz w:val="20"/>
              </w:rPr>
              <w:t>A16.28.045.004,</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A16.28.051,</w:t>
            </w:r>
            <w:r>
              <w:rPr>
                <w:spacing w:val="-9"/>
                <w:sz w:val="20"/>
              </w:rPr>
              <w:t> </w:t>
            </w:r>
            <w:r>
              <w:rPr>
                <w:spacing w:val="-2"/>
                <w:sz w:val="20"/>
              </w:rPr>
              <w:t>A16.28.072.001,</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6" w:right="250"/>
              <w:jc w:val="center"/>
              <w:rPr>
                <w:sz w:val="20"/>
              </w:rPr>
            </w:pPr>
            <w:r>
              <w:rPr>
                <w:sz w:val="20"/>
              </w:rPr>
              <w:t>A16.28.077,</w:t>
            </w:r>
            <w:r>
              <w:rPr>
                <w:spacing w:val="-9"/>
                <w:sz w:val="20"/>
              </w:rPr>
              <w:t> </w:t>
            </w:r>
            <w:r>
              <w:rPr>
                <w:sz w:val="20"/>
              </w:rPr>
              <w:t>A16.28.079,</w:t>
            </w:r>
            <w:r>
              <w:rPr>
                <w:spacing w:val="-10"/>
                <w:sz w:val="20"/>
              </w:rPr>
              <w:t> </w:t>
            </w:r>
            <w:r>
              <w:rPr>
                <w:spacing w:val="-2"/>
                <w:sz w:val="20"/>
              </w:rPr>
              <w:t>A16.28.086,</w:t>
            </w:r>
          </w:p>
        </w:tc>
        <w:tc>
          <w:tcPr>
            <w:tcW w:w="2365" w:type="dxa"/>
          </w:tcPr>
          <w:p>
            <w:pPr>
              <w:pStyle w:val="TableParagraph"/>
              <w:rPr>
                <w:sz w:val="16"/>
              </w:rPr>
            </w:pPr>
          </w:p>
        </w:tc>
        <w:tc>
          <w:tcPr>
            <w:tcW w:w="864"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6" w:lineRule="exact"/>
              <w:ind w:left="1148" w:right="250"/>
              <w:jc w:val="center"/>
              <w:rPr>
                <w:sz w:val="20"/>
              </w:rPr>
            </w:pPr>
            <w:r>
              <w:rPr>
                <w:w w:val="95"/>
                <w:sz w:val="20"/>
              </w:rPr>
              <w:t>A16.28.086.001,</w:t>
            </w:r>
            <w:r>
              <w:rPr>
                <w:spacing w:val="55"/>
                <w:sz w:val="20"/>
              </w:rPr>
              <w:t> </w:t>
            </w:r>
            <w:r>
              <w:rPr>
                <w:spacing w:val="-2"/>
                <w:sz w:val="20"/>
              </w:rPr>
              <w:t>A16.28.087</w:t>
            </w:r>
          </w:p>
        </w:tc>
        <w:tc>
          <w:tcPr>
            <w:tcW w:w="2365"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st09.006</w:t>
            </w:r>
          </w:p>
        </w:tc>
        <w:tc>
          <w:tcPr>
            <w:tcW w:w="657" w:type="dxa"/>
          </w:tcPr>
          <w:p>
            <w:pPr>
              <w:pStyle w:val="TableParagraph"/>
              <w:spacing w:line="214" w:lineRule="exact" w:before="46"/>
              <w:ind w:right="217"/>
              <w:jc w:val="right"/>
              <w:rPr>
                <w:sz w:val="20"/>
              </w:rPr>
            </w:pPr>
            <w:r>
              <w:rPr>
                <w:spacing w:val="-5"/>
                <w:sz w:val="20"/>
              </w:rPr>
              <w:t>42</w:t>
            </w:r>
          </w:p>
        </w:tc>
        <w:tc>
          <w:tcPr>
            <w:tcW w:w="3551"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4" w:lineRule="exact" w:before="46"/>
              <w:ind w:left="6"/>
              <w:jc w:val="center"/>
              <w:rPr>
                <w:sz w:val="20"/>
              </w:rPr>
            </w:pPr>
            <w:r>
              <w:rPr>
                <w:w w:val="99"/>
                <w:sz w:val="20"/>
              </w:rPr>
              <w:t>-</w:t>
            </w:r>
          </w:p>
        </w:tc>
        <w:tc>
          <w:tcPr>
            <w:tcW w:w="4487" w:type="dxa"/>
          </w:tcPr>
          <w:p>
            <w:pPr>
              <w:pStyle w:val="TableParagraph"/>
              <w:spacing w:line="214" w:lineRule="exact" w:before="46"/>
              <w:ind w:left="1150" w:right="250"/>
              <w:jc w:val="center"/>
              <w:rPr>
                <w:sz w:val="20"/>
              </w:rPr>
            </w:pPr>
            <w:r>
              <w:rPr>
                <w:sz w:val="20"/>
              </w:rPr>
              <w:t>A03.28.001.001,</w:t>
            </w:r>
            <w:r>
              <w:rPr>
                <w:spacing w:val="-10"/>
                <w:sz w:val="20"/>
              </w:rPr>
              <w:t> </w:t>
            </w:r>
            <w:r>
              <w:rPr>
                <w:spacing w:val="-2"/>
                <w:sz w:val="20"/>
              </w:rPr>
              <w:t>A03.28.001.002,</w:t>
            </w:r>
          </w:p>
        </w:tc>
        <w:tc>
          <w:tcPr>
            <w:tcW w:w="2365" w:type="dxa"/>
          </w:tcPr>
          <w:p>
            <w:pPr>
              <w:pStyle w:val="TableParagraph"/>
              <w:spacing w:line="214"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1,22</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2380" w:type="dxa"/>
          </w:tcPr>
          <w:p>
            <w:pPr>
              <w:pStyle w:val="TableParagraph"/>
              <w:rPr>
                <w:sz w:val="16"/>
              </w:rPr>
            </w:pPr>
          </w:p>
        </w:tc>
        <w:tc>
          <w:tcPr>
            <w:tcW w:w="4487" w:type="dxa"/>
          </w:tcPr>
          <w:p>
            <w:pPr>
              <w:pStyle w:val="TableParagraph"/>
              <w:spacing w:line="209" w:lineRule="exact"/>
              <w:ind w:left="1325" w:right="426"/>
              <w:jc w:val="center"/>
              <w:rPr>
                <w:sz w:val="20"/>
              </w:rPr>
            </w:pPr>
            <w:r>
              <w:rPr>
                <w:w w:val="95"/>
                <w:sz w:val="20"/>
              </w:rPr>
              <w:t>A11.28.001.001,</w:t>
            </w:r>
            <w:r>
              <w:rPr>
                <w:spacing w:val="56"/>
                <w:sz w:val="20"/>
              </w:rPr>
              <w:t> </w:t>
            </w:r>
            <w:r>
              <w:rPr>
                <w:spacing w:val="-2"/>
                <w:sz w:val="20"/>
              </w:rPr>
              <w:t>A11.28.011,</w:t>
            </w:r>
          </w:p>
        </w:tc>
        <w:tc>
          <w:tcPr>
            <w:tcW w:w="2365" w:type="dxa"/>
          </w:tcPr>
          <w:p>
            <w:pPr>
              <w:pStyle w:val="TableParagraph"/>
              <w:spacing w:line="209"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5"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2)</w:t>
            </w:r>
          </w:p>
        </w:tc>
        <w:tc>
          <w:tcPr>
            <w:tcW w:w="2380" w:type="dxa"/>
          </w:tcPr>
          <w:p>
            <w:pPr>
              <w:pStyle w:val="TableParagraph"/>
              <w:rPr>
                <w:sz w:val="16"/>
              </w:rPr>
            </w:pPr>
          </w:p>
        </w:tc>
        <w:tc>
          <w:tcPr>
            <w:tcW w:w="4487" w:type="dxa"/>
          </w:tcPr>
          <w:p>
            <w:pPr>
              <w:pStyle w:val="TableParagraph"/>
              <w:spacing w:line="205" w:lineRule="exact"/>
              <w:ind w:left="1146" w:right="250"/>
              <w:jc w:val="center"/>
              <w:rPr>
                <w:sz w:val="20"/>
              </w:rPr>
            </w:pPr>
            <w:r>
              <w:rPr>
                <w:sz w:val="20"/>
              </w:rPr>
              <w:t>A11.28.012,</w:t>
            </w:r>
            <w:r>
              <w:rPr>
                <w:spacing w:val="-9"/>
                <w:sz w:val="20"/>
              </w:rPr>
              <w:t> </w:t>
            </w:r>
            <w:r>
              <w:rPr>
                <w:sz w:val="20"/>
              </w:rPr>
              <w:t>A11.28.013,</w:t>
            </w:r>
            <w:r>
              <w:rPr>
                <w:spacing w:val="-10"/>
                <w:sz w:val="20"/>
              </w:rPr>
              <w:t> </w:t>
            </w:r>
            <w:r>
              <w:rPr>
                <w:spacing w:val="-2"/>
                <w:sz w:val="20"/>
              </w:rPr>
              <w:t>A16.28.006,</w:t>
            </w:r>
          </w:p>
        </w:tc>
        <w:tc>
          <w:tcPr>
            <w:tcW w:w="2365"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51"/>
        <w:gridCol w:w="2380"/>
        <w:gridCol w:w="4486"/>
        <w:gridCol w:w="2366"/>
        <w:gridCol w:w="864"/>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51" w:type="dxa"/>
            <w:vMerge w:val="restart"/>
          </w:tcPr>
          <w:p>
            <w:pPr>
              <w:pStyle w:val="TableParagraph"/>
              <w:rPr>
                <w:sz w:val="18"/>
              </w:rPr>
            </w:pPr>
          </w:p>
        </w:tc>
        <w:tc>
          <w:tcPr>
            <w:tcW w:w="2380" w:type="dxa"/>
            <w:vMerge w:val="restart"/>
          </w:tcPr>
          <w:p>
            <w:pPr>
              <w:pStyle w:val="TableParagraph"/>
              <w:rPr>
                <w:sz w:val="18"/>
              </w:rPr>
            </w:pPr>
          </w:p>
        </w:tc>
        <w:tc>
          <w:tcPr>
            <w:tcW w:w="4486" w:type="dxa"/>
          </w:tcPr>
          <w:p>
            <w:pPr>
              <w:pStyle w:val="TableParagraph"/>
              <w:spacing w:line="205" w:lineRule="exact"/>
              <w:ind w:left="1150" w:right="248"/>
              <w:jc w:val="center"/>
              <w:rPr>
                <w:sz w:val="20"/>
              </w:rPr>
            </w:pPr>
            <w:r>
              <w:rPr>
                <w:sz w:val="20"/>
              </w:rPr>
              <w:t>A16.28.009,</w:t>
            </w:r>
            <w:r>
              <w:rPr>
                <w:spacing w:val="-9"/>
                <w:sz w:val="20"/>
              </w:rPr>
              <w:t> </w:t>
            </w:r>
            <w:r>
              <w:rPr>
                <w:spacing w:val="-2"/>
                <w:sz w:val="20"/>
              </w:rPr>
              <w:t>A16.28.010.002,</w:t>
            </w:r>
          </w:p>
        </w:tc>
        <w:tc>
          <w:tcPr>
            <w:tcW w:w="2366"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09" w:lineRule="exact"/>
              <w:ind w:left="1147" w:right="250"/>
              <w:jc w:val="center"/>
              <w:rPr>
                <w:sz w:val="20"/>
              </w:rPr>
            </w:pPr>
            <w:r>
              <w:rPr>
                <w:sz w:val="20"/>
              </w:rPr>
              <w:t>A16.28.011,</w:t>
            </w:r>
            <w:r>
              <w:rPr>
                <w:spacing w:val="-9"/>
                <w:sz w:val="20"/>
              </w:rPr>
              <w:t> </w:t>
            </w:r>
            <w:r>
              <w:rPr>
                <w:sz w:val="20"/>
              </w:rPr>
              <w:t>A16.28.012,</w:t>
            </w:r>
            <w:r>
              <w:rPr>
                <w:spacing w:val="-10"/>
                <w:sz w:val="20"/>
              </w:rPr>
              <w:t> </w:t>
            </w:r>
            <w:r>
              <w:rPr>
                <w:spacing w:val="-2"/>
                <w:sz w:val="20"/>
              </w:rPr>
              <w:t>A16.28.014,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09" w:lineRule="exact"/>
              <w:ind w:left="1147" w:right="250"/>
              <w:jc w:val="center"/>
              <w:rPr>
                <w:sz w:val="20"/>
              </w:rPr>
            </w:pPr>
            <w:r>
              <w:rPr>
                <w:sz w:val="20"/>
              </w:rPr>
              <w:t>A16.28.015,</w:t>
            </w:r>
            <w:r>
              <w:rPr>
                <w:spacing w:val="-9"/>
                <w:sz w:val="20"/>
              </w:rPr>
              <w:t> </w:t>
            </w:r>
            <w:r>
              <w:rPr>
                <w:sz w:val="20"/>
              </w:rPr>
              <w:t>A16.28.017,</w:t>
            </w:r>
            <w:r>
              <w:rPr>
                <w:spacing w:val="-10"/>
                <w:sz w:val="20"/>
              </w:rPr>
              <w:t> </w:t>
            </w:r>
            <w:r>
              <w:rPr>
                <w:spacing w:val="-2"/>
                <w:sz w:val="20"/>
              </w:rPr>
              <w:t>A16.28.023,</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A16.28.024,</w:t>
            </w:r>
            <w:r>
              <w:rPr>
                <w:spacing w:val="-9"/>
                <w:sz w:val="20"/>
              </w:rPr>
              <w:t> </w:t>
            </w:r>
            <w:r>
              <w:rPr>
                <w:sz w:val="20"/>
              </w:rPr>
              <w:t>A16.28.033,</w:t>
            </w:r>
            <w:r>
              <w:rPr>
                <w:spacing w:val="-10"/>
                <w:sz w:val="20"/>
              </w:rPr>
              <w:t> </w:t>
            </w:r>
            <w:r>
              <w:rPr>
                <w:spacing w:val="-2"/>
                <w:sz w:val="20"/>
              </w:rPr>
              <w:t>A16.28.034,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A16.28.036,</w:t>
            </w:r>
            <w:r>
              <w:rPr>
                <w:spacing w:val="-9"/>
                <w:sz w:val="20"/>
              </w:rPr>
              <w:t> </w:t>
            </w:r>
            <w:r>
              <w:rPr>
                <w:sz w:val="20"/>
              </w:rPr>
              <w:t>A16.28.037,</w:t>
            </w:r>
            <w:r>
              <w:rPr>
                <w:spacing w:val="-10"/>
                <w:sz w:val="20"/>
              </w:rPr>
              <w:t> </w:t>
            </w:r>
            <w:r>
              <w:rPr>
                <w:spacing w:val="-2"/>
                <w:sz w:val="20"/>
              </w:rPr>
              <w:t>A16.28.039,</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A16.28.044,</w:t>
            </w:r>
            <w:r>
              <w:rPr>
                <w:spacing w:val="-9"/>
                <w:sz w:val="20"/>
              </w:rPr>
              <w:t> </w:t>
            </w:r>
            <w:r>
              <w:rPr>
                <w:sz w:val="20"/>
              </w:rPr>
              <w:t>A16.28.045,</w:t>
            </w:r>
            <w:r>
              <w:rPr>
                <w:spacing w:val="-10"/>
                <w:sz w:val="20"/>
              </w:rPr>
              <w:t> </w:t>
            </w:r>
            <w:r>
              <w:rPr>
                <w:spacing w:val="-2"/>
                <w:sz w:val="20"/>
              </w:rPr>
              <w:t>A16.28.046,</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1" w:lineRule="exact"/>
              <w:ind w:left="1147" w:right="250"/>
              <w:jc w:val="center"/>
              <w:rPr>
                <w:sz w:val="20"/>
              </w:rPr>
            </w:pPr>
            <w:r>
              <w:rPr>
                <w:sz w:val="20"/>
              </w:rPr>
              <w:t>A16.28.052,</w:t>
            </w:r>
            <w:r>
              <w:rPr>
                <w:spacing w:val="-9"/>
                <w:sz w:val="20"/>
              </w:rPr>
              <w:t> </w:t>
            </w:r>
            <w:r>
              <w:rPr>
                <w:sz w:val="20"/>
              </w:rPr>
              <w:t>A16.28.053,</w:t>
            </w:r>
            <w:r>
              <w:rPr>
                <w:spacing w:val="-10"/>
                <w:sz w:val="20"/>
              </w:rPr>
              <w:t> </w:t>
            </w:r>
            <w:r>
              <w:rPr>
                <w:spacing w:val="-2"/>
                <w:sz w:val="20"/>
              </w:rPr>
              <w:t>A16.28.054,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50" w:right="248"/>
              <w:jc w:val="center"/>
              <w:rPr>
                <w:sz w:val="20"/>
              </w:rPr>
            </w:pPr>
            <w:r>
              <w:rPr>
                <w:sz w:val="20"/>
              </w:rPr>
              <w:t>A16.28.058,</w:t>
            </w:r>
            <w:r>
              <w:rPr>
                <w:spacing w:val="-9"/>
                <w:sz w:val="20"/>
              </w:rPr>
              <w:t> </w:t>
            </w:r>
            <w:r>
              <w:rPr>
                <w:sz w:val="20"/>
              </w:rPr>
              <w:t>A16.28.060,</w:t>
            </w:r>
            <w:r>
              <w:rPr>
                <w:spacing w:val="-10"/>
                <w:sz w:val="20"/>
              </w:rPr>
              <w:t> </w:t>
            </w:r>
            <w:r>
              <w:rPr>
                <w:spacing w:val="-2"/>
                <w:sz w:val="20"/>
              </w:rPr>
              <w:t>A16.28.071,</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09" w:lineRule="exact"/>
              <w:ind w:left="1150" w:right="249"/>
              <w:jc w:val="center"/>
              <w:rPr>
                <w:sz w:val="20"/>
              </w:rPr>
            </w:pPr>
            <w:r>
              <w:rPr>
                <w:sz w:val="20"/>
              </w:rPr>
              <w:t>A16.28.072,</w:t>
            </w:r>
            <w:r>
              <w:rPr>
                <w:spacing w:val="-9"/>
                <w:sz w:val="20"/>
              </w:rPr>
              <w:t> </w:t>
            </w:r>
            <w:r>
              <w:rPr>
                <w:spacing w:val="-2"/>
                <w:sz w:val="20"/>
              </w:rPr>
              <w:t>A16.28.074,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9" w:right="250"/>
              <w:jc w:val="center"/>
              <w:rPr>
                <w:sz w:val="20"/>
              </w:rPr>
            </w:pPr>
            <w:r>
              <w:rPr>
                <w:w w:val="95"/>
                <w:sz w:val="20"/>
              </w:rPr>
              <w:t>A16.28.075.001,</w:t>
            </w:r>
            <w:r>
              <w:rPr>
                <w:spacing w:val="54"/>
                <w:sz w:val="20"/>
              </w:rPr>
              <w:t> </w:t>
            </w:r>
            <w:r>
              <w:rPr>
                <w:spacing w:val="-2"/>
                <w:sz w:val="20"/>
              </w:rPr>
              <w:t>A16.28.076,</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A16.28.082,</w:t>
            </w:r>
            <w:r>
              <w:rPr>
                <w:spacing w:val="-9"/>
                <w:sz w:val="20"/>
              </w:rPr>
              <w:t> </w:t>
            </w:r>
            <w:r>
              <w:rPr>
                <w:sz w:val="20"/>
              </w:rPr>
              <w:t>A16.28.083,</w:t>
            </w:r>
            <w:r>
              <w:rPr>
                <w:spacing w:val="-10"/>
                <w:sz w:val="20"/>
              </w:rPr>
              <w:t> </w:t>
            </w:r>
            <w:r>
              <w:rPr>
                <w:spacing w:val="-2"/>
                <w:sz w:val="20"/>
              </w:rPr>
              <w:t>A16.28.093,</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26" w:lineRule="exact"/>
              <w:ind w:left="1150" w:right="247"/>
              <w:jc w:val="center"/>
              <w:rPr>
                <w:sz w:val="20"/>
              </w:rPr>
            </w:pPr>
            <w:r>
              <w:rPr>
                <w:spacing w:val="-2"/>
                <w:sz w:val="20"/>
              </w:rPr>
              <w:t>A16.28.094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st09.007</w:t>
            </w:r>
          </w:p>
        </w:tc>
        <w:tc>
          <w:tcPr>
            <w:tcW w:w="657" w:type="dxa"/>
          </w:tcPr>
          <w:p>
            <w:pPr>
              <w:pStyle w:val="TableParagraph"/>
              <w:spacing w:line="215" w:lineRule="exact" w:before="45"/>
              <w:ind w:right="217"/>
              <w:jc w:val="right"/>
              <w:rPr>
                <w:sz w:val="20"/>
              </w:rPr>
            </w:pPr>
            <w:r>
              <w:rPr>
                <w:spacing w:val="-5"/>
                <w:sz w:val="20"/>
              </w:rPr>
              <w:t>43</w:t>
            </w:r>
          </w:p>
        </w:tc>
        <w:tc>
          <w:tcPr>
            <w:tcW w:w="3551" w:type="dxa"/>
          </w:tcPr>
          <w:p>
            <w:pPr>
              <w:pStyle w:val="TableParagraph"/>
              <w:spacing w:line="215" w:lineRule="exact" w:before="45"/>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5" w:lineRule="exact" w:before="45"/>
              <w:ind w:left="6"/>
              <w:jc w:val="center"/>
              <w:rPr>
                <w:sz w:val="20"/>
              </w:rPr>
            </w:pPr>
            <w:r>
              <w:rPr>
                <w:w w:val="99"/>
                <w:sz w:val="20"/>
              </w:rPr>
              <w:t>-</w:t>
            </w:r>
          </w:p>
        </w:tc>
        <w:tc>
          <w:tcPr>
            <w:tcW w:w="4486" w:type="dxa"/>
          </w:tcPr>
          <w:p>
            <w:pPr>
              <w:pStyle w:val="TableParagraph"/>
              <w:spacing w:line="215" w:lineRule="exact" w:before="45"/>
              <w:ind w:left="1150" w:right="247"/>
              <w:jc w:val="center"/>
              <w:rPr>
                <w:sz w:val="20"/>
              </w:rPr>
            </w:pPr>
            <w:r>
              <w:rPr>
                <w:sz w:val="20"/>
              </w:rPr>
              <w:t>A16.28.001,</w:t>
            </w:r>
            <w:r>
              <w:rPr>
                <w:spacing w:val="-7"/>
                <w:sz w:val="20"/>
              </w:rPr>
              <w:t> </w:t>
            </w:r>
            <w:r>
              <w:rPr>
                <w:spacing w:val="-2"/>
                <w:sz w:val="20"/>
              </w:rPr>
              <w:t>A16.28.001.001,</w:t>
            </w:r>
          </w:p>
        </w:tc>
        <w:tc>
          <w:tcPr>
            <w:tcW w:w="2366" w:type="dxa"/>
          </w:tcPr>
          <w:p>
            <w:pPr>
              <w:pStyle w:val="TableParagraph"/>
              <w:spacing w:line="215" w:lineRule="exact" w:before="45"/>
              <w:ind w:left="249"/>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1,78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pacing w:val="-2"/>
                <w:sz w:val="20"/>
              </w:rPr>
              <w:t>мочевыделительной</w:t>
            </w:r>
          </w:p>
        </w:tc>
        <w:tc>
          <w:tcPr>
            <w:tcW w:w="2380" w:type="dxa"/>
          </w:tcPr>
          <w:p>
            <w:pPr>
              <w:pStyle w:val="TableParagraph"/>
              <w:rPr>
                <w:sz w:val="16"/>
              </w:rPr>
            </w:pPr>
          </w:p>
        </w:tc>
        <w:tc>
          <w:tcPr>
            <w:tcW w:w="4486" w:type="dxa"/>
          </w:tcPr>
          <w:p>
            <w:pPr>
              <w:pStyle w:val="TableParagraph"/>
              <w:spacing w:line="210" w:lineRule="exact"/>
              <w:ind w:left="1150" w:right="250"/>
              <w:jc w:val="center"/>
              <w:rPr>
                <w:sz w:val="20"/>
              </w:rPr>
            </w:pPr>
            <w:r>
              <w:rPr>
                <w:sz w:val="20"/>
              </w:rPr>
              <w:t>A16.28.002,</w:t>
            </w:r>
            <w:r>
              <w:rPr>
                <w:spacing w:val="-7"/>
                <w:sz w:val="20"/>
              </w:rPr>
              <w:t> </w:t>
            </w:r>
            <w:r>
              <w:rPr>
                <w:sz w:val="20"/>
              </w:rPr>
              <w:t>A16.28.003,</w:t>
            </w:r>
            <w:r>
              <w:rPr>
                <w:spacing w:val="-10"/>
                <w:sz w:val="20"/>
              </w:rPr>
              <w:t> </w:t>
            </w:r>
            <w:r>
              <w:rPr>
                <w:spacing w:val="-2"/>
                <w:sz w:val="20"/>
              </w:rPr>
              <w:t>A16.28.008,</w:t>
            </w:r>
          </w:p>
        </w:tc>
        <w:tc>
          <w:tcPr>
            <w:tcW w:w="2366" w:type="dxa"/>
          </w:tcPr>
          <w:p>
            <w:pPr>
              <w:pStyle w:val="TableParagraph"/>
              <w:spacing w:line="210" w:lineRule="exact"/>
              <w:ind w:left="266"/>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3)</w:t>
            </w:r>
          </w:p>
        </w:tc>
        <w:tc>
          <w:tcPr>
            <w:tcW w:w="2380" w:type="dxa"/>
          </w:tcPr>
          <w:p>
            <w:pPr>
              <w:pStyle w:val="TableParagraph"/>
              <w:rPr>
                <w:sz w:val="16"/>
              </w:rPr>
            </w:pPr>
          </w:p>
        </w:tc>
        <w:tc>
          <w:tcPr>
            <w:tcW w:w="4486" w:type="dxa"/>
          </w:tcPr>
          <w:p>
            <w:pPr>
              <w:pStyle w:val="TableParagraph"/>
              <w:spacing w:line="210" w:lineRule="exact"/>
              <w:ind w:left="1150" w:right="249"/>
              <w:jc w:val="center"/>
              <w:rPr>
                <w:sz w:val="20"/>
              </w:rPr>
            </w:pPr>
            <w:r>
              <w:rPr>
                <w:sz w:val="20"/>
              </w:rPr>
              <w:t>A16.28.010,</w:t>
            </w:r>
            <w:r>
              <w:rPr>
                <w:spacing w:val="-9"/>
                <w:sz w:val="20"/>
              </w:rPr>
              <w:t> </w:t>
            </w:r>
            <w:r>
              <w:rPr>
                <w:spacing w:val="-2"/>
                <w:sz w:val="20"/>
              </w:rPr>
              <w:t>A16.28.013,</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w w:val="95"/>
                <w:sz w:val="20"/>
              </w:rPr>
              <w:t>A16.28.017.001,</w:t>
            </w:r>
            <w:r>
              <w:rPr>
                <w:spacing w:val="54"/>
                <w:sz w:val="20"/>
              </w:rPr>
              <w:t> </w:t>
            </w:r>
            <w:r>
              <w:rPr>
                <w:spacing w:val="-2"/>
                <w:sz w:val="20"/>
              </w:rPr>
              <w:t>A16.28.019,</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A16.28.020,</w:t>
            </w:r>
            <w:r>
              <w:rPr>
                <w:spacing w:val="-9"/>
                <w:sz w:val="20"/>
              </w:rPr>
              <w:t> </w:t>
            </w:r>
            <w:r>
              <w:rPr>
                <w:sz w:val="20"/>
              </w:rPr>
              <w:t>A16.28.021,</w:t>
            </w:r>
            <w:r>
              <w:rPr>
                <w:spacing w:val="-10"/>
                <w:sz w:val="20"/>
              </w:rPr>
              <w:t> </w:t>
            </w:r>
            <w:r>
              <w:rPr>
                <w:spacing w:val="-2"/>
                <w:sz w:val="20"/>
              </w:rPr>
              <w:t>A16.28.028,</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9" w:right="250"/>
              <w:jc w:val="center"/>
              <w:rPr>
                <w:sz w:val="20"/>
              </w:rPr>
            </w:pPr>
            <w:r>
              <w:rPr>
                <w:sz w:val="20"/>
              </w:rPr>
              <w:t>A16.28.029,</w:t>
            </w:r>
            <w:r>
              <w:rPr>
                <w:spacing w:val="-9"/>
                <w:sz w:val="20"/>
              </w:rPr>
              <w:t> </w:t>
            </w:r>
            <w:r>
              <w:rPr>
                <w:spacing w:val="-2"/>
                <w:sz w:val="20"/>
              </w:rPr>
              <w:t>A16.28.029.002,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8" w:right="250"/>
              <w:jc w:val="center"/>
              <w:rPr>
                <w:sz w:val="20"/>
              </w:rPr>
            </w:pPr>
            <w:r>
              <w:rPr>
                <w:w w:val="95"/>
                <w:sz w:val="20"/>
              </w:rPr>
              <w:t>A16.28.029.003,</w:t>
            </w:r>
            <w:r>
              <w:rPr>
                <w:spacing w:val="54"/>
                <w:sz w:val="20"/>
              </w:rPr>
              <w:t> </w:t>
            </w:r>
            <w:r>
              <w:rPr>
                <w:spacing w:val="-2"/>
                <w:sz w:val="20"/>
              </w:rPr>
              <w:t>A16.28.035.002,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A16.28.038,</w:t>
            </w:r>
            <w:r>
              <w:rPr>
                <w:spacing w:val="-9"/>
                <w:sz w:val="20"/>
              </w:rPr>
              <w:t> </w:t>
            </w:r>
            <w:r>
              <w:rPr>
                <w:sz w:val="20"/>
              </w:rPr>
              <w:t>A16.28.041,</w:t>
            </w:r>
            <w:r>
              <w:rPr>
                <w:spacing w:val="-10"/>
                <w:sz w:val="20"/>
              </w:rPr>
              <w:t> </w:t>
            </w:r>
            <w:r>
              <w:rPr>
                <w:spacing w:val="-2"/>
                <w:sz w:val="20"/>
              </w:rPr>
              <w:t>A16.28.042,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8" w:right="250"/>
              <w:jc w:val="center"/>
              <w:rPr>
                <w:sz w:val="20"/>
              </w:rPr>
            </w:pPr>
            <w:r>
              <w:rPr>
                <w:w w:val="95"/>
                <w:sz w:val="20"/>
              </w:rPr>
              <w:t>A16.28.045.001,</w:t>
            </w:r>
            <w:r>
              <w:rPr>
                <w:spacing w:val="54"/>
                <w:sz w:val="20"/>
              </w:rPr>
              <w:t> </w:t>
            </w:r>
            <w:r>
              <w:rPr>
                <w:spacing w:val="-2"/>
                <w:sz w:val="20"/>
              </w:rPr>
              <w:t>A16.28.045.002,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8" w:right="250"/>
              <w:jc w:val="center"/>
              <w:rPr>
                <w:sz w:val="20"/>
              </w:rPr>
            </w:pPr>
            <w:r>
              <w:rPr>
                <w:w w:val="95"/>
                <w:sz w:val="20"/>
              </w:rPr>
              <w:t>A16.28.046.001,</w:t>
            </w:r>
            <w:r>
              <w:rPr>
                <w:spacing w:val="54"/>
                <w:sz w:val="20"/>
              </w:rPr>
              <w:t> </w:t>
            </w:r>
            <w:r>
              <w:rPr>
                <w:spacing w:val="-2"/>
                <w:sz w:val="20"/>
              </w:rPr>
              <w:t>A16.28.046.002,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7" w:right="250"/>
              <w:jc w:val="center"/>
              <w:rPr>
                <w:sz w:val="20"/>
              </w:rPr>
            </w:pPr>
            <w:r>
              <w:rPr>
                <w:sz w:val="20"/>
              </w:rPr>
              <w:t>A16.28.047,</w:t>
            </w:r>
            <w:r>
              <w:rPr>
                <w:spacing w:val="-9"/>
                <w:sz w:val="20"/>
              </w:rPr>
              <w:t> </w:t>
            </w:r>
            <w:r>
              <w:rPr>
                <w:sz w:val="20"/>
              </w:rPr>
              <w:t>A16.28.048,</w:t>
            </w:r>
            <w:r>
              <w:rPr>
                <w:spacing w:val="-10"/>
                <w:sz w:val="20"/>
              </w:rPr>
              <w:t> </w:t>
            </w:r>
            <w:r>
              <w:rPr>
                <w:spacing w:val="-2"/>
                <w:sz w:val="20"/>
              </w:rPr>
              <w:t>A16.28.055,</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7" w:right="250"/>
              <w:jc w:val="center"/>
              <w:rPr>
                <w:sz w:val="20"/>
              </w:rPr>
            </w:pPr>
            <w:r>
              <w:rPr>
                <w:sz w:val="20"/>
              </w:rPr>
              <w:t>A16.28.056,</w:t>
            </w:r>
            <w:r>
              <w:rPr>
                <w:spacing w:val="-9"/>
                <w:sz w:val="20"/>
              </w:rPr>
              <w:t> </w:t>
            </w:r>
            <w:r>
              <w:rPr>
                <w:sz w:val="20"/>
              </w:rPr>
              <w:t>A16.28.057,</w:t>
            </w:r>
            <w:r>
              <w:rPr>
                <w:spacing w:val="-10"/>
                <w:sz w:val="20"/>
              </w:rPr>
              <w:t> </w:t>
            </w:r>
            <w:r>
              <w:rPr>
                <w:spacing w:val="-2"/>
                <w:sz w:val="20"/>
              </w:rPr>
              <w:t>A16.28.059,</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sz w:val="20"/>
              </w:rPr>
              <w:t>A16.28.062,</w:t>
            </w:r>
            <w:r>
              <w:rPr>
                <w:spacing w:val="-9"/>
                <w:sz w:val="20"/>
              </w:rPr>
              <w:t> </w:t>
            </w:r>
            <w:r>
              <w:rPr>
                <w:spacing w:val="-2"/>
                <w:sz w:val="20"/>
              </w:rPr>
              <w:t>A16.28.062.001,</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sz w:val="20"/>
              </w:rPr>
              <w:t>A16.28.075,</w:t>
            </w:r>
            <w:r>
              <w:rPr>
                <w:spacing w:val="-9"/>
                <w:sz w:val="20"/>
              </w:rPr>
              <w:t> </w:t>
            </w:r>
            <w:r>
              <w:rPr>
                <w:spacing w:val="-2"/>
                <w:sz w:val="20"/>
              </w:rPr>
              <w:t>A16.28.075.002,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w w:val="95"/>
                <w:sz w:val="20"/>
              </w:rPr>
              <w:t>A16.28.075.003,</w:t>
            </w:r>
            <w:r>
              <w:rPr>
                <w:spacing w:val="54"/>
                <w:sz w:val="20"/>
              </w:rPr>
              <w:t> </w:t>
            </w:r>
            <w:r>
              <w:rPr>
                <w:spacing w:val="-2"/>
                <w:sz w:val="20"/>
              </w:rPr>
              <w:t>A16.28.080,</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A16.28.088,</w:t>
            </w:r>
            <w:r>
              <w:rPr>
                <w:spacing w:val="-9"/>
                <w:sz w:val="20"/>
              </w:rPr>
              <w:t> </w:t>
            </w:r>
            <w:r>
              <w:rPr>
                <w:sz w:val="20"/>
              </w:rPr>
              <w:t>A16.28.089,</w:t>
            </w:r>
            <w:r>
              <w:rPr>
                <w:spacing w:val="-10"/>
                <w:sz w:val="20"/>
              </w:rPr>
              <w:t> </w:t>
            </w:r>
            <w:r>
              <w:rPr>
                <w:spacing w:val="-2"/>
                <w:sz w:val="20"/>
              </w:rPr>
              <w:t>A16.28.090,</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50" w:right="249"/>
              <w:jc w:val="center"/>
              <w:rPr>
                <w:sz w:val="20"/>
              </w:rPr>
            </w:pPr>
            <w:r>
              <w:rPr>
                <w:sz w:val="20"/>
              </w:rPr>
              <w:t>A16.28.091,</w:t>
            </w:r>
            <w:r>
              <w:rPr>
                <w:spacing w:val="-9"/>
                <w:sz w:val="20"/>
              </w:rPr>
              <w:t> </w:t>
            </w:r>
            <w:r>
              <w:rPr>
                <w:spacing w:val="-2"/>
                <w:sz w:val="20"/>
              </w:rPr>
              <w:t>A16.28.092,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50" w:right="250"/>
              <w:jc w:val="center"/>
              <w:rPr>
                <w:sz w:val="20"/>
              </w:rPr>
            </w:pPr>
            <w:r>
              <w:rPr>
                <w:w w:val="95"/>
                <w:sz w:val="20"/>
              </w:rPr>
              <w:t>A16.28.094.001,</w:t>
            </w:r>
            <w:r>
              <w:rPr>
                <w:spacing w:val="55"/>
                <w:sz w:val="20"/>
              </w:rPr>
              <w:t> </w:t>
            </w:r>
            <w:r>
              <w:rPr>
                <w:spacing w:val="-2"/>
                <w:sz w:val="20"/>
              </w:rPr>
              <w:t>A16.28.095,</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A16.28.096,</w:t>
            </w:r>
            <w:r>
              <w:rPr>
                <w:spacing w:val="-9"/>
                <w:sz w:val="20"/>
              </w:rPr>
              <w:t> </w:t>
            </w:r>
            <w:r>
              <w:rPr>
                <w:sz w:val="20"/>
              </w:rPr>
              <w:t>A16.28.097,</w:t>
            </w:r>
            <w:r>
              <w:rPr>
                <w:spacing w:val="-10"/>
                <w:sz w:val="20"/>
              </w:rPr>
              <w:t> </w:t>
            </w:r>
            <w:r>
              <w:rPr>
                <w:spacing w:val="-2"/>
                <w:sz w:val="20"/>
              </w:rPr>
              <w:t>A16.28.098,</w:t>
            </w:r>
          </w:p>
        </w:tc>
        <w:tc>
          <w:tcPr>
            <w:tcW w:w="2366" w:type="dxa"/>
          </w:tcPr>
          <w:p>
            <w:pPr>
              <w:pStyle w:val="TableParagraph"/>
              <w:rPr>
                <w:sz w:val="16"/>
              </w:rPr>
            </w:pPr>
          </w:p>
        </w:tc>
        <w:tc>
          <w:tcPr>
            <w:tcW w:w="864"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6" w:type="dxa"/>
          </w:tcPr>
          <w:p>
            <w:pPr>
              <w:pStyle w:val="TableParagraph"/>
              <w:spacing w:line="226" w:lineRule="exact"/>
              <w:ind w:left="1149" w:right="250"/>
              <w:jc w:val="center"/>
              <w:rPr>
                <w:sz w:val="20"/>
              </w:rPr>
            </w:pPr>
            <w:r>
              <w:rPr>
                <w:sz w:val="20"/>
              </w:rPr>
              <w:t>A16.28.099,</w:t>
            </w:r>
            <w:r>
              <w:rPr>
                <w:spacing w:val="-9"/>
                <w:sz w:val="20"/>
              </w:rPr>
              <w:t> </w:t>
            </w:r>
            <w:r>
              <w:rPr>
                <w:sz w:val="20"/>
              </w:rPr>
              <w:t>A22.28.001,</w:t>
            </w:r>
            <w:r>
              <w:rPr>
                <w:spacing w:val="-10"/>
                <w:sz w:val="20"/>
              </w:rPr>
              <w:t> </w:t>
            </w:r>
            <w:r>
              <w:rPr>
                <w:spacing w:val="-2"/>
                <w:sz w:val="20"/>
              </w:rPr>
              <w:t>A22.28.002</w:t>
            </w:r>
          </w:p>
        </w:tc>
        <w:tc>
          <w:tcPr>
            <w:tcW w:w="2366"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3" w:lineRule="exact" w:before="46"/>
              <w:ind w:left="50"/>
              <w:rPr>
                <w:sz w:val="20"/>
              </w:rPr>
            </w:pPr>
            <w:r>
              <w:rPr>
                <w:spacing w:val="-2"/>
                <w:sz w:val="20"/>
              </w:rPr>
              <w:t>st09.008</w:t>
            </w:r>
          </w:p>
        </w:tc>
        <w:tc>
          <w:tcPr>
            <w:tcW w:w="657" w:type="dxa"/>
          </w:tcPr>
          <w:p>
            <w:pPr>
              <w:pStyle w:val="TableParagraph"/>
              <w:spacing w:line="213" w:lineRule="exact" w:before="46"/>
              <w:ind w:right="217"/>
              <w:jc w:val="right"/>
              <w:rPr>
                <w:sz w:val="20"/>
              </w:rPr>
            </w:pPr>
            <w:r>
              <w:rPr>
                <w:spacing w:val="-5"/>
                <w:sz w:val="20"/>
              </w:rPr>
              <w:t>44</w:t>
            </w:r>
          </w:p>
        </w:tc>
        <w:tc>
          <w:tcPr>
            <w:tcW w:w="3551" w:type="dxa"/>
          </w:tcPr>
          <w:p>
            <w:pPr>
              <w:pStyle w:val="TableParagraph"/>
              <w:spacing w:line="213"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3" w:lineRule="exact" w:before="46"/>
              <w:ind w:left="6"/>
              <w:jc w:val="center"/>
              <w:rPr>
                <w:sz w:val="20"/>
              </w:rPr>
            </w:pPr>
            <w:r>
              <w:rPr>
                <w:w w:val="99"/>
                <w:sz w:val="20"/>
              </w:rPr>
              <w:t>-</w:t>
            </w:r>
          </w:p>
        </w:tc>
        <w:tc>
          <w:tcPr>
            <w:tcW w:w="4486" w:type="dxa"/>
          </w:tcPr>
          <w:p>
            <w:pPr>
              <w:pStyle w:val="TableParagraph"/>
              <w:spacing w:line="213" w:lineRule="exact" w:before="46"/>
              <w:ind w:left="1150" w:right="250"/>
              <w:jc w:val="center"/>
              <w:rPr>
                <w:sz w:val="20"/>
              </w:rPr>
            </w:pPr>
            <w:r>
              <w:rPr>
                <w:sz w:val="20"/>
              </w:rPr>
              <w:t>A16.28.004,</w:t>
            </w:r>
            <w:r>
              <w:rPr>
                <w:spacing w:val="-7"/>
                <w:sz w:val="20"/>
              </w:rPr>
              <w:t> </w:t>
            </w:r>
            <w:r>
              <w:rPr>
                <w:spacing w:val="-2"/>
                <w:sz w:val="20"/>
              </w:rPr>
              <w:t>A16.28.006.001,</w:t>
            </w:r>
          </w:p>
        </w:tc>
        <w:tc>
          <w:tcPr>
            <w:tcW w:w="2366" w:type="dxa"/>
          </w:tcPr>
          <w:p>
            <w:pPr>
              <w:pStyle w:val="TableParagraph"/>
              <w:spacing w:line="213" w:lineRule="exact" w:before="46"/>
              <w:ind w:left="249"/>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3" w:lineRule="exact" w:before="46"/>
              <w:ind w:right="49"/>
              <w:jc w:val="right"/>
              <w:rPr>
                <w:sz w:val="20"/>
              </w:rPr>
            </w:pPr>
            <w:r>
              <w:rPr>
                <w:spacing w:val="-4"/>
                <w:sz w:val="20"/>
              </w:rPr>
              <w:t>2,23</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2380" w:type="dxa"/>
          </w:tcPr>
          <w:p>
            <w:pPr>
              <w:pStyle w:val="TableParagraph"/>
              <w:rPr>
                <w:sz w:val="16"/>
              </w:rPr>
            </w:pPr>
          </w:p>
        </w:tc>
        <w:tc>
          <w:tcPr>
            <w:tcW w:w="4486" w:type="dxa"/>
          </w:tcPr>
          <w:p>
            <w:pPr>
              <w:pStyle w:val="TableParagraph"/>
              <w:spacing w:line="209" w:lineRule="exact"/>
              <w:ind w:left="1150" w:right="249"/>
              <w:jc w:val="center"/>
              <w:rPr>
                <w:sz w:val="20"/>
              </w:rPr>
            </w:pPr>
            <w:r>
              <w:rPr>
                <w:sz w:val="20"/>
              </w:rPr>
              <w:t>A16.28.007,</w:t>
            </w:r>
            <w:r>
              <w:rPr>
                <w:spacing w:val="-7"/>
                <w:sz w:val="20"/>
              </w:rPr>
              <w:t> </w:t>
            </w:r>
            <w:r>
              <w:rPr>
                <w:spacing w:val="-2"/>
                <w:sz w:val="20"/>
              </w:rPr>
              <w:t>A16.28.007.001,</w:t>
            </w:r>
          </w:p>
        </w:tc>
        <w:tc>
          <w:tcPr>
            <w:tcW w:w="2366" w:type="dxa"/>
          </w:tcPr>
          <w:p>
            <w:pPr>
              <w:pStyle w:val="TableParagraph"/>
              <w:spacing w:line="209" w:lineRule="exact"/>
              <w:ind w:left="266"/>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4)</w:t>
            </w:r>
          </w:p>
        </w:tc>
        <w:tc>
          <w:tcPr>
            <w:tcW w:w="2380" w:type="dxa"/>
          </w:tcPr>
          <w:p>
            <w:pPr>
              <w:pStyle w:val="TableParagraph"/>
              <w:rPr>
                <w:sz w:val="16"/>
              </w:rPr>
            </w:pPr>
          </w:p>
        </w:tc>
        <w:tc>
          <w:tcPr>
            <w:tcW w:w="4486" w:type="dxa"/>
          </w:tcPr>
          <w:p>
            <w:pPr>
              <w:pStyle w:val="TableParagraph"/>
              <w:spacing w:line="210" w:lineRule="exact"/>
              <w:ind w:left="1148" w:right="250"/>
              <w:jc w:val="center"/>
              <w:rPr>
                <w:sz w:val="20"/>
              </w:rPr>
            </w:pPr>
            <w:r>
              <w:rPr>
                <w:w w:val="95"/>
                <w:sz w:val="20"/>
              </w:rPr>
              <w:t>A16.28.010.001,</w:t>
            </w:r>
            <w:r>
              <w:rPr>
                <w:spacing w:val="54"/>
                <w:sz w:val="20"/>
              </w:rPr>
              <w:t> </w:t>
            </w:r>
            <w:r>
              <w:rPr>
                <w:spacing w:val="-2"/>
                <w:sz w:val="20"/>
              </w:rPr>
              <w:t>A16.28.026.002,</w:t>
            </w:r>
          </w:p>
        </w:tc>
        <w:tc>
          <w:tcPr>
            <w:tcW w:w="2366"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5" w:lineRule="exact"/>
              <w:ind w:left="1149" w:right="250"/>
              <w:jc w:val="center"/>
              <w:rPr>
                <w:sz w:val="20"/>
              </w:rPr>
            </w:pPr>
            <w:r>
              <w:rPr>
                <w:sz w:val="20"/>
              </w:rPr>
              <w:t>A16.28.032,</w:t>
            </w:r>
            <w:r>
              <w:rPr>
                <w:spacing w:val="-9"/>
                <w:sz w:val="20"/>
              </w:rPr>
              <w:t> </w:t>
            </w:r>
            <w:r>
              <w:rPr>
                <w:spacing w:val="-2"/>
                <w:sz w:val="20"/>
              </w:rPr>
              <w:t>A16.28.032.001,</w:t>
            </w:r>
          </w:p>
        </w:tc>
        <w:tc>
          <w:tcPr>
            <w:tcW w:w="2366"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51"/>
        <w:gridCol w:w="3555"/>
        <w:gridCol w:w="3312"/>
        <w:gridCol w:w="2364"/>
        <w:gridCol w:w="863"/>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51" w:type="dxa"/>
            <w:vMerge w:val="restart"/>
          </w:tcPr>
          <w:p>
            <w:pPr>
              <w:pStyle w:val="TableParagraph"/>
              <w:rPr>
                <w:sz w:val="18"/>
              </w:rPr>
            </w:pPr>
          </w:p>
        </w:tc>
        <w:tc>
          <w:tcPr>
            <w:tcW w:w="3555" w:type="dxa"/>
            <w:vMerge w:val="restart"/>
          </w:tcPr>
          <w:p>
            <w:pPr>
              <w:pStyle w:val="TableParagraph"/>
              <w:rPr>
                <w:sz w:val="18"/>
              </w:rPr>
            </w:pPr>
          </w:p>
        </w:tc>
        <w:tc>
          <w:tcPr>
            <w:tcW w:w="3312" w:type="dxa"/>
          </w:tcPr>
          <w:p>
            <w:pPr>
              <w:pStyle w:val="TableParagraph"/>
              <w:spacing w:line="205" w:lineRule="exact"/>
              <w:ind w:left="148" w:right="422"/>
              <w:jc w:val="center"/>
              <w:rPr>
                <w:sz w:val="20"/>
              </w:rPr>
            </w:pPr>
            <w:r>
              <w:rPr>
                <w:w w:val="95"/>
                <w:sz w:val="20"/>
              </w:rPr>
              <w:t>A16.28.039.001,</w:t>
            </w:r>
            <w:r>
              <w:rPr>
                <w:spacing w:val="54"/>
                <w:sz w:val="20"/>
              </w:rPr>
              <w:t> </w:t>
            </w:r>
            <w:r>
              <w:rPr>
                <w:spacing w:val="-2"/>
                <w:sz w:val="20"/>
              </w:rPr>
              <w:t>A16.28.069,</w:t>
            </w:r>
          </w:p>
        </w:tc>
        <w:tc>
          <w:tcPr>
            <w:tcW w:w="2364" w:type="dxa"/>
            <w:vMerge w:val="restart"/>
          </w:tcPr>
          <w:p>
            <w:pPr>
              <w:pStyle w:val="TableParagraph"/>
              <w:rPr>
                <w:sz w:val="18"/>
              </w:rPr>
            </w:pPr>
          </w:p>
        </w:tc>
        <w:tc>
          <w:tcPr>
            <w:tcW w:w="86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3555" w:type="dxa"/>
            <w:vMerge/>
            <w:tcBorders>
              <w:top w:val="nil"/>
            </w:tcBorders>
          </w:tcPr>
          <w:p>
            <w:pPr>
              <w:rPr>
                <w:sz w:val="2"/>
                <w:szCs w:val="2"/>
              </w:rPr>
            </w:pPr>
          </w:p>
        </w:tc>
        <w:tc>
          <w:tcPr>
            <w:tcW w:w="3312" w:type="dxa"/>
          </w:tcPr>
          <w:p>
            <w:pPr>
              <w:pStyle w:val="TableParagraph"/>
              <w:spacing w:line="209" w:lineRule="exact"/>
              <w:ind w:left="150" w:right="422"/>
              <w:jc w:val="center"/>
              <w:rPr>
                <w:sz w:val="20"/>
              </w:rPr>
            </w:pPr>
            <w:r>
              <w:rPr>
                <w:sz w:val="20"/>
              </w:rPr>
              <w:t>A16.28.070,</w:t>
            </w:r>
            <w:r>
              <w:rPr>
                <w:spacing w:val="-9"/>
                <w:sz w:val="20"/>
              </w:rPr>
              <w:t> </w:t>
            </w:r>
            <w:r>
              <w:rPr>
                <w:spacing w:val="-2"/>
                <w:sz w:val="20"/>
              </w:rPr>
              <w:t>A16.28.073,</w:t>
            </w:r>
          </w:p>
        </w:tc>
        <w:tc>
          <w:tcPr>
            <w:tcW w:w="2364"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3555" w:type="dxa"/>
            <w:vMerge/>
            <w:tcBorders>
              <w:top w:val="nil"/>
            </w:tcBorders>
          </w:tcPr>
          <w:p>
            <w:pPr>
              <w:rPr>
                <w:sz w:val="2"/>
                <w:szCs w:val="2"/>
              </w:rPr>
            </w:pPr>
          </w:p>
        </w:tc>
        <w:tc>
          <w:tcPr>
            <w:tcW w:w="3312" w:type="dxa"/>
          </w:tcPr>
          <w:p>
            <w:pPr>
              <w:pStyle w:val="TableParagraph"/>
              <w:spacing w:line="209" w:lineRule="exact"/>
              <w:ind w:left="148" w:right="422"/>
              <w:jc w:val="center"/>
              <w:rPr>
                <w:sz w:val="20"/>
              </w:rPr>
            </w:pPr>
            <w:r>
              <w:rPr>
                <w:w w:val="95"/>
                <w:sz w:val="20"/>
              </w:rPr>
              <w:t>A16.28.074.001,</w:t>
            </w:r>
            <w:r>
              <w:rPr>
                <w:spacing w:val="54"/>
                <w:sz w:val="20"/>
              </w:rPr>
              <w:t> </w:t>
            </w:r>
            <w:r>
              <w:rPr>
                <w:spacing w:val="-2"/>
                <w:sz w:val="20"/>
              </w:rPr>
              <w:t>A16.28.078,</w:t>
            </w:r>
          </w:p>
        </w:tc>
        <w:tc>
          <w:tcPr>
            <w:tcW w:w="2364" w:type="dxa"/>
            <w:vMerge/>
            <w:tcBorders>
              <w:top w:val="nil"/>
            </w:tcBorders>
          </w:tcPr>
          <w:p>
            <w:pPr>
              <w:rPr>
                <w:sz w:val="2"/>
                <w:szCs w:val="2"/>
              </w:rPr>
            </w:pPr>
          </w:p>
        </w:tc>
        <w:tc>
          <w:tcPr>
            <w:tcW w:w="863" w:type="dxa"/>
            <w:vMerge/>
            <w:tcBorders>
              <w:top w:val="nil"/>
            </w:tcBorders>
          </w:tcPr>
          <w:p>
            <w:pPr>
              <w:rPr>
                <w:sz w:val="2"/>
                <w:szCs w:val="2"/>
              </w:rPr>
            </w:pPr>
          </w:p>
        </w:tc>
      </w:tr>
      <w:tr>
        <w:trPr>
          <w:trHeight w:val="28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3555" w:type="dxa"/>
            <w:vMerge/>
            <w:tcBorders>
              <w:top w:val="nil"/>
            </w:tcBorders>
          </w:tcPr>
          <w:p>
            <w:pPr>
              <w:rPr>
                <w:sz w:val="2"/>
                <w:szCs w:val="2"/>
              </w:rPr>
            </w:pPr>
          </w:p>
        </w:tc>
        <w:tc>
          <w:tcPr>
            <w:tcW w:w="3312" w:type="dxa"/>
          </w:tcPr>
          <w:p>
            <w:pPr>
              <w:pStyle w:val="TableParagraph"/>
              <w:spacing w:line="226" w:lineRule="exact"/>
              <w:ind w:left="148" w:right="422"/>
              <w:jc w:val="center"/>
              <w:rPr>
                <w:sz w:val="20"/>
              </w:rPr>
            </w:pPr>
            <w:r>
              <w:rPr>
                <w:sz w:val="20"/>
              </w:rPr>
              <w:t>A16.28.085,</w:t>
            </w:r>
            <w:r>
              <w:rPr>
                <w:spacing w:val="-9"/>
                <w:sz w:val="20"/>
              </w:rPr>
              <w:t> </w:t>
            </w:r>
            <w:r>
              <w:rPr>
                <w:spacing w:val="-2"/>
                <w:sz w:val="20"/>
              </w:rPr>
              <w:t>A24.28.002</w:t>
            </w:r>
          </w:p>
        </w:tc>
        <w:tc>
          <w:tcPr>
            <w:tcW w:w="2364" w:type="dxa"/>
            <w:vMerge/>
            <w:tcBorders>
              <w:top w:val="nil"/>
            </w:tcBorders>
          </w:tcPr>
          <w:p>
            <w:pPr>
              <w:rPr>
                <w:sz w:val="2"/>
                <w:szCs w:val="2"/>
              </w:rPr>
            </w:pPr>
          </w:p>
        </w:tc>
        <w:tc>
          <w:tcPr>
            <w:tcW w:w="863"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st09.009</w:t>
            </w:r>
          </w:p>
        </w:tc>
        <w:tc>
          <w:tcPr>
            <w:tcW w:w="657" w:type="dxa"/>
          </w:tcPr>
          <w:p>
            <w:pPr>
              <w:pStyle w:val="TableParagraph"/>
              <w:spacing w:line="215" w:lineRule="exact" w:before="46"/>
              <w:ind w:right="217"/>
              <w:jc w:val="right"/>
              <w:rPr>
                <w:sz w:val="20"/>
              </w:rPr>
            </w:pPr>
            <w:r>
              <w:rPr>
                <w:spacing w:val="-5"/>
                <w:sz w:val="20"/>
              </w:rPr>
              <w:t>45</w:t>
            </w:r>
          </w:p>
        </w:tc>
        <w:tc>
          <w:tcPr>
            <w:tcW w:w="3551"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3555" w:type="dxa"/>
          </w:tcPr>
          <w:p>
            <w:pPr>
              <w:pStyle w:val="TableParagraph"/>
              <w:spacing w:line="215" w:lineRule="exact" w:before="46"/>
              <w:ind w:left="1159"/>
              <w:rPr>
                <w:sz w:val="20"/>
              </w:rPr>
            </w:pPr>
            <w:r>
              <w:rPr>
                <w:w w:val="99"/>
                <w:sz w:val="20"/>
              </w:rPr>
              <w:t>-</w:t>
            </w:r>
          </w:p>
        </w:tc>
        <w:tc>
          <w:tcPr>
            <w:tcW w:w="3312" w:type="dxa"/>
          </w:tcPr>
          <w:p>
            <w:pPr>
              <w:pStyle w:val="TableParagraph"/>
              <w:spacing w:line="215" w:lineRule="exact" w:before="46"/>
              <w:ind w:left="150" w:right="422"/>
              <w:jc w:val="center"/>
              <w:rPr>
                <w:sz w:val="20"/>
              </w:rPr>
            </w:pPr>
            <w:r>
              <w:rPr>
                <w:sz w:val="20"/>
              </w:rPr>
              <w:t>A16.28.004.004,</w:t>
            </w:r>
            <w:r>
              <w:rPr>
                <w:spacing w:val="-10"/>
                <w:sz w:val="20"/>
              </w:rPr>
              <w:t> </w:t>
            </w:r>
            <w:r>
              <w:rPr>
                <w:spacing w:val="-2"/>
                <w:sz w:val="20"/>
              </w:rPr>
              <w:t>A16.28.004.009,</w:t>
            </w:r>
          </w:p>
        </w:tc>
        <w:tc>
          <w:tcPr>
            <w:tcW w:w="2364" w:type="dxa"/>
          </w:tcPr>
          <w:p>
            <w:pPr>
              <w:pStyle w:val="TableParagraph"/>
              <w:spacing w:line="215" w:lineRule="exact" w:before="46"/>
              <w:ind w:left="239" w:right="451"/>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7"/>
              <w:jc w:val="right"/>
              <w:rPr>
                <w:sz w:val="20"/>
              </w:rPr>
            </w:pPr>
            <w:r>
              <w:rPr>
                <w:spacing w:val="-4"/>
                <w:sz w:val="20"/>
              </w:rPr>
              <w:t>2,36</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3555" w:type="dxa"/>
          </w:tcPr>
          <w:p>
            <w:pPr>
              <w:pStyle w:val="TableParagraph"/>
              <w:rPr>
                <w:sz w:val="16"/>
              </w:rPr>
            </w:pPr>
          </w:p>
        </w:tc>
        <w:tc>
          <w:tcPr>
            <w:tcW w:w="3312" w:type="dxa"/>
          </w:tcPr>
          <w:p>
            <w:pPr>
              <w:pStyle w:val="TableParagraph"/>
              <w:spacing w:line="209" w:lineRule="exact"/>
              <w:ind w:left="149" w:right="422"/>
              <w:jc w:val="center"/>
              <w:rPr>
                <w:sz w:val="20"/>
              </w:rPr>
            </w:pPr>
            <w:r>
              <w:rPr>
                <w:w w:val="95"/>
                <w:sz w:val="20"/>
              </w:rPr>
              <w:t>A16.28.015.001,</w:t>
            </w:r>
            <w:r>
              <w:rPr>
                <w:spacing w:val="56"/>
                <w:sz w:val="20"/>
              </w:rPr>
              <w:t> </w:t>
            </w:r>
            <w:r>
              <w:rPr>
                <w:spacing w:val="-2"/>
                <w:sz w:val="20"/>
              </w:rPr>
              <w:t>A16.28.016,</w:t>
            </w:r>
          </w:p>
        </w:tc>
        <w:tc>
          <w:tcPr>
            <w:tcW w:w="2364" w:type="dxa"/>
          </w:tcPr>
          <w:p>
            <w:pPr>
              <w:pStyle w:val="TableParagraph"/>
              <w:spacing w:line="209" w:lineRule="exact"/>
              <w:ind w:left="236" w:right="451"/>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5)</w:t>
            </w:r>
          </w:p>
        </w:tc>
        <w:tc>
          <w:tcPr>
            <w:tcW w:w="3555" w:type="dxa"/>
          </w:tcPr>
          <w:p>
            <w:pPr>
              <w:pStyle w:val="TableParagraph"/>
              <w:rPr>
                <w:sz w:val="16"/>
              </w:rPr>
            </w:pPr>
          </w:p>
        </w:tc>
        <w:tc>
          <w:tcPr>
            <w:tcW w:w="3312" w:type="dxa"/>
          </w:tcPr>
          <w:p>
            <w:pPr>
              <w:pStyle w:val="TableParagraph"/>
              <w:spacing w:line="209" w:lineRule="exact"/>
              <w:ind w:left="148" w:right="422"/>
              <w:jc w:val="center"/>
              <w:rPr>
                <w:sz w:val="20"/>
              </w:rPr>
            </w:pPr>
            <w:r>
              <w:rPr>
                <w:sz w:val="20"/>
              </w:rPr>
              <w:t>A16.28.022,</w:t>
            </w:r>
            <w:r>
              <w:rPr>
                <w:spacing w:val="-9"/>
                <w:sz w:val="20"/>
              </w:rPr>
              <w:t> </w:t>
            </w:r>
            <w:r>
              <w:rPr>
                <w:spacing w:val="-2"/>
                <w:sz w:val="20"/>
              </w:rPr>
              <w:t>A16.28.022.001,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1" w:lineRule="exact"/>
              <w:ind w:left="147" w:right="422"/>
              <w:jc w:val="center"/>
              <w:rPr>
                <w:sz w:val="20"/>
              </w:rPr>
            </w:pPr>
            <w:r>
              <w:rPr>
                <w:w w:val="95"/>
                <w:sz w:val="20"/>
              </w:rPr>
              <w:t>A16.28.028.001,</w:t>
            </w:r>
            <w:r>
              <w:rPr>
                <w:spacing w:val="54"/>
                <w:sz w:val="20"/>
              </w:rPr>
              <w:t> </w:t>
            </w:r>
            <w:r>
              <w:rPr>
                <w:spacing w:val="-2"/>
                <w:sz w:val="20"/>
              </w:rPr>
              <w:t>A16.28.029.001,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A16.28.030.007,</w:t>
            </w:r>
            <w:r>
              <w:rPr>
                <w:spacing w:val="54"/>
                <w:sz w:val="20"/>
              </w:rPr>
              <w:t> </w:t>
            </w:r>
            <w:r>
              <w:rPr>
                <w:spacing w:val="-2"/>
                <w:sz w:val="20"/>
              </w:rPr>
              <w:t>A16.28.030.008,</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A16.28.030.011,</w:t>
            </w:r>
            <w:r>
              <w:rPr>
                <w:spacing w:val="54"/>
                <w:sz w:val="20"/>
              </w:rPr>
              <w:t> </w:t>
            </w:r>
            <w:r>
              <w:rPr>
                <w:spacing w:val="-2"/>
                <w:sz w:val="20"/>
              </w:rPr>
              <w:t>A16.28.031.003,</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50" w:right="421"/>
              <w:jc w:val="center"/>
              <w:rPr>
                <w:sz w:val="20"/>
              </w:rPr>
            </w:pPr>
            <w:r>
              <w:rPr>
                <w:w w:val="95"/>
                <w:sz w:val="20"/>
              </w:rPr>
              <w:t>A16.28.031.007,</w:t>
            </w:r>
            <w:r>
              <w:rPr>
                <w:spacing w:val="54"/>
                <w:sz w:val="20"/>
              </w:rPr>
              <w:t> </w:t>
            </w:r>
            <w:r>
              <w:rPr>
                <w:spacing w:val="-2"/>
                <w:w w:val="95"/>
                <w:sz w:val="20"/>
              </w:rPr>
              <w:t>A16.28.031.010,</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47" w:right="422"/>
              <w:jc w:val="center"/>
              <w:rPr>
                <w:sz w:val="20"/>
              </w:rPr>
            </w:pPr>
            <w:r>
              <w:rPr>
                <w:w w:val="95"/>
                <w:sz w:val="20"/>
              </w:rPr>
              <w:t>A16.28.032.002,</w:t>
            </w:r>
            <w:r>
              <w:rPr>
                <w:spacing w:val="54"/>
                <w:sz w:val="20"/>
              </w:rPr>
              <w:t> </w:t>
            </w:r>
            <w:r>
              <w:rPr>
                <w:spacing w:val="-2"/>
                <w:sz w:val="20"/>
              </w:rPr>
              <w:t>A16.28.032.003,</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47" w:right="422"/>
              <w:jc w:val="center"/>
              <w:rPr>
                <w:sz w:val="20"/>
              </w:rPr>
            </w:pPr>
            <w:r>
              <w:rPr>
                <w:w w:val="95"/>
                <w:sz w:val="20"/>
              </w:rPr>
              <w:t>A16.28.038.001,</w:t>
            </w:r>
            <w:r>
              <w:rPr>
                <w:spacing w:val="54"/>
                <w:sz w:val="20"/>
              </w:rPr>
              <w:t> </w:t>
            </w:r>
            <w:r>
              <w:rPr>
                <w:spacing w:val="-2"/>
                <w:sz w:val="20"/>
              </w:rPr>
              <w:t>A16.28.038.002,</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A16.28.038.003,</w:t>
            </w:r>
            <w:r>
              <w:rPr>
                <w:spacing w:val="54"/>
                <w:sz w:val="20"/>
              </w:rPr>
              <w:t> </w:t>
            </w:r>
            <w:r>
              <w:rPr>
                <w:spacing w:val="-2"/>
                <w:sz w:val="20"/>
              </w:rPr>
              <w:t>A16.28.045.003,</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sz w:val="20"/>
              </w:rPr>
              <w:t>A16.28.050,</w:t>
            </w:r>
            <w:r>
              <w:rPr>
                <w:spacing w:val="-9"/>
                <w:sz w:val="20"/>
              </w:rPr>
              <w:t> </w:t>
            </w:r>
            <w:r>
              <w:rPr>
                <w:spacing w:val="-2"/>
                <w:sz w:val="20"/>
              </w:rPr>
              <w:t>A16.28.050.001,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A16.28.055.001,</w:t>
            </w:r>
            <w:r>
              <w:rPr>
                <w:spacing w:val="54"/>
                <w:sz w:val="20"/>
              </w:rPr>
              <w:t> </w:t>
            </w:r>
            <w:r>
              <w:rPr>
                <w:spacing w:val="-2"/>
                <w:sz w:val="20"/>
              </w:rPr>
              <w:t>A16.28.059.002,</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sz w:val="20"/>
              </w:rPr>
              <w:t>A16.28.061,</w:t>
            </w:r>
            <w:r>
              <w:rPr>
                <w:spacing w:val="-9"/>
                <w:sz w:val="20"/>
              </w:rPr>
              <w:t> </w:t>
            </w:r>
            <w:r>
              <w:rPr>
                <w:spacing w:val="-2"/>
                <w:sz w:val="20"/>
              </w:rPr>
              <w:t>A16.28.071.001,</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50" w:right="422"/>
              <w:jc w:val="center"/>
              <w:rPr>
                <w:sz w:val="20"/>
              </w:rPr>
            </w:pPr>
            <w:r>
              <w:rPr>
                <w:sz w:val="20"/>
              </w:rPr>
              <w:t>A16.28.081,</w:t>
            </w:r>
            <w:r>
              <w:rPr>
                <w:spacing w:val="-9"/>
                <w:sz w:val="20"/>
              </w:rPr>
              <w:t> </w:t>
            </w:r>
            <w:r>
              <w:rPr>
                <w:spacing w:val="-2"/>
                <w:sz w:val="20"/>
              </w:rPr>
              <w:t>A16.28.084,</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47" w:right="422"/>
              <w:jc w:val="center"/>
              <w:rPr>
                <w:sz w:val="20"/>
              </w:rPr>
            </w:pPr>
            <w:r>
              <w:rPr>
                <w:w w:val="95"/>
                <w:sz w:val="20"/>
              </w:rPr>
              <w:t>A16.28.084.001,</w:t>
            </w:r>
            <w:r>
              <w:rPr>
                <w:spacing w:val="54"/>
                <w:sz w:val="20"/>
              </w:rPr>
              <w:t> </w:t>
            </w:r>
            <w:r>
              <w:rPr>
                <w:spacing w:val="-2"/>
                <w:sz w:val="20"/>
              </w:rPr>
              <w:t>A16.28.084.002,</w:t>
            </w:r>
          </w:p>
        </w:tc>
        <w:tc>
          <w:tcPr>
            <w:tcW w:w="2364" w:type="dxa"/>
          </w:tcPr>
          <w:p>
            <w:pPr>
              <w:pStyle w:val="TableParagraph"/>
              <w:rPr>
                <w:sz w:val="16"/>
              </w:rPr>
            </w:pPr>
          </w:p>
        </w:tc>
        <w:tc>
          <w:tcPr>
            <w:tcW w:w="863"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3555" w:type="dxa"/>
          </w:tcPr>
          <w:p>
            <w:pPr>
              <w:pStyle w:val="TableParagraph"/>
              <w:rPr>
                <w:sz w:val="18"/>
              </w:rPr>
            </w:pPr>
          </w:p>
        </w:tc>
        <w:tc>
          <w:tcPr>
            <w:tcW w:w="3312" w:type="dxa"/>
          </w:tcPr>
          <w:p>
            <w:pPr>
              <w:pStyle w:val="TableParagraph"/>
              <w:spacing w:line="226" w:lineRule="exact"/>
              <w:ind w:left="150" w:right="421"/>
              <w:jc w:val="center"/>
              <w:rPr>
                <w:sz w:val="20"/>
              </w:rPr>
            </w:pPr>
            <w:r>
              <w:rPr>
                <w:spacing w:val="-2"/>
                <w:sz w:val="20"/>
              </w:rPr>
              <w:t>A16.28.084.003</w:t>
            </w:r>
          </w:p>
        </w:tc>
        <w:tc>
          <w:tcPr>
            <w:tcW w:w="2364" w:type="dxa"/>
          </w:tcPr>
          <w:p>
            <w:pPr>
              <w:pStyle w:val="TableParagraph"/>
              <w:rPr>
                <w:sz w:val="18"/>
              </w:rPr>
            </w:pPr>
          </w:p>
        </w:tc>
        <w:tc>
          <w:tcPr>
            <w:tcW w:w="863"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st09.010</w:t>
            </w:r>
          </w:p>
        </w:tc>
        <w:tc>
          <w:tcPr>
            <w:tcW w:w="657" w:type="dxa"/>
          </w:tcPr>
          <w:p>
            <w:pPr>
              <w:pStyle w:val="TableParagraph"/>
              <w:spacing w:line="214" w:lineRule="exact" w:before="46"/>
              <w:ind w:right="217"/>
              <w:jc w:val="right"/>
              <w:rPr>
                <w:sz w:val="20"/>
              </w:rPr>
            </w:pPr>
            <w:r>
              <w:rPr>
                <w:spacing w:val="-5"/>
                <w:sz w:val="20"/>
              </w:rPr>
              <w:t>46</w:t>
            </w:r>
          </w:p>
        </w:tc>
        <w:tc>
          <w:tcPr>
            <w:tcW w:w="3551"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3555" w:type="dxa"/>
          </w:tcPr>
          <w:p>
            <w:pPr>
              <w:pStyle w:val="TableParagraph"/>
              <w:spacing w:line="214" w:lineRule="exact" w:before="46"/>
              <w:ind w:left="1159"/>
              <w:rPr>
                <w:sz w:val="20"/>
              </w:rPr>
            </w:pPr>
            <w:r>
              <w:rPr>
                <w:w w:val="99"/>
                <w:sz w:val="20"/>
              </w:rPr>
              <w:t>-</w:t>
            </w:r>
          </w:p>
        </w:tc>
        <w:tc>
          <w:tcPr>
            <w:tcW w:w="3312" w:type="dxa"/>
          </w:tcPr>
          <w:p>
            <w:pPr>
              <w:pStyle w:val="TableParagraph"/>
              <w:spacing w:line="214" w:lineRule="exact" w:before="46"/>
              <w:ind w:left="150" w:right="422"/>
              <w:jc w:val="center"/>
              <w:rPr>
                <w:sz w:val="20"/>
              </w:rPr>
            </w:pPr>
            <w:r>
              <w:rPr>
                <w:sz w:val="20"/>
              </w:rPr>
              <w:t>A16.28.003.001,</w:t>
            </w:r>
            <w:r>
              <w:rPr>
                <w:spacing w:val="-10"/>
                <w:sz w:val="20"/>
              </w:rPr>
              <w:t> </w:t>
            </w:r>
            <w:r>
              <w:rPr>
                <w:spacing w:val="-2"/>
                <w:sz w:val="20"/>
              </w:rPr>
              <w:t>A16.28.003.003,</w:t>
            </w:r>
          </w:p>
        </w:tc>
        <w:tc>
          <w:tcPr>
            <w:tcW w:w="2364" w:type="dxa"/>
          </w:tcPr>
          <w:p>
            <w:pPr>
              <w:pStyle w:val="TableParagraph"/>
              <w:spacing w:line="214" w:lineRule="exact" w:before="46"/>
              <w:ind w:left="239" w:right="451"/>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46"/>
              <w:ind w:right="47"/>
              <w:jc w:val="right"/>
              <w:rPr>
                <w:sz w:val="20"/>
              </w:rPr>
            </w:pPr>
            <w:r>
              <w:rPr>
                <w:spacing w:val="-4"/>
                <w:sz w:val="20"/>
              </w:rPr>
              <w:t>4,28</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3555" w:type="dxa"/>
          </w:tcPr>
          <w:p>
            <w:pPr>
              <w:pStyle w:val="TableParagraph"/>
              <w:rPr>
                <w:sz w:val="16"/>
              </w:rPr>
            </w:pPr>
          </w:p>
        </w:tc>
        <w:tc>
          <w:tcPr>
            <w:tcW w:w="3312" w:type="dxa"/>
          </w:tcPr>
          <w:p>
            <w:pPr>
              <w:pStyle w:val="TableParagraph"/>
              <w:spacing w:line="209" w:lineRule="exact"/>
              <w:ind w:left="149" w:right="422"/>
              <w:jc w:val="center"/>
              <w:rPr>
                <w:sz w:val="20"/>
              </w:rPr>
            </w:pPr>
            <w:r>
              <w:rPr>
                <w:w w:val="95"/>
                <w:sz w:val="20"/>
              </w:rPr>
              <w:t>A16.28.004.001,</w:t>
            </w:r>
            <w:r>
              <w:rPr>
                <w:spacing w:val="56"/>
                <w:sz w:val="20"/>
              </w:rPr>
              <w:t> </w:t>
            </w:r>
            <w:r>
              <w:rPr>
                <w:spacing w:val="-2"/>
                <w:sz w:val="20"/>
              </w:rPr>
              <w:t>A16.28.004.002,</w:t>
            </w:r>
          </w:p>
        </w:tc>
        <w:tc>
          <w:tcPr>
            <w:tcW w:w="2364" w:type="dxa"/>
          </w:tcPr>
          <w:p>
            <w:pPr>
              <w:pStyle w:val="TableParagraph"/>
              <w:spacing w:line="209" w:lineRule="exact"/>
              <w:ind w:left="236" w:right="451"/>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6)</w:t>
            </w: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A16.28.004.005,</w:t>
            </w:r>
            <w:r>
              <w:rPr>
                <w:spacing w:val="54"/>
                <w:sz w:val="20"/>
              </w:rPr>
              <w:t> </w:t>
            </w:r>
            <w:r>
              <w:rPr>
                <w:spacing w:val="-2"/>
                <w:sz w:val="20"/>
              </w:rPr>
              <w:t>A16.28.004.010,</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A16.28.007.002,</w:t>
            </w:r>
            <w:r>
              <w:rPr>
                <w:spacing w:val="54"/>
                <w:sz w:val="20"/>
              </w:rPr>
              <w:t> </w:t>
            </w:r>
            <w:r>
              <w:rPr>
                <w:spacing w:val="-2"/>
                <w:sz w:val="20"/>
              </w:rPr>
              <w:t>A16.28.031.005,</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w w:val="95"/>
                <w:sz w:val="20"/>
              </w:rPr>
              <w:t>A16.28.031.006,</w:t>
            </w:r>
            <w:r>
              <w:rPr>
                <w:spacing w:val="54"/>
                <w:sz w:val="20"/>
              </w:rPr>
              <w:t> </w:t>
            </w:r>
            <w:r>
              <w:rPr>
                <w:spacing w:val="-2"/>
                <w:sz w:val="20"/>
              </w:rPr>
              <w:t>A16.28.049,</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A16.28.059.001,</w:t>
            </w:r>
            <w:r>
              <w:rPr>
                <w:spacing w:val="54"/>
                <w:sz w:val="20"/>
              </w:rPr>
              <w:t> </w:t>
            </w:r>
            <w:r>
              <w:rPr>
                <w:spacing w:val="-2"/>
                <w:sz w:val="20"/>
              </w:rPr>
              <w:t>A16.28.073.001,</w:t>
            </w:r>
          </w:p>
        </w:tc>
        <w:tc>
          <w:tcPr>
            <w:tcW w:w="2364" w:type="dxa"/>
          </w:tcPr>
          <w:p>
            <w:pPr>
              <w:pStyle w:val="TableParagraph"/>
              <w:rPr>
                <w:sz w:val="16"/>
              </w:rPr>
            </w:pPr>
          </w:p>
        </w:tc>
        <w:tc>
          <w:tcPr>
            <w:tcW w:w="863"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3555" w:type="dxa"/>
          </w:tcPr>
          <w:p>
            <w:pPr>
              <w:pStyle w:val="TableParagraph"/>
              <w:rPr>
                <w:sz w:val="18"/>
              </w:rPr>
            </w:pPr>
          </w:p>
        </w:tc>
        <w:tc>
          <w:tcPr>
            <w:tcW w:w="3312" w:type="dxa"/>
          </w:tcPr>
          <w:p>
            <w:pPr>
              <w:pStyle w:val="TableParagraph"/>
              <w:spacing w:line="226" w:lineRule="exact"/>
              <w:ind w:left="149" w:right="422"/>
              <w:jc w:val="center"/>
              <w:rPr>
                <w:sz w:val="20"/>
              </w:rPr>
            </w:pPr>
            <w:r>
              <w:rPr>
                <w:spacing w:val="-2"/>
                <w:sz w:val="20"/>
              </w:rPr>
              <w:t>A16.28.078.001</w:t>
            </w:r>
          </w:p>
        </w:tc>
        <w:tc>
          <w:tcPr>
            <w:tcW w:w="2364" w:type="dxa"/>
          </w:tcPr>
          <w:p>
            <w:pPr>
              <w:pStyle w:val="TableParagraph"/>
              <w:rPr>
                <w:sz w:val="18"/>
              </w:rPr>
            </w:pPr>
          </w:p>
        </w:tc>
        <w:tc>
          <w:tcPr>
            <w:tcW w:w="863"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st10</w:t>
            </w:r>
          </w:p>
        </w:tc>
        <w:tc>
          <w:tcPr>
            <w:tcW w:w="657" w:type="dxa"/>
          </w:tcPr>
          <w:p>
            <w:pPr>
              <w:pStyle w:val="TableParagraph"/>
              <w:spacing w:before="45"/>
              <w:ind w:right="217"/>
              <w:jc w:val="right"/>
              <w:rPr>
                <w:sz w:val="20"/>
              </w:rPr>
            </w:pPr>
            <w:r>
              <w:rPr>
                <w:spacing w:val="-5"/>
                <w:sz w:val="20"/>
              </w:rPr>
              <w:t>10</w:t>
            </w:r>
          </w:p>
        </w:tc>
        <w:tc>
          <w:tcPr>
            <w:tcW w:w="3551" w:type="dxa"/>
          </w:tcPr>
          <w:p>
            <w:pPr>
              <w:pStyle w:val="TableParagraph"/>
              <w:rPr>
                <w:sz w:val="18"/>
              </w:rPr>
            </w:pPr>
          </w:p>
        </w:tc>
        <w:tc>
          <w:tcPr>
            <w:tcW w:w="3555" w:type="dxa"/>
          </w:tcPr>
          <w:p>
            <w:pPr>
              <w:pStyle w:val="TableParagraph"/>
              <w:spacing w:before="45"/>
              <w:ind w:left="2062" w:right="-29"/>
              <w:rPr>
                <w:sz w:val="20"/>
              </w:rPr>
            </w:pPr>
            <w:r>
              <w:rPr>
                <w:sz w:val="20"/>
              </w:rPr>
              <w:t>Детская</w:t>
            </w:r>
            <w:r>
              <w:rPr>
                <w:spacing w:val="-6"/>
                <w:sz w:val="20"/>
              </w:rPr>
              <w:t> </w:t>
            </w:r>
            <w:r>
              <w:rPr>
                <w:spacing w:val="-2"/>
                <w:sz w:val="20"/>
              </w:rPr>
              <w:t>хирургия</w:t>
            </w:r>
          </w:p>
        </w:tc>
        <w:tc>
          <w:tcPr>
            <w:tcW w:w="3312" w:type="dxa"/>
          </w:tcPr>
          <w:p>
            <w:pPr>
              <w:pStyle w:val="TableParagraph"/>
              <w:rPr>
                <w:sz w:val="18"/>
              </w:rPr>
            </w:pPr>
          </w:p>
        </w:tc>
        <w:tc>
          <w:tcPr>
            <w:tcW w:w="2364" w:type="dxa"/>
          </w:tcPr>
          <w:p>
            <w:pPr>
              <w:pStyle w:val="TableParagraph"/>
              <w:rPr>
                <w:sz w:val="18"/>
              </w:rPr>
            </w:pPr>
          </w:p>
        </w:tc>
        <w:tc>
          <w:tcPr>
            <w:tcW w:w="863" w:type="dxa"/>
          </w:tcPr>
          <w:p>
            <w:pPr>
              <w:pStyle w:val="TableParagraph"/>
              <w:spacing w:before="45"/>
              <w:ind w:right="47"/>
              <w:jc w:val="right"/>
              <w:rPr>
                <w:sz w:val="20"/>
              </w:rPr>
            </w:pPr>
            <w:r>
              <w:rPr>
                <w:spacing w:val="-4"/>
                <w:sz w:val="20"/>
              </w:rPr>
              <w:t>1,10</w:t>
            </w: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st10.001</w:t>
            </w:r>
          </w:p>
        </w:tc>
        <w:tc>
          <w:tcPr>
            <w:tcW w:w="657" w:type="dxa"/>
          </w:tcPr>
          <w:p>
            <w:pPr>
              <w:pStyle w:val="TableParagraph"/>
              <w:spacing w:line="214" w:lineRule="exact" w:before="46"/>
              <w:ind w:right="217"/>
              <w:jc w:val="right"/>
              <w:rPr>
                <w:sz w:val="20"/>
              </w:rPr>
            </w:pPr>
            <w:r>
              <w:rPr>
                <w:spacing w:val="-5"/>
                <w:sz w:val="20"/>
              </w:rPr>
              <w:t>47</w:t>
            </w:r>
          </w:p>
        </w:tc>
        <w:tc>
          <w:tcPr>
            <w:tcW w:w="3551" w:type="dxa"/>
          </w:tcPr>
          <w:p>
            <w:pPr>
              <w:pStyle w:val="TableParagraph"/>
              <w:spacing w:line="214" w:lineRule="exact" w:before="46"/>
              <w:ind w:left="217"/>
              <w:rPr>
                <w:sz w:val="20"/>
              </w:rPr>
            </w:pPr>
            <w:r>
              <w:rPr>
                <w:sz w:val="20"/>
              </w:rPr>
              <w:t>Детская</w:t>
            </w:r>
            <w:r>
              <w:rPr>
                <w:spacing w:val="-6"/>
                <w:sz w:val="20"/>
              </w:rPr>
              <w:t> </w:t>
            </w:r>
            <w:r>
              <w:rPr>
                <w:spacing w:val="-2"/>
                <w:sz w:val="20"/>
              </w:rPr>
              <w:t>хирургия</w:t>
            </w:r>
          </w:p>
        </w:tc>
        <w:tc>
          <w:tcPr>
            <w:tcW w:w="3555" w:type="dxa"/>
          </w:tcPr>
          <w:p>
            <w:pPr>
              <w:pStyle w:val="TableParagraph"/>
              <w:spacing w:line="214" w:lineRule="exact" w:before="46"/>
              <w:ind w:left="1159"/>
              <w:rPr>
                <w:sz w:val="20"/>
              </w:rPr>
            </w:pPr>
            <w:r>
              <w:rPr>
                <w:w w:val="99"/>
                <w:sz w:val="20"/>
              </w:rPr>
              <w:t>-</w:t>
            </w:r>
          </w:p>
        </w:tc>
        <w:tc>
          <w:tcPr>
            <w:tcW w:w="3312" w:type="dxa"/>
          </w:tcPr>
          <w:p>
            <w:pPr>
              <w:pStyle w:val="TableParagraph"/>
              <w:spacing w:line="214" w:lineRule="exact" w:before="46"/>
              <w:ind w:left="150" w:right="422"/>
              <w:jc w:val="center"/>
              <w:rPr>
                <w:sz w:val="20"/>
              </w:rPr>
            </w:pPr>
            <w:r>
              <w:rPr>
                <w:sz w:val="20"/>
              </w:rPr>
              <w:t>A03.28.001.001,</w:t>
            </w:r>
            <w:r>
              <w:rPr>
                <w:spacing w:val="-10"/>
                <w:sz w:val="20"/>
              </w:rPr>
              <w:t> </w:t>
            </w:r>
            <w:r>
              <w:rPr>
                <w:spacing w:val="-2"/>
                <w:sz w:val="20"/>
              </w:rPr>
              <w:t>A03.28.001.002,</w:t>
            </w:r>
          </w:p>
        </w:tc>
        <w:tc>
          <w:tcPr>
            <w:tcW w:w="2364" w:type="dxa"/>
          </w:tcPr>
          <w:p>
            <w:pPr>
              <w:pStyle w:val="TableParagraph"/>
              <w:spacing w:line="214" w:lineRule="exact" w:before="46"/>
              <w:ind w:left="239" w:right="451"/>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46"/>
              <w:ind w:right="47"/>
              <w:jc w:val="right"/>
              <w:rPr>
                <w:sz w:val="20"/>
              </w:rPr>
            </w:pPr>
            <w:r>
              <w:rPr>
                <w:spacing w:val="-4"/>
                <w:sz w:val="20"/>
              </w:rPr>
              <w:t>2,95</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(уровень</w:t>
            </w:r>
            <w:r>
              <w:rPr>
                <w:spacing w:val="-11"/>
                <w:sz w:val="20"/>
              </w:rPr>
              <w:t> </w:t>
            </w:r>
            <w:r>
              <w:rPr>
                <w:spacing w:val="-5"/>
                <w:sz w:val="20"/>
              </w:rPr>
              <w:t>1)</w:t>
            </w:r>
          </w:p>
        </w:tc>
        <w:tc>
          <w:tcPr>
            <w:tcW w:w="3555" w:type="dxa"/>
          </w:tcPr>
          <w:p>
            <w:pPr>
              <w:pStyle w:val="TableParagraph"/>
              <w:rPr>
                <w:sz w:val="16"/>
              </w:rPr>
            </w:pPr>
          </w:p>
        </w:tc>
        <w:tc>
          <w:tcPr>
            <w:tcW w:w="3312" w:type="dxa"/>
          </w:tcPr>
          <w:p>
            <w:pPr>
              <w:pStyle w:val="TableParagraph"/>
              <w:spacing w:line="209" w:lineRule="exact"/>
              <w:ind w:left="-24" w:right="247"/>
              <w:jc w:val="center"/>
              <w:rPr>
                <w:sz w:val="20"/>
              </w:rPr>
            </w:pPr>
            <w:r>
              <w:rPr>
                <w:sz w:val="20"/>
              </w:rPr>
              <w:t>A16.01.017,</w:t>
            </w:r>
            <w:r>
              <w:rPr>
                <w:spacing w:val="-7"/>
                <w:sz w:val="20"/>
              </w:rPr>
              <w:t> </w:t>
            </w:r>
            <w:r>
              <w:rPr>
                <w:sz w:val="20"/>
              </w:rPr>
              <w:t>A16.02.013,</w:t>
            </w:r>
            <w:r>
              <w:rPr>
                <w:spacing w:val="-10"/>
                <w:sz w:val="20"/>
              </w:rPr>
              <w:t> </w:t>
            </w:r>
            <w:r>
              <w:rPr>
                <w:spacing w:val="-2"/>
                <w:sz w:val="20"/>
              </w:rPr>
              <w:t>A16.06.012,</w:t>
            </w:r>
          </w:p>
        </w:tc>
        <w:tc>
          <w:tcPr>
            <w:tcW w:w="2364" w:type="dxa"/>
          </w:tcPr>
          <w:p>
            <w:pPr>
              <w:pStyle w:val="TableParagraph"/>
              <w:spacing w:line="209" w:lineRule="exact"/>
              <w:ind w:left="238" w:right="451"/>
              <w:jc w:val="center"/>
              <w:rPr>
                <w:sz w:val="20"/>
              </w:rPr>
            </w:pPr>
            <w:r>
              <w:rPr>
                <w:sz w:val="20"/>
              </w:rPr>
              <w:t>от</w:t>
            </w:r>
            <w:r>
              <w:rPr>
                <w:spacing w:val="-3"/>
                <w:sz w:val="20"/>
              </w:rPr>
              <w:t> </w:t>
            </w:r>
            <w:r>
              <w:rPr>
                <w:sz w:val="20"/>
              </w:rPr>
              <w:t>29</w:t>
            </w:r>
            <w:r>
              <w:rPr>
                <w:spacing w:val="-1"/>
                <w:sz w:val="20"/>
              </w:rPr>
              <w:t> </w:t>
            </w:r>
            <w:r>
              <w:rPr>
                <w:sz w:val="20"/>
              </w:rPr>
              <w:t>до</w:t>
            </w:r>
            <w:r>
              <w:rPr>
                <w:spacing w:val="-2"/>
                <w:sz w:val="20"/>
              </w:rPr>
              <w:t> </w:t>
            </w:r>
            <w:r>
              <w:rPr>
                <w:sz w:val="20"/>
              </w:rPr>
              <w:t>90</w:t>
            </w:r>
            <w:r>
              <w:rPr>
                <w:spacing w:val="-1"/>
                <w:sz w:val="20"/>
              </w:rPr>
              <w:t> </w:t>
            </w:r>
            <w:r>
              <w:rPr>
                <w:spacing w:val="-2"/>
                <w:sz w:val="20"/>
              </w:rPr>
              <w:t>дней,</w:t>
            </w: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24" w:right="252"/>
              <w:jc w:val="center"/>
              <w:rPr>
                <w:sz w:val="20"/>
              </w:rPr>
            </w:pPr>
            <w:r>
              <w:rPr>
                <w:sz w:val="20"/>
              </w:rPr>
              <w:t>A16.08.033,</w:t>
            </w:r>
            <w:r>
              <w:rPr>
                <w:spacing w:val="-9"/>
                <w:sz w:val="20"/>
              </w:rPr>
              <w:t> </w:t>
            </w:r>
            <w:r>
              <w:rPr>
                <w:sz w:val="20"/>
              </w:rPr>
              <w:t>A16.09.013,</w:t>
            </w:r>
            <w:r>
              <w:rPr>
                <w:spacing w:val="-10"/>
                <w:sz w:val="20"/>
              </w:rPr>
              <w:t> </w:t>
            </w:r>
            <w:r>
              <w:rPr>
                <w:spacing w:val="-2"/>
                <w:sz w:val="20"/>
              </w:rPr>
              <w:t>A16.16.001,</w:t>
            </w:r>
          </w:p>
        </w:tc>
        <w:tc>
          <w:tcPr>
            <w:tcW w:w="2364" w:type="dxa"/>
          </w:tcPr>
          <w:p>
            <w:pPr>
              <w:pStyle w:val="TableParagraph"/>
              <w:spacing w:line="210" w:lineRule="exact"/>
              <w:ind w:left="236" w:right="451"/>
              <w:jc w:val="center"/>
              <w:rPr>
                <w:sz w:val="20"/>
              </w:rPr>
            </w:pPr>
            <w:r>
              <w:rPr>
                <w:sz w:val="20"/>
              </w:rPr>
              <w:t>от</w:t>
            </w:r>
            <w:r>
              <w:rPr>
                <w:spacing w:val="-3"/>
                <w:sz w:val="20"/>
              </w:rPr>
              <w:t> </w:t>
            </w:r>
            <w:r>
              <w:rPr>
                <w:sz w:val="20"/>
              </w:rPr>
              <w:t>91</w:t>
            </w:r>
            <w:r>
              <w:rPr>
                <w:spacing w:val="-1"/>
                <w:sz w:val="20"/>
              </w:rPr>
              <w:t> </w:t>
            </w:r>
            <w:r>
              <w:rPr>
                <w:sz w:val="20"/>
              </w:rPr>
              <w:t>дня</w:t>
            </w:r>
            <w:r>
              <w:rPr>
                <w:spacing w:val="-3"/>
                <w:sz w:val="20"/>
              </w:rPr>
              <w:t> </w:t>
            </w:r>
            <w:r>
              <w:rPr>
                <w:sz w:val="20"/>
              </w:rPr>
              <w:t>до</w:t>
            </w:r>
            <w:r>
              <w:rPr>
                <w:spacing w:val="-2"/>
                <w:sz w:val="20"/>
              </w:rPr>
              <w:t> </w:t>
            </w:r>
            <w:r>
              <w:rPr>
                <w:sz w:val="20"/>
              </w:rPr>
              <w:t>1</w:t>
            </w:r>
            <w:r>
              <w:rPr>
                <w:spacing w:val="-1"/>
                <w:sz w:val="20"/>
              </w:rPr>
              <w:t> </w:t>
            </w:r>
            <w:r>
              <w:rPr>
                <w:spacing w:val="-4"/>
                <w:sz w:val="20"/>
              </w:rPr>
              <w:t>года</w:t>
            </w: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24" w:right="252"/>
              <w:jc w:val="center"/>
              <w:rPr>
                <w:sz w:val="20"/>
              </w:rPr>
            </w:pPr>
            <w:r>
              <w:rPr>
                <w:sz w:val="20"/>
              </w:rPr>
              <w:t>A16.16.005,</w:t>
            </w:r>
            <w:r>
              <w:rPr>
                <w:spacing w:val="-9"/>
                <w:sz w:val="20"/>
              </w:rPr>
              <w:t> </w:t>
            </w:r>
            <w:r>
              <w:rPr>
                <w:sz w:val="20"/>
              </w:rPr>
              <w:t>A16.16.006,</w:t>
            </w:r>
            <w:r>
              <w:rPr>
                <w:spacing w:val="-10"/>
                <w:sz w:val="20"/>
              </w:rPr>
              <w:t> </w:t>
            </w:r>
            <w:r>
              <w:rPr>
                <w:spacing w:val="-2"/>
                <w:sz w:val="20"/>
              </w:rPr>
              <w:t>A16.16.010,</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50" w:right="422"/>
              <w:jc w:val="center"/>
              <w:rPr>
                <w:sz w:val="20"/>
              </w:rPr>
            </w:pPr>
            <w:r>
              <w:rPr>
                <w:sz w:val="20"/>
              </w:rPr>
              <w:t>A16.16.011,</w:t>
            </w:r>
            <w:r>
              <w:rPr>
                <w:spacing w:val="-9"/>
                <w:sz w:val="20"/>
              </w:rPr>
              <w:t> </w:t>
            </w:r>
            <w:r>
              <w:rPr>
                <w:spacing w:val="-2"/>
                <w:sz w:val="20"/>
              </w:rPr>
              <w:t>A16.16.026,</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w w:val="95"/>
                <w:sz w:val="20"/>
              </w:rPr>
              <w:t>A16.16.026.002,</w:t>
            </w:r>
            <w:r>
              <w:rPr>
                <w:spacing w:val="54"/>
                <w:sz w:val="20"/>
              </w:rPr>
              <w:t> </w:t>
            </w:r>
            <w:r>
              <w:rPr>
                <w:spacing w:val="-2"/>
                <w:sz w:val="20"/>
              </w:rPr>
              <w:t>A16.16.031,</w:t>
            </w:r>
          </w:p>
        </w:tc>
        <w:tc>
          <w:tcPr>
            <w:tcW w:w="2364" w:type="dxa"/>
          </w:tcPr>
          <w:p>
            <w:pPr>
              <w:pStyle w:val="TableParagraph"/>
              <w:rPr>
                <w:sz w:val="16"/>
              </w:rPr>
            </w:pPr>
          </w:p>
        </w:tc>
        <w:tc>
          <w:tcPr>
            <w:tcW w:w="863"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5" w:lineRule="exact"/>
              <w:ind w:left="148" w:right="422"/>
              <w:jc w:val="center"/>
              <w:rPr>
                <w:sz w:val="20"/>
              </w:rPr>
            </w:pPr>
            <w:r>
              <w:rPr>
                <w:w w:val="95"/>
                <w:sz w:val="20"/>
              </w:rPr>
              <w:t>A16.16.033.001,</w:t>
            </w:r>
            <w:r>
              <w:rPr>
                <w:spacing w:val="54"/>
                <w:sz w:val="20"/>
              </w:rPr>
              <w:t> </w:t>
            </w:r>
            <w:r>
              <w:rPr>
                <w:spacing w:val="-2"/>
                <w:sz w:val="20"/>
              </w:rPr>
              <w:t>A16.16.034,</w:t>
            </w:r>
          </w:p>
        </w:tc>
        <w:tc>
          <w:tcPr>
            <w:tcW w:w="2364" w:type="dxa"/>
          </w:tcPr>
          <w:p>
            <w:pPr>
              <w:pStyle w:val="TableParagraph"/>
              <w:rPr>
                <w:sz w:val="16"/>
              </w:rPr>
            </w:pP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223"/>
        <w:gridCol w:w="2710"/>
        <w:gridCol w:w="4884"/>
        <w:gridCol w:w="1574"/>
        <w:gridCol w:w="1263"/>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223" w:type="dxa"/>
            <w:vMerge w:val="restart"/>
          </w:tcPr>
          <w:p>
            <w:pPr>
              <w:pStyle w:val="TableParagraph"/>
              <w:rPr>
                <w:sz w:val="18"/>
              </w:rPr>
            </w:pPr>
          </w:p>
        </w:tc>
        <w:tc>
          <w:tcPr>
            <w:tcW w:w="2710" w:type="dxa"/>
            <w:vMerge w:val="restart"/>
          </w:tcPr>
          <w:p>
            <w:pPr>
              <w:pStyle w:val="TableParagraph"/>
              <w:rPr>
                <w:sz w:val="18"/>
              </w:rPr>
            </w:pPr>
          </w:p>
        </w:tc>
        <w:tc>
          <w:tcPr>
            <w:tcW w:w="4884" w:type="dxa"/>
          </w:tcPr>
          <w:p>
            <w:pPr>
              <w:pStyle w:val="TableParagraph"/>
              <w:spacing w:line="205" w:lineRule="exact"/>
              <w:ind w:left="1144" w:right="649"/>
              <w:jc w:val="center"/>
              <w:rPr>
                <w:sz w:val="20"/>
              </w:rPr>
            </w:pPr>
            <w:r>
              <w:rPr>
                <w:sz w:val="20"/>
              </w:rPr>
              <w:t>A16.16.040,</w:t>
            </w:r>
            <w:r>
              <w:rPr>
                <w:spacing w:val="-9"/>
                <w:sz w:val="20"/>
              </w:rPr>
              <w:t> </w:t>
            </w:r>
            <w:r>
              <w:rPr>
                <w:sz w:val="20"/>
              </w:rPr>
              <w:t>A16.16.044,</w:t>
            </w:r>
            <w:r>
              <w:rPr>
                <w:spacing w:val="-10"/>
                <w:sz w:val="20"/>
              </w:rPr>
              <w:t> </w:t>
            </w:r>
            <w:r>
              <w:rPr>
                <w:spacing w:val="-2"/>
                <w:sz w:val="20"/>
              </w:rPr>
              <w:t>A16.16.046,</w:t>
            </w:r>
          </w:p>
        </w:tc>
        <w:tc>
          <w:tcPr>
            <w:tcW w:w="1574" w:type="dxa"/>
            <w:vMerge w:val="restart"/>
          </w:tcPr>
          <w:p>
            <w:pPr>
              <w:pStyle w:val="TableParagraph"/>
              <w:rPr>
                <w:sz w:val="18"/>
              </w:rPr>
            </w:pPr>
          </w:p>
        </w:tc>
        <w:tc>
          <w:tcPr>
            <w:tcW w:w="126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09" w:lineRule="exact"/>
              <w:ind w:left="1144" w:right="649"/>
              <w:jc w:val="center"/>
              <w:rPr>
                <w:sz w:val="20"/>
              </w:rPr>
            </w:pPr>
            <w:r>
              <w:rPr>
                <w:sz w:val="20"/>
              </w:rPr>
              <w:t>A16.17.002,</w:t>
            </w:r>
            <w:r>
              <w:rPr>
                <w:spacing w:val="-9"/>
                <w:sz w:val="20"/>
              </w:rPr>
              <w:t> </w:t>
            </w:r>
            <w:r>
              <w:rPr>
                <w:sz w:val="20"/>
              </w:rPr>
              <w:t>A16.17.006,</w:t>
            </w:r>
            <w:r>
              <w:rPr>
                <w:spacing w:val="-10"/>
                <w:sz w:val="20"/>
              </w:rPr>
              <w:t> </w:t>
            </w:r>
            <w:r>
              <w:rPr>
                <w:spacing w:val="-2"/>
                <w:sz w:val="20"/>
              </w:rPr>
              <w:t>A16.17.007,</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09" w:lineRule="exact"/>
              <w:ind w:left="1148" w:right="649"/>
              <w:jc w:val="center"/>
              <w:rPr>
                <w:sz w:val="20"/>
              </w:rPr>
            </w:pPr>
            <w:r>
              <w:rPr>
                <w:sz w:val="20"/>
              </w:rPr>
              <w:t>A16.17.008,</w:t>
            </w:r>
            <w:r>
              <w:rPr>
                <w:spacing w:val="-9"/>
                <w:sz w:val="20"/>
              </w:rPr>
              <w:t> </w:t>
            </w:r>
            <w:r>
              <w:rPr>
                <w:sz w:val="20"/>
              </w:rPr>
              <w:t>A16.17.011,</w:t>
            </w:r>
            <w:r>
              <w:rPr>
                <w:spacing w:val="-10"/>
                <w:sz w:val="20"/>
              </w:rPr>
              <w:t> </w:t>
            </w:r>
            <w:r>
              <w:rPr>
                <w:spacing w:val="-2"/>
                <w:sz w:val="20"/>
              </w:rPr>
              <w:t>A16.17.012,</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4" w:right="649"/>
              <w:jc w:val="center"/>
              <w:rPr>
                <w:sz w:val="20"/>
              </w:rPr>
            </w:pPr>
            <w:r>
              <w:rPr>
                <w:sz w:val="20"/>
              </w:rPr>
              <w:t>A16.17.013,</w:t>
            </w:r>
            <w:r>
              <w:rPr>
                <w:spacing w:val="-9"/>
                <w:sz w:val="20"/>
              </w:rPr>
              <w:t> </w:t>
            </w:r>
            <w:r>
              <w:rPr>
                <w:sz w:val="20"/>
              </w:rPr>
              <w:t>A16.18.002,</w:t>
            </w:r>
            <w:r>
              <w:rPr>
                <w:spacing w:val="-10"/>
                <w:sz w:val="20"/>
              </w:rPr>
              <w:t> </w:t>
            </w:r>
            <w:r>
              <w:rPr>
                <w:spacing w:val="-2"/>
                <w:sz w:val="20"/>
              </w:rPr>
              <w:t>A16.18.003,</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9"/>
              <w:jc w:val="center"/>
              <w:rPr>
                <w:sz w:val="20"/>
              </w:rPr>
            </w:pPr>
            <w:r>
              <w:rPr>
                <w:sz w:val="20"/>
              </w:rPr>
              <w:t>A16.18.006,</w:t>
            </w:r>
            <w:r>
              <w:rPr>
                <w:spacing w:val="-9"/>
                <w:sz w:val="20"/>
              </w:rPr>
              <w:t> </w:t>
            </w:r>
            <w:r>
              <w:rPr>
                <w:spacing w:val="-2"/>
                <w:sz w:val="20"/>
              </w:rPr>
              <w:t>A16.18.007,</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6" w:right="649"/>
              <w:jc w:val="center"/>
              <w:rPr>
                <w:sz w:val="20"/>
              </w:rPr>
            </w:pPr>
            <w:r>
              <w:rPr>
                <w:w w:val="95"/>
                <w:sz w:val="20"/>
              </w:rPr>
              <w:t>A16.19.005.001,</w:t>
            </w:r>
            <w:r>
              <w:rPr>
                <w:spacing w:val="54"/>
                <w:sz w:val="20"/>
              </w:rPr>
              <w:t> </w:t>
            </w:r>
            <w:r>
              <w:rPr>
                <w:spacing w:val="-2"/>
                <w:sz w:val="20"/>
              </w:rPr>
              <w:t>A16.19.010,</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1" w:lineRule="exact"/>
              <w:ind w:left="1144" w:right="649"/>
              <w:jc w:val="center"/>
              <w:rPr>
                <w:sz w:val="20"/>
              </w:rPr>
            </w:pPr>
            <w:r>
              <w:rPr>
                <w:sz w:val="20"/>
              </w:rPr>
              <w:t>A16.21.015,</w:t>
            </w:r>
            <w:r>
              <w:rPr>
                <w:spacing w:val="-9"/>
                <w:sz w:val="20"/>
              </w:rPr>
              <w:t> </w:t>
            </w:r>
            <w:r>
              <w:rPr>
                <w:sz w:val="20"/>
              </w:rPr>
              <w:t>A16.28.001,</w:t>
            </w:r>
            <w:r>
              <w:rPr>
                <w:spacing w:val="-10"/>
                <w:sz w:val="20"/>
              </w:rPr>
              <w:t> </w:t>
            </w:r>
            <w:r>
              <w:rPr>
                <w:spacing w:val="-2"/>
                <w:sz w:val="20"/>
              </w:rPr>
              <w:t>A16.28.003,</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9"/>
              <w:jc w:val="center"/>
              <w:rPr>
                <w:sz w:val="20"/>
              </w:rPr>
            </w:pPr>
            <w:r>
              <w:rPr>
                <w:sz w:val="20"/>
              </w:rPr>
              <w:t>A16.28.004,</w:t>
            </w:r>
            <w:r>
              <w:rPr>
                <w:spacing w:val="-9"/>
                <w:sz w:val="20"/>
              </w:rPr>
              <w:t> </w:t>
            </w:r>
            <w:r>
              <w:rPr>
                <w:spacing w:val="-2"/>
                <w:sz w:val="20"/>
              </w:rPr>
              <w:t>A16.28.007,</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09" w:lineRule="exact"/>
              <w:ind w:left="1145" w:right="649"/>
              <w:jc w:val="center"/>
              <w:rPr>
                <w:sz w:val="20"/>
              </w:rPr>
            </w:pPr>
            <w:r>
              <w:rPr>
                <w:w w:val="95"/>
                <w:sz w:val="20"/>
              </w:rPr>
              <w:t>A16.28.007.001,</w:t>
            </w:r>
            <w:r>
              <w:rPr>
                <w:spacing w:val="54"/>
                <w:sz w:val="20"/>
              </w:rPr>
              <w:t> </w:t>
            </w:r>
            <w:r>
              <w:rPr>
                <w:spacing w:val="-2"/>
                <w:sz w:val="20"/>
              </w:rPr>
              <w:t>A16.28.018.001,</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4" w:right="649"/>
              <w:jc w:val="center"/>
              <w:rPr>
                <w:sz w:val="20"/>
              </w:rPr>
            </w:pPr>
            <w:r>
              <w:rPr>
                <w:sz w:val="20"/>
              </w:rPr>
              <w:t>A16.28.019,</w:t>
            </w:r>
            <w:r>
              <w:rPr>
                <w:spacing w:val="-9"/>
                <w:sz w:val="20"/>
              </w:rPr>
              <w:t> </w:t>
            </w:r>
            <w:r>
              <w:rPr>
                <w:sz w:val="20"/>
              </w:rPr>
              <w:t>A16.28.022,</w:t>
            </w:r>
            <w:r>
              <w:rPr>
                <w:spacing w:val="-10"/>
                <w:sz w:val="20"/>
              </w:rPr>
              <w:t> </w:t>
            </w:r>
            <w:r>
              <w:rPr>
                <w:spacing w:val="-2"/>
                <w:sz w:val="20"/>
              </w:rPr>
              <w:t>A16.28.024,</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8"/>
              <w:jc w:val="center"/>
              <w:rPr>
                <w:sz w:val="20"/>
              </w:rPr>
            </w:pPr>
            <w:r>
              <w:rPr>
                <w:sz w:val="20"/>
              </w:rPr>
              <w:t>A16.28.032,</w:t>
            </w:r>
            <w:r>
              <w:rPr>
                <w:spacing w:val="-9"/>
                <w:sz w:val="20"/>
              </w:rPr>
              <w:t> </w:t>
            </w:r>
            <w:r>
              <w:rPr>
                <w:sz w:val="20"/>
              </w:rPr>
              <w:t>A16.28.038,</w:t>
            </w:r>
            <w:r>
              <w:rPr>
                <w:spacing w:val="-10"/>
                <w:sz w:val="20"/>
              </w:rPr>
              <w:t> </w:t>
            </w:r>
            <w:r>
              <w:rPr>
                <w:spacing w:val="-2"/>
                <w:sz w:val="20"/>
              </w:rPr>
              <w:t>A16.30.002,</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9"/>
              <w:jc w:val="center"/>
              <w:rPr>
                <w:sz w:val="20"/>
              </w:rPr>
            </w:pPr>
            <w:r>
              <w:rPr>
                <w:sz w:val="20"/>
              </w:rPr>
              <w:t>A16.30.004,</w:t>
            </w:r>
            <w:r>
              <w:rPr>
                <w:spacing w:val="-9"/>
                <w:sz w:val="20"/>
              </w:rPr>
              <w:t> </w:t>
            </w:r>
            <w:r>
              <w:rPr>
                <w:spacing w:val="-2"/>
                <w:sz w:val="20"/>
              </w:rPr>
              <w:t>A16.30.005,</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5" w:right="649"/>
              <w:jc w:val="center"/>
              <w:rPr>
                <w:sz w:val="20"/>
              </w:rPr>
            </w:pPr>
            <w:r>
              <w:rPr>
                <w:w w:val="95"/>
                <w:sz w:val="20"/>
              </w:rPr>
              <w:t>A16.30.005.001,</w:t>
            </w:r>
            <w:r>
              <w:rPr>
                <w:spacing w:val="54"/>
                <w:sz w:val="20"/>
              </w:rPr>
              <w:t> </w:t>
            </w:r>
            <w:r>
              <w:rPr>
                <w:spacing w:val="-2"/>
                <w:sz w:val="20"/>
              </w:rPr>
              <w:t>A16.30.005.002,</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26" w:lineRule="exact"/>
              <w:ind w:left="1146" w:right="649"/>
              <w:jc w:val="center"/>
              <w:rPr>
                <w:sz w:val="20"/>
              </w:rPr>
            </w:pPr>
            <w:r>
              <w:rPr>
                <w:sz w:val="20"/>
              </w:rPr>
              <w:t>A16.30.024,</w:t>
            </w:r>
            <w:r>
              <w:rPr>
                <w:spacing w:val="-9"/>
                <w:sz w:val="20"/>
              </w:rPr>
              <w:t> </w:t>
            </w:r>
            <w:r>
              <w:rPr>
                <w:sz w:val="20"/>
              </w:rPr>
              <w:t>A16.30.028,</w:t>
            </w:r>
            <w:r>
              <w:rPr>
                <w:spacing w:val="-10"/>
                <w:sz w:val="20"/>
              </w:rPr>
              <w:t> </w:t>
            </w:r>
            <w:r>
              <w:rPr>
                <w:spacing w:val="-2"/>
                <w:sz w:val="20"/>
              </w:rPr>
              <w:t>A16.30.031</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st10.002</w:t>
            </w:r>
          </w:p>
        </w:tc>
        <w:tc>
          <w:tcPr>
            <w:tcW w:w="657" w:type="dxa"/>
          </w:tcPr>
          <w:p>
            <w:pPr>
              <w:pStyle w:val="TableParagraph"/>
              <w:spacing w:line="215" w:lineRule="exact" w:before="45"/>
              <w:ind w:left="222" w:right="205"/>
              <w:jc w:val="center"/>
              <w:rPr>
                <w:sz w:val="20"/>
              </w:rPr>
            </w:pPr>
            <w:r>
              <w:rPr>
                <w:spacing w:val="-5"/>
                <w:sz w:val="20"/>
              </w:rPr>
              <w:t>48</w:t>
            </w:r>
          </w:p>
        </w:tc>
        <w:tc>
          <w:tcPr>
            <w:tcW w:w="3223" w:type="dxa"/>
          </w:tcPr>
          <w:p>
            <w:pPr>
              <w:pStyle w:val="TableParagraph"/>
              <w:spacing w:line="215" w:lineRule="exact" w:before="45"/>
              <w:ind w:left="217"/>
              <w:rPr>
                <w:sz w:val="20"/>
              </w:rPr>
            </w:pPr>
            <w:r>
              <w:rPr>
                <w:sz w:val="20"/>
              </w:rPr>
              <w:t>Детская</w:t>
            </w:r>
            <w:r>
              <w:rPr>
                <w:spacing w:val="-6"/>
                <w:sz w:val="20"/>
              </w:rPr>
              <w:t> </w:t>
            </w:r>
            <w:r>
              <w:rPr>
                <w:spacing w:val="-2"/>
                <w:sz w:val="20"/>
              </w:rPr>
              <w:t>хирургия</w:t>
            </w:r>
          </w:p>
        </w:tc>
        <w:tc>
          <w:tcPr>
            <w:tcW w:w="2710" w:type="dxa"/>
          </w:tcPr>
          <w:p>
            <w:pPr>
              <w:pStyle w:val="TableParagraph"/>
              <w:spacing w:line="215" w:lineRule="exact" w:before="45"/>
              <w:ind w:left="332"/>
              <w:jc w:val="center"/>
              <w:rPr>
                <w:sz w:val="20"/>
              </w:rPr>
            </w:pPr>
            <w:r>
              <w:rPr>
                <w:w w:val="99"/>
                <w:sz w:val="20"/>
              </w:rPr>
              <w:t>-</w:t>
            </w:r>
          </w:p>
        </w:tc>
        <w:tc>
          <w:tcPr>
            <w:tcW w:w="4884" w:type="dxa"/>
          </w:tcPr>
          <w:p>
            <w:pPr>
              <w:pStyle w:val="TableParagraph"/>
              <w:spacing w:line="215" w:lineRule="exact" w:before="45"/>
              <w:ind w:left="1145" w:right="649"/>
              <w:jc w:val="center"/>
              <w:rPr>
                <w:sz w:val="20"/>
              </w:rPr>
            </w:pPr>
            <w:r>
              <w:rPr>
                <w:w w:val="95"/>
                <w:sz w:val="20"/>
              </w:rPr>
              <w:t>A03.28.001.001,</w:t>
            </w:r>
            <w:r>
              <w:rPr>
                <w:spacing w:val="54"/>
                <w:sz w:val="20"/>
              </w:rPr>
              <w:t> </w:t>
            </w:r>
            <w:r>
              <w:rPr>
                <w:spacing w:val="-2"/>
                <w:sz w:val="20"/>
              </w:rPr>
              <w:t>A03.28.001.002,</w:t>
            </w:r>
          </w:p>
        </w:tc>
        <w:tc>
          <w:tcPr>
            <w:tcW w:w="1574" w:type="dxa"/>
          </w:tcPr>
          <w:p>
            <w:pPr>
              <w:pStyle w:val="TableParagraph"/>
              <w:spacing w:line="215" w:lineRule="exact" w:before="45"/>
              <w:ind w:right="222"/>
              <w:jc w:val="center"/>
              <w:rPr>
                <w:sz w:val="20"/>
              </w:rPr>
            </w:pPr>
            <w:r>
              <w:rPr>
                <w:w w:val="99"/>
                <w:sz w:val="20"/>
              </w:rPr>
              <w:t>-</w:t>
            </w:r>
          </w:p>
        </w:tc>
        <w:tc>
          <w:tcPr>
            <w:tcW w:w="1263" w:type="dxa"/>
          </w:tcPr>
          <w:p>
            <w:pPr>
              <w:pStyle w:val="TableParagraph"/>
              <w:spacing w:line="215" w:lineRule="exact" w:before="45"/>
              <w:ind w:right="56"/>
              <w:jc w:val="right"/>
              <w:rPr>
                <w:sz w:val="20"/>
              </w:rPr>
            </w:pPr>
            <w:r>
              <w:rPr>
                <w:spacing w:val="-4"/>
                <w:sz w:val="20"/>
              </w:rPr>
              <w:t>5,33</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spacing w:line="210" w:lineRule="exact"/>
              <w:ind w:left="217"/>
              <w:rPr>
                <w:sz w:val="20"/>
              </w:rPr>
            </w:pPr>
            <w:r>
              <w:rPr>
                <w:sz w:val="20"/>
              </w:rPr>
              <w:t>(уровень</w:t>
            </w:r>
            <w:r>
              <w:rPr>
                <w:spacing w:val="-11"/>
                <w:sz w:val="20"/>
              </w:rPr>
              <w:t> </w:t>
            </w:r>
            <w:r>
              <w:rPr>
                <w:spacing w:val="-5"/>
                <w:sz w:val="20"/>
              </w:rPr>
              <w:t>2)</w:t>
            </w: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A16.01.017,</w:t>
            </w:r>
            <w:r>
              <w:rPr>
                <w:spacing w:val="-8"/>
                <w:sz w:val="20"/>
              </w:rPr>
              <w:t> </w:t>
            </w:r>
            <w:r>
              <w:rPr>
                <w:sz w:val="20"/>
              </w:rPr>
              <w:t>A16.02.013,</w:t>
            </w:r>
            <w:r>
              <w:rPr>
                <w:spacing w:val="-8"/>
                <w:sz w:val="20"/>
              </w:rPr>
              <w:t> </w:t>
            </w:r>
            <w:r>
              <w:rPr>
                <w:spacing w:val="-2"/>
                <w:sz w:val="20"/>
              </w:rPr>
              <w:t>A16.06.012,</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A16.08.033,</w:t>
            </w:r>
            <w:r>
              <w:rPr>
                <w:spacing w:val="-9"/>
                <w:sz w:val="20"/>
              </w:rPr>
              <w:t> </w:t>
            </w:r>
            <w:r>
              <w:rPr>
                <w:sz w:val="20"/>
              </w:rPr>
              <w:t>A16.09.009,</w:t>
            </w:r>
            <w:r>
              <w:rPr>
                <w:spacing w:val="-10"/>
                <w:sz w:val="20"/>
              </w:rPr>
              <w:t> </w:t>
            </w:r>
            <w:r>
              <w:rPr>
                <w:spacing w:val="-2"/>
                <w:sz w:val="20"/>
              </w:rPr>
              <w:t>A16.09.013,</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8" w:right="649"/>
              <w:jc w:val="center"/>
              <w:rPr>
                <w:sz w:val="20"/>
              </w:rPr>
            </w:pPr>
            <w:r>
              <w:rPr>
                <w:sz w:val="20"/>
              </w:rPr>
              <w:t>A16.09.014,</w:t>
            </w:r>
            <w:r>
              <w:rPr>
                <w:spacing w:val="-9"/>
                <w:sz w:val="20"/>
              </w:rPr>
              <w:t> </w:t>
            </w:r>
            <w:r>
              <w:rPr>
                <w:spacing w:val="-2"/>
                <w:sz w:val="20"/>
              </w:rPr>
              <w:t>A16.09.026,</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5" w:right="649"/>
              <w:jc w:val="center"/>
              <w:rPr>
                <w:sz w:val="20"/>
              </w:rPr>
            </w:pPr>
            <w:r>
              <w:rPr>
                <w:w w:val="95"/>
                <w:sz w:val="20"/>
              </w:rPr>
              <w:t>A16.09.026.001,</w:t>
            </w:r>
            <w:r>
              <w:rPr>
                <w:spacing w:val="54"/>
                <w:sz w:val="20"/>
              </w:rPr>
              <w:t> </w:t>
            </w:r>
            <w:r>
              <w:rPr>
                <w:spacing w:val="-2"/>
                <w:sz w:val="20"/>
              </w:rPr>
              <w:t>A16.09.032.003,</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6" w:right="649"/>
              <w:jc w:val="center"/>
              <w:rPr>
                <w:sz w:val="20"/>
              </w:rPr>
            </w:pPr>
            <w:r>
              <w:rPr>
                <w:w w:val="95"/>
                <w:sz w:val="20"/>
              </w:rPr>
              <w:t>A16.09.032.007,</w:t>
            </w:r>
            <w:r>
              <w:rPr>
                <w:spacing w:val="54"/>
                <w:sz w:val="20"/>
              </w:rPr>
              <w:t> </w:t>
            </w:r>
            <w:r>
              <w:rPr>
                <w:spacing w:val="-2"/>
                <w:sz w:val="20"/>
              </w:rPr>
              <w:t>A16.16.001,</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A16.16.005,</w:t>
            </w:r>
            <w:r>
              <w:rPr>
                <w:spacing w:val="-9"/>
                <w:sz w:val="20"/>
              </w:rPr>
              <w:t> </w:t>
            </w:r>
            <w:r>
              <w:rPr>
                <w:sz w:val="20"/>
              </w:rPr>
              <w:t>A16.16.006,</w:t>
            </w:r>
            <w:r>
              <w:rPr>
                <w:spacing w:val="-10"/>
                <w:sz w:val="20"/>
              </w:rPr>
              <w:t> </w:t>
            </w:r>
            <w:r>
              <w:rPr>
                <w:spacing w:val="-2"/>
                <w:sz w:val="20"/>
              </w:rPr>
              <w:t>A16.16.010,</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A16.16.011,</w:t>
            </w:r>
            <w:r>
              <w:rPr>
                <w:spacing w:val="-9"/>
                <w:sz w:val="20"/>
              </w:rPr>
              <w:t> </w:t>
            </w:r>
            <w:r>
              <w:rPr>
                <w:spacing w:val="-2"/>
                <w:sz w:val="20"/>
              </w:rPr>
              <w:t>A16.16.026,</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6" w:right="649"/>
              <w:jc w:val="center"/>
              <w:rPr>
                <w:sz w:val="20"/>
              </w:rPr>
            </w:pPr>
            <w:r>
              <w:rPr>
                <w:w w:val="95"/>
                <w:sz w:val="20"/>
              </w:rPr>
              <w:t>A16.16.026.002,</w:t>
            </w:r>
            <w:r>
              <w:rPr>
                <w:spacing w:val="54"/>
                <w:sz w:val="20"/>
              </w:rPr>
              <w:t> </w:t>
            </w:r>
            <w:r>
              <w:rPr>
                <w:spacing w:val="-2"/>
                <w:sz w:val="20"/>
              </w:rPr>
              <w:t>A16.16.031,</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6" w:right="649"/>
              <w:jc w:val="center"/>
              <w:rPr>
                <w:sz w:val="20"/>
              </w:rPr>
            </w:pPr>
            <w:r>
              <w:rPr>
                <w:w w:val="95"/>
                <w:sz w:val="20"/>
              </w:rPr>
              <w:t>A16.16.033.001,</w:t>
            </w:r>
            <w:r>
              <w:rPr>
                <w:spacing w:val="54"/>
                <w:sz w:val="20"/>
              </w:rPr>
              <w:t> </w:t>
            </w:r>
            <w:r>
              <w:rPr>
                <w:spacing w:val="-2"/>
                <w:sz w:val="20"/>
              </w:rPr>
              <w:t>A16.16.034,</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A16.16.040,</w:t>
            </w:r>
            <w:r>
              <w:rPr>
                <w:spacing w:val="-9"/>
                <w:sz w:val="20"/>
              </w:rPr>
              <w:t> </w:t>
            </w:r>
            <w:r>
              <w:rPr>
                <w:sz w:val="20"/>
              </w:rPr>
              <w:t>A16.16.044,</w:t>
            </w:r>
            <w:r>
              <w:rPr>
                <w:spacing w:val="-10"/>
                <w:sz w:val="20"/>
              </w:rPr>
              <w:t> </w:t>
            </w:r>
            <w:r>
              <w:rPr>
                <w:spacing w:val="-2"/>
                <w:sz w:val="20"/>
              </w:rPr>
              <w:t>A16.16.046,</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A16.17.002,</w:t>
            </w:r>
            <w:r>
              <w:rPr>
                <w:spacing w:val="-9"/>
                <w:sz w:val="20"/>
              </w:rPr>
              <w:t> </w:t>
            </w:r>
            <w:r>
              <w:rPr>
                <w:sz w:val="20"/>
              </w:rPr>
              <w:t>A16.17.006,</w:t>
            </w:r>
            <w:r>
              <w:rPr>
                <w:spacing w:val="-10"/>
                <w:sz w:val="20"/>
              </w:rPr>
              <w:t> </w:t>
            </w:r>
            <w:r>
              <w:rPr>
                <w:spacing w:val="-2"/>
                <w:sz w:val="20"/>
              </w:rPr>
              <w:t>A16.17.007,</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A16.17.008,</w:t>
            </w:r>
            <w:r>
              <w:rPr>
                <w:spacing w:val="-9"/>
                <w:sz w:val="20"/>
              </w:rPr>
              <w:t> </w:t>
            </w:r>
            <w:r>
              <w:rPr>
                <w:sz w:val="20"/>
              </w:rPr>
              <w:t>A16.17.011,</w:t>
            </w:r>
            <w:r>
              <w:rPr>
                <w:spacing w:val="-10"/>
                <w:sz w:val="20"/>
              </w:rPr>
              <w:t> </w:t>
            </w:r>
            <w:r>
              <w:rPr>
                <w:spacing w:val="-2"/>
                <w:sz w:val="20"/>
              </w:rPr>
              <w:t>A16.17.012,</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A16.17.013,</w:t>
            </w:r>
            <w:r>
              <w:rPr>
                <w:spacing w:val="-9"/>
                <w:sz w:val="20"/>
              </w:rPr>
              <w:t> </w:t>
            </w:r>
            <w:r>
              <w:rPr>
                <w:sz w:val="20"/>
              </w:rPr>
              <w:t>A16.18.002,</w:t>
            </w:r>
            <w:r>
              <w:rPr>
                <w:spacing w:val="-10"/>
                <w:sz w:val="20"/>
              </w:rPr>
              <w:t> </w:t>
            </w:r>
            <w:r>
              <w:rPr>
                <w:spacing w:val="-2"/>
                <w:sz w:val="20"/>
              </w:rPr>
              <w:t>A16.18.003,</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A16.18.006,</w:t>
            </w:r>
            <w:r>
              <w:rPr>
                <w:spacing w:val="-9"/>
                <w:sz w:val="20"/>
              </w:rPr>
              <w:t> </w:t>
            </w:r>
            <w:r>
              <w:rPr>
                <w:spacing w:val="-2"/>
                <w:sz w:val="20"/>
              </w:rPr>
              <w:t>A16.18.007,</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6" w:right="649"/>
              <w:jc w:val="center"/>
              <w:rPr>
                <w:sz w:val="20"/>
              </w:rPr>
            </w:pPr>
            <w:r>
              <w:rPr>
                <w:w w:val="95"/>
                <w:sz w:val="20"/>
              </w:rPr>
              <w:t>A16.19.005.001,</w:t>
            </w:r>
            <w:r>
              <w:rPr>
                <w:spacing w:val="54"/>
                <w:sz w:val="20"/>
              </w:rPr>
              <w:t> </w:t>
            </w:r>
            <w:r>
              <w:rPr>
                <w:spacing w:val="-2"/>
                <w:sz w:val="20"/>
              </w:rPr>
              <w:t>A16.19.010,</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A16.21.015,</w:t>
            </w:r>
            <w:r>
              <w:rPr>
                <w:spacing w:val="-9"/>
                <w:sz w:val="20"/>
              </w:rPr>
              <w:t> </w:t>
            </w:r>
            <w:r>
              <w:rPr>
                <w:sz w:val="20"/>
              </w:rPr>
              <w:t>A16.28.001,</w:t>
            </w:r>
            <w:r>
              <w:rPr>
                <w:spacing w:val="-10"/>
                <w:sz w:val="20"/>
              </w:rPr>
              <w:t> </w:t>
            </w:r>
            <w:r>
              <w:rPr>
                <w:spacing w:val="-2"/>
                <w:sz w:val="20"/>
              </w:rPr>
              <w:t>A16.28.003,</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A16.28.004,</w:t>
            </w:r>
            <w:r>
              <w:rPr>
                <w:spacing w:val="-9"/>
                <w:sz w:val="20"/>
              </w:rPr>
              <w:t> </w:t>
            </w:r>
            <w:r>
              <w:rPr>
                <w:spacing w:val="-2"/>
                <w:sz w:val="20"/>
              </w:rPr>
              <w:t>A16.28.007,</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5" w:right="649"/>
              <w:jc w:val="center"/>
              <w:rPr>
                <w:sz w:val="20"/>
              </w:rPr>
            </w:pPr>
            <w:r>
              <w:rPr>
                <w:w w:val="95"/>
                <w:sz w:val="20"/>
              </w:rPr>
              <w:t>A16.28.007.001,</w:t>
            </w:r>
            <w:r>
              <w:rPr>
                <w:spacing w:val="54"/>
                <w:sz w:val="20"/>
              </w:rPr>
              <w:t> </w:t>
            </w:r>
            <w:r>
              <w:rPr>
                <w:spacing w:val="-2"/>
                <w:sz w:val="20"/>
              </w:rPr>
              <w:t>A16.28.018.001,</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A16.28.019,</w:t>
            </w:r>
            <w:r>
              <w:rPr>
                <w:spacing w:val="-9"/>
                <w:sz w:val="20"/>
              </w:rPr>
              <w:t> </w:t>
            </w:r>
            <w:r>
              <w:rPr>
                <w:sz w:val="20"/>
              </w:rPr>
              <w:t>A16.28.022,</w:t>
            </w:r>
            <w:r>
              <w:rPr>
                <w:spacing w:val="-10"/>
                <w:sz w:val="20"/>
              </w:rPr>
              <w:t> </w:t>
            </w:r>
            <w:r>
              <w:rPr>
                <w:spacing w:val="-2"/>
                <w:sz w:val="20"/>
              </w:rPr>
              <w:t>A16.28.024,</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4" w:right="649"/>
              <w:jc w:val="center"/>
              <w:rPr>
                <w:sz w:val="20"/>
              </w:rPr>
            </w:pPr>
            <w:r>
              <w:rPr>
                <w:sz w:val="20"/>
              </w:rPr>
              <w:t>A16.28.032,</w:t>
            </w:r>
            <w:r>
              <w:rPr>
                <w:spacing w:val="-9"/>
                <w:sz w:val="20"/>
              </w:rPr>
              <w:t> </w:t>
            </w:r>
            <w:r>
              <w:rPr>
                <w:sz w:val="20"/>
              </w:rPr>
              <w:t>A16.28.038,</w:t>
            </w:r>
            <w:r>
              <w:rPr>
                <w:spacing w:val="-10"/>
                <w:sz w:val="20"/>
              </w:rPr>
              <w:t> </w:t>
            </w:r>
            <w:r>
              <w:rPr>
                <w:spacing w:val="-2"/>
                <w:sz w:val="20"/>
              </w:rPr>
              <w:t>A16.30.002,</w:t>
            </w:r>
          </w:p>
        </w:tc>
        <w:tc>
          <w:tcPr>
            <w:tcW w:w="1574" w:type="dxa"/>
          </w:tcPr>
          <w:p>
            <w:pPr>
              <w:pStyle w:val="TableParagraph"/>
              <w:rPr>
                <w:sz w:val="16"/>
              </w:rPr>
            </w:pPr>
          </w:p>
        </w:tc>
        <w:tc>
          <w:tcPr>
            <w:tcW w:w="1263" w:type="dxa"/>
          </w:tcPr>
          <w:p>
            <w:pPr>
              <w:pStyle w:val="TableParagraph"/>
              <w:rPr>
                <w:sz w:val="16"/>
              </w:rPr>
            </w:pPr>
          </w:p>
        </w:tc>
      </w:tr>
      <w:tr>
        <w:trPr>
          <w:trHeight w:val="224"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4" w:lineRule="exact"/>
              <w:ind w:left="1148" w:right="649"/>
              <w:jc w:val="center"/>
              <w:rPr>
                <w:sz w:val="20"/>
              </w:rPr>
            </w:pPr>
            <w:r>
              <w:rPr>
                <w:sz w:val="20"/>
              </w:rPr>
              <w:t>A16.30.004,</w:t>
            </w:r>
            <w:r>
              <w:rPr>
                <w:spacing w:val="-9"/>
                <w:sz w:val="20"/>
              </w:rPr>
              <w:t> </w:t>
            </w:r>
            <w:r>
              <w:rPr>
                <w:spacing w:val="-2"/>
                <w:sz w:val="20"/>
              </w:rPr>
              <w:t>A16.30.005,</w:t>
            </w:r>
          </w:p>
        </w:tc>
        <w:tc>
          <w:tcPr>
            <w:tcW w:w="1574" w:type="dxa"/>
          </w:tcPr>
          <w:p>
            <w:pPr>
              <w:pStyle w:val="TableParagraph"/>
              <w:rPr>
                <w:sz w:val="16"/>
              </w:rPr>
            </w:pPr>
          </w:p>
        </w:tc>
        <w:tc>
          <w:tcPr>
            <w:tcW w:w="12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441"/>
        <w:gridCol w:w="2491"/>
        <w:gridCol w:w="4439"/>
        <w:gridCol w:w="2462"/>
        <w:gridCol w:w="818"/>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3441" w:type="dxa"/>
          </w:tcPr>
          <w:p>
            <w:pPr>
              <w:pStyle w:val="TableParagraph"/>
              <w:rPr>
                <w:sz w:val="18"/>
              </w:rPr>
            </w:pPr>
          </w:p>
        </w:tc>
        <w:tc>
          <w:tcPr>
            <w:tcW w:w="2491" w:type="dxa"/>
          </w:tcPr>
          <w:p>
            <w:pPr>
              <w:pStyle w:val="TableParagraph"/>
              <w:rPr>
                <w:sz w:val="18"/>
              </w:rPr>
            </w:pPr>
          </w:p>
        </w:tc>
        <w:tc>
          <w:tcPr>
            <w:tcW w:w="4439" w:type="dxa"/>
          </w:tcPr>
          <w:p>
            <w:pPr>
              <w:pStyle w:val="TableParagraph"/>
              <w:ind w:left="1176" w:firstLine="146"/>
              <w:rPr>
                <w:sz w:val="20"/>
              </w:rPr>
            </w:pPr>
            <w:r>
              <w:rPr>
                <w:sz w:val="20"/>
              </w:rPr>
              <w:t>A16.30.005.001, A16.30.005.002, A16.30.024,</w:t>
            </w:r>
            <w:r>
              <w:rPr>
                <w:spacing w:val="-13"/>
                <w:sz w:val="20"/>
              </w:rPr>
              <w:t> </w:t>
            </w:r>
            <w:r>
              <w:rPr>
                <w:sz w:val="20"/>
              </w:rPr>
              <w:t>A16.30.028,</w:t>
            </w:r>
            <w:r>
              <w:rPr>
                <w:spacing w:val="-12"/>
                <w:sz w:val="20"/>
              </w:rPr>
              <w:t> </w:t>
            </w:r>
            <w:r>
              <w:rPr>
                <w:sz w:val="20"/>
              </w:rPr>
              <w:t>A16.30.031</w:t>
            </w:r>
          </w:p>
        </w:tc>
        <w:tc>
          <w:tcPr>
            <w:tcW w:w="2462" w:type="dxa"/>
          </w:tcPr>
          <w:p>
            <w:pPr>
              <w:pStyle w:val="TableParagraph"/>
              <w:rPr>
                <w:sz w:val="18"/>
              </w:rPr>
            </w:pPr>
          </w:p>
        </w:tc>
        <w:tc>
          <w:tcPr>
            <w:tcW w:w="818" w:type="dxa"/>
          </w:tcPr>
          <w:p>
            <w:pPr>
              <w:pStyle w:val="TableParagraph"/>
              <w:rPr>
                <w:sz w:val="18"/>
              </w:rPr>
            </w:pPr>
          </w:p>
        </w:tc>
      </w:tr>
      <w:tr>
        <w:trPr>
          <w:trHeight w:val="5620" w:hRule="atLeast"/>
        </w:trPr>
        <w:tc>
          <w:tcPr>
            <w:tcW w:w="971" w:type="dxa"/>
          </w:tcPr>
          <w:p>
            <w:pPr>
              <w:pStyle w:val="TableParagraph"/>
              <w:rPr>
                <w:sz w:val="18"/>
              </w:rPr>
            </w:pPr>
          </w:p>
        </w:tc>
        <w:tc>
          <w:tcPr>
            <w:tcW w:w="657" w:type="dxa"/>
          </w:tcPr>
          <w:p>
            <w:pPr>
              <w:pStyle w:val="TableParagraph"/>
              <w:rPr>
                <w:sz w:val="18"/>
              </w:rPr>
            </w:pPr>
          </w:p>
        </w:tc>
        <w:tc>
          <w:tcPr>
            <w:tcW w:w="3441" w:type="dxa"/>
          </w:tcPr>
          <w:p>
            <w:pPr>
              <w:pStyle w:val="TableParagraph"/>
              <w:rPr>
                <w:sz w:val="18"/>
              </w:rPr>
            </w:pPr>
          </w:p>
        </w:tc>
        <w:tc>
          <w:tcPr>
            <w:tcW w:w="2491" w:type="dxa"/>
          </w:tcPr>
          <w:p>
            <w:pPr>
              <w:pStyle w:val="TableParagraph"/>
              <w:spacing w:before="45"/>
              <w:ind w:right="1152"/>
              <w:jc w:val="right"/>
              <w:rPr>
                <w:sz w:val="20"/>
              </w:rPr>
            </w:pPr>
            <w:r>
              <w:rPr>
                <w:w w:val="99"/>
                <w:sz w:val="20"/>
              </w:rPr>
              <w:t>-</w:t>
            </w:r>
          </w:p>
        </w:tc>
        <w:tc>
          <w:tcPr>
            <w:tcW w:w="4439" w:type="dxa"/>
          </w:tcPr>
          <w:p>
            <w:pPr>
              <w:pStyle w:val="TableParagraph"/>
              <w:spacing w:before="45"/>
              <w:ind w:left="1150" w:right="203" w:hanging="2"/>
              <w:jc w:val="center"/>
              <w:rPr>
                <w:sz w:val="20"/>
              </w:rPr>
            </w:pPr>
            <w:r>
              <w:rPr>
                <w:sz w:val="20"/>
              </w:rPr>
              <w:t>A03.28.001.001, A03.28.001.002, A16.01.017,</w:t>
            </w:r>
            <w:r>
              <w:rPr>
                <w:spacing w:val="-13"/>
                <w:sz w:val="20"/>
              </w:rPr>
              <w:t> </w:t>
            </w:r>
            <w:r>
              <w:rPr>
                <w:sz w:val="20"/>
              </w:rPr>
              <w:t>A16.02.013,</w:t>
            </w:r>
            <w:r>
              <w:rPr>
                <w:spacing w:val="-12"/>
                <w:sz w:val="20"/>
              </w:rPr>
              <w:t> </w:t>
            </w:r>
            <w:r>
              <w:rPr>
                <w:sz w:val="20"/>
              </w:rPr>
              <w:t>A16.06.012, A16.08.033,</w:t>
            </w:r>
            <w:r>
              <w:rPr>
                <w:spacing w:val="-13"/>
                <w:sz w:val="20"/>
              </w:rPr>
              <w:t> </w:t>
            </w:r>
            <w:r>
              <w:rPr>
                <w:sz w:val="20"/>
              </w:rPr>
              <w:t>A16.09.009,</w:t>
            </w:r>
            <w:r>
              <w:rPr>
                <w:spacing w:val="-12"/>
                <w:sz w:val="20"/>
              </w:rPr>
              <w:t> </w:t>
            </w:r>
            <w:r>
              <w:rPr>
                <w:sz w:val="20"/>
              </w:rPr>
              <w:t>A16.09.013, A16.09.014, A16.09.026, A16.09.026.001, A16.09.032.003, A16.09.032.007, A16.16.001, A16.16.005,</w:t>
            </w:r>
            <w:r>
              <w:rPr>
                <w:spacing w:val="-13"/>
                <w:sz w:val="20"/>
              </w:rPr>
              <w:t> </w:t>
            </w:r>
            <w:r>
              <w:rPr>
                <w:sz w:val="20"/>
              </w:rPr>
              <w:t>A16.16.006,</w:t>
            </w:r>
            <w:r>
              <w:rPr>
                <w:spacing w:val="-12"/>
                <w:sz w:val="20"/>
              </w:rPr>
              <w:t> </w:t>
            </w:r>
            <w:r>
              <w:rPr>
                <w:sz w:val="20"/>
              </w:rPr>
              <w:t>A16.16.010, A16.16.011, A16.16.026, A16.16.026.002, A16.16.031, A16.16.033.001, A16.16.034, A16.16.040,</w:t>
            </w:r>
            <w:r>
              <w:rPr>
                <w:spacing w:val="-13"/>
                <w:sz w:val="20"/>
              </w:rPr>
              <w:t> </w:t>
            </w:r>
            <w:r>
              <w:rPr>
                <w:sz w:val="20"/>
              </w:rPr>
              <w:t>A16.16.044,</w:t>
            </w:r>
            <w:r>
              <w:rPr>
                <w:spacing w:val="-12"/>
                <w:sz w:val="20"/>
              </w:rPr>
              <w:t> </w:t>
            </w:r>
            <w:r>
              <w:rPr>
                <w:sz w:val="20"/>
              </w:rPr>
              <w:t>A16.16.046, A16.17.002,</w:t>
            </w:r>
            <w:r>
              <w:rPr>
                <w:spacing w:val="-13"/>
                <w:sz w:val="20"/>
              </w:rPr>
              <w:t> </w:t>
            </w:r>
            <w:r>
              <w:rPr>
                <w:sz w:val="20"/>
              </w:rPr>
              <w:t>A16.17.006,</w:t>
            </w:r>
            <w:r>
              <w:rPr>
                <w:spacing w:val="-12"/>
                <w:sz w:val="20"/>
              </w:rPr>
              <w:t> </w:t>
            </w:r>
            <w:r>
              <w:rPr>
                <w:sz w:val="20"/>
              </w:rPr>
              <w:t>A16.17.007, A16.17.008,</w:t>
            </w:r>
            <w:r>
              <w:rPr>
                <w:spacing w:val="-13"/>
                <w:sz w:val="20"/>
              </w:rPr>
              <w:t> </w:t>
            </w:r>
            <w:r>
              <w:rPr>
                <w:sz w:val="20"/>
              </w:rPr>
              <w:t>A16.17.011,</w:t>
            </w:r>
            <w:r>
              <w:rPr>
                <w:spacing w:val="-12"/>
                <w:sz w:val="20"/>
              </w:rPr>
              <w:t> </w:t>
            </w:r>
            <w:r>
              <w:rPr>
                <w:sz w:val="20"/>
              </w:rPr>
              <w:t>A16.17.012, A16.17.013,</w:t>
            </w:r>
            <w:r>
              <w:rPr>
                <w:spacing w:val="-13"/>
                <w:sz w:val="20"/>
              </w:rPr>
              <w:t> </w:t>
            </w:r>
            <w:r>
              <w:rPr>
                <w:sz w:val="20"/>
              </w:rPr>
              <w:t>A16.18.002,</w:t>
            </w:r>
            <w:r>
              <w:rPr>
                <w:spacing w:val="-12"/>
                <w:sz w:val="20"/>
              </w:rPr>
              <w:t> </w:t>
            </w:r>
            <w:r>
              <w:rPr>
                <w:sz w:val="20"/>
              </w:rPr>
              <w:t>A16.18.003, A16.18.006, A16.18.007, A16.19.005.001, A16.19.010, A16.21.015,</w:t>
            </w:r>
            <w:r>
              <w:rPr>
                <w:spacing w:val="-13"/>
                <w:sz w:val="20"/>
              </w:rPr>
              <w:t> </w:t>
            </w:r>
            <w:r>
              <w:rPr>
                <w:sz w:val="20"/>
              </w:rPr>
              <w:t>A16.28.001,</w:t>
            </w:r>
            <w:r>
              <w:rPr>
                <w:spacing w:val="-12"/>
                <w:sz w:val="20"/>
              </w:rPr>
              <w:t> </w:t>
            </w:r>
            <w:r>
              <w:rPr>
                <w:sz w:val="20"/>
              </w:rPr>
              <w:t>A16.28.003, A16.28.004, A16.28.007, A16.28.007.001, A16.28.018.001, A16.28.019,</w:t>
            </w:r>
            <w:r>
              <w:rPr>
                <w:spacing w:val="-13"/>
                <w:sz w:val="20"/>
              </w:rPr>
              <w:t> </w:t>
            </w:r>
            <w:r>
              <w:rPr>
                <w:sz w:val="20"/>
              </w:rPr>
              <w:t>A16.28.022,</w:t>
            </w:r>
            <w:r>
              <w:rPr>
                <w:spacing w:val="-12"/>
                <w:sz w:val="20"/>
              </w:rPr>
              <w:t> </w:t>
            </w:r>
            <w:r>
              <w:rPr>
                <w:sz w:val="20"/>
              </w:rPr>
              <w:t>A16.28.024, A16.28.032,</w:t>
            </w:r>
            <w:r>
              <w:rPr>
                <w:spacing w:val="-13"/>
                <w:sz w:val="20"/>
              </w:rPr>
              <w:t> </w:t>
            </w:r>
            <w:r>
              <w:rPr>
                <w:sz w:val="20"/>
              </w:rPr>
              <w:t>A16.28.038,</w:t>
            </w:r>
            <w:r>
              <w:rPr>
                <w:spacing w:val="-12"/>
                <w:sz w:val="20"/>
              </w:rPr>
              <w:t> </w:t>
            </w:r>
            <w:r>
              <w:rPr>
                <w:sz w:val="20"/>
              </w:rPr>
              <w:t>A16.30.002, A16.30.004, A16.30.005, A16.30.005.001, A16.30.005.002, A16.30.024, A16.30.028</w:t>
            </w:r>
          </w:p>
        </w:tc>
        <w:tc>
          <w:tcPr>
            <w:tcW w:w="2462" w:type="dxa"/>
          </w:tcPr>
          <w:p>
            <w:pPr>
              <w:pStyle w:val="TableParagraph"/>
              <w:spacing w:before="45"/>
              <w:ind w:left="199" w:right="418" w:firstLine="1"/>
              <w:jc w:val="center"/>
              <w:rPr>
                <w:sz w:val="20"/>
              </w:rPr>
            </w:pPr>
            <w:r>
              <w:rPr>
                <w:spacing w:val="-2"/>
                <w:sz w:val="20"/>
              </w:rPr>
              <w:t>Обязательный дополнительный </w:t>
            </w:r>
            <w:r>
              <w:rPr>
                <w:sz w:val="20"/>
              </w:rPr>
              <w:t>диагноз:</w:t>
            </w:r>
            <w:r>
              <w:rPr>
                <w:spacing w:val="-13"/>
                <w:sz w:val="20"/>
              </w:rPr>
              <w:t> </w:t>
            </w:r>
            <w:r>
              <w:rPr>
                <w:sz w:val="20"/>
              </w:rPr>
              <w:t>P05.0,</w:t>
            </w:r>
            <w:r>
              <w:rPr>
                <w:spacing w:val="-12"/>
                <w:sz w:val="20"/>
              </w:rPr>
              <w:t> </w:t>
            </w:r>
            <w:r>
              <w:rPr>
                <w:sz w:val="20"/>
              </w:rPr>
              <w:t>P05.1, P05.2, P05.9, P07.0, P07.1, P07.2, P07.3</w:t>
            </w:r>
          </w:p>
        </w:tc>
        <w:tc>
          <w:tcPr>
            <w:tcW w:w="818" w:type="dxa"/>
          </w:tcPr>
          <w:p>
            <w:pPr>
              <w:pStyle w:val="TableParagraph"/>
              <w:rPr>
                <w:sz w:val="18"/>
              </w:rPr>
            </w:pPr>
          </w:p>
        </w:tc>
      </w:tr>
      <w:tr>
        <w:trPr>
          <w:trHeight w:val="559" w:hRule="atLeast"/>
        </w:trPr>
        <w:tc>
          <w:tcPr>
            <w:tcW w:w="971" w:type="dxa"/>
          </w:tcPr>
          <w:p>
            <w:pPr>
              <w:pStyle w:val="TableParagraph"/>
              <w:spacing w:before="46"/>
              <w:ind w:left="50"/>
              <w:rPr>
                <w:sz w:val="20"/>
              </w:rPr>
            </w:pPr>
            <w:r>
              <w:rPr>
                <w:spacing w:val="-2"/>
                <w:sz w:val="20"/>
              </w:rPr>
              <w:t>st10.003</w:t>
            </w:r>
          </w:p>
        </w:tc>
        <w:tc>
          <w:tcPr>
            <w:tcW w:w="657" w:type="dxa"/>
          </w:tcPr>
          <w:p>
            <w:pPr>
              <w:pStyle w:val="TableParagraph"/>
              <w:spacing w:before="46"/>
              <w:ind w:right="217"/>
              <w:jc w:val="right"/>
              <w:rPr>
                <w:sz w:val="20"/>
              </w:rPr>
            </w:pPr>
            <w:r>
              <w:rPr>
                <w:spacing w:val="-5"/>
                <w:sz w:val="20"/>
              </w:rPr>
              <w:t>49</w:t>
            </w:r>
          </w:p>
        </w:tc>
        <w:tc>
          <w:tcPr>
            <w:tcW w:w="3441" w:type="dxa"/>
          </w:tcPr>
          <w:p>
            <w:pPr>
              <w:pStyle w:val="TableParagraph"/>
              <w:spacing w:before="46"/>
              <w:ind w:left="217" w:right="1379"/>
              <w:rPr>
                <w:sz w:val="20"/>
              </w:rPr>
            </w:pPr>
            <w:r>
              <w:rPr>
                <w:sz w:val="20"/>
              </w:rPr>
              <w:t>Аппендэктомия,</w:t>
            </w:r>
            <w:r>
              <w:rPr>
                <w:spacing w:val="-13"/>
                <w:sz w:val="20"/>
              </w:rPr>
              <w:t> </w:t>
            </w:r>
            <w:r>
              <w:rPr>
                <w:sz w:val="20"/>
              </w:rPr>
              <w:t>дети (уровень 1)</w:t>
            </w:r>
          </w:p>
        </w:tc>
        <w:tc>
          <w:tcPr>
            <w:tcW w:w="2491" w:type="dxa"/>
          </w:tcPr>
          <w:p>
            <w:pPr>
              <w:pStyle w:val="TableParagraph"/>
              <w:spacing w:before="46"/>
              <w:ind w:right="1152"/>
              <w:jc w:val="right"/>
              <w:rPr>
                <w:sz w:val="20"/>
              </w:rPr>
            </w:pPr>
            <w:r>
              <w:rPr>
                <w:w w:val="99"/>
                <w:sz w:val="20"/>
              </w:rPr>
              <w:t>-</w:t>
            </w:r>
          </w:p>
        </w:tc>
        <w:tc>
          <w:tcPr>
            <w:tcW w:w="4439" w:type="dxa"/>
          </w:tcPr>
          <w:p>
            <w:pPr>
              <w:pStyle w:val="TableParagraph"/>
              <w:spacing w:before="46"/>
              <w:ind w:left="1691" w:right="747"/>
              <w:jc w:val="center"/>
              <w:rPr>
                <w:sz w:val="20"/>
              </w:rPr>
            </w:pPr>
            <w:r>
              <w:rPr>
                <w:sz w:val="20"/>
              </w:rPr>
              <w:t>A16.18.009,</w:t>
            </w:r>
            <w:r>
              <w:rPr>
                <w:spacing w:val="-9"/>
                <w:sz w:val="20"/>
              </w:rPr>
              <w:t> </w:t>
            </w:r>
            <w:r>
              <w:rPr>
                <w:spacing w:val="-2"/>
                <w:sz w:val="20"/>
              </w:rPr>
              <w:t>A16.18.010</w:t>
            </w:r>
          </w:p>
        </w:tc>
        <w:tc>
          <w:tcPr>
            <w:tcW w:w="2462" w:type="dxa"/>
          </w:tcPr>
          <w:p>
            <w:pPr>
              <w:pStyle w:val="TableParagraph"/>
              <w:spacing w:before="46"/>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6"/>
              <w:ind w:right="53"/>
              <w:jc w:val="right"/>
              <w:rPr>
                <w:sz w:val="20"/>
              </w:rPr>
            </w:pPr>
            <w:r>
              <w:rPr>
                <w:spacing w:val="-4"/>
                <w:sz w:val="20"/>
              </w:rPr>
              <w:t>0,77</w:t>
            </w:r>
          </w:p>
        </w:tc>
      </w:tr>
      <w:tr>
        <w:trPr>
          <w:trHeight w:val="560" w:hRule="atLeast"/>
        </w:trPr>
        <w:tc>
          <w:tcPr>
            <w:tcW w:w="971" w:type="dxa"/>
          </w:tcPr>
          <w:p>
            <w:pPr>
              <w:pStyle w:val="TableParagraph"/>
              <w:spacing w:before="46"/>
              <w:ind w:left="50"/>
              <w:rPr>
                <w:sz w:val="20"/>
              </w:rPr>
            </w:pPr>
            <w:r>
              <w:rPr>
                <w:spacing w:val="-2"/>
                <w:sz w:val="20"/>
              </w:rPr>
              <w:t>st10.004</w:t>
            </w:r>
          </w:p>
        </w:tc>
        <w:tc>
          <w:tcPr>
            <w:tcW w:w="657" w:type="dxa"/>
          </w:tcPr>
          <w:p>
            <w:pPr>
              <w:pStyle w:val="TableParagraph"/>
              <w:spacing w:before="46"/>
              <w:ind w:right="217"/>
              <w:jc w:val="right"/>
              <w:rPr>
                <w:sz w:val="20"/>
              </w:rPr>
            </w:pPr>
            <w:r>
              <w:rPr>
                <w:spacing w:val="-5"/>
                <w:sz w:val="20"/>
              </w:rPr>
              <w:t>50</w:t>
            </w:r>
          </w:p>
        </w:tc>
        <w:tc>
          <w:tcPr>
            <w:tcW w:w="3441" w:type="dxa"/>
          </w:tcPr>
          <w:p>
            <w:pPr>
              <w:pStyle w:val="TableParagraph"/>
              <w:spacing w:before="46"/>
              <w:ind w:left="217" w:right="1379"/>
              <w:rPr>
                <w:sz w:val="20"/>
              </w:rPr>
            </w:pPr>
            <w:r>
              <w:rPr>
                <w:sz w:val="20"/>
              </w:rPr>
              <w:t>Аппендэктомия,</w:t>
            </w:r>
            <w:r>
              <w:rPr>
                <w:spacing w:val="-13"/>
                <w:sz w:val="20"/>
              </w:rPr>
              <w:t> </w:t>
            </w:r>
            <w:r>
              <w:rPr>
                <w:sz w:val="20"/>
              </w:rPr>
              <w:t>дети (уровень 2)</w:t>
            </w:r>
          </w:p>
        </w:tc>
        <w:tc>
          <w:tcPr>
            <w:tcW w:w="2491" w:type="dxa"/>
          </w:tcPr>
          <w:p>
            <w:pPr>
              <w:pStyle w:val="TableParagraph"/>
              <w:spacing w:before="46"/>
              <w:ind w:right="1152"/>
              <w:jc w:val="right"/>
              <w:rPr>
                <w:sz w:val="20"/>
              </w:rPr>
            </w:pPr>
            <w:r>
              <w:rPr>
                <w:w w:val="99"/>
                <w:sz w:val="20"/>
              </w:rPr>
              <w:t>-</w:t>
            </w:r>
          </w:p>
        </w:tc>
        <w:tc>
          <w:tcPr>
            <w:tcW w:w="4439" w:type="dxa"/>
          </w:tcPr>
          <w:p>
            <w:pPr>
              <w:pStyle w:val="TableParagraph"/>
              <w:spacing w:before="46"/>
              <w:ind w:left="1691" w:right="746"/>
              <w:jc w:val="center"/>
              <w:rPr>
                <w:sz w:val="20"/>
              </w:rPr>
            </w:pPr>
            <w:r>
              <w:rPr>
                <w:spacing w:val="-2"/>
                <w:sz w:val="20"/>
              </w:rPr>
              <w:t>A16.18.009.001</w:t>
            </w:r>
          </w:p>
        </w:tc>
        <w:tc>
          <w:tcPr>
            <w:tcW w:w="2462" w:type="dxa"/>
          </w:tcPr>
          <w:p>
            <w:pPr>
              <w:pStyle w:val="TableParagraph"/>
              <w:spacing w:before="46"/>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6"/>
              <w:ind w:right="53"/>
              <w:jc w:val="right"/>
              <w:rPr>
                <w:sz w:val="20"/>
              </w:rPr>
            </w:pPr>
            <w:r>
              <w:rPr>
                <w:spacing w:val="-4"/>
                <w:sz w:val="20"/>
              </w:rPr>
              <w:t>0,97</w:t>
            </w:r>
          </w:p>
        </w:tc>
      </w:tr>
      <w:tr>
        <w:trPr>
          <w:trHeight w:val="560" w:hRule="atLeast"/>
        </w:trPr>
        <w:tc>
          <w:tcPr>
            <w:tcW w:w="971" w:type="dxa"/>
          </w:tcPr>
          <w:p>
            <w:pPr>
              <w:pStyle w:val="TableParagraph"/>
              <w:spacing w:before="45"/>
              <w:ind w:left="50"/>
              <w:rPr>
                <w:sz w:val="20"/>
              </w:rPr>
            </w:pPr>
            <w:r>
              <w:rPr>
                <w:spacing w:val="-2"/>
                <w:sz w:val="20"/>
              </w:rPr>
              <w:t>st10.005</w:t>
            </w:r>
          </w:p>
        </w:tc>
        <w:tc>
          <w:tcPr>
            <w:tcW w:w="657" w:type="dxa"/>
          </w:tcPr>
          <w:p>
            <w:pPr>
              <w:pStyle w:val="TableParagraph"/>
              <w:spacing w:before="45"/>
              <w:ind w:right="217"/>
              <w:jc w:val="right"/>
              <w:rPr>
                <w:sz w:val="20"/>
              </w:rPr>
            </w:pPr>
            <w:r>
              <w:rPr>
                <w:spacing w:val="-5"/>
                <w:sz w:val="20"/>
              </w:rPr>
              <w:t>51</w:t>
            </w:r>
          </w:p>
        </w:tc>
        <w:tc>
          <w:tcPr>
            <w:tcW w:w="3441" w:type="dxa"/>
          </w:tcPr>
          <w:p>
            <w:pPr>
              <w:pStyle w:val="TableParagraph"/>
              <w:spacing w:before="45"/>
              <w:ind w:left="217" w:right="979"/>
              <w:rPr>
                <w:sz w:val="20"/>
              </w:rPr>
            </w:pPr>
            <w:r>
              <w:rPr>
                <w:sz w:val="20"/>
              </w:rPr>
              <w:t>Операции по поводу грыж,</w:t>
            </w:r>
            <w:r>
              <w:rPr>
                <w:spacing w:val="-13"/>
                <w:sz w:val="20"/>
              </w:rPr>
              <w:t> </w:t>
            </w:r>
            <w:r>
              <w:rPr>
                <w:sz w:val="20"/>
              </w:rPr>
              <w:t>дети</w:t>
            </w:r>
            <w:r>
              <w:rPr>
                <w:spacing w:val="-12"/>
                <w:sz w:val="20"/>
              </w:rPr>
              <w:t> </w:t>
            </w:r>
            <w:r>
              <w:rPr>
                <w:sz w:val="20"/>
              </w:rPr>
              <w:t>(уровень</w:t>
            </w:r>
            <w:r>
              <w:rPr>
                <w:spacing w:val="-13"/>
                <w:sz w:val="20"/>
              </w:rPr>
              <w:t> </w:t>
            </w:r>
            <w:r>
              <w:rPr>
                <w:sz w:val="20"/>
              </w:rPr>
              <w:t>1)</w:t>
            </w:r>
          </w:p>
        </w:tc>
        <w:tc>
          <w:tcPr>
            <w:tcW w:w="2491" w:type="dxa"/>
          </w:tcPr>
          <w:p>
            <w:pPr>
              <w:pStyle w:val="TableParagraph"/>
              <w:spacing w:before="45"/>
              <w:ind w:right="1152"/>
              <w:jc w:val="right"/>
              <w:rPr>
                <w:sz w:val="20"/>
              </w:rPr>
            </w:pPr>
            <w:r>
              <w:rPr>
                <w:w w:val="99"/>
                <w:sz w:val="20"/>
              </w:rPr>
              <w:t>-</w:t>
            </w:r>
          </w:p>
        </w:tc>
        <w:tc>
          <w:tcPr>
            <w:tcW w:w="4439" w:type="dxa"/>
          </w:tcPr>
          <w:p>
            <w:pPr>
              <w:pStyle w:val="TableParagraph"/>
              <w:spacing w:before="45"/>
              <w:ind w:left="1349" w:hanging="200"/>
              <w:rPr>
                <w:sz w:val="20"/>
              </w:rPr>
            </w:pPr>
            <w:r>
              <w:rPr>
                <w:sz w:val="20"/>
              </w:rPr>
              <w:t>A16.30.001,</w:t>
            </w:r>
            <w:r>
              <w:rPr>
                <w:spacing w:val="-13"/>
                <w:sz w:val="20"/>
              </w:rPr>
              <w:t> </w:t>
            </w:r>
            <w:r>
              <w:rPr>
                <w:sz w:val="20"/>
              </w:rPr>
              <w:t>A16.30.002,</w:t>
            </w:r>
            <w:r>
              <w:rPr>
                <w:spacing w:val="-12"/>
                <w:sz w:val="20"/>
              </w:rPr>
              <w:t> </w:t>
            </w:r>
            <w:r>
              <w:rPr>
                <w:sz w:val="20"/>
              </w:rPr>
              <w:t>A16.30.003, A16.30.004.001, A16.30.004.002</w:t>
            </w:r>
          </w:p>
        </w:tc>
        <w:tc>
          <w:tcPr>
            <w:tcW w:w="2462" w:type="dxa"/>
          </w:tcPr>
          <w:p>
            <w:pPr>
              <w:pStyle w:val="TableParagraph"/>
              <w:spacing w:before="45"/>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5"/>
              <w:ind w:right="53"/>
              <w:jc w:val="right"/>
              <w:rPr>
                <w:sz w:val="20"/>
              </w:rPr>
            </w:pPr>
            <w:r>
              <w:rPr>
                <w:spacing w:val="-4"/>
                <w:sz w:val="20"/>
              </w:rPr>
              <w:t>0,88</w:t>
            </w:r>
          </w:p>
        </w:tc>
      </w:tr>
      <w:tr>
        <w:trPr>
          <w:trHeight w:val="734" w:hRule="atLeast"/>
        </w:trPr>
        <w:tc>
          <w:tcPr>
            <w:tcW w:w="971" w:type="dxa"/>
          </w:tcPr>
          <w:p>
            <w:pPr>
              <w:pStyle w:val="TableParagraph"/>
              <w:spacing w:before="46"/>
              <w:ind w:left="50"/>
              <w:rPr>
                <w:sz w:val="20"/>
              </w:rPr>
            </w:pPr>
            <w:r>
              <w:rPr>
                <w:spacing w:val="-2"/>
                <w:sz w:val="20"/>
              </w:rPr>
              <w:t>st10.006</w:t>
            </w:r>
          </w:p>
        </w:tc>
        <w:tc>
          <w:tcPr>
            <w:tcW w:w="657" w:type="dxa"/>
          </w:tcPr>
          <w:p>
            <w:pPr>
              <w:pStyle w:val="TableParagraph"/>
              <w:spacing w:before="46"/>
              <w:ind w:right="217"/>
              <w:jc w:val="right"/>
              <w:rPr>
                <w:sz w:val="20"/>
              </w:rPr>
            </w:pPr>
            <w:r>
              <w:rPr>
                <w:spacing w:val="-5"/>
                <w:sz w:val="20"/>
              </w:rPr>
              <w:t>52</w:t>
            </w:r>
          </w:p>
        </w:tc>
        <w:tc>
          <w:tcPr>
            <w:tcW w:w="3441" w:type="dxa"/>
          </w:tcPr>
          <w:p>
            <w:pPr>
              <w:pStyle w:val="TableParagraph"/>
              <w:spacing w:before="46"/>
              <w:ind w:left="217" w:right="979"/>
              <w:rPr>
                <w:sz w:val="20"/>
              </w:rPr>
            </w:pPr>
            <w:r>
              <w:rPr>
                <w:sz w:val="20"/>
              </w:rPr>
              <w:t>Операции по поводу грыж,</w:t>
            </w:r>
            <w:r>
              <w:rPr>
                <w:spacing w:val="-13"/>
                <w:sz w:val="20"/>
              </w:rPr>
              <w:t> </w:t>
            </w:r>
            <w:r>
              <w:rPr>
                <w:sz w:val="20"/>
              </w:rPr>
              <w:t>дети</w:t>
            </w:r>
            <w:r>
              <w:rPr>
                <w:spacing w:val="-12"/>
                <w:sz w:val="20"/>
              </w:rPr>
              <w:t> </w:t>
            </w:r>
            <w:r>
              <w:rPr>
                <w:sz w:val="20"/>
              </w:rPr>
              <w:t>(уровень</w:t>
            </w:r>
            <w:r>
              <w:rPr>
                <w:spacing w:val="-13"/>
                <w:sz w:val="20"/>
              </w:rPr>
              <w:t> </w:t>
            </w:r>
            <w:r>
              <w:rPr>
                <w:sz w:val="20"/>
              </w:rPr>
              <w:t>2)</w:t>
            </w:r>
          </w:p>
        </w:tc>
        <w:tc>
          <w:tcPr>
            <w:tcW w:w="2491" w:type="dxa"/>
          </w:tcPr>
          <w:p>
            <w:pPr>
              <w:pStyle w:val="TableParagraph"/>
              <w:spacing w:before="46"/>
              <w:ind w:right="1152"/>
              <w:jc w:val="right"/>
              <w:rPr>
                <w:sz w:val="20"/>
              </w:rPr>
            </w:pPr>
            <w:r>
              <w:rPr>
                <w:w w:val="99"/>
                <w:sz w:val="20"/>
              </w:rPr>
              <w:t>-</w:t>
            </w:r>
          </w:p>
        </w:tc>
        <w:tc>
          <w:tcPr>
            <w:tcW w:w="4439" w:type="dxa"/>
          </w:tcPr>
          <w:p>
            <w:pPr>
              <w:pStyle w:val="TableParagraph"/>
              <w:spacing w:before="46"/>
              <w:ind w:left="1323" w:right="370"/>
              <w:rPr>
                <w:sz w:val="20"/>
              </w:rPr>
            </w:pPr>
            <w:r>
              <w:rPr>
                <w:sz w:val="20"/>
              </w:rPr>
              <w:t>A16.30.004.003,</w:t>
            </w:r>
            <w:r>
              <w:rPr>
                <w:spacing w:val="-13"/>
                <w:sz w:val="20"/>
              </w:rPr>
              <w:t> </w:t>
            </w:r>
            <w:r>
              <w:rPr>
                <w:sz w:val="20"/>
              </w:rPr>
              <w:t>A16.30.004.004, A16.30.004.005,</w:t>
            </w:r>
            <w:r>
              <w:rPr>
                <w:spacing w:val="-10"/>
                <w:sz w:val="20"/>
              </w:rPr>
              <w:t> </w:t>
            </w:r>
            <w:r>
              <w:rPr>
                <w:spacing w:val="-2"/>
                <w:sz w:val="20"/>
              </w:rPr>
              <w:t>A16.30.004.006,</w:t>
            </w:r>
          </w:p>
          <w:p>
            <w:pPr>
              <w:pStyle w:val="TableParagraph"/>
              <w:spacing w:line="208" w:lineRule="exact"/>
              <w:ind w:left="1323"/>
              <w:rPr>
                <w:sz w:val="20"/>
              </w:rPr>
            </w:pPr>
            <w:r>
              <w:rPr>
                <w:w w:val="95"/>
                <w:sz w:val="20"/>
              </w:rPr>
              <w:t>A16.30.004.007,</w:t>
            </w:r>
            <w:r>
              <w:rPr>
                <w:spacing w:val="54"/>
                <w:sz w:val="20"/>
              </w:rPr>
              <w:t> </w:t>
            </w:r>
            <w:r>
              <w:rPr>
                <w:spacing w:val="-2"/>
                <w:sz w:val="20"/>
              </w:rPr>
              <w:t>A16.30.004.008,</w:t>
            </w:r>
          </w:p>
        </w:tc>
        <w:tc>
          <w:tcPr>
            <w:tcW w:w="2462" w:type="dxa"/>
          </w:tcPr>
          <w:p>
            <w:pPr>
              <w:pStyle w:val="TableParagraph"/>
              <w:spacing w:before="46"/>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6"/>
              <w:ind w:right="53"/>
              <w:jc w:val="right"/>
              <w:rPr>
                <w:sz w:val="20"/>
              </w:rPr>
            </w:pPr>
            <w:r>
              <w:rPr>
                <w:spacing w:val="-4"/>
                <w:sz w:val="20"/>
              </w:rPr>
              <w:t>1,05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47"/>
        <w:gridCol w:w="4574"/>
        <w:gridCol w:w="3313"/>
        <w:gridCol w:w="2453"/>
        <w:gridCol w:w="865"/>
      </w:tblGrid>
      <w:tr>
        <w:trPr>
          <w:trHeight w:val="506"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rPr>
                <w:sz w:val="18"/>
              </w:rPr>
            </w:pPr>
          </w:p>
        </w:tc>
        <w:tc>
          <w:tcPr>
            <w:tcW w:w="3313" w:type="dxa"/>
          </w:tcPr>
          <w:p>
            <w:pPr>
              <w:pStyle w:val="TableParagraph"/>
              <w:ind w:left="433" w:right="334" w:hanging="200"/>
              <w:rPr>
                <w:sz w:val="20"/>
              </w:rPr>
            </w:pPr>
            <w:r>
              <w:rPr>
                <w:sz w:val="20"/>
              </w:rPr>
              <w:t>A16.30.004.009,</w:t>
            </w:r>
            <w:r>
              <w:rPr>
                <w:spacing w:val="-13"/>
                <w:sz w:val="20"/>
              </w:rPr>
              <w:t> </w:t>
            </w:r>
            <w:r>
              <w:rPr>
                <w:sz w:val="20"/>
              </w:rPr>
              <w:t>A16.30.004.010, A16.30.005, A16.30.005.002</w:t>
            </w:r>
          </w:p>
        </w:tc>
        <w:tc>
          <w:tcPr>
            <w:tcW w:w="2453" w:type="dxa"/>
          </w:tcPr>
          <w:p>
            <w:pPr>
              <w:pStyle w:val="TableParagraph"/>
              <w:rPr>
                <w:sz w:val="18"/>
              </w:rPr>
            </w:pPr>
          </w:p>
        </w:tc>
        <w:tc>
          <w:tcPr>
            <w:tcW w:w="865" w:type="dxa"/>
          </w:tcPr>
          <w:p>
            <w:pPr>
              <w:pStyle w:val="TableParagraph"/>
              <w:rPr>
                <w:sz w:val="18"/>
              </w:rPr>
            </w:pPr>
          </w:p>
        </w:tc>
      </w:tr>
      <w:tr>
        <w:trPr>
          <w:trHeight w:val="282" w:hRule="atLeast"/>
        </w:trPr>
        <w:tc>
          <w:tcPr>
            <w:tcW w:w="971" w:type="dxa"/>
          </w:tcPr>
          <w:p>
            <w:pPr>
              <w:pStyle w:val="TableParagraph"/>
              <w:spacing w:line="214" w:lineRule="exact" w:before="48"/>
              <w:ind w:left="39" w:right="223"/>
              <w:jc w:val="center"/>
              <w:rPr>
                <w:sz w:val="20"/>
              </w:rPr>
            </w:pPr>
            <w:r>
              <w:rPr>
                <w:spacing w:val="-2"/>
                <w:sz w:val="20"/>
              </w:rPr>
              <w:t>st10.007</w:t>
            </w:r>
          </w:p>
        </w:tc>
        <w:tc>
          <w:tcPr>
            <w:tcW w:w="657" w:type="dxa"/>
          </w:tcPr>
          <w:p>
            <w:pPr>
              <w:pStyle w:val="TableParagraph"/>
              <w:spacing w:line="214" w:lineRule="exact" w:before="48"/>
              <w:ind w:right="217"/>
              <w:jc w:val="right"/>
              <w:rPr>
                <w:sz w:val="20"/>
              </w:rPr>
            </w:pPr>
            <w:r>
              <w:rPr>
                <w:spacing w:val="-5"/>
                <w:sz w:val="20"/>
              </w:rPr>
              <w:t>53</w:t>
            </w:r>
          </w:p>
        </w:tc>
        <w:tc>
          <w:tcPr>
            <w:tcW w:w="2447" w:type="dxa"/>
          </w:tcPr>
          <w:p>
            <w:pPr>
              <w:pStyle w:val="TableParagraph"/>
              <w:spacing w:line="216" w:lineRule="exact" w:before="46"/>
              <w:ind w:left="217"/>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4574" w:type="dxa"/>
          </w:tcPr>
          <w:p>
            <w:pPr>
              <w:pStyle w:val="TableParagraph"/>
              <w:spacing w:line="214" w:lineRule="exact" w:before="48"/>
              <w:ind w:left="20"/>
              <w:jc w:val="center"/>
              <w:rPr>
                <w:sz w:val="20"/>
              </w:rPr>
            </w:pPr>
            <w:r>
              <w:rPr>
                <w:w w:val="99"/>
                <w:sz w:val="20"/>
              </w:rPr>
              <w:t>-</w:t>
            </w:r>
          </w:p>
        </w:tc>
        <w:tc>
          <w:tcPr>
            <w:tcW w:w="3313" w:type="dxa"/>
          </w:tcPr>
          <w:p>
            <w:pPr>
              <w:pStyle w:val="TableParagraph"/>
              <w:spacing w:line="216" w:lineRule="exact" w:before="46"/>
              <w:ind w:left="235" w:right="338"/>
              <w:jc w:val="center"/>
              <w:rPr>
                <w:sz w:val="20"/>
              </w:rPr>
            </w:pPr>
            <w:r>
              <w:rPr>
                <w:sz w:val="20"/>
              </w:rPr>
              <w:t>A16.30.001.001,</w:t>
            </w:r>
            <w:r>
              <w:rPr>
                <w:spacing w:val="-10"/>
                <w:sz w:val="20"/>
              </w:rPr>
              <w:t> </w:t>
            </w:r>
            <w:r>
              <w:rPr>
                <w:spacing w:val="-2"/>
                <w:sz w:val="20"/>
              </w:rPr>
              <w:t>A16.30.001.002,</w:t>
            </w:r>
          </w:p>
        </w:tc>
        <w:tc>
          <w:tcPr>
            <w:tcW w:w="2453" w:type="dxa"/>
          </w:tcPr>
          <w:p>
            <w:pPr>
              <w:pStyle w:val="TableParagraph"/>
              <w:spacing w:line="216" w:lineRule="exact" w:before="46"/>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48"/>
              <w:ind w:right="54"/>
              <w:jc w:val="right"/>
              <w:rPr>
                <w:sz w:val="20"/>
              </w:rPr>
            </w:pPr>
            <w:r>
              <w:rPr>
                <w:spacing w:val="-4"/>
                <w:sz w:val="20"/>
              </w:rPr>
              <w:t>1,25</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10" w:lineRule="exact"/>
              <w:ind w:left="217"/>
              <w:rPr>
                <w:sz w:val="20"/>
              </w:rPr>
            </w:pPr>
            <w:r>
              <w:rPr>
                <w:sz w:val="20"/>
              </w:rPr>
              <w:t>грыж,</w:t>
            </w:r>
            <w:r>
              <w:rPr>
                <w:spacing w:val="-7"/>
                <w:sz w:val="20"/>
              </w:rPr>
              <w:t> </w:t>
            </w:r>
            <w:r>
              <w:rPr>
                <w:sz w:val="20"/>
              </w:rPr>
              <w:t>дети</w:t>
            </w:r>
            <w:r>
              <w:rPr>
                <w:spacing w:val="-8"/>
                <w:sz w:val="20"/>
              </w:rPr>
              <w:t> </w:t>
            </w:r>
            <w:r>
              <w:rPr>
                <w:sz w:val="20"/>
              </w:rPr>
              <w:t>(уровень</w:t>
            </w:r>
            <w:r>
              <w:rPr>
                <w:spacing w:val="-7"/>
                <w:sz w:val="20"/>
              </w:rPr>
              <w:t> </w:t>
            </w:r>
            <w:r>
              <w:rPr>
                <w:spacing w:val="-5"/>
                <w:sz w:val="20"/>
              </w:rPr>
              <w:t>3)</w:t>
            </w:r>
          </w:p>
        </w:tc>
        <w:tc>
          <w:tcPr>
            <w:tcW w:w="4574" w:type="dxa"/>
          </w:tcPr>
          <w:p>
            <w:pPr>
              <w:pStyle w:val="TableParagraph"/>
              <w:rPr>
                <w:sz w:val="16"/>
              </w:rPr>
            </w:pPr>
          </w:p>
        </w:tc>
        <w:tc>
          <w:tcPr>
            <w:tcW w:w="3313" w:type="dxa"/>
          </w:tcPr>
          <w:p>
            <w:pPr>
              <w:pStyle w:val="TableParagraph"/>
              <w:spacing w:line="210" w:lineRule="exact"/>
              <w:ind w:left="235" w:right="338"/>
              <w:jc w:val="center"/>
              <w:rPr>
                <w:sz w:val="20"/>
              </w:rPr>
            </w:pPr>
            <w:r>
              <w:rPr>
                <w:sz w:val="20"/>
              </w:rPr>
              <w:t>A16.30.002.001,</w:t>
            </w:r>
            <w:r>
              <w:rPr>
                <w:spacing w:val="-10"/>
                <w:sz w:val="20"/>
              </w:rPr>
              <w:t> </w:t>
            </w:r>
            <w:r>
              <w:rPr>
                <w:spacing w:val="-2"/>
                <w:sz w:val="20"/>
              </w:rPr>
              <w:t>A16.30.002.002,</w:t>
            </w:r>
          </w:p>
        </w:tc>
        <w:tc>
          <w:tcPr>
            <w:tcW w:w="2453" w:type="dxa"/>
          </w:tcPr>
          <w:p>
            <w:pPr>
              <w:pStyle w:val="TableParagraph"/>
              <w:spacing w:line="210"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rPr>
                <w:sz w:val="16"/>
              </w:rPr>
            </w:pPr>
          </w:p>
        </w:tc>
        <w:tc>
          <w:tcPr>
            <w:tcW w:w="3313" w:type="dxa"/>
          </w:tcPr>
          <w:p>
            <w:pPr>
              <w:pStyle w:val="TableParagraph"/>
              <w:spacing w:line="209" w:lineRule="exact"/>
              <w:ind w:left="232" w:right="338"/>
              <w:jc w:val="center"/>
              <w:rPr>
                <w:sz w:val="20"/>
              </w:rPr>
            </w:pPr>
            <w:r>
              <w:rPr>
                <w:w w:val="95"/>
                <w:sz w:val="20"/>
              </w:rPr>
              <w:t>A16.30.004.011,</w:t>
            </w:r>
            <w:r>
              <w:rPr>
                <w:spacing w:val="54"/>
                <w:sz w:val="20"/>
              </w:rPr>
              <w:t> </w:t>
            </w:r>
            <w:r>
              <w:rPr>
                <w:spacing w:val="-2"/>
                <w:sz w:val="20"/>
              </w:rPr>
              <w:t>A16.30.004.012,</w:t>
            </w:r>
          </w:p>
        </w:tc>
        <w:tc>
          <w:tcPr>
            <w:tcW w:w="2453" w:type="dxa"/>
          </w:tcPr>
          <w:p>
            <w:pPr>
              <w:pStyle w:val="TableParagraph"/>
              <w:rPr>
                <w:sz w:val="16"/>
              </w:rPr>
            </w:pP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rPr>
                <w:sz w:val="16"/>
              </w:rPr>
            </w:pPr>
          </w:p>
        </w:tc>
        <w:tc>
          <w:tcPr>
            <w:tcW w:w="3313" w:type="dxa"/>
          </w:tcPr>
          <w:p>
            <w:pPr>
              <w:pStyle w:val="TableParagraph"/>
              <w:spacing w:line="209" w:lineRule="exact"/>
              <w:ind w:left="232" w:right="338"/>
              <w:jc w:val="center"/>
              <w:rPr>
                <w:sz w:val="20"/>
              </w:rPr>
            </w:pPr>
            <w:r>
              <w:rPr>
                <w:w w:val="95"/>
                <w:sz w:val="20"/>
              </w:rPr>
              <w:t>A16.30.004.013,</w:t>
            </w:r>
            <w:r>
              <w:rPr>
                <w:spacing w:val="54"/>
                <w:sz w:val="20"/>
              </w:rPr>
              <w:t> </w:t>
            </w:r>
            <w:r>
              <w:rPr>
                <w:spacing w:val="-2"/>
                <w:sz w:val="20"/>
              </w:rPr>
              <w:t>A16.30.004.014,</w:t>
            </w:r>
          </w:p>
        </w:tc>
        <w:tc>
          <w:tcPr>
            <w:tcW w:w="2453" w:type="dxa"/>
          </w:tcPr>
          <w:p>
            <w:pPr>
              <w:pStyle w:val="TableParagraph"/>
              <w:rPr>
                <w:sz w:val="16"/>
              </w:rPr>
            </w:pP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rPr>
                <w:sz w:val="16"/>
              </w:rPr>
            </w:pPr>
          </w:p>
        </w:tc>
        <w:tc>
          <w:tcPr>
            <w:tcW w:w="3313" w:type="dxa"/>
          </w:tcPr>
          <w:p>
            <w:pPr>
              <w:pStyle w:val="TableParagraph"/>
              <w:spacing w:line="211" w:lineRule="exact"/>
              <w:ind w:left="232" w:right="338"/>
              <w:jc w:val="center"/>
              <w:rPr>
                <w:sz w:val="20"/>
              </w:rPr>
            </w:pPr>
            <w:r>
              <w:rPr>
                <w:w w:val="95"/>
                <w:sz w:val="20"/>
              </w:rPr>
              <w:t>A16.30.004.015,</w:t>
            </w:r>
            <w:r>
              <w:rPr>
                <w:spacing w:val="54"/>
                <w:sz w:val="20"/>
              </w:rPr>
              <w:t> </w:t>
            </w:r>
            <w:r>
              <w:rPr>
                <w:spacing w:val="-2"/>
                <w:sz w:val="20"/>
              </w:rPr>
              <w:t>A16.30.004.016,</w:t>
            </w:r>
          </w:p>
        </w:tc>
        <w:tc>
          <w:tcPr>
            <w:tcW w:w="2453" w:type="dxa"/>
          </w:tcPr>
          <w:p>
            <w:pPr>
              <w:pStyle w:val="TableParagraph"/>
              <w:rPr>
                <w:sz w:val="16"/>
              </w:rPr>
            </w:pPr>
          </w:p>
        </w:tc>
        <w:tc>
          <w:tcPr>
            <w:tcW w:w="865" w:type="dxa"/>
          </w:tcPr>
          <w:p>
            <w:pPr>
              <w:pStyle w:val="TableParagraph"/>
              <w:rPr>
                <w:sz w:val="16"/>
              </w:rPr>
            </w:pPr>
          </w:p>
        </w:tc>
      </w:tr>
      <w:tr>
        <w:trPr>
          <w:trHeight w:val="270"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rPr>
                <w:sz w:val="18"/>
              </w:rPr>
            </w:pPr>
          </w:p>
        </w:tc>
        <w:tc>
          <w:tcPr>
            <w:tcW w:w="3313" w:type="dxa"/>
          </w:tcPr>
          <w:p>
            <w:pPr>
              <w:pStyle w:val="TableParagraph"/>
              <w:spacing w:line="227" w:lineRule="exact"/>
              <w:ind w:left="234" w:right="338"/>
              <w:jc w:val="center"/>
              <w:rPr>
                <w:sz w:val="20"/>
              </w:rPr>
            </w:pPr>
            <w:r>
              <w:rPr>
                <w:w w:val="95"/>
                <w:sz w:val="20"/>
              </w:rPr>
              <w:t>A16.30.005.001,</w:t>
            </w:r>
            <w:r>
              <w:rPr>
                <w:spacing w:val="54"/>
                <w:sz w:val="20"/>
              </w:rPr>
              <w:t> </w:t>
            </w:r>
            <w:r>
              <w:rPr>
                <w:spacing w:val="-2"/>
                <w:sz w:val="20"/>
              </w:rPr>
              <w:t>A16.30.005.003</w:t>
            </w:r>
          </w:p>
        </w:tc>
        <w:tc>
          <w:tcPr>
            <w:tcW w:w="2453" w:type="dxa"/>
          </w:tcPr>
          <w:p>
            <w:pPr>
              <w:pStyle w:val="TableParagraph"/>
              <w:rPr>
                <w:sz w:val="18"/>
              </w:rPr>
            </w:pPr>
          </w:p>
        </w:tc>
        <w:tc>
          <w:tcPr>
            <w:tcW w:w="865" w:type="dxa"/>
          </w:tcPr>
          <w:p>
            <w:pPr>
              <w:pStyle w:val="TableParagraph"/>
              <w:rPr>
                <w:sz w:val="18"/>
              </w:rPr>
            </w:pPr>
          </w:p>
        </w:tc>
      </w:tr>
      <w:tr>
        <w:trPr>
          <w:trHeight w:val="308" w:hRule="atLeast"/>
        </w:trPr>
        <w:tc>
          <w:tcPr>
            <w:tcW w:w="971" w:type="dxa"/>
          </w:tcPr>
          <w:p>
            <w:pPr>
              <w:pStyle w:val="TableParagraph"/>
              <w:spacing w:before="34"/>
              <w:ind w:left="37" w:right="223"/>
              <w:jc w:val="center"/>
              <w:rPr>
                <w:sz w:val="20"/>
              </w:rPr>
            </w:pPr>
            <w:r>
              <w:rPr>
                <w:spacing w:val="-4"/>
                <w:sz w:val="20"/>
              </w:rPr>
              <w:t>st11</w:t>
            </w:r>
          </w:p>
        </w:tc>
        <w:tc>
          <w:tcPr>
            <w:tcW w:w="657" w:type="dxa"/>
          </w:tcPr>
          <w:p>
            <w:pPr>
              <w:pStyle w:val="TableParagraph"/>
              <w:spacing w:before="34"/>
              <w:ind w:right="217"/>
              <w:jc w:val="right"/>
              <w:rPr>
                <w:sz w:val="20"/>
              </w:rPr>
            </w:pPr>
            <w:r>
              <w:rPr>
                <w:spacing w:val="-5"/>
                <w:sz w:val="20"/>
              </w:rPr>
              <w:t>11</w:t>
            </w:r>
          </w:p>
        </w:tc>
        <w:tc>
          <w:tcPr>
            <w:tcW w:w="2447" w:type="dxa"/>
          </w:tcPr>
          <w:p>
            <w:pPr>
              <w:pStyle w:val="TableParagraph"/>
              <w:rPr>
                <w:sz w:val="18"/>
              </w:rPr>
            </w:pPr>
          </w:p>
        </w:tc>
        <w:tc>
          <w:tcPr>
            <w:tcW w:w="7887" w:type="dxa"/>
            <w:gridSpan w:val="2"/>
          </w:tcPr>
          <w:p>
            <w:pPr>
              <w:pStyle w:val="TableParagraph"/>
              <w:spacing w:before="34"/>
              <w:ind w:left="2864" w:right="2903"/>
              <w:jc w:val="center"/>
              <w:rPr>
                <w:sz w:val="20"/>
              </w:rPr>
            </w:pPr>
            <w:r>
              <w:rPr>
                <w:sz w:val="20"/>
              </w:rPr>
              <w:t>Детская</w:t>
            </w:r>
            <w:r>
              <w:rPr>
                <w:spacing w:val="-9"/>
                <w:sz w:val="20"/>
              </w:rPr>
              <w:t> </w:t>
            </w:r>
            <w:r>
              <w:rPr>
                <w:spacing w:val="-2"/>
                <w:sz w:val="20"/>
              </w:rPr>
              <w:t>эндокринология</w:t>
            </w:r>
          </w:p>
        </w:tc>
        <w:tc>
          <w:tcPr>
            <w:tcW w:w="2453" w:type="dxa"/>
          </w:tcPr>
          <w:p>
            <w:pPr>
              <w:pStyle w:val="TableParagraph"/>
              <w:rPr>
                <w:sz w:val="18"/>
              </w:rPr>
            </w:pPr>
          </w:p>
        </w:tc>
        <w:tc>
          <w:tcPr>
            <w:tcW w:w="865" w:type="dxa"/>
          </w:tcPr>
          <w:p>
            <w:pPr>
              <w:pStyle w:val="TableParagraph"/>
              <w:spacing w:before="34"/>
              <w:ind w:right="54"/>
              <w:jc w:val="right"/>
              <w:rPr>
                <w:sz w:val="20"/>
              </w:rPr>
            </w:pPr>
            <w:r>
              <w:rPr>
                <w:spacing w:val="-4"/>
                <w:sz w:val="20"/>
              </w:rPr>
              <w:t>1,48</w:t>
            </w:r>
          </w:p>
        </w:tc>
      </w:tr>
      <w:tr>
        <w:trPr>
          <w:trHeight w:val="271" w:hRule="atLeast"/>
        </w:trPr>
        <w:tc>
          <w:tcPr>
            <w:tcW w:w="971" w:type="dxa"/>
          </w:tcPr>
          <w:p>
            <w:pPr>
              <w:pStyle w:val="TableParagraph"/>
              <w:spacing w:line="211" w:lineRule="exact" w:before="40"/>
              <w:ind w:left="39" w:right="223"/>
              <w:jc w:val="center"/>
              <w:rPr>
                <w:sz w:val="20"/>
              </w:rPr>
            </w:pPr>
            <w:r>
              <w:rPr>
                <w:spacing w:val="-2"/>
                <w:sz w:val="20"/>
              </w:rPr>
              <w:t>st11.001</w:t>
            </w:r>
          </w:p>
        </w:tc>
        <w:tc>
          <w:tcPr>
            <w:tcW w:w="657" w:type="dxa"/>
          </w:tcPr>
          <w:p>
            <w:pPr>
              <w:pStyle w:val="TableParagraph"/>
              <w:spacing w:line="211" w:lineRule="exact" w:before="40"/>
              <w:ind w:right="217"/>
              <w:jc w:val="right"/>
              <w:rPr>
                <w:sz w:val="20"/>
              </w:rPr>
            </w:pPr>
            <w:r>
              <w:rPr>
                <w:spacing w:val="-5"/>
                <w:sz w:val="20"/>
              </w:rPr>
              <w:t>54</w:t>
            </w:r>
          </w:p>
        </w:tc>
        <w:tc>
          <w:tcPr>
            <w:tcW w:w="2447" w:type="dxa"/>
          </w:tcPr>
          <w:p>
            <w:pPr>
              <w:pStyle w:val="TableParagraph"/>
              <w:spacing w:line="211" w:lineRule="exact" w:before="40"/>
              <w:ind w:left="217"/>
              <w:rPr>
                <w:sz w:val="20"/>
              </w:rPr>
            </w:pPr>
            <w:r>
              <w:rPr>
                <w:sz w:val="20"/>
              </w:rPr>
              <w:t>Сахарный</w:t>
            </w:r>
            <w:r>
              <w:rPr>
                <w:spacing w:val="-10"/>
                <w:sz w:val="20"/>
              </w:rPr>
              <w:t> </w:t>
            </w:r>
            <w:r>
              <w:rPr>
                <w:sz w:val="20"/>
              </w:rPr>
              <w:t>диабет,</w:t>
            </w:r>
            <w:r>
              <w:rPr>
                <w:spacing w:val="-8"/>
                <w:sz w:val="20"/>
              </w:rPr>
              <w:t> </w:t>
            </w:r>
            <w:r>
              <w:rPr>
                <w:spacing w:val="-4"/>
                <w:sz w:val="20"/>
              </w:rPr>
              <w:t>дети</w:t>
            </w:r>
          </w:p>
        </w:tc>
        <w:tc>
          <w:tcPr>
            <w:tcW w:w="4574" w:type="dxa"/>
          </w:tcPr>
          <w:p>
            <w:pPr>
              <w:pStyle w:val="TableParagraph"/>
              <w:spacing w:line="216" w:lineRule="exact" w:before="35"/>
              <w:ind w:left="257" w:right="240"/>
              <w:jc w:val="center"/>
              <w:rPr>
                <w:sz w:val="20"/>
              </w:rPr>
            </w:pPr>
            <w:r>
              <w:rPr>
                <w:sz w:val="20"/>
              </w:rPr>
              <w:t>E10.0,</w:t>
            </w:r>
            <w:r>
              <w:rPr>
                <w:spacing w:val="-7"/>
                <w:sz w:val="20"/>
              </w:rPr>
              <w:t> </w:t>
            </w:r>
            <w:r>
              <w:rPr>
                <w:sz w:val="20"/>
              </w:rPr>
              <w:t>E10.1,</w:t>
            </w:r>
            <w:r>
              <w:rPr>
                <w:spacing w:val="-5"/>
                <w:sz w:val="20"/>
              </w:rPr>
              <w:t> </w:t>
            </w:r>
            <w:r>
              <w:rPr>
                <w:sz w:val="20"/>
              </w:rPr>
              <w:t>E10.2,</w:t>
            </w:r>
            <w:r>
              <w:rPr>
                <w:spacing w:val="-4"/>
                <w:sz w:val="20"/>
              </w:rPr>
              <w:t> </w:t>
            </w:r>
            <w:r>
              <w:rPr>
                <w:sz w:val="20"/>
              </w:rPr>
              <w:t>E10.3,</w:t>
            </w:r>
            <w:r>
              <w:rPr>
                <w:spacing w:val="-5"/>
                <w:sz w:val="20"/>
              </w:rPr>
              <w:t> </w:t>
            </w:r>
            <w:r>
              <w:rPr>
                <w:sz w:val="20"/>
              </w:rPr>
              <w:t>E10.4,</w:t>
            </w:r>
            <w:r>
              <w:rPr>
                <w:spacing w:val="-6"/>
                <w:sz w:val="20"/>
              </w:rPr>
              <w:t> </w:t>
            </w:r>
            <w:r>
              <w:rPr>
                <w:sz w:val="20"/>
              </w:rPr>
              <w:t>E10.5,</w:t>
            </w:r>
            <w:r>
              <w:rPr>
                <w:spacing w:val="-5"/>
                <w:sz w:val="20"/>
              </w:rPr>
              <w:t> </w:t>
            </w:r>
            <w:r>
              <w:rPr>
                <w:spacing w:val="-2"/>
                <w:sz w:val="20"/>
              </w:rPr>
              <w:t>E10.6,</w:t>
            </w:r>
          </w:p>
        </w:tc>
        <w:tc>
          <w:tcPr>
            <w:tcW w:w="3313" w:type="dxa"/>
          </w:tcPr>
          <w:p>
            <w:pPr>
              <w:pStyle w:val="TableParagraph"/>
              <w:spacing w:line="211" w:lineRule="exact" w:before="40"/>
              <w:ind w:right="102"/>
              <w:jc w:val="center"/>
              <w:rPr>
                <w:sz w:val="20"/>
              </w:rPr>
            </w:pPr>
            <w:r>
              <w:rPr>
                <w:w w:val="99"/>
                <w:sz w:val="20"/>
              </w:rPr>
              <w:t>-</w:t>
            </w:r>
          </w:p>
        </w:tc>
        <w:tc>
          <w:tcPr>
            <w:tcW w:w="2453" w:type="dxa"/>
          </w:tcPr>
          <w:p>
            <w:pPr>
              <w:pStyle w:val="TableParagraph"/>
              <w:spacing w:line="214" w:lineRule="exact" w:before="37"/>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1" w:lineRule="exact" w:before="40"/>
              <w:ind w:right="54"/>
              <w:jc w:val="right"/>
              <w:rPr>
                <w:sz w:val="20"/>
              </w:rPr>
            </w:pPr>
            <w:r>
              <w:rPr>
                <w:spacing w:val="-4"/>
                <w:sz w:val="20"/>
              </w:rPr>
              <w:t>1,51</w:t>
            </w: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E10.7,</w:t>
            </w:r>
            <w:r>
              <w:rPr>
                <w:spacing w:val="-7"/>
                <w:sz w:val="20"/>
              </w:rPr>
              <w:t> </w:t>
            </w:r>
            <w:r>
              <w:rPr>
                <w:sz w:val="20"/>
              </w:rPr>
              <w:t>E10.8,</w:t>
            </w:r>
            <w:r>
              <w:rPr>
                <w:spacing w:val="-5"/>
                <w:sz w:val="20"/>
              </w:rPr>
              <w:t> </w:t>
            </w:r>
            <w:r>
              <w:rPr>
                <w:sz w:val="20"/>
              </w:rPr>
              <w:t>E10.9,</w:t>
            </w:r>
            <w:r>
              <w:rPr>
                <w:spacing w:val="-4"/>
                <w:sz w:val="20"/>
              </w:rPr>
              <w:t> </w:t>
            </w:r>
            <w:r>
              <w:rPr>
                <w:sz w:val="20"/>
              </w:rPr>
              <w:t>E11.0,</w:t>
            </w:r>
            <w:r>
              <w:rPr>
                <w:spacing w:val="-5"/>
                <w:sz w:val="20"/>
              </w:rPr>
              <w:t> </w:t>
            </w:r>
            <w:r>
              <w:rPr>
                <w:sz w:val="20"/>
              </w:rPr>
              <w:t>E11.1,</w:t>
            </w:r>
            <w:r>
              <w:rPr>
                <w:spacing w:val="-6"/>
                <w:sz w:val="20"/>
              </w:rPr>
              <w:t> </w:t>
            </w:r>
            <w:r>
              <w:rPr>
                <w:sz w:val="20"/>
              </w:rPr>
              <w:t>E11.2,</w:t>
            </w:r>
            <w:r>
              <w:rPr>
                <w:spacing w:val="-5"/>
                <w:sz w:val="20"/>
              </w:rPr>
              <w:t> </w:t>
            </w:r>
            <w:r>
              <w:rPr>
                <w:spacing w:val="-2"/>
                <w:sz w:val="20"/>
              </w:rPr>
              <w:t>E11.3,</w:t>
            </w:r>
          </w:p>
        </w:tc>
        <w:tc>
          <w:tcPr>
            <w:tcW w:w="3313" w:type="dxa"/>
          </w:tcPr>
          <w:p>
            <w:pPr>
              <w:pStyle w:val="TableParagraph"/>
              <w:rPr>
                <w:sz w:val="16"/>
              </w:rPr>
            </w:pPr>
          </w:p>
        </w:tc>
        <w:tc>
          <w:tcPr>
            <w:tcW w:w="2453" w:type="dxa"/>
          </w:tcPr>
          <w:p>
            <w:pPr>
              <w:pStyle w:val="TableParagraph"/>
              <w:spacing w:line="208"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6" w:lineRule="exact"/>
              <w:ind w:left="257" w:right="240"/>
              <w:jc w:val="center"/>
              <w:rPr>
                <w:sz w:val="20"/>
              </w:rPr>
            </w:pPr>
            <w:r>
              <w:rPr>
                <w:sz w:val="20"/>
              </w:rPr>
              <w:t>E11.4,</w:t>
            </w:r>
            <w:r>
              <w:rPr>
                <w:spacing w:val="-7"/>
                <w:sz w:val="20"/>
              </w:rPr>
              <w:t> </w:t>
            </w:r>
            <w:r>
              <w:rPr>
                <w:sz w:val="20"/>
              </w:rPr>
              <w:t>E11.5,</w:t>
            </w:r>
            <w:r>
              <w:rPr>
                <w:spacing w:val="-5"/>
                <w:sz w:val="20"/>
              </w:rPr>
              <w:t> </w:t>
            </w:r>
            <w:r>
              <w:rPr>
                <w:sz w:val="20"/>
              </w:rPr>
              <w:t>E11.6,</w:t>
            </w:r>
            <w:r>
              <w:rPr>
                <w:spacing w:val="-4"/>
                <w:sz w:val="20"/>
              </w:rPr>
              <w:t> </w:t>
            </w:r>
            <w:r>
              <w:rPr>
                <w:sz w:val="20"/>
              </w:rPr>
              <w:t>E11.7,</w:t>
            </w:r>
            <w:r>
              <w:rPr>
                <w:spacing w:val="-5"/>
                <w:sz w:val="20"/>
              </w:rPr>
              <w:t> </w:t>
            </w:r>
            <w:r>
              <w:rPr>
                <w:sz w:val="20"/>
              </w:rPr>
              <w:t>E11.8,</w:t>
            </w:r>
            <w:r>
              <w:rPr>
                <w:spacing w:val="-6"/>
                <w:sz w:val="20"/>
              </w:rPr>
              <w:t> </w:t>
            </w:r>
            <w:r>
              <w:rPr>
                <w:sz w:val="20"/>
              </w:rPr>
              <w:t>E11.9,</w:t>
            </w:r>
            <w:r>
              <w:rPr>
                <w:spacing w:val="-5"/>
                <w:sz w:val="20"/>
              </w:rPr>
              <w:t> </w:t>
            </w:r>
            <w:r>
              <w:rPr>
                <w:spacing w:val="-2"/>
                <w:sz w:val="20"/>
              </w:rPr>
              <w:t>E12.0,</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E12.1,</w:t>
            </w:r>
            <w:r>
              <w:rPr>
                <w:spacing w:val="-7"/>
                <w:sz w:val="20"/>
              </w:rPr>
              <w:t> </w:t>
            </w:r>
            <w:r>
              <w:rPr>
                <w:sz w:val="20"/>
              </w:rPr>
              <w:t>E12.2,</w:t>
            </w:r>
            <w:r>
              <w:rPr>
                <w:spacing w:val="-5"/>
                <w:sz w:val="20"/>
              </w:rPr>
              <w:t> </w:t>
            </w:r>
            <w:r>
              <w:rPr>
                <w:sz w:val="20"/>
              </w:rPr>
              <w:t>E12.3,</w:t>
            </w:r>
            <w:r>
              <w:rPr>
                <w:spacing w:val="-4"/>
                <w:sz w:val="20"/>
              </w:rPr>
              <w:t> </w:t>
            </w:r>
            <w:r>
              <w:rPr>
                <w:sz w:val="20"/>
              </w:rPr>
              <w:t>E12.4,</w:t>
            </w:r>
            <w:r>
              <w:rPr>
                <w:spacing w:val="-5"/>
                <w:sz w:val="20"/>
              </w:rPr>
              <w:t> </w:t>
            </w:r>
            <w:r>
              <w:rPr>
                <w:sz w:val="20"/>
              </w:rPr>
              <w:t>E12.5,</w:t>
            </w:r>
            <w:r>
              <w:rPr>
                <w:spacing w:val="-6"/>
                <w:sz w:val="20"/>
              </w:rPr>
              <w:t> </w:t>
            </w:r>
            <w:r>
              <w:rPr>
                <w:sz w:val="20"/>
              </w:rPr>
              <w:t>E12.6,</w:t>
            </w:r>
            <w:r>
              <w:rPr>
                <w:spacing w:val="-5"/>
                <w:sz w:val="20"/>
              </w:rPr>
              <w:t> </w:t>
            </w:r>
            <w:r>
              <w:rPr>
                <w:spacing w:val="-2"/>
                <w:sz w:val="20"/>
              </w:rPr>
              <w:t>E12.7,</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E12.8,</w:t>
            </w:r>
            <w:r>
              <w:rPr>
                <w:spacing w:val="-7"/>
                <w:sz w:val="20"/>
              </w:rPr>
              <w:t> </w:t>
            </w:r>
            <w:r>
              <w:rPr>
                <w:sz w:val="20"/>
              </w:rPr>
              <w:t>E12.9,</w:t>
            </w:r>
            <w:r>
              <w:rPr>
                <w:spacing w:val="-5"/>
                <w:sz w:val="20"/>
              </w:rPr>
              <w:t> </w:t>
            </w:r>
            <w:r>
              <w:rPr>
                <w:sz w:val="20"/>
              </w:rPr>
              <w:t>E13.0,</w:t>
            </w:r>
            <w:r>
              <w:rPr>
                <w:spacing w:val="-4"/>
                <w:sz w:val="20"/>
              </w:rPr>
              <w:t> </w:t>
            </w:r>
            <w:r>
              <w:rPr>
                <w:sz w:val="20"/>
              </w:rPr>
              <w:t>E13.1,</w:t>
            </w:r>
            <w:r>
              <w:rPr>
                <w:spacing w:val="-5"/>
                <w:sz w:val="20"/>
              </w:rPr>
              <w:t> </w:t>
            </w:r>
            <w:r>
              <w:rPr>
                <w:sz w:val="20"/>
              </w:rPr>
              <w:t>E13.2,</w:t>
            </w:r>
            <w:r>
              <w:rPr>
                <w:spacing w:val="-6"/>
                <w:sz w:val="20"/>
              </w:rPr>
              <w:t> </w:t>
            </w:r>
            <w:r>
              <w:rPr>
                <w:sz w:val="20"/>
              </w:rPr>
              <w:t>E13.3,</w:t>
            </w:r>
            <w:r>
              <w:rPr>
                <w:spacing w:val="-5"/>
                <w:sz w:val="20"/>
              </w:rPr>
              <w:t> </w:t>
            </w:r>
            <w:r>
              <w:rPr>
                <w:spacing w:val="-2"/>
                <w:sz w:val="20"/>
              </w:rPr>
              <w:t>E13.4,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E13.5,</w:t>
            </w:r>
            <w:r>
              <w:rPr>
                <w:spacing w:val="-7"/>
                <w:sz w:val="20"/>
              </w:rPr>
              <w:t> </w:t>
            </w:r>
            <w:r>
              <w:rPr>
                <w:sz w:val="20"/>
              </w:rPr>
              <w:t>E13.6,</w:t>
            </w:r>
            <w:r>
              <w:rPr>
                <w:spacing w:val="-5"/>
                <w:sz w:val="20"/>
              </w:rPr>
              <w:t> </w:t>
            </w:r>
            <w:r>
              <w:rPr>
                <w:sz w:val="20"/>
              </w:rPr>
              <w:t>E13.7,</w:t>
            </w:r>
            <w:r>
              <w:rPr>
                <w:spacing w:val="-4"/>
                <w:sz w:val="20"/>
              </w:rPr>
              <w:t> </w:t>
            </w:r>
            <w:r>
              <w:rPr>
                <w:sz w:val="20"/>
              </w:rPr>
              <w:t>E13.8,</w:t>
            </w:r>
            <w:r>
              <w:rPr>
                <w:spacing w:val="-5"/>
                <w:sz w:val="20"/>
              </w:rPr>
              <w:t> </w:t>
            </w:r>
            <w:r>
              <w:rPr>
                <w:sz w:val="20"/>
              </w:rPr>
              <w:t>E13.9,</w:t>
            </w:r>
            <w:r>
              <w:rPr>
                <w:spacing w:val="-6"/>
                <w:sz w:val="20"/>
              </w:rPr>
              <w:t> </w:t>
            </w:r>
            <w:r>
              <w:rPr>
                <w:sz w:val="20"/>
              </w:rPr>
              <w:t>E14.0,</w:t>
            </w:r>
            <w:r>
              <w:rPr>
                <w:spacing w:val="-5"/>
                <w:sz w:val="20"/>
              </w:rPr>
              <w:t> </w:t>
            </w:r>
            <w:r>
              <w:rPr>
                <w:spacing w:val="-2"/>
                <w:sz w:val="20"/>
              </w:rPr>
              <w:t>E14.1,</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9" w:lineRule="exact"/>
              <w:ind w:left="257" w:right="240"/>
              <w:jc w:val="center"/>
              <w:rPr>
                <w:sz w:val="20"/>
              </w:rPr>
            </w:pPr>
            <w:r>
              <w:rPr>
                <w:sz w:val="20"/>
              </w:rPr>
              <w:t>E14.2,</w:t>
            </w:r>
            <w:r>
              <w:rPr>
                <w:spacing w:val="-7"/>
                <w:sz w:val="20"/>
              </w:rPr>
              <w:t> </w:t>
            </w:r>
            <w:r>
              <w:rPr>
                <w:sz w:val="20"/>
              </w:rPr>
              <w:t>E14.3,</w:t>
            </w:r>
            <w:r>
              <w:rPr>
                <w:spacing w:val="-5"/>
                <w:sz w:val="20"/>
              </w:rPr>
              <w:t> </w:t>
            </w:r>
            <w:r>
              <w:rPr>
                <w:sz w:val="20"/>
              </w:rPr>
              <w:t>E14.4,</w:t>
            </w:r>
            <w:r>
              <w:rPr>
                <w:spacing w:val="-4"/>
                <w:sz w:val="20"/>
              </w:rPr>
              <w:t> </w:t>
            </w:r>
            <w:r>
              <w:rPr>
                <w:sz w:val="20"/>
              </w:rPr>
              <w:t>E14.5,</w:t>
            </w:r>
            <w:r>
              <w:rPr>
                <w:spacing w:val="-5"/>
                <w:sz w:val="20"/>
              </w:rPr>
              <w:t> </w:t>
            </w:r>
            <w:r>
              <w:rPr>
                <w:sz w:val="20"/>
              </w:rPr>
              <w:t>E14.6,</w:t>
            </w:r>
            <w:r>
              <w:rPr>
                <w:spacing w:val="-6"/>
                <w:sz w:val="20"/>
              </w:rPr>
              <w:t> </w:t>
            </w:r>
            <w:r>
              <w:rPr>
                <w:sz w:val="20"/>
              </w:rPr>
              <w:t>E14.7,</w:t>
            </w:r>
            <w:r>
              <w:rPr>
                <w:spacing w:val="-5"/>
                <w:sz w:val="20"/>
              </w:rPr>
              <w:t> </w:t>
            </w:r>
            <w:r>
              <w:rPr>
                <w:spacing w:val="-2"/>
                <w:sz w:val="20"/>
              </w:rPr>
              <w:t>E14.8,</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68"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spacing w:line="226" w:lineRule="exact"/>
              <w:ind w:left="257" w:right="241"/>
              <w:jc w:val="center"/>
              <w:rPr>
                <w:sz w:val="20"/>
              </w:rPr>
            </w:pPr>
            <w:r>
              <w:rPr>
                <w:sz w:val="20"/>
              </w:rPr>
              <w:t>E14.9,</w:t>
            </w:r>
            <w:r>
              <w:rPr>
                <w:spacing w:val="-7"/>
                <w:sz w:val="20"/>
              </w:rPr>
              <w:t> </w:t>
            </w:r>
            <w:r>
              <w:rPr>
                <w:sz w:val="20"/>
              </w:rPr>
              <w:t>R73,</w:t>
            </w:r>
            <w:r>
              <w:rPr>
                <w:spacing w:val="-4"/>
                <w:sz w:val="20"/>
              </w:rPr>
              <w:t> </w:t>
            </w:r>
            <w:r>
              <w:rPr>
                <w:sz w:val="20"/>
              </w:rPr>
              <w:t>R73.0,</w:t>
            </w:r>
            <w:r>
              <w:rPr>
                <w:spacing w:val="-4"/>
                <w:sz w:val="20"/>
              </w:rPr>
              <w:t> </w:t>
            </w:r>
            <w:r>
              <w:rPr>
                <w:sz w:val="20"/>
              </w:rPr>
              <w:t>R73.9,</w:t>
            </w:r>
            <w:r>
              <w:rPr>
                <w:spacing w:val="-4"/>
                <w:sz w:val="20"/>
              </w:rPr>
              <w:t> </w:t>
            </w:r>
            <w:r>
              <w:rPr>
                <w:spacing w:val="-5"/>
                <w:sz w:val="20"/>
              </w:rPr>
              <w:t>R81</w:t>
            </w:r>
          </w:p>
        </w:tc>
        <w:tc>
          <w:tcPr>
            <w:tcW w:w="3313" w:type="dxa"/>
          </w:tcPr>
          <w:p>
            <w:pPr>
              <w:pStyle w:val="TableParagraph"/>
              <w:rPr>
                <w:sz w:val="18"/>
              </w:rPr>
            </w:pPr>
          </w:p>
        </w:tc>
        <w:tc>
          <w:tcPr>
            <w:tcW w:w="2453" w:type="dxa"/>
          </w:tcPr>
          <w:p>
            <w:pPr>
              <w:pStyle w:val="TableParagraph"/>
              <w:rPr>
                <w:sz w:val="18"/>
              </w:rPr>
            </w:pPr>
          </w:p>
        </w:tc>
        <w:tc>
          <w:tcPr>
            <w:tcW w:w="865" w:type="dxa"/>
          </w:tcPr>
          <w:p>
            <w:pPr>
              <w:pStyle w:val="TableParagraph"/>
              <w:rPr>
                <w:sz w:val="18"/>
              </w:rPr>
            </w:pPr>
          </w:p>
        </w:tc>
      </w:tr>
      <w:tr>
        <w:trPr>
          <w:trHeight w:val="270" w:hRule="atLeast"/>
        </w:trPr>
        <w:tc>
          <w:tcPr>
            <w:tcW w:w="971" w:type="dxa"/>
          </w:tcPr>
          <w:p>
            <w:pPr>
              <w:pStyle w:val="TableParagraph"/>
              <w:spacing w:line="214" w:lineRule="exact" w:before="36"/>
              <w:ind w:left="39" w:right="223"/>
              <w:jc w:val="center"/>
              <w:rPr>
                <w:sz w:val="20"/>
              </w:rPr>
            </w:pPr>
            <w:r>
              <w:rPr>
                <w:spacing w:val="-2"/>
                <w:sz w:val="20"/>
              </w:rPr>
              <w:t>st11.002</w:t>
            </w:r>
          </w:p>
        </w:tc>
        <w:tc>
          <w:tcPr>
            <w:tcW w:w="657" w:type="dxa"/>
          </w:tcPr>
          <w:p>
            <w:pPr>
              <w:pStyle w:val="TableParagraph"/>
              <w:spacing w:line="214" w:lineRule="exact" w:before="36"/>
              <w:ind w:right="217"/>
              <w:jc w:val="right"/>
              <w:rPr>
                <w:sz w:val="20"/>
              </w:rPr>
            </w:pPr>
            <w:r>
              <w:rPr>
                <w:spacing w:val="-5"/>
                <w:sz w:val="20"/>
              </w:rPr>
              <w:t>55</w:t>
            </w:r>
          </w:p>
        </w:tc>
        <w:tc>
          <w:tcPr>
            <w:tcW w:w="2447" w:type="dxa"/>
          </w:tcPr>
          <w:p>
            <w:pPr>
              <w:pStyle w:val="TableParagraph"/>
              <w:spacing w:line="216" w:lineRule="exact" w:before="34"/>
              <w:ind w:left="217"/>
              <w:rPr>
                <w:sz w:val="20"/>
              </w:rPr>
            </w:pPr>
            <w:r>
              <w:rPr>
                <w:spacing w:val="-2"/>
                <w:sz w:val="20"/>
              </w:rPr>
              <w:t>Заболевания</w:t>
            </w:r>
            <w:r>
              <w:rPr>
                <w:spacing w:val="8"/>
                <w:sz w:val="20"/>
              </w:rPr>
              <w:t> </w:t>
            </w:r>
            <w:r>
              <w:rPr>
                <w:spacing w:val="-2"/>
                <w:sz w:val="20"/>
              </w:rPr>
              <w:t>гипофиза,</w:t>
            </w:r>
          </w:p>
        </w:tc>
        <w:tc>
          <w:tcPr>
            <w:tcW w:w="4574" w:type="dxa"/>
          </w:tcPr>
          <w:p>
            <w:pPr>
              <w:pStyle w:val="TableParagraph"/>
              <w:spacing w:line="216" w:lineRule="exact" w:before="34"/>
              <w:ind w:left="257" w:right="237"/>
              <w:jc w:val="center"/>
              <w:rPr>
                <w:sz w:val="20"/>
              </w:rPr>
            </w:pPr>
            <w:r>
              <w:rPr>
                <w:sz w:val="20"/>
              </w:rPr>
              <w:t>D35.2,</w:t>
            </w:r>
            <w:r>
              <w:rPr>
                <w:spacing w:val="-6"/>
                <w:sz w:val="20"/>
              </w:rPr>
              <w:t> </w:t>
            </w:r>
            <w:r>
              <w:rPr>
                <w:sz w:val="20"/>
              </w:rPr>
              <w:t>E22,</w:t>
            </w:r>
            <w:r>
              <w:rPr>
                <w:spacing w:val="-5"/>
                <w:sz w:val="20"/>
              </w:rPr>
              <w:t> </w:t>
            </w:r>
            <w:r>
              <w:rPr>
                <w:sz w:val="20"/>
              </w:rPr>
              <w:t>E22.0,</w:t>
            </w:r>
            <w:r>
              <w:rPr>
                <w:spacing w:val="-5"/>
                <w:sz w:val="20"/>
              </w:rPr>
              <w:t> </w:t>
            </w:r>
            <w:r>
              <w:rPr>
                <w:sz w:val="20"/>
              </w:rPr>
              <w:t>E22.1,</w:t>
            </w:r>
            <w:r>
              <w:rPr>
                <w:spacing w:val="-6"/>
                <w:sz w:val="20"/>
              </w:rPr>
              <w:t> </w:t>
            </w:r>
            <w:r>
              <w:rPr>
                <w:sz w:val="20"/>
              </w:rPr>
              <w:t>E22.2,</w:t>
            </w:r>
            <w:r>
              <w:rPr>
                <w:spacing w:val="-6"/>
                <w:sz w:val="20"/>
              </w:rPr>
              <w:t> </w:t>
            </w:r>
            <w:r>
              <w:rPr>
                <w:sz w:val="20"/>
              </w:rPr>
              <w:t>E22.8,</w:t>
            </w:r>
            <w:r>
              <w:rPr>
                <w:spacing w:val="-5"/>
                <w:sz w:val="20"/>
              </w:rPr>
              <w:t> </w:t>
            </w:r>
            <w:r>
              <w:rPr>
                <w:spacing w:val="-2"/>
                <w:sz w:val="20"/>
              </w:rPr>
              <w:t>E22.9,</w:t>
            </w:r>
          </w:p>
        </w:tc>
        <w:tc>
          <w:tcPr>
            <w:tcW w:w="3313" w:type="dxa"/>
          </w:tcPr>
          <w:p>
            <w:pPr>
              <w:pStyle w:val="TableParagraph"/>
              <w:spacing w:line="214" w:lineRule="exact" w:before="36"/>
              <w:ind w:right="102"/>
              <w:jc w:val="center"/>
              <w:rPr>
                <w:sz w:val="20"/>
              </w:rPr>
            </w:pPr>
            <w:r>
              <w:rPr>
                <w:w w:val="99"/>
                <w:sz w:val="20"/>
              </w:rPr>
              <w:t>-</w:t>
            </w:r>
          </w:p>
        </w:tc>
        <w:tc>
          <w:tcPr>
            <w:tcW w:w="2453" w:type="dxa"/>
          </w:tcPr>
          <w:p>
            <w:pPr>
              <w:pStyle w:val="TableParagraph"/>
              <w:spacing w:line="216" w:lineRule="exact" w:before="34"/>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36"/>
              <w:ind w:right="54"/>
              <w:jc w:val="right"/>
              <w:rPr>
                <w:sz w:val="20"/>
              </w:rPr>
            </w:pPr>
            <w:r>
              <w:rPr>
                <w:spacing w:val="-4"/>
                <w:sz w:val="20"/>
              </w:rPr>
              <w:t>2,26</w:t>
            </w:r>
          </w:p>
        </w:tc>
      </w:tr>
      <w:tr>
        <w:trPr>
          <w:trHeight w:val="231"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12" w:lineRule="exact"/>
              <w:ind w:left="217"/>
              <w:rPr>
                <w:sz w:val="20"/>
              </w:rPr>
            </w:pPr>
            <w:r>
              <w:rPr>
                <w:spacing w:val="-4"/>
                <w:sz w:val="20"/>
              </w:rPr>
              <w:t>дети</w:t>
            </w:r>
          </w:p>
        </w:tc>
        <w:tc>
          <w:tcPr>
            <w:tcW w:w="4574" w:type="dxa"/>
          </w:tcPr>
          <w:p>
            <w:pPr>
              <w:pStyle w:val="TableParagraph"/>
              <w:spacing w:line="212" w:lineRule="exact"/>
              <w:ind w:left="257" w:right="242"/>
              <w:jc w:val="center"/>
              <w:rPr>
                <w:sz w:val="20"/>
              </w:rPr>
            </w:pPr>
            <w:r>
              <w:rPr>
                <w:sz w:val="20"/>
              </w:rPr>
              <w:t>E23,</w:t>
            </w:r>
            <w:r>
              <w:rPr>
                <w:spacing w:val="-6"/>
                <w:sz w:val="20"/>
              </w:rPr>
              <w:t> </w:t>
            </w:r>
            <w:r>
              <w:rPr>
                <w:sz w:val="20"/>
              </w:rPr>
              <w:t>E23.0,</w:t>
            </w:r>
            <w:r>
              <w:rPr>
                <w:spacing w:val="-7"/>
                <w:sz w:val="20"/>
              </w:rPr>
              <w:t> </w:t>
            </w:r>
            <w:r>
              <w:rPr>
                <w:sz w:val="20"/>
              </w:rPr>
              <w:t>E23.1,</w:t>
            </w:r>
            <w:r>
              <w:rPr>
                <w:spacing w:val="-5"/>
                <w:sz w:val="20"/>
              </w:rPr>
              <w:t> </w:t>
            </w:r>
            <w:r>
              <w:rPr>
                <w:sz w:val="20"/>
              </w:rPr>
              <w:t>E23.2,</w:t>
            </w:r>
            <w:r>
              <w:rPr>
                <w:spacing w:val="-5"/>
                <w:sz w:val="20"/>
              </w:rPr>
              <w:t> </w:t>
            </w:r>
            <w:r>
              <w:rPr>
                <w:sz w:val="20"/>
              </w:rPr>
              <w:t>E23.3,</w:t>
            </w:r>
            <w:r>
              <w:rPr>
                <w:spacing w:val="-5"/>
                <w:sz w:val="20"/>
              </w:rPr>
              <w:t> </w:t>
            </w:r>
            <w:r>
              <w:rPr>
                <w:sz w:val="20"/>
              </w:rPr>
              <w:t>E23.6,</w:t>
            </w:r>
            <w:r>
              <w:rPr>
                <w:spacing w:val="-5"/>
                <w:sz w:val="20"/>
              </w:rPr>
              <w:t> </w:t>
            </w:r>
            <w:r>
              <w:rPr>
                <w:spacing w:val="-2"/>
                <w:sz w:val="20"/>
              </w:rPr>
              <w:t>E23.7,</w:t>
            </w:r>
          </w:p>
        </w:tc>
        <w:tc>
          <w:tcPr>
            <w:tcW w:w="3313" w:type="dxa"/>
          </w:tcPr>
          <w:p>
            <w:pPr>
              <w:pStyle w:val="TableParagraph"/>
              <w:rPr>
                <w:sz w:val="16"/>
              </w:rPr>
            </w:pPr>
          </w:p>
        </w:tc>
        <w:tc>
          <w:tcPr>
            <w:tcW w:w="2453" w:type="dxa"/>
          </w:tcPr>
          <w:p>
            <w:pPr>
              <w:pStyle w:val="TableParagraph"/>
              <w:spacing w:line="212"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67"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spacing w:line="226" w:lineRule="exact"/>
              <w:ind w:left="257" w:right="238"/>
              <w:jc w:val="center"/>
              <w:rPr>
                <w:sz w:val="20"/>
              </w:rPr>
            </w:pPr>
            <w:r>
              <w:rPr>
                <w:sz w:val="20"/>
              </w:rPr>
              <w:t>E24.0,</w:t>
            </w:r>
            <w:r>
              <w:rPr>
                <w:spacing w:val="-7"/>
                <w:sz w:val="20"/>
              </w:rPr>
              <w:t> </w:t>
            </w:r>
            <w:r>
              <w:rPr>
                <w:sz w:val="20"/>
              </w:rPr>
              <w:t>E24.1,</w:t>
            </w:r>
            <w:r>
              <w:rPr>
                <w:spacing w:val="-5"/>
                <w:sz w:val="20"/>
              </w:rPr>
              <w:t> </w:t>
            </w:r>
            <w:r>
              <w:rPr>
                <w:sz w:val="20"/>
              </w:rPr>
              <w:t>E24.2,</w:t>
            </w:r>
            <w:r>
              <w:rPr>
                <w:spacing w:val="-5"/>
                <w:sz w:val="20"/>
              </w:rPr>
              <w:t> </w:t>
            </w:r>
            <w:r>
              <w:rPr>
                <w:sz w:val="20"/>
              </w:rPr>
              <w:t>E24.4,</w:t>
            </w:r>
            <w:r>
              <w:rPr>
                <w:spacing w:val="-4"/>
                <w:sz w:val="20"/>
              </w:rPr>
              <w:t> </w:t>
            </w:r>
            <w:r>
              <w:rPr>
                <w:spacing w:val="-2"/>
                <w:sz w:val="20"/>
              </w:rPr>
              <w:t>E24.8</w:t>
            </w:r>
          </w:p>
        </w:tc>
        <w:tc>
          <w:tcPr>
            <w:tcW w:w="3313" w:type="dxa"/>
          </w:tcPr>
          <w:p>
            <w:pPr>
              <w:pStyle w:val="TableParagraph"/>
              <w:rPr>
                <w:sz w:val="18"/>
              </w:rPr>
            </w:pPr>
          </w:p>
        </w:tc>
        <w:tc>
          <w:tcPr>
            <w:tcW w:w="2453" w:type="dxa"/>
          </w:tcPr>
          <w:p>
            <w:pPr>
              <w:pStyle w:val="TableParagraph"/>
              <w:rPr>
                <w:sz w:val="18"/>
              </w:rPr>
            </w:pPr>
          </w:p>
        </w:tc>
        <w:tc>
          <w:tcPr>
            <w:tcW w:w="865" w:type="dxa"/>
          </w:tcPr>
          <w:p>
            <w:pPr>
              <w:pStyle w:val="TableParagraph"/>
              <w:rPr>
                <w:sz w:val="18"/>
              </w:rPr>
            </w:pPr>
          </w:p>
        </w:tc>
      </w:tr>
      <w:tr>
        <w:trPr>
          <w:trHeight w:val="266" w:hRule="atLeast"/>
        </w:trPr>
        <w:tc>
          <w:tcPr>
            <w:tcW w:w="971" w:type="dxa"/>
          </w:tcPr>
          <w:p>
            <w:pPr>
              <w:pStyle w:val="TableParagraph"/>
              <w:spacing w:line="214" w:lineRule="exact" w:before="33"/>
              <w:ind w:left="39" w:right="223"/>
              <w:jc w:val="center"/>
              <w:rPr>
                <w:sz w:val="20"/>
              </w:rPr>
            </w:pPr>
            <w:r>
              <w:rPr>
                <w:spacing w:val="-2"/>
                <w:sz w:val="20"/>
              </w:rPr>
              <w:t>st11.003</w:t>
            </w:r>
          </w:p>
        </w:tc>
        <w:tc>
          <w:tcPr>
            <w:tcW w:w="657" w:type="dxa"/>
          </w:tcPr>
          <w:p>
            <w:pPr>
              <w:pStyle w:val="TableParagraph"/>
              <w:spacing w:line="214" w:lineRule="exact" w:before="33"/>
              <w:ind w:right="217"/>
              <w:jc w:val="right"/>
              <w:rPr>
                <w:sz w:val="20"/>
              </w:rPr>
            </w:pPr>
            <w:r>
              <w:rPr>
                <w:spacing w:val="-5"/>
                <w:sz w:val="20"/>
              </w:rPr>
              <w:t>56</w:t>
            </w:r>
          </w:p>
        </w:tc>
        <w:tc>
          <w:tcPr>
            <w:tcW w:w="2447" w:type="dxa"/>
          </w:tcPr>
          <w:p>
            <w:pPr>
              <w:pStyle w:val="TableParagraph"/>
              <w:spacing w:line="214" w:lineRule="exact" w:before="33"/>
              <w:ind w:left="217"/>
              <w:rPr>
                <w:sz w:val="20"/>
              </w:rPr>
            </w:pPr>
            <w:r>
              <w:rPr>
                <w:sz w:val="20"/>
              </w:rPr>
              <w:t>Другие</w:t>
            </w:r>
            <w:r>
              <w:rPr>
                <w:spacing w:val="-10"/>
                <w:sz w:val="20"/>
              </w:rPr>
              <w:t> </w:t>
            </w:r>
            <w:r>
              <w:rPr>
                <w:spacing w:val="-2"/>
                <w:sz w:val="20"/>
              </w:rPr>
              <w:t>болезни</w:t>
            </w:r>
          </w:p>
        </w:tc>
        <w:tc>
          <w:tcPr>
            <w:tcW w:w="4574" w:type="dxa"/>
          </w:tcPr>
          <w:p>
            <w:pPr>
              <w:pStyle w:val="TableParagraph"/>
              <w:spacing w:line="214" w:lineRule="exact" w:before="33"/>
              <w:ind w:left="256" w:right="243"/>
              <w:jc w:val="center"/>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3313" w:type="dxa"/>
          </w:tcPr>
          <w:p>
            <w:pPr>
              <w:pStyle w:val="TableParagraph"/>
              <w:spacing w:line="214" w:lineRule="exact" w:before="33"/>
              <w:ind w:right="102"/>
              <w:jc w:val="center"/>
              <w:rPr>
                <w:sz w:val="20"/>
              </w:rPr>
            </w:pPr>
            <w:r>
              <w:rPr>
                <w:w w:val="99"/>
                <w:sz w:val="20"/>
              </w:rPr>
              <w:t>-</w:t>
            </w:r>
          </w:p>
        </w:tc>
        <w:tc>
          <w:tcPr>
            <w:tcW w:w="2453" w:type="dxa"/>
          </w:tcPr>
          <w:p>
            <w:pPr>
              <w:pStyle w:val="TableParagraph"/>
              <w:spacing w:line="214" w:lineRule="exact" w:before="33"/>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33"/>
              <w:ind w:right="54"/>
              <w:jc w:val="right"/>
              <w:rPr>
                <w:sz w:val="20"/>
              </w:rPr>
            </w:pPr>
            <w:r>
              <w:rPr>
                <w:spacing w:val="-4"/>
                <w:sz w:val="20"/>
              </w:rPr>
              <w:t>1,38</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09" w:lineRule="exact"/>
              <w:ind w:left="217"/>
              <w:rPr>
                <w:sz w:val="20"/>
              </w:rPr>
            </w:pPr>
            <w:r>
              <w:rPr>
                <w:spacing w:val="-2"/>
                <w:sz w:val="20"/>
              </w:rPr>
              <w:t>эндокринной</w:t>
            </w:r>
            <w:r>
              <w:rPr>
                <w:spacing w:val="7"/>
                <w:sz w:val="20"/>
              </w:rPr>
              <w:t> </w:t>
            </w:r>
            <w:r>
              <w:rPr>
                <w:spacing w:val="-2"/>
                <w:sz w:val="20"/>
              </w:rPr>
              <w:t>системы,</w:t>
            </w:r>
          </w:p>
        </w:tc>
        <w:tc>
          <w:tcPr>
            <w:tcW w:w="4574" w:type="dxa"/>
          </w:tcPr>
          <w:p>
            <w:pPr>
              <w:pStyle w:val="TableParagraph"/>
              <w:spacing w:line="209" w:lineRule="exact"/>
              <w:ind w:left="257" w:right="242"/>
              <w:jc w:val="center"/>
              <w:rPr>
                <w:sz w:val="20"/>
              </w:rPr>
            </w:pPr>
            <w:r>
              <w:rPr>
                <w:sz w:val="20"/>
              </w:rPr>
              <w:t>E01.1,</w:t>
            </w:r>
            <w:r>
              <w:rPr>
                <w:spacing w:val="-7"/>
                <w:sz w:val="20"/>
              </w:rPr>
              <w:t> </w:t>
            </w:r>
            <w:r>
              <w:rPr>
                <w:sz w:val="20"/>
              </w:rPr>
              <w:t>E01.2,</w:t>
            </w:r>
            <w:r>
              <w:rPr>
                <w:spacing w:val="-2"/>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3313" w:type="dxa"/>
          </w:tcPr>
          <w:p>
            <w:pPr>
              <w:pStyle w:val="TableParagraph"/>
              <w:rPr>
                <w:sz w:val="16"/>
              </w:rPr>
            </w:pPr>
          </w:p>
        </w:tc>
        <w:tc>
          <w:tcPr>
            <w:tcW w:w="2453" w:type="dxa"/>
          </w:tcPr>
          <w:p>
            <w:pPr>
              <w:pStyle w:val="TableParagraph"/>
              <w:spacing w:line="209"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08" w:lineRule="exact"/>
              <w:ind w:left="217"/>
              <w:rPr>
                <w:sz w:val="20"/>
              </w:rPr>
            </w:pPr>
            <w:r>
              <w:rPr>
                <w:sz w:val="20"/>
              </w:rPr>
              <w:t>дети</w:t>
            </w:r>
            <w:r>
              <w:rPr>
                <w:spacing w:val="-8"/>
                <w:sz w:val="20"/>
              </w:rPr>
              <w:t> </w:t>
            </w:r>
            <w:r>
              <w:rPr>
                <w:sz w:val="20"/>
              </w:rPr>
              <w:t>(уровень</w:t>
            </w:r>
            <w:r>
              <w:rPr>
                <w:spacing w:val="-7"/>
                <w:sz w:val="20"/>
              </w:rPr>
              <w:t> </w:t>
            </w:r>
            <w:r>
              <w:rPr>
                <w:spacing w:val="-5"/>
                <w:sz w:val="20"/>
              </w:rPr>
              <w:t>1)</w:t>
            </w:r>
          </w:p>
        </w:tc>
        <w:tc>
          <w:tcPr>
            <w:tcW w:w="4574" w:type="dxa"/>
          </w:tcPr>
          <w:p>
            <w:pPr>
              <w:pStyle w:val="TableParagraph"/>
              <w:spacing w:line="208" w:lineRule="exact"/>
              <w:ind w:left="257" w:right="242"/>
              <w:jc w:val="center"/>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6"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7" w:lineRule="exact"/>
              <w:ind w:left="257" w:right="242"/>
              <w:jc w:val="center"/>
              <w:rPr>
                <w:sz w:val="20"/>
              </w:rPr>
            </w:pPr>
            <w:r>
              <w:rPr>
                <w:sz w:val="20"/>
              </w:rPr>
              <w:t>E04.0,</w:t>
            </w:r>
            <w:r>
              <w:rPr>
                <w:spacing w:val="-7"/>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6"/>
                <w:sz w:val="20"/>
              </w:rPr>
              <w:t> </w:t>
            </w:r>
            <w:r>
              <w:rPr>
                <w:spacing w:val="-2"/>
                <w:sz w:val="20"/>
              </w:rPr>
              <w:t>E05.0,</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39"/>
              <w:jc w:val="center"/>
              <w:rPr>
                <w:sz w:val="20"/>
              </w:rPr>
            </w:pPr>
            <w:r>
              <w:rPr>
                <w:sz w:val="20"/>
              </w:rPr>
              <w:t>E06.9,</w:t>
            </w:r>
            <w:r>
              <w:rPr>
                <w:spacing w:val="-6"/>
                <w:sz w:val="20"/>
              </w:rPr>
              <w:t> </w:t>
            </w:r>
            <w:r>
              <w:rPr>
                <w:sz w:val="20"/>
              </w:rPr>
              <w:t>E07,</w:t>
            </w:r>
            <w:r>
              <w:rPr>
                <w:spacing w:val="-6"/>
                <w:sz w:val="20"/>
              </w:rPr>
              <w:t> </w:t>
            </w:r>
            <w:r>
              <w:rPr>
                <w:sz w:val="20"/>
              </w:rPr>
              <w:t>E07.0,</w:t>
            </w:r>
            <w:r>
              <w:rPr>
                <w:spacing w:val="-4"/>
                <w:sz w:val="20"/>
              </w:rPr>
              <w:t> </w:t>
            </w:r>
            <w:r>
              <w:rPr>
                <w:sz w:val="20"/>
              </w:rPr>
              <w:t>E07.1,</w:t>
            </w:r>
            <w:r>
              <w:rPr>
                <w:spacing w:val="-4"/>
                <w:sz w:val="20"/>
              </w:rPr>
              <w:t> </w:t>
            </w:r>
            <w:r>
              <w:rPr>
                <w:sz w:val="20"/>
              </w:rPr>
              <w:t>E07.8,</w:t>
            </w:r>
            <w:r>
              <w:rPr>
                <w:spacing w:val="-4"/>
                <w:sz w:val="20"/>
              </w:rPr>
              <w:t> </w:t>
            </w:r>
            <w:r>
              <w:rPr>
                <w:sz w:val="20"/>
              </w:rPr>
              <w:t>E07.9,</w:t>
            </w:r>
            <w:r>
              <w:rPr>
                <w:spacing w:val="-4"/>
                <w:sz w:val="20"/>
              </w:rPr>
              <w:t> </w:t>
            </w:r>
            <w:r>
              <w:rPr>
                <w:sz w:val="20"/>
              </w:rPr>
              <w:t>E15,</w:t>
            </w:r>
            <w:r>
              <w:rPr>
                <w:spacing w:val="-4"/>
                <w:sz w:val="20"/>
              </w:rPr>
              <w:t> E16,</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E16.0,</w:t>
            </w:r>
            <w:r>
              <w:rPr>
                <w:spacing w:val="-7"/>
                <w:sz w:val="20"/>
              </w:rPr>
              <w:t> </w:t>
            </w:r>
            <w:r>
              <w:rPr>
                <w:sz w:val="20"/>
              </w:rPr>
              <w:t>E16.3,</w:t>
            </w:r>
            <w:r>
              <w:rPr>
                <w:spacing w:val="-5"/>
                <w:sz w:val="20"/>
              </w:rPr>
              <w:t> </w:t>
            </w:r>
            <w:r>
              <w:rPr>
                <w:sz w:val="20"/>
              </w:rPr>
              <w:t>E16.4,</w:t>
            </w:r>
            <w:r>
              <w:rPr>
                <w:spacing w:val="-4"/>
                <w:sz w:val="20"/>
              </w:rPr>
              <w:t> </w:t>
            </w:r>
            <w:r>
              <w:rPr>
                <w:sz w:val="20"/>
              </w:rPr>
              <w:t>E20.0,</w:t>
            </w:r>
            <w:r>
              <w:rPr>
                <w:spacing w:val="-5"/>
                <w:sz w:val="20"/>
              </w:rPr>
              <w:t> </w:t>
            </w:r>
            <w:r>
              <w:rPr>
                <w:sz w:val="20"/>
              </w:rPr>
              <w:t>E20.1,</w:t>
            </w:r>
            <w:r>
              <w:rPr>
                <w:spacing w:val="-6"/>
                <w:sz w:val="20"/>
              </w:rPr>
              <w:t> </w:t>
            </w:r>
            <w:r>
              <w:rPr>
                <w:sz w:val="20"/>
              </w:rPr>
              <w:t>E20.8,</w:t>
            </w:r>
            <w:r>
              <w:rPr>
                <w:spacing w:val="-5"/>
                <w:sz w:val="20"/>
              </w:rPr>
              <w:t> </w:t>
            </w:r>
            <w:r>
              <w:rPr>
                <w:spacing w:val="-2"/>
                <w:sz w:val="20"/>
              </w:rPr>
              <w:t>E20.9,</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E21,</w:t>
            </w:r>
            <w:r>
              <w:rPr>
                <w:spacing w:val="-6"/>
                <w:sz w:val="20"/>
              </w:rPr>
              <w:t> </w:t>
            </w:r>
            <w:r>
              <w:rPr>
                <w:sz w:val="20"/>
              </w:rPr>
              <w:t>E21.0,</w:t>
            </w:r>
            <w:r>
              <w:rPr>
                <w:spacing w:val="-7"/>
                <w:sz w:val="20"/>
              </w:rPr>
              <w:t> </w:t>
            </w:r>
            <w:r>
              <w:rPr>
                <w:sz w:val="20"/>
              </w:rPr>
              <w:t>E21.1,</w:t>
            </w:r>
            <w:r>
              <w:rPr>
                <w:spacing w:val="-5"/>
                <w:sz w:val="20"/>
              </w:rPr>
              <w:t> </w:t>
            </w:r>
            <w:r>
              <w:rPr>
                <w:sz w:val="20"/>
              </w:rPr>
              <w:t>E21.2,</w:t>
            </w:r>
            <w:r>
              <w:rPr>
                <w:spacing w:val="-5"/>
                <w:sz w:val="20"/>
              </w:rPr>
              <w:t> </w:t>
            </w:r>
            <w:r>
              <w:rPr>
                <w:sz w:val="20"/>
              </w:rPr>
              <w:t>E21.3,</w:t>
            </w:r>
            <w:r>
              <w:rPr>
                <w:spacing w:val="-5"/>
                <w:sz w:val="20"/>
              </w:rPr>
              <w:t> </w:t>
            </w:r>
            <w:r>
              <w:rPr>
                <w:sz w:val="20"/>
              </w:rPr>
              <w:t>E21.4,</w:t>
            </w:r>
            <w:r>
              <w:rPr>
                <w:spacing w:val="-5"/>
                <w:sz w:val="20"/>
              </w:rPr>
              <w:t> </w:t>
            </w:r>
            <w:r>
              <w:rPr>
                <w:spacing w:val="-2"/>
                <w:sz w:val="20"/>
              </w:rPr>
              <w:t>E21.5,</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5" w:right="243"/>
              <w:jc w:val="center"/>
              <w:rPr>
                <w:sz w:val="20"/>
              </w:rPr>
            </w:pPr>
            <w:r>
              <w:rPr>
                <w:sz w:val="20"/>
              </w:rPr>
              <w:t>E24,</w:t>
            </w:r>
            <w:r>
              <w:rPr>
                <w:spacing w:val="-5"/>
                <w:sz w:val="20"/>
              </w:rPr>
              <w:t> </w:t>
            </w:r>
            <w:r>
              <w:rPr>
                <w:sz w:val="20"/>
              </w:rPr>
              <w:t>E24.9,</w:t>
            </w:r>
            <w:r>
              <w:rPr>
                <w:spacing w:val="-6"/>
                <w:sz w:val="20"/>
              </w:rPr>
              <w:t> </w:t>
            </w:r>
            <w:r>
              <w:rPr>
                <w:sz w:val="20"/>
              </w:rPr>
              <w:t>E25,</w:t>
            </w:r>
            <w:r>
              <w:rPr>
                <w:spacing w:val="-5"/>
                <w:sz w:val="20"/>
              </w:rPr>
              <w:t> </w:t>
            </w:r>
            <w:r>
              <w:rPr>
                <w:sz w:val="20"/>
              </w:rPr>
              <w:t>E25.0,</w:t>
            </w:r>
            <w:r>
              <w:rPr>
                <w:spacing w:val="-4"/>
                <w:sz w:val="20"/>
              </w:rPr>
              <w:t> </w:t>
            </w:r>
            <w:r>
              <w:rPr>
                <w:sz w:val="20"/>
              </w:rPr>
              <w:t>E25.8,</w:t>
            </w:r>
            <w:r>
              <w:rPr>
                <w:spacing w:val="-5"/>
                <w:sz w:val="20"/>
              </w:rPr>
              <w:t> </w:t>
            </w:r>
            <w:r>
              <w:rPr>
                <w:sz w:val="20"/>
              </w:rPr>
              <w:t>E25.9,</w:t>
            </w:r>
            <w:r>
              <w:rPr>
                <w:spacing w:val="-4"/>
                <w:sz w:val="20"/>
              </w:rPr>
              <w:t> </w:t>
            </w:r>
            <w:r>
              <w:rPr>
                <w:sz w:val="20"/>
              </w:rPr>
              <w:t>E26,</w:t>
            </w:r>
            <w:r>
              <w:rPr>
                <w:spacing w:val="-5"/>
                <w:sz w:val="20"/>
              </w:rPr>
              <w:t> </w:t>
            </w:r>
            <w:r>
              <w:rPr>
                <w:spacing w:val="-2"/>
                <w:sz w:val="20"/>
              </w:rPr>
              <w:t>E26.0,</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E26.9,</w:t>
            </w:r>
            <w:r>
              <w:rPr>
                <w:spacing w:val="-7"/>
                <w:sz w:val="20"/>
              </w:rPr>
              <w:t> </w:t>
            </w:r>
            <w:r>
              <w:rPr>
                <w:sz w:val="20"/>
              </w:rPr>
              <w:t>E27,</w:t>
            </w:r>
            <w:r>
              <w:rPr>
                <w:spacing w:val="-7"/>
                <w:sz w:val="20"/>
              </w:rPr>
              <w:t> </w:t>
            </w:r>
            <w:r>
              <w:rPr>
                <w:sz w:val="20"/>
              </w:rPr>
              <w:t>E27.0,</w:t>
            </w:r>
            <w:r>
              <w:rPr>
                <w:spacing w:val="-5"/>
                <w:sz w:val="20"/>
              </w:rPr>
              <w:t> </w:t>
            </w:r>
            <w:r>
              <w:rPr>
                <w:sz w:val="20"/>
              </w:rPr>
              <w:t>E27.1,</w:t>
            </w:r>
            <w:r>
              <w:rPr>
                <w:spacing w:val="-5"/>
                <w:sz w:val="20"/>
              </w:rPr>
              <w:t> </w:t>
            </w:r>
            <w:r>
              <w:rPr>
                <w:sz w:val="20"/>
              </w:rPr>
              <w:t>E27.2,</w:t>
            </w:r>
            <w:r>
              <w:rPr>
                <w:spacing w:val="-4"/>
                <w:sz w:val="20"/>
              </w:rPr>
              <w:t> </w:t>
            </w:r>
            <w:r>
              <w:rPr>
                <w:sz w:val="20"/>
              </w:rPr>
              <w:t>E27.3,</w:t>
            </w:r>
            <w:r>
              <w:rPr>
                <w:spacing w:val="-5"/>
                <w:sz w:val="20"/>
              </w:rPr>
              <w:t> </w:t>
            </w:r>
            <w:r>
              <w:rPr>
                <w:spacing w:val="-2"/>
                <w:sz w:val="20"/>
              </w:rPr>
              <w:t>E27.4,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E27.5,</w:t>
            </w:r>
            <w:r>
              <w:rPr>
                <w:spacing w:val="-7"/>
                <w:sz w:val="20"/>
              </w:rPr>
              <w:t> </w:t>
            </w:r>
            <w:r>
              <w:rPr>
                <w:sz w:val="20"/>
              </w:rPr>
              <w:t>E27.8,</w:t>
            </w:r>
            <w:r>
              <w:rPr>
                <w:spacing w:val="-6"/>
                <w:sz w:val="20"/>
              </w:rPr>
              <w:t> </w:t>
            </w:r>
            <w:r>
              <w:rPr>
                <w:sz w:val="20"/>
              </w:rPr>
              <w:t>E27.9,</w:t>
            </w:r>
            <w:r>
              <w:rPr>
                <w:spacing w:val="-5"/>
                <w:sz w:val="20"/>
              </w:rPr>
              <w:t> </w:t>
            </w:r>
            <w:r>
              <w:rPr>
                <w:sz w:val="20"/>
              </w:rPr>
              <w:t>E29,</w:t>
            </w:r>
            <w:r>
              <w:rPr>
                <w:spacing w:val="-5"/>
                <w:sz w:val="20"/>
              </w:rPr>
              <w:t> </w:t>
            </w:r>
            <w:r>
              <w:rPr>
                <w:sz w:val="20"/>
              </w:rPr>
              <w:t>E29.0,</w:t>
            </w:r>
            <w:r>
              <w:rPr>
                <w:spacing w:val="-5"/>
                <w:sz w:val="20"/>
              </w:rPr>
              <w:t> </w:t>
            </w:r>
            <w:r>
              <w:rPr>
                <w:sz w:val="20"/>
              </w:rPr>
              <w:t>E29.1,</w:t>
            </w:r>
            <w:r>
              <w:rPr>
                <w:spacing w:val="-5"/>
                <w:sz w:val="20"/>
              </w:rPr>
              <w:t> </w:t>
            </w:r>
            <w:r>
              <w:rPr>
                <w:spacing w:val="-2"/>
                <w:sz w:val="20"/>
              </w:rPr>
              <w:t>E29.8,</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6" w:right="243"/>
              <w:jc w:val="center"/>
              <w:rPr>
                <w:sz w:val="20"/>
              </w:rPr>
            </w:pPr>
            <w:r>
              <w:rPr>
                <w:sz w:val="20"/>
              </w:rPr>
              <w:t>E29.9,</w:t>
            </w:r>
            <w:r>
              <w:rPr>
                <w:spacing w:val="-7"/>
                <w:sz w:val="20"/>
              </w:rPr>
              <w:t> </w:t>
            </w:r>
            <w:r>
              <w:rPr>
                <w:sz w:val="20"/>
              </w:rPr>
              <w:t>E30,</w:t>
            </w:r>
            <w:r>
              <w:rPr>
                <w:spacing w:val="-7"/>
                <w:sz w:val="20"/>
              </w:rPr>
              <w:t> </w:t>
            </w:r>
            <w:r>
              <w:rPr>
                <w:sz w:val="20"/>
              </w:rPr>
              <w:t>E30.0,</w:t>
            </w:r>
            <w:r>
              <w:rPr>
                <w:spacing w:val="-5"/>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pacing w:val="-4"/>
                <w:sz w:val="20"/>
              </w:rPr>
              <w:t>E34,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E34.3,</w:t>
            </w:r>
            <w:r>
              <w:rPr>
                <w:spacing w:val="-7"/>
                <w:sz w:val="20"/>
              </w:rPr>
              <w:t> </w:t>
            </w:r>
            <w:r>
              <w:rPr>
                <w:sz w:val="20"/>
              </w:rPr>
              <w:t>E34.4,</w:t>
            </w:r>
            <w:r>
              <w:rPr>
                <w:spacing w:val="-5"/>
                <w:sz w:val="20"/>
              </w:rPr>
              <w:t> </w:t>
            </w:r>
            <w:r>
              <w:rPr>
                <w:sz w:val="20"/>
              </w:rPr>
              <w:t>E34.5,</w:t>
            </w:r>
            <w:r>
              <w:rPr>
                <w:spacing w:val="-4"/>
                <w:sz w:val="20"/>
              </w:rPr>
              <w:t> </w:t>
            </w:r>
            <w:r>
              <w:rPr>
                <w:sz w:val="20"/>
              </w:rPr>
              <w:t>E34.9,</w:t>
            </w:r>
            <w:r>
              <w:rPr>
                <w:spacing w:val="-5"/>
                <w:sz w:val="20"/>
              </w:rPr>
              <w:t> </w:t>
            </w:r>
            <w:r>
              <w:rPr>
                <w:sz w:val="20"/>
              </w:rPr>
              <w:t>E35,</w:t>
            </w:r>
            <w:r>
              <w:rPr>
                <w:spacing w:val="-5"/>
                <w:sz w:val="20"/>
              </w:rPr>
              <w:t> </w:t>
            </w:r>
            <w:r>
              <w:rPr>
                <w:sz w:val="20"/>
              </w:rPr>
              <w:t>E35.0,</w:t>
            </w:r>
            <w:r>
              <w:rPr>
                <w:spacing w:val="-6"/>
                <w:sz w:val="20"/>
              </w:rPr>
              <w:t> </w:t>
            </w:r>
            <w:r>
              <w:rPr>
                <w:spacing w:val="-2"/>
                <w:sz w:val="20"/>
              </w:rPr>
              <w:t>E35.1,</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E35.8,</w:t>
            </w:r>
            <w:r>
              <w:rPr>
                <w:spacing w:val="-7"/>
                <w:sz w:val="20"/>
              </w:rPr>
              <w:t> </w:t>
            </w:r>
            <w:r>
              <w:rPr>
                <w:sz w:val="20"/>
              </w:rPr>
              <w:t>E89.0,</w:t>
            </w:r>
            <w:r>
              <w:rPr>
                <w:spacing w:val="-5"/>
                <w:sz w:val="20"/>
              </w:rPr>
              <w:t> </w:t>
            </w:r>
            <w:r>
              <w:rPr>
                <w:sz w:val="20"/>
              </w:rPr>
              <w:t>E89.1,</w:t>
            </w:r>
            <w:r>
              <w:rPr>
                <w:spacing w:val="-4"/>
                <w:sz w:val="20"/>
              </w:rPr>
              <w:t> </w:t>
            </w:r>
            <w:r>
              <w:rPr>
                <w:sz w:val="20"/>
              </w:rPr>
              <w:t>E89.2,</w:t>
            </w:r>
            <w:r>
              <w:rPr>
                <w:spacing w:val="-5"/>
                <w:sz w:val="20"/>
              </w:rPr>
              <w:t> </w:t>
            </w:r>
            <w:r>
              <w:rPr>
                <w:sz w:val="20"/>
              </w:rPr>
              <w:t>E89.3,</w:t>
            </w:r>
            <w:r>
              <w:rPr>
                <w:spacing w:val="-6"/>
                <w:sz w:val="20"/>
              </w:rPr>
              <w:t> </w:t>
            </w:r>
            <w:r>
              <w:rPr>
                <w:sz w:val="20"/>
              </w:rPr>
              <w:t>E89.5,</w:t>
            </w:r>
            <w:r>
              <w:rPr>
                <w:spacing w:val="-5"/>
                <w:sz w:val="20"/>
              </w:rPr>
              <w:t> </w:t>
            </w:r>
            <w:r>
              <w:rPr>
                <w:spacing w:val="-2"/>
                <w:sz w:val="20"/>
              </w:rPr>
              <w:t>E89.6,</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4"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4" w:lineRule="exact"/>
              <w:ind w:left="257" w:right="242"/>
              <w:jc w:val="center"/>
              <w:rPr>
                <w:sz w:val="20"/>
              </w:rPr>
            </w:pPr>
            <w:r>
              <w:rPr>
                <w:sz w:val="20"/>
              </w:rPr>
              <w:t>E89.8,</w:t>
            </w:r>
            <w:r>
              <w:rPr>
                <w:spacing w:val="-6"/>
                <w:sz w:val="20"/>
              </w:rPr>
              <w:t> </w:t>
            </w:r>
            <w:r>
              <w:rPr>
                <w:sz w:val="20"/>
              </w:rPr>
              <w:t>E89.9,</w:t>
            </w:r>
            <w:r>
              <w:rPr>
                <w:spacing w:val="-5"/>
                <w:sz w:val="20"/>
              </w:rPr>
              <w:t> </w:t>
            </w:r>
            <w:r>
              <w:rPr>
                <w:sz w:val="20"/>
              </w:rPr>
              <w:t>M82.1,</w:t>
            </w:r>
            <w:r>
              <w:rPr>
                <w:spacing w:val="-6"/>
                <w:sz w:val="20"/>
              </w:rPr>
              <w:t> </w:t>
            </w:r>
            <w:r>
              <w:rPr>
                <w:sz w:val="20"/>
              </w:rPr>
              <w:t>Q89.1,</w:t>
            </w:r>
            <w:r>
              <w:rPr>
                <w:spacing w:val="-6"/>
                <w:sz w:val="20"/>
              </w:rPr>
              <w:t> </w:t>
            </w:r>
            <w:r>
              <w:rPr>
                <w:sz w:val="20"/>
              </w:rPr>
              <w:t>Q89.2,</w:t>
            </w:r>
            <w:r>
              <w:rPr>
                <w:spacing w:val="-4"/>
                <w:sz w:val="20"/>
              </w:rPr>
              <w:t> </w:t>
            </w:r>
            <w:r>
              <w:rPr>
                <w:sz w:val="20"/>
              </w:rPr>
              <w:t>R94.6,</w:t>
            </w:r>
            <w:r>
              <w:rPr>
                <w:spacing w:val="-4"/>
                <w:sz w:val="20"/>
              </w:rPr>
              <w:t> R94.7</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89"/>
        <w:gridCol w:w="5406"/>
        <w:gridCol w:w="1670"/>
        <w:gridCol w:w="3119"/>
        <w:gridCol w:w="864"/>
      </w:tblGrid>
      <w:tr>
        <w:trPr>
          <w:trHeight w:val="734" w:hRule="atLeast"/>
        </w:trPr>
        <w:tc>
          <w:tcPr>
            <w:tcW w:w="971" w:type="dxa"/>
          </w:tcPr>
          <w:p>
            <w:pPr>
              <w:pStyle w:val="TableParagraph"/>
              <w:spacing w:line="221" w:lineRule="exact"/>
              <w:ind w:left="39" w:right="223"/>
              <w:jc w:val="center"/>
              <w:rPr>
                <w:sz w:val="20"/>
              </w:rPr>
            </w:pPr>
            <w:r>
              <w:rPr>
                <w:spacing w:val="-2"/>
                <w:sz w:val="20"/>
              </w:rPr>
              <w:t>st11.004</w:t>
            </w:r>
          </w:p>
        </w:tc>
        <w:tc>
          <w:tcPr>
            <w:tcW w:w="657" w:type="dxa"/>
          </w:tcPr>
          <w:p>
            <w:pPr>
              <w:pStyle w:val="TableParagraph"/>
              <w:spacing w:line="221" w:lineRule="exact"/>
              <w:ind w:right="217"/>
              <w:jc w:val="right"/>
              <w:rPr>
                <w:sz w:val="20"/>
              </w:rPr>
            </w:pPr>
            <w:r>
              <w:rPr>
                <w:spacing w:val="-5"/>
                <w:sz w:val="20"/>
              </w:rPr>
              <w:t>57</w:t>
            </w:r>
          </w:p>
        </w:tc>
        <w:tc>
          <w:tcPr>
            <w:tcW w:w="2589" w:type="dxa"/>
          </w:tcPr>
          <w:p>
            <w:pPr>
              <w:pStyle w:val="TableParagraph"/>
              <w:ind w:left="217" w:right="423"/>
              <w:rPr>
                <w:sz w:val="20"/>
              </w:rPr>
            </w:pPr>
            <w:r>
              <w:rPr>
                <w:sz w:val="20"/>
              </w:rPr>
              <w:t>Другие болезни эндокринной</w:t>
            </w:r>
            <w:r>
              <w:rPr>
                <w:spacing w:val="-13"/>
                <w:sz w:val="20"/>
              </w:rPr>
              <w:t> </w:t>
            </w:r>
            <w:r>
              <w:rPr>
                <w:sz w:val="20"/>
              </w:rPr>
              <w:t>системы, дети (уровень 2)</w:t>
            </w:r>
          </w:p>
        </w:tc>
        <w:tc>
          <w:tcPr>
            <w:tcW w:w="5406" w:type="dxa"/>
          </w:tcPr>
          <w:p>
            <w:pPr>
              <w:pStyle w:val="TableParagraph"/>
              <w:spacing w:line="221" w:lineRule="exact"/>
              <w:ind w:left="144"/>
              <w:rPr>
                <w:sz w:val="20"/>
              </w:rPr>
            </w:pPr>
            <w:r>
              <w:rPr>
                <w:sz w:val="20"/>
              </w:rPr>
              <w:t>D13.6,</w:t>
            </w:r>
            <w:r>
              <w:rPr>
                <w:spacing w:val="-4"/>
                <w:sz w:val="20"/>
              </w:rPr>
              <w:t> </w:t>
            </w:r>
            <w:r>
              <w:rPr>
                <w:sz w:val="20"/>
              </w:rPr>
              <w:t>D13.7,</w:t>
            </w:r>
            <w:r>
              <w:rPr>
                <w:spacing w:val="-6"/>
                <w:sz w:val="20"/>
              </w:rPr>
              <w:t> </w:t>
            </w:r>
            <w:r>
              <w:rPr>
                <w:sz w:val="20"/>
              </w:rPr>
              <w:t>D44.8,</w:t>
            </w:r>
            <w:r>
              <w:rPr>
                <w:spacing w:val="-4"/>
                <w:sz w:val="20"/>
              </w:rPr>
              <w:t> </w:t>
            </w:r>
            <w:r>
              <w:rPr>
                <w:sz w:val="20"/>
              </w:rPr>
              <w:t>E16.1,</w:t>
            </w:r>
            <w:r>
              <w:rPr>
                <w:spacing w:val="-6"/>
                <w:sz w:val="20"/>
              </w:rPr>
              <w:t> </w:t>
            </w:r>
            <w:r>
              <w:rPr>
                <w:sz w:val="20"/>
              </w:rPr>
              <w:t>E16.2,</w:t>
            </w:r>
            <w:r>
              <w:rPr>
                <w:spacing w:val="-6"/>
                <w:sz w:val="20"/>
              </w:rPr>
              <w:t> </w:t>
            </w:r>
            <w:r>
              <w:rPr>
                <w:sz w:val="20"/>
              </w:rPr>
              <w:t>E16.8,</w:t>
            </w:r>
            <w:r>
              <w:rPr>
                <w:spacing w:val="-3"/>
                <w:sz w:val="20"/>
              </w:rPr>
              <w:t> </w:t>
            </w:r>
            <w:r>
              <w:rPr>
                <w:spacing w:val="-2"/>
                <w:sz w:val="20"/>
              </w:rPr>
              <w:t>E16.9,</w:t>
            </w:r>
          </w:p>
          <w:p>
            <w:pPr>
              <w:pStyle w:val="TableParagraph"/>
              <w:ind w:left="1346" w:right="1015" w:hanging="1095"/>
              <w:rPr>
                <w:sz w:val="20"/>
              </w:rPr>
            </w:pPr>
            <w:r>
              <w:rPr>
                <w:sz w:val="20"/>
              </w:rPr>
              <w:t>E24.3,</w:t>
            </w:r>
            <w:r>
              <w:rPr>
                <w:spacing w:val="-9"/>
                <w:sz w:val="20"/>
              </w:rPr>
              <w:t> </w:t>
            </w:r>
            <w:r>
              <w:rPr>
                <w:sz w:val="20"/>
              </w:rPr>
              <w:t>E31,</w:t>
            </w:r>
            <w:r>
              <w:rPr>
                <w:spacing w:val="-9"/>
                <w:sz w:val="20"/>
              </w:rPr>
              <w:t> </w:t>
            </w:r>
            <w:r>
              <w:rPr>
                <w:sz w:val="20"/>
              </w:rPr>
              <w:t>E31.0,</w:t>
            </w:r>
            <w:r>
              <w:rPr>
                <w:spacing w:val="-7"/>
                <w:sz w:val="20"/>
              </w:rPr>
              <w:t> </w:t>
            </w:r>
            <w:r>
              <w:rPr>
                <w:sz w:val="20"/>
              </w:rPr>
              <w:t>E31.1,</w:t>
            </w:r>
            <w:r>
              <w:rPr>
                <w:spacing w:val="-7"/>
                <w:sz w:val="20"/>
              </w:rPr>
              <w:t> </w:t>
            </w:r>
            <w:r>
              <w:rPr>
                <w:sz w:val="20"/>
              </w:rPr>
              <w:t>E31.8,</w:t>
            </w:r>
            <w:r>
              <w:rPr>
                <w:spacing w:val="-7"/>
                <w:sz w:val="20"/>
              </w:rPr>
              <w:t> </w:t>
            </w:r>
            <w:r>
              <w:rPr>
                <w:sz w:val="20"/>
              </w:rPr>
              <w:t>E31.9,</w:t>
            </w:r>
            <w:r>
              <w:rPr>
                <w:spacing w:val="-7"/>
                <w:sz w:val="20"/>
              </w:rPr>
              <w:t> </w:t>
            </w:r>
            <w:r>
              <w:rPr>
                <w:sz w:val="20"/>
              </w:rPr>
              <w:t>E34.0, E34.1, E34.2, E34.8</w:t>
            </w:r>
          </w:p>
        </w:tc>
        <w:tc>
          <w:tcPr>
            <w:tcW w:w="1670" w:type="dxa"/>
          </w:tcPr>
          <w:p>
            <w:pPr>
              <w:pStyle w:val="TableParagraph"/>
              <w:spacing w:line="221" w:lineRule="exact"/>
              <w:ind w:left="597"/>
              <w:rPr>
                <w:sz w:val="20"/>
              </w:rPr>
            </w:pPr>
            <w:r>
              <w:rPr>
                <w:w w:val="99"/>
                <w:sz w:val="20"/>
              </w:rPr>
              <w:t>-</w:t>
            </w:r>
          </w:p>
        </w:tc>
        <w:tc>
          <w:tcPr>
            <w:tcW w:w="3119" w:type="dxa"/>
          </w:tcPr>
          <w:p>
            <w:pPr>
              <w:pStyle w:val="TableParagraph"/>
              <w:ind w:left="1018" w:right="455"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line="221" w:lineRule="exact"/>
              <w:ind w:right="50"/>
              <w:jc w:val="right"/>
              <w:rPr>
                <w:sz w:val="20"/>
              </w:rPr>
            </w:pPr>
            <w:r>
              <w:rPr>
                <w:spacing w:val="-4"/>
                <w:sz w:val="20"/>
              </w:rPr>
              <w:t>2,82</w:t>
            </w:r>
          </w:p>
        </w:tc>
      </w:tr>
      <w:tr>
        <w:trPr>
          <w:trHeight w:val="330" w:hRule="atLeast"/>
        </w:trPr>
        <w:tc>
          <w:tcPr>
            <w:tcW w:w="971" w:type="dxa"/>
          </w:tcPr>
          <w:p>
            <w:pPr>
              <w:pStyle w:val="TableParagraph"/>
              <w:spacing w:before="46"/>
              <w:ind w:left="37" w:right="223"/>
              <w:jc w:val="center"/>
              <w:rPr>
                <w:sz w:val="20"/>
              </w:rPr>
            </w:pPr>
            <w:r>
              <w:rPr>
                <w:spacing w:val="-4"/>
                <w:sz w:val="20"/>
              </w:rPr>
              <w:t>st12</w:t>
            </w:r>
          </w:p>
        </w:tc>
        <w:tc>
          <w:tcPr>
            <w:tcW w:w="657" w:type="dxa"/>
          </w:tcPr>
          <w:p>
            <w:pPr>
              <w:pStyle w:val="TableParagraph"/>
              <w:spacing w:before="46"/>
              <w:ind w:right="217"/>
              <w:jc w:val="right"/>
              <w:rPr>
                <w:sz w:val="20"/>
              </w:rPr>
            </w:pPr>
            <w:r>
              <w:rPr>
                <w:spacing w:val="-5"/>
                <w:sz w:val="20"/>
              </w:rPr>
              <w:t>12</w:t>
            </w:r>
          </w:p>
        </w:tc>
        <w:tc>
          <w:tcPr>
            <w:tcW w:w="2589" w:type="dxa"/>
          </w:tcPr>
          <w:p>
            <w:pPr>
              <w:pStyle w:val="TableParagraph"/>
              <w:rPr>
                <w:sz w:val="18"/>
              </w:rPr>
            </w:pPr>
          </w:p>
        </w:tc>
        <w:tc>
          <w:tcPr>
            <w:tcW w:w="5406" w:type="dxa"/>
          </w:tcPr>
          <w:p>
            <w:pPr>
              <w:pStyle w:val="TableParagraph"/>
              <w:spacing w:before="46"/>
              <w:ind w:left="2755"/>
              <w:rPr>
                <w:sz w:val="20"/>
              </w:rPr>
            </w:pPr>
            <w:r>
              <w:rPr>
                <w:spacing w:val="-2"/>
                <w:sz w:val="20"/>
              </w:rPr>
              <w:t>Инфекционные</w:t>
            </w:r>
            <w:r>
              <w:rPr>
                <w:spacing w:val="7"/>
                <w:sz w:val="20"/>
              </w:rPr>
              <w:t> </w:t>
            </w:r>
            <w:r>
              <w:rPr>
                <w:spacing w:val="-2"/>
                <w:sz w:val="20"/>
              </w:rPr>
              <w:t>болезни</w:t>
            </w:r>
          </w:p>
        </w:tc>
        <w:tc>
          <w:tcPr>
            <w:tcW w:w="1670" w:type="dxa"/>
          </w:tcPr>
          <w:p>
            <w:pPr>
              <w:pStyle w:val="TableParagraph"/>
              <w:rPr>
                <w:sz w:val="18"/>
              </w:rPr>
            </w:pPr>
          </w:p>
        </w:tc>
        <w:tc>
          <w:tcPr>
            <w:tcW w:w="3119" w:type="dxa"/>
          </w:tcPr>
          <w:p>
            <w:pPr>
              <w:pStyle w:val="TableParagraph"/>
              <w:rPr>
                <w:sz w:val="18"/>
              </w:rPr>
            </w:pPr>
          </w:p>
        </w:tc>
        <w:tc>
          <w:tcPr>
            <w:tcW w:w="864" w:type="dxa"/>
          </w:tcPr>
          <w:p>
            <w:pPr>
              <w:pStyle w:val="TableParagraph"/>
              <w:spacing w:before="46"/>
              <w:ind w:right="50"/>
              <w:jc w:val="right"/>
              <w:rPr>
                <w:sz w:val="20"/>
              </w:rPr>
            </w:pPr>
            <w:r>
              <w:rPr>
                <w:spacing w:val="-4"/>
                <w:sz w:val="20"/>
              </w:rPr>
              <w:t>0,65</w:t>
            </w:r>
          </w:p>
        </w:tc>
      </w:tr>
      <w:tr>
        <w:trPr>
          <w:trHeight w:val="2400" w:hRule="atLeast"/>
        </w:trPr>
        <w:tc>
          <w:tcPr>
            <w:tcW w:w="971" w:type="dxa"/>
          </w:tcPr>
          <w:p>
            <w:pPr>
              <w:pStyle w:val="TableParagraph"/>
              <w:spacing w:before="45"/>
              <w:ind w:left="39" w:right="223"/>
              <w:jc w:val="center"/>
              <w:rPr>
                <w:sz w:val="20"/>
              </w:rPr>
            </w:pPr>
            <w:r>
              <w:rPr>
                <w:spacing w:val="-2"/>
                <w:sz w:val="20"/>
              </w:rPr>
              <w:t>st12.001</w:t>
            </w:r>
          </w:p>
        </w:tc>
        <w:tc>
          <w:tcPr>
            <w:tcW w:w="657" w:type="dxa"/>
          </w:tcPr>
          <w:p>
            <w:pPr>
              <w:pStyle w:val="TableParagraph"/>
              <w:spacing w:before="45"/>
              <w:ind w:right="217"/>
              <w:jc w:val="right"/>
              <w:rPr>
                <w:sz w:val="20"/>
              </w:rPr>
            </w:pPr>
            <w:r>
              <w:rPr>
                <w:spacing w:val="-5"/>
                <w:sz w:val="20"/>
              </w:rPr>
              <w:t>58</w:t>
            </w:r>
          </w:p>
        </w:tc>
        <w:tc>
          <w:tcPr>
            <w:tcW w:w="2589" w:type="dxa"/>
          </w:tcPr>
          <w:p>
            <w:pPr>
              <w:pStyle w:val="TableParagraph"/>
              <w:spacing w:before="45"/>
              <w:ind w:left="217" w:right="500"/>
              <w:rPr>
                <w:sz w:val="20"/>
              </w:rPr>
            </w:pPr>
            <w:r>
              <w:rPr>
                <w:sz w:val="20"/>
              </w:rPr>
              <w:t>Кишечные</w:t>
            </w:r>
            <w:r>
              <w:rPr>
                <w:spacing w:val="-13"/>
                <w:sz w:val="20"/>
              </w:rPr>
              <w:t> </w:t>
            </w:r>
            <w:r>
              <w:rPr>
                <w:sz w:val="20"/>
              </w:rPr>
              <w:t>инфекции, </w:t>
            </w:r>
            <w:r>
              <w:rPr>
                <w:spacing w:val="-2"/>
                <w:sz w:val="20"/>
              </w:rPr>
              <w:t>взрослые</w:t>
            </w:r>
          </w:p>
        </w:tc>
        <w:tc>
          <w:tcPr>
            <w:tcW w:w="5406" w:type="dxa"/>
          </w:tcPr>
          <w:p>
            <w:pPr>
              <w:pStyle w:val="TableParagraph"/>
              <w:spacing w:before="45"/>
              <w:ind w:left="396"/>
              <w:rPr>
                <w:sz w:val="20"/>
              </w:rPr>
            </w:pPr>
            <w:r>
              <w:rPr>
                <w:sz w:val="20"/>
              </w:rPr>
              <w:t>A00.0,</w:t>
            </w:r>
            <w:r>
              <w:rPr>
                <w:spacing w:val="-5"/>
                <w:sz w:val="20"/>
              </w:rPr>
              <w:t> </w:t>
            </w:r>
            <w:r>
              <w:rPr>
                <w:sz w:val="20"/>
              </w:rPr>
              <w:t>A00.1,</w:t>
            </w:r>
            <w:r>
              <w:rPr>
                <w:spacing w:val="-4"/>
                <w:sz w:val="20"/>
              </w:rPr>
              <w:t> </w:t>
            </w:r>
            <w:r>
              <w:rPr>
                <w:sz w:val="20"/>
              </w:rPr>
              <w:t>A00.9,</w:t>
            </w:r>
            <w:r>
              <w:rPr>
                <w:spacing w:val="-5"/>
                <w:sz w:val="20"/>
              </w:rPr>
              <w:t> </w:t>
            </w:r>
            <w:r>
              <w:rPr>
                <w:sz w:val="20"/>
              </w:rPr>
              <w:t>A01.0,</w:t>
            </w:r>
            <w:r>
              <w:rPr>
                <w:spacing w:val="-6"/>
                <w:sz w:val="20"/>
              </w:rPr>
              <w:t> </w:t>
            </w:r>
            <w:r>
              <w:rPr>
                <w:sz w:val="20"/>
              </w:rPr>
              <w:t>A01.1,</w:t>
            </w:r>
            <w:r>
              <w:rPr>
                <w:spacing w:val="-4"/>
                <w:sz w:val="20"/>
              </w:rPr>
              <w:t> </w:t>
            </w:r>
            <w:r>
              <w:rPr>
                <w:spacing w:val="-2"/>
                <w:sz w:val="20"/>
              </w:rPr>
              <w:t>A01.2,</w:t>
            </w:r>
          </w:p>
          <w:p>
            <w:pPr>
              <w:pStyle w:val="TableParagraph"/>
              <w:ind w:left="396"/>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A02.2,</w:t>
            </w:r>
            <w:r>
              <w:rPr>
                <w:spacing w:val="-7"/>
                <w:sz w:val="20"/>
              </w:rPr>
              <w:t> </w:t>
            </w:r>
            <w:r>
              <w:rPr>
                <w:sz w:val="20"/>
              </w:rPr>
              <w:t>A02.8,</w:t>
            </w:r>
            <w:r>
              <w:rPr>
                <w:spacing w:val="-6"/>
                <w:sz w:val="20"/>
              </w:rPr>
              <w:t> </w:t>
            </w:r>
            <w:r>
              <w:rPr>
                <w:spacing w:val="-2"/>
                <w:sz w:val="20"/>
              </w:rPr>
              <w:t>A02.9,</w:t>
            </w:r>
          </w:p>
          <w:p>
            <w:pPr>
              <w:pStyle w:val="TableParagraph"/>
              <w:spacing w:before="1"/>
              <w:ind w:left="396"/>
              <w:rPr>
                <w:sz w:val="20"/>
              </w:rPr>
            </w:pPr>
            <w:r>
              <w:rPr>
                <w:sz w:val="20"/>
              </w:rPr>
              <w:t>A03.0,</w:t>
            </w:r>
            <w:r>
              <w:rPr>
                <w:spacing w:val="-6"/>
                <w:sz w:val="20"/>
              </w:rPr>
              <w:t> </w:t>
            </w:r>
            <w:r>
              <w:rPr>
                <w:sz w:val="20"/>
              </w:rPr>
              <w:t>A03.1,</w:t>
            </w:r>
            <w:r>
              <w:rPr>
                <w:spacing w:val="-5"/>
                <w:sz w:val="20"/>
              </w:rPr>
              <w:t> </w:t>
            </w:r>
            <w:r>
              <w:rPr>
                <w:sz w:val="20"/>
              </w:rPr>
              <w:t>A03.2,</w:t>
            </w:r>
            <w:r>
              <w:rPr>
                <w:spacing w:val="-6"/>
                <w:sz w:val="20"/>
              </w:rPr>
              <w:t> </w:t>
            </w:r>
            <w:r>
              <w:rPr>
                <w:sz w:val="20"/>
              </w:rPr>
              <w:t>A03.3,</w:t>
            </w:r>
            <w:r>
              <w:rPr>
                <w:spacing w:val="-7"/>
                <w:sz w:val="20"/>
              </w:rPr>
              <w:t> </w:t>
            </w:r>
            <w:r>
              <w:rPr>
                <w:sz w:val="20"/>
              </w:rPr>
              <w:t>A03.8,</w:t>
            </w:r>
            <w:r>
              <w:rPr>
                <w:spacing w:val="-6"/>
                <w:sz w:val="20"/>
              </w:rPr>
              <w:t> </w:t>
            </w:r>
            <w:r>
              <w:rPr>
                <w:spacing w:val="-2"/>
                <w:sz w:val="20"/>
              </w:rPr>
              <w:t>A03.9,</w:t>
            </w:r>
          </w:p>
          <w:p>
            <w:pPr>
              <w:pStyle w:val="TableParagraph"/>
              <w:ind w:left="396"/>
              <w:rPr>
                <w:sz w:val="20"/>
              </w:rPr>
            </w:pPr>
            <w:r>
              <w:rPr>
                <w:sz w:val="20"/>
              </w:rPr>
              <w:t>A04.0,</w:t>
            </w:r>
            <w:r>
              <w:rPr>
                <w:spacing w:val="-6"/>
                <w:sz w:val="20"/>
              </w:rPr>
              <w:t> </w:t>
            </w:r>
            <w:r>
              <w:rPr>
                <w:sz w:val="20"/>
              </w:rPr>
              <w:t>A04.1,</w:t>
            </w:r>
            <w:r>
              <w:rPr>
                <w:spacing w:val="-5"/>
                <w:sz w:val="20"/>
              </w:rPr>
              <w:t> </w:t>
            </w:r>
            <w:r>
              <w:rPr>
                <w:sz w:val="20"/>
              </w:rPr>
              <w:t>A04.2,</w:t>
            </w:r>
            <w:r>
              <w:rPr>
                <w:spacing w:val="-6"/>
                <w:sz w:val="20"/>
              </w:rPr>
              <w:t> </w:t>
            </w:r>
            <w:r>
              <w:rPr>
                <w:sz w:val="20"/>
              </w:rPr>
              <w:t>A04.3,</w:t>
            </w:r>
            <w:r>
              <w:rPr>
                <w:spacing w:val="-7"/>
                <w:sz w:val="20"/>
              </w:rPr>
              <w:t> </w:t>
            </w:r>
            <w:r>
              <w:rPr>
                <w:sz w:val="20"/>
              </w:rPr>
              <w:t>A04.4,</w:t>
            </w:r>
            <w:r>
              <w:rPr>
                <w:spacing w:val="-6"/>
                <w:sz w:val="20"/>
              </w:rPr>
              <w:t> </w:t>
            </w:r>
            <w:r>
              <w:rPr>
                <w:spacing w:val="-2"/>
                <w:sz w:val="20"/>
              </w:rPr>
              <w:t>A04.5,</w:t>
            </w:r>
          </w:p>
          <w:p>
            <w:pPr>
              <w:pStyle w:val="TableParagraph"/>
              <w:spacing w:before="1"/>
              <w:ind w:left="396"/>
              <w:rPr>
                <w:sz w:val="20"/>
              </w:rPr>
            </w:pPr>
            <w:r>
              <w:rPr>
                <w:sz w:val="20"/>
              </w:rPr>
              <w:t>A04.6,</w:t>
            </w:r>
            <w:r>
              <w:rPr>
                <w:spacing w:val="-6"/>
                <w:sz w:val="20"/>
              </w:rPr>
              <w:t> </w:t>
            </w:r>
            <w:r>
              <w:rPr>
                <w:sz w:val="20"/>
              </w:rPr>
              <w:t>A04.7,</w:t>
            </w:r>
            <w:r>
              <w:rPr>
                <w:spacing w:val="-5"/>
                <w:sz w:val="20"/>
              </w:rPr>
              <w:t> </w:t>
            </w:r>
            <w:r>
              <w:rPr>
                <w:sz w:val="20"/>
              </w:rPr>
              <w:t>A04.8,</w:t>
            </w:r>
            <w:r>
              <w:rPr>
                <w:spacing w:val="-6"/>
                <w:sz w:val="20"/>
              </w:rPr>
              <w:t> </w:t>
            </w:r>
            <w:r>
              <w:rPr>
                <w:sz w:val="20"/>
              </w:rPr>
              <w:t>A04.9,</w:t>
            </w:r>
            <w:r>
              <w:rPr>
                <w:spacing w:val="-7"/>
                <w:sz w:val="20"/>
              </w:rPr>
              <w:t> </w:t>
            </w:r>
            <w:r>
              <w:rPr>
                <w:sz w:val="20"/>
              </w:rPr>
              <w:t>A05.0,</w:t>
            </w:r>
            <w:r>
              <w:rPr>
                <w:spacing w:val="-6"/>
                <w:sz w:val="20"/>
              </w:rPr>
              <w:t> </w:t>
            </w:r>
            <w:r>
              <w:rPr>
                <w:spacing w:val="-2"/>
                <w:sz w:val="20"/>
              </w:rPr>
              <w:t>A05.2,</w:t>
            </w:r>
          </w:p>
          <w:p>
            <w:pPr>
              <w:pStyle w:val="TableParagraph"/>
              <w:spacing w:line="229" w:lineRule="exact"/>
              <w:ind w:left="396"/>
              <w:rPr>
                <w:sz w:val="20"/>
              </w:rPr>
            </w:pPr>
            <w:r>
              <w:rPr>
                <w:sz w:val="20"/>
              </w:rPr>
              <w:t>A05.3,</w:t>
            </w:r>
            <w:r>
              <w:rPr>
                <w:spacing w:val="-6"/>
                <w:sz w:val="20"/>
              </w:rPr>
              <w:t> </w:t>
            </w:r>
            <w:r>
              <w:rPr>
                <w:sz w:val="20"/>
              </w:rPr>
              <w:t>A05.4,</w:t>
            </w:r>
            <w:r>
              <w:rPr>
                <w:spacing w:val="-5"/>
                <w:sz w:val="20"/>
              </w:rPr>
              <w:t> </w:t>
            </w:r>
            <w:r>
              <w:rPr>
                <w:sz w:val="20"/>
              </w:rPr>
              <w:t>A05.8,</w:t>
            </w:r>
            <w:r>
              <w:rPr>
                <w:spacing w:val="-5"/>
                <w:sz w:val="20"/>
              </w:rPr>
              <w:t> </w:t>
            </w:r>
            <w:r>
              <w:rPr>
                <w:sz w:val="20"/>
              </w:rPr>
              <w:t>A05.9,</w:t>
            </w:r>
            <w:r>
              <w:rPr>
                <w:spacing w:val="-7"/>
                <w:sz w:val="20"/>
              </w:rPr>
              <w:t> </w:t>
            </w:r>
            <w:r>
              <w:rPr>
                <w:sz w:val="20"/>
              </w:rPr>
              <w:t>A06.0,</w:t>
            </w:r>
            <w:r>
              <w:rPr>
                <w:spacing w:val="-5"/>
                <w:sz w:val="20"/>
              </w:rPr>
              <w:t> </w:t>
            </w:r>
            <w:r>
              <w:rPr>
                <w:spacing w:val="-2"/>
                <w:sz w:val="20"/>
              </w:rPr>
              <w:t>A06.1,</w:t>
            </w:r>
          </w:p>
          <w:p>
            <w:pPr>
              <w:pStyle w:val="TableParagraph"/>
              <w:spacing w:line="229" w:lineRule="exact"/>
              <w:ind w:left="396"/>
              <w:rPr>
                <w:sz w:val="20"/>
              </w:rPr>
            </w:pPr>
            <w:r>
              <w:rPr>
                <w:sz w:val="20"/>
              </w:rPr>
              <w:t>A06.2,</w:t>
            </w:r>
            <w:r>
              <w:rPr>
                <w:spacing w:val="-6"/>
                <w:sz w:val="20"/>
              </w:rPr>
              <w:t> </w:t>
            </w:r>
            <w:r>
              <w:rPr>
                <w:sz w:val="20"/>
              </w:rPr>
              <w:t>A06.3,</w:t>
            </w:r>
            <w:r>
              <w:rPr>
                <w:spacing w:val="-5"/>
                <w:sz w:val="20"/>
              </w:rPr>
              <w:t> </w:t>
            </w:r>
            <w:r>
              <w:rPr>
                <w:sz w:val="20"/>
              </w:rPr>
              <w:t>A06.4,</w:t>
            </w:r>
            <w:r>
              <w:rPr>
                <w:spacing w:val="-6"/>
                <w:sz w:val="20"/>
              </w:rPr>
              <w:t> </w:t>
            </w:r>
            <w:r>
              <w:rPr>
                <w:sz w:val="20"/>
              </w:rPr>
              <w:t>A06.5,</w:t>
            </w:r>
            <w:r>
              <w:rPr>
                <w:spacing w:val="-7"/>
                <w:sz w:val="20"/>
              </w:rPr>
              <w:t> </w:t>
            </w:r>
            <w:r>
              <w:rPr>
                <w:sz w:val="20"/>
              </w:rPr>
              <w:t>A06.6,</w:t>
            </w:r>
            <w:r>
              <w:rPr>
                <w:spacing w:val="-6"/>
                <w:sz w:val="20"/>
              </w:rPr>
              <w:t> </w:t>
            </w:r>
            <w:r>
              <w:rPr>
                <w:spacing w:val="-2"/>
                <w:sz w:val="20"/>
              </w:rPr>
              <w:t>A06.7,</w:t>
            </w:r>
          </w:p>
          <w:p>
            <w:pPr>
              <w:pStyle w:val="TableParagraph"/>
              <w:spacing w:before="1"/>
              <w:ind w:left="396"/>
              <w:rPr>
                <w:sz w:val="20"/>
              </w:rPr>
            </w:pPr>
            <w:r>
              <w:rPr>
                <w:sz w:val="20"/>
              </w:rPr>
              <w:t>A06.8,</w:t>
            </w:r>
            <w:r>
              <w:rPr>
                <w:spacing w:val="-6"/>
                <w:sz w:val="20"/>
              </w:rPr>
              <w:t> </w:t>
            </w:r>
            <w:r>
              <w:rPr>
                <w:sz w:val="20"/>
              </w:rPr>
              <w:t>A06.9,</w:t>
            </w:r>
            <w:r>
              <w:rPr>
                <w:spacing w:val="-5"/>
                <w:sz w:val="20"/>
              </w:rPr>
              <w:t> </w:t>
            </w:r>
            <w:r>
              <w:rPr>
                <w:sz w:val="20"/>
              </w:rPr>
              <w:t>A07.0,</w:t>
            </w:r>
            <w:r>
              <w:rPr>
                <w:spacing w:val="-6"/>
                <w:sz w:val="20"/>
              </w:rPr>
              <w:t> </w:t>
            </w:r>
            <w:r>
              <w:rPr>
                <w:sz w:val="20"/>
              </w:rPr>
              <w:t>A07.1,</w:t>
            </w:r>
            <w:r>
              <w:rPr>
                <w:spacing w:val="-7"/>
                <w:sz w:val="20"/>
              </w:rPr>
              <w:t> </w:t>
            </w:r>
            <w:r>
              <w:rPr>
                <w:sz w:val="20"/>
              </w:rPr>
              <w:t>A07.2,</w:t>
            </w:r>
            <w:r>
              <w:rPr>
                <w:spacing w:val="-6"/>
                <w:sz w:val="20"/>
              </w:rPr>
              <w:t> </w:t>
            </w:r>
            <w:r>
              <w:rPr>
                <w:spacing w:val="-2"/>
                <w:sz w:val="20"/>
              </w:rPr>
              <w:t>A07.3,</w:t>
            </w:r>
          </w:p>
          <w:p>
            <w:pPr>
              <w:pStyle w:val="TableParagraph"/>
              <w:ind w:left="794" w:right="1015" w:hanging="399"/>
              <w:rPr>
                <w:sz w:val="20"/>
              </w:rPr>
            </w:pPr>
            <w:r>
              <w:rPr>
                <w:sz w:val="20"/>
              </w:rPr>
              <w:t>A07.8,</w:t>
            </w:r>
            <w:r>
              <w:rPr>
                <w:spacing w:val="-9"/>
                <w:sz w:val="20"/>
              </w:rPr>
              <w:t> </w:t>
            </w:r>
            <w:r>
              <w:rPr>
                <w:sz w:val="20"/>
              </w:rPr>
              <w:t>A07.9,</w:t>
            </w:r>
            <w:r>
              <w:rPr>
                <w:spacing w:val="-9"/>
                <w:sz w:val="20"/>
              </w:rPr>
              <w:t> </w:t>
            </w:r>
            <w:r>
              <w:rPr>
                <w:sz w:val="20"/>
              </w:rPr>
              <w:t>A08.0,</w:t>
            </w:r>
            <w:r>
              <w:rPr>
                <w:spacing w:val="-9"/>
                <w:sz w:val="20"/>
              </w:rPr>
              <w:t> </w:t>
            </w:r>
            <w:r>
              <w:rPr>
                <w:sz w:val="20"/>
              </w:rPr>
              <w:t>A08.1,</w:t>
            </w:r>
            <w:r>
              <w:rPr>
                <w:spacing w:val="-10"/>
                <w:sz w:val="20"/>
              </w:rPr>
              <w:t> </w:t>
            </w:r>
            <w:r>
              <w:rPr>
                <w:sz w:val="20"/>
              </w:rPr>
              <w:t>A08.2,</w:t>
            </w:r>
            <w:r>
              <w:rPr>
                <w:spacing w:val="-9"/>
                <w:sz w:val="20"/>
              </w:rPr>
              <w:t> </w:t>
            </w:r>
            <w:r>
              <w:rPr>
                <w:sz w:val="20"/>
              </w:rPr>
              <w:t>A08.3, A08.4, A08.5, A09, A09.0, A09.9</w:t>
            </w:r>
          </w:p>
        </w:tc>
        <w:tc>
          <w:tcPr>
            <w:tcW w:w="1670" w:type="dxa"/>
          </w:tcPr>
          <w:p>
            <w:pPr>
              <w:pStyle w:val="TableParagraph"/>
              <w:spacing w:before="45"/>
              <w:ind w:left="597"/>
              <w:rPr>
                <w:sz w:val="20"/>
              </w:rPr>
            </w:pPr>
            <w:r>
              <w:rPr>
                <w:w w:val="99"/>
                <w:sz w:val="20"/>
              </w:rPr>
              <w:t>-</w:t>
            </w:r>
          </w:p>
        </w:tc>
        <w:tc>
          <w:tcPr>
            <w:tcW w:w="3119" w:type="dxa"/>
          </w:tcPr>
          <w:p>
            <w:pPr>
              <w:pStyle w:val="TableParagraph"/>
              <w:spacing w:before="45"/>
              <w:ind w:left="1236"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5"/>
              <w:ind w:right="50"/>
              <w:jc w:val="right"/>
              <w:rPr>
                <w:sz w:val="20"/>
              </w:rPr>
            </w:pPr>
            <w:r>
              <w:rPr>
                <w:spacing w:val="-4"/>
                <w:sz w:val="20"/>
              </w:rPr>
              <w:t>0,58</w:t>
            </w:r>
          </w:p>
        </w:tc>
      </w:tr>
      <w:tr>
        <w:trPr>
          <w:trHeight w:val="2400" w:hRule="atLeast"/>
        </w:trPr>
        <w:tc>
          <w:tcPr>
            <w:tcW w:w="971" w:type="dxa"/>
          </w:tcPr>
          <w:p>
            <w:pPr>
              <w:pStyle w:val="TableParagraph"/>
              <w:spacing w:before="45"/>
              <w:ind w:left="39" w:right="223"/>
              <w:jc w:val="center"/>
              <w:rPr>
                <w:sz w:val="20"/>
              </w:rPr>
            </w:pPr>
            <w:r>
              <w:rPr>
                <w:spacing w:val="-2"/>
                <w:sz w:val="20"/>
              </w:rPr>
              <w:t>st12.002</w:t>
            </w:r>
          </w:p>
        </w:tc>
        <w:tc>
          <w:tcPr>
            <w:tcW w:w="657" w:type="dxa"/>
          </w:tcPr>
          <w:p>
            <w:pPr>
              <w:pStyle w:val="TableParagraph"/>
              <w:spacing w:before="45"/>
              <w:ind w:right="217"/>
              <w:jc w:val="right"/>
              <w:rPr>
                <w:sz w:val="20"/>
              </w:rPr>
            </w:pPr>
            <w:r>
              <w:rPr>
                <w:spacing w:val="-5"/>
                <w:sz w:val="20"/>
              </w:rPr>
              <w:t>59</w:t>
            </w:r>
          </w:p>
        </w:tc>
        <w:tc>
          <w:tcPr>
            <w:tcW w:w="2589" w:type="dxa"/>
          </w:tcPr>
          <w:p>
            <w:pPr>
              <w:pStyle w:val="TableParagraph"/>
              <w:spacing w:before="45"/>
              <w:ind w:left="217" w:right="500"/>
              <w:rPr>
                <w:sz w:val="20"/>
              </w:rPr>
            </w:pPr>
            <w:r>
              <w:rPr>
                <w:sz w:val="20"/>
              </w:rPr>
              <w:t>Кишечные</w:t>
            </w:r>
            <w:r>
              <w:rPr>
                <w:spacing w:val="-13"/>
                <w:sz w:val="20"/>
              </w:rPr>
              <w:t> </w:t>
            </w:r>
            <w:r>
              <w:rPr>
                <w:sz w:val="20"/>
              </w:rPr>
              <w:t>инфекции, </w:t>
            </w:r>
            <w:r>
              <w:rPr>
                <w:spacing w:val="-4"/>
                <w:sz w:val="20"/>
              </w:rPr>
              <w:t>дети</w:t>
            </w:r>
          </w:p>
        </w:tc>
        <w:tc>
          <w:tcPr>
            <w:tcW w:w="5406" w:type="dxa"/>
          </w:tcPr>
          <w:p>
            <w:pPr>
              <w:pStyle w:val="TableParagraph"/>
              <w:spacing w:before="45"/>
              <w:ind w:left="396"/>
              <w:rPr>
                <w:sz w:val="20"/>
              </w:rPr>
            </w:pPr>
            <w:r>
              <w:rPr>
                <w:sz w:val="20"/>
              </w:rPr>
              <w:t>A00.0,</w:t>
            </w:r>
            <w:r>
              <w:rPr>
                <w:spacing w:val="-6"/>
                <w:sz w:val="20"/>
              </w:rPr>
              <w:t> </w:t>
            </w:r>
            <w:r>
              <w:rPr>
                <w:sz w:val="20"/>
              </w:rPr>
              <w:t>A00.1,</w:t>
            </w:r>
            <w:r>
              <w:rPr>
                <w:spacing w:val="-5"/>
                <w:sz w:val="20"/>
              </w:rPr>
              <w:t> </w:t>
            </w:r>
            <w:r>
              <w:rPr>
                <w:sz w:val="20"/>
              </w:rPr>
              <w:t>A00.9,</w:t>
            </w:r>
            <w:r>
              <w:rPr>
                <w:spacing w:val="-6"/>
                <w:sz w:val="20"/>
              </w:rPr>
              <w:t> </w:t>
            </w:r>
            <w:r>
              <w:rPr>
                <w:sz w:val="20"/>
              </w:rPr>
              <w:t>A01.0,</w:t>
            </w:r>
            <w:r>
              <w:rPr>
                <w:spacing w:val="-7"/>
                <w:sz w:val="20"/>
              </w:rPr>
              <w:t> </w:t>
            </w:r>
            <w:r>
              <w:rPr>
                <w:sz w:val="20"/>
              </w:rPr>
              <w:t>A01.1,</w:t>
            </w:r>
            <w:r>
              <w:rPr>
                <w:spacing w:val="-6"/>
                <w:sz w:val="20"/>
              </w:rPr>
              <w:t> </w:t>
            </w:r>
            <w:r>
              <w:rPr>
                <w:spacing w:val="-2"/>
                <w:sz w:val="20"/>
              </w:rPr>
              <w:t>A01.2,</w:t>
            </w:r>
          </w:p>
          <w:p>
            <w:pPr>
              <w:pStyle w:val="TableParagraph"/>
              <w:ind w:left="396"/>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A02.2,</w:t>
            </w:r>
            <w:r>
              <w:rPr>
                <w:spacing w:val="-7"/>
                <w:sz w:val="20"/>
              </w:rPr>
              <w:t> </w:t>
            </w:r>
            <w:r>
              <w:rPr>
                <w:sz w:val="20"/>
              </w:rPr>
              <w:t>A02.8,</w:t>
            </w:r>
            <w:r>
              <w:rPr>
                <w:spacing w:val="-6"/>
                <w:sz w:val="20"/>
              </w:rPr>
              <w:t> </w:t>
            </w:r>
            <w:r>
              <w:rPr>
                <w:spacing w:val="-2"/>
                <w:sz w:val="20"/>
              </w:rPr>
              <w:t>A02.9,</w:t>
            </w:r>
          </w:p>
          <w:p>
            <w:pPr>
              <w:pStyle w:val="TableParagraph"/>
              <w:ind w:left="396"/>
              <w:rPr>
                <w:sz w:val="20"/>
              </w:rPr>
            </w:pPr>
            <w:r>
              <w:rPr>
                <w:sz w:val="20"/>
              </w:rPr>
              <w:t>A03.0,</w:t>
            </w:r>
            <w:r>
              <w:rPr>
                <w:spacing w:val="-6"/>
                <w:sz w:val="20"/>
              </w:rPr>
              <w:t> </w:t>
            </w:r>
            <w:r>
              <w:rPr>
                <w:sz w:val="20"/>
              </w:rPr>
              <w:t>A03.1,</w:t>
            </w:r>
            <w:r>
              <w:rPr>
                <w:spacing w:val="-5"/>
                <w:sz w:val="20"/>
              </w:rPr>
              <w:t> </w:t>
            </w:r>
            <w:r>
              <w:rPr>
                <w:sz w:val="20"/>
              </w:rPr>
              <w:t>A03.2,</w:t>
            </w:r>
            <w:r>
              <w:rPr>
                <w:spacing w:val="-6"/>
                <w:sz w:val="20"/>
              </w:rPr>
              <w:t> </w:t>
            </w:r>
            <w:r>
              <w:rPr>
                <w:sz w:val="20"/>
              </w:rPr>
              <w:t>A03.3,</w:t>
            </w:r>
            <w:r>
              <w:rPr>
                <w:spacing w:val="-7"/>
                <w:sz w:val="20"/>
              </w:rPr>
              <w:t> </w:t>
            </w:r>
            <w:r>
              <w:rPr>
                <w:sz w:val="20"/>
              </w:rPr>
              <w:t>A03.8,</w:t>
            </w:r>
            <w:r>
              <w:rPr>
                <w:spacing w:val="-6"/>
                <w:sz w:val="20"/>
              </w:rPr>
              <w:t> </w:t>
            </w:r>
            <w:r>
              <w:rPr>
                <w:spacing w:val="-2"/>
                <w:sz w:val="20"/>
              </w:rPr>
              <w:t>A03.9,</w:t>
            </w:r>
          </w:p>
          <w:p>
            <w:pPr>
              <w:pStyle w:val="TableParagraph"/>
              <w:spacing w:before="1"/>
              <w:ind w:left="396"/>
              <w:rPr>
                <w:sz w:val="20"/>
              </w:rPr>
            </w:pPr>
            <w:r>
              <w:rPr>
                <w:sz w:val="20"/>
              </w:rPr>
              <w:t>A04.0,</w:t>
            </w:r>
            <w:r>
              <w:rPr>
                <w:spacing w:val="-6"/>
                <w:sz w:val="20"/>
              </w:rPr>
              <w:t> </w:t>
            </w:r>
            <w:r>
              <w:rPr>
                <w:sz w:val="20"/>
              </w:rPr>
              <w:t>A04.1,</w:t>
            </w:r>
            <w:r>
              <w:rPr>
                <w:spacing w:val="-5"/>
                <w:sz w:val="20"/>
              </w:rPr>
              <w:t> </w:t>
            </w:r>
            <w:r>
              <w:rPr>
                <w:sz w:val="20"/>
              </w:rPr>
              <w:t>A04.2,</w:t>
            </w:r>
            <w:r>
              <w:rPr>
                <w:spacing w:val="-6"/>
                <w:sz w:val="20"/>
              </w:rPr>
              <w:t> </w:t>
            </w:r>
            <w:r>
              <w:rPr>
                <w:sz w:val="20"/>
              </w:rPr>
              <w:t>A04.3,</w:t>
            </w:r>
            <w:r>
              <w:rPr>
                <w:spacing w:val="-7"/>
                <w:sz w:val="20"/>
              </w:rPr>
              <w:t> </w:t>
            </w:r>
            <w:r>
              <w:rPr>
                <w:sz w:val="20"/>
              </w:rPr>
              <w:t>A04.4,</w:t>
            </w:r>
            <w:r>
              <w:rPr>
                <w:spacing w:val="-6"/>
                <w:sz w:val="20"/>
              </w:rPr>
              <w:t> </w:t>
            </w:r>
            <w:r>
              <w:rPr>
                <w:spacing w:val="-2"/>
                <w:sz w:val="20"/>
              </w:rPr>
              <w:t>A04.5,</w:t>
            </w:r>
          </w:p>
          <w:p>
            <w:pPr>
              <w:pStyle w:val="TableParagraph"/>
              <w:spacing w:before="1"/>
              <w:ind w:left="396"/>
              <w:rPr>
                <w:sz w:val="20"/>
              </w:rPr>
            </w:pPr>
            <w:r>
              <w:rPr>
                <w:sz w:val="20"/>
              </w:rPr>
              <w:t>A04.6,</w:t>
            </w:r>
            <w:r>
              <w:rPr>
                <w:spacing w:val="-6"/>
                <w:sz w:val="20"/>
              </w:rPr>
              <w:t> </w:t>
            </w:r>
            <w:r>
              <w:rPr>
                <w:sz w:val="20"/>
              </w:rPr>
              <w:t>A04.7,</w:t>
            </w:r>
            <w:r>
              <w:rPr>
                <w:spacing w:val="-5"/>
                <w:sz w:val="20"/>
              </w:rPr>
              <w:t> </w:t>
            </w:r>
            <w:r>
              <w:rPr>
                <w:sz w:val="20"/>
              </w:rPr>
              <w:t>A04.8,</w:t>
            </w:r>
            <w:r>
              <w:rPr>
                <w:spacing w:val="-6"/>
                <w:sz w:val="20"/>
              </w:rPr>
              <w:t> </w:t>
            </w:r>
            <w:r>
              <w:rPr>
                <w:sz w:val="20"/>
              </w:rPr>
              <w:t>A04.9,</w:t>
            </w:r>
            <w:r>
              <w:rPr>
                <w:spacing w:val="-7"/>
                <w:sz w:val="20"/>
              </w:rPr>
              <w:t> </w:t>
            </w:r>
            <w:r>
              <w:rPr>
                <w:sz w:val="20"/>
              </w:rPr>
              <w:t>A05.0,</w:t>
            </w:r>
            <w:r>
              <w:rPr>
                <w:spacing w:val="-6"/>
                <w:sz w:val="20"/>
              </w:rPr>
              <w:t> </w:t>
            </w:r>
            <w:r>
              <w:rPr>
                <w:spacing w:val="-2"/>
                <w:sz w:val="20"/>
              </w:rPr>
              <w:t>A05.2,</w:t>
            </w:r>
          </w:p>
          <w:p>
            <w:pPr>
              <w:pStyle w:val="TableParagraph"/>
              <w:spacing w:line="229" w:lineRule="exact"/>
              <w:ind w:left="396"/>
              <w:rPr>
                <w:sz w:val="20"/>
              </w:rPr>
            </w:pPr>
            <w:r>
              <w:rPr>
                <w:sz w:val="20"/>
              </w:rPr>
              <w:t>A05.3,</w:t>
            </w:r>
            <w:r>
              <w:rPr>
                <w:spacing w:val="-6"/>
                <w:sz w:val="20"/>
              </w:rPr>
              <w:t> </w:t>
            </w:r>
            <w:r>
              <w:rPr>
                <w:sz w:val="20"/>
              </w:rPr>
              <w:t>A05.4,</w:t>
            </w:r>
            <w:r>
              <w:rPr>
                <w:spacing w:val="-5"/>
                <w:sz w:val="20"/>
              </w:rPr>
              <w:t> </w:t>
            </w:r>
            <w:r>
              <w:rPr>
                <w:sz w:val="20"/>
              </w:rPr>
              <w:t>A05.8,</w:t>
            </w:r>
            <w:r>
              <w:rPr>
                <w:spacing w:val="-6"/>
                <w:sz w:val="20"/>
              </w:rPr>
              <w:t> </w:t>
            </w:r>
            <w:r>
              <w:rPr>
                <w:sz w:val="20"/>
              </w:rPr>
              <w:t>A05.9,</w:t>
            </w:r>
            <w:r>
              <w:rPr>
                <w:spacing w:val="-7"/>
                <w:sz w:val="20"/>
              </w:rPr>
              <w:t> </w:t>
            </w:r>
            <w:r>
              <w:rPr>
                <w:sz w:val="20"/>
              </w:rPr>
              <w:t>A06.0,</w:t>
            </w:r>
            <w:r>
              <w:rPr>
                <w:spacing w:val="-6"/>
                <w:sz w:val="20"/>
              </w:rPr>
              <w:t> </w:t>
            </w:r>
            <w:r>
              <w:rPr>
                <w:spacing w:val="-2"/>
                <w:sz w:val="20"/>
              </w:rPr>
              <w:t>A06.1,</w:t>
            </w:r>
          </w:p>
          <w:p>
            <w:pPr>
              <w:pStyle w:val="TableParagraph"/>
              <w:spacing w:line="229" w:lineRule="exact"/>
              <w:ind w:left="396"/>
              <w:rPr>
                <w:sz w:val="20"/>
              </w:rPr>
            </w:pPr>
            <w:r>
              <w:rPr>
                <w:sz w:val="20"/>
              </w:rPr>
              <w:t>A06.2,</w:t>
            </w:r>
            <w:r>
              <w:rPr>
                <w:spacing w:val="-6"/>
                <w:sz w:val="20"/>
              </w:rPr>
              <w:t> </w:t>
            </w:r>
            <w:r>
              <w:rPr>
                <w:sz w:val="20"/>
              </w:rPr>
              <w:t>A06.3,</w:t>
            </w:r>
            <w:r>
              <w:rPr>
                <w:spacing w:val="-5"/>
                <w:sz w:val="20"/>
              </w:rPr>
              <w:t> </w:t>
            </w:r>
            <w:r>
              <w:rPr>
                <w:sz w:val="20"/>
              </w:rPr>
              <w:t>A06.4,</w:t>
            </w:r>
            <w:r>
              <w:rPr>
                <w:spacing w:val="-6"/>
                <w:sz w:val="20"/>
              </w:rPr>
              <w:t> </w:t>
            </w:r>
            <w:r>
              <w:rPr>
                <w:sz w:val="20"/>
              </w:rPr>
              <w:t>A06.5,</w:t>
            </w:r>
            <w:r>
              <w:rPr>
                <w:spacing w:val="-7"/>
                <w:sz w:val="20"/>
              </w:rPr>
              <w:t> </w:t>
            </w:r>
            <w:r>
              <w:rPr>
                <w:sz w:val="20"/>
              </w:rPr>
              <w:t>A06.6,</w:t>
            </w:r>
            <w:r>
              <w:rPr>
                <w:spacing w:val="-6"/>
                <w:sz w:val="20"/>
              </w:rPr>
              <w:t> </w:t>
            </w:r>
            <w:r>
              <w:rPr>
                <w:spacing w:val="-2"/>
                <w:sz w:val="20"/>
              </w:rPr>
              <w:t>A06.7,</w:t>
            </w:r>
          </w:p>
          <w:p>
            <w:pPr>
              <w:pStyle w:val="TableParagraph"/>
              <w:spacing w:before="1"/>
              <w:ind w:left="396"/>
              <w:rPr>
                <w:sz w:val="20"/>
              </w:rPr>
            </w:pPr>
            <w:r>
              <w:rPr>
                <w:sz w:val="20"/>
              </w:rPr>
              <w:t>A06.8,</w:t>
            </w:r>
            <w:r>
              <w:rPr>
                <w:spacing w:val="-6"/>
                <w:sz w:val="20"/>
              </w:rPr>
              <w:t> </w:t>
            </w:r>
            <w:r>
              <w:rPr>
                <w:sz w:val="20"/>
              </w:rPr>
              <w:t>A06.9,</w:t>
            </w:r>
            <w:r>
              <w:rPr>
                <w:spacing w:val="-5"/>
                <w:sz w:val="20"/>
              </w:rPr>
              <w:t> </w:t>
            </w:r>
            <w:r>
              <w:rPr>
                <w:sz w:val="20"/>
              </w:rPr>
              <w:t>A07.0,</w:t>
            </w:r>
            <w:r>
              <w:rPr>
                <w:spacing w:val="-6"/>
                <w:sz w:val="20"/>
              </w:rPr>
              <w:t> </w:t>
            </w:r>
            <w:r>
              <w:rPr>
                <w:sz w:val="20"/>
              </w:rPr>
              <w:t>A07.1,</w:t>
            </w:r>
            <w:r>
              <w:rPr>
                <w:spacing w:val="-7"/>
                <w:sz w:val="20"/>
              </w:rPr>
              <w:t> </w:t>
            </w:r>
            <w:r>
              <w:rPr>
                <w:sz w:val="20"/>
              </w:rPr>
              <w:t>A07.2,</w:t>
            </w:r>
            <w:r>
              <w:rPr>
                <w:spacing w:val="-6"/>
                <w:sz w:val="20"/>
              </w:rPr>
              <w:t> </w:t>
            </w:r>
            <w:r>
              <w:rPr>
                <w:spacing w:val="-2"/>
                <w:sz w:val="20"/>
              </w:rPr>
              <w:t>A07.3,</w:t>
            </w:r>
          </w:p>
          <w:p>
            <w:pPr>
              <w:pStyle w:val="TableParagraph"/>
              <w:ind w:left="794" w:right="1015" w:hanging="399"/>
              <w:rPr>
                <w:sz w:val="20"/>
              </w:rPr>
            </w:pPr>
            <w:r>
              <w:rPr>
                <w:sz w:val="20"/>
              </w:rPr>
              <w:t>A07.8,</w:t>
            </w:r>
            <w:r>
              <w:rPr>
                <w:spacing w:val="-9"/>
                <w:sz w:val="20"/>
              </w:rPr>
              <w:t> </w:t>
            </w:r>
            <w:r>
              <w:rPr>
                <w:sz w:val="20"/>
              </w:rPr>
              <w:t>A07.9,</w:t>
            </w:r>
            <w:r>
              <w:rPr>
                <w:spacing w:val="-9"/>
                <w:sz w:val="20"/>
              </w:rPr>
              <w:t> </w:t>
            </w:r>
            <w:r>
              <w:rPr>
                <w:sz w:val="20"/>
              </w:rPr>
              <w:t>A08.0,</w:t>
            </w:r>
            <w:r>
              <w:rPr>
                <w:spacing w:val="-9"/>
                <w:sz w:val="20"/>
              </w:rPr>
              <w:t> </w:t>
            </w:r>
            <w:r>
              <w:rPr>
                <w:sz w:val="20"/>
              </w:rPr>
              <w:t>A08.1,</w:t>
            </w:r>
            <w:r>
              <w:rPr>
                <w:spacing w:val="-10"/>
                <w:sz w:val="20"/>
              </w:rPr>
              <w:t> </w:t>
            </w:r>
            <w:r>
              <w:rPr>
                <w:sz w:val="20"/>
              </w:rPr>
              <w:t>A08.2,</w:t>
            </w:r>
            <w:r>
              <w:rPr>
                <w:spacing w:val="-9"/>
                <w:sz w:val="20"/>
              </w:rPr>
              <w:t> </w:t>
            </w:r>
            <w:r>
              <w:rPr>
                <w:sz w:val="20"/>
              </w:rPr>
              <w:t>A08.3, A08.4, A08.5, A09, A09.0, A09.9</w:t>
            </w:r>
          </w:p>
        </w:tc>
        <w:tc>
          <w:tcPr>
            <w:tcW w:w="1670" w:type="dxa"/>
          </w:tcPr>
          <w:p>
            <w:pPr>
              <w:pStyle w:val="TableParagraph"/>
              <w:spacing w:before="45"/>
              <w:ind w:left="597"/>
              <w:rPr>
                <w:sz w:val="20"/>
              </w:rPr>
            </w:pPr>
            <w:r>
              <w:rPr>
                <w:w w:val="99"/>
                <w:sz w:val="20"/>
              </w:rPr>
              <w:t>-</w:t>
            </w:r>
          </w:p>
        </w:tc>
        <w:tc>
          <w:tcPr>
            <w:tcW w:w="3119" w:type="dxa"/>
          </w:tcPr>
          <w:p>
            <w:pPr>
              <w:pStyle w:val="TableParagraph"/>
              <w:spacing w:before="45"/>
              <w:ind w:left="1018" w:right="455"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before="45"/>
              <w:ind w:right="50"/>
              <w:jc w:val="right"/>
              <w:rPr>
                <w:sz w:val="20"/>
              </w:rPr>
            </w:pPr>
            <w:r>
              <w:rPr>
                <w:spacing w:val="-4"/>
                <w:sz w:val="20"/>
              </w:rPr>
              <w:t>0,62</w:t>
            </w:r>
          </w:p>
        </w:tc>
      </w:tr>
      <w:tr>
        <w:trPr>
          <w:trHeight w:val="560" w:hRule="atLeast"/>
        </w:trPr>
        <w:tc>
          <w:tcPr>
            <w:tcW w:w="971" w:type="dxa"/>
          </w:tcPr>
          <w:p>
            <w:pPr>
              <w:pStyle w:val="TableParagraph"/>
              <w:spacing w:before="45"/>
              <w:ind w:left="39" w:right="223"/>
              <w:jc w:val="center"/>
              <w:rPr>
                <w:sz w:val="20"/>
              </w:rPr>
            </w:pPr>
            <w:r>
              <w:rPr>
                <w:spacing w:val="-2"/>
                <w:sz w:val="20"/>
              </w:rPr>
              <w:t>st12.003</w:t>
            </w:r>
          </w:p>
        </w:tc>
        <w:tc>
          <w:tcPr>
            <w:tcW w:w="657" w:type="dxa"/>
          </w:tcPr>
          <w:p>
            <w:pPr>
              <w:pStyle w:val="TableParagraph"/>
              <w:spacing w:before="45"/>
              <w:ind w:right="217"/>
              <w:jc w:val="right"/>
              <w:rPr>
                <w:sz w:val="20"/>
              </w:rPr>
            </w:pPr>
            <w:r>
              <w:rPr>
                <w:spacing w:val="-5"/>
                <w:sz w:val="20"/>
              </w:rPr>
              <w:t>60</w:t>
            </w:r>
          </w:p>
        </w:tc>
        <w:tc>
          <w:tcPr>
            <w:tcW w:w="2589" w:type="dxa"/>
          </w:tcPr>
          <w:p>
            <w:pPr>
              <w:pStyle w:val="TableParagraph"/>
              <w:spacing w:before="45"/>
              <w:ind w:left="217"/>
              <w:rPr>
                <w:sz w:val="20"/>
              </w:rPr>
            </w:pPr>
            <w:r>
              <w:rPr>
                <w:sz w:val="20"/>
              </w:rPr>
              <w:t>Вирусный</w:t>
            </w:r>
            <w:r>
              <w:rPr>
                <w:spacing w:val="-10"/>
                <w:sz w:val="20"/>
              </w:rPr>
              <w:t> </w:t>
            </w:r>
            <w:r>
              <w:rPr>
                <w:sz w:val="20"/>
              </w:rPr>
              <w:t>гепатит</w:t>
            </w:r>
            <w:r>
              <w:rPr>
                <w:spacing w:val="-10"/>
                <w:sz w:val="20"/>
              </w:rPr>
              <w:t> </w:t>
            </w:r>
            <w:r>
              <w:rPr>
                <w:spacing w:val="-2"/>
                <w:sz w:val="20"/>
              </w:rPr>
              <w:t>острый</w:t>
            </w:r>
          </w:p>
        </w:tc>
        <w:tc>
          <w:tcPr>
            <w:tcW w:w="5406" w:type="dxa"/>
          </w:tcPr>
          <w:p>
            <w:pPr>
              <w:pStyle w:val="TableParagraph"/>
              <w:spacing w:before="45"/>
              <w:ind w:left="749" w:right="1015" w:hanging="610"/>
              <w:rPr>
                <w:sz w:val="20"/>
              </w:rPr>
            </w:pPr>
            <w:r>
              <w:rPr>
                <w:sz w:val="20"/>
              </w:rPr>
              <w:t>B15.0,</w:t>
            </w:r>
            <w:r>
              <w:rPr>
                <w:spacing w:val="-6"/>
                <w:sz w:val="20"/>
              </w:rPr>
              <w:t> </w:t>
            </w:r>
            <w:r>
              <w:rPr>
                <w:sz w:val="20"/>
              </w:rPr>
              <w:t>B15.9,</w:t>
            </w:r>
            <w:r>
              <w:rPr>
                <w:spacing w:val="-6"/>
                <w:sz w:val="20"/>
              </w:rPr>
              <w:t> </w:t>
            </w:r>
            <w:r>
              <w:rPr>
                <w:sz w:val="20"/>
              </w:rPr>
              <w:t>B16.0,</w:t>
            </w:r>
            <w:r>
              <w:rPr>
                <w:spacing w:val="-6"/>
                <w:sz w:val="20"/>
              </w:rPr>
              <w:t> </w:t>
            </w:r>
            <w:r>
              <w:rPr>
                <w:sz w:val="20"/>
              </w:rPr>
              <w:t>B16.1,</w:t>
            </w:r>
            <w:r>
              <w:rPr>
                <w:spacing w:val="-10"/>
                <w:sz w:val="20"/>
              </w:rPr>
              <w:t> </w:t>
            </w:r>
            <w:r>
              <w:rPr>
                <w:sz w:val="20"/>
              </w:rPr>
              <w:t>B16.2,</w:t>
            </w:r>
            <w:r>
              <w:rPr>
                <w:spacing w:val="-5"/>
                <w:sz w:val="20"/>
              </w:rPr>
              <w:t> </w:t>
            </w:r>
            <w:r>
              <w:rPr>
                <w:sz w:val="20"/>
              </w:rPr>
              <w:t>B16.9,</w:t>
            </w:r>
            <w:r>
              <w:rPr>
                <w:spacing w:val="-6"/>
                <w:sz w:val="20"/>
              </w:rPr>
              <w:t> </w:t>
            </w:r>
            <w:r>
              <w:rPr>
                <w:sz w:val="20"/>
              </w:rPr>
              <w:t>B17.0, B17.1, B17.2, B17.8, B17.9, B19.9</w:t>
            </w:r>
          </w:p>
        </w:tc>
        <w:tc>
          <w:tcPr>
            <w:tcW w:w="1670" w:type="dxa"/>
          </w:tcPr>
          <w:p>
            <w:pPr>
              <w:pStyle w:val="TableParagraph"/>
              <w:spacing w:before="45"/>
              <w:ind w:left="597"/>
              <w:rPr>
                <w:sz w:val="20"/>
              </w:rPr>
            </w:pPr>
            <w:r>
              <w:rPr>
                <w:w w:val="99"/>
                <w:sz w:val="20"/>
              </w:rPr>
              <w:t>-</w:t>
            </w:r>
          </w:p>
        </w:tc>
        <w:tc>
          <w:tcPr>
            <w:tcW w:w="3119" w:type="dxa"/>
          </w:tcPr>
          <w:p>
            <w:pPr>
              <w:pStyle w:val="TableParagraph"/>
              <w:spacing w:before="45"/>
              <w:ind w:right="1257"/>
              <w:jc w:val="right"/>
              <w:rPr>
                <w:sz w:val="20"/>
              </w:rPr>
            </w:pPr>
            <w:r>
              <w:rPr>
                <w:w w:val="99"/>
                <w:sz w:val="20"/>
              </w:rPr>
              <w:t>-</w:t>
            </w:r>
          </w:p>
        </w:tc>
        <w:tc>
          <w:tcPr>
            <w:tcW w:w="864" w:type="dxa"/>
          </w:tcPr>
          <w:p>
            <w:pPr>
              <w:pStyle w:val="TableParagraph"/>
              <w:spacing w:before="45"/>
              <w:ind w:right="50"/>
              <w:jc w:val="right"/>
              <w:rPr>
                <w:sz w:val="20"/>
              </w:rPr>
            </w:pPr>
            <w:r>
              <w:rPr>
                <w:spacing w:val="-4"/>
                <w:sz w:val="20"/>
              </w:rPr>
              <w:t>1,40</w:t>
            </w:r>
          </w:p>
        </w:tc>
      </w:tr>
      <w:tr>
        <w:trPr>
          <w:trHeight w:val="559" w:hRule="atLeast"/>
        </w:trPr>
        <w:tc>
          <w:tcPr>
            <w:tcW w:w="971" w:type="dxa"/>
          </w:tcPr>
          <w:p>
            <w:pPr>
              <w:pStyle w:val="TableParagraph"/>
              <w:spacing w:before="46"/>
              <w:ind w:left="39" w:right="223"/>
              <w:jc w:val="center"/>
              <w:rPr>
                <w:sz w:val="20"/>
              </w:rPr>
            </w:pPr>
            <w:r>
              <w:rPr>
                <w:spacing w:val="-2"/>
                <w:sz w:val="20"/>
              </w:rPr>
              <w:t>st12.004</w:t>
            </w:r>
          </w:p>
        </w:tc>
        <w:tc>
          <w:tcPr>
            <w:tcW w:w="657" w:type="dxa"/>
          </w:tcPr>
          <w:p>
            <w:pPr>
              <w:pStyle w:val="TableParagraph"/>
              <w:spacing w:before="46"/>
              <w:ind w:right="217"/>
              <w:jc w:val="right"/>
              <w:rPr>
                <w:sz w:val="20"/>
              </w:rPr>
            </w:pPr>
            <w:r>
              <w:rPr>
                <w:spacing w:val="-5"/>
                <w:sz w:val="20"/>
              </w:rPr>
              <w:t>61</w:t>
            </w:r>
          </w:p>
        </w:tc>
        <w:tc>
          <w:tcPr>
            <w:tcW w:w="2589" w:type="dxa"/>
          </w:tcPr>
          <w:p>
            <w:pPr>
              <w:pStyle w:val="TableParagraph"/>
              <w:spacing w:before="46"/>
              <w:ind w:left="217" w:right="788"/>
              <w:rPr>
                <w:sz w:val="20"/>
              </w:rPr>
            </w:pPr>
            <w:r>
              <w:rPr>
                <w:sz w:val="20"/>
              </w:rPr>
              <w:t>Вирусный</w:t>
            </w:r>
            <w:r>
              <w:rPr>
                <w:spacing w:val="-13"/>
                <w:sz w:val="20"/>
              </w:rPr>
              <w:t> </w:t>
            </w:r>
            <w:r>
              <w:rPr>
                <w:sz w:val="20"/>
              </w:rPr>
              <w:t>гепатит </w:t>
            </w:r>
            <w:r>
              <w:rPr>
                <w:spacing w:val="-2"/>
                <w:sz w:val="20"/>
              </w:rPr>
              <w:t>хронический</w:t>
            </w:r>
          </w:p>
        </w:tc>
        <w:tc>
          <w:tcPr>
            <w:tcW w:w="5406" w:type="dxa"/>
          </w:tcPr>
          <w:p>
            <w:pPr>
              <w:pStyle w:val="TableParagraph"/>
              <w:spacing w:before="46"/>
              <w:ind w:left="163"/>
              <w:rPr>
                <w:sz w:val="20"/>
              </w:rPr>
            </w:pPr>
            <w:r>
              <w:rPr>
                <w:sz w:val="20"/>
              </w:rPr>
              <w:t>B18.0,</w:t>
            </w:r>
            <w:r>
              <w:rPr>
                <w:spacing w:val="-8"/>
                <w:sz w:val="20"/>
              </w:rPr>
              <w:t> </w:t>
            </w:r>
            <w:r>
              <w:rPr>
                <w:sz w:val="20"/>
              </w:rPr>
              <w:t>B18.1,</w:t>
            </w:r>
            <w:r>
              <w:rPr>
                <w:spacing w:val="-5"/>
                <w:sz w:val="20"/>
              </w:rPr>
              <w:t> </w:t>
            </w:r>
            <w:r>
              <w:rPr>
                <w:sz w:val="20"/>
              </w:rPr>
              <w:t>B18.2,</w:t>
            </w:r>
            <w:r>
              <w:rPr>
                <w:spacing w:val="-5"/>
                <w:sz w:val="20"/>
              </w:rPr>
              <w:t> </w:t>
            </w:r>
            <w:r>
              <w:rPr>
                <w:sz w:val="20"/>
              </w:rPr>
              <w:t>B18.8,</w:t>
            </w:r>
            <w:r>
              <w:rPr>
                <w:spacing w:val="-8"/>
                <w:sz w:val="20"/>
              </w:rPr>
              <w:t> </w:t>
            </w:r>
            <w:r>
              <w:rPr>
                <w:sz w:val="20"/>
              </w:rPr>
              <w:t>B18.9,</w:t>
            </w:r>
            <w:r>
              <w:rPr>
                <w:spacing w:val="-5"/>
                <w:sz w:val="20"/>
              </w:rPr>
              <w:t> </w:t>
            </w:r>
            <w:r>
              <w:rPr>
                <w:sz w:val="20"/>
              </w:rPr>
              <w:t>B19.0,</w:t>
            </w:r>
            <w:r>
              <w:rPr>
                <w:spacing w:val="-5"/>
                <w:sz w:val="20"/>
              </w:rPr>
              <w:t> </w:t>
            </w:r>
            <w:r>
              <w:rPr>
                <w:spacing w:val="-4"/>
                <w:sz w:val="20"/>
              </w:rPr>
              <w:t>B94.2</w:t>
            </w:r>
          </w:p>
        </w:tc>
        <w:tc>
          <w:tcPr>
            <w:tcW w:w="1670" w:type="dxa"/>
          </w:tcPr>
          <w:p>
            <w:pPr>
              <w:pStyle w:val="TableParagraph"/>
              <w:spacing w:before="46"/>
              <w:ind w:left="597"/>
              <w:rPr>
                <w:sz w:val="20"/>
              </w:rPr>
            </w:pPr>
            <w:r>
              <w:rPr>
                <w:w w:val="99"/>
                <w:sz w:val="20"/>
              </w:rPr>
              <w:t>-</w:t>
            </w:r>
          </w:p>
        </w:tc>
        <w:tc>
          <w:tcPr>
            <w:tcW w:w="3119" w:type="dxa"/>
          </w:tcPr>
          <w:p>
            <w:pPr>
              <w:pStyle w:val="TableParagraph"/>
              <w:spacing w:before="46"/>
              <w:ind w:right="1257"/>
              <w:jc w:val="right"/>
              <w:rPr>
                <w:sz w:val="20"/>
              </w:rPr>
            </w:pPr>
            <w:r>
              <w:rPr>
                <w:w w:val="99"/>
                <w:sz w:val="20"/>
              </w:rPr>
              <w:t>-</w:t>
            </w:r>
          </w:p>
        </w:tc>
        <w:tc>
          <w:tcPr>
            <w:tcW w:w="864" w:type="dxa"/>
          </w:tcPr>
          <w:p>
            <w:pPr>
              <w:pStyle w:val="TableParagraph"/>
              <w:spacing w:before="46"/>
              <w:ind w:right="50"/>
              <w:jc w:val="right"/>
              <w:rPr>
                <w:sz w:val="20"/>
              </w:rPr>
            </w:pPr>
            <w:r>
              <w:rPr>
                <w:spacing w:val="-4"/>
                <w:sz w:val="20"/>
              </w:rPr>
              <w:t>1,27</w:t>
            </w:r>
          </w:p>
        </w:tc>
      </w:tr>
      <w:tr>
        <w:trPr>
          <w:trHeight w:val="1195" w:hRule="atLeast"/>
        </w:trPr>
        <w:tc>
          <w:tcPr>
            <w:tcW w:w="971" w:type="dxa"/>
          </w:tcPr>
          <w:p>
            <w:pPr>
              <w:pStyle w:val="TableParagraph"/>
              <w:spacing w:before="46"/>
              <w:ind w:left="39" w:right="223"/>
              <w:jc w:val="center"/>
              <w:rPr>
                <w:sz w:val="20"/>
              </w:rPr>
            </w:pPr>
            <w:r>
              <w:rPr>
                <w:spacing w:val="-2"/>
                <w:sz w:val="20"/>
              </w:rPr>
              <w:t>st12.005</w:t>
            </w:r>
          </w:p>
        </w:tc>
        <w:tc>
          <w:tcPr>
            <w:tcW w:w="657" w:type="dxa"/>
          </w:tcPr>
          <w:p>
            <w:pPr>
              <w:pStyle w:val="TableParagraph"/>
              <w:spacing w:before="46"/>
              <w:ind w:right="217"/>
              <w:jc w:val="right"/>
              <w:rPr>
                <w:sz w:val="20"/>
              </w:rPr>
            </w:pPr>
            <w:r>
              <w:rPr>
                <w:spacing w:val="-5"/>
                <w:sz w:val="20"/>
              </w:rPr>
              <w:t>62</w:t>
            </w:r>
          </w:p>
        </w:tc>
        <w:tc>
          <w:tcPr>
            <w:tcW w:w="2589" w:type="dxa"/>
          </w:tcPr>
          <w:p>
            <w:pPr>
              <w:pStyle w:val="TableParagraph"/>
              <w:spacing w:before="46"/>
              <w:ind w:left="217"/>
              <w:rPr>
                <w:sz w:val="20"/>
              </w:rPr>
            </w:pPr>
            <w:r>
              <w:rPr>
                <w:sz w:val="20"/>
              </w:rPr>
              <w:t>Сепсис,</w:t>
            </w:r>
            <w:r>
              <w:rPr>
                <w:spacing w:val="-8"/>
                <w:sz w:val="20"/>
              </w:rPr>
              <w:t> </w:t>
            </w:r>
            <w:r>
              <w:rPr>
                <w:spacing w:val="-2"/>
                <w:sz w:val="20"/>
              </w:rPr>
              <w:t>взрослые</w:t>
            </w:r>
          </w:p>
        </w:tc>
        <w:tc>
          <w:tcPr>
            <w:tcW w:w="5406" w:type="dxa"/>
          </w:tcPr>
          <w:p>
            <w:pPr>
              <w:pStyle w:val="TableParagraph"/>
              <w:spacing w:before="46"/>
              <w:ind w:left="128" w:right="1227"/>
              <w:jc w:val="center"/>
              <w:rPr>
                <w:sz w:val="20"/>
              </w:rPr>
            </w:pPr>
            <w:r>
              <w:rPr>
                <w:sz w:val="20"/>
              </w:rPr>
              <w:t>A02.1,</w:t>
            </w:r>
            <w:r>
              <w:rPr>
                <w:spacing w:val="-6"/>
                <w:sz w:val="20"/>
              </w:rPr>
              <w:t> </w:t>
            </w:r>
            <w:r>
              <w:rPr>
                <w:sz w:val="20"/>
              </w:rPr>
              <w:t>A32.7,</w:t>
            </w:r>
            <w:r>
              <w:rPr>
                <w:spacing w:val="-5"/>
                <w:sz w:val="20"/>
              </w:rPr>
              <w:t> </w:t>
            </w:r>
            <w:r>
              <w:rPr>
                <w:sz w:val="20"/>
              </w:rPr>
              <w:t>A39.1,</w:t>
            </w:r>
            <w:r>
              <w:rPr>
                <w:spacing w:val="-6"/>
                <w:sz w:val="20"/>
              </w:rPr>
              <w:t> </w:t>
            </w:r>
            <w:r>
              <w:rPr>
                <w:sz w:val="20"/>
              </w:rPr>
              <w:t>A39.2,</w:t>
            </w:r>
            <w:r>
              <w:rPr>
                <w:spacing w:val="-7"/>
                <w:sz w:val="20"/>
              </w:rPr>
              <w:t> </w:t>
            </w:r>
            <w:r>
              <w:rPr>
                <w:sz w:val="20"/>
              </w:rPr>
              <w:t>A39.4,</w:t>
            </w:r>
            <w:r>
              <w:rPr>
                <w:spacing w:val="-6"/>
                <w:sz w:val="20"/>
              </w:rPr>
              <w:t> </w:t>
            </w:r>
            <w:r>
              <w:rPr>
                <w:spacing w:val="-2"/>
                <w:sz w:val="20"/>
              </w:rPr>
              <w:t>A40.0,</w:t>
            </w:r>
          </w:p>
          <w:p>
            <w:pPr>
              <w:pStyle w:val="TableParagraph"/>
              <w:ind w:left="129" w:right="1227"/>
              <w:jc w:val="center"/>
              <w:rPr>
                <w:sz w:val="20"/>
              </w:rPr>
            </w:pPr>
            <w:r>
              <w:rPr>
                <w:sz w:val="20"/>
              </w:rPr>
              <w:t>A40.1,</w:t>
            </w:r>
            <w:r>
              <w:rPr>
                <w:spacing w:val="-5"/>
                <w:sz w:val="20"/>
              </w:rPr>
              <w:t> </w:t>
            </w:r>
            <w:r>
              <w:rPr>
                <w:sz w:val="20"/>
              </w:rPr>
              <w:t>A40.2,</w:t>
            </w:r>
            <w:r>
              <w:rPr>
                <w:spacing w:val="-6"/>
                <w:sz w:val="20"/>
              </w:rPr>
              <w:t> </w:t>
            </w:r>
            <w:r>
              <w:rPr>
                <w:sz w:val="20"/>
              </w:rPr>
              <w:t>A40.3,</w:t>
            </w:r>
            <w:r>
              <w:rPr>
                <w:spacing w:val="-5"/>
                <w:sz w:val="20"/>
              </w:rPr>
              <w:t> </w:t>
            </w:r>
            <w:r>
              <w:rPr>
                <w:sz w:val="20"/>
              </w:rPr>
              <w:t>A40.8,</w:t>
            </w:r>
            <w:r>
              <w:rPr>
                <w:spacing w:val="-7"/>
                <w:sz w:val="20"/>
              </w:rPr>
              <w:t> </w:t>
            </w:r>
            <w:r>
              <w:rPr>
                <w:sz w:val="20"/>
              </w:rPr>
              <w:t>A40.9,</w:t>
            </w:r>
            <w:r>
              <w:rPr>
                <w:spacing w:val="-6"/>
                <w:sz w:val="20"/>
              </w:rPr>
              <w:t> </w:t>
            </w:r>
            <w:r>
              <w:rPr>
                <w:spacing w:val="-2"/>
                <w:sz w:val="20"/>
              </w:rPr>
              <w:t>A41.0,</w:t>
            </w:r>
          </w:p>
          <w:p>
            <w:pPr>
              <w:pStyle w:val="TableParagraph"/>
              <w:spacing w:line="229" w:lineRule="exact" w:before="1"/>
              <w:ind w:left="128" w:right="1227"/>
              <w:jc w:val="center"/>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p>
            <w:pPr>
              <w:pStyle w:val="TableParagraph"/>
              <w:spacing w:line="230" w:lineRule="exact"/>
              <w:ind w:left="129" w:right="1227"/>
              <w:jc w:val="center"/>
              <w:rPr>
                <w:sz w:val="20"/>
              </w:rPr>
            </w:pPr>
            <w:r>
              <w:rPr>
                <w:sz w:val="20"/>
              </w:rPr>
              <w:t>A41.9,</w:t>
            </w:r>
            <w:r>
              <w:rPr>
                <w:spacing w:val="-7"/>
                <w:sz w:val="20"/>
              </w:rPr>
              <w:t> </w:t>
            </w:r>
            <w:r>
              <w:rPr>
                <w:sz w:val="20"/>
              </w:rPr>
              <w:t>A48.3,</w:t>
            </w:r>
            <w:r>
              <w:rPr>
                <w:spacing w:val="-7"/>
                <w:sz w:val="20"/>
              </w:rPr>
              <w:t> </w:t>
            </w:r>
            <w:r>
              <w:rPr>
                <w:sz w:val="20"/>
              </w:rPr>
              <w:t>B00.7,</w:t>
            </w:r>
            <w:r>
              <w:rPr>
                <w:spacing w:val="-9"/>
                <w:sz w:val="20"/>
              </w:rPr>
              <w:t> </w:t>
            </w:r>
            <w:r>
              <w:rPr>
                <w:sz w:val="20"/>
              </w:rPr>
              <w:t>B37.7,</w:t>
            </w:r>
            <w:r>
              <w:rPr>
                <w:spacing w:val="-9"/>
                <w:sz w:val="20"/>
              </w:rPr>
              <w:t> </w:t>
            </w:r>
            <w:r>
              <w:rPr>
                <w:sz w:val="20"/>
              </w:rPr>
              <w:t>B44.0,</w:t>
            </w:r>
            <w:r>
              <w:rPr>
                <w:spacing w:val="-7"/>
                <w:sz w:val="20"/>
              </w:rPr>
              <w:t> </w:t>
            </w:r>
            <w:r>
              <w:rPr>
                <w:sz w:val="20"/>
              </w:rPr>
              <w:t>B44.7,</w:t>
            </w:r>
            <w:r>
              <w:rPr>
                <w:spacing w:val="-7"/>
                <w:sz w:val="20"/>
              </w:rPr>
              <w:t> </w:t>
            </w:r>
            <w:r>
              <w:rPr>
                <w:sz w:val="20"/>
              </w:rPr>
              <w:t>B45.0, B45.1, B45.7, B48.5, R57.2</w:t>
            </w:r>
          </w:p>
        </w:tc>
        <w:tc>
          <w:tcPr>
            <w:tcW w:w="1670" w:type="dxa"/>
          </w:tcPr>
          <w:p>
            <w:pPr>
              <w:pStyle w:val="TableParagraph"/>
              <w:spacing w:before="46"/>
              <w:ind w:left="597"/>
              <w:rPr>
                <w:sz w:val="20"/>
              </w:rPr>
            </w:pPr>
            <w:r>
              <w:rPr>
                <w:w w:val="99"/>
                <w:sz w:val="20"/>
              </w:rPr>
              <w:t>-</w:t>
            </w:r>
          </w:p>
        </w:tc>
        <w:tc>
          <w:tcPr>
            <w:tcW w:w="3119" w:type="dxa"/>
          </w:tcPr>
          <w:p>
            <w:pPr>
              <w:pStyle w:val="TableParagraph"/>
              <w:spacing w:before="46"/>
              <w:ind w:left="1236"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50"/>
              <w:jc w:val="right"/>
              <w:rPr>
                <w:sz w:val="20"/>
              </w:rPr>
            </w:pPr>
            <w:r>
              <w:rPr>
                <w:spacing w:val="-4"/>
                <w:sz w:val="20"/>
              </w:rPr>
              <w:t>3,12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017"/>
        <w:gridCol w:w="5665"/>
        <w:gridCol w:w="1952"/>
        <w:gridCol w:w="3181"/>
        <w:gridCol w:w="833"/>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017" w:type="dxa"/>
            <w:vMerge w:val="restart"/>
          </w:tcPr>
          <w:p>
            <w:pPr>
              <w:pStyle w:val="TableParagraph"/>
              <w:rPr>
                <w:sz w:val="18"/>
              </w:rPr>
            </w:pPr>
          </w:p>
        </w:tc>
        <w:tc>
          <w:tcPr>
            <w:tcW w:w="5665" w:type="dxa"/>
          </w:tcPr>
          <w:p>
            <w:pPr>
              <w:pStyle w:val="TableParagraph"/>
              <w:spacing w:line="205" w:lineRule="exact"/>
              <w:ind w:right="208"/>
              <w:jc w:val="center"/>
              <w:rPr>
                <w:sz w:val="20"/>
              </w:rPr>
            </w:pPr>
            <w:r>
              <w:rPr>
                <w:w w:val="99"/>
                <w:sz w:val="20"/>
              </w:rPr>
              <w:t>-</w:t>
            </w:r>
          </w:p>
        </w:tc>
        <w:tc>
          <w:tcPr>
            <w:tcW w:w="1952" w:type="dxa"/>
          </w:tcPr>
          <w:p>
            <w:pPr>
              <w:pStyle w:val="TableParagraph"/>
              <w:spacing w:line="205" w:lineRule="exact"/>
              <w:ind w:left="910"/>
              <w:rPr>
                <w:sz w:val="20"/>
              </w:rPr>
            </w:pPr>
            <w:r>
              <w:rPr>
                <w:w w:val="99"/>
                <w:sz w:val="20"/>
              </w:rPr>
              <w:t>-</w:t>
            </w:r>
          </w:p>
        </w:tc>
        <w:tc>
          <w:tcPr>
            <w:tcW w:w="3181" w:type="dxa"/>
          </w:tcPr>
          <w:p>
            <w:pPr>
              <w:pStyle w:val="TableParagraph"/>
              <w:spacing w:line="205" w:lineRule="exact"/>
              <w:ind w:left="963" w:right="429"/>
              <w:jc w:val="center"/>
              <w:rPr>
                <w:sz w:val="20"/>
              </w:rPr>
            </w:pPr>
            <w:r>
              <w:rPr>
                <w:sz w:val="20"/>
              </w:rPr>
              <w:t>Диагноз</w:t>
            </w:r>
            <w:r>
              <w:rPr>
                <w:spacing w:val="-10"/>
                <w:sz w:val="20"/>
              </w:rPr>
              <w:t> </w:t>
            </w:r>
            <w:r>
              <w:rPr>
                <w:spacing w:val="-2"/>
                <w:sz w:val="20"/>
              </w:rPr>
              <w:t>осложнения</w:t>
            </w:r>
          </w:p>
        </w:tc>
        <w:tc>
          <w:tcPr>
            <w:tcW w:w="83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pacing w:val="-2"/>
                <w:sz w:val="20"/>
              </w:rPr>
              <w:t>заболевания:</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A02.1,</w:t>
            </w:r>
            <w:r>
              <w:rPr>
                <w:spacing w:val="-6"/>
                <w:sz w:val="20"/>
              </w:rPr>
              <w:t> </w:t>
            </w:r>
            <w:r>
              <w:rPr>
                <w:sz w:val="20"/>
              </w:rPr>
              <w:t>A32.7,</w:t>
            </w:r>
            <w:r>
              <w:rPr>
                <w:spacing w:val="-5"/>
                <w:sz w:val="20"/>
              </w:rPr>
              <w:t> </w:t>
            </w:r>
            <w:r>
              <w:rPr>
                <w:spacing w:val="-2"/>
                <w:sz w:val="20"/>
              </w:rPr>
              <w:t>A39.1,</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A39.2,</w:t>
            </w:r>
            <w:r>
              <w:rPr>
                <w:spacing w:val="-6"/>
                <w:sz w:val="20"/>
              </w:rPr>
              <w:t> </w:t>
            </w:r>
            <w:r>
              <w:rPr>
                <w:sz w:val="20"/>
              </w:rPr>
              <w:t>A39.4,</w:t>
            </w:r>
            <w:r>
              <w:rPr>
                <w:spacing w:val="-5"/>
                <w:sz w:val="20"/>
              </w:rPr>
              <w:t> </w:t>
            </w:r>
            <w:r>
              <w:rPr>
                <w:spacing w:val="-2"/>
                <w:sz w:val="20"/>
              </w:rPr>
              <w:t>A40.0,</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A40.1,</w:t>
            </w:r>
            <w:r>
              <w:rPr>
                <w:spacing w:val="-6"/>
                <w:sz w:val="20"/>
              </w:rPr>
              <w:t> </w:t>
            </w:r>
            <w:r>
              <w:rPr>
                <w:sz w:val="20"/>
              </w:rPr>
              <w:t>A40.2,</w:t>
            </w:r>
            <w:r>
              <w:rPr>
                <w:spacing w:val="-5"/>
                <w:sz w:val="20"/>
              </w:rPr>
              <w:t> </w:t>
            </w:r>
            <w:r>
              <w:rPr>
                <w:spacing w:val="-2"/>
                <w:sz w:val="20"/>
              </w:rPr>
              <w:t>A40.3,</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A40.8,</w:t>
            </w:r>
            <w:r>
              <w:rPr>
                <w:spacing w:val="-6"/>
                <w:sz w:val="20"/>
              </w:rPr>
              <w:t> </w:t>
            </w:r>
            <w:r>
              <w:rPr>
                <w:sz w:val="20"/>
              </w:rPr>
              <w:t>A40.9,</w:t>
            </w:r>
            <w:r>
              <w:rPr>
                <w:spacing w:val="-5"/>
                <w:sz w:val="20"/>
              </w:rPr>
              <w:t> </w:t>
            </w:r>
            <w:r>
              <w:rPr>
                <w:spacing w:val="-2"/>
                <w:sz w:val="20"/>
              </w:rPr>
              <w:t>A41.0,</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1" w:lineRule="exact"/>
              <w:ind w:left="962" w:right="429"/>
              <w:jc w:val="center"/>
              <w:rPr>
                <w:sz w:val="20"/>
              </w:rPr>
            </w:pPr>
            <w:r>
              <w:rPr>
                <w:sz w:val="20"/>
              </w:rPr>
              <w:t>A41.1,</w:t>
            </w:r>
            <w:r>
              <w:rPr>
                <w:spacing w:val="-6"/>
                <w:sz w:val="20"/>
              </w:rPr>
              <w:t> </w:t>
            </w:r>
            <w:r>
              <w:rPr>
                <w:sz w:val="20"/>
              </w:rPr>
              <w:t>A41.2,</w:t>
            </w:r>
            <w:r>
              <w:rPr>
                <w:spacing w:val="-5"/>
                <w:sz w:val="20"/>
              </w:rPr>
              <w:t> </w:t>
            </w:r>
            <w:r>
              <w:rPr>
                <w:spacing w:val="-2"/>
                <w:sz w:val="20"/>
              </w:rPr>
              <w:t>A41.3,</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A41.4,</w:t>
            </w:r>
            <w:r>
              <w:rPr>
                <w:spacing w:val="-6"/>
                <w:sz w:val="20"/>
              </w:rPr>
              <w:t> </w:t>
            </w:r>
            <w:r>
              <w:rPr>
                <w:sz w:val="20"/>
              </w:rPr>
              <w:t>A41.5,</w:t>
            </w:r>
            <w:r>
              <w:rPr>
                <w:spacing w:val="-5"/>
                <w:sz w:val="20"/>
              </w:rPr>
              <w:t> </w:t>
            </w:r>
            <w:r>
              <w:rPr>
                <w:spacing w:val="-2"/>
                <w:sz w:val="20"/>
              </w:rPr>
              <w:t>A41.8,</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A41.9,</w:t>
            </w:r>
            <w:r>
              <w:rPr>
                <w:spacing w:val="-6"/>
                <w:sz w:val="20"/>
              </w:rPr>
              <w:t> </w:t>
            </w:r>
            <w:r>
              <w:rPr>
                <w:sz w:val="20"/>
              </w:rPr>
              <w:t>A48.3,</w:t>
            </w:r>
            <w:r>
              <w:rPr>
                <w:spacing w:val="-5"/>
                <w:sz w:val="20"/>
              </w:rPr>
              <w:t> </w:t>
            </w:r>
            <w:r>
              <w:rPr>
                <w:spacing w:val="-2"/>
                <w:sz w:val="20"/>
              </w:rPr>
              <w:t>B00.7,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9"/>
              <w:jc w:val="center"/>
              <w:rPr>
                <w:sz w:val="20"/>
              </w:rPr>
            </w:pPr>
            <w:r>
              <w:rPr>
                <w:sz w:val="20"/>
              </w:rPr>
              <w:t>B37.7,</w:t>
            </w:r>
            <w:r>
              <w:rPr>
                <w:spacing w:val="-5"/>
                <w:sz w:val="20"/>
              </w:rPr>
              <w:t> </w:t>
            </w:r>
            <w:r>
              <w:rPr>
                <w:sz w:val="20"/>
              </w:rPr>
              <w:t>B44.0,</w:t>
            </w:r>
            <w:r>
              <w:rPr>
                <w:spacing w:val="-5"/>
                <w:sz w:val="20"/>
              </w:rPr>
              <w:t> </w:t>
            </w:r>
            <w:r>
              <w:rPr>
                <w:spacing w:val="-2"/>
                <w:sz w:val="20"/>
              </w:rPr>
              <w:t>B44.7,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9"/>
              <w:jc w:val="center"/>
              <w:rPr>
                <w:sz w:val="20"/>
              </w:rPr>
            </w:pPr>
            <w:r>
              <w:rPr>
                <w:sz w:val="20"/>
              </w:rPr>
              <w:t>B45.0,</w:t>
            </w:r>
            <w:r>
              <w:rPr>
                <w:spacing w:val="-5"/>
                <w:sz w:val="20"/>
              </w:rPr>
              <w:t> </w:t>
            </w:r>
            <w:r>
              <w:rPr>
                <w:sz w:val="20"/>
              </w:rPr>
              <w:t>B45.1,</w:t>
            </w:r>
            <w:r>
              <w:rPr>
                <w:spacing w:val="-5"/>
                <w:sz w:val="20"/>
              </w:rPr>
              <w:t> </w:t>
            </w:r>
            <w:r>
              <w:rPr>
                <w:spacing w:val="-2"/>
                <w:sz w:val="20"/>
              </w:rPr>
              <w:t>B45.7,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7"/>
              <w:jc w:val="center"/>
              <w:rPr>
                <w:sz w:val="20"/>
              </w:rPr>
            </w:pPr>
            <w:r>
              <w:rPr>
                <w:sz w:val="20"/>
              </w:rPr>
              <w:t>B48.5,</w:t>
            </w:r>
            <w:r>
              <w:rPr>
                <w:spacing w:val="-4"/>
                <w:sz w:val="20"/>
              </w:rPr>
              <w:t> </w:t>
            </w:r>
            <w:r>
              <w:rPr>
                <w:spacing w:val="-2"/>
                <w:sz w:val="20"/>
              </w:rPr>
              <w:t>R57.2</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6"/>
              <w:jc w:val="center"/>
              <w:rPr>
                <w:sz w:val="20"/>
              </w:rPr>
            </w:pPr>
            <w:r>
              <w:rPr>
                <w:sz w:val="20"/>
              </w:rPr>
              <w:t>Возрастная</w:t>
            </w:r>
            <w:r>
              <w:rPr>
                <w:spacing w:val="-10"/>
                <w:sz w:val="20"/>
              </w:rPr>
              <w:t> </w:t>
            </w:r>
            <w:r>
              <w:rPr>
                <w:spacing w:val="-2"/>
                <w:sz w:val="20"/>
              </w:rPr>
              <w:t>группа:</w:t>
            </w:r>
          </w:p>
        </w:tc>
        <w:tc>
          <w:tcPr>
            <w:tcW w:w="833"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8"/>
              </w:rPr>
            </w:pPr>
          </w:p>
        </w:tc>
        <w:tc>
          <w:tcPr>
            <w:tcW w:w="1952" w:type="dxa"/>
          </w:tcPr>
          <w:p>
            <w:pPr>
              <w:pStyle w:val="TableParagraph"/>
              <w:rPr>
                <w:sz w:val="18"/>
              </w:rPr>
            </w:pPr>
          </w:p>
        </w:tc>
        <w:tc>
          <w:tcPr>
            <w:tcW w:w="3181" w:type="dxa"/>
          </w:tcPr>
          <w:p>
            <w:pPr>
              <w:pStyle w:val="TableParagraph"/>
              <w:spacing w:line="226" w:lineRule="exact"/>
              <w:ind w:left="963" w:right="425"/>
              <w:jc w:val="center"/>
              <w:rPr>
                <w:sz w:val="20"/>
              </w:rPr>
            </w:pPr>
            <w:r>
              <w:rPr>
                <w:sz w:val="20"/>
              </w:rPr>
              <w:t>старше</w:t>
            </w:r>
            <w:r>
              <w:rPr>
                <w:spacing w:val="-2"/>
                <w:sz w:val="20"/>
              </w:rPr>
              <w:t> </w:t>
            </w:r>
            <w:r>
              <w:rPr>
                <w:sz w:val="20"/>
              </w:rPr>
              <w:t>18</w:t>
            </w:r>
            <w:r>
              <w:rPr>
                <w:spacing w:val="-2"/>
                <w:sz w:val="20"/>
              </w:rPr>
              <w:t> </w:t>
            </w:r>
            <w:r>
              <w:rPr>
                <w:spacing w:val="-5"/>
                <w:sz w:val="20"/>
              </w:rPr>
              <w:t>лет</w:t>
            </w:r>
          </w:p>
        </w:tc>
        <w:tc>
          <w:tcPr>
            <w:tcW w:w="833"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st12.006</w:t>
            </w:r>
          </w:p>
        </w:tc>
        <w:tc>
          <w:tcPr>
            <w:tcW w:w="657" w:type="dxa"/>
          </w:tcPr>
          <w:p>
            <w:pPr>
              <w:pStyle w:val="TableParagraph"/>
              <w:spacing w:line="215" w:lineRule="exact" w:before="45"/>
              <w:ind w:left="222" w:right="205"/>
              <w:jc w:val="center"/>
              <w:rPr>
                <w:sz w:val="20"/>
              </w:rPr>
            </w:pPr>
            <w:r>
              <w:rPr>
                <w:spacing w:val="-5"/>
                <w:sz w:val="20"/>
              </w:rPr>
              <w:t>63</w:t>
            </w:r>
          </w:p>
        </w:tc>
        <w:tc>
          <w:tcPr>
            <w:tcW w:w="2017" w:type="dxa"/>
          </w:tcPr>
          <w:p>
            <w:pPr>
              <w:pStyle w:val="TableParagraph"/>
              <w:spacing w:line="215" w:lineRule="exact" w:before="45"/>
              <w:ind w:left="217"/>
              <w:rPr>
                <w:sz w:val="20"/>
              </w:rPr>
            </w:pPr>
            <w:r>
              <w:rPr>
                <w:sz w:val="20"/>
              </w:rPr>
              <w:t>Сепсис,</w:t>
            </w:r>
            <w:r>
              <w:rPr>
                <w:spacing w:val="-8"/>
                <w:sz w:val="20"/>
              </w:rPr>
              <w:t> </w:t>
            </w:r>
            <w:r>
              <w:rPr>
                <w:spacing w:val="-4"/>
                <w:sz w:val="20"/>
              </w:rPr>
              <w:t>дети</w:t>
            </w:r>
          </w:p>
        </w:tc>
        <w:tc>
          <w:tcPr>
            <w:tcW w:w="5665" w:type="dxa"/>
          </w:tcPr>
          <w:p>
            <w:pPr>
              <w:pStyle w:val="TableParagraph"/>
              <w:spacing w:line="215" w:lineRule="exact" w:before="45"/>
              <w:ind w:left="701" w:right="913"/>
              <w:jc w:val="center"/>
              <w:rPr>
                <w:sz w:val="20"/>
              </w:rPr>
            </w:pPr>
            <w:r>
              <w:rPr>
                <w:sz w:val="20"/>
              </w:rPr>
              <w:t>A02.1,</w:t>
            </w:r>
            <w:r>
              <w:rPr>
                <w:spacing w:val="-6"/>
                <w:sz w:val="20"/>
              </w:rPr>
              <w:t> </w:t>
            </w:r>
            <w:r>
              <w:rPr>
                <w:sz w:val="20"/>
              </w:rPr>
              <w:t>A32.7,</w:t>
            </w:r>
            <w:r>
              <w:rPr>
                <w:spacing w:val="-5"/>
                <w:sz w:val="20"/>
              </w:rPr>
              <w:t> </w:t>
            </w:r>
            <w:r>
              <w:rPr>
                <w:sz w:val="20"/>
              </w:rPr>
              <w:t>A39.1,</w:t>
            </w:r>
            <w:r>
              <w:rPr>
                <w:spacing w:val="-5"/>
                <w:sz w:val="20"/>
              </w:rPr>
              <w:t> </w:t>
            </w:r>
            <w:r>
              <w:rPr>
                <w:sz w:val="20"/>
              </w:rPr>
              <w:t>A39.2,</w:t>
            </w:r>
            <w:r>
              <w:rPr>
                <w:spacing w:val="-7"/>
                <w:sz w:val="20"/>
              </w:rPr>
              <w:t> </w:t>
            </w:r>
            <w:r>
              <w:rPr>
                <w:sz w:val="20"/>
              </w:rPr>
              <w:t>A39.4,</w:t>
            </w:r>
            <w:r>
              <w:rPr>
                <w:spacing w:val="-5"/>
                <w:sz w:val="20"/>
              </w:rPr>
              <w:t> </w:t>
            </w:r>
            <w:r>
              <w:rPr>
                <w:spacing w:val="-2"/>
                <w:sz w:val="20"/>
              </w:rPr>
              <w:t>A40.0,</w:t>
            </w:r>
          </w:p>
        </w:tc>
        <w:tc>
          <w:tcPr>
            <w:tcW w:w="1952" w:type="dxa"/>
          </w:tcPr>
          <w:p>
            <w:pPr>
              <w:pStyle w:val="TableParagraph"/>
              <w:spacing w:line="215" w:lineRule="exact" w:before="45"/>
              <w:ind w:left="910"/>
              <w:rPr>
                <w:sz w:val="20"/>
              </w:rPr>
            </w:pPr>
            <w:r>
              <w:rPr>
                <w:w w:val="99"/>
                <w:sz w:val="20"/>
              </w:rPr>
              <w:t>-</w:t>
            </w:r>
          </w:p>
        </w:tc>
        <w:tc>
          <w:tcPr>
            <w:tcW w:w="3181" w:type="dxa"/>
          </w:tcPr>
          <w:p>
            <w:pPr>
              <w:pStyle w:val="TableParagraph"/>
              <w:spacing w:line="215" w:lineRule="exact" w:before="45"/>
              <w:ind w:left="963" w:right="426"/>
              <w:jc w:val="center"/>
              <w:rPr>
                <w:sz w:val="20"/>
              </w:rPr>
            </w:pPr>
            <w:r>
              <w:rPr>
                <w:sz w:val="20"/>
              </w:rPr>
              <w:t>Возрастная</w:t>
            </w:r>
            <w:r>
              <w:rPr>
                <w:spacing w:val="-11"/>
                <w:sz w:val="20"/>
              </w:rPr>
              <w:t> </w:t>
            </w:r>
            <w:r>
              <w:rPr>
                <w:spacing w:val="-2"/>
                <w:sz w:val="20"/>
              </w:rPr>
              <w:t>группа:</w:t>
            </w:r>
          </w:p>
        </w:tc>
        <w:tc>
          <w:tcPr>
            <w:tcW w:w="833" w:type="dxa"/>
          </w:tcPr>
          <w:p>
            <w:pPr>
              <w:pStyle w:val="TableParagraph"/>
              <w:spacing w:line="215" w:lineRule="exact" w:before="45"/>
              <w:ind w:left="429"/>
              <w:rPr>
                <w:sz w:val="20"/>
              </w:rPr>
            </w:pPr>
            <w:r>
              <w:rPr>
                <w:spacing w:val="-4"/>
                <w:sz w:val="20"/>
              </w:rPr>
              <w:t>4,51</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10" w:lineRule="exact"/>
              <w:ind w:left="699" w:right="913"/>
              <w:jc w:val="center"/>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10" w:lineRule="exact"/>
              <w:ind w:left="699" w:right="913"/>
              <w:jc w:val="center"/>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tc>
        <w:tc>
          <w:tcPr>
            <w:tcW w:w="1952" w:type="dxa"/>
          </w:tcPr>
          <w:p>
            <w:pPr>
              <w:pStyle w:val="TableParagraph"/>
              <w:rPr>
                <w:sz w:val="16"/>
              </w:rPr>
            </w:pPr>
          </w:p>
        </w:tc>
        <w:tc>
          <w:tcPr>
            <w:tcW w:w="3181" w:type="dxa"/>
          </w:tcPr>
          <w:p>
            <w:pPr>
              <w:pStyle w:val="TableParagraph"/>
              <w:rPr>
                <w:sz w:val="16"/>
              </w:rPr>
            </w:pPr>
          </w:p>
        </w:tc>
        <w:tc>
          <w:tcPr>
            <w:tcW w:w="83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09" w:lineRule="exact"/>
              <w:ind w:left="701" w:right="913"/>
              <w:jc w:val="center"/>
              <w:rPr>
                <w:sz w:val="20"/>
              </w:rPr>
            </w:pPr>
            <w:r>
              <w:rPr>
                <w:sz w:val="20"/>
              </w:rPr>
              <w:t>A41.9,</w:t>
            </w:r>
            <w:r>
              <w:rPr>
                <w:spacing w:val="-5"/>
                <w:sz w:val="20"/>
              </w:rPr>
              <w:t> </w:t>
            </w:r>
            <w:r>
              <w:rPr>
                <w:sz w:val="20"/>
              </w:rPr>
              <w:t>A48.3,</w:t>
            </w:r>
            <w:r>
              <w:rPr>
                <w:spacing w:val="-5"/>
                <w:sz w:val="20"/>
              </w:rPr>
              <w:t> </w:t>
            </w:r>
            <w:r>
              <w:rPr>
                <w:sz w:val="20"/>
              </w:rPr>
              <w:t>B00.7,</w:t>
            </w:r>
            <w:r>
              <w:rPr>
                <w:spacing w:val="-7"/>
                <w:sz w:val="20"/>
              </w:rPr>
              <w:t> </w:t>
            </w:r>
            <w:r>
              <w:rPr>
                <w:sz w:val="20"/>
              </w:rPr>
              <w:t>B37.7,</w:t>
            </w:r>
            <w:r>
              <w:rPr>
                <w:spacing w:val="-7"/>
                <w:sz w:val="20"/>
              </w:rPr>
              <w:t> </w:t>
            </w:r>
            <w:r>
              <w:rPr>
                <w:sz w:val="20"/>
              </w:rPr>
              <w:t>B44.0,</w:t>
            </w:r>
            <w:r>
              <w:rPr>
                <w:spacing w:val="-5"/>
                <w:sz w:val="20"/>
              </w:rPr>
              <w:t> </w:t>
            </w:r>
            <w:r>
              <w:rPr>
                <w:sz w:val="20"/>
              </w:rPr>
              <w:t>B44.7,</w:t>
            </w:r>
            <w:r>
              <w:rPr>
                <w:spacing w:val="-5"/>
                <w:sz w:val="20"/>
              </w:rPr>
              <w:t> </w:t>
            </w:r>
            <w:r>
              <w:rPr>
                <w:spacing w:val="-2"/>
                <w:sz w:val="20"/>
              </w:rPr>
              <w:t>B45.0,</w:t>
            </w:r>
          </w:p>
        </w:tc>
        <w:tc>
          <w:tcPr>
            <w:tcW w:w="1952" w:type="dxa"/>
          </w:tcPr>
          <w:p>
            <w:pPr>
              <w:pStyle w:val="TableParagraph"/>
              <w:rPr>
                <w:sz w:val="16"/>
              </w:rPr>
            </w:pPr>
          </w:p>
        </w:tc>
        <w:tc>
          <w:tcPr>
            <w:tcW w:w="3181" w:type="dxa"/>
          </w:tcPr>
          <w:p>
            <w:pPr>
              <w:pStyle w:val="TableParagraph"/>
              <w:rPr>
                <w:sz w:val="16"/>
              </w:rPr>
            </w:pPr>
          </w:p>
        </w:tc>
        <w:tc>
          <w:tcPr>
            <w:tcW w:w="83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09" w:lineRule="exact"/>
              <w:ind w:left="701" w:right="913"/>
              <w:jc w:val="center"/>
              <w:rPr>
                <w:sz w:val="20"/>
              </w:rPr>
            </w:pPr>
            <w:r>
              <w:rPr>
                <w:sz w:val="20"/>
              </w:rPr>
              <w:t>B45.1,</w:t>
            </w:r>
            <w:r>
              <w:rPr>
                <w:spacing w:val="-5"/>
                <w:sz w:val="20"/>
              </w:rPr>
              <w:t> </w:t>
            </w:r>
            <w:r>
              <w:rPr>
                <w:sz w:val="20"/>
              </w:rPr>
              <w:t>B45.7,</w:t>
            </w:r>
            <w:r>
              <w:rPr>
                <w:spacing w:val="-5"/>
                <w:sz w:val="20"/>
              </w:rPr>
              <w:t> </w:t>
            </w:r>
            <w:r>
              <w:rPr>
                <w:sz w:val="20"/>
              </w:rPr>
              <w:t>B48.5,</w:t>
            </w:r>
            <w:r>
              <w:rPr>
                <w:spacing w:val="-5"/>
                <w:sz w:val="20"/>
              </w:rPr>
              <w:t> </w:t>
            </w:r>
            <w:r>
              <w:rPr>
                <w:sz w:val="20"/>
              </w:rPr>
              <w:t>P36.0,</w:t>
            </w:r>
            <w:r>
              <w:rPr>
                <w:spacing w:val="-5"/>
                <w:sz w:val="20"/>
              </w:rPr>
              <w:t> </w:t>
            </w:r>
            <w:r>
              <w:rPr>
                <w:sz w:val="20"/>
              </w:rPr>
              <w:t>P36.1,</w:t>
            </w:r>
            <w:r>
              <w:rPr>
                <w:spacing w:val="-6"/>
                <w:sz w:val="20"/>
              </w:rPr>
              <w:t> </w:t>
            </w:r>
            <w:r>
              <w:rPr>
                <w:sz w:val="20"/>
              </w:rPr>
              <w:t>P36.2,</w:t>
            </w:r>
            <w:r>
              <w:rPr>
                <w:spacing w:val="-7"/>
                <w:sz w:val="20"/>
              </w:rPr>
              <w:t> </w:t>
            </w:r>
            <w:r>
              <w:rPr>
                <w:spacing w:val="-2"/>
                <w:sz w:val="20"/>
              </w:rPr>
              <w:t>P36.3,</w:t>
            </w:r>
          </w:p>
        </w:tc>
        <w:tc>
          <w:tcPr>
            <w:tcW w:w="1952" w:type="dxa"/>
          </w:tcPr>
          <w:p>
            <w:pPr>
              <w:pStyle w:val="TableParagraph"/>
              <w:rPr>
                <w:sz w:val="16"/>
              </w:rPr>
            </w:pPr>
          </w:p>
        </w:tc>
        <w:tc>
          <w:tcPr>
            <w:tcW w:w="3181" w:type="dxa"/>
          </w:tcPr>
          <w:p>
            <w:pPr>
              <w:pStyle w:val="TableParagraph"/>
              <w:rPr>
                <w:sz w:val="16"/>
              </w:rPr>
            </w:pPr>
          </w:p>
        </w:tc>
        <w:tc>
          <w:tcPr>
            <w:tcW w:w="833"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017" w:type="dxa"/>
          </w:tcPr>
          <w:p>
            <w:pPr>
              <w:pStyle w:val="TableParagraph"/>
              <w:rPr>
                <w:sz w:val="18"/>
              </w:rPr>
            </w:pPr>
          </w:p>
        </w:tc>
        <w:tc>
          <w:tcPr>
            <w:tcW w:w="5665" w:type="dxa"/>
          </w:tcPr>
          <w:p>
            <w:pPr>
              <w:pStyle w:val="TableParagraph"/>
              <w:spacing w:line="226" w:lineRule="exact"/>
              <w:ind w:left="701" w:right="909"/>
              <w:jc w:val="center"/>
              <w:rPr>
                <w:sz w:val="20"/>
              </w:rPr>
            </w:pPr>
            <w:r>
              <w:rPr>
                <w:sz w:val="20"/>
              </w:rPr>
              <w:t>P36.4,</w:t>
            </w:r>
            <w:r>
              <w:rPr>
                <w:spacing w:val="-6"/>
                <w:sz w:val="20"/>
              </w:rPr>
              <w:t> </w:t>
            </w:r>
            <w:r>
              <w:rPr>
                <w:sz w:val="20"/>
              </w:rPr>
              <w:t>P36.5,</w:t>
            </w:r>
            <w:r>
              <w:rPr>
                <w:spacing w:val="-6"/>
                <w:sz w:val="20"/>
              </w:rPr>
              <w:t> </w:t>
            </w:r>
            <w:r>
              <w:rPr>
                <w:sz w:val="20"/>
              </w:rPr>
              <w:t>P36.8,</w:t>
            </w:r>
            <w:r>
              <w:rPr>
                <w:spacing w:val="-6"/>
                <w:sz w:val="20"/>
              </w:rPr>
              <w:t> </w:t>
            </w:r>
            <w:r>
              <w:rPr>
                <w:sz w:val="20"/>
              </w:rPr>
              <w:t>P36.9,</w:t>
            </w:r>
            <w:r>
              <w:rPr>
                <w:spacing w:val="-6"/>
                <w:sz w:val="20"/>
              </w:rPr>
              <w:t> </w:t>
            </w:r>
            <w:r>
              <w:rPr>
                <w:spacing w:val="-2"/>
                <w:sz w:val="20"/>
              </w:rPr>
              <w:t>R57.2</w:t>
            </w:r>
          </w:p>
        </w:tc>
        <w:tc>
          <w:tcPr>
            <w:tcW w:w="1952" w:type="dxa"/>
          </w:tcPr>
          <w:p>
            <w:pPr>
              <w:pStyle w:val="TableParagraph"/>
              <w:rPr>
                <w:sz w:val="18"/>
              </w:rPr>
            </w:pPr>
          </w:p>
        </w:tc>
        <w:tc>
          <w:tcPr>
            <w:tcW w:w="3181" w:type="dxa"/>
          </w:tcPr>
          <w:p>
            <w:pPr>
              <w:pStyle w:val="TableParagraph"/>
              <w:rPr>
                <w:sz w:val="18"/>
              </w:rPr>
            </w:pPr>
          </w:p>
        </w:tc>
        <w:tc>
          <w:tcPr>
            <w:tcW w:w="833" w:type="dxa"/>
          </w:tcPr>
          <w:p>
            <w:pPr>
              <w:pStyle w:val="TableParagraph"/>
              <w:rPr>
                <w:sz w:val="18"/>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017" w:type="dxa"/>
            <w:vMerge w:val="restart"/>
          </w:tcPr>
          <w:p>
            <w:pPr>
              <w:pStyle w:val="TableParagraph"/>
              <w:rPr>
                <w:sz w:val="18"/>
              </w:rPr>
            </w:pPr>
          </w:p>
        </w:tc>
        <w:tc>
          <w:tcPr>
            <w:tcW w:w="5665" w:type="dxa"/>
          </w:tcPr>
          <w:p>
            <w:pPr>
              <w:pStyle w:val="TableParagraph"/>
              <w:spacing w:line="214" w:lineRule="exact" w:before="46"/>
              <w:ind w:right="208"/>
              <w:jc w:val="center"/>
              <w:rPr>
                <w:sz w:val="20"/>
              </w:rPr>
            </w:pPr>
            <w:r>
              <w:rPr>
                <w:w w:val="99"/>
                <w:sz w:val="20"/>
              </w:rPr>
              <w:t>-</w:t>
            </w:r>
          </w:p>
        </w:tc>
        <w:tc>
          <w:tcPr>
            <w:tcW w:w="1952" w:type="dxa"/>
          </w:tcPr>
          <w:p>
            <w:pPr>
              <w:pStyle w:val="TableParagraph"/>
              <w:spacing w:line="214" w:lineRule="exact" w:before="46"/>
              <w:ind w:left="910"/>
              <w:rPr>
                <w:sz w:val="20"/>
              </w:rPr>
            </w:pPr>
            <w:r>
              <w:rPr>
                <w:w w:val="99"/>
                <w:sz w:val="20"/>
              </w:rPr>
              <w:t>-</w:t>
            </w:r>
          </w:p>
        </w:tc>
        <w:tc>
          <w:tcPr>
            <w:tcW w:w="3181" w:type="dxa"/>
          </w:tcPr>
          <w:p>
            <w:pPr>
              <w:pStyle w:val="TableParagraph"/>
              <w:spacing w:line="214" w:lineRule="exact" w:before="46"/>
              <w:ind w:left="963" w:right="429"/>
              <w:jc w:val="center"/>
              <w:rPr>
                <w:sz w:val="20"/>
              </w:rPr>
            </w:pPr>
            <w:r>
              <w:rPr>
                <w:sz w:val="20"/>
              </w:rPr>
              <w:t>Диагноз</w:t>
            </w:r>
            <w:r>
              <w:rPr>
                <w:spacing w:val="-10"/>
                <w:sz w:val="20"/>
              </w:rPr>
              <w:t> </w:t>
            </w:r>
            <w:r>
              <w:rPr>
                <w:spacing w:val="-2"/>
                <w:sz w:val="20"/>
              </w:rPr>
              <w:t>осложнения</w:t>
            </w:r>
          </w:p>
        </w:tc>
        <w:tc>
          <w:tcPr>
            <w:tcW w:w="83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pacing w:val="-2"/>
                <w:sz w:val="20"/>
              </w:rPr>
              <w:t>заболевания:</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A02.1,</w:t>
            </w:r>
            <w:r>
              <w:rPr>
                <w:spacing w:val="-6"/>
                <w:sz w:val="20"/>
              </w:rPr>
              <w:t> </w:t>
            </w:r>
            <w:r>
              <w:rPr>
                <w:sz w:val="20"/>
              </w:rPr>
              <w:t>A32.7,</w:t>
            </w:r>
            <w:r>
              <w:rPr>
                <w:spacing w:val="-5"/>
                <w:sz w:val="20"/>
              </w:rPr>
              <w:t> </w:t>
            </w:r>
            <w:r>
              <w:rPr>
                <w:spacing w:val="-2"/>
                <w:sz w:val="20"/>
              </w:rPr>
              <w:t>A39.1,</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A39.2,</w:t>
            </w:r>
            <w:r>
              <w:rPr>
                <w:spacing w:val="-6"/>
                <w:sz w:val="20"/>
              </w:rPr>
              <w:t> </w:t>
            </w:r>
            <w:r>
              <w:rPr>
                <w:sz w:val="20"/>
              </w:rPr>
              <w:t>A39.4,</w:t>
            </w:r>
            <w:r>
              <w:rPr>
                <w:spacing w:val="-5"/>
                <w:sz w:val="20"/>
              </w:rPr>
              <w:t> </w:t>
            </w:r>
            <w:r>
              <w:rPr>
                <w:spacing w:val="-2"/>
                <w:sz w:val="20"/>
              </w:rPr>
              <w:t>A40.0,</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A40.1,</w:t>
            </w:r>
            <w:r>
              <w:rPr>
                <w:spacing w:val="-6"/>
                <w:sz w:val="20"/>
              </w:rPr>
              <w:t> </w:t>
            </w:r>
            <w:r>
              <w:rPr>
                <w:sz w:val="20"/>
              </w:rPr>
              <w:t>A40.2,</w:t>
            </w:r>
            <w:r>
              <w:rPr>
                <w:spacing w:val="-5"/>
                <w:sz w:val="20"/>
              </w:rPr>
              <w:t> </w:t>
            </w:r>
            <w:r>
              <w:rPr>
                <w:spacing w:val="-2"/>
                <w:sz w:val="20"/>
              </w:rPr>
              <w:t>A40.3,</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A40.8,</w:t>
            </w:r>
            <w:r>
              <w:rPr>
                <w:spacing w:val="-6"/>
                <w:sz w:val="20"/>
              </w:rPr>
              <w:t> </w:t>
            </w:r>
            <w:r>
              <w:rPr>
                <w:sz w:val="20"/>
              </w:rPr>
              <w:t>A40.9,</w:t>
            </w:r>
            <w:r>
              <w:rPr>
                <w:spacing w:val="-5"/>
                <w:sz w:val="20"/>
              </w:rPr>
              <w:t> </w:t>
            </w:r>
            <w:r>
              <w:rPr>
                <w:spacing w:val="-2"/>
                <w:sz w:val="20"/>
              </w:rPr>
              <w:t>A41.0,</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A41.1,</w:t>
            </w:r>
            <w:r>
              <w:rPr>
                <w:spacing w:val="-6"/>
                <w:sz w:val="20"/>
              </w:rPr>
              <w:t> </w:t>
            </w:r>
            <w:r>
              <w:rPr>
                <w:sz w:val="20"/>
              </w:rPr>
              <w:t>A41.2,</w:t>
            </w:r>
            <w:r>
              <w:rPr>
                <w:spacing w:val="-5"/>
                <w:sz w:val="20"/>
              </w:rPr>
              <w:t> </w:t>
            </w:r>
            <w:r>
              <w:rPr>
                <w:spacing w:val="-2"/>
                <w:sz w:val="20"/>
              </w:rPr>
              <w:t>A41.3,</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A41.4,</w:t>
            </w:r>
            <w:r>
              <w:rPr>
                <w:spacing w:val="-6"/>
                <w:sz w:val="20"/>
              </w:rPr>
              <w:t> </w:t>
            </w:r>
            <w:r>
              <w:rPr>
                <w:sz w:val="20"/>
              </w:rPr>
              <w:t>A41.5,</w:t>
            </w:r>
            <w:r>
              <w:rPr>
                <w:spacing w:val="-5"/>
                <w:sz w:val="20"/>
              </w:rPr>
              <w:t> </w:t>
            </w:r>
            <w:r>
              <w:rPr>
                <w:spacing w:val="-2"/>
                <w:sz w:val="20"/>
              </w:rPr>
              <w:t>A41.8,</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1" w:lineRule="exact"/>
              <w:ind w:left="962" w:right="429"/>
              <w:jc w:val="center"/>
              <w:rPr>
                <w:sz w:val="20"/>
              </w:rPr>
            </w:pPr>
            <w:r>
              <w:rPr>
                <w:sz w:val="20"/>
              </w:rPr>
              <w:t>A41.9,</w:t>
            </w:r>
            <w:r>
              <w:rPr>
                <w:spacing w:val="-6"/>
                <w:sz w:val="20"/>
              </w:rPr>
              <w:t> </w:t>
            </w:r>
            <w:r>
              <w:rPr>
                <w:sz w:val="20"/>
              </w:rPr>
              <w:t>A48.3,</w:t>
            </w:r>
            <w:r>
              <w:rPr>
                <w:spacing w:val="-5"/>
                <w:sz w:val="20"/>
              </w:rPr>
              <w:t> </w:t>
            </w:r>
            <w:r>
              <w:rPr>
                <w:spacing w:val="-2"/>
                <w:sz w:val="20"/>
              </w:rPr>
              <w:t>B00.7,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9"/>
              <w:jc w:val="center"/>
              <w:rPr>
                <w:sz w:val="20"/>
              </w:rPr>
            </w:pPr>
            <w:r>
              <w:rPr>
                <w:sz w:val="20"/>
              </w:rPr>
              <w:t>B37.7,</w:t>
            </w:r>
            <w:r>
              <w:rPr>
                <w:spacing w:val="-5"/>
                <w:sz w:val="20"/>
              </w:rPr>
              <w:t> </w:t>
            </w:r>
            <w:r>
              <w:rPr>
                <w:sz w:val="20"/>
              </w:rPr>
              <w:t>B44.0,</w:t>
            </w:r>
            <w:r>
              <w:rPr>
                <w:spacing w:val="-5"/>
                <w:sz w:val="20"/>
              </w:rPr>
              <w:t> </w:t>
            </w:r>
            <w:r>
              <w:rPr>
                <w:spacing w:val="-2"/>
                <w:sz w:val="20"/>
              </w:rPr>
              <w:t>B44.7,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7"/>
              <w:jc w:val="center"/>
              <w:rPr>
                <w:sz w:val="20"/>
              </w:rPr>
            </w:pPr>
            <w:r>
              <w:rPr>
                <w:sz w:val="20"/>
              </w:rPr>
              <w:t>B45.0,</w:t>
            </w:r>
            <w:r>
              <w:rPr>
                <w:spacing w:val="-5"/>
                <w:sz w:val="20"/>
              </w:rPr>
              <w:t> </w:t>
            </w:r>
            <w:r>
              <w:rPr>
                <w:sz w:val="20"/>
              </w:rPr>
              <w:t>B45.1,</w:t>
            </w:r>
            <w:r>
              <w:rPr>
                <w:spacing w:val="-5"/>
                <w:sz w:val="20"/>
              </w:rPr>
              <w:t> </w:t>
            </w:r>
            <w:r>
              <w:rPr>
                <w:spacing w:val="-2"/>
                <w:sz w:val="20"/>
              </w:rPr>
              <w:t>B45.7,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B48.5,</w:t>
            </w:r>
            <w:r>
              <w:rPr>
                <w:spacing w:val="-6"/>
                <w:sz w:val="20"/>
              </w:rPr>
              <w:t> </w:t>
            </w:r>
            <w:r>
              <w:rPr>
                <w:sz w:val="20"/>
              </w:rPr>
              <w:t>P36.0,</w:t>
            </w:r>
            <w:r>
              <w:rPr>
                <w:spacing w:val="-5"/>
                <w:sz w:val="20"/>
              </w:rPr>
              <w:t> </w:t>
            </w:r>
            <w:r>
              <w:rPr>
                <w:spacing w:val="-2"/>
                <w:sz w:val="20"/>
              </w:rPr>
              <w:t>P36.1,</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0" w:right="429"/>
              <w:jc w:val="center"/>
              <w:rPr>
                <w:sz w:val="20"/>
              </w:rPr>
            </w:pPr>
            <w:r>
              <w:rPr>
                <w:sz w:val="20"/>
              </w:rPr>
              <w:t>P36.2,</w:t>
            </w:r>
            <w:r>
              <w:rPr>
                <w:spacing w:val="-6"/>
                <w:sz w:val="20"/>
              </w:rPr>
              <w:t> </w:t>
            </w:r>
            <w:r>
              <w:rPr>
                <w:sz w:val="20"/>
              </w:rPr>
              <w:t>P36.3,</w:t>
            </w:r>
            <w:r>
              <w:rPr>
                <w:spacing w:val="-6"/>
                <w:sz w:val="20"/>
              </w:rPr>
              <w:t> </w:t>
            </w:r>
            <w:r>
              <w:rPr>
                <w:spacing w:val="-2"/>
                <w:sz w:val="20"/>
              </w:rPr>
              <w:t>P36.4,</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0" w:right="429"/>
              <w:jc w:val="center"/>
              <w:rPr>
                <w:sz w:val="20"/>
              </w:rPr>
            </w:pPr>
            <w:r>
              <w:rPr>
                <w:sz w:val="20"/>
              </w:rPr>
              <w:t>P36.5,</w:t>
            </w:r>
            <w:r>
              <w:rPr>
                <w:spacing w:val="-6"/>
                <w:sz w:val="20"/>
              </w:rPr>
              <w:t> </w:t>
            </w:r>
            <w:r>
              <w:rPr>
                <w:sz w:val="20"/>
              </w:rPr>
              <w:t>P36.8,</w:t>
            </w:r>
            <w:r>
              <w:rPr>
                <w:spacing w:val="-6"/>
                <w:sz w:val="20"/>
              </w:rPr>
              <w:t> </w:t>
            </w:r>
            <w:r>
              <w:rPr>
                <w:spacing w:val="-2"/>
                <w:sz w:val="20"/>
              </w:rPr>
              <w:t>P36.9,</w:t>
            </w:r>
          </w:p>
        </w:tc>
        <w:tc>
          <w:tcPr>
            <w:tcW w:w="833" w:type="dxa"/>
            <w:vMerge/>
            <w:tcBorders>
              <w:top w:val="nil"/>
            </w:tcBorders>
          </w:tcPr>
          <w:p>
            <w:pPr>
              <w:rPr>
                <w:sz w:val="2"/>
                <w:szCs w:val="2"/>
              </w:rPr>
            </w:pPr>
          </w:p>
        </w:tc>
      </w:tr>
      <w:tr>
        <w:trPr>
          <w:trHeight w:val="225"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5" w:lineRule="exact"/>
              <w:ind w:left="963" w:right="425"/>
              <w:jc w:val="center"/>
              <w:rPr>
                <w:sz w:val="20"/>
              </w:rPr>
            </w:pPr>
            <w:r>
              <w:rPr>
                <w:spacing w:val="-4"/>
                <w:sz w:val="20"/>
              </w:rPr>
              <w:t>R57.2</w:t>
            </w:r>
          </w:p>
        </w:tc>
        <w:tc>
          <w:tcPr>
            <w:tcW w:w="833" w:type="dxa"/>
            <w:vMerge/>
            <w:tcBorders>
              <w:top w:val="nil"/>
            </w:tcBorders>
          </w:tcPr>
          <w:p>
            <w:pPr>
              <w:rPr>
                <w:sz w:val="2"/>
                <w:szCs w:val="2"/>
              </w:rPr>
            </w:pPr>
          </w:p>
        </w:tc>
      </w:tr>
    </w:tbl>
    <w:p>
      <w:pPr>
        <w:spacing w:after="0"/>
        <w:rPr>
          <w:sz w:val="2"/>
          <w:szCs w:val="2"/>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14"/>
        <w:gridCol w:w="5269"/>
        <w:gridCol w:w="1919"/>
        <w:gridCol w:w="3249"/>
        <w:gridCol w:w="801"/>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2414" w:type="dxa"/>
          </w:tcPr>
          <w:p>
            <w:pPr>
              <w:pStyle w:val="TableParagraph"/>
              <w:rPr>
                <w:sz w:val="18"/>
              </w:rPr>
            </w:pPr>
          </w:p>
        </w:tc>
        <w:tc>
          <w:tcPr>
            <w:tcW w:w="5269" w:type="dxa"/>
          </w:tcPr>
          <w:p>
            <w:pPr>
              <w:pStyle w:val="TableParagraph"/>
              <w:rPr>
                <w:sz w:val="18"/>
              </w:rPr>
            </w:pPr>
          </w:p>
        </w:tc>
        <w:tc>
          <w:tcPr>
            <w:tcW w:w="1919" w:type="dxa"/>
          </w:tcPr>
          <w:p>
            <w:pPr>
              <w:pStyle w:val="TableParagraph"/>
              <w:rPr>
                <w:sz w:val="18"/>
              </w:rPr>
            </w:pPr>
          </w:p>
        </w:tc>
        <w:tc>
          <w:tcPr>
            <w:tcW w:w="3249" w:type="dxa"/>
          </w:tcPr>
          <w:p>
            <w:pPr>
              <w:pStyle w:val="TableParagraph"/>
              <w:ind w:left="1081" w:right="522"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01"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st12.007</w:t>
            </w:r>
          </w:p>
        </w:tc>
        <w:tc>
          <w:tcPr>
            <w:tcW w:w="657" w:type="dxa"/>
          </w:tcPr>
          <w:p>
            <w:pPr>
              <w:pStyle w:val="TableParagraph"/>
              <w:spacing w:line="215" w:lineRule="exact" w:before="45"/>
              <w:ind w:left="222" w:right="205"/>
              <w:jc w:val="center"/>
              <w:rPr>
                <w:sz w:val="20"/>
              </w:rPr>
            </w:pPr>
            <w:r>
              <w:rPr>
                <w:spacing w:val="-5"/>
                <w:sz w:val="20"/>
              </w:rPr>
              <w:t>64</w:t>
            </w:r>
          </w:p>
        </w:tc>
        <w:tc>
          <w:tcPr>
            <w:tcW w:w="2414" w:type="dxa"/>
          </w:tcPr>
          <w:p>
            <w:pPr>
              <w:pStyle w:val="TableParagraph"/>
              <w:spacing w:line="215" w:lineRule="exact" w:before="45"/>
              <w:ind w:left="217"/>
              <w:rPr>
                <w:sz w:val="20"/>
              </w:rPr>
            </w:pPr>
            <w:r>
              <w:rPr>
                <w:sz w:val="20"/>
              </w:rPr>
              <w:t>Сепсис</w:t>
            </w:r>
            <w:r>
              <w:rPr>
                <w:spacing w:val="-5"/>
                <w:sz w:val="20"/>
              </w:rPr>
              <w:t> </w:t>
            </w:r>
            <w:r>
              <w:rPr>
                <w:sz w:val="20"/>
              </w:rPr>
              <w:t>с</w:t>
            </w:r>
            <w:r>
              <w:rPr>
                <w:spacing w:val="-5"/>
                <w:sz w:val="20"/>
              </w:rPr>
              <w:t> </w:t>
            </w:r>
            <w:r>
              <w:rPr>
                <w:spacing w:val="-2"/>
                <w:sz w:val="20"/>
              </w:rPr>
              <w:t>синдромом</w:t>
            </w:r>
          </w:p>
        </w:tc>
        <w:tc>
          <w:tcPr>
            <w:tcW w:w="5269" w:type="dxa"/>
          </w:tcPr>
          <w:p>
            <w:pPr>
              <w:pStyle w:val="TableParagraph"/>
              <w:spacing w:line="215" w:lineRule="exact" w:before="45"/>
              <w:ind w:left="571"/>
              <w:rPr>
                <w:sz w:val="20"/>
              </w:rPr>
            </w:pPr>
            <w:r>
              <w:rPr>
                <w:sz w:val="20"/>
              </w:rPr>
              <w:t>A02.1,</w:t>
            </w:r>
            <w:r>
              <w:rPr>
                <w:spacing w:val="-6"/>
                <w:sz w:val="20"/>
              </w:rPr>
              <w:t> </w:t>
            </w:r>
            <w:r>
              <w:rPr>
                <w:sz w:val="20"/>
              </w:rPr>
              <w:t>A32.7,</w:t>
            </w:r>
            <w:r>
              <w:rPr>
                <w:spacing w:val="-5"/>
                <w:sz w:val="20"/>
              </w:rPr>
              <w:t> </w:t>
            </w:r>
            <w:r>
              <w:rPr>
                <w:sz w:val="20"/>
              </w:rPr>
              <w:t>A39.1,</w:t>
            </w:r>
            <w:r>
              <w:rPr>
                <w:spacing w:val="-6"/>
                <w:sz w:val="20"/>
              </w:rPr>
              <w:t> </w:t>
            </w:r>
            <w:r>
              <w:rPr>
                <w:sz w:val="20"/>
              </w:rPr>
              <w:t>A39.2,</w:t>
            </w:r>
            <w:r>
              <w:rPr>
                <w:spacing w:val="-7"/>
                <w:sz w:val="20"/>
              </w:rPr>
              <w:t> </w:t>
            </w:r>
            <w:r>
              <w:rPr>
                <w:sz w:val="20"/>
              </w:rPr>
              <w:t>A39.4,</w:t>
            </w:r>
            <w:r>
              <w:rPr>
                <w:spacing w:val="-6"/>
                <w:sz w:val="20"/>
              </w:rPr>
              <w:t> </w:t>
            </w:r>
            <w:r>
              <w:rPr>
                <w:spacing w:val="-2"/>
                <w:sz w:val="20"/>
              </w:rPr>
              <w:t>A40.0,</w:t>
            </w:r>
          </w:p>
        </w:tc>
        <w:tc>
          <w:tcPr>
            <w:tcW w:w="1919" w:type="dxa"/>
          </w:tcPr>
          <w:p>
            <w:pPr>
              <w:pStyle w:val="TableParagraph"/>
              <w:spacing w:line="215" w:lineRule="exact" w:before="45"/>
              <w:ind w:right="32"/>
              <w:jc w:val="center"/>
              <w:rPr>
                <w:sz w:val="20"/>
              </w:rPr>
            </w:pPr>
            <w:r>
              <w:rPr>
                <w:w w:val="99"/>
                <w:sz w:val="20"/>
              </w:rPr>
              <w:t>-</w:t>
            </w:r>
          </w:p>
        </w:tc>
        <w:tc>
          <w:tcPr>
            <w:tcW w:w="3249" w:type="dxa"/>
          </w:tcPr>
          <w:p>
            <w:pPr>
              <w:pStyle w:val="TableParagraph"/>
              <w:spacing w:line="215" w:lineRule="exact" w:before="45"/>
              <w:ind w:left="1648" w:right="1117"/>
              <w:jc w:val="center"/>
              <w:rPr>
                <w:sz w:val="20"/>
              </w:rPr>
            </w:pPr>
            <w:r>
              <w:rPr>
                <w:spacing w:val="-4"/>
                <w:sz w:val="20"/>
              </w:rPr>
              <w:t>Иной</w:t>
            </w:r>
          </w:p>
        </w:tc>
        <w:tc>
          <w:tcPr>
            <w:tcW w:w="801" w:type="dxa"/>
          </w:tcPr>
          <w:p>
            <w:pPr>
              <w:pStyle w:val="TableParagraph"/>
              <w:spacing w:line="215" w:lineRule="exact" w:before="45"/>
              <w:ind w:left="393"/>
              <w:rPr>
                <w:sz w:val="20"/>
              </w:rPr>
            </w:pPr>
            <w:r>
              <w:rPr>
                <w:spacing w:val="-4"/>
                <w:sz w:val="20"/>
              </w:rPr>
              <w:t>7,20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14" w:type="dxa"/>
          </w:tcPr>
          <w:p>
            <w:pPr>
              <w:pStyle w:val="TableParagraph"/>
              <w:spacing w:line="210" w:lineRule="exact"/>
              <w:ind w:left="217"/>
              <w:rPr>
                <w:sz w:val="20"/>
              </w:rPr>
            </w:pPr>
            <w:r>
              <w:rPr>
                <w:sz w:val="20"/>
              </w:rPr>
              <w:t>органной</w:t>
            </w:r>
            <w:r>
              <w:rPr>
                <w:spacing w:val="-11"/>
                <w:sz w:val="20"/>
              </w:rPr>
              <w:t> </w:t>
            </w:r>
            <w:r>
              <w:rPr>
                <w:spacing w:val="-2"/>
                <w:sz w:val="20"/>
              </w:rPr>
              <w:t>дисфункции</w:t>
            </w:r>
          </w:p>
        </w:tc>
        <w:tc>
          <w:tcPr>
            <w:tcW w:w="5269" w:type="dxa"/>
          </w:tcPr>
          <w:p>
            <w:pPr>
              <w:pStyle w:val="TableParagraph"/>
              <w:spacing w:line="210" w:lineRule="exact"/>
              <w:ind w:left="571"/>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tc>
        <w:tc>
          <w:tcPr>
            <w:tcW w:w="1919" w:type="dxa"/>
          </w:tcPr>
          <w:p>
            <w:pPr>
              <w:pStyle w:val="TableParagraph"/>
              <w:rPr>
                <w:sz w:val="16"/>
              </w:rPr>
            </w:pPr>
          </w:p>
        </w:tc>
        <w:tc>
          <w:tcPr>
            <w:tcW w:w="3249" w:type="dxa"/>
          </w:tcPr>
          <w:p>
            <w:pPr>
              <w:pStyle w:val="TableParagraph"/>
              <w:spacing w:line="210" w:lineRule="exact"/>
              <w:ind w:right="476"/>
              <w:jc w:val="right"/>
              <w:rPr>
                <w:sz w:val="20"/>
              </w:rPr>
            </w:pPr>
            <w:r>
              <w:rPr>
                <w:spacing w:val="-2"/>
                <w:sz w:val="20"/>
              </w:rPr>
              <w:t>классификационный</w:t>
            </w:r>
          </w:p>
        </w:tc>
        <w:tc>
          <w:tcPr>
            <w:tcW w:w="80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14" w:type="dxa"/>
          </w:tcPr>
          <w:p>
            <w:pPr>
              <w:pStyle w:val="TableParagraph"/>
              <w:rPr>
                <w:sz w:val="16"/>
              </w:rPr>
            </w:pPr>
          </w:p>
        </w:tc>
        <w:tc>
          <w:tcPr>
            <w:tcW w:w="5269" w:type="dxa"/>
          </w:tcPr>
          <w:p>
            <w:pPr>
              <w:pStyle w:val="TableParagraph"/>
              <w:spacing w:line="210" w:lineRule="exact"/>
              <w:ind w:left="571"/>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tc>
        <w:tc>
          <w:tcPr>
            <w:tcW w:w="1919" w:type="dxa"/>
          </w:tcPr>
          <w:p>
            <w:pPr>
              <w:pStyle w:val="TableParagraph"/>
              <w:rPr>
                <w:sz w:val="16"/>
              </w:rPr>
            </w:pPr>
          </w:p>
        </w:tc>
        <w:tc>
          <w:tcPr>
            <w:tcW w:w="3249" w:type="dxa"/>
          </w:tcPr>
          <w:p>
            <w:pPr>
              <w:pStyle w:val="TableParagraph"/>
              <w:spacing w:line="210" w:lineRule="exact"/>
              <w:ind w:left="1335"/>
              <w:rPr>
                <w:sz w:val="20"/>
              </w:rPr>
            </w:pPr>
            <w:r>
              <w:rPr>
                <w:sz w:val="20"/>
              </w:rPr>
              <w:t>критерий:</w:t>
            </w:r>
            <w:r>
              <w:rPr>
                <w:spacing w:val="-13"/>
                <w:sz w:val="20"/>
              </w:rPr>
              <w:t> </w:t>
            </w:r>
            <w:r>
              <w:rPr>
                <w:spacing w:val="-5"/>
                <w:sz w:val="20"/>
              </w:rPr>
              <w:t>it1</w:t>
            </w:r>
          </w:p>
        </w:tc>
        <w:tc>
          <w:tcPr>
            <w:tcW w:w="80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14" w:type="dxa"/>
          </w:tcPr>
          <w:p>
            <w:pPr>
              <w:pStyle w:val="TableParagraph"/>
              <w:rPr>
                <w:sz w:val="16"/>
              </w:rPr>
            </w:pPr>
          </w:p>
        </w:tc>
        <w:tc>
          <w:tcPr>
            <w:tcW w:w="5269" w:type="dxa"/>
          </w:tcPr>
          <w:p>
            <w:pPr>
              <w:pStyle w:val="TableParagraph"/>
              <w:spacing w:line="209" w:lineRule="exact"/>
              <w:ind w:left="302"/>
              <w:rPr>
                <w:sz w:val="20"/>
              </w:rPr>
            </w:pPr>
            <w:r>
              <w:rPr>
                <w:sz w:val="20"/>
              </w:rPr>
              <w:t>A41.9,</w:t>
            </w:r>
            <w:r>
              <w:rPr>
                <w:spacing w:val="-5"/>
                <w:sz w:val="20"/>
              </w:rPr>
              <w:t> </w:t>
            </w:r>
            <w:r>
              <w:rPr>
                <w:sz w:val="20"/>
              </w:rPr>
              <w:t>A48.3,</w:t>
            </w:r>
            <w:r>
              <w:rPr>
                <w:spacing w:val="-5"/>
                <w:sz w:val="20"/>
              </w:rPr>
              <w:t> </w:t>
            </w:r>
            <w:r>
              <w:rPr>
                <w:sz w:val="20"/>
              </w:rPr>
              <w:t>B00.7,</w:t>
            </w:r>
            <w:r>
              <w:rPr>
                <w:spacing w:val="-7"/>
                <w:sz w:val="20"/>
              </w:rPr>
              <w:t> </w:t>
            </w:r>
            <w:r>
              <w:rPr>
                <w:sz w:val="20"/>
              </w:rPr>
              <w:t>B37.7,</w:t>
            </w:r>
            <w:r>
              <w:rPr>
                <w:spacing w:val="-7"/>
                <w:sz w:val="20"/>
              </w:rPr>
              <w:t> </w:t>
            </w:r>
            <w:r>
              <w:rPr>
                <w:sz w:val="20"/>
              </w:rPr>
              <w:t>B44.0,</w:t>
            </w:r>
            <w:r>
              <w:rPr>
                <w:spacing w:val="-5"/>
                <w:sz w:val="20"/>
              </w:rPr>
              <w:t> </w:t>
            </w:r>
            <w:r>
              <w:rPr>
                <w:sz w:val="20"/>
              </w:rPr>
              <w:t>B44.7,</w:t>
            </w:r>
            <w:r>
              <w:rPr>
                <w:spacing w:val="-5"/>
                <w:sz w:val="20"/>
              </w:rPr>
              <w:t> </w:t>
            </w:r>
            <w:r>
              <w:rPr>
                <w:spacing w:val="-2"/>
                <w:sz w:val="20"/>
              </w:rPr>
              <w:t>B45.0,</w:t>
            </w:r>
          </w:p>
        </w:tc>
        <w:tc>
          <w:tcPr>
            <w:tcW w:w="1919" w:type="dxa"/>
          </w:tcPr>
          <w:p>
            <w:pPr>
              <w:pStyle w:val="TableParagraph"/>
              <w:rPr>
                <w:sz w:val="16"/>
              </w:rPr>
            </w:pPr>
          </w:p>
        </w:tc>
        <w:tc>
          <w:tcPr>
            <w:tcW w:w="3249" w:type="dxa"/>
          </w:tcPr>
          <w:p>
            <w:pPr>
              <w:pStyle w:val="TableParagraph"/>
              <w:rPr>
                <w:sz w:val="16"/>
              </w:rPr>
            </w:pPr>
          </w:p>
        </w:tc>
        <w:tc>
          <w:tcPr>
            <w:tcW w:w="801"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414" w:type="dxa"/>
          </w:tcPr>
          <w:p>
            <w:pPr>
              <w:pStyle w:val="TableParagraph"/>
              <w:rPr>
                <w:sz w:val="18"/>
              </w:rPr>
            </w:pPr>
          </w:p>
        </w:tc>
        <w:tc>
          <w:tcPr>
            <w:tcW w:w="5269" w:type="dxa"/>
          </w:tcPr>
          <w:p>
            <w:pPr>
              <w:pStyle w:val="TableParagraph"/>
              <w:spacing w:line="224" w:lineRule="exact"/>
              <w:ind w:left="991"/>
              <w:rPr>
                <w:sz w:val="20"/>
              </w:rPr>
            </w:pPr>
            <w:r>
              <w:rPr>
                <w:sz w:val="20"/>
              </w:rPr>
              <w:t>B45.1,</w:t>
            </w:r>
            <w:r>
              <w:rPr>
                <w:spacing w:val="-5"/>
                <w:sz w:val="20"/>
              </w:rPr>
              <w:t> </w:t>
            </w:r>
            <w:r>
              <w:rPr>
                <w:sz w:val="20"/>
              </w:rPr>
              <w:t>B45.7,</w:t>
            </w:r>
            <w:r>
              <w:rPr>
                <w:spacing w:val="-4"/>
                <w:sz w:val="20"/>
              </w:rPr>
              <w:t> </w:t>
            </w:r>
            <w:r>
              <w:rPr>
                <w:sz w:val="20"/>
              </w:rPr>
              <w:t>B48.5,</w:t>
            </w:r>
            <w:r>
              <w:rPr>
                <w:spacing w:val="-5"/>
                <w:sz w:val="20"/>
              </w:rPr>
              <w:t> </w:t>
            </w:r>
            <w:r>
              <w:rPr>
                <w:sz w:val="20"/>
              </w:rPr>
              <w:t>O85,</w:t>
            </w:r>
            <w:r>
              <w:rPr>
                <w:spacing w:val="-4"/>
                <w:sz w:val="20"/>
              </w:rPr>
              <w:t> R57.2</w:t>
            </w:r>
          </w:p>
        </w:tc>
        <w:tc>
          <w:tcPr>
            <w:tcW w:w="1919" w:type="dxa"/>
          </w:tcPr>
          <w:p>
            <w:pPr>
              <w:pStyle w:val="TableParagraph"/>
              <w:rPr>
                <w:sz w:val="18"/>
              </w:rPr>
            </w:pPr>
          </w:p>
        </w:tc>
        <w:tc>
          <w:tcPr>
            <w:tcW w:w="3249" w:type="dxa"/>
          </w:tcPr>
          <w:p>
            <w:pPr>
              <w:pStyle w:val="TableParagraph"/>
              <w:rPr>
                <w:sz w:val="18"/>
              </w:rPr>
            </w:pPr>
          </w:p>
        </w:tc>
        <w:tc>
          <w:tcPr>
            <w:tcW w:w="801" w:type="dxa"/>
          </w:tcPr>
          <w:p>
            <w:pPr>
              <w:pStyle w:val="TableParagraph"/>
              <w:rPr>
                <w:sz w:val="18"/>
              </w:rPr>
            </w:pPr>
          </w:p>
        </w:tc>
      </w:tr>
      <w:tr>
        <w:trPr>
          <w:trHeight w:val="281"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414" w:type="dxa"/>
            <w:vMerge w:val="restart"/>
          </w:tcPr>
          <w:p>
            <w:pPr>
              <w:pStyle w:val="TableParagraph"/>
              <w:rPr>
                <w:sz w:val="18"/>
              </w:rPr>
            </w:pPr>
          </w:p>
        </w:tc>
        <w:tc>
          <w:tcPr>
            <w:tcW w:w="5269" w:type="dxa"/>
          </w:tcPr>
          <w:p>
            <w:pPr>
              <w:pStyle w:val="TableParagraph"/>
              <w:spacing w:line="215" w:lineRule="exact" w:before="46"/>
              <w:ind w:left="391"/>
              <w:rPr>
                <w:sz w:val="20"/>
              </w:rPr>
            </w:pPr>
            <w:r>
              <w:rPr>
                <w:sz w:val="20"/>
              </w:rPr>
              <w:t>P36.0,</w:t>
            </w:r>
            <w:r>
              <w:rPr>
                <w:spacing w:val="-7"/>
                <w:sz w:val="20"/>
              </w:rPr>
              <w:t> </w:t>
            </w:r>
            <w:r>
              <w:rPr>
                <w:sz w:val="20"/>
              </w:rPr>
              <w:t>P36.1,</w:t>
            </w:r>
            <w:r>
              <w:rPr>
                <w:spacing w:val="-6"/>
                <w:sz w:val="20"/>
              </w:rPr>
              <w:t> </w:t>
            </w:r>
            <w:r>
              <w:rPr>
                <w:sz w:val="20"/>
              </w:rPr>
              <w:t>P36.2,</w:t>
            </w:r>
            <w:r>
              <w:rPr>
                <w:spacing w:val="-6"/>
                <w:sz w:val="20"/>
              </w:rPr>
              <w:t> </w:t>
            </w:r>
            <w:r>
              <w:rPr>
                <w:sz w:val="20"/>
              </w:rPr>
              <w:t>P36.3,</w:t>
            </w:r>
            <w:r>
              <w:rPr>
                <w:spacing w:val="-6"/>
                <w:sz w:val="20"/>
              </w:rPr>
              <w:t> </w:t>
            </w:r>
            <w:r>
              <w:rPr>
                <w:sz w:val="20"/>
              </w:rPr>
              <w:t>P36.4,</w:t>
            </w:r>
            <w:r>
              <w:rPr>
                <w:spacing w:val="-6"/>
                <w:sz w:val="20"/>
              </w:rPr>
              <w:t> </w:t>
            </w:r>
            <w:r>
              <w:rPr>
                <w:sz w:val="20"/>
              </w:rPr>
              <w:t>P36.5,</w:t>
            </w:r>
            <w:r>
              <w:rPr>
                <w:spacing w:val="-6"/>
                <w:sz w:val="20"/>
              </w:rPr>
              <w:t> </w:t>
            </w:r>
            <w:r>
              <w:rPr>
                <w:spacing w:val="-2"/>
                <w:sz w:val="20"/>
              </w:rPr>
              <w:t>P36.8,</w:t>
            </w:r>
          </w:p>
        </w:tc>
        <w:tc>
          <w:tcPr>
            <w:tcW w:w="1919" w:type="dxa"/>
          </w:tcPr>
          <w:p>
            <w:pPr>
              <w:pStyle w:val="TableParagraph"/>
              <w:spacing w:line="215" w:lineRule="exact" w:before="46"/>
              <w:ind w:right="32"/>
              <w:jc w:val="center"/>
              <w:rPr>
                <w:sz w:val="20"/>
              </w:rPr>
            </w:pPr>
            <w:r>
              <w:rPr>
                <w:w w:val="99"/>
                <w:sz w:val="20"/>
              </w:rPr>
              <w:t>-</w:t>
            </w:r>
          </w:p>
        </w:tc>
        <w:tc>
          <w:tcPr>
            <w:tcW w:w="3249" w:type="dxa"/>
          </w:tcPr>
          <w:p>
            <w:pPr>
              <w:pStyle w:val="TableParagraph"/>
              <w:spacing w:line="215" w:lineRule="exact" w:before="46"/>
              <w:ind w:left="1648" w:right="1117"/>
              <w:jc w:val="center"/>
              <w:rPr>
                <w:sz w:val="20"/>
              </w:rPr>
            </w:pPr>
            <w:r>
              <w:rPr>
                <w:spacing w:val="-4"/>
                <w:sz w:val="20"/>
              </w:rPr>
              <w:t>Иной</w:t>
            </w:r>
          </w:p>
        </w:tc>
        <w:tc>
          <w:tcPr>
            <w:tcW w:w="801"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spacing w:line="210" w:lineRule="exact"/>
              <w:ind w:left="2086" w:right="2691"/>
              <w:jc w:val="center"/>
              <w:rPr>
                <w:sz w:val="20"/>
              </w:rPr>
            </w:pPr>
            <w:r>
              <w:rPr>
                <w:spacing w:val="-2"/>
                <w:sz w:val="20"/>
              </w:rPr>
              <w:t>P36.9</w:t>
            </w:r>
          </w:p>
        </w:tc>
        <w:tc>
          <w:tcPr>
            <w:tcW w:w="1919" w:type="dxa"/>
          </w:tcPr>
          <w:p>
            <w:pPr>
              <w:pStyle w:val="TableParagraph"/>
              <w:rPr>
                <w:sz w:val="16"/>
              </w:rPr>
            </w:pPr>
          </w:p>
        </w:tc>
        <w:tc>
          <w:tcPr>
            <w:tcW w:w="3249" w:type="dxa"/>
          </w:tcPr>
          <w:p>
            <w:pPr>
              <w:pStyle w:val="TableParagraph"/>
              <w:spacing w:line="210" w:lineRule="exact"/>
              <w:ind w:right="476"/>
              <w:jc w:val="right"/>
              <w:rPr>
                <w:sz w:val="20"/>
              </w:rPr>
            </w:pPr>
            <w:r>
              <w:rPr>
                <w:spacing w:val="-2"/>
                <w:sz w:val="20"/>
              </w:rPr>
              <w:t>классификационный</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left="1335"/>
              <w:rPr>
                <w:sz w:val="20"/>
              </w:rPr>
            </w:pPr>
            <w:r>
              <w:rPr>
                <w:sz w:val="20"/>
              </w:rPr>
              <w:t>критерий:</w:t>
            </w:r>
            <w:r>
              <w:rPr>
                <w:spacing w:val="-12"/>
                <w:sz w:val="20"/>
              </w:rPr>
              <w:t> </w:t>
            </w:r>
            <w:r>
              <w:rPr>
                <w:spacing w:val="-5"/>
                <w:sz w:val="20"/>
              </w:rPr>
              <w:t>it1</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530"/>
              <w:jc w:val="right"/>
              <w:rPr>
                <w:sz w:val="20"/>
              </w:rPr>
            </w:pPr>
            <w:r>
              <w:rPr>
                <w:sz w:val="20"/>
              </w:rPr>
              <w:t>Возрастная</w:t>
            </w:r>
            <w:r>
              <w:rPr>
                <w:spacing w:val="-11"/>
                <w:sz w:val="20"/>
              </w:rPr>
              <w:t> </w:t>
            </w:r>
            <w:r>
              <w:rPr>
                <w:spacing w:val="-2"/>
                <w:sz w:val="20"/>
              </w:rPr>
              <w:t>группа:</w:t>
            </w:r>
          </w:p>
        </w:tc>
        <w:tc>
          <w:tcPr>
            <w:tcW w:w="801" w:type="dxa"/>
            <w:vMerge/>
            <w:tcBorders>
              <w:top w:val="nil"/>
            </w:tcBorders>
          </w:tcPr>
          <w:p>
            <w:pPr>
              <w:rPr>
                <w:sz w:val="2"/>
                <w:szCs w:val="2"/>
              </w:rPr>
            </w:pPr>
          </w:p>
        </w:tc>
      </w:tr>
      <w:tr>
        <w:trPr>
          <w:trHeight w:val="28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8"/>
              </w:rPr>
            </w:pPr>
          </w:p>
        </w:tc>
        <w:tc>
          <w:tcPr>
            <w:tcW w:w="1919" w:type="dxa"/>
          </w:tcPr>
          <w:p>
            <w:pPr>
              <w:pStyle w:val="TableParagraph"/>
              <w:rPr>
                <w:sz w:val="18"/>
              </w:rPr>
            </w:pPr>
          </w:p>
        </w:tc>
        <w:tc>
          <w:tcPr>
            <w:tcW w:w="3249" w:type="dxa"/>
          </w:tcPr>
          <w:p>
            <w:pPr>
              <w:pStyle w:val="TableParagraph"/>
              <w:spacing w:line="226" w:lineRule="exact"/>
              <w:ind w:right="549"/>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01" w:type="dxa"/>
            <w:vMerge/>
            <w:tcBorders>
              <w:top w:val="nil"/>
            </w:tcBorders>
          </w:tcPr>
          <w:p>
            <w:pPr>
              <w:rPr>
                <w:sz w:val="2"/>
                <w:szCs w:val="2"/>
              </w:rPr>
            </w:pPr>
          </w:p>
        </w:tc>
      </w:tr>
      <w:tr>
        <w:trPr>
          <w:trHeight w:val="280"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414" w:type="dxa"/>
            <w:vMerge w:val="restart"/>
          </w:tcPr>
          <w:p>
            <w:pPr>
              <w:pStyle w:val="TableParagraph"/>
              <w:rPr>
                <w:sz w:val="18"/>
              </w:rPr>
            </w:pPr>
          </w:p>
        </w:tc>
        <w:tc>
          <w:tcPr>
            <w:tcW w:w="5269" w:type="dxa"/>
          </w:tcPr>
          <w:p>
            <w:pPr>
              <w:pStyle w:val="TableParagraph"/>
              <w:spacing w:line="215" w:lineRule="exact" w:before="46"/>
              <w:ind w:right="606"/>
              <w:jc w:val="center"/>
              <w:rPr>
                <w:sz w:val="20"/>
              </w:rPr>
            </w:pPr>
            <w:r>
              <w:rPr>
                <w:w w:val="99"/>
                <w:sz w:val="20"/>
              </w:rPr>
              <w:t>-</w:t>
            </w:r>
          </w:p>
        </w:tc>
        <w:tc>
          <w:tcPr>
            <w:tcW w:w="1919" w:type="dxa"/>
          </w:tcPr>
          <w:p>
            <w:pPr>
              <w:pStyle w:val="TableParagraph"/>
              <w:spacing w:line="215" w:lineRule="exact" w:before="46"/>
              <w:ind w:right="32"/>
              <w:jc w:val="center"/>
              <w:rPr>
                <w:sz w:val="20"/>
              </w:rPr>
            </w:pPr>
            <w:r>
              <w:rPr>
                <w:w w:val="99"/>
                <w:sz w:val="20"/>
              </w:rPr>
              <w:t>-</w:t>
            </w:r>
          </w:p>
        </w:tc>
        <w:tc>
          <w:tcPr>
            <w:tcW w:w="3249" w:type="dxa"/>
          </w:tcPr>
          <w:p>
            <w:pPr>
              <w:pStyle w:val="TableParagraph"/>
              <w:spacing w:line="215" w:lineRule="exact" w:before="46"/>
              <w:ind w:left="1648" w:right="1117"/>
              <w:jc w:val="center"/>
              <w:rPr>
                <w:sz w:val="20"/>
              </w:rPr>
            </w:pPr>
            <w:r>
              <w:rPr>
                <w:spacing w:val="-4"/>
                <w:sz w:val="20"/>
              </w:rPr>
              <w:t>Иной</w:t>
            </w:r>
          </w:p>
        </w:tc>
        <w:tc>
          <w:tcPr>
            <w:tcW w:w="80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76"/>
              <w:jc w:val="right"/>
              <w:rPr>
                <w:sz w:val="20"/>
              </w:rPr>
            </w:pPr>
            <w:r>
              <w:rPr>
                <w:spacing w:val="-2"/>
                <w:sz w:val="20"/>
              </w:rPr>
              <w:t>классификационный</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left="1335"/>
              <w:rPr>
                <w:sz w:val="20"/>
              </w:rPr>
            </w:pPr>
            <w:r>
              <w:rPr>
                <w:sz w:val="20"/>
              </w:rPr>
              <w:t>критерий:</w:t>
            </w:r>
            <w:r>
              <w:rPr>
                <w:spacing w:val="-11"/>
                <w:sz w:val="20"/>
              </w:rPr>
              <w:t> </w:t>
            </w:r>
            <w:r>
              <w:rPr>
                <w:spacing w:val="-5"/>
                <w:sz w:val="20"/>
              </w:rPr>
              <w:t>it1</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69"/>
              <w:jc w:val="right"/>
              <w:rPr>
                <w:sz w:val="20"/>
              </w:rPr>
            </w:pPr>
            <w:r>
              <w:rPr>
                <w:sz w:val="20"/>
              </w:rPr>
              <w:t>Диагноз</w:t>
            </w:r>
            <w:r>
              <w:rPr>
                <w:spacing w:val="-10"/>
                <w:sz w:val="20"/>
              </w:rPr>
              <w:t> </w:t>
            </w:r>
            <w:r>
              <w:rPr>
                <w:spacing w:val="-2"/>
                <w:sz w:val="20"/>
              </w:rPr>
              <w:t>осложнения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1" w:lineRule="exact"/>
              <w:ind w:left="1337"/>
              <w:rPr>
                <w:sz w:val="20"/>
              </w:rPr>
            </w:pPr>
            <w:r>
              <w:rPr>
                <w:spacing w:val="-2"/>
                <w:sz w:val="20"/>
              </w:rPr>
              <w:t>заболевания: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1" w:lineRule="exact"/>
              <w:ind w:right="489"/>
              <w:jc w:val="right"/>
              <w:rPr>
                <w:sz w:val="20"/>
              </w:rPr>
            </w:pPr>
            <w:r>
              <w:rPr>
                <w:sz w:val="20"/>
              </w:rPr>
              <w:t>A02.1,</w:t>
            </w:r>
            <w:r>
              <w:rPr>
                <w:spacing w:val="-5"/>
                <w:sz w:val="20"/>
              </w:rPr>
              <w:t> </w:t>
            </w:r>
            <w:r>
              <w:rPr>
                <w:sz w:val="20"/>
              </w:rPr>
              <w:t>A32.7,</w:t>
            </w:r>
            <w:r>
              <w:rPr>
                <w:spacing w:val="-3"/>
                <w:sz w:val="20"/>
              </w:rPr>
              <w:t> </w:t>
            </w:r>
            <w:r>
              <w:rPr>
                <w:spacing w:val="-2"/>
                <w:sz w:val="20"/>
              </w:rPr>
              <w:t>A39.1,</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89"/>
              <w:jc w:val="right"/>
              <w:rPr>
                <w:sz w:val="20"/>
              </w:rPr>
            </w:pPr>
            <w:r>
              <w:rPr>
                <w:sz w:val="20"/>
              </w:rPr>
              <w:t>A39.2,</w:t>
            </w:r>
            <w:r>
              <w:rPr>
                <w:spacing w:val="-5"/>
                <w:sz w:val="20"/>
              </w:rPr>
              <w:t> </w:t>
            </w:r>
            <w:r>
              <w:rPr>
                <w:sz w:val="20"/>
              </w:rPr>
              <w:t>A39.4,</w:t>
            </w:r>
            <w:r>
              <w:rPr>
                <w:spacing w:val="-3"/>
                <w:sz w:val="20"/>
              </w:rPr>
              <w:t> </w:t>
            </w:r>
            <w:r>
              <w:rPr>
                <w:spacing w:val="-2"/>
                <w:sz w:val="20"/>
              </w:rPr>
              <w:t>A40.0,</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90"/>
              <w:jc w:val="right"/>
              <w:rPr>
                <w:sz w:val="20"/>
              </w:rPr>
            </w:pPr>
            <w:r>
              <w:rPr>
                <w:sz w:val="20"/>
              </w:rPr>
              <w:t>A40.1,</w:t>
            </w:r>
            <w:r>
              <w:rPr>
                <w:spacing w:val="-5"/>
                <w:sz w:val="20"/>
              </w:rPr>
              <w:t> </w:t>
            </w:r>
            <w:r>
              <w:rPr>
                <w:sz w:val="20"/>
              </w:rPr>
              <w:t>A40.2,</w:t>
            </w:r>
            <w:r>
              <w:rPr>
                <w:spacing w:val="-5"/>
                <w:sz w:val="20"/>
              </w:rPr>
              <w:t> </w:t>
            </w:r>
            <w:r>
              <w:rPr>
                <w:spacing w:val="-2"/>
                <w:sz w:val="20"/>
              </w:rPr>
              <w:t>A40.3,</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91"/>
              <w:jc w:val="right"/>
              <w:rPr>
                <w:sz w:val="20"/>
              </w:rPr>
            </w:pPr>
            <w:r>
              <w:rPr>
                <w:sz w:val="20"/>
              </w:rPr>
              <w:t>A40.8,</w:t>
            </w:r>
            <w:r>
              <w:rPr>
                <w:spacing w:val="-6"/>
                <w:sz w:val="20"/>
              </w:rPr>
              <w:t> </w:t>
            </w:r>
            <w:r>
              <w:rPr>
                <w:sz w:val="20"/>
              </w:rPr>
              <w:t>A40.9,</w:t>
            </w:r>
            <w:r>
              <w:rPr>
                <w:spacing w:val="-5"/>
                <w:sz w:val="20"/>
              </w:rPr>
              <w:t> </w:t>
            </w:r>
            <w:r>
              <w:rPr>
                <w:spacing w:val="-2"/>
                <w:sz w:val="20"/>
              </w:rPr>
              <w:t>A41.0,</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91"/>
              <w:jc w:val="right"/>
              <w:rPr>
                <w:sz w:val="20"/>
              </w:rPr>
            </w:pPr>
            <w:r>
              <w:rPr>
                <w:sz w:val="20"/>
              </w:rPr>
              <w:t>A41.1,</w:t>
            </w:r>
            <w:r>
              <w:rPr>
                <w:spacing w:val="-6"/>
                <w:sz w:val="20"/>
              </w:rPr>
              <w:t> </w:t>
            </w:r>
            <w:r>
              <w:rPr>
                <w:sz w:val="20"/>
              </w:rPr>
              <w:t>A41.2,</w:t>
            </w:r>
            <w:r>
              <w:rPr>
                <w:spacing w:val="-5"/>
                <w:sz w:val="20"/>
              </w:rPr>
              <w:t> </w:t>
            </w:r>
            <w:r>
              <w:rPr>
                <w:spacing w:val="-2"/>
                <w:sz w:val="20"/>
              </w:rPr>
              <w:t>A41.3,</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91"/>
              <w:jc w:val="right"/>
              <w:rPr>
                <w:sz w:val="20"/>
              </w:rPr>
            </w:pPr>
            <w:r>
              <w:rPr>
                <w:sz w:val="20"/>
              </w:rPr>
              <w:t>A41.4,</w:t>
            </w:r>
            <w:r>
              <w:rPr>
                <w:spacing w:val="-6"/>
                <w:sz w:val="20"/>
              </w:rPr>
              <w:t> </w:t>
            </w:r>
            <w:r>
              <w:rPr>
                <w:sz w:val="20"/>
              </w:rPr>
              <w:t>A41.5,</w:t>
            </w:r>
            <w:r>
              <w:rPr>
                <w:spacing w:val="-5"/>
                <w:sz w:val="20"/>
              </w:rPr>
              <w:t> </w:t>
            </w:r>
            <w:r>
              <w:rPr>
                <w:spacing w:val="-2"/>
                <w:sz w:val="20"/>
              </w:rPr>
              <w:t>A41.8,</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95"/>
              <w:jc w:val="right"/>
              <w:rPr>
                <w:sz w:val="20"/>
              </w:rPr>
            </w:pPr>
            <w:r>
              <w:rPr>
                <w:sz w:val="20"/>
              </w:rPr>
              <w:t>A41.9,</w:t>
            </w:r>
            <w:r>
              <w:rPr>
                <w:spacing w:val="-6"/>
                <w:sz w:val="20"/>
              </w:rPr>
              <w:t> </w:t>
            </w:r>
            <w:r>
              <w:rPr>
                <w:sz w:val="20"/>
              </w:rPr>
              <w:t>A48.3,</w:t>
            </w:r>
            <w:r>
              <w:rPr>
                <w:spacing w:val="-5"/>
                <w:sz w:val="20"/>
              </w:rPr>
              <w:t> </w:t>
            </w:r>
            <w:r>
              <w:rPr>
                <w:spacing w:val="-2"/>
                <w:sz w:val="20"/>
              </w:rPr>
              <w:t>B00.7,</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508"/>
              <w:jc w:val="right"/>
              <w:rPr>
                <w:sz w:val="20"/>
              </w:rPr>
            </w:pPr>
            <w:r>
              <w:rPr>
                <w:sz w:val="20"/>
              </w:rPr>
              <w:t>B37.7,</w:t>
            </w:r>
            <w:r>
              <w:rPr>
                <w:spacing w:val="-5"/>
                <w:sz w:val="20"/>
              </w:rPr>
              <w:t> </w:t>
            </w:r>
            <w:r>
              <w:rPr>
                <w:sz w:val="20"/>
              </w:rPr>
              <w:t>B44.0,</w:t>
            </w:r>
            <w:r>
              <w:rPr>
                <w:spacing w:val="-5"/>
                <w:sz w:val="20"/>
              </w:rPr>
              <w:t> </w:t>
            </w:r>
            <w:r>
              <w:rPr>
                <w:spacing w:val="-2"/>
                <w:sz w:val="20"/>
              </w:rPr>
              <w:t>B44.7,</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508"/>
              <w:jc w:val="right"/>
              <w:rPr>
                <w:sz w:val="20"/>
              </w:rPr>
            </w:pPr>
            <w:r>
              <w:rPr>
                <w:sz w:val="20"/>
              </w:rPr>
              <w:t>B45.0,</w:t>
            </w:r>
            <w:r>
              <w:rPr>
                <w:spacing w:val="-5"/>
                <w:sz w:val="20"/>
              </w:rPr>
              <w:t> </w:t>
            </w:r>
            <w:r>
              <w:rPr>
                <w:sz w:val="20"/>
              </w:rPr>
              <w:t>B45.1,</w:t>
            </w:r>
            <w:r>
              <w:rPr>
                <w:spacing w:val="-5"/>
                <w:sz w:val="20"/>
              </w:rPr>
              <w:t> </w:t>
            </w:r>
            <w:r>
              <w:rPr>
                <w:spacing w:val="-2"/>
                <w:sz w:val="20"/>
              </w:rPr>
              <w:t>B45.7,</w:t>
            </w:r>
          </w:p>
        </w:tc>
        <w:tc>
          <w:tcPr>
            <w:tcW w:w="801" w:type="dxa"/>
            <w:vMerge/>
            <w:tcBorders>
              <w:top w:val="nil"/>
            </w:tcBorders>
          </w:tcPr>
          <w:p>
            <w:pPr>
              <w:rPr>
                <w:sz w:val="2"/>
                <w:szCs w:val="2"/>
              </w:rPr>
            </w:pPr>
          </w:p>
        </w:tc>
      </w:tr>
      <w:tr>
        <w:trPr>
          <w:trHeight w:val="281"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8"/>
              </w:rPr>
            </w:pPr>
          </w:p>
        </w:tc>
        <w:tc>
          <w:tcPr>
            <w:tcW w:w="1919" w:type="dxa"/>
          </w:tcPr>
          <w:p>
            <w:pPr>
              <w:pStyle w:val="TableParagraph"/>
              <w:rPr>
                <w:sz w:val="18"/>
              </w:rPr>
            </w:pPr>
          </w:p>
        </w:tc>
        <w:tc>
          <w:tcPr>
            <w:tcW w:w="3249" w:type="dxa"/>
          </w:tcPr>
          <w:p>
            <w:pPr>
              <w:pStyle w:val="TableParagraph"/>
              <w:spacing w:line="226" w:lineRule="exact"/>
              <w:ind w:left="1134"/>
              <w:rPr>
                <w:sz w:val="20"/>
              </w:rPr>
            </w:pPr>
            <w:r>
              <w:rPr>
                <w:sz w:val="20"/>
              </w:rPr>
              <w:t>B48.5,</w:t>
            </w:r>
            <w:r>
              <w:rPr>
                <w:spacing w:val="-5"/>
                <w:sz w:val="20"/>
              </w:rPr>
              <w:t> </w:t>
            </w:r>
            <w:r>
              <w:rPr>
                <w:sz w:val="20"/>
              </w:rPr>
              <w:t>O85,</w:t>
            </w:r>
            <w:r>
              <w:rPr>
                <w:spacing w:val="-4"/>
                <w:sz w:val="20"/>
              </w:rPr>
              <w:t> </w:t>
            </w:r>
            <w:r>
              <w:rPr>
                <w:spacing w:val="-2"/>
                <w:sz w:val="20"/>
              </w:rPr>
              <w:t>R57.2</w:t>
            </w:r>
          </w:p>
        </w:tc>
        <w:tc>
          <w:tcPr>
            <w:tcW w:w="801" w:type="dxa"/>
            <w:vMerge/>
            <w:tcBorders>
              <w:top w:val="nil"/>
            </w:tcBorders>
          </w:tcPr>
          <w:p>
            <w:pPr>
              <w:rPr>
                <w:sz w:val="2"/>
                <w:szCs w:val="2"/>
              </w:rPr>
            </w:pPr>
          </w:p>
        </w:tc>
      </w:tr>
      <w:tr>
        <w:trPr>
          <w:trHeight w:val="281"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414" w:type="dxa"/>
            <w:vMerge w:val="restart"/>
          </w:tcPr>
          <w:p>
            <w:pPr>
              <w:pStyle w:val="TableParagraph"/>
              <w:rPr>
                <w:sz w:val="18"/>
              </w:rPr>
            </w:pPr>
          </w:p>
        </w:tc>
        <w:tc>
          <w:tcPr>
            <w:tcW w:w="5269" w:type="dxa"/>
          </w:tcPr>
          <w:p>
            <w:pPr>
              <w:pStyle w:val="TableParagraph"/>
              <w:spacing w:line="215" w:lineRule="exact" w:before="46"/>
              <w:ind w:right="606"/>
              <w:jc w:val="center"/>
              <w:rPr>
                <w:sz w:val="20"/>
              </w:rPr>
            </w:pPr>
            <w:r>
              <w:rPr>
                <w:w w:val="99"/>
                <w:sz w:val="20"/>
              </w:rPr>
              <w:t>-</w:t>
            </w:r>
          </w:p>
        </w:tc>
        <w:tc>
          <w:tcPr>
            <w:tcW w:w="1919" w:type="dxa"/>
          </w:tcPr>
          <w:p>
            <w:pPr>
              <w:pStyle w:val="TableParagraph"/>
              <w:spacing w:line="215" w:lineRule="exact" w:before="46"/>
              <w:ind w:right="32"/>
              <w:jc w:val="center"/>
              <w:rPr>
                <w:sz w:val="20"/>
              </w:rPr>
            </w:pPr>
            <w:r>
              <w:rPr>
                <w:w w:val="99"/>
                <w:sz w:val="20"/>
              </w:rPr>
              <w:t>-</w:t>
            </w:r>
          </w:p>
        </w:tc>
        <w:tc>
          <w:tcPr>
            <w:tcW w:w="3249" w:type="dxa"/>
          </w:tcPr>
          <w:p>
            <w:pPr>
              <w:pStyle w:val="TableParagraph"/>
              <w:spacing w:line="215" w:lineRule="exact" w:before="46"/>
              <w:ind w:left="1648" w:right="1117"/>
              <w:jc w:val="center"/>
              <w:rPr>
                <w:sz w:val="20"/>
              </w:rPr>
            </w:pPr>
            <w:r>
              <w:rPr>
                <w:spacing w:val="-4"/>
                <w:sz w:val="20"/>
              </w:rPr>
              <w:t>Иной</w:t>
            </w:r>
          </w:p>
        </w:tc>
        <w:tc>
          <w:tcPr>
            <w:tcW w:w="80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76"/>
              <w:jc w:val="right"/>
              <w:rPr>
                <w:sz w:val="20"/>
              </w:rPr>
            </w:pPr>
            <w:r>
              <w:rPr>
                <w:spacing w:val="-2"/>
                <w:sz w:val="20"/>
              </w:rPr>
              <w:t>классификационный</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left="1335"/>
              <w:rPr>
                <w:sz w:val="20"/>
              </w:rPr>
            </w:pPr>
            <w:r>
              <w:rPr>
                <w:sz w:val="20"/>
              </w:rPr>
              <w:t>критерий:</w:t>
            </w:r>
            <w:r>
              <w:rPr>
                <w:spacing w:val="-13"/>
                <w:sz w:val="20"/>
              </w:rPr>
              <w:t> </w:t>
            </w:r>
            <w:r>
              <w:rPr>
                <w:spacing w:val="-5"/>
                <w:sz w:val="20"/>
              </w:rPr>
              <w:t>it1</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02"/>
              <w:jc w:val="right"/>
              <w:rPr>
                <w:sz w:val="20"/>
              </w:rPr>
            </w:pPr>
            <w:r>
              <w:rPr>
                <w:sz w:val="20"/>
              </w:rPr>
              <w:t>Диагнозы</w:t>
            </w:r>
            <w:r>
              <w:rPr>
                <w:spacing w:val="-10"/>
                <w:sz w:val="20"/>
              </w:rPr>
              <w:t> </w:t>
            </w:r>
            <w:r>
              <w:rPr>
                <w:spacing w:val="-2"/>
                <w:sz w:val="20"/>
              </w:rPr>
              <w:t>осложнения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left="1337"/>
              <w:rPr>
                <w:sz w:val="20"/>
              </w:rPr>
            </w:pPr>
            <w:r>
              <w:rPr>
                <w:spacing w:val="-2"/>
                <w:sz w:val="20"/>
              </w:rPr>
              <w:t>заболевания: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542"/>
              <w:jc w:val="right"/>
              <w:rPr>
                <w:sz w:val="20"/>
              </w:rPr>
            </w:pPr>
            <w:r>
              <w:rPr>
                <w:sz w:val="20"/>
              </w:rPr>
              <w:t>P36.0,</w:t>
            </w:r>
            <w:r>
              <w:rPr>
                <w:spacing w:val="-6"/>
                <w:sz w:val="20"/>
              </w:rPr>
              <w:t> </w:t>
            </w:r>
            <w:r>
              <w:rPr>
                <w:sz w:val="20"/>
              </w:rPr>
              <w:t>P36.1,</w:t>
            </w:r>
            <w:r>
              <w:rPr>
                <w:spacing w:val="-6"/>
                <w:sz w:val="20"/>
              </w:rPr>
              <w:t> </w:t>
            </w:r>
            <w:r>
              <w:rPr>
                <w:spacing w:val="-2"/>
                <w:sz w:val="20"/>
              </w:rPr>
              <w:t>P36.2,</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542"/>
              <w:jc w:val="right"/>
              <w:rPr>
                <w:sz w:val="20"/>
              </w:rPr>
            </w:pPr>
            <w:r>
              <w:rPr>
                <w:sz w:val="20"/>
              </w:rPr>
              <w:t>P36.3,</w:t>
            </w:r>
            <w:r>
              <w:rPr>
                <w:spacing w:val="-6"/>
                <w:sz w:val="20"/>
              </w:rPr>
              <w:t> </w:t>
            </w:r>
            <w:r>
              <w:rPr>
                <w:sz w:val="20"/>
              </w:rPr>
              <w:t>P36.4,</w:t>
            </w:r>
            <w:r>
              <w:rPr>
                <w:spacing w:val="-6"/>
                <w:sz w:val="20"/>
              </w:rPr>
              <w:t> </w:t>
            </w:r>
            <w:r>
              <w:rPr>
                <w:spacing w:val="-2"/>
                <w:sz w:val="20"/>
              </w:rPr>
              <w:t>P36.5,</w:t>
            </w:r>
          </w:p>
        </w:tc>
        <w:tc>
          <w:tcPr>
            <w:tcW w:w="801" w:type="dxa"/>
            <w:vMerge/>
            <w:tcBorders>
              <w:top w:val="nil"/>
            </w:tcBorders>
          </w:tcPr>
          <w:p>
            <w:pPr>
              <w:rPr>
                <w:sz w:val="2"/>
                <w:szCs w:val="2"/>
              </w:rPr>
            </w:pPr>
          </w:p>
        </w:tc>
      </w:tr>
      <w:tr>
        <w:trPr>
          <w:trHeight w:val="225"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5" w:lineRule="exact"/>
              <w:ind w:left="1378"/>
              <w:rPr>
                <w:sz w:val="20"/>
              </w:rPr>
            </w:pPr>
            <w:r>
              <w:rPr>
                <w:sz w:val="20"/>
              </w:rPr>
              <w:t>P36.8,</w:t>
            </w:r>
            <w:r>
              <w:rPr>
                <w:spacing w:val="-6"/>
                <w:sz w:val="20"/>
              </w:rPr>
              <w:t> </w:t>
            </w:r>
            <w:r>
              <w:rPr>
                <w:spacing w:val="-2"/>
                <w:sz w:val="20"/>
              </w:rPr>
              <w:t>P36.9</w:t>
            </w:r>
          </w:p>
        </w:tc>
        <w:tc>
          <w:tcPr>
            <w:tcW w:w="801" w:type="dxa"/>
            <w:vMerge/>
            <w:tcBorders>
              <w:top w:val="nil"/>
            </w:tcBorders>
          </w:tcPr>
          <w:p>
            <w:pPr>
              <w:rPr>
                <w:sz w:val="2"/>
                <w:szCs w:val="2"/>
              </w:rPr>
            </w:pPr>
          </w:p>
        </w:tc>
      </w:tr>
    </w:tbl>
    <w:p>
      <w:pPr>
        <w:spacing w:after="0"/>
        <w:rPr>
          <w:sz w:val="2"/>
          <w:szCs w:val="2"/>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24"/>
        <w:gridCol w:w="5156"/>
        <w:gridCol w:w="1986"/>
        <w:gridCol w:w="3121"/>
        <w:gridCol w:w="864"/>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2524" w:type="dxa"/>
          </w:tcPr>
          <w:p>
            <w:pPr>
              <w:pStyle w:val="TableParagraph"/>
              <w:rPr>
                <w:sz w:val="18"/>
              </w:rPr>
            </w:pPr>
          </w:p>
        </w:tc>
        <w:tc>
          <w:tcPr>
            <w:tcW w:w="5156" w:type="dxa"/>
          </w:tcPr>
          <w:p>
            <w:pPr>
              <w:pStyle w:val="TableParagraph"/>
              <w:rPr>
                <w:sz w:val="18"/>
              </w:rPr>
            </w:pPr>
          </w:p>
        </w:tc>
        <w:tc>
          <w:tcPr>
            <w:tcW w:w="1986" w:type="dxa"/>
          </w:tcPr>
          <w:p>
            <w:pPr>
              <w:pStyle w:val="TableParagraph"/>
              <w:rPr>
                <w:sz w:val="18"/>
              </w:rPr>
            </w:pPr>
          </w:p>
        </w:tc>
        <w:tc>
          <w:tcPr>
            <w:tcW w:w="3121" w:type="dxa"/>
          </w:tcPr>
          <w:p>
            <w:pPr>
              <w:pStyle w:val="TableParagraph"/>
              <w:ind w:left="1017" w:right="458"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st12.008</w:t>
            </w:r>
          </w:p>
        </w:tc>
        <w:tc>
          <w:tcPr>
            <w:tcW w:w="657" w:type="dxa"/>
          </w:tcPr>
          <w:p>
            <w:pPr>
              <w:pStyle w:val="TableParagraph"/>
              <w:spacing w:line="215" w:lineRule="exact" w:before="45"/>
              <w:ind w:left="222" w:right="205"/>
              <w:jc w:val="center"/>
              <w:rPr>
                <w:sz w:val="20"/>
              </w:rPr>
            </w:pPr>
            <w:r>
              <w:rPr>
                <w:spacing w:val="-5"/>
                <w:sz w:val="20"/>
              </w:rPr>
              <w:t>65</w:t>
            </w:r>
          </w:p>
        </w:tc>
        <w:tc>
          <w:tcPr>
            <w:tcW w:w="2524" w:type="dxa"/>
          </w:tcPr>
          <w:p>
            <w:pPr>
              <w:pStyle w:val="TableParagraph"/>
              <w:spacing w:line="215" w:lineRule="exact" w:before="45"/>
              <w:ind w:left="217"/>
              <w:rPr>
                <w:sz w:val="20"/>
              </w:rPr>
            </w:pPr>
            <w:r>
              <w:rPr>
                <w:sz w:val="20"/>
              </w:rPr>
              <w:t>Другие</w:t>
            </w:r>
            <w:r>
              <w:rPr>
                <w:spacing w:val="-12"/>
                <w:sz w:val="20"/>
              </w:rPr>
              <w:t> </w:t>
            </w:r>
            <w:r>
              <w:rPr>
                <w:sz w:val="20"/>
              </w:rPr>
              <w:t>инфекционные</w:t>
            </w:r>
            <w:r>
              <w:rPr>
                <w:spacing w:val="-11"/>
                <w:sz w:val="20"/>
              </w:rPr>
              <w:t> </w:t>
            </w:r>
            <w:r>
              <w:rPr>
                <w:spacing w:val="-10"/>
                <w:sz w:val="20"/>
              </w:rPr>
              <w:t>и</w:t>
            </w:r>
          </w:p>
        </w:tc>
        <w:tc>
          <w:tcPr>
            <w:tcW w:w="5156" w:type="dxa"/>
          </w:tcPr>
          <w:p>
            <w:pPr>
              <w:pStyle w:val="TableParagraph"/>
              <w:spacing w:line="215" w:lineRule="exact" w:before="45"/>
              <w:ind w:left="461"/>
              <w:rPr>
                <w:sz w:val="20"/>
              </w:rPr>
            </w:pPr>
            <w:r>
              <w:rPr>
                <w:sz w:val="20"/>
              </w:rPr>
              <w:t>A05.1,</w:t>
            </w:r>
            <w:r>
              <w:rPr>
                <w:spacing w:val="-5"/>
                <w:sz w:val="20"/>
              </w:rPr>
              <w:t> </w:t>
            </w:r>
            <w:r>
              <w:rPr>
                <w:sz w:val="20"/>
              </w:rPr>
              <w:t>A20.0,</w:t>
            </w:r>
            <w:r>
              <w:rPr>
                <w:spacing w:val="-4"/>
                <w:sz w:val="20"/>
              </w:rPr>
              <w:t> </w:t>
            </w:r>
            <w:r>
              <w:rPr>
                <w:sz w:val="20"/>
              </w:rPr>
              <w:t>A20.1,</w:t>
            </w:r>
            <w:r>
              <w:rPr>
                <w:spacing w:val="-5"/>
                <w:sz w:val="20"/>
              </w:rPr>
              <w:t> </w:t>
            </w:r>
            <w:r>
              <w:rPr>
                <w:sz w:val="20"/>
              </w:rPr>
              <w:t>A20.2,</w:t>
            </w:r>
            <w:r>
              <w:rPr>
                <w:spacing w:val="-6"/>
                <w:sz w:val="20"/>
              </w:rPr>
              <w:t> </w:t>
            </w:r>
            <w:r>
              <w:rPr>
                <w:sz w:val="20"/>
              </w:rPr>
              <w:t>A20.3,</w:t>
            </w:r>
            <w:r>
              <w:rPr>
                <w:spacing w:val="-4"/>
                <w:sz w:val="20"/>
              </w:rPr>
              <w:t> </w:t>
            </w:r>
            <w:r>
              <w:rPr>
                <w:spacing w:val="-2"/>
                <w:sz w:val="20"/>
              </w:rPr>
              <w:t>A20.7,</w:t>
            </w:r>
          </w:p>
        </w:tc>
        <w:tc>
          <w:tcPr>
            <w:tcW w:w="1986" w:type="dxa"/>
          </w:tcPr>
          <w:p>
            <w:pPr>
              <w:pStyle w:val="TableParagraph"/>
              <w:spacing w:line="215" w:lineRule="exact" w:before="45"/>
              <w:ind w:right="93"/>
              <w:jc w:val="center"/>
              <w:rPr>
                <w:sz w:val="20"/>
              </w:rPr>
            </w:pPr>
            <w:r>
              <w:rPr>
                <w:w w:val="99"/>
                <w:sz w:val="20"/>
              </w:rPr>
              <w:t>-</w:t>
            </w:r>
          </w:p>
        </w:tc>
        <w:tc>
          <w:tcPr>
            <w:tcW w:w="3121" w:type="dxa"/>
          </w:tcPr>
          <w:p>
            <w:pPr>
              <w:pStyle w:val="TableParagraph"/>
              <w:spacing w:line="215" w:lineRule="exact" w:before="45"/>
              <w:ind w:left="991" w:right="458"/>
              <w:jc w:val="center"/>
              <w:rPr>
                <w:sz w:val="20"/>
              </w:rPr>
            </w:pPr>
            <w:r>
              <w:rPr>
                <w:sz w:val="20"/>
              </w:rPr>
              <w:t>Возрастная</w:t>
            </w:r>
            <w:r>
              <w:rPr>
                <w:spacing w:val="-10"/>
                <w:sz w:val="20"/>
              </w:rPr>
              <w:t> </w:t>
            </w:r>
            <w:r>
              <w:rPr>
                <w:spacing w:val="-2"/>
                <w:sz w:val="20"/>
              </w:rPr>
              <w:t>группа:</w:t>
            </w:r>
          </w:p>
        </w:tc>
        <w:tc>
          <w:tcPr>
            <w:tcW w:w="864" w:type="dxa"/>
          </w:tcPr>
          <w:p>
            <w:pPr>
              <w:pStyle w:val="TableParagraph"/>
              <w:spacing w:line="215" w:lineRule="exact" w:before="45"/>
              <w:ind w:left="457"/>
              <w:rPr>
                <w:sz w:val="20"/>
              </w:rPr>
            </w:pPr>
            <w:r>
              <w:rPr>
                <w:spacing w:val="-4"/>
                <w:sz w:val="20"/>
              </w:rPr>
              <w:t>1,18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spacing w:line="210" w:lineRule="exact"/>
              <w:ind w:left="217"/>
              <w:rPr>
                <w:sz w:val="20"/>
              </w:rPr>
            </w:pPr>
            <w:r>
              <w:rPr>
                <w:spacing w:val="-2"/>
                <w:sz w:val="20"/>
              </w:rPr>
              <w:t>паразитарные</w:t>
            </w:r>
            <w:r>
              <w:rPr>
                <w:spacing w:val="10"/>
                <w:sz w:val="20"/>
              </w:rPr>
              <w:t> </w:t>
            </w:r>
            <w:r>
              <w:rPr>
                <w:spacing w:val="-2"/>
                <w:sz w:val="20"/>
              </w:rPr>
              <w:t>болезни,</w:t>
            </w:r>
          </w:p>
        </w:tc>
        <w:tc>
          <w:tcPr>
            <w:tcW w:w="5156" w:type="dxa"/>
          </w:tcPr>
          <w:p>
            <w:pPr>
              <w:pStyle w:val="TableParagraph"/>
              <w:spacing w:line="210" w:lineRule="exact"/>
              <w:ind w:left="461"/>
              <w:rPr>
                <w:sz w:val="20"/>
              </w:rPr>
            </w:pPr>
            <w:r>
              <w:rPr>
                <w:sz w:val="20"/>
              </w:rPr>
              <w:t>A20.8,</w:t>
            </w:r>
            <w:r>
              <w:rPr>
                <w:spacing w:val="-5"/>
                <w:sz w:val="20"/>
              </w:rPr>
              <w:t> </w:t>
            </w:r>
            <w:r>
              <w:rPr>
                <w:sz w:val="20"/>
              </w:rPr>
              <w:t>A20.9,</w:t>
            </w:r>
            <w:r>
              <w:rPr>
                <w:spacing w:val="-5"/>
                <w:sz w:val="20"/>
              </w:rPr>
              <w:t> </w:t>
            </w:r>
            <w:r>
              <w:rPr>
                <w:sz w:val="20"/>
              </w:rPr>
              <w:t>A21.0,</w:t>
            </w:r>
            <w:r>
              <w:rPr>
                <w:spacing w:val="-5"/>
                <w:sz w:val="20"/>
              </w:rPr>
              <w:t> </w:t>
            </w:r>
            <w:r>
              <w:rPr>
                <w:sz w:val="20"/>
              </w:rPr>
              <w:t>A21.1,</w:t>
            </w:r>
            <w:r>
              <w:rPr>
                <w:spacing w:val="-7"/>
                <w:sz w:val="20"/>
              </w:rPr>
              <w:t> </w:t>
            </w:r>
            <w:r>
              <w:rPr>
                <w:sz w:val="20"/>
              </w:rPr>
              <w:t>A21.2,</w:t>
            </w:r>
            <w:r>
              <w:rPr>
                <w:spacing w:val="-6"/>
                <w:sz w:val="20"/>
              </w:rPr>
              <w:t> </w:t>
            </w:r>
            <w:r>
              <w:rPr>
                <w:spacing w:val="-2"/>
                <w:sz w:val="20"/>
              </w:rPr>
              <w:t>A21.3,</w:t>
            </w:r>
          </w:p>
        </w:tc>
        <w:tc>
          <w:tcPr>
            <w:tcW w:w="1986" w:type="dxa"/>
          </w:tcPr>
          <w:p>
            <w:pPr>
              <w:pStyle w:val="TableParagraph"/>
              <w:rPr>
                <w:sz w:val="16"/>
              </w:rPr>
            </w:pPr>
          </w:p>
        </w:tc>
        <w:tc>
          <w:tcPr>
            <w:tcW w:w="3121" w:type="dxa"/>
          </w:tcPr>
          <w:p>
            <w:pPr>
              <w:pStyle w:val="TableParagraph"/>
              <w:spacing w:line="210" w:lineRule="exact"/>
              <w:ind w:left="991" w:right="457"/>
              <w:jc w:val="center"/>
              <w:rPr>
                <w:sz w:val="20"/>
              </w:rPr>
            </w:pPr>
            <w:r>
              <w:rPr>
                <w:sz w:val="20"/>
              </w:rPr>
              <w:t>старше</w:t>
            </w:r>
            <w:r>
              <w:rPr>
                <w:spacing w:val="-2"/>
                <w:sz w:val="20"/>
              </w:rPr>
              <w:t> </w:t>
            </w:r>
            <w:r>
              <w:rPr>
                <w:sz w:val="20"/>
              </w:rPr>
              <w:t>18</w:t>
            </w:r>
            <w:r>
              <w:rPr>
                <w:spacing w:val="-2"/>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spacing w:line="210" w:lineRule="exact"/>
              <w:ind w:left="217"/>
              <w:rPr>
                <w:sz w:val="20"/>
              </w:rPr>
            </w:pPr>
            <w:r>
              <w:rPr>
                <w:spacing w:val="-2"/>
                <w:sz w:val="20"/>
              </w:rPr>
              <w:t>взрослые</w:t>
            </w:r>
          </w:p>
        </w:tc>
        <w:tc>
          <w:tcPr>
            <w:tcW w:w="5156" w:type="dxa"/>
          </w:tcPr>
          <w:p>
            <w:pPr>
              <w:pStyle w:val="TableParagraph"/>
              <w:spacing w:line="210" w:lineRule="exact"/>
              <w:ind w:left="461"/>
              <w:rPr>
                <w:sz w:val="20"/>
              </w:rPr>
            </w:pPr>
            <w:r>
              <w:rPr>
                <w:sz w:val="20"/>
              </w:rPr>
              <w:t>A21.7,</w:t>
            </w:r>
            <w:r>
              <w:rPr>
                <w:spacing w:val="-6"/>
                <w:sz w:val="20"/>
              </w:rPr>
              <w:t> </w:t>
            </w:r>
            <w:r>
              <w:rPr>
                <w:sz w:val="20"/>
              </w:rPr>
              <w:t>A21.8,</w:t>
            </w:r>
            <w:r>
              <w:rPr>
                <w:spacing w:val="-5"/>
                <w:sz w:val="20"/>
              </w:rPr>
              <w:t> </w:t>
            </w:r>
            <w:r>
              <w:rPr>
                <w:sz w:val="20"/>
              </w:rPr>
              <w:t>A21.9,</w:t>
            </w:r>
            <w:r>
              <w:rPr>
                <w:spacing w:val="-6"/>
                <w:sz w:val="20"/>
              </w:rPr>
              <w:t> </w:t>
            </w:r>
            <w:r>
              <w:rPr>
                <w:sz w:val="20"/>
              </w:rPr>
              <w:t>A22.0,</w:t>
            </w:r>
            <w:r>
              <w:rPr>
                <w:spacing w:val="-7"/>
                <w:sz w:val="20"/>
              </w:rPr>
              <w:t> </w:t>
            </w:r>
            <w:r>
              <w:rPr>
                <w:sz w:val="20"/>
              </w:rPr>
              <w:t>A22.1,</w:t>
            </w:r>
            <w:r>
              <w:rPr>
                <w:spacing w:val="-6"/>
                <w:sz w:val="20"/>
              </w:rPr>
              <w:t> </w:t>
            </w:r>
            <w:r>
              <w:rPr>
                <w:spacing w:val="-2"/>
                <w:sz w:val="20"/>
              </w:rPr>
              <w:t>A22.2,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A22.7,</w:t>
            </w:r>
            <w:r>
              <w:rPr>
                <w:spacing w:val="-6"/>
                <w:sz w:val="20"/>
              </w:rPr>
              <w:t> </w:t>
            </w:r>
            <w:r>
              <w:rPr>
                <w:sz w:val="20"/>
              </w:rPr>
              <w:t>A22.8,</w:t>
            </w:r>
            <w:r>
              <w:rPr>
                <w:spacing w:val="-5"/>
                <w:sz w:val="20"/>
              </w:rPr>
              <w:t> </w:t>
            </w:r>
            <w:r>
              <w:rPr>
                <w:sz w:val="20"/>
              </w:rPr>
              <w:t>A22.9,</w:t>
            </w:r>
            <w:r>
              <w:rPr>
                <w:spacing w:val="-6"/>
                <w:sz w:val="20"/>
              </w:rPr>
              <w:t> </w:t>
            </w:r>
            <w:r>
              <w:rPr>
                <w:sz w:val="20"/>
              </w:rPr>
              <w:t>A23.0,</w:t>
            </w:r>
            <w:r>
              <w:rPr>
                <w:spacing w:val="-7"/>
                <w:sz w:val="20"/>
              </w:rPr>
              <w:t> </w:t>
            </w:r>
            <w:r>
              <w:rPr>
                <w:sz w:val="20"/>
              </w:rPr>
              <w:t>A23.1,</w:t>
            </w:r>
            <w:r>
              <w:rPr>
                <w:spacing w:val="-6"/>
                <w:sz w:val="20"/>
              </w:rPr>
              <w:t> </w:t>
            </w:r>
            <w:r>
              <w:rPr>
                <w:spacing w:val="-2"/>
                <w:sz w:val="20"/>
              </w:rPr>
              <w:t>A23.2,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A23.3,</w:t>
            </w:r>
            <w:r>
              <w:rPr>
                <w:spacing w:val="-5"/>
                <w:sz w:val="20"/>
              </w:rPr>
              <w:t> </w:t>
            </w:r>
            <w:r>
              <w:rPr>
                <w:sz w:val="20"/>
              </w:rPr>
              <w:t>A23.8,</w:t>
            </w:r>
            <w:r>
              <w:rPr>
                <w:spacing w:val="-5"/>
                <w:sz w:val="20"/>
              </w:rPr>
              <w:t> </w:t>
            </w:r>
            <w:r>
              <w:rPr>
                <w:sz w:val="20"/>
              </w:rPr>
              <w:t>A23.9,</w:t>
            </w:r>
            <w:r>
              <w:rPr>
                <w:spacing w:val="-5"/>
                <w:sz w:val="20"/>
              </w:rPr>
              <w:t> </w:t>
            </w:r>
            <w:r>
              <w:rPr>
                <w:sz w:val="20"/>
              </w:rPr>
              <w:t>A24.0,</w:t>
            </w:r>
            <w:r>
              <w:rPr>
                <w:spacing w:val="-6"/>
                <w:sz w:val="20"/>
              </w:rPr>
              <w:t> </w:t>
            </w:r>
            <w:r>
              <w:rPr>
                <w:sz w:val="20"/>
              </w:rPr>
              <w:t>A24.1,</w:t>
            </w:r>
            <w:r>
              <w:rPr>
                <w:spacing w:val="-5"/>
                <w:sz w:val="20"/>
              </w:rPr>
              <w:t> </w:t>
            </w:r>
            <w:r>
              <w:rPr>
                <w:spacing w:val="-2"/>
                <w:sz w:val="20"/>
              </w:rPr>
              <w:t>A24.2,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1" w:lineRule="exact"/>
              <w:ind w:left="461"/>
              <w:rPr>
                <w:sz w:val="20"/>
              </w:rPr>
            </w:pPr>
            <w:r>
              <w:rPr>
                <w:sz w:val="20"/>
              </w:rPr>
              <w:t>A24.3,</w:t>
            </w:r>
            <w:r>
              <w:rPr>
                <w:spacing w:val="-6"/>
                <w:sz w:val="20"/>
              </w:rPr>
              <w:t> </w:t>
            </w:r>
            <w:r>
              <w:rPr>
                <w:sz w:val="20"/>
              </w:rPr>
              <w:t>A24.4,</w:t>
            </w:r>
            <w:r>
              <w:rPr>
                <w:spacing w:val="-5"/>
                <w:sz w:val="20"/>
              </w:rPr>
              <w:t> </w:t>
            </w:r>
            <w:r>
              <w:rPr>
                <w:sz w:val="20"/>
              </w:rPr>
              <w:t>A25.0,</w:t>
            </w:r>
            <w:r>
              <w:rPr>
                <w:spacing w:val="-6"/>
                <w:sz w:val="20"/>
              </w:rPr>
              <w:t> </w:t>
            </w:r>
            <w:r>
              <w:rPr>
                <w:sz w:val="20"/>
              </w:rPr>
              <w:t>A25.1,</w:t>
            </w:r>
            <w:r>
              <w:rPr>
                <w:spacing w:val="-7"/>
                <w:sz w:val="20"/>
              </w:rPr>
              <w:t> </w:t>
            </w:r>
            <w:r>
              <w:rPr>
                <w:sz w:val="20"/>
              </w:rPr>
              <w:t>A25.9,</w:t>
            </w:r>
            <w:r>
              <w:rPr>
                <w:spacing w:val="-6"/>
                <w:sz w:val="20"/>
              </w:rPr>
              <w:t> </w:t>
            </w:r>
            <w:r>
              <w:rPr>
                <w:spacing w:val="-2"/>
                <w:sz w:val="20"/>
              </w:rPr>
              <w:t>A27.0,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A27.8,</w:t>
            </w:r>
            <w:r>
              <w:rPr>
                <w:spacing w:val="-6"/>
                <w:sz w:val="20"/>
              </w:rPr>
              <w:t> </w:t>
            </w:r>
            <w:r>
              <w:rPr>
                <w:sz w:val="20"/>
              </w:rPr>
              <w:t>A27.9,</w:t>
            </w:r>
            <w:r>
              <w:rPr>
                <w:spacing w:val="-6"/>
                <w:sz w:val="20"/>
              </w:rPr>
              <w:t> </w:t>
            </w:r>
            <w:r>
              <w:rPr>
                <w:sz w:val="20"/>
              </w:rPr>
              <w:t>A28,</w:t>
            </w:r>
            <w:r>
              <w:rPr>
                <w:spacing w:val="-6"/>
                <w:sz w:val="20"/>
              </w:rPr>
              <w:t> </w:t>
            </w:r>
            <w:r>
              <w:rPr>
                <w:sz w:val="20"/>
              </w:rPr>
              <w:t>A28.0,</w:t>
            </w:r>
            <w:r>
              <w:rPr>
                <w:spacing w:val="-6"/>
                <w:sz w:val="20"/>
              </w:rPr>
              <w:t> </w:t>
            </w:r>
            <w:r>
              <w:rPr>
                <w:sz w:val="20"/>
              </w:rPr>
              <w:t>A28.1,</w:t>
            </w:r>
            <w:r>
              <w:rPr>
                <w:spacing w:val="-6"/>
                <w:sz w:val="20"/>
              </w:rPr>
              <w:t> </w:t>
            </w:r>
            <w:r>
              <w:rPr>
                <w:sz w:val="20"/>
              </w:rPr>
              <w:t>A28.2,</w:t>
            </w:r>
            <w:r>
              <w:rPr>
                <w:spacing w:val="-6"/>
                <w:sz w:val="20"/>
              </w:rPr>
              <w:t> </w:t>
            </w:r>
            <w:r>
              <w:rPr>
                <w:spacing w:val="-2"/>
                <w:sz w:val="20"/>
              </w:rPr>
              <w:t>A28.8,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A28.9,</w:t>
            </w:r>
            <w:r>
              <w:rPr>
                <w:spacing w:val="-6"/>
                <w:sz w:val="20"/>
              </w:rPr>
              <w:t> </w:t>
            </w:r>
            <w:r>
              <w:rPr>
                <w:sz w:val="20"/>
              </w:rPr>
              <w:t>A30.0,</w:t>
            </w:r>
            <w:r>
              <w:rPr>
                <w:spacing w:val="-5"/>
                <w:sz w:val="20"/>
              </w:rPr>
              <w:t> </w:t>
            </w:r>
            <w:r>
              <w:rPr>
                <w:sz w:val="20"/>
              </w:rPr>
              <w:t>A30.1,</w:t>
            </w:r>
            <w:r>
              <w:rPr>
                <w:spacing w:val="-6"/>
                <w:sz w:val="20"/>
              </w:rPr>
              <w:t> </w:t>
            </w:r>
            <w:r>
              <w:rPr>
                <w:sz w:val="20"/>
              </w:rPr>
              <w:t>A30.2,</w:t>
            </w:r>
            <w:r>
              <w:rPr>
                <w:spacing w:val="-7"/>
                <w:sz w:val="20"/>
              </w:rPr>
              <w:t> </w:t>
            </w:r>
            <w:r>
              <w:rPr>
                <w:sz w:val="20"/>
              </w:rPr>
              <w:t>A30.3,</w:t>
            </w:r>
            <w:r>
              <w:rPr>
                <w:spacing w:val="-6"/>
                <w:sz w:val="20"/>
              </w:rPr>
              <w:t> </w:t>
            </w:r>
            <w:r>
              <w:rPr>
                <w:spacing w:val="-2"/>
                <w:sz w:val="20"/>
              </w:rPr>
              <w:t>A30.4,</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A30.5,</w:t>
            </w:r>
            <w:r>
              <w:rPr>
                <w:spacing w:val="-6"/>
                <w:sz w:val="20"/>
              </w:rPr>
              <w:t> </w:t>
            </w:r>
            <w:r>
              <w:rPr>
                <w:sz w:val="20"/>
              </w:rPr>
              <w:t>A30.8,</w:t>
            </w:r>
            <w:r>
              <w:rPr>
                <w:spacing w:val="-5"/>
                <w:sz w:val="20"/>
              </w:rPr>
              <w:t> </w:t>
            </w:r>
            <w:r>
              <w:rPr>
                <w:sz w:val="20"/>
              </w:rPr>
              <w:t>A30.9,</w:t>
            </w:r>
            <w:r>
              <w:rPr>
                <w:spacing w:val="-6"/>
                <w:sz w:val="20"/>
              </w:rPr>
              <w:t> </w:t>
            </w:r>
            <w:r>
              <w:rPr>
                <w:sz w:val="20"/>
              </w:rPr>
              <w:t>A31.0,</w:t>
            </w:r>
            <w:r>
              <w:rPr>
                <w:spacing w:val="-7"/>
                <w:sz w:val="20"/>
              </w:rPr>
              <w:t> </w:t>
            </w:r>
            <w:r>
              <w:rPr>
                <w:sz w:val="20"/>
              </w:rPr>
              <w:t>A31.1,</w:t>
            </w:r>
            <w:r>
              <w:rPr>
                <w:spacing w:val="-6"/>
                <w:sz w:val="20"/>
              </w:rPr>
              <w:t> </w:t>
            </w:r>
            <w:r>
              <w:rPr>
                <w:spacing w:val="-2"/>
                <w:sz w:val="20"/>
              </w:rPr>
              <w:t>A31.8,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A31.9,</w:t>
            </w:r>
            <w:r>
              <w:rPr>
                <w:spacing w:val="-6"/>
                <w:sz w:val="20"/>
              </w:rPr>
              <w:t> </w:t>
            </w:r>
            <w:r>
              <w:rPr>
                <w:sz w:val="20"/>
              </w:rPr>
              <w:t>A32.0,</w:t>
            </w:r>
            <w:r>
              <w:rPr>
                <w:spacing w:val="-5"/>
                <w:sz w:val="20"/>
              </w:rPr>
              <w:t> </w:t>
            </w:r>
            <w:r>
              <w:rPr>
                <w:sz w:val="20"/>
              </w:rPr>
              <w:t>A32.1,</w:t>
            </w:r>
            <w:r>
              <w:rPr>
                <w:spacing w:val="-6"/>
                <w:sz w:val="20"/>
              </w:rPr>
              <w:t> </w:t>
            </w:r>
            <w:r>
              <w:rPr>
                <w:sz w:val="20"/>
              </w:rPr>
              <w:t>A32.8,</w:t>
            </w:r>
            <w:r>
              <w:rPr>
                <w:spacing w:val="-7"/>
                <w:sz w:val="20"/>
              </w:rPr>
              <w:t> </w:t>
            </w:r>
            <w:r>
              <w:rPr>
                <w:sz w:val="20"/>
              </w:rPr>
              <w:t>A32.9,</w:t>
            </w:r>
            <w:r>
              <w:rPr>
                <w:spacing w:val="-5"/>
                <w:sz w:val="20"/>
              </w:rPr>
              <w:t> </w:t>
            </w:r>
            <w:r>
              <w:rPr>
                <w:sz w:val="20"/>
              </w:rPr>
              <w:t>A35,</w:t>
            </w:r>
            <w:r>
              <w:rPr>
                <w:spacing w:val="-6"/>
                <w:sz w:val="20"/>
              </w:rPr>
              <w:t> </w:t>
            </w:r>
            <w:r>
              <w:rPr>
                <w:spacing w:val="-2"/>
                <w:sz w:val="20"/>
              </w:rPr>
              <w:t>A36.0,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A36.1,</w:t>
            </w:r>
            <w:r>
              <w:rPr>
                <w:spacing w:val="-6"/>
                <w:sz w:val="20"/>
              </w:rPr>
              <w:t> </w:t>
            </w:r>
            <w:r>
              <w:rPr>
                <w:sz w:val="20"/>
              </w:rPr>
              <w:t>A36.2,</w:t>
            </w:r>
            <w:r>
              <w:rPr>
                <w:spacing w:val="-5"/>
                <w:sz w:val="20"/>
              </w:rPr>
              <w:t> </w:t>
            </w:r>
            <w:r>
              <w:rPr>
                <w:sz w:val="20"/>
              </w:rPr>
              <w:t>A36.3,</w:t>
            </w:r>
            <w:r>
              <w:rPr>
                <w:spacing w:val="-2"/>
                <w:sz w:val="20"/>
              </w:rPr>
              <w:t> </w:t>
            </w:r>
            <w:r>
              <w:rPr>
                <w:sz w:val="20"/>
              </w:rPr>
              <w:t>A36.8,</w:t>
            </w:r>
            <w:r>
              <w:rPr>
                <w:spacing w:val="-7"/>
                <w:sz w:val="20"/>
              </w:rPr>
              <w:t> </w:t>
            </w:r>
            <w:r>
              <w:rPr>
                <w:sz w:val="20"/>
              </w:rPr>
              <w:t>A36.9,</w:t>
            </w:r>
            <w:r>
              <w:rPr>
                <w:spacing w:val="-6"/>
                <w:sz w:val="20"/>
              </w:rPr>
              <w:t> </w:t>
            </w:r>
            <w:r>
              <w:rPr>
                <w:spacing w:val="-2"/>
                <w:sz w:val="20"/>
              </w:rPr>
              <w:t>A37.0,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A39.3,</w:t>
            </w:r>
            <w:r>
              <w:rPr>
                <w:spacing w:val="-6"/>
                <w:sz w:val="20"/>
              </w:rPr>
              <w:t> </w:t>
            </w:r>
            <w:r>
              <w:rPr>
                <w:spacing w:val="-2"/>
                <w:sz w:val="20"/>
              </w:rPr>
              <w:t>A39.5,</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A39.8,</w:t>
            </w:r>
            <w:r>
              <w:rPr>
                <w:spacing w:val="-6"/>
                <w:sz w:val="20"/>
              </w:rPr>
              <w:t> </w:t>
            </w:r>
            <w:r>
              <w:rPr>
                <w:sz w:val="20"/>
              </w:rPr>
              <w:t>A39.9,</w:t>
            </w:r>
            <w:r>
              <w:rPr>
                <w:spacing w:val="-5"/>
                <w:sz w:val="20"/>
              </w:rPr>
              <w:t> </w:t>
            </w:r>
            <w:r>
              <w:rPr>
                <w:sz w:val="20"/>
              </w:rPr>
              <w:t>A42.0,</w:t>
            </w:r>
            <w:r>
              <w:rPr>
                <w:spacing w:val="-6"/>
                <w:sz w:val="20"/>
              </w:rPr>
              <w:t> </w:t>
            </w:r>
            <w:r>
              <w:rPr>
                <w:sz w:val="20"/>
              </w:rPr>
              <w:t>A42.1,</w:t>
            </w:r>
            <w:r>
              <w:rPr>
                <w:spacing w:val="-7"/>
                <w:sz w:val="20"/>
              </w:rPr>
              <w:t> </w:t>
            </w:r>
            <w:r>
              <w:rPr>
                <w:sz w:val="20"/>
              </w:rPr>
              <w:t>A42.2,</w:t>
            </w:r>
            <w:r>
              <w:rPr>
                <w:spacing w:val="-6"/>
                <w:sz w:val="20"/>
              </w:rPr>
              <w:t> </w:t>
            </w:r>
            <w:r>
              <w:rPr>
                <w:spacing w:val="-2"/>
                <w:sz w:val="20"/>
              </w:rPr>
              <w:t>A42.7,</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A42.8,</w:t>
            </w:r>
            <w:r>
              <w:rPr>
                <w:spacing w:val="-6"/>
                <w:sz w:val="20"/>
              </w:rPr>
              <w:t> </w:t>
            </w:r>
            <w:r>
              <w:rPr>
                <w:sz w:val="20"/>
              </w:rPr>
              <w:t>A42.9,</w:t>
            </w:r>
            <w:r>
              <w:rPr>
                <w:spacing w:val="-5"/>
                <w:sz w:val="20"/>
              </w:rPr>
              <w:t> </w:t>
            </w:r>
            <w:r>
              <w:rPr>
                <w:sz w:val="20"/>
              </w:rPr>
              <w:t>A43.0,</w:t>
            </w:r>
            <w:r>
              <w:rPr>
                <w:spacing w:val="-6"/>
                <w:sz w:val="20"/>
              </w:rPr>
              <w:t> </w:t>
            </w:r>
            <w:r>
              <w:rPr>
                <w:sz w:val="20"/>
              </w:rPr>
              <w:t>A43.1,</w:t>
            </w:r>
            <w:r>
              <w:rPr>
                <w:spacing w:val="-7"/>
                <w:sz w:val="20"/>
              </w:rPr>
              <w:t> </w:t>
            </w:r>
            <w:r>
              <w:rPr>
                <w:sz w:val="20"/>
              </w:rPr>
              <w:t>A43.8,</w:t>
            </w:r>
            <w:r>
              <w:rPr>
                <w:spacing w:val="-6"/>
                <w:sz w:val="20"/>
              </w:rPr>
              <w:t> </w:t>
            </w:r>
            <w:r>
              <w:rPr>
                <w:spacing w:val="-2"/>
                <w:sz w:val="20"/>
              </w:rPr>
              <w:t>A43.9,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A44.0,</w:t>
            </w:r>
            <w:r>
              <w:rPr>
                <w:spacing w:val="-6"/>
                <w:sz w:val="20"/>
              </w:rPr>
              <w:t> </w:t>
            </w:r>
            <w:r>
              <w:rPr>
                <w:sz w:val="20"/>
              </w:rPr>
              <w:t>A44.1,</w:t>
            </w:r>
            <w:r>
              <w:rPr>
                <w:spacing w:val="-5"/>
                <w:sz w:val="20"/>
              </w:rPr>
              <w:t> </w:t>
            </w:r>
            <w:r>
              <w:rPr>
                <w:sz w:val="20"/>
              </w:rPr>
              <w:t>A44.8,</w:t>
            </w:r>
            <w:r>
              <w:rPr>
                <w:spacing w:val="-6"/>
                <w:sz w:val="20"/>
              </w:rPr>
              <w:t> </w:t>
            </w:r>
            <w:r>
              <w:rPr>
                <w:sz w:val="20"/>
              </w:rPr>
              <w:t>A44.9,</w:t>
            </w:r>
            <w:r>
              <w:rPr>
                <w:spacing w:val="-7"/>
                <w:sz w:val="20"/>
              </w:rPr>
              <w:t> </w:t>
            </w:r>
            <w:r>
              <w:rPr>
                <w:sz w:val="20"/>
              </w:rPr>
              <w:t>A46,</w:t>
            </w:r>
            <w:r>
              <w:rPr>
                <w:spacing w:val="-5"/>
                <w:sz w:val="20"/>
              </w:rPr>
              <w:t> </w:t>
            </w:r>
            <w:r>
              <w:rPr>
                <w:sz w:val="20"/>
              </w:rPr>
              <w:t>A48.1,</w:t>
            </w:r>
            <w:r>
              <w:rPr>
                <w:spacing w:val="-6"/>
                <w:sz w:val="20"/>
              </w:rPr>
              <w:t> </w:t>
            </w:r>
            <w:r>
              <w:rPr>
                <w:spacing w:val="-2"/>
                <w:sz w:val="20"/>
              </w:rPr>
              <w:t>A48.2,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A49.8,</w:t>
            </w:r>
            <w:r>
              <w:rPr>
                <w:spacing w:val="-6"/>
                <w:sz w:val="20"/>
              </w:rPr>
              <w:t> </w:t>
            </w:r>
            <w:r>
              <w:rPr>
                <w:sz w:val="20"/>
              </w:rPr>
              <w:t>A49.9,</w:t>
            </w:r>
            <w:r>
              <w:rPr>
                <w:spacing w:val="-4"/>
                <w:sz w:val="20"/>
              </w:rPr>
              <w:t> </w:t>
            </w:r>
            <w:r>
              <w:rPr>
                <w:sz w:val="20"/>
              </w:rPr>
              <w:t>A68.0,</w:t>
            </w:r>
            <w:r>
              <w:rPr>
                <w:spacing w:val="-5"/>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A74.8,</w:t>
            </w:r>
            <w:r>
              <w:rPr>
                <w:spacing w:val="-6"/>
                <w:sz w:val="20"/>
              </w:rPr>
              <w:t> </w:t>
            </w:r>
            <w:r>
              <w:rPr>
                <w:sz w:val="20"/>
              </w:rPr>
              <w:t>A74.9,</w:t>
            </w:r>
            <w:r>
              <w:rPr>
                <w:spacing w:val="-6"/>
                <w:sz w:val="20"/>
              </w:rPr>
              <w:t> </w:t>
            </w:r>
            <w:r>
              <w:rPr>
                <w:sz w:val="20"/>
              </w:rPr>
              <w:t>A75,</w:t>
            </w:r>
            <w:r>
              <w:rPr>
                <w:spacing w:val="-6"/>
                <w:sz w:val="20"/>
              </w:rPr>
              <w:t> </w:t>
            </w:r>
            <w:r>
              <w:rPr>
                <w:sz w:val="20"/>
              </w:rPr>
              <w:t>A75.0,</w:t>
            </w:r>
            <w:r>
              <w:rPr>
                <w:spacing w:val="-6"/>
                <w:sz w:val="20"/>
              </w:rPr>
              <w:t> </w:t>
            </w:r>
            <w:r>
              <w:rPr>
                <w:sz w:val="20"/>
              </w:rPr>
              <w:t>A75.1,</w:t>
            </w:r>
            <w:r>
              <w:rPr>
                <w:spacing w:val="-6"/>
                <w:sz w:val="20"/>
              </w:rPr>
              <w:t> </w:t>
            </w:r>
            <w:r>
              <w:rPr>
                <w:sz w:val="20"/>
              </w:rPr>
              <w:t>A75.2,</w:t>
            </w:r>
            <w:r>
              <w:rPr>
                <w:spacing w:val="-6"/>
                <w:sz w:val="20"/>
              </w:rPr>
              <w:t> </w:t>
            </w:r>
            <w:r>
              <w:rPr>
                <w:spacing w:val="-2"/>
                <w:sz w:val="20"/>
              </w:rPr>
              <w:t>A75.3,</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A75.9,</w:t>
            </w:r>
            <w:r>
              <w:rPr>
                <w:spacing w:val="-6"/>
                <w:sz w:val="20"/>
              </w:rPr>
              <w:t> </w:t>
            </w:r>
            <w:r>
              <w:rPr>
                <w:sz w:val="20"/>
              </w:rPr>
              <w:t>A77,</w:t>
            </w:r>
            <w:r>
              <w:rPr>
                <w:spacing w:val="-6"/>
                <w:sz w:val="20"/>
              </w:rPr>
              <w:t> </w:t>
            </w:r>
            <w:r>
              <w:rPr>
                <w:sz w:val="20"/>
              </w:rPr>
              <w:t>A77.0,</w:t>
            </w:r>
            <w:r>
              <w:rPr>
                <w:spacing w:val="-6"/>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314"/>
              <w:rPr>
                <w:sz w:val="20"/>
              </w:rPr>
            </w:pPr>
            <w:r>
              <w:rPr>
                <w:sz w:val="20"/>
              </w:rPr>
              <w:t>A81,</w:t>
            </w:r>
            <w:r>
              <w:rPr>
                <w:spacing w:val="-5"/>
                <w:sz w:val="20"/>
              </w:rPr>
              <w:t> </w:t>
            </w:r>
            <w:r>
              <w:rPr>
                <w:sz w:val="20"/>
              </w:rPr>
              <w:t>A81.0,</w:t>
            </w:r>
            <w:r>
              <w:rPr>
                <w:spacing w:val="-5"/>
                <w:sz w:val="20"/>
              </w:rPr>
              <w:t> </w:t>
            </w:r>
            <w:r>
              <w:rPr>
                <w:sz w:val="20"/>
              </w:rPr>
              <w:t>A81.1,</w:t>
            </w:r>
            <w:r>
              <w:rPr>
                <w:spacing w:val="-5"/>
                <w:sz w:val="20"/>
              </w:rPr>
              <w:t> </w:t>
            </w:r>
            <w:r>
              <w:rPr>
                <w:sz w:val="20"/>
              </w:rPr>
              <w:t>A81.2,</w:t>
            </w:r>
            <w:r>
              <w:rPr>
                <w:spacing w:val="-5"/>
                <w:sz w:val="20"/>
              </w:rPr>
              <w:t> </w:t>
            </w:r>
            <w:r>
              <w:rPr>
                <w:sz w:val="20"/>
              </w:rPr>
              <w:t>A81.8,</w:t>
            </w:r>
            <w:r>
              <w:rPr>
                <w:spacing w:val="-5"/>
                <w:sz w:val="20"/>
              </w:rPr>
              <w:t> </w:t>
            </w:r>
            <w:r>
              <w:rPr>
                <w:sz w:val="20"/>
              </w:rPr>
              <w:t>A81.9,</w:t>
            </w:r>
            <w:r>
              <w:rPr>
                <w:spacing w:val="-5"/>
                <w:sz w:val="20"/>
              </w:rPr>
              <w:t> </w:t>
            </w:r>
            <w:r>
              <w:rPr>
                <w:spacing w:val="-4"/>
                <w:sz w:val="20"/>
              </w:rPr>
              <w:t>A82,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A83.3,</w:t>
            </w:r>
            <w:r>
              <w:rPr>
                <w:spacing w:val="-6"/>
                <w:sz w:val="20"/>
              </w:rPr>
              <w:t> </w:t>
            </w:r>
            <w:r>
              <w:rPr>
                <w:sz w:val="20"/>
              </w:rPr>
              <w:t>A83.4,</w:t>
            </w:r>
            <w:r>
              <w:rPr>
                <w:spacing w:val="-5"/>
                <w:sz w:val="20"/>
              </w:rPr>
              <w:t> </w:t>
            </w:r>
            <w:r>
              <w:rPr>
                <w:sz w:val="20"/>
              </w:rPr>
              <w:t>A83.5,</w:t>
            </w:r>
            <w:r>
              <w:rPr>
                <w:spacing w:val="-6"/>
                <w:sz w:val="20"/>
              </w:rPr>
              <w:t> </w:t>
            </w:r>
            <w:r>
              <w:rPr>
                <w:sz w:val="20"/>
              </w:rPr>
              <w:t>A83.6,</w:t>
            </w:r>
            <w:r>
              <w:rPr>
                <w:spacing w:val="-7"/>
                <w:sz w:val="20"/>
              </w:rPr>
              <w:t> </w:t>
            </w:r>
            <w:r>
              <w:rPr>
                <w:sz w:val="20"/>
              </w:rPr>
              <w:t>A83.8,</w:t>
            </w:r>
            <w:r>
              <w:rPr>
                <w:spacing w:val="-6"/>
                <w:sz w:val="20"/>
              </w:rPr>
              <w:t> </w:t>
            </w:r>
            <w:r>
              <w:rPr>
                <w:sz w:val="20"/>
              </w:rPr>
              <w:t>A83.9,</w:t>
            </w:r>
            <w:r>
              <w:rPr>
                <w:spacing w:val="-5"/>
                <w:sz w:val="20"/>
              </w:rPr>
              <w:t> </w:t>
            </w:r>
            <w:r>
              <w:rPr>
                <w:spacing w:val="-4"/>
                <w:sz w:val="20"/>
              </w:rPr>
              <w:t>A85,</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A85.0,</w:t>
            </w:r>
            <w:r>
              <w:rPr>
                <w:spacing w:val="-6"/>
                <w:sz w:val="20"/>
              </w:rPr>
              <w:t> </w:t>
            </w:r>
            <w:r>
              <w:rPr>
                <w:sz w:val="20"/>
              </w:rPr>
              <w:t>A85.1,</w:t>
            </w:r>
            <w:r>
              <w:rPr>
                <w:spacing w:val="-5"/>
                <w:sz w:val="20"/>
              </w:rPr>
              <w:t> </w:t>
            </w:r>
            <w:r>
              <w:rPr>
                <w:sz w:val="20"/>
              </w:rPr>
              <w:t>A85.2,</w:t>
            </w:r>
            <w:r>
              <w:rPr>
                <w:spacing w:val="-5"/>
                <w:sz w:val="20"/>
              </w:rPr>
              <w:t> </w:t>
            </w:r>
            <w:r>
              <w:rPr>
                <w:sz w:val="20"/>
              </w:rPr>
              <w:t>A85.8,</w:t>
            </w:r>
            <w:r>
              <w:rPr>
                <w:spacing w:val="-7"/>
                <w:sz w:val="20"/>
              </w:rPr>
              <w:t> </w:t>
            </w:r>
            <w:r>
              <w:rPr>
                <w:sz w:val="20"/>
              </w:rPr>
              <w:t>A86,</w:t>
            </w:r>
            <w:r>
              <w:rPr>
                <w:spacing w:val="-6"/>
                <w:sz w:val="20"/>
              </w:rPr>
              <w:t> </w:t>
            </w:r>
            <w:r>
              <w:rPr>
                <w:sz w:val="20"/>
              </w:rPr>
              <w:t>A87,</w:t>
            </w:r>
            <w:r>
              <w:rPr>
                <w:spacing w:val="-3"/>
                <w:sz w:val="20"/>
              </w:rPr>
              <w:t> </w:t>
            </w:r>
            <w:r>
              <w:rPr>
                <w:spacing w:val="-2"/>
                <w:sz w:val="20"/>
              </w:rPr>
              <w:t>A87.0,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A87.1,</w:t>
            </w:r>
            <w:r>
              <w:rPr>
                <w:spacing w:val="-6"/>
                <w:sz w:val="20"/>
              </w:rPr>
              <w:t> </w:t>
            </w:r>
            <w:r>
              <w:rPr>
                <w:sz w:val="20"/>
              </w:rPr>
              <w:t>A87.2,</w:t>
            </w:r>
            <w:r>
              <w:rPr>
                <w:spacing w:val="-5"/>
                <w:sz w:val="20"/>
              </w:rPr>
              <w:t> </w:t>
            </w:r>
            <w:r>
              <w:rPr>
                <w:sz w:val="20"/>
              </w:rPr>
              <w:t>A87.8,</w:t>
            </w:r>
            <w:r>
              <w:rPr>
                <w:spacing w:val="-6"/>
                <w:sz w:val="20"/>
              </w:rPr>
              <w:t> </w:t>
            </w:r>
            <w:r>
              <w:rPr>
                <w:sz w:val="20"/>
              </w:rPr>
              <w:t>A87.9,</w:t>
            </w:r>
            <w:r>
              <w:rPr>
                <w:spacing w:val="-7"/>
                <w:sz w:val="20"/>
              </w:rPr>
              <w:t> </w:t>
            </w:r>
            <w:r>
              <w:rPr>
                <w:sz w:val="20"/>
              </w:rPr>
              <w:t>A88,</w:t>
            </w:r>
            <w:r>
              <w:rPr>
                <w:spacing w:val="-5"/>
                <w:sz w:val="20"/>
              </w:rPr>
              <w:t> </w:t>
            </w:r>
            <w:r>
              <w:rPr>
                <w:sz w:val="20"/>
              </w:rPr>
              <w:t>A88.0,</w:t>
            </w:r>
            <w:r>
              <w:rPr>
                <w:spacing w:val="-6"/>
                <w:sz w:val="20"/>
              </w:rPr>
              <w:t> </w:t>
            </w:r>
            <w:r>
              <w:rPr>
                <w:spacing w:val="-2"/>
                <w:sz w:val="20"/>
              </w:rPr>
              <w:t>A88.1,</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A88.8,</w:t>
            </w:r>
            <w:r>
              <w:rPr>
                <w:spacing w:val="-6"/>
                <w:sz w:val="20"/>
              </w:rPr>
              <w:t> </w:t>
            </w:r>
            <w:r>
              <w:rPr>
                <w:sz w:val="20"/>
              </w:rPr>
              <w:t>A89,</w:t>
            </w:r>
            <w:r>
              <w:rPr>
                <w:spacing w:val="-5"/>
                <w:sz w:val="20"/>
              </w:rPr>
              <w:t> </w:t>
            </w:r>
            <w:r>
              <w:rPr>
                <w:sz w:val="20"/>
              </w:rPr>
              <w:t>A92,</w:t>
            </w:r>
            <w:r>
              <w:rPr>
                <w:spacing w:val="-5"/>
                <w:sz w:val="20"/>
              </w:rPr>
              <w:t> </w:t>
            </w:r>
            <w:r>
              <w:rPr>
                <w:sz w:val="20"/>
              </w:rPr>
              <w:t>A92.0,</w:t>
            </w:r>
            <w:r>
              <w:rPr>
                <w:spacing w:val="-6"/>
                <w:sz w:val="20"/>
              </w:rPr>
              <w:t> </w:t>
            </w:r>
            <w:r>
              <w:rPr>
                <w:sz w:val="20"/>
              </w:rPr>
              <w:t>A92.1,</w:t>
            </w:r>
            <w:r>
              <w:rPr>
                <w:spacing w:val="-5"/>
                <w:sz w:val="20"/>
              </w:rPr>
              <w:t> </w:t>
            </w:r>
            <w:r>
              <w:rPr>
                <w:sz w:val="20"/>
              </w:rPr>
              <w:t>A92.2,</w:t>
            </w:r>
            <w:r>
              <w:rPr>
                <w:spacing w:val="-5"/>
                <w:sz w:val="20"/>
              </w:rPr>
              <w:t> </w:t>
            </w:r>
            <w:r>
              <w:rPr>
                <w:spacing w:val="-2"/>
                <w:sz w:val="20"/>
              </w:rPr>
              <w:t>A92.3,</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A92.4,</w:t>
            </w:r>
            <w:r>
              <w:rPr>
                <w:spacing w:val="-6"/>
                <w:sz w:val="20"/>
              </w:rPr>
              <w:t> </w:t>
            </w:r>
            <w:r>
              <w:rPr>
                <w:sz w:val="20"/>
              </w:rPr>
              <w:t>A92.5,</w:t>
            </w:r>
            <w:r>
              <w:rPr>
                <w:spacing w:val="-5"/>
                <w:sz w:val="20"/>
              </w:rPr>
              <w:t> </w:t>
            </w:r>
            <w:r>
              <w:rPr>
                <w:sz w:val="20"/>
              </w:rPr>
              <w:t>A92.8,</w:t>
            </w:r>
            <w:r>
              <w:rPr>
                <w:spacing w:val="-5"/>
                <w:sz w:val="20"/>
              </w:rPr>
              <w:t> </w:t>
            </w:r>
            <w:r>
              <w:rPr>
                <w:sz w:val="20"/>
              </w:rPr>
              <w:t>A92.9,</w:t>
            </w:r>
            <w:r>
              <w:rPr>
                <w:spacing w:val="-7"/>
                <w:sz w:val="20"/>
              </w:rPr>
              <w:t> </w:t>
            </w:r>
            <w:r>
              <w:rPr>
                <w:sz w:val="20"/>
              </w:rPr>
              <w:t>A93,</w:t>
            </w:r>
            <w:r>
              <w:rPr>
                <w:spacing w:val="-5"/>
                <w:sz w:val="20"/>
              </w:rPr>
              <w:t> </w:t>
            </w:r>
            <w:r>
              <w:rPr>
                <w:sz w:val="20"/>
              </w:rPr>
              <w:t>A93.0,</w:t>
            </w:r>
            <w:r>
              <w:rPr>
                <w:spacing w:val="-5"/>
                <w:sz w:val="20"/>
              </w:rPr>
              <w:t> </w:t>
            </w:r>
            <w:r>
              <w:rPr>
                <w:spacing w:val="-2"/>
                <w:sz w:val="20"/>
              </w:rPr>
              <w:t>A93.1,</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A93.2,</w:t>
            </w:r>
            <w:r>
              <w:rPr>
                <w:spacing w:val="-6"/>
                <w:sz w:val="20"/>
              </w:rPr>
              <w:t> </w:t>
            </w:r>
            <w:r>
              <w:rPr>
                <w:sz w:val="20"/>
              </w:rPr>
              <w:t>A93.8,</w:t>
            </w:r>
            <w:r>
              <w:rPr>
                <w:spacing w:val="-5"/>
                <w:sz w:val="20"/>
              </w:rPr>
              <w:t> </w:t>
            </w:r>
            <w:r>
              <w:rPr>
                <w:sz w:val="20"/>
              </w:rPr>
              <w:t>A94,</w:t>
            </w:r>
            <w:r>
              <w:rPr>
                <w:spacing w:val="-5"/>
                <w:sz w:val="20"/>
              </w:rPr>
              <w:t> </w:t>
            </w:r>
            <w:r>
              <w:rPr>
                <w:sz w:val="20"/>
              </w:rPr>
              <w:t>A95,</w:t>
            </w:r>
            <w:r>
              <w:rPr>
                <w:spacing w:val="-6"/>
                <w:sz w:val="20"/>
              </w:rPr>
              <w:t> </w:t>
            </w:r>
            <w:r>
              <w:rPr>
                <w:sz w:val="20"/>
              </w:rPr>
              <w:t>A95.0,</w:t>
            </w:r>
            <w:r>
              <w:rPr>
                <w:spacing w:val="-5"/>
                <w:sz w:val="20"/>
              </w:rPr>
              <w:t> </w:t>
            </w:r>
            <w:r>
              <w:rPr>
                <w:sz w:val="20"/>
              </w:rPr>
              <w:t>A95.1,</w:t>
            </w:r>
            <w:r>
              <w:rPr>
                <w:spacing w:val="-5"/>
                <w:sz w:val="20"/>
              </w:rPr>
              <w:t> </w:t>
            </w:r>
            <w:r>
              <w:rPr>
                <w:spacing w:val="-2"/>
                <w:sz w:val="20"/>
              </w:rPr>
              <w:t>A95.9,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A96,</w:t>
            </w:r>
            <w:r>
              <w:rPr>
                <w:spacing w:val="-6"/>
                <w:sz w:val="20"/>
              </w:rPr>
              <w:t> </w:t>
            </w:r>
            <w:r>
              <w:rPr>
                <w:sz w:val="20"/>
              </w:rPr>
              <w:t>A96.0,</w:t>
            </w:r>
            <w:r>
              <w:rPr>
                <w:spacing w:val="-6"/>
                <w:sz w:val="20"/>
              </w:rPr>
              <w:t> </w:t>
            </w:r>
            <w:r>
              <w:rPr>
                <w:sz w:val="20"/>
              </w:rPr>
              <w:t>A96.1,</w:t>
            </w:r>
            <w:r>
              <w:rPr>
                <w:spacing w:val="-6"/>
                <w:sz w:val="20"/>
              </w:rPr>
              <w:t> </w:t>
            </w:r>
            <w:r>
              <w:rPr>
                <w:sz w:val="20"/>
              </w:rPr>
              <w:t>A96.2,</w:t>
            </w:r>
            <w:r>
              <w:rPr>
                <w:spacing w:val="-6"/>
                <w:sz w:val="20"/>
              </w:rPr>
              <w:t> </w:t>
            </w:r>
            <w:r>
              <w:rPr>
                <w:sz w:val="20"/>
              </w:rPr>
              <w:t>A96.8,</w:t>
            </w:r>
            <w:r>
              <w:rPr>
                <w:spacing w:val="-6"/>
                <w:sz w:val="20"/>
              </w:rPr>
              <w:t> </w:t>
            </w:r>
            <w:r>
              <w:rPr>
                <w:sz w:val="20"/>
              </w:rPr>
              <w:t>A96.9,</w:t>
            </w:r>
            <w:r>
              <w:rPr>
                <w:spacing w:val="-6"/>
                <w:sz w:val="20"/>
              </w:rPr>
              <w:t> </w:t>
            </w:r>
            <w:r>
              <w:rPr>
                <w:spacing w:val="-4"/>
                <w:sz w:val="20"/>
              </w:rPr>
              <w:t>A97,</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A97.0,</w:t>
            </w:r>
            <w:r>
              <w:rPr>
                <w:spacing w:val="-6"/>
                <w:sz w:val="20"/>
              </w:rPr>
              <w:t> </w:t>
            </w:r>
            <w:r>
              <w:rPr>
                <w:sz w:val="20"/>
              </w:rPr>
              <w:t>A97.1,</w:t>
            </w:r>
            <w:r>
              <w:rPr>
                <w:spacing w:val="-5"/>
                <w:sz w:val="20"/>
              </w:rPr>
              <w:t> </w:t>
            </w:r>
            <w:r>
              <w:rPr>
                <w:sz w:val="20"/>
              </w:rPr>
              <w:t>A97.2,</w:t>
            </w:r>
            <w:r>
              <w:rPr>
                <w:spacing w:val="-6"/>
                <w:sz w:val="20"/>
              </w:rPr>
              <w:t> </w:t>
            </w:r>
            <w:r>
              <w:rPr>
                <w:sz w:val="20"/>
              </w:rPr>
              <w:t>A97.9,</w:t>
            </w:r>
            <w:r>
              <w:rPr>
                <w:spacing w:val="-7"/>
                <w:sz w:val="20"/>
              </w:rPr>
              <w:t> </w:t>
            </w:r>
            <w:r>
              <w:rPr>
                <w:sz w:val="20"/>
              </w:rPr>
              <w:t>A98,</w:t>
            </w:r>
            <w:r>
              <w:rPr>
                <w:spacing w:val="-5"/>
                <w:sz w:val="20"/>
              </w:rPr>
              <w:t> </w:t>
            </w:r>
            <w:r>
              <w:rPr>
                <w:sz w:val="20"/>
              </w:rPr>
              <w:t>A98.0,</w:t>
            </w:r>
            <w:r>
              <w:rPr>
                <w:spacing w:val="-6"/>
                <w:sz w:val="20"/>
              </w:rPr>
              <w:t> </w:t>
            </w:r>
            <w:r>
              <w:rPr>
                <w:spacing w:val="-2"/>
                <w:sz w:val="20"/>
              </w:rPr>
              <w:t>A98.1,</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9"/>
              <w:rPr>
                <w:sz w:val="20"/>
              </w:rPr>
            </w:pPr>
            <w:r>
              <w:rPr>
                <w:sz w:val="20"/>
              </w:rPr>
              <w:t>A98.2,</w:t>
            </w:r>
            <w:r>
              <w:rPr>
                <w:spacing w:val="-6"/>
                <w:sz w:val="20"/>
              </w:rPr>
              <w:t> </w:t>
            </w:r>
            <w:r>
              <w:rPr>
                <w:sz w:val="20"/>
              </w:rPr>
              <w:t>A98.3,</w:t>
            </w:r>
            <w:r>
              <w:rPr>
                <w:spacing w:val="-5"/>
                <w:sz w:val="20"/>
              </w:rPr>
              <w:t> </w:t>
            </w:r>
            <w:r>
              <w:rPr>
                <w:sz w:val="20"/>
              </w:rPr>
              <w:t>A98.4,</w:t>
            </w:r>
            <w:r>
              <w:rPr>
                <w:spacing w:val="-6"/>
                <w:sz w:val="20"/>
              </w:rPr>
              <w:t> </w:t>
            </w:r>
            <w:r>
              <w:rPr>
                <w:sz w:val="20"/>
              </w:rPr>
              <w:t>A98.5,</w:t>
            </w:r>
            <w:r>
              <w:rPr>
                <w:spacing w:val="-7"/>
                <w:sz w:val="20"/>
              </w:rPr>
              <w:t> </w:t>
            </w:r>
            <w:r>
              <w:rPr>
                <w:sz w:val="20"/>
              </w:rPr>
              <w:t>A98.8,</w:t>
            </w:r>
            <w:r>
              <w:rPr>
                <w:spacing w:val="-5"/>
                <w:sz w:val="20"/>
              </w:rPr>
              <w:t> </w:t>
            </w:r>
            <w:r>
              <w:rPr>
                <w:sz w:val="20"/>
              </w:rPr>
              <w:t>A99,</w:t>
            </w:r>
            <w:r>
              <w:rPr>
                <w:spacing w:val="-6"/>
                <w:sz w:val="20"/>
              </w:rPr>
              <w:t> </w:t>
            </w:r>
            <w:r>
              <w:rPr>
                <w:spacing w:val="-4"/>
                <w:sz w:val="20"/>
              </w:rPr>
              <w:t>B00,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04"/>
              <w:rPr>
                <w:sz w:val="20"/>
              </w:rPr>
            </w:pPr>
            <w:r>
              <w:rPr>
                <w:sz w:val="20"/>
              </w:rPr>
              <w:t>B00.0,</w:t>
            </w:r>
            <w:r>
              <w:rPr>
                <w:spacing w:val="-8"/>
                <w:sz w:val="20"/>
              </w:rPr>
              <w:t> </w:t>
            </w:r>
            <w:r>
              <w:rPr>
                <w:sz w:val="20"/>
              </w:rPr>
              <w:t>B00.1,</w:t>
            </w:r>
            <w:r>
              <w:rPr>
                <w:spacing w:val="-5"/>
                <w:sz w:val="20"/>
              </w:rPr>
              <w:t> </w:t>
            </w:r>
            <w:r>
              <w:rPr>
                <w:sz w:val="20"/>
              </w:rPr>
              <w:t>B00.2,</w:t>
            </w:r>
            <w:r>
              <w:rPr>
                <w:spacing w:val="-5"/>
                <w:sz w:val="20"/>
              </w:rPr>
              <w:t> </w:t>
            </w:r>
            <w:r>
              <w:rPr>
                <w:sz w:val="20"/>
              </w:rPr>
              <w:t>B00.3,</w:t>
            </w:r>
            <w:r>
              <w:rPr>
                <w:spacing w:val="-8"/>
                <w:sz w:val="20"/>
              </w:rPr>
              <w:t> </w:t>
            </w:r>
            <w:r>
              <w:rPr>
                <w:sz w:val="20"/>
              </w:rPr>
              <w:t>B00.4,</w:t>
            </w:r>
            <w:r>
              <w:rPr>
                <w:spacing w:val="-5"/>
                <w:sz w:val="20"/>
              </w:rPr>
              <w:t> </w:t>
            </w:r>
            <w:r>
              <w:rPr>
                <w:sz w:val="20"/>
              </w:rPr>
              <w:t>B00.5,</w:t>
            </w:r>
            <w:r>
              <w:rPr>
                <w:spacing w:val="-5"/>
                <w:sz w:val="20"/>
              </w:rPr>
              <w:t> </w:t>
            </w:r>
            <w:r>
              <w:rPr>
                <w:spacing w:val="-2"/>
                <w:sz w:val="20"/>
              </w:rPr>
              <w:t>B00.8,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78"/>
              <w:rPr>
                <w:sz w:val="20"/>
              </w:rPr>
            </w:pPr>
            <w:r>
              <w:rPr>
                <w:sz w:val="20"/>
              </w:rPr>
              <w:t>B00.9,</w:t>
            </w:r>
            <w:r>
              <w:rPr>
                <w:spacing w:val="-4"/>
                <w:sz w:val="20"/>
              </w:rPr>
              <w:t> </w:t>
            </w:r>
            <w:r>
              <w:rPr>
                <w:sz w:val="20"/>
              </w:rPr>
              <w:t>B01,</w:t>
            </w:r>
            <w:r>
              <w:rPr>
                <w:spacing w:val="-6"/>
                <w:sz w:val="20"/>
              </w:rPr>
              <w:t> </w:t>
            </w:r>
            <w:r>
              <w:rPr>
                <w:sz w:val="20"/>
              </w:rPr>
              <w:t>B01.0,</w:t>
            </w:r>
            <w:r>
              <w:rPr>
                <w:spacing w:val="-5"/>
                <w:sz w:val="20"/>
              </w:rPr>
              <w:t> </w:t>
            </w:r>
            <w:r>
              <w:rPr>
                <w:sz w:val="20"/>
              </w:rPr>
              <w:t>B01.1,</w:t>
            </w:r>
            <w:r>
              <w:rPr>
                <w:spacing w:val="-6"/>
                <w:sz w:val="20"/>
              </w:rPr>
              <w:t> </w:t>
            </w:r>
            <w:r>
              <w:rPr>
                <w:sz w:val="20"/>
              </w:rPr>
              <w:t>B01.2,</w:t>
            </w:r>
            <w:r>
              <w:rPr>
                <w:spacing w:val="-5"/>
                <w:sz w:val="20"/>
              </w:rPr>
              <w:t> </w:t>
            </w:r>
            <w:r>
              <w:rPr>
                <w:sz w:val="20"/>
              </w:rPr>
              <w:t>B01.8,</w:t>
            </w:r>
            <w:r>
              <w:rPr>
                <w:spacing w:val="-4"/>
                <w:sz w:val="20"/>
              </w:rPr>
              <w:t> </w:t>
            </w:r>
            <w:r>
              <w:rPr>
                <w:spacing w:val="-2"/>
                <w:sz w:val="20"/>
              </w:rPr>
              <w:t>B01.9,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5" w:lineRule="exact"/>
              <w:ind w:left="278"/>
              <w:rPr>
                <w:sz w:val="20"/>
              </w:rPr>
            </w:pPr>
            <w:r>
              <w:rPr>
                <w:sz w:val="20"/>
              </w:rPr>
              <w:t>B02,</w:t>
            </w:r>
            <w:r>
              <w:rPr>
                <w:spacing w:val="-6"/>
                <w:sz w:val="20"/>
              </w:rPr>
              <w:t> </w:t>
            </w:r>
            <w:r>
              <w:rPr>
                <w:sz w:val="20"/>
              </w:rPr>
              <w:t>B02.0,</w:t>
            </w:r>
            <w:r>
              <w:rPr>
                <w:spacing w:val="-5"/>
                <w:sz w:val="20"/>
              </w:rPr>
              <w:t> </w:t>
            </w:r>
            <w:r>
              <w:rPr>
                <w:sz w:val="20"/>
              </w:rPr>
              <w:t>B02.1,</w:t>
            </w:r>
            <w:r>
              <w:rPr>
                <w:spacing w:val="-6"/>
                <w:sz w:val="20"/>
              </w:rPr>
              <w:t> </w:t>
            </w:r>
            <w:r>
              <w:rPr>
                <w:sz w:val="20"/>
              </w:rPr>
              <w:t>B02.2,</w:t>
            </w:r>
            <w:r>
              <w:rPr>
                <w:spacing w:val="-5"/>
                <w:sz w:val="20"/>
              </w:rPr>
              <w:t> </w:t>
            </w:r>
            <w:r>
              <w:rPr>
                <w:sz w:val="20"/>
              </w:rPr>
              <w:t>B02.3,</w:t>
            </w:r>
            <w:r>
              <w:rPr>
                <w:spacing w:val="-5"/>
                <w:sz w:val="20"/>
              </w:rPr>
              <w:t> </w:t>
            </w:r>
            <w:r>
              <w:rPr>
                <w:sz w:val="20"/>
              </w:rPr>
              <w:t>B02.7,</w:t>
            </w:r>
            <w:r>
              <w:rPr>
                <w:spacing w:val="-4"/>
                <w:sz w:val="20"/>
              </w:rPr>
              <w:t> </w:t>
            </w:r>
            <w:r>
              <w:rPr>
                <w:spacing w:val="-2"/>
                <w:sz w:val="20"/>
              </w:rPr>
              <w:t>B02.8,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B02.9,</w:t>
      </w:r>
      <w:r>
        <w:rPr>
          <w:spacing w:val="-4"/>
          <w:sz w:val="20"/>
        </w:rPr>
        <w:t> </w:t>
      </w:r>
      <w:r>
        <w:rPr>
          <w:sz w:val="20"/>
        </w:rPr>
        <w:t>B03,</w:t>
      </w:r>
      <w:r>
        <w:rPr>
          <w:spacing w:val="-5"/>
          <w:sz w:val="20"/>
        </w:rPr>
        <w:t> </w:t>
      </w:r>
      <w:r>
        <w:rPr>
          <w:sz w:val="20"/>
        </w:rPr>
        <w:t>B04,</w:t>
      </w:r>
      <w:r>
        <w:rPr>
          <w:spacing w:val="-4"/>
          <w:sz w:val="20"/>
        </w:rPr>
        <w:t> </w:t>
      </w:r>
      <w:r>
        <w:rPr>
          <w:sz w:val="20"/>
        </w:rPr>
        <w:t>B05,</w:t>
      </w:r>
      <w:r>
        <w:rPr>
          <w:spacing w:val="-5"/>
          <w:sz w:val="20"/>
        </w:rPr>
        <w:t> </w:t>
      </w:r>
      <w:r>
        <w:rPr>
          <w:sz w:val="20"/>
        </w:rPr>
        <w:t>B05.0,</w:t>
      </w:r>
      <w:r>
        <w:rPr>
          <w:spacing w:val="-6"/>
          <w:sz w:val="20"/>
        </w:rPr>
        <w:t> </w:t>
      </w:r>
      <w:r>
        <w:rPr>
          <w:sz w:val="20"/>
        </w:rPr>
        <w:t>B05.1,</w:t>
      </w:r>
      <w:r>
        <w:rPr>
          <w:spacing w:val="-3"/>
          <w:sz w:val="20"/>
        </w:rPr>
        <w:t> </w:t>
      </w:r>
      <w:r>
        <w:rPr>
          <w:spacing w:val="-2"/>
          <w:sz w:val="20"/>
        </w:rPr>
        <w:t>B05.2,</w:t>
      </w:r>
    </w:p>
    <w:p>
      <w:pPr>
        <w:spacing w:line="229" w:lineRule="exact" w:before="1"/>
        <w:ind w:left="1161" w:right="4154" w:firstLine="0"/>
        <w:jc w:val="center"/>
        <w:rPr>
          <w:sz w:val="20"/>
        </w:rPr>
      </w:pPr>
      <w:r>
        <w:rPr>
          <w:sz w:val="20"/>
        </w:rPr>
        <w:t>B05.3,</w:t>
      </w:r>
      <w:r>
        <w:rPr>
          <w:spacing w:val="-5"/>
          <w:sz w:val="20"/>
        </w:rPr>
        <w:t> </w:t>
      </w:r>
      <w:r>
        <w:rPr>
          <w:sz w:val="20"/>
        </w:rPr>
        <w:t>B05.4,</w:t>
      </w:r>
      <w:r>
        <w:rPr>
          <w:spacing w:val="-4"/>
          <w:sz w:val="20"/>
        </w:rPr>
        <w:t> </w:t>
      </w:r>
      <w:r>
        <w:rPr>
          <w:sz w:val="20"/>
        </w:rPr>
        <w:t>B05.8,</w:t>
      </w:r>
      <w:r>
        <w:rPr>
          <w:spacing w:val="-5"/>
          <w:sz w:val="20"/>
        </w:rPr>
        <w:t> </w:t>
      </w:r>
      <w:r>
        <w:rPr>
          <w:sz w:val="20"/>
        </w:rPr>
        <w:t>B05.9,</w:t>
      </w:r>
      <w:r>
        <w:rPr>
          <w:spacing w:val="-8"/>
          <w:sz w:val="20"/>
        </w:rPr>
        <w:t> </w:t>
      </w:r>
      <w:r>
        <w:rPr>
          <w:sz w:val="20"/>
        </w:rPr>
        <w:t>B06,</w:t>
      </w:r>
      <w:r>
        <w:rPr>
          <w:spacing w:val="-6"/>
          <w:sz w:val="20"/>
        </w:rPr>
        <w:t> </w:t>
      </w:r>
      <w:r>
        <w:rPr>
          <w:sz w:val="20"/>
        </w:rPr>
        <w:t>B06.0,</w:t>
      </w:r>
      <w:r>
        <w:rPr>
          <w:spacing w:val="-6"/>
          <w:sz w:val="20"/>
        </w:rPr>
        <w:t> </w:t>
      </w:r>
      <w:r>
        <w:rPr>
          <w:spacing w:val="-2"/>
          <w:sz w:val="20"/>
        </w:rPr>
        <w:t>B06.8,</w:t>
      </w:r>
    </w:p>
    <w:p>
      <w:pPr>
        <w:spacing w:line="229" w:lineRule="exact" w:before="0"/>
        <w:ind w:left="1161" w:right="4154" w:firstLine="0"/>
        <w:jc w:val="center"/>
        <w:rPr>
          <w:sz w:val="20"/>
        </w:rPr>
      </w:pPr>
      <w:r>
        <w:rPr>
          <w:sz w:val="20"/>
        </w:rPr>
        <w:t>B06.9,</w:t>
      </w:r>
      <w:r>
        <w:rPr>
          <w:spacing w:val="-4"/>
          <w:sz w:val="20"/>
        </w:rPr>
        <w:t> </w:t>
      </w: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4"/>
          <w:sz w:val="20"/>
        </w:rPr>
        <w:t> </w:t>
      </w:r>
      <w:r>
        <w:rPr>
          <w:spacing w:val="-2"/>
          <w:sz w:val="20"/>
        </w:rPr>
        <w:t>B08.5,</w:t>
      </w:r>
    </w:p>
    <w:p>
      <w:pPr>
        <w:spacing w:before="0"/>
        <w:ind w:left="4717" w:right="0" w:firstLine="0"/>
        <w:jc w:val="left"/>
        <w:rPr>
          <w:sz w:val="20"/>
        </w:rPr>
      </w:pPr>
      <w:r>
        <w:rPr>
          <w:sz w:val="20"/>
        </w:rPr>
        <w:t>B08.8,</w:t>
      </w:r>
      <w:r>
        <w:rPr>
          <w:spacing w:val="-6"/>
          <w:sz w:val="20"/>
        </w:rPr>
        <w:t> </w:t>
      </w:r>
      <w:r>
        <w:rPr>
          <w:sz w:val="20"/>
        </w:rPr>
        <w:t>B09,</w:t>
      </w:r>
      <w:r>
        <w:rPr>
          <w:spacing w:val="-6"/>
          <w:sz w:val="20"/>
        </w:rPr>
        <w:t> </w:t>
      </w:r>
      <w:r>
        <w:rPr>
          <w:sz w:val="20"/>
        </w:rPr>
        <w:t>B25,</w:t>
      </w:r>
      <w:r>
        <w:rPr>
          <w:spacing w:val="-4"/>
          <w:sz w:val="20"/>
        </w:rPr>
        <w:t> </w:t>
      </w:r>
      <w:r>
        <w:rPr>
          <w:sz w:val="20"/>
        </w:rPr>
        <w:t>B25.0,</w:t>
      </w:r>
      <w:r>
        <w:rPr>
          <w:spacing w:val="-6"/>
          <w:sz w:val="20"/>
        </w:rPr>
        <w:t> </w:t>
      </w:r>
      <w:r>
        <w:rPr>
          <w:sz w:val="20"/>
        </w:rPr>
        <w:t>B25.1,</w:t>
      </w:r>
      <w:r>
        <w:rPr>
          <w:spacing w:val="-4"/>
          <w:sz w:val="20"/>
        </w:rPr>
        <w:t> </w:t>
      </w:r>
      <w:r>
        <w:rPr>
          <w:sz w:val="20"/>
        </w:rPr>
        <w:t>B25.2,</w:t>
      </w:r>
      <w:r>
        <w:rPr>
          <w:spacing w:val="-5"/>
          <w:sz w:val="20"/>
        </w:rPr>
        <w:t> </w:t>
      </w:r>
      <w:r>
        <w:rPr>
          <w:spacing w:val="-2"/>
          <w:sz w:val="20"/>
        </w:rPr>
        <w:t>B25.8,</w:t>
      </w:r>
    </w:p>
    <w:p>
      <w:pPr>
        <w:spacing w:before="1"/>
        <w:ind w:left="4643" w:right="0" w:firstLine="0"/>
        <w:jc w:val="left"/>
        <w:rPr>
          <w:sz w:val="20"/>
        </w:rPr>
      </w:pPr>
      <w:r>
        <w:rPr>
          <w:sz w:val="20"/>
        </w:rPr>
        <w:t>B25.9,</w:t>
      </w:r>
      <w:r>
        <w:rPr>
          <w:spacing w:val="-4"/>
          <w:sz w:val="20"/>
        </w:rPr>
        <w:t> </w:t>
      </w:r>
      <w:r>
        <w:rPr>
          <w:sz w:val="20"/>
        </w:rPr>
        <w:t>B26,</w:t>
      </w:r>
      <w:r>
        <w:rPr>
          <w:spacing w:val="-6"/>
          <w:sz w:val="20"/>
        </w:rPr>
        <w:t> </w:t>
      </w:r>
      <w:r>
        <w:rPr>
          <w:sz w:val="20"/>
        </w:rPr>
        <w:t>B26.0,</w:t>
      </w:r>
      <w:r>
        <w:rPr>
          <w:spacing w:val="-5"/>
          <w:sz w:val="20"/>
        </w:rPr>
        <w:t> </w:t>
      </w:r>
      <w:r>
        <w:rPr>
          <w:sz w:val="20"/>
        </w:rPr>
        <w:t>B26.1,</w:t>
      </w:r>
      <w:r>
        <w:rPr>
          <w:spacing w:val="-6"/>
          <w:sz w:val="20"/>
        </w:rPr>
        <w:t> </w:t>
      </w:r>
      <w:r>
        <w:rPr>
          <w:sz w:val="20"/>
        </w:rPr>
        <w:t>B26.2,</w:t>
      </w:r>
      <w:r>
        <w:rPr>
          <w:spacing w:val="-5"/>
          <w:sz w:val="20"/>
        </w:rPr>
        <w:t> </w:t>
      </w:r>
      <w:r>
        <w:rPr>
          <w:sz w:val="20"/>
        </w:rPr>
        <w:t>B26.3,</w:t>
      </w:r>
      <w:r>
        <w:rPr>
          <w:spacing w:val="-4"/>
          <w:sz w:val="20"/>
        </w:rPr>
        <w:t> </w:t>
      </w:r>
      <w:r>
        <w:rPr>
          <w:spacing w:val="-2"/>
          <w:sz w:val="20"/>
        </w:rPr>
        <w:t>B26.8,</w:t>
      </w:r>
    </w:p>
    <w:p>
      <w:pPr>
        <w:spacing w:before="0"/>
        <w:ind w:left="4717" w:right="0" w:firstLine="0"/>
        <w:jc w:val="left"/>
        <w:rPr>
          <w:sz w:val="20"/>
        </w:rPr>
      </w:pPr>
      <w:r>
        <w:rPr>
          <w:sz w:val="20"/>
        </w:rPr>
        <w:t>B26.9,</w:t>
      </w:r>
      <w:r>
        <w:rPr>
          <w:spacing w:val="-4"/>
          <w:sz w:val="20"/>
        </w:rPr>
        <w:t> </w:t>
      </w:r>
      <w:r>
        <w:rPr>
          <w:sz w:val="20"/>
        </w:rPr>
        <w:t>B27,</w:t>
      </w:r>
      <w:r>
        <w:rPr>
          <w:spacing w:val="-6"/>
          <w:sz w:val="20"/>
        </w:rPr>
        <w:t> </w:t>
      </w:r>
      <w:r>
        <w:rPr>
          <w:sz w:val="20"/>
        </w:rPr>
        <w:t>B27.0,</w:t>
      </w:r>
      <w:r>
        <w:rPr>
          <w:spacing w:val="-5"/>
          <w:sz w:val="20"/>
        </w:rPr>
        <w:t> </w:t>
      </w:r>
      <w:r>
        <w:rPr>
          <w:sz w:val="20"/>
        </w:rPr>
        <w:t>B27.1,</w:t>
      </w:r>
      <w:r>
        <w:rPr>
          <w:spacing w:val="-6"/>
          <w:sz w:val="20"/>
        </w:rPr>
        <w:t> </w:t>
      </w:r>
      <w:r>
        <w:rPr>
          <w:sz w:val="20"/>
        </w:rPr>
        <w:t>B27.8,</w:t>
      </w:r>
      <w:r>
        <w:rPr>
          <w:spacing w:val="-5"/>
          <w:sz w:val="20"/>
        </w:rPr>
        <w:t> </w:t>
      </w:r>
      <w:r>
        <w:rPr>
          <w:sz w:val="20"/>
        </w:rPr>
        <w:t>B27.9,</w:t>
      </w:r>
      <w:r>
        <w:rPr>
          <w:spacing w:val="-4"/>
          <w:sz w:val="20"/>
        </w:rPr>
        <w:t> B33,</w:t>
      </w:r>
    </w:p>
    <w:p>
      <w:pPr>
        <w:spacing w:before="0"/>
        <w:ind w:left="4643" w:right="0" w:firstLine="0"/>
        <w:jc w:val="left"/>
        <w:rPr>
          <w:sz w:val="20"/>
        </w:rPr>
      </w:pPr>
      <w:r>
        <w:rPr>
          <w:sz w:val="20"/>
        </w:rPr>
        <w:t>B33.0,</w:t>
      </w:r>
      <w:r>
        <w:rPr>
          <w:spacing w:val="-8"/>
          <w:sz w:val="20"/>
        </w:rPr>
        <w:t> </w:t>
      </w:r>
      <w:r>
        <w:rPr>
          <w:sz w:val="20"/>
        </w:rPr>
        <w:t>B33.1,</w:t>
      </w:r>
      <w:r>
        <w:rPr>
          <w:spacing w:val="-5"/>
          <w:sz w:val="20"/>
        </w:rPr>
        <w:t> </w:t>
      </w:r>
      <w:r>
        <w:rPr>
          <w:sz w:val="20"/>
        </w:rPr>
        <w:t>B33.2,</w:t>
      </w:r>
      <w:r>
        <w:rPr>
          <w:spacing w:val="-5"/>
          <w:sz w:val="20"/>
        </w:rPr>
        <w:t> </w:t>
      </w:r>
      <w:r>
        <w:rPr>
          <w:sz w:val="20"/>
        </w:rPr>
        <w:t>B33.3,</w:t>
      </w:r>
      <w:r>
        <w:rPr>
          <w:spacing w:val="-8"/>
          <w:sz w:val="20"/>
        </w:rPr>
        <w:t> </w:t>
      </w:r>
      <w:r>
        <w:rPr>
          <w:sz w:val="20"/>
        </w:rPr>
        <w:t>B33.4,</w:t>
      </w:r>
      <w:r>
        <w:rPr>
          <w:spacing w:val="-5"/>
          <w:sz w:val="20"/>
        </w:rPr>
        <w:t> </w:t>
      </w:r>
      <w:r>
        <w:rPr>
          <w:sz w:val="20"/>
        </w:rPr>
        <w:t>B33.8,</w:t>
      </w:r>
      <w:r>
        <w:rPr>
          <w:spacing w:val="-5"/>
          <w:sz w:val="20"/>
        </w:rPr>
        <w:t> </w:t>
      </w:r>
      <w:r>
        <w:rPr>
          <w:spacing w:val="-4"/>
          <w:sz w:val="20"/>
        </w:rPr>
        <w:t>B34,</w:t>
      </w:r>
    </w:p>
    <w:p>
      <w:pPr>
        <w:spacing w:line="229" w:lineRule="exact" w:before="1"/>
        <w:ind w:left="4569" w:right="0" w:firstLine="0"/>
        <w:jc w:val="left"/>
        <w:rPr>
          <w:sz w:val="20"/>
        </w:rPr>
      </w:pPr>
      <w:r>
        <w:rPr>
          <w:sz w:val="20"/>
        </w:rPr>
        <w:t>B34.0,</w:t>
      </w:r>
      <w:r>
        <w:rPr>
          <w:spacing w:val="-8"/>
          <w:sz w:val="20"/>
        </w:rPr>
        <w:t> </w:t>
      </w:r>
      <w:r>
        <w:rPr>
          <w:sz w:val="20"/>
        </w:rPr>
        <w:t>B34.1,</w:t>
      </w:r>
      <w:r>
        <w:rPr>
          <w:spacing w:val="-5"/>
          <w:sz w:val="20"/>
        </w:rPr>
        <w:t> </w:t>
      </w:r>
      <w:r>
        <w:rPr>
          <w:sz w:val="20"/>
        </w:rPr>
        <w:t>B34.2,</w:t>
      </w:r>
      <w:r>
        <w:rPr>
          <w:spacing w:val="-5"/>
          <w:sz w:val="20"/>
        </w:rPr>
        <w:t> </w:t>
      </w:r>
      <w:r>
        <w:rPr>
          <w:sz w:val="20"/>
        </w:rPr>
        <w:t>B34.3,</w:t>
      </w:r>
      <w:r>
        <w:rPr>
          <w:spacing w:val="-8"/>
          <w:sz w:val="20"/>
        </w:rPr>
        <w:t> </w:t>
      </w:r>
      <w:r>
        <w:rPr>
          <w:sz w:val="20"/>
        </w:rPr>
        <w:t>B34.4,</w:t>
      </w:r>
      <w:r>
        <w:rPr>
          <w:spacing w:val="-5"/>
          <w:sz w:val="20"/>
        </w:rPr>
        <w:t> </w:t>
      </w:r>
      <w:r>
        <w:rPr>
          <w:sz w:val="20"/>
        </w:rPr>
        <w:t>B34.8,</w:t>
      </w:r>
      <w:r>
        <w:rPr>
          <w:spacing w:val="-5"/>
          <w:sz w:val="20"/>
        </w:rPr>
        <w:t> </w:t>
      </w:r>
      <w:r>
        <w:rPr>
          <w:spacing w:val="-2"/>
          <w:sz w:val="20"/>
        </w:rPr>
        <w:t>B34.9,</w:t>
      </w:r>
    </w:p>
    <w:p>
      <w:pPr>
        <w:spacing w:line="229" w:lineRule="exact" w:before="0"/>
        <w:ind w:left="4643" w:right="0" w:firstLine="0"/>
        <w:jc w:val="left"/>
        <w:rPr>
          <w:sz w:val="20"/>
        </w:rPr>
      </w:pPr>
      <w:r>
        <w:rPr>
          <w:sz w:val="20"/>
        </w:rPr>
        <w:t>B37,</w:t>
      </w:r>
      <w:r>
        <w:rPr>
          <w:spacing w:val="-6"/>
          <w:sz w:val="20"/>
        </w:rPr>
        <w:t> </w:t>
      </w:r>
      <w:r>
        <w:rPr>
          <w:sz w:val="20"/>
        </w:rPr>
        <w:t>B37.0,</w:t>
      </w:r>
      <w:r>
        <w:rPr>
          <w:spacing w:val="-5"/>
          <w:sz w:val="20"/>
        </w:rPr>
        <w:t> </w:t>
      </w:r>
      <w:r>
        <w:rPr>
          <w:sz w:val="20"/>
        </w:rPr>
        <w:t>B37.1,</w:t>
      </w:r>
      <w:r>
        <w:rPr>
          <w:spacing w:val="-6"/>
          <w:sz w:val="20"/>
        </w:rPr>
        <w:t> </w:t>
      </w:r>
      <w:r>
        <w:rPr>
          <w:sz w:val="20"/>
        </w:rPr>
        <w:t>B37.2,</w:t>
      </w:r>
      <w:r>
        <w:rPr>
          <w:spacing w:val="-5"/>
          <w:sz w:val="20"/>
        </w:rPr>
        <w:t> </w:t>
      </w:r>
      <w:r>
        <w:rPr>
          <w:sz w:val="20"/>
        </w:rPr>
        <w:t>B37.3,</w:t>
      </w:r>
      <w:r>
        <w:rPr>
          <w:spacing w:val="-5"/>
          <w:sz w:val="20"/>
        </w:rPr>
        <w:t> </w:t>
      </w:r>
      <w:r>
        <w:rPr>
          <w:sz w:val="20"/>
        </w:rPr>
        <w:t>B37.4,</w:t>
      </w:r>
      <w:r>
        <w:rPr>
          <w:spacing w:val="-4"/>
          <w:sz w:val="20"/>
        </w:rPr>
        <w:t> </w:t>
      </w:r>
      <w:r>
        <w:rPr>
          <w:spacing w:val="-2"/>
          <w:sz w:val="20"/>
        </w:rPr>
        <w:t>B37.5,</w:t>
      </w:r>
    </w:p>
    <w:p>
      <w:pPr>
        <w:spacing w:before="1"/>
        <w:ind w:left="4643" w:right="0" w:firstLine="0"/>
        <w:jc w:val="left"/>
        <w:rPr>
          <w:sz w:val="20"/>
        </w:rPr>
      </w:pPr>
      <w:r>
        <w:rPr>
          <w:sz w:val="20"/>
        </w:rPr>
        <w:t>B37.6,</w:t>
      </w:r>
      <w:r>
        <w:rPr>
          <w:spacing w:val="-5"/>
          <w:sz w:val="20"/>
        </w:rPr>
        <w:t> </w:t>
      </w:r>
      <w:r>
        <w:rPr>
          <w:sz w:val="20"/>
        </w:rPr>
        <w:t>B37.8,</w:t>
      </w:r>
      <w:r>
        <w:rPr>
          <w:spacing w:val="-5"/>
          <w:sz w:val="20"/>
        </w:rPr>
        <w:t> </w:t>
      </w:r>
      <w:r>
        <w:rPr>
          <w:sz w:val="20"/>
        </w:rPr>
        <w:t>B37.9,</w:t>
      </w:r>
      <w:r>
        <w:rPr>
          <w:spacing w:val="-4"/>
          <w:sz w:val="20"/>
        </w:rPr>
        <w:t> </w:t>
      </w:r>
      <w:r>
        <w:rPr>
          <w:sz w:val="20"/>
        </w:rPr>
        <w:t>B38,</w:t>
      </w:r>
      <w:r>
        <w:rPr>
          <w:spacing w:val="-7"/>
          <w:sz w:val="20"/>
        </w:rPr>
        <w:t> </w:t>
      </w:r>
      <w:r>
        <w:rPr>
          <w:sz w:val="20"/>
        </w:rPr>
        <w:t>B38.0,</w:t>
      </w:r>
      <w:r>
        <w:rPr>
          <w:spacing w:val="-6"/>
          <w:sz w:val="20"/>
        </w:rPr>
        <w:t> </w:t>
      </w:r>
      <w:r>
        <w:rPr>
          <w:sz w:val="20"/>
        </w:rPr>
        <w:t>B38.1,</w:t>
      </w:r>
      <w:r>
        <w:rPr>
          <w:spacing w:val="-5"/>
          <w:sz w:val="20"/>
        </w:rPr>
        <w:t> </w:t>
      </w:r>
      <w:r>
        <w:rPr>
          <w:spacing w:val="-2"/>
          <w:sz w:val="20"/>
        </w:rPr>
        <w:t>B38.2,</w:t>
      </w:r>
    </w:p>
    <w:p>
      <w:pPr>
        <w:spacing w:before="0"/>
        <w:ind w:left="4643" w:right="0" w:firstLine="0"/>
        <w:jc w:val="left"/>
        <w:rPr>
          <w:sz w:val="20"/>
        </w:rPr>
      </w:pPr>
      <w:r>
        <w:rPr>
          <w:sz w:val="20"/>
        </w:rPr>
        <w:t>B38.3,</w:t>
      </w:r>
      <w:r>
        <w:rPr>
          <w:spacing w:val="-5"/>
          <w:sz w:val="20"/>
        </w:rPr>
        <w:t> </w:t>
      </w:r>
      <w:r>
        <w:rPr>
          <w:sz w:val="20"/>
        </w:rPr>
        <w:t>B38.4,</w:t>
      </w:r>
      <w:r>
        <w:rPr>
          <w:spacing w:val="-5"/>
          <w:sz w:val="20"/>
        </w:rPr>
        <w:t> </w:t>
      </w:r>
      <w:r>
        <w:rPr>
          <w:sz w:val="20"/>
        </w:rPr>
        <w:t>B38.7,</w:t>
      </w:r>
      <w:r>
        <w:rPr>
          <w:spacing w:val="-4"/>
          <w:sz w:val="20"/>
        </w:rPr>
        <w:t> </w:t>
      </w:r>
      <w:r>
        <w:rPr>
          <w:sz w:val="20"/>
        </w:rPr>
        <w:t>B38.8,</w:t>
      </w:r>
      <w:r>
        <w:rPr>
          <w:spacing w:val="-8"/>
          <w:sz w:val="20"/>
        </w:rPr>
        <w:t> </w:t>
      </w:r>
      <w:r>
        <w:rPr>
          <w:sz w:val="20"/>
        </w:rPr>
        <w:t>B38.9,</w:t>
      </w:r>
      <w:r>
        <w:rPr>
          <w:spacing w:val="-5"/>
          <w:sz w:val="20"/>
        </w:rPr>
        <w:t> </w:t>
      </w:r>
      <w:r>
        <w:rPr>
          <w:sz w:val="20"/>
        </w:rPr>
        <w:t>B39,</w:t>
      </w:r>
      <w:r>
        <w:rPr>
          <w:spacing w:val="-6"/>
          <w:sz w:val="20"/>
        </w:rPr>
        <w:t> </w:t>
      </w:r>
      <w:r>
        <w:rPr>
          <w:spacing w:val="-2"/>
          <w:sz w:val="20"/>
        </w:rPr>
        <w:t>B39.0,</w:t>
      </w:r>
    </w:p>
    <w:p>
      <w:pPr>
        <w:spacing w:before="1"/>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0"/>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line="229" w:lineRule="exact" w:before="1"/>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line="229" w:lineRule="exact" w:before="0"/>
        <w:ind w:left="4643" w:right="0" w:firstLine="0"/>
        <w:jc w:val="left"/>
        <w:rPr>
          <w:sz w:val="20"/>
        </w:rPr>
      </w:pPr>
      <w:r>
        <w:rPr>
          <w:sz w:val="20"/>
        </w:rPr>
        <w:t>B42.1,</w:t>
      </w:r>
      <w:r>
        <w:rPr>
          <w:spacing w:val="-5"/>
          <w:sz w:val="20"/>
        </w:rPr>
        <w:t> </w:t>
      </w:r>
      <w:r>
        <w:rPr>
          <w:sz w:val="20"/>
        </w:rPr>
        <w:t>B42.7,</w:t>
      </w:r>
      <w:r>
        <w:rPr>
          <w:spacing w:val="-4"/>
          <w:sz w:val="20"/>
        </w:rPr>
        <w:t> </w:t>
      </w:r>
      <w:r>
        <w:rPr>
          <w:sz w:val="20"/>
        </w:rPr>
        <w:t>B42.8,</w:t>
      </w:r>
      <w:r>
        <w:rPr>
          <w:spacing w:val="-4"/>
          <w:sz w:val="20"/>
        </w:rPr>
        <w:t> </w:t>
      </w:r>
      <w:r>
        <w:rPr>
          <w:sz w:val="20"/>
        </w:rPr>
        <w:t>B42.9,</w:t>
      </w:r>
      <w:r>
        <w:rPr>
          <w:spacing w:val="-7"/>
          <w:sz w:val="20"/>
        </w:rPr>
        <w:t> </w:t>
      </w:r>
      <w:r>
        <w:rPr>
          <w:sz w:val="20"/>
        </w:rPr>
        <w:t>B43,</w:t>
      </w:r>
      <w:r>
        <w:rPr>
          <w:spacing w:val="-6"/>
          <w:sz w:val="20"/>
        </w:rPr>
        <w:t> </w:t>
      </w:r>
      <w:r>
        <w:rPr>
          <w:sz w:val="20"/>
        </w:rPr>
        <w:t>B43.0,</w:t>
      </w:r>
      <w:r>
        <w:rPr>
          <w:spacing w:val="-6"/>
          <w:sz w:val="20"/>
        </w:rPr>
        <w:t> </w:t>
      </w:r>
      <w:r>
        <w:rPr>
          <w:spacing w:val="-2"/>
          <w:sz w:val="20"/>
        </w:rPr>
        <w:t>B43.1,</w:t>
      </w:r>
    </w:p>
    <w:p>
      <w:pPr>
        <w:spacing w:before="0"/>
        <w:ind w:left="4643" w:right="0" w:firstLine="0"/>
        <w:jc w:val="left"/>
        <w:rPr>
          <w:sz w:val="20"/>
        </w:rPr>
      </w:pPr>
      <w:r>
        <w:rPr>
          <w:sz w:val="20"/>
        </w:rPr>
        <w:t>B43.2,</w:t>
      </w:r>
      <w:r>
        <w:rPr>
          <w:spacing w:val="-5"/>
          <w:sz w:val="20"/>
        </w:rPr>
        <w:t> </w:t>
      </w:r>
      <w:r>
        <w:rPr>
          <w:sz w:val="20"/>
        </w:rPr>
        <w:t>B43.8,</w:t>
      </w:r>
      <w:r>
        <w:rPr>
          <w:spacing w:val="-5"/>
          <w:sz w:val="20"/>
        </w:rPr>
        <w:t> </w:t>
      </w:r>
      <w:r>
        <w:rPr>
          <w:sz w:val="20"/>
        </w:rPr>
        <w:t>B43.9,</w:t>
      </w:r>
      <w:r>
        <w:rPr>
          <w:spacing w:val="-4"/>
          <w:sz w:val="20"/>
        </w:rPr>
        <w:t> </w:t>
      </w:r>
      <w:r>
        <w:rPr>
          <w:sz w:val="20"/>
        </w:rPr>
        <w:t>B44,</w:t>
      </w:r>
      <w:r>
        <w:rPr>
          <w:spacing w:val="-7"/>
          <w:sz w:val="20"/>
        </w:rPr>
        <w:t> </w:t>
      </w:r>
      <w:r>
        <w:rPr>
          <w:sz w:val="20"/>
        </w:rPr>
        <w:t>B44.1,</w:t>
      </w:r>
      <w:r>
        <w:rPr>
          <w:spacing w:val="-6"/>
          <w:sz w:val="20"/>
        </w:rPr>
        <w:t> </w:t>
      </w:r>
      <w:r>
        <w:rPr>
          <w:sz w:val="20"/>
        </w:rPr>
        <w:t>B44.2,</w:t>
      </w:r>
      <w:r>
        <w:rPr>
          <w:spacing w:val="-5"/>
          <w:sz w:val="20"/>
        </w:rPr>
        <w:t> </w:t>
      </w:r>
      <w:r>
        <w:rPr>
          <w:spacing w:val="-2"/>
          <w:sz w:val="20"/>
        </w:rPr>
        <w:t>B44.8,</w:t>
      </w:r>
    </w:p>
    <w:p>
      <w:pPr>
        <w:spacing w:before="0"/>
        <w:ind w:left="4717" w:right="0" w:firstLine="0"/>
        <w:jc w:val="left"/>
        <w:rPr>
          <w:sz w:val="20"/>
        </w:rPr>
      </w:pPr>
      <w:r>
        <w:rPr>
          <w:sz w:val="20"/>
        </w:rPr>
        <w:t>B44.9,</w:t>
      </w:r>
      <w:r>
        <w:rPr>
          <w:spacing w:val="-4"/>
          <w:sz w:val="20"/>
        </w:rPr>
        <w:t> </w:t>
      </w:r>
      <w:r>
        <w:rPr>
          <w:sz w:val="20"/>
        </w:rPr>
        <w:t>B45,</w:t>
      </w:r>
      <w:r>
        <w:rPr>
          <w:spacing w:val="-6"/>
          <w:sz w:val="20"/>
        </w:rPr>
        <w:t> </w:t>
      </w:r>
      <w:r>
        <w:rPr>
          <w:sz w:val="20"/>
        </w:rPr>
        <w:t>B45.2,</w:t>
      </w:r>
      <w:r>
        <w:rPr>
          <w:spacing w:val="-5"/>
          <w:sz w:val="20"/>
        </w:rPr>
        <w:t> </w:t>
      </w:r>
      <w:r>
        <w:rPr>
          <w:sz w:val="20"/>
        </w:rPr>
        <w:t>B45.3,</w:t>
      </w:r>
      <w:r>
        <w:rPr>
          <w:spacing w:val="-6"/>
          <w:sz w:val="20"/>
        </w:rPr>
        <w:t> </w:t>
      </w:r>
      <w:r>
        <w:rPr>
          <w:sz w:val="20"/>
        </w:rPr>
        <w:t>B45.8,</w:t>
      </w:r>
      <w:r>
        <w:rPr>
          <w:spacing w:val="-5"/>
          <w:sz w:val="20"/>
        </w:rPr>
        <w:t> </w:t>
      </w:r>
      <w:r>
        <w:rPr>
          <w:sz w:val="20"/>
        </w:rPr>
        <w:t>B45.9,</w:t>
      </w:r>
      <w:r>
        <w:rPr>
          <w:spacing w:val="-4"/>
          <w:sz w:val="20"/>
        </w:rPr>
        <w:t> B46,</w:t>
      </w:r>
    </w:p>
    <w:p>
      <w:pPr>
        <w:spacing w:before="1"/>
        <w:ind w:left="4569" w:right="0" w:firstLine="0"/>
        <w:jc w:val="left"/>
        <w:rPr>
          <w:sz w:val="20"/>
        </w:rPr>
      </w:pPr>
      <w:r>
        <w:rPr>
          <w:sz w:val="20"/>
        </w:rPr>
        <w:t>B46.0,</w:t>
      </w:r>
      <w:r>
        <w:rPr>
          <w:spacing w:val="-8"/>
          <w:sz w:val="20"/>
        </w:rPr>
        <w:t> </w:t>
      </w:r>
      <w:r>
        <w:rPr>
          <w:sz w:val="20"/>
        </w:rPr>
        <w:t>B46.1,</w:t>
      </w:r>
      <w:r>
        <w:rPr>
          <w:spacing w:val="-5"/>
          <w:sz w:val="20"/>
        </w:rPr>
        <w:t> </w:t>
      </w:r>
      <w:r>
        <w:rPr>
          <w:sz w:val="20"/>
        </w:rPr>
        <w:t>B46.2,</w:t>
      </w:r>
      <w:r>
        <w:rPr>
          <w:spacing w:val="-5"/>
          <w:sz w:val="20"/>
        </w:rPr>
        <w:t> </w:t>
      </w:r>
      <w:r>
        <w:rPr>
          <w:sz w:val="20"/>
        </w:rPr>
        <w:t>B46.3,</w:t>
      </w:r>
      <w:r>
        <w:rPr>
          <w:spacing w:val="-8"/>
          <w:sz w:val="20"/>
        </w:rPr>
        <w:t> </w:t>
      </w:r>
      <w:r>
        <w:rPr>
          <w:sz w:val="20"/>
        </w:rPr>
        <w:t>B46.4,</w:t>
      </w:r>
      <w:r>
        <w:rPr>
          <w:spacing w:val="-5"/>
          <w:sz w:val="20"/>
        </w:rPr>
        <w:t> </w:t>
      </w:r>
      <w:r>
        <w:rPr>
          <w:sz w:val="20"/>
        </w:rPr>
        <w:t>B46.5,</w:t>
      </w:r>
      <w:r>
        <w:rPr>
          <w:spacing w:val="-5"/>
          <w:sz w:val="20"/>
        </w:rPr>
        <w:t> </w:t>
      </w:r>
      <w:r>
        <w:rPr>
          <w:spacing w:val="-2"/>
          <w:sz w:val="20"/>
        </w:rPr>
        <w:t>B46.8,</w:t>
      </w:r>
    </w:p>
    <w:p>
      <w:pPr>
        <w:spacing w:before="1"/>
        <w:ind w:left="4717" w:right="0" w:firstLine="0"/>
        <w:jc w:val="left"/>
        <w:rPr>
          <w:sz w:val="20"/>
        </w:rPr>
      </w:pPr>
      <w:r>
        <w:rPr>
          <w:sz w:val="20"/>
        </w:rPr>
        <w:t>B46.9,</w:t>
      </w:r>
      <w:r>
        <w:rPr>
          <w:spacing w:val="-6"/>
          <w:sz w:val="20"/>
        </w:rPr>
        <w:t> </w:t>
      </w:r>
      <w:r>
        <w:rPr>
          <w:sz w:val="20"/>
        </w:rPr>
        <w:t>B47,</w:t>
      </w:r>
      <w:r>
        <w:rPr>
          <w:spacing w:val="-5"/>
          <w:sz w:val="20"/>
        </w:rPr>
        <w:t> </w:t>
      </w:r>
      <w:r>
        <w:rPr>
          <w:sz w:val="20"/>
        </w:rPr>
        <w:t>B47.0,</w:t>
      </w:r>
      <w:r>
        <w:rPr>
          <w:spacing w:val="-5"/>
          <w:sz w:val="20"/>
        </w:rPr>
        <w:t> </w:t>
      </w:r>
      <w:r>
        <w:rPr>
          <w:sz w:val="20"/>
        </w:rPr>
        <w:t>B47.1,</w:t>
      </w:r>
      <w:r>
        <w:rPr>
          <w:spacing w:val="-5"/>
          <w:sz w:val="20"/>
        </w:rPr>
        <w:t> </w:t>
      </w:r>
      <w:r>
        <w:rPr>
          <w:sz w:val="20"/>
        </w:rPr>
        <w:t>B47.9,</w:t>
      </w:r>
      <w:r>
        <w:rPr>
          <w:spacing w:val="-5"/>
          <w:sz w:val="20"/>
        </w:rPr>
        <w:t> </w:t>
      </w:r>
      <w:r>
        <w:rPr>
          <w:sz w:val="20"/>
        </w:rPr>
        <w:t>B48,</w:t>
      </w:r>
      <w:r>
        <w:rPr>
          <w:spacing w:val="-5"/>
          <w:sz w:val="20"/>
        </w:rPr>
        <w:t> </w:t>
      </w:r>
      <w:r>
        <w:rPr>
          <w:spacing w:val="-2"/>
          <w:sz w:val="20"/>
        </w:rPr>
        <w:t>B48.0,</w:t>
      </w:r>
    </w:p>
    <w:p>
      <w:pPr>
        <w:spacing w:line="229" w:lineRule="exact" w:before="0"/>
        <w:ind w:left="4643" w:right="0" w:firstLine="0"/>
        <w:jc w:val="left"/>
        <w:rPr>
          <w:sz w:val="20"/>
        </w:rPr>
      </w:pPr>
      <w:r>
        <w:rPr>
          <w:sz w:val="20"/>
        </w:rPr>
        <w:t>B48.1,</w:t>
      </w:r>
      <w:r>
        <w:rPr>
          <w:spacing w:val="-7"/>
          <w:sz w:val="20"/>
        </w:rPr>
        <w:t> </w:t>
      </w:r>
      <w:r>
        <w:rPr>
          <w:sz w:val="20"/>
        </w:rPr>
        <w:t>B48.2,</w:t>
      </w:r>
      <w:r>
        <w:rPr>
          <w:spacing w:val="-4"/>
          <w:sz w:val="20"/>
        </w:rPr>
        <w:t> </w:t>
      </w:r>
      <w:r>
        <w:rPr>
          <w:sz w:val="20"/>
        </w:rPr>
        <w:t>B48.3,</w:t>
      </w:r>
      <w:r>
        <w:rPr>
          <w:spacing w:val="-4"/>
          <w:sz w:val="20"/>
        </w:rPr>
        <w:t> </w:t>
      </w:r>
      <w:r>
        <w:rPr>
          <w:sz w:val="20"/>
        </w:rPr>
        <w:t>B48.4,</w:t>
      </w:r>
      <w:r>
        <w:rPr>
          <w:spacing w:val="-7"/>
          <w:sz w:val="20"/>
        </w:rPr>
        <w:t> </w:t>
      </w:r>
      <w:r>
        <w:rPr>
          <w:sz w:val="20"/>
        </w:rPr>
        <w:t>B48.7,</w:t>
      </w:r>
      <w:r>
        <w:rPr>
          <w:spacing w:val="-4"/>
          <w:sz w:val="20"/>
        </w:rPr>
        <w:t> </w:t>
      </w:r>
      <w:r>
        <w:rPr>
          <w:sz w:val="20"/>
        </w:rPr>
        <w:t>B48.8,</w:t>
      </w:r>
      <w:r>
        <w:rPr>
          <w:spacing w:val="-4"/>
          <w:sz w:val="20"/>
        </w:rPr>
        <w:t> B49,</w:t>
      </w:r>
    </w:p>
    <w:p>
      <w:pPr>
        <w:spacing w:line="229" w:lineRule="exact" w:before="0"/>
        <w:ind w:left="4717" w:right="0" w:firstLine="0"/>
        <w:jc w:val="left"/>
        <w:rPr>
          <w:sz w:val="20"/>
        </w:rPr>
      </w:pPr>
      <w:r>
        <w:rPr>
          <w:sz w:val="20"/>
        </w:rPr>
        <w:t>B50,</w:t>
      </w:r>
      <w:r>
        <w:rPr>
          <w:spacing w:val="-8"/>
          <w:sz w:val="20"/>
        </w:rPr>
        <w:t> </w:t>
      </w:r>
      <w:r>
        <w:rPr>
          <w:sz w:val="20"/>
        </w:rPr>
        <w:t>B50.0,</w:t>
      </w:r>
      <w:r>
        <w:rPr>
          <w:spacing w:val="-5"/>
          <w:sz w:val="20"/>
        </w:rPr>
        <w:t> </w:t>
      </w:r>
      <w:r>
        <w:rPr>
          <w:sz w:val="20"/>
        </w:rPr>
        <w:t>B50.8,</w:t>
      </w:r>
      <w:r>
        <w:rPr>
          <w:spacing w:val="-6"/>
          <w:sz w:val="20"/>
        </w:rPr>
        <w:t> </w:t>
      </w:r>
      <w:r>
        <w:rPr>
          <w:sz w:val="20"/>
        </w:rPr>
        <w:t>B50.9,</w:t>
      </w:r>
      <w:r>
        <w:rPr>
          <w:spacing w:val="-5"/>
          <w:sz w:val="20"/>
        </w:rPr>
        <w:t> </w:t>
      </w:r>
      <w:r>
        <w:rPr>
          <w:sz w:val="20"/>
        </w:rPr>
        <w:t>B51,</w:t>
      </w:r>
      <w:r>
        <w:rPr>
          <w:spacing w:val="-4"/>
          <w:sz w:val="20"/>
        </w:rPr>
        <w:t> </w:t>
      </w:r>
      <w:r>
        <w:rPr>
          <w:sz w:val="20"/>
        </w:rPr>
        <w:t>B51.0,</w:t>
      </w:r>
      <w:r>
        <w:rPr>
          <w:spacing w:val="-5"/>
          <w:sz w:val="20"/>
        </w:rPr>
        <w:t> </w:t>
      </w:r>
      <w:r>
        <w:rPr>
          <w:spacing w:val="-2"/>
          <w:sz w:val="20"/>
        </w:rPr>
        <w:t>B51.8,</w:t>
      </w:r>
    </w:p>
    <w:p>
      <w:pPr>
        <w:spacing w:before="0"/>
        <w:ind w:left="4717" w:right="0" w:firstLine="0"/>
        <w:jc w:val="left"/>
        <w:rPr>
          <w:sz w:val="20"/>
        </w:rPr>
      </w:pPr>
      <w:r>
        <w:rPr>
          <w:sz w:val="20"/>
        </w:rPr>
        <w:t>B51.9,</w:t>
      </w:r>
      <w:r>
        <w:rPr>
          <w:spacing w:val="-6"/>
          <w:sz w:val="20"/>
        </w:rPr>
        <w:t> </w:t>
      </w:r>
      <w:r>
        <w:rPr>
          <w:sz w:val="20"/>
        </w:rPr>
        <w:t>B52,</w:t>
      </w:r>
      <w:r>
        <w:rPr>
          <w:spacing w:val="-5"/>
          <w:sz w:val="20"/>
        </w:rPr>
        <w:t> </w:t>
      </w:r>
      <w:r>
        <w:rPr>
          <w:sz w:val="20"/>
        </w:rPr>
        <w:t>B52.0,</w:t>
      </w:r>
      <w:r>
        <w:rPr>
          <w:spacing w:val="-5"/>
          <w:sz w:val="20"/>
        </w:rPr>
        <w:t> </w:t>
      </w:r>
      <w:r>
        <w:rPr>
          <w:sz w:val="20"/>
        </w:rPr>
        <w:t>B52.8,</w:t>
      </w:r>
      <w:r>
        <w:rPr>
          <w:spacing w:val="-5"/>
          <w:sz w:val="20"/>
        </w:rPr>
        <w:t> </w:t>
      </w:r>
      <w:r>
        <w:rPr>
          <w:sz w:val="20"/>
        </w:rPr>
        <w:t>B52.9,</w:t>
      </w:r>
      <w:r>
        <w:rPr>
          <w:spacing w:val="-5"/>
          <w:sz w:val="20"/>
        </w:rPr>
        <w:t> </w:t>
      </w:r>
      <w:r>
        <w:rPr>
          <w:sz w:val="20"/>
        </w:rPr>
        <w:t>B53,</w:t>
      </w:r>
      <w:r>
        <w:rPr>
          <w:spacing w:val="-5"/>
          <w:sz w:val="20"/>
        </w:rPr>
        <w:t> </w:t>
      </w:r>
      <w:r>
        <w:rPr>
          <w:spacing w:val="-2"/>
          <w:sz w:val="20"/>
        </w:rPr>
        <w:t>B53.0,</w:t>
      </w:r>
    </w:p>
    <w:p>
      <w:pPr>
        <w:spacing w:before="1"/>
        <w:ind w:left="4717" w:right="0" w:firstLine="0"/>
        <w:jc w:val="left"/>
        <w:rPr>
          <w:sz w:val="20"/>
        </w:rPr>
      </w:pPr>
      <w:r>
        <w:rPr>
          <w:sz w:val="20"/>
        </w:rPr>
        <w:t>B53.1,</w:t>
      </w:r>
      <w:r>
        <w:rPr>
          <w:spacing w:val="-7"/>
          <w:sz w:val="20"/>
        </w:rPr>
        <w:t> </w:t>
      </w:r>
      <w:r>
        <w:rPr>
          <w:sz w:val="20"/>
        </w:rPr>
        <w:t>B53.8,</w:t>
      </w:r>
      <w:r>
        <w:rPr>
          <w:spacing w:val="-4"/>
          <w:sz w:val="20"/>
        </w:rPr>
        <w:t> </w:t>
      </w:r>
      <w:r>
        <w:rPr>
          <w:sz w:val="20"/>
        </w:rPr>
        <w:t>B54,</w:t>
      </w:r>
      <w:r>
        <w:rPr>
          <w:spacing w:val="-6"/>
          <w:sz w:val="20"/>
        </w:rPr>
        <w:t> </w:t>
      </w:r>
      <w:r>
        <w:rPr>
          <w:sz w:val="20"/>
        </w:rPr>
        <w:t>B55,</w:t>
      </w:r>
      <w:r>
        <w:rPr>
          <w:spacing w:val="-5"/>
          <w:sz w:val="20"/>
        </w:rPr>
        <w:t> </w:t>
      </w:r>
      <w:r>
        <w:rPr>
          <w:sz w:val="20"/>
        </w:rPr>
        <w:t>B55.0,</w:t>
      </w:r>
      <w:r>
        <w:rPr>
          <w:spacing w:val="-5"/>
          <w:sz w:val="20"/>
        </w:rPr>
        <w:t> </w:t>
      </w:r>
      <w:r>
        <w:rPr>
          <w:sz w:val="20"/>
        </w:rPr>
        <w:t>B55.1,</w:t>
      </w:r>
      <w:r>
        <w:rPr>
          <w:spacing w:val="-5"/>
          <w:sz w:val="20"/>
        </w:rPr>
        <w:t> </w:t>
      </w:r>
      <w:r>
        <w:rPr>
          <w:spacing w:val="-2"/>
          <w:sz w:val="20"/>
        </w:rPr>
        <w:t>B55.2,</w:t>
      </w:r>
    </w:p>
    <w:p>
      <w:pPr>
        <w:spacing w:before="0"/>
        <w:ind w:left="4717" w:right="0" w:firstLine="0"/>
        <w:jc w:val="left"/>
        <w:rPr>
          <w:sz w:val="20"/>
        </w:rPr>
      </w:pPr>
      <w:r>
        <w:rPr>
          <w:sz w:val="20"/>
        </w:rPr>
        <w:t>B55.9,</w:t>
      </w:r>
      <w:r>
        <w:rPr>
          <w:spacing w:val="-6"/>
          <w:sz w:val="20"/>
        </w:rPr>
        <w:t> </w:t>
      </w:r>
      <w:r>
        <w:rPr>
          <w:sz w:val="20"/>
        </w:rPr>
        <w:t>B56,</w:t>
      </w:r>
      <w:r>
        <w:rPr>
          <w:spacing w:val="-5"/>
          <w:sz w:val="20"/>
        </w:rPr>
        <w:t> </w:t>
      </w:r>
      <w:r>
        <w:rPr>
          <w:sz w:val="20"/>
        </w:rPr>
        <w:t>B56.0,</w:t>
      </w:r>
      <w:r>
        <w:rPr>
          <w:spacing w:val="-5"/>
          <w:sz w:val="20"/>
        </w:rPr>
        <w:t> </w:t>
      </w:r>
      <w:r>
        <w:rPr>
          <w:sz w:val="20"/>
        </w:rPr>
        <w:t>B56.1,</w:t>
      </w:r>
      <w:r>
        <w:rPr>
          <w:spacing w:val="-5"/>
          <w:sz w:val="20"/>
        </w:rPr>
        <w:t> </w:t>
      </w:r>
      <w:r>
        <w:rPr>
          <w:sz w:val="20"/>
        </w:rPr>
        <w:t>B56.9,</w:t>
      </w:r>
      <w:r>
        <w:rPr>
          <w:spacing w:val="-5"/>
          <w:sz w:val="20"/>
        </w:rPr>
        <w:t> </w:t>
      </w:r>
      <w:r>
        <w:rPr>
          <w:sz w:val="20"/>
        </w:rPr>
        <w:t>B57,</w:t>
      </w:r>
      <w:r>
        <w:rPr>
          <w:spacing w:val="-5"/>
          <w:sz w:val="20"/>
        </w:rPr>
        <w:t> </w:t>
      </w:r>
      <w:r>
        <w:rPr>
          <w:spacing w:val="-2"/>
          <w:sz w:val="20"/>
        </w:rPr>
        <w:t>B57.0,</w:t>
      </w:r>
    </w:p>
    <w:p>
      <w:pPr>
        <w:spacing w:line="229" w:lineRule="exact" w:before="1"/>
        <w:ind w:left="4643" w:right="0" w:firstLine="0"/>
        <w:jc w:val="left"/>
        <w:rPr>
          <w:sz w:val="20"/>
        </w:rPr>
      </w:pPr>
      <w:r>
        <w:rPr>
          <w:sz w:val="20"/>
        </w:rPr>
        <w:t>B57.1,</w:t>
      </w:r>
      <w:r>
        <w:rPr>
          <w:spacing w:val="-5"/>
          <w:sz w:val="20"/>
        </w:rPr>
        <w:t> </w:t>
      </w:r>
      <w:r>
        <w:rPr>
          <w:sz w:val="20"/>
        </w:rPr>
        <w:t>B57.2,</w:t>
      </w:r>
      <w:r>
        <w:rPr>
          <w:spacing w:val="-5"/>
          <w:sz w:val="20"/>
        </w:rPr>
        <w:t> </w:t>
      </w:r>
      <w:r>
        <w:rPr>
          <w:sz w:val="20"/>
        </w:rPr>
        <w:t>B57.3,</w:t>
      </w:r>
      <w:r>
        <w:rPr>
          <w:spacing w:val="-4"/>
          <w:sz w:val="20"/>
        </w:rPr>
        <w:t> </w:t>
      </w:r>
      <w:r>
        <w:rPr>
          <w:sz w:val="20"/>
        </w:rPr>
        <w:t>B57.4,</w:t>
      </w:r>
      <w:r>
        <w:rPr>
          <w:spacing w:val="-8"/>
          <w:sz w:val="20"/>
        </w:rPr>
        <w:t> </w:t>
      </w:r>
      <w:r>
        <w:rPr>
          <w:sz w:val="20"/>
        </w:rPr>
        <w:t>B57.5,</w:t>
      </w:r>
      <w:r>
        <w:rPr>
          <w:spacing w:val="-5"/>
          <w:sz w:val="20"/>
        </w:rPr>
        <w:t> </w:t>
      </w:r>
      <w:r>
        <w:rPr>
          <w:sz w:val="20"/>
        </w:rPr>
        <w:t>B58,</w:t>
      </w:r>
      <w:r>
        <w:rPr>
          <w:spacing w:val="-6"/>
          <w:sz w:val="20"/>
        </w:rPr>
        <w:t> </w:t>
      </w:r>
      <w:r>
        <w:rPr>
          <w:spacing w:val="-2"/>
          <w:sz w:val="20"/>
        </w:rPr>
        <w:t>B58.0,</w:t>
      </w:r>
    </w:p>
    <w:p>
      <w:pPr>
        <w:spacing w:line="229" w:lineRule="exact" w:before="0"/>
        <w:ind w:left="4643" w:right="0" w:firstLine="0"/>
        <w:jc w:val="left"/>
        <w:rPr>
          <w:sz w:val="20"/>
        </w:rPr>
      </w:pPr>
      <w:r>
        <w:rPr>
          <w:sz w:val="20"/>
        </w:rPr>
        <w:t>B58.1,</w:t>
      </w:r>
      <w:r>
        <w:rPr>
          <w:spacing w:val="-4"/>
          <w:sz w:val="20"/>
        </w:rPr>
        <w:t> </w:t>
      </w:r>
      <w:r>
        <w:rPr>
          <w:sz w:val="20"/>
        </w:rPr>
        <w:t>B58.2,</w:t>
      </w:r>
      <w:r>
        <w:rPr>
          <w:spacing w:val="-4"/>
          <w:sz w:val="20"/>
        </w:rPr>
        <w:t> </w:t>
      </w:r>
      <w:r>
        <w:rPr>
          <w:sz w:val="20"/>
        </w:rPr>
        <w:t>B58.3,</w:t>
      </w:r>
      <w:r>
        <w:rPr>
          <w:spacing w:val="-4"/>
          <w:sz w:val="20"/>
        </w:rPr>
        <w:t> </w:t>
      </w:r>
      <w:r>
        <w:rPr>
          <w:sz w:val="20"/>
        </w:rPr>
        <w:t>B58.8,</w:t>
      </w:r>
      <w:r>
        <w:rPr>
          <w:spacing w:val="-8"/>
          <w:sz w:val="20"/>
        </w:rPr>
        <w:t> </w:t>
      </w:r>
      <w:r>
        <w:rPr>
          <w:sz w:val="20"/>
        </w:rPr>
        <w:t>B58.9,</w:t>
      </w:r>
      <w:r>
        <w:rPr>
          <w:spacing w:val="-4"/>
          <w:sz w:val="20"/>
        </w:rPr>
        <w:t> </w:t>
      </w:r>
      <w:r>
        <w:rPr>
          <w:sz w:val="20"/>
        </w:rPr>
        <w:t>B60,</w:t>
      </w:r>
      <w:r>
        <w:rPr>
          <w:spacing w:val="-6"/>
          <w:sz w:val="20"/>
        </w:rPr>
        <w:t> </w:t>
      </w:r>
      <w:r>
        <w:rPr>
          <w:spacing w:val="-2"/>
          <w:sz w:val="20"/>
        </w:rPr>
        <w:t>B60.0,</w:t>
      </w:r>
    </w:p>
    <w:p>
      <w:pPr>
        <w:spacing w:before="0"/>
        <w:ind w:left="0" w:right="7710" w:firstLine="0"/>
        <w:jc w:val="right"/>
        <w:rPr>
          <w:sz w:val="20"/>
        </w:rPr>
      </w:pPr>
      <w:r>
        <w:rPr>
          <w:sz w:val="20"/>
        </w:rPr>
        <w:t>B60.1,</w:t>
      </w:r>
      <w:r>
        <w:rPr>
          <w:spacing w:val="-7"/>
          <w:sz w:val="20"/>
        </w:rPr>
        <w:t> </w:t>
      </w:r>
      <w:r>
        <w:rPr>
          <w:sz w:val="20"/>
        </w:rPr>
        <w:t>B60.2,</w:t>
      </w:r>
      <w:r>
        <w:rPr>
          <w:spacing w:val="-5"/>
          <w:sz w:val="20"/>
        </w:rPr>
        <w:t> </w:t>
      </w:r>
      <w:r>
        <w:rPr>
          <w:sz w:val="20"/>
        </w:rPr>
        <w:t>B60.8,</w:t>
      </w:r>
      <w:r>
        <w:rPr>
          <w:spacing w:val="-5"/>
          <w:sz w:val="20"/>
        </w:rPr>
        <w:t> </w:t>
      </w:r>
      <w:r>
        <w:rPr>
          <w:sz w:val="20"/>
        </w:rPr>
        <w:t>B64,</w:t>
      </w:r>
      <w:r>
        <w:rPr>
          <w:spacing w:val="-6"/>
          <w:sz w:val="20"/>
        </w:rPr>
        <w:t> </w:t>
      </w:r>
      <w:r>
        <w:rPr>
          <w:sz w:val="20"/>
        </w:rPr>
        <w:t>B65,</w:t>
      </w:r>
      <w:r>
        <w:rPr>
          <w:spacing w:val="-5"/>
          <w:sz w:val="20"/>
        </w:rPr>
        <w:t> </w:t>
      </w:r>
      <w:r>
        <w:rPr>
          <w:sz w:val="20"/>
        </w:rPr>
        <w:t>B65.0,</w:t>
      </w:r>
      <w:r>
        <w:rPr>
          <w:spacing w:val="-6"/>
          <w:sz w:val="20"/>
        </w:rPr>
        <w:t> </w:t>
      </w:r>
      <w:r>
        <w:rPr>
          <w:spacing w:val="-2"/>
          <w:sz w:val="20"/>
        </w:rPr>
        <w:t>B65.1,</w:t>
      </w:r>
    </w:p>
    <w:p>
      <w:pPr>
        <w:spacing w:before="1"/>
        <w:ind w:left="0" w:right="7636" w:firstLine="0"/>
        <w:jc w:val="right"/>
        <w:rPr>
          <w:sz w:val="20"/>
        </w:rPr>
      </w:pPr>
      <w:r>
        <w:rPr>
          <w:sz w:val="20"/>
        </w:rPr>
        <w:t>B65.2,</w:t>
      </w:r>
      <w:r>
        <w:rPr>
          <w:spacing w:val="-5"/>
          <w:sz w:val="20"/>
        </w:rPr>
        <w:t> </w:t>
      </w:r>
      <w:r>
        <w:rPr>
          <w:sz w:val="20"/>
        </w:rPr>
        <w:t>B65.3,</w:t>
      </w:r>
      <w:r>
        <w:rPr>
          <w:spacing w:val="-4"/>
          <w:sz w:val="20"/>
        </w:rPr>
        <w:t> </w:t>
      </w:r>
      <w:r>
        <w:rPr>
          <w:sz w:val="20"/>
        </w:rPr>
        <w:t>B65.8,</w:t>
      </w:r>
      <w:r>
        <w:rPr>
          <w:spacing w:val="-5"/>
          <w:sz w:val="20"/>
        </w:rPr>
        <w:t> </w:t>
      </w:r>
      <w:r>
        <w:rPr>
          <w:sz w:val="20"/>
        </w:rPr>
        <w:t>B65.9,</w:t>
      </w:r>
      <w:r>
        <w:rPr>
          <w:spacing w:val="-8"/>
          <w:sz w:val="20"/>
        </w:rPr>
        <w:t> </w:t>
      </w:r>
      <w:r>
        <w:rPr>
          <w:sz w:val="20"/>
        </w:rPr>
        <w:t>B66,</w:t>
      </w:r>
      <w:r>
        <w:rPr>
          <w:spacing w:val="-6"/>
          <w:sz w:val="20"/>
        </w:rPr>
        <w:t> </w:t>
      </w:r>
      <w:r>
        <w:rPr>
          <w:sz w:val="20"/>
        </w:rPr>
        <w:t>B66.0,</w:t>
      </w:r>
      <w:r>
        <w:rPr>
          <w:spacing w:val="-6"/>
          <w:sz w:val="20"/>
        </w:rPr>
        <w:t> </w:t>
      </w:r>
      <w:r>
        <w:rPr>
          <w:spacing w:val="-2"/>
          <w:sz w:val="20"/>
        </w:rPr>
        <w:t>B66.1,</w:t>
      </w:r>
    </w:p>
    <w:p>
      <w:pPr>
        <w:spacing w:before="0"/>
        <w:ind w:left="0" w:right="7636" w:firstLine="0"/>
        <w:jc w:val="right"/>
        <w:rPr>
          <w:sz w:val="20"/>
        </w:rPr>
      </w:pPr>
      <w:r>
        <w:rPr>
          <w:sz w:val="20"/>
        </w:rPr>
        <w:t>B66.2,</w:t>
      </w:r>
      <w:r>
        <w:rPr>
          <w:spacing w:val="-8"/>
          <w:sz w:val="20"/>
        </w:rPr>
        <w:t> </w:t>
      </w:r>
      <w:r>
        <w:rPr>
          <w:sz w:val="20"/>
        </w:rPr>
        <w:t>B66.3,</w:t>
      </w:r>
      <w:r>
        <w:rPr>
          <w:spacing w:val="-5"/>
          <w:sz w:val="20"/>
        </w:rPr>
        <w:t> </w:t>
      </w:r>
      <w:r>
        <w:rPr>
          <w:sz w:val="20"/>
        </w:rPr>
        <w:t>B66.4,</w:t>
      </w:r>
      <w:r>
        <w:rPr>
          <w:spacing w:val="-5"/>
          <w:sz w:val="20"/>
        </w:rPr>
        <w:t> </w:t>
      </w:r>
      <w:r>
        <w:rPr>
          <w:sz w:val="20"/>
        </w:rPr>
        <w:t>B66.5,</w:t>
      </w:r>
      <w:r>
        <w:rPr>
          <w:spacing w:val="-8"/>
          <w:sz w:val="20"/>
        </w:rPr>
        <w:t> </w:t>
      </w:r>
      <w:r>
        <w:rPr>
          <w:sz w:val="20"/>
        </w:rPr>
        <w:t>B66.8,</w:t>
      </w:r>
      <w:r>
        <w:rPr>
          <w:spacing w:val="-5"/>
          <w:sz w:val="20"/>
        </w:rPr>
        <w:t> </w:t>
      </w:r>
      <w:r>
        <w:rPr>
          <w:sz w:val="20"/>
        </w:rPr>
        <w:t>B66.9,</w:t>
      </w:r>
      <w:r>
        <w:rPr>
          <w:spacing w:val="-5"/>
          <w:sz w:val="20"/>
        </w:rPr>
        <w:t> </w:t>
      </w:r>
      <w:r>
        <w:rPr>
          <w:spacing w:val="-4"/>
          <w:sz w:val="20"/>
        </w:rPr>
        <w:t>B67,</w:t>
      </w:r>
    </w:p>
    <w:p>
      <w:pPr>
        <w:spacing w:before="1"/>
        <w:ind w:left="0" w:right="7562" w:firstLine="0"/>
        <w:jc w:val="right"/>
        <w:rPr>
          <w:sz w:val="20"/>
        </w:rPr>
      </w:pPr>
      <w:r>
        <w:rPr>
          <w:sz w:val="20"/>
        </w:rPr>
        <w:t>B67.0,</w:t>
      </w:r>
      <w:r>
        <w:rPr>
          <w:spacing w:val="-8"/>
          <w:sz w:val="20"/>
        </w:rPr>
        <w:t> </w:t>
      </w:r>
      <w:r>
        <w:rPr>
          <w:sz w:val="20"/>
        </w:rPr>
        <w:t>B67.1,</w:t>
      </w:r>
      <w:r>
        <w:rPr>
          <w:spacing w:val="-5"/>
          <w:sz w:val="20"/>
        </w:rPr>
        <w:t> </w:t>
      </w:r>
      <w:r>
        <w:rPr>
          <w:sz w:val="20"/>
        </w:rPr>
        <w:t>B67.2,</w:t>
      </w:r>
      <w:r>
        <w:rPr>
          <w:spacing w:val="-5"/>
          <w:sz w:val="20"/>
        </w:rPr>
        <w:t> </w:t>
      </w:r>
      <w:r>
        <w:rPr>
          <w:sz w:val="20"/>
        </w:rPr>
        <w:t>B67.3,</w:t>
      </w:r>
      <w:r>
        <w:rPr>
          <w:spacing w:val="-8"/>
          <w:sz w:val="20"/>
        </w:rPr>
        <w:t> </w:t>
      </w:r>
      <w:r>
        <w:rPr>
          <w:sz w:val="20"/>
        </w:rPr>
        <w:t>B67.4,</w:t>
      </w:r>
      <w:r>
        <w:rPr>
          <w:spacing w:val="-5"/>
          <w:sz w:val="20"/>
        </w:rPr>
        <w:t> </w:t>
      </w:r>
      <w:r>
        <w:rPr>
          <w:sz w:val="20"/>
        </w:rPr>
        <w:t>B67.5,</w:t>
      </w:r>
      <w:r>
        <w:rPr>
          <w:spacing w:val="-5"/>
          <w:sz w:val="20"/>
        </w:rPr>
        <w:t> </w:t>
      </w:r>
      <w:r>
        <w:rPr>
          <w:spacing w:val="-2"/>
          <w:sz w:val="20"/>
        </w:rPr>
        <w:t>B67.6,</w:t>
      </w:r>
    </w:p>
    <w:p>
      <w:pPr>
        <w:spacing w:line="229" w:lineRule="exact" w:before="0"/>
        <w:ind w:left="0" w:right="7630" w:firstLine="0"/>
        <w:jc w:val="right"/>
        <w:rPr>
          <w:sz w:val="20"/>
        </w:rPr>
      </w:pPr>
      <w:r>
        <w:rPr>
          <w:sz w:val="20"/>
        </w:rPr>
        <w:t>B67.7,</w:t>
      </w:r>
      <w:r>
        <w:rPr>
          <w:spacing w:val="-5"/>
          <w:sz w:val="20"/>
        </w:rPr>
        <w:t> </w:t>
      </w:r>
      <w:r>
        <w:rPr>
          <w:sz w:val="20"/>
        </w:rPr>
        <w:t>B67.8,</w:t>
      </w:r>
      <w:r>
        <w:rPr>
          <w:spacing w:val="-5"/>
          <w:sz w:val="20"/>
        </w:rPr>
        <w:t> </w:t>
      </w:r>
      <w:r>
        <w:rPr>
          <w:sz w:val="20"/>
        </w:rPr>
        <w:t>B67.9,</w:t>
      </w:r>
      <w:r>
        <w:rPr>
          <w:spacing w:val="-4"/>
          <w:sz w:val="20"/>
        </w:rPr>
        <w:t> </w:t>
      </w:r>
      <w:r>
        <w:rPr>
          <w:sz w:val="20"/>
        </w:rPr>
        <w:t>B68,</w:t>
      </w:r>
      <w:r>
        <w:rPr>
          <w:spacing w:val="-7"/>
          <w:sz w:val="20"/>
        </w:rPr>
        <w:t> </w:t>
      </w:r>
      <w:r>
        <w:rPr>
          <w:sz w:val="20"/>
        </w:rPr>
        <w:t>B68.0,</w:t>
      </w:r>
      <w:r>
        <w:rPr>
          <w:spacing w:val="-6"/>
          <w:sz w:val="20"/>
        </w:rPr>
        <w:t> </w:t>
      </w:r>
      <w:r>
        <w:rPr>
          <w:sz w:val="20"/>
        </w:rPr>
        <w:t>B68.1,</w:t>
      </w:r>
      <w:r>
        <w:rPr>
          <w:spacing w:val="-5"/>
          <w:sz w:val="20"/>
        </w:rPr>
        <w:t> </w:t>
      </w:r>
      <w:r>
        <w:rPr>
          <w:spacing w:val="-2"/>
          <w:sz w:val="20"/>
        </w:rPr>
        <w:t>B68.9,</w:t>
      </w:r>
    </w:p>
    <w:p>
      <w:pPr>
        <w:spacing w:line="229" w:lineRule="exact" w:before="0"/>
        <w:ind w:left="4717" w:right="0" w:firstLine="0"/>
        <w:jc w:val="left"/>
        <w:rPr>
          <w:sz w:val="20"/>
        </w:rPr>
      </w:pPr>
      <w:r>
        <w:rPr>
          <w:sz w:val="20"/>
        </w:rPr>
        <w:t>B69,</w:t>
      </w:r>
      <w:r>
        <w:rPr>
          <w:spacing w:val="-7"/>
          <w:sz w:val="20"/>
        </w:rPr>
        <w:t> </w:t>
      </w:r>
      <w:r>
        <w:rPr>
          <w:sz w:val="20"/>
        </w:rPr>
        <w:t>B69.0,</w:t>
      </w:r>
      <w:r>
        <w:rPr>
          <w:spacing w:val="-5"/>
          <w:sz w:val="20"/>
        </w:rPr>
        <w:t> </w:t>
      </w:r>
      <w:r>
        <w:rPr>
          <w:sz w:val="20"/>
        </w:rPr>
        <w:t>B69.1,</w:t>
      </w:r>
      <w:r>
        <w:rPr>
          <w:spacing w:val="-5"/>
          <w:sz w:val="20"/>
        </w:rPr>
        <w:t> </w:t>
      </w:r>
      <w:r>
        <w:rPr>
          <w:sz w:val="20"/>
        </w:rPr>
        <w:t>B69.8,</w:t>
      </w:r>
      <w:r>
        <w:rPr>
          <w:spacing w:val="-5"/>
          <w:sz w:val="20"/>
        </w:rPr>
        <w:t> </w:t>
      </w:r>
      <w:r>
        <w:rPr>
          <w:sz w:val="20"/>
        </w:rPr>
        <w:t>B69.9,</w:t>
      </w:r>
      <w:r>
        <w:rPr>
          <w:spacing w:val="-5"/>
          <w:sz w:val="20"/>
        </w:rPr>
        <w:t> </w:t>
      </w:r>
      <w:r>
        <w:rPr>
          <w:sz w:val="20"/>
        </w:rPr>
        <w:t>B70,</w:t>
      </w:r>
      <w:r>
        <w:rPr>
          <w:spacing w:val="-5"/>
          <w:sz w:val="20"/>
        </w:rPr>
        <w:t> </w:t>
      </w:r>
      <w:r>
        <w:rPr>
          <w:spacing w:val="-2"/>
          <w:sz w:val="20"/>
        </w:rPr>
        <w:t>B70.0,</w:t>
      </w:r>
    </w:p>
    <w:p>
      <w:pPr>
        <w:spacing w:before="1"/>
        <w:ind w:left="4717" w:right="0" w:firstLine="0"/>
        <w:jc w:val="left"/>
        <w:rPr>
          <w:sz w:val="20"/>
        </w:rPr>
      </w:pPr>
      <w:r>
        <w:rPr>
          <w:sz w:val="20"/>
        </w:rPr>
        <w:t>B70.1,</w:t>
      </w:r>
      <w:r>
        <w:rPr>
          <w:spacing w:val="-4"/>
          <w:sz w:val="20"/>
        </w:rPr>
        <w:t> </w:t>
      </w:r>
      <w:r>
        <w:rPr>
          <w:sz w:val="20"/>
        </w:rPr>
        <w:t>B71,</w:t>
      </w:r>
      <w:r>
        <w:rPr>
          <w:spacing w:val="-6"/>
          <w:sz w:val="20"/>
        </w:rPr>
        <w:t> </w:t>
      </w:r>
      <w:r>
        <w:rPr>
          <w:sz w:val="20"/>
        </w:rPr>
        <w:t>B71.0,</w:t>
      </w:r>
      <w:r>
        <w:rPr>
          <w:spacing w:val="-5"/>
          <w:sz w:val="20"/>
        </w:rPr>
        <w:t> </w:t>
      </w:r>
      <w:r>
        <w:rPr>
          <w:sz w:val="20"/>
        </w:rPr>
        <w:t>B71.1,</w:t>
      </w:r>
      <w:r>
        <w:rPr>
          <w:spacing w:val="-6"/>
          <w:sz w:val="20"/>
        </w:rPr>
        <w:t> </w:t>
      </w:r>
      <w:r>
        <w:rPr>
          <w:sz w:val="20"/>
        </w:rPr>
        <w:t>B71.8,</w:t>
      </w:r>
      <w:r>
        <w:rPr>
          <w:spacing w:val="-5"/>
          <w:sz w:val="20"/>
        </w:rPr>
        <w:t> </w:t>
      </w:r>
      <w:r>
        <w:rPr>
          <w:sz w:val="20"/>
        </w:rPr>
        <w:t>B71.9,</w:t>
      </w:r>
      <w:r>
        <w:rPr>
          <w:spacing w:val="-4"/>
          <w:sz w:val="20"/>
        </w:rPr>
        <w:t> B72,</w:t>
      </w:r>
    </w:p>
    <w:p>
      <w:pPr>
        <w:spacing w:before="0"/>
        <w:ind w:left="4717" w:right="0" w:firstLine="0"/>
        <w:jc w:val="left"/>
        <w:rPr>
          <w:sz w:val="20"/>
        </w:rPr>
      </w:pPr>
      <w:r>
        <w:rPr>
          <w:sz w:val="20"/>
        </w:rPr>
        <w:t>B73,</w:t>
      </w:r>
      <w:r>
        <w:rPr>
          <w:spacing w:val="-9"/>
          <w:sz w:val="20"/>
        </w:rPr>
        <w:t> </w:t>
      </w:r>
      <w:r>
        <w:rPr>
          <w:sz w:val="20"/>
        </w:rPr>
        <w:t>B74,</w:t>
      </w:r>
      <w:r>
        <w:rPr>
          <w:spacing w:val="-4"/>
          <w:sz w:val="20"/>
        </w:rPr>
        <w:t> </w:t>
      </w:r>
      <w:r>
        <w:rPr>
          <w:sz w:val="20"/>
        </w:rPr>
        <w:t>B74.0,</w:t>
      </w:r>
      <w:r>
        <w:rPr>
          <w:spacing w:val="-5"/>
          <w:sz w:val="20"/>
        </w:rPr>
        <w:t> </w:t>
      </w:r>
      <w:r>
        <w:rPr>
          <w:sz w:val="20"/>
        </w:rPr>
        <w:t>B74.1,</w:t>
      </w:r>
      <w:r>
        <w:rPr>
          <w:spacing w:val="-6"/>
          <w:sz w:val="20"/>
        </w:rPr>
        <w:t> </w:t>
      </w:r>
      <w:r>
        <w:rPr>
          <w:sz w:val="20"/>
        </w:rPr>
        <w:t>B74.2,</w:t>
      </w:r>
      <w:r>
        <w:rPr>
          <w:spacing w:val="-4"/>
          <w:sz w:val="20"/>
        </w:rPr>
        <w:t> </w:t>
      </w:r>
      <w:r>
        <w:rPr>
          <w:sz w:val="20"/>
        </w:rPr>
        <w:t>B74.3,</w:t>
      </w:r>
      <w:r>
        <w:rPr>
          <w:spacing w:val="-6"/>
          <w:sz w:val="20"/>
        </w:rPr>
        <w:t> </w:t>
      </w:r>
      <w:r>
        <w:rPr>
          <w:spacing w:val="-2"/>
          <w:sz w:val="20"/>
        </w:rPr>
        <w:t>B74.4,</w:t>
      </w:r>
    </w:p>
    <w:p>
      <w:pPr>
        <w:spacing w:before="1"/>
        <w:ind w:left="4717" w:right="0" w:firstLine="0"/>
        <w:jc w:val="left"/>
        <w:rPr>
          <w:sz w:val="20"/>
        </w:rPr>
      </w:pPr>
      <w:r>
        <w:rPr>
          <w:sz w:val="20"/>
        </w:rPr>
        <w:t>B74.8,</w:t>
      </w:r>
      <w:r>
        <w:rPr>
          <w:spacing w:val="-7"/>
          <w:sz w:val="20"/>
        </w:rPr>
        <w:t> </w:t>
      </w:r>
      <w:r>
        <w:rPr>
          <w:sz w:val="20"/>
        </w:rPr>
        <w:t>B74.9,</w:t>
      </w:r>
      <w:r>
        <w:rPr>
          <w:spacing w:val="-4"/>
          <w:sz w:val="20"/>
        </w:rPr>
        <w:t> </w:t>
      </w:r>
      <w:r>
        <w:rPr>
          <w:sz w:val="20"/>
        </w:rPr>
        <w:t>B75,</w:t>
      </w:r>
      <w:r>
        <w:rPr>
          <w:spacing w:val="-6"/>
          <w:sz w:val="20"/>
        </w:rPr>
        <w:t> </w:t>
      </w:r>
      <w:r>
        <w:rPr>
          <w:sz w:val="20"/>
        </w:rPr>
        <w:t>B76,</w:t>
      </w:r>
      <w:r>
        <w:rPr>
          <w:spacing w:val="-5"/>
          <w:sz w:val="20"/>
        </w:rPr>
        <w:t> </w:t>
      </w:r>
      <w:r>
        <w:rPr>
          <w:sz w:val="20"/>
        </w:rPr>
        <w:t>B76.0,</w:t>
      </w:r>
      <w:r>
        <w:rPr>
          <w:spacing w:val="-5"/>
          <w:sz w:val="20"/>
        </w:rPr>
        <w:t> </w:t>
      </w:r>
      <w:r>
        <w:rPr>
          <w:sz w:val="20"/>
        </w:rPr>
        <w:t>B76.1,</w:t>
      </w:r>
      <w:r>
        <w:rPr>
          <w:spacing w:val="-5"/>
          <w:sz w:val="20"/>
        </w:rPr>
        <w:t> </w:t>
      </w:r>
      <w:r>
        <w:rPr>
          <w:spacing w:val="-2"/>
          <w:sz w:val="20"/>
        </w:rPr>
        <w:t>B76.8,</w:t>
      </w:r>
    </w:p>
    <w:p>
      <w:pPr>
        <w:spacing w:before="0"/>
        <w:ind w:left="4717" w:right="0" w:firstLine="0"/>
        <w:jc w:val="left"/>
        <w:rPr>
          <w:sz w:val="20"/>
        </w:rPr>
      </w:pPr>
      <w:r>
        <w:rPr>
          <w:sz w:val="20"/>
        </w:rPr>
        <w:t>B76.9,</w:t>
      </w:r>
      <w:r>
        <w:rPr>
          <w:spacing w:val="-6"/>
          <w:sz w:val="20"/>
        </w:rPr>
        <w:t> </w:t>
      </w:r>
      <w:r>
        <w:rPr>
          <w:sz w:val="20"/>
        </w:rPr>
        <w:t>B77,</w:t>
      </w:r>
      <w:r>
        <w:rPr>
          <w:spacing w:val="-5"/>
          <w:sz w:val="20"/>
        </w:rPr>
        <w:t> </w:t>
      </w:r>
      <w:r>
        <w:rPr>
          <w:sz w:val="20"/>
        </w:rPr>
        <w:t>B77.0,</w:t>
      </w:r>
      <w:r>
        <w:rPr>
          <w:spacing w:val="-5"/>
          <w:sz w:val="20"/>
        </w:rPr>
        <w:t> </w:t>
      </w:r>
      <w:r>
        <w:rPr>
          <w:sz w:val="20"/>
        </w:rPr>
        <w:t>B77.8,</w:t>
      </w:r>
      <w:r>
        <w:rPr>
          <w:spacing w:val="-5"/>
          <w:sz w:val="20"/>
        </w:rPr>
        <w:t> </w:t>
      </w:r>
      <w:r>
        <w:rPr>
          <w:sz w:val="20"/>
        </w:rPr>
        <w:t>B77.9,</w:t>
      </w:r>
      <w:r>
        <w:rPr>
          <w:spacing w:val="-5"/>
          <w:sz w:val="20"/>
        </w:rPr>
        <w:t> </w:t>
      </w:r>
      <w:r>
        <w:rPr>
          <w:sz w:val="20"/>
        </w:rPr>
        <w:t>B78,</w:t>
      </w:r>
      <w:r>
        <w:rPr>
          <w:spacing w:val="-5"/>
          <w:sz w:val="20"/>
        </w:rPr>
        <w:t> </w:t>
      </w:r>
      <w:r>
        <w:rPr>
          <w:spacing w:val="-2"/>
          <w:sz w:val="20"/>
        </w:rPr>
        <w:t>B78.0,</w:t>
      </w:r>
    </w:p>
    <w:p>
      <w:pPr>
        <w:spacing w:before="0"/>
        <w:ind w:left="4792" w:right="0" w:firstLine="0"/>
        <w:jc w:val="left"/>
        <w:rPr>
          <w:sz w:val="20"/>
        </w:rPr>
      </w:pPr>
      <w:r>
        <w:rPr>
          <w:sz w:val="20"/>
        </w:rPr>
        <w:t>B78.1,</w:t>
      </w:r>
      <w:r>
        <w:rPr>
          <w:spacing w:val="-4"/>
          <w:sz w:val="20"/>
        </w:rPr>
        <w:t> </w:t>
      </w:r>
      <w:r>
        <w:rPr>
          <w:sz w:val="20"/>
        </w:rPr>
        <w:t>B78.7,</w:t>
      </w:r>
      <w:r>
        <w:rPr>
          <w:spacing w:val="-4"/>
          <w:sz w:val="20"/>
        </w:rPr>
        <w:t> </w:t>
      </w:r>
      <w:r>
        <w:rPr>
          <w:sz w:val="20"/>
        </w:rPr>
        <w:t>B78.9,</w:t>
      </w:r>
      <w:r>
        <w:rPr>
          <w:spacing w:val="-4"/>
          <w:sz w:val="20"/>
        </w:rPr>
        <w:t> </w:t>
      </w:r>
      <w:r>
        <w:rPr>
          <w:sz w:val="20"/>
        </w:rPr>
        <w:t>B79,</w:t>
      </w:r>
      <w:r>
        <w:rPr>
          <w:spacing w:val="-6"/>
          <w:sz w:val="20"/>
        </w:rPr>
        <w:t> </w:t>
      </w:r>
      <w:r>
        <w:rPr>
          <w:sz w:val="20"/>
        </w:rPr>
        <w:t>B80,</w:t>
      </w:r>
      <w:r>
        <w:rPr>
          <w:spacing w:val="-4"/>
          <w:sz w:val="20"/>
        </w:rPr>
        <w:t> </w:t>
      </w:r>
      <w:r>
        <w:rPr>
          <w:sz w:val="20"/>
        </w:rPr>
        <w:t>B81,</w:t>
      </w:r>
      <w:r>
        <w:rPr>
          <w:spacing w:val="-4"/>
          <w:sz w:val="20"/>
        </w:rPr>
        <w:t> </w:t>
      </w:r>
      <w:r>
        <w:rPr>
          <w:spacing w:val="-2"/>
          <w:sz w:val="20"/>
        </w:rPr>
        <w:t>B81.0,</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43"/>
        <w:gridCol w:w="5117"/>
        <w:gridCol w:w="2005"/>
        <w:gridCol w:w="3121"/>
        <w:gridCol w:w="864"/>
      </w:tblGrid>
      <w:tr>
        <w:trPr>
          <w:trHeight w:val="1885" w:hRule="atLeast"/>
        </w:trPr>
        <w:tc>
          <w:tcPr>
            <w:tcW w:w="971" w:type="dxa"/>
          </w:tcPr>
          <w:p>
            <w:pPr>
              <w:pStyle w:val="TableParagraph"/>
              <w:rPr>
                <w:sz w:val="18"/>
              </w:rPr>
            </w:pPr>
          </w:p>
        </w:tc>
        <w:tc>
          <w:tcPr>
            <w:tcW w:w="657" w:type="dxa"/>
          </w:tcPr>
          <w:p>
            <w:pPr>
              <w:pStyle w:val="TableParagraph"/>
              <w:rPr>
                <w:sz w:val="18"/>
              </w:rPr>
            </w:pPr>
          </w:p>
        </w:tc>
        <w:tc>
          <w:tcPr>
            <w:tcW w:w="2543" w:type="dxa"/>
          </w:tcPr>
          <w:p>
            <w:pPr>
              <w:pStyle w:val="TableParagraph"/>
              <w:rPr>
                <w:sz w:val="18"/>
              </w:rPr>
            </w:pPr>
          </w:p>
        </w:tc>
        <w:tc>
          <w:tcPr>
            <w:tcW w:w="5117" w:type="dxa"/>
          </w:tcPr>
          <w:p>
            <w:pPr>
              <w:pStyle w:val="TableParagraph"/>
              <w:spacing w:line="221" w:lineRule="exact"/>
              <w:ind w:left="180" w:right="896"/>
              <w:jc w:val="center"/>
              <w:rPr>
                <w:sz w:val="20"/>
              </w:rPr>
            </w:pPr>
            <w:r>
              <w:rPr>
                <w:sz w:val="20"/>
              </w:rPr>
              <w:t>B81.1,</w:t>
            </w:r>
            <w:r>
              <w:rPr>
                <w:spacing w:val="-5"/>
                <w:sz w:val="20"/>
              </w:rPr>
              <w:t> </w:t>
            </w:r>
            <w:r>
              <w:rPr>
                <w:sz w:val="20"/>
              </w:rPr>
              <w:t>B81.2,</w:t>
            </w:r>
            <w:r>
              <w:rPr>
                <w:spacing w:val="-5"/>
                <w:sz w:val="20"/>
              </w:rPr>
              <w:t> </w:t>
            </w:r>
            <w:r>
              <w:rPr>
                <w:sz w:val="20"/>
              </w:rPr>
              <w:t>B81.3,</w:t>
            </w:r>
            <w:r>
              <w:rPr>
                <w:spacing w:val="-4"/>
                <w:sz w:val="20"/>
              </w:rPr>
              <w:t> </w:t>
            </w:r>
            <w:r>
              <w:rPr>
                <w:sz w:val="20"/>
              </w:rPr>
              <w:t>B81.4,</w:t>
            </w:r>
            <w:r>
              <w:rPr>
                <w:spacing w:val="-8"/>
                <w:sz w:val="20"/>
              </w:rPr>
              <w:t> </w:t>
            </w:r>
            <w:r>
              <w:rPr>
                <w:sz w:val="20"/>
              </w:rPr>
              <w:t>B81.8,</w:t>
            </w:r>
            <w:r>
              <w:rPr>
                <w:spacing w:val="-5"/>
                <w:sz w:val="20"/>
              </w:rPr>
              <w:t> </w:t>
            </w:r>
            <w:r>
              <w:rPr>
                <w:sz w:val="20"/>
              </w:rPr>
              <w:t>B82,</w:t>
            </w:r>
            <w:r>
              <w:rPr>
                <w:spacing w:val="-6"/>
                <w:sz w:val="20"/>
              </w:rPr>
              <w:t> </w:t>
            </w:r>
            <w:r>
              <w:rPr>
                <w:spacing w:val="-2"/>
                <w:sz w:val="20"/>
              </w:rPr>
              <w:t>B82.0,</w:t>
            </w:r>
          </w:p>
          <w:p>
            <w:pPr>
              <w:pStyle w:val="TableParagraph"/>
              <w:spacing w:line="229" w:lineRule="exact"/>
              <w:ind w:left="180" w:right="896"/>
              <w:jc w:val="center"/>
              <w:rPr>
                <w:sz w:val="20"/>
              </w:rPr>
            </w:pPr>
            <w:r>
              <w:rPr>
                <w:sz w:val="20"/>
              </w:rPr>
              <w:t>B82.9,</w:t>
            </w:r>
            <w:r>
              <w:rPr>
                <w:spacing w:val="-4"/>
                <w:sz w:val="20"/>
              </w:rPr>
              <w:t> </w:t>
            </w:r>
            <w:r>
              <w:rPr>
                <w:sz w:val="20"/>
              </w:rPr>
              <w:t>B83,</w:t>
            </w:r>
            <w:r>
              <w:rPr>
                <w:spacing w:val="-6"/>
                <w:sz w:val="20"/>
              </w:rPr>
              <w:t> </w:t>
            </w:r>
            <w:r>
              <w:rPr>
                <w:sz w:val="20"/>
              </w:rPr>
              <w:t>B83.0,</w:t>
            </w:r>
            <w:r>
              <w:rPr>
                <w:spacing w:val="-5"/>
                <w:sz w:val="20"/>
              </w:rPr>
              <w:t> </w:t>
            </w:r>
            <w:r>
              <w:rPr>
                <w:sz w:val="20"/>
              </w:rPr>
              <w:t>B83.1,</w:t>
            </w:r>
            <w:r>
              <w:rPr>
                <w:spacing w:val="-6"/>
                <w:sz w:val="20"/>
              </w:rPr>
              <w:t> </w:t>
            </w:r>
            <w:r>
              <w:rPr>
                <w:sz w:val="20"/>
              </w:rPr>
              <w:t>B83.2,</w:t>
            </w:r>
            <w:r>
              <w:rPr>
                <w:spacing w:val="-5"/>
                <w:sz w:val="20"/>
              </w:rPr>
              <w:t> </w:t>
            </w:r>
            <w:r>
              <w:rPr>
                <w:sz w:val="20"/>
              </w:rPr>
              <w:t>B83.3,</w:t>
            </w:r>
            <w:r>
              <w:rPr>
                <w:spacing w:val="-4"/>
                <w:sz w:val="20"/>
              </w:rPr>
              <w:t> </w:t>
            </w:r>
            <w:r>
              <w:rPr>
                <w:spacing w:val="-2"/>
                <w:sz w:val="20"/>
              </w:rPr>
              <w:t>B83.4,</w:t>
            </w:r>
          </w:p>
          <w:p>
            <w:pPr>
              <w:pStyle w:val="TableParagraph"/>
              <w:spacing w:line="229" w:lineRule="exact"/>
              <w:ind w:left="180" w:right="897"/>
              <w:jc w:val="center"/>
              <w:rPr>
                <w:sz w:val="20"/>
              </w:rPr>
            </w:pPr>
            <w:r>
              <w:rPr>
                <w:sz w:val="20"/>
              </w:rPr>
              <w:t>B83.8,</w:t>
            </w:r>
            <w:r>
              <w:rPr>
                <w:spacing w:val="-7"/>
                <w:sz w:val="20"/>
              </w:rPr>
              <w:t> </w:t>
            </w:r>
            <w:r>
              <w:rPr>
                <w:sz w:val="20"/>
              </w:rPr>
              <w:t>B83.9,</w:t>
            </w:r>
            <w:r>
              <w:rPr>
                <w:spacing w:val="-4"/>
                <w:sz w:val="20"/>
              </w:rPr>
              <w:t> </w:t>
            </w:r>
            <w:r>
              <w:rPr>
                <w:sz w:val="20"/>
              </w:rPr>
              <w:t>B89,</w:t>
            </w:r>
            <w:r>
              <w:rPr>
                <w:spacing w:val="-6"/>
                <w:sz w:val="20"/>
              </w:rPr>
              <w:t> </w:t>
            </w:r>
            <w:r>
              <w:rPr>
                <w:sz w:val="20"/>
              </w:rPr>
              <w:t>B92,</w:t>
            </w:r>
            <w:r>
              <w:rPr>
                <w:spacing w:val="-5"/>
                <w:sz w:val="20"/>
              </w:rPr>
              <w:t> </w:t>
            </w:r>
            <w:r>
              <w:rPr>
                <w:sz w:val="20"/>
              </w:rPr>
              <w:t>B94.8,</w:t>
            </w:r>
            <w:r>
              <w:rPr>
                <w:spacing w:val="-5"/>
                <w:sz w:val="20"/>
              </w:rPr>
              <w:t> </w:t>
            </w:r>
            <w:r>
              <w:rPr>
                <w:sz w:val="20"/>
              </w:rPr>
              <w:t>B94.9,</w:t>
            </w:r>
            <w:r>
              <w:rPr>
                <w:spacing w:val="-5"/>
                <w:sz w:val="20"/>
              </w:rPr>
              <w:t> </w:t>
            </w:r>
            <w:r>
              <w:rPr>
                <w:spacing w:val="-4"/>
                <w:sz w:val="20"/>
              </w:rPr>
              <w:t>B95,</w:t>
            </w:r>
          </w:p>
          <w:p>
            <w:pPr>
              <w:pStyle w:val="TableParagraph"/>
              <w:spacing w:before="1"/>
              <w:ind w:left="180" w:right="896"/>
              <w:jc w:val="center"/>
              <w:rPr>
                <w:sz w:val="20"/>
              </w:rPr>
            </w:pPr>
            <w:r>
              <w:rPr>
                <w:sz w:val="20"/>
              </w:rPr>
              <w:t>B95.0,</w:t>
            </w:r>
            <w:r>
              <w:rPr>
                <w:spacing w:val="-8"/>
                <w:sz w:val="20"/>
              </w:rPr>
              <w:t> </w:t>
            </w:r>
            <w:r>
              <w:rPr>
                <w:sz w:val="20"/>
              </w:rPr>
              <w:t>B95.1,</w:t>
            </w:r>
            <w:r>
              <w:rPr>
                <w:spacing w:val="-5"/>
                <w:sz w:val="20"/>
              </w:rPr>
              <w:t> </w:t>
            </w:r>
            <w:r>
              <w:rPr>
                <w:sz w:val="20"/>
              </w:rPr>
              <w:t>B95.2,</w:t>
            </w:r>
            <w:r>
              <w:rPr>
                <w:spacing w:val="-5"/>
                <w:sz w:val="20"/>
              </w:rPr>
              <w:t> </w:t>
            </w:r>
            <w:r>
              <w:rPr>
                <w:sz w:val="20"/>
              </w:rPr>
              <w:t>B95.3,</w:t>
            </w:r>
            <w:r>
              <w:rPr>
                <w:spacing w:val="-8"/>
                <w:sz w:val="20"/>
              </w:rPr>
              <w:t> </w:t>
            </w:r>
            <w:r>
              <w:rPr>
                <w:sz w:val="20"/>
              </w:rPr>
              <w:t>B95.4,</w:t>
            </w:r>
            <w:r>
              <w:rPr>
                <w:spacing w:val="-5"/>
                <w:sz w:val="20"/>
              </w:rPr>
              <w:t> </w:t>
            </w:r>
            <w:r>
              <w:rPr>
                <w:sz w:val="20"/>
              </w:rPr>
              <w:t>B95.5,</w:t>
            </w:r>
            <w:r>
              <w:rPr>
                <w:spacing w:val="-5"/>
                <w:sz w:val="20"/>
              </w:rPr>
              <w:t> </w:t>
            </w:r>
            <w:r>
              <w:rPr>
                <w:spacing w:val="-2"/>
                <w:sz w:val="20"/>
              </w:rPr>
              <w:t>B95.6,</w:t>
            </w:r>
          </w:p>
          <w:p>
            <w:pPr>
              <w:pStyle w:val="TableParagraph"/>
              <w:ind w:left="180" w:right="896"/>
              <w:jc w:val="center"/>
              <w:rPr>
                <w:sz w:val="20"/>
              </w:rPr>
            </w:pPr>
            <w:r>
              <w:rPr>
                <w:sz w:val="20"/>
              </w:rPr>
              <w:t>B95.7,</w:t>
            </w:r>
            <w:r>
              <w:rPr>
                <w:spacing w:val="-4"/>
                <w:sz w:val="20"/>
              </w:rPr>
              <w:t> </w:t>
            </w:r>
            <w:r>
              <w:rPr>
                <w:sz w:val="20"/>
              </w:rPr>
              <w:t>B95.8,</w:t>
            </w:r>
            <w:r>
              <w:rPr>
                <w:spacing w:val="-4"/>
                <w:sz w:val="20"/>
              </w:rPr>
              <w:t> </w:t>
            </w:r>
            <w:r>
              <w:rPr>
                <w:sz w:val="20"/>
              </w:rPr>
              <w:t>B96,</w:t>
            </w:r>
            <w:r>
              <w:rPr>
                <w:spacing w:val="-6"/>
                <w:sz w:val="20"/>
              </w:rPr>
              <w:t> </w:t>
            </w:r>
            <w:r>
              <w:rPr>
                <w:sz w:val="20"/>
              </w:rPr>
              <w:t>B96.0,</w:t>
            </w:r>
            <w:r>
              <w:rPr>
                <w:spacing w:val="-6"/>
                <w:sz w:val="20"/>
              </w:rPr>
              <w:t> </w:t>
            </w:r>
            <w:r>
              <w:rPr>
                <w:sz w:val="20"/>
              </w:rPr>
              <w:t>B96.1,</w:t>
            </w:r>
            <w:r>
              <w:rPr>
                <w:spacing w:val="-6"/>
                <w:sz w:val="20"/>
              </w:rPr>
              <w:t> </w:t>
            </w:r>
            <w:r>
              <w:rPr>
                <w:sz w:val="20"/>
              </w:rPr>
              <w:t>B96.2,</w:t>
            </w:r>
            <w:r>
              <w:rPr>
                <w:spacing w:val="-4"/>
                <w:sz w:val="20"/>
              </w:rPr>
              <w:t> </w:t>
            </w:r>
            <w:r>
              <w:rPr>
                <w:spacing w:val="-2"/>
                <w:sz w:val="20"/>
              </w:rPr>
              <w:t>B96.3,</w:t>
            </w:r>
          </w:p>
          <w:p>
            <w:pPr>
              <w:pStyle w:val="TableParagraph"/>
              <w:ind w:left="180" w:right="895"/>
              <w:jc w:val="center"/>
              <w:rPr>
                <w:sz w:val="20"/>
              </w:rPr>
            </w:pPr>
            <w:r>
              <w:rPr>
                <w:sz w:val="20"/>
              </w:rPr>
              <w:t>B96.4,</w:t>
            </w:r>
            <w:r>
              <w:rPr>
                <w:spacing w:val="-4"/>
                <w:sz w:val="20"/>
              </w:rPr>
              <w:t> </w:t>
            </w:r>
            <w:r>
              <w:rPr>
                <w:sz w:val="20"/>
              </w:rPr>
              <w:t>B96.5,</w:t>
            </w:r>
            <w:r>
              <w:rPr>
                <w:spacing w:val="-5"/>
                <w:sz w:val="20"/>
              </w:rPr>
              <w:t> </w:t>
            </w:r>
            <w:r>
              <w:rPr>
                <w:sz w:val="20"/>
              </w:rPr>
              <w:t>B96.6,</w:t>
            </w:r>
            <w:r>
              <w:rPr>
                <w:spacing w:val="-4"/>
                <w:sz w:val="20"/>
              </w:rPr>
              <w:t> </w:t>
            </w:r>
            <w:r>
              <w:rPr>
                <w:sz w:val="20"/>
              </w:rPr>
              <w:t>B96.7,</w:t>
            </w:r>
            <w:r>
              <w:rPr>
                <w:spacing w:val="-8"/>
                <w:sz w:val="20"/>
              </w:rPr>
              <w:t> </w:t>
            </w:r>
            <w:r>
              <w:rPr>
                <w:sz w:val="20"/>
              </w:rPr>
              <w:t>B96.8,</w:t>
            </w:r>
            <w:r>
              <w:rPr>
                <w:spacing w:val="-5"/>
                <w:sz w:val="20"/>
              </w:rPr>
              <w:t> </w:t>
            </w:r>
            <w:r>
              <w:rPr>
                <w:sz w:val="20"/>
              </w:rPr>
              <w:t>B97,</w:t>
            </w:r>
            <w:r>
              <w:rPr>
                <w:spacing w:val="-6"/>
                <w:sz w:val="20"/>
              </w:rPr>
              <w:t> </w:t>
            </w:r>
            <w:r>
              <w:rPr>
                <w:spacing w:val="-2"/>
                <w:sz w:val="20"/>
              </w:rPr>
              <w:t>B97.0,</w:t>
            </w:r>
          </w:p>
          <w:p>
            <w:pPr>
              <w:pStyle w:val="TableParagraph"/>
              <w:spacing w:before="1"/>
              <w:ind w:left="180" w:right="896"/>
              <w:jc w:val="center"/>
              <w:rPr>
                <w:sz w:val="20"/>
              </w:rPr>
            </w:pPr>
            <w:r>
              <w:rPr>
                <w:sz w:val="20"/>
              </w:rPr>
              <w:t>B97.1,</w:t>
            </w:r>
            <w:r>
              <w:rPr>
                <w:spacing w:val="-7"/>
                <w:sz w:val="20"/>
              </w:rPr>
              <w:t> </w:t>
            </w:r>
            <w:r>
              <w:rPr>
                <w:sz w:val="20"/>
              </w:rPr>
              <w:t>B97.2,</w:t>
            </w:r>
            <w:r>
              <w:rPr>
                <w:spacing w:val="-7"/>
                <w:sz w:val="20"/>
              </w:rPr>
              <w:t> </w:t>
            </w:r>
            <w:r>
              <w:rPr>
                <w:sz w:val="20"/>
              </w:rPr>
              <w:t>B97.3,</w:t>
            </w:r>
            <w:r>
              <w:rPr>
                <w:spacing w:val="-7"/>
                <w:sz w:val="20"/>
              </w:rPr>
              <w:t> </w:t>
            </w:r>
            <w:r>
              <w:rPr>
                <w:sz w:val="20"/>
              </w:rPr>
              <w:t>B97.4,</w:t>
            </w:r>
            <w:r>
              <w:rPr>
                <w:spacing w:val="-11"/>
                <w:sz w:val="20"/>
              </w:rPr>
              <w:t> </w:t>
            </w:r>
            <w:r>
              <w:rPr>
                <w:sz w:val="20"/>
              </w:rPr>
              <w:t>B97.5,</w:t>
            </w:r>
            <w:r>
              <w:rPr>
                <w:spacing w:val="-7"/>
                <w:sz w:val="20"/>
              </w:rPr>
              <w:t> </w:t>
            </w:r>
            <w:r>
              <w:rPr>
                <w:sz w:val="20"/>
              </w:rPr>
              <w:t>B97.6,</w:t>
            </w:r>
            <w:r>
              <w:rPr>
                <w:spacing w:val="-7"/>
                <w:sz w:val="20"/>
              </w:rPr>
              <w:t> </w:t>
            </w:r>
            <w:r>
              <w:rPr>
                <w:sz w:val="20"/>
              </w:rPr>
              <w:t>B97.7, B97.8, B99, M49.1, R50, R50.8, R50.9, R75</w:t>
            </w:r>
          </w:p>
        </w:tc>
        <w:tc>
          <w:tcPr>
            <w:tcW w:w="2005" w:type="dxa"/>
          </w:tcPr>
          <w:p>
            <w:pPr>
              <w:pStyle w:val="TableParagraph"/>
              <w:rPr>
                <w:sz w:val="18"/>
              </w:rPr>
            </w:pPr>
          </w:p>
        </w:tc>
        <w:tc>
          <w:tcPr>
            <w:tcW w:w="3121"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st12.009</w:t>
            </w:r>
          </w:p>
        </w:tc>
        <w:tc>
          <w:tcPr>
            <w:tcW w:w="657" w:type="dxa"/>
          </w:tcPr>
          <w:p>
            <w:pPr>
              <w:pStyle w:val="TableParagraph"/>
              <w:spacing w:line="215" w:lineRule="exact" w:before="45"/>
              <w:ind w:left="222" w:right="205"/>
              <w:jc w:val="center"/>
              <w:rPr>
                <w:sz w:val="20"/>
              </w:rPr>
            </w:pPr>
            <w:r>
              <w:rPr>
                <w:spacing w:val="-5"/>
                <w:sz w:val="20"/>
              </w:rPr>
              <w:t>66</w:t>
            </w:r>
          </w:p>
        </w:tc>
        <w:tc>
          <w:tcPr>
            <w:tcW w:w="2543" w:type="dxa"/>
          </w:tcPr>
          <w:p>
            <w:pPr>
              <w:pStyle w:val="TableParagraph"/>
              <w:spacing w:line="215" w:lineRule="exact" w:before="45"/>
              <w:ind w:left="217"/>
              <w:rPr>
                <w:sz w:val="20"/>
              </w:rPr>
            </w:pPr>
            <w:r>
              <w:rPr>
                <w:sz w:val="20"/>
              </w:rPr>
              <w:t>Другие</w:t>
            </w:r>
            <w:r>
              <w:rPr>
                <w:spacing w:val="-11"/>
                <w:sz w:val="20"/>
              </w:rPr>
              <w:t> </w:t>
            </w:r>
            <w:r>
              <w:rPr>
                <w:sz w:val="20"/>
              </w:rPr>
              <w:t>инфекционные</w:t>
            </w:r>
            <w:r>
              <w:rPr>
                <w:spacing w:val="-9"/>
                <w:sz w:val="20"/>
              </w:rPr>
              <w:t> </w:t>
            </w:r>
            <w:r>
              <w:rPr>
                <w:spacing w:val="-10"/>
                <w:sz w:val="20"/>
              </w:rPr>
              <w:t>и</w:t>
            </w:r>
          </w:p>
        </w:tc>
        <w:tc>
          <w:tcPr>
            <w:tcW w:w="5117" w:type="dxa"/>
          </w:tcPr>
          <w:p>
            <w:pPr>
              <w:pStyle w:val="TableParagraph"/>
              <w:spacing w:line="215" w:lineRule="exact" w:before="45"/>
              <w:ind w:left="442"/>
              <w:rPr>
                <w:sz w:val="20"/>
              </w:rPr>
            </w:pPr>
            <w:r>
              <w:rPr>
                <w:sz w:val="20"/>
              </w:rPr>
              <w:t>A05.1,</w:t>
            </w:r>
            <w:r>
              <w:rPr>
                <w:spacing w:val="-5"/>
                <w:sz w:val="20"/>
              </w:rPr>
              <w:t> </w:t>
            </w:r>
            <w:r>
              <w:rPr>
                <w:sz w:val="20"/>
              </w:rPr>
              <w:t>A20.0,</w:t>
            </w:r>
            <w:r>
              <w:rPr>
                <w:spacing w:val="-5"/>
                <w:sz w:val="20"/>
              </w:rPr>
              <w:t> </w:t>
            </w:r>
            <w:r>
              <w:rPr>
                <w:sz w:val="20"/>
              </w:rPr>
              <w:t>A20.1,</w:t>
            </w:r>
            <w:r>
              <w:rPr>
                <w:spacing w:val="-5"/>
                <w:sz w:val="20"/>
              </w:rPr>
              <w:t> </w:t>
            </w:r>
            <w:r>
              <w:rPr>
                <w:sz w:val="20"/>
              </w:rPr>
              <w:t>A20.2,</w:t>
            </w:r>
            <w:r>
              <w:rPr>
                <w:spacing w:val="-7"/>
                <w:sz w:val="20"/>
              </w:rPr>
              <w:t> </w:t>
            </w:r>
            <w:r>
              <w:rPr>
                <w:sz w:val="20"/>
              </w:rPr>
              <w:t>A20.3,</w:t>
            </w:r>
            <w:r>
              <w:rPr>
                <w:spacing w:val="-5"/>
                <w:sz w:val="20"/>
              </w:rPr>
              <w:t> </w:t>
            </w:r>
            <w:r>
              <w:rPr>
                <w:spacing w:val="-2"/>
                <w:sz w:val="20"/>
              </w:rPr>
              <w:t>A20.7,</w:t>
            </w:r>
          </w:p>
        </w:tc>
        <w:tc>
          <w:tcPr>
            <w:tcW w:w="2005" w:type="dxa"/>
          </w:tcPr>
          <w:p>
            <w:pPr>
              <w:pStyle w:val="TableParagraph"/>
              <w:spacing w:line="215" w:lineRule="exact" w:before="45"/>
              <w:ind w:right="72"/>
              <w:jc w:val="center"/>
              <w:rPr>
                <w:sz w:val="20"/>
              </w:rPr>
            </w:pPr>
            <w:r>
              <w:rPr>
                <w:w w:val="99"/>
                <w:sz w:val="20"/>
              </w:rPr>
              <w:t>-</w:t>
            </w:r>
          </w:p>
        </w:tc>
        <w:tc>
          <w:tcPr>
            <w:tcW w:w="3121" w:type="dxa"/>
          </w:tcPr>
          <w:p>
            <w:pPr>
              <w:pStyle w:val="TableParagraph"/>
              <w:spacing w:line="215" w:lineRule="exact" w:before="45"/>
              <w:ind w:right="463"/>
              <w:jc w:val="right"/>
              <w:rPr>
                <w:sz w:val="20"/>
              </w:rPr>
            </w:pPr>
            <w:r>
              <w:rPr>
                <w:sz w:val="20"/>
              </w:rPr>
              <w:t>Возрастная</w:t>
            </w:r>
            <w:r>
              <w:rPr>
                <w:spacing w:val="-10"/>
                <w:sz w:val="20"/>
              </w:rPr>
              <w:t> </w:t>
            </w:r>
            <w:r>
              <w:rPr>
                <w:spacing w:val="-2"/>
                <w:sz w:val="20"/>
              </w:rPr>
              <w:t>группа:</w:t>
            </w:r>
          </w:p>
        </w:tc>
        <w:tc>
          <w:tcPr>
            <w:tcW w:w="864" w:type="dxa"/>
          </w:tcPr>
          <w:p>
            <w:pPr>
              <w:pStyle w:val="TableParagraph"/>
              <w:spacing w:line="215" w:lineRule="exact" w:before="45"/>
              <w:ind w:left="458"/>
              <w:rPr>
                <w:sz w:val="20"/>
              </w:rPr>
            </w:pPr>
            <w:r>
              <w:rPr>
                <w:spacing w:val="-4"/>
                <w:sz w:val="20"/>
              </w:rPr>
              <w:t>0,98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spacing w:line="210" w:lineRule="exact"/>
              <w:ind w:left="217"/>
              <w:rPr>
                <w:sz w:val="20"/>
              </w:rPr>
            </w:pPr>
            <w:r>
              <w:rPr>
                <w:spacing w:val="-2"/>
                <w:sz w:val="20"/>
              </w:rPr>
              <w:t>паразитарные</w:t>
            </w:r>
            <w:r>
              <w:rPr>
                <w:spacing w:val="11"/>
                <w:sz w:val="20"/>
              </w:rPr>
              <w:t> </w:t>
            </w:r>
            <w:r>
              <w:rPr>
                <w:spacing w:val="-2"/>
                <w:sz w:val="20"/>
              </w:rPr>
              <w:t>болезни,</w:t>
            </w:r>
          </w:p>
        </w:tc>
        <w:tc>
          <w:tcPr>
            <w:tcW w:w="5117" w:type="dxa"/>
          </w:tcPr>
          <w:p>
            <w:pPr>
              <w:pStyle w:val="TableParagraph"/>
              <w:spacing w:line="210" w:lineRule="exact"/>
              <w:ind w:left="442"/>
              <w:rPr>
                <w:sz w:val="20"/>
              </w:rPr>
            </w:pPr>
            <w:r>
              <w:rPr>
                <w:sz w:val="20"/>
              </w:rPr>
              <w:t>A20.8,</w:t>
            </w:r>
            <w:r>
              <w:rPr>
                <w:spacing w:val="-6"/>
                <w:sz w:val="20"/>
              </w:rPr>
              <w:t> </w:t>
            </w:r>
            <w:r>
              <w:rPr>
                <w:sz w:val="20"/>
              </w:rPr>
              <w:t>A20.9,</w:t>
            </w:r>
            <w:r>
              <w:rPr>
                <w:spacing w:val="-5"/>
                <w:sz w:val="20"/>
              </w:rPr>
              <w:t> </w:t>
            </w:r>
            <w:r>
              <w:rPr>
                <w:sz w:val="20"/>
              </w:rPr>
              <w:t>A21.0,</w:t>
            </w:r>
            <w:r>
              <w:rPr>
                <w:spacing w:val="-6"/>
                <w:sz w:val="20"/>
              </w:rPr>
              <w:t> </w:t>
            </w:r>
            <w:r>
              <w:rPr>
                <w:sz w:val="20"/>
              </w:rPr>
              <w:t>A21.1,</w:t>
            </w:r>
            <w:r>
              <w:rPr>
                <w:spacing w:val="-7"/>
                <w:sz w:val="20"/>
              </w:rPr>
              <w:t> </w:t>
            </w:r>
            <w:r>
              <w:rPr>
                <w:sz w:val="20"/>
              </w:rPr>
              <w:t>A21.2,</w:t>
            </w:r>
            <w:r>
              <w:rPr>
                <w:spacing w:val="-6"/>
                <w:sz w:val="20"/>
              </w:rPr>
              <w:t> </w:t>
            </w:r>
            <w:r>
              <w:rPr>
                <w:spacing w:val="-2"/>
                <w:sz w:val="20"/>
              </w:rPr>
              <w:t>A21.3,</w:t>
            </w:r>
          </w:p>
        </w:tc>
        <w:tc>
          <w:tcPr>
            <w:tcW w:w="2005" w:type="dxa"/>
          </w:tcPr>
          <w:p>
            <w:pPr>
              <w:pStyle w:val="TableParagraph"/>
              <w:rPr>
                <w:sz w:val="16"/>
              </w:rPr>
            </w:pPr>
          </w:p>
        </w:tc>
        <w:tc>
          <w:tcPr>
            <w:tcW w:w="3121" w:type="dxa"/>
          </w:tcPr>
          <w:p>
            <w:pPr>
              <w:pStyle w:val="TableParagraph"/>
              <w:spacing w:line="210" w:lineRule="exact"/>
              <w:ind w:right="482"/>
              <w:jc w:val="right"/>
              <w:rPr>
                <w:sz w:val="20"/>
              </w:rPr>
            </w:pPr>
            <w:r>
              <w:rPr>
                <w:sz w:val="20"/>
              </w:rPr>
              <w:t>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spacing w:line="210" w:lineRule="exact"/>
              <w:ind w:left="217"/>
              <w:rPr>
                <w:sz w:val="20"/>
              </w:rPr>
            </w:pPr>
            <w:r>
              <w:rPr>
                <w:spacing w:val="-4"/>
                <w:sz w:val="20"/>
              </w:rPr>
              <w:t>дети</w:t>
            </w:r>
          </w:p>
        </w:tc>
        <w:tc>
          <w:tcPr>
            <w:tcW w:w="5117" w:type="dxa"/>
          </w:tcPr>
          <w:p>
            <w:pPr>
              <w:pStyle w:val="TableParagraph"/>
              <w:spacing w:line="210" w:lineRule="exact"/>
              <w:ind w:left="442"/>
              <w:rPr>
                <w:sz w:val="20"/>
              </w:rPr>
            </w:pPr>
            <w:r>
              <w:rPr>
                <w:sz w:val="20"/>
              </w:rPr>
              <w:t>A21.7,</w:t>
            </w:r>
            <w:r>
              <w:rPr>
                <w:spacing w:val="-6"/>
                <w:sz w:val="20"/>
              </w:rPr>
              <w:t> </w:t>
            </w:r>
            <w:r>
              <w:rPr>
                <w:sz w:val="20"/>
              </w:rPr>
              <w:t>A21.8,</w:t>
            </w:r>
            <w:r>
              <w:rPr>
                <w:spacing w:val="-5"/>
                <w:sz w:val="20"/>
              </w:rPr>
              <w:t> </w:t>
            </w:r>
            <w:r>
              <w:rPr>
                <w:sz w:val="20"/>
              </w:rPr>
              <w:t>A21.9,</w:t>
            </w:r>
            <w:r>
              <w:rPr>
                <w:spacing w:val="-6"/>
                <w:sz w:val="20"/>
              </w:rPr>
              <w:t> </w:t>
            </w:r>
            <w:r>
              <w:rPr>
                <w:sz w:val="20"/>
              </w:rPr>
              <w:t>A22.0,</w:t>
            </w:r>
            <w:r>
              <w:rPr>
                <w:spacing w:val="-7"/>
                <w:sz w:val="20"/>
              </w:rPr>
              <w:t> </w:t>
            </w:r>
            <w:r>
              <w:rPr>
                <w:sz w:val="20"/>
              </w:rPr>
              <w:t>A22.1,</w:t>
            </w:r>
            <w:r>
              <w:rPr>
                <w:spacing w:val="-6"/>
                <w:sz w:val="20"/>
              </w:rPr>
              <w:t> </w:t>
            </w:r>
            <w:r>
              <w:rPr>
                <w:spacing w:val="-2"/>
                <w:sz w:val="20"/>
              </w:rPr>
              <w:t>A22.2,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A22.7,</w:t>
            </w:r>
            <w:r>
              <w:rPr>
                <w:spacing w:val="-6"/>
                <w:sz w:val="20"/>
              </w:rPr>
              <w:t> </w:t>
            </w:r>
            <w:r>
              <w:rPr>
                <w:sz w:val="20"/>
              </w:rPr>
              <w:t>A22.8,</w:t>
            </w:r>
            <w:r>
              <w:rPr>
                <w:spacing w:val="-5"/>
                <w:sz w:val="20"/>
              </w:rPr>
              <w:t> </w:t>
            </w:r>
            <w:r>
              <w:rPr>
                <w:sz w:val="20"/>
              </w:rPr>
              <w:t>A22.9,</w:t>
            </w:r>
            <w:r>
              <w:rPr>
                <w:spacing w:val="-6"/>
                <w:sz w:val="20"/>
              </w:rPr>
              <w:t> </w:t>
            </w:r>
            <w:r>
              <w:rPr>
                <w:sz w:val="20"/>
              </w:rPr>
              <w:t>A23.0,</w:t>
            </w:r>
            <w:r>
              <w:rPr>
                <w:spacing w:val="-7"/>
                <w:sz w:val="20"/>
              </w:rPr>
              <w:t> </w:t>
            </w:r>
            <w:r>
              <w:rPr>
                <w:sz w:val="20"/>
              </w:rPr>
              <w:t>A23.1,</w:t>
            </w:r>
            <w:r>
              <w:rPr>
                <w:spacing w:val="-6"/>
                <w:sz w:val="20"/>
              </w:rPr>
              <w:t> </w:t>
            </w:r>
            <w:r>
              <w:rPr>
                <w:spacing w:val="-2"/>
                <w:sz w:val="20"/>
              </w:rPr>
              <w:t>A23.2,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A23.3,</w:t>
            </w:r>
            <w:r>
              <w:rPr>
                <w:spacing w:val="-6"/>
                <w:sz w:val="20"/>
              </w:rPr>
              <w:t> </w:t>
            </w:r>
            <w:r>
              <w:rPr>
                <w:sz w:val="20"/>
              </w:rPr>
              <w:t>A23.8,</w:t>
            </w:r>
            <w:r>
              <w:rPr>
                <w:spacing w:val="-5"/>
                <w:sz w:val="20"/>
              </w:rPr>
              <w:t> </w:t>
            </w:r>
            <w:r>
              <w:rPr>
                <w:sz w:val="20"/>
              </w:rPr>
              <w:t>A23.9,</w:t>
            </w:r>
            <w:r>
              <w:rPr>
                <w:spacing w:val="-6"/>
                <w:sz w:val="20"/>
              </w:rPr>
              <w:t> </w:t>
            </w:r>
            <w:r>
              <w:rPr>
                <w:sz w:val="20"/>
              </w:rPr>
              <w:t>A24.0,</w:t>
            </w:r>
            <w:r>
              <w:rPr>
                <w:spacing w:val="-7"/>
                <w:sz w:val="20"/>
              </w:rPr>
              <w:t> </w:t>
            </w:r>
            <w:r>
              <w:rPr>
                <w:sz w:val="20"/>
              </w:rPr>
              <w:t>A24.1,</w:t>
            </w:r>
            <w:r>
              <w:rPr>
                <w:spacing w:val="-6"/>
                <w:sz w:val="20"/>
              </w:rPr>
              <w:t> </w:t>
            </w:r>
            <w:r>
              <w:rPr>
                <w:spacing w:val="-2"/>
                <w:sz w:val="20"/>
              </w:rPr>
              <w:t>A24.2,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A24.3,</w:t>
            </w:r>
            <w:r>
              <w:rPr>
                <w:spacing w:val="-6"/>
                <w:sz w:val="20"/>
              </w:rPr>
              <w:t> </w:t>
            </w:r>
            <w:r>
              <w:rPr>
                <w:sz w:val="20"/>
              </w:rPr>
              <w:t>A24.4,</w:t>
            </w:r>
            <w:r>
              <w:rPr>
                <w:spacing w:val="-5"/>
                <w:sz w:val="20"/>
              </w:rPr>
              <w:t> </w:t>
            </w:r>
            <w:r>
              <w:rPr>
                <w:sz w:val="20"/>
              </w:rPr>
              <w:t>A25.0,</w:t>
            </w:r>
            <w:r>
              <w:rPr>
                <w:spacing w:val="-6"/>
                <w:sz w:val="20"/>
              </w:rPr>
              <w:t> </w:t>
            </w:r>
            <w:r>
              <w:rPr>
                <w:sz w:val="20"/>
              </w:rPr>
              <w:t>A25.1,</w:t>
            </w:r>
            <w:r>
              <w:rPr>
                <w:spacing w:val="-7"/>
                <w:sz w:val="20"/>
              </w:rPr>
              <w:t> </w:t>
            </w:r>
            <w:r>
              <w:rPr>
                <w:sz w:val="20"/>
              </w:rPr>
              <w:t>A25.9,</w:t>
            </w:r>
            <w:r>
              <w:rPr>
                <w:spacing w:val="-6"/>
                <w:sz w:val="20"/>
              </w:rPr>
              <w:t> </w:t>
            </w:r>
            <w:r>
              <w:rPr>
                <w:spacing w:val="-2"/>
                <w:sz w:val="20"/>
              </w:rPr>
              <w:t>A27.0,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A27.8,</w:t>
            </w:r>
            <w:r>
              <w:rPr>
                <w:spacing w:val="-6"/>
                <w:sz w:val="20"/>
              </w:rPr>
              <w:t> </w:t>
            </w:r>
            <w:r>
              <w:rPr>
                <w:sz w:val="20"/>
              </w:rPr>
              <w:t>A27.9,</w:t>
            </w:r>
            <w:r>
              <w:rPr>
                <w:spacing w:val="-5"/>
                <w:sz w:val="20"/>
              </w:rPr>
              <w:t> </w:t>
            </w:r>
            <w:r>
              <w:rPr>
                <w:sz w:val="20"/>
              </w:rPr>
              <w:t>A28,</w:t>
            </w:r>
            <w:r>
              <w:rPr>
                <w:spacing w:val="-5"/>
                <w:sz w:val="20"/>
              </w:rPr>
              <w:t> </w:t>
            </w:r>
            <w:r>
              <w:rPr>
                <w:sz w:val="20"/>
              </w:rPr>
              <w:t>A28.0,</w:t>
            </w:r>
            <w:r>
              <w:rPr>
                <w:spacing w:val="-5"/>
                <w:sz w:val="20"/>
              </w:rPr>
              <w:t> </w:t>
            </w:r>
            <w:r>
              <w:rPr>
                <w:sz w:val="20"/>
              </w:rPr>
              <w:t>A28.1,</w:t>
            </w:r>
            <w:r>
              <w:rPr>
                <w:spacing w:val="-5"/>
                <w:sz w:val="20"/>
              </w:rPr>
              <w:t> </w:t>
            </w:r>
            <w:r>
              <w:rPr>
                <w:sz w:val="20"/>
              </w:rPr>
              <w:t>A28.2,</w:t>
            </w:r>
            <w:r>
              <w:rPr>
                <w:spacing w:val="-5"/>
                <w:sz w:val="20"/>
              </w:rPr>
              <w:t> </w:t>
            </w:r>
            <w:r>
              <w:rPr>
                <w:spacing w:val="-2"/>
                <w:sz w:val="20"/>
              </w:rPr>
              <w:t>A28.8,</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A28.9,</w:t>
            </w:r>
            <w:r>
              <w:rPr>
                <w:spacing w:val="-6"/>
                <w:sz w:val="20"/>
              </w:rPr>
              <w:t> </w:t>
            </w:r>
            <w:r>
              <w:rPr>
                <w:sz w:val="20"/>
              </w:rPr>
              <w:t>A30.0,</w:t>
            </w:r>
            <w:r>
              <w:rPr>
                <w:spacing w:val="-5"/>
                <w:sz w:val="20"/>
              </w:rPr>
              <w:t> </w:t>
            </w:r>
            <w:r>
              <w:rPr>
                <w:sz w:val="20"/>
              </w:rPr>
              <w:t>A30.1,</w:t>
            </w:r>
            <w:r>
              <w:rPr>
                <w:spacing w:val="-6"/>
                <w:sz w:val="20"/>
              </w:rPr>
              <w:t> </w:t>
            </w:r>
            <w:r>
              <w:rPr>
                <w:sz w:val="20"/>
              </w:rPr>
              <w:t>A30.2,</w:t>
            </w:r>
            <w:r>
              <w:rPr>
                <w:spacing w:val="-7"/>
                <w:sz w:val="20"/>
              </w:rPr>
              <w:t> </w:t>
            </w:r>
            <w:r>
              <w:rPr>
                <w:sz w:val="20"/>
              </w:rPr>
              <w:t>A30.3,</w:t>
            </w:r>
            <w:r>
              <w:rPr>
                <w:spacing w:val="-6"/>
                <w:sz w:val="20"/>
              </w:rPr>
              <w:t> </w:t>
            </w:r>
            <w:r>
              <w:rPr>
                <w:spacing w:val="-2"/>
                <w:sz w:val="20"/>
              </w:rPr>
              <w:t>A30.4,</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A30.5,</w:t>
            </w:r>
            <w:r>
              <w:rPr>
                <w:spacing w:val="-6"/>
                <w:sz w:val="20"/>
              </w:rPr>
              <w:t> </w:t>
            </w:r>
            <w:r>
              <w:rPr>
                <w:sz w:val="20"/>
              </w:rPr>
              <w:t>A30.8,</w:t>
            </w:r>
            <w:r>
              <w:rPr>
                <w:spacing w:val="-5"/>
                <w:sz w:val="20"/>
              </w:rPr>
              <w:t> </w:t>
            </w:r>
            <w:r>
              <w:rPr>
                <w:sz w:val="20"/>
              </w:rPr>
              <w:t>A30.9,</w:t>
            </w:r>
            <w:r>
              <w:rPr>
                <w:spacing w:val="-6"/>
                <w:sz w:val="20"/>
              </w:rPr>
              <w:t> </w:t>
            </w:r>
            <w:r>
              <w:rPr>
                <w:sz w:val="20"/>
              </w:rPr>
              <w:t>A31.0,</w:t>
            </w:r>
            <w:r>
              <w:rPr>
                <w:spacing w:val="-7"/>
                <w:sz w:val="20"/>
              </w:rPr>
              <w:t> </w:t>
            </w:r>
            <w:r>
              <w:rPr>
                <w:sz w:val="20"/>
              </w:rPr>
              <w:t>A31.1,</w:t>
            </w:r>
            <w:r>
              <w:rPr>
                <w:spacing w:val="-6"/>
                <w:sz w:val="20"/>
              </w:rPr>
              <w:t> </w:t>
            </w:r>
            <w:r>
              <w:rPr>
                <w:spacing w:val="-2"/>
                <w:sz w:val="20"/>
              </w:rPr>
              <w:t>A31.8,</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21"/>
              <w:rPr>
                <w:sz w:val="20"/>
              </w:rPr>
            </w:pPr>
            <w:r>
              <w:rPr>
                <w:sz w:val="20"/>
              </w:rPr>
              <w:t>A31.9,</w:t>
            </w:r>
            <w:r>
              <w:rPr>
                <w:spacing w:val="-6"/>
                <w:sz w:val="20"/>
              </w:rPr>
              <w:t> </w:t>
            </w:r>
            <w:r>
              <w:rPr>
                <w:sz w:val="20"/>
              </w:rPr>
              <w:t>A32.0,</w:t>
            </w:r>
            <w:r>
              <w:rPr>
                <w:spacing w:val="-5"/>
                <w:sz w:val="20"/>
              </w:rPr>
              <w:t> </w:t>
            </w:r>
            <w:r>
              <w:rPr>
                <w:sz w:val="20"/>
              </w:rPr>
              <w:t>A32.1,</w:t>
            </w:r>
            <w:r>
              <w:rPr>
                <w:spacing w:val="-6"/>
                <w:sz w:val="20"/>
              </w:rPr>
              <w:t> </w:t>
            </w:r>
            <w:r>
              <w:rPr>
                <w:sz w:val="20"/>
              </w:rPr>
              <w:t>A32.8,</w:t>
            </w:r>
            <w:r>
              <w:rPr>
                <w:spacing w:val="-7"/>
                <w:sz w:val="20"/>
              </w:rPr>
              <w:t> </w:t>
            </w:r>
            <w:r>
              <w:rPr>
                <w:sz w:val="20"/>
              </w:rPr>
              <w:t>A32.9,</w:t>
            </w:r>
            <w:r>
              <w:rPr>
                <w:spacing w:val="-5"/>
                <w:sz w:val="20"/>
              </w:rPr>
              <w:t> </w:t>
            </w:r>
            <w:r>
              <w:rPr>
                <w:sz w:val="20"/>
              </w:rPr>
              <w:t>A35,</w:t>
            </w:r>
            <w:r>
              <w:rPr>
                <w:spacing w:val="-6"/>
                <w:sz w:val="20"/>
              </w:rPr>
              <w:t> </w:t>
            </w:r>
            <w:r>
              <w:rPr>
                <w:spacing w:val="-2"/>
                <w:sz w:val="20"/>
              </w:rPr>
              <w:t>A36.0,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A36.1,</w:t>
            </w:r>
            <w:r>
              <w:rPr>
                <w:spacing w:val="-6"/>
                <w:sz w:val="20"/>
              </w:rPr>
              <w:t> </w:t>
            </w:r>
            <w:r>
              <w:rPr>
                <w:sz w:val="20"/>
              </w:rPr>
              <w:t>A36.2,</w:t>
            </w:r>
            <w:r>
              <w:rPr>
                <w:spacing w:val="-5"/>
                <w:sz w:val="20"/>
              </w:rPr>
              <w:t> </w:t>
            </w:r>
            <w:r>
              <w:rPr>
                <w:sz w:val="20"/>
              </w:rPr>
              <w:t>A36.3,</w:t>
            </w:r>
            <w:r>
              <w:rPr>
                <w:spacing w:val="-6"/>
                <w:sz w:val="20"/>
              </w:rPr>
              <w:t> </w:t>
            </w:r>
            <w:r>
              <w:rPr>
                <w:sz w:val="20"/>
              </w:rPr>
              <w:t>A36.8,</w:t>
            </w:r>
            <w:r>
              <w:rPr>
                <w:spacing w:val="-7"/>
                <w:sz w:val="20"/>
              </w:rPr>
              <w:t> </w:t>
            </w:r>
            <w:r>
              <w:rPr>
                <w:sz w:val="20"/>
              </w:rPr>
              <w:t>A36.9,</w:t>
            </w:r>
            <w:r>
              <w:rPr>
                <w:spacing w:val="-6"/>
                <w:sz w:val="20"/>
              </w:rPr>
              <w:t> </w:t>
            </w:r>
            <w:r>
              <w:rPr>
                <w:spacing w:val="-2"/>
                <w:sz w:val="20"/>
              </w:rPr>
              <w:t>A37.0,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A39.3,</w:t>
            </w:r>
            <w:r>
              <w:rPr>
                <w:spacing w:val="-6"/>
                <w:sz w:val="20"/>
              </w:rPr>
              <w:t> </w:t>
            </w:r>
            <w:r>
              <w:rPr>
                <w:spacing w:val="-2"/>
                <w:sz w:val="20"/>
              </w:rPr>
              <w:t>A39.5,</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A39.8,</w:t>
            </w:r>
            <w:r>
              <w:rPr>
                <w:spacing w:val="-6"/>
                <w:sz w:val="20"/>
              </w:rPr>
              <w:t> </w:t>
            </w:r>
            <w:r>
              <w:rPr>
                <w:sz w:val="20"/>
              </w:rPr>
              <w:t>A39.9,</w:t>
            </w:r>
            <w:r>
              <w:rPr>
                <w:spacing w:val="-5"/>
                <w:sz w:val="20"/>
              </w:rPr>
              <w:t> </w:t>
            </w:r>
            <w:r>
              <w:rPr>
                <w:sz w:val="20"/>
              </w:rPr>
              <w:t>A42.0,</w:t>
            </w:r>
            <w:r>
              <w:rPr>
                <w:spacing w:val="-5"/>
                <w:sz w:val="20"/>
              </w:rPr>
              <w:t> </w:t>
            </w:r>
            <w:r>
              <w:rPr>
                <w:sz w:val="20"/>
              </w:rPr>
              <w:t>A42.1,</w:t>
            </w:r>
            <w:r>
              <w:rPr>
                <w:spacing w:val="-7"/>
                <w:sz w:val="20"/>
              </w:rPr>
              <w:t> </w:t>
            </w:r>
            <w:r>
              <w:rPr>
                <w:sz w:val="20"/>
              </w:rPr>
              <w:t>A42.2,</w:t>
            </w:r>
            <w:r>
              <w:rPr>
                <w:spacing w:val="-5"/>
                <w:sz w:val="20"/>
              </w:rPr>
              <w:t> </w:t>
            </w:r>
            <w:r>
              <w:rPr>
                <w:spacing w:val="-2"/>
                <w:sz w:val="20"/>
              </w:rPr>
              <w:t>A42.7,</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A42.8,</w:t>
            </w:r>
            <w:r>
              <w:rPr>
                <w:spacing w:val="-6"/>
                <w:sz w:val="20"/>
              </w:rPr>
              <w:t> </w:t>
            </w:r>
            <w:r>
              <w:rPr>
                <w:sz w:val="20"/>
              </w:rPr>
              <w:t>A42.9,</w:t>
            </w:r>
            <w:r>
              <w:rPr>
                <w:spacing w:val="-5"/>
                <w:sz w:val="20"/>
              </w:rPr>
              <w:t> </w:t>
            </w:r>
            <w:r>
              <w:rPr>
                <w:sz w:val="20"/>
              </w:rPr>
              <w:t>A43.0,</w:t>
            </w:r>
            <w:r>
              <w:rPr>
                <w:spacing w:val="-6"/>
                <w:sz w:val="20"/>
              </w:rPr>
              <w:t> </w:t>
            </w:r>
            <w:r>
              <w:rPr>
                <w:sz w:val="20"/>
              </w:rPr>
              <w:t>A43.1,</w:t>
            </w:r>
            <w:r>
              <w:rPr>
                <w:spacing w:val="-7"/>
                <w:sz w:val="20"/>
              </w:rPr>
              <w:t> </w:t>
            </w:r>
            <w:r>
              <w:rPr>
                <w:sz w:val="20"/>
              </w:rPr>
              <w:t>A43.8,</w:t>
            </w:r>
            <w:r>
              <w:rPr>
                <w:spacing w:val="-6"/>
                <w:sz w:val="20"/>
              </w:rPr>
              <w:t> </w:t>
            </w:r>
            <w:r>
              <w:rPr>
                <w:spacing w:val="-2"/>
                <w:sz w:val="20"/>
              </w:rPr>
              <w:t>A43.9,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21"/>
              <w:rPr>
                <w:sz w:val="20"/>
              </w:rPr>
            </w:pPr>
            <w:r>
              <w:rPr>
                <w:sz w:val="20"/>
              </w:rPr>
              <w:t>A44.0,</w:t>
            </w:r>
            <w:r>
              <w:rPr>
                <w:spacing w:val="-6"/>
                <w:sz w:val="20"/>
              </w:rPr>
              <w:t> </w:t>
            </w:r>
            <w:r>
              <w:rPr>
                <w:sz w:val="20"/>
              </w:rPr>
              <w:t>A44.1,</w:t>
            </w:r>
            <w:r>
              <w:rPr>
                <w:spacing w:val="-5"/>
                <w:sz w:val="20"/>
              </w:rPr>
              <w:t> </w:t>
            </w:r>
            <w:r>
              <w:rPr>
                <w:sz w:val="20"/>
              </w:rPr>
              <w:t>A44.8,</w:t>
            </w:r>
            <w:r>
              <w:rPr>
                <w:spacing w:val="-6"/>
                <w:sz w:val="20"/>
              </w:rPr>
              <w:t> </w:t>
            </w:r>
            <w:r>
              <w:rPr>
                <w:sz w:val="20"/>
              </w:rPr>
              <w:t>A44.9,</w:t>
            </w:r>
            <w:r>
              <w:rPr>
                <w:spacing w:val="-7"/>
                <w:sz w:val="20"/>
              </w:rPr>
              <w:t> </w:t>
            </w:r>
            <w:r>
              <w:rPr>
                <w:sz w:val="20"/>
              </w:rPr>
              <w:t>A46,</w:t>
            </w:r>
            <w:r>
              <w:rPr>
                <w:spacing w:val="-5"/>
                <w:sz w:val="20"/>
              </w:rPr>
              <w:t> </w:t>
            </w:r>
            <w:r>
              <w:rPr>
                <w:sz w:val="20"/>
              </w:rPr>
              <w:t>A48.1,</w:t>
            </w:r>
            <w:r>
              <w:rPr>
                <w:spacing w:val="-6"/>
                <w:sz w:val="20"/>
              </w:rPr>
              <w:t> </w:t>
            </w:r>
            <w:r>
              <w:rPr>
                <w:spacing w:val="-2"/>
                <w:sz w:val="20"/>
              </w:rPr>
              <w:t>A48.2,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A49.8,</w:t>
            </w:r>
            <w:r>
              <w:rPr>
                <w:spacing w:val="-6"/>
                <w:sz w:val="20"/>
              </w:rPr>
              <w:t> </w:t>
            </w:r>
            <w:r>
              <w:rPr>
                <w:sz w:val="20"/>
              </w:rPr>
              <w:t>A49.9,</w:t>
            </w:r>
            <w:r>
              <w:rPr>
                <w:spacing w:val="-5"/>
                <w:sz w:val="20"/>
              </w:rPr>
              <w:t> </w:t>
            </w:r>
            <w:r>
              <w:rPr>
                <w:sz w:val="20"/>
              </w:rPr>
              <w:t>A68.0,</w:t>
            </w:r>
            <w:r>
              <w:rPr>
                <w:spacing w:val="-6"/>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A74.8,</w:t>
            </w:r>
            <w:r>
              <w:rPr>
                <w:spacing w:val="-6"/>
                <w:sz w:val="20"/>
              </w:rPr>
              <w:t> </w:t>
            </w:r>
            <w:r>
              <w:rPr>
                <w:sz w:val="20"/>
              </w:rPr>
              <w:t>A74.9,</w:t>
            </w:r>
            <w:r>
              <w:rPr>
                <w:spacing w:val="-6"/>
                <w:sz w:val="20"/>
              </w:rPr>
              <w:t> </w:t>
            </w:r>
            <w:r>
              <w:rPr>
                <w:sz w:val="20"/>
              </w:rPr>
              <w:t>A75,</w:t>
            </w:r>
            <w:r>
              <w:rPr>
                <w:spacing w:val="-6"/>
                <w:sz w:val="20"/>
              </w:rPr>
              <w:t> </w:t>
            </w:r>
            <w:r>
              <w:rPr>
                <w:sz w:val="20"/>
              </w:rPr>
              <w:t>A75.0,</w:t>
            </w:r>
            <w:r>
              <w:rPr>
                <w:spacing w:val="-6"/>
                <w:sz w:val="20"/>
              </w:rPr>
              <w:t> </w:t>
            </w:r>
            <w:r>
              <w:rPr>
                <w:sz w:val="20"/>
              </w:rPr>
              <w:t>A75.1,</w:t>
            </w:r>
            <w:r>
              <w:rPr>
                <w:spacing w:val="-6"/>
                <w:sz w:val="20"/>
              </w:rPr>
              <w:t> </w:t>
            </w:r>
            <w:r>
              <w:rPr>
                <w:sz w:val="20"/>
              </w:rPr>
              <w:t>A75.2,</w:t>
            </w:r>
            <w:r>
              <w:rPr>
                <w:spacing w:val="-6"/>
                <w:sz w:val="20"/>
              </w:rPr>
              <w:t> </w:t>
            </w:r>
            <w:r>
              <w:rPr>
                <w:spacing w:val="-2"/>
                <w:sz w:val="20"/>
              </w:rPr>
              <w:t>A75.3,</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A75.9,</w:t>
            </w:r>
            <w:r>
              <w:rPr>
                <w:spacing w:val="-6"/>
                <w:sz w:val="20"/>
              </w:rPr>
              <w:t> </w:t>
            </w:r>
            <w:r>
              <w:rPr>
                <w:sz w:val="20"/>
              </w:rPr>
              <w:t>A77,</w:t>
            </w:r>
            <w:r>
              <w:rPr>
                <w:spacing w:val="-6"/>
                <w:sz w:val="20"/>
              </w:rPr>
              <w:t> </w:t>
            </w:r>
            <w:r>
              <w:rPr>
                <w:sz w:val="20"/>
              </w:rPr>
              <w:t>A77.0,</w:t>
            </w:r>
            <w:r>
              <w:rPr>
                <w:spacing w:val="-6"/>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95"/>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95"/>
              <w:rPr>
                <w:sz w:val="20"/>
              </w:rPr>
            </w:pPr>
            <w:r>
              <w:rPr>
                <w:sz w:val="20"/>
              </w:rPr>
              <w:t>A81,</w:t>
            </w:r>
            <w:r>
              <w:rPr>
                <w:spacing w:val="-6"/>
                <w:sz w:val="20"/>
              </w:rPr>
              <w:t> </w:t>
            </w:r>
            <w:r>
              <w:rPr>
                <w:sz w:val="20"/>
              </w:rPr>
              <w:t>A81.0,</w:t>
            </w:r>
            <w:r>
              <w:rPr>
                <w:spacing w:val="-6"/>
                <w:sz w:val="20"/>
              </w:rPr>
              <w:t> </w:t>
            </w:r>
            <w:r>
              <w:rPr>
                <w:sz w:val="20"/>
              </w:rPr>
              <w:t>A81.1,</w:t>
            </w:r>
            <w:r>
              <w:rPr>
                <w:spacing w:val="-6"/>
                <w:sz w:val="20"/>
              </w:rPr>
              <w:t> </w:t>
            </w:r>
            <w:r>
              <w:rPr>
                <w:sz w:val="20"/>
              </w:rPr>
              <w:t>A81.2,</w:t>
            </w:r>
            <w:r>
              <w:rPr>
                <w:spacing w:val="-6"/>
                <w:sz w:val="20"/>
              </w:rPr>
              <w:t> </w:t>
            </w:r>
            <w:r>
              <w:rPr>
                <w:sz w:val="20"/>
              </w:rPr>
              <w:t>A81.8,</w:t>
            </w:r>
            <w:r>
              <w:rPr>
                <w:spacing w:val="-6"/>
                <w:sz w:val="20"/>
              </w:rPr>
              <w:t> </w:t>
            </w:r>
            <w:r>
              <w:rPr>
                <w:sz w:val="20"/>
              </w:rPr>
              <w:t>A81.9,</w:t>
            </w:r>
            <w:r>
              <w:rPr>
                <w:spacing w:val="-6"/>
                <w:sz w:val="20"/>
              </w:rPr>
              <w:t> </w:t>
            </w:r>
            <w:r>
              <w:rPr>
                <w:spacing w:val="-4"/>
                <w:sz w:val="20"/>
              </w:rPr>
              <w:t>A82,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A83.3,</w:t>
            </w:r>
            <w:r>
              <w:rPr>
                <w:spacing w:val="-5"/>
                <w:sz w:val="20"/>
              </w:rPr>
              <w:t> </w:t>
            </w:r>
            <w:r>
              <w:rPr>
                <w:sz w:val="20"/>
              </w:rPr>
              <w:t>A83.4,</w:t>
            </w:r>
            <w:r>
              <w:rPr>
                <w:spacing w:val="-5"/>
                <w:sz w:val="20"/>
              </w:rPr>
              <w:t> </w:t>
            </w:r>
            <w:r>
              <w:rPr>
                <w:sz w:val="20"/>
              </w:rPr>
              <w:t>A83.5,</w:t>
            </w:r>
            <w:r>
              <w:rPr>
                <w:spacing w:val="-5"/>
                <w:sz w:val="20"/>
              </w:rPr>
              <w:t> </w:t>
            </w:r>
            <w:r>
              <w:rPr>
                <w:sz w:val="20"/>
              </w:rPr>
              <w:t>A83.6,</w:t>
            </w:r>
            <w:r>
              <w:rPr>
                <w:spacing w:val="-7"/>
                <w:sz w:val="20"/>
              </w:rPr>
              <w:t> </w:t>
            </w:r>
            <w:r>
              <w:rPr>
                <w:sz w:val="20"/>
              </w:rPr>
              <w:t>A83.8,</w:t>
            </w:r>
            <w:r>
              <w:rPr>
                <w:spacing w:val="-4"/>
                <w:sz w:val="20"/>
              </w:rPr>
              <w:t> </w:t>
            </w:r>
            <w:r>
              <w:rPr>
                <w:sz w:val="20"/>
              </w:rPr>
              <w:t>A83.9,</w:t>
            </w:r>
            <w:r>
              <w:rPr>
                <w:spacing w:val="-5"/>
                <w:sz w:val="20"/>
              </w:rPr>
              <w:t> </w:t>
            </w:r>
            <w:r>
              <w:rPr>
                <w:spacing w:val="-4"/>
                <w:sz w:val="20"/>
              </w:rPr>
              <w:t>A85,</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95"/>
              <w:rPr>
                <w:sz w:val="20"/>
              </w:rPr>
            </w:pPr>
            <w:r>
              <w:rPr>
                <w:sz w:val="20"/>
              </w:rPr>
              <w:t>A85.0,</w:t>
            </w:r>
            <w:r>
              <w:rPr>
                <w:spacing w:val="-6"/>
                <w:sz w:val="20"/>
              </w:rPr>
              <w:t> </w:t>
            </w:r>
            <w:r>
              <w:rPr>
                <w:sz w:val="20"/>
              </w:rPr>
              <w:t>A85.1,</w:t>
            </w:r>
            <w:r>
              <w:rPr>
                <w:spacing w:val="-5"/>
                <w:sz w:val="20"/>
              </w:rPr>
              <w:t> </w:t>
            </w:r>
            <w:r>
              <w:rPr>
                <w:sz w:val="20"/>
              </w:rPr>
              <w:t>A85.2,</w:t>
            </w:r>
            <w:r>
              <w:rPr>
                <w:spacing w:val="-5"/>
                <w:sz w:val="20"/>
              </w:rPr>
              <w:t> </w:t>
            </w:r>
            <w:r>
              <w:rPr>
                <w:sz w:val="20"/>
              </w:rPr>
              <w:t>A85.8,</w:t>
            </w:r>
            <w:r>
              <w:rPr>
                <w:spacing w:val="-7"/>
                <w:sz w:val="20"/>
              </w:rPr>
              <w:t> </w:t>
            </w:r>
            <w:r>
              <w:rPr>
                <w:sz w:val="20"/>
              </w:rPr>
              <w:t>A86,</w:t>
            </w:r>
            <w:r>
              <w:rPr>
                <w:spacing w:val="-6"/>
                <w:sz w:val="20"/>
              </w:rPr>
              <w:t> </w:t>
            </w:r>
            <w:r>
              <w:rPr>
                <w:sz w:val="20"/>
              </w:rPr>
              <w:t>A87,</w:t>
            </w:r>
            <w:r>
              <w:rPr>
                <w:spacing w:val="-3"/>
                <w:sz w:val="20"/>
              </w:rPr>
              <w:t> </w:t>
            </w:r>
            <w:r>
              <w:rPr>
                <w:spacing w:val="-2"/>
                <w:sz w:val="20"/>
              </w:rPr>
              <w:t>A87.0,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A87.1,</w:t>
            </w:r>
            <w:r>
              <w:rPr>
                <w:spacing w:val="-6"/>
                <w:sz w:val="20"/>
              </w:rPr>
              <w:t> </w:t>
            </w:r>
            <w:r>
              <w:rPr>
                <w:sz w:val="20"/>
              </w:rPr>
              <w:t>A87.2,</w:t>
            </w:r>
            <w:r>
              <w:rPr>
                <w:spacing w:val="-5"/>
                <w:sz w:val="20"/>
              </w:rPr>
              <w:t> </w:t>
            </w:r>
            <w:r>
              <w:rPr>
                <w:sz w:val="20"/>
              </w:rPr>
              <w:t>A87.8,</w:t>
            </w:r>
            <w:r>
              <w:rPr>
                <w:spacing w:val="-6"/>
                <w:sz w:val="20"/>
              </w:rPr>
              <w:t> </w:t>
            </w:r>
            <w:r>
              <w:rPr>
                <w:sz w:val="20"/>
              </w:rPr>
              <w:t>A87.9,</w:t>
            </w:r>
            <w:r>
              <w:rPr>
                <w:spacing w:val="-7"/>
                <w:sz w:val="20"/>
              </w:rPr>
              <w:t> </w:t>
            </w:r>
            <w:r>
              <w:rPr>
                <w:sz w:val="20"/>
              </w:rPr>
              <w:t>A88,</w:t>
            </w:r>
            <w:r>
              <w:rPr>
                <w:spacing w:val="-5"/>
                <w:sz w:val="20"/>
              </w:rPr>
              <w:t> </w:t>
            </w:r>
            <w:r>
              <w:rPr>
                <w:sz w:val="20"/>
              </w:rPr>
              <w:t>A88.0,</w:t>
            </w:r>
            <w:r>
              <w:rPr>
                <w:spacing w:val="-6"/>
                <w:sz w:val="20"/>
              </w:rPr>
              <w:t> </w:t>
            </w:r>
            <w:r>
              <w:rPr>
                <w:spacing w:val="-2"/>
                <w:sz w:val="20"/>
              </w:rPr>
              <w:t>A88.1,</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95"/>
              <w:rPr>
                <w:sz w:val="20"/>
              </w:rPr>
            </w:pPr>
            <w:r>
              <w:rPr>
                <w:sz w:val="20"/>
              </w:rPr>
              <w:t>A88.8,</w:t>
            </w:r>
            <w:r>
              <w:rPr>
                <w:spacing w:val="-6"/>
                <w:sz w:val="20"/>
              </w:rPr>
              <w:t> </w:t>
            </w:r>
            <w:r>
              <w:rPr>
                <w:sz w:val="20"/>
              </w:rPr>
              <w:t>A89,</w:t>
            </w:r>
            <w:r>
              <w:rPr>
                <w:spacing w:val="-5"/>
                <w:sz w:val="20"/>
              </w:rPr>
              <w:t> </w:t>
            </w:r>
            <w:r>
              <w:rPr>
                <w:sz w:val="20"/>
              </w:rPr>
              <w:t>A92,</w:t>
            </w:r>
            <w:r>
              <w:rPr>
                <w:spacing w:val="-5"/>
                <w:sz w:val="20"/>
              </w:rPr>
              <w:t> </w:t>
            </w:r>
            <w:r>
              <w:rPr>
                <w:sz w:val="20"/>
              </w:rPr>
              <w:t>A92.0,</w:t>
            </w:r>
            <w:r>
              <w:rPr>
                <w:spacing w:val="-6"/>
                <w:sz w:val="20"/>
              </w:rPr>
              <w:t> </w:t>
            </w:r>
            <w:r>
              <w:rPr>
                <w:sz w:val="20"/>
              </w:rPr>
              <w:t>A92.1,</w:t>
            </w:r>
            <w:r>
              <w:rPr>
                <w:spacing w:val="-5"/>
                <w:sz w:val="20"/>
              </w:rPr>
              <w:t> </w:t>
            </w:r>
            <w:r>
              <w:rPr>
                <w:sz w:val="20"/>
              </w:rPr>
              <w:t>A92.2,</w:t>
            </w:r>
            <w:r>
              <w:rPr>
                <w:spacing w:val="-5"/>
                <w:sz w:val="20"/>
              </w:rPr>
              <w:t> </w:t>
            </w:r>
            <w:r>
              <w:rPr>
                <w:spacing w:val="-2"/>
                <w:sz w:val="20"/>
              </w:rPr>
              <w:t>A92.3,</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21"/>
              <w:rPr>
                <w:sz w:val="20"/>
              </w:rPr>
            </w:pPr>
            <w:r>
              <w:rPr>
                <w:sz w:val="20"/>
              </w:rPr>
              <w:t>A92.4,</w:t>
            </w:r>
            <w:r>
              <w:rPr>
                <w:spacing w:val="-6"/>
                <w:sz w:val="20"/>
              </w:rPr>
              <w:t> </w:t>
            </w:r>
            <w:r>
              <w:rPr>
                <w:sz w:val="20"/>
              </w:rPr>
              <w:t>A92.5,</w:t>
            </w:r>
            <w:r>
              <w:rPr>
                <w:spacing w:val="-5"/>
                <w:sz w:val="20"/>
              </w:rPr>
              <w:t> </w:t>
            </w:r>
            <w:r>
              <w:rPr>
                <w:sz w:val="20"/>
              </w:rPr>
              <w:t>A92.8,</w:t>
            </w:r>
            <w:r>
              <w:rPr>
                <w:spacing w:val="-6"/>
                <w:sz w:val="20"/>
              </w:rPr>
              <w:t> </w:t>
            </w:r>
            <w:r>
              <w:rPr>
                <w:sz w:val="20"/>
              </w:rPr>
              <w:t>A92.9,</w:t>
            </w:r>
            <w:r>
              <w:rPr>
                <w:spacing w:val="-7"/>
                <w:sz w:val="20"/>
              </w:rPr>
              <w:t> </w:t>
            </w:r>
            <w:r>
              <w:rPr>
                <w:sz w:val="20"/>
              </w:rPr>
              <w:t>A93,</w:t>
            </w:r>
            <w:r>
              <w:rPr>
                <w:spacing w:val="-5"/>
                <w:sz w:val="20"/>
              </w:rPr>
              <w:t> </w:t>
            </w:r>
            <w:r>
              <w:rPr>
                <w:sz w:val="20"/>
              </w:rPr>
              <w:t>A93.0,</w:t>
            </w:r>
            <w:r>
              <w:rPr>
                <w:spacing w:val="-6"/>
                <w:sz w:val="20"/>
              </w:rPr>
              <w:t> </w:t>
            </w:r>
            <w:r>
              <w:rPr>
                <w:spacing w:val="-2"/>
                <w:sz w:val="20"/>
              </w:rPr>
              <w:t>A93.1,</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5" w:lineRule="exact"/>
              <w:ind w:left="295"/>
              <w:rPr>
                <w:sz w:val="20"/>
              </w:rPr>
            </w:pPr>
            <w:r>
              <w:rPr>
                <w:sz w:val="20"/>
              </w:rPr>
              <w:t>A93.2,</w:t>
            </w:r>
            <w:r>
              <w:rPr>
                <w:spacing w:val="-6"/>
                <w:sz w:val="20"/>
              </w:rPr>
              <w:t> </w:t>
            </w:r>
            <w:r>
              <w:rPr>
                <w:sz w:val="20"/>
              </w:rPr>
              <w:t>A93.8,</w:t>
            </w:r>
            <w:r>
              <w:rPr>
                <w:spacing w:val="-5"/>
                <w:sz w:val="20"/>
              </w:rPr>
              <w:t> </w:t>
            </w:r>
            <w:r>
              <w:rPr>
                <w:sz w:val="20"/>
              </w:rPr>
              <w:t>A94,</w:t>
            </w:r>
            <w:r>
              <w:rPr>
                <w:spacing w:val="-5"/>
                <w:sz w:val="20"/>
              </w:rPr>
              <w:t> </w:t>
            </w:r>
            <w:r>
              <w:rPr>
                <w:sz w:val="20"/>
              </w:rPr>
              <w:t>A95,</w:t>
            </w:r>
            <w:r>
              <w:rPr>
                <w:spacing w:val="-6"/>
                <w:sz w:val="20"/>
              </w:rPr>
              <w:t> </w:t>
            </w:r>
            <w:r>
              <w:rPr>
                <w:sz w:val="20"/>
              </w:rPr>
              <w:t>A95.0,</w:t>
            </w:r>
            <w:r>
              <w:rPr>
                <w:spacing w:val="-5"/>
                <w:sz w:val="20"/>
              </w:rPr>
              <w:t> </w:t>
            </w:r>
            <w:r>
              <w:rPr>
                <w:sz w:val="20"/>
              </w:rPr>
              <w:t>A95.1,</w:t>
            </w:r>
            <w:r>
              <w:rPr>
                <w:spacing w:val="-5"/>
                <w:sz w:val="20"/>
              </w:rPr>
              <w:t> </w:t>
            </w:r>
            <w:r>
              <w:rPr>
                <w:spacing w:val="-2"/>
                <w:sz w:val="20"/>
              </w:rPr>
              <w:t>A95.9,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A96,</w:t>
      </w:r>
      <w:r>
        <w:rPr>
          <w:spacing w:val="-6"/>
          <w:sz w:val="20"/>
        </w:rPr>
        <w:t> </w:t>
      </w:r>
      <w:r>
        <w:rPr>
          <w:sz w:val="20"/>
        </w:rPr>
        <w:t>A96.0,</w:t>
      </w:r>
      <w:r>
        <w:rPr>
          <w:spacing w:val="-6"/>
          <w:sz w:val="20"/>
        </w:rPr>
        <w:t> </w:t>
      </w:r>
      <w:r>
        <w:rPr>
          <w:sz w:val="20"/>
        </w:rPr>
        <w:t>A96.1,</w:t>
      </w:r>
      <w:r>
        <w:rPr>
          <w:spacing w:val="-6"/>
          <w:sz w:val="20"/>
        </w:rPr>
        <w:t> </w:t>
      </w:r>
      <w:r>
        <w:rPr>
          <w:sz w:val="20"/>
        </w:rPr>
        <w:t>A96.2,</w:t>
      </w:r>
      <w:r>
        <w:rPr>
          <w:spacing w:val="-5"/>
          <w:sz w:val="20"/>
        </w:rPr>
        <w:t> </w:t>
      </w:r>
      <w:r>
        <w:rPr>
          <w:sz w:val="20"/>
        </w:rPr>
        <w:t>A96.8,</w:t>
      </w:r>
      <w:r>
        <w:rPr>
          <w:spacing w:val="-6"/>
          <w:sz w:val="20"/>
        </w:rPr>
        <w:t> </w:t>
      </w:r>
      <w:r>
        <w:rPr>
          <w:sz w:val="20"/>
        </w:rPr>
        <w:t>A96.9,</w:t>
      </w:r>
      <w:r>
        <w:rPr>
          <w:spacing w:val="-6"/>
          <w:sz w:val="20"/>
        </w:rPr>
        <w:t> </w:t>
      </w:r>
      <w:r>
        <w:rPr>
          <w:spacing w:val="-4"/>
          <w:sz w:val="20"/>
        </w:rPr>
        <w:t>A97,</w:t>
      </w:r>
    </w:p>
    <w:p>
      <w:pPr>
        <w:spacing w:line="229" w:lineRule="exact" w:before="1"/>
        <w:ind w:left="1160" w:right="4154" w:firstLine="0"/>
        <w:jc w:val="center"/>
        <w:rPr>
          <w:sz w:val="20"/>
        </w:rPr>
      </w:pPr>
      <w:r>
        <w:rPr>
          <w:sz w:val="20"/>
        </w:rPr>
        <w:t>A97.0,</w:t>
      </w:r>
      <w:r>
        <w:rPr>
          <w:spacing w:val="-6"/>
          <w:sz w:val="20"/>
        </w:rPr>
        <w:t> </w:t>
      </w:r>
      <w:r>
        <w:rPr>
          <w:sz w:val="20"/>
        </w:rPr>
        <w:t>A97.1,</w:t>
      </w:r>
      <w:r>
        <w:rPr>
          <w:spacing w:val="-5"/>
          <w:sz w:val="20"/>
        </w:rPr>
        <w:t> </w:t>
      </w:r>
      <w:r>
        <w:rPr>
          <w:sz w:val="20"/>
        </w:rPr>
        <w:t>A97.2,</w:t>
      </w:r>
      <w:r>
        <w:rPr>
          <w:spacing w:val="-6"/>
          <w:sz w:val="20"/>
        </w:rPr>
        <w:t> </w:t>
      </w:r>
      <w:r>
        <w:rPr>
          <w:sz w:val="20"/>
        </w:rPr>
        <w:t>A97.9,</w:t>
      </w:r>
      <w:r>
        <w:rPr>
          <w:spacing w:val="-7"/>
          <w:sz w:val="20"/>
        </w:rPr>
        <w:t> </w:t>
      </w:r>
      <w:r>
        <w:rPr>
          <w:sz w:val="20"/>
        </w:rPr>
        <w:t>A98,</w:t>
      </w:r>
      <w:r>
        <w:rPr>
          <w:spacing w:val="-5"/>
          <w:sz w:val="20"/>
        </w:rPr>
        <w:t> </w:t>
      </w:r>
      <w:r>
        <w:rPr>
          <w:sz w:val="20"/>
        </w:rPr>
        <w:t>A98.0,</w:t>
      </w:r>
      <w:r>
        <w:rPr>
          <w:spacing w:val="-6"/>
          <w:sz w:val="20"/>
        </w:rPr>
        <w:t> </w:t>
      </w:r>
      <w:r>
        <w:rPr>
          <w:spacing w:val="-2"/>
          <w:sz w:val="20"/>
        </w:rPr>
        <w:t>A98.1,</w:t>
      </w:r>
    </w:p>
    <w:p>
      <w:pPr>
        <w:spacing w:line="229" w:lineRule="exact" w:before="0"/>
        <w:ind w:left="1160" w:right="4154" w:firstLine="0"/>
        <w:jc w:val="center"/>
        <w:rPr>
          <w:sz w:val="20"/>
        </w:rPr>
      </w:pPr>
      <w:r>
        <w:rPr>
          <w:sz w:val="20"/>
        </w:rPr>
        <w:t>A98.2,</w:t>
      </w:r>
      <w:r>
        <w:rPr>
          <w:spacing w:val="-6"/>
          <w:sz w:val="20"/>
        </w:rPr>
        <w:t> </w:t>
      </w:r>
      <w:r>
        <w:rPr>
          <w:sz w:val="20"/>
        </w:rPr>
        <w:t>A98.3,</w:t>
      </w:r>
      <w:r>
        <w:rPr>
          <w:spacing w:val="-5"/>
          <w:sz w:val="20"/>
        </w:rPr>
        <w:t> </w:t>
      </w:r>
      <w:r>
        <w:rPr>
          <w:sz w:val="20"/>
        </w:rPr>
        <w:t>A98.4,</w:t>
      </w:r>
      <w:r>
        <w:rPr>
          <w:spacing w:val="-6"/>
          <w:sz w:val="20"/>
        </w:rPr>
        <w:t> </w:t>
      </w:r>
      <w:r>
        <w:rPr>
          <w:sz w:val="20"/>
        </w:rPr>
        <w:t>A98.5,</w:t>
      </w:r>
      <w:r>
        <w:rPr>
          <w:spacing w:val="-7"/>
          <w:sz w:val="20"/>
        </w:rPr>
        <w:t> </w:t>
      </w:r>
      <w:r>
        <w:rPr>
          <w:sz w:val="20"/>
        </w:rPr>
        <w:t>A98.8,</w:t>
      </w:r>
      <w:r>
        <w:rPr>
          <w:spacing w:val="-5"/>
          <w:sz w:val="20"/>
        </w:rPr>
        <w:t> </w:t>
      </w:r>
      <w:r>
        <w:rPr>
          <w:sz w:val="20"/>
        </w:rPr>
        <w:t>A99,</w:t>
      </w:r>
      <w:r>
        <w:rPr>
          <w:spacing w:val="-6"/>
          <w:sz w:val="20"/>
        </w:rPr>
        <w:t> </w:t>
      </w:r>
      <w:r>
        <w:rPr>
          <w:spacing w:val="-4"/>
          <w:sz w:val="20"/>
        </w:rPr>
        <w:t>B00,</w:t>
      </w:r>
    </w:p>
    <w:p>
      <w:pPr>
        <w:spacing w:before="0"/>
        <w:ind w:left="1161" w:right="4154" w:firstLine="0"/>
        <w:jc w:val="center"/>
        <w:rPr>
          <w:sz w:val="20"/>
        </w:rPr>
      </w:pPr>
      <w:r>
        <w:rPr>
          <w:sz w:val="20"/>
        </w:rPr>
        <w:t>B00.0,</w:t>
      </w:r>
      <w:r>
        <w:rPr>
          <w:spacing w:val="-8"/>
          <w:sz w:val="20"/>
        </w:rPr>
        <w:t> </w:t>
      </w:r>
      <w:r>
        <w:rPr>
          <w:sz w:val="20"/>
        </w:rPr>
        <w:t>B00.1,</w:t>
      </w:r>
      <w:r>
        <w:rPr>
          <w:spacing w:val="-5"/>
          <w:sz w:val="20"/>
        </w:rPr>
        <w:t> </w:t>
      </w:r>
      <w:r>
        <w:rPr>
          <w:sz w:val="20"/>
        </w:rPr>
        <w:t>B00.2,</w:t>
      </w:r>
      <w:r>
        <w:rPr>
          <w:spacing w:val="-5"/>
          <w:sz w:val="20"/>
        </w:rPr>
        <w:t> </w:t>
      </w:r>
      <w:r>
        <w:rPr>
          <w:sz w:val="20"/>
        </w:rPr>
        <w:t>B00.3,</w:t>
      </w:r>
      <w:r>
        <w:rPr>
          <w:spacing w:val="-8"/>
          <w:sz w:val="20"/>
        </w:rPr>
        <w:t> </w:t>
      </w:r>
      <w:r>
        <w:rPr>
          <w:sz w:val="20"/>
        </w:rPr>
        <w:t>B00.4,</w:t>
      </w:r>
      <w:r>
        <w:rPr>
          <w:spacing w:val="-5"/>
          <w:sz w:val="20"/>
        </w:rPr>
        <w:t> </w:t>
      </w:r>
      <w:r>
        <w:rPr>
          <w:sz w:val="20"/>
        </w:rPr>
        <w:t>B00.5,</w:t>
      </w:r>
      <w:r>
        <w:rPr>
          <w:spacing w:val="-5"/>
          <w:sz w:val="20"/>
        </w:rPr>
        <w:t> </w:t>
      </w:r>
      <w:r>
        <w:rPr>
          <w:spacing w:val="-2"/>
          <w:sz w:val="20"/>
        </w:rPr>
        <w:t>B00.8,</w:t>
      </w:r>
    </w:p>
    <w:p>
      <w:pPr>
        <w:spacing w:before="1"/>
        <w:ind w:left="1161" w:right="4154" w:firstLine="0"/>
        <w:jc w:val="center"/>
        <w:rPr>
          <w:sz w:val="20"/>
        </w:rPr>
      </w:pPr>
      <w:r>
        <w:rPr>
          <w:sz w:val="20"/>
        </w:rPr>
        <w:t>B00.9,</w:t>
      </w:r>
      <w:r>
        <w:rPr>
          <w:spacing w:val="-4"/>
          <w:sz w:val="20"/>
        </w:rPr>
        <w:t> </w:t>
      </w:r>
      <w:r>
        <w:rPr>
          <w:sz w:val="20"/>
        </w:rPr>
        <w:t>B01,</w:t>
      </w:r>
      <w:r>
        <w:rPr>
          <w:spacing w:val="-6"/>
          <w:sz w:val="20"/>
        </w:rPr>
        <w:t> </w:t>
      </w:r>
      <w:r>
        <w:rPr>
          <w:sz w:val="20"/>
        </w:rPr>
        <w:t>B01.0,</w:t>
      </w:r>
      <w:r>
        <w:rPr>
          <w:spacing w:val="-5"/>
          <w:sz w:val="20"/>
        </w:rPr>
        <w:t> </w:t>
      </w:r>
      <w:r>
        <w:rPr>
          <w:sz w:val="20"/>
        </w:rPr>
        <w:t>B01.1,</w:t>
      </w:r>
      <w:r>
        <w:rPr>
          <w:spacing w:val="-6"/>
          <w:sz w:val="20"/>
        </w:rPr>
        <w:t> </w:t>
      </w:r>
      <w:r>
        <w:rPr>
          <w:sz w:val="20"/>
        </w:rPr>
        <w:t>B01.2,</w:t>
      </w:r>
      <w:r>
        <w:rPr>
          <w:spacing w:val="-5"/>
          <w:sz w:val="20"/>
        </w:rPr>
        <w:t> </w:t>
      </w:r>
      <w:r>
        <w:rPr>
          <w:sz w:val="20"/>
        </w:rPr>
        <w:t>B01.8,</w:t>
      </w:r>
      <w:r>
        <w:rPr>
          <w:spacing w:val="-4"/>
          <w:sz w:val="20"/>
        </w:rPr>
        <w:t> </w:t>
      </w:r>
      <w:r>
        <w:rPr>
          <w:spacing w:val="-2"/>
          <w:sz w:val="20"/>
        </w:rPr>
        <w:t>B01.9,</w:t>
      </w:r>
    </w:p>
    <w:p>
      <w:pPr>
        <w:spacing w:before="0"/>
        <w:ind w:left="1166" w:right="4154" w:firstLine="0"/>
        <w:jc w:val="center"/>
        <w:rPr>
          <w:sz w:val="20"/>
        </w:rPr>
      </w:pPr>
      <w:r>
        <w:rPr>
          <w:sz w:val="20"/>
        </w:rPr>
        <w:t>B02,</w:t>
      </w:r>
      <w:r>
        <w:rPr>
          <w:spacing w:val="-6"/>
          <w:sz w:val="20"/>
        </w:rPr>
        <w:t> </w:t>
      </w:r>
      <w:r>
        <w:rPr>
          <w:sz w:val="20"/>
        </w:rPr>
        <w:t>B02.0,</w:t>
      </w:r>
      <w:r>
        <w:rPr>
          <w:spacing w:val="-5"/>
          <w:sz w:val="20"/>
        </w:rPr>
        <w:t> </w:t>
      </w:r>
      <w:r>
        <w:rPr>
          <w:sz w:val="20"/>
        </w:rPr>
        <w:t>B02.1,</w:t>
      </w:r>
      <w:r>
        <w:rPr>
          <w:spacing w:val="-5"/>
          <w:sz w:val="20"/>
        </w:rPr>
        <w:t> </w:t>
      </w:r>
      <w:r>
        <w:rPr>
          <w:sz w:val="20"/>
        </w:rPr>
        <w:t>B02.2,</w:t>
      </w:r>
      <w:r>
        <w:rPr>
          <w:spacing w:val="-6"/>
          <w:sz w:val="20"/>
        </w:rPr>
        <w:t> </w:t>
      </w:r>
      <w:r>
        <w:rPr>
          <w:sz w:val="20"/>
        </w:rPr>
        <w:t>B02.3,</w:t>
      </w:r>
      <w:r>
        <w:rPr>
          <w:spacing w:val="-1"/>
          <w:sz w:val="20"/>
        </w:rPr>
        <w:t> </w:t>
      </w:r>
      <w:r>
        <w:rPr>
          <w:sz w:val="20"/>
        </w:rPr>
        <w:t>B02.7,</w:t>
      </w:r>
      <w:r>
        <w:rPr>
          <w:spacing w:val="-3"/>
          <w:sz w:val="20"/>
        </w:rPr>
        <w:t> </w:t>
      </w:r>
      <w:r>
        <w:rPr>
          <w:spacing w:val="-2"/>
          <w:sz w:val="20"/>
        </w:rPr>
        <w:t>B02.8,</w:t>
      </w:r>
    </w:p>
    <w:p>
      <w:pPr>
        <w:spacing w:before="0"/>
        <w:ind w:left="1160" w:right="4154" w:firstLine="0"/>
        <w:jc w:val="center"/>
        <w:rPr>
          <w:sz w:val="20"/>
        </w:rPr>
      </w:pPr>
      <w:r>
        <w:rPr>
          <w:sz w:val="20"/>
        </w:rPr>
        <w:t>B02.9,</w:t>
      </w:r>
      <w:r>
        <w:rPr>
          <w:spacing w:val="-4"/>
          <w:sz w:val="20"/>
        </w:rPr>
        <w:t> </w:t>
      </w:r>
      <w:r>
        <w:rPr>
          <w:sz w:val="20"/>
        </w:rPr>
        <w:t>B03,</w:t>
      </w:r>
      <w:r>
        <w:rPr>
          <w:spacing w:val="-5"/>
          <w:sz w:val="20"/>
        </w:rPr>
        <w:t> </w:t>
      </w:r>
      <w:r>
        <w:rPr>
          <w:sz w:val="20"/>
        </w:rPr>
        <w:t>B04,</w:t>
      </w:r>
      <w:r>
        <w:rPr>
          <w:spacing w:val="-4"/>
          <w:sz w:val="20"/>
        </w:rPr>
        <w:t> </w:t>
      </w:r>
      <w:r>
        <w:rPr>
          <w:sz w:val="20"/>
        </w:rPr>
        <w:t>B05,</w:t>
      </w:r>
      <w:r>
        <w:rPr>
          <w:spacing w:val="-5"/>
          <w:sz w:val="20"/>
        </w:rPr>
        <w:t> </w:t>
      </w:r>
      <w:r>
        <w:rPr>
          <w:sz w:val="20"/>
        </w:rPr>
        <w:t>B05.0,</w:t>
      </w:r>
      <w:r>
        <w:rPr>
          <w:spacing w:val="-6"/>
          <w:sz w:val="20"/>
        </w:rPr>
        <w:t> </w:t>
      </w:r>
      <w:r>
        <w:rPr>
          <w:sz w:val="20"/>
        </w:rPr>
        <w:t>B05.1,</w:t>
      </w:r>
      <w:r>
        <w:rPr>
          <w:spacing w:val="-3"/>
          <w:sz w:val="20"/>
        </w:rPr>
        <w:t> </w:t>
      </w:r>
      <w:r>
        <w:rPr>
          <w:spacing w:val="-2"/>
          <w:sz w:val="20"/>
        </w:rPr>
        <w:t>B05.2,</w:t>
      </w:r>
    </w:p>
    <w:p>
      <w:pPr>
        <w:spacing w:line="229" w:lineRule="exact" w:before="1"/>
        <w:ind w:left="1161" w:right="4154" w:firstLine="0"/>
        <w:jc w:val="center"/>
        <w:rPr>
          <w:sz w:val="20"/>
        </w:rPr>
      </w:pPr>
      <w:r>
        <w:rPr>
          <w:sz w:val="20"/>
        </w:rPr>
        <w:t>B05.3,</w:t>
      </w:r>
      <w:r>
        <w:rPr>
          <w:spacing w:val="-5"/>
          <w:sz w:val="20"/>
        </w:rPr>
        <w:t> </w:t>
      </w:r>
      <w:r>
        <w:rPr>
          <w:sz w:val="20"/>
        </w:rPr>
        <w:t>B05.4,</w:t>
      </w:r>
      <w:r>
        <w:rPr>
          <w:spacing w:val="-4"/>
          <w:sz w:val="20"/>
        </w:rPr>
        <w:t> </w:t>
      </w:r>
      <w:r>
        <w:rPr>
          <w:sz w:val="20"/>
        </w:rPr>
        <w:t>B05.8,</w:t>
      </w:r>
      <w:r>
        <w:rPr>
          <w:spacing w:val="-5"/>
          <w:sz w:val="20"/>
        </w:rPr>
        <w:t> </w:t>
      </w:r>
      <w:r>
        <w:rPr>
          <w:sz w:val="20"/>
        </w:rPr>
        <w:t>B05.9,</w:t>
      </w:r>
      <w:r>
        <w:rPr>
          <w:spacing w:val="-8"/>
          <w:sz w:val="20"/>
        </w:rPr>
        <w:t> </w:t>
      </w:r>
      <w:r>
        <w:rPr>
          <w:sz w:val="20"/>
        </w:rPr>
        <w:t>B06,</w:t>
      </w:r>
      <w:r>
        <w:rPr>
          <w:spacing w:val="-6"/>
          <w:sz w:val="20"/>
        </w:rPr>
        <w:t> </w:t>
      </w:r>
      <w:r>
        <w:rPr>
          <w:sz w:val="20"/>
        </w:rPr>
        <w:t>B06.0,</w:t>
      </w:r>
      <w:r>
        <w:rPr>
          <w:spacing w:val="-6"/>
          <w:sz w:val="20"/>
        </w:rPr>
        <w:t> </w:t>
      </w:r>
      <w:r>
        <w:rPr>
          <w:spacing w:val="-2"/>
          <w:sz w:val="20"/>
        </w:rPr>
        <w:t>B06.8,</w:t>
      </w:r>
    </w:p>
    <w:p>
      <w:pPr>
        <w:spacing w:line="229" w:lineRule="exact" w:before="0"/>
        <w:ind w:left="1161" w:right="4154" w:firstLine="0"/>
        <w:jc w:val="center"/>
        <w:rPr>
          <w:sz w:val="20"/>
        </w:rPr>
      </w:pPr>
      <w:r>
        <w:rPr>
          <w:sz w:val="20"/>
        </w:rPr>
        <w:t>B06.9,</w:t>
      </w:r>
      <w:r>
        <w:rPr>
          <w:spacing w:val="-4"/>
          <w:sz w:val="20"/>
        </w:rPr>
        <w:t> </w:t>
      </w: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4"/>
          <w:sz w:val="20"/>
        </w:rPr>
        <w:t> </w:t>
      </w:r>
      <w:r>
        <w:rPr>
          <w:spacing w:val="-2"/>
          <w:sz w:val="20"/>
        </w:rPr>
        <w:t>B08.5,</w:t>
      </w:r>
    </w:p>
    <w:p>
      <w:pPr>
        <w:spacing w:before="1"/>
        <w:ind w:left="4717" w:right="0" w:firstLine="0"/>
        <w:jc w:val="left"/>
        <w:rPr>
          <w:sz w:val="20"/>
        </w:rPr>
      </w:pPr>
      <w:r>
        <w:rPr>
          <w:sz w:val="20"/>
        </w:rPr>
        <w:t>B08.8,</w:t>
      </w:r>
      <w:r>
        <w:rPr>
          <w:spacing w:val="-7"/>
          <w:sz w:val="20"/>
        </w:rPr>
        <w:t> </w:t>
      </w:r>
      <w:r>
        <w:rPr>
          <w:sz w:val="20"/>
        </w:rPr>
        <w:t>B09,</w:t>
      </w:r>
      <w:r>
        <w:rPr>
          <w:spacing w:val="-6"/>
          <w:sz w:val="20"/>
        </w:rPr>
        <w:t> </w:t>
      </w:r>
      <w:r>
        <w:rPr>
          <w:sz w:val="20"/>
        </w:rPr>
        <w:t>B25,</w:t>
      </w:r>
      <w:r>
        <w:rPr>
          <w:spacing w:val="-4"/>
          <w:sz w:val="20"/>
        </w:rPr>
        <w:t> </w:t>
      </w:r>
      <w:r>
        <w:rPr>
          <w:sz w:val="20"/>
        </w:rPr>
        <w:t>B25.0,</w:t>
      </w:r>
      <w:r>
        <w:rPr>
          <w:spacing w:val="-6"/>
          <w:sz w:val="20"/>
        </w:rPr>
        <w:t> </w:t>
      </w:r>
      <w:r>
        <w:rPr>
          <w:sz w:val="20"/>
        </w:rPr>
        <w:t>B25.1,</w:t>
      </w:r>
      <w:r>
        <w:rPr>
          <w:spacing w:val="-4"/>
          <w:sz w:val="20"/>
        </w:rPr>
        <w:t> </w:t>
      </w:r>
      <w:r>
        <w:rPr>
          <w:sz w:val="20"/>
        </w:rPr>
        <w:t>B25.2,</w:t>
      </w:r>
      <w:r>
        <w:rPr>
          <w:spacing w:val="-6"/>
          <w:sz w:val="20"/>
        </w:rPr>
        <w:t> </w:t>
      </w:r>
      <w:r>
        <w:rPr>
          <w:spacing w:val="-2"/>
          <w:sz w:val="20"/>
        </w:rPr>
        <w:t>B25.8,</w:t>
      </w:r>
    </w:p>
    <w:p>
      <w:pPr>
        <w:spacing w:before="0"/>
        <w:ind w:left="4643" w:right="0" w:firstLine="0"/>
        <w:jc w:val="left"/>
        <w:rPr>
          <w:sz w:val="20"/>
        </w:rPr>
      </w:pPr>
      <w:r>
        <w:rPr>
          <w:sz w:val="20"/>
        </w:rPr>
        <w:t>B25.9,</w:t>
      </w:r>
      <w:r>
        <w:rPr>
          <w:spacing w:val="-4"/>
          <w:sz w:val="20"/>
        </w:rPr>
        <w:t> </w:t>
      </w:r>
      <w:r>
        <w:rPr>
          <w:sz w:val="20"/>
        </w:rPr>
        <w:t>B26,</w:t>
      </w:r>
      <w:r>
        <w:rPr>
          <w:spacing w:val="-6"/>
          <w:sz w:val="20"/>
        </w:rPr>
        <w:t> </w:t>
      </w:r>
      <w:r>
        <w:rPr>
          <w:sz w:val="20"/>
        </w:rPr>
        <w:t>B26.0,</w:t>
      </w:r>
      <w:r>
        <w:rPr>
          <w:spacing w:val="-5"/>
          <w:sz w:val="20"/>
        </w:rPr>
        <w:t> </w:t>
      </w:r>
      <w:r>
        <w:rPr>
          <w:sz w:val="20"/>
        </w:rPr>
        <w:t>B26.1,</w:t>
      </w:r>
      <w:r>
        <w:rPr>
          <w:spacing w:val="-6"/>
          <w:sz w:val="20"/>
        </w:rPr>
        <w:t> </w:t>
      </w:r>
      <w:r>
        <w:rPr>
          <w:sz w:val="20"/>
        </w:rPr>
        <w:t>B26.2,</w:t>
      </w:r>
      <w:r>
        <w:rPr>
          <w:spacing w:val="-5"/>
          <w:sz w:val="20"/>
        </w:rPr>
        <w:t> </w:t>
      </w:r>
      <w:r>
        <w:rPr>
          <w:sz w:val="20"/>
        </w:rPr>
        <w:t>B26.3,</w:t>
      </w:r>
      <w:r>
        <w:rPr>
          <w:spacing w:val="-4"/>
          <w:sz w:val="20"/>
        </w:rPr>
        <w:t> </w:t>
      </w:r>
      <w:r>
        <w:rPr>
          <w:spacing w:val="-2"/>
          <w:sz w:val="20"/>
        </w:rPr>
        <w:t>B26.8,</w:t>
      </w:r>
    </w:p>
    <w:p>
      <w:pPr>
        <w:spacing w:before="1"/>
        <w:ind w:left="4717" w:right="0" w:firstLine="0"/>
        <w:jc w:val="left"/>
        <w:rPr>
          <w:sz w:val="20"/>
        </w:rPr>
      </w:pPr>
      <w:r>
        <w:rPr>
          <w:sz w:val="20"/>
        </w:rPr>
        <w:t>B26.9,</w:t>
      </w:r>
      <w:r>
        <w:rPr>
          <w:spacing w:val="-4"/>
          <w:sz w:val="20"/>
        </w:rPr>
        <w:t> </w:t>
      </w:r>
      <w:r>
        <w:rPr>
          <w:sz w:val="20"/>
        </w:rPr>
        <w:t>B27,</w:t>
      </w:r>
      <w:r>
        <w:rPr>
          <w:spacing w:val="-5"/>
          <w:sz w:val="20"/>
        </w:rPr>
        <w:t> </w:t>
      </w:r>
      <w:r>
        <w:rPr>
          <w:sz w:val="20"/>
        </w:rPr>
        <w:t>B27.0,</w:t>
      </w:r>
      <w:r>
        <w:rPr>
          <w:spacing w:val="-5"/>
          <w:sz w:val="20"/>
        </w:rPr>
        <w:t> </w:t>
      </w:r>
      <w:r>
        <w:rPr>
          <w:sz w:val="20"/>
        </w:rPr>
        <w:t>B27.1,</w:t>
      </w:r>
      <w:r>
        <w:rPr>
          <w:spacing w:val="-5"/>
          <w:sz w:val="20"/>
        </w:rPr>
        <w:t> </w:t>
      </w:r>
      <w:r>
        <w:rPr>
          <w:sz w:val="20"/>
        </w:rPr>
        <w:t>B27.8,</w:t>
      </w:r>
      <w:r>
        <w:rPr>
          <w:spacing w:val="-6"/>
          <w:sz w:val="20"/>
        </w:rPr>
        <w:t> </w:t>
      </w:r>
      <w:r>
        <w:rPr>
          <w:sz w:val="20"/>
        </w:rPr>
        <w:t>B27.9,</w:t>
      </w:r>
      <w:r>
        <w:rPr>
          <w:spacing w:val="-3"/>
          <w:sz w:val="20"/>
        </w:rPr>
        <w:t> </w:t>
      </w:r>
      <w:r>
        <w:rPr>
          <w:spacing w:val="-4"/>
          <w:sz w:val="20"/>
        </w:rPr>
        <w:t>B33,</w:t>
      </w:r>
    </w:p>
    <w:p>
      <w:pPr>
        <w:spacing w:before="0"/>
        <w:ind w:left="4643" w:right="0" w:firstLine="0"/>
        <w:jc w:val="left"/>
        <w:rPr>
          <w:sz w:val="20"/>
        </w:rPr>
      </w:pPr>
      <w:r>
        <w:rPr>
          <w:sz w:val="20"/>
        </w:rPr>
        <w:t>B33.0,</w:t>
      </w:r>
      <w:r>
        <w:rPr>
          <w:spacing w:val="-8"/>
          <w:sz w:val="20"/>
        </w:rPr>
        <w:t> </w:t>
      </w:r>
      <w:r>
        <w:rPr>
          <w:sz w:val="20"/>
        </w:rPr>
        <w:t>B33.1,</w:t>
      </w:r>
      <w:r>
        <w:rPr>
          <w:spacing w:val="-5"/>
          <w:sz w:val="20"/>
        </w:rPr>
        <w:t> </w:t>
      </w:r>
      <w:r>
        <w:rPr>
          <w:sz w:val="20"/>
        </w:rPr>
        <w:t>B33.2,</w:t>
      </w:r>
      <w:r>
        <w:rPr>
          <w:spacing w:val="-5"/>
          <w:sz w:val="20"/>
        </w:rPr>
        <w:t> </w:t>
      </w:r>
      <w:r>
        <w:rPr>
          <w:sz w:val="20"/>
        </w:rPr>
        <w:t>B33.3,</w:t>
      </w:r>
      <w:r>
        <w:rPr>
          <w:spacing w:val="-8"/>
          <w:sz w:val="20"/>
        </w:rPr>
        <w:t> </w:t>
      </w:r>
      <w:r>
        <w:rPr>
          <w:sz w:val="20"/>
        </w:rPr>
        <w:t>B33.4,</w:t>
      </w:r>
      <w:r>
        <w:rPr>
          <w:spacing w:val="-5"/>
          <w:sz w:val="20"/>
        </w:rPr>
        <w:t> </w:t>
      </w:r>
      <w:r>
        <w:rPr>
          <w:sz w:val="20"/>
        </w:rPr>
        <w:t>B33.8,</w:t>
      </w:r>
      <w:r>
        <w:rPr>
          <w:spacing w:val="-5"/>
          <w:sz w:val="20"/>
        </w:rPr>
        <w:t> </w:t>
      </w:r>
      <w:r>
        <w:rPr>
          <w:spacing w:val="-4"/>
          <w:sz w:val="20"/>
        </w:rPr>
        <w:t>B34,</w:t>
      </w:r>
    </w:p>
    <w:p>
      <w:pPr>
        <w:spacing w:line="229" w:lineRule="exact" w:before="1"/>
        <w:ind w:left="4569" w:right="0" w:firstLine="0"/>
        <w:jc w:val="left"/>
        <w:rPr>
          <w:sz w:val="20"/>
        </w:rPr>
      </w:pPr>
      <w:r>
        <w:rPr>
          <w:sz w:val="20"/>
        </w:rPr>
        <w:t>B34.0,</w:t>
      </w:r>
      <w:r>
        <w:rPr>
          <w:spacing w:val="-8"/>
          <w:sz w:val="20"/>
        </w:rPr>
        <w:t> </w:t>
      </w:r>
      <w:r>
        <w:rPr>
          <w:sz w:val="20"/>
        </w:rPr>
        <w:t>B34.1,</w:t>
      </w:r>
      <w:r>
        <w:rPr>
          <w:spacing w:val="-5"/>
          <w:sz w:val="20"/>
        </w:rPr>
        <w:t> </w:t>
      </w:r>
      <w:r>
        <w:rPr>
          <w:sz w:val="20"/>
        </w:rPr>
        <w:t>B34.2,</w:t>
      </w:r>
      <w:r>
        <w:rPr>
          <w:spacing w:val="-5"/>
          <w:sz w:val="20"/>
        </w:rPr>
        <w:t> </w:t>
      </w:r>
      <w:r>
        <w:rPr>
          <w:sz w:val="20"/>
        </w:rPr>
        <w:t>B34.3,</w:t>
      </w:r>
      <w:r>
        <w:rPr>
          <w:spacing w:val="-8"/>
          <w:sz w:val="20"/>
        </w:rPr>
        <w:t> </w:t>
      </w:r>
      <w:r>
        <w:rPr>
          <w:sz w:val="20"/>
        </w:rPr>
        <w:t>B34.4,</w:t>
      </w:r>
      <w:r>
        <w:rPr>
          <w:spacing w:val="-5"/>
          <w:sz w:val="20"/>
        </w:rPr>
        <w:t> </w:t>
      </w:r>
      <w:r>
        <w:rPr>
          <w:sz w:val="20"/>
        </w:rPr>
        <w:t>B34.8,</w:t>
      </w:r>
      <w:r>
        <w:rPr>
          <w:spacing w:val="-5"/>
          <w:sz w:val="20"/>
        </w:rPr>
        <w:t> </w:t>
      </w:r>
      <w:r>
        <w:rPr>
          <w:spacing w:val="-2"/>
          <w:sz w:val="20"/>
        </w:rPr>
        <w:t>B34.9,</w:t>
      </w:r>
    </w:p>
    <w:p>
      <w:pPr>
        <w:spacing w:line="229" w:lineRule="exact" w:before="0"/>
        <w:ind w:left="4643" w:right="0" w:firstLine="0"/>
        <w:jc w:val="left"/>
        <w:rPr>
          <w:sz w:val="20"/>
        </w:rPr>
      </w:pPr>
      <w:r>
        <w:rPr>
          <w:sz w:val="20"/>
        </w:rPr>
        <w:t>B37,</w:t>
      </w:r>
      <w:r>
        <w:rPr>
          <w:spacing w:val="-6"/>
          <w:sz w:val="20"/>
        </w:rPr>
        <w:t> </w:t>
      </w:r>
      <w:r>
        <w:rPr>
          <w:sz w:val="20"/>
        </w:rPr>
        <w:t>B37.0,</w:t>
      </w:r>
      <w:r>
        <w:rPr>
          <w:spacing w:val="-5"/>
          <w:sz w:val="20"/>
        </w:rPr>
        <w:t> </w:t>
      </w:r>
      <w:r>
        <w:rPr>
          <w:sz w:val="20"/>
        </w:rPr>
        <w:t>B37.1,</w:t>
      </w:r>
      <w:r>
        <w:rPr>
          <w:spacing w:val="-6"/>
          <w:sz w:val="20"/>
        </w:rPr>
        <w:t> </w:t>
      </w:r>
      <w:r>
        <w:rPr>
          <w:sz w:val="20"/>
        </w:rPr>
        <w:t>B37.2,</w:t>
      </w:r>
      <w:r>
        <w:rPr>
          <w:spacing w:val="-5"/>
          <w:sz w:val="20"/>
        </w:rPr>
        <w:t> </w:t>
      </w:r>
      <w:r>
        <w:rPr>
          <w:sz w:val="20"/>
        </w:rPr>
        <w:t>B37.3,</w:t>
      </w:r>
      <w:r>
        <w:rPr>
          <w:spacing w:val="-5"/>
          <w:sz w:val="20"/>
        </w:rPr>
        <w:t> </w:t>
      </w:r>
      <w:r>
        <w:rPr>
          <w:sz w:val="20"/>
        </w:rPr>
        <w:t>B37.4,</w:t>
      </w:r>
      <w:r>
        <w:rPr>
          <w:spacing w:val="-4"/>
          <w:sz w:val="20"/>
        </w:rPr>
        <w:t> </w:t>
      </w:r>
      <w:r>
        <w:rPr>
          <w:spacing w:val="-2"/>
          <w:sz w:val="20"/>
        </w:rPr>
        <w:t>B37.5,</w:t>
      </w:r>
    </w:p>
    <w:p>
      <w:pPr>
        <w:spacing w:before="0"/>
        <w:ind w:left="4643" w:right="0" w:firstLine="0"/>
        <w:jc w:val="left"/>
        <w:rPr>
          <w:sz w:val="20"/>
        </w:rPr>
      </w:pPr>
      <w:r>
        <w:rPr>
          <w:sz w:val="20"/>
        </w:rPr>
        <w:t>B37.6,</w:t>
      </w:r>
      <w:r>
        <w:rPr>
          <w:spacing w:val="-5"/>
          <w:sz w:val="20"/>
        </w:rPr>
        <w:t> </w:t>
      </w:r>
      <w:r>
        <w:rPr>
          <w:sz w:val="20"/>
        </w:rPr>
        <w:t>B37.8,</w:t>
      </w:r>
      <w:r>
        <w:rPr>
          <w:spacing w:val="-5"/>
          <w:sz w:val="20"/>
        </w:rPr>
        <w:t> </w:t>
      </w:r>
      <w:r>
        <w:rPr>
          <w:sz w:val="20"/>
        </w:rPr>
        <w:t>B37.9,</w:t>
      </w:r>
      <w:r>
        <w:rPr>
          <w:spacing w:val="-4"/>
          <w:sz w:val="20"/>
        </w:rPr>
        <w:t> </w:t>
      </w:r>
      <w:r>
        <w:rPr>
          <w:sz w:val="20"/>
        </w:rPr>
        <w:t>B38,</w:t>
      </w:r>
      <w:r>
        <w:rPr>
          <w:spacing w:val="-7"/>
          <w:sz w:val="20"/>
        </w:rPr>
        <w:t> </w:t>
      </w:r>
      <w:r>
        <w:rPr>
          <w:sz w:val="20"/>
        </w:rPr>
        <w:t>B38.0,</w:t>
      </w:r>
      <w:r>
        <w:rPr>
          <w:spacing w:val="-6"/>
          <w:sz w:val="20"/>
        </w:rPr>
        <w:t> </w:t>
      </w:r>
      <w:r>
        <w:rPr>
          <w:sz w:val="20"/>
        </w:rPr>
        <w:t>B38.1,</w:t>
      </w:r>
      <w:r>
        <w:rPr>
          <w:spacing w:val="-5"/>
          <w:sz w:val="20"/>
        </w:rPr>
        <w:t> </w:t>
      </w:r>
      <w:r>
        <w:rPr>
          <w:spacing w:val="-2"/>
          <w:sz w:val="20"/>
        </w:rPr>
        <w:t>B38.2,</w:t>
      </w:r>
    </w:p>
    <w:p>
      <w:pPr>
        <w:spacing w:before="0"/>
        <w:ind w:left="4643" w:right="0" w:firstLine="0"/>
        <w:jc w:val="left"/>
        <w:rPr>
          <w:sz w:val="20"/>
        </w:rPr>
      </w:pPr>
      <w:r>
        <w:rPr>
          <w:sz w:val="20"/>
        </w:rPr>
        <w:t>B38.3,</w:t>
      </w:r>
      <w:r>
        <w:rPr>
          <w:spacing w:val="-5"/>
          <w:sz w:val="20"/>
        </w:rPr>
        <w:t> </w:t>
      </w:r>
      <w:r>
        <w:rPr>
          <w:sz w:val="20"/>
        </w:rPr>
        <w:t>B38.4,</w:t>
      </w:r>
      <w:r>
        <w:rPr>
          <w:spacing w:val="-4"/>
          <w:sz w:val="20"/>
        </w:rPr>
        <w:t> </w:t>
      </w:r>
      <w:r>
        <w:rPr>
          <w:sz w:val="20"/>
        </w:rPr>
        <w:t>B38.7,</w:t>
      </w:r>
      <w:r>
        <w:rPr>
          <w:spacing w:val="-5"/>
          <w:sz w:val="20"/>
        </w:rPr>
        <w:t> </w:t>
      </w:r>
      <w:r>
        <w:rPr>
          <w:sz w:val="20"/>
        </w:rPr>
        <w:t>B38.8,</w:t>
      </w:r>
      <w:r>
        <w:rPr>
          <w:spacing w:val="-8"/>
          <w:sz w:val="20"/>
        </w:rPr>
        <w:t> </w:t>
      </w:r>
      <w:r>
        <w:rPr>
          <w:sz w:val="20"/>
        </w:rPr>
        <w:t>B38.9, B39,</w:t>
      </w:r>
      <w:r>
        <w:rPr>
          <w:spacing w:val="-6"/>
          <w:sz w:val="20"/>
        </w:rPr>
        <w:t> </w:t>
      </w:r>
      <w:r>
        <w:rPr>
          <w:spacing w:val="-2"/>
          <w:sz w:val="20"/>
        </w:rPr>
        <w:t>B39.0,</w:t>
      </w:r>
    </w:p>
    <w:p>
      <w:pPr>
        <w:spacing w:before="1"/>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1"/>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line="229" w:lineRule="exact" w:before="0"/>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line="229" w:lineRule="exact" w:before="0"/>
        <w:ind w:left="4643" w:right="0" w:firstLine="0"/>
        <w:jc w:val="left"/>
        <w:rPr>
          <w:sz w:val="20"/>
        </w:rPr>
      </w:pPr>
      <w:r>
        <w:rPr>
          <w:sz w:val="20"/>
        </w:rPr>
        <w:t>B42.1,</w:t>
      </w:r>
      <w:r>
        <w:rPr>
          <w:spacing w:val="-5"/>
          <w:sz w:val="20"/>
        </w:rPr>
        <w:t> </w:t>
      </w:r>
      <w:r>
        <w:rPr>
          <w:sz w:val="20"/>
        </w:rPr>
        <w:t>B42.7,</w:t>
      </w:r>
      <w:r>
        <w:rPr>
          <w:spacing w:val="-4"/>
          <w:sz w:val="20"/>
        </w:rPr>
        <w:t> </w:t>
      </w:r>
      <w:r>
        <w:rPr>
          <w:sz w:val="20"/>
        </w:rPr>
        <w:t>B42.8,</w:t>
      </w:r>
      <w:r>
        <w:rPr>
          <w:spacing w:val="-5"/>
          <w:sz w:val="20"/>
        </w:rPr>
        <w:t> </w:t>
      </w:r>
      <w:r>
        <w:rPr>
          <w:sz w:val="20"/>
        </w:rPr>
        <w:t>B42.9,</w:t>
      </w:r>
      <w:r>
        <w:rPr>
          <w:spacing w:val="-8"/>
          <w:sz w:val="20"/>
        </w:rPr>
        <w:t> </w:t>
      </w:r>
      <w:r>
        <w:rPr>
          <w:sz w:val="20"/>
        </w:rPr>
        <w:t>B43,</w:t>
      </w:r>
      <w:r>
        <w:rPr>
          <w:spacing w:val="-6"/>
          <w:sz w:val="20"/>
        </w:rPr>
        <w:t> </w:t>
      </w:r>
      <w:r>
        <w:rPr>
          <w:sz w:val="20"/>
        </w:rPr>
        <w:t>B43.0,</w:t>
      </w:r>
      <w:r>
        <w:rPr>
          <w:spacing w:val="-6"/>
          <w:sz w:val="20"/>
        </w:rPr>
        <w:t> </w:t>
      </w:r>
      <w:r>
        <w:rPr>
          <w:spacing w:val="-2"/>
          <w:sz w:val="20"/>
        </w:rPr>
        <w:t>B43.1,</w:t>
      </w:r>
    </w:p>
    <w:p>
      <w:pPr>
        <w:spacing w:before="0"/>
        <w:ind w:left="4643" w:right="0" w:firstLine="0"/>
        <w:jc w:val="left"/>
        <w:rPr>
          <w:sz w:val="20"/>
        </w:rPr>
      </w:pPr>
      <w:r>
        <w:rPr>
          <w:sz w:val="20"/>
        </w:rPr>
        <w:t>B43.2,</w:t>
      </w:r>
      <w:r>
        <w:rPr>
          <w:spacing w:val="-5"/>
          <w:sz w:val="20"/>
        </w:rPr>
        <w:t> </w:t>
      </w:r>
      <w:r>
        <w:rPr>
          <w:sz w:val="20"/>
        </w:rPr>
        <w:t>B43.8,</w:t>
      </w:r>
      <w:r>
        <w:rPr>
          <w:spacing w:val="-5"/>
          <w:sz w:val="20"/>
        </w:rPr>
        <w:t> </w:t>
      </w:r>
      <w:r>
        <w:rPr>
          <w:sz w:val="20"/>
        </w:rPr>
        <w:t>B43.9,</w:t>
      </w:r>
      <w:r>
        <w:rPr>
          <w:spacing w:val="-4"/>
          <w:sz w:val="20"/>
        </w:rPr>
        <w:t> </w:t>
      </w:r>
      <w:r>
        <w:rPr>
          <w:sz w:val="20"/>
        </w:rPr>
        <w:t>B44,</w:t>
      </w:r>
      <w:r>
        <w:rPr>
          <w:spacing w:val="-7"/>
          <w:sz w:val="20"/>
        </w:rPr>
        <w:t> </w:t>
      </w:r>
      <w:r>
        <w:rPr>
          <w:sz w:val="20"/>
        </w:rPr>
        <w:t>B44.1,</w:t>
      </w:r>
      <w:r>
        <w:rPr>
          <w:spacing w:val="-6"/>
          <w:sz w:val="20"/>
        </w:rPr>
        <w:t> </w:t>
      </w:r>
      <w:r>
        <w:rPr>
          <w:sz w:val="20"/>
        </w:rPr>
        <w:t>B44.2,</w:t>
      </w:r>
      <w:r>
        <w:rPr>
          <w:spacing w:val="-5"/>
          <w:sz w:val="20"/>
        </w:rPr>
        <w:t> </w:t>
      </w:r>
      <w:r>
        <w:rPr>
          <w:spacing w:val="-2"/>
          <w:sz w:val="20"/>
        </w:rPr>
        <w:t>B44.8,</w:t>
      </w:r>
    </w:p>
    <w:p>
      <w:pPr>
        <w:spacing w:before="1"/>
        <w:ind w:left="4717" w:right="0" w:firstLine="0"/>
        <w:jc w:val="left"/>
        <w:rPr>
          <w:sz w:val="20"/>
        </w:rPr>
      </w:pPr>
      <w:r>
        <w:rPr>
          <w:sz w:val="20"/>
        </w:rPr>
        <w:t>B44.9,</w:t>
      </w:r>
      <w:r>
        <w:rPr>
          <w:spacing w:val="-4"/>
          <w:sz w:val="20"/>
        </w:rPr>
        <w:t> </w:t>
      </w:r>
      <w:r>
        <w:rPr>
          <w:sz w:val="20"/>
        </w:rPr>
        <w:t>B45,</w:t>
      </w:r>
      <w:r>
        <w:rPr>
          <w:spacing w:val="-5"/>
          <w:sz w:val="20"/>
        </w:rPr>
        <w:t> </w:t>
      </w:r>
      <w:r>
        <w:rPr>
          <w:sz w:val="20"/>
        </w:rPr>
        <w:t>B45.2,</w:t>
      </w:r>
      <w:r>
        <w:rPr>
          <w:spacing w:val="-6"/>
          <w:sz w:val="20"/>
        </w:rPr>
        <w:t> </w:t>
      </w:r>
      <w:r>
        <w:rPr>
          <w:sz w:val="20"/>
        </w:rPr>
        <w:t>B45.3,</w:t>
      </w:r>
      <w:r>
        <w:rPr>
          <w:spacing w:val="-5"/>
          <w:sz w:val="20"/>
        </w:rPr>
        <w:t> </w:t>
      </w:r>
      <w:r>
        <w:rPr>
          <w:sz w:val="20"/>
        </w:rPr>
        <w:t>B45.8,</w:t>
      </w:r>
      <w:r>
        <w:rPr>
          <w:spacing w:val="-5"/>
          <w:sz w:val="20"/>
        </w:rPr>
        <w:t> </w:t>
      </w:r>
      <w:r>
        <w:rPr>
          <w:sz w:val="20"/>
        </w:rPr>
        <w:t>B45.9,</w:t>
      </w:r>
      <w:r>
        <w:rPr>
          <w:spacing w:val="-4"/>
          <w:sz w:val="20"/>
        </w:rPr>
        <w:t> B46,</w:t>
      </w:r>
    </w:p>
    <w:p>
      <w:pPr>
        <w:spacing w:before="0"/>
        <w:ind w:left="4569" w:right="0" w:firstLine="0"/>
        <w:jc w:val="left"/>
        <w:rPr>
          <w:sz w:val="20"/>
        </w:rPr>
      </w:pPr>
      <w:r>
        <w:rPr>
          <w:sz w:val="20"/>
        </w:rPr>
        <w:t>B46.0,</w:t>
      </w:r>
      <w:r>
        <w:rPr>
          <w:spacing w:val="-8"/>
          <w:sz w:val="20"/>
        </w:rPr>
        <w:t> </w:t>
      </w:r>
      <w:r>
        <w:rPr>
          <w:sz w:val="20"/>
        </w:rPr>
        <w:t>B46.1,</w:t>
      </w:r>
      <w:r>
        <w:rPr>
          <w:spacing w:val="-5"/>
          <w:sz w:val="20"/>
        </w:rPr>
        <w:t> </w:t>
      </w:r>
      <w:r>
        <w:rPr>
          <w:sz w:val="20"/>
        </w:rPr>
        <w:t>B46.2,</w:t>
      </w:r>
      <w:r>
        <w:rPr>
          <w:spacing w:val="-5"/>
          <w:sz w:val="20"/>
        </w:rPr>
        <w:t> </w:t>
      </w:r>
      <w:r>
        <w:rPr>
          <w:sz w:val="20"/>
        </w:rPr>
        <w:t>B46.3,</w:t>
      </w:r>
      <w:r>
        <w:rPr>
          <w:spacing w:val="-8"/>
          <w:sz w:val="20"/>
        </w:rPr>
        <w:t> </w:t>
      </w:r>
      <w:r>
        <w:rPr>
          <w:sz w:val="20"/>
        </w:rPr>
        <w:t>B46.4,</w:t>
      </w:r>
      <w:r>
        <w:rPr>
          <w:spacing w:val="-5"/>
          <w:sz w:val="20"/>
        </w:rPr>
        <w:t> </w:t>
      </w:r>
      <w:r>
        <w:rPr>
          <w:sz w:val="20"/>
        </w:rPr>
        <w:t>B46.5,</w:t>
      </w:r>
      <w:r>
        <w:rPr>
          <w:spacing w:val="-5"/>
          <w:sz w:val="20"/>
        </w:rPr>
        <w:t> </w:t>
      </w:r>
      <w:r>
        <w:rPr>
          <w:spacing w:val="-2"/>
          <w:sz w:val="20"/>
        </w:rPr>
        <w:t>B46.8,</w:t>
      </w:r>
    </w:p>
    <w:p>
      <w:pPr>
        <w:spacing w:line="229" w:lineRule="exact" w:before="1"/>
        <w:ind w:left="4717" w:right="0" w:firstLine="0"/>
        <w:jc w:val="left"/>
        <w:rPr>
          <w:sz w:val="20"/>
        </w:rPr>
      </w:pPr>
      <w:r>
        <w:rPr>
          <w:sz w:val="20"/>
        </w:rPr>
        <w:t>B46.9,</w:t>
      </w:r>
      <w:r>
        <w:rPr>
          <w:spacing w:val="-6"/>
          <w:sz w:val="20"/>
        </w:rPr>
        <w:t> </w:t>
      </w:r>
      <w:r>
        <w:rPr>
          <w:sz w:val="20"/>
        </w:rPr>
        <w:t>B47,</w:t>
      </w:r>
      <w:r>
        <w:rPr>
          <w:spacing w:val="-5"/>
          <w:sz w:val="20"/>
        </w:rPr>
        <w:t> </w:t>
      </w:r>
      <w:r>
        <w:rPr>
          <w:sz w:val="20"/>
        </w:rPr>
        <w:t>B47.0,</w:t>
      </w:r>
      <w:r>
        <w:rPr>
          <w:spacing w:val="-5"/>
          <w:sz w:val="20"/>
        </w:rPr>
        <w:t> </w:t>
      </w:r>
      <w:r>
        <w:rPr>
          <w:sz w:val="20"/>
        </w:rPr>
        <w:t>B47.1,</w:t>
      </w:r>
      <w:r>
        <w:rPr>
          <w:spacing w:val="-5"/>
          <w:sz w:val="20"/>
        </w:rPr>
        <w:t> </w:t>
      </w:r>
      <w:r>
        <w:rPr>
          <w:sz w:val="20"/>
        </w:rPr>
        <w:t>B47.9,</w:t>
      </w:r>
      <w:r>
        <w:rPr>
          <w:spacing w:val="-5"/>
          <w:sz w:val="20"/>
        </w:rPr>
        <w:t> </w:t>
      </w:r>
      <w:r>
        <w:rPr>
          <w:sz w:val="20"/>
        </w:rPr>
        <w:t>B48,</w:t>
      </w:r>
      <w:r>
        <w:rPr>
          <w:spacing w:val="-5"/>
          <w:sz w:val="20"/>
        </w:rPr>
        <w:t> </w:t>
      </w:r>
      <w:r>
        <w:rPr>
          <w:spacing w:val="-2"/>
          <w:sz w:val="20"/>
        </w:rPr>
        <w:t>B48.0,</w:t>
      </w:r>
    </w:p>
    <w:p>
      <w:pPr>
        <w:spacing w:line="229" w:lineRule="exact" w:before="0"/>
        <w:ind w:left="4643" w:right="0" w:firstLine="0"/>
        <w:jc w:val="left"/>
        <w:rPr>
          <w:sz w:val="20"/>
        </w:rPr>
      </w:pPr>
      <w:r>
        <w:rPr>
          <w:sz w:val="20"/>
        </w:rPr>
        <w:t>B48.1,</w:t>
      </w:r>
      <w:r>
        <w:rPr>
          <w:spacing w:val="-8"/>
          <w:sz w:val="20"/>
        </w:rPr>
        <w:t> </w:t>
      </w:r>
      <w:r>
        <w:rPr>
          <w:sz w:val="20"/>
        </w:rPr>
        <w:t>B48.2,</w:t>
      </w:r>
      <w:r>
        <w:rPr>
          <w:spacing w:val="-5"/>
          <w:sz w:val="20"/>
        </w:rPr>
        <w:t> </w:t>
      </w:r>
      <w:r>
        <w:rPr>
          <w:sz w:val="20"/>
        </w:rPr>
        <w:t>B48.3,</w:t>
      </w:r>
      <w:r>
        <w:rPr>
          <w:spacing w:val="-5"/>
          <w:sz w:val="20"/>
        </w:rPr>
        <w:t> </w:t>
      </w:r>
      <w:r>
        <w:rPr>
          <w:sz w:val="20"/>
        </w:rPr>
        <w:t>B48.4,</w:t>
      </w:r>
      <w:r>
        <w:rPr>
          <w:spacing w:val="-8"/>
          <w:sz w:val="20"/>
        </w:rPr>
        <w:t> </w:t>
      </w:r>
      <w:r>
        <w:rPr>
          <w:sz w:val="20"/>
        </w:rPr>
        <w:t>B48.7,</w:t>
      </w:r>
      <w:r>
        <w:rPr>
          <w:spacing w:val="-5"/>
          <w:sz w:val="20"/>
        </w:rPr>
        <w:t> </w:t>
      </w:r>
      <w:r>
        <w:rPr>
          <w:sz w:val="20"/>
        </w:rPr>
        <w:t>B48.8,</w:t>
      </w:r>
      <w:r>
        <w:rPr>
          <w:spacing w:val="-5"/>
          <w:sz w:val="20"/>
        </w:rPr>
        <w:t> </w:t>
      </w:r>
      <w:r>
        <w:rPr>
          <w:spacing w:val="-4"/>
          <w:sz w:val="20"/>
        </w:rPr>
        <w:t>B49,</w:t>
      </w:r>
    </w:p>
    <w:p>
      <w:pPr>
        <w:spacing w:before="0"/>
        <w:ind w:left="4717" w:right="0" w:firstLine="0"/>
        <w:jc w:val="left"/>
        <w:rPr>
          <w:sz w:val="20"/>
        </w:rPr>
      </w:pPr>
      <w:r>
        <w:rPr>
          <w:sz w:val="20"/>
        </w:rPr>
        <w:t>B50,</w:t>
      </w:r>
      <w:r>
        <w:rPr>
          <w:spacing w:val="-8"/>
          <w:sz w:val="20"/>
        </w:rPr>
        <w:t> </w:t>
      </w:r>
      <w:r>
        <w:rPr>
          <w:sz w:val="20"/>
        </w:rPr>
        <w:t>B50.0,</w:t>
      </w:r>
      <w:r>
        <w:rPr>
          <w:spacing w:val="-5"/>
          <w:sz w:val="20"/>
        </w:rPr>
        <w:t> </w:t>
      </w:r>
      <w:r>
        <w:rPr>
          <w:sz w:val="20"/>
        </w:rPr>
        <w:t>B50.8,</w:t>
      </w:r>
      <w:r>
        <w:rPr>
          <w:spacing w:val="-6"/>
          <w:sz w:val="20"/>
        </w:rPr>
        <w:t> </w:t>
      </w:r>
      <w:r>
        <w:rPr>
          <w:sz w:val="20"/>
        </w:rPr>
        <w:t>B50.9,</w:t>
      </w:r>
      <w:r>
        <w:rPr>
          <w:spacing w:val="-5"/>
          <w:sz w:val="20"/>
        </w:rPr>
        <w:t> </w:t>
      </w:r>
      <w:r>
        <w:rPr>
          <w:sz w:val="20"/>
        </w:rPr>
        <w:t>B51,</w:t>
      </w:r>
      <w:r>
        <w:rPr>
          <w:spacing w:val="-4"/>
          <w:sz w:val="20"/>
        </w:rPr>
        <w:t> </w:t>
      </w:r>
      <w:r>
        <w:rPr>
          <w:sz w:val="20"/>
        </w:rPr>
        <w:t>B51.0,</w:t>
      </w:r>
      <w:r>
        <w:rPr>
          <w:spacing w:val="-5"/>
          <w:sz w:val="20"/>
        </w:rPr>
        <w:t> </w:t>
      </w:r>
      <w:r>
        <w:rPr>
          <w:spacing w:val="-2"/>
          <w:sz w:val="20"/>
        </w:rPr>
        <w:t>B51.8,</w:t>
      </w:r>
    </w:p>
    <w:p>
      <w:pPr>
        <w:spacing w:before="1"/>
        <w:ind w:left="4717" w:right="0" w:firstLine="0"/>
        <w:jc w:val="left"/>
        <w:rPr>
          <w:sz w:val="20"/>
        </w:rPr>
      </w:pPr>
      <w:r>
        <w:rPr>
          <w:sz w:val="20"/>
        </w:rPr>
        <w:t>B51.9,</w:t>
      </w:r>
      <w:r>
        <w:rPr>
          <w:spacing w:val="-6"/>
          <w:sz w:val="20"/>
        </w:rPr>
        <w:t> </w:t>
      </w:r>
      <w:r>
        <w:rPr>
          <w:sz w:val="20"/>
        </w:rPr>
        <w:t>B52,</w:t>
      </w:r>
      <w:r>
        <w:rPr>
          <w:spacing w:val="-5"/>
          <w:sz w:val="20"/>
        </w:rPr>
        <w:t> </w:t>
      </w:r>
      <w:r>
        <w:rPr>
          <w:sz w:val="20"/>
        </w:rPr>
        <w:t>B52.0,</w:t>
      </w:r>
      <w:r>
        <w:rPr>
          <w:spacing w:val="-5"/>
          <w:sz w:val="20"/>
        </w:rPr>
        <w:t> </w:t>
      </w:r>
      <w:r>
        <w:rPr>
          <w:sz w:val="20"/>
        </w:rPr>
        <w:t>B52.8,</w:t>
      </w:r>
      <w:r>
        <w:rPr>
          <w:spacing w:val="-5"/>
          <w:sz w:val="20"/>
        </w:rPr>
        <w:t> </w:t>
      </w:r>
      <w:r>
        <w:rPr>
          <w:sz w:val="20"/>
        </w:rPr>
        <w:t>B52.9, B53,</w:t>
      </w:r>
      <w:r>
        <w:rPr>
          <w:spacing w:val="-5"/>
          <w:sz w:val="20"/>
        </w:rPr>
        <w:t> </w:t>
      </w:r>
      <w:r>
        <w:rPr>
          <w:spacing w:val="-2"/>
          <w:sz w:val="20"/>
        </w:rPr>
        <w:t>B53.0,</w:t>
      </w:r>
    </w:p>
    <w:p>
      <w:pPr>
        <w:spacing w:before="0"/>
        <w:ind w:left="4717" w:right="0" w:firstLine="0"/>
        <w:jc w:val="left"/>
        <w:rPr>
          <w:sz w:val="20"/>
        </w:rPr>
      </w:pPr>
      <w:r>
        <w:rPr>
          <w:sz w:val="20"/>
        </w:rPr>
        <w:t>B53.1,</w:t>
      </w:r>
      <w:r>
        <w:rPr>
          <w:spacing w:val="-7"/>
          <w:sz w:val="20"/>
        </w:rPr>
        <w:t> </w:t>
      </w:r>
      <w:r>
        <w:rPr>
          <w:sz w:val="20"/>
        </w:rPr>
        <w:t>B53.8,</w:t>
      </w:r>
      <w:r>
        <w:rPr>
          <w:spacing w:val="-4"/>
          <w:sz w:val="20"/>
        </w:rPr>
        <w:t> </w:t>
      </w:r>
      <w:r>
        <w:rPr>
          <w:sz w:val="20"/>
        </w:rPr>
        <w:t>B54,</w:t>
      </w:r>
      <w:r>
        <w:rPr>
          <w:spacing w:val="-6"/>
          <w:sz w:val="20"/>
        </w:rPr>
        <w:t> </w:t>
      </w:r>
      <w:r>
        <w:rPr>
          <w:sz w:val="20"/>
        </w:rPr>
        <w:t>B55,</w:t>
      </w:r>
      <w:r>
        <w:rPr>
          <w:spacing w:val="-5"/>
          <w:sz w:val="20"/>
        </w:rPr>
        <w:t> </w:t>
      </w:r>
      <w:r>
        <w:rPr>
          <w:sz w:val="20"/>
        </w:rPr>
        <w:t>B55.0,</w:t>
      </w:r>
      <w:r>
        <w:rPr>
          <w:spacing w:val="-5"/>
          <w:sz w:val="20"/>
        </w:rPr>
        <w:t> </w:t>
      </w:r>
      <w:r>
        <w:rPr>
          <w:sz w:val="20"/>
        </w:rPr>
        <w:t>B55.1,</w:t>
      </w:r>
      <w:r>
        <w:rPr>
          <w:spacing w:val="-5"/>
          <w:sz w:val="20"/>
        </w:rPr>
        <w:t> </w:t>
      </w:r>
      <w:r>
        <w:rPr>
          <w:spacing w:val="-2"/>
          <w:sz w:val="20"/>
        </w:rPr>
        <w:t>B55.2,</w:t>
      </w:r>
    </w:p>
    <w:p>
      <w:pPr>
        <w:spacing w:before="1"/>
        <w:ind w:left="4717" w:right="0" w:firstLine="0"/>
        <w:jc w:val="left"/>
        <w:rPr>
          <w:sz w:val="20"/>
        </w:rPr>
      </w:pPr>
      <w:r>
        <w:rPr>
          <w:sz w:val="20"/>
        </w:rPr>
        <w:t>B55.9,</w:t>
      </w:r>
      <w:r>
        <w:rPr>
          <w:spacing w:val="-6"/>
          <w:sz w:val="20"/>
        </w:rPr>
        <w:t> </w:t>
      </w:r>
      <w:r>
        <w:rPr>
          <w:sz w:val="20"/>
        </w:rPr>
        <w:t>B56,</w:t>
      </w:r>
      <w:r>
        <w:rPr>
          <w:spacing w:val="-5"/>
          <w:sz w:val="20"/>
        </w:rPr>
        <w:t> </w:t>
      </w:r>
      <w:r>
        <w:rPr>
          <w:sz w:val="20"/>
        </w:rPr>
        <w:t>B56.0,</w:t>
      </w:r>
      <w:r>
        <w:rPr>
          <w:spacing w:val="-5"/>
          <w:sz w:val="20"/>
        </w:rPr>
        <w:t> </w:t>
      </w:r>
      <w:r>
        <w:rPr>
          <w:sz w:val="20"/>
        </w:rPr>
        <w:t>B56.1,</w:t>
      </w:r>
      <w:r>
        <w:rPr>
          <w:spacing w:val="-5"/>
          <w:sz w:val="20"/>
        </w:rPr>
        <w:t> </w:t>
      </w:r>
      <w:r>
        <w:rPr>
          <w:sz w:val="20"/>
        </w:rPr>
        <w:t>B56.9,</w:t>
      </w:r>
      <w:r>
        <w:rPr>
          <w:spacing w:val="-5"/>
          <w:sz w:val="20"/>
        </w:rPr>
        <w:t> </w:t>
      </w:r>
      <w:r>
        <w:rPr>
          <w:sz w:val="20"/>
        </w:rPr>
        <w:t>B57,</w:t>
      </w:r>
      <w:r>
        <w:rPr>
          <w:spacing w:val="-5"/>
          <w:sz w:val="20"/>
        </w:rPr>
        <w:t> </w:t>
      </w:r>
      <w:r>
        <w:rPr>
          <w:spacing w:val="-2"/>
          <w:sz w:val="20"/>
        </w:rPr>
        <w:t>B57.0,</w:t>
      </w:r>
    </w:p>
    <w:p>
      <w:pPr>
        <w:spacing w:line="229" w:lineRule="exact" w:before="0"/>
        <w:ind w:left="4643" w:right="0" w:firstLine="0"/>
        <w:jc w:val="left"/>
        <w:rPr>
          <w:sz w:val="20"/>
        </w:rPr>
      </w:pPr>
      <w:r>
        <w:rPr>
          <w:sz w:val="20"/>
        </w:rPr>
        <w:t>B57.1,</w:t>
      </w:r>
      <w:r>
        <w:rPr>
          <w:spacing w:val="-5"/>
          <w:sz w:val="20"/>
        </w:rPr>
        <w:t> </w:t>
      </w:r>
      <w:r>
        <w:rPr>
          <w:sz w:val="20"/>
        </w:rPr>
        <w:t>B57.2,</w:t>
      </w:r>
      <w:r>
        <w:rPr>
          <w:spacing w:val="-5"/>
          <w:sz w:val="20"/>
        </w:rPr>
        <w:t> </w:t>
      </w:r>
      <w:r>
        <w:rPr>
          <w:sz w:val="20"/>
        </w:rPr>
        <w:t>B57.3,</w:t>
      </w:r>
      <w:r>
        <w:rPr>
          <w:spacing w:val="-4"/>
          <w:sz w:val="20"/>
        </w:rPr>
        <w:t> </w:t>
      </w:r>
      <w:r>
        <w:rPr>
          <w:sz w:val="20"/>
        </w:rPr>
        <w:t>B57.4,</w:t>
      </w:r>
      <w:r>
        <w:rPr>
          <w:spacing w:val="-8"/>
          <w:sz w:val="20"/>
        </w:rPr>
        <w:t> </w:t>
      </w:r>
      <w:r>
        <w:rPr>
          <w:sz w:val="20"/>
        </w:rPr>
        <w:t>B57.5,</w:t>
      </w:r>
      <w:r>
        <w:rPr>
          <w:spacing w:val="-5"/>
          <w:sz w:val="20"/>
        </w:rPr>
        <w:t> </w:t>
      </w:r>
      <w:r>
        <w:rPr>
          <w:sz w:val="20"/>
        </w:rPr>
        <w:t>B58,</w:t>
      </w:r>
      <w:r>
        <w:rPr>
          <w:spacing w:val="-6"/>
          <w:sz w:val="20"/>
        </w:rPr>
        <w:t> </w:t>
      </w:r>
      <w:r>
        <w:rPr>
          <w:spacing w:val="-2"/>
          <w:sz w:val="20"/>
        </w:rPr>
        <w:t>B58.0,</w:t>
      </w:r>
    </w:p>
    <w:p>
      <w:pPr>
        <w:spacing w:line="229" w:lineRule="exact" w:before="0"/>
        <w:ind w:left="4643" w:right="0" w:firstLine="0"/>
        <w:jc w:val="left"/>
        <w:rPr>
          <w:sz w:val="20"/>
        </w:rPr>
      </w:pPr>
      <w:r>
        <w:rPr>
          <w:sz w:val="20"/>
        </w:rPr>
        <w:t>B58.1,</w:t>
      </w:r>
      <w:r>
        <w:rPr>
          <w:spacing w:val="-5"/>
          <w:sz w:val="20"/>
        </w:rPr>
        <w:t> </w:t>
      </w:r>
      <w:r>
        <w:rPr>
          <w:sz w:val="20"/>
        </w:rPr>
        <w:t>B58.2,</w:t>
      </w:r>
      <w:r>
        <w:rPr>
          <w:spacing w:val="-5"/>
          <w:sz w:val="20"/>
        </w:rPr>
        <w:t> </w:t>
      </w:r>
      <w:r>
        <w:rPr>
          <w:sz w:val="20"/>
        </w:rPr>
        <w:t>B58.3,</w:t>
      </w:r>
      <w:r>
        <w:rPr>
          <w:spacing w:val="-4"/>
          <w:sz w:val="20"/>
        </w:rPr>
        <w:t> </w:t>
      </w:r>
      <w:r>
        <w:rPr>
          <w:sz w:val="20"/>
        </w:rPr>
        <w:t>B58.8,</w:t>
      </w:r>
      <w:r>
        <w:rPr>
          <w:spacing w:val="-8"/>
          <w:sz w:val="20"/>
        </w:rPr>
        <w:t> </w:t>
      </w:r>
      <w:r>
        <w:rPr>
          <w:sz w:val="20"/>
        </w:rPr>
        <w:t>B58.9,</w:t>
      </w:r>
      <w:r>
        <w:rPr>
          <w:spacing w:val="-5"/>
          <w:sz w:val="20"/>
        </w:rPr>
        <w:t> </w:t>
      </w:r>
      <w:r>
        <w:rPr>
          <w:sz w:val="20"/>
        </w:rPr>
        <w:t>B60,</w:t>
      </w:r>
      <w:r>
        <w:rPr>
          <w:spacing w:val="-6"/>
          <w:sz w:val="20"/>
        </w:rPr>
        <w:t> </w:t>
      </w:r>
      <w:r>
        <w:rPr>
          <w:spacing w:val="-2"/>
          <w:sz w:val="20"/>
        </w:rPr>
        <w:t>B60.0,</w:t>
      </w:r>
    </w:p>
    <w:p>
      <w:pPr>
        <w:spacing w:before="1"/>
        <w:ind w:left="0" w:right="7710" w:firstLine="0"/>
        <w:jc w:val="right"/>
        <w:rPr>
          <w:sz w:val="20"/>
        </w:rPr>
      </w:pPr>
      <w:r>
        <w:rPr>
          <w:sz w:val="20"/>
        </w:rPr>
        <w:t>B60.1,</w:t>
      </w:r>
      <w:r>
        <w:rPr>
          <w:spacing w:val="-7"/>
          <w:sz w:val="20"/>
        </w:rPr>
        <w:t> </w:t>
      </w:r>
      <w:r>
        <w:rPr>
          <w:sz w:val="20"/>
        </w:rPr>
        <w:t>B60.2,</w:t>
      </w:r>
      <w:r>
        <w:rPr>
          <w:spacing w:val="-5"/>
          <w:sz w:val="20"/>
        </w:rPr>
        <w:t> </w:t>
      </w:r>
      <w:r>
        <w:rPr>
          <w:sz w:val="20"/>
        </w:rPr>
        <w:t>B60.8,</w:t>
      </w:r>
      <w:r>
        <w:rPr>
          <w:spacing w:val="-5"/>
          <w:sz w:val="20"/>
        </w:rPr>
        <w:t> </w:t>
      </w:r>
      <w:r>
        <w:rPr>
          <w:sz w:val="20"/>
        </w:rPr>
        <w:t>B64,</w:t>
      </w:r>
      <w:r>
        <w:rPr>
          <w:spacing w:val="-6"/>
          <w:sz w:val="20"/>
        </w:rPr>
        <w:t> </w:t>
      </w:r>
      <w:r>
        <w:rPr>
          <w:sz w:val="20"/>
        </w:rPr>
        <w:t>B65,</w:t>
      </w:r>
      <w:r>
        <w:rPr>
          <w:spacing w:val="-5"/>
          <w:sz w:val="20"/>
        </w:rPr>
        <w:t> </w:t>
      </w:r>
      <w:r>
        <w:rPr>
          <w:sz w:val="20"/>
        </w:rPr>
        <w:t>B65.0,</w:t>
      </w:r>
      <w:r>
        <w:rPr>
          <w:spacing w:val="-6"/>
          <w:sz w:val="20"/>
        </w:rPr>
        <w:t> </w:t>
      </w:r>
      <w:r>
        <w:rPr>
          <w:spacing w:val="-2"/>
          <w:sz w:val="20"/>
        </w:rPr>
        <w:t>B65.1,</w:t>
      </w:r>
    </w:p>
    <w:p>
      <w:pPr>
        <w:spacing w:before="0"/>
        <w:ind w:left="0" w:right="7634" w:firstLine="0"/>
        <w:jc w:val="right"/>
        <w:rPr>
          <w:sz w:val="20"/>
        </w:rPr>
      </w:pPr>
      <w:r>
        <w:rPr>
          <w:sz w:val="20"/>
        </w:rPr>
        <w:t>B65.2,</w:t>
      </w:r>
      <w:r>
        <w:rPr>
          <w:spacing w:val="-5"/>
          <w:sz w:val="20"/>
        </w:rPr>
        <w:t> </w:t>
      </w:r>
      <w:r>
        <w:rPr>
          <w:sz w:val="20"/>
        </w:rPr>
        <w:t>B65.3,</w:t>
      </w:r>
      <w:r>
        <w:rPr>
          <w:spacing w:val="-4"/>
          <w:sz w:val="20"/>
        </w:rPr>
        <w:t> </w:t>
      </w:r>
      <w:r>
        <w:rPr>
          <w:sz w:val="20"/>
        </w:rPr>
        <w:t>B65.8,</w:t>
      </w:r>
      <w:r>
        <w:rPr>
          <w:spacing w:val="-4"/>
          <w:sz w:val="20"/>
        </w:rPr>
        <w:t> </w:t>
      </w:r>
      <w:r>
        <w:rPr>
          <w:sz w:val="20"/>
        </w:rPr>
        <w:t>B65.9,</w:t>
      </w:r>
      <w:r>
        <w:rPr>
          <w:spacing w:val="-7"/>
          <w:sz w:val="20"/>
        </w:rPr>
        <w:t> </w:t>
      </w:r>
      <w:r>
        <w:rPr>
          <w:sz w:val="20"/>
        </w:rPr>
        <w:t>B66,</w:t>
      </w:r>
      <w:r>
        <w:rPr>
          <w:spacing w:val="-6"/>
          <w:sz w:val="20"/>
        </w:rPr>
        <w:t> </w:t>
      </w:r>
      <w:r>
        <w:rPr>
          <w:sz w:val="20"/>
        </w:rPr>
        <w:t>B66.0,</w:t>
      </w:r>
      <w:r>
        <w:rPr>
          <w:spacing w:val="-6"/>
          <w:sz w:val="20"/>
        </w:rPr>
        <w:t> </w:t>
      </w:r>
      <w:r>
        <w:rPr>
          <w:spacing w:val="-2"/>
          <w:sz w:val="20"/>
        </w:rPr>
        <w:t>B66.1,</w:t>
      </w:r>
    </w:p>
    <w:p>
      <w:pPr>
        <w:spacing w:before="1"/>
        <w:ind w:left="0" w:right="7636" w:firstLine="0"/>
        <w:jc w:val="right"/>
        <w:rPr>
          <w:sz w:val="20"/>
        </w:rPr>
      </w:pPr>
      <w:r>
        <w:rPr>
          <w:sz w:val="20"/>
        </w:rPr>
        <w:t>B66.2,</w:t>
      </w:r>
      <w:r>
        <w:rPr>
          <w:spacing w:val="-8"/>
          <w:sz w:val="20"/>
        </w:rPr>
        <w:t> </w:t>
      </w:r>
      <w:r>
        <w:rPr>
          <w:sz w:val="20"/>
        </w:rPr>
        <w:t>B66.3,</w:t>
      </w:r>
      <w:r>
        <w:rPr>
          <w:spacing w:val="-5"/>
          <w:sz w:val="20"/>
        </w:rPr>
        <w:t> </w:t>
      </w:r>
      <w:r>
        <w:rPr>
          <w:sz w:val="20"/>
        </w:rPr>
        <w:t>B66.4,</w:t>
      </w:r>
      <w:r>
        <w:rPr>
          <w:spacing w:val="-5"/>
          <w:sz w:val="20"/>
        </w:rPr>
        <w:t> </w:t>
      </w:r>
      <w:r>
        <w:rPr>
          <w:sz w:val="20"/>
        </w:rPr>
        <w:t>B66.5,</w:t>
      </w:r>
      <w:r>
        <w:rPr>
          <w:spacing w:val="-8"/>
          <w:sz w:val="20"/>
        </w:rPr>
        <w:t> </w:t>
      </w:r>
      <w:r>
        <w:rPr>
          <w:sz w:val="20"/>
        </w:rPr>
        <w:t>B66.8,</w:t>
      </w:r>
      <w:r>
        <w:rPr>
          <w:spacing w:val="-5"/>
          <w:sz w:val="20"/>
        </w:rPr>
        <w:t> </w:t>
      </w:r>
      <w:r>
        <w:rPr>
          <w:sz w:val="20"/>
        </w:rPr>
        <w:t>B66.9,</w:t>
      </w:r>
      <w:r>
        <w:rPr>
          <w:spacing w:val="-5"/>
          <w:sz w:val="20"/>
        </w:rPr>
        <w:t> </w:t>
      </w:r>
      <w:r>
        <w:rPr>
          <w:spacing w:val="-4"/>
          <w:sz w:val="20"/>
        </w:rPr>
        <w:t>B67,</w:t>
      </w:r>
    </w:p>
    <w:p>
      <w:pPr>
        <w:spacing w:before="0"/>
        <w:ind w:left="0" w:right="7562" w:firstLine="0"/>
        <w:jc w:val="right"/>
        <w:rPr>
          <w:sz w:val="20"/>
        </w:rPr>
      </w:pPr>
      <w:r>
        <w:rPr>
          <w:sz w:val="20"/>
        </w:rPr>
        <w:t>B67.0,</w:t>
      </w:r>
      <w:r>
        <w:rPr>
          <w:spacing w:val="-8"/>
          <w:sz w:val="20"/>
        </w:rPr>
        <w:t> </w:t>
      </w:r>
      <w:r>
        <w:rPr>
          <w:sz w:val="20"/>
        </w:rPr>
        <w:t>B67.1,</w:t>
      </w:r>
      <w:r>
        <w:rPr>
          <w:spacing w:val="-5"/>
          <w:sz w:val="20"/>
        </w:rPr>
        <w:t> </w:t>
      </w:r>
      <w:r>
        <w:rPr>
          <w:sz w:val="20"/>
        </w:rPr>
        <w:t>B67.2,</w:t>
      </w:r>
      <w:r>
        <w:rPr>
          <w:spacing w:val="-5"/>
          <w:sz w:val="20"/>
        </w:rPr>
        <w:t> </w:t>
      </w:r>
      <w:r>
        <w:rPr>
          <w:sz w:val="20"/>
        </w:rPr>
        <w:t>B67.3,</w:t>
      </w:r>
      <w:r>
        <w:rPr>
          <w:spacing w:val="-8"/>
          <w:sz w:val="20"/>
        </w:rPr>
        <w:t> </w:t>
      </w:r>
      <w:r>
        <w:rPr>
          <w:sz w:val="20"/>
        </w:rPr>
        <w:t>B67.4,</w:t>
      </w:r>
      <w:r>
        <w:rPr>
          <w:spacing w:val="-5"/>
          <w:sz w:val="20"/>
        </w:rPr>
        <w:t> </w:t>
      </w:r>
      <w:r>
        <w:rPr>
          <w:sz w:val="20"/>
        </w:rPr>
        <w:t>B67.5,</w:t>
      </w:r>
      <w:r>
        <w:rPr>
          <w:spacing w:val="-5"/>
          <w:sz w:val="20"/>
        </w:rPr>
        <w:t> </w:t>
      </w:r>
      <w:r>
        <w:rPr>
          <w:spacing w:val="-2"/>
          <w:sz w:val="20"/>
        </w:rPr>
        <w:t>B67.6,</w:t>
      </w:r>
    </w:p>
    <w:p>
      <w:pPr>
        <w:spacing w:before="0"/>
        <w:ind w:left="0" w:right="7636" w:firstLine="0"/>
        <w:jc w:val="right"/>
        <w:rPr>
          <w:sz w:val="20"/>
        </w:rPr>
      </w:pPr>
      <w:r>
        <w:rPr>
          <w:sz w:val="20"/>
        </w:rPr>
        <w:t>B67.7,</w:t>
      </w:r>
      <w:r>
        <w:rPr>
          <w:spacing w:val="-5"/>
          <w:sz w:val="20"/>
        </w:rPr>
        <w:t> </w:t>
      </w:r>
      <w:r>
        <w:rPr>
          <w:sz w:val="20"/>
        </w:rPr>
        <w:t>B67.8,</w:t>
      </w:r>
      <w:r>
        <w:rPr>
          <w:spacing w:val="-5"/>
          <w:sz w:val="20"/>
        </w:rPr>
        <w:t> </w:t>
      </w:r>
      <w:r>
        <w:rPr>
          <w:sz w:val="20"/>
        </w:rPr>
        <w:t>B67.9,</w:t>
      </w:r>
      <w:r>
        <w:rPr>
          <w:spacing w:val="-4"/>
          <w:sz w:val="20"/>
        </w:rPr>
        <w:t> </w:t>
      </w:r>
      <w:r>
        <w:rPr>
          <w:sz w:val="20"/>
        </w:rPr>
        <w:t>B68,</w:t>
      </w:r>
      <w:r>
        <w:rPr>
          <w:spacing w:val="-7"/>
          <w:sz w:val="20"/>
        </w:rPr>
        <w:t> </w:t>
      </w:r>
      <w:r>
        <w:rPr>
          <w:sz w:val="20"/>
        </w:rPr>
        <w:t>B68.0,</w:t>
      </w:r>
      <w:r>
        <w:rPr>
          <w:spacing w:val="-6"/>
          <w:sz w:val="20"/>
        </w:rPr>
        <w:t> </w:t>
      </w:r>
      <w:r>
        <w:rPr>
          <w:sz w:val="20"/>
        </w:rPr>
        <w:t>B68.1,</w:t>
      </w:r>
      <w:r>
        <w:rPr>
          <w:spacing w:val="-5"/>
          <w:sz w:val="20"/>
        </w:rPr>
        <w:t> </w:t>
      </w:r>
      <w:r>
        <w:rPr>
          <w:spacing w:val="-2"/>
          <w:sz w:val="20"/>
        </w:rPr>
        <w:t>B68.9,</w:t>
      </w:r>
    </w:p>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81"/>
        <w:gridCol w:w="4424"/>
        <w:gridCol w:w="3300"/>
        <w:gridCol w:w="2506"/>
        <w:gridCol w:w="838"/>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81" w:type="dxa"/>
            <w:vMerge w:val="restart"/>
          </w:tcPr>
          <w:p>
            <w:pPr>
              <w:pStyle w:val="TableParagraph"/>
              <w:rPr>
                <w:sz w:val="18"/>
              </w:rPr>
            </w:pPr>
          </w:p>
        </w:tc>
        <w:tc>
          <w:tcPr>
            <w:tcW w:w="4424" w:type="dxa"/>
          </w:tcPr>
          <w:p>
            <w:pPr>
              <w:pStyle w:val="TableParagraph"/>
              <w:spacing w:line="205" w:lineRule="exact"/>
              <w:ind w:left="147" w:right="245"/>
              <w:jc w:val="center"/>
              <w:rPr>
                <w:sz w:val="20"/>
              </w:rPr>
            </w:pPr>
            <w:r>
              <w:rPr>
                <w:sz w:val="20"/>
              </w:rPr>
              <w:t>B69,</w:t>
            </w:r>
            <w:r>
              <w:rPr>
                <w:spacing w:val="-7"/>
                <w:sz w:val="20"/>
              </w:rPr>
              <w:t> </w:t>
            </w:r>
            <w:r>
              <w:rPr>
                <w:sz w:val="20"/>
              </w:rPr>
              <w:t>B69.0,</w:t>
            </w:r>
            <w:r>
              <w:rPr>
                <w:spacing w:val="-5"/>
                <w:sz w:val="20"/>
              </w:rPr>
              <w:t> </w:t>
            </w:r>
            <w:r>
              <w:rPr>
                <w:sz w:val="20"/>
              </w:rPr>
              <w:t>B69.1,</w:t>
            </w:r>
            <w:r>
              <w:rPr>
                <w:spacing w:val="-5"/>
                <w:sz w:val="20"/>
              </w:rPr>
              <w:t> </w:t>
            </w:r>
            <w:r>
              <w:rPr>
                <w:sz w:val="20"/>
              </w:rPr>
              <w:t>B69.8,</w:t>
            </w:r>
            <w:r>
              <w:rPr>
                <w:spacing w:val="-5"/>
                <w:sz w:val="20"/>
              </w:rPr>
              <w:t> </w:t>
            </w:r>
            <w:r>
              <w:rPr>
                <w:sz w:val="20"/>
              </w:rPr>
              <w:t>B69.9,</w:t>
            </w:r>
            <w:r>
              <w:rPr>
                <w:spacing w:val="-5"/>
                <w:sz w:val="20"/>
              </w:rPr>
              <w:t> </w:t>
            </w:r>
            <w:r>
              <w:rPr>
                <w:sz w:val="20"/>
              </w:rPr>
              <w:t>B70,</w:t>
            </w:r>
            <w:r>
              <w:rPr>
                <w:spacing w:val="-5"/>
                <w:sz w:val="20"/>
              </w:rPr>
              <w:t> </w:t>
            </w:r>
            <w:r>
              <w:rPr>
                <w:spacing w:val="-2"/>
                <w:sz w:val="20"/>
              </w:rPr>
              <w:t>B70.0,</w:t>
            </w:r>
          </w:p>
        </w:tc>
        <w:tc>
          <w:tcPr>
            <w:tcW w:w="3300" w:type="dxa"/>
            <w:vMerge w:val="restart"/>
          </w:tcPr>
          <w:p>
            <w:pPr>
              <w:pStyle w:val="TableParagraph"/>
              <w:rPr>
                <w:sz w:val="18"/>
              </w:rPr>
            </w:pPr>
          </w:p>
        </w:tc>
        <w:tc>
          <w:tcPr>
            <w:tcW w:w="2506" w:type="dxa"/>
            <w:vMerge w:val="restart"/>
          </w:tcPr>
          <w:p>
            <w:pPr>
              <w:pStyle w:val="TableParagraph"/>
              <w:rPr>
                <w:sz w:val="18"/>
              </w:rPr>
            </w:pPr>
          </w:p>
        </w:tc>
        <w:tc>
          <w:tcPr>
            <w:tcW w:w="838"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09" w:lineRule="exact"/>
              <w:ind w:left="149" w:right="242"/>
              <w:jc w:val="center"/>
              <w:rPr>
                <w:sz w:val="20"/>
              </w:rPr>
            </w:pPr>
            <w:r>
              <w:rPr>
                <w:sz w:val="20"/>
              </w:rPr>
              <w:t>B70.1,</w:t>
            </w:r>
            <w:r>
              <w:rPr>
                <w:spacing w:val="-3"/>
                <w:sz w:val="20"/>
              </w:rPr>
              <w:t> </w:t>
            </w:r>
            <w:r>
              <w:rPr>
                <w:sz w:val="20"/>
              </w:rPr>
              <w:t>B71,</w:t>
            </w:r>
            <w:r>
              <w:rPr>
                <w:spacing w:val="-5"/>
                <w:sz w:val="20"/>
              </w:rPr>
              <w:t> </w:t>
            </w:r>
            <w:r>
              <w:rPr>
                <w:sz w:val="20"/>
              </w:rPr>
              <w:t>B71.0,</w:t>
            </w:r>
            <w:r>
              <w:rPr>
                <w:spacing w:val="-5"/>
                <w:sz w:val="20"/>
              </w:rPr>
              <w:t> </w:t>
            </w:r>
            <w:r>
              <w:rPr>
                <w:sz w:val="20"/>
              </w:rPr>
              <w:t>B71.1,</w:t>
            </w:r>
            <w:r>
              <w:rPr>
                <w:spacing w:val="-4"/>
                <w:sz w:val="20"/>
              </w:rPr>
              <w:t> </w:t>
            </w:r>
            <w:r>
              <w:rPr>
                <w:sz w:val="20"/>
              </w:rPr>
              <w:t>B71.8,</w:t>
            </w:r>
            <w:r>
              <w:rPr>
                <w:spacing w:val="-5"/>
                <w:sz w:val="20"/>
              </w:rPr>
              <w:t> </w:t>
            </w:r>
            <w:r>
              <w:rPr>
                <w:sz w:val="20"/>
              </w:rPr>
              <w:t>B71.9,</w:t>
            </w:r>
            <w:r>
              <w:rPr>
                <w:spacing w:val="-3"/>
                <w:sz w:val="20"/>
              </w:rPr>
              <w:t> </w:t>
            </w:r>
            <w:r>
              <w:rPr>
                <w:spacing w:val="-4"/>
                <w:sz w:val="20"/>
              </w:rPr>
              <w:t>B72,</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09" w:lineRule="exact"/>
              <w:ind w:left="147" w:right="245"/>
              <w:jc w:val="center"/>
              <w:rPr>
                <w:sz w:val="20"/>
              </w:rPr>
            </w:pPr>
            <w:r>
              <w:rPr>
                <w:sz w:val="20"/>
              </w:rPr>
              <w:t>B73,</w:t>
            </w:r>
            <w:r>
              <w:rPr>
                <w:spacing w:val="-9"/>
                <w:sz w:val="20"/>
              </w:rPr>
              <w:t> </w:t>
            </w:r>
            <w:r>
              <w:rPr>
                <w:sz w:val="20"/>
              </w:rPr>
              <w:t>B74,</w:t>
            </w:r>
            <w:r>
              <w:rPr>
                <w:spacing w:val="-4"/>
                <w:sz w:val="20"/>
              </w:rPr>
              <w:t> </w:t>
            </w:r>
            <w:r>
              <w:rPr>
                <w:sz w:val="20"/>
              </w:rPr>
              <w:t>B74.0,</w:t>
            </w:r>
            <w:r>
              <w:rPr>
                <w:spacing w:val="-5"/>
                <w:sz w:val="20"/>
              </w:rPr>
              <w:t> </w:t>
            </w:r>
            <w:r>
              <w:rPr>
                <w:sz w:val="20"/>
              </w:rPr>
              <w:t>B74.1,</w:t>
            </w:r>
            <w:r>
              <w:rPr>
                <w:spacing w:val="-6"/>
                <w:sz w:val="20"/>
              </w:rPr>
              <w:t> </w:t>
            </w:r>
            <w:r>
              <w:rPr>
                <w:sz w:val="20"/>
              </w:rPr>
              <w:t>B74.2,</w:t>
            </w:r>
            <w:r>
              <w:rPr>
                <w:spacing w:val="-4"/>
                <w:sz w:val="20"/>
              </w:rPr>
              <w:t> </w:t>
            </w:r>
            <w:r>
              <w:rPr>
                <w:sz w:val="20"/>
              </w:rPr>
              <w:t>B74.3,</w:t>
            </w:r>
            <w:r>
              <w:rPr>
                <w:spacing w:val="-6"/>
                <w:sz w:val="20"/>
              </w:rPr>
              <w:t> </w:t>
            </w:r>
            <w:r>
              <w:rPr>
                <w:spacing w:val="-2"/>
                <w:sz w:val="20"/>
              </w:rPr>
              <w:t>B74.4,</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7" w:right="245"/>
              <w:jc w:val="center"/>
              <w:rPr>
                <w:sz w:val="20"/>
              </w:rPr>
            </w:pPr>
            <w:r>
              <w:rPr>
                <w:sz w:val="20"/>
              </w:rPr>
              <w:t>B74.8,</w:t>
            </w:r>
            <w:r>
              <w:rPr>
                <w:spacing w:val="-7"/>
                <w:sz w:val="20"/>
              </w:rPr>
              <w:t> </w:t>
            </w:r>
            <w:r>
              <w:rPr>
                <w:sz w:val="20"/>
              </w:rPr>
              <w:t>B74.9,</w:t>
            </w:r>
            <w:r>
              <w:rPr>
                <w:spacing w:val="-4"/>
                <w:sz w:val="20"/>
              </w:rPr>
              <w:t> </w:t>
            </w:r>
            <w:r>
              <w:rPr>
                <w:sz w:val="20"/>
              </w:rPr>
              <w:t>B75,</w:t>
            </w:r>
            <w:r>
              <w:rPr>
                <w:spacing w:val="-6"/>
                <w:sz w:val="20"/>
              </w:rPr>
              <w:t> </w:t>
            </w:r>
            <w:r>
              <w:rPr>
                <w:sz w:val="20"/>
              </w:rPr>
              <w:t>B76,</w:t>
            </w:r>
            <w:r>
              <w:rPr>
                <w:spacing w:val="-5"/>
                <w:sz w:val="20"/>
              </w:rPr>
              <w:t> </w:t>
            </w:r>
            <w:r>
              <w:rPr>
                <w:sz w:val="20"/>
              </w:rPr>
              <w:t>B76.0,</w:t>
            </w:r>
            <w:r>
              <w:rPr>
                <w:spacing w:val="-5"/>
                <w:sz w:val="20"/>
              </w:rPr>
              <w:t> </w:t>
            </w:r>
            <w:r>
              <w:rPr>
                <w:sz w:val="20"/>
              </w:rPr>
              <w:t>B76.1,</w:t>
            </w:r>
            <w:r>
              <w:rPr>
                <w:spacing w:val="-5"/>
                <w:sz w:val="20"/>
              </w:rPr>
              <w:t> </w:t>
            </w:r>
            <w:r>
              <w:rPr>
                <w:spacing w:val="-2"/>
                <w:sz w:val="20"/>
              </w:rPr>
              <w:t>B76.8,</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7" w:right="245"/>
              <w:jc w:val="center"/>
              <w:rPr>
                <w:sz w:val="20"/>
              </w:rPr>
            </w:pPr>
            <w:r>
              <w:rPr>
                <w:sz w:val="20"/>
              </w:rPr>
              <w:t>B76.9,</w:t>
            </w:r>
            <w:r>
              <w:rPr>
                <w:spacing w:val="-6"/>
                <w:sz w:val="20"/>
              </w:rPr>
              <w:t> </w:t>
            </w:r>
            <w:r>
              <w:rPr>
                <w:sz w:val="20"/>
              </w:rPr>
              <w:t>B77,</w:t>
            </w:r>
            <w:r>
              <w:rPr>
                <w:spacing w:val="-5"/>
                <w:sz w:val="20"/>
              </w:rPr>
              <w:t> </w:t>
            </w:r>
            <w:r>
              <w:rPr>
                <w:sz w:val="20"/>
              </w:rPr>
              <w:t>B77.0,</w:t>
            </w:r>
            <w:r>
              <w:rPr>
                <w:spacing w:val="-5"/>
                <w:sz w:val="20"/>
              </w:rPr>
              <w:t> </w:t>
            </w:r>
            <w:r>
              <w:rPr>
                <w:sz w:val="20"/>
              </w:rPr>
              <w:t>B77.8,</w:t>
            </w:r>
            <w:r>
              <w:rPr>
                <w:spacing w:val="-5"/>
                <w:sz w:val="20"/>
              </w:rPr>
              <w:t> </w:t>
            </w:r>
            <w:r>
              <w:rPr>
                <w:sz w:val="20"/>
              </w:rPr>
              <w:t>B77.9,</w:t>
            </w:r>
            <w:r>
              <w:rPr>
                <w:spacing w:val="-5"/>
                <w:sz w:val="20"/>
              </w:rPr>
              <w:t> </w:t>
            </w:r>
            <w:r>
              <w:rPr>
                <w:sz w:val="20"/>
              </w:rPr>
              <w:t>B78,</w:t>
            </w:r>
            <w:r>
              <w:rPr>
                <w:spacing w:val="-5"/>
                <w:sz w:val="20"/>
              </w:rPr>
              <w:t> </w:t>
            </w:r>
            <w:r>
              <w:rPr>
                <w:spacing w:val="-2"/>
                <w:sz w:val="20"/>
              </w:rPr>
              <w:t>B78.0,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5" w:right="245"/>
              <w:jc w:val="center"/>
              <w:rPr>
                <w:sz w:val="20"/>
              </w:rPr>
            </w:pPr>
            <w:r>
              <w:rPr>
                <w:sz w:val="20"/>
              </w:rPr>
              <w:t>B78.1,</w:t>
            </w:r>
            <w:r>
              <w:rPr>
                <w:spacing w:val="-5"/>
                <w:sz w:val="20"/>
              </w:rPr>
              <w:t> </w:t>
            </w:r>
            <w:r>
              <w:rPr>
                <w:sz w:val="20"/>
              </w:rPr>
              <w:t>B78.7,</w:t>
            </w:r>
            <w:r>
              <w:rPr>
                <w:spacing w:val="-5"/>
                <w:sz w:val="20"/>
              </w:rPr>
              <w:t> </w:t>
            </w:r>
            <w:r>
              <w:rPr>
                <w:sz w:val="20"/>
              </w:rPr>
              <w:t>B78.9,</w:t>
            </w:r>
            <w:r>
              <w:rPr>
                <w:spacing w:val="-4"/>
                <w:sz w:val="20"/>
              </w:rPr>
              <w:t> </w:t>
            </w:r>
            <w:r>
              <w:rPr>
                <w:sz w:val="20"/>
              </w:rPr>
              <w:t>B79,</w:t>
            </w:r>
            <w:r>
              <w:rPr>
                <w:spacing w:val="-7"/>
                <w:sz w:val="20"/>
              </w:rPr>
              <w:t> </w:t>
            </w:r>
            <w:r>
              <w:rPr>
                <w:sz w:val="20"/>
              </w:rPr>
              <w:t>B80,</w:t>
            </w:r>
            <w:r>
              <w:rPr>
                <w:spacing w:val="-4"/>
                <w:sz w:val="20"/>
              </w:rPr>
              <w:t> </w:t>
            </w:r>
            <w:r>
              <w:rPr>
                <w:sz w:val="20"/>
              </w:rPr>
              <w:t>B81,</w:t>
            </w:r>
            <w:r>
              <w:rPr>
                <w:spacing w:val="-5"/>
                <w:sz w:val="20"/>
              </w:rPr>
              <w:t> </w:t>
            </w:r>
            <w:r>
              <w:rPr>
                <w:spacing w:val="-2"/>
                <w:sz w:val="20"/>
              </w:rPr>
              <w:t>B81.0,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1" w:lineRule="exact"/>
              <w:ind w:left="146" w:right="245"/>
              <w:jc w:val="center"/>
              <w:rPr>
                <w:sz w:val="20"/>
              </w:rPr>
            </w:pPr>
            <w:r>
              <w:rPr>
                <w:sz w:val="20"/>
              </w:rPr>
              <w:t>B81.1,</w:t>
            </w:r>
            <w:r>
              <w:rPr>
                <w:spacing w:val="-5"/>
                <w:sz w:val="20"/>
              </w:rPr>
              <w:t> </w:t>
            </w:r>
            <w:r>
              <w:rPr>
                <w:sz w:val="20"/>
              </w:rPr>
              <w:t>B81.2,</w:t>
            </w:r>
            <w:r>
              <w:rPr>
                <w:spacing w:val="-5"/>
                <w:sz w:val="20"/>
              </w:rPr>
              <w:t> </w:t>
            </w:r>
            <w:r>
              <w:rPr>
                <w:sz w:val="20"/>
              </w:rPr>
              <w:t>B81.3,</w:t>
            </w:r>
            <w:r>
              <w:rPr>
                <w:spacing w:val="-4"/>
                <w:sz w:val="20"/>
              </w:rPr>
              <w:t> </w:t>
            </w:r>
            <w:r>
              <w:rPr>
                <w:sz w:val="20"/>
              </w:rPr>
              <w:t>B81.4,</w:t>
            </w:r>
            <w:r>
              <w:rPr>
                <w:spacing w:val="-8"/>
                <w:sz w:val="20"/>
              </w:rPr>
              <w:t> </w:t>
            </w:r>
            <w:r>
              <w:rPr>
                <w:sz w:val="20"/>
              </w:rPr>
              <w:t>B81.8,</w:t>
            </w:r>
            <w:r>
              <w:rPr>
                <w:spacing w:val="-5"/>
                <w:sz w:val="20"/>
              </w:rPr>
              <w:t> </w:t>
            </w:r>
            <w:r>
              <w:rPr>
                <w:sz w:val="20"/>
              </w:rPr>
              <w:t>B82,</w:t>
            </w:r>
            <w:r>
              <w:rPr>
                <w:spacing w:val="-6"/>
                <w:sz w:val="20"/>
              </w:rPr>
              <w:t> </w:t>
            </w:r>
            <w:r>
              <w:rPr>
                <w:spacing w:val="-2"/>
                <w:sz w:val="20"/>
              </w:rPr>
              <w:t>B82.0,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9" w:right="245"/>
              <w:jc w:val="center"/>
              <w:rPr>
                <w:sz w:val="20"/>
              </w:rPr>
            </w:pPr>
            <w:r>
              <w:rPr>
                <w:sz w:val="20"/>
              </w:rPr>
              <w:t>B82.9,</w:t>
            </w:r>
            <w:r>
              <w:rPr>
                <w:spacing w:val="-4"/>
                <w:sz w:val="20"/>
              </w:rPr>
              <w:t> </w:t>
            </w:r>
            <w:r>
              <w:rPr>
                <w:sz w:val="20"/>
              </w:rPr>
              <w:t>B83,</w:t>
            </w:r>
            <w:r>
              <w:rPr>
                <w:spacing w:val="-5"/>
                <w:sz w:val="20"/>
              </w:rPr>
              <w:t> </w:t>
            </w:r>
            <w:r>
              <w:rPr>
                <w:sz w:val="20"/>
              </w:rPr>
              <w:t>B83.0,</w:t>
            </w:r>
            <w:r>
              <w:rPr>
                <w:spacing w:val="-5"/>
                <w:sz w:val="20"/>
              </w:rPr>
              <w:t> </w:t>
            </w:r>
            <w:r>
              <w:rPr>
                <w:sz w:val="20"/>
              </w:rPr>
              <w:t>B83.1,</w:t>
            </w:r>
            <w:r>
              <w:rPr>
                <w:spacing w:val="-5"/>
                <w:sz w:val="20"/>
              </w:rPr>
              <w:t> </w:t>
            </w:r>
            <w:r>
              <w:rPr>
                <w:sz w:val="20"/>
              </w:rPr>
              <w:t>B83.2,</w:t>
            </w:r>
            <w:r>
              <w:rPr>
                <w:spacing w:val="-5"/>
                <w:sz w:val="20"/>
              </w:rPr>
              <w:t> </w:t>
            </w:r>
            <w:r>
              <w:rPr>
                <w:sz w:val="20"/>
              </w:rPr>
              <w:t>B83.3,</w:t>
            </w:r>
            <w:r>
              <w:rPr>
                <w:spacing w:val="-3"/>
                <w:sz w:val="20"/>
              </w:rPr>
              <w:t> </w:t>
            </w:r>
            <w:r>
              <w:rPr>
                <w:spacing w:val="-2"/>
                <w:sz w:val="20"/>
              </w:rPr>
              <w:t>B83.4,</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09" w:lineRule="exact"/>
              <w:ind w:left="145" w:right="245"/>
              <w:jc w:val="center"/>
              <w:rPr>
                <w:sz w:val="20"/>
              </w:rPr>
            </w:pPr>
            <w:r>
              <w:rPr>
                <w:sz w:val="20"/>
              </w:rPr>
              <w:t>B83.8,</w:t>
            </w:r>
            <w:r>
              <w:rPr>
                <w:spacing w:val="-7"/>
                <w:sz w:val="20"/>
              </w:rPr>
              <w:t> </w:t>
            </w:r>
            <w:r>
              <w:rPr>
                <w:sz w:val="20"/>
              </w:rPr>
              <w:t>B83.9,</w:t>
            </w:r>
            <w:r>
              <w:rPr>
                <w:spacing w:val="-4"/>
                <w:sz w:val="20"/>
              </w:rPr>
              <w:t> </w:t>
            </w:r>
            <w:r>
              <w:rPr>
                <w:sz w:val="20"/>
              </w:rPr>
              <w:t>B89,</w:t>
            </w:r>
            <w:r>
              <w:rPr>
                <w:spacing w:val="-6"/>
                <w:sz w:val="20"/>
              </w:rPr>
              <w:t> </w:t>
            </w:r>
            <w:r>
              <w:rPr>
                <w:sz w:val="20"/>
              </w:rPr>
              <w:t>B92,</w:t>
            </w:r>
            <w:r>
              <w:rPr>
                <w:spacing w:val="-5"/>
                <w:sz w:val="20"/>
              </w:rPr>
              <w:t> </w:t>
            </w:r>
            <w:r>
              <w:rPr>
                <w:sz w:val="20"/>
              </w:rPr>
              <w:t>B94.8,</w:t>
            </w:r>
            <w:r>
              <w:rPr>
                <w:spacing w:val="-5"/>
                <w:sz w:val="20"/>
              </w:rPr>
              <w:t> </w:t>
            </w:r>
            <w:r>
              <w:rPr>
                <w:sz w:val="20"/>
              </w:rPr>
              <w:t>B94.9,</w:t>
            </w:r>
            <w:r>
              <w:rPr>
                <w:spacing w:val="-5"/>
                <w:sz w:val="20"/>
              </w:rPr>
              <w:t> </w:t>
            </w:r>
            <w:r>
              <w:rPr>
                <w:spacing w:val="-4"/>
                <w:sz w:val="20"/>
              </w:rPr>
              <w:t>B95,</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6" w:right="245"/>
              <w:jc w:val="center"/>
              <w:rPr>
                <w:sz w:val="20"/>
              </w:rPr>
            </w:pPr>
            <w:r>
              <w:rPr>
                <w:sz w:val="20"/>
              </w:rPr>
              <w:t>B95.0,</w:t>
            </w:r>
            <w:r>
              <w:rPr>
                <w:spacing w:val="-8"/>
                <w:sz w:val="20"/>
              </w:rPr>
              <w:t> </w:t>
            </w:r>
            <w:r>
              <w:rPr>
                <w:sz w:val="20"/>
              </w:rPr>
              <w:t>B95.1,</w:t>
            </w:r>
            <w:r>
              <w:rPr>
                <w:spacing w:val="-5"/>
                <w:sz w:val="20"/>
              </w:rPr>
              <w:t> </w:t>
            </w:r>
            <w:r>
              <w:rPr>
                <w:sz w:val="20"/>
              </w:rPr>
              <w:t>B95.2,</w:t>
            </w:r>
            <w:r>
              <w:rPr>
                <w:spacing w:val="-5"/>
                <w:sz w:val="20"/>
              </w:rPr>
              <w:t> </w:t>
            </w:r>
            <w:r>
              <w:rPr>
                <w:sz w:val="20"/>
              </w:rPr>
              <w:t>B95.3,</w:t>
            </w:r>
            <w:r>
              <w:rPr>
                <w:spacing w:val="-8"/>
                <w:sz w:val="20"/>
              </w:rPr>
              <w:t> </w:t>
            </w:r>
            <w:r>
              <w:rPr>
                <w:sz w:val="20"/>
              </w:rPr>
              <w:t>B95.4,</w:t>
            </w:r>
            <w:r>
              <w:rPr>
                <w:spacing w:val="-5"/>
                <w:sz w:val="20"/>
              </w:rPr>
              <w:t> </w:t>
            </w:r>
            <w:r>
              <w:rPr>
                <w:sz w:val="20"/>
              </w:rPr>
              <w:t>B95.5,</w:t>
            </w:r>
            <w:r>
              <w:rPr>
                <w:spacing w:val="-5"/>
                <w:sz w:val="20"/>
              </w:rPr>
              <w:t> </w:t>
            </w:r>
            <w:r>
              <w:rPr>
                <w:spacing w:val="-2"/>
                <w:sz w:val="20"/>
              </w:rPr>
              <w:t>B95.6,</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6" w:right="245"/>
              <w:jc w:val="center"/>
              <w:rPr>
                <w:sz w:val="20"/>
              </w:rPr>
            </w:pPr>
            <w:r>
              <w:rPr>
                <w:sz w:val="20"/>
              </w:rPr>
              <w:t>B95.7,</w:t>
            </w:r>
            <w:r>
              <w:rPr>
                <w:spacing w:val="-4"/>
                <w:sz w:val="20"/>
              </w:rPr>
              <w:t> </w:t>
            </w:r>
            <w:r>
              <w:rPr>
                <w:sz w:val="20"/>
              </w:rPr>
              <w:t>B95.8,</w:t>
            </w:r>
            <w:r>
              <w:rPr>
                <w:spacing w:val="-4"/>
                <w:sz w:val="20"/>
              </w:rPr>
              <w:t> </w:t>
            </w:r>
            <w:r>
              <w:rPr>
                <w:sz w:val="20"/>
              </w:rPr>
              <w:t>B96,</w:t>
            </w:r>
            <w:r>
              <w:rPr>
                <w:spacing w:val="-6"/>
                <w:sz w:val="20"/>
              </w:rPr>
              <w:t> </w:t>
            </w:r>
            <w:r>
              <w:rPr>
                <w:sz w:val="20"/>
              </w:rPr>
              <w:t>B96.0,</w:t>
            </w:r>
            <w:r>
              <w:rPr>
                <w:spacing w:val="-6"/>
                <w:sz w:val="20"/>
              </w:rPr>
              <w:t> </w:t>
            </w:r>
            <w:r>
              <w:rPr>
                <w:sz w:val="20"/>
              </w:rPr>
              <w:t>B96.1,</w:t>
            </w:r>
            <w:r>
              <w:rPr>
                <w:spacing w:val="-6"/>
                <w:sz w:val="20"/>
              </w:rPr>
              <w:t> </w:t>
            </w:r>
            <w:r>
              <w:rPr>
                <w:sz w:val="20"/>
              </w:rPr>
              <w:t>B96.2,</w:t>
            </w:r>
            <w:r>
              <w:rPr>
                <w:spacing w:val="-4"/>
                <w:sz w:val="20"/>
              </w:rPr>
              <w:t> </w:t>
            </w:r>
            <w:r>
              <w:rPr>
                <w:spacing w:val="-2"/>
                <w:sz w:val="20"/>
              </w:rPr>
              <w:t>B96.3,</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6" w:right="245"/>
              <w:jc w:val="center"/>
              <w:rPr>
                <w:sz w:val="20"/>
              </w:rPr>
            </w:pPr>
            <w:r>
              <w:rPr>
                <w:sz w:val="20"/>
              </w:rPr>
              <w:t>B96.4,</w:t>
            </w:r>
            <w:r>
              <w:rPr>
                <w:spacing w:val="-5"/>
                <w:sz w:val="20"/>
              </w:rPr>
              <w:t> </w:t>
            </w:r>
            <w:r>
              <w:rPr>
                <w:sz w:val="20"/>
              </w:rPr>
              <w:t>B96.5,</w:t>
            </w:r>
            <w:r>
              <w:rPr>
                <w:spacing w:val="-5"/>
                <w:sz w:val="20"/>
              </w:rPr>
              <w:t> </w:t>
            </w:r>
            <w:r>
              <w:rPr>
                <w:sz w:val="20"/>
              </w:rPr>
              <w:t>B96.6,</w:t>
            </w:r>
            <w:r>
              <w:rPr>
                <w:spacing w:val="-4"/>
                <w:sz w:val="20"/>
              </w:rPr>
              <w:t> </w:t>
            </w:r>
            <w:r>
              <w:rPr>
                <w:sz w:val="20"/>
              </w:rPr>
              <w:t>B96.7,</w:t>
            </w:r>
            <w:r>
              <w:rPr>
                <w:spacing w:val="-8"/>
                <w:sz w:val="20"/>
              </w:rPr>
              <w:t> </w:t>
            </w:r>
            <w:r>
              <w:rPr>
                <w:sz w:val="20"/>
              </w:rPr>
              <w:t>B96.8,</w:t>
            </w:r>
            <w:r>
              <w:rPr>
                <w:spacing w:val="-5"/>
                <w:sz w:val="20"/>
              </w:rPr>
              <w:t> </w:t>
            </w:r>
            <w:r>
              <w:rPr>
                <w:sz w:val="20"/>
              </w:rPr>
              <w:t>B97,</w:t>
            </w:r>
            <w:r>
              <w:rPr>
                <w:spacing w:val="-6"/>
                <w:sz w:val="20"/>
              </w:rPr>
              <w:t> </w:t>
            </w:r>
            <w:r>
              <w:rPr>
                <w:spacing w:val="-2"/>
                <w:sz w:val="20"/>
              </w:rPr>
              <w:t>B97.0,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9" w:right="241"/>
              <w:jc w:val="center"/>
              <w:rPr>
                <w:sz w:val="20"/>
              </w:rPr>
            </w:pPr>
            <w:r>
              <w:rPr>
                <w:sz w:val="20"/>
              </w:rPr>
              <w:t>B97.1,</w:t>
            </w:r>
            <w:r>
              <w:rPr>
                <w:spacing w:val="-8"/>
                <w:sz w:val="20"/>
              </w:rPr>
              <w:t> </w:t>
            </w:r>
            <w:r>
              <w:rPr>
                <w:sz w:val="20"/>
              </w:rPr>
              <w:t>B97.2,</w:t>
            </w:r>
            <w:r>
              <w:rPr>
                <w:spacing w:val="-5"/>
                <w:sz w:val="20"/>
              </w:rPr>
              <w:t> </w:t>
            </w:r>
            <w:r>
              <w:rPr>
                <w:sz w:val="20"/>
              </w:rPr>
              <w:t>B97.3,</w:t>
            </w:r>
            <w:r>
              <w:rPr>
                <w:spacing w:val="-5"/>
                <w:sz w:val="20"/>
              </w:rPr>
              <w:t> </w:t>
            </w:r>
            <w:r>
              <w:rPr>
                <w:sz w:val="20"/>
              </w:rPr>
              <w:t>B97.4,</w:t>
            </w:r>
            <w:r>
              <w:rPr>
                <w:spacing w:val="-8"/>
                <w:sz w:val="20"/>
              </w:rPr>
              <w:t> </w:t>
            </w:r>
            <w:r>
              <w:rPr>
                <w:sz w:val="20"/>
              </w:rPr>
              <w:t>B97.5,</w:t>
            </w:r>
            <w:r>
              <w:rPr>
                <w:spacing w:val="-5"/>
                <w:sz w:val="20"/>
              </w:rPr>
              <w:t> </w:t>
            </w:r>
            <w:r>
              <w:rPr>
                <w:sz w:val="20"/>
              </w:rPr>
              <w:t>B97.6,</w:t>
            </w:r>
            <w:r>
              <w:rPr>
                <w:spacing w:val="-5"/>
                <w:sz w:val="20"/>
              </w:rPr>
              <w:t> </w:t>
            </w:r>
            <w:r>
              <w:rPr>
                <w:spacing w:val="-2"/>
                <w:sz w:val="20"/>
              </w:rPr>
              <w:t>B97.7,</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26" w:lineRule="exact"/>
              <w:ind w:left="149" w:right="245"/>
              <w:jc w:val="center"/>
              <w:rPr>
                <w:sz w:val="20"/>
              </w:rPr>
            </w:pPr>
            <w:r>
              <w:rPr>
                <w:sz w:val="20"/>
              </w:rPr>
              <w:t>B97.8,</w:t>
            </w:r>
            <w:r>
              <w:rPr>
                <w:spacing w:val="-5"/>
                <w:sz w:val="20"/>
              </w:rPr>
              <w:t> </w:t>
            </w:r>
            <w:r>
              <w:rPr>
                <w:sz w:val="20"/>
              </w:rPr>
              <w:t>B99,</w:t>
            </w:r>
            <w:r>
              <w:rPr>
                <w:spacing w:val="-5"/>
                <w:sz w:val="20"/>
              </w:rPr>
              <w:t> </w:t>
            </w:r>
            <w:r>
              <w:rPr>
                <w:sz w:val="20"/>
              </w:rPr>
              <w:t>M49.1,</w:t>
            </w:r>
            <w:r>
              <w:rPr>
                <w:spacing w:val="-5"/>
                <w:sz w:val="20"/>
              </w:rPr>
              <w:t> </w:t>
            </w:r>
            <w:r>
              <w:rPr>
                <w:sz w:val="20"/>
              </w:rPr>
              <w:t>R50,</w:t>
            </w:r>
            <w:r>
              <w:rPr>
                <w:spacing w:val="-5"/>
                <w:sz w:val="20"/>
              </w:rPr>
              <w:t> </w:t>
            </w:r>
            <w:r>
              <w:rPr>
                <w:sz w:val="20"/>
              </w:rPr>
              <w:t>R50.8,</w:t>
            </w:r>
            <w:r>
              <w:rPr>
                <w:spacing w:val="-5"/>
                <w:sz w:val="20"/>
              </w:rPr>
              <w:t> </w:t>
            </w:r>
            <w:r>
              <w:rPr>
                <w:sz w:val="20"/>
              </w:rPr>
              <w:t>R50.9,</w:t>
            </w:r>
            <w:r>
              <w:rPr>
                <w:spacing w:val="-5"/>
                <w:sz w:val="20"/>
              </w:rPr>
              <w:t> R75</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st12.010</w:t>
            </w:r>
          </w:p>
        </w:tc>
        <w:tc>
          <w:tcPr>
            <w:tcW w:w="657" w:type="dxa"/>
          </w:tcPr>
          <w:p>
            <w:pPr>
              <w:pStyle w:val="TableParagraph"/>
              <w:spacing w:line="215" w:lineRule="exact" w:before="45"/>
              <w:ind w:right="217"/>
              <w:jc w:val="right"/>
              <w:rPr>
                <w:sz w:val="20"/>
              </w:rPr>
            </w:pPr>
            <w:r>
              <w:rPr>
                <w:spacing w:val="-5"/>
                <w:sz w:val="20"/>
              </w:rPr>
              <w:t>67</w:t>
            </w:r>
          </w:p>
        </w:tc>
        <w:tc>
          <w:tcPr>
            <w:tcW w:w="2581" w:type="dxa"/>
          </w:tcPr>
          <w:p>
            <w:pPr>
              <w:pStyle w:val="TableParagraph"/>
              <w:spacing w:line="215" w:lineRule="exact" w:before="45"/>
              <w:ind w:left="217"/>
              <w:rPr>
                <w:sz w:val="20"/>
              </w:rPr>
            </w:pPr>
            <w:r>
              <w:rPr>
                <w:spacing w:val="-2"/>
                <w:sz w:val="20"/>
              </w:rPr>
              <w:t>Респираторные</w:t>
            </w:r>
            <w:r>
              <w:rPr>
                <w:spacing w:val="11"/>
                <w:sz w:val="20"/>
              </w:rPr>
              <w:t> </w:t>
            </w:r>
            <w:r>
              <w:rPr>
                <w:spacing w:val="-2"/>
                <w:sz w:val="20"/>
              </w:rPr>
              <w:t>инфекции</w:t>
            </w:r>
          </w:p>
        </w:tc>
        <w:tc>
          <w:tcPr>
            <w:tcW w:w="4424" w:type="dxa"/>
          </w:tcPr>
          <w:p>
            <w:pPr>
              <w:pStyle w:val="TableParagraph"/>
              <w:spacing w:line="215" w:lineRule="exact" w:before="45"/>
              <w:ind w:left="146" w:right="245"/>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tc>
        <w:tc>
          <w:tcPr>
            <w:tcW w:w="3300" w:type="dxa"/>
          </w:tcPr>
          <w:p>
            <w:pPr>
              <w:pStyle w:val="TableParagraph"/>
              <w:spacing w:line="215" w:lineRule="exact" w:before="45"/>
              <w:ind w:right="57"/>
              <w:jc w:val="center"/>
              <w:rPr>
                <w:sz w:val="20"/>
              </w:rPr>
            </w:pPr>
            <w:r>
              <w:rPr>
                <w:w w:val="99"/>
                <w:sz w:val="20"/>
              </w:rPr>
              <w:t>-</w:t>
            </w:r>
          </w:p>
        </w:tc>
        <w:tc>
          <w:tcPr>
            <w:tcW w:w="2506" w:type="dxa"/>
          </w:tcPr>
          <w:p>
            <w:pPr>
              <w:pStyle w:val="TableParagraph"/>
              <w:spacing w:line="215" w:lineRule="exact" w:before="45"/>
              <w:ind w:right="488"/>
              <w:jc w:val="right"/>
              <w:rPr>
                <w:sz w:val="20"/>
              </w:rPr>
            </w:pPr>
            <w:r>
              <w:rPr>
                <w:sz w:val="20"/>
              </w:rPr>
              <w:t>Возрастная</w:t>
            </w:r>
            <w:r>
              <w:rPr>
                <w:spacing w:val="-10"/>
                <w:sz w:val="20"/>
              </w:rPr>
              <w:t> </w:t>
            </w:r>
            <w:r>
              <w:rPr>
                <w:spacing w:val="-2"/>
                <w:sz w:val="20"/>
              </w:rPr>
              <w:t>группа:</w:t>
            </w:r>
          </w:p>
        </w:tc>
        <w:tc>
          <w:tcPr>
            <w:tcW w:w="838" w:type="dxa"/>
          </w:tcPr>
          <w:p>
            <w:pPr>
              <w:pStyle w:val="TableParagraph"/>
              <w:spacing w:line="215" w:lineRule="exact" w:before="45"/>
              <w:ind w:right="51"/>
              <w:jc w:val="right"/>
              <w:rPr>
                <w:sz w:val="20"/>
              </w:rPr>
            </w:pPr>
            <w:r>
              <w:rPr>
                <w:spacing w:val="-4"/>
                <w:sz w:val="20"/>
              </w:rPr>
              <w:t>0,35</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10" w:lineRule="exact"/>
              <w:ind w:left="217"/>
              <w:rPr>
                <w:sz w:val="20"/>
              </w:rPr>
            </w:pPr>
            <w:r>
              <w:rPr>
                <w:sz w:val="20"/>
              </w:rPr>
              <w:t>верхних</w:t>
            </w:r>
            <w:r>
              <w:rPr>
                <w:spacing w:val="-10"/>
                <w:sz w:val="20"/>
              </w:rPr>
              <w:t> </w:t>
            </w:r>
            <w:r>
              <w:rPr>
                <w:spacing w:val="-2"/>
                <w:sz w:val="20"/>
              </w:rPr>
              <w:t>дыхательных</w:t>
            </w:r>
          </w:p>
        </w:tc>
        <w:tc>
          <w:tcPr>
            <w:tcW w:w="4424" w:type="dxa"/>
          </w:tcPr>
          <w:p>
            <w:pPr>
              <w:pStyle w:val="TableParagraph"/>
              <w:spacing w:line="210" w:lineRule="exact"/>
              <w:ind w:left="147" w:right="245"/>
              <w:jc w:val="center"/>
              <w:rPr>
                <w:sz w:val="20"/>
              </w:rPr>
            </w:pPr>
            <w:r>
              <w:rPr>
                <w:sz w:val="20"/>
              </w:rPr>
              <w:t>J01.9,</w:t>
            </w:r>
            <w:r>
              <w:rPr>
                <w:spacing w:val="-6"/>
                <w:sz w:val="20"/>
              </w:rPr>
              <w:t> </w:t>
            </w:r>
            <w:r>
              <w:rPr>
                <w:sz w:val="20"/>
              </w:rPr>
              <w:t>J02,</w:t>
            </w:r>
            <w:r>
              <w:rPr>
                <w:spacing w:val="-5"/>
                <w:sz w:val="20"/>
              </w:rPr>
              <w:t> </w:t>
            </w:r>
            <w:r>
              <w:rPr>
                <w:sz w:val="20"/>
              </w:rPr>
              <w:t>J02.0,</w:t>
            </w:r>
            <w:r>
              <w:rPr>
                <w:spacing w:val="-5"/>
                <w:sz w:val="20"/>
              </w:rPr>
              <w:t> </w:t>
            </w:r>
            <w:r>
              <w:rPr>
                <w:sz w:val="20"/>
              </w:rPr>
              <w:t>J02.8,</w:t>
            </w:r>
            <w:r>
              <w:rPr>
                <w:spacing w:val="-4"/>
                <w:sz w:val="20"/>
              </w:rPr>
              <w:t> </w:t>
            </w:r>
            <w:r>
              <w:rPr>
                <w:sz w:val="20"/>
              </w:rPr>
              <w:t>J02.9,</w:t>
            </w:r>
            <w:r>
              <w:rPr>
                <w:spacing w:val="-5"/>
                <w:sz w:val="20"/>
              </w:rPr>
              <w:t> </w:t>
            </w:r>
            <w:r>
              <w:rPr>
                <w:sz w:val="20"/>
              </w:rPr>
              <w:t>J03,</w:t>
            </w:r>
            <w:r>
              <w:rPr>
                <w:spacing w:val="-4"/>
                <w:sz w:val="20"/>
              </w:rPr>
              <w:t> </w:t>
            </w:r>
            <w:r>
              <w:rPr>
                <w:sz w:val="20"/>
              </w:rPr>
              <w:t>J03.0,</w:t>
            </w:r>
            <w:r>
              <w:rPr>
                <w:spacing w:val="-3"/>
                <w:sz w:val="20"/>
              </w:rPr>
              <w:t> </w:t>
            </w:r>
            <w:r>
              <w:rPr>
                <w:spacing w:val="-2"/>
                <w:sz w:val="20"/>
              </w:rPr>
              <w:t>J03.8,</w:t>
            </w:r>
          </w:p>
        </w:tc>
        <w:tc>
          <w:tcPr>
            <w:tcW w:w="3300" w:type="dxa"/>
          </w:tcPr>
          <w:p>
            <w:pPr>
              <w:pStyle w:val="TableParagraph"/>
              <w:rPr>
                <w:sz w:val="16"/>
              </w:rPr>
            </w:pPr>
          </w:p>
        </w:tc>
        <w:tc>
          <w:tcPr>
            <w:tcW w:w="2506" w:type="dxa"/>
          </w:tcPr>
          <w:p>
            <w:pPr>
              <w:pStyle w:val="TableParagraph"/>
              <w:spacing w:line="210" w:lineRule="exact"/>
              <w:ind w:left="596"/>
              <w:rPr>
                <w:sz w:val="20"/>
              </w:rPr>
            </w:pPr>
            <w:r>
              <w:rPr>
                <w:sz w:val="20"/>
              </w:rPr>
              <w:t>старше</w:t>
            </w:r>
            <w:r>
              <w:rPr>
                <w:spacing w:val="-2"/>
                <w:sz w:val="20"/>
              </w:rPr>
              <w:t> </w:t>
            </w:r>
            <w:r>
              <w:rPr>
                <w:sz w:val="20"/>
              </w:rPr>
              <w:t>18</w:t>
            </w:r>
            <w:r>
              <w:rPr>
                <w:spacing w:val="-2"/>
                <w:sz w:val="20"/>
              </w:rPr>
              <w:t> </w:t>
            </w:r>
            <w:r>
              <w:rPr>
                <w:spacing w:val="-5"/>
                <w:sz w:val="20"/>
              </w:rPr>
              <w:t>лет</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10" w:lineRule="exact"/>
              <w:ind w:left="217"/>
              <w:rPr>
                <w:sz w:val="20"/>
              </w:rPr>
            </w:pPr>
            <w:r>
              <w:rPr>
                <w:sz w:val="20"/>
              </w:rPr>
              <w:t>путей</w:t>
            </w:r>
            <w:r>
              <w:rPr>
                <w:spacing w:val="-5"/>
                <w:sz w:val="20"/>
              </w:rPr>
              <w:t> </w:t>
            </w:r>
            <w:r>
              <w:rPr>
                <w:sz w:val="20"/>
              </w:rPr>
              <w:t>с</w:t>
            </w:r>
            <w:r>
              <w:rPr>
                <w:spacing w:val="-4"/>
                <w:sz w:val="20"/>
              </w:rPr>
              <w:t> </w:t>
            </w:r>
            <w:r>
              <w:rPr>
                <w:spacing w:val="-2"/>
                <w:sz w:val="20"/>
              </w:rPr>
              <w:t>осложнениями,</w:t>
            </w:r>
          </w:p>
        </w:tc>
        <w:tc>
          <w:tcPr>
            <w:tcW w:w="4424" w:type="dxa"/>
          </w:tcPr>
          <w:p>
            <w:pPr>
              <w:pStyle w:val="TableParagraph"/>
              <w:spacing w:line="210" w:lineRule="exact"/>
              <w:ind w:left="144" w:right="245"/>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pacing w:val="-2"/>
                <w:sz w:val="20"/>
              </w:rPr>
              <w:t>взрослые</w:t>
            </w:r>
          </w:p>
        </w:tc>
        <w:tc>
          <w:tcPr>
            <w:tcW w:w="4424" w:type="dxa"/>
          </w:tcPr>
          <w:p>
            <w:pPr>
              <w:pStyle w:val="TableParagraph"/>
              <w:spacing w:line="209" w:lineRule="exact"/>
              <w:ind w:left="144" w:right="245"/>
              <w:jc w:val="center"/>
              <w:rPr>
                <w:sz w:val="20"/>
              </w:rPr>
            </w:pPr>
            <w:r>
              <w:rPr>
                <w:sz w:val="20"/>
              </w:rPr>
              <w:t>J06,</w:t>
            </w:r>
            <w:r>
              <w:rPr>
                <w:spacing w:val="-5"/>
                <w:sz w:val="20"/>
              </w:rPr>
              <w:t> </w:t>
            </w:r>
            <w:r>
              <w:rPr>
                <w:sz w:val="20"/>
              </w:rPr>
              <w:t>J06.0,</w:t>
            </w:r>
            <w:r>
              <w:rPr>
                <w:spacing w:val="-5"/>
                <w:sz w:val="20"/>
              </w:rPr>
              <w:t> </w:t>
            </w:r>
            <w:r>
              <w:rPr>
                <w:sz w:val="20"/>
              </w:rPr>
              <w:t>J06.8,</w:t>
            </w:r>
            <w:r>
              <w:rPr>
                <w:spacing w:val="-5"/>
                <w:sz w:val="20"/>
              </w:rPr>
              <w:t> </w:t>
            </w:r>
            <w:r>
              <w:rPr>
                <w:sz w:val="20"/>
              </w:rPr>
              <w:t>J06.9,</w:t>
            </w:r>
            <w:r>
              <w:rPr>
                <w:spacing w:val="-3"/>
                <w:sz w:val="20"/>
              </w:rPr>
              <w:t> </w:t>
            </w:r>
            <w:r>
              <w:rPr>
                <w:sz w:val="20"/>
              </w:rPr>
              <w:t>J09,</w:t>
            </w:r>
            <w:r>
              <w:rPr>
                <w:spacing w:val="-5"/>
                <w:sz w:val="20"/>
              </w:rPr>
              <w:t> </w:t>
            </w:r>
            <w:r>
              <w:rPr>
                <w:sz w:val="20"/>
              </w:rPr>
              <w:t>J10,</w:t>
            </w:r>
            <w:r>
              <w:rPr>
                <w:spacing w:val="-5"/>
                <w:sz w:val="20"/>
              </w:rPr>
              <w:t> </w:t>
            </w:r>
            <w:r>
              <w:rPr>
                <w:sz w:val="20"/>
              </w:rPr>
              <w:t>J10.1,</w:t>
            </w:r>
            <w:r>
              <w:rPr>
                <w:spacing w:val="-4"/>
                <w:sz w:val="20"/>
              </w:rPr>
              <w:t> </w:t>
            </w:r>
            <w:r>
              <w:rPr>
                <w:spacing w:val="-2"/>
                <w:sz w:val="20"/>
              </w:rPr>
              <w:t>J10.8,</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spacing w:line="225" w:lineRule="exact"/>
              <w:ind w:left="149" w:right="244"/>
              <w:jc w:val="center"/>
              <w:rPr>
                <w:sz w:val="20"/>
              </w:rPr>
            </w:pPr>
            <w:r>
              <w:rPr>
                <w:sz w:val="20"/>
              </w:rPr>
              <w:t>J11,</w:t>
            </w:r>
            <w:r>
              <w:rPr>
                <w:spacing w:val="-5"/>
                <w:sz w:val="20"/>
              </w:rPr>
              <w:t> </w:t>
            </w:r>
            <w:r>
              <w:rPr>
                <w:sz w:val="20"/>
              </w:rPr>
              <w:t>J11.1,</w:t>
            </w:r>
            <w:r>
              <w:rPr>
                <w:spacing w:val="-4"/>
                <w:sz w:val="20"/>
              </w:rPr>
              <w:t> </w:t>
            </w:r>
            <w:r>
              <w:rPr>
                <w:spacing w:val="-2"/>
                <w:sz w:val="20"/>
              </w:rPr>
              <w:t>J11.8</w:t>
            </w:r>
          </w:p>
        </w:tc>
        <w:tc>
          <w:tcPr>
            <w:tcW w:w="3300" w:type="dxa"/>
          </w:tcPr>
          <w:p>
            <w:pPr>
              <w:pStyle w:val="TableParagraph"/>
              <w:rPr>
                <w:sz w:val="18"/>
              </w:rPr>
            </w:pPr>
          </w:p>
        </w:tc>
        <w:tc>
          <w:tcPr>
            <w:tcW w:w="2506" w:type="dxa"/>
          </w:tcPr>
          <w:p>
            <w:pPr>
              <w:pStyle w:val="TableParagraph"/>
              <w:rPr>
                <w:sz w:val="18"/>
              </w:rPr>
            </w:pPr>
          </w:p>
        </w:tc>
        <w:tc>
          <w:tcPr>
            <w:tcW w:w="838"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st12.011</w:t>
            </w:r>
          </w:p>
        </w:tc>
        <w:tc>
          <w:tcPr>
            <w:tcW w:w="657" w:type="dxa"/>
          </w:tcPr>
          <w:p>
            <w:pPr>
              <w:pStyle w:val="TableParagraph"/>
              <w:spacing w:line="215" w:lineRule="exact" w:before="46"/>
              <w:ind w:right="217"/>
              <w:jc w:val="right"/>
              <w:rPr>
                <w:sz w:val="20"/>
              </w:rPr>
            </w:pPr>
            <w:r>
              <w:rPr>
                <w:spacing w:val="-5"/>
                <w:sz w:val="20"/>
              </w:rPr>
              <w:t>68</w:t>
            </w:r>
          </w:p>
        </w:tc>
        <w:tc>
          <w:tcPr>
            <w:tcW w:w="2581" w:type="dxa"/>
          </w:tcPr>
          <w:p>
            <w:pPr>
              <w:pStyle w:val="TableParagraph"/>
              <w:spacing w:line="215" w:lineRule="exact" w:before="46"/>
              <w:ind w:left="217"/>
              <w:rPr>
                <w:sz w:val="20"/>
              </w:rPr>
            </w:pPr>
            <w:r>
              <w:rPr>
                <w:spacing w:val="-2"/>
                <w:sz w:val="20"/>
              </w:rPr>
              <w:t>Респираторные</w:t>
            </w:r>
            <w:r>
              <w:rPr>
                <w:spacing w:val="11"/>
                <w:sz w:val="20"/>
              </w:rPr>
              <w:t> </w:t>
            </w:r>
            <w:r>
              <w:rPr>
                <w:spacing w:val="-2"/>
                <w:sz w:val="20"/>
              </w:rPr>
              <w:t>инфекции</w:t>
            </w:r>
          </w:p>
        </w:tc>
        <w:tc>
          <w:tcPr>
            <w:tcW w:w="4424" w:type="dxa"/>
          </w:tcPr>
          <w:p>
            <w:pPr>
              <w:pStyle w:val="TableParagraph"/>
              <w:spacing w:line="215" w:lineRule="exact" w:before="46"/>
              <w:ind w:left="146" w:right="245"/>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tc>
        <w:tc>
          <w:tcPr>
            <w:tcW w:w="3300" w:type="dxa"/>
          </w:tcPr>
          <w:p>
            <w:pPr>
              <w:pStyle w:val="TableParagraph"/>
              <w:spacing w:line="215" w:lineRule="exact" w:before="46"/>
              <w:ind w:right="57"/>
              <w:jc w:val="center"/>
              <w:rPr>
                <w:sz w:val="20"/>
              </w:rPr>
            </w:pPr>
            <w:r>
              <w:rPr>
                <w:w w:val="99"/>
                <w:sz w:val="20"/>
              </w:rPr>
              <w:t>-</w:t>
            </w:r>
          </w:p>
        </w:tc>
        <w:tc>
          <w:tcPr>
            <w:tcW w:w="2506" w:type="dxa"/>
          </w:tcPr>
          <w:p>
            <w:pPr>
              <w:pStyle w:val="TableParagraph"/>
              <w:spacing w:line="215" w:lineRule="exact" w:before="46"/>
              <w:ind w:right="488"/>
              <w:jc w:val="right"/>
              <w:rPr>
                <w:sz w:val="20"/>
              </w:rPr>
            </w:pPr>
            <w:r>
              <w:rPr>
                <w:sz w:val="20"/>
              </w:rPr>
              <w:t>Возрастная</w:t>
            </w:r>
            <w:r>
              <w:rPr>
                <w:spacing w:val="-10"/>
                <w:sz w:val="20"/>
              </w:rPr>
              <w:t> </w:t>
            </w:r>
            <w:r>
              <w:rPr>
                <w:spacing w:val="-2"/>
                <w:sz w:val="20"/>
              </w:rPr>
              <w:t>группа:</w:t>
            </w:r>
          </w:p>
        </w:tc>
        <w:tc>
          <w:tcPr>
            <w:tcW w:w="838" w:type="dxa"/>
          </w:tcPr>
          <w:p>
            <w:pPr>
              <w:pStyle w:val="TableParagraph"/>
              <w:spacing w:line="215" w:lineRule="exact" w:before="46"/>
              <w:ind w:right="51"/>
              <w:jc w:val="right"/>
              <w:rPr>
                <w:sz w:val="20"/>
              </w:rPr>
            </w:pPr>
            <w:r>
              <w:rPr>
                <w:spacing w:val="-4"/>
                <w:sz w:val="20"/>
              </w:rPr>
              <w:t>0,50</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z w:val="20"/>
              </w:rPr>
              <w:t>верхних</w:t>
            </w:r>
            <w:r>
              <w:rPr>
                <w:spacing w:val="-10"/>
                <w:sz w:val="20"/>
              </w:rPr>
              <w:t> </w:t>
            </w:r>
            <w:r>
              <w:rPr>
                <w:spacing w:val="-2"/>
                <w:sz w:val="20"/>
              </w:rPr>
              <w:t>дыхательных</w:t>
            </w:r>
          </w:p>
        </w:tc>
        <w:tc>
          <w:tcPr>
            <w:tcW w:w="4424" w:type="dxa"/>
          </w:tcPr>
          <w:p>
            <w:pPr>
              <w:pStyle w:val="TableParagraph"/>
              <w:spacing w:line="209" w:lineRule="exact"/>
              <w:ind w:left="144" w:right="245"/>
              <w:jc w:val="center"/>
              <w:rPr>
                <w:sz w:val="20"/>
              </w:rPr>
            </w:pPr>
            <w:r>
              <w:rPr>
                <w:sz w:val="20"/>
              </w:rPr>
              <w:t>J01.9,</w:t>
            </w:r>
            <w:r>
              <w:rPr>
                <w:spacing w:val="-6"/>
                <w:sz w:val="20"/>
              </w:rPr>
              <w:t> </w:t>
            </w:r>
            <w:r>
              <w:rPr>
                <w:sz w:val="20"/>
              </w:rPr>
              <w:t>J02,</w:t>
            </w:r>
            <w:r>
              <w:rPr>
                <w:spacing w:val="-6"/>
                <w:sz w:val="20"/>
              </w:rPr>
              <w:t> </w:t>
            </w:r>
            <w:r>
              <w:rPr>
                <w:sz w:val="20"/>
              </w:rPr>
              <w:t>J02.0,</w:t>
            </w:r>
            <w:r>
              <w:rPr>
                <w:spacing w:val="-6"/>
                <w:sz w:val="20"/>
              </w:rPr>
              <w:t> </w:t>
            </w:r>
            <w:r>
              <w:rPr>
                <w:sz w:val="20"/>
              </w:rPr>
              <w:t>J02.8,</w:t>
            </w:r>
            <w:r>
              <w:rPr>
                <w:spacing w:val="-3"/>
                <w:sz w:val="20"/>
              </w:rPr>
              <w:t> </w:t>
            </w:r>
            <w:r>
              <w:rPr>
                <w:sz w:val="20"/>
              </w:rPr>
              <w:t>J02.9,</w:t>
            </w:r>
            <w:r>
              <w:rPr>
                <w:spacing w:val="-6"/>
                <w:sz w:val="20"/>
              </w:rPr>
              <w:t> </w:t>
            </w:r>
            <w:r>
              <w:rPr>
                <w:sz w:val="20"/>
              </w:rPr>
              <w:t>J03,</w:t>
            </w:r>
            <w:r>
              <w:rPr>
                <w:spacing w:val="-4"/>
                <w:sz w:val="20"/>
              </w:rPr>
              <w:t> </w:t>
            </w:r>
            <w:r>
              <w:rPr>
                <w:sz w:val="20"/>
              </w:rPr>
              <w:t>J03.0,</w:t>
            </w:r>
            <w:r>
              <w:rPr>
                <w:spacing w:val="-4"/>
                <w:sz w:val="20"/>
              </w:rPr>
              <w:t> </w:t>
            </w:r>
            <w:r>
              <w:rPr>
                <w:spacing w:val="-2"/>
                <w:sz w:val="20"/>
              </w:rPr>
              <w:t>J03.8,</w:t>
            </w:r>
          </w:p>
        </w:tc>
        <w:tc>
          <w:tcPr>
            <w:tcW w:w="3300" w:type="dxa"/>
          </w:tcPr>
          <w:p>
            <w:pPr>
              <w:pStyle w:val="TableParagraph"/>
              <w:rPr>
                <w:sz w:val="16"/>
              </w:rPr>
            </w:pPr>
          </w:p>
        </w:tc>
        <w:tc>
          <w:tcPr>
            <w:tcW w:w="2506" w:type="dxa"/>
          </w:tcPr>
          <w:p>
            <w:pPr>
              <w:pStyle w:val="TableParagraph"/>
              <w:spacing w:line="209" w:lineRule="exact"/>
              <w:ind w:right="507"/>
              <w:jc w:val="right"/>
              <w:rPr>
                <w:sz w:val="20"/>
              </w:rPr>
            </w:pPr>
            <w:r>
              <w:rPr>
                <w:sz w:val="20"/>
              </w:rPr>
              <w:t>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z w:val="20"/>
              </w:rPr>
              <w:t>путей,</w:t>
            </w:r>
            <w:r>
              <w:rPr>
                <w:spacing w:val="-8"/>
                <w:sz w:val="20"/>
              </w:rPr>
              <w:t> </w:t>
            </w:r>
            <w:r>
              <w:rPr>
                <w:spacing w:val="-4"/>
                <w:sz w:val="20"/>
              </w:rPr>
              <w:t>дети</w:t>
            </w:r>
          </w:p>
        </w:tc>
        <w:tc>
          <w:tcPr>
            <w:tcW w:w="4424" w:type="dxa"/>
          </w:tcPr>
          <w:p>
            <w:pPr>
              <w:pStyle w:val="TableParagraph"/>
              <w:spacing w:line="209" w:lineRule="exact"/>
              <w:ind w:left="144" w:right="245"/>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rPr>
                <w:sz w:val="16"/>
              </w:rPr>
            </w:pPr>
          </w:p>
        </w:tc>
        <w:tc>
          <w:tcPr>
            <w:tcW w:w="4424" w:type="dxa"/>
          </w:tcPr>
          <w:p>
            <w:pPr>
              <w:pStyle w:val="TableParagraph"/>
              <w:spacing w:line="210" w:lineRule="exact"/>
              <w:ind w:left="144" w:right="245"/>
              <w:jc w:val="center"/>
              <w:rPr>
                <w:sz w:val="20"/>
              </w:rPr>
            </w:pPr>
            <w:r>
              <w:rPr>
                <w:sz w:val="20"/>
              </w:rPr>
              <w:t>J06,</w:t>
            </w:r>
            <w:r>
              <w:rPr>
                <w:spacing w:val="-5"/>
                <w:sz w:val="20"/>
              </w:rPr>
              <w:t> </w:t>
            </w:r>
            <w:r>
              <w:rPr>
                <w:sz w:val="20"/>
              </w:rPr>
              <w:t>J06.0,</w:t>
            </w:r>
            <w:r>
              <w:rPr>
                <w:spacing w:val="-5"/>
                <w:sz w:val="20"/>
              </w:rPr>
              <w:t> </w:t>
            </w:r>
            <w:r>
              <w:rPr>
                <w:sz w:val="20"/>
              </w:rPr>
              <w:t>J06.8,</w:t>
            </w:r>
            <w:r>
              <w:rPr>
                <w:spacing w:val="-5"/>
                <w:sz w:val="20"/>
              </w:rPr>
              <w:t> </w:t>
            </w:r>
            <w:r>
              <w:rPr>
                <w:sz w:val="20"/>
              </w:rPr>
              <w:t>J06.9,</w:t>
            </w:r>
            <w:r>
              <w:rPr>
                <w:spacing w:val="-3"/>
                <w:sz w:val="20"/>
              </w:rPr>
              <w:t> </w:t>
            </w:r>
            <w:r>
              <w:rPr>
                <w:sz w:val="20"/>
              </w:rPr>
              <w:t>J09,</w:t>
            </w:r>
            <w:r>
              <w:rPr>
                <w:spacing w:val="-5"/>
                <w:sz w:val="20"/>
              </w:rPr>
              <w:t> </w:t>
            </w:r>
            <w:r>
              <w:rPr>
                <w:sz w:val="20"/>
              </w:rPr>
              <w:t>J10,</w:t>
            </w:r>
            <w:r>
              <w:rPr>
                <w:spacing w:val="-5"/>
                <w:sz w:val="20"/>
              </w:rPr>
              <w:t> </w:t>
            </w:r>
            <w:r>
              <w:rPr>
                <w:sz w:val="20"/>
              </w:rPr>
              <w:t>J10.1,</w:t>
            </w:r>
            <w:r>
              <w:rPr>
                <w:spacing w:val="-4"/>
                <w:sz w:val="20"/>
              </w:rPr>
              <w:t> </w:t>
            </w:r>
            <w:r>
              <w:rPr>
                <w:spacing w:val="-2"/>
                <w:sz w:val="20"/>
              </w:rPr>
              <w:t>J10.8,</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spacing w:line="226" w:lineRule="exact"/>
              <w:ind w:left="149" w:right="244"/>
              <w:jc w:val="center"/>
              <w:rPr>
                <w:sz w:val="20"/>
              </w:rPr>
            </w:pPr>
            <w:r>
              <w:rPr>
                <w:sz w:val="20"/>
              </w:rPr>
              <w:t>J11,</w:t>
            </w:r>
            <w:r>
              <w:rPr>
                <w:spacing w:val="-5"/>
                <w:sz w:val="20"/>
              </w:rPr>
              <w:t> </w:t>
            </w:r>
            <w:r>
              <w:rPr>
                <w:sz w:val="20"/>
              </w:rPr>
              <w:t>J11.1,</w:t>
            </w:r>
            <w:r>
              <w:rPr>
                <w:spacing w:val="-4"/>
                <w:sz w:val="20"/>
              </w:rPr>
              <w:t> </w:t>
            </w:r>
            <w:r>
              <w:rPr>
                <w:spacing w:val="-2"/>
                <w:sz w:val="20"/>
              </w:rPr>
              <w:t>J11.8</w:t>
            </w:r>
          </w:p>
        </w:tc>
        <w:tc>
          <w:tcPr>
            <w:tcW w:w="3300" w:type="dxa"/>
          </w:tcPr>
          <w:p>
            <w:pPr>
              <w:pStyle w:val="TableParagraph"/>
              <w:rPr>
                <w:sz w:val="18"/>
              </w:rPr>
            </w:pPr>
          </w:p>
        </w:tc>
        <w:tc>
          <w:tcPr>
            <w:tcW w:w="2506"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st12.012</w:t>
            </w:r>
          </w:p>
        </w:tc>
        <w:tc>
          <w:tcPr>
            <w:tcW w:w="657" w:type="dxa"/>
          </w:tcPr>
          <w:p>
            <w:pPr>
              <w:pStyle w:val="TableParagraph"/>
              <w:spacing w:line="214" w:lineRule="exact" w:before="46"/>
              <w:ind w:right="217"/>
              <w:jc w:val="right"/>
              <w:rPr>
                <w:sz w:val="20"/>
              </w:rPr>
            </w:pPr>
            <w:r>
              <w:rPr>
                <w:spacing w:val="-5"/>
                <w:sz w:val="20"/>
              </w:rPr>
              <w:t>69</w:t>
            </w:r>
          </w:p>
        </w:tc>
        <w:tc>
          <w:tcPr>
            <w:tcW w:w="2581" w:type="dxa"/>
          </w:tcPr>
          <w:p>
            <w:pPr>
              <w:pStyle w:val="TableParagraph"/>
              <w:spacing w:line="214" w:lineRule="exact" w:before="46"/>
              <w:ind w:left="217"/>
              <w:rPr>
                <w:sz w:val="20"/>
              </w:rPr>
            </w:pPr>
            <w:r>
              <w:rPr>
                <w:sz w:val="20"/>
              </w:rPr>
              <w:t>Грипп,</w:t>
            </w:r>
            <w:r>
              <w:rPr>
                <w:spacing w:val="-7"/>
                <w:sz w:val="20"/>
              </w:rPr>
              <w:t> </w:t>
            </w:r>
            <w:r>
              <w:rPr>
                <w:sz w:val="20"/>
              </w:rPr>
              <w:t>вирус</w:t>
            </w:r>
            <w:r>
              <w:rPr>
                <w:spacing w:val="-7"/>
                <w:sz w:val="20"/>
              </w:rPr>
              <w:t> </w:t>
            </w:r>
            <w:r>
              <w:rPr>
                <w:spacing w:val="-2"/>
                <w:sz w:val="20"/>
              </w:rPr>
              <w:t>гриппа</w:t>
            </w:r>
          </w:p>
        </w:tc>
        <w:tc>
          <w:tcPr>
            <w:tcW w:w="4424" w:type="dxa"/>
          </w:tcPr>
          <w:p>
            <w:pPr>
              <w:pStyle w:val="TableParagraph"/>
              <w:spacing w:line="214" w:lineRule="exact" w:before="46"/>
              <w:ind w:left="149" w:right="242"/>
              <w:jc w:val="center"/>
              <w:rPr>
                <w:sz w:val="20"/>
              </w:rPr>
            </w:pPr>
            <w:r>
              <w:rPr>
                <w:sz w:val="20"/>
              </w:rPr>
              <w:t>J09,</w:t>
            </w:r>
            <w:r>
              <w:rPr>
                <w:spacing w:val="-5"/>
                <w:sz w:val="20"/>
              </w:rPr>
              <w:t> </w:t>
            </w:r>
            <w:r>
              <w:rPr>
                <w:sz w:val="20"/>
              </w:rPr>
              <w:t>J10,</w:t>
            </w:r>
            <w:r>
              <w:rPr>
                <w:spacing w:val="-4"/>
                <w:sz w:val="20"/>
              </w:rPr>
              <w:t> </w:t>
            </w:r>
            <w:r>
              <w:rPr>
                <w:sz w:val="20"/>
              </w:rPr>
              <w:t>J10.1,</w:t>
            </w:r>
            <w:r>
              <w:rPr>
                <w:spacing w:val="-5"/>
                <w:sz w:val="20"/>
              </w:rPr>
              <w:t> </w:t>
            </w:r>
            <w:r>
              <w:rPr>
                <w:spacing w:val="-4"/>
                <w:sz w:val="20"/>
              </w:rPr>
              <w:t>J10.8</w:t>
            </w:r>
          </w:p>
        </w:tc>
        <w:tc>
          <w:tcPr>
            <w:tcW w:w="3300" w:type="dxa"/>
          </w:tcPr>
          <w:p>
            <w:pPr>
              <w:pStyle w:val="TableParagraph"/>
              <w:spacing w:line="214" w:lineRule="exact" w:before="46"/>
              <w:ind w:left="250" w:right="311"/>
              <w:jc w:val="center"/>
              <w:rPr>
                <w:sz w:val="20"/>
              </w:rPr>
            </w:pPr>
            <w:r>
              <w:rPr>
                <w:w w:val="95"/>
                <w:sz w:val="20"/>
              </w:rPr>
              <w:t>A26.08.019.001,</w:t>
            </w:r>
            <w:r>
              <w:rPr>
                <w:spacing w:val="54"/>
                <w:sz w:val="20"/>
              </w:rPr>
              <w:t> </w:t>
            </w:r>
            <w:r>
              <w:rPr>
                <w:spacing w:val="-2"/>
                <w:sz w:val="20"/>
              </w:rPr>
              <w:t>A26.08.019.002,</w:t>
            </w:r>
          </w:p>
        </w:tc>
        <w:tc>
          <w:tcPr>
            <w:tcW w:w="2506" w:type="dxa"/>
          </w:tcPr>
          <w:p>
            <w:pPr>
              <w:pStyle w:val="TableParagraph"/>
              <w:spacing w:line="214" w:lineRule="exact" w:before="46"/>
              <w:ind w:right="130"/>
              <w:jc w:val="center"/>
              <w:rPr>
                <w:sz w:val="20"/>
              </w:rPr>
            </w:pPr>
            <w:r>
              <w:rPr>
                <w:w w:val="99"/>
                <w:sz w:val="20"/>
              </w:rPr>
              <w:t>-</w:t>
            </w:r>
          </w:p>
        </w:tc>
        <w:tc>
          <w:tcPr>
            <w:tcW w:w="838" w:type="dxa"/>
          </w:tcPr>
          <w:p>
            <w:pPr>
              <w:pStyle w:val="TableParagraph"/>
              <w:spacing w:line="214" w:lineRule="exact" w:before="46"/>
              <w:ind w:right="51"/>
              <w:jc w:val="right"/>
              <w:rPr>
                <w:sz w:val="20"/>
              </w:rPr>
            </w:pPr>
            <w:r>
              <w:rPr>
                <w:spacing w:val="-4"/>
                <w:sz w:val="20"/>
              </w:rPr>
              <w:t>1,00</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pacing w:val="-2"/>
                <w:sz w:val="20"/>
              </w:rPr>
              <w:t>идентифицирован</w:t>
            </w:r>
          </w:p>
        </w:tc>
        <w:tc>
          <w:tcPr>
            <w:tcW w:w="4424" w:type="dxa"/>
          </w:tcPr>
          <w:p>
            <w:pPr>
              <w:pStyle w:val="TableParagraph"/>
              <w:rPr>
                <w:sz w:val="16"/>
              </w:rPr>
            </w:pPr>
          </w:p>
        </w:tc>
        <w:tc>
          <w:tcPr>
            <w:tcW w:w="3300" w:type="dxa"/>
          </w:tcPr>
          <w:p>
            <w:pPr>
              <w:pStyle w:val="TableParagraph"/>
              <w:spacing w:line="209" w:lineRule="exact"/>
              <w:ind w:left="251" w:right="311"/>
              <w:jc w:val="center"/>
              <w:rPr>
                <w:sz w:val="20"/>
              </w:rPr>
            </w:pPr>
            <w:r>
              <w:rPr>
                <w:w w:val="95"/>
                <w:sz w:val="20"/>
              </w:rPr>
              <w:t>A26.08.019.003,</w:t>
            </w:r>
            <w:r>
              <w:rPr>
                <w:spacing w:val="55"/>
                <w:sz w:val="20"/>
              </w:rPr>
              <w:t> </w:t>
            </w:r>
            <w:r>
              <w:rPr>
                <w:spacing w:val="-2"/>
                <w:sz w:val="20"/>
              </w:rPr>
              <w:t>A26.08.038.001,</w:t>
            </w:r>
          </w:p>
        </w:tc>
        <w:tc>
          <w:tcPr>
            <w:tcW w:w="2506" w:type="dxa"/>
          </w:tcPr>
          <w:p>
            <w:pPr>
              <w:pStyle w:val="TableParagraph"/>
              <w:rPr>
                <w:sz w:val="16"/>
              </w:rPr>
            </w:pPr>
          </w:p>
        </w:tc>
        <w:tc>
          <w:tcPr>
            <w:tcW w:w="838" w:type="dxa"/>
          </w:tcPr>
          <w:p>
            <w:pPr>
              <w:pStyle w:val="TableParagraph"/>
              <w:rPr>
                <w:sz w:val="16"/>
              </w:rPr>
            </w:pPr>
          </w:p>
        </w:tc>
      </w:tr>
      <w:tr>
        <w:trPr>
          <w:trHeight w:val="281"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rPr>
                <w:sz w:val="18"/>
              </w:rPr>
            </w:pPr>
          </w:p>
        </w:tc>
        <w:tc>
          <w:tcPr>
            <w:tcW w:w="3300" w:type="dxa"/>
          </w:tcPr>
          <w:p>
            <w:pPr>
              <w:pStyle w:val="TableParagraph"/>
              <w:spacing w:line="226" w:lineRule="exact"/>
              <w:ind w:left="251" w:right="310"/>
              <w:jc w:val="center"/>
              <w:rPr>
                <w:sz w:val="20"/>
              </w:rPr>
            </w:pPr>
            <w:r>
              <w:rPr>
                <w:w w:val="95"/>
                <w:sz w:val="20"/>
              </w:rPr>
              <w:t>A26.08.038.002,</w:t>
            </w:r>
            <w:r>
              <w:rPr>
                <w:spacing w:val="54"/>
                <w:sz w:val="20"/>
              </w:rPr>
              <w:t> </w:t>
            </w:r>
            <w:r>
              <w:rPr>
                <w:spacing w:val="-2"/>
                <w:sz w:val="20"/>
              </w:rPr>
              <w:t>A26.08.038.003</w:t>
            </w:r>
          </w:p>
        </w:tc>
        <w:tc>
          <w:tcPr>
            <w:tcW w:w="2506" w:type="dxa"/>
          </w:tcPr>
          <w:p>
            <w:pPr>
              <w:pStyle w:val="TableParagraph"/>
              <w:rPr>
                <w:sz w:val="18"/>
              </w:rPr>
            </w:pPr>
          </w:p>
        </w:tc>
        <w:tc>
          <w:tcPr>
            <w:tcW w:w="838" w:type="dxa"/>
          </w:tcPr>
          <w:p>
            <w:pPr>
              <w:pStyle w:val="TableParagraph"/>
              <w:rPr>
                <w:sz w:val="18"/>
              </w:rPr>
            </w:pPr>
          </w:p>
        </w:tc>
      </w:tr>
      <w:tr>
        <w:trPr>
          <w:trHeight w:val="281" w:hRule="atLeast"/>
        </w:trPr>
        <w:tc>
          <w:tcPr>
            <w:tcW w:w="971" w:type="dxa"/>
          </w:tcPr>
          <w:p>
            <w:pPr>
              <w:pStyle w:val="TableParagraph"/>
              <w:spacing w:line="215" w:lineRule="exact" w:before="46"/>
              <w:ind w:left="50"/>
              <w:rPr>
                <w:sz w:val="20"/>
              </w:rPr>
            </w:pPr>
            <w:r>
              <w:rPr>
                <w:spacing w:val="-2"/>
                <w:sz w:val="20"/>
              </w:rPr>
              <w:t>st12.013</w:t>
            </w:r>
          </w:p>
        </w:tc>
        <w:tc>
          <w:tcPr>
            <w:tcW w:w="657" w:type="dxa"/>
          </w:tcPr>
          <w:p>
            <w:pPr>
              <w:pStyle w:val="TableParagraph"/>
              <w:spacing w:line="215" w:lineRule="exact" w:before="46"/>
              <w:ind w:right="217"/>
              <w:jc w:val="right"/>
              <w:rPr>
                <w:sz w:val="20"/>
              </w:rPr>
            </w:pPr>
            <w:r>
              <w:rPr>
                <w:spacing w:val="-5"/>
                <w:sz w:val="20"/>
              </w:rPr>
              <w:t>70</w:t>
            </w:r>
          </w:p>
        </w:tc>
        <w:tc>
          <w:tcPr>
            <w:tcW w:w="2581" w:type="dxa"/>
          </w:tcPr>
          <w:p>
            <w:pPr>
              <w:pStyle w:val="TableParagraph"/>
              <w:spacing w:line="215" w:lineRule="exact" w:before="46"/>
              <w:ind w:left="217"/>
              <w:rPr>
                <w:sz w:val="20"/>
              </w:rPr>
            </w:pPr>
            <w:r>
              <w:rPr>
                <w:sz w:val="20"/>
              </w:rPr>
              <w:t>Грипп</w:t>
            </w:r>
            <w:r>
              <w:rPr>
                <w:spacing w:val="-9"/>
                <w:sz w:val="20"/>
              </w:rPr>
              <w:t> </w:t>
            </w:r>
            <w:r>
              <w:rPr>
                <w:sz w:val="20"/>
              </w:rPr>
              <w:t>и</w:t>
            </w:r>
            <w:r>
              <w:rPr>
                <w:spacing w:val="-6"/>
                <w:sz w:val="20"/>
              </w:rPr>
              <w:t> </w:t>
            </w:r>
            <w:r>
              <w:rPr>
                <w:sz w:val="20"/>
              </w:rPr>
              <w:t>пневмония</w:t>
            </w:r>
            <w:r>
              <w:rPr>
                <w:spacing w:val="-8"/>
                <w:sz w:val="20"/>
              </w:rPr>
              <w:t> </w:t>
            </w:r>
            <w:r>
              <w:rPr>
                <w:spacing w:val="-10"/>
                <w:sz w:val="20"/>
              </w:rPr>
              <w:t>с</w:t>
            </w:r>
          </w:p>
        </w:tc>
        <w:tc>
          <w:tcPr>
            <w:tcW w:w="4424" w:type="dxa"/>
          </w:tcPr>
          <w:p>
            <w:pPr>
              <w:pStyle w:val="TableParagraph"/>
              <w:spacing w:line="215" w:lineRule="exact" w:before="46"/>
              <w:ind w:left="145" w:right="245"/>
              <w:jc w:val="center"/>
              <w:rPr>
                <w:sz w:val="20"/>
              </w:rPr>
            </w:pPr>
            <w:r>
              <w:rPr>
                <w:sz w:val="20"/>
              </w:rPr>
              <w:t>J09,</w:t>
            </w:r>
            <w:r>
              <w:rPr>
                <w:spacing w:val="-4"/>
                <w:sz w:val="20"/>
              </w:rPr>
              <w:t> </w:t>
            </w:r>
            <w:r>
              <w:rPr>
                <w:sz w:val="20"/>
              </w:rPr>
              <w:t>J10,</w:t>
            </w:r>
            <w:r>
              <w:rPr>
                <w:spacing w:val="-5"/>
                <w:sz w:val="20"/>
              </w:rPr>
              <w:t> </w:t>
            </w:r>
            <w:r>
              <w:rPr>
                <w:sz w:val="20"/>
              </w:rPr>
              <w:t>J10.0,</w:t>
            </w:r>
            <w:r>
              <w:rPr>
                <w:spacing w:val="-5"/>
                <w:sz w:val="20"/>
              </w:rPr>
              <w:t> </w:t>
            </w:r>
            <w:r>
              <w:rPr>
                <w:sz w:val="20"/>
              </w:rPr>
              <w:t>J10.1,</w:t>
            </w:r>
            <w:r>
              <w:rPr>
                <w:spacing w:val="-5"/>
                <w:sz w:val="20"/>
              </w:rPr>
              <w:t> </w:t>
            </w:r>
            <w:r>
              <w:rPr>
                <w:sz w:val="20"/>
              </w:rPr>
              <w:t>J10.8,</w:t>
            </w:r>
            <w:r>
              <w:rPr>
                <w:spacing w:val="-5"/>
                <w:sz w:val="20"/>
              </w:rPr>
              <w:t> </w:t>
            </w:r>
            <w:r>
              <w:rPr>
                <w:sz w:val="20"/>
              </w:rPr>
              <w:t>J11,</w:t>
            </w:r>
            <w:r>
              <w:rPr>
                <w:spacing w:val="-5"/>
                <w:sz w:val="20"/>
              </w:rPr>
              <w:t> </w:t>
            </w:r>
            <w:r>
              <w:rPr>
                <w:sz w:val="20"/>
              </w:rPr>
              <w:t>J11.0,</w:t>
            </w:r>
            <w:r>
              <w:rPr>
                <w:spacing w:val="-4"/>
                <w:sz w:val="20"/>
              </w:rPr>
              <w:t> </w:t>
            </w:r>
            <w:r>
              <w:rPr>
                <w:spacing w:val="-2"/>
                <w:sz w:val="20"/>
              </w:rPr>
              <w:t>J11.1,</w:t>
            </w:r>
          </w:p>
        </w:tc>
        <w:tc>
          <w:tcPr>
            <w:tcW w:w="3300" w:type="dxa"/>
          </w:tcPr>
          <w:p>
            <w:pPr>
              <w:pStyle w:val="TableParagraph"/>
              <w:spacing w:line="215" w:lineRule="exact" w:before="46"/>
              <w:ind w:right="57"/>
              <w:jc w:val="center"/>
              <w:rPr>
                <w:sz w:val="20"/>
              </w:rPr>
            </w:pPr>
            <w:r>
              <w:rPr>
                <w:w w:val="99"/>
                <w:sz w:val="20"/>
              </w:rPr>
              <w:t>-</w:t>
            </w:r>
          </w:p>
        </w:tc>
        <w:tc>
          <w:tcPr>
            <w:tcW w:w="2506" w:type="dxa"/>
          </w:tcPr>
          <w:p>
            <w:pPr>
              <w:pStyle w:val="TableParagraph"/>
              <w:spacing w:line="215" w:lineRule="exact" w:before="46"/>
              <w:ind w:left="947" w:right="1076"/>
              <w:jc w:val="center"/>
              <w:rPr>
                <w:sz w:val="20"/>
              </w:rPr>
            </w:pPr>
            <w:r>
              <w:rPr>
                <w:spacing w:val="-4"/>
                <w:sz w:val="20"/>
              </w:rPr>
              <w:t>Иной</w:t>
            </w:r>
          </w:p>
        </w:tc>
        <w:tc>
          <w:tcPr>
            <w:tcW w:w="838" w:type="dxa"/>
          </w:tcPr>
          <w:p>
            <w:pPr>
              <w:pStyle w:val="TableParagraph"/>
              <w:spacing w:line="215" w:lineRule="exact" w:before="46"/>
              <w:ind w:right="51"/>
              <w:jc w:val="right"/>
              <w:rPr>
                <w:sz w:val="20"/>
              </w:rPr>
            </w:pPr>
            <w:r>
              <w:rPr>
                <w:spacing w:val="-4"/>
                <w:sz w:val="20"/>
              </w:rPr>
              <w:t>4,40</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z w:val="20"/>
              </w:rPr>
              <w:t>синдромом</w:t>
            </w:r>
            <w:r>
              <w:rPr>
                <w:spacing w:val="-6"/>
                <w:sz w:val="20"/>
              </w:rPr>
              <w:t> </w:t>
            </w:r>
            <w:r>
              <w:rPr>
                <w:spacing w:val="-2"/>
                <w:sz w:val="20"/>
              </w:rPr>
              <w:t>органной</w:t>
            </w:r>
          </w:p>
        </w:tc>
        <w:tc>
          <w:tcPr>
            <w:tcW w:w="4424" w:type="dxa"/>
          </w:tcPr>
          <w:p>
            <w:pPr>
              <w:pStyle w:val="TableParagraph"/>
              <w:spacing w:line="209" w:lineRule="exact"/>
              <w:ind w:left="146" w:right="245"/>
              <w:jc w:val="center"/>
              <w:rPr>
                <w:sz w:val="20"/>
              </w:rPr>
            </w:pPr>
            <w:r>
              <w:rPr>
                <w:sz w:val="20"/>
              </w:rPr>
              <w:t>J11.8,</w:t>
            </w:r>
            <w:r>
              <w:rPr>
                <w:spacing w:val="-6"/>
                <w:sz w:val="20"/>
              </w:rPr>
              <w:t> </w:t>
            </w:r>
            <w:r>
              <w:rPr>
                <w:sz w:val="20"/>
              </w:rPr>
              <w:t>J12,</w:t>
            </w:r>
            <w:r>
              <w:rPr>
                <w:spacing w:val="-6"/>
                <w:sz w:val="20"/>
              </w:rPr>
              <w:t> </w:t>
            </w:r>
            <w:r>
              <w:rPr>
                <w:sz w:val="20"/>
              </w:rPr>
              <w:t>J12.0,</w:t>
            </w:r>
            <w:r>
              <w:rPr>
                <w:spacing w:val="-5"/>
                <w:sz w:val="20"/>
              </w:rPr>
              <w:t> </w:t>
            </w:r>
            <w:r>
              <w:rPr>
                <w:sz w:val="20"/>
              </w:rPr>
              <w:t>J12.1,</w:t>
            </w:r>
            <w:r>
              <w:rPr>
                <w:spacing w:val="-4"/>
                <w:sz w:val="20"/>
              </w:rPr>
              <w:t> </w:t>
            </w:r>
            <w:r>
              <w:rPr>
                <w:sz w:val="20"/>
              </w:rPr>
              <w:t>J12.2,</w:t>
            </w:r>
            <w:r>
              <w:rPr>
                <w:spacing w:val="-5"/>
                <w:sz w:val="20"/>
              </w:rPr>
              <w:t> </w:t>
            </w:r>
            <w:r>
              <w:rPr>
                <w:sz w:val="20"/>
              </w:rPr>
              <w:t>J12.3,</w:t>
            </w:r>
            <w:r>
              <w:rPr>
                <w:spacing w:val="-6"/>
                <w:sz w:val="20"/>
              </w:rPr>
              <w:t> </w:t>
            </w:r>
            <w:r>
              <w:rPr>
                <w:sz w:val="20"/>
              </w:rPr>
              <w:t>J12.8,</w:t>
            </w:r>
            <w:r>
              <w:rPr>
                <w:spacing w:val="-5"/>
                <w:sz w:val="20"/>
              </w:rPr>
              <w:t> </w:t>
            </w:r>
            <w:r>
              <w:rPr>
                <w:spacing w:val="-2"/>
                <w:sz w:val="20"/>
              </w:rPr>
              <w:t>J12.9,</w:t>
            </w:r>
          </w:p>
        </w:tc>
        <w:tc>
          <w:tcPr>
            <w:tcW w:w="3300" w:type="dxa"/>
          </w:tcPr>
          <w:p>
            <w:pPr>
              <w:pStyle w:val="TableParagraph"/>
              <w:rPr>
                <w:sz w:val="16"/>
              </w:rPr>
            </w:pPr>
          </w:p>
        </w:tc>
        <w:tc>
          <w:tcPr>
            <w:tcW w:w="2506" w:type="dxa"/>
          </w:tcPr>
          <w:p>
            <w:pPr>
              <w:pStyle w:val="TableParagraph"/>
              <w:spacing w:line="209" w:lineRule="exact"/>
              <w:ind w:right="436"/>
              <w:jc w:val="right"/>
              <w:rPr>
                <w:sz w:val="20"/>
              </w:rPr>
            </w:pPr>
            <w:r>
              <w:rPr>
                <w:spacing w:val="-2"/>
                <w:sz w:val="20"/>
              </w:rPr>
              <w:t>классификационный</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pacing w:val="-2"/>
                <w:sz w:val="20"/>
              </w:rPr>
              <w:t>дисфункции</w:t>
            </w:r>
          </w:p>
        </w:tc>
        <w:tc>
          <w:tcPr>
            <w:tcW w:w="4424" w:type="dxa"/>
          </w:tcPr>
          <w:p>
            <w:pPr>
              <w:pStyle w:val="TableParagraph"/>
              <w:spacing w:line="209" w:lineRule="exact"/>
              <w:ind w:left="144" w:right="245"/>
              <w:jc w:val="center"/>
              <w:rPr>
                <w:sz w:val="20"/>
              </w:rPr>
            </w:pPr>
            <w:r>
              <w:rPr>
                <w:sz w:val="20"/>
              </w:rPr>
              <w:t>J13,</w:t>
            </w:r>
            <w:r>
              <w:rPr>
                <w:spacing w:val="-6"/>
                <w:sz w:val="20"/>
              </w:rPr>
              <w:t> </w:t>
            </w:r>
            <w:r>
              <w:rPr>
                <w:sz w:val="20"/>
              </w:rPr>
              <w:t>J14,</w:t>
            </w:r>
            <w:r>
              <w:rPr>
                <w:spacing w:val="-6"/>
                <w:sz w:val="20"/>
              </w:rPr>
              <w:t> </w:t>
            </w:r>
            <w:r>
              <w:rPr>
                <w:sz w:val="20"/>
              </w:rPr>
              <w:t>J15,</w:t>
            </w:r>
            <w:r>
              <w:rPr>
                <w:spacing w:val="-4"/>
                <w:sz w:val="20"/>
              </w:rPr>
              <w:t> </w:t>
            </w:r>
            <w:r>
              <w:rPr>
                <w:sz w:val="20"/>
              </w:rPr>
              <w:t>J15.0,</w:t>
            </w:r>
            <w:r>
              <w:rPr>
                <w:spacing w:val="-5"/>
                <w:sz w:val="20"/>
              </w:rPr>
              <w:t> </w:t>
            </w:r>
            <w:r>
              <w:rPr>
                <w:sz w:val="20"/>
              </w:rPr>
              <w:t>J15.1,</w:t>
            </w:r>
            <w:r>
              <w:rPr>
                <w:spacing w:val="-4"/>
                <w:sz w:val="20"/>
              </w:rPr>
              <w:t> </w:t>
            </w:r>
            <w:r>
              <w:rPr>
                <w:sz w:val="20"/>
              </w:rPr>
              <w:t>J15.2,</w:t>
            </w:r>
            <w:r>
              <w:rPr>
                <w:spacing w:val="-6"/>
                <w:sz w:val="20"/>
              </w:rPr>
              <w:t> </w:t>
            </w:r>
            <w:r>
              <w:rPr>
                <w:sz w:val="20"/>
              </w:rPr>
              <w:t>J15.3,</w:t>
            </w:r>
            <w:r>
              <w:rPr>
                <w:spacing w:val="-5"/>
                <w:sz w:val="20"/>
              </w:rPr>
              <w:t> </w:t>
            </w:r>
            <w:r>
              <w:rPr>
                <w:spacing w:val="-2"/>
                <w:sz w:val="20"/>
              </w:rPr>
              <w:t>J15.4,</w:t>
            </w:r>
          </w:p>
        </w:tc>
        <w:tc>
          <w:tcPr>
            <w:tcW w:w="3300" w:type="dxa"/>
          </w:tcPr>
          <w:p>
            <w:pPr>
              <w:pStyle w:val="TableParagraph"/>
              <w:rPr>
                <w:sz w:val="16"/>
              </w:rPr>
            </w:pPr>
          </w:p>
        </w:tc>
        <w:tc>
          <w:tcPr>
            <w:tcW w:w="2506" w:type="dxa"/>
          </w:tcPr>
          <w:p>
            <w:pPr>
              <w:pStyle w:val="TableParagraph"/>
              <w:spacing w:line="209" w:lineRule="exact"/>
              <w:ind w:left="632"/>
              <w:rPr>
                <w:sz w:val="20"/>
              </w:rPr>
            </w:pPr>
            <w:r>
              <w:rPr>
                <w:sz w:val="20"/>
              </w:rPr>
              <w:t>критерий:</w:t>
            </w:r>
            <w:r>
              <w:rPr>
                <w:spacing w:val="-13"/>
                <w:sz w:val="20"/>
              </w:rPr>
              <w:t> </w:t>
            </w:r>
            <w:r>
              <w:rPr>
                <w:spacing w:val="-5"/>
                <w:sz w:val="20"/>
              </w:rPr>
              <w:t>it1</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rPr>
                <w:sz w:val="16"/>
              </w:rPr>
            </w:pPr>
          </w:p>
        </w:tc>
        <w:tc>
          <w:tcPr>
            <w:tcW w:w="4424" w:type="dxa"/>
          </w:tcPr>
          <w:p>
            <w:pPr>
              <w:pStyle w:val="TableParagraph"/>
              <w:spacing w:line="210" w:lineRule="exact"/>
              <w:ind w:left="146" w:right="245"/>
              <w:jc w:val="center"/>
              <w:rPr>
                <w:sz w:val="20"/>
              </w:rPr>
            </w:pPr>
            <w:r>
              <w:rPr>
                <w:sz w:val="20"/>
              </w:rPr>
              <w:t>J15.5,</w:t>
            </w:r>
            <w:r>
              <w:rPr>
                <w:spacing w:val="-6"/>
                <w:sz w:val="20"/>
              </w:rPr>
              <w:t> </w:t>
            </w:r>
            <w:r>
              <w:rPr>
                <w:sz w:val="20"/>
              </w:rPr>
              <w:t>J15.6,</w:t>
            </w:r>
            <w:r>
              <w:rPr>
                <w:spacing w:val="-5"/>
                <w:sz w:val="20"/>
              </w:rPr>
              <w:t> </w:t>
            </w:r>
            <w:r>
              <w:rPr>
                <w:sz w:val="20"/>
              </w:rPr>
              <w:t>J15.7,</w:t>
            </w:r>
            <w:r>
              <w:rPr>
                <w:spacing w:val="-6"/>
                <w:sz w:val="20"/>
              </w:rPr>
              <w:t> </w:t>
            </w:r>
            <w:r>
              <w:rPr>
                <w:sz w:val="20"/>
              </w:rPr>
              <w:t>J15.8,</w:t>
            </w:r>
            <w:r>
              <w:rPr>
                <w:spacing w:val="-5"/>
                <w:sz w:val="20"/>
              </w:rPr>
              <w:t> </w:t>
            </w:r>
            <w:r>
              <w:rPr>
                <w:sz w:val="20"/>
              </w:rPr>
              <w:t>J15.9,</w:t>
            </w:r>
            <w:r>
              <w:rPr>
                <w:spacing w:val="-4"/>
                <w:sz w:val="20"/>
              </w:rPr>
              <w:t> </w:t>
            </w:r>
            <w:r>
              <w:rPr>
                <w:sz w:val="20"/>
              </w:rPr>
              <w:t>J16,</w:t>
            </w:r>
            <w:r>
              <w:rPr>
                <w:spacing w:val="-5"/>
                <w:sz w:val="20"/>
              </w:rPr>
              <w:t> </w:t>
            </w:r>
            <w:r>
              <w:rPr>
                <w:sz w:val="20"/>
              </w:rPr>
              <w:t>J16.0,</w:t>
            </w:r>
            <w:r>
              <w:rPr>
                <w:spacing w:val="-5"/>
                <w:sz w:val="20"/>
              </w:rPr>
              <w:t> </w:t>
            </w:r>
            <w:r>
              <w:rPr>
                <w:spacing w:val="-2"/>
                <w:sz w:val="20"/>
              </w:rPr>
              <w:t>J16.8,</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rPr>
                <w:sz w:val="16"/>
              </w:rPr>
            </w:pPr>
          </w:p>
        </w:tc>
        <w:tc>
          <w:tcPr>
            <w:tcW w:w="4424" w:type="dxa"/>
          </w:tcPr>
          <w:p>
            <w:pPr>
              <w:pStyle w:val="TableParagraph"/>
              <w:spacing w:line="210" w:lineRule="exact"/>
              <w:ind w:left="144" w:right="245"/>
              <w:jc w:val="center"/>
              <w:rPr>
                <w:sz w:val="20"/>
              </w:rPr>
            </w:pPr>
            <w:r>
              <w:rPr>
                <w:sz w:val="20"/>
              </w:rPr>
              <w:t>J17,</w:t>
            </w:r>
            <w:r>
              <w:rPr>
                <w:spacing w:val="-6"/>
                <w:sz w:val="20"/>
              </w:rPr>
              <w:t> </w:t>
            </w:r>
            <w:r>
              <w:rPr>
                <w:sz w:val="20"/>
              </w:rPr>
              <w:t>J17.0,</w:t>
            </w:r>
            <w:r>
              <w:rPr>
                <w:spacing w:val="-6"/>
                <w:sz w:val="20"/>
              </w:rPr>
              <w:t> </w:t>
            </w:r>
            <w:r>
              <w:rPr>
                <w:sz w:val="20"/>
              </w:rPr>
              <w:t>J17.1,</w:t>
            </w:r>
            <w:r>
              <w:rPr>
                <w:spacing w:val="-5"/>
                <w:sz w:val="20"/>
              </w:rPr>
              <w:t> </w:t>
            </w:r>
            <w:r>
              <w:rPr>
                <w:sz w:val="20"/>
              </w:rPr>
              <w:t>J17.2,</w:t>
            </w:r>
            <w:r>
              <w:rPr>
                <w:spacing w:val="-4"/>
                <w:sz w:val="20"/>
              </w:rPr>
              <w:t> </w:t>
            </w:r>
            <w:r>
              <w:rPr>
                <w:sz w:val="20"/>
              </w:rPr>
              <w:t>J17.3,</w:t>
            </w:r>
            <w:r>
              <w:rPr>
                <w:spacing w:val="-6"/>
                <w:sz w:val="20"/>
              </w:rPr>
              <w:t> </w:t>
            </w:r>
            <w:r>
              <w:rPr>
                <w:sz w:val="20"/>
              </w:rPr>
              <w:t>J17.8,</w:t>
            </w:r>
            <w:r>
              <w:rPr>
                <w:spacing w:val="-5"/>
                <w:sz w:val="20"/>
              </w:rPr>
              <w:t> </w:t>
            </w:r>
            <w:r>
              <w:rPr>
                <w:sz w:val="20"/>
              </w:rPr>
              <w:t>J18,</w:t>
            </w:r>
            <w:r>
              <w:rPr>
                <w:spacing w:val="-4"/>
                <w:sz w:val="20"/>
              </w:rPr>
              <w:t> </w:t>
            </w:r>
            <w:r>
              <w:rPr>
                <w:spacing w:val="-2"/>
                <w:sz w:val="20"/>
              </w:rPr>
              <w:t>J18.0,</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spacing w:line="226" w:lineRule="exact"/>
              <w:ind w:left="149" w:right="245"/>
              <w:jc w:val="center"/>
              <w:rPr>
                <w:sz w:val="20"/>
              </w:rPr>
            </w:pPr>
            <w:r>
              <w:rPr>
                <w:sz w:val="20"/>
              </w:rPr>
              <w:t>J18.1,</w:t>
            </w:r>
            <w:r>
              <w:rPr>
                <w:spacing w:val="-5"/>
                <w:sz w:val="20"/>
              </w:rPr>
              <w:t> </w:t>
            </w:r>
            <w:r>
              <w:rPr>
                <w:sz w:val="20"/>
              </w:rPr>
              <w:t>J18.2,</w:t>
            </w:r>
            <w:r>
              <w:rPr>
                <w:spacing w:val="-5"/>
                <w:sz w:val="20"/>
              </w:rPr>
              <w:t> </w:t>
            </w:r>
            <w:r>
              <w:rPr>
                <w:sz w:val="20"/>
              </w:rPr>
              <w:t>J18.8,</w:t>
            </w:r>
            <w:r>
              <w:rPr>
                <w:spacing w:val="-5"/>
                <w:sz w:val="20"/>
              </w:rPr>
              <w:t> </w:t>
            </w:r>
            <w:r>
              <w:rPr>
                <w:spacing w:val="-4"/>
                <w:sz w:val="20"/>
              </w:rPr>
              <w:t>J18.9</w:t>
            </w:r>
          </w:p>
        </w:tc>
        <w:tc>
          <w:tcPr>
            <w:tcW w:w="3300" w:type="dxa"/>
          </w:tcPr>
          <w:p>
            <w:pPr>
              <w:pStyle w:val="TableParagraph"/>
              <w:rPr>
                <w:sz w:val="18"/>
              </w:rPr>
            </w:pPr>
          </w:p>
        </w:tc>
        <w:tc>
          <w:tcPr>
            <w:tcW w:w="2506" w:type="dxa"/>
          </w:tcPr>
          <w:p>
            <w:pPr>
              <w:pStyle w:val="TableParagraph"/>
              <w:rPr>
                <w:sz w:val="18"/>
              </w:rPr>
            </w:pPr>
          </w:p>
        </w:tc>
        <w:tc>
          <w:tcPr>
            <w:tcW w:w="838" w:type="dxa"/>
          </w:tcPr>
          <w:p>
            <w:pPr>
              <w:pStyle w:val="TableParagraph"/>
              <w:rPr>
                <w:sz w:val="18"/>
              </w:rPr>
            </w:pPr>
          </w:p>
        </w:tc>
      </w:tr>
      <w:tr>
        <w:trPr>
          <w:trHeight w:val="274" w:hRule="atLeast"/>
        </w:trPr>
        <w:tc>
          <w:tcPr>
            <w:tcW w:w="971" w:type="dxa"/>
          </w:tcPr>
          <w:p>
            <w:pPr>
              <w:pStyle w:val="TableParagraph"/>
              <w:spacing w:line="210" w:lineRule="exact" w:before="45"/>
              <w:ind w:left="50"/>
              <w:rPr>
                <w:sz w:val="20"/>
              </w:rPr>
            </w:pPr>
            <w:r>
              <w:rPr>
                <w:spacing w:val="-2"/>
                <w:sz w:val="20"/>
              </w:rPr>
              <w:t>st12.014</w:t>
            </w:r>
          </w:p>
        </w:tc>
        <w:tc>
          <w:tcPr>
            <w:tcW w:w="657" w:type="dxa"/>
          </w:tcPr>
          <w:p>
            <w:pPr>
              <w:pStyle w:val="TableParagraph"/>
              <w:spacing w:line="210" w:lineRule="exact" w:before="45"/>
              <w:ind w:right="217"/>
              <w:jc w:val="right"/>
              <w:rPr>
                <w:sz w:val="20"/>
              </w:rPr>
            </w:pPr>
            <w:r>
              <w:rPr>
                <w:spacing w:val="-5"/>
                <w:sz w:val="20"/>
              </w:rPr>
              <w:t>71</w:t>
            </w:r>
          </w:p>
        </w:tc>
        <w:tc>
          <w:tcPr>
            <w:tcW w:w="2581" w:type="dxa"/>
          </w:tcPr>
          <w:p>
            <w:pPr>
              <w:pStyle w:val="TableParagraph"/>
              <w:spacing w:line="210" w:lineRule="exact" w:before="45"/>
              <w:ind w:left="217"/>
              <w:rPr>
                <w:sz w:val="20"/>
              </w:rPr>
            </w:pPr>
            <w:r>
              <w:rPr>
                <w:sz w:val="20"/>
              </w:rPr>
              <w:t>Клещевой</w:t>
            </w:r>
            <w:r>
              <w:rPr>
                <w:spacing w:val="-10"/>
                <w:sz w:val="20"/>
              </w:rPr>
              <w:t> </w:t>
            </w:r>
            <w:r>
              <w:rPr>
                <w:spacing w:val="-2"/>
                <w:sz w:val="20"/>
              </w:rPr>
              <w:t>энцефалит</w:t>
            </w:r>
          </w:p>
        </w:tc>
        <w:tc>
          <w:tcPr>
            <w:tcW w:w="4424" w:type="dxa"/>
          </w:tcPr>
          <w:p>
            <w:pPr>
              <w:pStyle w:val="TableParagraph"/>
              <w:spacing w:line="210" w:lineRule="exact" w:before="45"/>
              <w:ind w:left="147" w:right="245"/>
              <w:jc w:val="center"/>
              <w:rPr>
                <w:sz w:val="20"/>
              </w:rPr>
            </w:pPr>
            <w:r>
              <w:rPr>
                <w:sz w:val="20"/>
              </w:rPr>
              <w:t>A84,</w:t>
            </w:r>
            <w:r>
              <w:rPr>
                <w:spacing w:val="-6"/>
                <w:sz w:val="20"/>
              </w:rPr>
              <w:t> </w:t>
            </w:r>
            <w:r>
              <w:rPr>
                <w:sz w:val="20"/>
              </w:rPr>
              <w:t>A84.0,</w:t>
            </w:r>
            <w:r>
              <w:rPr>
                <w:spacing w:val="-5"/>
                <w:sz w:val="20"/>
              </w:rPr>
              <w:t> </w:t>
            </w:r>
            <w:r>
              <w:rPr>
                <w:sz w:val="20"/>
              </w:rPr>
              <w:t>A84.1,</w:t>
            </w:r>
            <w:r>
              <w:rPr>
                <w:spacing w:val="-5"/>
                <w:sz w:val="20"/>
              </w:rPr>
              <w:t> </w:t>
            </w:r>
            <w:r>
              <w:rPr>
                <w:sz w:val="20"/>
              </w:rPr>
              <w:t>A84.8,</w:t>
            </w:r>
            <w:r>
              <w:rPr>
                <w:spacing w:val="-6"/>
                <w:sz w:val="20"/>
              </w:rPr>
              <w:t> </w:t>
            </w:r>
            <w:r>
              <w:rPr>
                <w:spacing w:val="-2"/>
                <w:sz w:val="20"/>
              </w:rPr>
              <w:t>A84.9</w:t>
            </w:r>
          </w:p>
        </w:tc>
        <w:tc>
          <w:tcPr>
            <w:tcW w:w="3300" w:type="dxa"/>
          </w:tcPr>
          <w:p>
            <w:pPr>
              <w:pStyle w:val="TableParagraph"/>
              <w:spacing w:line="210" w:lineRule="exact" w:before="45"/>
              <w:ind w:right="57"/>
              <w:jc w:val="center"/>
              <w:rPr>
                <w:sz w:val="20"/>
              </w:rPr>
            </w:pPr>
            <w:r>
              <w:rPr>
                <w:w w:val="99"/>
                <w:sz w:val="20"/>
              </w:rPr>
              <w:t>-</w:t>
            </w:r>
          </w:p>
        </w:tc>
        <w:tc>
          <w:tcPr>
            <w:tcW w:w="2506" w:type="dxa"/>
          </w:tcPr>
          <w:p>
            <w:pPr>
              <w:pStyle w:val="TableParagraph"/>
              <w:spacing w:line="210" w:lineRule="exact" w:before="45"/>
              <w:ind w:right="130"/>
              <w:jc w:val="center"/>
              <w:rPr>
                <w:sz w:val="20"/>
              </w:rPr>
            </w:pPr>
            <w:r>
              <w:rPr>
                <w:w w:val="99"/>
                <w:sz w:val="20"/>
              </w:rPr>
              <w:t>-</w:t>
            </w:r>
          </w:p>
        </w:tc>
        <w:tc>
          <w:tcPr>
            <w:tcW w:w="838" w:type="dxa"/>
          </w:tcPr>
          <w:p>
            <w:pPr>
              <w:pStyle w:val="TableParagraph"/>
              <w:spacing w:line="210" w:lineRule="exact" w:before="45"/>
              <w:ind w:right="51"/>
              <w:jc w:val="right"/>
              <w:rPr>
                <w:sz w:val="20"/>
              </w:rPr>
            </w:pPr>
            <w:r>
              <w:rPr>
                <w:spacing w:val="-4"/>
                <w:sz w:val="20"/>
              </w:rPr>
              <w:t>2,30</w:t>
            </w:r>
          </w:p>
        </w:tc>
      </w:tr>
    </w:tbl>
    <w:p>
      <w:pPr>
        <w:spacing w:after="0" w:line="210"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11"/>
        <w:gridCol w:w="4680"/>
        <w:gridCol w:w="3212"/>
        <w:gridCol w:w="2480"/>
        <w:gridCol w:w="912"/>
      </w:tblGrid>
      <w:tr>
        <w:trPr>
          <w:trHeight w:val="734" w:hRule="atLeast"/>
        </w:trPr>
        <w:tc>
          <w:tcPr>
            <w:tcW w:w="971" w:type="dxa"/>
          </w:tcPr>
          <w:p>
            <w:pPr>
              <w:pStyle w:val="TableParagraph"/>
              <w:spacing w:line="221" w:lineRule="exact"/>
              <w:ind w:left="39" w:right="223"/>
              <w:jc w:val="center"/>
              <w:rPr>
                <w:sz w:val="20"/>
              </w:rPr>
            </w:pPr>
            <w:r>
              <w:rPr>
                <w:spacing w:val="-2"/>
                <w:sz w:val="20"/>
              </w:rPr>
              <w:t>st12.015</w:t>
            </w:r>
          </w:p>
        </w:tc>
        <w:tc>
          <w:tcPr>
            <w:tcW w:w="657" w:type="dxa"/>
          </w:tcPr>
          <w:p>
            <w:pPr>
              <w:pStyle w:val="TableParagraph"/>
              <w:spacing w:line="221" w:lineRule="exact"/>
              <w:ind w:right="217"/>
              <w:jc w:val="right"/>
              <w:rPr>
                <w:sz w:val="20"/>
              </w:rPr>
            </w:pPr>
            <w:r>
              <w:rPr>
                <w:spacing w:val="-5"/>
                <w:sz w:val="20"/>
              </w:rPr>
              <w:t>72</w:t>
            </w:r>
          </w:p>
        </w:tc>
        <w:tc>
          <w:tcPr>
            <w:tcW w:w="2411" w:type="dxa"/>
          </w:tcPr>
          <w:p>
            <w:pPr>
              <w:pStyle w:val="TableParagraph"/>
              <w:ind w:left="217" w:right="401"/>
              <w:rPr>
                <w:sz w:val="20"/>
              </w:rPr>
            </w:pPr>
            <w:r>
              <w:rPr>
                <w:spacing w:val="-2"/>
                <w:sz w:val="20"/>
              </w:rPr>
              <w:t>Коронавирусная </w:t>
            </w:r>
            <w:r>
              <w:rPr>
                <w:sz w:val="20"/>
              </w:rPr>
              <w:t>инфекция</w:t>
            </w:r>
            <w:r>
              <w:rPr>
                <w:spacing w:val="-13"/>
                <w:sz w:val="20"/>
              </w:rPr>
              <w:t> </w:t>
            </w:r>
            <w:r>
              <w:rPr>
                <w:sz w:val="20"/>
              </w:rPr>
              <w:t>COVID-19 (уровень 1)</w:t>
            </w:r>
          </w:p>
        </w:tc>
        <w:tc>
          <w:tcPr>
            <w:tcW w:w="4680" w:type="dxa"/>
          </w:tcPr>
          <w:p>
            <w:pPr>
              <w:pStyle w:val="TableParagraph"/>
              <w:spacing w:line="221" w:lineRule="exact"/>
              <w:ind w:left="1788"/>
              <w:rPr>
                <w:sz w:val="20"/>
              </w:rPr>
            </w:pPr>
            <w:r>
              <w:rPr>
                <w:sz w:val="20"/>
              </w:rPr>
              <w:t>U07.1,</w:t>
            </w:r>
            <w:r>
              <w:rPr>
                <w:spacing w:val="-3"/>
                <w:sz w:val="20"/>
              </w:rPr>
              <w:t> </w:t>
            </w:r>
            <w:r>
              <w:rPr>
                <w:spacing w:val="-2"/>
                <w:sz w:val="20"/>
              </w:rPr>
              <w:t>U07.2</w:t>
            </w:r>
          </w:p>
        </w:tc>
        <w:tc>
          <w:tcPr>
            <w:tcW w:w="3212" w:type="dxa"/>
          </w:tcPr>
          <w:p>
            <w:pPr>
              <w:pStyle w:val="TableParagraph"/>
              <w:spacing w:line="221" w:lineRule="exact"/>
              <w:ind w:left="1501"/>
              <w:rPr>
                <w:sz w:val="20"/>
              </w:rPr>
            </w:pPr>
            <w:r>
              <w:rPr>
                <w:w w:val="99"/>
                <w:sz w:val="20"/>
              </w:rPr>
              <w:t>-</w:t>
            </w:r>
          </w:p>
        </w:tc>
        <w:tc>
          <w:tcPr>
            <w:tcW w:w="2480" w:type="dxa"/>
          </w:tcPr>
          <w:p>
            <w:pPr>
              <w:pStyle w:val="TableParagraph"/>
              <w:ind w:left="310" w:right="408" w:hanging="2"/>
              <w:jc w:val="center"/>
              <w:rPr>
                <w:sz w:val="20"/>
              </w:rPr>
            </w:pPr>
            <w:r>
              <w:rPr>
                <w:spacing w:val="-4"/>
                <w:sz w:val="20"/>
              </w:rPr>
              <w:t>Иной </w:t>
            </w:r>
            <w:r>
              <w:rPr>
                <w:spacing w:val="-2"/>
                <w:sz w:val="20"/>
              </w:rPr>
              <w:t>классификационный </w:t>
            </w:r>
            <w:r>
              <w:rPr>
                <w:sz w:val="20"/>
              </w:rPr>
              <w:t>критерий: stt1</w:t>
            </w:r>
          </w:p>
        </w:tc>
        <w:tc>
          <w:tcPr>
            <w:tcW w:w="912" w:type="dxa"/>
          </w:tcPr>
          <w:p>
            <w:pPr>
              <w:pStyle w:val="TableParagraph"/>
              <w:spacing w:line="221" w:lineRule="exact"/>
              <w:ind w:right="97"/>
              <w:jc w:val="right"/>
              <w:rPr>
                <w:sz w:val="20"/>
              </w:rPr>
            </w:pPr>
            <w:r>
              <w:rPr>
                <w:spacing w:val="-4"/>
                <w:sz w:val="20"/>
              </w:rPr>
              <w:t>2,87</w:t>
            </w:r>
          </w:p>
        </w:tc>
      </w:tr>
      <w:tr>
        <w:trPr>
          <w:trHeight w:val="791" w:hRule="atLeast"/>
        </w:trPr>
        <w:tc>
          <w:tcPr>
            <w:tcW w:w="971" w:type="dxa"/>
          </w:tcPr>
          <w:p>
            <w:pPr>
              <w:pStyle w:val="TableParagraph"/>
              <w:spacing w:before="46"/>
              <w:ind w:left="39" w:right="223"/>
              <w:jc w:val="center"/>
              <w:rPr>
                <w:sz w:val="20"/>
              </w:rPr>
            </w:pPr>
            <w:r>
              <w:rPr>
                <w:spacing w:val="-2"/>
                <w:sz w:val="20"/>
              </w:rPr>
              <w:t>st12.016</w:t>
            </w:r>
          </w:p>
        </w:tc>
        <w:tc>
          <w:tcPr>
            <w:tcW w:w="657" w:type="dxa"/>
          </w:tcPr>
          <w:p>
            <w:pPr>
              <w:pStyle w:val="TableParagraph"/>
              <w:spacing w:before="46"/>
              <w:ind w:right="217"/>
              <w:jc w:val="right"/>
              <w:rPr>
                <w:sz w:val="20"/>
              </w:rPr>
            </w:pPr>
            <w:r>
              <w:rPr>
                <w:spacing w:val="-5"/>
                <w:sz w:val="20"/>
              </w:rPr>
              <w:t>73</w:t>
            </w:r>
          </w:p>
        </w:tc>
        <w:tc>
          <w:tcPr>
            <w:tcW w:w="2411" w:type="dxa"/>
          </w:tcPr>
          <w:p>
            <w:pPr>
              <w:pStyle w:val="TableParagraph"/>
              <w:spacing w:before="46"/>
              <w:ind w:left="217" w:right="401"/>
              <w:rPr>
                <w:sz w:val="20"/>
              </w:rPr>
            </w:pPr>
            <w:r>
              <w:rPr>
                <w:spacing w:val="-2"/>
                <w:sz w:val="20"/>
              </w:rPr>
              <w:t>Коронавирусная </w:t>
            </w:r>
            <w:r>
              <w:rPr>
                <w:sz w:val="20"/>
              </w:rPr>
              <w:t>инфекция</w:t>
            </w:r>
            <w:r>
              <w:rPr>
                <w:spacing w:val="-13"/>
                <w:sz w:val="20"/>
              </w:rPr>
              <w:t> </w:t>
            </w:r>
            <w:r>
              <w:rPr>
                <w:sz w:val="20"/>
              </w:rPr>
              <w:t>COVID-19 (уровень 2)</w:t>
            </w:r>
          </w:p>
        </w:tc>
        <w:tc>
          <w:tcPr>
            <w:tcW w:w="4680" w:type="dxa"/>
          </w:tcPr>
          <w:p>
            <w:pPr>
              <w:pStyle w:val="TableParagraph"/>
              <w:spacing w:before="46"/>
              <w:ind w:left="1788"/>
              <w:rPr>
                <w:sz w:val="20"/>
              </w:rPr>
            </w:pPr>
            <w:r>
              <w:rPr>
                <w:sz w:val="20"/>
              </w:rPr>
              <w:t>U07.1,</w:t>
            </w:r>
            <w:r>
              <w:rPr>
                <w:spacing w:val="-3"/>
                <w:sz w:val="20"/>
              </w:rPr>
              <w:t> </w:t>
            </w:r>
            <w:r>
              <w:rPr>
                <w:spacing w:val="-2"/>
                <w:sz w:val="20"/>
              </w:rPr>
              <w:t>U07.2</w:t>
            </w:r>
          </w:p>
        </w:tc>
        <w:tc>
          <w:tcPr>
            <w:tcW w:w="3212" w:type="dxa"/>
          </w:tcPr>
          <w:p>
            <w:pPr>
              <w:pStyle w:val="TableParagraph"/>
              <w:spacing w:before="46"/>
              <w:ind w:left="1501"/>
              <w:rPr>
                <w:sz w:val="20"/>
              </w:rPr>
            </w:pPr>
            <w:r>
              <w:rPr>
                <w:w w:val="99"/>
                <w:sz w:val="20"/>
              </w:rPr>
              <w:t>-</w:t>
            </w:r>
          </w:p>
        </w:tc>
        <w:tc>
          <w:tcPr>
            <w:tcW w:w="2480" w:type="dxa"/>
          </w:tcPr>
          <w:p>
            <w:pPr>
              <w:pStyle w:val="TableParagraph"/>
              <w:spacing w:before="46"/>
              <w:ind w:left="310" w:right="408" w:hanging="2"/>
              <w:jc w:val="center"/>
              <w:rPr>
                <w:sz w:val="20"/>
              </w:rPr>
            </w:pPr>
            <w:r>
              <w:rPr>
                <w:spacing w:val="-4"/>
                <w:sz w:val="20"/>
              </w:rPr>
              <w:t>Иной </w:t>
            </w:r>
            <w:r>
              <w:rPr>
                <w:spacing w:val="-2"/>
                <w:sz w:val="20"/>
              </w:rPr>
              <w:t>классификационный </w:t>
            </w:r>
            <w:r>
              <w:rPr>
                <w:sz w:val="20"/>
              </w:rPr>
              <w:t>критерий: stt2</w:t>
            </w:r>
          </w:p>
        </w:tc>
        <w:tc>
          <w:tcPr>
            <w:tcW w:w="912" w:type="dxa"/>
          </w:tcPr>
          <w:p>
            <w:pPr>
              <w:pStyle w:val="TableParagraph"/>
              <w:spacing w:before="46"/>
              <w:ind w:right="97"/>
              <w:jc w:val="right"/>
              <w:rPr>
                <w:sz w:val="20"/>
              </w:rPr>
            </w:pPr>
            <w:r>
              <w:rPr>
                <w:spacing w:val="-4"/>
                <w:sz w:val="20"/>
              </w:rPr>
              <w:t>4,96</w:t>
            </w:r>
          </w:p>
        </w:tc>
      </w:tr>
      <w:tr>
        <w:trPr>
          <w:trHeight w:val="789" w:hRule="atLeast"/>
        </w:trPr>
        <w:tc>
          <w:tcPr>
            <w:tcW w:w="971" w:type="dxa"/>
          </w:tcPr>
          <w:p>
            <w:pPr>
              <w:pStyle w:val="TableParagraph"/>
              <w:spacing w:before="45"/>
              <w:ind w:left="39" w:right="223"/>
              <w:jc w:val="center"/>
              <w:rPr>
                <w:sz w:val="20"/>
              </w:rPr>
            </w:pPr>
            <w:r>
              <w:rPr>
                <w:spacing w:val="-2"/>
                <w:sz w:val="20"/>
              </w:rPr>
              <w:t>st12.017</w:t>
            </w:r>
          </w:p>
        </w:tc>
        <w:tc>
          <w:tcPr>
            <w:tcW w:w="657" w:type="dxa"/>
          </w:tcPr>
          <w:p>
            <w:pPr>
              <w:pStyle w:val="TableParagraph"/>
              <w:spacing w:before="45"/>
              <w:ind w:right="217"/>
              <w:jc w:val="right"/>
              <w:rPr>
                <w:sz w:val="20"/>
              </w:rPr>
            </w:pPr>
            <w:r>
              <w:rPr>
                <w:spacing w:val="-5"/>
                <w:sz w:val="20"/>
              </w:rPr>
              <w:t>74</w:t>
            </w:r>
          </w:p>
        </w:tc>
        <w:tc>
          <w:tcPr>
            <w:tcW w:w="2411" w:type="dxa"/>
          </w:tcPr>
          <w:p>
            <w:pPr>
              <w:pStyle w:val="TableParagraph"/>
              <w:spacing w:before="45"/>
              <w:ind w:left="217" w:right="401"/>
              <w:rPr>
                <w:sz w:val="20"/>
              </w:rPr>
            </w:pPr>
            <w:r>
              <w:rPr>
                <w:spacing w:val="-2"/>
                <w:sz w:val="20"/>
              </w:rPr>
              <w:t>Коронавирусная </w:t>
            </w:r>
            <w:r>
              <w:rPr>
                <w:sz w:val="20"/>
              </w:rPr>
              <w:t>инфекция</w:t>
            </w:r>
            <w:r>
              <w:rPr>
                <w:spacing w:val="-13"/>
                <w:sz w:val="20"/>
              </w:rPr>
              <w:t> </w:t>
            </w:r>
            <w:r>
              <w:rPr>
                <w:sz w:val="20"/>
              </w:rPr>
              <w:t>COVID-19 (уровень 3)</w:t>
            </w:r>
          </w:p>
        </w:tc>
        <w:tc>
          <w:tcPr>
            <w:tcW w:w="4680" w:type="dxa"/>
          </w:tcPr>
          <w:p>
            <w:pPr>
              <w:pStyle w:val="TableParagraph"/>
              <w:spacing w:before="45"/>
              <w:ind w:left="1788"/>
              <w:rPr>
                <w:sz w:val="20"/>
              </w:rPr>
            </w:pPr>
            <w:r>
              <w:rPr>
                <w:sz w:val="20"/>
              </w:rPr>
              <w:t>U07.1,</w:t>
            </w:r>
            <w:r>
              <w:rPr>
                <w:spacing w:val="-3"/>
                <w:sz w:val="20"/>
              </w:rPr>
              <w:t> </w:t>
            </w:r>
            <w:r>
              <w:rPr>
                <w:spacing w:val="-2"/>
                <w:sz w:val="20"/>
              </w:rPr>
              <w:t>U07.2</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310" w:right="408" w:hanging="2"/>
              <w:jc w:val="center"/>
              <w:rPr>
                <w:sz w:val="20"/>
              </w:rPr>
            </w:pPr>
            <w:r>
              <w:rPr>
                <w:spacing w:val="-4"/>
                <w:sz w:val="20"/>
              </w:rPr>
              <w:t>Иной </w:t>
            </w:r>
            <w:r>
              <w:rPr>
                <w:spacing w:val="-2"/>
                <w:sz w:val="20"/>
              </w:rPr>
              <w:t>классификационный </w:t>
            </w:r>
            <w:r>
              <w:rPr>
                <w:sz w:val="20"/>
              </w:rPr>
              <w:t>критерий: stt3</w:t>
            </w:r>
          </w:p>
        </w:tc>
        <w:tc>
          <w:tcPr>
            <w:tcW w:w="912" w:type="dxa"/>
          </w:tcPr>
          <w:p>
            <w:pPr>
              <w:pStyle w:val="TableParagraph"/>
              <w:spacing w:before="45"/>
              <w:ind w:right="147"/>
              <w:jc w:val="right"/>
              <w:rPr>
                <w:sz w:val="20"/>
              </w:rPr>
            </w:pPr>
            <w:r>
              <w:rPr>
                <w:spacing w:val="-5"/>
                <w:sz w:val="20"/>
              </w:rPr>
              <w:t>7,4</w:t>
            </w:r>
          </w:p>
        </w:tc>
      </w:tr>
      <w:tr>
        <w:trPr>
          <w:trHeight w:val="789" w:hRule="atLeast"/>
        </w:trPr>
        <w:tc>
          <w:tcPr>
            <w:tcW w:w="971" w:type="dxa"/>
          </w:tcPr>
          <w:p>
            <w:pPr>
              <w:pStyle w:val="TableParagraph"/>
              <w:spacing w:before="45"/>
              <w:ind w:left="39" w:right="223"/>
              <w:jc w:val="center"/>
              <w:rPr>
                <w:sz w:val="20"/>
              </w:rPr>
            </w:pPr>
            <w:r>
              <w:rPr>
                <w:spacing w:val="-2"/>
                <w:sz w:val="20"/>
              </w:rPr>
              <w:t>st12.018</w:t>
            </w:r>
          </w:p>
        </w:tc>
        <w:tc>
          <w:tcPr>
            <w:tcW w:w="657" w:type="dxa"/>
          </w:tcPr>
          <w:p>
            <w:pPr>
              <w:pStyle w:val="TableParagraph"/>
              <w:spacing w:before="45"/>
              <w:ind w:right="217"/>
              <w:jc w:val="right"/>
              <w:rPr>
                <w:sz w:val="20"/>
              </w:rPr>
            </w:pPr>
            <w:r>
              <w:rPr>
                <w:spacing w:val="-5"/>
                <w:sz w:val="20"/>
              </w:rPr>
              <w:t>75</w:t>
            </w:r>
          </w:p>
        </w:tc>
        <w:tc>
          <w:tcPr>
            <w:tcW w:w="2411" w:type="dxa"/>
          </w:tcPr>
          <w:p>
            <w:pPr>
              <w:pStyle w:val="TableParagraph"/>
              <w:spacing w:before="45"/>
              <w:ind w:left="217" w:right="401"/>
              <w:rPr>
                <w:sz w:val="20"/>
              </w:rPr>
            </w:pPr>
            <w:r>
              <w:rPr>
                <w:spacing w:val="-2"/>
                <w:sz w:val="20"/>
              </w:rPr>
              <w:t>Коронавирусная </w:t>
            </w:r>
            <w:r>
              <w:rPr>
                <w:sz w:val="20"/>
              </w:rPr>
              <w:t>инфекция</w:t>
            </w:r>
            <w:r>
              <w:rPr>
                <w:spacing w:val="-13"/>
                <w:sz w:val="20"/>
              </w:rPr>
              <w:t> </w:t>
            </w:r>
            <w:r>
              <w:rPr>
                <w:sz w:val="20"/>
              </w:rPr>
              <w:t>COVID-19 (уровень 4)</w:t>
            </w:r>
          </w:p>
        </w:tc>
        <w:tc>
          <w:tcPr>
            <w:tcW w:w="4680" w:type="dxa"/>
          </w:tcPr>
          <w:p>
            <w:pPr>
              <w:pStyle w:val="TableParagraph"/>
              <w:spacing w:before="45"/>
              <w:ind w:left="1788"/>
              <w:rPr>
                <w:sz w:val="20"/>
              </w:rPr>
            </w:pPr>
            <w:r>
              <w:rPr>
                <w:sz w:val="20"/>
              </w:rPr>
              <w:t>U07.1,</w:t>
            </w:r>
            <w:r>
              <w:rPr>
                <w:spacing w:val="-3"/>
                <w:sz w:val="20"/>
              </w:rPr>
              <w:t> </w:t>
            </w:r>
            <w:r>
              <w:rPr>
                <w:spacing w:val="-2"/>
                <w:sz w:val="20"/>
              </w:rPr>
              <w:t>U07.2</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310" w:right="408" w:hanging="2"/>
              <w:jc w:val="center"/>
              <w:rPr>
                <w:sz w:val="20"/>
              </w:rPr>
            </w:pPr>
            <w:r>
              <w:rPr>
                <w:spacing w:val="-4"/>
                <w:sz w:val="20"/>
              </w:rPr>
              <w:t>Иной </w:t>
            </w:r>
            <w:r>
              <w:rPr>
                <w:spacing w:val="-2"/>
                <w:sz w:val="20"/>
              </w:rPr>
              <w:t>классификационный </w:t>
            </w:r>
            <w:r>
              <w:rPr>
                <w:sz w:val="20"/>
              </w:rPr>
              <w:t>критерий: stt4</w:t>
            </w:r>
          </w:p>
        </w:tc>
        <w:tc>
          <w:tcPr>
            <w:tcW w:w="912" w:type="dxa"/>
          </w:tcPr>
          <w:p>
            <w:pPr>
              <w:pStyle w:val="TableParagraph"/>
              <w:spacing w:before="45"/>
              <w:ind w:right="47"/>
              <w:jc w:val="right"/>
              <w:rPr>
                <w:sz w:val="20"/>
              </w:rPr>
            </w:pPr>
            <w:r>
              <w:rPr>
                <w:spacing w:val="-2"/>
                <w:sz w:val="20"/>
              </w:rPr>
              <w:t>12,07</w:t>
            </w:r>
          </w:p>
        </w:tc>
      </w:tr>
      <w:tr>
        <w:trPr>
          <w:trHeight w:val="790" w:hRule="atLeast"/>
        </w:trPr>
        <w:tc>
          <w:tcPr>
            <w:tcW w:w="971" w:type="dxa"/>
          </w:tcPr>
          <w:p>
            <w:pPr>
              <w:pStyle w:val="TableParagraph"/>
              <w:spacing w:before="45"/>
              <w:ind w:left="39" w:right="223"/>
              <w:jc w:val="center"/>
              <w:rPr>
                <w:sz w:val="20"/>
              </w:rPr>
            </w:pPr>
            <w:r>
              <w:rPr>
                <w:spacing w:val="-2"/>
                <w:sz w:val="20"/>
              </w:rPr>
              <w:t>st12.019</w:t>
            </w:r>
          </w:p>
        </w:tc>
        <w:tc>
          <w:tcPr>
            <w:tcW w:w="657" w:type="dxa"/>
          </w:tcPr>
          <w:p>
            <w:pPr>
              <w:pStyle w:val="TableParagraph"/>
              <w:spacing w:before="45"/>
              <w:ind w:right="217"/>
              <w:jc w:val="right"/>
              <w:rPr>
                <w:sz w:val="20"/>
              </w:rPr>
            </w:pPr>
            <w:r>
              <w:rPr>
                <w:spacing w:val="-5"/>
                <w:sz w:val="20"/>
              </w:rPr>
              <w:t>76</w:t>
            </w:r>
          </w:p>
        </w:tc>
        <w:tc>
          <w:tcPr>
            <w:tcW w:w="2411" w:type="dxa"/>
          </w:tcPr>
          <w:p>
            <w:pPr>
              <w:pStyle w:val="TableParagraph"/>
              <w:spacing w:before="45"/>
              <w:ind w:left="217" w:right="401"/>
              <w:rPr>
                <w:sz w:val="20"/>
              </w:rPr>
            </w:pPr>
            <w:r>
              <w:rPr>
                <w:spacing w:val="-2"/>
                <w:sz w:val="20"/>
              </w:rPr>
              <w:t>Коронавирусная </w:t>
            </w:r>
            <w:r>
              <w:rPr>
                <w:sz w:val="20"/>
              </w:rPr>
              <w:t>инфекция</w:t>
            </w:r>
            <w:r>
              <w:rPr>
                <w:spacing w:val="-13"/>
                <w:sz w:val="20"/>
              </w:rPr>
              <w:t> </w:t>
            </w:r>
            <w:r>
              <w:rPr>
                <w:sz w:val="20"/>
              </w:rPr>
              <w:t>COVID-19 </w:t>
            </w:r>
            <w:r>
              <w:rPr>
                <w:spacing w:val="-2"/>
                <w:sz w:val="20"/>
              </w:rPr>
              <w:t>(долечивание)</w:t>
            </w:r>
          </w:p>
        </w:tc>
        <w:tc>
          <w:tcPr>
            <w:tcW w:w="4680" w:type="dxa"/>
          </w:tcPr>
          <w:p>
            <w:pPr>
              <w:pStyle w:val="TableParagraph"/>
              <w:spacing w:before="45"/>
              <w:ind w:left="1788"/>
              <w:rPr>
                <w:sz w:val="20"/>
              </w:rPr>
            </w:pPr>
            <w:r>
              <w:rPr>
                <w:sz w:val="20"/>
              </w:rPr>
              <w:t>U07.1,</w:t>
            </w:r>
            <w:r>
              <w:rPr>
                <w:spacing w:val="-3"/>
                <w:sz w:val="20"/>
              </w:rPr>
              <w:t> </w:t>
            </w:r>
            <w:r>
              <w:rPr>
                <w:spacing w:val="-2"/>
                <w:sz w:val="20"/>
              </w:rPr>
              <w:t>U07.2</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310" w:right="408" w:hanging="2"/>
              <w:jc w:val="center"/>
              <w:rPr>
                <w:sz w:val="20"/>
              </w:rPr>
            </w:pPr>
            <w:r>
              <w:rPr>
                <w:spacing w:val="-4"/>
                <w:sz w:val="20"/>
              </w:rPr>
              <w:t>Иной </w:t>
            </w:r>
            <w:r>
              <w:rPr>
                <w:spacing w:val="-2"/>
                <w:sz w:val="20"/>
              </w:rPr>
              <w:t>классификационный </w:t>
            </w:r>
            <w:r>
              <w:rPr>
                <w:sz w:val="20"/>
              </w:rPr>
              <w:t>критерий: stt5</w:t>
            </w:r>
          </w:p>
        </w:tc>
        <w:tc>
          <w:tcPr>
            <w:tcW w:w="912" w:type="dxa"/>
          </w:tcPr>
          <w:p>
            <w:pPr>
              <w:pStyle w:val="TableParagraph"/>
              <w:spacing w:before="45"/>
              <w:ind w:right="97"/>
              <w:jc w:val="right"/>
              <w:rPr>
                <w:sz w:val="20"/>
              </w:rPr>
            </w:pPr>
            <w:r>
              <w:rPr>
                <w:spacing w:val="-4"/>
                <w:sz w:val="20"/>
              </w:rPr>
              <w:t>2,07</w:t>
            </w:r>
          </w:p>
        </w:tc>
      </w:tr>
      <w:tr>
        <w:trPr>
          <w:trHeight w:val="330" w:hRule="atLeast"/>
        </w:trPr>
        <w:tc>
          <w:tcPr>
            <w:tcW w:w="971" w:type="dxa"/>
          </w:tcPr>
          <w:p>
            <w:pPr>
              <w:pStyle w:val="TableParagraph"/>
              <w:spacing w:before="46"/>
              <w:ind w:left="37" w:right="223"/>
              <w:jc w:val="center"/>
              <w:rPr>
                <w:sz w:val="20"/>
              </w:rPr>
            </w:pPr>
            <w:r>
              <w:rPr>
                <w:spacing w:val="-4"/>
                <w:sz w:val="20"/>
              </w:rPr>
              <w:t>st13</w:t>
            </w:r>
          </w:p>
        </w:tc>
        <w:tc>
          <w:tcPr>
            <w:tcW w:w="657" w:type="dxa"/>
          </w:tcPr>
          <w:p>
            <w:pPr>
              <w:pStyle w:val="TableParagraph"/>
              <w:spacing w:before="46"/>
              <w:ind w:right="217"/>
              <w:jc w:val="right"/>
              <w:rPr>
                <w:sz w:val="20"/>
              </w:rPr>
            </w:pPr>
            <w:r>
              <w:rPr>
                <w:spacing w:val="-5"/>
                <w:sz w:val="20"/>
              </w:rPr>
              <w:t>13</w:t>
            </w:r>
          </w:p>
        </w:tc>
        <w:tc>
          <w:tcPr>
            <w:tcW w:w="2411" w:type="dxa"/>
          </w:tcPr>
          <w:p>
            <w:pPr>
              <w:pStyle w:val="TableParagraph"/>
              <w:rPr>
                <w:sz w:val="18"/>
              </w:rPr>
            </w:pPr>
          </w:p>
        </w:tc>
        <w:tc>
          <w:tcPr>
            <w:tcW w:w="4680" w:type="dxa"/>
          </w:tcPr>
          <w:p>
            <w:pPr>
              <w:pStyle w:val="TableParagraph"/>
              <w:spacing w:before="46"/>
              <w:ind w:right="164"/>
              <w:jc w:val="right"/>
              <w:rPr>
                <w:sz w:val="20"/>
              </w:rPr>
            </w:pPr>
            <w:r>
              <w:rPr>
                <w:spacing w:val="-2"/>
                <w:sz w:val="20"/>
              </w:rPr>
              <w:t>Кардиология</w:t>
            </w:r>
          </w:p>
        </w:tc>
        <w:tc>
          <w:tcPr>
            <w:tcW w:w="3212" w:type="dxa"/>
          </w:tcPr>
          <w:p>
            <w:pPr>
              <w:pStyle w:val="TableParagraph"/>
              <w:rPr>
                <w:sz w:val="18"/>
              </w:rPr>
            </w:pPr>
          </w:p>
        </w:tc>
        <w:tc>
          <w:tcPr>
            <w:tcW w:w="2480" w:type="dxa"/>
          </w:tcPr>
          <w:p>
            <w:pPr>
              <w:pStyle w:val="TableParagraph"/>
              <w:rPr>
                <w:sz w:val="18"/>
              </w:rPr>
            </w:pPr>
          </w:p>
        </w:tc>
        <w:tc>
          <w:tcPr>
            <w:tcW w:w="912" w:type="dxa"/>
          </w:tcPr>
          <w:p>
            <w:pPr>
              <w:pStyle w:val="TableParagraph"/>
              <w:spacing w:before="46"/>
              <w:ind w:right="97"/>
              <w:jc w:val="right"/>
              <w:rPr>
                <w:sz w:val="20"/>
              </w:rPr>
            </w:pPr>
            <w:r>
              <w:rPr>
                <w:spacing w:val="-4"/>
                <w:sz w:val="20"/>
              </w:rPr>
              <w:t>1,49</w:t>
            </w:r>
          </w:p>
        </w:tc>
      </w:tr>
      <w:tr>
        <w:trPr>
          <w:trHeight w:val="1020" w:hRule="atLeast"/>
        </w:trPr>
        <w:tc>
          <w:tcPr>
            <w:tcW w:w="971" w:type="dxa"/>
          </w:tcPr>
          <w:p>
            <w:pPr>
              <w:pStyle w:val="TableParagraph"/>
              <w:spacing w:before="45"/>
              <w:ind w:left="39" w:right="223"/>
              <w:jc w:val="center"/>
              <w:rPr>
                <w:sz w:val="20"/>
              </w:rPr>
            </w:pPr>
            <w:r>
              <w:rPr>
                <w:spacing w:val="-2"/>
                <w:sz w:val="20"/>
              </w:rPr>
              <w:t>st13.001</w:t>
            </w:r>
          </w:p>
        </w:tc>
        <w:tc>
          <w:tcPr>
            <w:tcW w:w="657" w:type="dxa"/>
          </w:tcPr>
          <w:p>
            <w:pPr>
              <w:pStyle w:val="TableParagraph"/>
              <w:spacing w:before="45"/>
              <w:ind w:right="217"/>
              <w:jc w:val="right"/>
              <w:rPr>
                <w:sz w:val="20"/>
              </w:rPr>
            </w:pPr>
            <w:r>
              <w:rPr>
                <w:spacing w:val="-5"/>
                <w:sz w:val="20"/>
              </w:rPr>
              <w:t>77</w:t>
            </w:r>
          </w:p>
        </w:tc>
        <w:tc>
          <w:tcPr>
            <w:tcW w:w="2411" w:type="dxa"/>
          </w:tcPr>
          <w:p>
            <w:pPr>
              <w:pStyle w:val="TableParagraph"/>
              <w:spacing w:before="45"/>
              <w:ind w:left="217" w:right="311"/>
              <w:rPr>
                <w:sz w:val="20"/>
              </w:rPr>
            </w:pPr>
            <w:r>
              <w:rPr>
                <w:spacing w:val="-2"/>
                <w:sz w:val="20"/>
              </w:rPr>
              <w:t>Нестабильная </w:t>
            </w:r>
            <w:r>
              <w:rPr>
                <w:sz w:val="20"/>
              </w:rPr>
              <w:t>стенокардия,</w:t>
            </w:r>
            <w:r>
              <w:rPr>
                <w:spacing w:val="-13"/>
                <w:sz w:val="20"/>
              </w:rPr>
              <w:t> </w:t>
            </w:r>
            <w:r>
              <w:rPr>
                <w:sz w:val="20"/>
              </w:rPr>
              <w:t>инфаркт миокарда, легочная эмболия (уровень 1)</w:t>
            </w:r>
          </w:p>
        </w:tc>
        <w:tc>
          <w:tcPr>
            <w:tcW w:w="4680" w:type="dxa"/>
          </w:tcPr>
          <w:p>
            <w:pPr>
              <w:pStyle w:val="TableParagraph"/>
              <w:spacing w:before="45"/>
              <w:ind w:left="365"/>
              <w:rPr>
                <w:sz w:val="20"/>
              </w:rPr>
            </w:pPr>
            <w:r>
              <w:rPr>
                <w:sz w:val="20"/>
              </w:rPr>
              <w:t>I20.0,</w:t>
            </w:r>
            <w:r>
              <w:rPr>
                <w:spacing w:val="-5"/>
                <w:sz w:val="20"/>
              </w:rPr>
              <w:t> </w:t>
            </w:r>
            <w:r>
              <w:rPr>
                <w:sz w:val="20"/>
              </w:rPr>
              <w:t>I21,</w:t>
            </w:r>
            <w:r>
              <w:rPr>
                <w:spacing w:val="-5"/>
                <w:sz w:val="20"/>
              </w:rPr>
              <w:t> </w:t>
            </w:r>
            <w:r>
              <w:rPr>
                <w:sz w:val="20"/>
              </w:rPr>
              <w:t>I21.0,</w:t>
            </w:r>
            <w:r>
              <w:rPr>
                <w:spacing w:val="-5"/>
                <w:sz w:val="20"/>
              </w:rPr>
              <w:t> </w:t>
            </w:r>
            <w:r>
              <w:rPr>
                <w:sz w:val="20"/>
              </w:rPr>
              <w:t>I21.1,</w:t>
            </w:r>
            <w:r>
              <w:rPr>
                <w:spacing w:val="-7"/>
                <w:sz w:val="20"/>
              </w:rPr>
              <w:t> </w:t>
            </w:r>
            <w:r>
              <w:rPr>
                <w:sz w:val="20"/>
              </w:rPr>
              <w:t>I21.2,</w:t>
            </w:r>
            <w:r>
              <w:rPr>
                <w:spacing w:val="-7"/>
                <w:sz w:val="20"/>
              </w:rPr>
              <w:t> </w:t>
            </w:r>
            <w:r>
              <w:rPr>
                <w:sz w:val="20"/>
              </w:rPr>
              <w:t>I21.3,</w:t>
            </w:r>
            <w:r>
              <w:rPr>
                <w:spacing w:val="-5"/>
                <w:sz w:val="20"/>
              </w:rPr>
              <w:t> </w:t>
            </w:r>
            <w:r>
              <w:rPr>
                <w:sz w:val="20"/>
              </w:rPr>
              <w:t>I21.4,</w:t>
            </w:r>
            <w:r>
              <w:rPr>
                <w:spacing w:val="-7"/>
                <w:sz w:val="20"/>
              </w:rPr>
              <w:t> </w:t>
            </w:r>
            <w:r>
              <w:rPr>
                <w:spacing w:val="-2"/>
                <w:sz w:val="20"/>
              </w:rPr>
              <w:t>I21.9,</w:t>
            </w:r>
          </w:p>
          <w:p>
            <w:pPr>
              <w:pStyle w:val="TableParagraph"/>
              <w:ind w:left="442"/>
              <w:rPr>
                <w:sz w:val="20"/>
              </w:rPr>
            </w:pPr>
            <w:r>
              <w:rPr>
                <w:sz w:val="20"/>
              </w:rPr>
              <w:t>I22,</w:t>
            </w:r>
            <w:r>
              <w:rPr>
                <w:spacing w:val="-5"/>
                <w:sz w:val="20"/>
              </w:rPr>
              <w:t> </w:t>
            </w:r>
            <w:r>
              <w:rPr>
                <w:sz w:val="20"/>
              </w:rPr>
              <w:t>I22.0,</w:t>
            </w:r>
            <w:r>
              <w:rPr>
                <w:spacing w:val="-4"/>
                <w:sz w:val="20"/>
              </w:rPr>
              <w:t> </w:t>
            </w:r>
            <w:r>
              <w:rPr>
                <w:sz w:val="20"/>
              </w:rPr>
              <w:t>I22.1,</w:t>
            </w:r>
            <w:r>
              <w:rPr>
                <w:spacing w:val="-4"/>
                <w:sz w:val="20"/>
              </w:rPr>
              <w:t> </w:t>
            </w:r>
            <w:r>
              <w:rPr>
                <w:sz w:val="20"/>
              </w:rPr>
              <w:t>I22.8,</w:t>
            </w:r>
            <w:r>
              <w:rPr>
                <w:spacing w:val="-6"/>
                <w:sz w:val="20"/>
              </w:rPr>
              <w:t> </w:t>
            </w:r>
            <w:r>
              <w:rPr>
                <w:sz w:val="20"/>
              </w:rPr>
              <w:t>I22.9,</w:t>
            </w:r>
            <w:r>
              <w:rPr>
                <w:spacing w:val="-7"/>
                <w:sz w:val="20"/>
              </w:rPr>
              <w:t> </w:t>
            </w:r>
            <w:r>
              <w:rPr>
                <w:sz w:val="20"/>
              </w:rPr>
              <w:t>I23,</w:t>
            </w:r>
            <w:r>
              <w:rPr>
                <w:spacing w:val="-4"/>
                <w:sz w:val="20"/>
              </w:rPr>
              <w:t> </w:t>
            </w:r>
            <w:r>
              <w:rPr>
                <w:sz w:val="20"/>
              </w:rPr>
              <w:t>I23.0,</w:t>
            </w:r>
            <w:r>
              <w:rPr>
                <w:spacing w:val="-4"/>
                <w:sz w:val="20"/>
              </w:rPr>
              <w:t> </w:t>
            </w:r>
            <w:r>
              <w:rPr>
                <w:spacing w:val="-2"/>
                <w:sz w:val="20"/>
              </w:rPr>
              <w:t>I23.1,</w:t>
            </w:r>
          </w:p>
          <w:p>
            <w:pPr>
              <w:pStyle w:val="TableParagraph"/>
              <w:spacing w:before="1"/>
              <w:ind w:left="317"/>
              <w:rPr>
                <w:sz w:val="20"/>
              </w:rPr>
            </w:pPr>
            <w:r>
              <w:rPr>
                <w:sz w:val="20"/>
              </w:rPr>
              <w:t>I23.2,</w:t>
            </w:r>
            <w:r>
              <w:rPr>
                <w:spacing w:val="-5"/>
                <w:sz w:val="20"/>
              </w:rPr>
              <w:t> </w:t>
            </w:r>
            <w:r>
              <w:rPr>
                <w:sz w:val="20"/>
              </w:rPr>
              <w:t>I23.3,</w:t>
            </w:r>
            <w:r>
              <w:rPr>
                <w:spacing w:val="-7"/>
                <w:sz w:val="20"/>
              </w:rPr>
              <w:t> </w:t>
            </w:r>
            <w:r>
              <w:rPr>
                <w:sz w:val="20"/>
              </w:rPr>
              <w:t>I23.4,</w:t>
            </w:r>
            <w:r>
              <w:rPr>
                <w:spacing w:val="-5"/>
                <w:sz w:val="20"/>
              </w:rPr>
              <w:t> </w:t>
            </w:r>
            <w:r>
              <w:rPr>
                <w:sz w:val="20"/>
              </w:rPr>
              <w:t>I23.5,</w:t>
            </w:r>
            <w:r>
              <w:rPr>
                <w:spacing w:val="-5"/>
                <w:sz w:val="20"/>
              </w:rPr>
              <w:t> </w:t>
            </w:r>
            <w:r>
              <w:rPr>
                <w:sz w:val="20"/>
              </w:rPr>
              <w:t>I23.6,</w:t>
            </w:r>
            <w:r>
              <w:rPr>
                <w:spacing w:val="-5"/>
                <w:sz w:val="20"/>
              </w:rPr>
              <w:t> </w:t>
            </w:r>
            <w:r>
              <w:rPr>
                <w:sz w:val="20"/>
              </w:rPr>
              <w:t>I23.8,</w:t>
            </w:r>
            <w:r>
              <w:rPr>
                <w:spacing w:val="-6"/>
                <w:sz w:val="20"/>
              </w:rPr>
              <w:t> </w:t>
            </w:r>
            <w:r>
              <w:rPr>
                <w:sz w:val="20"/>
              </w:rPr>
              <w:t>I26.0,</w:t>
            </w:r>
            <w:r>
              <w:rPr>
                <w:spacing w:val="-5"/>
                <w:sz w:val="20"/>
              </w:rPr>
              <w:t> </w:t>
            </w:r>
            <w:r>
              <w:rPr>
                <w:spacing w:val="-4"/>
                <w:sz w:val="20"/>
              </w:rPr>
              <w:t>I26.9</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1155"/>
              <w:rPr>
                <w:sz w:val="20"/>
              </w:rPr>
            </w:pPr>
            <w:r>
              <w:rPr>
                <w:w w:val="99"/>
                <w:sz w:val="20"/>
              </w:rPr>
              <w:t>-</w:t>
            </w:r>
          </w:p>
        </w:tc>
        <w:tc>
          <w:tcPr>
            <w:tcW w:w="912" w:type="dxa"/>
          </w:tcPr>
          <w:p>
            <w:pPr>
              <w:pStyle w:val="TableParagraph"/>
              <w:spacing w:before="45"/>
              <w:ind w:right="97"/>
              <w:jc w:val="right"/>
              <w:rPr>
                <w:sz w:val="20"/>
              </w:rPr>
            </w:pPr>
            <w:r>
              <w:rPr>
                <w:spacing w:val="-4"/>
                <w:sz w:val="20"/>
              </w:rPr>
              <w:t>1,42</w:t>
            </w:r>
          </w:p>
        </w:tc>
      </w:tr>
      <w:tr>
        <w:trPr>
          <w:trHeight w:val="1709" w:hRule="atLeast"/>
        </w:trPr>
        <w:tc>
          <w:tcPr>
            <w:tcW w:w="971" w:type="dxa"/>
          </w:tcPr>
          <w:p>
            <w:pPr>
              <w:pStyle w:val="TableParagraph"/>
              <w:spacing w:before="45"/>
              <w:ind w:left="39" w:right="223"/>
              <w:jc w:val="center"/>
              <w:rPr>
                <w:sz w:val="20"/>
              </w:rPr>
            </w:pPr>
            <w:r>
              <w:rPr>
                <w:spacing w:val="-2"/>
                <w:sz w:val="20"/>
              </w:rPr>
              <w:t>st13.002</w:t>
            </w:r>
          </w:p>
        </w:tc>
        <w:tc>
          <w:tcPr>
            <w:tcW w:w="657" w:type="dxa"/>
          </w:tcPr>
          <w:p>
            <w:pPr>
              <w:pStyle w:val="TableParagraph"/>
              <w:spacing w:before="45"/>
              <w:ind w:right="217"/>
              <w:jc w:val="right"/>
              <w:rPr>
                <w:sz w:val="20"/>
              </w:rPr>
            </w:pPr>
            <w:r>
              <w:rPr>
                <w:spacing w:val="-5"/>
                <w:sz w:val="20"/>
              </w:rPr>
              <w:t>78</w:t>
            </w:r>
          </w:p>
        </w:tc>
        <w:tc>
          <w:tcPr>
            <w:tcW w:w="2411" w:type="dxa"/>
          </w:tcPr>
          <w:p>
            <w:pPr>
              <w:pStyle w:val="TableParagraph"/>
              <w:spacing w:before="45"/>
              <w:ind w:left="217" w:right="311"/>
              <w:rPr>
                <w:sz w:val="20"/>
              </w:rPr>
            </w:pPr>
            <w:r>
              <w:rPr>
                <w:spacing w:val="-2"/>
                <w:sz w:val="20"/>
              </w:rPr>
              <w:t>Нестабильная </w:t>
            </w:r>
            <w:r>
              <w:rPr>
                <w:sz w:val="20"/>
              </w:rPr>
              <w:t>стенокардия,</w:t>
            </w:r>
            <w:r>
              <w:rPr>
                <w:spacing w:val="-13"/>
                <w:sz w:val="20"/>
              </w:rPr>
              <w:t> </w:t>
            </w:r>
            <w:r>
              <w:rPr>
                <w:sz w:val="20"/>
              </w:rPr>
              <w:t>инфаркт миокарда, легочная эмболия (уровень 2)</w:t>
            </w:r>
          </w:p>
        </w:tc>
        <w:tc>
          <w:tcPr>
            <w:tcW w:w="4680" w:type="dxa"/>
          </w:tcPr>
          <w:p>
            <w:pPr>
              <w:pStyle w:val="TableParagraph"/>
              <w:spacing w:before="45"/>
              <w:ind w:left="2111" w:right="2121"/>
              <w:jc w:val="center"/>
              <w:rPr>
                <w:sz w:val="20"/>
              </w:rPr>
            </w:pPr>
            <w:r>
              <w:rPr>
                <w:spacing w:val="-2"/>
                <w:sz w:val="20"/>
              </w:rPr>
              <w:t>I20.0</w:t>
            </w:r>
          </w:p>
        </w:tc>
        <w:tc>
          <w:tcPr>
            <w:tcW w:w="3212" w:type="dxa"/>
          </w:tcPr>
          <w:p>
            <w:pPr>
              <w:pStyle w:val="TableParagraph"/>
              <w:spacing w:before="45"/>
              <w:ind w:left="164" w:right="309"/>
              <w:jc w:val="center"/>
              <w:rPr>
                <w:sz w:val="20"/>
              </w:rPr>
            </w:pPr>
            <w:r>
              <w:rPr>
                <w:sz w:val="20"/>
              </w:rPr>
              <w:t>A06.09.005.002,</w:t>
            </w:r>
            <w:r>
              <w:rPr>
                <w:spacing w:val="-13"/>
                <w:sz w:val="20"/>
              </w:rPr>
              <w:t> </w:t>
            </w:r>
            <w:r>
              <w:rPr>
                <w:sz w:val="20"/>
              </w:rPr>
              <w:t>A06.10.006, A06.10.006.002,</w:t>
            </w:r>
            <w:r>
              <w:rPr>
                <w:spacing w:val="-13"/>
                <w:sz w:val="20"/>
              </w:rPr>
              <w:t> </w:t>
            </w:r>
            <w:r>
              <w:rPr>
                <w:sz w:val="20"/>
              </w:rPr>
              <w:t>A07.10.001, A07.10.001.001,</w:t>
            </w:r>
            <w:r>
              <w:rPr>
                <w:spacing w:val="-13"/>
                <w:sz w:val="20"/>
              </w:rPr>
              <w:t> </w:t>
            </w:r>
            <w:r>
              <w:rPr>
                <w:sz w:val="20"/>
              </w:rPr>
              <w:t>A11.10.001, A11.10.003,</w:t>
            </w:r>
            <w:r>
              <w:rPr>
                <w:spacing w:val="-13"/>
                <w:sz w:val="20"/>
              </w:rPr>
              <w:t> </w:t>
            </w:r>
            <w:r>
              <w:rPr>
                <w:sz w:val="20"/>
              </w:rPr>
              <w:t>A16.10.014.008, A16.10.014.009,</w:t>
            </w:r>
            <w:r>
              <w:rPr>
                <w:spacing w:val="-13"/>
                <w:sz w:val="20"/>
              </w:rPr>
              <w:t> </w:t>
            </w:r>
            <w:r>
              <w:rPr>
                <w:sz w:val="20"/>
              </w:rPr>
              <w:t>A17.10.001, A17.10.001.001,</w:t>
            </w:r>
            <w:r>
              <w:rPr>
                <w:spacing w:val="-13"/>
                <w:sz w:val="20"/>
              </w:rPr>
              <w:t> </w:t>
            </w:r>
            <w:r>
              <w:rPr>
                <w:sz w:val="20"/>
              </w:rPr>
              <w:t>A17.10.002, </w:t>
            </w:r>
            <w:r>
              <w:rPr>
                <w:spacing w:val="-2"/>
                <w:sz w:val="20"/>
              </w:rPr>
              <w:t>A17.10.002.001</w:t>
            </w:r>
          </w:p>
        </w:tc>
        <w:tc>
          <w:tcPr>
            <w:tcW w:w="2480" w:type="dxa"/>
          </w:tcPr>
          <w:p>
            <w:pPr>
              <w:pStyle w:val="TableParagraph"/>
              <w:spacing w:before="45"/>
              <w:ind w:left="1155"/>
              <w:rPr>
                <w:sz w:val="20"/>
              </w:rPr>
            </w:pPr>
            <w:r>
              <w:rPr>
                <w:w w:val="99"/>
                <w:sz w:val="20"/>
              </w:rPr>
              <w:t>-</w:t>
            </w:r>
          </w:p>
        </w:tc>
        <w:tc>
          <w:tcPr>
            <w:tcW w:w="912" w:type="dxa"/>
          </w:tcPr>
          <w:p>
            <w:pPr>
              <w:pStyle w:val="TableParagraph"/>
              <w:spacing w:before="45"/>
              <w:ind w:right="97"/>
              <w:jc w:val="right"/>
              <w:rPr>
                <w:sz w:val="20"/>
              </w:rPr>
            </w:pPr>
            <w:r>
              <w:rPr>
                <w:spacing w:val="-4"/>
                <w:sz w:val="20"/>
              </w:rPr>
              <w:t>2,81</w:t>
            </w:r>
          </w:p>
        </w:tc>
      </w:tr>
      <w:tr>
        <w:trPr>
          <w:trHeight w:val="1426" w:hRule="atLeast"/>
        </w:trPr>
        <w:tc>
          <w:tcPr>
            <w:tcW w:w="971" w:type="dxa"/>
          </w:tcPr>
          <w:p>
            <w:pPr>
              <w:pStyle w:val="TableParagraph"/>
              <w:rPr>
                <w:sz w:val="18"/>
              </w:rPr>
            </w:pPr>
          </w:p>
        </w:tc>
        <w:tc>
          <w:tcPr>
            <w:tcW w:w="657" w:type="dxa"/>
          </w:tcPr>
          <w:p>
            <w:pPr>
              <w:pStyle w:val="TableParagraph"/>
              <w:rPr>
                <w:sz w:val="18"/>
              </w:rPr>
            </w:pPr>
          </w:p>
        </w:tc>
        <w:tc>
          <w:tcPr>
            <w:tcW w:w="2411" w:type="dxa"/>
          </w:tcPr>
          <w:p>
            <w:pPr>
              <w:pStyle w:val="TableParagraph"/>
              <w:rPr>
                <w:sz w:val="18"/>
              </w:rPr>
            </w:pPr>
          </w:p>
        </w:tc>
        <w:tc>
          <w:tcPr>
            <w:tcW w:w="4680" w:type="dxa"/>
          </w:tcPr>
          <w:p>
            <w:pPr>
              <w:pStyle w:val="TableParagraph"/>
              <w:spacing w:before="45"/>
              <w:ind w:left="1608" w:hanging="1244"/>
              <w:rPr>
                <w:sz w:val="20"/>
              </w:rPr>
            </w:pPr>
            <w:r>
              <w:rPr>
                <w:sz w:val="20"/>
              </w:rPr>
              <w:t>I21.0,</w:t>
            </w:r>
            <w:r>
              <w:rPr>
                <w:spacing w:val="-6"/>
                <w:sz w:val="20"/>
              </w:rPr>
              <w:t> </w:t>
            </w:r>
            <w:r>
              <w:rPr>
                <w:sz w:val="20"/>
              </w:rPr>
              <w:t>I21.1,</w:t>
            </w:r>
            <w:r>
              <w:rPr>
                <w:spacing w:val="-8"/>
                <w:sz w:val="20"/>
              </w:rPr>
              <w:t> </w:t>
            </w:r>
            <w:r>
              <w:rPr>
                <w:sz w:val="20"/>
              </w:rPr>
              <w:t>I21.2,</w:t>
            </w:r>
            <w:r>
              <w:rPr>
                <w:spacing w:val="-6"/>
                <w:sz w:val="20"/>
              </w:rPr>
              <w:t> </w:t>
            </w:r>
            <w:r>
              <w:rPr>
                <w:sz w:val="20"/>
              </w:rPr>
              <w:t>I21.3,</w:t>
            </w:r>
            <w:r>
              <w:rPr>
                <w:spacing w:val="-6"/>
                <w:sz w:val="20"/>
              </w:rPr>
              <w:t> </w:t>
            </w:r>
            <w:r>
              <w:rPr>
                <w:sz w:val="20"/>
              </w:rPr>
              <w:t>I21.4,</w:t>
            </w:r>
            <w:r>
              <w:rPr>
                <w:spacing w:val="-6"/>
                <w:sz w:val="20"/>
              </w:rPr>
              <w:t> </w:t>
            </w:r>
            <w:r>
              <w:rPr>
                <w:sz w:val="20"/>
              </w:rPr>
              <w:t>I21.9,</w:t>
            </w:r>
            <w:r>
              <w:rPr>
                <w:spacing w:val="-8"/>
                <w:sz w:val="20"/>
              </w:rPr>
              <w:t> </w:t>
            </w:r>
            <w:r>
              <w:rPr>
                <w:sz w:val="20"/>
              </w:rPr>
              <w:t>I22,</w:t>
            </w:r>
            <w:r>
              <w:rPr>
                <w:spacing w:val="-8"/>
                <w:sz w:val="20"/>
              </w:rPr>
              <w:t> </w:t>
            </w:r>
            <w:r>
              <w:rPr>
                <w:sz w:val="20"/>
              </w:rPr>
              <w:t>I22.0, I22.1, I22.8, I22.9</w:t>
            </w:r>
          </w:p>
        </w:tc>
        <w:tc>
          <w:tcPr>
            <w:tcW w:w="3212" w:type="dxa"/>
          </w:tcPr>
          <w:p>
            <w:pPr>
              <w:pStyle w:val="TableParagraph"/>
              <w:spacing w:line="230" w:lineRule="atLeast" w:before="26"/>
              <w:ind w:left="164" w:right="309"/>
              <w:jc w:val="center"/>
              <w:rPr>
                <w:sz w:val="20"/>
              </w:rPr>
            </w:pPr>
            <w:r>
              <w:rPr>
                <w:sz w:val="20"/>
              </w:rPr>
              <w:t>A06.09.005.002, A06.10.006, A06.10.006.002, A07.10.001, A11.10.001, A11.10.003, A16.10.014.008,</w:t>
            </w:r>
            <w:r>
              <w:rPr>
                <w:spacing w:val="-13"/>
                <w:sz w:val="20"/>
              </w:rPr>
              <w:t> </w:t>
            </w:r>
            <w:r>
              <w:rPr>
                <w:sz w:val="20"/>
              </w:rPr>
              <w:t>A16.10.014.009, A17.10.001, A17.10.001.001, A17.10.002, A17.10.002.001</w:t>
            </w:r>
          </w:p>
        </w:tc>
        <w:tc>
          <w:tcPr>
            <w:tcW w:w="2480" w:type="dxa"/>
          </w:tcPr>
          <w:p>
            <w:pPr>
              <w:pStyle w:val="TableParagraph"/>
              <w:spacing w:before="45"/>
              <w:ind w:left="1155"/>
              <w:rPr>
                <w:sz w:val="20"/>
              </w:rPr>
            </w:pPr>
            <w:r>
              <w:rPr>
                <w:w w:val="99"/>
                <w:sz w:val="20"/>
              </w:rPr>
              <w:t>-</w:t>
            </w:r>
          </w:p>
        </w:tc>
        <w:tc>
          <w:tcPr>
            <w:tcW w:w="912"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7"/>
        <w:gridCol w:w="4442"/>
        <w:gridCol w:w="3709"/>
        <w:gridCol w:w="1661"/>
        <w:gridCol w:w="1262"/>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77" w:type="dxa"/>
            <w:vMerge w:val="restart"/>
          </w:tcPr>
          <w:p>
            <w:pPr>
              <w:pStyle w:val="TableParagraph"/>
              <w:rPr>
                <w:sz w:val="18"/>
              </w:rPr>
            </w:pPr>
          </w:p>
        </w:tc>
        <w:tc>
          <w:tcPr>
            <w:tcW w:w="4442" w:type="dxa"/>
          </w:tcPr>
          <w:p>
            <w:pPr>
              <w:pStyle w:val="TableParagraph"/>
              <w:spacing w:line="205" w:lineRule="exact"/>
              <w:ind w:left="127" w:right="240"/>
              <w:jc w:val="center"/>
              <w:rPr>
                <w:sz w:val="20"/>
              </w:rPr>
            </w:pPr>
            <w:r>
              <w:rPr>
                <w:sz w:val="20"/>
              </w:rPr>
              <w:t>I23,</w:t>
            </w:r>
            <w:r>
              <w:rPr>
                <w:spacing w:val="-5"/>
                <w:sz w:val="20"/>
              </w:rPr>
              <w:t> </w:t>
            </w:r>
            <w:r>
              <w:rPr>
                <w:sz w:val="20"/>
              </w:rPr>
              <w:t>I23.0,</w:t>
            </w:r>
            <w:r>
              <w:rPr>
                <w:spacing w:val="-5"/>
                <w:sz w:val="20"/>
              </w:rPr>
              <w:t> </w:t>
            </w:r>
            <w:r>
              <w:rPr>
                <w:sz w:val="20"/>
              </w:rPr>
              <w:t>I23.1,</w:t>
            </w:r>
            <w:r>
              <w:rPr>
                <w:spacing w:val="-5"/>
                <w:sz w:val="20"/>
              </w:rPr>
              <w:t> </w:t>
            </w:r>
            <w:r>
              <w:rPr>
                <w:sz w:val="20"/>
              </w:rPr>
              <w:t>I23.2,</w:t>
            </w:r>
            <w:r>
              <w:rPr>
                <w:spacing w:val="-6"/>
                <w:sz w:val="20"/>
              </w:rPr>
              <w:t> </w:t>
            </w:r>
            <w:r>
              <w:rPr>
                <w:sz w:val="20"/>
              </w:rPr>
              <w:t>I23.3,</w:t>
            </w:r>
            <w:r>
              <w:rPr>
                <w:spacing w:val="-6"/>
                <w:sz w:val="20"/>
              </w:rPr>
              <w:t> </w:t>
            </w:r>
            <w:r>
              <w:rPr>
                <w:sz w:val="20"/>
              </w:rPr>
              <w:t>I23.4,</w:t>
            </w:r>
            <w:r>
              <w:rPr>
                <w:spacing w:val="-5"/>
                <w:sz w:val="20"/>
              </w:rPr>
              <w:t> </w:t>
            </w:r>
            <w:r>
              <w:rPr>
                <w:sz w:val="20"/>
              </w:rPr>
              <w:t>I23.5,</w:t>
            </w:r>
            <w:r>
              <w:rPr>
                <w:spacing w:val="-7"/>
                <w:sz w:val="20"/>
              </w:rPr>
              <w:t> </w:t>
            </w:r>
            <w:r>
              <w:rPr>
                <w:spacing w:val="-2"/>
                <w:sz w:val="20"/>
              </w:rPr>
              <w:t>I23.6,</w:t>
            </w:r>
          </w:p>
        </w:tc>
        <w:tc>
          <w:tcPr>
            <w:tcW w:w="3709" w:type="dxa"/>
          </w:tcPr>
          <w:p>
            <w:pPr>
              <w:pStyle w:val="TableParagraph"/>
              <w:spacing w:line="205" w:lineRule="exact"/>
              <w:ind w:left="237" w:right="734"/>
              <w:jc w:val="center"/>
              <w:rPr>
                <w:sz w:val="20"/>
              </w:rPr>
            </w:pPr>
            <w:r>
              <w:rPr>
                <w:w w:val="95"/>
                <w:sz w:val="20"/>
              </w:rPr>
              <w:t>A06.09.005.002,</w:t>
            </w:r>
            <w:r>
              <w:rPr>
                <w:spacing w:val="54"/>
                <w:sz w:val="20"/>
              </w:rPr>
              <w:t> </w:t>
            </w:r>
            <w:r>
              <w:rPr>
                <w:spacing w:val="-2"/>
                <w:sz w:val="20"/>
              </w:rPr>
              <w:t>A06.10.006,</w:t>
            </w:r>
          </w:p>
        </w:tc>
        <w:tc>
          <w:tcPr>
            <w:tcW w:w="1661" w:type="dxa"/>
          </w:tcPr>
          <w:p>
            <w:pPr>
              <w:pStyle w:val="TableParagraph"/>
              <w:spacing w:line="205" w:lineRule="exact"/>
              <w:ind w:left="730"/>
              <w:rPr>
                <w:sz w:val="20"/>
              </w:rPr>
            </w:pPr>
            <w:r>
              <w:rPr>
                <w:w w:val="99"/>
                <w:sz w:val="20"/>
              </w:rPr>
              <w:t>-</w:t>
            </w:r>
          </w:p>
        </w:tc>
        <w:tc>
          <w:tcPr>
            <w:tcW w:w="1262"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spacing w:line="209" w:lineRule="exact"/>
              <w:ind w:left="127" w:right="231"/>
              <w:jc w:val="center"/>
              <w:rPr>
                <w:sz w:val="20"/>
              </w:rPr>
            </w:pPr>
            <w:r>
              <w:rPr>
                <w:spacing w:val="-2"/>
                <w:sz w:val="20"/>
              </w:rPr>
              <w:t>I23.8</w:t>
            </w:r>
          </w:p>
        </w:tc>
        <w:tc>
          <w:tcPr>
            <w:tcW w:w="3709" w:type="dxa"/>
          </w:tcPr>
          <w:p>
            <w:pPr>
              <w:pStyle w:val="TableParagraph"/>
              <w:spacing w:line="209" w:lineRule="exact"/>
              <w:ind w:left="237" w:right="734"/>
              <w:jc w:val="center"/>
              <w:rPr>
                <w:sz w:val="20"/>
              </w:rPr>
            </w:pPr>
            <w:r>
              <w:rPr>
                <w:w w:val="95"/>
                <w:sz w:val="20"/>
              </w:rPr>
              <w:t>A06.10.006.002,</w:t>
            </w:r>
            <w:r>
              <w:rPr>
                <w:spacing w:val="54"/>
                <w:sz w:val="20"/>
              </w:rPr>
              <w:t> </w:t>
            </w:r>
            <w:r>
              <w:rPr>
                <w:spacing w:val="-2"/>
                <w:sz w:val="20"/>
              </w:rPr>
              <w:t>A11.10.001,</w:t>
            </w:r>
          </w:p>
        </w:tc>
        <w:tc>
          <w:tcPr>
            <w:tcW w:w="1661" w:type="dxa"/>
          </w:tcPr>
          <w:p>
            <w:pPr>
              <w:pStyle w:val="TableParagraph"/>
              <w:rPr>
                <w:sz w:val="16"/>
              </w:rPr>
            </w:pPr>
          </w:p>
        </w:tc>
        <w:tc>
          <w:tcPr>
            <w:tcW w:w="1262"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09" w:lineRule="exact"/>
              <w:ind w:left="237" w:right="734"/>
              <w:jc w:val="center"/>
              <w:rPr>
                <w:sz w:val="20"/>
              </w:rPr>
            </w:pPr>
            <w:r>
              <w:rPr>
                <w:sz w:val="20"/>
              </w:rPr>
              <w:t>A11.10.003,</w:t>
            </w:r>
            <w:r>
              <w:rPr>
                <w:spacing w:val="-9"/>
                <w:sz w:val="20"/>
              </w:rPr>
              <w:t> </w:t>
            </w:r>
            <w:r>
              <w:rPr>
                <w:spacing w:val="-2"/>
                <w:sz w:val="20"/>
              </w:rPr>
              <w:t>A16.10.014.008,</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4"/>
              <w:jc w:val="center"/>
              <w:rPr>
                <w:sz w:val="20"/>
              </w:rPr>
            </w:pPr>
            <w:r>
              <w:rPr>
                <w:w w:val="95"/>
                <w:sz w:val="20"/>
              </w:rPr>
              <w:t>A16.10.014.009,</w:t>
            </w:r>
            <w:r>
              <w:rPr>
                <w:spacing w:val="54"/>
                <w:sz w:val="20"/>
              </w:rPr>
              <w:t> </w:t>
            </w:r>
            <w:r>
              <w:rPr>
                <w:spacing w:val="-2"/>
                <w:sz w:val="20"/>
              </w:rPr>
              <w:t>A17.10.001,</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4"/>
              <w:jc w:val="center"/>
              <w:rPr>
                <w:sz w:val="20"/>
              </w:rPr>
            </w:pPr>
            <w:r>
              <w:rPr>
                <w:w w:val="95"/>
                <w:sz w:val="20"/>
              </w:rPr>
              <w:t>A17.10.001.001,</w:t>
            </w:r>
            <w:r>
              <w:rPr>
                <w:spacing w:val="54"/>
                <w:sz w:val="20"/>
              </w:rPr>
              <w:t> </w:t>
            </w:r>
            <w:r>
              <w:rPr>
                <w:spacing w:val="-2"/>
                <w:sz w:val="20"/>
              </w:rPr>
              <w:t>A17.10.002,</w:t>
            </w:r>
          </w:p>
        </w:tc>
        <w:tc>
          <w:tcPr>
            <w:tcW w:w="1661" w:type="dxa"/>
          </w:tcPr>
          <w:p>
            <w:pPr>
              <w:pStyle w:val="TableParagraph"/>
              <w:rPr>
                <w:sz w:val="16"/>
              </w:rPr>
            </w:pPr>
          </w:p>
        </w:tc>
        <w:tc>
          <w:tcPr>
            <w:tcW w:w="1262"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8"/>
              </w:rPr>
            </w:pPr>
          </w:p>
        </w:tc>
        <w:tc>
          <w:tcPr>
            <w:tcW w:w="3709" w:type="dxa"/>
          </w:tcPr>
          <w:p>
            <w:pPr>
              <w:pStyle w:val="TableParagraph"/>
              <w:spacing w:line="226" w:lineRule="exact"/>
              <w:ind w:left="237" w:right="733"/>
              <w:jc w:val="center"/>
              <w:rPr>
                <w:sz w:val="20"/>
              </w:rPr>
            </w:pPr>
            <w:r>
              <w:rPr>
                <w:spacing w:val="-2"/>
                <w:sz w:val="20"/>
              </w:rPr>
              <w:t>A17.10.002.001</w:t>
            </w:r>
          </w:p>
        </w:tc>
        <w:tc>
          <w:tcPr>
            <w:tcW w:w="1661" w:type="dxa"/>
          </w:tcPr>
          <w:p>
            <w:pPr>
              <w:pStyle w:val="TableParagraph"/>
              <w:rPr>
                <w:sz w:val="18"/>
              </w:rPr>
            </w:pPr>
          </w:p>
        </w:tc>
        <w:tc>
          <w:tcPr>
            <w:tcW w:w="1262" w:type="dxa"/>
            <w:vMerge/>
            <w:tcBorders>
              <w:top w:val="nil"/>
            </w:tcBorders>
          </w:tcPr>
          <w:p>
            <w:pPr>
              <w:rPr>
                <w:sz w:val="2"/>
                <w:szCs w:val="2"/>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77" w:type="dxa"/>
            <w:vMerge w:val="restart"/>
          </w:tcPr>
          <w:p>
            <w:pPr>
              <w:pStyle w:val="TableParagraph"/>
              <w:rPr>
                <w:sz w:val="18"/>
              </w:rPr>
            </w:pPr>
          </w:p>
        </w:tc>
        <w:tc>
          <w:tcPr>
            <w:tcW w:w="4442" w:type="dxa"/>
          </w:tcPr>
          <w:p>
            <w:pPr>
              <w:pStyle w:val="TableParagraph"/>
              <w:spacing w:line="215" w:lineRule="exact" w:before="45"/>
              <w:ind w:left="127" w:right="230"/>
              <w:jc w:val="center"/>
              <w:rPr>
                <w:sz w:val="20"/>
              </w:rPr>
            </w:pPr>
            <w:r>
              <w:rPr>
                <w:sz w:val="20"/>
              </w:rPr>
              <w:t>I26.0,</w:t>
            </w:r>
            <w:r>
              <w:rPr>
                <w:spacing w:val="-5"/>
                <w:sz w:val="20"/>
              </w:rPr>
              <w:t> </w:t>
            </w:r>
            <w:r>
              <w:rPr>
                <w:spacing w:val="-2"/>
                <w:sz w:val="20"/>
              </w:rPr>
              <w:t>I26.9</w:t>
            </w:r>
          </w:p>
        </w:tc>
        <w:tc>
          <w:tcPr>
            <w:tcW w:w="3709" w:type="dxa"/>
          </w:tcPr>
          <w:p>
            <w:pPr>
              <w:pStyle w:val="TableParagraph"/>
              <w:spacing w:line="215" w:lineRule="exact" w:before="45"/>
              <w:ind w:left="237" w:right="731"/>
              <w:jc w:val="center"/>
              <w:rPr>
                <w:sz w:val="20"/>
              </w:rPr>
            </w:pPr>
            <w:r>
              <w:rPr>
                <w:sz w:val="20"/>
              </w:rPr>
              <w:t>A06.09.005.002,</w:t>
            </w:r>
            <w:r>
              <w:rPr>
                <w:spacing w:val="-10"/>
                <w:sz w:val="20"/>
              </w:rPr>
              <w:t> </w:t>
            </w:r>
            <w:r>
              <w:rPr>
                <w:spacing w:val="-2"/>
                <w:sz w:val="20"/>
              </w:rPr>
              <w:t>A06.10.006,</w:t>
            </w:r>
          </w:p>
        </w:tc>
        <w:tc>
          <w:tcPr>
            <w:tcW w:w="1661" w:type="dxa"/>
          </w:tcPr>
          <w:p>
            <w:pPr>
              <w:pStyle w:val="TableParagraph"/>
              <w:spacing w:line="215" w:lineRule="exact" w:before="45"/>
              <w:ind w:left="730"/>
              <w:rPr>
                <w:sz w:val="20"/>
              </w:rPr>
            </w:pPr>
            <w:r>
              <w:rPr>
                <w:w w:val="99"/>
                <w:sz w:val="20"/>
              </w:rPr>
              <w:t>-</w:t>
            </w:r>
          </w:p>
        </w:tc>
        <w:tc>
          <w:tcPr>
            <w:tcW w:w="1262"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1" w:lineRule="exact"/>
              <w:ind w:left="237" w:right="734"/>
              <w:jc w:val="center"/>
              <w:rPr>
                <w:sz w:val="20"/>
              </w:rPr>
            </w:pPr>
            <w:r>
              <w:rPr>
                <w:w w:val="95"/>
                <w:sz w:val="20"/>
              </w:rPr>
              <w:t>A06.10.006.002,</w:t>
            </w:r>
            <w:r>
              <w:rPr>
                <w:spacing w:val="54"/>
                <w:sz w:val="20"/>
              </w:rPr>
              <w:t> </w:t>
            </w:r>
            <w:r>
              <w:rPr>
                <w:spacing w:val="-2"/>
                <w:sz w:val="20"/>
              </w:rPr>
              <w:t>A06.12.049,</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2"/>
              <w:jc w:val="center"/>
              <w:rPr>
                <w:sz w:val="20"/>
              </w:rPr>
            </w:pPr>
            <w:r>
              <w:rPr>
                <w:sz w:val="20"/>
              </w:rPr>
              <w:t>A11.10.001,</w:t>
            </w:r>
            <w:r>
              <w:rPr>
                <w:spacing w:val="-9"/>
                <w:sz w:val="20"/>
              </w:rPr>
              <w:t> </w:t>
            </w:r>
            <w:r>
              <w:rPr>
                <w:spacing w:val="-2"/>
                <w:sz w:val="20"/>
              </w:rPr>
              <w:t>A11.10.003,</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5"/>
              <w:jc w:val="center"/>
              <w:rPr>
                <w:sz w:val="20"/>
              </w:rPr>
            </w:pPr>
            <w:r>
              <w:rPr>
                <w:w w:val="95"/>
                <w:sz w:val="20"/>
              </w:rPr>
              <w:t>A16.10.014.008,</w:t>
            </w:r>
            <w:r>
              <w:rPr>
                <w:spacing w:val="54"/>
                <w:sz w:val="20"/>
              </w:rPr>
              <w:t> </w:t>
            </w:r>
            <w:r>
              <w:rPr>
                <w:spacing w:val="-2"/>
                <w:sz w:val="20"/>
              </w:rPr>
              <w:t>A16.10.014.009,</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4"/>
              <w:jc w:val="center"/>
              <w:rPr>
                <w:sz w:val="20"/>
              </w:rPr>
            </w:pPr>
            <w:r>
              <w:rPr>
                <w:sz w:val="20"/>
              </w:rPr>
              <w:t>A17.10.001,</w:t>
            </w:r>
            <w:r>
              <w:rPr>
                <w:spacing w:val="-9"/>
                <w:sz w:val="20"/>
              </w:rPr>
              <w:t> </w:t>
            </w:r>
            <w:r>
              <w:rPr>
                <w:spacing w:val="-2"/>
                <w:sz w:val="20"/>
              </w:rPr>
              <w:t>A17.10.001.001,</w:t>
            </w:r>
          </w:p>
        </w:tc>
        <w:tc>
          <w:tcPr>
            <w:tcW w:w="1661" w:type="dxa"/>
          </w:tcPr>
          <w:p>
            <w:pPr>
              <w:pStyle w:val="TableParagraph"/>
              <w:rPr>
                <w:sz w:val="16"/>
              </w:rPr>
            </w:pPr>
          </w:p>
        </w:tc>
        <w:tc>
          <w:tcPr>
            <w:tcW w:w="1262"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8"/>
              </w:rPr>
            </w:pPr>
          </w:p>
        </w:tc>
        <w:tc>
          <w:tcPr>
            <w:tcW w:w="3709" w:type="dxa"/>
          </w:tcPr>
          <w:p>
            <w:pPr>
              <w:pStyle w:val="TableParagraph"/>
              <w:spacing w:line="226" w:lineRule="exact"/>
              <w:ind w:left="237" w:right="735"/>
              <w:jc w:val="center"/>
              <w:rPr>
                <w:sz w:val="20"/>
              </w:rPr>
            </w:pPr>
            <w:r>
              <w:rPr>
                <w:sz w:val="20"/>
              </w:rPr>
              <w:t>A17.10.002,</w:t>
            </w:r>
            <w:r>
              <w:rPr>
                <w:spacing w:val="-9"/>
                <w:sz w:val="20"/>
              </w:rPr>
              <w:t> </w:t>
            </w:r>
            <w:r>
              <w:rPr>
                <w:spacing w:val="-2"/>
                <w:sz w:val="20"/>
              </w:rPr>
              <w:t>A17.10.002.001</w:t>
            </w:r>
          </w:p>
        </w:tc>
        <w:tc>
          <w:tcPr>
            <w:tcW w:w="1661" w:type="dxa"/>
          </w:tcPr>
          <w:p>
            <w:pPr>
              <w:pStyle w:val="TableParagraph"/>
              <w:rPr>
                <w:sz w:val="18"/>
              </w:rPr>
            </w:pPr>
          </w:p>
        </w:tc>
        <w:tc>
          <w:tcPr>
            <w:tcW w:w="1262"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st13.004</w:t>
            </w:r>
          </w:p>
        </w:tc>
        <w:tc>
          <w:tcPr>
            <w:tcW w:w="657" w:type="dxa"/>
          </w:tcPr>
          <w:p>
            <w:pPr>
              <w:pStyle w:val="TableParagraph"/>
              <w:spacing w:line="215" w:lineRule="exact" w:before="45"/>
              <w:ind w:right="217"/>
              <w:jc w:val="right"/>
              <w:rPr>
                <w:sz w:val="20"/>
              </w:rPr>
            </w:pPr>
            <w:r>
              <w:rPr>
                <w:spacing w:val="-5"/>
                <w:sz w:val="20"/>
              </w:rPr>
              <w:t>79</w:t>
            </w:r>
          </w:p>
        </w:tc>
        <w:tc>
          <w:tcPr>
            <w:tcW w:w="2577" w:type="dxa"/>
          </w:tcPr>
          <w:p>
            <w:pPr>
              <w:pStyle w:val="TableParagraph"/>
              <w:spacing w:line="215" w:lineRule="exact" w:before="45"/>
              <w:ind w:left="217"/>
              <w:rPr>
                <w:sz w:val="20"/>
              </w:rPr>
            </w:pPr>
            <w:r>
              <w:rPr>
                <w:sz w:val="20"/>
              </w:rPr>
              <w:t>Нарушения</w:t>
            </w:r>
            <w:r>
              <w:rPr>
                <w:spacing w:val="-10"/>
                <w:sz w:val="20"/>
              </w:rPr>
              <w:t> </w:t>
            </w:r>
            <w:r>
              <w:rPr>
                <w:sz w:val="20"/>
              </w:rPr>
              <w:t>ритма</w:t>
            </w:r>
            <w:r>
              <w:rPr>
                <w:spacing w:val="-8"/>
                <w:sz w:val="20"/>
              </w:rPr>
              <w:t> </w:t>
            </w:r>
            <w:r>
              <w:rPr>
                <w:spacing w:val="-10"/>
                <w:sz w:val="20"/>
              </w:rPr>
              <w:t>и</w:t>
            </w:r>
          </w:p>
        </w:tc>
        <w:tc>
          <w:tcPr>
            <w:tcW w:w="4442" w:type="dxa"/>
          </w:tcPr>
          <w:p>
            <w:pPr>
              <w:pStyle w:val="TableParagraph"/>
              <w:spacing w:line="215" w:lineRule="exact" w:before="45"/>
              <w:ind w:left="127" w:right="233"/>
              <w:jc w:val="center"/>
              <w:rPr>
                <w:sz w:val="20"/>
              </w:rPr>
            </w:pPr>
            <w:r>
              <w:rPr>
                <w:sz w:val="20"/>
              </w:rPr>
              <w:t>I44,</w:t>
            </w:r>
            <w:r>
              <w:rPr>
                <w:spacing w:val="-4"/>
                <w:sz w:val="20"/>
              </w:rPr>
              <w:t> </w:t>
            </w:r>
            <w:r>
              <w:rPr>
                <w:sz w:val="20"/>
              </w:rPr>
              <w:t>I44.0,</w:t>
            </w:r>
            <w:r>
              <w:rPr>
                <w:spacing w:val="-4"/>
                <w:sz w:val="20"/>
              </w:rPr>
              <w:t> </w:t>
            </w:r>
            <w:r>
              <w:rPr>
                <w:sz w:val="20"/>
              </w:rPr>
              <w:t>I44.1,</w:t>
            </w:r>
            <w:r>
              <w:rPr>
                <w:spacing w:val="-3"/>
                <w:sz w:val="20"/>
              </w:rPr>
              <w:t> </w:t>
            </w:r>
            <w:r>
              <w:rPr>
                <w:sz w:val="20"/>
              </w:rPr>
              <w:t>I44.2,</w:t>
            </w:r>
            <w:r>
              <w:rPr>
                <w:spacing w:val="-6"/>
                <w:sz w:val="20"/>
              </w:rPr>
              <w:t> </w:t>
            </w:r>
            <w:r>
              <w:rPr>
                <w:sz w:val="20"/>
              </w:rPr>
              <w:t>I44.3,</w:t>
            </w:r>
            <w:r>
              <w:rPr>
                <w:spacing w:val="-5"/>
                <w:sz w:val="20"/>
              </w:rPr>
              <w:t> </w:t>
            </w:r>
            <w:r>
              <w:rPr>
                <w:sz w:val="20"/>
              </w:rPr>
              <w:t>I44.4,</w:t>
            </w:r>
            <w:r>
              <w:rPr>
                <w:spacing w:val="-4"/>
                <w:sz w:val="20"/>
              </w:rPr>
              <w:t> </w:t>
            </w:r>
            <w:r>
              <w:rPr>
                <w:sz w:val="20"/>
              </w:rPr>
              <w:t>I44.5,</w:t>
            </w:r>
            <w:r>
              <w:rPr>
                <w:spacing w:val="-6"/>
                <w:sz w:val="20"/>
              </w:rPr>
              <w:t> </w:t>
            </w:r>
            <w:r>
              <w:rPr>
                <w:spacing w:val="-2"/>
                <w:sz w:val="20"/>
              </w:rPr>
              <w:t>I44.6,</w:t>
            </w:r>
          </w:p>
        </w:tc>
        <w:tc>
          <w:tcPr>
            <w:tcW w:w="3709" w:type="dxa"/>
          </w:tcPr>
          <w:p>
            <w:pPr>
              <w:pStyle w:val="TableParagraph"/>
              <w:spacing w:line="215" w:lineRule="exact" w:before="45"/>
              <w:ind w:right="494"/>
              <w:jc w:val="center"/>
              <w:rPr>
                <w:sz w:val="20"/>
              </w:rPr>
            </w:pPr>
            <w:r>
              <w:rPr>
                <w:w w:val="99"/>
                <w:sz w:val="20"/>
              </w:rPr>
              <w:t>-</w:t>
            </w:r>
          </w:p>
        </w:tc>
        <w:tc>
          <w:tcPr>
            <w:tcW w:w="1661" w:type="dxa"/>
          </w:tcPr>
          <w:p>
            <w:pPr>
              <w:pStyle w:val="TableParagraph"/>
              <w:spacing w:line="215" w:lineRule="exact" w:before="45"/>
              <w:ind w:left="730"/>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1,12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0" w:lineRule="exact"/>
              <w:ind w:left="217"/>
              <w:rPr>
                <w:sz w:val="20"/>
              </w:rPr>
            </w:pPr>
            <w:r>
              <w:rPr>
                <w:sz w:val="20"/>
              </w:rPr>
              <w:t>проводимости</w:t>
            </w:r>
            <w:r>
              <w:rPr>
                <w:spacing w:val="-12"/>
                <w:sz w:val="20"/>
              </w:rPr>
              <w:t> </w:t>
            </w:r>
            <w:r>
              <w:rPr>
                <w:sz w:val="20"/>
              </w:rPr>
              <w:t>(уровень</w:t>
            </w:r>
            <w:r>
              <w:rPr>
                <w:spacing w:val="-11"/>
                <w:sz w:val="20"/>
              </w:rPr>
              <w:t> </w:t>
            </w:r>
            <w:r>
              <w:rPr>
                <w:spacing w:val="-5"/>
                <w:sz w:val="20"/>
              </w:rPr>
              <w:t>1)</w:t>
            </w:r>
          </w:p>
        </w:tc>
        <w:tc>
          <w:tcPr>
            <w:tcW w:w="4442" w:type="dxa"/>
          </w:tcPr>
          <w:p>
            <w:pPr>
              <w:pStyle w:val="TableParagraph"/>
              <w:spacing w:line="210" w:lineRule="exact"/>
              <w:ind w:left="127" w:right="240"/>
              <w:jc w:val="center"/>
              <w:rPr>
                <w:sz w:val="20"/>
              </w:rPr>
            </w:pPr>
            <w:r>
              <w:rPr>
                <w:sz w:val="20"/>
              </w:rPr>
              <w:t>I44.7,</w:t>
            </w:r>
            <w:r>
              <w:rPr>
                <w:spacing w:val="-5"/>
                <w:sz w:val="20"/>
              </w:rPr>
              <w:t> </w:t>
            </w:r>
            <w:r>
              <w:rPr>
                <w:sz w:val="20"/>
              </w:rPr>
              <w:t>I45,</w:t>
            </w:r>
            <w:r>
              <w:rPr>
                <w:spacing w:val="-5"/>
                <w:sz w:val="20"/>
              </w:rPr>
              <w:t> </w:t>
            </w:r>
            <w:r>
              <w:rPr>
                <w:sz w:val="20"/>
              </w:rPr>
              <w:t>I45.0,</w:t>
            </w:r>
            <w:r>
              <w:rPr>
                <w:spacing w:val="-5"/>
                <w:sz w:val="20"/>
              </w:rPr>
              <w:t> </w:t>
            </w:r>
            <w:r>
              <w:rPr>
                <w:sz w:val="20"/>
              </w:rPr>
              <w:t>I45.1,</w:t>
            </w:r>
            <w:r>
              <w:rPr>
                <w:spacing w:val="-7"/>
                <w:sz w:val="20"/>
              </w:rPr>
              <w:t> </w:t>
            </w:r>
            <w:r>
              <w:rPr>
                <w:sz w:val="20"/>
              </w:rPr>
              <w:t>I45.2,</w:t>
            </w:r>
            <w:r>
              <w:rPr>
                <w:spacing w:val="-7"/>
                <w:sz w:val="20"/>
              </w:rPr>
              <w:t> </w:t>
            </w:r>
            <w:r>
              <w:rPr>
                <w:sz w:val="20"/>
              </w:rPr>
              <w:t>I45.3,</w:t>
            </w:r>
            <w:r>
              <w:rPr>
                <w:spacing w:val="-5"/>
                <w:sz w:val="20"/>
              </w:rPr>
              <w:t> </w:t>
            </w:r>
            <w:r>
              <w:rPr>
                <w:sz w:val="20"/>
              </w:rPr>
              <w:t>I45.4,</w:t>
            </w:r>
            <w:r>
              <w:rPr>
                <w:spacing w:val="-7"/>
                <w:sz w:val="20"/>
              </w:rPr>
              <w:t> </w:t>
            </w:r>
            <w:r>
              <w:rPr>
                <w:spacing w:val="-2"/>
                <w:sz w:val="20"/>
              </w:rPr>
              <w:t>I45.5,</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10" w:lineRule="exact"/>
              <w:ind w:left="127" w:right="240"/>
              <w:jc w:val="center"/>
              <w:rPr>
                <w:sz w:val="20"/>
              </w:rPr>
            </w:pPr>
            <w:r>
              <w:rPr>
                <w:sz w:val="20"/>
              </w:rPr>
              <w:t>I45.6,</w:t>
            </w:r>
            <w:r>
              <w:rPr>
                <w:spacing w:val="-5"/>
                <w:sz w:val="20"/>
              </w:rPr>
              <w:t> </w:t>
            </w:r>
            <w:r>
              <w:rPr>
                <w:sz w:val="20"/>
              </w:rPr>
              <w:t>I45.8,</w:t>
            </w:r>
            <w:r>
              <w:rPr>
                <w:spacing w:val="-6"/>
                <w:sz w:val="20"/>
              </w:rPr>
              <w:t> </w:t>
            </w:r>
            <w:r>
              <w:rPr>
                <w:sz w:val="20"/>
              </w:rPr>
              <w:t>I45.9,</w:t>
            </w:r>
            <w:r>
              <w:rPr>
                <w:spacing w:val="-5"/>
                <w:sz w:val="20"/>
              </w:rPr>
              <w:t> </w:t>
            </w:r>
            <w:r>
              <w:rPr>
                <w:sz w:val="20"/>
              </w:rPr>
              <w:t>I47,</w:t>
            </w:r>
            <w:r>
              <w:rPr>
                <w:spacing w:val="-6"/>
                <w:sz w:val="20"/>
              </w:rPr>
              <w:t> </w:t>
            </w:r>
            <w:r>
              <w:rPr>
                <w:sz w:val="20"/>
              </w:rPr>
              <w:t>I47.0,</w:t>
            </w:r>
            <w:r>
              <w:rPr>
                <w:spacing w:val="-7"/>
                <w:sz w:val="20"/>
              </w:rPr>
              <w:t> </w:t>
            </w:r>
            <w:r>
              <w:rPr>
                <w:sz w:val="20"/>
              </w:rPr>
              <w:t>I47.1,</w:t>
            </w:r>
            <w:r>
              <w:rPr>
                <w:spacing w:val="-4"/>
                <w:sz w:val="20"/>
              </w:rPr>
              <w:t> </w:t>
            </w:r>
            <w:r>
              <w:rPr>
                <w:sz w:val="20"/>
              </w:rPr>
              <w:t>I47.2,</w:t>
            </w:r>
            <w:r>
              <w:rPr>
                <w:spacing w:val="-7"/>
                <w:sz w:val="20"/>
              </w:rPr>
              <w:t> </w:t>
            </w:r>
            <w:r>
              <w:rPr>
                <w:spacing w:val="-2"/>
                <w:sz w:val="20"/>
              </w:rPr>
              <w:t>I47.9,</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38"/>
              <w:jc w:val="center"/>
              <w:rPr>
                <w:sz w:val="20"/>
              </w:rPr>
            </w:pPr>
            <w:r>
              <w:rPr>
                <w:sz w:val="20"/>
              </w:rPr>
              <w:t>I48,</w:t>
            </w:r>
            <w:r>
              <w:rPr>
                <w:spacing w:val="-5"/>
                <w:sz w:val="20"/>
              </w:rPr>
              <w:t> </w:t>
            </w:r>
            <w:r>
              <w:rPr>
                <w:sz w:val="20"/>
              </w:rPr>
              <w:t>I48.0,</w:t>
            </w:r>
            <w:r>
              <w:rPr>
                <w:spacing w:val="-5"/>
                <w:sz w:val="20"/>
              </w:rPr>
              <w:t> </w:t>
            </w:r>
            <w:r>
              <w:rPr>
                <w:sz w:val="20"/>
              </w:rPr>
              <w:t>I48.1,</w:t>
            </w:r>
            <w:r>
              <w:rPr>
                <w:spacing w:val="-5"/>
                <w:sz w:val="20"/>
              </w:rPr>
              <w:t> </w:t>
            </w:r>
            <w:r>
              <w:rPr>
                <w:sz w:val="20"/>
              </w:rPr>
              <w:t>I48.2,</w:t>
            </w:r>
            <w:r>
              <w:rPr>
                <w:spacing w:val="-6"/>
                <w:sz w:val="20"/>
              </w:rPr>
              <w:t> </w:t>
            </w:r>
            <w:r>
              <w:rPr>
                <w:sz w:val="20"/>
              </w:rPr>
              <w:t>I48.3,</w:t>
            </w:r>
            <w:r>
              <w:rPr>
                <w:spacing w:val="-6"/>
                <w:sz w:val="20"/>
              </w:rPr>
              <w:t> </w:t>
            </w:r>
            <w:r>
              <w:rPr>
                <w:sz w:val="20"/>
              </w:rPr>
              <w:t>I48.4,</w:t>
            </w:r>
            <w:r>
              <w:rPr>
                <w:spacing w:val="-5"/>
                <w:sz w:val="20"/>
              </w:rPr>
              <w:t> </w:t>
            </w:r>
            <w:r>
              <w:rPr>
                <w:sz w:val="20"/>
              </w:rPr>
              <w:t>I48.9,</w:t>
            </w:r>
            <w:r>
              <w:rPr>
                <w:spacing w:val="-7"/>
                <w:sz w:val="20"/>
              </w:rPr>
              <w:t> </w:t>
            </w:r>
            <w:r>
              <w:rPr>
                <w:spacing w:val="-4"/>
                <w:sz w:val="20"/>
              </w:rPr>
              <w:t>I49,</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41"/>
              <w:jc w:val="center"/>
              <w:rPr>
                <w:sz w:val="20"/>
              </w:rPr>
            </w:pPr>
            <w:r>
              <w:rPr>
                <w:sz w:val="20"/>
              </w:rPr>
              <w:t>I49.0,</w:t>
            </w:r>
            <w:r>
              <w:rPr>
                <w:spacing w:val="-5"/>
                <w:sz w:val="20"/>
              </w:rPr>
              <w:t> </w:t>
            </w:r>
            <w:r>
              <w:rPr>
                <w:sz w:val="20"/>
              </w:rPr>
              <w:t>I49.1,</w:t>
            </w:r>
            <w:r>
              <w:rPr>
                <w:spacing w:val="-7"/>
                <w:sz w:val="20"/>
              </w:rPr>
              <w:t> </w:t>
            </w:r>
            <w:r>
              <w:rPr>
                <w:sz w:val="20"/>
              </w:rPr>
              <w:t>I49.2,</w:t>
            </w:r>
            <w:r>
              <w:rPr>
                <w:spacing w:val="-5"/>
                <w:sz w:val="20"/>
              </w:rPr>
              <w:t> </w:t>
            </w:r>
            <w:r>
              <w:rPr>
                <w:sz w:val="20"/>
              </w:rPr>
              <w:t>I49.3,</w:t>
            </w:r>
            <w:r>
              <w:rPr>
                <w:spacing w:val="-5"/>
                <w:sz w:val="20"/>
              </w:rPr>
              <w:t> </w:t>
            </w:r>
            <w:r>
              <w:rPr>
                <w:sz w:val="20"/>
              </w:rPr>
              <w:t>I49.4,</w:t>
            </w:r>
            <w:r>
              <w:rPr>
                <w:spacing w:val="-5"/>
                <w:sz w:val="20"/>
              </w:rPr>
              <w:t> </w:t>
            </w:r>
            <w:r>
              <w:rPr>
                <w:sz w:val="20"/>
              </w:rPr>
              <w:t>I49.5,</w:t>
            </w:r>
            <w:r>
              <w:rPr>
                <w:spacing w:val="-6"/>
                <w:sz w:val="20"/>
              </w:rPr>
              <w:t> </w:t>
            </w:r>
            <w:r>
              <w:rPr>
                <w:sz w:val="20"/>
              </w:rPr>
              <w:t>I49.8,</w:t>
            </w:r>
            <w:r>
              <w:rPr>
                <w:spacing w:val="-5"/>
                <w:sz w:val="20"/>
              </w:rPr>
              <w:t> </w:t>
            </w:r>
            <w:r>
              <w:rPr>
                <w:spacing w:val="-2"/>
                <w:sz w:val="20"/>
              </w:rPr>
              <w:t>I49.9,</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77" w:type="dxa"/>
          </w:tcPr>
          <w:p>
            <w:pPr>
              <w:pStyle w:val="TableParagraph"/>
              <w:rPr>
                <w:sz w:val="18"/>
              </w:rPr>
            </w:pPr>
          </w:p>
        </w:tc>
        <w:tc>
          <w:tcPr>
            <w:tcW w:w="4442" w:type="dxa"/>
          </w:tcPr>
          <w:p>
            <w:pPr>
              <w:pStyle w:val="TableParagraph"/>
              <w:spacing w:line="226" w:lineRule="exact"/>
              <w:ind w:left="127" w:right="228"/>
              <w:jc w:val="center"/>
              <w:rPr>
                <w:sz w:val="20"/>
              </w:rPr>
            </w:pPr>
            <w:r>
              <w:rPr>
                <w:sz w:val="20"/>
              </w:rPr>
              <w:t>Q24.6,</w:t>
            </w:r>
            <w:r>
              <w:rPr>
                <w:spacing w:val="-4"/>
                <w:sz w:val="20"/>
              </w:rPr>
              <w:t> </w:t>
            </w:r>
            <w:r>
              <w:rPr>
                <w:sz w:val="20"/>
              </w:rPr>
              <w:t>R00,</w:t>
            </w:r>
            <w:r>
              <w:rPr>
                <w:spacing w:val="-3"/>
                <w:sz w:val="20"/>
              </w:rPr>
              <w:t> </w:t>
            </w:r>
            <w:r>
              <w:rPr>
                <w:sz w:val="20"/>
              </w:rPr>
              <w:t>R00.0,</w:t>
            </w:r>
            <w:r>
              <w:rPr>
                <w:spacing w:val="-6"/>
                <w:sz w:val="20"/>
              </w:rPr>
              <w:t> </w:t>
            </w:r>
            <w:r>
              <w:rPr>
                <w:sz w:val="20"/>
              </w:rPr>
              <w:t>R00.1,</w:t>
            </w:r>
            <w:r>
              <w:rPr>
                <w:spacing w:val="-3"/>
                <w:sz w:val="20"/>
              </w:rPr>
              <w:t> </w:t>
            </w:r>
            <w:r>
              <w:rPr>
                <w:sz w:val="20"/>
              </w:rPr>
              <w:t>R00.2,</w:t>
            </w:r>
            <w:r>
              <w:rPr>
                <w:spacing w:val="-4"/>
                <w:sz w:val="20"/>
              </w:rPr>
              <w:t> R00.8</w:t>
            </w:r>
          </w:p>
        </w:tc>
        <w:tc>
          <w:tcPr>
            <w:tcW w:w="3709" w:type="dxa"/>
          </w:tcPr>
          <w:p>
            <w:pPr>
              <w:pStyle w:val="TableParagraph"/>
              <w:rPr>
                <w:sz w:val="18"/>
              </w:rPr>
            </w:pPr>
          </w:p>
        </w:tc>
        <w:tc>
          <w:tcPr>
            <w:tcW w:w="1661" w:type="dxa"/>
          </w:tcPr>
          <w:p>
            <w:pPr>
              <w:pStyle w:val="TableParagraph"/>
              <w:rPr>
                <w:sz w:val="18"/>
              </w:rPr>
            </w:pPr>
          </w:p>
        </w:tc>
        <w:tc>
          <w:tcPr>
            <w:tcW w:w="1262"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st13.005</w:t>
            </w:r>
          </w:p>
        </w:tc>
        <w:tc>
          <w:tcPr>
            <w:tcW w:w="657" w:type="dxa"/>
          </w:tcPr>
          <w:p>
            <w:pPr>
              <w:pStyle w:val="TableParagraph"/>
              <w:spacing w:line="215" w:lineRule="exact" w:before="46"/>
              <w:ind w:right="217"/>
              <w:jc w:val="right"/>
              <w:rPr>
                <w:sz w:val="20"/>
              </w:rPr>
            </w:pPr>
            <w:r>
              <w:rPr>
                <w:spacing w:val="-5"/>
                <w:sz w:val="20"/>
              </w:rPr>
              <w:t>80</w:t>
            </w:r>
          </w:p>
        </w:tc>
        <w:tc>
          <w:tcPr>
            <w:tcW w:w="2577" w:type="dxa"/>
          </w:tcPr>
          <w:p>
            <w:pPr>
              <w:pStyle w:val="TableParagraph"/>
              <w:spacing w:line="215" w:lineRule="exact" w:before="46"/>
              <w:ind w:left="217"/>
              <w:rPr>
                <w:sz w:val="20"/>
              </w:rPr>
            </w:pPr>
            <w:r>
              <w:rPr>
                <w:sz w:val="20"/>
              </w:rPr>
              <w:t>Нарушения</w:t>
            </w:r>
            <w:r>
              <w:rPr>
                <w:spacing w:val="-10"/>
                <w:sz w:val="20"/>
              </w:rPr>
              <w:t> </w:t>
            </w:r>
            <w:r>
              <w:rPr>
                <w:sz w:val="20"/>
              </w:rPr>
              <w:t>ритма</w:t>
            </w:r>
            <w:r>
              <w:rPr>
                <w:spacing w:val="-8"/>
                <w:sz w:val="20"/>
              </w:rPr>
              <w:t> </w:t>
            </w:r>
            <w:r>
              <w:rPr>
                <w:spacing w:val="-10"/>
                <w:sz w:val="20"/>
              </w:rPr>
              <w:t>и</w:t>
            </w:r>
          </w:p>
        </w:tc>
        <w:tc>
          <w:tcPr>
            <w:tcW w:w="4442" w:type="dxa"/>
          </w:tcPr>
          <w:p>
            <w:pPr>
              <w:pStyle w:val="TableParagraph"/>
              <w:spacing w:line="215" w:lineRule="exact" w:before="46"/>
              <w:ind w:left="127" w:right="240"/>
              <w:jc w:val="center"/>
              <w:rPr>
                <w:sz w:val="20"/>
              </w:rPr>
            </w:pPr>
            <w:r>
              <w:rPr>
                <w:sz w:val="20"/>
              </w:rPr>
              <w:t>I44,</w:t>
            </w:r>
            <w:r>
              <w:rPr>
                <w:spacing w:val="-5"/>
                <w:sz w:val="20"/>
              </w:rPr>
              <w:t> </w:t>
            </w:r>
            <w:r>
              <w:rPr>
                <w:sz w:val="20"/>
              </w:rPr>
              <w:t>I44.0,</w:t>
            </w:r>
            <w:r>
              <w:rPr>
                <w:spacing w:val="-5"/>
                <w:sz w:val="20"/>
              </w:rPr>
              <w:t> </w:t>
            </w:r>
            <w:r>
              <w:rPr>
                <w:sz w:val="20"/>
              </w:rPr>
              <w:t>I44.1,</w:t>
            </w:r>
            <w:r>
              <w:rPr>
                <w:spacing w:val="-5"/>
                <w:sz w:val="20"/>
              </w:rPr>
              <w:t> </w:t>
            </w:r>
            <w:r>
              <w:rPr>
                <w:sz w:val="20"/>
              </w:rPr>
              <w:t>I44.2,</w:t>
            </w:r>
            <w:r>
              <w:rPr>
                <w:spacing w:val="-6"/>
                <w:sz w:val="20"/>
              </w:rPr>
              <w:t> </w:t>
            </w:r>
            <w:r>
              <w:rPr>
                <w:sz w:val="20"/>
              </w:rPr>
              <w:t>I44.3,</w:t>
            </w:r>
            <w:r>
              <w:rPr>
                <w:spacing w:val="-6"/>
                <w:sz w:val="20"/>
              </w:rPr>
              <w:t> </w:t>
            </w:r>
            <w:r>
              <w:rPr>
                <w:sz w:val="20"/>
              </w:rPr>
              <w:t>I44.4,</w:t>
            </w:r>
            <w:r>
              <w:rPr>
                <w:spacing w:val="-5"/>
                <w:sz w:val="20"/>
              </w:rPr>
              <w:t> </w:t>
            </w:r>
            <w:r>
              <w:rPr>
                <w:sz w:val="20"/>
              </w:rPr>
              <w:t>I44.5,</w:t>
            </w:r>
            <w:r>
              <w:rPr>
                <w:spacing w:val="-7"/>
                <w:sz w:val="20"/>
              </w:rPr>
              <w:t> </w:t>
            </w:r>
            <w:r>
              <w:rPr>
                <w:spacing w:val="-2"/>
                <w:sz w:val="20"/>
              </w:rPr>
              <w:t>I44.6,</w:t>
            </w:r>
          </w:p>
        </w:tc>
        <w:tc>
          <w:tcPr>
            <w:tcW w:w="3709" w:type="dxa"/>
          </w:tcPr>
          <w:p>
            <w:pPr>
              <w:pStyle w:val="TableParagraph"/>
              <w:spacing w:line="215" w:lineRule="exact" w:before="46"/>
              <w:ind w:left="237" w:right="734"/>
              <w:jc w:val="center"/>
              <w:rPr>
                <w:sz w:val="20"/>
              </w:rPr>
            </w:pPr>
            <w:r>
              <w:rPr>
                <w:w w:val="95"/>
                <w:sz w:val="20"/>
              </w:rPr>
              <w:t>A06.09.005.002,</w:t>
            </w:r>
            <w:r>
              <w:rPr>
                <w:spacing w:val="54"/>
                <w:sz w:val="20"/>
              </w:rPr>
              <w:t> </w:t>
            </w:r>
            <w:r>
              <w:rPr>
                <w:spacing w:val="-2"/>
                <w:sz w:val="20"/>
              </w:rPr>
              <w:t>A06.10.006,</w:t>
            </w:r>
          </w:p>
        </w:tc>
        <w:tc>
          <w:tcPr>
            <w:tcW w:w="1661" w:type="dxa"/>
          </w:tcPr>
          <w:p>
            <w:pPr>
              <w:pStyle w:val="TableParagraph"/>
              <w:spacing w:line="215" w:lineRule="exact" w:before="46"/>
              <w:ind w:left="730"/>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2,01</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09" w:lineRule="exact"/>
              <w:ind w:left="217"/>
              <w:rPr>
                <w:sz w:val="20"/>
              </w:rPr>
            </w:pPr>
            <w:r>
              <w:rPr>
                <w:sz w:val="20"/>
              </w:rPr>
              <w:t>проводимости</w:t>
            </w:r>
            <w:r>
              <w:rPr>
                <w:spacing w:val="-12"/>
                <w:sz w:val="20"/>
              </w:rPr>
              <w:t> </w:t>
            </w:r>
            <w:r>
              <w:rPr>
                <w:sz w:val="20"/>
              </w:rPr>
              <w:t>(уровень</w:t>
            </w:r>
            <w:r>
              <w:rPr>
                <w:spacing w:val="-11"/>
                <w:sz w:val="20"/>
              </w:rPr>
              <w:t> </w:t>
            </w:r>
            <w:r>
              <w:rPr>
                <w:spacing w:val="-5"/>
                <w:sz w:val="20"/>
              </w:rPr>
              <w:t>2)</w:t>
            </w:r>
          </w:p>
        </w:tc>
        <w:tc>
          <w:tcPr>
            <w:tcW w:w="4442" w:type="dxa"/>
          </w:tcPr>
          <w:p>
            <w:pPr>
              <w:pStyle w:val="TableParagraph"/>
              <w:spacing w:line="209" w:lineRule="exact"/>
              <w:ind w:left="127" w:right="240"/>
              <w:jc w:val="center"/>
              <w:rPr>
                <w:sz w:val="20"/>
              </w:rPr>
            </w:pPr>
            <w:r>
              <w:rPr>
                <w:sz w:val="20"/>
              </w:rPr>
              <w:t>I44.7,</w:t>
            </w:r>
            <w:r>
              <w:rPr>
                <w:spacing w:val="-5"/>
                <w:sz w:val="20"/>
              </w:rPr>
              <w:t> </w:t>
            </w:r>
            <w:r>
              <w:rPr>
                <w:sz w:val="20"/>
              </w:rPr>
              <w:t>I45,</w:t>
            </w:r>
            <w:r>
              <w:rPr>
                <w:spacing w:val="-5"/>
                <w:sz w:val="20"/>
              </w:rPr>
              <w:t> </w:t>
            </w:r>
            <w:r>
              <w:rPr>
                <w:sz w:val="20"/>
              </w:rPr>
              <w:t>I45.0,</w:t>
            </w:r>
            <w:r>
              <w:rPr>
                <w:spacing w:val="-5"/>
                <w:sz w:val="20"/>
              </w:rPr>
              <w:t> </w:t>
            </w:r>
            <w:r>
              <w:rPr>
                <w:sz w:val="20"/>
              </w:rPr>
              <w:t>I45.1,</w:t>
            </w:r>
            <w:r>
              <w:rPr>
                <w:spacing w:val="-7"/>
                <w:sz w:val="20"/>
              </w:rPr>
              <w:t> </w:t>
            </w:r>
            <w:r>
              <w:rPr>
                <w:sz w:val="20"/>
              </w:rPr>
              <w:t>I45.2,</w:t>
            </w:r>
            <w:r>
              <w:rPr>
                <w:spacing w:val="-7"/>
                <w:sz w:val="20"/>
              </w:rPr>
              <w:t> </w:t>
            </w:r>
            <w:r>
              <w:rPr>
                <w:sz w:val="20"/>
              </w:rPr>
              <w:t>I45.3,</w:t>
            </w:r>
            <w:r>
              <w:rPr>
                <w:spacing w:val="-5"/>
                <w:sz w:val="20"/>
              </w:rPr>
              <w:t> </w:t>
            </w:r>
            <w:r>
              <w:rPr>
                <w:sz w:val="20"/>
              </w:rPr>
              <w:t>I45.4,</w:t>
            </w:r>
            <w:r>
              <w:rPr>
                <w:spacing w:val="-7"/>
                <w:sz w:val="20"/>
              </w:rPr>
              <w:t> </w:t>
            </w:r>
            <w:r>
              <w:rPr>
                <w:spacing w:val="-2"/>
                <w:sz w:val="20"/>
              </w:rPr>
              <w:t>I45.5,</w:t>
            </w:r>
          </w:p>
        </w:tc>
        <w:tc>
          <w:tcPr>
            <w:tcW w:w="3709" w:type="dxa"/>
          </w:tcPr>
          <w:p>
            <w:pPr>
              <w:pStyle w:val="TableParagraph"/>
              <w:spacing w:line="209" w:lineRule="exact"/>
              <w:ind w:left="237" w:right="734"/>
              <w:jc w:val="center"/>
              <w:rPr>
                <w:sz w:val="20"/>
              </w:rPr>
            </w:pPr>
            <w:r>
              <w:rPr>
                <w:w w:val="95"/>
                <w:sz w:val="20"/>
              </w:rPr>
              <w:t>A06.10.006.002,</w:t>
            </w:r>
            <w:r>
              <w:rPr>
                <w:spacing w:val="54"/>
                <w:sz w:val="20"/>
              </w:rPr>
              <w:t> </w:t>
            </w:r>
            <w:r>
              <w:rPr>
                <w:spacing w:val="-2"/>
                <w:sz w:val="20"/>
              </w:rPr>
              <w:t>A11.10.001,</w:t>
            </w: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40"/>
              <w:jc w:val="center"/>
              <w:rPr>
                <w:sz w:val="20"/>
              </w:rPr>
            </w:pPr>
            <w:r>
              <w:rPr>
                <w:sz w:val="20"/>
              </w:rPr>
              <w:t>I45.6,</w:t>
            </w:r>
            <w:r>
              <w:rPr>
                <w:spacing w:val="-5"/>
                <w:sz w:val="20"/>
              </w:rPr>
              <w:t> </w:t>
            </w:r>
            <w:r>
              <w:rPr>
                <w:sz w:val="20"/>
              </w:rPr>
              <w:t>I45.8,</w:t>
            </w:r>
            <w:r>
              <w:rPr>
                <w:spacing w:val="-6"/>
                <w:sz w:val="20"/>
              </w:rPr>
              <w:t> </w:t>
            </w:r>
            <w:r>
              <w:rPr>
                <w:sz w:val="20"/>
              </w:rPr>
              <w:t>I45.9,</w:t>
            </w:r>
            <w:r>
              <w:rPr>
                <w:spacing w:val="-5"/>
                <w:sz w:val="20"/>
              </w:rPr>
              <w:t> </w:t>
            </w:r>
            <w:r>
              <w:rPr>
                <w:sz w:val="20"/>
              </w:rPr>
              <w:t>I47,</w:t>
            </w:r>
            <w:r>
              <w:rPr>
                <w:spacing w:val="-6"/>
                <w:sz w:val="20"/>
              </w:rPr>
              <w:t> </w:t>
            </w:r>
            <w:r>
              <w:rPr>
                <w:sz w:val="20"/>
              </w:rPr>
              <w:t>I47.0,</w:t>
            </w:r>
            <w:r>
              <w:rPr>
                <w:spacing w:val="-7"/>
                <w:sz w:val="20"/>
              </w:rPr>
              <w:t> </w:t>
            </w:r>
            <w:r>
              <w:rPr>
                <w:sz w:val="20"/>
              </w:rPr>
              <w:t>I47.1,</w:t>
            </w:r>
            <w:r>
              <w:rPr>
                <w:spacing w:val="-4"/>
                <w:sz w:val="20"/>
              </w:rPr>
              <w:t> </w:t>
            </w:r>
            <w:r>
              <w:rPr>
                <w:sz w:val="20"/>
              </w:rPr>
              <w:t>I47.2,</w:t>
            </w:r>
            <w:r>
              <w:rPr>
                <w:spacing w:val="-7"/>
                <w:sz w:val="20"/>
              </w:rPr>
              <w:t> </w:t>
            </w:r>
            <w:r>
              <w:rPr>
                <w:spacing w:val="-2"/>
                <w:sz w:val="20"/>
              </w:rPr>
              <w:t>I47.9,</w:t>
            </w:r>
          </w:p>
        </w:tc>
        <w:tc>
          <w:tcPr>
            <w:tcW w:w="3709" w:type="dxa"/>
          </w:tcPr>
          <w:p>
            <w:pPr>
              <w:pStyle w:val="TableParagraph"/>
              <w:spacing w:line="209" w:lineRule="exact"/>
              <w:ind w:left="237" w:right="734"/>
              <w:jc w:val="center"/>
              <w:rPr>
                <w:sz w:val="20"/>
              </w:rPr>
            </w:pPr>
            <w:r>
              <w:rPr>
                <w:sz w:val="20"/>
              </w:rPr>
              <w:t>A11.10.003,</w:t>
            </w:r>
            <w:r>
              <w:rPr>
                <w:spacing w:val="-9"/>
                <w:sz w:val="20"/>
              </w:rPr>
              <w:t> </w:t>
            </w:r>
            <w:r>
              <w:rPr>
                <w:spacing w:val="-2"/>
                <w:sz w:val="20"/>
              </w:rPr>
              <w:t>A16.10.014.008,</w:t>
            </w: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10" w:lineRule="exact"/>
              <w:ind w:left="127" w:right="234"/>
              <w:jc w:val="center"/>
              <w:rPr>
                <w:sz w:val="20"/>
              </w:rPr>
            </w:pPr>
            <w:r>
              <w:rPr>
                <w:sz w:val="20"/>
              </w:rPr>
              <w:t>I48,</w:t>
            </w:r>
            <w:r>
              <w:rPr>
                <w:spacing w:val="-5"/>
                <w:sz w:val="20"/>
              </w:rPr>
              <w:t> </w:t>
            </w:r>
            <w:r>
              <w:rPr>
                <w:sz w:val="20"/>
              </w:rPr>
              <w:t>I48.0,</w:t>
            </w:r>
            <w:r>
              <w:rPr>
                <w:spacing w:val="-4"/>
                <w:sz w:val="20"/>
              </w:rPr>
              <w:t> </w:t>
            </w:r>
            <w:r>
              <w:rPr>
                <w:sz w:val="20"/>
              </w:rPr>
              <w:t>I48.1,</w:t>
            </w:r>
            <w:r>
              <w:rPr>
                <w:spacing w:val="-4"/>
                <w:sz w:val="20"/>
              </w:rPr>
              <w:t> </w:t>
            </w:r>
            <w:r>
              <w:rPr>
                <w:sz w:val="20"/>
              </w:rPr>
              <w:t>I48.2,</w:t>
            </w:r>
            <w:r>
              <w:rPr>
                <w:spacing w:val="-6"/>
                <w:sz w:val="20"/>
              </w:rPr>
              <w:t> </w:t>
            </w:r>
            <w:r>
              <w:rPr>
                <w:sz w:val="20"/>
              </w:rPr>
              <w:t>I48.3,</w:t>
            </w:r>
            <w:r>
              <w:rPr>
                <w:spacing w:val="-6"/>
                <w:sz w:val="20"/>
              </w:rPr>
              <w:t> </w:t>
            </w:r>
            <w:r>
              <w:rPr>
                <w:sz w:val="20"/>
              </w:rPr>
              <w:t>I48.4,</w:t>
            </w:r>
            <w:r>
              <w:rPr>
                <w:spacing w:val="-4"/>
                <w:sz w:val="20"/>
              </w:rPr>
              <w:t> </w:t>
            </w:r>
            <w:r>
              <w:rPr>
                <w:sz w:val="20"/>
              </w:rPr>
              <w:t>I48.9,</w:t>
            </w:r>
            <w:r>
              <w:rPr>
                <w:spacing w:val="-6"/>
                <w:sz w:val="20"/>
              </w:rPr>
              <w:t> </w:t>
            </w:r>
            <w:r>
              <w:rPr>
                <w:spacing w:val="-4"/>
                <w:sz w:val="20"/>
              </w:rPr>
              <w:t>I49,</w:t>
            </w:r>
          </w:p>
        </w:tc>
        <w:tc>
          <w:tcPr>
            <w:tcW w:w="3709" w:type="dxa"/>
          </w:tcPr>
          <w:p>
            <w:pPr>
              <w:pStyle w:val="TableParagraph"/>
              <w:spacing w:line="210" w:lineRule="exact"/>
              <w:ind w:left="237" w:right="734"/>
              <w:jc w:val="center"/>
              <w:rPr>
                <w:sz w:val="20"/>
              </w:rPr>
            </w:pPr>
            <w:r>
              <w:rPr>
                <w:w w:val="95"/>
                <w:sz w:val="20"/>
              </w:rPr>
              <w:t>A16.10.014.009,</w:t>
            </w:r>
            <w:r>
              <w:rPr>
                <w:spacing w:val="54"/>
                <w:sz w:val="20"/>
              </w:rPr>
              <w:t> </w:t>
            </w:r>
            <w:r>
              <w:rPr>
                <w:spacing w:val="-2"/>
                <w:sz w:val="20"/>
              </w:rPr>
              <w:t>A17.10.001,</w:t>
            </w: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10" w:lineRule="exact"/>
              <w:ind w:left="127" w:right="241"/>
              <w:jc w:val="center"/>
              <w:rPr>
                <w:sz w:val="20"/>
              </w:rPr>
            </w:pPr>
            <w:r>
              <w:rPr>
                <w:sz w:val="20"/>
              </w:rPr>
              <w:t>I49.0,</w:t>
            </w:r>
            <w:r>
              <w:rPr>
                <w:spacing w:val="-5"/>
                <w:sz w:val="20"/>
              </w:rPr>
              <w:t> </w:t>
            </w:r>
            <w:r>
              <w:rPr>
                <w:sz w:val="20"/>
              </w:rPr>
              <w:t>I49.1,</w:t>
            </w:r>
            <w:r>
              <w:rPr>
                <w:spacing w:val="-7"/>
                <w:sz w:val="20"/>
              </w:rPr>
              <w:t> </w:t>
            </w:r>
            <w:r>
              <w:rPr>
                <w:sz w:val="20"/>
              </w:rPr>
              <w:t>I49.2,</w:t>
            </w:r>
            <w:r>
              <w:rPr>
                <w:spacing w:val="-5"/>
                <w:sz w:val="20"/>
              </w:rPr>
              <w:t> </w:t>
            </w:r>
            <w:r>
              <w:rPr>
                <w:sz w:val="20"/>
              </w:rPr>
              <w:t>I49.3,</w:t>
            </w:r>
            <w:r>
              <w:rPr>
                <w:spacing w:val="-5"/>
                <w:sz w:val="20"/>
              </w:rPr>
              <w:t> </w:t>
            </w:r>
            <w:r>
              <w:rPr>
                <w:sz w:val="20"/>
              </w:rPr>
              <w:t>I49.4,</w:t>
            </w:r>
            <w:r>
              <w:rPr>
                <w:spacing w:val="-5"/>
                <w:sz w:val="20"/>
              </w:rPr>
              <w:t> </w:t>
            </w:r>
            <w:r>
              <w:rPr>
                <w:sz w:val="20"/>
              </w:rPr>
              <w:t>I49.5,</w:t>
            </w:r>
            <w:r>
              <w:rPr>
                <w:spacing w:val="-6"/>
                <w:sz w:val="20"/>
              </w:rPr>
              <w:t> </w:t>
            </w:r>
            <w:r>
              <w:rPr>
                <w:sz w:val="20"/>
              </w:rPr>
              <w:t>I49.8,</w:t>
            </w:r>
            <w:r>
              <w:rPr>
                <w:spacing w:val="-5"/>
                <w:sz w:val="20"/>
              </w:rPr>
              <w:t> </w:t>
            </w:r>
            <w:r>
              <w:rPr>
                <w:spacing w:val="-2"/>
                <w:sz w:val="20"/>
              </w:rPr>
              <w:t>I49.9,</w:t>
            </w:r>
          </w:p>
        </w:tc>
        <w:tc>
          <w:tcPr>
            <w:tcW w:w="3709" w:type="dxa"/>
          </w:tcPr>
          <w:p>
            <w:pPr>
              <w:pStyle w:val="TableParagraph"/>
              <w:spacing w:line="210" w:lineRule="exact"/>
              <w:ind w:left="237" w:right="731"/>
              <w:jc w:val="center"/>
              <w:rPr>
                <w:sz w:val="20"/>
              </w:rPr>
            </w:pPr>
            <w:r>
              <w:rPr>
                <w:w w:val="95"/>
                <w:sz w:val="20"/>
              </w:rPr>
              <w:t>A17.10.001.001,</w:t>
            </w:r>
            <w:r>
              <w:rPr>
                <w:spacing w:val="54"/>
                <w:sz w:val="20"/>
              </w:rPr>
              <w:t> </w:t>
            </w:r>
            <w:r>
              <w:rPr>
                <w:spacing w:val="-2"/>
                <w:sz w:val="20"/>
              </w:rPr>
              <w:t>A17.10.002,</w:t>
            </w:r>
          </w:p>
        </w:tc>
        <w:tc>
          <w:tcPr>
            <w:tcW w:w="1661" w:type="dxa"/>
          </w:tcPr>
          <w:p>
            <w:pPr>
              <w:pStyle w:val="TableParagraph"/>
              <w:rPr>
                <w:sz w:val="16"/>
              </w:rPr>
            </w:pPr>
          </w:p>
        </w:tc>
        <w:tc>
          <w:tcPr>
            <w:tcW w:w="1262"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77" w:type="dxa"/>
          </w:tcPr>
          <w:p>
            <w:pPr>
              <w:pStyle w:val="TableParagraph"/>
              <w:rPr>
                <w:sz w:val="18"/>
              </w:rPr>
            </w:pPr>
          </w:p>
        </w:tc>
        <w:tc>
          <w:tcPr>
            <w:tcW w:w="4442" w:type="dxa"/>
          </w:tcPr>
          <w:p>
            <w:pPr>
              <w:pStyle w:val="TableParagraph"/>
              <w:spacing w:line="226" w:lineRule="exact"/>
              <w:ind w:left="127" w:right="233"/>
              <w:jc w:val="center"/>
              <w:rPr>
                <w:sz w:val="20"/>
              </w:rPr>
            </w:pPr>
            <w:r>
              <w:rPr>
                <w:sz w:val="20"/>
              </w:rPr>
              <w:t>Q24.6,</w:t>
            </w:r>
            <w:r>
              <w:rPr>
                <w:spacing w:val="-5"/>
                <w:sz w:val="20"/>
              </w:rPr>
              <w:t> </w:t>
            </w:r>
            <w:r>
              <w:rPr>
                <w:sz w:val="20"/>
              </w:rPr>
              <w:t>R00,</w:t>
            </w:r>
            <w:r>
              <w:rPr>
                <w:spacing w:val="-4"/>
                <w:sz w:val="20"/>
              </w:rPr>
              <w:t> </w:t>
            </w:r>
            <w:r>
              <w:rPr>
                <w:sz w:val="20"/>
              </w:rPr>
              <w:t>R00.0,</w:t>
            </w:r>
            <w:r>
              <w:rPr>
                <w:spacing w:val="-6"/>
                <w:sz w:val="20"/>
              </w:rPr>
              <w:t> </w:t>
            </w:r>
            <w:r>
              <w:rPr>
                <w:sz w:val="20"/>
              </w:rPr>
              <w:t>R00.1,</w:t>
            </w:r>
            <w:r>
              <w:rPr>
                <w:spacing w:val="-4"/>
                <w:sz w:val="20"/>
              </w:rPr>
              <w:t> </w:t>
            </w:r>
            <w:r>
              <w:rPr>
                <w:sz w:val="20"/>
              </w:rPr>
              <w:t>R00.2,</w:t>
            </w:r>
            <w:r>
              <w:rPr>
                <w:spacing w:val="-5"/>
                <w:sz w:val="20"/>
              </w:rPr>
              <w:t> </w:t>
            </w:r>
            <w:r>
              <w:rPr>
                <w:spacing w:val="-4"/>
                <w:sz w:val="20"/>
              </w:rPr>
              <w:t>R00.8</w:t>
            </w:r>
          </w:p>
        </w:tc>
        <w:tc>
          <w:tcPr>
            <w:tcW w:w="3709" w:type="dxa"/>
          </w:tcPr>
          <w:p>
            <w:pPr>
              <w:pStyle w:val="TableParagraph"/>
              <w:spacing w:line="226" w:lineRule="exact"/>
              <w:ind w:left="237" w:right="733"/>
              <w:jc w:val="center"/>
              <w:rPr>
                <w:sz w:val="20"/>
              </w:rPr>
            </w:pPr>
            <w:r>
              <w:rPr>
                <w:spacing w:val="-2"/>
                <w:sz w:val="20"/>
              </w:rPr>
              <w:t>A17.10.002.001</w:t>
            </w:r>
          </w:p>
        </w:tc>
        <w:tc>
          <w:tcPr>
            <w:tcW w:w="1661" w:type="dxa"/>
          </w:tcPr>
          <w:p>
            <w:pPr>
              <w:pStyle w:val="TableParagraph"/>
              <w:rPr>
                <w:sz w:val="18"/>
              </w:rPr>
            </w:pPr>
          </w:p>
        </w:tc>
        <w:tc>
          <w:tcPr>
            <w:tcW w:w="1262"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st13.006</w:t>
            </w:r>
          </w:p>
        </w:tc>
        <w:tc>
          <w:tcPr>
            <w:tcW w:w="657" w:type="dxa"/>
          </w:tcPr>
          <w:p>
            <w:pPr>
              <w:pStyle w:val="TableParagraph"/>
              <w:spacing w:line="215" w:lineRule="exact" w:before="45"/>
              <w:ind w:right="217"/>
              <w:jc w:val="right"/>
              <w:rPr>
                <w:sz w:val="20"/>
              </w:rPr>
            </w:pPr>
            <w:r>
              <w:rPr>
                <w:spacing w:val="-5"/>
                <w:sz w:val="20"/>
              </w:rPr>
              <w:t>81</w:t>
            </w:r>
          </w:p>
        </w:tc>
        <w:tc>
          <w:tcPr>
            <w:tcW w:w="2577" w:type="dxa"/>
          </w:tcPr>
          <w:p>
            <w:pPr>
              <w:pStyle w:val="TableParagraph"/>
              <w:spacing w:line="215" w:lineRule="exact" w:before="45"/>
              <w:ind w:left="217"/>
              <w:rPr>
                <w:sz w:val="20"/>
              </w:rPr>
            </w:pPr>
            <w:r>
              <w:rPr>
                <w:spacing w:val="-2"/>
                <w:sz w:val="20"/>
              </w:rPr>
              <w:t>Эндокардит,</w:t>
            </w:r>
            <w:r>
              <w:rPr>
                <w:spacing w:val="6"/>
                <w:sz w:val="20"/>
              </w:rPr>
              <w:t> </w:t>
            </w:r>
            <w:r>
              <w:rPr>
                <w:spacing w:val="-2"/>
                <w:sz w:val="20"/>
              </w:rPr>
              <w:t>миокардит,</w:t>
            </w:r>
          </w:p>
        </w:tc>
        <w:tc>
          <w:tcPr>
            <w:tcW w:w="4442" w:type="dxa"/>
          </w:tcPr>
          <w:p>
            <w:pPr>
              <w:pStyle w:val="TableParagraph"/>
              <w:spacing w:line="215" w:lineRule="exact" w:before="45"/>
              <w:ind w:left="127" w:right="238"/>
              <w:jc w:val="center"/>
              <w:rPr>
                <w:sz w:val="20"/>
              </w:rPr>
            </w:pPr>
            <w:r>
              <w:rPr>
                <w:sz w:val="20"/>
              </w:rPr>
              <w:t>I30,</w:t>
            </w:r>
            <w:r>
              <w:rPr>
                <w:spacing w:val="-5"/>
                <w:sz w:val="20"/>
              </w:rPr>
              <w:t> </w:t>
            </w:r>
            <w:r>
              <w:rPr>
                <w:sz w:val="20"/>
              </w:rPr>
              <w:t>I30.0,</w:t>
            </w:r>
            <w:r>
              <w:rPr>
                <w:spacing w:val="-4"/>
                <w:sz w:val="20"/>
              </w:rPr>
              <w:t> </w:t>
            </w:r>
            <w:r>
              <w:rPr>
                <w:sz w:val="20"/>
              </w:rPr>
              <w:t>I30.1,</w:t>
            </w:r>
            <w:r>
              <w:rPr>
                <w:spacing w:val="-4"/>
                <w:sz w:val="20"/>
              </w:rPr>
              <w:t> </w:t>
            </w:r>
            <w:r>
              <w:rPr>
                <w:sz w:val="20"/>
              </w:rPr>
              <w:t>I30.8,</w:t>
            </w:r>
            <w:r>
              <w:rPr>
                <w:spacing w:val="-6"/>
                <w:sz w:val="20"/>
              </w:rPr>
              <w:t> </w:t>
            </w:r>
            <w:r>
              <w:rPr>
                <w:sz w:val="20"/>
              </w:rPr>
              <w:t>I30.9,</w:t>
            </w:r>
            <w:r>
              <w:rPr>
                <w:spacing w:val="-7"/>
                <w:sz w:val="20"/>
              </w:rPr>
              <w:t> </w:t>
            </w:r>
            <w:r>
              <w:rPr>
                <w:sz w:val="20"/>
              </w:rPr>
              <w:t>I31,</w:t>
            </w:r>
            <w:r>
              <w:rPr>
                <w:spacing w:val="-4"/>
                <w:sz w:val="20"/>
              </w:rPr>
              <w:t> </w:t>
            </w:r>
            <w:r>
              <w:rPr>
                <w:sz w:val="20"/>
              </w:rPr>
              <w:t>I31.0,</w:t>
            </w:r>
            <w:r>
              <w:rPr>
                <w:spacing w:val="-4"/>
                <w:sz w:val="20"/>
              </w:rPr>
              <w:t> </w:t>
            </w:r>
            <w:r>
              <w:rPr>
                <w:spacing w:val="-2"/>
                <w:sz w:val="20"/>
              </w:rPr>
              <w:t>I31.1,</w:t>
            </w:r>
          </w:p>
        </w:tc>
        <w:tc>
          <w:tcPr>
            <w:tcW w:w="3709" w:type="dxa"/>
          </w:tcPr>
          <w:p>
            <w:pPr>
              <w:pStyle w:val="TableParagraph"/>
              <w:spacing w:line="215" w:lineRule="exact" w:before="45"/>
              <w:ind w:right="494"/>
              <w:jc w:val="center"/>
              <w:rPr>
                <w:sz w:val="20"/>
              </w:rPr>
            </w:pPr>
            <w:r>
              <w:rPr>
                <w:w w:val="99"/>
                <w:sz w:val="20"/>
              </w:rPr>
              <w:t>-</w:t>
            </w:r>
          </w:p>
        </w:tc>
        <w:tc>
          <w:tcPr>
            <w:tcW w:w="1661" w:type="dxa"/>
          </w:tcPr>
          <w:p>
            <w:pPr>
              <w:pStyle w:val="TableParagraph"/>
              <w:spacing w:line="215" w:lineRule="exact" w:before="45"/>
              <w:ind w:left="730"/>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1,42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0" w:lineRule="exact"/>
              <w:ind w:left="217"/>
              <w:rPr>
                <w:sz w:val="20"/>
              </w:rPr>
            </w:pPr>
            <w:r>
              <w:rPr>
                <w:spacing w:val="-2"/>
                <w:sz w:val="20"/>
              </w:rPr>
              <w:t>перикардит,</w:t>
            </w:r>
          </w:p>
        </w:tc>
        <w:tc>
          <w:tcPr>
            <w:tcW w:w="4442" w:type="dxa"/>
          </w:tcPr>
          <w:p>
            <w:pPr>
              <w:pStyle w:val="TableParagraph"/>
              <w:spacing w:line="210" w:lineRule="exact"/>
              <w:ind w:left="127" w:right="241"/>
              <w:jc w:val="center"/>
              <w:rPr>
                <w:sz w:val="20"/>
              </w:rPr>
            </w:pPr>
            <w:r>
              <w:rPr>
                <w:sz w:val="20"/>
              </w:rPr>
              <w:t>I31.2,</w:t>
            </w:r>
            <w:r>
              <w:rPr>
                <w:spacing w:val="-5"/>
                <w:sz w:val="20"/>
              </w:rPr>
              <w:t> </w:t>
            </w:r>
            <w:r>
              <w:rPr>
                <w:sz w:val="20"/>
              </w:rPr>
              <w:t>I31.3,</w:t>
            </w:r>
            <w:r>
              <w:rPr>
                <w:spacing w:val="-7"/>
                <w:sz w:val="20"/>
              </w:rPr>
              <w:t> </w:t>
            </w:r>
            <w:r>
              <w:rPr>
                <w:sz w:val="20"/>
              </w:rPr>
              <w:t>I31.8,</w:t>
            </w:r>
            <w:r>
              <w:rPr>
                <w:spacing w:val="-5"/>
                <w:sz w:val="20"/>
              </w:rPr>
              <w:t> </w:t>
            </w:r>
            <w:r>
              <w:rPr>
                <w:sz w:val="20"/>
              </w:rPr>
              <w:t>I31.9,</w:t>
            </w:r>
            <w:r>
              <w:rPr>
                <w:spacing w:val="-5"/>
                <w:sz w:val="20"/>
              </w:rPr>
              <w:t> </w:t>
            </w:r>
            <w:r>
              <w:rPr>
                <w:sz w:val="20"/>
              </w:rPr>
              <w:t>I32.0,</w:t>
            </w:r>
            <w:r>
              <w:rPr>
                <w:spacing w:val="-5"/>
                <w:sz w:val="20"/>
              </w:rPr>
              <w:t> </w:t>
            </w:r>
            <w:r>
              <w:rPr>
                <w:sz w:val="20"/>
              </w:rPr>
              <w:t>I32.1,</w:t>
            </w:r>
            <w:r>
              <w:rPr>
                <w:spacing w:val="-6"/>
                <w:sz w:val="20"/>
              </w:rPr>
              <w:t> </w:t>
            </w:r>
            <w:r>
              <w:rPr>
                <w:sz w:val="20"/>
              </w:rPr>
              <w:t>I32.8,</w:t>
            </w:r>
            <w:r>
              <w:rPr>
                <w:spacing w:val="-5"/>
                <w:sz w:val="20"/>
              </w:rPr>
              <w:t> </w:t>
            </w:r>
            <w:r>
              <w:rPr>
                <w:spacing w:val="-2"/>
                <w:sz w:val="20"/>
              </w:rPr>
              <w:t>I33.0,</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1" w:lineRule="exact"/>
              <w:ind w:left="217"/>
              <w:rPr>
                <w:sz w:val="20"/>
              </w:rPr>
            </w:pPr>
            <w:r>
              <w:rPr>
                <w:spacing w:val="-2"/>
                <w:sz w:val="20"/>
              </w:rPr>
              <w:t>кардиомиопатии</w:t>
            </w:r>
          </w:p>
        </w:tc>
        <w:tc>
          <w:tcPr>
            <w:tcW w:w="4442" w:type="dxa"/>
          </w:tcPr>
          <w:p>
            <w:pPr>
              <w:pStyle w:val="TableParagraph"/>
              <w:spacing w:line="211" w:lineRule="exact"/>
              <w:ind w:left="127" w:right="233"/>
              <w:jc w:val="center"/>
              <w:rPr>
                <w:sz w:val="20"/>
              </w:rPr>
            </w:pPr>
            <w:r>
              <w:rPr>
                <w:sz w:val="20"/>
              </w:rPr>
              <w:t>I33.9,</w:t>
            </w:r>
            <w:r>
              <w:rPr>
                <w:spacing w:val="-4"/>
                <w:sz w:val="20"/>
              </w:rPr>
              <w:t> </w:t>
            </w:r>
            <w:r>
              <w:rPr>
                <w:sz w:val="20"/>
              </w:rPr>
              <w:t>I38,</w:t>
            </w:r>
            <w:r>
              <w:rPr>
                <w:spacing w:val="-4"/>
                <w:sz w:val="20"/>
              </w:rPr>
              <w:t> </w:t>
            </w:r>
            <w:r>
              <w:rPr>
                <w:sz w:val="20"/>
              </w:rPr>
              <w:t>I39.8,</w:t>
            </w:r>
            <w:r>
              <w:rPr>
                <w:spacing w:val="-4"/>
                <w:sz w:val="20"/>
              </w:rPr>
              <w:t> </w:t>
            </w:r>
            <w:r>
              <w:rPr>
                <w:sz w:val="20"/>
              </w:rPr>
              <w:t>I40.0,</w:t>
            </w:r>
            <w:r>
              <w:rPr>
                <w:spacing w:val="-6"/>
                <w:sz w:val="20"/>
              </w:rPr>
              <w:t> </w:t>
            </w:r>
            <w:r>
              <w:rPr>
                <w:sz w:val="20"/>
              </w:rPr>
              <w:t>I40.1,</w:t>
            </w:r>
            <w:r>
              <w:rPr>
                <w:spacing w:val="-6"/>
                <w:sz w:val="20"/>
              </w:rPr>
              <w:t> </w:t>
            </w:r>
            <w:r>
              <w:rPr>
                <w:sz w:val="20"/>
              </w:rPr>
              <w:t>I40.8,</w:t>
            </w:r>
            <w:r>
              <w:rPr>
                <w:spacing w:val="-4"/>
                <w:sz w:val="20"/>
              </w:rPr>
              <w:t> </w:t>
            </w:r>
            <w:r>
              <w:rPr>
                <w:sz w:val="20"/>
              </w:rPr>
              <w:t>I40.9,</w:t>
            </w:r>
            <w:r>
              <w:rPr>
                <w:spacing w:val="-6"/>
                <w:sz w:val="20"/>
              </w:rPr>
              <w:t> </w:t>
            </w:r>
            <w:r>
              <w:rPr>
                <w:spacing w:val="-2"/>
                <w:sz w:val="20"/>
              </w:rPr>
              <w:t>I41.0,</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1" w:lineRule="exact"/>
              <w:ind w:left="217"/>
              <w:rPr>
                <w:sz w:val="20"/>
              </w:rPr>
            </w:pPr>
            <w:r>
              <w:rPr>
                <w:sz w:val="20"/>
              </w:rPr>
              <w:t>(уровень</w:t>
            </w:r>
            <w:r>
              <w:rPr>
                <w:spacing w:val="-10"/>
                <w:sz w:val="20"/>
              </w:rPr>
              <w:t> </w:t>
            </w:r>
            <w:r>
              <w:rPr>
                <w:spacing w:val="-5"/>
                <w:sz w:val="20"/>
              </w:rPr>
              <w:t>1)</w:t>
            </w:r>
          </w:p>
        </w:tc>
        <w:tc>
          <w:tcPr>
            <w:tcW w:w="4442" w:type="dxa"/>
          </w:tcPr>
          <w:p>
            <w:pPr>
              <w:pStyle w:val="TableParagraph"/>
              <w:spacing w:line="211" w:lineRule="exact"/>
              <w:ind w:left="127" w:right="240"/>
              <w:jc w:val="center"/>
              <w:rPr>
                <w:sz w:val="20"/>
              </w:rPr>
            </w:pPr>
            <w:r>
              <w:rPr>
                <w:sz w:val="20"/>
              </w:rPr>
              <w:t>I41.1,</w:t>
            </w:r>
            <w:r>
              <w:rPr>
                <w:spacing w:val="-5"/>
                <w:sz w:val="20"/>
              </w:rPr>
              <w:t> </w:t>
            </w:r>
            <w:r>
              <w:rPr>
                <w:sz w:val="20"/>
              </w:rPr>
              <w:t>I41.2,</w:t>
            </w:r>
            <w:r>
              <w:rPr>
                <w:spacing w:val="-6"/>
                <w:sz w:val="20"/>
              </w:rPr>
              <w:t> </w:t>
            </w:r>
            <w:r>
              <w:rPr>
                <w:sz w:val="20"/>
              </w:rPr>
              <w:t>I41.8,</w:t>
            </w:r>
            <w:r>
              <w:rPr>
                <w:spacing w:val="-5"/>
                <w:sz w:val="20"/>
              </w:rPr>
              <w:t> </w:t>
            </w:r>
            <w:r>
              <w:rPr>
                <w:sz w:val="20"/>
              </w:rPr>
              <w:t>I42,</w:t>
            </w:r>
            <w:r>
              <w:rPr>
                <w:spacing w:val="-6"/>
                <w:sz w:val="20"/>
              </w:rPr>
              <w:t> </w:t>
            </w:r>
            <w:r>
              <w:rPr>
                <w:sz w:val="20"/>
              </w:rPr>
              <w:t>I42.0,</w:t>
            </w:r>
            <w:r>
              <w:rPr>
                <w:spacing w:val="-7"/>
                <w:sz w:val="20"/>
              </w:rPr>
              <w:t> </w:t>
            </w:r>
            <w:r>
              <w:rPr>
                <w:sz w:val="20"/>
              </w:rPr>
              <w:t>I42.1,</w:t>
            </w:r>
            <w:r>
              <w:rPr>
                <w:spacing w:val="-4"/>
                <w:sz w:val="20"/>
              </w:rPr>
              <w:t> </w:t>
            </w:r>
            <w:r>
              <w:rPr>
                <w:sz w:val="20"/>
              </w:rPr>
              <w:t>I42.2,</w:t>
            </w:r>
            <w:r>
              <w:rPr>
                <w:spacing w:val="-7"/>
                <w:sz w:val="20"/>
              </w:rPr>
              <w:t> </w:t>
            </w:r>
            <w:r>
              <w:rPr>
                <w:spacing w:val="-2"/>
                <w:sz w:val="20"/>
              </w:rPr>
              <w:t>I42.3,</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40"/>
              <w:jc w:val="center"/>
              <w:rPr>
                <w:sz w:val="20"/>
              </w:rPr>
            </w:pPr>
            <w:r>
              <w:rPr>
                <w:sz w:val="20"/>
              </w:rPr>
              <w:t>I42.4,</w:t>
            </w:r>
            <w:r>
              <w:rPr>
                <w:spacing w:val="-5"/>
                <w:sz w:val="20"/>
              </w:rPr>
              <w:t> </w:t>
            </w:r>
            <w:r>
              <w:rPr>
                <w:sz w:val="20"/>
              </w:rPr>
              <w:t>I42.5,</w:t>
            </w:r>
            <w:r>
              <w:rPr>
                <w:spacing w:val="-6"/>
                <w:sz w:val="20"/>
              </w:rPr>
              <w:t> </w:t>
            </w:r>
            <w:r>
              <w:rPr>
                <w:sz w:val="20"/>
              </w:rPr>
              <w:t>I42.6,</w:t>
            </w:r>
            <w:r>
              <w:rPr>
                <w:spacing w:val="-5"/>
                <w:sz w:val="20"/>
              </w:rPr>
              <w:t> </w:t>
            </w:r>
            <w:r>
              <w:rPr>
                <w:sz w:val="20"/>
              </w:rPr>
              <w:t>I42.7,</w:t>
            </w:r>
            <w:r>
              <w:rPr>
                <w:spacing w:val="-4"/>
                <w:sz w:val="20"/>
              </w:rPr>
              <w:t> </w:t>
            </w:r>
            <w:r>
              <w:rPr>
                <w:sz w:val="20"/>
              </w:rPr>
              <w:t>I42.8,</w:t>
            </w:r>
            <w:r>
              <w:rPr>
                <w:spacing w:val="-5"/>
                <w:sz w:val="20"/>
              </w:rPr>
              <w:t> </w:t>
            </w:r>
            <w:r>
              <w:rPr>
                <w:sz w:val="20"/>
              </w:rPr>
              <w:t>I42.9,</w:t>
            </w:r>
            <w:r>
              <w:rPr>
                <w:spacing w:val="-6"/>
                <w:sz w:val="20"/>
              </w:rPr>
              <w:t> </w:t>
            </w:r>
            <w:r>
              <w:rPr>
                <w:sz w:val="20"/>
              </w:rPr>
              <w:t>I43,</w:t>
            </w:r>
            <w:r>
              <w:rPr>
                <w:spacing w:val="-7"/>
                <w:sz w:val="20"/>
              </w:rPr>
              <w:t> </w:t>
            </w:r>
            <w:r>
              <w:rPr>
                <w:spacing w:val="-2"/>
                <w:sz w:val="20"/>
              </w:rPr>
              <w:t>I43.0,</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77" w:type="dxa"/>
          </w:tcPr>
          <w:p>
            <w:pPr>
              <w:pStyle w:val="TableParagraph"/>
              <w:rPr>
                <w:sz w:val="18"/>
              </w:rPr>
            </w:pPr>
          </w:p>
        </w:tc>
        <w:tc>
          <w:tcPr>
            <w:tcW w:w="4442" w:type="dxa"/>
          </w:tcPr>
          <w:p>
            <w:pPr>
              <w:pStyle w:val="TableParagraph"/>
              <w:spacing w:line="224" w:lineRule="exact"/>
              <w:ind w:left="127" w:right="233"/>
              <w:jc w:val="center"/>
              <w:rPr>
                <w:sz w:val="20"/>
              </w:rPr>
            </w:pPr>
            <w:r>
              <w:rPr>
                <w:sz w:val="20"/>
              </w:rPr>
              <w:t>I43.1,</w:t>
            </w:r>
            <w:r>
              <w:rPr>
                <w:spacing w:val="-5"/>
                <w:sz w:val="20"/>
              </w:rPr>
              <w:t> </w:t>
            </w:r>
            <w:r>
              <w:rPr>
                <w:sz w:val="20"/>
              </w:rPr>
              <w:t>I43.2,</w:t>
            </w:r>
            <w:r>
              <w:rPr>
                <w:spacing w:val="-7"/>
                <w:sz w:val="20"/>
              </w:rPr>
              <w:t> </w:t>
            </w:r>
            <w:r>
              <w:rPr>
                <w:spacing w:val="-2"/>
                <w:sz w:val="20"/>
              </w:rPr>
              <w:t>I43.8</w:t>
            </w:r>
          </w:p>
        </w:tc>
        <w:tc>
          <w:tcPr>
            <w:tcW w:w="3709" w:type="dxa"/>
          </w:tcPr>
          <w:p>
            <w:pPr>
              <w:pStyle w:val="TableParagraph"/>
              <w:rPr>
                <w:sz w:val="18"/>
              </w:rPr>
            </w:pPr>
          </w:p>
        </w:tc>
        <w:tc>
          <w:tcPr>
            <w:tcW w:w="1661" w:type="dxa"/>
          </w:tcPr>
          <w:p>
            <w:pPr>
              <w:pStyle w:val="TableParagraph"/>
              <w:rPr>
                <w:sz w:val="18"/>
              </w:rPr>
            </w:pPr>
          </w:p>
        </w:tc>
        <w:tc>
          <w:tcPr>
            <w:tcW w:w="1262"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st13.007</w:t>
            </w:r>
          </w:p>
        </w:tc>
        <w:tc>
          <w:tcPr>
            <w:tcW w:w="657" w:type="dxa"/>
          </w:tcPr>
          <w:p>
            <w:pPr>
              <w:pStyle w:val="TableParagraph"/>
              <w:spacing w:line="215" w:lineRule="exact" w:before="46"/>
              <w:ind w:right="217"/>
              <w:jc w:val="right"/>
              <w:rPr>
                <w:sz w:val="20"/>
              </w:rPr>
            </w:pPr>
            <w:r>
              <w:rPr>
                <w:spacing w:val="-5"/>
                <w:sz w:val="20"/>
              </w:rPr>
              <w:t>82</w:t>
            </w:r>
          </w:p>
        </w:tc>
        <w:tc>
          <w:tcPr>
            <w:tcW w:w="2577" w:type="dxa"/>
          </w:tcPr>
          <w:p>
            <w:pPr>
              <w:pStyle w:val="TableParagraph"/>
              <w:spacing w:line="215" w:lineRule="exact" w:before="46"/>
              <w:ind w:left="217"/>
              <w:rPr>
                <w:sz w:val="20"/>
              </w:rPr>
            </w:pPr>
            <w:r>
              <w:rPr>
                <w:spacing w:val="-2"/>
                <w:sz w:val="20"/>
              </w:rPr>
              <w:t>Эндокардит,</w:t>
            </w:r>
            <w:r>
              <w:rPr>
                <w:spacing w:val="6"/>
                <w:sz w:val="20"/>
              </w:rPr>
              <w:t> </w:t>
            </w:r>
            <w:r>
              <w:rPr>
                <w:spacing w:val="-2"/>
                <w:sz w:val="20"/>
              </w:rPr>
              <w:t>миокардит,</w:t>
            </w:r>
          </w:p>
        </w:tc>
        <w:tc>
          <w:tcPr>
            <w:tcW w:w="4442" w:type="dxa"/>
          </w:tcPr>
          <w:p>
            <w:pPr>
              <w:pStyle w:val="TableParagraph"/>
              <w:spacing w:line="215" w:lineRule="exact" w:before="46"/>
              <w:ind w:left="127" w:right="233"/>
              <w:jc w:val="center"/>
              <w:rPr>
                <w:sz w:val="20"/>
              </w:rPr>
            </w:pPr>
            <w:r>
              <w:rPr>
                <w:sz w:val="20"/>
              </w:rPr>
              <w:t>I30,</w:t>
            </w:r>
            <w:r>
              <w:rPr>
                <w:spacing w:val="-4"/>
                <w:sz w:val="20"/>
              </w:rPr>
              <w:t> </w:t>
            </w:r>
            <w:r>
              <w:rPr>
                <w:sz w:val="20"/>
              </w:rPr>
              <w:t>I30.0,</w:t>
            </w:r>
            <w:r>
              <w:rPr>
                <w:spacing w:val="-4"/>
                <w:sz w:val="20"/>
              </w:rPr>
              <w:t> </w:t>
            </w:r>
            <w:r>
              <w:rPr>
                <w:sz w:val="20"/>
              </w:rPr>
              <w:t>I30.1,</w:t>
            </w:r>
            <w:r>
              <w:rPr>
                <w:spacing w:val="-3"/>
                <w:sz w:val="20"/>
              </w:rPr>
              <w:t> </w:t>
            </w:r>
            <w:r>
              <w:rPr>
                <w:sz w:val="20"/>
              </w:rPr>
              <w:t>I30.8,</w:t>
            </w:r>
            <w:r>
              <w:rPr>
                <w:spacing w:val="-6"/>
                <w:sz w:val="20"/>
              </w:rPr>
              <w:t> </w:t>
            </w:r>
            <w:r>
              <w:rPr>
                <w:sz w:val="20"/>
              </w:rPr>
              <w:t>I30.9,</w:t>
            </w:r>
            <w:r>
              <w:rPr>
                <w:spacing w:val="-5"/>
                <w:sz w:val="20"/>
              </w:rPr>
              <w:t> </w:t>
            </w:r>
            <w:r>
              <w:rPr>
                <w:sz w:val="20"/>
              </w:rPr>
              <w:t>I31,</w:t>
            </w:r>
            <w:r>
              <w:rPr>
                <w:spacing w:val="-4"/>
                <w:sz w:val="20"/>
              </w:rPr>
              <w:t> </w:t>
            </w:r>
            <w:r>
              <w:rPr>
                <w:sz w:val="20"/>
              </w:rPr>
              <w:t>I31.0,</w:t>
            </w:r>
            <w:r>
              <w:rPr>
                <w:spacing w:val="-3"/>
                <w:sz w:val="20"/>
              </w:rPr>
              <w:t> </w:t>
            </w:r>
            <w:r>
              <w:rPr>
                <w:spacing w:val="-2"/>
                <w:sz w:val="20"/>
              </w:rPr>
              <w:t>I31.1,</w:t>
            </w:r>
          </w:p>
        </w:tc>
        <w:tc>
          <w:tcPr>
            <w:tcW w:w="3709" w:type="dxa"/>
          </w:tcPr>
          <w:p>
            <w:pPr>
              <w:pStyle w:val="TableParagraph"/>
              <w:spacing w:line="215" w:lineRule="exact" w:before="46"/>
              <w:ind w:left="237" w:right="734"/>
              <w:jc w:val="center"/>
              <w:rPr>
                <w:sz w:val="20"/>
              </w:rPr>
            </w:pPr>
            <w:r>
              <w:rPr>
                <w:w w:val="95"/>
                <w:sz w:val="20"/>
              </w:rPr>
              <w:t>A06.09.005.002,</w:t>
            </w:r>
            <w:r>
              <w:rPr>
                <w:spacing w:val="54"/>
                <w:sz w:val="20"/>
              </w:rPr>
              <w:t> </w:t>
            </w:r>
            <w:r>
              <w:rPr>
                <w:spacing w:val="-2"/>
                <w:sz w:val="20"/>
              </w:rPr>
              <w:t>A06.10.006,</w:t>
            </w:r>
          </w:p>
        </w:tc>
        <w:tc>
          <w:tcPr>
            <w:tcW w:w="1661" w:type="dxa"/>
          </w:tcPr>
          <w:p>
            <w:pPr>
              <w:pStyle w:val="TableParagraph"/>
              <w:spacing w:line="215" w:lineRule="exact" w:before="46"/>
              <w:ind w:left="730"/>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2,38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0" w:lineRule="exact"/>
              <w:ind w:left="217"/>
              <w:rPr>
                <w:sz w:val="20"/>
              </w:rPr>
            </w:pPr>
            <w:r>
              <w:rPr>
                <w:spacing w:val="-2"/>
                <w:sz w:val="20"/>
              </w:rPr>
              <w:t>перикардит,</w:t>
            </w:r>
          </w:p>
        </w:tc>
        <w:tc>
          <w:tcPr>
            <w:tcW w:w="4442" w:type="dxa"/>
          </w:tcPr>
          <w:p>
            <w:pPr>
              <w:pStyle w:val="TableParagraph"/>
              <w:spacing w:line="210" w:lineRule="exact"/>
              <w:ind w:left="127" w:right="241"/>
              <w:jc w:val="center"/>
              <w:rPr>
                <w:sz w:val="20"/>
              </w:rPr>
            </w:pPr>
            <w:r>
              <w:rPr>
                <w:sz w:val="20"/>
              </w:rPr>
              <w:t>I31.2,</w:t>
            </w:r>
            <w:r>
              <w:rPr>
                <w:spacing w:val="-5"/>
                <w:sz w:val="20"/>
              </w:rPr>
              <w:t> </w:t>
            </w:r>
            <w:r>
              <w:rPr>
                <w:sz w:val="20"/>
              </w:rPr>
              <w:t>I31.3,</w:t>
            </w:r>
            <w:r>
              <w:rPr>
                <w:spacing w:val="-7"/>
                <w:sz w:val="20"/>
              </w:rPr>
              <w:t> </w:t>
            </w:r>
            <w:r>
              <w:rPr>
                <w:sz w:val="20"/>
              </w:rPr>
              <w:t>I31.8,</w:t>
            </w:r>
            <w:r>
              <w:rPr>
                <w:spacing w:val="-5"/>
                <w:sz w:val="20"/>
              </w:rPr>
              <w:t> </w:t>
            </w:r>
            <w:r>
              <w:rPr>
                <w:sz w:val="20"/>
              </w:rPr>
              <w:t>I31.9,</w:t>
            </w:r>
            <w:r>
              <w:rPr>
                <w:spacing w:val="-5"/>
                <w:sz w:val="20"/>
              </w:rPr>
              <w:t> </w:t>
            </w:r>
            <w:r>
              <w:rPr>
                <w:sz w:val="20"/>
              </w:rPr>
              <w:t>I32.0,</w:t>
            </w:r>
            <w:r>
              <w:rPr>
                <w:spacing w:val="-5"/>
                <w:sz w:val="20"/>
              </w:rPr>
              <w:t> </w:t>
            </w:r>
            <w:r>
              <w:rPr>
                <w:sz w:val="20"/>
              </w:rPr>
              <w:t>I32.1,</w:t>
            </w:r>
            <w:r>
              <w:rPr>
                <w:spacing w:val="-6"/>
                <w:sz w:val="20"/>
              </w:rPr>
              <w:t> </w:t>
            </w:r>
            <w:r>
              <w:rPr>
                <w:sz w:val="20"/>
              </w:rPr>
              <w:t>I32.8,</w:t>
            </w:r>
            <w:r>
              <w:rPr>
                <w:spacing w:val="-5"/>
                <w:sz w:val="20"/>
              </w:rPr>
              <w:t> </w:t>
            </w:r>
            <w:r>
              <w:rPr>
                <w:spacing w:val="-2"/>
                <w:sz w:val="20"/>
              </w:rPr>
              <w:t>I33.0,</w:t>
            </w:r>
          </w:p>
        </w:tc>
        <w:tc>
          <w:tcPr>
            <w:tcW w:w="3709" w:type="dxa"/>
          </w:tcPr>
          <w:p>
            <w:pPr>
              <w:pStyle w:val="TableParagraph"/>
              <w:spacing w:line="210" w:lineRule="exact"/>
              <w:ind w:left="237" w:right="734"/>
              <w:jc w:val="center"/>
              <w:rPr>
                <w:sz w:val="20"/>
              </w:rPr>
            </w:pPr>
            <w:r>
              <w:rPr>
                <w:w w:val="95"/>
                <w:sz w:val="20"/>
              </w:rPr>
              <w:t>A06.10.006.002,</w:t>
            </w:r>
            <w:r>
              <w:rPr>
                <w:spacing w:val="54"/>
                <w:sz w:val="20"/>
              </w:rPr>
              <w:t> </w:t>
            </w:r>
            <w:r>
              <w:rPr>
                <w:spacing w:val="-2"/>
                <w:sz w:val="20"/>
              </w:rPr>
              <w:t>A11.10.001,</w:t>
            </w: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09" w:lineRule="exact"/>
              <w:ind w:left="217"/>
              <w:rPr>
                <w:sz w:val="20"/>
              </w:rPr>
            </w:pPr>
            <w:r>
              <w:rPr>
                <w:spacing w:val="-2"/>
                <w:sz w:val="20"/>
              </w:rPr>
              <w:t>кардиомиопатии</w:t>
            </w:r>
          </w:p>
        </w:tc>
        <w:tc>
          <w:tcPr>
            <w:tcW w:w="4442" w:type="dxa"/>
          </w:tcPr>
          <w:p>
            <w:pPr>
              <w:pStyle w:val="TableParagraph"/>
              <w:spacing w:line="209" w:lineRule="exact"/>
              <w:ind w:left="127" w:right="240"/>
              <w:jc w:val="center"/>
              <w:rPr>
                <w:sz w:val="20"/>
              </w:rPr>
            </w:pPr>
            <w:r>
              <w:rPr>
                <w:sz w:val="20"/>
              </w:rPr>
              <w:t>I33.9,</w:t>
            </w:r>
            <w:r>
              <w:rPr>
                <w:spacing w:val="-5"/>
                <w:sz w:val="20"/>
              </w:rPr>
              <w:t> </w:t>
            </w:r>
            <w:r>
              <w:rPr>
                <w:sz w:val="20"/>
              </w:rPr>
              <w:t>I38,</w:t>
            </w:r>
            <w:r>
              <w:rPr>
                <w:spacing w:val="-5"/>
                <w:sz w:val="20"/>
              </w:rPr>
              <w:t> </w:t>
            </w:r>
            <w:r>
              <w:rPr>
                <w:sz w:val="20"/>
              </w:rPr>
              <w:t>I39.8,</w:t>
            </w:r>
            <w:r>
              <w:rPr>
                <w:spacing w:val="-5"/>
                <w:sz w:val="20"/>
              </w:rPr>
              <w:t> </w:t>
            </w:r>
            <w:r>
              <w:rPr>
                <w:sz w:val="20"/>
              </w:rPr>
              <w:t>I40.0,</w:t>
            </w:r>
            <w:r>
              <w:rPr>
                <w:spacing w:val="-7"/>
                <w:sz w:val="20"/>
              </w:rPr>
              <w:t> </w:t>
            </w:r>
            <w:r>
              <w:rPr>
                <w:sz w:val="20"/>
              </w:rPr>
              <w:t>I40.1,</w:t>
            </w:r>
            <w:r>
              <w:rPr>
                <w:spacing w:val="-7"/>
                <w:sz w:val="20"/>
              </w:rPr>
              <w:t> </w:t>
            </w:r>
            <w:r>
              <w:rPr>
                <w:sz w:val="20"/>
              </w:rPr>
              <w:t>I40.8,</w:t>
            </w:r>
            <w:r>
              <w:rPr>
                <w:spacing w:val="-5"/>
                <w:sz w:val="20"/>
              </w:rPr>
              <w:t> </w:t>
            </w:r>
            <w:r>
              <w:rPr>
                <w:sz w:val="20"/>
              </w:rPr>
              <w:t>I40.9,</w:t>
            </w:r>
            <w:r>
              <w:rPr>
                <w:spacing w:val="-7"/>
                <w:sz w:val="20"/>
              </w:rPr>
              <w:t> </w:t>
            </w:r>
            <w:r>
              <w:rPr>
                <w:spacing w:val="-2"/>
                <w:sz w:val="20"/>
              </w:rPr>
              <w:t>I41.0,</w:t>
            </w:r>
          </w:p>
        </w:tc>
        <w:tc>
          <w:tcPr>
            <w:tcW w:w="3709" w:type="dxa"/>
          </w:tcPr>
          <w:p>
            <w:pPr>
              <w:pStyle w:val="TableParagraph"/>
              <w:spacing w:line="209" w:lineRule="exact"/>
              <w:ind w:left="237" w:right="734"/>
              <w:jc w:val="center"/>
              <w:rPr>
                <w:sz w:val="20"/>
              </w:rPr>
            </w:pPr>
            <w:r>
              <w:rPr>
                <w:sz w:val="20"/>
              </w:rPr>
              <w:t>A11.10.003,</w:t>
            </w:r>
            <w:r>
              <w:rPr>
                <w:spacing w:val="-9"/>
                <w:sz w:val="20"/>
              </w:rPr>
              <w:t> </w:t>
            </w:r>
            <w:r>
              <w:rPr>
                <w:spacing w:val="-2"/>
                <w:sz w:val="20"/>
              </w:rPr>
              <w:t>A16.10.014.008,</w:t>
            </w:r>
          </w:p>
        </w:tc>
        <w:tc>
          <w:tcPr>
            <w:tcW w:w="1661" w:type="dxa"/>
          </w:tcPr>
          <w:p>
            <w:pPr>
              <w:pStyle w:val="TableParagraph"/>
              <w:rPr>
                <w:sz w:val="16"/>
              </w:rPr>
            </w:pPr>
          </w:p>
        </w:tc>
        <w:tc>
          <w:tcPr>
            <w:tcW w:w="1262" w:type="dxa"/>
          </w:tcPr>
          <w:p>
            <w:pPr>
              <w:pStyle w:val="TableParagraph"/>
              <w:rPr>
                <w:sz w:val="16"/>
              </w:rPr>
            </w:pPr>
          </w:p>
        </w:tc>
      </w:tr>
      <w:tr>
        <w:trPr>
          <w:trHeight w:val="224"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04" w:lineRule="exact"/>
              <w:ind w:left="217"/>
              <w:rPr>
                <w:sz w:val="20"/>
              </w:rPr>
            </w:pPr>
            <w:r>
              <w:rPr>
                <w:sz w:val="20"/>
              </w:rPr>
              <w:t>(уровень</w:t>
            </w:r>
            <w:r>
              <w:rPr>
                <w:spacing w:val="-10"/>
                <w:sz w:val="20"/>
              </w:rPr>
              <w:t> </w:t>
            </w:r>
            <w:r>
              <w:rPr>
                <w:spacing w:val="-5"/>
                <w:sz w:val="20"/>
              </w:rPr>
              <w:t>2)</w:t>
            </w:r>
          </w:p>
        </w:tc>
        <w:tc>
          <w:tcPr>
            <w:tcW w:w="4442" w:type="dxa"/>
          </w:tcPr>
          <w:p>
            <w:pPr>
              <w:pStyle w:val="TableParagraph"/>
              <w:spacing w:line="204" w:lineRule="exact"/>
              <w:ind w:left="127" w:right="235"/>
              <w:jc w:val="center"/>
              <w:rPr>
                <w:sz w:val="20"/>
              </w:rPr>
            </w:pPr>
            <w:r>
              <w:rPr>
                <w:sz w:val="20"/>
              </w:rPr>
              <w:t>I41.1,</w:t>
            </w:r>
            <w:r>
              <w:rPr>
                <w:spacing w:val="-5"/>
                <w:sz w:val="20"/>
              </w:rPr>
              <w:t> </w:t>
            </w:r>
            <w:r>
              <w:rPr>
                <w:sz w:val="20"/>
              </w:rPr>
              <w:t>I41.2,</w:t>
            </w:r>
            <w:r>
              <w:rPr>
                <w:spacing w:val="-6"/>
                <w:sz w:val="20"/>
              </w:rPr>
              <w:t> </w:t>
            </w:r>
            <w:r>
              <w:rPr>
                <w:sz w:val="20"/>
              </w:rPr>
              <w:t>I41.8,</w:t>
            </w:r>
            <w:r>
              <w:rPr>
                <w:spacing w:val="-4"/>
                <w:sz w:val="20"/>
              </w:rPr>
              <w:t> </w:t>
            </w:r>
            <w:r>
              <w:rPr>
                <w:sz w:val="20"/>
              </w:rPr>
              <w:t>I43,</w:t>
            </w:r>
            <w:r>
              <w:rPr>
                <w:spacing w:val="-7"/>
                <w:sz w:val="20"/>
              </w:rPr>
              <w:t> </w:t>
            </w:r>
            <w:r>
              <w:rPr>
                <w:spacing w:val="-4"/>
                <w:sz w:val="20"/>
              </w:rPr>
              <w:t>I43.0</w:t>
            </w:r>
          </w:p>
        </w:tc>
        <w:tc>
          <w:tcPr>
            <w:tcW w:w="3709" w:type="dxa"/>
          </w:tcPr>
          <w:p>
            <w:pPr>
              <w:pStyle w:val="TableParagraph"/>
              <w:spacing w:line="204" w:lineRule="exact"/>
              <w:ind w:left="237" w:right="733"/>
              <w:jc w:val="center"/>
              <w:rPr>
                <w:sz w:val="20"/>
              </w:rPr>
            </w:pPr>
            <w:r>
              <w:rPr>
                <w:w w:val="95"/>
                <w:sz w:val="20"/>
              </w:rPr>
              <w:t>A16.10.014.009,</w:t>
            </w:r>
            <w:r>
              <w:rPr>
                <w:spacing w:val="55"/>
                <w:sz w:val="20"/>
              </w:rPr>
              <w:t> </w:t>
            </w:r>
            <w:r>
              <w:rPr>
                <w:spacing w:val="-2"/>
                <w:sz w:val="20"/>
              </w:rPr>
              <w:t>A17.10.001,</w:t>
            </w:r>
          </w:p>
        </w:tc>
        <w:tc>
          <w:tcPr>
            <w:tcW w:w="1661"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623"/>
        <w:gridCol w:w="4481"/>
        <w:gridCol w:w="3289"/>
        <w:gridCol w:w="2421"/>
        <w:gridCol w:w="838"/>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rPr>
                <w:sz w:val="18"/>
              </w:rPr>
            </w:pPr>
          </w:p>
        </w:tc>
        <w:tc>
          <w:tcPr>
            <w:tcW w:w="4481" w:type="dxa"/>
          </w:tcPr>
          <w:p>
            <w:pPr>
              <w:pStyle w:val="TableParagraph"/>
              <w:rPr>
                <w:sz w:val="18"/>
              </w:rPr>
            </w:pPr>
          </w:p>
        </w:tc>
        <w:tc>
          <w:tcPr>
            <w:tcW w:w="3289" w:type="dxa"/>
          </w:tcPr>
          <w:p>
            <w:pPr>
              <w:pStyle w:val="TableParagraph"/>
              <w:ind w:left="873" w:right="568" w:hanging="548"/>
              <w:rPr>
                <w:sz w:val="20"/>
              </w:rPr>
            </w:pPr>
            <w:r>
              <w:rPr>
                <w:sz w:val="20"/>
              </w:rPr>
              <w:t>A17.10.001.001,</w:t>
            </w:r>
            <w:r>
              <w:rPr>
                <w:spacing w:val="-13"/>
                <w:sz w:val="20"/>
              </w:rPr>
              <w:t> </w:t>
            </w:r>
            <w:r>
              <w:rPr>
                <w:sz w:val="20"/>
              </w:rPr>
              <w:t>A17.10.002, </w:t>
            </w:r>
            <w:r>
              <w:rPr>
                <w:spacing w:val="-2"/>
                <w:sz w:val="20"/>
              </w:rPr>
              <w:t>A17.10.002.001</w:t>
            </w:r>
          </w:p>
        </w:tc>
        <w:tc>
          <w:tcPr>
            <w:tcW w:w="2421" w:type="dxa"/>
          </w:tcPr>
          <w:p>
            <w:pPr>
              <w:pStyle w:val="TableParagraph"/>
              <w:rPr>
                <w:sz w:val="18"/>
              </w:rPr>
            </w:pPr>
          </w:p>
        </w:tc>
        <w:tc>
          <w:tcPr>
            <w:tcW w:w="838" w:type="dxa"/>
          </w:tcPr>
          <w:p>
            <w:pPr>
              <w:pStyle w:val="TableParagraph"/>
              <w:rPr>
                <w:sz w:val="18"/>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623" w:type="dxa"/>
            <w:vMerge w:val="restart"/>
          </w:tcPr>
          <w:p>
            <w:pPr>
              <w:pStyle w:val="TableParagraph"/>
              <w:rPr>
                <w:sz w:val="18"/>
              </w:rPr>
            </w:pPr>
          </w:p>
        </w:tc>
        <w:tc>
          <w:tcPr>
            <w:tcW w:w="4481" w:type="dxa"/>
          </w:tcPr>
          <w:p>
            <w:pPr>
              <w:pStyle w:val="TableParagraph"/>
              <w:spacing w:line="215" w:lineRule="exact" w:before="45"/>
              <w:ind w:left="153"/>
              <w:rPr>
                <w:sz w:val="20"/>
              </w:rPr>
            </w:pPr>
            <w:r>
              <w:rPr>
                <w:sz w:val="20"/>
              </w:rPr>
              <w:t>I42,</w:t>
            </w:r>
            <w:r>
              <w:rPr>
                <w:spacing w:val="-5"/>
                <w:sz w:val="20"/>
              </w:rPr>
              <w:t> </w:t>
            </w:r>
            <w:r>
              <w:rPr>
                <w:sz w:val="20"/>
              </w:rPr>
              <w:t>I42.0,</w:t>
            </w:r>
            <w:r>
              <w:rPr>
                <w:spacing w:val="-5"/>
                <w:sz w:val="20"/>
              </w:rPr>
              <w:t> </w:t>
            </w:r>
            <w:r>
              <w:rPr>
                <w:sz w:val="20"/>
              </w:rPr>
              <w:t>I42.1,</w:t>
            </w:r>
            <w:r>
              <w:rPr>
                <w:spacing w:val="-5"/>
                <w:sz w:val="20"/>
              </w:rPr>
              <w:t> </w:t>
            </w:r>
            <w:r>
              <w:rPr>
                <w:sz w:val="20"/>
              </w:rPr>
              <w:t>I42.2,</w:t>
            </w:r>
            <w:r>
              <w:rPr>
                <w:spacing w:val="-6"/>
                <w:sz w:val="20"/>
              </w:rPr>
              <w:t> </w:t>
            </w:r>
            <w:r>
              <w:rPr>
                <w:sz w:val="20"/>
              </w:rPr>
              <w:t>I42.3,</w:t>
            </w:r>
            <w:r>
              <w:rPr>
                <w:spacing w:val="-6"/>
                <w:sz w:val="20"/>
              </w:rPr>
              <w:t> </w:t>
            </w:r>
            <w:r>
              <w:rPr>
                <w:sz w:val="20"/>
              </w:rPr>
              <w:t>I42.4,</w:t>
            </w:r>
            <w:r>
              <w:rPr>
                <w:spacing w:val="-5"/>
                <w:sz w:val="20"/>
              </w:rPr>
              <w:t> </w:t>
            </w:r>
            <w:r>
              <w:rPr>
                <w:sz w:val="20"/>
              </w:rPr>
              <w:t>I42.5,</w:t>
            </w:r>
            <w:r>
              <w:rPr>
                <w:spacing w:val="-7"/>
                <w:sz w:val="20"/>
              </w:rPr>
              <w:t> </w:t>
            </w:r>
            <w:r>
              <w:rPr>
                <w:spacing w:val="-2"/>
                <w:sz w:val="20"/>
              </w:rPr>
              <w:t>I42.6,</w:t>
            </w:r>
          </w:p>
        </w:tc>
        <w:tc>
          <w:tcPr>
            <w:tcW w:w="3289" w:type="dxa"/>
          </w:tcPr>
          <w:p>
            <w:pPr>
              <w:pStyle w:val="TableParagraph"/>
              <w:spacing w:line="215" w:lineRule="exact" w:before="45"/>
              <w:ind w:left="120" w:right="367"/>
              <w:jc w:val="center"/>
              <w:rPr>
                <w:sz w:val="20"/>
              </w:rPr>
            </w:pPr>
            <w:r>
              <w:rPr>
                <w:w w:val="95"/>
                <w:sz w:val="20"/>
              </w:rPr>
              <w:t>A06.09.005.002,</w:t>
            </w:r>
            <w:r>
              <w:rPr>
                <w:spacing w:val="54"/>
                <w:sz w:val="20"/>
              </w:rPr>
              <w:t> </w:t>
            </w:r>
            <w:r>
              <w:rPr>
                <w:spacing w:val="-2"/>
                <w:sz w:val="20"/>
              </w:rPr>
              <w:t>A06.10.006,</w:t>
            </w:r>
          </w:p>
        </w:tc>
        <w:tc>
          <w:tcPr>
            <w:tcW w:w="2421" w:type="dxa"/>
          </w:tcPr>
          <w:p>
            <w:pPr>
              <w:pStyle w:val="TableParagraph"/>
              <w:spacing w:line="215" w:lineRule="exact" w:before="45"/>
              <w:ind w:right="221"/>
              <w:jc w:val="center"/>
              <w:rPr>
                <w:sz w:val="20"/>
              </w:rPr>
            </w:pPr>
            <w:r>
              <w:rPr>
                <w:w w:val="99"/>
                <w:sz w:val="20"/>
              </w:rPr>
              <w:t>-</w:t>
            </w:r>
          </w:p>
        </w:tc>
        <w:tc>
          <w:tcPr>
            <w:tcW w:w="838"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spacing w:line="210" w:lineRule="exact"/>
              <w:ind w:left="621"/>
              <w:rPr>
                <w:sz w:val="20"/>
              </w:rPr>
            </w:pPr>
            <w:r>
              <w:rPr>
                <w:sz w:val="20"/>
              </w:rPr>
              <w:t>I42.7,</w:t>
            </w:r>
            <w:r>
              <w:rPr>
                <w:spacing w:val="-6"/>
                <w:sz w:val="20"/>
              </w:rPr>
              <w:t> </w:t>
            </w:r>
            <w:r>
              <w:rPr>
                <w:sz w:val="20"/>
              </w:rPr>
              <w:t>I42.8,</w:t>
            </w:r>
            <w:r>
              <w:rPr>
                <w:spacing w:val="-6"/>
                <w:sz w:val="20"/>
              </w:rPr>
              <w:t> </w:t>
            </w:r>
            <w:r>
              <w:rPr>
                <w:sz w:val="20"/>
              </w:rPr>
              <w:t>I42.9,</w:t>
            </w:r>
            <w:r>
              <w:rPr>
                <w:spacing w:val="-6"/>
                <w:sz w:val="20"/>
              </w:rPr>
              <w:t> </w:t>
            </w:r>
            <w:r>
              <w:rPr>
                <w:sz w:val="20"/>
              </w:rPr>
              <w:t>I43.1,</w:t>
            </w:r>
            <w:r>
              <w:rPr>
                <w:spacing w:val="-5"/>
                <w:sz w:val="20"/>
              </w:rPr>
              <w:t> </w:t>
            </w:r>
            <w:r>
              <w:rPr>
                <w:sz w:val="20"/>
              </w:rPr>
              <w:t>I43.2,</w:t>
            </w:r>
            <w:r>
              <w:rPr>
                <w:spacing w:val="-5"/>
                <w:sz w:val="20"/>
              </w:rPr>
              <w:t> </w:t>
            </w:r>
            <w:r>
              <w:rPr>
                <w:spacing w:val="-4"/>
                <w:sz w:val="20"/>
              </w:rPr>
              <w:t>I43.8</w:t>
            </w:r>
          </w:p>
        </w:tc>
        <w:tc>
          <w:tcPr>
            <w:tcW w:w="3289" w:type="dxa"/>
          </w:tcPr>
          <w:p>
            <w:pPr>
              <w:pStyle w:val="TableParagraph"/>
              <w:spacing w:line="210" w:lineRule="exact"/>
              <w:ind w:left="120" w:right="367"/>
              <w:jc w:val="center"/>
              <w:rPr>
                <w:sz w:val="20"/>
              </w:rPr>
            </w:pPr>
            <w:r>
              <w:rPr>
                <w:w w:val="95"/>
                <w:sz w:val="20"/>
              </w:rPr>
              <w:t>A06.10.006.002,</w:t>
            </w:r>
            <w:r>
              <w:rPr>
                <w:spacing w:val="54"/>
                <w:sz w:val="20"/>
              </w:rPr>
              <w:t> </w:t>
            </w:r>
            <w:r>
              <w:rPr>
                <w:spacing w:val="-2"/>
                <w:sz w:val="20"/>
              </w:rPr>
              <w:t>A07.10.001,</w:t>
            </w:r>
          </w:p>
        </w:tc>
        <w:tc>
          <w:tcPr>
            <w:tcW w:w="2421" w:type="dxa"/>
          </w:tcPr>
          <w:p>
            <w:pPr>
              <w:pStyle w:val="TableParagraph"/>
              <w:rPr>
                <w:sz w:val="16"/>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6"/>
              </w:rPr>
            </w:pPr>
          </w:p>
        </w:tc>
        <w:tc>
          <w:tcPr>
            <w:tcW w:w="3289" w:type="dxa"/>
          </w:tcPr>
          <w:p>
            <w:pPr>
              <w:pStyle w:val="TableParagraph"/>
              <w:spacing w:line="210" w:lineRule="exact"/>
              <w:ind w:left="122" w:right="367"/>
              <w:jc w:val="center"/>
              <w:rPr>
                <w:sz w:val="20"/>
              </w:rPr>
            </w:pPr>
            <w:r>
              <w:rPr>
                <w:sz w:val="20"/>
              </w:rPr>
              <w:t>A11.10.001,</w:t>
            </w:r>
            <w:r>
              <w:rPr>
                <w:spacing w:val="-9"/>
                <w:sz w:val="20"/>
              </w:rPr>
              <w:t> </w:t>
            </w:r>
            <w:r>
              <w:rPr>
                <w:spacing w:val="-2"/>
                <w:sz w:val="20"/>
              </w:rPr>
              <w:t>A11.10.003,</w:t>
            </w:r>
          </w:p>
        </w:tc>
        <w:tc>
          <w:tcPr>
            <w:tcW w:w="2421" w:type="dxa"/>
          </w:tcPr>
          <w:p>
            <w:pPr>
              <w:pStyle w:val="TableParagraph"/>
              <w:rPr>
                <w:sz w:val="16"/>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6"/>
              </w:rPr>
            </w:pPr>
          </w:p>
        </w:tc>
        <w:tc>
          <w:tcPr>
            <w:tcW w:w="3289" w:type="dxa"/>
          </w:tcPr>
          <w:p>
            <w:pPr>
              <w:pStyle w:val="TableParagraph"/>
              <w:spacing w:line="209" w:lineRule="exact"/>
              <w:ind w:left="120" w:right="367"/>
              <w:jc w:val="center"/>
              <w:rPr>
                <w:sz w:val="20"/>
              </w:rPr>
            </w:pPr>
            <w:r>
              <w:rPr>
                <w:w w:val="95"/>
                <w:sz w:val="20"/>
              </w:rPr>
              <w:t>A16.10.014.008,</w:t>
            </w:r>
            <w:r>
              <w:rPr>
                <w:spacing w:val="54"/>
                <w:sz w:val="20"/>
              </w:rPr>
              <w:t> </w:t>
            </w:r>
            <w:r>
              <w:rPr>
                <w:spacing w:val="-2"/>
                <w:sz w:val="20"/>
              </w:rPr>
              <w:t>A16.10.014.009,</w:t>
            </w:r>
          </w:p>
        </w:tc>
        <w:tc>
          <w:tcPr>
            <w:tcW w:w="2421" w:type="dxa"/>
          </w:tcPr>
          <w:p>
            <w:pPr>
              <w:pStyle w:val="TableParagraph"/>
              <w:rPr>
                <w:sz w:val="16"/>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6"/>
              </w:rPr>
            </w:pPr>
          </w:p>
        </w:tc>
        <w:tc>
          <w:tcPr>
            <w:tcW w:w="3289" w:type="dxa"/>
          </w:tcPr>
          <w:p>
            <w:pPr>
              <w:pStyle w:val="TableParagraph"/>
              <w:spacing w:line="209" w:lineRule="exact"/>
              <w:ind w:left="120" w:right="367"/>
              <w:jc w:val="center"/>
              <w:rPr>
                <w:sz w:val="20"/>
              </w:rPr>
            </w:pPr>
            <w:r>
              <w:rPr>
                <w:sz w:val="20"/>
              </w:rPr>
              <w:t>A17.10.001,</w:t>
            </w:r>
            <w:r>
              <w:rPr>
                <w:spacing w:val="-9"/>
                <w:sz w:val="20"/>
              </w:rPr>
              <w:t> </w:t>
            </w:r>
            <w:r>
              <w:rPr>
                <w:spacing w:val="-2"/>
                <w:sz w:val="20"/>
              </w:rPr>
              <w:t>A17.10.001.001,</w:t>
            </w:r>
          </w:p>
        </w:tc>
        <w:tc>
          <w:tcPr>
            <w:tcW w:w="2421" w:type="dxa"/>
          </w:tcPr>
          <w:p>
            <w:pPr>
              <w:pStyle w:val="TableParagraph"/>
              <w:rPr>
                <w:sz w:val="16"/>
              </w:rPr>
            </w:pPr>
          </w:p>
        </w:tc>
        <w:tc>
          <w:tcPr>
            <w:tcW w:w="838" w:type="dxa"/>
            <w:vMerge/>
            <w:tcBorders>
              <w:top w:val="nil"/>
            </w:tcBorders>
          </w:tcPr>
          <w:p>
            <w:pPr>
              <w:rPr>
                <w:sz w:val="2"/>
                <w:szCs w:val="2"/>
              </w:rPr>
            </w:pPr>
          </w:p>
        </w:tc>
      </w:tr>
      <w:tr>
        <w:trPr>
          <w:trHeight w:val="281"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8"/>
              </w:rPr>
            </w:pPr>
          </w:p>
        </w:tc>
        <w:tc>
          <w:tcPr>
            <w:tcW w:w="3289" w:type="dxa"/>
          </w:tcPr>
          <w:p>
            <w:pPr>
              <w:pStyle w:val="TableParagraph"/>
              <w:spacing w:line="226" w:lineRule="exact"/>
              <w:ind w:left="119" w:right="367"/>
              <w:jc w:val="center"/>
              <w:rPr>
                <w:sz w:val="20"/>
              </w:rPr>
            </w:pPr>
            <w:r>
              <w:rPr>
                <w:sz w:val="20"/>
              </w:rPr>
              <w:t>A17.10.002,</w:t>
            </w:r>
            <w:r>
              <w:rPr>
                <w:spacing w:val="-9"/>
                <w:sz w:val="20"/>
              </w:rPr>
              <w:t> </w:t>
            </w:r>
            <w:r>
              <w:rPr>
                <w:spacing w:val="-2"/>
                <w:sz w:val="20"/>
              </w:rPr>
              <w:t>A17.10.002.001</w:t>
            </w:r>
          </w:p>
        </w:tc>
        <w:tc>
          <w:tcPr>
            <w:tcW w:w="2421" w:type="dxa"/>
          </w:tcPr>
          <w:p>
            <w:pPr>
              <w:pStyle w:val="TableParagraph"/>
              <w:rPr>
                <w:sz w:val="18"/>
              </w:rPr>
            </w:pPr>
          </w:p>
        </w:tc>
        <w:tc>
          <w:tcPr>
            <w:tcW w:w="838"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st13.008</w:t>
            </w:r>
          </w:p>
        </w:tc>
        <w:tc>
          <w:tcPr>
            <w:tcW w:w="657" w:type="dxa"/>
          </w:tcPr>
          <w:p>
            <w:pPr>
              <w:pStyle w:val="TableParagraph"/>
              <w:spacing w:line="215" w:lineRule="exact" w:before="46"/>
              <w:ind w:right="217"/>
              <w:jc w:val="right"/>
              <w:rPr>
                <w:sz w:val="20"/>
              </w:rPr>
            </w:pPr>
            <w:r>
              <w:rPr>
                <w:spacing w:val="-5"/>
                <w:sz w:val="20"/>
              </w:rPr>
              <w:t>83</w:t>
            </w:r>
          </w:p>
        </w:tc>
        <w:tc>
          <w:tcPr>
            <w:tcW w:w="2623" w:type="dxa"/>
          </w:tcPr>
          <w:p>
            <w:pPr>
              <w:pStyle w:val="TableParagraph"/>
              <w:spacing w:line="215" w:lineRule="exact" w:before="46"/>
              <w:ind w:left="217"/>
              <w:rPr>
                <w:sz w:val="20"/>
              </w:rPr>
            </w:pPr>
            <w:r>
              <w:rPr>
                <w:sz w:val="20"/>
              </w:rPr>
              <w:t>Инфаркт</w:t>
            </w:r>
            <w:r>
              <w:rPr>
                <w:spacing w:val="-11"/>
                <w:sz w:val="20"/>
              </w:rPr>
              <w:t> </w:t>
            </w:r>
            <w:r>
              <w:rPr>
                <w:spacing w:val="-2"/>
                <w:sz w:val="20"/>
              </w:rPr>
              <w:t>миокарда,</w:t>
            </w:r>
          </w:p>
        </w:tc>
        <w:tc>
          <w:tcPr>
            <w:tcW w:w="4481" w:type="dxa"/>
          </w:tcPr>
          <w:p>
            <w:pPr>
              <w:pStyle w:val="TableParagraph"/>
              <w:spacing w:line="215" w:lineRule="exact" w:before="46"/>
              <w:ind w:left="230"/>
              <w:rPr>
                <w:sz w:val="20"/>
              </w:rPr>
            </w:pPr>
            <w:r>
              <w:rPr>
                <w:sz w:val="20"/>
              </w:rPr>
              <w:t>I21,</w:t>
            </w:r>
            <w:r>
              <w:rPr>
                <w:spacing w:val="-5"/>
                <w:sz w:val="20"/>
              </w:rPr>
              <w:t> </w:t>
            </w:r>
            <w:r>
              <w:rPr>
                <w:sz w:val="20"/>
              </w:rPr>
              <w:t>I21.0,</w:t>
            </w:r>
            <w:r>
              <w:rPr>
                <w:spacing w:val="-5"/>
                <w:sz w:val="20"/>
              </w:rPr>
              <w:t> </w:t>
            </w:r>
            <w:r>
              <w:rPr>
                <w:sz w:val="20"/>
              </w:rPr>
              <w:t>I21.1,</w:t>
            </w:r>
            <w:r>
              <w:rPr>
                <w:spacing w:val="-5"/>
                <w:sz w:val="20"/>
              </w:rPr>
              <w:t> </w:t>
            </w:r>
            <w:r>
              <w:rPr>
                <w:sz w:val="20"/>
              </w:rPr>
              <w:t>I21.2,</w:t>
            </w:r>
            <w:r>
              <w:rPr>
                <w:spacing w:val="-6"/>
                <w:sz w:val="20"/>
              </w:rPr>
              <w:t> </w:t>
            </w:r>
            <w:r>
              <w:rPr>
                <w:sz w:val="20"/>
              </w:rPr>
              <w:t>I21.3,</w:t>
            </w:r>
            <w:r>
              <w:rPr>
                <w:spacing w:val="-6"/>
                <w:sz w:val="20"/>
              </w:rPr>
              <w:t> </w:t>
            </w:r>
            <w:r>
              <w:rPr>
                <w:sz w:val="20"/>
              </w:rPr>
              <w:t>I21.4,</w:t>
            </w:r>
            <w:r>
              <w:rPr>
                <w:spacing w:val="-5"/>
                <w:sz w:val="20"/>
              </w:rPr>
              <w:t> </w:t>
            </w:r>
            <w:r>
              <w:rPr>
                <w:sz w:val="20"/>
              </w:rPr>
              <w:t>I21.9,</w:t>
            </w:r>
            <w:r>
              <w:rPr>
                <w:spacing w:val="-7"/>
                <w:sz w:val="20"/>
              </w:rPr>
              <w:t> </w:t>
            </w:r>
            <w:r>
              <w:rPr>
                <w:spacing w:val="-4"/>
                <w:sz w:val="20"/>
              </w:rPr>
              <w:t>I22,</w:t>
            </w:r>
          </w:p>
        </w:tc>
        <w:tc>
          <w:tcPr>
            <w:tcW w:w="3289" w:type="dxa"/>
          </w:tcPr>
          <w:p>
            <w:pPr>
              <w:pStyle w:val="TableParagraph"/>
              <w:spacing w:line="215" w:lineRule="exact" w:before="46"/>
              <w:ind w:left="121" w:right="367"/>
              <w:jc w:val="center"/>
              <w:rPr>
                <w:sz w:val="20"/>
              </w:rPr>
            </w:pPr>
            <w:r>
              <w:rPr>
                <w:spacing w:val="-2"/>
                <w:sz w:val="20"/>
              </w:rPr>
              <w:t>A25.30.036.001</w:t>
            </w:r>
          </w:p>
        </w:tc>
        <w:tc>
          <w:tcPr>
            <w:tcW w:w="2421" w:type="dxa"/>
          </w:tcPr>
          <w:p>
            <w:pPr>
              <w:pStyle w:val="TableParagraph"/>
              <w:spacing w:line="215" w:lineRule="exact" w:before="46"/>
              <w:ind w:left="215" w:right="435"/>
              <w:jc w:val="center"/>
              <w:rPr>
                <w:sz w:val="20"/>
              </w:rPr>
            </w:pPr>
            <w:r>
              <w:rPr>
                <w:spacing w:val="-4"/>
                <w:sz w:val="20"/>
              </w:rPr>
              <w:t>Иной</w:t>
            </w:r>
          </w:p>
        </w:tc>
        <w:tc>
          <w:tcPr>
            <w:tcW w:w="838" w:type="dxa"/>
          </w:tcPr>
          <w:p>
            <w:pPr>
              <w:pStyle w:val="TableParagraph"/>
              <w:spacing w:line="215" w:lineRule="exact" w:before="46"/>
              <w:ind w:right="54"/>
              <w:jc w:val="right"/>
              <w:rPr>
                <w:sz w:val="20"/>
              </w:rPr>
            </w:pPr>
            <w:r>
              <w:rPr>
                <w:spacing w:val="-4"/>
                <w:sz w:val="20"/>
              </w:rPr>
              <w:t>1,61</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легочная</w:t>
            </w:r>
            <w:r>
              <w:rPr>
                <w:spacing w:val="-11"/>
                <w:sz w:val="20"/>
              </w:rPr>
              <w:t> </w:t>
            </w:r>
            <w:r>
              <w:rPr>
                <w:spacing w:val="-2"/>
                <w:sz w:val="20"/>
              </w:rPr>
              <w:t>эмболия,</w:t>
            </w:r>
          </w:p>
        </w:tc>
        <w:tc>
          <w:tcPr>
            <w:tcW w:w="4481" w:type="dxa"/>
          </w:tcPr>
          <w:p>
            <w:pPr>
              <w:pStyle w:val="TableParagraph"/>
              <w:spacing w:line="209" w:lineRule="exact"/>
              <w:ind w:left="153"/>
              <w:rPr>
                <w:sz w:val="20"/>
              </w:rPr>
            </w:pPr>
            <w:r>
              <w:rPr>
                <w:sz w:val="20"/>
              </w:rPr>
              <w:t>I22.0,</w:t>
            </w:r>
            <w:r>
              <w:rPr>
                <w:spacing w:val="-5"/>
                <w:sz w:val="20"/>
              </w:rPr>
              <w:t> </w:t>
            </w:r>
            <w:r>
              <w:rPr>
                <w:sz w:val="20"/>
              </w:rPr>
              <w:t>I22.1,</w:t>
            </w:r>
            <w:r>
              <w:rPr>
                <w:spacing w:val="-6"/>
                <w:sz w:val="20"/>
              </w:rPr>
              <w:t> </w:t>
            </w:r>
            <w:r>
              <w:rPr>
                <w:sz w:val="20"/>
              </w:rPr>
              <w:t>I22.8,</w:t>
            </w:r>
            <w:r>
              <w:rPr>
                <w:spacing w:val="-4"/>
                <w:sz w:val="20"/>
              </w:rPr>
              <w:t> </w:t>
            </w:r>
            <w:r>
              <w:rPr>
                <w:sz w:val="20"/>
              </w:rPr>
              <w:t>I22.9,</w:t>
            </w:r>
            <w:r>
              <w:rPr>
                <w:spacing w:val="-5"/>
                <w:sz w:val="20"/>
              </w:rPr>
              <w:t> </w:t>
            </w:r>
            <w:r>
              <w:rPr>
                <w:sz w:val="20"/>
              </w:rPr>
              <w:t>I23,</w:t>
            </w:r>
            <w:r>
              <w:rPr>
                <w:spacing w:val="-6"/>
                <w:sz w:val="20"/>
              </w:rPr>
              <w:t> </w:t>
            </w:r>
            <w:r>
              <w:rPr>
                <w:sz w:val="20"/>
              </w:rPr>
              <w:t>I23.0,</w:t>
            </w:r>
            <w:r>
              <w:rPr>
                <w:spacing w:val="-4"/>
                <w:sz w:val="20"/>
              </w:rPr>
              <w:t> </w:t>
            </w:r>
            <w:r>
              <w:rPr>
                <w:sz w:val="20"/>
              </w:rPr>
              <w:t>I23.1,</w:t>
            </w:r>
            <w:r>
              <w:rPr>
                <w:spacing w:val="-7"/>
                <w:sz w:val="20"/>
              </w:rPr>
              <w:t> </w:t>
            </w:r>
            <w:r>
              <w:rPr>
                <w:spacing w:val="-2"/>
                <w:sz w:val="20"/>
              </w:rPr>
              <w:t>I23.2,</w:t>
            </w:r>
          </w:p>
        </w:tc>
        <w:tc>
          <w:tcPr>
            <w:tcW w:w="3289" w:type="dxa"/>
          </w:tcPr>
          <w:p>
            <w:pPr>
              <w:pStyle w:val="TableParagraph"/>
              <w:rPr>
                <w:sz w:val="16"/>
              </w:rPr>
            </w:pPr>
          </w:p>
        </w:tc>
        <w:tc>
          <w:tcPr>
            <w:tcW w:w="2421" w:type="dxa"/>
          </w:tcPr>
          <w:p>
            <w:pPr>
              <w:pStyle w:val="TableParagraph"/>
              <w:spacing w:line="209" w:lineRule="exact"/>
              <w:ind w:left="216" w:right="435"/>
              <w:jc w:val="center"/>
              <w:rPr>
                <w:sz w:val="20"/>
              </w:rPr>
            </w:pPr>
            <w:r>
              <w:rPr>
                <w:spacing w:val="-2"/>
                <w:sz w:val="20"/>
              </w:rPr>
              <w:t>классификационный</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лечение</w:t>
            </w:r>
            <w:r>
              <w:rPr>
                <w:spacing w:val="-5"/>
                <w:sz w:val="20"/>
              </w:rPr>
              <w:t> </w:t>
            </w:r>
            <w:r>
              <w:rPr>
                <w:sz w:val="20"/>
              </w:rPr>
              <w:t>с</w:t>
            </w:r>
            <w:r>
              <w:rPr>
                <w:spacing w:val="-5"/>
                <w:sz w:val="20"/>
              </w:rPr>
              <w:t> </w:t>
            </w:r>
            <w:r>
              <w:rPr>
                <w:spacing w:val="-2"/>
                <w:sz w:val="20"/>
              </w:rPr>
              <w:t>применением</w:t>
            </w:r>
          </w:p>
        </w:tc>
        <w:tc>
          <w:tcPr>
            <w:tcW w:w="4481" w:type="dxa"/>
          </w:tcPr>
          <w:p>
            <w:pPr>
              <w:pStyle w:val="TableParagraph"/>
              <w:spacing w:line="209" w:lineRule="exact"/>
              <w:ind w:left="364"/>
              <w:rPr>
                <w:sz w:val="20"/>
              </w:rPr>
            </w:pPr>
            <w:r>
              <w:rPr>
                <w:sz w:val="20"/>
              </w:rPr>
              <w:t>I23.3,</w:t>
            </w:r>
            <w:r>
              <w:rPr>
                <w:spacing w:val="-6"/>
                <w:sz w:val="20"/>
              </w:rPr>
              <w:t> </w:t>
            </w:r>
            <w:r>
              <w:rPr>
                <w:sz w:val="20"/>
              </w:rPr>
              <w:t>I23.4,</w:t>
            </w:r>
            <w:r>
              <w:rPr>
                <w:spacing w:val="-6"/>
                <w:sz w:val="20"/>
              </w:rPr>
              <w:t> </w:t>
            </w: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I26.0,</w:t>
            </w:r>
            <w:r>
              <w:rPr>
                <w:spacing w:val="-6"/>
                <w:sz w:val="20"/>
              </w:rPr>
              <w:t> </w:t>
            </w:r>
            <w:r>
              <w:rPr>
                <w:spacing w:val="-4"/>
                <w:sz w:val="20"/>
              </w:rPr>
              <w:t>I26.9</w:t>
            </w:r>
          </w:p>
        </w:tc>
        <w:tc>
          <w:tcPr>
            <w:tcW w:w="3289" w:type="dxa"/>
          </w:tcPr>
          <w:p>
            <w:pPr>
              <w:pStyle w:val="TableParagraph"/>
              <w:rPr>
                <w:sz w:val="16"/>
              </w:rPr>
            </w:pPr>
          </w:p>
        </w:tc>
        <w:tc>
          <w:tcPr>
            <w:tcW w:w="2421" w:type="dxa"/>
          </w:tcPr>
          <w:p>
            <w:pPr>
              <w:pStyle w:val="TableParagraph"/>
              <w:spacing w:line="209" w:lineRule="exact"/>
              <w:ind w:left="213" w:right="435"/>
              <w:jc w:val="center"/>
              <w:rPr>
                <w:sz w:val="20"/>
              </w:rPr>
            </w:pPr>
            <w:r>
              <w:rPr>
                <w:sz w:val="20"/>
              </w:rPr>
              <w:t>критерий:</w:t>
            </w:r>
            <w:r>
              <w:rPr>
                <w:spacing w:val="-10"/>
                <w:sz w:val="20"/>
              </w:rPr>
              <w:t> </w:t>
            </w:r>
            <w:r>
              <w:rPr>
                <w:spacing w:val="-4"/>
                <w:sz w:val="20"/>
              </w:rPr>
              <w:t>flt1</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pacing w:val="-2"/>
                <w:sz w:val="20"/>
              </w:rPr>
              <w:t>тромболитической</w:t>
            </w:r>
          </w:p>
        </w:tc>
        <w:tc>
          <w:tcPr>
            <w:tcW w:w="4481" w:type="dxa"/>
          </w:tcPr>
          <w:p>
            <w:pPr>
              <w:pStyle w:val="TableParagraph"/>
              <w:rPr>
                <w:sz w:val="16"/>
              </w:rPr>
            </w:pPr>
          </w:p>
        </w:tc>
        <w:tc>
          <w:tcPr>
            <w:tcW w:w="3289" w:type="dxa"/>
          </w:tcPr>
          <w:p>
            <w:pPr>
              <w:pStyle w:val="TableParagraph"/>
              <w:rPr>
                <w:sz w:val="16"/>
              </w:rPr>
            </w:pPr>
          </w:p>
        </w:tc>
        <w:tc>
          <w:tcPr>
            <w:tcW w:w="2421" w:type="dxa"/>
          </w:tcPr>
          <w:p>
            <w:pPr>
              <w:pStyle w:val="TableParagraph"/>
              <w:rPr>
                <w:sz w:val="16"/>
              </w:rPr>
            </w:pPr>
          </w:p>
        </w:tc>
        <w:tc>
          <w:tcPr>
            <w:tcW w:w="838"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spacing w:line="226" w:lineRule="exact"/>
              <w:ind w:left="217"/>
              <w:rPr>
                <w:sz w:val="20"/>
              </w:rPr>
            </w:pPr>
            <w:r>
              <w:rPr>
                <w:sz w:val="20"/>
              </w:rPr>
              <w:t>терапии</w:t>
            </w:r>
            <w:r>
              <w:rPr>
                <w:spacing w:val="-11"/>
                <w:sz w:val="20"/>
              </w:rPr>
              <w:t> </w:t>
            </w:r>
            <w:r>
              <w:rPr>
                <w:sz w:val="20"/>
              </w:rPr>
              <w:t>(уровень</w:t>
            </w:r>
            <w:r>
              <w:rPr>
                <w:spacing w:val="-9"/>
                <w:sz w:val="20"/>
              </w:rPr>
              <w:t> </w:t>
            </w:r>
            <w:r>
              <w:rPr>
                <w:spacing w:val="-5"/>
                <w:sz w:val="20"/>
              </w:rPr>
              <w:t>1)</w:t>
            </w:r>
          </w:p>
        </w:tc>
        <w:tc>
          <w:tcPr>
            <w:tcW w:w="4481" w:type="dxa"/>
          </w:tcPr>
          <w:p>
            <w:pPr>
              <w:pStyle w:val="TableParagraph"/>
              <w:rPr>
                <w:sz w:val="18"/>
              </w:rPr>
            </w:pP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st13.009</w:t>
            </w:r>
          </w:p>
        </w:tc>
        <w:tc>
          <w:tcPr>
            <w:tcW w:w="657" w:type="dxa"/>
          </w:tcPr>
          <w:p>
            <w:pPr>
              <w:pStyle w:val="TableParagraph"/>
              <w:spacing w:line="214" w:lineRule="exact" w:before="46"/>
              <w:ind w:right="217"/>
              <w:jc w:val="right"/>
              <w:rPr>
                <w:sz w:val="20"/>
              </w:rPr>
            </w:pPr>
            <w:r>
              <w:rPr>
                <w:spacing w:val="-5"/>
                <w:sz w:val="20"/>
              </w:rPr>
              <w:t>84</w:t>
            </w:r>
          </w:p>
        </w:tc>
        <w:tc>
          <w:tcPr>
            <w:tcW w:w="2623" w:type="dxa"/>
          </w:tcPr>
          <w:p>
            <w:pPr>
              <w:pStyle w:val="TableParagraph"/>
              <w:spacing w:line="214" w:lineRule="exact" w:before="46"/>
              <w:ind w:left="217"/>
              <w:rPr>
                <w:sz w:val="20"/>
              </w:rPr>
            </w:pPr>
            <w:r>
              <w:rPr>
                <w:sz w:val="20"/>
              </w:rPr>
              <w:t>Инфаркт</w:t>
            </w:r>
            <w:r>
              <w:rPr>
                <w:spacing w:val="-11"/>
                <w:sz w:val="20"/>
              </w:rPr>
              <w:t> </w:t>
            </w:r>
            <w:r>
              <w:rPr>
                <w:spacing w:val="-2"/>
                <w:sz w:val="20"/>
              </w:rPr>
              <w:t>миокарда,</w:t>
            </w:r>
          </w:p>
        </w:tc>
        <w:tc>
          <w:tcPr>
            <w:tcW w:w="4481" w:type="dxa"/>
          </w:tcPr>
          <w:p>
            <w:pPr>
              <w:pStyle w:val="TableParagraph"/>
              <w:spacing w:line="214" w:lineRule="exact" w:before="46"/>
              <w:ind w:left="230"/>
              <w:rPr>
                <w:sz w:val="20"/>
              </w:rPr>
            </w:pPr>
            <w:r>
              <w:rPr>
                <w:sz w:val="20"/>
              </w:rPr>
              <w:t>I21,</w:t>
            </w:r>
            <w:r>
              <w:rPr>
                <w:spacing w:val="-5"/>
                <w:sz w:val="20"/>
              </w:rPr>
              <w:t> </w:t>
            </w:r>
            <w:r>
              <w:rPr>
                <w:sz w:val="20"/>
              </w:rPr>
              <w:t>I21.0,</w:t>
            </w:r>
            <w:r>
              <w:rPr>
                <w:spacing w:val="-5"/>
                <w:sz w:val="20"/>
              </w:rPr>
              <w:t> </w:t>
            </w:r>
            <w:r>
              <w:rPr>
                <w:sz w:val="20"/>
              </w:rPr>
              <w:t>I21.1,</w:t>
            </w:r>
            <w:r>
              <w:rPr>
                <w:spacing w:val="-5"/>
                <w:sz w:val="20"/>
              </w:rPr>
              <w:t> </w:t>
            </w:r>
            <w:r>
              <w:rPr>
                <w:sz w:val="20"/>
              </w:rPr>
              <w:t>I21.2,</w:t>
            </w:r>
            <w:r>
              <w:rPr>
                <w:spacing w:val="-6"/>
                <w:sz w:val="20"/>
              </w:rPr>
              <w:t> </w:t>
            </w:r>
            <w:r>
              <w:rPr>
                <w:sz w:val="20"/>
              </w:rPr>
              <w:t>I21.3,</w:t>
            </w:r>
            <w:r>
              <w:rPr>
                <w:spacing w:val="-6"/>
                <w:sz w:val="20"/>
              </w:rPr>
              <w:t> </w:t>
            </w:r>
            <w:r>
              <w:rPr>
                <w:sz w:val="20"/>
              </w:rPr>
              <w:t>I21.4,</w:t>
            </w:r>
            <w:r>
              <w:rPr>
                <w:spacing w:val="-5"/>
                <w:sz w:val="20"/>
              </w:rPr>
              <w:t> </w:t>
            </w:r>
            <w:r>
              <w:rPr>
                <w:sz w:val="20"/>
              </w:rPr>
              <w:t>I21.9,</w:t>
            </w:r>
            <w:r>
              <w:rPr>
                <w:spacing w:val="-7"/>
                <w:sz w:val="20"/>
              </w:rPr>
              <w:t> </w:t>
            </w:r>
            <w:r>
              <w:rPr>
                <w:spacing w:val="-4"/>
                <w:sz w:val="20"/>
              </w:rPr>
              <w:t>I22,</w:t>
            </w:r>
          </w:p>
        </w:tc>
        <w:tc>
          <w:tcPr>
            <w:tcW w:w="3289" w:type="dxa"/>
          </w:tcPr>
          <w:p>
            <w:pPr>
              <w:pStyle w:val="TableParagraph"/>
              <w:spacing w:line="214" w:lineRule="exact" w:before="46"/>
              <w:ind w:left="121" w:right="367"/>
              <w:jc w:val="center"/>
              <w:rPr>
                <w:sz w:val="20"/>
              </w:rPr>
            </w:pPr>
            <w:r>
              <w:rPr>
                <w:spacing w:val="-2"/>
                <w:sz w:val="20"/>
              </w:rPr>
              <w:t>A25.30.036.001</w:t>
            </w:r>
          </w:p>
        </w:tc>
        <w:tc>
          <w:tcPr>
            <w:tcW w:w="2421" w:type="dxa"/>
          </w:tcPr>
          <w:p>
            <w:pPr>
              <w:pStyle w:val="TableParagraph"/>
              <w:spacing w:line="214" w:lineRule="exact" w:before="46"/>
              <w:ind w:left="215" w:right="435"/>
              <w:jc w:val="center"/>
              <w:rPr>
                <w:sz w:val="20"/>
              </w:rPr>
            </w:pPr>
            <w:r>
              <w:rPr>
                <w:spacing w:val="-4"/>
                <w:sz w:val="20"/>
              </w:rPr>
              <w:t>Иной</w:t>
            </w:r>
          </w:p>
        </w:tc>
        <w:tc>
          <w:tcPr>
            <w:tcW w:w="838" w:type="dxa"/>
          </w:tcPr>
          <w:p>
            <w:pPr>
              <w:pStyle w:val="TableParagraph"/>
              <w:spacing w:line="214" w:lineRule="exact" w:before="46"/>
              <w:ind w:right="54"/>
              <w:jc w:val="right"/>
              <w:rPr>
                <w:sz w:val="20"/>
              </w:rPr>
            </w:pPr>
            <w:r>
              <w:rPr>
                <w:spacing w:val="-4"/>
                <w:sz w:val="20"/>
              </w:rPr>
              <w:t>2,99</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легочная</w:t>
            </w:r>
            <w:r>
              <w:rPr>
                <w:spacing w:val="-11"/>
                <w:sz w:val="20"/>
              </w:rPr>
              <w:t> </w:t>
            </w:r>
            <w:r>
              <w:rPr>
                <w:spacing w:val="-2"/>
                <w:sz w:val="20"/>
              </w:rPr>
              <w:t>эмболия,</w:t>
            </w:r>
          </w:p>
        </w:tc>
        <w:tc>
          <w:tcPr>
            <w:tcW w:w="4481" w:type="dxa"/>
          </w:tcPr>
          <w:p>
            <w:pPr>
              <w:pStyle w:val="TableParagraph"/>
              <w:spacing w:line="209" w:lineRule="exact"/>
              <w:ind w:left="153"/>
              <w:rPr>
                <w:sz w:val="20"/>
              </w:rPr>
            </w:pPr>
            <w:r>
              <w:rPr>
                <w:sz w:val="20"/>
              </w:rPr>
              <w:t>I22.0,</w:t>
            </w:r>
            <w:r>
              <w:rPr>
                <w:spacing w:val="-5"/>
                <w:sz w:val="20"/>
              </w:rPr>
              <w:t> </w:t>
            </w:r>
            <w:r>
              <w:rPr>
                <w:sz w:val="20"/>
              </w:rPr>
              <w:t>I22.1,</w:t>
            </w:r>
            <w:r>
              <w:rPr>
                <w:spacing w:val="-7"/>
                <w:sz w:val="20"/>
              </w:rPr>
              <w:t> </w:t>
            </w:r>
            <w:r>
              <w:rPr>
                <w:sz w:val="20"/>
              </w:rPr>
              <w:t>I22.8,</w:t>
            </w:r>
            <w:r>
              <w:rPr>
                <w:spacing w:val="-4"/>
                <w:sz w:val="20"/>
              </w:rPr>
              <w:t> </w:t>
            </w:r>
            <w:r>
              <w:rPr>
                <w:sz w:val="20"/>
              </w:rPr>
              <w:t>I22.9,</w:t>
            </w:r>
            <w:r>
              <w:rPr>
                <w:spacing w:val="-5"/>
                <w:sz w:val="20"/>
              </w:rPr>
              <w:t> </w:t>
            </w:r>
            <w:r>
              <w:rPr>
                <w:sz w:val="20"/>
              </w:rPr>
              <w:t>I23,</w:t>
            </w:r>
            <w:r>
              <w:rPr>
                <w:spacing w:val="-6"/>
                <w:sz w:val="20"/>
              </w:rPr>
              <w:t> </w:t>
            </w:r>
            <w:r>
              <w:rPr>
                <w:sz w:val="20"/>
              </w:rPr>
              <w:t>I23.0,</w:t>
            </w:r>
            <w:r>
              <w:rPr>
                <w:spacing w:val="-5"/>
                <w:sz w:val="20"/>
              </w:rPr>
              <w:t> </w:t>
            </w:r>
            <w:r>
              <w:rPr>
                <w:sz w:val="20"/>
              </w:rPr>
              <w:t>I23.1,</w:t>
            </w:r>
            <w:r>
              <w:rPr>
                <w:spacing w:val="-7"/>
                <w:sz w:val="20"/>
              </w:rPr>
              <w:t> </w:t>
            </w:r>
            <w:r>
              <w:rPr>
                <w:spacing w:val="-2"/>
                <w:sz w:val="20"/>
              </w:rPr>
              <w:t>I23.2,</w:t>
            </w:r>
          </w:p>
        </w:tc>
        <w:tc>
          <w:tcPr>
            <w:tcW w:w="3289" w:type="dxa"/>
          </w:tcPr>
          <w:p>
            <w:pPr>
              <w:pStyle w:val="TableParagraph"/>
              <w:rPr>
                <w:sz w:val="16"/>
              </w:rPr>
            </w:pPr>
          </w:p>
        </w:tc>
        <w:tc>
          <w:tcPr>
            <w:tcW w:w="2421" w:type="dxa"/>
          </w:tcPr>
          <w:p>
            <w:pPr>
              <w:pStyle w:val="TableParagraph"/>
              <w:spacing w:line="209" w:lineRule="exact"/>
              <w:ind w:left="216" w:right="435"/>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z w:val="20"/>
              </w:rPr>
              <w:t>лечение</w:t>
            </w:r>
            <w:r>
              <w:rPr>
                <w:spacing w:val="-5"/>
                <w:sz w:val="20"/>
              </w:rPr>
              <w:t> </w:t>
            </w:r>
            <w:r>
              <w:rPr>
                <w:sz w:val="20"/>
              </w:rPr>
              <w:t>с</w:t>
            </w:r>
            <w:r>
              <w:rPr>
                <w:spacing w:val="-5"/>
                <w:sz w:val="20"/>
              </w:rPr>
              <w:t> </w:t>
            </w:r>
            <w:r>
              <w:rPr>
                <w:spacing w:val="-2"/>
                <w:sz w:val="20"/>
              </w:rPr>
              <w:t>применением</w:t>
            </w:r>
          </w:p>
        </w:tc>
        <w:tc>
          <w:tcPr>
            <w:tcW w:w="4481" w:type="dxa"/>
          </w:tcPr>
          <w:p>
            <w:pPr>
              <w:pStyle w:val="TableParagraph"/>
              <w:spacing w:line="210" w:lineRule="exact"/>
              <w:ind w:left="364"/>
              <w:rPr>
                <w:sz w:val="20"/>
              </w:rPr>
            </w:pPr>
            <w:r>
              <w:rPr>
                <w:sz w:val="20"/>
              </w:rPr>
              <w:t>I23.3,</w:t>
            </w:r>
            <w:r>
              <w:rPr>
                <w:spacing w:val="-6"/>
                <w:sz w:val="20"/>
              </w:rPr>
              <w:t> </w:t>
            </w:r>
            <w:r>
              <w:rPr>
                <w:sz w:val="20"/>
              </w:rPr>
              <w:t>I23.4,</w:t>
            </w:r>
            <w:r>
              <w:rPr>
                <w:spacing w:val="-6"/>
                <w:sz w:val="20"/>
              </w:rPr>
              <w:t> </w:t>
            </w: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I26.0,</w:t>
            </w:r>
            <w:r>
              <w:rPr>
                <w:spacing w:val="-6"/>
                <w:sz w:val="20"/>
              </w:rPr>
              <w:t> </w:t>
            </w:r>
            <w:r>
              <w:rPr>
                <w:spacing w:val="-4"/>
                <w:sz w:val="20"/>
              </w:rPr>
              <w:t>I26.9</w:t>
            </w:r>
          </w:p>
        </w:tc>
        <w:tc>
          <w:tcPr>
            <w:tcW w:w="3289" w:type="dxa"/>
          </w:tcPr>
          <w:p>
            <w:pPr>
              <w:pStyle w:val="TableParagraph"/>
              <w:rPr>
                <w:sz w:val="16"/>
              </w:rPr>
            </w:pPr>
          </w:p>
        </w:tc>
        <w:tc>
          <w:tcPr>
            <w:tcW w:w="2421" w:type="dxa"/>
          </w:tcPr>
          <w:p>
            <w:pPr>
              <w:pStyle w:val="TableParagraph"/>
              <w:spacing w:line="210" w:lineRule="exact"/>
              <w:ind w:left="210" w:right="435"/>
              <w:jc w:val="center"/>
              <w:rPr>
                <w:sz w:val="20"/>
              </w:rPr>
            </w:pPr>
            <w:r>
              <w:rPr>
                <w:sz w:val="20"/>
              </w:rPr>
              <w:t>критерий:</w:t>
            </w:r>
            <w:r>
              <w:rPr>
                <w:spacing w:val="-7"/>
                <w:sz w:val="20"/>
              </w:rPr>
              <w:t> </w:t>
            </w:r>
            <w:r>
              <w:rPr>
                <w:sz w:val="20"/>
              </w:rPr>
              <w:t>flt2,</w:t>
            </w:r>
            <w:r>
              <w:rPr>
                <w:spacing w:val="-8"/>
                <w:sz w:val="20"/>
              </w:rPr>
              <w:t> </w:t>
            </w:r>
            <w:r>
              <w:rPr>
                <w:spacing w:val="-4"/>
                <w:sz w:val="20"/>
              </w:rPr>
              <w:t>flt3</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1" w:lineRule="exact"/>
              <w:ind w:left="217"/>
              <w:rPr>
                <w:sz w:val="20"/>
              </w:rPr>
            </w:pPr>
            <w:r>
              <w:rPr>
                <w:spacing w:val="-2"/>
                <w:sz w:val="20"/>
              </w:rPr>
              <w:t>тромболитической</w:t>
            </w:r>
          </w:p>
        </w:tc>
        <w:tc>
          <w:tcPr>
            <w:tcW w:w="4481" w:type="dxa"/>
          </w:tcPr>
          <w:p>
            <w:pPr>
              <w:pStyle w:val="TableParagraph"/>
              <w:rPr>
                <w:sz w:val="16"/>
              </w:rPr>
            </w:pPr>
          </w:p>
        </w:tc>
        <w:tc>
          <w:tcPr>
            <w:tcW w:w="3289" w:type="dxa"/>
          </w:tcPr>
          <w:p>
            <w:pPr>
              <w:pStyle w:val="TableParagraph"/>
              <w:rPr>
                <w:sz w:val="16"/>
              </w:rPr>
            </w:pPr>
          </w:p>
        </w:tc>
        <w:tc>
          <w:tcPr>
            <w:tcW w:w="2421"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spacing w:line="226" w:lineRule="exact"/>
              <w:ind w:left="217"/>
              <w:rPr>
                <w:sz w:val="20"/>
              </w:rPr>
            </w:pPr>
            <w:r>
              <w:rPr>
                <w:sz w:val="20"/>
              </w:rPr>
              <w:t>терапии</w:t>
            </w:r>
            <w:r>
              <w:rPr>
                <w:spacing w:val="-11"/>
                <w:sz w:val="20"/>
              </w:rPr>
              <w:t> </w:t>
            </w:r>
            <w:r>
              <w:rPr>
                <w:sz w:val="20"/>
              </w:rPr>
              <w:t>(уровень</w:t>
            </w:r>
            <w:r>
              <w:rPr>
                <w:spacing w:val="-9"/>
                <w:sz w:val="20"/>
              </w:rPr>
              <w:t> </w:t>
            </w:r>
            <w:r>
              <w:rPr>
                <w:spacing w:val="-5"/>
                <w:sz w:val="20"/>
              </w:rPr>
              <w:t>2)</w:t>
            </w:r>
          </w:p>
        </w:tc>
        <w:tc>
          <w:tcPr>
            <w:tcW w:w="4481" w:type="dxa"/>
          </w:tcPr>
          <w:p>
            <w:pPr>
              <w:pStyle w:val="TableParagraph"/>
              <w:rPr>
                <w:sz w:val="18"/>
              </w:rPr>
            </w:pP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st13.010</w:t>
            </w:r>
          </w:p>
        </w:tc>
        <w:tc>
          <w:tcPr>
            <w:tcW w:w="657" w:type="dxa"/>
          </w:tcPr>
          <w:p>
            <w:pPr>
              <w:pStyle w:val="TableParagraph"/>
              <w:spacing w:line="215" w:lineRule="exact" w:before="45"/>
              <w:ind w:right="217"/>
              <w:jc w:val="right"/>
              <w:rPr>
                <w:sz w:val="20"/>
              </w:rPr>
            </w:pPr>
            <w:r>
              <w:rPr>
                <w:spacing w:val="-5"/>
                <w:sz w:val="20"/>
              </w:rPr>
              <w:t>85</w:t>
            </w:r>
          </w:p>
        </w:tc>
        <w:tc>
          <w:tcPr>
            <w:tcW w:w="2623" w:type="dxa"/>
          </w:tcPr>
          <w:p>
            <w:pPr>
              <w:pStyle w:val="TableParagraph"/>
              <w:spacing w:line="215" w:lineRule="exact" w:before="45"/>
              <w:ind w:left="217"/>
              <w:rPr>
                <w:sz w:val="20"/>
              </w:rPr>
            </w:pPr>
            <w:r>
              <w:rPr>
                <w:sz w:val="20"/>
              </w:rPr>
              <w:t>Инфаркт</w:t>
            </w:r>
            <w:r>
              <w:rPr>
                <w:spacing w:val="-11"/>
                <w:sz w:val="20"/>
              </w:rPr>
              <w:t> </w:t>
            </w:r>
            <w:r>
              <w:rPr>
                <w:spacing w:val="-2"/>
                <w:sz w:val="20"/>
              </w:rPr>
              <w:t>миокарда,</w:t>
            </w:r>
          </w:p>
        </w:tc>
        <w:tc>
          <w:tcPr>
            <w:tcW w:w="4481" w:type="dxa"/>
          </w:tcPr>
          <w:p>
            <w:pPr>
              <w:pStyle w:val="TableParagraph"/>
              <w:spacing w:line="215" w:lineRule="exact" w:before="45"/>
              <w:ind w:left="230"/>
              <w:rPr>
                <w:sz w:val="20"/>
              </w:rPr>
            </w:pPr>
            <w:r>
              <w:rPr>
                <w:sz w:val="20"/>
              </w:rPr>
              <w:t>I21,</w:t>
            </w:r>
            <w:r>
              <w:rPr>
                <w:spacing w:val="-5"/>
                <w:sz w:val="20"/>
              </w:rPr>
              <w:t> </w:t>
            </w:r>
            <w:r>
              <w:rPr>
                <w:sz w:val="20"/>
              </w:rPr>
              <w:t>I21.0,</w:t>
            </w:r>
            <w:r>
              <w:rPr>
                <w:spacing w:val="-5"/>
                <w:sz w:val="20"/>
              </w:rPr>
              <w:t> </w:t>
            </w:r>
            <w:r>
              <w:rPr>
                <w:sz w:val="20"/>
              </w:rPr>
              <w:t>I21.1,</w:t>
            </w:r>
            <w:r>
              <w:rPr>
                <w:spacing w:val="-5"/>
                <w:sz w:val="20"/>
              </w:rPr>
              <w:t> </w:t>
            </w:r>
            <w:r>
              <w:rPr>
                <w:sz w:val="20"/>
              </w:rPr>
              <w:t>I21.2,</w:t>
            </w:r>
            <w:r>
              <w:rPr>
                <w:spacing w:val="-6"/>
                <w:sz w:val="20"/>
              </w:rPr>
              <w:t> </w:t>
            </w:r>
            <w:r>
              <w:rPr>
                <w:sz w:val="20"/>
              </w:rPr>
              <w:t>I21.3,</w:t>
            </w:r>
            <w:r>
              <w:rPr>
                <w:spacing w:val="-6"/>
                <w:sz w:val="20"/>
              </w:rPr>
              <w:t> </w:t>
            </w:r>
            <w:r>
              <w:rPr>
                <w:sz w:val="20"/>
              </w:rPr>
              <w:t>I21.4,</w:t>
            </w:r>
            <w:r>
              <w:rPr>
                <w:spacing w:val="-5"/>
                <w:sz w:val="20"/>
              </w:rPr>
              <w:t> </w:t>
            </w:r>
            <w:r>
              <w:rPr>
                <w:sz w:val="20"/>
              </w:rPr>
              <w:t>I21.9,</w:t>
            </w:r>
            <w:r>
              <w:rPr>
                <w:spacing w:val="-7"/>
                <w:sz w:val="20"/>
              </w:rPr>
              <w:t> </w:t>
            </w:r>
            <w:r>
              <w:rPr>
                <w:spacing w:val="-4"/>
                <w:sz w:val="20"/>
              </w:rPr>
              <w:t>I22,</w:t>
            </w:r>
          </w:p>
        </w:tc>
        <w:tc>
          <w:tcPr>
            <w:tcW w:w="3289" w:type="dxa"/>
          </w:tcPr>
          <w:p>
            <w:pPr>
              <w:pStyle w:val="TableParagraph"/>
              <w:spacing w:line="215" w:lineRule="exact" w:before="45"/>
              <w:ind w:left="121" w:right="367"/>
              <w:jc w:val="center"/>
              <w:rPr>
                <w:sz w:val="20"/>
              </w:rPr>
            </w:pPr>
            <w:r>
              <w:rPr>
                <w:spacing w:val="-2"/>
                <w:sz w:val="20"/>
              </w:rPr>
              <w:t>A25.30.036.001</w:t>
            </w:r>
          </w:p>
        </w:tc>
        <w:tc>
          <w:tcPr>
            <w:tcW w:w="2421" w:type="dxa"/>
          </w:tcPr>
          <w:p>
            <w:pPr>
              <w:pStyle w:val="TableParagraph"/>
              <w:spacing w:line="215" w:lineRule="exact" w:before="45"/>
              <w:ind w:left="215" w:right="435"/>
              <w:jc w:val="center"/>
              <w:rPr>
                <w:sz w:val="20"/>
              </w:rPr>
            </w:pPr>
            <w:r>
              <w:rPr>
                <w:spacing w:val="-4"/>
                <w:sz w:val="20"/>
              </w:rPr>
              <w:t>Иной</w:t>
            </w:r>
          </w:p>
        </w:tc>
        <w:tc>
          <w:tcPr>
            <w:tcW w:w="838" w:type="dxa"/>
          </w:tcPr>
          <w:p>
            <w:pPr>
              <w:pStyle w:val="TableParagraph"/>
              <w:spacing w:line="215" w:lineRule="exact" w:before="45"/>
              <w:ind w:right="54"/>
              <w:jc w:val="right"/>
              <w:rPr>
                <w:sz w:val="20"/>
              </w:rPr>
            </w:pPr>
            <w:r>
              <w:rPr>
                <w:spacing w:val="-4"/>
                <w:sz w:val="20"/>
              </w:rPr>
              <w:t>3,54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z w:val="20"/>
              </w:rPr>
              <w:t>легочная</w:t>
            </w:r>
            <w:r>
              <w:rPr>
                <w:spacing w:val="-11"/>
                <w:sz w:val="20"/>
              </w:rPr>
              <w:t> </w:t>
            </w:r>
            <w:r>
              <w:rPr>
                <w:spacing w:val="-2"/>
                <w:sz w:val="20"/>
              </w:rPr>
              <w:t>эмболия,</w:t>
            </w:r>
          </w:p>
        </w:tc>
        <w:tc>
          <w:tcPr>
            <w:tcW w:w="4481" w:type="dxa"/>
          </w:tcPr>
          <w:p>
            <w:pPr>
              <w:pStyle w:val="TableParagraph"/>
              <w:spacing w:line="210" w:lineRule="exact"/>
              <w:ind w:left="153"/>
              <w:rPr>
                <w:sz w:val="20"/>
              </w:rPr>
            </w:pPr>
            <w:r>
              <w:rPr>
                <w:sz w:val="20"/>
              </w:rPr>
              <w:t>I22.0,</w:t>
            </w:r>
            <w:r>
              <w:rPr>
                <w:spacing w:val="-5"/>
                <w:sz w:val="20"/>
              </w:rPr>
              <w:t> </w:t>
            </w:r>
            <w:r>
              <w:rPr>
                <w:sz w:val="20"/>
              </w:rPr>
              <w:t>I22.1,</w:t>
            </w:r>
            <w:r>
              <w:rPr>
                <w:spacing w:val="-7"/>
                <w:sz w:val="20"/>
              </w:rPr>
              <w:t> </w:t>
            </w:r>
            <w:r>
              <w:rPr>
                <w:sz w:val="20"/>
              </w:rPr>
              <w:t>I22.8,</w:t>
            </w:r>
            <w:r>
              <w:rPr>
                <w:spacing w:val="-4"/>
                <w:sz w:val="20"/>
              </w:rPr>
              <w:t> </w:t>
            </w:r>
            <w:r>
              <w:rPr>
                <w:sz w:val="20"/>
              </w:rPr>
              <w:t>I22.9,</w:t>
            </w:r>
            <w:r>
              <w:rPr>
                <w:spacing w:val="-5"/>
                <w:sz w:val="20"/>
              </w:rPr>
              <w:t> </w:t>
            </w:r>
            <w:r>
              <w:rPr>
                <w:sz w:val="20"/>
              </w:rPr>
              <w:t>I23,</w:t>
            </w:r>
            <w:r>
              <w:rPr>
                <w:spacing w:val="-6"/>
                <w:sz w:val="20"/>
              </w:rPr>
              <w:t> </w:t>
            </w:r>
            <w:r>
              <w:rPr>
                <w:sz w:val="20"/>
              </w:rPr>
              <w:t>I23.0,</w:t>
            </w:r>
            <w:r>
              <w:rPr>
                <w:spacing w:val="-5"/>
                <w:sz w:val="20"/>
              </w:rPr>
              <w:t> </w:t>
            </w:r>
            <w:r>
              <w:rPr>
                <w:sz w:val="20"/>
              </w:rPr>
              <w:t>I23.1,</w:t>
            </w:r>
            <w:r>
              <w:rPr>
                <w:spacing w:val="-7"/>
                <w:sz w:val="20"/>
              </w:rPr>
              <w:t> </w:t>
            </w:r>
            <w:r>
              <w:rPr>
                <w:spacing w:val="-2"/>
                <w:sz w:val="20"/>
              </w:rPr>
              <w:t>I23.2,</w:t>
            </w:r>
          </w:p>
        </w:tc>
        <w:tc>
          <w:tcPr>
            <w:tcW w:w="3289" w:type="dxa"/>
          </w:tcPr>
          <w:p>
            <w:pPr>
              <w:pStyle w:val="TableParagraph"/>
              <w:rPr>
                <w:sz w:val="16"/>
              </w:rPr>
            </w:pPr>
          </w:p>
        </w:tc>
        <w:tc>
          <w:tcPr>
            <w:tcW w:w="2421" w:type="dxa"/>
          </w:tcPr>
          <w:p>
            <w:pPr>
              <w:pStyle w:val="TableParagraph"/>
              <w:spacing w:line="210" w:lineRule="exact"/>
              <w:ind w:left="216" w:right="434"/>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z w:val="20"/>
              </w:rPr>
              <w:t>лечение</w:t>
            </w:r>
            <w:r>
              <w:rPr>
                <w:spacing w:val="-5"/>
                <w:sz w:val="20"/>
              </w:rPr>
              <w:t> </w:t>
            </w:r>
            <w:r>
              <w:rPr>
                <w:sz w:val="20"/>
              </w:rPr>
              <w:t>с</w:t>
            </w:r>
            <w:r>
              <w:rPr>
                <w:spacing w:val="-5"/>
                <w:sz w:val="20"/>
              </w:rPr>
              <w:t> </w:t>
            </w:r>
            <w:r>
              <w:rPr>
                <w:spacing w:val="-2"/>
                <w:sz w:val="20"/>
              </w:rPr>
              <w:t>применением</w:t>
            </w:r>
          </w:p>
        </w:tc>
        <w:tc>
          <w:tcPr>
            <w:tcW w:w="4481" w:type="dxa"/>
          </w:tcPr>
          <w:p>
            <w:pPr>
              <w:pStyle w:val="TableParagraph"/>
              <w:spacing w:line="210" w:lineRule="exact"/>
              <w:ind w:left="364"/>
              <w:rPr>
                <w:sz w:val="20"/>
              </w:rPr>
            </w:pPr>
            <w:r>
              <w:rPr>
                <w:sz w:val="20"/>
              </w:rPr>
              <w:t>I23.3,</w:t>
            </w:r>
            <w:r>
              <w:rPr>
                <w:spacing w:val="-6"/>
                <w:sz w:val="20"/>
              </w:rPr>
              <w:t> </w:t>
            </w:r>
            <w:r>
              <w:rPr>
                <w:sz w:val="20"/>
              </w:rPr>
              <w:t>I23.4,</w:t>
            </w:r>
            <w:r>
              <w:rPr>
                <w:spacing w:val="-6"/>
                <w:sz w:val="20"/>
              </w:rPr>
              <w:t> </w:t>
            </w: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I26.0,</w:t>
            </w:r>
            <w:r>
              <w:rPr>
                <w:spacing w:val="-6"/>
                <w:sz w:val="20"/>
              </w:rPr>
              <w:t> </w:t>
            </w:r>
            <w:r>
              <w:rPr>
                <w:spacing w:val="-4"/>
                <w:sz w:val="20"/>
              </w:rPr>
              <w:t>I26.9</w:t>
            </w:r>
          </w:p>
        </w:tc>
        <w:tc>
          <w:tcPr>
            <w:tcW w:w="3289" w:type="dxa"/>
          </w:tcPr>
          <w:p>
            <w:pPr>
              <w:pStyle w:val="TableParagraph"/>
              <w:rPr>
                <w:sz w:val="16"/>
              </w:rPr>
            </w:pPr>
          </w:p>
        </w:tc>
        <w:tc>
          <w:tcPr>
            <w:tcW w:w="2421" w:type="dxa"/>
          </w:tcPr>
          <w:p>
            <w:pPr>
              <w:pStyle w:val="TableParagraph"/>
              <w:spacing w:line="210" w:lineRule="exact"/>
              <w:ind w:left="210" w:right="435"/>
              <w:jc w:val="center"/>
              <w:rPr>
                <w:sz w:val="20"/>
              </w:rPr>
            </w:pPr>
            <w:r>
              <w:rPr>
                <w:sz w:val="20"/>
              </w:rPr>
              <w:t>критерий:</w:t>
            </w:r>
            <w:r>
              <w:rPr>
                <w:spacing w:val="-7"/>
                <w:sz w:val="20"/>
              </w:rPr>
              <w:t> </w:t>
            </w:r>
            <w:r>
              <w:rPr>
                <w:sz w:val="20"/>
              </w:rPr>
              <w:t>flt4,</w:t>
            </w:r>
            <w:r>
              <w:rPr>
                <w:spacing w:val="-8"/>
                <w:sz w:val="20"/>
              </w:rPr>
              <w:t> </w:t>
            </w:r>
            <w:r>
              <w:rPr>
                <w:spacing w:val="-4"/>
                <w:sz w:val="20"/>
              </w:rPr>
              <w:t>flt5</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pacing w:val="-2"/>
                <w:sz w:val="20"/>
              </w:rPr>
              <w:t>тромболитической</w:t>
            </w:r>
          </w:p>
        </w:tc>
        <w:tc>
          <w:tcPr>
            <w:tcW w:w="4481" w:type="dxa"/>
          </w:tcPr>
          <w:p>
            <w:pPr>
              <w:pStyle w:val="TableParagraph"/>
              <w:rPr>
                <w:sz w:val="16"/>
              </w:rPr>
            </w:pPr>
          </w:p>
        </w:tc>
        <w:tc>
          <w:tcPr>
            <w:tcW w:w="3289" w:type="dxa"/>
          </w:tcPr>
          <w:p>
            <w:pPr>
              <w:pStyle w:val="TableParagraph"/>
              <w:rPr>
                <w:sz w:val="16"/>
              </w:rPr>
            </w:pPr>
          </w:p>
        </w:tc>
        <w:tc>
          <w:tcPr>
            <w:tcW w:w="2421"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spacing w:line="226" w:lineRule="exact"/>
              <w:ind w:left="217"/>
              <w:rPr>
                <w:sz w:val="20"/>
              </w:rPr>
            </w:pPr>
            <w:r>
              <w:rPr>
                <w:sz w:val="20"/>
              </w:rPr>
              <w:t>терапии</w:t>
            </w:r>
            <w:r>
              <w:rPr>
                <w:spacing w:val="-11"/>
                <w:sz w:val="20"/>
              </w:rPr>
              <w:t> </w:t>
            </w:r>
            <w:r>
              <w:rPr>
                <w:sz w:val="20"/>
              </w:rPr>
              <w:t>(уровень</w:t>
            </w:r>
            <w:r>
              <w:rPr>
                <w:spacing w:val="-9"/>
                <w:sz w:val="20"/>
              </w:rPr>
              <w:t> </w:t>
            </w:r>
            <w:r>
              <w:rPr>
                <w:spacing w:val="-5"/>
                <w:sz w:val="20"/>
              </w:rPr>
              <w:t>3)</w:t>
            </w:r>
          </w:p>
        </w:tc>
        <w:tc>
          <w:tcPr>
            <w:tcW w:w="4481" w:type="dxa"/>
          </w:tcPr>
          <w:p>
            <w:pPr>
              <w:pStyle w:val="TableParagraph"/>
              <w:rPr>
                <w:sz w:val="18"/>
              </w:rPr>
            </w:pP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st14</w:t>
            </w:r>
          </w:p>
        </w:tc>
        <w:tc>
          <w:tcPr>
            <w:tcW w:w="657" w:type="dxa"/>
          </w:tcPr>
          <w:p>
            <w:pPr>
              <w:pStyle w:val="TableParagraph"/>
              <w:spacing w:before="45"/>
              <w:ind w:right="217"/>
              <w:jc w:val="right"/>
              <w:rPr>
                <w:sz w:val="20"/>
              </w:rPr>
            </w:pPr>
            <w:r>
              <w:rPr>
                <w:spacing w:val="-5"/>
                <w:sz w:val="20"/>
              </w:rPr>
              <w:t>14</w:t>
            </w:r>
          </w:p>
        </w:tc>
        <w:tc>
          <w:tcPr>
            <w:tcW w:w="2623" w:type="dxa"/>
          </w:tcPr>
          <w:p>
            <w:pPr>
              <w:pStyle w:val="TableParagraph"/>
              <w:rPr>
                <w:sz w:val="18"/>
              </w:rPr>
            </w:pPr>
          </w:p>
        </w:tc>
        <w:tc>
          <w:tcPr>
            <w:tcW w:w="4481" w:type="dxa"/>
          </w:tcPr>
          <w:p>
            <w:pPr>
              <w:pStyle w:val="TableParagraph"/>
              <w:spacing w:before="45"/>
              <w:ind w:right="-29"/>
              <w:jc w:val="right"/>
              <w:rPr>
                <w:sz w:val="20"/>
              </w:rPr>
            </w:pPr>
            <w:r>
              <w:rPr>
                <w:spacing w:val="-2"/>
                <w:sz w:val="20"/>
              </w:rPr>
              <w:t>Колопроктология</w:t>
            </w: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spacing w:before="45"/>
              <w:ind w:right="54"/>
              <w:jc w:val="right"/>
              <w:rPr>
                <w:sz w:val="20"/>
              </w:rPr>
            </w:pPr>
            <w:r>
              <w:rPr>
                <w:spacing w:val="-4"/>
                <w:sz w:val="20"/>
              </w:rPr>
              <w:t>1,36</w:t>
            </w: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st14.001</w:t>
            </w:r>
          </w:p>
        </w:tc>
        <w:tc>
          <w:tcPr>
            <w:tcW w:w="657" w:type="dxa"/>
          </w:tcPr>
          <w:p>
            <w:pPr>
              <w:pStyle w:val="TableParagraph"/>
              <w:spacing w:line="214" w:lineRule="exact" w:before="46"/>
              <w:ind w:right="217"/>
              <w:jc w:val="right"/>
              <w:rPr>
                <w:sz w:val="20"/>
              </w:rPr>
            </w:pPr>
            <w:r>
              <w:rPr>
                <w:spacing w:val="-5"/>
                <w:sz w:val="20"/>
              </w:rPr>
              <w:t>86</w:t>
            </w:r>
          </w:p>
        </w:tc>
        <w:tc>
          <w:tcPr>
            <w:tcW w:w="2623" w:type="dxa"/>
          </w:tcPr>
          <w:p>
            <w:pPr>
              <w:pStyle w:val="TableParagraph"/>
              <w:spacing w:line="214" w:lineRule="exact" w:before="46"/>
              <w:ind w:left="217"/>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4481" w:type="dxa"/>
          </w:tcPr>
          <w:p>
            <w:pPr>
              <w:pStyle w:val="TableParagraph"/>
              <w:spacing w:line="214" w:lineRule="exact" w:before="46"/>
              <w:ind w:right="236"/>
              <w:jc w:val="center"/>
              <w:rPr>
                <w:sz w:val="20"/>
              </w:rPr>
            </w:pPr>
            <w:r>
              <w:rPr>
                <w:w w:val="99"/>
                <w:sz w:val="20"/>
              </w:rPr>
              <w:t>-</w:t>
            </w:r>
          </w:p>
        </w:tc>
        <w:tc>
          <w:tcPr>
            <w:tcW w:w="3289" w:type="dxa"/>
          </w:tcPr>
          <w:p>
            <w:pPr>
              <w:pStyle w:val="TableParagraph"/>
              <w:spacing w:line="214" w:lineRule="exact" w:before="46"/>
              <w:ind w:left="120" w:right="367"/>
              <w:jc w:val="center"/>
              <w:rPr>
                <w:sz w:val="20"/>
              </w:rPr>
            </w:pPr>
            <w:r>
              <w:rPr>
                <w:w w:val="95"/>
                <w:sz w:val="20"/>
              </w:rPr>
              <w:t>A16.17.007.001,</w:t>
            </w:r>
            <w:r>
              <w:rPr>
                <w:spacing w:val="54"/>
                <w:sz w:val="20"/>
              </w:rPr>
              <w:t> </w:t>
            </w:r>
            <w:r>
              <w:rPr>
                <w:spacing w:val="-2"/>
                <w:sz w:val="20"/>
              </w:rPr>
              <w:t>A16.18.006,</w:t>
            </w:r>
          </w:p>
        </w:tc>
        <w:tc>
          <w:tcPr>
            <w:tcW w:w="2421" w:type="dxa"/>
          </w:tcPr>
          <w:p>
            <w:pPr>
              <w:pStyle w:val="TableParagraph"/>
              <w:spacing w:line="214" w:lineRule="exact" w:before="46"/>
              <w:ind w:right="221"/>
              <w:jc w:val="center"/>
              <w:rPr>
                <w:sz w:val="20"/>
              </w:rPr>
            </w:pPr>
            <w:r>
              <w:rPr>
                <w:w w:val="99"/>
                <w:sz w:val="20"/>
              </w:rPr>
              <w:t>-</w:t>
            </w:r>
          </w:p>
        </w:tc>
        <w:tc>
          <w:tcPr>
            <w:tcW w:w="838" w:type="dxa"/>
          </w:tcPr>
          <w:p>
            <w:pPr>
              <w:pStyle w:val="TableParagraph"/>
              <w:spacing w:line="214" w:lineRule="exact" w:before="46"/>
              <w:ind w:right="54"/>
              <w:jc w:val="right"/>
              <w:rPr>
                <w:sz w:val="20"/>
              </w:rPr>
            </w:pPr>
            <w:r>
              <w:rPr>
                <w:spacing w:val="-4"/>
                <w:sz w:val="20"/>
              </w:rPr>
              <w:t>0,84</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анальной</w:t>
            </w:r>
            <w:r>
              <w:rPr>
                <w:spacing w:val="-10"/>
                <w:sz w:val="20"/>
              </w:rPr>
              <w:t> </w:t>
            </w:r>
            <w:r>
              <w:rPr>
                <w:spacing w:val="-2"/>
                <w:sz w:val="20"/>
              </w:rPr>
              <w:t>области</w:t>
            </w:r>
          </w:p>
        </w:tc>
        <w:tc>
          <w:tcPr>
            <w:tcW w:w="4481" w:type="dxa"/>
          </w:tcPr>
          <w:p>
            <w:pPr>
              <w:pStyle w:val="TableParagraph"/>
              <w:rPr>
                <w:sz w:val="16"/>
              </w:rPr>
            </w:pPr>
          </w:p>
        </w:tc>
        <w:tc>
          <w:tcPr>
            <w:tcW w:w="3289" w:type="dxa"/>
          </w:tcPr>
          <w:p>
            <w:pPr>
              <w:pStyle w:val="TableParagraph"/>
              <w:spacing w:line="209" w:lineRule="exact"/>
              <w:ind w:left="120" w:right="367"/>
              <w:jc w:val="center"/>
              <w:rPr>
                <w:sz w:val="20"/>
              </w:rPr>
            </w:pPr>
            <w:r>
              <w:rPr>
                <w:sz w:val="20"/>
              </w:rPr>
              <w:t>A16.18.007,</w:t>
            </w:r>
            <w:r>
              <w:rPr>
                <w:spacing w:val="-9"/>
                <w:sz w:val="20"/>
              </w:rPr>
              <w:t> </w:t>
            </w:r>
            <w:r>
              <w:rPr>
                <w:spacing w:val="-2"/>
                <w:sz w:val="20"/>
              </w:rPr>
              <w:t>A16.18.007.001,</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1" w:lineRule="exact"/>
              <w:ind w:left="217"/>
              <w:rPr>
                <w:sz w:val="20"/>
              </w:rPr>
            </w:pPr>
            <w:r>
              <w:rPr>
                <w:sz w:val="20"/>
              </w:rPr>
              <w:t>(уровень</w:t>
            </w:r>
            <w:r>
              <w:rPr>
                <w:spacing w:val="-11"/>
                <w:sz w:val="20"/>
              </w:rPr>
              <w:t> </w:t>
            </w:r>
            <w:r>
              <w:rPr>
                <w:spacing w:val="-5"/>
                <w:sz w:val="20"/>
              </w:rPr>
              <w:t>1)</w:t>
            </w:r>
          </w:p>
        </w:tc>
        <w:tc>
          <w:tcPr>
            <w:tcW w:w="4481" w:type="dxa"/>
          </w:tcPr>
          <w:p>
            <w:pPr>
              <w:pStyle w:val="TableParagraph"/>
              <w:rPr>
                <w:sz w:val="16"/>
              </w:rPr>
            </w:pPr>
          </w:p>
        </w:tc>
        <w:tc>
          <w:tcPr>
            <w:tcW w:w="3289" w:type="dxa"/>
          </w:tcPr>
          <w:p>
            <w:pPr>
              <w:pStyle w:val="TableParagraph"/>
              <w:spacing w:line="211" w:lineRule="exact"/>
              <w:ind w:left="122" w:right="367"/>
              <w:jc w:val="center"/>
              <w:rPr>
                <w:sz w:val="20"/>
              </w:rPr>
            </w:pPr>
            <w:r>
              <w:rPr>
                <w:sz w:val="20"/>
              </w:rPr>
              <w:t>A16.18.008,</w:t>
            </w:r>
            <w:r>
              <w:rPr>
                <w:spacing w:val="-9"/>
                <w:sz w:val="20"/>
              </w:rPr>
              <w:t> </w:t>
            </w:r>
            <w:r>
              <w:rPr>
                <w:spacing w:val="-2"/>
                <w:sz w:val="20"/>
              </w:rPr>
              <w:t>A16.18.013,</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19" w:right="367"/>
              <w:jc w:val="center"/>
              <w:rPr>
                <w:sz w:val="20"/>
              </w:rPr>
            </w:pPr>
            <w:r>
              <w:rPr>
                <w:w w:val="95"/>
                <w:sz w:val="20"/>
              </w:rPr>
              <w:t>A16.18.013.001,</w:t>
            </w:r>
            <w:r>
              <w:rPr>
                <w:spacing w:val="54"/>
                <w:sz w:val="20"/>
              </w:rPr>
              <w:t> </w:t>
            </w:r>
            <w:r>
              <w:rPr>
                <w:spacing w:val="-2"/>
                <w:sz w:val="20"/>
              </w:rPr>
              <w:t>A16.18.013.002,</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22" w:right="225"/>
              <w:jc w:val="center"/>
              <w:rPr>
                <w:sz w:val="20"/>
              </w:rPr>
            </w:pPr>
            <w:r>
              <w:rPr>
                <w:sz w:val="20"/>
              </w:rPr>
              <w:t>A16.19.001,</w:t>
            </w:r>
            <w:r>
              <w:rPr>
                <w:spacing w:val="-8"/>
                <w:sz w:val="20"/>
              </w:rPr>
              <w:t> </w:t>
            </w:r>
            <w:r>
              <w:rPr>
                <w:sz w:val="20"/>
              </w:rPr>
              <w:t>A16.19.002,</w:t>
            </w:r>
            <w:r>
              <w:rPr>
                <w:spacing w:val="-9"/>
                <w:sz w:val="20"/>
              </w:rPr>
              <w:t> </w:t>
            </w:r>
            <w:r>
              <w:rPr>
                <w:spacing w:val="-2"/>
                <w:sz w:val="20"/>
              </w:rPr>
              <w:t>A16.19.003,</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20" w:right="367"/>
              <w:jc w:val="center"/>
              <w:rPr>
                <w:sz w:val="20"/>
              </w:rPr>
            </w:pPr>
            <w:r>
              <w:rPr>
                <w:w w:val="95"/>
                <w:sz w:val="20"/>
              </w:rPr>
              <w:t>A16.19.003.001,</w:t>
            </w:r>
            <w:r>
              <w:rPr>
                <w:spacing w:val="54"/>
                <w:sz w:val="20"/>
              </w:rPr>
              <w:t> </w:t>
            </w:r>
            <w:r>
              <w:rPr>
                <w:spacing w:val="-2"/>
                <w:sz w:val="20"/>
              </w:rPr>
              <w:t>A16.19.007,</w:t>
            </w:r>
          </w:p>
        </w:tc>
        <w:tc>
          <w:tcPr>
            <w:tcW w:w="2421"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09" w:lineRule="exact"/>
              <w:ind w:left="-22" w:right="227"/>
              <w:jc w:val="center"/>
              <w:rPr>
                <w:sz w:val="20"/>
              </w:rPr>
            </w:pPr>
            <w:r>
              <w:rPr>
                <w:sz w:val="20"/>
              </w:rPr>
              <w:t>A16.19.008,</w:t>
            </w:r>
            <w:r>
              <w:rPr>
                <w:spacing w:val="-9"/>
                <w:sz w:val="20"/>
              </w:rPr>
              <w:t> </w:t>
            </w:r>
            <w:r>
              <w:rPr>
                <w:sz w:val="20"/>
              </w:rPr>
              <w:t>A16.19.009,</w:t>
            </w:r>
            <w:r>
              <w:rPr>
                <w:spacing w:val="-10"/>
                <w:sz w:val="20"/>
              </w:rPr>
              <w:t> </w:t>
            </w:r>
            <w:r>
              <w:rPr>
                <w:spacing w:val="-2"/>
                <w:sz w:val="20"/>
              </w:rPr>
              <w:t>A16.19.010,</w:t>
            </w:r>
          </w:p>
        </w:tc>
        <w:tc>
          <w:tcPr>
            <w:tcW w:w="2421"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09" w:lineRule="exact"/>
              <w:ind w:left="-22" w:right="227"/>
              <w:jc w:val="center"/>
              <w:rPr>
                <w:sz w:val="20"/>
              </w:rPr>
            </w:pPr>
            <w:r>
              <w:rPr>
                <w:sz w:val="20"/>
              </w:rPr>
              <w:t>A16.19.011,</w:t>
            </w:r>
            <w:r>
              <w:rPr>
                <w:spacing w:val="-9"/>
                <w:sz w:val="20"/>
              </w:rPr>
              <w:t> </w:t>
            </w:r>
            <w:r>
              <w:rPr>
                <w:sz w:val="20"/>
              </w:rPr>
              <w:t>A16.19.012,</w:t>
            </w:r>
            <w:r>
              <w:rPr>
                <w:spacing w:val="-10"/>
                <w:sz w:val="20"/>
              </w:rPr>
              <w:t> </w:t>
            </w:r>
            <w:r>
              <w:rPr>
                <w:spacing w:val="-2"/>
                <w:sz w:val="20"/>
              </w:rPr>
              <w:t>A16.19.013,</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19" w:right="367"/>
              <w:jc w:val="center"/>
              <w:rPr>
                <w:sz w:val="20"/>
              </w:rPr>
            </w:pPr>
            <w:r>
              <w:rPr>
                <w:w w:val="95"/>
                <w:sz w:val="20"/>
              </w:rPr>
              <w:t>A16.19.013.001,</w:t>
            </w:r>
            <w:r>
              <w:rPr>
                <w:spacing w:val="54"/>
                <w:sz w:val="20"/>
              </w:rPr>
              <w:t> </w:t>
            </w:r>
            <w:r>
              <w:rPr>
                <w:spacing w:val="-2"/>
                <w:sz w:val="20"/>
              </w:rPr>
              <w:t>A16.19.013.002,</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19" w:right="367"/>
              <w:jc w:val="center"/>
              <w:rPr>
                <w:sz w:val="20"/>
              </w:rPr>
            </w:pPr>
            <w:r>
              <w:rPr>
                <w:w w:val="95"/>
                <w:sz w:val="20"/>
              </w:rPr>
              <w:t>A16.19.013.003,</w:t>
            </w:r>
            <w:r>
              <w:rPr>
                <w:spacing w:val="54"/>
                <w:sz w:val="20"/>
              </w:rPr>
              <w:t> </w:t>
            </w:r>
            <w:r>
              <w:rPr>
                <w:spacing w:val="-2"/>
                <w:sz w:val="20"/>
              </w:rPr>
              <w:t>A16.19.013.004,</w:t>
            </w:r>
          </w:p>
        </w:tc>
        <w:tc>
          <w:tcPr>
            <w:tcW w:w="2421" w:type="dxa"/>
          </w:tcPr>
          <w:p>
            <w:pPr>
              <w:pStyle w:val="TableParagraph"/>
              <w:rPr>
                <w:sz w:val="16"/>
              </w:rPr>
            </w:pPr>
          </w:p>
        </w:tc>
        <w:tc>
          <w:tcPr>
            <w:tcW w:w="838"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05" w:lineRule="exact"/>
              <w:ind w:left="-22" w:right="227"/>
              <w:jc w:val="center"/>
              <w:rPr>
                <w:sz w:val="20"/>
              </w:rPr>
            </w:pPr>
            <w:r>
              <w:rPr>
                <w:sz w:val="20"/>
              </w:rPr>
              <w:t>A16.19.016,</w:t>
            </w:r>
            <w:r>
              <w:rPr>
                <w:spacing w:val="-9"/>
                <w:sz w:val="20"/>
              </w:rPr>
              <w:t> </w:t>
            </w:r>
            <w:r>
              <w:rPr>
                <w:sz w:val="20"/>
              </w:rPr>
              <w:t>A16.19.017,</w:t>
            </w:r>
            <w:r>
              <w:rPr>
                <w:spacing w:val="-10"/>
                <w:sz w:val="20"/>
              </w:rPr>
              <w:t> </w:t>
            </w:r>
            <w:r>
              <w:rPr>
                <w:spacing w:val="-2"/>
                <w:sz w:val="20"/>
              </w:rPr>
              <w:t>A16.19.018,</w:t>
            </w:r>
          </w:p>
        </w:tc>
        <w:tc>
          <w:tcPr>
            <w:tcW w:w="2421" w:type="dxa"/>
          </w:tcPr>
          <w:p>
            <w:pPr>
              <w:pStyle w:val="TableParagraph"/>
              <w:rPr>
                <w:sz w:val="16"/>
              </w:rPr>
            </w:pPr>
          </w:p>
        </w:tc>
        <w:tc>
          <w:tcPr>
            <w:tcW w:w="83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90"/>
        <w:gridCol w:w="2342"/>
        <w:gridCol w:w="4883"/>
        <w:gridCol w:w="1572"/>
        <w:gridCol w:w="1261"/>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90" w:type="dxa"/>
            <w:vMerge w:val="restart"/>
          </w:tcPr>
          <w:p>
            <w:pPr>
              <w:pStyle w:val="TableParagraph"/>
              <w:rPr>
                <w:sz w:val="18"/>
              </w:rPr>
            </w:pPr>
          </w:p>
        </w:tc>
        <w:tc>
          <w:tcPr>
            <w:tcW w:w="2342" w:type="dxa"/>
            <w:vMerge w:val="restart"/>
          </w:tcPr>
          <w:p>
            <w:pPr>
              <w:pStyle w:val="TableParagraph"/>
              <w:rPr>
                <w:sz w:val="18"/>
              </w:rPr>
            </w:pPr>
          </w:p>
        </w:tc>
        <w:tc>
          <w:tcPr>
            <w:tcW w:w="4883" w:type="dxa"/>
          </w:tcPr>
          <w:p>
            <w:pPr>
              <w:pStyle w:val="TableParagraph"/>
              <w:spacing w:line="205" w:lineRule="exact"/>
              <w:ind w:left="1149" w:right="645"/>
              <w:jc w:val="center"/>
              <w:rPr>
                <w:sz w:val="20"/>
              </w:rPr>
            </w:pPr>
            <w:r>
              <w:rPr>
                <w:sz w:val="20"/>
              </w:rPr>
              <w:t>A16.19.024,</w:t>
            </w:r>
            <w:r>
              <w:rPr>
                <w:spacing w:val="-9"/>
                <w:sz w:val="20"/>
              </w:rPr>
              <w:t> </w:t>
            </w:r>
            <w:r>
              <w:rPr>
                <w:sz w:val="20"/>
              </w:rPr>
              <w:t>A16.19.033,</w:t>
            </w:r>
            <w:r>
              <w:rPr>
                <w:spacing w:val="-10"/>
                <w:sz w:val="20"/>
              </w:rPr>
              <w:t> </w:t>
            </w:r>
            <w:r>
              <w:rPr>
                <w:spacing w:val="-2"/>
                <w:sz w:val="20"/>
              </w:rPr>
              <w:t>A16.19.041,</w:t>
            </w:r>
          </w:p>
        </w:tc>
        <w:tc>
          <w:tcPr>
            <w:tcW w:w="1572"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90" w:type="dxa"/>
            <w:vMerge/>
            <w:tcBorders>
              <w:top w:val="nil"/>
            </w:tcBorders>
          </w:tcPr>
          <w:p>
            <w:pPr>
              <w:rPr>
                <w:sz w:val="2"/>
                <w:szCs w:val="2"/>
              </w:rPr>
            </w:pPr>
          </w:p>
        </w:tc>
        <w:tc>
          <w:tcPr>
            <w:tcW w:w="2342" w:type="dxa"/>
            <w:vMerge/>
            <w:tcBorders>
              <w:top w:val="nil"/>
            </w:tcBorders>
          </w:tcPr>
          <w:p>
            <w:pPr>
              <w:rPr>
                <w:sz w:val="2"/>
                <w:szCs w:val="2"/>
              </w:rPr>
            </w:pPr>
          </w:p>
        </w:tc>
        <w:tc>
          <w:tcPr>
            <w:tcW w:w="4883" w:type="dxa"/>
          </w:tcPr>
          <w:p>
            <w:pPr>
              <w:pStyle w:val="TableParagraph"/>
              <w:spacing w:line="209" w:lineRule="exact"/>
              <w:ind w:left="1144" w:right="646"/>
              <w:jc w:val="center"/>
              <w:rPr>
                <w:sz w:val="20"/>
              </w:rPr>
            </w:pPr>
            <w:r>
              <w:rPr>
                <w:sz w:val="20"/>
              </w:rPr>
              <w:t>A16.19.044,</w:t>
            </w:r>
            <w:r>
              <w:rPr>
                <w:spacing w:val="-9"/>
                <w:sz w:val="20"/>
              </w:rPr>
              <w:t> </w:t>
            </w:r>
            <w:r>
              <w:rPr>
                <w:sz w:val="20"/>
              </w:rPr>
              <w:t>A16.19.045,</w:t>
            </w:r>
            <w:r>
              <w:rPr>
                <w:spacing w:val="-10"/>
                <w:sz w:val="20"/>
              </w:rPr>
              <w:t> </w:t>
            </w:r>
            <w:r>
              <w:rPr>
                <w:spacing w:val="-2"/>
                <w:sz w:val="20"/>
              </w:rPr>
              <w:t>A16.19.046,</w:t>
            </w:r>
          </w:p>
        </w:tc>
        <w:tc>
          <w:tcPr>
            <w:tcW w:w="1572"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90" w:type="dxa"/>
            <w:vMerge/>
            <w:tcBorders>
              <w:top w:val="nil"/>
            </w:tcBorders>
          </w:tcPr>
          <w:p>
            <w:pPr>
              <w:rPr>
                <w:sz w:val="2"/>
                <w:szCs w:val="2"/>
              </w:rPr>
            </w:pPr>
          </w:p>
        </w:tc>
        <w:tc>
          <w:tcPr>
            <w:tcW w:w="2342" w:type="dxa"/>
            <w:vMerge/>
            <w:tcBorders>
              <w:top w:val="nil"/>
            </w:tcBorders>
          </w:tcPr>
          <w:p>
            <w:pPr>
              <w:rPr>
                <w:sz w:val="2"/>
                <w:szCs w:val="2"/>
              </w:rPr>
            </w:pPr>
          </w:p>
        </w:tc>
        <w:tc>
          <w:tcPr>
            <w:tcW w:w="4883" w:type="dxa"/>
          </w:tcPr>
          <w:p>
            <w:pPr>
              <w:pStyle w:val="TableParagraph"/>
              <w:spacing w:line="224" w:lineRule="exact"/>
              <w:ind w:left="1149" w:right="645"/>
              <w:jc w:val="center"/>
              <w:rPr>
                <w:sz w:val="20"/>
              </w:rPr>
            </w:pPr>
            <w:r>
              <w:rPr>
                <w:spacing w:val="-2"/>
                <w:sz w:val="20"/>
              </w:rPr>
              <w:t>A16.19.047</w:t>
            </w:r>
          </w:p>
        </w:tc>
        <w:tc>
          <w:tcPr>
            <w:tcW w:w="1572"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50"/>
              <w:rPr>
                <w:sz w:val="20"/>
              </w:rPr>
            </w:pPr>
            <w:r>
              <w:rPr>
                <w:spacing w:val="-2"/>
                <w:sz w:val="20"/>
              </w:rPr>
              <w:t>st14.002</w:t>
            </w:r>
          </w:p>
        </w:tc>
        <w:tc>
          <w:tcPr>
            <w:tcW w:w="657" w:type="dxa"/>
          </w:tcPr>
          <w:p>
            <w:pPr>
              <w:pStyle w:val="TableParagraph"/>
              <w:spacing w:line="215" w:lineRule="exact" w:before="46"/>
              <w:ind w:right="217"/>
              <w:jc w:val="right"/>
              <w:rPr>
                <w:sz w:val="20"/>
              </w:rPr>
            </w:pPr>
            <w:r>
              <w:rPr>
                <w:spacing w:val="-5"/>
                <w:sz w:val="20"/>
              </w:rPr>
              <w:t>87</w:t>
            </w:r>
          </w:p>
        </w:tc>
        <w:tc>
          <w:tcPr>
            <w:tcW w:w="3590" w:type="dxa"/>
          </w:tcPr>
          <w:p>
            <w:pPr>
              <w:pStyle w:val="TableParagraph"/>
              <w:spacing w:line="215" w:lineRule="exact" w:before="46"/>
              <w:ind w:left="217"/>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2342" w:type="dxa"/>
          </w:tcPr>
          <w:p>
            <w:pPr>
              <w:pStyle w:val="TableParagraph"/>
              <w:spacing w:line="215" w:lineRule="exact" w:before="46"/>
              <w:ind w:right="31"/>
              <w:jc w:val="center"/>
              <w:rPr>
                <w:sz w:val="20"/>
              </w:rPr>
            </w:pPr>
            <w:r>
              <w:rPr>
                <w:w w:val="99"/>
                <w:sz w:val="20"/>
              </w:rPr>
              <w:t>-</w:t>
            </w:r>
          </w:p>
        </w:tc>
        <w:tc>
          <w:tcPr>
            <w:tcW w:w="4883" w:type="dxa"/>
          </w:tcPr>
          <w:p>
            <w:pPr>
              <w:pStyle w:val="TableParagraph"/>
              <w:spacing w:line="215" w:lineRule="exact" w:before="46"/>
              <w:ind w:left="1144" w:right="646"/>
              <w:jc w:val="center"/>
              <w:rPr>
                <w:sz w:val="20"/>
              </w:rPr>
            </w:pPr>
            <w:r>
              <w:rPr>
                <w:sz w:val="20"/>
              </w:rPr>
              <w:t>A16.17.001,</w:t>
            </w:r>
            <w:r>
              <w:rPr>
                <w:spacing w:val="-9"/>
                <w:sz w:val="20"/>
              </w:rPr>
              <w:t> </w:t>
            </w:r>
            <w:r>
              <w:rPr>
                <w:sz w:val="20"/>
              </w:rPr>
              <w:t>A16.17.002,</w:t>
            </w:r>
            <w:r>
              <w:rPr>
                <w:spacing w:val="-10"/>
                <w:sz w:val="20"/>
              </w:rPr>
              <w:t> </w:t>
            </w:r>
            <w:r>
              <w:rPr>
                <w:spacing w:val="-2"/>
                <w:sz w:val="20"/>
              </w:rPr>
              <w:t>A16.17.003,</w:t>
            </w:r>
          </w:p>
        </w:tc>
        <w:tc>
          <w:tcPr>
            <w:tcW w:w="1572" w:type="dxa"/>
          </w:tcPr>
          <w:p>
            <w:pPr>
              <w:pStyle w:val="TableParagraph"/>
              <w:spacing w:line="215" w:lineRule="exact" w:before="46"/>
              <w:ind w:left="643"/>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1,74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10" w:lineRule="exact"/>
              <w:ind w:left="217"/>
              <w:rPr>
                <w:sz w:val="20"/>
              </w:rPr>
            </w:pPr>
            <w:r>
              <w:rPr>
                <w:sz w:val="20"/>
              </w:rPr>
              <w:t>анальной</w:t>
            </w:r>
            <w:r>
              <w:rPr>
                <w:spacing w:val="-10"/>
                <w:sz w:val="20"/>
              </w:rPr>
              <w:t> </w:t>
            </w:r>
            <w:r>
              <w:rPr>
                <w:spacing w:val="-2"/>
                <w:sz w:val="20"/>
              </w:rPr>
              <w:t>области</w:t>
            </w: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A16.17.004,</w:t>
            </w:r>
            <w:r>
              <w:rPr>
                <w:spacing w:val="-9"/>
                <w:sz w:val="20"/>
              </w:rPr>
              <w:t> </w:t>
            </w:r>
            <w:r>
              <w:rPr>
                <w:sz w:val="20"/>
              </w:rPr>
              <w:t>A16.17.005,</w:t>
            </w:r>
            <w:r>
              <w:rPr>
                <w:spacing w:val="-10"/>
                <w:sz w:val="20"/>
              </w:rPr>
              <w:t> </w:t>
            </w:r>
            <w:r>
              <w:rPr>
                <w:spacing w:val="-2"/>
                <w:sz w:val="20"/>
              </w:rPr>
              <w:t>A16.17.006,</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09" w:lineRule="exact"/>
              <w:ind w:left="217"/>
              <w:rPr>
                <w:sz w:val="20"/>
              </w:rPr>
            </w:pPr>
            <w:r>
              <w:rPr>
                <w:sz w:val="20"/>
              </w:rPr>
              <w:t>(уровень</w:t>
            </w:r>
            <w:r>
              <w:rPr>
                <w:spacing w:val="-11"/>
                <w:sz w:val="20"/>
              </w:rPr>
              <w:t> </w:t>
            </w:r>
            <w:r>
              <w:rPr>
                <w:spacing w:val="-5"/>
                <w:sz w:val="20"/>
              </w:rPr>
              <w:t>2)</w:t>
            </w: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A16.17.007,</w:t>
            </w:r>
            <w:r>
              <w:rPr>
                <w:spacing w:val="-9"/>
                <w:sz w:val="20"/>
              </w:rPr>
              <w:t> </w:t>
            </w:r>
            <w:r>
              <w:rPr>
                <w:sz w:val="20"/>
              </w:rPr>
              <w:t>A16.17.008,</w:t>
            </w:r>
            <w:r>
              <w:rPr>
                <w:spacing w:val="-10"/>
                <w:sz w:val="20"/>
              </w:rPr>
              <w:t> </w:t>
            </w:r>
            <w:r>
              <w:rPr>
                <w:spacing w:val="-2"/>
                <w:sz w:val="20"/>
              </w:rPr>
              <w:t>A16.17.009,</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9" w:right="646"/>
              <w:jc w:val="center"/>
              <w:rPr>
                <w:sz w:val="20"/>
              </w:rPr>
            </w:pPr>
            <w:r>
              <w:rPr>
                <w:sz w:val="20"/>
              </w:rPr>
              <w:t>A16.17.010,</w:t>
            </w:r>
            <w:r>
              <w:rPr>
                <w:spacing w:val="-9"/>
                <w:sz w:val="20"/>
              </w:rPr>
              <w:t> </w:t>
            </w:r>
            <w:r>
              <w:rPr>
                <w:sz w:val="20"/>
              </w:rPr>
              <w:t>A16.17.011,</w:t>
            </w:r>
            <w:r>
              <w:rPr>
                <w:spacing w:val="-6"/>
                <w:sz w:val="20"/>
              </w:rPr>
              <w:t> </w:t>
            </w:r>
            <w:r>
              <w:rPr>
                <w:spacing w:val="-2"/>
                <w:sz w:val="20"/>
              </w:rPr>
              <w:t>A16.17.012,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1" w:lineRule="exact"/>
              <w:ind w:left="1144" w:right="646"/>
              <w:jc w:val="center"/>
              <w:rPr>
                <w:sz w:val="20"/>
              </w:rPr>
            </w:pPr>
            <w:r>
              <w:rPr>
                <w:sz w:val="20"/>
              </w:rPr>
              <w:t>A16.17.013,</w:t>
            </w:r>
            <w:r>
              <w:rPr>
                <w:spacing w:val="-9"/>
                <w:sz w:val="20"/>
              </w:rPr>
              <w:t> </w:t>
            </w:r>
            <w:r>
              <w:rPr>
                <w:sz w:val="20"/>
              </w:rPr>
              <w:t>A16.17.014,</w:t>
            </w:r>
            <w:r>
              <w:rPr>
                <w:spacing w:val="-10"/>
                <w:sz w:val="20"/>
              </w:rPr>
              <w:t> </w:t>
            </w:r>
            <w:r>
              <w:rPr>
                <w:spacing w:val="-2"/>
                <w:sz w:val="20"/>
              </w:rPr>
              <w:t>A16.17.016,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A16.17.017,</w:t>
            </w:r>
            <w:r>
              <w:rPr>
                <w:spacing w:val="-9"/>
                <w:sz w:val="20"/>
              </w:rPr>
              <w:t> </w:t>
            </w:r>
            <w:r>
              <w:rPr>
                <w:sz w:val="20"/>
              </w:rPr>
              <w:t>A16.18.001,</w:t>
            </w:r>
            <w:r>
              <w:rPr>
                <w:spacing w:val="-10"/>
                <w:sz w:val="20"/>
              </w:rPr>
              <w:t> </w:t>
            </w:r>
            <w:r>
              <w:rPr>
                <w:spacing w:val="-2"/>
                <w:sz w:val="20"/>
              </w:rPr>
              <w:t>A16.18.002,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8" w:right="646"/>
              <w:jc w:val="center"/>
              <w:rPr>
                <w:sz w:val="20"/>
              </w:rPr>
            </w:pPr>
            <w:r>
              <w:rPr>
                <w:sz w:val="20"/>
              </w:rPr>
              <w:t>A16.18.003,</w:t>
            </w:r>
            <w:r>
              <w:rPr>
                <w:spacing w:val="-9"/>
                <w:sz w:val="20"/>
              </w:rPr>
              <w:t> </w:t>
            </w:r>
            <w:r>
              <w:rPr>
                <w:spacing w:val="-2"/>
                <w:sz w:val="20"/>
              </w:rPr>
              <w:t>A16.18.004,</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6" w:right="646"/>
              <w:jc w:val="center"/>
              <w:rPr>
                <w:sz w:val="20"/>
              </w:rPr>
            </w:pPr>
            <w:r>
              <w:rPr>
                <w:w w:val="95"/>
                <w:sz w:val="20"/>
              </w:rPr>
              <w:t>A16.18.004.001,</w:t>
            </w:r>
            <w:r>
              <w:rPr>
                <w:spacing w:val="54"/>
                <w:sz w:val="20"/>
              </w:rPr>
              <w:t> </w:t>
            </w:r>
            <w:r>
              <w:rPr>
                <w:spacing w:val="-2"/>
                <w:sz w:val="20"/>
              </w:rPr>
              <w:t>A16.18.005,</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A16.18.011,</w:t>
            </w:r>
            <w:r>
              <w:rPr>
                <w:spacing w:val="-9"/>
                <w:sz w:val="20"/>
              </w:rPr>
              <w:t> </w:t>
            </w:r>
            <w:r>
              <w:rPr>
                <w:sz w:val="20"/>
              </w:rPr>
              <w:t>A16.18.012,</w:t>
            </w:r>
            <w:r>
              <w:rPr>
                <w:spacing w:val="-10"/>
                <w:sz w:val="20"/>
              </w:rPr>
              <w:t> </w:t>
            </w:r>
            <w:r>
              <w:rPr>
                <w:spacing w:val="-2"/>
                <w:sz w:val="20"/>
              </w:rPr>
              <w:t>A16.18.015,</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6" w:right="646"/>
              <w:jc w:val="center"/>
              <w:rPr>
                <w:sz w:val="20"/>
              </w:rPr>
            </w:pPr>
            <w:r>
              <w:rPr>
                <w:w w:val="95"/>
                <w:sz w:val="20"/>
              </w:rPr>
              <w:t>A16.18.015.001,</w:t>
            </w:r>
            <w:r>
              <w:rPr>
                <w:spacing w:val="54"/>
                <w:sz w:val="20"/>
              </w:rPr>
              <w:t> </w:t>
            </w:r>
            <w:r>
              <w:rPr>
                <w:spacing w:val="-2"/>
                <w:sz w:val="20"/>
              </w:rPr>
              <w:t>A16.18.016,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A16.18.017,</w:t>
            </w:r>
            <w:r>
              <w:rPr>
                <w:spacing w:val="-9"/>
                <w:sz w:val="20"/>
              </w:rPr>
              <w:t> </w:t>
            </w:r>
            <w:r>
              <w:rPr>
                <w:sz w:val="20"/>
              </w:rPr>
              <w:t>A16.18.018,</w:t>
            </w:r>
            <w:r>
              <w:rPr>
                <w:spacing w:val="-10"/>
                <w:sz w:val="20"/>
              </w:rPr>
              <w:t> </w:t>
            </w:r>
            <w:r>
              <w:rPr>
                <w:spacing w:val="-2"/>
                <w:sz w:val="20"/>
              </w:rPr>
              <w:t>A16.18.019,</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9" w:right="646"/>
              <w:jc w:val="center"/>
              <w:rPr>
                <w:sz w:val="20"/>
              </w:rPr>
            </w:pPr>
            <w:r>
              <w:rPr>
                <w:w w:val="95"/>
                <w:sz w:val="20"/>
              </w:rPr>
              <w:t>A16.18.019.001,</w:t>
            </w:r>
            <w:r>
              <w:rPr>
                <w:spacing w:val="54"/>
                <w:sz w:val="20"/>
              </w:rPr>
              <w:t> </w:t>
            </w:r>
            <w:r>
              <w:rPr>
                <w:spacing w:val="-2"/>
                <w:sz w:val="20"/>
              </w:rPr>
              <w:t>A16.18.020,</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A16.18.021,</w:t>
            </w:r>
            <w:r>
              <w:rPr>
                <w:spacing w:val="-9"/>
                <w:sz w:val="20"/>
              </w:rPr>
              <w:t> </w:t>
            </w:r>
            <w:r>
              <w:rPr>
                <w:sz w:val="20"/>
              </w:rPr>
              <w:t>A16.18.022,</w:t>
            </w:r>
            <w:r>
              <w:rPr>
                <w:spacing w:val="-10"/>
                <w:sz w:val="20"/>
              </w:rPr>
              <w:t> </w:t>
            </w:r>
            <w:r>
              <w:rPr>
                <w:spacing w:val="-2"/>
                <w:sz w:val="20"/>
              </w:rPr>
              <w:t>A16.18.023,</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A16.18.024,</w:t>
            </w:r>
            <w:r>
              <w:rPr>
                <w:spacing w:val="-9"/>
                <w:sz w:val="20"/>
              </w:rPr>
              <w:t> </w:t>
            </w:r>
            <w:r>
              <w:rPr>
                <w:sz w:val="20"/>
              </w:rPr>
              <w:t>A16.18.025,</w:t>
            </w:r>
            <w:r>
              <w:rPr>
                <w:spacing w:val="-10"/>
                <w:sz w:val="20"/>
              </w:rPr>
              <w:t> </w:t>
            </w:r>
            <w:r>
              <w:rPr>
                <w:spacing w:val="-2"/>
                <w:sz w:val="20"/>
              </w:rPr>
              <w:t>A16.18.027,</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6" w:right="646"/>
              <w:jc w:val="center"/>
              <w:rPr>
                <w:sz w:val="20"/>
              </w:rPr>
            </w:pPr>
            <w:r>
              <w:rPr>
                <w:sz w:val="20"/>
              </w:rPr>
              <w:t>A16.18.028,</w:t>
            </w:r>
            <w:r>
              <w:rPr>
                <w:spacing w:val="-9"/>
                <w:sz w:val="20"/>
              </w:rPr>
              <w:t> </w:t>
            </w:r>
            <w:r>
              <w:rPr>
                <w:spacing w:val="-2"/>
                <w:sz w:val="20"/>
              </w:rPr>
              <w:t>A16.18.028.001,</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A16.18.029,</w:t>
            </w:r>
            <w:r>
              <w:rPr>
                <w:spacing w:val="-9"/>
                <w:sz w:val="20"/>
              </w:rPr>
              <w:t> </w:t>
            </w:r>
            <w:r>
              <w:rPr>
                <w:sz w:val="20"/>
              </w:rPr>
              <w:t>A16.19.004,</w:t>
            </w:r>
            <w:r>
              <w:rPr>
                <w:spacing w:val="-10"/>
                <w:sz w:val="20"/>
              </w:rPr>
              <w:t> </w:t>
            </w:r>
            <w:r>
              <w:rPr>
                <w:spacing w:val="-2"/>
                <w:sz w:val="20"/>
              </w:rPr>
              <w:t>A16.19.006,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5" w:right="646"/>
              <w:jc w:val="center"/>
              <w:rPr>
                <w:sz w:val="20"/>
              </w:rPr>
            </w:pPr>
            <w:r>
              <w:rPr>
                <w:w w:val="95"/>
                <w:sz w:val="20"/>
              </w:rPr>
              <w:t>A16.19.006.001,</w:t>
            </w:r>
            <w:r>
              <w:rPr>
                <w:spacing w:val="54"/>
                <w:sz w:val="20"/>
              </w:rPr>
              <w:t> </w:t>
            </w:r>
            <w:r>
              <w:rPr>
                <w:spacing w:val="-2"/>
                <w:sz w:val="20"/>
              </w:rPr>
              <w:t>A16.19.006.002,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A16.19.014,</w:t>
            </w:r>
            <w:r>
              <w:rPr>
                <w:spacing w:val="-9"/>
                <w:sz w:val="20"/>
              </w:rPr>
              <w:t> </w:t>
            </w:r>
            <w:r>
              <w:rPr>
                <w:sz w:val="20"/>
              </w:rPr>
              <w:t>A16.19.015,</w:t>
            </w:r>
            <w:r>
              <w:rPr>
                <w:spacing w:val="-10"/>
                <w:sz w:val="20"/>
              </w:rPr>
              <w:t> </w:t>
            </w:r>
            <w:r>
              <w:rPr>
                <w:spacing w:val="-2"/>
                <w:sz w:val="20"/>
              </w:rPr>
              <w:t>A16.19.019,</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6" w:right="646"/>
              <w:jc w:val="center"/>
              <w:rPr>
                <w:sz w:val="20"/>
              </w:rPr>
            </w:pPr>
            <w:r>
              <w:rPr>
                <w:w w:val="95"/>
                <w:sz w:val="20"/>
              </w:rPr>
              <w:t>A16.19.019.003,</w:t>
            </w:r>
            <w:r>
              <w:rPr>
                <w:spacing w:val="54"/>
                <w:sz w:val="20"/>
              </w:rPr>
              <w:t> </w:t>
            </w:r>
            <w:r>
              <w:rPr>
                <w:spacing w:val="-2"/>
                <w:sz w:val="20"/>
              </w:rPr>
              <w:t>A16.19.022,</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7" w:right="646"/>
              <w:jc w:val="center"/>
              <w:rPr>
                <w:sz w:val="20"/>
              </w:rPr>
            </w:pPr>
            <w:r>
              <w:rPr>
                <w:sz w:val="20"/>
              </w:rPr>
              <w:t>A16.19.023,</w:t>
            </w:r>
            <w:r>
              <w:rPr>
                <w:spacing w:val="-8"/>
                <w:sz w:val="20"/>
              </w:rPr>
              <w:t> </w:t>
            </w:r>
            <w:r>
              <w:rPr>
                <w:sz w:val="20"/>
              </w:rPr>
              <w:t>A16.19.025,</w:t>
            </w:r>
            <w:r>
              <w:rPr>
                <w:spacing w:val="-9"/>
                <w:sz w:val="20"/>
              </w:rPr>
              <w:t> </w:t>
            </w:r>
            <w:r>
              <w:rPr>
                <w:spacing w:val="-2"/>
                <w:sz w:val="20"/>
              </w:rPr>
              <w:t>A16.19.027,</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A16.19.030,</w:t>
            </w:r>
            <w:r>
              <w:rPr>
                <w:spacing w:val="-9"/>
                <w:sz w:val="20"/>
              </w:rPr>
              <w:t> </w:t>
            </w:r>
            <w:r>
              <w:rPr>
                <w:sz w:val="20"/>
              </w:rPr>
              <w:t>A16.19.031,</w:t>
            </w:r>
            <w:r>
              <w:rPr>
                <w:spacing w:val="-10"/>
                <w:sz w:val="20"/>
              </w:rPr>
              <w:t> </w:t>
            </w:r>
            <w:r>
              <w:rPr>
                <w:spacing w:val="-2"/>
                <w:sz w:val="20"/>
              </w:rPr>
              <w:t>A16.19.032,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A16.19.034,</w:t>
            </w:r>
            <w:r>
              <w:rPr>
                <w:spacing w:val="-9"/>
                <w:sz w:val="20"/>
              </w:rPr>
              <w:t> </w:t>
            </w:r>
            <w:r>
              <w:rPr>
                <w:sz w:val="20"/>
              </w:rPr>
              <w:t>A16.19.035,</w:t>
            </w:r>
            <w:r>
              <w:rPr>
                <w:spacing w:val="-10"/>
                <w:sz w:val="20"/>
              </w:rPr>
              <w:t> </w:t>
            </w:r>
            <w:r>
              <w:rPr>
                <w:spacing w:val="-2"/>
                <w:sz w:val="20"/>
              </w:rPr>
              <w:t>A16.19.036,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A16.19.037,</w:t>
            </w:r>
            <w:r>
              <w:rPr>
                <w:spacing w:val="-9"/>
                <w:sz w:val="20"/>
              </w:rPr>
              <w:t> </w:t>
            </w:r>
            <w:r>
              <w:rPr>
                <w:sz w:val="20"/>
              </w:rPr>
              <w:t>A16.19.038,</w:t>
            </w:r>
            <w:r>
              <w:rPr>
                <w:spacing w:val="-10"/>
                <w:sz w:val="20"/>
              </w:rPr>
              <w:t> </w:t>
            </w:r>
            <w:r>
              <w:rPr>
                <w:spacing w:val="-2"/>
                <w:sz w:val="20"/>
              </w:rPr>
              <w:t>A16.19.039,</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A16.19.040,</w:t>
            </w:r>
            <w:r>
              <w:rPr>
                <w:spacing w:val="-9"/>
                <w:sz w:val="20"/>
              </w:rPr>
              <w:t> </w:t>
            </w:r>
            <w:r>
              <w:rPr>
                <w:sz w:val="20"/>
              </w:rPr>
              <w:t>A16.19.042,</w:t>
            </w:r>
            <w:r>
              <w:rPr>
                <w:spacing w:val="-10"/>
                <w:sz w:val="20"/>
              </w:rPr>
              <w:t> </w:t>
            </w:r>
            <w:r>
              <w:rPr>
                <w:spacing w:val="-2"/>
                <w:sz w:val="20"/>
              </w:rPr>
              <w:t>A16.19.043,</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6" w:right="646"/>
              <w:jc w:val="center"/>
              <w:rPr>
                <w:sz w:val="20"/>
              </w:rPr>
            </w:pPr>
            <w:r>
              <w:rPr>
                <w:w w:val="95"/>
                <w:sz w:val="20"/>
              </w:rPr>
              <w:t>A16.19.047.001,</w:t>
            </w:r>
            <w:r>
              <w:rPr>
                <w:spacing w:val="54"/>
                <w:sz w:val="20"/>
              </w:rPr>
              <w:t> </w:t>
            </w:r>
            <w:r>
              <w:rPr>
                <w:spacing w:val="-2"/>
                <w:sz w:val="20"/>
              </w:rPr>
              <w:t>A16.19.048,</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A16.19.050,</w:t>
            </w:r>
            <w:r>
              <w:rPr>
                <w:spacing w:val="-9"/>
                <w:sz w:val="20"/>
              </w:rPr>
              <w:t> </w:t>
            </w:r>
            <w:r>
              <w:rPr>
                <w:sz w:val="20"/>
              </w:rPr>
              <w:t>A16.30.013,</w:t>
            </w:r>
            <w:r>
              <w:rPr>
                <w:spacing w:val="-10"/>
                <w:sz w:val="20"/>
              </w:rPr>
              <w:t> </w:t>
            </w:r>
            <w:r>
              <w:rPr>
                <w:spacing w:val="-2"/>
                <w:sz w:val="20"/>
              </w:rPr>
              <w:t>A16.30.035,</w:t>
            </w:r>
          </w:p>
        </w:tc>
        <w:tc>
          <w:tcPr>
            <w:tcW w:w="1572" w:type="dxa"/>
          </w:tcPr>
          <w:p>
            <w:pPr>
              <w:pStyle w:val="TableParagraph"/>
              <w:rPr>
                <w:sz w:val="16"/>
              </w:rPr>
            </w:pPr>
          </w:p>
        </w:tc>
        <w:tc>
          <w:tcPr>
            <w:tcW w:w="1261"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90" w:type="dxa"/>
          </w:tcPr>
          <w:p>
            <w:pPr>
              <w:pStyle w:val="TableParagraph"/>
              <w:rPr>
                <w:sz w:val="18"/>
              </w:rPr>
            </w:pPr>
          </w:p>
        </w:tc>
        <w:tc>
          <w:tcPr>
            <w:tcW w:w="2342" w:type="dxa"/>
          </w:tcPr>
          <w:p>
            <w:pPr>
              <w:pStyle w:val="TableParagraph"/>
              <w:rPr>
                <w:sz w:val="18"/>
              </w:rPr>
            </w:pPr>
          </w:p>
        </w:tc>
        <w:tc>
          <w:tcPr>
            <w:tcW w:w="4883" w:type="dxa"/>
          </w:tcPr>
          <w:p>
            <w:pPr>
              <w:pStyle w:val="TableParagraph"/>
              <w:spacing w:line="225" w:lineRule="exact"/>
              <w:ind w:left="1149" w:right="645"/>
              <w:jc w:val="center"/>
              <w:rPr>
                <w:sz w:val="20"/>
              </w:rPr>
            </w:pPr>
            <w:r>
              <w:rPr>
                <w:spacing w:val="-2"/>
                <w:sz w:val="20"/>
              </w:rPr>
              <w:t>A22.19.004</w:t>
            </w:r>
          </w:p>
        </w:tc>
        <w:tc>
          <w:tcPr>
            <w:tcW w:w="1572" w:type="dxa"/>
          </w:tcPr>
          <w:p>
            <w:pPr>
              <w:pStyle w:val="TableParagraph"/>
              <w:rPr>
                <w:sz w:val="18"/>
              </w:rPr>
            </w:pPr>
          </w:p>
        </w:tc>
        <w:tc>
          <w:tcPr>
            <w:tcW w:w="1261"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st14.003</w:t>
            </w:r>
          </w:p>
        </w:tc>
        <w:tc>
          <w:tcPr>
            <w:tcW w:w="657" w:type="dxa"/>
          </w:tcPr>
          <w:p>
            <w:pPr>
              <w:pStyle w:val="TableParagraph"/>
              <w:spacing w:line="215" w:lineRule="exact" w:before="46"/>
              <w:ind w:right="217"/>
              <w:jc w:val="right"/>
              <w:rPr>
                <w:sz w:val="20"/>
              </w:rPr>
            </w:pPr>
            <w:r>
              <w:rPr>
                <w:spacing w:val="-5"/>
                <w:sz w:val="20"/>
              </w:rPr>
              <w:t>88</w:t>
            </w:r>
          </w:p>
        </w:tc>
        <w:tc>
          <w:tcPr>
            <w:tcW w:w="3590" w:type="dxa"/>
          </w:tcPr>
          <w:p>
            <w:pPr>
              <w:pStyle w:val="TableParagraph"/>
              <w:spacing w:line="215" w:lineRule="exact" w:before="46"/>
              <w:ind w:left="217"/>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2342" w:type="dxa"/>
          </w:tcPr>
          <w:p>
            <w:pPr>
              <w:pStyle w:val="TableParagraph"/>
              <w:spacing w:line="215" w:lineRule="exact" w:before="46"/>
              <w:ind w:right="31"/>
              <w:jc w:val="center"/>
              <w:rPr>
                <w:sz w:val="20"/>
              </w:rPr>
            </w:pPr>
            <w:r>
              <w:rPr>
                <w:w w:val="99"/>
                <w:sz w:val="20"/>
              </w:rPr>
              <w:t>-</w:t>
            </w:r>
          </w:p>
        </w:tc>
        <w:tc>
          <w:tcPr>
            <w:tcW w:w="4883" w:type="dxa"/>
          </w:tcPr>
          <w:p>
            <w:pPr>
              <w:pStyle w:val="TableParagraph"/>
              <w:spacing w:line="215" w:lineRule="exact" w:before="46"/>
              <w:ind w:left="1148" w:right="646"/>
              <w:jc w:val="center"/>
              <w:rPr>
                <w:sz w:val="20"/>
              </w:rPr>
            </w:pPr>
            <w:r>
              <w:rPr>
                <w:sz w:val="20"/>
              </w:rPr>
              <w:t>A16.17.015,</w:t>
            </w:r>
            <w:r>
              <w:rPr>
                <w:spacing w:val="-9"/>
                <w:sz w:val="20"/>
              </w:rPr>
              <w:t> </w:t>
            </w:r>
            <w:r>
              <w:rPr>
                <w:spacing w:val="-2"/>
                <w:sz w:val="20"/>
              </w:rPr>
              <w:t>A16.18.014,</w:t>
            </w:r>
          </w:p>
        </w:tc>
        <w:tc>
          <w:tcPr>
            <w:tcW w:w="1572" w:type="dxa"/>
          </w:tcPr>
          <w:p>
            <w:pPr>
              <w:pStyle w:val="TableParagraph"/>
              <w:spacing w:line="215" w:lineRule="exact" w:before="46"/>
              <w:ind w:left="643"/>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2,49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10" w:lineRule="exact"/>
              <w:ind w:left="217"/>
              <w:rPr>
                <w:sz w:val="20"/>
              </w:rPr>
            </w:pPr>
            <w:r>
              <w:rPr>
                <w:sz w:val="20"/>
              </w:rPr>
              <w:t>анальной</w:t>
            </w:r>
            <w:r>
              <w:rPr>
                <w:spacing w:val="-10"/>
                <w:sz w:val="20"/>
              </w:rPr>
              <w:t> </w:t>
            </w:r>
            <w:r>
              <w:rPr>
                <w:spacing w:val="-2"/>
                <w:sz w:val="20"/>
              </w:rPr>
              <w:t>области</w:t>
            </w:r>
          </w:p>
        </w:tc>
        <w:tc>
          <w:tcPr>
            <w:tcW w:w="2342" w:type="dxa"/>
          </w:tcPr>
          <w:p>
            <w:pPr>
              <w:pStyle w:val="TableParagraph"/>
              <w:rPr>
                <w:sz w:val="16"/>
              </w:rPr>
            </w:pPr>
          </w:p>
        </w:tc>
        <w:tc>
          <w:tcPr>
            <w:tcW w:w="4883" w:type="dxa"/>
          </w:tcPr>
          <w:p>
            <w:pPr>
              <w:pStyle w:val="TableParagraph"/>
              <w:spacing w:line="210" w:lineRule="exact"/>
              <w:ind w:left="1145" w:right="646"/>
              <w:jc w:val="center"/>
              <w:rPr>
                <w:sz w:val="20"/>
              </w:rPr>
            </w:pPr>
            <w:r>
              <w:rPr>
                <w:w w:val="95"/>
                <w:sz w:val="20"/>
              </w:rPr>
              <w:t>A16.18.015.002,</w:t>
            </w:r>
            <w:r>
              <w:rPr>
                <w:spacing w:val="54"/>
                <w:sz w:val="20"/>
              </w:rPr>
              <w:t> </w:t>
            </w:r>
            <w:r>
              <w:rPr>
                <w:spacing w:val="-2"/>
                <w:sz w:val="20"/>
              </w:rPr>
              <w:t>A16.18.016.001,</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09" w:lineRule="exact"/>
              <w:ind w:left="217"/>
              <w:rPr>
                <w:sz w:val="20"/>
              </w:rPr>
            </w:pPr>
            <w:r>
              <w:rPr>
                <w:sz w:val="20"/>
              </w:rPr>
              <w:t>(уровень</w:t>
            </w:r>
            <w:r>
              <w:rPr>
                <w:spacing w:val="-11"/>
                <w:sz w:val="20"/>
              </w:rPr>
              <w:t> </w:t>
            </w:r>
            <w:r>
              <w:rPr>
                <w:spacing w:val="-5"/>
                <w:sz w:val="20"/>
              </w:rPr>
              <w:t>3)</w:t>
            </w:r>
          </w:p>
        </w:tc>
        <w:tc>
          <w:tcPr>
            <w:tcW w:w="2342" w:type="dxa"/>
          </w:tcPr>
          <w:p>
            <w:pPr>
              <w:pStyle w:val="TableParagraph"/>
              <w:rPr>
                <w:sz w:val="16"/>
              </w:rPr>
            </w:pPr>
          </w:p>
        </w:tc>
        <w:tc>
          <w:tcPr>
            <w:tcW w:w="4883" w:type="dxa"/>
          </w:tcPr>
          <w:p>
            <w:pPr>
              <w:pStyle w:val="TableParagraph"/>
              <w:spacing w:line="209" w:lineRule="exact"/>
              <w:ind w:left="1145" w:right="646"/>
              <w:jc w:val="center"/>
              <w:rPr>
                <w:sz w:val="20"/>
              </w:rPr>
            </w:pPr>
            <w:r>
              <w:rPr>
                <w:w w:val="95"/>
                <w:sz w:val="20"/>
              </w:rPr>
              <w:t>A16.18.017.001,</w:t>
            </w:r>
            <w:r>
              <w:rPr>
                <w:spacing w:val="54"/>
                <w:sz w:val="20"/>
              </w:rPr>
              <w:t> </w:t>
            </w:r>
            <w:r>
              <w:rPr>
                <w:spacing w:val="-2"/>
                <w:sz w:val="20"/>
              </w:rPr>
              <w:t>A16.18.017.002,</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5" w:right="646"/>
              <w:jc w:val="center"/>
              <w:rPr>
                <w:sz w:val="20"/>
              </w:rPr>
            </w:pPr>
            <w:r>
              <w:rPr>
                <w:w w:val="95"/>
                <w:sz w:val="20"/>
              </w:rPr>
              <w:t>A16.18.017.003,</w:t>
            </w:r>
            <w:r>
              <w:rPr>
                <w:spacing w:val="54"/>
                <w:sz w:val="20"/>
              </w:rPr>
              <w:t> </w:t>
            </w:r>
            <w:r>
              <w:rPr>
                <w:spacing w:val="-2"/>
                <w:sz w:val="20"/>
              </w:rPr>
              <w:t>A16.18.022.001,</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8" w:right="646"/>
              <w:jc w:val="center"/>
              <w:rPr>
                <w:sz w:val="20"/>
              </w:rPr>
            </w:pPr>
            <w:r>
              <w:rPr>
                <w:sz w:val="20"/>
              </w:rPr>
              <w:t>A16.18.026,</w:t>
            </w:r>
            <w:r>
              <w:rPr>
                <w:spacing w:val="-9"/>
                <w:sz w:val="20"/>
              </w:rPr>
              <w:t> </w:t>
            </w:r>
            <w:r>
              <w:rPr>
                <w:spacing w:val="-2"/>
                <w:sz w:val="20"/>
              </w:rPr>
              <w:t>A16.18.030,</w:t>
            </w:r>
          </w:p>
        </w:tc>
        <w:tc>
          <w:tcPr>
            <w:tcW w:w="1572" w:type="dxa"/>
          </w:tcPr>
          <w:p>
            <w:pPr>
              <w:pStyle w:val="TableParagraph"/>
              <w:rPr>
                <w:sz w:val="16"/>
              </w:rPr>
            </w:pPr>
          </w:p>
        </w:tc>
        <w:tc>
          <w:tcPr>
            <w:tcW w:w="1261"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5" w:lineRule="exact"/>
              <w:ind w:left="1145" w:right="646"/>
              <w:jc w:val="center"/>
              <w:rPr>
                <w:sz w:val="20"/>
              </w:rPr>
            </w:pPr>
            <w:r>
              <w:rPr>
                <w:w w:val="95"/>
                <w:sz w:val="20"/>
              </w:rPr>
              <w:t>A16.18.030.001,</w:t>
            </w:r>
            <w:r>
              <w:rPr>
                <w:spacing w:val="54"/>
                <w:sz w:val="20"/>
              </w:rPr>
              <w:t> </w:t>
            </w:r>
            <w:r>
              <w:rPr>
                <w:spacing w:val="-2"/>
                <w:sz w:val="20"/>
              </w:rPr>
              <w:t>A16.18.030.002,</w:t>
            </w:r>
          </w:p>
        </w:tc>
        <w:tc>
          <w:tcPr>
            <w:tcW w:w="1572"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92"/>
        <w:gridCol w:w="5243"/>
        <w:gridCol w:w="1930"/>
        <w:gridCol w:w="3120"/>
        <w:gridCol w:w="865"/>
      </w:tblGrid>
      <w:tr>
        <w:trPr>
          <w:trHeight w:val="225" w:hRule="atLeast"/>
        </w:trPr>
        <w:tc>
          <w:tcPr>
            <w:tcW w:w="15278" w:type="dxa"/>
            <w:gridSpan w:val="7"/>
          </w:tcPr>
          <w:p>
            <w:pPr>
              <w:pStyle w:val="TableParagraph"/>
              <w:spacing w:line="205" w:lineRule="exact"/>
              <w:ind w:left="8883"/>
              <w:rPr>
                <w:sz w:val="20"/>
              </w:rPr>
            </w:pPr>
            <w:r>
              <w:rPr>
                <w:w w:val="95"/>
                <w:sz w:val="20"/>
              </w:rPr>
              <w:t>A16.18.030.003,</w:t>
            </w:r>
            <w:r>
              <w:rPr>
                <w:spacing w:val="54"/>
                <w:sz w:val="20"/>
              </w:rPr>
              <w:t> </w:t>
            </w:r>
            <w:r>
              <w:rPr>
                <w:spacing w:val="-2"/>
                <w:w w:val="95"/>
                <w:sz w:val="20"/>
              </w:rPr>
              <w:t>A16.18.030.004,</w:t>
            </w:r>
          </w:p>
        </w:tc>
      </w:tr>
      <w:tr>
        <w:trPr>
          <w:trHeight w:val="229" w:hRule="atLeast"/>
        </w:trPr>
        <w:tc>
          <w:tcPr>
            <w:tcW w:w="15278" w:type="dxa"/>
            <w:gridSpan w:val="7"/>
          </w:tcPr>
          <w:p>
            <w:pPr>
              <w:pStyle w:val="TableParagraph"/>
              <w:spacing w:line="209" w:lineRule="exact"/>
              <w:ind w:left="8883"/>
              <w:rPr>
                <w:sz w:val="20"/>
              </w:rPr>
            </w:pPr>
            <w:r>
              <w:rPr>
                <w:w w:val="95"/>
                <w:sz w:val="20"/>
              </w:rPr>
              <w:t>A16.18.030.005,</w:t>
            </w:r>
            <w:r>
              <w:rPr>
                <w:spacing w:val="54"/>
                <w:sz w:val="20"/>
              </w:rPr>
              <w:t> </w:t>
            </w:r>
            <w:r>
              <w:rPr>
                <w:spacing w:val="-2"/>
                <w:sz w:val="20"/>
              </w:rPr>
              <w:t>A16.18.030.006,</w:t>
            </w:r>
          </w:p>
        </w:tc>
      </w:tr>
      <w:tr>
        <w:trPr>
          <w:trHeight w:val="229" w:hRule="atLeast"/>
        </w:trPr>
        <w:tc>
          <w:tcPr>
            <w:tcW w:w="15278" w:type="dxa"/>
            <w:gridSpan w:val="7"/>
          </w:tcPr>
          <w:p>
            <w:pPr>
              <w:pStyle w:val="TableParagraph"/>
              <w:spacing w:line="209" w:lineRule="exact"/>
              <w:ind w:left="8883"/>
              <w:rPr>
                <w:sz w:val="20"/>
              </w:rPr>
            </w:pPr>
            <w:r>
              <w:rPr>
                <w:w w:val="95"/>
                <w:sz w:val="20"/>
              </w:rPr>
              <w:t>A16.18.030.007,</w:t>
            </w:r>
            <w:r>
              <w:rPr>
                <w:spacing w:val="54"/>
                <w:sz w:val="20"/>
              </w:rPr>
              <w:t> </w:t>
            </w:r>
            <w:r>
              <w:rPr>
                <w:spacing w:val="-2"/>
                <w:sz w:val="20"/>
              </w:rPr>
              <w:t>A16.18.030.008,</w:t>
            </w:r>
          </w:p>
        </w:tc>
      </w:tr>
      <w:tr>
        <w:trPr>
          <w:trHeight w:val="230" w:hRule="atLeast"/>
        </w:trPr>
        <w:tc>
          <w:tcPr>
            <w:tcW w:w="15278" w:type="dxa"/>
            <w:gridSpan w:val="7"/>
          </w:tcPr>
          <w:p>
            <w:pPr>
              <w:pStyle w:val="TableParagraph"/>
              <w:spacing w:line="210" w:lineRule="exact"/>
              <w:ind w:left="8883"/>
              <w:rPr>
                <w:sz w:val="20"/>
              </w:rPr>
            </w:pPr>
            <w:r>
              <w:rPr>
                <w:w w:val="95"/>
                <w:sz w:val="20"/>
              </w:rPr>
              <w:t>A16.18.030.009,</w:t>
            </w:r>
            <w:r>
              <w:rPr>
                <w:spacing w:val="54"/>
                <w:sz w:val="20"/>
              </w:rPr>
              <w:t> </w:t>
            </w:r>
            <w:r>
              <w:rPr>
                <w:spacing w:val="-2"/>
                <w:sz w:val="20"/>
              </w:rPr>
              <w:t>A16.18.030.010,</w:t>
            </w:r>
          </w:p>
        </w:tc>
      </w:tr>
      <w:tr>
        <w:trPr>
          <w:trHeight w:val="230" w:hRule="atLeast"/>
        </w:trPr>
        <w:tc>
          <w:tcPr>
            <w:tcW w:w="15278" w:type="dxa"/>
            <w:gridSpan w:val="7"/>
          </w:tcPr>
          <w:p>
            <w:pPr>
              <w:pStyle w:val="TableParagraph"/>
              <w:spacing w:line="210" w:lineRule="exact"/>
              <w:ind w:left="8883"/>
              <w:rPr>
                <w:sz w:val="20"/>
              </w:rPr>
            </w:pPr>
            <w:r>
              <w:rPr>
                <w:w w:val="95"/>
                <w:sz w:val="20"/>
              </w:rPr>
              <w:t>A16.18.030.011,</w:t>
            </w:r>
            <w:r>
              <w:rPr>
                <w:spacing w:val="54"/>
                <w:sz w:val="20"/>
              </w:rPr>
              <w:t> </w:t>
            </w:r>
            <w:r>
              <w:rPr>
                <w:spacing w:val="-2"/>
                <w:sz w:val="20"/>
              </w:rPr>
              <w:t>A16.18.030.012,</w:t>
            </w:r>
          </w:p>
        </w:tc>
      </w:tr>
      <w:tr>
        <w:trPr>
          <w:trHeight w:val="230" w:hRule="atLeast"/>
        </w:trPr>
        <w:tc>
          <w:tcPr>
            <w:tcW w:w="15278" w:type="dxa"/>
            <w:gridSpan w:val="7"/>
          </w:tcPr>
          <w:p>
            <w:pPr>
              <w:pStyle w:val="TableParagraph"/>
              <w:spacing w:line="210" w:lineRule="exact"/>
              <w:ind w:left="8883"/>
              <w:rPr>
                <w:sz w:val="20"/>
              </w:rPr>
            </w:pPr>
            <w:r>
              <w:rPr>
                <w:w w:val="95"/>
                <w:sz w:val="20"/>
              </w:rPr>
              <w:t>A16.18.030.013,</w:t>
            </w:r>
            <w:r>
              <w:rPr>
                <w:spacing w:val="54"/>
                <w:sz w:val="20"/>
              </w:rPr>
              <w:t> </w:t>
            </w:r>
            <w:r>
              <w:rPr>
                <w:spacing w:val="-2"/>
                <w:sz w:val="20"/>
              </w:rPr>
              <w:t>A16.18.030.014,</w:t>
            </w:r>
          </w:p>
        </w:tc>
      </w:tr>
      <w:tr>
        <w:trPr>
          <w:trHeight w:val="230" w:hRule="atLeast"/>
        </w:trPr>
        <w:tc>
          <w:tcPr>
            <w:tcW w:w="15278" w:type="dxa"/>
            <w:gridSpan w:val="7"/>
          </w:tcPr>
          <w:p>
            <w:pPr>
              <w:pStyle w:val="TableParagraph"/>
              <w:spacing w:line="211" w:lineRule="exact"/>
              <w:ind w:left="8883"/>
              <w:rPr>
                <w:sz w:val="20"/>
              </w:rPr>
            </w:pPr>
            <w:r>
              <w:rPr>
                <w:w w:val="95"/>
                <w:sz w:val="20"/>
              </w:rPr>
              <w:t>A16.18.030.015,</w:t>
            </w:r>
            <w:r>
              <w:rPr>
                <w:spacing w:val="54"/>
                <w:sz w:val="20"/>
              </w:rPr>
              <w:t> </w:t>
            </w:r>
            <w:r>
              <w:rPr>
                <w:spacing w:val="-2"/>
                <w:sz w:val="20"/>
              </w:rPr>
              <w:t>A16.18.030.016,</w:t>
            </w:r>
          </w:p>
        </w:tc>
      </w:tr>
      <w:tr>
        <w:trPr>
          <w:trHeight w:val="229" w:hRule="atLeast"/>
        </w:trPr>
        <w:tc>
          <w:tcPr>
            <w:tcW w:w="15278" w:type="dxa"/>
            <w:gridSpan w:val="7"/>
          </w:tcPr>
          <w:p>
            <w:pPr>
              <w:pStyle w:val="TableParagraph"/>
              <w:spacing w:line="210" w:lineRule="exact"/>
              <w:ind w:left="8883"/>
              <w:rPr>
                <w:sz w:val="20"/>
              </w:rPr>
            </w:pPr>
            <w:r>
              <w:rPr>
                <w:w w:val="95"/>
                <w:sz w:val="20"/>
              </w:rPr>
              <w:t>A16.18.030.017,</w:t>
            </w:r>
            <w:r>
              <w:rPr>
                <w:spacing w:val="54"/>
                <w:sz w:val="20"/>
              </w:rPr>
              <w:t> </w:t>
            </w:r>
            <w:r>
              <w:rPr>
                <w:spacing w:val="-2"/>
                <w:sz w:val="20"/>
              </w:rPr>
              <w:t>A16.18.030.018,</w:t>
            </w:r>
          </w:p>
        </w:tc>
      </w:tr>
      <w:tr>
        <w:trPr>
          <w:trHeight w:val="229" w:hRule="atLeast"/>
        </w:trPr>
        <w:tc>
          <w:tcPr>
            <w:tcW w:w="15278" w:type="dxa"/>
            <w:gridSpan w:val="7"/>
          </w:tcPr>
          <w:p>
            <w:pPr>
              <w:pStyle w:val="TableParagraph"/>
              <w:spacing w:line="209" w:lineRule="exact"/>
              <w:ind w:left="9058"/>
              <w:rPr>
                <w:sz w:val="20"/>
              </w:rPr>
            </w:pPr>
            <w:r>
              <w:rPr>
                <w:w w:val="95"/>
                <w:sz w:val="20"/>
              </w:rPr>
              <w:t>A16.18.030.019,</w:t>
            </w:r>
            <w:r>
              <w:rPr>
                <w:spacing w:val="54"/>
                <w:sz w:val="20"/>
              </w:rPr>
              <w:t> </w:t>
            </w:r>
            <w:r>
              <w:rPr>
                <w:spacing w:val="-2"/>
                <w:sz w:val="20"/>
              </w:rPr>
              <w:t>A16.19.005,</w:t>
            </w:r>
          </w:p>
        </w:tc>
      </w:tr>
      <w:tr>
        <w:trPr>
          <w:trHeight w:val="230" w:hRule="atLeast"/>
        </w:trPr>
        <w:tc>
          <w:tcPr>
            <w:tcW w:w="15278" w:type="dxa"/>
            <w:gridSpan w:val="7"/>
          </w:tcPr>
          <w:p>
            <w:pPr>
              <w:pStyle w:val="TableParagraph"/>
              <w:spacing w:line="210" w:lineRule="exact"/>
              <w:ind w:left="8883"/>
              <w:rPr>
                <w:sz w:val="20"/>
              </w:rPr>
            </w:pPr>
            <w:r>
              <w:rPr>
                <w:w w:val="95"/>
                <w:sz w:val="20"/>
              </w:rPr>
              <w:t>A16.19.005.001,</w:t>
            </w:r>
            <w:r>
              <w:rPr>
                <w:spacing w:val="54"/>
                <w:sz w:val="20"/>
              </w:rPr>
              <w:t> </w:t>
            </w:r>
            <w:r>
              <w:rPr>
                <w:spacing w:val="-2"/>
                <w:sz w:val="20"/>
              </w:rPr>
              <w:t>A16.19.005.002,</w:t>
            </w:r>
          </w:p>
        </w:tc>
      </w:tr>
      <w:tr>
        <w:trPr>
          <w:trHeight w:val="230" w:hRule="atLeast"/>
        </w:trPr>
        <w:tc>
          <w:tcPr>
            <w:tcW w:w="15278" w:type="dxa"/>
            <w:gridSpan w:val="7"/>
          </w:tcPr>
          <w:p>
            <w:pPr>
              <w:pStyle w:val="TableParagraph"/>
              <w:spacing w:line="210" w:lineRule="exact"/>
              <w:ind w:left="8883"/>
              <w:rPr>
                <w:sz w:val="20"/>
              </w:rPr>
            </w:pPr>
            <w:r>
              <w:rPr>
                <w:w w:val="95"/>
                <w:sz w:val="20"/>
              </w:rPr>
              <w:t>A16.19.006.003,</w:t>
            </w:r>
            <w:r>
              <w:rPr>
                <w:spacing w:val="54"/>
                <w:sz w:val="20"/>
              </w:rPr>
              <w:t> </w:t>
            </w:r>
            <w:r>
              <w:rPr>
                <w:spacing w:val="-2"/>
                <w:sz w:val="20"/>
              </w:rPr>
              <w:t>A16.19.019.001,</w:t>
            </w:r>
          </w:p>
        </w:tc>
      </w:tr>
      <w:tr>
        <w:trPr>
          <w:trHeight w:val="230" w:hRule="atLeast"/>
        </w:trPr>
        <w:tc>
          <w:tcPr>
            <w:tcW w:w="15278" w:type="dxa"/>
            <w:gridSpan w:val="7"/>
          </w:tcPr>
          <w:p>
            <w:pPr>
              <w:pStyle w:val="TableParagraph"/>
              <w:spacing w:line="210" w:lineRule="exact"/>
              <w:ind w:left="8883"/>
              <w:rPr>
                <w:sz w:val="20"/>
              </w:rPr>
            </w:pPr>
            <w:r>
              <w:rPr>
                <w:w w:val="95"/>
                <w:sz w:val="20"/>
              </w:rPr>
              <w:t>A16.19.019.004,</w:t>
            </w:r>
            <w:r>
              <w:rPr>
                <w:spacing w:val="54"/>
                <w:sz w:val="20"/>
              </w:rPr>
              <w:t> </w:t>
            </w:r>
            <w:r>
              <w:rPr>
                <w:spacing w:val="-2"/>
                <w:sz w:val="20"/>
              </w:rPr>
              <w:t>A16.19.019.005,</w:t>
            </w:r>
          </w:p>
        </w:tc>
      </w:tr>
      <w:tr>
        <w:trPr>
          <w:trHeight w:val="230" w:hRule="atLeast"/>
        </w:trPr>
        <w:tc>
          <w:tcPr>
            <w:tcW w:w="15278" w:type="dxa"/>
            <w:gridSpan w:val="7"/>
          </w:tcPr>
          <w:p>
            <w:pPr>
              <w:pStyle w:val="TableParagraph"/>
              <w:spacing w:line="210" w:lineRule="exact"/>
              <w:ind w:left="8883"/>
              <w:rPr>
                <w:sz w:val="20"/>
              </w:rPr>
            </w:pPr>
            <w:r>
              <w:rPr>
                <w:w w:val="95"/>
                <w:sz w:val="20"/>
              </w:rPr>
              <w:t>A16.19.019.006,</w:t>
            </w:r>
            <w:r>
              <w:rPr>
                <w:spacing w:val="54"/>
                <w:sz w:val="20"/>
              </w:rPr>
              <w:t> </w:t>
            </w:r>
            <w:r>
              <w:rPr>
                <w:spacing w:val="-2"/>
                <w:sz w:val="20"/>
              </w:rPr>
              <w:t>A16.19.019.007,</w:t>
            </w:r>
          </w:p>
        </w:tc>
      </w:tr>
      <w:tr>
        <w:trPr>
          <w:trHeight w:val="229" w:hRule="atLeast"/>
        </w:trPr>
        <w:tc>
          <w:tcPr>
            <w:tcW w:w="15278" w:type="dxa"/>
            <w:gridSpan w:val="7"/>
          </w:tcPr>
          <w:p>
            <w:pPr>
              <w:pStyle w:val="TableParagraph"/>
              <w:spacing w:line="209" w:lineRule="exact"/>
              <w:ind w:left="9058"/>
              <w:rPr>
                <w:sz w:val="20"/>
              </w:rPr>
            </w:pPr>
            <w:r>
              <w:rPr>
                <w:sz w:val="20"/>
              </w:rPr>
              <w:t>A16.19.020,</w:t>
            </w:r>
            <w:r>
              <w:rPr>
                <w:spacing w:val="-9"/>
                <w:sz w:val="20"/>
              </w:rPr>
              <w:t> </w:t>
            </w:r>
            <w:r>
              <w:rPr>
                <w:spacing w:val="-2"/>
                <w:sz w:val="20"/>
              </w:rPr>
              <w:t>A16.19.020.001,</w:t>
            </w:r>
          </w:p>
        </w:tc>
      </w:tr>
      <w:tr>
        <w:trPr>
          <w:trHeight w:val="229" w:hRule="atLeast"/>
        </w:trPr>
        <w:tc>
          <w:tcPr>
            <w:tcW w:w="15278" w:type="dxa"/>
            <w:gridSpan w:val="7"/>
          </w:tcPr>
          <w:p>
            <w:pPr>
              <w:pStyle w:val="TableParagraph"/>
              <w:spacing w:line="209" w:lineRule="exact"/>
              <w:ind w:left="8883"/>
              <w:rPr>
                <w:sz w:val="20"/>
              </w:rPr>
            </w:pPr>
            <w:r>
              <w:rPr>
                <w:w w:val="95"/>
                <w:sz w:val="20"/>
              </w:rPr>
              <w:t>A16.19.020.002,</w:t>
            </w:r>
            <w:r>
              <w:rPr>
                <w:spacing w:val="54"/>
                <w:sz w:val="20"/>
              </w:rPr>
              <w:t> </w:t>
            </w:r>
            <w:r>
              <w:rPr>
                <w:spacing w:val="-2"/>
                <w:sz w:val="20"/>
              </w:rPr>
              <w:t>A16.19.020.003,</w:t>
            </w:r>
          </w:p>
        </w:tc>
      </w:tr>
      <w:tr>
        <w:trPr>
          <w:trHeight w:val="230" w:hRule="atLeast"/>
        </w:trPr>
        <w:tc>
          <w:tcPr>
            <w:tcW w:w="15278" w:type="dxa"/>
            <w:gridSpan w:val="7"/>
          </w:tcPr>
          <w:p>
            <w:pPr>
              <w:pStyle w:val="TableParagraph"/>
              <w:spacing w:line="210" w:lineRule="exact"/>
              <w:ind w:left="9058"/>
              <w:rPr>
                <w:sz w:val="20"/>
              </w:rPr>
            </w:pPr>
            <w:r>
              <w:rPr>
                <w:sz w:val="20"/>
              </w:rPr>
              <w:t>A16.19.021,</w:t>
            </w:r>
            <w:r>
              <w:rPr>
                <w:spacing w:val="-9"/>
                <w:sz w:val="20"/>
              </w:rPr>
              <w:t> </w:t>
            </w:r>
            <w:r>
              <w:rPr>
                <w:spacing w:val="-2"/>
                <w:sz w:val="20"/>
              </w:rPr>
              <w:t>A16.19.021.001,</w:t>
            </w:r>
          </w:p>
        </w:tc>
      </w:tr>
      <w:tr>
        <w:trPr>
          <w:trHeight w:val="230" w:hRule="atLeast"/>
        </w:trPr>
        <w:tc>
          <w:tcPr>
            <w:tcW w:w="15278" w:type="dxa"/>
            <w:gridSpan w:val="7"/>
          </w:tcPr>
          <w:p>
            <w:pPr>
              <w:pStyle w:val="TableParagraph"/>
              <w:spacing w:line="210" w:lineRule="exact"/>
              <w:ind w:left="8883"/>
              <w:rPr>
                <w:sz w:val="20"/>
              </w:rPr>
            </w:pPr>
            <w:r>
              <w:rPr>
                <w:w w:val="95"/>
                <w:sz w:val="20"/>
              </w:rPr>
              <w:t>A16.19.021.003,</w:t>
            </w:r>
            <w:r>
              <w:rPr>
                <w:spacing w:val="54"/>
                <w:sz w:val="20"/>
              </w:rPr>
              <w:t> </w:t>
            </w:r>
            <w:r>
              <w:rPr>
                <w:spacing w:val="-2"/>
                <w:sz w:val="20"/>
              </w:rPr>
              <w:t>A16.19.021.004,</w:t>
            </w:r>
          </w:p>
        </w:tc>
      </w:tr>
      <w:tr>
        <w:trPr>
          <w:trHeight w:val="230" w:hRule="atLeast"/>
        </w:trPr>
        <w:tc>
          <w:tcPr>
            <w:tcW w:w="15278" w:type="dxa"/>
            <w:gridSpan w:val="7"/>
          </w:tcPr>
          <w:p>
            <w:pPr>
              <w:pStyle w:val="TableParagraph"/>
              <w:spacing w:line="211" w:lineRule="exact"/>
              <w:ind w:left="8883"/>
              <w:rPr>
                <w:sz w:val="20"/>
              </w:rPr>
            </w:pPr>
            <w:r>
              <w:rPr>
                <w:w w:val="95"/>
                <w:sz w:val="20"/>
              </w:rPr>
              <w:t>A16.19.021.005,</w:t>
            </w:r>
            <w:r>
              <w:rPr>
                <w:spacing w:val="54"/>
                <w:sz w:val="20"/>
              </w:rPr>
              <w:t> </w:t>
            </w:r>
            <w:r>
              <w:rPr>
                <w:spacing w:val="-2"/>
                <w:sz w:val="20"/>
              </w:rPr>
              <w:t>A16.19.021.006,</w:t>
            </w:r>
          </w:p>
        </w:tc>
      </w:tr>
      <w:tr>
        <w:trPr>
          <w:trHeight w:val="230" w:hRule="atLeast"/>
        </w:trPr>
        <w:tc>
          <w:tcPr>
            <w:tcW w:w="15278" w:type="dxa"/>
            <w:gridSpan w:val="7"/>
          </w:tcPr>
          <w:p>
            <w:pPr>
              <w:pStyle w:val="TableParagraph"/>
              <w:spacing w:line="211" w:lineRule="exact"/>
              <w:ind w:left="8883"/>
              <w:rPr>
                <w:sz w:val="20"/>
              </w:rPr>
            </w:pPr>
            <w:r>
              <w:rPr>
                <w:w w:val="95"/>
                <w:sz w:val="20"/>
              </w:rPr>
              <w:t>A16.19.021.007,</w:t>
            </w:r>
            <w:r>
              <w:rPr>
                <w:spacing w:val="54"/>
                <w:sz w:val="20"/>
              </w:rPr>
              <w:t> </w:t>
            </w:r>
            <w:r>
              <w:rPr>
                <w:spacing w:val="-2"/>
                <w:sz w:val="20"/>
              </w:rPr>
              <w:t>A16.19.021.008,</w:t>
            </w:r>
          </w:p>
        </w:tc>
      </w:tr>
      <w:tr>
        <w:trPr>
          <w:trHeight w:val="229" w:hRule="atLeast"/>
        </w:trPr>
        <w:tc>
          <w:tcPr>
            <w:tcW w:w="15278" w:type="dxa"/>
            <w:gridSpan w:val="7"/>
          </w:tcPr>
          <w:p>
            <w:pPr>
              <w:pStyle w:val="TableParagraph"/>
              <w:spacing w:line="209" w:lineRule="exact"/>
              <w:ind w:left="8883"/>
              <w:rPr>
                <w:sz w:val="20"/>
              </w:rPr>
            </w:pPr>
            <w:r>
              <w:rPr>
                <w:w w:val="95"/>
                <w:sz w:val="20"/>
              </w:rPr>
              <w:t>A16.19.021.009,</w:t>
            </w:r>
            <w:r>
              <w:rPr>
                <w:spacing w:val="54"/>
                <w:sz w:val="20"/>
              </w:rPr>
              <w:t> </w:t>
            </w:r>
            <w:r>
              <w:rPr>
                <w:spacing w:val="-2"/>
                <w:sz w:val="20"/>
              </w:rPr>
              <w:t>A16.19.021.010,</w:t>
            </w:r>
          </w:p>
        </w:tc>
      </w:tr>
      <w:tr>
        <w:trPr>
          <w:trHeight w:val="229" w:hRule="atLeast"/>
        </w:trPr>
        <w:tc>
          <w:tcPr>
            <w:tcW w:w="15278" w:type="dxa"/>
            <w:gridSpan w:val="7"/>
          </w:tcPr>
          <w:p>
            <w:pPr>
              <w:pStyle w:val="TableParagraph"/>
              <w:spacing w:line="209" w:lineRule="exact"/>
              <w:ind w:left="8883"/>
              <w:rPr>
                <w:sz w:val="20"/>
              </w:rPr>
            </w:pPr>
            <w:r>
              <w:rPr>
                <w:w w:val="95"/>
                <w:sz w:val="20"/>
              </w:rPr>
              <w:t>A16.19.021.011,</w:t>
            </w:r>
            <w:r>
              <w:rPr>
                <w:spacing w:val="54"/>
                <w:sz w:val="20"/>
              </w:rPr>
              <w:t> </w:t>
            </w:r>
            <w:r>
              <w:rPr>
                <w:spacing w:val="-2"/>
                <w:sz w:val="20"/>
              </w:rPr>
              <w:t>A16.19.021.012,</w:t>
            </w:r>
          </w:p>
        </w:tc>
      </w:tr>
      <w:tr>
        <w:trPr>
          <w:trHeight w:val="230" w:hRule="atLeast"/>
        </w:trPr>
        <w:tc>
          <w:tcPr>
            <w:tcW w:w="15278" w:type="dxa"/>
            <w:gridSpan w:val="7"/>
          </w:tcPr>
          <w:p>
            <w:pPr>
              <w:pStyle w:val="TableParagraph"/>
              <w:spacing w:line="210" w:lineRule="exact"/>
              <w:ind w:left="8883"/>
              <w:rPr>
                <w:sz w:val="20"/>
              </w:rPr>
            </w:pPr>
            <w:r>
              <w:rPr>
                <w:w w:val="95"/>
                <w:sz w:val="20"/>
              </w:rPr>
              <w:t>A16.19.021.014,</w:t>
            </w:r>
            <w:r>
              <w:rPr>
                <w:spacing w:val="54"/>
                <w:sz w:val="20"/>
              </w:rPr>
              <w:t> </w:t>
            </w:r>
            <w:r>
              <w:rPr>
                <w:spacing w:val="-2"/>
                <w:sz w:val="20"/>
              </w:rPr>
              <w:t>A16.19.021.015,</w:t>
            </w:r>
          </w:p>
        </w:tc>
      </w:tr>
      <w:tr>
        <w:trPr>
          <w:trHeight w:val="230" w:hRule="atLeast"/>
        </w:trPr>
        <w:tc>
          <w:tcPr>
            <w:tcW w:w="15278" w:type="dxa"/>
            <w:gridSpan w:val="7"/>
          </w:tcPr>
          <w:p>
            <w:pPr>
              <w:pStyle w:val="TableParagraph"/>
              <w:spacing w:line="210" w:lineRule="exact"/>
              <w:ind w:left="9058"/>
              <w:rPr>
                <w:sz w:val="20"/>
              </w:rPr>
            </w:pPr>
            <w:r>
              <w:rPr>
                <w:w w:val="95"/>
                <w:sz w:val="20"/>
              </w:rPr>
              <w:t>A16.19.023.001,</w:t>
            </w:r>
            <w:r>
              <w:rPr>
                <w:spacing w:val="54"/>
                <w:sz w:val="20"/>
              </w:rPr>
              <w:t> </w:t>
            </w:r>
            <w:r>
              <w:rPr>
                <w:spacing w:val="-2"/>
                <w:sz w:val="20"/>
              </w:rPr>
              <w:t>A16.19.026,</w:t>
            </w:r>
          </w:p>
        </w:tc>
      </w:tr>
      <w:tr>
        <w:trPr>
          <w:trHeight w:val="279" w:hRule="atLeast"/>
        </w:trPr>
        <w:tc>
          <w:tcPr>
            <w:tcW w:w="15278" w:type="dxa"/>
            <w:gridSpan w:val="7"/>
          </w:tcPr>
          <w:p>
            <w:pPr>
              <w:pStyle w:val="TableParagraph"/>
              <w:spacing w:line="226" w:lineRule="exact"/>
              <w:ind w:left="9082"/>
              <w:rPr>
                <w:sz w:val="20"/>
              </w:rPr>
            </w:pPr>
            <w:r>
              <w:rPr>
                <w:w w:val="95"/>
                <w:sz w:val="20"/>
              </w:rPr>
              <w:t>A16.19.026.001,</w:t>
            </w:r>
            <w:r>
              <w:rPr>
                <w:spacing w:val="54"/>
                <w:sz w:val="20"/>
              </w:rPr>
              <w:t> </w:t>
            </w:r>
            <w:r>
              <w:rPr>
                <w:spacing w:val="-2"/>
                <w:sz w:val="20"/>
              </w:rPr>
              <w:t>A22.30.017</w:t>
            </w:r>
          </w:p>
        </w:tc>
      </w:tr>
      <w:tr>
        <w:trPr>
          <w:trHeight w:val="330" w:hRule="atLeast"/>
        </w:trPr>
        <w:tc>
          <w:tcPr>
            <w:tcW w:w="971" w:type="dxa"/>
          </w:tcPr>
          <w:p>
            <w:pPr>
              <w:pStyle w:val="TableParagraph"/>
              <w:spacing w:before="45"/>
              <w:ind w:left="37" w:right="223"/>
              <w:jc w:val="center"/>
              <w:rPr>
                <w:sz w:val="20"/>
              </w:rPr>
            </w:pPr>
            <w:r>
              <w:rPr>
                <w:spacing w:val="-4"/>
                <w:sz w:val="20"/>
              </w:rPr>
              <w:t>st15</w:t>
            </w:r>
          </w:p>
        </w:tc>
        <w:tc>
          <w:tcPr>
            <w:tcW w:w="657" w:type="dxa"/>
          </w:tcPr>
          <w:p>
            <w:pPr>
              <w:pStyle w:val="TableParagraph"/>
              <w:spacing w:before="45"/>
              <w:ind w:right="217"/>
              <w:jc w:val="right"/>
              <w:rPr>
                <w:sz w:val="20"/>
              </w:rPr>
            </w:pPr>
            <w:r>
              <w:rPr>
                <w:spacing w:val="-5"/>
                <w:sz w:val="20"/>
              </w:rPr>
              <w:t>15</w:t>
            </w:r>
          </w:p>
        </w:tc>
        <w:tc>
          <w:tcPr>
            <w:tcW w:w="2492" w:type="dxa"/>
          </w:tcPr>
          <w:p>
            <w:pPr>
              <w:pStyle w:val="TableParagraph"/>
              <w:rPr>
                <w:sz w:val="18"/>
              </w:rPr>
            </w:pPr>
          </w:p>
        </w:tc>
        <w:tc>
          <w:tcPr>
            <w:tcW w:w="5243" w:type="dxa"/>
          </w:tcPr>
          <w:p>
            <w:pPr>
              <w:pStyle w:val="TableParagraph"/>
              <w:spacing w:before="45"/>
              <w:ind w:left="3376"/>
              <w:rPr>
                <w:sz w:val="20"/>
              </w:rPr>
            </w:pPr>
            <w:r>
              <w:rPr>
                <w:spacing w:val="-2"/>
                <w:sz w:val="20"/>
              </w:rPr>
              <w:t>Неврология</w:t>
            </w:r>
          </w:p>
        </w:tc>
        <w:tc>
          <w:tcPr>
            <w:tcW w:w="1930" w:type="dxa"/>
          </w:tcPr>
          <w:p>
            <w:pPr>
              <w:pStyle w:val="TableParagraph"/>
              <w:rPr>
                <w:sz w:val="18"/>
              </w:rPr>
            </w:pPr>
          </w:p>
        </w:tc>
        <w:tc>
          <w:tcPr>
            <w:tcW w:w="3120" w:type="dxa"/>
          </w:tcPr>
          <w:p>
            <w:pPr>
              <w:pStyle w:val="TableParagraph"/>
              <w:rPr>
                <w:sz w:val="18"/>
              </w:rPr>
            </w:pPr>
          </w:p>
        </w:tc>
        <w:tc>
          <w:tcPr>
            <w:tcW w:w="865" w:type="dxa"/>
          </w:tcPr>
          <w:p>
            <w:pPr>
              <w:pStyle w:val="TableParagraph"/>
              <w:spacing w:before="45"/>
              <w:ind w:right="52"/>
              <w:jc w:val="right"/>
              <w:rPr>
                <w:sz w:val="20"/>
              </w:rPr>
            </w:pPr>
            <w:r>
              <w:rPr>
                <w:spacing w:val="-4"/>
                <w:sz w:val="20"/>
              </w:rPr>
              <w:t>1,12</w:t>
            </w: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st15.001</w:t>
            </w:r>
          </w:p>
        </w:tc>
        <w:tc>
          <w:tcPr>
            <w:tcW w:w="657" w:type="dxa"/>
          </w:tcPr>
          <w:p>
            <w:pPr>
              <w:pStyle w:val="TableParagraph"/>
              <w:spacing w:line="215" w:lineRule="exact" w:before="46"/>
              <w:ind w:right="218"/>
              <w:jc w:val="right"/>
              <w:rPr>
                <w:sz w:val="20"/>
              </w:rPr>
            </w:pPr>
            <w:r>
              <w:rPr>
                <w:spacing w:val="-5"/>
                <w:sz w:val="20"/>
              </w:rPr>
              <w:t>89</w:t>
            </w:r>
          </w:p>
        </w:tc>
        <w:tc>
          <w:tcPr>
            <w:tcW w:w="2492" w:type="dxa"/>
          </w:tcPr>
          <w:p>
            <w:pPr>
              <w:pStyle w:val="TableParagraph"/>
              <w:spacing w:line="215" w:lineRule="exact" w:before="46"/>
              <w:ind w:left="217"/>
              <w:rPr>
                <w:sz w:val="20"/>
              </w:rPr>
            </w:pPr>
            <w:r>
              <w:rPr>
                <w:spacing w:val="-2"/>
                <w:sz w:val="20"/>
              </w:rPr>
              <w:t>Воспалительные</w:t>
            </w:r>
          </w:p>
        </w:tc>
        <w:tc>
          <w:tcPr>
            <w:tcW w:w="5243" w:type="dxa"/>
          </w:tcPr>
          <w:p>
            <w:pPr>
              <w:pStyle w:val="TableParagraph"/>
              <w:spacing w:line="215" w:lineRule="exact" w:before="46"/>
              <w:ind w:left="272"/>
              <w:rPr>
                <w:sz w:val="20"/>
              </w:rPr>
            </w:pPr>
            <w:r>
              <w:rPr>
                <w:sz w:val="20"/>
              </w:rPr>
              <w:t>G00,</w:t>
            </w:r>
            <w:r>
              <w:rPr>
                <w:spacing w:val="-6"/>
                <w:sz w:val="20"/>
              </w:rPr>
              <w:t> </w:t>
            </w:r>
            <w:r>
              <w:rPr>
                <w:sz w:val="20"/>
              </w:rPr>
              <w:t>G00.0,</w:t>
            </w:r>
            <w:r>
              <w:rPr>
                <w:spacing w:val="-6"/>
                <w:sz w:val="20"/>
              </w:rPr>
              <w:t> </w:t>
            </w:r>
            <w:r>
              <w:rPr>
                <w:sz w:val="20"/>
              </w:rPr>
              <w:t>G00.1,</w:t>
            </w:r>
            <w:r>
              <w:rPr>
                <w:spacing w:val="-5"/>
                <w:sz w:val="20"/>
              </w:rPr>
              <w:t> </w:t>
            </w:r>
            <w:r>
              <w:rPr>
                <w:sz w:val="20"/>
              </w:rPr>
              <w:t>G00.2,</w:t>
            </w:r>
            <w:r>
              <w:rPr>
                <w:spacing w:val="-6"/>
                <w:sz w:val="20"/>
              </w:rPr>
              <w:t> </w:t>
            </w:r>
            <w:r>
              <w:rPr>
                <w:sz w:val="20"/>
              </w:rPr>
              <w:t>G00.3,</w:t>
            </w:r>
            <w:r>
              <w:rPr>
                <w:spacing w:val="-5"/>
                <w:sz w:val="20"/>
              </w:rPr>
              <w:t> </w:t>
            </w:r>
            <w:r>
              <w:rPr>
                <w:sz w:val="20"/>
              </w:rPr>
              <w:t>G00.8,</w:t>
            </w:r>
            <w:r>
              <w:rPr>
                <w:spacing w:val="-6"/>
                <w:sz w:val="20"/>
              </w:rPr>
              <w:t> </w:t>
            </w:r>
            <w:r>
              <w:rPr>
                <w:spacing w:val="-2"/>
                <w:sz w:val="20"/>
              </w:rPr>
              <w:t>G00.9,</w:t>
            </w:r>
          </w:p>
        </w:tc>
        <w:tc>
          <w:tcPr>
            <w:tcW w:w="1930" w:type="dxa"/>
          </w:tcPr>
          <w:p>
            <w:pPr>
              <w:pStyle w:val="TableParagraph"/>
              <w:spacing w:line="215" w:lineRule="exact" w:before="46"/>
              <w:ind w:left="857"/>
              <w:rPr>
                <w:sz w:val="20"/>
              </w:rPr>
            </w:pPr>
            <w:r>
              <w:rPr>
                <w:w w:val="99"/>
                <w:sz w:val="20"/>
              </w:rPr>
              <w:t>-</w:t>
            </w:r>
          </w:p>
        </w:tc>
        <w:tc>
          <w:tcPr>
            <w:tcW w:w="3120" w:type="dxa"/>
          </w:tcPr>
          <w:p>
            <w:pPr>
              <w:pStyle w:val="TableParagraph"/>
              <w:spacing w:line="215" w:lineRule="exact" w:before="46"/>
              <w:ind w:left="989"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5" w:lineRule="exact" w:before="46"/>
              <w:ind w:right="52"/>
              <w:jc w:val="right"/>
              <w:rPr>
                <w:sz w:val="20"/>
              </w:rPr>
            </w:pPr>
            <w:r>
              <w:rPr>
                <w:spacing w:val="-4"/>
                <w:sz w:val="20"/>
              </w:rPr>
              <w:t>0,98</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spacing w:line="209" w:lineRule="exact"/>
              <w:ind w:left="217"/>
              <w:rPr>
                <w:sz w:val="20"/>
              </w:rPr>
            </w:pPr>
            <w:r>
              <w:rPr>
                <w:spacing w:val="-2"/>
                <w:sz w:val="20"/>
              </w:rPr>
              <w:t>заболевания</w:t>
            </w:r>
            <w:r>
              <w:rPr>
                <w:spacing w:val="7"/>
                <w:sz w:val="20"/>
              </w:rPr>
              <w:t> </w:t>
            </w:r>
            <w:r>
              <w:rPr>
                <w:spacing w:val="-4"/>
                <w:sz w:val="20"/>
              </w:rPr>
              <w:t>ЦНС,</w:t>
            </w:r>
          </w:p>
        </w:tc>
        <w:tc>
          <w:tcPr>
            <w:tcW w:w="5243" w:type="dxa"/>
          </w:tcPr>
          <w:p>
            <w:pPr>
              <w:pStyle w:val="TableParagraph"/>
              <w:spacing w:line="209" w:lineRule="exact"/>
              <w:ind w:left="421"/>
              <w:rPr>
                <w:sz w:val="20"/>
              </w:rPr>
            </w:pPr>
            <w:r>
              <w:rPr>
                <w:sz w:val="20"/>
              </w:rPr>
              <w:t>G01,</w:t>
            </w:r>
            <w:r>
              <w:rPr>
                <w:spacing w:val="-4"/>
                <w:sz w:val="20"/>
              </w:rPr>
              <w:t> </w:t>
            </w:r>
            <w:r>
              <w:rPr>
                <w:sz w:val="20"/>
              </w:rPr>
              <w:t>G02,</w:t>
            </w:r>
            <w:r>
              <w:rPr>
                <w:spacing w:val="-6"/>
                <w:sz w:val="20"/>
              </w:rPr>
              <w:t> </w:t>
            </w:r>
            <w:r>
              <w:rPr>
                <w:sz w:val="20"/>
              </w:rPr>
              <w:t>G02.0,</w:t>
            </w:r>
            <w:r>
              <w:rPr>
                <w:spacing w:val="-4"/>
                <w:sz w:val="20"/>
              </w:rPr>
              <w:t> </w:t>
            </w:r>
            <w:r>
              <w:rPr>
                <w:sz w:val="20"/>
              </w:rPr>
              <w:t>G02.1,</w:t>
            </w:r>
            <w:r>
              <w:rPr>
                <w:spacing w:val="-4"/>
                <w:sz w:val="20"/>
              </w:rPr>
              <w:t> </w:t>
            </w:r>
            <w:r>
              <w:rPr>
                <w:sz w:val="20"/>
              </w:rPr>
              <w:t>G02.8,</w:t>
            </w:r>
            <w:r>
              <w:rPr>
                <w:spacing w:val="-4"/>
                <w:sz w:val="20"/>
              </w:rPr>
              <w:t> </w:t>
            </w:r>
            <w:r>
              <w:rPr>
                <w:sz w:val="20"/>
              </w:rPr>
              <w:t>G03,</w:t>
            </w:r>
            <w:r>
              <w:rPr>
                <w:spacing w:val="-6"/>
                <w:sz w:val="20"/>
              </w:rPr>
              <w:t> </w:t>
            </w:r>
            <w:r>
              <w:rPr>
                <w:spacing w:val="-2"/>
                <w:sz w:val="20"/>
              </w:rPr>
              <w:t>G03.0,</w:t>
            </w:r>
          </w:p>
        </w:tc>
        <w:tc>
          <w:tcPr>
            <w:tcW w:w="1930" w:type="dxa"/>
          </w:tcPr>
          <w:p>
            <w:pPr>
              <w:pStyle w:val="TableParagraph"/>
              <w:rPr>
                <w:sz w:val="16"/>
              </w:rPr>
            </w:pPr>
          </w:p>
        </w:tc>
        <w:tc>
          <w:tcPr>
            <w:tcW w:w="3120" w:type="dxa"/>
          </w:tcPr>
          <w:p>
            <w:pPr>
              <w:pStyle w:val="TableParagraph"/>
              <w:spacing w:line="209" w:lineRule="exact"/>
              <w:ind w:left="989"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spacing w:line="209" w:lineRule="exact"/>
              <w:ind w:left="217"/>
              <w:rPr>
                <w:sz w:val="20"/>
              </w:rPr>
            </w:pPr>
            <w:r>
              <w:rPr>
                <w:spacing w:val="-2"/>
                <w:sz w:val="20"/>
              </w:rPr>
              <w:t>взрослые</w:t>
            </w:r>
          </w:p>
        </w:tc>
        <w:tc>
          <w:tcPr>
            <w:tcW w:w="5243" w:type="dxa"/>
          </w:tcPr>
          <w:p>
            <w:pPr>
              <w:pStyle w:val="TableParagraph"/>
              <w:spacing w:line="209" w:lineRule="exact"/>
              <w:ind w:left="270"/>
              <w:rPr>
                <w:sz w:val="20"/>
              </w:rPr>
            </w:pPr>
            <w:r>
              <w:rPr>
                <w:sz w:val="20"/>
              </w:rPr>
              <w:t>G03.1,</w:t>
            </w:r>
            <w:r>
              <w:rPr>
                <w:spacing w:val="-4"/>
                <w:sz w:val="20"/>
              </w:rPr>
              <w:t> </w:t>
            </w:r>
            <w:r>
              <w:rPr>
                <w:sz w:val="20"/>
              </w:rPr>
              <w:t>G03.2,</w:t>
            </w:r>
            <w:r>
              <w:rPr>
                <w:spacing w:val="-6"/>
                <w:sz w:val="20"/>
              </w:rPr>
              <w:t> </w:t>
            </w:r>
            <w:r>
              <w:rPr>
                <w:sz w:val="20"/>
              </w:rPr>
              <w:t>G03.8,</w:t>
            </w:r>
            <w:r>
              <w:rPr>
                <w:spacing w:val="-4"/>
                <w:sz w:val="20"/>
              </w:rPr>
              <w:t> </w:t>
            </w:r>
            <w:r>
              <w:rPr>
                <w:sz w:val="20"/>
              </w:rPr>
              <w:t>G03.9,</w:t>
            </w:r>
            <w:r>
              <w:rPr>
                <w:spacing w:val="-6"/>
                <w:sz w:val="20"/>
              </w:rPr>
              <w:t> </w:t>
            </w:r>
            <w:r>
              <w:rPr>
                <w:sz w:val="20"/>
              </w:rPr>
              <w:t>G04,</w:t>
            </w:r>
            <w:r>
              <w:rPr>
                <w:spacing w:val="-4"/>
                <w:sz w:val="20"/>
              </w:rPr>
              <w:t> </w:t>
            </w:r>
            <w:r>
              <w:rPr>
                <w:sz w:val="20"/>
              </w:rPr>
              <w:t>G04.0,</w:t>
            </w:r>
            <w:r>
              <w:rPr>
                <w:spacing w:val="-4"/>
                <w:sz w:val="20"/>
              </w:rPr>
              <w:t> </w:t>
            </w:r>
            <w:r>
              <w:rPr>
                <w:spacing w:val="-2"/>
                <w:sz w:val="20"/>
              </w:rPr>
              <w:t>G04.1,</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11" w:lineRule="exact"/>
              <w:ind w:left="272"/>
              <w:rPr>
                <w:sz w:val="20"/>
              </w:rPr>
            </w:pPr>
            <w:r>
              <w:rPr>
                <w:sz w:val="20"/>
              </w:rPr>
              <w:t>G04.2,</w:t>
            </w:r>
            <w:r>
              <w:rPr>
                <w:spacing w:val="-6"/>
                <w:sz w:val="20"/>
              </w:rPr>
              <w:t> </w:t>
            </w:r>
            <w:r>
              <w:rPr>
                <w:sz w:val="20"/>
              </w:rPr>
              <w:t>G04.8,</w:t>
            </w:r>
            <w:r>
              <w:rPr>
                <w:spacing w:val="-6"/>
                <w:sz w:val="20"/>
              </w:rPr>
              <w:t> </w:t>
            </w:r>
            <w:r>
              <w:rPr>
                <w:sz w:val="20"/>
              </w:rPr>
              <w:t>G04.9,</w:t>
            </w:r>
            <w:r>
              <w:rPr>
                <w:spacing w:val="-5"/>
                <w:sz w:val="20"/>
              </w:rPr>
              <w:t> </w:t>
            </w:r>
            <w:r>
              <w:rPr>
                <w:sz w:val="20"/>
              </w:rPr>
              <w:t>G05,</w:t>
            </w:r>
            <w:r>
              <w:rPr>
                <w:spacing w:val="-6"/>
                <w:sz w:val="20"/>
              </w:rPr>
              <w:t> </w:t>
            </w:r>
            <w:r>
              <w:rPr>
                <w:sz w:val="20"/>
              </w:rPr>
              <w:t>G05.0,</w:t>
            </w:r>
            <w:r>
              <w:rPr>
                <w:spacing w:val="-5"/>
                <w:sz w:val="20"/>
              </w:rPr>
              <w:t> </w:t>
            </w:r>
            <w:r>
              <w:rPr>
                <w:sz w:val="20"/>
              </w:rPr>
              <w:t>G05.1,</w:t>
            </w:r>
            <w:r>
              <w:rPr>
                <w:spacing w:val="-5"/>
                <w:sz w:val="20"/>
              </w:rPr>
              <w:t> </w:t>
            </w:r>
            <w:r>
              <w:rPr>
                <w:spacing w:val="-2"/>
                <w:sz w:val="20"/>
              </w:rPr>
              <w:t>G05.2,</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492" w:type="dxa"/>
          </w:tcPr>
          <w:p>
            <w:pPr>
              <w:pStyle w:val="TableParagraph"/>
              <w:rPr>
                <w:sz w:val="18"/>
              </w:rPr>
            </w:pPr>
          </w:p>
        </w:tc>
        <w:tc>
          <w:tcPr>
            <w:tcW w:w="5243" w:type="dxa"/>
          </w:tcPr>
          <w:p>
            <w:pPr>
              <w:pStyle w:val="TableParagraph"/>
              <w:spacing w:line="226" w:lineRule="exact"/>
              <w:ind w:left="671"/>
              <w:rPr>
                <w:sz w:val="20"/>
              </w:rPr>
            </w:pPr>
            <w:r>
              <w:rPr>
                <w:sz w:val="20"/>
              </w:rPr>
              <w:t>G05.8,</w:t>
            </w:r>
            <w:r>
              <w:rPr>
                <w:spacing w:val="-5"/>
                <w:sz w:val="20"/>
              </w:rPr>
              <w:t> </w:t>
            </w:r>
            <w:r>
              <w:rPr>
                <w:sz w:val="20"/>
              </w:rPr>
              <w:t>G06,</w:t>
            </w:r>
            <w:r>
              <w:rPr>
                <w:spacing w:val="-4"/>
                <w:sz w:val="20"/>
              </w:rPr>
              <w:t> </w:t>
            </w:r>
            <w:r>
              <w:rPr>
                <w:sz w:val="20"/>
              </w:rPr>
              <w:t>G06.0,</w:t>
            </w:r>
            <w:r>
              <w:rPr>
                <w:spacing w:val="-4"/>
                <w:sz w:val="20"/>
              </w:rPr>
              <w:t> </w:t>
            </w:r>
            <w:r>
              <w:rPr>
                <w:sz w:val="20"/>
              </w:rPr>
              <w:t>G06.1,</w:t>
            </w:r>
            <w:r>
              <w:rPr>
                <w:spacing w:val="-4"/>
                <w:sz w:val="20"/>
              </w:rPr>
              <w:t> </w:t>
            </w:r>
            <w:r>
              <w:rPr>
                <w:sz w:val="20"/>
              </w:rPr>
              <w:t>G06.2,</w:t>
            </w:r>
            <w:r>
              <w:rPr>
                <w:spacing w:val="-4"/>
                <w:sz w:val="20"/>
              </w:rPr>
              <w:t> </w:t>
            </w:r>
            <w:r>
              <w:rPr>
                <w:spacing w:val="-5"/>
                <w:sz w:val="20"/>
              </w:rPr>
              <w:t>G07</w:t>
            </w:r>
          </w:p>
        </w:tc>
        <w:tc>
          <w:tcPr>
            <w:tcW w:w="1930"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st15.002</w:t>
            </w:r>
          </w:p>
        </w:tc>
        <w:tc>
          <w:tcPr>
            <w:tcW w:w="657" w:type="dxa"/>
          </w:tcPr>
          <w:p>
            <w:pPr>
              <w:pStyle w:val="TableParagraph"/>
              <w:spacing w:line="214" w:lineRule="exact" w:before="46"/>
              <w:ind w:right="217"/>
              <w:jc w:val="right"/>
              <w:rPr>
                <w:sz w:val="20"/>
              </w:rPr>
            </w:pPr>
            <w:r>
              <w:rPr>
                <w:spacing w:val="-5"/>
                <w:sz w:val="20"/>
              </w:rPr>
              <w:t>90</w:t>
            </w:r>
          </w:p>
        </w:tc>
        <w:tc>
          <w:tcPr>
            <w:tcW w:w="2492" w:type="dxa"/>
          </w:tcPr>
          <w:p>
            <w:pPr>
              <w:pStyle w:val="TableParagraph"/>
              <w:spacing w:line="214" w:lineRule="exact" w:before="46"/>
              <w:ind w:left="217"/>
              <w:rPr>
                <w:sz w:val="20"/>
              </w:rPr>
            </w:pPr>
            <w:r>
              <w:rPr>
                <w:spacing w:val="-2"/>
                <w:sz w:val="20"/>
              </w:rPr>
              <w:t>Воспалительные</w:t>
            </w:r>
          </w:p>
        </w:tc>
        <w:tc>
          <w:tcPr>
            <w:tcW w:w="5243" w:type="dxa"/>
          </w:tcPr>
          <w:p>
            <w:pPr>
              <w:pStyle w:val="TableParagraph"/>
              <w:spacing w:line="214" w:lineRule="exact" w:before="46"/>
              <w:ind w:left="272"/>
              <w:rPr>
                <w:sz w:val="20"/>
              </w:rPr>
            </w:pPr>
            <w:r>
              <w:rPr>
                <w:sz w:val="20"/>
              </w:rPr>
              <w:t>G00,</w:t>
            </w:r>
            <w:r>
              <w:rPr>
                <w:spacing w:val="-6"/>
                <w:sz w:val="20"/>
              </w:rPr>
              <w:t> </w:t>
            </w:r>
            <w:r>
              <w:rPr>
                <w:sz w:val="20"/>
              </w:rPr>
              <w:t>G00.0,</w:t>
            </w:r>
            <w:r>
              <w:rPr>
                <w:spacing w:val="-6"/>
                <w:sz w:val="20"/>
              </w:rPr>
              <w:t> </w:t>
            </w:r>
            <w:r>
              <w:rPr>
                <w:sz w:val="20"/>
              </w:rPr>
              <w:t>G00.1,</w:t>
            </w:r>
            <w:r>
              <w:rPr>
                <w:spacing w:val="-5"/>
                <w:sz w:val="20"/>
              </w:rPr>
              <w:t> </w:t>
            </w:r>
            <w:r>
              <w:rPr>
                <w:sz w:val="20"/>
              </w:rPr>
              <w:t>G00.2,</w:t>
            </w:r>
            <w:r>
              <w:rPr>
                <w:spacing w:val="-6"/>
                <w:sz w:val="20"/>
              </w:rPr>
              <w:t> </w:t>
            </w:r>
            <w:r>
              <w:rPr>
                <w:sz w:val="20"/>
              </w:rPr>
              <w:t>G00.3,</w:t>
            </w:r>
            <w:r>
              <w:rPr>
                <w:spacing w:val="-5"/>
                <w:sz w:val="20"/>
              </w:rPr>
              <w:t> </w:t>
            </w:r>
            <w:r>
              <w:rPr>
                <w:sz w:val="20"/>
              </w:rPr>
              <w:t>G00.8,</w:t>
            </w:r>
            <w:r>
              <w:rPr>
                <w:spacing w:val="-6"/>
                <w:sz w:val="20"/>
              </w:rPr>
              <w:t> </w:t>
            </w:r>
            <w:r>
              <w:rPr>
                <w:spacing w:val="-2"/>
                <w:sz w:val="20"/>
              </w:rPr>
              <w:t>G00.9,</w:t>
            </w:r>
          </w:p>
        </w:tc>
        <w:tc>
          <w:tcPr>
            <w:tcW w:w="1930" w:type="dxa"/>
          </w:tcPr>
          <w:p>
            <w:pPr>
              <w:pStyle w:val="TableParagraph"/>
              <w:spacing w:line="214" w:lineRule="exact" w:before="46"/>
              <w:ind w:left="857"/>
              <w:rPr>
                <w:sz w:val="20"/>
              </w:rPr>
            </w:pPr>
            <w:r>
              <w:rPr>
                <w:w w:val="99"/>
                <w:sz w:val="20"/>
              </w:rPr>
              <w:t>-</w:t>
            </w:r>
          </w:p>
        </w:tc>
        <w:tc>
          <w:tcPr>
            <w:tcW w:w="3120" w:type="dxa"/>
          </w:tcPr>
          <w:p>
            <w:pPr>
              <w:pStyle w:val="TableParagraph"/>
              <w:spacing w:line="214" w:lineRule="exact" w:before="46"/>
              <w:ind w:left="989"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46"/>
              <w:ind w:right="52"/>
              <w:jc w:val="right"/>
              <w:rPr>
                <w:sz w:val="20"/>
              </w:rPr>
            </w:pPr>
            <w:r>
              <w:rPr>
                <w:spacing w:val="-4"/>
                <w:sz w:val="20"/>
              </w:rPr>
              <w:t>1,55</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spacing w:line="209" w:lineRule="exact"/>
              <w:ind w:left="217"/>
              <w:rPr>
                <w:sz w:val="20"/>
              </w:rPr>
            </w:pPr>
            <w:r>
              <w:rPr>
                <w:sz w:val="20"/>
              </w:rPr>
              <w:t>заболевания</w:t>
            </w:r>
            <w:r>
              <w:rPr>
                <w:spacing w:val="-10"/>
                <w:sz w:val="20"/>
              </w:rPr>
              <w:t> </w:t>
            </w:r>
            <w:r>
              <w:rPr>
                <w:sz w:val="20"/>
              </w:rPr>
              <w:t>ЦНС,</w:t>
            </w:r>
            <w:r>
              <w:rPr>
                <w:spacing w:val="-10"/>
                <w:sz w:val="20"/>
              </w:rPr>
              <w:t> </w:t>
            </w:r>
            <w:r>
              <w:rPr>
                <w:spacing w:val="-4"/>
                <w:sz w:val="20"/>
              </w:rPr>
              <w:t>дети</w:t>
            </w:r>
          </w:p>
        </w:tc>
        <w:tc>
          <w:tcPr>
            <w:tcW w:w="5243" w:type="dxa"/>
          </w:tcPr>
          <w:p>
            <w:pPr>
              <w:pStyle w:val="TableParagraph"/>
              <w:spacing w:line="209" w:lineRule="exact"/>
              <w:ind w:left="421"/>
              <w:rPr>
                <w:sz w:val="20"/>
              </w:rPr>
            </w:pPr>
            <w:r>
              <w:rPr>
                <w:sz w:val="20"/>
              </w:rPr>
              <w:t>G01,</w:t>
            </w:r>
            <w:r>
              <w:rPr>
                <w:spacing w:val="-4"/>
                <w:sz w:val="20"/>
              </w:rPr>
              <w:t> </w:t>
            </w:r>
            <w:r>
              <w:rPr>
                <w:sz w:val="20"/>
              </w:rPr>
              <w:t>G02,</w:t>
            </w:r>
            <w:r>
              <w:rPr>
                <w:spacing w:val="-6"/>
                <w:sz w:val="20"/>
              </w:rPr>
              <w:t> </w:t>
            </w:r>
            <w:r>
              <w:rPr>
                <w:sz w:val="20"/>
              </w:rPr>
              <w:t>G02.0,</w:t>
            </w:r>
            <w:r>
              <w:rPr>
                <w:spacing w:val="-4"/>
                <w:sz w:val="20"/>
              </w:rPr>
              <w:t> </w:t>
            </w:r>
            <w:r>
              <w:rPr>
                <w:sz w:val="20"/>
              </w:rPr>
              <w:t>G02.1,</w:t>
            </w:r>
            <w:r>
              <w:rPr>
                <w:spacing w:val="-4"/>
                <w:sz w:val="20"/>
              </w:rPr>
              <w:t> </w:t>
            </w:r>
            <w:r>
              <w:rPr>
                <w:sz w:val="20"/>
              </w:rPr>
              <w:t>G02.8,</w:t>
            </w:r>
            <w:r>
              <w:rPr>
                <w:spacing w:val="-4"/>
                <w:sz w:val="20"/>
              </w:rPr>
              <w:t> </w:t>
            </w:r>
            <w:r>
              <w:rPr>
                <w:sz w:val="20"/>
              </w:rPr>
              <w:t>G03,</w:t>
            </w:r>
            <w:r>
              <w:rPr>
                <w:spacing w:val="-6"/>
                <w:sz w:val="20"/>
              </w:rPr>
              <w:t> </w:t>
            </w:r>
            <w:r>
              <w:rPr>
                <w:spacing w:val="-2"/>
                <w:sz w:val="20"/>
              </w:rPr>
              <w:t>G03.0,</w:t>
            </w:r>
          </w:p>
        </w:tc>
        <w:tc>
          <w:tcPr>
            <w:tcW w:w="1930" w:type="dxa"/>
          </w:tcPr>
          <w:p>
            <w:pPr>
              <w:pStyle w:val="TableParagraph"/>
              <w:rPr>
                <w:sz w:val="16"/>
              </w:rPr>
            </w:pPr>
          </w:p>
        </w:tc>
        <w:tc>
          <w:tcPr>
            <w:tcW w:w="3120" w:type="dxa"/>
          </w:tcPr>
          <w:p>
            <w:pPr>
              <w:pStyle w:val="TableParagraph"/>
              <w:spacing w:line="209" w:lineRule="exact"/>
              <w:ind w:left="986" w:right="454"/>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10" w:lineRule="exact"/>
              <w:ind w:left="270"/>
              <w:rPr>
                <w:sz w:val="20"/>
              </w:rPr>
            </w:pPr>
            <w:r>
              <w:rPr>
                <w:sz w:val="20"/>
              </w:rPr>
              <w:t>G03.1,</w:t>
            </w:r>
            <w:r>
              <w:rPr>
                <w:spacing w:val="-4"/>
                <w:sz w:val="20"/>
              </w:rPr>
              <w:t> </w:t>
            </w:r>
            <w:r>
              <w:rPr>
                <w:sz w:val="20"/>
              </w:rPr>
              <w:t>G03.2,</w:t>
            </w:r>
            <w:r>
              <w:rPr>
                <w:spacing w:val="-6"/>
                <w:sz w:val="20"/>
              </w:rPr>
              <w:t> </w:t>
            </w:r>
            <w:r>
              <w:rPr>
                <w:sz w:val="20"/>
              </w:rPr>
              <w:t>G03.8,</w:t>
            </w:r>
            <w:r>
              <w:rPr>
                <w:spacing w:val="-4"/>
                <w:sz w:val="20"/>
              </w:rPr>
              <w:t> </w:t>
            </w:r>
            <w:r>
              <w:rPr>
                <w:sz w:val="20"/>
              </w:rPr>
              <w:t>G03.9,</w:t>
            </w:r>
            <w:r>
              <w:rPr>
                <w:spacing w:val="-6"/>
                <w:sz w:val="20"/>
              </w:rPr>
              <w:t> </w:t>
            </w:r>
            <w:r>
              <w:rPr>
                <w:sz w:val="20"/>
              </w:rPr>
              <w:t>G04,</w:t>
            </w:r>
            <w:r>
              <w:rPr>
                <w:spacing w:val="-4"/>
                <w:sz w:val="20"/>
              </w:rPr>
              <w:t> </w:t>
            </w:r>
            <w:r>
              <w:rPr>
                <w:sz w:val="20"/>
              </w:rPr>
              <w:t>G04.0,</w:t>
            </w:r>
            <w:r>
              <w:rPr>
                <w:spacing w:val="-4"/>
                <w:sz w:val="20"/>
              </w:rPr>
              <w:t> </w:t>
            </w:r>
            <w:r>
              <w:rPr>
                <w:spacing w:val="-2"/>
                <w:sz w:val="20"/>
              </w:rPr>
              <w:t>G04.1,</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10" w:lineRule="exact"/>
              <w:ind w:left="272"/>
              <w:rPr>
                <w:sz w:val="20"/>
              </w:rPr>
            </w:pPr>
            <w:r>
              <w:rPr>
                <w:sz w:val="20"/>
              </w:rPr>
              <w:t>G04.2,</w:t>
            </w:r>
            <w:r>
              <w:rPr>
                <w:spacing w:val="-6"/>
                <w:sz w:val="20"/>
              </w:rPr>
              <w:t> </w:t>
            </w:r>
            <w:r>
              <w:rPr>
                <w:sz w:val="20"/>
              </w:rPr>
              <w:t>G04.8,</w:t>
            </w:r>
            <w:r>
              <w:rPr>
                <w:spacing w:val="-6"/>
                <w:sz w:val="20"/>
              </w:rPr>
              <w:t> </w:t>
            </w:r>
            <w:r>
              <w:rPr>
                <w:sz w:val="20"/>
              </w:rPr>
              <w:t>G04.9,</w:t>
            </w:r>
            <w:r>
              <w:rPr>
                <w:spacing w:val="-3"/>
                <w:sz w:val="20"/>
              </w:rPr>
              <w:t> </w:t>
            </w:r>
            <w:r>
              <w:rPr>
                <w:sz w:val="20"/>
              </w:rPr>
              <w:t>G05,</w:t>
            </w:r>
            <w:r>
              <w:rPr>
                <w:spacing w:val="-5"/>
                <w:sz w:val="20"/>
              </w:rPr>
              <w:t> </w:t>
            </w:r>
            <w:r>
              <w:rPr>
                <w:sz w:val="20"/>
              </w:rPr>
              <w:t>G05.0,</w:t>
            </w:r>
            <w:r>
              <w:rPr>
                <w:spacing w:val="-5"/>
                <w:sz w:val="20"/>
              </w:rPr>
              <w:t> </w:t>
            </w:r>
            <w:r>
              <w:rPr>
                <w:sz w:val="20"/>
              </w:rPr>
              <w:t>G05.1,</w:t>
            </w:r>
            <w:r>
              <w:rPr>
                <w:spacing w:val="-5"/>
                <w:sz w:val="20"/>
              </w:rPr>
              <w:t> </w:t>
            </w:r>
            <w:r>
              <w:rPr>
                <w:spacing w:val="-2"/>
                <w:sz w:val="20"/>
              </w:rPr>
              <w:t>G05.2,</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05" w:lineRule="exact"/>
              <w:ind w:left="671"/>
              <w:rPr>
                <w:sz w:val="20"/>
              </w:rPr>
            </w:pPr>
            <w:r>
              <w:rPr>
                <w:sz w:val="20"/>
              </w:rPr>
              <w:t>G05.8,</w:t>
            </w:r>
            <w:r>
              <w:rPr>
                <w:spacing w:val="-5"/>
                <w:sz w:val="20"/>
              </w:rPr>
              <w:t> </w:t>
            </w:r>
            <w:r>
              <w:rPr>
                <w:sz w:val="20"/>
              </w:rPr>
              <w:t>G06,</w:t>
            </w:r>
            <w:r>
              <w:rPr>
                <w:spacing w:val="-5"/>
                <w:sz w:val="20"/>
              </w:rPr>
              <w:t> </w:t>
            </w:r>
            <w:r>
              <w:rPr>
                <w:sz w:val="20"/>
              </w:rPr>
              <w:t>G06.0,</w:t>
            </w:r>
            <w:r>
              <w:rPr>
                <w:spacing w:val="-5"/>
                <w:sz w:val="20"/>
              </w:rPr>
              <w:t> </w:t>
            </w:r>
            <w:r>
              <w:rPr>
                <w:sz w:val="20"/>
              </w:rPr>
              <w:t>G06.1,</w:t>
            </w:r>
            <w:r>
              <w:rPr>
                <w:spacing w:val="-5"/>
                <w:sz w:val="20"/>
              </w:rPr>
              <w:t> </w:t>
            </w:r>
            <w:r>
              <w:rPr>
                <w:sz w:val="20"/>
              </w:rPr>
              <w:t>G06.2,</w:t>
            </w:r>
            <w:r>
              <w:rPr>
                <w:spacing w:val="-5"/>
                <w:sz w:val="20"/>
              </w:rPr>
              <w:t> G07</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6"/>
        <w:gridCol w:w="5100"/>
        <w:gridCol w:w="2385"/>
        <w:gridCol w:w="2327"/>
        <w:gridCol w:w="1262"/>
      </w:tblGrid>
      <w:tr>
        <w:trPr>
          <w:trHeight w:val="1195" w:hRule="atLeast"/>
        </w:trPr>
        <w:tc>
          <w:tcPr>
            <w:tcW w:w="971" w:type="dxa"/>
          </w:tcPr>
          <w:p>
            <w:pPr>
              <w:pStyle w:val="TableParagraph"/>
              <w:spacing w:line="221" w:lineRule="exact"/>
              <w:ind w:left="50"/>
              <w:rPr>
                <w:sz w:val="20"/>
              </w:rPr>
            </w:pPr>
            <w:r>
              <w:rPr>
                <w:spacing w:val="-2"/>
                <w:sz w:val="20"/>
              </w:rPr>
              <w:t>st15.003</w:t>
            </w:r>
          </w:p>
        </w:tc>
        <w:tc>
          <w:tcPr>
            <w:tcW w:w="657" w:type="dxa"/>
          </w:tcPr>
          <w:p>
            <w:pPr>
              <w:pStyle w:val="TableParagraph"/>
              <w:spacing w:line="221" w:lineRule="exact"/>
              <w:ind w:right="217"/>
              <w:jc w:val="right"/>
              <w:rPr>
                <w:sz w:val="20"/>
              </w:rPr>
            </w:pPr>
            <w:r>
              <w:rPr>
                <w:spacing w:val="-5"/>
                <w:sz w:val="20"/>
              </w:rPr>
              <w:t>91</w:t>
            </w:r>
          </w:p>
        </w:tc>
        <w:tc>
          <w:tcPr>
            <w:tcW w:w="2576" w:type="dxa"/>
          </w:tcPr>
          <w:p>
            <w:pPr>
              <w:pStyle w:val="TableParagraph"/>
              <w:ind w:left="217" w:right="219"/>
              <w:rPr>
                <w:sz w:val="20"/>
              </w:rPr>
            </w:pPr>
            <w:r>
              <w:rPr>
                <w:sz w:val="20"/>
              </w:rPr>
              <w:t>Дегенеративные</w:t>
            </w:r>
            <w:r>
              <w:rPr>
                <w:spacing w:val="-13"/>
                <w:sz w:val="20"/>
              </w:rPr>
              <w:t> </w:t>
            </w:r>
            <w:r>
              <w:rPr>
                <w:sz w:val="20"/>
              </w:rPr>
              <w:t>болезни нервной системы</w:t>
            </w:r>
          </w:p>
        </w:tc>
        <w:tc>
          <w:tcPr>
            <w:tcW w:w="5100" w:type="dxa"/>
          </w:tcPr>
          <w:p>
            <w:pPr>
              <w:pStyle w:val="TableParagraph"/>
              <w:spacing w:line="221" w:lineRule="exact"/>
              <w:ind w:left="150" w:right="916"/>
              <w:jc w:val="center"/>
              <w:rPr>
                <w:sz w:val="20"/>
              </w:rPr>
            </w:pPr>
            <w:r>
              <w:rPr>
                <w:sz w:val="20"/>
              </w:rPr>
              <w:t>G14,</w:t>
            </w:r>
            <w:r>
              <w:rPr>
                <w:spacing w:val="-5"/>
                <w:sz w:val="20"/>
              </w:rPr>
              <w:t> </w:t>
            </w:r>
            <w:r>
              <w:rPr>
                <w:sz w:val="20"/>
              </w:rPr>
              <w:t>G20,</w:t>
            </w:r>
            <w:r>
              <w:rPr>
                <w:spacing w:val="-5"/>
                <w:sz w:val="20"/>
              </w:rPr>
              <w:t> </w:t>
            </w:r>
            <w:r>
              <w:rPr>
                <w:sz w:val="20"/>
              </w:rPr>
              <w:t>G21,</w:t>
            </w:r>
            <w:r>
              <w:rPr>
                <w:spacing w:val="-5"/>
                <w:sz w:val="20"/>
              </w:rPr>
              <w:t> </w:t>
            </w:r>
            <w:r>
              <w:rPr>
                <w:sz w:val="20"/>
              </w:rPr>
              <w:t>G21.0,</w:t>
            </w:r>
            <w:r>
              <w:rPr>
                <w:spacing w:val="-4"/>
                <w:sz w:val="20"/>
              </w:rPr>
              <w:t> </w:t>
            </w:r>
            <w:r>
              <w:rPr>
                <w:sz w:val="20"/>
              </w:rPr>
              <w:t>G21.1,</w:t>
            </w:r>
            <w:r>
              <w:rPr>
                <w:spacing w:val="-4"/>
                <w:sz w:val="20"/>
              </w:rPr>
              <w:t> </w:t>
            </w:r>
            <w:r>
              <w:rPr>
                <w:sz w:val="20"/>
              </w:rPr>
              <w:t>G21.2,</w:t>
            </w:r>
            <w:r>
              <w:rPr>
                <w:spacing w:val="-6"/>
                <w:sz w:val="20"/>
              </w:rPr>
              <w:t> </w:t>
            </w:r>
            <w:r>
              <w:rPr>
                <w:spacing w:val="-2"/>
                <w:sz w:val="20"/>
              </w:rPr>
              <w:t>G21.3,</w:t>
            </w:r>
          </w:p>
          <w:p>
            <w:pPr>
              <w:pStyle w:val="TableParagraph"/>
              <w:spacing w:line="229" w:lineRule="exact"/>
              <w:ind w:left="150" w:right="914"/>
              <w:jc w:val="center"/>
              <w:rPr>
                <w:sz w:val="20"/>
              </w:rPr>
            </w:pPr>
            <w:r>
              <w:rPr>
                <w:sz w:val="20"/>
              </w:rPr>
              <w:t>G21.4,</w:t>
            </w:r>
            <w:r>
              <w:rPr>
                <w:spacing w:val="-5"/>
                <w:sz w:val="20"/>
              </w:rPr>
              <w:t> </w:t>
            </w:r>
            <w:r>
              <w:rPr>
                <w:sz w:val="20"/>
              </w:rPr>
              <w:t>G21.8,</w:t>
            </w:r>
            <w:r>
              <w:rPr>
                <w:spacing w:val="-6"/>
                <w:sz w:val="20"/>
              </w:rPr>
              <w:t> </w:t>
            </w:r>
            <w:r>
              <w:rPr>
                <w:sz w:val="20"/>
              </w:rPr>
              <w:t>G21.9,</w:t>
            </w:r>
            <w:r>
              <w:rPr>
                <w:spacing w:val="-5"/>
                <w:sz w:val="20"/>
              </w:rPr>
              <w:t> </w:t>
            </w:r>
            <w:r>
              <w:rPr>
                <w:sz w:val="20"/>
              </w:rPr>
              <w:t>G22,</w:t>
            </w:r>
            <w:r>
              <w:rPr>
                <w:spacing w:val="-4"/>
                <w:sz w:val="20"/>
              </w:rPr>
              <w:t> </w:t>
            </w:r>
            <w:r>
              <w:rPr>
                <w:sz w:val="20"/>
              </w:rPr>
              <w:t>G25,</w:t>
            </w:r>
            <w:r>
              <w:rPr>
                <w:spacing w:val="-5"/>
                <w:sz w:val="20"/>
              </w:rPr>
              <w:t> </w:t>
            </w:r>
            <w:r>
              <w:rPr>
                <w:sz w:val="20"/>
              </w:rPr>
              <w:t>G25.0,</w:t>
            </w:r>
            <w:r>
              <w:rPr>
                <w:spacing w:val="-4"/>
                <w:sz w:val="20"/>
              </w:rPr>
              <w:t> </w:t>
            </w:r>
            <w:r>
              <w:rPr>
                <w:spacing w:val="-2"/>
                <w:sz w:val="20"/>
              </w:rPr>
              <w:t>G25.1,</w:t>
            </w:r>
          </w:p>
          <w:p>
            <w:pPr>
              <w:pStyle w:val="TableParagraph"/>
              <w:spacing w:line="229" w:lineRule="exact"/>
              <w:ind w:left="150" w:right="913"/>
              <w:jc w:val="center"/>
              <w:rPr>
                <w:sz w:val="20"/>
              </w:rPr>
            </w:pPr>
            <w:r>
              <w:rPr>
                <w:sz w:val="20"/>
              </w:rPr>
              <w:t>G25.2,</w:t>
            </w:r>
            <w:r>
              <w:rPr>
                <w:spacing w:val="-3"/>
                <w:sz w:val="20"/>
              </w:rPr>
              <w:t> </w:t>
            </w:r>
            <w:r>
              <w:rPr>
                <w:sz w:val="20"/>
              </w:rPr>
              <w:t>G25.3,</w:t>
            </w:r>
            <w:r>
              <w:rPr>
                <w:spacing w:val="-6"/>
                <w:sz w:val="20"/>
              </w:rPr>
              <w:t> </w:t>
            </w:r>
            <w:r>
              <w:rPr>
                <w:sz w:val="20"/>
              </w:rPr>
              <w:t>G25.4,</w:t>
            </w:r>
            <w:r>
              <w:rPr>
                <w:spacing w:val="-4"/>
                <w:sz w:val="20"/>
              </w:rPr>
              <w:t> </w:t>
            </w:r>
            <w:r>
              <w:rPr>
                <w:sz w:val="20"/>
              </w:rPr>
              <w:t>G25.5,</w:t>
            </w:r>
            <w:r>
              <w:rPr>
                <w:spacing w:val="-6"/>
                <w:sz w:val="20"/>
              </w:rPr>
              <w:t> </w:t>
            </w:r>
            <w:r>
              <w:rPr>
                <w:sz w:val="20"/>
              </w:rPr>
              <w:t>G25.6,</w:t>
            </w:r>
            <w:r>
              <w:rPr>
                <w:spacing w:val="-4"/>
                <w:sz w:val="20"/>
              </w:rPr>
              <w:t> </w:t>
            </w:r>
            <w:r>
              <w:rPr>
                <w:spacing w:val="-2"/>
                <w:sz w:val="20"/>
              </w:rPr>
              <w:t>G25.8,</w:t>
            </w:r>
          </w:p>
          <w:p>
            <w:pPr>
              <w:pStyle w:val="TableParagraph"/>
              <w:spacing w:before="1"/>
              <w:ind w:left="150" w:right="914"/>
              <w:jc w:val="center"/>
              <w:rPr>
                <w:sz w:val="20"/>
              </w:rPr>
            </w:pPr>
            <w:r>
              <w:rPr>
                <w:sz w:val="20"/>
              </w:rPr>
              <w:t>G25.9,</w:t>
            </w:r>
            <w:r>
              <w:rPr>
                <w:spacing w:val="-7"/>
                <w:sz w:val="20"/>
              </w:rPr>
              <w:t> </w:t>
            </w:r>
            <w:r>
              <w:rPr>
                <w:sz w:val="20"/>
              </w:rPr>
              <w:t>G26,</w:t>
            </w:r>
            <w:r>
              <w:rPr>
                <w:spacing w:val="-7"/>
                <w:sz w:val="20"/>
              </w:rPr>
              <w:t> </w:t>
            </w:r>
            <w:r>
              <w:rPr>
                <w:sz w:val="20"/>
              </w:rPr>
              <w:t>G31,</w:t>
            </w:r>
            <w:r>
              <w:rPr>
                <w:spacing w:val="-7"/>
                <w:sz w:val="20"/>
              </w:rPr>
              <w:t> </w:t>
            </w:r>
            <w:r>
              <w:rPr>
                <w:sz w:val="20"/>
              </w:rPr>
              <w:t>G31.0,</w:t>
            </w:r>
            <w:r>
              <w:rPr>
                <w:spacing w:val="-7"/>
                <w:sz w:val="20"/>
              </w:rPr>
              <w:t> </w:t>
            </w:r>
            <w:r>
              <w:rPr>
                <w:sz w:val="20"/>
              </w:rPr>
              <w:t>G31.1,</w:t>
            </w:r>
            <w:r>
              <w:rPr>
                <w:spacing w:val="-7"/>
                <w:sz w:val="20"/>
              </w:rPr>
              <w:t> </w:t>
            </w:r>
            <w:r>
              <w:rPr>
                <w:sz w:val="20"/>
              </w:rPr>
              <w:t>G31.2,</w:t>
            </w:r>
            <w:r>
              <w:rPr>
                <w:spacing w:val="-7"/>
                <w:sz w:val="20"/>
              </w:rPr>
              <w:t> </w:t>
            </w:r>
            <w:r>
              <w:rPr>
                <w:sz w:val="20"/>
              </w:rPr>
              <w:t>G32.0, G62.8, G70.0, G95.0</w:t>
            </w:r>
          </w:p>
        </w:tc>
        <w:tc>
          <w:tcPr>
            <w:tcW w:w="2385" w:type="dxa"/>
          </w:tcPr>
          <w:p>
            <w:pPr>
              <w:pStyle w:val="TableParagraph"/>
              <w:spacing w:line="221" w:lineRule="exact"/>
              <w:ind w:left="916"/>
              <w:rPr>
                <w:sz w:val="20"/>
              </w:rPr>
            </w:pPr>
            <w:r>
              <w:rPr>
                <w:w w:val="99"/>
                <w:sz w:val="20"/>
              </w:rPr>
              <w:t>-</w:t>
            </w:r>
          </w:p>
        </w:tc>
        <w:tc>
          <w:tcPr>
            <w:tcW w:w="2327" w:type="dxa"/>
          </w:tcPr>
          <w:p>
            <w:pPr>
              <w:pStyle w:val="TableParagraph"/>
              <w:spacing w:line="221" w:lineRule="exact"/>
              <w:ind w:right="861"/>
              <w:jc w:val="right"/>
              <w:rPr>
                <w:sz w:val="20"/>
              </w:rPr>
            </w:pPr>
            <w:r>
              <w:rPr>
                <w:w w:val="99"/>
                <w:sz w:val="20"/>
              </w:rPr>
              <w:t>-</w:t>
            </w:r>
          </w:p>
        </w:tc>
        <w:tc>
          <w:tcPr>
            <w:tcW w:w="1262" w:type="dxa"/>
          </w:tcPr>
          <w:p>
            <w:pPr>
              <w:pStyle w:val="TableParagraph"/>
              <w:spacing w:line="221" w:lineRule="exact"/>
              <w:ind w:right="52"/>
              <w:jc w:val="right"/>
              <w:rPr>
                <w:sz w:val="20"/>
              </w:rPr>
            </w:pPr>
            <w:r>
              <w:rPr>
                <w:spacing w:val="-4"/>
                <w:sz w:val="20"/>
              </w:rPr>
              <w:t>0,84</w:t>
            </w:r>
          </w:p>
        </w:tc>
      </w:tr>
      <w:tr>
        <w:trPr>
          <w:trHeight w:val="790" w:hRule="atLeast"/>
        </w:trPr>
        <w:tc>
          <w:tcPr>
            <w:tcW w:w="971" w:type="dxa"/>
          </w:tcPr>
          <w:p>
            <w:pPr>
              <w:pStyle w:val="TableParagraph"/>
              <w:spacing w:before="46"/>
              <w:ind w:left="50"/>
              <w:rPr>
                <w:sz w:val="20"/>
              </w:rPr>
            </w:pPr>
            <w:r>
              <w:rPr>
                <w:spacing w:val="-2"/>
                <w:sz w:val="20"/>
              </w:rPr>
              <w:t>st15.004</w:t>
            </w:r>
          </w:p>
        </w:tc>
        <w:tc>
          <w:tcPr>
            <w:tcW w:w="657" w:type="dxa"/>
          </w:tcPr>
          <w:p>
            <w:pPr>
              <w:pStyle w:val="TableParagraph"/>
              <w:spacing w:before="46"/>
              <w:ind w:right="217"/>
              <w:jc w:val="right"/>
              <w:rPr>
                <w:sz w:val="20"/>
              </w:rPr>
            </w:pPr>
            <w:r>
              <w:rPr>
                <w:spacing w:val="-5"/>
                <w:sz w:val="20"/>
              </w:rPr>
              <w:t>92</w:t>
            </w:r>
          </w:p>
        </w:tc>
        <w:tc>
          <w:tcPr>
            <w:tcW w:w="2576" w:type="dxa"/>
          </w:tcPr>
          <w:p>
            <w:pPr>
              <w:pStyle w:val="TableParagraph"/>
              <w:spacing w:before="46"/>
              <w:ind w:left="217" w:right="128"/>
              <w:rPr>
                <w:sz w:val="20"/>
              </w:rPr>
            </w:pPr>
            <w:r>
              <w:rPr>
                <w:spacing w:val="-2"/>
                <w:sz w:val="20"/>
              </w:rPr>
              <w:t>Демиелинизирующие </w:t>
            </w:r>
            <w:r>
              <w:rPr>
                <w:sz w:val="20"/>
              </w:rPr>
              <w:t>болезни</w:t>
            </w:r>
            <w:r>
              <w:rPr>
                <w:spacing w:val="-13"/>
                <w:sz w:val="20"/>
              </w:rPr>
              <w:t> </w:t>
            </w:r>
            <w:r>
              <w:rPr>
                <w:sz w:val="20"/>
              </w:rPr>
              <w:t>нервной</w:t>
            </w:r>
            <w:r>
              <w:rPr>
                <w:spacing w:val="-12"/>
                <w:sz w:val="20"/>
              </w:rPr>
              <w:t> </w:t>
            </w:r>
            <w:r>
              <w:rPr>
                <w:sz w:val="20"/>
              </w:rPr>
              <w:t>системы</w:t>
            </w:r>
          </w:p>
        </w:tc>
        <w:tc>
          <w:tcPr>
            <w:tcW w:w="5100" w:type="dxa"/>
          </w:tcPr>
          <w:p>
            <w:pPr>
              <w:pStyle w:val="TableParagraph"/>
              <w:spacing w:line="229" w:lineRule="exact" w:before="46"/>
              <w:ind w:left="337"/>
              <w:rPr>
                <w:sz w:val="20"/>
              </w:rPr>
            </w:pPr>
            <w:r>
              <w:rPr>
                <w:sz w:val="20"/>
              </w:rPr>
              <w:t>G35,</w:t>
            </w:r>
            <w:r>
              <w:rPr>
                <w:spacing w:val="-5"/>
                <w:sz w:val="20"/>
              </w:rPr>
              <w:t> </w:t>
            </w:r>
            <w:r>
              <w:rPr>
                <w:sz w:val="20"/>
              </w:rPr>
              <w:t>G36,</w:t>
            </w:r>
            <w:r>
              <w:rPr>
                <w:spacing w:val="-6"/>
                <w:sz w:val="20"/>
              </w:rPr>
              <w:t> </w:t>
            </w:r>
            <w:r>
              <w:rPr>
                <w:sz w:val="20"/>
              </w:rPr>
              <w:t>G36.0,</w:t>
            </w:r>
            <w:r>
              <w:rPr>
                <w:spacing w:val="-4"/>
                <w:sz w:val="20"/>
              </w:rPr>
              <w:t> </w:t>
            </w:r>
            <w:r>
              <w:rPr>
                <w:sz w:val="20"/>
              </w:rPr>
              <w:t>G36.1,</w:t>
            </w:r>
            <w:r>
              <w:rPr>
                <w:spacing w:val="-5"/>
                <w:sz w:val="20"/>
              </w:rPr>
              <w:t> </w:t>
            </w:r>
            <w:r>
              <w:rPr>
                <w:sz w:val="20"/>
              </w:rPr>
              <w:t>G36.8,</w:t>
            </w:r>
            <w:r>
              <w:rPr>
                <w:spacing w:val="-4"/>
                <w:sz w:val="20"/>
              </w:rPr>
              <w:t> </w:t>
            </w:r>
            <w:r>
              <w:rPr>
                <w:sz w:val="20"/>
              </w:rPr>
              <w:t>G36.9,</w:t>
            </w:r>
            <w:r>
              <w:rPr>
                <w:spacing w:val="-4"/>
                <w:sz w:val="20"/>
              </w:rPr>
              <w:t> G37,</w:t>
            </w:r>
          </w:p>
          <w:p>
            <w:pPr>
              <w:pStyle w:val="TableParagraph"/>
              <w:ind w:left="1030" w:right="689" w:hanging="622"/>
              <w:rPr>
                <w:sz w:val="20"/>
              </w:rPr>
            </w:pPr>
            <w:r>
              <w:rPr>
                <w:sz w:val="20"/>
              </w:rPr>
              <w:t>G37.0,</w:t>
            </w:r>
            <w:r>
              <w:rPr>
                <w:spacing w:val="-7"/>
                <w:sz w:val="20"/>
              </w:rPr>
              <w:t> </w:t>
            </w:r>
            <w:r>
              <w:rPr>
                <w:sz w:val="20"/>
              </w:rPr>
              <w:t>G37.1,</w:t>
            </w:r>
            <w:r>
              <w:rPr>
                <w:spacing w:val="-9"/>
                <w:sz w:val="20"/>
              </w:rPr>
              <w:t> </w:t>
            </w:r>
            <w:r>
              <w:rPr>
                <w:sz w:val="20"/>
              </w:rPr>
              <w:t>G37.2,</w:t>
            </w:r>
            <w:r>
              <w:rPr>
                <w:spacing w:val="-7"/>
                <w:sz w:val="20"/>
              </w:rPr>
              <w:t> </w:t>
            </w:r>
            <w:r>
              <w:rPr>
                <w:sz w:val="20"/>
              </w:rPr>
              <w:t>G37.3,</w:t>
            </w:r>
            <w:r>
              <w:rPr>
                <w:spacing w:val="-9"/>
                <w:sz w:val="20"/>
              </w:rPr>
              <w:t> </w:t>
            </w:r>
            <w:r>
              <w:rPr>
                <w:sz w:val="20"/>
              </w:rPr>
              <w:t>G37.4,</w:t>
            </w:r>
            <w:r>
              <w:rPr>
                <w:spacing w:val="-7"/>
                <w:sz w:val="20"/>
              </w:rPr>
              <w:t> </w:t>
            </w:r>
            <w:r>
              <w:rPr>
                <w:sz w:val="20"/>
              </w:rPr>
              <w:t>G37.5, G37.8, G37.9, G61.0, G61.8</w:t>
            </w:r>
          </w:p>
        </w:tc>
        <w:tc>
          <w:tcPr>
            <w:tcW w:w="2385" w:type="dxa"/>
          </w:tcPr>
          <w:p>
            <w:pPr>
              <w:pStyle w:val="TableParagraph"/>
              <w:spacing w:before="46"/>
              <w:ind w:left="916"/>
              <w:rPr>
                <w:sz w:val="20"/>
              </w:rPr>
            </w:pPr>
            <w:r>
              <w:rPr>
                <w:w w:val="99"/>
                <w:sz w:val="20"/>
              </w:rPr>
              <w:t>-</w:t>
            </w:r>
          </w:p>
        </w:tc>
        <w:tc>
          <w:tcPr>
            <w:tcW w:w="2327" w:type="dxa"/>
          </w:tcPr>
          <w:p>
            <w:pPr>
              <w:pStyle w:val="TableParagraph"/>
              <w:spacing w:before="46"/>
              <w:ind w:right="861"/>
              <w:jc w:val="right"/>
              <w:rPr>
                <w:sz w:val="20"/>
              </w:rPr>
            </w:pPr>
            <w:r>
              <w:rPr>
                <w:w w:val="99"/>
                <w:sz w:val="20"/>
              </w:rPr>
              <w:t>-</w:t>
            </w:r>
          </w:p>
        </w:tc>
        <w:tc>
          <w:tcPr>
            <w:tcW w:w="1262" w:type="dxa"/>
          </w:tcPr>
          <w:p>
            <w:pPr>
              <w:pStyle w:val="TableParagraph"/>
              <w:spacing w:before="46"/>
              <w:ind w:right="52"/>
              <w:jc w:val="right"/>
              <w:rPr>
                <w:sz w:val="20"/>
              </w:rPr>
            </w:pPr>
            <w:r>
              <w:rPr>
                <w:spacing w:val="-4"/>
                <w:sz w:val="20"/>
              </w:rPr>
              <w:t>1,33</w:t>
            </w:r>
          </w:p>
        </w:tc>
      </w:tr>
      <w:tr>
        <w:trPr>
          <w:trHeight w:val="789" w:hRule="atLeast"/>
        </w:trPr>
        <w:tc>
          <w:tcPr>
            <w:tcW w:w="971" w:type="dxa"/>
          </w:tcPr>
          <w:p>
            <w:pPr>
              <w:pStyle w:val="TableParagraph"/>
              <w:spacing w:before="46"/>
              <w:ind w:left="50"/>
              <w:rPr>
                <w:sz w:val="20"/>
              </w:rPr>
            </w:pPr>
            <w:r>
              <w:rPr>
                <w:spacing w:val="-2"/>
                <w:sz w:val="20"/>
              </w:rPr>
              <w:t>st15.005</w:t>
            </w:r>
          </w:p>
        </w:tc>
        <w:tc>
          <w:tcPr>
            <w:tcW w:w="657" w:type="dxa"/>
          </w:tcPr>
          <w:p>
            <w:pPr>
              <w:pStyle w:val="TableParagraph"/>
              <w:spacing w:before="46"/>
              <w:ind w:right="217"/>
              <w:jc w:val="right"/>
              <w:rPr>
                <w:sz w:val="20"/>
              </w:rPr>
            </w:pPr>
            <w:r>
              <w:rPr>
                <w:spacing w:val="-5"/>
                <w:sz w:val="20"/>
              </w:rPr>
              <w:t>93</w:t>
            </w:r>
          </w:p>
        </w:tc>
        <w:tc>
          <w:tcPr>
            <w:tcW w:w="2576" w:type="dxa"/>
          </w:tcPr>
          <w:p>
            <w:pPr>
              <w:pStyle w:val="TableParagraph"/>
              <w:spacing w:before="46"/>
              <w:ind w:left="217" w:right="542"/>
              <w:rPr>
                <w:sz w:val="20"/>
              </w:rPr>
            </w:pPr>
            <w:r>
              <w:rPr>
                <w:sz w:val="20"/>
              </w:rPr>
              <w:t>Эпилепсия,</w:t>
            </w:r>
            <w:r>
              <w:rPr>
                <w:spacing w:val="-13"/>
                <w:sz w:val="20"/>
              </w:rPr>
              <w:t> </w:t>
            </w:r>
            <w:r>
              <w:rPr>
                <w:sz w:val="20"/>
              </w:rPr>
              <w:t>судороги (уровень 1)</w:t>
            </w:r>
          </w:p>
        </w:tc>
        <w:tc>
          <w:tcPr>
            <w:tcW w:w="5100" w:type="dxa"/>
          </w:tcPr>
          <w:p>
            <w:pPr>
              <w:pStyle w:val="TableParagraph"/>
              <w:spacing w:before="46"/>
              <w:ind w:left="188"/>
              <w:rPr>
                <w:sz w:val="20"/>
              </w:rPr>
            </w:pPr>
            <w:r>
              <w:rPr>
                <w:sz w:val="20"/>
              </w:rPr>
              <w:t>G40,</w:t>
            </w:r>
            <w:r>
              <w:rPr>
                <w:spacing w:val="-6"/>
                <w:sz w:val="20"/>
              </w:rPr>
              <w:t> </w:t>
            </w:r>
            <w:r>
              <w:rPr>
                <w:sz w:val="20"/>
              </w:rPr>
              <w:t>G40.0,</w:t>
            </w:r>
            <w:r>
              <w:rPr>
                <w:spacing w:val="-6"/>
                <w:sz w:val="20"/>
              </w:rPr>
              <w:t> </w:t>
            </w:r>
            <w:r>
              <w:rPr>
                <w:sz w:val="20"/>
              </w:rPr>
              <w:t>G40.1,</w:t>
            </w:r>
            <w:r>
              <w:rPr>
                <w:spacing w:val="-5"/>
                <w:sz w:val="20"/>
              </w:rPr>
              <w:t> </w:t>
            </w:r>
            <w:r>
              <w:rPr>
                <w:sz w:val="20"/>
              </w:rPr>
              <w:t>G40.2,</w:t>
            </w:r>
            <w:r>
              <w:rPr>
                <w:spacing w:val="-6"/>
                <w:sz w:val="20"/>
              </w:rPr>
              <w:t> </w:t>
            </w:r>
            <w:r>
              <w:rPr>
                <w:sz w:val="20"/>
              </w:rPr>
              <w:t>G40.3,</w:t>
            </w:r>
            <w:r>
              <w:rPr>
                <w:spacing w:val="-5"/>
                <w:sz w:val="20"/>
              </w:rPr>
              <w:t> </w:t>
            </w:r>
            <w:r>
              <w:rPr>
                <w:sz w:val="20"/>
              </w:rPr>
              <w:t>G40.4,</w:t>
            </w:r>
            <w:r>
              <w:rPr>
                <w:spacing w:val="-6"/>
                <w:sz w:val="20"/>
              </w:rPr>
              <w:t> </w:t>
            </w:r>
            <w:r>
              <w:rPr>
                <w:spacing w:val="-2"/>
                <w:sz w:val="20"/>
              </w:rPr>
              <w:t>G40.6,</w:t>
            </w:r>
          </w:p>
          <w:p>
            <w:pPr>
              <w:pStyle w:val="TableParagraph"/>
              <w:ind w:left="824" w:right="689" w:hanging="636"/>
              <w:rPr>
                <w:sz w:val="20"/>
              </w:rPr>
            </w:pPr>
            <w:r>
              <w:rPr>
                <w:sz w:val="20"/>
              </w:rPr>
              <w:t>G40.7,</w:t>
            </w:r>
            <w:r>
              <w:rPr>
                <w:spacing w:val="-7"/>
                <w:sz w:val="20"/>
              </w:rPr>
              <w:t> </w:t>
            </w:r>
            <w:r>
              <w:rPr>
                <w:sz w:val="20"/>
              </w:rPr>
              <w:t>G40.8,</w:t>
            </w:r>
            <w:r>
              <w:rPr>
                <w:spacing w:val="-9"/>
                <w:sz w:val="20"/>
              </w:rPr>
              <w:t> </w:t>
            </w:r>
            <w:r>
              <w:rPr>
                <w:sz w:val="20"/>
              </w:rPr>
              <w:t>G40.9,</w:t>
            </w:r>
            <w:r>
              <w:rPr>
                <w:spacing w:val="-7"/>
                <w:sz w:val="20"/>
              </w:rPr>
              <w:t> </w:t>
            </w:r>
            <w:r>
              <w:rPr>
                <w:sz w:val="20"/>
              </w:rPr>
              <w:t>G41,</w:t>
            </w:r>
            <w:r>
              <w:rPr>
                <w:spacing w:val="-7"/>
                <w:sz w:val="20"/>
              </w:rPr>
              <w:t> </w:t>
            </w:r>
            <w:r>
              <w:rPr>
                <w:sz w:val="20"/>
              </w:rPr>
              <w:t>G41.0,</w:t>
            </w:r>
            <w:r>
              <w:rPr>
                <w:spacing w:val="-7"/>
                <w:sz w:val="20"/>
              </w:rPr>
              <w:t> </w:t>
            </w:r>
            <w:r>
              <w:rPr>
                <w:sz w:val="20"/>
              </w:rPr>
              <w:t>G41.1,</w:t>
            </w:r>
            <w:r>
              <w:rPr>
                <w:spacing w:val="-7"/>
                <w:sz w:val="20"/>
              </w:rPr>
              <w:t> </w:t>
            </w:r>
            <w:r>
              <w:rPr>
                <w:sz w:val="20"/>
              </w:rPr>
              <w:t>G41.2, G41.8, G41.9, R56, R56.0, R56.8</w:t>
            </w:r>
          </w:p>
        </w:tc>
        <w:tc>
          <w:tcPr>
            <w:tcW w:w="2385" w:type="dxa"/>
          </w:tcPr>
          <w:p>
            <w:pPr>
              <w:pStyle w:val="TableParagraph"/>
              <w:spacing w:before="46"/>
              <w:ind w:left="916"/>
              <w:rPr>
                <w:sz w:val="20"/>
              </w:rPr>
            </w:pPr>
            <w:r>
              <w:rPr>
                <w:w w:val="99"/>
                <w:sz w:val="20"/>
              </w:rPr>
              <w:t>-</w:t>
            </w:r>
          </w:p>
        </w:tc>
        <w:tc>
          <w:tcPr>
            <w:tcW w:w="2327" w:type="dxa"/>
          </w:tcPr>
          <w:p>
            <w:pPr>
              <w:pStyle w:val="TableParagraph"/>
              <w:spacing w:before="46"/>
              <w:ind w:right="861"/>
              <w:jc w:val="right"/>
              <w:rPr>
                <w:sz w:val="20"/>
              </w:rPr>
            </w:pPr>
            <w:r>
              <w:rPr>
                <w:w w:val="99"/>
                <w:sz w:val="20"/>
              </w:rPr>
              <w:t>-</w:t>
            </w:r>
          </w:p>
        </w:tc>
        <w:tc>
          <w:tcPr>
            <w:tcW w:w="1262" w:type="dxa"/>
          </w:tcPr>
          <w:p>
            <w:pPr>
              <w:pStyle w:val="TableParagraph"/>
              <w:spacing w:before="46"/>
              <w:ind w:right="52"/>
              <w:jc w:val="right"/>
              <w:rPr>
                <w:sz w:val="20"/>
              </w:rPr>
            </w:pPr>
            <w:r>
              <w:rPr>
                <w:spacing w:val="-4"/>
                <w:sz w:val="20"/>
              </w:rPr>
              <w:t>0,96</w:t>
            </w:r>
          </w:p>
        </w:tc>
      </w:tr>
      <w:tr>
        <w:trPr>
          <w:trHeight w:val="5796" w:hRule="atLeast"/>
        </w:trPr>
        <w:tc>
          <w:tcPr>
            <w:tcW w:w="971" w:type="dxa"/>
          </w:tcPr>
          <w:p>
            <w:pPr>
              <w:pStyle w:val="TableParagraph"/>
              <w:spacing w:before="46"/>
              <w:ind w:left="50"/>
              <w:rPr>
                <w:sz w:val="20"/>
              </w:rPr>
            </w:pPr>
            <w:r>
              <w:rPr>
                <w:spacing w:val="-2"/>
                <w:sz w:val="20"/>
              </w:rPr>
              <w:t>st15.007</w:t>
            </w:r>
          </w:p>
        </w:tc>
        <w:tc>
          <w:tcPr>
            <w:tcW w:w="657" w:type="dxa"/>
          </w:tcPr>
          <w:p>
            <w:pPr>
              <w:pStyle w:val="TableParagraph"/>
              <w:spacing w:before="46"/>
              <w:ind w:right="217"/>
              <w:jc w:val="right"/>
              <w:rPr>
                <w:sz w:val="20"/>
              </w:rPr>
            </w:pPr>
            <w:r>
              <w:rPr>
                <w:spacing w:val="-5"/>
                <w:sz w:val="20"/>
              </w:rPr>
              <w:t>94</w:t>
            </w:r>
          </w:p>
        </w:tc>
        <w:tc>
          <w:tcPr>
            <w:tcW w:w="2576" w:type="dxa"/>
          </w:tcPr>
          <w:p>
            <w:pPr>
              <w:pStyle w:val="TableParagraph"/>
              <w:spacing w:before="46"/>
              <w:ind w:left="217" w:right="187"/>
              <w:rPr>
                <w:sz w:val="20"/>
              </w:rPr>
            </w:pPr>
            <w:r>
              <w:rPr>
                <w:spacing w:val="-2"/>
                <w:sz w:val="20"/>
              </w:rPr>
              <w:t>Расстройства </w:t>
            </w:r>
            <w:r>
              <w:rPr>
                <w:sz w:val="20"/>
              </w:rPr>
              <w:t>периферической</w:t>
            </w:r>
            <w:r>
              <w:rPr>
                <w:spacing w:val="-13"/>
                <w:sz w:val="20"/>
              </w:rPr>
              <w:t> </w:t>
            </w:r>
            <w:r>
              <w:rPr>
                <w:sz w:val="20"/>
              </w:rPr>
              <w:t>нервной </w:t>
            </w:r>
            <w:r>
              <w:rPr>
                <w:spacing w:val="-2"/>
                <w:sz w:val="20"/>
              </w:rPr>
              <w:t>системы</w:t>
            </w:r>
          </w:p>
        </w:tc>
        <w:tc>
          <w:tcPr>
            <w:tcW w:w="5100" w:type="dxa"/>
          </w:tcPr>
          <w:p>
            <w:pPr>
              <w:pStyle w:val="TableParagraph"/>
              <w:spacing w:before="46"/>
              <w:ind w:left="150" w:right="915"/>
              <w:jc w:val="center"/>
              <w:rPr>
                <w:sz w:val="20"/>
              </w:rPr>
            </w:pPr>
            <w:r>
              <w:rPr>
                <w:sz w:val="20"/>
              </w:rPr>
              <w:t>G50,</w:t>
            </w:r>
            <w:r>
              <w:rPr>
                <w:spacing w:val="-5"/>
                <w:sz w:val="20"/>
              </w:rPr>
              <w:t> </w:t>
            </w:r>
            <w:r>
              <w:rPr>
                <w:sz w:val="20"/>
              </w:rPr>
              <w:t>G50.0,</w:t>
            </w:r>
            <w:r>
              <w:rPr>
                <w:spacing w:val="-5"/>
                <w:sz w:val="20"/>
              </w:rPr>
              <w:t> </w:t>
            </w:r>
            <w:r>
              <w:rPr>
                <w:sz w:val="20"/>
              </w:rPr>
              <w:t>G50.1,</w:t>
            </w:r>
            <w:r>
              <w:rPr>
                <w:spacing w:val="-5"/>
                <w:sz w:val="20"/>
              </w:rPr>
              <w:t> </w:t>
            </w:r>
            <w:r>
              <w:rPr>
                <w:sz w:val="20"/>
              </w:rPr>
              <w:t>G50.8,</w:t>
            </w:r>
            <w:r>
              <w:rPr>
                <w:spacing w:val="-5"/>
                <w:sz w:val="20"/>
              </w:rPr>
              <w:t> </w:t>
            </w:r>
            <w:r>
              <w:rPr>
                <w:sz w:val="20"/>
              </w:rPr>
              <w:t>G50.9,</w:t>
            </w:r>
            <w:r>
              <w:rPr>
                <w:spacing w:val="-5"/>
                <w:sz w:val="20"/>
              </w:rPr>
              <w:t> </w:t>
            </w:r>
            <w:r>
              <w:rPr>
                <w:sz w:val="20"/>
              </w:rPr>
              <w:t>G51,</w:t>
            </w:r>
            <w:r>
              <w:rPr>
                <w:spacing w:val="-5"/>
                <w:sz w:val="20"/>
              </w:rPr>
              <w:t> </w:t>
            </w:r>
            <w:r>
              <w:rPr>
                <w:spacing w:val="-2"/>
                <w:sz w:val="20"/>
              </w:rPr>
              <w:t>G51.0,</w:t>
            </w:r>
          </w:p>
          <w:p>
            <w:pPr>
              <w:pStyle w:val="TableParagraph"/>
              <w:ind w:left="150" w:right="917"/>
              <w:jc w:val="center"/>
              <w:rPr>
                <w:sz w:val="20"/>
              </w:rPr>
            </w:pPr>
            <w:r>
              <w:rPr>
                <w:sz w:val="20"/>
              </w:rPr>
              <w:t>G51.1,</w:t>
            </w:r>
            <w:r>
              <w:rPr>
                <w:spacing w:val="-5"/>
                <w:sz w:val="20"/>
              </w:rPr>
              <w:t> </w:t>
            </w:r>
            <w:r>
              <w:rPr>
                <w:sz w:val="20"/>
              </w:rPr>
              <w:t>G51.2,</w:t>
            </w:r>
            <w:r>
              <w:rPr>
                <w:spacing w:val="-5"/>
                <w:sz w:val="20"/>
              </w:rPr>
              <w:t> </w:t>
            </w:r>
            <w:r>
              <w:rPr>
                <w:sz w:val="20"/>
              </w:rPr>
              <w:t>G51.3,</w:t>
            </w:r>
            <w:r>
              <w:rPr>
                <w:spacing w:val="-4"/>
                <w:sz w:val="20"/>
              </w:rPr>
              <w:t> </w:t>
            </w:r>
            <w:r>
              <w:rPr>
                <w:sz w:val="20"/>
              </w:rPr>
              <w:t>G51.4,</w:t>
            </w:r>
            <w:r>
              <w:rPr>
                <w:spacing w:val="-6"/>
                <w:sz w:val="20"/>
              </w:rPr>
              <w:t> </w:t>
            </w:r>
            <w:r>
              <w:rPr>
                <w:sz w:val="20"/>
              </w:rPr>
              <w:t>G51.8,</w:t>
            </w:r>
            <w:r>
              <w:rPr>
                <w:spacing w:val="-4"/>
                <w:sz w:val="20"/>
              </w:rPr>
              <w:t> </w:t>
            </w:r>
            <w:r>
              <w:rPr>
                <w:sz w:val="20"/>
              </w:rPr>
              <w:t>G51.9,</w:t>
            </w:r>
            <w:r>
              <w:rPr>
                <w:spacing w:val="-6"/>
                <w:sz w:val="20"/>
              </w:rPr>
              <w:t> </w:t>
            </w:r>
            <w:r>
              <w:rPr>
                <w:spacing w:val="-4"/>
                <w:sz w:val="20"/>
              </w:rPr>
              <w:t>G52,</w:t>
            </w:r>
          </w:p>
          <w:p>
            <w:pPr>
              <w:pStyle w:val="TableParagraph"/>
              <w:spacing w:line="229" w:lineRule="exact" w:before="1"/>
              <w:ind w:left="150" w:right="914"/>
              <w:jc w:val="center"/>
              <w:rPr>
                <w:sz w:val="20"/>
              </w:rPr>
            </w:pPr>
            <w:r>
              <w:rPr>
                <w:sz w:val="20"/>
              </w:rPr>
              <w:t>G52.0,</w:t>
            </w:r>
            <w:r>
              <w:rPr>
                <w:spacing w:val="-4"/>
                <w:sz w:val="20"/>
              </w:rPr>
              <w:t> </w:t>
            </w:r>
            <w:r>
              <w:rPr>
                <w:sz w:val="20"/>
              </w:rPr>
              <w:t>G52.1,</w:t>
            </w:r>
            <w:r>
              <w:rPr>
                <w:spacing w:val="-6"/>
                <w:sz w:val="20"/>
              </w:rPr>
              <w:t> </w:t>
            </w:r>
            <w:r>
              <w:rPr>
                <w:sz w:val="20"/>
              </w:rPr>
              <w:t>G52.2,</w:t>
            </w:r>
            <w:r>
              <w:rPr>
                <w:spacing w:val="-4"/>
                <w:sz w:val="20"/>
              </w:rPr>
              <w:t> </w:t>
            </w:r>
            <w:r>
              <w:rPr>
                <w:sz w:val="20"/>
              </w:rPr>
              <w:t>G52.3,</w:t>
            </w:r>
            <w:r>
              <w:rPr>
                <w:spacing w:val="-6"/>
                <w:sz w:val="20"/>
              </w:rPr>
              <w:t> </w:t>
            </w:r>
            <w:r>
              <w:rPr>
                <w:sz w:val="20"/>
              </w:rPr>
              <w:t>G52.7,</w:t>
            </w:r>
            <w:r>
              <w:rPr>
                <w:spacing w:val="-4"/>
                <w:sz w:val="20"/>
              </w:rPr>
              <w:t> </w:t>
            </w:r>
            <w:r>
              <w:rPr>
                <w:spacing w:val="-2"/>
                <w:sz w:val="20"/>
              </w:rPr>
              <w:t>G52.8,</w:t>
            </w:r>
          </w:p>
          <w:p>
            <w:pPr>
              <w:pStyle w:val="TableParagraph"/>
              <w:spacing w:line="229" w:lineRule="exact"/>
              <w:ind w:left="150" w:right="915"/>
              <w:jc w:val="center"/>
              <w:rPr>
                <w:sz w:val="20"/>
              </w:rPr>
            </w:pPr>
            <w:r>
              <w:rPr>
                <w:sz w:val="20"/>
              </w:rPr>
              <w:t>G52.9,</w:t>
            </w:r>
            <w:r>
              <w:rPr>
                <w:spacing w:val="-6"/>
                <w:sz w:val="20"/>
              </w:rPr>
              <w:t> </w:t>
            </w:r>
            <w:r>
              <w:rPr>
                <w:sz w:val="20"/>
              </w:rPr>
              <w:t>G53,</w:t>
            </w:r>
            <w:r>
              <w:rPr>
                <w:spacing w:val="-6"/>
                <w:sz w:val="20"/>
              </w:rPr>
              <w:t> </w:t>
            </w:r>
            <w:r>
              <w:rPr>
                <w:sz w:val="20"/>
              </w:rPr>
              <w:t>G53.0,</w:t>
            </w:r>
            <w:r>
              <w:rPr>
                <w:spacing w:val="-5"/>
                <w:sz w:val="20"/>
              </w:rPr>
              <w:t> </w:t>
            </w:r>
            <w:r>
              <w:rPr>
                <w:sz w:val="20"/>
              </w:rPr>
              <w:t>G53.1,</w:t>
            </w:r>
            <w:r>
              <w:rPr>
                <w:spacing w:val="-6"/>
                <w:sz w:val="20"/>
              </w:rPr>
              <w:t> </w:t>
            </w:r>
            <w:r>
              <w:rPr>
                <w:sz w:val="20"/>
              </w:rPr>
              <w:t>G53.2,</w:t>
            </w:r>
            <w:r>
              <w:rPr>
                <w:spacing w:val="-5"/>
                <w:sz w:val="20"/>
              </w:rPr>
              <w:t> </w:t>
            </w:r>
            <w:r>
              <w:rPr>
                <w:sz w:val="20"/>
              </w:rPr>
              <w:t>G53.3,</w:t>
            </w:r>
            <w:r>
              <w:rPr>
                <w:spacing w:val="-6"/>
                <w:sz w:val="20"/>
              </w:rPr>
              <w:t> </w:t>
            </w:r>
            <w:r>
              <w:rPr>
                <w:spacing w:val="-2"/>
                <w:sz w:val="20"/>
              </w:rPr>
              <w:t>G53.8,</w:t>
            </w:r>
          </w:p>
          <w:p>
            <w:pPr>
              <w:pStyle w:val="TableParagraph"/>
              <w:ind w:left="188"/>
              <w:rPr>
                <w:sz w:val="20"/>
              </w:rPr>
            </w:pPr>
            <w:r>
              <w:rPr>
                <w:sz w:val="20"/>
              </w:rPr>
              <w:t>G54,</w:t>
            </w:r>
            <w:r>
              <w:rPr>
                <w:spacing w:val="-6"/>
                <w:sz w:val="20"/>
              </w:rPr>
              <w:t> </w:t>
            </w:r>
            <w:r>
              <w:rPr>
                <w:sz w:val="20"/>
              </w:rPr>
              <w:t>G54.0,</w:t>
            </w:r>
            <w:r>
              <w:rPr>
                <w:spacing w:val="-6"/>
                <w:sz w:val="20"/>
              </w:rPr>
              <w:t> </w:t>
            </w:r>
            <w:r>
              <w:rPr>
                <w:sz w:val="20"/>
              </w:rPr>
              <w:t>G54.1,</w:t>
            </w:r>
            <w:r>
              <w:rPr>
                <w:spacing w:val="-5"/>
                <w:sz w:val="20"/>
              </w:rPr>
              <w:t> </w:t>
            </w:r>
            <w:r>
              <w:rPr>
                <w:sz w:val="20"/>
              </w:rPr>
              <w:t>G54.2,</w:t>
            </w:r>
            <w:r>
              <w:rPr>
                <w:spacing w:val="-6"/>
                <w:sz w:val="20"/>
              </w:rPr>
              <w:t> </w:t>
            </w:r>
            <w:r>
              <w:rPr>
                <w:sz w:val="20"/>
              </w:rPr>
              <w:t>G54.3,</w:t>
            </w:r>
            <w:r>
              <w:rPr>
                <w:spacing w:val="-5"/>
                <w:sz w:val="20"/>
              </w:rPr>
              <w:t> </w:t>
            </w:r>
            <w:r>
              <w:rPr>
                <w:sz w:val="20"/>
              </w:rPr>
              <w:t>G54.4,</w:t>
            </w:r>
            <w:r>
              <w:rPr>
                <w:spacing w:val="-6"/>
                <w:sz w:val="20"/>
              </w:rPr>
              <w:t> </w:t>
            </w:r>
            <w:r>
              <w:rPr>
                <w:spacing w:val="-2"/>
                <w:sz w:val="20"/>
              </w:rPr>
              <w:t>G54.5,</w:t>
            </w:r>
          </w:p>
          <w:p>
            <w:pPr>
              <w:pStyle w:val="TableParagraph"/>
              <w:ind w:left="186"/>
              <w:rPr>
                <w:sz w:val="20"/>
              </w:rPr>
            </w:pPr>
            <w:r>
              <w:rPr>
                <w:sz w:val="20"/>
              </w:rPr>
              <w:t>G54.6,</w:t>
            </w:r>
            <w:r>
              <w:rPr>
                <w:spacing w:val="-4"/>
                <w:sz w:val="20"/>
              </w:rPr>
              <w:t> </w:t>
            </w:r>
            <w:r>
              <w:rPr>
                <w:sz w:val="20"/>
              </w:rPr>
              <w:t>G54.7,</w:t>
            </w:r>
            <w:r>
              <w:rPr>
                <w:spacing w:val="-5"/>
                <w:sz w:val="20"/>
              </w:rPr>
              <w:t> </w:t>
            </w:r>
            <w:r>
              <w:rPr>
                <w:sz w:val="20"/>
              </w:rPr>
              <w:t>G54.8,</w:t>
            </w:r>
            <w:r>
              <w:rPr>
                <w:spacing w:val="-4"/>
                <w:sz w:val="20"/>
              </w:rPr>
              <w:t> </w:t>
            </w:r>
            <w:r>
              <w:rPr>
                <w:sz w:val="20"/>
              </w:rPr>
              <w:t>G54.9,</w:t>
            </w:r>
            <w:r>
              <w:rPr>
                <w:spacing w:val="-6"/>
                <w:sz w:val="20"/>
              </w:rPr>
              <w:t> </w:t>
            </w:r>
            <w:r>
              <w:rPr>
                <w:sz w:val="20"/>
              </w:rPr>
              <w:t>G55,</w:t>
            </w:r>
            <w:r>
              <w:rPr>
                <w:spacing w:val="-3"/>
                <w:sz w:val="20"/>
              </w:rPr>
              <w:t> </w:t>
            </w:r>
            <w:r>
              <w:rPr>
                <w:sz w:val="20"/>
              </w:rPr>
              <w:t>G55.0,</w:t>
            </w:r>
            <w:r>
              <w:rPr>
                <w:spacing w:val="-4"/>
                <w:sz w:val="20"/>
              </w:rPr>
              <w:t> </w:t>
            </w:r>
            <w:r>
              <w:rPr>
                <w:spacing w:val="-2"/>
                <w:sz w:val="20"/>
              </w:rPr>
              <w:t>G55.1,</w:t>
            </w:r>
          </w:p>
          <w:p>
            <w:pPr>
              <w:pStyle w:val="TableParagraph"/>
              <w:spacing w:before="1"/>
              <w:ind w:left="188"/>
              <w:rPr>
                <w:sz w:val="20"/>
              </w:rPr>
            </w:pPr>
            <w:r>
              <w:rPr>
                <w:sz w:val="20"/>
              </w:rPr>
              <w:t>G55.2,</w:t>
            </w:r>
            <w:r>
              <w:rPr>
                <w:spacing w:val="-6"/>
                <w:sz w:val="20"/>
              </w:rPr>
              <w:t> </w:t>
            </w:r>
            <w:r>
              <w:rPr>
                <w:sz w:val="20"/>
              </w:rPr>
              <w:t>G55.3,</w:t>
            </w:r>
            <w:r>
              <w:rPr>
                <w:spacing w:val="-6"/>
                <w:sz w:val="20"/>
              </w:rPr>
              <w:t> </w:t>
            </w:r>
            <w:r>
              <w:rPr>
                <w:sz w:val="20"/>
              </w:rPr>
              <w:t>G55.8,</w:t>
            </w:r>
            <w:r>
              <w:rPr>
                <w:spacing w:val="-5"/>
                <w:sz w:val="20"/>
              </w:rPr>
              <w:t> </w:t>
            </w:r>
            <w:r>
              <w:rPr>
                <w:sz w:val="20"/>
              </w:rPr>
              <w:t>G56,</w:t>
            </w:r>
            <w:r>
              <w:rPr>
                <w:spacing w:val="-6"/>
                <w:sz w:val="20"/>
              </w:rPr>
              <w:t> </w:t>
            </w:r>
            <w:r>
              <w:rPr>
                <w:sz w:val="20"/>
              </w:rPr>
              <w:t>G56.0,</w:t>
            </w:r>
            <w:r>
              <w:rPr>
                <w:spacing w:val="-5"/>
                <w:sz w:val="20"/>
              </w:rPr>
              <w:t> </w:t>
            </w:r>
            <w:r>
              <w:rPr>
                <w:sz w:val="20"/>
              </w:rPr>
              <w:t>G56.1,</w:t>
            </w:r>
            <w:r>
              <w:rPr>
                <w:spacing w:val="-5"/>
                <w:sz w:val="20"/>
              </w:rPr>
              <w:t> </w:t>
            </w:r>
            <w:r>
              <w:rPr>
                <w:spacing w:val="-2"/>
                <w:sz w:val="20"/>
              </w:rPr>
              <w:t>G56.2,</w:t>
            </w:r>
          </w:p>
          <w:p>
            <w:pPr>
              <w:pStyle w:val="TableParagraph"/>
              <w:spacing w:before="1"/>
              <w:ind w:left="188"/>
              <w:rPr>
                <w:sz w:val="20"/>
              </w:rPr>
            </w:pPr>
            <w:r>
              <w:rPr>
                <w:sz w:val="20"/>
              </w:rPr>
              <w:t>G56.3,</w:t>
            </w:r>
            <w:r>
              <w:rPr>
                <w:spacing w:val="-6"/>
                <w:sz w:val="20"/>
              </w:rPr>
              <w:t> </w:t>
            </w:r>
            <w:r>
              <w:rPr>
                <w:sz w:val="20"/>
              </w:rPr>
              <w:t>G56.8,</w:t>
            </w:r>
            <w:r>
              <w:rPr>
                <w:spacing w:val="-6"/>
                <w:sz w:val="20"/>
              </w:rPr>
              <w:t> </w:t>
            </w:r>
            <w:r>
              <w:rPr>
                <w:sz w:val="20"/>
              </w:rPr>
              <w:t>G56.9,</w:t>
            </w:r>
            <w:r>
              <w:rPr>
                <w:spacing w:val="-5"/>
                <w:sz w:val="20"/>
              </w:rPr>
              <w:t> </w:t>
            </w:r>
            <w:r>
              <w:rPr>
                <w:sz w:val="20"/>
              </w:rPr>
              <w:t>G57,</w:t>
            </w:r>
            <w:r>
              <w:rPr>
                <w:spacing w:val="-6"/>
                <w:sz w:val="20"/>
              </w:rPr>
              <w:t> </w:t>
            </w:r>
            <w:r>
              <w:rPr>
                <w:sz w:val="20"/>
              </w:rPr>
              <w:t>G57.0,</w:t>
            </w:r>
            <w:r>
              <w:rPr>
                <w:spacing w:val="-5"/>
                <w:sz w:val="20"/>
              </w:rPr>
              <w:t> </w:t>
            </w:r>
            <w:r>
              <w:rPr>
                <w:sz w:val="20"/>
              </w:rPr>
              <w:t>G57.1,</w:t>
            </w:r>
            <w:r>
              <w:rPr>
                <w:spacing w:val="-5"/>
                <w:sz w:val="20"/>
              </w:rPr>
              <w:t> </w:t>
            </w:r>
            <w:r>
              <w:rPr>
                <w:spacing w:val="-2"/>
                <w:sz w:val="20"/>
              </w:rPr>
              <w:t>G57.2,</w:t>
            </w:r>
          </w:p>
          <w:p>
            <w:pPr>
              <w:pStyle w:val="TableParagraph"/>
              <w:spacing w:line="229" w:lineRule="exact"/>
              <w:ind w:left="186"/>
              <w:rPr>
                <w:sz w:val="20"/>
              </w:rPr>
            </w:pPr>
            <w:r>
              <w:rPr>
                <w:sz w:val="20"/>
              </w:rPr>
              <w:t>G57.3,</w:t>
            </w:r>
            <w:r>
              <w:rPr>
                <w:spacing w:val="-5"/>
                <w:sz w:val="20"/>
              </w:rPr>
              <w:t> </w:t>
            </w:r>
            <w:r>
              <w:rPr>
                <w:sz w:val="20"/>
              </w:rPr>
              <w:t>G57.4,</w:t>
            </w:r>
            <w:r>
              <w:rPr>
                <w:spacing w:val="-5"/>
                <w:sz w:val="20"/>
              </w:rPr>
              <w:t> </w:t>
            </w:r>
            <w:r>
              <w:rPr>
                <w:sz w:val="20"/>
              </w:rPr>
              <w:t>G57.5,</w:t>
            </w:r>
            <w:r>
              <w:rPr>
                <w:spacing w:val="-4"/>
                <w:sz w:val="20"/>
              </w:rPr>
              <w:t> </w:t>
            </w:r>
            <w:r>
              <w:rPr>
                <w:sz w:val="20"/>
              </w:rPr>
              <w:t>G57.6,</w:t>
            </w:r>
            <w:r>
              <w:rPr>
                <w:spacing w:val="-6"/>
                <w:sz w:val="20"/>
              </w:rPr>
              <w:t> </w:t>
            </w:r>
            <w:r>
              <w:rPr>
                <w:sz w:val="20"/>
              </w:rPr>
              <w:t>G57.8,</w:t>
            </w:r>
            <w:r>
              <w:rPr>
                <w:spacing w:val="-4"/>
                <w:sz w:val="20"/>
              </w:rPr>
              <w:t> </w:t>
            </w:r>
            <w:r>
              <w:rPr>
                <w:sz w:val="20"/>
              </w:rPr>
              <w:t>G57.9,</w:t>
            </w:r>
            <w:r>
              <w:rPr>
                <w:spacing w:val="-6"/>
                <w:sz w:val="20"/>
              </w:rPr>
              <w:t> </w:t>
            </w:r>
            <w:r>
              <w:rPr>
                <w:spacing w:val="-4"/>
                <w:sz w:val="20"/>
              </w:rPr>
              <w:t>G58,</w:t>
            </w:r>
          </w:p>
          <w:p>
            <w:pPr>
              <w:pStyle w:val="TableParagraph"/>
              <w:spacing w:line="229" w:lineRule="exact"/>
              <w:ind w:left="186"/>
              <w:rPr>
                <w:sz w:val="20"/>
              </w:rPr>
            </w:pPr>
            <w:r>
              <w:rPr>
                <w:sz w:val="20"/>
              </w:rPr>
              <w:t>G58.0,</w:t>
            </w:r>
            <w:r>
              <w:rPr>
                <w:spacing w:val="-4"/>
                <w:sz w:val="20"/>
              </w:rPr>
              <w:t> </w:t>
            </w:r>
            <w:r>
              <w:rPr>
                <w:sz w:val="20"/>
              </w:rPr>
              <w:t>G58.7,</w:t>
            </w:r>
            <w:r>
              <w:rPr>
                <w:spacing w:val="-6"/>
                <w:sz w:val="20"/>
              </w:rPr>
              <w:t> </w:t>
            </w:r>
            <w:r>
              <w:rPr>
                <w:sz w:val="20"/>
              </w:rPr>
              <w:t>G58.8,</w:t>
            </w:r>
            <w:r>
              <w:rPr>
                <w:spacing w:val="-4"/>
                <w:sz w:val="20"/>
              </w:rPr>
              <w:t> </w:t>
            </w:r>
            <w:r>
              <w:rPr>
                <w:sz w:val="20"/>
              </w:rPr>
              <w:t>G58.9,</w:t>
            </w:r>
            <w:r>
              <w:rPr>
                <w:spacing w:val="-6"/>
                <w:sz w:val="20"/>
              </w:rPr>
              <w:t> </w:t>
            </w:r>
            <w:r>
              <w:rPr>
                <w:sz w:val="20"/>
              </w:rPr>
              <w:t>G59,</w:t>
            </w:r>
            <w:r>
              <w:rPr>
                <w:spacing w:val="-4"/>
                <w:sz w:val="20"/>
              </w:rPr>
              <w:t> </w:t>
            </w:r>
            <w:r>
              <w:rPr>
                <w:sz w:val="20"/>
              </w:rPr>
              <w:t>G59.0,</w:t>
            </w:r>
            <w:r>
              <w:rPr>
                <w:spacing w:val="-4"/>
                <w:sz w:val="20"/>
              </w:rPr>
              <w:t> </w:t>
            </w:r>
            <w:r>
              <w:rPr>
                <w:spacing w:val="-2"/>
                <w:sz w:val="20"/>
              </w:rPr>
              <w:t>G59.8,</w:t>
            </w:r>
          </w:p>
          <w:p>
            <w:pPr>
              <w:pStyle w:val="TableParagraph"/>
              <w:spacing w:before="1"/>
              <w:ind w:left="150" w:right="911"/>
              <w:jc w:val="center"/>
              <w:rPr>
                <w:sz w:val="20"/>
              </w:rPr>
            </w:pPr>
            <w:r>
              <w:rPr>
                <w:sz w:val="20"/>
              </w:rPr>
              <w:t>G61.1,</w:t>
            </w:r>
            <w:r>
              <w:rPr>
                <w:spacing w:val="-4"/>
                <w:sz w:val="20"/>
              </w:rPr>
              <w:t> </w:t>
            </w:r>
            <w:r>
              <w:rPr>
                <w:sz w:val="20"/>
              </w:rPr>
              <w:t>G61.9,</w:t>
            </w:r>
            <w:r>
              <w:rPr>
                <w:spacing w:val="-5"/>
                <w:sz w:val="20"/>
              </w:rPr>
              <w:t> </w:t>
            </w:r>
            <w:r>
              <w:rPr>
                <w:sz w:val="20"/>
              </w:rPr>
              <w:t>G62.0,</w:t>
            </w:r>
            <w:r>
              <w:rPr>
                <w:spacing w:val="-3"/>
                <w:sz w:val="20"/>
              </w:rPr>
              <w:t> </w:t>
            </w:r>
            <w:r>
              <w:rPr>
                <w:sz w:val="20"/>
              </w:rPr>
              <w:t>G62.1,</w:t>
            </w:r>
            <w:r>
              <w:rPr>
                <w:spacing w:val="-5"/>
                <w:sz w:val="20"/>
              </w:rPr>
              <w:t> </w:t>
            </w:r>
            <w:r>
              <w:rPr>
                <w:sz w:val="20"/>
              </w:rPr>
              <w:t>G62.2,</w:t>
            </w:r>
            <w:r>
              <w:rPr>
                <w:spacing w:val="-3"/>
                <w:sz w:val="20"/>
              </w:rPr>
              <w:t> </w:t>
            </w:r>
            <w:r>
              <w:rPr>
                <w:sz w:val="20"/>
              </w:rPr>
              <w:t>G62.9,</w:t>
            </w:r>
            <w:r>
              <w:rPr>
                <w:spacing w:val="-5"/>
                <w:sz w:val="20"/>
              </w:rPr>
              <w:t> </w:t>
            </w:r>
            <w:r>
              <w:rPr>
                <w:spacing w:val="-4"/>
                <w:sz w:val="20"/>
              </w:rPr>
              <w:t>G63,</w:t>
            </w:r>
          </w:p>
          <w:p>
            <w:pPr>
              <w:pStyle w:val="TableParagraph"/>
              <w:ind w:left="150" w:right="914"/>
              <w:jc w:val="center"/>
              <w:rPr>
                <w:sz w:val="20"/>
              </w:rPr>
            </w:pPr>
            <w:r>
              <w:rPr>
                <w:sz w:val="20"/>
              </w:rPr>
              <w:t>G63.0,</w:t>
            </w:r>
            <w:r>
              <w:rPr>
                <w:spacing w:val="-4"/>
                <w:sz w:val="20"/>
              </w:rPr>
              <w:t> </w:t>
            </w:r>
            <w:r>
              <w:rPr>
                <w:sz w:val="20"/>
              </w:rPr>
              <w:t>G63.1,</w:t>
            </w:r>
            <w:r>
              <w:rPr>
                <w:spacing w:val="-6"/>
                <w:sz w:val="20"/>
              </w:rPr>
              <w:t> </w:t>
            </w:r>
            <w:r>
              <w:rPr>
                <w:sz w:val="20"/>
              </w:rPr>
              <w:t>G63.2,</w:t>
            </w:r>
            <w:r>
              <w:rPr>
                <w:spacing w:val="-4"/>
                <w:sz w:val="20"/>
              </w:rPr>
              <w:t> </w:t>
            </w:r>
            <w:r>
              <w:rPr>
                <w:sz w:val="20"/>
              </w:rPr>
              <w:t>G63.3,</w:t>
            </w:r>
            <w:r>
              <w:rPr>
                <w:spacing w:val="-6"/>
                <w:sz w:val="20"/>
              </w:rPr>
              <w:t> </w:t>
            </w:r>
            <w:r>
              <w:rPr>
                <w:sz w:val="20"/>
              </w:rPr>
              <w:t>G63.4,</w:t>
            </w:r>
            <w:r>
              <w:rPr>
                <w:spacing w:val="-4"/>
                <w:sz w:val="20"/>
              </w:rPr>
              <w:t> </w:t>
            </w:r>
            <w:r>
              <w:rPr>
                <w:spacing w:val="-2"/>
                <w:sz w:val="20"/>
              </w:rPr>
              <w:t>G63.5,</w:t>
            </w:r>
          </w:p>
          <w:p>
            <w:pPr>
              <w:pStyle w:val="TableParagraph"/>
              <w:ind w:left="150" w:right="915"/>
              <w:jc w:val="center"/>
              <w:rPr>
                <w:sz w:val="20"/>
              </w:rPr>
            </w:pPr>
            <w:r>
              <w:rPr>
                <w:sz w:val="20"/>
              </w:rPr>
              <w:t>G63.6,</w:t>
            </w:r>
            <w:r>
              <w:rPr>
                <w:spacing w:val="-6"/>
                <w:sz w:val="20"/>
              </w:rPr>
              <w:t> </w:t>
            </w:r>
            <w:r>
              <w:rPr>
                <w:sz w:val="20"/>
              </w:rPr>
              <w:t>G63.8,</w:t>
            </w:r>
            <w:r>
              <w:rPr>
                <w:spacing w:val="-7"/>
                <w:sz w:val="20"/>
              </w:rPr>
              <w:t> </w:t>
            </w:r>
            <w:r>
              <w:rPr>
                <w:sz w:val="20"/>
              </w:rPr>
              <w:t>G64,</w:t>
            </w:r>
            <w:r>
              <w:rPr>
                <w:spacing w:val="-5"/>
                <w:sz w:val="20"/>
              </w:rPr>
              <w:t> </w:t>
            </w:r>
            <w:r>
              <w:rPr>
                <w:sz w:val="20"/>
              </w:rPr>
              <w:t>G70.1,</w:t>
            </w:r>
            <w:r>
              <w:rPr>
                <w:spacing w:val="-5"/>
                <w:sz w:val="20"/>
              </w:rPr>
              <w:t> </w:t>
            </w:r>
            <w:r>
              <w:rPr>
                <w:sz w:val="20"/>
              </w:rPr>
              <w:t>G70.2,</w:t>
            </w:r>
            <w:r>
              <w:rPr>
                <w:spacing w:val="-5"/>
                <w:sz w:val="20"/>
              </w:rPr>
              <w:t> </w:t>
            </w:r>
            <w:r>
              <w:rPr>
                <w:sz w:val="20"/>
              </w:rPr>
              <w:t>G70.8,</w:t>
            </w:r>
            <w:r>
              <w:rPr>
                <w:spacing w:val="-6"/>
                <w:sz w:val="20"/>
              </w:rPr>
              <w:t> </w:t>
            </w:r>
            <w:r>
              <w:rPr>
                <w:spacing w:val="-2"/>
                <w:sz w:val="20"/>
              </w:rPr>
              <w:t>G70.9,</w:t>
            </w:r>
          </w:p>
          <w:p>
            <w:pPr>
              <w:pStyle w:val="TableParagraph"/>
              <w:spacing w:line="229" w:lineRule="exact" w:before="1"/>
              <w:ind w:left="150" w:right="917"/>
              <w:jc w:val="center"/>
              <w:rPr>
                <w:sz w:val="20"/>
              </w:rPr>
            </w:pPr>
            <w:r>
              <w:rPr>
                <w:sz w:val="20"/>
              </w:rPr>
              <w:t>G73.0,</w:t>
            </w:r>
            <w:r>
              <w:rPr>
                <w:spacing w:val="-5"/>
                <w:sz w:val="20"/>
              </w:rPr>
              <w:t> </w:t>
            </w:r>
            <w:r>
              <w:rPr>
                <w:sz w:val="20"/>
              </w:rPr>
              <w:t>G73.1,</w:t>
            </w:r>
            <w:r>
              <w:rPr>
                <w:spacing w:val="-6"/>
                <w:sz w:val="20"/>
              </w:rPr>
              <w:t> </w:t>
            </w:r>
            <w:r>
              <w:rPr>
                <w:sz w:val="20"/>
              </w:rPr>
              <w:t>G73.2,</w:t>
            </w:r>
            <w:r>
              <w:rPr>
                <w:spacing w:val="-4"/>
                <w:sz w:val="20"/>
              </w:rPr>
              <w:t> </w:t>
            </w:r>
            <w:r>
              <w:rPr>
                <w:sz w:val="20"/>
              </w:rPr>
              <w:t>G73.3,</w:t>
            </w:r>
            <w:r>
              <w:rPr>
                <w:spacing w:val="-6"/>
                <w:sz w:val="20"/>
              </w:rPr>
              <w:t> </w:t>
            </w:r>
            <w:r>
              <w:rPr>
                <w:sz w:val="20"/>
              </w:rPr>
              <w:t>R94.1,</w:t>
            </w:r>
            <w:r>
              <w:rPr>
                <w:spacing w:val="-4"/>
                <w:sz w:val="20"/>
              </w:rPr>
              <w:t> </w:t>
            </w:r>
            <w:r>
              <w:rPr>
                <w:sz w:val="20"/>
              </w:rPr>
              <w:t>S04.1,</w:t>
            </w:r>
            <w:r>
              <w:rPr>
                <w:spacing w:val="-5"/>
                <w:sz w:val="20"/>
              </w:rPr>
              <w:t> </w:t>
            </w:r>
            <w:r>
              <w:rPr>
                <w:spacing w:val="-2"/>
                <w:sz w:val="20"/>
              </w:rPr>
              <w:t>S04.2,</w:t>
            </w:r>
          </w:p>
          <w:p>
            <w:pPr>
              <w:pStyle w:val="TableParagraph"/>
              <w:spacing w:line="229" w:lineRule="exact"/>
              <w:ind w:left="150" w:right="915"/>
              <w:jc w:val="center"/>
              <w:rPr>
                <w:sz w:val="20"/>
              </w:rPr>
            </w:pPr>
            <w:r>
              <w:rPr>
                <w:sz w:val="20"/>
              </w:rPr>
              <w:t>S04.3,</w:t>
            </w:r>
            <w:r>
              <w:rPr>
                <w:spacing w:val="-6"/>
                <w:sz w:val="20"/>
              </w:rPr>
              <w:t> </w:t>
            </w:r>
            <w:r>
              <w:rPr>
                <w:sz w:val="20"/>
              </w:rPr>
              <w:t>S04.4,</w:t>
            </w:r>
            <w:r>
              <w:rPr>
                <w:spacing w:val="-5"/>
                <w:sz w:val="20"/>
              </w:rPr>
              <w:t> </w:t>
            </w:r>
            <w:r>
              <w:rPr>
                <w:sz w:val="20"/>
              </w:rPr>
              <w:t>S04.5,</w:t>
            </w:r>
            <w:r>
              <w:rPr>
                <w:spacing w:val="-5"/>
                <w:sz w:val="20"/>
              </w:rPr>
              <w:t> </w:t>
            </w:r>
            <w:r>
              <w:rPr>
                <w:sz w:val="20"/>
              </w:rPr>
              <w:t>S04.7,</w:t>
            </w:r>
            <w:r>
              <w:rPr>
                <w:spacing w:val="-7"/>
                <w:sz w:val="20"/>
              </w:rPr>
              <w:t> </w:t>
            </w:r>
            <w:r>
              <w:rPr>
                <w:sz w:val="20"/>
              </w:rPr>
              <w:t>S04.8,</w:t>
            </w:r>
            <w:r>
              <w:rPr>
                <w:spacing w:val="-5"/>
                <w:sz w:val="20"/>
              </w:rPr>
              <w:t> </w:t>
            </w:r>
            <w:r>
              <w:rPr>
                <w:sz w:val="20"/>
              </w:rPr>
              <w:t>S04.9,</w:t>
            </w:r>
            <w:r>
              <w:rPr>
                <w:spacing w:val="-5"/>
                <w:sz w:val="20"/>
              </w:rPr>
              <w:t> </w:t>
            </w:r>
            <w:r>
              <w:rPr>
                <w:spacing w:val="-2"/>
                <w:sz w:val="20"/>
              </w:rPr>
              <w:t>S14.2,</w:t>
            </w:r>
          </w:p>
          <w:p>
            <w:pPr>
              <w:pStyle w:val="TableParagraph"/>
              <w:ind w:left="229"/>
              <w:rPr>
                <w:sz w:val="20"/>
              </w:rPr>
            </w:pPr>
            <w:r>
              <w:rPr>
                <w:sz w:val="20"/>
              </w:rPr>
              <w:t>S14.3,</w:t>
            </w:r>
            <w:r>
              <w:rPr>
                <w:spacing w:val="-6"/>
                <w:sz w:val="20"/>
              </w:rPr>
              <w:t> </w:t>
            </w:r>
            <w:r>
              <w:rPr>
                <w:sz w:val="20"/>
              </w:rPr>
              <w:t>S14.4,</w:t>
            </w:r>
            <w:r>
              <w:rPr>
                <w:spacing w:val="-5"/>
                <w:sz w:val="20"/>
              </w:rPr>
              <w:t> </w:t>
            </w:r>
            <w:r>
              <w:rPr>
                <w:sz w:val="20"/>
              </w:rPr>
              <w:t>S14.5,</w:t>
            </w:r>
            <w:r>
              <w:rPr>
                <w:spacing w:val="-5"/>
                <w:sz w:val="20"/>
              </w:rPr>
              <w:t> </w:t>
            </w:r>
            <w:r>
              <w:rPr>
                <w:sz w:val="20"/>
              </w:rPr>
              <w:t>S14.6,</w:t>
            </w:r>
            <w:r>
              <w:rPr>
                <w:spacing w:val="-7"/>
                <w:sz w:val="20"/>
              </w:rPr>
              <w:t> </w:t>
            </w:r>
            <w:r>
              <w:rPr>
                <w:sz w:val="20"/>
              </w:rPr>
              <w:t>S24.2,</w:t>
            </w:r>
            <w:r>
              <w:rPr>
                <w:spacing w:val="-5"/>
                <w:sz w:val="20"/>
              </w:rPr>
              <w:t> </w:t>
            </w:r>
            <w:r>
              <w:rPr>
                <w:sz w:val="20"/>
              </w:rPr>
              <w:t>S24.3,</w:t>
            </w:r>
            <w:r>
              <w:rPr>
                <w:spacing w:val="-5"/>
                <w:sz w:val="20"/>
              </w:rPr>
              <w:t> </w:t>
            </w:r>
            <w:r>
              <w:rPr>
                <w:spacing w:val="-2"/>
                <w:sz w:val="20"/>
              </w:rPr>
              <w:t>S24.4,</w:t>
            </w:r>
          </w:p>
          <w:p>
            <w:pPr>
              <w:pStyle w:val="TableParagraph"/>
              <w:spacing w:before="1"/>
              <w:ind w:left="229"/>
              <w:rPr>
                <w:sz w:val="20"/>
              </w:rPr>
            </w:pPr>
            <w:r>
              <w:rPr>
                <w:sz w:val="20"/>
              </w:rPr>
              <w:t>S24.5,</w:t>
            </w:r>
            <w:r>
              <w:rPr>
                <w:spacing w:val="-5"/>
                <w:sz w:val="20"/>
              </w:rPr>
              <w:t> </w:t>
            </w:r>
            <w:r>
              <w:rPr>
                <w:sz w:val="20"/>
              </w:rPr>
              <w:t>S24.6,</w:t>
            </w:r>
            <w:r>
              <w:rPr>
                <w:spacing w:val="-5"/>
                <w:sz w:val="20"/>
              </w:rPr>
              <w:t> </w:t>
            </w:r>
            <w:r>
              <w:rPr>
                <w:sz w:val="20"/>
              </w:rPr>
              <w:t>S34.2,</w:t>
            </w:r>
            <w:r>
              <w:rPr>
                <w:spacing w:val="-5"/>
                <w:sz w:val="20"/>
              </w:rPr>
              <w:t> </w:t>
            </w:r>
            <w:r>
              <w:rPr>
                <w:sz w:val="20"/>
              </w:rPr>
              <w:t>S34.3,</w:t>
            </w:r>
            <w:r>
              <w:rPr>
                <w:spacing w:val="-7"/>
                <w:sz w:val="20"/>
              </w:rPr>
              <w:t> </w:t>
            </w:r>
            <w:r>
              <w:rPr>
                <w:sz w:val="20"/>
              </w:rPr>
              <w:t>S34.4,</w:t>
            </w:r>
            <w:r>
              <w:rPr>
                <w:spacing w:val="-4"/>
                <w:sz w:val="20"/>
              </w:rPr>
              <w:t> </w:t>
            </w:r>
            <w:r>
              <w:rPr>
                <w:sz w:val="20"/>
              </w:rPr>
              <w:t>S34.5,</w:t>
            </w:r>
            <w:r>
              <w:rPr>
                <w:spacing w:val="-5"/>
                <w:sz w:val="20"/>
              </w:rPr>
              <w:t> </w:t>
            </w:r>
            <w:r>
              <w:rPr>
                <w:spacing w:val="-2"/>
                <w:sz w:val="20"/>
              </w:rPr>
              <w:t>S34.6,</w:t>
            </w:r>
          </w:p>
          <w:p>
            <w:pPr>
              <w:pStyle w:val="TableParagraph"/>
              <w:spacing w:before="1"/>
              <w:ind w:left="303"/>
              <w:rPr>
                <w:sz w:val="20"/>
              </w:rPr>
            </w:pPr>
            <w:r>
              <w:rPr>
                <w:sz w:val="20"/>
              </w:rPr>
              <w:t>S34.8,</w:t>
            </w:r>
            <w:r>
              <w:rPr>
                <w:spacing w:val="-6"/>
                <w:sz w:val="20"/>
              </w:rPr>
              <w:t> </w:t>
            </w:r>
            <w:r>
              <w:rPr>
                <w:sz w:val="20"/>
              </w:rPr>
              <w:t>S44,</w:t>
            </w:r>
            <w:r>
              <w:rPr>
                <w:spacing w:val="-6"/>
                <w:sz w:val="20"/>
              </w:rPr>
              <w:t> </w:t>
            </w:r>
            <w:r>
              <w:rPr>
                <w:sz w:val="20"/>
              </w:rPr>
              <w:t>S44.0,</w:t>
            </w:r>
            <w:r>
              <w:rPr>
                <w:spacing w:val="-5"/>
                <w:sz w:val="20"/>
              </w:rPr>
              <w:t> </w:t>
            </w:r>
            <w:r>
              <w:rPr>
                <w:sz w:val="20"/>
              </w:rPr>
              <w:t>S44.1,</w:t>
            </w:r>
            <w:r>
              <w:rPr>
                <w:spacing w:val="-6"/>
                <w:sz w:val="20"/>
              </w:rPr>
              <w:t> </w:t>
            </w:r>
            <w:r>
              <w:rPr>
                <w:sz w:val="20"/>
              </w:rPr>
              <w:t>S44.2,</w:t>
            </w:r>
            <w:r>
              <w:rPr>
                <w:spacing w:val="-5"/>
                <w:sz w:val="20"/>
              </w:rPr>
              <w:t> </w:t>
            </w:r>
            <w:r>
              <w:rPr>
                <w:sz w:val="20"/>
              </w:rPr>
              <w:t>S44.3,</w:t>
            </w:r>
            <w:r>
              <w:rPr>
                <w:spacing w:val="-6"/>
                <w:sz w:val="20"/>
              </w:rPr>
              <w:t> </w:t>
            </w:r>
            <w:r>
              <w:rPr>
                <w:spacing w:val="-2"/>
                <w:sz w:val="20"/>
              </w:rPr>
              <w:t>S44.4,</w:t>
            </w:r>
          </w:p>
          <w:p>
            <w:pPr>
              <w:pStyle w:val="TableParagraph"/>
              <w:ind w:left="303"/>
              <w:rPr>
                <w:sz w:val="20"/>
              </w:rPr>
            </w:pPr>
            <w:r>
              <w:rPr>
                <w:sz w:val="20"/>
              </w:rPr>
              <w:t>S44.5,</w:t>
            </w:r>
            <w:r>
              <w:rPr>
                <w:spacing w:val="-6"/>
                <w:sz w:val="20"/>
              </w:rPr>
              <w:t> </w:t>
            </w:r>
            <w:r>
              <w:rPr>
                <w:sz w:val="20"/>
              </w:rPr>
              <w:t>S44.7,</w:t>
            </w:r>
            <w:r>
              <w:rPr>
                <w:spacing w:val="-5"/>
                <w:sz w:val="20"/>
              </w:rPr>
              <w:t> </w:t>
            </w:r>
            <w:r>
              <w:rPr>
                <w:sz w:val="20"/>
              </w:rPr>
              <w:t>S44.8,</w:t>
            </w:r>
            <w:r>
              <w:rPr>
                <w:spacing w:val="-5"/>
                <w:sz w:val="20"/>
              </w:rPr>
              <w:t> </w:t>
            </w:r>
            <w:r>
              <w:rPr>
                <w:sz w:val="20"/>
              </w:rPr>
              <w:t>S44.9,</w:t>
            </w:r>
            <w:r>
              <w:rPr>
                <w:spacing w:val="-7"/>
                <w:sz w:val="20"/>
              </w:rPr>
              <w:t> </w:t>
            </w:r>
            <w:r>
              <w:rPr>
                <w:sz w:val="20"/>
              </w:rPr>
              <w:t>S54,</w:t>
            </w:r>
            <w:r>
              <w:rPr>
                <w:spacing w:val="-5"/>
                <w:sz w:val="20"/>
              </w:rPr>
              <w:t> </w:t>
            </w:r>
            <w:r>
              <w:rPr>
                <w:sz w:val="20"/>
              </w:rPr>
              <w:t>S54.0,</w:t>
            </w:r>
            <w:r>
              <w:rPr>
                <w:spacing w:val="-5"/>
                <w:sz w:val="20"/>
              </w:rPr>
              <w:t> </w:t>
            </w:r>
            <w:r>
              <w:rPr>
                <w:spacing w:val="-2"/>
                <w:sz w:val="20"/>
              </w:rPr>
              <w:t>S54.1,</w:t>
            </w:r>
          </w:p>
          <w:p>
            <w:pPr>
              <w:pStyle w:val="TableParagraph"/>
              <w:spacing w:line="229" w:lineRule="exact" w:before="1"/>
              <w:ind w:left="303"/>
              <w:rPr>
                <w:sz w:val="20"/>
              </w:rPr>
            </w:pPr>
            <w:r>
              <w:rPr>
                <w:sz w:val="20"/>
              </w:rPr>
              <w:t>S54.2,</w:t>
            </w:r>
            <w:r>
              <w:rPr>
                <w:spacing w:val="-6"/>
                <w:sz w:val="20"/>
              </w:rPr>
              <w:t> </w:t>
            </w:r>
            <w:r>
              <w:rPr>
                <w:sz w:val="20"/>
              </w:rPr>
              <w:t>S54.3,</w:t>
            </w:r>
            <w:r>
              <w:rPr>
                <w:spacing w:val="-5"/>
                <w:sz w:val="20"/>
              </w:rPr>
              <w:t> </w:t>
            </w:r>
            <w:r>
              <w:rPr>
                <w:sz w:val="20"/>
              </w:rPr>
              <w:t>S54.7,</w:t>
            </w:r>
            <w:r>
              <w:rPr>
                <w:spacing w:val="-5"/>
                <w:sz w:val="20"/>
              </w:rPr>
              <w:t> </w:t>
            </w:r>
            <w:r>
              <w:rPr>
                <w:sz w:val="20"/>
              </w:rPr>
              <w:t>S54.8,</w:t>
            </w:r>
            <w:r>
              <w:rPr>
                <w:spacing w:val="-7"/>
                <w:sz w:val="20"/>
              </w:rPr>
              <w:t> </w:t>
            </w:r>
            <w:r>
              <w:rPr>
                <w:sz w:val="20"/>
              </w:rPr>
              <w:t>S54.9,</w:t>
            </w:r>
            <w:r>
              <w:rPr>
                <w:spacing w:val="-5"/>
                <w:sz w:val="20"/>
              </w:rPr>
              <w:t> </w:t>
            </w:r>
            <w:r>
              <w:rPr>
                <w:sz w:val="20"/>
              </w:rPr>
              <w:t>S64,</w:t>
            </w:r>
            <w:r>
              <w:rPr>
                <w:spacing w:val="-5"/>
                <w:sz w:val="20"/>
              </w:rPr>
              <w:t> </w:t>
            </w:r>
            <w:r>
              <w:rPr>
                <w:spacing w:val="-2"/>
                <w:sz w:val="20"/>
              </w:rPr>
              <w:t>S64.0,</w:t>
            </w:r>
          </w:p>
          <w:p>
            <w:pPr>
              <w:pStyle w:val="TableParagraph"/>
              <w:spacing w:line="229" w:lineRule="exact"/>
              <w:ind w:left="229"/>
              <w:rPr>
                <w:sz w:val="20"/>
              </w:rPr>
            </w:pPr>
            <w:r>
              <w:rPr>
                <w:sz w:val="20"/>
              </w:rPr>
              <w:t>S64.1,</w:t>
            </w:r>
            <w:r>
              <w:rPr>
                <w:spacing w:val="-6"/>
                <w:sz w:val="20"/>
              </w:rPr>
              <w:t> </w:t>
            </w:r>
            <w:r>
              <w:rPr>
                <w:sz w:val="20"/>
              </w:rPr>
              <w:t>S64.2,</w:t>
            </w:r>
            <w:r>
              <w:rPr>
                <w:spacing w:val="-5"/>
                <w:sz w:val="20"/>
              </w:rPr>
              <w:t> </w:t>
            </w:r>
            <w:r>
              <w:rPr>
                <w:sz w:val="20"/>
              </w:rPr>
              <w:t>S64.3,</w:t>
            </w:r>
            <w:r>
              <w:rPr>
                <w:spacing w:val="-5"/>
                <w:sz w:val="20"/>
              </w:rPr>
              <w:t> </w:t>
            </w:r>
            <w:r>
              <w:rPr>
                <w:sz w:val="20"/>
              </w:rPr>
              <w:t>S64.4,</w:t>
            </w:r>
            <w:r>
              <w:rPr>
                <w:spacing w:val="-7"/>
                <w:sz w:val="20"/>
              </w:rPr>
              <w:t> </w:t>
            </w:r>
            <w:r>
              <w:rPr>
                <w:sz w:val="20"/>
              </w:rPr>
              <w:t>S64.7,</w:t>
            </w:r>
            <w:r>
              <w:rPr>
                <w:spacing w:val="-5"/>
                <w:sz w:val="20"/>
              </w:rPr>
              <w:t> </w:t>
            </w:r>
            <w:r>
              <w:rPr>
                <w:sz w:val="20"/>
              </w:rPr>
              <w:t>S64.8,</w:t>
            </w:r>
            <w:r>
              <w:rPr>
                <w:spacing w:val="-5"/>
                <w:sz w:val="20"/>
              </w:rPr>
              <w:t> </w:t>
            </w:r>
            <w:r>
              <w:rPr>
                <w:spacing w:val="-2"/>
                <w:sz w:val="20"/>
              </w:rPr>
              <w:t>S64.9,</w:t>
            </w:r>
          </w:p>
          <w:p>
            <w:pPr>
              <w:pStyle w:val="TableParagraph"/>
              <w:ind w:left="150" w:right="913"/>
              <w:jc w:val="center"/>
              <w:rPr>
                <w:sz w:val="20"/>
              </w:rPr>
            </w:pPr>
            <w:r>
              <w:rPr>
                <w:sz w:val="20"/>
              </w:rPr>
              <w:t>S74,</w:t>
            </w:r>
            <w:r>
              <w:rPr>
                <w:spacing w:val="-5"/>
                <w:sz w:val="20"/>
              </w:rPr>
              <w:t> </w:t>
            </w:r>
            <w:r>
              <w:rPr>
                <w:sz w:val="20"/>
              </w:rPr>
              <w:t>S74.0,</w:t>
            </w:r>
            <w:r>
              <w:rPr>
                <w:spacing w:val="-5"/>
                <w:sz w:val="20"/>
              </w:rPr>
              <w:t> </w:t>
            </w:r>
            <w:r>
              <w:rPr>
                <w:sz w:val="20"/>
              </w:rPr>
              <w:t>S74.1,</w:t>
            </w:r>
            <w:r>
              <w:rPr>
                <w:spacing w:val="-5"/>
                <w:sz w:val="20"/>
              </w:rPr>
              <w:t> </w:t>
            </w:r>
            <w:r>
              <w:rPr>
                <w:sz w:val="20"/>
              </w:rPr>
              <w:t>S74.2,</w:t>
            </w:r>
            <w:r>
              <w:rPr>
                <w:spacing w:val="-5"/>
                <w:sz w:val="20"/>
              </w:rPr>
              <w:t> </w:t>
            </w:r>
            <w:r>
              <w:rPr>
                <w:sz w:val="20"/>
              </w:rPr>
              <w:t>S74.7,</w:t>
            </w:r>
            <w:r>
              <w:rPr>
                <w:spacing w:val="-5"/>
                <w:sz w:val="20"/>
              </w:rPr>
              <w:t> </w:t>
            </w:r>
            <w:r>
              <w:rPr>
                <w:sz w:val="20"/>
              </w:rPr>
              <w:t>S74.8,</w:t>
            </w:r>
            <w:r>
              <w:rPr>
                <w:spacing w:val="-5"/>
                <w:sz w:val="20"/>
              </w:rPr>
              <w:t> </w:t>
            </w:r>
            <w:r>
              <w:rPr>
                <w:spacing w:val="-2"/>
                <w:sz w:val="20"/>
              </w:rPr>
              <w:t>S74.9,</w:t>
            </w:r>
          </w:p>
          <w:p>
            <w:pPr>
              <w:pStyle w:val="TableParagraph"/>
              <w:ind w:left="150" w:right="917"/>
              <w:jc w:val="center"/>
              <w:rPr>
                <w:sz w:val="20"/>
              </w:rPr>
            </w:pPr>
            <w:r>
              <w:rPr>
                <w:sz w:val="20"/>
              </w:rPr>
              <w:t>S84,</w:t>
            </w:r>
            <w:r>
              <w:rPr>
                <w:spacing w:val="-6"/>
                <w:sz w:val="20"/>
              </w:rPr>
              <w:t> </w:t>
            </w:r>
            <w:r>
              <w:rPr>
                <w:sz w:val="20"/>
              </w:rPr>
              <w:t>S84.0,</w:t>
            </w:r>
            <w:r>
              <w:rPr>
                <w:spacing w:val="-6"/>
                <w:sz w:val="20"/>
              </w:rPr>
              <w:t> </w:t>
            </w:r>
            <w:r>
              <w:rPr>
                <w:sz w:val="20"/>
              </w:rPr>
              <w:t>S84.1,</w:t>
            </w:r>
            <w:r>
              <w:rPr>
                <w:spacing w:val="-5"/>
                <w:sz w:val="20"/>
              </w:rPr>
              <w:t> </w:t>
            </w:r>
            <w:r>
              <w:rPr>
                <w:sz w:val="20"/>
              </w:rPr>
              <w:t>S84.2,</w:t>
            </w:r>
            <w:r>
              <w:rPr>
                <w:spacing w:val="-6"/>
                <w:sz w:val="20"/>
              </w:rPr>
              <w:t> </w:t>
            </w:r>
            <w:r>
              <w:rPr>
                <w:sz w:val="20"/>
              </w:rPr>
              <w:t>S84.7,</w:t>
            </w:r>
            <w:r>
              <w:rPr>
                <w:spacing w:val="-5"/>
                <w:sz w:val="20"/>
              </w:rPr>
              <w:t> </w:t>
            </w:r>
            <w:r>
              <w:rPr>
                <w:sz w:val="20"/>
              </w:rPr>
              <w:t>S84.8,</w:t>
            </w:r>
            <w:r>
              <w:rPr>
                <w:spacing w:val="-6"/>
                <w:sz w:val="20"/>
              </w:rPr>
              <w:t> </w:t>
            </w:r>
            <w:r>
              <w:rPr>
                <w:spacing w:val="-2"/>
                <w:sz w:val="20"/>
              </w:rPr>
              <w:t>S84.9,</w:t>
            </w:r>
          </w:p>
          <w:p>
            <w:pPr>
              <w:pStyle w:val="TableParagraph"/>
              <w:spacing w:line="230" w:lineRule="atLeast"/>
              <w:ind w:left="149" w:right="917"/>
              <w:jc w:val="center"/>
              <w:rPr>
                <w:sz w:val="20"/>
              </w:rPr>
            </w:pPr>
            <w:r>
              <w:rPr>
                <w:sz w:val="20"/>
              </w:rPr>
              <w:t>S94,</w:t>
            </w:r>
            <w:r>
              <w:rPr>
                <w:spacing w:val="-8"/>
                <w:sz w:val="20"/>
              </w:rPr>
              <w:t> </w:t>
            </w:r>
            <w:r>
              <w:rPr>
                <w:sz w:val="20"/>
              </w:rPr>
              <w:t>S94.0,</w:t>
            </w:r>
            <w:r>
              <w:rPr>
                <w:spacing w:val="-8"/>
                <w:sz w:val="20"/>
              </w:rPr>
              <w:t> </w:t>
            </w:r>
            <w:r>
              <w:rPr>
                <w:sz w:val="20"/>
              </w:rPr>
              <w:t>S94.1,</w:t>
            </w:r>
            <w:r>
              <w:rPr>
                <w:spacing w:val="-8"/>
                <w:sz w:val="20"/>
              </w:rPr>
              <w:t> </w:t>
            </w:r>
            <w:r>
              <w:rPr>
                <w:sz w:val="20"/>
              </w:rPr>
              <w:t>S94.2,</w:t>
            </w:r>
            <w:r>
              <w:rPr>
                <w:spacing w:val="-8"/>
                <w:sz w:val="20"/>
              </w:rPr>
              <w:t> </w:t>
            </w:r>
            <w:r>
              <w:rPr>
                <w:sz w:val="20"/>
              </w:rPr>
              <w:t>S94.3,</w:t>
            </w:r>
            <w:r>
              <w:rPr>
                <w:spacing w:val="-8"/>
                <w:sz w:val="20"/>
              </w:rPr>
              <w:t> </w:t>
            </w:r>
            <w:r>
              <w:rPr>
                <w:sz w:val="20"/>
              </w:rPr>
              <w:t>S94.7,</w:t>
            </w:r>
            <w:r>
              <w:rPr>
                <w:spacing w:val="-8"/>
                <w:sz w:val="20"/>
              </w:rPr>
              <w:t> </w:t>
            </w:r>
            <w:r>
              <w:rPr>
                <w:sz w:val="20"/>
              </w:rPr>
              <w:t>S94.8, S94.9, T09.4, T11.3, T13.3, T14.4</w:t>
            </w:r>
          </w:p>
        </w:tc>
        <w:tc>
          <w:tcPr>
            <w:tcW w:w="2385" w:type="dxa"/>
          </w:tcPr>
          <w:p>
            <w:pPr>
              <w:pStyle w:val="TableParagraph"/>
              <w:spacing w:before="46"/>
              <w:ind w:left="916"/>
              <w:rPr>
                <w:sz w:val="20"/>
              </w:rPr>
            </w:pPr>
            <w:r>
              <w:rPr>
                <w:w w:val="99"/>
                <w:sz w:val="20"/>
              </w:rPr>
              <w:t>-</w:t>
            </w:r>
          </w:p>
        </w:tc>
        <w:tc>
          <w:tcPr>
            <w:tcW w:w="2327" w:type="dxa"/>
          </w:tcPr>
          <w:p>
            <w:pPr>
              <w:pStyle w:val="TableParagraph"/>
              <w:spacing w:before="46"/>
              <w:ind w:right="861"/>
              <w:jc w:val="right"/>
              <w:rPr>
                <w:sz w:val="20"/>
              </w:rPr>
            </w:pPr>
            <w:r>
              <w:rPr>
                <w:w w:val="99"/>
                <w:sz w:val="20"/>
              </w:rPr>
              <w:t>-</w:t>
            </w:r>
          </w:p>
        </w:tc>
        <w:tc>
          <w:tcPr>
            <w:tcW w:w="1262" w:type="dxa"/>
          </w:tcPr>
          <w:p>
            <w:pPr>
              <w:pStyle w:val="TableParagraph"/>
              <w:spacing w:before="46"/>
              <w:ind w:right="52"/>
              <w:jc w:val="right"/>
              <w:rPr>
                <w:sz w:val="20"/>
              </w:rPr>
            </w:pPr>
            <w:r>
              <w:rPr>
                <w:spacing w:val="-4"/>
                <w:sz w:val="20"/>
              </w:rPr>
              <w:t>1,02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55"/>
        <w:gridCol w:w="4916"/>
        <w:gridCol w:w="2572"/>
        <w:gridCol w:w="2866"/>
        <w:gridCol w:w="837"/>
      </w:tblGrid>
      <w:tr>
        <w:trPr>
          <w:trHeight w:val="1885" w:hRule="atLeast"/>
        </w:trPr>
        <w:tc>
          <w:tcPr>
            <w:tcW w:w="971" w:type="dxa"/>
          </w:tcPr>
          <w:p>
            <w:pPr>
              <w:pStyle w:val="TableParagraph"/>
              <w:spacing w:line="221" w:lineRule="exact"/>
              <w:ind w:left="50"/>
              <w:rPr>
                <w:sz w:val="20"/>
              </w:rPr>
            </w:pPr>
            <w:r>
              <w:rPr>
                <w:spacing w:val="-2"/>
                <w:sz w:val="20"/>
              </w:rPr>
              <w:t>st15.008</w:t>
            </w:r>
          </w:p>
        </w:tc>
        <w:tc>
          <w:tcPr>
            <w:tcW w:w="657" w:type="dxa"/>
          </w:tcPr>
          <w:p>
            <w:pPr>
              <w:pStyle w:val="TableParagraph"/>
              <w:spacing w:line="221" w:lineRule="exact"/>
              <w:ind w:right="217"/>
              <w:jc w:val="right"/>
              <w:rPr>
                <w:sz w:val="20"/>
              </w:rPr>
            </w:pPr>
            <w:r>
              <w:rPr>
                <w:spacing w:val="-5"/>
                <w:sz w:val="20"/>
              </w:rPr>
              <w:t>95</w:t>
            </w:r>
          </w:p>
        </w:tc>
        <w:tc>
          <w:tcPr>
            <w:tcW w:w="2455" w:type="dxa"/>
          </w:tcPr>
          <w:p>
            <w:pPr>
              <w:pStyle w:val="TableParagraph"/>
              <w:ind w:left="217" w:right="270"/>
              <w:rPr>
                <w:sz w:val="20"/>
              </w:rPr>
            </w:pPr>
            <w:r>
              <w:rPr>
                <w:spacing w:val="-2"/>
                <w:sz w:val="20"/>
              </w:rPr>
              <w:t>Неврологические </w:t>
            </w:r>
            <w:r>
              <w:rPr>
                <w:sz w:val="20"/>
              </w:rPr>
              <w:t>заболевания,</w:t>
            </w:r>
            <w:r>
              <w:rPr>
                <w:spacing w:val="-13"/>
                <w:sz w:val="20"/>
              </w:rPr>
              <w:t> </w:t>
            </w:r>
            <w:r>
              <w:rPr>
                <w:sz w:val="20"/>
              </w:rPr>
              <w:t>лечение</w:t>
            </w:r>
            <w:r>
              <w:rPr>
                <w:spacing w:val="-12"/>
                <w:sz w:val="20"/>
              </w:rPr>
              <w:t> </w:t>
            </w:r>
            <w:r>
              <w:rPr>
                <w:sz w:val="20"/>
              </w:rPr>
              <w:t>с </w:t>
            </w:r>
            <w:r>
              <w:rPr>
                <w:spacing w:val="-2"/>
                <w:sz w:val="20"/>
              </w:rPr>
              <w:t>применением ботулотоксина </w:t>
            </w:r>
            <w:r>
              <w:rPr>
                <w:sz w:val="20"/>
              </w:rPr>
              <w:t>(уровень 1)</w:t>
            </w:r>
          </w:p>
        </w:tc>
        <w:tc>
          <w:tcPr>
            <w:tcW w:w="4916" w:type="dxa"/>
          </w:tcPr>
          <w:p>
            <w:pPr>
              <w:pStyle w:val="TableParagraph"/>
              <w:spacing w:line="221" w:lineRule="exact"/>
              <w:ind w:left="383"/>
              <w:rPr>
                <w:sz w:val="20"/>
              </w:rPr>
            </w:pPr>
            <w:r>
              <w:rPr>
                <w:sz w:val="20"/>
              </w:rPr>
              <w:t>G20,</w:t>
            </w:r>
            <w:r>
              <w:rPr>
                <w:spacing w:val="-5"/>
                <w:sz w:val="20"/>
              </w:rPr>
              <w:t> </w:t>
            </w:r>
            <w:r>
              <w:rPr>
                <w:sz w:val="20"/>
              </w:rPr>
              <w:t>G23.0,</w:t>
            </w:r>
            <w:r>
              <w:rPr>
                <w:spacing w:val="-4"/>
                <w:sz w:val="20"/>
              </w:rPr>
              <w:t> </w:t>
            </w:r>
            <w:r>
              <w:rPr>
                <w:sz w:val="20"/>
              </w:rPr>
              <w:t>G24,</w:t>
            </w:r>
            <w:r>
              <w:rPr>
                <w:spacing w:val="-5"/>
                <w:sz w:val="20"/>
              </w:rPr>
              <w:t> </w:t>
            </w:r>
            <w:r>
              <w:rPr>
                <w:sz w:val="20"/>
              </w:rPr>
              <w:t>G24.0,</w:t>
            </w:r>
            <w:r>
              <w:rPr>
                <w:spacing w:val="-4"/>
                <w:sz w:val="20"/>
              </w:rPr>
              <w:t> </w:t>
            </w:r>
            <w:r>
              <w:rPr>
                <w:sz w:val="20"/>
              </w:rPr>
              <w:t>G24.1,</w:t>
            </w:r>
            <w:r>
              <w:rPr>
                <w:spacing w:val="-5"/>
                <w:sz w:val="20"/>
              </w:rPr>
              <w:t> </w:t>
            </w:r>
            <w:r>
              <w:rPr>
                <w:sz w:val="20"/>
              </w:rPr>
              <w:t>G24.2,</w:t>
            </w:r>
            <w:r>
              <w:rPr>
                <w:spacing w:val="-4"/>
                <w:sz w:val="20"/>
              </w:rPr>
              <w:t> </w:t>
            </w:r>
            <w:r>
              <w:rPr>
                <w:spacing w:val="-2"/>
                <w:sz w:val="20"/>
              </w:rPr>
              <w:t>G24.3,</w:t>
            </w:r>
          </w:p>
          <w:p>
            <w:pPr>
              <w:pStyle w:val="TableParagraph"/>
              <w:spacing w:line="229" w:lineRule="exact"/>
              <w:ind w:left="383"/>
              <w:rPr>
                <w:sz w:val="20"/>
              </w:rPr>
            </w:pPr>
            <w:r>
              <w:rPr>
                <w:sz w:val="20"/>
              </w:rPr>
              <w:t>G24.4,</w:t>
            </w:r>
            <w:r>
              <w:rPr>
                <w:spacing w:val="-4"/>
                <w:sz w:val="20"/>
              </w:rPr>
              <w:t> </w:t>
            </w:r>
            <w:r>
              <w:rPr>
                <w:sz w:val="20"/>
              </w:rPr>
              <w:t>G24.5,</w:t>
            </w:r>
            <w:r>
              <w:rPr>
                <w:spacing w:val="-5"/>
                <w:sz w:val="20"/>
              </w:rPr>
              <w:t> </w:t>
            </w:r>
            <w:r>
              <w:rPr>
                <w:sz w:val="20"/>
              </w:rPr>
              <w:t>G24.8,</w:t>
            </w:r>
            <w:r>
              <w:rPr>
                <w:spacing w:val="-4"/>
                <w:sz w:val="20"/>
              </w:rPr>
              <w:t> </w:t>
            </w:r>
            <w:r>
              <w:rPr>
                <w:sz w:val="20"/>
              </w:rPr>
              <w:t>G24.9,</w:t>
            </w:r>
            <w:r>
              <w:rPr>
                <w:spacing w:val="-5"/>
                <w:sz w:val="20"/>
              </w:rPr>
              <w:t> </w:t>
            </w:r>
            <w:r>
              <w:rPr>
                <w:sz w:val="20"/>
              </w:rPr>
              <w:t>G35,</w:t>
            </w:r>
            <w:r>
              <w:rPr>
                <w:spacing w:val="-4"/>
                <w:sz w:val="20"/>
              </w:rPr>
              <w:t> </w:t>
            </w:r>
            <w:r>
              <w:rPr>
                <w:sz w:val="20"/>
              </w:rPr>
              <w:t>G43,</w:t>
            </w:r>
            <w:r>
              <w:rPr>
                <w:spacing w:val="-5"/>
                <w:sz w:val="20"/>
              </w:rPr>
              <w:t> </w:t>
            </w:r>
            <w:r>
              <w:rPr>
                <w:spacing w:val="-2"/>
                <w:sz w:val="20"/>
              </w:rPr>
              <w:t>G43.0,</w:t>
            </w:r>
          </w:p>
          <w:p>
            <w:pPr>
              <w:pStyle w:val="TableParagraph"/>
              <w:spacing w:line="229" w:lineRule="exact"/>
              <w:ind w:left="307"/>
              <w:rPr>
                <w:sz w:val="20"/>
              </w:rPr>
            </w:pPr>
            <w:r>
              <w:rPr>
                <w:sz w:val="20"/>
              </w:rPr>
              <w:t>G43.1,</w:t>
            </w:r>
            <w:r>
              <w:rPr>
                <w:spacing w:val="-4"/>
                <w:sz w:val="20"/>
              </w:rPr>
              <w:t> </w:t>
            </w:r>
            <w:r>
              <w:rPr>
                <w:sz w:val="20"/>
              </w:rPr>
              <w:t>G43.2,</w:t>
            </w:r>
            <w:r>
              <w:rPr>
                <w:spacing w:val="-6"/>
                <w:sz w:val="20"/>
              </w:rPr>
              <w:t> </w:t>
            </w:r>
            <w:r>
              <w:rPr>
                <w:sz w:val="20"/>
              </w:rPr>
              <w:t>G43.3,</w:t>
            </w:r>
            <w:r>
              <w:rPr>
                <w:spacing w:val="-4"/>
                <w:sz w:val="20"/>
              </w:rPr>
              <w:t> </w:t>
            </w:r>
            <w:r>
              <w:rPr>
                <w:sz w:val="20"/>
              </w:rPr>
              <w:t>G43.8,</w:t>
            </w:r>
            <w:r>
              <w:rPr>
                <w:spacing w:val="-6"/>
                <w:sz w:val="20"/>
              </w:rPr>
              <w:t> </w:t>
            </w:r>
            <w:r>
              <w:rPr>
                <w:sz w:val="20"/>
              </w:rPr>
              <w:t>G43.9,</w:t>
            </w:r>
            <w:r>
              <w:rPr>
                <w:spacing w:val="-4"/>
                <w:sz w:val="20"/>
              </w:rPr>
              <w:t> </w:t>
            </w:r>
            <w:r>
              <w:rPr>
                <w:sz w:val="20"/>
              </w:rPr>
              <w:t>G44,</w:t>
            </w:r>
            <w:r>
              <w:rPr>
                <w:spacing w:val="-4"/>
                <w:sz w:val="20"/>
              </w:rPr>
              <w:t> </w:t>
            </w:r>
            <w:r>
              <w:rPr>
                <w:spacing w:val="-2"/>
                <w:sz w:val="20"/>
              </w:rPr>
              <w:t>G44.0,</w:t>
            </w:r>
          </w:p>
          <w:p>
            <w:pPr>
              <w:pStyle w:val="TableParagraph"/>
              <w:spacing w:before="1"/>
              <w:ind w:left="266" w:right="607"/>
              <w:jc w:val="center"/>
              <w:rPr>
                <w:sz w:val="20"/>
              </w:rPr>
            </w:pPr>
            <w:r>
              <w:rPr>
                <w:sz w:val="20"/>
              </w:rPr>
              <w:t>G44.1,</w:t>
            </w:r>
            <w:r>
              <w:rPr>
                <w:spacing w:val="-5"/>
                <w:sz w:val="20"/>
              </w:rPr>
              <w:t> </w:t>
            </w:r>
            <w:r>
              <w:rPr>
                <w:sz w:val="20"/>
              </w:rPr>
              <w:t>G44.2,</w:t>
            </w:r>
            <w:r>
              <w:rPr>
                <w:spacing w:val="-5"/>
                <w:sz w:val="20"/>
              </w:rPr>
              <w:t> </w:t>
            </w:r>
            <w:r>
              <w:rPr>
                <w:sz w:val="20"/>
              </w:rPr>
              <w:t>G44.3,</w:t>
            </w:r>
            <w:r>
              <w:rPr>
                <w:spacing w:val="-4"/>
                <w:sz w:val="20"/>
              </w:rPr>
              <w:t> </w:t>
            </w:r>
            <w:r>
              <w:rPr>
                <w:sz w:val="20"/>
              </w:rPr>
              <w:t>G44.4,</w:t>
            </w:r>
            <w:r>
              <w:rPr>
                <w:spacing w:val="-6"/>
                <w:sz w:val="20"/>
              </w:rPr>
              <w:t> </w:t>
            </w:r>
            <w:r>
              <w:rPr>
                <w:sz w:val="20"/>
              </w:rPr>
              <w:t>G44.8,</w:t>
            </w:r>
            <w:r>
              <w:rPr>
                <w:spacing w:val="-4"/>
                <w:sz w:val="20"/>
              </w:rPr>
              <w:t> </w:t>
            </w:r>
            <w:r>
              <w:rPr>
                <w:sz w:val="20"/>
              </w:rPr>
              <w:t>G51.3,</w:t>
            </w:r>
            <w:r>
              <w:rPr>
                <w:spacing w:val="-6"/>
                <w:sz w:val="20"/>
              </w:rPr>
              <w:t> </w:t>
            </w:r>
            <w:r>
              <w:rPr>
                <w:spacing w:val="-4"/>
                <w:sz w:val="20"/>
              </w:rPr>
              <w:t>G80,</w:t>
            </w:r>
          </w:p>
          <w:p>
            <w:pPr>
              <w:pStyle w:val="TableParagraph"/>
              <w:ind w:left="269" w:right="607"/>
              <w:jc w:val="center"/>
              <w:rPr>
                <w:sz w:val="20"/>
              </w:rPr>
            </w:pPr>
            <w:r>
              <w:rPr>
                <w:sz w:val="20"/>
              </w:rPr>
              <w:t>G80.0,</w:t>
            </w:r>
            <w:r>
              <w:rPr>
                <w:spacing w:val="-4"/>
                <w:sz w:val="20"/>
              </w:rPr>
              <w:t> </w:t>
            </w:r>
            <w:r>
              <w:rPr>
                <w:sz w:val="20"/>
              </w:rPr>
              <w:t>G80.1,</w:t>
            </w:r>
            <w:r>
              <w:rPr>
                <w:spacing w:val="-6"/>
                <w:sz w:val="20"/>
              </w:rPr>
              <w:t> </w:t>
            </w:r>
            <w:r>
              <w:rPr>
                <w:sz w:val="20"/>
              </w:rPr>
              <w:t>G80.2,</w:t>
            </w:r>
            <w:r>
              <w:rPr>
                <w:spacing w:val="-4"/>
                <w:sz w:val="20"/>
              </w:rPr>
              <w:t> </w:t>
            </w:r>
            <w:r>
              <w:rPr>
                <w:sz w:val="20"/>
              </w:rPr>
              <w:t>G80.3,</w:t>
            </w:r>
            <w:r>
              <w:rPr>
                <w:spacing w:val="-6"/>
                <w:sz w:val="20"/>
              </w:rPr>
              <w:t> </w:t>
            </w:r>
            <w:r>
              <w:rPr>
                <w:sz w:val="20"/>
              </w:rPr>
              <w:t>G80.4,</w:t>
            </w:r>
            <w:r>
              <w:rPr>
                <w:spacing w:val="-4"/>
                <w:sz w:val="20"/>
              </w:rPr>
              <w:t> </w:t>
            </w:r>
            <w:r>
              <w:rPr>
                <w:spacing w:val="-2"/>
                <w:sz w:val="20"/>
              </w:rPr>
              <w:t>G80.8,</w:t>
            </w:r>
          </w:p>
          <w:p>
            <w:pPr>
              <w:pStyle w:val="TableParagraph"/>
              <w:ind w:left="271" w:right="607"/>
              <w:jc w:val="center"/>
              <w:rPr>
                <w:sz w:val="20"/>
              </w:rPr>
            </w:pPr>
            <w:r>
              <w:rPr>
                <w:sz w:val="20"/>
              </w:rPr>
              <w:t>G80.9,</w:t>
            </w:r>
            <w:r>
              <w:rPr>
                <w:spacing w:val="-4"/>
                <w:sz w:val="20"/>
              </w:rPr>
              <w:t> </w:t>
            </w:r>
            <w:r>
              <w:rPr>
                <w:sz w:val="20"/>
              </w:rPr>
              <w:t>G81.1,</w:t>
            </w:r>
            <w:r>
              <w:rPr>
                <w:spacing w:val="-5"/>
                <w:sz w:val="20"/>
              </w:rPr>
              <w:t> </w:t>
            </w:r>
            <w:r>
              <w:rPr>
                <w:sz w:val="20"/>
              </w:rPr>
              <w:t>G81.9,</w:t>
            </w:r>
            <w:r>
              <w:rPr>
                <w:spacing w:val="-3"/>
                <w:sz w:val="20"/>
              </w:rPr>
              <w:t> </w:t>
            </w:r>
            <w:r>
              <w:rPr>
                <w:sz w:val="20"/>
              </w:rPr>
              <w:t>G82.1,</w:t>
            </w:r>
            <w:r>
              <w:rPr>
                <w:spacing w:val="-5"/>
                <w:sz w:val="20"/>
              </w:rPr>
              <w:t> </w:t>
            </w:r>
            <w:r>
              <w:rPr>
                <w:sz w:val="20"/>
              </w:rPr>
              <w:t>G82.4,</w:t>
            </w:r>
            <w:r>
              <w:rPr>
                <w:spacing w:val="-3"/>
                <w:sz w:val="20"/>
              </w:rPr>
              <w:t> </w:t>
            </w:r>
            <w:r>
              <w:rPr>
                <w:sz w:val="20"/>
              </w:rPr>
              <w:t>G82.5,</w:t>
            </w:r>
            <w:r>
              <w:rPr>
                <w:spacing w:val="-5"/>
                <w:sz w:val="20"/>
              </w:rPr>
              <w:t> </w:t>
            </w:r>
            <w:r>
              <w:rPr>
                <w:spacing w:val="-2"/>
                <w:sz w:val="20"/>
              </w:rPr>
              <w:t>I69.0,</w:t>
            </w:r>
          </w:p>
          <w:p>
            <w:pPr>
              <w:pStyle w:val="TableParagraph"/>
              <w:spacing w:before="1"/>
              <w:ind w:left="267" w:right="607"/>
              <w:jc w:val="center"/>
              <w:rPr>
                <w:sz w:val="20"/>
              </w:rPr>
            </w:pPr>
            <w:r>
              <w:rPr>
                <w:sz w:val="20"/>
              </w:rPr>
              <w:t>I69.1,</w:t>
            </w:r>
            <w:r>
              <w:rPr>
                <w:spacing w:val="-7"/>
                <w:sz w:val="20"/>
              </w:rPr>
              <w:t> </w:t>
            </w:r>
            <w:r>
              <w:rPr>
                <w:sz w:val="20"/>
              </w:rPr>
              <w:t>I69.2,</w:t>
            </w:r>
            <w:r>
              <w:rPr>
                <w:spacing w:val="-9"/>
                <w:sz w:val="20"/>
              </w:rPr>
              <w:t> </w:t>
            </w:r>
            <w:r>
              <w:rPr>
                <w:sz w:val="20"/>
              </w:rPr>
              <w:t>I69.3,</w:t>
            </w:r>
            <w:r>
              <w:rPr>
                <w:spacing w:val="-7"/>
                <w:sz w:val="20"/>
              </w:rPr>
              <w:t> </w:t>
            </w:r>
            <w:r>
              <w:rPr>
                <w:sz w:val="20"/>
              </w:rPr>
              <w:t>I69.4,</w:t>
            </w:r>
            <w:r>
              <w:rPr>
                <w:spacing w:val="-7"/>
                <w:sz w:val="20"/>
              </w:rPr>
              <w:t> </w:t>
            </w:r>
            <w:r>
              <w:rPr>
                <w:sz w:val="20"/>
              </w:rPr>
              <w:t>I69.8,</w:t>
            </w:r>
            <w:r>
              <w:rPr>
                <w:spacing w:val="-9"/>
                <w:sz w:val="20"/>
              </w:rPr>
              <w:t> </w:t>
            </w:r>
            <w:r>
              <w:rPr>
                <w:sz w:val="20"/>
              </w:rPr>
              <w:t>T90.1,</w:t>
            </w:r>
            <w:r>
              <w:rPr>
                <w:spacing w:val="-9"/>
                <w:sz w:val="20"/>
              </w:rPr>
              <w:t> </w:t>
            </w:r>
            <w:r>
              <w:rPr>
                <w:sz w:val="20"/>
              </w:rPr>
              <w:t>T90.5, T90.8, T90.9</w:t>
            </w:r>
          </w:p>
        </w:tc>
        <w:tc>
          <w:tcPr>
            <w:tcW w:w="2572" w:type="dxa"/>
          </w:tcPr>
          <w:p>
            <w:pPr>
              <w:pStyle w:val="TableParagraph"/>
              <w:spacing w:line="221" w:lineRule="exact"/>
              <w:ind w:left="601" w:right="664"/>
              <w:jc w:val="center"/>
              <w:rPr>
                <w:sz w:val="20"/>
              </w:rPr>
            </w:pPr>
            <w:r>
              <w:rPr>
                <w:spacing w:val="-2"/>
                <w:sz w:val="20"/>
              </w:rPr>
              <w:t>A25.24.001.002</w:t>
            </w:r>
          </w:p>
        </w:tc>
        <w:tc>
          <w:tcPr>
            <w:tcW w:w="2866" w:type="dxa"/>
          </w:tcPr>
          <w:p>
            <w:pPr>
              <w:pStyle w:val="TableParagraph"/>
              <w:ind w:left="670" w:right="434" w:hanging="2"/>
              <w:jc w:val="center"/>
              <w:rPr>
                <w:sz w:val="20"/>
              </w:rPr>
            </w:pPr>
            <w:r>
              <w:rPr>
                <w:spacing w:val="-4"/>
                <w:sz w:val="20"/>
              </w:rPr>
              <w:t>Иной </w:t>
            </w:r>
            <w:r>
              <w:rPr>
                <w:spacing w:val="-2"/>
                <w:sz w:val="20"/>
              </w:rPr>
              <w:t>классификационный </w:t>
            </w:r>
            <w:r>
              <w:rPr>
                <w:sz w:val="20"/>
              </w:rPr>
              <w:t>критерий: bt2</w:t>
            </w:r>
          </w:p>
        </w:tc>
        <w:tc>
          <w:tcPr>
            <w:tcW w:w="837" w:type="dxa"/>
          </w:tcPr>
          <w:p>
            <w:pPr>
              <w:pStyle w:val="TableParagraph"/>
              <w:spacing w:line="221" w:lineRule="exact"/>
              <w:ind w:right="48"/>
              <w:jc w:val="right"/>
              <w:rPr>
                <w:sz w:val="20"/>
              </w:rPr>
            </w:pPr>
            <w:r>
              <w:rPr>
                <w:spacing w:val="-4"/>
                <w:sz w:val="20"/>
              </w:rPr>
              <w:t>1,43</w:t>
            </w:r>
          </w:p>
        </w:tc>
      </w:tr>
      <w:tr>
        <w:trPr>
          <w:trHeight w:val="1249" w:hRule="atLeast"/>
        </w:trPr>
        <w:tc>
          <w:tcPr>
            <w:tcW w:w="971" w:type="dxa"/>
          </w:tcPr>
          <w:p>
            <w:pPr>
              <w:pStyle w:val="TableParagraph"/>
              <w:spacing w:before="45"/>
              <w:ind w:left="50"/>
              <w:rPr>
                <w:sz w:val="20"/>
              </w:rPr>
            </w:pPr>
            <w:r>
              <w:rPr>
                <w:spacing w:val="-2"/>
                <w:sz w:val="20"/>
              </w:rPr>
              <w:t>st15.009</w:t>
            </w:r>
          </w:p>
        </w:tc>
        <w:tc>
          <w:tcPr>
            <w:tcW w:w="657" w:type="dxa"/>
          </w:tcPr>
          <w:p>
            <w:pPr>
              <w:pStyle w:val="TableParagraph"/>
              <w:spacing w:before="45"/>
              <w:ind w:right="217"/>
              <w:jc w:val="right"/>
              <w:rPr>
                <w:sz w:val="20"/>
              </w:rPr>
            </w:pPr>
            <w:r>
              <w:rPr>
                <w:spacing w:val="-5"/>
                <w:sz w:val="20"/>
              </w:rPr>
              <w:t>96</w:t>
            </w:r>
          </w:p>
        </w:tc>
        <w:tc>
          <w:tcPr>
            <w:tcW w:w="2455" w:type="dxa"/>
          </w:tcPr>
          <w:p>
            <w:pPr>
              <w:pStyle w:val="TableParagraph"/>
              <w:spacing w:before="45"/>
              <w:ind w:left="217" w:right="270"/>
              <w:rPr>
                <w:sz w:val="20"/>
              </w:rPr>
            </w:pPr>
            <w:r>
              <w:rPr>
                <w:spacing w:val="-2"/>
                <w:sz w:val="20"/>
              </w:rPr>
              <w:t>Неврологические </w:t>
            </w:r>
            <w:r>
              <w:rPr>
                <w:sz w:val="20"/>
              </w:rPr>
              <w:t>заболевания,</w:t>
            </w:r>
            <w:r>
              <w:rPr>
                <w:spacing w:val="-13"/>
                <w:sz w:val="20"/>
              </w:rPr>
              <w:t> </w:t>
            </w:r>
            <w:r>
              <w:rPr>
                <w:sz w:val="20"/>
              </w:rPr>
              <w:t>лечение</w:t>
            </w:r>
            <w:r>
              <w:rPr>
                <w:spacing w:val="-12"/>
                <w:sz w:val="20"/>
              </w:rPr>
              <w:t> </w:t>
            </w:r>
            <w:r>
              <w:rPr>
                <w:sz w:val="20"/>
              </w:rPr>
              <w:t>с </w:t>
            </w:r>
            <w:r>
              <w:rPr>
                <w:spacing w:val="-2"/>
                <w:sz w:val="20"/>
              </w:rPr>
              <w:t>применением ботулотоксина </w:t>
            </w:r>
            <w:r>
              <w:rPr>
                <w:sz w:val="20"/>
              </w:rPr>
              <w:t>(уровень 2)</w:t>
            </w:r>
          </w:p>
        </w:tc>
        <w:tc>
          <w:tcPr>
            <w:tcW w:w="4916" w:type="dxa"/>
          </w:tcPr>
          <w:p>
            <w:pPr>
              <w:pStyle w:val="TableParagraph"/>
              <w:spacing w:before="45"/>
              <w:ind w:left="271" w:right="604"/>
              <w:jc w:val="center"/>
              <w:rPr>
                <w:sz w:val="20"/>
              </w:rPr>
            </w:pPr>
            <w:r>
              <w:rPr>
                <w:sz w:val="20"/>
              </w:rPr>
              <w:t>G20,</w:t>
            </w:r>
            <w:r>
              <w:rPr>
                <w:spacing w:val="-5"/>
                <w:sz w:val="20"/>
              </w:rPr>
              <w:t> </w:t>
            </w:r>
            <w:r>
              <w:rPr>
                <w:sz w:val="20"/>
              </w:rPr>
              <w:t>G23.0,</w:t>
            </w:r>
            <w:r>
              <w:rPr>
                <w:spacing w:val="-5"/>
                <w:sz w:val="20"/>
              </w:rPr>
              <w:t> </w:t>
            </w:r>
            <w:r>
              <w:rPr>
                <w:sz w:val="20"/>
              </w:rPr>
              <w:t>G24,</w:t>
            </w:r>
            <w:r>
              <w:rPr>
                <w:spacing w:val="-4"/>
                <w:sz w:val="20"/>
              </w:rPr>
              <w:t> </w:t>
            </w:r>
            <w:r>
              <w:rPr>
                <w:sz w:val="20"/>
              </w:rPr>
              <w:t>G24.0,</w:t>
            </w:r>
            <w:r>
              <w:rPr>
                <w:spacing w:val="-5"/>
                <w:sz w:val="20"/>
              </w:rPr>
              <w:t> </w:t>
            </w:r>
            <w:r>
              <w:rPr>
                <w:sz w:val="20"/>
              </w:rPr>
              <w:t>G24.1,</w:t>
            </w:r>
            <w:r>
              <w:rPr>
                <w:spacing w:val="-4"/>
                <w:sz w:val="20"/>
              </w:rPr>
              <w:t> </w:t>
            </w:r>
            <w:r>
              <w:rPr>
                <w:sz w:val="20"/>
              </w:rPr>
              <w:t>G24.2,</w:t>
            </w:r>
            <w:r>
              <w:rPr>
                <w:spacing w:val="1"/>
                <w:sz w:val="20"/>
              </w:rPr>
              <w:t> </w:t>
            </w:r>
            <w:r>
              <w:rPr>
                <w:spacing w:val="-2"/>
                <w:sz w:val="20"/>
              </w:rPr>
              <w:t>G24.8,</w:t>
            </w:r>
          </w:p>
          <w:p>
            <w:pPr>
              <w:pStyle w:val="TableParagraph"/>
              <w:ind w:left="269" w:right="607"/>
              <w:jc w:val="center"/>
              <w:rPr>
                <w:sz w:val="20"/>
              </w:rPr>
            </w:pPr>
            <w:r>
              <w:rPr>
                <w:sz w:val="20"/>
              </w:rPr>
              <w:t>G24.9,</w:t>
            </w:r>
            <w:r>
              <w:rPr>
                <w:spacing w:val="-5"/>
                <w:sz w:val="20"/>
              </w:rPr>
              <w:t> </w:t>
            </w:r>
            <w:r>
              <w:rPr>
                <w:sz w:val="20"/>
              </w:rPr>
              <w:t>G35,</w:t>
            </w:r>
            <w:r>
              <w:rPr>
                <w:spacing w:val="-5"/>
                <w:sz w:val="20"/>
              </w:rPr>
              <w:t> </w:t>
            </w:r>
            <w:r>
              <w:rPr>
                <w:sz w:val="20"/>
              </w:rPr>
              <w:t>G51.3,</w:t>
            </w:r>
            <w:r>
              <w:rPr>
                <w:spacing w:val="-4"/>
                <w:sz w:val="20"/>
              </w:rPr>
              <w:t> </w:t>
            </w:r>
            <w:r>
              <w:rPr>
                <w:sz w:val="20"/>
              </w:rPr>
              <w:t>G80,</w:t>
            </w:r>
            <w:r>
              <w:rPr>
                <w:spacing w:val="-5"/>
                <w:sz w:val="20"/>
              </w:rPr>
              <w:t> </w:t>
            </w:r>
            <w:r>
              <w:rPr>
                <w:sz w:val="20"/>
              </w:rPr>
              <w:t>G80.0,</w:t>
            </w:r>
            <w:r>
              <w:rPr>
                <w:spacing w:val="-5"/>
                <w:sz w:val="20"/>
              </w:rPr>
              <w:t> </w:t>
            </w:r>
            <w:r>
              <w:rPr>
                <w:sz w:val="20"/>
              </w:rPr>
              <w:t>G80.1,</w:t>
            </w:r>
            <w:r>
              <w:rPr>
                <w:spacing w:val="-4"/>
                <w:sz w:val="20"/>
              </w:rPr>
              <w:t> </w:t>
            </w:r>
            <w:r>
              <w:rPr>
                <w:spacing w:val="-2"/>
                <w:sz w:val="20"/>
              </w:rPr>
              <w:t>G80.2,</w:t>
            </w:r>
          </w:p>
          <w:p>
            <w:pPr>
              <w:pStyle w:val="TableParagraph"/>
              <w:ind w:left="269" w:right="607"/>
              <w:jc w:val="center"/>
              <w:rPr>
                <w:sz w:val="20"/>
              </w:rPr>
            </w:pPr>
            <w:r>
              <w:rPr>
                <w:sz w:val="20"/>
              </w:rPr>
              <w:t>G80.3,</w:t>
            </w:r>
            <w:r>
              <w:rPr>
                <w:spacing w:val="-4"/>
                <w:sz w:val="20"/>
              </w:rPr>
              <w:t> </w:t>
            </w:r>
            <w:r>
              <w:rPr>
                <w:sz w:val="20"/>
              </w:rPr>
              <w:t>G80.4,</w:t>
            </w:r>
            <w:r>
              <w:rPr>
                <w:spacing w:val="-6"/>
                <w:sz w:val="20"/>
              </w:rPr>
              <w:t> </w:t>
            </w:r>
            <w:r>
              <w:rPr>
                <w:sz w:val="20"/>
              </w:rPr>
              <w:t>G80.8,</w:t>
            </w:r>
            <w:r>
              <w:rPr>
                <w:spacing w:val="-4"/>
                <w:sz w:val="20"/>
              </w:rPr>
              <w:t> </w:t>
            </w:r>
            <w:r>
              <w:rPr>
                <w:sz w:val="20"/>
              </w:rPr>
              <w:t>G80.9,</w:t>
            </w:r>
            <w:r>
              <w:rPr>
                <w:spacing w:val="-6"/>
                <w:sz w:val="20"/>
              </w:rPr>
              <w:t> </w:t>
            </w:r>
            <w:r>
              <w:rPr>
                <w:sz w:val="20"/>
              </w:rPr>
              <w:t>G81.1,</w:t>
            </w:r>
            <w:r>
              <w:rPr>
                <w:spacing w:val="-4"/>
                <w:sz w:val="20"/>
              </w:rPr>
              <w:t> </w:t>
            </w:r>
            <w:r>
              <w:rPr>
                <w:spacing w:val="-2"/>
                <w:sz w:val="20"/>
              </w:rPr>
              <w:t>G81.9,</w:t>
            </w:r>
          </w:p>
          <w:p>
            <w:pPr>
              <w:pStyle w:val="TableParagraph"/>
              <w:spacing w:line="229" w:lineRule="exact" w:before="1"/>
              <w:ind w:left="265" w:right="607"/>
              <w:jc w:val="center"/>
              <w:rPr>
                <w:sz w:val="20"/>
              </w:rPr>
            </w:pPr>
            <w:r>
              <w:rPr>
                <w:sz w:val="20"/>
              </w:rPr>
              <w:t>G82.1,</w:t>
            </w:r>
            <w:r>
              <w:rPr>
                <w:spacing w:val="-5"/>
                <w:sz w:val="20"/>
              </w:rPr>
              <w:t> </w:t>
            </w:r>
            <w:r>
              <w:rPr>
                <w:sz w:val="20"/>
              </w:rPr>
              <w:t>G82.4,</w:t>
            </w:r>
            <w:r>
              <w:rPr>
                <w:spacing w:val="-6"/>
                <w:sz w:val="20"/>
              </w:rPr>
              <w:t> </w:t>
            </w:r>
            <w:r>
              <w:rPr>
                <w:sz w:val="20"/>
              </w:rPr>
              <w:t>G82.5,</w:t>
            </w:r>
            <w:r>
              <w:rPr>
                <w:spacing w:val="-4"/>
                <w:sz w:val="20"/>
              </w:rPr>
              <w:t> </w:t>
            </w:r>
            <w:r>
              <w:rPr>
                <w:sz w:val="20"/>
              </w:rPr>
              <w:t>I69.0,</w:t>
            </w:r>
            <w:r>
              <w:rPr>
                <w:spacing w:val="-6"/>
                <w:sz w:val="20"/>
              </w:rPr>
              <w:t> </w:t>
            </w:r>
            <w:r>
              <w:rPr>
                <w:sz w:val="20"/>
              </w:rPr>
              <w:t>I69.1,</w:t>
            </w:r>
            <w:r>
              <w:rPr>
                <w:spacing w:val="-6"/>
                <w:sz w:val="20"/>
              </w:rPr>
              <w:t> </w:t>
            </w:r>
            <w:r>
              <w:rPr>
                <w:sz w:val="20"/>
              </w:rPr>
              <w:t>I69.2,</w:t>
            </w:r>
            <w:r>
              <w:rPr>
                <w:spacing w:val="-4"/>
                <w:sz w:val="20"/>
              </w:rPr>
              <w:t> </w:t>
            </w:r>
            <w:r>
              <w:rPr>
                <w:spacing w:val="-2"/>
                <w:sz w:val="20"/>
              </w:rPr>
              <w:t>I69.3,</w:t>
            </w:r>
          </w:p>
          <w:p>
            <w:pPr>
              <w:pStyle w:val="TableParagraph"/>
              <w:spacing w:line="229" w:lineRule="exact"/>
              <w:ind w:left="270" w:right="607"/>
              <w:jc w:val="center"/>
              <w:rPr>
                <w:sz w:val="20"/>
              </w:rPr>
            </w:pPr>
            <w:r>
              <w:rPr>
                <w:sz w:val="20"/>
              </w:rPr>
              <w:t>I69.4,</w:t>
            </w:r>
            <w:r>
              <w:rPr>
                <w:spacing w:val="-4"/>
                <w:sz w:val="20"/>
              </w:rPr>
              <w:t> </w:t>
            </w:r>
            <w:r>
              <w:rPr>
                <w:sz w:val="20"/>
              </w:rPr>
              <w:t>I69.8,</w:t>
            </w:r>
            <w:r>
              <w:rPr>
                <w:spacing w:val="-6"/>
                <w:sz w:val="20"/>
              </w:rPr>
              <w:t> </w:t>
            </w:r>
            <w:r>
              <w:rPr>
                <w:sz w:val="20"/>
              </w:rPr>
              <w:t>T90.1,</w:t>
            </w:r>
            <w:r>
              <w:rPr>
                <w:spacing w:val="-5"/>
                <w:sz w:val="20"/>
              </w:rPr>
              <w:t> </w:t>
            </w:r>
            <w:r>
              <w:rPr>
                <w:sz w:val="20"/>
              </w:rPr>
              <w:t>T90.5,</w:t>
            </w:r>
            <w:r>
              <w:rPr>
                <w:spacing w:val="-8"/>
                <w:sz w:val="20"/>
              </w:rPr>
              <w:t> </w:t>
            </w:r>
            <w:r>
              <w:rPr>
                <w:sz w:val="20"/>
              </w:rPr>
              <w:t>T90.8,</w:t>
            </w:r>
            <w:r>
              <w:rPr>
                <w:spacing w:val="-5"/>
                <w:sz w:val="20"/>
              </w:rPr>
              <w:t> </w:t>
            </w:r>
            <w:r>
              <w:rPr>
                <w:spacing w:val="-4"/>
                <w:sz w:val="20"/>
              </w:rPr>
              <w:t>T90.9</w:t>
            </w:r>
          </w:p>
        </w:tc>
        <w:tc>
          <w:tcPr>
            <w:tcW w:w="2572" w:type="dxa"/>
          </w:tcPr>
          <w:p>
            <w:pPr>
              <w:pStyle w:val="TableParagraph"/>
              <w:spacing w:before="45"/>
              <w:ind w:left="601" w:right="664"/>
              <w:jc w:val="center"/>
              <w:rPr>
                <w:sz w:val="20"/>
              </w:rPr>
            </w:pPr>
            <w:r>
              <w:rPr>
                <w:spacing w:val="-2"/>
                <w:sz w:val="20"/>
              </w:rPr>
              <w:t>A25.24.001.002</w:t>
            </w:r>
          </w:p>
        </w:tc>
        <w:tc>
          <w:tcPr>
            <w:tcW w:w="2866" w:type="dxa"/>
          </w:tcPr>
          <w:p>
            <w:pPr>
              <w:pStyle w:val="TableParagraph"/>
              <w:spacing w:before="45"/>
              <w:ind w:left="670" w:right="434" w:hanging="2"/>
              <w:jc w:val="center"/>
              <w:rPr>
                <w:sz w:val="20"/>
              </w:rPr>
            </w:pPr>
            <w:r>
              <w:rPr>
                <w:spacing w:val="-4"/>
                <w:sz w:val="20"/>
              </w:rPr>
              <w:t>Иной </w:t>
            </w:r>
            <w:r>
              <w:rPr>
                <w:spacing w:val="-2"/>
                <w:sz w:val="20"/>
              </w:rPr>
              <w:t>классификационный </w:t>
            </w:r>
            <w:r>
              <w:rPr>
                <w:sz w:val="20"/>
              </w:rPr>
              <w:t>критерий: bt1</w:t>
            </w:r>
          </w:p>
        </w:tc>
        <w:tc>
          <w:tcPr>
            <w:tcW w:w="837" w:type="dxa"/>
          </w:tcPr>
          <w:p>
            <w:pPr>
              <w:pStyle w:val="TableParagraph"/>
              <w:spacing w:before="45"/>
              <w:ind w:right="48"/>
              <w:jc w:val="right"/>
              <w:rPr>
                <w:sz w:val="20"/>
              </w:rPr>
            </w:pPr>
            <w:r>
              <w:rPr>
                <w:spacing w:val="-4"/>
                <w:sz w:val="20"/>
              </w:rPr>
              <w:t>2,11</w:t>
            </w:r>
          </w:p>
        </w:tc>
      </w:tr>
      <w:tr>
        <w:trPr>
          <w:trHeight w:val="1331" w:hRule="atLeast"/>
        </w:trPr>
        <w:tc>
          <w:tcPr>
            <w:tcW w:w="971" w:type="dxa"/>
          </w:tcPr>
          <w:p>
            <w:pPr>
              <w:pStyle w:val="TableParagraph"/>
              <w:rPr>
                <w:sz w:val="18"/>
              </w:rPr>
            </w:pPr>
          </w:p>
        </w:tc>
        <w:tc>
          <w:tcPr>
            <w:tcW w:w="657" w:type="dxa"/>
          </w:tcPr>
          <w:p>
            <w:pPr>
              <w:pStyle w:val="TableParagraph"/>
              <w:rPr>
                <w:sz w:val="18"/>
              </w:rPr>
            </w:pPr>
          </w:p>
        </w:tc>
        <w:tc>
          <w:tcPr>
            <w:tcW w:w="2455" w:type="dxa"/>
          </w:tcPr>
          <w:p>
            <w:pPr>
              <w:pStyle w:val="TableParagraph"/>
              <w:rPr>
                <w:sz w:val="18"/>
              </w:rPr>
            </w:pPr>
          </w:p>
        </w:tc>
        <w:tc>
          <w:tcPr>
            <w:tcW w:w="4916" w:type="dxa"/>
          </w:tcPr>
          <w:p>
            <w:pPr>
              <w:pStyle w:val="TableParagraph"/>
              <w:spacing w:before="46"/>
              <w:ind w:left="268" w:right="607"/>
              <w:jc w:val="center"/>
              <w:rPr>
                <w:sz w:val="20"/>
              </w:rPr>
            </w:pPr>
            <w:r>
              <w:rPr>
                <w:sz w:val="20"/>
              </w:rPr>
              <w:t>G12,</w:t>
            </w:r>
            <w:r>
              <w:rPr>
                <w:spacing w:val="-6"/>
                <w:sz w:val="20"/>
              </w:rPr>
              <w:t> </w:t>
            </w:r>
            <w:r>
              <w:rPr>
                <w:sz w:val="20"/>
              </w:rPr>
              <w:t>G20,</w:t>
            </w:r>
            <w:r>
              <w:rPr>
                <w:spacing w:val="-7"/>
                <w:sz w:val="20"/>
              </w:rPr>
              <w:t> </w:t>
            </w:r>
            <w:r>
              <w:rPr>
                <w:sz w:val="20"/>
              </w:rPr>
              <w:t>G23.0,</w:t>
            </w:r>
            <w:r>
              <w:rPr>
                <w:spacing w:val="-6"/>
                <w:sz w:val="20"/>
              </w:rPr>
              <w:t> </w:t>
            </w:r>
            <w:r>
              <w:rPr>
                <w:sz w:val="20"/>
              </w:rPr>
              <w:t>G30,</w:t>
            </w:r>
            <w:r>
              <w:rPr>
                <w:spacing w:val="-6"/>
                <w:sz w:val="20"/>
              </w:rPr>
              <w:t> </w:t>
            </w:r>
            <w:r>
              <w:rPr>
                <w:sz w:val="20"/>
              </w:rPr>
              <w:t>G35,</w:t>
            </w:r>
            <w:r>
              <w:rPr>
                <w:spacing w:val="-9"/>
                <w:sz w:val="20"/>
              </w:rPr>
              <w:t> </w:t>
            </w:r>
            <w:r>
              <w:rPr>
                <w:sz w:val="20"/>
              </w:rPr>
              <w:t>G40,</w:t>
            </w:r>
            <w:r>
              <w:rPr>
                <w:spacing w:val="-6"/>
                <w:sz w:val="20"/>
              </w:rPr>
              <w:t> </w:t>
            </w:r>
            <w:r>
              <w:rPr>
                <w:sz w:val="20"/>
              </w:rPr>
              <w:t>G71.0,</w:t>
            </w:r>
            <w:r>
              <w:rPr>
                <w:spacing w:val="-6"/>
                <w:sz w:val="20"/>
              </w:rPr>
              <w:t> </w:t>
            </w:r>
            <w:r>
              <w:rPr>
                <w:sz w:val="20"/>
              </w:rPr>
              <w:t>G80, G80.0, G80.1, G80.2, G80.3, G80.4, G80.8,</w:t>
            </w:r>
          </w:p>
          <w:p>
            <w:pPr>
              <w:pStyle w:val="TableParagraph"/>
              <w:spacing w:line="229" w:lineRule="exact" w:before="1"/>
              <w:ind w:left="268" w:right="607"/>
              <w:jc w:val="center"/>
              <w:rPr>
                <w:sz w:val="20"/>
              </w:rPr>
            </w:pPr>
            <w:r>
              <w:rPr>
                <w:sz w:val="20"/>
              </w:rPr>
              <w:t>G80.9,</w:t>
            </w:r>
            <w:r>
              <w:rPr>
                <w:spacing w:val="-5"/>
                <w:sz w:val="20"/>
              </w:rPr>
              <w:t> </w:t>
            </w:r>
            <w:r>
              <w:rPr>
                <w:sz w:val="20"/>
              </w:rPr>
              <w:t>G81.1,</w:t>
            </w:r>
            <w:r>
              <w:rPr>
                <w:spacing w:val="-7"/>
                <w:sz w:val="20"/>
              </w:rPr>
              <w:t> </w:t>
            </w:r>
            <w:r>
              <w:rPr>
                <w:sz w:val="20"/>
              </w:rPr>
              <w:t>G81.9,G82.1,</w:t>
            </w:r>
            <w:r>
              <w:rPr>
                <w:spacing w:val="-6"/>
                <w:sz w:val="20"/>
              </w:rPr>
              <w:t> </w:t>
            </w:r>
            <w:r>
              <w:rPr>
                <w:sz w:val="20"/>
              </w:rPr>
              <w:t>G82.4,</w:t>
            </w:r>
            <w:r>
              <w:rPr>
                <w:spacing w:val="-5"/>
                <w:sz w:val="20"/>
              </w:rPr>
              <w:t> </w:t>
            </w:r>
            <w:r>
              <w:rPr>
                <w:sz w:val="20"/>
              </w:rPr>
              <w:t>G82.5,</w:t>
            </w:r>
            <w:r>
              <w:rPr>
                <w:spacing w:val="-6"/>
                <w:sz w:val="20"/>
              </w:rPr>
              <w:t> </w:t>
            </w:r>
            <w:r>
              <w:rPr>
                <w:spacing w:val="-2"/>
                <w:sz w:val="20"/>
              </w:rPr>
              <w:t>I69.0,</w:t>
            </w:r>
          </w:p>
          <w:p>
            <w:pPr>
              <w:pStyle w:val="TableParagraph"/>
              <w:ind w:left="267" w:right="607"/>
              <w:jc w:val="center"/>
              <w:rPr>
                <w:sz w:val="20"/>
              </w:rPr>
            </w:pPr>
            <w:r>
              <w:rPr>
                <w:sz w:val="20"/>
              </w:rPr>
              <w:t>I69.1,</w:t>
            </w:r>
            <w:r>
              <w:rPr>
                <w:spacing w:val="-7"/>
                <w:sz w:val="20"/>
              </w:rPr>
              <w:t> </w:t>
            </w:r>
            <w:r>
              <w:rPr>
                <w:sz w:val="20"/>
              </w:rPr>
              <w:t>I69.2,</w:t>
            </w:r>
            <w:r>
              <w:rPr>
                <w:spacing w:val="-9"/>
                <w:sz w:val="20"/>
              </w:rPr>
              <w:t> </w:t>
            </w:r>
            <w:r>
              <w:rPr>
                <w:sz w:val="20"/>
              </w:rPr>
              <w:t>I69.3,</w:t>
            </w:r>
            <w:r>
              <w:rPr>
                <w:spacing w:val="-7"/>
                <w:sz w:val="20"/>
              </w:rPr>
              <w:t> </w:t>
            </w:r>
            <w:r>
              <w:rPr>
                <w:sz w:val="20"/>
              </w:rPr>
              <w:t>I69.4,</w:t>
            </w:r>
            <w:r>
              <w:rPr>
                <w:spacing w:val="-7"/>
                <w:sz w:val="20"/>
              </w:rPr>
              <w:t> </w:t>
            </w:r>
            <w:r>
              <w:rPr>
                <w:sz w:val="20"/>
              </w:rPr>
              <w:t>I69.8,</w:t>
            </w:r>
            <w:r>
              <w:rPr>
                <w:spacing w:val="-9"/>
                <w:sz w:val="20"/>
              </w:rPr>
              <w:t> </w:t>
            </w:r>
            <w:r>
              <w:rPr>
                <w:sz w:val="20"/>
              </w:rPr>
              <w:t>T90.1,</w:t>
            </w:r>
            <w:r>
              <w:rPr>
                <w:spacing w:val="-9"/>
                <w:sz w:val="20"/>
              </w:rPr>
              <w:t> </w:t>
            </w:r>
            <w:r>
              <w:rPr>
                <w:sz w:val="20"/>
              </w:rPr>
              <w:t>T90.5, T90.8, T90.9</w:t>
            </w:r>
          </w:p>
        </w:tc>
        <w:tc>
          <w:tcPr>
            <w:tcW w:w="2572" w:type="dxa"/>
          </w:tcPr>
          <w:p>
            <w:pPr>
              <w:pStyle w:val="TableParagraph"/>
              <w:spacing w:before="46"/>
              <w:ind w:right="61"/>
              <w:jc w:val="center"/>
              <w:rPr>
                <w:sz w:val="20"/>
              </w:rPr>
            </w:pPr>
            <w:r>
              <w:rPr>
                <w:w w:val="99"/>
                <w:sz w:val="20"/>
              </w:rPr>
              <w:t>-</w:t>
            </w:r>
          </w:p>
        </w:tc>
        <w:tc>
          <w:tcPr>
            <w:tcW w:w="2866" w:type="dxa"/>
          </w:tcPr>
          <w:p>
            <w:pPr>
              <w:pStyle w:val="TableParagraph"/>
              <w:spacing w:before="46"/>
              <w:ind w:left="670" w:right="434" w:hanging="2"/>
              <w:jc w:val="center"/>
              <w:rPr>
                <w:sz w:val="20"/>
              </w:rPr>
            </w:pPr>
            <w:r>
              <w:rPr>
                <w:spacing w:val="-4"/>
                <w:sz w:val="20"/>
              </w:rPr>
              <w:t>Иной </w:t>
            </w:r>
            <w:r>
              <w:rPr>
                <w:spacing w:val="-2"/>
                <w:sz w:val="20"/>
              </w:rPr>
              <w:t>классификационный </w:t>
            </w:r>
            <w:r>
              <w:rPr>
                <w:sz w:val="20"/>
              </w:rPr>
              <w:t>критерий: bt3</w:t>
            </w:r>
          </w:p>
          <w:p>
            <w:pPr>
              <w:pStyle w:val="TableParagraph"/>
              <w:spacing w:before="99"/>
              <w:ind w:left="664" w:right="429"/>
              <w:jc w:val="center"/>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 18</w:t>
            </w:r>
            <w:r>
              <w:rPr>
                <w:spacing w:val="-1"/>
                <w:sz w:val="20"/>
              </w:rPr>
              <w:t> </w:t>
            </w:r>
            <w:r>
              <w:rPr>
                <w:spacing w:val="-5"/>
                <w:sz w:val="20"/>
              </w:rPr>
              <w:t>лет</w:t>
            </w:r>
          </w:p>
        </w:tc>
        <w:tc>
          <w:tcPr>
            <w:tcW w:w="837" w:type="dxa"/>
          </w:tcPr>
          <w:p>
            <w:pPr>
              <w:pStyle w:val="TableParagraph"/>
              <w:rPr>
                <w:sz w:val="18"/>
              </w:rPr>
            </w:pPr>
          </w:p>
        </w:tc>
      </w:tr>
      <w:tr>
        <w:trPr>
          <w:trHeight w:val="260" w:hRule="atLeast"/>
        </w:trPr>
        <w:tc>
          <w:tcPr>
            <w:tcW w:w="971" w:type="dxa"/>
          </w:tcPr>
          <w:p>
            <w:pPr>
              <w:pStyle w:val="TableParagraph"/>
              <w:spacing w:line="215" w:lineRule="exact" w:before="25"/>
              <w:ind w:left="50"/>
              <w:rPr>
                <w:sz w:val="20"/>
              </w:rPr>
            </w:pPr>
            <w:r>
              <w:rPr>
                <w:spacing w:val="-2"/>
                <w:sz w:val="20"/>
              </w:rPr>
              <w:t>st15.010</w:t>
            </w:r>
          </w:p>
        </w:tc>
        <w:tc>
          <w:tcPr>
            <w:tcW w:w="657" w:type="dxa"/>
          </w:tcPr>
          <w:p>
            <w:pPr>
              <w:pStyle w:val="TableParagraph"/>
              <w:spacing w:line="215" w:lineRule="exact" w:before="25"/>
              <w:ind w:right="217"/>
              <w:jc w:val="right"/>
              <w:rPr>
                <w:sz w:val="20"/>
              </w:rPr>
            </w:pPr>
            <w:r>
              <w:rPr>
                <w:spacing w:val="-5"/>
                <w:sz w:val="20"/>
              </w:rPr>
              <w:t>97</w:t>
            </w:r>
          </w:p>
        </w:tc>
        <w:tc>
          <w:tcPr>
            <w:tcW w:w="2455" w:type="dxa"/>
          </w:tcPr>
          <w:p>
            <w:pPr>
              <w:pStyle w:val="TableParagraph"/>
              <w:spacing w:line="215" w:lineRule="exact" w:before="25"/>
              <w:ind w:left="217"/>
              <w:rPr>
                <w:sz w:val="20"/>
              </w:rPr>
            </w:pPr>
            <w:r>
              <w:rPr>
                <w:sz w:val="20"/>
              </w:rPr>
              <w:t>Другие</w:t>
            </w:r>
            <w:r>
              <w:rPr>
                <w:spacing w:val="-10"/>
                <w:sz w:val="20"/>
              </w:rPr>
              <w:t> </w:t>
            </w:r>
            <w:r>
              <w:rPr>
                <w:spacing w:val="-2"/>
                <w:sz w:val="20"/>
              </w:rPr>
              <w:t>нарушения</w:t>
            </w:r>
          </w:p>
        </w:tc>
        <w:tc>
          <w:tcPr>
            <w:tcW w:w="4916" w:type="dxa"/>
          </w:tcPr>
          <w:p>
            <w:pPr>
              <w:pStyle w:val="TableParagraph"/>
              <w:spacing w:line="215" w:lineRule="exact" w:before="25"/>
              <w:ind w:left="504"/>
              <w:rPr>
                <w:sz w:val="20"/>
              </w:rPr>
            </w:pPr>
            <w:r>
              <w:rPr>
                <w:sz w:val="20"/>
              </w:rPr>
              <w:t>B91,</w:t>
            </w:r>
            <w:r>
              <w:rPr>
                <w:spacing w:val="-7"/>
                <w:sz w:val="20"/>
              </w:rPr>
              <w:t> </w:t>
            </w:r>
            <w:r>
              <w:rPr>
                <w:sz w:val="20"/>
              </w:rPr>
              <w:t>B94.1,</w:t>
            </w:r>
            <w:r>
              <w:rPr>
                <w:spacing w:val="-4"/>
                <w:sz w:val="20"/>
              </w:rPr>
              <w:t> </w:t>
            </w:r>
            <w:r>
              <w:rPr>
                <w:sz w:val="20"/>
              </w:rPr>
              <w:t>E75.2,</w:t>
            </w:r>
            <w:r>
              <w:rPr>
                <w:spacing w:val="-4"/>
                <w:sz w:val="20"/>
              </w:rPr>
              <w:t> </w:t>
            </w:r>
            <w:r>
              <w:rPr>
                <w:sz w:val="20"/>
              </w:rPr>
              <w:t>E75.3,</w:t>
            </w:r>
            <w:r>
              <w:rPr>
                <w:spacing w:val="-7"/>
                <w:sz w:val="20"/>
              </w:rPr>
              <w:t> </w:t>
            </w:r>
            <w:r>
              <w:rPr>
                <w:sz w:val="20"/>
              </w:rPr>
              <w:t>E75.4,</w:t>
            </w:r>
            <w:r>
              <w:rPr>
                <w:spacing w:val="-4"/>
                <w:sz w:val="20"/>
              </w:rPr>
              <w:t> </w:t>
            </w:r>
            <w:r>
              <w:rPr>
                <w:sz w:val="20"/>
              </w:rPr>
              <w:t>G09,</w:t>
            </w:r>
            <w:r>
              <w:rPr>
                <w:spacing w:val="-4"/>
                <w:sz w:val="20"/>
              </w:rPr>
              <w:t> G24,</w:t>
            </w:r>
          </w:p>
        </w:tc>
        <w:tc>
          <w:tcPr>
            <w:tcW w:w="2572" w:type="dxa"/>
          </w:tcPr>
          <w:p>
            <w:pPr>
              <w:pStyle w:val="TableParagraph"/>
              <w:spacing w:line="215" w:lineRule="exact" w:before="25"/>
              <w:ind w:right="61"/>
              <w:jc w:val="center"/>
              <w:rPr>
                <w:sz w:val="20"/>
              </w:rPr>
            </w:pPr>
            <w:r>
              <w:rPr>
                <w:w w:val="99"/>
                <w:sz w:val="20"/>
              </w:rPr>
              <w:t>-</w:t>
            </w:r>
          </w:p>
        </w:tc>
        <w:tc>
          <w:tcPr>
            <w:tcW w:w="2866" w:type="dxa"/>
          </w:tcPr>
          <w:p>
            <w:pPr>
              <w:pStyle w:val="TableParagraph"/>
              <w:spacing w:line="215" w:lineRule="exact" w:before="25"/>
              <w:ind w:left="231"/>
              <w:jc w:val="center"/>
              <w:rPr>
                <w:sz w:val="20"/>
              </w:rPr>
            </w:pPr>
            <w:r>
              <w:rPr>
                <w:w w:val="99"/>
                <w:sz w:val="20"/>
              </w:rPr>
              <w:t>-</w:t>
            </w:r>
          </w:p>
        </w:tc>
        <w:tc>
          <w:tcPr>
            <w:tcW w:w="837" w:type="dxa"/>
          </w:tcPr>
          <w:p>
            <w:pPr>
              <w:pStyle w:val="TableParagraph"/>
              <w:spacing w:line="215" w:lineRule="exact" w:before="25"/>
              <w:ind w:right="48"/>
              <w:jc w:val="right"/>
              <w:rPr>
                <w:sz w:val="20"/>
              </w:rPr>
            </w:pPr>
            <w:r>
              <w:rPr>
                <w:spacing w:val="-4"/>
                <w:sz w:val="20"/>
              </w:rPr>
              <w:t>0,74</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spacing w:line="209" w:lineRule="exact"/>
              <w:ind w:left="217"/>
              <w:rPr>
                <w:sz w:val="20"/>
              </w:rPr>
            </w:pPr>
            <w:r>
              <w:rPr>
                <w:sz w:val="20"/>
              </w:rPr>
              <w:t>нервной</w:t>
            </w:r>
            <w:r>
              <w:rPr>
                <w:spacing w:val="-12"/>
                <w:sz w:val="20"/>
              </w:rPr>
              <w:t> </w:t>
            </w:r>
            <w:r>
              <w:rPr>
                <w:spacing w:val="-2"/>
                <w:sz w:val="20"/>
              </w:rPr>
              <w:t>системы</w:t>
            </w:r>
          </w:p>
        </w:tc>
        <w:tc>
          <w:tcPr>
            <w:tcW w:w="4916" w:type="dxa"/>
          </w:tcPr>
          <w:p>
            <w:pPr>
              <w:pStyle w:val="TableParagraph"/>
              <w:spacing w:line="209" w:lineRule="exact"/>
              <w:ind w:left="307"/>
              <w:rPr>
                <w:sz w:val="20"/>
              </w:rPr>
            </w:pPr>
            <w:r>
              <w:rPr>
                <w:sz w:val="20"/>
              </w:rPr>
              <w:t>G24.0,</w:t>
            </w:r>
            <w:r>
              <w:rPr>
                <w:spacing w:val="-4"/>
                <w:sz w:val="20"/>
              </w:rPr>
              <w:t> </w:t>
            </w:r>
            <w:r>
              <w:rPr>
                <w:sz w:val="20"/>
              </w:rPr>
              <w:t>G24.3,</w:t>
            </w:r>
            <w:r>
              <w:rPr>
                <w:spacing w:val="-6"/>
                <w:sz w:val="20"/>
              </w:rPr>
              <w:t> </w:t>
            </w:r>
            <w:r>
              <w:rPr>
                <w:sz w:val="20"/>
              </w:rPr>
              <w:t>G24.4,</w:t>
            </w:r>
            <w:r>
              <w:rPr>
                <w:spacing w:val="-4"/>
                <w:sz w:val="20"/>
              </w:rPr>
              <w:t> </w:t>
            </w:r>
            <w:r>
              <w:rPr>
                <w:sz w:val="20"/>
              </w:rPr>
              <w:t>G24.8,</w:t>
            </w:r>
            <w:r>
              <w:rPr>
                <w:spacing w:val="-6"/>
                <w:sz w:val="20"/>
              </w:rPr>
              <w:t> </w:t>
            </w:r>
            <w:r>
              <w:rPr>
                <w:sz w:val="20"/>
              </w:rPr>
              <w:t>G24.9,</w:t>
            </w:r>
            <w:r>
              <w:rPr>
                <w:spacing w:val="-4"/>
                <w:sz w:val="20"/>
              </w:rPr>
              <w:t> </w:t>
            </w:r>
            <w:r>
              <w:rPr>
                <w:sz w:val="20"/>
              </w:rPr>
              <w:t>G30,</w:t>
            </w:r>
            <w:r>
              <w:rPr>
                <w:spacing w:val="-4"/>
                <w:sz w:val="20"/>
              </w:rPr>
              <w:t> </w:t>
            </w:r>
            <w:r>
              <w:rPr>
                <w:spacing w:val="-2"/>
                <w:sz w:val="20"/>
              </w:rPr>
              <w:t>G30.0,</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spacing w:line="209" w:lineRule="exact"/>
              <w:ind w:left="217"/>
              <w:rPr>
                <w:sz w:val="20"/>
              </w:rPr>
            </w:pPr>
            <w:r>
              <w:rPr>
                <w:sz w:val="20"/>
              </w:rPr>
              <w:t>(уровень</w:t>
            </w:r>
            <w:r>
              <w:rPr>
                <w:spacing w:val="-11"/>
                <w:sz w:val="20"/>
              </w:rPr>
              <w:t> </w:t>
            </w:r>
            <w:r>
              <w:rPr>
                <w:spacing w:val="-5"/>
                <w:sz w:val="20"/>
              </w:rPr>
              <w:t>1)</w:t>
            </w:r>
          </w:p>
        </w:tc>
        <w:tc>
          <w:tcPr>
            <w:tcW w:w="4916" w:type="dxa"/>
          </w:tcPr>
          <w:p>
            <w:pPr>
              <w:pStyle w:val="TableParagraph"/>
              <w:spacing w:line="209" w:lineRule="exact"/>
              <w:ind w:left="307"/>
              <w:rPr>
                <w:sz w:val="20"/>
              </w:rPr>
            </w:pPr>
            <w:r>
              <w:rPr>
                <w:sz w:val="20"/>
              </w:rPr>
              <w:t>G30.1,</w:t>
            </w:r>
            <w:r>
              <w:rPr>
                <w:spacing w:val="-4"/>
                <w:sz w:val="20"/>
              </w:rPr>
              <w:t> </w:t>
            </w:r>
            <w:r>
              <w:rPr>
                <w:sz w:val="20"/>
              </w:rPr>
              <w:t>G30.8,</w:t>
            </w:r>
            <w:r>
              <w:rPr>
                <w:spacing w:val="-6"/>
                <w:sz w:val="20"/>
              </w:rPr>
              <w:t> </w:t>
            </w:r>
            <w:r>
              <w:rPr>
                <w:sz w:val="20"/>
              </w:rPr>
              <w:t>G30.9,</w:t>
            </w:r>
            <w:r>
              <w:rPr>
                <w:spacing w:val="-4"/>
                <w:sz w:val="20"/>
              </w:rPr>
              <w:t> </w:t>
            </w:r>
            <w:r>
              <w:rPr>
                <w:sz w:val="20"/>
              </w:rPr>
              <w:t>G32.8,</w:t>
            </w:r>
            <w:r>
              <w:rPr>
                <w:spacing w:val="-6"/>
                <w:sz w:val="20"/>
              </w:rPr>
              <w:t> </w:t>
            </w:r>
            <w:r>
              <w:rPr>
                <w:sz w:val="20"/>
              </w:rPr>
              <w:t>G47,</w:t>
            </w:r>
            <w:r>
              <w:rPr>
                <w:spacing w:val="-4"/>
                <w:sz w:val="20"/>
              </w:rPr>
              <w:t> </w:t>
            </w:r>
            <w:r>
              <w:rPr>
                <w:sz w:val="20"/>
              </w:rPr>
              <w:t>G47.0,</w:t>
            </w:r>
            <w:r>
              <w:rPr>
                <w:spacing w:val="-4"/>
                <w:sz w:val="20"/>
              </w:rPr>
              <w:t> </w:t>
            </w:r>
            <w:r>
              <w:rPr>
                <w:spacing w:val="-2"/>
                <w:sz w:val="20"/>
              </w:rPr>
              <w:t>G47.1,</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530"/>
              <w:rPr>
                <w:sz w:val="20"/>
              </w:rPr>
            </w:pPr>
            <w:r>
              <w:rPr>
                <w:sz w:val="20"/>
              </w:rPr>
              <w:t>G47.2,</w:t>
            </w:r>
            <w:r>
              <w:rPr>
                <w:spacing w:val="-4"/>
                <w:sz w:val="20"/>
              </w:rPr>
              <w:t> </w:t>
            </w:r>
            <w:r>
              <w:rPr>
                <w:sz w:val="20"/>
              </w:rPr>
              <w:t>G47.3,</w:t>
            </w:r>
            <w:r>
              <w:rPr>
                <w:spacing w:val="-6"/>
                <w:sz w:val="20"/>
              </w:rPr>
              <w:t> </w:t>
            </w:r>
            <w:r>
              <w:rPr>
                <w:sz w:val="20"/>
              </w:rPr>
              <w:t>G47.4,</w:t>
            </w:r>
            <w:r>
              <w:rPr>
                <w:spacing w:val="-4"/>
                <w:sz w:val="20"/>
              </w:rPr>
              <w:t> </w:t>
            </w:r>
            <w:r>
              <w:rPr>
                <w:sz w:val="20"/>
              </w:rPr>
              <w:t>G47.8,</w:t>
            </w:r>
            <w:r>
              <w:rPr>
                <w:spacing w:val="-6"/>
                <w:sz w:val="20"/>
              </w:rPr>
              <w:t> </w:t>
            </w:r>
            <w:r>
              <w:rPr>
                <w:sz w:val="20"/>
              </w:rPr>
              <w:t>G47.9,</w:t>
            </w:r>
            <w:r>
              <w:rPr>
                <w:spacing w:val="-4"/>
                <w:sz w:val="20"/>
              </w:rPr>
              <w:t> </w:t>
            </w:r>
            <w:r>
              <w:rPr>
                <w:spacing w:val="-2"/>
                <w:sz w:val="20"/>
              </w:rPr>
              <w:t>G73.4,</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9"/>
              <w:rPr>
                <w:sz w:val="20"/>
              </w:rPr>
            </w:pPr>
            <w:r>
              <w:rPr>
                <w:sz w:val="20"/>
              </w:rPr>
              <w:t>G73.5,</w:t>
            </w:r>
            <w:r>
              <w:rPr>
                <w:spacing w:val="-5"/>
                <w:sz w:val="20"/>
              </w:rPr>
              <w:t> </w:t>
            </w:r>
            <w:r>
              <w:rPr>
                <w:sz w:val="20"/>
              </w:rPr>
              <w:t>G73.6,</w:t>
            </w:r>
            <w:r>
              <w:rPr>
                <w:spacing w:val="-7"/>
                <w:sz w:val="20"/>
              </w:rPr>
              <w:t> </w:t>
            </w:r>
            <w:r>
              <w:rPr>
                <w:sz w:val="20"/>
              </w:rPr>
              <w:t>G73.7,</w:t>
            </w:r>
            <w:r>
              <w:rPr>
                <w:spacing w:val="-5"/>
                <w:sz w:val="20"/>
              </w:rPr>
              <w:t> </w:t>
            </w:r>
            <w:r>
              <w:rPr>
                <w:sz w:val="20"/>
              </w:rPr>
              <w:t>G90,</w:t>
            </w:r>
            <w:r>
              <w:rPr>
                <w:spacing w:val="-5"/>
                <w:sz w:val="20"/>
              </w:rPr>
              <w:t> </w:t>
            </w:r>
            <w:r>
              <w:rPr>
                <w:sz w:val="20"/>
              </w:rPr>
              <w:t>G90.0,</w:t>
            </w:r>
            <w:r>
              <w:rPr>
                <w:spacing w:val="-5"/>
                <w:sz w:val="20"/>
              </w:rPr>
              <w:t> </w:t>
            </w:r>
            <w:r>
              <w:rPr>
                <w:sz w:val="20"/>
              </w:rPr>
              <w:t>G90.1,</w:t>
            </w:r>
            <w:r>
              <w:rPr>
                <w:spacing w:val="-5"/>
                <w:sz w:val="20"/>
              </w:rPr>
              <w:t> </w:t>
            </w:r>
            <w:r>
              <w:rPr>
                <w:spacing w:val="-2"/>
                <w:sz w:val="20"/>
              </w:rPr>
              <w:t>G90.2,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7"/>
              <w:rPr>
                <w:sz w:val="20"/>
              </w:rPr>
            </w:pPr>
            <w:r>
              <w:rPr>
                <w:sz w:val="20"/>
              </w:rPr>
              <w:t>G90.4,</w:t>
            </w:r>
            <w:r>
              <w:rPr>
                <w:spacing w:val="-5"/>
                <w:sz w:val="20"/>
              </w:rPr>
              <w:t> </w:t>
            </w:r>
            <w:r>
              <w:rPr>
                <w:sz w:val="20"/>
              </w:rPr>
              <w:t>G90.5,</w:t>
            </w:r>
            <w:r>
              <w:rPr>
                <w:spacing w:val="-5"/>
                <w:sz w:val="20"/>
              </w:rPr>
              <w:t> </w:t>
            </w:r>
            <w:r>
              <w:rPr>
                <w:sz w:val="20"/>
              </w:rPr>
              <w:t>G90.6,</w:t>
            </w:r>
            <w:r>
              <w:rPr>
                <w:spacing w:val="-4"/>
                <w:sz w:val="20"/>
              </w:rPr>
              <w:t> </w:t>
            </w:r>
            <w:r>
              <w:rPr>
                <w:sz w:val="20"/>
              </w:rPr>
              <w:t>G90.7,</w:t>
            </w:r>
            <w:r>
              <w:rPr>
                <w:spacing w:val="-6"/>
                <w:sz w:val="20"/>
              </w:rPr>
              <w:t> </w:t>
            </w:r>
            <w:r>
              <w:rPr>
                <w:sz w:val="20"/>
              </w:rPr>
              <w:t>G90.8,</w:t>
            </w:r>
            <w:r>
              <w:rPr>
                <w:spacing w:val="-4"/>
                <w:sz w:val="20"/>
              </w:rPr>
              <w:t> </w:t>
            </w:r>
            <w:r>
              <w:rPr>
                <w:sz w:val="20"/>
              </w:rPr>
              <w:t>G90.9,</w:t>
            </w:r>
            <w:r>
              <w:rPr>
                <w:spacing w:val="-6"/>
                <w:sz w:val="20"/>
              </w:rPr>
              <w:t> </w:t>
            </w:r>
            <w:r>
              <w:rPr>
                <w:spacing w:val="-4"/>
                <w:sz w:val="20"/>
              </w:rPr>
              <w:t>G91,</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307"/>
              <w:rPr>
                <w:sz w:val="20"/>
              </w:rPr>
            </w:pPr>
            <w:r>
              <w:rPr>
                <w:sz w:val="20"/>
              </w:rPr>
              <w:t>G91.0,</w:t>
            </w:r>
            <w:r>
              <w:rPr>
                <w:spacing w:val="-5"/>
                <w:sz w:val="20"/>
              </w:rPr>
              <w:t> </w:t>
            </w:r>
            <w:r>
              <w:rPr>
                <w:sz w:val="20"/>
              </w:rPr>
              <w:t>G91.1,</w:t>
            </w:r>
            <w:r>
              <w:rPr>
                <w:spacing w:val="-5"/>
                <w:sz w:val="20"/>
              </w:rPr>
              <w:t> </w:t>
            </w:r>
            <w:r>
              <w:rPr>
                <w:sz w:val="20"/>
              </w:rPr>
              <w:t>G91.2,</w:t>
            </w:r>
            <w:r>
              <w:rPr>
                <w:spacing w:val="-4"/>
                <w:sz w:val="20"/>
              </w:rPr>
              <w:t> </w:t>
            </w:r>
            <w:r>
              <w:rPr>
                <w:sz w:val="20"/>
              </w:rPr>
              <w:t>G91.3,</w:t>
            </w:r>
            <w:r>
              <w:rPr>
                <w:spacing w:val="-6"/>
                <w:sz w:val="20"/>
              </w:rPr>
              <w:t> </w:t>
            </w:r>
            <w:r>
              <w:rPr>
                <w:sz w:val="20"/>
              </w:rPr>
              <w:t>G91.8,</w:t>
            </w:r>
            <w:r>
              <w:rPr>
                <w:spacing w:val="-4"/>
                <w:sz w:val="20"/>
              </w:rPr>
              <w:t> </w:t>
            </w:r>
            <w:r>
              <w:rPr>
                <w:sz w:val="20"/>
              </w:rPr>
              <w:t>G91.9,</w:t>
            </w:r>
            <w:r>
              <w:rPr>
                <w:spacing w:val="-6"/>
                <w:sz w:val="20"/>
              </w:rPr>
              <w:t> </w:t>
            </w:r>
            <w:r>
              <w:rPr>
                <w:spacing w:val="-4"/>
                <w:sz w:val="20"/>
              </w:rPr>
              <w:t>G92,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309"/>
              <w:rPr>
                <w:sz w:val="20"/>
              </w:rPr>
            </w:pPr>
            <w:r>
              <w:rPr>
                <w:sz w:val="20"/>
              </w:rPr>
              <w:t>G93,</w:t>
            </w:r>
            <w:r>
              <w:rPr>
                <w:spacing w:val="-6"/>
                <w:sz w:val="20"/>
              </w:rPr>
              <w:t> </w:t>
            </w:r>
            <w:r>
              <w:rPr>
                <w:sz w:val="20"/>
              </w:rPr>
              <w:t>G93.0,</w:t>
            </w:r>
            <w:r>
              <w:rPr>
                <w:spacing w:val="-6"/>
                <w:sz w:val="20"/>
              </w:rPr>
              <w:t> </w:t>
            </w:r>
            <w:r>
              <w:rPr>
                <w:sz w:val="20"/>
              </w:rPr>
              <w:t>G93.2,</w:t>
            </w:r>
            <w:r>
              <w:rPr>
                <w:spacing w:val="-5"/>
                <w:sz w:val="20"/>
              </w:rPr>
              <w:t> </w:t>
            </w:r>
            <w:r>
              <w:rPr>
                <w:sz w:val="20"/>
              </w:rPr>
              <w:t>G93.3,</w:t>
            </w:r>
            <w:r>
              <w:rPr>
                <w:spacing w:val="-6"/>
                <w:sz w:val="20"/>
              </w:rPr>
              <w:t> </w:t>
            </w:r>
            <w:r>
              <w:rPr>
                <w:sz w:val="20"/>
              </w:rPr>
              <w:t>G93.4,</w:t>
            </w:r>
            <w:r>
              <w:rPr>
                <w:spacing w:val="-5"/>
                <w:sz w:val="20"/>
              </w:rPr>
              <w:t> </w:t>
            </w:r>
            <w:r>
              <w:rPr>
                <w:sz w:val="20"/>
              </w:rPr>
              <w:t>G93.7,</w:t>
            </w:r>
            <w:r>
              <w:rPr>
                <w:spacing w:val="-6"/>
                <w:sz w:val="20"/>
              </w:rPr>
              <w:t> </w:t>
            </w:r>
            <w:r>
              <w:rPr>
                <w:spacing w:val="-2"/>
                <w:sz w:val="20"/>
              </w:rPr>
              <w:t>G93.8,</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9"/>
              <w:rPr>
                <w:sz w:val="20"/>
              </w:rPr>
            </w:pPr>
            <w:r>
              <w:rPr>
                <w:sz w:val="20"/>
              </w:rPr>
              <w:t>G93.9,</w:t>
            </w:r>
            <w:r>
              <w:rPr>
                <w:spacing w:val="-6"/>
                <w:sz w:val="20"/>
              </w:rPr>
              <w:t> </w:t>
            </w:r>
            <w:r>
              <w:rPr>
                <w:sz w:val="20"/>
              </w:rPr>
              <w:t>G94,</w:t>
            </w:r>
            <w:r>
              <w:rPr>
                <w:spacing w:val="-6"/>
                <w:sz w:val="20"/>
              </w:rPr>
              <w:t> </w:t>
            </w:r>
            <w:r>
              <w:rPr>
                <w:sz w:val="20"/>
              </w:rPr>
              <w:t>G94.0,</w:t>
            </w:r>
            <w:r>
              <w:rPr>
                <w:spacing w:val="-5"/>
                <w:sz w:val="20"/>
              </w:rPr>
              <w:t> </w:t>
            </w:r>
            <w:r>
              <w:rPr>
                <w:sz w:val="20"/>
              </w:rPr>
              <w:t>G94.1,</w:t>
            </w:r>
            <w:r>
              <w:rPr>
                <w:spacing w:val="-6"/>
                <w:sz w:val="20"/>
              </w:rPr>
              <w:t> </w:t>
            </w:r>
            <w:r>
              <w:rPr>
                <w:sz w:val="20"/>
              </w:rPr>
              <w:t>G94.2,</w:t>
            </w:r>
            <w:r>
              <w:rPr>
                <w:spacing w:val="-5"/>
                <w:sz w:val="20"/>
              </w:rPr>
              <w:t> </w:t>
            </w:r>
            <w:r>
              <w:rPr>
                <w:sz w:val="20"/>
              </w:rPr>
              <w:t>G94.3,</w:t>
            </w:r>
            <w:r>
              <w:rPr>
                <w:spacing w:val="-6"/>
                <w:sz w:val="20"/>
              </w:rPr>
              <w:t> </w:t>
            </w:r>
            <w:r>
              <w:rPr>
                <w:spacing w:val="-2"/>
                <w:sz w:val="20"/>
              </w:rPr>
              <w:t>G94.8,</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1" w:lineRule="exact"/>
              <w:ind w:left="458"/>
              <w:rPr>
                <w:sz w:val="20"/>
              </w:rPr>
            </w:pPr>
            <w:r>
              <w:rPr>
                <w:sz w:val="20"/>
              </w:rPr>
              <w:t>G96,</w:t>
            </w:r>
            <w:r>
              <w:rPr>
                <w:spacing w:val="-5"/>
                <w:sz w:val="20"/>
              </w:rPr>
              <w:t> </w:t>
            </w:r>
            <w:r>
              <w:rPr>
                <w:sz w:val="20"/>
              </w:rPr>
              <w:t>G96.0,</w:t>
            </w:r>
            <w:r>
              <w:rPr>
                <w:spacing w:val="-4"/>
                <w:sz w:val="20"/>
              </w:rPr>
              <w:t> </w:t>
            </w:r>
            <w:r>
              <w:rPr>
                <w:sz w:val="20"/>
              </w:rPr>
              <w:t>G96.1,</w:t>
            </w:r>
            <w:r>
              <w:rPr>
                <w:spacing w:val="-4"/>
                <w:sz w:val="20"/>
              </w:rPr>
              <w:t> </w:t>
            </w:r>
            <w:r>
              <w:rPr>
                <w:sz w:val="20"/>
              </w:rPr>
              <w:t>G96.8,</w:t>
            </w:r>
            <w:r>
              <w:rPr>
                <w:spacing w:val="-5"/>
                <w:sz w:val="20"/>
              </w:rPr>
              <w:t> </w:t>
            </w:r>
            <w:r>
              <w:rPr>
                <w:sz w:val="20"/>
              </w:rPr>
              <w:t>G96.9,</w:t>
            </w:r>
            <w:r>
              <w:rPr>
                <w:spacing w:val="-4"/>
                <w:sz w:val="20"/>
              </w:rPr>
              <w:t> </w:t>
            </w:r>
            <w:r>
              <w:rPr>
                <w:sz w:val="20"/>
              </w:rPr>
              <w:t>G98,</w:t>
            </w:r>
            <w:r>
              <w:rPr>
                <w:spacing w:val="-4"/>
                <w:sz w:val="20"/>
              </w:rPr>
              <w:t> G99,</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1" w:lineRule="exact"/>
              <w:ind w:left="309"/>
              <w:rPr>
                <w:sz w:val="20"/>
              </w:rPr>
            </w:pPr>
            <w:r>
              <w:rPr>
                <w:sz w:val="20"/>
              </w:rPr>
              <w:t>G99.0,</w:t>
            </w:r>
            <w:r>
              <w:rPr>
                <w:spacing w:val="-6"/>
                <w:sz w:val="20"/>
              </w:rPr>
              <w:t> </w:t>
            </w:r>
            <w:r>
              <w:rPr>
                <w:sz w:val="20"/>
              </w:rPr>
              <w:t>G99.1,</w:t>
            </w:r>
            <w:r>
              <w:rPr>
                <w:spacing w:val="-6"/>
                <w:sz w:val="20"/>
              </w:rPr>
              <w:t> </w:t>
            </w:r>
            <w:r>
              <w:rPr>
                <w:sz w:val="20"/>
              </w:rPr>
              <w:t>G99.8,</w:t>
            </w:r>
            <w:r>
              <w:rPr>
                <w:spacing w:val="-5"/>
                <w:sz w:val="20"/>
              </w:rPr>
              <w:t> </w:t>
            </w:r>
            <w:r>
              <w:rPr>
                <w:sz w:val="20"/>
              </w:rPr>
              <w:t>Q00,</w:t>
            </w:r>
            <w:r>
              <w:rPr>
                <w:spacing w:val="-6"/>
                <w:sz w:val="20"/>
              </w:rPr>
              <w:t> </w:t>
            </w:r>
            <w:r>
              <w:rPr>
                <w:sz w:val="20"/>
              </w:rPr>
              <w:t>Q00.0,</w:t>
            </w:r>
            <w:r>
              <w:rPr>
                <w:spacing w:val="-5"/>
                <w:sz w:val="20"/>
              </w:rPr>
              <w:t> </w:t>
            </w:r>
            <w:r>
              <w:rPr>
                <w:sz w:val="20"/>
              </w:rPr>
              <w:t>Q00.1,</w:t>
            </w:r>
            <w:r>
              <w:rPr>
                <w:spacing w:val="-5"/>
                <w:sz w:val="20"/>
              </w:rPr>
              <w:t> </w:t>
            </w:r>
            <w:r>
              <w:rPr>
                <w:spacing w:val="-2"/>
                <w:sz w:val="20"/>
              </w:rPr>
              <w:t>Q00.2,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83"/>
              <w:rPr>
                <w:sz w:val="20"/>
              </w:rPr>
            </w:pPr>
            <w:r>
              <w:rPr>
                <w:sz w:val="20"/>
              </w:rPr>
              <w:t>Q01,</w:t>
            </w:r>
            <w:r>
              <w:rPr>
                <w:spacing w:val="-6"/>
                <w:sz w:val="20"/>
              </w:rPr>
              <w:t> </w:t>
            </w:r>
            <w:r>
              <w:rPr>
                <w:sz w:val="20"/>
              </w:rPr>
              <w:t>Q01.0,</w:t>
            </w:r>
            <w:r>
              <w:rPr>
                <w:spacing w:val="-6"/>
                <w:sz w:val="20"/>
              </w:rPr>
              <w:t> </w:t>
            </w:r>
            <w:r>
              <w:rPr>
                <w:sz w:val="20"/>
              </w:rPr>
              <w:t>Q01.1,</w:t>
            </w:r>
            <w:r>
              <w:rPr>
                <w:spacing w:val="-5"/>
                <w:sz w:val="20"/>
              </w:rPr>
              <w:t> </w:t>
            </w:r>
            <w:r>
              <w:rPr>
                <w:sz w:val="20"/>
              </w:rPr>
              <w:t>Q01.2,</w:t>
            </w:r>
            <w:r>
              <w:rPr>
                <w:spacing w:val="-6"/>
                <w:sz w:val="20"/>
              </w:rPr>
              <w:t> </w:t>
            </w:r>
            <w:r>
              <w:rPr>
                <w:sz w:val="20"/>
              </w:rPr>
              <w:t>Q01.8,</w:t>
            </w:r>
            <w:r>
              <w:rPr>
                <w:spacing w:val="-5"/>
                <w:sz w:val="20"/>
              </w:rPr>
              <w:t> </w:t>
            </w:r>
            <w:r>
              <w:rPr>
                <w:sz w:val="20"/>
              </w:rPr>
              <w:t>Q01.9,</w:t>
            </w:r>
            <w:r>
              <w:rPr>
                <w:spacing w:val="-6"/>
                <w:sz w:val="20"/>
              </w:rPr>
              <w:t> </w:t>
            </w:r>
            <w:r>
              <w:rPr>
                <w:spacing w:val="-4"/>
                <w:sz w:val="20"/>
              </w:rPr>
              <w:t>Q02,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383"/>
              <w:rPr>
                <w:sz w:val="20"/>
              </w:rPr>
            </w:pPr>
            <w:r>
              <w:rPr>
                <w:sz w:val="20"/>
              </w:rPr>
              <w:t>Q03,</w:t>
            </w:r>
            <w:r>
              <w:rPr>
                <w:spacing w:val="-5"/>
                <w:sz w:val="20"/>
              </w:rPr>
              <w:t> </w:t>
            </w:r>
            <w:r>
              <w:rPr>
                <w:sz w:val="20"/>
              </w:rPr>
              <w:t>Q03.0,</w:t>
            </w:r>
            <w:r>
              <w:rPr>
                <w:spacing w:val="-5"/>
                <w:sz w:val="20"/>
              </w:rPr>
              <w:t> </w:t>
            </w:r>
            <w:r>
              <w:rPr>
                <w:sz w:val="20"/>
              </w:rPr>
              <w:t>Q03.1,</w:t>
            </w:r>
            <w:r>
              <w:rPr>
                <w:spacing w:val="-5"/>
                <w:sz w:val="20"/>
              </w:rPr>
              <w:t> </w:t>
            </w:r>
            <w:r>
              <w:rPr>
                <w:sz w:val="20"/>
              </w:rPr>
              <w:t>Q03.8,</w:t>
            </w:r>
            <w:r>
              <w:rPr>
                <w:spacing w:val="-5"/>
                <w:sz w:val="20"/>
              </w:rPr>
              <w:t> </w:t>
            </w:r>
            <w:r>
              <w:rPr>
                <w:sz w:val="20"/>
              </w:rPr>
              <w:t>Q03.9,</w:t>
            </w:r>
            <w:r>
              <w:rPr>
                <w:spacing w:val="-5"/>
                <w:sz w:val="20"/>
              </w:rPr>
              <w:t> </w:t>
            </w:r>
            <w:r>
              <w:rPr>
                <w:sz w:val="20"/>
              </w:rPr>
              <w:t>Q04,</w:t>
            </w:r>
            <w:r>
              <w:rPr>
                <w:spacing w:val="-5"/>
                <w:sz w:val="20"/>
              </w:rPr>
              <w:t> </w:t>
            </w:r>
            <w:r>
              <w:rPr>
                <w:spacing w:val="-2"/>
                <w:sz w:val="20"/>
              </w:rPr>
              <w:t>Q04.0,</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530"/>
              <w:rPr>
                <w:sz w:val="20"/>
              </w:rPr>
            </w:pPr>
            <w:r>
              <w:rPr>
                <w:sz w:val="20"/>
              </w:rPr>
              <w:t>Q04.1,</w:t>
            </w:r>
            <w:r>
              <w:rPr>
                <w:spacing w:val="-4"/>
                <w:sz w:val="20"/>
              </w:rPr>
              <w:t> </w:t>
            </w:r>
            <w:r>
              <w:rPr>
                <w:sz w:val="20"/>
              </w:rPr>
              <w:t>Q04.2,</w:t>
            </w:r>
            <w:r>
              <w:rPr>
                <w:spacing w:val="-6"/>
                <w:sz w:val="20"/>
              </w:rPr>
              <w:t> </w:t>
            </w:r>
            <w:r>
              <w:rPr>
                <w:sz w:val="20"/>
              </w:rPr>
              <w:t>Q04.3,</w:t>
            </w:r>
            <w:r>
              <w:rPr>
                <w:spacing w:val="-4"/>
                <w:sz w:val="20"/>
              </w:rPr>
              <w:t> </w:t>
            </w:r>
            <w:r>
              <w:rPr>
                <w:sz w:val="20"/>
              </w:rPr>
              <w:t>Q04.4,</w:t>
            </w:r>
            <w:r>
              <w:rPr>
                <w:spacing w:val="-6"/>
                <w:sz w:val="20"/>
              </w:rPr>
              <w:t> </w:t>
            </w:r>
            <w:r>
              <w:rPr>
                <w:sz w:val="20"/>
              </w:rPr>
              <w:t>Q04.5,</w:t>
            </w:r>
            <w:r>
              <w:rPr>
                <w:spacing w:val="-4"/>
                <w:sz w:val="20"/>
              </w:rPr>
              <w:t> </w:t>
            </w:r>
            <w:r>
              <w:rPr>
                <w:spacing w:val="-2"/>
                <w:sz w:val="20"/>
              </w:rPr>
              <w:t>Q04.6,</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9"/>
              <w:rPr>
                <w:sz w:val="20"/>
              </w:rPr>
            </w:pPr>
            <w:r>
              <w:rPr>
                <w:sz w:val="20"/>
              </w:rPr>
              <w:t>Q04.8,</w:t>
            </w:r>
            <w:r>
              <w:rPr>
                <w:spacing w:val="-6"/>
                <w:sz w:val="20"/>
              </w:rPr>
              <w:t> </w:t>
            </w:r>
            <w:r>
              <w:rPr>
                <w:sz w:val="20"/>
              </w:rPr>
              <w:t>Q04.9,</w:t>
            </w:r>
            <w:r>
              <w:rPr>
                <w:spacing w:val="-7"/>
                <w:sz w:val="20"/>
              </w:rPr>
              <w:t> </w:t>
            </w:r>
            <w:r>
              <w:rPr>
                <w:sz w:val="20"/>
              </w:rPr>
              <w:t>Q05,</w:t>
            </w:r>
            <w:r>
              <w:rPr>
                <w:spacing w:val="-5"/>
                <w:sz w:val="20"/>
              </w:rPr>
              <w:t> </w:t>
            </w:r>
            <w:r>
              <w:rPr>
                <w:sz w:val="20"/>
              </w:rPr>
              <w:t>Q05.0,</w:t>
            </w:r>
            <w:r>
              <w:rPr>
                <w:spacing w:val="-5"/>
                <w:sz w:val="20"/>
              </w:rPr>
              <w:t> </w:t>
            </w:r>
            <w:r>
              <w:rPr>
                <w:sz w:val="20"/>
              </w:rPr>
              <w:t>Q05.1,</w:t>
            </w:r>
            <w:r>
              <w:rPr>
                <w:spacing w:val="-5"/>
                <w:sz w:val="20"/>
              </w:rPr>
              <w:t> </w:t>
            </w:r>
            <w:r>
              <w:rPr>
                <w:sz w:val="20"/>
              </w:rPr>
              <w:t>Q05.2,</w:t>
            </w:r>
            <w:r>
              <w:rPr>
                <w:spacing w:val="-6"/>
                <w:sz w:val="20"/>
              </w:rPr>
              <w:t> </w:t>
            </w:r>
            <w:r>
              <w:rPr>
                <w:spacing w:val="-2"/>
                <w:sz w:val="20"/>
              </w:rPr>
              <w:t>Q05.3,</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7"/>
              <w:rPr>
                <w:sz w:val="20"/>
              </w:rPr>
            </w:pPr>
            <w:r>
              <w:rPr>
                <w:sz w:val="20"/>
              </w:rPr>
              <w:t>Q05.4,</w:t>
            </w:r>
            <w:r>
              <w:rPr>
                <w:spacing w:val="-4"/>
                <w:sz w:val="20"/>
              </w:rPr>
              <w:t> </w:t>
            </w:r>
            <w:r>
              <w:rPr>
                <w:sz w:val="20"/>
              </w:rPr>
              <w:t>Q05.5,</w:t>
            </w:r>
            <w:r>
              <w:rPr>
                <w:spacing w:val="-6"/>
                <w:sz w:val="20"/>
              </w:rPr>
              <w:t> </w:t>
            </w:r>
            <w:r>
              <w:rPr>
                <w:sz w:val="20"/>
              </w:rPr>
              <w:t>Q05.6,</w:t>
            </w:r>
            <w:r>
              <w:rPr>
                <w:spacing w:val="-3"/>
                <w:sz w:val="20"/>
              </w:rPr>
              <w:t> </w:t>
            </w:r>
            <w:r>
              <w:rPr>
                <w:sz w:val="20"/>
              </w:rPr>
              <w:t>Q05.7,</w:t>
            </w:r>
            <w:r>
              <w:rPr>
                <w:spacing w:val="-6"/>
                <w:sz w:val="20"/>
              </w:rPr>
              <w:t> </w:t>
            </w:r>
            <w:r>
              <w:rPr>
                <w:sz w:val="20"/>
              </w:rPr>
              <w:t>Q05.8,</w:t>
            </w:r>
            <w:r>
              <w:rPr>
                <w:spacing w:val="-4"/>
                <w:sz w:val="20"/>
              </w:rPr>
              <w:t> </w:t>
            </w:r>
            <w:r>
              <w:rPr>
                <w:sz w:val="20"/>
              </w:rPr>
              <w:t>Q05.9,</w:t>
            </w:r>
            <w:r>
              <w:rPr>
                <w:spacing w:val="-5"/>
                <w:sz w:val="20"/>
              </w:rPr>
              <w:t> </w:t>
            </w:r>
            <w:r>
              <w:rPr>
                <w:spacing w:val="-4"/>
                <w:sz w:val="20"/>
              </w:rPr>
              <w:t>Q06,</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530"/>
              <w:rPr>
                <w:sz w:val="20"/>
              </w:rPr>
            </w:pPr>
            <w:r>
              <w:rPr>
                <w:sz w:val="20"/>
              </w:rPr>
              <w:t>Q06.0,</w:t>
            </w:r>
            <w:r>
              <w:rPr>
                <w:spacing w:val="-4"/>
                <w:sz w:val="20"/>
              </w:rPr>
              <w:t> </w:t>
            </w:r>
            <w:r>
              <w:rPr>
                <w:sz w:val="20"/>
              </w:rPr>
              <w:t>Q06.1,</w:t>
            </w:r>
            <w:r>
              <w:rPr>
                <w:spacing w:val="-6"/>
                <w:sz w:val="20"/>
              </w:rPr>
              <w:t> </w:t>
            </w:r>
            <w:r>
              <w:rPr>
                <w:sz w:val="20"/>
              </w:rPr>
              <w:t>Q06.2,</w:t>
            </w:r>
            <w:r>
              <w:rPr>
                <w:spacing w:val="-4"/>
                <w:sz w:val="20"/>
              </w:rPr>
              <w:t> </w:t>
            </w:r>
            <w:r>
              <w:rPr>
                <w:sz w:val="20"/>
              </w:rPr>
              <w:t>Q06.3,</w:t>
            </w:r>
            <w:r>
              <w:rPr>
                <w:spacing w:val="-6"/>
                <w:sz w:val="20"/>
              </w:rPr>
              <w:t> </w:t>
            </w:r>
            <w:r>
              <w:rPr>
                <w:sz w:val="20"/>
              </w:rPr>
              <w:t>Q06.4,</w:t>
            </w:r>
            <w:r>
              <w:rPr>
                <w:spacing w:val="-4"/>
                <w:sz w:val="20"/>
              </w:rPr>
              <w:t> </w:t>
            </w:r>
            <w:r>
              <w:rPr>
                <w:spacing w:val="-2"/>
                <w:sz w:val="20"/>
              </w:rPr>
              <w:t>Q06.8,</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5" w:lineRule="exact"/>
              <w:ind w:left="395"/>
              <w:rPr>
                <w:sz w:val="20"/>
              </w:rPr>
            </w:pPr>
            <w:r>
              <w:rPr>
                <w:sz w:val="20"/>
              </w:rPr>
              <w:t>Q06.9,</w:t>
            </w:r>
            <w:r>
              <w:rPr>
                <w:spacing w:val="-6"/>
                <w:sz w:val="20"/>
              </w:rPr>
              <w:t> </w:t>
            </w:r>
            <w:r>
              <w:rPr>
                <w:sz w:val="20"/>
              </w:rPr>
              <w:t>Q07,</w:t>
            </w:r>
            <w:r>
              <w:rPr>
                <w:spacing w:val="-5"/>
                <w:sz w:val="20"/>
              </w:rPr>
              <w:t> </w:t>
            </w:r>
            <w:r>
              <w:rPr>
                <w:sz w:val="20"/>
              </w:rPr>
              <w:t>Q07.0,</w:t>
            </w:r>
            <w:r>
              <w:rPr>
                <w:spacing w:val="-5"/>
                <w:sz w:val="20"/>
              </w:rPr>
              <w:t> </w:t>
            </w:r>
            <w:r>
              <w:rPr>
                <w:sz w:val="20"/>
              </w:rPr>
              <w:t>Q07.8,</w:t>
            </w:r>
            <w:r>
              <w:rPr>
                <w:spacing w:val="-5"/>
                <w:sz w:val="20"/>
              </w:rPr>
              <w:t> </w:t>
            </w:r>
            <w:r>
              <w:rPr>
                <w:sz w:val="20"/>
              </w:rPr>
              <w:t>Q07.9,</w:t>
            </w:r>
            <w:r>
              <w:rPr>
                <w:spacing w:val="-5"/>
                <w:sz w:val="20"/>
              </w:rPr>
              <w:t> </w:t>
            </w:r>
            <w:r>
              <w:rPr>
                <w:sz w:val="20"/>
              </w:rPr>
              <w:t>R20,</w:t>
            </w:r>
            <w:r>
              <w:rPr>
                <w:spacing w:val="-5"/>
                <w:sz w:val="20"/>
              </w:rPr>
              <w:t> </w:t>
            </w:r>
            <w:r>
              <w:rPr>
                <w:spacing w:val="-2"/>
                <w:sz w:val="20"/>
              </w:rPr>
              <w:t>R20.0,</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6"/>
        <w:gridCol w:w="4606"/>
        <w:gridCol w:w="3533"/>
        <w:gridCol w:w="1748"/>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76" w:type="dxa"/>
            <w:vMerge w:val="restart"/>
          </w:tcPr>
          <w:p>
            <w:pPr>
              <w:pStyle w:val="TableParagraph"/>
              <w:rPr>
                <w:sz w:val="18"/>
              </w:rPr>
            </w:pPr>
          </w:p>
        </w:tc>
        <w:tc>
          <w:tcPr>
            <w:tcW w:w="4606" w:type="dxa"/>
          </w:tcPr>
          <w:p>
            <w:pPr>
              <w:pStyle w:val="TableParagraph"/>
              <w:spacing w:line="205" w:lineRule="exact"/>
              <w:ind w:left="301"/>
              <w:rPr>
                <w:sz w:val="20"/>
              </w:rPr>
            </w:pPr>
            <w:r>
              <w:rPr>
                <w:sz w:val="20"/>
              </w:rPr>
              <w:t>R20.1,</w:t>
            </w:r>
            <w:r>
              <w:rPr>
                <w:spacing w:val="-5"/>
                <w:sz w:val="20"/>
              </w:rPr>
              <w:t> </w:t>
            </w:r>
            <w:r>
              <w:rPr>
                <w:sz w:val="20"/>
              </w:rPr>
              <w:t>R20.2,</w:t>
            </w:r>
            <w:r>
              <w:rPr>
                <w:spacing w:val="-4"/>
                <w:sz w:val="20"/>
              </w:rPr>
              <w:t> </w:t>
            </w:r>
            <w:r>
              <w:rPr>
                <w:sz w:val="20"/>
              </w:rPr>
              <w:t>R20.3,</w:t>
            </w:r>
            <w:r>
              <w:rPr>
                <w:spacing w:val="-4"/>
                <w:sz w:val="20"/>
              </w:rPr>
              <w:t> </w:t>
            </w:r>
            <w:r>
              <w:rPr>
                <w:sz w:val="20"/>
              </w:rPr>
              <w:t>R20.8,</w:t>
            </w:r>
            <w:r>
              <w:rPr>
                <w:spacing w:val="-8"/>
                <w:sz w:val="20"/>
              </w:rPr>
              <w:t> </w:t>
            </w:r>
            <w:r>
              <w:rPr>
                <w:sz w:val="20"/>
              </w:rPr>
              <w:t>R25,</w:t>
            </w:r>
            <w:r>
              <w:rPr>
                <w:spacing w:val="-5"/>
                <w:sz w:val="20"/>
              </w:rPr>
              <w:t> </w:t>
            </w:r>
            <w:r>
              <w:rPr>
                <w:sz w:val="20"/>
              </w:rPr>
              <w:t>R25.0,</w:t>
            </w:r>
            <w:r>
              <w:rPr>
                <w:spacing w:val="-4"/>
                <w:sz w:val="20"/>
              </w:rPr>
              <w:t> </w:t>
            </w:r>
            <w:r>
              <w:rPr>
                <w:spacing w:val="-2"/>
                <w:sz w:val="20"/>
              </w:rPr>
              <w:t>R25.1,</w:t>
            </w:r>
          </w:p>
        </w:tc>
        <w:tc>
          <w:tcPr>
            <w:tcW w:w="3533" w:type="dxa"/>
            <w:vMerge w:val="restart"/>
          </w:tcPr>
          <w:p>
            <w:pPr>
              <w:pStyle w:val="TableParagraph"/>
              <w:rPr>
                <w:sz w:val="18"/>
              </w:rPr>
            </w:pPr>
          </w:p>
        </w:tc>
        <w:tc>
          <w:tcPr>
            <w:tcW w:w="1748"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09" w:lineRule="exact"/>
              <w:ind w:left="301"/>
              <w:rPr>
                <w:sz w:val="20"/>
              </w:rPr>
            </w:pPr>
            <w:r>
              <w:rPr>
                <w:sz w:val="20"/>
              </w:rPr>
              <w:t>R25.2,</w:t>
            </w:r>
            <w:r>
              <w:rPr>
                <w:spacing w:val="-6"/>
                <w:sz w:val="20"/>
              </w:rPr>
              <w:t> </w:t>
            </w:r>
            <w:r>
              <w:rPr>
                <w:sz w:val="20"/>
              </w:rPr>
              <w:t>R25.3,</w:t>
            </w:r>
            <w:r>
              <w:rPr>
                <w:spacing w:val="-5"/>
                <w:sz w:val="20"/>
              </w:rPr>
              <w:t> </w:t>
            </w:r>
            <w:r>
              <w:rPr>
                <w:sz w:val="20"/>
              </w:rPr>
              <w:t>R25.8,</w:t>
            </w:r>
            <w:r>
              <w:rPr>
                <w:spacing w:val="-5"/>
                <w:sz w:val="20"/>
              </w:rPr>
              <w:t> </w:t>
            </w:r>
            <w:r>
              <w:rPr>
                <w:sz w:val="20"/>
              </w:rPr>
              <w:t>R26,</w:t>
            </w:r>
            <w:r>
              <w:rPr>
                <w:spacing w:val="-5"/>
                <w:sz w:val="20"/>
              </w:rPr>
              <w:t> </w:t>
            </w:r>
            <w:r>
              <w:rPr>
                <w:sz w:val="20"/>
              </w:rPr>
              <w:t>R26.0,</w:t>
            </w:r>
            <w:r>
              <w:rPr>
                <w:spacing w:val="-5"/>
                <w:sz w:val="20"/>
              </w:rPr>
              <w:t> </w:t>
            </w:r>
            <w:r>
              <w:rPr>
                <w:sz w:val="20"/>
              </w:rPr>
              <w:t>R26.1,</w:t>
            </w:r>
            <w:r>
              <w:rPr>
                <w:spacing w:val="-5"/>
                <w:sz w:val="20"/>
              </w:rPr>
              <w:t> </w:t>
            </w:r>
            <w:r>
              <w:rPr>
                <w:spacing w:val="-2"/>
                <w:sz w:val="20"/>
              </w:rPr>
              <w:t>R26.8,</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09" w:lineRule="exact"/>
              <w:ind w:left="376"/>
              <w:rPr>
                <w:sz w:val="20"/>
              </w:rPr>
            </w:pPr>
            <w:r>
              <w:rPr>
                <w:sz w:val="20"/>
              </w:rPr>
              <w:t>R27,</w:t>
            </w:r>
            <w:r>
              <w:rPr>
                <w:spacing w:val="-7"/>
                <w:sz w:val="20"/>
              </w:rPr>
              <w:t> </w:t>
            </w:r>
            <w:r>
              <w:rPr>
                <w:sz w:val="20"/>
              </w:rPr>
              <w:t>R27.0,</w:t>
            </w:r>
            <w:r>
              <w:rPr>
                <w:spacing w:val="-4"/>
                <w:sz w:val="20"/>
              </w:rPr>
              <w:t> </w:t>
            </w:r>
            <w:r>
              <w:rPr>
                <w:sz w:val="20"/>
              </w:rPr>
              <w:t>R27.8,</w:t>
            </w:r>
            <w:r>
              <w:rPr>
                <w:spacing w:val="-4"/>
                <w:sz w:val="20"/>
              </w:rPr>
              <w:t> </w:t>
            </w:r>
            <w:r>
              <w:rPr>
                <w:sz w:val="20"/>
              </w:rPr>
              <w:t>R29,</w:t>
            </w:r>
            <w:r>
              <w:rPr>
                <w:spacing w:val="-6"/>
                <w:sz w:val="20"/>
              </w:rPr>
              <w:t> </w:t>
            </w:r>
            <w:r>
              <w:rPr>
                <w:sz w:val="20"/>
              </w:rPr>
              <w:t>R29.0,</w:t>
            </w:r>
            <w:r>
              <w:rPr>
                <w:spacing w:val="-4"/>
                <w:sz w:val="20"/>
              </w:rPr>
              <w:t> </w:t>
            </w:r>
            <w:r>
              <w:rPr>
                <w:sz w:val="20"/>
              </w:rPr>
              <w:t>R29.1,</w:t>
            </w:r>
            <w:r>
              <w:rPr>
                <w:spacing w:val="-5"/>
                <w:sz w:val="20"/>
              </w:rPr>
              <w:t> </w:t>
            </w:r>
            <w:r>
              <w:rPr>
                <w:spacing w:val="-2"/>
                <w:sz w:val="20"/>
              </w:rPr>
              <w:t>R29.2,</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301"/>
              <w:rPr>
                <w:sz w:val="20"/>
              </w:rPr>
            </w:pPr>
            <w:r>
              <w:rPr>
                <w:sz w:val="20"/>
              </w:rPr>
              <w:t>R29.3,</w:t>
            </w:r>
            <w:r>
              <w:rPr>
                <w:spacing w:val="-5"/>
                <w:sz w:val="20"/>
              </w:rPr>
              <w:t> </w:t>
            </w:r>
            <w:r>
              <w:rPr>
                <w:sz w:val="20"/>
              </w:rPr>
              <w:t>R29.8,</w:t>
            </w:r>
            <w:r>
              <w:rPr>
                <w:spacing w:val="-5"/>
                <w:sz w:val="20"/>
              </w:rPr>
              <w:t> </w:t>
            </w:r>
            <w:r>
              <w:rPr>
                <w:sz w:val="20"/>
              </w:rPr>
              <w:t>R43,</w:t>
            </w:r>
            <w:r>
              <w:rPr>
                <w:spacing w:val="-5"/>
                <w:sz w:val="20"/>
              </w:rPr>
              <w:t> </w:t>
            </w:r>
            <w:r>
              <w:rPr>
                <w:sz w:val="20"/>
              </w:rPr>
              <w:t>R43.0,</w:t>
            </w:r>
            <w:r>
              <w:rPr>
                <w:spacing w:val="-5"/>
                <w:sz w:val="20"/>
              </w:rPr>
              <w:t> </w:t>
            </w:r>
            <w:r>
              <w:rPr>
                <w:sz w:val="20"/>
              </w:rPr>
              <w:t>R43.1,</w:t>
            </w:r>
            <w:r>
              <w:rPr>
                <w:spacing w:val="-5"/>
                <w:sz w:val="20"/>
              </w:rPr>
              <w:t> </w:t>
            </w:r>
            <w:r>
              <w:rPr>
                <w:sz w:val="20"/>
              </w:rPr>
              <w:t>R43.2,</w:t>
            </w:r>
            <w:r>
              <w:rPr>
                <w:spacing w:val="-5"/>
                <w:sz w:val="20"/>
              </w:rPr>
              <w:t> </w:t>
            </w:r>
            <w:r>
              <w:rPr>
                <w:spacing w:val="-2"/>
                <w:sz w:val="20"/>
              </w:rPr>
              <w:t>R43.8,</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376"/>
              <w:rPr>
                <w:sz w:val="20"/>
              </w:rPr>
            </w:pPr>
            <w:r>
              <w:rPr>
                <w:sz w:val="20"/>
              </w:rPr>
              <w:t>R49,</w:t>
            </w:r>
            <w:r>
              <w:rPr>
                <w:spacing w:val="-7"/>
                <w:sz w:val="20"/>
              </w:rPr>
              <w:t> </w:t>
            </w:r>
            <w:r>
              <w:rPr>
                <w:sz w:val="20"/>
              </w:rPr>
              <w:t>R49.0,</w:t>
            </w:r>
            <w:r>
              <w:rPr>
                <w:spacing w:val="-5"/>
                <w:sz w:val="20"/>
              </w:rPr>
              <w:t> </w:t>
            </w:r>
            <w:r>
              <w:rPr>
                <w:sz w:val="20"/>
              </w:rPr>
              <w:t>R49.1,</w:t>
            </w:r>
            <w:r>
              <w:rPr>
                <w:spacing w:val="-4"/>
                <w:sz w:val="20"/>
              </w:rPr>
              <w:t> </w:t>
            </w:r>
            <w:r>
              <w:rPr>
                <w:sz w:val="20"/>
              </w:rPr>
              <w:t>R49.2,</w:t>
            </w:r>
            <w:r>
              <w:rPr>
                <w:spacing w:val="-5"/>
                <w:sz w:val="20"/>
              </w:rPr>
              <w:t> </w:t>
            </w:r>
            <w:r>
              <w:rPr>
                <w:sz w:val="20"/>
              </w:rPr>
              <w:t>R49.8,</w:t>
            </w:r>
            <w:r>
              <w:rPr>
                <w:spacing w:val="-4"/>
                <w:sz w:val="20"/>
              </w:rPr>
              <w:t> </w:t>
            </w:r>
            <w:r>
              <w:rPr>
                <w:sz w:val="20"/>
              </w:rPr>
              <w:t>R83,</w:t>
            </w:r>
            <w:r>
              <w:rPr>
                <w:spacing w:val="-6"/>
                <w:sz w:val="20"/>
              </w:rPr>
              <w:t> </w:t>
            </w:r>
            <w:r>
              <w:rPr>
                <w:spacing w:val="-2"/>
                <w:sz w:val="20"/>
              </w:rPr>
              <w:t>R83.0,</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227"/>
              <w:rPr>
                <w:sz w:val="20"/>
              </w:rPr>
            </w:pPr>
            <w:r>
              <w:rPr>
                <w:sz w:val="20"/>
              </w:rPr>
              <w:t>R83.1,</w:t>
            </w:r>
            <w:r>
              <w:rPr>
                <w:spacing w:val="-7"/>
                <w:sz w:val="20"/>
              </w:rPr>
              <w:t> </w:t>
            </w:r>
            <w:r>
              <w:rPr>
                <w:sz w:val="20"/>
              </w:rPr>
              <w:t>R83.2,</w:t>
            </w:r>
            <w:r>
              <w:rPr>
                <w:spacing w:val="-5"/>
                <w:sz w:val="20"/>
              </w:rPr>
              <w:t> </w:t>
            </w:r>
            <w:r>
              <w:rPr>
                <w:sz w:val="20"/>
              </w:rPr>
              <w:t>R83.3,</w:t>
            </w:r>
            <w:r>
              <w:rPr>
                <w:spacing w:val="-5"/>
                <w:sz w:val="20"/>
              </w:rPr>
              <w:t> </w:t>
            </w:r>
            <w:r>
              <w:rPr>
                <w:sz w:val="20"/>
              </w:rPr>
              <w:t>R83.4,</w:t>
            </w:r>
            <w:r>
              <w:rPr>
                <w:spacing w:val="-9"/>
                <w:sz w:val="20"/>
              </w:rPr>
              <w:t> </w:t>
            </w:r>
            <w:r>
              <w:rPr>
                <w:sz w:val="20"/>
              </w:rPr>
              <w:t>R83.5,</w:t>
            </w:r>
            <w:r>
              <w:rPr>
                <w:spacing w:val="-5"/>
                <w:sz w:val="20"/>
              </w:rPr>
              <w:t> </w:t>
            </w:r>
            <w:r>
              <w:rPr>
                <w:sz w:val="20"/>
              </w:rPr>
              <w:t>R83.6,</w:t>
            </w:r>
            <w:r>
              <w:rPr>
                <w:spacing w:val="-4"/>
                <w:sz w:val="20"/>
              </w:rPr>
              <w:t> </w:t>
            </w:r>
            <w:r>
              <w:rPr>
                <w:spacing w:val="-2"/>
                <w:sz w:val="20"/>
              </w:rPr>
              <w:t>R83.7,</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1" w:lineRule="exact"/>
              <w:ind w:left="376"/>
              <w:rPr>
                <w:sz w:val="20"/>
              </w:rPr>
            </w:pPr>
            <w:r>
              <w:rPr>
                <w:sz w:val="20"/>
              </w:rPr>
              <w:t>R83.8,</w:t>
            </w:r>
            <w:r>
              <w:rPr>
                <w:spacing w:val="-7"/>
                <w:sz w:val="20"/>
              </w:rPr>
              <w:t> </w:t>
            </w:r>
            <w:r>
              <w:rPr>
                <w:sz w:val="20"/>
              </w:rPr>
              <w:t>R83.9,</w:t>
            </w:r>
            <w:r>
              <w:rPr>
                <w:spacing w:val="-5"/>
                <w:sz w:val="20"/>
              </w:rPr>
              <w:t> </w:t>
            </w:r>
            <w:r>
              <w:rPr>
                <w:sz w:val="20"/>
              </w:rPr>
              <w:t>R90,</w:t>
            </w:r>
            <w:r>
              <w:rPr>
                <w:spacing w:val="-4"/>
                <w:sz w:val="20"/>
              </w:rPr>
              <w:t> </w:t>
            </w:r>
            <w:r>
              <w:rPr>
                <w:sz w:val="20"/>
              </w:rPr>
              <w:t>R90.0,</w:t>
            </w:r>
            <w:r>
              <w:rPr>
                <w:spacing w:val="-5"/>
                <w:sz w:val="20"/>
              </w:rPr>
              <w:t> </w:t>
            </w:r>
            <w:r>
              <w:rPr>
                <w:sz w:val="20"/>
              </w:rPr>
              <w:t>R90.8,</w:t>
            </w:r>
            <w:r>
              <w:rPr>
                <w:spacing w:val="-4"/>
                <w:sz w:val="20"/>
              </w:rPr>
              <w:t> </w:t>
            </w:r>
            <w:r>
              <w:rPr>
                <w:sz w:val="20"/>
              </w:rPr>
              <w:t>R93,</w:t>
            </w:r>
            <w:r>
              <w:rPr>
                <w:spacing w:val="-6"/>
                <w:sz w:val="20"/>
              </w:rPr>
              <w:t> </w:t>
            </w:r>
            <w:r>
              <w:rPr>
                <w:spacing w:val="-2"/>
                <w:sz w:val="20"/>
              </w:rPr>
              <w:t>R93.0,</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328"/>
              <w:rPr>
                <w:sz w:val="20"/>
              </w:rPr>
            </w:pPr>
            <w:r>
              <w:rPr>
                <w:sz w:val="20"/>
              </w:rPr>
              <w:t>R94,</w:t>
            </w:r>
            <w:r>
              <w:rPr>
                <w:spacing w:val="-4"/>
                <w:sz w:val="20"/>
              </w:rPr>
              <w:t> </w:t>
            </w:r>
            <w:r>
              <w:rPr>
                <w:sz w:val="20"/>
              </w:rPr>
              <w:t>R94.0,</w:t>
            </w:r>
            <w:r>
              <w:rPr>
                <w:spacing w:val="-6"/>
                <w:sz w:val="20"/>
              </w:rPr>
              <w:t> </w:t>
            </w:r>
            <w:r>
              <w:rPr>
                <w:sz w:val="20"/>
              </w:rPr>
              <w:t>T90.2,</w:t>
            </w:r>
            <w:r>
              <w:rPr>
                <w:spacing w:val="-6"/>
                <w:sz w:val="20"/>
              </w:rPr>
              <w:t> </w:t>
            </w:r>
            <w:r>
              <w:rPr>
                <w:sz w:val="20"/>
              </w:rPr>
              <w:t>T90.3,</w:t>
            </w:r>
            <w:r>
              <w:rPr>
                <w:spacing w:val="-6"/>
                <w:sz w:val="20"/>
              </w:rPr>
              <w:t> </w:t>
            </w:r>
            <w:r>
              <w:rPr>
                <w:sz w:val="20"/>
              </w:rPr>
              <w:t>T90.5,</w:t>
            </w:r>
            <w:r>
              <w:rPr>
                <w:spacing w:val="-6"/>
                <w:sz w:val="20"/>
              </w:rPr>
              <w:t> </w:t>
            </w:r>
            <w:r>
              <w:rPr>
                <w:sz w:val="20"/>
              </w:rPr>
              <w:t>T90.8,</w:t>
            </w:r>
            <w:r>
              <w:rPr>
                <w:spacing w:val="-6"/>
                <w:sz w:val="20"/>
              </w:rPr>
              <w:t> </w:t>
            </w:r>
            <w:r>
              <w:rPr>
                <w:spacing w:val="-2"/>
                <w:sz w:val="20"/>
              </w:rPr>
              <w:t>T90.9,</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24" w:lineRule="exact"/>
              <w:ind w:left="1712" w:right="1826"/>
              <w:jc w:val="center"/>
              <w:rPr>
                <w:sz w:val="20"/>
              </w:rPr>
            </w:pPr>
            <w:r>
              <w:rPr>
                <w:sz w:val="20"/>
              </w:rPr>
              <w:t>T92.4,</w:t>
            </w:r>
            <w:r>
              <w:rPr>
                <w:spacing w:val="-7"/>
                <w:sz w:val="20"/>
              </w:rPr>
              <w:t> </w:t>
            </w:r>
            <w:r>
              <w:rPr>
                <w:spacing w:val="-2"/>
                <w:sz w:val="20"/>
              </w:rPr>
              <w:t>T93.4</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st15.011</w:t>
            </w:r>
          </w:p>
        </w:tc>
        <w:tc>
          <w:tcPr>
            <w:tcW w:w="707" w:type="dxa"/>
          </w:tcPr>
          <w:p>
            <w:pPr>
              <w:pStyle w:val="TableParagraph"/>
              <w:spacing w:line="215" w:lineRule="exact" w:before="46"/>
              <w:ind w:left="261"/>
              <w:rPr>
                <w:sz w:val="20"/>
              </w:rPr>
            </w:pPr>
            <w:r>
              <w:rPr>
                <w:spacing w:val="-5"/>
                <w:sz w:val="20"/>
              </w:rPr>
              <w:t>98</w:t>
            </w:r>
          </w:p>
        </w:tc>
        <w:tc>
          <w:tcPr>
            <w:tcW w:w="2476" w:type="dxa"/>
          </w:tcPr>
          <w:p>
            <w:pPr>
              <w:pStyle w:val="TableParagraph"/>
              <w:spacing w:line="215" w:lineRule="exact" w:before="46"/>
              <w:ind w:left="192"/>
              <w:rPr>
                <w:sz w:val="20"/>
              </w:rPr>
            </w:pPr>
            <w:r>
              <w:rPr>
                <w:sz w:val="20"/>
              </w:rPr>
              <w:t>Другие</w:t>
            </w:r>
            <w:r>
              <w:rPr>
                <w:spacing w:val="-10"/>
                <w:sz w:val="20"/>
              </w:rPr>
              <w:t> </w:t>
            </w:r>
            <w:r>
              <w:rPr>
                <w:spacing w:val="-2"/>
                <w:sz w:val="20"/>
              </w:rPr>
              <w:t>нарушения</w:t>
            </w:r>
          </w:p>
        </w:tc>
        <w:tc>
          <w:tcPr>
            <w:tcW w:w="4606" w:type="dxa"/>
          </w:tcPr>
          <w:p>
            <w:pPr>
              <w:pStyle w:val="TableParagraph"/>
              <w:spacing w:line="215" w:lineRule="exact" w:before="46"/>
              <w:ind w:left="338"/>
              <w:rPr>
                <w:sz w:val="20"/>
              </w:rPr>
            </w:pPr>
            <w:r>
              <w:rPr>
                <w:sz w:val="20"/>
              </w:rPr>
              <w:t>G08,</w:t>
            </w:r>
            <w:r>
              <w:rPr>
                <w:spacing w:val="-5"/>
                <w:sz w:val="20"/>
              </w:rPr>
              <w:t> </w:t>
            </w:r>
            <w:r>
              <w:rPr>
                <w:sz w:val="20"/>
              </w:rPr>
              <w:t>G43,</w:t>
            </w:r>
            <w:r>
              <w:rPr>
                <w:spacing w:val="-6"/>
                <w:sz w:val="20"/>
              </w:rPr>
              <w:t> </w:t>
            </w:r>
            <w:r>
              <w:rPr>
                <w:sz w:val="20"/>
              </w:rPr>
              <w:t>G43.0,</w:t>
            </w:r>
            <w:r>
              <w:rPr>
                <w:spacing w:val="-4"/>
                <w:sz w:val="20"/>
              </w:rPr>
              <w:t> </w:t>
            </w:r>
            <w:r>
              <w:rPr>
                <w:sz w:val="20"/>
              </w:rPr>
              <w:t>G43.1,</w:t>
            </w:r>
            <w:r>
              <w:rPr>
                <w:spacing w:val="-5"/>
                <w:sz w:val="20"/>
              </w:rPr>
              <w:t> </w:t>
            </w:r>
            <w:r>
              <w:rPr>
                <w:sz w:val="20"/>
              </w:rPr>
              <w:t>G43.2,</w:t>
            </w:r>
            <w:r>
              <w:rPr>
                <w:spacing w:val="-4"/>
                <w:sz w:val="20"/>
              </w:rPr>
              <w:t> </w:t>
            </w:r>
            <w:r>
              <w:rPr>
                <w:sz w:val="20"/>
              </w:rPr>
              <w:t>G43.3,</w:t>
            </w:r>
            <w:r>
              <w:rPr>
                <w:spacing w:val="-4"/>
                <w:sz w:val="20"/>
              </w:rPr>
              <w:t> </w:t>
            </w:r>
            <w:r>
              <w:rPr>
                <w:spacing w:val="-2"/>
                <w:sz w:val="20"/>
              </w:rPr>
              <w:t>G43.8,</w:t>
            </w:r>
          </w:p>
        </w:tc>
        <w:tc>
          <w:tcPr>
            <w:tcW w:w="3533" w:type="dxa"/>
          </w:tcPr>
          <w:p>
            <w:pPr>
              <w:pStyle w:val="TableParagraph"/>
              <w:spacing w:line="215" w:lineRule="exact" w:before="46"/>
              <w:ind w:right="494"/>
              <w:jc w:val="center"/>
              <w:rPr>
                <w:sz w:val="20"/>
              </w:rPr>
            </w:pPr>
            <w:r>
              <w:rPr>
                <w:w w:val="99"/>
                <w:sz w:val="20"/>
              </w:rPr>
              <w:t>-</w:t>
            </w:r>
          </w:p>
        </w:tc>
        <w:tc>
          <w:tcPr>
            <w:tcW w:w="1748" w:type="dxa"/>
          </w:tcPr>
          <w:p>
            <w:pPr>
              <w:pStyle w:val="TableParagraph"/>
              <w:spacing w:line="215" w:lineRule="exact" w:before="46"/>
              <w:ind w:left="818"/>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0,99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z w:val="20"/>
              </w:rPr>
              <w:t>нервной</w:t>
            </w:r>
            <w:r>
              <w:rPr>
                <w:spacing w:val="-12"/>
                <w:sz w:val="20"/>
              </w:rPr>
              <w:t> </w:t>
            </w:r>
            <w:r>
              <w:rPr>
                <w:spacing w:val="-2"/>
                <w:sz w:val="20"/>
              </w:rPr>
              <w:t>системы</w:t>
            </w:r>
          </w:p>
        </w:tc>
        <w:tc>
          <w:tcPr>
            <w:tcW w:w="4606" w:type="dxa"/>
          </w:tcPr>
          <w:p>
            <w:pPr>
              <w:pStyle w:val="TableParagraph"/>
              <w:spacing w:line="210" w:lineRule="exact"/>
              <w:ind w:left="263"/>
              <w:rPr>
                <w:sz w:val="20"/>
              </w:rPr>
            </w:pPr>
            <w:r>
              <w:rPr>
                <w:sz w:val="20"/>
              </w:rPr>
              <w:t>G43.9,</w:t>
            </w:r>
            <w:r>
              <w:rPr>
                <w:spacing w:val="-6"/>
                <w:sz w:val="20"/>
              </w:rPr>
              <w:t> </w:t>
            </w:r>
            <w:r>
              <w:rPr>
                <w:sz w:val="20"/>
              </w:rPr>
              <w:t>G44,</w:t>
            </w:r>
            <w:r>
              <w:rPr>
                <w:spacing w:val="-6"/>
                <w:sz w:val="20"/>
              </w:rPr>
              <w:t> </w:t>
            </w:r>
            <w:r>
              <w:rPr>
                <w:sz w:val="20"/>
              </w:rPr>
              <w:t>G44.0,</w:t>
            </w:r>
            <w:r>
              <w:rPr>
                <w:spacing w:val="-5"/>
                <w:sz w:val="20"/>
              </w:rPr>
              <w:t> </w:t>
            </w:r>
            <w:r>
              <w:rPr>
                <w:sz w:val="20"/>
              </w:rPr>
              <w:t>G44.1,</w:t>
            </w:r>
            <w:r>
              <w:rPr>
                <w:spacing w:val="-6"/>
                <w:sz w:val="20"/>
              </w:rPr>
              <w:t> </w:t>
            </w:r>
            <w:r>
              <w:rPr>
                <w:sz w:val="20"/>
              </w:rPr>
              <w:t>G44.2,</w:t>
            </w:r>
            <w:r>
              <w:rPr>
                <w:spacing w:val="-5"/>
                <w:sz w:val="20"/>
              </w:rPr>
              <w:t> </w:t>
            </w:r>
            <w:r>
              <w:rPr>
                <w:sz w:val="20"/>
              </w:rPr>
              <w:t>G44.3,</w:t>
            </w:r>
            <w:r>
              <w:rPr>
                <w:spacing w:val="-6"/>
                <w:sz w:val="20"/>
              </w:rPr>
              <w:t> </w:t>
            </w:r>
            <w:r>
              <w:rPr>
                <w:spacing w:val="-2"/>
                <w:sz w:val="20"/>
              </w:rPr>
              <w:t>G44.4,</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4606" w:type="dxa"/>
          </w:tcPr>
          <w:p>
            <w:pPr>
              <w:pStyle w:val="TableParagraph"/>
              <w:spacing w:line="209" w:lineRule="exact"/>
              <w:ind w:left="484"/>
              <w:rPr>
                <w:sz w:val="20"/>
              </w:rPr>
            </w:pPr>
            <w:r>
              <w:rPr>
                <w:sz w:val="20"/>
              </w:rPr>
              <w:t>G44.8,</w:t>
            </w:r>
            <w:r>
              <w:rPr>
                <w:spacing w:val="-4"/>
                <w:sz w:val="20"/>
              </w:rPr>
              <w:t> </w:t>
            </w:r>
            <w:r>
              <w:rPr>
                <w:sz w:val="20"/>
              </w:rPr>
              <w:t>G93.1,</w:t>
            </w:r>
            <w:r>
              <w:rPr>
                <w:spacing w:val="-6"/>
                <w:sz w:val="20"/>
              </w:rPr>
              <w:t> </w:t>
            </w:r>
            <w:r>
              <w:rPr>
                <w:sz w:val="20"/>
              </w:rPr>
              <w:t>G93.5,</w:t>
            </w:r>
            <w:r>
              <w:rPr>
                <w:spacing w:val="-4"/>
                <w:sz w:val="20"/>
              </w:rPr>
              <w:t> </w:t>
            </w:r>
            <w:r>
              <w:rPr>
                <w:sz w:val="20"/>
              </w:rPr>
              <w:t>G93.6,</w:t>
            </w:r>
            <w:r>
              <w:rPr>
                <w:spacing w:val="-6"/>
                <w:sz w:val="20"/>
              </w:rPr>
              <w:t> </w:t>
            </w:r>
            <w:r>
              <w:rPr>
                <w:sz w:val="20"/>
              </w:rPr>
              <w:t>G95.1,</w:t>
            </w:r>
            <w:r>
              <w:rPr>
                <w:spacing w:val="-4"/>
                <w:sz w:val="20"/>
              </w:rPr>
              <w:t> </w:t>
            </w:r>
            <w:r>
              <w:rPr>
                <w:spacing w:val="-2"/>
                <w:sz w:val="20"/>
              </w:rPr>
              <w:t>G95.2,</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09" w:lineRule="exact"/>
              <w:ind w:left="263"/>
              <w:rPr>
                <w:sz w:val="20"/>
              </w:rPr>
            </w:pPr>
            <w:r>
              <w:rPr>
                <w:sz w:val="20"/>
              </w:rPr>
              <w:t>G95.8,</w:t>
            </w:r>
            <w:r>
              <w:rPr>
                <w:spacing w:val="-6"/>
                <w:sz w:val="20"/>
              </w:rPr>
              <w:t> </w:t>
            </w:r>
            <w:r>
              <w:rPr>
                <w:sz w:val="20"/>
              </w:rPr>
              <w:t>G95.9,</w:t>
            </w:r>
            <w:r>
              <w:rPr>
                <w:spacing w:val="-7"/>
                <w:sz w:val="20"/>
              </w:rPr>
              <w:t> </w:t>
            </w:r>
            <w:r>
              <w:rPr>
                <w:sz w:val="20"/>
              </w:rPr>
              <w:t>G97,</w:t>
            </w:r>
            <w:r>
              <w:rPr>
                <w:spacing w:val="-5"/>
                <w:sz w:val="20"/>
              </w:rPr>
              <w:t> </w:t>
            </w:r>
            <w:r>
              <w:rPr>
                <w:sz w:val="20"/>
              </w:rPr>
              <w:t>G97.0,</w:t>
            </w:r>
            <w:r>
              <w:rPr>
                <w:spacing w:val="-5"/>
                <w:sz w:val="20"/>
              </w:rPr>
              <w:t> </w:t>
            </w:r>
            <w:r>
              <w:rPr>
                <w:sz w:val="20"/>
              </w:rPr>
              <w:t>G97.1,</w:t>
            </w:r>
            <w:r>
              <w:rPr>
                <w:spacing w:val="-5"/>
                <w:sz w:val="20"/>
              </w:rPr>
              <w:t> </w:t>
            </w:r>
            <w:r>
              <w:rPr>
                <w:sz w:val="20"/>
              </w:rPr>
              <w:t>G97.2,</w:t>
            </w:r>
            <w:r>
              <w:rPr>
                <w:spacing w:val="-6"/>
                <w:sz w:val="20"/>
              </w:rPr>
              <w:t> </w:t>
            </w:r>
            <w:r>
              <w:rPr>
                <w:spacing w:val="-2"/>
                <w:sz w:val="20"/>
              </w:rPr>
              <w:t>G97.8,</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10" w:lineRule="exact"/>
              <w:ind w:left="364"/>
              <w:rPr>
                <w:sz w:val="20"/>
              </w:rPr>
            </w:pPr>
            <w:r>
              <w:rPr>
                <w:sz w:val="20"/>
              </w:rPr>
              <w:t>G97.9,</w:t>
            </w:r>
            <w:r>
              <w:rPr>
                <w:spacing w:val="-5"/>
                <w:sz w:val="20"/>
              </w:rPr>
              <w:t> </w:t>
            </w:r>
            <w:r>
              <w:rPr>
                <w:sz w:val="20"/>
              </w:rPr>
              <w:t>G99.2,</w:t>
            </w:r>
            <w:r>
              <w:rPr>
                <w:spacing w:val="-6"/>
                <w:sz w:val="20"/>
              </w:rPr>
              <w:t> </w:t>
            </w:r>
            <w:r>
              <w:rPr>
                <w:sz w:val="20"/>
              </w:rPr>
              <w:t>R40,</w:t>
            </w:r>
            <w:r>
              <w:rPr>
                <w:spacing w:val="-2"/>
                <w:sz w:val="20"/>
              </w:rPr>
              <w:t> </w:t>
            </w:r>
            <w:r>
              <w:rPr>
                <w:sz w:val="20"/>
              </w:rPr>
              <w:t>R40.0,</w:t>
            </w:r>
            <w:r>
              <w:rPr>
                <w:spacing w:val="-4"/>
                <w:sz w:val="20"/>
              </w:rPr>
              <w:t> </w:t>
            </w:r>
            <w:r>
              <w:rPr>
                <w:sz w:val="20"/>
              </w:rPr>
              <w:t>R40.1,</w:t>
            </w:r>
            <w:r>
              <w:rPr>
                <w:spacing w:val="-5"/>
                <w:sz w:val="20"/>
              </w:rPr>
              <w:t> </w:t>
            </w:r>
            <w:r>
              <w:rPr>
                <w:sz w:val="20"/>
              </w:rPr>
              <w:t>R40.2,</w:t>
            </w:r>
            <w:r>
              <w:rPr>
                <w:spacing w:val="-4"/>
                <w:sz w:val="20"/>
              </w:rPr>
              <w:t> R51,</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06" w:type="dxa"/>
          </w:tcPr>
          <w:p>
            <w:pPr>
              <w:pStyle w:val="TableParagraph"/>
              <w:spacing w:line="226" w:lineRule="exact"/>
              <w:ind w:left="1511"/>
              <w:rPr>
                <w:sz w:val="20"/>
              </w:rPr>
            </w:pPr>
            <w:r>
              <w:rPr>
                <w:sz w:val="20"/>
              </w:rPr>
              <w:t>T85,</w:t>
            </w:r>
            <w:r>
              <w:rPr>
                <w:spacing w:val="-5"/>
                <w:sz w:val="20"/>
              </w:rPr>
              <w:t> </w:t>
            </w:r>
            <w:r>
              <w:rPr>
                <w:sz w:val="20"/>
              </w:rPr>
              <w:t>T85.0,</w:t>
            </w:r>
            <w:r>
              <w:rPr>
                <w:spacing w:val="-5"/>
                <w:sz w:val="20"/>
              </w:rPr>
              <w:t> </w:t>
            </w:r>
            <w:r>
              <w:rPr>
                <w:spacing w:val="-2"/>
                <w:sz w:val="20"/>
              </w:rPr>
              <w:t>T85.1</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st15.012</w:t>
            </w:r>
          </w:p>
        </w:tc>
        <w:tc>
          <w:tcPr>
            <w:tcW w:w="707" w:type="dxa"/>
          </w:tcPr>
          <w:p>
            <w:pPr>
              <w:pStyle w:val="TableParagraph"/>
              <w:spacing w:line="214" w:lineRule="exact" w:before="46"/>
              <w:ind w:left="261"/>
              <w:rPr>
                <w:sz w:val="20"/>
              </w:rPr>
            </w:pPr>
            <w:r>
              <w:rPr>
                <w:spacing w:val="-5"/>
                <w:sz w:val="20"/>
              </w:rPr>
              <w:t>99</w:t>
            </w:r>
          </w:p>
        </w:tc>
        <w:tc>
          <w:tcPr>
            <w:tcW w:w="2476" w:type="dxa"/>
          </w:tcPr>
          <w:p>
            <w:pPr>
              <w:pStyle w:val="TableParagraph"/>
              <w:spacing w:line="214" w:lineRule="exact" w:before="46"/>
              <w:ind w:left="192"/>
              <w:rPr>
                <w:sz w:val="20"/>
              </w:rPr>
            </w:pPr>
            <w:r>
              <w:rPr>
                <w:spacing w:val="-2"/>
                <w:sz w:val="20"/>
              </w:rPr>
              <w:t>Транзиторные</w:t>
            </w:r>
          </w:p>
        </w:tc>
        <w:tc>
          <w:tcPr>
            <w:tcW w:w="4606" w:type="dxa"/>
          </w:tcPr>
          <w:p>
            <w:pPr>
              <w:pStyle w:val="TableParagraph"/>
              <w:spacing w:line="214" w:lineRule="exact" w:before="46"/>
              <w:ind w:left="263"/>
              <w:rPr>
                <w:sz w:val="20"/>
              </w:rPr>
            </w:pPr>
            <w:r>
              <w:rPr>
                <w:sz w:val="20"/>
              </w:rPr>
              <w:t>G45,</w:t>
            </w:r>
            <w:r>
              <w:rPr>
                <w:spacing w:val="-6"/>
                <w:sz w:val="20"/>
              </w:rPr>
              <w:t> </w:t>
            </w:r>
            <w:r>
              <w:rPr>
                <w:sz w:val="20"/>
              </w:rPr>
              <w:t>G45.0,</w:t>
            </w:r>
            <w:r>
              <w:rPr>
                <w:spacing w:val="-6"/>
                <w:sz w:val="20"/>
              </w:rPr>
              <w:t> </w:t>
            </w:r>
            <w:r>
              <w:rPr>
                <w:sz w:val="20"/>
              </w:rPr>
              <w:t>G45.1,</w:t>
            </w:r>
            <w:r>
              <w:rPr>
                <w:spacing w:val="-5"/>
                <w:sz w:val="20"/>
              </w:rPr>
              <w:t> </w:t>
            </w:r>
            <w:r>
              <w:rPr>
                <w:sz w:val="20"/>
              </w:rPr>
              <w:t>G45.2,</w:t>
            </w:r>
            <w:r>
              <w:rPr>
                <w:spacing w:val="-6"/>
                <w:sz w:val="20"/>
              </w:rPr>
              <w:t> </w:t>
            </w:r>
            <w:r>
              <w:rPr>
                <w:sz w:val="20"/>
              </w:rPr>
              <w:t>G45.3,</w:t>
            </w:r>
            <w:r>
              <w:rPr>
                <w:spacing w:val="-5"/>
                <w:sz w:val="20"/>
              </w:rPr>
              <w:t> </w:t>
            </w:r>
            <w:r>
              <w:rPr>
                <w:sz w:val="20"/>
              </w:rPr>
              <w:t>G45.4,</w:t>
            </w:r>
            <w:r>
              <w:rPr>
                <w:spacing w:val="-6"/>
                <w:sz w:val="20"/>
              </w:rPr>
              <w:t> </w:t>
            </w:r>
            <w:r>
              <w:rPr>
                <w:spacing w:val="-2"/>
                <w:sz w:val="20"/>
              </w:rPr>
              <w:t>G45.8,</w:t>
            </w:r>
          </w:p>
        </w:tc>
        <w:tc>
          <w:tcPr>
            <w:tcW w:w="3533" w:type="dxa"/>
          </w:tcPr>
          <w:p>
            <w:pPr>
              <w:pStyle w:val="TableParagraph"/>
              <w:spacing w:line="214" w:lineRule="exact" w:before="46"/>
              <w:ind w:right="494"/>
              <w:jc w:val="center"/>
              <w:rPr>
                <w:sz w:val="20"/>
              </w:rPr>
            </w:pPr>
            <w:r>
              <w:rPr>
                <w:w w:val="99"/>
                <w:sz w:val="20"/>
              </w:rPr>
              <w:t>-</w:t>
            </w:r>
          </w:p>
        </w:tc>
        <w:tc>
          <w:tcPr>
            <w:tcW w:w="1748" w:type="dxa"/>
          </w:tcPr>
          <w:p>
            <w:pPr>
              <w:pStyle w:val="TableParagraph"/>
              <w:spacing w:line="214" w:lineRule="exact" w:before="46"/>
              <w:ind w:left="818"/>
              <w:rPr>
                <w:sz w:val="20"/>
              </w:rPr>
            </w:pPr>
            <w:r>
              <w:rPr>
                <w:w w:val="99"/>
                <w:sz w:val="20"/>
              </w:rPr>
              <w:t>-</w:t>
            </w:r>
          </w:p>
        </w:tc>
        <w:tc>
          <w:tcPr>
            <w:tcW w:w="1262" w:type="dxa"/>
          </w:tcPr>
          <w:p>
            <w:pPr>
              <w:pStyle w:val="TableParagraph"/>
              <w:spacing w:line="214" w:lineRule="exact" w:before="46"/>
              <w:ind w:right="52"/>
              <w:jc w:val="right"/>
              <w:rPr>
                <w:sz w:val="20"/>
              </w:rPr>
            </w:pPr>
            <w:r>
              <w:rPr>
                <w:spacing w:val="-4"/>
                <w:sz w:val="20"/>
              </w:rPr>
              <w:t>1,15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09" w:lineRule="exact"/>
              <w:ind w:left="192"/>
              <w:rPr>
                <w:sz w:val="20"/>
              </w:rPr>
            </w:pPr>
            <w:r>
              <w:rPr>
                <w:spacing w:val="-2"/>
                <w:sz w:val="20"/>
              </w:rPr>
              <w:t>ишемические</w:t>
            </w:r>
            <w:r>
              <w:rPr>
                <w:spacing w:val="9"/>
                <w:sz w:val="20"/>
              </w:rPr>
              <w:t> </w:t>
            </w:r>
            <w:r>
              <w:rPr>
                <w:spacing w:val="-2"/>
                <w:sz w:val="20"/>
              </w:rPr>
              <w:t>приступы,</w:t>
            </w:r>
          </w:p>
        </w:tc>
        <w:tc>
          <w:tcPr>
            <w:tcW w:w="4606" w:type="dxa"/>
          </w:tcPr>
          <w:p>
            <w:pPr>
              <w:pStyle w:val="TableParagraph"/>
              <w:spacing w:line="209" w:lineRule="exact"/>
              <w:ind w:left="263"/>
              <w:rPr>
                <w:sz w:val="20"/>
              </w:rPr>
            </w:pPr>
            <w:r>
              <w:rPr>
                <w:sz w:val="20"/>
              </w:rPr>
              <w:t>G45.9,</w:t>
            </w:r>
            <w:r>
              <w:rPr>
                <w:spacing w:val="-6"/>
                <w:sz w:val="20"/>
              </w:rPr>
              <w:t> </w:t>
            </w:r>
            <w:r>
              <w:rPr>
                <w:sz w:val="20"/>
              </w:rPr>
              <w:t>G46,</w:t>
            </w:r>
            <w:r>
              <w:rPr>
                <w:spacing w:val="-6"/>
                <w:sz w:val="20"/>
              </w:rPr>
              <w:t> </w:t>
            </w:r>
            <w:r>
              <w:rPr>
                <w:sz w:val="20"/>
              </w:rPr>
              <w:t>G46.0,</w:t>
            </w:r>
            <w:r>
              <w:rPr>
                <w:spacing w:val="-5"/>
                <w:sz w:val="20"/>
              </w:rPr>
              <w:t> </w:t>
            </w:r>
            <w:r>
              <w:rPr>
                <w:sz w:val="20"/>
              </w:rPr>
              <w:t>G46.1,</w:t>
            </w:r>
            <w:r>
              <w:rPr>
                <w:spacing w:val="-6"/>
                <w:sz w:val="20"/>
              </w:rPr>
              <w:t> </w:t>
            </w:r>
            <w:r>
              <w:rPr>
                <w:sz w:val="20"/>
              </w:rPr>
              <w:t>G46.2,</w:t>
            </w:r>
            <w:r>
              <w:rPr>
                <w:spacing w:val="-5"/>
                <w:sz w:val="20"/>
              </w:rPr>
              <w:t> </w:t>
            </w:r>
            <w:r>
              <w:rPr>
                <w:sz w:val="20"/>
              </w:rPr>
              <w:t>G46.3,</w:t>
            </w:r>
            <w:r>
              <w:rPr>
                <w:spacing w:val="-6"/>
                <w:sz w:val="20"/>
              </w:rPr>
              <w:t> </w:t>
            </w:r>
            <w:r>
              <w:rPr>
                <w:spacing w:val="-2"/>
                <w:sz w:val="20"/>
              </w:rPr>
              <w:t>G46.4,</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1" w:lineRule="exact"/>
              <w:ind w:left="192"/>
              <w:rPr>
                <w:sz w:val="20"/>
              </w:rPr>
            </w:pPr>
            <w:r>
              <w:rPr>
                <w:sz w:val="20"/>
              </w:rPr>
              <w:t>сосудистые</w:t>
            </w:r>
            <w:r>
              <w:rPr>
                <w:spacing w:val="-11"/>
                <w:sz w:val="20"/>
              </w:rPr>
              <w:t> </w:t>
            </w:r>
            <w:r>
              <w:rPr>
                <w:spacing w:val="-2"/>
                <w:sz w:val="20"/>
              </w:rPr>
              <w:t>мозговые</w:t>
            </w:r>
          </w:p>
        </w:tc>
        <w:tc>
          <w:tcPr>
            <w:tcW w:w="4606" w:type="dxa"/>
          </w:tcPr>
          <w:p>
            <w:pPr>
              <w:pStyle w:val="TableParagraph"/>
              <w:spacing w:line="211" w:lineRule="exact"/>
              <w:ind w:left="1106"/>
              <w:rPr>
                <w:sz w:val="20"/>
              </w:rPr>
            </w:pPr>
            <w:r>
              <w:rPr>
                <w:sz w:val="20"/>
              </w:rPr>
              <w:t>G46.5,</w:t>
            </w:r>
            <w:r>
              <w:rPr>
                <w:spacing w:val="-4"/>
                <w:sz w:val="20"/>
              </w:rPr>
              <w:t> </w:t>
            </w:r>
            <w:r>
              <w:rPr>
                <w:sz w:val="20"/>
              </w:rPr>
              <w:t>G46.6,</w:t>
            </w:r>
            <w:r>
              <w:rPr>
                <w:spacing w:val="-6"/>
                <w:sz w:val="20"/>
              </w:rPr>
              <w:t> </w:t>
            </w:r>
            <w:r>
              <w:rPr>
                <w:sz w:val="20"/>
              </w:rPr>
              <w:t>G46.7,</w:t>
            </w:r>
            <w:r>
              <w:rPr>
                <w:spacing w:val="-4"/>
                <w:sz w:val="20"/>
              </w:rPr>
              <w:t> G46.8</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spacing w:line="226" w:lineRule="exact"/>
              <w:ind w:left="192"/>
              <w:rPr>
                <w:sz w:val="20"/>
              </w:rPr>
            </w:pPr>
            <w:r>
              <w:rPr>
                <w:spacing w:val="-2"/>
                <w:sz w:val="20"/>
              </w:rPr>
              <w:t>синдромы</w:t>
            </w:r>
          </w:p>
        </w:tc>
        <w:tc>
          <w:tcPr>
            <w:tcW w:w="4606" w:type="dxa"/>
          </w:tcPr>
          <w:p>
            <w:pPr>
              <w:pStyle w:val="TableParagraph"/>
              <w:rPr>
                <w:sz w:val="18"/>
              </w:rPr>
            </w:pP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st15.013</w:t>
            </w:r>
          </w:p>
        </w:tc>
        <w:tc>
          <w:tcPr>
            <w:tcW w:w="707" w:type="dxa"/>
          </w:tcPr>
          <w:p>
            <w:pPr>
              <w:pStyle w:val="TableParagraph"/>
              <w:spacing w:line="214" w:lineRule="exact" w:before="46"/>
              <w:ind w:left="210"/>
              <w:rPr>
                <w:sz w:val="20"/>
              </w:rPr>
            </w:pPr>
            <w:r>
              <w:rPr>
                <w:spacing w:val="-5"/>
                <w:sz w:val="20"/>
              </w:rPr>
              <w:t>100</w:t>
            </w:r>
          </w:p>
        </w:tc>
        <w:tc>
          <w:tcPr>
            <w:tcW w:w="2476" w:type="dxa"/>
          </w:tcPr>
          <w:p>
            <w:pPr>
              <w:pStyle w:val="TableParagraph"/>
              <w:spacing w:line="214" w:lineRule="exact" w:before="46"/>
              <w:ind w:left="192"/>
              <w:rPr>
                <w:sz w:val="20"/>
              </w:rPr>
            </w:pPr>
            <w:r>
              <w:rPr>
                <w:sz w:val="20"/>
              </w:rPr>
              <w:t>Кровоизлияние</w:t>
            </w:r>
            <w:r>
              <w:rPr>
                <w:spacing w:val="-11"/>
                <w:sz w:val="20"/>
              </w:rPr>
              <w:t> </w:t>
            </w:r>
            <w:r>
              <w:rPr>
                <w:sz w:val="20"/>
              </w:rPr>
              <w:t>в</w:t>
            </w:r>
            <w:r>
              <w:rPr>
                <w:spacing w:val="-11"/>
                <w:sz w:val="20"/>
              </w:rPr>
              <w:t> </w:t>
            </w:r>
            <w:r>
              <w:rPr>
                <w:spacing w:val="-4"/>
                <w:sz w:val="20"/>
              </w:rPr>
              <w:t>мозг</w:t>
            </w:r>
          </w:p>
        </w:tc>
        <w:tc>
          <w:tcPr>
            <w:tcW w:w="4606" w:type="dxa"/>
          </w:tcPr>
          <w:p>
            <w:pPr>
              <w:pStyle w:val="TableParagraph"/>
              <w:spacing w:line="214" w:lineRule="exact" w:before="46"/>
              <w:ind w:left="275"/>
              <w:rPr>
                <w:sz w:val="20"/>
              </w:rPr>
            </w:pPr>
            <w:r>
              <w:rPr>
                <w:sz w:val="20"/>
              </w:rPr>
              <w:t>I60,</w:t>
            </w:r>
            <w:r>
              <w:rPr>
                <w:spacing w:val="-5"/>
                <w:sz w:val="20"/>
              </w:rPr>
              <w:t> </w:t>
            </w:r>
            <w:r>
              <w:rPr>
                <w:sz w:val="20"/>
              </w:rPr>
              <w:t>I60.0,</w:t>
            </w:r>
            <w:r>
              <w:rPr>
                <w:spacing w:val="-5"/>
                <w:sz w:val="20"/>
              </w:rPr>
              <w:t> </w:t>
            </w:r>
            <w:r>
              <w:rPr>
                <w:sz w:val="20"/>
              </w:rPr>
              <w:t>I60.1,</w:t>
            </w:r>
            <w:r>
              <w:rPr>
                <w:spacing w:val="-5"/>
                <w:sz w:val="20"/>
              </w:rPr>
              <w:t> </w:t>
            </w:r>
            <w:r>
              <w:rPr>
                <w:sz w:val="20"/>
              </w:rPr>
              <w:t>I60.2,</w:t>
            </w:r>
            <w:r>
              <w:rPr>
                <w:spacing w:val="-6"/>
                <w:sz w:val="20"/>
              </w:rPr>
              <w:t> </w:t>
            </w:r>
            <w:r>
              <w:rPr>
                <w:sz w:val="20"/>
              </w:rPr>
              <w:t>I60.3,</w:t>
            </w:r>
            <w:r>
              <w:rPr>
                <w:spacing w:val="-6"/>
                <w:sz w:val="20"/>
              </w:rPr>
              <w:t> </w:t>
            </w:r>
            <w:r>
              <w:rPr>
                <w:sz w:val="20"/>
              </w:rPr>
              <w:t>I60.4,</w:t>
            </w:r>
            <w:r>
              <w:rPr>
                <w:spacing w:val="-5"/>
                <w:sz w:val="20"/>
              </w:rPr>
              <w:t> </w:t>
            </w:r>
            <w:r>
              <w:rPr>
                <w:sz w:val="20"/>
              </w:rPr>
              <w:t>I60.5,</w:t>
            </w:r>
            <w:r>
              <w:rPr>
                <w:spacing w:val="-7"/>
                <w:sz w:val="20"/>
              </w:rPr>
              <w:t> </w:t>
            </w:r>
            <w:r>
              <w:rPr>
                <w:spacing w:val="-2"/>
                <w:sz w:val="20"/>
              </w:rPr>
              <w:t>I60.6,</w:t>
            </w:r>
          </w:p>
        </w:tc>
        <w:tc>
          <w:tcPr>
            <w:tcW w:w="3533" w:type="dxa"/>
          </w:tcPr>
          <w:p>
            <w:pPr>
              <w:pStyle w:val="TableParagraph"/>
              <w:spacing w:line="214" w:lineRule="exact" w:before="46"/>
              <w:ind w:right="494"/>
              <w:jc w:val="center"/>
              <w:rPr>
                <w:sz w:val="20"/>
              </w:rPr>
            </w:pPr>
            <w:r>
              <w:rPr>
                <w:w w:val="99"/>
                <w:sz w:val="20"/>
              </w:rPr>
              <w:t>-</w:t>
            </w:r>
          </w:p>
        </w:tc>
        <w:tc>
          <w:tcPr>
            <w:tcW w:w="1748" w:type="dxa"/>
          </w:tcPr>
          <w:p>
            <w:pPr>
              <w:pStyle w:val="TableParagraph"/>
              <w:spacing w:line="214" w:lineRule="exact" w:before="46"/>
              <w:ind w:left="818"/>
              <w:rPr>
                <w:sz w:val="20"/>
              </w:rPr>
            </w:pPr>
            <w:r>
              <w:rPr>
                <w:w w:val="99"/>
                <w:sz w:val="20"/>
              </w:rPr>
              <w:t>-</w:t>
            </w:r>
          </w:p>
        </w:tc>
        <w:tc>
          <w:tcPr>
            <w:tcW w:w="1262" w:type="dxa"/>
          </w:tcPr>
          <w:p>
            <w:pPr>
              <w:pStyle w:val="TableParagraph"/>
              <w:spacing w:line="214" w:lineRule="exact" w:before="46"/>
              <w:ind w:right="52"/>
              <w:jc w:val="right"/>
              <w:rPr>
                <w:sz w:val="20"/>
              </w:rPr>
            </w:pPr>
            <w:r>
              <w:rPr>
                <w:spacing w:val="-4"/>
                <w:sz w:val="20"/>
              </w:rPr>
              <w:t>2,82</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09" w:lineRule="exact"/>
              <w:ind w:left="275"/>
              <w:rPr>
                <w:sz w:val="20"/>
              </w:rPr>
            </w:pPr>
            <w:r>
              <w:rPr>
                <w:sz w:val="20"/>
              </w:rPr>
              <w:t>I60.7,</w:t>
            </w:r>
            <w:r>
              <w:rPr>
                <w:spacing w:val="-5"/>
                <w:sz w:val="20"/>
              </w:rPr>
              <w:t> </w:t>
            </w:r>
            <w:r>
              <w:rPr>
                <w:sz w:val="20"/>
              </w:rPr>
              <w:t>I60.8,</w:t>
            </w:r>
            <w:r>
              <w:rPr>
                <w:spacing w:val="-6"/>
                <w:sz w:val="20"/>
              </w:rPr>
              <w:t> </w:t>
            </w:r>
            <w:r>
              <w:rPr>
                <w:sz w:val="20"/>
              </w:rPr>
              <w:t>I60.9,</w:t>
            </w:r>
            <w:r>
              <w:rPr>
                <w:spacing w:val="-5"/>
                <w:sz w:val="20"/>
              </w:rPr>
              <w:t> </w:t>
            </w:r>
            <w:r>
              <w:rPr>
                <w:sz w:val="20"/>
              </w:rPr>
              <w:t>I61,</w:t>
            </w:r>
            <w:r>
              <w:rPr>
                <w:spacing w:val="-6"/>
                <w:sz w:val="20"/>
              </w:rPr>
              <w:t> </w:t>
            </w:r>
            <w:r>
              <w:rPr>
                <w:sz w:val="20"/>
              </w:rPr>
              <w:t>I61.0,</w:t>
            </w:r>
            <w:r>
              <w:rPr>
                <w:spacing w:val="-7"/>
                <w:sz w:val="20"/>
              </w:rPr>
              <w:t> </w:t>
            </w:r>
            <w:r>
              <w:rPr>
                <w:sz w:val="20"/>
              </w:rPr>
              <w:t>I61.1,</w:t>
            </w:r>
            <w:r>
              <w:rPr>
                <w:spacing w:val="-4"/>
                <w:sz w:val="20"/>
              </w:rPr>
              <w:t> </w:t>
            </w:r>
            <w:r>
              <w:rPr>
                <w:sz w:val="20"/>
              </w:rPr>
              <w:t>I61.2,</w:t>
            </w:r>
            <w:r>
              <w:rPr>
                <w:spacing w:val="-7"/>
                <w:sz w:val="20"/>
              </w:rPr>
              <w:t> </w:t>
            </w:r>
            <w:r>
              <w:rPr>
                <w:spacing w:val="-2"/>
                <w:sz w:val="20"/>
              </w:rPr>
              <w:t>I61.3,</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10" w:lineRule="exact"/>
              <w:ind w:left="275"/>
              <w:rPr>
                <w:sz w:val="20"/>
              </w:rPr>
            </w:pPr>
            <w:r>
              <w:rPr>
                <w:sz w:val="20"/>
              </w:rPr>
              <w:t>I61.4,</w:t>
            </w:r>
            <w:r>
              <w:rPr>
                <w:spacing w:val="-5"/>
                <w:sz w:val="20"/>
              </w:rPr>
              <w:t> </w:t>
            </w:r>
            <w:r>
              <w:rPr>
                <w:sz w:val="20"/>
              </w:rPr>
              <w:t>I61.5,</w:t>
            </w:r>
            <w:r>
              <w:rPr>
                <w:spacing w:val="-7"/>
                <w:sz w:val="20"/>
              </w:rPr>
              <w:t> </w:t>
            </w:r>
            <w:r>
              <w:rPr>
                <w:sz w:val="20"/>
              </w:rPr>
              <w:t>I61.6,</w:t>
            </w:r>
            <w:r>
              <w:rPr>
                <w:spacing w:val="-5"/>
                <w:sz w:val="20"/>
              </w:rPr>
              <w:t> </w:t>
            </w:r>
            <w:r>
              <w:rPr>
                <w:sz w:val="20"/>
              </w:rPr>
              <w:t>I61.8,</w:t>
            </w:r>
            <w:r>
              <w:rPr>
                <w:spacing w:val="-5"/>
                <w:sz w:val="20"/>
              </w:rPr>
              <w:t> </w:t>
            </w:r>
            <w:r>
              <w:rPr>
                <w:sz w:val="20"/>
              </w:rPr>
              <w:t>I61.9,</w:t>
            </w:r>
            <w:r>
              <w:rPr>
                <w:spacing w:val="-5"/>
                <w:sz w:val="20"/>
              </w:rPr>
              <w:t> </w:t>
            </w:r>
            <w:r>
              <w:rPr>
                <w:sz w:val="20"/>
              </w:rPr>
              <w:t>I62,</w:t>
            </w:r>
            <w:r>
              <w:rPr>
                <w:spacing w:val="-5"/>
                <w:sz w:val="20"/>
              </w:rPr>
              <w:t> </w:t>
            </w:r>
            <w:r>
              <w:rPr>
                <w:sz w:val="20"/>
              </w:rPr>
              <w:t>I62.0,</w:t>
            </w:r>
            <w:r>
              <w:rPr>
                <w:spacing w:val="-7"/>
                <w:sz w:val="20"/>
              </w:rPr>
              <w:t> </w:t>
            </w:r>
            <w:r>
              <w:rPr>
                <w:spacing w:val="-2"/>
                <w:sz w:val="20"/>
              </w:rPr>
              <w:t>I62.1,</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06" w:type="dxa"/>
          </w:tcPr>
          <w:p>
            <w:pPr>
              <w:pStyle w:val="TableParagraph"/>
              <w:spacing w:line="226" w:lineRule="exact"/>
              <w:ind w:left="1710" w:right="1826"/>
              <w:jc w:val="center"/>
              <w:rPr>
                <w:sz w:val="20"/>
              </w:rPr>
            </w:pPr>
            <w:r>
              <w:rPr>
                <w:spacing w:val="-2"/>
                <w:sz w:val="20"/>
              </w:rPr>
              <w:t>I62.9</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st15.014</w:t>
            </w:r>
          </w:p>
        </w:tc>
        <w:tc>
          <w:tcPr>
            <w:tcW w:w="707" w:type="dxa"/>
          </w:tcPr>
          <w:p>
            <w:pPr>
              <w:pStyle w:val="TableParagraph"/>
              <w:spacing w:line="215" w:lineRule="exact" w:before="45"/>
              <w:ind w:left="210"/>
              <w:rPr>
                <w:sz w:val="20"/>
              </w:rPr>
            </w:pPr>
            <w:r>
              <w:rPr>
                <w:spacing w:val="-5"/>
                <w:sz w:val="20"/>
              </w:rPr>
              <w:t>101</w:t>
            </w:r>
          </w:p>
        </w:tc>
        <w:tc>
          <w:tcPr>
            <w:tcW w:w="2476" w:type="dxa"/>
          </w:tcPr>
          <w:p>
            <w:pPr>
              <w:pStyle w:val="TableParagraph"/>
              <w:spacing w:line="215" w:lineRule="exact" w:before="45"/>
              <w:ind w:left="192"/>
              <w:rPr>
                <w:sz w:val="20"/>
              </w:rPr>
            </w:pPr>
            <w:r>
              <w:rPr>
                <w:sz w:val="20"/>
              </w:rPr>
              <w:t>Инфаркт</w:t>
            </w:r>
            <w:r>
              <w:rPr>
                <w:spacing w:val="-11"/>
                <w:sz w:val="20"/>
              </w:rPr>
              <w:t> </w:t>
            </w:r>
            <w:r>
              <w:rPr>
                <w:spacing w:val="-2"/>
                <w:sz w:val="20"/>
              </w:rPr>
              <w:t>мозга</w:t>
            </w:r>
          </w:p>
        </w:tc>
        <w:tc>
          <w:tcPr>
            <w:tcW w:w="4606" w:type="dxa"/>
          </w:tcPr>
          <w:p>
            <w:pPr>
              <w:pStyle w:val="TableParagraph"/>
              <w:spacing w:line="215" w:lineRule="exact" w:before="45"/>
              <w:ind w:left="201"/>
              <w:rPr>
                <w:sz w:val="20"/>
              </w:rPr>
            </w:pPr>
            <w:r>
              <w:rPr>
                <w:sz w:val="20"/>
              </w:rPr>
              <w:t>I63.0,</w:t>
            </w:r>
            <w:r>
              <w:rPr>
                <w:spacing w:val="-5"/>
                <w:sz w:val="20"/>
              </w:rPr>
              <w:t> </w:t>
            </w:r>
            <w:r>
              <w:rPr>
                <w:sz w:val="20"/>
              </w:rPr>
              <w:t>I63.1,</w:t>
            </w:r>
            <w:r>
              <w:rPr>
                <w:spacing w:val="-7"/>
                <w:sz w:val="20"/>
              </w:rPr>
              <w:t> </w:t>
            </w:r>
            <w:r>
              <w:rPr>
                <w:sz w:val="20"/>
              </w:rPr>
              <w:t>I63.2,</w:t>
            </w:r>
            <w:r>
              <w:rPr>
                <w:spacing w:val="-5"/>
                <w:sz w:val="20"/>
              </w:rPr>
              <w:t> </w:t>
            </w:r>
            <w:r>
              <w:rPr>
                <w:sz w:val="20"/>
              </w:rPr>
              <w:t>I63.3,</w:t>
            </w:r>
            <w:r>
              <w:rPr>
                <w:spacing w:val="-5"/>
                <w:sz w:val="20"/>
              </w:rPr>
              <w:t> </w:t>
            </w:r>
            <w:r>
              <w:rPr>
                <w:sz w:val="20"/>
              </w:rPr>
              <w:t>I63.4,</w:t>
            </w:r>
            <w:r>
              <w:rPr>
                <w:spacing w:val="-5"/>
                <w:sz w:val="20"/>
              </w:rPr>
              <w:t> </w:t>
            </w:r>
            <w:r>
              <w:rPr>
                <w:sz w:val="20"/>
              </w:rPr>
              <w:t>I63.5,</w:t>
            </w:r>
            <w:r>
              <w:rPr>
                <w:spacing w:val="-6"/>
                <w:sz w:val="20"/>
              </w:rPr>
              <w:t> </w:t>
            </w:r>
            <w:r>
              <w:rPr>
                <w:sz w:val="20"/>
              </w:rPr>
              <w:t>I63.6,</w:t>
            </w:r>
            <w:r>
              <w:rPr>
                <w:spacing w:val="-5"/>
                <w:sz w:val="20"/>
              </w:rPr>
              <w:t> </w:t>
            </w:r>
            <w:r>
              <w:rPr>
                <w:spacing w:val="-2"/>
                <w:sz w:val="20"/>
              </w:rPr>
              <w:t>I63.8,</w:t>
            </w:r>
          </w:p>
        </w:tc>
        <w:tc>
          <w:tcPr>
            <w:tcW w:w="3533" w:type="dxa"/>
          </w:tcPr>
          <w:p>
            <w:pPr>
              <w:pStyle w:val="TableParagraph"/>
              <w:spacing w:line="215" w:lineRule="exact" w:before="45"/>
              <w:ind w:right="494"/>
              <w:jc w:val="center"/>
              <w:rPr>
                <w:sz w:val="20"/>
              </w:rPr>
            </w:pPr>
            <w:r>
              <w:rPr>
                <w:w w:val="99"/>
                <w:sz w:val="20"/>
              </w:rPr>
              <w:t>-</w:t>
            </w:r>
          </w:p>
        </w:tc>
        <w:tc>
          <w:tcPr>
            <w:tcW w:w="1748" w:type="dxa"/>
          </w:tcPr>
          <w:p>
            <w:pPr>
              <w:pStyle w:val="TableParagraph"/>
              <w:spacing w:line="215" w:lineRule="exact" w:before="45"/>
              <w:ind w:left="818"/>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2,52</w:t>
            </w: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spacing w:line="226" w:lineRule="exact"/>
              <w:ind w:left="192"/>
              <w:rPr>
                <w:sz w:val="20"/>
              </w:rPr>
            </w:pPr>
            <w:r>
              <w:rPr>
                <w:sz w:val="20"/>
              </w:rPr>
              <w:t>(уровень</w:t>
            </w:r>
            <w:r>
              <w:rPr>
                <w:spacing w:val="-10"/>
                <w:sz w:val="20"/>
              </w:rPr>
              <w:t> </w:t>
            </w:r>
            <w:r>
              <w:rPr>
                <w:spacing w:val="-5"/>
                <w:sz w:val="20"/>
              </w:rPr>
              <w:t>1)</w:t>
            </w:r>
          </w:p>
        </w:tc>
        <w:tc>
          <w:tcPr>
            <w:tcW w:w="4606" w:type="dxa"/>
          </w:tcPr>
          <w:p>
            <w:pPr>
              <w:pStyle w:val="TableParagraph"/>
              <w:spacing w:line="226" w:lineRule="exact"/>
              <w:ind w:left="1709" w:right="1826"/>
              <w:jc w:val="center"/>
              <w:rPr>
                <w:sz w:val="20"/>
              </w:rPr>
            </w:pPr>
            <w:r>
              <w:rPr>
                <w:sz w:val="20"/>
              </w:rPr>
              <w:t>I63.9,</w:t>
            </w:r>
            <w:r>
              <w:rPr>
                <w:spacing w:val="-5"/>
                <w:sz w:val="20"/>
              </w:rPr>
              <w:t> I64</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st15.015</w:t>
            </w:r>
          </w:p>
        </w:tc>
        <w:tc>
          <w:tcPr>
            <w:tcW w:w="707" w:type="dxa"/>
          </w:tcPr>
          <w:p>
            <w:pPr>
              <w:pStyle w:val="TableParagraph"/>
              <w:spacing w:line="215" w:lineRule="exact" w:before="46"/>
              <w:ind w:left="210"/>
              <w:rPr>
                <w:sz w:val="20"/>
              </w:rPr>
            </w:pPr>
            <w:r>
              <w:rPr>
                <w:spacing w:val="-5"/>
                <w:sz w:val="20"/>
              </w:rPr>
              <w:t>102</w:t>
            </w:r>
          </w:p>
        </w:tc>
        <w:tc>
          <w:tcPr>
            <w:tcW w:w="2476" w:type="dxa"/>
          </w:tcPr>
          <w:p>
            <w:pPr>
              <w:pStyle w:val="TableParagraph"/>
              <w:spacing w:line="215" w:lineRule="exact" w:before="46"/>
              <w:ind w:left="192"/>
              <w:rPr>
                <w:sz w:val="20"/>
              </w:rPr>
            </w:pPr>
            <w:r>
              <w:rPr>
                <w:sz w:val="20"/>
              </w:rPr>
              <w:t>Инфаркт</w:t>
            </w:r>
            <w:r>
              <w:rPr>
                <w:spacing w:val="-11"/>
                <w:sz w:val="20"/>
              </w:rPr>
              <w:t> </w:t>
            </w:r>
            <w:r>
              <w:rPr>
                <w:spacing w:val="-2"/>
                <w:sz w:val="20"/>
              </w:rPr>
              <w:t>мозга</w:t>
            </w:r>
          </w:p>
        </w:tc>
        <w:tc>
          <w:tcPr>
            <w:tcW w:w="4606" w:type="dxa"/>
          </w:tcPr>
          <w:p>
            <w:pPr>
              <w:pStyle w:val="TableParagraph"/>
              <w:spacing w:line="215" w:lineRule="exact" w:before="46"/>
              <w:ind w:left="201"/>
              <w:rPr>
                <w:sz w:val="20"/>
              </w:rPr>
            </w:pPr>
            <w:r>
              <w:rPr>
                <w:sz w:val="20"/>
              </w:rPr>
              <w:t>I63.0,</w:t>
            </w:r>
            <w:r>
              <w:rPr>
                <w:spacing w:val="-5"/>
                <w:sz w:val="20"/>
              </w:rPr>
              <w:t> </w:t>
            </w:r>
            <w:r>
              <w:rPr>
                <w:sz w:val="20"/>
              </w:rPr>
              <w:t>I63.1,</w:t>
            </w:r>
            <w:r>
              <w:rPr>
                <w:spacing w:val="-7"/>
                <w:sz w:val="20"/>
              </w:rPr>
              <w:t> </w:t>
            </w:r>
            <w:r>
              <w:rPr>
                <w:sz w:val="20"/>
              </w:rPr>
              <w:t>I63.2,</w:t>
            </w:r>
            <w:r>
              <w:rPr>
                <w:spacing w:val="-5"/>
                <w:sz w:val="20"/>
              </w:rPr>
              <w:t> </w:t>
            </w:r>
            <w:r>
              <w:rPr>
                <w:sz w:val="20"/>
              </w:rPr>
              <w:t>I63.3,</w:t>
            </w:r>
            <w:r>
              <w:rPr>
                <w:spacing w:val="-5"/>
                <w:sz w:val="20"/>
              </w:rPr>
              <w:t> </w:t>
            </w:r>
            <w:r>
              <w:rPr>
                <w:sz w:val="20"/>
              </w:rPr>
              <w:t>I63.4,</w:t>
            </w:r>
            <w:r>
              <w:rPr>
                <w:spacing w:val="-5"/>
                <w:sz w:val="20"/>
              </w:rPr>
              <w:t> </w:t>
            </w:r>
            <w:r>
              <w:rPr>
                <w:sz w:val="20"/>
              </w:rPr>
              <w:t>I63.5,</w:t>
            </w:r>
            <w:r>
              <w:rPr>
                <w:spacing w:val="-6"/>
                <w:sz w:val="20"/>
              </w:rPr>
              <w:t> </w:t>
            </w:r>
            <w:r>
              <w:rPr>
                <w:sz w:val="20"/>
              </w:rPr>
              <w:t>I63.6,</w:t>
            </w:r>
            <w:r>
              <w:rPr>
                <w:spacing w:val="-5"/>
                <w:sz w:val="20"/>
              </w:rPr>
              <w:t> </w:t>
            </w:r>
            <w:r>
              <w:rPr>
                <w:spacing w:val="-2"/>
                <w:sz w:val="20"/>
              </w:rPr>
              <w:t>I63.8,</w:t>
            </w:r>
          </w:p>
        </w:tc>
        <w:tc>
          <w:tcPr>
            <w:tcW w:w="3533" w:type="dxa"/>
          </w:tcPr>
          <w:p>
            <w:pPr>
              <w:pStyle w:val="TableParagraph"/>
              <w:spacing w:line="215" w:lineRule="exact" w:before="46"/>
              <w:ind w:left="321" w:right="817"/>
              <w:jc w:val="center"/>
              <w:rPr>
                <w:sz w:val="20"/>
              </w:rPr>
            </w:pPr>
            <w:r>
              <w:rPr>
                <w:spacing w:val="-2"/>
                <w:sz w:val="20"/>
              </w:rPr>
              <w:t>A25.30.036.002</w:t>
            </w:r>
          </w:p>
        </w:tc>
        <w:tc>
          <w:tcPr>
            <w:tcW w:w="1748" w:type="dxa"/>
          </w:tcPr>
          <w:p>
            <w:pPr>
              <w:pStyle w:val="TableParagraph"/>
              <w:spacing w:line="215" w:lineRule="exact" w:before="46"/>
              <w:ind w:left="818"/>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3,12</w:t>
            </w: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spacing w:line="226" w:lineRule="exact"/>
              <w:ind w:left="192"/>
              <w:rPr>
                <w:sz w:val="20"/>
              </w:rPr>
            </w:pPr>
            <w:r>
              <w:rPr>
                <w:sz w:val="20"/>
              </w:rPr>
              <w:t>(уровень</w:t>
            </w:r>
            <w:r>
              <w:rPr>
                <w:spacing w:val="-10"/>
                <w:sz w:val="20"/>
              </w:rPr>
              <w:t> </w:t>
            </w:r>
            <w:r>
              <w:rPr>
                <w:spacing w:val="-5"/>
                <w:sz w:val="20"/>
              </w:rPr>
              <w:t>2)</w:t>
            </w:r>
          </w:p>
        </w:tc>
        <w:tc>
          <w:tcPr>
            <w:tcW w:w="4606" w:type="dxa"/>
          </w:tcPr>
          <w:p>
            <w:pPr>
              <w:pStyle w:val="TableParagraph"/>
              <w:spacing w:line="226" w:lineRule="exact"/>
              <w:ind w:left="1710" w:right="1826"/>
              <w:jc w:val="center"/>
              <w:rPr>
                <w:sz w:val="20"/>
              </w:rPr>
            </w:pPr>
            <w:r>
              <w:rPr>
                <w:spacing w:val="-2"/>
                <w:sz w:val="20"/>
              </w:rPr>
              <w:t>I63.9</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st15.016</w:t>
            </w:r>
          </w:p>
        </w:tc>
        <w:tc>
          <w:tcPr>
            <w:tcW w:w="707" w:type="dxa"/>
          </w:tcPr>
          <w:p>
            <w:pPr>
              <w:pStyle w:val="TableParagraph"/>
              <w:spacing w:line="215" w:lineRule="exact" w:before="45"/>
              <w:ind w:left="210"/>
              <w:rPr>
                <w:sz w:val="20"/>
              </w:rPr>
            </w:pPr>
            <w:r>
              <w:rPr>
                <w:spacing w:val="-5"/>
                <w:sz w:val="20"/>
              </w:rPr>
              <w:t>103</w:t>
            </w:r>
          </w:p>
        </w:tc>
        <w:tc>
          <w:tcPr>
            <w:tcW w:w="2476" w:type="dxa"/>
          </w:tcPr>
          <w:p>
            <w:pPr>
              <w:pStyle w:val="TableParagraph"/>
              <w:spacing w:line="215" w:lineRule="exact" w:before="45"/>
              <w:ind w:left="192"/>
              <w:rPr>
                <w:sz w:val="20"/>
              </w:rPr>
            </w:pPr>
            <w:r>
              <w:rPr>
                <w:sz w:val="20"/>
              </w:rPr>
              <w:t>Инфаркт</w:t>
            </w:r>
            <w:r>
              <w:rPr>
                <w:spacing w:val="-11"/>
                <w:sz w:val="20"/>
              </w:rPr>
              <w:t> </w:t>
            </w:r>
            <w:r>
              <w:rPr>
                <w:spacing w:val="-2"/>
                <w:sz w:val="20"/>
              </w:rPr>
              <w:t>мозга</w:t>
            </w:r>
          </w:p>
        </w:tc>
        <w:tc>
          <w:tcPr>
            <w:tcW w:w="4606" w:type="dxa"/>
          </w:tcPr>
          <w:p>
            <w:pPr>
              <w:pStyle w:val="TableParagraph"/>
              <w:spacing w:line="215" w:lineRule="exact" w:before="45"/>
              <w:ind w:left="201"/>
              <w:rPr>
                <w:sz w:val="20"/>
              </w:rPr>
            </w:pPr>
            <w:r>
              <w:rPr>
                <w:sz w:val="20"/>
              </w:rPr>
              <w:t>I63.0,</w:t>
            </w:r>
            <w:r>
              <w:rPr>
                <w:spacing w:val="-5"/>
                <w:sz w:val="20"/>
              </w:rPr>
              <w:t> </w:t>
            </w:r>
            <w:r>
              <w:rPr>
                <w:sz w:val="20"/>
              </w:rPr>
              <w:t>I63.1,</w:t>
            </w:r>
            <w:r>
              <w:rPr>
                <w:spacing w:val="-6"/>
                <w:sz w:val="20"/>
              </w:rPr>
              <w:t> </w:t>
            </w:r>
            <w:r>
              <w:rPr>
                <w:sz w:val="20"/>
              </w:rPr>
              <w:t>I63.2,</w:t>
            </w:r>
            <w:r>
              <w:rPr>
                <w:spacing w:val="-5"/>
                <w:sz w:val="20"/>
              </w:rPr>
              <w:t> </w:t>
            </w:r>
            <w:r>
              <w:rPr>
                <w:sz w:val="20"/>
              </w:rPr>
              <w:t>I63.3,</w:t>
            </w:r>
            <w:r>
              <w:rPr>
                <w:spacing w:val="-5"/>
                <w:sz w:val="20"/>
              </w:rPr>
              <w:t> </w:t>
            </w:r>
            <w:r>
              <w:rPr>
                <w:sz w:val="20"/>
              </w:rPr>
              <w:t>I63.4,</w:t>
            </w:r>
            <w:r>
              <w:rPr>
                <w:spacing w:val="-4"/>
                <w:sz w:val="20"/>
              </w:rPr>
              <w:t> </w:t>
            </w:r>
            <w:r>
              <w:rPr>
                <w:sz w:val="20"/>
              </w:rPr>
              <w:t>I63.5,</w:t>
            </w:r>
            <w:r>
              <w:rPr>
                <w:spacing w:val="-7"/>
                <w:sz w:val="20"/>
              </w:rPr>
              <w:t> </w:t>
            </w:r>
            <w:r>
              <w:rPr>
                <w:sz w:val="20"/>
              </w:rPr>
              <w:t>I63.6,</w:t>
            </w:r>
            <w:r>
              <w:rPr>
                <w:spacing w:val="-4"/>
                <w:sz w:val="20"/>
              </w:rPr>
              <w:t> </w:t>
            </w:r>
            <w:r>
              <w:rPr>
                <w:spacing w:val="-2"/>
                <w:sz w:val="20"/>
              </w:rPr>
              <w:t>I63.8,</w:t>
            </w:r>
          </w:p>
        </w:tc>
        <w:tc>
          <w:tcPr>
            <w:tcW w:w="3533" w:type="dxa"/>
          </w:tcPr>
          <w:p>
            <w:pPr>
              <w:pStyle w:val="TableParagraph"/>
              <w:spacing w:line="215" w:lineRule="exact" w:before="45"/>
              <w:ind w:left="321" w:right="816"/>
              <w:jc w:val="center"/>
              <w:rPr>
                <w:sz w:val="20"/>
              </w:rPr>
            </w:pPr>
            <w:r>
              <w:rPr>
                <w:sz w:val="20"/>
              </w:rPr>
              <w:t>A05.12.006,</w:t>
            </w:r>
            <w:r>
              <w:rPr>
                <w:spacing w:val="-9"/>
                <w:sz w:val="20"/>
              </w:rPr>
              <w:t> </w:t>
            </w:r>
            <w:r>
              <w:rPr>
                <w:spacing w:val="-2"/>
                <w:sz w:val="20"/>
              </w:rPr>
              <w:t>A06.12.031,</w:t>
            </w:r>
          </w:p>
        </w:tc>
        <w:tc>
          <w:tcPr>
            <w:tcW w:w="1748" w:type="dxa"/>
          </w:tcPr>
          <w:p>
            <w:pPr>
              <w:pStyle w:val="TableParagraph"/>
              <w:spacing w:line="215" w:lineRule="exact" w:before="45"/>
              <w:ind w:left="818"/>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4,51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z w:val="20"/>
              </w:rPr>
              <w:t>(уровень</w:t>
            </w:r>
            <w:r>
              <w:rPr>
                <w:spacing w:val="-10"/>
                <w:sz w:val="20"/>
              </w:rPr>
              <w:t> </w:t>
            </w:r>
            <w:r>
              <w:rPr>
                <w:spacing w:val="-5"/>
                <w:sz w:val="20"/>
              </w:rPr>
              <w:t>3)</w:t>
            </w:r>
          </w:p>
        </w:tc>
        <w:tc>
          <w:tcPr>
            <w:tcW w:w="4606" w:type="dxa"/>
          </w:tcPr>
          <w:p>
            <w:pPr>
              <w:pStyle w:val="TableParagraph"/>
              <w:spacing w:line="210" w:lineRule="exact"/>
              <w:ind w:left="1710" w:right="1826"/>
              <w:jc w:val="center"/>
              <w:rPr>
                <w:sz w:val="20"/>
              </w:rPr>
            </w:pPr>
            <w:r>
              <w:rPr>
                <w:spacing w:val="-2"/>
                <w:sz w:val="20"/>
              </w:rPr>
              <w:t>I63.9</w:t>
            </w:r>
          </w:p>
        </w:tc>
        <w:tc>
          <w:tcPr>
            <w:tcW w:w="3533" w:type="dxa"/>
          </w:tcPr>
          <w:p>
            <w:pPr>
              <w:pStyle w:val="TableParagraph"/>
              <w:spacing w:line="210" w:lineRule="exact"/>
              <w:ind w:left="321" w:right="818"/>
              <w:jc w:val="center"/>
              <w:rPr>
                <w:sz w:val="20"/>
              </w:rPr>
            </w:pPr>
            <w:r>
              <w:rPr>
                <w:w w:val="95"/>
                <w:sz w:val="20"/>
              </w:rPr>
              <w:t>A06.12.031.001,</w:t>
            </w:r>
            <w:r>
              <w:rPr>
                <w:spacing w:val="54"/>
                <w:sz w:val="20"/>
              </w:rPr>
              <w:t> </w:t>
            </w:r>
            <w:r>
              <w:rPr>
                <w:spacing w:val="-2"/>
                <w:sz w:val="20"/>
              </w:rPr>
              <w:t>A06.12.056,</w:t>
            </w:r>
          </w:p>
        </w:tc>
        <w:tc>
          <w:tcPr>
            <w:tcW w:w="1748"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06" w:type="dxa"/>
          </w:tcPr>
          <w:p>
            <w:pPr>
              <w:pStyle w:val="TableParagraph"/>
              <w:rPr>
                <w:sz w:val="18"/>
              </w:rPr>
            </w:pPr>
          </w:p>
        </w:tc>
        <w:tc>
          <w:tcPr>
            <w:tcW w:w="3533" w:type="dxa"/>
          </w:tcPr>
          <w:p>
            <w:pPr>
              <w:pStyle w:val="TableParagraph"/>
              <w:spacing w:line="226" w:lineRule="exact"/>
              <w:ind w:left="321" w:right="817"/>
              <w:jc w:val="center"/>
              <w:rPr>
                <w:sz w:val="20"/>
              </w:rPr>
            </w:pPr>
            <w:r>
              <w:rPr>
                <w:spacing w:val="-2"/>
                <w:sz w:val="20"/>
              </w:rPr>
              <w:t>A25.30.036.003</w:t>
            </w: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st15.017</w:t>
            </w:r>
          </w:p>
        </w:tc>
        <w:tc>
          <w:tcPr>
            <w:tcW w:w="707" w:type="dxa"/>
          </w:tcPr>
          <w:p>
            <w:pPr>
              <w:pStyle w:val="TableParagraph"/>
              <w:spacing w:line="215" w:lineRule="exact" w:before="45"/>
              <w:ind w:left="210"/>
              <w:rPr>
                <w:sz w:val="20"/>
              </w:rPr>
            </w:pPr>
            <w:r>
              <w:rPr>
                <w:spacing w:val="-5"/>
                <w:sz w:val="20"/>
              </w:rPr>
              <w:t>104</w:t>
            </w:r>
          </w:p>
        </w:tc>
        <w:tc>
          <w:tcPr>
            <w:tcW w:w="2476" w:type="dxa"/>
          </w:tcPr>
          <w:p>
            <w:pPr>
              <w:pStyle w:val="TableParagraph"/>
              <w:spacing w:line="215" w:lineRule="exact" w:before="45"/>
              <w:ind w:left="192"/>
              <w:rPr>
                <w:sz w:val="20"/>
              </w:rPr>
            </w:pPr>
            <w:r>
              <w:rPr>
                <w:spacing w:val="-2"/>
                <w:sz w:val="20"/>
              </w:rPr>
              <w:t>Другие</w:t>
            </w:r>
          </w:p>
        </w:tc>
        <w:tc>
          <w:tcPr>
            <w:tcW w:w="4606" w:type="dxa"/>
          </w:tcPr>
          <w:p>
            <w:pPr>
              <w:pStyle w:val="TableParagraph"/>
              <w:spacing w:line="215" w:lineRule="exact" w:before="45"/>
              <w:ind w:left="352"/>
              <w:rPr>
                <w:sz w:val="20"/>
              </w:rPr>
            </w:pPr>
            <w:r>
              <w:rPr>
                <w:sz w:val="20"/>
              </w:rPr>
              <w:t>I65,</w:t>
            </w:r>
            <w:r>
              <w:rPr>
                <w:spacing w:val="-5"/>
                <w:sz w:val="20"/>
              </w:rPr>
              <w:t> </w:t>
            </w:r>
            <w:r>
              <w:rPr>
                <w:sz w:val="20"/>
              </w:rPr>
              <w:t>I65.0,</w:t>
            </w:r>
            <w:r>
              <w:rPr>
                <w:spacing w:val="-5"/>
                <w:sz w:val="20"/>
              </w:rPr>
              <w:t> </w:t>
            </w:r>
            <w:r>
              <w:rPr>
                <w:sz w:val="20"/>
              </w:rPr>
              <w:t>I65.1,</w:t>
            </w:r>
            <w:r>
              <w:rPr>
                <w:spacing w:val="-5"/>
                <w:sz w:val="20"/>
              </w:rPr>
              <w:t> </w:t>
            </w:r>
            <w:r>
              <w:rPr>
                <w:sz w:val="20"/>
              </w:rPr>
              <w:t>I65.2,</w:t>
            </w:r>
            <w:r>
              <w:rPr>
                <w:spacing w:val="-6"/>
                <w:sz w:val="20"/>
              </w:rPr>
              <w:t> </w:t>
            </w:r>
            <w:r>
              <w:rPr>
                <w:sz w:val="20"/>
              </w:rPr>
              <w:t>I65.3,</w:t>
            </w:r>
            <w:r>
              <w:rPr>
                <w:spacing w:val="-6"/>
                <w:sz w:val="20"/>
              </w:rPr>
              <w:t> </w:t>
            </w:r>
            <w:r>
              <w:rPr>
                <w:sz w:val="20"/>
              </w:rPr>
              <w:t>I65.8,</w:t>
            </w:r>
            <w:r>
              <w:rPr>
                <w:spacing w:val="-5"/>
                <w:sz w:val="20"/>
              </w:rPr>
              <w:t> </w:t>
            </w:r>
            <w:r>
              <w:rPr>
                <w:sz w:val="20"/>
              </w:rPr>
              <w:t>I65.9,</w:t>
            </w:r>
            <w:r>
              <w:rPr>
                <w:spacing w:val="-7"/>
                <w:sz w:val="20"/>
              </w:rPr>
              <w:t> </w:t>
            </w:r>
            <w:r>
              <w:rPr>
                <w:spacing w:val="-4"/>
                <w:sz w:val="20"/>
              </w:rPr>
              <w:t>I66,</w:t>
            </w:r>
          </w:p>
        </w:tc>
        <w:tc>
          <w:tcPr>
            <w:tcW w:w="3533" w:type="dxa"/>
          </w:tcPr>
          <w:p>
            <w:pPr>
              <w:pStyle w:val="TableParagraph"/>
              <w:spacing w:line="215" w:lineRule="exact" w:before="45"/>
              <w:ind w:right="494"/>
              <w:jc w:val="center"/>
              <w:rPr>
                <w:sz w:val="20"/>
              </w:rPr>
            </w:pPr>
            <w:r>
              <w:rPr>
                <w:w w:val="99"/>
                <w:sz w:val="20"/>
              </w:rPr>
              <w:t>-</w:t>
            </w:r>
          </w:p>
        </w:tc>
        <w:tc>
          <w:tcPr>
            <w:tcW w:w="1748" w:type="dxa"/>
          </w:tcPr>
          <w:p>
            <w:pPr>
              <w:pStyle w:val="TableParagraph"/>
              <w:spacing w:line="215" w:lineRule="exact" w:before="45"/>
              <w:ind w:left="818"/>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0,82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pacing w:val="-2"/>
                <w:sz w:val="20"/>
              </w:rPr>
              <w:t>цереброваскулярные</w:t>
            </w:r>
          </w:p>
        </w:tc>
        <w:tc>
          <w:tcPr>
            <w:tcW w:w="4606" w:type="dxa"/>
          </w:tcPr>
          <w:p>
            <w:pPr>
              <w:pStyle w:val="TableParagraph"/>
              <w:spacing w:line="210" w:lineRule="exact"/>
              <w:ind w:left="275"/>
              <w:rPr>
                <w:sz w:val="20"/>
              </w:rPr>
            </w:pPr>
            <w:r>
              <w:rPr>
                <w:sz w:val="20"/>
              </w:rPr>
              <w:t>I66.0,</w:t>
            </w:r>
            <w:r>
              <w:rPr>
                <w:spacing w:val="-4"/>
                <w:sz w:val="20"/>
              </w:rPr>
              <w:t> </w:t>
            </w:r>
            <w:r>
              <w:rPr>
                <w:sz w:val="20"/>
              </w:rPr>
              <w:t>I66.1,</w:t>
            </w:r>
            <w:r>
              <w:rPr>
                <w:spacing w:val="-6"/>
                <w:sz w:val="20"/>
              </w:rPr>
              <w:t> </w:t>
            </w:r>
            <w:r>
              <w:rPr>
                <w:sz w:val="20"/>
              </w:rPr>
              <w:t>I66.2,</w:t>
            </w:r>
            <w:r>
              <w:rPr>
                <w:spacing w:val="-4"/>
                <w:sz w:val="20"/>
              </w:rPr>
              <w:t> </w:t>
            </w:r>
            <w:r>
              <w:rPr>
                <w:sz w:val="20"/>
              </w:rPr>
              <w:t>I66.3,</w:t>
            </w:r>
            <w:r>
              <w:rPr>
                <w:spacing w:val="-4"/>
                <w:sz w:val="20"/>
              </w:rPr>
              <w:t> </w:t>
            </w:r>
            <w:r>
              <w:rPr>
                <w:sz w:val="20"/>
              </w:rPr>
              <w:t>I66.4,</w:t>
            </w:r>
            <w:r>
              <w:rPr>
                <w:spacing w:val="-4"/>
                <w:sz w:val="20"/>
              </w:rPr>
              <w:t> </w:t>
            </w:r>
            <w:r>
              <w:rPr>
                <w:sz w:val="20"/>
              </w:rPr>
              <w:t>I66.8,</w:t>
            </w:r>
            <w:r>
              <w:rPr>
                <w:spacing w:val="-6"/>
                <w:sz w:val="20"/>
              </w:rPr>
              <w:t> </w:t>
            </w:r>
            <w:r>
              <w:rPr>
                <w:sz w:val="20"/>
              </w:rPr>
              <w:t>I66.9,</w:t>
            </w:r>
            <w:r>
              <w:rPr>
                <w:spacing w:val="-4"/>
                <w:sz w:val="20"/>
              </w:rPr>
              <w:t> I67,</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05" w:lineRule="exact"/>
              <w:ind w:left="192"/>
              <w:rPr>
                <w:sz w:val="20"/>
              </w:rPr>
            </w:pPr>
            <w:r>
              <w:rPr>
                <w:spacing w:val="-2"/>
                <w:sz w:val="20"/>
              </w:rPr>
              <w:t>болезни</w:t>
            </w:r>
          </w:p>
        </w:tc>
        <w:tc>
          <w:tcPr>
            <w:tcW w:w="4606" w:type="dxa"/>
          </w:tcPr>
          <w:p>
            <w:pPr>
              <w:pStyle w:val="TableParagraph"/>
              <w:spacing w:line="205" w:lineRule="exact"/>
              <w:ind w:left="201"/>
              <w:rPr>
                <w:sz w:val="20"/>
              </w:rPr>
            </w:pPr>
            <w:r>
              <w:rPr>
                <w:sz w:val="20"/>
              </w:rPr>
              <w:t>I67.0,</w:t>
            </w:r>
            <w:r>
              <w:rPr>
                <w:spacing w:val="-5"/>
                <w:sz w:val="20"/>
              </w:rPr>
              <w:t> </w:t>
            </w:r>
            <w:r>
              <w:rPr>
                <w:sz w:val="20"/>
              </w:rPr>
              <w:t>I67.1,</w:t>
            </w:r>
            <w:r>
              <w:rPr>
                <w:spacing w:val="-7"/>
                <w:sz w:val="20"/>
              </w:rPr>
              <w:t> </w:t>
            </w:r>
            <w:r>
              <w:rPr>
                <w:sz w:val="20"/>
              </w:rPr>
              <w:t>I67.2,</w:t>
            </w:r>
            <w:r>
              <w:rPr>
                <w:spacing w:val="-5"/>
                <w:sz w:val="20"/>
              </w:rPr>
              <w:t> </w:t>
            </w:r>
            <w:r>
              <w:rPr>
                <w:sz w:val="20"/>
              </w:rPr>
              <w:t>I67.3,</w:t>
            </w:r>
            <w:r>
              <w:rPr>
                <w:spacing w:val="-5"/>
                <w:sz w:val="20"/>
              </w:rPr>
              <w:t> </w:t>
            </w:r>
            <w:r>
              <w:rPr>
                <w:sz w:val="20"/>
              </w:rPr>
              <w:t>I67.4,</w:t>
            </w:r>
            <w:r>
              <w:rPr>
                <w:spacing w:val="-5"/>
                <w:sz w:val="20"/>
              </w:rPr>
              <w:t> </w:t>
            </w:r>
            <w:r>
              <w:rPr>
                <w:sz w:val="20"/>
              </w:rPr>
              <w:t>I67.5,</w:t>
            </w:r>
            <w:r>
              <w:rPr>
                <w:spacing w:val="-6"/>
                <w:sz w:val="20"/>
              </w:rPr>
              <w:t> </w:t>
            </w:r>
            <w:r>
              <w:rPr>
                <w:sz w:val="20"/>
              </w:rPr>
              <w:t>I67.6,</w:t>
            </w:r>
            <w:r>
              <w:rPr>
                <w:spacing w:val="-5"/>
                <w:sz w:val="20"/>
              </w:rPr>
              <w:t> </w:t>
            </w:r>
            <w:r>
              <w:rPr>
                <w:spacing w:val="-2"/>
                <w:sz w:val="20"/>
              </w:rPr>
              <w:t>I67.7,</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7"/>
        <w:gridCol w:w="706"/>
        <w:gridCol w:w="2406"/>
        <w:gridCol w:w="5382"/>
        <w:gridCol w:w="1823"/>
        <w:gridCol w:w="3172"/>
        <w:gridCol w:w="837"/>
      </w:tblGrid>
      <w:tr>
        <w:trPr>
          <w:trHeight w:val="505"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spacing w:line="221" w:lineRule="exact"/>
              <w:ind w:left="428" w:right="1187"/>
              <w:jc w:val="center"/>
              <w:rPr>
                <w:sz w:val="20"/>
              </w:rPr>
            </w:pPr>
            <w:r>
              <w:rPr>
                <w:sz w:val="20"/>
              </w:rPr>
              <w:t>I67.8,</w:t>
            </w:r>
            <w:r>
              <w:rPr>
                <w:spacing w:val="-5"/>
                <w:sz w:val="20"/>
              </w:rPr>
              <w:t> </w:t>
            </w:r>
            <w:r>
              <w:rPr>
                <w:sz w:val="20"/>
              </w:rPr>
              <w:t>I67.9,</w:t>
            </w:r>
            <w:r>
              <w:rPr>
                <w:spacing w:val="-7"/>
                <w:sz w:val="20"/>
              </w:rPr>
              <w:t> </w:t>
            </w:r>
            <w:r>
              <w:rPr>
                <w:sz w:val="20"/>
              </w:rPr>
              <w:t>I68,</w:t>
            </w:r>
            <w:r>
              <w:rPr>
                <w:spacing w:val="-4"/>
                <w:sz w:val="20"/>
              </w:rPr>
              <w:t> </w:t>
            </w:r>
            <w:r>
              <w:rPr>
                <w:sz w:val="20"/>
              </w:rPr>
              <w:t>I68.0,</w:t>
            </w:r>
            <w:r>
              <w:rPr>
                <w:spacing w:val="-7"/>
                <w:sz w:val="20"/>
              </w:rPr>
              <w:t> </w:t>
            </w:r>
            <w:r>
              <w:rPr>
                <w:sz w:val="20"/>
              </w:rPr>
              <w:t>I68.1,</w:t>
            </w:r>
            <w:r>
              <w:rPr>
                <w:spacing w:val="-6"/>
                <w:sz w:val="20"/>
              </w:rPr>
              <w:t> </w:t>
            </w:r>
            <w:r>
              <w:rPr>
                <w:sz w:val="20"/>
              </w:rPr>
              <w:t>I68.2,</w:t>
            </w:r>
            <w:r>
              <w:rPr>
                <w:spacing w:val="-5"/>
                <w:sz w:val="20"/>
              </w:rPr>
              <w:t> </w:t>
            </w:r>
            <w:r>
              <w:rPr>
                <w:sz w:val="20"/>
              </w:rPr>
              <w:t>I68.8,</w:t>
            </w:r>
            <w:r>
              <w:rPr>
                <w:spacing w:val="-7"/>
                <w:sz w:val="20"/>
              </w:rPr>
              <w:t> </w:t>
            </w:r>
            <w:r>
              <w:rPr>
                <w:spacing w:val="-4"/>
                <w:sz w:val="20"/>
              </w:rPr>
              <w:t>I69,</w:t>
            </w:r>
          </w:p>
          <w:p>
            <w:pPr>
              <w:pStyle w:val="TableParagraph"/>
              <w:ind w:left="428" w:right="1186"/>
              <w:jc w:val="center"/>
              <w:rPr>
                <w:sz w:val="20"/>
              </w:rPr>
            </w:pPr>
            <w:r>
              <w:rPr>
                <w:sz w:val="20"/>
              </w:rPr>
              <w:t>I69.0,</w:t>
            </w:r>
            <w:r>
              <w:rPr>
                <w:spacing w:val="-6"/>
                <w:sz w:val="20"/>
              </w:rPr>
              <w:t> </w:t>
            </w:r>
            <w:r>
              <w:rPr>
                <w:sz w:val="20"/>
              </w:rPr>
              <w:t>I69.1,</w:t>
            </w:r>
            <w:r>
              <w:rPr>
                <w:spacing w:val="-6"/>
                <w:sz w:val="20"/>
              </w:rPr>
              <w:t> </w:t>
            </w:r>
            <w:r>
              <w:rPr>
                <w:sz w:val="20"/>
              </w:rPr>
              <w:t>I69.2,</w:t>
            </w:r>
            <w:r>
              <w:rPr>
                <w:spacing w:val="-6"/>
                <w:sz w:val="20"/>
              </w:rPr>
              <w:t> </w:t>
            </w:r>
            <w:r>
              <w:rPr>
                <w:sz w:val="20"/>
              </w:rPr>
              <w:t>I69.3,</w:t>
            </w:r>
            <w:r>
              <w:rPr>
                <w:spacing w:val="-5"/>
                <w:sz w:val="20"/>
              </w:rPr>
              <w:t> </w:t>
            </w:r>
            <w:r>
              <w:rPr>
                <w:sz w:val="20"/>
              </w:rPr>
              <w:t>I69.4,</w:t>
            </w:r>
            <w:r>
              <w:rPr>
                <w:spacing w:val="-5"/>
                <w:sz w:val="20"/>
              </w:rPr>
              <w:t> </w:t>
            </w:r>
            <w:r>
              <w:rPr>
                <w:spacing w:val="-4"/>
                <w:sz w:val="20"/>
              </w:rPr>
              <w:t>I69.8</w:t>
            </w: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47" w:type="dxa"/>
          </w:tcPr>
          <w:p>
            <w:pPr>
              <w:pStyle w:val="TableParagraph"/>
              <w:spacing w:line="215" w:lineRule="exact" w:before="45"/>
              <w:ind w:left="38" w:right="198"/>
              <w:jc w:val="center"/>
              <w:rPr>
                <w:sz w:val="20"/>
              </w:rPr>
            </w:pPr>
            <w:r>
              <w:rPr>
                <w:spacing w:val="-2"/>
                <w:sz w:val="20"/>
              </w:rPr>
              <w:t>st15.018</w:t>
            </w:r>
          </w:p>
        </w:tc>
        <w:tc>
          <w:tcPr>
            <w:tcW w:w="706" w:type="dxa"/>
          </w:tcPr>
          <w:p>
            <w:pPr>
              <w:pStyle w:val="TableParagraph"/>
              <w:spacing w:line="215" w:lineRule="exact" w:before="45"/>
              <w:ind w:left="209"/>
              <w:rPr>
                <w:sz w:val="20"/>
              </w:rPr>
            </w:pPr>
            <w:r>
              <w:rPr>
                <w:spacing w:val="-5"/>
                <w:sz w:val="20"/>
              </w:rPr>
              <w:t>105</w:t>
            </w:r>
          </w:p>
        </w:tc>
        <w:tc>
          <w:tcPr>
            <w:tcW w:w="2406" w:type="dxa"/>
          </w:tcPr>
          <w:p>
            <w:pPr>
              <w:pStyle w:val="TableParagraph"/>
              <w:spacing w:line="215" w:lineRule="exact" w:before="45"/>
              <w:ind w:left="192"/>
              <w:rPr>
                <w:sz w:val="20"/>
              </w:rPr>
            </w:pPr>
            <w:r>
              <w:rPr>
                <w:spacing w:val="-2"/>
                <w:sz w:val="20"/>
              </w:rPr>
              <w:t>Эпилепсия,</w:t>
            </w:r>
            <w:r>
              <w:rPr>
                <w:spacing w:val="6"/>
                <w:sz w:val="20"/>
              </w:rPr>
              <w:t> </w:t>
            </w:r>
            <w:r>
              <w:rPr>
                <w:spacing w:val="-2"/>
                <w:sz w:val="20"/>
              </w:rPr>
              <w:t>судороги</w:t>
            </w:r>
          </w:p>
        </w:tc>
        <w:tc>
          <w:tcPr>
            <w:tcW w:w="5382" w:type="dxa"/>
          </w:tcPr>
          <w:p>
            <w:pPr>
              <w:pStyle w:val="TableParagraph"/>
              <w:spacing w:line="215" w:lineRule="exact" w:before="45"/>
              <w:ind w:left="554"/>
              <w:rPr>
                <w:sz w:val="20"/>
              </w:rPr>
            </w:pPr>
            <w:r>
              <w:rPr>
                <w:sz w:val="20"/>
              </w:rPr>
              <w:t>G40.0,</w:t>
            </w:r>
            <w:r>
              <w:rPr>
                <w:spacing w:val="-3"/>
                <w:sz w:val="20"/>
              </w:rPr>
              <w:t> </w:t>
            </w:r>
            <w:r>
              <w:rPr>
                <w:sz w:val="20"/>
              </w:rPr>
              <w:t>G40.1,</w:t>
            </w:r>
            <w:r>
              <w:rPr>
                <w:spacing w:val="-5"/>
                <w:sz w:val="20"/>
              </w:rPr>
              <w:t> </w:t>
            </w:r>
            <w:r>
              <w:rPr>
                <w:sz w:val="20"/>
              </w:rPr>
              <w:t>G40.2,</w:t>
            </w:r>
            <w:r>
              <w:rPr>
                <w:spacing w:val="-3"/>
                <w:sz w:val="20"/>
              </w:rPr>
              <w:t> </w:t>
            </w:r>
            <w:r>
              <w:rPr>
                <w:sz w:val="20"/>
              </w:rPr>
              <w:t>G40.3,</w:t>
            </w:r>
            <w:r>
              <w:rPr>
                <w:spacing w:val="-5"/>
                <w:sz w:val="20"/>
              </w:rPr>
              <w:t> </w:t>
            </w:r>
            <w:r>
              <w:rPr>
                <w:sz w:val="20"/>
              </w:rPr>
              <w:t>G40.4,</w:t>
            </w:r>
            <w:r>
              <w:rPr>
                <w:spacing w:val="-3"/>
                <w:sz w:val="20"/>
              </w:rPr>
              <w:t> </w:t>
            </w:r>
            <w:r>
              <w:rPr>
                <w:spacing w:val="-2"/>
                <w:sz w:val="20"/>
              </w:rPr>
              <w:t>G40.5,</w:t>
            </w:r>
          </w:p>
        </w:tc>
        <w:tc>
          <w:tcPr>
            <w:tcW w:w="1823" w:type="dxa"/>
          </w:tcPr>
          <w:p>
            <w:pPr>
              <w:pStyle w:val="TableParagraph"/>
              <w:spacing w:line="215" w:lineRule="exact" w:before="45"/>
              <w:ind w:left="779"/>
              <w:rPr>
                <w:sz w:val="20"/>
              </w:rPr>
            </w:pPr>
            <w:r>
              <w:rPr>
                <w:w w:val="99"/>
                <w:sz w:val="20"/>
              </w:rPr>
              <w:t>-</w:t>
            </w:r>
          </w:p>
        </w:tc>
        <w:tc>
          <w:tcPr>
            <w:tcW w:w="3172" w:type="dxa"/>
          </w:tcPr>
          <w:p>
            <w:pPr>
              <w:pStyle w:val="TableParagraph"/>
              <w:spacing w:line="215" w:lineRule="exact" w:before="45"/>
              <w:ind w:left="970" w:right="430"/>
              <w:jc w:val="center"/>
              <w:rPr>
                <w:sz w:val="20"/>
              </w:rPr>
            </w:pPr>
            <w:r>
              <w:rPr>
                <w:spacing w:val="-4"/>
                <w:sz w:val="20"/>
              </w:rPr>
              <w:t>Иной</w:t>
            </w:r>
          </w:p>
        </w:tc>
        <w:tc>
          <w:tcPr>
            <w:tcW w:w="837" w:type="dxa"/>
          </w:tcPr>
          <w:p>
            <w:pPr>
              <w:pStyle w:val="TableParagraph"/>
              <w:spacing w:line="215" w:lineRule="exact" w:before="45"/>
              <w:ind w:right="47"/>
              <w:jc w:val="right"/>
              <w:rPr>
                <w:sz w:val="20"/>
              </w:rPr>
            </w:pPr>
            <w:r>
              <w:rPr>
                <w:spacing w:val="-4"/>
                <w:sz w:val="20"/>
              </w:rPr>
              <w:t>2,30</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(уровень</w:t>
            </w:r>
            <w:r>
              <w:rPr>
                <w:spacing w:val="-10"/>
                <w:sz w:val="20"/>
              </w:rPr>
              <w:t> </w:t>
            </w:r>
            <w:r>
              <w:rPr>
                <w:spacing w:val="-5"/>
                <w:sz w:val="20"/>
              </w:rPr>
              <w:t>2)</w:t>
            </w:r>
          </w:p>
        </w:tc>
        <w:tc>
          <w:tcPr>
            <w:tcW w:w="5382" w:type="dxa"/>
          </w:tcPr>
          <w:p>
            <w:pPr>
              <w:pStyle w:val="TableParagraph"/>
              <w:spacing w:line="210" w:lineRule="exact"/>
              <w:ind w:left="374"/>
              <w:rPr>
                <w:sz w:val="20"/>
              </w:rPr>
            </w:pPr>
            <w:r>
              <w:rPr>
                <w:sz w:val="20"/>
              </w:rPr>
              <w:t>G40.6,</w:t>
            </w:r>
            <w:r>
              <w:rPr>
                <w:spacing w:val="-4"/>
                <w:sz w:val="20"/>
              </w:rPr>
              <w:t> </w:t>
            </w:r>
            <w:r>
              <w:rPr>
                <w:sz w:val="20"/>
              </w:rPr>
              <w:t>G40.7,</w:t>
            </w:r>
            <w:r>
              <w:rPr>
                <w:spacing w:val="-6"/>
                <w:sz w:val="20"/>
              </w:rPr>
              <w:t> </w:t>
            </w:r>
            <w:r>
              <w:rPr>
                <w:sz w:val="20"/>
              </w:rPr>
              <w:t>G40.8,</w:t>
            </w:r>
            <w:r>
              <w:rPr>
                <w:spacing w:val="-4"/>
                <w:sz w:val="20"/>
              </w:rPr>
              <w:t> </w:t>
            </w:r>
            <w:r>
              <w:rPr>
                <w:sz w:val="20"/>
              </w:rPr>
              <w:t>G40.9,</w:t>
            </w:r>
            <w:r>
              <w:rPr>
                <w:spacing w:val="-6"/>
                <w:sz w:val="20"/>
              </w:rPr>
              <w:t> </w:t>
            </w:r>
            <w:r>
              <w:rPr>
                <w:sz w:val="20"/>
              </w:rPr>
              <w:t>R56,</w:t>
            </w:r>
            <w:r>
              <w:rPr>
                <w:spacing w:val="-4"/>
                <w:sz w:val="20"/>
              </w:rPr>
              <w:t> </w:t>
            </w:r>
            <w:r>
              <w:rPr>
                <w:sz w:val="20"/>
              </w:rPr>
              <w:t>R56.0,</w:t>
            </w:r>
            <w:r>
              <w:rPr>
                <w:spacing w:val="-3"/>
                <w:sz w:val="20"/>
              </w:rPr>
              <w:t> </w:t>
            </w:r>
            <w:r>
              <w:rPr>
                <w:spacing w:val="-4"/>
                <w:sz w:val="20"/>
              </w:rPr>
              <w:t>R56.8</w:t>
            </w:r>
          </w:p>
        </w:tc>
        <w:tc>
          <w:tcPr>
            <w:tcW w:w="1823" w:type="dxa"/>
          </w:tcPr>
          <w:p>
            <w:pPr>
              <w:pStyle w:val="TableParagraph"/>
              <w:rPr>
                <w:sz w:val="16"/>
              </w:rPr>
            </w:pPr>
          </w:p>
        </w:tc>
        <w:tc>
          <w:tcPr>
            <w:tcW w:w="3172" w:type="dxa"/>
          </w:tcPr>
          <w:p>
            <w:pPr>
              <w:pStyle w:val="TableParagraph"/>
              <w:spacing w:line="210" w:lineRule="exact"/>
              <w:ind w:left="970" w:right="429"/>
              <w:jc w:val="center"/>
              <w:rPr>
                <w:sz w:val="20"/>
              </w:rPr>
            </w:pPr>
            <w:r>
              <w:rPr>
                <w:spacing w:val="-2"/>
                <w:sz w:val="20"/>
              </w:rPr>
              <w:t>классификационный</w:t>
            </w: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rPr>
                <w:sz w:val="18"/>
              </w:rPr>
            </w:pPr>
          </w:p>
        </w:tc>
        <w:tc>
          <w:tcPr>
            <w:tcW w:w="1823" w:type="dxa"/>
          </w:tcPr>
          <w:p>
            <w:pPr>
              <w:pStyle w:val="TableParagraph"/>
              <w:rPr>
                <w:sz w:val="18"/>
              </w:rPr>
            </w:pPr>
          </w:p>
        </w:tc>
        <w:tc>
          <w:tcPr>
            <w:tcW w:w="3172" w:type="dxa"/>
          </w:tcPr>
          <w:p>
            <w:pPr>
              <w:pStyle w:val="TableParagraph"/>
              <w:spacing w:line="226" w:lineRule="exact"/>
              <w:ind w:left="970" w:right="430"/>
              <w:jc w:val="center"/>
              <w:rPr>
                <w:sz w:val="20"/>
              </w:rPr>
            </w:pPr>
            <w:r>
              <w:rPr>
                <w:sz w:val="20"/>
              </w:rPr>
              <w:t>критерий:</w:t>
            </w:r>
            <w:r>
              <w:rPr>
                <w:spacing w:val="-13"/>
                <w:sz w:val="20"/>
              </w:rPr>
              <w:t> </w:t>
            </w:r>
            <w:r>
              <w:rPr>
                <w:spacing w:val="-5"/>
                <w:sz w:val="20"/>
              </w:rPr>
              <w:t>ep1</w:t>
            </w:r>
          </w:p>
        </w:tc>
        <w:tc>
          <w:tcPr>
            <w:tcW w:w="837" w:type="dxa"/>
          </w:tcPr>
          <w:p>
            <w:pPr>
              <w:pStyle w:val="TableParagraph"/>
              <w:rPr>
                <w:sz w:val="18"/>
              </w:rPr>
            </w:pPr>
          </w:p>
        </w:tc>
      </w:tr>
      <w:tr>
        <w:trPr>
          <w:trHeight w:val="279" w:hRule="atLeast"/>
        </w:trPr>
        <w:tc>
          <w:tcPr>
            <w:tcW w:w="947" w:type="dxa"/>
          </w:tcPr>
          <w:p>
            <w:pPr>
              <w:pStyle w:val="TableParagraph"/>
              <w:spacing w:line="215" w:lineRule="exact" w:before="45"/>
              <w:ind w:left="38" w:right="198"/>
              <w:jc w:val="center"/>
              <w:rPr>
                <w:sz w:val="20"/>
              </w:rPr>
            </w:pPr>
            <w:r>
              <w:rPr>
                <w:spacing w:val="-2"/>
                <w:sz w:val="20"/>
              </w:rPr>
              <w:t>st15.019</w:t>
            </w:r>
          </w:p>
        </w:tc>
        <w:tc>
          <w:tcPr>
            <w:tcW w:w="706" w:type="dxa"/>
          </w:tcPr>
          <w:p>
            <w:pPr>
              <w:pStyle w:val="TableParagraph"/>
              <w:spacing w:line="215" w:lineRule="exact" w:before="45"/>
              <w:ind w:left="209"/>
              <w:rPr>
                <w:sz w:val="20"/>
              </w:rPr>
            </w:pPr>
            <w:r>
              <w:rPr>
                <w:spacing w:val="-5"/>
                <w:sz w:val="20"/>
              </w:rPr>
              <w:t>106</w:t>
            </w:r>
          </w:p>
        </w:tc>
        <w:tc>
          <w:tcPr>
            <w:tcW w:w="2406" w:type="dxa"/>
          </w:tcPr>
          <w:p>
            <w:pPr>
              <w:pStyle w:val="TableParagraph"/>
              <w:spacing w:line="215" w:lineRule="exact" w:before="45"/>
              <w:ind w:left="192"/>
              <w:rPr>
                <w:sz w:val="20"/>
              </w:rPr>
            </w:pPr>
            <w:r>
              <w:rPr>
                <w:sz w:val="20"/>
              </w:rPr>
              <w:t>Эпилепсия</w:t>
            </w:r>
            <w:r>
              <w:rPr>
                <w:spacing w:val="-12"/>
                <w:sz w:val="20"/>
              </w:rPr>
              <w:t> </w:t>
            </w:r>
            <w:r>
              <w:rPr>
                <w:sz w:val="20"/>
              </w:rPr>
              <w:t>(уровень</w:t>
            </w:r>
            <w:r>
              <w:rPr>
                <w:spacing w:val="-10"/>
                <w:sz w:val="20"/>
              </w:rPr>
              <w:t> </w:t>
            </w:r>
            <w:r>
              <w:rPr>
                <w:spacing w:val="-5"/>
                <w:sz w:val="20"/>
              </w:rPr>
              <w:t>3)</w:t>
            </w:r>
          </w:p>
        </w:tc>
        <w:tc>
          <w:tcPr>
            <w:tcW w:w="5382" w:type="dxa"/>
          </w:tcPr>
          <w:p>
            <w:pPr>
              <w:pStyle w:val="TableParagraph"/>
              <w:spacing w:line="215" w:lineRule="exact" w:before="45"/>
              <w:ind w:left="554"/>
              <w:rPr>
                <w:sz w:val="20"/>
              </w:rPr>
            </w:pPr>
            <w:r>
              <w:rPr>
                <w:sz w:val="20"/>
              </w:rPr>
              <w:t>G40.0,</w:t>
            </w:r>
            <w:r>
              <w:rPr>
                <w:spacing w:val="-4"/>
                <w:sz w:val="20"/>
              </w:rPr>
              <w:t> </w:t>
            </w:r>
            <w:r>
              <w:rPr>
                <w:sz w:val="20"/>
              </w:rPr>
              <w:t>G40.1,</w:t>
            </w:r>
            <w:r>
              <w:rPr>
                <w:spacing w:val="-6"/>
                <w:sz w:val="20"/>
              </w:rPr>
              <w:t> </w:t>
            </w:r>
            <w:r>
              <w:rPr>
                <w:sz w:val="20"/>
              </w:rPr>
              <w:t>G40.2,</w:t>
            </w:r>
            <w:r>
              <w:rPr>
                <w:spacing w:val="-4"/>
                <w:sz w:val="20"/>
              </w:rPr>
              <w:t> </w:t>
            </w:r>
            <w:r>
              <w:rPr>
                <w:sz w:val="20"/>
              </w:rPr>
              <w:t>G40.3,</w:t>
            </w:r>
            <w:r>
              <w:rPr>
                <w:spacing w:val="-6"/>
                <w:sz w:val="20"/>
              </w:rPr>
              <w:t> </w:t>
            </w:r>
            <w:r>
              <w:rPr>
                <w:sz w:val="20"/>
              </w:rPr>
              <w:t>G40.4,</w:t>
            </w:r>
            <w:r>
              <w:rPr>
                <w:spacing w:val="-4"/>
                <w:sz w:val="20"/>
              </w:rPr>
              <w:t> </w:t>
            </w:r>
            <w:r>
              <w:rPr>
                <w:spacing w:val="-2"/>
                <w:sz w:val="20"/>
              </w:rPr>
              <w:t>G40.5,</w:t>
            </w:r>
          </w:p>
        </w:tc>
        <w:tc>
          <w:tcPr>
            <w:tcW w:w="1823" w:type="dxa"/>
          </w:tcPr>
          <w:p>
            <w:pPr>
              <w:pStyle w:val="TableParagraph"/>
              <w:spacing w:line="215" w:lineRule="exact" w:before="45"/>
              <w:ind w:left="779"/>
              <w:rPr>
                <w:sz w:val="20"/>
              </w:rPr>
            </w:pPr>
            <w:r>
              <w:rPr>
                <w:w w:val="99"/>
                <w:sz w:val="20"/>
              </w:rPr>
              <w:t>-</w:t>
            </w:r>
          </w:p>
        </w:tc>
        <w:tc>
          <w:tcPr>
            <w:tcW w:w="3172" w:type="dxa"/>
          </w:tcPr>
          <w:p>
            <w:pPr>
              <w:pStyle w:val="TableParagraph"/>
              <w:spacing w:line="215" w:lineRule="exact" w:before="45"/>
              <w:ind w:left="970" w:right="430"/>
              <w:jc w:val="center"/>
              <w:rPr>
                <w:sz w:val="20"/>
              </w:rPr>
            </w:pPr>
            <w:r>
              <w:rPr>
                <w:spacing w:val="-4"/>
                <w:sz w:val="20"/>
              </w:rPr>
              <w:t>Иной</w:t>
            </w:r>
          </w:p>
        </w:tc>
        <w:tc>
          <w:tcPr>
            <w:tcW w:w="837" w:type="dxa"/>
          </w:tcPr>
          <w:p>
            <w:pPr>
              <w:pStyle w:val="TableParagraph"/>
              <w:spacing w:line="215" w:lineRule="exact" w:before="45"/>
              <w:ind w:right="47"/>
              <w:jc w:val="right"/>
              <w:rPr>
                <w:sz w:val="20"/>
              </w:rPr>
            </w:pPr>
            <w:r>
              <w:rPr>
                <w:spacing w:val="-4"/>
                <w:sz w:val="20"/>
              </w:rPr>
              <w:t>3,16</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1" w:lineRule="exact"/>
              <w:ind w:left="1176"/>
              <w:rPr>
                <w:sz w:val="20"/>
              </w:rPr>
            </w:pPr>
            <w:r>
              <w:rPr>
                <w:sz w:val="20"/>
              </w:rPr>
              <w:t>G40.6,</w:t>
            </w:r>
            <w:r>
              <w:rPr>
                <w:spacing w:val="-4"/>
                <w:sz w:val="20"/>
              </w:rPr>
              <w:t> </w:t>
            </w:r>
            <w:r>
              <w:rPr>
                <w:sz w:val="20"/>
              </w:rPr>
              <w:t>G40.7,</w:t>
            </w:r>
            <w:r>
              <w:rPr>
                <w:spacing w:val="-6"/>
                <w:sz w:val="20"/>
              </w:rPr>
              <w:t> </w:t>
            </w:r>
            <w:r>
              <w:rPr>
                <w:sz w:val="20"/>
              </w:rPr>
              <w:t>G40.8,</w:t>
            </w:r>
            <w:r>
              <w:rPr>
                <w:spacing w:val="-4"/>
                <w:sz w:val="20"/>
              </w:rPr>
              <w:t> G40.9</w:t>
            </w:r>
          </w:p>
        </w:tc>
        <w:tc>
          <w:tcPr>
            <w:tcW w:w="1823" w:type="dxa"/>
          </w:tcPr>
          <w:p>
            <w:pPr>
              <w:pStyle w:val="TableParagraph"/>
              <w:rPr>
                <w:sz w:val="16"/>
              </w:rPr>
            </w:pPr>
          </w:p>
        </w:tc>
        <w:tc>
          <w:tcPr>
            <w:tcW w:w="3172" w:type="dxa"/>
          </w:tcPr>
          <w:p>
            <w:pPr>
              <w:pStyle w:val="TableParagraph"/>
              <w:spacing w:line="211" w:lineRule="exact"/>
              <w:ind w:left="970" w:right="429"/>
              <w:jc w:val="center"/>
              <w:rPr>
                <w:sz w:val="20"/>
              </w:rPr>
            </w:pPr>
            <w:r>
              <w:rPr>
                <w:spacing w:val="-2"/>
                <w:sz w:val="20"/>
              </w:rPr>
              <w:t>классификационный</w:t>
            </w: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rPr>
                <w:sz w:val="18"/>
              </w:rPr>
            </w:pPr>
          </w:p>
        </w:tc>
        <w:tc>
          <w:tcPr>
            <w:tcW w:w="1823" w:type="dxa"/>
          </w:tcPr>
          <w:p>
            <w:pPr>
              <w:pStyle w:val="TableParagraph"/>
              <w:rPr>
                <w:sz w:val="18"/>
              </w:rPr>
            </w:pPr>
          </w:p>
        </w:tc>
        <w:tc>
          <w:tcPr>
            <w:tcW w:w="3172" w:type="dxa"/>
          </w:tcPr>
          <w:p>
            <w:pPr>
              <w:pStyle w:val="TableParagraph"/>
              <w:spacing w:line="226" w:lineRule="exact"/>
              <w:ind w:left="970" w:right="430"/>
              <w:jc w:val="center"/>
              <w:rPr>
                <w:sz w:val="20"/>
              </w:rPr>
            </w:pPr>
            <w:r>
              <w:rPr>
                <w:sz w:val="20"/>
              </w:rPr>
              <w:t>критерий:</w:t>
            </w:r>
            <w:r>
              <w:rPr>
                <w:spacing w:val="-13"/>
                <w:sz w:val="20"/>
              </w:rPr>
              <w:t> </w:t>
            </w:r>
            <w:r>
              <w:rPr>
                <w:spacing w:val="-5"/>
                <w:sz w:val="20"/>
              </w:rPr>
              <w:t>ep2</w:t>
            </w:r>
          </w:p>
        </w:tc>
        <w:tc>
          <w:tcPr>
            <w:tcW w:w="837" w:type="dxa"/>
          </w:tcPr>
          <w:p>
            <w:pPr>
              <w:pStyle w:val="TableParagraph"/>
              <w:rPr>
                <w:sz w:val="18"/>
              </w:rPr>
            </w:pPr>
          </w:p>
        </w:tc>
      </w:tr>
      <w:tr>
        <w:trPr>
          <w:trHeight w:val="790" w:hRule="atLeast"/>
        </w:trPr>
        <w:tc>
          <w:tcPr>
            <w:tcW w:w="947" w:type="dxa"/>
          </w:tcPr>
          <w:p>
            <w:pPr>
              <w:pStyle w:val="TableParagraph"/>
              <w:spacing w:before="45"/>
              <w:ind w:left="39" w:right="197"/>
              <w:jc w:val="center"/>
              <w:rPr>
                <w:sz w:val="20"/>
              </w:rPr>
            </w:pPr>
            <w:r>
              <w:rPr>
                <w:spacing w:val="-2"/>
                <w:sz w:val="20"/>
              </w:rPr>
              <w:t>st15.020</w:t>
            </w:r>
          </w:p>
        </w:tc>
        <w:tc>
          <w:tcPr>
            <w:tcW w:w="706" w:type="dxa"/>
          </w:tcPr>
          <w:p>
            <w:pPr>
              <w:pStyle w:val="TableParagraph"/>
              <w:spacing w:before="45"/>
              <w:ind w:left="209"/>
              <w:rPr>
                <w:sz w:val="20"/>
              </w:rPr>
            </w:pPr>
            <w:r>
              <w:rPr>
                <w:spacing w:val="-5"/>
                <w:sz w:val="20"/>
              </w:rPr>
              <w:t>107</w:t>
            </w:r>
          </w:p>
        </w:tc>
        <w:tc>
          <w:tcPr>
            <w:tcW w:w="2406" w:type="dxa"/>
          </w:tcPr>
          <w:p>
            <w:pPr>
              <w:pStyle w:val="TableParagraph"/>
              <w:spacing w:before="45"/>
              <w:ind w:left="192"/>
              <w:rPr>
                <w:sz w:val="20"/>
              </w:rPr>
            </w:pPr>
            <w:r>
              <w:rPr>
                <w:sz w:val="20"/>
              </w:rPr>
              <w:t>Эпилепсия</w:t>
            </w:r>
            <w:r>
              <w:rPr>
                <w:spacing w:val="-12"/>
                <w:sz w:val="20"/>
              </w:rPr>
              <w:t> </w:t>
            </w:r>
            <w:r>
              <w:rPr>
                <w:sz w:val="20"/>
              </w:rPr>
              <w:t>(уровень</w:t>
            </w:r>
            <w:r>
              <w:rPr>
                <w:spacing w:val="-10"/>
                <w:sz w:val="20"/>
              </w:rPr>
              <w:t> </w:t>
            </w:r>
            <w:r>
              <w:rPr>
                <w:spacing w:val="-5"/>
                <w:sz w:val="20"/>
              </w:rPr>
              <w:t>4)</w:t>
            </w:r>
          </w:p>
        </w:tc>
        <w:tc>
          <w:tcPr>
            <w:tcW w:w="5382" w:type="dxa"/>
          </w:tcPr>
          <w:p>
            <w:pPr>
              <w:pStyle w:val="TableParagraph"/>
              <w:spacing w:before="45"/>
              <w:ind w:left="283"/>
              <w:rPr>
                <w:sz w:val="20"/>
              </w:rPr>
            </w:pPr>
            <w:r>
              <w:rPr>
                <w:sz w:val="20"/>
              </w:rPr>
              <w:t>G40.1,</w:t>
            </w:r>
            <w:r>
              <w:rPr>
                <w:spacing w:val="-5"/>
                <w:sz w:val="20"/>
              </w:rPr>
              <w:t> </w:t>
            </w:r>
            <w:r>
              <w:rPr>
                <w:sz w:val="20"/>
              </w:rPr>
              <w:t>G40.2,</w:t>
            </w:r>
            <w:r>
              <w:rPr>
                <w:spacing w:val="-5"/>
                <w:sz w:val="20"/>
              </w:rPr>
              <w:t> </w:t>
            </w:r>
            <w:r>
              <w:rPr>
                <w:sz w:val="20"/>
              </w:rPr>
              <w:t>G40.3,</w:t>
            </w:r>
            <w:r>
              <w:rPr>
                <w:spacing w:val="-4"/>
                <w:sz w:val="20"/>
              </w:rPr>
              <w:t> </w:t>
            </w:r>
            <w:r>
              <w:rPr>
                <w:sz w:val="20"/>
              </w:rPr>
              <w:t>G40.4,</w:t>
            </w:r>
            <w:r>
              <w:rPr>
                <w:spacing w:val="-6"/>
                <w:sz w:val="20"/>
              </w:rPr>
              <w:t> </w:t>
            </w:r>
            <w:r>
              <w:rPr>
                <w:sz w:val="20"/>
              </w:rPr>
              <w:t>G40.5,</w:t>
            </w:r>
            <w:r>
              <w:rPr>
                <w:spacing w:val="-4"/>
                <w:sz w:val="20"/>
              </w:rPr>
              <w:t> </w:t>
            </w:r>
            <w:r>
              <w:rPr>
                <w:sz w:val="20"/>
              </w:rPr>
              <w:t>G40.8,</w:t>
            </w:r>
            <w:r>
              <w:rPr>
                <w:spacing w:val="-6"/>
                <w:sz w:val="20"/>
              </w:rPr>
              <w:t> </w:t>
            </w:r>
            <w:r>
              <w:rPr>
                <w:spacing w:val="-4"/>
                <w:sz w:val="20"/>
              </w:rPr>
              <w:t>G40.9</w:t>
            </w:r>
          </w:p>
        </w:tc>
        <w:tc>
          <w:tcPr>
            <w:tcW w:w="1823" w:type="dxa"/>
          </w:tcPr>
          <w:p>
            <w:pPr>
              <w:pStyle w:val="TableParagraph"/>
              <w:spacing w:before="45"/>
              <w:ind w:left="779"/>
              <w:rPr>
                <w:sz w:val="20"/>
              </w:rPr>
            </w:pPr>
            <w:r>
              <w:rPr>
                <w:w w:val="99"/>
                <w:sz w:val="20"/>
              </w:rPr>
              <w:t>-</w:t>
            </w:r>
          </w:p>
        </w:tc>
        <w:tc>
          <w:tcPr>
            <w:tcW w:w="3172" w:type="dxa"/>
          </w:tcPr>
          <w:p>
            <w:pPr>
              <w:pStyle w:val="TableParagraph"/>
              <w:spacing w:before="45"/>
              <w:ind w:left="977" w:right="433" w:hanging="2"/>
              <w:jc w:val="center"/>
              <w:rPr>
                <w:sz w:val="20"/>
              </w:rPr>
            </w:pPr>
            <w:r>
              <w:rPr>
                <w:spacing w:val="-4"/>
                <w:sz w:val="20"/>
              </w:rPr>
              <w:t>Иной </w:t>
            </w:r>
            <w:r>
              <w:rPr>
                <w:spacing w:val="-2"/>
                <w:sz w:val="20"/>
              </w:rPr>
              <w:t>классификационный </w:t>
            </w:r>
            <w:r>
              <w:rPr>
                <w:sz w:val="20"/>
              </w:rPr>
              <w:t>критерий: ep3</w:t>
            </w:r>
          </w:p>
        </w:tc>
        <w:tc>
          <w:tcPr>
            <w:tcW w:w="837" w:type="dxa"/>
          </w:tcPr>
          <w:p>
            <w:pPr>
              <w:pStyle w:val="TableParagraph"/>
              <w:spacing w:before="45"/>
              <w:ind w:right="47"/>
              <w:jc w:val="right"/>
              <w:rPr>
                <w:sz w:val="20"/>
              </w:rPr>
            </w:pPr>
            <w:r>
              <w:rPr>
                <w:spacing w:val="-4"/>
                <w:sz w:val="20"/>
              </w:rPr>
              <w:t>4,84</w:t>
            </w:r>
          </w:p>
        </w:tc>
      </w:tr>
      <w:tr>
        <w:trPr>
          <w:trHeight w:val="330" w:hRule="atLeast"/>
        </w:trPr>
        <w:tc>
          <w:tcPr>
            <w:tcW w:w="947" w:type="dxa"/>
          </w:tcPr>
          <w:p>
            <w:pPr>
              <w:pStyle w:val="TableParagraph"/>
              <w:spacing w:before="46"/>
              <w:ind w:left="36" w:right="198"/>
              <w:jc w:val="center"/>
              <w:rPr>
                <w:sz w:val="20"/>
              </w:rPr>
            </w:pPr>
            <w:r>
              <w:rPr>
                <w:spacing w:val="-4"/>
                <w:sz w:val="20"/>
              </w:rPr>
              <w:t>st16</w:t>
            </w:r>
          </w:p>
        </w:tc>
        <w:tc>
          <w:tcPr>
            <w:tcW w:w="706" w:type="dxa"/>
          </w:tcPr>
          <w:p>
            <w:pPr>
              <w:pStyle w:val="TableParagraph"/>
              <w:spacing w:before="46"/>
              <w:ind w:left="260"/>
              <w:rPr>
                <w:sz w:val="20"/>
              </w:rPr>
            </w:pPr>
            <w:r>
              <w:rPr>
                <w:spacing w:val="-5"/>
                <w:sz w:val="20"/>
              </w:rPr>
              <w:t>16</w:t>
            </w:r>
          </w:p>
        </w:tc>
        <w:tc>
          <w:tcPr>
            <w:tcW w:w="2406" w:type="dxa"/>
          </w:tcPr>
          <w:p>
            <w:pPr>
              <w:pStyle w:val="TableParagraph"/>
              <w:rPr>
                <w:sz w:val="18"/>
              </w:rPr>
            </w:pPr>
          </w:p>
        </w:tc>
        <w:tc>
          <w:tcPr>
            <w:tcW w:w="5382" w:type="dxa"/>
          </w:tcPr>
          <w:p>
            <w:pPr>
              <w:pStyle w:val="TableParagraph"/>
              <w:spacing w:before="46"/>
              <w:ind w:left="3276"/>
              <w:rPr>
                <w:sz w:val="20"/>
              </w:rPr>
            </w:pPr>
            <w:r>
              <w:rPr>
                <w:spacing w:val="-2"/>
                <w:sz w:val="20"/>
              </w:rPr>
              <w:t>Нейрохирургия</w:t>
            </w: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7"/>
              <w:jc w:val="right"/>
              <w:rPr>
                <w:sz w:val="20"/>
              </w:rPr>
            </w:pPr>
            <w:r>
              <w:rPr>
                <w:spacing w:val="-4"/>
                <w:sz w:val="20"/>
              </w:rPr>
              <w:t>1,20</w:t>
            </w:r>
          </w:p>
        </w:tc>
      </w:tr>
      <w:tr>
        <w:trPr>
          <w:trHeight w:val="279" w:hRule="atLeast"/>
        </w:trPr>
        <w:tc>
          <w:tcPr>
            <w:tcW w:w="947" w:type="dxa"/>
          </w:tcPr>
          <w:p>
            <w:pPr>
              <w:pStyle w:val="TableParagraph"/>
              <w:spacing w:line="215" w:lineRule="exact" w:before="45"/>
              <w:ind w:left="38" w:right="198"/>
              <w:jc w:val="center"/>
              <w:rPr>
                <w:sz w:val="20"/>
              </w:rPr>
            </w:pPr>
            <w:r>
              <w:rPr>
                <w:spacing w:val="-2"/>
                <w:sz w:val="20"/>
              </w:rPr>
              <w:t>st16.001</w:t>
            </w:r>
          </w:p>
        </w:tc>
        <w:tc>
          <w:tcPr>
            <w:tcW w:w="706" w:type="dxa"/>
          </w:tcPr>
          <w:p>
            <w:pPr>
              <w:pStyle w:val="TableParagraph"/>
              <w:spacing w:line="215" w:lineRule="exact" w:before="45"/>
              <w:ind w:left="209"/>
              <w:rPr>
                <w:sz w:val="20"/>
              </w:rPr>
            </w:pPr>
            <w:r>
              <w:rPr>
                <w:spacing w:val="-5"/>
                <w:sz w:val="20"/>
              </w:rPr>
              <w:t>108</w:t>
            </w:r>
          </w:p>
        </w:tc>
        <w:tc>
          <w:tcPr>
            <w:tcW w:w="2406" w:type="dxa"/>
          </w:tcPr>
          <w:p>
            <w:pPr>
              <w:pStyle w:val="TableParagraph"/>
              <w:spacing w:line="215" w:lineRule="exact" w:before="45"/>
              <w:ind w:left="192"/>
              <w:rPr>
                <w:sz w:val="20"/>
              </w:rPr>
            </w:pPr>
            <w:r>
              <w:rPr>
                <w:spacing w:val="-2"/>
                <w:sz w:val="20"/>
              </w:rPr>
              <w:t>Паралитические</w:t>
            </w:r>
          </w:p>
        </w:tc>
        <w:tc>
          <w:tcPr>
            <w:tcW w:w="5382" w:type="dxa"/>
          </w:tcPr>
          <w:p>
            <w:pPr>
              <w:pStyle w:val="TableParagraph"/>
              <w:spacing w:line="215" w:lineRule="exact" w:before="45"/>
              <w:ind w:left="333"/>
              <w:rPr>
                <w:sz w:val="20"/>
              </w:rPr>
            </w:pPr>
            <w:r>
              <w:rPr>
                <w:sz w:val="20"/>
              </w:rPr>
              <w:t>G80,</w:t>
            </w:r>
            <w:r>
              <w:rPr>
                <w:spacing w:val="-5"/>
                <w:sz w:val="20"/>
              </w:rPr>
              <w:t> </w:t>
            </w:r>
            <w:r>
              <w:rPr>
                <w:sz w:val="20"/>
              </w:rPr>
              <w:t>G80.0,</w:t>
            </w:r>
            <w:r>
              <w:rPr>
                <w:spacing w:val="-5"/>
                <w:sz w:val="20"/>
              </w:rPr>
              <w:t> </w:t>
            </w:r>
            <w:r>
              <w:rPr>
                <w:sz w:val="20"/>
              </w:rPr>
              <w:t>G80.1,</w:t>
            </w:r>
            <w:r>
              <w:rPr>
                <w:spacing w:val="-4"/>
                <w:sz w:val="20"/>
              </w:rPr>
              <w:t> </w:t>
            </w:r>
            <w:r>
              <w:rPr>
                <w:sz w:val="20"/>
              </w:rPr>
              <w:t>G80.2,</w:t>
            </w:r>
            <w:r>
              <w:rPr>
                <w:spacing w:val="-5"/>
                <w:sz w:val="20"/>
              </w:rPr>
              <w:t> </w:t>
            </w:r>
            <w:r>
              <w:rPr>
                <w:sz w:val="20"/>
              </w:rPr>
              <w:t>G80.3,</w:t>
            </w:r>
            <w:r>
              <w:rPr>
                <w:spacing w:val="-4"/>
                <w:sz w:val="20"/>
              </w:rPr>
              <w:t> </w:t>
            </w:r>
            <w:r>
              <w:rPr>
                <w:sz w:val="20"/>
              </w:rPr>
              <w:t>G80.4,</w:t>
            </w:r>
            <w:r>
              <w:rPr>
                <w:spacing w:val="-5"/>
                <w:sz w:val="20"/>
              </w:rPr>
              <w:t> </w:t>
            </w:r>
            <w:r>
              <w:rPr>
                <w:spacing w:val="-2"/>
                <w:sz w:val="20"/>
              </w:rPr>
              <w:t>G80.8,</w:t>
            </w:r>
          </w:p>
        </w:tc>
        <w:tc>
          <w:tcPr>
            <w:tcW w:w="1823" w:type="dxa"/>
          </w:tcPr>
          <w:p>
            <w:pPr>
              <w:pStyle w:val="TableParagraph"/>
              <w:spacing w:line="215" w:lineRule="exact" w:before="45"/>
              <w:ind w:left="779"/>
              <w:rPr>
                <w:sz w:val="20"/>
              </w:rPr>
            </w:pPr>
            <w:r>
              <w:rPr>
                <w:w w:val="99"/>
                <w:sz w:val="20"/>
              </w:rPr>
              <w:t>-</w:t>
            </w:r>
          </w:p>
        </w:tc>
        <w:tc>
          <w:tcPr>
            <w:tcW w:w="3172" w:type="dxa"/>
          </w:tcPr>
          <w:p>
            <w:pPr>
              <w:pStyle w:val="TableParagraph"/>
              <w:spacing w:line="215" w:lineRule="exact" w:before="45"/>
              <w:ind w:left="539"/>
              <w:jc w:val="center"/>
              <w:rPr>
                <w:sz w:val="20"/>
              </w:rPr>
            </w:pPr>
            <w:r>
              <w:rPr>
                <w:w w:val="99"/>
                <w:sz w:val="20"/>
              </w:rPr>
              <w:t>-</w:t>
            </w:r>
          </w:p>
        </w:tc>
        <w:tc>
          <w:tcPr>
            <w:tcW w:w="837" w:type="dxa"/>
          </w:tcPr>
          <w:p>
            <w:pPr>
              <w:pStyle w:val="TableParagraph"/>
              <w:spacing w:line="215" w:lineRule="exact" w:before="45"/>
              <w:ind w:right="47"/>
              <w:jc w:val="right"/>
              <w:rPr>
                <w:sz w:val="20"/>
              </w:rPr>
            </w:pPr>
            <w:r>
              <w:rPr>
                <w:spacing w:val="-4"/>
                <w:sz w:val="20"/>
              </w:rPr>
              <w:t>0,98</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синдромы,</w:t>
            </w:r>
            <w:r>
              <w:rPr>
                <w:spacing w:val="-7"/>
                <w:sz w:val="20"/>
              </w:rPr>
              <w:t> </w:t>
            </w:r>
            <w:r>
              <w:rPr>
                <w:spacing w:val="-2"/>
                <w:sz w:val="20"/>
              </w:rPr>
              <w:t>травма</w:t>
            </w:r>
          </w:p>
        </w:tc>
        <w:tc>
          <w:tcPr>
            <w:tcW w:w="5382" w:type="dxa"/>
          </w:tcPr>
          <w:p>
            <w:pPr>
              <w:pStyle w:val="TableParagraph"/>
              <w:spacing w:line="210" w:lineRule="exact"/>
              <w:ind w:left="408"/>
              <w:rPr>
                <w:sz w:val="20"/>
              </w:rPr>
            </w:pPr>
            <w:r>
              <w:rPr>
                <w:sz w:val="20"/>
              </w:rPr>
              <w:t>G80.9,</w:t>
            </w:r>
            <w:r>
              <w:rPr>
                <w:spacing w:val="-5"/>
                <w:sz w:val="20"/>
              </w:rPr>
              <w:t> </w:t>
            </w:r>
            <w:r>
              <w:rPr>
                <w:sz w:val="20"/>
              </w:rPr>
              <w:t>G81,</w:t>
            </w:r>
            <w:r>
              <w:rPr>
                <w:spacing w:val="-5"/>
                <w:sz w:val="20"/>
              </w:rPr>
              <w:t> </w:t>
            </w:r>
            <w:r>
              <w:rPr>
                <w:sz w:val="20"/>
              </w:rPr>
              <w:t>G81.0,</w:t>
            </w:r>
            <w:r>
              <w:rPr>
                <w:spacing w:val="-5"/>
                <w:sz w:val="20"/>
              </w:rPr>
              <w:t> </w:t>
            </w:r>
            <w:r>
              <w:rPr>
                <w:sz w:val="20"/>
              </w:rPr>
              <w:t>G81.1,</w:t>
            </w:r>
            <w:r>
              <w:rPr>
                <w:spacing w:val="-5"/>
                <w:sz w:val="20"/>
              </w:rPr>
              <w:t> </w:t>
            </w:r>
            <w:r>
              <w:rPr>
                <w:sz w:val="20"/>
              </w:rPr>
              <w:t>G81.9,</w:t>
            </w:r>
            <w:r>
              <w:rPr>
                <w:spacing w:val="-5"/>
                <w:sz w:val="20"/>
              </w:rPr>
              <w:t> </w:t>
            </w:r>
            <w:r>
              <w:rPr>
                <w:sz w:val="20"/>
              </w:rPr>
              <w:t>G82,</w:t>
            </w:r>
            <w:r>
              <w:rPr>
                <w:spacing w:val="-5"/>
                <w:sz w:val="20"/>
              </w:rPr>
              <w:t> </w:t>
            </w:r>
            <w:r>
              <w:rPr>
                <w:spacing w:val="-2"/>
                <w:sz w:val="20"/>
              </w:rPr>
              <w:t>G82.0,</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спинного</w:t>
            </w:r>
            <w:r>
              <w:rPr>
                <w:spacing w:val="-11"/>
                <w:sz w:val="20"/>
              </w:rPr>
              <w:t> </w:t>
            </w:r>
            <w:r>
              <w:rPr>
                <w:spacing w:val="-4"/>
                <w:sz w:val="20"/>
              </w:rPr>
              <w:t>мозга</w:t>
            </w:r>
          </w:p>
        </w:tc>
        <w:tc>
          <w:tcPr>
            <w:tcW w:w="5382" w:type="dxa"/>
          </w:tcPr>
          <w:p>
            <w:pPr>
              <w:pStyle w:val="TableParagraph"/>
              <w:spacing w:line="210" w:lineRule="exact"/>
              <w:ind w:left="331"/>
              <w:rPr>
                <w:sz w:val="20"/>
              </w:rPr>
            </w:pPr>
            <w:r>
              <w:rPr>
                <w:sz w:val="20"/>
              </w:rPr>
              <w:t>G82.1,</w:t>
            </w:r>
            <w:r>
              <w:rPr>
                <w:spacing w:val="-4"/>
                <w:sz w:val="20"/>
              </w:rPr>
              <w:t> </w:t>
            </w:r>
            <w:r>
              <w:rPr>
                <w:sz w:val="20"/>
              </w:rPr>
              <w:t>G82.2,</w:t>
            </w:r>
            <w:r>
              <w:rPr>
                <w:spacing w:val="-6"/>
                <w:sz w:val="20"/>
              </w:rPr>
              <w:t> </w:t>
            </w:r>
            <w:r>
              <w:rPr>
                <w:sz w:val="20"/>
              </w:rPr>
              <w:t>G82.3,</w:t>
            </w:r>
            <w:r>
              <w:rPr>
                <w:spacing w:val="-4"/>
                <w:sz w:val="20"/>
              </w:rPr>
              <w:t> </w:t>
            </w:r>
            <w:r>
              <w:rPr>
                <w:sz w:val="20"/>
              </w:rPr>
              <w:t>G82.4,</w:t>
            </w:r>
            <w:r>
              <w:rPr>
                <w:spacing w:val="-6"/>
                <w:sz w:val="20"/>
              </w:rPr>
              <w:t> </w:t>
            </w:r>
            <w:r>
              <w:rPr>
                <w:sz w:val="20"/>
              </w:rPr>
              <w:t>G82.5,</w:t>
            </w:r>
            <w:r>
              <w:rPr>
                <w:spacing w:val="-4"/>
                <w:sz w:val="20"/>
              </w:rPr>
              <w:t> </w:t>
            </w:r>
            <w:r>
              <w:rPr>
                <w:sz w:val="20"/>
              </w:rPr>
              <w:t>G83,</w:t>
            </w:r>
            <w:r>
              <w:rPr>
                <w:spacing w:val="-4"/>
                <w:sz w:val="20"/>
              </w:rPr>
              <w:t> </w:t>
            </w:r>
            <w:r>
              <w:rPr>
                <w:spacing w:val="-2"/>
                <w:sz w:val="20"/>
              </w:rPr>
              <w:t>G83.0,</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z w:val="20"/>
              </w:rPr>
              <w:t>(уровень</w:t>
            </w:r>
            <w:r>
              <w:rPr>
                <w:spacing w:val="-10"/>
                <w:sz w:val="20"/>
              </w:rPr>
              <w:t> </w:t>
            </w:r>
            <w:r>
              <w:rPr>
                <w:spacing w:val="-5"/>
                <w:sz w:val="20"/>
              </w:rPr>
              <w:t>1)</w:t>
            </w:r>
          </w:p>
        </w:tc>
        <w:tc>
          <w:tcPr>
            <w:tcW w:w="5382" w:type="dxa"/>
          </w:tcPr>
          <w:p>
            <w:pPr>
              <w:pStyle w:val="TableParagraph"/>
              <w:spacing w:line="209" w:lineRule="exact"/>
              <w:ind w:left="554"/>
              <w:rPr>
                <w:sz w:val="20"/>
              </w:rPr>
            </w:pPr>
            <w:r>
              <w:rPr>
                <w:sz w:val="20"/>
              </w:rPr>
              <w:t>G83.1,</w:t>
            </w:r>
            <w:r>
              <w:rPr>
                <w:spacing w:val="-4"/>
                <w:sz w:val="20"/>
              </w:rPr>
              <w:t> </w:t>
            </w:r>
            <w:r>
              <w:rPr>
                <w:sz w:val="20"/>
              </w:rPr>
              <w:t>G83.2,</w:t>
            </w:r>
            <w:r>
              <w:rPr>
                <w:spacing w:val="-6"/>
                <w:sz w:val="20"/>
              </w:rPr>
              <w:t> </w:t>
            </w:r>
            <w:r>
              <w:rPr>
                <w:sz w:val="20"/>
              </w:rPr>
              <w:t>G83.3,</w:t>
            </w:r>
            <w:r>
              <w:rPr>
                <w:spacing w:val="-4"/>
                <w:sz w:val="20"/>
              </w:rPr>
              <w:t> </w:t>
            </w:r>
            <w:r>
              <w:rPr>
                <w:sz w:val="20"/>
              </w:rPr>
              <w:t>G83.4,</w:t>
            </w:r>
            <w:r>
              <w:rPr>
                <w:spacing w:val="-6"/>
                <w:sz w:val="20"/>
              </w:rPr>
              <w:t> </w:t>
            </w:r>
            <w:r>
              <w:rPr>
                <w:sz w:val="20"/>
              </w:rPr>
              <w:t>G83.5,</w:t>
            </w:r>
            <w:r>
              <w:rPr>
                <w:spacing w:val="-4"/>
                <w:sz w:val="20"/>
              </w:rPr>
              <w:t> </w:t>
            </w:r>
            <w:r>
              <w:rPr>
                <w:spacing w:val="-2"/>
                <w:sz w:val="20"/>
              </w:rPr>
              <w:t>G83.6,</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spacing w:line="225" w:lineRule="exact"/>
              <w:ind w:left="1483"/>
              <w:rPr>
                <w:sz w:val="20"/>
              </w:rPr>
            </w:pPr>
            <w:r>
              <w:rPr>
                <w:sz w:val="20"/>
              </w:rPr>
              <w:t>G83.8,</w:t>
            </w:r>
            <w:r>
              <w:rPr>
                <w:spacing w:val="-4"/>
                <w:sz w:val="20"/>
              </w:rPr>
              <w:t> </w:t>
            </w:r>
            <w:r>
              <w:rPr>
                <w:sz w:val="20"/>
              </w:rPr>
              <w:t>G83.9,</w:t>
            </w:r>
            <w:r>
              <w:rPr>
                <w:spacing w:val="-7"/>
                <w:sz w:val="20"/>
              </w:rPr>
              <w:t> </w:t>
            </w:r>
            <w:r>
              <w:rPr>
                <w:spacing w:val="-4"/>
                <w:sz w:val="20"/>
              </w:rPr>
              <w:t>T91.3</w:t>
            </w: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80" w:hRule="atLeast"/>
        </w:trPr>
        <w:tc>
          <w:tcPr>
            <w:tcW w:w="947" w:type="dxa"/>
          </w:tcPr>
          <w:p>
            <w:pPr>
              <w:pStyle w:val="TableParagraph"/>
              <w:spacing w:line="215" w:lineRule="exact" w:before="46"/>
              <w:ind w:left="38" w:right="198"/>
              <w:jc w:val="center"/>
              <w:rPr>
                <w:sz w:val="20"/>
              </w:rPr>
            </w:pPr>
            <w:r>
              <w:rPr>
                <w:spacing w:val="-2"/>
                <w:sz w:val="20"/>
              </w:rPr>
              <w:t>st16.002</w:t>
            </w:r>
          </w:p>
        </w:tc>
        <w:tc>
          <w:tcPr>
            <w:tcW w:w="706" w:type="dxa"/>
          </w:tcPr>
          <w:p>
            <w:pPr>
              <w:pStyle w:val="TableParagraph"/>
              <w:spacing w:line="215" w:lineRule="exact" w:before="46"/>
              <w:ind w:left="209"/>
              <w:rPr>
                <w:sz w:val="20"/>
              </w:rPr>
            </w:pPr>
            <w:r>
              <w:rPr>
                <w:spacing w:val="-5"/>
                <w:sz w:val="20"/>
              </w:rPr>
              <w:t>109</w:t>
            </w:r>
          </w:p>
        </w:tc>
        <w:tc>
          <w:tcPr>
            <w:tcW w:w="2406" w:type="dxa"/>
          </w:tcPr>
          <w:p>
            <w:pPr>
              <w:pStyle w:val="TableParagraph"/>
              <w:spacing w:line="215" w:lineRule="exact" w:before="46"/>
              <w:ind w:left="192"/>
              <w:rPr>
                <w:sz w:val="20"/>
              </w:rPr>
            </w:pPr>
            <w:r>
              <w:rPr>
                <w:spacing w:val="-2"/>
                <w:sz w:val="20"/>
              </w:rPr>
              <w:t>Паралитические</w:t>
            </w:r>
          </w:p>
        </w:tc>
        <w:tc>
          <w:tcPr>
            <w:tcW w:w="5382" w:type="dxa"/>
          </w:tcPr>
          <w:p>
            <w:pPr>
              <w:pStyle w:val="TableParagraph"/>
              <w:spacing w:line="215" w:lineRule="exact" w:before="46"/>
              <w:ind w:left="319"/>
              <w:rPr>
                <w:sz w:val="20"/>
              </w:rPr>
            </w:pPr>
            <w:r>
              <w:rPr>
                <w:sz w:val="20"/>
              </w:rPr>
              <w:t>S14,</w:t>
            </w:r>
            <w:r>
              <w:rPr>
                <w:spacing w:val="-5"/>
                <w:sz w:val="20"/>
              </w:rPr>
              <w:t> </w:t>
            </w:r>
            <w:r>
              <w:rPr>
                <w:sz w:val="20"/>
              </w:rPr>
              <w:t>S14.0,</w:t>
            </w:r>
            <w:r>
              <w:rPr>
                <w:spacing w:val="-4"/>
                <w:sz w:val="20"/>
              </w:rPr>
              <w:t> </w:t>
            </w:r>
            <w:r>
              <w:rPr>
                <w:sz w:val="20"/>
              </w:rPr>
              <w:t>S14.1,</w:t>
            </w:r>
            <w:r>
              <w:rPr>
                <w:spacing w:val="-4"/>
                <w:sz w:val="20"/>
              </w:rPr>
              <w:t> </w:t>
            </w:r>
            <w:r>
              <w:rPr>
                <w:sz w:val="20"/>
              </w:rPr>
              <w:t>S24,</w:t>
            </w:r>
            <w:r>
              <w:rPr>
                <w:spacing w:val="-6"/>
                <w:sz w:val="20"/>
              </w:rPr>
              <w:t> </w:t>
            </w:r>
            <w:r>
              <w:rPr>
                <w:sz w:val="20"/>
              </w:rPr>
              <w:t>S24.0,</w:t>
            </w:r>
            <w:r>
              <w:rPr>
                <w:spacing w:val="-6"/>
                <w:sz w:val="20"/>
              </w:rPr>
              <w:t> </w:t>
            </w:r>
            <w:r>
              <w:rPr>
                <w:sz w:val="20"/>
              </w:rPr>
              <w:t>S24.1,</w:t>
            </w:r>
            <w:r>
              <w:rPr>
                <w:spacing w:val="-5"/>
                <w:sz w:val="20"/>
              </w:rPr>
              <w:t> </w:t>
            </w:r>
            <w:r>
              <w:rPr>
                <w:sz w:val="20"/>
              </w:rPr>
              <w:t>S34,</w:t>
            </w:r>
            <w:r>
              <w:rPr>
                <w:spacing w:val="-4"/>
                <w:sz w:val="20"/>
              </w:rPr>
              <w:t> </w:t>
            </w:r>
            <w:r>
              <w:rPr>
                <w:spacing w:val="-2"/>
                <w:sz w:val="20"/>
              </w:rPr>
              <w:t>S34.0,</w:t>
            </w:r>
          </w:p>
        </w:tc>
        <w:tc>
          <w:tcPr>
            <w:tcW w:w="1823" w:type="dxa"/>
          </w:tcPr>
          <w:p>
            <w:pPr>
              <w:pStyle w:val="TableParagraph"/>
              <w:spacing w:line="215" w:lineRule="exact" w:before="46"/>
              <w:ind w:left="779"/>
              <w:rPr>
                <w:sz w:val="20"/>
              </w:rPr>
            </w:pPr>
            <w:r>
              <w:rPr>
                <w:w w:val="99"/>
                <w:sz w:val="20"/>
              </w:rPr>
              <w:t>-</w:t>
            </w:r>
          </w:p>
        </w:tc>
        <w:tc>
          <w:tcPr>
            <w:tcW w:w="3172" w:type="dxa"/>
          </w:tcPr>
          <w:p>
            <w:pPr>
              <w:pStyle w:val="TableParagraph"/>
              <w:spacing w:line="215" w:lineRule="exact" w:before="46"/>
              <w:ind w:left="539"/>
              <w:jc w:val="center"/>
              <w:rPr>
                <w:sz w:val="20"/>
              </w:rPr>
            </w:pPr>
            <w:r>
              <w:rPr>
                <w:w w:val="99"/>
                <w:sz w:val="20"/>
              </w:rPr>
              <w:t>-</w:t>
            </w:r>
          </w:p>
        </w:tc>
        <w:tc>
          <w:tcPr>
            <w:tcW w:w="837" w:type="dxa"/>
          </w:tcPr>
          <w:p>
            <w:pPr>
              <w:pStyle w:val="TableParagraph"/>
              <w:spacing w:line="215" w:lineRule="exact" w:before="46"/>
              <w:ind w:right="47"/>
              <w:jc w:val="right"/>
              <w:rPr>
                <w:sz w:val="20"/>
              </w:rPr>
            </w:pPr>
            <w:r>
              <w:rPr>
                <w:spacing w:val="-4"/>
                <w:sz w:val="20"/>
              </w:rPr>
              <w:t>1,49</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синдромы,</w:t>
            </w:r>
            <w:r>
              <w:rPr>
                <w:spacing w:val="-7"/>
                <w:sz w:val="20"/>
              </w:rPr>
              <w:t> </w:t>
            </w:r>
            <w:r>
              <w:rPr>
                <w:spacing w:val="-2"/>
                <w:sz w:val="20"/>
              </w:rPr>
              <w:t>травма</w:t>
            </w:r>
          </w:p>
        </w:tc>
        <w:tc>
          <w:tcPr>
            <w:tcW w:w="5382" w:type="dxa"/>
          </w:tcPr>
          <w:p>
            <w:pPr>
              <w:pStyle w:val="TableParagraph"/>
              <w:spacing w:line="210" w:lineRule="exact"/>
              <w:ind w:left="428" w:right="1179"/>
              <w:jc w:val="center"/>
              <w:rPr>
                <w:sz w:val="20"/>
              </w:rPr>
            </w:pPr>
            <w:r>
              <w:rPr>
                <w:sz w:val="20"/>
              </w:rPr>
              <w:t>S34.1,</w:t>
            </w:r>
            <w:r>
              <w:rPr>
                <w:spacing w:val="-6"/>
                <w:sz w:val="20"/>
              </w:rPr>
              <w:t> </w:t>
            </w:r>
            <w:r>
              <w:rPr>
                <w:spacing w:val="-2"/>
                <w:sz w:val="20"/>
              </w:rPr>
              <w:t>T09.3</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z w:val="20"/>
              </w:rPr>
              <w:t>спинного</w:t>
            </w:r>
            <w:r>
              <w:rPr>
                <w:spacing w:val="-11"/>
                <w:sz w:val="20"/>
              </w:rPr>
              <w:t> </w:t>
            </w:r>
            <w:r>
              <w:rPr>
                <w:spacing w:val="-4"/>
                <w:sz w:val="20"/>
              </w:rPr>
              <w:t>мозга</w:t>
            </w:r>
          </w:p>
        </w:tc>
        <w:tc>
          <w:tcPr>
            <w:tcW w:w="5382" w:type="dxa"/>
          </w:tcPr>
          <w:p>
            <w:pPr>
              <w:pStyle w:val="TableParagraph"/>
              <w:rPr>
                <w:sz w:val="16"/>
              </w:rPr>
            </w:pP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spacing w:line="224" w:lineRule="exact"/>
              <w:ind w:left="192"/>
              <w:rPr>
                <w:sz w:val="20"/>
              </w:rPr>
            </w:pPr>
            <w:r>
              <w:rPr>
                <w:sz w:val="20"/>
              </w:rPr>
              <w:t>(уровень</w:t>
            </w:r>
            <w:r>
              <w:rPr>
                <w:spacing w:val="-10"/>
                <w:sz w:val="20"/>
              </w:rPr>
              <w:t> </w:t>
            </w:r>
            <w:r>
              <w:rPr>
                <w:spacing w:val="-5"/>
                <w:sz w:val="20"/>
              </w:rPr>
              <w:t>2)</w:t>
            </w:r>
          </w:p>
        </w:tc>
        <w:tc>
          <w:tcPr>
            <w:tcW w:w="5382" w:type="dxa"/>
          </w:tcPr>
          <w:p>
            <w:pPr>
              <w:pStyle w:val="TableParagraph"/>
              <w:rPr>
                <w:sz w:val="18"/>
              </w:rPr>
            </w:pP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80" w:hRule="atLeast"/>
        </w:trPr>
        <w:tc>
          <w:tcPr>
            <w:tcW w:w="947" w:type="dxa"/>
          </w:tcPr>
          <w:p>
            <w:pPr>
              <w:pStyle w:val="TableParagraph"/>
              <w:spacing w:line="215" w:lineRule="exact" w:before="46"/>
              <w:ind w:left="38" w:right="198"/>
              <w:jc w:val="center"/>
              <w:rPr>
                <w:sz w:val="20"/>
              </w:rPr>
            </w:pPr>
            <w:r>
              <w:rPr>
                <w:spacing w:val="-2"/>
                <w:sz w:val="20"/>
              </w:rPr>
              <w:t>st16.003</w:t>
            </w:r>
          </w:p>
        </w:tc>
        <w:tc>
          <w:tcPr>
            <w:tcW w:w="706" w:type="dxa"/>
          </w:tcPr>
          <w:p>
            <w:pPr>
              <w:pStyle w:val="TableParagraph"/>
              <w:spacing w:line="215" w:lineRule="exact" w:before="46"/>
              <w:ind w:left="209"/>
              <w:rPr>
                <w:sz w:val="20"/>
              </w:rPr>
            </w:pPr>
            <w:r>
              <w:rPr>
                <w:spacing w:val="-5"/>
                <w:sz w:val="20"/>
              </w:rPr>
              <w:t>110</w:t>
            </w:r>
          </w:p>
        </w:tc>
        <w:tc>
          <w:tcPr>
            <w:tcW w:w="2406" w:type="dxa"/>
          </w:tcPr>
          <w:p>
            <w:pPr>
              <w:pStyle w:val="TableParagraph"/>
              <w:spacing w:line="215" w:lineRule="exact" w:before="46"/>
              <w:ind w:left="192"/>
              <w:rPr>
                <w:sz w:val="20"/>
              </w:rPr>
            </w:pPr>
            <w:r>
              <w:rPr>
                <w:spacing w:val="-2"/>
                <w:sz w:val="20"/>
              </w:rPr>
              <w:t>Дорсопатии,</w:t>
            </w:r>
          </w:p>
        </w:tc>
        <w:tc>
          <w:tcPr>
            <w:tcW w:w="5382" w:type="dxa"/>
          </w:tcPr>
          <w:p>
            <w:pPr>
              <w:pStyle w:val="TableParagraph"/>
              <w:spacing w:line="215" w:lineRule="exact" w:before="46"/>
              <w:ind w:left="271"/>
              <w:rPr>
                <w:sz w:val="20"/>
              </w:rPr>
            </w:pPr>
            <w:r>
              <w:rPr>
                <w:sz w:val="20"/>
              </w:rPr>
              <w:t>E55.0,</w:t>
            </w:r>
            <w:r>
              <w:rPr>
                <w:spacing w:val="-7"/>
                <w:sz w:val="20"/>
              </w:rPr>
              <w:t> </w:t>
            </w:r>
            <w:r>
              <w:rPr>
                <w:sz w:val="20"/>
              </w:rPr>
              <w:t>E64.3,</w:t>
            </w:r>
            <w:r>
              <w:rPr>
                <w:spacing w:val="-4"/>
                <w:sz w:val="20"/>
              </w:rPr>
              <w:t> </w:t>
            </w:r>
            <w:r>
              <w:rPr>
                <w:sz w:val="20"/>
              </w:rPr>
              <w:t>M40,</w:t>
            </w:r>
            <w:r>
              <w:rPr>
                <w:spacing w:val="-5"/>
                <w:sz w:val="20"/>
              </w:rPr>
              <w:t> </w:t>
            </w:r>
            <w:r>
              <w:rPr>
                <w:sz w:val="20"/>
              </w:rPr>
              <w:t>M40.0,</w:t>
            </w:r>
            <w:r>
              <w:rPr>
                <w:spacing w:val="-4"/>
                <w:sz w:val="20"/>
              </w:rPr>
              <w:t> </w:t>
            </w:r>
            <w:r>
              <w:rPr>
                <w:sz w:val="20"/>
              </w:rPr>
              <w:t>M40.1,</w:t>
            </w:r>
            <w:r>
              <w:rPr>
                <w:spacing w:val="-5"/>
                <w:sz w:val="20"/>
              </w:rPr>
              <w:t> </w:t>
            </w:r>
            <w:r>
              <w:rPr>
                <w:sz w:val="20"/>
              </w:rPr>
              <w:t>M40.2,</w:t>
            </w:r>
            <w:r>
              <w:rPr>
                <w:spacing w:val="-5"/>
                <w:sz w:val="20"/>
              </w:rPr>
              <w:t> </w:t>
            </w:r>
            <w:r>
              <w:rPr>
                <w:spacing w:val="-2"/>
                <w:sz w:val="20"/>
              </w:rPr>
              <w:t>M40.3,</w:t>
            </w:r>
          </w:p>
        </w:tc>
        <w:tc>
          <w:tcPr>
            <w:tcW w:w="1823" w:type="dxa"/>
          </w:tcPr>
          <w:p>
            <w:pPr>
              <w:pStyle w:val="TableParagraph"/>
              <w:spacing w:line="215" w:lineRule="exact" w:before="46"/>
              <w:ind w:left="779"/>
              <w:rPr>
                <w:sz w:val="20"/>
              </w:rPr>
            </w:pPr>
            <w:r>
              <w:rPr>
                <w:w w:val="99"/>
                <w:sz w:val="20"/>
              </w:rPr>
              <w:t>-</w:t>
            </w:r>
          </w:p>
        </w:tc>
        <w:tc>
          <w:tcPr>
            <w:tcW w:w="3172" w:type="dxa"/>
          </w:tcPr>
          <w:p>
            <w:pPr>
              <w:pStyle w:val="TableParagraph"/>
              <w:spacing w:line="215" w:lineRule="exact" w:before="46"/>
              <w:ind w:left="539"/>
              <w:jc w:val="center"/>
              <w:rPr>
                <w:sz w:val="20"/>
              </w:rPr>
            </w:pPr>
            <w:r>
              <w:rPr>
                <w:w w:val="99"/>
                <w:sz w:val="20"/>
              </w:rPr>
              <w:t>-</w:t>
            </w:r>
          </w:p>
        </w:tc>
        <w:tc>
          <w:tcPr>
            <w:tcW w:w="837" w:type="dxa"/>
          </w:tcPr>
          <w:p>
            <w:pPr>
              <w:pStyle w:val="TableParagraph"/>
              <w:spacing w:line="215" w:lineRule="exact" w:before="46"/>
              <w:ind w:right="47"/>
              <w:jc w:val="right"/>
              <w:rPr>
                <w:sz w:val="20"/>
              </w:rPr>
            </w:pPr>
            <w:r>
              <w:rPr>
                <w:spacing w:val="-4"/>
                <w:sz w:val="20"/>
              </w:rPr>
              <w:t>0,68</w:t>
            </w: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pacing w:val="-2"/>
                <w:sz w:val="20"/>
              </w:rPr>
              <w:t>спондилопатии,</w:t>
            </w:r>
          </w:p>
        </w:tc>
        <w:tc>
          <w:tcPr>
            <w:tcW w:w="5382" w:type="dxa"/>
          </w:tcPr>
          <w:p>
            <w:pPr>
              <w:pStyle w:val="TableParagraph"/>
              <w:spacing w:line="209" w:lineRule="exact"/>
              <w:ind w:left="530"/>
              <w:rPr>
                <w:sz w:val="20"/>
              </w:rPr>
            </w:pPr>
            <w:r>
              <w:rPr>
                <w:sz w:val="20"/>
              </w:rPr>
              <w:t>M40.4,</w:t>
            </w:r>
            <w:r>
              <w:rPr>
                <w:spacing w:val="-5"/>
                <w:sz w:val="20"/>
              </w:rPr>
              <w:t> </w:t>
            </w:r>
            <w:r>
              <w:rPr>
                <w:sz w:val="20"/>
              </w:rPr>
              <w:t>M40.5,</w:t>
            </w:r>
            <w:r>
              <w:rPr>
                <w:spacing w:val="-4"/>
                <w:sz w:val="20"/>
              </w:rPr>
              <w:t> </w:t>
            </w:r>
            <w:r>
              <w:rPr>
                <w:sz w:val="20"/>
              </w:rPr>
              <w:t>M41,</w:t>
            </w:r>
            <w:r>
              <w:rPr>
                <w:spacing w:val="-6"/>
                <w:sz w:val="20"/>
              </w:rPr>
              <w:t> </w:t>
            </w:r>
            <w:r>
              <w:rPr>
                <w:sz w:val="20"/>
              </w:rPr>
              <w:t>M41.0,</w:t>
            </w:r>
            <w:r>
              <w:rPr>
                <w:spacing w:val="-6"/>
                <w:sz w:val="20"/>
              </w:rPr>
              <w:t> </w:t>
            </w:r>
            <w:r>
              <w:rPr>
                <w:sz w:val="20"/>
              </w:rPr>
              <w:t>M41.1,</w:t>
            </w:r>
            <w:r>
              <w:rPr>
                <w:spacing w:val="-4"/>
                <w:sz w:val="20"/>
              </w:rPr>
              <w:t> </w:t>
            </w:r>
            <w:r>
              <w:rPr>
                <w:spacing w:val="-2"/>
                <w:sz w:val="20"/>
              </w:rPr>
              <w:t>M41.2,</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pacing w:val="-2"/>
                <w:sz w:val="20"/>
              </w:rPr>
              <w:t>остеопатии</w:t>
            </w:r>
          </w:p>
        </w:tc>
        <w:tc>
          <w:tcPr>
            <w:tcW w:w="5382" w:type="dxa"/>
          </w:tcPr>
          <w:p>
            <w:pPr>
              <w:pStyle w:val="TableParagraph"/>
              <w:spacing w:line="209" w:lineRule="exact"/>
              <w:ind w:left="530"/>
              <w:rPr>
                <w:sz w:val="20"/>
              </w:rPr>
            </w:pPr>
            <w:r>
              <w:rPr>
                <w:sz w:val="20"/>
              </w:rPr>
              <w:t>M41.3,</w:t>
            </w:r>
            <w:r>
              <w:rPr>
                <w:spacing w:val="-6"/>
                <w:sz w:val="20"/>
              </w:rPr>
              <w:t> </w:t>
            </w:r>
            <w:r>
              <w:rPr>
                <w:sz w:val="20"/>
              </w:rPr>
              <w:t>M41.4,</w:t>
            </w:r>
            <w:r>
              <w:rPr>
                <w:spacing w:val="-6"/>
                <w:sz w:val="20"/>
              </w:rPr>
              <w:t> </w:t>
            </w:r>
            <w:r>
              <w:rPr>
                <w:sz w:val="20"/>
              </w:rPr>
              <w:t>M41.5,</w:t>
            </w:r>
            <w:r>
              <w:rPr>
                <w:spacing w:val="-6"/>
                <w:sz w:val="20"/>
              </w:rPr>
              <w:t> </w:t>
            </w:r>
            <w:r>
              <w:rPr>
                <w:sz w:val="20"/>
              </w:rPr>
              <w:t>M41.8,</w:t>
            </w:r>
            <w:r>
              <w:rPr>
                <w:spacing w:val="-6"/>
                <w:sz w:val="20"/>
              </w:rPr>
              <w:t> </w:t>
            </w:r>
            <w:r>
              <w:rPr>
                <w:sz w:val="20"/>
              </w:rPr>
              <w:t>M41.9,</w:t>
            </w:r>
            <w:r>
              <w:rPr>
                <w:spacing w:val="-5"/>
                <w:sz w:val="20"/>
              </w:rPr>
              <w:t> </w:t>
            </w:r>
            <w:r>
              <w:rPr>
                <w:spacing w:val="-4"/>
                <w:sz w:val="20"/>
              </w:rPr>
              <w:t>M42,</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M42.0,</w:t>
            </w:r>
            <w:r>
              <w:rPr>
                <w:spacing w:val="-5"/>
                <w:sz w:val="20"/>
              </w:rPr>
              <w:t> </w:t>
            </w:r>
            <w:r>
              <w:rPr>
                <w:sz w:val="20"/>
              </w:rPr>
              <w:t>M42.1,</w:t>
            </w:r>
            <w:r>
              <w:rPr>
                <w:spacing w:val="-4"/>
                <w:sz w:val="20"/>
              </w:rPr>
              <w:t> </w:t>
            </w:r>
            <w:r>
              <w:rPr>
                <w:sz w:val="20"/>
              </w:rPr>
              <w:t>M42.9,</w:t>
            </w:r>
            <w:r>
              <w:rPr>
                <w:spacing w:val="-4"/>
                <w:sz w:val="20"/>
              </w:rPr>
              <w:t> </w:t>
            </w:r>
            <w:r>
              <w:rPr>
                <w:sz w:val="20"/>
              </w:rPr>
              <w:t>M43,</w:t>
            </w:r>
            <w:r>
              <w:rPr>
                <w:spacing w:val="-6"/>
                <w:sz w:val="20"/>
              </w:rPr>
              <w:t> </w:t>
            </w:r>
            <w:r>
              <w:rPr>
                <w:sz w:val="20"/>
              </w:rPr>
              <w:t>M43.0,</w:t>
            </w:r>
            <w:r>
              <w:rPr>
                <w:spacing w:val="-4"/>
                <w:sz w:val="20"/>
              </w:rPr>
              <w:t> </w:t>
            </w:r>
            <w:r>
              <w:rPr>
                <w:spacing w:val="-2"/>
                <w:sz w:val="20"/>
              </w:rPr>
              <w:t>M43.1,</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1" w:lineRule="exact"/>
              <w:ind w:left="453"/>
              <w:rPr>
                <w:sz w:val="20"/>
              </w:rPr>
            </w:pPr>
            <w:r>
              <w:rPr>
                <w:sz w:val="20"/>
              </w:rPr>
              <w:t>M43.2,</w:t>
            </w:r>
            <w:r>
              <w:rPr>
                <w:spacing w:val="-6"/>
                <w:sz w:val="20"/>
              </w:rPr>
              <w:t> </w:t>
            </w:r>
            <w:r>
              <w:rPr>
                <w:sz w:val="20"/>
              </w:rPr>
              <w:t>M43.3,</w:t>
            </w:r>
            <w:r>
              <w:rPr>
                <w:spacing w:val="-6"/>
                <w:sz w:val="20"/>
              </w:rPr>
              <w:t> </w:t>
            </w:r>
            <w:r>
              <w:rPr>
                <w:sz w:val="20"/>
              </w:rPr>
              <w:t>M43.4,</w:t>
            </w:r>
            <w:r>
              <w:rPr>
                <w:spacing w:val="-6"/>
                <w:sz w:val="20"/>
              </w:rPr>
              <w:t> </w:t>
            </w:r>
            <w:r>
              <w:rPr>
                <w:sz w:val="20"/>
              </w:rPr>
              <w:t>M43.5,</w:t>
            </w:r>
            <w:r>
              <w:rPr>
                <w:spacing w:val="-6"/>
                <w:sz w:val="20"/>
              </w:rPr>
              <w:t> </w:t>
            </w:r>
            <w:r>
              <w:rPr>
                <w:sz w:val="20"/>
              </w:rPr>
              <w:t>M43.6,</w:t>
            </w:r>
            <w:r>
              <w:rPr>
                <w:spacing w:val="-5"/>
                <w:sz w:val="20"/>
              </w:rPr>
              <w:t> </w:t>
            </w:r>
            <w:r>
              <w:rPr>
                <w:spacing w:val="-2"/>
                <w:sz w:val="20"/>
              </w:rPr>
              <w:t>M43.8,</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1" w:lineRule="exact"/>
              <w:ind w:left="530"/>
              <w:rPr>
                <w:sz w:val="20"/>
              </w:rPr>
            </w:pPr>
            <w:r>
              <w:rPr>
                <w:sz w:val="20"/>
              </w:rPr>
              <w:t>M43.9,</w:t>
            </w:r>
            <w:r>
              <w:rPr>
                <w:spacing w:val="-4"/>
                <w:sz w:val="20"/>
              </w:rPr>
              <w:t> </w:t>
            </w:r>
            <w:r>
              <w:rPr>
                <w:sz w:val="20"/>
              </w:rPr>
              <w:t>M46,</w:t>
            </w:r>
            <w:r>
              <w:rPr>
                <w:spacing w:val="-4"/>
                <w:sz w:val="20"/>
              </w:rPr>
              <w:t> </w:t>
            </w:r>
            <w:r>
              <w:rPr>
                <w:sz w:val="20"/>
              </w:rPr>
              <w:t>M46.0,</w:t>
            </w:r>
            <w:r>
              <w:rPr>
                <w:spacing w:val="-6"/>
                <w:sz w:val="20"/>
              </w:rPr>
              <w:t> </w:t>
            </w:r>
            <w:r>
              <w:rPr>
                <w:sz w:val="20"/>
              </w:rPr>
              <w:t>M46.1,</w:t>
            </w:r>
            <w:r>
              <w:rPr>
                <w:spacing w:val="-6"/>
                <w:sz w:val="20"/>
              </w:rPr>
              <w:t> </w:t>
            </w:r>
            <w:r>
              <w:rPr>
                <w:sz w:val="20"/>
              </w:rPr>
              <w:t>M46.3,</w:t>
            </w:r>
            <w:r>
              <w:rPr>
                <w:spacing w:val="-4"/>
                <w:sz w:val="20"/>
              </w:rPr>
              <w:t> </w:t>
            </w:r>
            <w:r>
              <w:rPr>
                <w:spacing w:val="-2"/>
                <w:sz w:val="20"/>
              </w:rPr>
              <w:t>M46.4,</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M46.5,</w:t>
            </w:r>
            <w:r>
              <w:rPr>
                <w:spacing w:val="-4"/>
                <w:sz w:val="20"/>
              </w:rPr>
              <w:t> </w:t>
            </w:r>
            <w:r>
              <w:rPr>
                <w:sz w:val="20"/>
              </w:rPr>
              <w:t>M47,</w:t>
            </w:r>
            <w:r>
              <w:rPr>
                <w:spacing w:val="-4"/>
                <w:sz w:val="20"/>
              </w:rPr>
              <w:t> </w:t>
            </w:r>
            <w:r>
              <w:rPr>
                <w:sz w:val="20"/>
              </w:rPr>
              <w:t>M47.0,</w:t>
            </w:r>
            <w:r>
              <w:rPr>
                <w:spacing w:val="-6"/>
                <w:sz w:val="20"/>
              </w:rPr>
              <w:t> </w:t>
            </w:r>
            <w:r>
              <w:rPr>
                <w:sz w:val="20"/>
              </w:rPr>
              <w:t>M47.1,</w:t>
            </w:r>
            <w:r>
              <w:rPr>
                <w:spacing w:val="-6"/>
                <w:sz w:val="20"/>
              </w:rPr>
              <w:t> </w:t>
            </w:r>
            <w:r>
              <w:rPr>
                <w:sz w:val="20"/>
              </w:rPr>
              <w:t>M47.2,</w:t>
            </w:r>
            <w:r>
              <w:rPr>
                <w:spacing w:val="-4"/>
                <w:sz w:val="20"/>
              </w:rPr>
              <w:t> </w:t>
            </w:r>
            <w:r>
              <w:rPr>
                <w:spacing w:val="-2"/>
                <w:sz w:val="20"/>
              </w:rPr>
              <w:t>M47.8,</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09" w:lineRule="exact"/>
              <w:ind w:left="530"/>
              <w:rPr>
                <w:sz w:val="20"/>
              </w:rPr>
            </w:pPr>
            <w:r>
              <w:rPr>
                <w:sz w:val="20"/>
              </w:rPr>
              <w:t>M47.9,</w:t>
            </w:r>
            <w:r>
              <w:rPr>
                <w:spacing w:val="-4"/>
                <w:sz w:val="20"/>
              </w:rPr>
              <w:t> </w:t>
            </w:r>
            <w:r>
              <w:rPr>
                <w:sz w:val="20"/>
              </w:rPr>
              <w:t>M48,</w:t>
            </w:r>
            <w:r>
              <w:rPr>
                <w:spacing w:val="-4"/>
                <w:sz w:val="20"/>
              </w:rPr>
              <w:t> </w:t>
            </w:r>
            <w:r>
              <w:rPr>
                <w:sz w:val="20"/>
              </w:rPr>
              <w:t>M48.0,</w:t>
            </w:r>
            <w:r>
              <w:rPr>
                <w:spacing w:val="-6"/>
                <w:sz w:val="20"/>
              </w:rPr>
              <w:t> </w:t>
            </w:r>
            <w:r>
              <w:rPr>
                <w:sz w:val="20"/>
              </w:rPr>
              <w:t>M48.1,</w:t>
            </w:r>
            <w:r>
              <w:rPr>
                <w:spacing w:val="-6"/>
                <w:sz w:val="20"/>
              </w:rPr>
              <w:t> </w:t>
            </w:r>
            <w:r>
              <w:rPr>
                <w:sz w:val="20"/>
              </w:rPr>
              <w:t>M48.2,</w:t>
            </w:r>
            <w:r>
              <w:rPr>
                <w:spacing w:val="-4"/>
                <w:sz w:val="20"/>
              </w:rPr>
              <w:t> </w:t>
            </w:r>
            <w:r>
              <w:rPr>
                <w:spacing w:val="-2"/>
                <w:sz w:val="20"/>
              </w:rPr>
              <w:t>M48.3,</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09" w:lineRule="exact"/>
              <w:ind w:left="530"/>
              <w:rPr>
                <w:sz w:val="20"/>
              </w:rPr>
            </w:pPr>
            <w:r>
              <w:rPr>
                <w:sz w:val="20"/>
              </w:rPr>
              <w:t>M48.5,</w:t>
            </w:r>
            <w:r>
              <w:rPr>
                <w:spacing w:val="-5"/>
                <w:sz w:val="20"/>
              </w:rPr>
              <w:t> </w:t>
            </w:r>
            <w:r>
              <w:rPr>
                <w:sz w:val="20"/>
              </w:rPr>
              <w:t>M48.8,</w:t>
            </w:r>
            <w:r>
              <w:rPr>
                <w:spacing w:val="-5"/>
                <w:sz w:val="20"/>
              </w:rPr>
              <w:t> </w:t>
            </w:r>
            <w:r>
              <w:rPr>
                <w:sz w:val="20"/>
              </w:rPr>
              <w:t>M48.9,</w:t>
            </w:r>
            <w:r>
              <w:rPr>
                <w:spacing w:val="-4"/>
                <w:sz w:val="20"/>
              </w:rPr>
              <w:t> </w:t>
            </w:r>
            <w:r>
              <w:rPr>
                <w:sz w:val="20"/>
              </w:rPr>
              <w:t>M49,</w:t>
            </w:r>
            <w:r>
              <w:rPr>
                <w:spacing w:val="-6"/>
                <w:sz w:val="20"/>
              </w:rPr>
              <w:t> </w:t>
            </w:r>
            <w:r>
              <w:rPr>
                <w:sz w:val="20"/>
              </w:rPr>
              <w:t>M49.2,</w:t>
            </w:r>
            <w:r>
              <w:rPr>
                <w:spacing w:val="-5"/>
                <w:sz w:val="20"/>
              </w:rPr>
              <w:t> </w:t>
            </w:r>
            <w:r>
              <w:rPr>
                <w:spacing w:val="-2"/>
                <w:sz w:val="20"/>
              </w:rPr>
              <w:t>M49.3,</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M49.4,</w:t>
            </w:r>
            <w:r>
              <w:rPr>
                <w:spacing w:val="-5"/>
                <w:sz w:val="20"/>
              </w:rPr>
              <w:t> </w:t>
            </w:r>
            <w:r>
              <w:rPr>
                <w:sz w:val="20"/>
              </w:rPr>
              <w:t>M49.5,</w:t>
            </w:r>
            <w:r>
              <w:rPr>
                <w:spacing w:val="-4"/>
                <w:sz w:val="20"/>
              </w:rPr>
              <w:t> </w:t>
            </w:r>
            <w:r>
              <w:rPr>
                <w:sz w:val="20"/>
              </w:rPr>
              <w:t>M49.8,</w:t>
            </w:r>
            <w:r>
              <w:rPr>
                <w:spacing w:val="-5"/>
                <w:sz w:val="20"/>
              </w:rPr>
              <w:t> </w:t>
            </w:r>
            <w:r>
              <w:rPr>
                <w:sz w:val="20"/>
              </w:rPr>
              <w:t>M50,</w:t>
            </w:r>
            <w:r>
              <w:rPr>
                <w:spacing w:val="-3"/>
                <w:sz w:val="20"/>
              </w:rPr>
              <w:t> </w:t>
            </w:r>
            <w:r>
              <w:rPr>
                <w:sz w:val="20"/>
              </w:rPr>
              <w:t>M50.0,</w:t>
            </w:r>
            <w:r>
              <w:rPr>
                <w:spacing w:val="-5"/>
                <w:sz w:val="20"/>
              </w:rPr>
              <w:t> </w:t>
            </w:r>
            <w:r>
              <w:rPr>
                <w:spacing w:val="-2"/>
                <w:sz w:val="20"/>
              </w:rPr>
              <w:t>M50.1,</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M50.2,</w:t>
            </w:r>
            <w:r>
              <w:rPr>
                <w:spacing w:val="-6"/>
                <w:sz w:val="20"/>
              </w:rPr>
              <w:t> </w:t>
            </w:r>
            <w:r>
              <w:rPr>
                <w:sz w:val="20"/>
              </w:rPr>
              <w:t>M50.3,</w:t>
            </w:r>
            <w:r>
              <w:rPr>
                <w:spacing w:val="-5"/>
                <w:sz w:val="20"/>
              </w:rPr>
              <w:t> </w:t>
            </w:r>
            <w:r>
              <w:rPr>
                <w:sz w:val="20"/>
              </w:rPr>
              <w:t>M50.8,</w:t>
            </w:r>
            <w:r>
              <w:rPr>
                <w:spacing w:val="-5"/>
                <w:sz w:val="20"/>
              </w:rPr>
              <w:t> </w:t>
            </w:r>
            <w:r>
              <w:rPr>
                <w:sz w:val="20"/>
              </w:rPr>
              <w:t>M50.9,</w:t>
            </w:r>
            <w:r>
              <w:rPr>
                <w:spacing w:val="-5"/>
                <w:sz w:val="20"/>
              </w:rPr>
              <w:t> </w:t>
            </w:r>
            <w:r>
              <w:rPr>
                <w:sz w:val="20"/>
              </w:rPr>
              <w:t>M51,</w:t>
            </w:r>
            <w:r>
              <w:rPr>
                <w:spacing w:val="-5"/>
                <w:sz w:val="20"/>
              </w:rPr>
              <w:t> </w:t>
            </w:r>
            <w:r>
              <w:rPr>
                <w:spacing w:val="-2"/>
                <w:sz w:val="20"/>
              </w:rPr>
              <w:t>M51.0,</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453"/>
              <w:rPr>
                <w:sz w:val="20"/>
              </w:rPr>
            </w:pPr>
            <w:r>
              <w:rPr>
                <w:sz w:val="20"/>
              </w:rPr>
              <w:t>M51.1,</w:t>
            </w:r>
            <w:r>
              <w:rPr>
                <w:spacing w:val="-6"/>
                <w:sz w:val="20"/>
              </w:rPr>
              <w:t> </w:t>
            </w:r>
            <w:r>
              <w:rPr>
                <w:sz w:val="20"/>
              </w:rPr>
              <w:t>M51.2,</w:t>
            </w:r>
            <w:r>
              <w:rPr>
                <w:spacing w:val="-6"/>
                <w:sz w:val="20"/>
              </w:rPr>
              <w:t> </w:t>
            </w:r>
            <w:r>
              <w:rPr>
                <w:sz w:val="20"/>
              </w:rPr>
              <w:t>M51.3,</w:t>
            </w:r>
            <w:r>
              <w:rPr>
                <w:spacing w:val="-6"/>
                <w:sz w:val="20"/>
              </w:rPr>
              <w:t> </w:t>
            </w:r>
            <w:r>
              <w:rPr>
                <w:sz w:val="20"/>
              </w:rPr>
              <w:t>M51.4,</w:t>
            </w:r>
            <w:r>
              <w:rPr>
                <w:spacing w:val="-6"/>
                <w:sz w:val="20"/>
              </w:rPr>
              <w:t> </w:t>
            </w:r>
            <w:r>
              <w:rPr>
                <w:sz w:val="20"/>
              </w:rPr>
              <w:t>M51.8,</w:t>
            </w:r>
            <w:r>
              <w:rPr>
                <w:spacing w:val="-5"/>
                <w:sz w:val="20"/>
              </w:rPr>
              <w:t> </w:t>
            </w:r>
            <w:r>
              <w:rPr>
                <w:spacing w:val="-2"/>
                <w:sz w:val="20"/>
              </w:rPr>
              <w:t>M51.9,</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5"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05" w:lineRule="exact"/>
              <w:ind w:left="530"/>
              <w:rPr>
                <w:sz w:val="20"/>
              </w:rPr>
            </w:pPr>
            <w:r>
              <w:rPr>
                <w:sz w:val="20"/>
              </w:rPr>
              <w:t>M53,</w:t>
            </w:r>
            <w:r>
              <w:rPr>
                <w:spacing w:val="-5"/>
                <w:sz w:val="20"/>
              </w:rPr>
              <w:t> </w:t>
            </w:r>
            <w:r>
              <w:rPr>
                <w:sz w:val="20"/>
              </w:rPr>
              <w:t>M53.0,</w:t>
            </w:r>
            <w:r>
              <w:rPr>
                <w:spacing w:val="-4"/>
                <w:sz w:val="20"/>
              </w:rPr>
              <w:t> </w:t>
            </w:r>
            <w:r>
              <w:rPr>
                <w:sz w:val="20"/>
              </w:rPr>
              <w:t>M53.1,</w:t>
            </w:r>
            <w:r>
              <w:rPr>
                <w:spacing w:val="-6"/>
                <w:sz w:val="20"/>
              </w:rPr>
              <w:t> </w:t>
            </w:r>
            <w:r>
              <w:rPr>
                <w:sz w:val="20"/>
              </w:rPr>
              <w:t>M53.2,</w:t>
            </w:r>
            <w:r>
              <w:rPr>
                <w:spacing w:val="-6"/>
                <w:sz w:val="20"/>
              </w:rPr>
              <w:t> </w:t>
            </w:r>
            <w:r>
              <w:rPr>
                <w:sz w:val="20"/>
              </w:rPr>
              <w:t>M53.3,</w:t>
            </w:r>
            <w:r>
              <w:rPr>
                <w:spacing w:val="-4"/>
                <w:sz w:val="20"/>
              </w:rPr>
              <w:t> </w:t>
            </w:r>
            <w:r>
              <w:rPr>
                <w:spacing w:val="-2"/>
                <w:sz w:val="20"/>
              </w:rPr>
              <w:t>M53.8,</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390"/>
        <w:gridCol w:w="5272"/>
        <w:gridCol w:w="2373"/>
        <w:gridCol w:w="2326"/>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390" w:type="dxa"/>
            <w:vMerge w:val="restart"/>
          </w:tcPr>
          <w:p>
            <w:pPr>
              <w:pStyle w:val="TableParagraph"/>
              <w:rPr>
                <w:sz w:val="18"/>
              </w:rPr>
            </w:pPr>
          </w:p>
        </w:tc>
        <w:tc>
          <w:tcPr>
            <w:tcW w:w="5272" w:type="dxa"/>
          </w:tcPr>
          <w:p>
            <w:pPr>
              <w:pStyle w:val="TableParagraph"/>
              <w:spacing w:line="205" w:lineRule="exact"/>
              <w:ind w:left="546"/>
              <w:rPr>
                <w:sz w:val="20"/>
              </w:rPr>
            </w:pPr>
            <w:r>
              <w:rPr>
                <w:sz w:val="20"/>
              </w:rPr>
              <w:t>M53.9,</w:t>
            </w:r>
            <w:r>
              <w:rPr>
                <w:spacing w:val="-4"/>
                <w:sz w:val="20"/>
              </w:rPr>
              <w:t> </w:t>
            </w:r>
            <w:r>
              <w:rPr>
                <w:sz w:val="20"/>
              </w:rPr>
              <w:t>M54,</w:t>
            </w:r>
            <w:r>
              <w:rPr>
                <w:spacing w:val="-4"/>
                <w:sz w:val="20"/>
              </w:rPr>
              <w:t> </w:t>
            </w:r>
            <w:r>
              <w:rPr>
                <w:sz w:val="20"/>
              </w:rPr>
              <w:t>M54.0,</w:t>
            </w:r>
            <w:r>
              <w:rPr>
                <w:spacing w:val="-6"/>
                <w:sz w:val="20"/>
              </w:rPr>
              <w:t> </w:t>
            </w:r>
            <w:r>
              <w:rPr>
                <w:sz w:val="20"/>
              </w:rPr>
              <w:t>M54.1,</w:t>
            </w:r>
            <w:r>
              <w:rPr>
                <w:spacing w:val="-6"/>
                <w:sz w:val="20"/>
              </w:rPr>
              <w:t> </w:t>
            </w:r>
            <w:r>
              <w:rPr>
                <w:sz w:val="20"/>
              </w:rPr>
              <w:t>M54.2,</w:t>
            </w:r>
            <w:r>
              <w:rPr>
                <w:spacing w:val="-4"/>
                <w:sz w:val="20"/>
              </w:rPr>
              <w:t> </w:t>
            </w:r>
            <w:r>
              <w:rPr>
                <w:spacing w:val="-2"/>
                <w:sz w:val="20"/>
              </w:rPr>
              <w:t>M54.3,</w:t>
            </w:r>
          </w:p>
        </w:tc>
        <w:tc>
          <w:tcPr>
            <w:tcW w:w="2373" w:type="dxa"/>
            <w:vMerge w:val="restart"/>
          </w:tcPr>
          <w:p>
            <w:pPr>
              <w:pStyle w:val="TableParagraph"/>
              <w:rPr>
                <w:sz w:val="18"/>
              </w:rPr>
            </w:pPr>
          </w:p>
        </w:tc>
        <w:tc>
          <w:tcPr>
            <w:tcW w:w="2326"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M54.4,</w:t>
            </w:r>
            <w:r>
              <w:rPr>
                <w:spacing w:val="-6"/>
                <w:sz w:val="20"/>
              </w:rPr>
              <w:t> </w:t>
            </w:r>
            <w:r>
              <w:rPr>
                <w:sz w:val="20"/>
              </w:rPr>
              <w:t>M54.5,</w:t>
            </w:r>
            <w:r>
              <w:rPr>
                <w:spacing w:val="-6"/>
                <w:sz w:val="20"/>
              </w:rPr>
              <w:t> </w:t>
            </w:r>
            <w:r>
              <w:rPr>
                <w:sz w:val="20"/>
              </w:rPr>
              <w:t>M54.6,</w:t>
            </w:r>
            <w:r>
              <w:rPr>
                <w:spacing w:val="-6"/>
                <w:sz w:val="20"/>
              </w:rPr>
              <w:t> </w:t>
            </w:r>
            <w:r>
              <w:rPr>
                <w:sz w:val="20"/>
              </w:rPr>
              <w:t>M54.8,</w:t>
            </w:r>
            <w:r>
              <w:rPr>
                <w:spacing w:val="-6"/>
                <w:sz w:val="20"/>
              </w:rPr>
              <w:t> </w:t>
            </w:r>
            <w:r>
              <w:rPr>
                <w:sz w:val="20"/>
              </w:rPr>
              <w:t>M54.9,</w:t>
            </w:r>
            <w:r>
              <w:rPr>
                <w:spacing w:val="-5"/>
                <w:sz w:val="20"/>
              </w:rPr>
              <w:t> </w:t>
            </w:r>
            <w:r>
              <w:rPr>
                <w:spacing w:val="-4"/>
                <w:sz w:val="20"/>
              </w:rPr>
              <w:t>M80,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469"/>
              <w:rPr>
                <w:sz w:val="20"/>
              </w:rPr>
            </w:pPr>
            <w:r>
              <w:rPr>
                <w:sz w:val="20"/>
              </w:rPr>
              <w:t>M80.0,</w:t>
            </w:r>
            <w:r>
              <w:rPr>
                <w:spacing w:val="-6"/>
                <w:sz w:val="20"/>
              </w:rPr>
              <w:t> </w:t>
            </w:r>
            <w:r>
              <w:rPr>
                <w:sz w:val="20"/>
              </w:rPr>
              <w:t>M80.1,</w:t>
            </w:r>
            <w:r>
              <w:rPr>
                <w:spacing w:val="-6"/>
                <w:sz w:val="20"/>
              </w:rPr>
              <w:t> </w:t>
            </w:r>
            <w:r>
              <w:rPr>
                <w:sz w:val="20"/>
              </w:rPr>
              <w:t>M80.2,</w:t>
            </w:r>
            <w:r>
              <w:rPr>
                <w:spacing w:val="-6"/>
                <w:sz w:val="20"/>
              </w:rPr>
              <w:t> </w:t>
            </w:r>
            <w:r>
              <w:rPr>
                <w:sz w:val="20"/>
              </w:rPr>
              <w:t>M80.3,</w:t>
            </w:r>
            <w:r>
              <w:rPr>
                <w:spacing w:val="-6"/>
                <w:sz w:val="20"/>
              </w:rPr>
              <w:t> </w:t>
            </w:r>
            <w:r>
              <w:rPr>
                <w:sz w:val="20"/>
              </w:rPr>
              <w:t>M80.4,</w:t>
            </w:r>
            <w:r>
              <w:rPr>
                <w:spacing w:val="-5"/>
                <w:sz w:val="20"/>
              </w:rPr>
              <w:t> </w:t>
            </w:r>
            <w:r>
              <w:rPr>
                <w:spacing w:val="-2"/>
                <w:sz w:val="20"/>
              </w:rPr>
              <w:t>M80.5,</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M80.8,</w:t>
            </w:r>
            <w:r>
              <w:rPr>
                <w:spacing w:val="-5"/>
                <w:sz w:val="20"/>
              </w:rPr>
              <w:t> </w:t>
            </w:r>
            <w:r>
              <w:rPr>
                <w:sz w:val="20"/>
              </w:rPr>
              <w:t>M80.9,</w:t>
            </w:r>
            <w:r>
              <w:rPr>
                <w:spacing w:val="-4"/>
                <w:sz w:val="20"/>
              </w:rPr>
              <w:t> </w:t>
            </w:r>
            <w:r>
              <w:rPr>
                <w:sz w:val="20"/>
              </w:rPr>
              <w:t>M81,</w:t>
            </w:r>
            <w:r>
              <w:rPr>
                <w:spacing w:val="-6"/>
                <w:sz w:val="20"/>
              </w:rPr>
              <w:t> </w:t>
            </w:r>
            <w:r>
              <w:rPr>
                <w:sz w:val="20"/>
              </w:rPr>
              <w:t>M81.0,</w:t>
            </w:r>
            <w:r>
              <w:rPr>
                <w:spacing w:val="-6"/>
                <w:sz w:val="20"/>
              </w:rPr>
              <w:t> </w:t>
            </w:r>
            <w:r>
              <w:rPr>
                <w:sz w:val="20"/>
              </w:rPr>
              <w:t>M81.1,</w:t>
            </w:r>
            <w:r>
              <w:rPr>
                <w:spacing w:val="-4"/>
                <w:sz w:val="20"/>
              </w:rPr>
              <w:t> </w:t>
            </w:r>
            <w:r>
              <w:rPr>
                <w:spacing w:val="-2"/>
                <w:sz w:val="20"/>
              </w:rPr>
              <w:t>M81.2,</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M81.3,</w:t>
            </w:r>
            <w:r>
              <w:rPr>
                <w:spacing w:val="-6"/>
                <w:sz w:val="20"/>
              </w:rPr>
              <w:t> </w:t>
            </w:r>
            <w:r>
              <w:rPr>
                <w:sz w:val="20"/>
              </w:rPr>
              <w:t>M81.4,</w:t>
            </w:r>
            <w:r>
              <w:rPr>
                <w:spacing w:val="-6"/>
                <w:sz w:val="20"/>
              </w:rPr>
              <w:t> </w:t>
            </w:r>
            <w:r>
              <w:rPr>
                <w:sz w:val="20"/>
              </w:rPr>
              <w:t>M81.5,</w:t>
            </w:r>
            <w:r>
              <w:rPr>
                <w:spacing w:val="-6"/>
                <w:sz w:val="20"/>
              </w:rPr>
              <w:t> </w:t>
            </w:r>
            <w:r>
              <w:rPr>
                <w:sz w:val="20"/>
              </w:rPr>
              <w:t>M81.6,</w:t>
            </w:r>
            <w:r>
              <w:rPr>
                <w:spacing w:val="-6"/>
                <w:sz w:val="20"/>
              </w:rPr>
              <w:t> </w:t>
            </w:r>
            <w:r>
              <w:rPr>
                <w:sz w:val="20"/>
              </w:rPr>
              <w:t>M81.8,</w:t>
            </w:r>
            <w:r>
              <w:rPr>
                <w:spacing w:val="-5"/>
                <w:sz w:val="20"/>
              </w:rPr>
              <w:t> </w:t>
            </w:r>
            <w:r>
              <w:rPr>
                <w:spacing w:val="-2"/>
                <w:sz w:val="20"/>
              </w:rPr>
              <w:t>M81.9,</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right="920"/>
              <w:jc w:val="right"/>
              <w:rPr>
                <w:sz w:val="20"/>
              </w:rPr>
            </w:pPr>
            <w:r>
              <w:rPr>
                <w:sz w:val="20"/>
              </w:rPr>
              <w:t>M82,</w:t>
            </w:r>
            <w:r>
              <w:rPr>
                <w:spacing w:val="-5"/>
                <w:sz w:val="20"/>
              </w:rPr>
              <w:t> </w:t>
            </w:r>
            <w:r>
              <w:rPr>
                <w:sz w:val="20"/>
              </w:rPr>
              <w:t>M82.0,</w:t>
            </w:r>
            <w:r>
              <w:rPr>
                <w:spacing w:val="-4"/>
                <w:sz w:val="20"/>
              </w:rPr>
              <w:t> </w:t>
            </w:r>
            <w:r>
              <w:rPr>
                <w:sz w:val="20"/>
              </w:rPr>
              <w:t>M82.8,</w:t>
            </w:r>
            <w:r>
              <w:rPr>
                <w:spacing w:val="-6"/>
                <w:sz w:val="20"/>
              </w:rPr>
              <w:t> </w:t>
            </w:r>
            <w:r>
              <w:rPr>
                <w:sz w:val="20"/>
              </w:rPr>
              <w:t>M83,</w:t>
            </w:r>
            <w:r>
              <w:rPr>
                <w:spacing w:val="-6"/>
                <w:sz w:val="20"/>
              </w:rPr>
              <w:t> </w:t>
            </w:r>
            <w:r>
              <w:rPr>
                <w:sz w:val="20"/>
              </w:rPr>
              <w:t>M83.0,</w:t>
            </w:r>
            <w:r>
              <w:rPr>
                <w:spacing w:val="-4"/>
                <w:sz w:val="20"/>
              </w:rPr>
              <w:t> </w:t>
            </w:r>
            <w:r>
              <w:rPr>
                <w:sz w:val="20"/>
              </w:rPr>
              <w:t>M83.1,</w:t>
            </w:r>
            <w:r>
              <w:rPr>
                <w:spacing w:val="-4"/>
                <w:sz w:val="20"/>
              </w:rPr>
              <w:t> </w:t>
            </w:r>
            <w:r>
              <w:rPr>
                <w:spacing w:val="-2"/>
                <w:sz w:val="20"/>
              </w:rPr>
              <w:t>M83.2,</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1" w:lineRule="exact"/>
              <w:ind w:left="546"/>
              <w:rPr>
                <w:sz w:val="20"/>
              </w:rPr>
            </w:pPr>
            <w:r>
              <w:rPr>
                <w:sz w:val="20"/>
              </w:rPr>
              <w:t>M83.3,</w:t>
            </w:r>
            <w:r>
              <w:rPr>
                <w:spacing w:val="-6"/>
                <w:sz w:val="20"/>
              </w:rPr>
              <w:t> </w:t>
            </w:r>
            <w:r>
              <w:rPr>
                <w:sz w:val="20"/>
              </w:rPr>
              <w:t>M83.4,</w:t>
            </w:r>
            <w:r>
              <w:rPr>
                <w:spacing w:val="-6"/>
                <w:sz w:val="20"/>
              </w:rPr>
              <w:t> </w:t>
            </w:r>
            <w:r>
              <w:rPr>
                <w:sz w:val="20"/>
              </w:rPr>
              <w:t>M83.5,</w:t>
            </w:r>
            <w:r>
              <w:rPr>
                <w:spacing w:val="-6"/>
                <w:sz w:val="20"/>
              </w:rPr>
              <w:t> </w:t>
            </w:r>
            <w:r>
              <w:rPr>
                <w:sz w:val="20"/>
              </w:rPr>
              <w:t>M83.8,</w:t>
            </w:r>
            <w:r>
              <w:rPr>
                <w:spacing w:val="-6"/>
                <w:sz w:val="20"/>
              </w:rPr>
              <w:t> </w:t>
            </w:r>
            <w:r>
              <w:rPr>
                <w:sz w:val="20"/>
              </w:rPr>
              <w:t>M83.9,</w:t>
            </w:r>
            <w:r>
              <w:rPr>
                <w:spacing w:val="-5"/>
                <w:sz w:val="20"/>
              </w:rPr>
              <w:t> </w:t>
            </w:r>
            <w:r>
              <w:rPr>
                <w:spacing w:val="-4"/>
                <w:sz w:val="20"/>
              </w:rPr>
              <w:t>M84,</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M84.0,</w:t>
            </w:r>
            <w:r>
              <w:rPr>
                <w:spacing w:val="-6"/>
                <w:sz w:val="20"/>
              </w:rPr>
              <w:t> </w:t>
            </w:r>
            <w:r>
              <w:rPr>
                <w:sz w:val="20"/>
              </w:rPr>
              <w:t>M84.1,</w:t>
            </w:r>
            <w:r>
              <w:rPr>
                <w:spacing w:val="-6"/>
                <w:sz w:val="20"/>
              </w:rPr>
              <w:t> </w:t>
            </w:r>
            <w:r>
              <w:rPr>
                <w:sz w:val="20"/>
              </w:rPr>
              <w:t>M84.2,</w:t>
            </w:r>
            <w:r>
              <w:rPr>
                <w:spacing w:val="-6"/>
                <w:sz w:val="20"/>
              </w:rPr>
              <w:t> </w:t>
            </w:r>
            <w:r>
              <w:rPr>
                <w:sz w:val="20"/>
              </w:rPr>
              <w:t>M84.3,</w:t>
            </w:r>
            <w:r>
              <w:rPr>
                <w:spacing w:val="-6"/>
                <w:sz w:val="20"/>
              </w:rPr>
              <w:t> </w:t>
            </w:r>
            <w:r>
              <w:rPr>
                <w:sz w:val="20"/>
              </w:rPr>
              <w:t>M84.4,</w:t>
            </w:r>
            <w:r>
              <w:rPr>
                <w:spacing w:val="-5"/>
                <w:sz w:val="20"/>
              </w:rPr>
              <w:t> </w:t>
            </w:r>
            <w:r>
              <w:rPr>
                <w:spacing w:val="-2"/>
                <w:sz w:val="20"/>
              </w:rPr>
              <w:t>M84.8,</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M84.9,</w:t>
            </w:r>
            <w:r>
              <w:rPr>
                <w:spacing w:val="-4"/>
                <w:sz w:val="20"/>
              </w:rPr>
              <w:t> </w:t>
            </w:r>
            <w:r>
              <w:rPr>
                <w:sz w:val="20"/>
              </w:rPr>
              <w:t>M85,</w:t>
            </w:r>
            <w:r>
              <w:rPr>
                <w:spacing w:val="-4"/>
                <w:sz w:val="20"/>
              </w:rPr>
              <w:t> </w:t>
            </w:r>
            <w:r>
              <w:rPr>
                <w:sz w:val="20"/>
              </w:rPr>
              <w:t>M85.0,</w:t>
            </w:r>
            <w:r>
              <w:rPr>
                <w:spacing w:val="-6"/>
                <w:sz w:val="20"/>
              </w:rPr>
              <w:t> </w:t>
            </w:r>
            <w:r>
              <w:rPr>
                <w:sz w:val="20"/>
              </w:rPr>
              <w:t>M85.1,</w:t>
            </w:r>
            <w:r>
              <w:rPr>
                <w:spacing w:val="-6"/>
                <w:sz w:val="20"/>
              </w:rPr>
              <w:t> </w:t>
            </w:r>
            <w:r>
              <w:rPr>
                <w:sz w:val="20"/>
              </w:rPr>
              <w:t>M85.2,</w:t>
            </w:r>
            <w:r>
              <w:rPr>
                <w:spacing w:val="-4"/>
                <w:sz w:val="20"/>
              </w:rPr>
              <w:t> </w:t>
            </w:r>
            <w:r>
              <w:rPr>
                <w:spacing w:val="-2"/>
                <w:sz w:val="20"/>
              </w:rPr>
              <w:t>M85.3,</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M85.4,</w:t>
            </w:r>
            <w:r>
              <w:rPr>
                <w:spacing w:val="-6"/>
                <w:sz w:val="20"/>
              </w:rPr>
              <w:t> </w:t>
            </w:r>
            <w:r>
              <w:rPr>
                <w:sz w:val="20"/>
              </w:rPr>
              <w:t>M85.5,</w:t>
            </w:r>
            <w:r>
              <w:rPr>
                <w:spacing w:val="-6"/>
                <w:sz w:val="20"/>
              </w:rPr>
              <w:t> </w:t>
            </w:r>
            <w:r>
              <w:rPr>
                <w:sz w:val="20"/>
              </w:rPr>
              <w:t>M85.6,</w:t>
            </w:r>
            <w:r>
              <w:rPr>
                <w:spacing w:val="-6"/>
                <w:sz w:val="20"/>
              </w:rPr>
              <w:t> </w:t>
            </w:r>
            <w:r>
              <w:rPr>
                <w:sz w:val="20"/>
              </w:rPr>
              <w:t>M85.8,</w:t>
            </w:r>
            <w:r>
              <w:rPr>
                <w:spacing w:val="-6"/>
                <w:sz w:val="20"/>
              </w:rPr>
              <w:t> </w:t>
            </w:r>
            <w:r>
              <w:rPr>
                <w:sz w:val="20"/>
              </w:rPr>
              <w:t>M85.9,</w:t>
            </w:r>
            <w:r>
              <w:rPr>
                <w:spacing w:val="-5"/>
                <w:sz w:val="20"/>
              </w:rPr>
              <w:t> </w:t>
            </w:r>
            <w:r>
              <w:rPr>
                <w:spacing w:val="-4"/>
                <w:sz w:val="20"/>
              </w:rPr>
              <w:t>M87,</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M87.0,</w:t>
            </w:r>
            <w:r>
              <w:rPr>
                <w:spacing w:val="-6"/>
                <w:sz w:val="20"/>
              </w:rPr>
              <w:t> </w:t>
            </w:r>
            <w:r>
              <w:rPr>
                <w:sz w:val="20"/>
              </w:rPr>
              <w:t>M87.1,</w:t>
            </w:r>
            <w:r>
              <w:rPr>
                <w:spacing w:val="-6"/>
                <w:sz w:val="20"/>
              </w:rPr>
              <w:t> </w:t>
            </w:r>
            <w:r>
              <w:rPr>
                <w:sz w:val="20"/>
              </w:rPr>
              <w:t>M87.2,</w:t>
            </w:r>
            <w:r>
              <w:rPr>
                <w:spacing w:val="-6"/>
                <w:sz w:val="20"/>
              </w:rPr>
              <w:t> </w:t>
            </w:r>
            <w:r>
              <w:rPr>
                <w:sz w:val="20"/>
              </w:rPr>
              <w:t>M87.3,</w:t>
            </w:r>
            <w:r>
              <w:rPr>
                <w:spacing w:val="-6"/>
                <w:sz w:val="20"/>
              </w:rPr>
              <w:t> </w:t>
            </w:r>
            <w:r>
              <w:rPr>
                <w:sz w:val="20"/>
              </w:rPr>
              <w:t>M87.8,</w:t>
            </w:r>
            <w:r>
              <w:rPr>
                <w:spacing w:val="-5"/>
                <w:sz w:val="20"/>
              </w:rPr>
              <w:t> </w:t>
            </w:r>
            <w:r>
              <w:rPr>
                <w:spacing w:val="-2"/>
                <w:sz w:val="20"/>
              </w:rPr>
              <w:t>M87.9,</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right="920"/>
              <w:jc w:val="right"/>
              <w:rPr>
                <w:sz w:val="20"/>
              </w:rPr>
            </w:pPr>
            <w:r>
              <w:rPr>
                <w:sz w:val="20"/>
              </w:rPr>
              <w:t>M88,</w:t>
            </w:r>
            <w:r>
              <w:rPr>
                <w:spacing w:val="-5"/>
                <w:sz w:val="20"/>
              </w:rPr>
              <w:t> </w:t>
            </w:r>
            <w:r>
              <w:rPr>
                <w:sz w:val="20"/>
              </w:rPr>
              <w:t>M88.0,</w:t>
            </w:r>
            <w:r>
              <w:rPr>
                <w:spacing w:val="-4"/>
                <w:sz w:val="20"/>
              </w:rPr>
              <w:t> </w:t>
            </w:r>
            <w:r>
              <w:rPr>
                <w:sz w:val="20"/>
              </w:rPr>
              <w:t>M88.8,</w:t>
            </w:r>
            <w:r>
              <w:rPr>
                <w:spacing w:val="-6"/>
                <w:sz w:val="20"/>
              </w:rPr>
              <w:t> </w:t>
            </w:r>
            <w:r>
              <w:rPr>
                <w:sz w:val="20"/>
              </w:rPr>
              <w:t>M88.9,</w:t>
            </w:r>
            <w:r>
              <w:rPr>
                <w:spacing w:val="-6"/>
                <w:sz w:val="20"/>
              </w:rPr>
              <w:t> </w:t>
            </w:r>
            <w:r>
              <w:rPr>
                <w:sz w:val="20"/>
              </w:rPr>
              <w:t>M89,</w:t>
            </w:r>
            <w:r>
              <w:rPr>
                <w:spacing w:val="-5"/>
                <w:sz w:val="20"/>
              </w:rPr>
              <w:t> </w:t>
            </w:r>
            <w:r>
              <w:rPr>
                <w:sz w:val="20"/>
              </w:rPr>
              <w:t>M89.0,</w:t>
            </w:r>
            <w:r>
              <w:rPr>
                <w:spacing w:val="-4"/>
                <w:sz w:val="20"/>
              </w:rPr>
              <w:t> </w:t>
            </w:r>
            <w:r>
              <w:rPr>
                <w:spacing w:val="-2"/>
                <w:sz w:val="20"/>
              </w:rPr>
              <w:t>M89.1,</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M89.2,</w:t>
            </w:r>
            <w:r>
              <w:rPr>
                <w:spacing w:val="-6"/>
                <w:sz w:val="20"/>
              </w:rPr>
              <w:t> </w:t>
            </w:r>
            <w:r>
              <w:rPr>
                <w:sz w:val="20"/>
              </w:rPr>
              <w:t>M89.3,</w:t>
            </w:r>
            <w:r>
              <w:rPr>
                <w:spacing w:val="-6"/>
                <w:sz w:val="20"/>
              </w:rPr>
              <w:t> </w:t>
            </w:r>
            <w:r>
              <w:rPr>
                <w:sz w:val="20"/>
              </w:rPr>
              <w:t>M89.4,</w:t>
            </w:r>
            <w:r>
              <w:rPr>
                <w:spacing w:val="-6"/>
                <w:sz w:val="20"/>
              </w:rPr>
              <w:t> </w:t>
            </w:r>
            <w:r>
              <w:rPr>
                <w:sz w:val="20"/>
              </w:rPr>
              <w:t>M89.5,</w:t>
            </w:r>
            <w:r>
              <w:rPr>
                <w:spacing w:val="-6"/>
                <w:sz w:val="20"/>
              </w:rPr>
              <w:t> </w:t>
            </w:r>
            <w:r>
              <w:rPr>
                <w:sz w:val="20"/>
              </w:rPr>
              <w:t>M89.6,</w:t>
            </w:r>
            <w:r>
              <w:rPr>
                <w:spacing w:val="-5"/>
                <w:sz w:val="20"/>
              </w:rPr>
              <w:t> </w:t>
            </w:r>
            <w:r>
              <w:rPr>
                <w:spacing w:val="-2"/>
                <w:sz w:val="20"/>
              </w:rPr>
              <w:t>M89.8,</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M89.9,</w:t>
            </w:r>
            <w:r>
              <w:rPr>
                <w:spacing w:val="-4"/>
                <w:sz w:val="20"/>
              </w:rPr>
              <w:t> </w:t>
            </w:r>
            <w:r>
              <w:rPr>
                <w:sz w:val="20"/>
              </w:rPr>
              <w:t>M90,</w:t>
            </w:r>
            <w:r>
              <w:rPr>
                <w:spacing w:val="-4"/>
                <w:sz w:val="20"/>
              </w:rPr>
              <w:t> </w:t>
            </w:r>
            <w:r>
              <w:rPr>
                <w:sz w:val="20"/>
              </w:rPr>
              <w:t>M90.1,</w:t>
            </w:r>
            <w:r>
              <w:rPr>
                <w:spacing w:val="-6"/>
                <w:sz w:val="20"/>
              </w:rPr>
              <w:t> </w:t>
            </w:r>
            <w:r>
              <w:rPr>
                <w:sz w:val="20"/>
              </w:rPr>
              <w:t>M90.2,</w:t>
            </w:r>
            <w:r>
              <w:rPr>
                <w:spacing w:val="-6"/>
                <w:sz w:val="20"/>
              </w:rPr>
              <w:t> </w:t>
            </w:r>
            <w:r>
              <w:rPr>
                <w:sz w:val="20"/>
              </w:rPr>
              <w:t>M90.3,</w:t>
            </w:r>
            <w:r>
              <w:rPr>
                <w:spacing w:val="-4"/>
                <w:sz w:val="20"/>
              </w:rPr>
              <w:t> </w:t>
            </w:r>
            <w:r>
              <w:rPr>
                <w:spacing w:val="-2"/>
                <w:sz w:val="20"/>
              </w:rPr>
              <w:t>M90.4,</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M90.5,</w:t>
            </w:r>
            <w:r>
              <w:rPr>
                <w:spacing w:val="-6"/>
                <w:sz w:val="20"/>
              </w:rPr>
              <w:t> </w:t>
            </w:r>
            <w:r>
              <w:rPr>
                <w:sz w:val="20"/>
              </w:rPr>
              <w:t>M90.6,</w:t>
            </w:r>
            <w:r>
              <w:rPr>
                <w:spacing w:val="-5"/>
                <w:sz w:val="20"/>
              </w:rPr>
              <w:t> </w:t>
            </w:r>
            <w:r>
              <w:rPr>
                <w:sz w:val="20"/>
              </w:rPr>
              <w:t>M90.7,</w:t>
            </w:r>
            <w:r>
              <w:rPr>
                <w:spacing w:val="-5"/>
                <w:sz w:val="20"/>
              </w:rPr>
              <w:t> </w:t>
            </w:r>
            <w:r>
              <w:rPr>
                <w:sz w:val="20"/>
              </w:rPr>
              <w:t>M90.8,</w:t>
            </w:r>
            <w:r>
              <w:rPr>
                <w:spacing w:val="-5"/>
                <w:sz w:val="20"/>
              </w:rPr>
              <w:t> </w:t>
            </w:r>
            <w:r>
              <w:rPr>
                <w:sz w:val="20"/>
              </w:rPr>
              <w:t>M91,</w:t>
            </w:r>
            <w:r>
              <w:rPr>
                <w:spacing w:val="-5"/>
                <w:sz w:val="20"/>
              </w:rPr>
              <w:t> </w:t>
            </w:r>
            <w:r>
              <w:rPr>
                <w:spacing w:val="-2"/>
                <w:sz w:val="20"/>
              </w:rPr>
              <w:t>M91.0,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M91.1,</w:t>
            </w:r>
            <w:r>
              <w:rPr>
                <w:spacing w:val="-6"/>
                <w:sz w:val="20"/>
              </w:rPr>
              <w:t> </w:t>
            </w:r>
            <w:r>
              <w:rPr>
                <w:sz w:val="20"/>
              </w:rPr>
              <w:t>M91.2,</w:t>
            </w:r>
            <w:r>
              <w:rPr>
                <w:spacing w:val="-5"/>
                <w:sz w:val="20"/>
              </w:rPr>
              <w:t> </w:t>
            </w:r>
            <w:r>
              <w:rPr>
                <w:sz w:val="20"/>
              </w:rPr>
              <w:t>M91.3,</w:t>
            </w:r>
            <w:r>
              <w:rPr>
                <w:spacing w:val="-6"/>
                <w:sz w:val="20"/>
              </w:rPr>
              <w:t> </w:t>
            </w:r>
            <w:r>
              <w:rPr>
                <w:sz w:val="20"/>
              </w:rPr>
              <w:t>M91.8,</w:t>
            </w:r>
            <w:r>
              <w:rPr>
                <w:spacing w:val="-5"/>
                <w:sz w:val="20"/>
              </w:rPr>
              <w:t> </w:t>
            </w:r>
            <w:r>
              <w:rPr>
                <w:sz w:val="20"/>
              </w:rPr>
              <w:t>M91.9,</w:t>
            </w:r>
            <w:r>
              <w:rPr>
                <w:spacing w:val="-5"/>
                <w:sz w:val="20"/>
              </w:rPr>
              <w:t> </w:t>
            </w:r>
            <w:r>
              <w:rPr>
                <w:spacing w:val="-4"/>
                <w:sz w:val="20"/>
              </w:rPr>
              <w:t>M92,</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M92.0,</w:t>
            </w:r>
            <w:r>
              <w:rPr>
                <w:spacing w:val="-6"/>
                <w:sz w:val="20"/>
              </w:rPr>
              <w:t> </w:t>
            </w:r>
            <w:r>
              <w:rPr>
                <w:sz w:val="20"/>
              </w:rPr>
              <w:t>M92.1,</w:t>
            </w:r>
            <w:r>
              <w:rPr>
                <w:spacing w:val="-6"/>
                <w:sz w:val="20"/>
              </w:rPr>
              <w:t> </w:t>
            </w:r>
            <w:r>
              <w:rPr>
                <w:sz w:val="20"/>
              </w:rPr>
              <w:t>M92.2,</w:t>
            </w:r>
            <w:r>
              <w:rPr>
                <w:spacing w:val="-6"/>
                <w:sz w:val="20"/>
              </w:rPr>
              <w:t> </w:t>
            </w:r>
            <w:r>
              <w:rPr>
                <w:sz w:val="20"/>
              </w:rPr>
              <w:t>M92.3,</w:t>
            </w:r>
            <w:r>
              <w:rPr>
                <w:spacing w:val="-6"/>
                <w:sz w:val="20"/>
              </w:rPr>
              <w:t> </w:t>
            </w:r>
            <w:r>
              <w:rPr>
                <w:sz w:val="20"/>
              </w:rPr>
              <w:t>M92.4,</w:t>
            </w:r>
            <w:r>
              <w:rPr>
                <w:spacing w:val="-5"/>
                <w:sz w:val="20"/>
              </w:rPr>
              <w:t> </w:t>
            </w:r>
            <w:r>
              <w:rPr>
                <w:spacing w:val="-2"/>
                <w:sz w:val="20"/>
              </w:rPr>
              <w:t>M92.5,</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1" w:lineRule="exact"/>
              <w:ind w:left="546"/>
              <w:rPr>
                <w:sz w:val="20"/>
              </w:rPr>
            </w:pPr>
            <w:r>
              <w:rPr>
                <w:sz w:val="20"/>
              </w:rPr>
              <w:t>M92.6,</w:t>
            </w:r>
            <w:r>
              <w:rPr>
                <w:spacing w:val="-6"/>
                <w:sz w:val="20"/>
              </w:rPr>
              <w:t> </w:t>
            </w:r>
            <w:r>
              <w:rPr>
                <w:sz w:val="20"/>
              </w:rPr>
              <w:t>M92.7,</w:t>
            </w:r>
            <w:r>
              <w:rPr>
                <w:spacing w:val="-5"/>
                <w:sz w:val="20"/>
              </w:rPr>
              <w:t> </w:t>
            </w:r>
            <w:r>
              <w:rPr>
                <w:sz w:val="20"/>
              </w:rPr>
              <w:t>M92.8,</w:t>
            </w:r>
            <w:r>
              <w:rPr>
                <w:spacing w:val="-5"/>
                <w:sz w:val="20"/>
              </w:rPr>
              <w:t> </w:t>
            </w:r>
            <w:r>
              <w:rPr>
                <w:sz w:val="20"/>
              </w:rPr>
              <w:t>M92.9,</w:t>
            </w:r>
            <w:r>
              <w:rPr>
                <w:spacing w:val="-5"/>
                <w:sz w:val="20"/>
              </w:rPr>
              <w:t> </w:t>
            </w:r>
            <w:r>
              <w:rPr>
                <w:sz w:val="20"/>
              </w:rPr>
              <w:t>M93,</w:t>
            </w:r>
            <w:r>
              <w:rPr>
                <w:spacing w:val="-5"/>
                <w:sz w:val="20"/>
              </w:rPr>
              <w:t> </w:t>
            </w:r>
            <w:r>
              <w:rPr>
                <w:spacing w:val="-2"/>
                <w:sz w:val="20"/>
              </w:rPr>
              <w:t>M93.0,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1" w:lineRule="exact"/>
              <w:ind w:left="546"/>
              <w:rPr>
                <w:sz w:val="20"/>
              </w:rPr>
            </w:pPr>
            <w:r>
              <w:rPr>
                <w:sz w:val="20"/>
              </w:rPr>
              <w:t>M93.1,</w:t>
            </w:r>
            <w:r>
              <w:rPr>
                <w:spacing w:val="-6"/>
                <w:sz w:val="20"/>
              </w:rPr>
              <w:t> </w:t>
            </w:r>
            <w:r>
              <w:rPr>
                <w:sz w:val="20"/>
              </w:rPr>
              <w:t>M93.2,</w:t>
            </w:r>
            <w:r>
              <w:rPr>
                <w:spacing w:val="-5"/>
                <w:sz w:val="20"/>
              </w:rPr>
              <w:t> </w:t>
            </w:r>
            <w:r>
              <w:rPr>
                <w:sz w:val="20"/>
              </w:rPr>
              <w:t>M93.8,</w:t>
            </w:r>
            <w:r>
              <w:rPr>
                <w:spacing w:val="-5"/>
                <w:sz w:val="20"/>
              </w:rPr>
              <w:t> </w:t>
            </w:r>
            <w:r>
              <w:rPr>
                <w:sz w:val="20"/>
              </w:rPr>
              <w:t>M93.9,</w:t>
            </w:r>
            <w:r>
              <w:rPr>
                <w:spacing w:val="-5"/>
                <w:sz w:val="20"/>
              </w:rPr>
              <w:t> </w:t>
            </w:r>
            <w:r>
              <w:rPr>
                <w:sz w:val="20"/>
              </w:rPr>
              <w:t>M94,</w:t>
            </w:r>
            <w:r>
              <w:rPr>
                <w:spacing w:val="-5"/>
                <w:sz w:val="20"/>
              </w:rPr>
              <w:t> </w:t>
            </w:r>
            <w:r>
              <w:rPr>
                <w:spacing w:val="-2"/>
                <w:sz w:val="20"/>
              </w:rPr>
              <w:t>M94.0,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M94.1,</w:t>
            </w:r>
            <w:r>
              <w:rPr>
                <w:spacing w:val="-6"/>
                <w:sz w:val="20"/>
              </w:rPr>
              <w:t> </w:t>
            </w:r>
            <w:r>
              <w:rPr>
                <w:sz w:val="20"/>
              </w:rPr>
              <w:t>M94.2,</w:t>
            </w:r>
            <w:r>
              <w:rPr>
                <w:spacing w:val="-6"/>
                <w:sz w:val="20"/>
              </w:rPr>
              <w:t> </w:t>
            </w:r>
            <w:r>
              <w:rPr>
                <w:sz w:val="20"/>
              </w:rPr>
              <w:t>M94.3,</w:t>
            </w:r>
            <w:r>
              <w:rPr>
                <w:spacing w:val="-6"/>
                <w:sz w:val="20"/>
              </w:rPr>
              <w:t> </w:t>
            </w:r>
            <w:r>
              <w:rPr>
                <w:sz w:val="20"/>
              </w:rPr>
              <w:t>M94.8,</w:t>
            </w:r>
            <w:r>
              <w:rPr>
                <w:spacing w:val="-6"/>
                <w:sz w:val="20"/>
              </w:rPr>
              <w:t> </w:t>
            </w:r>
            <w:r>
              <w:rPr>
                <w:sz w:val="20"/>
              </w:rPr>
              <w:t>M94.9,</w:t>
            </w:r>
            <w:r>
              <w:rPr>
                <w:spacing w:val="-5"/>
                <w:sz w:val="20"/>
              </w:rPr>
              <w:t> </w:t>
            </w:r>
            <w:r>
              <w:rPr>
                <w:spacing w:val="-4"/>
                <w:sz w:val="20"/>
              </w:rPr>
              <w:t>M96,</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469"/>
              <w:rPr>
                <w:sz w:val="20"/>
              </w:rPr>
            </w:pPr>
            <w:r>
              <w:rPr>
                <w:sz w:val="20"/>
              </w:rPr>
              <w:t>M96.0,</w:t>
            </w:r>
            <w:r>
              <w:rPr>
                <w:spacing w:val="-6"/>
                <w:sz w:val="20"/>
              </w:rPr>
              <w:t> </w:t>
            </w:r>
            <w:r>
              <w:rPr>
                <w:sz w:val="20"/>
              </w:rPr>
              <w:t>M96.1,</w:t>
            </w:r>
            <w:r>
              <w:rPr>
                <w:spacing w:val="-6"/>
                <w:sz w:val="20"/>
              </w:rPr>
              <w:t> </w:t>
            </w:r>
            <w:r>
              <w:rPr>
                <w:sz w:val="20"/>
              </w:rPr>
              <w:t>M96.2,</w:t>
            </w:r>
            <w:r>
              <w:rPr>
                <w:spacing w:val="-6"/>
                <w:sz w:val="20"/>
              </w:rPr>
              <w:t> </w:t>
            </w:r>
            <w:r>
              <w:rPr>
                <w:sz w:val="20"/>
              </w:rPr>
              <w:t>M96.3,</w:t>
            </w:r>
            <w:r>
              <w:rPr>
                <w:spacing w:val="-6"/>
                <w:sz w:val="20"/>
              </w:rPr>
              <w:t> </w:t>
            </w:r>
            <w:r>
              <w:rPr>
                <w:sz w:val="20"/>
              </w:rPr>
              <w:t>M96.4,</w:t>
            </w:r>
            <w:r>
              <w:rPr>
                <w:spacing w:val="-5"/>
                <w:sz w:val="20"/>
              </w:rPr>
              <w:t> </w:t>
            </w:r>
            <w:r>
              <w:rPr>
                <w:spacing w:val="-2"/>
                <w:sz w:val="20"/>
              </w:rPr>
              <w:t>M96.5,</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M96.6,</w:t>
            </w:r>
            <w:r>
              <w:rPr>
                <w:spacing w:val="-4"/>
                <w:sz w:val="20"/>
              </w:rPr>
              <w:t> </w:t>
            </w:r>
            <w:r>
              <w:rPr>
                <w:sz w:val="20"/>
              </w:rPr>
              <w:t>M96.8,</w:t>
            </w:r>
            <w:r>
              <w:rPr>
                <w:spacing w:val="-4"/>
                <w:sz w:val="20"/>
              </w:rPr>
              <w:t> </w:t>
            </w:r>
            <w:r>
              <w:rPr>
                <w:sz w:val="20"/>
              </w:rPr>
              <w:t>M96.9,</w:t>
            </w:r>
            <w:r>
              <w:rPr>
                <w:spacing w:val="-4"/>
                <w:sz w:val="20"/>
              </w:rPr>
              <w:t> </w:t>
            </w:r>
            <w:r>
              <w:rPr>
                <w:sz w:val="20"/>
              </w:rPr>
              <w:t>M99,</w:t>
            </w:r>
            <w:r>
              <w:rPr>
                <w:spacing w:val="-6"/>
                <w:sz w:val="20"/>
              </w:rPr>
              <w:t> </w:t>
            </w:r>
            <w:r>
              <w:rPr>
                <w:sz w:val="20"/>
              </w:rPr>
              <w:t>M99.0,</w:t>
            </w:r>
            <w:r>
              <w:rPr>
                <w:spacing w:val="-4"/>
                <w:sz w:val="20"/>
              </w:rPr>
              <w:t> </w:t>
            </w:r>
            <w:r>
              <w:rPr>
                <w:spacing w:val="-2"/>
                <w:sz w:val="20"/>
              </w:rPr>
              <w:t>M99.1,</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M99.2,</w:t>
            </w:r>
            <w:r>
              <w:rPr>
                <w:spacing w:val="-6"/>
                <w:sz w:val="20"/>
              </w:rPr>
              <w:t> </w:t>
            </w:r>
            <w:r>
              <w:rPr>
                <w:sz w:val="20"/>
              </w:rPr>
              <w:t>M99.3,</w:t>
            </w:r>
            <w:r>
              <w:rPr>
                <w:spacing w:val="-6"/>
                <w:sz w:val="20"/>
              </w:rPr>
              <w:t> </w:t>
            </w:r>
            <w:r>
              <w:rPr>
                <w:sz w:val="20"/>
              </w:rPr>
              <w:t>M99.4,</w:t>
            </w:r>
            <w:r>
              <w:rPr>
                <w:spacing w:val="-6"/>
                <w:sz w:val="20"/>
              </w:rPr>
              <w:t> </w:t>
            </w:r>
            <w:r>
              <w:rPr>
                <w:sz w:val="20"/>
              </w:rPr>
              <w:t>M99.5,</w:t>
            </w:r>
            <w:r>
              <w:rPr>
                <w:spacing w:val="-6"/>
                <w:sz w:val="20"/>
              </w:rPr>
              <w:t> </w:t>
            </w:r>
            <w:r>
              <w:rPr>
                <w:sz w:val="20"/>
              </w:rPr>
              <w:t>M99.6,</w:t>
            </w:r>
            <w:r>
              <w:rPr>
                <w:spacing w:val="-5"/>
                <w:sz w:val="20"/>
              </w:rPr>
              <w:t> </w:t>
            </w:r>
            <w:r>
              <w:rPr>
                <w:spacing w:val="-2"/>
                <w:sz w:val="20"/>
              </w:rPr>
              <w:t>M99.7,</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26" w:lineRule="exact"/>
              <w:ind w:left="419"/>
              <w:rPr>
                <w:sz w:val="20"/>
              </w:rPr>
            </w:pPr>
            <w:r>
              <w:rPr>
                <w:sz w:val="20"/>
              </w:rPr>
              <w:t>M99.8,</w:t>
            </w:r>
            <w:r>
              <w:rPr>
                <w:spacing w:val="-5"/>
                <w:sz w:val="20"/>
              </w:rPr>
              <w:t> </w:t>
            </w:r>
            <w:r>
              <w:rPr>
                <w:sz w:val="20"/>
              </w:rPr>
              <w:t>M99.9,</w:t>
            </w:r>
            <w:r>
              <w:rPr>
                <w:spacing w:val="-5"/>
                <w:sz w:val="20"/>
              </w:rPr>
              <w:t> </w:t>
            </w:r>
            <w:r>
              <w:rPr>
                <w:sz w:val="20"/>
              </w:rPr>
              <w:t>S13.4,</w:t>
            </w:r>
            <w:r>
              <w:rPr>
                <w:spacing w:val="-5"/>
                <w:sz w:val="20"/>
              </w:rPr>
              <w:t> </w:t>
            </w:r>
            <w:r>
              <w:rPr>
                <w:sz w:val="20"/>
              </w:rPr>
              <w:t>S13.5,</w:t>
            </w:r>
            <w:r>
              <w:rPr>
                <w:spacing w:val="-7"/>
                <w:sz w:val="20"/>
              </w:rPr>
              <w:t> </w:t>
            </w:r>
            <w:r>
              <w:rPr>
                <w:sz w:val="20"/>
              </w:rPr>
              <w:t>S13.6,</w:t>
            </w:r>
            <w:r>
              <w:rPr>
                <w:spacing w:val="-5"/>
                <w:sz w:val="20"/>
              </w:rPr>
              <w:t> </w:t>
            </w:r>
            <w:r>
              <w:rPr>
                <w:sz w:val="20"/>
              </w:rPr>
              <w:t>S16,</w:t>
            </w:r>
            <w:r>
              <w:rPr>
                <w:spacing w:val="-7"/>
                <w:sz w:val="20"/>
              </w:rPr>
              <w:t> </w:t>
            </w:r>
            <w:r>
              <w:rPr>
                <w:spacing w:val="-4"/>
                <w:sz w:val="20"/>
              </w:rPr>
              <w:t>T91.1</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st16.004</w:t>
            </w:r>
          </w:p>
        </w:tc>
        <w:tc>
          <w:tcPr>
            <w:tcW w:w="707" w:type="dxa"/>
          </w:tcPr>
          <w:p>
            <w:pPr>
              <w:pStyle w:val="TableParagraph"/>
              <w:spacing w:line="215" w:lineRule="exact" w:before="45"/>
              <w:ind w:left="210"/>
              <w:rPr>
                <w:sz w:val="20"/>
              </w:rPr>
            </w:pPr>
            <w:r>
              <w:rPr>
                <w:spacing w:val="-5"/>
                <w:sz w:val="20"/>
              </w:rPr>
              <w:t>111</w:t>
            </w:r>
          </w:p>
        </w:tc>
        <w:tc>
          <w:tcPr>
            <w:tcW w:w="2390" w:type="dxa"/>
          </w:tcPr>
          <w:p>
            <w:pPr>
              <w:pStyle w:val="TableParagraph"/>
              <w:spacing w:line="215" w:lineRule="exact" w:before="45"/>
              <w:ind w:left="192"/>
              <w:rPr>
                <w:sz w:val="20"/>
              </w:rPr>
            </w:pPr>
            <w:r>
              <w:rPr>
                <w:sz w:val="20"/>
              </w:rPr>
              <w:t>Травмы</w:t>
            </w:r>
            <w:r>
              <w:rPr>
                <w:spacing w:val="-5"/>
                <w:sz w:val="20"/>
              </w:rPr>
              <w:t> </w:t>
            </w:r>
            <w:r>
              <w:rPr>
                <w:spacing w:val="-2"/>
                <w:sz w:val="20"/>
              </w:rPr>
              <w:t>позвоночника</w:t>
            </w:r>
          </w:p>
        </w:tc>
        <w:tc>
          <w:tcPr>
            <w:tcW w:w="5272" w:type="dxa"/>
          </w:tcPr>
          <w:p>
            <w:pPr>
              <w:pStyle w:val="TableParagraph"/>
              <w:spacing w:line="215" w:lineRule="exact" w:before="45"/>
              <w:ind w:left="611"/>
              <w:rPr>
                <w:sz w:val="20"/>
              </w:rPr>
            </w:pPr>
            <w:r>
              <w:rPr>
                <w:sz w:val="20"/>
              </w:rPr>
              <w:t>M48.4,</w:t>
            </w:r>
            <w:r>
              <w:rPr>
                <w:spacing w:val="-5"/>
                <w:sz w:val="20"/>
              </w:rPr>
              <w:t> </w:t>
            </w:r>
            <w:r>
              <w:rPr>
                <w:sz w:val="20"/>
              </w:rPr>
              <w:t>S12,</w:t>
            </w:r>
            <w:r>
              <w:rPr>
                <w:spacing w:val="-5"/>
                <w:sz w:val="20"/>
              </w:rPr>
              <w:t> </w:t>
            </w:r>
            <w:r>
              <w:rPr>
                <w:sz w:val="20"/>
              </w:rPr>
              <w:t>S12.0,</w:t>
            </w:r>
            <w:r>
              <w:rPr>
                <w:spacing w:val="-5"/>
                <w:sz w:val="20"/>
              </w:rPr>
              <w:t> </w:t>
            </w:r>
            <w:r>
              <w:rPr>
                <w:sz w:val="20"/>
              </w:rPr>
              <w:t>S12.00,</w:t>
            </w:r>
            <w:r>
              <w:rPr>
                <w:spacing w:val="-7"/>
                <w:sz w:val="20"/>
              </w:rPr>
              <w:t> </w:t>
            </w:r>
            <w:r>
              <w:rPr>
                <w:sz w:val="20"/>
              </w:rPr>
              <w:t>S12.01,</w:t>
            </w:r>
            <w:r>
              <w:rPr>
                <w:spacing w:val="-5"/>
                <w:sz w:val="20"/>
              </w:rPr>
              <w:t> </w:t>
            </w:r>
            <w:r>
              <w:rPr>
                <w:spacing w:val="-2"/>
                <w:sz w:val="20"/>
              </w:rPr>
              <w:t>S12.1,</w:t>
            </w:r>
          </w:p>
        </w:tc>
        <w:tc>
          <w:tcPr>
            <w:tcW w:w="2373" w:type="dxa"/>
          </w:tcPr>
          <w:p>
            <w:pPr>
              <w:pStyle w:val="TableParagraph"/>
              <w:spacing w:line="215" w:lineRule="exact" w:before="45"/>
              <w:ind w:left="905"/>
              <w:rPr>
                <w:sz w:val="20"/>
              </w:rPr>
            </w:pPr>
            <w:r>
              <w:rPr>
                <w:w w:val="99"/>
                <w:sz w:val="20"/>
              </w:rPr>
              <w:t>-</w:t>
            </w:r>
          </w:p>
        </w:tc>
        <w:tc>
          <w:tcPr>
            <w:tcW w:w="2326" w:type="dxa"/>
          </w:tcPr>
          <w:p>
            <w:pPr>
              <w:pStyle w:val="TableParagraph"/>
              <w:spacing w:line="215" w:lineRule="exact" w:before="45"/>
              <w:ind w:right="859"/>
              <w:jc w:val="right"/>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1,01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left="469"/>
              <w:rPr>
                <w:sz w:val="20"/>
              </w:rPr>
            </w:pPr>
            <w:r>
              <w:rPr>
                <w:sz w:val="20"/>
              </w:rPr>
              <w:t>S12.10,</w:t>
            </w:r>
            <w:r>
              <w:rPr>
                <w:spacing w:val="-7"/>
                <w:sz w:val="20"/>
              </w:rPr>
              <w:t> </w:t>
            </w:r>
            <w:r>
              <w:rPr>
                <w:sz w:val="20"/>
              </w:rPr>
              <w:t>S12.11,</w:t>
            </w:r>
            <w:r>
              <w:rPr>
                <w:spacing w:val="-6"/>
                <w:sz w:val="20"/>
              </w:rPr>
              <w:t> </w:t>
            </w:r>
            <w:r>
              <w:rPr>
                <w:sz w:val="20"/>
              </w:rPr>
              <w:t>S12.2,</w:t>
            </w:r>
            <w:r>
              <w:rPr>
                <w:spacing w:val="-6"/>
                <w:sz w:val="20"/>
              </w:rPr>
              <w:t> </w:t>
            </w:r>
            <w:r>
              <w:rPr>
                <w:sz w:val="20"/>
              </w:rPr>
              <w:t>S12.20,</w:t>
            </w:r>
            <w:r>
              <w:rPr>
                <w:spacing w:val="-7"/>
                <w:sz w:val="20"/>
              </w:rPr>
              <w:t> </w:t>
            </w:r>
            <w:r>
              <w:rPr>
                <w:sz w:val="20"/>
              </w:rPr>
              <w:t>S12.21,</w:t>
            </w:r>
            <w:r>
              <w:rPr>
                <w:spacing w:val="-6"/>
                <w:sz w:val="20"/>
              </w:rPr>
              <w:t> </w:t>
            </w:r>
            <w:r>
              <w:rPr>
                <w:spacing w:val="-2"/>
                <w:sz w:val="20"/>
              </w:rPr>
              <w:t>S12.7,</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left="469"/>
              <w:rPr>
                <w:sz w:val="20"/>
              </w:rPr>
            </w:pPr>
            <w:r>
              <w:rPr>
                <w:sz w:val="20"/>
              </w:rPr>
              <w:t>S12.70,</w:t>
            </w:r>
            <w:r>
              <w:rPr>
                <w:spacing w:val="-6"/>
                <w:sz w:val="20"/>
              </w:rPr>
              <w:t> </w:t>
            </w:r>
            <w:r>
              <w:rPr>
                <w:sz w:val="20"/>
              </w:rPr>
              <w:t>S12.71,</w:t>
            </w:r>
            <w:r>
              <w:rPr>
                <w:spacing w:val="-6"/>
                <w:sz w:val="20"/>
              </w:rPr>
              <w:t> </w:t>
            </w:r>
            <w:r>
              <w:rPr>
                <w:sz w:val="20"/>
              </w:rPr>
              <w:t>S12.8,</w:t>
            </w:r>
            <w:r>
              <w:rPr>
                <w:spacing w:val="-6"/>
                <w:sz w:val="20"/>
              </w:rPr>
              <w:t> </w:t>
            </w:r>
            <w:r>
              <w:rPr>
                <w:sz w:val="20"/>
              </w:rPr>
              <w:t>S12.80,</w:t>
            </w:r>
            <w:r>
              <w:rPr>
                <w:spacing w:val="-5"/>
                <w:sz w:val="20"/>
              </w:rPr>
              <w:t> </w:t>
            </w:r>
            <w:r>
              <w:rPr>
                <w:sz w:val="20"/>
              </w:rPr>
              <w:t>S12.81,</w:t>
            </w:r>
            <w:r>
              <w:rPr>
                <w:spacing w:val="-6"/>
                <w:sz w:val="20"/>
              </w:rPr>
              <w:t> </w:t>
            </w:r>
            <w:r>
              <w:rPr>
                <w:spacing w:val="-2"/>
                <w:sz w:val="20"/>
              </w:rPr>
              <w:t>S12.9,</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right="905"/>
              <w:jc w:val="right"/>
              <w:rPr>
                <w:sz w:val="20"/>
              </w:rPr>
            </w:pPr>
            <w:r>
              <w:rPr>
                <w:sz w:val="20"/>
              </w:rPr>
              <w:t>S12.90,</w:t>
            </w:r>
            <w:r>
              <w:rPr>
                <w:spacing w:val="-6"/>
                <w:sz w:val="20"/>
              </w:rPr>
              <w:t> </w:t>
            </w:r>
            <w:r>
              <w:rPr>
                <w:sz w:val="20"/>
              </w:rPr>
              <w:t>S12.91,</w:t>
            </w:r>
            <w:r>
              <w:rPr>
                <w:spacing w:val="-5"/>
                <w:sz w:val="20"/>
              </w:rPr>
              <w:t> </w:t>
            </w:r>
            <w:r>
              <w:rPr>
                <w:sz w:val="20"/>
              </w:rPr>
              <w:t>S13.0,</w:t>
            </w:r>
            <w:r>
              <w:rPr>
                <w:spacing w:val="-5"/>
                <w:sz w:val="20"/>
              </w:rPr>
              <w:t> </w:t>
            </w:r>
            <w:r>
              <w:rPr>
                <w:sz w:val="20"/>
              </w:rPr>
              <w:t>S13.1,</w:t>
            </w:r>
            <w:r>
              <w:rPr>
                <w:spacing w:val="-8"/>
                <w:sz w:val="20"/>
              </w:rPr>
              <w:t> </w:t>
            </w:r>
            <w:r>
              <w:rPr>
                <w:sz w:val="20"/>
              </w:rPr>
              <w:t>S13.2,</w:t>
            </w:r>
            <w:r>
              <w:rPr>
                <w:spacing w:val="-5"/>
                <w:sz w:val="20"/>
              </w:rPr>
              <w:t> </w:t>
            </w:r>
            <w:r>
              <w:rPr>
                <w:sz w:val="20"/>
              </w:rPr>
              <w:t>S13.3,</w:t>
            </w:r>
            <w:r>
              <w:rPr>
                <w:spacing w:val="-5"/>
                <w:sz w:val="20"/>
              </w:rPr>
              <w:t> </w:t>
            </w:r>
            <w:r>
              <w:rPr>
                <w:spacing w:val="-2"/>
                <w:sz w:val="20"/>
              </w:rPr>
              <w:t>S22.0,</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right="982"/>
              <w:jc w:val="right"/>
              <w:rPr>
                <w:sz w:val="20"/>
              </w:rPr>
            </w:pPr>
            <w:r>
              <w:rPr>
                <w:sz w:val="20"/>
              </w:rPr>
              <w:t>S22.00,</w:t>
            </w:r>
            <w:r>
              <w:rPr>
                <w:spacing w:val="-5"/>
                <w:sz w:val="20"/>
              </w:rPr>
              <w:t> </w:t>
            </w:r>
            <w:r>
              <w:rPr>
                <w:sz w:val="20"/>
              </w:rPr>
              <w:t>S22.01,</w:t>
            </w:r>
            <w:r>
              <w:rPr>
                <w:spacing w:val="-5"/>
                <w:sz w:val="20"/>
              </w:rPr>
              <w:t> </w:t>
            </w:r>
            <w:r>
              <w:rPr>
                <w:sz w:val="20"/>
              </w:rPr>
              <w:t>S23,</w:t>
            </w:r>
            <w:r>
              <w:rPr>
                <w:spacing w:val="-7"/>
                <w:sz w:val="20"/>
              </w:rPr>
              <w:t> </w:t>
            </w:r>
            <w:r>
              <w:rPr>
                <w:sz w:val="20"/>
              </w:rPr>
              <w:t>S23.0,</w:t>
            </w:r>
            <w:r>
              <w:rPr>
                <w:spacing w:val="-4"/>
                <w:sz w:val="20"/>
              </w:rPr>
              <w:t> </w:t>
            </w:r>
            <w:r>
              <w:rPr>
                <w:sz w:val="20"/>
              </w:rPr>
              <w:t>S23.1,</w:t>
            </w:r>
            <w:r>
              <w:rPr>
                <w:spacing w:val="-5"/>
                <w:sz w:val="20"/>
              </w:rPr>
              <w:t> </w:t>
            </w:r>
            <w:r>
              <w:rPr>
                <w:sz w:val="20"/>
              </w:rPr>
              <w:t>S23.2,</w:t>
            </w:r>
            <w:r>
              <w:rPr>
                <w:spacing w:val="-7"/>
                <w:sz w:val="20"/>
              </w:rPr>
              <w:t> </w:t>
            </w:r>
            <w:r>
              <w:rPr>
                <w:spacing w:val="-2"/>
                <w:sz w:val="20"/>
              </w:rPr>
              <w:t>S23.3,</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09" w:lineRule="exact"/>
              <w:ind w:left="594"/>
              <w:rPr>
                <w:sz w:val="20"/>
              </w:rPr>
            </w:pPr>
            <w:r>
              <w:rPr>
                <w:sz w:val="20"/>
              </w:rPr>
              <w:t>S32,</w:t>
            </w:r>
            <w:r>
              <w:rPr>
                <w:spacing w:val="-6"/>
                <w:sz w:val="20"/>
              </w:rPr>
              <w:t> </w:t>
            </w:r>
            <w:r>
              <w:rPr>
                <w:sz w:val="20"/>
              </w:rPr>
              <w:t>S32.0,</w:t>
            </w:r>
            <w:r>
              <w:rPr>
                <w:spacing w:val="-5"/>
                <w:sz w:val="20"/>
              </w:rPr>
              <w:t> </w:t>
            </w:r>
            <w:r>
              <w:rPr>
                <w:sz w:val="20"/>
              </w:rPr>
              <w:t>S32.00,</w:t>
            </w:r>
            <w:r>
              <w:rPr>
                <w:spacing w:val="-5"/>
                <w:sz w:val="20"/>
              </w:rPr>
              <w:t> </w:t>
            </w:r>
            <w:r>
              <w:rPr>
                <w:sz w:val="20"/>
              </w:rPr>
              <w:t>S32.01,</w:t>
            </w:r>
            <w:r>
              <w:rPr>
                <w:spacing w:val="-5"/>
                <w:sz w:val="20"/>
              </w:rPr>
              <w:t> </w:t>
            </w:r>
            <w:r>
              <w:rPr>
                <w:sz w:val="20"/>
              </w:rPr>
              <w:t>S32.1,</w:t>
            </w:r>
            <w:r>
              <w:rPr>
                <w:spacing w:val="-5"/>
                <w:sz w:val="20"/>
              </w:rPr>
              <w:t> </w:t>
            </w:r>
            <w:r>
              <w:rPr>
                <w:spacing w:val="-2"/>
                <w:sz w:val="20"/>
              </w:rPr>
              <w:t>S32.10,</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left="469"/>
              <w:rPr>
                <w:sz w:val="20"/>
              </w:rPr>
            </w:pPr>
            <w:r>
              <w:rPr>
                <w:sz w:val="20"/>
              </w:rPr>
              <w:t>S32.11,</w:t>
            </w:r>
            <w:r>
              <w:rPr>
                <w:spacing w:val="-6"/>
                <w:sz w:val="20"/>
              </w:rPr>
              <w:t> </w:t>
            </w:r>
            <w:r>
              <w:rPr>
                <w:sz w:val="20"/>
              </w:rPr>
              <w:t>S32.2,</w:t>
            </w:r>
            <w:r>
              <w:rPr>
                <w:spacing w:val="-7"/>
                <w:sz w:val="20"/>
              </w:rPr>
              <w:t> </w:t>
            </w:r>
            <w:r>
              <w:rPr>
                <w:sz w:val="20"/>
              </w:rPr>
              <w:t>S32.20,</w:t>
            </w:r>
            <w:r>
              <w:rPr>
                <w:spacing w:val="-5"/>
                <w:sz w:val="20"/>
              </w:rPr>
              <w:t> </w:t>
            </w:r>
            <w:r>
              <w:rPr>
                <w:sz w:val="20"/>
              </w:rPr>
              <w:t>S32.21,</w:t>
            </w:r>
            <w:r>
              <w:rPr>
                <w:spacing w:val="-6"/>
                <w:sz w:val="20"/>
              </w:rPr>
              <w:t> </w:t>
            </w:r>
            <w:r>
              <w:rPr>
                <w:sz w:val="20"/>
              </w:rPr>
              <w:t>S32.8,</w:t>
            </w:r>
            <w:r>
              <w:rPr>
                <w:spacing w:val="-5"/>
                <w:sz w:val="20"/>
              </w:rPr>
              <w:t> </w:t>
            </w:r>
            <w:r>
              <w:rPr>
                <w:spacing w:val="-2"/>
                <w:sz w:val="20"/>
              </w:rPr>
              <w:t>S32.80,</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right="1023"/>
              <w:jc w:val="right"/>
              <w:rPr>
                <w:sz w:val="20"/>
              </w:rPr>
            </w:pPr>
            <w:r>
              <w:rPr>
                <w:sz w:val="20"/>
              </w:rPr>
              <w:t>S32.81,</w:t>
            </w:r>
            <w:r>
              <w:rPr>
                <w:spacing w:val="-6"/>
                <w:sz w:val="20"/>
              </w:rPr>
              <w:t> </w:t>
            </w:r>
            <w:r>
              <w:rPr>
                <w:sz w:val="20"/>
              </w:rPr>
              <w:t>S33,</w:t>
            </w:r>
            <w:r>
              <w:rPr>
                <w:spacing w:val="-5"/>
                <w:sz w:val="20"/>
              </w:rPr>
              <w:t> </w:t>
            </w:r>
            <w:r>
              <w:rPr>
                <w:sz w:val="20"/>
              </w:rPr>
              <w:t>S33.0,</w:t>
            </w:r>
            <w:r>
              <w:rPr>
                <w:spacing w:val="-5"/>
                <w:sz w:val="20"/>
              </w:rPr>
              <w:t> </w:t>
            </w:r>
            <w:r>
              <w:rPr>
                <w:sz w:val="20"/>
              </w:rPr>
              <w:t>S33.1,</w:t>
            </w:r>
            <w:r>
              <w:rPr>
                <w:spacing w:val="-5"/>
                <w:sz w:val="20"/>
              </w:rPr>
              <w:t> </w:t>
            </w:r>
            <w:r>
              <w:rPr>
                <w:sz w:val="20"/>
              </w:rPr>
              <w:t>S33.2,</w:t>
            </w:r>
            <w:r>
              <w:rPr>
                <w:spacing w:val="-5"/>
                <w:sz w:val="20"/>
              </w:rPr>
              <w:t> </w:t>
            </w:r>
            <w:r>
              <w:rPr>
                <w:sz w:val="20"/>
              </w:rPr>
              <w:t>S33.3,</w:t>
            </w:r>
            <w:r>
              <w:rPr>
                <w:spacing w:val="-5"/>
                <w:sz w:val="20"/>
              </w:rPr>
              <w:t> </w:t>
            </w:r>
            <w:r>
              <w:rPr>
                <w:spacing w:val="-2"/>
                <w:sz w:val="20"/>
              </w:rPr>
              <w:t>S33.5,</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390" w:type="dxa"/>
          </w:tcPr>
          <w:p>
            <w:pPr>
              <w:pStyle w:val="TableParagraph"/>
              <w:rPr>
                <w:sz w:val="18"/>
              </w:rPr>
            </w:pPr>
          </w:p>
        </w:tc>
        <w:tc>
          <w:tcPr>
            <w:tcW w:w="5272" w:type="dxa"/>
          </w:tcPr>
          <w:p>
            <w:pPr>
              <w:pStyle w:val="TableParagraph"/>
              <w:spacing w:line="226" w:lineRule="exact"/>
              <w:ind w:left="1035"/>
              <w:rPr>
                <w:sz w:val="20"/>
              </w:rPr>
            </w:pPr>
            <w:r>
              <w:rPr>
                <w:sz w:val="20"/>
              </w:rPr>
              <w:t>S33.6,</w:t>
            </w:r>
            <w:r>
              <w:rPr>
                <w:spacing w:val="-4"/>
                <w:sz w:val="20"/>
              </w:rPr>
              <w:t> </w:t>
            </w:r>
            <w:r>
              <w:rPr>
                <w:sz w:val="20"/>
              </w:rPr>
              <w:t>S33.7,</w:t>
            </w:r>
            <w:r>
              <w:rPr>
                <w:spacing w:val="-6"/>
                <w:sz w:val="20"/>
              </w:rPr>
              <w:t> </w:t>
            </w:r>
            <w:r>
              <w:rPr>
                <w:sz w:val="20"/>
              </w:rPr>
              <w:t>T08,</w:t>
            </w:r>
            <w:r>
              <w:rPr>
                <w:spacing w:val="-6"/>
                <w:sz w:val="20"/>
              </w:rPr>
              <w:t> </w:t>
            </w:r>
            <w:r>
              <w:rPr>
                <w:sz w:val="20"/>
              </w:rPr>
              <w:t>T08.0,</w:t>
            </w:r>
            <w:r>
              <w:rPr>
                <w:spacing w:val="-6"/>
                <w:sz w:val="20"/>
              </w:rPr>
              <w:t> </w:t>
            </w:r>
            <w:r>
              <w:rPr>
                <w:spacing w:val="-4"/>
                <w:sz w:val="20"/>
              </w:rPr>
              <w:t>T08.1</w:t>
            </w:r>
          </w:p>
        </w:tc>
        <w:tc>
          <w:tcPr>
            <w:tcW w:w="2373" w:type="dxa"/>
          </w:tcPr>
          <w:p>
            <w:pPr>
              <w:pStyle w:val="TableParagraph"/>
              <w:rPr>
                <w:sz w:val="18"/>
              </w:rPr>
            </w:pPr>
          </w:p>
        </w:tc>
        <w:tc>
          <w:tcPr>
            <w:tcW w:w="2326" w:type="dxa"/>
          </w:tcPr>
          <w:p>
            <w:pPr>
              <w:pStyle w:val="TableParagraph"/>
              <w:rPr>
                <w:sz w:val="18"/>
              </w:rPr>
            </w:pPr>
          </w:p>
        </w:tc>
        <w:tc>
          <w:tcPr>
            <w:tcW w:w="1261" w:type="dxa"/>
          </w:tcPr>
          <w:p>
            <w:pPr>
              <w:pStyle w:val="TableParagraph"/>
              <w:rPr>
                <w:sz w:val="18"/>
              </w:rPr>
            </w:pPr>
          </w:p>
        </w:tc>
      </w:tr>
      <w:tr>
        <w:trPr>
          <w:trHeight w:val="505" w:hRule="atLeast"/>
        </w:trPr>
        <w:tc>
          <w:tcPr>
            <w:tcW w:w="946" w:type="dxa"/>
          </w:tcPr>
          <w:p>
            <w:pPr>
              <w:pStyle w:val="TableParagraph"/>
              <w:spacing w:before="45"/>
              <w:ind w:left="50"/>
              <w:rPr>
                <w:sz w:val="20"/>
              </w:rPr>
            </w:pPr>
            <w:r>
              <w:rPr>
                <w:spacing w:val="-2"/>
                <w:sz w:val="20"/>
              </w:rPr>
              <w:t>st16.005</w:t>
            </w:r>
          </w:p>
        </w:tc>
        <w:tc>
          <w:tcPr>
            <w:tcW w:w="707" w:type="dxa"/>
          </w:tcPr>
          <w:p>
            <w:pPr>
              <w:pStyle w:val="TableParagraph"/>
              <w:spacing w:before="45"/>
              <w:ind w:left="210"/>
              <w:rPr>
                <w:sz w:val="20"/>
              </w:rPr>
            </w:pPr>
            <w:r>
              <w:rPr>
                <w:spacing w:val="-5"/>
                <w:sz w:val="20"/>
              </w:rPr>
              <w:t>112</w:t>
            </w:r>
          </w:p>
        </w:tc>
        <w:tc>
          <w:tcPr>
            <w:tcW w:w="2390" w:type="dxa"/>
          </w:tcPr>
          <w:p>
            <w:pPr>
              <w:pStyle w:val="TableParagraph"/>
              <w:spacing w:line="230" w:lineRule="atLeast" w:before="25"/>
              <w:ind w:left="192" w:right="282"/>
              <w:rPr>
                <w:sz w:val="20"/>
              </w:rPr>
            </w:pPr>
            <w:r>
              <w:rPr>
                <w:sz w:val="20"/>
              </w:rPr>
              <w:t>Сотрясение</w:t>
            </w:r>
            <w:r>
              <w:rPr>
                <w:spacing w:val="-13"/>
                <w:sz w:val="20"/>
              </w:rPr>
              <w:t> </w:t>
            </w:r>
            <w:r>
              <w:rPr>
                <w:sz w:val="20"/>
              </w:rPr>
              <w:t>головного </w:t>
            </w:r>
            <w:r>
              <w:rPr>
                <w:spacing w:val="-2"/>
                <w:sz w:val="20"/>
              </w:rPr>
              <w:t>мозга</w:t>
            </w:r>
          </w:p>
        </w:tc>
        <w:tc>
          <w:tcPr>
            <w:tcW w:w="5272" w:type="dxa"/>
          </w:tcPr>
          <w:p>
            <w:pPr>
              <w:pStyle w:val="TableParagraph"/>
              <w:spacing w:before="45"/>
              <w:ind w:left="1439"/>
              <w:rPr>
                <w:sz w:val="20"/>
              </w:rPr>
            </w:pPr>
            <w:r>
              <w:rPr>
                <w:sz w:val="20"/>
              </w:rPr>
              <w:t>S06.0,</w:t>
            </w:r>
            <w:r>
              <w:rPr>
                <w:spacing w:val="-5"/>
                <w:sz w:val="20"/>
              </w:rPr>
              <w:t> </w:t>
            </w:r>
            <w:r>
              <w:rPr>
                <w:sz w:val="20"/>
              </w:rPr>
              <w:t>S06.00,</w:t>
            </w:r>
            <w:r>
              <w:rPr>
                <w:spacing w:val="-7"/>
                <w:sz w:val="20"/>
              </w:rPr>
              <w:t> </w:t>
            </w:r>
            <w:r>
              <w:rPr>
                <w:spacing w:val="-2"/>
                <w:sz w:val="20"/>
              </w:rPr>
              <w:t>S06.01</w:t>
            </w:r>
          </w:p>
        </w:tc>
        <w:tc>
          <w:tcPr>
            <w:tcW w:w="2373" w:type="dxa"/>
          </w:tcPr>
          <w:p>
            <w:pPr>
              <w:pStyle w:val="TableParagraph"/>
              <w:spacing w:before="45"/>
              <w:ind w:left="905"/>
              <w:rPr>
                <w:sz w:val="20"/>
              </w:rPr>
            </w:pPr>
            <w:r>
              <w:rPr>
                <w:w w:val="99"/>
                <w:sz w:val="20"/>
              </w:rPr>
              <w:t>-</w:t>
            </w:r>
          </w:p>
        </w:tc>
        <w:tc>
          <w:tcPr>
            <w:tcW w:w="2326" w:type="dxa"/>
          </w:tcPr>
          <w:p>
            <w:pPr>
              <w:pStyle w:val="TableParagraph"/>
              <w:spacing w:before="45"/>
              <w:ind w:right="859"/>
              <w:jc w:val="right"/>
              <w:rPr>
                <w:sz w:val="20"/>
              </w:rPr>
            </w:pPr>
            <w:r>
              <w:rPr>
                <w:w w:val="99"/>
                <w:sz w:val="20"/>
              </w:rPr>
              <w:t>-</w:t>
            </w:r>
          </w:p>
        </w:tc>
        <w:tc>
          <w:tcPr>
            <w:tcW w:w="1261" w:type="dxa"/>
          </w:tcPr>
          <w:p>
            <w:pPr>
              <w:pStyle w:val="TableParagraph"/>
              <w:spacing w:before="45"/>
              <w:ind w:right="49"/>
              <w:jc w:val="right"/>
              <w:rPr>
                <w:sz w:val="20"/>
              </w:rPr>
            </w:pPr>
            <w:r>
              <w:rPr>
                <w:spacing w:val="-4"/>
                <w:sz w:val="20"/>
              </w:rPr>
              <w:t>0,40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640"/>
        <w:gridCol w:w="4179"/>
        <w:gridCol w:w="3970"/>
        <w:gridCol w:w="1571"/>
        <w:gridCol w:w="1261"/>
      </w:tblGrid>
      <w:tr>
        <w:trPr>
          <w:trHeight w:val="1885" w:hRule="atLeast"/>
        </w:trPr>
        <w:tc>
          <w:tcPr>
            <w:tcW w:w="946" w:type="dxa"/>
          </w:tcPr>
          <w:p>
            <w:pPr>
              <w:pStyle w:val="TableParagraph"/>
              <w:spacing w:line="221" w:lineRule="exact"/>
              <w:ind w:left="50"/>
              <w:rPr>
                <w:sz w:val="20"/>
              </w:rPr>
            </w:pPr>
            <w:r>
              <w:rPr>
                <w:spacing w:val="-2"/>
                <w:sz w:val="20"/>
              </w:rPr>
              <w:t>st16.006</w:t>
            </w:r>
          </w:p>
        </w:tc>
        <w:tc>
          <w:tcPr>
            <w:tcW w:w="707" w:type="dxa"/>
          </w:tcPr>
          <w:p>
            <w:pPr>
              <w:pStyle w:val="TableParagraph"/>
              <w:spacing w:line="221" w:lineRule="exact"/>
              <w:ind w:left="210"/>
              <w:rPr>
                <w:sz w:val="20"/>
              </w:rPr>
            </w:pPr>
            <w:r>
              <w:rPr>
                <w:spacing w:val="-5"/>
                <w:sz w:val="20"/>
              </w:rPr>
              <w:t>113</w:t>
            </w:r>
          </w:p>
        </w:tc>
        <w:tc>
          <w:tcPr>
            <w:tcW w:w="2640" w:type="dxa"/>
          </w:tcPr>
          <w:p>
            <w:pPr>
              <w:pStyle w:val="TableParagraph"/>
              <w:ind w:left="192" w:right="436"/>
              <w:rPr>
                <w:sz w:val="20"/>
              </w:rPr>
            </w:pPr>
            <w:r>
              <w:rPr>
                <w:sz w:val="20"/>
              </w:rPr>
              <w:t>Переломы черепа, внутричерепная</w:t>
            </w:r>
            <w:r>
              <w:rPr>
                <w:spacing w:val="-13"/>
                <w:sz w:val="20"/>
              </w:rPr>
              <w:t> </w:t>
            </w:r>
            <w:r>
              <w:rPr>
                <w:sz w:val="20"/>
              </w:rPr>
              <w:t>травма</w:t>
            </w:r>
          </w:p>
        </w:tc>
        <w:tc>
          <w:tcPr>
            <w:tcW w:w="4179" w:type="dxa"/>
          </w:tcPr>
          <w:p>
            <w:pPr>
              <w:pStyle w:val="TableParagraph"/>
              <w:ind w:left="219" w:right="238" w:hanging="7"/>
              <w:jc w:val="center"/>
              <w:rPr>
                <w:sz w:val="20"/>
              </w:rPr>
            </w:pPr>
            <w:r>
              <w:rPr>
                <w:sz w:val="20"/>
              </w:rPr>
              <w:t>S02, S02.0, S02.00, S02.01, S02.1, S02.10, S02.11,</w:t>
            </w:r>
            <w:r>
              <w:rPr>
                <w:spacing w:val="-7"/>
                <w:sz w:val="20"/>
              </w:rPr>
              <w:t> </w:t>
            </w:r>
            <w:r>
              <w:rPr>
                <w:sz w:val="20"/>
              </w:rPr>
              <w:t>S02.7,</w:t>
            </w:r>
            <w:r>
              <w:rPr>
                <w:spacing w:val="-9"/>
                <w:sz w:val="20"/>
              </w:rPr>
              <w:t> </w:t>
            </w:r>
            <w:r>
              <w:rPr>
                <w:sz w:val="20"/>
              </w:rPr>
              <w:t>S02.70,</w:t>
            </w:r>
            <w:r>
              <w:rPr>
                <w:spacing w:val="-7"/>
                <w:sz w:val="20"/>
              </w:rPr>
              <w:t> </w:t>
            </w:r>
            <w:r>
              <w:rPr>
                <w:sz w:val="20"/>
              </w:rPr>
              <w:t>S02.71,</w:t>
            </w:r>
            <w:r>
              <w:rPr>
                <w:spacing w:val="-7"/>
                <w:sz w:val="20"/>
              </w:rPr>
              <w:t> </w:t>
            </w:r>
            <w:r>
              <w:rPr>
                <w:sz w:val="20"/>
              </w:rPr>
              <w:t>S02.8,</w:t>
            </w:r>
            <w:r>
              <w:rPr>
                <w:spacing w:val="-7"/>
                <w:sz w:val="20"/>
              </w:rPr>
              <w:t> </w:t>
            </w:r>
            <w:r>
              <w:rPr>
                <w:sz w:val="20"/>
              </w:rPr>
              <w:t>S02.80, S02.81, S02.9, S02.90, S02.91, S06, S06.1, S06.10,</w:t>
            </w:r>
            <w:r>
              <w:rPr>
                <w:spacing w:val="-8"/>
                <w:sz w:val="20"/>
              </w:rPr>
              <w:t> </w:t>
            </w:r>
            <w:r>
              <w:rPr>
                <w:sz w:val="20"/>
              </w:rPr>
              <w:t>S06.11,</w:t>
            </w:r>
            <w:r>
              <w:rPr>
                <w:spacing w:val="-8"/>
                <w:sz w:val="20"/>
              </w:rPr>
              <w:t> </w:t>
            </w:r>
            <w:r>
              <w:rPr>
                <w:sz w:val="20"/>
              </w:rPr>
              <w:t>S06.2,</w:t>
            </w:r>
            <w:r>
              <w:rPr>
                <w:spacing w:val="-8"/>
                <w:sz w:val="20"/>
              </w:rPr>
              <w:t> </w:t>
            </w:r>
            <w:r>
              <w:rPr>
                <w:sz w:val="20"/>
              </w:rPr>
              <w:t>S06.20,</w:t>
            </w:r>
            <w:r>
              <w:rPr>
                <w:spacing w:val="-8"/>
                <w:sz w:val="20"/>
              </w:rPr>
              <w:t> </w:t>
            </w:r>
            <w:r>
              <w:rPr>
                <w:sz w:val="20"/>
              </w:rPr>
              <w:t>S06.21,</w:t>
            </w:r>
            <w:r>
              <w:rPr>
                <w:spacing w:val="-8"/>
                <w:sz w:val="20"/>
              </w:rPr>
              <w:t> </w:t>
            </w:r>
            <w:r>
              <w:rPr>
                <w:sz w:val="20"/>
              </w:rPr>
              <w:t>S06.3, S06.30,</w:t>
            </w:r>
            <w:r>
              <w:rPr>
                <w:spacing w:val="-8"/>
                <w:sz w:val="20"/>
              </w:rPr>
              <w:t> </w:t>
            </w:r>
            <w:r>
              <w:rPr>
                <w:sz w:val="20"/>
              </w:rPr>
              <w:t>S06.31,</w:t>
            </w:r>
            <w:r>
              <w:rPr>
                <w:spacing w:val="-8"/>
                <w:sz w:val="20"/>
              </w:rPr>
              <w:t> </w:t>
            </w:r>
            <w:r>
              <w:rPr>
                <w:sz w:val="20"/>
              </w:rPr>
              <w:t>S06.4,</w:t>
            </w:r>
            <w:r>
              <w:rPr>
                <w:spacing w:val="-8"/>
                <w:sz w:val="20"/>
              </w:rPr>
              <w:t> </w:t>
            </w:r>
            <w:r>
              <w:rPr>
                <w:sz w:val="20"/>
              </w:rPr>
              <w:t>S06.40,</w:t>
            </w:r>
            <w:r>
              <w:rPr>
                <w:spacing w:val="-8"/>
                <w:sz w:val="20"/>
              </w:rPr>
              <w:t> </w:t>
            </w:r>
            <w:r>
              <w:rPr>
                <w:sz w:val="20"/>
              </w:rPr>
              <w:t>S06.41,</w:t>
            </w:r>
            <w:r>
              <w:rPr>
                <w:spacing w:val="-8"/>
                <w:sz w:val="20"/>
              </w:rPr>
              <w:t> </w:t>
            </w:r>
            <w:r>
              <w:rPr>
                <w:sz w:val="20"/>
              </w:rPr>
              <w:t>S06.5, S06.50,</w:t>
            </w:r>
            <w:r>
              <w:rPr>
                <w:spacing w:val="-8"/>
                <w:sz w:val="20"/>
              </w:rPr>
              <w:t> </w:t>
            </w:r>
            <w:r>
              <w:rPr>
                <w:sz w:val="20"/>
              </w:rPr>
              <w:t>S06.51,</w:t>
            </w:r>
            <w:r>
              <w:rPr>
                <w:spacing w:val="-8"/>
                <w:sz w:val="20"/>
              </w:rPr>
              <w:t> </w:t>
            </w:r>
            <w:r>
              <w:rPr>
                <w:sz w:val="20"/>
              </w:rPr>
              <w:t>S06.6,</w:t>
            </w:r>
            <w:r>
              <w:rPr>
                <w:spacing w:val="-8"/>
                <w:sz w:val="20"/>
              </w:rPr>
              <w:t> </w:t>
            </w:r>
            <w:r>
              <w:rPr>
                <w:sz w:val="20"/>
              </w:rPr>
              <w:t>S06.60,</w:t>
            </w:r>
            <w:r>
              <w:rPr>
                <w:spacing w:val="-8"/>
                <w:sz w:val="20"/>
              </w:rPr>
              <w:t> </w:t>
            </w:r>
            <w:r>
              <w:rPr>
                <w:sz w:val="20"/>
              </w:rPr>
              <w:t>S06.61,</w:t>
            </w:r>
            <w:r>
              <w:rPr>
                <w:spacing w:val="-8"/>
                <w:sz w:val="20"/>
              </w:rPr>
              <w:t> </w:t>
            </w:r>
            <w:r>
              <w:rPr>
                <w:sz w:val="20"/>
              </w:rPr>
              <w:t>S06.7, S06.70,</w:t>
            </w:r>
            <w:r>
              <w:rPr>
                <w:spacing w:val="-8"/>
                <w:sz w:val="20"/>
              </w:rPr>
              <w:t> </w:t>
            </w:r>
            <w:r>
              <w:rPr>
                <w:sz w:val="20"/>
              </w:rPr>
              <w:t>S06.71,</w:t>
            </w:r>
            <w:r>
              <w:rPr>
                <w:spacing w:val="-8"/>
                <w:sz w:val="20"/>
              </w:rPr>
              <w:t> </w:t>
            </w:r>
            <w:r>
              <w:rPr>
                <w:sz w:val="20"/>
              </w:rPr>
              <w:t>S06.8,</w:t>
            </w:r>
            <w:r>
              <w:rPr>
                <w:spacing w:val="-8"/>
                <w:sz w:val="20"/>
              </w:rPr>
              <w:t> </w:t>
            </w:r>
            <w:r>
              <w:rPr>
                <w:sz w:val="20"/>
              </w:rPr>
              <w:t>S06.80,</w:t>
            </w:r>
            <w:r>
              <w:rPr>
                <w:spacing w:val="-8"/>
                <w:sz w:val="20"/>
              </w:rPr>
              <w:t> </w:t>
            </w:r>
            <w:r>
              <w:rPr>
                <w:sz w:val="20"/>
              </w:rPr>
              <w:t>S06.81,</w:t>
            </w:r>
            <w:r>
              <w:rPr>
                <w:spacing w:val="-8"/>
                <w:sz w:val="20"/>
              </w:rPr>
              <w:t> </w:t>
            </w:r>
            <w:r>
              <w:rPr>
                <w:sz w:val="20"/>
              </w:rPr>
              <w:t>S06.9, S06.90, S06.91, T02, T02.0, T02.00, T02.01</w:t>
            </w:r>
          </w:p>
        </w:tc>
        <w:tc>
          <w:tcPr>
            <w:tcW w:w="3970" w:type="dxa"/>
          </w:tcPr>
          <w:p>
            <w:pPr>
              <w:pStyle w:val="TableParagraph"/>
              <w:spacing w:line="221" w:lineRule="exact"/>
              <w:ind w:right="405"/>
              <w:jc w:val="center"/>
              <w:rPr>
                <w:sz w:val="20"/>
              </w:rPr>
            </w:pPr>
            <w:r>
              <w:rPr>
                <w:w w:val="99"/>
                <w:sz w:val="20"/>
              </w:rPr>
              <w:t>-</w:t>
            </w:r>
          </w:p>
        </w:tc>
        <w:tc>
          <w:tcPr>
            <w:tcW w:w="1571" w:type="dxa"/>
          </w:tcPr>
          <w:p>
            <w:pPr>
              <w:pStyle w:val="TableParagraph"/>
              <w:spacing w:line="221" w:lineRule="exact"/>
              <w:ind w:left="644"/>
              <w:rPr>
                <w:sz w:val="20"/>
              </w:rPr>
            </w:pPr>
            <w:r>
              <w:rPr>
                <w:w w:val="99"/>
                <w:sz w:val="20"/>
              </w:rPr>
              <w:t>-</w:t>
            </w:r>
          </w:p>
        </w:tc>
        <w:tc>
          <w:tcPr>
            <w:tcW w:w="1261" w:type="dxa"/>
          </w:tcPr>
          <w:p>
            <w:pPr>
              <w:pStyle w:val="TableParagraph"/>
              <w:spacing w:line="221" w:lineRule="exact"/>
              <w:ind w:right="48"/>
              <w:jc w:val="right"/>
              <w:rPr>
                <w:sz w:val="20"/>
              </w:rPr>
            </w:pPr>
            <w:r>
              <w:rPr>
                <w:spacing w:val="-4"/>
                <w:sz w:val="20"/>
              </w:rPr>
              <w:t>1,54</w:t>
            </w:r>
          </w:p>
        </w:tc>
      </w:tr>
      <w:tr>
        <w:trPr>
          <w:trHeight w:val="5159" w:hRule="atLeast"/>
        </w:trPr>
        <w:tc>
          <w:tcPr>
            <w:tcW w:w="946" w:type="dxa"/>
          </w:tcPr>
          <w:p>
            <w:pPr>
              <w:pStyle w:val="TableParagraph"/>
              <w:spacing w:before="45"/>
              <w:ind w:left="50"/>
              <w:rPr>
                <w:sz w:val="20"/>
              </w:rPr>
            </w:pPr>
            <w:r>
              <w:rPr>
                <w:spacing w:val="-2"/>
                <w:sz w:val="20"/>
              </w:rPr>
              <w:t>st16.007</w:t>
            </w:r>
          </w:p>
        </w:tc>
        <w:tc>
          <w:tcPr>
            <w:tcW w:w="707" w:type="dxa"/>
          </w:tcPr>
          <w:p>
            <w:pPr>
              <w:pStyle w:val="TableParagraph"/>
              <w:spacing w:before="45"/>
              <w:ind w:left="210"/>
              <w:rPr>
                <w:sz w:val="20"/>
              </w:rPr>
            </w:pPr>
            <w:r>
              <w:rPr>
                <w:spacing w:val="-5"/>
                <w:sz w:val="20"/>
              </w:rPr>
              <w:t>114</w:t>
            </w:r>
          </w:p>
        </w:tc>
        <w:tc>
          <w:tcPr>
            <w:tcW w:w="2640" w:type="dxa"/>
          </w:tcPr>
          <w:p>
            <w:pPr>
              <w:pStyle w:val="TableParagraph"/>
              <w:spacing w:before="45"/>
              <w:ind w:left="192" w:right="70"/>
              <w:rPr>
                <w:sz w:val="20"/>
              </w:rPr>
            </w:pPr>
            <w:r>
              <w:rPr>
                <w:sz w:val="20"/>
              </w:rPr>
              <w:t>Операции</w:t>
            </w:r>
            <w:r>
              <w:rPr>
                <w:spacing w:val="-13"/>
                <w:sz w:val="20"/>
              </w:rPr>
              <w:t> </w:t>
            </w:r>
            <w:r>
              <w:rPr>
                <w:sz w:val="20"/>
              </w:rPr>
              <w:t>на</w:t>
            </w:r>
            <w:r>
              <w:rPr>
                <w:spacing w:val="-12"/>
                <w:sz w:val="20"/>
              </w:rPr>
              <w:t> </w:t>
            </w:r>
            <w:r>
              <w:rPr>
                <w:sz w:val="20"/>
              </w:rPr>
              <w:t>центральной нервной системе и головном мозге</w:t>
            </w:r>
          </w:p>
          <w:p>
            <w:pPr>
              <w:pStyle w:val="TableParagraph"/>
              <w:spacing w:before="1"/>
              <w:ind w:left="192"/>
              <w:rPr>
                <w:sz w:val="20"/>
              </w:rPr>
            </w:pPr>
            <w:r>
              <w:rPr>
                <w:sz w:val="20"/>
              </w:rPr>
              <w:t>(уровень</w:t>
            </w:r>
            <w:r>
              <w:rPr>
                <w:spacing w:val="-10"/>
                <w:sz w:val="20"/>
              </w:rPr>
              <w:t> </w:t>
            </w:r>
            <w:r>
              <w:rPr>
                <w:spacing w:val="-5"/>
                <w:sz w:val="20"/>
              </w:rPr>
              <w:t>1)</w:t>
            </w:r>
          </w:p>
        </w:tc>
        <w:tc>
          <w:tcPr>
            <w:tcW w:w="4179" w:type="dxa"/>
          </w:tcPr>
          <w:p>
            <w:pPr>
              <w:pStyle w:val="TableParagraph"/>
              <w:spacing w:before="45"/>
              <w:ind w:left="2045"/>
              <w:rPr>
                <w:sz w:val="20"/>
              </w:rPr>
            </w:pPr>
            <w:r>
              <w:rPr>
                <w:w w:val="99"/>
                <w:sz w:val="20"/>
              </w:rPr>
              <w:t>-</w:t>
            </w:r>
          </w:p>
        </w:tc>
        <w:tc>
          <w:tcPr>
            <w:tcW w:w="3970" w:type="dxa"/>
          </w:tcPr>
          <w:p>
            <w:pPr>
              <w:pStyle w:val="TableParagraph"/>
              <w:spacing w:before="45"/>
              <w:ind w:left="238" w:right="643" w:hanging="2"/>
              <w:jc w:val="center"/>
              <w:rPr>
                <w:sz w:val="20"/>
              </w:rPr>
            </w:pPr>
            <w:r>
              <w:rPr>
                <w:sz w:val="20"/>
              </w:rPr>
              <w:t>A05.23.003, A16.22.005, A16.22.005.001, A16.22.005.002, A16.22.006,</w:t>
            </w:r>
            <w:r>
              <w:rPr>
                <w:spacing w:val="-13"/>
                <w:sz w:val="20"/>
              </w:rPr>
              <w:t> </w:t>
            </w:r>
            <w:r>
              <w:rPr>
                <w:sz w:val="20"/>
              </w:rPr>
              <w:t>A16.22.014,</w:t>
            </w:r>
            <w:r>
              <w:rPr>
                <w:spacing w:val="-12"/>
                <w:sz w:val="20"/>
              </w:rPr>
              <w:t> </w:t>
            </w:r>
            <w:r>
              <w:rPr>
                <w:sz w:val="20"/>
              </w:rPr>
              <w:t>A16.23.001, A16.23.002,</w:t>
            </w:r>
            <w:r>
              <w:rPr>
                <w:spacing w:val="-13"/>
                <w:sz w:val="20"/>
              </w:rPr>
              <w:t> </w:t>
            </w:r>
            <w:r>
              <w:rPr>
                <w:sz w:val="20"/>
              </w:rPr>
              <w:t>A16.23.003,</w:t>
            </w:r>
            <w:r>
              <w:rPr>
                <w:spacing w:val="-12"/>
                <w:sz w:val="20"/>
              </w:rPr>
              <w:t> </w:t>
            </w:r>
            <w:r>
              <w:rPr>
                <w:sz w:val="20"/>
              </w:rPr>
              <w:t>A16.23.004, A16.23.005, A16.23.006.001, A16.23.007, A16.23.022, A16.23.023.001, A16.23.032, A16.23.033,</w:t>
            </w:r>
            <w:r>
              <w:rPr>
                <w:spacing w:val="-13"/>
                <w:sz w:val="20"/>
              </w:rPr>
              <w:t> </w:t>
            </w:r>
            <w:r>
              <w:rPr>
                <w:sz w:val="20"/>
              </w:rPr>
              <w:t>A16.23.038,</w:t>
            </w:r>
            <w:r>
              <w:rPr>
                <w:spacing w:val="-12"/>
                <w:sz w:val="20"/>
              </w:rPr>
              <w:t> </w:t>
            </w:r>
            <w:r>
              <w:rPr>
                <w:sz w:val="20"/>
              </w:rPr>
              <w:t>A16.23.039, A16.23.040,</w:t>
            </w:r>
            <w:r>
              <w:rPr>
                <w:spacing w:val="-13"/>
                <w:sz w:val="20"/>
              </w:rPr>
              <w:t> </w:t>
            </w:r>
            <w:r>
              <w:rPr>
                <w:sz w:val="20"/>
              </w:rPr>
              <w:t>A16.23.041,</w:t>
            </w:r>
            <w:r>
              <w:rPr>
                <w:spacing w:val="-12"/>
                <w:sz w:val="20"/>
              </w:rPr>
              <w:t> </w:t>
            </w:r>
            <w:r>
              <w:rPr>
                <w:sz w:val="20"/>
              </w:rPr>
              <w:t>A16.23.043, A16.23.044,</w:t>
            </w:r>
            <w:r>
              <w:rPr>
                <w:spacing w:val="-13"/>
                <w:sz w:val="20"/>
              </w:rPr>
              <w:t> </w:t>
            </w:r>
            <w:r>
              <w:rPr>
                <w:sz w:val="20"/>
              </w:rPr>
              <w:t>A16.23.048,</w:t>
            </w:r>
            <w:r>
              <w:rPr>
                <w:spacing w:val="-12"/>
                <w:sz w:val="20"/>
              </w:rPr>
              <w:t> </w:t>
            </w:r>
            <w:r>
              <w:rPr>
                <w:sz w:val="20"/>
              </w:rPr>
              <w:t>A16.23.049, A16.23.051, A16.23.052.004, A16.23.053, A16.23.054.001, A16.23.054.002, A16.23.054.003, A16.23.057, A16.23.057.001, A16.23.057.002, A16.23.059, A16.23.067,</w:t>
            </w:r>
            <w:r>
              <w:rPr>
                <w:spacing w:val="-13"/>
                <w:sz w:val="20"/>
              </w:rPr>
              <w:t> </w:t>
            </w:r>
            <w:r>
              <w:rPr>
                <w:sz w:val="20"/>
              </w:rPr>
              <w:t>A16.23.069,</w:t>
            </w:r>
            <w:r>
              <w:rPr>
                <w:spacing w:val="-12"/>
                <w:sz w:val="20"/>
              </w:rPr>
              <w:t> </w:t>
            </w:r>
            <w:r>
              <w:rPr>
                <w:sz w:val="20"/>
              </w:rPr>
              <w:t>A16.23.073, A16.23.074, A16.23.074.002, A16.23.076,</w:t>
            </w:r>
            <w:r>
              <w:rPr>
                <w:spacing w:val="-13"/>
                <w:sz w:val="20"/>
              </w:rPr>
              <w:t> </w:t>
            </w:r>
            <w:r>
              <w:rPr>
                <w:sz w:val="20"/>
              </w:rPr>
              <w:t>A16.23.077,</w:t>
            </w:r>
            <w:r>
              <w:rPr>
                <w:spacing w:val="-12"/>
                <w:sz w:val="20"/>
              </w:rPr>
              <w:t> </w:t>
            </w:r>
            <w:r>
              <w:rPr>
                <w:sz w:val="20"/>
              </w:rPr>
              <w:t>A16.23.078, A16.23.079,</w:t>
            </w:r>
            <w:r>
              <w:rPr>
                <w:spacing w:val="-13"/>
                <w:sz w:val="20"/>
              </w:rPr>
              <w:t> </w:t>
            </w:r>
            <w:r>
              <w:rPr>
                <w:sz w:val="20"/>
              </w:rPr>
              <w:t>A16.23.080,</w:t>
            </w:r>
            <w:r>
              <w:rPr>
                <w:spacing w:val="-12"/>
                <w:sz w:val="20"/>
              </w:rPr>
              <w:t> </w:t>
            </w:r>
            <w:r>
              <w:rPr>
                <w:sz w:val="20"/>
              </w:rPr>
              <w:t>A16.23.084, A16.23.085, A16.23.085.001, A16.23.086,</w:t>
            </w:r>
            <w:r>
              <w:rPr>
                <w:spacing w:val="-13"/>
                <w:sz w:val="20"/>
              </w:rPr>
              <w:t> </w:t>
            </w:r>
            <w:r>
              <w:rPr>
                <w:sz w:val="20"/>
              </w:rPr>
              <w:t>A16.23.088,</w:t>
            </w:r>
            <w:r>
              <w:rPr>
                <w:spacing w:val="-12"/>
                <w:sz w:val="20"/>
              </w:rPr>
              <w:t> </w:t>
            </w:r>
            <w:r>
              <w:rPr>
                <w:sz w:val="20"/>
              </w:rPr>
              <w:t>A16.23.089, A16.23.090, A16.23.091, A16.23.092</w:t>
            </w:r>
          </w:p>
        </w:tc>
        <w:tc>
          <w:tcPr>
            <w:tcW w:w="1571" w:type="dxa"/>
          </w:tcPr>
          <w:p>
            <w:pPr>
              <w:pStyle w:val="TableParagraph"/>
              <w:spacing w:before="45"/>
              <w:ind w:left="644"/>
              <w:rPr>
                <w:sz w:val="20"/>
              </w:rPr>
            </w:pPr>
            <w:r>
              <w:rPr>
                <w:w w:val="99"/>
                <w:sz w:val="20"/>
              </w:rPr>
              <w:t>-</w:t>
            </w:r>
          </w:p>
        </w:tc>
        <w:tc>
          <w:tcPr>
            <w:tcW w:w="1261" w:type="dxa"/>
          </w:tcPr>
          <w:p>
            <w:pPr>
              <w:pStyle w:val="TableParagraph"/>
              <w:spacing w:before="45"/>
              <w:ind w:right="48"/>
              <w:jc w:val="right"/>
              <w:rPr>
                <w:sz w:val="20"/>
              </w:rPr>
            </w:pPr>
            <w:r>
              <w:rPr>
                <w:spacing w:val="-4"/>
                <w:sz w:val="20"/>
              </w:rPr>
              <w:t>4,13</w:t>
            </w:r>
          </w:p>
        </w:tc>
      </w:tr>
      <w:tr>
        <w:trPr>
          <w:trHeight w:val="1425" w:hRule="atLeast"/>
        </w:trPr>
        <w:tc>
          <w:tcPr>
            <w:tcW w:w="946" w:type="dxa"/>
          </w:tcPr>
          <w:p>
            <w:pPr>
              <w:pStyle w:val="TableParagraph"/>
              <w:spacing w:before="46"/>
              <w:ind w:left="50"/>
              <w:rPr>
                <w:sz w:val="20"/>
              </w:rPr>
            </w:pPr>
            <w:r>
              <w:rPr>
                <w:spacing w:val="-2"/>
                <w:sz w:val="20"/>
              </w:rPr>
              <w:t>st16.008</w:t>
            </w:r>
          </w:p>
        </w:tc>
        <w:tc>
          <w:tcPr>
            <w:tcW w:w="707" w:type="dxa"/>
          </w:tcPr>
          <w:p>
            <w:pPr>
              <w:pStyle w:val="TableParagraph"/>
              <w:spacing w:before="46"/>
              <w:ind w:left="210"/>
              <w:rPr>
                <w:sz w:val="20"/>
              </w:rPr>
            </w:pPr>
            <w:r>
              <w:rPr>
                <w:spacing w:val="-5"/>
                <w:sz w:val="20"/>
              </w:rPr>
              <w:t>115</w:t>
            </w:r>
          </w:p>
        </w:tc>
        <w:tc>
          <w:tcPr>
            <w:tcW w:w="2640" w:type="dxa"/>
          </w:tcPr>
          <w:p>
            <w:pPr>
              <w:pStyle w:val="TableParagraph"/>
              <w:spacing w:before="46"/>
              <w:ind w:left="192" w:right="70"/>
              <w:rPr>
                <w:sz w:val="20"/>
              </w:rPr>
            </w:pPr>
            <w:r>
              <w:rPr>
                <w:sz w:val="20"/>
              </w:rPr>
              <w:t>Операции</w:t>
            </w:r>
            <w:r>
              <w:rPr>
                <w:spacing w:val="-13"/>
                <w:sz w:val="20"/>
              </w:rPr>
              <w:t> </w:t>
            </w:r>
            <w:r>
              <w:rPr>
                <w:sz w:val="20"/>
              </w:rPr>
              <w:t>на</w:t>
            </w:r>
            <w:r>
              <w:rPr>
                <w:spacing w:val="-12"/>
                <w:sz w:val="20"/>
              </w:rPr>
              <w:t> </w:t>
            </w:r>
            <w:r>
              <w:rPr>
                <w:sz w:val="20"/>
              </w:rPr>
              <w:t>центральной нервной системе и головном мозге</w:t>
            </w:r>
          </w:p>
          <w:p>
            <w:pPr>
              <w:pStyle w:val="TableParagraph"/>
              <w:spacing w:line="229" w:lineRule="exact"/>
              <w:ind w:left="192"/>
              <w:rPr>
                <w:sz w:val="20"/>
              </w:rPr>
            </w:pPr>
            <w:r>
              <w:rPr>
                <w:sz w:val="20"/>
              </w:rPr>
              <w:t>(уровень</w:t>
            </w:r>
            <w:r>
              <w:rPr>
                <w:spacing w:val="-10"/>
                <w:sz w:val="20"/>
              </w:rPr>
              <w:t> </w:t>
            </w:r>
            <w:r>
              <w:rPr>
                <w:spacing w:val="-5"/>
                <w:sz w:val="20"/>
              </w:rPr>
              <w:t>2)</w:t>
            </w:r>
          </w:p>
        </w:tc>
        <w:tc>
          <w:tcPr>
            <w:tcW w:w="4179" w:type="dxa"/>
          </w:tcPr>
          <w:p>
            <w:pPr>
              <w:pStyle w:val="TableParagraph"/>
              <w:spacing w:before="46"/>
              <w:ind w:left="2045"/>
              <w:rPr>
                <w:sz w:val="20"/>
              </w:rPr>
            </w:pPr>
            <w:r>
              <w:rPr>
                <w:w w:val="99"/>
                <w:sz w:val="20"/>
              </w:rPr>
              <w:t>-</w:t>
            </w:r>
          </w:p>
        </w:tc>
        <w:tc>
          <w:tcPr>
            <w:tcW w:w="3970" w:type="dxa"/>
          </w:tcPr>
          <w:p>
            <w:pPr>
              <w:pStyle w:val="TableParagraph"/>
              <w:spacing w:before="46"/>
              <w:ind w:left="238" w:right="648"/>
              <w:jc w:val="center"/>
              <w:rPr>
                <w:sz w:val="20"/>
              </w:rPr>
            </w:pPr>
            <w:r>
              <w:rPr>
                <w:sz w:val="20"/>
              </w:rPr>
              <w:t>A16.22.014.001, A16.22.014.002, A16.22.014.003, A16.23.006, A16.23.007.001, A16.23.009, A16.23.010,</w:t>
            </w:r>
            <w:r>
              <w:rPr>
                <w:spacing w:val="-13"/>
                <w:sz w:val="20"/>
              </w:rPr>
              <w:t> </w:t>
            </w:r>
            <w:r>
              <w:rPr>
                <w:sz w:val="20"/>
              </w:rPr>
              <w:t>A16.23.011,</w:t>
            </w:r>
            <w:r>
              <w:rPr>
                <w:spacing w:val="-12"/>
                <w:sz w:val="20"/>
              </w:rPr>
              <w:t> </w:t>
            </w:r>
            <w:r>
              <w:rPr>
                <w:sz w:val="20"/>
              </w:rPr>
              <w:t>A16.23.012,</w:t>
            </w:r>
          </w:p>
          <w:p>
            <w:pPr>
              <w:pStyle w:val="TableParagraph"/>
              <w:spacing w:line="230" w:lineRule="exact"/>
              <w:ind w:left="586" w:right="995" w:firstLine="2"/>
              <w:jc w:val="center"/>
              <w:rPr>
                <w:sz w:val="20"/>
              </w:rPr>
            </w:pPr>
            <w:r>
              <w:rPr>
                <w:sz w:val="20"/>
              </w:rPr>
              <w:t>A16.23.013, A16.23.014, A16.23.014.001,</w:t>
            </w:r>
            <w:r>
              <w:rPr>
                <w:spacing w:val="-13"/>
                <w:sz w:val="20"/>
              </w:rPr>
              <w:t> </w:t>
            </w:r>
            <w:r>
              <w:rPr>
                <w:sz w:val="20"/>
              </w:rPr>
              <w:t>A16.23.015,</w:t>
            </w:r>
          </w:p>
        </w:tc>
        <w:tc>
          <w:tcPr>
            <w:tcW w:w="1571" w:type="dxa"/>
          </w:tcPr>
          <w:p>
            <w:pPr>
              <w:pStyle w:val="TableParagraph"/>
              <w:spacing w:before="46"/>
              <w:ind w:left="644"/>
              <w:rPr>
                <w:sz w:val="20"/>
              </w:rPr>
            </w:pPr>
            <w:r>
              <w:rPr>
                <w:w w:val="99"/>
                <w:sz w:val="20"/>
              </w:rPr>
              <w:t>-</w:t>
            </w:r>
          </w:p>
        </w:tc>
        <w:tc>
          <w:tcPr>
            <w:tcW w:w="1261" w:type="dxa"/>
          </w:tcPr>
          <w:p>
            <w:pPr>
              <w:pStyle w:val="TableParagraph"/>
              <w:spacing w:before="46"/>
              <w:ind w:right="48"/>
              <w:jc w:val="right"/>
              <w:rPr>
                <w:sz w:val="20"/>
              </w:rPr>
            </w:pPr>
            <w:r>
              <w:rPr>
                <w:spacing w:val="-4"/>
                <w:sz w:val="20"/>
              </w:rPr>
              <w:t>5,82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8922" w:right="4155" w:firstLine="4"/>
        <w:jc w:val="center"/>
        <w:rPr>
          <w:sz w:val="20"/>
        </w:rPr>
      </w:pPr>
      <w:r>
        <w:rPr>
          <w:sz w:val="20"/>
        </w:rPr>
        <w:t>A16.23.016, A16.23.017, A16.23.017.001, A16.23.017.002, A16.23.017.003, A16.23.017.004, A16.23.017.005, A16.23.017.006, A16.23.017.007, A16.23.017.008, A16.23.017.009, A16.23.017.010, A16.23.017.011, A16.23.018, A16.23.019, A16.23.020, A16.23.020.001, A16.23.021, A16.23.023,</w:t>
      </w:r>
      <w:r>
        <w:rPr>
          <w:spacing w:val="-13"/>
          <w:sz w:val="20"/>
        </w:rPr>
        <w:t> </w:t>
      </w:r>
      <w:r>
        <w:rPr>
          <w:sz w:val="20"/>
        </w:rPr>
        <w:t>A16.23.024,</w:t>
      </w:r>
      <w:r>
        <w:rPr>
          <w:spacing w:val="-12"/>
          <w:sz w:val="20"/>
        </w:rPr>
        <w:t> </w:t>
      </w:r>
      <w:r>
        <w:rPr>
          <w:sz w:val="20"/>
        </w:rPr>
        <w:t>A16.23.025, A16.23.026,</w:t>
      </w:r>
      <w:r>
        <w:rPr>
          <w:spacing w:val="-13"/>
          <w:sz w:val="20"/>
        </w:rPr>
        <w:t> </w:t>
      </w:r>
      <w:r>
        <w:rPr>
          <w:sz w:val="20"/>
        </w:rPr>
        <w:t>A16.23.027,</w:t>
      </w:r>
      <w:r>
        <w:rPr>
          <w:spacing w:val="-12"/>
          <w:sz w:val="20"/>
        </w:rPr>
        <w:t> </w:t>
      </w:r>
      <w:r>
        <w:rPr>
          <w:sz w:val="20"/>
        </w:rPr>
        <w:t>A16.23.028, A16.23.029,</w:t>
      </w:r>
      <w:r>
        <w:rPr>
          <w:spacing w:val="-13"/>
          <w:sz w:val="20"/>
        </w:rPr>
        <w:t> </w:t>
      </w:r>
      <w:r>
        <w:rPr>
          <w:sz w:val="20"/>
        </w:rPr>
        <w:t>A16.23.030,</w:t>
      </w:r>
      <w:r>
        <w:rPr>
          <w:spacing w:val="-12"/>
          <w:sz w:val="20"/>
        </w:rPr>
        <w:t> </w:t>
      </w:r>
      <w:r>
        <w:rPr>
          <w:sz w:val="20"/>
        </w:rPr>
        <w:t>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w:t>
      </w:r>
      <w:r>
        <w:rPr>
          <w:spacing w:val="-13"/>
          <w:sz w:val="20"/>
        </w:rPr>
        <w:t> </w:t>
      </w:r>
      <w:r>
        <w:rPr>
          <w:sz w:val="20"/>
        </w:rPr>
        <w:t>A16.23.055,</w:t>
      </w:r>
      <w:r>
        <w:rPr>
          <w:spacing w:val="-12"/>
          <w:sz w:val="20"/>
        </w:rPr>
        <w:t> </w:t>
      </w:r>
      <w:r>
        <w:rPr>
          <w:sz w:val="20"/>
        </w:rPr>
        <w:t>A16.23.056, A16.23.056.001, A16.23.056.002, A16.23.058, A16.23.058.001, A16.23.058.002, A16.23.059.001, A16.23.060, A16.23.060.001,</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610"/>
        <w:gridCol w:w="4230"/>
        <w:gridCol w:w="3947"/>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610" w:type="dxa"/>
            <w:vMerge w:val="restart"/>
          </w:tcPr>
          <w:p>
            <w:pPr>
              <w:pStyle w:val="TableParagraph"/>
              <w:rPr>
                <w:sz w:val="18"/>
              </w:rPr>
            </w:pPr>
          </w:p>
        </w:tc>
        <w:tc>
          <w:tcPr>
            <w:tcW w:w="4230" w:type="dxa"/>
            <w:vMerge w:val="restart"/>
          </w:tcPr>
          <w:p>
            <w:pPr>
              <w:pStyle w:val="TableParagraph"/>
              <w:rPr>
                <w:sz w:val="18"/>
              </w:rPr>
            </w:pPr>
          </w:p>
        </w:tc>
        <w:tc>
          <w:tcPr>
            <w:tcW w:w="3947" w:type="dxa"/>
          </w:tcPr>
          <w:p>
            <w:pPr>
              <w:pStyle w:val="TableParagraph"/>
              <w:spacing w:line="205" w:lineRule="exact"/>
              <w:ind w:left="217" w:right="645"/>
              <w:jc w:val="center"/>
              <w:rPr>
                <w:sz w:val="20"/>
              </w:rPr>
            </w:pPr>
            <w:r>
              <w:rPr>
                <w:w w:val="95"/>
                <w:sz w:val="20"/>
              </w:rPr>
              <w:t>A16.23.060.002,</w:t>
            </w:r>
            <w:r>
              <w:rPr>
                <w:spacing w:val="54"/>
                <w:sz w:val="20"/>
              </w:rPr>
              <w:t> </w:t>
            </w:r>
            <w:r>
              <w:rPr>
                <w:spacing w:val="-2"/>
                <w:sz w:val="20"/>
              </w:rPr>
              <w:t>A16.23.060.003,</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09" w:lineRule="exact"/>
              <w:ind w:left="217" w:right="644"/>
              <w:jc w:val="center"/>
              <w:rPr>
                <w:sz w:val="20"/>
              </w:rPr>
            </w:pPr>
            <w:r>
              <w:rPr>
                <w:sz w:val="20"/>
              </w:rPr>
              <w:t>A16.23.061,</w:t>
            </w:r>
            <w:r>
              <w:rPr>
                <w:spacing w:val="-9"/>
                <w:sz w:val="20"/>
              </w:rPr>
              <w:t> </w:t>
            </w:r>
            <w:r>
              <w:rPr>
                <w:spacing w:val="-2"/>
                <w:sz w:val="20"/>
              </w:rPr>
              <w:t>A16.23.061.001,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09" w:lineRule="exact"/>
              <w:ind w:left="217" w:right="644"/>
              <w:jc w:val="center"/>
              <w:rPr>
                <w:sz w:val="20"/>
              </w:rPr>
            </w:pPr>
            <w:r>
              <w:rPr>
                <w:sz w:val="20"/>
              </w:rPr>
              <w:t>A16.23.062,</w:t>
            </w:r>
            <w:r>
              <w:rPr>
                <w:spacing w:val="-9"/>
                <w:sz w:val="20"/>
              </w:rPr>
              <w:t> </w:t>
            </w:r>
            <w:r>
              <w:rPr>
                <w:spacing w:val="-2"/>
                <w:sz w:val="20"/>
              </w:rPr>
              <w:t>A16.23.062.001,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A16.23.063,</w:t>
            </w:r>
            <w:r>
              <w:rPr>
                <w:spacing w:val="-9"/>
                <w:sz w:val="20"/>
              </w:rPr>
              <w:t> </w:t>
            </w:r>
            <w:r>
              <w:rPr>
                <w:sz w:val="20"/>
              </w:rPr>
              <w:t>A16.23.064,</w:t>
            </w:r>
            <w:r>
              <w:rPr>
                <w:spacing w:val="-9"/>
                <w:sz w:val="20"/>
              </w:rPr>
              <w:t> </w:t>
            </w:r>
            <w:r>
              <w:rPr>
                <w:spacing w:val="-2"/>
                <w:sz w:val="20"/>
              </w:rPr>
              <w:t>A16.23.065,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A16.23.066,</w:t>
            </w:r>
            <w:r>
              <w:rPr>
                <w:spacing w:val="-9"/>
                <w:sz w:val="20"/>
              </w:rPr>
              <w:t> </w:t>
            </w:r>
            <w:r>
              <w:rPr>
                <w:spacing w:val="-2"/>
                <w:sz w:val="20"/>
              </w:rPr>
              <w:t>A16.23.067.001,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A16.23.068,</w:t>
            </w:r>
            <w:r>
              <w:rPr>
                <w:spacing w:val="-9"/>
                <w:sz w:val="20"/>
              </w:rPr>
              <w:t> </w:t>
            </w:r>
            <w:r>
              <w:rPr>
                <w:spacing w:val="-2"/>
                <w:sz w:val="20"/>
              </w:rPr>
              <w:t>A16.23.068.001,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1" w:lineRule="exact"/>
              <w:ind w:left="217" w:right="644"/>
              <w:jc w:val="center"/>
              <w:rPr>
                <w:sz w:val="20"/>
              </w:rPr>
            </w:pPr>
            <w:r>
              <w:rPr>
                <w:w w:val="95"/>
                <w:sz w:val="20"/>
              </w:rPr>
              <w:t>A16.23.069.001,</w:t>
            </w:r>
            <w:r>
              <w:rPr>
                <w:spacing w:val="54"/>
                <w:sz w:val="20"/>
              </w:rPr>
              <w:t> </w:t>
            </w:r>
            <w:r>
              <w:rPr>
                <w:spacing w:val="-2"/>
                <w:sz w:val="20"/>
              </w:rPr>
              <w:t>A16.23.071,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w w:val="95"/>
                <w:sz w:val="20"/>
              </w:rPr>
              <w:t>A16.23.071.001,</w:t>
            </w:r>
            <w:r>
              <w:rPr>
                <w:spacing w:val="54"/>
                <w:sz w:val="20"/>
              </w:rPr>
              <w:t> </w:t>
            </w:r>
            <w:r>
              <w:rPr>
                <w:spacing w:val="-2"/>
                <w:sz w:val="20"/>
              </w:rPr>
              <w:t>A16.23.072,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09" w:lineRule="exact"/>
              <w:ind w:left="217" w:right="645"/>
              <w:jc w:val="center"/>
              <w:rPr>
                <w:sz w:val="20"/>
              </w:rPr>
            </w:pPr>
            <w:r>
              <w:rPr>
                <w:w w:val="95"/>
                <w:sz w:val="20"/>
              </w:rPr>
              <w:t>A16.23.073.001,</w:t>
            </w:r>
            <w:r>
              <w:rPr>
                <w:spacing w:val="54"/>
                <w:sz w:val="20"/>
              </w:rPr>
              <w:t> </w:t>
            </w:r>
            <w:r>
              <w:rPr>
                <w:spacing w:val="-2"/>
                <w:sz w:val="20"/>
              </w:rPr>
              <w:t>A16.23.074.001,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A16.23.075,</w:t>
            </w:r>
            <w:r>
              <w:rPr>
                <w:spacing w:val="-9"/>
                <w:sz w:val="20"/>
              </w:rPr>
              <w:t> </w:t>
            </w:r>
            <w:r>
              <w:rPr>
                <w:spacing w:val="-2"/>
                <w:sz w:val="20"/>
              </w:rPr>
              <w:t>A16.23.076.001,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5"/>
              <w:jc w:val="center"/>
              <w:rPr>
                <w:sz w:val="20"/>
              </w:rPr>
            </w:pPr>
            <w:r>
              <w:rPr>
                <w:w w:val="95"/>
                <w:sz w:val="20"/>
              </w:rPr>
              <w:t>A16.23.077.001,</w:t>
            </w:r>
            <w:r>
              <w:rPr>
                <w:spacing w:val="54"/>
                <w:sz w:val="20"/>
              </w:rPr>
              <w:t> </w:t>
            </w:r>
            <w:r>
              <w:rPr>
                <w:spacing w:val="-2"/>
                <w:sz w:val="20"/>
              </w:rPr>
              <w:t>A16.23.078.001,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26" w:lineRule="exact"/>
              <w:ind w:left="217" w:right="639"/>
              <w:jc w:val="center"/>
              <w:rPr>
                <w:sz w:val="20"/>
              </w:rPr>
            </w:pPr>
            <w:r>
              <w:rPr>
                <w:sz w:val="20"/>
              </w:rPr>
              <w:t>A16.23.081,</w:t>
            </w:r>
            <w:r>
              <w:rPr>
                <w:spacing w:val="-9"/>
                <w:sz w:val="20"/>
              </w:rPr>
              <w:t> </w:t>
            </w:r>
            <w:r>
              <w:rPr>
                <w:sz w:val="20"/>
              </w:rPr>
              <w:t>A16.23.082,</w:t>
            </w:r>
            <w:r>
              <w:rPr>
                <w:spacing w:val="-6"/>
                <w:sz w:val="20"/>
              </w:rPr>
              <w:t> </w:t>
            </w:r>
            <w:r>
              <w:rPr>
                <w:spacing w:val="-2"/>
                <w:sz w:val="20"/>
              </w:rPr>
              <w:t>A16.23.083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st16.009</w:t>
            </w:r>
          </w:p>
        </w:tc>
        <w:tc>
          <w:tcPr>
            <w:tcW w:w="707" w:type="dxa"/>
          </w:tcPr>
          <w:p>
            <w:pPr>
              <w:pStyle w:val="TableParagraph"/>
              <w:spacing w:line="215" w:lineRule="exact" w:before="45"/>
              <w:ind w:left="210"/>
              <w:rPr>
                <w:sz w:val="20"/>
              </w:rPr>
            </w:pPr>
            <w:r>
              <w:rPr>
                <w:spacing w:val="-5"/>
                <w:sz w:val="20"/>
              </w:rPr>
              <w:t>116</w:t>
            </w:r>
          </w:p>
        </w:tc>
        <w:tc>
          <w:tcPr>
            <w:tcW w:w="2610" w:type="dxa"/>
          </w:tcPr>
          <w:p>
            <w:pPr>
              <w:pStyle w:val="TableParagraph"/>
              <w:spacing w:line="215" w:lineRule="exact" w:before="45"/>
              <w:ind w:left="192"/>
              <w:rPr>
                <w:sz w:val="20"/>
              </w:rPr>
            </w:pPr>
            <w:r>
              <w:rPr>
                <w:sz w:val="20"/>
              </w:rPr>
              <w:t>Операции</w:t>
            </w:r>
            <w:r>
              <w:rPr>
                <w:spacing w:val="-10"/>
                <w:sz w:val="20"/>
              </w:rPr>
              <w:t> </w:t>
            </w:r>
            <w:r>
              <w:rPr>
                <w:spacing w:val="-5"/>
                <w:sz w:val="20"/>
              </w:rPr>
              <w:t>на</w:t>
            </w:r>
          </w:p>
        </w:tc>
        <w:tc>
          <w:tcPr>
            <w:tcW w:w="4230" w:type="dxa"/>
          </w:tcPr>
          <w:p>
            <w:pPr>
              <w:pStyle w:val="TableParagraph"/>
              <w:spacing w:line="215" w:lineRule="exact" w:before="45"/>
              <w:ind w:right="9"/>
              <w:jc w:val="center"/>
              <w:rPr>
                <w:sz w:val="20"/>
              </w:rPr>
            </w:pPr>
            <w:r>
              <w:rPr>
                <w:w w:val="99"/>
                <w:sz w:val="20"/>
              </w:rPr>
              <w:t>-</w:t>
            </w:r>
          </w:p>
        </w:tc>
        <w:tc>
          <w:tcPr>
            <w:tcW w:w="3947" w:type="dxa"/>
          </w:tcPr>
          <w:p>
            <w:pPr>
              <w:pStyle w:val="TableParagraph"/>
              <w:spacing w:line="215" w:lineRule="exact" w:before="45"/>
              <w:ind w:left="216" w:right="645"/>
              <w:jc w:val="center"/>
              <w:rPr>
                <w:sz w:val="20"/>
              </w:rPr>
            </w:pPr>
            <w:r>
              <w:rPr>
                <w:sz w:val="20"/>
              </w:rPr>
              <w:t>A16.24.001,</w:t>
            </w:r>
            <w:r>
              <w:rPr>
                <w:spacing w:val="-9"/>
                <w:sz w:val="20"/>
              </w:rPr>
              <w:t> </w:t>
            </w:r>
            <w:r>
              <w:rPr>
                <w:sz w:val="20"/>
              </w:rPr>
              <w:t>A16.24.002,</w:t>
            </w:r>
            <w:r>
              <w:rPr>
                <w:spacing w:val="-10"/>
                <w:sz w:val="20"/>
              </w:rPr>
              <w:t> </w:t>
            </w:r>
            <w:r>
              <w:rPr>
                <w:spacing w:val="-2"/>
                <w:sz w:val="20"/>
              </w:rPr>
              <w:t>A16.24.003,</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1,41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w w:val="95"/>
                <w:sz w:val="20"/>
              </w:rPr>
              <w:t>периферической</w:t>
            </w:r>
            <w:r>
              <w:rPr>
                <w:spacing w:val="54"/>
                <w:sz w:val="20"/>
              </w:rPr>
              <w:t> </w:t>
            </w:r>
            <w:r>
              <w:rPr>
                <w:spacing w:val="-2"/>
                <w:sz w:val="20"/>
              </w:rPr>
              <w:t>нервной</w:t>
            </w:r>
          </w:p>
        </w:tc>
        <w:tc>
          <w:tcPr>
            <w:tcW w:w="4230" w:type="dxa"/>
          </w:tcPr>
          <w:p>
            <w:pPr>
              <w:pStyle w:val="TableParagraph"/>
              <w:rPr>
                <w:sz w:val="16"/>
              </w:rPr>
            </w:pPr>
          </w:p>
        </w:tc>
        <w:tc>
          <w:tcPr>
            <w:tcW w:w="3947" w:type="dxa"/>
          </w:tcPr>
          <w:p>
            <w:pPr>
              <w:pStyle w:val="TableParagraph"/>
              <w:spacing w:line="210" w:lineRule="exact"/>
              <w:ind w:left="217" w:right="644"/>
              <w:jc w:val="center"/>
              <w:rPr>
                <w:sz w:val="20"/>
              </w:rPr>
            </w:pPr>
            <w:r>
              <w:rPr>
                <w:sz w:val="20"/>
              </w:rPr>
              <w:t>A16.24.004,</w:t>
            </w:r>
            <w:r>
              <w:rPr>
                <w:spacing w:val="-9"/>
                <w:sz w:val="20"/>
              </w:rPr>
              <w:t> </w:t>
            </w:r>
            <w:r>
              <w:rPr>
                <w:sz w:val="20"/>
              </w:rPr>
              <w:t>A16.24.006,</w:t>
            </w:r>
            <w:r>
              <w:rPr>
                <w:spacing w:val="-10"/>
                <w:sz w:val="20"/>
              </w:rPr>
              <w:t> </w:t>
            </w:r>
            <w:r>
              <w:rPr>
                <w:spacing w:val="-2"/>
                <w:sz w:val="20"/>
              </w:rPr>
              <w:t>A16.24.021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610" w:type="dxa"/>
          </w:tcPr>
          <w:p>
            <w:pPr>
              <w:pStyle w:val="TableParagraph"/>
              <w:spacing w:line="226" w:lineRule="exact"/>
              <w:ind w:left="192"/>
              <w:rPr>
                <w:sz w:val="20"/>
              </w:rPr>
            </w:pPr>
            <w:r>
              <w:rPr>
                <w:sz w:val="20"/>
              </w:rPr>
              <w:t>системе</w:t>
            </w:r>
            <w:r>
              <w:rPr>
                <w:spacing w:val="-10"/>
                <w:sz w:val="20"/>
              </w:rPr>
              <w:t> </w:t>
            </w:r>
            <w:r>
              <w:rPr>
                <w:sz w:val="20"/>
              </w:rPr>
              <w:t>(уровень</w:t>
            </w:r>
            <w:r>
              <w:rPr>
                <w:spacing w:val="-9"/>
                <w:sz w:val="20"/>
              </w:rPr>
              <w:t> </w:t>
            </w:r>
            <w:r>
              <w:rPr>
                <w:spacing w:val="-5"/>
                <w:sz w:val="20"/>
              </w:rPr>
              <w:t>1)</w:t>
            </w:r>
          </w:p>
        </w:tc>
        <w:tc>
          <w:tcPr>
            <w:tcW w:w="4230" w:type="dxa"/>
          </w:tcPr>
          <w:p>
            <w:pPr>
              <w:pStyle w:val="TableParagraph"/>
              <w:rPr>
                <w:sz w:val="18"/>
              </w:rPr>
            </w:pPr>
          </w:p>
        </w:tc>
        <w:tc>
          <w:tcPr>
            <w:tcW w:w="3947"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st16.010</w:t>
            </w:r>
          </w:p>
        </w:tc>
        <w:tc>
          <w:tcPr>
            <w:tcW w:w="707" w:type="dxa"/>
          </w:tcPr>
          <w:p>
            <w:pPr>
              <w:pStyle w:val="TableParagraph"/>
              <w:spacing w:line="214" w:lineRule="exact" w:before="46"/>
              <w:ind w:left="210"/>
              <w:rPr>
                <w:sz w:val="20"/>
              </w:rPr>
            </w:pPr>
            <w:r>
              <w:rPr>
                <w:spacing w:val="-5"/>
                <w:sz w:val="20"/>
              </w:rPr>
              <w:t>117</w:t>
            </w:r>
          </w:p>
        </w:tc>
        <w:tc>
          <w:tcPr>
            <w:tcW w:w="2610" w:type="dxa"/>
          </w:tcPr>
          <w:p>
            <w:pPr>
              <w:pStyle w:val="TableParagraph"/>
              <w:spacing w:line="214" w:lineRule="exact" w:before="46"/>
              <w:ind w:left="192"/>
              <w:rPr>
                <w:sz w:val="20"/>
              </w:rPr>
            </w:pPr>
            <w:r>
              <w:rPr>
                <w:sz w:val="20"/>
              </w:rPr>
              <w:t>Операции</w:t>
            </w:r>
            <w:r>
              <w:rPr>
                <w:spacing w:val="-10"/>
                <w:sz w:val="20"/>
              </w:rPr>
              <w:t> </w:t>
            </w:r>
            <w:r>
              <w:rPr>
                <w:spacing w:val="-5"/>
                <w:sz w:val="20"/>
              </w:rPr>
              <w:t>на</w:t>
            </w:r>
          </w:p>
        </w:tc>
        <w:tc>
          <w:tcPr>
            <w:tcW w:w="4230" w:type="dxa"/>
          </w:tcPr>
          <w:p>
            <w:pPr>
              <w:pStyle w:val="TableParagraph"/>
              <w:spacing w:line="214" w:lineRule="exact" w:before="46"/>
              <w:ind w:right="9"/>
              <w:jc w:val="center"/>
              <w:rPr>
                <w:sz w:val="20"/>
              </w:rPr>
            </w:pPr>
            <w:r>
              <w:rPr>
                <w:w w:val="99"/>
                <w:sz w:val="20"/>
              </w:rPr>
              <w:t>-</w:t>
            </w:r>
          </w:p>
        </w:tc>
        <w:tc>
          <w:tcPr>
            <w:tcW w:w="3947" w:type="dxa"/>
          </w:tcPr>
          <w:p>
            <w:pPr>
              <w:pStyle w:val="TableParagraph"/>
              <w:spacing w:line="214" w:lineRule="exact" w:before="46"/>
              <w:ind w:left="217" w:right="641"/>
              <w:jc w:val="center"/>
              <w:rPr>
                <w:sz w:val="20"/>
              </w:rPr>
            </w:pPr>
            <w:r>
              <w:rPr>
                <w:sz w:val="20"/>
              </w:rPr>
              <w:t>A16.04.032,</w:t>
            </w:r>
            <w:r>
              <w:rPr>
                <w:spacing w:val="-9"/>
                <w:sz w:val="20"/>
              </w:rPr>
              <w:t> </w:t>
            </w:r>
            <w:r>
              <w:rPr>
                <w:spacing w:val="-2"/>
                <w:sz w:val="20"/>
              </w:rPr>
              <w:t>A16.24.002.001,</w:t>
            </w:r>
          </w:p>
        </w:tc>
        <w:tc>
          <w:tcPr>
            <w:tcW w:w="1574" w:type="dxa"/>
          </w:tcPr>
          <w:p>
            <w:pPr>
              <w:pStyle w:val="TableParagraph"/>
              <w:spacing w:line="214" w:lineRule="exact" w:before="46"/>
              <w:ind w:left="646"/>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2,19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09" w:lineRule="exact"/>
              <w:ind w:left="192"/>
              <w:rPr>
                <w:sz w:val="20"/>
              </w:rPr>
            </w:pPr>
            <w:r>
              <w:rPr>
                <w:w w:val="95"/>
                <w:sz w:val="20"/>
              </w:rPr>
              <w:t>периферической</w:t>
            </w:r>
            <w:r>
              <w:rPr>
                <w:spacing w:val="54"/>
                <w:sz w:val="20"/>
              </w:rPr>
              <w:t> </w:t>
            </w:r>
            <w:r>
              <w:rPr>
                <w:spacing w:val="-2"/>
                <w:sz w:val="20"/>
              </w:rPr>
              <w:t>нервной</w:t>
            </w:r>
          </w:p>
        </w:tc>
        <w:tc>
          <w:tcPr>
            <w:tcW w:w="4230" w:type="dxa"/>
          </w:tcPr>
          <w:p>
            <w:pPr>
              <w:pStyle w:val="TableParagraph"/>
              <w:rPr>
                <w:sz w:val="16"/>
              </w:rPr>
            </w:pPr>
          </w:p>
        </w:tc>
        <w:tc>
          <w:tcPr>
            <w:tcW w:w="3947" w:type="dxa"/>
          </w:tcPr>
          <w:p>
            <w:pPr>
              <w:pStyle w:val="TableParagraph"/>
              <w:spacing w:line="209" w:lineRule="exact"/>
              <w:ind w:left="217" w:right="644"/>
              <w:jc w:val="center"/>
              <w:rPr>
                <w:sz w:val="20"/>
              </w:rPr>
            </w:pPr>
            <w:r>
              <w:rPr>
                <w:w w:val="95"/>
                <w:sz w:val="20"/>
              </w:rPr>
              <w:t>A16.24.003.001,</w:t>
            </w:r>
            <w:r>
              <w:rPr>
                <w:spacing w:val="54"/>
                <w:sz w:val="20"/>
              </w:rPr>
              <w:t> </w:t>
            </w:r>
            <w:r>
              <w:rPr>
                <w:spacing w:val="-2"/>
                <w:sz w:val="20"/>
              </w:rPr>
              <w:t>A16.24.005,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1" w:lineRule="exact"/>
              <w:ind w:left="192"/>
              <w:rPr>
                <w:sz w:val="20"/>
              </w:rPr>
            </w:pPr>
            <w:r>
              <w:rPr>
                <w:sz w:val="20"/>
              </w:rPr>
              <w:t>системе</w:t>
            </w:r>
            <w:r>
              <w:rPr>
                <w:spacing w:val="-10"/>
                <w:sz w:val="20"/>
              </w:rPr>
              <w:t> </w:t>
            </w:r>
            <w:r>
              <w:rPr>
                <w:sz w:val="20"/>
              </w:rPr>
              <w:t>(уровень</w:t>
            </w:r>
            <w:r>
              <w:rPr>
                <w:spacing w:val="-9"/>
                <w:sz w:val="20"/>
              </w:rPr>
              <w:t> </w:t>
            </w:r>
            <w:r>
              <w:rPr>
                <w:spacing w:val="-5"/>
                <w:sz w:val="20"/>
              </w:rPr>
              <w:t>2)</w:t>
            </w:r>
          </w:p>
        </w:tc>
        <w:tc>
          <w:tcPr>
            <w:tcW w:w="4230" w:type="dxa"/>
          </w:tcPr>
          <w:p>
            <w:pPr>
              <w:pStyle w:val="TableParagraph"/>
              <w:rPr>
                <w:sz w:val="16"/>
              </w:rPr>
            </w:pPr>
          </w:p>
        </w:tc>
        <w:tc>
          <w:tcPr>
            <w:tcW w:w="3947" w:type="dxa"/>
          </w:tcPr>
          <w:p>
            <w:pPr>
              <w:pStyle w:val="TableParagraph"/>
              <w:spacing w:line="211" w:lineRule="exact"/>
              <w:ind w:left="216" w:right="645"/>
              <w:jc w:val="center"/>
              <w:rPr>
                <w:sz w:val="20"/>
              </w:rPr>
            </w:pPr>
            <w:r>
              <w:rPr>
                <w:sz w:val="20"/>
              </w:rPr>
              <w:t>A16.24.008,</w:t>
            </w:r>
            <w:r>
              <w:rPr>
                <w:spacing w:val="-9"/>
                <w:sz w:val="20"/>
              </w:rPr>
              <w:t> </w:t>
            </w:r>
            <w:r>
              <w:rPr>
                <w:sz w:val="20"/>
              </w:rPr>
              <w:t>A16.24.009,</w:t>
            </w:r>
            <w:r>
              <w:rPr>
                <w:spacing w:val="-10"/>
                <w:sz w:val="20"/>
              </w:rPr>
              <w:t> </w:t>
            </w:r>
            <w:r>
              <w:rPr>
                <w:spacing w:val="-2"/>
                <w:sz w:val="20"/>
              </w:rPr>
              <w:t>A16.24.010,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0" w:lineRule="exact"/>
              <w:ind w:left="216" w:right="645"/>
              <w:jc w:val="center"/>
              <w:rPr>
                <w:sz w:val="20"/>
              </w:rPr>
            </w:pPr>
            <w:r>
              <w:rPr>
                <w:sz w:val="20"/>
              </w:rPr>
              <w:t>A16.24.011,</w:t>
            </w:r>
            <w:r>
              <w:rPr>
                <w:spacing w:val="-9"/>
                <w:sz w:val="20"/>
              </w:rPr>
              <w:t> </w:t>
            </w:r>
            <w:r>
              <w:rPr>
                <w:sz w:val="20"/>
              </w:rPr>
              <w:t>A16.24.012,</w:t>
            </w:r>
            <w:r>
              <w:rPr>
                <w:spacing w:val="-10"/>
                <w:sz w:val="20"/>
              </w:rPr>
              <w:t> </w:t>
            </w:r>
            <w:r>
              <w:rPr>
                <w:spacing w:val="-2"/>
                <w:sz w:val="20"/>
              </w:rPr>
              <w:t>A16.24.013,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0" w:lineRule="exact"/>
              <w:ind w:left="217" w:right="644"/>
              <w:jc w:val="center"/>
              <w:rPr>
                <w:sz w:val="20"/>
              </w:rPr>
            </w:pPr>
            <w:r>
              <w:rPr>
                <w:sz w:val="20"/>
              </w:rPr>
              <w:t>A16.24.015,</w:t>
            </w:r>
            <w:r>
              <w:rPr>
                <w:spacing w:val="-9"/>
                <w:sz w:val="20"/>
              </w:rPr>
              <w:t> </w:t>
            </w:r>
            <w:r>
              <w:rPr>
                <w:spacing w:val="-2"/>
                <w:sz w:val="20"/>
              </w:rPr>
              <w:t>A16.24.015.002,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09" w:lineRule="exact"/>
              <w:ind w:left="217" w:right="644"/>
              <w:jc w:val="center"/>
              <w:rPr>
                <w:sz w:val="20"/>
              </w:rPr>
            </w:pPr>
            <w:r>
              <w:rPr>
                <w:w w:val="95"/>
                <w:sz w:val="20"/>
              </w:rPr>
              <w:t>A16.24.015.003,</w:t>
            </w:r>
            <w:r>
              <w:rPr>
                <w:spacing w:val="54"/>
                <w:sz w:val="20"/>
              </w:rPr>
              <w:t> </w:t>
            </w:r>
            <w:r>
              <w:rPr>
                <w:spacing w:val="-2"/>
                <w:sz w:val="20"/>
              </w:rPr>
              <w:t>A16.24.016,</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610" w:type="dxa"/>
          </w:tcPr>
          <w:p>
            <w:pPr>
              <w:pStyle w:val="TableParagraph"/>
              <w:rPr>
                <w:sz w:val="18"/>
              </w:rPr>
            </w:pPr>
          </w:p>
        </w:tc>
        <w:tc>
          <w:tcPr>
            <w:tcW w:w="4230" w:type="dxa"/>
          </w:tcPr>
          <w:p>
            <w:pPr>
              <w:pStyle w:val="TableParagraph"/>
              <w:rPr>
                <w:sz w:val="18"/>
              </w:rPr>
            </w:pPr>
          </w:p>
        </w:tc>
        <w:tc>
          <w:tcPr>
            <w:tcW w:w="3947" w:type="dxa"/>
          </w:tcPr>
          <w:p>
            <w:pPr>
              <w:pStyle w:val="TableParagraph"/>
              <w:spacing w:line="224" w:lineRule="exact"/>
              <w:ind w:left="217" w:right="644"/>
              <w:jc w:val="center"/>
              <w:rPr>
                <w:sz w:val="20"/>
              </w:rPr>
            </w:pPr>
            <w:r>
              <w:rPr>
                <w:sz w:val="20"/>
              </w:rPr>
              <w:t>A16.24.017,</w:t>
            </w:r>
            <w:r>
              <w:rPr>
                <w:spacing w:val="-9"/>
                <w:sz w:val="20"/>
              </w:rPr>
              <w:t> </w:t>
            </w:r>
            <w:r>
              <w:rPr>
                <w:sz w:val="20"/>
              </w:rPr>
              <w:t>A16.24.018,</w:t>
            </w:r>
            <w:r>
              <w:rPr>
                <w:spacing w:val="-10"/>
                <w:sz w:val="20"/>
              </w:rPr>
              <w:t> </w:t>
            </w:r>
            <w:r>
              <w:rPr>
                <w:spacing w:val="-2"/>
                <w:sz w:val="20"/>
              </w:rPr>
              <w:t>A16.24.019</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st16.011</w:t>
            </w:r>
          </w:p>
        </w:tc>
        <w:tc>
          <w:tcPr>
            <w:tcW w:w="707" w:type="dxa"/>
          </w:tcPr>
          <w:p>
            <w:pPr>
              <w:pStyle w:val="TableParagraph"/>
              <w:spacing w:line="215" w:lineRule="exact" w:before="46"/>
              <w:ind w:left="210"/>
              <w:rPr>
                <w:sz w:val="20"/>
              </w:rPr>
            </w:pPr>
            <w:r>
              <w:rPr>
                <w:spacing w:val="-5"/>
                <w:sz w:val="20"/>
              </w:rPr>
              <w:t>118</w:t>
            </w:r>
          </w:p>
        </w:tc>
        <w:tc>
          <w:tcPr>
            <w:tcW w:w="2610" w:type="dxa"/>
          </w:tcPr>
          <w:p>
            <w:pPr>
              <w:pStyle w:val="TableParagraph"/>
              <w:spacing w:line="215" w:lineRule="exact" w:before="46"/>
              <w:ind w:left="192"/>
              <w:rPr>
                <w:sz w:val="20"/>
              </w:rPr>
            </w:pPr>
            <w:r>
              <w:rPr>
                <w:sz w:val="20"/>
              </w:rPr>
              <w:t>Операции</w:t>
            </w:r>
            <w:r>
              <w:rPr>
                <w:spacing w:val="-10"/>
                <w:sz w:val="20"/>
              </w:rPr>
              <w:t> </w:t>
            </w:r>
            <w:r>
              <w:rPr>
                <w:spacing w:val="-5"/>
                <w:sz w:val="20"/>
              </w:rPr>
              <w:t>на</w:t>
            </w:r>
          </w:p>
        </w:tc>
        <w:tc>
          <w:tcPr>
            <w:tcW w:w="4230" w:type="dxa"/>
          </w:tcPr>
          <w:p>
            <w:pPr>
              <w:pStyle w:val="TableParagraph"/>
              <w:spacing w:line="215" w:lineRule="exact" w:before="46"/>
              <w:ind w:right="9"/>
              <w:jc w:val="center"/>
              <w:rPr>
                <w:sz w:val="20"/>
              </w:rPr>
            </w:pPr>
            <w:r>
              <w:rPr>
                <w:w w:val="99"/>
                <w:sz w:val="20"/>
              </w:rPr>
              <w:t>-</w:t>
            </w:r>
          </w:p>
        </w:tc>
        <w:tc>
          <w:tcPr>
            <w:tcW w:w="3947" w:type="dxa"/>
          </w:tcPr>
          <w:p>
            <w:pPr>
              <w:pStyle w:val="TableParagraph"/>
              <w:spacing w:line="215" w:lineRule="exact" w:before="46"/>
              <w:ind w:left="217" w:right="645"/>
              <w:jc w:val="center"/>
              <w:rPr>
                <w:sz w:val="20"/>
              </w:rPr>
            </w:pPr>
            <w:r>
              <w:rPr>
                <w:w w:val="95"/>
                <w:sz w:val="20"/>
              </w:rPr>
              <w:t>A16.04.032.001,</w:t>
            </w:r>
            <w:r>
              <w:rPr>
                <w:spacing w:val="54"/>
                <w:sz w:val="20"/>
              </w:rPr>
              <w:t> </w:t>
            </w:r>
            <w:r>
              <w:rPr>
                <w:spacing w:val="-2"/>
                <w:sz w:val="20"/>
              </w:rPr>
              <w:t>A16.24.006.001,</w:t>
            </w:r>
          </w:p>
        </w:tc>
        <w:tc>
          <w:tcPr>
            <w:tcW w:w="1574" w:type="dxa"/>
          </w:tcPr>
          <w:p>
            <w:pPr>
              <w:pStyle w:val="TableParagraph"/>
              <w:spacing w:line="215" w:lineRule="exact" w:before="46"/>
              <w:ind w:left="646"/>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2,42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w w:val="95"/>
                <w:sz w:val="20"/>
              </w:rPr>
              <w:t>периферической</w:t>
            </w:r>
            <w:r>
              <w:rPr>
                <w:spacing w:val="54"/>
                <w:sz w:val="20"/>
              </w:rPr>
              <w:t> </w:t>
            </w:r>
            <w:r>
              <w:rPr>
                <w:spacing w:val="-2"/>
                <w:sz w:val="20"/>
              </w:rPr>
              <w:t>нервной</w:t>
            </w:r>
          </w:p>
        </w:tc>
        <w:tc>
          <w:tcPr>
            <w:tcW w:w="4230" w:type="dxa"/>
          </w:tcPr>
          <w:p>
            <w:pPr>
              <w:pStyle w:val="TableParagraph"/>
              <w:rPr>
                <w:sz w:val="16"/>
              </w:rPr>
            </w:pPr>
          </w:p>
        </w:tc>
        <w:tc>
          <w:tcPr>
            <w:tcW w:w="3947" w:type="dxa"/>
          </w:tcPr>
          <w:p>
            <w:pPr>
              <w:pStyle w:val="TableParagraph"/>
              <w:spacing w:line="210" w:lineRule="exact"/>
              <w:ind w:left="217" w:right="642"/>
              <w:jc w:val="center"/>
              <w:rPr>
                <w:sz w:val="20"/>
              </w:rPr>
            </w:pPr>
            <w:r>
              <w:rPr>
                <w:sz w:val="20"/>
              </w:rPr>
              <w:t>A16.24.007,</w:t>
            </w:r>
            <w:r>
              <w:rPr>
                <w:spacing w:val="-9"/>
                <w:sz w:val="20"/>
              </w:rPr>
              <w:t> </w:t>
            </w:r>
            <w:r>
              <w:rPr>
                <w:spacing w:val="-2"/>
                <w:sz w:val="20"/>
              </w:rPr>
              <w:t>A16.24.014,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09" w:lineRule="exact"/>
              <w:ind w:left="192"/>
              <w:rPr>
                <w:sz w:val="20"/>
              </w:rPr>
            </w:pPr>
            <w:r>
              <w:rPr>
                <w:sz w:val="20"/>
              </w:rPr>
              <w:t>системе</w:t>
            </w:r>
            <w:r>
              <w:rPr>
                <w:spacing w:val="-10"/>
                <w:sz w:val="20"/>
              </w:rPr>
              <w:t> </w:t>
            </w:r>
            <w:r>
              <w:rPr>
                <w:sz w:val="20"/>
              </w:rPr>
              <w:t>(уровень</w:t>
            </w:r>
            <w:r>
              <w:rPr>
                <w:spacing w:val="-9"/>
                <w:sz w:val="20"/>
              </w:rPr>
              <w:t> </w:t>
            </w:r>
            <w:r>
              <w:rPr>
                <w:spacing w:val="-5"/>
                <w:sz w:val="20"/>
              </w:rPr>
              <w:t>3)</w:t>
            </w:r>
          </w:p>
        </w:tc>
        <w:tc>
          <w:tcPr>
            <w:tcW w:w="4230" w:type="dxa"/>
          </w:tcPr>
          <w:p>
            <w:pPr>
              <w:pStyle w:val="TableParagraph"/>
              <w:rPr>
                <w:sz w:val="16"/>
              </w:rPr>
            </w:pPr>
          </w:p>
        </w:tc>
        <w:tc>
          <w:tcPr>
            <w:tcW w:w="3947" w:type="dxa"/>
          </w:tcPr>
          <w:p>
            <w:pPr>
              <w:pStyle w:val="TableParagraph"/>
              <w:spacing w:line="209" w:lineRule="exact"/>
              <w:ind w:left="217" w:right="645"/>
              <w:jc w:val="center"/>
              <w:rPr>
                <w:sz w:val="20"/>
              </w:rPr>
            </w:pPr>
            <w:r>
              <w:rPr>
                <w:w w:val="95"/>
                <w:sz w:val="20"/>
              </w:rPr>
              <w:t>A16.24.014.001,</w:t>
            </w:r>
            <w:r>
              <w:rPr>
                <w:spacing w:val="54"/>
                <w:sz w:val="20"/>
              </w:rPr>
              <w:t> </w:t>
            </w:r>
            <w:r>
              <w:rPr>
                <w:spacing w:val="-2"/>
                <w:sz w:val="20"/>
              </w:rPr>
              <w:t>A16.24.015.001,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09" w:lineRule="exact"/>
              <w:ind w:left="217" w:right="645"/>
              <w:jc w:val="center"/>
              <w:rPr>
                <w:sz w:val="20"/>
              </w:rPr>
            </w:pPr>
            <w:r>
              <w:rPr>
                <w:w w:val="95"/>
                <w:sz w:val="20"/>
              </w:rPr>
              <w:t>A16.24.017.001,</w:t>
            </w:r>
            <w:r>
              <w:rPr>
                <w:spacing w:val="54"/>
                <w:sz w:val="20"/>
              </w:rPr>
              <w:t> </w:t>
            </w:r>
            <w:r>
              <w:rPr>
                <w:spacing w:val="-2"/>
                <w:sz w:val="20"/>
              </w:rPr>
              <w:t>A16.24.019.001,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0" w:lineRule="exact"/>
              <w:ind w:left="217" w:right="645"/>
              <w:jc w:val="center"/>
              <w:rPr>
                <w:sz w:val="20"/>
              </w:rPr>
            </w:pPr>
            <w:r>
              <w:rPr>
                <w:w w:val="95"/>
                <w:sz w:val="20"/>
              </w:rPr>
              <w:t>A16.24.019.002,</w:t>
            </w:r>
            <w:r>
              <w:rPr>
                <w:spacing w:val="54"/>
                <w:sz w:val="20"/>
              </w:rPr>
              <w:t> </w:t>
            </w:r>
            <w:r>
              <w:rPr>
                <w:spacing w:val="-2"/>
                <w:sz w:val="20"/>
              </w:rPr>
              <w:t>A16.24.019.003,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1" w:lineRule="exact"/>
              <w:ind w:left="217" w:right="644"/>
              <w:jc w:val="center"/>
              <w:rPr>
                <w:sz w:val="20"/>
              </w:rPr>
            </w:pPr>
            <w:r>
              <w:rPr>
                <w:sz w:val="20"/>
              </w:rPr>
              <w:t>A16.24.020,</w:t>
            </w:r>
            <w:r>
              <w:rPr>
                <w:spacing w:val="-9"/>
                <w:sz w:val="20"/>
              </w:rPr>
              <w:t> </w:t>
            </w:r>
            <w:r>
              <w:rPr>
                <w:spacing w:val="-2"/>
                <w:sz w:val="20"/>
              </w:rPr>
              <w:t>A16.24.020.001,</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610" w:type="dxa"/>
          </w:tcPr>
          <w:p>
            <w:pPr>
              <w:pStyle w:val="TableParagraph"/>
              <w:rPr>
                <w:sz w:val="18"/>
              </w:rPr>
            </w:pPr>
          </w:p>
        </w:tc>
        <w:tc>
          <w:tcPr>
            <w:tcW w:w="4230" w:type="dxa"/>
          </w:tcPr>
          <w:p>
            <w:pPr>
              <w:pStyle w:val="TableParagraph"/>
              <w:rPr>
                <w:sz w:val="18"/>
              </w:rPr>
            </w:pPr>
          </w:p>
        </w:tc>
        <w:tc>
          <w:tcPr>
            <w:tcW w:w="3947" w:type="dxa"/>
          </w:tcPr>
          <w:p>
            <w:pPr>
              <w:pStyle w:val="TableParagraph"/>
              <w:spacing w:line="226" w:lineRule="exact"/>
              <w:ind w:left="217" w:right="640"/>
              <w:jc w:val="center"/>
              <w:rPr>
                <w:sz w:val="20"/>
              </w:rPr>
            </w:pPr>
            <w:r>
              <w:rPr>
                <w:spacing w:val="-2"/>
                <w:sz w:val="20"/>
              </w:rPr>
              <w:t>A22.24.004</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st16.012</w:t>
            </w:r>
          </w:p>
        </w:tc>
        <w:tc>
          <w:tcPr>
            <w:tcW w:w="707" w:type="dxa"/>
          </w:tcPr>
          <w:p>
            <w:pPr>
              <w:pStyle w:val="TableParagraph"/>
              <w:spacing w:line="215" w:lineRule="exact" w:before="45"/>
              <w:ind w:left="210"/>
              <w:rPr>
                <w:sz w:val="20"/>
              </w:rPr>
            </w:pPr>
            <w:r>
              <w:rPr>
                <w:spacing w:val="-5"/>
                <w:sz w:val="20"/>
              </w:rPr>
              <w:t>119</w:t>
            </w:r>
          </w:p>
        </w:tc>
        <w:tc>
          <w:tcPr>
            <w:tcW w:w="2610" w:type="dxa"/>
          </w:tcPr>
          <w:p>
            <w:pPr>
              <w:pStyle w:val="TableParagraph"/>
              <w:spacing w:line="215" w:lineRule="exact" w:before="45"/>
              <w:ind w:left="192"/>
              <w:rPr>
                <w:sz w:val="20"/>
              </w:rPr>
            </w:pPr>
            <w:r>
              <w:rPr>
                <w:spacing w:val="-2"/>
                <w:sz w:val="20"/>
              </w:rPr>
              <w:t>Доброкачественные</w:t>
            </w:r>
          </w:p>
        </w:tc>
        <w:tc>
          <w:tcPr>
            <w:tcW w:w="4230" w:type="dxa"/>
          </w:tcPr>
          <w:p>
            <w:pPr>
              <w:pStyle w:val="TableParagraph"/>
              <w:spacing w:line="215" w:lineRule="exact" w:before="45"/>
              <w:ind w:left="203" w:right="216"/>
              <w:jc w:val="center"/>
              <w:rPr>
                <w:sz w:val="20"/>
              </w:rPr>
            </w:pPr>
            <w:r>
              <w:rPr>
                <w:sz w:val="20"/>
              </w:rPr>
              <w:t>D32,</w:t>
            </w:r>
            <w:r>
              <w:rPr>
                <w:spacing w:val="-5"/>
                <w:sz w:val="20"/>
              </w:rPr>
              <w:t> </w:t>
            </w:r>
            <w:r>
              <w:rPr>
                <w:sz w:val="20"/>
              </w:rPr>
              <w:t>D32.0,</w:t>
            </w:r>
            <w:r>
              <w:rPr>
                <w:spacing w:val="-5"/>
                <w:sz w:val="20"/>
              </w:rPr>
              <w:t> </w:t>
            </w:r>
            <w:r>
              <w:rPr>
                <w:sz w:val="20"/>
              </w:rPr>
              <w:t>D32.1,</w:t>
            </w:r>
            <w:r>
              <w:rPr>
                <w:spacing w:val="-5"/>
                <w:sz w:val="20"/>
              </w:rPr>
              <w:t> </w:t>
            </w:r>
            <w:r>
              <w:rPr>
                <w:sz w:val="20"/>
              </w:rPr>
              <w:t>D32.9,</w:t>
            </w:r>
            <w:r>
              <w:rPr>
                <w:spacing w:val="-5"/>
                <w:sz w:val="20"/>
              </w:rPr>
              <w:t> </w:t>
            </w:r>
            <w:r>
              <w:rPr>
                <w:sz w:val="20"/>
              </w:rPr>
              <w:t>D33,</w:t>
            </w:r>
            <w:r>
              <w:rPr>
                <w:spacing w:val="-5"/>
                <w:sz w:val="20"/>
              </w:rPr>
              <w:t> </w:t>
            </w:r>
            <w:r>
              <w:rPr>
                <w:sz w:val="20"/>
              </w:rPr>
              <w:t>D33.0,</w:t>
            </w:r>
            <w:r>
              <w:rPr>
                <w:spacing w:val="-5"/>
                <w:sz w:val="20"/>
              </w:rPr>
              <w:t> </w:t>
            </w:r>
            <w:r>
              <w:rPr>
                <w:spacing w:val="-2"/>
                <w:sz w:val="20"/>
              </w:rPr>
              <w:t>D33.1,</w:t>
            </w:r>
          </w:p>
        </w:tc>
        <w:tc>
          <w:tcPr>
            <w:tcW w:w="3947" w:type="dxa"/>
          </w:tcPr>
          <w:p>
            <w:pPr>
              <w:pStyle w:val="TableParagraph"/>
              <w:spacing w:line="215" w:lineRule="exact" w:before="45"/>
              <w:ind w:right="424"/>
              <w:jc w:val="center"/>
              <w:rPr>
                <w:sz w:val="20"/>
              </w:rPr>
            </w:pPr>
            <w:r>
              <w:rPr>
                <w:w w:val="99"/>
                <w:sz w:val="20"/>
              </w:rPr>
              <w:t>-</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1,02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w w:val="95"/>
                <w:sz w:val="20"/>
              </w:rPr>
              <w:t>новообразования</w:t>
            </w:r>
            <w:r>
              <w:rPr>
                <w:spacing w:val="55"/>
                <w:sz w:val="20"/>
              </w:rPr>
              <w:t> </w:t>
            </w:r>
            <w:r>
              <w:rPr>
                <w:spacing w:val="-2"/>
                <w:sz w:val="20"/>
              </w:rPr>
              <w:t>нервной</w:t>
            </w:r>
          </w:p>
        </w:tc>
        <w:tc>
          <w:tcPr>
            <w:tcW w:w="4230" w:type="dxa"/>
          </w:tcPr>
          <w:p>
            <w:pPr>
              <w:pStyle w:val="TableParagraph"/>
              <w:spacing w:line="210" w:lineRule="exact"/>
              <w:ind w:left="203" w:right="215"/>
              <w:jc w:val="center"/>
              <w:rPr>
                <w:sz w:val="20"/>
              </w:rPr>
            </w:pPr>
            <w:r>
              <w:rPr>
                <w:sz w:val="20"/>
              </w:rPr>
              <w:t>D33.2,</w:t>
            </w:r>
            <w:r>
              <w:rPr>
                <w:spacing w:val="-4"/>
                <w:sz w:val="20"/>
              </w:rPr>
              <w:t> </w:t>
            </w:r>
            <w:r>
              <w:rPr>
                <w:sz w:val="20"/>
              </w:rPr>
              <w:t>D33.3,</w:t>
            </w:r>
            <w:r>
              <w:rPr>
                <w:spacing w:val="-6"/>
                <w:sz w:val="20"/>
              </w:rPr>
              <w:t> </w:t>
            </w:r>
            <w:r>
              <w:rPr>
                <w:sz w:val="20"/>
              </w:rPr>
              <w:t>D33.4,</w:t>
            </w:r>
            <w:r>
              <w:rPr>
                <w:spacing w:val="-4"/>
                <w:sz w:val="20"/>
              </w:rPr>
              <w:t> </w:t>
            </w:r>
            <w:r>
              <w:rPr>
                <w:sz w:val="20"/>
              </w:rPr>
              <w:t>D33.7,</w:t>
            </w:r>
            <w:r>
              <w:rPr>
                <w:spacing w:val="-6"/>
                <w:sz w:val="20"/>
              </w:rPr>
              <w:t> </w:t>
            </w:r>
            <w:r>
              <w:rPr>
                <w:sz w:val="20"/>
              </w:rPr>
              <w:t>D33.9,</w:t>
            </w:r>
            <w:r>
              <w:rPr>
                <w:spacing w:val="-4"/>
                <w:sz w:val="20"/>
              </w:rPr>
              <w:t> </w:t>
            </w:r>
            <w:r>
              <w:rPr>
                <w:spacing w:val="-2"/>
                <w:sz w:val="20"/>
              </w:rPr>
              <w:t>D35.4,</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spacing w:val="-2"/>
                <w:sz w:val="20"/>
              </w:rPr>
              <w:t>системы</w:t>
            </w:r>
          </w:p>
        </w:tc>
        <w:tc>
          <w:tcPr>
            <w:tcW w:w="4230" w:type="dxa"/>
          </w:tcPr>
          <w:p>
            <w:pPr>
              <w:pStyle w:val="TableParagraph"/>
              <w:spacing w:line="210" w:lineRule="exact"/>
              <w:ind w:left="203" w:right="216"/>
              <w:jc w:val="center"/>
              <w:rPr>
                <w:sz w:val="20"/>
              </w:rPr>
            </w:pPr>
            <w:r>
              <w:rPr>
                <w:sz w:val="20"/>
              </w:rPr>
              <w:t>D35.5,</w:t>
            </w:r>
            <w:r>
              <w:rPr>
                <w:spacing w:val="-6"/>
                <w:sz w:val="20"/>
              </w:rPr>
              <w:t> </w:t>
            </w:r>
            <w:r>
              <w:rPr>
                <w:sz w:val="20"/>
              </w:rPr>
              <w:t>D35.6,</w:t>
            </w:r>
            <w:r>
              <w:rPr>
                <w:spacing w:val="-7"/>
                <w:sz w:val="20"/>
              </w:rPr>
              <w:t> </w:t>
            </w:r>
            <w:r>
              <w:rPr>
                <w:sz w:val="20"/>
              </w:rPr>
              <w:t>D42,</w:t>
            </w:r>
            <w:r>
              <w:rPr>
                <w:spacing w:val="-5"/>
                <w:sz w:val="20"/>
              </w:rPr>
              <w:t> </w:t>
            </w:r>
            <w:r>
              <w:rPr>
                <w:sz w:val="20"/>
              </w:rPr>
              <w:t>D42.0,</w:t>
            </w:r>
            <w:r>
              <w:rPr>
                <w:spacing w:val="-5"/>
                <w:sz w:val="20"/>
              </w:rPr>
              <w:t> </w:t>
            </w:r>
            <w:r>
              <w:rPr>
                <w:sz w:val="20"/>
              </w:rPr>
              <w:t>D42.1,</w:t>
            </w:r>
            <w:r>
              <w:rPr>
                <w:spacing w:val="-5"/>
                <w:sz w:val="20"/>
              </w:rPr>
              <w:t> </w:t>
            </w:r>
            <w:r>
              <w:rPr>
                <w:sz w:val="20"/>
              </w:rPr>
              <w:t>D42.9,</w:t>
            </w:r>
            <w:r>
              <w:rPr>
                <w:spacing w:val="-6"/>
                <w:sz w:val="20"/>
              </w:rPr>
              <w:t> </w:t>
            </w:r>
            <w:r>
              <w:rPr>
                <w:spacing w:val="-4"/>
                <w:sz w:val="20"/>
              </w:rPr>
              <w:t>D43,</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spacing w:line="210" w:lineRule="exact"/>
              <w:ind w:left="203" w:right="215"/>
              <w:jc w:val="center"/>
              <w:rPr>
                <w:sz w:val="20"/>
              </w:rPr>
            </w:pPr>
            <w:r>
              <w:rPr>
                <w:sz w:val="20"/>
              </w:rPr>
              <w:t>D43.0,</w:t>
            </w:r>
            <w:r>
              <w:rPr>
                <w:spacing w:val="-4"/>
                <w:sz w:val="20"/>
              </w:rPr>
              <w:t> </w:t>
            </w:r>
            <w:r>
              <w:rPr>
                <w:sz w:val="20"/>
              </w:rPr>
              <w:t>D43.1,</w:t>
            </w:r>
            <w:r>
              <w:rPr>
                <w:spacing w:val="-6"/>
                <w:sz w:val="20"/>
              </w:rPr>
              <w:t> </w:t>
            </w:r>
            <w:r>
              <w:rPr>
                <w:sz w:val="20"/>
              </w:rPr>
              <w:t>D43.2,</w:t>
            </w:r>
            <w:r>
              <w:rPr>
                <w:spacing w:val="-4"/>
                <w:sz w:val="20"/>
              </w:rPr>
              <w:t> </w:t>
            </w:r>
            <w:r>
              <w:rPr>
                <w:sz w:val="20"/>
              </w:rPr>
              <w:t>D43.3,</w:t>
            </w:r>
            <w:r>
              <w:rPr>
                <w:spacing w:val="-6"/>
                <w:sz w:val="20"/>
              </w:rPr>
              <w:t> </w:t>
            </w:r>
            <w:r>
              <w:rPr>
                <w:sz w:val="20"/>
              </w:rPr>
              <w:t>D43.4,</w:t>
            </w:r>
            <w:r>
              <w:rPr>
                <w:spacing w:val="-4"/>
                <w:sz w:val="20"/>
              </w:rPr>
              <w:t> </w:t>
            </w:r>
            <w:r>
              <w:rPr>
                <w:spacing w:val="-2"/>
                <w:sz w:val="20"/>
              </w:rPr>
              <w:t>D43.7,</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spacing w:line="205" w:lineRule="exact"/>
              <w:ind w:left="203" w:right="212"/>
              <w:jc w:val="center"/>
              <w:rPr>
                <w:sz w:val="20"/>
              </w:rPr>
            </w:pPr>
            <w:r>
              <w:rPr>
                <w:sz w:val="20"/>
              </w:rPr>
              <w:t>D43.9,</w:t>
            </w:r>
            <w:r>
              <w:rPr>
                <w:spacing w:val="-3"/>
                <w:sz w:val="20"/>
              </w:rPr>
              <w:t> </w:t>
            </w:r>
            <w:r>
              <w:rPr>
                <w:spacing w:val="-2"/>
                <w:sz w:val="20"/>
              </w:rPr>
              <w:t>D48.2</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62"/>
        <w:gridCol w:w="4525"/>
        <w:gridCol w:w="3169"/>
        <w:gridCol w:w="2522"/>
        <w:gridCol w:w="891"/>
      </w:tblGrid>
      <w:tr>
        <w:trPr>
          <w:trHeight w:val="274" w:hRule="atLeast"/>
        </w:trPr>
        <w:tc>
          <w:tcPr>
            <w:tcW w:w="946" w:type="dxa"/>
          </w:tcPr>
          <w:p>
            <w:pPr>
              <w:pStyle w:val="TableParagraph"/>
              <w:spacing w:line="221" w:lineRule="exact"/>
              <w:ind w:left="37" w:right="198"/>
              <w:jc w:val="center"/>
              <w:rPr>
                <w:sz w:val="20"/>
              </w:rPr>
            </w:pPr>
            <w:r>
              <w:rPr>
                <w:spacing w:val="-4"/>
                <w:sz w:val="20"/>
              </w:rPr>
              <w:t>st17</w:t>
            </w:r>
          </w:p>
        </w:tc>
        <w:tc>
          <w:tcPr>
            <w:tcW w:w="707" w:type="dxa"/>
          </w:tcPr>
          <w:p>
            <w:pPr>
              <w:pStyle w:val="TableParagraph"/>
              <w:spacing w:line="221" w:lineRule="exact"/>
              <w:ind w:left="261"/>
              <w:rPr>
                <w:sz w:val="20"/>
              </w:rPr>
            </w:pPr>
            <w:r>
              <w:rPr>
                <w:spacing w:val="-5"/>
                <w:sz w:val="20"/>
              </w:rPr>
              <w:t>17</w:t>
            </w:r>
          </w:p>
        </w:tc>
        <w:tc>
          <w:tcPr>
            <w:tcW w:w="2562" w:type="dxa"/>
          </w:tcPr>
          <w:p>
            <w:pPr>
              <w:pStyle w:val="TableParagraph"/>
              <w:rPr>
                <w:sz w:val="18"/>
              </w:rPr>
            </w:pPr>
          </w:p>
        </w:tc>
        <w:tc>
          <w:tcPr>
            <w:tcW w:w="4525" w:type="dxa"/>
          </w:tcPr>
          <w:p>
            <w:pPr>
              <w:pStyle w:val="TableParagraph"/>
              <w:spacing w:line="221" w:lineRule="exact"/>
              <w:ind w:right="142"/>
              <w:jc w:val="right"/>
              <w:rPr>
                <w:sz w:val="20"/>
              </w:rPr>
            </w:pPr>
            <w:r>
              <w:rPr>
                <w:spacing w:val="-2"/>
                <w:sz w:val="20"/>
              </w:rPr>
              <w:t>Неонатология</w:t>
            </w:r>
          </w:p>
        </w:tc>
        <w:tc>
          <w:tcPr>
            <w:tcW w:w="3169" w:type="dxa"/>
          </w:tcPr>
          <w:p>
            <w:pPr>
              <w:pStyle w:val="TableParagraph"/>
              <w:rPr>
                <w:sz w:val="18"/>
              </w:rPr>
            </w:pPr>
          </w:p>
        </w:tc>
        <w:tc>
          <w:tcPr>
            <w:tcW w:w="2522" w:type="dxa"/>
          </w:tcPr>
          <w:p>
            <w:pPr>
              <w:pStyle w:val="TableParagraph"/>
              <w:rPr>
                <w:sz w:val="18"/>
              </w:rPr>
            </w:pPr>
          </w:p>
        </w:tc>
        <w:tc>
          <w:tcPr>
            <w:tcW w:w="891" w:type="dxa"/>
          </w:tcPr>
          <w:p>
            <w:pPr>
              <w:pStyle w:val="TableParagraph"/>
              <w:spacing w:line="221" w:lineRule="exact"/>
              <w:ind w:right="96"/>
              <w:jc w:val="right"/>
              <w:rPr>
                <w:sz w:val="20"/>
              </w:rPr>
            </w:pPr>
            <w:r>
              <w:rPr>
                <w:spacing w:val="-4"/>
                <w:sz w:val="20"/>
              </w:rPr>
              <w:t>2,96</w:t>
            </w:r>
          </w:p>
        </w:tc>
      </w:tr>
      <w:tr>
        <w:trPr>
          <w:trHeight w:val="789" w:hRule="atLeast"/>
        </w:trPr>
        <w:tc>
          <w:tcPr>
            <w:tcW w:w="946" w:type="dxa"/>
          </w:tcPr>
          <w:p>
            <w:pPr>
              <w:pStyle w:val="TableParagraph"/>
              <w:spacing w:before="45"/>
              <w:ind w:left="39" w:right="198"/>
              <w:jc w:val="center"/>
              <w:rPr>
                <w:sz w:val="20"/>
              </w:rPr>
            </w:pPr>
            <w:r>
              <w:rPr>
                <w:spacing w:val="-2"/>
                <w:sz w:val="20"/>
              </w:rPr>
              <w:t>st17.001</w:t>
            </w:r>
          </w:p>
        </w:tc>
        <w:tc>
          <w:tcPr>
            <w:tcW w:w="707" w:type="dxa"/>
          </w:tcPr>
          <w:p>
            <w:pPr>
              <w:pStyle w:val="TableParagraph"/>
              <w:spacing w:before="45"/>
              <w:ind w:left="210"/>
              <w:rPr>
                <w:sz w:val="20"/>
              </w:rPr>
            </w:pPr>
            <w:r>
              <w:rPr>
                <w:spacing w:val="-5"/>
                <w:sz w:val="20"/>
              </w:rPr>
              <w:t>120</w:t>
            </w:r>
          </w:p>
        </w:tc>
        <w:tc>
          <w:tcPr>
            <w:tcW w:w="2562" w:type="dxa"/>
          </w:tcPr>
          <w:p>
            <w:pPr>
              <w:pStyle w:val="TableParagraph"/>
              <w:spacing w:before="45"/>
              <w:ind w:left="192" w:right="149"/>
              <w:rPr>
                <w:sz w:val="20"/>
              </w:rPr>
            </w:pPr>
            <w:r>
              <w:rPr>
                <w:sz w:val="20"/>
              </w:rPr>
              <w:t>Малая</w:t>
            </w:r>
            <w:r>
              <w:rPr>
                <w:spacing w:val="-13"/>
                <w:sz w:val="20"/>
              </w:rPr>
              <w:t> </w:t>
            </w:r>
            <w:r>
              <w:rPr>
                <w:sz w:val="20"/>
              </w:rPr>
              <w:t>масса</w:t>
            </w:r>
            <w:r>
              <w:rPr>
                <w:spacing w:val="-12"/>
                <w:sz w:val="20"/>
              </w:rPr>
              <w:t> </w:t>
            </w:r>
            <w:r>
              <w:rPr>
                <w:sz w:val="20"/>
              </w:rPr>
              <w:t>тела</w:t>
            </w:r>
            <w:r>
              <w:rPr>
                <w:spacing w:val="-13"/>
                <w:sz w:val="20"/>
              </w:rPr>
              <w:t> </w:t>
            </w:r>
            <w:r>
              <w:rPr>
                <w:sz w:val="20"/>
              </w:rPr>
              <w:t>при </w:t>
            </w:r>
            <w:r>
              <w:rPr>
                <w:spacing w:val="-2"/>
                <w:sz w:val="20"/>
              </w:rPr>
              <w:t>рождении, недоношенность</w:t>
            </w:r>
          </w:p>
        </w:tc>
        <w:tc>
          <w:tcPr>
            <w:tcW w:w="4525" w:type="dxa"/>
          </w:tcPr>
          <w:p>
            <w:pPr>
              <w:pStyle w:val="TableParagraph"/>
              <w:spacing w:before="45"/>
              <w:ind w:left="319"/>
              <w:rPr>
                <w:sz w:val="20"/>
              </w:rPr>
            </w:pPr>
            <w:r>
              <w:rPr>
                <w:sz w:val="20"/>
              </w:rPr>
              <w:t>P05,</w:t>
            </w:r>
            <w:r>
              <w:rPr>
                <w:spacing w:val="-7"/>
                <w:sz w:val="20"/>
              </w:rPr>
              <w:t> </w:t>
            </w:r>
            <w:r>
              <w:rPr>
                <w:sz w:val="20"/>
              </w:rPr>
              <w:t>P05.0,</w:t>
            </w:r>
            <w:r>
              <w:rPr>
                <w:spacing w:val="-5"/>
                <w:sz w:val="20"/>
              </w:rPr>
              <w:t> </w:t>
            </w:r>
            <w:r>
              <w:rPr>
                <w:sz w:val="20"/>
              </w:rPr>
              <w:t>P05.1,</w:t>
            </w:r>
            <w:r>
              <w:rPr>
                <w:spacing w:val="-6"/>
                <w:sz w:val="20"/>
              </w:rPr>
              <w:t> </w:t>
            </w:r>
            <w:r>
              <w:rPr>
                <w:sz w:val="20"/>
              </w:rPr>
              <w:t>P05.2,</w:t>
            </w:r>
            <w:r>
              <w:rPr>
                <w:spacing w:val="-6"/>
                <w:sz w:val="20"/>
              </w:rPr>
              <w:t> </w:t>
            </w:r>
            <w:r>
              <w:rPr>
                <w:sz w:val="20"/>
              </w:rPr>
              <w:t>P05.9,</w:t>
            </w:r>
            <w:r>
              <w:rPr>
                <w:spacing w:val="-5"/>
                <w:sz w:val="20"/>
              </w:rPr>
              <w:t> </w:t>
            </w:r>
            <w:r>
              <w:rPr>
                <w:sz w:val="20"/>
              </w:rPr>
              <w:t>P07.1,</w:t>
            </w:r>
            <w:r>
              <w:rPr>
                <w:spacing w:val="-5"/>
                <w:sz w:val="20"/>
              </w:rPr>
              <w:t> </w:t>
            </w:r>
            <w:r>
              <w:rPr>
                <w:spacing w:val="-4"/>
                <w:sz w:val="20"/>
              </w:rPr>
              <w:t>P07.3</w:t>
            </w:r>
          </w:p>
        </w:tc>
        <w:tc>
          <w:tcPr>
            <w:tcW w:w="3169" w:type="dxa"/>
          </w:tcPr>
          <w:p>
            <w:pPr>
              <w:pStyle w:val="TableParagraph"/>
              <w:spacing w:before="45"/>
              <w:ind w:left="1480"/>
              <w:rPr>
                <w:sz w:val="20"/>
              </w:rPr>
            </w:pPr>
            <w:r>
              <w:rPr>
                <w:w w:val="99"/>
                <w:sz w:val="20"/>
              </w:rPr>
              <w:t>-</w:t>
            </w:r>
          </w:p>
        </w:tc>
        <w:tc>
          <w:tcPr>
            <w:tcW w:w="2522" w:type="dxa"/>
          </w:tcPr>
          <w:p>
            <w:pPr>
              <w:pStyle w:val="TableParagraph"/>
              <w:spacing w:before="45"/>
              <w:ind w:left="1177"/>
              <w:rPr>
                <w:sz w:val="20"/>
              </w:rPr>
            </w:pPr>
            <w:r>
              <w:rPr>
                <w:w w:val="99"/>
                <w:sz w:val="20"/>
              </w:rPr>
              <w:t>-</w:t>
            </w:r>
          </w:p>
        </w:tc>
        <w:tc>
          <w:tcPr>
            <w:tcW w:w="891" w:type="dxa"/>
          </w:tcPr>
          <w:p>
            <w:pPr>
              <w:pStyle w:val="TableParagraph"/>
              <w:spacing w:before="45"/>
              <w:ind w:right="96"/>
              <w:jc w:val="right"/>
              <w:rPr>
                <w:sz w:val="20"/>
              </w:rPr>
            </w:pPr>
            <w:r>
              <w:rPr>
                <w:spacing w:val="-4"/>
                <w:sz w:val="20"/>
              </w:rPr>
              <w:t>4,21</w:t>
            </w:r>
          </w:p>
        </w:tc>
      </w:tr>
      <w:tr>
        <w:trPr>
          <w:trHeight w:val="791" w:hRule="atLeast"/>
        </w:trPr>
        <w:tc>
          <w:tcPr>
            <w:tcW w:w="946" w:type="dxa"/>
          </w:tcPr>
          <w:p>
            <w:pPr>
              <w:pStyle w:val="TableParagraph"/>
              <w:spacing w:before="45"/>
              <w:ind w:left="39" w:right="198"/>
              <w:jc w:val="center"/>
              <w:rPr>
                <w:sz w:val="20"/>
              </w:rPr>
            </w:pPr>
            <w:r>
              <w:rPr>
                <w:spacing w:val="-2"/>
                <w:sz w:val="20"/>
              </w:rPr>
              <w:t>st17.002</w:t>
            </w:r>
          </w:p>
        </w:tc>
        <w:tc>
          <w:tcPr>
            <w:tcW w:w="707" w:type="dxa"/>
          </w:tcPr>
          <w:p>
            <w:pPr>
              <w:pStyle w:val="TableParagraph"/>
              <w:spacing w:before="45"/>
              <w:ind w:left="210"/>
              <w:rPr>
                <w:sz w:val="20"/>
              </w:rPr>
            </w:pPr>
            <w:r>
              <w:rPr>
                <w:spacing w:val="-5"/>
                <w:sz w:val="20"/>
              </w:rPr>
              <w:t>121</w:t>
            </w:r>
          </w:p>
        </w:tc>
        <w:tc>
          <w:tcPr>
            <w:tcW w:w="2562" w:type="dxa"/>
          </w:tcPr>
          <w:p>
            <w:pPr>
              <w:pStyle w:val="TableParagraph"/>
              <w:spacing w:before="45"/>
              <w:ind w:left="192" w:right="149"/>
              <w:rPr>
                <w:sz w:val="20"/>
              </w:rPr>
            </w:pPr>
            <w:r>
              <w:rPr>
                <w:sz w:val="20"/>
              </w:rPr>
              <w:t>Крайне</w:t>
            </w:r>
            <w:r>
              <w:rPr>
                <w:spacing w:val="-13"/>
                <w:sz w:val="20"/>
              </w:rPr>
              <w:t> </w:t>
            </w:r>
            <w:r>
              <w:rPr>
                <w:sz w:val="20"/>
              </w:rPr>
              <w:t>малая</w:t>
            </w:r>
            <w:r>
              <w:rPr>
                <w:spacing w:val="-12"/>
                <w:sz w:val="20"/>
              </w:rPr>
              <w:t> </w:t>
            </w:r>
            <w:r>
              <w:rPr>
                <w:sz w:val="20"/>
              </w:rPr>
              <w:t>масса</w:t>
            </w:r>
            <w:r>
              <w:rPr>
                <w:spacing w:val="-13"/>
                <w:sz w:val="20"/>
              </w:rPr>
              <w:t> </w:t>
            </w:r>
            <w:r>
              <w:rPr>
                <w:sz w:val="20"/>
              </w:rPr>
              <w:t>тела при рождении, крайняя </w:t>
            </w:r>
            <w:r>
              <w:rPr>
                <w:spacing w:val="-2"/>
                <w:sz w:val="20"/>
              </w:rPr>
              <w:t>незрелость</w:t>
            </w:r>
          </w:p>
        </w:tc>
        <w:tc>
          <w:tcPr>
            <w:tcW w:w="4525" w:type="dxa"/>
          </w:tcPr>
          <w:p>
            <w:pPr>
              <w:pStyle w:val="TableParagraph"/>
              <w:spacing w:before="45"/>
              <w:ind w:left="158" w:right="365"/>
              <w:jc w:val="center"/>
              <w:rPr>
                <w:sz w:val="20"/>
              </w:rPr>
            </w:pPr>
            <w:r>
              <w:rPr>
                <w:spacing w:val="-2"/>
                <w:sz w:val="20"/>
              </w:rPr>
              <w:t>P07.2</w:t>
            </w:r>
          </w:p>
        </w:tc>
        <w:tc>
          <w:tcPr>
            <w:tcW w:w="3169" w:type="dxa"/>
          </w:tcPr>
          <w:p>
            <w:pPr>
              <w:pStyle w:val="TableParagraph"/>
              <w:spacing w:before="45"/>
              <w:ind w:left="1480"/>
              <w:rPr>
                <w:sz w:val="20"/>
              </w:rPr>
            </w:pPr>
            <w:r>
              <w:rPr>
                <w:w w:val="99"/>
                <w:sz w:val="20"/>
              </w:rPr>
              <w:t>-</w:t>
            </w:r>
          </w:p>
        </w:tc>
        <w:tc>
          <w:tcPr>
            <w:tcW w:w="2522" w:type="dxa"/>
          </w:tcPr>
          <w:p>
            <w:pPr>
              <w:pStyle w:val="TableParagraph"/>
              <w:spacing w:before="45"/>
              <w:ind w:left="1177"/>
              <w:rPr>
                <w:sz w:val="20"/>
              </w:rPr>
            </w:pPr>
            <w:r>
              <w:rPr>
                <w:w w:val="99"/>
                <w:sz w:val="20"/>
              </w:rPr>
              <w:t>-</w:t>
            </w:r>
          </w:p>
        </w:tc>
        <w:tc>
          <w:tcPr>
            <w:tcW w:w="891" w:type="dxa"/>
          </w:tcPr>
          <w:p>
            <w:pPr>
              <w:pStyle w:val="TableParagraph"/>
              <w:spacing w:before="45"/>
              <w:ind w:right="46"/>
              <w:jc w:val="right"/>
              <w:rPr>
                <w:sz w:val="20"/>
              </w:rPr>
            </w:pPr>
            <w:r>
              <w:rPr>
                <w:spacing w:val="-2"/>
                <w:sz w:val="20"/>
              </w:rPr>
              <w:t>15,63</w:t>
            </w:r>
          </w:p>
        </w:tc>
      </w:tr>
      <w:tr>
        <w:trPr>
          <w:trHeight w:val="559" w:hRule="atLeast"/>
        </w:trPr>
        <w:tc>
          <w:tcPr>
            <w:tcW w:w="946" w:type="dxa"/>
          </w:tcPr>
          <w:p>
            <w:pPr>
              <w:pStyle w:val="TableParagraph"/>
              <w:spacing w:before="46"/>
              <w:ind w:left="39" w:right="198"/>
              <w:jc w:val="center"/>
              <w:rPr>
                <w:sz w:val="20"/>
              </w:rPr>
            </w:pPr>
            <w:r>
              <w:rPr>
                <w:spacing w:val="-2"/>
                <w:sz w:val="20"/>
              </w:rPr>
              <w:t>st17.003</w:t>
            </w:r>
          </w:p>
        </w:tc>
        <w:tc>
          <w:tcPr>
            <w:tcW w:w="707" w:type="dxa"/>
          </w:tcPr>
          <w:p>
            <w:pPr>
              <w:pStyle w:val="TableParagraph"/>
              <w:spacing w:before="46"/>
              <w:ind w:left="210"/>
              <w:rPr>
                <w:sz w:val="20"/>
              </w:rPr>
            </w:pPr>
            <w:r>
              <w:rPr>
                <w:spacing w:val="-5"/>
                <w:sz w:val="20"/>
              </w:rPr>
              <w:t>122</w:t>
            </w:r>
          </w:p>
        </w:tc>
        <w:tc>
          <w:tcPr>
            <w:tcW w:w="2562" w:type="dxa"/>
            <w:vMerge w:val="restart"/>
          </w:tcPr>
          <w:p>
            <w:pPr>
              <w:pStyle w:val="TableParagraph"/>
              <w:spacing w:before="46"/>
              <w:ind w:left="192" w:right="149"/>
              <w:rPr>
                <w:sz w:val="20"/>
              </w:rPr>
            </w:pPr>
            <w:r>
              <w:rPr>
                <w:sz w:val="20"/>
              </w:rPr>
              <w:t>Лечение новорожденных с тяжелой патологией с применением</w:t>
            </w:r>
            <w:r>
              <w:rPr>
                <w:spacing w:val="-13"/>
                <w:sz w:val="20"/>
              </w:rPr>
              <w:t> </w:t>
            </w:r>
            <w:r>
              <w:rPr>
                <w:sz w:val="20"/>
              </w:rPr>
              <w:t>аппаратных методов поддержки или замещения витальных </w:t>
            </w:r>
            <w:r>
              <w:rPr>
                <w:spacing w:val="-2"/>
                <w:sz w:val="20"/>
              </w:rPr>
              <w:t>функций</w:t>
            </w:r>
          </w:p>
        </w:tc>
        <w:tc>
          <w:tcPr>
            <w:tcW w:w="4525" w:type="dxa"/>
          </w:tcPr>
          <w:p>
            <w:pPr>
              <w:pStyle w:val="TableParagraph"/>
              <w:spacing w:before="46"/>
              <w:ind w:right="208"/>
              <w:jc w:val="center"/>
              <w:rPr>
                <w:sz w:val="20"/>
              </w:rPr>
            </w:pPr>
            <w:r>
              <w:rPr>
                <w:w w:val="99"/>
                <w:sz w:val="20"/>
              </w:rPr>
              <w:t>-</w:t>
            </w:r>
          </w:p>
        </w:tc>
        <w:tc>
          <w:tcPr>
            <w:tcW w:w="3169" w:type="dxa"/>
          </w:tcPr>
          <w:p>
            <w:pPr>
              <w:pStyle w:val="TableParagraph"/>
              <w:spacing w:before="46"/>
              <w:ind w:left="865" w:right="281" w:hanging="723"/>
              <w:rPr>
                <w:sz w:val="20"/>
              </w:rPr>
            </w:pPr>
            <w:r>
              <w:rPr>
                <w:sz w:val="20"/>
              </w:rPr>
              <w:t>A16.09.011.002,</w:t>
            </w:r>
            <w:r>
              <w:rPr>
                <w:spacing w:val="-13"/>
                <w:sz w:val="20"/>
              </w:rPr>
              <w:t> </w:t>
            </w:r>
            <w:r>
              <w:rPr>
                <w:sz w:val="20"/>
              </w:rPr>
              <w:t>A16.09.011.003, </w:t>
            </w:r>
            <w:r>
              <w:rPr>
                <w:spacing w:val="-2"/>
                <w:sz w:val="20"/>
              </w:rPr>
              <w:t>A16.09.011.004</w:t>
            </w:r>
          </w:p>
        </w:tc>
        <w:tc>
          <w:tcPr>
            <w:tcW w:w="2522" w:type="dxa"/>
          </w:tcPr>
          <w:p>
            <w:pPr>
              <w:pStyle w:val="TableParagraph"/>
              <w:spacing w:before="46"/>
              <w:ind w:left="1177"/>
              <w:rPr>
                <w:sz w:val="20"/>
              </w:rPr>
            </w:pPr>
            <w:r>
              <w:rPr>
                <w:w w:val="99"/>
                <w:sz w:val="20"/>
              </w:rPr>
              <w:t>-</w:t>
            </w:r>
          </w:p>
        </w:tc>
        <w:tc>
          <w:tcPr>
            <w:tcW w:w="891" w:type="dxa"/>
          </w:tcPr>
          <w:p>
            <w:pPr>
              <w:pStyle w:val="TableParagraph"/>
              <w:spacing w:before="46"/>
              <w:ind w:right="96"/>
              <w:jc w:val="right"/>
              <w:rPr>
                <w:sz w:val="20"/>
              </w:rPr>
            </w:pPr>
            <w:r>
              <w:rPr>
                <w:spacing w:val="-4"/>
                <w:sz w:val="20"/>
              </w:rPr>
              <w:t>7,40</w:t>
            </w:r>
          </w:p>
        </w:tc>
      </w:tr>
      <w:tr>
        <w:trPr>
          <w:trHeight w:val="1250" w:hRule="atLeast"/>
        </w:trPr>
        <w:tc>
          <w:tcPr>
            <w:tcW w:w="946" w:type="dxa"/>
          </w:tcPr>
          <w:p>
            <w:pPr>
              <w:pStyle w:val="TableParagraph"/>
              <w:rPr>
                <w:sz w:val="18"/>
              </w:rPr>
            </w:pPr>
          </w:p>
        </w:tc>
        <w:tc>
          <w:tcPr>
            <w:tcW w:w="707" w:type="dxa"/>
          </w:tcPr>
          <w:p>
            <w:pPr>
              <w:pStyle w:val="TableParagraph"/>
              <w:rPr>
                <w:sz w:val="18"/>
              </w:rPr>
            </w:pPr>
          </w:p>
        </w:tc>
        <w:tc>
          <w:tcPr>
            <w:tcW w:w="2562" w:type="dxa"/>
            <w:vMerge/>
            <w:tcBorders>
              <w:top w:val="nil"/>
            </w:tcBorders>
          </w:tcPr>
          <w:p>
            <w:pPr>
              <w:rPr>
                <w:sz w:val="2"/>
                <w:szCs w:val="2"/>
              </w:rPr>
            </w:pPr>
          </w:p>
        </w:tc>
        <w:tc>
          <w:tcPr>
            <w:tcW w:w="4525" w:type="dxa"/>
          </w:tcPr>
          <w:p>
            <w:pPr>
              <w:pStyle w:val="TableParagraph"/>
              <w:spacing w:before="46"/>
              <w:ind w:right="208"/>
              <w:jc w:val="center"/>
              <w:rPr>
                <w:sz w:val="20"/>
              </w:rPr>
            </w:pPr>
            <w:r>
              <w:rPr>
                <w:w w:val="99"/>
                <w:sz w:val="20"/>
              </w:rPr>
              <w:t>-</w:t>
            </w:r>
          </w:p>
        </w:tc>
        <w:tc>
          <w:tcPr>
            <w:tcW w:w="3169" w:type="dxa"/>
          </w:tcPr>
          <w:p>
            <w:pPr>
              <w:pStyle w:val="TableParagraph"/>
              <w:spacing w:before="46"/>
              <w:ind w:left="865" w:right="281" w:hanging="723"/>
              <w:rPr>
                <w:sz w:val="20"/>
              </w:rPr>
            </w:pPr>
            <w:r>
              <w:rPr>
                <w:sz w:val="20"/>
              </w:rPr>
              <w:t>A16.09.011.002,</w:t>
            </w:r>
            <w:r>
              <w:rPr>
                <w:spacing w:val="-13"/>
                <w:sz w:val="20"/>
              </w:rPr>
              <w:t> </w:t>
            </w:r>
            <w:r>
              <w:rPr>
                <w:sz w:val="20"/>
              </w:rPr>
              <w:t>A16.09.011.003, </w:t>
            </w:r>
            <w:r>
              <w:rPr>
                <w:spacing w:val="-2"/>
                <w:sz w:val="20"/>
              </w:rPr>
              <w:t>A16.09.011.004</w:t>
            </w:r>
          </w:p>
        </w:tc>
        <w:tc>
          <w:tcPr>
            <w:tcW w:w="2522" w:type="dxa"/>
          </w:tcPr>
          <w:p>
            <w:pPr>
              <w:pStyle w:val="TableParagraph"/>
              <w:spacing w:before="46"/>
              <w:ind w:left="289" w:right="388" w:firstLine="1"/>
              <w:jc w:val="center"/>
              <w:rPr>
                <w:sz w:val="20"/>
              </w:rPr>
            </w:pPr>
            <w:r>
              <w:rPr>
                <w:spacing w:val="-2"/>
                <w:sz w:val="20"/>
              </w:rPr>
              <w:t>Обязательный дополнительный </w:t>
            </w:r>
            <w:r>
              <w:rPr>
                <w:sz w:val="20"/>
              </w:rPr>
              <w:t>диагноз:</w:t>
            </w:r>
            <w:r>
              <w:rPr>
                <w:spacing w:val="-13"/>
                <w:sz w:val="20"/>
              </w:rPr>
              <w:t> </w:t>
            </w:r>
            <w:r>
              <w:rPr>
                <w:sz w:val="20"/>
              </w:rPr>
              <w:t>P05.0,</w:t>
            </w:r>
            <w:r>
              <w:rPr>
                <w:spacing w:val="-12"/>
                <w:sz w:val="20"/>
              </w:rPr>
              <w:t> </w:t>
            </w:r>
            <w:r>
              <w:rPr>
                <w:sz w:val="20"/>
              </w:rPr>
              <w:t>P05.1, P05.2, P05.9, P07.0, P07.1, P07.2, P07.3</w:t>
            </w:r>
          </w:p>
        </w:tc>
        <w:tc>
          <w:tcPr>
            <w:tcW w:w="891" w:type="dxa"/>
          </w:tcPr>
          <w:p>
            <w:pPr>
              <w:pStyle w:val="TableParagraph"/>
              <w:rPr>
                <w:sz w:val="18"/>
              </w:rPr>
            </w:pPr>
          </w:p>
        </w:tc>
      </w:tr>
      <w:tr>
        <w:trPr>
          <w:trHeight w:val="2400" w:hRule="atLeast"/>
        </w:trPr>
        <w:tc>
          <w:tcPr>
            <w:tcW w:w="946" w:type="dxa"/>
          </w:tcPr>
          <w:p>
            <w:pPr>
              <w:pStyle w:val="TableParagraph"/>
              <w:spacing w:before="46"/>
              <w:ind w:left="39" w:right="198"/>
              <w:jc w:val="center"/>
              <w:rPr>
                <w:sz w:val="20"/>
              </w:rPr>
            </w:pPr>
            <w:r>
              <w:rPr>
                <w:spacing w:val="-2"/>
                <w:sz w:val="20"/>
              </w:rPr>
              <w:t>st17.004</w:t>
            </w:r>
          </w:p>
        </w:tc>
        <w:tc>
          <w:tcPr>
            <w:tcW w:w="707" w:type="dxa"/>
          </w:tcPr>
          <w:p>
            <w:pPr>
              <w:pStyle w:val="TableParagraph"/>
              <w:spacing w:before="46"/>
              <w:ind w:left="210"/>
              <w:rPr>
                <w:sz w:val="20"/>
              </w:rPr>
            </w:pPr>
            <w:r>
              <w:rPr>
                <w:spacing w:val="-5"/>
                <w:sz w:val="20"/>
              </w:rPr>
              <w:t>123</w:t>
            </w:r>
          </w:p>
        </w:tc>
        <w:tc>
          <w:tcPr>
            <w:tcW w:w="2562" w:type="dxa"/>
          </w:tcPr>
          <w:p>
            <w:pPr>
              <w:pStyle w:val="TableParagraph"/>
              <w:spacing w:before="46"/>
              <w:ind w:left="192" w:right="726"/>
              <w:rPr>
                <w:sz w:val="20"/>
              </w:rPr>
            </w:pPr>
            <w:r>
              <w:rPr>
                <w:sz w:val="20"/>
              </w:rPr>
              <w:t>Геморрагические</w:t>
            </w:r>
            <w:r>
              <w:rPr>
                <w:spacing w:val="-13"/>
                <w:sz w:val="20"/>
              </w:rPr>
              <w:t> </w:t>
            </w:r>
            <w:r>
              <w:rPr>
                <w:sz w:val="20"/>
              </w:rPr>
              <w:t>и </w:t>
            </w:r>
            <w:r>
              <w:rPr>
                <w:spacing w:val="-2"/>
                <w:sz w:val="20"/>
              </w:rPr>
              <w:t>гемолитические </w:t>
            </w:r>
            <w:r>
              <w:rPr>
                <w:sz w:val="20"/>
              </w:rPr>
              <w:t>нарушения у </w:t>
            </w:r>
            <w:r>
              <w:rPr>
                <w:spacing w:val="-2"/>
                <w:sz w:val="20"/>
              </w:rPr>
              <w:t>новорожденных</w:t>
            </w:r>
          </w:p>
        </w:tc>
        <w:tc>
          <w:tcPr>
            <w:tcW w:w="4525" w:type="dxa"/>
          </w:tcPr>
          <w:p>
            <w:pPr>
              <w:pStyle w:val="TableParagraph"/>
              <w:spacing w:before="46"/>
              <w:ind w:left="155" w:right="369"/>
              <w:jc w:val="center"/>
              <w:rPr>
                <w:sz w:val="20"/>
              </w:rPr>
            </w:pPr>
            <w:r>
              <w:rPr>
                <w:sz w:val="20"/>
              </w:rPr>
              <w:t>P51,</w:t>
            </w:r>
            <w:r>
              <w:rPr>
                <w:spacing w:val="-6"/>
                <w:sz w:val="20"/>
              </w:rPr>
              <w:t> </w:t>
            </w:r>
            <w:r>
              <w:rPr>
                <w:sz w:val="20"/>
              </w:rPr>
              <w:t>P51.0,</w:t>
            </w:r>
            <w:r>
              <w:rPr>
                <w:spacing w:val="-4"/>
                <w:sz w:val="20"/>
              </w:rPr>
              <w:t> </w:t>
            </w:r>
            <w:r>
              <w:rPr>
                <w:sz w:val="20"/>
              </w:rPr>
              <w:t>P51.8,</w:t>
            </w:r>
            <w:r>
              <w:rPr>
                <w:spacing w:val="-6"/>
                <w:sz w:val="20"/>
              </w:rPr>
              <w:t> </w:t>
            </w:r>
            <w:r>
              <w:rPr>
                <w:sz w:val="20"/>
              </w:rPr>
              <w:t>P51.9,</w:t>
            </w:r>
            <w:r>
              <w:rPr>
                <w:spacing w:val="-6"/>
                <w:sz w:val="20"/>
              </w:rPr>
              <w:t> </w:t>
            </w:r>
            <w:r>
              <w:rPr>
                <w:sz w:val="20"/>
              </w:rPr>
              <w:t>P52,</w:t>
            </w:r>
            <w:r>
              <w:rPr>
                <w:spacing w:val="-5"/>
                <w:sz w:val="20"/>
              </w:rPr>
              <w:t> </w:t>
            </w:r>
            <w:r>
              <w:rPr>
                <w:sz w:val="20"/>
              </w:rPr>
              <w:t>P52.0,</w:t>
            </w:r>
            <w:r>
              <w:rPr>
                <w:spacing w:val="-6"/>
                <w:sz w:val="20"/>
              </w:rPr>
              <w:t> </w:t>
            </w:r>
            <w:r>
              <w:rPr>
                <w:spacing w:val="-2"/>
                <w:sz w:val="20"/>
              </w:rPr>
              <w:t>P52.1,</w:t>
            </w:r>
          </w:p>
          <w:p>
            <w:pPr>
              <w:pStyle w:val="TableParagraph"/>
              <w:spacing w:line="229" w:lineRule="exact"/>
              <w:ind w:left="157" w:right="369"/>
              <w:jc w:val="center"/>
              <w:rPr>
                <w:sz w:val="20"/>
              </w:rPr>
            </w:pPr>
            <w:r>
              <w:rPr>
                <w:sz w:val="20"/>
              </w:rPr>
              <w:t>P52.2,</w:t>
            </w:r>
            <w:r>
              <w:rPr>
                <w:spacing w:val="-7"/>
                <w:sz w:val="20"/>
              </w:rPr>
              <w:t> </w:t>
            </w:r>
            <w:r>
              <w:rPr>
                <w:sz w:val="20"/>
              </w:rPr>
              <w:t>P52.3,</w:t>
            </w:r>
            <w:r>
              <w:rPr>
                <w:spacing w:val="-6"/>
                <w:sz w:val="20"/>
              </w:rPr>
              <w:t> </w:t>
            </w:r>
            <w:r>
              <w:rPr>
                <w:sz w:val="20"/>
              </w:rPr>
              <w:t>P52.4,</w:t>
            </w:r>
            <w:r>
              <w:rPr>
                <w:spacing w:val="-6"/>
                <w:sz w:val="20"/>
              </w:rPr>
              <w:t> </w:t>
            </w:r>
            <w:r>
              <w:rPr>
                <w:sz w:val="20"/>
              </w:rPr>
              <w:t>P52.5,</w:t>
            </w:r>
            <w:r>
              <w:rPr>
                <w:spacing w:val="-6"/>
                <w:sz w:val="20"/>
              </w:rPr>
              <w:t> </w:t>
            </w:r>
            <w:r>
              <w:rPr>
                <w:sz w:val="20"/>
              </w:rPr>
              <w:t>P52.6,</w:t>
            </w:r>
            <w:r>
              <w:rPr>
                <w:spacing w:val="-6"/>
                <w:sz w:val="20"/>
              </w:rPr>
              <w:t> </w:t>
            </w:r>
            <w:r>
              <w:rPr>
                <w:sz w:val="20"/>
              </w:rPr>
              <w:t>P52.8,</w:t>
            </w:r>
            <w:r>
              <w:rPr>
                <w:spacing w:val="-6"/>
                <w:sz w:val="20"/>
              </w:rPr>
              <w:t> </w:t>
            </w:r>
            <w:r>
              <w:rPr>
                <w:spacing w:val="-2"/>
                <w:sz w:val="20"/>
              </w:rPr>
              <w:t>P52.9,</w:t>
            </w:r>
          </w:p>
          <w:p>
            <w:pPr>
              <w:pStyle w:val="TableParagraph"/>
              <w:spacing w:line="229" w:lineRule="exact"/>
              <w:ind w:left="155" w:right="369"/>
              <w:jc w:val="center"/>
              <w:rPr>
                <w:sz w:val="20"/>
              </w:rPr>
            </w:pPr>
            <w:r>
              <w:rPr>
                <w:sz w:val="20"/>
              </w:rPr>
              <w:t>P53,</w:t>
            </w:r>
            <w:r>
              <w:rPr>
                <w:spacing w:val="-6"/>
                <w:sz w:val="20"/>
              </w:rPr>
              <w:t> </w:t>
            </w:r>
            <w:r>
              <w:rPr>
                <w:sz w:val="20"/>
              </w:rPr>
              <w:t>P54,</w:t>
            </w:r>
            <w:r>
              <w:rPr>
                <w:spacing w:val="-6"/>
                <w:sz w:val="20"/>
              </w:rPr>
              <w:t> </w:t>
            </w:r>
            <w:r>
              <w:rPr>
                <w:sz w:val="20"/>
              </w:rPr>
              <w:t>P54.0,</w:t>
            </w:r>
            <w:r>
              <w:rPr>
                <w:spacing w:val="-5"/>
                <w:sz w:val="20"/>
              </w:rPr>
              <w:t> </w:t>
            </w:r>
            <w:r>
              <w:rPr>
                <w:sz w:val="20"/>
              </w:rPr>
              <w:t>P54.1,</w:t>
            </w:r>
            <w:r>
              <w:rPr>
                <w:spacing w:val="-6"/>
                <w:sz w:val="20"/>
              </w:rPr>
              <w:t> </w:t>
            </w:r>
            <w:r>
              <w:rPr>
                <w:sz w:val="20"/>
              </w:rPr>
              <w:t>P54.2,</w:t>
            </w:r>
            <w:r>
              <w:rPr>
                <w:spacing w:val="-6"/>
                <w:sz w:val="20"/>
              </w:rPr>
              <w:t> </w:t>
            </w:r>
            <w:r>
              <w:rPr>
                <w:sz w:val="20"/>
              </w:rPr>
              <w:t>P54.3,</w:t>
            </w:r>
            <w:r>
              <w:rPr>
                <w:spacing w:val="-5"/>
                <w:sz w:val="20"/>
              </w:rPr>
              <w:t> </w:t>
            </w:r>
            <w:r>
              <w:rPr>
                <w:spacing w:val="-2"/>
                <w:sz w:val="20"/>
              </w:rPr>
              <w:t>P54.4,</w:t>
            </w:r>
          </w:p>
          <w:p>
            <w:pPr>
              <w:pStyle w:val="TableParagraph"/>
              <w:spacing w:before="1"/>
              <w:ind w:left="292"/>
              <w:rPr>
                <w:sz w:val="20"/>
              </w:rPr>
            </w:pPr>
            <w:r>
              <w:rPr>
                <w:sz w:val="20"/>
              </w:rPr>
              <w:t>P54.5,</w:t>
            </w:r>
            <w:r>
              <w:rPr>
                <w:spacing w:val="-6"/>
                <w:sz w:val="20"/>
              </w:rPr>
              <w:t> </w:t>
            </w:r>
            <w:r>
              <w:rPr>
                <w:sz w:val="20"/>
              </w:rPr>
              <w:t>P54.6,</w:t>
            </w:r>
            <w:r>
              <w:rPr>
                <w:spacing w:val="-6"/>
                <w:sz w:val="20"/>
              </w:rPr>
              <w:t> </w:t>
            </w:r>
            <w:r>
              <w:rPr>
                <w:sz w:val="20"/>
              </w:rPr>
              <w:t>P54.8,</w:t>
            </w:r>
            <w:r>
              <w:rPr>
                <w:spacing w:val="-5"/>
                <w:sz w:val="20"/>
              </w:rPr>
              <w:t> </w:t>
            </w:r>
            <w:r>
              <w:rPr>
                <w:sz w:val="20"/>
              </w:rPr>
              <w:t>P54.9,</w:t>
            </w:r>
            <w:r>
              <w:rPr>
                <w:spacing w:val="-6"/>
                <w:sz w:val="20"/>
              </w:rPr>
              <w:t> </w:t>
            </w:r>
            <w:r>
              <w:rPr>
                <w:sz w:val="20"/>
              </w:rPr>
              <w:t>P55,</w:t>
            </w:r>
            <w:r>
              <w:rPr>
                <w:spacing w:val="-4"/>
                <w:sz w:val="20"/>
              </w:rPr>
              <w:t> </w:t>
            </w:r>
            <w:r>
              <w:rPr>
                <w:sz w:val="20"/>
              </w:rPr>
              <w:t>P55.0,</w:t>
            </w:r>
            <w:r>
              <w:rPr>
                <w:spacing w:val="-4"/>
                <w:sz w:val="20"/>
              </w:rPr>
              <w:t> </w:t>
            </w:r>
            <w:r>
              <w:rPr>
                <w:spacing w:val="-2"/>
                <w:sz w:val="20"/>
              </w:rPr>
              <w:t>P55.1,</w:t>
            </w:r>
          </w:p>
          <w:p>
            <w:pPr>
              <w:pStyle w:val="TableParagraph"/>
              <w:ind w:left="367"/>
              <w:rPr>
                <w:sz w:val="20"/>
              </w:rPr>
            </w:pPr>
            <w:r>
              <w:rPr>
                <w:sz w:val="20"/>
              </w:rPr>
              <w:t>P55.8,</w:t>
            </w:r>
            <w:r>
              <w:rPr>
                <w:spacing w:val="-6"/>
                <w:sz w:val="20"/>
              </w:rPr>
              <w:t> </w:t>
            </w:r>
            <w:r>
              <w:rPr>
                <w:sz w:val="20"/>
              </w:rPr>
              <w:t>P55.9,</w:t>
            </w:r>
            <w:r>
              <w:rPr>
                <w:spacing w:val="-6"/>
                <w:sz w:val="20"/>
              </w:rPr>
              <w:t> </w:t>
            </w:r>
            <w:r>
              <w:rPr>
                <w:sz w:val="20"/>
              </w:rPr>
              <w:t>P56,</w:t>
            </w:r>
            <w:r>
              <w:rPr>
                <w:spacing w:val="-6"/>
                <w:sz w:val="20"/>
              </w:rPr>
              <w:t> </w:t>
            </w:r>
            <w:r>
              <w:rPr>
                <w:sz w:val="20"/>
              </w:rPr>
              <w:t>P56.0,</w:t>
            </w:r>
            <w:r>
              <w:rPr>
                <w:spacing w:val="-6"/>
                <w:sz w:val="20"/>
              </w:rPr>
              <w:t> </w:t>
            </w:r>
            <w:r>
              <w:rPr>
                <w:sz w:val="20"/>
              </w:rPr>
              <w:t>P56.9,</w:t>
            </w:r>
            <w:r>
              <w:rPr>
                <w:spacing w:val="-3"/>
                <w:sz w:val="20"/>
              </w:rPr>
              <w:t> </w:t>
            </w:r>
            <w:r>
              <w:rPr>
                <w:sz w:val="20"/>
              </w:rPr>
              <w:t>P57,</w:t>
            </w:r>
            <w:r>
              <w:rPr>
                <w:spacing w:val="-6"/>
                <w:sz w:val="20"/>
              </w:rPr>
              <w:t> </w:t>
            </w:r>
            <w:r>
              <w:rPr>
                <w:spacing w:val="-2"/>
                <w:sz w:val="20"/>
              </w:rPr>
              <w:t>P57.0,</w:t>
            </w:r>
          </w:p>
          <w:p>
            <w:pPr>
              <w:pStyle w:val="TableParagraph"/>
              <w:ind w:left="292"/>
              <w:rPr>
                <w:sz w:val="20"/>
              </w:rPr>
            </w:pPr>
            <w:r>
              <w:rPr>
                <w:sz w:val="20"/>
              </w:rPr>
              <w:t>P57.8,</w:t>
            </w:r>
            <w:r>
              <w:rPr>
                <w:spacing w:val="-7"/>
                <w:sz w:val="20"/>
              </w:rPr>
              <w:t> </w:t>
            </w:r>
            <w:r>
              <w:rPr>
                <w:sz w:val="20"/>
              </w:rPr>
              <w:t>P57.9,</w:t>
            </w:r>
            <w:r>
              <w:rPr>
                <w:spacing w:val="-6"/>
                <w:sz w:val="20"/>
              </w:rPr>
              <w:t> </w:t>
            </w:r>
            <w:r>
              <w:rPr>
                <w:sz w:val="20"/>
              </w:rPr>
              <w:t>P58,</w:t>
            </w:r>
            <w:r>
              <w:rPr>
                <w:spacing w:val="-6"/>
                <w:sz w:val="20"/>
              </w:rPr>
              <w:t> </w:t>
            </w:r>
            <w:r>
              <w:rPr>
                <w:sz w:val="20"/>
              </w:rPr>
              <w:t>P58.0,</w:t>
            </w:r>
            <w:r>
              <w:rPr>
                <w:spacing w:val="-7"/>
                <w:sz w:val="20"/>
              </w:rPr>
              <w:t> </w:t>
            </w:r>
            <w:r>
              <w:rPr>
                <w:sz w:val="20"/>
              </w:rPr>
              <w:t>P58.1,</w:t>
            </w:r>
            <w:r>
              <w:rPr>
                <w:spacing w:val="-4"/>
                <w:sz w:val="20"/>
              </w:rPr>
              <w:t> </w:t>
            </w:r>
            <w:r>
              <w:rPr>
                <w:sz w:val="20"/>
              </w:rPr>
              <w:t>P58.2,</w:t>
            </w:r>
            <w:r>
              <w:rPr>
                <w:spacing w:val="-5"/>
                <w:sz w:val="20"/>
              </w:rPr>
              <w:t> </w:t>
            </w:r>
            <w:r>
              <w:rPr>
                <w:spacing w:val="-2"/>
                <w:sz w:val="20"/>
              </w:rPr>
              <w:t>P58.3,</w:t>
            </w:r>
          </w:p>
          <w:p>
            <w:pPr>
              <w:pStyle w:val="TableParagraph"/>
              <w:spacing w:line="229" w:lineRule="exact" w:before="1"/>
              <w:ind w:left="155" w:right="369"/>
              <w:jc w:val="center"/>
              <w:rPr>
                <w:sz w:val="20"/>
              </w:rPr>
            </w:pPr>
            <w:r>
              <w:rPr>
                <w:sz w:val="20"/>
              </w:rPr>
              <w:t>P58.4,</w:t>
            </w:r>
            <w:r>
              <w:rPr>
                <w:spacing w:val="-7"/>
                <w:sz w:val="20"/>
              </w:rPr>
              <w:t> </w:t>
            </w:r>
            <w:r>
              <w:rPr>
                <w:sz w:val="20"/>
              </w:rPr>
              <w:t>P58.5,</w:t>
            </w:r>
            <w:r>
              <w:rPr>
                <w:spacing w:val="-6"/>
                <w:sz w:val="20"/>
              </w:rPr>
              <w:t> </w:t>
            </w:r>
            <w:r>
              <w:rPr>
                <w:sz w:val="20"/>
              </w:rPr>
              <w:t>P58.8,</w:t>
            </w:r>
            <w:r>
              <w:rPr>
                <w:spacing w:val="-6"/>
                <w:sz w:val="20"/>
              </w:rPr>
              <w:t> </w:t>
            </w:r>
            <w:r>
              <w:rPr>
                <w:sz w:val="20"/>
              </w:rPr>
              <w:t>P58.9,</w:t>
            </w:r>
            <w:r>
              <w:rPr>
                <w:spacing w:val="-7"/>
                <w:sz w:val="20"/>
              </w:rPr>
              <w:t> </w:t>
            </w:r>
            <w:r>
              <w:rPr>
                <w:sz w:val="20"/>
              </w:rPr>
              <w:t>P59,</w:t>
            </w:r>
            <w:r>
              <w:rPr>
                <w:spacing w:val="-4"/>
                <w:sz w:val="20"/>
              </w:rPr>
              <w:t> </w:t>
            </w:r>
            <w:r>
              <w:rPr>
                <w:sz w:val="20"/>
              </w:rPr>
              <w:t>P59.0,</w:t>
            </w:r>
            <w:r>
              <w:rPr>
                <w:spacing w:val="-5"/>
                <w:sz w:val="20"/>
              </w:rPr>
              <w:t> </w:t>
            </w:r>
            <w:r>
              <w:rPr>
                <w:spacing w:val="-2"/>
                <w:sz w:val="20"/>
              </w:rPr>
              <w:t>P59.1,</w:t>
            </w:r>
          </w:p>
          <w:p>
            <w:pPr>
              <w:pStyle w:val="TableParagraph"/>
              <w:spacing w:line="229" w:lineRule="exact"/>
              <w:ind w:left="155" w:right="369"/>
              <w:jc w:val="center"/>
              <w:rPr>
                <w:sz w:val="20"/>
              </w:rPr>
            </w:pPr>
            <w:r>
              <w:rPr>
                <w:sz w:val="20"/>
              </w:rPr>
              <w:t>P59.2,</w:t>
            </w:r>
            <w:r>
              <w:rPr>
                <w:spacing w:val="-6"/>
                <w:sz w:val="20"/>
              </w:rPr>
              <w:t> </w:t>
            </w:r>
            <w:r>
              <w:rPr>
                <w:sz w:val="20"/>
              </w:rPr>
              <w:t>P59.3,</w:t>
            </w:r>
            <w:r>
              <w:rPr>
                <w:spacing w:val="-6"/>
                <w:sz w:val="20"/>
              </w:rPr>
              <w:t> </w:t>
            </w:r>
            <w:r>
              <w:rPr>
                <w:sz w:val="20"/>
              </w:rPr>
              <w:t>P59.8,</w:t>
            </w:r>
            <w:r>
              <w:rPr>
                <w:spacing w:val="-6"/>
                <w:sz w:val="20"/>
              </w:rPr>
              <w:t> </w:t>
            </w:r>
            <w:r>
              <w:rPr>
                <w:sz w:val="20"/>
              </w:rPr>
              <w:t>P59.9,</w:t>
            </w:r>
            <w:r>
              <w:rPr>
                <w:spacing w:val="-6"/>
                <w:sz w:val="20"/>
              </w:rPr>
              <w:t> </w:t>
            </w:r>
            <w:r>
              <w:rPr>
                <w:sz w:val="20"/>
              </w:rPr>
              <w:t>P60,</w:t>
            </w:r>
            <w:r>
              <w:rPr>
                <w:spacing w:val="-3"/>
                <w:sz w:val="20"/>
              </w:rPr>
              <w:t> </w:t>
            </w:r>
            <w:r>
              <w:rPr>
                <w:sz w:val="20"/>
              </w:rPr>
              <w:t>P61,</w:t>
            </w:r>
            <w:r>
              <w:rPr>
                <w:spacing w:val="-6"/>
                <w:sz w:val="20"/>
              </w:rPr>
              <w:t> </w:t>
            </w:r>
            <w:r>
              <w:rPr>
                <w:spacing w:val="-2"/>
                <w:sz w:val="20"/>
              </w:rPr>
              <w:t>P61.0,</w:t>
            </w:r>
          </w:p>
          <w:p>
            <w:pPr>
              <w:pStyle w:val="TableParagraph"/>
              <w:ind w:left="156" w:right="369"/>
              <w:jc w:val="center"/>
              <w:rPr>
                <w:sz w:val="20"/>
              </w:rPr>
            </w:pPr>
            <w:r>
              <w:rPr>
                <w:sz w:val="20"/>
              </w:rPr>
              <w:t>P61.1,</w:t>
            </w:r>
            <w:r>
              <w:rPr>
                <w:spacing w:val="-8"/>
                <w:sz w:val="20"/>
              </w:rPr>
              <w:t> </w:t>
            </w:r>
            <w:r>
              <w:rPr>
                <w:sz w:val="20"/>
              </w:rPr>
              <w:t>P61.2,</w:t>
            </w:r>
            <w:r>
              <w:rPr>
                <w:spacing w:val="-8"/>
                <w:sz w:val="20"/>
              </w:rPr>
              <w:t> </w:t>
            </w:r>
            <w:r>
              <w:rPr>
                <w:sz w:val="20"/>
              </w:rPr>
              <w:t>P61.3,</w:t>
            </w:r>
            <w:r>
              <w:rPr>
                <w:spacing w:val="-8"/>
                <w:sz w:val="20"/>
              </w:rPr>
              <w:t> </w:t>
            </w:r>
            <w:r>
              <w:rPr>
                <w:sz w:val="20"/>
              </w:rPr>
              <w:t>P61.4,</w:t>
            </w:r>
            <w:r>
              <w:rPr>
                <w:spacing w:val="-8"/>
                <w:sz w:val="20"/>
              </w:rPr>
              <w:t> </w:t>
            </w:r>
            <w:r>
              <w:rPr>
                <w:sz w:val="20"/>
              </w:rPr>
              <w:t>P61.5,</w:t>
            </w:r>
            <w:r>
              <w:rPr>
                <w:spacing w:val="-8"/>
                <w:sz w:val="20"/>
              </w:rPr>
              <w:t> </w:t>
            </w:r>
            <w:r>
              <w:rPr>
                <w:sz w:val="20"/>
              </w:rPr>
              <w:t>P61.6,</w:t>
            </w:r>
            <w:r>
              <w:rPr>
                <w:spacing w:val="-8"/>
                <w:sz w:val="20"/>
              </w:rPr>
              <w:t> </w:t>
            </w:r>
            <w:r>
              <w:rPr>
                <w:sz w:val="20"/>
              </w:rPr>
              <w:t>P61.8, </w:t>
            </w:r>
            <w:r>
              <w:rPr>
                <w:spacing w:val="-2"/>
                <w:sz w:val="20"/>
              </w:rPr>
              <w:t>P61.9</w:t>
            </w:r>
          </w:p>
        </w:tc>
        <w:tc>
          <w:tcPr>
            <w:tcW w:w="3169" w:type="dxa"/>
          </w:tcPr>
          <w:p>
            <w:pPr>
              <w:pStyle w:val="TableParagraph"/>
              <w:spacing w:before="46"/>
              <w:ind w:left="1480"/>
              <w:rPr>
                <w:sz w:val="20"/>
              </w:rPr>
            </w:pPr>
            <w:r>
              <w:rPr>
                <w:w w:val="99"/>
                <w:sz w:val="20"/>
              </w:rPr>
              <w:t>-</w:t>
            </w:r>
          </w:p>
        </w:tc>
        <w:tc>
          <w:tcPr>
            <w:tcW w:w="2522" w:type="dxa"/>
          </w:tcPr>
          <w:p>
            <w:pPr>
              <w:pStyle w:val="TableParagraph"/>
              <w:spacing w:before="46"/>
              <w:ind w:left="1177"/>
              <w:rPr>
                <w:sz w:val="20"/>
              </w:rPr>
            </w:pPr>
            <w:r>
              <w:rPr>
                <w:w w:val="99"/>
                <w:sz w:val="20"/>
              </w:rPr>
              <w:t>-</w:t>
            </w:r>
          </w:p>
        </w:tc>
        <w:tc>
          <w:tcPr>
            <w:tcW w:w="891" w:type="dxa"/>
          </w:tcPr>
          <w:p>
            <w:pPr>
              <w:pStyle w:val="TableParagraph"/>
              <w:spacing w:before="46"/>
              <w:ind w:right="96"/>
              <w:jc w:val="right"/>
              <w:rPr>
                <w:sz w:val="20"/>
              </w:rPr>
            </w:pPr>
            <w:r>
              <w:rPr>
                <w:spacing w:val="-4"/>
                <w:sz w:val="20"/>
              </w:rPr>
              <w:t>1,92</w:t>
            </w:r>
          </w:p>
        </w:tc>
      </w:tr>
      <w:tr>
        <w:trPr>
          <w:trHeight w:val="1249" w:hRule="atLeast"/>
        </w:trPr>
        <w:tc>
          <w:tcPr>
            <w:tcW w:w="946" w:type="dxa"/>
          </w:tcPr>
          <w:p>
            <w:pPr>
              <w:pStyle w:val="TableParagraph"/>
              <w:spacing w:before="46"/>
              <w:ind w:left="39" w:right="198"/>
              <w:jc w:val="center"/>
              <w:rPr>
                <w:sz w:val="20"/>
              </w:rPr>
            </w:pPr>
            <w:r>
              <w:rPr>
                <w:spacing w:val="-2"/>
                <w:sz w:val="20"/>
              </w:rPr>
              <w:t>st17.005</w:t>
            </w:r>
          </w:p>
        </w:tc>
        <w:tc>
          <w:tcPr>
            <w:tcW w:w="707" w:type="dxa"/>
          </w:tcPr>
          <w:p>
            <w:pPr>
              <w:pStyle w:val="TableParagraph"/>
              <w:spacing w:before="46"/>
              <w:ind w:left="210"/>
              <w:rPr>
                <w:sz w:val="20"/>
              </w:rPr>
            </w:pPr>
            <w:r>
              <w:rPr>
                <w:spacing w:val="-5"/>
                <w:sz w:val="20"/>
              </w:rPr>
              <w:t>124</w:t>
            </w:r>
          </w:p>
        </w:tc>
        <w:tc>
          <w:tcPr>
            <w:tcW w:w="2562" w:type="dxa"/>
          </w:tcPr>
          <w:p>
            <w:pPr>
              <w:pStyle w:val="TableParagraph"/>
              <w:spacing w:before="46"/>
              <w:ind w:left="192" w:right="320"/>
              <w:rPr>
                <w:sz w:val="20"/>
              </w:rPr>
            </w:pPr>
            <w:r>
              <w:rPr>
                <w:sz w:val="20"/>
              </w:rPr>
              <w:t>Другие нарушения, возникшие в перинатальном</w:t>
            </w:r>
            <w:r>
              <w:rPr>
                <w:spacing w:val="-13"/>
                <w:sz w:val="20"/>
              </w:rPr>
              <w:t> </w:t>
            </w:r>
            <w:r>
              <w:rPr>
                <w:sz w:val="20"/>
              </w:rPr>
              <w:t>периоде (уровень 1)</w:t>
            </w:r>
          </w:p>
        </w:tc>
        <w:tc>
          <w:tcPr>
            <w:tcW w:w="4525" w:type="dxa"/>
          </w:tcPr>
          <w:p>
            <w:pPr>
              <w:pStyle w:val="TableParagraph"/>
              <w:spacing w:line="229" w:lineRule="exact" w:before="46"/>
              <w:ind w:left="157" w:right="369"/>
              <w:jc w:val="center"/>
              <w:rPr>
                <w:sz w:val="20"/>
              </w:rPr>
            </w:pPr>
            <w:r>
              <w:rPr>
                <w:sz w:val="20"/>
              </w:rPr>
              <w:t>H10,</w:t>
            </w:r>
            <w:r>
              <w:rPr>
                <w:spacing w:val="-6"/>
                <w:sz w:val="20"/>
              </w:rPr>
              <w:t> </w:t>
            </w:r>
            <w:r>
              <w:rPr>
                <w:sz w:val="20"/>
              </w:rPr>
              <w:t>H10.0,</w:t>
            </w:r>
            <w:r>
              <w:rPr>
                <w:spacing w:val="-6"/>
                <w:sz w:val="20"/>
              </w:rPr>
              <w:t> </w:t>
            </w:r>
            <w:r>
              <w:rPr>
                <w:sz w:val="20"/>
              </w:rPr>
              <w:t>H10.1,</w:t>
            </w:r>
            <w:r>
              <w:rPr>
                <w:spacing w:val="-5"/>
                <w:sz w:val="20"/>
              </w:rPr>
              <w:t> </w:t>
            </w:r>
            <w:r>
              <w:rPr>
                <w:sz w:val="20"/>
              </w:rPr>
              <w:t>H10.2,</w:t>
            </w:r>
            <w:r>
              <w:rPr>
                <w:spacing w:val="-6"/>
                <w:sz w:val="20"/>
              </w:rPr>
              <w:t> </w:t>
            </w:r>
            <w:r>
              <w:rPr>
                <w:sz w:val="20"/>
              </w:rPr>
              <w:t>H10.3,</w:t>
            </w:r>
            <w:r>
              <w:rPr>
                <w:spacing w:val="-5"/>
                <w:sz w:val="20"/>
              </w:rPr>
              <w:t> </w:t>
            </w:r>
            <w:r>
              <w:rPr>
                <w:sz w:val="20"/>
              </w:rPr>
              <w:t>H10.4,</w:t>
            </w:r>
            <w:r>
              <w:rPr>
                <w:spacing w:val="-6"/>
                <w:sz w:val="20"/>
              </w:rPr>
              <w:t> </w:t>
            </w:r>
            <w:r>
              <w:rPr>
                <w:spacing w:val="-2"/>
                <w:sz w:val="20"/>
              </w:rPr>
              <w:t>H10.5,</w:t>
            </w:r>
          </w:p>
          <w:p>
            <w:pPr>
              <w:pStyle w:val="TableParagraph"/>
              <w:spacing w:line="229" w:lineRule="exact"/>
              <w:ind w:left="158" w:right="369"/>
              <w:jc w:val="center"/>
              <w:rPr>
                <w:sz w:val="20"/>
              </w:rPr>
            </w:pPr>
            <w:r>
              <w:rPr>
                <w:sz w:val="20"/>
              </w:rPr>
              <w:t>H10.8,</w:t>
            </w:r>
            <w:r>
              <w:rPr>
                <w:spacing w:val="-5"/>
                <w:sz w:val="20"/>
              </w:rPr>
              <w:t> </w:t>
            </w:r>
            <w:r>
              <w:rPr>
                <w:sz w:val="20"/>
              </w:rPr>
              <w:t>H10.9,</w:t>
            </w:r>
            <w:r>
              <w:rPr>
                <w:spacing w:val="-7"/>
                <w:sz w:val="20"/>
              </w:rPr>
              <w:t> </w:t>
            </w:r>
            <w:r>
              <w:rPr>
                <w:sz w:val="20"/>
              </w:rPr>
              <w:t>L08.0,</w:t>
            </w:r>
            <w:r>
              <w:rPr>
                <w:spacing w:val="-5"/>
                <w:sz w:val="20"/>
              </w:rPr>
              <w:t> </w:t>
            </w:r>
            <w:r>
              <w:rPr>
                <w:sz w:val="20"/>
              </w:rPr>
              <w:t>L08.8,</w:t>
            </w:r>
            <w:r>
              <w:rPr>
                <w:spacing w:val="-5"/>
                <w:sz w:val="20"/>
              </w:rPr>
              <w:t> </w:t>
            </w:r>
            <w:r>
              <w:rPr>
                <w:sz w:val="20"/>
              </w:rPr>
              <w:t>L20.0,</w:t>
            </w:r>
            <w:r>
              <w:rPr>
                <w:spacing w:val="-4"/>
                <w:sz w:val="20"/>
              </w:rPr>
              <w:t> </w:t>
            </w:r>
            <w:r>
              <w:rPr>
                <w:sz w:val="20"/>
              </w:rPr>
              <w:t>L20.8,</w:t>
            </w:r>
            <w:r>
              <w:rPr>
                <w:spacing w:val="-5"/>
                <w:sz w:val="20"/>
              </w:rPr>
              <w:t> </w:t>
            </w:r>
            <w:r>
              <w:rPr>
                <w:spacing w:val="-2"/>
                <w:sz w:val="20"/>
              </w:rPr>
              <w:t>L20.9,</w:t>
            </w:r>
          </w:p>
          <w:p>
            <w:pPr>
              <w:pStyle w:val="TableParagraph"/>
              <w:spacing w:before="1"/>
              <w:ind w:left="158" w:right="369"/>
              <w:jc w:val="center"/>
              <w:rPr>
                <w:sz w:val="20"/>
              </w:rPr>
            </w:pPr>
            <w:r>
              <w:rPr>
                <w:sz w:val="20"/>
              </w:rPr>
              <w:t>L23.0,</w:t>
            </w:r>
            <w:r>
              <w:rPr>
                <w:spacing w:val="-6"/>
                <w:sz w:val="20"/>
              </w:rPr>
              <w:t> </w:t>
            </w:r>
            <w:r>
              <w:rPr>
                <w:sz w:val="20"/>
              </w:rPr>
              <w:t>L23.1,</w:t>
            </w:r>
            <w:r>
              <w:rPr>
                <w:spacing w:val="-5"/>
                <w:sz w:val="20"/>
              </w:rPr>
              <w:t> </w:t>
            </w:r>
            <w:r>
              <w:rPr>
                <w:sz w:val="20"/>
              </w:rPr>
              <w:t>L23.2,</w:t>
            </w:r>
            <w:r>
              <w:rPr>
                <w:spacing w:val="-5"/>
                <w:sz w:val="20"/>
              </w:rPr>
              <w:t> </w:t>
            </w:r>
            <w:r>
              <w:rPr>
                <w:sz w:val="20"/>
              </w:rPr>
              <w:t>L23.3,</w:t>
            </w:r>
            <w:r>
              <w:rPr>
                <w:spacing w:val="-5"/>
                <w:sz w:val="20"/>
              </w:rPr>
              <w:t> </w:t>
            </w:r>
            <w:r>
              <w:rPr>
                <w:sz w:val="20"/>
              </w:rPr>
              <w:t>L23.4,</w:t>
            </w:r>
            <w:r>
              <w:rPr>
                <w:spacing w:val="-5"/>
                <w:sz w:val="20"/>
              </w:rPr>
              <w:t> </w:t>
            </w:r>
            <w:r>
              <w:rPr>
                <w:sz w:val="20"/>
              </w:rPr>
              <w:t>L23.5,</w:t>
            </w:r>
            <w:r>
              <w:rPr>
                <w:spacing w:val="-5"/>
                <w:sz w:val="20"/>
              </w:rPr>
              <w:t> </w:t>
            </w:r>
            <w:r>
              <w:rPr>
                <w:spacing w:val="-2"/>
                <w:sz w:val="20"/>
              </w:rPr>
              <w:t>L23.6,</w:t>
            </w:r>
          </w:p>
          <w:p>
            <w:pPr>
              <w:pStyle w:val="TableParagraph"/>
              <w:ind w:left="158" w:right="369"/>
              <w:jc w:val="center"/>
              <w:rPr>
                <w:sz w:val="20"/>
              </w:rPr>
            </w:pPr>
            <w:r>
              <w:rPr>
                <w:sz w:val="20"/>
              </w:rPr>
              <w:t>L23.7,</w:t>
            </w:r>
            <w:r>
              <w:rPr>
                <w:spacing w:val="-7"/>
                <w:sz w:val="20"/>
              </w:rPr>
              <w:t> </w:t>
            </w:r>
            <w:r>
              <w:rPr>
                <w:sz w:val="20"/>
              </w:rPr>
              <w:t>L23.8,</w:t>
            </w:r>
            <w:r>
              <w:rPr>
                <w:spacing w:val="-7"/>
                <w:sz w:val="20"/>
              </w:rPr>
              <w:t> </w:t>
            </w:r>
            <w:r>
              <w:rPr>
                <w:sz w:val="20"/>
              </w:rPr>
              <w:t>L23.9,</w:t>
            </w:r>
            <w:r>
              <w:rPr>
                <w:spacing w:val="-7"/>
                <w:sz w:val="20"/>
              </w:rPr>
              <w:t> </w:t>
            </w:r>
            <w:r>
              <w:rPr>
                <w:sz w:val="20"/>
              </w:rPr>
              <w:t>L26,</w:t>
            </w:r>
            <w:r>
              <w:rPr>
                <w:spacing w:val="-7"/>
                <w:sz w:val="20"/>
              </w:rPr>
              <w:t> </w:t>
            </w:r>
            <w:r>
              <w:rPr>
                <w:sz w:val="20"/>
              </w:rPr>
              <w:t>L27.0,</w:t>
            </w:r>
            <w:r>
              <w:rPr>
                <w:spacing w:val="-7"/>
                <w:sz w:val="20"/>
              </w:rPr>
              <w:t> </w:t>
            </w:r>
            <w:r>
              <w:rPr>
                <w:sz w:val="20"/>
              </w:rPr>
              <w:t>L27.2,</w:t>
            </w:r>
            <w:r>
              <w:rPr>
                <w:spacing w:val="-7"/>
                <w:sz w:val="20"/>
              </w:rPr>
              <w:t> </w:t>
            </w:r>
            <w:r>
              <w:rPr>
                <w:sz w:val="20"/>
              </w:rPr>
              <w:t>L30.9, </w:t>
            </w:r>
            <w:r>
              <w:rPr>
                <w:spacing w:val="-2"/>
                <w:sz w:val="20"/>
              </w:rPr>
              <w:t>L50.0</w:t>
            </w:r>
          </w:p>
        </w:tc>
        <w:tc>
          <w:tcPr>
            <w:tcW w:w="3169" w:type="dxa"/>
          </w:tcPr>
          <w:p>
            <w:pPr>
              <w:pStyle w:val="TableParagraph"/>
              <w:spacing w:before="46"/>
              <w:ind w:left="1480"/>
              <w:rPr>
                <w:sz w:val="20"/>
              </w:rPr>
            </w:pPr>
            <w:r>
              <w:rPr>
                <w:w w:val="99"/>
                <w:sz w:val="20"/>
              </w:rPr>
              <w:t>-</w:t>
            </w:r>
          </w:p>
        </w:tc>
        <w:tc>
          <w:tcPr>
            <w:tcW w:w="2522" w:type="dxa"/>
          </w:tcPr>
          <w:p>
            <w:pPr>
              <w:pStyle w:val="TableParagraph"/>
              <w:spacing w:before="46"/>
              <w:ind w:left="565" w:right="474" w:hanging="180"/>
              <w:rPr>
                <w:sz w:val="20"/>
              </w:rPr>
            </w:pPr>
            <w:r>
              <w:rPr>
                <w:sz w:val="20"/>
              </w:rPr>
              <w:t>Возрастная</w:t>
            </w:r>
            <w:r>
              <w:rPr>
                <w:spacing w:val="-13"/>
                <w:sz w:val="20"/>
              </w:rPr>
              <w:t> </w:t>
            </w:r>
            <w:r>
              <w:rPr>
                <w:sz w:val="20"/>
              </w:rPr>
              <w:t>группа: от 0 до 28 дней</w:t>
            </w:r>
          </w:p>
        </w:tc>
        <w:tc>
          <w:tcPr>
            <w:tcW w:w="891" w:type="dxa"/>
          </w:tcPr>
          <w:p>
            <w:pPr>
              <w:pStyle w:val="TableParagraph"/>
              <w:spacing w:before="46"/>
              <w:ind w:right="96"/>
              <w:jc w:val="right"/>
              <w:rPr>
                <w:sz w:val="20"/>
              </w:rPr>
            </w:pPr>
            <w:r>
              <w:rPr>
                <w:spacing w:val="-4"/>
                <w:sz w:val="20"/>
              </w:rPr>
              <w:t>1,39</w:t>
            </w:r>
          </w:p>
        </w:tc>
      </w:tr>
      <w:tr>
        <w:trPr>
          <w:trHeight w:val="1196" w:hRule="atLeast"/>
        </w:trPr>
        <w:tc>
          <w:tcPr>
            <w:tcW w:w="946" w:type="dxa"/>
          </w:tcPr>
          <w:p>
            <w:pPr>
              <w:pStyle w:val="TableParagraph"/>
              <w:rPr>
                <w:sz w:val="18"/>
              </w:rPr>
            </w:pPr>
          </w:p>
        </w:tc>
        <w:tc>
          <w:tcPr>
            <w:tcW w:w="707" w:type="dxa"/>
          </w:tcPr>
          <w:p>
            <w:pPr>
              <w:pStyle w:val="TableParagraph"/>
              <w:rPr>
                <w:sz w:val="18"/>
              </w:rPr>
            </w:pPr>
          </w:p>
        </w:tc>
        <w:tc>
          <w:tcPr>
            <w:tcW w:w="2562" w:type="dxa"/>
          </w:tcPr>
          <w:p>
            <w:pPr>
              <w:pStyle w:val="TableParagraph"/>
              <w:rPr>
                <w:sz w:val="18"/>
              </w:rPr>
            </w:pPr>
          </w:p>
        </w:tc>
        <w:tc>
          <w:tcPr>
            <w:tcW w:w="4525" w:type="dxa"/>
          </w:tcPr>
          <w:p>
            <w:pPr>
              <w:pStyle w:val="TableParagraph"/>
              <w:spacing w:before="45"/>
              <w:ind w:right="562"/>
              <w:jc w:val="right"/>
              <w:rPr>
                <w:sz w:val="20"/>
              </w:rPr>
            </w:pPr>
            <w:r>
              <w:rPr>
                <w:sz w:val="20"/>
              </w:rPr>
              <w:t>A33,</w:t>
            </w:r>
            <w:r>
              <w:rPr>
                <w:spacing w:val="-7"/>
                <w:sz w:val="20"/>
              </w:rPr>
              <w:t> </w:t>
            </w:r>
            <w:r>
              <w:rPr>
                <w:sz w:val="20"/>
              </w:rPr>
              <w:t>P00,</w:t>
            </w:r>
            <w:r>
              <w:rPr>
                <w:spacing w:val="-7"/>
                <w:sz w:val="20"/>
              </w:rPr>
              <w:t> </w:t>
            </w:r>
            <w:r>
              <w:rPr>
                <w:sz w:val="20"/>
              </w:rPr>
              <w:t>P00.0,</w:t>
            </w:r>
            <w:r>
              <w:rPr>
                <w:spacing w:val="-6"/>
                <w:sz w:val="20"/>
              </w:rPr>
              <w:t> </w:t>
            </w:r>
            <w:r>
              <w:rPr>
                <w:sz w:val="20"/>
              </w:rPr>
              <w:t>P00.1,</w:t>
            </w:r>
            <w:r>
              <w:rPr>
                <w:spacing w:val="-5"/>
                <w:sz w:val="20"/>
              </w:rPr>
              <w:t> </w:t>
            </w:r>
            <w:r>
              <w:rPr>
                <w:sz w:val="20"/>
              </w:rPr>
              <w:t>P00.2,</w:t>
            </w:r>
            <w:r>
              <w:rPr>
                <w:spacing w:val="-5"/>
                <w:sz w:val="20"/>
              </w:rPr>
              <w:t> </w:t>
            </w:r>
            <w:r>
              <w:rPr>
                <w:sz w:val="20"/>
              </w:rPr>
              <w:t>P00.3,</w:t>
            </w:r>
            <w:r>
              <w:rPr>
                <w:spacing w:val="-6"/>
                <w:sz w:val="20"/>
              </w:rPr>
              <w:t> </w:t>
            </w:r>
            <w:r>
              <w:rPr>
                <w:spacing w:val="-2"/>
                <w:sz w:val="20"/>
              </w:rPr>
              <w:t>P00.4,</w:t>
            </w:r>
          </w:p>
          <w:p>
            <w:pPr>
              <w:pStyle w:val="TableParagraph"/>
              <w:ind w:right="507"/>
              <w:jc w:val="right"/>
              <w:rPr>
                <w:sz w:val="20"/>
              </w:rPr>
            </w:pPr>
            <w:r>
              <w:rPr>
                <w:sz w:val="20"/>
              </w:rPr>
              <w:t>P00.5,</w:t>
            </w:r>
            <w:r>
              <w:rPr>
                <w:spacing w:val="-6"/>
                <w:sz w:val="20"/>
              </w:rPr>
              <w:t> </w:t>
            </w:r>
            <w:r>
              <w:rPr>
                <w:sz w:val="20"/>
              </w:rPr>
              <w:t>P00.6,</w:t>
            </w:r>
            <w:r>
              <w:rPr>
                <w:spacing w:val="-6"/>
                <w:sz w:val="20"/>
              </w:rPr>
              <w:t> </w:t>
            </w:r>
            <w:r>
              <w:rPr>
                <w:sz w:val="20"/>
              </w:rPr>
              <w:t>P00.7,</w:t>
            </w:r>
            <w:r>
              <w:rPr>
                <w:spacing w:val="-6"/>
                <w:sz w:val="20"/>
              </w:rPr>
              <w:t> </w:t>
            </w:r>
            <w:r>
              <w:rPr>
                <w:sz w:val="20"/>
              </w:rPr>
              <w:t>P00.8,</w:t>
            </w:r>
            <w:r>
              <w:rPr>
                <w:spacing w:val="-6"/>
                <w:sz w:val="20"/>
              </w:rPr>
              <w:t> </w:t>
            </w:r>
            <w:r>
              <w:rPr>
                <w:sz w:val="20"/>
              </w:rPr>
              <w:t>P00.9,</w:t>
            </w:r>
            <w:r>
              <w:rPr>
                <w:spacing w:val="-6"/>
                <w:sz w:val="20"/>
              </w:rPr>
              <w:t> </w:t>
            </w:r>
            <w:r>
              <w:rPr>
                <w:sz w:val="20"/>
              </w:rPr>
              <w:t>P01,</w:t>
            </w:r>
            <w:r>
              <w:rPr>
                <w:spacing w:val="-5"/>
                <w:sz w:val="20"/>
              </w:rPr>
              <w:t> </w:t>
            </w:r>
            <w:r>
              <w:rPr>
                <w:spacing w:val="-2"/>
                <w:sz w:val="20"/>
              </w:rPr>
              <w:t>P01.0,</w:t>
            </w:r>
          </w:p>
          <w:p>
            <w:pPr>
              <w:pStyle w:val="TableParagraph"/>
              <w:ind w:right="431"/>
              <w:jc w:val="right"/>
              <w:rPr>
                <w:sz w:val="20"/>
              </w:rPr>
            </w:pPr>
            <w:r>
              <w:rPr>
                <w:sz w:val="20"/>
              </w:rPr>
              <w:t>P01.1,</w:t>
            </w:r>
            <w:r>
              <w:rPr>
                <w:spacing w:val="-7"/>
                <w:sz w:val="20"/>
              </w:rPr>
              <w:t> </w:t>
            </w:r>
            <w:r>
              <w:rPr>
                <w:sz w:val="20"/>
              </w:rPr>
              <w:t>P01.2,</w:t>
            </w:r>
            <w:r>
              <w:rPr>
                <w:spacing w:val="-6"/>
                <w:sz w:val="20"/>
              </w:rPr>
              <w:t> </w:t>
            </w:r>
            <w:r>
              <w:rPr>
                <w:sz w:val="20"/>
              </w:rPr>
              <w:t>P01.3,</w:t>
            </w:r>
            <w:r>
              <w:rPr>
                <w:spacing w:val="-6"/>
                <w:sz w:val="20"/>
              </w:rPr>
              <w:t> </w:t>
            </w:r>
            <w:r>
              <w:rPr>
                <w:sz w:val="20"/>
              </w:rPr>
              <w:t>P01.4,</w:t>
            </w:r>
            <w:r>
              <w:rPr>
                <w:spacing w:val="-6"/>
                <w:sz w:val="20"/>
              </w:rPr>
              <w:t> </w:t>
            </w:r>
            <w:r>
              <w:rPr>
                <w:sz w:val="20"/>
              </w:rPr>
              <w:t>P01.5,</w:t>
            </w:r>
            <w:r>
              <w:rPr>
                <w:spacing w:val="-6"/>
                <w:sz w:val="20"/>
              </w:rPr>
              <w:t> </w:t>
            </w:r>
            <w:r>
              <w:rPr>
                <w:sz w:val="20"/>
              </w:rPr>
              <w:t>P01.6,</w:t>
            </w:r>
            <w:r>
              <w:rPr>
                <w:spacing w:val="-6"/>
                <w:sz w:val="20"/>
              </w:rPr>
              <w:t> </w:t>
            </w:r>
            <w:r>
              <w:rPr>
                <w:spacing w:val="-2"/>
                <w:sz w:val="20"/>
              </w:rPr>
              <w:t>P01.7,</w:t>
            </w:r>
          </w:p>
          <w:p>
            <w:pPr>
              <w:pStyle w:val="TableParagraph"/>
              <w:spacing w:before="1"/>
              <w:ind w:right="502"/>
              <w:jc w:val="right"/>
              <w:rPr>
                <w:sz w:val="20"/>
              </w:rPr>
            </w:pPr>
            <w:r>
              <w:rPr>
                <w:sz w:val="20"/>
              </w:rPr>
              <w:t>P01.8,</w:t>
            </w:r>
            <w:r>
              <w:rPr>
                <w:spacing w:val="-7"/>
                <w:sz w:val="20"/>
              </w:rPr>
              <w:t> </w:t>
            </w:r>
            <w:r>
              <w:rPr>
                <w:sz w:val="20"/>
              </w:rPr>
              <w:t>P01.9,</w:t>
            </w:r>
            <w:r>
              <w:rPr>
                <w:spacing w:val="-6"/>
                <w:sz w:val="20"/>
              </w:rPr>
              <w:t> </w:t>
            </w:r>
            <w:r>
              <w:rPr>
                <w:sz w:val="20"/>
              </w:rPr>
              <w:t>P02,</w:t>
            </w:r>
            <w:r>
              <w:rPr>
                <w:spacing w:val="-6"/>
                <w:sz w:val="20"/>
              </w:rPr>
              <w:t> </w:t>
            </w:r>
            <w:r>
              <w:rPr>
                <w:sz w:val="20"/>
              </w:rPr>
              <w:t>P02.0,</w:t>
            </w:r>
            <w:r>
              <w:rPr>
                <w:spacing w:val="-6"/>
                <w:sz w:val="20"/>
              </w:rPr>
              <w:t> </w:t>
            </w:r>
            <w:r>
              <w:rPr>
                <w:sz w:val="20"/>
              </w:rPr>
              <w:t>P02.1, P02.2,</w:t>
            </w:r>
            <w:r>
              <w:rPr>
                <w:spacing w:val="-5"/>
                <w:sz w:val="20"/>
              </w:rPr>
              <w:t> </w:t>
            </w:r>
            <w:r>
              <w:rPr>
                <w:spacing w:val="-2"/>
                <w:sz w:val="20"/>
              </w:rPr>
              <w:t>P02.3,</w:t>
            </w:r>
          </w:p>
          <w:p>
            <w:pPr>
              <w:pStyle w:val="TableParagraph"/>
              <w:spacing w:line="210" w:lineRule="exact"/>
              <w:ind w:right="507"/>
              <w:jc w:val="right"/>
              <w:rPr>
                <w:sz w:val="20"/>
              </w:rPr>
            </w:pPr>
            <w:r>
              <w:rPr>
                <w:sz w:val="20"/>
              </w:rPr>
              <w:t>P02.4,</w:t>
            </w:r>
            <w:r>
              <w:rPr>
                <w:spacing w:val="-7"/>
                <w:sz w:val="20"/>
              </w:rPr>
              <w:t> </w:t>
            </w:r>
            <w:r>
              <w:rPr>
                <w:sz w:val="20"/>
              </w:rPr>
              <w:t>P02.5,</w:t>
            </w:r>
            <w:r>
              <w:rPr>
                <w:spacing w:val="-6"/>
                <w:sz w:val="20"/>
              </w:rPr>
              <w:t> </w:t>
            </w:r>
            <w:r>
              <w:rPr>
                <w:sz w:val="20"/>
              </w:rPr>
              <w:t>P02.6,</w:t>
            </w:r>
            <w:r>
              <w:rPr>
                <w:spacing w:val="-6"/>
                <w:sz w:val="20"/>
              </w:rPr>
              <w:t> </w:t>
            </w:r>
            <w:r>
              <w:rPr>
                <w:sz w:val="20"/>
              </w:rPr>
              <w:t>P02.7,</w:t>
            </w:r>
            <w:r>
              <w:rPr>
                <w:spacing w:val="-6"/>
                <w:sz w:val="20"/>
              </w:rPr>
              <w:t> </w:t>
            </w:r>
            <w:r>
              <w:rPr>
                <w:sz w:val="20"/>
              </w:rPr>
              <w:t>P02.8,</w:t>
            </w:r>
            <w:r>
              <w:rPr>
                <w:spacing w:val="-6"/>
                <w:sz w:val="20"/>
              </w:rPr>
              <w:t> </w:t>
            </w:r>
            <w:r>
              <w:rPr>
                <w:sz w:val="20"/>
              </w:rPr>
              <w:t>P02.9,</w:t>
            </w:r>
            <w:r>
              <w:rPr>
                <w:spacing w:val="-6"/>
                <w:sz w:val="20"/>
              </w:rPr>
              <w:t> </w:t>
            </w:r>
            <w:r>
              <w:rPr>
                <w:spacing w:val="-4"/>
                <w:sz w:val="20"/>
              </w:rPr>
              <w:t>P03,</w:t>
            </w:r>
          </w:p>
        </w:tc>
        <w:tc>
          <w:tcPr>
            <w:tcW w:w="3169" w:type="dxa"/>
          </w:tcPr>
          <w:p>
            <w:pPr>
              <w:pStyle w:val="TableParagraph"/>
              <w:spacing w:before="45"/>
              <w:ind w:left="1480"/>
              <w:rPr>
                <w:sz w:val="20"/>
              </w:rPr>
            </w:pPr>
            <w:r>
              <w:rPr>
                <w:w w:val="99"/>
                <w:sz w:val="20"/>
              </w:rPr>
              <w:t>-</w:t>
            </w:r>
          </w:p>
        </w:tc>
        <w:tc>
          <w:tcPr>
            <w:tcW w:w="2522" w:type="dxa"/>
          </w:tcPr>
          <w:p>
            <w:pPr>
              <w:pStyle w:val="TableParagraph"/>
              <w:spacing w:before="45"/>
              <w:ind w:left="1177"/>
              <w:rPr>
                <w:sz w:val="20"/>
              </w:rPr>
            </w:pPr>
            <w:r>
              <w:rPr>
                <w:w w:val="99"/>
                <w:sz w:val="20"/>
              </w:rPr>
              <w:t>-</w:t>
            </w:r>
          </w:p>
        </w:tc>
        <w:tc>
          <w:tcPr>
            <w:tcW w:w="891"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07"/>
        <w:gridCol w:w="5105"/>
        <w:gridCol w:w="2028"/>
        <w:gridCol w:w="3120"/>
        <w:gridCol w:w="865"/>
      </w:tblGrid>
      <w:tr>
        <w:trPr>
          <w:trHeight w:val="4875" w:hRule="atLeast"/>
        </w:trPr>
        <w:tc>
          <w:tcPr>
            <w:tcW w:w="946" w:type="dxa"/>
          </w:tcPr>
          <w:p>
            <w:pPr>
              <w:pStyle w:val="TableParagraph"/>
              <w:rPr>
                <w:sz w:val="18"/>
              </w:rPr>
            </w:pPr>
          </w:p>
        </w:tc>
        <w:tc>
          <w:tcPr>
            <w:tcW w:w="707" w:type="dxa"/>
          </w:tcPr>
          <w:p>
            <w:pPr>
              <w:pStyle w:val="TableParagraph"/>
              <w:rPr>
                <w:sz w:val="18"/>
              </w:rPr>
            </w:pPr>
          </w:p>
        </w:tc>
        <w:tc>
          <w:tcPr>
            <w:tcW w:w="2507" w:type="dxa"/>
          </w:tcPr>
          <w:p>
            <w:pPr>
              <w:pStyle w:val="TableParagraph"/>
              <w:rPr>
                <w:sz w:val="18"/>
              </w:rPr>
            </w:pPr>
          </w:p>
        </w:tc>
        <w:tc>
          <w:tcPr>
            <w:tcW w:w="5105" w:type="dxa"/>
          </w:tcPr>
          <w:p>
            <w:pPr>
              <w:pStyle w:val="TableParagraph"/>
              <w:spacing w:line="221" w:lineRule="exact"/>
              <w:ind w:left="273"/>
              <w:rPr>
                <w:sz w:val="20"/>
              </w:rPr>
            </w:pPr>
            <w:r>
              <w:rPr>
                <w:sz w:val="20"/>
              </w:rPr>
              <w:t>P03.0,</w:t>
            </w:r>
            <w:r>
              <w:rPr>
                <w:spacing w:val="-7"/>
                <w:sz w:val="20"/>
              </w:rPr>
              <w:t> </w:t>
            </w:r>
            <w:r>
              <w:rPr>
                <w:sz w:val="20"/>
              </w:rPr>
              <w:t>P03.1,</w:t>
            </w:r>
            <w:r>
              <w:rPr>
                <w:spacing w:val="-6"/>
                <w:sz w:val="20"/>
              </w:rPr>
              <w:t> </w:t>
            </w:r>
            <w:r>
              <w:rPr>
                <w:sz w:val="20"/>
              </w:rPr>
              <w:t>P03.2,</w:t>
            </w:r>
            <w:r>
              <w:rPr>
                <w:spacing w:val="-6"/>
                <w:sz w:val="20"/>
              </w:rPr>
              <w:t> </w:t>
            </w:r>
            <w:r>
              <w:rPr>
                <w:sz w:val="20"/>
              </w:rPr>
              <w:t>P03.3,</w:t>
            </w:r>
            <w:r>
              <w:rPr>
                <w:spacing w:val="-6"/>
                <w:sz w:val="20"/>
              </w:rPr>
              <w:t> </w:t>
            </w:r>
            <w:r>
              <w:rPr>
                <w:sz w:val="20"/>
              </w:rPr>
              <w:t>P03.4,</w:t>
            </w:r>
            <w:r>
              <w:rPr>
                <w:spacing w:val="-6"/>
                <w:sz w:val="20"/>
              </w:rPr>
              <w:t> </w:t>
            </w:r>
            <w:r>
              <w:rPr>
                <w:sz w:val="20"/>
              </w:rPr>
              <w:t>P03.5,</w:t>
            </w:r>
            <w:r>
              <w:rPr>
                <w:spacing w:val="-6"/>
                <w:sz w:val="20"/>
              </w:rPr>
              <w:t> </w:t>
            </w:r>
            <w:r>
              <w:rPr>
                <w:spacing w:val="-2"/>
                <w:sz w:val="20"/>
              </w:rPr>
              <w:t>P03.6,</w:t>
            </w:r>
          </w:p>
          <w:p>
            <w:pPr>
              <w:pStyle w:val="TableParagraph"/>
              <w:spacing w:line="229" w:lineRule="exact"/>
              <w:ind w:left="347"/>
              <w:rPr>
                <w:sz w:val="20"/>
              </w:rPr>
            </w:pPr>
            <w:r>
              <w:rPr>
                <w:sz w:val="20"/>
              </w:rPr>
              <w:t>P03.8,</w:t>
            </w:r>
            <w:r>
              <w:rPr>
                <w:spacing w:val="-7"/>
                <w:sz w:val="20"/>
              </w:rPr>
              <w:t> </w:t>
            </w:r>
            <w:r>
              <w:rPr>
                <w:sz w:val="20"/>
              </w:rPr>
              <w:t>P03.9,</w:t>
            </w:r>
            <w:r>
              <w:rPr>
                <w:spacing w:val="-6"/>
                <w:sz w:val="20"/>
              </w:rPr>
              <w:t> </w:t>
            </w:r>
            <w:r>
              <w:rPr>
                <w:sz w:val="20"/>
              </w:rPr>
              <w:t>P04,</w:t>
            </w:r>
            <w:r>
              <w:rPr>
                <w:spacing w:val="-6"/>
                <w:sz w:val="20"/>
              </w:rPr>
              <w:t> </w:t>
            </w:r>
            <w:r>
              <w:rPr>
                <w:sz w:val="20"/>
              </w:rPr>
              <w:t>P04.0,</w:t>
            </w:r>
            <w:r>
              <w:rPr>
                <w:spacing w:val="-7"/>
                <w:sz w:val="20"/>
              </w:rPr>
              <w:t> </w:t>
            </w:r>
            <w:r>
              <w:rPr>
                <w:sz w:val="20"/>
              </w:rPr>
              <w:t>P04.1,</w:t>
            </w:r>
            <w:r>
              <w:rPr>
                <w:spacing w:val="-4"/>
                <w:sz w:val="20"/>
              </w:rPr>
              <w:t> </w:t>
            </w:r>
            <w:r>
              <w:rPr>
                <w:sz w:val="20"/>
              </w:rPr>
              <w:t>P04.2,</w:t>
            </w:r>
            <w:r>
              <w:rPr>
                <w:spacing w:val="-5"/>
                <w:sz w:val="20"/>
              </w:rPr>
              <w:t> </w:t>
            </w:r>
            <w:r>
              <w:rPr>
                <w:spacing w:val="-2"/>
                <w:sz w:val="20"/>
              </w:rPr>
              <w:t>P04.3,</w:t>
            </w:r>
          </w:p>
          <w:p>
            <w:pPr>
              <w:pStyle w:val="TableParagraph"/>
              <w:spacing w:line="229" w:lineRule="exact"/>
              <w:ind w:left="347"/>
              <w:rPr>
                <w:sz w:val="20"/>
              </w:rPr>
            </w:pPr>
            <w:r>
              <w:rPr>
                <w:sz w:val="20"/>
              </w:rPr>
              <w:t>P04.4,</w:t>
            </w:r>
            <w:r>
              <w:rPr>
                <w:spacing w:val="-6"/>
                <w:sz w:val="20"/>
              </w:rPr>
              <w:t> </w:t>
            </w:r>
            <w:r>
              <w:rPr>
                <w:sz w:val="20"/>
              </w:rPr>
              <w:t>P04.5,</w:t>
            </w:r>
            <w:r>
              <w:rPr>
                <w:spacing w:val="-6"/>
                <w:sz w:val="20"/>
              </w:rPr>
              <w:t> </w:t>
            </w:r>
            <w:r>
              <w:rPr>
                <w:sz w:val="20"/>
              </w:rPr>
              <w:t>P04.6,</w:t>
            </w:r>
            <w:r>
              <w:rPr>
                <w:spacing w:val="-6"/>
                <w:sz w:val="20"/>
              </w:rPr>
              <w:t> </w:t>
            </w:r>
            <w:r>
              <w:rPr>
                <w:sz w:val="20"/>
              </w:rPr>
              <w:t>P04.8,</w:t>
            </w:r>
            <w:r>
              <w:rPr>
                <w:spacing w:val="-6"/>
                <w:sz w:val="20"/>
              </w:rPr>
              <w:t> </w:t>
            </w:r>
            <w:r>
              <w:rPr>
                <w:sz w:val="20"/>
              </w:rPr>
              <w:t>P04.9,</w:t>
            </w:r>
            <w:r>
              <w:rPr>
                <w:spacing w:val="-6"/>
                <w:sz w:val="20"/>
              </w:rPr>
              <w:t> </w:t>
            </w:r>
            <w:r>
              <w:rPr>
                <w:sz w:val="20"/>
              </w:rPr>
              <w:t>P08,</w:t>
            </w:r>
            <w:r>
              <w:rPr>
                <w:spacing w:val="-5"/>
                <w:sz w:val="20"/>
              </w:rPr>
              <w:t> </w:t>
            </w:r>
            <w:r>
              <w:rPr>
                <w:spacing w:val="-2"/>
                <w:sz w:val="20"/>
              </w:rPr>
              <w:t>P08.0,</w:t>
            </w:r>
          </w:p>
          <w:p>
            <w:pPr>
              <w:pStyle w:val="TableParagraph"/>
              <w:spacing w:before="1"/>
              <w:ind w:left="347"/>
              <w:rPr>
                <w:sz w:val="20"/>
              </w:rPr>
            </w:pPr>
            <w:r>
              <w:rPr>
                <w:sz w:val="20"/>
              </w:rPr>
              <w:t>P08.1,</w:t>
            </w:r>
            <w:r>
              <w:rPr>
                <w:spacing w:val="-7"/>
                <w:sz w:val="20"/>
              </w:rPr>
              <w:t> </w:t>
            </w:r>
            <w:r>
              <w:rPr>
                <w:sz w:val="20"/>
              </w:rPr>
              <w:t>P08.2,</w:t>
            </w:r>
            <w:r>
              <w:rPr>
                <w:spacing w:val="-6"/>
                <w:sz w:val="20"/>
              </w:rPr>
              <w:t> </w:t>
            </w:r>
            <w:r>
              <w:rPr>
                <w:sz w:val="20"/>
              </w:rPr>
              <w:t>P37,</w:t>
            </w:r>
            <w:r>
              <w:rPr>
                <w:spacing w:val="-6"/>
                <w:sz w:val="20"/>
              </w:rPr>
              <w:t> </w:t>
            </w:r>
            <w:r>
              <w:rPr>
                <w:sz w:val="20"/>
              </w:rPr>
              <w:t>P37.1,</w:t>
            </w:r>
            <w:r>
              <w:rPr>
                <w:spacing w:val="-7"/>
                <w:sz w:val="20"/>
              </w:rPr>
              <w:t> </w:t>
            </w:r>
            <w:r>
              <w:rPr>
                <w:sz w:val="20"/>
              </w:rPr>
              <w:t>P37.2,</w:t>
            </w:r>
            <w:r>
              <w:rPr>
                <w:spacing w:val="-4"/>
                <w:sz w:val="20"/>
              </w:rPr>
              <w:t> </w:t>
            </w:r>
            <w:r>
              <w:rPr>
                <w:sz w:val="20"/>
              </w:rPr>
              <w:t>P37.3,</w:t>
            </w:r>
            <w:r>
              <w:rPr>
                <w:spacing w:val="-5"/>
                <w:sz w:val="20"/>
              </w:rPr>
              <w:t> </w:t>
            </w:r>
            <w:r>
              <w:rPr>
                <w:spacing w:val="-2"/>
                <w:sz w:val="20"/>
              </w:rPr>
              <w:t>P37.4,</w:t>
            </w:r>
          </w:p>
          <w:p>
            <w:pPr>
              <w:pStyle w:val="TableParagraph"/>
              <w:ind w:left="422"/>
              <w:rPr>
                <w:sz w:val="20"/>
              </w:rPr>
            </w:pPr>
            <w:r>
              <w:rPr>
                <w:sz w:val="20"/>
              </w:rPr>
              <w:t>P37.5,</w:t>
            </w:r>
            <w:r>
              <w:rPr>
                <w:spacing w:val="-6"/>
                <w:sz w:val="20"/>
              </w:rPr>
              <w:t> </w:t>
            </w:r>
            <w:r>
              <w:rPr>
                <w:sz w:val="20"/>
              </w:rPr>
              <w:t>P37.8,</w:t>
            </w:r>
            <w:r>
              <w:rPr>
                <w:spacing w:val="-6"/>
                <w:sz w:val="20"/>
              </w:rPr>
              <w:t> </w:t>
            </w:r>
            <w:r>
              <w:rPr>
                <w:sz w:val="20"/>
              </w:rPr>
              <w:t>P37.9,</w:t>
            </w:r>
            <w:r>
              <w:rPr>
                <w:spacing w:val="-6"/>
                <w:sz w:val="20"/>
              </w:rPr>
              <w:t> </w:t>
            </w:r>
            <w:r>
              <w:rPr>
                <w:sz w:val="20"/>
              </w:rPr>
              <w:t>P38,</w:t>
            </w:r>
            <w:r>
              <w:rPr>
                <w:spacing w:val="-6"/>
                <w:sz w:val="20"/>
              </w:rPr>
              <w:t> </w:t>
            </w:r>
            <w:r>
              <w:rPr>
                <w:sz w:val="20"/>
              </w:rPr>
              <w:t>P39,</w:t>
            </w:r>
            <w:r>
              <w:rPr>
                <w:spacing w:val="-5"/>
                <w:sz w:val="20"/>
              </w:rPr>
              <w:t> </w:t>
            </w:r>
            <w:r>
              <w:rPr>
                <w:sz w:val="20"/>
              </w:rPr>
              <w:t>P39.0,</w:t>
            </w:r>
            <w:r>
              <w:rPr>
                <w:spacing w:val="-6"/>
                <w:sz w:val="20"/>
              </w:rPr>
              <w:t> </w:t>
            </w:r>
            <w:r>
              <w:rPr>
                <w:spacing w:val="-2"/>
                <w:sz w:val="20"/>
              </w:rPr>
              <w:t>P39.2,</w:t>
            </w:r>
          </w:p>
          <w:p>
            <w:pPr>
              <w:pStyle w:val="TableParagraph"/>
              <w:ind w:left="347"/>
              <w:rPr>
                <w:sz w:val="20"/>
              </w:rPr>
            </w:pPr>
            <w:r>
              <w:rPr>
                <w:sz w:val="20"/>
              </w:rPr>
              <w:t>P39.3,</w:t>
            </w:r>
            <w:r>
              <w:rPr>
                <w:spacing w:val="-7"/>
                <w:sz w:val="20"/>
              </w:rPr>
              <w:t> </w:t>
            </w:r>
            <w:r>
              <w:rPr>
                <w:sz w:val="20"/>
              </w:rPr>
              <w:t>P39.4,</w:t>
            </w:r>
            <w:r>
              <w:rPr>
                <w:spacing w:val="-6"/>
                <w:sz w:val="20"/>
              </w:rPr>
              <w:t> </w:t>
            </w:r>
            <w:r>
              <w:rPr>
                <w:sz w:val="20"/>
              </w:rPr>
              <w:t>P39.8,</w:t>
            </w:r>
            <w:r>
              <w:rPr>
                <w:spacing w:val="-6"/>
                <w:sz w:val="20"/>
              </w:rPr>
              <w:t> </w:t>
            </w:r>
            <w:r>
              <w:rPr>
                <w:sz w:val="20"/>
              </w:rPr>
              <w:t>P39.9,</w:t>
            </w:r>
            <w:r>
              <w:rPr>
                <w:spacing w:val="-7"/>
                <w:sz w:val="20"/>
              </w:rPr>
              <w:t> </w:t>
            </w:r>
            <w:r>
              <w:rPr>
                <w:sz w:val="20"/>
              </w:rPr>
              <w:t>P70,</w:t>
            </w:r>
            <w:r>
              <w:rPr>
                <w:spacing w:val="-4"/>
                <w:sz w:val="20"/>
              </w:rPr>
              <w:t> </w:t>
            </w:r>
            <w:r>
              <w:rPr>
                <w:sz w:val="20"/>
              </w:rPr>
              <w:t>P70.0,</w:t>
            </w:r>
            <w:r>
              <w:rPr>
                <w:spacing w:val="-5"/>
                <w:sz w:val="20"/>
              </w:rPr>
              <w:t> </w:t>
            </w:r>
            <w:r>
              <w:rPr>
                <w:spacing w:val="-2"/>
                <w:sz w:val="20"/>
              </w:rPr>
              <w:t>P70.1,</w:t>
            </w:r>
          </w:p>
          <w:p>
            <w:pPr>
              <w:pStyle w:val="TableParagraph"/>
              <w:spacing w:before="1"/>
              <w:ind w:left="347"/>
              <w:rPr>
                <w:sz w:val="20"/>
              </w:rPr>
            </w:pPr>
            <w:r>
              <w:rPr>
                <w:sz w:val="20"/>
              </w:rPr>
              <w:t>P70.2,</w:t>
            </w:r>
            <w:r>
              <w:rPr>
                <w:spacing w:val="-6"/>
                <w:sz w:val="20"/>
              </w:rPr>
              <w:t> </w:t>
            </w:r>
            <w:r>
              <w:rPr>
                <w:sz w:val="20"/>
              </w:rPr>
              <w:t>P70.3,</w:t>
            </w:r>
            <w:r>
              <w:rPr>
                <w:spacing w:val="-6"/>
                <w:sz w:val="20"/>
              </w:rPr>
              <w:t> </w:t>
            </w:r>
            <w:r>
              <w:rPr>
                <w:sz w:val="20"/>
              </w:rPr>
              <w:t>P70.4,</w:t>
            </w:r>
            <w:r>
              <w:rPr>
                <w:spacing w:val="-6"/>
                <w:sz w:val="20"/>
              </w:rPr>
              <w:t> </w:t>
            </w:r>
            <w:r>
              <w:rPr>
                <w:sz w:val="20"/>
              </w:rPr>
              <w:t>P70.8,</w:t>
            </w:r>
            <w:r>
              <w:rPr>
                <w:spacing w:val="-6"/>
                <w:sz w:val="20"/>
              </w:rPr>
              <w:t> </w:t>
            </w:r>
            <w:r>
              <w:rPr>
                <w:sz w:val="20"/>
              </w:rPr>
              <w:t>P70.9,</w:t>
            </w:r>
            <w:r>
              <w:rPr>
                <w:spacing w:val="-6"/>
                <w:sz w:val="20"/>
              </w:rPr>
              <w:t> </w:t>
            </w:r>
            <w:r>
              <w:rPr>
                <w:sz w:val="20"/>
              </w:rPr>
              <w:t>P71,</w:t>
            </w:r>
            <w:r>
              <w:rPr>
                <w:spacing w:val="-5"/>
                <w:sz w:val="20"/>
              </w:rPr>
              <w:t> </w:t>
            </w:r>
            <w:r>
              <w:rPr>
                <w:spacing w:val="-2"/>
                <w:sz w:val="20"/>
              </w:rPr>
              <w:t>P71.0,</w:t>
            </w:r>
          </w:p>
          <w:p>
            <w:pPr>
              <w:pStyle w:val="TableParagraph"/>
              <w:spacing w:line="229" w:lineRule="exact" w:before="1"/>
              <w:ind w:left="347"/>
              <w:rPr>
                <w:sz w:val="20"/>
              </w:rPr>
            </w:pPr>
            <w:r>
              <w:rPr>
                <w:sz w:val="20"/>
              </w:rPr>
              <w:t>P71.1,</w:t>
            </w:r>
            <w:r>
              <w:rPr>
                <w:spacing w:val="-7"/>
                <w:sz w:val="20"/>
              </w:rPr>
              <w:t> </w:t>
            </w:r>
            <w:r>
              <w:rPr>
                <w:sz w:val="20"/>
              </w:rPr>
              <w:t>P71.2,</w:t>
            </w:r>
            <w:r>
              <w:rPr>
                <w:spacing w:val="-6"/>
                <w:sz w:val="20"/>
              </w:rPr>
              <w:t> </w:t>
            </w:r>
            <w:r>
              <w:rPr>
                <w:sz w:val="20"/>
              </w:rPr>
              <w:t>P71.3,</w:t>
            </w:r>
            <w:r>
              <w:rPr>
                <w:spacing w:val="-6"/>
                <w:sz w:val="20"/>
              </w:rPr>
              <w:t> </w:t>
            </w:r>
            <w:r>
              <w:rPr>
                <w:sz w:val="20"/>
              </w:rPr>
              <w:t>P71.4,</w:t>
            </w:r>
            <w:r>
              <w:rPr>
                <w:spacing w:val="-6"/>
                <w:sz w:val="20"/>
              </w:rPr>
              <w:t> </w:t>
            </w:r>
            <w:r>
              <w:rPr>
                <w:sz w:val="20"/>
              </w:rPr>
              <w:t>P71.8,</w:t>
            </w:r>
            <w:r>
              <w:rPr>
                <w:spacing w:val="-6"/>
                <w:sz w:val="20"/>
              </w:rPr>
              <w:t> </w:t>
            </w:r>
            <w:r>
              <w:rPr>
                <w:sz w:val="20"/>
              </w:rPr>
              <w:t>P71.9,</w:t>
            </w:r>
            <w:r>
              <w:rPr>
                <w:spacing w:val="-6"/>
                <w:sz w:val="20"/>
              </w:rPr>
              <w:t> </w:t>
            </w:r>
            <w:r>
              <w:rPr>
                <w:spacing w:val="-4"/>
                <w:sz w:val="20"/>
              </w:rPr>
              <w:t>P72,</w:t>
            </w:r>
          </w:p>
          <w:p>
            <w:pPr>
              <w:pStyle w:val="TableParagraph"/>
              <w:spacing w:line="229" w:lineRule="exact"/>
              <w:ind w:left="347"/>
              <w:rPr>
                <w:sz w:val="20"/>
              </w:rPr>
            </w:pPr>
            <w:r>
              <w:rPr>
                <w:sz w:val="20"/>
              </w:rPr>
              <w:t>P72.0,</w:t>
            </w:r>
            <w:r>
              <w:rPr>
                <w:spacing w:val="-6"/>
                <w:sz w:val="20"/>
              </w:rPr>
              <w:t> </w:t>
            </w:r>
            <w:r>
              <w:rPr>
                <w:sz w:val="20"/>
              </w:rPr>
              <w:t>P72.1,</w:t>
            </w:r>
            <w:r>
              <w:rPr>
                <w:spacing w:val="-6"/>
                <w:sz w:val="20"/>
              </w:rPr>
              <w:t> </w:t>
            </w:r>
            <w:r>
              <w:rPr>
                <w:sz w:val="20"/>
              </w:rPr>
              <w:t>P72.2,</w:t>
            </w:r>
            <w:r>
              <w:rPr>
                <w:spacing w:val="-6"/>
                <w:sz w:val="20"/>
              </w:rPr>
              <w:t> </w:t>
            </w:r>
            <w:r>
              <w:rPr>
                <w:sz w:val="20"/>
              </w:rPr>
              <w:t>P72.8,</w:t>
            </w:r>
            <w:r>
              <w:rPr>
                <w:spacing w:val="-6"/>
                <w:sz w:val="20"/>
              </w:rPr>
              <w:t> </w:t>
            </w:r>
            <w:r>
              <w:rPr>
                <w:sz w:val="20"/>
              </w:rPr>
              <w:t>P72.9,</w:t>
            </w:r>
            <w:r>
              <w:rPr>
                <w:spacing w:val="-6"/>
                <w:sz w:val="20"/>
              </w:rPr>
              <w:t> </w:t>
            </w:r>
            <w:r>
              <w:rPr>
                <w:sz w:val="20"/>
              </w:rPr>
              <w:t>P74,</w:t>
            </w:r>
            <w:r>
              <w:rPr>
                <w:spacing w:val="-5"/>
                <w:sz w:val="20"/>
              </w:rPr>
              <w:t> </w:t>
            </w:r>
            <w:r>
              <w:rPr>
                <w:spacing w:val="-2"/>
                <w:sz w:val="20"/>
              </w:rPr>
              <w:t>P74.0,</w:t>
            </w:r>
          </w:p>
          <w:p>
            <w:pPr>
              <w:pStyle w:val="TableParagraph"/>
              <w:ind w:left="223" w:right="901"/>
              <w:jc w:val="center"/>
              <w:rPr>
                <w:sz w:val="20"/>
              </w:rPr>
            </w:pPr>
            <w:r>
              <w:rPr>
                <w:sz w:val="20"/>
              </w:rPr>
              <w:t>P74.1,</w:t>
            </w:r>
            <w:r>
              <w:rPr>
                <w:spacing w:val="-7"/>
                <w:sz w:val="20"/>
              </w:rPr>
              <w:t> </w:t>
            </w:r>
            <w:r>
              <w:rPr>
                <w:sz w:val="20"/>
              </w:rPr>
              <w:t>P74.2,</w:t>
            </w:r>
            <w:r>
              <w:rPr>
                <w:spacing w:val="-6"/>
                <w:sz w:val="20"/>
              </w:rPr>
              <w:t> </w:t>
            </w:r>
            <w:r>
              <w:rPr>
                <w:sz w:val="20"/>
              </w:rPr>
              <w:t>P74.3,</w:t>
            </w:r>
            <w:r>
              <w:rPr>
                <w:spacing w:val="-6"/>
                <w:sz w:val="20"/>
              </w:rPr>
              <w:t> </w:t>
            </w:r>
            <w:r>
              <w:rPr>
                <w:sz w:val="20"/>
              </w:rPr>
              <w:t>P74.4,</w:t>
            </w:r>
            <w:r>
              <w:rPr>
                <w:spacing w:val="-2"/>
                <w:sz w:val="20"/>
              </w:rPr>
              <w:t> </w:t>
            </w:r>
            <w:r>
              <w:rPr>
                <w:sz w:val="20"/>
              </w:rPr>
              <w:t>P74.5,</w:t>
            </w:r>
            <w:r>
              <w:rPr>
                <w:spacing w:val="-6"/>
                <w:sz w:val="20"/>
              </w:rPr>
              <w:t> </w:t>
            </w:r>
            <w:r>
              <w:rPr>
                <w:sz w:val="20"/>
              </w:rPr>
              <w:t>P74.8,</w:t>
            </w:r>
            <w:r>
              <w:rPr>
                <w:spacing w:val="-6"/>
                <w:sz w:val="20"/>
              </w:rPr>
              <w:t> </w:t>
            </w:r>
            <w:r>
              <w:rPr>
                <w:spacing w:val="-2"/>
                <w:sz w:val="20"/>
              </w:rPr>
              <w:t>P74.9,</w:t>
            </w:r>
          </w:p>
          <w:p>
            <w:pPr>
              <w:pStyle w:val="TableParagraph"/>
              <w:spacing w:before="1"/>
              <w:ind w:left="223" w:right="907"/>
              <w:jc w:val="center"/>
              <w:rPr>
                <w:sz w:val="20"/>
              </w:rPr>
            </w:pPr>
            <w:r>
              <w:rPr>
                <w:sz w:val="20"/>
              </w:rPr>
              <w:t>P75,</w:t>
            </w:r>
            <w:r>
              <w:rPr>
                <w:spacing w:val="-6"/>
                <w:sz w:val="20"/>
              </w:rPr>
              <w:t> </w:t>
            </w:r>
            <w:r>
              <w:rPr>
                <w:sz w:val="20"/>
              </w:rPr>
              <w:t>P76,</w:t>
            </w:r>
            <w:r>
              <w:rPr>
                <w:spacing w:val="-6"/>
                <w:sz w:val="20"/>
              </w:rPr>
              <w:t> </w:t>
            </w:r>
            <w:r>
              <w:rPr>
                <w:sz w:val="20"/>
              </w:rPr>
              <w:t>P76.0,</w:t>
            </w:r>
            <w:r>
              <w:rPr>
                <w:spacing w:val="-6"/>
                <w:sz w:val="20"/>
              </w:rPr>
              <w:t> </w:t>
            </w:r>
            <w:r>
              <w:rPr>
                <w:sz w:val="20"/>
              </w:rPr>
              <w:t>P76.1,</w:t>
            </w:r>
            <w:r>
              <w:rPr>
                <w:spacing w:val="-5"/>
                <w:sz w:val="20"/>
              </w:rPr>
              <w:t> </w:t>
            </w:r>
            <w:r>
              <w:rPr>
                <w:sz w:val="20"/>
              </w:rPr>
              <w:t>P76.2,</w:t>
            </w:r>
            <w:r>
              <w:rPr>
                <w:spacing w:val="-6"/>
                <w:sz w:val="20"/>
              </w:rPr>
              <w:t> </w:t>
            </w:r>
            <w:r>
              <w:rPr>
                <w:sz w:val="20"/>
              </w:rPr>
              <w:t>P76.8,</w:t>
            </w:r>
            <w:r>
              <w:rPr>
                <w:spacing w:val="-6"/>
                <w:sz w:val="20"/>
              </w:rPr>
              <w:t> </w:t>
            </w:r>
            <w:r>
              <w:rPr>
                <w:sz w:val="20"/>
              </w:rPr>
              <w:t>P76.9,</w:t>
            </w:r>
            <w:r>
              <w:rPr>
                <w:spacing w:val="-5"/>
                <w:sz w:val="20"/>
              </w:rPr>
              <w:t> </w:t>
            </w:r>
            <w:r>
              <w:rPr>
                <w:spacing w:val="-4"/>
                <w:sz w:val="20"/>
              </w:rPr>
              <w:t>P77,</w:t>
            </w:r>
          </w:p>
          <w:p>
            <w:pPr>
              <w:pStyle w:val="TableParagraph"/>
              <w:ind w:left="223" w:right="907"/>
              <w:jc w:val="center"/>
              <w:rPr>
                <w:sz w:val="20"/>
              </w:rPr>
            </w:pPr>
            <w:r>
              <w:rPr>
                <w:sz w:val="20"/>
              </w:rPr>
              <w:t>P78,</w:t>
            </w:r>
            <w:r>
              <w:rPr>
                <w:spacing w:val="-7"/>
                <w:sz w:val="20"/>
              </w:rPr>
              <w:t> </w:t>
            </w:r>
            <w:r>
              <w:rPr>
                <w:sz w:val="20"/>
              </w:rPr>
              <w:t>P78.1,</w:t>
            </w:r>
            <w:r>
              <w:rPr>
                <w:spacing w:val="-5"/>
                <w:sz w:val="20"/>
              </w:rPr>
              <w:t> </w:t>
            </w:r>
            <w:r>
              <w:rPr>
                <w:sz w:val="20"/>
              </w:rPr>
              <w:t>P78.2,</w:t>
            </w:r>
            <w:r>
              <w:rPr>
                <w:spacing w:val="-6"/>
                <w:sz w:val="20"/>
              </w:rPr>
              <w:t> </w:t>
            </w:r>
            <w:r>
              <w:rPr>
                <w:sz w:val="20"/>
              </w:rPr>
              <w:t>P78.3,</w:t>
            </w:r>
            <w:r>
              <w:rPr>
                <w:spacing w:val="-6"/>
                <w:sz w:val="20"/>
              </w:rPr>
              <w:t> </w:t>
            </w:r>
            <w:r>
              <w:rPr>
                <w:sz w:val="20"/>
              </w:rPr>
              <w:t>P78.8,</w:t>
            </w:r>
            <w:r>
              <w:rPr>
                <w:spacing w:val="-5"/>
                <w:sz w:val="20"/>
              </w:rPr>
              <w:t> </w:t>
            </w:r>
            <w:r>
              <w:rPr>
                <w:sz w:val="20"/>
              </w:rPr>
              <w:t>P78.9,</w:t>
            </w:r>
            <w:r>
              <w:rPr>
                <w:spacing w:val="-5"/>
                <w:sz w:val="20"/>
              </w:rPr>
              <w:t> </w:t>
            </w:r>
            <w:r>
              <w:rPr>
                <w:spacing w:val="-4"/>
                <w:sz w:val="20"/>
              </w:rPr>
              <w:t>P80,</w:t>
            </w:r>
          </w:p>
          <w:p>
            <w:pPr>
              <w:pStyle w:val="TableParagraph"/>
              <w:ind w:left="223" w:right="907"/>
              <w:jc w:val="center"/>
              <w:rPr>
                <w:sz w:val="20"/>
              </w:rPr>
            </w:pPr>
            <w:r>
              <w:rPr>
                <w:sz w:val="20"/>
              </w:rPr>
              <w:t>P80.0,</w:t>
            </w:r>
            <w:r>
              <w:rPr>
                <w:spacing w:val="-7"/>
                <w:sz w:val="20"/>
              </w:rPr>
              <w:t> </w:t>
            </w:r>
            <w:r>
              <w:rPr>
                <w:sz w:val="20"/>
              </w:rPr>
              <w:t>P80.8,</w:t>
            </w:r>
            <w:r>
              <w:rPr>
                <w:spacing w:val="-6"/>
                <w:sz w:val="20"/>
              </w:rPr>
              <w:t> </w:t>
            </w:r>
            <w:r>
              <w:rPr>
                <w:sz w:val="20"/>
              </w:rPr>
              <w:t>P80.9,</w:t>
            </w:r>
            <w:r>
              <w:rPr>
                <w:spacing w:val="-7"/>
                <w:sz w:val="20"/>
              </w:rPr>
              <w:t> </w:t>
            </w:r>
            <w:r>
              <w:rPr>
                <w:sz w:val="20"/>
              </w:rPr>
              <w:t>P81,</w:t>
            </w:r>
            <w:r>
              <w:rPr>
                <w:spacing w:val="-6"/>
                <w:sz w:val="20"/>
              </w:rPr>
              <w:t> </w:t>
            </w:r>
            <w:r>
              <w:rPr>
                <w:sz w:val="20"/>
              </w:rPr>
              <w:t>P81.0,</w:t>
            </w:r>
            <w:r>
              <w:rPr>
                <w:spacing w:val="-5"/>
                <w:sz w:val="20"/>
              </w:rPr>
              <w:t> </w:t>
            </w:r>
            <w:r>
              <w:rPr>
                <w:sz w:val="20"/>
              </w:rPr>
              <w:t>P81.8,</w:t>
            </w:r>
            <w:r>
              <w:rPr>
                <w:spacing w:val="-5"/>
                <w:sz w:val="20"/>
              </w:rPr>
              <w:t> </w:t>
            </w:r>
            <w:r>
              <w:rPr>
                <w:spacing w:val="-2"/>
                <w:sz w:val="20"/>
              </w:rPr>
              <w:t>P81.9,</w:t>
            </w:r>
          </w:p>
          <w:p>
            <w:pPr>
              <w:pStyle w:val="TableParagraph"/>
              <w:spacing w:line="229" w:lineRule="exact" w:before="1"/>
              <w:ind w:left="223" w:right="907"/>
              <w:jc w:val="center"/>
              <w:rPr>
                <w:sz w:val="20"/>
              </w:rPr>
            </w:pPr>
            <w:r>
              <w:rPr>
                <w:sz w:val="20"/>
              </w:rPr>
              <w:t>P83,</w:t>
            </w:r>
            <w:r>
              <w:rPr>
                <w:spacing w:val="-7"/>
                <w:sz w:val="20"/>
              </w:rPr>
              <w:t> </w:t>
            </w:r>
            <w:r>
              <w:rPr>
                <w:sz w:val="20"/>
              </w:rPr>
              <w:t>P83.0,</w:t>
            </w:r>
            <w:r>
              <w:rPr>
                <w:spacing w:val="-5"/>
                <w:sz w:val="20"/>
              </w:rPr>
              <w:t> </w:t>
            </w:r>
            <w:r>
              <w:rPr>
                <w:sz w:val="20"/>
              </w:rPr>
              <w:t>P83.1,</w:t>
            </w:r>
            <w:r>
              <w:rPr>
                <w:spacing w:val="-6"/>
                <w:sz w:val="20"/>
              </w:rPr>
              <w:t> </w:t>
            </w:r>
            <w:r>
              <w:rPr>
                <w:sz w:val="20"/>
              </w:rPr>
              <w:t>P83.2,</w:t>
            </w:r>
            <w:r>
              <w:rPr>
                <w:spacing w:val="-6"/>
                <w:sz w:val="20"/>
              </w:rPr>
              <w:t> </w:t>
            </w:r>
            <w:r>
              <w:rPr>
                <w:sz w:val="20"/>
              </w:rPr>
              <w:t>P83.3,</w:t>
            </w:r>
            <w:r>
              <w:rPr>
                <w:spacing w:val="-5"/>
                <w:sz w:val="20"/>
              </w:rPr>
              <w:t> </w:t>
            </w:r>
            <w:r>
              <w:rPr>
                <w:sz w:val="20"/>
              </w:rPr>
              <w:t>P83.4,</w:t>
            </w:r>
            <w:r>
              <w:rPr>
                <w:spacing w:val="-5"/>
                <w:sz w:val="20"/>
              </w:rPr>
              <w:t> </w:t>
            </w:r>
            <w:r>
              <w:rPr>
                <w:spacing w:val="-2"/>
                <w:sz w:val="20"/>
              </w:rPr>
              <w:t>P83.5,</w:t>
            </w:r>
          </w:p>
          <w:p>
            <w:pPr>
              <w:pStyle w:val="TableParagraph"/>
              <w:spacing w:line="229" w:lineRule="exact"/>
              <w:ind w:left="223" w:right="907"/>
              <w:jc w:val="center"/>
              <w:rPr>
                <w:sz w:val="20"/>
              </w:rPr>
            </w:pPr>
            <w:r>
              <w:rPr>
                <w:sz w:val="20"/>
              </w:rPr>
              <w:t>P83.6,</w:t>
            </w:r>
            <w:r>
              <w:rPr>
                <w:spacing w:val="-6"/>
                <w:sz w:val="20"/>
              </w:rPr>
              <w:t> </w:t>
            </w:r>
            <w:r>
              <w:rPr>
                <w:sz w:val="20"/>
              </w:rPr>
              <w:t>P83.8,</w:t>
            </w:r>
            <w:r>
              <w:rPr>
                <w:spacing w:val="-6"/>
                <w:sz w:val="20"/>
              </w:rPr>
              <w:t> </w:t>
            </w:r>
            <w:r>
              <w:rPr>
                <w:sz w:val="20"/>
              </w:rPr>
              <w:t>P83.9,</w:t>
            </w:r>
            <w:r>
              <w:rPr>
                <w:spacing w:val="-6"/>
                <w:sz w:val="20"/>
              </w:rPr>
              <w:t> </w:t>
            </w:r>
            <w:r>
              <w:rPr>
                <w:sz w:val="20"/>
              </w:rPr>
              <w:t>P90,</w:t>
            </w:r>
            <w:r>
              <w:rPr>
                <w:spacing w:val="-6"/>
                <w:sz w:val="20"/>
              </w:rPr>
              <w:t> </w:t>
            </w:r>
            <w:r>
              <w:rPr>
                <w:sz w:val="20"/>
              </w:rPr>
              <w:t>P91,</w:t>
            </w:r>
            <w:r>
              <w:rPr>
                <w:spacing w:val="-5"/>
                <w:sz w:val="20"/>
              </w:rPr>
              <w:t> </w:t>
            </w:r>
            <w:r>
              <w:rPr>
                <w:sz w:val="20"/>
              </w:rPr>
              <w:t>P91.0,</w:t>
            </w:r>
            <w:r>
              <w:rPr>
                <w:spacing w:val="-6"/>
                <w:sz w:val="20"/>
              </w:rPr>
              <w:t> </w:t>
            </w:r>
            <w:r>
              <w:rPr>
                <w:spacing w:val="-2"/>
                <w:sz w:val="20"/>
              </w:rPr>
              <w:t>P91.1,</w:t>
            </w:r>
          </w:p>
          <w:p>
            <w:pPr>
              <w:pStyle w:val="TableParagraph"/>
              <w:ind w:left="223" w:right="905"/>
              <w:jc w:val="center"/>
              <w:rPr>
                <w:sz w:val="20"/>
              </w:rPr>
            </w:pPr>
            <w:r>
              <w:rPr>
                <w:sz w:val="20"/>
              </w:rPr>
              <w:t>P91.2,</w:t>
            </w:r>
            <w:r>
              <w:rPr>
                <w:spacing w:val="-7"/>
                <w:sz w:val="20"/>
              </w:rPr>
              <w:t> </w:t>
            </w:r>
            <w:r>
              <w:rPr>
                <w:sz w:val="20"/>
              </w:rPr>
              <w:t>P91.3,</w:t>
            </w:r>
            <w:r>
              <w:rPr>
                <w:spacing w:val="-6"/>
                <w:sz w:val="20"/>
              </w:rPr>
              <w:t> </w:t>
            </w:r>
            <w:r>
              <w:rPr>
                <w:sz w:val="20"/>
              </w:rPr>
              <w:t>P91.4,</w:t>
            </w:r>
            <w:r>
              <w:rPr>
                <w:spacing w:val="-6"/>
                <w:sz w:val="20"/>
              </w:rPr>
              <w:t> </w:t>
            </w:r>
            <w:r>
              <w:rPr>
                <w:sz w:val="20"/>
              </w:rPr>
              <w:t>P91.5,</w:t>
            </w:r>
            <w:r>
              <w:rPr>
                <w:spacing w:val="-6"/>
                <w:sz w:val="20"/>
              </w:rPr>
              <w:t> </w:t>
            </w:r>
            <w:r>
              <w:rPr>
                <w:sz w:val="20"/>
              </w:rPr>
              <w:t>P91.6,</w:t>
            </w:r>
            <w:r>
              <w:rPr>
                <w:spacing w:val="-6"/>
                <w:sz w:val="20"/>
              </w:rPr>
              <w:t> </w:t>
            </w:r>
            <w:r>
              <w:rPr>
                <w:sz w:val="20"/>
              </w:rPr>
              <w:t>P91.7,</w:t>
            </w:r>
            <w:r>
              <w:rPr>
                <w:spacing w:val="-6"/>
                <w:sz w:val="20"/>
              </w:rPr>
              <w:t> </w:t>
            </w:r>
            <w:r>
              <w:rPr>
                <w:spacing w:val="-2"/>
                <w:sz w:val="20"/>
              </w:rPr>
              <w:t>P91.8,</w:t>
            </w:r>
          </w:p>
          <w:p>
            <w:pPr>
              <w:pStyle w:val="TableParagraph"/>
              <w:spacing w:before="1"/>
              <w:ind w:left="223" w:right="907"/>
              <w:jc w:val="center"/>
              <w:rPr>
                <w:sz w:val="20"/>
              </w:rPr>
            </w:pPr>
            <w:r>
              <w:rPr>
                <w:sz w:val="20"/>
              </w:rPr>
              <w:t>P91.9,</w:t>
            </w:r>
            <w:r>
              <w:rPr>
                <w:spacing w:val="-7"/>
                <w:sz w:val="20"/>
              </w:rPr>
              <w:t> </w:t>
            </w:r>
            <w:r>
              <w:rPr>
                <w:sz w:val="20"/>
              </w:rPr>
              <w:t>P92,</w:t>
            </w:r>
            <w:r>
              <w:rPr>
                <w:spacing w:val="-5"/>
                <w:sz w:val="20"/>
              </w:rPr>
              <w:t> </w:t>
            </w:r>
            <w:r>
              <w:rPr>
                <w:sz w:val="20"/>
              </w:rPr>
              <w:t>P92.0,</w:t>
            </w:r>
            <w:r>
              <w:rPr>
                <w:spacing w:val="-6"/>
                <w:sz w:val="20"/>
              </w:rPr>
              <w:t> </w:t>
            </w:r>
            <w:r>
              <w:rPr>
                <w:sz w:val="20"/>
              </w:rPr>
              <w:t>P92.1,</w:t>
            </w:r>
            <w:r>
              <w:rPr>
                <w:spacing w:val="-6"/>
                <w:sz w:val="20"/>
              </w:rPr>
              <w:t> </w:t>
            </w:r>
            <w:r>
              <w:rPr>
                <w:sz w:val="20"/>
              </w:rPr>
              <w:t>P92.2,</w:t>
            </w:r>
            <w:r>
              <w:rPr>
                <w:spacing w:val="-5"/>
                <w:sz w:val="20"/>
              </w:rPr>
              <w:t> </w:t>
            </w:r>
            <w:r>
              <w:rPr>
                <w:sz w:val="20"/>
              </w:rPr>
              <w:t>P92.3,</w:t>
            </w:r>
            <w:r>
              <w:rPr>
                <w:spacing w:val="-5"/>
                <w:sz w:val="20"/>
              </w:rPr>
              <w:t> </w:t>
            </w:r>
            <w:r>
              <w:rPr>
                <w:spacing w:val="-2"/>
                <w:sz w:val="20"/>
              </w:rPr>
              <w:t>P92.4,</w:t>
            </w:r>
          </w:p>
          <w:p>
            <w:pPr>
              <w:pStyle w:val="TableParagraph"/>
              <w:ind w:left="223" w:right="907"/>
              <w:jc w:val="center"/>
              <w:rPr>
                <w:sz w:val="20"/>
              </w:rPr>
            </w:pPr>
            <w:r>
              <w:rPr>
                <w:sz w:val="20"/>
              </w:rPr>
              <w:t>P92.5,</w:t>
            </w:r>
            <w:r>
              <w:rPr>
                <w:spacing w:val="-6"/>
                <w:sz w:val="20"/>
              </w:rPr>
              <w:t> </w:t>
            </w:r>
            <w:r>
              <w:rPr>
                <w:sz w:val="20"/>
              </w:rPr>
              <w:t>P92.8,</w:t>
            </w:r>
            <w:r>
              <w:rPr>
                <w:spacing w:val="-6"/>
                <w:sz w:val="20"/>
              </w:rPr>
              <w:t> </w:t>
            </w:r>
            <w:r>
              <w:rPr>
                <w:sz w:val="20"/>
              </w:rPr>
              <w:t>P92.9,</w:t>
            </w:r>
            <w:r>
              <w:rPr>
                <w:spacing w:val="-6"/>
                <w:sz w:val="20"/>
              </w:rPr>
              <w:t> </w:t>
            </w:r>
            <w:r>
              <w:rPr>
                <w:sz w:val="20"/>
              </w:rPr>
              <w:t>P93,</w:t>
            </w:r>
            <w:r>
              <w:rPr>
                <w:spacing w:val="-6"/>
                <w:sz w:val="20"/>
              </w:rPr>
              <w:t> </w:t>
            </w:r>
            <w:r>
              <w:rPr>
                <w:sz w:val="20"/>
              </w:rPr>
              <w:t>P94,</w:t>
            </w:r>
            <w:r>
              <w:rPr>
                <w:spacing w:val="-5"/>
                <w:sz w:val="20"/>
              </w:rPr>
              <w:t> </w:t>
            </w:r>
            <w:r>
              <w:rPr>
                <w:sz w:val="20"/>
              </w:rPr>
              <w:t>P94.0,</w:t>
            </w:r>
            <w:r>
              <w:rPr>
                <w:spacing w:val="-6"/>
                <w:sz w:val="20"/>
              </w:rPr>
              <w:t> </w:t>
            </w:r>
            <w:r>
              <w:rPr>
                <w:spacing w:val="-2"/>
                <w:sz w:val="20"/>
              </w:rPr>
              <w:t>P94.1,</w:t>
            </w:r>
          </w:p>
          <w:p>
            <w:pPr>
              <w:pStyle w:val="TableParagraph"/>
              <w:spacing w:before="1"/>
              <w:ind w:left="223" w:right="907"/>
              <w:jc w:val="center"/>
              <w:rPr>
                <w:sz w:val="20"/>
              </w:rPr>
            </w:pPr>
            <w:r>
              <w:rPr>
                <w:sz w:val="20"/>
              </w:rPr>
              <w:t>P94.2,</w:t>
            </w:r>
            <w:r>
              <w:rPr>
                <w:spacing w:val="-6"/>
                <w:sz w:val="20"/>
              </w:rPr>
              <w:t> </w:t>
            </w:r>
            <w:r>
              <w:rPr>
                <w:sz w:val="20"/>
              </w:rPr>
              <w:t>P94.8,</w:t>
            </w:r>
            <w:r>
              <w:rPr>
                <w:spacing w:val="-6"/>
                <w:sz w:val="20"/>
              </w:rPr>
              <w:t> </w:t>
            </w:r>
            <w:r>
              <w:rPr>
                <w:sz w:val="20"/>
              </w:rPr>
              <w:t>P94.9,</w:t>
            </w:r>
            <w:r>
              <w:rPr>
                <w:spacing w:val="-6"/>
                <w:sz w:val="20"/>
              </w:rPr>
              <w:t> </w:t>
            </w:r>
            <w:r>
              <w:rPr>
                <w:sz w:val="20"/>
              </w:rPr>
              <w:t>P95,</w:t>
            </w:r>
            <w:r>
              <w:rPr>
                <w:spacing w:val="-6"/>
                <w:sz w:val="20"/>
              </w:rPr>
              <w:t> </w:t>
            </w:r>
            <w:r>
              <w:rPr>
                <w:sz w:val="20"/>
              </w:rPr>
              <w:t>P96,</w:t>
            </w:r>
            <w:r>
              <w:rPr>
                <w:spacing w:val="-5"/>
                <w:sz w:val="20"/>
              </w:rPr>
              <w:t> </w:t>
            </w:r>
            <w:r>
              <w:rPr>
                <w:sz w:val="20"/>
              </w:rPr>
              <w:t>P96.1,</w:t>
            </w:r>
            <w:r>
              <w:rPr>
                <w:spacing w:val="-6"/>
                <w:sz w:val="20"/>
              </w:rPr>
              <w:t> </w:t>
            </w:r>
            <w:r>
              <w:rPr>
                <w:spacing w:val="-2"/>
                <w:sz w:val="20"/>
              </w:rPr>
              <w:t>P96.2,</w:t>
            </w:r>
          </w:p>
          <w:p>
            <w:pPr>
              <w:pStyle w:val="TableParagraph"/>
              <w:spacing w:line="229" w:lineRule="exact"/>
              <w:ind w:left="223" w:right="907"/>
              <w:jc w:val="center"/>
              <w:rPr>
                <w:sz w:val="20"/>
              </w:rPr>
            </w:pPr>
            <w:r>
              <w:rPr>
                <w:sz w:val="20"/>
              </w:rPr>
              <w:t>P96.3,</w:t>
            </w:r>
            <w:r>
              <w:rPr>
                <w:spacing w:val="-7"/>
                <w:sz w:val="20"/>
              </w:rPr>
              <w:t> </w:t>
            </w:r>
            <w:r>
              <w:rPr>
                <w:sz w:val="20"/>
              </w:rPr>
              <w:t>P96.4,</w:t>
            </w:r>
            <w:r>
              <w:rPr>
                <w:spacing w:val="-6"/>
                <w:sz w:val="20"/>
              </w:rPr>
              <w:t> </w:t>
            </w:r>
            <w:r>
              <w:rPr>
                <w:sz w:val="20"/>
              </w:rPr>
              <w:t>P96.5,</w:t>
            </w:r>
            <w:r>
              <w:rPr>
                <w:spacing w:val="-6"/>
                <w:sz w:val="20"/>
              </w:rPr>
              <w:t> </w:t>
            </w:r>
            <w:r>
              <w:rPr>
                <w:sz w:val="20"/>
              </w:rPr>
              <w:t>P96.8,</w:t>
            </w:r>
            <w:r>
              <w:rPr>
                <w:spacing w:val="-6"/>
                <w:sz w:val="20"/>
              </w:rPr>
              <w:t> </w:t>
            </w:r>
            <w:r>
              <w:rPr>
                <w:sz w:val="20"/>
              </w:rPr>
              <w:t>P96.9,</w:t>
            </w:r>
            <w:r>
              <w:rPr>
                <w:spacing w:val="-4"/>
                <w:sz w:val="20"/>
              </w:rPr>
              <w:t> </w:t>
            </w:r>
            <w:r>
              <w:rPr>
                <w:sz w:val="20"/>
              </w:rPr>
              <w:t>Q86,</w:t>
            </w:r>
            <w:r>
              <w:rPr>
                <w:spacing w:val="-4"/>
                <w:sz w:val="20"/>
              </w:rPr>
              <w:t> </w:t>
            </w:r>
            <w:r>
              <w:rPr>
                <w:spacing w:val="-2"/>
                <w:sz w:val="20"/>
              </w:rPr>
              <w:t>Q86.0,</w:t>
            </w:r>
          </w:p>
          <w:p>
            <w:pPr>
              <w:pStyle w:val="TableParagraph"/>
              <w:spacing w:line="229" w:lineRule="exact"/>
              <w:ind w:left="223" w:right="899"/>
              <w:jc w:val="center"/>
              <w:rPr>
                <w:sz w:val="20"/>
              </w:rPr>
            </w:pPr>
            <w:r>
              <w:rPr>
                <w:sz w:val="20"/>
              </w:rPr>
              <w:t>Q86.1,</w:t>
            </w:r>
            <w:r>
              <w:rPr>
                <w:spacing w:val="-4"/>
                <w:sz w:val="20"/>
              </w:rPr>
              <w:t> </w:t>
            </w:r>
            <w:r>
              <w:rPr>
                <w:sz w:val="20"/>
              </w:rPr>
              <w:t>Q86.2,</w:t>
            </w:r>
            <w:r>
              <w:rPr>
                <w:spacing w:val="-5"/>
                <w:sz w:val="20"/>
              </w:rPr>
              <w:t> </w:t>
            </w:r>
            <w:r>
              <w:rPr>
                <w:sz w:val="20"/>
              </w:rPr>
              <w:t>Q86.8,</w:t>
            </w:r>
            <w:r>
              <w:rPr>
                <w:spacing w:val="-4"/>
                <w:sz w:val="20"/>
              </w:rPr>
              <w:t> </w:t>
            </w:r>
            <w:r>
              <w:rPr>
                <w:sz w:val="20"/>
              </w:rPr>
              <w:t>Q89.4,</w:t>
            </w:r>
            <w:r>
              <w:rPr>
                <w:spacing w:val="-5"/>
                <w:sz w:val="20"/>
              </w:rPr>
              <w:t> </w:t>
            </w:r>
            <w:r>
              <w:rPr>
                <w:sz w:val="20"/>
              </w:rPr>
              <w:t>R68.1,</w:t>
            </w:r>
            <w:r>
              <w:rPr>
                <w:spacing w:val="-4"/>
                <w:sz w:val="20"/>
              </w:rPr>
              <w:t> </w:t>
            </w:r>
            <w:r>
              <w:rPr>
                <w:spacing w:val="-5"/>
                <w:sz w:val="20"/>
              </w:rPr>
              <w:t>R95</w:t>
            </w:r>
          </w:p>
        </w:tc>
        <w:tc>
          <w:tcPr>
            <w:tcW w:w="2028"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560" w:hRule="atLeast"/>
        </w:trPr>
        <w:tc>
          <w:tcPr>
            <w:tcW w:w="946" w:type="dxa"/>
          </w:tcPr>
          <w:p>
            <w:pPr>
              <w:pStyle w:val="TableParagraph"/>
              <w:spacing w:before="46"/>
              <w:ind w:left="50"/>
              <w:rPr>
                <w:sz w:val="20"/>
              </w:rPr>
            </w:pPr>
            <w:r>
              <w:rPr>
                <w:spacing w:val="-2"/>
                <w:sz w:val="20"/>
              </w:rPr>
              <w:t>st17.006</w:t>
            </w:r>
          </w:p>
        </w:tc>
        <w:tc>
          <w:tcPr>
            <w:tcW w:w="707" w:type="dxa"/>
          </w:tcPr>
          <w:p>
            <w:pPr>
              <w:pStyle w:val="TableParagraph"/>
              <w:spacing w:before="46"/>
              <w:ind w:left="210"/>
              <w:rPr>
                <w:sz w:val="20"/>
              </w:rPr>
            </w:pPr>
            <w:r>
              <w:rPr>
                <w:spacing w:val="-5"/>
                <w:sz w:val="20"/>
              </w:rPr>
              <w:t>125</w:t>
            </w:r>
          </w:p>
        </w:tc>
        <w:tc>
          <w:tcPr>
            <w:tcW w:w="2507" w:type="dxa"/>
            <w:vMerge w:val="restart"/>
          </w:tcPr>
          <w:p>
            <w:pPr>
              <w:pStyle w:val="TableParagraph"/>
              <w:spacing w:before="46"/>
              <w:ind w:left="192" w:right="265"/>
              <w:rPr>
                <w:sz w:val="20"/>
              </w:rPr>
            </w:pPr>
            <w:r>
              <w:rPr>
                <w:sz w:val="20"/>
              </w:rPr>
              <w:t>Другие нарушения, возникшие в перинатальном</w:t>
            </w:r>
            <w:r>
              <w:rPr>
                <w:spacing w:val="-13"/>
                <w:sz w:val="20"/>
              </w:rPr>
              <w:t> </w:t>
            </w:r>
            <w:r>
              <w:rPr>
                <w:sz w:val="20"/>
              </w:rPr>
              <w:t>периоде (уровень 2)</w:t>
            </w:r>
          </w:p>
        </w:tc>
        <w:tc>
          <w:tcPr>
            <w:tcW w:w="5105" w:type="dxa"/>
          </w:tcPr>
          <w:p>
            <w:pPr>
              <w:pStyle w:val="TableParagraph"/>
              <w:spacing w:before="46"/>
              <w:ind w:left="1691"/>
              <w:rPr>
                <w:sz w:val="20"/>
              </w:rPr>
            </w:pPr>
            <w:r>
              <w:rPr>
                <w:sz w:val="20"/>
              </w:rPr>
              <w:t>L10.0,</w:t>
            </w:r>
            <w:r>
              <w:rPr>
                <w:spacing w:val="-5"/>
                <w:sz w:val="20"/>
              </w:rPr>
              <w:t> </w:t>
            </w:r>
            <w:r>
              <w:rPr>
                <w:spacing w:val="-2"/>
                <w:sz w:val="20"/>
              </w:rPr>
              <w:t>L53.0</w:t>
            </w:r>
          </w:p>
        </w:tc>
        <w:tc>
          <w:tcPr>
            <w:tcW w:w="2028" w:type="dxa"/>
          </w:tcPr>
          <w:p>
            <w:pPr>
              <w:pStyle w:val="TableParagraph"/>
              <w:spacing w:before="46"/>
              <w:ind w:left="955"/>
              <w:rPr>
                <w:sz w:val="20"/>
              </w:rPr>
            </w:pPr>
            <w:r>
              <w:rPr>
                <w:w w:val="99"/>
                <w:sz w:val="20"/>
              </w:rPr>
              <w:t>-</w:t>
            </w:r>
          </w:p>
        </w:tc>
        <w:tc>
          <w:tcPr>
            <w:tcW w:w="3120" w:type="dxa"/>
          </w:tcPr>
          <w:p>
            <w:pPr>
              <w:pStyle w:val="TableParagraph"/>
              <w:spacing w:before="46"/>
              <w:ind w:left="1181" w:right="456" w:hanging="180"/>
              <w:rPr>
                <w:sz w:val="20"/>
              </w:rPr>
            </w:pPr>
            <w:r>
              <w:rPr>
                <w:sz w:val="20"/>
              </w:rPr>
              <w:t>Возрастная</w:t>
            </w:r>
            <w:r>
              <w:rPr>
                <w:spacing w:val="-13"/>
                <w:sz w:val="20"/>
              </w:rPr>
              <w:t> </w:t>
            </w:r>
            <w:r>
              <w:rPr>
                <w:sz w:val="20"/>
              </w:rPr>
              <w:t>группа: от 0 до 28 дней</w:t>
            </w:r>
          </w:p>
        </w:tc>
        <w:tc>
          <w:tcPr>
            <w:tcW w:w="865" w:type="dxa"/>
          </w:tcPr>
          <w:p>
            <w:pPr>
              <w:pStyle w:val="TableParagraph"/>
              <w:spacing w:before="46"/>
              <w:ind w:left="459"/>
              <w:rPr>
                <w:sz w:val="20"/>
              </w:rPr>
            </w:pPr>
            <w:r>
              <w:rPr>
                <w:spacing w:val="-4"/>
                <w:sz w:val="20"/>
              </w:rPr>
              <w:t>1,89</w:t>
            </w:r>
          </w:p>
        </w:tc>
      </w:tr>
      <w:tr>
        <w:trPr>
          <w:trHeight w:val="3035" w:hRule="atLeast"/>
        </w:trPr>
        <w:tc>
          <w:tcPr>
            <w:tcW w:w="946" w:type="dxa"/>
          </w:tcPr>
          <w:p>
            <w:pPr>
              <w:pStyle w:val="TableParagraph"/>
              <w:rPr>
                <w:sz w:val="18"/>
              </w:rPr>
            </w:pPr>
          </w:p>
        </w:tc>
        <w:tc>
          <w:tcPr>
            <w:tcW w:w="707" w:type="dxa"/>
          </w:tcPr>
          <w:p>
            <w:pPr>
              <w:pStyle w:val="TableParagraph"/>
              <w:rPr>
                <w:sz w:val="18"/>
              </w:rPr>
            </w:pPr>
          </w:p>
        </w:tc>
        <w:tc>
          <w:tcPr>
            <w:tcW w:w="2507" w:type="dxa"/>
            <w:vMerge/>
            <w:tcBorders>
              <w:top w:val="nil"/>
            </w:tcBorders>
          </w:tcPr>
          <w:p>
            <w:pPr>
              <w:rPr>
                <w:sz w:val="2"/>
                <w:szCs w:val="2"/>
              </w:rPr>
            </w:pPr>
          </w:p>
        </w:tc>
        <w:tc>
          <w:tcPr>
            <w:tcW w:w="5105" w:type="dxa"/>
          </w:tcPr>
          <w:p>
            <w:pPr>
              <w:pStyle w:val="TableParagraph"/>
              <w:spacing w:before="45"/>
              <w:ind w:left="347"/>
              <w:rPr>
                <w:sz w:val="20"/>
              </w:rPr>
            </w:pPr>
            <w:r>
              <w:rPr>
                <w:sz w:val="20"/>
              </w:rPr>
              <w:t>P10,</w:t>
            </w:r>
            <w:r>
              <w:rPr>
                <w:spacing w:val="-7"/>
                <w:sz w:val="20"/>
              </w:rPr>
              <w:t> </w:t>
            </w:r>
            <w:r>
              <w:rPr>
                <w:sz w:val="20"/>
              </w:rPr>
              <w:t>P10.0,</w:t>
            </w:r>
            <w:r>
              <w:rPr>
                <w:spacing w:val="-5"/>
                <w:sz w:val="20"/>
              </w:rPr>
              <w:t> </w:t>
            </w:r>
            <w:r>
              <w:rPr>
                <w:sz w:val="20"/>
              </w:rPr>
              <w:t>P10.1,</w:t>
            </w:r>
            <w:r>
              <w:rPr>
                <w:spacing w:val="-6"/>
                <w:sz w:val="20"/>
              </w:rPr>
              <w:t> </w:t>
            </w:r>
            <w:r>
              <w:rPr>
                <w:sz w:val="20"/>
              </w:rPr>
              <w:t>P10.2,</w:t>
            </w:r>
            <w:r>
              <w:rPr>
                <w:spacing w:val="-6"/>
                <w:sz w:val="20"/>
              </w:rPr>
              <w:t> </w:t>
            </w:r>
            <w:r>
              <w:rPr>
                <w:sz w:val="20"/>
              </w:rPr>
              <w:t>P10.3,</w:t>
            </w:r>
            <w:r>
              <w:rPr>
                <w:spacing w:val="-5"/>
                <w:sz w:val="20"/>
              </w:rPr>
              <w:t> </w:t>
            </w:r>
            <w:r>
              <w:rPr>
                <w:sz w:val="20"/>
              </w:rPr>
              <w:t>P10.4,</w:t>
            </w:r>
            <w:r>
              <w:rPr>
                <w:spacing w:val="-5"/>
                <w:sz w:val="20"/>
              </w:rPr>
              <w:t> </w:t>
            </w:r>
            <w:r>
              <w:rPr>
                <w:spacing w:val="-2"/>
                <w:sz w:val="20"/>
              </w:rPr>
              <w:t>P10.8,</w:t>
            </w:r>
          </w:p>
          <w:p>
            <w:pPr>
              <w:pStyle w:val="TableParagraph"/>
              <w:ind w:left="347"/>
              <w:rPr>
                <w:sz w:val="20"/>
              </w:rPr>
            </w:pPr>
            <w:r>
              <w:rPr>
                <w:sz w:val="20"/>
              </w:rPr>
              <w:t>P10.9,</w:t>
            </w:r>
            <w:r>
              <w:rPr>
                <w:spacing w:val="-7"/>
                <w:sz w:val="20"/>
              </w:rPr>
              <w:t> </w:t>
            </w:r>
            <w:r>
              <w:rPr>
                <w:sz w:val="20"/>
              </w:rPr>
              <w:t>P11,</w:t>
            </w:r>
            <w:r>
              <w:rPr>
                <w:spacing w:val="-5"/>
                <w:sz w:val="20"/>
              </w:rPr>
              <w:t> </w:t>
            </w:r>
            <w:r>
              <w:rPr>
                <w:sz w:val="20"/>
              </w:rPr>
              <w:t>P11.0,</w:t>
            </w:r>
            <w:r>
              <w:rPr>
                <w:spacing w:val="-6"/>
                <w:sz w:val="20"/>
              </w:rPr>
              <w:t> </w:t>
            </w:r>
            <w:r>
              <w:rPr>
                <w:sz w:val="20"/>
              </w:rPr>
              <w:t>P11.1,</w:t>
            </w:r>
            <w:r>
              <w:rPr>
                <w:spacing w:val="-6"/>
                <w:sz w:val="20"/>
              </w:rPr>
              <w:t> </w:t>
            </w:r>
            <w:r>
              <w:rPr>
                <w:sz w:val="20"/>
              </w:rPr>
              <w:t>P11.2,</w:t>
            </w:r>
            <w:r>
              <w:rPr>
                <w:spacing w:val="-5"/>
                <w:sz w:val="20"/>
              </w:rPr>
              <w:t> </w:t>
            </w:r>
            <w:r>
              <w:rPr>
                <w:sz w:val="20"/>
              </w:rPr>
              <w:t>P11.3,</w:t>
            </w:r>
            <w:r>
              <w:rPr>
                <w:spacing w:val="-5"/>
                <w:sz w:val="20"/>
              </w:rPr>
              <w:t> </w:t>
            </w:r>
            <w:r>
              <w:rPr>
                <w:spacing w:val="-2"/>
                <w:sz w:val="20"/>
              </w:rPr>
              <w:t>P11.4,</w:t>
            </w:r>
          </w:p>
          <w:p>
            <w:pPr>
              <w:pStyle w:val="TableParagraph"/>
              <w:ind w:left="347"/>
              <w:rPr>
                <w:sz w:val="20"/>
              </w:rPr>
            </w:pPr>
            <w:r>
              <w:rPr>
                <w:sz w:val="20"/>
              </w:rPr>
              <w:t>P11.5,</w:t>
            </w:r>
            <w:r>
              <w:rPr>
                <w:spacing w:val="-7"/>
                <w:sz w:val="20"/>
              </w:rPr>
              <w:t> </w:t>
            </w:r>
            <w:r>
              <w:rPr>
                <w:sz w:val="20"/>
              </w:rPr>
              <w:t>P11.9,</w:t>
            </w:r>
            <w:r>
              <w:rPr>
                <w:spacing w:val="-6"/>
                <w:sz w:val="20"/>
              </w:rPr>
              <w:t> </w:t>
            </w:r>
            <w:r>
              <w:rPr>
                <w:sz w:val="20"/>
              </w:rPr>
              <w:t>P12,</w:t>
            </w:r>
            <w:r>
              <w:rPr>
                <w:spacing w:val="-6"/>
                <w:sz w:val="20"/>
              </w:rPr>
              <w:t> </w:t>
            </w:r>
            <w:r>
              <w:rPr>
                <w:sz w:val="20"/>
              </w:rPr>
              <w:t>P12.0,</w:t>
            </w:r>
            <w:r>
              <w:rPr>
                <w:spacing w:val="-7"/>
                <w:sz w:val="20"/>
              </w:rPr>
              <w:t> </w:t>
            </w:r>
            <w:r>
              <w:rPr>
                <w:sz w:val="20"/>
              </w:rPr>
              <w:t>P12.1,</w:t>
            </w:r>
            <w:r>
              <w:rPr>
                <w:spacing w:val="-4"/>
                <w:sz w:val="20"/>
              </w:rPr>
              <w:t> </w:t>
            </w:r>
            <w:r>
              <w:rPr>
                <w:sz w:val="20"/>
              </w:rPr>
              <w:t>P12.2,</w:t>
            </w:r>
            <w:r>
              <w:rPr>
                <w:spacing w:val="-5"/>
                <w:sz w:val="20"/>
              </w:rPr>
              <w:t> </w:t>
            </w:r>
            <w:r>
              <w:rPr>
                <w:spacing w:val="-2"/>
                <w:sz w:val="20"/>
              </w:rPr>
              <w:t>P12.3,</w:t>
            </w:r>
          </w:p>
          <w:p>
            <w:pPr>
              <w:pStyle w:val="TableParagraph"/>
              <w:spacing w:line="229" w:lineRule="exact" w:before="1"/>
              <w:ind w:left="347"/>
              <w:rPr>
                <w:sz w:val="20"/>
              </w:rPr>
            </w:pPr>
            <w:r>
              <w:rPr>
                <w:sz w:val="20"/>
              </w:rPr>
              <w:t>P12.4,</w:t>
            </w:r>
            <w:r>
              <w:rPr>
                <w:spacing w:val="-7"/>
                <w:sz w:val="20"/>
              </w:rPr>
              <w:t> </w:t>
            </w:r>
            <w:r>
              <w:rPr>
                <w:sz w:val="20"/>
              </w:rPr>
              <w:t>P12.8,</w:t>
            </w:r>
            <w:r>
              <w:rPr>
                <w:spacing w:val="-6"/>
                <w:sz w:val="20"/>
              </w:rPr>
              <w:t> </w:t>
            </w:r>
            <w:r>
              <w:rPr>
                <w:sz w:val="20"/>
              </w:rPr>
              <w:t>P12.9,</w:t>
            </w:r>
            <w:r>
              <w:rPr>
                <w:spacing w:val="-7"/>
                <w:sz w:val="20"/>
              </w:rPr>
              <w:t> </w:t>
            </w:r>
            <w:r>
              <w:rPr>
                <w:sz w:val="20"/>
              </w:rPr>
              <w:t>P13,</w:t>
            </w:r>
            <w:r>
              <w:rPr>
                <w:spacing w:val="-6"/>
                <w:sz w:val="20"/>
              </w:rPr>
              <w:t> </w:t>
            </w:r>
            <w:r>
              <w:rPr>
                <w:sz w:val="20"/>
              </w:rPr>
              <w:t>P13.0,</w:t>
            </w:r>
            <w:r>
              <w:rPr>
                <w:spacing w:val="-5"/>
                <w:sz w:val="20"/>
              </w:rPr>
              <w:t> </w:t>
            </w:r>
            <w:r>
              <w:rPr>
                <w:sz w:val="20"/>
              </w:rPr>
              <w:t>P13.1,</w:t>
            </w:r>
            <w:r>
              <w:rPr>
                <w:spacing w:val="-5"/>
                <w:sz w:val="20"/>
              </w:rPr>
              <w:t> </w:t>
            </w:r>
            <w:r>
              <w:rPr>
                <w:spacing w:val="-2"/>
                <w:sz w:val="20"/>
              </w:rPr>
              <w:t>P13.2,</w:t>
            </w:r>
          </w:p>
          <w:p>
            <w:pPr>
              <w:pStyle w:val="TableParagraph"/>
              <w:spacing w:line="229" w:lineRule="exact"/>
              <w:ind w:left="347"/>
              <w:rPr>
                <w:sz w:val="20"/>
              </w:rPr>
            </w:pPr>
            <w:r>
              <w:rPr>
                <w:sz w:val="20"/>
              </w:rPr>
              <w:t>P13.3,</w:t>
            </w:r>
            <w:r>
              <w:rPr>
                <w:spacing w:val="-7"/>
                <w:sz w:val="20"/>
              </w:rPr>
              <w:t> </w:t>
            </w:r>
            <w:r>
              <w:rPr>
                <w:sz w:val="20"/>
              </w:rPr>
              <w:t>P13.4,</w:t>
            </w:r>
            <w:r>
              <w:rPr>
                <w:spacing w:val="-6"/>
                <w:sz w:val="20"/>
              </w:rPr>
              <w:t> </w:t>
            </w:r>
            <w:r>
              <w:rPr>
                <w:sz w:val="20"/>
              </w:rPr>
              <w:t>P13.8,</w:t>
            </w:r>
            <w:r>
              <w:rPr>
                <w:spacing w:val="-6"/>
                <w:sz w:val="20"/>
              </w:rPr>
              <w:t> </w:t>
            </w:r>
            <w:r>
              <w:rPr>
                <w:sz w:val="20"/>
              </w:rPr>
              <w:t>P13.9,</w:t>
            </w:r>
            <w:r>
              <w:rPr>
                <w:spacing w:val="-7"/>
                <w:sz w:val="20"/>
              </w:rPr>
              <w:t> </w:t>
            </w:r>
            <w:r>
              <w:rPr>
                <w:sz w:val="20"/>
              </w:rPr>
              <w:t>P14,</w:t>
            </w:r>
            <w:r>
              <w:rPr>
                <w:spacing w:val="-4"/>
                <w:sz w:val="20"/>
              </w:rPr>
              <w:t> </w:t>
            </w:r>
            <w:r>
              <w:rPr>
                <w:sz w:val="20"/>
              </w:rPr>
              <w:t>P14.0,</w:t>
            </w:r>
            <w:r>
              <w:rPr>
                <w:spacing w:val="-5"/>
                <w:sz w:val="20"/>
              </w:rPr>
              <w:t> </w:t>
            </w:r>
            <w:r>
              <w:rPr>
                <w:spacing w:val="-2"/>
                <w:sz w:val="20"/>
              </w:rPr>
              <w:t>P14.1,</w:t>
            </w:r>
          </w:p>
          <w:p>
            <w:pPr>
              <w:pStyle w:val="TableParagraph"/>
              <w:spacing w:before="1"/>
              <w:ind w:left="347"/>
              <w:rPr>
                <w:sz w:val="20"/>
              </w:rPr>
            </w:pPr>
            <w:r>
              <w:rPr>
                <w:sz w:val="20"/>
              </w:rPr>
              <w:t>P14.2,</w:t>
            </w:r>
            <w:r>
              <w:rPr>
                <w:spacing w:val="-7"/>
                <w:sz w:val="20"/>
              </w:rPr>
              <w:t> </w:t>
            </w:r>
            <w:r>
              <w:rPr>
                <w:sz w:val="20"/>
              </w:rPr>
              <w:t>P14.3,</w:t>
            </w:r>
            <w:r>
              <w:rPr>
                <w:spacing w:val="-6"/>
                <w:sz w:val="20"/>
              </w:rPr>
              <w:t> </w:t>
            </w:r>
            <w:r>
              <w:rPr>
                <w:sz w:val="20"/>
              </w:rPr>
              <w:t>P14.8,</w:t>
            </w:r>
            <w:r>
              <w:rPr>
                <w:spacing w:val="-6"/>
                <w:sz w:val="20"/>
              </w:rPr>
              <w:t> </w:t>
            </w:r>
            <w:r>
              <w:rPr>
                <w:sz w:val="20"/>
              </w:rPr>
              <w:t>P14.9,</w:t>
            </w:r>
            <w:r>
              <w:rPr>
                <w:spacing w:val="-7"/>
                <w:sz w:val="20"/>
              </w:rPr>
              <w:t> </w:t>
            </w:r>
            <w:r>
              <w:rPr>
                <w:sz w:val="20"/>
              </w:rPr>
              <w:t>P15,</w:t>
            </w:r>
            <w:r>
              <w:rPr>
                <w:spacing w:val="-4"/>
                <w:sz w:val="20"/>
              </w:rPr>
              <w:t> </w:t>
            </w:r>
            <w:r>
              <w:rPr>
                <w:sz w:val="20"/>
              </w:rPr>
              <w:t>P15.0,</w:t>
            </w:r>
            <w:r>
              <w:rPr>
                <w:spacing w:val="-5"/>
                <w:sz w:val="20"/>
              </w:rPr>
              <w:t> </w:t>
            </w:r>
            <w:r>
              <w:rPr>
                <w:spacing w:val="-2"/>
                <w:sz w:val="20"/>
              </w:rPr>
              <w:t>P15.1,</w:t>
            </w:r>
          </w:p>
          <w:p>
            <w:pPr>
              <w:pStyle w:val="TableParagraph"/>
              <w:ind w:left="273"/>
              <w:rPr>
                <w:sz w:val="20"/>
              </w:rPr>
            </w:pPr>
            <w:r>
              <w:rPr>
                <w:sz w:val="20"/>
              </w:rPr>
              <w:t>P15.2,</w:t>
            </w:r>
            <w:r>
              <w:rPr>
                <w:spacing w:val="-7"/>
                <w:sz w:val="20"/>
              </w:rPr>
              <w:t> </w:t>
            </w:r>
            <w:r>
              <w:rPr>
                <w:sz w:val="20"/>
              </w:rPr>
              <w:t>P15.3,</w:t>
            </w:r>
            <w:r>
              <w:rPr>
                <w:spacing w:val="-6"/>
                <w:sz w:val="20"/>
              </w:rPr>
              <w:t> </w:t>
            </w:r>
            <w:r>
              <w:rPr>
                <w:sz w:val="20"/>
              </w:rPr>
              <w:t>P15.4,</w:t>
            </w:r>
            <w:r>
              <w:rPr>
                <w:spacing w:val="-6"/>
                <w:sz w:val="20"/>
              </w:rPr>
              <w:t> </w:t>
            </w:r>
            <w:r>
              <w:rPr>
                <w:sz w:val="20"/>
              </w:rPr>
              <w:t>P15.5,</w:t>
            </w:r>
            <w:r>
              <w:rPr>
                <w:spacing w:val="-6"/>
                <w:sz w:val="20"/>
              </w:rPr>
              <w:t> </w:t>
            </w:r>
            <w:r>
              <w:rPr>
                <w:sz w:val="20"/>
              </w:rPr>
              <w:t>P15.6,</w:t>
            </w:r>
            <w:r>
              <w:rPr>
                <w:spacing w:val="-6"/>
                <w:sz w:val="20"/>
              </w:rPr>
              <w:t> </w:t>
            </w:r>
            <w:r>
              <w:rPr>
                <w:sz w:val="20"/>
              </w:rPr>
              <w:t>P15.8,</w:t>
            </w:r>
            <w:r>
              <w:rPr>
                <w:spacing w:val="-6"/>
                <w:sz w:val="20"/>
              </w:rPr>
              <w:t> </w:t>
            </w:r>
            <w:r>
              <w:rPr>
                <w:spacing w:val="-2"/>
                <w:sz w:val="20"/>
              </w:rPr>
              <w:t>P15.9,</w:t>
            </w:r>
          </w:p>
          <w:p>
            <w:pPr>
              <w:pStyle w:val="TableParagraph"/>
              <w:spacing w:before="1"/>
              <w:ind w:left="422"/>
              <w:rPr>
                <w:sz w:val="20"/>
              </w:rPr>
            </w:pPr>
            <w:r>
              <w:rPr>
                <w:sz w:val="20"/>
              </w:rPr>
              <w:t>P20,</w:t>
            </w:r>
            <w:r>
              <w:rPr>
                <w:spacing w:val="-6"/>
                <w:sz w:val="20"/>
              </w:rPr>
              <w:t> </w:t>
            </w:r>
            <w:r>
              <w:rPr>
                <w:sz w:val="20"/>
              </w:rPr>
              <w:t>P20.0,</w:t>
            </w:r>
            <w:r>
              <w:rPr>
                <w:spacing w:val="-3"/>
                <w:sz w:val="20"/>
              </w:rPr>
              <w:t> </w:t>
            </w:r>
            <w:r>
              <w:rPr>
                <w:sz w:val="20"/>
              </w:rPr>
              <w:t>P20.1,</w:t>
            </w:r>
            <w:r>
              <w:rPr>
                <w:spacing w:val="-5"/>
                <w:sz w:val="20"/>
              </w:rPr>
              <w:t> </w:t>
            </w:r>
            <w:r>
              <w:rPr>
                <w:sz w:val="20"/>
              </w:rPr>
              <w:t>P20.9,</w:t>
            </w:r>
            <w:r>
              <w:rPr>
                <w:spacing w:val="-6"/>
                <w:sz w:val="20"/>
              </w:rPr>
              <w:t> </w:t>
            </w:r>
            <w:r>
              <w:rPr>
                <w:sz w:val="20"/>
              </w:rPr>
              <w:t>P21,</w:t>
            </w:r>
            <w:r>
              <w:rPr>
                <w:spacing w:val="-5"/>
                <w:sz w:val="20"/>
              </w:rPr>
              <w:t> </w:t>
            </w:r>
            <w:r>
              <w:rPr>
                <w:sz w:val="20"/>
              </w:rPr>
              <w:t>P21.0,</w:t>
            </w:r>
            <w:r>
              <w:rPr>
                <w:spacing w:val="-5"/>
                <w:sz w:val="20"/>
              </w:rPr>
              <w:t> </w:t>
            </w:r>
            <w:r>
              <w:rPr>
                <w:spacing w:val="-2"/>
                <w:sz w:val="20"/>
              </w:rPr>
              <w:t>P21.1,</w:t>
            </w:r>
          </w:p>
          <w:p>
            <w:pPr>
              <w:pStyle w:val="TableParagraph"/>
              <w:ind w:left="347"/>
              <w:rPr>
                <w:sz w:val="20"/>
              </w:rPr>
            </w:pPr>
            <w:r>
              <w:rPr>
                <w:sz w:val="20"/>
              </w:rPr>
              <w:t>P21.9,</w:t>
            </w:r>
            <w:r>
              <w:rPr>
                <w:spacing w:val="-7"/>
                <w:sz w:val="20"/>
              </w:rPr>
              <w:t> </w:t>
            </w:r>
            <w:r>
              <w:rPr>
                <w:sz w:val="20"/>
              </w:rPr>
              <w:t>P23,</w:t>
            </w:r>
            <w:r>
              <w:rPr>
                <w:spacing w:val="-5"/>
                <w:sz w:val="20"/>
              </w:rPr>
              <w:t> </w:t>
            </w:r>
            <w:r>
              <w:rPr>
                <w:sz w:val="20"/>
              </w:rPr>
              <w:t>P23.0,</w:t>
            </w:r>
            <w:r>
              <w:rPr>
                <w:spacing w:val="-6"/>
                <w:sz w:val="20"/>
              </w:rPr>
              <w:t> </w:t>
            </w:r>
            <w:r>
              <w:rPr>
                <w:sz w:val="20"/>
              </w:rPr>
              <w:t>P23.1,</w:t>
            </w:r>
            <w:r>
              <w:rPr>
                <w:spacing w:val="-6"/>
                <w:sz w:val="20"/>
              </w:rPr>
              <w:t> </w:t>
            </w:r>
            <w:r>
              <w:rPr>
                <w:sz w:val="20"/>
              </w:rPr>
              <w:t>P23.2,</w:t>
            </w:r>
            <w:r>
              <w:rPr>
                <w:spacing w:val="-5"/>
                <w:sz w:val="20"/>
              </w:rPr>
              <w:t> </w:t>
            </w:r>
            <w:r>
              <w:rPr>
                <w:sz w:val="20"/>
              </w:rPr>
              <w:t>P23.3,</w:t>
            </w:r>
            <w:r>
              <w:rPr>
                <w:spacing w:val="-5"/>
                <w:sz w:val="20"/>
              </w:rPr>
              <w:t> </w:t>
            </w:r>
            <w:r>
              <w:rPr>
                <w:spacing w:val="-2"/>
                <w:sz w:val="20"/>
              </w:rPr>
              <w:t>P23.4,</w:t>
            </w:r>
          </w:p>
          <w:p>
            <w:pPr>
              <w:pStyle w:val="TableParagraph"/>
              <w:spacing w:line="229" w:lineRule="exact" w:before="1"/>
              <w:ind w:left="223" w:right="905"/>
              <w:jc w:val="center"/>
              <w:rPr>
                <w:sz w:val="20"/>
              </w:rPr>
            </w:pPr>
            <w:r>
              <w:rPr>
                <w:sz w:val="20"/>
              </w:rPr>
              <w:t>P23.5,</w:t>
            </w:r>
            <w:r>
              <w:rPr>
                <w:spacing w:val="-7"/>
                <w:sz w:val="20"/>
              </w:rPr>
              <w:t> </w:t>
            </w:r>
            <w:r>
              <w:rPr>
                <w:sz w:val="20"/>
              </w:rPr>
              <w:t>P23.6,</w:t>
            </w:r>
            <w:r>
              <w:rPr>
                <w:spacing w:val="-6"/>
                <w:sz w:val="20"/>
              </w:rPr>
              <w:t> </w:t>
            </w:r>
            <w:r>
              <w:rPr>
                <w:sz w:val="20"/>
              </w:rPr>
              <w:t>P23.8,</w:t>
            </w:r>
            <w:r>
              <w:rPr>
                <w:spacing w:val="-6"/>
                <w:sz w:val="20"/>
              </w:rPr>
              <w:t> </w:t>
            </w:r>
            <w:r>
              <w:rPr>
                <w:sz w:val="20"/>
              </w:rPr>
              <w:t>P23.9,</w:t>
            </w:r>
            <w:r>
              <w:rPr>
                <w:spacing w:val="-6"/>
                <w:sz w:val="20"/>
              </w:rPr>
              <w:t> </w:t>
            </w:r>
            <w:r>
              <w:rPr>
                <w:sz w:val="20"/>
              </w:rPr>
              <w:t>P28.2,</w:t>
            </w:r>
            <w:r>
              <w:rPr>
                <w:spacing w:val="-6"/>
                <w:sz w:val="20"/>
              </w:rPr>
              <w:t> </w:t>
            </w:r>
            <w:r>
              <w:rPr>
                <w:sz w:val="20"/>
              </w:rPr>
              <w:t>P28.3,</w:t>
            </w:r>
            <w:r>
              <w:rPr>
                <w:spacing w:val="-6"/>
                <w:sz w:val="20"/>
              </w:rPr>
              <w:t> </w:t>
            </w:r>
            <w:r>
              <w:rPr>
                <w:spacing w:val="-2"/>
                <w:sz w:val="20"/>
              </w:rPr>
              <w:t>P28.4,</w:t>
            </w:r>
          </w:p>
          <w:p>
            <w:pPr>
              <w:pStyle w:val="TableParagraph"/>
              <w:spacing w:line="229" w:lineRule="exact"/>
              <w:ind w:left="223" w:right="907"/>
              <w:jc w:val="center"/>
              <w:rPr>
                <w:sz w:val="20"/>
              </w:rPr>
            </w:pPr>
            <w:r>
              <w:rPr>
                <w:sz w:val="20"/>
              </w:rPr>
              <w:t>P29,</w:t>
            </w:r>
            <w:r>
              <w:rPr>
                <w:spacing w:val="-7"/>
                <w:sz w:val="20"/>
              </w:rPr>
              <w:t> </w:t>
            </w:r>
            <w:r>
              <w:rPr>
                <w:sz w:val="20"/>
              </w:rPr>
              <w:t>P29.0,</w:t>
            </w:r>
            <w:r>
              <w:rPr>
                <w:spacing w:val="-5"/>
                <w:sz w:val="20"/>
              </w:rPr>
              <w:t> </w:t>
            </w:r>
            <w:r>
              <w:rPr>
                <w:sz w:val="20"/>
              </w:rPr>
              <w:t>P29.1,</w:t>
            </w:r>
            <w:r>
              <w:rPr>
                <w:spacing w:val="-6"/>
                <w:sz w:val="20"/>
              </w:rPr>
              <w:t> </w:t>
            </w:r>
            <w:r>
              <w:rPr>
                <w:sz w:val="20"/>
              </w:rPr>
              <w:t>P29.2,</w:t>
            </w:r>
            <w:r>
              <w:rPr>
                <w:spacing w:val="-6"/>
                <w:sz w:val="20"/>
              </w:rPr>
              <w:t> </w:t>
            </w:r>
            <w:r>
              <w:rPr>
                <w:sz w:val="20"/>
              </w:rPr>
              <w:t>P29.3,</w:t>
            </w:r>
            <w:r>
              <w:rPr>
                <w:spacing w:val="-5"/>
                <w:sz w:val="20"/>
              </w:rPr>
              <w:t> </w:t>
            </w:r>
            <w:r>
              <w:rPr>
                <w:sz w:val="20"/>
              </w:rPr>
              <w:t>P29.4,</w:t>
            </w:r>
            <w:r>
              <w:rPr>
                <w:spacing w:val="-5"/>
                <w:sz w:val="20"/>
              </w:rPr>
              <w:t> </w:t>
            </w:r>
            <w:r>
              <w:rPr>
                <w:spacing w:val="-2"/>
                <w:sz w:val="20"/>
              </w:rPr>
              <w:t>P29.8,</w:t>
            </w:r>
          </w:p>
          <w:p>
            <w:pPr>
              <w:pStyle w:val="TableParagraph"/>
              <w:spacing w:line="230" w:lineRule="atLeast"/>
              <w:ind w:left="222" w:right="907"/>
              <w:jc w:val="center"/>
              <w:rPr>
                <w:sz w:val="20"/>
              </w:rPr>
            </w:pPr>
            <w:r>
              <w:rPr>
                <w:sz w:val="20"/>
              </w:rPr>
              <w:t>P29.9,</w:t>
            </w:r>
            <w:r>
              <w:rPr>
                <w:spacing w:val="-9"/>
                <w:sz w:val="20"/>
              </w:rPr>
              <w:t> </w:t>
            </w:r>
            <w:r>
              <w:rPr>
                <w:sz w:val="20"/>
              </w:rPr>
              <w:t>P35,</w:t>
            </w:r>
            <w:r>
              <w:rPr>
                <w:spacing w:val="-7"/>
                <w:sz w:val="20"/>
              </w:rPr>
              <w:t> </w:t>
            </w:r>
            <w:r>
              <w:rPr>
                <w:sz w:val="20"/>
              </w:rPr>
              <w:t>P35.0,</w:t>
            </w:r>
            <w:r>
              <w:rPr>
                <w:spacing w:val="-9"/>
                <w:sz w:val="20"/>
              </w:rPr>
              <w:t> </w:t>
            </w:r>
            <w:r>
              <w:rPr>
                <w:sz w:val="20"/>
              </w:rPr>
              <w:t>P35.1,</w:t>
            </w:r>
            <w:r>
              <w:rPr>
                <w:spacing w:val="-9"/>
                <w:sz w:val="20"/>
              </w:rPr>
              <w:t> </w:t>
            </w:r>
            <w:r>
              <w:rPr>
                <w:sz w:val="20"/>
              </w:rPr>
              <w:t>P35.2,</w:t>
            </w:r>
            <w:r>
              <w:rPr>
                <w:spacing w:val="-7"/>
                <w:sz w:val="20"/>
              </w:rPr>
              <w:t> </w:t>
            </w:r>
            <w:r>
              <w:rPr>
                <w:sz w:val="20"/>
              </w:rPr>
              <w:t>P35.3,</w:t>
            </w:r>
            <w:r>
              <w:rPr>
                <w:spacing w:val="-7"/>
                <w:sz w:val="20"/>
              </w:rPr>
              <w:t> </w:t>
            </w:r>
            <w:r>
              <w:rPr>
                <w:sz w:val="20"/>
              </w:rPr>
              <w:t>P35.4, P35.8, P35.9, P78.0</w:t>
            </w:r>
          </w:p>
        </w:tc>
        <w:tc>
          <w:tcPr>
            <w:tcW w:w="2028" w:type="dxa"/>
          </w:tcPr>
          <w:p>
            <w:pPr>
              <w:pStyle w:val="TableParagraph"/>
              <w:spacing w:before="45"/>
              <w:ind w:left="955"/>
              <w:rPr>
                <w:sz w:val="20"/>
              </w:rPr>
            </w:pPr>
            <w:r>
              <w:rPr>
                <w:w w:val="99"/>
                <w:sz w:val="20"/>
              </w:rPr>
              <w:t>-</w:t>
            </w:r>
          </w:p>
        </w:tc>
        <w:tc>
          <w:tcPr>
            <w:tcW w:w="3120" w:type="dxa"/>
          </w:tcPr>
          <w:p>
            <w:pPr>
              <w:pStyle w:val="TableParagraph"/>
              <w:spacing w:before="45"/>
              <w:ind w:left="533"/>
              <w:jc w:val="center"/>
              <w:rPr>
                <w:sz w:val="20"/>
              </w:rPr>
            </w:pPr>
            <w:r>
              <w:rPr>
                <w:w w:val="99"/>
                <w:sz w:val="20"/>
              </w:rPr>
              <w:t>-</w:t>
            </w:r>
          </w:p>
        </w:tc>
        <w:tc>
          <w:tcPr>
            <w:tcW w:w="865"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9"/>
        <w:gridCol w:w="4367"/>
        <w:gridCol w:w="3485"/>
        <w:gridCol w:w="2367"/>
        <w:gridCol w:w="864"/>
      </w:tblGrid>
      <w:tr>
        <w:trPr>
          <w:trHeight w:val="1654" w:hRule="atLeast"/>
        </w:trPr>
        <w:tc>
          <w:tcPr>
            <w:tcW w:w="946" w:type="dxa"/>
          </w:tcPr>
          <w:p>
            <w:pPr>
              <w:pStyle w:val="TableParagraph"/>
              <w:spacing w:line="221" w:lineRule="exact"/>
              <w:ind w:left="39" w:right="198"/>
              <w:jc w:val="center"/>
              <w:rPr>
                <w:sz w:val="20"/>
              </w:rPr>
            </w:pPr>
            <w:r>
              <w:rPr>
                <w:spacing w:val="-2"/>
                <w:sz w:val="20"/>
              </w:rPr>
              <w:t>st17.007</w:t>
            </w:r>
          </w:p>
        </w:tc>
        <w:tc>
          <w:tcPr>
            <w:tcW w:w="707" w:type="dxa"/>
          </w:tcPr>
          <w:p>
            <w:pPr>
              <w:pStyle w:val="TableParagraph"/>
              <w:spacing w:line="221" w:lineRule="exact"/>
              <w:ind w:left="210"/>
              <w:rPr>
                <w:sz w:val="20"/>
              </w:rPr>
            </w:pPr>
            <w:r>
              <w:rPr>
                <w:spacing w:val="-5"/>
                <w:sz w:val="20"/>
              </w:rPr>
              <w:t>126</w:t>
            </w:r>
          </w:p>
        </w:tc>
        <w:tc>
          <w:tcPr>
            <w:tcW w:w="2539" w:type="dxa"/>
          </w:tcPr>
          <w:p>
            <w:pPr>
              <w:pStyle w:val="TableParagraph"/>
              <w:ind w:left="192" w:right="297"/>
              <w:rPr>
                <w:sz w:val="20"/>
              </w:rPr>
            </w:pPr>
            <w:r>
              <w:rPr>
                <w:sz w:val="20"/>
              </w:rPr>
              <w:t>Другие нарушения, возникшие в перинатальном</w:t>
            </w:r>
            <w:r>
              <w:rPr>
                <w:spacing w:val="-13"/>
                <w:sz w:val="20"/>
              </w:rPr>
              <w:t> </w:t>
            </w:r>
            <w:r>
              <w:rPr>
                <w:sz w:val="20"/>
              </w:rPr>
              <w:t>периоде (уровень 3)</w:t>
            </w:r>
          </w:p>
        </w:tc>
        <w:tc>
          <w:tcPr>
            <w:tcW w:w="4367" w:type="dxa"/>
          </w:tcPr>
          <w:p>
            <w:pPr>
              <w:pStyle w:val="TableParagraph"/>
              <w:spacing w:line="221" w:lineRule="exact"/>
              <w:ind w:left="169"/>
              <w:rPr>
                <w:sz w:val="20"/>
              </w:rPr>
            </w:pPr>
            <w:r>
              <w:rPr>
                <w:sz w:val="20"/>
              </w:rPr>
              <w:t>J06.8,</w:t>
            </w:r>
            <w:r>
              <w:rPr>
                <w:spacing w:val="-6"/>
                <w:sz w:val="20"/>
              </w:rPr>
              <w:t> </w:t>
            </w:r>
            <w:r>
              <w:rPr>
                <w:sz w:val="20"/>
              </w:rPr>
              <w:t>J18.8,</w:t>
            </w:r>
            <w:r>
              <w:rPr>
                <w:spacing w:val="-6"/>
                <w:sz w:val="20"/>
              </w:rPr>
              <w:t> </w:t>
            </w:r>
            <w:r>
              <w:rPr>
                <w:sz w:val="20"/>
              </w:rPr>
              <w:t>J20,</w:t>
            </w:r>
            <w:r>
              <w:rPr>
                <w:spacing w:val="-5"/>
                <w:sz w:val="20"/>
              </w:rPr>
              <w:t> </w:t>
            </w:r>
            <w:r>
              <w:rPr>
                <w:sz w:val="20"/>
              </w:rPr>
              <w:t>J20.0,</w:t>
            </w:r>
            <w:r>
              <w:rPr>
                <w:spacing w:val="-4"/>
                <w:sz w:val="20"/>
              </w:rPr>
              <w:t> </w:t>
            </w:r>
            <w:r>
              <w:rPr>
                <w:sz w:val="20"/>
              </w:rPr>
              <w:t>J20.1,</w:t>
            </w:r>
            <w:r>
              <w:rPr>
                <w:spacing w:val="-5"/>
                <w:sz w:val="20"/>
              </w:rPr>
              <w:t> </w:t>
            </w:r>
            <w:r>
              <w:rPr>
                <w:sz w:val="20"/>
              </w:rPr>
              <w:t>J20.2,</w:t>
            </w:r>
            <w:r>
              <w:rPr>
                <w:spacing w:val="-6"/>
                <w:sz w:val="20"/>
              </w:rPr>
              <w:t> </w:t>
            </w:r>
            <w:r>
              <w:rPr>
                <w:sz w:val="20"/>
              </w:rPr>
              <w:t>J20.3,</w:t>
            </w:r>
            <w:r>
              <w:rPr>
                <w:spacing w:val="-5"/>
                <w:sz w:val="20"/>
              </w:rPr>
              <w:t> </w:t>
            </w:r>
            <w:r>
              <w:rPr>
                <w:spacing w:val="-2"/>
                <w:sz w:val="20"/>
              </w:rPr>
              <w:t>J20.4,</w:t>
            </w:r>
          </w:p>
          <w:p>
            <w:pPr>
              <w:pStyle w:val="TableParagraph"/>
              <w:spacing w:line="229" w:lineRule="exact"/>
              <w:ind w:left="169"/>
              <w:rPr>
                <w:sz w:val="20"/>
              </w:rPr>
            </w:pPr>
            <w:r>
              <w:rPr>
                <w:sz w:val="20"/>
              </w:rPr>
              <w:t>J20.5,</w:t>
            </w:r>
            <w:r>
              <w:rPr>
                <w:spacing w:val="-6"/>
                <w:sz w:val="20"/>
              </w:rPr>
              <w:t> </w:t>
            </w:r>
            <w:r>
              <w:rPr>
                <w:sz w:val="20"/>
              </w:rPr>
              <w:t>J20.6,</w:t>
            </w:r>
            <w:r>
              <w:rPr>
                <w:spacing w:val="-5"/>
                <w:sz w:val="20"/>
              </w:rPr>
              <w:t> </w:t>
            </w:r>
            <w:r>
              <w:rPr>
                <w:sz w:val="20"/>
              </w:rPr>
              <w:t>J20.7,</w:t>
            </w:r>
            <w:r>
              <w:rPr>
                <w:spacing w:val="-6"/>
                <w:sz w:val="20"/>
              </w:rPr>
              <w:t> </w:t>
            </w:r>
            <w:r>
              <w:rPr>
                <w:sz w:val="20"/>
              </w:rPr>
              <w:t>J20.8,</w:t>
            </w:r>
            <w:r>
              <w:rPr>
                <w:spacing w:val="-5"/>
                <w:sz w:val="20"/>
              </w:rPr>
              <w:t> </w:t>
            </w:r>
            <w:r>
              <w:rPr>
                <w:sz w:val="20"/>
              </w:rPr>
              <w:t>J20.9,</w:t>
            </w:r>
            <w:r>
              <w:rPr>
                <w:spacing w:val="-4"/>
                <w:sz w:val="20"/>
              </w:rPr>
              <w:t> </w:t>
            </w:r>
            <w:r>
              <w:rPr>
                <w:sz w:val="20"/>
              </w:rPr>
              <w:t>J21,</w:t>
            </w:r>
            <w:r>
              <w:rPr>
                <w:spacing w:val="-5"/>
                <w:sz w:val="20"/>
              </w:rPr>
              <w:t> </w:t>
            </w:r>
            <w:r>
              <w:rPr>
                <w:sz w:val="20"/>
              </w:rPr>
              <w:t>J21.0,</w:t>
            </w:r>
            <w:r>
              <w:rPr>
                <w:spacing w:val="-5"/>
                <w:sz w:val="20"/>
              </w:rPr>
              <w:t> </w:t>
            </w:r>
            <w:r>
              <w:rPr>
                <w:spacing w:val="-2"/>
                <w:sz w:val="20"/>
              </w:rPr>
              <w:t>J21.1,</w:t>
            </w:r>
          </w:p>
          <w:p>
            <w:pPr>
              <w:pStyle w:val="TableParagraph"/>
              <w:spacing w:line="229" w:lineRule="exact"/>
              <w:ind w:left="142"/>
              <w:rPr>
                <w:sz w:val="20"/>
              </w:rPr>
            </w:pPr>
            <w:r>
              <w:rPr>
                <w:sz w:val="20"/>
              </w:rPr>
              <w:t>J21.8,</w:t>
            </w:r>
            <w:r>
              <w:rPr>
                <w:spacing w:val="-7"/>
                <w:sz w:val="20"/>
              </w:rPr>
              <w:t> </w:t>
            </w:r>
            <w:r>
              <w:rPr>
                <w:sz w:val="20"/>
              </w:rPr>
              <w:t>J21.9,</w:t>
            </w:r>
            <w:r>
              <w:rPr>
                <w:spacing w:val="-6"/>
                <w:sz w:val="20"/>
              </w:rPr>
              <w:t> </w:t>
            </w:r>
            <w:r>
              <w:rPr>
                <w:sz w:val="20"/>
              </w:rPr>
              <w:t>P22,</w:t>
            </w:r>
            <w:r>
              <w:rPr>
                <w:spacing w:val="-4"/>
                <w:sz w:val="20"/>
              </w:rPr>
              <w:t> </w:t>
            </w:r>
            <w:r>
              <w:rPr>
                <w:sz w:val="20"/>
              </w:rPr>
              <w:t>P22.0,</w:t>
            </w:r>
            <w:r>
              <w:rPr>
                <w:spacing w:val="-6"/>
                <w:sz w:val="20"/>
              </w:rPr>
              <w:t> </w:t>
            </w:r>
            <w:r>
              <w:rPr>
                <w:sz w:val="20"/>
              </w:rPr>
              <w:t>P22.1,</w:t>
            </w:r>
            <w:r>
              <w:rPr>
                <w:spacing w:val="-4"/>
                <w:sz w:val="20"/>
              </w:rPr>
              <w:t> </w:t>
            </w:r>
            <w:r>
              <w:rPr>
                <w:sz w:val="20"/>
              </w:rPr>
              <w:t>P22.8,</w:t>
            </w:r>
            <w:r>
              <w:rPr>
                <w:spacing w:val="-4"/>
                <w:sz w:val="20"/>
              </w:rPr>
              <w:t> </w:t>
            </w:r>
            <w:r>
              <w:rPr>
                <w:sz w:val="20"/>
              </w:rPr>
              <w:t>P22.9,</w:t>
            </w:r>
            <w:r>
              <w:rPr>
                <w:spacing w:val="-6"/>
                <w:sz w:val="20"/>
              </w:rPr>
              <w:t> </w:t>
            </w:r>
            <w:r>
              <w:rPr>
                <w:spacing w:val="-4"/>
                <w:sz w:val="20"/>
              </w:rPr>
              <w:t>P24,</w:t>
            </w:r>
          </w:p>
          <w:p>
            <w:pPr>
              <w:pStyle w:val="TableParagraph"/>
              <w:spacing w:before="1"/>
              <w:ind w:left="197" w:right="202"/>
              <w:jc w:val="center"/>
              <w:rPr>
                <w:sz w:val="20"/>
              </w:rPr>
            </w:pPr>
            <w:r>
              <w:rPr>
                <w:sz w:val="20"/>
              </w:rPr>
              <w:t>P24.0,</w:t>
            </w:r>
            <w:r>
              <w:rPr>
                <w:spacing w:val="-6"/>
                <w:sz w:val="20"/>
              </w:rPr>
              <w:t> </w:t>
            </w:r>
            <w:r>
              <w:rPr>
                <w:sz w:val="20"/>
              </w:rPr>
              <w:t>P24.1,</w:t>
            </w:r>
            <w:r>
              <w:rPr>
                <w:spacing w:val="-5"/>
                <w:sz w:val="20"/>
              </w:rPr>
              <w:t> </w:t>
            </w:r>
            <w:r>
              <w:rPr>
                <w:sz w:val="20"/>
              </w:rPr>
              <w:t>P24.2,</w:t>
            </w:r>
            <w:r>
              <w:rPr>
                <w:spacing w:val="-5"/>
                <w:sz w:val="20"/>
              </w:rPr>
              <w:t> </w:t>
            </w:r>
            <w:r>
              <w:rPr>
                <w:sz w:val="20"/>
              </w:rPr>
              <w:t>P24.3,</w:t>
            </w:r>
            <w:r>
              <w:rPr>
                <w:spacing w:val="-5"/>
                <w:sz w:val="20"/>
              </w:rPr>
              <w:t> </w:t>
            </w:r>
            <w:r>
              <w:rPr>
                <w:sz w:val="20"/>
              </w:rPr>
              <w:t>P24.8,</w:t>
            </w:r>
            <w:r>
              <w:rPr>
                <w:spacing w:val="-5"/>
                <w:sz w:val="20"/>
              </w:rPr>
              <w:t> </w:t>
            </w:r>
            <w:r>
              <w:rPr>
                <w:sz w:val="20"/>
              </w:rPr>
              <w:t>P24.9,</w:t>
            </w:r>
            <w:r>
              <w:rPr>
                <w:spacing w:val="-5"/>
                <w:sz w:val="20"/>
              </w:rPr>
              <w:t> </w:t>
            </w:r>
            <w:r>
              <w:rPr>
                <w:spacing w:val="-4"/>
                <w:sz w:val="20"/>
              </w:rPr>
              <w:t>P25,</w:t>
            </w:r>
          </w:p>
          <w:p>
            <w:pPr>
              <w:pStyle w:val="TableParagraph"/>
              <w:ind w:left="197" w:right="207"/>
              <w:jc w:val="center"/>
              <w:rPr>
                <w:sz w:val="20"/>
              </w:rPr>
            </w:pPr>
            <w:r>
              <w:rPr>
                <w:sz w:val="20"/>
              </w:rPr>
              <w:t>P25.0,</w:t>
            </w:r>
            <w:r>
              <w:rPr>
                <w:spacing w:val="-6"/>
                <w:sz w:val="20"/>
              </w:rPr>
              <w:t> </w:t>
            </w:r>
            <w:r>
              <w:rPr>
                <w:sz w:val="20"/>
              </w:rPr>
              <w:t>P25.1,</w:t>
            </w:r>
            <w:r>
              <w:rPr>
                <w:spacing w:val="-6"/>
                <w:sz w:val="20"/>
              </w:rPr>
              <w:t> </w:t>
            </w:r>
            <w:r>
              <w:rPr>
                <w:sz w:val="20"/>
              </w:rPr>
              <w:t>P25.2,</w:t>
            </w:r>
            <w:r>
              <w:rPr>
                <w:spacing w:val="-6"/>
                <w:sz w:val="20"/>
              </w:rPr>
              <w:t> </w:t>
            </w:r>
            <w:r>
              <w:rPr>
                <w:sz w:val="20"/>
              </w:rPr>
              <w:t>P25.3,</w:t>
            </w:r>
            <w:r>
              <w:rPr>
                <w:spacing w:val="-6"/>
                <w:sz w:val="20"/>
              </w:rPr>
              <w:t> </w:t>
            </w:r>
            <w:r>
              <w:rPr>
                <w:sz w:val="20"/>
              </w:rPr>
              <w:t>P25.8,</w:t>
            </w:r>
            <w:r>
              <w:rPr>
                <w:spacing w:val="-6"/>
                <w:sz w:val="20"/>
              </w:rPr>
              <w:t> </w:t>
            </w:r>
            <w:r>
              <w:rPr>
                <w:sz w:val="20"/>
              </w:rPr>
              <w:t>P26,</w:t>
            </w:r>
            <w:r>
              <w:rPr>
                <w:spacing w:val="-5"/>
                <w:sz w:val="20"/>
              </w:rPr>
              <w:t> </w:t>
            </w:r>
            <w:r>
              <w:rPr>
                <w:spacing w:val="-2"/>
                <w:sz w:val="20"/>
              </w:rPr>
              <w:t>P26.0,</w:t>
            </w:r>
          </w:p>
          <w:p>
            <w:pPr>
              <w:pStyle w:val="TableParagraph"/>
              <w:ind w:left="197" w:right="207"/>
              <w:jc w:val="center"/>
              <w:rPr>
                <w:sz w:val="20"/>
              </w:rPr>
            </w:pPr>
            <w:r>
              <w:rPr>
                <w:sz w:val="20"/>
              </w:rPr>
              <w:t>P26.1,</w:t>
            </w:r>
            <w:r>
              <w:rPr>
                <w:spacing w:val="-8"/>
                <w:sz w:val="20"/>
              </w:rPr>
              <w:t> </w:t>
            </w:r>
            <w:r>
              <w:rPr>
                <w:sz w:val="20"/>
              </w:rPr>
              <w:t>P26.8,</w:t>
            </w:r>
            <w:r>
              <w:rPr>
                <w:spacing w:val="-8"/>
                <w:sz w:val="20"/>
              </w:rPr>
              <w:t> </w:t>
            </w:r>
            <w:r>
              <w:rPr>
                <w:sz w:val="20"/>
              </w:rPr>
              <w:t>P26.9,</w:t>
            </w:r>
            <w:r>
              <w:rPr>
                <w:spacing w:val="-8"/>
                <w:sz w:val="20"/>
              </w:rPr>
              <w:t> </w:t>
            </w:r>
            <w:r>
              <w:rPr>
                <w:sz w:val="20"/>
              </w:rPr>
              <w:t>P27,</w:t>
            </w:r>
            <w:r>
              <w:rPr>
                <w:spacing w:val="-8"/>
                <w:sz w:val="20"/>
              </w:rPr>
              <w:t> </w:t>
            </w:r>
            <w:r>
              <w:rPr>
                <w:sz w:val="20"/>
              </w:rPr>
              <w:t>P27.1,</w:t>
            </w:r>
            <w:r>
              <w:rPr>
                <w:spacing w:val="-6"/>
                <w:sz w:val="20"/>
              </w:rPr>
              <w:t> </w:t>
            </w:r>
            <w:r>
              <w:rPr>
                <w:sz w:val="20"/>
              </w:rPr>
              <w:t>P28,</w:t>
            </w:r>
            <w:r>
              <w:rPr>
                <w:spacing w:val="-8"/>
                <w:sz w:val="20"/>
              </w:rPr>
              <w:t> </w:t>
            </w:r>
            <w:r>
              <w:rPr>
                <w:sz w:val="20"/>
              </w:rPr>
              <w:t>P28.0, P28.1, P28.5, P28.8, P28.9</w:t>
            </w:r>
          </w:p>
        </w:tc>
        <w:tc>
          <w:tcPr>
            <w:tcW w:w="3485" w:type="dxa"/>
          </w:tcPr>
          <w:p>
            <w:pPr>
              <w:pStyle w:val="TableParagraph"/>
              <w:spacing w:line="221" w:lineRule="exact"/>
              <w:ind w:right="94"/>
              <w:jc w:val="center"/>
              <w:rPr>
                <w:sz w:val="20"/>
              </w:rPr>
            </w:pPr>
            <w:r>
              <w:rPr>
                <w:w w:val="99"/>
                <w:sz w:val="20"/>
              </w:rPr>
              <w:t>-</w:t>
            </w:r>
          </w:p>
        </w:tc>
        <w:tc>
          <w:tcPr>
            <w:tcW w:w="2367" w:type="dxa"/>
          </w:tcPr>
          <w:p>
            <w:pPr>
              <w:pStyle w:val="TableParagraph"/>
              <w:ind w:left="430" w:right="454" w:hanging="180"/>
              <w:rPr>
                <w:sz w:val="20"/>
              </w:rPr>
            </w:pPr>
            <w:r>
              <w:rPr>
                <w:sz w:val="20"/>
              </w:rPr>
              <w:t>Возрастная</w:t>
            </w:r>
            <w:r>
              <w:rPr>
                <w:spacing w:val="-13"/>
                <w:sz w:val="20"/>
              </w:rPr>
              <w:t> </w:t>
            </w:r>
            <w:r>
              <w:rPr>
                <w:sz w:val="20"/>
              </w:rPr>
              <w:t>группа: от 0 до 28 дней</w:t>
            </w:r>
          </w:p>
        </w:tc>
        <w:tc>
          <w:tcPr>
            <w:tcW w:w="864" w:type="dxa"/>
          </w:tcPr>
          <w:p>
            <w:pPr>
              <w:pStyle w:val="TableParagraph"/>
              <w:spacing w:line="221" w:lineRule="exact"/>
              <w:ind w:right="49"/>
              <w:jc w:val="right"/>
              <w:rPr>
                <w:sz w:val="20"/>
              </w:rPr>
            </w:pPr>
            <w:r>
              <w:rPr>
                <w:spacing w:val="-4"/>
                <w:sz w:val="20"/>
              </w:rPr>
              <w:t>2,56</w:t>
            </w:r>
          </w:p>
        </w:tc>
      </w:tr>
      <w:tr>
        <w:trPr>
          <w:trHeight w:val="330" w:hRule="atLeast"/>
        </w:trPr>
        <w:tc>
          <w:tcPr>
            <w:tcW w:w="946" w:type="dxa"/>
          </w:tcPr>
          <w:p>
            <w:pPr>
              <w:pStyle w:val="TableParagraph"/>
              <w:spacing w:before="45"/>
              <w:ind w:left="37" w:right="198"/>
              <w:jc w:val="center"/>
              <w:rPr>
                <w:sz w:val="20"/>
              </w:rPr>
            </w:pPr>
            <w:r>
              <w:rPr>
                <w:spacing w:val="-4"/>
                <w:sz w:val="20"/>
              </w:rPr>
              <w:t>st18</w:t>
            </w:r>
          </w:p>
        </w:tc>
        <w:tc>
          <w:tcPr>
            <w:tcW w:w="707" w:type="dxa"/>
          </w:tcPr>
          <w:p>
            <w:pPr>
              <w:pStyle w:val="TableParagraph"/>
              <w:spacing w:before="45"/>
              <w:ind w:left="261"/>
              <w:rPr>
                <w:sz w:val="20"/>
              </w:rPr>
            </w:pPr>
            <w:r>
              <w:rPr>
                <w:spacing w:val="-5"/>
                <w:sz w:val="20"/>
              </w:rPr>
              <w:t>18</w:t>
            </w:r>
          </w:p>
        </w:tc>
        <w:tc>
          <w:tcPr>
            <w:tcW w:w="2539" w:type="dxa"/>
          </w:tcPr>
          <w:p>
            <w:pPr>
              <w:pStyle w:val="TableParagraph"/>
              <w:rPr>
                <w:sz w:val="18"/>
              </w:rPr>
            </w:pPr>
          </w:p>
        </w:tc>
        <w:tc>
          <w:tcPr>
            <w:tcW w:w="7852" w:type="dxa"/>
            <w:gridSpan w:val="2"/>
          </w:tcPr>
          <w:p>
            <w:pPr>
              <w:pStyle w:val="TableParagraph"/>
              <w:spacing w:before="45"/>
              <w:ind w:left="2695" w:right="2932"/>
              <w:jc w:val="center"/>
              <w:rPr>
                <w:sz w:val="20"/>
              </w:rPr>
            </w:pPr>
            <w:r>
              <w:rPr>
                <w:sz w:val="20"/>
              </w:rPr>
              <w:t>Нефрология</w:t>
            </w:r>
            <w:r>
              <w:rPr>
                <w:spacing w:val="-10"/>
                <w:sz w:val="20"/>
              </w:rPr>
              <w:t> </w:t>
            </w:r>
            <w:r>
              <w:rPr>
                <w:sz w:val="20"/>
              </w:rPr>
              <w:t>(без</w:t>
            </w:r>
            <w:r>
              <w:rPr>
                <w:spacing w:val="-8"/>
                <w:sz w:val="20"/>
              </w:rPr>
              <w:t> </w:t>
            </w:r>
            <w:r>
              <w:rPr>
                <w:spacing w:val="-2"/>
                <w:sz w:val="20"/>
              </w:rPr>
              <w:t>диализа)</w:t>
            </w:r>
          </w:p>
        </w:tc>
        <w:tc>
          <w:tcPr>
            <w:tcW w:w="2367" w:type="dxa"/>
          </w:tcPr>
          <w:p>
            <w:pPr>
              <w:pStyle w:val="TableParagraph"/>
              <w:rPr>
                <w:sz w:val="18"/>
              </w:rPr>
            </w:pPr>
          </w:p>
        </w:tc>
        <w:tc>
          <w:tcPr>
            <w:tcW w:w="864" w:type="dxa"/>
          </w:tcPr>
          <w:p>
            <w:pPr>
              <w:pStyle w:val="TableParagraph"/>
              <w:spacing w:before="45"/>
              <w:ind w:right="49"/>
              <w:jc w:val="right"/>
              <w:rPr>
                <w:sz w:val="20"/>
              </w:rPr>
            </w:pPr>
            <w:r>
              <w:rPr>
                <w:spacing w:val="-4"/>
                <w:sz w:val="20"/>
              </w:rPr>
              <w:t>1,69</w:t>
            </w:r>
          </w:p>
        </w:tc>
      </w:tr>
      <w:tr>
        <w:trPr>
          <w:trHeight w:val="789" w:hRule="atLeast"/>
        </w:trPr>
        <w:tc>
          <w:tcPr>
            <w:tcW w:w="946" w:type="dxa"/>
          </w:tcPr>
          <w:p>
            <w:pPr>
              <w:pStyle w:val="TableParagraph"/>
              <w:spacing w:before="46"/>
              <w:ind w:left="39" w:right="198"/>
              <w:jc w:val="center"/>
              <w:rPr>
                <w:sz w:val="20"/>
              </w:rPr>
            </w:pPr>
            <w:r>
              <w:rPr>
                <w:spacing w:val="-2"/>
                <w:sz w:val="20"/>
              </w:rPr>
              <w:t>st18.001</w:t>
            </w:r>
          </w:p>
        </w:tc>
        <w:tc>
          <w:tcPr>
            <w:tcW w:w="707" w:type="dxa"/>
          </w:tcPr>
          <w:p>
            <w:pPr>
              <w:pStyle w:val="TableParagraph"/>
              <w:spacing w:before="46"/>
              <w:ind w:left="210"/>
              <w:rPr>
                <w:sz w:val="20"/>
              </w:rPr>
            </w:pPr>
            <w:r>
              <w:rPr>
                <w:spacing w:val="-5"/>
                <w:sz w:val="20"/>
              </w:rPr>
              <w:t>127</w:t>
            </w:r>
          </w:p>
        </w:tc>
        <w:tc>
          <w:tcPr>
            <w:tcW w:w="2539" w:type="dxa"/>
          </w:tcPr>
          <w:p>
            <w:pPr>
              <w:pStyle w:val="TableParagraph"/>
              <w:spacing w:before="46"/>
              <w:ind w:left="192" w:right="297"/>
              <w:rPr>
                <w:sz w:val="20"/>
              </w:rPr>
            </w:pPr>
            <w:r>
              <w:rPr>
                <w:spacing w:val="-2"/>
                <w:sz w:val="20"/>
              </w:rPr>
              <w:t>Почечная недостаточность</w:t>
            </w:r>
          </w:p>
        </w:tc>
        <w:tc>
          <w:tcPr>
            <w:tcW w:w="4367" w:type="dxa"/>
          </w:tcPr>
          <w:p>
            <w:pPr>
              <w:pStyle w:val="TableParagraph"/>
              <w:spacing w:before="46"/>
              <w:ind w:left="274"/>
              <w:rPr>
                <w:sz w:val="20"/>
              </w:rPr>
            </w:pPr>
            <w:r>
              <w:rPr>
                <w:sz w:val="20"/>
              </w:rPr>
              <w:t>N17,</w:t>
            </w:r>
            <w:r>
              <w:rPr>
                <w:spacing w:val="-5"/>
                <w:sz w:val="20"/>
              </w:rPr>
              <w:t> </w:t>
            </w:r>
            <w:r>
              <w:rPr>
                <w:sz w:val="20"/>
              </w:rPr>
              <w:t>N17.0,</w:t>
            </w:r>
            <w:r>
              <w:rPr>
                <w:spacing w:val="-6"/>
                <w:sz w:val="20"/>
              </w:rPr>
              <w:t> </w:t>
            </w:r>
            <w:r>
              <w:rPr>
                <w:sz w:val="20"/>
              </w:rPr>
              <w:t>N17.1,</w:t>
            </w:r>
            <w:r>
              <w:rPr>
                <w:spacing w:val="-5"/>
                <w:sz w:val="20"/>
              </w:rPr>
              <w:t> </w:t>
            </w:r>
            <w:r>
              <w:rPr>
                <w:sz w:val="20"/>
              </w:rPr>
              <w:t>N17.2,</w:t>
            </w:r>
            <w:r>
              <w:rPr>
                <w:spacing w:val="-6"/>
                <w:sz w:val="20"/>
              </w:rPr>
              <w:t> </w:t>
            </w:r>
            <w:r>
              <w:rPr>
                <w:sz w:val="20"/>
              </w:rPr>
              <w:t>N17.8,</w:t>
            </w:r>
            <w:r>
              <w:rPr>
                <w:spacing w:val="-5"/>
                <w:sz w:val="20"/>
              </w:rPr>
              <w:t> </w:t>
            </w:r>
            <w:r>
              <w:rPr>
                <w:sz w:val="20"/>
              </w:rPr>
              <w:t>N17.9,</w:t>
            </w:r>
            <w:r>
              <w:rPr>
                <w:spacing w:val="-6"/>
                <w:sz w:val="20"/>
              </w:rPr>
              <w:t> </w:t>
            </w:r>
            <w:r>
              <w:rPr>
                <w:spacing w:val="-4"/>
                <w:sz w:val="20"/>
              </w:rPr>
              <w:t>N18,</w:t>
            </w:r>
          </w:p>
          <w:p>
            <w:pPr>
              <w:pStyle w:val="TableParagraph"/>
              <w:ind w:left="620" w:hanging="423"/>
              <w:rPr>
                <w:sz w:val="20"/>
              </w:rPr>
            </w:pPr>
            <w:r>
              <w:rPr>
                <w:sz w:val="20"/>
              </w:rPr>
              <w:t>N18.1,</w:t>
            </w:r>
            <w:r>
              <w:rPr>
                <w:spacing w:val="-6"/>
                <w:sz w:val="20"/>
              </w:rPr>
              <w:t> </w:t>
            </w:r>
            <w:r>
              <w:rPr>
                <w:sz w:val="20"/>
              </w:rPr>
              <w:t>N18.2,</w:t>
            </w:r>
            <w:r>
              <w:rPr>
                <w:spacing w:val="-8"/>
                <w:sz w:val="20"/>
              </w:rPr>
              <w:t> </w:t>
            </w:r>
            <w:r>
              <w:rPr>
                <w:sz w:val="20"/>
              </w:rPr>
              <w:t>N18.3,</w:t>
            </w:r>
            <w:r>
              <w:rPr>
                <w:spacing w:val="-6"/>
                <w:sz w:val="20"/>
              </w:rPr>
              <w:t> </w:t>
            </w:r>
            <w:r>
              <w:rPr>
                <w:sz w:val="20"/>
              </w:rPr>
              <w:t>N18.4,</w:t>
            </w:r>
            <w:r>
              <w:rPr>
                <w:spacing w:val="-8"/>
                <w:sz w:val="20"/>
              </w:rPr>
              <w:t> </w:t>
            </w:r>
            <w:r>
              <w:rPr>
                <w:sz w:val="20"/>
              </w:rPr>
              <w:t>N18.5,</w:t>
            </w:r>
            <w:r>
              <w:rPr>
                <w:spacing w:val="-6"/>
                <w:sz w:val="20"/>
              </w:rPr>
              <w:t> </w:t>
            </w:r>
            <w:r>
              <w:rPr>
                <w:sz w:val="20"/>
              </w:rPr>
              <w:t>N18.9,</w:t>
            </w:r>
            <w:r>
              <w:rPr>
                <w:spacing w:val="-8"/>
                <w:sz w:val="20"/>
              </w:rPr>
              <w:t> </w:t>
            </w:r>
            <w:r>
              <w:rPr>
                <w:sz w:val="20"/>
              </w:rPr>
              <w:t>N19, N99, N99.0, O08.4, O90.4, P96.0, R34</w:t>
            </w:r>
          </w:p>
        </w:tc>
        <w:tc>
          <w:tcPr>
            <w:tcW w:w="3485" w:type="dxa"/>
          </w:tcPr>
          <w:p>
            <w:pPr>
              <w:pStyle w:val="TableParagraph"/>
              <w:spacing w:before="46"/>
              <w:ind w:right="94"/>
              <w:jc w:val="center"/>
              <w:rPr>
                <w:sz w:val="20"/>
              </w:rPr>
            </w:pPr>
            <w:r>
              <w:rPr>
                <w:w w:val="99"/>
                <w:sz w:val="20"/>
              </w:rPr>
              <w:t>-</w:t>
            </w:r>
          </w:p>
        </w:tc>
        <w:tc>
          <w:tcPr>
            <w:tcW w:w="2367" w:type="dxa"/>
          </w:tcPr>
          <w:p>
            <w:pPr>
              <w:pStyle w:val="TableParagraph"/>
              <w:spacing w:before="46"/>
              <w:ind w:left="1042"/>
              <w:rPr>
                <w:sz w:val="20"/>
              </w:rPr>
            </w:pPr>
            <w:r>
              <w:rPr>
                <w:w w:val="99"/>
                <w:sz w:val="20"/>
              </w:rPr>
              <w:t>-</w:t>
            </w:r>
          </w:p>
        </w:tc>
        <w:tc>
          <w:tcPr>
            <w:tcW w:w="864" w:type="dxa"/>
          </w:tcPr>
          <w:p>
            <w:pPr>
              <w:pStyle w:val="TableParagraph"/>
              <w:spacing w:before="46"/>
              <w:ind w:right="49"/>
              <w:jc w:val="right"/>
              <w:rPr>
                <w:sz w:val="20"/>
              </w:rPr>
            </w:pPr>
            <w:r>
              <w:rPr>
                <w:spacing w:val="-4"/>
                <w:sz w:val="20"/>
              </w:rPr>
              <w:t>1,66</w:t>
            </w:r>
          </w:p>
        </w:tc>
      </w:tr>
      <w:tr>
        <w:trPr>
          <w:trHeight w:val="330" w:hRule="atLeast"/>
        </w:trPr>
        <w:tc>
          <w:tcPr>
            <w:tcW w:w="946" w:type="dxa"/>
          </w:tcPr>
          <w:p>
            <w:pPr>
              <w:pStyle w:val="TableParagraph"/>
              <w:spacing w:before="46"/>
              <w:ind w:left="39" w:right="198"/>
              <w:jc w:val="center"/>
              <w:rPr>
                <w:sz w:val="20"/>
              </w:rPr>
            </w:pPr>
            <w:r>
              <w:rPr>
                <w:spacing w:val="-2"/>
                <w:sz w:val="20"/>
              </w:rPr>
              <w:t>st18.002</w:t>
            </w:r>
          </w:p>
        </w:tc>
        <w:tc>
          <w:tcPr>
            <w:tcW w:w="707" w:type="dxa"/>
          </w:tcPr>
          <w:p>
            <w:pPr>
              <w:pStyle w:val="TableParagraph"/>
              <w:spacing w:before="46"/>
              <w:ind w:left="210"/>
              <w:rPr>
                <w:sz w:val="20"/>
              </w:rPr>
            </w:pPr>
            <w:r>
              <w:rPr>
                <w:spacing w:val="-5"/>
                <w:sz w:val="20"/>
              </w:rPr>
              <w:t>128</w:t>
            </w:r>
          </w:p>
        </w:tc>
        <w:tc>
          <w:tcPr>
            <w:tcW w:w="2539" w:type="dxa"/>
          </w:tcPr>
          <w:p>
            <w:pPr>
              <w:pStyle w:val="TableParagraph"/>
              <w:spacing w:line="215" w:lineRule="exact" w:before="46"/>
              <w:ind w:left="192"/>
              <w:rPr>
                <w:sz w:val="20"/>
              </w:rPr>
            </w:pPr>
            <w:r>
              <w:rPr>
                <w:spacing w:val="-2"/>
                <w:sz w:val="20"/>
              </w:rPr>
              <w:t>Формирование,</w:t>
            </w:r>
          </w:p>
        </w:tc>
        <w:tc>
          <w:tcPr>
            <w:tcW w:w="4367" w:type="dxa"/>
          </w:tcPr>
          <w:p>
            <w:pPr>
              <w:pStyle w:val="TableParagraph"/>
              <w:spacing w:before="46"/>
              <w:ind w:left="197" w:right="200"/>
              <w:jc w:val="center"/>
              <w:rPr>
                <w:sz w:val="20"/>
              </w:rPr>
            </w:pPr>
            <w:r>
              <w:rPr>
                <w:spacing w:val="-4"/>
                <w:sz w:val="20"/>
              </w:rPr>
              <w:t>N18.4</w:t>
            </w:r>
          </w:p>
        </w:tc>
        <w:tc>
          <w:tcPr>
            <w:tcW w:w="3485" w:type="dxa"/>
          </w:tcPr>
          <w:p>
            <w:pPr>
              <w:pStyle w:val="TableParagraph"/>
              <w:spacing w:before="46"/>
              <w:ind w:left="151" w:right="244"/>
              <w:jc w:val="center"/>
              <w:rPr>
                <w:sz w:val="20"/>
              </w:rPr>
            </w:pPr>
            <w:r>
              <w:rPr>
                <w:spacing w:val="-2"/>
                <w:sz w:val="20"/>
              </w:rPr>
              <w:t>A16.12.033</w:t>
            </w:r>
          </w:p>
        </w:tc>
        <w:tc>
          <w:tcPr>
            <w:tcW w:w="2367" w:type="dxa"/>
          </w:tcPr>
          <w:p>
            <w:pPr>
              <w:pStyle w:val="TableParagraph"/>
              <w:spacing w:before="46"/>
              <w:ind w:left="1042"/>
              <w:rPr>
                <w:sz w:val="20"/>
              </w:rPr>
            </w:pPr>
            <w:r>
              <w:rPr>
                <w:w w:val="99"/>
                <w:sz w:val="20"/>
              </w:rPr>
              <w:t>-</w:t>
            </w:r>
          </w:p>
        </w:tc>
        <w:tc>
          <w:tcPr>
            <w:tcW w:w="864" w:type="dxa"/>
          </w:tcPr>
          <w:p>
            <w:pPr>
              <w:pStyle w:val="TableParagraph"/>
              <w:spacing w:before="46"/>
              <w:ind w:right="49"/>
              <w:jc w:val="right"/>
              <w:rPr>
                <w:sz w:val="20"/>
              </w:rPr>
            </w:pPr>
            <w:r>
              <w:rPr>
                <w:spacing w:val="-4"/>
                <w:sz w:val="20"/>
              </w:rPr>
              <w:t>1,82</w:t>
            </w:r>
          </w:p>
        </w:tc>
      </w:tr>
      <w:tr>
        <w:trPr>
          <w:trHeight w:val="970"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39" w:type="dxa"/>
          </w:tcPr>
          <w:p>
            <w:pPr>
              <w:pStyle w:val="TableParagraph"/>
              <w:ind w:left="192" w:right="135"/>
              <w:rPr>
                <w:sz w:val="20"/>
              </w:rPr>
            </w:pPr>
            <w:r>
              <w:rPr>
                <w:spacing w:val="-2"/>
                <w:sz w:val="20"/>
              </w:rPr>
              <w:t>имплантация, </w:t>
            </w:r>
            <w:r>
              <w:rPr>
                <w:sz w:val="20"/>
              </w:rPr>
              <w:t>реконструкция,</w:t>
            </w:r>
            <w:r>
              <w:rPr>
                <w:spacing w:val="-13"/>
                <w:sz w:val="20"/>
              </w:rPr>
              <w:t> </w:t>
            </w:r>
            <w:r>
              <w:rPr>
                <w:sz w:val="20"/>
              </w:rPr>
              <w:t>удаление, смена доступа для </w:t>
            </w:r>
            <w:r>
              <w:rPr>
                <w:spacing w:val="-2"/>
                <w:sz w:val="20"/>
              </w:rPr>
              <w:t>диализа</w:t>
            </w:r>
          </w:p>
        </w:tc>
        <w:tc>
          <w:tcPr>
            <w:tcW w:w="4367" w:type="dxa"/>
          </w:tcPr>
          <w:p>
            <w:pPr>
              <w:pStyle w:val="TableParagraph"/>
              <w:spacing w:before="45"/>
              <w:ind w:left="197" w:right="200"/>
              <w:jc w:val="center"/>
              <w:rPr>
                <w:sz w:val="20"/>
              </w:rPr>
            </w:pPr>
            <w:r>
              <w:rPr>
                <w:spacing w:val="-4"/>
                <w:sz w:val="20"/>
              </w:rPr>
              <w:t>N18.5</w:t>
            </w:r>
          </w:p>
        </w:tc>
        <w:tc>
          <w:tcPr>
            <w:tcW w:w="3485" w:type="dxa"/>
          </w:tcPr>
          <w:p>
            <w:pPr>
              <w:pStyle w:val="TableParagraph"/>
              <w:spacing w:line="230" w:lineRule="atLeast" w:before="31"/>
              <w:ind w:left="151" w:right="249"/>
              <w:jc w:val="center"/>
              <w:rPr>
                <w:sz w:val="20"/>
              </w:rPr>
            </w:pPr>
            <w:r>
              <w:rPr>
                <w:sz w:val="20"/>
              </w:rPr>
              <w:t>A11.12.001, A11.12.001.003, A11.12.001.004,</w:t>
            </w:r>
            <w:r>
              <w:rPr>
                <w:spacing w:val="-13"/>
                <w:sz w:val="20"/>
              </w:rPr>
              <w:t> </w:t>
            </w:r>
            <w:r>
              <w:rPr>
                <w:sz w:val="20"/>
              </w:rPr>
              <w:t>A11.12.001.005, A11.12.001.006,</w:t>
            </w:r>
            <w:r>
              <w:rPr>
                <w:spacing w:val="-13"/>
                <w:sz w:val="20"/>
              </w:rPr>
              <w:t> </w:t>
            </w:r>
            <w:r>
              <w:rPr>
                <w:sz w:val="20"/>
              </w:rPr>
              <w:t>A11.12.003.004, A11.12.015, A11.12.015.001,</w:t>
            </w:r>
          </w:p>
        </w:tc>
        <w:tc>
          <w:tcPr>
            <w:tcW w:w="2367" w:type="dxa"/>
          </w:tcPr>
          <w:p>
            <w:pPr>
              <w:pStyle w:val="TableParagraph"/>
              <w:spacing w:before="45"/>
              <w:ind w:left="1042"/>
              <w:rPr>
                <w:sz w:val="20"/>
              </w:rPr>
            </w:pPr>
            <w:r>
              <w:rPr>
                <w:w w:val="99"/>
                <w:sz w:val="20"/>
              </w:rPr>
              <w:t>-</w:t>
            </w:r>
          </w:p>
        </w:tc>
        <w:tc>
          <w:tcPr>
            <w:tcW w:w="864"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11" w:lineRule="exact"/>
              <w:ind w:left="151" w:right="248"/>
              <w:jc w:val="center"/>
              <w:rPr>
                <w:sz w:val="20"/>
              </w:rPr>
            </w:pPr>
            <w:r>
              <w:rPr>
                <w:w w:val="95"/>
                <w:sz w:val="20"/>
              </w:rPr>
              <w:t>A11.12.015.002,</w:t>
            </w:r>
            <w:r>
              <w:rPr>
                <w:spacing w:val="54"/>
                <w:sz w:val="20"/>
              </w:rPr>
              <w:t> </w:t>
            </w:r>
            <w:r>
              <w:rPr>
                <w:spacing w:val="-2"/>
                <w:sz w:val="20"/>
              </w:rPr>
              <w:t>A11.30.025,</w:t>
            </w:r>
          </w:p>
        </w:tc>
        <w:tc>
          <w:tcPr>
            <w:tcW w:w="2367" w:type="dxa"/>
          </w:tcPr>
          <w:p>
            <w:pPr>
              <w:pStyle w:val="TableParagraph"/>
              <w:rPr>
                <w:sz w:val="16"/>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09" w:lineRule="exact"/>
              <w:ind w:left="151" w:right="250"/>
              <w:jc w:val="center"/>
              <w:rPr>
                <w:sz w:val="20"/>
              </w:rPr>
            </w:pPr>
            <w:r>
              <w:rPr>
                <w:sz w:val="20"/>
              </w:rPr>
              <w:t>A11.30.026,</w:t>
            </w:r>
            <w:r>
              <w:rPr>
                <w:spacing w:val="-9"/>
                <w:sz w:val="20"/>
              </w:rPr>
              <w:t> </w:t>
            </w:r>
            <w:r>
              <w:rPr>
                <w:sz w:val="20"/>
              </w:rPr>
              <w:t>A16.12.033,</w:t>
            </w:r>
            <w:r>
              <w:rPr>
                <w:spacing w:val="-10"/>
                <w:sz w:val="20"/>
              </w:rPr>
              <w:t> </w:t>
            </w:r>
            <w:r>
              <w:rPr>
                <w:spacing w:val="-2"/>
                <w:sz w:val="20"/>
              </w:rPr>
              <w:t>A16.12.034,</w:t>
            </w:r>
          </w:p>
        </w:tc>
        <w:tc>
          <w:tcPr>
            <w:tcW w:w="2367" w:type="dxa"/>
          </w:tcPr>
          <w:p>
            <w:pPr>
              <w:pStyle w:val="TableParagraph"/>
              <w:rPr>
                <w:sz w:val="16"/>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09" w:lineRule="exact"/>
              <w:ind w:left="151" w:right="248"/>
              <w:jc w:val="center"/>
              <w:rPr>
                <w:sz w:val="20"/>
              </w:rPr>
            </w:pPr>
            <w:r>
              <w:rPr>
                <w:w w:val="95"/>
                <w:sz w:val="20"/>
              </w:rPr>
              <w:t>A16.12.055.003,</w:t>
            </w:r>
            <w:r>
              <w:rPr>
                <w:spacing w:val="54"/>
                <w:sz w:val="20"/>
              </w:rPr>
              <w:t> </w:t>
            </w:r>
            <w:r>
              <w:rPr>
                <w:spacing w:val="-2"/>
                <w:sz w:val="20"/>
              </w:rPr>
              <w:t>A16.12.072,</w:t>
            </w:r>
          </w:p>
        </w:tc>
        <w:tc>
          <w:tcPr>
            <w:tcW w:w="2367" w:type="dxa"/>
          </w:tcPr>
          <w:p>
            <w:pPr>
              <w:pStyle w:val="TableParagraph"/>
              <w:rPr>
                <w:sz w:val="16"/>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10" w:lineRule="exact"/>
              <w:ind w:left="151" w:right="250"/>
              <w:jc w:val="center"/>
              <w:rPr>
                <w:sz w:val="20"/>
              </w:rPr>
            </w:pPr>
            <w:r>
              <w:rPr>
                <w:sz w:val="20"/>
              </w:rPr>
              <w:t>A16.12.073,</w:t>
            </w:r>
            <w:r>
              <w:rPr>
                <w:spacing w:val="-9"/>
                <w:sz w:val="20"/>
              </w:rPr>
              <w:t> </w:t>
            </w:r>
            <w:r>
              <w:rPr>
                <w:sz w:val="20"/>
              </w:rPr>
              <w:t>A16.12.074,</w:t>
            </w:r>
            <w:r>
              <w:rPr>
                <w:spacing w:val="-10"/>
                <w:sz w:val="20"/>
              </w:rPr>
              <w:t> </w:t>
            </w:r>
            <w:r>
              <w:rPr>
                <w:spacing w:val="-2"/>
                <w:sz w:val="20"/>
              </w:rPr>
              <w:t>A16.30.021,</w:t>
            </w:r>
          </w:p>
        </w:tc>
        <w:tc>
          <w:tcPr>
            <w:tcW w:w="2367" w:type="dxa"/>
          </w:tcPr>
          <w:p>
            <w:pPr>
              <w:pStyle w:val="TableParagraph"/>
              <w:rPr>
                <w:sz w:val="16"/>
              </w:rPr>
            </w:pPr>
          </w:p>
        </w:tc>
        <w:tc>
          <w:tcPr>
            <w:tcW w:w="864"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8"/>
              </w:rPr>
            </w:pPr>
          </w:p>
        </w:tc>
        <w:tc>
          <w:tcPr>
            <w:tcW w:w="4367" w:type="dxa"/>
          </w:tcPr>
          <w:p>
            <w:pPr>
              <w:pStyle w:val="TableParagraph"/>
              <w:rPr>
                <w:sz w:val="18"/>
              </w:rPr>
            </w:pPr>
          </w:p>
        </w:tc>
        <w:tc>
          <w:tcPr>
            <w:tcW w:w="3485" w:type="dxa"/>
          </w:tcPr>
          <w:p>
            <w:pPr>
              <w:pStyle w:val="TableParagraph"/>
              <w:spacing w:line="226" w:lineRule="exact"/>
              <w:ind w:left="151" w:right="248"/>
              <w:jc w:val="center"/>
              <w:rPr>
                <w:sz w:val="20"/>
              </w:rPr>
            </w:pPr>
            <w:r>
              <w:rPr>
                <w:sz w:val="20"/>
              </w:rPr>
              <w:t>A16.30.077,</w:t>
            </w:r>
            <w:r>
              <w:rPr>
                <w:spacing w:val="-9"/>
                <w:sz w:val="20"/>
              </w:rPr>
              <w:t> </w:t>
            </w:r>
            <w:r>
              <w:rPr>
                <w:spacing w:val="-2"/>
                <w:sz w:val="20"/>
              </w:rPr>
              <w:t>A25.30.001.001</w:t>
            </w:r>
          </w:p>
        </w:tc>
        <w:tc>
          <w:tcPr>
            <w:tcW w:w="2367" w:type="dxa"/>
          </w:tcPr>
          <w:p>
            <w:pPr>
              <w:pStyle w:val="TableParagraph"/>
              <w:rPr>
                <w:sz w:val="18"/>
              </w:rPr>
            </w:pPr>
          </w:p>
        </w:tc>
        <w:tc>
          <w:tcPr>
            <w:tcW w:w="864"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st18.003</w:t>
            </w:r>
          </w:p>
        </w:tc>
        <w:tc>
          <w:tcPr>
            <w:tcW w:w="707" w:type="dxa"/>
          </w:tcPr>
          <w:p>
            <w:pPr>
              <w:pStyle w:val="TableParagraph"/>
              <w:spacing w:line="215" w:lineRule="exact" w:before="45"/>
              <w:ind w:left="210"/>
              <w:rPr>
                <w:sz w:val="20"/>
              </w:rPr>
            </w:pPr>
            <w:r>
              <w:rPr>
                <w:spacing w:val="-5"/>
                <w:sz w:val="20"/>
              </w:rPr>
              <w:t>129</w:t>
            </w:r>
          </w:p>
        </w:tc>
        <w:tc>
          <w:tcPr>
            <w:tcW w:w="2539" w:type="dxa"/>
          </w:tcPr>
          <w:p>
            <w:pPr>
              <w:pStyle w:val="TableParagraph"/>
              <w:spacing w:line="215" w:lineRule="exact" w:before="45"/>
              <w:ind w:left="192"/>
              <w:rPr>
                <w:sz w:val="20"/>
              </w:rPr>
            </w:pPr>
            <w:r>
              <w:rPr>
                <w:w w:val="95"/>
                <w:sz w:val="20"/>
              </w:rPr>
              <w:t>Гломерулярные</w:t>
            </w:r>
            <w:r>
              <w:rPr>
                <w:spacing w:val="52"/>
                <w:sz w:val="20"/>
              </w:rPr>
              <w:t> </w:t>
            </w:r>
            <w:r>
              <w:rPr>
                <w:spacing w:val="-2"/>
                <w:sz w:val="20"/>
              </w:rPr>
              <w:t>болезни</w:t>
            </w:r>
          </w:p>
        </w:tc>
        <w:tc>
          <w:tcPr>
            <w:tcW w:w="4367" w:type="dxa"/>
          </w:tcPr>
          <w:p>
            <w:pPr>
              <w:pStyle w:val="TableParagraph"/>
              <w:spacing w:line="215" w:lineRule="exact" w:before="45"/>
              <w:ind w:left="197" w:right="205"/>
              <w:jc w:val="center"/>
              <w:rPr>
                <w:sz w:val="20"/>
              </w:rPr>
            </w:pPr>
            <w:r>
              <w:rPr>
                <w:sz w:val="20"/>
              </w:rPr>
              <w:t>N00,</w:t>
            </w:r>
            <w:r>
              <w:rPr>
                <w:spacing w:val="-6"/>
                <w:sz w:val="20"/>
              </w:rPr>
              <w:t> </w:t>
            </w:r>
            <w:r>
              <w:rPr>
                <w:sz w:val="20"/>
              </w:rPr>
              <w:t>N00.0,</w:t>
            </w:r>
            <w:r>
              <w:rPr>
                <w:spacing w:val="-6"/>
                <w:sz w:val="20"/>
              </w:rPr>
              <w:t> </w:t>
            </w:r>
            <w:r>
              <w:rPr>
                <w:sz w:val="20"/>
              </w:rPr>
              <w:t>N00.1,</w:t>
            </w:r>
            <w:r>
              <w:rPr>
                <w:spacing w:val="-5"/>
                <w:sz w:val="20"/>
              </w:rPr>
              <w:t> </w:t>
            </w:r>
            <w:r>
              <w:rPr>
                <w:sz w:val="20"/>
              </w:rPr>
              <w:t>N00.2,</w:t>
            </w:r>
            <w:r>
              <w:rPr>
                <w:spacing w:val="-6"/>
                <w:sz w:val="20"/>
              </w:rPr>
              <w:t> </w:t>
            </w:r>
            <w:r>
              <w:rPr>
                <w:sz w:val="20"/>
              </w:rPr>
              <w:t>N00.3,</w:t>
            </w:r>
            <w:r>
              <w:rPr>
                <w:spacing w:val="-5"/>
                <w:sz w:val="20"/>
              </w:rPr>
              <w:t> </w:t>
            </w:r>
            <w:r>
              <w:rPr>
                <w:sz w:val="20"/>
              </w:rPr>
              <w:t>N00.4,</w:t>
            </w:r>
            <w:r>
              <w:rPr>
                <w:spacing w:val="-6"/>
                <w:sz w:val="20"/>
              </w:rPr>
              <w:t> </w:t>
            </w:r>
            <w:r>
              <w:rPr>
                <w:spacing w:val="-2"/>
                <w:sz w:val="20"/>
              </w:rPr>
              <w:t>N00.5,</w:t>
            </w:r>
          </w:p>
        </w:tc>
        <w:tc>
          <w:tcPr>
            <w:tcW w:w="3485" w:type="dxa"/>
          </w:tcPr>
          <w:p>
            <w:pPr>
              <w:pStyle w:val="TableParagraph"/>
              <w:spacing w:line="215" w:lineRule="exact" w:before="45"/>
              <w:ind w:right="94"/>
              <w:jc w:val="center"/>
              <w:rPr>
                <w:sz w:val="20"/>
              </w:rPr>
            </w:pPr>
            <w:r>
              <w:rPr>
                <w:w w:val="99"/>
                <w:sz w:val="20"/>
              </w:rPr>
              <w:t>-</w:t>
            </w:r>
          </w:p>
        </w:tc>
        <w:tc>
          <w:tcPr>
            <w:tcW w:w="2367" w:type="dxa"/>
          </w:tcPr>
          <w:p>
            <w:pPr>
              <w:pStyle w:val="TableParagraph"/>
              <w:spacing w:line="215" w:lineRule="exact" w:before="45"/>
              <w:ind w:left="1042"/>
              <w:rPr>
                <w:sz w:val="20"/>
              </w:rPr>
            </w:pPr>
            <w:r>
              <w:rPr>
                <w:w w:val="99"/>
                <w:sz w:val="20"/>
              </w:rPr>
              <w:t>-</w:t>
            </w:r>
          </w:p>
        </w:tc>
        <w:tc>
          <w:tcPr>
            <w:tcW w:w="864" w:type="dxa"/>
          </w:tcPr>
          <w:p>
            <w:pPr>
              <w:pStyle w:val="TableParagraph"/>
              <w:spacing w:line="215" w:lineRule="exact" w:before="45"/>
              <w:ind w:right="49"/>
              <w:jc w:val="right"/>
              <w:rPr>
                <w:sz w:val="20"/>
              </w:rPr>
            </w:pPr>
            <w:r>
              <w:rPr>
                <w:spacing w:val="-4"/>
                <w:sz w:val="20"/>
              </w:rPr>
              <w:t>1,71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7"/>
              <w:jc w:val="center"/>
              <w:rPr>
                <w:sz w:val="20"/>
              </w:rPr>
            </w:pPr>
            <w:r>
              <w:rPr>
                <w:sz w:val="20"/>
              </w:rPr>
              <w:t>N00.6,</w:t>
            </w:r>
            <w:r>
              <w:rPr>
                <w:spacing w:val="-4"/>
                <w:sz w:val="20"/>
              </w:rPr>
              <w:t> </w:t>
            </w:r>
            <w:r>
              <w:rPr>
                <w:sz w:val="20"/>
              </w:rPr>
              <w:t>N00.7,</w:t>
            </w:r>
            <w:r>
              <w:rPr>
                <w:spacing w:val="-6"/>
                <w:sz w:val="20"/>
              </w:rPr>
              <w:t> </w:t>
            </w:r>
            <w:r>
              <w:rPr>
                <w:sz w:val="20"/>
              </w:rPr>
              <w:t>N00.8,</w:t>
            </w:r>
            <w:r>
              <w:rPr>
                <w:spacing w:val="-4"/>
                <w:sz w:val="20"/>
              </w:rPr>
              <w:t> </w:t>
            </w:r>
            <w:r>
              <w:rPr>
                <w:sz w:val="20"/>
              </w:rPr>
              <w:t>N00.9,</w:t>
            </w:r>
            <w:r>
              <w:rPr>
                <w:spacing w:val="-6"/>
                <w:sz w:val="20"/>
              </w:rPr>
              <w:t> </w:t>
            </w:r>
            <w:r>
              <w:rPr>
                <w:sz w:val="20"/>
              </w:rPr>
              <w:t>N01,</w:t>
            </w:r>
            <w:r>
              <w:rPr>
                <w:spacing w:val="-4"/>
                <w:sz w:val="20"/>
              </w:rPr>
              <w:t> </w:t>
            </w:r>
            <w:r>
              <w:rPr>
                <w:sz w:val="20"/>
              </w:rPr>
              <w:t>N01.0,</w:t>
            </w:r>
            <w:r>
              <w:rPr>
                <w:spacing w:val="-4"/>
                <w:sz w:val="20"/>
              </w:rPr>
              <w:t> </w:t>
            </w:r>
            <w:r>
              <w:rPr>
                <w:spacing w:val="-2"/>
                <w:sz w:val="20"/>
              </w:rPr>
              <w:t>N01.1,</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N01.2,</w:t>
            </w:r>
            <w:r>
              <w:rPr>
                <w:spacing w:val="-4"/>
                <w:sz w:val="20"/>
              </w:rPr>
              <w:t> </w:t>
            </w:r>
            <w:r>
              <w:rPr>
                <w:sz w:val="20"/>
              </w:rPr>
              <w:t>N01.3,</w:t>
            </w:r>
            <w:r>
              <w:rPr>
                <w:spacing w:val="-6"/>
                <w:sz w:val="20"/>
              </w:rPr>
              <w:t> </w:t>
            </w:r>
            <w:r>
              <w:rPr>
                <w:sz w:val="20"/>
              </w:rPr>
              <w:t>N01.4,</w:t>
            </w:r>
            <w:r>
              <w:rPr>
                <w:spacing w:val="-4"/>
                <w:sz w:val="20"/>
              </w:rPr>
              <w:t> </w:t>
            </w:r>
            <w:r>
              <w:rPr>
                <w:sz w:val="20"/>
              </w:rPr>
              <w:t>N01.5,</w:t>
            </w:r>
            <w:r>
              <w:rPr>
                <w:spacing w:val="-6"/>
                <w:sz w:val="20"/>
              </w:rPr>
              <w:t> </w:t>
            </w:r>
            <w:r>
              <w:rPr>
                <w:sz w:val="20"/>
              </w:rPr>
              <w:t>N01.6,</w:t>
            </w:r>
            <w:r>
              <w:rPr>
                <w:spacing w:val="-4"/>
                <w:sz w:val="20"/>
              </w:rPr>
              <w:t> </w:t>
            </w:r>
            <w:r>
              <w:rPr>
                <w:spacing w:val="-2"/>
                <w:sz w:val="20"/>
              </w:rPr>
              <w:t>N01.7,</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5"/>
              <w:jc w:val="center"/>
              <w:rPr>
                <w:sz w:val="20"/>
              </w:rPr>
            </w:pPr>
            <w:r>
              <w:rPr>
                <w:sz w:val="20"/>
              </w:rPr>
              <w:t>N01.8,</w:t>
            </w:r>
            <w:r>
              <w:rPr>
                <w:spacing w:val="-6"/>
                <w:sz w:val="20"/>
              </w:rPr>
              <w:t> </w:t>
            </w:r>
            <w:r>
              <w:rPr>
                <w:sz w:val="20"/>
              </w:rPr>
              <w:t>N01.9,</w:t>
            </w:r>
            <w:r>
              <w:rPr>
                <w:spacing w:val="-7"/>
                <w:sz w:val="20"/>
              </w:rPr>
              <w:t> </w:t>
            </w:r>
            <w:r>
              <w:rPr>
                <w:sz w:val="20"/>
              </w:rPr>
              <w:t>N02,</w:t>
            </w:r>
            <w:r>
              <w:rPr>
                <w:spacing w:val="-5"/>
                <w:sz w:val="20"/>
              </w:rPr>
              <w:t> </w:t>
            </w:r>
            <w:r>
              <w:rPr>
                <w:sz w:val="20"/>
              </w:rPr>
              <w:t>N02.0,</w:t>
            </w:r>
            <w:r>
              <w:rPr>
                <w:spacing w:val="-5"/>
                <w:sz w:val="20"/>
              </w:rPr>
              <w:t> </w:t>
            </w:r>
            <w:r>
              <w:rPr>
                <w:sz w:val="20"/>
              </w:rPr>
              <w:t>N02.1,</w:t>
            </w:r>
            <w:r>
              <w:rPr>
                <w:spacing w:val="-5"/>
                <w:sz w:val="20"/>
              </w:rPr>
              <w:t> </w:t>
            </w:r>
            <w:r>
              <w:rPr>
                <w:sz w:val="20"/>
              </w:rPr>
              <w:t>N02.2,</w:t>
            </w:r>
            <w:r>
              <w:rPr>
                <w:spacing w:val="-6"/>
                <w:sz w:val="20"/>
              </w:rPr>
              <w:t> </w:t>
            </w:r>
            <w:r>
              <w:rPr>
                <w:spacing w:val="-2"/>
                <w:sz w:val="20"/>
              </w:rPr>
              <w:t>N02.3,</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5"/>
              <w:jc w:val="center"/>
              <w:rPr>
                <w:sz w:val="20"/>
              </w:rPr>
            </w:pPr>
            <w:r>
              <w:rPr>
                <w:sz w:val="20"/>
              </w:rPr>
              <w:t>N02.4,</w:t>
            </w:r>
            <w:r>
              <w:rPr>
                <w:spacing w:val="-4"/>
                <w:sz w:val="20"/>
              </w:rPr>
              <w:t> </w:t>
            </w:r>
            <w:r>
              <w:rPr>
                <w:sz w:val="20"/>
              </w:rPr>
              <w:t>N02.5,</w:t>
            </w:r>
            <w:r>
              <w:rPr>
                <w:spacing w:val="-6"/>
                <w:sz w:val="20"/>
              </w:rPr>
              <w:t> </w:t>
            </w:r>
            <w:r>
              <w:rPr>
                <w:sz w:val="20"/>
              </w:rPr>
              <w:t>N02.6,</w:t>
            </w:r>
            <w:r>
              <w:rPr>
                <w:spacing w:val="-4"/>
                <w:sz w:val="20"/>
              </w:rPr>
              <w:t> </w:t>
            </w:r>
            <w:r>
              <w:rPr>
                <w:sz w:val="20"/>
              </w:rPr>
              <w:t>N02.7,</w:t>
            </w:r>
            <w:r>
              <w:rPr>
                <w:spacing w:val="-6"/>
                <w:sz w:val="20"/>
              </w:rPr>
              <w:t> </w:t>
            </w:r>
            <w:r>
              <w:rPr>
                <w:sz w:val="20"/>
              </w:rPr>
              <w:t>N02.8,</w:t>
            </w:r>
            <w:r>
              <w:rPr>
                <w:spacing w:val="-3"/>
                <w:sz w:val="20"/>
              </w:rPr>
              <w:t> </w:t>
            </w:r>
            <w:r>
              <w:rPr>
                <w:sz w:val="20"/>
              </w:rPr>
              <w:t>N02.9,</w:t>
            </w:r>
            <w:r>
              <w:rPr>
                <w:spacing w:val="-6"/>
                <w:sz w:val="20"/>
              </w:rPr>
              <w:t> </w:t>
            </w:r>
            <w:r>
              <w:rPr>
                <w:spacing w:val="-4"/>
                <w:sz w:val="20"/>
              </w:rPr>
              <w:t>N03,</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N03.0,</w:t>
            </w:r>
            <w:r>
              <w:rPr>
                <w:spacing w:val="-4"/>
                <w:sz w:val="20"/>
              </w:rPr>
              <w:t> </w:t>
            </w:r>
            <w:r>
              <w:rPr>
                <w:sz w:val="20"/>
              </w:rPr>
              <w:t>N03.1,</w:t>
            </w:r>
            <w:r>
              <w:rPr>
                <w:spacing w:val="-6"/>
                <w:sz w:val="20"/>
              </w:rPr>
              <w:t> </w:t>
            </w:r>
            <w:r>
              <w:rPr>
                <w:sz w:val="20"/>
              </w:rPr>
              <w:t>N03.2,</w:t>
            </w:r>
            <w:r>
              <w:rPr>
                <w:spacing w:val="-4"/>
                <w:sz w:val="20"/>
              </w:rPr>
              <w:t> </w:t>
            </w:r>
            <w:r>
              <w:rPr>
                <w:sz w:val="20"/>
              </w:rPr>
              <w:t>N03.3,</w:t>
            </w:r>
            <w:r>
              <w:rPr>
                <w:spacing w:val="-6"/>
                <w:sz w:val="20"/>
              </w:rPr>
              <w:t> </w:t>
            </w:r>
            <w:r>
              <w:rPr>
                <w:sz w:val="20"/>
              </w:rPr>
              <w:t>N03.4,</w:t>
            </w:r>
            <w:r>
              <w:rPr>
                <w:spacing w:val="-4"/>
                <w:sz w:val="20"/>
              </w:rPr>
              <w:t> </w:t>
            </w:r>
            <w:r>
              <w:rPr>
                <w:spacing w:val="-2"/>
                <w:sz w:val="20"/>
              </w:rPr>
              <w:t>N03.5,</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9" w:lineRule="exact"/>
              <w:ind w:left="197" w:right="207"/>
              <w:jc w:val="center"/>
              <w:rPr>
                <w:sz w:val="20"/>
              </w:rPr>
            </w:pPr>
            <w:r>
              <w:rPr>
                <w:sz w:val="20"/>
              </w:rPr>
              <w:t>N03.6,</w:t>
            </w:r>
            <w:r>
              <w:rPr>
                <w:spacing w:val="-4"/>
                <w:sz w:val="20"/>
              </w:rPr>
              <w:t> </w:t>
            </w:r>
            <w:r>
              <w:rPr>
                <w:sz w:val="20"/>
              </w:rPr>
              <w:t>N03.7,</w:t>
            </w:r>
            <w:r>
              <w:rPr>
                <w:spacing w:val="-6"/>
                <w:sz w:val="20"/>
              </w:rPr>
              <w:t> </w:t>
            </w:r>
            <w:r>
              <w:rPr>
                <w:sz w:val="20"/>
              </w:rPr>
              <w:t>N03.8,</w:t>
            </w:r>
            <w:r>
              <w:rPr>
                <w:spacing w:val="-4"/>
                <w:sz w:val="20"/>
              </w:rPr>
              <w:t> </w:t>
            </w:r>
            <w:r>
              <w:rPr>
                <w:sz w:val="20"/>
              </w:rPr>
              <w:t>N03.9,</w:t>
            </w:r>
            <w:r>
              <w:rPr>
                <w:spacing w:val="-6"/>
                <w:sz w:val="20"/>
              </w:rPr>
              <w:t> </w:t>
            </w:r>
            <w:r>
              <w:rPr>
                <w:sz w:val="20"/>
              </w:rPr>
              <w:t>N04,</w:t>
            </w:r>
            <w:r>
              <w:rPr>
                <w:spacing w:val="-4"/>
                <w:sz w:val="20"/>
              </w:rPr>
              <w:t> </w:t>
            </w:r>
            <w:r>
              <w:rPr>
                <w:sz w:val="20"/>
              </w:rPr>
              <w:t>N04.0,</w:t>
            </w:r>
            <w:r>
              <w:rPr>
                <w:spacing w:val="-4"/>
                <w:sz w:val="20"/>
              </w:rPr>
              <w:t> </w:t>
            </w:r>
            <w:r>
              <w:rPr>
                <w:spacing w:val="-2"/>
                <w:sz w:val="20"/>
              </w:rPr>
              <w:t>N04.1,</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N04.2,</w:t>
            </w:r>
            <w:r>
              <w:rPr>
                <w:spacing w:val="-4"/>
                <w:sz w:val="20"/>
              </w:rPr>
              <w:t> </w:t>
            </w:r>
            <w:r>
              <w:rPr>
                <w:sz w:val="20"/>
              </w:rPr>
              <w:t>N04.3,</w:t>
            </w:r>
            <w:r>
              <w:rPr>
                <w:spacing w:val="-6"/>
                <w:sz w:val="20"/>
              </w:rPr>
              <w:t> </w:t>
            </w:r>
            <w:r>
              <w:rPr>
                <w:sz w:val="20"/>
              </w:rPr>
              <w:t>N04.4,</w:t>
            </w:r>
            <w:r>
              <w:rPr>
                <w:spacing w:val="-4"/>
                <w:sz w:val="20"/>
              </w:rPr>
              <w:t> </w:t>
            </w:r>
            <w:r>
              <w:rPr>
                <w:sz w:val="20"/>
              </w:rPr>
              <w:t>N04.5,</w:t>
            </w:r>
            <w:r>
              <w:rPr>
                <w:spacing w:val="-6"/>
                <w:sz w:val="20"/>
              </w:rPr>
              <w:t> </w:t>
            </w:r>
            <w:r>
              <w:rPr>
                <w:sz w:val="20"/>
              </w:rPr>
              <w:t>N04.6,</w:t>
            </w:r>
            <w:r>
              <w:rPr>
                <w:spacing w:val="-4"/>
                <w:sz w:val="20"/>
              </w:rPr>
              <w:t> </w:t>
            </w:r>
            <w:r>
              <w:rPr>
                <w:spacing w:val="-2"/>
                <w:sz w:val="20"/>
              </w:rPr>
              <w:t>N04.7,</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5"/>
              <w:jc w:val="center"/>
              <w:rPr>
                <w:sz w:val="20"/>
              </w:rPr>
            </w:pPr>
            <w:r>
              <w:rPr>
                <w:sz w:val="20"/>
              </w:rPr>
              <w:t>N04.8,</w:t>
            </w:r>
            <w:r>
              <w:rPr>
                <w:spacing w:val="-6"/>
                <w:sz w:val="20"/>
              </w:rPr>
              <w:t> </w:t>
            </w:r>
            <w:r>
              <w:rPr>
                <w:sz w:val="20"/>
              </w:rPr>
              <w:t>N04.9,</w:t>
            </w:r>
            <w:r>
              <w:rPr>
                <w:spacing w:val="-7"/>
                <w:sz w:val="20"/>
              </w:rPr>
              <w:t> </w:t>
            </w:r>
            <w:r>
              <w:rPr>
                <w:sz w:val="20"/>
              </w:rPr>
              <w:t>N05,</w:t>
            </w:r>
            <w:r>
              <w:rPr>
                <w:spacing w:val="-5"/>
                <w:sz w:val="20"/>
              </w:rPr>
              <w:t> </w:t>
            </w:r>
            <w:r>
              <w:rPr>
                <w:sz w:val="20"/>
              </w:rPr>
              <w:t>N05.0,</w:t>
            </w:r>
            <w:r>
              <w:rPr>
                <w:spacing w:val="-5"/>
                <w:sz w:val="20"/>
              </w:rPr>
              <w:t> </w:t>
            </w:r>
            <w:r>
              <w:rPr>
                <w:sz w:val="20"/>
              </w:rPr>
              <w:t>N05.1,</w:t>
            </w:r>
            <w:r>
              <w:rPr>
                <w:spacing w:val="-5"/>
                <w:sz w:val="20"/>
              </w:rPr>
              <w:t> </w:t>
            </w:r>
            <w:r>
              <w:rPr>
                <w:sz w:val="20"/>
              </w:rPr>
              <w:t>N05.2,</w:t>
            </w:r>
            <w:r>
              <w:rPr>
                <w:spacing w:val="-6"/>
                <w:sz w:val="20"/>
              </w:rPr>
              <w:t> </w:t>
            </w:r>
            <w:r>
              <w:rPr>
                <w:spacing w:val="-2"/>
                <w:sz w:val="20"/>
              </w:rPr>
              <w:t>N05.3,</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1"/>
              <w:jc w:val="center"/>
              <w:rPr>
                <w:sz w:val="20"/>
              </w:rPr>
            </w:pPr>
            <w:r>
              <w:rPr>
                <w:sz w:val="20"/>
              </w:rPr>
              <w:t>N05.4,</w:t>
            </w:r>
            <w:r>
              <w:rPr>
                <w:spacing w:val="-5"/>
                <w:sz w:val="20"/>
              </w:rPr>
              <w:t> </w:t>
            </w:r>
            <w:r>
              <w:rPr>
                <w:sz w:val="20"/>
              </w:rPr>
              <w:t>N05.5,</w:t>
            </w:r>
            <w:r>
              <w:rPr>
                <w:spacing w:val="-5"/>
                <w:sz w:val="20"/>
              </w:rPr>
              <w:t> </w:t>
            </w:r>
            <w:r>
              <w:rPr>
                <w:sz w:val="20"/>
              </w:rPr>
              <w:t>N05.6,</w:t>
            </w:r>
            <w:r>
              <w:rPr>
                <w:spacing w:val="-4"/>
                <w:sz w:val="20"/>
              </w:rPr>
              <w:t> </w:t>
            </w:r>
            <w:r>
              <w:rPr>
                <w:sz w:val="20"/>
              </w:rPr>
              <w:t>N05.7,</w:t>
            </w:r>
            <w:r>
              <w:rPr>
                <w:spacing w:val="-6"/>
                <w:sz w:val="20"/>
              </w:rPr>
              <w:t> </w:t>
            </w:r>
            <w:r>
              <w:rPr>
                <w:sz w:val="20"/>
              </w:rPr>
              <w:t>N05.8,</w:t>
            </w:r>
            <w:r>
              <w:rPr>
                <w:spacing w:val="-4"/>
                <w:sz w:val="20"/>
              </w:rPr>
              <w:t> </w:t>
            </w:r>
            <w:r>
              <w:rPr>
                <w:sz w:val="20"/>
              </w:rPr>
              <w:t>N05.9,</w:t>
            </w:r>
            <w:r>
              <w:rPr>
                <w:spacing w:val="-6"/>
                <w:sz w:val="20"/>
              </w:rPr>
              <w:t> </w:t>
            </w:r>
            <w:r>
              <w:rPr>
                <w:spacing w:val="-4"/>
                <w:sz w:val="20"/>
              </w:rPr>
              <w:t>N06,</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N06.0,</w:t>
            </w:r>
            <w:r>
              <w:rPr>
                <w:spacing w:val="-4"/>
                <w:sz w:val="20"/>
              </w:rPr>
              <w:t> </w:t>
            </w:r>
            <w:r>
              <w:rPr>
                <w:sz w:val="20"/>
              </w:rPr>
              <w:t>N06.1,</w:t>
            </w:r>
            <w:r>
              <w:rPr>
                <w:spacing w:val="-6"/>
                <w:sz w:val="20"/>
              </w:rPr>
              <w:t> </w:t>
            </w:r>
            <w:r>
              <w:rPr>
                <w:sz w:val="20"/>
              </w:rPr>
              <w:t>N06.2,</w:t>
            </w:r>
            <w:r>
              <w:rPr>
                <w:spacing w:val="-4"/>
                <w:sz w:val="20"/>
              </w:rPr>
              <w:t> </w:t>
            </w:r>
            <w:r>
              <w:rPr>
                <w:sz w:val="20"/>
              </w:rPr>
              <w:t>N06.3,</w:t>
            </w:r>
            <w:r>
              <w:rPr>
                <w:spacing w:val="-6"/>
                <w:sz w:val="20"/>
              </w:rPr>
              <w:t> </w:t>
            </w:r>
            <w:r>
              <w:rPr>
                <w:sz w:val="20"/>
              </w:rPr>
              <w:t>N06.4,</w:t>
            </w:r>
            <w:r>
              <w:rPr>
                <w:spacing w:val="-4"/>
                <w:sz w:val="20"/>
              </w:rPr>
              <w:t> </w:t>
            </w:r>
            <w:r>
              <w:rPr>
                <w:spacing w:val="-2"/>
                <w:sz w:val="20"/>
              </w:rPr>
              <w:t>N06.5,</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9" w:lineRule="exact"/>
              <w:ind w:left="197" w:right="207"/>
              <w:jc w:val="center"/>
              <w:rPr>
                <w:sz w:val="20"/>
              </w:rPr>
            </w:pPr>
            <w:r>
              <w:rPr>
                <w:sz w:val="20"/>
              </w:rPr>
              <w:t>N06.6,</w:t>
            </w:r>
            <w:r>
              <w:rPr>
                <w:spacing w:val="-4"/>
                <w:sz w:val="20"/>
              </w:rPr>
              <w:t> </w:t>
            </w:r>
            <w:r>
              <w:rPr>
                <w:sz w:val="20"/>
              </w:rPr>
              <w:t>N06.7,</w:t>
            </w:r>
            <w:r>
              <w:rPr>
                <w:spacing w:val="-6"/>
                <w:sz w:val="20"/>
              </w:rPr>
              <w:t> </w:t>
            </w:r>
            <w:r>
              <w:rPr>
                <w:sz w:val="20"/>
              </w:rPr>
              <w:t>N06.8,</w:t>
            </w:r>
            <w:r>
              <w:rPr>
                <w:spacing w:val="-4"/>
                <w:sz w:val="20"/>
              </w:rPr>
              <w:t> </w:t>
            </w:r>
            <w:r>
              <w:rPr>
                <w:sz w:val="20"/>
              </w:rPr>
              <w:t>N06.9,</w:t>
            </w:r>
            <w:r>
              <w:rPr>
                <w:spacing w:val="-6"/>
                <w:sz w:val="20"/>
              </w:rPr>
              <w:t> </w:t>
            </w:r>
            <w:r>
              <w:rPr>
                <w:sz w:val="20"/>
              </w:rPr>
              <w:t>N07,</w:t>
            </w:r>
            <w:r>
              <w:rPr>
                <w:spacing w:val="-4"/>
                <w:sz w:val="20"/>
              </w:rPr>
              <w:t> </w:t>
            </w:r>
            <w:r>
              <w:rPr>
                <w:sz w:val="20"/>
              </w:rPr>
              <w:t>N07.0,</w:t>
            </w:r>
            <w:r>
              <w:rPr>
                <w:spacing w:val="-4"/>
                <w:sz w:val="20"/>
              </w:rPr>
              <w:t> </w:t>
            </w:r>
            <w:r>
              <w:rPr>
                <w:spacing w:val="-2"/>
                <w:sz w:val="20"/>
              </w:rPr>
              <w:t>N07.2,</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9" w:lineRule="exact"/>
              <w:ind w:left="197" w:right="207"/>
              <w:jc w:val="center"/>
              <w:rPr>
                <w:sz w:val="20"/>
              </w:rPr>
            </w:pPr>
            <w:r>
              <w:rPr>
                <w:sz w:val="20"/>
              </w:rPr>
              <w:t>N07.3,</w:t>
            </w:r>
            <w:r>
              <w:rPr>
                <w:spacing w:val="-4"/>
                <w:sz w:val="20"/>
              </w:rPr>
              <w:t> </w:t>
            </w:r>
            <w:r>
              <w:rPr>
                <w:sz w:val="20"/>
              </w:rPr>
              <w:t>N07.4,</w:t>
            </w:r>
            <w:r>
              <w:rPr>
                <w:spacing w:val="-6"/>
                <w:sz w:val="20"/>
              </w:rPr>
              <w:t> </w:t>
            </w:r>
            <w:r>
              <w:rPr>
                <w:sz w:val="20"/>
              </w:rPr>
              <w:t>N07.6,</w:t>
            </w:r>
            <w:r>
              <w:rPr>
                <w:spacing w:val="-4"/>
                <w:sz w:val="20"/>
              </w:rPr>
              <w:t> </w:t>
            </w:r>
            <w:r>
              <w:rPr>
                <w:sz w:val="20"/>
              </w:rPr>
              <w:t>N07.7,</w:t>
            </w:r>
            <w:r>
              <w:rPr>
                <w:spacing w:val="-6"/>
                <w:sz w:val="20"/>
              </w:rPr>
              <w:t> </w:t>
            </w:r>
            <w:r>
              <w:rPr>
                <w:sz w:val="20"/>
              </w:rPr>
              <w:t>N08,</w:t>
            </w:r>
            <w:r>
              <w:rPr>
                <w:spacing w:val="-4"/>
                <w:sz w:val="20"/>
              </w:rPr>
              <w:t> </w:t>
            </w:r>
            <w:r>
              <w:rPr>
                <w:sz w:val="20"/>
              </w:rPr>
              <w:t>N08.0,</w:t>
            </w:r>
            <w:r>
              <w:rPr>
                <w:spacing w:val="-4"/>
                <w:sz w:val="20"/>
              </w:rPr>
              <w:t> </w:t>
            </w:r>
            <w:r>
              <w:rPr>
                <w:spacing w:val="-2"/>
                <w:sz w:val="20"/>
              </w:rPr>
              <w:t>N08.1,</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5" w:lineRule="exact"/>
              <w:ind w:left="197" w:right="201"/>
              <w:jc w:val="center"/>
              <w:rPr>
                <w:sz w:val="20"/>
              </w:rPr>
            </w:pPr>
            <w:r>
              <w:rPr>
                <w:sz w:val="20"/>
              </w:rPr>
              <w:t>N08.2,</w:t>
            </w:r>
            <w:r>
              <w:rPr>
                <w:spacing w:val="-5"/>
                <w:sz w:val="20"/>
              </w:rPr>
              <w:t> </w:t>
            </w:r>
            <w:r>
              <w:rPr>
                <w:sz w:val="20"/>
              </w:rPr>
              <w:t>N08.3,</w:t>
            </w:r>
            <w:r>
              <w:rPr>
                <w:spacing w:val="-6"/>
                <w:sz w:val="20"/>
              </w:rPr>
              <w:t> </w:t>
            </w:r>
            <w:r>
              <w:rPr>
                <w:sz w:val="20"/>
              </w:rPr>
              <w:t>N08.4,</w:t>
            </w:r>
            <w:r>
              <w:rPr>
                <w:spacing w:val="-4"/>
                <w:sz w:val="20"/>
              </w:rPr>
              <w:t> </w:t>
            </w:r>
            <w:r>
              <w:rPr>
                <w:sz w:val="20"/>
              </w:rPr>
              <w:t>N08.5,</w:t>
            </w:r>
            <w:r>
              <w:rPr>
                <w:spacing w:val="-6"/>
                <w:sz w:val="20"/>
              </w:rPr>
              <w:t> </w:t>
            </w:r>
            <w:r>
              <w:rPr>
                <w:spacing w:val="-4"/>
                <w:sz w:val="20"/>
              </w:rPr>
              <w:t>N08.8</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76"/>
        <w:gridCol w:w="3858"/>
        <w:gridCol w:w="3854"/>
        <w:gridCol w:w="1573"/>
        <w:gridCol w:w="1261"/>
      </w:tblGrid>
      <w:tr>
        <w:trPr>
          <w:trHeight w:val="274" w:hRule="atLeast"/>
        </w:trPr>
        <w:tc>
          <w:tcPr>
            <w:tcW w:w="946" w:type="dxa"/>
          </w:tcPr>
          <w:p>
            <w:pPr>
              <w:pStyle w:val="TableParagraph"/>
              <w:spacing w:line="221" w:lineRule="exact"/>
              <w:ind w:left="37" w:right="198"/>
              <w:jc w:val="center"/>
              <w:rPr>
                <w:sz w:val="20"/>
              </w:rPr>
            </w:pPr>
            <w:r>
              <w:rPr>
                <w:spacing w:val="-4"/>
                <w:sz w:val="20"/>
              </w:rPr>
              <w:t>st19</w:t>
            </w:r>
          </w:p>
        </w:tc>
        <w:tc>
          <w:tcPr>
            <w:tcW w:w="707" w:type="dxa"/>
          </w:tcPr>
          <w:p>
            <w:pPr>
              <w:pStyle w:val="TableParagraph"/>
              <w:spacing w:line="221" w:lineRule="exact"/>
              <w:ind w:left="261"/>
              <w:rPr>
                <w:sz w:val="20"/>
              </w:rPr>
            </w:pPr>
            <w:r>
              <w:rPr>
                <w:spacing w:val="-5"/>
                <w:sz w:val="20"/>
              </w:rPr>
              <w:t>19</w:t>
            </w:r>
          </w:p>
        </w:tc>
        <w:tc>
          <w:tcPr>
            <w:tcW w:w="3076" w:type="dxa"/>
          </w:tcPr>
          <w:p>
            <w:pPr>
              <w:pStyle w:val="TableParagraph"/>
              <w:rPr>
                <w:sz w:val="18"/>
              </w:rPr>
            </w:pPr>
          </w:p>
        </w:tc>
        <w:tc>
          <w:tcPr>
            <w:tcW w:w="3858" w:type="dxa"/>
          </w:tcPr>
          <w:p>
            <w:pPr>
              <w:pStyle w:val="TableParagraph"/>
              <w:spacing w:line="221" w:lineRule="exact"/>
              <w:ind w:right="123"/>
              <w:jc w:val="right"/>
              <w:rPr>
                <w:sz w:val="20"/>
              </w:rPr>
            </w:pPr>
            <w:r>
              <w:rPr>
                <w:spacing w:val="-2"/>
                <w:sz w:val="20"/>
              </w:rPr>
              <w:t>Онкология</w:t>
            </w:r>
          </w:p>
        </w:tc>
        <w:tc>
          <w:tcPr>
            <w:tcW w:w="3854" w:type="dxa"/>
          </w:tcPr>
          <w:p>
            <w:pPr>
              <w:pStyle w:val="TableParagraph"/>
              <w:rPr>
                <w:sz w:val="18"/>
              </w:rPr>
            </w:pPr>
          </w:p>
        </w:tc>
        <w:tc>
          <w:tcPr>
            <w:tcW w:w="1573" w:type="dxa"/>
          </w:tcPr>
          <w:p>
            <w:pPr>
              <w:pStyle w:val="TableParagraph"/>
              <w:rPr>
                <w:sz w:val="18"/>
              </w:rPr>
            </w:pPr>
          </w:p>
        </w:tc>
        <w:tc>
          <w:tcPr>
            <w:tcW w:w="1261" w:type="dxa"/>
          </w:tcPr>
          <w:p>
            <w:pPr>
              <w:pStyle w:val="TableParagraph"/>
              <w:spacing w:line="221" w:lineRule="exact"/>
              <w:ind w:right="49"/>
              <w:jc w:val="right"/>
              <w:rPr>
                <w:sz w:val="20"/>
              </w:rPr>
            </w:pPr>
            <w:r>
              <w:rPr>
                <w:spacing w:val="-4"/>
                <w:sz w:val="20"/>
              </w:rPr>
              <w:t>4,26</w:t>
            </w:r>
          </w:p>
        </w:tc>
      </w:tr>
      <w:tr>
        <w:trPr>
          <w:trHeight w:val="1250" w:hRule="atLeast"/>
        </w:trPr>
        <w:tc>
          <w:tcPr>
            <w:tcW w:w="946" w:type="dxa"/>
          </w:tcPr>
          <w:p>
            <w:pPr>
              <w:pStyle w:val="TableParagraph"/>
              <w:spacing w:before="45"/>
              <w:ind w:left="39" w:right="198"/>
              <w:jc w:val="center"/>
              <w:rPr>
                <w:sz w:val="20"/>
              </w:rPr>
            </w:pPr>
            <w:r>
              <w:rPr>
                <w:spacing w:val="-2"/>
                <w:sz w:val="20"/>
              </w:rPr>
              <w:t>st19.001</w:t>
            </w:r>
          </w:p>
        </w:tc>
        <w:tc>
          <w:tcPr>
            <w:tcW w:w="707" w:type="dxa"/>
          </w:tcPr>
          <w:p>
            <w:pPr>
              <w:pStyle w:val="TableParagraph"/>
              <w:spacing w:before="45"/>
              <w:ind w:left="210"/>
              <w:rPr>
                <w:sz w:val="20"/>
              </w:rPr>
            </w:pPr>
            <w:r>
              <w:rPr>
                <w:spacing w:val="-5"/>
                <w:sz w:val="20"/>
              </w:rPr>
              <w:t>130</w:t>
            </w:r>
          </w:p>
        </w:tc>
        <w:tc>
          <w:tcPr>
            <w:tcW w:w="3076" w:type="dxa"/>
          </w:tcPr>
          <w:p>
            <w:pPr>
              <w:pStyle w:val="TableParagraph"/>
              <w:spacing w:before="45"/>
              <w:ind w:left="192" w:right="627"/>
              <w:rPr>
                <w:sz w:val="20"/>
              </w:rPr>
            </w:pPr>
            <w:r>
              <w:rPr>
                <w:sz w:val="20"/>
              </w:rPr>
              <w:t>Операции</w:t>
            </w:r>
            <w:r>
              <w:rPr>
                <w:spacing w:val="-13"/>
                <w:sz w:val="20"/>
              </w:rPr>
              <w:t> </w:t>
            </w:r>
            <w:r>
              <w:rPr>
                <w:sz w:val="20"/>
              </w:rPr>
              <w:t>на</w:t>
            </w:r>
            <w:r>
              <w:rPr>
                <w:spacing w:val="-12"/>
                <w:sz w:val="20"/>
              </w:rPr>
              <w:t> </w:t>
            </w:r>
            <w:r>
              <w:rPr>
                <w:sz w:val="20"/>
              </w:rPr>
              <w:t>женских половых органах при </w:t>
            </w:r>
            <w:r>
              <w:rPr>
                <w:spacing w:val="-2"/>
                <w:sz w:val="20"/>
              </w:rPr>
              <w:t>злокачественных новообразованиях </w:t>
            </w:r>
            <w:r>
              <w:rPr>
                <w:sz w:val="20"/>
              </w:rPr>
              <w:t>(уровень 1)</w:t>
            </w:r>
          </w:p>
        </w:tc>
        <w:tc>
          <w:tcPr>
            <w:tcW w:w="3858" w:type="dxa"/>
          </w:tcPr>
          <w:p>
            <w:pPr>
              <w:pStyle w:val="TableParagraph"/>
              <w:spacing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before="45"/>
              <w:ind w:left="123" w:right="647" w:firstLine="1"/>
              <w:jc w:val="center"/>
              <w:rPr>
                <w:sz w:val="20"/>
              </w:rPr>
            </w:pPr>
            <w:r>
              <w:rPr>
                <w:sz w:val="20"/>
              </w:rPr>
              <w:t>A16.20.002, A16.20.002.001, A16.20.003,</w:t>
            </w:r>
            <w:r>
              <w:rPr>
                <w:spacing w:val="-13"/>
                <w:sz w:val="20"/>
              </w:rPr>
              <w:t> </w:t>
            </w:r>
            <w:r>
              <w:rPr>
                <w:sz w:val="20"/>
              </w:rPr>
              <w:t>A16.20.004,</w:t>
            </w:r>
            <w:r>
              <w:rPr>
                <w:spacing w:val="-12"/>
                <w:sz w:val="20"/>
              </w:rPr>
              <w:t> </w:t>
            </w:r>
            <w:r>
              <w:rPr>
                <w:sz w:val="20"/>
              </w:rPr>
              <w:t>A16.20.006, A16.20.011.012, A16.20.022, A16.20.058, A16.20.061, A16.20.089</w:t>
            </w:r>
          </w:p>
        </w:tc>
        <w:tc>
          <w:tcPr>
            <w:tcW w:w="1573" w:type="dxa"/>
          </w:tcPr>
          <w:p>
            <w:pPr>
              <w:pStyle w:val="TableParagraph"/>
              <w:spacing w:before="45"/>
              <w:ind w:left="645"/>
              <w:rPr>
                <w:sz w:val="20"/>
              </w:rPr>
            </w:pPr>
            <w:r>
              <w:rPr>
                <w:w w:val="99"/>
                <w:sz w:val="20"/>
              </w:rPr>
              <w:t>-</w:t>
            </w:r>
          </w:p>
        </w:tc>
        <w:tc>
          <w:tcPr>
            <w:tcW w:w="1261" w:type="dxa"/>
          </w:tcPr>
          <w:p>
            <w:pPr>
              <w:pStyle w:val="TableParagraph"/>
              <w:spacing w:before="45"/>
              <w:ind w:right="49"/>
              <w:jc w:val="right"/>
              <w:rPr>
                <w:sz w:val="20"/>
              </w:rPr>
            </w:pPr>
            <w:r>
              <w:rPr>
                <w:spacing w:val="-4"/>
                <w:sz w:val="20"/>
              </w:rPr>
              <w:t>2,41</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st19.002</w:t>
            </w:r>
          </w:p>
        </w:tc>
        <w:tc>
          <w:tcPr>
            <w:tcW w:w="707" w:type="dxa"/>
          </w:tcPr>
          <w:p>
            <w:pPr>
              <w:pStyle w:val="TableParagraph"/>
              <w:spacing w:line="215" w:lineRule="exact" w:before="45"/>
              <w:ind w:left="210"/>
              <w:rPr>
                <w:sz w:val="20"/>
              </w:rPr>
            </w:pPr>
            <w:r>
              <w:rPr>
                <w:spacing w:val="-5"/>
                <w:sz w:val="20"/>
              </w:rPr>
              <w:t>131</w:t>
            </w:r>
          </w:p>
        </w:tc>
        <w:tc>
          <w:tcPr>
            <w:tcW w:w="3076"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3858" w:type="dxa"/>
          </w:tcPr>
          <w:p>
            <w:pPr>
              <w:pStyle w:val="TableParagraph"/>
              <w:spacing w:line="215" w:lineRule="exact"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5" w:lineRule="exact" w:before="45"/>
              <w:ind w:left="122" w:right="645"/>
              <w:jc w:val="center"/>
              <w:rPr>
                <w:sz w:val="20"/>
              </w:rPr>
            </w:pPr>
            <w:r>
              <w:rPr>
                <w:w w:val="95"/>
                <w:sz w:val="20"/>
              </w:rPr>
              <w:t>A16.20.003.001,</w:t>
            </w:r>
            <w:r>
              <w:rPr>
                <w:spacing w:val="54"/>
                <w:sz w:val="20"/>
              </w:rPr>
              <w:t> </w:t>
            </w:r>
            <w:r>
              <w:rPr>
                <w:spacing w:val="-2"/>
                <w:sz w:val="20"/>
              </w:rPr>
              <w:t>A16.20.003.002,</w:t>
            </w:r>
          </w:p>
        </w:tc>
        <w:tc>
          <w:tcPr>
            <w:tcW w:w="1573"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4,02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z w:val="20"/>
              </w:rPr>
              <w:t>половых</w:t>
            </w:r>
            <w:r>
              <w:rPr>
                <w:spacing w:val="-9"/>
                <w:sz w:val="20"/>
              </w:rPr>
              <w:t> </w:t>
            </w:r>
            <w:r>
              <w:rPr>
                <w:sz w:val="20"/>
              </w:rPr>
              <w:t>органах</w:t>
            </w:r>
            <w:r>
              <w:rPr>
                <w:spacing w:val="-5"/>
                <w:sz w:val="20"/>
              </w:rPr>
              <w:t> при</w:t>
            </w: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A16.20.003.004,</w:t>
            </w:r>
            <w:r>
              <w:rPr>
                <w:spacing w:val="54"/>
                <w:sz w:val="20"/>
              </w:rPr>
              <w:t> </w:t>
            </w:r>
            <w:r>
              <w:rPr>
                <w:spacing w:val="-2"/>
                <w:sz w:val="20"/>
              </w:rPr>
              <w:t>A16.20.003.005,</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pacing w:val="-2"/>
                <w:sz w:val="20"/>
              </w:rPr>
              <w:t>злокачественных</w:t>
            </w: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A16.20.003.006,</w:t>
            </w:r>
            <w:r>
              <w:rPr>
                <w:spacing w:val="54"/>
                <w:sz w:val="20"/>
              </w:rPr>
              <w:t> </w:t>
            </w:r>
            <w:r>
              <w:rPr>
                <w:spacing w:val="-2"/>
                <w:sz w:val="20"/>
              </w:rPr>
              <w:t>A16.20.003.007,</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9" w:lineRule="exact"/>
              <w:ind w:left="192"/>
              <w:rPr>
                <w:sz w:val="20"/>
              </w:rPr>
            </w:pPr>
            <w:r>
              <w:rPr>
                <w:spacing w:val="-2"/>
                <w:sz w:val="20"/>
              </w:rPr>
              <w:t>новообразованиях</w:t>
            </w: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w w:val="95"/>
                <w:sz w:val="20"/>
              </w:rPr>
              <w:t>A16.20.004.001,</w:t>
            </w:r>
            <w:r>
              <w:rPr>
                <w:spacing w:val="54"/>
                <w:sz w:val="20"/>
              </w:rPr>
              <w:t> </w:t>
            </w:r>
            <w:r>
              <w:rPr>
                <w:spacing w:val="-2"/>
                <w:sz w:val="20"/>
              </w:rPr>
              <w:t>A16.20.010,</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w w:val="95"/>
                <w:sz w:val="20"/>
              </w:rPr>
              <w:t>A16.20.011.002,</w:t>
            </w:r>
            <w:r>
              <w:rPr>
                <w:spacing w:val="54"/>
                <w:sz w:val="20"/>
              </w:rPr>
              <w:t> </w:t>
            </w:r>
            <w:r>
              <w:rPr>
                <w:spacing w:val="-2"/>
                <w:sz w:val="20"/>
              </w:rPr>
              <w:t>A16.20.012,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3" w:right="645"/>
              <w:jc w:val="center"/>
              <w:rPr>
                <w:sz w:val="20"/>
              </w:rPr>
            </w:pPr>
            <w:r>
              <w:rPr>
                <w:sz w:val="20"/>
              </w:rPr>
              <w:t>A16.20.057,</w:t>
            </w:r>
            <w:r>
              <w:rPr>
                <w:spacing w:val="-9"/>
                <w:sz w:val="20"/>
              </w:rPr>
              <w:t> </w:t>
            </w:r>
            <w:r>
              <w:rPr>
                <w:spacing w:val="-2"/>
                <w:sz w:val="20"/>
              </w:rPr>
              <w:t>A16.20.059.001,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3" w:right="642"/>
              <w:jc w:val="center"/>
              <w:rPr>
                <w:sz w:val="20"/>
              </w:rPr>
            </w:pPr>
            <w:r>
              <w:rPr>
                <w:sz w:val="20"/>
              </w:rPr>
              <w:t>A16.20.062,</w:t>
            </w:r>
            <w:r>
              <w:rPr>
                <w:spacing w:val="-9"/>
                <w:sz w:val="20"/>
              </w:rPr>
              <w:t> </w:t>
            </w:r>
            <w:r>
              <w:rPr>
                <w:spacing w:val="-2"/>
                <w:sz w:val="20"/>
              </w:rPr>
              <w:t>A16.20.063,</w:t>
            </w:r>
          </w:p>
        </w:tc>
        <w:tc>
          <w:tcPr>
            <w:tcW w:w="1573"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76" w:type="dxa"/>
          </w:tcPr>
          <w:p>
            <w:pPr>
              <w:pStyle w:val="TableParagraph"/>
              <w:rPr>
                <w:sz w:val="18"/>
              </w:rPr>
            </w:pPr>
          </w:p>
        </w:tc>
        <w:tc>
          <w:tcPr>
            <w:tcW w:w="3858" w:type="dxa"/>
          </w:tcPr>
          <w:p>
            <w:pPr>
              <w:pStyle w:val="TableParagraph"/>
              <w:rPr>
                <w:sz w:val="18"/>
              </w:rPr>
            </w:pPr>
          </w:p>
        </w:tc>
        <w:tc>
          <w:tcPr>
            <w:tcW w:w="3854" w:type="dxa"/>
          </w:tcPr>
          <w:p>
            <w:pPr>
              <w:pStyle w:val="TableParagraph"/>
              <w:spacing w:line="226" w:lineRule="exact"/>
              <w:ind w:left="123" w:right="644"/>
              <w:jc w:val="center"/>
              <w:rPr>
                <w:sz w:val="20"/>
              </w:rPr>
            </w:pPr>
            <w:r>
              <w:rPr>
                <w:spacing w:val="-2"/>
                <w:sz w:val="20"/>
              </w:rPr>
              <w:t>A16.20.063.010</w:t>
            </w:r>
          </w:p>
        </w:tc>
        <w:tc>
          <w:tcPr>
            <w:tcW w:w="1573"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st19.003</w:t>
            </w:r>
          </w:p>
        </w:tc>
        <w:tc>
          <w:tcPr>
            <w:tcW w:w="707" w:type="dxa"/>
          </w:tcPr>
          <w:p>
            <w:pPr>
              <w:pStyle w:val="TableParagraph"/>
              <w:spacing w:line="215" w:lineRule="exact" w:before="45"/>
              <w:ind w:left="210"/>
              <w:rPr>
                <w:sz w:val="20"/>
              </w:rPr>
            </w:pPr>
            <w:r>
              <w:rPr>
                <w:spacing w:val="-5"/>
                <w:sz w:val="20"/>
              </w:rPr>
              <w:t>132</w:t>
            </w:r>
          </w:p>
        </w:tc>
        <w:tc>
          <w:tcPr>
            <w:tcW w:w="3076"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3858" w:type="dxa"/>
          </w:tcPr>
          <w:p>
            <w:pPr>
              <w:pStyle w:val="TableParagraph"/>
              <w:spacing w:line="215" w:lineRule="exact"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5" w:lineRule="exact" w:before="45"/>
              <w:ind w:left="122" w:right="645"/>
              <w:jc w:val="center"/>
              <w:rPr>
                <w:sz w:val="20"/>
              </w:rPr>
            </w:pPr>
            <w:r>
              <w:rPr>
                <w:w w:val="95"/>
                <w:sz w:val="20"/>
              </w:rPr>
              <w:t>A16.20.003.003,</w:t>
            </w:r>
            <w:r>
              <w:rPr>
                <w:spacing w:val="54"/>
                <w:sz w:val="20"/>
              </w:rPr>
              <w:t> </w:t>
            </w:r>
            <w:r>
              <w:rPr>
                <w:spacing w:val="-2"/>
                <w:sz w:val="20"/>
              </w:rPr>
              <w:t>A16.20.011.001,</w:t>
            </w:r>
          </w:p>
        </w:tc>
        <w:tc>
          <w:tcPr>
            <w:tcW w:w="1573"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4,89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z w:val="20"/>
              </w:rPr>
              <w:t>половых</w:t>
            </w:r>
            <w:r>
              <w:rPr>
                <w:spacing w:val="-9"/>
                <w:sz w:val="20"/>
              </w:rPr>
              <w:t> </w:t>
            </w:r>
            <w:r>
              <w:rPr>
                <w:sz w:val="20"/>
              </w:rPr>
              <w:t>органах</w:t>
            </w:r>
            <w:r>
              <w:rPr>
                <w:spacing w:val="-7"/>
                <w:sz w:val="20"/>
              </w:rPr>
              <w:t> </w:t>
            </w:r>
            <w:r>
              <w:rPr>
                <w:spacing w:val="-5"/>
                <w:sz w:val="20"/>
              </w:rPr>
              <w:t>при</w:t>
            </w: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A16.20.011.003,</w:t>
            </w:r>
            <w:r>
              <w:rPr>
                <w:spacing w:val="54"/>
                <w:sz w:val="20"/>
              </w:rPr>
              <w:t> </w:t>
            </w:r>
            <w:r>
              <w:rPr>
                <w:spacing w:val="-2"/>
                <w:sz w:val="20"/>
              </w:rPr>
              <w:t>A16.20.011.004,</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1" w:lineRule="exact"/>
              <w:ind w:left="192"/>
              <w:rPr>
                <w:sz w:val="20"/>
              </w:rPr>
            </w:pPr>
            <w:r>
              <w:rPr>
                <w:spacing w:val="-2"/>
                <w:sz w:val="20"/>
              </w:rPr>
              <w:t>злокачественных</w:t>
            </w:r>
          </w:p>
        </w:tc>
        <w:tc>
          <w:tcPr>
            <w:tcW w:w="3858" w:type="dxa"/>
          </w:tcPr>
          <w:p>
            <w:pPr>
              <w:pStyle w:val="TableParagraph"/>
              <w:rPr>
                <w:sz w:val="16"/>
              </w:rPr>
            </w:pPr>
          </w:p>
        </w:tc>
        <w:tc>
          <w:tcPr>
            <w:tcW w:w="3854" w:type="dxa"/>
          </w:tcPr>
          <w:p>
            <w:pPr>
              <w:pStyle w:val="TableParagraph"/>
              <w:spacing w:line="211" w:lineRule="exact"/>
              <w:ind w:left="123" w:right="641"/>
              <w:jc w:val="center"/>
              <w:rPr>
                <w:sz w:val="20"/>
              </w:rPr>
            </w:pPr>
            <w:r>
              <w:rPr>
                <w:w w:val="95"/>
                <w:sz w:val="20"/>
              </w:rPr>
              <w:t>A16.20.011.005,</w:t>
            </w:r>
            <w:r>
              <w:rPr>
                <w:spacing w:val="54"/>
                <w:sz w:val="20"/>
              </w:rPr>
              <w:t> </w:t>
            </w:r>
            <w:r>
              <w:rPr>
                <w:spacing w:val="-2"/>
                <w:sz w:val="20"/>
              </w:rPr>
              <w:t>A16.20.011.006,</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1" w:lineRule="exact"/>
              <w:ind w:left="192"/>
              <w:rPr>
                <w:sz w:val="20"/>
              </w:rPr>
            </w:pPr>
            <w:r>
              <w:rPr>
                <w:spacing w:val="-2"/>
                <w:sz w:val="20"/>
              </w:rPr>
              <w:t>новообразованиях</w:t>
            </w:r>
          </w:p>
        </w:tc>
        <w:tc>
          <w:tcPr>
            <w:tcW w:w="3858" w:type="dxa"/>
          </w:tcPr>
          <w:p>
            <w:pPr>
              <w:pStyle w:val="TableParagraph"/>
              <w:rPr>
                <w:sz w:val="16"/>
              </w:rPr>
            </w:pPr>
          </w:p>
        </w:tc>
        <w:tc>
          <w:tcPr>
            <w:tcW w:w="3854" w:type="dxa"/>
          </w:tcPr>
          <w:p>
            <w:pPr>
              <w:pStyle w:val="TableParagraph"/>
              <w:spacing w:line="211" w:lineRule="exact"/>
              <w:ind w:left="122" w:right="645"/>
              <w:jc w:val="center"/>
              <w:rPr>
                <w:sz w:val="20"/>
              </w:rPr>
            </w:pPr>
            <w:r>
              <w:rPr>
                <w:w w:val="95"/>
                <w:sz w:val="20"/>
              </w:rPr>
              <w:t>A16.20.011.007,</w:t>
            </w:r>
            <w:r>
              <w:rPr>
                <w:spacing w:val="54"/>
                <w:sz w:val="20"/>
              </w:rPr>
              <w:t> </w:t>
            </w:r>
            <w:r>
              <w:rPr>
                <w:spacing w:val="-2"/>
                <w:sz w:val="20"/>
              </w:rPr>
              <w:t>A16.20.011.009,</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z w:val="20"/>
              </w:rPr>
              <w:t>(уровень</w:t>
            </w:r>
            <w:r>
              <w:rPr>
                <w:spacing w:val="-11"/>
                <w:sz w:val="20"/>
              </w:rPr>
              <w:t> </w:t>
            </w:r>
            <w:r>
              <w:rPr>
                <w:spacing w:val="-5"/>
                <w:sz w:val="20"/>
              </w:rPr>
              <w:t>3)</w:t>
            </w:r>
          </w:p>
        </w:tc>
        <w:tc>
          <w:tcPr>
            <w:tcW w:w="3858" w:type="dxa"/>
          </w:tcPr>
          <w:p>
            <w:pPr>
              <w:pStyle w:val="TableParagraph"/>
              <w:rPr>
                <w:sz w:val="16"/>
              </w:rPr>
            </w:pPr>
          </w:p>
        </w:tc>
        <w:tc>
          <w:tcPr>
            <w:tcW w:w="3854" w:type="dxa"/>
          </w:tcPr>
          <w:p>
            <w:pPr>
              <w:pStyle w:val="TableParagraph"/>
              <w:spacing w:line="210" w:lineRule="exact"/>
              <w:ind w:left="123" w:right="645"/>
              <w:jc w:val="center"/>
              <w:rPr>
                <w:sz w:val="20"/>
              </w:rPr>
            </w:pPr>
            <w:r>
              <w:rPr>
                <w:sz w:val="20"/>
              </w:rPr>
              <w:t>A16.20.013,</w:t>
            </w:r>
            <w:r>
              <w:rPr>
                <w:spacing w:val="-9"/>
                <w:sz w:val="20"/>
              </w:rPr>
              <w:t> </w:t>
            </w:r>
            <w:r>
              <w:rPr>
                <w:spacing w:val="-2"/>
                <w:sz w:val="20"/>
              </w:rPr>
              <w:t>A16.20.013.001,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2" w:right="645"/>
              <w:jc w:val="center"/>
              <w:rPr>
                <w:sz w:val="20"/>
              </w:rPr>
            </w:pPr>
            <w:r>
              <w:rPr>
                <w:w w:val="95"/>
                <w:sz w:val="20"/>
              </w:rPr>
              <w:t>A16.20.057.002,</w:t>
            </w:r>
            <w:r>
              <w:rPr>
                <w:spacing w:val="54"/>
                <w:sz w:val="20"/>
              </w:rPr>
              <w:t> </w:t>
            </w:r>
            <w:r>
              <w:rPr>
                <w:spacing w:val="-2"/>
                <w:sz w:val="20"/>
              </w:rPr>
              <w:t>A16.20.059.002,</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2" w:right="645"/>
              <w:jc w:val="center"/>
              <w:rPr>
                <w:sz w:val="20"/>
              </w:rPr>
            </w:pPr>
            <w:r>
              <w:rPr>
                <w:w w:val="95"/>
                <w:sz w:val="20"/>
              </w:rPr>
              <w:t>A16.20.063.004,</w:t>
            </w:r>
            <w:r>
              <w:rPr>
                <w:spacing w:val="54"/>
                <w:sz w:val="20"/>
              </w:rPr>
              <w:t> </w:t>
            </w:r>
            <w:r>
              <w:rPr>
                <w:spacing w:val="-2"/>
                <w:sz w:val="20"/>
              </w:rPr>
              <w:t>A16.20.063.006,</w:t>
            </w:r>
          </w:p>
        </w:tc>
        <w:tc>
          <w:tcPr>
            <w:tcW w:w="1573"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3076" w:type="dxa"/>
          </w:tcPr>
          <w:p>
            <w:pPr>
              <w:pStyle w:val="TableParagraph"/>
              <w:rPr>
                <w:sz w:val="18"/>
              </w:rPr>
            </w:pPr>
          </w:p>
        </w:tc>
        <w:tc>
          <w:tcPr>
            <w:tcW w:w="3858" w:type="dxa"/>
          </w:tcPr>
          <w:p>
            <w:pPr>
              <w:pStyle w:val="TableParagraph"/>
              <w:rPr>
                <w:sz w:val="18"/>
              </w:rPr>
            </w:pPr>
          </w:p>
        </w:tc>
        <w:tc>
          <w:tcPr>
            <w:tcW w:w="3854" w:type="dxa"/>
          </w:tcPr>
          <w:p>
            <w:pPr>
              <w:pStyle w:val="TableParagraph"/>
              <w:spacing w:line="226" w:lineRule="exact"/>
              <w:ind w:left="123" w:right="644"/>
              <w:jc w:val="center"/>
              <w:rPr>
                <w:sz w:val="20"/>
              </w:rPr>
            </w:pPr>
            <w:r>
              <w:rPr>
                <w:spacing w:val="-2"/>
                <w:sz w:val="20"/>
              </w:rPr>
              <w:t>A16.20.063.019</w:t>
            </w:r>
          </w:p>
        </w:tc>
        <w:tc>
          <w:tcPr>
            <w:tcW w:w="1573"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st19.004</w:t>
            </w:r>
          </w:p>
        </w:tc>
        <w:tc>
          <w:tcPr>
            <w:tcW w:w="707" w:type="dxa"/>
          </w:tcPr>
          <w:p>
            <w:pPr>
              <w:pStyle w:val="TableParagraph"/>
              <w:spacing w:line="214" w:lineRule="exact" w:before="46"/>
              <w:ind w:left="210"/>
              <w:rPr>
                <w:sz w:val="20"/>
              </w:rPr>
            </w:pPr>
            <w:r>
              <w:rPr>
                <w:spacing w:val="-5"/>
                <w:sz w:val="20"/>
              </w:rPr>
              <w:t>133</w:t>
            </w:r>
          </w:p>
        </w:tc>
        <w:tc>
          <w:tcPr>
            <w:tcW w:w="3076" w:type="dxa"/>
          </w:tcPr>
          <w:p>
            <w:pPr>
              <w:pStyle w:val="TableParagraph"/>
              <w:spacing w:line="214" w:lineRule="exact" w:before="46"/>
              <w:ind w:left="192"/>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3858" w:type="dxa"/>
          </w:tcPr>
          <w:p>
            <w:pPr>
              <w:pStyle w:val="TableParagraph"/>
              <w:spacing w:line="214" w:lineRule="exact" w:before="46"/>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4" w:lineRule="exact" w:before="46"/>
              <w:ind w:left="121" w:right="645"/>
              <w:jc w:val="center"/>
              <w:rPr>
                <w:sz w:val="20"/>
              </w:rPr>
            </w:pPr>
            <w:r>
              <w:rPr>
                <w:sz w:val="20"/>
              </w:rPr>
              <w:t>A16.17.002,</w:t>
            </w:r>
            <w:r>
              <w:rPr>
                <w:spacing w:val="-9"/>
                <w:sz w:val="20"/>
              </w:rPr>
              <w:t> </w:t>
            </w:r>
            <w:r>
              <w:rPr>
                <w:sz w:val="20"/>
              </w:rPr>
              <w:t>A16.17.004,</w:t>
            </w:r>
            <w:r>
              <w:rPr>
                <w:spacing w:val="-10"/>
                <w:sz w:val="20"/>
              </w:rPr>
              <w:t> </w:t>
            </w:r>
            <w:r>
              <w:rPr>
                <w:spacing w:val="-2"/>
                <w:sz w:val="20"/>
              </w:rPr>
              <w:t>A16.17.006,</w:t>
            </w:r>
          </w:p>
        </w:tc>
        <w:tc>
          <w:tcPr>
            <w:tcW w:w="1573" w:type="dxa"/>
          </w:tcPr>
          <w:p>
            <w:pPr>
              <w:pStyle w:val="TableParagraph"/>
              <w:spacing w:line="214" w:lineRule="exact" w:before="46"/>
              <w:ind w:left="645"/>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3,05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9" w:lineRule="exact"/>
              <w:ind w:left="192"/>
              <w:rPr>
                <w:sz w:val="20"/>
              </w:rPr>
            </w:pPr>
            <w:r>
              <w:rPr>
                <w:sz w:val="20"/>
              </w:rPr>
              <w:t>анальной</w:t>
            </w:r>
            <w:r>
              <w:rPr>
                <w:spacing w:val="-8"/>
                <w:sz w:val="20"/>
              </w:rPr>
              <w:t> </w:t>
            </w:r>
            <w:r>
              <w:rPr>
                <w:sz w:val="20"/>
              </w:rPr>
              <w:t>области</w:t>
            </w:r>
            <w:r>
              <w:rPr>
                <w:spacing w:val="-8"/>
                <w:sz w:val="20"/>
              </w:rPr>
              <w:t> </w:t>
            </w:r>
            <w:r>
              <w:rPr>
                <w:spacing w:val="-5"/>
                <w:sz w:val="20"/>
              </w:rPr>
              <w:t>при</w:t>
            </w: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sz w:val="20"/>
              </w:rPr>
              <w:t>A16.17.007,</w:t>
            </w:r>
            <w:r>
              <w:rPr>
                <w:spacing w:val="-9"/>
                <w:sz w:val="20"/>
              </w:rPr>
              <w:t> </w:t>
            </w:r>
            <w:r>
              <w:rPr>
                <w:spacing w:val="-2"/>
                <w:sz w:val="20"/>
              </w:rPr>
              <w:t>A16.17.007.001,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pacing w:val="-2"/>
                <w:sz w:val="20"/>
              </w:rPr>
              <w:t>злокачественных</w:t>
            </w:r>
          </w:p>
        </w:tc>
        <w:tc>
          <w:tcPr>
            <w:tcW w:w="3858" w:type="dxa"/>
          </w:tcPr>
          <w:p>
            <w:pPr>
              <w:pStyle w:val="TableParagraph"/>
              <w:rPr>
                <w:sz w:val="16"/>
              </w:rPr>
            </w:pPr>
          </w:p>
        </w:tc>
        <w:tc>
          <w:tcPr>
            <w:tcW w:w="3854" w:type="dxa"/>
          </w:tcPr>
          <w:p>
            <w:pPr>
              <w:pStyle w:val="TableParagraph"/>
              <w:spacing w:line="210" w:lineRule="exact"/>
              <w:ind w:left="121" w:right="645"/>
              <w:jc w:val="center"/>
              <w:rPr>
                <w:sz w:val="20"/>
              </w:rPr>
            </w:pPr>
            <w:r>
              <w:rPr>
                <w:sz w:val="20"/>
              </w:rPr>
              <w:t>A16.17.008,</w:t>
            </w:r>
            <w:r>
              <w:rPr>
                <w:spacing w:val="-9"/>
                <w:sz w:val="20"/>
              </w:rPr>
              <w:t> </w:t>
            </w:r>
            <w:r>
              <w:rPr>
                <w:sz w:val="20"/>
              </w:rPr>
              <w:t>A16.17.011,</w:t>
            </w:r>
            <w:r>
              <w:rPr>
                <w:spacing w:val="-10"/>
                <w:sz w:val="20"/>
              </w:rPr>
              <w:t> </w:t>
            </w:r>
            <w:r>
              <w:rPr>
                <w:spacing w:val="-2"/>
                <w:sz w:val="20"/>
              </w:rPr>
              <w:t>A16.17.016,</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pacing w:val="-2"/>
                <w:sz w:val="20"/>
              </w:rPr>
              <w:t>новообразованиях</w:t>
            </w:r>
          </w:p>
        </w:tc>
        <w:tc>
          <w:tcPr>
            <w:tcW w:w="3858" w:type="dxa"/>
          </w:tcPr>
          <w:p>
            <w:pPr>
              <w:pStyle w:val="TableParagraph"/>
              <w:rPr>
                <w:sz w:val="16"/>
              </w:rPr>
            </w:pPr>
          </w:p>
        </w:tc>
        <w:tc>
          <w:tcPr>
            <w:tcW w:w="3854" w:type="dxa"/>
          </w:tcPr>
          <w:p>
            <w:pPr>
              <w:pStyle w:val="TableParagraph"/>
              <w:spacing w:line="210" w:lineRule="exact"/>
              <w:ind w:left="123" w:right="645"/>
              <w:jc w:val="center"/>
              <w:rPr>
                <w:sz w:val="20"/>
              </w:rPr>
            </w:pPr>
            <w:r>
              <w:rPr>
                <w:w w:val="95"/>
                <w:sz w:val="20"/>
              </w:rPr>
              <w:t>A16.17.016.001,</w:t>
            </w:r>
            <w:r>
              <w:rPr>
                <w:spacing w:val="54"/>
                <w:sz w:val="20"/>
              </w:rPr>
              <w:t> </w:t>
            </w:r>
            <w:r>
              <w:rPr>
                <w:spacing w:val="-2"/>
                <w:sz w:val="20"/>
              </w:rPr>
              <w:t>A16.17.017,</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1" w:lineRule="exact"/>
              <w:ind w:left="192"/>
              <w:rPr>
                <w:sz w:val="20"/>
              </w:rPr>
            </w:pPr>
            <w:r>
              <w:rPr>
                <w:sz w:val="20"/>
              </w:rPr>
              <w:t>(уровень</w:t>
            </w:r>
            <w:r>
              <w:rPr>
                <w:spacing w:val="-11"/>
                <w:sz w:val="20"/>
              </w:rPr>
              <w:t> </w:t>
            </w:r>
            <w:r>
              <w:rPr>
                <w:spacing w:val="-5"/>
                <w:sz w:val="20"/>
              </w:rPr>
              <w:t>1)</w:t>
            </w:r>
          </w:p>
        </w:tc>
        <w:tc>
          <w:tcPr>
            <w:tcW w:w="3858" w:type="dxa"/>
          </w:tcPr>
          <w:p>
            <w:pPr>
              <w:pStyle w:val="TableParagraph"/>
              <w:rPr>
                <w:sz w:val="16"/>
              </w:rPr>
            </w:pPr>
          </w:p>
        </w:tc>
        <w:tc>
          <w:tcPr>
            <w:tcW w:w="3854" w:type="dxa"/>
          </w:tcPr>
          <w:p>
            <w:pPr>
              <w:pStyle w:val="TableParagraph"/>
              <w:spacing w:line="211" w:lineRule="exact"/>
              <w:ind w:left="121" w:right="645"/>
              <w:jc w:val="center"/>
              <w:rPr>
                <w:sz w:val="20"/>
              </w:rPr>
            </w:pPr>
            <w:r>
              <w:rPr>
                <w:sz w:val="20"/>
              </w:rPr>
              <w:t>A16.17.018,</w:t>
            </w:r>
            <w:r>
              <w:rPr>
                <w:spacing w:val="-9"/>
                <w:sz w:val="20"/>
              </w:rPr>
              <w:t> </w:t>
            </w:r>
            <w:r>
              <w:rPr>
                <w:sz w:val="20"/>
              </w:rPr>
              <w:t>A16.17.019,</w:t>
            </w:r>
            <w:r>
              <w:rPr>
                <w:spacing w:val="-10"/>
                <w:sz w:val="20"/>
              </w:rPr>
              <w:t> </w:t>
            </w:r>
            <w:r>
              <w:rPr>
                <w:spacing w:val="-2"/>
                <w:sz w:val="20"/>
              </w:rPr>
              <w:t>A16.18.002,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1" w:lineRule="exact"/>
              <w:ind w:left="121" w:right="645"/>
              <w:jc w:val="center"/>
              <w:rPr>
                <w:sz w:val="20"/>
              </w:rPr>
            </w:pPr>
            <w:r>
              <w:rPr>
                <w:sz w:val="20"/>
              </w:rPr>
              <w:t>A16.18.003,</w:t>
            </w:r>
            <w:r>
              <w:rPr>
                <w:spacing w:val="-9"/>
                <w:sz w:val="20"/>
              </w:rPr>
              <w:t> </w:t>
            </w:r>
            <w:r>
              <w:rPr>
                <w:sz w:val="20"/>
              </w:rPr>
              <w:t>A16.18.005,</w:t>
            </w:r>
            <w:r>
              <w:rPr>
                <w:spacing w:val="-10"/>
                <w:sz w:val="20"/>
              </w:rPr>
              <w:t> </w:t>
            </w:r>
            <w:r>
              <w:rPr>
                <w:spacing w:val="-2"/>
                <w:sz w:val="20"/>
              </w:rPr>
              <w:t>A16.18.006,</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sz w:val="20"/>
              </w:rPr>
              <w:t>A16.18.007,</w:t>
            </w:r>
            <w:r>
              <w:rPr>
                <w:spacing w:val="-9"/>
                <w:sz w:val="20"/>
              </w:rPr>
              <w:t> </w:t>
            </w:r>
            <w:r>
              <w:rPr>
                <w:spacing w:val="-2"/>
                <w:sz w:val="20"/>
              </w:rPr>
              <w:t>A16.18.007.001,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sz w:val="20"/>
              </w:rPr>
              <w:t>A16.18.008,</w:t>
            </w:r>
            <w:r>
              <w:rPr>
                <w:spacing w:val="-8"/>
                <w:sz w:val="20"/>
              </w:rPr>
              <w:t> </w:t>
            </w:r>
            <w:r>
              <w:rPr>
                <w:sz w:val="20"/>
              </w:rPr>
              <w:t>A16.18.012,</w:t>
            </w:r>
            <w:r>
              <w:rPr>
                <w:spacing w:val="-9"/>
                <w:sz w:val="20"/>
              </w:rPr>
              <w:t> </w:t>
            </w:r>
            <w:r>
              <w:rPr>
                <w:spacing w:val="-2"/>
                <w:sz w:val="20"/>
              </w:rPr>
              <w:t>A16.18.013,</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A16.18.013.001,</w:t>
            </w:r>
            <w:r>
              <w:rPr>
                <w:spacing w:val="54"/>
                <w:sz w:val="20"/>
              </w:rPr>
              <w:t> </w:t>
            </w:r>
            <w:r>
              <w:rPr>
                <w:spacing w:val="-2"/>
                <w:sz w:val="20"/>
              </w:rPr>
              <w:t>A16.18.013.002,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1" w:right="645"/>
              <w:jc w:val="center"/>
              <w:rPr>
                <w:sz w:val="20"/>
              </w:rPr>
            </w:pPr>
            <w:r>
              <w:rPr>
                <w:sz w:val="20"/>
              </w:rPr>
              <w:t>A16.18.021,</w:t>
            </w:r>
            <w:r>
              <w:rPr>
                <w:spacing w:val="-9"/>
                <w:sz w:val="20"/>
              </w:rPr>
              <w:t> </w:t>
            </w:r>
            <w:r>
              <w:rPr>
                <w:sz w:val="20"/>
              </w:rPr>
              <w:t>A16.18.027,</w:t>
            </w:r>
            <w:r>
              <w:rPr>
                <w:spacing w:val="-10"/>
                <w:sz w:val="20"/>
              </w:rPr>
              <w:t> </w:t>
            </w:r>
            <w:r>
              <w:rPr>
                <w:spacing w:val="-2"/>
                <w:sz w:val="20"/>
              </w:rPr>
              <w:t>A16.19.030,</w:t>
            </w:r>
          </w:p>
        </w:tc>
        <w:tc>
          <w:tcPr>
            <w:tcW w:w="1573"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76" w:type="dxa"/>
          </w:tcPr>
          <w:p>
            <w:pPr>
              <w:pStyle w:val="TableParagraph"/>
              <w:rPr>
                <w:sz w:val="18"/>
              </w:rPr>
            </w:pPr>
          </w:p>
        </w:tc>
        <w:tc>
          <w:tcPr>
            <w:tcW w:w="3858" w:type="dxa"/>
          </w:tcPr>
          <w:p>
            <w:pPr>
              <w:pStyle w:val="TableParagraph"/>
              <w:rPr>
                <w:sz w:val="18"/>
              </w:rPr>
            </w:pPr>
          </w:p>
        </w:tc>
        <w:tc>
          <w:tcPr>
            <w:tcW w:w="3854" w:type="dxa"/>
          </w:tcPr>
          <w:p>
            <w:pPr>
              <w:pStyle w:val="TableParagraph"/>
              <w:spacing w:line="226" w:lineRule="exact"/>
              <w:ind w:left="123" w:right="645"/>
              <w:jc w:val="center"/>
              <w:rPr>
                <w:sz w:val="20"/>
              </w:rPr>
            </w:pPr>
            <w:r>
              <w:rPr>
                <w:sz w:val="20"/>
              </w:rPr>
              <w:t>A16.19.031,</w:t>
            </w:r>
            <w:r>
              <w:rPr>
                <w:spacing w:val="-9"/>
                <w:sz w:val="20"/>
              </w:rPr>
              <w:t> </w:t>
            </w:r>
            <w:r>
              <w:rPr>
                <w:sz w:val="20"/>
              </w:rPr>
              <w:t>A16.19.032,</w:t>
            </w:r>
            <w:r>
              <w:rPr>
                <w:spacing w:val="-10"/>
                <w:sz w:val="20"/>
              </w:rPr>
              <w:t> </w:t>
            </w:r>
            <w:r>
              <w:rPr>
                <w:spacing w:val="-2"/>
                <w:sz w:val="20"/>
              </w:rPr>
              <w:t>A22.19.004</w:t>
            </w:r>
          </w:p>
        </w:tc>
        <w:tc>
          <w:tcPr>
            <w:tcW w:w="1573"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st19.005</w:t>
            </w:r>
          </w:p>
        </w:tc>
        <w:tc>
          <w:tcPr>
            <w:tcW w:w="707" w:type="dxa"/>
          </w:tcPr>
          <w:p>
            <w:pPr>
              <w:pStyle w:val="TableParagraph"/>
              <w:spacing w:line="215" w:lineRule="exact" w:before="45"/>
              <w:ind w:left="210"/>
              <w:rPr>
                <w:sz w:val="20"/>
              </w:rPr>
            </w:pPr>
            <w:r>
              <w:rPr>
                <w:spacing w:val="-5"/>
                <w:sz w:val="20"/>
              </w:rPr>
              <w:t>134</w:t>
            </w:r>
          </w:p>
        </w:tc>
        <w:tc>
          <w:tcPr>
            <w:tcW w:w="3076" w:type="dxa"/>
          </w:tcPr>
          <w:p>
            <w:pPr>
              <w:pStyle w:val="TableParagraph"/>
              <w:spacing w:line="215" w:lineRule="exact" w:before="45"/>
              <w:ind w:left="192"/>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3858" w:type="dxa"/>
          </w:tcPr>
          <w:p>
            <w:pPr>
              <w:pStyle w:val="TableParagraph"/>
              <w:spacing w:line="215" w:lineRule="exact"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5" w:lineRule="exact" w:before="45"/>
              <w:ind w:left="123" w:right="645"/>
              <w:jc w:val="center"/>
              <w:rPr>
                <w:sz w:val="20"/>
              </w:rPr>
            </w:pPr>
            <w:r>
              <w:rPr>
                <w:w w:val="95"/>
                <w:sz w:val="20"/>
              </w:rPr>
              <w:t>A16.17.009.001,</w:t>
            </w:r>
            <w:r>
              <w:rPr>
                <w:spacing w:val="54"/>
                <w:sz w:val="20"/>
              </w:rPr>
              <w:t> </w:t>
            </w:r>
            <w:r>
              <w:rPr>
                <w:spacing w:val="-2"/>
                <w:sz w:val="20"/>
              </w:rPr>
              <w:t>A16.18.004,</w:t>
            </w:r>
          </w:p>
        </w:tc>
        <w:tc>
          <w:tcPr>
            <w:tcW w:w="1573"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5,31</w:t>
            </w: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5" w:lineRule="exact"/>
              <w:ind w:left="192"/>
              <w:rPr>
                <w:sz w:val="20"/>
              </w:rPr>
            </w:pPr>
            <w:r>
              <w:rPr>
                <w:sz w:val="20"/>
              </w:rPr>
              <w:t>анальной</w:t>
            </w:r>
            <w:r>
              <w:rPr>
                <w:spacing w:val="-8"/>
                <w:sz w:val="20"/>
              </w:rPr>
              <w:t> </w:t>
            </w:r>
            <w:r>
              <w:rPr>
                <w:sz w:val="20"/>
              </w:rPr>
              <w:t>области</w:t>
            </w:r>
            <w:r>
              <w:rPr>
                <w:spacing w:val="-8"/>
                <w:sz w:val="20"/>
              </w:rPr>
              <w:t> </w:t>
            </w:r>
            <w:r>
              <w:rPr>
                <w:spacing w:val="-5"/>
                <w:sz w:val="20"/>
              </w:rPr>
              <w:t>при</w:t>
            </w:r>
          </w:p>
        </w:tc>
        <w:tc>
          <w:tcPr>
            <w:tcW w:w="3858" w:type="dxa"/>
          </w:tcPr>
          <w:p>
            <w:pPr>
              <w:pStyle w:val="TableParagraph"/>
              <w:rPr>
                <w:sz w:val="16"/>
              </w:rPr>
            </w:pPr>
          </w:p>
        </w:tc>
        <w:tc>
          <w:tcPr>
            <w:tcW w:w="3854" w:type="dxa"/>
          </w:tcPr>
          <w:p>
            <w:pPr>
              <w:pStyle w:val="TableParagraph"/>
              <w:spacing w:line="205" w:lineRule="exact"/>
              <w:ind w:left="123" w:right="645"/>
              <w:jc w:val="center"/>
              <w:rPr>
                <w:sz w:val="20"/>
              </w:rPr>
            </w:pPr>
            <w:r>
              <w:rPr>
                <w:w w:val="95"/>
                <w:sz w:val="20"/>
              </w:rPr>
              <w:t>A16.18.004.001,</w:t>
            </w:r>
            <w:r>
              <w:rPr>
                <w:spacing w:val="54"/>
                <w:sz w:val="20"/>
              </w:rPr>
              <w:t> </w:t>
            </w:r>
            <w:r>
              <w:rPr>
                <w:spacing w:val="-2"/>
                <w:sz w:val="20"/>
              </w:rPr>
              <w:t>A16.18.015,</w:t>
            </w:r>
          </w:p>
        </w:tc>
        <w:tc>
          <w:tcPr>
            <w:tcW w:w="1573"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11"/>
        <w:gridCol w:w="3385"/>
        <w:gridCol w:w="4392"/>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011" w:type="dxa"/>
          </w:tcPr>
          <w:p>
            <w:pPr>
              <w:pStyle w:val="TableParagraph"/>
              <w:spacing w:line="205" w:lineRule="exact"/>
              <w:ind w:left="192"/>
              <w:rPr>
                <w:sz w:val="20"/>
              </w:rPr>
            </w:pPr>
            <w:r>
              <w:rPr>
                <w:spacing w:val="-2"/>
                <w:sz w:val="20"/>
              </w:rPr>
              <w:t>злокачественных</w:t>
            </w:r>
          </w:p>
        </w:tc>
        <w:tc>
          <w:tcPr>
            <w:tcW w:w="3385" w:type="dxa"/>
            <w:vMerge w:val="restart"/>
          </w:tcPr>
          <w:p>
            <w:pPr>
              <w:pStyle w:val="TableParagraph"/>
              <w:rPr>
                <w:sz w:val="18"/>
              </w:rPr>
            </w:pPr>
          </w:p>
        </w:tc>
        <w:tc>
          <w:tcPr>
            <w:tcW w:w="4392" w:type="dxa"/>
          </w:tcPr>
          <w:p>
            <w:pPr>
              <w:pStyle w:val="TableParagraph"/>
              <w:spacing w:line="205" w:lineRule="exact"/>
              <w:ind w:left="660" w:right="648"/>
              <w:jc w:val="center"/>
              <w:rPr>
                <w:sz w:val="20"/>
              </w:rPr>
            </w:pPr>
            <w:r>
              <w:rPr>
                <w:w w:val="95"/>
                <w:sz w:val="20"/>
              </w:rPr>
              <w:t>A16.18.015.001,</w:t>
            </w:r>
            <w:r>
              <w:rPr>
                <w:spacing w:val="54"/>
                <w:sz w:val="20"/>
              </w:rPr>
              <w:t> </w:t>
            </w:r>
            <w:r>
              <w:rPr>
                <w:spacing w:val="-2"/>
                <w:sz w:val="20"/>
              </w:rPr>
              <w:t>A16.18.015.002,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spacing w:line="209" w:lineRule="exact"/>
              <w:ind w:left="192"/>
              <w:rPr>
                <w:sz w:val="20"/>
              </w:rPr>
            </w:pPr>
            <w:r>
              <w:rPr>
                <w:spacing w:val="-2"/>
                <w:sz w:val="20"/>
              </w:rPr>
              <w:t>новообразованиях</w:t>
            </w:r>
          </w:p>
        </w:tc>
        <w:tc>
          <w:tcPr>
            <w:tcW w:w="3385" w:type="dxa"/>
            <w:vMerge/>
            <w:tcBorders>
              <w:top w:val="nil"/>
            </w:tcBorders>
          </w:tcPr>
          <w:p>
            <w:pPr>
              <w:rPr>
                <w:sz w:val="2"/>
                <w:szCs w:val="2"/>
              </w:rPr>
            </w:pPr>
          </w:p>
        </w:tc>
        <w:tc>
          <w:tcPr>
            <w:tcW w:w="4392" w:type="dxa"/>
          </w:tcPr>
          <w:p>
            <w:pPr>
              <w:pStyle w:val="TableParagraph"/>
              <w:spacing w:line="209" w:lineRule="exact"/>
              <w:ind w:left="660" w:right="647"/>
              <w:jc w:val="center"/>
              <w:rPr>
                <w:sz w:val="20"/>
              </w:rPr>
            </w:pPr>
            <w:r>
              <w:rPr>
                <w:sz w:val="20"/>
              </w:rPr>
              <w:t>A16.18.016,</w:t>
            </w:r>
            <w:r>
              <w:rPr>
                <w:spacing w:val="-9"/>
                <w:sz w:val="20"/>
              </w:rPr>
              <w:t> </w:t>
            </w:r>
            <w:r>
              <w:rPr>
                <w:spacing w:val="-2"/>
                <w:sz w:val="20"/>
              </w:rPr>
              <w:t>A16.18.016.001,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3385" w:type="dxa"/>
            <w:vMerge/>
            <w:tcBorders>
              <w:top w:val="nil"/>
            </w:tcBorders>
          </w:tcPr>
          <w:p>
            <w:pPr>
              <w:rPr>
                <w:sz w:val="2"/>
                <w:szCs w:val="2"/>
              </w:rPr>
            </w:pPr>
          </w:p>
        </w:tc>
        <w:tc>
          <w:tcPr>
            <w:tcW w:w="4392" w:type="dxa"/>
          </w:tcPr>
          <w:p>
            <w:pPr>
              <w:pStyle w:val="TableParagraph"/>
              <w:spacing w:line="209" w:lineRule="exact"/>
              <w:ind w:left="660" w:right="647"/>
              <w:jc w:val="center"/>
              <w:rPr>
                <w:sz w:val="20"/>
              </w:rPr>
            </w:pPr>
            <w:r>
              <w:rPr>
                <w:sz w:val="20"/>
              </w:rPr>
              <w:t>A16.18.017,</w:t>
            </w:r>
            <w:r>
              <w:rPr>
                <w:spacing w:val="-9"/>
                <w:sz w:val="20"/>
              </w:rPr>
              <w:t> </w:t>
            </w:r>
            <w:r>
              <w:rPr>
                <w:spacing w:val="-2"/>
                <w:sz w:val="20"/>
              </w:rPr>
              <w:t>A16.18.017.001,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A16.18.017.002,</w:t>
            </w:r>
            <w:r>
              <w:rPr>
                <w:spacing w:val="54"/>
                <w:sz w:val="20"/>
              </w:rPr>
              <w:t> </w:t>
            </w:r>
            <w:r>
              <w:rPr>
                <w:spacing w:val="-2"/>
                <w:sz w:val="20"/>
              </w:rPr>
              <w:t>A16.18.017.003,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9"/>
              <w:jc w:val="center"/>
              <w:rPr>
                <w:sz w:val="20"/>
              </w:rPr>
            </w:pPr>
            <w:r>
              <w:rPr>
                <w:sz w:val="20"/>
              </w:rPr>
              <w:t>A16.18.022,</w:t>
            </w:r>
            <w:r>
              <w:rPr>
                <w:spacing w:val="-9"/>
                <w:sz w:val="20"/>
              </w:rPr>
              <w:t> </w:t>
            </w:r>
            <w:r>
              <w:rPr>
                <w:sz w:val="20"/>
              </w:rPr>
              <w:t>A16.18.026,</w:t>
            </w:r>
            <w:r>
              <w:rPr>
                <w:spacing w:val="-10"/>
                <w:sz w:val="20"/>
              </w:rPr>
              <w:t> </w:t>
            </w:r>
            <w:r>
              <w:rPr>
                <w:spacing w:val="-2"/>
                <w:sz w:val="20"/>
              </w:rPr>
              <w:t>A16.19.004,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7"/>
              <w:jc w:val="center"/>
              <w:rPr>
                <w:sz w:val="20"/>
              </w:rPr>
            </w:pPr>
            <w:r>
              <w:rPr>
                <w:sz w:val="20"/>
              </w:rPr>
              <w:t>A16.19.005,</w:t>
            </w:r>
            <w:r>
              <w:rPr>
                <w:spacing w:val="-9"/>
                <w:sz w:val="20"/>
              </w:rPr>
              <w:t> </w:t>
            </w:r>
            <w:r>
              <w:rPr>
                <w:spacing w:val="-2"/>
                <w:sz w:val="20"/>
              </w:rPr>
              <w:t>A16.19.005.002,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1" w:lineRule="exact"/>
              <w:ind w:left="660" w:right="646"/>
              <w:jc w:val="center"/>
              <w:rPr>
                <w:sz w:val="20"/>
              </w:rPr>
            </w:pPr>
            <w:r>
              <w:rPr>
                <w:sz w:val="20"/>
              </w:rPr>
              <w:t>A16.19.019,</w:t>
            </w:r>
            <w:r>
              <w:rPr>
                <w:spacing w:val="-7"/>
                <w:sz w:val="20"/>
              </w:rPr>
              <w:t> </w:t>
            </w:r>
            <w:r>
              <w:rPr>
                <w:spacing w:val="-2"/>
                <w:sz w:val="20"/>
              </w:rPr>
              <w:t>A16.19.019.001,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A16.19.019.003,</w:t>
            </w:r>
            <w:r>
              <w:rPr>
                <w:spacing w:val="54"/>
                <w:sz w:val="20"/>
              </w:rPr>
              <w:t> </w:t>
            </w:r>
            <w:r>
              <w:rPr>
                <w:spacing w:val="-2"/>
                <w:sz w:val="20"/>
              </w:rPr>
              <w:t>A16.19.019.004,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09" w:lineRule="exact"/>
              <w:ind w:left="660" w:right="647"/>
              <w:jc w:val="center"/>
              <w:rPr>
                <w:sz w:val="20"/>
              </w:rPr>
            </w:pPr>
            <w:r>
              <w:rPr>
                <w:sz w:val="20"/>
              </w:rPr>
              <w:t>A16.19.020,</w:t>
            </w:r>
            <w:r>
              <w:rPr>
                <w:spacing w:val="-9"/>
                <w:sz w:val="20"/>
              </w:rPr>
              <w:t> </w:t>
            </w:r>
            <w:r>
              <w:rPr>
                <w:spacing w:val="-2"/>
                <w:sz w:val="20"/>
              </w:rPr>
              <w:t>A16.19.020.001,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7"/>
              <w:jc w:val="center"/>
              <w:rPr>
                <w:sz w:val="20"/>
              </w:rPr>
            </w:pPr>
            <w:r>
              <w:rPr>
                <w:w w:val="95"/>
                <w:sz w:val="20"/>
              </w:rPr>
              <w:t>A16.19.020.002,</w:t>
            </w:r>
            <w:r>
              <w:rPr>
                <w:spacing w:val="54"/>
                <w:sz w:val="20"/>
              </w:rPr>
              <w:t> </w:t>
            </w:r>
            <w:r>
              <w:rPr>
                <w:spacing w:val="-2"/>
                <w:sz w:val="20"/>
              </w:rPr>
              <w:t>A16.19.021,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A16.19.021.001,</w:t>
            </w:r>
            <w:r>
              <w:rPr>
                <w:spacing w:val="54"/>
                <w:sz w:val="20"/>
              </w:rPr>
              <w:t> </w:t>
            </w:r>
            <w:r>
              <w:rPr>
                <w:spacing w:val="-2"/>
                <w:sz w:val="20"/>
              </w:rPr>
              <w:t>A16.19.021.003,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A16.19.021.004,</w:t>
            </w:r>
            <w:r>
              <w:rPr>
                <w:spacing w:val="54"/>
                <w:sz w:val="20"/>
              </w:rPr>
              <w:t> </w:t>
            </w:r>
            <w:r>
              <w:rPr>
                <w:spacing w:val="-2"/>
                <w:sz w:val="20"/>
              </w:rPr>
              <w:t>A16.19.021.005,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A16.19.021.006,</w:t>
            </w:r>
            <w:r>
              <w:rPr>
                <w:spacing w:val="54"/>
                <w:sz w:val="20"/>
              </w:rPr>
              <w:t> </w:t>
            </w:r>
            <w:r>
              <w:rPr>
                <w:spacing w:val="-2"/>
                <w:sz w:val="20"/>
              </w:rPr>
              <w:t>A16.19.021.007,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09" w:lineRule="exact"/>
              <w:ind w:left="660" w:right="648"/>
              <w:jc w:val="center"/>
              <w:rPr>
                <w:sz w:val="20"/>
              </w:rPr>
            </w:pPr>
            <w:r>
              <w:rPr>
                <w:w w:val="95"/>
                <w:sz w:val="20"/>
              </w:rPr>
              <w:t>A16.19.021.008,</w:t>
            </w:r>
            <w:r>
              <w:rPr>
                <w:spacing w:val="54"/>
                <w:sz w:val="20"/>
              </w:rPr>
              <w:t> </w:t>
            </w:r>
            <w:r>
              <w:rPr>
                <w:spacing w:val="-2"/>
                <w:sz w:val="20"/>
              </w:rPr>
              <w:t>A16.19.021.009,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09" w:lineRule="exact"/>
              <w:ind w:left="660" w:right="644"/>
              <w:jc w:val="center"/>
              <w:rPr>
                <w:sz w:val="20"/>
              </w:rPr>
            </w:pPr>
            <w:r>
              <w:rPr>
                <w:w w:val="95"/>
                <w:sz w:val="20"/>
              </w:rPr>
              <w:t>A16.19.021.010,</w:t>
            </w:r>
            <w:r>
              <w:rPr>
                <w:spacing w:val="54"/>
                <w:sz w:val="20"/>
              </w:rPr>
              <w:t> </w:t>
            </w:r>
            <w:r>
              <w:rPr>
                <w:spacing w:val="-2"/>
                <w:w w:val="95"/>
                <w:sz w:val="20"/>
              </w:rPr>
              <w:t>A16.19.021.011,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8"/>
              </w:rPr>
            </w:pPr>
          </w:p>
        </w:tc>
        <w:tc>
          <w:tcPr>
            <w:tcW w:w="3385" w:type="dxa"/>
            <w:vMerge/>
            <w:tcBorders>
              <w:top w:val="nil"/>
            </w:tcBorders>
          </w:tcPr>
          <w:p>
            <w:pPr>
              <w:rPr>
                <w:sz w:val="2"/>
                <w:szCs w:val="2"/>
              </w:rPr>
            </w:pPr>
          </w:p>
        </w:tc>
        <w:tc>
          <w:tcPr>
            <w:tcW w:w="4392" w:type="dxa"/>
          </w:tcPr>
          <w:p>
            <w:pPr>
              <w:pStyle w:val="TableParagraph"/>
              <w:spacing w:line="226" w:lineRule="exact"/>
              <w:ind w:left="660" w:right="647"/>
              <w:jc w:val="center"/>
              <w:rPr>
                <w:sz w:val="20"/>
              </w:rPr>
            </w:pPr>
            <w:r>
              <w:rPr>
                <w:sz w:val="20"/>
              </w:rPr>
              <w:t>A16.19.026,</w:t>
            </w:r>
            <w:r>
              <w:rPr>
                <w:spacing w:val="-9"/>
                <w:sz w:val="20"/>
              </w:rPr>
              <w:t> </w:t>
            </w:r>
            <w:r>
              <w:rPr>
                <w:spacing w:val="-2"/>
                <w:sz w:val="20"/>
              </w:rPr>
              <w:t>A16.19.027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st19.006</w:t>
            </w:r>
          </w:p>
        </w:tc>
        <w:tc>
          <w:tcPr>
            <w:tcW w:w="707" w:type="dxa"/>
          </w:tcPr>
          <w:p>
            <w:pPr>
              <w:pStyle w:val="TableParagraph"/>
              <w:spacing w:line="215" w:lineRule="exact" w:before="46"/>
              <w:ind w:left="210"/>
              <w:rPr>
                <w:sz w:val="20"/>
              </w:rPr>
            </w:pPr>
            <w:r>
              <w:rPr>
                <w:spacing w:val="-5"/>
                <w:sz w:val="20"/>
              </w:rPr>
              <w:t>135</w:t>
            </w:r>
          </w:p>
        </w:tc>
        <w:tc>
          <w:tcPr>
            <w:tcW w:w="3011" w:type="dxa"/>
          </w:tcPr>
          <w:p>
            <w:pPr>
              <w:pStyle w:val="TableParagraph"/>
              <w:spacing w:line="215" w:lineRule="exact" w:before="46"/>
              <w:ind w:left="192"/>
              <w:rPr>
                <w:sz w:val="20"/>
              </w:rPr>
            </w:pPr>
            <w:r>
              <w:rPr>
                <w:sz w:val="20"/>
              </w:rPr>
              <w:t>Операции</w:t>
            </w:r>
            <w:r>
              <w:rPr>
                <w:spacing w:val="-10"/>
                <w:sz w:val="20"/>
              </w:rPr>
              <w:t> </w:t>
            </w:r>
            <w:r>
              <w:rPr>
                <w:spacing w:val="-5"/>
                <w:sz w:val="20"/>
              </w:rPr>
              <w:t>при</w:t>
            </w:r>
          </w:p>
        </w:tc>
        <w:tc>
          <w:tcPr>
            <w:tcW w:w="3385" w:type="dxa"/>
          </w:tcPr>
          <w:p>
            <w:pPr>
              <w:pStyle w:val="TableParagraph"/>
              <w:spacing w:line="215" w:lineRule="exact" w:before="46"/>
              <w:ind w:right="662"/>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2" w:type="dxa"/>
          </w:tcPr>
          <w:p>
            <w:pPr>
              <w:pStyle w:val="TableParagraph"/>
              <w:spacing w:line="215" w:lineRule="exact" w:before="46"/>
              <w:ind w:left="660" w:right="649"/>
              <w:jc w:val="center"/>
              <w:rPr>
                <w:sz w:val="20"/>
              </w:rPr>
            </w:pPr>
            <w:r>
              <w:rPr>
                <w:sz w:val="20"/>
              </w:rPr>
              <w:t>A16.28.024,</w:t>
            </w:r>
            <w:r>
              <w:rPr>
                <w:spacing w:val="-9"/>
                <w:sz w:val="20"/>
              </w:rPr>
              <w:t> </w:t>
            </w:r>
            <w:r>
              <w:rPr>
                <w:sz w:val="20"/>
              </w:rPr>
              <w:t>A16.28.039,</w:t>
            </w:r>
            <w:r>
              <w:rPr>
                <w:spacing w:val="-10"/>
                <w:sz w:val="20"/>
              </w:rPr>
              <w:t> </w:t>
            </w:r>
            <w:r>
              <w:rPr>
                <w:spacing w:val="-2"/>
                <w:sz w:val="20"/>
              </w:rPr>
              <w:t>A16.28.044,</w:t>
            </w:r>
          </w:p>
        </w:tc>
        <w:tc>
          <w:tcPr>
            <w:tcW w:w="1574"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1,66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09" w:lineRule="exact"/>
              <w:ind w:left="192"/>
              <w:rPr>
                <w:sz w:val="20"/>
              </w:rPr>
            </w:pPr>
            <w:r>
              <w:rPr>
                <w:spacing w:val="-2"/>
                <w:sz w:val="20"/>
              </w:rPr>
              <w:t>злокачественных</w:t>
            </w:r>
          </w:p>
        </w:tc>
        <w:tc>
          <w:tcPr>
            <w:tcW w:w="3385" w:type="dxa"/>
          </w:tcPr>
          <w:p>
            <w:pPr>
              <w:pStyle w:val="TableParagraph"/>
              <w:rPr>
                <w:sz w:val="16"/>
              </w:rPr>
            </w:pPr>
          </w:p>
        </w:tc>
        <w:tc>
          <w:tcPr>
            <w:tcW w:w="4392" w:type="dxa"/>
          </w:tcPr>
          <w:p>
            <w:pPr>
              <w:pStyle w:val="TableParagraph"/>
              <w:spacing w:line="209" w:lineRule="exact"/>
              <w:ind w:left="660" w:right="647"/>
              <w:jc w:val="center"/>
              <w:rPr>
                <w:sz w:val="20"/>
              </w:rPr>
            </w:pPr>
            <w:r>
              <w:rPr>
                <w:sz w:val="20"/>
              </w:rPr>
              <w:t>A16.28.052,</w:t>
            </w:r>
            <w:r>
              <w:rPr>
                <w:spacing w:val="-9"/>
                <w:sz w:val="20"/>
              </w:rPr>
              <w:t> </w:t>
            </w:r>
            <w:r>
              <w:rPr>
                <w:sz w:val="20"/>
              </w:rPr>
              <w:t>A16.28.053,</w:t>
            </w:r>
            <w:r>
              <w:rPr>
                <w:spacing w:val="-10"/>
                <w:sz w:val="20"/>
              </w:rPr>
              <w:t> </w:t>
            </w:r>
            <w:r>
              <w:rPr>
                <w:spacing w:val="-2"/>
                <w:sz w:val="20"/>
              </w:rPr>
              <w:t>A16.28.060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09" w:lineRule="exact"/>
              <w:ind w:left="192"/>
              <w:rPr>
                <w:sz w:val="20"/>
              </w:rPr>
            </w:pPr>
            <w:r>
              <w:rPr>
                <w:w w:val="95"/>
                <w:sz w:val="20"/>
              </w:rPr>
              <w:t>новообразованиях</w:t>
            </w:r>
            <w:r>
              <w:rPr>
                <w:spacing w:val="58"/>
                <w:sz w:val="20"/>
              </w:rPr>
              <w:t> </w:t>
            </w:r>
            <w:r>
              <w:rPr>
                <w:spacing w:val="-4"/>
                <w:sz w:val="20"/>
              </w:rPr>
              <w:t>почки</w:t>
            </w:r>
          </w:p>
        </w:tc>
        <w:tc>
          <w:tcPr>
            <w:tcW w:w="3385" w:type="dxa"/>
          </w:tcPr>
          <w:p>
            <w:pPr>
              <w:pStyle w:val="TableParagraph"/>
              <w:rPr>
                <w:sz w:val="16"/>
              </w:rPr>
            </w:pPr>
          </w:p>
        </w:tc>
        <w:tc>
          <w:tcPr>
            <w:tcW w:w="43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и</w:t>
            </w:r>
            <w:r>
              <w:rPr>
                <w:spacing w:val="-3"/>
                <w:sz w:val="20"/>
              </w:rPr>
              <w:t> </w:t>
            </w:r>
            <w:r>
              <w:rPr>
                <w:spacing w:val="-2"/>
                <w:sz w:val="20"/>
              </w:rPr>
              <w:t>мочевыделительной</w:t>
            </w:r>
          </w:p>
        </w:tc>
        <w:tc>
          <w:tcPr>
            <w:tcW w:w="3385" w:type="dxa"/>
          </w:tcPr>
          <w:p>
            <w:pPr>
              <w:pStyle w:val="TableParagraph"/>
              <w:rPr>
                <w:sz w:val="16"/>
              </w:rPr>
            </w:pPr>
          </w:p>
        </w:tc>
        <w:tc>
          <w:tcPr>
            <w:tcW w:w="43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11" w:type="dxa"/>
          </w:tcPr>
          <w:p>
            <w:pPr>
              <w:pStyle w:val="TableParagraph"/>
              <w:spacing w:line="226" w:lineRule="exact"/>
              <w:ind w:left="192"/>
              <w:rPr>
                <w:sz w:val="20"/>
              </w:rPr>
            </w:pPr>
            <w:r>
              <w:rPr>
                <w:sz w:val="20"/>
              </w:rPr>
              <w:t>системы</w:t>
            </w:r>
            <w:r>
              <w:rPr>
                <w:spacing w:val="-10"/>
                <w:sz w:val="20"/>
              </w:rPr>
              <w:t> </w:t>
            </w:r>
            <w:r>
              <w:rPr>
                <w:sz w:val="20"/>
              </w:rPr>
              <w:t>(уровень</w:t>
            </w:r>
            <w:r>
              <w:rPr>
                <w:spacing w:val="-9"/>
                <w:sz w:val="20"/>
              </w:rPr>
              <w:t> </w:t>
            </w:r>
            <w:r>
              <w:rPr>
                <w:spacing w:val="-5"/>
                <w:sz w:val="20"/>
              </w:rPr>
              <w:t>1)</w:t>
            </w:r>
          </w:p>
        </w:tc>
        <w:tc>
          <w:tcPr>
            <w:tcW w:w="3385" w:type="dxa"/>
          </w:tcPr>
          <w:p>
            <w:pPr>
              <w:pStyle w:val="TableParagraph"/>
              <w:rPr>
                <w:sz w:val="18"/>
              </w:rPr>
            </w:pPr>
          </w:p>
        </w:tc>
        <w:tc>
          <w:tcPr>
            <w:tcW w:w="4392"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st19.007</w:t>
            </w:r>
          </w:p>
        </w:tc>
        <w:tc>
          <w:tcPr>
            <w:tcW w:w="707" w:type="dxa"/>
          </w:tcPr>
          <w:p>
            <w:pPr>
              <w:pStyle w:val="TableParagraph"/>
              <w:spacing w:line="215" w:lineRule="exact" w:before="45"/>
              <w:ind w:left="210"/>
              <w:rPr>
                <w:sz w:val="20"/>
              </w:rPr>
            </w:pPr>
            <w:r>
              <w:rPr>
                <w:spacing w:val="-5"/>
                <w:sz w:val="20"/>
              </w:rPr>
              <w:t>136</w:t>
            </w:r>
          </w:p>
        </w:tc>
        <w:tc>
          <w:tcPr>
            <w:tcW w:w="3011" w:type="dxa"/>
          </w:tcPr>
          <w:p>
            <w:pPr>
              <w:pStyle w:val="TableParagraph"/>
              <w:spacing w:line="215" w:lineRule="exact" w:before="45"/>
              <w:ind w:left="192"/>
              <w:rPr>
                <w:sz w:val="20"/>
              </w:rPr>
            </w:pPr>
            <w:r>
              <w:rPr>
                <w:sz w:val="20"/>
              </w:rPr>
              <w:t>Операции</w:t>
            </w:r>
            <w:r>
              <w:rPr>
                <w:spacing w:val="-10"/>
                <w:sz w:val="20"/>
              </w:rPr>
              <w:t> </w:t>
            </w:r>
            <w:r>
              <w:rPr>
                <w:spacing w:val="-5"/>
                <w:sz w:val="20"/>
              </w:rPr>
              <w:t>при</w:t>
            </w:r>
          </w:p>
        </w:tc>
        <w:tc>
          <w:tcPr>
            <w:tcW w:w="3385" w:type="dxa"/>
          </w:tcPr>
          <w:p>
            <w:pPr>
              <w:pStyle w:val="TableParagraph"/>
              <w:spacing w:line="215" w:lineRule="exact" w:before="45"/>
              <w:ind w:right="662"/>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2" w:type="dxa"/>
          </w:tcPr>
          <w:p>
            <w:pPr>
              <w:pStyle w:val="TableParagraph"/>
              <w:spacing w:line="215" w:lineRule="exact" w:before="45"/>
              <w:ind w:left="660" w:right="649"/>
              <w:jc w:val="center"/>
              <w:rPr>
                <w:sz w:val="20"/>
              </w:rPr>
            </w:pPr>
            <w:r>
              <w:rPr>
                <w:sz w:val="20"/>
              </w:rPr>
              <w:t>A16.28.001,</w:t>
            </w:r>
            <w:r>
              <w:rPr>
                <w:spacing w:val="-9"/>
                <w:sz w:val="20"/>
              </w:rPr>
              <w:t> </w:t>
            </w:r>
            <w:r>
              <w:rPr>
                <w:sz w:val="20"/>
              </w:rPr>
              <w:t>A16.28.003,</w:t>
            </w:r>
            <w:r>
              <w:rPr>
                <w:spacing w:val="-10"/>
                <w:sz w:val="20"/>
              </w:rPr>
              <w:t> </w:t>
            </w:r>
            <w:r>
              <w:rPr>
                <w:spacing w:val="-2"/>
                <w:sz w:val="20"/>
              </w:rPr>
              <w:t>A16.28.004,</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2,77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pacing w:val="-2"/>
                <w:sz w:val="20"/>
              </w:rPr>
              <w:t>злокачественных</w:t>
            </w:r>
          </w:p>
        </w:tc>
        <w:tc>
          <w:tcPr>
            <w:tcW w:w="3385" w:type="dxa"/>
          </w:tcPr>
          <w:p>
            <w:pPr>
              <w:pStyle w:val="TableParagraph"/>
              <w:rPr>
                <w:sz w:val="16"/>
              </w:rPr>
            </w:pPr>
          </w:p>
        </w:tc>
        <w:tc>
          <w:tcPr>
            <w:tcW w:w="4392" w:type="dxa"/>
          </w:tcPr>
          <w:p>
            <w:pPr>
              <w:pStyle w:val="TableParagraph"/>
              <w:spacing w:line="210" w:lineRule="exact"/>
              <w:ind w:left="660" w:right="647"/>
              <w:jc w:val="center"/>
              <w:rPr>
                <w:sz w:val="20"/>
              </w:rPr>
            </w:pPr>
            <w:r>
              <w:rPr>
                <w:w w:val="95"/>
                <w:sz w:val="20"/>
              </w:rPr>
              <w:t>A16.28.004.004,</w:t>
            </w:r>
            <w:r>
              <w:rPr>
                <w:spacing w:val="54"/>
                <w:sz w:val="20"/>
              </w:rPr>
              <w:t> </w:t>
            </w:r>
            <w:r>
              <w:rPr>
                <w:spacing w:val="-2"/>
                <w:sz w:val="20"/>
              </w:rPr>
              <w:t>A16.28.019,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w w:val="95"/>
                <w:sz w:val="20"/>
              </w:rPr>
              <w:t>новообразованиях</w:t>
            </w:r>
            <w:r>
              <w:rPr>
                <w:spacing w:val="58"/>
                <w:sz w:val="20"/>
              </w:rPr>
              <w:t> </w:t>
            </w:r>
            <w:r>
              <w:rPr>
                <w:spacing w:val="-4"/>
                <w:sz w:val="20"/>
              </w:rPr>
              <w:t>почки</w:t>
            </w:r>
          </w:p>
        </w:tc>
        <w:tc>
          <w:tcPr>
            <w:tcW w:w="3385" w:type="dxa"/>
          </w:tcPr>
          <w:p>
            <w:pPr>
              <w:pStyle w:val="TableParagraph"/>
              <w:rPr>
                <w:sz w:val="16"/>
              </w:rPr>
            </w:pPr>
          </w:p>
        </w:tc>
        <w:tc>
          <w:tcPr>
            <w:tcW w:w="4392" w:type="dxa"/>
          </w:tcPr>
          <w:p>
            <w:pPr>
              <w:pStyle w:val="TableParagraph"/>
              <w:spacing w:line="210" w:lineRule="exact"/>
              <w:ind w:left="660" w:right="645"/>
              <w:jc w:val="center"/>
              <w:rPr>
                <w:sz w:val="20"/>
              </w:rPr>
            </w:pPr>
            <w:r>
              <w:rPr>
                <w:sz w:val="20"/>
              </w:rPr>
              <w:t>A16.28.020,</w:t>
            </w:r>
            <w:r>
              <w:rPr>
                <w:spacing w:val="-9"/>
                <w:sz w:val="20"/>
              </w:rPr>
              <w:t> </w:t>
            </w:r>
            <w:r>
              <w:rPr>
                <w:spacing w:val="-2"/>
                <w:sz w:val="20"/>
              </w:rPr>
              <w:t>A16.28.026,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и</w:t>
            </w:r>
            <w:r>
              <w:rPr>
                <w:spacing w:val="-3"/>
                <w:sz w:val="20"/>
              </w:rPr>
              <w:t> </w:t>
            </w:r>
            <w:r>
              <w:rPr>
                <w:spacing w:val="-2"/>
                <w:sz w:val="20"/>
              </w:rPr>
              <w:t>мочевыделительной</w:t>
            </w:r>
          </w:p>
        </w:tc>
        <w:tc>
          <w:tcPr>
            <w:tcW w:w="3385" w:type="dxa"/>
          </w:tcPr>
          <w:p>
            <w:pPr>
              <w:pStyle w:val="TableParagraph"/>
              <w:rPr>
                <w:sz w:val="16"/>
              </w:rPr>
            </w:pPr>
          </w:p>
        </w:tc>
        <w:tc>
          <w:tcPr>
            <w:tcW w:w="4392" w:type="dxa"/>
          </w:tcPr>
          <w:p>
            <w:pPr>
              <w:pStyle w:val="TableParagraph"/>
              <w:spacing w:line="210" w:lineRule="exact"/>
              <w:ind w:left="660" w:right="647"/>
              <w:jc w:val="center"/>
              <w:rPr>
                <w:sz w:val="20"/>
              </w:rPr>
            </w:pPr>
            <w:r>
              <w:rPr>
                <w:w w:val="95"/>
                <w:sz w:val="20"/>
              </w:rPr>
              <w:t>A16.28.026.002,</w:t>
            </w:r>
            <w:r>
              <w:rPr>
                <w:spacing w:val="54"/>
                <w:sz w:val="20"/>
              </w:rPr>
              <w:t> </w:t>
            </w:r>
            <w:r>
              <w:rPr>
                <w:spacing w:val="-2"/>
                <w:sz w:val="20"/>
              </w:rPr>
              <w:t>A16.28.029,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системы</w:t>
            </w:r>
            <w:r>
              <w:rPr>
                <w:spacing w:val="-10"/>
                <w:sz w:val="20"/>
              </w:rPr>
              <w:t> </w:t>
            </w:r>
            <w:r>
              <w:rPr>
                <w:sz w:val="20"/>
              </w:rPr>
              <w:t>(уровень</w:t>
            </w:r>
            <w:r>
              <w:rPr>
                <w:spacing w:val="-9"/>
                <w:sz w:val="20"/>
              </w:rPr>
              <w:t> </w:t>
            </w:r>
            <w:r>
              <w:rPr>
                <w:spacing w:val="-5"/>
                <w:sz w:val="20"/>
              </w:rPr>
              <w:t>2)</w:t>
            </w:r>
          </w:p>
        </w:tc>
        <w:tc>
          <w:tcPr>
            <w:tcW w:w="3385" w:type="dxa"/>
          </w:tcPr>
          <w:p>
            <w:pPr>
              <w:pStyle w:val="TableParagraph"/>
              <w:rPr>
                <w:sz w:val="16"/>
              </w:rPr>
            </w:pPr>
          </w:p>
        </w:tc>
        <w:tc>
          <w:tcPr>
            <w:tcW w:w="4392" w:type="dxa"/>
          </w:tcPr>
          <w:p>
            <w:pPr>
              <w:pStyle w:val="TableParagraph"/>
              <w:spacing w:line="210" w:lineRule="exact"/>
              <w:ind w:left="660" w:right="644"/>
              <w:jc w:val="center"/>
              <w:rPr>
                <w:sz w:val="20"/>
              </w:rPr>
            </w:pPr>
            <w:r>
              <w:rPr>
                <w:w w:val="95"/>
                <w:sz w:val="20"/>
              </w:rPr>
              <w:t>A16.28.029.001,</w:t>
            </w:r>
            <w:r>
              <w:rPr>
                <w:spacing w:val="54"/>
                <w:sz w:val="20"/>
              </w:rPr>
              <w:t> </w:t>
            </w:r>
            <w:r>
              <w:rPr>
                <w:spacing w:val="-2"/>
                <w:w w:val="95"/>
                <w:sz w:val="20"/>
              </w:rPr>
              <w:t>A16.28.029.002,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09" w:lineRule="exact"/>
              <w:ind w:left="660" w:right="647"/>
              <w:jc w:val="center"/>
              <w:rPr>
                <w:sz w:val="20"/>
              </w:rPr>
            </w:pPr>
            <w:r>
              <w:rPr>
                <w:w w:val="95"/>
                <w:sz w:val="20"/>
              </w:rPr>
              <w:t>A16.28.029.003,</w:t>
            </w:r>
            <w:r>
              <w:rPr>
                <w:spacing w:val="54"/>
                <w:sz w:val="20"/>
              </w:rPr>
              <w:t> </w:t>
            </w:r>
            <w:r>
              <w:rPr>
                <w:spacing w:val="-2"/>
                <w:sz w:val="20"/>
              </w:rPr>
              <w:t>A16.28.030,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09" w:lineRule="exact"/>
              <w:ind w:left="660" w:right="647"/>
              <w:jc w:val="center"/>
              <w:rPr>
                <w:sz w:val="20"/>
              </w:rPr>
            </w:pPr>
            <w:r>
              <w:rPr>
                <w:sz w:val="20"/>
              </w:rPr>
              <w:t>A16.28.031,</w:t>
            </w:r>
            <w:r>
              <w:rPr>
                <w:spacing w:val="-9"/>
                <w:sz w:val="20"/>
              </w:rPr>
              <w:t> </w:t>
            </w:r>
            <w:r>
              <w:rPr>
                <w:spacing w:val="-2"/>
                <w:sz w:val="20"/>
              </w:rPr>
              <w:t>A16.28.032.002,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11" w:lineRule="exact"/>
              <w:ind w:left="660" w:right="647"/>
              <w:jc w:val="center"/>
              <w:rPr>
                <w:sz w:val="20"/>
              </w:rPr>
            </w:pPr>
            <w:r>
              <w:rPr>
                <w:sz w:val="20"/>
              </w:rPr>
              <w:t>A16.28.059,</w:t>
            </w:r>
            <w:r>
              <w:rPr>
                <w:spacing w:val="-9"/>
                <w:sz w:val="20"/>
              </w:rPr>
              <w:t> </w:t>
            </w:r>
            <w:r>
              <w:rPr>
                <w:spacing w:val="-2"/>
                <w:sz w:val="20"/>
              </w:rPr>
              <w:t>A16.28.059.002,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10" w:lineRule="exact"/>
              <w:ind w:left="660" w:right="649"/>
              <w:jc w:val="center"/>
              <w:rPr>
                <w:sz w:val="20"/>
              </w:rPr>
            </w:pPr>
            <w:r>
              <w:rPr>
                <w:sz w:val="20"/>
              </w:rPr>
              <w:t>A16.28.061,</w:t>
            </w:r>
            <w:r>
              <w:rPr>
                <w:spacing w:val="-9"/>
                <w:sz w:val="20"/>
              </w:rPr>
              <w:t> </w:t>
            </w:r>
            <w:r>
              <w:rPr>
                <w:sz w:val="20"/>
              </w:rPr>
              <w:t>A16.28.069,</w:t>
            </w:r>
            <w:r>
              <w:rPr>
                <w:spacing w:val="-10"/>
                <w:sz w:val="20"/>
              </w:rPr>
              <w:t> </w:t>
            </w:r>
            <w:r>
              <w:rPr>
                <w:spacing w:val="-2"/>
                <w:sz w:val="20"/>
              </w:rPr>
              <w:t>A16.28.070,</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11" w:type="dxa"/>
          </w:tcPr>
          <w:p>
            <w:pPr>
              <w:pStyle w:val="TableParagraph"/>
              <w:rPr>
                <w:sz w:val="18"/>
              </w:rPr>
            </w:pPr>
          </w:p>
        </w:tc>
        <w:tc>
          <w:tcPr>
            <w:tcW w:w="3385" w:type="dxa"/>
          </w:tcPr>
          <w:p>
            <w:pPr>
              <w:pStyle w:val="TableParagraph"/>
              <w:rPr>
                <w:sz w:val="18"/>
              </w:rPr>
            </w:pPr>
          </w:p>
        </w:tc>
        <w:tc>
          <w:tcPr>
            <w:tcW w:w="4392" w:type="dxa"/>
          </w:tcPr>
          <w:p>
            <w:pPr>
              <w:pStyle w:val="TableParagraph"/>
              <w:spacing w:line="226" w:lineRule="exact"/>
              <w:ind w:left="660" w:right="643"/>
              <w:jc w:val="center"/>
              <w:rPr>
                <w:sz w:val="20"/>
              </w:rPr>
            </w:pPr>
            <w:r>
              <w:rPr>
                <w:spacing w:val="-2"/>
                <w:sz w:val="20"/>
              </w:rPr>
              <w:t>A16.28.078</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st19.008</w:t>
            </w:r>
          </w:p>
        </w:tc>
        <w:tc>
          <w:tcPr>
            <w:tcW w:w="707" w:type="dxa"/>
          </w:tcPr>
          <w:p>
            <w:pPr>
              <w:pStyle w:val="TableParagraph"/>
              <w:spacing w:line="215" w:lineRule="exact" w:before="45"/>
              <w:ind w:left="210"/>
              <w:rPr>
                <w:sz w:val="20"/>
              </w:rPr>
            </w:pPr>
            <w:r>
              <w:rPr>
                <w:spacing w:val="-5"/>
                <w:sz w:val="20"/>
              </w:rPr>
              <w:t>137</w:t>
            </w:r>
          </w:p>
        </w:tc>
        <w:tc>
          <w:tcPr>
            <w:tcW w:w="3011" w:type="dxa"/>
          </w:tcPr>
          <w:p>
            <w:pPr>
              <w:pStyle w:val="TableParagraph"/>
              <w:spacing w:line="215" w:lineRule="exact" w:before="45"/>
              <w:ind w:left="192"/>
              <w:rPr>
                <w:sz w:val="20"/>
              </w:rPr>
            </w:pPr>
            <w:r>
              <w:rPr>
                <w:sz w:val="20"/>
              </w:rPr>
              <w:t>Операции</w:t>
            </w:r>
            <w:r>
              <w:rPr>
                <w:spacing w:val="-10"/>
                <w:sz w:val="20"/>
              </w:rPr>
              <w:t> </w:t>
            </w:r>
            <w:r>
              <w:rPr>
                <w:spacing w:val="-5"/>
                <w:sz w:val="20"/>
              </w:rPr>
              <w:t>при</w:t>
            </w:r>
          </w:p>
        </w:tc>
        <w:tc>
          <w:tcPr>
            <w:tcW w:w="3385" w:type="dxa"/>
          </w:tcPr>
          <w:p>
            <w:pPr>
              <w:pStyle w:val="TableParagraph"/>
              <w:spacing w:line="215" w:lineRule="exact" w:before="45"/>
              <w:ind w:right="662"/>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2" w:type="dxa"/>
          </w:tcPr>
          <w:p>
            <w:pPr>
              <w:pStyle w:val="TableParagraph"/>
              <w:spacing w:line="215" w:lineRule="exact" w:before="45"/>
              <w:ind w:left="660" w:right="647"/>
              <w:jc w:val="center"/>
              <w:rPr>
                <w:sz w:val="20"/>
              </w:rPr>
            </w:pPr>
            <w:r>
              <w:rPr>
                <w:w w:val="95"/>
                <w:sz w:val="20"/>
              </w:rPr>
              <w:t>A16.28.007.001,</w:t>
            </w:r>
            <w:r>
              <w:rPr>
                <w:spacing w:val="54"/>
                <w:sz w:val="20"/>
              </w:rPr>
              <w:t> </w:t>
            </w:r>
            <w:r>
              <w:rPr>
                <w:spacing w:val="-2"/>
                <w:sz w:val="20"/>
              </w:rPr>
              <w:t>A16.28.018,</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4,32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pacing w:val="-2"/>
                <w:sz w:val="20"/>
              </w:rPr>
              <w:t>злокачественных</w:t>
            </w:r>
          </w:p>
        </w:tc>
        <w:tc>
          <w:tcPr>
            <w:tcW w:w="3385" w:type="dxa"/>
          </w:tcPr>
          <w:p>
            <w:pPr>
              <w:pStyle w:val="TableParagraph"/>
              <w:rPr>
                <w:sz w:val="16"/>
              </w:rPr>
            </w:pPr>
          </w:p>
        </w:tc>
        <w:tc>
          <w:tcPr>
            <w:tcW w:w="4392" w:type="dxa"/>
          </w:tcPr>
          <w:p>
            <w:pPr>
              <w:pStyle w:val="TableParagraph"/>
              <w:spacing w:line="210" w:lineRule="exact"/>
              <w:ind w:left="660" w:right="648"/>
              <w:jc w:val="center"/>
              <w:rPr>
                <w:sz w:val="20"/>
              </w:rPr>
            </w:pPr>
            <w:r>
              <w:rPr>
                <w:w w:val="95"/>
                <w:sz w:val="20"/>
              </w:rPr>
              <w:t>A16.28.018.001,</w:t>
            </w:r>
            <w:r>
              <w:rPr>
                <w:spacing w:val="54"/>
                <w:sz w:val="20"/>
              </w:rPr>
              <w:t> </w:t>
            </w:r>
            <w:r>
              <w:rPr>
                <w:spacing w:val="-2"/>
                <w:sz w:val="20"/>
              </w:rPr>
              <w:t>A16.28.020.001,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w w:val="95"/>
                <w:sz w:val="20"/>
              </w:rPr>
              <w:t>новообразованиях</w:t>
            </w:r>
            <w:r>
              <w:rPr>
                <w:spacing w:val="58"/>
                <w:sz w:val="20"/>
              </w:rPr>
              <w:t> </w:t>
            </w:r>
            <w:r>
              <w:rPr>
                <w:spacing w:val="-4"/>
                <w:sz w:val="20"/>
              </w:rPr>
              <w:t>почки</w:t>
            </w:r>
          </w:p>
        </w:tc>
        <w:tc>
          <w:tcPr>
            <w:tcW w:w="3385" w:type="dxa"/>
          </w:tcPr>
          <w:p>
            <w:pPr>
              <w:pStyle w:val="TableParagraph"/>
              <w:rPr>
                <w:sz w:val="16"/>
              </w:rPr>
            </w:pPr>
          </w:p>
        </w:tc>
        <w:tc>
          <w:tcPr>
            <w:tcW w:w="4392" w:type="dxa"/>
          </w:tcPr>
          <w:p>
            <w:pPr>
              <w:pStyle w:val="TableParagraph"/>
              <w:spacing w:line="210" w:lineRule="exact"/>
              <w:ind w:left="660" w:right="648"/>
              <w:jc w:val="center"/>
              <w:rPr>
                <w:sz w:val="20"/>
              </w:rPr>
            </w:pPr>
            <w:r>
              <w:rPr>
                <w:w w:val="95"/>
                <w:sz w:val="20"/>
              </w:rPr>
              <w:t>A16.28.022.001,</w:t>
            </w:r>
            <w:r>
              <w:rPr>
                <w:spacing w:val="54"/>
                <w:sz w:val="20"/>
              </w:rPr>
              <w:t> </w:t>
            </w:r>
            <w:r>
              <w:rPr>
                <w:spacing w:val="-2"/>
                <w:sz w:val="20"/>
              </w:rPr>
              <w:t>A16.28.030.001,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и</w:t>
            </w:r>
            <w:r>
              <w:rPr>
                <w:spacing w:val="-3"/>
                <w:sz w:val="20"/>
              </w:rPr>
              <w:t> </w:t>
            </w:r>
            <w:r>
              <w:rPr>
                <w:spacing w:val="-2"/>
                <w:sz w:val="20"/>
              </w:rPr>
              <w:t>мочевыделительной</w:t>
            </w:r>
          </w:p>
        </w:tc>
        <w:tc>
          <w:tcPr>
            <w:tcW w:w="3385" w:type="dxa"/>
          </w:tcPr>
          <w:p>
            <w:pPr>
              <w:pStyle w:val="TableParagraph"/>
              <w:rPr>
                <w:sz w:val="16"/>
              </w:rPr>
            </w:pPr>
          </w:p>
        </w:tc>
        <w:tc>
          <w:tcPr>
            <w:tcW w:w="4392" w:type="dxa"/>
          </w:tcPr>
          <w:p>
            <w:pPr>
              <w:pStyle w:val="TableParagraph"/>
              <w:spacing w:line="210" w:lineRule="exact"/>
              <w:ind w:left="660" w:right="648"/>
              <w:jc w:val="center"/>
              <w:rPr>
                <w:sz w:val="20"/>
              </w:rPr>
            </w:pPr>
            <w:r>
              <w:rPr>
                <w:w w:val="95"/>
                <w:sz w:val="20"/>
              </w:rPr>
              <w:t>A16.28.030.003,</w:t>
            </w:r>
            <w:r>
              <w:rPr>
                <w:spacing w:val="54"/>
                <w:sz w:val="20"/>
              </w:rPr>
              <w:t> </w:t>
            </w:r>
            <w:r>
              <w:rPr>
                <w:spacing w:val="-2"/>
                <w:sz w:val="20"/>
              </w:rPr>
              <w:t>A16.28.030.007,</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05" w:lineRule="exact"/>
              <w:ind w:left="192"/>
              <w:rPr>
                <w:sz w:val="20"/>
              </w:rPr>
            </w:pPr>
            <w:r>
              <w:rPr>
                <w:sz w:val="20"/>
              </w:rPr>
              <w:t>системы</w:t>
            </w:r>
            <w:r>
              <w:rPr>
                <w:spacing w:val="-10"/>
                <w:sz w:val="20"/>
              </w:rPr>
              <w:t> </w:t>
            </w:r>
            <w:r>
              <w:rPr>
                <w:sz w:val="20"/>
              </w:rPr>
              <w:t>(уровень</w:t>
            </w:r>
            <w:r>
              <w:rPr>
                <w:spacing w:val="-9"/>
                <w:sz w:val="20"/>
              </w:rPr>
              <w:t> </w:t>
            </w:r>
            <w:r>
              <w:rPr>
                <w:spacing w:val="-5"/>
                <w:sz w:val="20"/>
              </w:rPr>
              <w:t>3)</w:t>
            </w:r>
          </w:p>
        </w:tc>
        <w:tc>
          <w:tcPr>
            <w:tcW w:w="3385" w:type="dxa"/>
          </w:tcPr>
          <w:p>
            <w:pPr>
              <w:pStyle w:val="TableParagraph"/>
              <w:rPr>
                <w:sz w:val="16"/>
              </w:rPr>
            </w:pPr>
          </w:p>
        </w:tc>
        <w:tc>
          <w:tcPr>
            <w:tcW w:w="4392" w:type="dxa"/>
          </w:tcPr>
          <w:p>
            <w:pPr>
              <w:pStyle w:val="TableParagraph"/>
              <w:spacing w:line="205" w:lineRule="exact"/>
              <w:ind w:left="660" w:right="648"/>
              <w:jc w:val="center"/>
              <w:rPr>
                <w:sz w:val="20"/>
              </w:rPr>
            </w:pPr>
            <w:r>
              <w:rPr>
                <w:w w:val="95"/>
                <w:sz w:val="20"/>
              </w:rPr>
              <w:t>A16.28.030.008,</w:t>
            </w:r>
            <w:r>
              <w:rPr>
                <w:spacing w:val="54"/>
                <w:sz w:val="20"/>
              </w:rPr>
              <w:t> </w:t>
            </w:r>
            <w:r>
              <w:rPr>
                <w:spacing w:val="-2"/>
                <w:sz w:val="20"/>
              </w:rPr>
              <w:t>A16.28.030.011,</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976"/>
        <w:gridCol w:w="3506"/>
        <w:gridCol w:w="4221"/>
        <w:gridCol w:w="1659"/>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976" w:type="dxa"/>
            <w:vMerge w:val="restart"/>
          </w:tcPr>
          <w:p>
            <w:pPr>
              <w:pStyle w:val="TableParagraph"/>
              <w:rPr>
                <w:sz w:val="18"/>
              </w:rPr>
            </w:pPr>
          </w:p>
        </w:tc>
        <w:tc>
          <w:tcPr>
            <w:tcW w:w="3506" w:type="dxa"/>
            <w:vMerge w:val="restart"/>
          </w:tcPr>
          <w:p>
            <w:pPr>
              <w:pStyle w:val="TableParagraph"/>
              <w:rPr>
                <w:sz w:val="18"/>
              </w:rPr>
            </w:pPr>
          </w:p>
        </w:tc>
        <w:tc>
          <w:tcPr>
            <w:tcW w:w="4221" w:type="dxa"/>
          </w:tcPr>
          <w:p>
            <w:pPr>
              <w:pStyle w:val="TableParagraph"/>
              <w:spacing w:line="205" w:lineRule="exact"/>
              <w:ind w:left="746" w:right="735"/>
              <w:jc w:val="center"/>
              <w:rPr>
                <w:sz w:val="20"/>
              </w:rPr>
            </w:pPr>
            <w:r>
              <w:rPr>
                <w:w w:val="95"/>
                <w:sz w:val="20"/>
              </w:rPr>
              <w:t>A16.28.031.001,</w:t>
            </w:r>
            <w:r>
              <w:rPr>
                <w:spacing w:val="54"/>
                <w:sz w:val="20"/>
              </w:rPr>
              <w:t> </w:t>
            </w:r>
            <w:r>
              <w:rPr>
                <w:spacing w:val="-2"/>
                <w:sz w:val="20"/>
              </w:rPr>
              <w:t>A16.28.031.003,</w:t>
            </w:r>
          </w:p>
        </w:tc>
        <w:tc>
          <w:tcPr>
            <w:tcW w:w="1659"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09" w:lineRule="exact"/>
              <w:ind w:left="746" w:right="735"/>
              <w:jc w:val="center"/>
              <w:rPr>
                <w:sz w:val="20"/>
              </w:rPr>
            </w:pPr>
            <w:r>
              <w:rPr>
                <w:w w:val="95"/>
                <w:sz w:val="20"/>
              </w:rPr>
              <w:t>A16.28.031.007,</w:t>
            </w:r>
            <w:r>
              <w:rPr>
                <w:spacing w:val="54"/>
                <w:sz w:val="20"/>
              </w:rPr>
              <w:t> </w:t>
            </w:r>
            <w:r>
              <w:rPr>
                <w:spacing w:val="-2"/>
                <w:sz w:val="20"/>
              </w:rPr>
              <w:t>A16.28.031.010,</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09" w:lineRule="exact"/>
              <w:ind w:left="748" w:right="733"/>
              <w:jc w:val="center"/>
              <w:rPr>
                <w:sz w:val="20"/>
              </w:rPr>
            </w:pPr>
            <w:r>
              <w:rPr>
                <w:sz w:val="20"/>
              </w:rPr>
              <w:t>A16.28.032,</w:t>
            </w:r>
            <w:r>
              <w:rPr>
                <w:spacing w:val="-9"/>
                <w:sz w:val="20"/>
              </w:rPr>
              <w:t> </w:t>
            </w:r>
            <w:r>
              <w:rPr>
                <w:spacing w:val="-2"/>
                <w:sz w:val="20"/>
              </w:rPr>
              <w:t>A16.28.032.001,</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10" w:lineRule="exact"/>
              <w:ind w:left="746" w:right="735"/>
              <w:jc w:val="center"/>
              <w:rPr>
                <w:sz w:val="20"/>
              </w:rPr>
            </w:pPr>
            <w:r>
              <w:rPr>
                <w:w w:val="95"/>
                <w:sz w:val="20"/>
              </w:rPr>
              <w:t>A16.28.032.003,</w:t>
            </w:r>
            <w:r>
              <w:rPr>
                <w:spacing w:val="54"/>
                <w:sz w:val="20"/>
              </w:rPr>
              <w:t> </w:t>
            </w:r>
            <w:r>
              <w:rPr>
                <w:spacing w:val="-2"/>
                <w:sz w:val="20"/>
              </w:rPr>
              <w:t>A16.28.035.002,</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26" w:lineRule="exact"/>
              <w:ind w:left="747" w:right="735"/>
              <w:jc w:val="center"/>
              <w:rPr>
                <w:sz w:val="20"/>
              </w:rPr>
            </w:pPr>
            <w:r>
              <w:rPr>
                <w:sz w:val="20"/>
              </w:rPr>
              <w:t>A16.28.097,</w:t>
            </w:r>
            <w:r>
              <w:rPr>
                <w:spacing w:val="-9"/>
                <w:sz w:val="20"/>
              </w:rPr>
              <w:t> </w:t>
            </w:r>
            <w:r>
              <w:rPr>
                <w:spacing w:val="-2"/>
                <w:sz w:val="20"/>
              </w:rPr>
              <w:t>A16.28.098</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st19.009</w:t>
            </w:r>
          </w:p>
        </w:tc>
        <w:tc>
          <w:tcPr>
            <w:tcW w:w="707" w:type="dxa"/>
          </w:tcPr>
          <w:p>
            <w:pPr>
              <w:pStyle w:val="TableParagraph"/>
              <w:spacing w:line="214" w:lineRule="exact" w:before="46"/>
              <w:ind w:left="210"/>
              <w:rPr>
                <w:sz w:val="20"/>
              </w:rPr>
            </w:pPr>
            <w:r>
              <w:rPr>
                <w:spacing w:val="-5"/>
                <w:sz w:val="20"/>
              </w:rPr>
              <w:t>138</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7" w:right="735"/>
              <w:jc w:val="center"/>
              <w:rPr>
                <w:sz w:val="20"/>
              </w:rPr>
            </w:pPr>
            <w:r>
              <w:rPr>
                <w:sz w:val="20"/>
              </w:rPr>
              <w:t>A16.01.005,</w:t>
            </w:r>
            <w:r>
              <w:rPr>
                <w:spacing w:val="-9"/>
                <w:sz w:val="20"/>
              </w:rPr>
              <w:t> </w:t>
            </w:r>
            <w:r>
              <w:rPr>
                <w:spacing w:val="-2"/>
                <w:sz w:val="20"/>
              </w:rPr>
              <w:t>A16.01.005.001,</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1,29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злокачественных</w:t>
            </w:r>
          </w:p>
        </w:tc>
        <w:tc>
          <w:tcPr>
            <w:tcW w:w="3506" w:type="dxa"/>
          </w:tcPr>
          <w:p>
            <w:pPr>
              <w:pStyle w:val="TableParagraph"/>
              <w:rPr>
                <w:sz w:val="16"/>
              </w:rPr>
            </w:pPr>
          </w:p>
        </w:tc>
        <w:tc>
          <w:tcPr>
            <w:tcW w:w="4221" w:type="dxa"/>
          </w:tcPr>
          <w:p>
            <w:pPr>
              <w:pStyle w:val="TableParagraph"/>
              <w:spacing w:line="209" w:lineRule="exact"/>
              <w:ind w:left="747" w:right="735"/>
              <w:jc w:val="center"/>
              <w:rPr>
                <w:sz w:val="20"/>
              </w:rPr>
            </w:pPr>
            <w:r>
              <w:rPr>
                <w:sz w:val="20"/>
              </w:rPr>
              <w:t>A16.30.032,</w:t>
            </w:r>
            <w:r>
              <w:rPr>
                <w:spacing w:val="-9"/>
                <w:sz w:val="20"/>
              </w:rPr>
              <w:t> </w:t>
            </w:r>
            <w:r>
              <w:rPr>
                <w:spacing w:val="-2"/>
                <w:sz w:val="20"/>
              </w:rPr>
              <w:t>A16.30.032.001,</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1" w:lineRule="exact"/>
              <w:ind w:left="192"/>
              <w:rPr>
                <w:sz w:val="20"/>
              </w:rPr>
            </w:pPr>
            <w:r>
              <w:rPr>
                <w:w w:val="95"/>
                <w:sz w:val="20"/>
              </w:rPr>
              <w:t>новообразованиях</w:t>
            </w:r>
            <w:r>
              <w:rPr>
                <w:spacing w:val="56"/>
                <w:sz w:val="20"/>
              </w:rPr>
              <w:t> </w:t>
            </w:r>
            <w:r>
              <w:rPr>
                <w:spacing w:val="-4"/>
                <w:sz w:val="20"/>
              </w:rPr>
              <w:t>кожи</w:t>
            </w:r>
          </w:p>
        </w:tc>
        <w:tc>
          <w:tcPr>
            <w:tcW w:w="3506" w:type="dxa"/>
          </w:tcPr>
          <w:p>
            <w:pPr>
              <w:pStyle w:val="TableParagraph"/>
              <w:rPr>
                <w:sz w:val="16"/>
              </w:rPr>
            </w:pPr>
          </w:p>
        </w:tc>
        <w:tc>
          <w:tcPr>
            <w:tcW w:w="4221" w:type="dxa"/>
          </w:tcPr>
          <w:p>
            <w:pPr>
              <w:pStyle w:val="TableParagraph"/>
              <w:spacing w:line="211" w:lineRule="exact"/>
              <w:ind w:left="748" w:right="735"/>
              <w:jc w:val="center"/>
              <w:rPr>
                <w:sz w:val="20"/>
              </w:rPr>
            </w:pPr>
            <w:r>
              <w:rPr>
                <w:spacing w:val="-2"/>
                <w:sz w:val="20"/>
              </w:rPr>
              <w:t>A22.01.007.001</w:t>
            </w:r>
          </w:p>
        </w:tc>
        <w:tc>
          <w:tcPr>
            <w:tcW w:w="1659"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st19.010</w:t>
            </w:r>
          </w:p>
        </w:tc>
        <w:tc>
          <w:tcPr>
            <w:tcW w:w="707" w:type="dxa"/>
          </w:tcPr>
          <w:p>
            <w:pPr>
              <w:pStyle w:val="TableParagraph"/>
              <w:spacing w:line="214" w:lineRule="exact" w:before="46"/>
              <w:ind w:left="210"/>
              <w:rPr>
                <w:sz w:val="20"/>
              </w:rPr>
            </w:pPr>
            <w:r>
              <w:rPr>
                <w:spacing w:val="-5"/>
                <w:sz w:val="20"/>
              </w:rPr>
              <w:t>139</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7" w:right="735"/>
              <w:jc w:val="center"/>
              <w:rPr>
                <w:sz w:val="20"/>
              </w:rPr>
            </w:pPr>
            <w:r>
              <w:rPr>
                <w:w w:val="95"/>
                <w:sz w:val="20"/>
              </w:rPr>
              <w:t>A16.01.005.004,</w:t>
            </w:r>
            <w:r>
              <w:rPr>
                <w:spacing w:val="54"/>
                <w:sz w:val="20"/>
              </w:rPr>
              <w:t> </w:t>
            </w:r>
            <w:r>
              <w:rPr>
                <w:spacing w:val="-2"/>
                <w:sz w:val="20"/>
              </w:rPr>
              <w:t>A16.30.072,</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1,55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злокачественных</w:t>
            </w:r>
          </w:p>
        </w:tc>
        <w:tc>
          <w:tcPr>
            <w:tcW w:w="3506" w:type="dxa"/>
          </w:tcPr>
          <w:p>
            <w:pPr>
              <w:pStyle w:val="TableParagraph"/>
              <w:rPr>
                <w:sz w:val="16"/>
              </w:rPr>
            </w:pPr>
          </w:p>
        </w:tc>
        <w:tc>
          <w:tcPr>
            <w:tcW w:w="4221" w:type="dxa"/>
          </w:tcPr>
          <w:p>
            <w:pPr>
              <w:pStyle w:val="TableParagraph"/>
              <w:spacing w:line="209" w:lineRule="exact"/>
              <w:ind w:left="748" w:right="732"/>
              <w:jc w:val="center"/>
              <w:rPr>
                <w:sz w:val="20"/>
              </w:rPr>
            </w:pPr>
            <w:r>
              <w:rPr>
                <w:spacing w:val="-2"/>
                <w:sz w:val="20"/>
              </w:rPr>
              <w:t>A16.30.073</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w w:val="95"/>
                <w:sz w:val="20"/>
              </w:rPr>
              <w:t>новообразованиях</w:t>
            </w:r>
            <w:r>
              <w:rPr>
                <w:spacing w:val="56"/>
                <w:sz w:val="20"/>
              </w:rPr>
              <w:t> </w:t>
            </w:r>
            <w:r>
              <w:rPr>
                <w:spacing w:val="-4"/>
                <w:sz w:val="20"/>
              </w:rPr>
              <w:t>кожи</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2)</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st19.011</w:t>
            </w:r>
          </w:p>
        </w:tc>
        <w:tc>
          <w:tcPr>
            <w:tcW w:w="707" w:type="dxa"/>
          </w:tcPr>
          <w:p>
            <w:pPr>
              <w:pStyle w:val="TableParagraph"/>
              <w:spacing w:line="214" w:lineRule="exact" w:before="46"/>
              <w:ind w:left="210"/>
              <w:rPr>
                <w:sz w:val="20"/>
              </w:rPr>
            </w:pPr>
            <w:r>
              <w:rPr>
                <w:spacing w:val="-5"/>
                <w:sz w:val="20"/>
              </w:rPr>
              <w:t>140</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8" w:right="734"/>
              <w:jc w:val="center"/>
              <w:rPr>
                <w:sz w:val="20"/>
              </w:rPr>
            </w:pPr>
            <w:r>
              <w:rPr>
                <w:w w:val="95"/>
                <w:sz w:val="20"/>
              </w:rPr>
              <w:t>A16.01.005.002,</w:t>
            </w:r>
            <w:r>
              <w:rPr>
                <w:spacing w:val="54"/>
                <w:sz w:val="20"/>
              </w:rPr>
              <w:t> </w:t>
            </w:r>
            <w:r>
              <w:rPr>
                <w:spacing w:val="-2"/>
                <w:sz w:val="20"/>
              </w:rPr>
              <w:t>A16.01.005.003,</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1,71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злокачественных</w:t>
            </w:r>
          </w:p>
        </w:tc>
        <w:tc>
          <w:tcPr>
            <w:tcW w:w="3506" w:type="dxa"/>
          </w:tcPr>
          <w:p>
            <w:pPr>
              <w:pStyle w:val="TableParagraph"/>
              <w:rPr>
                <w:sz w:val="16"/>
              </w:rPr>
            </w:pPr>
          </w:p>
        </w:tc>
        <w:tc>
          <w:tcPr>
            <w:tcW w:w="4221" w:type="dxa"/>
          </w:tcPr>
          <w:p>
            <w:pPr>
              <w:pStyle w:val="TableParagraph"/>
              <w:spacing w:line="209" w:lineRule="exact"/>
              <w:ind w:left="748" w:right="735"/>
              <w:jc w:val="center"/>
              <w:rPr>
                <w:sz w:val="20"/>
              </w:rPr>
            </w:pPr>
            <w:r>
              <w:rPr>
                <w:w w:val="95"/>
                <w:sz w:val="20"/>
              </w:rPr>
              <w:t>A16.30.032.002,</w:t>
            </w:r>
            <w:r>
              <w:rPr>
                <w:spacing w:val="54"/>
                <w:sz w:val="20"/>
              </w:rPr>
              <w:t> </w:t>
            </w:r>
            <w:r>
              <w:rPr>
                <w:spacing w:val="-2"/>
                <w:sz w:val="20"/>
              </w:rPr>
              <w:t>A16.30.032.004</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w w:val="95"/>
                <w:sz w:val="20"/>
              </w:rPr>
              <w:t>новообразованиях</w:t>
            </w:r>
            <w:r>
              <w:rPr>
                <w:spacing w:val="56"/>
                <w:sz w:val="20"/>
              </w:rPr>
              <w:t> </w:t>
            </w:r>
            <w:r>
              <w:rPr>
                <w:spacing w:val="-4"/>
                <w:sz w:val="20"/>
              </w:rPr>
              <w:t>кожи</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3)</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st19.012</w:t>
            </w:r>
          </w:p>
        </w:tc>
        <w:tc>
          <w:tcPr>
            <w:tcW w:w="707" w:type="dxa"/>
          </w:tcPr>
          <w:p>
            <w:pPr>
              <w:pStyle w:val="TableParagraph"/>
              <w:spacing w:line="214" w:lineRule="exact" w:before="46"/>
              <w:ind w:left="210"/>
              <w:rPr>
                <w:sz w:val="20"/>
              </w:rPr>
            </w:pPr>
            <w:r>
              <w:rPr>
                <w:spacing w:val="-5"/>
                <w:sz w:val="20"/>
              </w:rPr>
              <w:t>141</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8" w:right="734"/>
              <w:jc w:val="center"/>
              <w:rPr>
                <w:sz w:val="20"/>
              </w:rPr>
            </w:pPr>
            <w:r>
              <w:rPr>
                <w:sz w:val="20"/>
              </w:rPr>
              <w:t>A16.22.001,</w:t>
            </w:r>
            <w:r>
              <w:rPr>
                <w:spacing w:val="-9"/>
                <w:sz w:val="20"/>
              </w:rPr>
              <w:t> </w:t>
            </w:r>
            <w:r>
              <w:rPr>
                <w:spacing w:val="-2"/>
                <w:sz w:val="20"/>
              </w:rPr>
              <w:t>A16.22.007,</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2,29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злокачественном</w:t>
            </w:r>
          </w:p>
        </w:tc>
        <w:tc>
          <w:tcPr>
            <w:tcW w:w="3506" w:type="dxa"/>
          </w:tcPr>
          <w:p>
            <w:pPr>
              <w:pStyle w:val="TableParagraph"/>
              <w:rPr>
                <w:sz w:val="16"/>
              </w:rPr>
            </w:pPr>
          </w:p>
        </w:tc>
        <w:tc>
          <w:tcPr>
            <w:tcW w:w="4221" w:type="dxa"/>
          </w:tcPr>
          <w:p>
            <w:pPr>
              <w:pStyle w:val="TableParagraph"/>
              <w:spacing w:line="209" w:lineRule="exact"/>
              <w:ind w:left="748" w:right="735"/>
              <w:jc w:val="center"/>
              <w:rPr>
                <w:sz w:val="20"/>
              </w:rPr>
            </w:pPr>
            <w:r>
              <w:rPr>
                <w:spacing w:val="-2"/>
                <w:sz w:val="20"/>
              </w:rPr>
              <w:t>A16.22.007.002</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pacing w:val="-2"/>
                <w:sz w:val="20"/>
              </w:rPr>
              <w:t>новообразовании</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z w:val="20"/>
              </w:rPr>
              <w:t>щитовидной</w:t>
            </w:r>
            <w:r>
              <w:rPr>
                <w:spacing w:val="-12"/>
                <w:sz w:val="20"/>
              </w:rPr>
              <w:t> </w:t>
            </w:r>
            <w:r>
              <w:rPr>
                <w:spacing w:val="-2"/>
                <w:sz w:val="20"/>
              </w:rPr>
              <w:t>железы</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1250" w:hRule="atLeast"/>
        </w:trPr>
        <w:tc>
          <w:tcPr>
            <w:tcW w:w="946" w:type="dxa"/>
          </w:tcPr>
          <w:p>
            <w:pPr>
              <w:pStyle w:val="TableParagraph"/>
              <w:spacing w:before="45"/>
              <w:ind w:left="50"/>
              <w:rPr>
                <w:sz w:val="20"/>
              </w:rPr>
            </w:pPr>
            <w:r>
              <w:rPr>
                <w:spacing w:val="-2"/>
                <w:sz w:val="20"/>
              </w:rPr>
              <w:t>st19.013</w:t>
            </w:r>
          </w:p>
        </w:tc>
        <w:tc>
          <w:tcPr>
            <w:tcW w:w="707" w:type="dxa"/>
          </w:tcPr>
          <w:p>
            <w:pPr>
              <w:pStyle w:val="TableParagraph"/>
              <w:spacing w:before="45"/>
              <w:ind w:left="210"/>
              <w:rPr>
                <w:sz w:val="20"/>
              </w:rPr>
            </w:pPr>
            <w:r>
              <w:rPr>
                <w:spacing w:val="-5"/>
                <w:sz w:val="20"/>
              </w:rPr>
              <w:t>142</w:t>
            </w:r>
          </w:p>
        </w:tc>
        <w:tc>
          <w:tcPr>
            <w:tcW w:w="2976" w:type="dxa"/>
          </w:tcPr>
          <w:p>
            <w:pPr>
              <w:pStyle w:val="TableParagraph"/>
              <w:spacing w:before="45"/>
              <w:ind w:left="192" w:right="1032"/>
              <w:rPr>
                <w:sz w:val="20"/>
              </w:rPr>
            </w:pPr>
            <w:r>
              <w:rPr>
                <w:sz w:val="20"/>
              </w:rPr>
              <w:t>Операции при </w:t>
            </w:r>
            <w:r>
              <w:rPr>
                <w:spacing w:val="-2"/>
                <w:sz w:val="20"/>
              </w:rPr>
              <w:t>злокачественном новообразовании </w:t>
            </w:r>
            <w:r>
              <w:rPr>
                <w:sz w:val="20"/>
              </w:rPr>
              <w:t>щитовидной</w:t>
            </w:r>
            <w:r>
              <w:rPr>
                <w:spacing w:val="-13"/>
                <w:sz w:val="20"/>
              </w:rPr>
              <w:t> </w:t>
            </w:r>
            <w:r>
              <w:rPr>
                <w:sz w:val="20"/>
              </w:rPr>
              <w:t>железы (уровень 2)</w:t>
            </w:r>
          </w:p>
        </w:tc>
        <w:tc>
          <w:tcPr>
            <w:tcW w:w="3506" w:type="dxa"/>
          </w:tcPr>
          <w:p>
            <w:pPr>
              <w:pStyle w:val="TableParagraph"/>
              <w:spacing w:before="45"/>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before="45"/>
              <w:ind w:left="748" w:right="732"/>
              <w:jc w:val="center"/>
              <w:rPr>
                <w:sz w:val="20"/>
              </w:rPr>
            </w:pPr>
            <w:r>
              <w:rPr>
                <w:spacing w:val="-2"/>
                <w:sz w:val="20"/>
              </w:rPr>
              <w:t>A16.22.002</w:t>
            </w:r>
          </w:p>
        </w:tc>
        <w:tc>
          <w:tcPr>
            <w:tcW w:w="1659" w:type="dxa"/>
          </w:tcPr>
          <w:p>
            <w:pPr>
              <w:pStyle w:val="TableParagraph"/>
              <w:spacing w:before="45"/>
              <w:ind w:left="730"/>
              <w:rPr>
                <w:sz w:val="20"/>
              </w:rPr>
            </w:pPr>
            <w:r>
              <w:rPr>
                <w:w w:val="99"/>
                <w:sz w:val="20"/>
              </w:rPr>
              <w:t>-</w:t>
            </w:r>
          </w:p>
        </w:tc>
        <w:tc>
          <w:tcPr>
            <w:tcW w:w="1262" w:type="dxa"/>
          </w:tcPr>
          <w:p>
            <w:pPr>
              <w:pStyle w:val="TableParagraph"/>
              <w:spacing w:before="45"/>
              <w:ind w:right="51"/>
              <w:jc w:val="right"/>
              <w:rPr>
                <w:sz w:val="20"/>
              </w:rPr>
            </w:pPr>
            <w:r>
              <w:rPr>
                <w:spacing w:val="-4"/>
                <w:sz w:val="20"/>
              </w:rPr>
              <w:t>2,49</w:t>
            </w:r>
          </w:p>
        </w:tc>
      </w:tr>
      <w:tr>
        <w:trPr>
          <w:trHeight w:val="279" w:hRule="atLeast"/>
        </w:trPr>
        <w:tc>
          <w:tcPr>
            <w:tcW w:w="946" w:type="dxa"/>
          </w:tcPr>
          <w:p>
            <w:pPr>
              <w:pStyle w:val="TableParagraph"/>
              <w:spacing w:line="215" w:lineRule="exact" w:before="45"/>
              <w:ind w:left="50"/>
              <w:rPr>
                <w:sz w:val="20"/>
              </w:rPr>
            </w:pPr>
            <w:r>
              <w:rPr>
                <w:spacing w:val="-2"/>
                <w:sz w:val="20"/>
              </w:rPr>
              <w:t>st19.014</w:t>
            </w:r>
          </w:p>
        </w:tc>
        <w:tc>
          <w:tcPr>
            <w:tcW w:w="707" w:type="dxa"/>
          </w:tcPr>
          <w:p>
            <w:pPr>
              <w:pStyle w:val="TableParagraph"/>
              <w:spacing w:line="215" w:lineRule="exact" w:before="45"/>
              <w:ind w:left="210"/>
              <w:rPr>
                <w:sz w:val="20"/>
              </w:rPr>
            </w:pPr>
            <w:r>
              <w:rPr>
                <w:spacing w:val="-5"/>
                <w:sz w:val="20"/>
              </w:rPr>
              <w:t>143</w:t>
            </w:r>
          </w:p>
        </w:tc>
        <w:tc>
          <w:tcPr>
            <w:tcW w:w="2976" w:type="dxa"/>
          </w:tcPr>
          <w:p>
            <w:pPr>
              <w:pStyle w:val="TableParagraph"/>
              <w:spacing w:line="215" w:lineRule="exact" w:before="45"/>
              <w:ind w:left="192"/>
              <w:rPr>
                <w:sz w:val="20"/>
              </w:rPr>
            </w:pPr>
            <w:r>
              <w:rPr>
                <w:sz w:val="20"/>
              </w:rPr>
              <w:t>Мастэктомия,</w:t>
            </w:r>
            <w:r>
              <w:rPr>
                <w:spacing w:val="-12"/>
                <w:sz w:val="20"/>
              </w:rPr>
              <w:t> </w:t>
            </w:r>
            <w:r>
              <w:rPr>
                <w:spacing w:val="-2"/>
                <w:sz w:val="20"/>
              </w:rPr>
              <w:t>другие</w:t>
            </w:r>
          </w:p>
        </w:tc>
        <w:tc>
          <w:tcPr>
            <w:tcW w:w="3506" w:type="dxa"/>
          </w:tcPr>
          <w:p>
            <w:pPr>
              <w:pStyle w:val="TableParagraph"/>
              <w:spacing w:line="215" w:lineRule="exact" w:before="45"/>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5" w:lineRule="exact" w:before="45"/>
              <w:ind w:left="747" w:right="735"/>
              <w:jc w:val="center"/>
              <w:rPr>
                <w:sz w:val="20"/>
              </w:rPr>
            </w:pPr>
            <w:r>
              <w:rPr>
                <w:sz w:val="20"/>
              </w:rPr>
              <w:t>A16.20.032,</w:t>
            </w:r>
            <w:r>
              <w:rPr>
                <w:spacing w:val="-9"/>
                <w:sz w:val="20"/>
              </w:rPr>
              <w:t> </w:t>
            </w:r>
            <w:r>
              <w:rPr>
                <w:spacing w:val="-2"/>
                <w:sz w:val="20"/>
              </w:rPr>
              <w:t>A16.20.032.001,</w:t>
            </w:r>
          </w:p>
        </w:tc>
        <w:tc>
          <w:tcPr>
            <w:tcW w:w="1659" w:type="dxa"/>
          </w:tcPr>
          <w:p>
            <w:pPr>
              <w:pStyle w:val="TableParagraph"/>
              <w:spacing w:line="215" w:lineRule="exact" w:before="45"/>
              <w:ind w:left="730"/>
              <w:rPr>
                <w:sz w:val="20"/>
              </w:rPr>
            </w:pPr>
            <w:r>
              <w:rPr>
                <w:w w:val="99"/>
                <w:sz w:val="20"/>
              </w:rPr>
              <w:t>-</w:t>
            </w:r>
          </w:p>
        </w:tc>
        <w:tc>
          <w:tcPr>
            <w:tcW w:w="1262" w:type="dxa"/>
          </w:tcPr>
          <w:p>
            <w:pPr>
              <w:pStyle w:val="TableParagraph"/>
              <w:spacing w:line="215" w:lineRule="exact" w:before="45"/>
              <w:ind w:right="51"/>
              <w:jc w:val="right"/>
              <w:rPr>
                <w:sz w:val="20"/>
              </w:rPr>
            </w:pPr>
            <w:r>
              <w:rPr>
                <w:spacing w:val="-4"/>
                <w:sz w:val="20"/>
              </w:rPr>
              <w:t>2,79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z w:val="20"/>
              </w:rPr>
              <w:t>операции</w:t>
            </w:r>
            <w:r>
              <w:rPr>
                <w:spacing w:val="-10"/>
                <w:sz w:val="20"/>
              </w:rPr>
              <w:t> </w:t>
            </w:r>
            <w:r>
              <w:rPr>
                <w:spacing w:val="-5"/>
                <w:sz w:val="20"/>
              </w:rPr>
              <w:t>при</w:t>
            </w:r>
          </w:p>
        </w:tc>
        <w:tc>
          <w:tcPr>
            <w:tcW w:w="3506" w:type="dxa"/>
          </w:tcPr>
          <w:p>
            <w:pPr>
              <w:pStyle w:val="TableParagraph"/>
              <w:rPr>
                <w:sz w:val="16"/>
              </w:rPr>
            </w:pPr>
          </w:p>
        </w:tc>
        <w:tc>
          <w:tcPr>
            <w:tcW w:w="4221" w:type="dxa"/>
          </w:tcPr>
          <w:p>
            <w:pPr>
              <w:pStyle w:val="TableParagraph"/>
              <w:spacing w:line="210" w:lineRule="exact"/>
              <w:ind w:left="748" w:right="733"/>
              <w:jc w:val="center"/>
              <w:rPr>
                <w:sz w:val="20"/>
              </w:rPr>
            </w:pPr>
            <w:r>
              <w:rPr>
                <w:sz w:val="20"/>
              </w:rPr>
              <w:t>A16.20.032.005,</w:t>
            </w:r>
            <w:r>
              <w:rPr>
                <w:spacing w:val="-10"/>
                <w:sz w:val="20"/>
              </w:rPr>
              <w:t> </w:t>
            </w:r>
            <w:r>
              <w:rPr>
                <w:spacing w:val="-2"/>
                <w:sz w:val="20"/>
              </w:rPr>
              <w:t>A16.20.043,</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pacing w:val="-2"/>
                <w:sz w:val="20"/>
              </w:rPr>
              <w:t>злокачественном</w:t>
            </w:r>
          </w:p>
        </w:tc>
        <w:tc>
          <w:tcPr>
            <w:tcW w:w="3506" w:type="dxa"/>
          </w:tcPr>
          <w:p>
            <w:pPr>
              <w:pStyle w:val="TableParagraph"/>
              <w:rPr>
                <w:sz w:val="16"/>
              </w:rPr>
            </w:pPr>
          </w:p>
        </w:tc>
        <w:tc>
          <w:tcPr>
            <w:tcW w:w="4221" w:type="dxa"/>
          </w:tcPr>
          <w:p>
            <w:pPr>
              <w:pStyle w:val="TableParagraph"/>
              <w:spacing w:line="210" w:lineRule="exact"/>
              <w:ind w:left="747" w:right="735"/>
              <w:jc w:val="center"/>
              <w:rPr>
                <w:sz w:val="20"/>
              </w:rPr>
            </w:pPr>
            <w:r>
              <w:rPr>
                <w:w w:val="95"/>
                <w:sz w:val="20"/>
              </w:rPr>
              <w:t>A16.20.043.006,</w:t>
            </w:r>
            <w:r>
              <w:rPr>
                <w:spacing w:val="54"/>
                <w:sz w:val="20"/>
              </w:rPr>
              <w:t> </w:t>
            </w:r>
            <w:r>
              <w:rPr>
                <w:spacing w:val="-2"/>
                <w:sz w:val="20"/>
              </w:rPr>
              <w:t>A16.20.044,</w:t>
            </w:r>
          </w:p>
        </w:tc>
        <w:tc>
          <w:tcPr>
            <w:tcW w:w="1659"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новообразовании</w:t>
            </w:r>
          </w:p>
        </w:tc>
        <w:tc>
          <w:tcPr>
            <w:tcW w:w="3506" w:type="dxa"/>
          </w:tcPr>
          <w:p>
            <w:pPr>
              <w:pStyle w:val="TableParagraph"/>
              <w:rPr>
                <w:sz w:val="16"/>
              </w:rPr>
            </w:pPr>
          </w:p>
        </w:tc>
        <w:tc>
          <w:tcPr>
            <w:tcW w:w="4221" w:type="dxa"/>
          </w:tcPr>
          <w:p>
            <w:pPr>
              <w:pStyle w:val="TableParagraph"/>
              <w:spacing w:line="209" w:lineRule="exact"/>
              <w:ind w:left="746" w:right="735"/>
              <w:jc w:val="center"/>
              <w:rPr>
                <w:sz w:val="20"/>
              </w:rPr>
            </w:pPr>
            <w:r>
              <w:rPr>
                <w:sz w:val="20"/>
              </w:rPr>
              <w:t>A16.20.049,</w:t>
            </w:r>
            <w:r>
              <w:rPr>
                <w:spacing w:val="-9"/>
                <w:sz w:val="20"/>
              </w:rPr>
              <w:t> </w:t>
            </w:r>
            <w:r>
              <w:rPr>
                <w:spacing w:val="-2"/>
                <w:sz w:val="20"/>
              </w:rPr>
              <w:t>A16.20.049.002</w:t>
            </w:r>
          </w:p>
        </w:tc>
        <w:tc>
          <w:tcPr>
            <w:tcW w:w="1659"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z w:val="20"/>
              </w:rPr>
              <w:t>молочной</w:t>
            </w:r>
            <w:r>
              <w:rPr>
                <w:spacing w:val="-9"/>
                <w:sz w:val="20"/>
              </w:rPr>
              <w:t> </w:t>
            </w:r>
            <w:r>
              <w:rPr>
                <w:spacing w:val="-2"/>
                <w:sz w:val="20"/>
              </w:rPr>
              <w:t>железы</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5" w:lineRule="exact"/>
              <w:ind w:left="192"/>
              <w:rPr>
                <w:sz w:val="20"/>
              </w:rPr>
            </w:pPr>
            <w:r>
              <w:rPr>
                <w:sz w:val="20"/>
              </w:rPr>
              <w:t>(уровень</w:t>
            </w:r>
            <w:r>
              <w:rPr>
                <w:spacing w:val="-11"/>
                <w:sz w:val="20"/>
              </w:rPr>
              <w:t> </w:t>
            </w:r>
            <w:r>
              <w:rPr>
                <w:spacing w:val="-5"/>
                <w:sz w:val="20"/>
              </w:rPr>
              <w:t>1)</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859"/>
        <w:gridCol w:w="3536"/>
        <w:gridCol w:w="4391"/>
        <w:gridCol w:w="1573"/>
        <w:gridCol w:w="1260"/>
      </w:tblGrid>
      <w:tr>
        <w:trPr>
          <w:trHeight w:val="1424" w:hRule="atLeast"/>
        </w:trPr>
        <w:tc>
          <w:tcPr>
            <w:tcW w:w="946" w:type="dxa"/>
          </w:tcPr>
          <w:p>
            <w:pPr>
              <w:pStyle w:val="TableParagraph"/>
              <w:spacing w:line="221" w:lineRule="exact"/>
              <w:ind w:left="50"/>
              <w:rPr>
                <w:sz w:val="20"/>
              </w:rPr>
            </w:pPr>
            <w:r>
              <w:rPr>
                <w:spacing w:val="-2"/>
                <w:sz w:val="20"/>
              </w:rPr>
              <w:t>st19.015</w:t>
            </w:r>
          </w:p>
        </w:tc>
        <w:tc>
          <w:tcPr>
            <w:tcW w:w="707" w:type="dxa"/>
          </w:tcPr>
          <w:p>
            <w:pPr>
              <w:pStyle w:val="TableParagraph"/>
              <w:spacing w:line="221" w:lineRule="exact"/>
              <w:ind w:left="210"/>
              <w:rPr>
                <w:sz w:val="20"/>
              </w:rPr>
            </w:pPr>
            <w:r>
              <w:rPr>
                <w:spacing w:val="-5"/>
                <w:sz w:val="20"/>
              </w:rPr>
              <w:t>144</w:t>
            </w:r>
          </w:p>
        </w:tc>
        <w:tc>
          <w:tcPr>
            <w:tcW w:w="2859" w:type="dxa"/>
          </w:tcPr>
          <w:p>
            <w:pPr>
              <w:pStyle w:val="TableParagraph"/>
              <w:ind w:left="192" w:right="841"/>
              <w:rPr>
                <w:sz w:val="20"/>
              </w:rPr>
            </w:pPr>
            <w:r>
              <w:rPr>
                <w:sz w:val="20"/>
              </w:rPr>
              <w:t>Мастэктомия,</w:t>
            </w:r>
            <w:r>
              <w:rPr>
                <w:spacing w:val="-13"/>
                <w:sz w:val="20"/>
              </w:rPr>
              <w:t> </w:t>
            </w:r>
            <w:r>
              <w:rPr>
                <w:sz w:val="20"/>
              </w:rPr>
              <w:t>другие операции при </w:t>
            </w:r>
            <w:r>
              <w:rPr>
                <w:spacing w:val="-2"/>
                <w:sz w:val="20"/>
              </w:rPr>
              <w:t>злокачественном новообразовании </w:t>
            </w:r>
            <w:r>
              <w:rPr>
                <w:sz w:val="20"/>
              </w:rPr>
              <w:t>молочной железы (уровень 2)</w:t>
            </w:r>
          </w:p>
        </w:tc>
        <w:tc>
          <w:tcPr>
            <w:tcW w:w="3536" w:type="dxa"/>
          </w:tcPr>
          <w:p>
            <w:pPr>
              <w:pStyle w:val="TableParagraph"/>
              <w:spacing w:line="221" w:lineRule="exact"/>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ind w:left="662" w:right="645"/>
              <w:jc w:val="center"/>
              <w:rPr>
                <w:sz w:val="20"/>
              </w:rPr>
            </w:pPr>
            <w:r>
              <w:rPr>
                <w:sz w:val="20"/>
              </w:rPr>
              <w:t>A16.20.032.002, A16.20.032.007, A16.20.043.001, A16.20.043.002, A16.20.043.003, A16.20.043.004, A16.20.045,</w:t>
            </w:r>
            <w:r>
              <w:rPr>
                <w:spacing w:val="-13"/>
                <w:sz w:val="20"/>
              </w:rPr>
              <w:t> </w:t>
            </w:r>
            <w:r>
              <w:rPr>
                <w:sz w:val="20"/>
              </w:rPr>
              <w:t>A16.20.047,</w:t>
            </w:r>
            <w:r>
              <w:rPr>
                <w:spacing w:val="-12"/>
                <w:sz w:val="20"/>
              </w:rPr>
              <w:t> </w:t>
            </w:r>
            <w:r>
              <w:rPr>
                <w:sz w:val="20"/>
              </w:rPr>
              <w:t>A16.20.048, A16.20.049.001, A16.20.051, </w:t>
            </w:r>
            <w:r>
              <w:rPr>
                <w:spacing w:val="-2"/>
                <w:sz w:val="20"/>
              </w:rPr>
              <w:t>A16.20.103</w:t>
            </w:r>
          </w:p>
        </w:tc>
        <w:tc>
          <w:tcPr>
            <w:tcW w:w="1573" w:type="dxa"/>
          </w:tcPr>
          <w:p>
            <w:pPr>
              <w:pStyle w:val="TableParagraph"/>
              <w:spacing w:line="221" w:lineRule="exact"/>
              <w:ind w:left="647"/>
              <w:rPr>
                <w:sz w:val="20"/>
              </w:rPr>
            </w:pPr>
            <w:r>
              <w:rPr>
                <w:w w:val="99"/>
                <w:sz w:val="20"/>
              </w:rPr>
              <w:t>-</w:t>
            </w:r>
          </w:p>
        </w:tc>
        <w:tc>
          <w:tcPr>
            <w:tcW w:w="1260" w:type="dxa"/>
          </w:tcPr>
          <w:p>
            <w:pPr>
              <w:pStyle w:val="TableParagraph"/>
              <w:spacing w:line="221" w:lineRule="exact"/>
              <w:ind w:right="46"/>
              <w:jc w:val="right"/>
              <w:rPr>
                <w:sz w:val="20"/>
              </w:rPr>
            </w:pPr>
            <w:r>
              <w:rPr>
                <w:spacing w:val="-4"/>
                <w:sz w:val="20"/>
              </w:rPr>
              <w:t>3,95</w:t>
            </w:r>
          </w:p>
        </w:tc>
      </w:tr>
      <w:tr>
        <w:trPr>
          <w:trHeight w:val="1481" w:hRule="atLeast"/>
        </w:trPr>
        <w:tc>
          <w:tcPr>
            <w:tcW w:w="946" w:type="dxa"/>
          </w:tcPr>
          <w:p>
            <w:pPr>
              <w:pStyle w:val="TableParagraph"/>
              <w:spacing w:before="45"/>
              <w:ind w:left="50"/>
              <w:rPr>
                <w:sz w:val="20"/>
              </w:rPr>
            </w:pPr>
            <w:r>
              <w:rPr>
                <w:spacing w:val="-2"/>
                <w:sz w:val="20"/>
              </w:rPr>
              <w:t>st19.016</w:t>
            </w:r>
          </w:p>
        </w:tc>
        <w:tc>
          <w:tcPr>
            <w:tcW w:w="707" w:type="dxa"/>
          </w:tcPr>
          <w:p>
            <w:pPr>
              <w:pStyle w:val="TableParagraph"/>
              <w:spacing w:before="45"/>
              <w:ind w:left="210"/>
              <w:rPr>
                <w:sz w:val="20"/>
              </w:rPr>
            </w:pPr>
            <w:r>
              <w:rPr>
                <w:spacing w:val="-5"/>
                <w:sz w:val="20"/>
              </w:rPr>
              <w:t>145</w:t>
            </w:r>
          </w:p>
        </w:tc>
        <w:tc>
          <w:tcPr>
            <w:tcW w:w="2859" w:type="dxa"/>
          </w:tcPr>
          <w:p>
            <w:pPr>
              <w:pStyle w:val="TableParagraph"/>
              <w:spacing w:before="45"/>
              <w:ind w:left="192" w:right="1055"/>
              <w:rPr>
                <w:sz w:val="20"/>
              </w:rPr>
            </w:pPr>
            <w:r>
              <w:rPr>
                <w:sz w:val="20"/>
              </w:rPr>
              <w:t>Операции при </w:t>
            </w:r>
            <w:r>
              <w:rPr>
                <w:spacing w:val="-2"/>
                <w:sz w:val="20"/>
              </w:rPr>
              <w:t>злокачественном новообразовании </w:t>
            </w:r>
            <w:r>
              <w:rPr>
                <w:sz w:val="20"/>
              </w:rPr>
              <w:t>желчного пузыря, желчных</w:t>
            </w:r>
            <w:r>
              <w:rPr>
                <w:spacing w:val="-13"/>
                <w:sz w:val="20"/>
              </w:rPr>
              <w:t> </w:t>
            </w:r>
            <w:r>
              <w:rPr>
                <w:sz w:val="20"/>
              </w:rPr>
              <w:t>протоков (уровень 1)</w:t>
            </w:r>
          </w:p>
        </w:tc>
        <w:tc>
          <w:tcPr>
            <w:tcW w:w="3536"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835" w:right="817" w:firstLine="3"/>
              <w:jc w:val="center"/>
              <w:rPr>
                <w:sz w:val="20"/>
              </w:rPr>
            </w:pPr>
            <w:r>
              <w:rPr>
                <w:sz w:val="20"/>
              </w:rPr>
              <w:t>A16.14.006, A16.14.007, A16.14.007.001,</w:t>
            </w:r>
            <w:r>
              <w:rPr>
                <w:spacing w:val="-13"/>
                <w:sz w:val="20"/>
              </w:rPr>
              <w:t> </w:t>
            </w:r>
            <w:r>
              <w:rPr>
                <w:sz w:val="20"/>
              </w:rPr>
              <w:t>A16.14.009.001, A16.14.011, A16.14.020, A16.14.020.002, A16.14.025, A16.14.031.002, A16.14.031.003</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2,38</w:t>
            </w:r>
          </w:p>
        </w:tc>
      </w:tr>
      <w:tr>
        <w:trPr>
          <w:trHeight w:val="1480" w:hRule="atLeast"/>
        </w:trPr>
        <w:tc>
          <w:tcPr>
            <w:tcW w:w="946" w:type="dxa"/>
          </w:tcPr>
          <w:p>
            <w:pPr>
              <w:pStyle w:val="TableParagraph"/>
              <w:spacing w:before="45"/>
              <w:ind w:left="50"/>
              <w:rPr>
                <w:sz w:val="20"/>
              </w:rPr>
            </w:pPr>
            <w:r>
              <w:rPr>
                <w:spacing w:val="-2"/>
                <w:sz w:val="20"/>
              </w:rPr>
              <w:t>st19.017</w:t>
            </w:r>
          </w:p>
        </w:tc>
        <w:tc>
          <w:tcPr>
            <w:tcW w:w="707" w:type="dxa"/>
          </w:tcPr>
          <w:p>
            <w:pPr>
              <w:pStyle w:val="TableParagraph"/>
              <w:spacing w:before="45"/>
              <w:ind w:left="210"/>
              <w:rPr>
                <w:sz w:val="20"/>
              </w:rPr>
            </w:pPr>
            <w:r>
              <w:rPr>
                <w:spacing w:val="-5"/>
                <w:sz w:val="20"/>
              </w:rPr>
              <w:t>146</w:t>
            </w:r>
          </w:p>
        </w:tc>
        <w:tc>
          <w:tcPr>
            <w:tcW w:w="2859" w:type="dxa"/>
          </w:tcPr>
          <w:p>
            <w:pPr>
              <w:pStyle w:val="TableParagraph"/>
              <w:spacing w:before="45"/>
              <w:ind w:left="192" w:right="1055"/>
              <w:rPr>
                <w:sz w:val="20"/>
              </w:rPr>
            </w:pPr>
            <w:r>
              <w:rPr>
                <w:sz w:val="20"/>
              </w:rPr>
              <w:t>Операции при </w:t>
            </w:r>
            <w:r>
              <w:rPr>
                <w:spacing w:val="-2"/>
                <w:sz w:val="20"/>
              </w:rPr>
              <w:t>злокачественном новообразовании </w:t>
            </w:r>
            <w:r>
              <w:rPr>
                <w:sz w:val="20"/>
              </w:rPr>
              <w:t>желчного пузыря, желчных</w:t>
            </w:r>
            <w:r>
              <w:rPr>
                <w:spacing w:val="-13"/>
                <w:sz w:val="20"/>
              </w:rPr>
              <w:t> </w:t>
            </w:r>
            <w:r>
              <w:rPr>
                <w:sz w:val="20"/>
              </w:rPr>
              <w:t>протоков (уровень 2)</w:t>
            </w:r>
          </w:p>
        </w:tc>
        <w:tc>
          <w:tcPr>
            <w:tcW w:w="3536" w:type="dxa"/>
          </w:tcPr>
          <w:p>
            <w:pPr>
              <w:pStyle w:val="TableParagraph"/>
              <w:spacing w:before="45"/>
              <w:ind w:right="661"/>
              <w:jc w:val="right"/>
              <w:rPr>
                <w:sz w:val="20"/>
              </w:rPr>
            </w:pPr>
            <w:r>
              <w:rPr>
                <w:sz w:val="20"/>
              </w:rPr>
              <w:t>C00-C80,</w:t>
            </w:r>
            <w:r>
              <w:rPr>
                <w:spacing w:val="-6"/>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4"/>
              <w:jc w:val="center"/>
              <w:rPr>
                <w:sz w:val="20"/>
              </w:rPr>
            </w:pPr>
            <w:r>
              <w:rPr>
                <w:sz w:val="20"/>
              </w:rPr>
              <w:t>A16.14.006.001,</w:t>
            </w:r>
            <w:r>
              <w:rPr>
                <w:spacing w:val="-13"/>
                <w:sz w:val="20"/>
              </w:rPr>
              <w:t> </w:t>
            </w:r>
            <w:r>
              <w:rPr>
                <w:sz w:val="20"/>
              </w:rPr>
              <w:t>A16.14.006.002, A16.14.009, A16.14.009.002, A16.14.010, A16.14.015, A16.14.020.001,</w:t>
            </w:r>
            <w:r>
              <w:rPr>
                <w:spacing w:val="-13"/>
                <w:sz w:val="20"/>
              </w:rPr>
              <w:t> </w:t>
            </w:r>
            <w:r>
              <w:rPr>
                <w:sz w:val="20"/>
              </w:rPr>
              <w:t>A16.14.020.004, </w:t>
            </w:r>
            <w:r>
              <w:rPr>
                <w:spacing w:val="-2"/>
                <w:sz w:val="20"/>
              </w:rPr>
              <w:t>A16.14.026.001</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2,63</w:t>
            </w:r>
          </w:p>
        </w:tc>
      </w:tr>
      <w:tr>
        <w:trPr>
          <w:trHeight w:val="1249" w:hRule="atLeast"/>
        </w:trPr>
        <w:tc>
          <w:tcPr>
            <w:tcW w:w="946" w:type="dxa"/>
          </w:tcPr>
          <w:p>
            <w:pPr>
              <w:pStyle w:val="TableParagraph"/>
              <w:spacing w:before="46"/>
              <w:ind w:left="50"/>
              <w:rPr>
                <w:sz w:val="20"/>
              </w:rPr>
            </w:pPr>
            <w:r>
              <w:rPr>
                <w:spacing w:val="-2"/>
                <w:sz w:val="20"/>
              </w:rPr>
              <w:t>st19.018</w:t>
            </w:r>
          </w:p>
        </w:tc>
        <w:tc>
          <w:tcPr>
            <w:tcW w:w="707" w:type="dxa"/>
          </w:tcPr>
          <w:p>
            <w:pPr>
              <w:pStyle w:val="TableParagraph"/>
              <w:spacing w:before="46"/>
              <w:ind w:left="210"/>
              <w:rPr>
                <w:sz w:val="20"/>
              </w:rPr>
            </w:pPr>
            <w:r>
              <w:rPr>
                <w:spacing w:val="-5"/>
                <w:sz w:val="20"/>
              </w:rPr>
              <w:t>147</w:t>
            </w:r>
          </w:p>
        </w:tc>
        <w:tc>
          <w:tcPr>
            <w:tcW w:w="2859" w:type="dxa"/>
          </w:tcPr>
          <w:p>
            <w:pPr>
              <w:pStyle w:val="TableParagraph"/>
              <w:spacing w:before="46"/>
              <w:ind w:left="192" w:right="1003"/>
              <w:rPr>
                <w:sz w:val="20"/>
              </w:rPr>
            </w:pPr>
            <w:r>
              <w:rPr>
                <w:sz w:val="20"/>
              </w:rPr>
              <w:t>Операции при </w:t>
            </w:r>
            <w:r>
              <w:rPr>
                <w:spacing w:val="-2"/>
                <w:sz w:val="20"/>
              </w:rPr>
              <w:t>злокачественном новообразовании </w:t>
            </w:r>
            <w:r>
              <w:rPr>
                <w:sz w:val="20"/>
              </w:rPr>
              <w:t>пищевода,</w:t>
            </w:r>
            <w:r>
              <w:rPr>
                <w:spacing w:val="-13"/>
                <w:sz w:val="20"/>
              </w:rPr>
              <w:t> </w:t>
            </w:r>
            <w:r>
              <w:rPr>
                <w:sz w:val="20"/>
              </w:rPr>
              <w:t>желудка (уровень 1)</w:t>
            </w:r>
          </w:p>
        </w:tc>
        <w:tc>
          <w:tcPr>
            <w:tcW w:w="3536" w:type="dxa"/>
          </w:tcPr>
          <w:p>
            <w:pPr>
              <w:pStyle w:val="TableParagraph"/>
              <w:spacing w:before="46"/>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6"/>
              <w:ind w:left="662" w:right="644"/>
              <w:jc w:val="center"/>
              <w:rPr>
                <w:sz w:val="20"/>
              </w:rPr>
            </w:pPr>
            <w:r>
              <w:rPr>
                <w:sz w:val="20"/>
              </w:rPr>
              <w:t>A16.16.006,</w:t>
            </w:r>
            <w:r>
              <w:rPr>
                <w:spacing w:val="-13"/>
                <w:sz w:val="20"/>
              </w:rPr>
              <w:t> </w:t>
            </w:r>
            <w:r>
              <w:rPr>
                <w:sz w:val="20"/>
              </w:rPr>
              <w:t>A16.16.006.001, A16.16.006.002,</w:t>
            </w:r>
            <w:r>
              <w:rPr>
                <w:spacing w:val="-13"/>
                <w:sz w:val="20"/>
              </w:rPr>
              <w:t> </w:t>
            </w:r>
            <w:r>
              <w:rPr>
                <w:sz w:val="20"/>
              </w:rPr>
              <w:t>A16.16.037, A22.16.003, A22.16.004</w:t>
            </w:r>
          </w:p>
        </w:tc>
        <w:tc>
          <w:tcPr>
            <w:tcW w:w="1573" w:type="dxa"/>
          </w:tcPr>
          <w:p>
            <w:pPr>
              <w:pStyle w:val="TableParagraph"/>
              <w:spacing w:before="46"/>
              <w:ind w:left="647"/>
              <w:rPr>
                <w:sz w:val="20"/>
              </w:rPr>
            </w:pPr>
            <w:r>
              <w:rPr>
                <w:w w:val="99"/>
                <w:sz w:val="20"/>
              </w:rPr>
              <w:t>-</w:t>
            </w:r>
          </w:p>
        </w:tc>
        <w:tc>
          <w:tcPr>
            <w:tcW w:w="1260" w:type="dxa"/>
          </w:tcPr>
          <w:p>
            <w:pPr>
              <w:pStyle w:val="TableParagraph"/>
              <w:spacing w:before="46"/>
              <w:ind w:right="46"/>
              <w:jc w:val="right"/>
              <w:rPr>
                <w:sz w:val="20"/>
              </w:rPr>
            </w:pPr>
            <w:r>
              <w:rPr>
                <w:spacing w:val="-4"/>
                <w:sz w:val="20"/>
              </w:rPr>
              <w:t>2,17</w:t>
            </w:r>
          </w:p>
        </w:tc>
      </w:tr>
      <w:tr>
        <w:trPr>
          <w:trHeight w:val="1481" w:hRule="atLeast"/>
        </w:trPr>
        <w:tc>
          <w:tcPr>
            <w:tcW w:w="946" w:type="dxa"/>
          </w:tcPr>
          <w:p>
            <w:pPr>
              <w:pStyle w:val="TableParagraph"/>
              <w:spacing w:before="45"/>
              <w:ind w:left="50"/>
              <w:rPr>
                <w:sz w:val="20"/>
              </w:rPr>
            </w:pPr>
            <w:r>
              <w:rPr>
                <w:spacing w:val="-2"/>
                <w:sz w:val="20"/>
              </w:rPr>
              <w:t>st19.019</w:t>
            </w:r>
          </w:p>
        </w:tc>
        <w:tc>
          <w:tcPr>
            <w:tcW w:w="707" w:type="dxa"/>
          </w:tcPr>
          <w:p>
            <w:pPr>
              <w:pStyle w:val="TableParagraph"/>
              <w:spacing w:before="45"/>
              <w:ind w:left="210"/>
              <w:rPr>
                <w:sz w:val="20"/>
              </w:rPr>
            </w:pPr>
            <w:r>
              <w:rPr>
                <w:spacing w:val="-5"/>
                <w:sz w:val="20"/>
              </w:rPr>
              <w:t>148</w:t>
            </w:r>
          </w:p>
        </w:tc>
        <w:tc>
          <w:tcPr>
            <w:tcW w:w="2859" w:type="dxa"/>
          </w:tcPr>
          <w:p>
            <w:pPr>
              <w:pStyle w:val="TableParagraph"/>
              <w:spacing w:before="45"/>
              <w:ind w:left="192" w:right="1003"/>
              <w:rPr>
                <w:sz w:val="20"/>
              </w:rPr>
            </w:pPr>
            <w:r>
              <w:rPr>
                <w:sz w:val="20"/>
              </w:rPr>
              <w:t>Операции при </w:t>
            </w:r>
            <w:r>
              <w:rPr>
                <w:spacing w:val="-2"/>
                <w:sz w:val="20"/>
              </w:rPr>
              <w:t>злокачественном новообразовании </w:t>
            </w:r>
            <w:r>
              <w:rPr>
                <w:sz w:val="20"/>
              </w:rPr>
              <w:t>пищевода,</w:t>
            </w:r>
            <w:r>
              <w:rPr>
                <w:spacing w:val="-13"/>
                <w:sz w:val="20"/>
              </w:rPr>
              <w:t> </w:t>
            </w:r>
            <w:r>
              <w:rPr>
                <w:sz w:val="20"/>
              </w:rPr>
              <w:t>желудка (уровень 2)</w:t>
            </w:r>
          </w:p>
        </w:tc>
        <w:tc>
          <w:tcPr>
            <w:tcW w:w="3536"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jc w:val="center"/>
              <w:rPr>
                <w:sz w:val="20"/>
              </w:rPr>
            </w:pPr>
            <w:r>
              <w:rPr>
                <w:sz w:val="20"/>
              </w:rPr>
              <w:t>A16.16.014,</w:t>
            </w:r>
            <w:r>
              <w:rPr>
                <w:spacing w:val="-13"/>
                <w:sz w:val="20"/>
              </w:rPr>
              <w:t> </w:t>
            </w:r>
            <w:r>
              <w:rPr>
                <w:sz w:val="20"/>
              </w:rPr>
              <w:t>A16.16.015,</w:t>
            </w:r>
            <w:r>
              <w:rPr>
                <w:spacing w:val="-12"/>
                <w:sz w:val="20"/>
              </w:rPr>
              <w:t> </w:t>
            </w:r>
            <w:r>
              <w:rPr>
                <w:sz w:val="20"/>
              </w:rPr>
              <w:t>A16.16.017, A16.16.017.001, A16.16.017.003, A16.16.017.004, A16.16.017.006, A16.16.017.007, A16.16.017.008, A16.16.017.014, A16.16.020, </w:t>
            </w:r>
            <w:r>
              <w:rPr>
                <w:spacing w:val="-2"/>
                <w:sz w:val="20"/>
              </w:rPr>
              <w:t>A16.16.034</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3,43</w:t>
            </w:r>
          </w:p>
        </w:tc>
      </w:tr>
      <w:tr>
        <w:trPr>
          <w:trHeight w:val="1193" w:hRule="atLeast"/>
        </w:trPr>
        <w:tc>
          <w:tcPr>
            <w:tcW w:w="946" w:type="dxa"/>
          </w:tcPr>
          <w:p>
            <w:pPr>
              <w:pStyle w:val="TableParagraph"/>
              <w:spacing w:before="45"/>
              <w:ind w:left="50"/>
              <w:rPr>
                <w:sz w:val="20"/>
              </w:rPr>
            </w:pPr>
            <w:r>
              <w:rPr>
                <w:spacing w:val="-2"/>
                <w:sz w:val="20"/>
              </w:rPr>
              <w:t>st19.020</w:t>
            </w:r>
          </w:p>
        </w:tc>
        <w:tc>
          <w:tcPr>
            <w:tcW w:w="707" w:type="dxa"/>
          </w:tcPr>
          <w:p>
            <w:pPr>
              <w:pStyle w:val="TableParagraph"/>
              <w:spacing w:before="45"/>
              <w:ind w:left="210"/>
              <w:rPr>
                <w:sz w:val="20"/>
              </w:rPr>
            </w:pPr>
            <w:r>
              <w:rPr>
                <w:spacing w:val="-5"/>
                <w:sz w:val="20"/>
              </w:rPr>
              <w:t>149</w:t>
            </w:r>
          </w:p>
        </w:tc>
        <w:tc>
          <w:tcPr>
            <w:tcW w:w="2859" w:type="dxa"/>
          </w:tcPr>
          <w:p>
            <w:pPr>
              <w:pStyle w:val="TableParagraph"/>
              <w:spacing w:before="45"/>
              <w:ind w:left="192" w:right="841"/>
              <w:rPr>
                <w:sz w:val="20"/>
              </w:rPr>
            </w:pPr>
            <w:r>
              <w:rPr>
                <w:sz w:val="20"/>
              </w:rPr>
              <w:t>Операции при </w:t>
            </w:r>
            <w:r>
              <w:rPr>
                <w:spacing w:val="-2"/>
                <w:sz w:val="20"/>
              </w:rPr>
              <w:t>злокачественном новообразовании</w:t>
            </w:r>
          </w:p>
          <w:p>
            <w:pPr>
              <w:pStyle w:val="TableParagraph"/>
              <w:spacing w:line="228" w:lineRule="exact"/>
              <w:ind w:left="192" w:right="1003"/>
              <w:rPr>
                <w:sz w:val="20"/>
              </w:rPr>
            </w:pPr>
            <w:r>
              <w:rPr>
                <w:sz w:val="20"/>
              </w:rPr>
              <w:t>пищевода,</w:t>
            </w:r>
            <w:r>
              <w:rPr>
                <w:spacing w:val="-13"/>
                <w:sz w:val="20"/>
              </w:rPr>
              <w:t> </w:t>
            </w:r>
            <w:r>
              <w:rPr>
                <w:sz w:val="20"/>
              </w:rPr>
              <w:t>желудка (уровень 3)</w:t>
            </w:r>
          </w:p>
        </w:tc>
        <w:tc>
          <w:tcPr>
            <w:tcW w:w="3536"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1"/>
              <w:jc w:val="center"/>
              <w:rPr>
                <w:sz w:val="20"/>
              </w:rPr>
            </w:pPr>
            <w:r>
              <w:rPr>
                <w:sz w:val="20"/>
              </w:rPr>
              <w:t>A16.16.015.001,</w:t>
            </w:r>
            <w:r>
              <w:rPr>
                <w:spacing w:val="-13"/>
                <w:sz w:val="20"/>
              </w:rPr>
              <w:t> </w:t>
            </w:r>
            <w:r>
              <w:rPr>
                <w:sz w:val="20"/>
              </w:rPr>
              <w:t>A16.16.015.002, A16.16.015.003,</w:t>
            </w:r>
            <w:r>
              <w:rPr>
                <w:spacing w:val="-13"/>
                <w:sz w:val="20"/>
              </w:rPr>
              <w:t> </w:t>
            </w:r>
            <w:r>
              <w:rPr>
                <w:sz w:val="20"/>
              </w:rPr>
              <w:t>A16.16.017.005, A16.16.017.009,</w:t>
            </w:r>
            <w:r>
              <w:rPr>
                <w:spacing w:val="-10"/>
                <w:sz w:val="20"/>
              </w:rPr>
              <w:t> </w:t>
            </w:r>
            <w:r>
              <w:rPr>
                <w:spacing w:val="-2"/>
                <w:sz w:val="20"/>
              </w:rPr>
              <w:t>A16.16.026.001,</w:t>
            </w:r>
          </w:p>
          <w:p>
            <w:pPr>
              <w:pStyle w:val="TableParagraph"/>
              <w:spacing w:line="228" w:lineRule="exact"/>
              <w:ind w:left="835" w:right="814" w:firstLine="2"/>
              <w:jc w:val="center"/>
              <w:rPr>
                <w:sz w:val="20"/>
              </w:rPr>
            </w:pPr>
            <w:r>
              <w:rPr>
                <w:sz w:val="20"/>
              </w:rPr>
              <w:t>A16.16.027, A16.16.028, A16.16.028.002,</w:t>
            </w:r>
            <w:r>
              <w:rPr>
                <w:spacing w:val="-13"/>
                <w:sz w:val="20"/>
              </w:rPr>
              <w:t> </w:t>
            </w:r>
            <w:r>
              <w:rPr>
                <w:sz w:val="20"/>
              </w:rPr>
              <w:t>A16.16.034.001,</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4,27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968"/>
        <w:gridCol w:w="3427"/>
        <w:gridCol w:w="4391"/>
        <w:gridCol w:w="1573"/>
        <w:gridCol w:w="1260"/>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968" w:type="dxa"/>
          </w:tcPr>
          <w:p>
            <w:pPr>
              <w:pStyle w:val="TableParagraph"/>
              <w:rPr>
                <w:sz w:val="18"/>
              </w:rPr>
            </w:pPr>
          </w:p>
        </w:tc>
        <w:tc>
          <w:tcPr>
            <w:tcW w:w="3427" w:type="dxa"/>
          </w:tcPr>
          <w:p>
            <w:pPr>
              <w:pStyle w:val="TableParagraph"/>
              <w:rPr>
                <w:sz w:val="18"/>
              </w:rPr>
            </w:pPr>
          </w:p>
        </w:tc>
        <w:tc>
          <w:tcPr>
            <w:tcW w:w="4391" w:type="dxa"/>
          </w:tcPr>
          <w:p>
            <w:pPr>
              <w:pStyle w:val="TableParagraph"/>
              <w:ind w:left="1034" w:right="1011" w:firstLine="151"/>
              <w:rPr>
                <w:sz w:val="20"/>
              </w:rPr>
            </w:pPr>
            <w:r>
              <w:rPr>
                <w:sz w:val="20"/>
              </w:rPr>
              <w:t>A16.16.036, A16.16.040, A16.16.040.001,</w:t>
            </w:r>
            <w:r>
              <w:rPr>
                <w:spacing w:val="-13"/>
                <w:sz w:val="20"/>
              </w:rPr>
              <w:t> </w:t>
            </w:r>
            <w:r>
              <w:rPr>
                <w:sz w:val="20"/>
              </w:rPr>
              <w:t>A16.16.050</w:t>
            </w:r>
          </w:p>
        </w:tc>
        <w:tc>
          <w:tcPr>
            <w:tcW w:w="1573" w:type="dxa"/>
          </w:tcPr>
          <w:p>
            <w:pPr>
              <w:pStyle w:val="TableParagraph"/>
              <w:rPr>
                <w:sz w:val="18"/>
              </w:rPr>
            </w:pPr>
          </w:p>
        </w:tc>
        <w:tc>
          <w:tcPr>
            <w:tcW w:w="1260" w:type="dxa"/>
          </w:tcPr>
          <w:p>
            <w:pPr>
              <w:pStyle w:val="TableParagraph"/>
              <w:rPr>
                <w:sz w:val="18"/>
              </w:rPr>
            </w:pPr>
          </w:p>
        </w:tc>
      </w:tr>
      <w:tr>
        <w:trPr>
          <w:trHeight w:val="1020" w:hRule="atLeast"/>
        </w:trPr>
        <w:tc>
          <w:tcPr>
            <w:tcW w:w="946" w:type="dxa"/>
          </w:tcPr>
          <w:p>
            <w:pPr>
              <w:pStyle w:val="TableParagraph"/>
              <w:spacing w:before="45"/>
              <w:ind w:left="50"/>
              <w:rPr>
                <w:sz w:val="20"/>
              </w:rPr>
            </w:pPr>
            <w:r>
              <w:rPr>
                <w:spacing w:val="-2"/>
                <w:sz w:val="20"/>
              </w:rPr>
              <w:t>st19.021</w:t>
            </w:r>
          </w:p>
        </w:tc>
        <w:tc>
          <w:tcPr>
            <w:tcW w:w="707" w:type="dxa"/>
          </w:tcPr>
          <w:p>
            <w:pPr>
              <w:pStyle w:val="TableParagraph"/>
              <w:spacing w:before="45"/>
              <w:ind w:left="210"/>
              <w:rPr>
                <w:sz w:val="20"/>
              </w:rPr>
            </w:pPr>
            <w:r>
              <w:rPr>
                <w:spacing w:val="-5"/>
                <w:sz w:val="20"/>
              </w:rPr>
              <w:t>150</w:t>
            </w:r>
          </w:p>
        </w:tc>
        <w:tc>
          <w:tcPr>
            <w:tcW w:w="2968" w:type="dxa"/>
          </w:tcPr>
          <w:p>
            <w:pPr>
              <w:pStyle w:val="TableParagraph"/>
              <w:spacing w:before="45"/>
              <w:ind w:left="192" w:right="580"/>
              <w:rPr>
                <w:sz w:val="20"/>
              </w:rPr>
            </w:pPr>
            <w:r>
              <w:rPr>
                <w:sz w:val="20"/>
              </w:rPr>
              <w:t>Другие</w:t>
            </w:r>
            <w:r>
              <w:rPr>
                <w:spacing w:val="-13"/>
                <w:sz w:val="20"/>
              </w:rPr>
              <w:t> </w:t>
            </w:r>
            <w:r>
              <w:rPr>
                <w:sz w:val="20"/>
              </w:rPr>
              <w:t>операции</w:t>
            </w:r>
            <w:r>
              <w:rPr>
                <w:spacing w:val="-12"/>
                <w:sz w:val="20"/>
              </w:rPr>
              <w:t> </w:t>
            </w:r>
            <w:r>
              <w:rPr>
                <w:sz w:val="20"/>
              </w:rPr>
              <w:t>при </w:t>
            </w:r>
            <w:r>
              <w:rPr>
                <w:spacing w:val="-2"/>
                <w:sz w:val="20"/>
              </w:rPr>
              <w:t>злокачественном новообразовании </w:t>
            </w:r>
            <w:r>
              <w:rPr>
                <w:sz w:val="20"/>
              </w:rPr>
              <w:t>брюшной полости</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firstLine="1"/>
              <w:jc w:val="center"/>
              <w:rPr>
                <w:sz w:val="20"/>
              </w:rPr>
            </w:pPr>
            <w:r>
              <w:rPr>
                <w:sz w:val="20"/>
              </w:rPr>
              <w:t>A16.30.025.005, A16.30.038, A16.30.040,</w:t>
            </w:r>
            <w:r>
              <w:rPr>
                <w:spacing w:val="-13"/>
                <w:sz w:val="20"/>
              </w:rPr>
              <w:t> </w:t>
            </w:r>
            <w:r>
              <w:rPr>
                <w:sz w:val="20"/>
              </w:rPr>
              <w:t>A16.30.047,</w:t>
            </w:r>
            <w:r>
              <w:rPr>
                <w:spacing w:val="-12"/>
                <w:sz w:val="20"/>
              </w:rPr>
              <w:t> </w:t>
            </w:r>
            <w:r>
              <w:rPr>
                <w:sz w:val="20"/>
              </w:rPr>
              <w:t>A16.30.051, </w:t>
            </w:r>
            <w:r>
              <w:rPr>
                <w:spacing w:val="-2"/>
                <w:sz w:val="20"/>
              </w:rPr>
              <w:t>A16.30.051.001</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3,66</w:t>
            </w:r>
          </w:p>
        </w:tc>
      </w:tr>
      <w:tr>
        <w:trPr>
          <w:trHeight w:val="2169" w:hRule="atLeast"/>
        </w:trPr>
        <w:tc>
          <w:tcPr>
            <w:tcW w:w="946" w:type="dxa"/>
          </w:tcPr>
          <w:p>
            <w:pPr>
              <w:pStyle w:val="TableParagraph"/>
              <w:spacing w:before="45"/>
              <w:ind w:left="50"/>
              <w:rPr>
                <w:sz w:val="20"/>
              </w:rPr>
            </w:pPr>
            <w:r>
              <w:rPr>
                <w:spacing w:val="-2"/>
                <w:sz w:val="20"/>
              </w:rPr>
              <w:t>st19.022</w:t>
            </w:r>
          </w:p>
        </w:tc>
        <w:tc>
          <w:tcPr>
            <w:tcW w:w="707" w:type="dxa"/>
          </w:tcPr>
          <w:p>
            <w:pPr>
              <w:pStyle w:val="TableParagraph"/>
              <w:spacing w:before="45"/>
              <w:ind w:left="210"/>
              <w:rPr>
                <w:sz w:val="20"/>
              </w:rPr>
            </w:pPr>
            <w:r>
              <w:rPr>
                <w:spacing w:val="-5"/>
                <w:sz w:val="20"/>
              </w:rPr>
              <w:t>151</w:t>
            </w:r>
          </w:p>
        </w:tc>
        <w:tc>
          <w:tcPr>
            <w:tcW w:w="2968" w:type="dxa"/>
          </w:tcPr>
          <w:p>
            <w:pPr>
              <w:pStyle w:val="TableParagraph"/>
              <w:spacing w:before="45"/>
              <w:ind w:left="192" w:right="580"/>
              <w:rPr>
                <w:sz w:val="20"/>
              </w:rPr>
            </w:pPr>
            <w:r>
              <w:rPr>
                <w:sz w:val="20"/>
              </w:rPr>
              <w:t>Операции на органе слуха, придаточных пазухах</w:t>
            </w:r>
            <w:r>
              <w:rPr>
                <w:spacing w:val="-3"/>
                <w:sz w:val="20"/>
              </w:rPr>
              <w:t> </w:t>
            </w:r>
            <w:r>
              <w:rPr>
                <w:sz w:val="20"/>
              </w:rPr>
              <w:t>носа</w:t>
            </w:r>
            <w:r>
              <w:rPr>
                <w:spacing w:val="-2"/>
                <w:sz w:val="20"/>
              </w:rPr>
              <w:t> </w:t>
            </w:r>
            <w:r>
              <w:rPr>
                <w:sz w:val="20"/>
              </w:rPr>
              <w:t>и</w:t>
            </w:r>
            <w:r>
              <w:rPr>
                <w:spacing w:val="-3"/>
                <w:sz w:val="20"/>
              </w:rPr>
              <w:t> </w:t>
            </w:r>
            <w:r>
              <w:rPr>
                <w:sz w:val="20"/>
              </w:rPr>
              <w:t>верхних дыхательных</w:t>
            </w:r>
            <w:r>
              <w:rPr>
                <w:spacing w:val="-13"/>
                <w:sz w:val="20"/>
              </w:rPr>
              <w:t> </w:t>
            </w:r>
            <w:r>
              <w:rPr>
                <w:sz w:val="20"/>
              </w:rPr>
              <w:t>путях</w:t>
            </w:r>
            <w:r>
              <w:rPr>
                <w:spacing w:val="-12"/>
                <w:sz w:val="20"/>
              </w:rPr>
              <w:t> </w:t>
            </w:r>
            <w:r>
              <w:rPr>
                <w:sz w:val="20"/>
              </w:rPr>
              <w:t>при </w:t>
            </w:r>
            <w:r>
              <w:rPr>
                <w:spacing w:val="-2"/>
                <w:sz w:val="20"/>
              </w:rPr>
              <w:t>злокачественных новообразованиях</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jc w:val="center"/>
              <w:rPr>
                <w:sz w:val="20"/>
              </w:rPr>
            </w:pPr>
            <w:r>
              <w:rPr>
                <w:sz w:val="20"/>
              </w:rPr>
              <w:t>A16.08.024,</w:t>
            </w:r>
            <w:r>
              <w:rPr>
                <w:spacing w:val="-13"/>
                <w:sz w:val="20"/>
              </w:rPr>
              <w:t> </w:t>
            </w:r>
            <w:r>
              <w:rPr>
                <w:sz w:val="20"/>
              </w:rPr>
              <w:t>A16.08.028,</w:t>
            </w:r>
            <w:r>
              <w:rPr>
                <w:spacing w:val="-12"/>
                <w:sz w:val="20"/>
              </w:rPr>
              <w:t> </w:t>
            </w:r>
            <w:r>
              <w:rPr>
                <w:sz w:val="20"/>
              </w:rPr>
              <w:t>A16.08.032, A16.08.032.005, A16.08.036, A16.08.036.001, A16.08.037, A16.08.037.003, A16.08.040, A16.08.040.001, A16.08.052, A16.08.052.001, A16.08.054.001, A16.08.056, A16.08.064, A22.08.013.001, A22.08.013.002, </w:t>
            </w:r>
            <w:r>
              <w:rPr>
                <w:spacing w:val="-2"/>
                <w:sz w:val="20"/>
              </w:rPr>
              <w:t>A22.08.013.003</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2,81</w:t>
            </w:r>
          </w:p>
        </w:tc>
      </w:tr>
      <w:tr>
        <w:trPr>
          <w:trHeight w:val="1710" w:hRule="atLeast"/>
        </w:trPr>
        <w:tc>
          <w:tcPr>
            <w:tcW w:w="946" w:type="dxa"/>
          </w:tcPr>
          <w:p>
            <w:pPr>
              <w:pStyle w:val="TableParagraph"/>
              <w:spacing w:before="45"/>
              <w:ind w:left="50"/>
              <w:rPr>
                <w:sz w:val="20"/>
              </w:rPr>
            </w:pPr>
            <w:r>
              <w:rPr>
                <w:spacing w:val="-2"/>
                <w:sz w:val="20"/>
              </w:rPr>
              <w:t>st19.023</w:t>
            </w:r>
          </w:p>
        </w:tc>
        <w:tc>
          <w:tcPr>
            <w:tcW w:w="707" w:type="dxa"/>
          </w:tcPr>
          <w:p>
            <w:pPr>
              <w:pStyle w:val="TableParagraph"/>
              <w:spacing w:before="45"/>
              <w:ind w:left="210"/>
              <w:rPr>
                <w:sz w:val="20"/>
              </w:rPr>
            </w:pPr>
            <w:r>
              <w:rPr>
                <w:spacing w:val="-5"/>
                <w:sz w:val="20"/>
              </w:rPr>
              <w:t>152</w:t>
            </w:r>
          </w:p>
        </w:tc>
        <w:tc>
          <w:tcPr>
            <w:tcW w:w="2968" w:type="dxa"/>
          </w:tcPr>
          <w:p>
            <w:pPr>
              <w:pStyle w:val="TableParagraph"/>
              <w:spacing w:before="45"/>
              <w:ind w:left="192" w:right="580"/>
              <w:rPr>
                <w:sz w:val="20"/>
              </w:rPr>
            </w:pPr>
            <w:r>
              <w:rPr>
                <w:sz w:val="20"/>
              </w:rPr>
              <w:t>Операции</w:t>
            </w:r>
            <w:r>
              <w:rPr>
                <w:spacing w:val="-13"/>
                <w:sz w:val="20"/>
              </w:rPr>
              <w:t> </w:t>
            </w:r>
            <w:r>
              <w:rPr>
                <w:sz w:val="20"/>
              </w:rPr>
              <w:t>на</w:t>
            </w:r>
            <w:r>
              <w:rPr>
                <w:spacing w:val="-12"/>
                <w:sz w:val="20"/>
              </w:rPr>
              <w:t> </w:t>
            </w:r>
            <w:r>
              <w:rPr>
                <w:sz w:val="20"/>
              </w:rPr>
              <w:t>нижних дыхательных</w:t>
            </w:r>
            <w:r>
              <w:rPr>
                <w:spacing w:val="-13"/>
                <w:sz w:val="20"/>
              </w:rPr>
              <w:t> </w:t>
            </w:r>
            <w:r>
              <w:rPr>
                <w:sz w:val="20"/>
              </w:rPr>
              <w:t>путях</w:t>
            </w:r>
            <w:r>
              <w:rPr>
                <w:spacing w:val="-12"/>
                <w:sz w:val="20"/>
              </w:rPr>
              <w:t> </w:t>
            </w:r>
            <w:r>
              <w:rPr>
                <w:sz w:val="20"/>
              </w:rPr>
              <w:t>и легочной ткани при </w:t>
            </w:r>
            <w:r>
              <w:rPr>
                <w:spacing w:val="-2"/>
                <w:sz w:val="20"/>
              </w:rPr>
              <w:t>злокачественных новообразованиях </w:t>
            </w:r>
            <w:r>
              <w:rPr>
                <w:sz w:val="20"/>
              </w:rPr>
              <w:t>(уровень 1)</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jc w:val="center"/>
              <w:rPr>
                <w:sz w:val="20"/>
              </w:rPr>
            </w:pPr>
            <w:r>
              <w:rPr>
                <w:sz w:val="20"/>
              </w:rPr>
              <w:t>A16.09.004.001, A16.09.007.003, A16.09.008,</w:t>
            </w:r>
            <w:r>
              <w:rPr>
                <w:spacing w:val="-13"/>
                <w:sz w:val="20"/>
              </w:rPr>
              <w:t> </w:t>
            </w:r>
            <w:r>
              <w:rPr>
                <w:sz w:val="20"/>
              </w:rPr>
              <w:t>A16.09.009,</w:t>
            </w:r>
            <w:r>
              <w:rPr>
                <w:spacing w:val="-12"/>
                <w:sz w:val="20"/>
              </w:rPr>
              <w:t> </w:t>
            </w:r>
            <w:r>
              <w:rPr>
                <w:sz w:val="20"/>
              </w:rPr>
              <w:t>A16.09.013, A16.09.013.006, A16.09.015, A16.09.016, A16.09.016.005, A16.09.016.006, A16.09.037, A16.09.037.001, A22.08.008, </w:t>
            </w:r>
            <w:r>
              <w:rPr>
                <w:spacing w:val="-2"/>
                <w:sz w:val="20"/>
              </w:rPr>
              <w:t>A22.09.003.004</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3,42</w:t>
            </w:r>
          </w:p>
        </w:tc>
      </w:tr>
      <w:tr>
        <w:trPr>
          <w:trHeight w:val="1710" w:hRule="atLeast"/>
        </w:trPr>
        <w:tc>
          <w:tcPr>
            <w:tcW w:w="946" w:type="dxa"/>
          </w:tcPr>
          <w:p>
            <w:pPr>
              <w:pStyle w:val="TableParagraph"/>
              <w:spacing w:before="46"/>
              <w:ind w:left="50"/>
              <w:rPr>
                <w:sz w:val="20"/>
              </w:rPr>
            </w:pPr>
            <w:r>
              <w:rPr>
                <w:spacing w:val="-2"/>
                <w:sz w:val="20"/>
              </w:rPr>
              <w:t>st19.024</w:t>
            </w:r>
          </w:p>
        </w:tc>
        <w:tc>
          <w:tcPr>
            <w:tcW w:w="707" w:type="dxa"/>
          </w:tcPr>
          <w:p>
            <w:pPr>
              <w:pStyle w:val="TableParagraph"/>
              <w:spacing w:before="46"/>
              <w:ind w:left="210"/>
              <w:rPr>
                <w:sz w:val="20"/>
              </w:rPr>
            </w:pPr>
            <w:r>
              <w:rPr>
                <w:spacing w:val="-5"/>
                <w:sz w:val="20"/>
              </w:rPr>
              <w:t>153</w:t>
            </w:r>
          </w:p>
        </w:tc>
        <w:tc>
          <w:tcPr>
            <w:tcW w:w="2968" w:type="dxa"/>
          </w:tcPr>
          <w:p>
            <w:pPr>
              <w:pStyle w:val="TableParagraph"/>
              <w:spacing w:before="46"/>
              <w:ind w:left="192" w:right="580"/>
              <w:rPr>
                <w:sz w:val="20"/>
              </w:rPr>
            </w:pPr>
            <w:r>
              <w:rPr>
                <w:sz w:val="20"/>
              </w:rPr>
              <w:t>Операции</w:t>
            </w:r>
            <w:r>
              <w:rPr>
                <w:spacing w:val="-13"/>
                <w:sz w:val="20"/>
              </w:rPr>
              <w:t> </w:t>
            </w:r>
            <w:r>
              <w:rPr>
                <w:sz w:val="20"/>
              </w:rPr>
              <w:t>на</w:t>
            </w:r>
            <w:r>
              <w:rPr>
                <w:spacing w:val="-12"/>
                <w:sz w:val="20"/>
              </w:rPr>
              <w:t> </w:t>
            </w:r>
            <w:r>
              <w:rPr>
                <w:sz w:val="20"/>
              </w:rPr>
              <w:t>нижних дыхательных</w:t>
            </w:r>
            <w:r>
              <w:rPr>
                <w:spacing w:val="-13"/>
                <w:sz w:val="20"/>
              </w:rPr>
              <w:t> </w:t>
            </w:r>
            <w:r>
              <w:rPr>
                <w:sz w:val="20"/>
              </w:rPr>
              <w:t>путях</w:t>
            </w:r>
            <w:r>
              <w:rPr>
                <w:spacing w:val="-12"/>
                <w:sz w:val="20"/>
              </w:rPr>
              <w:t> </w:t>
            </w:r>
            <w:r>
              <w:rPr>
                <w:sz w:val="20"/>
              </w:rPr>
              <w:t>и легочной ткани при </w:t>
            </w:r>
            <w:r>
              <w:rPr>
                <w:spacing w:val="-2"/>
                <w:sz w:val="20"/>
              </w:rPr>
              <w:t>злокачественных новообразованиях </w:t>
            </w:r>
            <w:r>
              <w:rPr>
                <w:sz w:val="20"/>
              </w:rPr>
              <w:t>(уровень 2)</w:t>
            </w:r>
          </w:p>
        </w:tc>
        <w:tc>
          <w:tcPr>
            <w:tcW w:w="3427" w:type="dxa"/>
          </w:tcPr>
          <w:p>
            <w:pPr>
              <w:pStyle w:val="TableParagraph"/>
              <w:spacing w:before="46"/>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6"/>
              <w:ind w:left="662" w:right="644"/>
              <w:jc w:val="center"/>
              <w:rPr>
                <w:sz w:val="20"/>
              </w:rPr>
            </w:pPr>
            <w:r>
              <w:rPr>
                <w:sz w:val="20"/>
              </w:rPr>
              <w:t>A16.09.007, A16.09.009.005, A16.09.009.006, A16.09.009.007, A16.09.009.008, A16.09.009.009, A16.09.013.002, A16.09.013.003, A16.09.014, A16.09.014.002, A16.09.014.004, A16.09.014.005, A16.09.025,</w:t>
            </w:r>
            <w:r>
              <w:rPr>
                <w:spacing w:val="-13"/>
                <w:sz w:val="20"/>
              </w:rPr>
              <w:t> </w:t>
            </w:r>
            <w:r>
              <w:rPr>
                <w:sz w:val="20"/>
              </w:rPr>
              <w:t>A16.09.038,</w:t>
            </w:r>
            <w:r>
              <w:rPr>
                <w:spacing w:val="-12"/>
                <w:sz w:val="20"/>
              </w:rPr>
              <w:t> </w:t>
            </w:r>
            <w:r>
              <w:rPr>
                <w:sz w:val="20"/>
              </w:rPr>
              <w:t>A16.09.039</w:t>
            </w:r>
          </w:p>
        </w:tc>
        <w:tc>
          <w:tcPr>
            <w:tcW w:w="1573" w:type="dxa"/>
          </w:tcPr>
          <w:p>
            <w:pPr>
              <w:pStyle w:val="TableParagraph"/>
              <w:spacing w:before="46"/>
              <w:ind w:left="647"/>
              <w:rPr>
                <w:sz w:val="20"/>
              </w:rPr>
            </w:pPr>
            <w:r>
              <w:rPr>
                <w:w w:val="99"/>
                <w:sz w:val="20"/>
              </w:rPr>
              <w:t>-</w:t>
            </w:r>
          </w:p>
        </w:tc>
        <w:tc>
          <w:tcPr>
            <w:tcW w:w="1260" w:type="dxa"/>
          </w:tcPr>
          <w:p>
            <w:pPr>
              <w:pStyle w:val="TableParagraph"/>
              <w:spacing w:before="46"/>
              <w:ind w:right="46"/>
              <w:jc w:val="right"/>
              <w:rPr>
                <w:sz w:val="20"/>
              </w:rPr>
            </w:pPr>
            <w:r>
              <w:rPr>
                <w:spacing w:val="-4"/>
                <w:sz w:val="20"/>
              </w:rPr>
              <w:t>5,31</w:t>
            </w:r>
          </w:p>
        </w:tc>
      </w:tr>
      <w:tr>
        <w:trPr>
          <w:trHeight w:val="1193" w:hRule="atLeast"/>
        </w:trPr>
        <w:tc>
          <w:tcPr>
            <w:tcW w:w="946" w:type="dxa"/>
          </w:tcPr>
          <w:p>
            <w:pPr>
              <w:pStyle w:val="TableParagraph"/>
              <w:spacing w:before="45"/>
              <w:ind w:left="50"/>
              <w:rPr>
                <w:sz w:val="20"/>
              </w:rPr>
            </w:pPr>
            <w:r>
              <w:rPr>
                <w:spacing w:val="-2"/>
                <w:sz w:val="20"/>
              </w:rPr>
              <w:t>st19.025</w:t>
            </w:r>
          </w:p>
        </w:tc>
        <w:tc>
          <w:tcPr>
            <w:tcW w:w="707" w:type="dxa"/>
          </w:tcPr>
          <w:p>
            <w:pPr>
              <w:pStyle w:val="TableParagraph"/>
              <w:spacing w:before="45"/>
              <w:ind w:left="210"/>
              <w:rPr>
                <w:sz w:val="20"/>
              </w:rPr>
            </w:pPr>
            <w:r>
              <w:rPr>
                <w:spacing w:val="-5"/>
                <w:sz w:val="20"/>
              </w:rPr>
              <w:t>154</w:t>
            </w:r>
          </w:p>
        </w:tc>
        <w:tc>
          <w:tcPr>
            <w:tcW w:w="2968" w:type="dxa"/>
          </w:tcPr>
          <w:p>
            <w:pPr>
              <w:pStyle w:val="TableParagraph"/>
              <w:spacing w:before="45"/>
              <w:ind w:left="192" w:right="580"/>
              <w:rPr>
                <w:sz w:val="20"/>
              </w:rPr>
            </w:pPr>
            <w:r>
              <w:rPr>
                <w:sz w:val="20"/>
              </w:rPr>
              <w:t>Операции при </w:t>
            </w:r>
            <w:r>
              <w:rPr>
                <w:spacing w:val="-2"/>
                <w:sz w:val="20"/>
              </w:rPr>
              <w:t>злокачественных новообразованиях</w:t>
            </w:r>
          </w:p>
          <w:p>
            <w:pPr>
              <w:pStyle w:val="TableParagraph"/>
              <w:spacing w:line="228" w:lineRule="exact"/>
              <w:ind w:left="192" w:right="580"/>
              <w:rPr>
                <w:sz w:val="20"/>
              </w:rPr>
            </w:pPr>
            <w:r>
              <w:rPr>
                <w:sz w:val="20"/>
              </w:rPr>
              <w:t>мужских половых органов</w:t>
            </w:r>
            <w:r>
              <w:rPr>
                <w:spacing w:val="-13"/>
                <w:sz w:val="20"/>
              </w:rPr>
              <w:t> </w:t>
            </w:r>
            <w:r>
              <w:rPr>
                <w:sz w:val="20"/>
              </w:rPr>
              <w:t>(уровень</w:t>
            </w:r>
            <w:r>
              <w:rPr>
                <w:spacing w:val="-12"/>
                <w:sz w:val="20"/>
              </w:rPr>
              <w:t> </w:t>
            </w:r>
            <w:r>
              <w:rPr>
                <w:sz w:val="20"/>
              </w:rPr>
              <w:t>1)</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89"/>
              <w:rPr>
                <w:sz w:val="20"/>
              </w:rPr>
            </w:pPr>
            <w:r>
              <w:rPr>
                <w:sz w:val="20"/>
              </w:rPr>
              <w:t>A16.21.008,</w:t>
            </w:r>
            <w:r>
              <w:rPr>
                <w:spacing w:val="-9"/>
                <w:sz w:val="20"/>
              </w:rPr>
              <w:t> </w:t>
            </w:r>
            <w:r>
              <w:rPr>
                <w:sz w:val="20"/>
              </w:rPr>
              <w:t>A16.21.036,</w:t>
            </w:r>
            <w:r>
              <w:rPr>
                <w:spacing w:val="-10"/>
                <w:sz w:val="20"/>
              </w:rPr>
              <w:t> </w:t>
            </w:r>
            <w:r>
              <w:rPr>
                <w:spacing w:val="-2"/>
                <w:sz w:val="20"/>
              </w:rPr>
              <w:t>A16.21.042</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2,86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68"/>
        <w:gridCol w:w="3414"/>
        <w:gridCol w:w="3737"/>
        <w:gridCol w:w="2624"/>
        <w:gridCol w:w="780"/>
      </w:tblGrid>
      <w:tr>
        <w:trPr>
          <w:trHeight w:val="1424" w:hRule="atLeast"/>
        </w:trPr>
        <w:tc>
          <w:tcPr>
            <w:tcW w:w="946" w:type="dxa"/>
          </w:tcPr>
          <w:p>
            <w:pPr>
              <w:pStyle w:val="TableParagraph"/>
              <w:spacing w:line="221" w:lineRule="exact"/>
              <w:ind w:left="50"/>
              <w:rPr>
                <w:sz w:val="20"/>
              </w:rPr>
            </w:pPr>
            <w:r>
              <w:rPr>
                <w:spacing w:val="-2"/>
                <w:sz w:val="20"/>
              </w:rPr>
              <w:t>st19.026</w:t>
            </w:r>
          </w:p>
        </w:tc>
        <w:tc>
          <w:tcPr>
            <w:tcW w:w="707" w:type="dxa"/>
          </w:tcPr>
          <w:p>
            <w:pPr>
              <w:pStyle w:val="TableParagraph"/>
              <w:spacing w:line="221" w:lineRule="exact"/>
              <w:ind w:left="210"/>
              <w:rPr>
                <w:sz w:val="20"/>
              </w:rPr>
            </w:pPr>
            <w:r>
              <w:rPr>
                <w:spacing w:val="-5"/>
                <w:sz w:val="20"/>
              </w:rPr>
              <w:t>155</w:t>
            </w:r>
          </w:p>
        </w:tc>
        <w:tc>
          <w:tcPr>
            <w:tcW w:w="3068" w:type="dxa"/>
          </w:tcPr>
          <w:p>
            <w:pPr>
              <w:pStyle w:val="TableParagraph"/>
              <w:ind w:left="192" w:right="680"/>
              <w:rPr>
                <w:sz w:val="20"/>
              </w:rPr>
            </w:pPr>
            <w:r>
              <w:rPr>
                <w:sz w:val="20"/>
              </w:rPr>
              <w:t>Операции при </w:t>
            </w:r>
            <w:r>
              <w:rPr>
                <w:spacing w:val="-2"/>
                <w:sz w:val="20"/>
              </w:rPr>
              <w:t>злокачественных новообразованиях </w:t>
            </w:r>
            <w:r>
              <w:rPr>
                <w:sz w:val="20"/>
              </w:rPr>
              <w:t>мужских половых органов</w:t>
            </w:r>
            <w:r>
              <w:rPr>
                <w:spacing w:val="-13"/>
                <w:sz w:val="20"/>
              </w:rPr>
              <w:t> </w:t>
            </w:r>
            <w:r>
              <w:rPr>
                <w:sz w:val="20"/>
              </w:rPr>
              <w:t>(уровень</w:t>
            </w:r>
            <w:r>
              <w:rPr>
                <w:spacing w:val="-12"/>
                <w:sz w:val="20"/>
              </w:rPr>
              <w:t> </w:t>
            </w:r>
            <w:r>
              <w:rPr>
                <w:sz w:val="20"/>
              </w:rPr>
              <w:t>2)</w:t>
            </w:r>
          </w:p>
        </w:tc>
        <w:tc>
          <w:tcPr>
            <w:tcW w:w="3414" w:type="dxa"/>
          </w:tcPr>
          <w:p>
            <w:pPr>
              <w:pStyle w:val="TableParagraph"/>
              <w:spacing w:line="221" w:lineRule="exact"/>
              <w:ind w:left="636" w:right="743"/>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37" w:type="dxa"/>
          </w:tcPr>
          <w:p>
            <w:pPr>
              <w:pStyle w:val="TableParagraph"/>
              <w:ind w:left="748" w:right="250" w:firstLine="3"/>
              <w:jc w:val="center"/>
              <w:rPr>
                <w:sz w:val="20"/>
              </w:rPr>
            </w:pPr>
            <w:r>
              <w:rPr>
                <w:sz w:val="20"/>
              </w:rPr>
              <w:t>A16.21.002, A16.21.002.001, A16.21.005, A16.21.006, A16.21.006.001,</w:t>
            </w:r>
            <w:r>
              <w:rPr>
                <w:spacing w:val="-13"/>
                <w:sz w:val="20"/>
              </w:rPr>
              <w:t> </w:t>
            </w:r>
            <w:r>
              <w:rPr>
                <w:sz w:val="20"/>
              </w:rPr>
              <w:t>A16.21.006.002, A16.21.006.003,</w:t>
            </w:r>
            <w:r>
              <w:rPr>
                <w:spacing w:val="-13"/>
                <w:sz w:val="20"/>
              </w:rPr>
              <w:t> </w:t>
            </w:r>
            <w:r>
              <w:rPr>
                <w:sz w:val="20"/>
              </w:rPr>
              <w:t>A16.21.006.004, A16.21.006.005, A16.21.030, A16.21.046, A16.28.063</w:t>
            </w:r>
          </w:p>
        </w:tc>
        <w:tc>
          <w:tcPr>
            <w:tcW w:w="2624" w:type="dxa"/>
          </w:tcPr>
          <w:p>
            <w:pPr>
              <w:pStyle w:val="TableParagraph"/>
              <w:spacing w:line="221" w:lineRule="exact"/>
              <w:ind w:left="1214"/>
              <w:rPr>
                <w:sz w:val="20"/>
              </w:rPr>
            </w:pPr>
            <w:r>
              <w:rPr>
                <w:w w:val="99"/>
                <w:sz w:val="20"/>
              </w:rPr>
              <w:t>-</w:t>
            </w:r>
          </w:p>
        </w:tc>
        <w:tc>
          <w:tcPr>
            <w:tcW w:w="780" w:type="dxa"/>
          </w:tcPr>
          <w:p>
            <w:pPr>
              <w:pStyle w:val="TableParagraph"/>
              <w:spacing w:line="221" w:lineRule="exact"/>
              <w:ind w:right="50"/>
              <w:jc w:val="right"/>
              <w:rPr>
                <w:sz w:val="20"/>
              </w:rPr>
            </w:pPr>
            <w:r>
              <w:rPr>
                <w:spacing w:val="-4"/>
                <w:sz w:val="20"/>
              </w:rPr>
              <w:t>4,31</w:t>
            </w:r>
          </w:p>
        </w:tc>
      </w:tr>
      <w:tr>
        <w:trPr>
          <w:trHeight w:val="1481" w:hRule="atLeast"/>
        </w:trPr>
        <w:tc>
          <w:tcPr>
            <w:tcW w:w="946" w:type="dxa"/>
          </w:tcPr>
          <w:p>
            <w:pPr>
              <w:pStyle w:val="TableParagraph"/>
              <w:spacing w:before="45"/>
              <w:ind w:left="50"/>
              <w:rPr>
                <w:sz w:val="20"/>
              </w:rPr>
            </w:pPr>
            <w:r>
              <w:rPr>
                <w:spacing w:val="-2"/>
                <w:sz w:val="20"/>
              </w:rPr>
              <w:t>st19.037</w:t>
            </w:r>
          </w:p>
        </w:tc>
        <w:tc>
          <w:tcPr>
            <w:tcW w:w="707" w:type="dxa"/>
          </w:tcPr>
          <w:p>
            <w:pPr>
              <w:pStyle w:val="TableParagraph"/>
              <w:spacing w:before="45"/>
              <w:ind w:left="210"/>
              <w:rPr>
                <w:sz w:val="20"/>
              </w:rPr>
            </w:pPr>
            <w:r>
              <w:rPr>
                <w:spacing w:val="-5"/>
                <w:sz w:val="20"/>
              </w:rPr>
              <w:t>156</w:t>
            </w:r>
          </w:p>
        </w:tc>
        <w:tc>
          <w:tcPr>
            <w:tcW w:w="3068" w:type="dxa"/>
          </w:tcPr>
          <w:p>
            <w:pPr>
              <w:pStyle w:val="TableParagraph"/>
              <w:spacing w:before="45"/>
              <w:ind w:left="192" w:right="640"/>
              <w:rPr>
                <w:sz w:val="20"/>
              </w:rPr>
            </w:pPr>
            <w:r>
              <w:rPr>
                <w:sz w:val="20"/>
              </w:rPr>
              <w:t>Фебрильная</w:t>
            </w:r>
            <w:r>
              <w:rPr>
                <w:spacing w:val="-13"/>
                <w:sz w:val="20"/>
              </w:rPr>
              <w:t> </w:t>
            </w:r>
            <w:r>
              <w:rPr>
                <w:sz w:val="20"/>
              </w:rPr>
              <w:t>нейтропения, агранулоцитоз</w:t>
            </w:r>
            <w:r>
              <w:rPr>
                <w:spacing w:val="-13"/>
                <w:sz w:val="20"/>
              </w:rPr>
              <w:t> </w:t>
            </w:r>
            <w:r>
              <w:rPr>
                <w:sz w:val="20"/>
              </w:rPr>
              <w:t>вследствие </w:t>
            </w:r>
            <w:r>
              <w:rPr>
                <w:spacing w:val="-2"/>
                <w:sz w:val="20"/>
              </w:rPr>
              <w:t>проведения</w:t>
            </w:r>
            <w:r>
              <w:rPr>
                <w:spacing w:val="40"/>
                <w:sz w:val="20"/>
              </w:rPr>
              <w:t> </w:t>
            </w:r>
            <w:r>
              <w:rPr>
                <w:sz w:val="20"/>
              </w:rPr>
              <w:t>лекарственной терапии </w:t>
            </w:r>
            <w:r>
              <w:rPr>
                <w:spacing w:val="-2"/>
                <w:sz w:val="20"/>
              </w:rPr>
              <w:t>злокачественных новообразований</w:t>
            </w:r>
          </w:p>
        </w:tc>
        <w:tc>
          <w:tcPr>
            <w:tcW w:w="3414" w:type="dxa"/>
          </w:tcPr>
          <w:p>
            <w:pPr>
              <w:pStyle w:val="TableParagraph"/>
              <w:spacing w:before="45"/>
              <w:ind w:left="633" w:right="743"/>
              <w:jc w:val="center"/>
              <w:rPr>
                <w:sz w:val="20"/>
              </w:rPr>
            </w:pPr>
            <w:r>
              <w:rPr>
                <w:spacing w:val="-5"/>
                <w:sz w:val="20"/>
              </w:rPr>
              <w:t>C.</w:t>
            </w:r>
          </w:p>
        </w:tc>
        <w:tc>
          <w:tcPr>
            <w:tcW w:w="3737" w:type="dxa"/>
          </w:tcPr>
          <w:p>
            <w:pPr>
              <w:pStyle w:val="TableParagraph"/>
              <w:spacing w:before="45"/>
              <w:ind w:left="499"/>
              <w:jc w:val="center"/>
              <w:rPr>
                <w:sz w:val="20"/>
              </w:rPr>
            </w:pPr>
            <w:r>
              <w:rPr>
                <w:w w:val="99"/>
                <w:sz w:val="20"/>
              </w:rPr>
              <w:t>-</w:t>
            </w:r>
          </w:p>
        </w:tc>
        <w:tc>
          <w:tcPr>
            <w:tcW w:w="2624" w:type="dxa"/>
          </w:tcPr>
          <w:p>
            <w:pPr>
              <w:pStyle w:val="TableParagraph"/>
              <w:spacing w:before="45"/>
              <w:ind w:left="1075" w:right="382" w:hanging="809"/>
              <w:rPr>
                <w:sz w:val="20"/>
              </w:rPr>
            </w:pPr>
            <w:r>
              <w:rPr>
                <w:sz w:val="20"/>
              </w:rPr>
              <w:t>Диагнозы</w:t>
            </w:r>
            <w:r>
              <w:rPr>
                <w:spacing w:val="-13"/>
                <w:sz w:val="20"/>
              </w:rPr>
              <w:t> </w:t>
            </w:r>
            <w:r>
              <w:rPr>
                <w:sz w:val="20"/>
              </w:rPr>
              <w:t>осложнения: </w:t>
            </w:r>
            <w:r>
              <w:rPr>
                <w:spacing w:val="-4"/>
                <w:sz w:val="20"/>
              </w:rPr>
              <w:t>D70</w:t>
            </w:r>
          </w:p>
        </w:tc>
        <w:tc>
          <w:tcPr>
            <w:tcW w:w="780" w:type="dxa"/>
          </w:tcPr>
          <w:p>
            <w:pPr>
              <w:pStyle w:val="TableParagraph"/>
              <w:spacing w:before="45"/>
              <w:ind w:right="50"/>
              <w:jc w:val="right"/>
              <w:rPr>
                <w:sz w:val="20"/>
              </w:rPr>
            </w:pPr>
            <w:r>
              <w:rPr>
                <w:spacing w:val="-4"/>
                <w:sz w:val="20"/>
              </w:rPr>
              <w:t>2,93</w:t>
            </w:r>
          </w:p>
        </w:tc>
      </w:tr>
      <w:tr>
        <w:trPr>
          <w:trHeight w:val="1249" w:hRule="atLeast"/>
        </w:trPr>
        <w:tc>
          <w:tcPr>
            <w:tcW w:w="946" w:type="dxa"/>
          </w:tcPr>
          <w:p>
            <w:pPr>
              <w:pStyle w:val="TableParagraph"/>
              <w:spacing w:before="45"/>
              <w:ind w:left="50"/>
              <w:rPr>
                <w:sz w:val="20"/>
              </w:rPr>
            </w:pPr>
            <w:r>
              <w:rPr>
                <w:spacing w:val="-2"/>
                <w:sz w:val="20"/>
              </w:rPr>
              <w:t>st19.038</w:t>
            </w:r>
          </w:p>
        </w:tc>
        <w:tc>
          <w:tcPr>
            <w:tcW w:w="707" w:type="dxa"/>
          </w:tcPr>
          <w:p>
            <w:pPr>
              <w:pStyle w:val="TableParagraph"/>
              <w:spacing w:before="45"/>
              <w:ind w:left="210"/>
              <w:rPr>
                <w:sz w:val="20"/>
              </w:rPr>
            </w:pPr>
            <w:r>
              <w:rPr>
                <w:spacing w:val="-5"/>
                <w:sz w:val="20"/>
              </w:rPr>
              <w:t>157</w:t>
            </w:r>
          </w:p>
        </w:tc>
        <w:tc>
          <w:tcPr>
            <w:tcW w:w="3068" w:type="dxa"/>
          </w:tcPr>
          <w:p>
            <w:pPr>
              <w:pStyle w:val="TableParagraph"/>
              <w:spacing w:before="45"/>
              <w:ind w:left="192" w:right="680"/>
              <w:rPr>
                <w:sz w:val="20"/>
              </w:rPr>
            </w:pPr>
            <w:r>
              <w:rPr>
                <w:sz w:val="20"/>
              </w:rPr>
              <w:t>Установка,</w:t>
            </w:r>
            <w:r>
              <w:rPr>
                <w:spacing w:val="-13"/>
                <w:sz w:val="20"/>
              </w:rPr>
              <w:t> </w:t>
            </w:r>
            <w:r>
              <w:rPr>
                <w:sz w:val="20"/>
              </w:rPr>
              <w:t>замена</w:t>
            </w:r>
            <w:r>
              <w:rPr>
                <w:spacing w:val="-12"/>
                <w:sz w:val="20"/>
              </w:rPr>
              <w:t> </w:t>
            </w:r>
            <w:r>
              <w:rPr>
                <w:sz w:val="20"/>
              </w:rPr>
              <w:t>порт- системы (катетера) для лекарственной терапии </w:t>
            </w:r>
            <w:r>
              <w:rPr>
                <w:spacing w:val="-2"/>
                <w:sz w:val="20"/>
              </w:rPr>
              <w:t>злокачественных новообразований</w:t>
            </w:r>
          </w:p>
        </w:tc>
        <w:tc>
          <w:tcPr>
            <w:tcW w:w="3414" w:type="dxa"/>
          </w:tcPr>
          <w:p>
            <w:pPr>
              <w:pStyle w:val="TableParagraph"/>
              <w:spacing w:before="45"/>
              <w:ind w:left="636" w:right="743"/>
              <w:jc w:val="center"/>
              <w:rPr>
                <w:sz w:val="20"/>
              </w:rPr>
            </w:pPr>
            <w:r>
              <w:rPr>
                <w:sz w:val="20"/>
              </w:rPr>
              <w:t>C.,</w:t>
            </w:r>
            <w:r>
              <w:rPr>
                <w:spacing w:val="-8"/>
                <w:sz w:val="20"/>
              </w:rPr>
              <w:t> </w:t>
            </w:r>
            <w:r>
              <w:rPr>
                <w:sz w:val="20"/>
              </w:rPr>
              <w:t>D00-</w:t>
            </w:r>
            <w:r>
              <w:rPr>
                <w:spacing w:val="-5"/>
                <w:sz w:val="20"/>
              </w:rPr>
              <w:t>D09</w:t>
            </w:r>
          </w:p>
        </w:tc>
        <w:tc>
          <w:tcPr>
            <w:tcW w:w="3737" w:type="dxa"/>
          </w:tcPr>
          <w:p>
            <w:pPr>
              <w:pStyle w:val="TableParagraph"/>
              <w:spacing w:before="45"/>
              <w:ind w:left="984" w:right="487"/>
              <w:jc w:val="center"/>
              <w:rPr>
                <w:sz w:val="20"/>
              </w:rPr>
            </w:pPr>
            <w:r>
              <w:rPr>
                <w:spacing w:val="-2"/>
                <w:sz w:val="20"/>
              </w:rPr>
              <w:t>A11.12.001.002</w:t>
            </w:r>
          </w:p>
        </w:tc>
        <w:tc>
          <w:tcPr>
            <w:tcW w:w="2624" w:type="dxa"/>
          </w:tcPr>
          <w:p>
            <w:pPr>
              <w:pStyle w:val="TableParagraph"/>
              <w:spacing w:before="45"/>
              <w:ind w:left="1214"/>
              <w:rPr>
                <w:sz w:val="20"/>
              </w:rPr>
            </w:pPr>
            <w:r>
              <w:rPr>
                <w:w w:val="99"/>
                <w:sz w:val="20"/>
              </w:rPr>
              <w:t>-</w:t>
            </w:r>
          </w:p>
        </w:tc>
        <w:tc>
          <w:tcPr>
            <w:tcW w:w="780" w:type="dxa"/>
          </w:tcPr>
          <w:p>
            <w:pPr>
              <w:pStyle w:val="TableParagraph"/>
              <w:spacing w:before="45"/>
              <w:ind w:right="50"/>
              <w:jc w:val="right"/>
              <w:rPr>
                <w:sz w:val="20"/>
              </w:rPr>
            </w:pPr>
            <w:r>
              <w:rPr>
                <w:spacing w:val="-4"/>
                <w:sz w:val="20"/>
              </w:rPr>
              <w:t>1,24</w:t>
            </w:r>
          </w:p>
        </w:tc>
      </w:tr>
      <w:tr>
        <w:trPr>
          <w:trHeight w:val="4416" w:hRule="atLeast"/>
        </w:trPr>
        <w:tc>
          <w:tcPr>
            <w:tcW w:w="946" w:type="dxa"/>
          </w:tcPr>
          <w:p>
            <w:pPr>
              <w:pStyle w:val="TableParagraph"/>
              <w:spacing w:before="46"/>
              <w:ind w:left="50"/>
              <w:rPr>
                <w:sz w:val="20"/>
              </w:rPr>
            </w:pPr>
            <w:r>
              <w:rPr>
                <w:spacing w:val="-2"/>
                <w:sz w:val="20"/>
              </w:rPr>
              <w:t>st19.105</w:t>
            </w:r>
          </w:p>
        </w:tc>
        <w:tc>
          <w:tcPr>
            <w:tcW w:w="707" w:type="dxa"/>
          </w:tcPr>
          <w:p>
            <w:pPr>
              <w:pStyle w:val="TableParagraph"/>
              <w:spacing w:before="46"/>
              <w:ind w:left="210"/>
              <w:rPr>
                <w:sz w:val="20"/>
              </w:rPr>
            </w:pPr>
            <w:r>
              <w:rPr>
                <w:spacing w:val="-5"/>
                <w:sz w:val="20"/>
              </w:rPr>
              <w:t>158</w:t>
            </w:r>
          </w:p>
        </w:tc>
        <w:tc>
          <w:tcPr>
            <w:tcW w:w="3068" w:type="dxa"/>
          </w:tcPr>
          <w:p>
            <w:pPr>
              <w:pStyle w:val="TableParagraph"/>
              <w:spacing w:before="46"/>
              <w:ind w:left="192" w:right="679"/>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w:t>
            </w:r>
          </w:p>
        </w:tc>
        <w:tc>
          <w:tcPr>
            <w:tcW w:w="3414" w:type="dxa"/>
          </w:tcPr>
          <w:p>
            <w:pPr>
              <w:pStyle w:val="TableParagraph"/>
              <w:spacing w:before="46"/>
              <w:ind w:left="636" w:right="743"/>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37" w:type="dxa"/>
          </w:tcPr>
          <w:p>
            <w:pPr>
              <w:pStyle w:val="TableParagraph"/>
              <w:spacing w:before="46"/>
              <w:ind w:left="499"/>
              <w:jc w:val="center"/>
              <w:rPr>
                <w:sz w:val="20"/>
              </w:rPr>
            </w:pPr>
            <w:r>
              <w:rPr>
                <w:w w:val="99"/>
                <w:sz w:val="20"/>
              </w:rPr>
              <w:t>-</w:t>
            </w:r>
          </w:p>
        </w:tc>
        <w:tc>
          <w:tcPr>
            <w:tcW w:w="2624" w:type="dxa"/>
          </w:tcPr>
          <w:p>
            <w:pPr>
              <w:pStyle w:val="TableParagraph"/>
              <w:spacing w:before="46"/>
              <w:ind w:left="657" w:right="547" w:hanging="236"/>
              <w:jc w:val="both"/>
              <w:rPr>
                <w:sz w:val="20"/>
              </w:rPr>
            </w:pPr>
            <w:r>
              <w:rPr>
                <w:sz w:val="20"/>
              </w:rPr>
              <w:t>Возрастная</w:t>
            </w:r>
            <w:r>
              <w:rPr>
                <w:spacing w:val="-13"/>
                <w:sz w:val="20"/>
              </w:rPr>
              <w:t> </w:t>
            </w:r>
            <w:r>
              <w:rPr>
                <w:sz w:val="20"/>
              </w:rPr>
              <w:t>группа: старше 18 лет</w:t>
            </w:r>
          </w:p>
          <w:p>
            <w:pPr>
              <w:pStyle w:val="TableParagraph"/>
              <w:spacing w:before="1"/>
              <w:ind w:left="256" w:right="378" w:hanging="8"/>
              <w:jc w:val="both"/>
              <w:rPr>
                <w:sz w:val="20"/>
              </w:rPr>
            </w:pPr>
            <w:r>
              <w:rPr>
                <w:sz w:val="20"/>
              </w:rPr>
              <w:t>Схемы:</w:t>
            </w:r>
            <w:r>
              <w:rPr>
                <w:spacing w:val="-13"/>
                <w:sz w:val="20"/>
              </w:rPr>
              <w:t> </w:t>
            </w:r>
            <w:r>
              <w:rPr>
                <w:sz w:val="20"/>
              </w:rPr>
              <w:t>sh0019,</w:t>
            </w:r>
            <w:r>
              <w:rPr>
                <w:spacing w:val="-12"/>
                <w:sz w:val="20"/>
              </w:rPr>
              <w:t> </w:t>
            </w:r>
            <w:r>
              <w:rPr>
                <w:sz w:val="20"/>
              </w:rPr>
              <w:t>sh0024, sh0025,</w:t>
            </w:r>
            <w:r>
              <w:rPr>
                <w:spacing w:val="-13"/>
                <w:sz w:val="20"/>
              </w:rPr>
              <w:t> </w:t>
            </w:r>
            <w:r>
              <w:rPr>
                <w:sz w:val="20"/>
              </w:rPr>
              <w:t>sh0028,</w:t>
            </w:r>
            <w:r>
              <w:rPr>
                <w:spacing w:val="-12"/>
                <w:sz w:val="20"/>
              </w:rPr>
              <w:t> </w:t>
            </w:r>
            <w:r>
              <w:rPr>
                <w:sz w:val="20"/>
              </w:rPr>
              <w:t>sh0047, sh0050,</w:t>
            </w:r>
            <w:r>
              <w:rPr>
                <w:spacing w:val="-13"/>
                <w:sz w:val="20"/>
              </w:rPr>
              <w:t> </w:t>
            </w:r>
            <w:r>
              <w:rPr>
                <w:sz w:val="20"/>
              </w:rPr>
              <w:t>sh0052,</w:t>
            </w:r>
            <w:r>
              <w:rPr>
                <w:spacing w:val="-12"/>
                <w:sz w:val="20"/>
              </w:rPr>
              <w:t> </w:t>
            </w:r>
            <w:r>
              <w:rPr>
                <w:sz w:val="20"/>
              </w:rPr>
              <w:t>sh0058, sh0084,</w:t>
            </w:r>
            <w:r>
              <w:rPr>
                <w:spacing w:val="-13"/>
                <w:sz w:val="20"/>
              </w:rPr>
              <w:t> </w:t>
            </w:r>
            <w:r>
              <w:rPr>
                <w:sz w:val="20"/>
              </w:rPr>
              <w:t>sh0090,</w:t>
            </w:r>
            <w:r>
              <w:rPr>
                <w:spacing w:val="-12"/>
                <w:sz w:val="20"/>
              </w:rPr>
              <w:t> </w:t>
            </w:r>
            <w:r>
              <w:rPr>
                <w:sz w:val="20"/>
              </w:rPr>
              <w:t>sh0113, sh0121,</w:t>
            </w:r>
            <w:r>
              <w:rPr>
                <w:spacing w:val="-13"/>
                <w:sz w:val="20"/>
              </w:rPr>
              <w:t> </w:t>
            </w:r>
            <w:r>
              <w:rPr>
                <w:sz w:val="20"/>
              </w:rPr>
              <w:t>sh0123,</w:t>
            </w:r>
            <w:r>
              <w:rPr>
                <w:spacing w:val="-12"/>
                <w:sz w:val="20"/>
              </w:rPr>
              <w:t> </w:t>
            </w:r>
            <w:r>
              <w:rPr>
                <w:sz w:val="20"/>
              </w:rPr>
              <w:t>sh0124, sh0139,</w:t>
            </w:r>
            <w:r>
              <w:rPr>
                <w:spacing w:val="-13"/>
                <w:sz w:val="20"/>
              </w:rPr>
              <w:t> </w:t>
            </w:r>
            <w:r>
              <w:rPr>
                <w:sz w:val="20"/>
              </w:rPr>
              <w:t>sh0191,</w:t>
            </w:r>
            <w:r>
              <w:rPr>
                <w:spacing w:val="-12"/>
                <w:sz w:val="20"/>
              </w:rPr>
              <w:t> </w:t>
            </w:r>
            <w:r>
              <w:rPr>
                <w:sz w:val="20"/>
              </w:rPr>
              <w:t>sh0202, sh0224,</w:t>
            </w:r>
            <w:r>
              <w:rPr>
                <w:spacing w:val="-13"/>
                <w:sz w:val="20"/>
              </w:rPr>
              <w:t> </w:t>
            </w:r>
            <w:r>
              <w:rPr>
                <w:sz w:val="20"/>
              </w:rPr>
              <w:t>sh0229,</w:t>
            </w:r>
            <w:r>
              <w:rPr>
                <w:spacing w:val="-12"/>
                <w:sz w:val="20"/>
              </w:rPr>
              <w:t> </w:t>
            </w:r>
            <w:r>
              <w:rPr>
                <w:sz w:val="20"/>
              </w:rPr>
              <w:t>sh0253, sh0330,</w:t>
            </w:r>
            <w:r>
              <w:rPr>
                <w:spacing w:val="-13"/>
                <w:sz w:val="20"/>
              </w:rPr>
              <w:t> </w:t>
            </w:r>
            <w:r>
              <w:rPr>
                <w:sz w:val="20"/>
              </w:rPr>
              <w:t>sh0350,</w:t>
            </w:r>
            <w:r>
              <w:rPr>
                <w:spacing w:val="-12"/>
                <w:sz w:val="20"/>
              </w:rPr>
              <w:t> </w:t>
            </w:r>
            <w:r>
              <w:rPr>
                <w:sz w:val="20"/>
              </w:rPr>
              <w:t>sh0556, sh0582,</w:t>
            </w:r>
            <w:r>
              <w:rPr>
                <w:spacing w:val="-13"/>
                <w:sz w:val="20"/>
              </w:rPr>
              <w:t> </w:t>
            </w:r>
            <w:r>
              <w:rPr>
                <w:sz w:val="20"/>
              </w:rPr>
              <w:t>sh0616,</w:t>
            </w:r>
            <w:r>
              <w:rPr>
                <w:spacing w:val="-12"/>
                <w:sz w:val="20"/>
              </w:rPr>
              <w:t> </w:t>
            </w:r>
            <w:r>
              <w:rPr>
                <w:sz w:val="20"/>
              </w:rPr>
              <w:t>sh0632, sh0634,</w:t>
            </w:r>
            <w:r>
              <w:rPr>
                <w:spacing w:val="-13"/>
                <w:sz w:val="20"/>
              </w:rPr>
              <w:t> </w:t>
            </w:r>
            <w:r>
              <w:rPr>
                <w:sz w:val="20"/>
              </w:rPr>
              <w:t>sh0636,</w:t>
            </w:r>
            <w:r>
              <w:rPr>
                <w:spacing w:val="-12"/>
                <w:sz w:val="20"/>
              </w:rPr>
              <w:t> </w:t>
            </w:r>
            <w:r>
              <w:rPr>
                <w:sz w:val="20"/>
              </w:rPr>
              <w:t>sh0639, sh0640,</w:t>
            </w:r>
            <w:r>
              <w:rPr>
                <w:spacing w:val="-13"/>
                <w:sz w:val="20"/>
              </w:rPr>
              <w:t> </w:t>
            </w:r>
            <w:r>
              <w:rPr>
                <w:sz w:val="20"/>
              </w:rPr>
              <w:t>sh0641,</w:t>
            </w:r>
            <w:r>
              <w:rPr>
                <w:spacing w:val="-12"/>
                <w:sz w:val="20"/>
              </w:rPr>
              <w:t> </w:t>
            </w:r>
            <w:r>
              <w:rPr>
                <w:sz w:val="20"/>
              </w:rPr>
              <w:t>sh0677, sh0690,</w:t>
            </w:r>
            <w:r>
              <w:rPr>
                <w:spacing w:val="-13"/>
                <w:sz w:val="20"/>
              </w:rPr>
              <w:t> </w:t>
            </w:r>
            <w:r>
              <w:rPr>
                <w:sz w:val="20"/>
              </w:rPr>
              <w:t>sh0699,</w:t>
            </w:r>
            <w:r>
              <w:rPr>
                <w:spacing w:val="-12"/>
                <w:sz w:val="20"/>
              </w:rPr>
              <w:t> </w:t>
            </w:r>
            <w:r>
              <w:rPr>
                <w:sz w:val="20"/>
              </w:rPr>
              <w:t>sh0700, sh0702,</w:t>
            </w:r>
            <w:r>
              <w:rPr>
                <w:spacing w:val="-13"/>
                <w:sz w:val="20"/>
              </w:rPr>
              <w:t> </w:t>
            </w:r>
            <w:r>
              <w:rPr>
                <w:sz w:val="20"/>
              </w:rPr>
              <w:t>sh0704,</w:t>
            </w:r>
            <w:r>
              <w:rPr>
                <w:spacing w:val="-12"/>
                <w:sz w:val="20"/>
              </w:rPr>
              <w:t> </w:t>
            </w:r>
            <w:r>
              <w:rPr>
                <w:sz w:val="20"/>
              </w:rPr>
              <w:t>sh0707, sh0711,</w:t>
            </w:r>
            <w:r>
              <w:rPr>
                <w:spacing w:val="-13"/>
                <w:sz w:val="20"/>
              </w:rPr>
              <w:t> </w:t>
            </w:r>
            <w:r>
              <w:rPr>
                <w:sz w:val="20"/>
              </w:rPr>
              <w:t>sh0712,</w:t>
            </w:r>
            <w:r>
              <w:rPr>
                <w:spacing w:val="-12"/>
                <w:sz w:val="20"/>
              </w:rPr>
              <w:t> </w:t>
            </w:r>
            <w:r>
              <w:rPr>
                <w:sz w:val="20"/>
              </w:rPr>
              <w:t>sh0716, sh0717,</w:t>
            </w:r>
            <w:r>
              <w:rPr>
                <w:spacing w:val="-13"/>
                <w:sz w:val="20"/>
              </w:rPr>
              <w:t> </w:t>
            </w:r>
            <w:r>
              <w:rPr>
                <w:sz w:val="20"/>
              </w:rPr>
              <w:t>sh0770,</w:t>
            </w:r>
            <w:r>
              <w:rPr>
                <w:spacing w:val="-12"/>
                <w:sz w:val="20"/>
              </w:rPr>
              <w:t> </w:t>
            </w:r>
            <w:r>
              <w:rPr>
                <w:sz w:val="20"/>
              </w:rPr>
              <w:t>sh0790, sh0794,</w:t>
            </w:r>
            <w:r>
              <w:rPr>
                <w:spacing w:val="-6"/>
                <w:sz w:val="20"/>
              </w:rPr>
              <w:t> </w:t>
            </w:r>
            <w:r>
              <w:rPr>
                <w:sz w:val="20"/>
              </w:rPr>
              <w:t>sh0795,</w:t>
            </w:r>
            <w:r>
              <w:rPr>
                <w:spacing w:val="-5"/>
                <w:sz w:val="20"/>
              </w:rPr>
              <w:t> </w:t>
            </w:r>
            <w:r>
              <w:rPr>
                <w:spacing w:val="-2"/>
                <w:sz w:val="20"/>
              </w:rPr>
              <w:t>sh0797,</w:t>
            </w:r>
          </w:p>
          <w:p>
            <w:pPr>
              <w:pStyle w:val="TableParagraph"/>
              <w:spacing w:line="210" w:lineRule="exact"/>
              <w:ind w:left="256"/>
              <w:jc w:val="both"/>
              <w:rPr>
                <w:sz w:val="20"/>
              </w:rPr>
            </w:pPr>
            <w:r>
              <w:rPr>
                <w:sz w:val="20"/>
              </w:rPr>
              <w:t>sh0800,</w:t>
            </w:r>
            <w:r>
              <w:rPr>
                <w:spacing w:val="-6"/>
                <w:sz w:val="20"/>
              </w:rPr>
              <w:t> </w:t>
            </w:r>
            <w:r>
              <w:rPr>
                <w:sz w:val="20"/>
              </w:rPr>
              <w:t>sh0807,</w:t>
            </w:r>
            <w:r>
              <w:rPr>
                <w:spacing w:val="-5"/>
                <w:sz w:val="20"/>
              </w:rPr>
              <w:t> </w:t>
            </w:r>
            <w:r>
              <w:rPr>
                <w:spacing w:val="-2"/>
                <w:sz w:val="20"/>
              </w:rPr>
              <w:t>sh0810,</w:t>
            </w:r>
          </w:p>
        </w:tc>
        <w:tc>
          <w:tcPr>
            <w:tcW w:w="780" w:type="dxa"/>
          </w:tcPr>
          <w:p>
            <w:pPr>
              <w:pStyle w:val="TableParagraph"/>
              <w:spacing w:before="46"/>
              <w:ind w:right="50"/>
              <w:jc w:val="right"/>
              <w:rPr>
                <w:sz w:val="20"/>
              </w:rPr>
            </w:pPr>
            <w:r>
              <w:rPr>
                <w:spacing w:val="-4"/>
                <w:sz w:val="20"/>
              </w:rPr>
              <w:t>0,40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3"/>
        <w:gridCol w:w="3291"/>
        <w:gridCol w:w="781"/>
      </w:tblGrid>
      <w:tr>
        <w:trPr>
          <w:trHeight w:val="257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91" w:type="dxa"/>
          </w:tcPr>
          <w:p>
            <w:pPr>
              <w:pStyle w:val="TableParagraph"/>
              <w:ind w:left="914" w:right="376"/>
              <w:jc w:val="center"/>
              <w:rPr>
                <w:sz w:val="20"/>
              </w:rPr>
            </w:pPr>
            <w:r>
              <w:rPr>
                <w:sz w:val="20"/>
              </w:rPr>
              <w:t>sh0811,</w:t>
            </w:r>
            <w:r>
              <w:rPr>
                <w:spacing w:val="-13"/>
                <w:sz w:val="20"/>
              </w:rPr>
              <w:t> </w:t>
            </w:r>
            <w:r>
              <w:rPr>
                <w:sz w:val="20"/>
              </w:rPr>
              <w:t>sh0867,</w:t>
            </w:r>
            <w:r>
              <w:rPr>
                <w:spacing w:val="-12"/>
                <w:sz w:val="20"/>
              </w:rPr>
              <w:t> </w:t>
            </w:r>
            <w:r>
              <w:rPr>
                <w:sz w:val="20"/>
              </w:rPr>
              <w:t>sh0871, sh0878,</w:t>
            </w:r>
            <w:r>
              <w:rPr>
                <w:spacing w:val="-13"/>
                <w:sz w:val="20"/>
              </w:rPr>
              <w:t> </w:t>
            </w:r>
            <w:r>
              <w:rPr>
                <w:sz w:val="20"/>
              </w:rPr>
              <w:t>sh0880,</w:t>
            </w:r>
            <w:r>
              <w:rPr>
                <w:spacing w:val="-12"/>
                <w:sz w:val="20"/>
              </w:rPr>
              <w:t> </w:t>
            </w:r>
            <w:r>
              <w:rPr>
                <w:sz w:val="20"/>
              </w:rPr>
              <w:t>sh0881, sh0892,</w:t>
            </w:r>
            <w:r>
              <w:rPr>
                <w:spacing w:val="-13"/>
                <w:sz w:val="20"/>
              </w:rPr>
              <w:t> </w:t>
            </w:r>
            <w:r>
              <w:rPr>
                <w:sz w:val="20"/>
              </w:rPr>
              <w:t>sh0909,</w:t>
            </w:r>
            <w:r>
              <w:rPr>
                <w:spacing w:val="-12"/>
                <w:sz w:val="20"/>
              </w:rPr>
              <w:t> </w:t>
            </w:r>
            <w:r>
              <w:rPr>
                <w:sz w:val="20"/>
              </w:rPr>
              <w:t>sh0915, sh0923,</w:t>
            </w:r>
            <w:r>
              <w:rPr>
                <w:spacing w:val="-13"/>
                <w:sz w:val="20"/>
              </w:rPr>
              <w:t> </w:t>
            </w:r>
            <w:r>
              <w:rPr>
                <w:sz w:val="20"/>
              </w:rPr>
              <w:t>sh0927,</w:t>
            </w:r>
            <w:r>
              <w:rPr>
                <w:spacing w:val="-12"/>
                <w:sz w:val="20"/>
              </w:rPr>
              <w:t> </w:t>
            </w:r>
            <w:r>
              <w:rPr>
                <w:sz w:val="20"/>
              </w:rPr>
              <w:t>sh0929, sh0929.1, sh0933, sh0950,</w:t>
            </w:r>
            <w:r>
              <w:rPr>
                <w:spacing w:val="-13"/>
                <w:sz w:val="20"/>
              </w:rPr>
              <w:t> </w:t>
            </w:r>
            <w:r>
              <w:rPr>
                <w:sz w:val="20"/>
              </w:rPr>
              <w:t>sh0951,</w:t>
            </w:r>
            <w:r>
              <w:rPr>
                <w:spacing w:val="-12"/>
                <w:sz w:val="20"/>
              </w:rPr>
              <w:t> </w:t>
            </w:r>
            <w:r>
              <w:rPr>
                <w:sz w:val="20"/>
              </w:rPr>
              <w:t>sh0971, sh0972,</w:t>
            </w:r>
            <w:r>
              <w:rPr>
                <w:spacing w:val="-13"/>
                <w:sz w:val="20"/>
              </w:rPr>
              <w:t> </w:t>
            </w:r>
            <w:r>
              <w:rPr>
                <w:sz w:val="20"/>
              </w:rPr>
              <w:t>sh0977,</w:t>
            </w:r>
            <w:r>
              <w:rPr>
                <w:spacing w:val="-12"/>
                <w:sz w:val="20"/>
              </w:rPr>
              <w:t> </w:t>
            </w:r>
            <w:r>
              <w:rPr>
                <w:sz w:val="20"/>
              </w:rPr>
              <w:t>sh1035, sh1036,</w:t>
            </w:r>
            <w:r>
              <w:rPr>
                <w:spacing w:val="-13"/>
                <w:sz w:val="20"/>
              </w:rPr>
              <w:t> </w:t>
            </w:r>
            <w:r>
              <w:rPr>
                <w:sz w:val="20"/>
              </w:rPr>
              <w:t>sh1056,</w:t>
            </w:r>
            <w:r>
              <w:rPr>
                <w:spacing w:val="-12"/>
                <w:sz w:val="20"/>
              </w:rPr>
              <w:t> </w:t>
            </w:r>
            <w:r>
              <w:rPr>
                <w:sz w:val="20"/>
              </w:rPr>
              <w:t>sh1067, sh1068,</w:t>
            </w:r>
            <w:r>
              <w:rPr>
                <w:spacing w:val="-13"/>
                <w:sz w:val="20"/>
              </w:rPr>
              <w:t> </w:t>
            </w:r>
            <w:r>
              <w:rPr>
                <w:sz w:val="20"/>
              </w:rPr>
              <w:t>sh1074,</w:t>
            </w:r>
            <w:r>
              <w:rPr>
                <w:spacing w:val="-12"/>
                <w:sz w:val="20"/>
              </w:rPr>
              <w:t> </w:t>
            </w:r>
            <w:r>
              <w:rPr>
                <w:sz w:val="20"/>
              </w:rPr>
              <w:t>sh1088, sh1108,</w:t>
            </w:r>
            <w:r>
              <w:rPr>
                <w:spacing w:val="-6"/>
                <w:sz w:val="20"/>
              </w:rPr>
              <w:t> </w:t>
            </w:r>
            <w:r>
              <w:rPr>
                <w:sz w:val="20"/>
              </w:rPr>
              <w:t>sh1109,</w:t>
            </w:r>
            <w:r>
              <w:rPr>
                <w:spacing w:val="-5"/>
                <w:sz w:val="20"/>
              </w:rPr>
              <w:t> </w:t>
            </w:r>
            <w:r>
              <w:rPr>
                <w:spacing w:val="-2"/>
                <w:sz w:val="20"/>
              </w:rPr>
              <w:t>sh1116,</w:t>
            </w:r>
          </w:p>
          <w:p>
            <w:pPr>
              <w:pStyle w:val="TableParagraph"/>
              <w:ind w:left="914" w:right="377"/>
              <w:jc w:val="center"/>
              <w:rPr>
                <w:sz w:val="20"/>
              </w:rPr>
            </w:pPr>
            <w:r>
              <w:rPr>
                <w:spacing w:val="-2"/>
                <w:sz w:val="20"/>
              </w:rPr>
              <w:t>sh9003</w:t>
            </w:r>
          </w:p>
        </w:tc>
        <w:tc>
          <w:tcPr>
            <w:tcW w:w="781" w:type="dxa"/>
          </w:tcPr>
          <w:p>
            <w:pPr>
              <w:pStyle w:val="TableParagraph"/>
              <w:rPr>
                <w:sz w:val="18"/>
              </w:rPr>
            </w:pPr>
          </w:p>
        </w:tc>
      </w:tr>
      <w:tr>
        <w:trPr>
          <w:trHeight w:val="5794" w:hRule="atLeast"/>
        </w:trPr>
        <w:tc>
          <w:tcPr>
            <w:tcW w:w="946" w:type="dxa"/>
          </w:tcPr>
          <w:p>
            <w:pPr>
              <w:pStyle w:val="TableParagraph"/>
              <w:spacing w:before="46"/>
              <w:ind w:left="50"/>
              <w:rPr>
                <w:sz w:val="20"/>
              </w:rPr>
            </w:pPr>
            <w:r>
              <w:rPr>
                <w:spacing w:val="-2"/>
                <w:sz w:val="20"/>
              </w:rPr>
              <w:t>st19.106</w:t>
            </w:r>
          </w:p>
        </w:tc>
        <w:tc>
          <w:tcPr>
            <w:tcW w:w="707" w:type="dxa"/>
          </w:tcPr>
          <w:p>
            <w:pPr>
              <w:pStyle w:val="TableParagraph"/>
              <w:spacing w:before="46"/>
              <w:ind w:left="210"/>
              <w:rPr>
                <w:sz w:val="20"/>
              </w:rPr>
            </w:pPr>
            <w:r>
              <w:rPr>
                <w:spacing w:val="-5"/>
                <w:sz w:val="20"/>
              </w:rPr>
              <w:t>159</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2)</w:t>
            </w:r>
          </w:p>
        </w:tc>
        <w:tc>
          <w:tcPr>
            <w:tcW w:w="4106"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before="46"/>
              <w:ind w:left="495"/>
              <w:jc w:val="center"/>
              <w:rPr>
                <w:sz w:val="20"/>
              </w:rPr>
            </w:pPr>
            <w:r>
              <w:rPr>
                <w:w w:val="99"/>
                <w:sz w:val="20"/>
              </w:rPr>
              <w:t>-</w:t>
            </w:r>
          </w:p>
        </w:tc>
        <w:tc>
          <w:tcPr>
            <w:tcW w:w="3291" w:type="dxa"/>
          </w:tcPr>
          <w:p>
            <w:pPr>
              <w:pStyle w:val="TableParagraph"/>
              <w:spacing w:before="46"/>
              <w:ind w:left="914" w:right="376"/>
              <w:jc w:val="center"/>
              <w:rPr>
                <w:sz w:val="20"/>
              </w:rPr>
            </w:pPr>
            <w:r>
              <w:rPr>
                <w:sz w:val="20"/>
              </w:rPr>
              <w:t>Возрастная</w:t>
            </w:r>
            <w:r>
              <w:rPr>
                <w:spacing w:val="-13"/>
                <w:sz w:val="20"/>
              </w:rPr>
              <w:t> </w:t>
            </w:r>
            <w:r>
              <w:rPr>
                <w:sz w:val="20"/>
              </w:rPr>
              <w:t>группа: старше 18 лет</w:t>
            </w:r>
          </w:p>
          <w:p>
            <w:pPr>
              <w:pStyle w:val="TableParagraph"/>
              <w:ind w:left="914" w:right="380"/>
              <w:jc w:val="center"/>
              <w:rPr>
                <w:sz w:val="20"/>
              </w:rPr>
            </w:pPr>
            <w:r>
              <w:rPr>
                <w:sz w:val="20"/>
              </w:rPr>
              <w:t>Схемы:</w:t>
            </w:r>
            <w:r>
              <w:rPr>
                <w:spacing w:val="-13"/>
                <w:sz w:val="20"/>
              </w:rPr>
              <w:t> </w:t>
            </w:r>
            <w:r>
              <w:rPr>
                <w:sz w:val="20"/>
              </w:rPr>
              <w:t>sh0042,</w:t>
            </w:r>
            <w:r>
              <w:rPr>
                <w:spacing w:val="-12"/>
                <w:sz w:val="20"/>
              </w:rPr>
              <w:t> </w:t>
            </w:r>
            <w:r>
              <w:rPr>
                <w:sz w:val="20"/>
              </w:rPr>
              <w:t>sh0051, sh0061,</w:t>
            </w:r>
            <w:r>
              <w:rPr>
                <w:spacing w:val="-13"/>
                <w:sz w:val="20"/>
              </w:rPr>
              <w:t> </w:t>
            </w:r>
            <w:r>
              <w:rPr>
                <w:sz w:val="20"/>
              </w:rPr>
              <w:t>sh0062,</w:t>
            </w:r>
            <w:r>
              <w:rPr>
                <w:spacing w:val="-12"/>
                <w:sz w:val="20"/>
              </w:rPr>
              <w:t> </w:t>
            </w:r>
            <w:r>
              <w:rPr>
                <w:sz w:val="20"/>
              </w:rPr>
              <w:t>sh0068, sh0128,</w:t>
            </w:r>
            <w:r>
              <w:rPr>
                <w:spacing w:val="-13"/>
                <w:sz w:val="20"/>
              </w:rPr>
              <w:t> </w:t>
            </w:r>
            <w:r>
              <w:rPr>
                <w:sz w:val="20"/>
              </w:rPr>
              <w:t>sh0130,</w:t>
            </w:r>
            <w:r>
              <w:rPr>
                <w:spacing w:val="-12"/>
                <w:sz w:val="20"/>
              </w:rPr>
              <w:t> </w:t>
            </w:r>
            <w:r>
              <w:rPr>
                <w:sz w:val="20"/>
              </w:rPr>
              <w:t>sh0144, sh0153,</w:t>
            </w:r>
            <w:r>
              <w:rPr>
                <w:spacing w:val="-13"/>
                <w:sz w:val="20"/>
              </w:rPr>
              <w:t> </w:t>
            </w:r>
            <w:r>
              <w:rPr>
                <w:sz w:val="20"/>
              </w:rPr>
              <w:t>sh0182,</w:t>
            </w:r>
            <w:r>
              <w:rPr>
                <w:spacing w:val="-12"/>
                <w:sz w:val="20"/>
              </w:rPr>
              <w:t> </w:t>
            </w:r>
            <w:r>
              <w:rPr>
                <w:sz w:val="20"/>
              </w:rPr>
              <w:t>sh0226, sh0238,</w:t>
            </w:r>
            <w:r>
              <w:rPr>
                <w:spacing w:val="-13"/>
                <w:sz w:val="20"/>
              </w:rPr>
              <w:t> </w:t>
            </w:r>
            <w:r>
              <w:rPr>
                <w:sz w:val="20"/>
              </w:rPr>
              <w:t>sh0272,</w:t>
            </w:r>
            <w:r>
              <w:rPr>
                <w:spacing w:val="-12"/>
                <w:sz w:val="20"/>
              </w:rPr>
              <w:t> </w:t>
            </w:r>
            <w:r>
              <w:rPr>
                <w:sz w:val="20"/>
              </w:rPr>
              <w:t>sh0280, sh0348,</w:t>
            </w:r>
            <w:r>
              <w:rPr>
                <w:spacing w:val="-13"/>
                <w:sz w:val="20"/>
              </w:rPr>
              <w:t> </w:t>
            </w:r>
            <w:r>
              <w:rPr>
                <w:sz w:val="20"/>
              </w:rPr>
              <w:t>sh0389,</w:t>
            </w:r>
            <w:r>
              <w:rPr>
                <w:spacing w:val="-12"/>
                <w:sz w:val="20"/>
              </w:rPr>
              <w:t> </w:t>
            </w:r>
            <w:r>
              <w:rPr>
                <w:sz w:val="20"/>
              </w:rPr>
              <w:t>sh0537, sh0555,</w:t>
            </w:r>
            <w:r>
              <w:rPr>
                <w:spacing w:val="-13"/>
                <w:sz w:val="20"/>
              </w:rPr>
              <w:t> </w:t>
            </w:r>
            <w:r>
              <w:rPr>
                <w:sz w:val="20"/>
              </w:rPr>
              <w:t>sh0605,</w:t>
            </w:r>
            <w:r>
              <w:rPr>
                <w:spacing w:val="-12"/>
                <w:sz w:val="20"/>
              </w:rPr>
              <w:t> </w:t>
            </w:r>
            <w:r>
              <w:rPr>
                <w:sz w:val="20"/>
              </w:rPr>
              <w:t>sh0635, sh0663,</w:t>
            </w:r>
            <w:r>
              <w:rPr>
                <w:spacing w:val="-13"/>
                <w:sz w:val="20"/>
              </w:rPr>
              <w:t> </w:t>
            </w:r>
            <w:r>
              <w:rPr>
                <w:sz w:val="20"/>
              </w:rPr>
              <w:t>sh0673,</w:t>
            </w:r>
            <w:r>
              <w:rPr>
                <w:spacing w:val="-12"/>
                <w:sz w:val="20"/>
              </w:rPr>
              <w:t> </w:t>
            </w:r>
            <w:r>
              <w:rPr>
                <w:sz w:val="20"/>
              </w:rPr>
              <w:t>sh0695, sh0698, sh0702.1, sh0719,</w:t>
            </w:r>
            <w:r>
              <w:rPr>
                <w:spacing w:val="-13"/>
                <w:sz w:val="20"/>
              </w:rPr>
              <w:t> </w:t>
            </w:r>
            <w:r>
              <w:rPr>
                <w:sz w:val="20"/>
              </w:rPr>
              <w:t>sh0736,</w:t>
            </w:r>
            <w:r>
              <w:rPr>
                <w:spacing w:val="-12"/>
                <w:sz w:val="20"/>
              </w:rPr>
              <w:t> </w:t>
            </w:r>
            <w:r>
              <w:rPr>
                <w:sz w:val="20"/>
              </w:rPr>
              <w:t>sh0764, sh0765,</w:t>
            </w:r>
            <w:r>
              <w:rPr>
                <w:spacing w:val="-13"/>
                <w:sz w:val="20"/>
              </w:rPr>
              <w:t> </w:t>
            </w:r>
            <w:r>
              <w:rPr>
                <w:sz w:val="20"/>
              </w:rPr>
              <w:t>sh0767,</w:t>
            </w:r>
            <w:r>
              <w:rPr>
                <w:spacing w:val="-12"/>
                <w:sz w:val="20"/>
              </w:rPr>
              <w:t> </w:t>
            </w:r>
            <w:r>
              <w:rPr>
                <w:sz w:val="20"/>
              </w:rPr>
              <w:t>sh0768, sh0770.1, sh0773, sh0774,</w:t>
            </w:r>
            <w:r>
              <w:rPr>
                <w:spacing w:val="-13"/>
                <w:sz w:val="20"/>
              </w:rPr>
              <w:t> </w:t>
            </w:r>
            <w:r>
              <w:rPr>
                <w:sz w:val="20"/>
              </w:rPr>
              <w:t>sh0775,</w:t>
            </w:r>
            <w:r>
              <w:rPr>
                <w:spacing w:val="-12"/>
                <w:sz w:val="20"/>
              </w:rPr>
              <w:t> </w:t>
            </w:r>
            <w:r>
              <w:rPr>
                <w:sz w:val="20"/>
              </w:rPr>
              <w:t>sh0776, sh0777,</w:t>
            </w:r>
            <w:r>
              <w:rPr>
                <w:spacing w:val="-13"/>
                <w:sz w:val="20"/>
              </w:rPr>
              <w:t> </w:t>
            </w:r>
            <w:r>
              <w:rPr>
                <w:sz w:val="20"/>
              </w:rPr>
              <w:t>sh0778,</w:t>
            </w:r>
            <w:r>
              <w:rPr>
                <w:spacing w:val="-12"/>
                <w:sz w:val="20"/>
              </w:rPr>
              <w:t> </w:t>
            </w:r>
            <w:r>
              <w:rPr>
                <w:sz w:val="20"/>
              </w:rPr>
              <w:t>sh0786, sh0787, sh0795.1, sh0803,</w:t>
            </w:r>
            <w:r>
              <w:rPr>
                <w:spacing w:val="-13"/>
                <w:sz w:val="20"/>
              </w:rPr>
              <w:t> </w:t>
            </w:r>
            <w:r>
              <w:rPr>
                <w:sz w:val="20"/>
              </w:rPr>
              <w:t>sh0814,</w:t>
            </w:r>
            <w:r>
              <w:rPr>
                <w:spacing w:val="-12"/>
                <w:sz w:val="20"/>
              </w:rPr>
              <w:t> </w:t>
            </w:r>
            <w:r>
              <w:rPr>
                <w:sz w:val="20"/>
              </w:rPr>
              <w:t>sh0815, sh0816,</w:t>
            </w:r>
            <w:r>
              <w:rPr>
                <w:spacing w:val="-13"/>
                <w:sz w:val="20"/>
              </w:rPr>
              <w:t> </w:t>
            </w:r>
            <w:r>
              <w:rPr>
                <w:sz w:val="20"/>
              </w:rPr>
              <w:t>sh0817,</w:t>
            </w:r>
            <w:r>
              <w:rPr>
                <w:spacing w:val="-12"/>
                <w:sz w:val="20"/>
              </w:rPr>
              <w:t> </w:t>
            </w:r>
            <w:r>
              <w:rPr>
                <w:sz w:val="20"/>
              </w:rPr>
              <w:t>sh0870, sh0873,</w:t>
            </w:r>
            <w:r>
              <w:rPr>
                <w:spacing w:val="-13"/>
                <w:sz w:val="20"/>
              </w:rPr>
              <w:t> </w:t>
            </w:r>
            <w:r>
              <w:rPr>
                <w:sz w:val="20"/>
              </w:rPr>
              <w:t>sh0875,</w:t>
            </w:r>
            <w:r>
              <w:rPr>
                <w:spacing w:val="-12"/>
                <w:sz w:val="20"/>
              </w:rPr>
              <w:t> </w:t>
            </w:r>
            <w:r>
              <w:rPr>
                <w:sz w:val="20"/>
              </w:rPr>
              <w:t>sh0888, sh0899,</w:t>
            </w:r>
            <w:r>
              <w:rPr>
                <w:spacing w:val="-13"/>
                <w:sz w:val="20"/>
              </w:rPr>
              <w:t> </w:t>
            </w:r>
            <w:r>
              <w:rPr>
                <w:sz w:val="20"/>
              </w:rPr>
              <w:t>sh0922,</w:t>
            </w:r>
            <w:r>
              <w:rPr>
                <w:spacing w:val="-12"/>
                <w:sz w:val="20"/>
              </w:rPr>
              <w:t> </w:t>
            </w:r>
            <w:r>
              <w:rPr>
                <w:sz w:val="20"/>
              </w:rPr>
              <w:t>sh0966, sh0974,</w:t>
            </w:r>
            <w:r>
              <w:rPr>
                <w:spacing w:val="-13"/>
                <w:sz w:val="20"/>
              </w:rPr>
              <w:t> </w:t>
            </w:r>
            <w:r>
              <w:rPr>
                <w:sz w:val="20"/>
              </w:rPr>
              <w:t>sh0975,</w:t>
            </w:r>
            <w:r>
              <w:rPr>
                <w:spacing w:val="-12"/>
                <w:sz w:val="20"/>
              </w:rPr>
              <w:t> </w:t>
            </w:r>
            <w:r>
              <w:rPr>
                <w:sz w:val="20"/>
              </w:rPr>
              <w:t>sh1002, sh1031,</w:t>
            </w:r>
            <w:r>
              <w:rPr>
                <w:spacing w:val="-6"/>
                <w:sz w:val="20"/>
              </w:rPr>
              <w:t> </w:t>
            </w:r>
            <w:r>
              <w:rPr>
                <w:sz w:val="20"/>
              </w:rPr>
              <w:t>sh1082,</w:t>
            </w:r>
            <w:r>
              <w:rPr>
                <w:spacing w:val="-5"/>
                <w:sz w:val="20"/>
              </w:rPr>
              <w:t> </w:t>
            </w:r>
            <w:r>
              <w:rPr>
                <w:spacing w:val="-2"/>
                <w:sz w:val="20"/>
              </w:rPr>
              <w:t>sh1110,</w:t>
            </w:r>
          </w:p>
          <w:p>
            <w:pPr>
              <w:pStyle w:val="TableParagraph"/>
              <w:spacing w:line="228" w:lineRule="exact"/>
              <w:ind w:left="914" w:right="376"/>
              <w:jc w:val="center"/>
              <w:rPr>
                <w:sz w:val="20"/>
              </w:rPr>
            </w:pPr>
            <w:r>
              <w:rPr>
                <w:sz w:val="20"/>
              </w:rPr>
              <w:t>sh1116.1, sh1117, sh1118,</w:t>
            </w:r>
            <w:r>
              <w:rPr>
                <w:spacing w:val="-13"/>
                <w:sz w:val="20"/>
              </w:rPr>
              <w:t> </w:t>
            </w:r>
            <w:r>
              <w:rPr>
                <w:sz w:val="20"/>
              </w:rPr>
              <w:t>sh1119,</w:t>
            </w:r>
            <w:r>
              <w:rPr>
                <w:spacing w:val="-12"/>
                <w:sz w:val="20"/>
              </w:rPr>
              <w:t> </w:t>
            </w:r>
            <w:r>
              <w:rPr>
                <w:sz w:val="20"/>
              </w:rPr>
              <w:t>sh1122,</w:t>
            </w:r>
          </w:p>
        </w:tc>
        <w:tc>
          <w:tcPr>
            <w:tcW w:w="781" w:type="dxa"/>
          </w:tcPr>
          <w:p>
            <w:pPr>
              <w:pStyle w:val="TableParagraph"/>
              <w:spacing w:before="46"/>
              <w:ind w:left="374"/>
              <w:rPr>
                <w:sz w:val="20"/>
              </w:rPr>
            </w:pPr>
            <w:r>
              <w:rPr>
                <w:spacing w:val="-4"/>
                <w:sz w:val="20"/>
              </w:rPr>
              <w:t>0,76</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572"/>
        <w:gridCol w:w="1940"/>
        <w:gridCol w:w="3286"/>
        <w:gridCol w:w="780"/>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572" w:type="dxa"/>
          </w:tcPr>
          <w:p>
            <w:pPr>
              <w:pStyle w:val="TableParagraph"/>
              <w:rPr>
                <w:sz w:val="18"/>
              </w:rPr>
            </w:pPr>
          </w:p>
        </w:tc>
        <w:tc>
          <w:tcPr>
            <w:tcW w:w="1940" w:type="dxa"/>
          </w:tcPr>
          <w:p>
            <w:pPr>
              <w:pStyle w:val="TableParagraph"/>
              <w:rPr>
                <w:sz w:val="18"/>
              </w:rPr>
            </w:pPr>
          </w:p>
        </w:tc>
        <w:tc>
          <w:tcPr>
            <w:tcW w:w="3286" w:type="dxa"/>
          </w:tcPr>
          <w:p>
            <w:pPr>
              <w:pStyle w:val="TableParagraph"/>
              <w:spacing w:line="221" w:lineRule="exact"/>
              <w:ind w:left="904" w:right="368"/>
              <w:jc w:val="center"/>
              <w:rPr>
                <w:sz w:val="20"/>
              </w:rPr>
            </w:pPr>
            <w:r>
              <w:rPr>
                <w:sz w:val="20"/>
              </w:rPr>
              <w:t>sh1124,</w:t>
            </w:r>
            <w:r>
              <w:rPr>
                <w:spacing w:val="-5"/>
                <w:sz w:val="20"/>
              </w:rPr>
              <w:t> </w:t>
            </w:r>
            <w:r>
              <w:rPr>
                <w:sz w:val="20"/>
              </w:rPr>
              <w:t>sh1125,</w:t>
            </w:r>
            <w:r>
              <w:rPr>
                <w:spacing w:val="-5"/>
                <w:sz w:val="20"/>
              </w:rPr>
              <w:t> </w:t>
            </w:r>
            <w:r>
              <w:rPr>
                <w:spacing w:val="-2"/>
                <w:sz w:val="20"/>
              </w:rPr>
              <w:t>sh1133,</w:t>
            </w:r>
          </w:p>
          <w:p>
            <w:pPr>
              <w:pStyle w:val="TableParagraph"/>
              <w:ind w:left="902" w:right="368"/>
              <w:jc w:val="center"/>
              <w:rPr>
                <w:sz w:val="20"/>
              </w:rPr>
            </w:pPr>
            <w:r>
              <w:rPr>
                <w:spacing w:val="-2"/>
                <w:sz w:val="20"/>
              </w:rPr>
              <w:t>sh1142</w:t>
            </w:r>
          </w:p>
        </w:tc>
        <w:tc>
          <w:tcPr>
            <w:tcW w:w="78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st19.107</w:t>
            </w:r>
          </w:p>
        </w:tc>
        <w:tc>
          <w:tcPr>
            <w:tcW w:w="707" w:type="dxa"/>
          </w:tcPr>
          <w:p>
            <w:pPr>
              <w:pStyle w:val="TableParagraph"/>
              <w:spacing w:line="215" w:lineRule="exact" w:before="45"/>
              <w:ind w:left="210"/>
              <w:rPr>
                <w:sz w:val="20"/>
              </w:rPr>
            </w:pPr>
            <w:r>
              <w:rPr>
                <w:spacing w:val="-5"/>
                <w:sz w:val="20"/>
              </w:rPr>
              <w:t>160</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572"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40" w:type="dxa"/>
          </w:tcPr>
          <w:p>
            <w:pPr>
              <w:pStyle w:val="TableParagraph"/>
              <w:spacing w:line="215" w:lineRule="exact" w:before="45"/>
              <w:ind w:left="26"/>
              <w:jc w:val="center"/>
              <w:rPr>
                <w:sz w:val="20"/>
              </w:rPr>
            </w:pPr>
            <w:r>
              <w:rPr>
                <w:w w:val="99"/>
                <w:sz w:val="20"/>
              </w:rPr>
              <w:t>-</w:t>
            </w:r>
          </w:p>
        </w:tc>
        <w:tc>
          <w:tcPr>
            <w:tcW w:w="3286" w:type="dxa"/>
          </w:tcPr>
          <w:p>
            <w:pPr>
              <w:pStyle w:val="TableParagraph"/>
              <w:spacing w:line="215" w:lineRule="exact" w:before="45"/>
              <w:ind w:left="903" w:right="368"/>
              <w:jc w:val="center"/>
              <w:rPr>
                <w:sz w:val="20"/>
              </w:rPr>
            </w:pPr>
            <w:r>
              <w:rPr>
                <w:sz w:val="20"/>
              </w:rPr>
              <w:t>Возрастная</w:t>
            </w:r>
            <w:r>
              <w:rPr>
                <w:spacing w:val="-11"/>
                <w:sz w:val="20"/>
              </w:rPr>
              <w:t> </w:t>
            </w:r>
            <w:r>
              <w:rPr>
                <w:spacing w:val="-2"/>
                <w:sz w:val="20"/>
              </w:rPr>
              <w:t>группа:</w:t>
            </w:r>
          </w:p>
        </w:tc>
        <w:tc>
          <w:tcPr>
            <w:tcW w:w="780" w:type="dxa"/>
          </w:tcPr>
          <w:p>
            <w:pPr>
              <w:pStyle w:val="TableParagraph"/>
              <w:spacing w:line="215" w:lineRule="exact" w:before="45"/>
              <w:ind w:right="50"/>
              <w:jc w:val="right"/>
              <w:rPr>
                <w:sz w:val="20"/>
              </w:rPr>
            </w:pPr>
            <w:r>
              <w:rPr>
                <w:spacing w:val="-4"/>
                <w:sz w:val="20"/>
              </w:rPr>
              <w:t>1,07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2" w:right="368"/>
              <w:jc w:val="center"/>
              <w:rPr>
                <w:sz w:val="20"/>
              </w:rPr>
            </w:pPr>
            <w:r>
              <w:rPr>
                <w:sz w:val="20"/>
              </w:rPr>
              <w:t>Схемы:</w:t>
            </w:r>
            <w:r>
              <w:rPr>
                <w:spacing w:val="-9"/>
                <w:sz w:val="20"/>
              </w:rPr>
              <w:t> </w:t>
            </w:r>
            <w:r>
              <w:rPr>
                <w:spacing w:val="-2"/>
                <w:sz w:val="20"/>
              </w:rPr>
              <w:t>sh0018,</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лимфоидной</w:t>
            </w:r>
            <w:r>
              <w:rPr>
                <w:spacing w:val="-11"/>
                <w:sz w:val="20"/>
              </w:rPr>
              <w:t> </w:t>
            </w:r>
            <w:r>
              <w:rPr>
                <w:spacing w:val="-12"/>
                <w:sz w:val="20"/>
              </w:rPr>
              <w:t>и</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898" w:right="368"/>
              <w:jc w:val="center"/>
              <w:rPr>
                <w:sz w:val="20"/>
              </w:rPr>
            </w:pPr>
            <w:r>
              <w:rPr>
                <w:sz w:val="20"/>
              </w:rPr>
              <w:t>sh0024.1,</w:t>
            </w:r>
            <w:r>
              <w:rPr>
                <w:spacing w:val="-6"/>
                <w:sz w:val="20"/>
              </w:rPr>
              <w:t> </w:t>
            </w:r>
            <w:r>
              <w:rPr>
                <w:spacing w:val="-2"/>
                <w:sz w:val="20"/>
              </w:rPr>
              <w:t>sh0028.1,</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sh0063,</w:t>
            </w:r>
            <w:r>
              <w:rPr>
                <w:spacing w:val="-6"/>
                <w:sz w:val="20"/>
              </w:rPr>
              <w:t> </w:t>
            </w:r>
            <w:r>
              <w:rPr>
                <w:sz w:val="20"/>
              </w:rPr>
              <w:t>sh0071,</w:t>
            </w:r>
            <w:r>
              <w:rPr>
                <w:spacing w:val="-5"/>
                <w:sz w:val="20"/>
              </w:rPr>
              <w:t> </w:t>
            </w:r>
            <w:r>
              <w:rPr>
                <w:spacing w:val="-2"/>
                <w:sz w:val="20"/>
              </w:rPr>
              <w:t>sh0072,</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1"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1" w:lineRule="exact"/>
              <w:ind w:left="903" w:right="368"/>
              <w:jc w:val="center"/>
              <w:rPr>
                <w:sz w:val="20"/>
              </w:rPr>
            </w:pPr>
            <w:r>
              <w:rPr>
                <w:sz w:val="20"/>
              </w:rPr>
              <w:t>sh0083,</w:t>
            </w:r>
            <w:r>
              <w:rPr>
                <w:spacing w:val="-6"/>
                <w:sz w:val="20"/>
              </w:rPr>
              <w:t> </w:t>
            </w:r>
            <w:r>
              <w:rPr>
                <w:spacing w:val="-2"/>
                <w:sz w:val="20"/>
              </w:rPr>
              <w:t>sh0090.1,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sh0121.1,</w:t>
            </w:r>
            <w:r>
              <w:rPr>
                <w:spacing w:val="-6"/>
                <w:sz w:val="20"/>
              </w:rPr>
              <w:t> </w:t>
            </w:r>
            <w:r>
              <w:rPr>
                <w:spacing w:val="-2"/>
                <w:sz w:val="20"/>
              </w:rPr>
              <w:t>sh0140,</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sh0204,</w:t>
            </w:r>
            <w:r>
              <w:rPr>
                <w:spacing w:val="-6"/>
                <w:sz w:val="20"/>
              </w:rPr>
              <w:t> </w:t>
            </w:r>
            <w:r>
              <w:rPr>
                <w:sz w:val="20"/>
              </w:rPr>
              <w:t>sh0206,</w:t>
            </w:r>
            <w:r>
              <w:rPr>
                <w:spacing w:val="-5"/>
                <w:sz w:val="20"/>
              </w:rPr>
              <w:t> </w:t>
            </w:r>
            <w:r>
              <w:rPr>
                <w:spacing w:val="-2"/>
                <w:sz w:val="20"/>
              </w:rPr>
              <w:t>sh0336,</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sh0338,</w:t>
            </w:r>
            <w:r>
              <w:rPr>
                <w:spacing w:val="-6"/>
                <w:sz w:val="20"/>
              </w:rPr>
              <w:t> </w:t>
            </w:r>
            <w:r>
              <w:rPr>
                <w:sz w:val="20"/>
              </w:rPr>
              <w:t>sh0339,</w:t>
            </w:r>
            <w:r>
              <w:rPr>
                <w:spacing w:val="-5"/>
                <w:sz w:val="20"/>
              </w:rPr>
              <w:t> </w:t>
            </w:r>
            <w:r>
              <w:rPr>
                <w:spacing w:val="-2"/>
                <w:sz w:val="20"/>
              </w:rPr>
              <w:t>sh0385,</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sh0466,</w:t>
            </w:r>
            <w:r>
              <w:rPr>
                <w:spacing w:val="-6"/>
                <w:sz w:val="20"/>
              </w:rPr>
              <w:t> </w:t>
            </w:r>
            <w:r>
              <w:rPr>
                <w:sz w:val="20"/>
              </w:rPr>
              <w:t>sh0486,</w:t>
            </w:r>
            <w:r>
              <w:rPr>
                <w:spacing w:val="-5"/>
                <w:sz w:val="20"/>
              </w:rPr>
              <w:t> </w:t>
            </w:r>
            <w:r>
              <w:rPr>
                <w:spacing w:val="-2"/>
                <w:sz w:val="20"/>
              </w:rPr>
              <w:t>sh0564,</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1" w:right="368"/>
              <w:jc w:val="center"/>
              <w:rPr>
                <w:sz w:val="20"/>
              </w:rPr>
            </w:pPr>
            <w:r>
              <w:rPr>
                <w:sz w:val="20"/>
              </w:rPr>
              <w:t>sh0588,</w:t>
            </w:r>
            <w:r>
              <w:rPr>
                <w:spacing w:val="-6"/>
                <w:sz w:val="20"/>
              </w:rPr>
              <w:t> </w:t>
            </w:r>
            <w:r>
              <w:rPr>
                <w:spacing w:val="-2"/>
                <w:sz w:val="20"/>
              </w:rPr>
              <w:t>sh0628,</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898" w:right="368"/>
              <w:jc w:val="center"/>
              <w:rPr>
                <w:sz w:val="20"/>
              </w:rPr>
            </w:pPr>
            <w:r>
              <w:rPr>
                <w:sz w:val="20"/>
              </w:rPr>
              <w:t>sh0632.1,</w:t>
            </w:r>
            <w:r>
              <w:rPr>
                <w:spacing w:val="-6"/>
                <w:sz w:val="20"/>
              </w:rPr>
              <w:t> </w:t>
            </w:r>
            <w:r>
              <w:rPr>
                <w:spacing w:val="-2"/>
                <w:sz w:val="20"/>
              </w:rPr>
              <w:t>sh0634.1,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sh0636.1,</w:t>
            </w:r>
            <w:r>
              <w:rPr>
                <w:spacing w:val="-6"/>
                <w:sz w:val="20"/>
              </w:rPr>
              <w:t> </w:t>
            </w:r>
            <w:r>
              <w:rPr>
                <w:spacing w:val="-2"/>
                <w:sz w:val="20"/>
              </w:rPr>
              <w:t>sh0643,</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sh0644,</w:t>
            </w:r>
            <w:r>
              <w:rPr>
                <w:spacing w:val="-6"/>
                <w:sz w:val="20"/>
              </w:rPr>
              <w:t> </w:t>
            </w:r>
            <w:r>
              <w:rPr>
                <w:sz w:val="20"/>
              </w:rPr>
              <w:t>sh0646,</w:t>
            </w:r>
            <w:r>
              <w:rPr>
                <w:spacing w:val="-5"/>
                <w:sz w:val="20"/>
              </w:rPr>
              <w:t> </w:t>
            </w:r>
            <w:r>
              <w:rPr>
                <w:spacing w:val="-2"/>
                <w:sz w:val="20"/>
              </w:rPr>
              <w:t>sh0671,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1" w:right="368"/>
              <w:jc w:val="center"/>
              <w:rPr>
                <w:sz w:val="20"/>
              </w:rPr>
            </w:pPr>
            <w:r>
              <w:rPr>
                <w:sz w:val="20"/>
              </w:rPr>
              <w:t>sh0675,</w:t>
            </w:r>
            <w:r>
              <w:rPr>
                <w:spacing w:val="-6"/>
                <w:sz w:val="20"/>
              </w:rPr>
              <w:t> </w:t>
            </w:r>
            <w:r>
              <w:rPr>
                <w:spacing w:val="-2"/>
                <w:sz w:val="20"/>
              </w:rPr>
              <w:t>sh0689,</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sh0704.1,</w:t>
            </w:r>
            <w:r>
              <w:rPr>
                <w:spacing w:val="-6"/>
                <w:sz w:val="20"/>
              </w:rPr>
              <w:t> </w:t>
            </w:r>
            <w:r>
              <w:rPr>
                <w:spacing w:val="-2"/>
                <w:sz w:val="20"/>
              </w:rPr>
              <w:t>sh0705,</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5" w:right="368"/>
              <w:jc w:val="center"/>
              <w:rPr>
                <w:sz w:val="20"/>
              </w:rPr>
            </w:pPr>
            <w:r>
              <w:rPr>
                <w:sz w:val="20"/>
              </w:rPr>
              <w:t>sh0720,</w:t>
            </w:r>
            <w:r>
              <w:rPr>
                <w:spacing w:val="-5"/>
                <w:sz w:val="20"/>
              </w:rPr>
              <w:t> </w:t>
            </w:r>
            <w:r>
              <w:rPr>
                <w:sz w:val="20"/>
              </w:rPr>
              <w:t>sh0779,</w:t>
            </w:r>
            <w:r>
              <w:rPr>
                <w:spacing w:val="-4"/>
                <w:sz w:val="20"/>
              </w:rPr>
              <w:t> </w:t>
            </w:r>
            <w:r>
              <w:rPr>
                <w:spacing w:val="-2"/>
                <w:sz w:val="20"/>
              </w:rPr>
              <w:t>sh0780,</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sh0788,</w:t>
            </w:r>
            <w:r>
              <w:rPr>
                <w:spacing w:val="-6"/>
                <w:sz w:val="20"/>
              </w:rPr>
              <w:t> </w:t>
            </w:r>
            <w:r>
              <w:rPr>
                <w:sz w:val="20"/>
              </w:rPr>
              <w:t>sh0793,</w:t>
            </w:r>
            <w:r>
              <w:rPr>
                <w:spacing w:val="-5"/>
                <w:sz w:val="20"/>
              </w:rPr>
              <w:t> </w:t>
            </w:r>
            <w:r>
              <w:rPr>
                <w:spacing w:val="-2"/>
                <w:sz w:val="20"/>
              </w:rPr>
              <w:t>sh0798,</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sh0801,</w:t>
            </w:r>
            <w:r>
              <w:rPr>
                <w:spacing w:val="-6"/>
                <w:sz w:val="20"/>
              </w:rPr>
              <w:t> </w:t>
            </w:r>
            <w:r>
              <w:rPr>
                <w:sz w:val="20"/>
              </w:rPr>
              <w:t>sh0824,</w:t>
            </w:r>
            <w:r>
              <w:rPr>
                <w:spacing w:val="-5"/>
                <w:sz w:val="20"/>
              </w:rPr>
              <w:t> </w:t>
            </w:r>
            <w:r>
              <w:rPr>
                <w:spacing w:val="-2"/>
                <w:sz w:val="20"/>
              </w:rPr>
              <w:t>sh0835,</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sh0857,</w:t>
            </w:r>
            <w:r>
              <w:rPr>
                <w:spacing w:val="-6"/>
                <w:sz w:val="20"/>
              </w:rPr>
              <w:t> </w:t>
            </w:r>
            <w:r>
              <w:rPr>
                <w:sz w:val="20"/>
              </w:rPr>
              <w:t>sh0884,</w:t>
            </w:r>
            <w:r>
              <w:rPr>
                <w:spacing w:val="-5"/>
                <w:sz w:val="20"/>
              </w:rPr>
              <w:t> </w:t>
            </w:r>
            <w:r>
              <w:rPr>
                <w:spacing w:val="-2"/>
                <w:sz w:val="20"/>
              </w:rPr>
              <w:t>sh0885,</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sh0898,</w:t>
            </w:r>
            <w:r>
              <w:rPr>
                <w:spacing w:val="-6"/>
                <w:sz w:val="20"/>
              </w:rPr>
              <w:t> </w:t>
            </w:r>
            <w:r>
              <w:rPr>
                <w:sz w:val="20"/>
              </w:rPr>
              <w:t>sh0900,</w:t>
            </w:r>
            <w:r>
              <w:rPr>
                <w:spacing w:val="-5"/>
                <w:sz w:val="20"/>
              </w:rPr>
              <w:t> </w:t>
            </w:r>
            <w:r>
              <w:rPr>
                <w:spacing w:val="-2"/>
                <w:sz w:val="20"/>
              </w:rPr>
              <w:t>sh0931,</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sh0934,</w:t>
            </w:r>
            <w:r>
              <w:rPr>
                <w:spacing w:val="-6"/>
                <w:sz w:val="20"/>
              </w:rPr>
              <w:t> </w:t>
            </w:r>
            <w:r>
              <w:rPr>
                <w:sz w:val="20"/>
              </w:rPr>
              <w:t>sh0935,</w:t>
            </w:r>
            <w:r>
              <w:rPr>
                <w:spacing w:val="-5"/>
                <w:sz w:val="20"/>
              </w:rPr>
              <w:t> </w:t>
            </w:r>
            <w:r>
              <w:rPr>
                <w:spacing w:val="-2"/>
                <w:sz w:val="20"/>
              </w:rPr>
              <w:t>sh0946,</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1" w:right="368"/>
              <w:jc w:val="center"/>
              <w:rPr>
                <w:sz w:val="20"/>
              </w:rPr>
            </w:pPr>
            <w:r>
              <w:rPr>
                <w:sz w:val="20"/>
              </w:rPr>
              <w:t>sh0970,</w:t>
            </w:r>
            <w:r>
              <w:rPr>
                <w:spacing w:val="-6"/>
                <w:sz w:val="20"/>
              </w:rPr>
              <w:t> </w:t>
            </w:r>
            <w:r>
              <w:rPr>
                <w:spacing w:val="-2"/>
                <w:sz w:val="20"/>
              </w:rPr>
              <w:t>sh0978,</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sh1035.1,</w:t>
            </w:r>
            <w:r>
              <w:rPr>
                <w:spacing w:val="-6"/>
                <w:sz w:val="20"/>
              </w:rPr>
              <w:t> </w:t>
            </w:r>
            <w:r>
              <w:rPr>
                <w:spacing w:val="-2"/>
                <w:sz w:val="20"/>
              </w:rPr>
              <w:t>sh1040,</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sh1041,</w:t>
            </w:r>
            <w:r>
              <w:rPr>
                <w:spacing w:val="-6"/>
                <w:sz w:val="20"/>
              </w:rPr>
              <w:t> </w:t>
            </w:r>
            <w:r>
              <w:rPr>
                <w:sz w:val="20"/>
              </w:rPr>
              <w:t>sh1077,</w:t>
            </w:r>
            <w:r>
              <w:rPr>
                <w:spacing w:val="-5"/>
                <w:sz w:val="20"/>
              </w:rPr>
              <w:t> </w:t>
            </w:r>
            <w:r>
              <w:rPr>
                <w:spacing w:val="-2"/>
                <w:sz w:val="20"/>
              </w:rPr>
              <w:t>sh1114,</w:t>
            </w:r>
          </w:p>
        </w:tc>
        <w:tc>
          <w:tcPr>
            <w:tcW w:w="78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572" w:type="dxa"/>
          </w:tcPr>
          <w:p>
            <w:pPr>
              <w:pStyle w:val="TableParagraph"/>
              <w:rPr>
                <w:sz w:val="18"/>
              </w:rPr>
            </w:pPr>
          </w:p>
        </w:tc>
        <w:tc>
          <w:tcPr>
            <w:tcW w:w="1940" w:type="dxa"/>
          </w:tcPr>
          <w:p>
            <w:pPr>
              <w:pStyle w:val="TableParagraph"/>
              <w:rPr>
                <w:sz w:val="18"/>
              </w:rPr>
            </w:pPr>
          </w:p>
        </w:tc>
        <w:tc>
          <w:tcPr>
            <w:tcW w:w="3286" w:type="dxa"/>
          </w:tcPr>
          <w:p>
            <w:pPr>
              <w:pStyle w:val="TableParagraph"/>
              <w:spacing w:line="226" w:lineRule="exact"/>
              <w:ind w:left="903" w:right="368"/>
              <w:jc w:val="center"/>
              <w:rPr>
                <w:sz w:val="20"/>
              </w:rPr>
            </w:pPr>
            <w:r>
              <w:rPr>
                <w:sz w:val="20"/>
              </w:rPr>
              <w:t>sh1115,</w:t>
            </w:r>
            <w:r>
              <w:rPr>
                <w:spacing w:val="-6"/>
                <w:sz w:val="20"/>
              </w:rPr>
              <w:t> </w:t>
            </w:r>
            <w:r>
              <w:rPr>
                <w:spacing w:val="-2"/>
                <w:sz w:val="20"/>
              </w:rPr>
              <w:t>sh1129</w:t>
            </w:r>
          </w:p>
        </w:tc>
        <w:tc>
          <w:tcPr>
            <w:tcW w:w="780" w:type="dxa"/>
          </w:tcPr>
          <w:p>
            <w:pPr>
              <w:pStyle w:val="TableParagraph"/>
              <w:rPr>
                <w:sz w:val="18"/>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7617" w:type="dxa"/>
            <w:gridSpan w:val="2"/>
          </w:tcPr>
          <w:p>
            <w:pPr>
              <w:pStyle w:val="TableParagraph"/>
              <w:spacing w:line="215" w:lineRule="exact" w:before="45"/>
              <w:ind w:left="2777"/>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tc>
        <w:tc>
          <w:tcPr>
            <w:tcW w:w="1940" w:type="dxa"/>
          </w:tcPr>
          <w:p>
            <w:pPr>
              <w:pStyle w:val="TableParagraph"/>
              <w:spacing w:line="215" w:lineRule="exact" w:before="45"/>
              <w:ind w:left="26"/>
              <w:jc w:val="center"/>
              <w:rPr>
                <w:sz w:val="20"/>
              </w:rPr>
            </w:pPr>
            <w:r>
              <w:rPr>
                <w:w w:val="99"/>
                <w:sz w:val="20"/>
              </w:rPr>
              <w:t>-</w:t>
            </w:r>
          </w:p>
        </w:tc>
        <w:tc>
          <w:tcPr>
            <w:tcW w:w="3286" w:type="dxa"/>
          </w:tcPr>
          <w:p>
            <w:pPr>
              <w:pStyle w:val="TableParagraph"/>
              <w:spacing w:line="215" w:lineRule="exact" w:before="45"/>
              <w:ind w:left="903" w:right="368"/>
              <w:jc w:val="center"/>
              <w:rPr>
                <w:sz w:val="20"/>
              </w:rPr>
            </w:pPr>
            <w:r>
              <w:rPr>
                <w:sz w:val="20"/>
              </w:rPr>
              <w:t>Возрастная</w:t>
            </w:r>
            <w:r>
              <w:rPr>
                <w:spacing w:val="-11"/>
                <w:sz w:val="20"/>
              </w:rPr>
              <w:t> </w:t>
            </w:r>
            <w:r>
              <w:rPr>
                <w:spacing w:val="-2"/>
                <w:sz w:val="20"/>
              </w:rPr>
              <w:t>группа:</w:t>
            </w:r>
          </w:p>
        </w:tc>
        <w:tc>
          <w:tcPr>
            <w:tcW w:w="780"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7617" w:type="dxa"/>
            <w:gridSpan w:val="2"/>
          </w:tcPr>
          <w:p>
            <w:pPr>
              <w:pStyle w:val="TableParagraph"/>
              <w:spacing w:line="210" w:lineRule="exact"/>
              <w:ind w:left="2777"/>
              <w:rPr>
                <w:sz w:val="20"/>
              </w:rPr>
            </w:pPr>
            <w:r>
              <w:rPr>
                <w:sz w:val="20"/>
              </w:rPr>
              <w:t>C41,</w:t>
            </w:r>
            <w:r>
              <w:rPr>
                <w:spacing w:val="-5"/>
                <w:sz w:val="20"/>
              </w:rPr>
              <w:t> </w:t>
            </w:r>
            <w:r>
              <w:rPr>
                <w:sz w:val="20"/>
              </w:rPr>
              <w:t>C41.0,</w:t>
            </w:r>
            <w:r>
              <w:rPr>
                <w:spacing w:val="-5"/>
                <w:sz w:val="20"/>
              </w:rPr>
              <w:t> </w:t>
            </w:r>
            <w:r>
              <w:rPr>
                <w:sz w:val="20"/>
              </w:rPr>
              <w:t>C41.1,</w:t>
            </w:r>
            <w:r>
              <w:rPr>
                <w:spacing w:val="-5"/>
                <w:sz w:val="20"/>
              </w:rPr>
              <w:t> </w:t>
            </w:r>
            <w:r>
              <w:rPr>
                <w:sz w:val="20"/>
              </w:rPr>
              <w:t>C41.2,</w:t>
            </w:r>
            <w:r>
              <w:rPr>
                <w:spacing w:val="-5"/>
                <w:sz w:val="20"/>
              </w:rPr>
              <w:t> </w:t>
            </w:r>
            <w:r>
              <w:rPr>
                <w:sz w:val="20"/>
              </w:rPr>
              <w:t>C41.3,</w:t>
            </w:r>
            <w:r>
              <w:rPr>
                <w:spacing w:val="-5"/>
                <w:sz w:val="20"/>
              </w:rPr>
              <w:t> </w:t>
            </w:r>
            <w:r>
              <w:rPr>
                <w:sz w:val="20"/>
              </w:rPr>
              <w:t>C41.4,</w:t>
            </w:r>
            <w:r>
              <w:rPr>
                <w:spacing w:val="-5"/>
                <w:sz w:val="20"/>
              </w:rPr>
              <w:t> </w:t>
            </w:r>
            <w:r>
              <w:rPr>
                <w:spacing w:val="-2"/>
                <w:sz w:val="20"/>
              </w:rPr>
              <w:t>C41.8,</w:t>
            </w: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7617" w:type="dxa"/>
            <w:gridSpan w:val="2"/>
          </w:tcPr>
          <w:p>
            <w:pPr>
              <w:pStyle w:val="TableParagraph"/>
              <w:spacing w:line="226" w:lineRule="exact"/>
              <w:ind w:left="4469" w:right="2644"/>
              <w:jc w:val="center"/>
              <w:rPr>
                <w:sz w:val="20"/>
              </w:rPr>
            </w:pPr>
            <w:r>
              <w:rPr>
                <w:spacing w:val="-4"/>
                <w:sz w:val="20"/>
              </w:rPr>
              <w:t>C41.9</w:t>
            </w:r>
          </w:p>
        </w:tc>
        <w:tc>
          <w:tcPr>
            <w:tcW w:w="1940" w:type="dxa"/>
          </w:tcPr>
          <w:p>
            <w:pPr>
              <w:pStyle w:val="TableParagraph"/>
              <w:rPr>
                <w:sz w:val="18"/>
              </w:rPr>
            </w:pPr>
          </w:p>
        </w:tc>
        <w:tc>
          <w:tcPr>
            <w:tcW w:w="3286" w:type="dxa"/>
          </w:tcPr>
          <w:p>
            <w:pPr>
              <w:pStyle w:val="TableParagraph"/>
              <w:spacing w:line="226" w:lineRule="exact"/>
              <w:ind w:left="899" w:right="368"/>
              <w:jc w:val="center"/>
              <w:rPr>
                <w:sz w:val="20"/>
              </w:rPr>
            </w:pPr>
            <w:r>
              <w:rPr>
                <w:sz w:val="20"/>
              </w:rPr>
              <w:t>Схемы:</w:t>
            </w:r>
            <w:r>
              <w:rPr>
                <w:spacing w:val="-9"/>
                <w:sz w:val="20"/>
              </w:rPr>
              <w:t> </w:t>
            </w:r>
            <w:r>
              <w:rPr>
                <w:spacing w:val="-2"/>
                <w:sz w:val="20"/>
              </w:rPr>
              <w:t>sh0926</w:t>
            </w:r>
          </w:p>
        </w:tc>
        <w:tc>
          <w:tcPr>
            <w:tcW w:w="780"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st19.108</w:t>
            </w:r>
          </w:p>
        </w:tc>
        <w:tc>
          <w:tcPr>
            <w:tcW w:w="707" w:type="dxa"/>
          </w:tcPr>
          <w:p>
            <w:pPr>
              <w:pStyle w:val="TableParagraph"/>
              <w:spacing w:line="215" w:lineRule="exact" w:before="45"/>
              <w:ind w:left="210"/>
              <w:rPr>
                <w:sz w:val="20"/>
              </w:rPr>
            </w:pPr>
            <w:r>
              <w:rPr>
                <w:spacing w:val="-5"/>
                <w:sz w:val="20"/>
              </w:rPr>
              <w:t>161</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572"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40" w:type="dxa"/>
          </w:tcPr>
          <w:p>
            <w:pPr>
              <w:pStyle w:val="TableParagraph"/>
              <w:spacing w:line="215" w:lineRule="exact" w:before="45"/>
              <w:ind w:left="26"/>
              <w:jc w:val="center"/>
              <w:rPr>
                <w:sz w:val="20"/>
              </w:rPr>
            </w:pPr>
            <w:r>
              <w:rPr>
                <w:w w:val="99"/>
                <w:sz w:val="20"/>
              </w:rPr>
              <w:t>-</w:t>
            </w:r>
          </w:p>
        </w:tc>
        <w:tc>
          <w:tcPr>
            <w:tcW w:w="3286" w:type="dxa"/>
          </w:tcPr>
          <w:p>
            <w:pPr>
              <w:pStyle w:val="TableParagraph"/>
              <w:spacing w:line="215" w:lineRule="exact" w:before="45"/>
              <w:ind w:left="903" w:right="368"/>
              <w:jc w:val="center"/>
              <w:rPr>
                <w:sz w:val="20"/>
              </w:rPr>
            </w:pPr>
            <w:r>
              <w:rPr>
                <w:sz w:val="20"/>
              </w:rPr>
              <w:t>Возрастная</w:t>
            </w:r>
            <w:r>
              <w:rPr>
                <w:spacing w:val="-11"/>
                <w:sz w:val="20"/>
              </w:rPr>
              <w:t> </w:t>
            </w:r>
            <w:r>
              <w:rPr>
                <w:spacing w:val="-2"/>
                <w:sz w:val="20"/>
              </w:rPr>
              <w:t>группа:</w:t>
            </w:r>
          </w:p>
        </w:tc>
        <w:tc>
          <w:tcPr>
            <w:tcW w:w="780" w:type="dxa"/>
          </w:tcPr>
          <w:p>
            <w:pPr>
              <w:pStyle w:val="TableParagraph"/>
              <w:spacing w:line="215" w:lineRule="exact" w:before="45"/>
              <w:ind w:right="50"/>
              <w:jc w:val="right"/>
              <w:rPr>
                <w:sz w:val="20"/>
              </w:rPr>
            </w:pPr>
            <w:r>
              <w:rPr>
                <w:spacing w:val="-4"/>
                <w:sz w:val="20"/>
              </w:rPr>
              <w:t>1,37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899" w:right="368"/>
              <w:jc w:val="center"/>
              <w:rPr>
                <w:sz w:val="20"/>
              </w:rPr>
            </w:pPr>
            <w:r>
              <w:rPr>
                <w:sz w:val="20"/>
              </w:rPr>
              <w:t>Схемы:</w:t>
            </w:r>
            <w:r>
              <w:rPr>
                <w:spacing w:val="-9"/>
                <w:sz w:val="20"/>
              </w:rPr>
              <w:t> </w:t>
            </w:r>
            <w:r>
              <w:rPr>
                <w:spacing w:val="-2"/>
                <w:sz w:val="20"/>
              </w:rPr>
              <w:t>sh0025.1,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sh0027,</w:t>
            </w:r>
            <w:r>
              <w:rPr>
                <w:spacing w:val="-6"/>
                <w:sz w:val="20"/>
              </w:rPr>
              <w:t> </w:t>
            </w:r>
            <w:r>
              <w:rPr>
                <w:spacing w:val="-2"/>
                <w:sz w:val="20"/>
              </w:rPr>
              <w:t>sh0042.1,</w:t>
            </w:r>
          </w:p>
        </w:tc>
        <w:tc>
          <w:tcPr>
            <w:tcW w:w="78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5" w:lineRule="exact"/>
              <w:ind w:left="901" w:right="368"/>
              <w:jc w:val="center"/>
              <w:rPr>
                <w:sz w:val="20"/>
              </w:rPr>
            </w:pPr>
            <w:r>
              <w:rPr>
                <w:sz w:val="20"/>
              </w:rPr>
              <w:t>sh0074,</w:t>
            </w:r>
            <w:r>
              <w:rPr>
                <w:spacing w:val="-6"/>
                <w:sz w:val="20"/>
              </w:rPr>
              <w:t> </w:t>
            </w:r>
            <w:r>
              <w:rPr>
                <w:spacing w:val="-2"/>
                <w:sz w:val="20"/>
              </w:rPr>
              <w:t>sh0075,</w:t>
            </w:r>
          </w:p>
        </w:tc>
        <w:tc>
          <w:tcPr>
            <w:tcW w:w="78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6"/>
        <w:gridCol w:w="3285"/>
        <w:gridCol w:w="78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045" w:type="dxa"/>
          </w:tcPr>
          <w:p>
            <w:pPr>
              <w:pStyle w:val="TableParagraph"/>
              <w:spacing w:line="205" w:lineRule="exact"/>
              <w:ind w:left="192"/>
              <w:rPr>
                <w:sz w:val="20"/>
              </w:rPr>
            </w:pPr>
            <w:r>
              <w:rPr>
                <w:w w:val="95"/>
                <w:sz w:val="20"/>
              </w:rPr>
              <w:t>кроветворной</w:t>
            </w:r>
            <w:r>
              <w:rPr>
                <w:spacing w:val="43"/>
                <w:sz w:val="20"/>
              </w:rPr>
              <w:t> </w:t>
            </w:r>
            <w:r>
              <w:rPr>
                <w:spacing w:val="-2"/>
                <w:sz w:val="20"/>
              </w:rPr>
              <w:t>тканей),</w:t>
            </w:r>
          </w:p>
        </w:tc>
        <w:tc>
          <w:tcPr>
            <w:tcW w:w="4106" w:type="dxa"/>
            <w:vMerge w:val="restart"/>
          </w:tcPr>
          <w:p>
            <w:pPr>
              <w:pStyle w:val="TableParagraph"/>
              <w:rPr>
                <w:sz w:val="18"/>
              </w:rPr>
            </w:pPr>
          </w:p>
        </w:tc>
        <w:tc>
          <w:tcPr>
            <w:tcW w:w="2406" w:type="dxa"/>
            <w:vMerge w:val="restart"/>
          </w:tcPr>
          <w:p>
            <w:pPr>
              <w:pStyle w:val="TableParagraph"/>
              <w:rPr>
                <w:sz w:val="18"/>
              </w:rPr>
            </w:pPr>
          </w:p>
        </w:tc>
        <w:tc>
          <w:tcPr>
            <w:tcW w:w="3285" w:type="dxa"/>
          </w:tcPr>
          <w:p>
            <w:pPr>
              <w:pStyle w:val="TableParagraph"/>
              <w:spacing w:line="205" w:lineRule="exact"/>
              <w:ind w:left="911" w:right="375"/>
              <w:jc w:val="center"/>
              <w:rPr>
                <w:sz w:val="20"/>
              </w:rPr>
            </w:pPr>
            <w:r>
              <w:rPr>
                <w:sz w:val="20"/>
              </w:rPr>
              <w:t>sh0139.1,</w:t>
            </w:r>
            <w:r>
              <w:rPr>
                <w:spacing w:val="-6"/>
                <w:sz w:val="20"/>
              </w:rPr>
              <w:t> </w:t>
            </w:r>
            <w:r>
              <w:rPr>
                <w:spacing w:val="-2"/>
                <w:sz w:val="20"/>
              </w:rPr>
              <w:t>sh0149,</w:t>
            </w:r>
          </w:p>
        </w:tc>
        <w:tc>
          <w:tcPr>
            <w:tcW w:w="78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4)</w:t>
            </w: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sh0153.1,</w:t>
            </w:r>
            <w:r>
              <w:rPr>
                <w:spacing w:val="-6"/>
                <w:sz w:val="20"/>
              </w:rPr>
              <w:t> </w:t>
            </w:r>
            <w:r>
              <w:rPr>
                <w:spacing w:val="-2"/>
                <w:sz w:val="20"/>
              </w:rPr>
              <w:t>sh0214,</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sh0258,</w:t>
            </w:r>
            <w:r>
              <w:rPr>
                <w:spacing w:val="-6"/>
                <w:sz w:val="20"/>
              </w:rPr>
              <w:t> </w:t>
            </w:r>
            <w:r>
              <w:rPr>
                <w:sz w:val="20"/>
              </w:rPr>
              <w:t>sh0306,</w:t>
            </w:r>
            <w:r>
              <w:rPr>
                <w:spacing w:val="-5"/>
                <w:sz w:val="20"/>
              </w:rPr>
              <w:t> </w:t>
            </w:r>
            <w:r>
              <w:rPr>
                <w:spacing w:val="-2"/>
                <w:sz w:val="20"/>
              </w:rPr>
              <w:t>sh0349,</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sh0368,</w:t>
            </w:r>
            <w:r>
              <w:rPr>
                <w:spacing w:val="-6"/>
                <w:sz w:val="20"/>
              </w:rPr>
              <w:t> </w:t>
            </w:r>
            <w:r>
              <w:rPr>
                <w:sz w:val="20"/>
              </w:rPr>
              <w:t>sh0371,</w:t>
            </w:r>
            <w:r>
              <w:rPr>
                <w:spacing w:val="-5"/>
                <w:sz w:val="20"/>
              </w:rPr>
              <w:t> </w:t>
            </w:r>
            <w:r>
              <w:rPr>
                <w:spacing w:val="-2"/>
                <w:sz w:val="20"/>
              </w:rPr>
              <w:t>sh0472,</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sh0473,</w:t>
            </w:r>
            <w:r>
              <w:rPr>
                <w:spacing w:val="-6"/>
                <w:sz w:val="20"/>
              </w:rPr>
              <w:t> </w:t>
            </w:r>
            <w:r>
              <w:rPr>
                <w:sz w:val="20"/>
              </w:rPr>
              <w:t>sh0493,</w:t>
            </w:r>
            <w:r>
              <w:rPr>
                <w:spacing w:val="-5"/>
                <w:sz w:val="20"/>
              </w:rPr>
              <w:t> </w:t>
            </w:r>
            <w:r>
              <w:rPr>
                <w:spacing w:val="-2"/>
                <w:sz w:val="20"/>
              </w:rPr>
              <w:t>sh0534,</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sh0589,</w:t>
            </w:r>
            <w:r>
              <w:rPr>
                <w:spacing w:val="-6"/>
                <w:sz w:val="20"/>
              </w:rPr>
              <w:t> </w:t>
            </w:r>
            <w:r>
              <w:rPr>
                <w:spacing w:val="-2"/>
                <w:sz w:val="20"/>
              </w:rPr>
              <w:t>sh0605.1,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1" w:lineRule="exact"/>
              <w:ind w:left="911" w:right="375"/>
              <w:jc w:val="center"/>
              <w:rPr>
                <w:sz w:val="20"/>
              </w:rPr>
            </w:pPr>
            <w:r>
              <w:rPr>
                <w:sz w:val="20"/>
              </w:rPr>
              <w:t>sh0635.1,</w:t>
            </w:r>
            <w:r>
              <w:rPr>
                <w:spacing w:val="-6"/>
                <w:sz w:val="20"/>
              </w:rPr>
              <w:t> </w:t>
            </w:r>
            <w:r>
              <w:rPr>
                <w:spacing w:val="-2"/>
                <w:sz w:val="20"/>
              </w:rPr>
              <w:t>sh0672,</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9" w:right="375"/>
              <w:jc w:val="center"/>
              <w:rPr>
                <w:sz w:val="20"/>
              </w:rPr>
            </w:pPr>
            <w:r>
              <w:rPr>
                <w:sz w:val="20"/>
              </w:rPr>
              <w:t>sh0712.1,</w:t>
            </w:r>
            <w:r>
              <w:rPr>
                <w:spacing w:val="-6"/>
                <w:sz w:val="20"/>
              </w:rPr>
              <w:t> </w:t>
            </w:r>
            <w:r>
              <w:rPr>
                <w:spacing w:val="-2"/>
                <w:sz w:val="20"/>
              </w:rPr>
              <w:t>sh0717.1,</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sh0763,</w:t>
            </w:r>
            <w:r>
              <w:rPr>
                <w:spacing w:val="-6"/>
                <w:sz w:val="20"/>
              </w:rPr>
              <w:t> </w:t>
            </w:r>
            <w:r>
              <w:rPr>
                <w:sz w:val="20"/>
              </w:rPr>
              <w:t>sh0771,</w:t>
            </w:r>
            <w:r>
              <w:rPr>
                <w:spacing w:val="-5"/>
                <w:sz w:val="20"/>
              </w:rPr>
              <w:t> </w:t>
            </w:r>
            <w:r>
              <w:rPr>
                <w:spacing w:val="-2"/>
                <w:sz w:val="20"/>
              </w:rPr>
              <w:t>sh0772,</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9" w:right="375"/>
              <w:jc w:val="center"/>
              <w:rPr>
                <w:sz w:val="20"/>
              </w:rPr>
            </w:pPr>
            <w:r>
              <w:rPr>
                <w:sz w:val="20"/>
              </w:rPr>
              <w:t>sh0782,</w:t>
            </w:r>
            <w:r>
              <w:rPr>
                <w:spacing w:val="-6"/>
                <w:sz w:val="20"/>
              </w:rPr>
              <w:t> </w:t>
            </w:r>
            <w:r>
              <w:rPr>
                <w:spacing w:val="-2"/>
                <w:sz w:val="20"/>
              </w:rPr>
              <w:t>sh0785,</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6" w:right="375"/>
              <w:jc w:val="center"/>
              <w:rPr>
                <w:sz w:val="20"/>
              </w:rPr>
            </w:pPr>
            <w:r>
              <w:rPr>
                <w:sz w:val="20"/>
              </w:rPr>
              <w:t>sh0787.1,</w:t>
            </w:r>
            <w:r>
              <w:rPr>
                <w:spacing w:val="-6"/>
                <w:sz w:val="20"/>
              </w:rPr>
              <w:t> </w:t>
            </w:r>
            <w:r>
              <w:rPr>
                <w:spacing w:val="-2"/>
                <w:sz w:val="20"/>
              </w:rPr>
              <w:t>sh0797.1,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6" w:right="375"/>
              <w:jc w:val="center"/>
              <w:rPr>
                <w:sz w:val="20"/>
              </w:rPr>
            </w:pPr>
            <w:r>
              <w:rPr>
                <w:sz w:val="20"/>
              </w:rPr>
              <w:t>sh0800.1,</w:t>
            </w:r>
            <w:r>
              <w:rPr>
                <w:spacing w:val="-6"/>
                <w:sz w:val="20"/>
              </w:rPr>
              <w:t> </w:t>
            </w:r>
            <w:r>
              <w:rPr>
                <w:spacing w:val="-2"/>
                <w:sz w:val="20"/>
              </w:rPr>
              <w:t>sh0811.1,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sh0820,</w:t>
            </w:r>
            <w:r>
              <w:rPr>
                <w:spacing w:val="-6"/>
                <w:sz w:val="20"/>
              </w:rPr>
              <w:t> </w:t>
            </w:r>
            <w:r>
              <w:rPr>
                <w:sz w:val="20"/>
              </w:rPr>
              <w:t>sh0822,</w:t>
            </w:r>
            <w:r>
              <w:rPr>
                <w:spacing w:val="-5"/>
                <w:sz w:val="20"/>
              </w:rPr>
              <w:t> </w:t>
            </w:r>
            <w:r>
              <w:rPr>
                <w:spacing w:val="-2"/>
                <w:sz w:val="20"/>
              </w:rPr>
              <w:t>sh0837,</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sh0841,</w:t>
            </w:r>
            <w:r>
              <w:rPr>
                <w:spacing w:val="-6"/>
                <w:sz w:val="20"/>
              </w:rPr>
              <w:t> </w:t>
            </w:r>
            <w:r>
              <w:rPr>
                <w:sz w:val="20"/>
              </w:rPr>
              <w:t>sh0869,</w:t>
            </w:r>
            <w:r>
              <w:rPr>
                <w:spacing w:val="-5"/>
                <w:sz w:val="20"/>
              </w:rPr>
              <w:t> </w:t>
            </w:r>
            <w:r>
              <w:rPr>
                <w:spacing w:val="-2"/>
                <w:sz w:val="20"/>
              </w:rPr>
              <w:t>sh0874,</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06" w:right="375"/>
              <w:jc w:val="center"/>
              <w:rPr>
                <w:sz w:val="20"/>
              </w:rPr>
            </w:pPr>
            <w:r>
              <w:rPr>
                <w:sz w:val="20"/>
              </w:rPr>
              <w:t>sh0888.1,</w:t>
            </w:r>
            <w:r>
              <w:rPr>
                <w:spacing w:val="-6"/>
                <w:sz w:val="20"/>
              </w:rPr>
              <w:t> </w:t>
            </w:r>
            <w:r>
              <w:rPr>
                <w:spacing w:val="-2"/>
                <w:sz w:val="20"/>
              </w:rPr>
              <w:t>sh0892.1,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sh0895,</w:t>
            </w:r>
            <w:r>
              <w:rPr>
                <w:spacing w:val="-6"/>
                <w:sz w:val="20"/>
              </w:rPr>
              <w:t> </w:t>
            </w:r>
            <w:r>
              <w:rPr>
                <w:sz w:val="20"/>
              </w:rPr>
              <w:t>sh0897,</w:t>
            </w:r>
            <w:r>
              <w:rPr>
                <w:spacing w:val="-5"/>
                <w:sz w:val="20"/>
              </w:rPr>
              <w:t> </w:t>
            </w:r>
            <w:r>
              <w:rPr>
                <w:spacing w:val="-2"/>
                <w:sz w:val="20"/>
              </w:rPr>
              <w:t>sh0936,</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9" w:right="375"/>
              <w:jc w:val="center"/>
              <w:rPr>
                <w:sz w:val="20"/>
              </w:rPr>
            </w:pPr>
            <w:r>
              <w:rPr>
                <w:sz w:val="20"/>
              </w:rPr>
              <w:t>sh0947,</w:t>
            </w:r>
            <w:r>
              <w:rPr>
                <w:spacing w:val="-6"/>
                <w:sz w:val="20"/>
              </w:rPr>
              <w:t> </w:t>
            </w:r>
            <w:r>
              <w:rPr>
                <w:spacing w:val="-2"/>
                <w:sz w:val="20"/>
              </w:rPr>
              <w:t>sh0948,</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1" w:lineRule="exact"/>
              <w:ind w:left="911" w:right="375"/>
              <w:jc w:val="center"/>
              <w:rPr>
                <w:sz w:val="20"/>
              </w:rPr>
            </w:pPr>
            <w:r>
              <w:rPr>
                <w:sz w:val="20"/>
              </w:rPr>
              <w:t>sh0951.1,</w:t>
            </w:r>
            <w:r>
              <w:rPr>
                <w:spacing w:val="-6"/>
                <w:sz w:val="20"/>
              </w:rPr>
              <w:t> </w:t>
            </w:r>
            <w:r>
              <w:rPr>
                <w:spacing w:val="-2"/>
                <w:sz w:val="20"/>
              </w:rPr>
              <w:t>sh0999,</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1" w:lineRule="exact"/>
              <w:ind w:left="911" w:right="375"/>
              <w:jc w:val="center"/>
              <w:rPr>
                <w:sz w:val="20"/>
              </w:rPr>
            </w:pPr>
            <w:r>
              <w:rPr>
                <w:sz w:val="20"/>
              </w:rPr>
              <w:t>sh1038,</w:t>
            </w:r>
            <w:r>
              <w:rPr>
                <w:spacing w:val="-6"/>
                <w:sz w:val="20"/>
              </w:rPr>
              <w:t> </w:t>
            </w:r>
            <w:r>
              <w:rPr>
                <w:spacing w:val="-2"/>
                <w:sz w:val="20"/>
              </w:rPr>
              <w:t>sh1067.1,</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sh1075,</w:t>
            </w:r>
            <w:r>
              <w:rPr>
                <w:spacing w:val="-6"/>
                <w:sz w:val="20"/>
              </w:rPr>
              <w:t> </w:t>
            </w:r>
            <w:r>
              <w:rPr>
                <w:sz w:val="20"/>
              </w:rPr>
              <w:t>sh1078,</w:t>
            </w:r>
            <w:r>
              <w:rPr>
                <w:spacing w:val="-5"/>
                <w:sz w:val="20"/>
              </w:rPr>
              <w:t> </w:t>
            </w:r>
            <w:r>
              <w:rPr>
                <w:spacing w:val="-2"/>
                <w:sz w:val="20"/>
              </w:rPr>
              <w:t>sh1079,</w:t>
            </w:r>
          </w:p>
        </w:tc>
        <w:tc>
          <w:tcPr>
            <w:tcW w:w="78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8"/>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24" w:lineRule="exact"/>
              <w:ind w:left="908" w:right="375"/>
              <w:jc w:val="center"/>
              <w:rPr>
                <w:sz w:val="20"/>
              </w:rPr>
            </w:pPr>
            <w:r>
              <w:rPr>
                <w:sz w:val="20"/>
              </w:rPr>
              <w:t>sh1112,</w:t>
            </w:r>
            <w:r>
              <w:rPr>
                <w:spacing w:val="-6"/>
                <w:sz w:val="20"/>
              </w:rPr>
              <w:t> </w:t>
            </w:r>
            <w:r>
              <w:rPr>
                <w:sz w:val="20"/>
              </w:rPr>
              <w:t>sh1136,</w:t>
            </w:r>
            <w:r>
              <w:rPr>
                <w:spacing w:val="-5"/>
                <w:sz w:val="20"/>
              </w:rPr>
              <w:t> </w:t>
            </w:r>
            <w:r>
              <w:rPr>
                <w:spacing w:val="-2"/>
                <w:sz w:val="20"/>
              </w:rPr>
              <w:t>sh1143</w:t>
            </w:r>
          </w:p>
        </w:tc>
        <w:tc>
          <w:tcPr>
            <w:tcW w:w="78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st19.109</w:t>
            </w:r>
          </w:p>
        </w:tc>
        <w:tc>
          <w:tcPr>
            <w:tcW w:w="707" w:type="dxa"/>
          </w:tcPr>
          <w:p>
            <w:pPr>
              <w:pStyle w:val="TableParagraph"/>
              <w:spacing w:line="215" w:lineRule="exact" w:before="46"/>
              <w:ind w:left="210"/>
              <w:rPr>
                <w:sz w:val="20"/>
              </w:rPr>
            </w:pPr>
            <w:r>
              <w:rPr>
                <w:spacing w:val="-5"/>
                <w:sz w:val="20"/>
              </w:rPr>
              <w:t>162</w:t>
            </w:r>
          </w:p>
        </w:tc>
        <w:tc>
          <w:tcPr>
            <w:tcW w:w="3045" w:type="dxa"/>
          </w:tcPr>
          <w:p>
            <w:pPr>
              <w:pStyle w:val="TableParagraph"/>
              <w:spacing w:line="215" w:lineRule="exact" w:before="46"/>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6" w:type="dxa"/>
          </w:tcPr>
          <w:p>
            <w:pPr>
              <w:pStyle w:val="TableParagraph"/>
              <w:spacing w:line="215" w:lineRule="exact" w:before="46"/>
              <w:ind w:left="492"/>
              <w:jc w:val="center"/>
              <w:rPr>
                <w:sz w:val="20"/>
              </w:rPr>
            </w:pPr>
            <w:r>
              <w:rPr>
                <w:w w:val="99"/>
                <w:sz w:val="20"/>
              </w:rPr>
              <w:t>-</w:t>
            </w:r>
          </w:p>
        </w:tc>
        <w:tc>
          <w:tcPr>
            <w:tcW w:w="3285" w:type="dxa"/>
          </w:tcPr>
          <w:p>
            <w:pPr>
              <w:pStyle w:val="TableParagraph"/>
              <w:spacing w:line="215" w:lineRule="exact" w:before="46"/>
              <w:ind w:left="911" w:right="375"/>
              <w:jc w:val="center"/>
              <w:rPr>
                <w:sz w:val="20"/>
              </w:rPr>
            </w:pPr>
            <w:r>
              <w:rPr>
                <w:sz w:val="20"/>
              </w:rPr>
              <w:t>Возрастная</w:t>
            </w:r>
            <w:r>
              <w:rPr>
                <w:spacing w:val="-11"/>
                <w:sz w:val="20"/>
              </w:rPr>
              <w:t> </w:t>
            </w:r>
            <w:r>
              <w:rPr>
                <w:spacing w:val="-2"/>
                <w:sz w:val="20"/>
              </w:rPr>
              <w:t>группа:</w:t>
            </w:r>
          </w:p>
        </w:tc>
        <w:tc>
          <w:tcPr>
            <w:tcW w:w="781" w:type="dxa"/>
          </w:tcPr>
          <w:p>
            <w:pPr>
              <w:pStyle w:val="TableParagraph"/>
              <w:spacing w:line="215" w:lineRule="exact" w:before="46"/>
              <w:ind w:left="377"/>
              <w:rPr>
                <w:sz w:val="20"/>
              </w:rPr>
            </w:pPr>
            <w:r>
              <w:rPr>
                <w:spacing w:val="-4"/>
                <w:sz w:val="20"/>
              </w:rPr>
              <w:t>2,16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11" w:right="37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07" w:right="375"/>
              <w:jc w:val="center"/>
              <w:rPr>
                <w:sz w:val="20"/>
              </w:rPr>
            </w:pPr>
            <w:r>
              <w:rPr>
                <w:sz w:val="20"/>
              </w:rPr>
              <w:t>Схемы:</w:t>
            </w:r>
            <w:r>
              <w:rPr>
                <w:spacing w:val="-9"/>
                <w:sz w:val="20"/>
              </w:rPr>
              <w:t> </w:t>
            </w:r>
            <w:r>
              <w:rPr>
                <w:spacing w:val="-2"/>
                <w:sz w:val="20"/>
              </w:rPr>
              <w:t>sh0084.1,</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sh0140.1,</w:t>
            </w:r>
            <w:r>
              <w:rPr>
                <w:spacing w:val="-6"/>
                <w:sz w:val="20"/>
              </w:rPr>
              <w:t> </w:t>
            </w:r>
            <w:r>
              <w:rPr>
                <w:spacing w:val="-2"/>
                <w:sz w:val="20"/>
              </w:rPr>
              <w:t>sh0195,</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4"/>
              <w:jc w:val="center"/>
              <w:rPr>
                <w:sz w:val="20"/>
              </w:rPr>
            </w:pPr>
            <w:r>
              <w:rPr>
                <w:sz w:val="20"/>
              </w:rPr>
              <w:t>sh0202.1,</w:t>
            </w:r>
            <w:r>
              <w:rPr>
                <w:spacing w:val="-6"/>
                <w:sz w:val="20"/>
              </w:rPr>
              <w:t> </w:t>
            </w:r>
            <w:r>
              <w:rPr>
                <w:spacing w:val="-2"/>
                <w:sz w:val="20"/>
              </w:rPr>
              <w:t>sh0215,</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5)</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sh0216,</w:t>
            </w:r>
            <w:r>
              <w:rPr>
                <w:spacing w:val="-6"/>
                <w:sz w:val="20"/>
              </w:rPr>
              <w:t> </w:t>
            </w:r>
            <w:r>
              <w:rPr>
                <w:sz w:val="20"/>
              </w:rPr>
              <w:t>sh0217,</w:t>
            </w:r>
            <w:r>
              <w:rPr>
                <w:spacing w:val="-5"/>
                <w:sz w:val="20"/>
              </w:rPr>
              <w:t> </w:t>
            </w:r>
            <w:r>
              <w:rPr>
                <w:spacing w:val="-2"/>
                <w:sz w:val="20"/>
              </w:rPr>
              <w:t>sh0308,</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09" w:right="375"/>
              <w:jc w:val="center"/>
              <w:rPr>
                <w:sz w:val="20"/>
              </w:rPr>
            </w:pPr>
            <w:r>
              <w:rPr>
                <w:sz w:val="20"/>
              </w:rPr>
              <w:t>sh0311,</w:t>
            </w:r>
            <w:r>
              <w:rPr>
                <w:spacing w:val="-6"/>
                <w:sz w:val="20"/>
              </w:rPr>
              <w:t> </w:t>
            </w:r>
            <w:r>
              <w:rPr>
                <w:spacing w:val="-2"/>
                <w:sz w:val="20"/>
              </w:rPr>
              <w:t>sh0437,</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sh0564.1,</w:t>
            </w:r>
            <w:r>
              <w:rPr>
                <w:spacing w:val="-6"/>
                <w:sz w:val="20"/>
              </w:rPr>
              <w:t> </w:t>
            </w:r>
            <w:r>
              <w:rPr>
                <w:spacing w:val="-2"/>
                <w:sz w:val="20"/>
              </w:rPr>
              <w:t>sh0638,</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11" w:right="375"/>
              <w:jc w:val="center"/>
              <w:rPr>
                <w:sz w:val="20"/>
              </w:rPr>
            </w:pPr>
            <w:r>
              <w:rPr>
                <w:sz w:val="20"/>
              </w:rPr>
              <w:t>sh0653,</w:t>
            </w:r>
            <w:r>
              <w:rPr>
                <w:spacing w:val="-6"/>
                <w:sz w:val="20"/>
              </w:rPr>
              <w:t> </w:t>
            </w:r>
            <w:r>
              <w:rPr>
                <w:sz w:val="20"/>
              </w:rPr>
              <w:t>sh0664,</w:t>
            </w:r>
            <w:r>
              <w:rPr>
                <w:spacing w:val="-5"/>
                <w:sz w:val="20"/>
              </w:rPr>
              <w:t> </w:t>
            </w:r>
            <w:r>
              <w:rPr>
                <w:spacing w:val="-2"/>
                <w:sz w:val="20"/>
              </w:rPr>
              <w:t>sh0665,</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sh0673.1,</w:t>
            </w:r>
            <w:r>
              <w:rPr>
                <w:spacing w:val="-6"/>
                <w:sz w:val="20"/>
              </w:rPr>
              <w:t> </w:t>
            </w:r>
            <w:r>
              <w:rPr>
                <w:spacing w:val="-2"/>
                <w:sz w:val="20"/>
              </w:rPr>
              <w:t>sh0718,</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06" w:right="375"/>
              <w:jc w:val="center"/>
              <w:rPr>
                <w:sz w:val="20"/>
              </w:rPr>
            </w:pPr>
            <w:r>
              <w:rPr>
                <w:sz w:val="20"/>
              </w:rPr>
              <w:t>sh0779.1,</w:t>
            </w:r>
            <w:r>
              <w:rPr>
                <w:spacing w:val="-6"/>
                <w:sz w:val="20"/>
              </w:rPr>
              <w:t> </w:t>
            </w:r>
            <w:r>
              <w:rPr>
                <w:spacing w:val="-2"/>
                <w:sz w:val="20"/>
              </w:rPr>
              <w:t>sh0780.1,</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sh0806,</w:t>
            </w:r>
            <w:r>
              <w:rPr>
                <w:spacing w:val="-6"/>
                <w:sz w:val="20"/>
              </w:rPr>
              <w:t> </w:t>
            </w:r>
            <w:r>
              <w:rPr>
                <w:sz w:val="20"/>
              </w:rPr>
              <w:t>sh0825,</w:t>
            </w:r>
            <w:r>
              <w:rPr>
                <w:spacing w:val="-5"/>
                <w:sz w:val="20"/>
              </w:rPr>
              <w:t> </w:t>
            </w:r>
            <w:r>
              <w:rPr>
                <w:spacing w:val="-2"/>
                <w:sz w:val="20"/>
              </w:rPr>
              <w:t>sh0833,</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sh0836,</w:t>
            </w:r>
            <w:r>
              <w:rPr>
                <w:spacing w:val="-6"/>
                <w:sz w:val="20"/>
              </w:rPr>
              <w:t> </w:t>
            </w:r>
            <w:r>
              <w:rPr>
                <w:sz w:val="20"/>
              </w:rPr>
              <w:t>sh0838,</w:t>
            </w:r>
            <w:r>
              <w:rPr>
                <w:spacing w:val="-5"/>
                <w:sz w:val="20"/>
              </w:rPr>
              <w:t> </w:t>
            </w:r>
            <w:r>
              <w:rPr>
                <w:spacing w:val="-2"/>
                <w:sz w:val="20"/>
              </w:rPr>
              <w:t>sh0854,</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09" w:right="375"/>
              <w:jc w:val="center"/>
              <w:rPr>
                <w:sz w:val="20"/>
              </w:rPr>
            </w:pPr>
            <w:r>
              <w:rPr>
                <w:sz w:val="20"/>
              </w:rPr>
              <w:t>sh0858,</w:t>
            </w:r>
            <w:r>
              <w:rPr>
                <w:spacing w:val="-6"/>
                <w:sz w:val="20"/>
              </w:rPr>
              <w:t> </w:t>
            </w:r>
            <w:r>
              <w:rPr>
                <w:spacing w:val="-2"/>
                <w:sz w:val="20"/>
              </w:rPr>
              <w:t>sh0891,</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11" w:right="375"/>
              <w:jc w:val="center"/>
              <w:rPr>
                <w:sz w:val="20"/>
              </w:rPr>
            </w:pPr>
            <w:r>
              <w:rPr>
                <w:sz w:val="20"/>
              </w:rPr>
              <w:t>sh0909.1,</w:t>
            </w:r>
            <w:r>
              <w:rPr>
                <w:spacing w:val="-6"/>
                <w:sz w:val="20"/>
              </w:rPr>
              <w:t> </w:t>
            </w:r>
            <w:r>
              <w:rPr>
                <w:spacing w:val="-2"/>
                <w:sz w:val="20"/>
              </w:rPr>
              <w:t>sh0914,</w:t>
            </w:r>
          </w:p>
        </w:tc>
        <w:tc>
          <w:tcPr>
            <w:tcW w:w="78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5" w:lineRule="exact"/>
              <w:ind w:left="911" w:right="375"/>
              <w:jc w:val="center"/>
              <w:rPr>
                <w:sz w:val="20"/>
              </w:rPr>
            </w:pPr>
            <w:r>
              <w:rPr>
                <w:sz w:val="20"/>
              </w:rPr>
              <w:t>sh0943,</w:t>
            </w:r>
            <w:r>
              <w:rPr>
                <w:spacing w:val="-6"/>
                <w:sz w:val="20"/>
              </w:rPr>
              <w:t> </w:t>
            </w:r>
            <w:r>
              <w:rPr>
                <w:sz w:val="20"/>
              </w:rPr>
              <w:t>sh0963,</w:t>
            </w:r>
            <w:r>
              <w:rPr>
                <w:spacing w:val="-5"/>
                <w:sz w:val="20"/>
              </w:rPr>
              <w:t> </w:t>
            </w:r>
            <w:r>
              <w:rPr>
                <w:spacing w:val="-2"/>
                <w:sz w:val="20"/>
              </w:rPr>
              <w:t>sh0964,</w:t>
            </w:r>
          </w:p>
        </w:tc>
        <w:tc>
          <w:tcPr>
            <w:tcW w:w="78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3"/>
        <w:gridCol w:w="3291"/>
        <w:gridCol w:w="780"/>
      </w:tblGrid>
      <w:tr>
        <w:trPr>
          <w:trHeight w:val="119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91" w:type="dxa"/>
          </w:tcPr>
          <w:p>
            <w:pPr>
              <w:pStyle w:val="TableParagraph"/>
              <w:ind w:left="921" w:right="383" w:firstLine="3"/>
              <w:jc w:val="center"/>
              <w:rPr>
                <w:sz w:val="20"/>
              </w:rPr>
            </w:pPr>
            <w:r>
              <w:rPr>
                <w:sz w:val="20"/>
              </w:rPr>
              <w:t>sh1003, sh1031.1, sh1032,</w:t>
            </w:r>
            <w:r>
              <w:rPr>
                <w:spacing w:val="-13"/>
                <w:sz w:val="20"/>
              </w:rPr>
              <w:t> </w:t>
            </w:r>
            <w:r>
              <w:rPr>
                <w:sz w:val="20"/>
              </w:rPr>
              <w:t>sh1033,</w:t>
            </w:r>
            <w:r>
              <w:rPr>
                <w:spacing w:val="-12"/>
                <w:sz w:val="20"/>
              </w:rPr>
              <w:t> </w:t>
            </w:r>
            <w:r>
              <w:rPr>
                <w:sz w:val="20"/>
              </w:rPr>
              <w:t>sh1076, sh1081,</w:t>
            </w:r>
            <w:r>
              <w:rPr>
                <w:spacing w:val="-13"/>
                <w:sz w:val="20"/>
              </w:rPr>
              <w:t> </w:t>
            </w:r>
            <w:r>
              <w:rPr>
                <w:sz w:val="20"/>
              </w:rPr>
              <w:t>sh1085,</w:t>
            </w:r>
            <w:r>
              <w:rPr>
                <w:spacing w:val="-12"/>
                <w:sz w:val="20"/>
              </w:rPr>
              <w:t> </w:t>
            </w:r>
            <w:r>
              <w:rPr>
                <w:sz w:val="20"/>
              </w:rPr>
              <w:t>sh1097, sh1101,</w:t>
            </w:r>
            <w:r>
              <w:rPr>
                <w:spacing w:val="-6"/>
                <w:sz w:val="20"/>
              </w:rPr>
              <w:t> </w:t>
            </w:r>
            <w:r>
              <w:rPr>
                <w:sz w:val="20"/>
              </w:rPr>
              <w:t>sh1130,</w:t>
            </w:r>
            <w:r>
              <w:rPr>
                <w:spacing w:val="-5"/>
                <w:sz w:val="20"/>
              </w:rPr>
              <w:t> </w:t>
            </w:r>
            <w:r>
              <w:rPr>
                <w:spacing w:val="-2"/>
                <w:sz w:val="20"/>
              </w:rPr>
              <w:t>sh1131,</w:t>
            </w:r>
          </w:p>
          <w:p>
            <w:pPr>
              <w:pStyle w:val="TableParagraph"/>
              <w:spacing w:line="229" w:lineRule="exact"/>
              <w:ind w:left="914" w:right="379"/>
              <w:jc w:val="center"/>
              <w:rPr>
                <w:sz w:val="20"/>
              </w:rPr>
            </w:pPr>
            <w:r>
              <w:rPr>
                <w:spacing w:val="-2"/>
                <w:sz w:val="20"/>
              </w:rPr>
              <w:t>sh1132</w:t>
            </w:r>
          </w:p>
        </w:tc>
        <w:tc>
          <w:tcPr>
            <w:tcW w:w="780" w:type="dxa"/>
          </w:tcPr>
          <w:p>
            <w:pPr>
              <w:pStyle w:val="TableParagraph"/>
              <w:rPr>
                <w:sz w:val="18"/>
              </w:rPr>
            </w:pPr>
          </w:p>
        </w:tc>
      </w:tr>
      <w:tr>
        <w:trPr>
          <w:trHeight w:val="4700" w:hRule="atLeast"/>
        </w:trPr>
        <w:tc>
          <w:tcPr>
            <w:tcW w:w="946" w:type="dxa"/>
          </w:tcPr>
          <w:p>
            <w:pPr>
              <w:pStyle w:val="TableParagraph"/>
              <w:spacing w:before="46"/>
              <w:ind w:left="50"/>
              <w:rPr>
                <w:sz w:val="20"/>
              </w:rPr>
            </w:pPr>
            <w:r>
              <w:rPr>
                <w:spacing w:val="-2"/>
                <w:sz w:val="20"/>
              </w:rPr>
              <w:t>st19.110</w:t>
            </w:r>
          </w:p>
        </w:tc>
        <w:tc>
          <w:tcPr>
            <w:tcW w:w="707" w:type="dxa"/>
          </w:tcPr>
          <w:p>
            <w:pPr>
              <w:pStyle w:val="TableParagraph"/>
              <w:spacing w:before="46"/>
              <w:ind w:left="210"/>
              <w:rPr>
                <w:sz w:val="20"/>
              </w:rPr>
            </w:pPr>
            <w:r>
              <w:rPr>
                <w:spacing w:val="-5"/>
                <w:sz w:val="20"/>
              </w:rPr>
              <w:t>163</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6)</w:t>
            </w:r>
          </w:p>
        </w:tc>
        <w:tc>
          <w:tcPr>
            <w:tcW w:w="4106"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before="46"/>
              <w:ind w:right="918"/>
              <w:jc w:val="right"/>
              <w:rPr>
                <w:sz w:val="20"/>
              </w:rPr>
            </w:pPr>
            <w:r>
              <w:rPr>
                <w:w w:val="99"/>
                <w:sz w:val="20"/>
              </w:rPr>
              <w:t>-</w:t>
            </w:r>
          </w:p>
        </w:tc>
        <w:tc>
          <w:tcPr>
            <w:tcW w:w="3291" w:type="dxa"/>
          </w:tcPr>
          <w:p>
            <w:pPr>
              <w:pStyle w:val="TableParagraph"/>
              <w:spacing w:before="46"/>
              <w:ind w:left="914" w:right="375"/>
              <w:jc w:val="center"/>
              <w:rPr>
                <w:sz w:val="20"/>
              </w:rPr>
            </w:pPr>
            <w:r>
              <w:rPr>
                <w:sz w:val="20"/>
              </w:rPr>
              <w:t>Возрастная</w:t>
            </w:r>
            <w:r>
              <w:rPr>
                <w:spacing w:val="-13"/>
                <w:sz w:val="20"/>
              </w:rPr>
              <w:t> </w:t>
            </w:r>
            <w:r>
              <w:rPr>
                <w:sz w:val="20"/>
              </w:rPr>
              <w:t>группа: старше 18 лет</w:t>
            </w:r>
          </w:p>
          <w:p>
            <w:pPr>
              <w:pStyle w:val="TableParagraph"/>
              <w:ind w:left="914" w:right="380"/>
              <w:jc w:val="center"/>
              <w:rPr>
                <w:sz w:val="20"/>
              </w:rPr>
            </w:pPr>
            <w:r>
              <w:rPr>
                <w:sz w:val="20"/>
              </w:rPr>
              <w:t>Схемы:</w:t>
            </w:r>
            <w:r>
              <w:rPr>
                <w:spacing w:val="-13"/>
                <w:sz w:val="20"/>
              </w:rPr>
              <w:t> </w:t>
            </w:r>
            <w:r>
              <w:rPr>
                <w:sz w:val="20"/>
              </w:rPr>
              <w:t>sh0085,</w:t>
            </w:r>
            <w:r>
              <w:rPr>
                <w:spacing w:val="-12"/>
                <w:sz w:val="20"/>
              </w:rPr>
              <w:t> </w:t>
            </w:r>
            <w:r>
              <w:rPr>
                <w:sz w:val="20"/>
              </w:rPr>
              <w:t>sh0088, sh0161,</w:t>
            </w:r>
            <w:r>
              <w:rPr>
                <w:spacing w:val="-13"/>
                <w:sz w:val="20"/>
              </w:rPr>
              <w:t> </w:t>
            </w:r>
            <w:r>
              <w:rPr>
                <w:sz w:val="20"/>
              </w:rPr>
              <w:t>sh0162,</w:t>
            </w:r>
            <w:r>
              <w:rPr>
                <w:spacing w:val="-12"/>
                <w:sz w:val="20"/>
              </w:rPr>
              <w:t> </w:t>
            </w:r>
            <w:r>
              <w:rPr>
                <w:sz w:val="20"/>
              </w:rPr>
              <w:t>sh0179, sh0207,</w:t>
            </w:r>
            <w:r>
              <w:rPr>
                <w:spacing w:val="-13"/>
                <w:sz w:val="20"/>
              </w:rPr>
              <w:t> </w:t>
            </w:r>
            <w:r>
              <w:rPr>
                <w:sz w:val="20"/>
              </w:rPr>
              <w:t>sh0209,</w:t>
            </w:r>
            <w:r>
              <w:rPr>
                <w:spacing w:val="-12"/>
                <w:sz w:val="20"/>
              </w:rPr>
              <w:t> </w:t>
            </w:r>
            <w:r>
              <w:rPr>
                <w:sz w:val="20"/>
              </w:rPr>
              <w:t>sh0218, sh0255,</w:t>
            </w:r>
            <w:r>
              <w:rPr>
                <w:spacing w:val="-13"/>
                <w:sz w:val="20"/>
              </w:rPr>
              <w:t> </w:t>
            </w:r>
            <w:r>
              <w:rPr>
                <w:sz w:val="20"/>
              </w:rPr>
              <w:t>sh0335,</w:t>
            </w:r>
            <w:r>
              <w:rPr>
                <w:spacing w:val="-12"/>
                <w:sz w:val="20"/>
              </w:rPr>
              <w:t> </w:t>
            </w:r>
            <w:r>
              <w:rPr>
                <w:sz w:val="20"/>
              </w:rPr>
              <w:t>sh0398, sh0399,</w:t>
            </w:r>
            <w:r>
              <w:rPr>
                <w:spacing w:val="-13"/>
                <w:sz w:val="20"/>
              </w:rPr>
              <w:t> </w:t>
            </w:r>
            <w:r>
              <w:rPr>
                <w:sz w:val="20"/>
              </w:rPr>
              <w:t>sh0464,</w:t>
            </w:r>
            <w:r>
              <w:rPr>
                <w:spacing w:val="-12"/>
                <w:sz w:val="20"/>
              </w:rPr>
              <w:t> </w:t>
            </w:r>
            <w:r>
              <w:rPr>
                <w:sz w:val="20"/>
              </w:rPr>
              <w:t>sh0474, sh0538,</w:t>
            </w:r>
            <w:r>
              <w:rPr>
                <w:spacing w:val="-13"/>
                <w:sz w:val="20"/>
              </w:rPr>
              <w:t> </w:t>
            </w:r>
            <w:r>
              <w:rPr>
                <w:sz w:val="20"/>
              </w:rPr>
              <w:t>sh0557,</w:t>
            </w:r>
            <w:r>
              <w:rPr>
                <w:spacing w:val="-12"/>
                <w:sz w:val="20"/>
              </w:rPr>
              <w:t> </w:t>
            </w:r>
            <w:r>
              <w:rPr>
                <w:sz w:val="20"/>
              </w:rPr>
              <w:t>sh0620, sh0645,</w:t>
            </w:r>
            <w:r>
              <w:rPr>
                <w:spacing w:val="-13"/>
                <w:sz w:val="20"/>
              </w:rPr>
              <w:t> </w:t>
            </w:r>
            <w:r>
              <w:rPr>
                <w:sz w:val="20"/>
              </w:rPr>
              <w:t>sh0648,</w:t>
            </w:r>
            <w:r>
              <w:rPr>
                <w:spacing w:val="-12"/>
                <w:sz w:val="20"/>
              </w:rPr>
              <w:t> </w:t>
            </w:r>
            <w:r>
              <w:rPr>
                <w:sz w:val="20"/>
              </w:rPr>
              <w:t>sh0670, sh0701, sh0820.1, sh0821,</w:t>
            </w:r>
            <w:r>
              <w:rPr>
                <w:spacing w:val="-13"/>
                <w:sz w:val="20"/>
              </w:rPr>
              <w:t> </w:t>
            </w:r>
            <w:r>
              <w:rPr>
                <w:sz w:val="20"/>
              </w:rPr>
              <w:t>sh0823,</w:t>
            </w:r>
            <w:r>
              <w:rPr>
                <w:spacing w:val="-12"/>
                <w:sz w:val="20"/>
              </w:rPr>
              <w:t> </w:t>
            </w:r>
            <w:r>
              <w:rPr>
                <w:sz w:val="20"/>
              </w:rPr>
              <w:t>sh0834, sh0842,</w:t>
            </w:r>
            <w:r>
              <w:rPr>
                <w:spacing w:val="-13"/>
                <w:sz w:val="20"/>
              </w:rPr>
              <w:t> </w:t>
            </w:r>
            <w:r>
              <w:rPr>
                <w:sz w:val="20"/>
              </w:rPr>
              <w:t>sh0848,</w:t>
            </w:r>
            <w:r>
              <w:rPr>
                <w:spacing w:val="-12"/>
                <w:sz w:val="20"/>
              </w:rPr>
              <w:t> </w:t>
            </w:r>
            <w:r>
              <w:rPr>
                <w:sz w:val="20"/>
              </w:rPr>
              <w:t>sh0850, sh0852,</w:t>
            </w:r>
            <w:r>
              <w:rPr>
                <w:spacing w:val="-13"/>
                <w:sz w:val="20"/>
              </w:rPr>
              <w:t> </w:t>
            </w:r>
            <w:r>
              <w:rPr>
                <w:sz w:val="20"/>
              </w:rPr>
              <w:t>sh0855,</w:t>
            </w:r>
            <w:r>
              <w:rPr>
                <w:spacing w:val="-12"/>
                <w:sz w:val="20"/>
              </w:rPr>
              <w:t> </w:t>
            </w:r>
            <w:r>
              <w:rPr>
                <w:sz w:val="20"/>
              </w:rPr>
              <w:t>sh0859, sh0866, sh0868, sh0880.1, sh0906, sh0912,</w:t>
            </w:r>
            <w:r>
              <w:rPr>
                <w:spacing w:val="-13"/>
                <w:sz w:val="20"/>
              </w:rPr>
              <w:t> </w:t>
            </w:r>
            <w:r>
              <w:rPr>
                <w:sz w:val="20"/>
              </w:rPr>
              <w:t>sh0937,</w:t>
            </w:r>
            <w:r>
              <w:rPr>
                <w:spacing w:val="-12"/>
                <w:sz w:val="20"/>
              </w:rPr>
              <w:t> </w:t>
            </w:r>
            <w:r>
              <w:rPr>
                <w:sz w:val="20"/>
              </w:rPr>
              <w:t>sh0949, sh0965,</w:t>
            </w:r>
            <w:r>
              <w:rPr>
                <w:spacing w:val="-13"/>
                <w:sz w:val="20"/>
              </w:rPr>
              <w:t> </w:t>
            </w:r>
            <w:r>
              <w:rPr>
                <w:sz w:val="20"/>
              </w:rPr>
              <w:t>sh0967,</w:t>
            </w:r>
            <w:r>
              <w:rPr>
                <w:spacing w:val="-12"/>
                <w:sz w:val="20"/>
              </w:rPr>
              <w:t> </w:t>
            </w:r>
            <w:r>
              <w:rPr>
                <w:sz w:val="20"/>
              </w:rPr>
              <w:t>sh0994, sh0995,</w:t>
            </w:r>
            <w:r>
              <w:rPr>
                <w:spacing w:val="-13"/>
                <w:sz w:val="20"/>
              </w:rPr>
              <w:t> </w:t>
            </w:r>
            <w:r>
              <w:rPr>
                <w:sz w:val="20"/>
              </w:rPr>
              <w:t>sh1066,</w:t>
            </w:r>
            <w:r>
              <w:rPr>
                <w:spacing w:val="-12"/>
                <w:sz w:val="20"/>
              </w:rPr>
              <w:t> </w:t>
            </w:r>
            <w:r>
              <w:rPr>
                <w:sz w:val="20"/>
              </w:rPr>
              <w:t>sh1069, sh1075.1, sh1079.1, sh1136.1, sh1144</w:t>
            </w:r>
          </w:p>
        </w:tc>
        <w:tc>
          <w:tcPr>
            <w:tcW w:w="780" w:type="dxa"/>
          </w:tcPr>
          <w:p>
            <w:pPr>
              <w:pStyle w:val="TableParagraph"/>
              <w:spacing w:before="46"/>
              <w:ind w:right="52"/>
              <w:jc w:val="right"/>
              <w:rPr>
                <w:sz w:val="20"/>
              </w:rPr>
            </w:pPr>
            <w:r>
              <w:rPr>
                <w:spacing w:val="-4"/>
                <w:sz w:val="20"/>
              </w:rPr>
              <w:t>2,68</w:t>
            </w:r>
          </w:p>
        </w:tc>
      </w:tr>
      <w:tr>
        <w:trPr>
          <w:trHeight w:val="2575" w:hRule="atLeast"/>
        </w:trPr>
        <w:tc>
          <w:tcPr>
            <w:tcW w:w="946" w:type="dxa"/>
          </w:tcPr>
          <w:p>
            <w:pPr>
              <w:pStyle w:val="TableParagraph"/>
              <w:spacing w:before="46"/>
              <w:ind w:left="50"/>
              <w:rPr>
                <w:sz w:val="20"/>
              </w:rPr>
            </w:pPr>
            <w:r>
              <w:rPr>
                <w:spacing w:val="-2"/>
                <w:sz w:val="20"/>
              </w:rPr>
              <w:t>st19.111</w:t>
            </w:r>
          </w:p>
        </w:tc>
        <w:tc>
          <w:tcPr>
            <w:tcW w:w="707" w:type="dxa"/>
          </w:tcPr>
          <w:p>
            <w:pPr>
              <w:pStyle w:val="TableParagraph"/>
              <w:spacing w:before="46"/>
              <w:ind w:left="210"/>
              <w:rPr>
                <w:sz w:val="20"/>
              </w:rPr>
            </w:pPr>
            <w:r>
              <w:rPr>
                <w:spacing w:val="-5"/>
                <w:sz w:val="20"/>
              </w:rPr>
              <w:t>164</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7)</w:t>
            </w:r>
          </w:p>
        </w:tc>
        <w:tc>
          <w:tcPr>
            <w:tcW w:w="4106"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before="46"/>
              <w:ind w:right="918"/>
              <w:jc w:val="right"/>
              <w:rPr>
                <w:sz w:val="20"/>
              </w:rPr>
            </w:pPr>
            <w:r>
              <w:rPr>
                <w:w w:val="99"/>
                <w:sz w:val="20"/>
              </w:rPr>
              <w:t>-</w:t>
            </w:r>
          </w:p>
        </w:tc>
        <w:tc>
          <w:tcPr>
            <w:tcW w:w="3291" w:type="dxa"/>
          </w:tcPr>
          <w:p>
            <w:pPr>
              <w:pStyle w:val="TableParagraph"/>
              <w:spacing w:before="46"/>
              <w:ind w:left="1087" w:right="549"/>
              <w:jc w:val="center"/>
              <w:rPr>
                <w:sz w:val="20"/>
              </w:rPr>
            </w:pPr>
            <w:r>
              <w:rPr>
                <w:sz w:val="20"/>
              </w:rPr>
              <w:t>Возрастная</w:t>
            </w:r>
            <w:r>
              <w:rPr>
                <w:spacing w:val="-13"/>
                <w:sz w:val="20"/>
              </w:rPr>
              <w:t> </w:t>
            </w:r>
            <w:r>
              <w:rPr>
                <w:sz w:val="20"/>
              </w:rPr>
              <w:t>группа: старше 18 лет Схемы: sh0011, sh0027.1, sh0066,</w:t>
            </w:r>
          </w:p>
          <w:p>
            <w:pPr>
              <w:pStyle w:val="TableParagraph"/>
              <w:ind w:left="921" w:right="380" w:hanging="4"/>
              <w:jc w:val="center"/>
              <w:rPr>
                <w:sz w:val="20"/>
              </w:rPr>
            </w:pPr>
            <w:r>
              <w:rPr>
                <w:sz w:val="20"/>
              </w:rPr>
              <w:t>sh0069,</w:t>
            </w:r>
            <w:r>
              <w:rPr>
                <w:spacing w:val="-13"/>
                <w:sz w:val="20"/>
              </w:rPr>
              <w:t> </w:t>
            </w:r>
            <w:r>
              <w:rPr>
                <w:sz w:val="20"/>
              </w:rPr>
              <w:t>sh0094,</w:t>
            </w:r>
            <w:r>
              <w:rPr>
                <w:spacing w:val="-12"/>
                <w:sz w:val="20"/>
              </w:rPr>
              <w:t> </w:t>
            </w:r>
            <w:r>
              <w:rPr>
                <w:sz w:val="20"/>
              </w:rPr>
              <w:t>sh0150, sh0306.1, sh0308.1, sh0331,</w:t>
            </w:r>
            <w:r>
              <w:rPr>
                <w:spacing w:val="-13"/>
                <w:sz w:val="20"/>
              </w:rPr>
              <w:t> </w:t>
            </w:r>
            <w:r>
              <w:rPr>
                <w:sz w:val="20"/>
              </w:rPr>
              <w:t>sh0347,</w:t>
            </w:r>
            <w:r>
              <w:rPr>
                <w:spacing w:val="-12"/>
                <w:sz w:val="20"/>
              </w:rPr>
              <w:t> </w:t>
            </w:r>
            <w:r>
              <w:rPr>
                <w:sz w:val="20"/>
              </w:rPr>
              <w:t>sh0418, sh0438,</w:t>
            </w:r>
            <w:r>
              <w:rPr>
                <w:spacing w:val="-13"/>
                <w:sz w:val="20"/>
              </w:rPr>
              <w:t> </w:t>
            </w:r>
            <w:r>
              <w:rPr>
                <w:sz w:val="20"/>
              </w:rPr>
              <w:t>sh0494,</w:t>
            </w:r>
            <w:r>
              <w:rPr>
                <w:spacing w:val="-12"/>
                <w:sz w:val="20"/>
              </w:rPr>
              <w:t> </w:t>
            </w:r>
            <w:r>
              <w:rPr>
                <w:sz w:val="20"/>
              </w:rPr>
              <w:t>sh0576, sh0647,</w:t>
            </w:r>
            <w:r>
              <w:rPr>
                <w:spacing w:val="-13"/>
                <w:sz w:val="20"/>
              </w:rPr>
              <w:t> </w:t>
            </w:r>
            <w:r>
              <w:rPr>
                <w:sz w:val="20"/>
              </w:rPr>
              <w:t>sh0676,</w:t>
            </w:r>
            <w:r>
              <w:rPr>
                <w:spacing w:val="-12"/>
                <w:sz w:val="20"/>
              </w:rPr>
              <w:t> </w:t>
            </w:r>
            <w:r>
              <w:rPr>
                <w:sz w:val="20"/>
              </w:rPr>
              <w:t>sh0696, sh0697, sh0835.1,</w:t>
            </w:r>
          </w:p>
          <w:p>
            <w:pPr>
              <w:pStyle w:val="TableParagraph"/>
              <w:spacing w:line="210" w:lineRule="exact"/>
              <w:ind w:left="914" w:right="378"/>
              <w:jc w:val="center"/>
              <w:rPr>
                <w:sz w:val="20"/>
              </w:rPr>
            </w:pPr>
            <w:r>
              <w:rPr>
                <w:sz w:val="20"/>
              </w:rPr>
              <w:t>sh0837.1,</w:t>
            </w:r>
            <w:r>
              <w:rPr>
                <w:spacing w:val="-6"/>
                <w:sz w:val="20"/>
              </w:rPr>
              <w:t> </w:t>
            </w:r>
            <w:r>
              <w:rPr>
                <w:spacing w:val="-2"/>
                <w:sz w:val="20"/>
              </w:rPr>
              <w:t>sh0839,</w:t>
            </w:r>
          </w:p>
        </w:tc>
        <w:tc>
          <w:tcPr>
            <w:tcW w:w="780" w:type="dxa"/>
          </w:tcPr>
          <w:p>
            <w:pPr>
              <w:pStyle w:val="TableParagraph"/>
              <w:spacing w:before="46"/>
              <w:ind w:right="52"/>
              <w:jc w:val="right"/>
              <w:rPr>
                <w:sz w:val="20"/>
              </w:rPr>
            </w:pPr>
            <w:r>
              <w:rPr>
                <w:spacing w:val="-4"/>
                <w:sz w:val="20"/>
              </w:rPr>
              <w:t>3,53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570"/>
        <w:gridCol w:w="1938"/>
        <w:gridCol w:w="3290"/>
        <w:gridCol w:w="780"/>
      </w:tblGrid>
      <w:tr>
        <w:trPr>
          <w:trHeight w:val="119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570" w:type="dxa"/>
          </w:tcPr>
          <w:p>
            <w:pPr>
              <w:pStyle w:val="TableParagraph"/>
              <w:rPr>
                <w:sz w:val="18"/>
              </w:rPr>
            </w:pPr>
          </w:p>
        </w:tc>
        <w:tc>
          <w:tcPr>
            <w:tcW w:w="1938" w:type="dxa"/>
          </w:tcPr>
          <w:p>
            <w:pPr>
              <w:pStyle w:val="TableParagraph"/>
              <w:rPr>
                <w:sz w:val="18"/>
              </w:rPr>
            </w:pPr>
          </w:p>
        </w:tc>
        <w:tc>
          <w:tcPr>
            <w:tcW w:w="3290" w:type="dxa"/>
          </w:tcPr>
          <w:p>
            <w:pPr>
              <w:pStyle w:val="TableParagraph"/>
              <w:ind w:left="922" w:right="381" w:hanging="5"/>
              <w:jc w:val="center"/>
              <w:rPr>
                <w:sz w:val="20"/>
              </w:rPr>
            </w:pPr>
            <w:r>
              <w:rPr>
                <w:sz w:val="20"/>
              </w:rPr>
              <w:t>sh0841.1, sh0854.1, sh0857.1, sh0862, sh0893,</w:t>
            </w:r>
            <w:r>
              <w:rPr>
                <w:spacing w:val="-13"/>
                <w:sz w:val="20"/>
              </w:rPr>
              <w:t> </w:t>
            </w:r>
            <w:r>
              <w:rPr>
                <w:sz w:val="20"/>
              </w:rPr>
              <w:t>sh0894,</w:t>
            </w:r>
            <w:r>
              <w:rPr>
                <w:spacing w:val="-12"/>
                <w:sz w:val="20"/>
              </w:rPr>
              <w:t> </w:t>
            </w:r>
            <w:r>
              <w:rPr>
                <w:sz w:val="20"/>
              </w:rPr>
              <w:t>sh0996, sh1040.1, sh1070,</w:t>
            </w:r>
          </w:p>
          <w:p>
            <w:pPr>
              <w:pStyle w:val="TableParagraph"/>
              <w:spacing w:line="229" w:lineRule="exact"/>
              <w:ind w:left="915" w:right="377"/>
              <w:jc w:val="center"/>
              <w:rPr>
                <w:sz w:val="20"/>
              </w:rPr>
            </w:pPr>
            <w:r>
              <w:rPr>
                <w:spacing w:val="-2"/>
                <w:sz w:val="20"/>
              </w:rPr>
              <w:t>sh1094</w:t>
            </w:r>
          </w:p>
        </w:tc>
        <w:tc>
          <w:tcPr>
            <w:tcW w:w="780" w:type="dxa"/>
          </w:tcPr>
          <w:p>
            <w:pPr>
              <w:pStyle w:val="TableParagraph"/>
              <w:rPr>
                <w:sz w:val="18"/>
              </w:rPr>
            </w:pPr>
          </w:p>
        </w:tc>
      </w:tr>
      <w:tr>
        <w:trPr>
          <w:trHeight w:val="1710" w:hRule="atLeast"/>
        </w:trPr>
        <w:tc>
          <w:tcPr>
            <w:tcW w:w="946" w:type="dxa"/>
          </w:tcPr>
          <w:p>
            <w:pPr>
              <w:pStyle w:val="TableParagraph"/>
              <w:spacing w:before="46"/>
              <w:ind w:left="50"/>
              <w:rPr>
                <w:sz w:val="20"/>
              </w:rPr>
            </w:pPr>
            <w:r>
              <w:rPr>
                <w:spacing w:val="-2"/>
                <w:sz w:val="20"/>
              </w:rPr>
              <w:t>st19.112</w:t>
            </w:r>
          </w:p>
        </w:tc>
        <w:tc>
          <w:tcPr>
            <w:tcW w:w="707" w:type="dxa"/>
          </w:tcPr>
          <w:p>
            <w:pPr>
              <w:pStyle w:val="TableParagraph"/>
              <w:spacing w:before="46"/>
              <w:ind w:left="210"/>
              <w:rPr>
                <w:sz w:val="20"/>
              </w:rPr>
            </w:pPr>
            <w:r>
              <w:rPr>
                <w:spacing w:val="-5"/>
                <w:sz w:val="20"/>
              </w:rPr>
              <w:t>165</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8)</w:t>
            </w:r>
          </w:p>
        </w:tc>
        <w:tc>
          <w:tcPr>
            <w:tcW w:w="4570"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6"/>
              <w:ind w:left="32"/>
              <w:jc w:val="center"/>
              <w:rPr>
                <w:sz w:val="20"/>
              </w:rPr>
            </w:pPr>
            <w:r>
              <w:rPr>
                <w:w w:val="99"/>
                <w:sz w:val="20"/>
              </w:rPr>
              <w:t>-</w:t>
            </w:r>
          </w:p>
        </w:tc>
        <w:tc>
          <w:tcPr>
            <w:tcW w:w="3290" w:type="dxa"/>
          </w:tcPr>
          <w:p>
            <w:pPr>
              <w:pStyle w:val="TableParagraph"/>
              <w:spacing w:before="46"/>
              <w:ind w:left="915" w:right="374"/>
              <w:jc w:val="center"/>
              <w:rPr>
                <w:sz w:val="20"/>
              </w:rPr>
            </w:pPr>
            <w:r>
              <w:rPr>
                <w:sz w:val="20"/>
              </w:rPr>
              <w:t>Возрастная</w:t>
            </w:r>
            <w:r>
              <w:rPr>
                <w:spacing w:val="-13"/>
                <w:sz w:val="20"/>
              </w:rPr>
              <w:t> </w:t>
            </w:r>
            <w:r>
              <w:rPr>
                <w:sz w:val="20"/>
              </w:rPr>
              <w:t>группа: старше 18 лет</w:t>
            </w:r>
          </w:p>
          <w:p>
            <w:pPr>
              <w:pStyle w:val="TableParagraph"/>
              <w:ind w:left="915" w:right="378"/>
              <w:jc w:val="center"/>
              <w:rPr>
                <w:sz w:val="20"/>
              </w:rPr>
            </w:pPr>
            <w:r>
              <w:rPr>
                <w:sz w:val="20"/>
              </w:rPr>
              <w:t>Схемы:</w:t>
            </w:r>
            <w:r>
              <w:rPr>
                <w:spacing w:val="-13"/>
                <w:sz w:val="20"/>
              </w:rPr>
              <w:t> </w:t>
            </w:r>
            <w:r>
              <w:rPr>
                <w:sz w:val="20"/>
              </w:rPr>
              <w:t>sh0076,</w:t>
            </w:r>
            <w:r>
              <w:rPr>
                <w:spacing w:val="-12"/>
                <w:sz w:val="20"/>
              </w:rPr>
              <w:t> </w:t>
            </w:r>
            <w:r>
              <w:rPr>
                <w:sz w:val="20"/>
              </w:rPr>
              <w:t>sh0159, sh0341,</w:t>
            </w:r>
            <w:r>
              <w:rPr>
                <w:spacing w:val="-13"/>
                <w:sz w:val="20"/>
              </w:rPr>
              <w:t> </w:t>
            </w:r>
            <w:r>
              <w:rPr>
                <w:sz w:val="20"/>
              </w:rPr>
              <w:t>sh0497,</w:t>
            </w:r>
            <w:r>
              <w:rPr>
                <w:spacing w:val="-12"/>
                <w:sz w:val="20"/>
              </w:rPr>
              <w:t> </w:t>
            </w:r>
            <w:r>
              <w:rPr>
                <w:sz w:val="20"/>
              </w:rPr>
              <w:t>sh0499, sh0630, sh0638.1, sh0654,</w:t>
            </w:r>
            <w:r>
              <w:rPr>
                <w:spacing w:val="-13"/>
                <w:sz w:val="20"/>
              </w:rPr>
              <w:t> </w:t>
            </w:r>
            <w:r>
              <w:rPr>
                <w:sz w:val="20"/>
              </w:rPr>
              <w:t>sh0802,</w:t>
            </w:r>
            <w:r>
              <w:rPr>
                <w:spacing w:val="-12"/>
                <w:sz w:val="20"/>
              </w:rPr>
              <w:t> </w:t>
            </w:r>
            <w:r>
              <w:rPr>
                <w:sz w:val="20"/>
              </w:rPr>
              <w:t>sh1095,</w:t>
            </w:r>
          </w:p>
          <w:p>
            <w:pPr>
              <w:pStyle w:val="TableParagraph"/>
              <w:spacing w:before="1"/>
              <w:ind w:left="915" w:right="376"/>
              <w:jc w:val="center"/>
              <w:rPr>
                <w:sz w:val="20"/>
              </w:rPr>
            </w:pPr>
            <w:r>
              <w:rPr>
                <w:sz w:val="20"/>
              </w:rPr>
              <w:t>sh1096,</w:t>
            </w:r>
            <w:r>
              <w:rPr>
                <w:spacing w:val="-6"/>
                <w:sz w:val="20"/>
              </w:rPr>
              <w:t> </w:t>
            </w:r>
            <w:r>
              <w:rPr>
                <w:spacing w:val="-2"/>
                <w:sz w:val="20"/>
              </w:rPr>
              <w:t>sh1123</w:t>
            </w:r>
          </w:p>
        </w:tc>
        <w:tc>
          <w:tcPr>
            <w:tcW w:w="780" w:type="dxa"/>
          </w:tcPr>
          <w:p>
            <w:pPr>
              <w:pStyle w:val="TableParagraph"/>
              <w:spacing w:before="46"/>
              <w:ind w:right="50"/>
              <w:jc w:val="right"/>
              <w:rPr>
                <w:sz w:val="20"/>
              </w:rPr>
            </w:pPr>
            <w:r>
              <w:rPr>
                <w:spacing w:val="-4"/>
                <w:sz w:val="20"/>
              </w:rPr>
              <w:t>4,44</w:t>
            </w:r>
          </w:p>
        </w:tc>
      </w:tr>
      <w:tr>
        <w:trPr>
          <w:trHeight w:val="1939" w:hRule="atLeast"/>
        </w:trPr>
        <w:tc>
          <w:tcPr>
            <w:tcW w:w="946" w:type="dxa"/>
          </w:tcPr>
          <w:p>
            <w:pPr>
              <w:pStyle w:val="TableParagraph"/>
              <w:spacing w:before="45"/>
              <w:ind w:left="50"/>
              <w:rPr>
                <w:sz w:val="20"/>
              </w:rPr>
            </w:pPr>
            <w:r>
              <w:rPr>
                <w:spacing w:val="-2"/>
                <w:sz w:val="20"/>
              </w:rPr>
              <w:t>st19.113</w:t>
            </w:r>
          </w:p>
        </w:tc>
        <w:tc>
          <w:tcPr>
            <w:tcW w:w="707" w:type="dxa"/>
          </w:tcPr>
          <w:p>
            <w:pPr>
              <w:pStyle w:val="TableParagraph"/>
              <w:spacing w:before="45"/>
              <w:ind w:left="210"/>
              <w:rPr>
                <w:sz w:val="20"/>
              </w:rPr>
            </w:pPr>
            <w:r>
              <w:rPr>
                <w:spacing w:val="-5"/>
                <w:sz w:val="20"/>
              </w:rPr>
              <w:t>166</w:t>
            </w:r>
          </w:p>
        </w:tc>
        <w:tc>
          <w:tcPr>
            <w:tcW w:w="3045" w:type="dxa"/>
          </w:tcPr>
          <w:p>
            <w:pPr>
              <w:pStyle w:val="TableParagraph"/>
              <w:spacing w:before="45"/>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9)</w:t>
            </w:r>
          </w:p>
        </w:tc>
        <w:tc>
          <w:tcPr>
            <w:tcW w:w="4570" w:type="dxa"/>
          </w:tcPr>
          <w:p>
            <w:pPr>
              <w:pStyle w:val="TableParagraph"/>
              <w:spacing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5"/>
              <w:ind w:left="32"/>
              <w:jc w:val="center"/>
              <w:rPr>
                <w:sz w:val="20"/>
              </w:rPr>
            </w:pPr>
            <w:r>
              <w:rPr>
                <w:w w:val="99"/>
                <w:sz w:val="20"/>
              </w:rPr>
              <w:t>-</w:t>
            </w:r>
          </w:p>
        </w:tc>
        <w:tc>
          <w:tcPr>
            <w:tcW w:w="3290" w:type="dxa"/>
          </w:tcPr>
          <w:p>
            <w:pPr>
              <w:pStyle w:val="TableParagraph"/>
              <w:spacing w:before="45"/>
              <w:ind w:left="915" w:right="374"/>
              <w:jc w:val="center"/>
              <w:rPr>
                <w:sz w:val="20"/>
              </w:rPr>
            </w:pPr>
            <w:r>
              <w:rPr>
                <w:sz w:val="20"/>
              </w:rPr>
              <w:t>Возрастная</w:t>
            </w:r>
            <w:r>
              <w:rPr>
                <w:spacing w:val="-13"/>
                <w:sz w:val="20"/>
              </w:rPr>
              <w:t> </w:t>
            </w:r>
            <w:r>
              <w:rPr>
                <w:sz w:val="20"/>
              </w:rPr>
              <w:t>группа: старше 18 лет</w:t>
            </w:r>
          </w:p>
          <w:p>
            <w:pPr>
              <w:pStyle w:val="TableParagraph"/>
              <w:ind w:left="915" w:right="378"/>
              <w:jc w:val="center"/>
              <w:rPr>
                <w:sz w:val="20"/>
              </w:rPr>
            </w:pPr>
            <w:r>
              <w:rPr>
                <w:sz w:val="20"/>
              </w:rPr>
              <w:t>Схемы:</w:t>
            </w:r>
            <w:r>
              <w:rPr>
                <w:spacing w:val="-13"/>
                <w:sz w:val="20"/>
              </w:rPr>
              <w:t> </w:t>
            </w:r>
            <w:r>
              <w:rPr>
                <w:sz w:val="20"/>
              </w:rPr>
              <w:t>sh0087,</w:t>
            </w:r>
            <w:r>
              <w:rPr>
                <w:spacing w:val="-12"/>
                <w:sz w:val="20"/>
              </w:rPr>
              <w:t> </w:t>
            </w:r>
            <w:r>
              <w:rPr>
                <w:sz w:val="20"/>
              </w:rPr>
              <w:t>sh0426, sh0668,</w:t>
            </w:r>
            <w:r>
              <w:rPr>
                <w:spacing w:val="-13"/>
                <w:sz w:val="20"/>
              </w:rPr>
              <w:t> </w:t>
            </w:r>
            <w:r>
              <w:rPr>
                <w:sz w:val="20"/>
              </w:rPr>
              <w:t>sh0766,</w:t>
            </w:r>
            <w:r>
              <w:rPr>
                <w:spacing w:val="-12"/>
                <w:sz w:val="20"/>
              </w:rPr>
              <w:t> </w:t>
            </w:r>
            <w:r>
              <w:rPr>
                <w:sz w:val="20"/>
              </w:rPr>
              <w:t>sh0827, sh0861,</w:t>
            </w:r>
            <w:r>
              <w:rPr>
                <w:spacing w:val="-13"/>
                <w:sz w:val="20"/>
              </w:rPr>
              <w:t> </w:t>
            </w:r>
            <w:r>
              <w:rPr>
                <w:sz w:val="20"/>
              </w:rPr>
              <w:t>sh0877,</w:t>
            </w:r>
            <w:r>
              <w:rPr>
                <w:spacing w:val="-12"/>
                <w:sz w:val="20"/>
              </w:rPr>
              <w:t> </w:t>
            </w:r>
            <w:r>
              <w:rPr>
                <w:sz w:val="20"/>
              </w:rPr>
              <w:t>sh0889, sh0913, sh0969, sh1041.1, sh1101.1,</w:t>
            </w:r>
          </w:p>
          <w:p>
            <w:pPr>
              <w:pStyle w:val="TableParagraph"/>
              <w:spacing w:before="1"/>
              <w:ind w:left="915" w:right="377"/>
              <w:jc w:val="center"/>
              <w:rPr>
                <w:sz w:val="20"/>
              </w:rPr>
            </w:pPr>
            <w:r>
              <w:rPr>
                <w:spacing w:val="-2"/>
                <w:sz w:val="20"/>
              </w:rPr>
              <w:t>sh1127</w:t>
            </w:r>
          </w:p>
        </w:tc>
        <w:tc>
          <w:tcPr>
            <w:tcW w:w="780" w:type="dxa"/>
          </w:tcPr>
          <w:p>
            <w:pPr>
              <w:pStyle w:val="TableParagraph"/>
              <w:spacing w:before="45"/>
              <w:ind w:right="50"/>
              <w:jc w:val="right"/>
              <w:rPr>
                <w:sz w:val="20"/>
              </w:rPr>
            </w:pPr>
            <w:r>
              <w:rPr>
                <w:spacing w:val="-4"/>
                <w:sz w:val="20"/>
              </w:rPr>
              <w:t>4,88</w:t>
            </w:r>
          </w:p>
        </w:tc>
      </w:tr>
      <w:tr>
        <w:trPr>
          <w:trHeight w:val="789" w:hRule="atLeast"/>
        </w:trPr>
        <w:tc>
          <w:tcPr>
            <w:tcW w:w="946" w:type="dxa"/>
          </w:tcPr>
          <w:p>
            <w:pPr>
              <w:pStyle w:val="TableParagraph"/>
              <w:rPr>
                <w:sz w:val="18"/>
              </w:rPr>
            </w:pPr>
          </w:p>
        </w:tc>
        <w:tc>
          <w:tcPr>
            <w:tcW w:w="707" w:type="dxa"/>
          </w:tcPr>
          <w:p>
            <w:pPr>
              <w:pStyle w:val="TableParagraph"/>
              <w:rPr>
                <w:sz w:val="18"/>
              </w:rPr>
            </w:pPr>
          </w:p>
        </w:tc>
        <w:tc>
          <w:tcPr>
            <w:tcW w:w="7615" w:type="dxa"/>
            <w:gridSpan w:val="2"/>
          </w:tcPr>
          <w:p>
            <w:pPr>
              <w:pStyle w:val="TableParagraph"/>
              <w:spacing w:before="45"/>
              <w:ind w:left="2777"/>
              <w:rPr>
                <w:sz w:val="20"/>
              </w:rPr>
            </w:pPr>
            <w:r>
              <w:rPr>
                <w:sz w:val="20"/>
              </w:rPr>
              <w:t>C40,</w:t>
            </w:r>
            <w:r>
              <w:rPr>
                <w:spacing w:val="-5"/>
                <w:sz w:val="20"/>
              </w:rPr>
              <w:t> </w:t>
            </w:r>
            <w:r>
              <w:rPr>
                <w:sz w:val="20"/>
              </w:rPr>
              <w:t>C40.0,</w:t>
            </w:r>
            <w:r>
              <w:rPr>
                <w:spacing w:val="-5"/>
                <w:sz w:val="20"/>
              </w:rPr>
              <w:t> </w:t>
            </w:r>
            <w:r>
              <w:rPr>
                <w:sz w:val="20"/>
              </w:rPr>
              <w:t>C40.1,</w:t>
            </w:r>
            <w:r>
              <w:rPr>
                <w:spacing w:val="-4"/>
                <w:sz w:val="20"/>
              </w:rPr>
              <w:t> </w:t>
            </w:r>
            <w:r>
              <w:rPr>
                <w:sz w:val="20"/>
              </w:rPr>
              <w:t>C40.2,</w:t>
            </w:r>
            <w:r>
              <w:rPr>
                <w:spacing w:val="-5"/>
                <w:sz w:val="20"/>
              </w:rPr>
              <w:t> </w:t>
            </w:r>
            <w:r>
              <w:rPr>
                <w:sz w:val="20"/>
              </w:rPr>
              <w:t>C40.3,</w:t>
            </w:r>
            <w:r>
              <w:rPr>
                <w:spacing w:val="-4"/>
                <w:sz w:val="20"/>
              </w:rPr>
              <w:t> </w:t>
            </w:r>
            <w:r>
              <w:rPr>
                <w:sz w:val="20"/>
              </w:rPr>
              <w:t>C40.8,</w:t>
            </w:r>
            <w:r>
              <w:rPr>
                <w:spacing w:val="-5"/>
                <w:sz w:val="20"/>
              </w:rPr>
              <w:t> </w:t>
            </w:r>
            <w:r>
              <w:rPr>
                <w:spacing w:val="-2"/>
                <w:sz w:val="20"/>
              </w:rPr>
              <w:t>C40.9,</w:t>
            </w:r>
          </w:p>
          <w:p>
            <w:pPr>
              <w:pStyle w:val="TableParagraph"/>
              <w:ind w:left="4479" w:right="542" w:hanging="1702"/>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w:t>
            </w:r>
            <w:r>
              <w:rPr>
                <w:spacing w:val="-2"/>
                <w:sz w:val="20"/>
              </w:rPr>
              <w:t>C41.9</w:t>
            </w:r>
          </w:p>
        </w:tc>
        <w:tc>
          <w:tcPr>
            <w:tcW w:w="1938" w:type="dxa"/>
          </w:tcPr>
          <w:p>
            <w:pPr>
              <w:pStyle w:val="TableParagraph"/>
              <w:spacing w:before="45"/>
              <w:ind w:left="32"/>
              <w:jc w:val="center"/>
              <w:rPr>
                <w:sz w:val="20"/>
              </w:rPr>
            </w:pPr>
            <w:r>
              <w:rPr>
                <w:w w:val="99"/>
                <w:sz w:val="20"/>
              </w:rPr>
              <w:t>-</w:t>
            </w:r>
          </w:p>
        </w:tc>
        <w:tc>
          <w:tcPr>
            <w:tcW w:w="3290" w:type="dxa"/>
          </w:tcPr>
          <w:p>
            <w:pPr>
              <w:pStyle w:val="TableParagraph"/>
              <w:spacing w:before="45"/>
              <w:ind w:left="1083" w:right="542"/>
              <w:jc w:val="center"/>
              <w:rPr>
                <w:sz w:val="20"/>
              </w:rPr>
            </w:pPr>
            <w:r>
              <w:rPr>
                <w:sz w:val="20"/>
              </w:rPr>
              <w:t>Возрастная</w:t>
            </w:r>
            <w:r>
              <w:rPr>
                <w:spacing w:val="-13"/>
                <w:sz w:val="20"/>
              </w:rPr>
              <w:t> </w:t>
            </w:r>
            <w:r>
              <w:rPr>
                <w:sz w:val="20"/>
              </w:rPr>
              <w:t>группа: старше 18 лет Схемы: sh0926.1</w:t>
            </w:r>
          </w:p>
        </w:tc>
        <w:tc>
          <w:tcPr>
            <w:tcW w:w="780" w:type="dxa"/>
          </w:tcPr>
          <w:p>
            <w:pPr>
              <w:pStyle w:val="TableParagraph"/>
              <w:rPr>
                <w:sz w:val="18"/>
              </w:rPr>
            </w:pPr>
          </w:p>
        </w:tc>
      </w:tr>
      <w:tr>
        <w:trPr>
          <w:trHeight w:val="2807" w:hRule="atLeast"/>
        </w:trPr>
        <w:tc>
          <w:tcPr>
            <w:tcW w:w="946" w:type="dxa"/>
          </w:tcPr>
          <w:p>
            <w:pPr>
              <w:pStyle w:val="TableParagraph"/>
              <w:spacing w:before="45"/>
              <w:ind w:left="50"/>
              <w:rPr>
                <w:sz w:val="20"/>
              </w:rPr>
            </w:pPr>
            <w:r>
              <w:rPr>
                <w:spacing w:val="-2"/>
                <w:sz w:val="20"/>
              </w:rPr>
              <w:t>st19.114</w:t>
            </w:r>
          </w:p>
        </w:tc>
        <w:tc>
          <w:tcPr>
            <w:tcW w:w="707" w:type="dxa"/>
          </w:tcPr>
          <w:p>
            <w:pPr>
              <w:pStyle w:val="TableParagraph"/>
              <w:spacing w:before="45"/>
              <w:ind w:left="210"/>
              <w:rPr>
                <w:sz w:val="20"/>
              </w:rPr>
            </w:pPr>
            <w:r>
              <w:rPr>
                <w:spacing w:val="-5"/>
                <w:sz w:val="20"/>
              </w:rPr>
              <w:t>167</w:t>
            </w:r>
          </w:p>
        </w:tc>
        <w:tc>
          <w:tcPr>
            <w:tcW w:w="3045" w:type="dxa"/>
          </w:tcPr>
          <w:p>
            <w:pPr>
              <w:pStyle w:val="TableParagraph"/>
              <w:spacing w:before="45"/>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10)</w:t>
            </w:r>
          </w:p>
        </w:tc>
        <w:tc>
          <w:tcPr>
            <w:tcW w:w="4570" w:type="dxa"/>
          </w:tcPr>
          <w:p>
            <w:pPr>
              <w:pStyle w:val="TableParagraph"/>
              <w:spacing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5"/>
              <w:ind w:left="32"/>
              <w:jc w:val="center"/>
              <w:rPr>
                <w:sz w:val="20"/>
              </w:rPr>
            </w:pPr>
            <w:r>
              <w:rPr>
                <w:w w:val="99"/>
                <w:sz w:val="20"/>
              </w:rPr>
              <w:t>-</w:t>
            </w:r>
          </w:p>
        </w:tc>
        <w:tc>
          <w:tcPr>
            <w:tcW w:w="3290" w:type="dxa"/>
          </w:tcPr>
          <w:p>
            <w:pPr>
              <w:pStyle w:val="TableParagraph"/>
              <w:spacing w:before="45"/>
              <w:ind w:left="915" w:right="374"/>
              <w:jc w:val="center"/>
              <w:rPr>
                <w:sz w:val="20"/>
              </w:rPr>
            </w:pPr>
            <w:r>
              <w:rPr>
                <w:sz w:val="20"/>
              </w:rPr>
              <w:t>Возрастная</w:t>
            </w:r>
            <w:r>
              <w:rPr>
                <w:spacing w:val="-13"/>
                <w:sz w:val="20"/>
              </w:rPr>
              <w:t> </w:t>
            </w:r>
            <w:r>
              <w:rPr>
                <w:sz w:val="20"/>
              </w:rPr>
              <w:t>группа: старше 18 лет</w:t>
            </w:r>
          </w:p>
          <w:p>
            <w:pPr>
              <w:pStyle w:val="TableParagraph"/>
              <w:ind w:left="915" w:right="378"/>
              <w:jc w:val="center"/>
              <w:rPr>
                <w:sz w:val="20"/>
              </w:rPr>
            </w:pPr>
            <w:r>
              <w:rPr>
                <w:sz w:val="20"/>
              </w:rPr>
              <w:t>Схемы:</w:t>
            </w:r>
            <w:r>
              <w:rPr>
                <w:spacing w:val="-13"/>
                <w:sz w:val="20"/>
              </w:rPr>
              <w:t> </w:t>
            </w:r>
            <w:r>
              <w:rPr>
                <w:sz w:val="20"/>
              </w:rPr>
              <w:t>sh0163,</w:t>
            </w:r>
            <w:r>
              <w:rPr>
                <w:spacing w:val="-12"/>
                <w:sz w:val="20"/>
              </w:rPr>
              <w:t> </w:t>
            </w:r>
            <w:r>
              <w:rPr>
                <w:sz w:val="20"/>
              </w:rPr>
              <w:t>sh0208, sh0371.1, sh0557.1, sh0575,</w:t>
            </w:r>
            <w:r>
              <w:rPr>
                <w:spacing w:val="-13"/>
                <w:sz w:val="20"/>
              </w:rPr>
              <w:t> </w:t>
            </w:r>
            <w:r>
              <w:rPr>
                <w:sz w:val="20"/>
              </w:rPr>
              <w:t>sh0601,</w:t>
            </w:r>
            <w:r>
              <w:rPr>
                <w:spacing w:val="-12"/>
                <w:sz w:val="20"/>
              </w:rPr>
              <w:t> </w:t>
            </w:r>
            <w:r>
              <w:rPr>
                <w:sz w:val="20"/>
              </w:rPr>
              <w:t>sh0618, sh0693,</w:t>
            </w:r>
            <w:r>
              <w:rPr>
                <w:spacing w:val="-13"/>
                <w:sz w:val="20"/>
              </w:rPr>
              <w:t> </w:t>
            </w:r>
            <w:r>
              <w:rPr>
                <w:sz w:val="20"/>
              </w:rPr>
              <w:t>sh0737,</w:t>
            </w:r>
            <w:r>
              <w:rPr>
                <w:spacing w:val="-12"/>
                <w:sz w:val="20"/>
              </w:rPr>
              <w:t> </w:t>
            </w:r>
            <w:r>
              <w:rPr>
                <w:sz w:val="20"/>
              </w:rPr>
              <w:t>sh0738, sh0739,</w:t>
            </w:r>
            <w:r>
              <w:rPr>
                <w:spacing w:val="-13"/>
                <w:sz w:val="20"/>
              </w:rPr>
              <w:t> </w:t>
            </w:r>
            <w:r>
              <w:rPr>
                <w:sz w:val="20"/>
              </w:rPr>
              <w:t>sh0740,</w:t>
            </w:r>
            <w:r>
              <w:rPr>
                <w:spacing w:val="-12"/>
                <w:sz w:val="20"/>
              </w:rPr>
              <w:t> </w:t>
            </w:r>
            <w:r>
              <w:rPr>
                <w:sz w:val="20"/>
              </w:rPr>
              <w:t>sh0741, sh0747, sh0799, sh0821.1, sh0826, sh0842.1, sh0849, sh0851,</w:t>
            </w:r>
            <w:r>
              <w:rPr>
                <w:spacing w:val="-13"/>
                <w:sz w:val="20"/>
              </w:rPr>
              <w:t> </w:t>
            </w:r>
            <w:r>
              <w:rPr>
                <w:sz w:val="20"/>
              </w:rPr>
              <w:t>sh0853,</w:t>
            </w:r>
            <w:r>
              <w:rPr>
                <w:spacing w:val="-12"/>
                <w:sz w:val="20"/>
              </w:rPr>
              <w:t> </w:t>
            </w:r>
            <w:r>
              <w:rPr>
                <w:sz w:val="20"/>
              </w:rPr>
              <w:t>sh0860,</w:t>
            </w:r>
          </w:p>
          <w:p>
            <w:pPr>
              <w:pStyle w:val="TableParagraph"/>
              <w:spacing w:line="210" w:lineRule="exact" w:before="2"/>
              <w:ind w:left="915" w:right="376"/>
              <w:jc w:val="center"/>
              <w:rPr>
                <w:sz w:val="20"/>
              </w:rPr>
            </w:pPr>
            <w:r>
              <w:rPr>
                <w:sz w:val="20"/>
              </w:rPr>
              <w:t>sh0905,</w:t>
            </w:r>
            <w:r>
              <w:rPr>
                <w:spacing w:val="-6"/>
                <w:sz w:val="20"/>
              </w:rPr>
              <w:t> </w:t>
            </w:r>
            <w:r>
              <w:rPr>
                <w:spacing w:val="-2"/>
                <w:sz w:val="20"/>
              </w:rPr>
              <w:t>sh0906.1,</w:t>
            </w:r>
          </w:p>
        </w:tc>
        <w:tc>
          <w:tcPr>
            <w:tcW w:w="780" w:type="dxa"/>
          </w:tcPr>
          <w:p>
            <w:pPr>
              <w:pStyle w:val="TableParagraph"/>
              <w:spacing w:before="45"/>
              <w:ind w:right="50"/>
              <w:jc w:val="right"/>
              <w:rPr>
                <w:sz w:val="20"/>
              </w:rPr>
            </w:pPr>
            <w:r>
              <w:rPr>
                <w:spacing w:val="-4"/>
                <w:sz w:val="20"/>
              </w:rPr>
              <w:t>5,25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3"/>
        <w:gridCol w:w="3266"/>
        <w:gridCol w:w="856"/>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ind w:left="1135" w:hanging="214"/>
              <w:rPr>
                <w:sz w:val="20"/>
              </w:rPr>
            </w:pPr>
            <w:r>
              <w:rPr>
                <w:sz w:val="20"/>
              </w:rPr>
              <w:t>sh0907,</w:t>
            </w:r>
            <w:r>
              <w:rPr>
                <w:spacing w:val="-13"/>
                <w:sz w:val="20"/>
              </w:rPr>
              <w:t> </w:t>
            </w:r>
            <w:r>
              <w:rPr>
                <w:sz w:val="20"/>
              </w:rPr>
              <w:t>sh0908,</w:t>
            </w:r>
            <w:r>
              <w:rPr>
                <w:spacing w:val="-12"/>
                <w:sz w:val="20"/>
              </w:rPr>
              <w:t> </w:t>
            </w:r>
            <w:r>
              <w:rPr>
                <w:sz w:val="20"/>
              </w:rPr>
              <w:t>sh0941, sh0967.1, sh1038.1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st19.115</w:t>
            </w:r>
          </w:p>
        </w:tc>
        <w:tc>
          <w:tcPr>
            <w:tcW w:w="707" w:type="dxa"/>
          </w:tcPr>
          <w:p>
            <w:pPr>
              <w:pStyle w:val="TableParagraph"/>
              <w:spacing w:line="215" w:lineRule="exact" w:before="45"/>
              <w:ind w:left="210"/>
              <w:rPr>
                <w:sz w:val="20"/>
              </w:rPr>
            </w:pPr>
            <w:r>
              <w:rPr>
                <w:spacing w:val="-5"/>
                <w:sz w:val="20"/>
              </w:rPr>
              <w:t>168</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103"/>
              <w:jc w:val="right"/>
              <w:rPr>
                <w:sz w:val="20"/>
              </w:rPr>
            </w:pPr>
            <w:r>
              <w:rPr>
                <w:spacing w:val="-4"/>
                <w:sz w:val="20"/>
              </w:rPr>
              <w:t>5,74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9"/>
              <w:jc w:val="center"/>
              <w:rPr>
                <w:sz w:val="20"/>
              </w:rPr>
            </w:pPr>
            <w:r>
              <w:rPr>
                <w:sz w:val="20"/>
              </w:rPr>
              <w:t>Схемы:</w:t>
            </w:r>
            <w:r>
              <w:rPr>
                <w:spacing w:val="-9"/>
                <w:sz w:val="20"/>
              </w:rPr>
              <w:t> </w:t>
            </w:r>
            <w:r>
              <w:rPr>
                <w:spacing w:val="-2"/>
                <w:sz w:val="20"/>
              </w:rPr>
              <w:t>sh0209.1,</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50"/>
              <w:jc w:val="center"/>
              <w:rPr>
                <w:sz w:val="20"/>
              </w:rPr>
            </w:pPr>
            <w:r>
              <w:rPr>
                <w:sz w:val="20"/>
              </w:rPr>
              <w:t>sh0255.1,</w:t>
            </w:r>
            <w:r>
              <w:rPr>
                <w:spacing w:val="-6"/>
                <w:sz w:val="20"/>
              </w:rPr>
              <w:t> </w:t>
            </w:r>
            <w:r>
              <w:rPr>
                <w:spacing w:val="-2"/>
                <w:sz w:val="20"/>
              </w:rPr>
              <w:t>sh0311.1,</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50"/>
              <w:jc w:val="center"/>
              <w:rPr>
                <w:sz w:val="20"/>
              </w:rPr>
            </w:pPr>
            <w:r>
              <w:rPr>
                <w:sz w:val="20"/>
              </w:rPr>
              <w:t>sh0620.1,</w:t>
            </w:r>
            <w:r>
              <w:rPr>
                <w:spacing w:val="-6"/>
                <w:sz w:val="20"/>
              </w:rPr>
              <w:t> </w:t>
            </w:r>
            <w:r>
              <w:rPr>
                <w:spacing w:val="-2"/>
                <w:sz w:val="20"/>
              </w:rPr>
              <w:t>sh0670.1,</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1"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11)</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sh0836.1,</w:t>
            </w:r>
            <w:r>
              <w:rPr>
                <w:spacing w:val="-6"/>
                <w:sz w:val="20"/>
              </w:rPr>
              <w:t> </w:t>
            </w:r>
            <w:r>
              <w:rPr>
                <w:spacing w:val="-2"/>
                <w:sz w:val="20"/>
              </w:rPr>
              <w:t>sh0840,</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sh0855.1,</w:t>
            </w:r>
            <w:r>
              <w:rPr>
                <w:spacing w:val="-6"/>
                <w:sz w:val="20"/>
              </w:rPr>
              <w:t> </w:t>
            </w:r>
            <w:r>
              <w:rPr>
                <w:spacing w:val="-2"/>
                <w:sz w:val="20"/>
              </w:rPr>
              <w:t>sh0883,</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sh0886,</w:t>
            </w:r>
            <w:r>
              <w:rPr>
                <w:spacing w:val="-6"/>
                <w:sz w:val="20"/>
              </w:rPr>
              <w:t> </w:t>
            </w:r>
            <w:r>
              <w:rPr>
                <w:spacing w:val="-2"/>
                <w:sz w:val="20"/>
              </w:rPr>
              <w:t>sh0891.1,</w:t>
            </w:r>
          </w:p>
        </w:tc>
        <w:tc>
          <w:tcPr>
            <w:tcW w:w="85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spacing w:line="226" w:lineRule="exact"/>
              <w:ind w:left="906" w:right="348"/>
              <w:jc w:val="center"/>
              <w:rPr>
                <w:sz w:val="20"/>
              </w:rPr>
            </w:pPr>
            <w:r>
              <w:rPr>
                <w:sz w:val="20"/>
              </w:rPr>
              <w:t>sh1066.1,</w:t>
            </w:r>
            <w:r>
              <w:rPr>
                <w:spacing w:val="-6"/>
                <w:sz w:val="20"/>
              </w:rPr>
              <w:t> </w:t>
            </w:r>
            <w:r>
              <w:rPr>
                <w:spacing w:val="-2"/>
                <w:sz w:val="20"/>
              </w:rPr>
              <w:t>sh1143.1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st19.116</w:t>
            </w:r>
          </w:p>
        </w:tc>
        <w:tc>
          <w:tcPr>
            <w:tcW w:w="707" w:type="dxa"/>
          </w:tcPr>
          <w:p>
            <w:pPr>
              <w:pStyle w:val="TableParagraph"/>
              <w:spacing w:line="215" w:lineRule="exact" w:before="45"/>
              <w:ind w:left="210"/>
              <w:rPr>
                <w:sz w:val="20"/>
              </w:rPr>
            </w:pPr>
            <w:r>
              <w:rPr>
                <w:spacing w:val="-5"/>
                <w:sz w:val="20"/>
              </w:rPr>
              <w:t>169</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103"/>
              <w:jc w:val="right"/>
              <w:rPr>
                <w:sz w:val="20"/>
              </w:rPr>
            </w:pPr>
            <w:r>
              <w:rPr>
                <w:spacing w:val="-4"/>
                <w:sz w:val="20"/>
              </w:rPr>
              <w:t>6,76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9"/>
              <w:jc w:val="center"/>
              <w:rPr>
                <w:sz w:val="20"/>
              </w:rPr>
            </w:pPr>
            <w:r>
              <w:rPr>
                <w:sz w:val="20"/>
              </w:rPr>
              <w:t>Схемы:</w:t>
            </w:r>
            <w:r>
              <w:rPr>
                <w:spacing w:val="-9"/>
                <w:sz w:val="20"/>
              </w:rPr>
              <w:t> </w:t>
            </w:r>
            <w:r>
              <w:rPr>
                <w:spacing w:val="-2"/>
                <w:sz w:val="20"/>
              </w:rPr>
              <w:t>sh0204.1,</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sh0343,</w:t>
            </w:r>
            <w:r>
              <w:rPr>
                <w:spacing w:val="-6"/>
                <w:sz w:val="20"/>
              </w:rPr>
              <w:t> </w:t>
            </w:r>
            <w:r>
              <w:rPr>
                <w:sz w:val="20"/>
              </w:rPr>
              <w:t>sh0521,</w:t>
            </w:r>
            <w:r>
              <w:rPr>
                <w:spacing w:val="-5"/>
                <w:sz w:val="20"/>
              </w:rPr>
              <w:t> </w:t>
            </w:r>
            <w:r>
              <w:rPr>
                <w:spacing w:val="-2"/>
                <w:sz w:val="20"/>
              </w:rPr>
              <w:t>sh0578,</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sh0714,</w:t>
            </w:r>
            <w:r>
              <w:rPr>
                <w:spacing w:val="-6"/>
                <w:sz w:val="20"/>
              </w:rPr>
              <w:t> </w:t>
            </w:r>
            <w:r>
              <w:rPr>
                <w:sz w:val="20"/>
              </w:rPr>
              <w:t>sh0742,</w:t>
            </w:r>
            <w:r>
              <w:rPr>
                <w:spacing w:val="-5"/>
                <w:sz w:val="20"/>
              </w:rPr>
              <w:t> </w:t>
            </w:r>
            <w:r>
              <w:rPr>
                <w:spacing w:val="-2"/>
                <w:sz w:val="20"/>
              </w:rPr>
              <w:t>sh0743,</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12)</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sh0744,</w:t>
            </w:r>
            <w:r>
              <w:rPr>
                <w:spacing w:val="-6"/>
                <w:sz w:val="20"/>
              </w:rPr>
              <w:t> </w:t>
            </w:r>
            <w:r>
              <w:rPr>
                <w:sz w:val="20"/>
              </w:rPr>
              <w:t>sh0745,</w:t>
            </w:r>
            <w:r>
              <w:rPr>
                <w:spacing w:val="-5"/>
                <w:sz w:val="20"/>
              </w:rPr>
              <w:t> </w:t>
            </w:r>
            <w:r>
              <w:rPr>
                <w:spacing w:val="-2"/>
                <w:sz w:val="20"/>
              </w:rPr>
              <w:t>sh0828,</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sh0838.1,</w:t>
            </w:r>
            <w:r>
              <w:rPr>
                <w:spacing w:val="-6"/>
                <w:sz w:val="20"/>
              </w:rPr>
              <w:t> </w:t>
            </w:r>
            <w:r>
              <w:rPr>
                <w:spacing w:val="-2"/>
                <w:sz w:val="20"/>
              </w:rPr>
              <w:t>sh0856,</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50"/>
              <w:jc w:val="center"/>
              <w:rPr>
                <w:sz w:val="20"/>
              </w:rPr>
            </w:pPr>
            <w:r>
              <w:rPr>
                <w:sz w:val="20"/>
              </w:rPr>
              <w:t>sh0858.1,</w:t>
            </w:r>
            <w:r>
              <w:rPr>
                <w:spacing w:val="-6"/>
                <w:sz w:val="20"/>
              </w:rPr>
              <w:t> </w:t>
            </w:r>
            <w:r>
              <w:rPr>
                <w:spacing w:val="-2"/>
                <w:sz w:val="20"/>
              </w:rPr>
              <w:t>sh1032.1,</w:t>
            </w:r>
          </w:p>
        </w:tc>
        <w:tc>
          <w:tcPr>
            <w:tcW w:w="85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spacing w:line="226" w:lineRule="exact"/>
              <w:ind w:left="906" w:right="348"/>
              <w:jc w:val="center"/>
              <w:rPr>
                <w:sz w:val="20"/>
              </w:rPr>
            </w:pPr>
            <w:r>
              <w:rPr>
                <w:sz w:val="20"/>
              </w:rPr>
              <w:t>sh1033.1,</w:t>
            </w:r>
            <w:r>
              <w:rPr>
                <w:spacing w:val="-6"/>
                <w:sz w:val="20"/>
              </w:rPr>
              <w:t> </w:t>
            </w:r>
            <w:r>
              <w:rPr>
                <w:spacing w:val="-2"/>
                <w:sz w:val="20"/>
              </w:rPr>
              <w:t>sh1129.1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st19.117</w:t>
            </w:r>
          </w:p>
        </w:tc>
        <w:tc>
          <w:tcPr>
            <w:tcW w:w="707" w:type="dxa"/>
          </w:tcPr>
          <w:p>
            <w:pPr>
              <w:pStyle w:val="TableParagraph"/>
              <w:spacing w:line="215" w:lineRule="exact" w:before="45"/>
              <w:ind w:left="210"/>
              <w:rPr>
                <w:sz w:val="20"/>
              </w:rPr>
            </w:pPr>
            <w:r>
              <w:rPr>
                <w:spacing w:val="-5"/>
                <w:sz w:val="20"/>
              </w:rPr>
              <w:t>170</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103"/>
              <w:jc w:val="right"/>
              <w:rPr>
                <w:sz w:val="20"/>
              </w:rPr>
            </w:pPr>
            <w:r>
              <w:rPr>
                <w:spacing w:val="-4"/>
                <w:sz w:val="20"/>
              </w:rPr>
              <w:t>8,07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6"/>
              <w:jc w:val="center"/>
              <w:rPr>
                <w:sz w:val="20"/>
              </w:rPr>
            </w:pPr>
            <w:r>
              <w:rPr>
                <w:sz w:val="20"/>
              </w:rPr>
              <w:t>Схемы:</w:t>
            </w:r>
            <w:r>
              <w:rPr>
                <w:spacing w:val="-9"/>
                <w:sz w:val="20"/>
              </w:rPr>
              <w:t> </w:t>
            </w:r>
            <w:r>
              <w:rPr>
                <w:spacing w:val="-2"/>
                <w:sz w:val="20"/>
              </w:rPr>
              <w:t>sh0096,</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50"/>
              <w:jc w:val="center"/>
              <w:rPr>
                <w:sz w:val="20"/>
              </w:rPr>
            </w:pPr>
            <w:r>
              <w:rPr>
                <w:sz w:val="20"/>
              </w:rPr>
              <w:t>sh0398.1,</w:t>
            </w:r>
            <w:r>
              <w:rPr>
                <w:spacing w:val="-6"/>
                <w:sz w:val="20"/>
              </w:rPr>
              <w:t> </w:t>
            </w:r>
            <w:r>
              <w:rPr>
                <w:spacing w:val="-2"/>
                <w:sz w:val="20"/>
              </w:rPr>
              <w:t>sh0399.1,</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sh0418.1,</w:t>
            </w:r>
            <w:r>
              <w:rPr>
                <w:spacing w:val="-6"/>
                <w:sz w:val="20"/>
              </w:rPr>
              <w:t> </w:t>
            </w:r>
            <w:r>
              <w:rPr>
                <w:spacing w:val="-2"/>
                <w:sz w:val="20"/>
              </w:rPr>
              <w:t>sh0506,</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13)</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sh0583,</w:t>
            </w:r>
            <w:r>
              <w:rPr>
                <w:spacing w:val="-6"/>
                <w:sz w:val="20"/>
              </w:rPr>
              <w:t> </w:t>
            </w:r>
            <w:r>
              <w:rPr>
                <w:spacing w:val="-2"/>
                <w:sz w:val="20"/>
              </w:rPr>
              <w:t>sh0645.1,</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4"/>
              <w:jc w:val="center"/>
              <w:rPr>
                <w:sz w:val="20"/>
              </w:rPr>
            </w:pPr>
            <w:r>
              <w:rPr>
                <w:sz w:val="20"/>
              </w:rPr>
              <w:t>sh0661,</w:t>
            </w:r>
            <w:r>
              <w:rPr>
                <w:spacing w:val="-6"/>
                <w:sz w:val="20"/>
              </w:rPr>
              <w:t> </w:t>
            </w:r>
            <w:r>
              <w:rPr>
                <w:spacing w:val="-2"/>
                <w:sz w:val="20"/>
              </w:rPr>
              <w:t>sh0746,</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sh0868.1,</w:t>
            </w:r>
            <w:r>
              <w:rPr>
                <w:spacing w:val="-6"/>
                <w:sz w:val="20"/>
              </w:rPr>
              <w:t> </w:t>
            </w:r>
            <w:r>
              <w:rPr>
                <w:spacing w:val="-2"/>
                <w:sz w:val="20"/>
              </w:rPr>
              <w:t>sh0882,</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sh0940,</w:t>
            </w:r>
            <w:r>
              <w:rPr>
                <w:spacing w:val="-6"/>
                <w:sz w:val="20"/>
              </w:rPr>
              <w:t> </w:t>
            </w:r>
            <w:r>
              <w:rPr>
                <w:sz w:val="20"/>
              </w:rPr>
              <w:t>sh1064,</w:t>
            </w:r>
            <w:r>
              <w:rPr>
                <w:spacing w:val="-5"/>
                <w:sz w:val="20"/>
              </w:rPr>
              <w:t> </w:t>
            </w:r>
            <w:r>
              <w:rPr>
                <w:spacing w:val="-2"/>
                <w:sz w:val="20"/>
              </w:rPr>
              <w:t>sh1065,</w:t>
            </w:r>
          </w:p>
        </w:tc>
        <w:tc>
          <w:tcPr>
            <w:tcW w:w="85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spacing w:line="226" w:lineRule="exact"/>
              <w:ind w:left="906" w:right="344"/>
              <w:jc w:val="center"/>
              <w:rPr>
                <w:sz w:val="20"/>
              </w:rPr>
            </w:pPr>
            <w:r>
              <w:rPr>
                <w:spacing w:val="-2"/>
                <w:sz w:val="20"/>
              </w:rPr>
              <w:t>sh1144.1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st19.118</w:t>
            </w:r>
          </w:p>
        </w:tc>
        <w:tc>
          <w:tcPr>
            <w:tcW w:w="707" w:type="dxa"/>
          </w:tcPr>
          <w:p>
            <w:pPr>
              <w:pStyle w:val="TableParagraph"/>
              <w:spacing w:line="215" w:lineRule="exact" w:before="45"/>
              <w:ind w:left="210"/>
              <w:rPr>
                <w:sz w:val="20"/>
              </w:rPr>
            </w:pPr>
            <w:r>
              <w:rPr>
                <w:spacing w:val="-5"/>
                <w:sz w:val="20"/>
              </w:rPr>
              <w:t>171</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53"/>
              <w:jc w:val="right"/>
              <w:rPr>
                <w:sz w:val="20"/>
              </w:rPr>
            </w:pPr>
            <w:r>
              <w:rPr>
                <w:spacing w:val="-2"/>
                <w:sz w:val="20"/>
              </w:rPr>
              <w:t>10,11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50"/>
              <w:jc w:val="center"/>
              <w:rPr>
                <w:sz w:val="20"/>
              </w:rPr>
            </w:pPr>
            <w:r>
              <w:rPr>
                <w:sz w:val="20"/>
              </w:rPr>
              <w:t>Схемы:</w:t>
            </w:r>
            <w:r>
              <w:rPr>
                <w:spacing w:val="-6"/>
                <w:sz w:val="20"/>
              </w:rPr>
              <w:t> </w:t>
            </w:r>
            <w:r>
              <w:rPr>
                <w:sz w:val="20"/>
              </w:rPr>
              <w:t>sh0067,</w:t>
            </w:r>
            <w:r>
              <w:rPr>
                <w:spacing w:val="-6"/>
                <w:sz w:val="20"/>
              </w:rPr>
              <w:t> </w:t>
            </w:r>
            <w:r>
              <w:rPr>
                <w:spacing w:val="-2"/>
                <w:sz w:val="20"/>
              </w:rPr>
              <w:t>sh0070,</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sh0160,</w:t>
            </w:r>
            <w:r>
              <w:rPr>
                <w:spacing w:val="-6"/>
                <w:sz w:val="20"/>
              </w:rPr>
              <w:t> </w:t>
            </w:r>
            <w:r>
              <w:rPr>
                <w:sz w:val="20"/>
              </w:rPr>
              <w:t>sh0450,</w:t>
            </w:r>
            <w:r>
              <w:rPr>
                <w:spacing w:val="-5"/>
                <w:sz w:val="20"/>
              </w:rPr>
              <w:t> </w:t>
            </w:r>
            <w:r>
              <w:rPr>
                <w:spacing w:val="-2"/>
                <w:sz w:val="20"/>
              </w:rPr>
              <w:t>sh0533,</w:t>
            </w:r>
          </w:p>
        </w:tc>
        <w:tc>
          <w:tcPr>
            <w:tcW w:w="856"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5" w:lineRule="exact"/>
              <w:ind w:left="906" w:right="345"/>
              <w:jc w:val="center"/>
              <w:rPr>
                <w:sz w:val="20"/>
              </w:rPr>
            </w:pPr>
            <w:r>
              <w:rPr>
                <w:sz w:val="20"/>
              </w:rPr>
              <w:t>sh0576.1,</w:t>
            </w:r>
            <w:r>
              <w:rPr>
                <w:spacing w:val="-6"/>
                <w:sz w:val="20"/>
              </w:rPr>
              <w:t> </w:t>
            </w:r>
            <w:r>
              <w:rPr>
                <w:spacing w:val="-2"/>
                <w:sz w:val="20"/>
              </w:rPr>
              <w:t>sh0769,</w:t>
            </w:r>
          </w:p>
        </w:tc>
        <w:tc>
          <w:tcPr>
            <w:tcW w:w="85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3351"/>
        <w:gridCol w:w="3910"/>
        <w:gridCol w:w="2513"/>
        <w:gridCol w:w="855"/>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ind w:left="192" w:right="926"/>
              <w:rPr>
                <w:sz w:val="20"/>
              </w:rPr>
            </w:pPr>
            <w:r>
              <w:rPr>
                <w:sz w:val="20"/>
              </w:rPr>
              <w:t>кроветворной</w:t>
            </w:r>
            <w:r>
              <w:rPr>
                <w:spacing w:val="-13"/>
                <w:sz w:val="20"/>
              </w:rPr>
              <w:t> </w:t>
            </w:r>
            <w:r>
              <w:rPr>
                <w:sz w:val="20"/>
              </w:rPr>
              <w:t>тканей), взрослые</w:t>
            </w:r>
            <w:r>
              <w:rPr>
                <w:spacing w:val="-11"/>
                <w:sz w:val="20"/>
              </w:rPr>
              <w:t> </w:t>
            </w:r>
            <w:r>
              <w:rPr>
                <w:sz w:val="20"/>
              </w:rPr>
              <w:t>(уровень</w:t>
            </w:r>
            <w:r>
              <w:rPr>
                <w:spacing w:val="-10"/>
                <w:sz w:val="20"/>
              </w:rPr>
              <w:t> </w:t>
            </w:r>
            <w:r>
              <w:rPr>
                <w:spacing w:val="-5"/>
                <w:sz w:val="20"/>
              </w:rPr>
              <w:t>14)</w:t>
            </w:r>
          </w:p>
        </w:tc>
        <w:tc>
          <w:tcPr>
            <w:tcW w:w="3351" w:type="dxa"/>
          </w:tcPr>
          <w:p>
            <w:pPr>
              <w:pStyle w:val="TableParagraph"/>
              <w:rPr>
                <w:sz w:val="18"/>
              </w:rPr>
            </w:pPr>
          </w:p>
        </w:tc>
        <w:tc>
          <w:tcPr>
            <w:tcW w:w="3910" w:type="dxa"/>
          </w:tcPr>
          <w:p>
            <w:pPr>
              <w:pStyle w:val="TableParagraph"/>
              <w:rPr>
                <w:sz w:val="18"/>
              </w:rPr>
            </w:pPr>
          </w:p>
        </w:tc>
        <w:tc>
          <w:tcPr>
            <w:tcW w:w="2513" w:type="dxa"/>
          </w:tcPr>
          <w:p>
            <w:pPr>
              <w:pStyle w:val="TableParagraph"/>
              <w:spacing w:line="221" w:lineRule="exact"/>
              <w:ind w:left="162" w:right="349"/>
              <w:jc w:val="center"/>
              <w:rPr>
                <w:sz w:val="20"/>
              </w:rPr>
            </w:pPr>
            <w:r>
              <w:rPr>
                <w:sz w:val="20"/>
              </w:rPr>
              <w:t>sh0872,</w:t>
            </w:r>
            <w:r>
              <w:rPr>
                <w:spacing w:val="-6"/>
                <w:sz w:val="20"/>
              </w:rPr>
              <w:t> </w:t>
            </w:r>
            <w:r>
              <w:rPr>
                <w:sz w:val="20"/>
              </w:rPr>
              <w:t>sh0958,</w:t>
            </w:r>
            <w:r>
              <w:rPr>
                <w:spacing w:val="-5"/>
                <w:sz w:val="20"/>
              </w:rPr>
              <w:t> </w:t>
            </w:r>
            <w:r>
              <w:rPr>
                <w:spacing w:val="-2"/>
                <w:sz w:val="20"/>
              </w:rPr>
              <w:t>sh0962,</w:t>
            </w:r>
          </w:p>
          <w:p>
            <w:pPr>
              <w:pStyle w:val="TableParagraph"/>
              <w:ind w:left="162" w:right="349"/>
              <w:jc w:val="center"/>
              <w:rPr>
                <w:sz w:val="20"/>
              </w:rPr>
            </w:pPr>
            <w:r>
              <w:rPr>
                <w:sz w:val="20"/>
              </w:rPr>
              <w:t>sh0976,</w:t>
            </w:r>
            <w:r>
              <w:rPr>
                <w:spacing w:val="-6"/>
                <w:sz w:val="20"/>
              </w:rPr>
              <w:t> </w:t>
            </w:r>
            <w:r>
              <w:rPr>
                <w:spacing w:val="-2"/>
                <w:sz w:val="20"/>
              </w:rPr>
              <w:t>sh1113</w:t>
            </w:r>
          </w:p>
        </w:tc>
        <w:tc>
          <w:tcPr>
            <w:tcW w:w="855" w:type="dxa"/>
          </w:tcPr>
          <w:p>
            <w:pPr>
              <w:pStyle w:val="TableParagraph"/>
              <w:rPr>
                <w:sz w:val="18"/>
              </w:rPr>
            </w:pPr>
          </w:p>
        </w:tc>
      </w:tr>
      <w:tr>
        <w:trPr>
          <w:trHeight w:val="1710" w:hRule="atLeast"/>
        </w:trPr>
        <w:tc>
          <w:tcPr>
            <w:tcW w:w="946" w:type="dxa"/>
          </w:tcPr>
          <w:p>
            <w:pPr>
              <w:pStyle w:val="TableParagraph"/>
              <w:spacing w:before="45"/>
              <w:ind w:left="50"/>
              <w:rPr>
                <w:sz w:val="20"/>
              </w:rPr>
            </w:pPr>
            <w:r>
              <w:rPr>
                <w:spacing w:val="-2"/>
                <w:sz w:val="20"/>
              </w:rPr>
              <w:t>st19.119</w:t>
            </w:r>
          </w:p>
        </w:tc>
        <w:tc>
          <w:tcPr>
            <w:tcW w:w="707" w:type="dxa"/>
          </w:tcPr>
          <w:p>
            <w:pPr>
              <w:pStyle w:val="TableParagraph"/>
              <w:spacing w:before="45"/>
              <w:ind w:left="210"/>
              <w:rPr>
                <w:sz w:val="20"/>
              </w:rPr>
            </w:pPr>
            <w:r>
              <w:rPr>
                <w:spacing w:val="-5"/>
                <w:sz w:val="20"/>
              </w:rPr>
              <w:t>172</w:t>
            </w:r>
          </w:p>
        </w:tc>
        <w:tc>
          <w:tcPr>
            <w:tcW w:w="3045" w:type="dxa"/>
          </w:tcPr>
          <w:p>
            <w:pPr>
              <w:pStyle w:val="TableParagraph"/>
              <w:spacing w:before="45"/>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15)</w:t>
            </w:r>
          </w:p>
        </w:tc>
        <w:tc>
          <w:tcPr>
            <w:tcW w:w="3351" w:type="dxa"/>
          </w:tcPr>
          <w:p>
            <w:pPr>
              <w:pStyle w:val="TableParagraph"/>
              <w:spacing w:before="45"/>
              <w:ind w:left="658" w:right="658"/>
              <w:jc w:val="center"/>
              <w:rPr>
                <w:sz w:val="20"/>
              </w:rPr>
            </w:pPr>
            <w:r>
              <w:rPr>
                <w:sz w:val="20"/>
              </w:rPr>
              <w:t>C00-C80,</w:t>
            </w:r>
            <w:r>
              <w:rPr>
                <w:spacing w:val="-8"/>
                <w:sz w:val="20"/>
              </w:rPr>
              <w:t> </w:t>
            </w:r>
            <w:r>
              <w:rPr>
                <w:sz w:val="20"/>
              </w:rPr>
              <w:t>C97,</w:t>
            </w:r>
            <w:r>
              <w:rPr>
                <w:spacing w:val="-7"/>
                <w:sz w:val="20"/>
              </w:rPr>
              <w:t> </w:t>
            </w:r>
            <w:r>
              <w:rPr>
                <w:sz w:val="20"/>
              </w:rPr>
              <w:t>D00-</w:t>
            </w:r>
            <w:r>
              <w:rPr>
                <w:spacing w:val="-5"/>
                <w:sz w:val="20"/>
              </w:rPr>
              <w:t>D09</w:t>
            </w:r>
          </w:p>
        </w:tc>
        <w:tc>
          <w:tcPr>
            <w:tcW w:w="3910" w:type="dxa"/>
          </w:tcPr>
          <w:p>
            <w:pPr>
              <w:pStyle w:val="TableParagraph"/>
              <w:spacing w:before="45"/>
              <w:ind w:left="498"/>
              <w:jc w:val="center"/>
              <w:rPr>
                <w:sz w:val="20"/>
              </w:rPr>
            </w:pPr>
            <w:r>
              <w:rPr>
                <w:w w:val="99"/>
                <w:sz w:val="20"/>
              </w:rPr>
              <w:t>-</w:t>
            </w:r>
          </w:p>
        </w:tc>
        <w:tc>
          <w:tcPr>
            <w:tcW w:w="2513" w:type="dxa"/>
          </w:tcPr>
          <w:p>
            <w:pPr>
              <w:pStyle w:val="TableParagraph"/>
              <w:spacing w:before="45"/>
              <w:ind w:left="162" w:right="350"/>
              <w:jc w:val="center"/>
              <w:rPr>
                <w:sz w:val="20"/>
              </w:rPr>
            </w:pPr>
            <w:r>
              <w:rPr>
                <w:sz w:val="20"/>
              </w:rPr>
              <w:t>Возрастная</w:t>
            </w:r>
            <w:r>
              <w:rPr>
                <w:spacing w:val="-13"/>
                <w:sz w:val="20"/>
              </w:rPr>
              <w:t> </w:t>
            </w:r>
            <w:r>
              <w:rPr>
                <w:sz w:val="20"/>
              </w:rPr>
              <w:t>группа: старше 18 лет</w:t>
            </w:r>
          </w:p>
          <w:p>
            <w:pPr>
              <w:pStyle w:val="TableParagraph"/>
              <w:ind w:left="158" w:right="350"/>
              <w:jc w:val="center"/>
              <w:rPr>
                <w:sz w:val="20"/>
              </w:rPr>
            </w:pPr>
            <w:r>
              <w:rPr>
                <w:sz w:val="20"/>
              </w:rPr>
              <w:t>Схемы:</w:t>
            </w:r>
            <w:r>
              <w:rPr>
                <w:spacing w:val="-13"/>
                <w:sz w:val="20"/>
              </w:rPr>
              <w:t> </w:t>
            </w:r>
            <w:r>
              <w:rPr>
                <w:sz w:val="20"/>
              </w:rPr>
              <w:t>sh0181,</w:t>
            </w:r>
            <w:r>
              <w:rPr>
                <w:spacing w:val="-12"/>
                <w:sz w:val="20"/>
              </w:rPr>
              <w:t> </w:t>
            </w:r>
            <w:r>
              <w:rPr>
                <w:sz w:val="20"/>
              </w:rPr>
              <w:t>sh0504, sh0575.1, sh0578.1, sh0715, sh0796, sh0940.1, sh0954, sh0961, sh1072, sh1084</w:t>
            </w:r>
          </w:p>
        </w:tc>
        <w:tc>
          <w:tcPr>
            <w:tcW w:w="855" w:type="dxa"/>
          </w:tcPr>
          <w:p>
            <w:pPr>
              <w:pStyle w:val="TableParagraph"/>
              <w:spacing w:before="45"/>
              <w:ind w:right="51"/>
              <w:jc w:val="right"/>
              <w:rPr>
                <w:sz w:val="20"/>
              </w:rPr>
            </w:pPr>
            <w:r>
              <w:rPr>
                <w:spacing w:val="-2"/>
                <w:sz w:val="20"/>
              </w:rPr>
              <w:t>13,86</w:t>
            </w:r>
          </w:p>
        </w:tc>
      </w:tr>
      <w:tr>
        <w:trPr>
          <w:trHeight w:val="1939" w:hRule="atLeast"/>
        </w:trPr>
        <w:tc>
          <w:tcPr>
            <w:tcW w:w="946" w:type="dxa"/>
          </w:tcPr>
          <w:p>
            <w:pPr>
              <w:pStyle w:val="TableParagraph"/>
              <w:spacing w:before="46"/>
              <w:ind w:left="50"/>
              <w:rPr>
                <w:sz w:val="20"/>
              </w:rPr>
            </w:pPr>
            <w:r>
              <w:rPr>
                <w:spacing w:val="-2"/>
                <w:sz w:val="20"/>
              </w:rPr>
              <w:t>st19.120</w:t>
            </w:r>
          </w:p>
        </w:tc>
        <w:tc>
          <w:tcPr>
            <w:tcW w:w="707" w:type="dxa"/>
          </w:tcPr>
          <w:p>
            <w:pPr>
              <w:pStyle w:val="TableParagraph"/>
              <w:spacing w:before="46"/>
              <w:ind w:left="210"/>
              <w:rPr>
                <w:sz w:val="20"/>
              </w:rPr>
            </w:pPr>
            <w:r>
              <w:rPr>
                <w:spacing w:val="-5"/>
                <w:sz w:val="20"/>
              </w:rPr>
              <w:t>173</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16)</w:t>
            </w:r>
          </w:p>
        </w:tc>
        <w:tc>
          <w:tcPr>
            <w:tcW w:w="3351" w:type="dxa"/>
          </w:tcPr>
          <w:p>
            <w:pPr>
              <w:pStyle w:val="TableParagraph"/>
              <w:spacing w:before="46"/>
              <w:ind w:left="658" w:right="658"/>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10" w:type="dxa"/>
          </w:tcPr>
          <w:p>
            <w:pPr>
              <w:pStyle w:val="TableParagraph"/>
              <w:spacing w:before="46"/>
              <w:ind w:left="498"/>
              <w:jc w:val="center"/>
              <w:rPr>
                <w:sz w:val="20"/>
              </w:rPr>
            </w:pPr>
            <w:r>
              <w:rPr>
                <w:w w:val="99"/>
                <w:sz w:val="20"/>
              </w:rPr>
              <w:t>-</w:t>
            </w:r>
          </w:p>
        </w:tc>
        <w:tc>
          <w:tcPr>
            <w:tcW w:w="2513" w:type="dxa"/>
          </w:tcPr>
          <w:p>
            <w:pPr>
              <w:pStyle w:val="TableParagraph"/>
              <w:spacing w:before="46"/>
              <w:ind w:left="162" w:right="350"/>
              <w:jc w:val="center"/>
              <w:rPr>
                <w:sz w:val="20"/>
              </w:rPr>
            </w:pPr>
            <w:r>
              <w:rPr>
                <w:sz w:val="20"/>
              </w:rPr>
              <w:t>Возрастная</w:t>
            </w:r>
            <w:r>
              <w:rPr>
                <w:spacing w:val="-13"/>
                <w:sz w:val="20"/>
              </w:rPr>
              <w:t> </w:t>
            </w:r>
            <w:r>
              <w:rPr>
                <w:sz w:val="20"/>
              </w:rPr>
              <w:t>группа: старше 18 лет</w:t>
            </w:r>
          </w:p>
          <w:p>
            <w:pPr>
              <w:pStyle w:val="TableParagraph"/>
              <w:ind w:left="158" w:right="350"/>
              <w:jc w:val="center"/>
              <w:rPr>
                <w:sz w:val="20"/>
              </w:rPr>
            </w:pPr>
            <w:r>
              <w:rPr>
                <w:sz w:val="20"/>
              </w:rPr>
              <w:t>Схемы:</w:t>
            </w:r>
            <w:r>
              <w:rPr>
                <w:spacing w:val="-13"/>
                <w:sz w:val="20"/>
              </w:rPr>
              <w:t> </w:t>
            </w:r>
            <w:r>
              <w:rPr>
                <w:sz w:val="20"/>
              </w:rPr>
              <w:t>sh0595,</w:t>
            </w:r>
            <w:r>
              <w:rPr>
                <w:spacing w:val="-12"/>
                <w:sz w:val="20"/>
              </w:rPr>
              <w:t> </w:t>
            </w:r>
            <w:r>
              <w:rPr>
                <w:sz w:val="20"/>
              </w:rPr>
              <w:t>sh0596, sh0597,</w:t>
            </w:r>
            <w:r>
              <w:rPr>
                <w:spacing w:val="-13"/>
                <w:sz w:val="20"/>
              </w:rPr>
              <w:t> </w:t>
            </w:r>
            <w:r>
              <w:rPr>
                <w:sz w:val="20"/>
              </w:rPr>
              <w:t>sh0662,</w:t>
            </w:r>
            <w:r>
              <w:rPr>
                <w:spacing w:val="-12"/>
                <w:sz w:val="20"/>
              </w:rPr>
              <w:t> </w:t>
            </w:r>
            <w:r>
              <w:rPr>
                <w:sz w:val="20"/>
              </w:rPr>
              <w:t>sh0709, sh0882.1, sh0958.1, sh0979,</w:t>
            </w:r>
            <w:r>
              <w:rPr>
                <w:spacing w:val="-13"/>
                <w:sz w:val="20"/>
              </w:rPr>
              <w:t> </w:t>
            </w:r>
            <w:r>
              <w:rPr>
                <w:sz w:val="20"/>
              </w:rPr>
              <w:t>sh1061,</w:t>
            </w:r>
            <w:r>
              <w:rPr>
                <w:spacing w:val="-12"/>
                <w:sz w:val="20"/>
              </w:rPr>
              <w:t> </w:t>
            </w:r>
            <w:r>
              <w:rPr>
                <w:sz w:val="20"/>
              </w:rPr>
              <w:t>sh1062, sh1063,</w:t>
            </w:r>
            <w:r>
              <w:rPr>
                <w:spacing w:val="-6"/>
                <w:sz w:val="20"/>
              </w:rPr>
              <w:t> </w:t>
            </w:r>
            <w:r>
              <w:rPr>
                <w:sz w:val="20"/>
              </w:rPr>
              <w:t>sh1099,</w:t>
            </w:r>
            <w:r>
              <w:rPr>
                <w:spacing w:val="-5"/>
                <w:sz w:val="20"/>
              </w:rPr>
              <w:t> </w:t>
            </w:r>
            <w:r>
              <w:rPr>
                <w:spacing w:val="-2"/>
                <w:sz w:val="20"/>
              </w:rPr>
              <w:t>sh1134,</w:t>
            </w:r>
          </w:p>
          <w:p>
            <w:pPr>
              <w:pStyle w:val="TableParagraph"/>
              <w:spacing w:line="230" w:lineRule="exact"/>
              <w:ind w:left="162" w:right="350"/>
              <w:jc w:val="center"/>
              <w:rPr>
                <w:sz w:val="20"/>
              </w:rPr>
            </w:pPr>
            <w:r>
              <w:rPr>
                <w:spacing w:val="-2"/>
                <w:sz w:val="20"/>
              </w:rPr>
              <w:t>sh1139</w:t>
            </w:r>
          </w:p>
        </w:tc>
        <w:tc>
          <w:tcPr>
            <w:tcW w:w="855" w:type="dxa"/>
          </w:tcPr>
          <w:p>
            <w:pPr>
              <w:pStyle w:val="TableParagraph"/>
              <w:spacing w:before="46"/>
              <w:ind w:right="51"/>
              <w:jc w:val="right"/>
              <w:rPr>
                <w:sz w:val="20"/>
              </w:rPr>
            </w:pPr>
            <w:r>
              <w:rPr>
                <w:spacing w:val="-2"/>
                <w:sz w:val="20"/>
              </w:rPr>
              <w:t>17,20</w:t>
            </w:r>
          </w:p>
        </w:tc>
      </w:tr>
      <w:tr>
        <w:trPr>
          <w:trHeight w:val="1479" w:hRule="atLeast"/>
        </w:trPr>
        <w:tc>
          <w:tcPr>
            <w:tcW w:w="946" w:type="dxa"/>
          </w:tcPr>
          <w:p>
            <w:pPr>
              <w:pStyle w:val="TableParagraph"/>
              <w:spacing w:before="46"/>
              <w:ind w:left="50"/>
              <w:rPr>
                <w:sz w:val="20"/>
              </w:rPr>
            </w:pPr>
            <w:r>
              <w:rPr>
                <w:spacing w:val="-2"/>
                <w:sz w:val="20"/>
              </w:rPr>
              <w:t>st19.121</w:t>
            </w:r>
          </w:p>
        </w:tc>
        <w:tc>
          <w:tcPr>
            <w:tcW w:w="707" w:type="dxa"/>
          </w:tcPr>
          <w:p>
            <w:pPr>
              <w:pStyle w:val="TableParagraph"/>
              <w:spacing w:before="46"/>
              <w:ind w:left="210"/>
              <w:rPr>
                <w:sz w:val="20"/>
              </w:rPr>
            </w:pPr>
            <w:r>
              <w:rPr>
                <w:spacing w:val="-5"/>
                <w:sz w:val="20"/>
              </w:rPr>
              <w:t>174</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17)</w:t>
            </w:r>
          </w:p>
        </w:tc>
        <w:tc>
          <w:tcPr>
            <w:tcW w:w="3351" w:type="dxa"/>
          </w:tcPr>
          <w:p>
            <w:pPr>
              <w:pStyle w:val="TableParagraph"/>
              <w:spacing w:before="46"/>
              <w:ind w:left="658" w:right="658"/>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10" w:type="dxa"/>
          </w:tcPr>
          <w:p>
            <w:pPr>
              <w:pStyle w:val="TableParagraph"/>
              <w:spacing w:before="46"/>
              <w:ind w:left="498"/>
              <w:jc w:val="center"/>
              <w:rPr>
                <w:sz w:val="20"/>
              </w:rPr>
            </w:pPr>
            <w:r>
              <w:rPr>
                <w:w w:val="99"/>
                <w:sz w:val="20"/>
              </w:rPr>
              <w:t>-</w:t>
            </w:r>
          </w:p>
        </w:tc>
        <w:tc>
          <w:tcPr>
            <w:tcW w:w="2513" w:type="dxa"/>
          </w:tcPr>
          <w:p>
            <w:pPr>
              <w:pStyle w:val="TableParagraph"/>
              <w:spacing w:before="46"/>
              <w:ind w:left="162" w:right="350"/>
              <w:jc w:val="center"/>
              <w:rPr>
                <w:sz w:val="20"/>
              </w:rPr>
            </w:pPr>
            <w:r>
              <w:rPr>
                <w:sz w:val="20"/>
              </w:rPr>
              <w:t>Возрастная</w:t>
            </w:r>
            <w:r>
              <w:rPr>
                <w:spacing w:val="-13"/>
                <w:sz w:val="20"/>
              </w:rPr>
              <w:t> </w:t>
            </w:r>
            <w:r>
              <w:rPr>
                <w:sz w:val="20"/>
              </w:rPr>
              <w:t>группа: старше 18 лет</w:t>
            </w:r>
          </w:p>
          <w:p>
            <w:pPr>
              <w:pStyle w:val="TableParagraph"/>
              <w:spacing w:before="1"/>
              <w:ind w:left="158" w:right="350"/>
              <w:jc w:val="center"/>
              <w:rPr>
                <w:sz w:val="20"/>
              </w:rPr>
            </w:pPr>
            <w:r>
              <w:rPr>
                <w:sz w:val="20"/>
              </w:rPr>
              <w:t>Схемы:</w:t>
            </w:r>
            <w:r>
              <w:rPr>
                <w:spacing w:val="-13"/>
                <w:sz w:val="20"/>
              </w:rPr>
              <w:t> </w:t>
            </w:r>
            <w:r>
              <w:rPr>
                <w:sz w:val="20"/>
              </w:rPr>
              <w:t>sh0081,</w:t>
            </w:r>
            <w:r>
              <w:rPr>
                <w:spacing w:val="-12"/>
                <w:sz w:val="20"/>
              </w:rPr>
              <w:t> </w:t>
            </w:r>
            <w:r>
              <w:rPr>
                <w:sz w:val="20"/>
              </w:rPr>
              <w:t>sh0604, </w:t>
            </w:r>
            <w:r>
              <w:rPr>
                <w:spacing w:val="-2"/>
                <w:sz w:val="20"/>
              </w:rPr>
              <w:t>sh0876</w:t>
            </w:r>
          </w:p>
        </w:tc>
        <w:tc>
          <w:tcPr>
            <w:tcW w:w="855" w:type="dxa"/>
          </w:tcPr>
          <w:p>
            <w:pPr>
              <w:pStyle w:val="TableParagraph"/>
              <w:spacing w:before="46"/>
              <w:ind w:right="51"/>
              <w:jc w:val="right"/>
              <w:rPr>
                <w:sz w:val="20"/>
              </w:rPr>
            </w:pPr>
            <w:r>
              <w:rPr>
                <w:spacing w:val="-2"/>
                <w:sz w:val="20"/>
              </w:rPr>
              <w:t>29,17</w:t>
            </w:r>
          </w:p>
        </w:tc>
      </w:tr>
      <w:tr>
        <w:trPr>
          <w:trHeight w:val="279" w:hRule="atLeast"/>
        </w:trPr>
        <w:tc>
          <w:tcPr>
            <w:tcW w:w="946" w:type="dxa"/>
          </w:tcPr>
          <w:p>
            <w:pPr>
              <w:pStyle w:val="TableParagraph"/>
              <w:spacing w:line="215" w:lineRule="exact" w:before="45"/>
              <w:ind w:left="50"/>
              <w:rPr>
                <w:sz w:val="20"/>
              </w:rPr>
            </w:pPr>
            <w:r>
              <w:rPr>
                <w:spacing w:val="-2"/>
                <w:sz w:val="20"/>
              </w:rPr>
              <w:t>st19.075</w:t>
            </w:r>
          </w:p>
        </w:tc>
        <w:tc>
          <w:tcPr>
            <w:tcW w:w="707" w:type="dxa"/>
          </w:tcPr>
          <w:p>
            <w:pPr>
              <w:pStyle w:val="TableParagraph"/>
              <w:spacing w:line="215" w:lineRule="exact" w:before="45"/>
              <w:ind w:left="210"/>
              <w:rPr>
                <w:sz w:val="20"/>
              </w:rPr>
            </w:pPr>
            <w:r>
              <w:rPr>
                <w:spacing w:val="-5"/>
                <w:sz w:val="20"/>
              </w:rPr>
              <w:t>175</w:t>
            </w:r>
          </w:p>
        </w:tc>
        <w:tc>
          <w:tcPr>
            <w:tcW w:w="3045" w:type="dxa"/>
          </w:tcPr>
          <w:p>
            <w:pPr>
              <w:pStyle w:val="TableParagraph"/>
              <w:spacing w:line="215" w:lineRule="exact" w:before="45"/>
              <w:ind w:left="192"/>
              <w:rPr>
                <w:sz w:val="20"/>
              </w:rPr>
            </w:pPr>
            <w:r>
              <w:rPr>
                <w:sz w:val="20"/>
              </w:rPr>
              <w:t>Лучевая</w:t>
            </w:r>
            <w:r>
              <w:rPr>
                <w:spacing w:val="-11"/>
                <w:sz w:val="20"/>
              </w:rPr>
              <w:t> </w:t>
            </w:r>
            <w:r>
              <w:rPr>
                <w:spacing w:val="-2"/>
                <w:sz w:val="20"/>
              </w:rPr>
              <w:t>терапия</w:t>
            </w:r>
          </w:p>
        </w:tc>
        <w:tc>
          <w:tcPr>
            <w:tcW w:w="3351" w:type="dxa"/>
          </w:tcPr>
          <w:p>
            <w:pPr>
              <w:pStyle w:val="TableParagraph"/>
              <w:spacing w:line="215" w:lineRule="exact" w:before="45"/>
              <w:jc w:val="center"/>
              <w:rPr>
                <w:sz w:val="20"/>
              </w:rPr>
            </w:pPr>
            <w:r>
              <w:rPr>
                <w:w w:val="99"/>
                <w:sz w:val="20"/>
              </w:rPr>
              <w:t>-</w:t>
            </w:r>
          </w:p>
        </w:tc>
        <w:tc>
          <w:tcPr>
            <w:tcW w:w="3910" w:type="dxa"/>
          </w:tcPr>
          <w:p>
            <w:pPr>
              <w:pStyle w:val="TableParagraph"/>
              <w:spacing w:line="215" w:lineRule="exact" w:before="45"/>
              <w:ind w:left="660" w:right="162"/>
              <w:jc w:val="center"/>
              <w:rPr>
                <w:sz w:val="20"/>
              </w:rPr>
            </w:pPr>
            <w:r>
              <w:rPr>
                <w:w w:val="95"/>
                <w:sz w:val="20"/>
              </w:rPr>
              <w:t>A06.01.007.001,</w:t>
            </w:r>
            <w:r>
              <w:rPr>
                <w:spacing w:val="54"/>
                <w:sz w:val="20"/>
              </w:rPr>
              <w:t> </w:t>
            </w:r>
            <w:r>
              <w:rPr>
                <w:spacing w:val="-2"/>
                <w:sz w:val="20"/>
              </w:rPr>
              <w:t>A06.03.065,</w:t>
            </w:r>
          </w:p>
        </w:tc>
        <w:tc>
          <w:tcPr>
            <w:tcW w:w="2513" w:type="dxa"/>
          </w:tcPr>
          <w:p>
            <w:pPr>
              <w:pStyle w:val="TableParagraph"/>
              <w:spacing w:line="215" w:lineRule="exact" w:before="45"/>
              <w:ind w:left="426"/>
              <w:rPr>
                <w:sz w:val="20"/>
              </w:rPr>
            </w:pPr>
            <w:r>
              <w:rPr>
                <w:sz w:val="20"/>
              </w:rPr>
              <w:t>Фракции:</w:t>
            </w:r>
            <w:r>
              <w:rPr>
                <w:spacing w:val="-13"/>
                <w:sz w:val="20"/>
              </w:rPr>
              <w:t> </w:t>
            </w:r>
            <w:r>
              <w:rPr>
                <w:sz w:val="20"/>
              </w:rPr>
              <w:t>fr01-</w:t>
            </w:r>
            <w:r>
              <w:rPr>
                <w:spacing w:val="-5"/>
                <w:sz w:val="20"/>
              </w:rPr>
              <w:t>05</w:t>
            </w:r>
          </w:p>
        </w:tc>
        <w:tc>
          <w:tcPr>
            <w:tcW w:w="855" w:type="dxa"/>
          </w:tcPr>
          <w:p>
            <w:pPr>
              <w:pStyle w:val="TableParagraph"/>
              <w:spacing w:line="215" w:lineRule="exact" w:before="45"/>
              <w:ind w:right="101"/>
              <w:jc w:val="right"/>
              <w:rPr>
                <w:sz w:val="20"/>
              </w:rPr>
            </w:pPr>
            <w:r>
              <w:rPr>
                <w:spacing w:val="-4"/>
                <w:sz w:val="20"/>
              </w:rPr>
              <w:t>0,79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(уровень</w:t>
            </w:r>
            <w:r>
              <w:rPr>
                <w:spacing w:val="-10"/>
                <w:sz w:val="20"/>
              </w:rPr>
              <w:t> </w:t>
            </w:r>
            <w:r>
              <w:rPr>
                <w:spacing w:val="-5"/>
                <w:sz w:val="20"/>
              </w:rPr>
              <w:t>1)</w:t>
            </w:r>
          </w:p>
        </w:tc>
        <w:tc>
          <w:tcPr>
            <w:tcW w:w="3351" w:type="dxa"/>
          </w:tcPr>
          <w:p>
            <w:pPr>
              <w:pStyle w:val="TableParagraph"/>
              <w:rPr>
                <w:sz w:val="16"/>
              </w:rPr>
            </w:pPr>
          </w:p>
        </w:tc>
        <w:tc>
          <w:tcPr>
            <w:tcW w:w="3910" w:type="dxa"/>
          </w:tcPr>
          <w:p>
            <w:pPr>
              <w:pStyle w:val="TableParagraph"/>
              <w:spacing w:line="210" w:lineRule="exact"/>
              <w:ind w:left="660" w:right="167"/>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7"/>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1" w:lineRule="exact"/>
              <w:ind w:left="660" w:right="165"/>
              <w:jc w:val="center"/>
              <w:rPr>
                <w:sz w:val="20"/>
              </w:rPr>
            </w:pPr>
            <w:r>
              <w:rPr>
                <w:sz w:val="20"/>
              </w:rPr>
              <w:t>A07.01.004,</w:t>
            </w:r>
            <w:r>
              <w:rPr>
                <w:spacing w:val="-9"/>
                <w:sz w:val="20"/>
              </w:rPr>
              <w:t> </w:t>
            </w:r>
            <w:r>
              <w:rPr>
                <w:spacing w:val="-2"/>
                <w:sz w:val="20"/>
              </w:rPr>
              <w:t>A07.03.002.001,</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1" w:lineRule="exact"/>
              <w:ind w:left="660" w:right="166"/>
              <w:jc w:val="center"/>
              <w:rPr>
                <w:sz w:val="20"/>
              </w:rPr>
            </w:pPr>
            <w:r>
              <w:rPr>
                <w:w w:val="95"/>
                <w:sz w:val="20"/>
              </w:rPr>
              <w:t>A07.03.002.002,</w:t>
            </w:r>
            <w:r>
              <w:rPr>
                <w:spacing w:val="54"/>
                <w:sz w:val="20"/>
              </w:rPr>
              <w:t> </w:t>
            </w:r>
            <w:r>
              <w:rPr>
                <w:spacing w:val="-2"/>
                <w:sz w:val="20"/>
              </w:rPr>
              <w:t>A07.06.002.001,</w:t>
            </w:r>
          </w:p>
        </w:tc>
        <w:tc>
          <w:tcPr>
            <w:tcW w:w="2513" w:type="dxa"/>
          </w:tcPr>
          <w:p>
            <w:pPr>
              <w:pStyle w:val="TableParagraph"/>
              <w:rPr>
                <w:sz w:val="16"/>
              </w:rPr>
            </w:pPr>
          </w:p>
        </w:tc>
        <w:tc>
          <w:tcPr>
            <w:tcW w:w="85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09" w:lineRule="exact"/>
              <w:ind w:left="660" w:right="165"/>
              <w:jc w:val="center"/>
              <w:rPr>
                <w:sz w:val="20"/>
              </w:rPr>
            </w:pPr>
            <w:r>
              <w:rPr>
                <w:w w:val="95"/>
                <w:sz w:val="20"/>
              </w:rPr>
              <w:t>A07.06.002.002,</w:t>
            </w:r>
            <w:r>
              <w:rPr>
                <w:spacing w:val="54"/>
                <w:sz w:val="20"/>
              </w:rPr>
              <w:t> </w:t>
            </w:r>
            <w:r>
              <w:rPr>
                <w:spacing w:val="-2"/>
                <w:sz w:val="20"/>
              </w:rPr>
              <w:t>A07.06.004,</w:t>
            </w:r>
          </w:p>
        </w:tc>
        <w:tc>
          <w:tcPr>
            <w:tcW w:w="2513" w:type="dxa"/>
          </w:tcPr>
          <w:p>
            <w:pPr>
              <w:pStyle w:val="TableParagraph"/>
              <w:rPr>
                <w:sz w:val="16"/>
              </w:rPr>
            </w:pPr>
          </w:p>
        </w:tc>
        <w:tc>
          <w:tcPr>
            <w:tcW w:w="85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09" w:lineRule="exact"/>
              <w:ind w:left="660" w:right="166"/>
              <w:jc w:val="center"/>
              <w:rPr>
                <w:sz w:val="20"/>
              </w:rPr>
            </w:pPr>
            <w:r>
              <w:rPr>
                <w:w w:val="95"/>
                <w:sz w:val="20"/>
              </w:rPr>
              <w:t>A07.07.001.001,</w:t>
            </w:r>
            <w:r>
              <w:rPr>
                <w:spacing w:val="54"/>
                <w:sz w:val="20"/>
              </w:rPr>
              <w:t> </w:t>
            </w:r>
            <w:r>
              <w:rPr>
                <w:spacing w:val="-2"/>
                <w:sz w:val="20"/>
              </w:rPr>
              <w:t>A07.07.001.002,</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6"/>
              <w:jc w:val="center"/>
              <w:rPr>
                <w:sz w:val="20"/>
              </w:rPr>
            </w:pPr>
            <w:r>
              <w:rPr>
                <w:w w:val="95"/>
                <w:sz w:val="20"/>
              </w:rPr>
              <w:t>A07.07.003.001,</w:t>
            </w:r>
            <w:r>
              <w:rPr>
                <w:spacing w:val="54"/>
                <w:sz w:val="20"/>
              </w:rPr>
              <w:t> </w:t>
            </w:r>
            <w:r>
              <w:rPr>
                <w:spacing w:val="-2"/>
                <w:sz w:val="20"/>
              </w:rPr>
              <w:t>A07.07.003.002,</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1"/>
              <w:jc w:val="center"/>
              <w:rPr>
                <w:sz w:val="20"/>
              </w:rPr>
            </w:pPr>
            <w:r>
              <w:rPr>
                <w:sz w:val="20"/>
              </w:rPr>
              <w:t>A07.07.005,</w:t>
            </w:r>
            <w:r>
              <w:rPr>
                <w:spacing w:val="-9"/>
                <w:sz w:val="20"/>
              </w:rPr>
              <w:t> </w:t>
            </w:r>
            <w:r>
              <w:rPr>
                <w:spacing w:val="-2"/>
                <w:sz w:val="20"/>
              </w:rPr>
              <w:t>A07.08.001.001,</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6"/>
              <w:jc w:val="center"/>
              <w:rPr>
                <w:sz w:val="20"/>
              </w:rPr>
            </w:pPr>
            <w:r>
              <w:rPr>
                <w:w w:val="95"/>
                <w:sz w:val="20"/>
              </w:rPr>
              <w:t>A07.08.001.002,</w:t>
            </w:r>
            <w:r>
              <w:rPr>
                <w:spacing w:val="54"/>
                <w:sz w:val="20"/>
              </w:rPr>
              <w:t> </w:t>
            </w:r>
            <w:r>
              <w:rPr>
                <w:spacing w:val="-2"/>
                <w:sz w:val="20"/>
              </w:rPr>
              <w:t>A07.09.001.001,</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5"/>
              <w:jc w:val="center"/>
              <w:rPr>
                <w:sz w:val="20"/>
              </w:rPr>
            </w:pPr>
            <w:r>
              <w:rPr>
                <w:w w:val="95"/>
                <w:sz w:val="20"/>
              </w:rPr>
              <w:t>A07.09.001.002,</w:t>
            </w:r>
            <w:r>
              <w:rPr>
                <w:spacing w:val="54"/>
                <w:sz w:val="20"/>
              </w:rPr>
              <w:t> </w:t>
            </w:r>
            <w:r>
              <w:rPr>
                <w:spacing w:val="-2"/>
                <w:sz w:val="20"/>
              </w:rPr>
              <w:t>A07.09.002,</w:t>
            </w:r>
          </w:p>
        </w:tc>
        <w:tc>
          <w:tcPr>
            <w:tcW w:w="2513" w:type="dxa"/>
          </w:tcPr>
          <w:p>
            <w:pPr>
              <w:pStyle w:val="TableParagraph"/>
              <w:rPr>
                <w:sz w:val="16"/>
              </w:rPr>
            </w:pPr>
          </w:p>
        </w:tc>
        <w:tc>
          <w:tcPr>
            <w:tcW w:w="855"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05" w:lineRule="exact"/>
              <w:ind w:left="660" w:right="166"/>
              <w:jc w:val="center"/>
              <w:rPr>
                <w:sz w:val="20"/>
              </w:rPr>
            </w:pPr>
            <w:r>
              <w:rPr>
                <w:w w:val="95"/>
                <w:sz w:val="20"/>
              </w:rPr>
              <w:t>A07.11.001.001,</w:t>
            </w:r>
            <w:r>
              <w:rPr>
                <w:spacing w:val="54"/>
                <w:sz w:val="20"/>
              </w:rPr>
              <w:t> </w:t>
            </w:r>
            <w:r>
              <w:rPr>
                <w:spacing w:val="-2"/>
                <w:sz w:val="20"/>
              </w:rPr>
              <w:t>A07.11.001.002,</w:t>
            </w:r>
          </w:p>
        </w:tc>
        <w:tc>
          <w:tcPr>
            <w:tcW w:w="2513" w:type="dxa"/>
          </w:tcPr>
          <w:p>
            <w:pPr>
              <w:pStyle w:val="TableParagraph"/>
              <w:rPr>
                <w:sz w:val="16"/>
              </w:rPr>
            </w:pPr>
          </w:p>
        </w:tc>
        <w:tc>
          <w:tcPr>
            <w:tcW w:w="85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49"/>
        <w:gridCol w:w="2756"/>
        <w:gridCol w:w="4517"/>
        <w:gridCol w:w="2301"/>
        <w:gridCol w:w="897"/>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149" w:type="dxa"/>
            <w:vMerge w:val="restart"/>
          </w:tcPr>
          <w:p>
            <w:pPr>
              <w:pStyle w:val="TableParagraph"/>
              <w:rPr>
                <w:sz w:val="18"/>
              </w:rPr>
            </w:pPr>
          </w:p>
        </w:tc>
        <w:tc>
          <w:tcPr>
            <w:tcW w:w="2756" w:type="dxa"/>
            <w:vMerge w:val="restart"/>
          </w:tcPr>
          <w:p>
            <w:pPr>
              <w:pStyle w:val="TableParagraph"/>
              <w:rPr>
                <w:sz w:val="18"/>
              </w:rPr>
            </w:pPr>
          </w:p>
        </w:tc>
        <w:tc>
          <w:tcPr>
            <w:tcW w:w="4517" w:type="dxa"/>
          </w:tcPr>
          <w:p>
            <w:pPr>
              <w:pStyle w:val="TableParagraph"/>
              <w:spacing w:line="205" w:lineRule="exact"/>
              <w:ind w:left="1150" w:right="278"/>
              <w:jc w:val="center"/>
              <w:rPr>
                <w:sz w:val="20"/>
              </w:rPr>
            </w:pPr>
            <w:r>
              <w:rPr>
                <w:sz w:val="20"/>
              </w:rPr>
              <w:t>A07.12.001,</w:t>
            </w:r>
            <w:r>
              <w:rPr>
                <w:spacing w:val="-9"/>
                <w:sz w:val="20"/>
              </w:rPr>
              <w:t> </w:t>
            </w:r>
            <w:r>
              <w:rPr>
                <w:spacing w:val="-2"/>
                <w:sz w:val="20"/>
              </w:rPr>
              <w:t>A07.14.001,</w:t>
            </w:r>
          </w:p>
        </w:tc>
        <w:tc>
          <w:tcPr>
            <w:tcW w:w="2301" w:type="dxa"/>
            <w:vMerge w:val="restart"/>
          </w:tcPr>
          <w:p>
            <w:pPr>
              <w:pStyle w:val="TableParagraph"/>
              <w:rPr>
                <w:sz w:val="18"/>
              </w:rPr>
            </w:pPr>
          </w:p>
        </w:tc>
        <w:tc>
          <w:tcPr>
            <w:tcW w:w="897"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48" w:right="278"/>
              <w:jc w:val="center"/>
              <w:rPr>
                <w:sz w:val="20"/>
              </w:rPr>
            </w:pPr>
            <w:r>
              <w:rPr>
                <w:w w:val="95"/>
                <w:sz w:val="20"/>
              </w:rPr>
              <w:t>A07.14.001.002,</w:t>
            </w:r>
            <w:r>
              <w:rPr>
                <w:spacing w:val="54"/>
                <w:sz w:val="20"/>
              </w:rPr>
              <w:t> </w:t>
            </w:r>
            <w:r>
              <w:rPr>
                <w:spacing w:val="-2"/>
                <w:sz w:val="20"/>
              </w:rPr>
              <w:t>A07.15.001,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1" w:right="452"/>
              <w:jc w:val="center"/>
              <w:rPr>
                <w:sz w:val="20"/>
              </w:rPr>
            </w:pPr>
            <w:r>
              <w:rPr>
                <w:w w:val="95"/>
                <w:sz w:val="20"/>
              </w:rPr>
              <w:t>A07.15.001.001,</w:t>
            </w:r>
            <w:r>
              <w:rPr>
                <w:spacing w:val="54"/>
                <w:sz w:val="20"/>
              </w:rPr>
              <w:t> </w:t>
            </w:r>
            <w:r>
              <w:rPr>
                <w:spacing w:val="-2"/>
                <w:sz w:val="20"/>
              </w:rPr>
              <w:t>A07.16.001.001,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1" w:right="452"/>
              <w:jc w:val="center"/>
              <w:rPr>
                <w:sz w:val="20"/>
              </w:rPr>
            </w:pPr>
            <w:r>
              <w:rPr>
                <w:w w:val="95"/>
                <w:sz w:val="20"/>
              </w:rPr>
              <w:t>A07.16.001.002,</w:t>
            </w:r>
            <w:r>
              <w:rPr>
                <w:spacing w:val="54"/>
                <w:sz w:val="20"/>
              </w:rPr>
              <w:t> </w:t>
            </w:r>
            <w:r>
              <w:rPr>
                <w:spacing w:val="-2"/>
                <w:sz w:val="20"/>
              </w:rPr>
              <w:t>A07.18.001.001,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1" w:right="452"/>
              <w:jc w:val="center"/>
              <w:rPr>
                <w:sz w:val="20"/>
              </w:rPr>
            </w:pPr>
            <w:r>
              <w:rPr>
                <w:w w:val="95"/>
                <w:sz w:val="20"/>
              </w:rPr>
              <w:t>A07.18.001.002,</w:t>
            </w:r>
            <w:r>
              <w:rPr>
                <w:spacing w:val="54"/>
                <w:sz w:val="20"/>
              </w:rPr>
              <w:t> </w:t>
            </w:r>
            <w:r>
              <w:rPr>
                <w:spacing w:val="-2"/>
                <w:sz w:val="20"/>
              </w:rPr>
              <w:t>A07.19.001.001,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9" w:right="278"/>
              <w:jc w:val="center"/>
              <w:rPr>
                <w:sz w:val="20"/>
              </w:rPr>
            </w:pPr>
            <w:r>
              <w:rPr>
                <w:w w:val="95"/>
                <w:sz w:val="20"/>
              </w:rPr>
              <w:t>A07.19.001.002,</w:t>
            </w:r>
            <w:r>
              <w:rPr>
                <w:spacing w:val="56"/>
                <w:sz w:val="20"/>
              </w:rPr>
              <w:t> </w:t>
            </w:r>
            <w:r>
              <w:rPr>
                <w:spacing w:val="-2"/>
                <w:sz w:val="20"/>
              </w:rPr>
              <w:t>A07.20.001.001,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321" w:right="452"/>
              <w:jc w:val="center"/>
              <w:rPr>
                <w:sz w:val="20"/>
              </w:rPr>
            </w:pPr>
            <w:r>
              <w:rPr>
                <w:w w:val="95"/>
                <w:sz w:val="20"/>
              </w:rPr>
              <w:t>A07.20.001.002,</w:t>
            </w:r>
            <w:r>
              <w:rPr>
                <w:spacing w:val="54"/>
                <w:sz w:val="20"/>
              </w:rPr>
              <w:t> </w:t>
            </w:r>
            <w:r>
              <w:rPr>
                <w:spacing w:val="-2"/>
                <w:sz w:val="20"/>
              </w:rPr>
              <w:t>A07.20.003.001,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A07.20.003.002,</w:t>
            </w:r>
            <w:r>
              <w:rPr>
                <w:spacing w:val="54"/>
                <w:sz w:val="20"/>
              </w:rPr>
              <w:t> </w:t>
            </w:r>
            <w:r>
              <w:rPr>
                <w:spacing w:val="-2"/>
                <w:sz w:val="20"/>
              </w:rPr>
              <w:t>A07.21.001,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1" w:right="452"/>
              <w:jc w:val="center"/>
              <w:rPr>
                <w:sz w:val="20"/>
              </w:rPr>
            </w:pPr>
            <w:r>
              <w:rPr>
                <w:w w:val="95"/>
                <w:sz w:val="20"/>
              </w:rPr>
              <w:t>A07.21.001.002,</w:t>
            </w:r>
            <w:r>
              <w:rPr>
                <w:spacing w:val="54"/>
                <w:sz w:val="20"/>
              </w:rPr>
              <w:t> </w:t>
            </w:r>
            <w:r>
              <w:rPr>
                <w:spacing w:val="-2"/>
                <w:sz w:val="20"/>
              </w:rPr>
              <w:t>A07.22.001.001,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A07.22.001.002,</w:t>
            </w:r>
            <w:r>
              <w:rPr>
                <w:spacing w:val="54"/>
                <w:sz w:val="20"/>
              </w:rPr>
              <w:t> </w:t>
            </w:r>
            <w:r>
              <w:rPr>
                <w:spacing w:val="-2"/>
                <w:sz w:val="20"/>
              </w:rPr>
              <w:t>A07.23.001,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A07.23.001.002,</w:t>
            </w:r>
            <w:r>
              <w:rPr>
                <w:spacing w:val="54"/>
                <w:sz w:val="20"/>
              </w:rPr>
              <w:t> </w:t>
            </w:r>
            <w:r>
              <w:rPr>
                <w:spacing w:val="-2"/>
                <w:sz w:val="20"/>
              </w:rPr>
              <w:t>A07.23.002,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sz w:val="20"/>
              </w:rPr>
              <w:t>A07.26.002,</w:t>
            </w:r>
            <w:r>
              <w:rPr>
                <w:spacing w:val="-9"/>
                <w:sz w:val="20"/>
              </w:rPr>
              <w:t> </w:t>
            </w:r>
            <w:r>
              <w:rPr>
                <w:spacing w:val="-2"/>
                <w:sz w:val="20"/>
              </w:rPr>
              <w:t>A07.28.001.001,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A07.28.001.002,</w:t>
            </w:r>
            <w:r>
              <w:rPr>
                <w:spacing w:val="54"/>
                <w:sz w:val="20"/>
              </w:rPr>
              <w:t> </w:t>
            </w:r>
            <w:r>
              <w:rPr>
                <w:spacing w:val="-2"/>
                <w:sz w:val="20"/>
              </w:rPr>
              <w:t>A07.30.002,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26" w:lineRule="exact"/>
              <w:ind w:left="1149" w:right="278"/>
              <w:jc w:val="center"/>
              <w:rPr>
                <w:sz w:val="20"/>
              </w:rPr>
            </w:pPr>
            <w:r>
              <w:rPr>
                <w:w w:val="95"/>
                <w:sz w:val="20"/>
              </w:rPr>
              <w:t>A07.30.025.001,</w:t>
            </w:r>
            <w:r>
              <w:rPr>
                <w:spacing w:val="54"/>
                <w:sz w:val="20"/>
              </w:rPr>
              <w:t> </w:t>
            </w:r>
            <w:r>
              <w:rPr>
                <w:spacing w:val="-2"/>
                <w:sz w:val="20"/>
              </w:rPr>
              <w:t>A07.30.025.002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559" w:hRule="atLeast"/>
        </w:trPr>
        <w:tc>
          <w:tcPr>
            <w:tcW w:w="946" w:type="dxa"/>
          </w:tcPr>
          <w:p>
            <w:pPr>
              <w:pStyle w:val="TableParagraph"/>
              <w:spacing w:before="45"/>
              <w:ind w:left="50"/>
              <w:rPr>
                <w:sz w:val="20"/>
              </w:rPr>
            </w:pPr>
            <w:r>
              <w:rPr>
                <w:spacing w:val="-2"/>
                <w:sz w:val="20"/>
              </w:rPr>
              <w:t>st19.076</w:t>
            </w:r>
          </w:p>
        </w:tc>
        <w:tc>
          <w:tcPr>
            <w:tcW w:w="707" w:type="dxa"/>
          </w:tcPr>
          <w:p>
            <w:pPr>
              <w:pStyle w:val="TableParagraph"/>
              <w:spacing w:before="45"/>
              <w:ind w:left="210"/>
              <w:rPr>
                <w:sz w:val="20"/>
              </w:rPr>
            </w:pPr>
            <w:r>
              <w:rPr>
                <w:spacing w:val="-5"/>
                <w:sz w:val="20"/>
              </w:rPr>
              <w:t>176</w:t>
            </w:r>
          </w:p>
        </w:tc>
        <w:tc>
          <w:tcPr>
            <w:tcW w:w="3149" w:type="dxa"/>
          </w:tcPr>
          <w:p>
            <w:pPr>
              <w:pStyle w:val="TableParagraph"/>
              <w:spacing w:before="45"/>
              <w:ind w:left="192" w:right="1528"/>
              <w:rPr>
                <w:sz w:val="20"/>
              </w:rPr>
            </w:pPr>
            <w:r>
              <w:rPr>
                <w:sz w:val="20"/>
              </w:rPr>
              <w:t>Лучевая</w:t>
            </w:r>
            <w:r>
              <w:rPr>
                <w:spacing w:val="-13"/>
                <w:sz w:val="20"/>
              </w:rPr>
              <w:t> </w:t>
            </w:r>
            <w:r>
              <w:rPr>
                <w:sz w:val="20"/>
              </w:rPr>
              <w:t>терапия (уровень 2)</w:t>
            </w:r>
          </w:p>
        </w:tc>
        <w:tc>
          <w:tcPr>
            <w:tcW w:w="2756" w:type="dxa"/>
          </w:tcPr>
          <w:p>
            <w:pPr>
              <w:pStyle w:val="TableParagraph"/>
              <w:spacing w:before="45"/>
              <w:ind w:right="1150"/>
              <w:jc w:val="right"/>
              <w:rPr>
                <w:sz w:val="20"/>
              </w:rPr>
            </w:pPr>
            <w:r>
              <w:rPr>
                <w:w w:val="99"/>
                <w:sz w:val="20"/>
              </w:rPr>
              <w:t>-</w:t>
            </w:r>
          </w:p>
        </w:tc>
        <w:tc>
          <w:tcPr>
            <w:tcW w:w="4517" w:type="dxa"/>
          </w:tcPr>
          <w:p>
            <w:pPr>
              <w:pStyle w:val="TableParagraph"/>
              <w:spacing w:before="45"/>
              <w:ind w:left="1325" w:right="451"/>
              <w:jc w:val="center"/>
              <w:rPr>
                <w:sz w:val="20"/>
              </w:rPr>
            </w:pPr>
            <w:r>
              <w:rPr>
                <w:spacing w:val="-2"/>
                <w:sz w:val="20"/>
              </w:rPr>
              <w:t>A07.30.009</w:t>
            </w:r>
          </w:p>
        </w:tc>
        <w:tc>
          <w:tcPr>
            <w:tcW w:w="2301" w:type="dxa"/>
          </w:tcPr>
          <w:p>
            <w:pPr>
              <w:pStyle w:val="TableParagraph"/>
              <w:spacing w:before="45"/>
              <w:ind w:left="745" w:right="493" w:hanging="461"/>
              <w:rPr>
                <w:sz w:val="20"/>
              </w:rPr>
            </w:pPr>
            <w:r>
              <w:rPr>
                <w:sz w:val="20"/>
              </w:rPr>
              <w:t>Фракции:</w:t>
            </w:r>
            <w:r>
              <w:rPr>
                <w:spacing w:val="-13"/>
                <w:sz w:val="20"/>
              </w:rPr>
              <w:t> </w:t>
            </w:r>
            <w:r>
              <w:rPr>
                <w:sz w:val="20"/>
              </w:rPr>
              <w:t>fr01-05, </w:t>
            </w:r>
            <w:r>
              <w:rPr>
                <w:spacing w:val="-2"/>
                <w:sz w:val="20"/>
              </w:rPr>
              <w:t>fr06-07</w:t>
            </w:r>
          </w:p>
        </w:tc>
        <w:tc>
          <w:tcPr>
            <w:tcW w:w="897" w:type="dxa"/>
          </w:tcPr>
          <w:p>
            <w:pPr>
              <w:pStyle w:val="TableParagraph"/>
              <w:spacing w:before="45"/>
              <w:ind w:right="47"/>
              <w:jc w:val="right"/>
              <w:rPr>
                <w:sz w:val="20"/>
              </w:rPr>
            </w:pPr>
            <w:r>
              <w:rPr>
                <w:spacing w:val="-4"/>
                <w:sz w:val="20"/>
              </w:rPr>
              <w:t>1,14</w:t>
            </w:r>
          </w:p>
        </w:tc>
      </w:tr>
      <w:tr>
        <w:trPr>
          <w:trHeight w:val="279" w:hRule="atLeast"/>
        </w:trPr>
        <w:tc>
          <w:tcPr>
            <w:tcW w:w="946" w:type="dxa"/>
          </w:tcPr>
          <w:p>
            <w:pPr>
              <w:pStyle w:val="TableParagraph"/>
              <w:spacing w:line="215" w:lineRule="exact" w:before="45"/>
              <w:ind w:left="50"/>
              <w:rPr>
                <w:sz w:val="20"/>
              </w:rPr>
            </w:pPr>
            <w:r>
              <w:rPr>
                <w:spacing w:val="-2"/>
                <w:sz w:val="20"/>
              </w:rPr>
              <w:t>st19.077</w:t>
            </w:r>
          </w:p>
        </w:tc>
        <w:tc>
          <w:tcPr>
            <w:tcW w:w="707" w:type="dxa"/>
          </w:tcPr>
          <w:p>
            <w:pPr>
              <w:pStyle w:val="TableParagraph"/>
              <w:spacing w:line="215" w:lineRule="exact" w:before="45"/>
              <w:ind w:left="210"/>
              <w:rPr>
                <w:sz w:val="20"/>
              </w:rPr>
            </w:pPr>
            <w:r>
              <w:rPr>
                <w:spacing w:val="-5"/>
                <w:sz w:val="20"/>
              </w:rPr>
              <w:t>177</w:t>
            </w:r>
          </w:p>
        </w:tc>
        <w:tc>
          <w:tcPr>
            <w:tcW w:w="3149" w:type="dxa"/>
          </w:tcPr>
          <w:p>
            <w:pPr>
              <w:pStyle w:val="TableParagraph"/>
              <w:spacing w:line="215" w:lineRule="exact" w:before="45"/>
              <w:ind w:left="192"/>
              <w:rPr>
                <w:sz w:val="20"/>
              </w:rPr>
            </w:pPr>
            <w:r>
              <w:rPr>
                <w:sz w:val="20"/>
              </w:rPr>
              <w:t>Лучевая</w:t>
            </w:r>
            <w:r>
              <w:rPr>
                <w:spacing w:val="-10"/>
                <w:sz w:val="20"/>
              </w:rPr>
              <w:t> </w:t>
            </w:r>
            <w:r>
              <w:rPr>
                <w:spacing w:val="-2"/>
                <w:sz w:val="20"/>
              </w:rPr>
              <w:t>терапия</w:t>
            </w:r>
          </w:p>
        </w:tc>
        <w:tc>
          <w:tcPr>
            <w:tcW w:w="2756" w:type="dxa"/>
          </w:tcPr>
          <w:p>
            <w:pPr>
              <w:pStyle w:val="TableParagraph"/>
              <w:spacing w:line="215" w:lineRule="exact" w:before="45"/>
              <w:ind w:right="1150"/>
              <w:jc w:val="right"/>
              <w:rPr>
                <w:sz w:val="20"/>
              </w:rPr>
            </w:pPr>
            <w:r>
              <w:rPr>
                <w:w w:val="99"/>
                <w:sz w:val="20"/>
              </w:rPr>
              <w:t>-</w:t>
            </w:r>
          </w:p>
        </w:tc>
        <w:tc>
          <w:tcPr>
            <w:tcW w:w="4517" w:type="dxa"/>
          </w:tcPr>
          <w:p>
            <w:pPr>
              <w:pStyle w:val="TableParagraph"/>
              <w:spacing w:line="215" w:lineRule="exact" w:before="45"/>
              <w:ind w:left="1148" w:right="278"/>
              <w:jc w:val="center"/>
              <w:rPr>
                <w:sz w:val="20"/>
              </w:rPr>
            </w:pPr>
            <w:r>
              <w:rPr>
                <w:w w:val="95"/>
                <w:sz w:val="20"/>
              </w:rPr>
              <w:t>A06.01.007.001,</w:t>
            </w:r>
            <w:r>
              <w:rPr>
                <w:spacing w:val="54"/>
                <w:sz w:val="20"/>
              </w:rPr>
              <w:t> </w:t>
            </w:r>
            <w:r>
              <w:rPr>
                <w:spacing w:val="-2"/>
                <w:sz w:val="20"/>
              </w:rPr>
              <w:t>A06.03.065,</w:t>
            </w:r>
          </w:p>
        </w:tc>
        <w:tc>
          <w:tcPr>
            <w:tcW w:w="2301" w:type="dxa"/>
          </w:tcPr>
          <w:p>
            <w:pPr>
              <w:pStyle w:val="TableParagraph"/>
              <w:spacing w:line="215" w:lineRule="exact" w:before="45"/>
              <w:ind w:left="278" w:right="487"/>
              <w:jc w:val="center"/>
              <w:rPr>
                <w:sz w:val="20"/>
              </w:rPr>
            </w:pPr>
            <w:r>
              <w:rPr>
                <w:sz w:val="20"/>
              </w:rPr>
              <w:t>Фракции:</w:t>
            </w:r>
            <w:r>
              <w:rPr>
                <w:spacing w:val="-13"/>
                <w:sz w:val="20"/>
              </w:rPr>
              <w:t> </w:t>
            </w:r>
            <w:r>
              <w:rPr>
                <w:sz w:val="20"/>
              </w:rPr>
              <w:t>fr06-</w:t>
            </w:r>
            <w:r>
              <w:rPr>
                <w:spacing w:val="-5"/>
                <w:sz w:val="20"/>
              </w:rPr>
              <w:t>07,</w:t>
            </w:r>
          </w:p>
        </w:tc>
        <w:tc>
          <w:tcPr>
            <w:tcW w:w="897" w:type="dxa"/>
          </w:tcPr>
          <w:p>
            <w:pPr>
              <w:pStyle w:val="TableParagraph"/>
              <w:spacing w:line="215" w:lineRule="exact" w:before="45"/>
              <w:ind w:right="47"/>
              <w:jc w:val="right"/>
              <w:rPr>
                <w:sz w:val="20"/>
              </w:rPr>
            </w:pPr>
            <w:r>
              <w:rPr>
                <w:spacing w:val="-4"/>
                <w:sz w:val="20"/>
              </w:rPr>
              <w:t>2,46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spacing w:line="211" w:lineRule="exact"/>
              <w:ind w:left="192"/>
              <w:rPr>
                <w:sz w:val="20"/>
              </w:rPr>
            </w:pPr>
            <w:r>
              <w:rPr>
                <w:sz w:val="20"/>
              </w:rPr>
              <w:t>(уровень</w:t>
            </w:r>
            <w:r>
              <w:rPr>
                <w:spacing w:val="-10"/>
                <w:sz w:val="20"/>
              </w:rPr>
              <w:t> </w:t>
            </w:r>
            <w:r>
              <w:rPr>
                <w:spacing w:val="-5"/>
                <w:sz w:val="20"/>
              </w:rPr>
              <w:t>3)</w:t>
            </w:r>
          </w:p>
        </w:tc>
        <w:tc>
          <w:tcPr>
            <w:tcW w:w="2756" w:type="dxa"/>
          </w:tcPr>
          <w:p>
            <w:pPr>
              <w:pStyle w:val="TableParagraph"/>
              <w:rPr>
                <w:sz w:val="16"/>
              </w:rPr>
            </w:pPr>
          </w:p>
        </w:tc>
        <w:tc>
          <w:tcPr>
            <w:tcW w:w="4517" w:type="dxa"/>
          </w:tcPr>
          <w:p>
            <w:pPr>
              <w:pStyle w:val="TableParagraph"/>
              <w:spacing w:line="211" w:lineRule="exact"/>
              <w:ind w:left="1146" w:right="278"/>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301" w:type="dxa"/>
          </w:tcPr>
          <w:p>
            <w:pPr>
              <w:pStyle w:val="TableParagraph"/>
              <w:spacing w:line="211" w:lineRule="exact"/>
              <w:ind w:left="279" w:right="487"/>
              <w:jc w:val="center"/>
              <w:rPr>
                <w:sz w:val="20"/>
              </w:rPr>
            </w:pPr>
            <w:r>
              <w:rPr>
                <w:sz w:val="20"/>
              </w:rPr>
              <w:t>fr08-10,</w:t>
            </w:r>
            <w:r>
              <w:rPr>
                <w:spacing w:val="-12"/>
                <w:sz w:val="20"/>
              </w:rPr>
              <w:t> </w:t>
            </w:r>
            <w:r>
              <w:rPr>
                <w:sz w:val="20"/>
              </w:rPr>
              <w:t>fr11-</w:t>
            </w:r>
            <w:r>
              <w:rPr>
                <w:spacing w:val="-7"/>
                <w:sz w:val="20"/>
              </w:rPr>
              <w:t>20</w:t>
            </w: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6" w:right="278"/>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8" w:right="278"/>
              <w:jc w:val="center"/>
              <w:rPr>
                <w:sz w:val="20"/>
              </w:rPr>
            </w:pPr>
            <w:r>
              <w:rPr>
                <w:sz w:val="20"/>
              </w:rPr>
              <w:t>A07.01.004,</w:t>
            </w:r>
            <w:r>
              <w:rPr>
                <w:spacing w:val="-9"/>
                <w:sz w:val="20"/>
              </w:rPr>
              <w:t> </w:t>
            </w:r>
            <w:r>
              <w:rPr>
                <w:spacing w:val="-2"/>
                <w:sz w:val="20"/>
              </w:rPr>
              <w:t>A07.03.002.001,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1" w:right="452"/>
              <w:jc w:val="center"/>
              <w:rPr>
                <w:sz w:val="20"/>
              </w:rPr>
            </w:pPr>
            <w:r>
              <w:rPr>
                <w:w w:val="95"/>
                <w:sz w:val="20"/>
              </w:rPr>
              <w:t>A07.03.002.002,</w:t>
            </w:r>
            <w:r>
              <w:rPr>
                <w:spacing w:val="54"/>
                <w:sz w:val="20"/>
              </w:rPr>
              <w:t> </w:t>
            </w:r>
            <w:r>
              <w:rPr>
                <w:spacing w:val="-2"/>
                <w:sz w:val="20"/>
              </w:rPr>
              <w:t>A07.06.002.001,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48" w:right="278"/>
              <w:jc w:val="center"/>
              <w:rPr>
                <w:sz w:val="20"/>
              </w:rPr>
            </w:pPr>
            <w:r>
              <w:rPr>
                <w:w w:val="95"/>
                <w:sz w:val="20"/>
              </w:rPr>
              <w:t>A07.06.002.002,</w:t>
            </w:r>
            <w:r>
              <w:rPr>
                <w:spacing w:val="54"/>
                <w:sz w:val="20"/>
              </w:rPr>
              <w:t> </w:t>
            </w:r>
            <w:r>
              <w:rPr>
                <w:spacing w:val="-2"/>
                <w:sz w:val="20"/>
              </w:rPr>
              <w:t>A07.06.004,</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A07.07.001.001,</w:t>
            </w:r>
            <w:r>
              <w:rPr>
                <w:spacing w:val="54"/>
                <w:sz w:val="20"/>
              </w:rPr>
              <w:t> </w:t>
            </w:r>
            <w:r>
              <w:rPr>
                <w:spacing w:val="-2"/>
                <w:sz w:val="20"/>
              </w:rPr>
              <w:t>A07.07.001.002,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A07.07.003.001,</w:t>
            </w:r>
            <w:r>
              <w:rPr>
                <w:spacing w:val="54"/>
                <w:sz w:val="20"/>
              </w:rPr>
              <w:t> </w:t>
            </w:r>
            <w:r>
              <w:rPr>
                <w:spacing w:val="-2"/>
                <w:sz w:val="20"/>
              </w:rPr>
              <w:t>A07.07.003.002,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8" w:right="278"/>
              <w:jc w:val="center"/>
              <w:rPr>
                <w:sz w:val="20"/>
              </w:rPr>
            </w:pPr>
            <w:r>
              <w:rPr>
                <w:sz w:val="20"/>
              </w:rPr>
              <w:t>A07.07.005,</w:t>
            </w:r>
            <w:r>
              <w:rPr>
                <w:spacing w:val="-9"/>
                <w:sz w:val="20"/>
              </w:rPr>
              <w:t> </w:t>
            </w:r>
            <w:r>
              <w:rPr>
                <w:spacing w:val="-2"/>
                <w:sz w:val="20"/>
              </w:rPr>
              <w:t>A07.08.001.001,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A07.08.001.002,</w:t>
            </w:r>
            <w:r>
              <w:rPr>
                <w:spacing w:val="54"/>
                <w:sz w:val="20"/>
              </w:rPr>
              <w:t> </w:t>
            </w:r>
            <w:r>
              <w:rPr>
                <w:spacing w:val="-2"/>
                <w:sz w:val="20"/>
              </w:rPr>
              <w:t>A07.09.001.001,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48" w:right="278"/>
              <w:jc w:val="center"/>
              <w:rPr>
                <w:sz w:val="20"/>
              </w:rPr>
            </w:pPr>
            <w:r>
              <w:rPr>
                <w:w w:val="95"/>
                <w:sz w:val="20"/>
              </w:rPr>
              <w:t>A07.09.001.002,</w:t>
            </w:r>
            <w:r>
              <w:rPr>
                <w:spacing w:val="54"/>
                <w:sz w:val="20"/>
              </w:rPr>
              <w:t> </w:t>
            </w:r>
            <w:r>
              <w:rPr>
                <w:spacing w:val="-2"/>
                <w:sz w:val="20"/>
              </w:rPr>
              <w:t>A07.09.002,</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w w:val="95"/>
                <w:sz w:val="20"/>
              </w:rPr>
              <w:t>A07.11.001.001,</w:t>
            </w:r>
            <w:r>
              <w:rPr>
                <w:spacing w:val="54"/>
                <w:sz w:val="20"/>
              </w:rPr>
              <w:t> </w:t>
            </w:r>
            <w:r>
              <w:rPr>
                <w:spacing w:val="-2"/>
                <w:w w:val="95"/>
                <w:sz w:val="20"/>
              </w:rPr>
              <w:t>A07.11.001.002,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150" w:right="278"/>
              <w:jc w:val="center"/>
              <w:rPr>
                <w:sz w:val="20"/>
              </w:rPr>
            </w:pPr>
            <w:r>
              <w:rPr>
                <w:sz w:val="20"/>
              </w:rPr>
              <w:t>A07.12.001,</w:t>
            </w:r>
            <w:r>
              <w:rPr>
                <w:spacing w:val="-9"/>
                <w:sz w:val="20"/>
              </w:rPr>
              <w:t> </w:t>
            </w:r>
            <w:r>
              <w:rPr>
                <w:spacing w:val="-2"/>
                <w:sz w:val="20"/>
              </w:rPr>
              <w:t>A07.14.001,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8" w:right="278"/>
              <w:jc w:val="center"/>
              <w:rPr>
                <w:sz w:val="20"/>
              </w:rPr>
            </w:pPr>
            <w:r>
              <w:rPr>
                <w:w w:val="95"/>
                <w:sz w:val="20"/>
              </w:rPr>
              <w:t>A07.14.001.002,</w:t>
            </w:r>
            <w:r>
              <w:rPr>
                <w:spacing w:val="54"/>
                <w:sz w:val="20"/>
              </w:rPr>
              <w:t> </w:t>
            </w:r>
            <w:r>
              <w:rPr>
                <w:spacing w:val="-2"/>
                <w:sz w:val="20"/>
              </w:rPr>
              <w:t>A07.15.001,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A07.15.001.001,</w:t>
            </w:r>
            <w:r>
              <w:rPr>
                <w:spacing w:val="54"/>
                <w:sz w:val="20"/>
              </w:rPr>
              <w:t> </w:t>
            </w:r>
            <w:r>
              <w:rPr>
                <w:spacing w:val="-2"/>
                <w:sz w:val="20"/>
              </w:rPr>
              <w:t>A07.16.001.001,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A07.16.001.002,</w:t>
            </w:r>
            <w:r>
              <w:rPr>
                <w:spacing w:val="54"/>
                <w:sz w:val="20"/>
              </w:rPr>
              <w:t> </w:t>
            </w:r>
            <w:r>
              <w:rPr>
                <w:spacing w:val="-2"/>
                <w:sz w:val="20"/>
              </w:rPr>
              <w:t>A07.18.001.001,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1" w:right="452"/>
              <w:jc w:val="center"/>
              <w:rPr>
                <w:sz w:val="20"/>
              </w:rPr>
            </w:pPr>
            <w:r>
              <w:rPr>
                <w:w w:val="95"/>
                <w:sz w:val="20"/>
              </w:rPr>
              <w:t>A07.18.001.002,</w:t>
            </w:r>
            <w:r>
              <w:rPr>
                <w:spacing w:val="54"/>
                <w:sz w:val="20"/>
              </w:rPr>
              <w:t> </w:t>
            </w:r>
            <w:r>
              <w:rPr>
                <w:spacing w:val="-2"/>
                <w:sz w:val="20"/>
              </w:rPr>
              <w:t>A07.19.001.001,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1" w:right="452"/>
              <w:jc w:val="center"/>
              <w:rPr>
                <w:sz w:val="20"/>
              </w:rPr>
            </w:pPr>
            <w:r>
              <w:rPr>
                <w:w w:val="95"/>
                <w:sz w:val="20"/>
              </w:rPr>
              <w:t>A07.19.001.002,</w:t>
            </w:r>
            <w:r>
              <w:rPr>
                <w:spacing w:val="54"/>
                <w:sz w:val="20"/>
              </w:rPr>
              <w:t> </w:t>
            </w:r>
            <w:r>
              <w:rPr>
                <w:spacing w:val="-2"/>
                <w:sz w:val="20"/>
              </w:rPr>
              <w:t>A07.20.001.001,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A07.20.001.002,</w:t>
            </w:r>
            <w:r>
              <w:rPr>
                <w:spacing w:val="54"/>
                <w:sz w:val="20"/>
              </w:rPr>
              <w:t> </w:t>
            </w:r>
            <w:r>
              <w:rPr>
                <w:spacing w:val="-2"/>
                <w:sz w:val="20"/>
              </w:rPr>
              <w:t>A07.20.003.001,</w:t>
            </w:r>
          </w:p>
        </w:tc>
        <w:tc>
          <w:tcPr>
            <w:tcW w:w="2301" w:type="dxa"/>
          </w:tcPr>
          <w:p>
            <w:pPr>
              <w:pStyle w:val="TableParagraph"/>
              <w:rPr>
                <w:sz w:val="16"/>
              </w:rPr>
            </w:pPr>
          </w:p>
        </w:tc>
        <w:tc>
          <w:tcPr>
            <w:tcW w:w="897"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5" w:lineRule="exact"/>
              <w:ind w:left="1148" w:right="278"/>
              <w:jc w:val="center"/>
              <w:rPr>
                <w:sz w:val="20"/>
              </w:rPr>
            </w:pPr>
            <w:r>
              <w:rPr>
                <w:w w:val="95"/>
                <w:sz w:val="20"/>
              </w:rPr>
              <w:t>A07.20.003.002,</w:t>
            </w:r>
            <w:r>
              <w:rPr>
                <w:spacing w:val="54"/>
                <w:sz w:val="20"/>
              </w:rPr>
              <w:t> </w:t>
            </w:r>
            <w:r>
              <w:rPr>
                <w:spacing w:val="-2"/>
                <w:sz w:val="20"/>
              </w:rPr>
              <w:t>A07.21.001,</w:t>
            </w:r>
          </w:p>
        </w:tc>
        <w:tc>
          <w:tcPr>
            <w:tcW w:w="2301" w:type="dxa"/>
          </w:tcPr>
          <w:p>
            <w:pPr>
              <w:pStyle w:val="TableParagraph"/>
              <w:rPr>
                <w:sz w:val="16"/>
              </w:rPr>
            </w:pPr>
          </w:p>
        </w:tc>
        <w:tc>
          <w:tcPr>
            <w:tcW w:w="89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49"/>
        <w:gridCol w:w="2756"/>
        <w:gridCol w:w="4405"/>
        <w:gridCol w:w="2526"/>
        <w:gridCol w:w="78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149" w:type="dxa"/>
            <w:vMerge w:val="restart"/>
          </w:tcPr>
          <w:p>
            <w:pPr>
              <w:pStyle w:val="TableParagraph"/>
              <w:rPr>
                <w:sz w:val="18"/>
              </w:rPr>
            </w:pPr>
          </w:p>
        </w:tc>
        <w:tc>
          <w:tcPr>
            <w:tcW w:w="2756" w:type="dxa"/>
            <w:vMerge w:val="restart"/>
          </w:tcPr>
          <w:p>
            <w:pPr>
              <w:pStyle w:val="TableParagraph"/>
              <w:rPr>
                <w:sz w:val="18"/>
              </w:rPr>
            </w:pPr>
          </w:p>
        </w:tc>
        <w:tc>
          <w:tcPr>
            <w:tcW w:w="4405" w:type="dxa"/>
          </w:tcPr>
          <w:p>
            <w:pPr>
              <w:pStyle w:val="TableParagraph"/>
              <w:spacing w:line="205" w:lineRule="exact"/>
              <w:ind w:left="1151" w:right="170"/>
              <w:jc w:val="center"/>
              <w:rPr>
                <w:sz w:val="20"/>
              </w:rPr>
            </w:pPr>
            <w:r>
              <w:rPr>
                <w:w w:val="95"/>
                <w:sz w:val="20"/>
              </w:rPr>
              <w:t>A07.21.001.002,</w:t>
            </w:r>
            <w:r>
              <w:rPr>
                <w:spacing w:val="54"/>
                <w:sz w:val="20"/>
              </w:rPr>
              <w:t> </w:t>
            </w:r>
            <w:r>
              <w:rPr>
                <w:spacing w:val="-2"/>
                <w:sz w:val="20"/>
              </w:rPr>
              <w:t>A07.22.001.001,</w:t>
            </w:r>
          </w:p>
        </w:tc>
        <w:tc>
          <w:tcPr>
            <w:tcW w:w="2526" w:type="dxa"/>
            <w:vMerge w:val="restart"/>
          </w:tcPr>
          <w:p>
            <w:pPr>
              <w:pStyle w:val="TableParagraph"/>
              <w:rPr>
                <w:sz w:val="18"/>
              </w:rPr>
            </w:pPr>
          </w:p>
        </w:tc>
        <w:tc>
          <w:tcPr>
            <w:tcW w:w="78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09" w:lineRule="exact"/>
              <w:ind w:left="1151" w:right="169"/>
              <w:jc w:val="center"/>
              <w:rPr>
                <w:sz w:val="20"/>
              </w:rPr>
            </w:pPr>
            <w:r>
              <w:rPr>
                <w:w w:val="95"/>
                <w:sz w:val="20"/>
              </w:rPr>
              <w:t>A07.22.001.002,</w:t>
            </w:r>
            <w:r>
              <w:rPr>
                <w:spacing w:val="54"/>
                <w:sz w:val="20"/>
              </w:rPr>
              <w:t> </w:t>
            </w:r>
            <w:r>
              <w:rPr>
                <w:spacing w:val="-2"/>
                <w:sz w:val="20"/>
              </w:rPr>
              <w:t>A07.23.001,</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09" w:lineRule="exact"/>
              <w:ind w:left="1151" w:right="169"/>
              <w:jc w:val="center"/>
              <w:rPr>
                <w:sz w:val="20"/>
              </w:rPr>
            </w:pPr>
            <w:r>
              <w:rPr>
                <w:w w:val="95"/>
                <w:sz w:val="20"/>
              </w:rPr>
              <w:t>A07.23.001.002,</w:t>
            </w:r>
            <w:r>
              <w:rPr>
                <w:spacing w:val="54"/>
                <w:sz w:val="20"/>
              </w:rPr>
              <w:t> </w:t>
            </w:r>
            <w:r>
              <w:rPr>
                <w:spacing w:val="-2"/>
                <w:sz w:val="20"/>
              </w:rPr>
              <w:t>A07.23.002,</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10" w:lineRule="exact"/>
              <w:ind w:left="1151" w:right="169"/>
              <w:jc w:val="center"/>
              <w:rPr>
                <w:sz w:val="20"/>
              </w:rPr>
            </w:pPr>
            <w:r>
              <w:rPr>
                <w:sz w:val="20"/>
              </w:rPr>
              <w:t>A07.26.002,</w:t>
            </w:r>
            <w:r>
              <w:rPr>
                <w:spacing w:val="-9"/>
                <w:sz w:val="20"/>
              </w:rPr>
              <w:t> </w:t>
            </w:r>
            <w:r>
              <w:rPr>
                <w:spacing w:val="-2"/>
                <w:sz w:val="20"/>
              </w:rPr>
              <w:t>A07.28.001.001,</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10" w:lineRule="exact"/>
              <w:ind w:left="1151" w:right="169"/>
              <w:jc w:val="center"/>
              <w:rPr>
                <w:sz w:val="20"/>
              </w:rPr>
            </w:pPr>
            <w:r>
              <w:rPr>
                <w:w w:val="95"/>
                <w:sz w:val="20"/>
              </w:rPr>
              <w:t>A07.28.001.002,</w:t>
            </w:r>
            <w:r>
              <w:rPr>
                <w:spacing w:val="54"/>
                <w:sz w:val="20"/>
              </w:rPr>
              <w:t> </w:t>
            </w:r>
            <w:r>
              <w:rPr>
                <w:spacing w:val="-2"/>
                <w:sz w:val="20"/>
              </w:rPr>
              <w:t>A07.30.002,</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26" w:lineRule="exact"/>
              <w:ind w:left="1151" w:right="168"/>
              <w:jc w:val="center"/>
              <w:rPr>
                <w:sz w:val="20"/>
              </w:rPr>
            </w:pPr>
            <w:r>
              <w:rPr>
                <w:w w:val="95"/>
                <w:sz w:val="20"/>
              </w:rPr>
              <w:t>A07.30.025.001,</w:t>
            </w:r>
            <w:r>
              <w:rPr>
                <w:spacing w:val="54"/>
                <w:sz w:val="20"/>
              </w:rPr>
              <w:t> </w:t>
            </w:r>
            <w:r>
              <w:rPr>
                <w:spacing w:val="-2"/>
                <w:sz w:val="20"/>
              </w:rPr>
              <w:t>A07.30.025.002</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st19.078</w:t>
            </w:r>
          </w:p>
        </w:tc>
        <w:tc>
          <w:tcPr>
            <w:tcW w:w="707" w:type="dxa"/>
          </w:tcPr>
          <w:p>
            <w:pPr>
              <w:pStyle w:val="TableParagraph"/>
              <w:spacing w:line="215" w:lineRule="exact" w:before="45"/>
              <w:ind w:left="210"/>
              <w:rPr>
                <w:sz w:val="20"/>
              </w:rPr>
            </w:pPr>
            <w:r>
              <w:rPr>
                <w:spacing w:val="-5"/>
                <w:sz w:val="20"/>
              </w:rPr>
              <w:t>178</w:t>
            </w:r>
          </w:p>
        </w:tc>
        <w:tc>
          <w:tcPr>
            <w:tcW w:w="3149" w:type="dxa"/>
          </w:tcPr>
          <w:p>
            <w:pPr>
              <w:pStyle w:val="TableParagraph"/>
              <w:spacing w:line="215" w:lineRule="exact" w:before="45"/>
              <w:ind w:left="192"/>
              <w:rPr>
                <w:sz w:val="20"/>
              </w:rPr>
            </w:pPr>
            <w:r>
              <w:rPr>
                <w:sz w:val="20"/>
              </w:rPr>
              <w:t>Лучевая</w:t>
            </w:r>
            <w:r>
              <w:rPr>
                <w:spacing w:val="-10"/>
                <w:sz w:val="20"/>
              </w:rPr>
              <w:t> </w:t>
            </w:r>
            <w:r>
              <w:rPr>
                <w:spacing w:val="-2"/>
                <w:sz w:val="20"/>
              </w:rPr>
              <w:t>терапия</w:t>
            </w:r>
          </w:p>
        </w:tc>
        <w:tc>
          <w:tcPr>
            <w:tcW w:w="2756" w:type="dxa"/>
          </w:tcPr>
          <w:p>
            <w:pPr>
              <w:pStyle w:val="TableParagraph"/>
              <w:spacing w:line="215" w:lineRule="exact" w:before="45"/>
              <w:ind w:right="1150"/>
              <w:jc w:val="right"/>
              <w:rPr>
                <w:sz w:val="20"/>
              </w:rPr>
            </w:pPr>
            <w:r>
              <w:rPr>
                <w:w w:val="99"/>
                <w:sz w:val="20"/>
              </w:rPr>
              <w:t>-</w:t>
            </w:r>
          </w:p>
        </w:tc>
        <w:tc>
          <w:tcPr>
            <w:tcW w:w="4405" w:type="dxa"/>
          </w:tcPr>
          <w:p>
            <w:pPr>
              <w:pStyle w:val="TableParagraph"/>
              <w:spacing w:line="215" w:lineRule="exact" w:before="45"/>
              <w:ind w:left="1151" w:right="169"/>
              <w:jc w:val="center"/>
              <w:rPr>
                <w:sz w:val="20"/>
              </w:rPr>
            </w:pPr>
            <w:r>
              <w:rPr>
                <w:sz w:val="20"/>
              </w:rPr>
              <w:t>A07.07.002,</w:t>
            </w:r>
            <w:r>
              <w:rPr>
                <w:spacing w:val="-9"/>
                <w:sz w:val="20"/>
              </w:rPr>
              <w:t> </w:t>
            </w:r>
            <w:r>
              <w:rPr>
                <w:spacing w:val="-2"/>
                <w:sz w:val="20"/>
              </w:rPr>
              <w:t>A07.07.002.001,</w:t>
            </w:r>
          </w:p>
        </w:tc>
        <w:tc>
          <w:tcPr>
            <w:tcW w:w="2526" w:type="dxa"/>
          </w:tcPr>
          <w:p>
            <w:pPr>
              <w:pStyle w:val="TableParagraph"/>
              <w:spacing w:line="215" w:lineRule="exact" w:before="45"/>
              <w:ind w:right="210"/>
              <w:jc w:val="center"/>
              <w:rPr>
                <w:sz w:val="20"/>
              </w:rPr>
            </w:pPr>
            <w:r>
              <w:rPr>
                <w:w w:val="99"/>
                <w:sz w:val="20"/>
              </w:rPr>
              <w:t>-</w:t>
            </w:r>
          </w:p>
        </w:tc>
        <w:tc>
          <w:tcPr>
            <w:tcW w:w="782" w:type="dxa"/>
          </w:tcPr>
          <w:p>
            <w:pPr>
              <w:pStyle w:val="TableParagraph"/>
              <w:spacing w:line="215" w:lineRule="exact" w:before="45"/>
              <w:ind w:right="45"/>
              <w:jc w:val="right"/>
              <w:rPr>
                <w:sz w:val="20"/>
              </w:rPr>
            </w:pPr>
            <w:r>
              <w:rPr>
                <w:spacing w:val="-4"/>
                <w:sz w:val="20"/>
              </w:rPr>
              <w:t>2,51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spacing w:line="211" w:lineRule="exact"/>
              <w:ind w:left="192"/>
              <w:rPr>
                <w:sz w:val="20"/>
              </w:rPr>
            </w:pPr>
            <w:r>
              <w:rPr>
                <w:sz w:val="20"/>
              </w:rPr>
              <w:t>(уровень</w:t>
            </w:r>
            <w:r>
              <w:rPr>
                <w:spacing w:val="-10"/>
                <w:sz w:val="20"/>
              </w:rPr>
              <w:t> </w:t>
            </w:r>
            <w:r>
              <w:rPr>
                <w:spacing w:val="-5"/>
                <w:sz w:val="20"/>
              </w:rPr>
              <w:t>4)</w:t>
            </w:r>
          </w:p>
        </w:tc>
        <w:tc>
          <w:tcPr>
            <w:tcW w:w="2756" w:type="dxa"/>
          </w:tcPr>
          <w:p>
            <w:pPr>
              <w:pStyle w:val="TableParagraph"/>
              <w:rPr>
                <w:sz w:val="16"/>
              </w:rPr>
            </w:pPr>
          </w:p>
        </w:tc>
        <w:tc>
          <w:tcPr>
            <w:tcW w:w="4405" w:type="dxa"/>
          </w:tcPr>
          <w:p>
            <w:pPr>
              <w:pStyle w:val="TableParagraph"/>
              <w:spacing w:line="211" w:lineRule="exact"/>
              <w:ind w:left="1151" w:right="169"/>
              <w:jc w:val="center"/>
              <w:rPr>
                <w:sz w:val="20"/>
              </w:rPr>
            </w:pPr>
            <w:r>
              <w:rPr>
                <w:sz w:val="20"/>
              </w:rPr>
              <w:t>A07.07.004,</w:t>
            </w:r>
            <w:r>
              <w:rPr>
                <w:spacing w:val="-9"/>
                <w:sz w:val="20"/>
              </w:rPr>
              <w:t> </w:t>
            </w:r>
            <w:r>
              <w:rPr>
                <w:spacing w:val="-2"/>
                <w:sz w:val="20"/>
              </w:rPr>
              <w:t>A07.07.004.001,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1"/>
              <w:jc w:val="center"/>
              <w:rPr>
                <w:sz w:val="20"/>
              </w:rPr>
            </w:pPr>
            <w:r>
              <w:rPr>
                <w:sz w:val="20"/>
              </w:rPr>
              <w:t>A07.08.002,</w:t>
            </w:r>
            <w:r>
              <w:rPr>
                <w:spacing w:val="-9"/>
                <w:sz w:val="20"/>
              </w:rPr>
              <w:t> </w:t>
            </w:r>
            <w:r>
              <w:rPr>
                <w:sz w:val="20"/>
              </w:rPr>
              <w:t>A07.16.002,</w:t>
            </w:r>
            <w:r>
              <w:rPr>
                <w:spacing w:val="-10"/>
                <w:sz w:val="20"/>
              </w:rPr>
              <w:t> </w:t>
            </w:r>
            <w:r>
              <w:rPr>
                <w:spacing w:val="-2"/>
                <w:sz w:val="20"/>
              </w:rPr>
              <w:t>A07.19.002,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7"/>
              <w:jc w:val="center"/>
              <w:rPr>
                <w:sz w:val="20"/>
              </w:rPr>
            </w:pPr>
            <w:r>
              <w:rPr>
                <w:sz w:val="20"/>
              </w:rPr>
              <w:t>A07.19.003,</w:t>
            </w:r>
            <w:r>
              <w:rPr>
                <w:spacing w:val="-9"/>
                <w:sz w:val="20"/>
              </w:rPr>
              <w:t> </w:t>
            </w:r>
            <w:r>
              <w:rPr>
                <w:spacing w:val="-2"/>
                <w:sz w:val="20"/>
              </w:rPr>
              <w:t>A07.20.002,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A07.20.002.001,</w:t>
            </w:r>
            <w:r>
              <w:rPr>
                <w:spacing w:val="54"/>
                <w:sz w:val="20"/>
              </w:rPr>
              <w:t> </w:t>
            </w:r>
            <w:r>
              <w:rPr>
                <w:spacing w:val="-2"/>
                <w:sz w:val="20"/>
              </w:rPr>
              <w:t>A07.20.003.006,</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1"/>
              <w:jc w:val="center"/>
              <w:rPr>
                <w:sz w:val="20"/>
              </w:rPr>
            </w:pPr>
            <w:r>
              <w:rPr>
                <w:sz w:val="20"/>
              </w:rPr>
              <w:t>A07.21.002,</w:t>
            </w:r>
            <w:r>
              <w:rPr>
                <w:spacing w:val="-9"/>
                <w:sz w:val="20"/>
              </w:rPr>
              <w:t> </w:t>
            </w:r>
            <w:r>
              <w:rPr>
                <w:sz w:val="20"/>
              </w:rPr>
              <w:t>A07.30.004,</w:t>
            </w:r>
            <w:r>
              <w:rPr>
                <w:spacing w:val="-10"/>
                <w:sz w:val="20"/>
              </w:rPr>
              <w:t> </w:t>
            </w:r>
            <w:r>
              <w:rPr>
                <w:spacing w:val="-2"/>
                <w:sz w:val="20"/>
              </w:rPr>
              <w:t>A07.30.007,</w:t>
            </w:r>
          </w:p>
        </w:tc>
        <w:tc>
          <w:tcPr>
            <w:tcW w:w="2526" w:type="dxa"/>
          </w:tcPr>
          <w:p>
            <w:pPr>
              <w:pStyle w:val="TableParagraph"/>
              <w:rPr>
                <w:sz w:val="16"/>
              </w:rPr>
            </w:pPr>
          </w:p>
        </w:tc>
        <w:tc>
          <w:tcPr>
            <w:tcW w:w="78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149" w:type="dxa"/>
          </w:tcPr>
          <w:p>
            <w:pPr>
              <w:pStyle w:val="TableParagraph"/>
              <w:rPr>
                <w:sz w:val="18"/>
              </w:rPr>
            </w:pPr>
          </w:p>
        </w:tc>
        <w:tc>
          <w:tcPr>
            <w:tcW w:w="2756" w:type="dxa"/>
          </w:tcPr>
          <w:p>
            <w:pPr>
              <w:pStyle w:val="TableParagraph"/>
              <w:rPr>
                <w:sz w:val="18"/>
              </w:rPr>
            </w:pPr>
          </w:p>
        </w:tc>
        <w:tc>
          <w:tcPr>
            <w:tcW w:w="4405" w:type="dxa"/>
          </w:tcPr>
          <w:p>
            <w:pPr>
              <w:pStyle w:val="TableParagraph"/>
              <w:spacing w:line="224" w:lineRule="exact"/>
              <w:ind w:left="1151" w:right="169"/>
              <w:jc w:val="center"/>
              <w:rPr>
                <w:sz w:val="20"/>
              </w:rPr>
            </w:pPr>
            <w:r>
              <w:rPr>
                <w:sz w:val="20"/>
              </w:rPr>
              <w:t>A07.30.010,</w:t>
            </w:r>
            <w:r>
              <w:rPr>
                <w:spacing w:val="-9"/>
                <w:sz w:val="20"/>
              </w:rPr>
              <w:t> </w:t>
            </w:r>
            <w:r>
              <w:rPr>
                <w:sz w:val="20"/>
              </w:rPr>
              <w:t>A07.30.011,</w:t>
            </w:r>
            <w:r>
              <w:rPr>
                <w:spacing w:val="-10"/>
                <w:sz w:val="20"/>
              </w:rPr>
              <w:t> </w:t>
            </w:r>
            <w:r>
              <w:rPr>
                <w:spacing w:val="-2"/>
                <w:sz w:val="20"/>
              </w:rPr>
              <w:t>A07.30.013</w:t>
            </w:r>
          </w:p>
        </w:tc>
        <w:tc>
          <w:tcPr>
            <w:tcW w:w="2526" w:type="dxa"/>
          </w:tcPr>
          <w:p>
            <w:pPr>
              <w:pStyle w:val="TableParagraph"/>
              <w:rPr>
                <w:sz w:val="18"/>
              </w:rPr>
            </w:pPr>
          </w:p>
        </w:tc>
        <w:tc>
          <w:tcPr>
            <w:tcW w:w="782" w:type="dxa"/>
          </w:tcPr>
          <w:p>
            <w:pPr>
              <w:pStyle w:val="TableParagraph"/>
              <w:rPr>
                <w:sz w:val="18"/>
              </w:rPr>
            </w:pPr>
          </w:p>
        </w:tc>
      </w:tr>
      <w:tr>
        <w:trPr>
          <w:trHeight w:val="560" w:hRule="atLeast"/>
        </w:trPr>
        <w:tc>
          <w:tcPr>
            <w:tcW w:w="946" w:type="dxa"/>
          </w:tcPr>
          <w:p>
            <w:pPr>
              <w:pStyle w:val="TableParagraph"/>
              <w:spacing w:before="46"/>
              <w:ind w:left="50"/>
              <w:rPr>
                <w:sz w:val="20"/>
              </w:rPr>
            </w:pPr>
            <w:r>
              <w:rPr>
                <w:spacing w:val="-2"/>
                <w:sz w:val="20"/>
              </w:rPr>
              <w:t>st19.079</w:t>
            </w:r>
          </w:p>
        </w:tc>
        <w:tc>
          <w:tcPr>
            <w:tcW w:w="707" w:type="dxa"/>
          </w:tcPr>
          <w:p>
            <w:pPr>
              <w:pStyle w:val="TableParagraph"/>
              <w:spacing w:before="46"/>
              <w:ind w:left="210"/>
              <w:rPr>
                <w:sz w:val="20"/>
              </w:rPr>
            </w:pPr>
            <w:r>
              <w:rPr>
                <w:spacing w:val="-5"/>
                <w:sz w:val="20"/>
              </w:rPr>
              <w:t>179</w:t>
            </w:r>
          </w:p>
        </w:tc>
        <w:tc>
          <w:tcPr>
            <w:tcW w:w="3149" w:type="dxa"/>
          </w:tcPr>
          <w:p>
            <w:pPr>
              <w:pStyle w:val="TableParagraph"/>
              <w:spacing w:before="46"/>
              <w:ind w:left="192" w:right="1528"/>
              <w:rPr>
                <w:sz w:val="20"/>
              </w:rPr>
            </w:pPr>
            <w:r>
              <w:rPr>
                <w:sz w:val="20"/>
              </w:rPr>
              <w:t>Лучевая</w:t>
            </w:r>
            <w:r>
              <w:rPr>
                <w:spacing w:val="-13"/>
                <w:sz w:val="20"/>
              </w:rPr>
              <w:t> </w:t>
            </w:r>
            <w:r>
              <w:rPr>
                <w:sz w:val="20"/>
              </w:rPr>
              <w:t>терапия (уровень 5)</w:t>
            </w:r>
          </w:p>
        </w:tc>
        <w:tc>
          <w:tcPr>
            <w:tcW w:w="2756" w:type="dxa"/>
          </w:tcPr>
          <w:p>
            <w:pPr>
              <w:pStyle w:val="TableParagraph"/>
              <w:spacing w:before="46"/>
              <w:ind w:right="1150"/>
              <w:jc w:val="right"/>
              <w:rPr>
                <w:sz w:val="20"/>
              </w:rPr>
            </w:pPr>
            <w:r>
              <w:rPr>
                <w:w w:val="99"/>
                <w:sz w:val="20"/>
              </w:rPr>
              <w:t>-</w:t>
            </w:r>
          </w:p>
        </w:tc>
        <w:tc>
          <w:tcPr>
            <w:tcW w:w="4405" w:type="dxa"/>
          </w:tcPr>
          <w:p>
            <w:pPr>
              <w:pStyle w:val="TableParagraph"/>
              <w:spacing w:before="46"/>
              <w:ind w:left="1151" w:right="165"/>
              <w:jc w:val="center"/>
              <w:rPr>
                <w:sz w:val="20"/>
              </w:rPr>
            </w:pPr>
            <w:r>
              <w:rPr>
                <w:spacing w:val="-2"/>
                <w:sz w:val="20"/>
              </w:rPr>
              <w:t>A07.30.009</w:t>
            </w:r>
          </w:p>
        </w:tc>
        <w:tc>
          <w:tcPr>
            <w:tcW w:w="2526" w:type="dxa"/>
          </w:tcPr>
          <w:p>
            <w:pPr>
              <w:pStyle w:val="TableParagraph"/>
              <w:spacing w:before="46"/>
              <w:ind w:left="1058" w:right="240" w:hanging="886"/>
              <w:rPr>
                <w:sz w:val="20"/>
              </w:rPr>
            </w:pPr>
            <w:r>
              <w:rPr>
                <w:sz w:val="20"/>
              </w:rPr>
              <w:t>Фракции:</w:t>
            </w:r>
            <w:r>
              <w:rPr>
                <w:spacing w:val="-13"/>
                <w:sz w:val="20"/>
              </w:rPr>
              <w:t> </w:t>
            </w:r>
            <w:r>
              <w:rPr>
                <w:sz w:val="20"/>
              </w:rPr>
              <w:t>fr08-10,</w:t>
            </w:r>
            <w:r>
              <w:rPr>
                <w:spacing w:val="-12"/>
                <w:sz w:val="20"/>
              </w:rPr>
              <w:t> </w:t>
            </w:r>
            <w:r>
              <w:rPr>
                <w:sz w:val="20"/>
              </w:rPr>
              <w:t>fr11- </w:t>
            </w:r>
            <w:r>
              <w:rPr>
                <w:spacing w:val="-6"/>
                <w:sz w:val="20"/>
              </w:rPr>
              <w:t>20</w:t>
            </w:r>
          </w:p>
        </w:tc>
        <w:tc>
          <w:tcPr>
            <w:tcW w:w="782" w:type="dxa"/>
          </w:tcPr>
          <w:p>
            <w:pPr>
              <w:pStyle w:val="TableParagraph"/>
              <w:spacing w:before="46"/>
              <w:ind w:right="45"/>
              <w:jc w:val="right"/>
              <w:rPr>
                <w:sz w:val="20"/>
              </w:rPr>
            </w:pPr>
            <w:r>
              <w:rPr>
                <w:spacing w:val="-4"/>
                <w:sz w:val="20"/>
              </w:rPr>
              <w:t>2,82</w:t>
            </w:r>
          </w:p>
        </w:tc>
      </w:tr>
      <w:tr>
        <w:trPr>
          <w:trHeight w:val="279" w:hRule="atLeast"/>
        </w:trPr>
        <w:tc>
          <w:tcPr>
            <w:tcW w:w="946" w:type="dxa"/>
          </w:tcPr>
          <w:p>
            <w:pPr>
              <w:pStyle w:val="TableParagraph"/>
              <w:spacing w:line="215" w:lineRule="exact" w:before="45"/>
              <w:ind w:left="50"/>
              <w:rPr>
                <w:sz w:val="20"/>
              </w:rPr>
            </w:pPr>
            <w:r>
              <w:rPr>
                <w:spacing w:val="-2"/>
                <w:sz w:val="20"/>
              </w:rPr>
              <w:t>st19.080</w:t>
            </w:r>
          </w:p>
        </w:tc>
        <w:tc>
          <w:tcPr>
            <w:tcW w:w="707" w:type="dxa"/>
          </w:tcPr>
          <w:p>
            <w:pPr>
              <w:pStyle w:val="TableParagraph"/>
              <w:spacing w:line="215" w:lineRule="exact" w:before="45"/>
              <w:ind w:left="210"/>
              <w:rPr>
                <w:sz w:val="20"/>
              </w:rPr>
            </w:pPr>
            <w:r>
              <w:rPr>
                <w:spacing w:val="-5"/>
                <w:sz w:val="20"/>
              </w:rPr>
              <w:t>180</w:t>
            </w:r>
          </w:p>
        </w:tc>
        <w:tc>
          <w:tcPr>
            <w:tcW w:w="3149" w:type="dxa"/>
          </w:tcPr>
          <w:p>
            <w:pPr>
              <w:pStyle w:val="TableParagraph"/>
              <w:spacing w:line="215" w:lineRule="exact" w:before="45"/>
              <w:ind w:left="192"/>
              <w:rPr>
                <w:sz w:val="20"/>
              </w:rPr>
            </w:pPr>
            <w:r>
              <w:rPr>
                <w:sz w:val="20"/>
              </w:rPr>
              <w:t>Лучевая</w:t>
            </w:r>
            <w:r>
              <w:rPr>
                <w:spacing w:val="-11"/>
                <w:sz w:val="20"/>
              </w:rPr>
              <w:t> </w:t>
            </w:r>
            <w:r>
              <w:rPr>
                <w:spacing w:val="-2"/>
                <w:sz w:val="20"/>
              </w:rPr>
              <w:t>терапия</w:t>
            </w:r>
          </w:p>
        </w:tc>
        <w:tc>
          <w:tcPr>
            <w:tcW w:w="2756" w:type="dxa"/>
          </w:tcPr>
          <w:p>
            <w:pPr>
              <w:pStyle w:val="TableParagraph"/>
              <w:spacing w:line="215" w:lineRule="exact" w:before="45"/>
              <w:ind w:right="1150"/>
              <w:jc w:val="right"/>
              <w:rPr>
                <w:sz w:val="20"/>
              </w:rPr>
            </w:pPr>
            <w:r>
              <w:rPr>
                <w:w w:val="99"/>
                <w:sz w:val="20"/>
              </w:rPr>
              <w:t>-</w:t>
            </w:r>
          </w:p>
        </w:tc>
        <w:tc>
          <w:tcPr>
            <w:tcW w:w="4405" w:type="dxa"/>
          </w:tcPr>
          <w:p>
            <w:pPr>
              <w:pStyle w:val="TableParagraph"/>
              <w:spacing w:line="215" w:lineRule="exact" w:before="45"/>
              <w:ind w:left="1151" w:right="169"/>
              <w:jc w:val="center"/>
              <w:rPr>
                <w:sz w:val="20"/>
              </w:rPr>
            </w:pPr>
            <w:r>
              <w:rPr>
                <w:w w:val="95"/>
                <w:sz w:val="20"/>
              </w:rPr>
              <w:t>A06.01.007.001,</w:t>
            </w:r>
            <w:r>
              <w:rPr>
                <w:spacing w:val="54"/>
                <w:sz w:val="20"/>
              </w:rPr>
              <w:t> </w:t>
            </w:r>
            <w:r>
              <w:rPr>
                <w:spacing w:val="-2"/>
                <w:sz w:val="20"/>
              </w:rPr>
              <w:t>A06.03.065,</w:t>
            </w:r>
          </w:p>
        </w:tc>
        <w:tc>
          <w:tcPr>
            <w:tcW w:w="2526" w:type="dxa"/>
          </w:tcPr>
          <w:p>
            <w:pPr>
              <w:pStyle w:val="TableParagraph"/>
              <w:spacing w:line="215" w:lineRule="exact" w:before="45"/>
              <w:ind w:left="172" w:right="377"/>
              <w:jc w:val="center"/>
              <w:rPr>
                <w:sz w:val="20"/>
              </w:rPr>
            </w:pPr>
            <w:r>
              <w:rPr>
                <w:sz w:val="20"/>
              </w:rPr>
              <w:t>Фракции:</w:t>
            </w:r>
            <w:r>
              <w:rPr>
                <w:spacing w:val="-6"/>
                <w:sz w:val="20"/>
              </w:rPr>
              <w:t> </w:t>
            </w:r>
            <w:r>
              <w:rPr>
                <w:sz w:val="20"/>
              </w:rPr>
              <w:t>fr21-29,</w:t>
            </w:r>
            <w:r>
              <w:rPr>
                <w:spacing w:val="-8"/>
                <w:sz w:val="20"/>
              </w:rPr>
              <w:t> </w:t>
            </w:r>
            <w:r>
              <w:rPr>
                <w:spacing w:val="-4"/>
                <w:sz w:val="20"/>
              </w:rPr>
              <w:t>fr30-</w:t>
            </w:r>
          </w:p>
        </w:tc>
        <w:tc>
          <w:tcPr>
            <w:tcW w:w="782" w:type="dxa"/>
          </w:tcPr>
          <w:p>
            <w:pPr>
              <w:pStyle w:val="TableParagraph"/>
              <w:spacing w:line="215" w:lineRule="exact" w:before="45"/>
              <w:ind w:right="45"/>
              <w:jc w:val="right"/>
              <w:rPr>
                <w:sz w:val="20"/>
              </w:rPr>
            </w:pPr>
            <w:r>
              <w:rPr>
                <w:spacing w:val="-4"/>
                <w:sz w:val="20"/>
              </w:rPr>
              <w:t>4,51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spacing w:line="211" w:lineRule="exact"/>
              <w:ind w:left="192"/>
              <w:rPr>
                <w:sz w:val="20"/>
              </w:rPr>
            </w:pPr>
            <w:r>
              <w:rPr>
                <w:sz w:val="20"/>
              </w:rPr>
              <w:t>(уровень</w:t>
            </w:r>
            <w:r>
              <w:rPr>
                <w:spacing w:val="-10"/>
                <w:sz w:val="20"/>
              </w:rPr>
              <w:t> </w:t>
            </w:r>
            <w:r>
              <w:rPr>
                <w:spacing w:val="-5"/>
                <w:sz w:val="20"/>
              </w:rPr>
              <w:t>6)</w:t>
            </w:r>
          </w:p>
        </w:tc>
        <w:tc>
          <w:tcPr>
            <w:tcW w:w="2756" w:type="dxa"/>
          </w:tcPr>
          <w:p>
            <w:pPr>
              <w:pStyle w:val="TableParagraph"/>
              <w:rPr>
                <w:sz w:val="16"/>
              </w:rPr>
            </w:pPr>
          </w:p>
        </w:tc>
        <w:tc>
          <w:tcPr>
            <w:tcW w:w="4405" w:type="dxa"/>
          </w:tcPr>
          <w:p>
            <w:pPr>
              <w:pStyle w:val="TableParagraph"/>
              <w:spacing w:line="211" w:lineRule="exact"/>
              <w:ind w:left="1151" w:right="171"/>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526" w:type="dxa"/>
          </w:tcPr>
          <w:p>
            <w:pPr>
              <w:pStyle w:val="TableParagraph"/>
              <w:spacing w:line="211" w:lineRule="exact"/>
              <w:ind w:left="172" w:right="377"/>
              <w:jc w:val="center"/>
              <w:rPr>
                <w:sz w:val="20"/>
              </w:rPr>
            </w:pPr>
            <w:r>
              <w:rPr>
                <w:sz w:val="20"/>
              </w:rPr>
              <w:t>32,</w:t>
            </w:r>
            <w:r>
              <w:rPr>
                <w:spacing w:val="-6"/>
                <w:sz w:val="20"/>
              </w:rPr>
              <w:t> </w:t>
            </w:r>
            <w:r>
              <w:rPr>
                <w:sz w:val="20"/>
              </w:rPr>
              <w:t>fr33-</w:t>
            </w:r>
            <w:r>
              <w:rPr>
                <w:spacing w:val="-5"/>
                <w:sz w:val="20"/>
              </w:rPr>
              <w:t>99</w:t>
            </w: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1" w:lineRule="exact"/>
              <w:ind w:left="1151" w:right="171"/>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9"/>
              <w:jc w:val="center"/>
              <w:rPr>
                <w:sz w:val="20"/>
              </w:rPr>
            </w:pPr>
            <w:r>
              <w:rPr>
                <w:sz w:val="20"/>
              </w:rPr>
              <w:t>A07.01.004,</w:t>
            </w:r>
            <w:r>
              <w:rPr>
                <w:spacing w:val="-9"/>
                <w:sz w:val="20"/>
              </w:rPr>
              <w:t> </w:t>
            </w:r>
            <w:r>
              <w:rPr>
                <w:spacing w:val="-2"/>
                <w:sz w:val="20"/>
              </w:rPr>
              <w:t>A07.03.002.001,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65"/>
              <w:jc w:val="center"/>
              <w:rPr>
                <w:sz w:val="20"/>
              </w:rPr>
            </w:pPr>
            <w:r>
              <w:rPr>
                <w:w w:val="95"/>
                <w:sz w:val="20"/>
              </w:rPr>
              <w:t>A07.03.002.002,</w:t>
            </w:r>
            <w:r>
              <w:rPr>
                <w:spacing w:val="54"/>
                <w:sz w:val="20"/>
              </w:rPr>
              <w:t> </w:t>
            </w:r>
            <w:r>
              <w:rPr>
                <w:spacing w:val="-2"/>
                <w:w w:val="95"/>
                <w:sz w:val="20"/>
              </w:rPr>
              <w:t>A07.06.002.001,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69"/>
              <w:jc w:val="center"/>
              <w:rPr>
                <w:sz w:val="20"/>
              </w:rPr>
            </w:pPr>
            <w:r>
              <w:rPr>
                <w:w w:val="95"/>
                <w:sz w:val="20"/>
              </w:rPr>
              <w:t>A07.06.002.002,</w:t>
            </w:r>
            <w:r>
              <w:rPr>
                <w:spacing w:val="54"/>
                <w:sz w:val="20"/>
              </w:rPr>
              <w:t> </w:t>
            </w:r>
            <w:r>
              <w:rPr>
                <w:spacing w:val="-2"/>
                <w:sz w:val="20"/>
              </w:rPr>
              <w:t>A07.06.004,</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A07.07.001.001,</w:t>
            </w:r>
            <w:r>
              <w:rPr>
                <w:spacing w:val="54"/>
                <w:sz w:val="20"/>
              </w:rPr>
              <w:t> </w:t>
            </w:r>
            <w:r>
              <w:rPr>
                <w:spacing w:val="-2"/>
                <w:sz w:val="20"/>
              </w:rPr>
              <w:t>A07.07.001.002,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A07.07.003.001,</w:t>
            </w:r>
            <w:r>
              <w:rPr>
                <w:spacing w:val="54"/>
                <w:sz w:val="20"/>
              </w:rPr>
              <w:t> </w:t>
            </w:r>
            <w:r>
              <w:rPr>
                <w:spacing w:val="-2"/>
                <w:sz w:val="20"/>
              </w:rPr>
              <w:t>A07.07.003.002,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9"/>
              <w:jc w:val="center"/>
              <w:rPr>
                <w:sz w:val="20"/>
              </w:rPr>
            </w:pPr>
            <w:r>
              <w:rPr>
                <w:sz w:val="20"/>
              </w:rPr>
              <w:t>A07.07.005,</w:t>
            </w:r>
            <w:r>
              <w:rPr>
                <w:spacing w:val="-9"/>
                <w:sz w:val="20"/>
              </w:rPr>
              <w:t> </w:t>
            </w:r>
            <w:r>
              <w:rPr>
                <w:spacing w:val="-2"/>
                <w:sz w:val="20"/>
              </w:rPr>
              <w:t>A07.08.001.001,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0"/>
              <w:jc w:val="center"/>
              <w:rPr>
                <w:sz w:val="20"/>
              </w:rPr>
            </w:pPr>
            <w:r>
              <w:rPr>
                <w:w w:val="95"/>
                <w:sz w:val="20"/>
              </w:rPr>
              <w:t>A07.08.001.002,</w:t>
            </w:r>
            <w:r>
              <w:rPr>
                <w:spacing w:val="54"/>
                <w:sz w:val="20"/>
              </w:rPr>
              <w:t> </w:t>
            </w:r>
            <w:r>
              <w:rPr>
                <w:spacing w:val="-2"/>
                <w:sz w:val="20"/>
              </w:rPr>
              <w:t>A07.09.001.001,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69"/>
              <w:jc w:val="center"/>
              <w:rPr>
                <w:sz w:val="20"/>
              </w:rPr>
            </w:pPr>
            <w:r>
              <w:rPr>
                <w:w w:val="95"/>
                <w:sz w:val="20"/>
              </w:rPr>
              <w:t>A07.09.001.002,</w:t>
            </w:r>
            <w:r>
              <w:rPr>
                <w:spacing w:val="54"/>
                <w:sz w:val="20"/>
              </w:rPr>
              <w:t> </w:t>
            </w:r>
            <w:r>
              <w:rPr>
                <w:spacing w:val="-2"/>
                <w:sz w:val="20"/>
              </w:rPr>
              <w:t>A07.09.002,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A07.11.001.001,</w:t>
            </w:r>
            <w:r>
              <w:rPr>
                <w:spacing w:val="54"/>
                <w:sz w:val="20"/>
              </w:rPr>
              <w:t> </w:t>
            </w:r>
            <w:r>
              <w:rPr>
                <w:spacing w:val="-2"/>
                <w:sz w:val="20"/>
              </w:rPr>
              <w:t>A07.11.001.002,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1" w:lineRule="exact"/>
              <w:ind w:left="1151" w:right="167"/>
              <w:jc w:val="center"/>
              <w:rPr>
                <w:sz w:val="20"/>
              </w:rPr>
            </w:pPr>
            <w:r>
              <w:rPr>
                <w:sz w:val="20"/>
              </w:rPr>
              <w:t>A07.12.001,</w:t>
            </w:r>
            <w:r>
              <w:rPr>
                <w:spacing w:val="-9"/>
                <w:sz w:val="20"/>
              </w:rPr>
              <w:t> </w:t>
            </w:r>
            <w:r>
              <w:rPr>
                <w:spacing w:val="-2"/>
                <w:sz w:val="20"/>
              </w:rPr>
              <w:t>A07.14.001,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1" w:lineRule="exact"/>
              <w:ind w:left="1151" w:right="166"/>
              <w:jc w:val="center"/>
              <w:rPr>
                <w:sz w:val="20"/>
              </w:rPr>
            </w:pPr>
            <w:r>
              <w:rPr>
                <w:sz w:val="20"/>
              </w:rPr>
              <w:t>A07.14.001.002,</w:t>
            </w:r>
            <w:r>
              <w:rPr>
                <w:spacing w:val="-10"/>
                <w:sz w:val="20"/>
              </w:rPr>
              <w:t> </w:t>
            </w:r>
            <w:r>
              <w:rPr>
                <w:spacing w:val="-2"/>
                <w:sz w:val="20"/>
              </w:rPr>
              <w:t>A07.15.001,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A07.15.001.001,</w:t>
            </w:r>
            <w:r>
              <w:rPr>
                <w:spacing w:val="54"/>
                <w:sz w:val="20"/>
              </w:rPr>
              <w:t> </w:t>
            </w:r>
            <w:r>
              <w:rPr>
                <w:spacing w:val="-2"/>
                <w:sz w:val="20"/>
              </w:rPr>
              <w:t>A07.16.001.001,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0"/>
              <w:jc w:val="center"/>
              <w:rPr>
                <w:sz w:val="20"/>
              </w:rPr>
            </w:pPr>
            <w:r>
              <w:rPr>
                <w:w w:val="95"/>
                <w:sz w:val="20"/>
              </w:rPr>
              <w:t>A07.16.001.002,</w:t>
            </w:r>
            <w:r>
              <w:rPr>
                <w:spacing w:val="54"/>
                <w:sz w:val="20"/>
              </w:rPr>
              <w:t> </w:t>
            </w:r>
            <w:r>
              <w:rPr>
                <w:spacing w:val="-2"/>
                <w:sz w:val="20"/>
              </w:rPr>
              <w:t>A07.18.001.001,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0"/>
              <w:jc w:val="center"/>
              <w:rPr>
                <w:sz w:val="20"/>
              </w:rPr>
            </w:pPr>
            <w:r>
              <w:rPr>
                <w:w w:val="95"/>
                <w:sz w:val="20"/>
              </w:rPr>
              <w:t>A07.18.001.002,</w:t>
            </w:r>
            <w:r>
              <w:rPr>
                <w:spacing w:val="54"/>
                <w:sz w:val="20"/>
              </w:rPr>
              <w:t> </w:t>
            </w:r>
            <w:r>
              <w:rPr>
                <w:spacing w:val="-2"/>
                <w:sz w:val="20"/>
              </w:rPr>
              <w:t>A07.19.001.001,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A07.19.001.002,</w:t>
            </w:r>
            <w:r>
              <w:rPr>
                <w:spacing w:val="54"/>
                <w:sz w:val="20"/>
              </w:rPr>
              <w:t> </w:t>
            </w:r>
            <w:r>
              <w:rPr>
                <w:spacing w:val="-2"/>
                <w:sz w:val="20"/>
              </w:rPr>
              <w:t>A07.20.001.001,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A07.20.001.002,</w:t>
            </w:r>
            <w:r>
              <w:rPr>
                <w:spacing w:val="54"/>
                <w:sz w:val="20"/>
              </w:rPr>
              <w:t> </w:t>
            </w:r>
            <w:r>
              <w:rPr>
                <w:spacing w:val="-2"/>
                <w:sz w:val="20"/>
              </w:rPr>
              <w:t>A07.20.003.001,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9"/>
              <w:jc w:val="center"/>
              <w:rPr>
                <w:sz w:val="20"/>
              </w:rPr>
            </w:pPr>
            <w:r>
              <w:rPr>
                <w:w w:val="95"/>
                <w:sz w:val="20"/>
              </w:rPr>
              <w:t>A07.20.003.002,</w:t>
            </w:r>
            <w:r>
              <w:rPr>
                <w:spacing w:val="54"/>
                <w:sz w:val="20"/>
              </w:rPr>
              <w:t> </w:t>
            </w:r>
            <w:r>
              <w:rPr>
                <w:spacing w:val="-2"/>
                <w:sz w:val="20"/>
              </w:rPr>
              <w:t>A07.21.001,</w:t>
            </w:r>
          </w:p>
        </w:tc>
        <w:tc>
          <w:tcPr>
            <w:tcW w:w="2526" w:type="dxa"/>
          </w:tcPr>
          <w:p>
            <w:pPr>
              <w:pStyle w:val="TableParagraph"/>
              <w:rPr>
                <w:sz w:val="16"/>
              </w:rPr>
            </w:pPr>
          </w:p>
        </w:tc>
        <w:tc>
          <w:tcPr>
            <w:tcW w:w="78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5" w:lineRule="exact"/>
              <w:ind w:left="1151" w:right="170"/>
              <w:jc w:val="center"/>
              <w:rPr>
                <w:sz w:val="20"/>
              </w:rPr>
            </w:pPr>
            <w:r>
              <w:rPr>
                <w:w w:val="95"/>
                <w:sz w:val="20"/>
              </w:rPr>
              <w:t>A07.21.001.002,</w:t>
            </w:r>
            <w:r>
              <w:rPr>
                <w:spacing w:val="54"/>
                <w:sz w:val="20"/>
              </w:rPr>
              <w:t> </w:t>
            </w:r>
            <w:r>
              <w:rPr>
                <w:spacing w:val="-2"/>
                <w:sz w:val="20"/>
              </w:rPr>
              <w:t>A07.22.001.001,</w:t>
            </w:r>
          </w:p>
        </w:tc>
        <w:tc>
          <w:tcPr>
            <w:tcW w:w="2526" w:type="dxa"/>
          </w:tcPr>
          <w:p>
            <w:pPr>
              <w:pStyle w:val="TableParagraph"/>
              <w:rPr>
                <w:sz w:val="16"/>
              </w:rPr>
            </w:pPr>
          </w:p>
        </w:tc>
        <w:tc>
          <w:tcPr>
            <w:tcW w:w="78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79"/>
        <w:gridCol w:w="2427"/>
        <w:gridCol w:w="4409"/>
        <w:gridCol w:w="2499"/>
        <w:gridCol w:w="859"/>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479" w:type="dxa"/>
            <w:vMerge w:val="restart"/>
          </w:tcPr>
          <w:p>
            <w:pPr>
              <w:pStyle w:val="TableParagraph"/>
              <w:rPr>
                <w:sz w:val="18"/>
              </w:rPr>
            </w:pPr>
          </w:p>
        </w:tc>
        <w:tc>
          <w:tcPr>
            <w:tcW w:w="2427" w:type="dxa"/>
            <w:vMerge w:val="restart"/>
          </w:tcPr>
          <w:p>
            <w:pPr>
              <w:pStyle w:val="TableParagraph"/>
              <w:rPr>
                <w:sz w:val="18"/>
              </w:rPr>
            </w:pPr>
          </w:p>
        </w:tc>
        <w:tc>
          <w:tcPr>
            <w:tcW w:w="4409" w:type="dxa"/>
          </w:tcPr>
          <w:p>
            <w:pPr>
              <w:pStyle w:val="TableParagraph"/>
              <w:spacing w:line="205" w:lineRule="exact"/>
              <w:ind w:left="1150" w:right="170"/>
              <w:jc w:val="center"/>
              <w:rPr>
                <w:sz w:val="20"/>
              </w:rPr>
            </w:pPr>
            <w:r>
              <w:rPr>
                <w:w w:val="95"/>
                <w:sz w:val="20"/>
              </w:rPr>
              <w:t>A07.22.001.002,</w:t>
            </w:r>
            <w:r>
              <w:rPr>
                <w:spacing w:val="54"/>
                <w:sz w:val="20"/>
              </w:rPr>
              <w:t> </w:t>
            </w:r>
            <w:r>
              <w:rPr>
                <w:spacing w:val="-2"/>
                <w:sz w:val="20"/>
              </w:rPr>
              <w:t>A07.23.001,</w:t>
            </w:r>
          </w:p>
        </w:tc>
        <w:tc>
          <w:tcPr>
            <w:tcW w:w="2499" w:type="dxa"/>
            <w:vMerge w:val="restart"/>
          </w:tcPr>
          <w:p>
            <w:pPr>
              <w:pStyle w:val="TableParagraph"/>
              <w:rPr>
                <w:sz w:val="18"/>
              </w:rPr>
            </w:pPr>
          </w:p>
        </w:tc>
        <w:tc>
          <w:tcPr>
            <w:tcW w:w="859"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09" w:lineRule="exact"/>
              <w:ind w:left="1149" w:right="173"/>
              <w:jc w:val="center"/>
              <w:rPr>
                <w:sz w:val="20"/>
              </w:rPr>
            </w:pPr>
            <w:r>
              <w:rPr>
                <w:w w:val="95"/>
                <w:sz w:val="20"/>
              </w:rPr>
              <w:t>A07.23.001.002,</w:t>
            </w:r>
            <w:r>
              <w:rPr>
                <w:spacing w:val="54"/>
                <w:sz w:val="20"/>
              </w:rPr>
              <w:t> </w:t>
            </w:r>
            <w:r>
              <w:rPr>
                <w:spacing w:val="-2"/>
                <w:sz w:val="20"/>
              </w:rPr>
              <w:t>A07.23.002,</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09" w:lineRule="exact"/>
              <w:ind w:left="1149" w:right="173"/>
              <w:jc w:val="center"/>
              <w:rPr>
                <w:sz w:val="20"/>
              </w:rPr>
            </w:pPr>
            <w:r>
              <w:rPr>
                <w:sz w:val="20"/>
              </w:rPr>
              <w:t>A07.26.002,</w:t>
            </w:r>
            <w:r>
              <w:rPr>
                <w:spacing w:val="-9"/>
                <w:sz w:val="20"/>
              </w:rPr>
              <w:t> </w:t>
            </w:r>
            <w:r>
              <w:rPr>
                <w:spacing w:val="-2"/>
                <w:sz w:val="20"/>
              </w:rPr>
              <w:t>A07.28.001.001,</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10" w:lineRule="exact"/>
              <w:ind w:left="1149" w:right="173"/>
              <w:jc w:val="center"/>
              <w:rPr>
                <w:sz w:val="20"/>
              </w:rPr>
            </w:pPr>
            <w:r>
              <w:rPr>
                <w:w w:val="95"/>
                <w:sz w:val="20"/>
              </w:rPr>
              <w:t>A07.28.001.002,</w:t>
            </w:r>
            <w:r>
              <w:rPr>
                <w:spacing w:val="54"/>
                <w:sz w:val="20"/>
              </w:rPr>
              <w:t> </w:t>
            </w:r>
            <w:r>
              <w:rPr>
                <w:spacing w:val="-2"/>
                <w:sz w:val="20"/>
              </w:rPr>
              <w:t>A07.30.002,</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26" w:lineRule="exact"/>
              <w:ind w:left="1150" w:right="173"/>
              <w:jc w:val="center"/>
              <w:rPr>
                <w:sz w:val="20"/>
              </w:rPr>
            </w:pPr>
            <w:r>
              <w:rPr>
                <w:w w:val="95"/>
                <w:sz w:val="20"/>
              </w:rPr>
              <w:t>A07.30.025.001,</w:t>
            </w:r>
            <w:r>
              <w:rPr>
                <w:spacing w:val="54"/>
                <w:sz w:val="20"/>
              </w:rPr>
              <w:t> </w:t>
            </w:r>
            <w:r>
              <w:rPr>
                <w:spacing w:val="-2"/>
                <w:sz w:val="20"/>
              </w:rPr>
              <w:t>A07.30.025.002</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559" w:hRule="atLeast"/>
        </w:trPr>
        <w:tc>
          <w:tcPr>
            <w:tcW w:w="946" w:type="dxa"/>
          </w:tcPr>
          <w:p>
            <w:pPr>
              <w:pStyle w:val="TableParagraph"/>
              <w:spacing w:before="46"/>
              <w:ind w:left="50"/>
              <w:rPr>
                <w:sz w:val="20"/>
              </w:rPr>
            </w:pPr>
            <w:r>
              <w:rPr>
                <w:spacing w:val="-2"/>
                <w:sz w:val="20"/>
              </w:rPr>
              <w:t>st19.081</w:t>
            </w:r>
          </w:p>
        </w:tc>
        <w:tc>
          <w:tcPr>
            <w:tcW w:w="707" w:type="dxa"/>
          </w:tcPr>
          <w:p>
            <w:pPr>
              <w:pStyle w:val="TableParagraph"/>
              <w:spacing w:before="46"/>
              <w:ind w:left="210"/>
              <w:rPr>
                <w:sz w:val="20"/>
              </w:rPr>
            </w:pPr>
            <w:r>
              <w:rPr>
                <w:spacing w:val="-5"/>
                <w:sz w:val="20"/>
              </w:rPr>
              <w:t>181</w:t>
            </w:r>
          </w:p>
        </w:tc>
        <w:tc>
          <w:tcPr>
            <w:tcW w:w="3479" w:type="dxa"/>
          </w:tcPr>
          <w:p>
            <w:pPr>
              <w:pStyle w:val="TableParagraph"/>
              <w:spacing w:before="46"/>
              <w:ind w:left="192" w:right="1858"/>
              <w:rPr>
                <w:sz w:val="20"/>
              </w:rPr>
            </w:pPr>
            <w:r>
              <w:rPr>
                <w:sz w:val="20"/>
              </w:rPr>
              <w:t>Лучевая</w:t>
            </w:r>
            <w:r>
              <w:rPr>
                <w:spacing w:val="-13"/>
                <w:sz w:val="20"/>
              </w:rPr>
              <w:t> </w:t>
            </w:r>
            <w:r>
              <w:rPr>
                <w:sz w:val="20"/>
              </w:rPr>
              <w:t>терапия (уровень 7)</w:t>
            </w:r>
          </w:p>
        </w:tc>
        <w:tc>
          <w:tcPr>
            <w:tcW w:w="2427" w:type="dxa"/>
          </w:tcPr>
          <w:p>
            <w:pPr>
              <w:pStyle w:val="TableParagraph"/>
              <w:spacing w:before="46"/>
              <w:ind w:right="1151"/>
              <w:jc w:val="right"/>
              <w:rPr>
                <w:sz w:val="20"/>
              </w:rPr>
            </w:pPr>
            <w:r>
              <w:rPr>
                <w:w w:val="99"/>
                <w:sz w:val="20"/>
              </w:rPr>
              <w:t>-</w:t>
            </w:r>
          </w:p>
        </w:tc>
        <w:tc>
          <w:tcPr>
            <w:tcW w:w="4409" w:type="dxa"/>
          </w:tcPr>
          <w:p>
            <w:pPr>
              <w:pStyle w:val="TableParagraph"/>
              <w:spacing w:before="46"/>
              <w:ind w:left="1150" w:right="170"/>
              <w:jc w:val="center"/>
              <w:rPr>
                <w:sz w:val="20"/>
              </w:rPr>
            </w:pPr>
            <w:r>
              <w:rPr>
                <w:spacing w:val="-2"/>
                <w:sz w:val="20"/>
              </w:rPr>
              <w:t>A07.30.009</w:t>
            </w:r>
          </w:p>
        </w:tc>
        <w:tc>
          <w:tcPr>
            <w:tcW w:w="2499" w:type="dxa"/>
          </w:tcPr>
          <w:p>
            <w:pPr>
              <w:pStyle w:val="TableParagraph"/>
              <w:spacing w:before="46"/>
              <w:ind w:left="703" w:right="233" w:hanging="536"/>
              <w:rPr>
                <w:sz w:val="20"/>
              </w:rPr>
            </w:pPr>
            <w:r>
              <w:rPr>
                <w:sz w:val="20"/>
              </w:rPr>
              <w:t>Фракции:</w:t>
            </w:r>
            <w:r>
              <w:rPr>
                <w:spacing w:val="-13"/>
                <w:sz w:val="20"/>
              </w:rPr>
              <w:t> </w:t>
            </w:r>
            <w:r>
              <w:rPr>
                <w:sz w:val="20"/>
              </w:rPr>
              <w:t>fr21-29,</w:t>
            </w:r>
            <w:r>
              <w:rPr>
                <w:spacing w:val="-12"/>
                <w:sz w:val="20"/>
              </w:rPr>
              <w:t> </w:t>
            </w:r>
            <w:r>
              <w:rPr>
                <w:sz w:val="20"/>
              </w:rPr>
              <w:t>fr30- 32, fr33-99</w:t>
            </w:r>
          </w:p>
        </w:tc>
        <w:tc>
          <w:tcPr>
            <w:tcW w:w="859" w:type="dxa"/>
          </w:tcPr>
          <w:p>
            <w:pPr>
              <w:pStyle w:val="TableParagraph"/>
              <w:spacing w:before="46"/>
              <w:ind w:right="100"/>
              <w:jc w:val="right"/>
              <w:rPr>
                <w:sz w:val="20"/>
              </w:rPr>
            </w:pPr>
            <w:r>
              <w:rPr>
                <w:spacing w:val="-4"/>
                <w:sz w:val="20"/>
              </w:rPr>
              <w:t>4,87</w:t>
            </w:r>
          </w:p>
        </w:tc>
      </w:tr>
      <w:tr>
        <w:trPr>
          <w:trHeight w:val="560" w:hRule="atLeast"/>
        </w:trPr>
        <w:tc>
          <w:tcPr>
            <w:tcW w:w="946" w:type="dxa"/>
          </w:tcPr>
          <w:p>
            <w:pPr>
              <w:pStyle w:val="TableParagraph"/>
              <w:spacing w:before="46"/>
              <w:ind w:left="50"/>
              <w:rPr>
                <w:sz w:val="20"/>
              </w:rPr>
            </w:pPr>
            <w:r>
              <w:rPr>
                <w:spacing w:val="-2"/>
                <w:sz w:val="20"/>
              </w:rPr>
              <w:t>st19.082</w:t>
            </w:r>
          </w:p>
        </w:tc>
        <w:tc>
          <w:tcPr>
            <w:tcW w:w="707" w:type="dxa"/>
          </w:tcPr>
          <w:p>
            <w:pPr>
              <w:pStyle w:val="TableParagraph"/>
              <w:spacing w:before="46"/>
              <w:ind w:left="210"/>
              <w:rPr>
                <w:sz w:val="20"/>
              </w:rPr>
            </w:pPr>
            <w:r>
              <w:rPr>
                <w:spacing w:val="-5"/>
                <w:sz w:val="20"/>
              </w:rPr>
              <w:t>182</w:t>
            </w:r>
          </w:p>
        </w:tc>
        <w:tc>
          <w:tcPr>
            <w:tcW w:w="3479" w:type="dxa"/>
          </w:tcPr>
          <w:p>
            <w:pPr>
              <w:pStyle w:val="TableParagraph"/>
              <w:spacing w:before="46"/>
              <w:ind w:left="192" w:right="1858"/>
              <w:rPr>
                <w:sz w:val="20"/>
              </w:rPr>
            </w:pPr>
            <w:r>
              <w:rPr>
                <w:sz w:val="20"/>
              </w:rPr>
              <w:t>Лучевая</w:t>
            </w:r>
            <w:r>
              <w:rPr>
                <w:spacing w:val="-13"/>
                <w:sz w:val="20"/>
              </w:rPr>
              <w:t> </w:t>
            </w:r>
            <w:r>
              <w:rPr>
                <w:sz w:val="20"/>
              </w:rPr>
              <w:t>терапия (уровень 8)</w:t>
            </w:r>
          </w:p>
        </w:tc>
        <w:tc>
          <w:tcPr>
            <w:tcW w:w="2427" w:type="dxa"/>
          </w:tcPr>
          <w:p>
            <w:pPr>
              <w:pStyle w:val="TableParagraph"/>
              <w:spacing w:before="46"/>
              <w:ind w:right="1151"/>
              <w:jc w:val="right"/>
              <w:rPr>
                <w:sz w:val="20"/>
              </w:rPr>
            </w:pPr>
            <w:r>
              <w:rPr>
                <w:w w:val="99"/>
                <w:sz w:val="20"/>
              </w:rPr>
              <w:t>-</w:t>
            </w:r>
          </w:p>
        </w:tc>
        <w:tc>
          <w:tcPr>
            <w:tcW w:w="4409" w:type="dxa"/>
          </w:tcPr>
          <w:p>
            <w:pPr>
              <w:pStyle w:val="TableParagraph"/>
              <w:spacing w:before="46"/>
              <w:ind w:left="1148" w:right="173"/>
              <w:jc w:val="center"/>
              <w:rPr>
                <w:sz w:val="20"/>
              </w:rPr>
            </w:pPr>
            <w:r>
              <w:rPr>
                <w:w w:val="95"/>
                <w:sz w:val="20"/>
              </w:rPr>
              <w:t>A07.30.003.002,</w:t>
            </w:r>
            <w:r>
              <w:rPr>
                <w:spacing w:val="54"/>
                <w:sz w:val="20"/>
              </w:rPr>
              <w:t> </w:t>
            </w:r>
            <w:r>
              <w:rPr>
                <w:spacing w:val="-2"/>
                <w:sz w:val="20"/>
              </w:rPr>
              <w:t>A07.30.012</w:t>
            </w:r>
          </w:p>
        </w:tc>
        <w:tc>
          <w:tcPr>
            <w:tcW w:w="2499" w:type="dxa"/>
          </w:tcPr>
          <w:p>
            <w:pPr>
              <w:pStyle w:val="TableParagraph"/>
              <w:spacing w:before="46"/>
              <w:ind w:right="193"/>
              <w:jc w:val="center"/>
              <w:rPr>
                <w:sz w:val="20"/>
              </w:rPr>
            </w:pPr>
            <w:r>
              <w:rPr>
                <w:w w:val="99"/>
                <w:sz w:val="20"/>
              </w:rPr>
              <w:t>-</w:t>
            </w:r>
          </w:p>
        </w:tc>
        <w:tc>
          <w:tcPr>
            <w:tcW w:w="859" w:type="dxa"/>
          </w:tcPr>
          <w:p>
            <w:pPr>
              <w:pStyle w:val="TableParagraph"/>
              <w:spacing w:before="46"/>
              <w:ind w:right="50"/>
              <w:jc w:val="right"/>
              <w:rPr>
                <w:sz w:val="20"/>
              </w:rPr>
            </w:pPr>
            <w:r>
              <w:rPr>
                <w:spacing w:val="-2"/>
                <w:sz w:val="20"/>
              </w:rPr>
              <w:t>14,55</w:t>
            </w:r>
          </w:p>
        </w:tc>
      </w:tr>
      <w:tr>
        <w:trPr>
          <w:trHeight w:val="279" w:hRule="atLeast"/>
        </w:trPr>
        <w:tc>
          <w:tcPr>
            <w:tcW w:w="946" w:type="dxa"/>
          </w:tcPr>
          <w:p>
            <w:pPr>
              <w:pStyle w:val="TableParagraph"/>
              <w:spacing w:line="215" w:lineRule="exact" w:before="45"/>
              <w:ind w:left="50"/>
              <w:rPr>
                <w:sz w:val="20"/>
              </w:rPr>
            </w:pPr>
            <w:r>
              <w:rPr>
                <w:spacing w:val="-2"/>
                <w:sz w:val="20"/>
              </w:rPr>
              <w:t>st19.084</w:t>
            </w:r>
          </w:p>
        </w:tc>
        <w:tc>
          <w:tcPr>
            <w:tcW w:w="707" w:type="dxa"/>
          </w:tcPr>
          <w:p>
            <w:pPr>
              <w:pStyle w:val="TableParagraph"/>
              <w:spacing w:line="215" w:lineRule="exact" w:before="45"/>
              <w:ind w:left="210"/>
              <w:rPr>
                <w:sz w:val="20"/>
              </w:rPr>
            </w:pPr>
            <w:r>
              <w:rPr>
                <w:spacing w:val="-5"/>
                <w:sz w:val="20"/>
              </w:rPr>
              <w:t>183</w:t>
            </w:r>
          </w:p>
        </w:tc>
        <w:tc>
          <w:tcPr>
            <w:tcW w:w="3479" w:type="dxa"/>
          </w:tcPr>
          <w:p>
            <w:pPr>
              <w:pStyle w:val="TableParagraph"/>
              <w:spacing w:line="215" w:lineRule="exact" w:before="45"/>
              <w:ind w:left="192"/>
              <w:rPr>
                <w:sz w:val="20"/>
              </w:rPr>
            </w:pPr>
            <w:r>
              <w:rPr>
                <w:sz w:val="20"/>
              </w:rPr>
              <w:t>Лучевая</w:t>
            </w:r>
            <w:r>
              <w:rPr>
                <w:spacing w:val="-9"/>
                <w:sz w:val="20"/>
              </w:rPr>
              <w:t> </w:t>
            </w:r>
            <w:r>
              <w:rPr>
                <w:sz w:val="20"/>
              </w:rPr>
              <w:t>терапия</w:t>
            </w:r>
            <w:r>
              <w:rPr>
                <w:spacing w:val="-9"/>
                <w:sz w:val="20"/>
              </w:rPr>
              <w:t> </w:t>
            </w:r>
            <w:r>
              <w:rPr>
                <w:spacing w:val="-10"/>
                <w:sz w:val="20"/>
              </w:rPr>
              <w:t>в</w:t>
            </w:r>
          </w:p>
        </w:tc>
        <w:tc>
          <w:tcPr>
            <w:tcW w:w="2427" w:type="dxa"/>
          </w:tcPr>
          <w:p>
            <w:pPr>
              <w:pStyle w:val="TableParagraph"/>
              <w:spacing w:line="215" w:lineRule="exact" w:before="45"/>
              <w:ind w:right="1151"/>
              <w:jc w:val="right"/>
              <w:rPr>
                <w:sz w:val="20"/>
              </w:rPr>
            </w:pPr>
            <w:r>
              <w:rPr>
                <w:w w:val="99"/>
                <w:sz w:val="20"/>
              </w:rPr>
              <w:t>-</w:t>
            </w:r>
          </w:p>
        </w:tc>
        <w:tc>
          <w:tcPr>
            <w:tcW w:w="4409" w:type="dxa"/>
          </w:tcPr>
          <w:p>
            <w:pPr>
              <w:pStyle w:val="TableParagraph"/>
              <w:spacing w:line="215" w:lineRule="exact" w:before="45"/>
              <w:ind w:left="1149" w:right="173"/>
              <w:jc w:val="center"/>
              <w:rPr>
                <w:sz w:val="20"/>
              </w:rPr>
            </w:pPr>
            <w:r>
              <w:rPr>
                <w:w w:val="95"/>
                <w:sz w:val="20"/>
              </w:rPr>
              <w:t>A06.01.007.001,</w:t>
            </w:r>
            <w:r>
              <w:rPr>
                <w:spacing w:val="54"/>
                <w:sz w:val="20"/>
              </w:rPr>
              <w:t> </w:t>
            </w:r>
            <w:r>
              <w:rPr>
                <w:spacing w:val="-2"/>
                <w:sz w:val="20"/>
              </w:rPr>
              <w:t>A06.03.065,</w:t>
            </w:r>
          </w:p>
        </w:tc>
        <w:tc>
          <w:tcPr>
            <w:tcW w:w="2499" w:type="dxa"/>
          </w:tcPr>
          <w:p>
            <w:pPr>
              <w:pStyle w:val="TableParagraph"/>
              <w:spacing w:line="215" w:lineRule="exact" w:before="45"/>
              <w:ind w:left="163" w:right="355"/>
              <w:jc w:val="center"/>
              <w:rPr>
                <w:sz w:val="20"/>
              </w:rPr>
            </w:pPr>
            <w:r>
              <w:rPr>
                <w:spacing w:val="-4"/>
                <w:sz w:val="20"/>
              </w:rPr>
              <w:t>Иной</w:t>
            </w:r>
          </w:p>
        </w:tc>
        <w:tc>
          <w:tcPr>
            <w:tcW w:w="859" w:type="dxa"/>
          </w:tcPr>
          <w:p>
            <w:pPr>
              <w:pStyle w:val="TableParagraph"/>
              <w:spacing w:line="215" w:lineRule="exact" w:before="45"/>
              <w:ind w:right="100"/>
              <w:jc w:val="right"/>
              <w:rPr>
                <w:sz w:val="20"/>
              </w:rPr>
            </w:pPr>
            <w:r>
              <w:rPr>
                <w:spacing w:val="-4"/>
                <w:sz w:val="20"/>
              </w:rPr>
              <w:t>3,78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spacing w:line="210" w:lineRule="exact"/>
              <w:ind w:left="192"/>
              <w:rPr>
                <w:sz w:val="20"/>
              </w:rPr>
            </w:pPr>
            <w:r>
              <w:rPr>
                <w:sz w:val="20"/>
              </w:rPr>
              <w:t>сочетании</w:t>
            </w:r>
            <w:r>
              <w:rPr>
                <w:spacing w:val="-9"/>
                <w:sz w:val="20"/>
              </w:rPr>
              <w:t> </w:t>
            </w:r>
            <w:r>
              <w:rPr>
                <w:spacing w:val="-10"/>
                <w:sz w:val="20"/>
              </w:rPr>
              <w:t>с</w:t>
            </w:r>
          </w:p>
        </w:tc>
        <w:tc>
          <w:tcPr>
            <w:tcW w:w="2427" w:type="dxa"/>
          </w:tcPr>
          <w:p>
            <w:pPr>
              <w:pStyle w:val="TableParagraph"/>
              <w:rPr>
                <w:sz w:val="16"/>
              </w:rPr>
            </w:pPr>
          </w:p>
        </w:tc>
        <w:tc>
          <w:tcPr>
            <w:tcW w:w="4409" w:type="dxa"/>
          </w:tcPr>
          <w:p>
            <w:pPr>
              <w:pStyle w:val="TableParagraph"/>
              <w:spacing w:line="210" w:lineRule="exact"/>
              <w:ind w:left="1147" w:right="173"/>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499" w:type="dxa"/>
          </w:tcPr>
          <w:p>
            <w:pPr>
              <w:pStyle w:val="TableParagraph"/>
              <w:spacing w:line="210" w:lineRule="exact"/>
              <w:ind w:left="164" w:right="355"/>
              <w:jc w:val="center"/>
              <w:rPr>
                <w:sz w:val="20"/>
              </w:rPr>
            </w:pPr>
            <w:r>
              <w:rPr>
                <w:spacing w:val="-2"/>
                <w:sz w:val="20"/>
              </w:rPr>
              <w:t>классификационный</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spacing w:line="210" w:lineRule="exact"/>
              <w:ind w:left="192"/>
              <w:rPr>
                <w:sz w:val="20"/>
              </w:rPr>
            </w:pPr>
            <w:r>
              <w:rPr>
                <w:w w:val="95"/>
                <w:sz w:val="20"/>
              </w:rPr>
              <w:t>лекарственной</w:t>
            </w:r>
            <w:r>
              <w:rPr>
                <w:spacing w:val="50"/>
                <w:sz w:val="20"/>
              </w:rPr>
              <w:t> </w:t>
            </w:r>
            <w:r>
              <w:rPr>
                <w:spacing w:val="-2"/>
                <w:sz w:val="20"/>
              </w:rPr>
              <w:t>терапией</w:t>
            </w:r>
          </w:p>
        </w:tc>
        <w:tc>
          <w:tcPr>
            <w:tcW w:w="2427" w:type="dxa"/>
          </w:tcPr>
          <w:p>
            <w:pPr>
              <w:pStyle w:val="TableParagraph"/>
              <w:rPr>
                <w:sz w:val="16"/>
              </w:rPr>
            </w:pPr>
          </w:p>
        </w:tc>
        <w:tc>
          <w:tcPr>
            <w:tcW w:w="4409" w:type="dxa"/>
          </w:tcPr>
          <w:p>
            <w:pPr>
              <w:pStyle w:val="TableParagraph"/>
              <w:spacing w:line="210" w:lineRule="exact"/>
              <w:ind w:left="1150" w:right="170"/>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499" w:type="dxa"/>
          </w:tcPr>
          <w:p>
            <w:pPr>
              <w:pStyle w:val="TableParagraph"/>
              <w:spacing w:line="210" w:lineRule="exact"/>
              <w:ind w:left="163" w:right="355"/>
              <w:jc w:val="center"/>
              <w:rPr>
                <w:sz w:val="20"/>
              </w:rPr>
            </w:pPr>
            <w:r>
              <w:rPr>
                <w:sz w:val="20"/>
              </w:rPr>
              <w:t>критерий:</w:t>
            </w:r>
            <w:r>
              <w:rPr>
                <w:spacing w:val="-9"/>
                <w:sz w:val="20"/>
              </w:rPr>
              <w:t> </w:t>
            </w:r>
            <w:r>
              <w:rPr>
                <w:spacing w:val="-2"/>
                <w:sz w:val="20"/>
              </w:rPr>
              <w:t>mt001,</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spacing w:line="210" w:lineRule="exact"/>
              <w:ind w:left="192"/>
              <w:rPr>
                <w:sz w:val="20"/>
              </w:rPr>
            </w:pPr>
            <w:r>
              <w:rPr>
                <w:sz w:val="20"/>
              </w:rPr>
              <w:t>(уровень</w:t>
            </w:r>
            <w:r>
              <w:rPr>
                <w:spacing w:val="-11"/>
                <w:sz w:val="20"/>
              </w:rPr>
              <w:t> </w:t>
            </w:r>
            <w:r>
              <w:rPr>
                <w:spacing w:val="-5"/>
                <w:sz w:val="20"/>
              </w:rPr>
              <w:t>2)</w:t>
            </w: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sz w:val="20"/>
              </w:rPr>
              <w:t>A07.01.004,</w:t>
            </w:r>
            <w:r>
              <w:rPr>
                <w:spacing w:val="-9"/>
                <w:sz w:val="20"/>
              </w:rPr>
              <w:t> </w:t>
            </w:r>
            <w:r>
              <w:rPr>
                <w:spacing w:val="-2"/>
                <w:sz w:val="20"/>
              </w:rPr>
              <w:t>A07.03.002.001,</w:t>
            </w:r>
          </w:p>
        </w:tc>
        <w:tc>
          <w:tcPr>
            <w:tcW w:w="2499" w:type="dxa"/>
          </w:tcPr>
          <w:p>
            <w:pPr>
              <w:pStyle w:val="TableParagraph"/>
              <w:spacing w:line="210" w:lineRule="exact"/>
              <w:ind w:left="160" w:right="355"/>
              <w:jc w:val="center"/>
              <w:rPr>
                <w:sz w:val="20"/>
              </w:rPr>
            </w:pPr>
            <w:r>
              <w:rPr>
                <w:sz w:val="20"/>
              </w:rPr>
              <w:t>mt002,</w:t>
            </w:r>
            <w:r>
              <w:rPr>
                <w:spacing w:val="-6"/>
                <w:sz w:val="20"/>
              </w:rPr>
              <w:t> </w:t>
            </w:r>
            <w:r>
              <w:rPr>
                <w:sz w:val="20"/>
              </w:rPr>
              <w:t>mt003,</w:t>
            </w:r>
            <w:r>
              <w:rPr>
                <w:spacing w:val="-6"/>
                <w:sz w:val="20"/>
              </w:rPr>
              <w:t> </w:t>
            </w:r>
            <w:r>
              <w:rPr>
                <w:spacing w:val="-2"/>
                <w:sz w:val="20"/>
              </w:rPr>
              <w:t>mt004,</w:t>
            </w: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8" w:right="173"/>
              <w:jc w:val="center"/>
              <w:rPr>
                <w:sz w:val="20"/>
              </w:rPr>
            </w:pPr>
            <w:r>
              <w:rPr>
                <w:w w:val="95"/>
                <w:sz w:val="20"/>
              </w:rPr>
              <w:t>A07.03.002.002,</w:t>
            </w:r>
            <w:r>
              <w:rPr>
                <w:spacing w:val="54"/>
                <w:sz w:val="20"/>
              </w:rPr>
              <w:t> </w:t>
            </w:r>
            <w:r>
              <w:rPr>
                <w:spacing w:val="-2"/>
                <w:sz w:val="20"/>
              </w:rPr>
              <w:t>A07.06.002.001,</w:t>
            </w:r>
          </w:p>
        </w:tc>
        <w:tc>
          <w:tcPr>
            <w:tcW w:w="2499" w:type="dxa"/>
          </w:tcPr>
          <w:p>
            <w:pPr>
              <w:pStyle w:val="TableParagraph"/>
              <w:spacing w:line="209" w:lineRule="exact"/>
              <w:ind w:left="164" w:right="355"/>
              <w:jc w:val="center"/>
              <w:rPr>
                <w:sz w:val="20"/>
              </w:rPr>
            </w:pPr>
            <w:r>
              <w:rPr>
                <w:sz w:val="20"/>
              </w:rPr>
              <w:t>mt005,</w:t>
            </w:r>
            <w:r>
              <w:rPr>
                <w:spacing w:val="-6"/>
                <w:sz w:val="20"/>
              </w:rPr>
              <w:t> </w:t>
            </w:r>
            <w:r>
              <w:rPr>
                <w:sz w:val="20"/>
              </w:rPr>
              <w:t>mt006,</w:t>
            </w:r>
            <w:r>
              <w:rPr>
                <w:spacing w:val="-6"/>
                <w:sz w:val="20"/>
              </w:rPr>
              <w:t> </w:t>
            </w:r>
            <w:r>
              <w:rPr>
                <w:spacing w:val="-2"/>
                <w:sz w:val="20"/>
              </w:rPr>
              <w:t>mt010,</w:t>
            </w: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A07.06.002.002,</w:t>
            </w:r>
            <w:r>
              <w:rPr>
                <w:spacing w:val="54"/>
                <w:sz w:val="20"/>
              </w:rPr>
              <w:t> </w:t>
            </w:r>
            <w:r>
              <w:rPr>
                <w:spacing w:val="-2"/>
                <w:sz w:val="20"/>
              </w:rPr>
              <w:t>A07.06.004,</w:t>
            </w:r>
          </w:p>
        </w:tc>
        <w:tc>
          <w:tcPr>
            <w:tcW w:w="2499" w:type="dxa"/>
          </w:tcPr>
          <w:p>
            <w:pPr>
              <w:pStyle w:val="TableParagraph"/>
              <w:spacing w:line="209" w:lineRule="exact"/>
              <w:ind w:left="160" w:right="355"/>
              <w:jc w:val="center"/>
              <w:rPr>
                <w:sz w:val="20"/>
              </w:rPr>
            </w:pPr>
            <w:r>
              <w:rPr>
                <w:sz w:val="20"/>
              </w:rPr>
              <w:t>mt012,</w:t>
            </w:r>
            <w:r>
              <w:rPr>
                <w:spacing w:val="-6"/>
                <w:sz w:val="20"/>
              </w:rPr>
              <w:t> </w:t>
            </w:r>
            <w:r>
              <w:rPr>
                <w:sz w:val="20"/>
              </w:rPr>
              <w:t>mt013,</w:t>
            </w:r>
            <w:r>
              <w:rPr>
                <w:spacing w:val="-6"/>
                <w:sz w:val="20"/>
              </w:rPr>
              <w:t> </w:t>
            </w:r>
            <w:r>
              <w:rPr>
                <w:spacing w:val="-2"/>
                <w:sz w:val="20"/>
              </w:rPr>
              <w:t>mt015,</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A07.07.001.001,</w:t>
            </w:r>
            <w:r>
              <w:rPr>
                <w:spacing w:val="54"/>
                <w:sz w:val="20"/>
              </w:rPr>
              <w:t> </w:t>
            </w:r>
            <w:r>
              <w:rPr>
                <w:spacing w:val="-2"/>
                <w:sz w:val="20"/>
              </w:rPr>
              <w:t>A07.07.001.002,</w:t>
            </w:r>
          </w:p>
        </w:tc>
        <w:tc>
          <w:tcPr>
            <w:tcW w:w="2499" w:type="dxa"/>
          </w:tcPr>
          <w:p>
            <w:pPr>
              <w:pStyle w:val="TableParagraph"/>
              <w:spacing w:line="210" w:lineRule="exact"/>
              <w:ind w:left="160" w:right="355"/>
              <w:jc w:val="center"/>
              <w:rPr>
                <w:sz w:val="20"/>
              </w:rPr>
            </w:pPr>
            <w:r>
              <w:rPr>
                <w:sz w:val="20"/>
              </w:rPr>
              <w:t>mt016,</w:t>
            </w:r>
            <w:r>
              <w:rPr>
                <w:spacing w:val="-6"/>
                <w:sz w:val="20"/>
              </w:rPr>
              <w:t> </w:t>
            </w:r>
            <w:r>
              <w:rPr>
                <w:sz w:val="20"/>
              </w:rPr>
              <w:t>mt017,</w:t>
            </w:r>
            <w:r>
              <w:rPr>
                <w:spacing w:val="-6"/>
                <w:sz w:val="20"/>
              </w:rPr>
              <w:t> </w:t>
            </w:r>
            <w:r>
              <w:rPr>
                <w:spacing w:val="-2"/>
                <w:sz w:val="20"/>
              </w:rPr>
              <w:t>mt018,</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48" w:right="173"/>
              <w:jc w:val="center"/>
              <w:rPr>
                <w:sz w:val="20"/>
              </w:rPr>
            </w:pPr>
            <w:r>
              <w:rPr>
                <w:w w:val="95"/>
                <w:sz w:val="20"/>
              </w:rPr>
              <w:t>A07.07.003.001,</w:t>
            </w:r>
            <w:r>
              <w:rPr>
                <w:spacing w:val="54"/>
                <w:sz w:val="20"/>
              </w:rPr>
              <w:t> </w:t>
            </w:r>
            <w:r>
              <w:rPr>
                <w:spacing w:val="-2"/>
                <w:sz w:val="20"/>
              </w:rPr>
              <w:t>A07.07.003.002,</w:t>
            </w:r>
          </w:p>
        </w:tc>
        <w:tc>
          <w:tcPr>
            <w:tcW w:w="2499" w:type="dxa"/>
          </w:tcPr>
          <w:p>
            <w:pPr>
              <w:pStyle w:val="TableParagraph"/>
              <w:spacing w:line="211" w:lineRule="exact"/>
              <w:ind w:left="160" w:right="355"/>
              <w:jc w:val="center"/>
              <w:rPr>
                <w:sz w:val="20"/>
              </w:rPr>
            </w:pPr>
            <w:r>
              <w:rPr>
                <w:sz w:val="20"/>
              </w:rPr>
              <w:t>mt019,</w:t>
            </w:r>
            <w:r>
              <w:rPr>
                <w:spacing w:val="-6"/>
                <w:sz w:val="20"/>
              </w:rPr>
              <w:t> </w:t>
            </w:r>
            <w:r>
              <w:rPr>
                <w:sz w:val="20"/>
              </w:rPr>
              <w:t>mt020,</w:t>
            </w:r>
            <w:r>
              <w:rPr>
                <w:spacing w:val="-6"/>
                <w:sz w:val="20"/>
              </w:rPr>
              <w:t> </w:t>
            </w:r>
            <w:r>
              <w:rPr>
                <w:spacing w:val="-2"/>
                <w:sz w:val="20"/>
              </w:rPr>
              <w:t>mt023,</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49" w:right="173"/>
              <w:jc w:val="center"/>
              <w:rPr>
                <w:sz w:val="20"/>
              </w:rPr>
            </w:pPr>
            <w:r>
              <w:rPr>
                <w:sz w:val="20"/>
              </w:rPr>
              <w:t>A07.07.005,</w:t>
            </w:r>
            <w:r>
              <w:rPr>
                <w:spacing w:val="-9"/>
                <w:sz w:val="20"/>
              </w:rPr>
              <w:t> </w:t>
            </w:r>
            <w:r>
              <w:rPr>
                <w:spacing w:val="-2"/>
                <w:sz w:val="20"/>
              </w:rPr>
              <w:t>A07.08.001.001,</w:t>
            </w:r>
          </w:p>
        </w:tc>
        <w:tc>
          <w:tcPr>
            <w:tcW w:w="2499" w:type="dxa"/>
          </w:tcPr>
          <w:p>
            <w:pPr>
              <w:pStyle w:val="TableParagraph"/>
              <w:spacing w:line="211" w:lineRule="exact"/>
              <w:ind w:left="163" w:right="355"/>
              <w:jc w:val="center"/>
              <w:rPr>
                <w:sz w:val="20"/>
              </w:rPr>
            </w:pPr>
            <w:r>
              <w:rPr>
                <w:spacing w:val="-2"/>
                <w:sz w:val="20"/>
              </w:rPr>
              <w:t>mt024</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A07.08.001.002,</w:t>
            </w:r>
            <w:r>
              <w:rPr>
                <w:spacing w:val="54"/>
                <w:sz w:val="20"/>
              </w:rPr>
              <w:t> </w:t>
            </w:r>
            <w:r>
              <w:rPr>
                <w:spacing w:val="-2"/>
                <w:sz w:val="20"/>
              </w:rPr>
              <w:t>A07.09.001.001,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A07.09.001.002,</w:t>
            </w:r>
            <w:r>
              <w:rPr>
                <w:spacing w:val="54"/>
                <w:sz w:val="20"/>
              </w:rPr>
              <w:t> </w:t>
            </w:r>
            <w:r>
              <w:rPr>
                <w:spacing w:val="-2"/>
                <w:sz w:val="20"/>
              </w:rPr>
              <w:t>A07.09.002,</w:t>
            </w:r>
          </w:p>
        </w:tc>
        <w:tc>
          <w:tcPr>
            <w:tcW w:w="2499" w:type="dxa"/>
          </w:tcPr>
          <w:p>
            <w:pPr>
              <w:pStyle w:val="TableParagraph"/>
              <w:spacing w:line="209" w:lineRule="exact"/>
              <w:ind w:left="167" w:right="355"/>
              <w:jc w:val="center"/>
              <w:rPr>
                <w:sz w:val="20"/>
              </w:rPr>
            </w:pPr>
            <w:r>
              <w:rPr>
                <w:sz w:val="20"/>
              </w:rPr>
              <w:t>Фракции:</w:t>
            </w:r>
            <w:r>
              <w:rPr>
                <w:spacing w:val="-6"/>
                <w:sz w:val="20"/>
              </w:rPr>
              <w:t> </w:t>
            </w:r>
            <w:r>
              <w:rPr>
                <w:sz w:val="20"/>
              </w:rPr>
              <w:t>fr01-05,</w:t>
            </w:r>
            <w:r>
              <w:rPr>
                <w:spacing w:val="-8"/>
                <w:sz w:val="20"/>
              </w:rPr>
              <w:t> </w:t>
            </w:r>
            <w:r>
              <w:rPr>
                <w:spacing w:val="-4"/>
                <w:sz w:val="20"/>
              </w:rPr>
              <w:t>fr06-</w:t>
            </w: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50" w:right="173"/>
              <w:jc w:val="center"/>
              <w:rPr>
                <w:sz w:val="20"/>
              </w:rPr>
            </w:pPr>
            <w:r>
              <w:rPr>
                <w:w w:val="95"/>
                <w:sz w:val="20"/>
              </w:rPr>
              <w:t>A07.11.001.001,</w:t>
            </w:r>
            <w:r>
              <w:rPr>
                <w:spacing w:val="56"/>
                <w:sz w:val="20"/>
              </w:rPr>
              <w:t> </w:t>
            </w:r>
            <w:r>
              <w:rPr>
                <w:spacing w:val="-2"/>
                <w:sz w:val="20"/>
              </w:rPr>
              <w:t>A07.11.001.002,</w:t>
            </w:r>
          </w:p>
        </w:tc>
        <w:tc>
          <w:tcPr>
            <w:tcW w:w="2499" w:type="dxa"/>
          </w:tcPr>
          <w:p>
            <w:pPr>
              <w:pStyle w:val="TableParagraph"/>
              <w:spacing w:line="209" w:lineRule="exact"/>
              <w:ind w:left="162" w:right="355"/>
              <w:jc w:val="center"/>
              <w:rPr>
                <w:sz w:val="20"/>
              </w:rPr>
            </w:pPr>
            <w:r>
              <w:rPr>
                <w:sz w:val="20"/>
              </w:rPr>
              <w:t>07,</w:t>
            </w:r>
            <w:r>
              <w:rPr>
                <w:spacing w:val="-7"/>
                <w:sz w:val="20"/>
              </w:rPr>
              <w:t> </w:t>
            </w:r>
            <w:r>
              <w:rPr>
                <w:sz w:val="20"/>
              </w:rPr>
              <w:t>fr08-10,</w:t>
            </w:r>
            <w:r>
              <w:rPr>
                <w:spacing w:val="-7"/>
                <w:sz w:val="20"/>
              </w:rPr>
              <w:t> </w:t>
            </w:r>
            <w:r>
              <w:rPr>
                <w:sz w:val="20"/>
              </w:rPr>
              <w:t>fr11-</w:t>
            </w:r>
            <w:r>
              <w:rPr>
                <w:spacing w:val="-5"/>
                <w:sz w:val="20"/>
              </w:rPr>
              <w:t>20,</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50" w:right="172"/>
              <w:jc w:val="center"/>
              <w:rPr>
                <w:sz w:val="20"/>
              </w:rPr>
            </w:pPr>
            <w:r>
              <w:rPr>
                <w:sz w:val="20"/>
              </w:rPr>
              <w:t>A07.12.001,</w:t>
            </w:r>
            <w:r>
              <w:rPr>
                <w:spacing w:val="-9"/>
                <w:sz w:val="20"/>
              </w:rPr>
              <w:t> </w:t>
            </w:r>
            <w:r>
              <w:rPr>
                <w:spacing w:val="-2"/>
                <w:sz w:val="20"/>
              </w:rPr>
              <w:t>A07.14.001,</w:t>
            </w:r>
          </w:p>
        </w:tc>
        <w:tc>
          <w:tcPr>
            <w:tcW w:w="2499" w:type="dxa"/>
          </w:tcPr>
          <w:p>
            <w:pPr>
              <w:pStyle w:val="TableParagraph"/>
              <w:spacing w:line="210" w:lineRule="exact"/>
              <w:ind w:left="161" w:right="355"/>
              <w:jc w:val="center"/>
              <w:rPr>
                <w:sz w:val="20"/>
              </w:rPr>
            </w:pPr>
            <w:r>
              <w:rPr>
                <w:w w:val="95"/>
                <w:sz w:val="20"/>
              </w:rPr>
              <w:t>fr21-</w:t>
            </w:r>
            <w:r>
              <w:rPr>
                <w:spacing w:val="-5"/>
                <w:sz w:val="20"/>
              </w:rPr>
              <w:t>29</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w w:val="95"/>
                <w:sz w:val="20"/>
              </w:rPr>
              <w:t>A07.14.001.002,</w:t>
            </w:r>
            <w:r>
              <w:rPr>
                <w:spacing w:val="54"/>
                <w:sz w:val="20"/>
              </w:rPr>
              <w:t> </w:t>
            </w:r>
            <w:r>
              <w:rPr>
                <w:spacing w:val="-2"/>
                <w:sz w:val="20"/>
              </w:rPr>
              <w:t>A07.15.001,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A07.15.001.001,</w:t>
            </w:r>
            <w:r>
              <w:rPr>
                <w:spacing w:val="54"/>
                <w:sz w:val="20"/>
              </w:rPr>
              <w:t> </w:t>
            </w:r>
            <w:r>
              <w:rPr>
                <w:spacing w:val="-2"/>
                <w:sz w:val="20"/>
              </w:rPr>
              <w:t>A07.16.001.001,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8" w:right="173"/>
              <w:jc w:val="center"/>
              <w:rPr>
                <w:sz w:val="20"/>
              </w:rPr>
            </w:pPr>
            <w:r>
              <w:rPr>
                <w:w w:val="95"/>
                <w:sz w:val="20"/>
              </w:rPr>
              <w:t>A07.16.001.002,</w:t>
            </w:r>
            <w:r>
              <w:rPr>
                <w:spacing w:val="54"/>
                <w:sz w:val="20"/>
              </w:rPr>
              <w:t> </w:t>
            </w:r>
            <w:r>
              <w:rPr>
                <w:spacing w:val="-2"/>
                <w:sz w:val="20"/>
              </w:rPr>
              <w:t>A07.18.001.001,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8" w:right="173"/>
              <w:jc w:val="center"/>
              <w:rPr>
                <w:sz w:val="20"/>
              </w:rPr>
            </w:pPr>
            <w:r>
              <w:rPr>
                <w:w w:val="95"/>
                <w:sz w:val="20"/>
              </w:rPr>
              <w:t>A07.18.001.002,</w:t>
            </w:r>
            <w:r>
              <w:rPr>
                <w:spacing w:val="54"/>
                <w:sz w:val="20"/>
              </w:rPr>
              <w:t> </w:t>
            </w:r>
            <w:r>
              <w:rPr>
                <w:spacing w:val="-2"/>
                <w:sz w:val="20"/>
              </w:rPr>
              <w:t>A07.19.001.001,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A07.19.001.002,</w:t>
            </w:r>
            <w:r>
              <w:rPr>
                <w:spacing w:val="54"/>
                <w:sz w:val="20"/>
              </w:rPr>
              <w:t> </w:t>
            </w:r>
            <w:r>
              <w:rPr>
                <w:spacing w:val="-2"/>
                <w:sz w:val="20"/>
              </w:rPr>
              <w:t>A07.20.001.001,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48" w:right="173"/>
              <w:jc w:val="center"/>
              <w:rPr>
                <w:sz w:val="20"/>
              </w:rPr>
            </w:pPr>
            <w:r>
              <w:rPr>
                <w:w w:val="95"/>
                <w:sz w:val="20"/>
              </w:rPr>
              <w:t>A07.20.001.002,</w:t>
            </w:r>
            <w:r>
              <w:rPr>
                <w:spacing w:val="54"/>
                <w:sz w:val="20"/>
              </w:rPr>
              <w:t> </w:t>
            </w:r>
            <w:r>
              <w:rPr>
                <w:spacing w:val="-2"/>
                <w:sz w:val="20"/>
              </w:rPr>
              <w:t>A07.20.003.001,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50" w:right="170"/>
              <w:jc w:val="center"/>
              <w:rPr>
                <w:sz w:val="20"/>
              </w:rPr>
            </w:pPr>
            <w:r>
              <w:rPr>
                <w:w w:val="95"/>
                <w:sz w:val="20"/>
              </w:rPr>
              <w:t>A07.20.003.002,</w:t>
            </w:r>
            <w:r>
              <w:rPr>
                <w:spacing w:val="54"/>
                <w:sz w:val="20"/>
              </w:rPr>
              <w:t> </w:t>
            </w:r>
            <w:r>
              <w:rPr>
                <w:spacing w:val="-2"/>
                <w:sz w:val="20"/>
              </w:rPr>
              <w:t>A07.21.001,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A07.21.001.002,</w:t>
            </w:r>
            <w:r>
              <w:rPr>
                <w:spacing w:val="54"/>
                <w:sz w:val="20"/>
              </w:rPr>
              <w:t> </w:t>
            </w:r>
            <w:r>
              <w:rPr>
                <w:spacing w:val="-2"/>
                <w:sz w:val="20"/>
              </w:rPr>
              <w:t>A07.22.001.001,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A07.22.001.002,</w:t>
            </w:r>
            <w:r>
              <w:rPr>
                <w:spacing w:val="54"/>
                <w:sz w:val="20"/>
              </w:rPr>
              <w:t> </w:t>
            </w:r>
            <w:r>
              <w:rPr>
                <w:spacing w:val="-2"/>
                <w:sz w:val="20"/>
              </w:rPr>
              <w:t>A07.23.001,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A07.23.001.002,</w:t>
            </w:r>
            <w:r>
              <w:rPr>
                <w:spacing w:val="54"/>
                <w:sz w:val="20"/>
              </w:rPr>
              <w:t> </w:t>
            </w:r>
            <w:r>
              <w:rPr>
                <w:spacing w:val="-2"/>
                <w:sz w:val="20"/>
              </w:rPr>
              <w:t>A07.23.002,</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sz w:val="20"/>
              </w:rPr>
              <w:t>A07.26.002,</w:t>
            </w:r>
            <w:r>
              <w:rPr>
                <w:spacing w:val="-9"/>
                <w:sz w:val="20"/>
              </w:rPr>
              <w:t> </w:t>
            </w:r>
            <w:r>
              <w:rPr>
                <w:spacing w:val="-2"/>
                <w:sz w:val="20"/>
              </w:rPr>
              <w:t>A07.28.001.001,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w w:val="95"/>
                <w:sz w:val="20"/>
              </w:rPr>
              <w:t>A07.28.001.002,</w:t>
            </w:r>
            <w:r>
              <w:rPr>
                <w:spacing w:val="54"/>
                <w:sz w:val="20"/>
              </w:rPr>
              <w:t> </w:t>
            </w:r>
            <w:r>
              <w:rPr>
                <w:spacing w:val="-2"/>
                <w:sz w:val="20"/>
              </w:rPr>
              <w:t>A07.30.002,</w:t>
            </w:r>
          </w:p>
        </w:tc>
        <w:tc>
          <w:tcPr>
            <w:tcW w:w="2499" w:type="dxa"/>
          </w:tcPr>
          <w:p>
            <w:pPr>
              <w:pStyle w:val="TableParagraph"/>
              <w:rPr>
                <w:sz w:val="16"/>
              </w:rPr>
            </w:pPr>
          </w:p>
        </w:tc>
        <w:tc>
          <w:tcPr>
            <w:tcW w:w="859"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5" w:lineRule="exact"/>
              <w:ind w:left="1150" w:right="173"/>
              <w:jc w:val="center"/>
              <w:rPr>
                <w:sz w:val="20"/>
              </w:rPr>
            </w:pPr>
            <w:r>
              <w:rPr>
                <w:w w:val="95"/>
                <w:sz w:val="20"/>
              </w:rPr>
              <w:t>A07.30.025.001,</w:t>
            </w:r>
            <w:r>
              <w:rPr>
                <w:spacing w:val="54"/>
                <w:sz w:val="20"/>
              </w:rPr>
              <w:t> </w:t>
            </w:r>
            <w:r>
              <w:rPr>
                <w:spacing w:val="-2"/>
                <w:sz w:val="20"/>
              </w:rPr>
              <w:t>A07.30.025.002</w:t>
            </w:r>
          </w:p>
        </w:tc>
        <w:tc>
          <w:tcPr>
            <w:tcW w:w="2499" w:type="dxa"/>
          </w:tcPr>
          <w:p>
            <w:pPr>
              <w:pStyle w:val="TableParagraph"/>
              <w:rPr>
                <w:sz w:val="16"/>
              </w:rPr>
            </w:pPr>
          </w:p>
        </w:tc>
        <w:tc>
          <w:tcPr>
            <w:tcW w:w="85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80"/>
        <w:gridCol w:w="2427"/>
        <w:gridCol w:w="4406"/>
        <w:gridCol w:w="2527"/>
        <w:gridCol w:w="783"/>
      </w:tblGrid>
      <w:tr>
        <w:trPr>
          <w:trHeight w:val="3035" w:hRule="atLeast"/>
        </w:trPr>
        <w:tc>
          <w:tcPr>
            <w:tcW w:w="946" w:type="dxa"/>
          </w:tcPr>
          <w:p>
            <w:pPr>
              <w:pStyle w:val="TableParagraph"/>
              <w:spacing w:line="221" w:lineRule="exact"/>
              <w:ind w:left="50"/>
              <w:rPr>
                <w:sz w:val="20"/>
              </w:rPr>
            </w:pPr>
            <w:r>
              <w:rPr>
                <w:spacing w:val="-2"/>
                <w:sz w:val="20"/>
              </w:rPr>
              <w:t>st19.085</w:t>
            </w:r>
          </w:p>
        </w:tc>
        <w:tc>
          <w:tcPr>
            <w:tcW w:w="707" w:type="dxa"/>
          </w:tcPr>
          <w:p>
            <w:pPr>
              <w:pStyle w:val="TableParagraph"/>
              <w:spacing w:line="221" w:lineRule="exact"/>
              <w:ind w:left="210"/>
              <w:rPr>
                <w:sz w:val="20"/>
              </w:rPr>
            </w:pPr>
            <w:r>
              <w:rPr>
                <w:spacing w:val="-5"/>
                <w:sz w:val="20"/>
              </w:rPr>
              <w:t>184</w:t>
            </w:r>
          </w:p>
        </w:tc>
        <w:tc>
          <w:tcPr>
            <w:tcW w:w="3480" w:type="dxa"/>
          </w:tcPr>
          <w:p>
            <w:pPr>
              <w:pStyle w:val="TableParagraph"/>
              <w:ind w:left="192" w:right="1201"/>
              <w:rPr>
                <w:sz w:val="20"/>
              </w:rPr>
            </w:pPr>
            <w:r>
              <w:rPr>
                <w:sz w:val="20"/>
              </w:rPr>
              <w:t>Лучевая терапия в сочетании с лекарственной</w:t>
            </w:r>
            <w:r>
              <w:rPr>
                <w:spacing w:val="-13"/>
                <w:sz w:val="20"/>
              </w:rPr>
              <w:t> </w:t>
            </w:r>
            <w:r>
              <w:rPr>
                <w:sz w:val="20"/>
              </w:rPr>
              <w:t>терапией (уровень 3)</w:t>
            </w:r>
          </w:p>
        </w:tc>
        <w:tc>
          <w:tcPr>
            <w:tcW w:w="2427" w:type="dxa"/>
          </w:tcPr>
          <w:p>
            <w:pPr>
              <w:pStyle w:val="TableParagraph"/>
              <w:spacing w:line="221" w:lineRule="exact"/>
              <w:ind w:right="1152"/>
              <w:jc w:val="right"/>
              <w:rPr>
                <w:sz w:val="20"/>
              </w:rPr>
            </w:pPr>
            <w:r>
              <w:rPr>
                <w:w w:val="99"/>
                <w:sz w:val="20"/>
              </w:rPr>
              <w:t>-</w:t>
            </w:r>
          </w:p>
        </w:tc>
        <w:tc>
          <w:tcPr>
            <w:tcW w:w="4406" w:type="dxa"/>
          </w:tcPr>
          <w:p>
            <w:pPr>
              <w:pStyle w:val="TableParagraph"/>
              <w:spacing w:line="221" w:lineRule="exact"/>
              <w:ind w:left="1522"/>
              <w:rPr>
                <w:sz w:val="20"/>
              </w:rPr>
            </w:pPr>
            <w:r>
              <w:rPr>
                <w:sz w:val="20"/>
              </w:rPr>
              <w:t>A07.30.009,</w:t>
            </w:r>
            <w:r>
              <w:rPr>
                <w:spacing w:val="-9"/>
                <w:sz w:val="20"/>
              </w:rPr>
              <w:t> </w:t>
            </w:r>
            <w:r>
              <w:rPr>
                <w:spacing w:val="-2"/>
                <w:sz w:val="20"/>
              </w:rPr>
              <w:t>A07.30.009.001</w:t>
            </w:r>
          </w:p>
        </w:tc>
        <w:tc>
          <w:tcPr>
            <w:tcW w:w="2527" w:type="dxa"/>
          </w:tcPr>
          <w:p>
            <w:pPr>
              <w:pStyle w:val="TableParagraph"/>
              <w:ind w:left="263" w:right="481" w:firstLine="1"/>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p>
            <w:pPr>
              <w:pStyle w:val="TableParagraph"/>
              <w:spacing w:before="2"/>
              <w:rPr>
                <w:sz w:val="19"/>
              </w:rPr>
            </w:pPr>
          </w:p>
          <w:p>
            <w:pPr>
              <w:pStyle w:val="TableParagraph"/>
              <w:ind w:left="169" w:right="382"/>
              <w:jc w:val="center"/>
              <w:rPr>
                <w:sz w:val="20"/>
              </w:rPr>
            </w:pPr>
            <w:r>
              <w:rPr>
                <w:sz w:val="20"/>
              </w:rPr>
              <w:t>Фракции:</w:t>
            </w:r>
            <w:r>
              <w:rPr>
                <w:spacing w:val="-13"/>
                <w:sz w:val="20"/>
              </w:rPr>
              <w:t> </w:t>
            </w:r>
            <w:r>
              <w:rPr>
                <w:sz w:val="20"/>
              </w:rPr>
              <w:t>fr01-05,</w:t>
            </w:r>
            <w:r>
              <w:rPr>
                <w:spacing w:val="-12"/>
                <w:sz w:val="20"/>
              </w:rPr>
              <w:t> </w:t>
            </w:r>
            <w:r>
              <w:rPr>
                <w:sz w:val="20"/>
              </w:rPr>
              <w:t>fr06- 07, fr08-10, fr11-20, </w:t>
            </w:r>
            <w:r>
              <w:rPr>
                <w:spacing w:val="-2"/>
                <w:sz w:val="20"/>
              </w:rPr>
              <w:t>fr21-29</w:t>
            </w:r>
          </w:p>
        </w:tc>
        <w:tc>
          <w:tcPr>
            <w:tcW w:w="783" w:type="dxa"/>
          </w:tcPr>
          <w:p>
            <w:pPr>
              <w:pStyle w:val="TableParagraph"/>
              <w:spacing w:line="221" w:lineRule="exact"/>
              <w:ind w:right="50"/>
              <w:jc w:val="right"/>
              <w:rPr>
                <w:sz w:val="20"/>
              </w:rPr>
            </w:pPr>
            <w:r>
              <w:rPr>
                <w:spacing w:val="-4"/>
                <w:sz w:val="20"/>
              </w:rPr>
              <w:t>4,37</w:t>
            </w:r>
          </w:p>
        </w:tc>
      </w:tr>
      <w:tr>
        <w:trPr>
          <w:trHeight w:val="5565" w:hRule="atLeast"/>
        </w:trPr>
        <w:tc>
          <w:tcPr>
            <w:tcW w:w="946" w:type="dxa"/>
          </w:tcPr>
          <w:p>
            <w:pPr>
              <w:pStyle w:val="TableParagraph"/>
              <w:spacing w:before="45"/>
              <w:ind w:left="50"/>
              <w:rPr>
                <w:sz w:val="20"/>
              </w:rPr>
            </w:pPr>
            <w:r>
              <w:rPr>
                <w:spacing w:val="-2"/>
                <w:sz w:val="20"/>
              </w:rPr>
              <w:t>st19.086</w:t>
            </w:r>
          </w:p>
        </w:tc>
        <w:tc>
          <w:tcPr>
            <w:tcW w:w="707" w:type="dxa"/>
          </w:tcPr>
          <w:p>
            <w:pPr>
              <w:pStyle w:val="TableParagraph"/>
              <w:spacing w:before="45"/>
              <w:ind w:left="210"/>
              <w:rPr>
                <w:sz w:val="20"/>
              </w:rPr>
            </w:pPr>
            <w:r>
              <w:rPr>
                <w:spacing w:val="-5"/>
                <w:sz w:val="20"/>
              </w:rPr>
              <w:t>185</w:t>
            </w:r>
          </w:p>
        </w:tc>
        <w:tc>
          <w:tcPr>
            <w:tcW w:w="3480" w:type="dxa"/>
          </w:tcPr>
          <w:p>
            <w:pPr>
              <w:pStyle w:val="TableParagraph"/>
              <w:spacing w:before="45"/>
              <w:ind w:left="192" w:right="1201"/>
              <w:rPr>
                <w:sz w:val="20"/>
              </w:rPr>
            </w:pPr>
            <w:r>
              <w:rPr>
                <w:sz w:val="20"/>
              </w:rPr>
              <w:t>Лучевая терапия в сочетании с лекарственной</w:t>
            </w:r>
            <w:r>
              <w:rPr>
                <w:spacing w:val="-13"/>
                <w:sz w:val="20"/>
              </w:rPr>
              <w:t> </w:t>
            </w:r>
            <w:r>
              <w:rPr>
                <w:sz w:val="20"/>
              </w:rPr>
              <w:t>терапией (уровень 4)</w:t>
            </w:r>
          </w:p>
        </w:tc>
        <w:tc>
          <w:tcPr>
            <w:tcW w:w="2427" w:type="dxa"/>
          </w:tcPr>
          <w:p>
            <w:pPr>
              <w:pStyle w:val="TableParagraph"/>
              <w:spacing w:before="45"/>
              <w:ind w:right="1152"/>
              <w:jc w:val="right"/>
              <w:rPr>
                <w:sz w:val="20"/>
              </w:rPr>
            </w:pPr>
            <w:r>
              <w:rPr>
                <w:w w:val="99"/>
                <w:sz w:val="20"/>
              </w:rPr>
              <w:t>-</w:t>
            </w:r>
          </w:p>
        </w:tc>
        <w:tc>
          <w:tcPr>
            <w:tcW w:w="4406" w:type="dxa"/>
          </w:tcPr>
          <w:p>
            <w:pPr>
              <w:pStyle w:val="TableParagraph"/>
              <w:spacing w:before="45"/>
              <w:ind w:left="1150" w:right="172"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w:t>
            </w:r>
          </w:p>
          <w:p>
            <w:pPr>
              <w:pStyle w:val="TableParagraph"/>
              <w:spacing w:line="210" w:lineRule="exact" w:before="1"/>
              <w:ind w:left="1493" w:right="516"/>
              <w:jc w:val="center"/>
              <w:rPr>
                <w:sz w:val="20"/>
              </w:rPr>
            </w:pPr>
            <w:r>
              <w:rPr>
                <w:sz w:val="20"/>
              </w:rPr>
              <w:t>A07.26.002,</w:t>
            </w:r>
            <w:r>
              <w:rPr>
                <w:spacing w:val="-9"/>
                <w:sz w:val="20"/>
              </w:rPr>
              <w:t> </w:t>
            </w:r>
            <w:r>
              <w:rPr>
                <w:spacing w:val="-2"/>
                <w:sz w:val="20"/>
              </w:rPr>
              <w:t>A07.28.001.001,</w:t>
            </w:r>
          </w:p>
        </w:tc>
        <w:tc>
          <w:tcPr>
            <w:tcW w:w="2527" w:type="dxa"/>
          </w:tcPr>
          <w:p>
            <w:pPr>
              <w:pStyle w:val="TableParagraph"/>
              <w:spacing w:before="45"/>
              <w:ind w:left="263" w:right="481" w:firstLine="1"/>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p>
            <w:pPr>
              <w:pStyle w:val="TableParagraph"/>
              <w:spacing w:before="11"/>
              <w:rPr>
                <w:sz w:val="19"/>
              </w:rPr>
            </w:pPr>
          </w:p>
          <w:p>
            <w:pPr>
              <w:pStyle w:val="TableParagraph"/>
              <w:ind w:left="169" w:right="382"/>
              <w:jc w:val="center"/>
              <w:rPr>
                <w:sz w:val="20"/>
              </w:rPr>
            </w:pPr>
            <w:r>
              <w:rPr>
                <w:sz w:val="20"/>
              </w:rPr>
              <w:t>Фракции:</w:t>
            </w:r>
            <w:r>
              <w:rPr>
                <w:spacing w:val="-13"/>
                <w:sz w:val="20"/>
              </w:rPr>
              <w:t> </w:t>
            </w:r>
            <w:r>
              <w:rPr>
                <w:sz w:val="20"/>
              </w:rPr>
              <w:t>fr30-32,</w:t>
            </w:r>
            <w:r>
              <w:rPr>
                <w:spacing w:val="-12"/>
                <w:sz w:val="20"/>
              </w:rPr>
              <w:t> </w:t>
            </w:r>
            <w:r>
              <w:rPr>
                <w:sz w:val="20"/>
              </w:rPr>
              <w:t>fr33- </w:t>
            </w:r>
            <w:r>
              <w:rPr>
                <w:spacing w:val="-6"/>
                <w:sz w:val="20"/>
              </w:rPr>
              <w:t>99</w:t>
            </w:r>
          </w:p>
        </w:tc>
        <w:tc>
          <w:tcPr>
            <w:tcW w:w="783" w:type="dxa"/>
          </w:tcPr>
          <w:p>
            <w:pPr>
              <w:pStyle w:val="TableParagraph"/>
              <w:spacing w:before="45"/>
              <w:ind w:right="50"/>
              <w:jc w:val="right"/>
              <w:rPr>
                <w:sz w:val="20"/>
              </w:rPr>
            </w:pPr>
            <w:r>
              <w:rPr>
                <w:spacing w:val="-4"/>
                <w:sz w:val="20"/>
              </w:rPr>
              <w:t>5,85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79"/>
        <w:gridCol w:w="2427"/>
        <w:gridCol w:w="4406"/>
        <w:gridCol w:w="2527"/>
        <w:gridCol w:w="783"/>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479" w:type="dxa"/>
          </w:tcPr>
          <w:p>
            <w:pPr>
              <w:pStyle w:val="TableParagraph"/>
              <w:rPr>
                <w:sz w:val="18"/>
              </w:rPr>
            </w:pPr>
          </w:p>
        </w:tc>
        <w:tc>
          <w:tcPr>
            <w:tcW w:w="2427" w:type="dxa"/>
          </w:tcPr>
          <w:p>
            <w:pPr>
              <w:pStyle w:val="TableParagraph"/>
              <w:rPr>
                <w:sz w:val="18"/>
              </w:rPr>
            </w:pPr>
          </w:p>
        </w:tc>
        <w:tc>
          <w:tcPr>
            <w:tcW w:w="4406" w:type="dxa"/>
          </w:tcPr>
          <w:p>
            <w:pPr>
              <w:pStyle w:val="TableParagraph"/>
              <w:ind w:left="1350" w:right="360" w:firstLine="148"/>
              <w:rPr>
                <w:sz w:val="20"/>
              </w:rPr>
            </w:pPr>
            <w:r>
              <w:rPr>
                <w:sz w:val="20"/>
              </w:rPr>
              <w:t>A07.28.001.002, A07.30.002, A07.30.025.001,</w:t>
            </w:r>
            <w:r>
              <w:rPr>
                <w:spacing w:val="-13"/>
                <w:sz w:val="20"/>
              </w:rPr>
              <w:t> </w:t>
            </w:r>
            <w:r>
              <w:rPr>
                <w:sz w:val="20"/>
              </w:rPr>
              <w:t>A07.30.025.002</w:t>
            </w:r>
          </w:p>
        </w:tc>
        <w:tc>
          <w:tcPr>
            <w:tcW w:w="2527" w:type="dxa"/>
          </w:tcPr>
          <w:p>
            <w:pPr>
              <w:pStyle w:val="TableParagraph"/>
              <w:rPr>
                <w:sz w:val="18"/>
              </w:rPr>
            </w:pPr>
          </w:p>
        </w:tc>
        <w:tc>
          <w:tcPr>
            <w:tcW w:w="783" w:type="dxa"/>
          </w:tcPr>
          <w:p>
            <w:pPr>
              <w:pStyle w:val="TableParagraph"/>
              <w:rPr>
                <w:sz w:val="18"/>
              </w:rPr>
            </w:pPr>
          </w:p>
        </w:tc>
      </w:tr>
      <w:tr>
        <w:trPr>
          <w:trHeight w:val="2860" w:hRule="atLeast"/>
        </w:trPr>
        <w:tc>
          <w:tcPr>
            <w:tcW w:w="946" w:type="dxa"/>
          </w:tcPr>
          <w:p>
            <w:pPr>
              <w:pStyle w:val="TableParagraph"/>
              <w:spacing w:before="45"/>
              <w:ind w:left="50"/>
              <w:rPr>
                <w:sz w:val="20"/>
              </w:rPr>
            </w:pPr>
            <w:r>
              <w:rPr>
                <w:spacing w:val="-2"/>
                <w:sz w:val="20"/>
              </w:rPr>
              <w:t>st19.087</w:t>
            </w:r>
          </w:p>
        </w:tc>
        <w:tc>
          <w:tcPr>
            <w:tcW w:w="707" w:type="dxa"/>
          </w:tcPr>
          <w:p>
            <w:pPr>
              <w:pStyle w:val="TableParagraph"/>
              <w:spacing w:before="45"/>
              <w:ind w:left="210"/>
              <w:rPr>
                <w:sz w:val="20"/>
              </w:rPr>
            </w:pPr>
            <w:r>
              <w:rPr>
                <w:spacing w:val="-5"/>
                <w:sz w:val="20"/>
              </w:rPr>
              <w:t>186</w:t>
            </w:r>
          </w:p>
        </w:tc>
        <w:tc>
          <w:tcPr>
            <w:tcW w:w="3479" w:type="dxa"/>
          </w:tcPr>
          <w:p>
            <w:pPr>
              <w:pStyle w:val="TableParagraph"/>
              <w:spacing w:before="45"/>
              <w:ind w:left="192" w:right="1200"/>
              <w:rPr>
                <w:sz w:val="20"/>
              </w:rPr>
            </w:pPr>
            <w:r>
              <w:rPr>
                <w:sz w:val="20"/>
              </w:rPr>
              <w:t>Лучевая терапия в сочетании с лекарственной</w:t>
            </w:r>
            <w:r>
              <w:rPr>
                <w:spacing w:val="-13"/>
                <w:sz w:val="20"/>
              </w:rPr>
              <w:t> </w:t>
            </w:r>
            <w:r>
              <w:rPr>
                <w:sz w:val="20"/>
              </w:rPr>
              <w:t>терапией (уровень 5)</w:t>
            </w:r>
          </w:p>
        </w:tc>
        <w:tc>
          <w:tcPr>
            <w:tcW w:w="2427" w:type="dxa"/>
          </w:tcPr>
          <w:p>
            <w:pPr>
              <w:pStyle w:val="TableParagraph"/>
              <w:spacing w:before="45"/>
              <w:ind w:right="1151"/>
              <w:jc w:val="right"/>
              <w:rPr>
                <w:sz w:val="20"/>
              </w:rPr>
            </w:pPr>
            <w:r>
              <w:rPr>
                <w:w w:val="99"/>
                <w:sz w:val="20"/>
              </w:rPr>
              <w:t>-</w:t>
            </w:r>
          </w:p>
        </w:tc>
        <w:tc>
          <w:tcPr>
            <w:tcW w:w="4406" w:type="dxa"/>
          </w:tcPr>
          <w:p>
            <w:pPr>
              <w:pStyle w:val="TableParagraph"/>
              <w:spacing w:before="45"/>
              <w:ind w:left="1523"/>
              <w:rPr>
                <w:sz w:val="20"/>
              </w:rPr>
            </w:pPr>
            <w:r>
              <w:rPr>
                <w:sz w:val="20"/>
              </w:rPr>
              <w:t>A07.30.009,</w:t>
            </w:r>
            <w:r>
              <w:rPr>
                <w:spacing w:val="-9"/>
                <w:sz w:val="20"/>
              </w:rPr>
              <w:t> </w:t>
            </w:r>
            <w:r>
              <w:rPr>
                <w:spacing w:val="-2"/>
                <w:sz w:val="20"/>
              </w:rPr>
              <w:t>A07.30.009.001</w:t>
            </w:r>
          </w:p>
        </w:tc>
        <w:tc>
          <w:tcPr>
            <w:tcW w:w="2527" w:type="dxa"/>
          </w:tcPr>
          <w:p>
            <w:pPr>
              <w:pStyle w:val="TableParagraph"/>
              <w:spacing w:before="45"/>
              <w:ind w:left="264" w:right="480" w:firstLine="1"/>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p>
            <w:pPr>
              <w:pStyle w:val="TableParagraph"/>
              <w:spacing w:before="11"/>
              <w:rPr>
                <w:sz w:val="19"/>
              </w:rPr>
            </w:pPr>
          </w:p>
          <w:p>
            <w:pPr>
              <w:pStyle w:val="TableParagraph"/>
              <w:ind w:left="169" w:right="380"/>
              <w:jc w:val="center"/>
              <w:rPr>
                <w:sz w:val="20"/>
              </w:rPr>
            </w:pPr>
            <w:r>
              <w:rPr>
                <w:sz w:val="20"/>
              </w:rPr>
              <w:t>Фракции:</w:t>
            </w:r>
            <w:r>
              <w:rPr>
                <w:spacing w:val="-13"/>
                <w:sz w:val="20"/>
              </w:rPr>
              <w:t> </w:t>
            </w:r>
            <w:r>
              <w:rPr>
                <w:sz w:val="20"/>
              </w:rPr>
              <w:t>fr30-32,</w:t>
            </w:r>
            <w:r>
              <w:rPr>
                <w:spacing w:val="-12"/>
                <w:sz w:val="20"/>
              </w:rPr>
              <w:t> </w:t>
            </w:r>
            <w:r>
              <w:rPr>
                <w:sz w:val="20"/>
              </w:rPr>
              <w:t>fr33- </w:t>
            </w:r>
            <w:r>
              <w:rPr>
                <w:spacing w:val="-6"/>
                <w:sz w:val="20"/>
              </w:rPr>
              <w:t>99</w:t>
            </w:r>
          </w:p>
        </w:tc>
        <w:tc>
          <w:tcPr>
            <w:tcW w:w="783" w:type="dxa"/>
          </w:tcPr>
          <w:p>
            <w:pPr>
              <w:pStyle w:val="TableParagraph"/>
              <w:spacing w:before="45"/>
              <w:ind w:right="49"/>
              <w:jc w:val="right"/>
              <w:rPr>
                <w:sz w:val="20"/>
              </w:rPr>
            </w:pPr>
            <w:r>
              <w:rPr>
                <w:spacing w:val="-4"/>
                <w:sz w:val="20"/>
              </w:rPr>
              <w:t>6,57</w:t>
            </w:r>
          </w:p>
        </w:tc>
      </w:tr>
      <w:tr>
        <w:trPr>
          <w:trHeight w:val="5105" w:hRule="atLeast"/>
        </w:trPr>
        <w:tc>
          <w:tcPr>
            <w:tcW w:w="946" w:type="dxa"/>
          </w:tcPr>
          <w:p>
            <w:pPr>
              <w:pStyle w:val="TableParagraph"/>
              <w:spacing w:before="46"/>
              <w:ind w:left="50"/>
              <w:rPr>
                <w:sz w:val="20"/>
              </w:rPr>
            </w:pPr>
            <w:r>
              <w:rPr>
                <w:spacing w:val="-2"/>
                <w:sz w:val="20"/>
              </w:rPr>
              <w:t>st19.088</w:t>
            </w:r>
          </w:p>
        </w:tc>
        <w:tc>
          <w:tcPr>
            <w:tcW w:w="707" w:type="dxa"/>
          </w:tcPr>
          <w:p>
            <w:pPr>
              <w:pStyle w:val="TableParagraph"/>
              <w:spacing w:before="46"/>
              <w:ind w:left="210"/>
              <w:rPr>
                <w:sz w:val="20"/>
              </w:rPr>
            </w:pPr>
            <w:r>
              <w:rPr>
                <w:spacing w:val="-5"/>
                <w:sz w:val="20"/>
              </w:rPr>
              <w:t>187</w:t>
            </w:r>
          </w:p>
        </w:tc>
        <w:tc>
          <w:tcPr>
            <w:tcW w:w="3479" w:type="dxa"/>
          </w:tcPr>
          <w:p>
            <w:pPr>
              <w:pStyle w:val="TableParagraph"/>
              <w:spacing w:before="46"/>
              <w:ind w:left="192" w:right="1200"/>
              <w:rPr>
                <w:sz w:val="20"/>
              </w:rPr>
            </w:pPr>
            <w:r>
              <w:rPr>
                <w:sz w:val="20"/>
              </w:rPr>
              <w:t>Лучевая терапия в сочетании с лекарственной</w:t>
            </w:r>
            <w:r>
              <w:rPr>
                <w:spacing w:val="-13"/>
                <w:sz w:val="20"/>
              </w:rPr>
              <w:t> </w:t>
            </w:r>
            <w:r>
              <w:rPr>
                <w:sz w:val="20"/>
              </w:rPr>
              <w:t>терапией (уровень 6)</w:t>
            </w:r>
          </w:p>
        </w:tc>
        <w:tc>
          <w:tcPr>
            <w:tcW w:w="2427" w:type="dxa"/>
          </w:tcPr>
          <w:p>
            <w:pPr>
              <w:pStyle w:val="TableParagraph"/>
              <w:spacing w:before="46"/>
              <w:ind w:right="1151"/>
              <w:jc w:val="right"/>
              <w:rPr>
                <w:sz w:val="20"/>
              </w:rPr>
            </w:pPr>
            <w:r>
              <w:rPr>
                <w:w w:val="99"/>
                <w:sz w:val="20"/>
              </w:rPr>
              <w:t>-</w:t>
            </w:r>
          </w:p>
        </w:tc>
        <w:tc>
          <w:tcPr>
            <w:tcW w:w="4406" w:type="dxa"/>
          </w:tcPr>
          <w:p>
            <w:pPr>
              <w:pStyle w:val="TableParagraph"/>
              <w:spacing w:before="46"/>
              <w:ind w:left="1151" w:right="171"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w:t>
            </w:r>
          </w:p>
          <w:p>
            <w:pPr>
              <w:pStyle w:val="TableParagraph"/>
              <w:spacing w:line="210" w:lineRule="exact"/>
              <w:ind w:left="1495" w:right="516"/>
              <w:jc w:val="center"/>
              <w:rPr>
                <w:sz w:val="20"/>
              </w:rPr>
            </w:pPr>
            <w:r>
              <w:rPr>
                <w:w w:val="95"/>
                <w:sz w:val="20"/>
              </w:rPr>
              <w:t>A07.22.001.002,</w:t>
            </w:r>
            <w:r>
              <w:rPr>
                <w:spacing w:val="54"/>
                <w:sz w:val="20"/>
              </w:rPr>
              <w:t> </w:t>
            </w:r>
            <w:r>
              <w:rPr>
                <w:spacing w:val="-2"/>
                <w:sz w:val="20"/>
              </w:rPr>
              <w:t>A07.23.001,</w:t>
            </w:r>
          </w:p>
        </w:tc>
        <w:tc>
          <w:tcPr>
            <w:tcW w:w="2527" w:type="dxa"/>
          </w:tcPr>
          <w:p>
            <w:pPr>
              <w:pStyle w:val="TableParagraph"/>
              <w:spacing w:before="46"/>
              <w:ind w:left="276" w:right="489" w:hanging="2"/>
              <w:jc w:val="center"/>
              <w:rPr>
                <w:sz w:val="20"/>
              </w:rPr>
            </w:pPr>
            <w:r>
              <w:rPr>
                <w:spacing w:val="-4"/>
                <w:sz w:val="20"/>
              </w:rPr>
              <w:t>Иной </w:t>
            </w:r>
            <w:r>
              <w:rPr>
                <w:spacing w:val="-2"/>
                <w:sz w:val="20"/>
              </w:rPr>
              <w:t>классификационный </w:t>
            </w:r>
            <w:r>
              <w:rPr>
                <w:sz w:val="20"/>
              </w:rPr>
              <w:t>критерий: mt008, mt014,</w:t>
            </w:r>
            <w:r>
              <w:rPr>
                <w:spacing w:val="-6"/>
                <w:sz w:val="20"/>
              </w:rPr>
              <w:t> </w:t>
            </w:r>
            <w:r>
              <w:rPr>
                <w:sz w:val="20"/>
              </w:rPr>
              <w:t>mt021,</w:t>
            </w:r>
            <w:r>
              <w:rPr>
                <w:spacing w:val="-6"/>
                <w:sz w:val="20"/>
              </w:rPr>
              <w:t> </w:t>
            </w:r>
            <w:r>
              <w:rPr>
                <w:sz w:val="20"/>
              </w:rPr>
              <w:t>mt022</w:t>
            </w:r>
          </w:p>
        </w:tc>
        <w:tc>
          <w:tcPr>
            <w:tcW w:w="783" w:type="dxa"/>
          </w:tcPr>
          <w:p>
            <w:pPr>
              <w:pStyle w:val="TableParagraph"/>
              <w:spacing w:before="46"/>
              <w:ind w:right="49"/>
              <w:jc w:val="right"/>
              <w:rPr>
                <w:sz w:val="20"/>
              </w:rPr>
            </w:pPr>
            <w:r>
              <w:rPr>
                <w:spacing w:val="-4"/>
                <w:sz w:val="20"/>
              </w:rPr>
              <w:t>9,49</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18"/>
        <w:gridCol w:w="3168"/>
        <w:gridCol w:w="4031"/>
        <w:gridCol w:w="2492"/>
        <w:gridCol w:w="865"/>
      </w:tblGrid>
      <w:tr>
        <w:trPr>
          <w:trHeight w:val="1195" w:hRule="atLeast"/>
        </w:trPr>
        <w:tc>
          <w:tcPr>
            <w:tcW w:w="946" w:type="dxa"/>
          </w:tcPr>
          <w:p>
            <w:pPr>
              <w:pStyle w:val="TableParagraph"/>
              <w:rPr>
                <w:sz w:val="18"/>
              </w:rPr>
            </w:pPr>
          </w:p>
        </w:tc>
        <w:tc>
          <w:tcPr>
            <w:tcW w:w="707" w:type="dxa"/>
          </w:tcPr>
          <w:p>
            <w:pPr>
              <w:pStyle w:val="TableParagraph"/>
              <w:rPr>
                <w:sz w:val="18"/>
              </w:rPr>
            </w:pPr>
          </w:p>
        </w:tc>
        <w:tc>
          <w:tcPr>
            <w:tcW w:w="3118" w:type="dxa"/>
          </w:tcPr>
          <w:p>
            <w:pPr>
              <w:pStyle w:val="TableParagraph"/>
              <w:rPr>
                <w:sz w:val="18"/>
              </w:rPr>
            </w:pPr>
          </w:p>
        </w:tc>
        <w:tc>
          <w:tcPr>
            <w:tcW w:w="3168" w:type="dxa"/>
          </w:tcPr>
          <w:p>
            <w:pPr>
              <w:pStyle w:val="TableParagraph"/>
              <w:rPr>
                <w:sz w:val="18"/>
              </w:rPr>
            </w:pPr>
          </w:p>
        </w:tc>
        <w:tc>
          <w:tcPr>
            <w:tcW w:w="4031" w:type="dxa"/>
          </w:tcPr>
          <w:p>
            <w:pPr>
              <w:pStyle w:val="TableParagraph"/>
              <w:ind w:left="970" w:right="373" w:firstLine="1"/>
              <w:jc w:val="center"/>
              <w:rPr>
                <w:sz w:val="20"/>
              </w:rPr>
            </w:pPr>
            <w:r>
              <w:rPr>
                <w:sz w:val="20"/>
              </w:rPr>
              <w:t>A07.23.001.002, A07.23.002, A07.26.002, A07.28.001.001, A07.28.001.002, A07.30.002, A07.30.009, A07.30.009.001, A07.30.025.001,</w:t>
            </w:r>
            <w:r>
              <w:rPr>
                <w:spacing w:val="-13"/>
                <w:sz w:val="20"/>
              </w:rPr>
              <w:t> </w:t>
            </w:r>
            <w:r>
              <w:rPr>
                <w:sz w:val="20"/>
              </w:rPr>
              <w:t>A07.30.025.002</w:t>
            </w:r>
          </w:p>
        </w:tc>
        <w:tc>
          <w:tcPr>
            <w:tcW w:w="2492" w:type="dxa"/>
          </w:tcPr>
          <w:p>
            <w:pPr>
              <w:pStyle w:val="TableParagraph"/>
              <w:rPr>
                <w:sz w:val="18"/>
              </w:rPr>
            </w:pPr>
          </w:p>
        </w:tc>
        <w:tc>
          <w:tcPr>
            <w:tcW w:w="865" w:type="dxa"/>
          </w:tcPr>
          <w:p>
            <w:pPr>
              <w:pStyle w:val="TableParagraph"/>
              <w:rPr>
                <w:sz w:val="18"/>
              </w:rPr>
            </w:pPr>
          </w:p>
        </w:tc>
      </w:tr>
      <w:tr>
        <w:trPr>
          <w:trHeight w:val="6311" w:hRule="atLeast"/>
        </w:trPr>
        <w:tc>
          <w:tcPr>
            <w:tcW w:w="946" w:type="dxa"/>
          </w:tcPr>
          <w:p>
            <w:pPr>
              <w:pStyle w:val="TableParagraph"/>
              <w:spacing w:before="46"/>
              <w:ind w:left="50"/>
              <w:rPr>
                <w:sz w:val="20"/>
              </w:rPr>
            </w:pPr>
            <w:r>
              <w:rPr>
                <w:spacing w:val="-2"/>
                <w:sz w:val="20"/>
              </w:rPr>
              <w:t>st19.089</w:t>
            </w:r>
          </w:p>
        </w:tc>
        <w:tc>
          <w:tcPr>
            <w:tcW w:w="707" w:type="dxa"/>
          </w:tcPr>
          <w:p>
            <w:pPr>
              <w:pStyle w:val="TableParagraph"/>
              <w:spacing w:before="46"/>
              <w:ind w:left="210"/>
              <w:rPr>
                <w:sz w:val="20"/>
              </w:rPr>
            </w:pPr>
            <w:r>
              <w:rPr>
                <w:spacing w:val="-5"/>
                <w:sz w:val="20"/>
              </w:rPr>
              <w:t>188</w:t>
            </w:r>
          </w:p>
        </w:tc>
        <w:tc>
          <w:tcPr>
            <w:tcW w:w="3118" w:type="dxa"/>
          </w:tcPr>
          <w:p>
            <w:pPr>
              <w:pStyle w:val="TableParagraph"/>
              <w:spacing w:before="46"/>
              <w:ind w:left="192" w:right="839"/>
              <w:rPr>
                <w:sz w:val="20"/>
              </w:rPr>
            </w:pPr>
            <w:r>
              <w:rPr>
                <w:sz w:val="20"/>
              </w:rPr>
              <w:t>Лучевая терапия в сочетании с лекарственной</w:t>
            </w:r>
            <w:r>
              <w:rPr>
                <w:spacing w:val="-13"/>
                <w:sz w:val="20"/>
              </w:rPr>
              <w:t> </w:t>
            </w:r>
            <w:r>
              <w:rPr>
                <w:sz w:val="20"/>
              </w:rPr>
              <w:t>терапией (уровень 7)</w:t>
            </w:r>
          </w:p>
        </w:tc>
        <w:tc>
          <w:tcPr>
            <w:tcW w:w="3168" w:type="dxa"/>
          </w:tcPr>
          <w:p>
            <w:pPr>
              <w:pStyle w:val="TableParagraph"/>
              <w:spacing w:before="46"/>
              <w:ind w:left="34"/>
              <w:jc w:val="center"/>
              <w:rPr>
                <w:sz w:val="20"/>
              </w:rPr>
            </w:pPr>
            <w:r>
              <w:rPr>
                <w:w w:val="99"/>
                <w:sz w:val="20"/>
              </w:rPr>
              <w:t>-</w:t>
            </w:r>
          </w:p>
        </w:tc>
        <w:tc>
          <w:tcPr>
            <w:tcW w:w="4031" w:type="dxa"/>
          </w:tcPr>
          <w:p>
            <w:pPr>
              <w:pStyle w:val="TableParagraph"/>
              <w:spacing w:before="46"/>
              <w:ind w:left="771" w:right="176"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2" w:type="dxa"/>
          </w:tcPr>
          <w:p>
            <w:pPr>
              <w:pStyle w:val="TableParagraph"/>
              <w:spacing w:before="46"/>
              <w:ind w:left="271" w:right="459" w:hanging="2"/>
              <w:jc w:val="center"/>
              <w:rPr>
                <w:sz w:val="20"/>
              </w:rPr>
            </w:pPr>
            <w:r>
              <w:rPr>
                <w:spacing w:val="-4"/>
                <w:sz w:val="20"/>
              </w:rPr>
              <w:t>Иной </w:t>
            </w:r>
            <w:r>
              <w:rPr>
                <w:spacing w:val="-2"/>
                <w:sz w:val="20"/>
              </w:rPr>
              <w:t>классификационный </w:t>
            </w:r>
            <w:r>
              <w:rPr>
                <w:sz w:val="20"/>
              </w:rPr>
              <w:t>критерий: mt007, mt009, mt011</w:t>
            </w:r>
          </w:p>
        </w:tc>
        <w:tc>
          <w:tcPr>
            <w:tcW w:w="865" w:type="dxa"/>
          </w:tcPr>
          <w:p>
            <w:pPr>
              <w:pStyle w:val="TableParagraph"/>
              <w:spacing w:before="46"/>
              <w:ind w:right="51"/>
              <w:jc w:val="right"/>
              <w:rPr>
                <w:sz w:val="20"/>
              </w:rPr>
            </w:pPr>
            <w:r>
              <w:rPr>
                <w:spacing w:val="-2"/>
                <w:sz w:val="20"/>
              </w:rPr>
              <w:t>16,32</w:t>
            </w:r>
          </w:p>
        </w:tc>
      </w:tr>
      <w:tr>
        <w:trPr>
          <w:trHeight w:val="734" w:hRule="atLeast"/>
        </w:trPr>
        <w:tc>
          <w:tcPr>
            <w:tcW w:w="946" w:type="dxa"/>
          </w:tcPr>
          <w:p>
            <w:pPr>
              <w:pStyle w:val="TableParagraph"/>
              <w:spacing w:before="46"/>
              <w:ind w:left="50"/>
              <w:rPr>
                <w:sz w:val="20"/>
              </w:rPr>
            </w:pPr>
            <w:r>
              <w:rPr>
                <w:spacing w:val="-2"/>
                <w:sz w:val="20"/>
              </w:rPr>
              <w:t>st19.090</w:t>
            </w:r>
          </w:p>
        </w:tc>
        <w:tc>
          <w:tcPr>
            <w:tcW w:w="707" w:type="dxa"/>
          </w:tcPr>
          <w:p>
            <w:pPr>
              <w:pStyle w:val="TableParagraph"/>
              <w:spacing w:before="46"/>
              <w:ind w:left="210"/>
              <w:rPr>
                <w:sz w:val="20"/>
              </w:rPr>
            </w:pPr>
            <w:r>
              <w:rPr>
                <w:spacing w:val="-5"/>
                <w:sz w:val="20"/>
              </w:rPr>
              <w:t>189</w:t>
            </w:r>
          </w:p>
        </w:tc>
        <w:tc>
          <w:tcPr>
            <w:tcW w:w="3118" w:type="dxa"/>
          </w:tcPr>
          <w:p>
            <w:pPr>
              <w:pStyle w:val="TableParagraph"/>
              <w:spacing w:line="237" w:lineRule="auto" w:before="48"/>
              <w:ind w:left="192" w:right="87"/>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w:t>
            </w:r>
          </w:p>
          <w:p>
            <w:pPr>
              <w:pStyle w:val="TableParagraph"/>
              <w:spacing w:line="210" w:lineRule="exact" w:before="1"/>
              <w:ind w:left="192"/>
              <w:rPr>
                <w:sz w:val="20"/>
              </w:rPr>
            </w:pPr>
            <w:r>
              <w:rPr>
                <w:spacing w:val="-2"/>
                <w:sz w:val="20"/>
              </w:rPr>
              <w:t>специального</w:t>
            </w:r>
          </w:p>
        </w:tc>
        <w:tc>
          <w:tcPr>
            <w:tcW w:w="3168" w:type="dxa"/>
          </w:tcPr>
          <w:p>
            <w:pPr>
              <w:pStyle w:val="TableParagraph"/>
              <w:spacing w:before="46"/>
              <w:ind w:left="799" w:right="766"/>
              <w:jc w:val="center"/>
              <w:rPr>
                <w:sz w:val="20"/>
              </w:rPr>
            </w:pPr>
            <w:r>
              <w:rPr>
                <w:sz w:val="20"/>
              </w:rPr>
              <w:t>C81-C96,</w:t>
            </w:r>
            <w:r>
              <w:rPr>
                <w:spacing w:val="-11"/>
                <w:sz w:val="20"/>
              </w:rPr>
              <w:t> </w:t>
            </w:r>
            <w:r>
              <w:rPr>
                <w:sz w:val="20"/>
              </w:rPr>
              <w:t>D45-</w:t>
            </w:r>
            <w:r>
              <w:rPr>
                <w:spacing w:val="-5"/>
                <w:sz w:val="20"/>
              </w:rPr>
              <w:t>D47</w:t>
            </w:r>
          </w:p>
        </w:tc>
        <w:tc>
          <w:tcPr>
            <w:tcW w:w="4031" w:type="dxa"/>
          </w:tcPr>
          <w:p>
            <w:pPr>
              <w:pStyle w:val="TableParagraph"/>
              <w:spacing w:before="46"/>
              <w:ind w:left="597"/>
              <w:jc w:val="center"/>
              <w:rPr>
                <w:sz w:val="20"/>
              </w:rPr>
            </w:pPr>
            <w:r>
              <w:rPr>
                <w:w w:val="99"/>
                <w:sz w:val="20"/>
              </w:rPr>
              <w:t>-</w:t>
            </w:r>
          </w:p>
        </w:tc>
        <w:tc>
          <w:tcPr>
            <w:tcW w:w="2492" w:type="dxa"/>
          </w:tcPr>
          <w:p>
            <w:pPr>
              <w:pStyle w:val="TableParagraph"/>
              <w:spacing w:line="237" w:lineRule="auto" w:before="48"/>
              <w:ind w:left="312" w:right="4" w:hanging="137"/>
              <w:rPr>
                <w:sz w:val="20"/>
              </w:rPr>
            </w:pPr>
            <w:r>
              <w:rPr>
                <w:sz w:val="20"/>
              </w:rPr>
              <w:t>Длительность:</w:t>
            </w:r>
            <w:r>
              <w:rPr>
                <w:spacing w:val="-13"/>
                <w:sz w:val="20"/>
              </w:rPr>
              <w:t> </w:t>
            </w:r>
            <w:r>
              <w:rPr>
                <w:sz w:val="20"/>
              </w:rPr>
              <w:t>До</w:t>
            </w:r>
            <w:r>
              <w:rPr>
                <w:spacing w:val="-12"/>
                <w:sz w:val="20"/>
              </w:rPr>
              <w:t> </w:t>
            </w:r>
            <w:r>
              <w:rPr>
                <w:sz w:val="20"/>
              </w:rPr>
              <w:t>трех дней включительно</w:t>
            </w:r>
          </w:p>
        </w:tc>
        <w:tc>
          <w:tcPr>
            <w:tcW w:w="865" w:type="dxa"/>
          </w:tcPr>
          <w:p>
            <w:pPr>
              <w:pStyle w:val="TableParagraph"/>
              <w:spacing w:before="46"/>
              <w:ind w:right="101"/>
              <w:jc w:val="right"/>
              <w:rPr>
                <w:sz w:val="20"/>
              </w:rPr>
            </w:pPr>
            <w:r>
              <w:rPr>
                <w:spacing w:val="-4"/>
                <w:sz w:val="20"/>
              </w:rPr>
              <w:t>0,43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19"/>
        <w:gridCol w:w="3923"/>
        <w:gridCol w:w="2517"/>
        <w:gridCol w:w="3283"/>
        <w:gridCol w:w="784"/>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119" w:type="dxa"/>
          </w:tcPr>
          <w:p>
            <w:pPr>
              <w:pStyle w:val="TableParagraph"/>
              <w:ind w:left="192" w:right="531"/>
              <w:rPr>
                <w:sz w:val="20"/>
              </w:rPr>
            </w:pPr>
            <w:r>
              <w:rPr>
                <w:spacing w:val="-2"/>
                <w:sz w:val="20"/>
              </w:rPr>
              <w:t>противоопухолевого </w:t>
            </w:r>
            <w:r>
              <w:rPr>
                <w:sz w:val="20"/>
              </w:rPr>
              <w:t>лечения</w:t>
            </w:r>
            <w:r>
              <w:rPr>
                <w:spacing w:val="-13"/>
                <w:sz w:val="20"/>
              </w:rPr>
              <w:t> </w:t>
            </w:r>
            <w:r>
              <w:rPr>
                <w:sz w:val="20"/>
              </w:rPr>
              <w:t>(уровень</w:t>
            </w:r>
            <w:r>
              <w:rPr>
                <w:spacing w:val="-12"/>
                <w:sz w:val="20"/>
              </w:rPr>
              <w:t> </w:t>
            </w:r>
            <w:r>
              <w:rPr>
                <w:sz w:val="20"/>
              </w:rPr>
              <w:t>1)</w:t>
            </w:r>
            <w:r>
              <w:rPr>
                <w:sz w:val="20"/>
                <w:vertAlign w:val="superscript"/>
              </w:rPr>
              <w:t>***</w:t>
            </w:r>
          </w:p>
        </w:tc>
        <w:tc>
          <w:tcPr>
            <w:tcW w:w="3923" w:type="dxa"/>
          </w:tcPr>
          <w:p>
            <w:pPr>
              <w:pStyle w:val="TableParagraph"/>
              <w:rPr>
                <w:sz w:val="18"/>
              </w:rPr>
            </w:pPr>
          </w:p>
        </w:tc>
        <w:tc>
          <w:tcPr>
            <w:tcW w:w="2517" w:type="dxa"/>
          </w:tcPr>
          <w:p>
            <w:pPr>
              <w:pStyle w:val="TableParagraph"/>
              <w:rPr>
                <w:sz w:val="18"/>
              </w:rPr>
            </w:pPr>
          </w:p>
        </w:tc>
        <w:tc>
          <w:tcPr>
            <w:tcW w:w="3283" w:type="dxa"/>
          </w:tcPr>
          <w:p>
            <w:pPr>
              <w:pStyle w:val="TableParagraph"/>
              <w:rPr>
                <w:sz w:val="18"/>
              </w:rPr>
            </w:pPr>
          </w:p>
        </w:tc>
        <w:tc>
          <w:tcPr>
            <w:tcW w:w="784" w:type="dxa"/>
          </w:tcPr>
          <w:p>
            <w:pPr>
              <w:pStyle w:val="TableParagraph"/>
              <w:rPr>
                <w:sz w:val="18"/>
              </w:rPr>
            </w:pPr>
          </w:p>
        </w:tc>
      </w:tr>
      <w:tr>
        <w:trPr>
          <w:trHeight w:val="1249" w:hRule="atLeast"/>
        </w:trPr>
        <w:tc>
          <w:tcPr>
            <w:tcW w:w="946" w:type="dxa"/>
          </w:tcPr>
          <w:p>
            <w:pPr>
              <w:pStyle w:val="TableParagraph"/>
              <w:spacing w:before="45"/>
              <w:ind w:left="50"/>
              <w:rPr>
                <w:sz w:val="20"/>
              </w:rPr>
            </w:pPr>
            <w:r>
              <w:rPr>
                <w:spacing w:val="-2"/>
                <w:sz w:val="20"/>
              </w:rPr>
              <w:t>st19.091</w:t>
            </w:r>
          </w:p>
        </w:tc>
        <w:tc>
          <w:tcPr>
            <w:tcW w:w="707" w:type="dxa"/>
          </w:tcPr>
          <w:p>
            <w:pPr>
              <w:pStyle w:val="TableParagraph"/>
              <w:spacing w:before="45"/>
              <w:ind w:left="210"/>
              <w:rPr>
                <w:sz w:val="20"/>
              </w:rPr>
            </w:pPr>
            <w:r>
              <w:rPr>
                <w:spacing w:val="-5"/>
                <w:sz w:val="20"/>
              </w:rPr>
              <w:t>190</w:t>
            </w:r>
          </w:p>
        </w:tc>
        <w:tc>
          <w:tcPr>
            <w:tcW w:w="3119" w:type="dxa"/>
          </w:tcPr>
          <w:p>
            <w:pPr>
              <w:pStyle w:val="TableParagraph"/>
              <w:spacing w:before="45"/>
              <w:ind w:left="192" w:right="531"/>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2)</w:t>
            </w:r>
            <w:r>
              <w:rPr>
                <w:sz w:val="20"/>
                <w:vertAlign w:val="superscript"/>
              </w:rPr>
              <w:t>***</w:t>
            </w:r>
          </w:p>
        </w:tc>
        <w:tc>
          <w:tcPr>
            <w:tcW w:w="3923" w:type="dxa"/>
          </w:tcPr>
          <w:p>
            <w:pPr>
              <w:pStyle w:val="TableParagraph"/>
              <w:spacing w:before="45"/>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5"/>
              <w:ind w:right="923"/>
              <w:jc w:val="right"/>
              <w:rPr>
                <w:sz w:val="20"/>
              </w:rPr>
            </w:pPr>
            <w:r>
              <w:rPr>
                <w:w w:val="99"/>
                <w:sz w:val="20"/>
              </w:rPr>
              <w:t>-</w:t>
            </w:r>
          </w:p>
        </w:tc>
        <w:tc>
          <w:tcPr>
            <w:tcW w:w="3283" w:type="dxa"/>
          </w:tcPr>
          <w:p>
            <w:pPr>
              <w:pStyle w:val="TableParagraph"/>
              <w:spacing w:before="45"/>
              <w:ind w:left="945" w:right="274" w:firstLine="24"/>
              <w:rPr>
                <w:sz w:val="20"/>
              </w:rPr>
            </w:pPr>
            <w:r>
              <w:rPr>
                <w:sz w:val="20"/>
              </w:rPr>
              <w:t>Длительность:</w:t>
            </w:r>
            <w:r>
              <w:rPr>
                <w:spacing w:val="-7"/>
                <w:sz w:val="20"/>
              </w:rPr>
              <w:t> </w:t>
            </w:r>
            <w:r>
              <w:rPr>
                <w:sz w:val="20"/>
              </w:rPr>
              <w:t>от</w:t>
            </w:r>
            <w:r>
              <w:rPr>
                <w:spacing w:val="-7"/>
                <w:sz w:val="20"/>
              </w:rPr>
              <w:t> </w:t>
            </w:r>
            <w:r>
              <w:rPr>
                <w:sz w:val="20"/>
              </w:rPr>
              <w:t>4</w:t>
            </w:r>
            <w:r>
              <w:rPr>
                <w:spacing w:val="-6"/>
                <w:sz w:val="20"/>
              </w:rPr>
              <w:t> </w:t>
            </w:r>
            <w:r>
              <w:rPr>
                <w:sz w:val="20"/>
              </w:rPr>
              <w:t>до 10</w:t>
            </w:r>
            <w:r>
              <w:rPr>
                <w:spacing w:val="-3"/>
                <w:sz w:val="20"/>
              </w:rPr>
              <w:t> </w:t>
            </w:r>
            <w:r>
              <w:rPr>
                <w:sz w:val="20"/>
              </w:rPr>
              <w:t>дней</w:t>
            </w:r>
            <w:r>
              <w:rPr>
                <w:spacing w:val="-5"/>
                <w:sz w:val="20"/>
              </w:rPr>
              <w:t> </w:t>
            </w:r>
            <w:r>
              <w:rPr>
                <w:spacing w:val="-2"/>
                <w:sz w:val="20"/>
              </w:rPr>
              <w:t>включительно</w:t>
            </w:r>
          </w:p>
        </w:tc>
        <w:tc>
          <w:tcPr>
            <w:tcW w:w="784" w:type="dxa"/>
          </w:tcPr>
          <w:p>
            <w:pPr>
              <w:pStyle w:val="TableParagraph"/>
              <w:spacing w:before="45"/>
              <w:ind w:right="53"/>
              <w:jc w:val="right"/>
              <w:rPr>
                <w:sz w:val="20"/>
              </w:rPr>
            </w:pPr>
            <w:r>
              <w:rPr>
                <w:spacing w:val="-4"/>
                <w:sz w:val="20"/>
              </w:rPr>
              <w:t>1,37</w:t>
            </w:r>
          </w:p>
        </w:tc>
      </w:tr>
      <w:tr>
        <w:trPr>
          <w:trHeight w:val="1250" w:hRule="atLeast"/>
        </w:trPr>
        <w:tc>
          <w:tcPr>
            <w:tcW w:w="946" w:type="dxa"/>
          </w:tcPr>
          <w:p>
            <w:pPr>
              <w:pStyle w:val="TableParagraph"/>
              <w:spacing w:before="46"/>
              <w:ind w:left="50"/>
              <w:rPr>
                <w:sz w:val="20"/>
              </w:rPr>
            </w:pPr>
            <w:r>
              <w:rPr>
                <w:spacing w:val="-2"/>
                <w:sz w:val="20"/>
              </w:rPr>
              <w:t>st19.092</w:t>
            </w:r>
          </w:p>
        </w:tc>
        <w:tc>
          <w:tcPr>
            <w:tcW w:w="707" w:type="dxa"/>
          </w:tcPr>
          <w:p>
            <w:pPr>
              <w:pStyle w:val="TableParagraph"/>
              <w:spacing w:before="46"/>
              <w:ind w:left="210"/>
              <w:rPr>
                <w:sz w:val="20"/>
              </w:rPr>
            </w:pPr>
            <w:r>
              <w:rPr>
                <w:spacing w:val="-5"/>
                <w:sz w:val="20"/>
              </w:rPr>
              <w:t>191</w:t>
            </w:r>
          </w:p>
        </w:tc>
        <w:tc>
          <w:tcPr>
            <w:tcW w:w="3119" w:type="dxa"/>
          </w:tcPr>
          <w:p>
            <w:pPr>
              <w:pStyle w:val="TableParagraph"/>
              <w:spacing w:before="46"/>
              <w:ind w:left="192" w:right="531"/>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3)</w:t>
            </w:r>
            <w:r>
              <w:rPr>
                <w:sz w:val="20"/>
                <w:vertAlign w:val="superscript"/>
              </w:rPr>
              <w:t>***</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before="46"/>
              <w:ind w:left="945" w:right="274" w:hanging="27"/>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w:t>
            </w:r>
            <w:r>
              <w:rPr>
                <w:spacing w:val="-3"/>
                <w:sz w:val="20"/>
              </w:rPr>
              <w:t> </w:t>
            </w:r>
            <w:r>
              <w:rPr>
                <w:sz w:val="20"/>
              </w:rPr>
              <w:t>дней</w:t>
            </w:r>
            <w:r>
              <w:rPr>
                <w:spacing w:val="-5"/>
                <w:sz w:val="20"/>
              </w:rPr>
              <w:t> </w:t>
            </w:r>
            <w:r>
              <w:rPr>
                <w:spacing w:val="-2"/>
                <w:sz w:val="20"/>
              </w:rPr>
              <w:t>включительно</w:t>
            </w:r>
          </w:p>
        </w:tc>
        <w:tc>
          <w:tcPr>
            <w:tcW w:w="784" w:type="dxa"/>
          </w:tcPr>
          <w:p>
            <w:pPr>
              <w:pStyle w:val="TableParagraph"/>
              <w:spacing w:before="46"/>
              <w:ind w:right="53"/>
              <w:jc w:val="right"/>
              <w:rPr>
                <w:sz w:val="20"/>
              </w:rPr>
            </w:pPr>
            <w:r>
              <w:rPr>
                <w:spacing w:val="-4"/>
                <w:sz w:val="20"/>
              </w:rPr>
              <w:t>2,85</w:t>
            </w:r>
          </w:p>
        </w:tc>
      </w:tr>
      <w:tr>
        <w:trPr>
          <w:trHeight w:val="1250" w:hRule="atLeast"/>
        </w:trPr>
        <w:tc>
          <w:tcPr>
            <w:tcW w:w="946" w:type="dxa"/>
          </w:tcPr>
          <w:p>
            <w:pPr>
              <w:pStyle w:val="TableParagraph"/>
              <w:spacing w:before="46"/>
              <w:ind w:left="50"/>
              <w:rPr>
                <w:sz w:val="20"/>
              </w:rPr>
            </w:pPr>
            <w:r>
              <w:rPr>
                <w:spacing w:val="-2"/>
                <w:sz w:val="20"/>
              </w:rPr>
              <w:t>st19.093</w:t>
            </w:r>
          </w:p>
        </w:tc>
        <w:tc>
          <w:tcPr>
            <w:tcW w:w="707" w:type="dxa"/>
          </w:tcPr>
          <w:p>
            <w:pPr>
              <w:pStyle w:val="TableParagraph"/>
              <w:spacing w:before="46"/>
              <w:ind w:left="210"/>
              <w:rPr>
                <w:sz w:val="20"/>
              </w:rPr>
            </w:pPr>
            <w:r>
              <w:rPr>
                <w:spacing w:val="-5"/>
                <w:sz w:val="20"/>
              </w:rPr>
              <w:t>192</w:t>
            </w:r>
          </w:p>
        </w:tc>
        <w:tc>
          <w:tcPr>
            <w:tcW w:w="3119" w:type="dxa"/>
          </w:tcPr>
          <w:p>
            <w:pPr>
              <w:pStyle w:val="TableParagraph"/>
              <w:spacing w:before="46"/>
              <w:ind w:left="192" w:right="531"/>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4)</w:t>
            </w:r>
            <w:r>
              <w:rPr>
                <w:sz w:val="20"/>
                <w:vertAlign w:val="superscript"/>
              </w:rPr>
              <w:t>***</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before="46"/>
              <w:ind w:left="945" w:right="274" w:hanging="27"/>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w:t>
            </w:r>
            <w:r>
              <w:rPr>
                <w:spacing w:val="-3"/>
                <w:sz w:val="20"/>
              </w:rPr>
              <w:t> </w:t>
            </w:r>
            <w:r>
              <w:rPr>
                <w:sz w:val="20"/>
              </w:rPr>
              <w:t>дней</w:t>
            </w:r>
            <w:r>
              <w:rPr>
                <w:spacing w:val="-5"/>
                <w:sz w:val="20"/>
              </w:rPr>
              <w:t> </w:t>
            </w:r>
            <w:r>
              <w:rPr>
                <w:spacing w:val="-2"/>
                <w:sz w:val="20"/>
              </w:rPr>
              <w:t>включительно</w:t>
            </w:r>
          </w:p>
        </w:tc>
        <w:tc>
          <w:tcPr>
            <w:tcW w:w="784" w:type="dxa"/>
          </w:tcPr>
          <w:p>
            <w:pPr>
              <w:pStyle w:val="TableParagraph"/>
              <w:spacing w:before="46"/>
              <w:ind w:right="53"/>
              <w:jc w:val="right"/>
              <w:rPr>
                <w:sz w:val="20"/>
              </w:rPr>
            </w:pPr>
            <w:r>
              <w:rPr>
                <w:spacing w:val="-4"/>
                <w:sz w:val="20"/>
              </w:rPr>
              <w:t>4,87</w:t>
            </w:r>
          </w:p>
        </w:tc>
      </w:tr>
      <w:tr>
        <w:trPr>
          <w:trHeight w:val="1369" w:hRule="atLeast"/>
        </w:trPr>
        <w:tc>
          <w:tcPr>
            <w:tcW w:w="946" w:type="dxa"/>
          </w:tcPr>
          <w:p>
            <w:pPr>
              <w:pStyle w:val="TableParagraph"/>
              <w:spacing w:before="46"/>
              <w:ind w:left="50"/>
              <w:rPr>
                <w:sz w:val="20"/>
              </w:rPr>
            </w:pPr>
            <w:r>
              <w:rPr>
                <w:spacing w:val="-2"/>
                <w:sz w:val="20"/>
              </w:rPr>
              <w:t>st19.094</w:t>
            </w:r>
          </w:p>
        </w:tc>
        <w:tc>
          <w:tcPr>
            <w:tcW w:w="707" w:type="dxa"/>
          </w:tcPr>
          <w:p>
            <w:pPr>
              <w:pStyle w:val="TableParagraph"/>
              <w:spacing w:before="46"/>
              <w:ind w:left="210"/>
              <w:rPr>
                <w:sz w:val="20"/>
              </w:rPr>
            </w:pPr>
            <w:r>
              <w:rPr>
                <w:spacing w:val="-5"/>
                <w:sz w:val="20"/>
              </w:rPr>
              <w:t>193</w:t>
            </w:r>
          </w:p>
        </w:tc>
        <w:tc>
          <w:tcPr>
            <w:tcW w:w="3119" w:type="dxa"/>
          </w:tcPr>
          <w:p>
            <w:pPr>
              <w:pStyle w:val="TableParagraph"/>
              <w:spacing w:before="46"/>
              <w:ind w:left="192" w:right="920"/>
              <w:rPr>
                <w:sz w:val="20"/>
              </w:rPr>
            </w:pPr>
            <w:r>
              <w:rPr>
                <w:sz w:val="20"/>
              </w:rPr>
              <w:t>ЗНО лимфоидной и кроветворной тканей, лекарственная</w:t>
            </w:r>
            <w:r>
              <w:rPr>
                <w:spacing w:val="-13"/>
                <w:sz w:val="20"/>
              </w:rPr>
              <w:t> </w:t>
            </w:r>
            <w:r>
              <w:rPr>
                <w:sz w:val="20"/>
              </w:rPr>
              <w:t>терапия, взрослые (уровень 1)</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before="46"/>
              <w:ind w:left="919" w:right="383"/>
              <w:jc w:val="center"/>
              <w:rPr>
                <w:sz w:val="20"/>
              </w:rPr>
            </w:pPr>
            <w:r>
              <w:rPr>
                <w:sz w:val="20"/>
              </w:rPr>
              <w:t>Возрастная</w:t>
            </w:r>
            <w:r>
              <w:rPr>
                <w:spacing w:val="-13"/>
                <w:sz w:val="20"/>
              </w:rPr>
              <w:t> </w:t>
            </w:r>
            <w:r>
              <w:rPr>
                <w:sz w:val="20"/>
              </w:rPr>
              <w:t>группа: старше 18 лет</w:t>
            </w:r>
          </w:p>
          <w:p>
            <w:pPr>
              <w:pStyle w:val="TableParagraph"/>
              <w:spacing w:line="249" w:lineRule="auto" w:before="70"/>
              <w:ind w:left="919" w:right="382"/>
              <w:jc w:val="center"/>
              <w:rPr>
                <w:sz w:val="20"/>
              </w:rPr>
            </w:pPr>
            <w:r>
              <w:rPr>
                <w:sz w:val="20"/>
              </w:rPr>
              <w:t>Длительность:</w:t>
            </w:r>
            <w:r>
              <w:rPr>
                <w:spacing w:val="-13"/>
                <w:sz w:val="20"/>
              </w:rPr>
              <w:t> </w:t>
            </w:r>
            <w:r>
              <w:rPr>
                <w:sz w:val="20"/>
              </w:rPr>
              <w:t>До</w:t>
            </w:r>
            <w:r>
              <w:rPr>
                <w:spacing w:val="-12"/>
                <w:sz w:val="20"/>
              </w:rPr>
              <w:t> </w:t>
            </w:r>
            <w:r>
              <w:rPr>
                <w:sz w:val="20"/>
              </w:rPr>
              <w:t>трех дней, от 4 до 10 дней </w:t>
            </w:r>
            <w:r>
              <w:rPr>
                <w:spacing w:val="-2"/>
                <w:sz w:val="20"/>
              </w:rPr>
              <w:t>включительно</w:t>
            </w:r>
          </w:p>
        </w:tc>
        <w:tc>
          <w:tcPr>
            <w:tcW w:w="784" w:type="dxa"/>
          </w:tcPr>
          <w:p>
            <w:pPr>
              <w:pStyle w:val="TableParagraph"/>
              <w:spacing w:before="46"/>
              <w:ind w:right="53"/>
              <w:jc w:val="right"/>
              <w:rPr>
                <w:sz w:val="20"/>
              </w:rPr>
            </w:pPr>
            <w:r>
              <w:rPr>
                <w:spacing w:val="-4"/>
                <w:sz w:val="20"/>
              </w:rPr>
              <w:t>1,46</w:t>
            </w:r>
          </w:p>
        </w:tc>
      </w:tr>
      <w:tr>
        <w:trPr>
          <w:trHeight w:val="819" w:hRule="atLeast"/>
        </w:trPr>
        <w:tc>
          <w:tcPr>
            <w:tcW w:w="946" w:type="dxa"/>
          </w:tcPr>
          <w:p>
            <w:pPr>
              <w:pStyle w:val="TableParagraph"/>
              <w:rPr>
                <w:sz w:val="18"/>
              </w:rPr>
            </w:pPr>
          </w:p>
        </w:tc>
        <w:tc>
          <w:tcPr>
            <w:tcW w:w="707" w:type="dxa"/>
          </w:tcPr>
          <w:p>
            <w:pPr>
              <w:pStyle w:val="TableParagraph"/>
              <w:rPr>
                <w:sz w:val="18"/>
              </w:rPr>
            </w:pPr>
          </w:p>
        </w:tc>
        <w:tc>
          <w:tcPr>
            <w:tcW w:w="3119" w:type="dxa"/>
          </w:tcPr>
          <w:p>
            <w:pPr>
              <w:pStyle w:val="TableParagraph"/>
              <w:rPr>
                <w:sz w:val="18"/>
              </w:rPr>
            </w:pPr>
          </w:p>
        </w:tc>
        <w:tc>
          <w:tcPr>
            <w:tcW w:w="3923" w:type="dxa"/>
          </w:tcPr>
          <w:p>
            <w:pPr>
              <w:pStyle w:val="TableParagraph"/>
              <w:rPr>
                <w:sz w:val="18"/>
              </w:rPr>
            </w:pPr>
          </w:p>
        </w:tc>
        <w:tc>
          <w:tcPr>
            <w:tcW w:w="2517" w:type="dxa"/>
          </w:tcPr>
          <w:p>
            <w:pPr>
              <w:pStyle w:val="TableParagraph"/>
              <w:rPr>
                <w:sz w:val="18"/>
              </w:rPr>
            </w:pPr>
          </w:p>
        </w:tc>
        <w:tc>
          <w:tcPr>
            <w:tcW w:w="3283" w:type="dxa"/>
          </w:tcPr>
          <w:p>
            <w:pPr>
              <w:pStyle w:val="TableParagraph"/>
              <w:spacing w:before="76"/>
              <w:ind w:left="1029" w:right="492" w:hanging="2"/>
              <w:jc w:val="center"/>
              <w:rPr>
                <w:sz w:val="20"/>
              </w:rPr>
            </w:pPr>
            <w:r>
              <w:rPr>
                <w:spacing w:val="-4"/>
                <w:sz w:val="20"/>
              </w:rPr>
              <w:t>Иной </w:t>
            </w:r>
            <w:r>
              <w:rPr>
                <w:spacing w:val="-2"/>
                <w:sz w:val="20"/>
              </w:rPr>
              <w:t>классификационный </w:t>
            </w:r>
            <w:r>
              <w:rPr>
                <w:sz w:val="20"/>
              </w:rPr>
              <w:t>критерий: gem</w:t>
            </w:r>
          </w:p>
        </w:tc>
        <w:tc>
          <w:tcPr>
            <w:tcW w:w="784" w:type="dxa"/>
          </w:tcPr>
          <w:p>
            <w:pPr>
              <w:pStyle w:val="TableParagraph"/>
              <w:rPr>
                <w:sz w:val="18"/>
              </w:rPr>
            </w:pPr>
          </w:p>
        </w:tc>
      </w:tr>
      <w:tr>
        <w:trPr>
          <w:trHeight w:val="1225" w:hRule="atLeast"/>
        </w:trPr>
        <w:tc>
          <w:tcPr>
            <w:tcW w:w="946" w:type="dxa"/>
          </w:tcPr>
          <w:p>
            <w:pPr>
              <w:pStyle w:val="TableParagraph"/>
              <w:spacing w:before="46"/>
              <w:ind w:left="50"/>
              <w:rPr>
                <w:sz w:val="20"/>
              </w:rPr>
            </w:pPr>
            <w:r>
              <w:rPr>
                <w:spacing w:val="-2"/>
                <w:sz w:val="20"/>
              </w:rPr>
              <w:t>st19.095</w:t>
            </w:r>
          </w:p>
        </w:tc>
        <w:tc>
          <w:tcPr>
            <w:tcW w:w="707" w:type="dxa"/>
          </w:tcPr>
          <w:p>
            <w:pPr>
              <w:pStyle w:val="TableParagraph"/>
              <w:spacing w:before="46"/>
              <w:ind w:left="210"/>
              <w:rPr>
                <w:sz w:val="20"/>
              </w:rPr>
            </w:pPr>
            <w:r>
              <w:rPr>
                <w:spacing w:val="-5"/>
                <w:sz w:val="20"/>
              </w:rPr>
              <w:t>194</w:t>
            </w:r>
          </w:p>
        </w:tc>
        <w:tc>
          <w:tcPr>
            <w:tcW w:w="3119" w:type="dxa"/>
          </w:tcPr>
          <w:p>
            <w:pPr>
              <w:pStyle w:val="TableParagraph"/>
              <w:spacing w:before="46"/>
              <w:ind w:left="192" w:right="920"/>
              <w:rPr>
                <w:sz w:val="20"/>
              </w:rPr>
            </w:pPr>
            <w:r>
              <w:rPr>
                <w:sz w:val="20"/>
              </w:rPr>
              <w:t>ЗНО лимфоидной и кроветворной тканей, лекарственная</w:t>
            </w:r>
            <w:r>
              <w:rPr>
                <w:spacing w:val="-13"/>
                <w:sz w:val="20"/>
              </w:rPr>
              <w:t> </w:t>
            </w:r>
            <w:r>
              <w:rPr>
                <w:sz w:val="20"/>
              </w:rPr>
              <w:t>терапия, взрослые (уровень 2)</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line="252" w:lineRule="auto" w:before="58"/>
              <w:ind w:left="919" w:right="383"/>
              <w:jc w:val="center"/>
              <w:rPr>
                <w:sz w:val="20"/>
              </w:rPr>
            </w:pPr>
            <w:r>
              <w:rPr>
                <w:sz w:val="20"/>
              </w:rPr>
              <w:t>Возрастная</w:t>
            </w:r>
            <w:r>
              <w:rPr>
                <w:spacing w:val="-13"/>
                <w:sz w:val="20"/>
              </w:rPr>
              <w:t> </w:t>
            </w:r>
            <w:r>
              <w:rPr>
                <w:sz w:val="20"/>
              </w:rPr>
              <w:t>группа: старше 18 лет</w:t>
            </w:r>
          </w:p>
          <w:p>
            <w:pPr>
              <w:pStyle w:val="TableParagraph"/>
              <w:spacing w:before="105"/>
              <w:ind w:left="919" w:right="383"/>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784" w:type="dxa"/>
          </w:tcPr>
          <w:p>
            <w:pPr>
              <w:pStyle w:val="TableParagraph"/>
              <w:spacing w:before="46"/>
              <w:ind w:right="53"/>
              <w:jc w:val="right"/>
              <w:rPr>
                <w:sz w:val="20"/>
              </w:rPr>
            </w:pPr>
            <w:r>
              <w:rPr>
                <w:spacing w:val="-4"/>
                <w:sz w:val="20"/>
              </w:rPr>
              <w:t>3,65</w:t>
            </w:r>
          </w:p>
        </w:tc>
      </w:tr>
      <w:tr>
        <w:trPr>
          <w:trHeight w:val="800" w:hRule="atLeast"/>
        </w:trPr>
        <w:tc>
          <w:tcPr>
            <w:tcW w:w="946" w:type="dxa"/>
          </w:tcPr>
          <w:p>
            <w:pPr>
              <w:pStyle w:val="TableParagraph"/>
              <w:rPr>
                <w:sz w:val="18"/>
              </w:rPr>
            </w:pPr>
          </w:p>
        </w:tc>
        <w:tc>
          <w:tcPr>
            <w:tcW w:w="707" w:type="dxa"/>
          </w:tcPr>
          <w:p>
            <w:pPr>
              <w:pStyle w:val="TableParagraph"/>
              <w:rPr>
                <w:sz w:val="18"/>
              </w:rPr>
            </w:pPr>
          </w:p>
        </w:tc>
        <w:tc>
          <w:tcPr>
            <w:tcW w:w="3119" w:type="dxa"/>
          </w:tcPr>
          <w:p>
            <w:pPr>
              <w:pStyle w:val="TableParagraph"/>
              <w:rPr>
                <w:sz w:val="18"/>
              </w:rPr>
            </w:pPr>
          </w:p>
        </w:tc>
        <w:tc>
          <w:tcPr>
            <w:tcW w:w="3923" w:type="dxa"/>
          </w:tcPr>
          <w:p>
            <w:pPr>
              <w:pStyle w:val="TableParagraph"/>
              <w:rPr>
                <w:sz w:val="18"/>
              </w:rPr>
            </w:pPr>
          </w:p>
        </w:tc>
        <w:tc>
          <w:tcPr>
            <w:tcW w:w="2517" w:type="dxa"/>
          </w:tcPr>
          <w:p>
            <w:pPr>
              <w:pStyle w:val="TableParagraph"/>
              <w:rPr>
                <w:sz w:val="18"/>
              </w:rPr>
            </w:pPr>
          </w:p>
        </w:tc>
        <w:tc>
          <w:tcPr>
            <w:tcW w:w="3283" w:type="dxa"/>
          </w:tcPr>
          <w:p>
            <w:pPr>
              <w:pStyle w:val="TableParagraph"/>
              <w:spacing w:line="230" w:lineRule="atLeast" w:before="90"/>
              <w:ind w:left="1029" w:right="492" w:hanging="2"/>
              <w:jc w:val="center"/>
              <w:rPr>
                <w:sz w:val="20"/>
              </w:rPr>
            </w:pPr>
            <w:r>
              <w:rPr>
                <w:spacing w:val="-4"/>
                <w:sz w:val="20"/>
              </w:rPr>
              <w:t>Иной </w:t>
            </w:r>
            <w:r>
              <w:rPr>
                <w:spacing w:val="-2"/>
                <w:sz w:val="20"/>
              </w:rPr>
              <w:t>классификационный </w:t>
            </w:r>
            <w:r>
              <w:rPr>
                <w:sz w:val="20"/>
              </w:rPr>
              <w:t>критерий: gem</w:t>
            </w:r>
          </w:p>
        </w:tc>
        <w:tc>
          <w:tcPr>
            <w:tcW w:w="784"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55"/>
        <w:gridCol w:w="3885"/>
        <w:gridCol w:w="2516"/>
        <w:gridCol w:w="3282"/>
        <w:gridCol w:w="783"/>
      </w:tblGrid>
      <w:tr>
        <w:trPr>
          <w:trHeight w:val="2114" w:hRule="atLeast"/>
        </w:trPr>
        <w:tc>
          <w:tcPr>
            <w:tcW w:w="946" w:type="dxa"/>
          </w:tcPr>
          <w:p>
            <w:pPr>
              <w:pStyle w:val="TableParagraph"/>
              <w:spacing w:line="221" w:lineRule="exact"/>
              <w:ind w:left="50"/>
              <w:rPr>
                <w:sz w:val="20"/>
              </w:rPr>
            </w:pPr>
            <w:r>
              <w:rPr>
                <w:spacing w:val="-2"/>
                <w:sz w:val="20"/>
              </w:rPr>
              <w:t>st19.096</w:t>
            </w:r>
          </w:p>
        </w:tc>
        <w:tc>
          <w:tcPr>
            <w:tcW w:w="707" w:type="dxa"/>
          </w:tcPr>
          <w:p>
            <w:pPr>
              <w:pStyle w:val="TableParagraph"/>
              <w:spacing w:line="221" w:lineRule="exact"/>
              <w:ind w:left="210"/>
              <w:rPr>
                <w:sz w:val="20"/>
              </w:rPr>
            </w:pPr>
            <w:r>
              <w:rPr>
                <w:spacing w:val="-5"/>
                <w:sz w:val="20"/>
              </w:rPr>
              <w:t>195</w:t>
            </w:r>
          </w:p>
        </w:tc>
        <w:tc>
          <w:tcPr>
            <w:tcW w:w="3155" w:type="dxa"/>
          </w:tcPr>
          <w:p>
            <w:pPr>
              <w:pStyle w:val="TableParagraph"/>
              <w:ind w:left="192" w:right="956"/>
              <w:rPr>
                <w:sz w:val="20"/>
              </w:rPr>
            </w:pPr>
            <w:r>
              <w:rPr>
                <w:sz w:val="20"/>
              </w:rPr>
              <w:t>ЗНО лимфоидной и кроветворной тканей, лекарственная</w:t>
            </w:r>
            <w:r>
              <w:rPr>
                <w:spacing w:val="-13"/>
                <w:sz w:val="20"/>
              </w:rPr>
              <w:t> </w:t>
            </w:r>
            <w:r>
              <w:rPr>
                <w:sz w:val="20"/>
              </w:rPr>
              <w:t>терапия, взрослые (уровень 3)</w:t>
            </w:r>
          </w:p>
        </w:tc>
        <w:tc>
          <w:tcPr>
            <w:tcW w:w="3885" w:type="dxa"/>
          </w:tcPr>
          <w:p>
            <w:pPr>
              <w:pStyle w:val="TableParagraph"/>
              <w:spacing w:line="221" w:lineRule="exact"/>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line="221" w:lineRule="exact"/>
              <w:ind w:right="920"/>
              <w:jc w:val="right"/>
              <w:rPr>
                <w:sz w:val="20"/>
              </w:rPr>
            </w:pPr>
            <w:r>
              <w:rPr>
                <w:w w:val="99"/>
                <w:sz w:val="20"/>
              </w:rPr>
              <w:t>-</w:t>
            </w:r>
          </w:p>
        </w:tc>
        <w:tc>
          <w:tcPr>
            <w:tcW w:w="3282" w:type="dxa"/>
          </w:tcPr>
          <w:p>
            <w:pPr>
              <w:pStyle w:val="TableParagraph"/>
              <w:ind w:left="920" w:right="377"/>
              <w:jc w:val="center"/>
              <w:rPr>
                <w:sz w:val="20"/>
              </w:rPr>
            </w:pPr>
            <w:r>
              <w:rPr>
                <w:sz w:val="20"/>
              </w:rPr>
              <w:t>Возрастная</w:t>
            </w:r>
            <w:r>
              <w:rPr>
                <w:spacing w:val="-13"/>
                <w:sz w:val="20"/>
              </w:rPr>
              <w:t> </w:t>
            </w:r>
            <w:r>
              <w:rPr>
                <w:sz w:val="20"/>
              </w:rPr>
              <w:t>группа: старше 18 лет</w:t>
            </w:r>
          </w:p>
          <w:p>
            <w:pPr>
              <w:pStyle w:val="TableParagraph"/>
              <w:spacing w:before="1"/>
              <w:rPr>
                <w:sz w:val="19"/>
              </w:rPr>
            </w:pPr>
          </w:p>
          <w:p>
            <w:pPr>
              <w:pStyle w:val="TableParagraph"/>
              <w:ind w:left="920" w:right="377"/>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p>
            <w:pPr>
              <w:pStyle w:val="TableParagraph"/>
              <w:spacing w:before="1"/>
              <w:rPr>
                <w:sz w:val="20"/>
              </w:rPr>
            </w:pPr>
          </w:p>
          <w:p>
            <w:pPr>
              <w:pStyle w:val="TableParagraph"/>
              <w:ind w:left="1032" w:right="488" w:hanging="2"/>
              <w:jc w:val="center"/>
              <w:rPr>
                <w:sz w:val="20"/>
              </w:rPr>
            </w:pPr>
            <w:r>
              <w:rPr>
                <w:spacing w:val="-4"/>
                <w:sz w:val="20"/>
              </w:rPr>
              <w:t>Иной </w:t>
            </w:r>
            <w:r>
              <w:rPr>
                <w:spacing w:val="-2"/>
                <w:sz w:val="20"/>
              </w:rPr>
              <w:t>классификационный </w:t>
            </w:r>
            <w:r>
              <w:rPr>
                <w:sz w:val="20"/>
              </w:rPr>
              <w:t>критерий: gem</w:t>
            </w:r>
          </w:p>
        </w:tc>
        <w:tc>
          <w:tcPr>
            <w:tcW w:w="783" w:type="dxa"/>
          </w:tcPr>
          <w:p>
            <w:pPr>
              <w:pStyle w:val="TableParagraph"/>
              <w:spacing w:line="221" w:lineRule="exact"/>
              <w:ind w:right="48"/>
              <w:jc w:val="right"/>
              <w:rPr>
                <w:sz w:val="20"/>
              </w:rPr>
            </w:pPr>
            <w:r>
              <w:rPr>
                <w:spacing w:val="-4"/>
                <w:sz w:val="20"/>
              </w:rPr>
              <w:t>7,18</w:t>
            </w:r>
          </w:p>
        </w:tc>
      </w:tr>
      <w:tr>
        <w:trPr>
          <w:trHeight w:val="2630" w:hRule="atLeast"/>
        </w:trPr>
        <w:tc>
          <w:tcPr>
            <w:tcW w:w="946" w:type="dxa"/>
          </w:tcPr>
          <w:p>
            <w:pPr>
              <w:pStyle w:val="TableParagraph"/>
              <w:spacing w:before="46"/>
              <w:ind w:left="50"/>
              <w:rPr>
                <w:sz w:val="20"/>
              </w:rPr>
            </w:pPr>
            <w:r>
              <w:rPr>
                <w:spacing w:val="-2"/>
                <w:sz w:val="20"/>
              </w:rPr>
              <w:t>st19.097</w:t>
            </w:r>
          </w:p>
        </w:tc>
        <w:tc>
          <w:tcPr>
            <w:tcW w:w="707" w:type="dxa"/>
          </w:tcPr>
          <w:p>
            <w:pPr>
              <w:pStyle w:val="TableParagraph"/>
              <w:spacing w:before="46"/>
              <w:ind w:left="210"/>
              <w:rPr>
                <w:sz w:val="20"/>
              </w:rPr>
            </w:pPr>
            <w:r>
              <w:rPr>
                <w:spacing w:val="-5"/>
                <w:sz w:val="20"/>
              </w:rPr>
              <w:t>196</w:t>
            </w:r>
          </w:p>
        </w:tc>
        <w:tc>
          <w:tcPr>
            <w:tcW w:w="3155" w:type="dxa"/>
          </w:tcPr>
          <w:p>
            <w:pPr>
              <w:pStyle w:val="TableParagraph"/>
              <w:spacing w:before="46"/>
              <w:ind w:left="192"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1)</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0"/>
              <w:jc w:val="right"/>
              <w:rPr>
                <w:sz w:val="20"/>
              </w:rPr>
            </w:pPr>
            <w:r>
              <w:rPr>
                <w:w w:val="99"/>
                <w:sz w:val="20"/>
              </w:rPr>
              <w:t>-</w:t>
            </w:r>
          </w:p>
        </w:tc>
        <w:tc>
          <w:tcPr>
            <w:tcW w:w="3282" w:type="dxa"/>
          </w:tcPr>
          <w:p>
            <w:pPr>
              <w:pStyle w:val="TableParagraph"/>
              <w:spacing w:before="46"/>
              <w:ind w:left="920" w:right="377"/>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1" w:right="377"/>
              <w:jc w:val="center"/>
              <w:rPr>
                <w:sz w:val="20"/>
              </w:rPr>
            </w:pPr>
            <w:r>
              <w:rPr>
                <w:sz w:val="20"/>
              </w:rPr>
              <w:t>Длительность:</w:t>
            </w:r>
            <w:r>
              <w:rPr>
                <w:spacing w:val="-13"/>
                <w:sz w:val="20"/>
              </w:rPr>
              <w:t> </w:t>
            </w:r>
            <w:r>
              <w:rPr>
                <w:sz w:val="20"/>
              </w:rPr>
              <w:t>До</w:t>
            </w:r>
            <w:r>
              <w:rPr>
                <w:spacing w:val="-12"/>
                <w:sz w:val="20"/>
              </w:rPr>
              <w:t> </w:t>
            </w:r>
            <w:r>
              <w:rPr>
                <w:sz w:val="20"/>
              </w:rPr>
              <w:t>трех дней, от 4 до 10 дней </w:t>
            </w:r>
            <w:r>
              <w:rPr>
                <w:spacing w:val="-2"/>
                <w:sz w:val="20"/>
              </w:rPr>
              <w:t>включительно</w:t>
            </w:r>
          </w:p>
          <w:p>
            <w:pPr>
              <w:pStyle w:val="TableParagraph"/>
              <w:spacing w:before="2"/>
              <w:rPr>
                <w:sz w:val="20"/>
              </w:rPr>
            </w:pPr>
          </w:p>
          <w:p>
            <w:pPr>
              <w:pStyle w:val="TableParagraph"/>
              <w:ind w:left="1032" w:right="488" w:hanging="2"/>
              <w:jc w:val="center"/>
              <w:rPr>
                <w:sz w:val="20"/>
              </w:rPr>
            </w:pPr>
            <w:r>
              <w:rPr>
                <w:spacing w:val="-4"/>
                <w:sz w:val="20"/>
              </w:rPr>
              <w:t>Иной </w:t>
            </w:r>
            <w:r>
              <w:rPr>
                <w:spacing w:val="-2"/>
                <w:sz w:val="20"/>
              </w:rPr>
              <w:t>классификационный </w:t>
            </w:r>
            <w:r>
              <w:rPr>
                <w:sz w:val="20"/>
              </w:rPr>
              <w:t>критерий: gemop8, gemop17, gemop20</w:t>
            </w:r>
          </w:p>
        </w:tc>
        <w:tc>
          <w:tcPr>
            <w:tcW w:w="783" w:type="dxa"/>
          </w:tcPr>
          <w:p>
            <w:pPr>
              <w:pStyle w:val="TableParagraph"/>
              <w:spacing w:before="46"/>
              <w:ind w:right="48"/>
              <w:jc w:val="right"/>
              <w:rPr>
                <w:sz w:val="20"/>
              </w:rPr>
            </w:pPr>
            <w:r>
              <w:rPr>
                <w:spacing w:val="-4"/>
                <w:sz w:val="20"/>
              </w:rPr>
              <w:t>3,52</w:t>
            </w:r>
          </w:p>
        </w:tc>
      </w:tr>
      <w:tr>
        <w:trPr>
          <w:trHeight w:val="2400" w:hRule="atLeast"/>
        </w:trPr>
        <w:tc>
          <w:tcPr>
            <w:tcW w:w="946" w:type="dxa"/>
          </w:tcPr>
          <w:p>
            <w:pPr>
              <w:pStyle w:val="TableParagraph"/>
              <w:spacing w:before="46"/>
              <w:ind w:left="50"/>
              <w:rPr>
                <w:sz w:val="20"/>
              </w:rPr>
            </w:pPr>
            <w:r>
              <w:rPr>
                <w:spacing w:val="-2"/>
                <w:sz w:val="20"/>
              </w:rPr>
              <w:t>st19.098</w:t>
            </w:r>
          </w:p>
        </w:tc>
        <w:tc>
          <w:tcPr>
            <w:tcW w:w="707" w:type="dxa"/>
          </w:tcPr>
          <w:p>
            <w:pPr>
              <w:pStyle w:val="TableParagraph"/>
              <w:spacing w:before="46"/>
              <w:ind w:left="210"/>
              <w:rPr>
                <w:sz w:val="20"/>
              </w:rPr>
            </w:pPr>
            <w:r>
              <w:rPr>
                <w:spacing w:val="-5"/>
                <w:sz w:val="20"/>
              </w:rPr>
              <w:t>197</w:t>
            </w:r>
          </w:p>
        </w:tc>
        <w:tc>
          <w:tcPr>
            <w:tcW w:w="3155" w:type="dxa"/>
          </w:tcPr>
          <w:p>
            <w:pPr>
              <w:pStyle w:val="TableParagraph"/>
              <w:spacing w:before="46"/>
              <w:ind w:left="192"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2)</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0"/>
              <w:jc w:val="right"/>
              <w:rPr>
                <w:sz w:val="20"/>
              </w:rPr>
            </w:pPr>
            <w:r>
              <w:rPr>
                <w:w w:val="99"/>
                <w:sz w:val="20"/>
              </w:rPr>
              <w:t>-</w:t>
            </w:r>
          </w:p>
        </w:tc>
        <w:tc>
          <w:tcPr>
            <w:tcW w:w="3282" w:type="dxa"/>
          </w:tcPr>
          <w:p>
            <w:pPr>
              <w:pStyle w:val="TableParagraph"/>
              <w:spacing w:before="46"/>
              <w:ind w:left="922" w:right="377"/>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0" w:right="377"/>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p>
            <w:pPr>
              <w:pStyle w:val="TableParagraph"/>
              <w:spacing w:before="1"/>
              <w:rPr>
                <w:sz w:val="20"/>
              </w:rPr>
            </w:pPr>
          </w:p>
          <w:p>
            <w:pPr>
              <w:pStyle w:val="TableParagraph"/>
              <w:ind w:left="1032" w:right="488" w:hanging="2"/>
              <w:jc w:val="center"/>
              <w:rPr>
                <w:sz w:val="20"/>
              </w:rPr>
            </w:pPr>
            <w:r>
              <w:rPr>
                <w:spacing w:val="-4"/>
                <w:sz w:val="20"/>
              </w:rPr>
              <w:t>Иной </w:t>
            </w:r>
            <w:r>
              <w:rPr>
                <w:spacing w:val="-2"/>
                <w:sz w:val="20"/>
              </w:rPr>
              <w:t>классификационный </w:t>
            </w:r>
            <w:r>
              <w:rPr>
                <w:sz w:val="20"/>
              </w:rPr>
              <w:t>критерий: gemop8, gemop17, gemop20</w:t>
            </w:r>
          </w:p>
        </w:tc>
        <w:tc>
          <w:tcPr>
            <w:tcW w:w="783" w:type="dxa"/>
          </w:tcPr>
          <w:p>
            <w:pPr>
              <w:pStyle w:val="TableParagraph"/>
              <w:spacing w:before="46"/>
              <w:ind w:right="48"/>
              <w:jc w:val="right"/>
              <w:rPr>
                <w:sz w:val="20"/>
              </w:rPr>
            </w:pPr>
            <w:r>
              <w:rPr>
                <w:spacing w:val="-4"/>
                <w:sz w:val="20"/>
              </w:rPr>
              <w:t>5,79</w:t>
            </w:r>
          </w:p>
        </w:tc>
      </w:tr>
      <w:tr>
        <w:trPr>
          <w:trHeight w:val="1425" w:hRule="atLeast"/>
        </w:trPr>
        <w:tc>
          <w:tcPr>
            <w:tcW w:w="946" w:type="dxa"/>
          </w:tcPr>
          <w:p>
            <w:pPr>
              <w:pStyle w:val="TableParagraph"/>
              <w:spacing w:before="46"/>
              <w:ind w:left="50"/>
              <w:rPr>
                <w:sz w:val="20"/>
              </w:rPr>
            </w:pPr>
            <w:r>
              <w:rPr>
                <w:spacing w:val="-2"/>
                <w:sz w:val="20"/>
              </w:rPr>
              <w:t>st19.099</w:t>
            </w:r>
          </w:p>
        </w:tc>
        <w:tc>
          <w:tcPr>
            <w:tcW w:w="707" w:type="dxa"/>
          </w:tcPr>
          <w:p>
            <w:pPr>
              <w:pStyle w:val="TableParagraph"/>
              <w:spacing w:before="46"/>
              <w:ind w:left="210"/>
              <w:rPr>
                <w:sz w:val="20"/>
              </w:rPr>
            </w:pPr>
            <w:r>
              <w:rPr>
                <w:spacing w:val="-5"/>
                <w:sz w:val="20"/>
              </w:rPr>
              <w:t>198</w:t>
            </w:r>
          </w:p>
        </w:tc>
        <w:tc>
          <w:tcPr>
            <w:tcW w:w="3155" w:type="dxa"/>
          </w:tcPr>
          <w:p>
            <w:pPr>
              <w:pStyle w:val="TableParagraph"/>
              <w:spacing w:before="46"/>
              <w:ind w:left="192"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0"/>
              <w:jc w:val="right"/>
              <w:rPr>
                <w:sz w:val="20"/>
              </w:rPr>
            </w:pPr>
            <w:r>
              <w:rPr>
                <w:w w:val="99"/>
                <w:sz w:val="20"/>
              </w:rPr>
              <w:t>-</w:t>
            </w:r>
          </w:p>
        </w:tc>
        <w:tc>
          <w:tcPr>
            <w:tcW w:w="3282" w:type="dxa"/>
          </w:tcPr>
          <w:p>
            <w:pPr>
              <w:pStyle w:val="TableParagraph"/>
              <w:spacing w:before="46"/>
              <w:ind w:left="920" w:right="377"/>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0" w:right="377"/>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783" w:type="dxa"/>
          </w:tcPr>
          <w:p>
            <w:pPr>
              <w:pStyle w:val="TableParagraph"/>
              <w:spacing w:before="46"/>
              <w:ind w:right="48"/>
              <w:jc w:val="right"/>
              <w:rPr>
                <w:sz w:val="20"/>
              </w:rPr>
            </w:pPr>
            <w:r>
              <w:rPr>
                <w:spacing w:val="-4"/>
                <w:sz w:val="20"/>
              </w:rPr>
              <w:t>9,00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56"/>
        <w:gridCol w:w="3885"/>
        <w:gridCol w:w="2516"/>
        <w:gridCol w:w="3257"/>
        <w:gridCol w:w="858"/>
      </w:tblGrid>
      <w:tr>
        <w:trPr>
          <w:trHeight w:val="964" w:hRule="atLeast"/>
        </w:trPr>
        <w:tc>
          <w:tcPr>
            <w:tcW w:w="946" w:type="dxa"/>
          </w:tcPr>
          <w:p>
            <w:pPr>
              <w:pStyle w:val="TableParagraph"/>
              <w:rPr>
                <w:sz w:val="18"/>
              </w:rPr>
            </w:pPr>
          </w:p>
        </w:tc>
        <w:tc>
          <w:tcPr>
            <w:tcW w:w="707" w:type="dxa"/>
          </w:tcPr>
          <w:p>
            <w:pPr>
              <w:pStyle w:val="TableParagraph"/>
              <w:rPr>
                <w:sz w:val="18"/>
              </w:rPr>
            </w:pPr>
          </w:p>
        </w:tc>
        <w:tc>
          <w:tcPr>
            <w:tcW w:w="3156"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1" w:right="464" w:hanging="2"/>
              <w:jc w:val="center"/>
              <w:rPr>
                <w:sz w:val="20"/>
              </w:rPr>
            </w:pPr>
            <w:r>
              <w:rPr>
                <w:spacing w:val="-4"/>
                <w:sz w:val="20"/>
              </w:rPr>
              <w:t>Иной </w:t>
            </w:r>
            <w:r>
              <w:rPr>
                <w:spacing w:val="-2"/>
                <w:sz w:val="20"/>
              </w:rPr>
              <w:t>классификационный </w:t>
            </w:r>
            <w:r>
              <w:rPr>
                <w:sz w:val="20"/>
              </w:rPr>
              <w:t>критерий: gemop8, gemop17, gemop20</w:t>
            </w:r>
          </w:p>
        </w:tc>
        <w:tc>
          <w:tcPr>
            <w:tcW w:w="858" w:type="dxa"/>
          </w:tcPr>
          <w:p>
            <w:pPr>
              <w:pStyle w:val="TableParagraph"/>
              <w:rPr>
                <w:sz w:val="18"/>
              </w:rPr>
            </w:pPr>
          </w:p>
        </w:tc>
      </w:tr>
      <w:tr>
        <w:trPr>
          <w:trHeight w:val="1546" w:hRule="atLeast"/>
        </w:trPr>
        <w:tc>
          <w:tcPr>
            <w:tcW w:w="946" w:type="dxa"/>
          </w:tcPr>
          <w:p>
            <w:pPr>
              <w:pStyle w:val="TableParagraph"/>
              <w:spacing w:before="46"/>
              <w:ind w:left="50"/>
              <w:rPr>
                <w:sz w:val="20"/>
              </w:rPr>
            </w:pPr>
            <w:r>
              <w:rPr>
                <w:spacing w:val="-2"/>
                <w:sz w:val="20"/>
              </w:rPr>
              <w:t>st19.100</w:t>
            </w:r>
          </w:p>
        </w:tc>
        <w:tc>
          <w:tcPr>
            <w:tcW w:w="707" w:type="dxa"/>
          </w:tcPr>
          <w:p>
            <w:pPr>
              <w:pStyle w:val="TableParagraph"/>
              <w:spacing w:before="46"/>
              <w:ind w:left="210"/>
              <w:rPr>
                <w:sz w:val="20"/>
              </w:rPr>
            </w:pPr>
            <w:r>
              <w:rPr>
                <w:spacing w:val="-5"/>
                <w:sz w:val="20"/>
              </w:rPr>
              <w:t>199</w:t>
            </w:r>
          </w:p>
        </w:tc>
        <w:tc>
          <w:tcPr>
            <w:tcW w:w="3156" w:type="dxa"/>
          </w:tcPr>
          <w:p>
            <w:pPr>
              <w:pStyle w:val="TableParagraph"/>
              <w:spacing w:before="46"/>
              <w:ind w:left="192" w:right="12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4)</w:t>
            </w:r>
          </w:p>
        </w:tc>
        <w:tc>
          <w:tcPr>
            <w:tcW w:w="3885" w:type="dxa"/>
          </w:tcPr>
          <w:p>
            <w:pPr>
              <w:pStyle w:val="TableParagraph"/>
              <w:spacing w:before="46"/>
              <w:ind w:left="769"/>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1"/>
              <w:jc w:val="right"/>
              <w:rPr>
                <w:sz w:val="20"/>
              </w:rPr>
            </w:pPr>
            <w:r>
              <w:rPr>
                <w:w w:val="99"/>
                <w:sz w:val="20"/>
              </w:rPr>
              <w:t>-</w:t>
            </w:r>
          </w:p>
        </w:tc>
        <w:tc>
          <w:tcPr>
            <w:tcW w:w="3257" w:type="dxa"/>
          </w:tcPr>
          <w:p>
            <w:pPr>
              <w:pStyle w:val="TableParagraph"/>
              <w:spacing w:before="46"/>
              <w:ind w:left="918" w:right="352"/>
              <w:jc w:val="center"/>
              <w:rPr>
                <w:sz w:val="20"/>
              </w:rPr>
            </w:pPr>
            <w:r>
              <w:rPr>
                <w:sz w:val="20"/>
              </w:rPr>
              <w:t>Возрастная</w:t>
            </w:r>
            <w:r>
              <w:rPr>
                <w:spacing w:val="-13"/>
                <w:sz w:val="20"/>
              </w:rPr>
              <w:t> </w:t>
            </w:r>
            <w:r>
              <w:rPr>
                <w:sz w:val="20"/>
              </w:rPr>
              <w:t>группа: старше 18 лет</w:t>
            </w:r>
          </w:p>
          <w:p>
            <w:pPr>
              <w:pStyle w:val="TableParagraph"/>
              <w:spacing w:before="11"/>
              <w:rPr>
                <w:sz w:val="19"/>
              </w:rPr>
            </w:pPr>
          </w:p>
          <w:p>
            <w:pPr>
              <w:pStyle w:val="TableParagraph"/>
              <w:ind w:left="919" w:right="352"/>
              <w:jc w:val="center"/>
              <w:rPr>
                <w:sz w:val="20"/>
              </w:rPr>
            </w:pPr>
            <w:r>
              <w:rPr>
                <w:sz w:val="20"/>
              </w:rPr>
              <w:t>Длительность:</w:t>
            </w:r>
            <w:r>
              <w:rPr>
                <w:spacing w:val="-13"/>
                <w:sz w:val="20"/>
              </w:rPr>
              <w:t> </w:t>
            </w:r>
            <w:r>
              <w:rPr>
                <w:sz w:val="20"/>
              </w:rPr>
              <w:t>До</w:t>
            </w:r>
            <w:r>
              <w:rPr>
                <w:spacing w:val="-12"/>
                <w:sz w:val="20"/>
              </w:rPr>
              <w:t> </w:t>
            </w:r>
            <w:r>
              <w:rPr>
                <w:sz w:val="20"/>
              </w:rPr>
              <w:t>трех дней, от 4 до 10 дней </w:t>
            </w:r>
            <w:r>
              <w:rPr>
                <w:spacing w:val="-2"/>
                <w:sz w:val="20"/>
              </w:rPr>
              <w:t>включительно</w:t>
            </w:r>
          </w:p>
        </w:tc>
        <w:tc>
          <w:tcPr>
            <w:tcW w:w="858" w:type="dxa"/>
          </w:tcPr>
          <w:p>
            <w:pPr>
              <w:pStyle w:val="TableParagraph"/>
              <w:spacing w:before="46"/>
              <w:ind w:right="49"/>
              <w:jc w:val="right"/>
              <w:rPr>
                <w:sz w:val="20"/>
              </w:rPr>
            </w:pPr>
            <w:r>
              <w:rPr>
                <w:spacing w:val="-2"/>
                <w:sz w:val="20"/>
              </w:rPr>
              <w:t>14,84</w:t>
            </w:r>
          </w:p>
        </w:tc>
      </w:tr>
      <w:tr>
        <w:trPr>
          <w:trHeight w:val="3154" w:hRule="atLeast"/>
        </w:trPr>
        <w:tc>
          <w:tcPr>
            <w:tcW w:w="946" w:type="dxa"/>
          </w:tcPr>
          <w:p>
            <w:pPr>
              <w:pStyle w:val="TableParagraph"/>
              <w:rPr>
                <w:sz w:val="18"/>
              </w:rPr>
            </w:pPr>
          </w:p>
        </w:tc>
        <w:tc>
          <w:tcPr>
            <w:tcW w:w="707" w:type="dxa"/>
          </w:tcPr>
          <w:p>
            <w:pPr>
              <w:pStyle w:val="TableParagraph"/>
              <w:rPr>
                <w:sz w:val="18"/>
              </w:rPr>
            </w:pPr>
          </w:p>
        </w:tc>
        <w:tc>
          <w:tcPr>
            <w:tcW w:w="3156"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spacing w:before="111"/>
              <w:ind w:left="1031" w:right="464" w:hanging="2"/>
              <w:jc w:val="center"/>
              <w:rPr>
                <w:sz w:val="20"/>
              </w:rPr>
            </w:pPr>
            <w:r>
              <w:rPr>
                <w:spacing w:val="-4"/>
                <w:sz w:val="20"/>
              </w:rPr>
              <w:t>Иной </w:t>
            </w:r>
            <w:r>
              <w:rPr>
                <w:spacing w:val="-2"/>
                <w:sz w:val="20"/>
              </w:rPr>
              <w:t>классификационный </w:t>
            </w:r>
            <w:r>
              <w:rPr>
                <w:sz w:val="20"/>
              </w:rPr>
              <w:t>критерий: gemop1, gemop2, gemop3, gemop4, gemop5, gemop6, gemop7, gemop9, gemop10, gemop11, gemop12, gemop13, gemop14, gemop16, gemop18, gemop21, gemop22, gemop23, gemop24, gemop25, gemop26</w:t>
            </w:r>
          </w:p>
        </w:tc>
        <w:tc>
          <w:tcPr>
            <w:tcW w:w="858" w:type="dxa"/>
          </w:tcPr>
          <w:p>
            <w:pPr>
              <w:pStyle w:val="TableParagraph"/>
              <w:rPr>
                <w:sz w:val="18"/>
              </w:rPr>
            </w:pPr>
          </w:p>
        </w:tc>
      </w:tr>
      <w:tr>
        <w:trPr>
          <w:trHeight w:val="1430" w:hRule="atLeast"/>
        </w:trPr>
        <w:tc>
          <w:tcPr>
            <w:tcW w:w="946" w:type="dxa"/>
          </w:tcPr>
          <w:p>
            <w:pPr>
              <w:pStyle w:val="TableParagraph"/>
              <w:spacing w:before="46"/>
              <w:ind w:left="50"/>
              <w:rPr>
                <w:sz w:val="20"/>
              </w:rPr>
            </w:pPr>
            <w:r>
              <w:rPr>
                <w:spacing w:val="-2"/>
                <w:sz w:val="20"/>
              </w:rPr>
              <w:t>st19.101</w:t>
            </w:r>
          </w:p>
        </w:tc>
        <w:tc>
          <w:tcPr>
            <w:tcW w:w="707" w:type="dxa"/>
          </w:tcPr>
          <w:p>
            <w:pPr>
              <w:pStyle w:val="TableParagraph"/>
              <w:spacing w:before="46"/>
              <w:ind w:left="210"/>
              <w:rPr>
                <w:sz w:val="20"/>
              </w:rPr>
            </w:pPr>
            <w:r>
              <w:rPr>
                <w:spacing w:val="-5"/>
                <w:sz w:val="20"/>
              </w:rPr>
              <w:t>200</w:t>
            </w:r>
          </w:p>
        </w:tc>
        <w:tc>
          <w:tcPr>
            <w:tcW w:w="3156" w:type="dxa"/>
          </w:tcPr>
          <w:p>
            <w:pPr>
              <w:pStyle w:val="TableParagraph"/>
              <w:spacing w:before="46"/>
              <w:ind w:left="192" w:right="12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15"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5)</w:t>
            </w:r>
          </w:p>
        </w:tc>
        <w:tc>
          <w:tcPr>
            <w:tcW w:w="3885" w:type="dxa"/>
          </w:tcPr>
          <w:p>
            <w:pPr>
              <w:pStyle w:val="TableParagraph"/>
              <w:spacing w:before="46"/>
              <w:ind w:left="769"/>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1"/>
              <w:jc w:val="right"/>
              <w:rPr>
                <w:sz w:val="20"/>
              </w:rPr>
            </w:pPr>
            <w:r>
              <w:rPr>
                <w:w w:val="99"/>
                <w:sz w:val="20"/>
              </w:rPr>
              <w:t>-</w:t>
            </w:r>
          </w:p>
        </w:tc>
        <w:tc>
          <w:tcPr>
            <w:tcW w:w="3257" w:type="dxa"/>
          </w:tcPr>
          <w:p>
            <w:pPr>
              <w:pStyle w:val="TableParagraph"/>
              <w:spacing w:before="46"/>
              <w:ind w:left="918" w:right="352"/>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18" w:right="352"/>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858" w:type="dxa"/>
          </w:tcPr>
          <w:p>
            <w:pPr>
              <w:pStyle w:val="TableParagraph"/>
              <w:spacing w:before="46"/>
              <w:ind w:right="49"/>
              <w:jc w:val="right"/>
              <w:rPr>
                <w:sz w:val="20"/>
              </w:rPr>
            </w:pPr>
            <w:r>
              <w:rPr>
                <w:spacing w:val="-2"/>
                <w:sz w:val="20"/>
              </w:rPr>
              <w:t>17,50</w:t>
            </w:r>
          </w:p>
        </w:tc>
      </w:tr>
      <w:tr>
        <w:trPr>
          <w:trHeight w:val="1375" w:hRule="atLeast"/>
        </w:trPr>
        <w:tc>
          <w:tcPr>
            <w:tcW w:w="946" w:type="dxa"/>
          </w:tcPr>
          <w:p>
            <w:pPr>
              <w:pStyle w:val="TableParagraph"/>
              <w:rPr>
                <w:sz w:val="18"/>
              </w:rPr>
            </w:pPr>
          </w:p>
        </w:tc>
        <w:tc>
          <w:tcPr>
            <w:tcW w:w="707" w:type="dxa"/>
          </w:tcPr>
          <w:p>
            <w:pPr>
              <w:pStyle w:val="TableParagraph"/>
              <w:rPr>
                <w:sz w:val="18"/>
              </w:rPr>
            </w:pPr>
          </w:p>
        </w:tc>
        <w:tc>
          <w:tcPr>
            <w:tcW w:w="3156"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1" w:right="464" w:hanging="2"/>
              <w:jc w:val="center"/>
              <w:rPr>
                <w:sz w:val="20"/>
              </w:rPr>
            </w:pPr>
            <w:r>
              <w:rPr>
                <w:spacing w:val="-4"/>
                <w:sz w:val="20"/>
              </w:rPr>
              <w:t>Иной </w:t>
            </w:r>
            <w:r>
              <w:rPr>
                <w:spacing w:val="-2"/>
                <w:sz w:val="20"/>
              </w:rPr>
              <w:t>классификационный </w:t>
            </w:r>
            <w:r>
              <w:rPr>
                <w:sz w:val="20"/>
              </w:rPr>
              <w:t>критерий: gemop1, gemop2, gemop3,</w:t>
            </w:r>
          </w:p>
          <w:p>
            <w:pPr>
              <w:pStyle w:val="TableParagraph"/>
              <w:spacing w:line="230" w:lineRule="exact"/>
              <w:ind w:left="917" w:right="352"/>
              <w:jc w:val="center"/>
              <w:rPr>
                <w:sz w:val="20"/>
              </w:rPr>
            </w:pPr>
            <w:r>
              <w:rPr>
                <w:sz w:val="20"/>
              </w:rPr>
              <w:t>gemop4,</w:t>
            </w:r>
            <w:r>
              <w:rPr>
                <w:spacing w:val="-13"/>
                <w:sz w:val="20"/>
              </w:rPr>
              <w:t> </w:t>
            </w:r>
            <w:r>
              <w:rPr>
                <w:sz w:val="20"/>
              </w:rPr>
              <w:t>gemop5, gemop6,</w:t>
            </w:r>
            <w:r>
              <w:rPr>
                <w:spacing w:val="-8"/>
                <w:sz w:val="20"/>
              </w:rPr>
              <w:t> </w:t>
            </w:r>
            <w:r>
              <w:rPr>
                <w:spacing w:val="-2"/>
                <w:sz w:val="20"/>
              </w:rPr>
              <w:t>gemop7,</w:t>
            </w:r>
          </w:p>
        </w:tc>
        <w:tc>
          <w:tcPr>
            <w:tcW w:w="858"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634"/>
        <w:gridCol w:w="4356"/>
        <w:gridCol w:w="3132"/>
        <w:gridCol w:w="2690"/>
        <w:gridCol w:w="858"/>
      </w:tblGrid>
      <w:tr>
        <w:trPr>
          <w:trHeight w:val="1654"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ind w:left="526" w:right="523" w:firstLine="50"/>
              <w:jc w:val="both"/>
              <w:rPr>
                <w:sz w:val="20"/>
              </w:rPr>
            </w:pPr>
            <w:r>
              <w:rPr>
                <w:sz w:val="20"/>
              </w:rPr>
              <w:t>gemop9, gemop10, gemop11,</w:t>
            </w:r>
            <w:r>
              <w:rPr>
                <w:spacing w:val="-13"/>
                <w:sz w:val="20"/>
              </w:rPr>
              <w:t> </w:t>
            </w:r>
            <w:r>
              <w:rPr>
                <w:sz w:val="20"/>
              </w:rPr>
              <w:t>gemop12, gemop13,</w:t>
            </w:r>
            <w:r>
              <w:rPr>
                <w:spacing w:val="-13"/>
                <w:sz w:val="20"/>
              </w:rPr>
              <w:t> </w:t>
            </w:r>
            <w:r>
              <w:rPr>
                <w:sz w:val="20"/>
              </w:rPr>
              <w:t>gemop14, gemop16,</w:t>
            </w:r>
            <w:r>
              <w:rPr>
                <w:spacing w:val="-13"/>
                <w:sz w:val="20"/>
              </w:rPr>
              <w:t> </w:t>
            </w:r>
            <w:r>
              <w:rPr>
                <w:sz w:val="20"/>
              </w:rPr>
              <w:t>gemop18, gemop21,</w:t>
            </w:r>
            <w:r>
              <w:rPr>
                <w:spacing w:val="-13"/>
                <w:sz w:val="20"/>
              </w:rPr>
              <w:t> </w:t>
            </w:r>
            <w:r>
              <w:rPr>
                <w:sz w:val="20"/>
              </w:rPr>
              <w:t>gemop22, gemop23,</w:t>
            </w:r>
            <w:r>
              <w:rPr>
                <w:spacing w:val="-13"/>
                <w:sz w:val="20"/>
              </w:rPr>
              <w:t> </w:t>
            </w:r>
            <w:r>
              <w:rPr>
                <w:sz w:val="20"/>
              </w:rPr>
              <w:t>gemop24, gemop25, gemop26</w:t>
            </w:r>
          </w:p>
        </w:tc>
        <w:tc>
          <w:tcPr>
            <w:tcW w:w="858" w:type="dxa"/>
          </w:tcPr>
          <w:p>
            <w:pPr>
              <w:pStyle w:val="TableParagraph"/>
              <w:rPr>
                <w:sz w:val="18"/>
              </w:rPr>
            </w:pPr>
          </w:p>
        </w:tc>
      </w:tr>
      <w:tr>
        <w:trPr>
          <w:trHeight w:val="1429" w:hRule="atLeast"/>
        </w:trPr>
        <w:tc>
          <w:tcPr>
            <w:tcW w:w="946" w:type="dxa"/>
          </w:tcPr>
          <w:p>
            <w:pPr>
              <w:pStyle w:val="TableParagraph"/>
              <w:spacing w:before="45"/>
              <w:ind w:left="50"/>
              <w:rPr>
                <w:sz w:val="20"/>
              </w:rPr>
            </w:pPr>
            <w:r>
              <w:rPr>
                <w:spacing w:val="-2"/>
                <w:sz w:val="20"/>
              </w:rPr>
              <w:t>st19.102</w:t>
            </w:r>
          </w:p>
        </w:tc>
        <w:tc>
          <w:tcPr>
            <w:tcW w:w="707" w:type="dxa"/>
          </w:tcPr>
          <w:p>
            <w:pPr>
              <w:pStyle w:val="TableParagraph"/>
              <w:spacing w:before="45"/>
              <w:ind w:left="210"/>
              <w:rPr>
                <w:sz w:val="20"/>
              </w:rPr>
            </w:pPr>
            <w:r>
              <w:rPr>
                <w:spacing w:val="-5"/>
                <w:sz w:val="20"/>
              </w:rPr>
              <w:t>201</w:t>
            </w:r>
          </w:p>
        </w:tc>
        <w:tc>
          <w:tcPr>
            <w:tcW w:w="2634" w:type="dxa"/>
          </w:tcPr>
          <w:p>
            <w:pPr>
              <w:pStyle w:val="TableParagraph"/>
              <w:spacing w:before="45"/>
              <w:ind w:left="192"/>
              <w:rPr>
                <w:sz w:val="20"/>
              </w:rPr>
            </w:pPr>
            <w:r>
              <w:rPr>
                <w:sz w:val="20"/>
              </w:rPr>
              <w:t>ЗНО лимфоидной и кроветворной тканей, лекарственная терапия с </w:t>
            </w:r>
            <w:r>
              <w:rPr>
                <w:spacing w:val="-2"/>
                <w:sz w:val="20"/>
              </w:rPr>
              <w:t>применением</w:t>
            </w:r>
            <w:r>
              <w:rPr>
                <w:spacing w:val="6"/>
                <w:sz w:val="20"/>
              </w:rPr>
              <w:t> </w:t>
            </w:r>
            <w:r>
              <w:rPr>
                <w:spacing w:val="-2"/>
                <w:sz w:val="20"/>
              </w:rPr>
              <w:t>отдельных</w:t>
            </w:r>
          </w:p>
          <w:p>
            <w:pPr>
              <w:pStyle w:val="TableParagraph"/>
              <w:spacing w:line="228" w:lineRule="exact"/>
              <w:ind w:left="192"/>
              <w:rPr>
                <w:sz w:val="20"/>
              </w:rPr>
            </w:pPr>
            <w:r>
              <w:rPr>
                <w:sz w:val="20"/>
              </w:rPr>
              <w:t>препаратов</w:t>
            </w:r>
            <w:r>
              <w:rPr>
                <w:spacing w:val="-13"/>
                <w:sz w:val="20"/>
              </w:rPr>
              <w:t> </w:t>
            </w:r>
            <w:r>
              <w:rPr>
                <w:sz w:val="20"/>
              </w:rPr>
              <w:t>(по</w:t>
            </w:r>
            <w:r>
              <w:rPr>
                <w:spacing w:val="-12"/>
                <w:sz w:val="20"/>
              </w:rPr>
              <w:t> </w:t>
            </w:r>
            <w:r>
              <w:rPr>
                <w:sz w:val="20"/>
              </w:rPr>
              <w:t>перечню), взрослые (уровень 6)</w:t>
            </w:r>
          </w:p>
        </w:tc>
        <w:tc>
          <w:tcPr>
            <w:tcW w:w="4356" w:type="dxa"/>
          </w:tcPr>
          <w:p>
            <w:pPr>
              <w:pStyle w:val="TableParagraph"/>
              <w:spacing w:before="45"/>
              <w:ind w:left="1291"/>
              <w:rPr>
                <w:sz w:val="20"/>
              </w:rPr>
            </w:pPr>
            <w:r>
              <w:rPr>
                <w:sz w:val="20"/>
              </w:rPr>
              <w:t>C81-C96,</w:t>
            </w:r>
            <w:r>
              <w:rPr>
                <w:spacing w:val="-11"/>
                <w:sz w:val="20"/>
              </w:rPr>
              <w:t> </w:t>
            </w:r>
            <w:r>
              <w:rPr>
                <w:sz w:val="20"/>
              </w:rPr>
              <w:t>D45-</w:t>
            </w:r>
            <w:r>
              <w:rPr>
                <w:spacing w:val="-5"/>
                <w:sz w:val="20"/>
              </w:rPr>
              <w:t>D47</w:t>
            </w:r>
          </w:p>
        </w:tc>
        <w:tc>
          <w:tcPr>
            <w:tcW w:w="3132" w:type="dxa"/>
          </w:tcPr>
          <w:p>
            <w:pPr>
              <w:pStyle w:val="TableParagraph"/>
              <w:spacing w:before="45"/>
              <w:ind w:left="88"/>
              <w:jc w:val="center"/>
              <w:rPr>
                <w:sz w:val="20"/>
              </w:rPr>
            </w:pPr>
            <w:r>
              <w:rPr>
                <w:w w:val="99"/>
                <w:sz w:val="20"/>
              </w:rPr>
              <w:t>-</w:t>
            </w:r>
          </w:p>
        </w:tc>
        <w:tc>
          <w:tcPr>
            <w:tcW w:w="2690" w:type="dxa"/>
          </w:tcPr>
          <w:p>
            <w:pPr>
              <w:pStyle w:val="TableParagraph"/>
              <w:spacing w:before="45"/>
              <w:ind w:left="356" w:right="352"/>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356" w:right="353"/>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858" w:type="dxa"/>
          </w:tcPr>
          <w:p>
            <w:pPr>
              <w:pStyle w:val="TableParagraph"/>
              <w:spacing w:before="45"/>
              <w:ind w:right="47"/>
              <w:jc w:val="right"/>
              <w:rPr>
                <w:sz w:val="20"/>
              </w:rPr>
            </w:pPr>
            <w:r>
              <w:rPr>
                <w:spacing w:val="-2"/>
                <w:sz w:val="20"/>
              </w:rPr>
              <w:t>20,60</w:t>
            </w:r>
          </w:p>
        </w:tc>
      </w:tr>
      <w:tr>
        <w:trPr>
          <w:trHeight w:val="3041"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ind w:left="466" w:right="462" w:hanging="2"/>
              <w:jc w:val="center"/>
              <w:rPr>
                <w:sz w:val="20"/>
              </w:rPr>
            </w:pPr>
            <w:r>
              <w:rPr>
                <w:spacing w:val="-4"/>
                <w:sz w:val="20"/>
              </w:rPr>
              <w:t>Иной </w:t>
            </w:r>
            <w:r>
              <w:rPr>
                <w:spacing w:val="-2"/>
                <w:sz w:val="20"/>
              </w:rPr>
              <w:t>классификационный </w:t>
            </w:r>
            <w:r>
              <w:rPr>
                <w:sz w:val="20"/>
              </w:rPr>
              <w:t>критерий: gemop1, gemop2, gemop3, gemop4, gemop5, gemop6, gemop7, gemop9, gemop10, gemop11, gemop12, gemop13, gemop14, gemop16, gemop18, gemop21, gemop22, gemop23, gemop24, gemop25, gemop26</w:t>
            </w:r>
          </w:p>
        </w:tc>
        <w:tc>
          <w:tcPr>
            <w:tcW w:w="858"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st19.103</w:t>
            </w:r>
          </w:p>
        </w:tc>
        <w:tc>
          <w:tcPr>
            <w:tcW w:w="707" w:type="dxa"/>
          </w:tcPr>
          <w:p>
            <w:pPr>
              <w:pStyle w:val="TableParagraph"/>
              <w:spacing w:line="214" w:lineRule="exact" w:before="46"/>
              <w:ind w:left="210"/>
              <w:rPr>
                <w:sz w:val="20"/>
              </w:rPr>
            </w:pPr>
            <w:r>
              <w:rPr>
                <w:spacing w:val="-5"/>
                <w:sz w:val="20"/>
              </w:rPr>
              <w:t>202</w:t>
            </w:r>
          </w:p>
        </w:tc>
        <w:tc>
          <w:tcPr>
            <w:tcW w:w="2634" w:type="dxa"/>
          </w:tcPr>
          <w:p>
            <w:pPr>
              <w:pStyle w:val="TableParagraph"/>
              <w:spacing w:line="214" w:lineRule="exact" w:before="46"/>
              <w:ind w:left="192"/>
              <w:rPr>
                <w:sz w:val="20"/>
              </w:rPr>
            </w:pPr>
            <w:r>
              <w:rPr>
                <w:sz w:val="20"/>
              </w:rPr>
              <w:t>Лучевые</w:t>
            </w:r>
            <w:r>
              <w:rPr>
                <w:spacing w:val="-8"/>
                <w:sz w:val="20"/>
              </w:rPr>
              <w:t> </w:t>
            </w:r>
            <w:r>
              <w:rPr>
                <w:spacing w:val="-2"/>
                <w:sz w:val="20"/>
              </w:rPr>
              <w:t>повреждения</w:t>
            </w:r>
          </w:p>
        </w:tc>
        <w:tc>
          <w:tcPr>
            <w:tcW w:w="4356" w:type="dxa"/>
          </w:tcPr>
          <w:p>
            <w:pPr>
              <w:pStyle w:val="TableParagraph"/>
              <w:spacing w:line="214" w:lineRule="exact" w:before="46"/>
              <w:ind w:right="437"/>
              <w:jc w:val="right"/>
              <w:rPr>
                <w:sz w:val="20"/>
              </w:rPr>
            </w:pPr>
            <w:r>
              <w:rPr>
                <w:sz w:val="20"/>
              </w:rPr>
              <w:t>I42.7,</w:t>
            </w:r>
            <w:r>
              <w:rPr>
                <w:spacing w:val="-5"/>
                <w:sz w:val="20"/>
              </w:rPr>
              <w:t> </w:t>
            </w:r>
            <w:r>
              <w:rPr>
                <w:sz w:val="20"/>
              </w:rPr>
              <w:t>I89.8,</w:t>
            </w:r>
            <w:r>
              <w:rPr>
                <w:spacing w:val="-7"/>
                <w:sz w:val="20"/>
              </w:rPr>
              <w:t> </w:t>
            </w:r>
            <w:r>
              <w:rPr>
                <w:sz w:val="20"/>
              </w:rPr>
              <w:t>I97.2,</w:t>
            </w:r>
            <w:r>
              <w:rPr>
                <w:spacing w:val="-7"/>
                <w:sz w:val="20"/>
              </w:rPr>
              <w:t> </w:t>
            </w:r>
            <w:r>
              <w:rPr>
                <w:sz w:val="20"/>
              </w:rPr>
              <w:t>J70.1,</w:t>
            </w:r>
            <w:r>
              <w:rPr>
                <w:spacing w:val="-5"/>
                <w:sz w:val="20"/>
              </w:rPr>
              <w:t> </w:t>
            </w:r>
            <w:r>
              <w:rPr>
                <w:sz w:val="20"/>
              </w:rPr>
              <w:t>K62.7,</w:t>
            </w:r>
            <w:r>
              <w:rPr>
                <w:spacing w:val="-5"/>
                <w:sz w:val="20"/>
              </w:rPr>
              <w:t> </w:t>
            </w:r>
            <w:r>
              <w:rPr>
                <w:sz w:val="20"/>
              </w:rPr>
              <w:t>L58.9,</w:t>
            </w:r>
            <w:r>
              <w:rPr>
                <w:spacing w:val="-5"/>
                <w:sz w:val="20"/>
              </w:rPr>
              <w:t> </w:t>
            </w:r>
            <w:r>
              <w:rPr>
                <w:spacing w:val="-4"/>
                <w:sz w:val="20"/>
              </w:rPr>
              <w:t>M54,</w:t>
            </w:r>
          </w:p>
        </w:tc>
        <w:tc>
          <w:tcPr>
            <w:tcW w:w="3132" w:type="dxa"/>
          </w:tcPr>
          <w:p>
            <w:pPr>
              <w:pStyle w:val="TableParagraph"/>
              <w:spacing w:line="214" w:lineRule="exact" w:before="46"/>
              <w:ind w:left="88"/>
              <w:jc w:val="center"/>
              <w:rPr>
                <w:sz w:val="20"/>
              </w:rPr>
            </w:pPr>
            <w:r>
              <w:rPr>
                <w:w w:val="99"/>
                <w:sz w:val="20"/>
              </w:rPr>
              <w:t>-</w:t>
            </w:r>
          </w:p>
        </w:tc>
        <w:tc>
          <w:tcPr>
            <w:tcW w:w="2690" w:type="dxa"/>
          </w:tcPr>
          <w:p>
            <w:pPr>
              <w:pStyle w:val="TableParagraph"/>
              <w:spacing w:line="214" w:lineRule="exact" w:before="46"/>
              <w:ind w:left="353" w:right="353"/>
              <w:jc w:val="center"/>
              <w:rPr>
                <w:sz w:val="20"/>
              </w:rPr>
            </w:pPr>
            <w:r>
              <w:rPr>
                <w:spacing w:val="-2"/>
                <w:sz w:val="20"/>
              </w:rPr>
              <w:t>Дополнительные</w:t>
            </w:r>
          </w:p>
        </w:tc>
        <w:tc>
          <w:tcPr>
            <w:tcW w:w="858" w:type="dxa"/>
          </w:tcPr>
          <w:p>
            <w:pPr>
              <w:pStyle w:val="TableParagraph"/>
              <w:spacing w:line="214" w:lineRule="exact" w:before="46"/>
              <w:ind w:right="97"/>
              <w:jc w:val="right"/>
              <w:rPr>
                <w:sz w:val="20"/>
              </w:rPr>
            </w:pPr>
            <w:r>
              <w:rPr>
                <w:spacing w:val="-4"/>
                <w:sz w:val="20"/>
              </w:rPr>
              <w:t>2,64</w:t>
            </w:r>
          </w:p>
        </w:tc>
      </w:tr>
      <w:tr>
        <w:trPr>
          <w:trHeight w:val="344"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spacing w:line="224" w:lineRule="exact"/>
              <w:ind w:left="1528" w:right="1711"/>
              <w:jc w:val="center"/>
              <w:rPr>
                <w:sz w:val="20"/>
              </w:rPr>
            </w:pPr>
            <w:r>
              <w:rPr>
                <w:sz w:val="20"/>
              </w:rPr>
              <w:t>N30.4,</w:t>
            </w:r>
            <w:r>
              <w:rPr>
                <w:spacing w:val="-3"/>
                <w:sz w:val="20"/>
              </w:rPr>
              <w:t> </w:t>
            </w:r>
            <w:r>
              <w:rPr>
                <w:spacing w:val="-2"/>
                <w:sz w:val="20"/>
              </w:rPr>
              <w:t>N76.6</w:t>
            </w:r>
          </w:p>
        </w:tc>
        <w:tc>
          <w:tcPr>
            <w:tcW w:w="3132" w:type="dxa"/>
          </w:tcPr>
          <w:p>
            <w:pPr>
              <w:pStyle w:val="TableParagraph"/>
              <w:rPr>
                <w:sz w:val="18"/>
              </w:rPr>
            </w:pPr>
          </w:p>
        </w:tc>
        <w:tc>
          <w:tcPr>
            <w:tcW w:w="2690" w:type="dxa"/>
          </w:tcPr>
          <w:p>
            <w:pPr>
              <w:pStyle w:val="TableParagraph"/>
              <w:spacing w:line="224" w:lineRule="exact"/>
              <w:ind w:left="352" w:right="353"/>
              <w:jc w:val="center"/>
              <w:rPr>
                <w:sz w:val="20"/>
              </w:rPr>
            </w:pPr>
            <w:r>
              <w:rPr>
                <w:sz w:val="20"/>
              </w:rPr>
              <w:t>диагнозы:</w:t>
            </w:r>
            <w:r>
              <w:rPr>
                <w:spacing w:val="-11"/>
                <w:sz w:val="20"/>
              </w:rPr>
              <w:t> </w:t>
            </w:r>
            <w:r>
              <w:rPr>
                <w:spacing w:val="-5"/>
                <w:sz w:val="20"/>
              </w:rPr>
              <w:t>C.</w:t>
            </w:r>
          </w:p>
        </w:tc>
        <w:tc>
          <w:tcPr>
            <w:tcW w:w="858" w:type="dxa"/>
          </w:tcPr>
          <w:p>
            <w:pPr>
              <w:pStyle w:val="TableParagraph"/>
              <w:rPr>
                <w:sz w:val="18"/>
              </w:rPr>
            </w:pPr>
          </w:p>
        </w:tc>
      </w:tr>
      <w:tr>
        <w:trPr>
          <w:trHeight w:val="345"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spacing w:line="215" w:lineRule="exact" w:before="111"/>
              <w:ind w:left="353" w:right="353"/>
              <w:jc w:val="center"/>
              <w:rPr>
                <w:sz w:val="20"/>
              </w:rPr>
            </w:pPr>
            <w:r>
              <w:rPr>
                <w:spacing w:val="-4"/>
                <w:sz w:val="20"/>
              </w:rPr>
              <w:t>Иной</w:t>
            </w:r>
          </w:p>
        </w:tc>
        <w:tc>
          <w:tcPr>
            <w:tcW w:w="858" w:type="dxa"/>
          </w:tcPr>
          <w:p>
            <w:pPr>
              <w:pStyle w:val="TableParagraph"/>
              <w:rPr>
                <w:sz w:val="18"/>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34" w:type="dxa"/>
          </w:tcPr>
          <w:p>
            <w:pPr>
              <w:pStyle w:val="TableParagraph"/>
              <w:rPr>
                <w:sz w:val="16"/>
              </w:rPr>
            </w:pPr>
          </w:p>
        </w:tc>
        <w:tc>
          <w:tcPr>
            <w:tcW w:w="4356" w:type="dxa"/>
          </w:tcPr>
          <w:p>
            <w:pPr>
              <w:pStyle w:val="TableParagraph"/>
              <w:rPr>
                <w:sz w:val="16"/>
              </w:rPr>
            </w:pPr>
          </w:p>
        </w:tc>
        <w:tc>
          <w:tcPr>
            <w:tcW w:w="3132" w:type="dxa"/>
          </w:tcPr>
          <w:p>
            <w:pPr>
              <w:pStyle w:val="TableParagraph"/>
              <w:rPr>
                <w:sz w:val="16"/>
              </w:rPr>
            </w:pPr>
          </w:p>
        </w:tc>
        <w:tc>
          <w:tcPr>
            <w:tcW w:w="2690" w:type="dxa"/>
          </w:tcPr>
          <w:p>
            <w:pPr>
              <w:pStyle w:val="TableParagraph"/>
              <w:spacing w:line="210" w:lineRule="exact"/>
              <w:ind w:left="354" w:right="353"/>
              <w:jc w:val="center"/>
              <w:rPr>
                <w:sz w:val="20"/>
              </w:rPr>
            </w:pPr>
            <w:r>
              <w:rPr>
                <w:spacing w:val="-2"/>
                <w:sz w:val="20"/>
              </w:rPr>
              <w:t>классификационный</w:t>
            </w:r>
          </w:p>
        </w:tc>
        <w:tc>
          <w:tcPr>
            <w:tcW w:w="858"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spacing w:line="226" w:lineRule="exact"/>
              <w:ind w:left="353" w:right="353"/>
              <w:jc w:val="center"/>
              <w:rPr>
                <w:sz w:val="20"/>
              </w:rPr>
            </w:pPr>
            <w:r>
              <w:rPr>
                <w:sz w:val="20"/>
              </w:rPr>
              <w:t>критерий:</w:t>
            </w:r>
            <w:r>
              <w:rPr>
                <w:spacing w:val="-13"/>
                <w:sz w:val="20"/>
              </w:rPr>
              <w:t> </w:t>
            </w:r>
            <w:r>
              <w:rPr>
                <w:spacing w:val="-5"/>
                <w:sz w:val="20"/>
              </w:rPr>
              <w:t>olt</w:t>
            </w:r>
          </w:p>
        </w:tc>
        <w:tc>
          <w:tcPr>
            <w:tcW w:w="858"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st19.104</w:t>
            </w:r>
          </w:p>
        </w:tc>
        <w:tc>
          <w:tcPr>
            <w:tcW w:w="707" w:type="dxa"/>
          </w:tcPr>
          <w:p>
            <w:pPr>
              <w:pStyle w:val="TableParagraph"/>
              <w:spacing w:line="215" w:lineRule="exact" w:before="45"/>
              <w:ind w:left="210"/>
              <w:rPr>
                <w:sz w:val="20"/>
              </w:rPr>
            </w:pPr>
            <w:r>
              <w:rPr>
                <w:spacing w:val="-5"/>
                <w:sz w:val="20"/>
              </w:rPr>
              <w:t>203</w:t>
            </w:r>
          </w:p>
        </w:tc>
        <w:tc>
          <w:tcPr>
            <w:tcW w:w="2634" w:type="dxa"/>
          </w:tcPr>
          <w:p>
            <w:pPr>
              <w:pStyle w:val="TableParagraph"/>
              <w:spacing w:line="215" w:lineRule="exact" w:before="45"/>
              <w:ind w:left="192"/>
              <w:rPr>
                <w:sz w:val="20"/>
              </w:rPr>
            </w:pPr>
            <w:r>
              <w:rPr>
                <w:sz w:val="20"/>
              </w:rPr>
              <w:t>Эвисцерация</w:t>
            </w:r>
            <w:r>
              <w:rPr>
                <w:spacing w:val="-11"/>
                <w:sz w:val="20"/>
              </w:rPr>
              <w:t> </w:t>
            </w:r>
            <w:r>
              <w:rPr>
                <w:sz w:val="20"/>
              </w:rPr>
              <w:t>малого</w:t>
            </w:r>
            <w:r>
              <w:rPr>
                <w:spacing w:val="-9"/>
                <w:sz w:val="20"/>
              </w:rPr>
              <w:t> </w:t>
            </w:r>
            <w:r>
              <w:rPr>
                <w:spacing w:val="-4"/>
                <w:sz w:val="20"/>
              </w:rPr>
              <w:t>таза</w:t>
            </w:r>
          </w:p>
        </w:tc>
        <w:tc>
          <w:tcPr>
            <w:tcW w:w="4356" w:type="dxa"/>
          </w:tcPr>
          <w:p>
            <w:pPr>
              <w:pStyle w:val="TableParagraph"/>
              <w:spacing w:line="215" w:lineRule="exact" w:before="45"/>
              <w:ind w:right="512"/>
              <w:jc w:val="right"/>
              <w:rPr>
                <w:sz w:val="20"/>
              </w:rPr>
            </w:pPr>
            <w:r>
              <w:rPr>
                <w:sz w:val="20"/>
              </w:rPr>
              <w:t>K60.4,</w:t>
            </w:r>
            <w:r>
              <w:rPr>
                <w:spacing w:val="-4"/>
                <w:sz w:val="20"/>
              </w:rPr>
              <w:t> </w:t>
            </w:r>
            <w:r>
              <w:rPr>
                <w:sz w:val="20"/>
              </w:rPr>
              <w:t>K60.5,</w:t>
            </w:r>
            <w:r>
              <w:rPr>
                <w:spacing w:val="-6"/>
                <w:sz w:val="20"/>
              </w:rPr>
              <w:t> </w:t>
            </w:r>
            <w:r>
              <w:rPr>
                <w:sz w:val="20"/>
              </w:rPr>
              <w:t>K62.7,</w:t>
            </w:r>
            <w:r>
              <w:rPr>
                <w:spacing w:val="-4"/>
                <w:sz w:val="20"/>
              </w:rPr>
              <w:t> </w:t>
            </w:r>
            <w:r>
              <w:rPr>
                <w:sz w:val="20"/>
              </w:rPr>
              <w:t>N30.4,</w:t>
            </w:r>
            <w:r>
              <w:rPr>
                <w:spacing w:val="-6"/>
                <w:sz w:val="20"/>
              </w:rPr>
              <w:t> </w:t>
            </w:r>
            <w:r>
              <w:rPr>
                <w:sz w:val="20"/>
              </w:rPr>
              <w:t>N32.1,</w:t>
            </w:r>
            <w:r>
              <w:rPr>
                <w:spacing w:val="-4"/>
                <w:sz w:val="20"/>
              </w:rPr>
              <w:t> </w:t>
            </w:r>
            <w:r>
              <w:rPr>
                <w:spacing w:val="-2"/>
                <w:sz w:val="20"/>
              </w:rPr>
              <w:t>N36.0,</w:t>
            </w:r>
          </w:p>
        </w:tc>
        <w:tc>
          <w:tcPr>
            <w:tcW w:w="3132" w:type="dxa"/>
          </w:tcPr>
          <w:p>
            <w:pPr>
              <w:pStyle w:val="TableParagraph"/>
              <w:spacing w:line="215" w:lineRule="exact" w:before="45"/>
              <w:ind w:left="437" w:right="353"/>
              <w:jc w:val="center"/>
              <w:rPr>
                <w:sz w:val="20"/>
              </w:rPr>
            </w:pPr>
            <w:r>
              <w:rPr>
                <w:sz w:val="20"/>
              </w:rPr>
              <w:t>A16.30.022,</w:t>
            </w:r>
            <w:r>
              <w:rPr>
                <w:spacing w:val="-9"/>
                <w:sz w:val="20"/>
              </w:rPr>
              <w:t> </w:t>
            </w:r>
            <w:r>
              <w:rPr>
                <w:spacing w:val="-2"/>
                <w:sz w:val="20"/>
              </w:rPr>
              <w:t>A16.30.022.001</w:t>
            </w:r>
          </w:p>
        </w:tc>
        <w:tc>
          <w:tcPr>
            <w:tcW w:w="2690" w:type="dxa"/>
          </w:tcPr>
          <w:p>
            <w:pPr>
              <w:pStyle w:val="TableParagraph"/>
              <w:spacing w:line="215" w:lineRule="exact" w:before="45"/>
              <w:ind w:left="353" w:right="353"/>
              <w:jc w:val="center"/>
              <w:rPr>
                <w:sz w:val="20"/>
              </w:rPr>
            </w:pPr>
            <w:r>
              <w:rPr>
                <w:spacing w:val="-2"/>
                <w:sz w:val="20"/>
              </w:rPr>
              <w:t>Дополнительные</w:t>
            </w:r>
          </w:p>
        </w:tc>
        <w:tc>
          <w:tcPr>
            <w:tcW w:w="858" w:type="dxa"/>
          </w:tcPr>
          <w:p>
            <w:pPr>
              <w:pStyle w:val="TableParagraph"/>
              <w:spacing w:line="215" w:lineRule="exact" w:before="45"/>
              <w:ind w:right="47"/>
              <w:jc w:val="right"/>
              <w:rPr>
                <w:sz w:val="20"/>
              </w:rPr>
            </w:pPr>
            <w:r>
              <w:rPr>
                <w:spacing w:val="-2"/>
                <w:sz w:val="20"/>
              </w:rPr>
              <w:t>19,75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34" w:type="dxa"/>
          </w:tcPr>
          <w:p>
            <w:pPr>
              <w:pStyle w:val="TableParagraph"/>
              <w:spacing w:line="210" w:lineRule="exact"/>
              <w:ind w:left="192"/>
              <w:rPr>
                <w:sz w:val="20"/>
              </w:rPr>
            </w:pPr>
            <w:r>
              <w:rPr>
                <w:sz w:val="20"/>
              </w:rPr>
              <w:t>при</w:t>
            </w:r>
            <w:r>
              <w:rPr>
                <w:spacing w:val="-6"/>
                <w:sz w:val="20"/>
              </w:rPr>
              <w:t> </w:t>
            </w:r>
            <w:r>
              <w:rPr>
                <w:spacing w:val="-2"/>
                <w:sz w:val="20"/>
              </w:rPr>
              <w:t>лучевых</w:t>
            </w:r>
          </w:p>
        </w:tc>
        <w:tc>
          <w:tcPr>
            <w:tcW w:w="4356" w:type="dxa"/>
          </w:tcPr>
          <w:p>
            <w:pPr>
              <w:pStyle w:val="TableParagraph"/>
              <w:spacing w:line="210" w:lineRule="exact"/>
              <w:ind w:left="352"/>
              <w:rPr>
                <w:sz w:val="20"/>
              </w:rPr>
            </w:pPr>
            <w:r>
              <w:rPr>
                <w:sz w:val="20"/>
              </w:rPr>
              <w:t>N76.0,</w:t>
            </w:r>
            <w:r>
              <w:rPr>
                <w:spacing w:val="-4"/>
                <w:sz w:val="20"/>
              </w:rPr>
              <w:t> </w:t>
            </w:r>
            <w:r>
              <w:rPr>
                <w:sz w:val="20"/>
              </w:rPr>
              <w:t>N76.1,</w:t>
            </w:r>
            <w:r>
              <w:rPr>
                <w:spacing w:val="-6"/>
                <w:sz w:val="20"/>
              </w:rPr>
              <w:t> </w:t>
            </w:r>
            <w:r>
              <w:rPr>
                <w:sz w:val="20"/>
              </w:rPr>
              <w:t>N76.6,</w:t>
            </w:r>
            <w:r>
              <w:rPr>
                <w:spacing w:val="-4"/>
                <w:sz w:val="20"/>
              </w:rPr>
              <w:t> </w:t>
            </w:r>
            <w:r>
              <w:rPr>
                <w:sz w:val="20"/>
              </w:rPr>
              <w:t>N82.0,</w:t>
            </w:r>
            <w:r>
              <w:rPr>
                <w:spacing w:val="-6"/>
                <w:sz w:val="20"/>
              </w:rPr>
              <w:t> </w:t>
            </w:r>
            <w:r>
              <w:rPr>
                <w:sz w:val="20"/>
              </w:rPr>
              <w:t>N82.2,</w:t>
            </w:r>
            <w:r>
              <w:rPr>
                <w:spacing w:val="-4"/>
                <w:sz w:val="20"/>
              </w:rPr>
              <w:t> N82.3</w:t>
            </w:r>
          </w:p>
        </w:tc>
        <w:tc>
          <w:tcPr>
            <w:tcW w:w="3132" w:type="dxa"/>
          </w:tcPr>
          <w:p>
            <w:pPr>
              <w:pStyle w:val="TableParagraph"/>
              <w:rPr>
                <w:sz w:val="16"/>
              </w:rPr>
            </w:pPr>
          </w:p>
        </w:tc>
        <w:tc>
          <w:tcPr>
            <w:tcW w:w="2690" w:type="dxa"/>
          </w:tcPr>
          <w:p>
            <w:pPr>
              <w:pStyle w:val="TableParagraph"/>
              <w:spacing w:line="210" w:lineRule="exact"/>
              <w:ind w:left="352" w:right="353"/>
              <w:jc w:val="center"/>
              <w:rPr>
                <w:sz w:val="20"/>
              </w:rPr>
            </w:pPr>
            <w:r>
              <w:rPr>
                <w:sz w:val="20"/>
              </w:rPr>
              <w:t>диагнозы:</w:t>
            </w:r>
            <w:r>
              <w:rPr>
                <w:spacing w:val="-11"/>
                <w:sz w:val="20"/>
              </w:rPr>
              <w:t> </w:t>
            </w:r>
            <w:r>
              <w:rPr>
                <w:spacing w:val="-5"/>
                <w:sz w:val="20"/>
              </w:rPr>
              <w:t>C.</w:t>
            </w:r>
          </w:p>
        </w:tc>
        <w:tc>
          <w:tcPr>
            <w:tcW w:w="858"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634" w:type="dxa"/>
          </w:tcPr>
          <w:p>
            <w:pPr>
              <w:pStyle w:val="TableParagraph"/>
              <w:spacing w:line="205" w:lineRule="exact"/>
              <w:ind w:left="192"/>
              <w:rPr>
                <w:sz w:val="20"/>
              </w:rPr>
            </w:pPr>
            <w:r>
              <w:rPr>
                <w:spacing w:val="-2"/>
                <w:sz w:val="20"/>
              </w:rPr>
              <w:t>повреждениях</w:t>
            </w:r>
          </w:p>
        </w:tc>
        <w:tc>
          <w:tcPr>
            <w:tcW w:w="4356" w:type="dxa"/>
          </w:tcPr>
          <w:p>
            <w:pPr>
              <w:pStyle w:val="TableParagraph"/>
              <w:rPr>
                <w:sz w:val="16"/>
              </w:rPr>
            </w:pPr>
          </w:p>
        </w:tc>
        <w:tc>
          <w:tcPr>
            <w:tcW w:w="3132" w:type="dxa"/>
          </w:tcPr>
          <w:p>
            <w:pPr>
              <w:pStyle w:val="TableParagraph"/>
              <w:rPr>
                <w:sz w:val="16"/>
              </w:rPr>
            </w:pPr>
          </w:p>
        </w:tc>
        <w:tc>
          <w:tcPr>
            <w:tcW w:w="2690" w:type="dxa"/>
          </w:tcPr>
          <w:p>
            <w:pPr>
              <w:pStyle w:val="TableParagraph"/>
              <w:rPr>
                <w:sz w:val="16"/>
              </w:rPr>
            </w:pPr>
          </w:p>
        </w:tc>
        <w:tc>
          <w:tcPr>
            <w:tcW w:w="85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74"/>
        <w:gridCol w:w="5359"/>
        <w:gridCol w:w="1678"/>
        <w:gridCol w:w="3147"/>
        <w:gridCol w:w="912"/>
      </w:tblGrid>
      <w:tr>
        <w:trPr>
          <w:trHeight w:val="734" w:hRule="atLeast"/>
        </w:trPr>
        <w:tc>
          <w:tcPr>
            <w:tcW w:w="946" w:type="dxa"/>
          </w:tcPr>
          <w:p>
            <w:pPr>
              <w:pStyle w:val="TableParagraph"/>
              <w:rPr>
                <w:sz w:val="18"/>
              </w:rPr>
            </w:pPr>
          </w:p>
        </w:tc>
        <w:tc>
          <w:tcPr>
            <w:tcW w:w="707" w:type="dxa"/>
          </w:tcPr>
          <w:p>
            <w:pPr>
              <w:pStyle w:val="TableParagraph"/>
              <w:rPr>
                <w:sz w:val="18"/>
              </w:rPr>
            </w:pPr>
          </w:p>
        </w:tc>
        <w:tc>
          <w:tcPr>
            <w:tcW w:w="2574" w:type="dxa"/>
          </w:tcPr>
          <w:p>
            <w:pPr>
              <w:pStyle w:val="TableParagraph"/>
              <w:rPr>
                <w:sz w:val="18"/>
              </w:rPr>
            </w:pPr>
          </w:p>
        </w:tc>
        <w:tc>
          <w:tcPr>
            <w:tcW w:w="5359" w:type="dxa"/>
          </w:tcPr>
          <w:p>
            <w:pPr>
              <w:pStyle w:val="TableParagraph"/>
              <w:rPr>
                <w:sz w:val="18"/>
              </w:rPr>
            </w:pPr>
          </w:p>
        </w:tc>
        <w:tc>
          <w:tcPr>
            <w:tcW w:w="1678" w:type="dxa"/>
          </w:tcPr>
          <w:p>
            <w:pPr>
              <w:pStyle w:val="TableParagraph"/>
              <w:rPr>
                <w:sz w:val="18"/>
              </w:rPr>
            </w:pPr>
          </w:p>
        </w:tc>
        <w:tc>
          <w:tcPr>
            <w:tcW w:w="3147" w:type="dxa"/>
          </w:tcPr>
          <w:p>
            <w:pPr>
              <w:pStyle w:val="TableParagraph"/>
              <w:ind w:left="977" w:right="408" w:hanging="2"/>
              <w:jc w:val="center"/>
              <w:rPr>
                <w:sz w:val="20"/>
              </w:rPr>
            </w:pPr>
            <w:r>
              <w:rPr>
                <w:spacing w:val="-4"/>
                <w:sz w:val="20"/>
              </w:rPr>
              <w:t>Иной </w:t>
            </w:r>
            <w:r>
              <w:rPr>
                <w:spacing w:val="-2"/>
                <w:sz w:val="20"/>
              </w:rPr>
              <w:t>классификационный </w:t>
            </w:r>
            <w:r>
              <w:rPr>
                <w:sz w:val="20"/>
              </w:rPr>
              <w:t>критерий: olt</w:t>
            </w:r>
          </w:p>
        </w:tc>
        <w:tc>
          <w:tcPr>
            <w:tcW w:w="912" w:type="dxa"/>
          </w:tcPr>
          <w:p>
            <w:pPr>
              <w:pStyle w:val="TableParagraph"/>
              <w:rPr>
                <w:sz w:val="18"/>
              </w:rPr>
            </w:pPr>
          </w:p>
        </w:tc>
      </w:tr>
      <w:tr>
        <w:trPr>
          <w:trHeight w:val="1020" w:hRule="atLeast"/>
        </w:trPr>
        <w:tc>
          <w:tcPr>
            <w:tcW w:w="946" w:type="dxa"/>
          </w:tcPr>
          <w:p>
            <w:pPr>
              <w:pStyle w:val="TableParagraph"/>
              <w:spacing w:before="46"/>
              <w:ind w:left="39" w:right="198"/>
              <w:jc w:val="center"/>
              <w:rPr>
                <w:sz w:val="20"/>
              </w:rPr>
            </w:pPr>
            <w:r>
              <w:rPr>
                <w:spacing w:val="-2"/>
                <w:sz w:val="20"/>
              </w:rPr>
              <w:t>st19.122</w:t>
            </w:r>
          </w:p>
        </w:tc>
        <w:tc>
          <w:tcPr>
            <w:tcW w:w="707" w:type="dxa"/>
          </w:tcPr>
          <w:p>
            <w:pPr>
              <w:pStyle w:val="TableParagraph"/>
              <w:spacing w:before="46"/>
              <w:ind w:left="210"/>
              <w:rPr>
                <w:sz w:val="20"/>
              </w:rPr>
            </w:pPr>
            <w:r>
              <w:rPr>
                <w:spacing w:val="-5"/>
                <w:sz w:val="20"/>
              </w:rPr>
              <w:t>204</w:t>
            </w:r>
          </w:p>
        </w:tc>
        <w:tc>
          <w:tcPr>
            <w:tcW w:w="2574" w:type="dxa"/>
          </w:tcPr>
          <w:p>
            <w:pPr>
              <w:pStyle w:val="TableParagraph"/>
              <w:spacing w:before="46"/>
              <w:ind w:left="192"/>
              <w:rPr>
                <w:sz w:val="20"/>
              </w:rPr>
            </w:pPr>
            <w:r>
              <w:rPr>
                <w:spacing w:val="-2"/>
                <w:sz w:val="20"/>
              </w:rPr>
              <w:t>Поздний посттрансплантационный </w:t>
            </w:r>
            <w:r>
              <w:rPr>
                <w:sz w:val="20"/>
              </w:rPr>
              <w:t>период после пересадки костного мозга</w:t>
            </w:r>
          </w:p>
        </w:tc>
        <w:tc>
          <w:tcPr>
            <w:tcW w:w="5359" w:type="dxa"/>
          </w:tcPr>
          <w:p>
            <w:pPr>
              <w:pStyle w:val="TableParagraph"/>
              <w:spacing w:before="46"/>
              <w:ind w:right="1066"/>
              <w:jc w:val="center"/>
              <w:rPr>
                <w:sz w:val="20"/>
              </w:rPr>
            </w:pPr>
            <w:r>
              <w:rPr>
                <w:w w:val="99"/>
                <w:sz w:val="20"/>
              </w:rPr>
              <w:t>-</w:t>
            </w:r>
          </w:p>
        </w:tc>
        <w:tc>
          <w:tcPr>
            <w:tcW w:w="1678" w:type="dxa"/>
          </w:tcPr>
          <w:p>
            <w:pPr>
              <w:pStyle w:val="TableParagraph"/>
              <w:spacing w:before="46"/>
              <w:ind w:left="634"/>
              <w:rPr>
                <w:sz w:val="20"/>
              </w:rPr>
            </w:pPr>
            <w:r>
              <w:rPr>
                <w:w w:val="99"/>
                <w:sz w:val="20"/>
              </w:rPr>
              <w:t>-</w:t>
            </w:r>
          </w:p>
        </w:tc>
        <w:tc>
          <w:tcPr>
            <w:tcW w:w="3147" w:type="dxa"/>
          </w:tcPr>
          <w:p>
            <w:pPr>
              <w:pStyle w:val="TableParagraph"/>
              <w:spacing w:before="46"/>
              <w:ind w:left="977" w:right="408" w:hanging="2"/>
              <w:jc w:val="center"/>
              <w:rPr>
                <w:sz w:val="20"/>
              </w:rPr>
            </w:pPr>
            <w:r>
              <w:rPr>
                <w:spacing w:val="-4"/>
                <w:sz w:val="20"/>
              </w:rPr>
              <w:t>Иной </w:t>
            </w:r>
            <w:r>
              <w:rPr>
                <w:spacing w:val="-2"/>
                <w:sz w:val="20"/>
              </w:rPr>
              <w:t>классификационный </w:t>
            </w:r>
            <w:r>
              <w:rPr>
                <w:sz w:val="20"/>
              </w:rPr>
              <w:t>критерий: rbpt</w:t>
            </w:r>
          </w:p>
        </w:tc>
        <w:tc>
          <w:tcPr>
            <w:tcW w:w="912" w:type="dxa"/>
          </w:tcPr>
          <w:p>
            <w:pPr>
              <w:pStyle w:val="TableParagraph"/>
              <w:spacing w:before="46"/>
              <w:ind w:right="47"/>
              <w:jc w:val="right"/>
              <w:rPr>
                <w:sz w:val="20"/>
              </w:rPr>
            </w:pPr>
            <w:r>
              <w:rPr>
                <w:spacing w:val="-2"/>
                <w:sz w:val="20"/>
              </w:rPr>
              <w:t>23,41</w:t>
            </w:r>
          </w:p>
        </w:tc>
      </w:tr>
      <w:tr>
        <w:trPr>
          <w:trHeight w:val="330" w:hRule="atLeast"/>
        </w:trPr>
        <w:tc>
          <w:tcPr>
            <w:tcW w:w="946" w:type="dxa"/>
          </w:tcPr>
          <w:p>
            <w:pPr>
              <w:pStyle w:val="TableParagraph"/>
              <w:spacing w:before="46"/>
              <w:ind w:left="37" w:right="198"/>
              <w:jc w:val="center"/>
              <w:rPr>
                <w:sz w:val="20"/>
              </w:rPr>
            </w:pPr>
            <w:r>
              <w:rPr>
                <w:spacing w:val="-4"/>
                <w:sz w:val="20"/>
              </w:rPr>
              <w:t>st20</w:t>
            </w:r>
          </w:p>
        </w:tc>
        <w:tc>
          <w:tcPr>
            <w:tcW w:w="707" w:type="dxa"/>
          </w:tcPr>
          <w:p>
            <w:pPr>
              <w:pStyle w:val="TableParagraph"/>
              <w:spacing w:before="46"/>
              <w:ind w:left="261"/>
              <w:rPr>
                <w:sz w:val="20"/>
              </w:rPr>
            </w:pPr>
            <w:r>
              <w:rPr>
                <w:spacing w:val="-5"/>
                <w:sz w:val="20"/>
              </w:rPr>
              <w:t>20</w:t>
            </w:r>
          </w:p>
        </w:tc>
        <w:tc>
          <w:tcPr>
            <w:tcW w:w="2574" w:type="dxa"/>
          </w:tcPr>
          <w:p>
            <w:pPr>
              <w:pStyle w:val="TableParagraph"/>
              <w:rPr>
                <w:sz w:val="18"/>
              </w:rPr>
            </w:pPr>
          </w:p>
        </w:tc>
        <w:tc>
          <w:tcPr>
            <w:tcW w:w="5359" w:type="dxa"/>
          </w:tcPr>
          <w:p>
            <w:pPr>
              <w:pStyle w:val="TableParagraph"/>
              <w:spacing w:before="46"/>
              <w:ind w:left="2817"/>
              <w:rPr>
                <w:sz w:val="20"/>
              </w:rPr>
            </w:pPr>
            <w:r>
              <w:rPr>
                <w:spacing w:val="-2"/>
                <w:sz w:val="20"/>
              </w:rPr>
              <w:t>Оториноларингология</w:t>
            </w:r>
          </w:p>
        </w:tc>
        <w:tc>
          <w:tcPr>
            <w:tcW w:w="1678" w:type="dxa"/>
          </w:tcPr>
          <w:p>
            <w:pPr>
              <w:pStyle w:val="TableParagraph"/>
              <w:rPr>
                <w:sz w:val="18"/>
              </w:rPr>
            </w:pPr>
          </w:p>
        </w:tc>
        <w:tc>
          <w:tcPr>
            <w:tcW w:w="3147" w:type="dxa"/>
          </w:tcPr>
          <w:p>
            <w:pPr>
              <w:pStyle w:val="TableParagraph"/>
              <w:rPr>
                <w:sz w:val="18"/>
              </w:rPr>
            </w:pPr>
          </w:p>
        </w:tc>
        <w:tc>
          <w:tcPr>
            <w:tcW w:w="912" w:type="dxa"/>
          </w:tcPr>
          <w:p>
            <w:pPr>
              <w:pStyle w:val="TableParagraph"/>
              <w:spacing w:before="46"/>
              <w:ind w:right="97"/>
              <w:jc w:val="right"/>
              <w:rPr>
                <w:sz w:val="20"/>
              </w:rPr>
            </w:pPr>
            <w:r>
              <w:rPr>
                <w:spacing w:val="-4"/>
                <w:sz w:val="20"/>
              </w:rPr>
              <w:t>0,87</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st20.001</w:t>
            </w:r>
          </w:p>
        </w:tc>
        <w:tc>
          <w:tcPr>
            <w:tcW w:w="707" w:type="dxa"/>
          </w:tcPr>
          <w:p>
            <w:pPr>
              <w:pStyle w:val="TableParagraph"/>
              <w:spacing w:line="215" w:lineRule="exact" w:before="45"/>
              <w:ind w:left="210"/>
              <w:rPr>
                <w:sz w:val="20"/>
              </w:rPr>
            </w:pPr>
            <w:r>
              <w:rPr>
                <w:spacing w:val="-5"/>
                <w:sz w:val="20"/>
              </w:rPr>
              <w:t>205</w:t>
            </w:r>
          </w:p>
        </w:tc>
        <w:tc>
          <w:tcPr>
            <w:tcW w:w="2574" w:type="dxa"/>
          </w:tcPr>
          <w:p>
            <w:pPr>
              <w:pStyle w:val="TableParagraph"/>
              <w:spacing w:line="215" w:lineRule="exact" w:before="45"/>
              <w:ind w:left="192"/>
              <w:rPr>
                <w:sz w:val="20"/>
              </w:rPr>
            </w:pPr>
            <w:r>
              <w:rPr>
                <w:spacing w:val="-2"/>
                <w:sz w:val="20"/>
              </w:rPr>
              <w:t>Доброкачественные</w:t>
            </w:r>
          </w:p>
        </w:tc>
        <w:tc>
          <w:tcPr>
            <w:tcW w:w="5359" w:type="dxa"/>
          </w:tcPr>
          <w:p>
            <w:pPr>
              <w:pStyle w:val="TableParagraph"/>
              <w:spacing w:line="215" w:lineRule="exact" w:before="45"/>
              <w:ind w:left="240"/>
              <w:rPr>
                <w:sz w:val="20"/>
              </w:rPr>
            </w:pPr>
            <w:r>
              <w:rPr>
                <w:sz w:val="20"/>
              </w:rPr>
              <w:t>D00,</w:t>
            </w:r>
            <w:r>
              <w:rPr>
                <w:spacing w:val="-5"/>
                <w:sz w:val="20"/>
              </w:rPr>
              <w:t> </w:t>
            </w:r>
            <w:r>
              <w:rPr>
                <w:sz w:val="20"/>
              </w:rPr>
              <w:t>D00.0,</w:t>
            </w:r>
            <w:r>
              <w:rPr>
                <w:spacing w:val="-5"/>
                <w:sz w:val="20"/>
              </w:rPr>
              <w:t> </w:t>
            </w:r>
            <w:r>
              <w:rPr>
                <w:sz w:val="20"/>
              </w:rPr>
              <w:t>D00.1,</w:t>
            </w:r>
            <w:r>
              <w:rPr>
                <w:spacing w:val="-5"/>
                <w:sz w:val="20"/>
              </w:rPr>
              <w:t> </w:t>
            </w:r>
            <w:r>
              <w:rPr>
                <w:sz w:val="20"/>
              </w:rPr>
              <w:t>D00.2,</w:t>
            </w:r>
            <w:r>
              <w:rPr>
                <w:spacing w:val="-5"/>
                <w:sz w:val="20"/>
              </w:rPr>
              <w:t> </w:t>
            </w:r>
            <w:r>
              <w:rPr>
                <w:sz w:val="20"/>
              </w:rPr>
              <w:t>D02.0,</w:t>
            </w:r>
            <w:r>
              <w:rPr>
                <w:spacing w:val="-5"/>
                <w:sz w:val="20"/>
              </w:rPr>
              <w:t> </w:t>
            </w:r>
            <w:r>
              <w:rPr>
                <w:sz w:val="20"/>
              </w:rPr>
              <w:t>D10,</w:t>
            </w:r>
            <w:r>
              <w:rPr>
                <w:spacing w:val="-5"/>
                <w:sz w:val="20"/>
              </w:rPr>
              <w:t> </w:t>
            </w:r>
            <w:r>
              <w:rPr>
                <w:spacing w:val="-2"/>
                <w:sz w:val="20"/>
              </w:rPr>
              <w:t>D10.0,</w:t>
            </w:r>
          </w:p>
        </w:tc>
        <w:tc>
          <w:tcPr>
            <w:tcW w:w="1678" w:type="dxa"/>
          </w:tcPr>
          <w:p>
            <w:pPr>
              <w:pStyle w:val="TableParagraph"/>
              <w:spacing w:line="215" w:lineRule="exact" w:before="45"/>
              <w:ind w:left="634"/>
              <w:rPr>
                <w:sz w:val="20"/>
              </w:rPr>
            </w:pPr>
            <w:r>
              <w:rPr>
                <w:w w:val="99"/>
                <w:sz w:val="20"/>
              </w:rPr>
              <w:t>-</w:t>
            </w:r>
          </w:p>
        </w:tc>
        <w:tc>
          <w:tcPr>
            <w:tcW w:w="3147" w:type="dxa"/>
          </w:tcPr>
          <w:p>
            <w:pPr>
              <w:pStyle w:val="TableParagraph"/>
              <w:spacing w:line="215" w:lineRule="exact" w:before="45"/>
              <w:ind w:right="1256"/>
              <w:jc w:val="right"/>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0,66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pacing w:val="-2"/>
                <w:sz w:val="20"/>
              </w:rPr>
              <w:t>новообразования,</w:t>
            </w:r>
          </w:p>
        </w:tc>
        <w:tc>
          <w:tcPr>
            <w:tcW w:w="5359" w:type="dxa"/>
          </w:tcPr>
          <w:p>
            <w:pPr>
              <w:pStyle w:val="TableParagraph"/>
              <w:spacing w:line="210" w:lineRule="exact"/>
              <w:ind w:left="386"/>
              <w:rPr>
                <w:sz w:val="20"/>
              </w:rPr>
            </w:pPr>
            <w:r>
              <w:rPr>
                <w:sz w:val="20"/>
              </w:rPr>
              <w:t>D10.1,</w:t>
            </w:r>
            <w:r>
              <w:rPr>
                <w:spacing w:val="-3"/>
                <w:sz w:val="20"/>
              </w:rPr>
              <w:t> </w:t>
            </w:r>
            <w:r>
              <w:rPr>
                <w:sz w:val="20"/>
              </w:rPr>
              <w:t>D10.2,</w:t>
            </w:r>
            <w:r>
              <w:rPr>
                <w:spacing w:val="-6"/>
                <w:sz w:val="20"/>
              </w:rPr>
              <w:t> </w:t>
            </w:r>
            <w:r>
              <w:rPr>
                <w:sz w:val="20"/>
              </w:rPr>
              <w:t>D10.3,</w:t>
            </w:r>
            <w:r>
              <w:rPr>
                <w:spacing w:val="-4"/>
                <w:sz w:val="20"/>
              </w:rPr>
              <w:t> </w:t>
            </w:r>
            <w:r>
              <w:rPr>
                <w:sz w:val="20"/>
              </w:rPr>
              <w:t>D10.4,</w:t>
            </w:r>
            <w:r>
              <w:rPr>
                <w:spacing w:val="-6"/>
                <w:sz w:val="20"/>
              </w:rPr>
              <w:t> </w:t>
            </w:r>
            <w:r>
              <w:rPr>
                <w:sz w:val="20"/>
              </w:rPr>
              <w:t>D10.5,</w:t>
            </w:r>
            <w:r>
              <w:rPr>
                <w:spacing w:val="-4"/>
                <w:sz w:val="20"/>
              </w:rPr>
              <w:t> </w:t>
            </w:r>
            <w:r>
              <w:rPr>
                <w:spacing w:val="-2"/>
                <w:sz w:val="20"/>
              </w:rPr>
              <w:t>D10.6,</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z w:val="20"/>
              </w:rPr>
              <w:t>новообразования</w:t>
            </w:r>
            <w:r>
              <w:rPr>
                <w:spacing w:val="-12"/>
                <w:sz w:val="20"/>
              </w:rPr>
              <w:t> </w:t>
            </w:r>
            <w:r>
              <w:rPr>
                <w:sz w:val="20"/>
              </w:rPr>
              <w:t>in</w:t>
            </w:r>
            <w:r>
              <w:rPr>
                <w:spacing w:val="-11"/>
                <w:sz w:val="20"/>
              </w:rPr>
              <w:t> </w:t>
            </w:r>
            <w:r>
              <w:rPr>
                <w:spacing w:val="-4"/>
                <w:sz w:val="20"/>
              </w:rPr>
              <w:t>situ</w:t>
            </w:r>
          </w:p>
        </w:tc>
        <w:tc>
          <w:tcPr>
            <w:tcW w:w="5359" w:type="dxa"/>
          </w:tcPr>
          <w:p>
            <w:pPr>
              <w:pStyle w:val="TableParagraph"/>
              <w:spacing w:line="210" w:lineRule="exact"/>
              <w:ind w:left="165"/>
              <w:rPr>
                <w:sz w:val="20"/>
              </w:rPr>
            </w:pPr>
            <w:r>
              <w:rPr>
                <w:sz w:val="20"/>
              </w:rPr>
              <w:t>D10.7,</w:t>
            </w:r>
            <w:r>
              <w:rPr>
                <w:spacing w:val="-6"/>
                <w:sz w:val="20"/>
              </w:rPr>
              <w:t> </w:t>
            </w:r>
            <w:r>
              <w:rPr>
                <w:sz w:val="20"/>
              </w:rPr>
              <w:t>D10.9,</w:t>
            </w:r>
            <w:r>
              <w:rPr>
                <w:spacing w:val="-7"/>
                <w:sz w:val="20"/>
              </w:rPr>
              <w:t> </w:t>
            </w:r>
            <w:r>
              <w:rPr>
                <w:sz w:val="20"/>
              </w:rPr>
              <w:t>D11,</w:t>
            </w:r>
            <w:r>
              <w:rPr>
                <w:spacing w:val="-5"/>
                <w:sz w:val="20"/>
              </w:rPr>
              <w:t> </w:t>
            </w:r>
            <w:r>
              <w:rPr>
                <w:sz w:val="20"/>
              </w:rPr>
              <w:t>D11.0,</w:t>
            </w:r>
            <w:r>
              <w:rPr>
                <w:spacing w:val="-5"/>
                <w:sz w:val="20"/>
              </w:rPr>
              <w:t> </w:t>
            </w:r>
            <w:r>
              <w:rPr>
                <w:sz w:val="20"/>
              </w:rPr>
              <w:t>D11.7,</w:t>
            </w:r>
            <w:r>
              <w:rPr>
                <w:spacing w:val="-5"/>
                <w:sz w:val="20"/>
              </w:rPr>
              <w:t> </w:t>
            </w:r>
            <w:r>
              <w:rPr>
                <w:sz w:val="20"/>
              </w:rPr>
              <w:t>D11.9,</w:t>
            </w:r>
            <w:r>
              <w:rPr>
                <w:spacing w:val="-6"/>
                <w:sz w:val="20"/>
              </w:rPr>
              <w:t> </w:t>
            </w:r>
            <w:r>
              <w:rPr>
                <w:spacing w:val="-2"/>
                <w:sz w:val="20"/>
              </w:rPr>
              <w:t>D14.0,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z w:val="20"/>
              </w:rPr>
              <w:t>уха,</w:t>
            </w:r>
            <w:r>
              <w:rPr>
                <w:spacing w:val="-6"/>
                <w:sz w:val="20"/>
              </w:rPr>
              <w:t> </w:t>
            </w:r>
            <w:r>
              <w:rPr>
                <w:sz w:val="20"/>
              </w:rPr>
              <w:t>горла,</w:t>
            </w:r>
            <w:r>
              <w:rPr>
                <w:spacing w:val="-5"/>
                <w:sz w:val="20"/>
              </w:rPr>
              <w:t> </w:t>
            </w:r>
            <w:r>
              <w:rPr>
                <w:sz w:val="20"/>
              </w:rPr>
              <w:t>носа,</w:t>
            </w:r>
            <w:r>
              <w:rPr>
                <w:spacing w:val="-6"/>
                <w:sz w:val="20"/>
              </w:rPr>
              <w:t> </w:t>
            </w:r>
            <w:r>
              <w:rPr>
                <w:spacing w:val="-2"/>
                <w:sz w:val="20"/>
              </w:rPr>
              <w:t>полости</w:t>
            </w:r>
          </w:p>
        </w:tc>
        <w:tc>
          <w:tcPr>
            <w:tcW w:w="5359" w:type="dxa"/>
          </w:tcPr>
          <w:p>
            <w:pPr>
              <w:pStyle w:val="TableParagraph"/>
              <w:spacing w:line="210" w:lineRule="exact"/>
              <w:ind w:left="1600"/>
              <w:rPr>
                <w:sz w:val="20"/>
              </w:rPr>
            </w:pPr>
            <w:r>
              <w:rPr>
                <w:sz w:val="20"/>
              </w:rPr>
              <w:t>D14.1,</w:t>
            </w:r>
            <w:r>
              <w:rPr>
                <w:spacing w:val="-3"/>
                <w:sz w:val="20"/>
              </w:rPr>
              <w:t> </w:t>
            </w:r>
            <w:r>
              <w:rPr>
                <w:spacing w:val="-2"/>
                <w:sz w:val="20"/>
              </w:rPr>
              <w:t>D16.5</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74" w:type="dxa"/>
          </w:tcPr>
          <w:p>
            <w:pPr>
              <w:pStyle w:val="TableParagraph"/>
              <w:spacing w:line="226" w:lineRule="exact"/>
              <w:ind w:left="192"/>
              <w:rPr>
                <w:sz w:val="20"/>
              </w:rPr>
            </w:pPr>
            <w:r>
              <w:rPr>
                <w:spacing w:val="-5"/>
                <w:sz w:val="20"/>
              </w:rPr>
              <w:t>рта</w:t>
            </w:r>
          </w:p>
        </w:tc>
        <w:tc>
          <w:tcPr>
            <w:tcW w:w="5359" w:type="dxa"/>
          </w:tcPr>
          <w:p>
            <w:pPr>
              <w:pStyle w:val="TableParagraph"/>
              <w:rPr>
                <w:sz w:val="18"/>
              </w:rPr>
            </w:pPr>
          </w:p>
        </w:tc>
        <w:tc>
          <w:tcPr>
            <w:tcW w:w="1678" w:type="dxa"/>
          </w:tcPr>
          <w:p>
            <w:pPr>
              <w:pStyle w:val="TableParagraph"/>
              <w:rPr>
                <w:sz w:val="18"/>
              </w:rPr>
            </w:pPr>
          </w:p>
        </w:tc>
        <w:tc>
          <w:tcPr>
            <w:tcW w:w="3147" w:type="dxa"/>
          </w:tcPr>
          <w:p>
            <w:pPr>
              <w:pStyle w:val="TableParagraph"/>
              <w:rPr>
                <w:sz w:val="18"/>
              </w:rPr>
            </w:pPr>
          </w:p>
        </w:tc>
        <w:tc>
          <w:tcPr>
            <w:tcW w:w="91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st20.002</w:t>
            </w:r>
          </w:p>
        </w:tc>
        <w:tc>
          <w:tcPr>
            <w:tcW w:w="707" w:type="dxa"/>
          </w:tcPr>
          <w:p>
            <w:pPr>
              <w:pStyle w:val="TableParagraph"/>
              <w:spacing w:line="215" w:lineRule="exact" w:before="45"/>
              <w:ind w:left="210"/>
              <w:rPr>
                <w:sz w:val="20"/>
              </w:rPr>
            </w:pPr>
            <w:r>
              <w:rPr>
                <w:spacing w:val="-5"/>
                <w:sz w:val="20"/>
              </w:rPr>
              <w:t>206</w:t>
            </w:r>
          </w:p>
        </w:tc>
        <w:tc>
          <w:tcPr>
            <w:tcW w:w="2574" w:type="dxa"/>
          </w:tcPr>
          <w:p>
            <w:pPr>
              <w:pStyle w:val="TableParagraph"/>
              <w:spacing w:line="215" w:lineRule="exact" w:before="45"/>
              <w:ind w:left="192"/>
              <w:rPr>
                <w:sz w:val="20"/>
              </w:rPr>
            </w:pPr>
            <w:r>
              <w:rPr>
                <w:sz w:val="20"/>
              </w:rPr>
              <w:t>Средний</w:t>
            </w:r>
            <w:r>
              <w:rPr>
                <w:spacing w:val="-8"/>
                <w:sz w:val="20"/>
              </w:rPr>
              <w:t> </w:t>
            </w:r>
            <w:r>
              <w:rPr>
                <w:sz w:val="20"/>
              </w:rPr>
              <w:t>отит,</w:t>
            </w:r>
            <w:r>
              <w:rPr>
                <w:spacing w:val="-7"/>
                <w:sz w:val="20"/>
              </w:rPr>
              <w:t> </w:t>
            </w:r>
            <w:r>
              <w:rPr>
                <w:spacing w:val="-2"/>
                <w:sz w:val="20"/>
              </w:rPr>
              <w:t>мастоидит,</w:t>
            </w:r>
          </w:p>
        </w:tc>
        <w:tc>
          <w:tcPr>
            <w:tcW w:w="5359" w:type="dxa"/>
          </w:tcPr>
          <w:p>
            <w:pPr>
              <w:pStyle w:val="TableParagraph"/>
              <w:spacing w:line="215" w:lineRule="exact" w:before="45"/>
              <w:ind w:left="165"/>
              <w:rPr>
                <w:sz w:val="20"/>
              </w:rPr>
            </w:pPr>
            <w:r>
              <w:rPr>
                <w:sz w:val="20"/>
              </w:rPr>
              <w:t>H65,</w:t>
            </w:r>
            <w:r>
              <w:rPr>
                <w:spacing w:val="-6"/>
                <w:sz w:val="20"/>
              </w:rPr>
              <w:t> </w:t>
            </w:r>
            <w:r>
              <w:rPr>
                <w:sz w:val="20"/>
              </w:rPr>
              <w:t>H65.0,</w:t>
            </w:r>
            <w:r>
              <w:rPr>
                <w:spacing w:val="-6"/>
                <w:sz w:val="20"/>
              </w:rPr>
              <w:t> </w:t>
            </w:r>
            <w:r>
              <w:rPr>
                <w:sz w:val="20"/>
              </w:rPr>
              <w:t>H65.1,</w:t>
            </w:r>
            <w:r>
              <w:rPr>
                <w:spacing w:val="-5"/>
                <w:sz w:val="20"/>
              </w:rPr>
              <w:t> </w:t>
            </w:r>
            <w:r>
              <w:rPr>
                <w:sz w:val="20"/>
              </w:rPr>
              <w:t>H65.2,</w:t>
            </w:r>
            <w:r>
              <w:rPr>
                <w:spacing w:val="-6"/>
                <w:sz w:val="20"/>
              </w:rPr>
              <w:t> </w:t>
            </w:r>
            <w:r>
              <w:rPr>
                <w:sz w:val="20"/>
              </w:rPr>
              <w:t>H65.3,</w:t>
            </w:r>
            <w:r>
              <w:rPr>
                <w:spacing w:val="-5"/>
                <w:sz w:val="20"/>
              </w:rPr>
              <w:t> </w:t>
            </w:r>
            <w:r>
              <w:rPr>
                <w:sz w:val="20"/>
              </w:rPr>
              <w:t>H65.4,</w:t>
            </w:r>
            <w:r>
              <w:rPr>
                <w:spacing w:val="-6"/>
                <w:sz w:val="20"/>
              </w:rPr>
              <w:t> </w:t>
            </w:r>
            <w:r>
              <w:rPr>
                <w:spacing w:val="-2"/>
                <w:sz w:val="20"/>
              </w:rPr>
              <w:t>H65.9,</w:t>
            </w:r>
          </w:p>
        </w:tc>
        <w:tc>
          <w:tcPr>
            <w:tcW w:w="1678" w:type="dxa"/>
          </w:tcPr>
          <w:p>
            <w:pPr>
              <w:pStyle w:val="TableParagraph"/>
              <w:spacing w:line="215" w:lineRule="exact" w:before="45"/>
              <w:ind w:left="634"/>
              <w:rPr>
                <w:sz w:val="20"/>
              </w:rPr>
            </w:pPr>
            <w:r>
              <w:rPr>
                <w:w w:val="99"/>
                <w:sz w:val="20"/>
              </w:rPr>
              <w:t>-</w:t>
            </w:r>
          </w:p>
        </w:tc>
        <w:tc>
          <w:tcPr>
            <w:tcW w:w="3147" w:type="dxa"/>
          </w:tcPr>
          <w:p>
            <w:pPr>
              <w:pStyle w:val="TableParagraph"/>
              <w:spacing w:line="215" w:lineRule="exact" w:before="45"/>
              <w:ind w:right="1256"/>
              <w:jc w:val="right"/>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0,47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pacing w:val="-2"/>
                <w:sz w:val="20"/>
              </w:rPr>
              <w:t>нарушения</w:t>
            </w:r>
          </w:p>
        </w:tc>
        <w:tc>
          <w:tcPr>
            <w:tcW w:w="5359" w:type="dxa"/>
          </w:tcPr>
          <w:p>
            <w:pPr>
              <w:pStyle w:val="TableParagraph"/>
              <w:spacing w:line="210" w:lineRule="exact"/>
              <w:ind w:left="165"/>
              <w:rPr>
                <w:sz w:val="20"/>
              </w:rPr>
            </w:pPr>
            <w:r>
              <w:rPr>
                <w:sz w:val="20"/>
              </w:rPr>
              <w:t>H66,</w:t>
            </w:r>
            <w:r>
              <w:rPr>
                <w:spacing w:val="-6"/>
                <w:sz w:val="20"/>
              </w:rPr>
              <w:t> </w:t>
            </w:r>
            <w:r>
              <w:rPr>
                <w:sz w:val="20"/>
              </w:rPr>
              <w:t>H66.0,</w:t>
            </w:r>
            <w:r>
              <w:rPr>
                <w:spacing w:val="-5"/>
                <w:sz w:val="20"/>
              </w:rPr>
              <w:t> </w:t>
            </w:r>
            <w:r>
              <w:rPr>
                <w:sz w:val="20"/>
              </w:rPr>
              <w:t>H66.1,</w:t>
            </w:r>
            <w:r>
              <w:rPr>
                <w:spacing w:val="-6"/>
                <w:sz w:val="20"/>
              </w:rPr>
              <w:t> </w:t>
            </w:r>
            <w:r>
              <w:rPr>
                <w:sz w:val="20"/>
              </w:rPr>
              <w:t>H66.2,</w:t>
            </w:r>
            <w:r>
              <w:rPr>
                <w:spacing w:val="-5"/>
                <w:sz w:val="20"/>
              </w:rPr>
              <w:t> </w:t>
            </w:r>
            <w:r>
              <w:rPr>
                <w:sz w:val="20"/>
              </w:rPr>
              <w:t>H66.3,</w:t>
            </w:r>
            <w:r>
              <w:rPr>
                <w:spacing w:val="-1"/>
                <w:sz w:val="20"/>
              </w:rPr>
              <w:t> </w:t>
            </w:r>
            <w:r>
              <w:rPr>
                <w:sz w:val="20"/>
              </w:rPr>
              <w:t>H66.4,</w:t>
            </w:r>
            <w:r>
              <w:rPr>
                <w:spacing w:val="-6"/>
                <w:sz w:val="20"/>
              </w:rPr>
              <w:t> </w:t>
            </w:r>
            <w:r>
              <w:rPr>
                <w:spacing w:val="-2"/>
                <w:sz w:val="20"/>
              </w:rPr>
              <w:t>H66.9,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1" w:lineRule="exact"/>
              <w:ind w:left="192"/>
              <w:rPr>
                <w:sz w:val="20"/>
              </w:rPr>
            </w:pPr>
            <w:r>
              <w:rPr>
                <w:w w:val="95"/>
                <w:sz w:val="20"/>
              </w:rPr>
              <w:t>вестибулярной</w:t>
            </w:r>
            <w:r>
              <w:rPr>
                <w:spacing w:val="45"/>
                <w:sz w:val="20"/>
              </w:rPr>
              <w:t> </w:t>
            </w:r>
            <w:r>
              <w:rPr>
                <w:spacing w:val="-2"/>
                <w:sz w:val="20"/>
              </w:rPr>
              <w:t>функции</w:t>
            </w:r>
          </w:p>
        </w:tc>
        <w:tc>
          <w:tcPr>
            <w:tcW w:w="5359" w:type="dxa"/>
          </w:tcPr>
          <w:p>
            <w:pPr>
              <w:pStyle w:val="TableParagraph"/>
              <w:spacing w:line="211" w:lineRule="exact"/>
              <w:ind w:left="314"/>
              <w:rPr>
                <w:sz w:val="20"/>
              </w:rPr>
            </w:pPr>
            <w:r>
              <w:rPr>
                <w:sz w:val="20"/>
              </w:rPr>
              <w:t>H67,</w:t>
            </w:r>
            <w:r>
              <w:rPr>
                <w:spacing w:val="-5"/>
                <w:sz w:val="20"/>
              </w:rPr>
              <w:t> </w:t>
            </w:r>
            <w:r>
              <w:rPr>
                <w:sz w:val="20"/>
              </w:rPr>
              <w:t>H67.0,</w:t>
            </w:r>
            <w:r>
              <w:rPr>
                <w:spacing w:val="-5"/>
                <w:sz w:val="20"/>
              </w:rPr>
              <w:t> </w:t>
            </w:r>
            <w:r>
              <w:rPr>
                <w:sz w:val="20"/>
              </w:rPr>
              <w:t>H67.1,</w:t>
            </w:r>
            <w:r>
              <w:rPr>
                <w:spacing w:val="-5"/>
                <w:sz w:val="20"/>
              </w:rPr>
              <w:t> </w:t>
            </w:r>
            <w:r>
              <w:rPr>
                <w:sz w:val="20"/>
              </w:rPr>
              <w:t>H67.8,</w:t>
            </w:r>
            <w:r>
              <w:rPr>
                <w:spacing w:val="-5"/>
                <w:sz w:val="20"/>
              </w:rPr>
              <w:t> </w:t>
            </w:r>
            <w:r>
              <w:rPr>
                <w:sz w:val="20"/>
              </w:rPr>
              <w:t>H68,</w:t>
            </w:r>
            <w:r>
              <w:rPr>
                <w:spacing w:val="-5"/>
                <w:sz w:val="20"/>
              </w:rPr>
              <w:t> </w:t>
            </w:r>
            <w:r>
              <w:rPr>
                <w:sz w:val="20"/>
              </w:rPr>
              <w:t>H68.0,</w:t>
            </w:r>
            <w:r>
              <w:rPr>
                <w:spacing w:val="-5"/>
                <w:sz w:val="20"/>
              </w:rPr>
              <w:t> </w:t>
            </w:r>
            <w:r>
              <w:rPr>
                <w:spacing w:val="-4"/>
                <w:sz w:val="20"/>
              </w:rPr>
              <w:t>H70,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1" w:lineRule="exact"/>
              <w:ind w:left="163"/>
              <w:rPr>
                <w:sz w:val="20"/>
              </w:rPr>
            </w:pPr>
            <w:r>
              <w:rPr>
                <w:sz w:val="20"/>
              </w:rPr>
              <w:t>H70.0,</w:t>
            </w:r>
            <w:r>
              <w:rPr>
                <w:spacing w:val="-4"/>
                <w:sz w:val="20"/>
              </w:rPr>
              <w:t> </w:t>
            </w:r>
            <w:r>
              <w:rPr>
                <w:sz w:val="20"/>
              </w:rPr>
              <w:t>H70.1,</w:t>
            </w:r>
            <w:r>
              <w:rPr>
                <w:spacing w:val="-6"/>
                <w:sz w:val="20"/>
              </w:rPr>
              <w:t> </w:t>
            </w:r>
            <w:r>
              <w:rPr>
                <w:sz w:val="20"/>
              </w:rPr>
              <w:t>H70.2,</w:t>
            </w:r>
            <w:r>
              <w:rPr>
                <w:spacing w:val="-4"/>
                <w:sz w:val="20"/>
              </w:rPr>
              <w:t> </w:t>
            </w:r>
            <w:r>
              <w:rPr>
                <w:sz w:val="20"/>
              </w:rPr>
              <w:t>H70.8,</w:t>
            </w:r>
            <w:r>
              <w:rPr>
                <w:spacing w:val="-6"/>
                <w:sz w:val="20"/>
              </w:rPr>
              <w:t> </w:t>
            </w:r>
            <w:r>
              <w:rPr>
                <w:sz w:val="20"/>
              </w:rPr>
              <w:t>H70.9,</w:t>
            </w:r>
            <w:r>
              <w:rPr>
                <w:spacing w:val="-4"/>
                <w:sz w:val="20"/>
              </w:rPr>
              <w:t> </w:t>
            </w:r>
            <w:r>
              <w:rPr>
                <w:sz w:val="20"/>
              </w:rPr>
              <w:t>H73,</w:t>
            </w:r>
            <w:r>
              <w:rPr>
                <w:spacing w:val="-4"/>
                <w:sz w:val="20"/>
              </w:rPr>
              <w:t> </w:t>
            </w:r>
            <w:r>
              <w:rPr>
                <w:spacing w:val="-2"/>
                <w:sz w:val="20"/>
              </w:rPr>
              <w:t>H73.0,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165"/>
              <w:rPr>
                <w:sz w:val="20"/>
              </w:rPr>
            </w:pPr>
            <w:r>
              <w:rPr>
                <w:sz w:val="20"/>
              </w:rPr>
              <w:t>H73.1,</w:t>
            </w:r>
            <w:r>
              <w:rPr>
                <w:spacing w:val="-6"/>
                <w:sz w:val="20"/>
              </w:rPr>
              <w:t> </w:t>
            </w:r>
            <w:r>
              <w:rPr>
                <w:sz w:val="20"/>
              </w:rPr>
              <w:t>H73.8,</w:t>
            </w:r>
            <w:r>
              <w:rPr>
                <w:spacing w:val="-6"/>
                <w:sz w:val="20"/>
              </w:rPr>
              <w:t> </w:t>
            </w:r>
            <w:r>
              <w:rPr>
                <w:sz w:val="20"/>
              </w:rPr>
              <w:t>H73.9,</w:t>
            </w:r>
            <w:r>
              <w:rPr>
                <w:spacing w:val="-5"/>
                <w:sz w:val="20"/>
              </w:rPr>
              <w:t> </w:t>
            </w:r>
            <w:r>
              <w:rPr>
                <w:sz w:val="20"/>
              </w:rPr>
              <w:t>H75,</w:t>
            </w:r>
            <w:r>
              <w:rPr>
                <w:spacing w:val="-6"/>
                <w:sz w:val="20"/>
              </w:rPr>
              <w:t> </w:t>
            </w:r>
            <w:r>
              <w:rPr>
                <w:sz w:val="20"/>
              </w:rPr>
              <w:t>H75.0,</w:t>
            </w:r>
            <w:r>
              <w:rPr>
                <w:spacing w:val="-5"/>
                <w:sz w:val="20"/>
              </w:rPr>
              <w:t> </w:t>
            </w:r>
            <w:r>
              <w:rPr>
                <w:sz w:val="20"/>
              </w:rPr>
              <w:t>H75.8,</w:t>
            </w:r>
            <w:r>
              <w:rPr>
                <w:spacing w:val="-5"/>
                <w:sz w:val="20"/>
              </w:rPr>
              <w:t> </w:t>
            </w:r>
            <w:r>
              <w:rPr>
                <w:spacing w:val="-2"/>
                <w:sz w:val="20"/>
              </w:rPr>
              <w:t>H81.0,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163"/>
              <w:rPr>
                <w:sz w:val="20"/>
              </w:rPr>
            </w:pPr>
            <w:r>
              <w:rPr>
                <w:sz w:val="20"/>
              </w:rPr>
              <w:t>H81.1,</w:t>
            </w:r>
            <w:r>
              <w:rPr>
                <w:spacing w:val="-5"/>
                <w:sz w:val="20"/>
              </w:rPr>
              <w:t> </w:t>
            </w:r>
            <w:r>
              <w:rPr>
                <w:sz w:val="20"/>
              </w:rPr>
              <w:t>H81.2,</w:t>
            </w:r>
            <w:r>
              <w:rPr>
                <w:spacing w:val="-5"/>
                <w:sz w:val="20"/>
              </w:rPr>
              <w:t> </w:t>
            </w:r>
            <w:r>
              <w:rPr>
                <w:sz w:val="20"/>
              </w:rPr>
              <w:t>H81.3,</w:t>
            </w:r>
            <w:r>
              <w:rPr>
                <w:spacing w:val="-4"/>
                <w:sz w:val="20"/>
              </w:rPr>
              <w:t> </w:t>
            </w:r>
            <w:r>
              <w:rPr>
                <w:sz w:val="20"/>
              </w:rPr>
              <w:t>H81.4,</w:t>
            </w:r>
            <w:r>
              <w:rPr>
                <w:spacing w:val="-6"/>
                <w:sz w:val="20"/>
              </w:rPr>
              <w:t> </w:t>
            </w:r>
            <w:r>
              <w:rPr>
                <w:sz w:val="20"/>
              </w:rPr>
              <w:t>H81.8,</w:t>
            </w:r>
            <w:r>
              <w:rPr>
                <w:spacing w:val="-4"/>
                <w:sz w:val="20"/>
              </w:rPr>
              <w:t> </w:t>
            </w:r>
            <w:r>
              <w:rPr>
                <w:sz w:val="20"/>
              </w:rPr>
              <w:t>H81.9,</w:t>
            </w:r>
            <w:r>
              <w:rPr>
                <w:spacing w:val="-6"/>
                <w:sz w:val="20"/>
              </w:rPr>
              <w:t> </w:t>
            </w:r>
            <w:r>
              <w:rPr>
                <w:spacing w:val="-4"/>
                <w:sz w:val="20"/>
              </w:rPr>
              <w:t>H82,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H83,</w:t>
            </w:r>
            <w:r>
              <w:rPr>
                <w:spacing w:val="-6"/>
                <w:sz w:val="20"/>
              </w:rPr>
              <w:t> </w:t>
            </w:r>
            <w:r>
              <w:rPr>
                <w:sz w:val="20"/>
              </w:rPr>
              <w:t>H83.0,</w:t>
            </w:r>
            <w:r>
              <w:rPr>
                <w:spacing w:val="-6"/>
                <w:sz w:val="20"/>
              </w:rPr>
              <w:t> </w:t>
            </w:r>
            <w:r>
              <w:rPr>
                <w:sz w:val="20"/>
              </w:rPr>
              <w:t>H83.1,</w:t>
            </w:r>
            <w:r>
              <w:rPr>
                <w:spacing w:val="-5"/>
                <w:sz w:val="20"/>
              </w:rPr>
              <w:t> </w:t>
            </w:r>
            <w:r>
              <w:rPr>
                <w:sz w:val="20"/>
              </w:rPr>
              <w:t>H83.2,</w:t>
            </w:r>
            <w:r>
              <w:rPr>
                <w:spacing w:val="-6"/>
                <w:sz w:val="20"/>
              </w:rPr>
              <w:t> </w:t>
            </w:r>
            <w:r>
              <w:rPr>
                <w:sz w:val="20"/>
              </w:rPr>
              <w:t>H83.3,</w:t>
            </w:r>
            <w:r>
              <w:rPr>
                <w:spacing w:val="-5"/>
                <w:sz w:val="20"/>
              </w:rPr>
              <w:t> </w:t>
            </w:r>
            <w:r>
              <w:rPr>
                <w:sz w:val="20"/>
              </w:rPr>
              <w:t>H83.8,</w:t>
            </w:r>
            <w:r>
              <w:rPr>
                <w:spacing w:val="-6"/>
                <w:sz w:val="20"/>
              </w:rPr>
              <w:t> </w:t>
            </w:r>
            <w:r>
              <w:rPr>
                <w:spacing w:val="-2"/>
                <w:sz w:val="20"/>
              </w:rPr>
              <w:t>H83.9,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74" w:type="dxa"/>
          </w:tcPr>
          <w:p>
            <w:pPr>
              <w:pStyle w:val="TableParagraph"/>
              <w:rPr>
                <w:sz w:val="18"/>
              </w:rPr>
            </w:pPr>
          </w:p>
        </w:tc>
        <w:tc>
          <w:tcPr>
            <w:tcW w:w="5359" w:type="dxa"/>
          </w:tcPr>
          <w:p>
            <w:pPr>
              <w:pStyle w:val="TableParagraph"/>
              <w:spacing w:line="226" w:lineRule="exact"/>
              <w:ind w:left="504"/>
              <w:rPr>
                <w:sz w:val="20"/>
              </w:rPr>
            </w:pPr>
            <w:r>
              <w:rPr>
                <w:sz w:val="20"/>
              </w:rPr>
              <w:t>H95,</w:t>
            </w:r>
            <w:r>
              <w:rPr>
                <w:spacing w:val="-5"/>
                <w:sz w:val="20"/>
              </w:rPr>
              <w:t> </w:t>
            </w:r>
            <w:r>
              <w:rPr>
                <w:sz w:val="20"/>
              </w:rPr>
              <w:t>H95.0,</w:t>
            </w:r>
            <w:r>
              <w:rPr>
                <w:spacing w:val="-3"/>
                <w:sz w:val="20"/>
              </w:rPr>
              <w:t> </w:t>
            </w:r>
            <w:r>
              <w:rPr>
                <w:sz w:val="20"/>
              </w:rPr>
              <w:t>H95.1,</w:t>
            </w:r>
            <w:r>
              <w:rPr>
                <w:spacing w:val="-5"/>
                <w:sz w:val="20"/>
              </w:rPr>
              <w:t> </w:t>
            </w:r>
            <w:r>
              <w:rPr>
                <w:sz w:val="20"/>
              </w:rPr>
              <w:t>H95.8,</w:t>
            </w:r>
            <w:r>
              <w:rPr>
                <w:spacing w:val="-5"/>
                <w:sz w:val="20"/>
              </w:rPr>
              <w:t> </w:t>
            </w:r>
            <w:r>
              <w:rPr>
                <w:sz w:val="20"/>
              </w:rPr>
              <w:t>H95.9,</w:t>
            </w:r>
            <w:r>
              <w:rPr>
                <w:spacing w:val="-5"/>
                <w:sz w:val="20"/>
              </w:rPr>
              <w:t> </w:t>
            </w:r>
            <w:r>
              <w:rPr>
                <w:spacing w:val="-4"/>
                <w:sz w:val="20"/>
              </w:rPr>
              <w:t>S04.6</w:t>
            </w:r>
          </w:p>
        </w:tc>
        <w:tc>
          <w:tcPr>
            <w:tcW w:w="1678" w:type="dxa"/>
          </w:tcPr>
          <w:p>
            <w:pPr>
              <w:pStyle w:val="TableParagraph"/>
              <w:rPr>
                <w:sz w:val="18"/>
              </w:rPr>
            </w:pPr>
          </w:p>
        </w:tc>
        <w:tc>
          <w:tcPr>
            <w:tcW w:w="3147" w:type="dxa"/>
          </w:tcPr>
          <w:p>
            <w:pPr>
              <w:pStyle w:val="TableParagraph"/>
              <w:rPr>
                <w:sz w:val="18"/>
              </w:rPr>
            </w:pPr>
          </w:p>
        </w:tc>
        <w:tc>
          <w:tcPr>
            <w:tcW w:w="91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st20.003</w:t>
            </w:r>
          </w:p>
        </w:tc>
        <w:tc>
          <w:tcPr>
            <w:tcW w:w="707" w:type="dxa"/>
          </w:tcPr>
          <w:p>
            <w:pPr>
              <w:pStyle w:val="TableParagraph"/>
              <w:spacing w:line="215" w:lineRule="exact" w:before="45"/>
              <w:ind w:left="210"/>
              <w:rPr>
                <w:sz w:val="20"/>
              </w:rPr>
            </w:pPr>
            <w:r>
              <w:rPr>
                <w:spacing w:val="-5"/>
                <w:sz w:val="20"/>
              </w:rPr>
              <w:t>207</w:t>
            </w:r>
          </w:p>
        </w:tc>
        <w:tc>
          <w:tcPr>
            <w:tcW w:w="2574" w:type="dxa"/>
          </w:tcPr>
          <w:p>
            <w:pPr>
              <w:pStyle w:val="TableParagraph"/>
              <w:spacing w:line="215" w:lineRule="exact" w:before="45"/>
              <w:ind w:left="192"/>
              <w:rPr>
                <w:sz w:val="20"/>
              </w:rPr>
            </w:pPr>
            <w:r>
              <w:rPr>
                <w:sz w:val="20"/>
              </w:rPr>
              <w:t>Другие</w:t>
            </w:r>
            <w:r>
              <w:rPr>
                <w:spacing w:val="-7"/>
                <w:sz w:val="20"/>
              </w:rPr>
              <w:t> </w:t>
            </w:r>
            <w:r>
              <w:rPr>
                <w:sz w:val="20"/>
              </w:rPr>
              <w:t>болезни</w:t>
            </w:r>
            <w:r>
              <w:rPr>
                <w:spacing w:val="-5"/>
                <w:sz w:val="20"/>
              </w:rPr>
              <w:t> уха</w:t>
            </w:r>
          </w:p>
        </w:tc>
        <w:tc>
          <w:tcPr>
            <w:tcW w:w="5359" w:type="dxa"/>
          </w:tcPr>
          <w:p>
            <w:pPr>
              <w:pStyle w:val="TableParagraph"/>
              <w:spacing w:line="215" w:lineRule="exact" w:before="45"/>
              <w:ind w:left="165"/>
              <w:rPr>
                <w:sz w:val="20"/>
              </w:rPr>
            </w:pPr>
            <w:r>
              <w:rPr>
                <w:sz w:val="20"/>
              </w:rPr>
              <w:t>H60,</w:t>
            </w:r>
            <w:r>
              <w:rPr>
                <w:spacing w:val="-6"/>
                <w:sz w:val="20"/>
              </w:rPr>
              <w:t> </w:t>
            </w:r>
            <w:r>
              <w:rPr>
                <w:sz w:val="20"/>
              </w:rPr>
              <w:t>H60.0,</w:t>
            </w:r>
            <w:r>
              <w:rPr>
                <w:spacing w:val="-6"/>
                <w:sz w:val="20"/>
              </w:rPr>
              <w:t> </w:t>
            </w:r>
            <w:r>
              <w:rPr>
                <w:sz w:val="20"/>
              </w:rPr>
              <w:t>H60.1,</w:t>
            </w:r>
            <w:r>
              <w:rPr>
                <w:spacing w:val="-5"/>
                <w:sz w:val="20"/>
              </w:rPr>
              <w:t> </w:t>
            </w:r>
            <w:r>
              <w:rPr>
                <w:sz w:val="20"/>
              </w:rPr>
              <w:t>H60.2,</w:t>
            </w:r>
            <w:r>
              <w:rPr>
                <w:spacing w:val="-6"/>
                <w:sz w:val="20"/>
              </w:rPr>
              <w:t> </w:t>
            </w:r>
            <w:r>
              <w:rPr>
                <w:sz w:val="20"/>
              </w:rPr>
              <w:t>H60.3,</w:t>
            </w:r>
            <w:r>
              <w:rPr>
                <w:spacing w:val="-5"/>
                <w:sz w:val="20"/>
              </w:rPr>
              <w:t> </w:t>
            </w:r>
            <w:r>
              <w:rPr>
                <w:sz w:val="20"/>
              </w:rPr>
              <w:t>H60.4,</w:t>
            </w:r>
            <w:r>
              <w:rPr>
                <w:spacing w:val="-6"/>
                <w:sz w:val="20"/>
              </w:rPr>
              <w:t> </w:t>
            </w:r>
            <w:r>
              <w:rPr>
                <w:spacing w:val="-2"/>
                <w:sz w:val="20"/>
              </w:rPr>
              <w:t>H60.5,</w:t>
            </w:r>
          </w:p>
        </w:tc>
        <w:tc>
          <w:tcPr>
            <w:tcW w:w="1678" w:type="dxa"/>
          </w:tcPr>
          <w:p>
            <w:pPr>
              <w:pStyle w:val="TableParagraph"/>
              <w:spacing w:line="215" w:lineRule="exact" w:before="45"/>
              <w:ind w:left="634"/>
              <w:rPr>
                <w:sz w:val="20"/>
              </w:rPr>
            </w:pPr>
            <w:r>
              <w:rPr>
                <w:w w:val="99"/>
                <w:sz w:val="20"/>
              </w:rPr>
              <w:t>-</w:t>
            </w:r>
          </w:p>
        </w:tc>
        <w:tc>
          <w:tcPr>
            <w:tcW w:w="3147" w:type="dxa"/>
          </w:tcPr>
          <w:p>
            <w:pPr>
              <w:pStyle w:val="TableParagraph"/>
              <w:spacing w:line="215" w:lineRule="exact" w:before="45"/>
              <w:ind w:right="1256"/>
              <w:jc w:val="right"/>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0,61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H60.8,</w:t>
            </w:r>
            <w:r>
              <w:rPr>
                <w:spacing w:val="-6"/>
                <w:sz w:val="20"/>
              </w:rPr>
              <w:t> </w:t>
            </w:r>
            <w:r>
              <w:rPr>
                <w:sz w:val="20"/>
              </w:rPr>
              <w:t>H60.9,</w:t>
            </w:r>
            <w:r>
              <w:rPr>
                <w:spacing w:val="-7"/>
                <w:sz w:val="20"/>
              </w:rPr>
              <w:t> </w:t>
            </w:r>
            <w:r>
              <w:rPr>
                <w:sz w:val="20"/>
              </w:rPr>
              <w:t>H61,</w:t>
            </w:r>
            <w:r>
              <w:rPr>
                <w:spacing w:val="-5"/>
                <w:sz w:val="20"/>
              </w:rPr>
              <w:t> </w:t>
            </w:r>
            <w:r>
              <w:rPr>
                <w:sz w:val="20"/>
              </w:rPr>
              <w:t>H61.0,</w:t>
            </w:r>
            <w:r>
              <w:rPr>
                <w:spacing w:val="-5"/>
                <w:sz w:val="20"/>
              </w:rPr>
              <w:t> </w:t>
            </w:r>
            <w:r>
              <w:rPr>
                <w:sz w:val="20"/>
              </w:rPr>
              <w:t>H61.1,</w:t>
            </w:r>
            <w:r>
              <w:rPr>
                <w:spacing w:val="-5"/>
                <w:sz w:val="20"/>
              </w:rPr>
              <w:t> </w:t>
            </w:r>
            <w:r>
              <w:rPr>
                <w:sz w:val="20"/>
              </w:rPr>
              <w:t>H61.2,</w:t>
            </w:r>
            <w:r>
              <w:rPr>
                <w:spacing w:val="-6"/>
                <w:sz w:val="20"/>
              </w:rPr>
              <w:t> </w:t>
            </w:r>
            <w:r>
              <w:rPr>
                <w:spacing w:val="-2"/>
                <w:sz w:val="20"/>
              </w:rPr>
              <w:t>H61.3,</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H61.8,</w:t>
            </w:r>
            <w:r>
              <w:rPr>
                <w:spacing w:val="-6"/>
                <w:sz w:val="20"/>
              </w:rPr>
              <w:t> </w:t>
            </w:r>
            <w:r>
              <w:rPr>
                <w:sz w:val="20"/>
              </w:rPr>
              <w:t>H61.9,</w:t>
            </w:r>
            <w:r>
              <w:rPr>
                <w:spacing w:val="-7"/>
                <w:sz w:val="20"/>
              </w:rPr>
              <w:t> </w:t>
            </w:r>
            <w:r>
              <w:rPr>
                <w:sz w:val="20"/>
              </w:rPr>
              <w:t>H62,</w:t>
            </w:r>
            <w:r>
              <w:rPr>
                <w:spacing w:val="-5"/>
                <w:sz w:val="20"/>
              </w:rPr>
              <w:t> </w:t>
            </w:r>
            <w:r>
              <w:rPr>
                <w:sz w:val="20"/>
              </w:rPr>
              <w:t>H62.0,</w:t>
            </w:r>
            <w:r>
              <w:rPr>
                <w:spacing w:val="-5"/>
                <w:sz w:val="20"/>
              </w:rPr>
              <w:t> </w:t>
            </w:r>
            <w:r>
              <w:rPr>
                <w:sz w:val="20"/>
              </w:rPr>
              <w:t>H62.1,</w:t>
            </w:r>
            <w:r>
              <w:rPr>
                <w:spacing w:val="-5"/>
                <w:sz w:val="20"/>
              </w:rPr>
              <w:t> </w:t>
            </w:r>
            <w:r>
              <w:rPr>
                <w:sz w:val="20"/>
              </w:rPr>
              <w:t>H62.2,</w:t>
            </w:r>
            <w:r>
              <w:rPr>
                <w:spacing w:val="-6"/>
                <w:sz w:val="20"/>
              </w:rPr>
              <w:t> </w:t>
            </w:r>
            <w:r>
              <w:rPr>
                <w:spacing w:val="-2"/>
                <w:sz w:val="20"/>
              </w:rPr>
              <w:t>H62.3,</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H62.4,</w:t>
            </w:r>
            <w:r>
              <w:rPr>
                <w:spacing w:val="-6"/>
                <w:sz w:val="20"/>
              </w:rPr>
              <w:t> </w:t>
            </w:r>
            <w:r>
              <w:rPr>
                <w:sz w:val="20"/>
              </w:rPr>
              <w:t>H62.8,</w:t>
            </w:r>
            <w:r>
              <w:rPr>
                <w:spacing w:val="-6"/>
                <w:sz w:val="20"/>
              </w:rPr>
              <w:t> </w:t>
            </w:r>
            <w:r>
              <w:rPr>
                <w:sz w:val="20"/>
              </w:rPr>
              <w:t>H68.1,</w:t>
            </w:r>
            <w:r>
              <w:rPr>
                <w:spacing w:val="-5"/>
                <w:sz w:val="20"/>
              </w:rPr>
              <w:t> </w:t>
            </w:r>
            <w:r>
              <w:rPr>
                <w:sz w:val="20"/>
              </w:rPr>
              <w:t>H69,</w:t>
            </w:r>
            <w:r>
              <w:rPr>
                <w:spacing w:val="-6"/>
                <w:sz w:val="20"/>
              </w:rPr>
              <w:t> </w:t>
            </w:r>
            <w:r>
              <w:rPr>
                <w:sz w:val="20"/>
              </w:rPr>
              <w:t>H69.0,</w:t>
            </w:r>
            <w:r>
              <w:rPr>
                <w:spacing w:val="-5"/>
                <w:sz w:val="20"/>
              </w:rPr>
              <w:t> </w:t>
            </w:r>
            <w:r>
              <w:rPr>
                <w:sz w:val="20"/>
              </w:rPr>
              <w:t>H69.8,</w:t>
            </w:r>
            <w:r>
              <w:rPr>
                <w:spacing w:val="-5"/>
                <w:sz w:val="20"/>
              </w:rPr>
              <w:t> </w:t>
            </w:r>
            <w:r>
              <w:rPr>
                <w:spacing w:val="-2"/>
                <w:sz w:val="20"/>
              </w:rPr>
              <w:t>H69.9,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240"/>
              <w:rPr>
                <w:sz w:val="20"/>
              </w:rPr>
            </w:pPr>
            <w:r>
              <w:rPr>
                <w:sz w:val="20"/>
              </w:rPr>
              <w:t>H71,</w:t>
            </w:r>
            <w:r>
              <w:rPr>
                <w:spacing w:val="-5"/>
                <w:sz w:val="20"/>
              </w:rPr>
              <w:t> </w:t>
            </w:r>
            <w:r>
              <w:rPr>
                <w:sz w:val="20"/>
              </w:rPr>
              <w:t>H72,</w:t>
            </w:r>
            <w:r>
              <w:rPr>
                <w:spacing w:val="-6"/>
                <w:sz w:val="20"/>
              </w:rPr>
              <w:t> </w:t>
            </w:r>
            <w:r>
              <w:rPr>
                <w:sz w:val="20"/>
              </w:rPr>
              <w:t>H72.0,</w:t>
            </w:r>
            <w:r>
              <w:rPr>
                <w:spacing w:val="-4"/>
                <w:sz w:val="20"/>
              </w:rPr>
              <w:t> </w:t>
            </w:r>
            <w:r>
              <w:rPr>
                <w:sz w:val="20"/>
              </w:rPr>
              <w:t>H72.1,</w:t>
            </w:r>
            <w:r>
              <w:rPr>
                <w:spacing w:val="-5"/>
                <w:sz w:val="20"/>
              </w:rPr>
              <w:t> </w:t>
            </w:r>
            <w:r>
              <w:rPr>
                <w:sz w:val="20"/>
              </w:rPr>
              <w:t>H72.2,</w:t>
            </w:r>
            <w:r>
              <w:rPr>
                <w:spacing w:val="-4"/>
                <w:sz w:val="20"/>
              </w:rPr>
              <w:t> </w:t>
            </w:r>
            <w:r>
              <w:rPr>
                <w:sz w:val="20"/>
              </w:rPr>
              <w:t>H72.8,</w:t>
            </w:r>
            <w:r>
              <w:rPr>
                <w:spacing w:val="-4"/>
                <w:sz w:val="20"/>
              </w:rPr>
              <w:t> </w:t>
            </w:r>
            <w:r>
              <w:rPr>
                <w:spacing w:val="-2"/>
                <w:sz w:val="20"/>
              </w:rPr>
              <w:t>H72.9,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H74,</w:t>
            </w:r>
            <w:r>
              <w:rPr>
                <w:spacing w:val="-6"/>
                <w:sz w:val="20"/>
              </w:rPr>
              <w:t> </w:t>
            </w:r>
            <w:r>
              <w:rPr>
                <w:sz w:val="20"/>
              </w:rPr>
              <w:t>H74.0,</w:t>
            </w:r>
            <w:r>
              <w:rPr>
                <w:spacing w:val="-6"/>
                <w:sz w:val="20"/>
              </w:rPr>
              <w:t> </w:t>
            </w:r>
            <w:r>
              <w:rPr>
                <w:sz w:val="20"/>
              </w:rPr>
              <w:t>H74.1,</w:t>
            </w:r>
            <w:r>
              <w:rPr>
                <w:spacing w:val="-5"/>
                <w:sz w:val="20"/>
              </w:rPr>
              <w:t> </w:t>
            </w:r>
            <w:r>
              <w:rPr>
                <w:sz w:val="20"/>
              </w:rPr>
              <w:t>H74.2,</w:t>
            </w:r>
            <w:r>
              <w:rPr>
                <w:spacing w:val="-6"/>
                <w:sz w:val="20"/>
              </w:rPr>
              <w:t> </w:t>
            </w:r>
            <w:r>
              <w:rPr>
                <w:sz w:val="20"/>
              </w:rPr>
              <w:t>H74.3,</w:t>
            </w:r>
            <w:r>
              <w:rPr>
                <w:spacing w:val="-5"/>
                <w:sz w:val="20"/>
              </w:rPr>
              <w:t> </w:t>
            </w:r>
            <w:r>
              <w:rPr>
                <w:sz w:val="20"/>
              </w:rPr>
              <w:t>H74.4,</w:t>
            </w:r>
            <w:r>
              <w:rPr>
                <w:spacing w:val="-6"/>
                <w:sz w:val="20"/>
              </w:rPr>
              <w:t> </w:t>
            </w:r>
            <w:r>
              <w:rPr>
                <w:spacing w:val="-2"/>
                <w:sz w:val="20"/>
              </w:rPr>
              <w:t>H74.8,</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165"/>
              <w:rPr>
                <w:sz w:val="20"/>
              </w:rPr>
            </w:pPr>
            <w:r>
              <w:rPr>
                <w:sz w:val="20"/>
              </w:rPr>
              <w:t>H74.9,</w:t>
            </w:r>
            <w:r>
              <w:rPr>
                <w:spacing w:val="-6"/>
                <w:sz w:val="20"/>
              </w:rPr>
              <w:t> </w:t>
            </w:r>
            <w:r>
              <w:rPr>
                <w:sz w:val="20"/>
              </w:rPr>
              <w:t>H80,</w:t>
            </w:r>
            <w:r>
              <w:rPr>
                <w:spacing w:val="-6"/>
                <w:sz w:val="20"/>
              </w:rPr>
              <w:t> </w:t>
            </w:r>
            <w:r>
              <w:rPr>
                <w:sz w:val="20"/>
              </w:rPr>
              <w:t>H80.0,</w:t>
            </w:r>
            <w:r>
              <w:rPr>
                <w:spacing w:val="-5"/>
                <w:sz w:val="20"/>
              </w:rPr>
              <w:t> </w:t>
            </w:r>
            <w:r>
              <w:rPr>
                <w:sz w:val="20"/>
              </w:rPr>
              <w:t>H80.1,</w:t>
            </w:r>
            <w:r>
              <w:rPr>
                <w:spacing w:val="-6"/>
                <w:sz w:val="20"/>
              </w:rPr>
              <w:t> </w:t>
            </w:r>
            <w:r>
              <w:rPr>
                <w:sz w:val="20"/>
              </w:rPr>
              <w:t>H80.2,</w:t>
            </w:r>
            <w:r>
              <w:rPr>
                <w:spacing w:val="-5"/>
                <w:sz w:val="20"/>
              </w:rPr>
              <w:t> </w:t>
            </w:r>
            <w:r>
              <w:rPr>
                <w:sz w:val="20"/>
              </w:rPr>
              <w:t>H80.8,</w:t>
            </w:r>
            <w:r>
              <w:rPr>
                <w:spacing w:val="-6"/>
                <w:sz w:val="20"/>
              </w:rPr>
              <w:t> </w:t>
            </w:r>
            <w:r>
              <w:rPr>
                <w:spacing w:val="-2"/>
                <w:sz w:val="20"/>
              </w:rPr>
              <w:t>H80.9,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H90,</w:t>
            </w:r>
            <w:r>
              <w:rPr>
                <w:spacing w:val="-6"/>
                <w:sz w:val="20"/>
              </w:rPr>
              <w:t> </w:t>
            </w:r>
            <w:r>
              <w:rPr>
                <w:sz w:val="20"/>
              </w:rPr>
              <w:t>H90.0,</w:t>
            </w:r>
            <w:r>
              <w:rPr>
                <w:spacing w:val="-6"/>
                <w:sz w:val="20"/>
              </w:rPr>
              <w:t> </w:t>
            </w:r>
            <w:r>
              <w:rPr>
                <w:sz w:val="20"/>
              </w:rPr>
              <w:t>H90.1,</w:t>
            </w:r>
            <w:r>
              <w:rPr>
                <w:spacing w:val="-5"/>
                <w:sz w:val="20"/>
              </w:rPr>
              <w:t> </w:t>
            </w:r>
            <w:r>
              <w:rPr>
                <w:sz w:val="20"/>
              </w:rPr>
              <w:t>H90.2,</w:t>
            </w:r>
            <w:r>
              <w:rPr>
                <w:spacing w:val="-6"/>
                <w:sz w:val="20"/>
              </w:rPr>
              <w:t> </w:t>
            </w:r>
            <w:r>
              <w:rPr>
                <w:sz w:val="20"/>
              </w:rPr>
              <w:t>H90.3,</w:t>
            </w:r>
            <w:r>
              <w:rPr>
                <w:spacing w:val="-5"/>
                <w:sz w:val="20"/>
              </w:rPr>
              <w:t> </w:t>
            </w:r>
            <w:r>
              <w:rPr>
                <w:sz w:val="20"/>
              </w:rPr>
              <w:t>H90.4,</w:t>
            </w:r>
            <w:r>
              <w:rPr>
                <w:spacing w:val="-6"/>
                <w:sz w:val="20"/>
              </w:rPr>
              <w:t> </w:t>
            </w:r>
            <w:r>
              <w:rPr>
                <w:spacing w:val="-2"/>
                <w:sz w:val="20"/>
              </w:rPr>
              <w:t>H90.5,</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H90.6,</w:t>
            </w:r>
            <w:r>
              <w:rPr>
                <w:spacing w:val="-6"/>
                <w:sz w:val="20"/>
              </w:rPr>
              <w:t> </w:t>
            </w:r>
            <w:r>
              <w:rPr>
                <w:sz w:val="20"/>
              </w:rPr>
              <w:t>H90.7,</w:t>
            </w:r>
            <w:r>
              <w:rPr>
                <w:spacing w:val="-6"/>
                <w:sz w:val="20"/>
              </w:rPr>
              <w:t> </w:t>
            </w:r>
            <w:r>
              <w:rPr>
                <w:sz w:val="20"/>
              </w:rPr>
              <w:t>H90.8,</w:t>
            </w:r>
            <w:r>
              <w:rPr>
                <w:spacing w:val="-5"/>
                <w:sz w:val="20"/>
              </w:rPr>
              <w:t> </w:t>
            </w:r>
            <w:r>
              <w:rPr>
                <w:sz w:val="20"/>
              </w:rPr>
              <w:t>H91,</w:t>
            </w:r>
            <w:r>
              <w:rPr>
                <w:spacing w:val="-6"/>
                <w:sz w:val="20"/>
              </w:rPr>
              <w:t> </w:t>
            </w:r>
            <w:r>
              <w:rPr>
                <w:sz w:val="20"/>
              </w:rPr>
              <w:t>H91.0,</w:t>
            </w:r>
            <w:r>
              <w:rPr>
                <w:spacing w:val="-5"/>
                <w:sz w:val="20"/>
              </w:rPr>
              <w:t> </w:t>
            </w:r>
            <w:r>
              <w:rPr>
                <w:sz w:val="20"/>
              </w:rPr>
              <w:t>H91.1,</w:t>
            </w:r>
            <w:r>
              <w:rPr>
                <w:spacing w:val="-5"/>
                <w:sz w:val="20"/>
              </w:rPr>
              <w:t> </w:t>
            </w:r>
            <w:r>
              <w:rPr>
                <w:spacing w:val="-2"/>
                <w:sz w:val="20"/>
              </w:rPr>
              <w:t>H91.2,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H91.3,</w:t>
            </w:r>
            <w:r>
              <w:rPr>
                <w:spacing w:val="-6"/>
                <w:sz w:val="20"/>
              </w:rPr>
              <w:t> </w:t>
            </w:r>
            <w:r>
              <w:rPr>
                <w:sz w:val="20"/>
              </w:rPr>
              <w:t>H91.8,</w:t>
            </w:r>
            <w:r>
              <w:rPr>
                <w:spacing w:val="-6"/>
                <w:sz w:val="20"/>
              </w:rPr>
              <w:t> </w:t>
            </w:r>
            <w:r>
              <w:rPr>
                <w:sz w:val="20"/>
              </w:rPr>
              <w:t>H91.9,</w:t>
            </w:r>
            <w:r>
              <w:rPr>
                <w:spacing w:val="-3"/>
                <w:sz w:val="20"/>
              </w:rPr>
              <w:t> </w:t>
            </w:r>
            <w:r>
              <w:rPr>
                <w:sz w:val="20"/>
              </w:rPr>
              <w:t>H92,</w:t>
            </w:r>
            <w:r>
              <w:rPr>
                <w:spacing w:val="-5"/>
                <w:sz w:val="20"/>
              </w:rPr>
              <w:t> </w:t>
            </w:r>
            <w:r>
              <w:rPr>
                <w:sz w:val="20"/>
              </w:rPr>
              <w:t>H92.0,</w:t>
            </w:r>
            <w:r>
              <w:rPr>
                <w:spacing w:val="-5"/>
                <w:sz w:val="20"/>
              </w:rPr>
              <w:t> </w:t>
            </w:r>
            <w:r>
              <w:rPr>
                <w:sz w:val="20"/>
              </w:rPr>
              <w:t>H92.1,</w:t>
            </w:r>
            <w:r>
              <w:rPr>
                <w:spacing w:val="-5"/>
                <w:sz w:val="20"/>
              </w:rPr>
              <w:t> </w:t>
            </w:r>
            <w:r>
              <w:rPr>
                <w:spacing w:val="-2"/>
                <w:sz w:val="20"/>
              </w:rPr>
              <w:t>H92.2,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H93,</w:t>
            </w:r>
            <w:r>
              <w:rPr>
                <w:spacing w:val="-6"/>
                <w:sz w:val="20"/>
              </w:rPr>
              <w:t> </w:t>
            </w:r>
            <w:r>
              <w:rPr>
                <w:sz w:val="20"/>
              </w:rPr>
              <w:t>H93.0,</w:t>
            </w:r>
            <w:r>
              <w:rPr>
                <w:spacing w:val="-6"/>
                <w:sz w:val="20"/>
              </w:rPr>
              <w:t> </w:t>
            </w:r>
            <w:r>
              <w:rPr>
                <w:sz w:val="20"/>
              </w:rPr>
              <w:t>H93.1,</w:t>
            </w:r>
            <w:r>
              <w:rPr>
                <w:spacing w:val="-5"/>
                <w:sz w:val="20"/>
              </w:rPr>
              <w:t> </w:t>
            </w:r>
            <w:r>
              <w:rPr>
                <w:sz w:val="20"/>
              </w:rPr>
              <w:t>H93.2,</w:t>
            </w:r>
            <w:r>
              <w:rPr>
                <w:spacing w:val="-6"/>
                <w:sz w:val="20"/>
              </w:rPr>
              <w:t> </w:t>
            </w:r>
            <w:r>
              <w:rPr>
                <w:sz w:val="20"/>
              </w:rPr>
              <w:t>H93.3,</w:t>
            </w:r>
            <w:r>
              <w:rPr>
                <w:spacing w:val="-5"/>
                <w:sz w:val="20"/>
              </w:rPr>
              <w:t> </w:t>
            </w:r>
            <w:r>
              <w:rPr>
                <w:sz w:val="20"/>
              </w:rPr>
              <w:t>H93.8,</w:t>
            </w:r>
            <w:r>
              <w:rPr>
                <w:spacing w:val="-6"/>
                <w:sz w:val="20"/>
              </w:rPr>
              <w:t> </w:t>
            </w:r>
            <w:r>
              <w:rPr>
                <w:spacing w:val="-2"/>
                <w:sz w:val="20"/>
              </w:rPr>
              <w:t>H93.9,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240"/>
              <w:rPr>
                <w:sz w:val="20"/>
              </w:rPr>
            </w:pPr>
            <w:r>
              <w:rPr>
                <w:sz w:val="20"/>
              </w:rPr>
              <w:t>H94,</w:t>
            </w:r>
            <w:r>
              <w:rPr>
                <w:spacing w:val="-5"/>
                <w:sz w:val="20"/>
              </w:rPr>
              <w:t> </w:t>
            </w:r>
            <w:r>
              <w:rPr>
                <w:sz w:val="20"/>
              </w:rPr>
              <w:t>H94.0,</w:t>
            </w:r>
            <w:r>
              <w:rPr>
                <w:spacing w:val="-5"/>
                <w:sz w:val="20"/>
              </w:rPr>
              <w:t> </w:t>
            </w:r>
            <w:r>
              <w:rPr>
                <w:sz w:val="20"/>
              </w:rPr>
              <w:t>H94.8,</w:t>
            </w:r>
            <w:r>
              <w:rPr>
                <w:spacing w:val="-4"/>
                <w:sz w:val="20"/>
              </w:rPr>
              <w:t> </w:t>
            </w:r>
            <w:r>
              <w:rPr>
                <w:sz w:val="20"/>
              </w:rPr>
              <w:t>Q16,</w:t>
            </w:r>
            <w:r>
              <w:rPr>
                <w:spacing w:val="-5"/>
                <w:sz w:val="20"/>
              </w:rPr>
              <w:t> </w:t>
            </w:r>
            <w:r>
              <w:rPr>
                <w:sz w:val="20"/>
              </w:rPr>
              <w:t>Q16.0,</w:t>
            </w:r>
            <w:r>
              <w:rPr>
                <w:spacing w:val="-5"/>
                <w:sz w:val="20"/>
              </w:rPr>
              <w:t> </w:t>
            </w:r>
            <w:r>
              <w:rPr>
                <w:sz w:val="20"/>
              </w:rPr>
              <w:t>Q16.1,</w:t>
            </w:r>
            <w:r>
              <w:rPr>
                <w:spacing w:val="-4"/>
                <w:sz w:val="20"/>
              </w:rPr>
              <w:t> </w:t>
            </w:r>
            <w:r>
              <w:rPr>
                <w:spacing w:val="-2"/>
                <w:sz w:val="20"/>
              </w:rPr>
              <w:t>Q16.2,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4" w:lineRule="exact"/>
              <w:ind w:left="163"/>
              <w:rPr>
                <w:sz w:val="20"/>
              </w:rPr>
            </w:pPr>
            <w:r>
              <w:rPr>
                <w:sz w:val="20"/>
              </w:rPr>
              <w:t>Q16.3,</w:t>
            </w:r>
            <w:r>
              <w:rPr>
                <w:spacing w:val="-4"/>
                <w:sz w:val="20"/>
              </w:rPr>
              <w:t> </w:t>
            </w:r>
            <w:r>
              <w:rPr>
                <w:sz w:val="20"/>
              </w:rPr>
              <w:t>Q16.4,</w:t>
            </w:r>
            <w:r>
              <w:rPr>
                <w:spacing w:val="-6"/>
                <w:sz w:val="20"/>
              </w:rPr>
              <w:t> </w:t>
            </w:r>
            <w:r>
              <w:rPr>
                <w:sz w:val="20"/>
              </w:rPr>
              <w:t>Q16.5,</w:t>
            </w:r>
            <w:r>
              <w:rPr>
                <w:spacing w:val="-4"/>
                <w:sz w:val="20"/>
              </w:rPr>
              <w:t> </w:t>
            </w:r>
            <w:r>
              <w:rPr>
                <w:sz w:val="20"/>
              </w:rPr>
              <w:t>Q16.9,</w:t>
            </w:r>
            <w:r>
              <w:rPr>
                <w:spacing w:val="-6"/>
                <w:sz w:val="20"/>
              </w:rPr>
              <w:t> </w:t>
            </w:r>
            <w:r>
              <w:rPr>
                <w:sz w:val="20"/>
              </w:rPr>
              <w:t>Q17,</w:t>
            </w:r>
            <w:r>
              <w:rPr>
                <w:spacing w:val="-4"/>
                <w:sz w:val="20"/>
              </w:rPr>
              <w:t> </w:t>
            </w:r>
            <w:r>
              <w:rPr>
                <w:sz w:val="20"/>
              </w:rPr>
              <w:t>Q17.0,</w:t>
            </w:r>
            <w:r>
              <w:rPr>
                <w:spacing w:val="-4"/>
                <w:sz w:val="20"/>
              </w:rPr>
              <w:t> </w:t>
            </w:r>
            <w:r>
              <w:rPr>
                <w:spacing w:val="-2"/>
                <w:sz w:val="20"/>
              </w:rPr>
              <w:t>Q17.1,</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6"/>
        <w:gridCol w:w="2510"/>
        <w:gridCol w:w="4395"/>
        <w:gridCol w:w="3883"/>
        <w:gridCol w:w="1571"/>
        <w:gridCol w:w="1260"/>
      </w:tblGrid>
      <w:tr>
        <w:trPr>
          <w:trHeight w:val="505" w:hRule="atLeast"/>
        </w:trPr>
        <w:tc>
          <w:tcPr>
            <w:tcW w:w="946" w:type="dxa"/>
          </w:tcPr>
          <w:p>
            <w:pPr>
              <w:pStyle w:val="TableParagraph"/>
              <w:rPr>
                <w:sz w:val="18"/>
              </w:rPr>
            </w:pPr>
          </w:p>
        </w:tc>
        <w:tc>
          <w:tcPr>
            <w:tcW w:w="706" w:type="dxa"/>
          </w:tcPr>
          <w:p>
            <w:pPr>
              <w:pStyle w:val="TableParagraph"/>
              <w:rPr>
                <w:sz w:val="18"/>
              </w:rPr>
            </w:pPr>
          </w:p>
        </w:tc>
        <w:tc>
          <w:tcPr>
            <w:tcW w:w="2510" w:type="dxa"/>
          </w:tcPr>
          <w:p>
            <w:pPr>
              <w:pStyle w:val="TableParagraph"/>
              <w:rPr>
                <w:sz w:val="18"/>
              </w:rPr>
            </w:pPr>
          </w:p>
        </w:tc>
        <w:tc>
          <w:tcPr>
            <w:tcW w:w="4395" w:type="dxa"/>
          </w:tcPr>
          <w:p>
            <w:pPr>
              <w:pStyle w:val="TableParagraph"/>
              <w:ind w:left="1207" w:hanging="972"/>
              <w:rPr>
                <w:sz w:val="20"/>
              </w:rPr>
            </w:pPr>
            <w:r>
              <w:rPr>
                <w:sz w:val="20"/>
              </w:rPr>
              <w:t>Q17.2,</w:t>
            </w:r>
            <w:r>
              <w:rPr>
                <w:spacing w:val="-6"/>
                <w:sz w:val="20"/>
              </w:rPr>
              <w:t> </w:t>
            </w:r>
            <w:r>
              <w:rPr>
                <w:sz w:val="20"/>
              </w:rPr>
              <w:t>Q17.3,</w:t>
            </w:r>
            <w:r>
              <w:rPr>
                <w:spacing w:val="-8"/>
                <w:sz w:val="20"/>
              </w:rPr>
              <w:t> </w:t>
            </w:r>
            <w:r>
              <w:rPr>
                <w:sz w:val="20"/>
              </w:rPr>
              <w:t>Q17.4,</w:t>
            </w:r>
            <w:r>
              <w:rPr>
                <w:spacing w:val="-6"/>
                <w:sz w:val="20"/>
              </w:rPr>
              <w:t> </w:t>
            </w:r>
            <w:r>
              <w:rPr>
                <w:sz w:val="20"/>
              </w:rPr>
              <w:t>Q17.5,</w:t>
            </w:r>
            <w:r>
              <w:rPr>
                <w:spacing w:val="-8"/>
                <w:sz w:val="20"/>
              </w:rPr>
              <w:t> </w:t>
            </w:r>
            <w:r>
              <w:rPr>
                <w:sz w:val="20"/>
              </w:rPr>
              <w:t>Q17.8,</w:t>
            </w:r>
            <w:r>
              <w:rPr>
                <w:spacing w:val="-6"/>
                <w:sz w:val="20"/>
              </w:rPr>
              <w:t> </w:t>
            </w:r>
            <w:r>
              <w:rPr>
                <w:sz w:val="20"/>
              </w:rPr>
              <w:t>Q17.9,</w:t>
            </w:r>
            <w:r>
              <w:rPr>
                <w:spacing w:val="-8"/>
                <w:sz w:val="20"/>
              </w:rPr>
              <w:t> </w:t>
            </w:r>
            <w:r>
              <w:rPr>
                <w:sz w:val="20"/>
              </w:rPr>
              <w:t>R42, S00.4, S01.3, S09.2, T16</w:t>
            </w:r>
          </w:p>
        </w:tc>
        <w:tc>
          <w:tcPr>
            <w:tcW w:w="3883" w:type="dxa"/>
          </w:tcPr>
          <w:p>
            <w:pPr>
              <w:pStyle w:val="TableParagraph"/>
              <w:rPr>
                <w:sz w:val="18"/>
              </w:rPr>
            </w:pPr>
          </w:p>
        </w:tc>
        <w:tc>
          <w:tcPr>
            <w:tcW w:w="1571"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st20.004</w:t>
            </w:r>
          </w:p>
        </w:tc>
        <w:tc>
          <w:tcPr>
            <w:tcW w:w="706" w:type="dxa"/>
          </w:tcPr>
          <w:p>
            <w:pPr>
              <w:pStyle w:val="TableParagraph"/>
              <w:spacing w:line="215" w:lineRule="exact" w:before="45"/>
              <w:ind w:left="210"/>
              <w:rPr>
                <w:sz w:val="20"/>
              </w:rPr>
            </w:pPr>
            <w:r>
              <w:rPr>
                <w:spacing w:val="-5"/>
                <w:sz w:val="20"/>
              </w:rPr>
              <w:t>208</w:t>
            </w:r>
          </w:p>
        </w:tc>
        <w:tc>
          <w:tcPr>
            <w:tcW w:w="2510" w:type="dxa"/>
          </w:tcPr>
          <w:p>
            <w:pPr>
              <w:pStyle w:val="TableParagraph"/>
              <w:spacing w:line="215" w:lineRule="exact" w:before="45"/>
              <w:ind w:left="193"/>
              <w:rPr>
                <w:sz w:val="20"/>
              </w:rPr>
            </w:pPr>
            <w:r>
              <w:rPr>
                <w:sz w:val="20"/>
              </w:rPr>
              <w:t>Другие</w:t>
            </w:r>
            <w:r>
              <w:rPr>
                <w:spacing w:val="-7"/>
                <w:sz w:val="20"/>
              </w:rPr>
              <w:t> </w:t>
            </w:r>
            <w:r>
              <w:rPr>
                <w:sz w:val="20"/>
              </w:rPr>
              <w:t>болезни</w:t>
            </w:r>
            <w:r>
              <w:rPr>
                <w:spacing w:val="-7"/>
                <w:sz w:val="20"/>
              </w:rPr>
              <w:t> </w:t>
            </w:r>
            <w:r>
              <w:rPr>
                <w:spacing w:val="-10"/>
                <w:sz w:val="20"/>
              </w:rPr>
              <w:t>и</w:t>
            </w:r>
          </w:p>
        </w:tc>
        <w:tc>
          <w:tcPr>
            <w:tcW w:w="4395" w:type="dxa"/>
          </w:tcPr>
          <w:p>
            <w:pPr>
              <w:pStyle w:val="TableParagraph"/>
              <w:spacing w:line="215" w:lineRule="exact" w:before="45"/>
              <w:ind w:right="252"/>
              <w:jc w:val="right"/>
              <w:rPr>
                <w:sz w:val="20"/>
              </w:rPr>
            </w:pPr>
            <w:r>
              <w:rPr>
                <w:sz w:val="20"/>
              </w:rPr>
              <w:t>J30,</w:t>
            </w:r>
            <w:r>
              <w:rPr>
                <w:spacing w:val="-6"/>
                <w:sz w:val="20"/>
              </w:rPr>
              <w:t> </w:t>
            </w:r>
            <w:r>
              <w:rPr>
                <w:sz w:val="20"/>
              </w:rPr>
              <w:t>J30.0,</w:t>
            </w:r>
            <w:r>
              <w:rPr>
                <w:spacing w:val="-6"/>
                <w:sz w:val="20"/>
              </w:rPr>
              <w:t> </w:t>
            </w:r>
            <w:r>
              <w:rPr>
                <w:sz w:val="20"/>
              </w:rPr>
              <w:t>J30.1,</w:t>
            </w:r>
            <w:r>
              <w:rPr>
                <w:spacing w:val="-5"/>
                <w:sz w:val="20"/>
              </w:rPr>
              <w:t> </w:t>
            </w:r>
            <w:r>
              <w:rPr>
                <w:sz w:val="20"/>
              </w:rPr>
              <w:t>J30.2,</w:t>
            </w:r>
            <w:r>
              <w:rPr>
                <w:spacing w:val="-4"/>
                <w:sz w:val="20"/>
              </w:rPr>
              <w:t> </w:t>
            </w:r>
            <w:r>
              <w:rPr>
                <w:sz w:val="20"/>
              </w:rPr>
              <w:t>J30.3,</w:t>
            </w:r>
            <w:r>
              <w:rPr>
                <w:spacing w:val="-6"/>
                <w:sz w:val="20"/>
              </w:rPr>
              <w:t> </w:t>
            </w:r>
            <w:r>
              <w:rPr>
                <w:sz w:val="20"/>
              </w:rPr>
              <w:t>J30.4,</w:t>
            </w:r>
            <w:r>
              <w:rPr>
                <w:spacing w:val="-5"/>
                <w:sz w:val="20"/>
              </w:rPr>
              <w:t> </w:t>
            </w:r>
            <w:r>
              <w:rPr>
                <w:sz w:val="20"/>
              </w:rPr>
              <w:t>J31,</w:t>
            </w:r>
            <w:r>
              <w:rPr>
                <w:spacing w:val="-4"/>
                <w:sz w:val="20"/>
              </w:rPr>
              <w:t> </w:t>
            </w:r>
            <w:r>
              <w:rPr>
                <w:spacing w:val="-2"/>
                <w:sz w:val="20"/>
              </w:rPr>
              <w:t>J31.0,</w:t>
            </w:r>
          </w:p>
        </w:tc>
        <w:tc>
          <w:tcPr>
            <w:tcW w:w="3883" w:type="dxa"/>
          </w:tcPr>
          <w:p>
            <w:pPr>
              <w:pStyle w:val="TableParagraph"/>
              <w:spacing w:line="215" w:lineRule="exact" w:before="45"/>
              <w:ind w:right="488"/>
              <w:jc w:val="center"/>
              <w:rPr>
                <w:sz w:val="20"/>
              </w:rPr>
            </w:pPr>
            <w:r>
              <w:rPr>
                <w:w w:val="99"/>
                <w:sz w:val="20"/>
              </w:rPr>
              <w:t>-</w:t>
            </w:r>
          </w:p>
        </w:tc>
        <w:tc>
          <w:tcPr>
            <w:tcW w:w="1571"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0,71</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pacing w:val="-2"/>
                <w:sz w:val="20"/>
              </w:rPr>
              <w:t>врожденные</w:t>
            </w:r>
            <w:r>
              <w:rPr>
                <w:spacing w:val="7"/>
                <w:sz w:val="20"/>
              </w:rPr>
              <w:t> </w:t>
            </w:r>
            <w:r>
              <w:rPr>
                <w:spacing w:val="-2"/>
                <w:sz w:val="20"/>
              </w:rPr>
              <w:t>аномалии</w:t>
            </w:r>
          </w:p>
        </w:tc>
        <w:tc>
          <w:tcPr>
            <w:tcW w:w="4395" w:type="dxa"/>
          </w:tcPr>
          <w:p>
            <w:pPr>
              <w:pStyle w:val="TableParagraph"/>
              <w:spacing w:line="210" w:lineRule="exact"/>
              <w:ind w:right="176"/>
              <w:jc w:val="right"/>
              <w:rPr>
                <w:sz w:val="20"/>
              </w:rPr>
            </w:pPr>
            <w:r>
              <w:rPr>
                <w:sz w:val="20"/>
              </w:rPr>
              <w:t>J31.1,</w:t>
            </w:r>
            <w:r>
              <w:rPr>
                <w:spacing w:val="-6"/>
                <w:sz w:val="20"/>
              </w:rPr>
              <w:t> </w:t>
            </w:r>
            <w:r>
              <w:rPr>
                <w:sz w:val="20"/>
              </w:rPr>
              <w:t>J31.2,</w:t>
            </w:r>
            <w:r>
              <w:rPr>
                <w:spacing w:val="-6"/>
                <w:sz w:val="20"/>
              </w:rPr>
              <w:t> </w:t>
            </w:r>
            <w:r>
              <w:rPr>
                <w:sz w:val="20"/>
              </w:rPr>
              <w:t>J32,</w:t>
            </w:r>
            <w:r>
              <w:rPr>
                <w:spacing w:val="-5"/>
                <w:sz w:val="20"/>
              </w:rPr>
              <w:t> </w:t>
            </w:r>
            <w:r>
              <w:rPr>
                <w:sz w:val="20"/>
              </w:rPr>
              <w:t>J32.0,</w:t>
            </w:r>
            <w:r>
              <w:rPr>
                <w:spacing w:val="-4"/>
                <w:sz w:val="20"/>
              </w:rPr>
              <w:t> </w:t>
            </w:r>
            <w:r>
              <w:rPr>
                <w:sz w:val="20"/>
              </w:rPr>
              <w:t>J32.1,</w:t>
            </w:r>
            <w:r>
              <w:rPr>
                <w:spacing w:val="-5"/>
                <w:sz w:val="20"/>
              </w:rPr>
              <w:t> </w:t>
            </w:r>
            <w:r>
              <w:rPr>
                <w:sz w:val="20"/>
              </w:rPr>
              <w:t>J32.2,</w:t>
            </w:r>
            <w:r>
              <w:rPr>
                <w:spacing w:val="-6"/>
                <w:sz w:val="20"/>
              </w:rPr>
              <w:t> </w:t>
            </w:r>
            <w:r>
              <w:rPr>
                <w:sz w:val="20"/>
              </w:rPr>
              <w:t>J32.3,</w:t>
            </w:r>
            <w:r>
              <w:rPr>
                <w:spacing w:val="-5"/>
                <w:sz w:val="20"/>
              </w:rPr>
              <w:t> </w:t>
            </w:r>
            <w:r>
              <w:rPr>
                <w:spacing w:val="-2"/>
                <w:sz w:val="20"/>
              </w:rPr>
              <w:t>J32.4,</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верхних</w:t>
            </w:r>
            <w:r>
              <w:rPr>
                <w:spacing w:val="-10"/>
                <w:sz w:val="20"/>
              </w:rPr>
              <w:t> </w:t>
            </w:r>
            <w:r>
              <w:rPr>
                <w:spacing w:val="-2"/>
                <w:sz w:val="20"/>
              </w:rPr>
              <w:t>дыхательных</w:t>
            </w:r>
          </w:p>
        </w:tc>
        <w:tc>
          <w:tcPr>
            <w:tcW w:w="4395" w:type="dxa"/>
          </w:tcPr>
          <w:p>
            <w:pPr>
              <w:pStyle w:val="TableParagraph"/>
              <w:spacing w:line="210" w:lineRule="exact"/>
              <w:ind w:right="250"/>
              <w:jc w:val="right"/>
              <w:rPr>
                <w:sz w:val="20"/>
              </w:rPr>
            </w:pPr>
            <w:r>
              <w:rPr>
                <w:sz w:val="20"/>
              </w:rPr>
              <w:t>J32.8,</w:t>
            </w:r>
            <w:r>
              <w:rPr>
                <w:spacing w:val="-6"/>
                <w:sz w:val="20"/>
              </w:rPr>
              <w:t> </w:t>
            </w:r>
            <w:r>
              <w:rPr>
                <w:sz w:val="20"/>
              </w:rPr>
              <w:t>J32.9,</w:t>
            </w:r>
            <w:r>
              <w:rPr>
                <w:spacing w:val="-4"/>
                <w:sz w:val="20"/>
              </w:rPr>
              <w:t> </w:t>
            </w:r>
            <w:r>
              <w:rPr>
                <w:sz w:val="20"/>
              </w:rPr>
              <w:t>J33,</w:t>
            </w:r>
            <w:r>
              <w:rPr>
                <w:spacing w:val="-5"/>
                <w:sz w:val="20"/>
              </w:rPr>
              <w:t> </w:t>
            </w:r>
            <w:r>
              <w:rPr>
                <w:sz w:val="20"/>
              </w:rPr>
              <w:t>J33.0,</w:t>
            </w:r>
            <w:r>
              <w:rPr>
                <w:spacing w:val="-4"/>
                <w:sz w:val="20"/>
              </w:rPr>
              <w:t> </w:t>
            </w:r>
            <w:r>
              <w:rPr>
                <w:sz w:val="20"/>
              </w:rPr>
              <w:t>J33.1,</w:t>
            </w:r>
            <w:r>
              <w:rPr>
                <w:spacing w:val="-5"/>
                <w:sz w:val="20"/>
              </w:rPr>
              <w:t> </w:t>
            </w:r>
            <w:r>
              <w:rPr>
                <w:sz w:val="20"/>
              </w:rPr>
              <w:t>J33.8,</w:t>
            </w:r>
            <w:r>
              <w:rPr>
                <w:spacing w:val="-6"/>
                <w:sz w:val="20"/>
              </w:rPr>
              <w:t> </w:t>
            </w:r>
            <w:r>
              <w:rPr>
                <w:sz w:val="20"/>
              </w:rPr>
              <w:t>J33.9,</w:t>
            </w:r>
            <w:r>
              <w:rPr>
                <w:spacing w:val="-5"/>
                <w:sz w:val="20"/>
              </w:rPr>
              <w:t> </w:t>
            </w:r>
            <w:r>
              <w:rPr>
                <w:spacing w:val="-4"/>
                <w:sz w:val="20"/>
              </w:rPr>
              <w:t>J34,</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путей,</w:t>
            </w:r>
            <w:r>
              <w:rPr>
                <w:spacing w:val="-9"/>
                <w:sz w:val="20"/>
              </w:rPr>
              <w:t> </w:t>
            </w:r>
            <w:r>
              <w:rPr>
                <w:sz w:val="20"/>
              </w:rPr>
              <w:t>симптомы</w:t>
            </w:r>
            <w:r>
              <w:rPr>
                <w:spacing w:val="-9"/>
                <w:sz w:val="20"/>
              </w:rPr>
              <w:t> </w:t>
            </w:r>
            <w:r>
              <w:rPr>
                <w:spacing w:val="-10"/>
                <w:sz w:val="20"/>
              </w:rPr>
              <w:t>и</w:t>
            </w:r>
          </w:p>
        </w:tc>
        <w:tc>
          <w:tcPr>
            <w:tcW w:w="4395" w:type="dxa"/>
          </w:tcPr>
          <w:p>
            <w:pPr>
              <w:pStyle w:val="TableParagraph"/>
              <w:spacing w:line="209" w:lineRule="exact"/>
              <w:ind w:right="176"/>
              <w:jc w:val="right"/>
              <w:rPr>
                <w:sz w:val="20"/>
              </w:rPr>
            </w:pPr>
            <w:r>
              <w:rPr>
                <w:sz w:val="20"/>
              </w:rPr>
              <w:t>J34.0,</w:t>
            </w:r>
            <w:r>
              <w:rPr>
                <w:spacing w:val="-6"/>
                <w:sz w:val="20"/>
              </w:rPr>
              <w:t> </w:t>
            </w:r>
            <w:r>
              <w:rPr>
                <w:sz w:val="20"/>
              </w:rPr>
              <w:t>J34.1,</w:t>
            </w:r>
            <w:r>
              <w:rPr>
                <w:spacing w:val="-5"/>
                <w:sz w:val="20"/>
              </w:rPr>
              <w:t> </w:t>
            </w:r>
            <w:r>
              <w:rPr>
                <w:sz w:val="20"/>
              </w:rPr>
              <w:t>J34.2,</w:t>
            </w:r>
            <w:r>
              <w:rPr>
                <w:spacing w:val="-6"/>
                <w:sz w:val="20"/>
              </w:rPr>
              <w:t> </w:t>
            </w:r>
            <w:r>
              <w:rPr>
                <w:sz w:val="20"/>
              </w:rPr>
              <w:t>J34.3,</w:t>
            </w:r>
            <w:r>
              <w:rPr>
                <w:spacing w:val="-5"/>
                <w:sz w:val="20"/>
              </w:rPr>
              <w:t> </w:t>
            </w:r>
            <w:r>
              <w:rPr>
                <w:sz w:val="20"/>
              </w:rPr>
              <w:t>J34.8,</w:t>
            </w:r>
            <w:r>
              <w:rPr>
                <w:spacing w:val="-4"/>
                <w:sz w:val="20"/>
              </w:rPr>
              <w:t> </w:t>
            </w:r>
            <w:r>
              <w:rPr>
                <w:sz w:val="20"/>
              </w:rPr>
              <w:t>J35,</w:t>
            </w:r>
            <w:r>
              <w:rPr>
                <w:spacing w:val="-5"/>
                <w:sz w:val="20"/>
              </w:rPr>
              <w:t> </w:t>
            </w:r>
            <w:r>
              <w:rPr>
                <w:sz w:val="20"/>
              </w:rPr>
              <w:t>J35.0,</w:t>
            </w:r>
            <w:r>
              <w:rPr>
                <w:spacing w:val="-5"/>
                <w:sz w:val="20"/>
              </w:rPr>
              <w:t> </w:t>
            </w:r>
            <w:r>
              <w:rPr>
                <w:spacing w:val="-2"/>
                <w:sz w:val="20"/>
              </w:rPr>
              <w:t>J35.1,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признаки,</w:t>
            </w:r>
            <w:r>
              <w:rPr>
                <w:spacing w:val="-12"/>
                <w:sz w:val="20"/>
              </w:rPr>
              <w:t> </w:t>
            </w:r>
            <w:r>
              <w:rPr>
                <w:sz w:val="20"/>
              </w:rPr>
              <w:t>относящиеся</w:t>
            </w:r>
            <w:r>
              <w:rPr>
                <w:spacing w:val="-12"/>
                <w:sz w:val="20"/>
              </w:rPr>
              <w:t> </w:t>
            </w:r>
            <w:r>
              <w:rPr>
                <w:spacing w:val="-10"/>
                <w:sz w:val="20"/>
              </w:rPr>
              <w:t>к</w:t>
            </w:r>
          </w:p>
        </w:tc>
        <w:tc>
          <w:tcPr>
            <w:tcW w:w="4395" w:type="dxa"/>
          </w:tcPr>
          <w:p>
            <w:pPr>
              <w:pStyle w:val="TableParagraph"/>
              <w:spacing w:line="209" w:lineRule="exact"/>
              <w:ind w:right="252"/>
              <w:jc w:val="right"/>
              <w:rPr>
                <w:sz w:val="20"/>
              </w:rPr>
            </w:pPr>
            <w:r>
              <w:rPr>
                <w:sz w:val="20"/>
              </w:rPr>
              <w:t>J35.2,</w:t>
            </w:r>
            <w:r>
              <w:rPr>
                <w:spacing w:val="-6"/>
                <w:sz w:val="20"/>
              </w:rPr>
              <w:t> </w:t>
            </w:r>
            <w:r>
              <w:rPr>
                <w:sz w:val="20"/>
              </w:rPr>
              <w:t>J35.3,</w:t>
            </w:r>
            <w:r>
              <w:rPr>
                <w:spacing w:val="-5"/>
                <w:sz w:val="20"/>
              </w:rPr>
              <w:t> </w:t>
            </w:r>
            <w:r>
              <w:rPr>
                <w:sz w:val="20"/>
              </w:rPr>
              <w:t>J35.8,</w:t>
            </w:r>
            <w:r>
              <w:rPr>
                <w:spacing w:val="-6"/>
                <w:sz w:val="20"/>
              </w:rPr>
              <w:t> </w:t>
            </w:r>
            <w:r>
              <w:rPr>
                <w:sz w:val="20"/>
              </w:rPr>
              <w:t>J35.9,</w:t>
            </w:r>
            <w:r>
              <w:rPr>
                <w:spacing w:val="-5"/>
                <w:sz w:val="20"/>
              </w:rPr>
              <w:t> </w:t>
            </w:r>
            <w:r>
              <w:rPr>
                <w:sz w:val="20"/>
              </w:rPr>
              <w:t>J36,</w:t>
            </w:r>
            <w:r>
              <w:rPr>
                <w:spacing w:val="-6"/>
                <w:sz w:val="20"/>
              </w:rPr>
              <w:t> </w:t>
            </w:r>
            <w:r>
              <w:rPr>
                <w:sz w:val="20"/>
              </w:rPr>
              <w:t>J37,</w:t>
            </w:r>
            <w:r>
              <w:rPr>
                <w:spacing w:val="-3"/>
                <w:sz w:val="20"/>
              </w:rPr>
              <w:t> </w:t>
            </w:r>
            <w:r>
              <w:rPr>
                <w:sz w:val="20"/>
              </w:rPr>
              <w:t>J37.0,</w:t>
            </w:r>
            <w:r>
              <w:rPr>
                <w:spacing w:val="-4"/>
                <w:sz w:val="20"/>
              </w:rPr>
              <w:t> </w:t>
            </w:r>
            <w:r>
              <w:rPr>
                <w:spacing w:val="-2"/>
                <w:sz w:val="20"/>
              </w:rPr>
              <w:t>J37.1,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органам</w:t>
            </w:r>
            <w:r>
              <w:rPr>
                <w:spacing w:val="-7"/>
                <w:sz w:val="20"/>
              </w:rPr>
              <w:t> </w:t>
            </w:r>
            <w:r>
              <w:rPr>
                <w:spacing w:val="-2"/>
                <w:sz w:val="20"/>
              </w:rPr>
              <w:t>дыхания,</w:t>
            </w:r>
          </w:p>
        </w:tc>
        <w:tc>
          <w:tcPr>
            <w:tcW w:w="4395" w:type="dxa"/>
          </w:tcPr>
          <w:p>
            <w:pPr>
              <w:pStyle w:val="TableParagraph"/>
              <w:spacing w:line="211" w:lineRule="exact"/>
              <w:ind w:right="176"/>
              <w:jc w:val="right"/>
              <w:rPr>
                <w:sz w:val="20"/>
              </w:rPr>
            </w:pPr>
            <w:r>
              <w:rPr>
                <w:sz w:val="20"/>
              </w:rPr>
              <w:t>J38,</w:t>
            </w:r>
            <w:r>
              <w:rPr>
                <w:spacing w:val="-6"/>
                <w:sz w:val="20"/>
              </w:rPr>
              <w:t> </w:t>
            </w:r>
            <w:r>
              <w:rPr>
                <w:sz w:val="20"/>
              </w:rPr>
              <w:t>J38.0,</w:t>
            </w:r>
            <w:r>
              <w:rPr>
                <w:spacing w:val="-6"/>
                <w:sz w:val="20"/>
              </w:rPr>
              <w:t> </w:t>
            </w:r>
            <w:r>
              <w:rPr>
                <w:sz w:val="20"/>
              </w:rPr>
              <w:t>J38.1,</w:t>
            </w:r>
            <w:r>
              <w:rPr>
                <w:spacing w:val="-6"/>
                <w:sz w:val="20"/>
              </w:rPr>
              <w:t> </w:t>
            </w:r>
            <w:r>
              <w:rPr>
                <w:sz w:val="20"/>
              </w:rPr>
              <w:t>J38.2,</w:t>
            </w:r>
            <w:r>
              <w:rPr>
                <w:spacing w:val="-3"/>
                <w:sz w:val="20"/>
              </w:rPr>
              <w:t> </w:t>
            </w:r>
            <w:r>
              <w:rPr>
                <w:sz w:val="20"/>
              </w:rPr>
              <w:t>J38.3,</w:t>
            </w:r>
            <w:r>
              <w:rPr>
                <w:spacing w:val="-6"/>
                <w:sz w:val="20"/>
              </w:rPr>
              <w:t> </w:t>
            </w:r>
            <w:r>
              <w:rPr>
                <w:sz w:val="20"/>
              </w:rPr>
              <w:t>J38.4,</w:t>
            </w:r>
            <w:r>
              <w:rPr>
                <w:spacing w:val="-6"/>
                <w:sz w:val="20"/>
              </w:rPr>
              <w:t> </w:t>
            </w:r>
            <w:r>
              <w:rPr>
                <w:sz w:val="20"/>
              </w:rPr>
              <w:t>J38.5,</w:t>
            </w:r>
            <w:r>
              <w:rPr>
                <w:spacing w:val="-5"/>
                <w:sz w:val="20"/>
              </w:rPr>
              <w:t> </w:t>
            </w:r>
            <w:r>
              <w:rPr>
                <w:spacing w:val="-2"/>
                <w:sz w:val="20"/>
              </w:rPr>
              <w:t>J38.6,</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нарушения</w:t>
            </w:r>
            <w:r>
              <w:rPr>
                <w:spacing w:val="-13"/>
                <w:sz w:val="20"/>
              </w:rPr>
              <w:t> </w:t>
            </w:r>
            <w:r>
              <w:rPr>
                <w:spacing w:val="-4"/>
                <w:sz w:val="20"/>
              </w:rPr>
              <w:t>речи</w:t>
            </w:r>
          </w:p>
        </w:tc>
        <w:tc>
          <w:tcPr>
            <w:tcW w:w="4395" w:type="dxa"/>
          </w:tcPr>
          <w:p>
            <w:pPr>
              <w:pStyle w:val="TableParagraph"/>
              <w:spacing w:line="210" w:lineRule="exact"/>
              <w:ind w:right="176"/>
              <w:jc w:val="right"/>
              <w:rPr>
                <w:sz w:val="20"/>
              </w:rPr>
            </w:pPr>
            <w:r>
              <w:rPr>
                <w:sz w:val="20"/>
              </w:rPr>
              <w:t>J38.7,</w:t>
            </w:r>
            <w:r>
              <w:rPr>
                <w:spacing w:val="-6"/>
                <w:sz w:val="20"/>
              </w:rPr>
              <w:t> </w:t>
            </w:r>
            <w:r>
              <w:rPr>
                <w:sz w:val="20"/>
              </w:rPr>
              <w:t>J39,</w:t>
            </w:r>
            <w:r>
              <w:rPr>
                <w:spacing w:val="-6"/>
                <w:sz w:val="20"/>
              </w:rPr>
              <w:t> </w:t>
            </w:r>
            <w:r>
              <w:rPr>
                <w:sz w:val="20"/>
              </w:rPr>
              <w:t>J39.0,</w:t>
            </w:r>
            <w:r>
              <w:rPr>
                <w:spacing w:val="-5"/>
                <w:sz w:val="20"/>
              </w:rPr>
              <w:t> </w:t>
            </w:r>
            <w:r>
              <w:rPr>
                <w:sz w:val="20"/>
              </w:rPr>
              <w:t>J39.1,</w:t>
            </w:r>
            <w:r>
              <w:rPr>
                <w:spacing w:val="-4"/>
                <w:sz w:val="20"/>
              </w:rPr>
              <w:t> </w:t>
            </w:r>
            <w:r>
              <w:rPr>
                <w:sz w:val="20"/>
              </w:rPr>
              <w:t>J39.2,</w:t>
            </w:r>
            <w:r>
              <w:rPr>
                <w:spacing w:val="-5"/>
                <w:sz w:val="20"/>
              </w:rPr>
              <w:t> </w:t>
            </w:r>
            <w:r>
              <w:rPr>
                <w:sz w:val="20"/>
              </w:rPr>
              <w:t>J39.3,</w:t>
            </w:r>
            <w:r>
              <w:rPr>
                <w:spacing w:val="-6"/>
                <w:sz w:val="20"/>
              </w:rPr>
              <w:t> </w:t>
            </w:r>
            <w:r>
              <w:rPr>
                <w:sz w:val="20"/>
              </w:rPr>
              <w:t>J39.8,</w:t>
            </w:r>
            <w:r>
              <w:rPr>
                <w:spacing w:val="-5"/>
                <w:sz w:val="20"/>
              </w:rPr>
              <w:t> </w:t>
            </w:r>
            <w:r>
              <w:rPr>
                <w:spacing w:val="-2"/>
                <w:sz w:val="20"/>
              </w:rPr>
              <w:t>J39.9,</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10" w:lineRule="exact"/>
              <w:ind w:left="305"/>
              <w:rPr>
                <w:sz w:val="20"/>
              </w:rPr>
            </w:pPr>
            <w:r>
              <w:rPr>
                <w:sz w:val="20"/>
              </w:rPr>
              <w:t>Q18,</w:t>
            </w:r>
            <w:r>
              <w:rPr>
                <w:spacing w:val="-5"/>
                <w:sz w:val="20"/>
              </w:rPr>
              <w:t> </w:t>
            </w:r>
            <w:r>
              <w:rPr>
                <w:sz w:val="20"/>
              </w:rPr>
              <w:t>Q18.0,</w:t>
            </w:r>
            <w:r>
              <w:rPr>
                <w:spacing w:val="-5"/>
                <w:sz w:val="20"/>
              </w:rPr>
              <w:t> </w:t>
            </w:r>
            <w:r>
              <w:rPr>
                <w:sz w:val="20"/>
              </w:rPr>
              <w:t>Q18.1,</w:t>
            </w:r>
            <w:r>
              <w:rPr>
                <w:spacing w:val="-5"/>
                <w:sz w:val="20"/>
              </w:rPr>
              <w:t> </w:t>
            </w:r>
            <w:r>
              <w:rPr>
                <w:sz w:val="20"/>
              </w:rPr>
              <w:t>Q18.2,</w:t>
            </w:r>
            <w:r>
              <w:rPr>
                <w:spacing w:val="-5"/>
                <w:sz w:val="20"/>
              </w:rPr>
              <w:t> </w:t>
            </w:r>
            <w:r>
              <w:rPr>
                <w:sz w:val="20"/>
              </w:rPr>
              <w:t>Q30,</w:t>
            </w:r>
            <w:r>
              <w:rPr>
                <w:spacing w:val="-5"/>
                <w:sz w:val="20"/>
              </w:rPr>
              <w:t> </w:t>
            </w:r>
            <w:r>
              <w:rPr>
                <w:sz w:val="20"/>
              </w:rPr>
              <w:t>Q30.0,</w:t>
            </w:r>
            <w:r>
              <w:rPr>
                <w:spacing w:val="-5"/>
                <w:sz w:val="20"/>
              </w:rPr>
              <w:t> </w:t>
            </w:r>
            <w:r>
              <w:rPr>
                <w:spacing w:val="-2"/>
                <w:sz w:val="20"/>
              </w:rPr>
              <w:t>Q30.1,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10" w:lineRule="exact"/>
              <w:ind w:right="206"/>
              <w:jc w:val="right"/>
              <w:rPr>
                <w:sz w:val="20"/>
              </w:rPr>
            </w:pPr>
            <w:r>
              <w:rPr>
                <w:sz w:val="20"/>
              </w:rPr>
              <w:t>Q30.2,</w:t>
            </w:r>
            <w:r>
              <w:rPr>
                <w:spacing w:val="-4"/>
                <w:sz w:val="20"/>
              </w:rPr>
              <w:t> </w:t>
            </w:r>
            <w:r>
              <w:rPr>
                <w:sz w:val="20"/>
              </w:rPr>
              <w:t>Q30.3,</w:t>
            </w:r>
            <w:r>
              <w:rPr>
                <w:spacing w:val="-6"/>
                <w:sz w:val="20"/>
              </w:rPr>
              <w:t> </w:t>
            </w:r>
            <w:r>
              <w:rPr>
                <w:sz w:val="20"/>
              </w:rPr>
              <w:t>Q30.8,</w:t>
            </w:r>
            <w:r>
              <w:rPr>
                <w:spacing w:val="-4"/>
                <w:sz w:val="20"/>
              </w:rPr>
              <w:t> </w:t>
            </w:r>
            <w:r>
              <w:rPr>
                <w:sz w:val="20"/>
              </w:rPr>
              <w:t>Q30.9,</w:t>
            </w:r>
            <w:r>
              <w:rPr>
                <w:spacing w:val="-6"/>
                <w:sz w:val="20"/>
              </w:rPr>
              <w:t> </w:t>
            </w:r>
            <w:r>
              <w:rPr>
                <w:sz w:val="20"/>
              </w:rPr>
              <w:t>Q31,</w:t>
            </w:r>
            <w:r>
              <w:rPr>
                <w:spacing w:val="-4"/>
                <w:sz w:val="20"/>
              </w:rPr>
              <w:t> </w:t>
            </w:r>
            <w:r>
              <w:rPr>
                <w:sz w:val="20"/>
              </w:rPr>
              <w:t>Q31.0,</w:t>
            </w:r>
            <w:r>
              <w:rPr>
                <w:spacing w:val="-4"/>
                <w:sz w:val="20"/>
              </w:rPr>
              <w:t> </w:t>
            </w:r>
            <w:r>
              <w:rPr>
                <w:spacing w:val="-2"/>
                <w:sz w:val="20"/>
              </w:rPr>
              <w:t>Q31.1,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09" w:lineRule="exact"/>
              <w:ind w:right="216"/>
              <w:jc w:val="right"/>
              <w:rPr>
                <w:sz w:val="20"/>
              </w:rPr>
            </w:pPr>
            <w:r>
              <w:rPr>
                <w:sz w:val="20"/>
              </w:rPr>
              <w:t>Q31.2,</w:t>
            </w:r>
            <w:r>
              <w:rPr>
                <w:spacing w:val="-5"/>
                <w:sz w:val="20"/>
              </w:rPr>
              <w:t> </w:t>
            </w:r>
            <w:r>
              <w:rPr>
                <w:sz w:val="20"/>
              </w:rPr>
              <w:t>Q31.3,</w:t>
            </w:r>
            <w:r>
              <w:rPr>
                <w:spacing w:val="-6"/>
                <w:sz w:val="20"/>
              </w:rPr>
              <w:t> </w:t>
            </w:r>
            <w:r>
              <w:rPr>
                <w:sz w:val="20"/>
              </w:rPr>
              <w:t>Q31.5,</w:t>
            </w:r>
            <w:r>
              <w:rPr>
                <w:spacing w:val="-4"/>
                <w:sz w:val="20"/>
              </w:rPr>
              <w:t> </w:t>
            </w:r>
            <w:r>
              <w:rPr>
                <w:sz w:val="20"/>
              </w:rPr>
              <w:t>Q31.8,</w:t>
            </w:r>
            <w:r>
              <w:rPr>
                <w:spacing w:val="-6"/>
                <w:sz w:val="20"/>
              </w:rPr>
              <w:t> </w:t>
            </w:r>
            <w:r>
              <w:rPr>
                <w:sz w:val="20"/>
              </w:rPr>
              <w:t>Q31.9,</w:t>
            </w:r>
            <w:r>
              <w:rPr>
                <w:spacing w:val="-4"/>
                <w:sz w:val="20"/>
              </w:rPr>
              <w:t> </w:t>
            </w:r>
            <w:r>
              <w:rPr>
                <w:sz w:val="20"/>
              </w:rPr>
              <w:t>R04,</w:t>
            </w:r>
            <w:r>
              <w:rPr>
                <w:spacing w:val="-5"/>
                <w:sz w:val="20"/>
              </w:rPr>
              <w:t> </w:t>
            </w:r>
            <w:r>
              <w:rPr>
                <w:spacing w:val="-2"/>
                <w:sz w:val="20"/>
              </w:rPr>
              <w:t>R04.0,</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09" w:lineRule="exact"/>
              <w:ind w:left="343"/>
              <w:rPr>
                <w:sz w:val="20"/>
              </w:rPr>
            </w:pPr>
            <w:r>
              <w:rPr>
                <w:sz w:val="20"/>
              </w:rPr>
              <w:t>R04.1,</w:t>
            </w:r>
            <w:r>
              <w:rPr>
                <w:spacing w:val="-7"/>
                <w:sz w:val="20"/>
              </w:rPr>
              <w:t> </w:t>
            </w:r>
            <w:r>
              <w:rPr>
                <w:sz w:val="20"/>
              </w:rPr>
              <w:t>R07,</w:t>
            </w:r>
            <w:r>
              <w:rPr>
                <w:spacing w:val="-4"/>
                <w:sz w:val="20"/>
              </w:rPr>
              <w:t> </w:t>
            </w:r>
            <w:r>
              <w:rPr>
                <w:sz w:val="20"/>
              </w:rPr>
              <w:t>R07.0,</w:t>
            </w:r>
            <w:r>
              <w:rPr>
                <w:spacing w:val="-4"/>
                <w:sz w:val="20"/>
              </w:rPr>
              <w:t> </w:t>
            </w:r>
            <w:r>
              <w:rPr>
                <w:sz w:val="20"/>
              </w:rPr>
              <w:t>R47,</w:t>
            </w:r>
            <w:r>
              <w:rPr>
                <w:spacing w:val="-6"/>
                <w:sz w:val="20"/>
              </w:rPr>
              <w:t> </w:t>
            </w:r>
            <w:r>
              <w:rPr>
                <w:sz w:val="20"/>
              </w:rPr>
              <w:t>R47.0,</w:t>
            </w:r>
            <w:r>
              <w:rPr>
                <w:spacing w:val="-4"/>
                <w:sz w:val="20"/>
              </w:rPr>
              <w:t> </w:t>
            </w:r>
            <w:r>
              <w:rPr>
                <w:sz w:val="20"/>
              </w:rPr>
              <w:t>R47.1,</w:t>
            </w:r>
            <w:r>
              <w:rPr>
                <w:spacing w:val="-5"/>
                <w:sz w:val="20"/>
              </w:rPr>
              <w:t> </w:t>
            </w:r>
            <w:r>
              <w:rPr>
                <w:spacing w:val="-2"/>
                <w:sz w:val="20"/>
              </w:rPr>
              <w:t>R47.8,</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80" w:hRule="atLeast"/>
        </w:trPr>
        <w:tc>
          <w:tcPr>
            <w:tcW w:w="946" w:type="dxa"/>
          </w:tcPr>
          <w:p>
            <w:pPr>
              <w:pStyle w:val="TableParagraph"/>
              <w:rPr>
                <w:sz w:val="18"/>
              </w:rPr>
            </w:pPr>
          </w:p>
        </w:tc>
        <w:tc>
          <w:tcPr>
            <w:tcW w:w="706" w:type="dxa"/>
          </w:tcPr>
          <w:p>
            <w:pPr>
              <w:pStyle w:val="TableParagraph"/>
              <w:rPr>
                <w:sz w:val="18"/>
              </w:rPr>
            </w:pPr>
          </w:p>
        </w:tc>
        <w:tc>
          <w:tcPr>
            <w:tcW w:w="2510" w:type="dxa"/>
          </w:tcPr>
          <w:p>
            <w:pPr>
              <w:pStyle w:val="TableParagraph"/>
              <w:rPr>
                <w:sz w:val="18"/>
              </w:rPr>
            </w:pPr>
          </w:p>
        </w:tc>
        <w:tc>
          <w:tcPr>
            <w:tcW w:w="4395" w:type="dxa"/>
          </w:tcPr>
          <w:p>
            <w:pPr>
              <w:pStyle w:val="TableParagraph"/>
              <w:spacing w:line="226" w:lineRule="exact"/>
              <w:ind w:right="150"/>
              <w:jc w:val="right"/>
              <w:rPr>
                <w:sz w:val="20"/>
              </w:rPr>
            </w:pPr>
            <w:r>
              <w:rPr>
                <w:sz w:val="20"/>
              </w:rPr>
              <w:t>S02.2,</w:t>
            </w:r>
            <w:r>
              <w:rPr>
                <w:spacing w:val="-6"/>
                <w:sz w:val="20"/>
              </w:rPr>
              <w:t> </w:t>
            </w:r>
            <w:r>
              <w:rPr>
                <w:sz w:val="20"/>
              </w:rPr>
              <w:t>S02.20,</w:t>
            </w:r>
            <w:r>
              <w:rPr>
                <w:spacing w:val="-6"/>
                <w:sz w:val="20"/>
              </w:rPr>
              <w:t> </w:t>
            </w:r>
            <w:r>
              <w:rPr>
                <w:sz w:val="20"/>
              </w:rPr>
              <w:t>S02.21,</w:t>
            </w:r>
            <w:r>
              <w:rPr>
                <w:spacing w:val="-5"/>
                <w:sz w:val="20"/>
              </w:rPr>
              <w:t> </w:t>
            </w:r>
            <w:r>
              <w:rPr>
                <w:sz w:val="20"/>
              </w:rPr>
              <w:t>T17.0,</w:t>
            </w:r>
            <w:r>
              <w:rPr>
                <w:spacing w:val="-8"/>
                <w:sz w:val="20"/>
              </w:rPr>
              <w:t> </w:t>
            </w:r>
            <w:r>
              <w:rPr>
                <w:sz w:val="20"/>
              </w:rPr>
              <w:t>T17.1,</w:t>
            </w:r>
            <w:r>
              <w:rPr>
                <w:spacing w:val="-7"/>
                <w:sz w:val="20"/>
              </w:rPr>
              <w:t> </w:t>
            </w:r>
            <w:r>
              <w:rPr>
                <w:sz w:val="20"/>
              </w:rPr>
              <w:t>T17.2,</w:t>
            </w:r>
            <w:r>
              <w:rPr>
                <w:spacing w:val="-5"/>
                <w:sz w:val="20"/>
              </w:rPr>
              <w:t> </w:t>
            </w:r>
            <w:r>
              <w:rPr>
                <w:spacing w:val="-4"/>
                <w:sz w:val="20"/>
              </w:rPr>
              <w:t>T17.3</w:t>
            </w:r>
          </w:p>
        </w:tc>
        <w:tc>
          <w:tcPr>
            <w:tcW w:w="3883" w:type="dxa"/>
          </w:tcPr>
          <w:p>
            <w:pPr>
              <w:pStyle w:val="TableParagraph"/>
              <w:rPr>
                <w:sz w:val="18"/>
              </w:rPr>
            </w:pPr>
          </w:p>
        </w:tc>
        <w:tc>
          <w:tcPr>
            <w:tcW w:w="1571" w:type="dxa"/>
          </w:tcPr>
          <w:p>
            <w:pPr>
              <w:pStyle w:val="TableParagraph"/>
              <w:rPr>
                <w:sz w:val="18"/>
              </w:rPr>
            </w:pPr>
          </w:p>
        </w:tc>
        <w:tc>
          <w:tcPr>
            <w:tcW w:w="1260"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st20.005</w:t>
            </w:r>
          </w:p>
        </w:tc>
        <w:tc>
          <w:tcPr>
            <w:tcW w:w="706" w:type="dxa"/>
          </w:tcPr>
          <w:p>
            <w:pPr>
              <w:pStyle w:val="TableParagraph"/>
              <w:spacing w:line="215" w:lineRule="exact" w:before="46"/>
              <w:ind w:left="210"/>
              <w:rPr>
                <w:sz w:val="20"/>
              </w:rPr>
            </w:pPr>
            <w:r>
              <w:rPr>
                <w:spacing w:val="-5"/>
                <w:sz w:val="20"/>
              </w:rPr>
              <w:t>209</w:t>
            </w:r>
          </w:p>
        </w:tc>
        <w:tc>
          <w:tcPr>
            <w:tcW w:w="2510" w:type="dxa"/>
          </w:tcPr>
          <w:p>
            <w:pPr>
              <w:pStyle w:val="TableParagraph"/>
              <w:spacing w:line="215" w:lineRule="exact" w:before="46"/>
              <w:ind w:left="193"/>
              <w:rPr>
                <w:sz w:val="20"/>
              </w:rPr>
            </w:pPr>
            <w:r>
              <w:rPr>
                <w:sz w:val="20"/>
              </w:rPr>
              <w:t>Операции</w:t>
            </w:r>
            <w:r>
              <w:rPr>
                <w:spacing w:val="-6"/>
                <w:sz w:val="20"/>
              </w:rPr>
              <w:t> </w:t>
            </w:r>
            <w:r>
              <w:rPr>
                <w:sz w:val="20"/>
              </w:rPr>
              <w:t>на</w:t>
            </w:r>
            <w:r>
              <w:rPr>
                <w:spacing w:val="-7"/>
                <w:sz w:val="20"/>
              </w:rPr>
              <w:t> </w:t>
            </w:r>
            <w:r>
              <w:rPr>
                <w:spacing w:val="-2"/>
                <w:sz w:val="20"/>
              </w:rPr>
              <w:t>органе</w:t>
            </w:r>
          </w:p>
        </w:tc>
        <w:tc>
          <w:tcPr>
            <w:tcW w:w="4395" w:type="dxa"/>
          </w:tcPr>
          <w:p>
            <w:pPr>
              <w:pStyle w:val="TableParagraph"/>
              <w:spacing w:line="215" w:lineRule="exact" w:before="46"/>
              <w:ind w:left="25"/>
              <w:jc w:val="center"/>
              <w:rPr>
                <w:sz w:val="20"/>
              </w:rPr>
            </w:pPr>
            <w:r>
              <w:rPr>
                <w:w w:val="99"/>
                <w:sz w:val="20"/>
              </w:rPr>
              <w:t>-</w:t>
            </w:r>
          </w:p>
        </w:tc>
        <w:tc>
          <w:tcPr>
            <w:tcW w:w="3883" w:type="dxa"/>
          </w:tcPr>
          <w:p>
            <w:pPr>
              <w:pStyle w:val="TableParagraph"/>
              <w:spacing w:line="215" w:lineRule="exact" w:before="46"/>
              <w:ind w:left="152" w:right="643"/>
              <w:jc w:val="center"/>
              <w:rPr>
                <w:sz w:val="20"/>
              </w:rPr>
            </w:pPr>
            <w:r>
              <w:rPr>
                <w:sz w:val="20"/>
              </w:rPr>
              <w:t>A03.08.001,</w:t>
            </w:r>
            <w:r>
              <w:rPr>
                <w:spacing w:val="-9"/>
                <w:sz w:val="20"/>
              </w:rPr>
              <w:t> </w:t>
            </w:r>
            <w:r>
              <w:rPr>
                <w:spacing w:val="-2"/>
                <w:sz w:val="20"/>
              </w:rPr>
              <w:t>A03.08.001.001,</w:t>
            </w:r>
          </w:p>
        </w:tc>
        <w:tc>
          <w:tcPr>
            <w:tcW w:w="1571" w:type="dxa"/>
          </w:tcPr>
          <w:p>
            <w:pPr>
              <w:pStyle w:val="TableParagraph"/>
              <w:spacing w:line="215" w:lineRule="exact" w:before="46"/>
              <w:ind w:left="646"/>
              <w:rPr>
                <w:sz w:val="20"/>
              </w:rPr>
            </w:pPr>
            <w:r>
              <w:rPr>
                <w:w w:val="99"/>
                <w:sz w:val="20"/>
              </w:rPr>
              <w:t>-</w:t>
            </w:r>
          </w:p>
        </w:tc>
        <w:tc>
          <w:tcPr>
            <w:tcW w:w="1260" w:type="dxa"/>
          </w:tcPr>
          <w:p>
            <w:pPr>
              <w:pStyle w:val="TableParagraph"/>
              <w:spacing w:line="215" w:lineRule="exact" w:before="46"/>
              <w:ind w:right="45"/>
              <w:jc w:val="right"/>
              <w:rPr>
                <w:sz w:val="20"/>
              </w:rPr>
            </w:pPr>
            <w:r>
              <w:rPr>
                <w:spacing w:val="-4"/>
                <w:sz w:val="20"/>
              </w:rPr>
              <w:t>0,84</w:t>
            </w: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sz w:val="20"/>
              </w:rPr>
              <w:t>A03.08.002,</w:t>
            </w:r>
            <w:r>
              <w:rPr>
                <w:spacing w:val="-9"/>
                <w:sz w:val="20"/>
              </w:rPr>
              <w:t> </w:t>
            </w:r>
            <w:r>
              <w:rPr>
                <w:spacing w:val="-2"/>
                <w:sz w:val="20"/>
              </w:rPr>
              <w:t>A03.08.002.001,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sz w:val="20"/>
              </w:rPr>
              <w:t>A03.08.004,</w:t>
            </w:r>
            <w:r>
              <w:rPr>
                <w:spacing w:val="-9"/>
                <w:sz w:val="20"/>
              </w:rPr>
              <w:t> </w:t>
            </w:r>
            <w:r>
              <w:rPr>
                <w:spacing w:val="-2"/>
                <w:sz w:val="20"/>
              </w:rPr>
              <w:t>A03.08.004.001,</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дыхательных</w:t>
            </w:r>
            <w:r>
              <w:rPr>
                <w:spacing w:val="-11"/>
                <w:sz w:val="20"/>
              </w:rPr>
              <w:t> </w:t>
            </w:r>
            <w:r>
              <w:rPr>
                <w:spacing w:val="-2"/>
                <w:sz w:val="20"/>
              </w:rPr>
              <w:t>путях</w:t>
            </w:r>
          </w:p>
        </w:tc>
        <w:tc>
          <w:tcPr>
            <w:tcW w:w="4395" w:type="dxa"/>
          </w:tcPr>
          <w:p>
            <w:pPr>
              <w:pStyle w:val="TableParagraph"/>
              <w:rPr>
                <w:sz w:val="16"/>
              </w:rPr>
            </w:pPr>
          </w:p>
        </w:tc>
        <w:tc>
          <w:tcPr>
            <w:tcW w:w="3883" w:type="dxa"/>
          </w:tcPr>
          <w:p>
            <w:pPr>
              <w:pStyle w:val="TableParagraph"/>
              <w:spacing w:line="211" w:lineRule="exact"/>
              <w:ind w:left="151" w:right="643"/>
              <w:jc w:val="center"/>
              <w:rPr>
                <w:sz w:val="20"/>
              </w:rPr>
            </w:pPr>
            <w:r>
              <w:rPr>
                <w:w w:val="95"/>
                <w:sz w:val="20"/>
              </w:rPr>
              <w:t>A03.08.004.002,</w:t>
            </w:r>
            <w:r>
              <w:rPr>
                <w:spacing w:val="54"/>
                <w:sz w:val="20"/>
              </w:rPr>
              <w:t> </w:t>
            </w:r>
            <w:r>
              <w:rPr>
                <w:spacing w:val="-2"/>
                <w:sz w:val="20"/>
              </w:rPr>
              <w:t>A03.08.004.003,</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(уровень</w:t>
            </w:r>
            <w:r>
              <w:rPr>
                <w:spacing w:val="-11"/>
                <w:sz w:val="20"/>
              </w:rPr>
              <w:t> </w:t>
            </w:r>
            <w:r>
              <w:rPr>
                <w:spacing w:val="-5"/>
                <w:sz w:val="20"/>
              </w:rPr>
              <w:t>1)</w:t>
            </w:r>
          </w:p>
        </w:tc>
        <w:tc>
          <w:tcPr>
            <w:tcW w:w="4395" w:type="dxa"/>
          </w:tcPr>
          <w:p>
            <w:pPr>
              <w:pStyle w:val="TableParagraph"/>
              <w:rPr>
                <w:sz w:val="16"/>
              </w:rPr>
            </w:pPr>
          </w:p>
        </w:tc>
        <w:tc>
          <w:tcPr>
            <w:tcW w:w="3883" w:type="dxa"/>
          </w:tcPr>
          <w:p>
            <w:pPr>
              <w:pStyle w:val="TableParagraph"/>
              <w:spacing w:line="210" w:lineRule="exact"/>
              <w:ind w:left="150" w:right="643"/>
              <w:jc w:val="center"/>
              <w:rPr>
                <w:sz w:val="20"/>
              </w:rPr>
            </w:pPr>
            <w:r>
              <w:rPr>
                <w:sz w:val="20"/>
              </w:rPr>
              <w:t>A11.08.004,</w:t>
            </w:r>
            <w:r>
              <w:rPr>
                <w:spacing w:val="-9"/>
                <w:sz w:val="20"/>
              </w:rPr>
              <w:t> </w:t>
            </w:r>
            <w:r>
              <w:rPr>
                <w:sz w:val="20"/>
              </w:rPr>
              <w:t>A16.07.055,</w:t>
            </w:r>
            <w:r>
              <w:rPr>
                <w:spacing w:val="-10"/>
                <w:sz w:val="20"/>
              </w:rPr>
              <w:t> </w:t>
            </w:r>
            <w:r>
              <w:rPr>
                <w:spacing w:val="-2"/>
                <w:sz w:val="20"/>
              </w:rPr>
              <w:t>A16.08.011,</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sz w:val="20"/>
              </w:rPr>
              <w:t>A16.08.016,</w:t>
            </w:r>
            <w:r>
              <w:rPr>
                <w:spacing w:val="-8"/>
                <w:sz w:val="20"/>
              </w:rPr>
              <w:t> </w:t>
            </w:r>
            <w:r>
              <w:rPr>
                <w:sz w:val="20"/>
              </w:rPr>
              <w:t>A16.08.018,</w:t>
            </w:r>
            <w:r>
              <w:rPr>
                <w:spacing w:val="-9"/>
                <w:sz w:val="20"/>
              </w:rPr>
              <w:t> </w:t>
            </w:r>
            <w:r>
              <w:rPr>
                <w:spacing w:val="-2"/>
                <w:sz w:val="20"/>
              </w:rPr>
              <w:t>A16.08.019,</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w w:val="95"/>
                <w:sz w:val="20"/>
              </w:rPr>
              <w:t>A16.08.020.001,</w:t>
            </w:r>
            <w:r>
              <w:rPr>
                <w:spacing w:val="54"/>
                <w:sz w:val="20"/>
              </w:rPr>
              <w:t> </w:t>
            </w:r>
            <w:r>
              <w:rPr>
                <w:spacing w:val="-2"/>
                <w:sz w:val="20"/>
              </w:rPr>
              <w:t>A16.08.023,</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9" w:lineRule="exact"/>
              <w:ind w:left="150" w:right="643"/>
              <w:jc w:val="center"/>
              <w:rPr>
                <w:sz w:val="20"/>
              </w:rPr>
            </w:pPr>
            <w:r>
              <w:rPr>
                <w:sz w:val="20"/>
              </w:rPr>
              <w:t>A16.25.001,</w:t>
            </w:r>
            <w:r>
              <w:rPr>
                <w:spacing w:val="-9"/>
                <w:sz w:val="20"/>
              </w:rPr>
              <w:t> </w:t>
            </w:r>
            <w:r>
              <w:rPr>
                <w:sz w:val="20"/>
              </w:rPr>
              <w:t>A16.25.002,</w:t>
            </w:r>
            <w:r>
              <w:rPr>
                <w:spacing w:val="-10"/>
                <w:sz w:val="20"/>
              </w:rPr>
              <w:t> </w:t>
            </w:r>
            <w:r>
              <w:rPr>
                <w:spacing w:val="-2"/>
                <w:sz w:val="20"/>
              </w:rPr>
              <w:t>A16.25.003,</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0" w:right="643"/>
              <w:jc w:val="center"/>
              <w:rPr>
                <w:sz w:val="20"/>
              </w:rPr>
            </w:pPr>
            <w:r>
              <w:rPr>
                <w:sz w:val="20"/>
              </w:rPr>
              <w:t>A16.25.004,</w:t>
            </w:r>
            <w:r>
              <w:rPr>
                <w:spacing w:val="-9"/>
                <w:sz w:val="20"/>
              </w:rPr>
              <w:t> </w:t>
            </w:r>
            <w:r>
              <w:rPr>
                <w:sz w:val="20"/>
              </w:rPr>
              <w:t>A16.25.005,</w:t>
            </w:r>
            <w:r>
              <w:rPr>
                <w:spacing w:val="-10"/>
                <w:sz w:val="20"/>
              </w:rPr>
              <w:t> </w:t>
            </w:r>
            <w:r>
              <w:rPr>
                <w:spacing w:val="-2"/>
                <w:sz w:val="20"/>
              </w:rPr>
              <w:t>A16.25.008,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w w:val="95"/>
                <w:sz w:val="20"/>
              </w:rPr>
              <w:t>A16.25.008.001,</w:t>
            </w:r>
            <w:r>
              <w:rPr>
                <w:spacing w:val="54"/>
                <w:sz w:val="20"/>
              </w:rPr>
              <w:t> </w:t>
            </w:r>
            <w:r>
              <w:rPr>
                <w:spacing w:val="-2"/>
                <w:sz w:val="20"/>
              </w:rPr>
              <w:t>A16.25.015,</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sz w:val="20"/>
              </w:rPr>
              <w:t>A16.25.036,</w:t>
            </w:r>
            <w:r>
              <w:rPr>
                <w:spacing w:val="-9"/>
                <w:sz w:val="20"/>
              </w:rPr>
              <w:t> </w:t>
            </w:r>
            <w:r>
              <w:rPr>
                <w:spacing w:val="-2"/>
                <w:sz w:val="20"/>
              </w:rPr>
              <w:t>A16.25.036.001,</w:t>
            </w:r>
          </w:p>
        </w:tc>
        <w:tc>
          <w:tcPr>
            <w:tcW w:w="1571"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6" w:type="dxa"/>
          </w:tcPr>
          <w:p>
            <w:pPr>
              <w:pStyle w:val="TableParagraph"/>
              <w:rPr>
                <w:sz w:val="18"/>
              </w:rPr>
            </w:pPr>
          </w:p>
        </w:tc>
        <w:tc>
          <w:tcPr>
            <w:tcW w:w="2510" w:type="dxa"/>
          </w:tcPr>
          <w:p>
            <w:pPr>
              <w:pStyle w:val="TableParagraph"/>
              <w:rPr>
                <w:sz w:val="18"/>
              </w:rPr>
            </w:pPr>
          </w:p>
        </w:tc>
        <w:tc>
          <w:tcPr>
            <w:tcW w:w="4395" w:type="dxa"/>
          </w:tcPr>
          <w:p>
            <w:pPr>
              <w:pStyle w:val="TableParagraph"/>
              <w:rPr>
                <w:sz w:val="18"/>
              </w:rPr>
            </w:pPr>
          </w:p>
        </w:tc>
        <w:tc>
          <w:tcPr>
            <w:tcW w:w="3883" w:type="dxa"/>
          </w:tcPr>
          <w:p>
            <w:pPr>
              <w:pStyle w:val="TableParagraph"/>
              <w:spacing w:line="226" w:lineRule="exact"/>
              <w:ind w:left="153" w:right="640"/>
              <w:jc w:val="center"/>
              <w:rPr>
                <w:sz w:val="20"/>
              </w:rPr>
            </w:pPr>
            <w:r>
              <w:rPr>
                <w:spacing w:val="-2"/>
                <w:sz w:val="20"/>
              </w:rPr>
              <w:t>A16.25.040</w:t>
            </w:r>
          </w:p>
        </w:tc>
        <w:tc>
          <w:tcPr>
            <w:tcW w:w="1571"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st20.006</w:t>
            </w:r>
          </w:p>
        </w:tc>
        <w:tc>
          <w:tcPr>
            <w:tcW w:w="706" w:type="dxa"/>
          </w:tcPr>
          <w:p>
            <w:pPr>
              <w:pStyle w:val="TableParagraph"/>
              <w:spacing w:line="215" w:lineRule="exact" w:before="45"/>
              <w:ind w:left="210"/>
              <w:rPr>
                <w:sz w:val="20"/>
              </w:rPr>
            </w:pPr>
            <w:r>
              <w:rPr>
                <w:spacing w:val="-5"/>
                <w:sz w:val="20"/>
              </w:rPr>
              <w:t>210</w:t>
            </w:r>
          </w:p>
        </w:tc>
        <w:tc>
          <w:tcPr>
            <w:tcW w:w="251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4395" w:type="dxa"/>
          </w:tcPr>
          <w:p>
            <w:pPr>
              <w:pStyle w:val="TableParagraph"/>
              <w:spacing w:line="215" w:lineRule="exact" w:before="45"/>
              <w:ind w:left="25"/>
              <w:jc w:val="center"/>
              <w:rPr>
                <w:sz w:val="20"/>
              </w:rPr>
            </w:pPr>
            <w:r>
              <w:rPr>
                <w:w w:val="99"/>
                <w:sz w:val="20"/>
              </w:rPr>
              <w:t>-</w:t>
            </w:r>
          </w:p>
        </w:tc>
        <w:tc>
          <w:tcPr>
            <w:tcW w:w="3883" w:type="dxa"/>
          </w:tcPr>
          <w:p>
            <w:pPr>
              <w:pStyle w:val="TableParagraph"/>
              <w:spacing w:line="215" w:lineRule="exact" w:before="45"/>
              <w:ind w:left="150" w:right="643"/>
              <w:jc w:val="center"/>
              <w:rPr>
                <w:sz w:val="20"/>
              </w:rPr>
            </w:pPr>
            <w:r>
              <w:rPr>
                <w:sz w:val="20"/>
              </w:rPr>
              <w:t>A16.08.001,</w:t>
            </w:r>
            <w:r>
              <w:rPr>
                <w:spacing w:val="-9"/>
                <w:sz w:val="20"/>
              </w:rPr>
              <w:t> </w:t>
            </w:r>
            <w:r>
              <w:rPr>
                <w:sz w:val="20"/>
              </w:rPr>
              <w:t>A16.08.002,</w:t>
            </w:r>
            <w:r>
              <w:rPr>
                <w:spacing w:val="-10"/>
                <w:sz w:val="20"/>
              </w:rPr>
              <w:t> </w:t>
            </w:r>
            <w:r>
              <w:rPr>
                <w:spacing w:val="-2"/>
                <w:sz w:val="20"/>
              </w:rPr>
              <w:t>A16.08.003,</w:t>
            </w:r>
          </w:p>
        </w:tc>
        <w:tc>
          <w:tcPr>
            <w:tcW w:w="1571"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0,91</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слуха,</w:t>
            </w:r>
            <w:r>
              <w:rPr>
                <w:spacing w:val="-8"/>
                <w:sz w:val="20"/>
              </w:rPr>
              <w:t> </w:t>
            </w:r>
            <w:r>
              <w:rPr>
                <w:spacing w:val="-2"/>
                <w:sz w:val="20"/>
              </w:rPr>
              <w:t>придаточных</w:t>
            </w:r>
          </w:p>
        </w:tc>
        <w:tc>
          <w:tcPr>
            <w:tcW w:w="4395" w:type="dxa"/>
          </w:tcPr>
          <w:p>
            <w:pPr>
              <w:pStyle w:val="TableParagraph"/>
              <w:rPr>
                <w:sz w:val="16"/>
              </w:rPr>
            </w:pPr>
          </w:p>
        </w:tc>
        <w:tc>
          <w:tcPr>
            <w:tcW w:w="3883" w:type="dxa"/>
          </w:tcPr>
          <w:p>
            <w:pPr>
              <w:pStyle w:val="TableParagraph"/>
              <w:spacing w:line="211" w:lineRule="exact"/>
              <w:ind w:left="150" w:right="643"/>
              <w:jc w:val="center"/>
              <w:rPr>
                <w:sz w:val="20"/>
              </w:rPr>
            </w:pPr>
            <w:r>
              <w:rPr>
                <w:sz w:val="20"/>
              </w:rPr>
              <w:t>A16.08.004,</w:t>
            </w:r>
            <w:r>
              <w:rPr>
                <w:spacing w:val="-9"/>
                <w:sz w:val="20"/>
              </w:rPr>
              <w:t> </w:t>
            </w:r>
            <w:r>
              <w:rPr>
                <w:sz w:val="20"/>
              </w:rPr>
              <w:t>A16.08.005,</w:t>
            </w:r>
            <w:r>
              <w:rPr>
                <w:spacing w:val="-10"/>
                <w:sz w:val="20"/>
              </w:rPr>
              <w:t> </w:t>
            </w:r>
            <w:r>
              <w:rPr>
                <w:spacing w:val="-2"/>
                <w:sz w:val="20"/>
              </w:rPr>
              <w:t>A16.08.006,</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4395" w:type="dxa"/>
          </w:tcPr>
          <w:p>
            <w:pPr>
              <w:pStyle w:val="TableParagraph"/>
              <w:rPr>
                <w:sz w:val="16"/>
              </w:rPr>
            </w:pPr>
          </w:p>
        </w:tc>
        <w:tc>
          <w:tcPr>
            <w:tcW w:w="3883" w:type="dxa"/>
          </w:tcPr>
          <w:p>
            <w:pPr>
              <w:pStyle w:val="TableParagraph"/>
              <w:spacing w:line="211" w:lineRule="exact"/>
              <w:ind w:left="151" w:right="643"/>
              <w:jc w:val="center"/>
              <w:rPr>
                <w:sz w:val="20"/>
              </w:rPr>
            </w:pPr>
            <w:r>
              <w:rPr>
                <w:w w:val="95"/>
                <w:sz w:val="20"/>
              </w:rPr>
              <w:t>A16.08.006.001,</w:t>
            </w:r>
            <w:r>
              <w:rPr>
                <w:spacing w:val="54"/>
                <w:sz w:val="20"/>
              </w:rPr>
              <w:t> </w:t>
            </w:r>
            <w:r>
              <w:rPr>
                <w:spacing w:val="-2"/>
                <w:sz w:val="20"/>
              </w:rPr>
              <w:t>A16.08.006.002,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дыхательных</w:t>
            </w:r>
            <w:r>
              <w:rPr>
                <w:spacing w:val="-11"/>
                <w:sz w:val="20"/>
              </w:rPr>
              <w:t> </w:t>
            </w:r>
            <w:r>
              <w:rPr>
                <w:spacing w:val="-2"/>
                <w:sz w:val="20"/>
              </w:rPr>
              <w:t>путях</w:t>
            </w:r>
          </w:p>
        </w:tc>
        <w:tc>
          <w:tcPr>
            <w:tcW w:w="4395" w:type="dxa"/>
          </w:tcPr>
          <w:p>
            <w:pPr>
              <w:pStyle w:val="TableParagraph"/>
              <w:rPr>
                <w:sz w:val="16"/>
              </w:rPr>
            </w:pPr>
          </w:p>
        </w:tc>
        <w:tc>
          <w:tcPr>
            <w:tcW w:w="3883" w:type="dxa"/>
          </w:tcPr>
          <w:p>
            <w:pPr>
              <w:pStyle w:val="TableParagraph"/>
              <w:spacing w:line="210" w:lineRule="exact"/>
              <w:ind w:left="153" w:right="642"/>
              <w:jc w:val="center"/>
              <w:rPr>
                <w:sz w:val="20"/>
              </w:rPr>
            </w:pPr>
            <w:r>
              <w:rPr>
                <w:sz w:val="20"/>
              </w:rPr>
              <w:t>A16.08.007,</w:t>
            </w:r>
            <w:r>
              <w:rPr>
                <w:spacing w:val="-9"/>
                <w:sz w:val="20"/>
              </w:rPr>
              <w:t> </w:t>
            </w:r>
            <w:r>
              <w:rPr>
                <w:spacing w:val="-2"/>
                <w:sz w:val="20"/>
              </w:rPr>
              <w:t>A16.08.009,</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(уровень</w:t>
            </w:r>
            <w:r>
              <w:rPr>
                <w:spacing w:val="-11"/>
                <w:sz w:val="20"/>
              </w:rPr>
              <w:t> </w:t>
            </w:r>
            <w:r>
              <w:rPr>
                <w:spacing w:val="-5"/>
                <w:sz w:val="20"/>
              </w:rPr>
              <w:t>2)</w:t>
            </w: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w w:val="95"/>
                <w:sz w:val="20"/>
              </w:rPr>
              <w:t>A16.08.010.001,</w:t>
            </w:r>
            <w:r>
              <w:rPr>
                <w:spacing w:val="54"/>
                <w:sz w:val="20"/>
              </w:rPr>
              <w:t> </w:t>
            </w:r>
            <w:r>
              <w:rPr>
                <w:spacing w:val="-2"/>
                <w:sz w:val="20"/>
              </w:rPr>
              <w:t>A16.08.012,</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sz w:val="20"/>
              </w:rPr>
              <w:t>A16.08.013,</w:t>
            </w:r>
            <w:r>
              <w:rPr>
                <w:spacing w:val="-9"/>
                <w:sz w:val="20"/>
              </w:rPr>
              <w:t> </w:t>
            </w:r>
            <w:r>
              <w:rPr>
                <w:spacing w:val="-2"/>
                <w:sz w:val="20"/>
              </w:rPr>
              <w:t>A16.08.013.002,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3" w:right="643"/>
              <w:jc w:val="center"/>
              <w:rPr>
                <w:sz w:val="20"/>
              </w:rPr>
            </w:pPr>
            <w:r>
              <w:rPr>
                <w:sz w:val="20"/>
              </w:rPr>
              <w:t>A16.08.014,</w:t>
            </w:r>
            <w:r>
              <w:rPr>
                <w:spacing w:val="-9"/>
                <w:sz w:val="20"/>
              </w:rPr>
              <w:t> </w:t>
            </w:r>
            <w:r>
              <w:rPr>
                <w:sz w:val="20"/>
              </w:rPr>
              <w:t>A16.08.015,</w:t>
            </w:r>
            <w:r>
              <w:rPr>
                <w:spacing w:val="-6"/>
                <w:sz w:val="20"/>
              </w:rPr>
              <w:t> </w:t>
            </w:r>
            <w:r>
              <w:rPr>
                <w:spacing w:val="-2"/>
                <w:sz w:val="20"/>
              </w:rPr>
              <w:t>A16.08.020,</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3" w:right="642"/>
              <w:jc w:val="center"/>
              <w:rPr>
                <w:sz w:val="20"/>
              </w:rPr>
            </w:pPr>
            <w:r>
              <w:rPr>
                <w:sz w:val="20"/>
              </w:rPr>
              <w:t>A16.08.021,</w:t>
            </w:r>
            <w:r>
              <w:rPr>
                <w:spacing w:val="-9"/>
                <w:sz w:val="20"/>
              </w:rPr>
              <w:t> </w:t>
            </w:r>
            <w:r>
              <w:rPr>
                <w:spacing w:val="-2"/>
                <w:sz w:val="20"/>
              </w:rPr>
              <w:t>A16.08.022,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w w:val="95"/>
                <w:sz w:val="20"/>
              </w:rPr>
              <w:t>A16.08.053.001,</w:t>
            </w:r>
            <w:r>
              <w:rPr>
                <w:spacing w:val="54"/>
                <w:sz w:val="20"/>
              </w:rPr>
              <w:t> </w:t>
            </w:r>
            <w:r>
              <w:rPr>
                <w:spacing w:val="-2"/>
                <w:sz w:val="20"/>
              </w:rPr>
              <w:t>A16.08.054,</w:t>
            </w:r>
          </w:p>
        </w:tc>
        <w:tc>
          <w:tcPr>
            <w:tcW w:w="1571"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5" w:lineRule="exact"/>
              <w:ind w:left="152" w:right="643"/>
              <w:jc w:val="center"/>
              <w:rPr>
                <w:sz w:val="20"/>
              </w:rPr>
            </w:pPr>
            <w:r>
              <w:rPr>
                <w:sz w:val="20"/>
              </w:rPr>
              <w:t>A16.08.055,</w:t>
            </w:r>
            <w:r>
              <w:rPr>
                <w:spacing w:val="-9"/>
                <w:sz w:val="20"/>
              </w:rPr>
              <w:t> </w:t>
            </w:r>
            <w:r>
              <w:rPr>
                <w:spacing w:val="-2"/>
                <w:sz w:val="20"/>
              </w:rPr>
              <w:t>A16.08.055.001,</w:t>
            </w:r>
          </w:p>
        </w:tc>
        <w:tc>
          <w:tcPr>
            <w:tcW w:w="1571"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39"/>
        <w:gridCol w:w="2466"/>
        <w:gridCol w:w="4880"/>
        <w:gridCol w:w="1573"/>
        <w:gridCol w:w="1260"/>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439" w:type="dxa"/>
            <w:vMerge w:val="restart"/>
          </w:tcPr>
          <w:p>
            <w:pPr>
              <w:pStyle w:val="TableParagraph"/>
              <w:rPr>
                <w:sz w:val="18"/>
              </w:rPr>
            </w:pPr>
          </w:p>
        </w:tc>
        <w:tc>
          <w:tcPr>
            <w:tcW w:w="2466" w:type="dxa"/>
            <w:vMerge w:val="restart"/>
          </w:tcPr>
          <w:p>
            <w:pPr>
              <w:pStyle w:val="TableParagraph"/>
              <w:rPr>
                <w:sz w:val="18"/>
              </w:rPr>
            </w:pPr>
          </w:p>
        </w:tc>
        <w:tc>
          <w:tcPr>
            <w:tcW w:w="4880" w:type="dxa"/>
          </w:tcPr>
          <w:p>
            <w:pPr>
              <w:pStyle w:val="TableParagraph"/>
              <w:spacing w:line="205" w:lineRule="exact"/>
              <w:ind w:left="1098" w:right="593"/>
              <w:jc w:val="center"/>
              <w:rPr>
                <w:sz w:val="20"/>
              </w:rPr>
            </w:pPr>
            <w:r>
              <w:rPr>
                <w:sz w:val="20"/>
              </w:rPr>
              <w:t>A16.08.057,</w:t>
            </w:r>
            <w:r>
              <w:rPr>
                <w:spacing w:val="-9"/>
                <w:sz w:val="20"/>
              </w:rPr>
              <w:t> </w:t>
            </w:r>
            <w:r>
              <w:rPr>
                <w:sz w:val="20"/>
              </w:rPr>
              <w:t>A16.08.059,</w:t>
            </w:r>
            <w:r>
              <w:rPr>
                <w:spacing w:val="-10"/>
                <w:sz w:val="20"/>
              </w:rPr>
              <w:t> </w:t>
            </w:r>
            <w:r>
              <w:rPr>
                <w:spacing w:val="-2"/>
                <w:sz w:val="20"/>
              </w:rPr>
              <w:t>A16.08.060,</w:t>
            </w:r>
          </w:p>
        </w:tc>
        <w:tc>
          <w:tcPr>
            <w:tcW w:w="1573"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09" w:lineRule="exact"/>
              <w:ind w:left="1098" w:right="593"/>
              <w:jc w:val="center"/>
              <w:rPr>
                <w:sz w:val="20"/>
              </w:rPr>
            </w:pPr>
            <w:r>
              <w:rPr>
                <w:sz w:val="20"/>
              </w:rPr>
              <w:t>A16.08.061,</w:t>
            </w:r>
            <w:r>
              <w:rPr>
                <w:spacing w:val="-9"/>
                <w:sz w:val="20"/>
              </w:rPr>
              <w:t> </w:t>
            </w:r>
            <w:r>
              <w:rPr>
                <w:sz w:val="20"/>
              </w:rPr>
              <w:t>A16.08.063,</w:t>
            </w:r>
            <w:r>
              <w:rPr>
                <w:spacing w:val="-10"/>
                <w:sz w:val="20"/>
              </w:rPr>
              <w:t> </w:t>
            </w:r>
            <w:r>
              <w:rPr>
                <w:spacing w:val="-2"/>
                <w:sz w:val="20"/>
              </w:rPr>
              <w:t>A16.08.064,</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09" w:lineRule="exact"/>
              <w:ind w:left="1098" w:right="593"/>
              <w:jc w:val="center"/>
              <w:rPr>
                <w:sz w:val="20"/>
              </w:rPr>
            </w:pPr>
            <w:r>
              <w:rPr>
                <w:sz w:val="20"/>
              </w:rPr>
              <w:t>A16.08.065,</w:t>
            </w:r>
            <w:r>
              <w:rPr>
                <w:spacing w:val="-9"/>
                <w:sz w:val="20"/>
              </w:rPr>
              <w:t> </w:t>
            </w:r>
            <w:r>
              <w:rPr>
                <w:sz w:val="20"/>
              </w:rPr>
              <w:t>A16.08.066,</w:t>
            </w:r>
            <w:r>
              <w:rPr>
                <w:spacing w:val="-10"/>
                <w:sz w:val="20"/>
              </w:rPr>
              <w:t> </w:t>
            </w:r>
            <w:r>
              <w:rPr>
                <w:spacing w:val="-2"/>
                <w:sz w:val="20"/>
              </w:rPr>
              <w:t>A16.08.067,</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0" w:lineRule="exact"/>
              <w:ind w:left="1098" w:right="593"/>
              <w:jc w:val="center"/>
              <w:rPr>
                <w:sz w:val="20"/>
              </w:rPr>
            </w:pPr>
            <w:r>
              <w:rPr>
                <w:sz w:val="20"/>
              </w:rPr>
              <w:t>A16.08.074,</w:t>
            </w:r>
            <w:r>
              <w:rPr>
                <w:spacing w:val="-9"/>
                <w:sz w:val="20"/>
              </w:rPr>
              <w:t> </w:t>
            </w:r>
            <w:r>
              <w:rPr>
                <w:sz w:val="20"/>
              </w:rPr>
              <w:t>A16.25.011,</w:t>
            </w:r>
            <w:r>
              <w:rPr>
                <w:spacing w:val="-10"/>
                <w:sz w:val="20"/>
              </w:rPr>
              <w:t> </w:t>
            </w:r>
            <w:r>
              <w:rPr>
                <w:spacing w:val="-2"/>
                <w:sz w:val="20"/>
              </w:rPr>
              <w:t>A16.25.016,</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0" w:lineRule="exact"/>
              <w:ind w:left="1102" w:right="593"/>
              <w:jc w:val="center"/>
              <w:rPr>
                <w:sz w:val="20"/>
              </w:rPr>
            </w:pPr>
            <w:r>
              <w:rPr>
                <w:sz w:val="20"/>
              </w:rPr>
              <w:t>A16.25.017,</w:t>
            </w:r>
            <w:r>
              <w:rPr>
                <w:spacing w:val="-8"/>
                <w:sz w:val="20"/>
              </w:rPr>
              <w:t> </w:t>
            </w:r>
            <w:r>
              <w:rPr>
                <w:sz w:val="20"/>
              </w:rPr>
              <w:t>A16.25.020,</w:t>
            </w:r>
            <w:r>
              <w:rPr>
                <w:spacing w:val="-8"/>
                <w:sz w:val="20"/>
              </w:rPr>
              <w:t> </w:t>
            </w:r>
            <w:r>
              <w:rPr>
                <w:spacing w:val="-2"/>
                <w:sz w:val="20"/>
              </w:rPr>
              <w:t>A16.25.021,</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0" w:lineRule="exact"/>
              <w:ind w:left="1100" w:right="593"/>
              <w:jc w:val="center"/>
              <w:rPr>
                <w:sz w:val="20"/>
              </w:rPr>
            </w:pPr>
            <w:r>
              <w:rPr>
                <w:sz w:val="20"/>
              </w:rPr>
              <w:t>A16.25.027,</w:t>
            </w:r>
            <w:r>
              <w:rPr>
                <w:spacing w:val="-9"/>
                <w:sz w:val="20"/>
              </w:rPr>
              <w:t> </w:t>
            </w:r>
            <w:r>
              <w:rPr>
                <w:spacing w:val="-2"/>
                <w:sz w:val="20"/>
              </w:rPr>
              <w:t>A16.25.027.001,</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1" w:lineRule="exact"/>
              <w:ind w:left="1100" w:right="593"/>
              <w:jc w:val="center"/>
              <w:rPr>
                <w:sz w:val="20"/>
              </w:rPr>
            </w:pPr>
            <w:r>
              <w:rPr>
                <w:w w:val="95"/>
                <w:sz w:val="20"/>
              </w:rPr>
              <w:t>A16.25.027.002,</w:t>
            </w:r>
            <w:r>
              <w:rPr>
                <w:spacing w:val="54"/>
                <w:sz w:val="20"/>
              </w:rPr>
              <w:t> </w:t>
            </w:r>
            <w:r>
              <w:rPr>
                <w:spacing w:val="-2"/>
                <w:sz w:val="20"/>
              </w:rPr>
              <w:t>A16.25.041,</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26" w:lineRule="exact"/>
              <w:ind w:left="1100" w:right="593"/>
              <w:jc w:val="center"/>
              <w:rPr>
                <w:sz w:val="20"/>
              </w:rPr>
            </w:pPr>
            <w:r>
              <w:rPr>
                <w:sz w:val="20"/>
              </w:rPr>
              <w:t>A16.25.042,</w:t>
            </w:r>
            <w:r>
              <w:rPr>
                <w:spacing w:val="-9"/>
                <w:sz w:val="20"/>
              </w:rPr>
              <w:t> </w:t>
            </w:r>
            <w:r>
              <w:rPr>
                <w:spacing w:val="-2"/>
                <w:sz w:val="20"/>
              </w:rPr>
              <w:t>A16.25.043</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st20.007</w:t>
            </w:r>
          </w:p>
        </w:tc>
        <w:tc>
          <w:tcPr>
            <w:tcW w:w="707" w:type="dxa"/>
          </w:tcPr>
          <w:p>
            <w:pPr>
              <w:pStyle w:val="TableParagraph"/>
              <w:spacing w:line="215" w:lineRule="exact" w:before="45"/>
              <w:ind w:left="210"/>
              <w:rPr>
                <w:sz w:val="20"/>
              </w:rPr>
            </w:pPr>
            <w:r>
              <w:rPr>
                <w:spacing w:val="-5"/>
                <w:sz w:val="20"/>
              </w:rPr>
              <w:t>211</w:t>
            </w:r>
          </w:p>
        </w:tc>
        <w:tc>
          <w:tcPr>
            <w:tcW w:w="34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5"/>
              <w:ind w:right="1150"/>
              <w:jc w:val="right"/>
              <w:rPr>
                <w:sz w:val="20"/>
              </w:rPr>
            </w:pPr>
            <w:r>
              <w:rPr>
                <w:w w:val="99"/>
                <w:sz w:val="20"/>
              </w:rPr>
              <w:t>-</w:t>
            </w:r>
          </w:p>
        </w:tc>
        <w:tc>
          <w:tcPr>
            <w:tcW w:w="4880" w:type="dxa"/>
          </w:tcPr>
          <w:p>
            <w:pPr>
              <w:pStyle w:val="TableParagraph"/>
              <w:spacing w:line="215" w:lineRule="exact" w:before="45"/>
              <w:ind w:left="1099" w:right="593"/>
              <w:jc w:val="center"/>
              <w:rPr>
                <w:sz w:val="20"/>
              </w:rPr>
            </w:pPr>
            <w:r>
              <w:rPr>
                <w:w w:val="95"/>
                <w:sz w:val="20"/>
              </w:rPr>
              <w:t>A16.08.008.002,</w:t>
            </w:r>
            <w:r>
              <w:rPr>
                <w:spacing w:val="54"/>
                <w:sz w:val="20"/>
              </w:rPr>
              <w:t> </w:t>
            </w:r>
            <w:r>
              <w:rPr>
                <w:spacing w:val="-2"/>
                <w:sz w:val="20"/>
              </w:rPr>
              <w:t>A16.08.008.003,</w:t>
            </w:r>
          </w:p>
        </w:tc>
        <w:tc>
          <w:tcPr>
            <w:tcW w:w="1573" w:type="dxa"/>
          </w:tcPr>
          <w:p>
            <w:pPr>
              <w:pStyle w:val="TableParagraph"/>
              <w:spacing w:line="215" w:lineRule="exact" w:before="45"/>
              <w:ind w:left="648"/>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1,10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A16.08.008.004,</w:t>
            </w:r>
            <w:r>
              <w:rPr>
                <w:spacing w:val="-10"/>
                <w:sz w:val="20"/>
              </w:rPr>
              <w:t> </w:t>
            </w:r>
            <w:r>
              <w:rPr>
                <w:spacing w:val="-2"/>
                <w:sz w:val="20"/>
              </w:rPr>
              <w:t>A16.08.008.005,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A16.08.010,</w:t>
            </w:r>
            <w:r>
              <w:rPr>
                <w:spacing w:val="-9"/>
                <w:sz w:val="20"/>
              </w:rPr>
              <w:t> </w:t>
            </w:r>
            <w:r>
              <w:rPr>
                <w:sz w:val="20"/>
              </w:rPr>
              <w:t>A16.08.017,</w:t>
            </w:r>
            <w:r>
              <w:rPr>
                <w:spacing w:val="-10"/>
                <w:sz w:val="20"/>
              </w:rPr>
              <w:t> </w:t>
            </w:r>
            <w:r>
              <w:rPr>
                <w:spacing w:val="-2"/>
                <w:sz w:val="20"/>
              </w:rPr>
              <w:t>A16.08.024,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A16.08.027,</w:t>
            </w:r>
            <w:r>
              <w:rPr>
                <w:spacing w:val="-9"/>
                <w:sz w:val="20"/>
              </w:rPr>
              <w:t> </w:t>
            </w:r>
            <w:r>
              <w:rPr>
                <w:sz w:val="20"/>
              </w:rPr>
              <w:t>A16.08.028,</w:t>
            </w:r>
            <w:r>
              <w:rPr>
                <w:spacing w:val="-10"/>
                <w:sz w:val="20"/>
              </w:rPr>
              <w:t> </w:t>
            </w:r>
            <w:r>
              <w:rPr>
                <w:spacing w:val="-2"/>
                <w:sz w:val="20"/>
              </w:rPr>
              <w:t>A16.08.029,</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(уровень</w:t>
            </w:r>
            <w:r>
              <w:rPr>
                <w:spacing w:val="-11"/>
                <w:sz w:val="20"/>
              </w:rPr>
              <w:t> </w:t>
            </w:r>
            <w:r>
              <w:rPr>
                <w:spacing w:val="-5"/>
                <w:sz w:val="20"/>
              </w:rPr>
              <w:t>3)</w:t>
            </w:r>
          </w:p>
        </w:tc>
        <w:tc>
          <w:tcPr>
            <w:tcW w:w="2466"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A16.08.031,</w:t>
            </w:r>
            <w:r>
              <w:rPr>
                <w:spacing w:val="-9"/>
                <w:sz w:val="20"/>
              </w:rPr>
              <w:t> </w:t>
            </w:r>
            <w:r>
              <w:rPr>
                <w:sz w:val="20"/>
              </w:rPr>
              <w:t>A16.08.035,</w:t>
            </w:r>
            <w:r>
              <w:rPr>
                <w:spacing w:val="-10"/>
                <w:sz w:val="20"/>
              </w:rPr>
              <w:t> </w:t>
            </w:r>
            <w:r>
              <w:rPr>
                <w:spacing w:val="-2"/>
                <w:sz w:val="20"/>
              </w:rPr>
              <w:t>A16.08.036,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A16.08.037,</w:t>
            </w:r>
            <w:r>
              <w:rPr>
                <w:spacing w:val="-9"/>
                <w:sz w:val="20"/>
              </w:rPr>
              <w:t> </w:t>
            </w:r>
            <w:r>
              <w:rPr>
                <w:sz w:val="20"/>
              </w:rPr>
              <w:t>A16.08.038,</w:t>
            </w:r>
            <w:r>
              <w:rPr>
                <w:spacing w:val="-10"/>
                <w:sz w:val="20"/>
              </w:rPr>
              <w:t> </w:t>
            </w:r>
            <w:r>
              <w:rPr>
                <w:spacing w:val="-2"/>
                <w:sz w:val="20"/>
              </w:rPr>
              <w:t>A16.08.039,</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A16.08.040,</w:t>
            </w:r>
            <w:r>
              <w:rPr>
                <w:spacing w:val="-9"/>
                <w:sz w:val="20"/>
              </w:rPr>
              <w:t> </w:t>
            </w:r>
            <w:r>
              <w:rPr>
                <w:spacing w:val="-2"/>
                <w:sz w:val="20"/>
              </w:rPr>
              <w:t>A16.08.041,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A16.08.054.001,</w:t>
            </w:r>
            <w:r>
              <w:rPr>
                <w:spacing w:val="54"/>
                <w:sz w:val="20"/>
              </w:rPr>
              <w:t> </w:t>
            </w:r>
            <w:r>
              <w:rPr>
                <w:spacing w:val="-2"/>
                <w:sz w:val="20"/>
              </w:rPr>
              <w:t>A16.08.054.002,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A16.08.056,</w:t>
            </w:r>
            <w:r>
              <w:rPr>
                <w:spacing w:val="-9"/>
                <w:sz w:val="20"/>
              </w:rPr>
              <w:t> </w:t>
            </w:r>
            <w:r>
              <w:rPr>
                <w:spacing w:val="-2"/>
                <w:sz w:val="20"/>
              </w:rPr>
              <w:t>A16.08.058,</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102" w:right="593"/>
              <w:jc w:val="center"/>
              <w:rPr>
                <w:sz w:val="20"/>
              </w:rPr>
            </w:pPr>
            <w:r>
              <w:rPr>
                <w:sz w:val="20"/>
              </w:rPr>
              <w:t>A16.08.058.001,</w:t>
            </w:r>
            <w:r>
              <w:rPr>
                <w:spacing w:val="-10"/>
                <w:sz w:val="20"/>
              </w:rPr>
              <w:t> </w:t>
            </w:r>
            <w:r>
              <w:rPr>
                <w:spacing w:val="-2"/>
                <w:sz w:val="20"/>
              </w:rPr>
              <w:t>A16.08.061.001,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A16.08.069,</w:t>
            </w:r>
            <w:r>
              <w:rPr>
                <w:spacing w:val="-9"/>
                <w:sz w:val="20"/>
              </w:rPr>
              <w:t> </w:t>
            </w:r>
            <w:r>
              <w:rPr>
                <w:sz w:val="20"/>
              </w:rPr>
              <w:t>A16.08.075,</w:t>
            </w:r>
            <w:r>
              <w:rPr>
                <w:spacing w:val="-10"/>
                <w:sz w:val="20"/>
              </w:rPr>
              <w:t> </w:t>
            </w:r>
            <w:r>
              <w:rPr>
                <w:spacing w:val="-2"/>
                <w:sz w:val="20"/>
              </w:rPr>
              <w:t>A16.25.010,</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A16.25.013,</w:t>
            </w:r>
            <w:r>
              <w:rPr>
                <w:spacing w:val="-9"/>
                <w:sz w:val="20"/>
              </w:rPr>
              <w:t> </w:t>
            </w:r>
            <w:r>
              <w:rPr>
                <w:spacing w:val="-2"/>
                <w:sz w:val="20"/>
              </w:rPr>
              <w:t>A16.25.018,</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0" w:right="593"/>
              <w:jc w:val="center"/>
              <w:rPr>
                <w:sz w:val="20"/>
              </w:rPr>
            </w:pPr>
            <w:r>
              <w:rPr>
                <w:w w:val="95"/>
                <w:sz w:val="20"/>
              </w:rPr>
              <w:t>A16.25.021.001,</w:t>
            </w:r>
            <w:r>
              <w:rPr>
                <w:spacing w:val="54"/>
                <w:sz w:val="20"/>
              </w:rPr>
              <w:t> </w:t>
            </w:r>
            <w:r>
              <w:rPr>
                <w:spacing w:val="-2"/>
                <w:sz w:val="20"/>
              </w:rPr>
              <w:t>A16.25.030,</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A16.25.031,</w:t>
            </w:r>
            <w:r>
              <w:rPr>
                <w:spacing w:val="-9"/>
                <w:sz w:val="20"/>
              </w:rPr>
              <w:t> </w:t>
            </w:r>
            <w:r>
              <w:rPr>
                <w:sz w:val="20"/>
              </w:rPr>
              <w:t>A16.27.001,</w:t>
            </w:r>
            <w:r>
              <w:rPr>
                <w:spacing w:val="-10"/>
                <w:sz w:val="20"/>
              </w:rPr>
              <w:t> </w:t>
            </w:r>
            <w:r>
              <w:rPr>
                <w:spacing w:val="-2"/>
                <w:sz w:val="20"/>
              </w:rPr>
              <w:t>A16.27.002,</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39" w:type="dxa"/>
          </w:tcPr>
          <w:p>
            <w:pPr>
              <w:pStyle w:val="TableParagraph"/>
              <w:rPr>
                <w:sz w:val="18"/>
              </w:rPr>
            </w:pPr>
          </w:p>
        </w:tc>
        <w:tc>
          <w:tcPr>
            <w:tcW w:w="2466" w:type="dxa"/>
          </w:tcPr>
          <w:p>
            <w:pPr>
              <w:pStyle w:val="TableParagraph"/>
              <w:rPr>
                <w:sz w:val="18"/>
              </w:rPr>
            </w:pPr>
          </w:p>
        </w:tc>
        <w:tc>
          <w:tcPr>
            <w:tcW w:w="4880" w:type="dxa"/>
          </w:tcPr>
          <w:p>
            <w:pPr>
              <w:pStyle w:val="TableParagraph"/>
              <w:spacing w:line="226" w:lineRule="exact"/>
              <w:ind w:left="1104" w:right="593"/>
              <w:jc w:val="center"/>
              <w:rPr>
                <w:sz w:val="20"/>
              </w:rPr>
            </w:pPr>
            <w:r>
              <w:rPr>
                <w:spacing w:val="-2"/>
                <w:sz w:val="20"/>
              </w:rPr>
              <w:t>A16.27.003</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st20.008</w:t>
            </w:r>
          </w:p>
        </w:tc>
        <w:tc>
          <w:tcPr>
            <w:tcW w:w="707" w:type="dxa"/>
          </w:tcPr>
          <w:p>
            <w:pPr>
              <w:pStyle w:val="TableParagraph"/>
              <w:spacing w:line="215" w:lineRule="exact" w:before="45"/>
              <w:ind w:left="210"/>
              <w:rPr>
                <w:sz w:val="20"/>
              </w:rPr>
            </w:pPr>
            <w:r>
              <w:rPr>
                <w:spacing w:val="-5"/>
                <w:sz w:val="20"/>
              </w:rPr>
              <w:t>212</w:t>
            </w:r>
          </w:p>
        </w:tc>
        <w:tc>
          <w:tcPr>
            <w:tcW w:w="34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5"/>
              <w:ind w:right="1150"/>
              <w:jc w:val="right"/>
              <w:rPr>
                <w:sz w:val="20"/>
              </w:rPr>
            </w:pPr>
            <w:r>
              <w:rPr>
                <w:w w:val="99"/>
                <w:sz w:val="20"/>
              </w:rPr>
              <w:t>-</w:t>
            </w:r>
          </w:p>
        </w:tc>
        <w:tc>
          <w:tcPr>
            <w:tcW w:w="4880" w:type="dxa"/>
          </w:tcPr>
          <w:p>
            <w:pPr>
              <w:pStyle w:val="TableParagraph"/>
              <w:spacing w:line="215" w:lineRule="exact" w:before="45"/>
              <w:ind w:left="1099" w:right="593"/>
              <w:jc w:val="center"/>
              <w:rPr>
                <w:sz w:val="20"/>
              </w:rPr>
            </w:pPr>
            <w:r>
              <w:rPr>
                <w:w w:val="95"/>
                <w:sz w:val="20"/>
              </w:rPr>
              <w:t>A16.08.001.001,</w:t>
            </w:r>
            <w:r>
              <w:rPr>
                <w:spacing w:val="54"/>
                <w:sz w:val="20"/>
              </w:rPr>
              <w:t> </w:t>
            </w:r>
            <w:r>
              <w:rPr>
                <w:spacing w:val="-2"/>
                <w:sz w:val="20"/>
              </w:rPr>
              <w:t>A16.08.002.001,</w:t>
            </w:r>
          </w:p>
        </w:tc>
        <w:tc>
          <w:tcPr>
            <w:tcW w:w="1573" w:type="dxa"/>
          </w:tcPr>
          <w:p>
            <w:pPr>
              <w:pStyle w:val="TableParagraph"/>
              <w:spacing w:line="215" w:lineRule="exact" w:before="45"/>
              <w:ind w:left="648"/>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1,35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0" w:type="dxa"/>
          </w:tcPr>
          <w:p>
            <w:pPr>
              <w:pStyle w:val="TableParagraph"/>
              <w:spacing w:line="210" w:lineRule="exact"/>
              <w:ind w:left="1100" w:right="593"/>
              <w:jc w:val="center"/>
              <w:rPr>
                <w:sz w:val="20"/>
              </w:rPr>
            </w:pPr>
            <w:r>
              <w:rPr>
                <w:sz w:val="20"/>
              </w:rPr>
              <w:t>A16.08.008,</w:t>
            </w:r>
            <w:r>
              <w:rPr>
                <w:spacing w:val="-9"/>
                <w:sz w:val="20"/>
              </w:rPr>
              <w:t> </w:t>
            </w:r>
            <w:r>
              <w:rPr>
                <w:spacing w:val="-2"/>
                <w:sz w:val="20"/>
              </w:rPr>
              <w:t>A16.08.008.001,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A16.08.009.001,</w:t>
            </w:r>
            <w:r>
              <w:rPr>
                <w:spacing w:val="54"/>
                <w:sz w:val="20"/>
              </w:rPr>
              <w:t> </w:t>
            </w:r>
            <w:r>
              <w:rPr>
                <w:spacing w:val="-2"/>
                <w:sz w:val="20"/>
              </w:rPr>
              <w:t>A16.08.010.002,</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A16.08.010.003,</w:t>
            </w:r>
            <w:r>
              <w:rPr>
                <w:spacing w:val="54"/>
                <w:sz w:val="20"/>
              </w:rPr>
              <w:t> </w:t>
            </w:r>
            <w:r>
              <w:rPr>
                <w:spacing w:val="-2"/>
                <w:sz w:val="20"/>
              </w:rPr>
              <w:t>A16.08.010.004,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(уровень</w:t>
            </w:r>
            <w:r>
              <w:rPr>
                <w:spacing w:val="-11"/>
                <w:sz w:val="20"/>
              </w:rPr>
              <w:t> </w:t>
            </w:r>
            <w:r>
              <w:rPr>
                <w:spacing w:val="-5"/>
                <w:sz w:val="20"/>
              </w:rPr>
              <w:t>4)</w:t>
            </w: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A16.08.013.001,</w:t>
            </w:r>
            <w:r>
              <w:rPr>
                <w:spacing w:val="54"/>
                <w:sz w:val="20"/>
              </w:rPr>
              <w:t> </w:t>
            </w:r>
            <w:r>
              <w:rPr>
                <w:spacing w:val="-2"/>
                <w:sz w:val="20"/>
              </w:rPr>
              <w:t>A16.08.017.001,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1" w:lineRule="exact"/>
              <w:ind w:left="1099" w:right="593"/>
              <w:jc w:val="center"/>
              <w:rPr>
                <w:sz w:val="20"/>
              </w:rPr>
            </w:pPr>
            <w:r>
              <w:rPr>
                <w:w w:val="95"/>
                <w:sz w:val="20"/>
              </w:rPr>
              <w:t>A16.08.017.002,</w:t>
            </w:r>
            <w:r>
              <w:rPr>
                <w:spacing w:val="54"/>
                <w:sz w:val="20"/>
              </w:rPr>
              <w:t> </w:t>
            </w:r>
            <w:r>
              <w:rPr>
                <w:spacing w:val="-2"/>
                <w:sz w:val="20"/>
              </w:rPr>
              <w:t>A16.08.031.001,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0" w:right="593"/>
              <w:jc w:val="center"/>
              <w:rPr>
                <w:sz w:val="20"/>
              </w:rPr>
            </w:pPr>
            <w:r>
              <w:rPr>
                <w:sz w:val="20"/>
              </w:rPr>
              <w:t>A16.08.032,</w:t>
            </w:r>
            <w:r>
              <w:rPr>
                <w:spacing w:val="-9"/>
                <w:sz w:val="20"/>
              </w:rPr>
              <w:t> </w:t>
            </w:r>
            <w:r>
              <w:rPr>
                <w:spacing w:val="-2"/>
                <w:sz w:val="20"/>
              </w:rPr>
              <w:t>A16.08.032.005,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4" w:right="593"/>
              <w:jc w:val="center"/>
              <w:rPr>
                <w:sz w:val="20"/>
              </w:rPr>
            </w:pPr>
            <w:r>
              <w:rPr>
                <w:w w:val="95"/>
                <w:sz w:val="20"/>
              </w:rPr>
              <w:t>A16.08.035.001,</w:t>
            </w:r>
            <w:r>
              <w:rPr>
                <w:spacing w:val="54"/>
                <w:sz w:val="20"/>
              </w:rPr>
              <w:t> </w:t>
            </w:r>
            <w:r>
              <w:rPr>
                <w:spacing w:val="-2"/>
                <w:sz w:val="20"/>
              </w:rPr>
              <w:t>A16.08.036.001,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A16.08.037.003,</w:t>
            </w:r>
            <w:r>
              <w:rPr>
                <w:spacing w:val="54"/>
                <w:sz w:val="20"/>
              </w:rPr>
              <w:t> </w:t>
            </w:r>
            <w:r>
              <w:rPr>
                <w:spacing w:val="-2"/>
                <w:sz w:val="20"/>
              </w:rPr>
              <w:t>A16.08.040.001,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A16.08.040.002,</w:t>
            </w:r>
            <w:r>
              <w:rPr>
                <w:spacing w:val="54"/>
                <w:sz w:val="20"/>
              </w:rPr>
              <w:t> </w:t>
            </w:r>
            <w:r>
              <w:rPr>
                <w:spacing w:val="-2"/>
                <w:sz w:val="20"/>
              </w:rPr>
              <w:t>A16.08.040.003,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A16.08.040.004,</w:t>
            </w:r>
            <w:r>
              <w:rPr>
                <w:spacing w:val="54"/>
                <w:sz w:val="20"/>
              </w:rPr>
              <w:t> </w:t>
            </w:r>
            <w:r>
              <w:rPr>
                <w:spacing w:val="-2"/>
                <w:sz w:val="20"/>
              </w:rPr>
              <w:t>A16.08.040.005,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A16.08.040.006,</w:t>
            </w:r>
            <w:r>
              <w:rPr>
                <w:spacing w:val="54"/>
                <w:sz w:val="20"/>
              </w:rPr>
              <w:t> </w:t>
            </w:r>
            <w:r>
              <w:rPr>
                <w:spacing w:val="-2"/>
                <w:sz w:val="20"/>
              </w:rPr>
              <w:t>A16.08.040.007,</w:t>
            </w:r>
          </w:p>
        </w:tc>
        <w:tc>
          <w:tcPr>
            <w:tcW w:w="1573"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5" w:lineRule="exact"/>
              <w:ind w:left="1099" w:right="593"/>
              <w:jc w:val="center"/>
              <w:rPr>
                <w:sz w:val="20"/>
              </w:rPr>
            </w:pPr>
            <w:r>
              <w:rPr>
                <w:w w:val="95"/>
                <w:sz w:val="20"/>
              </w:rPr>
              <w:t>A16.08.040.008,</w:t>
            </w:r>
            <w:r>
              <w:rPr>
                <w:spacing w:val="54"/>
                <w:sz w:val="20"/>
              </w:rPr>
              <w:t> </w:t>
            </w:r>
            <w:r>
              <w:rPr>
                <w:spacing w:val="-2"/>
                <w:sz w:val="20"/>
              </w:rPr>
              <w:t>A16.08.041.001,</w:t>
            </w:r>
          </w:p>
        </w:tc>
        <w:tc>
          <w:tcPr>
            <w:tcW w:w="1573"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32"/>
        <w:gridCol w:w="3569"/>
        <w:gridCol w:w="3886"/>
        <w:gridCol w:w="1547"/>
        <w:gridCol w:w="1336"/>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32" w:type="dxa"/>
            <w:vMerge w:val="restart"/>
          </w:tcPr>
          <w:p>
            <w:pPr>
              <w:pStyle w:val="TableParagraph"/>
              <w:rPr>
                <w:sz w:val="18"/>
              </w:rPr>
            </w:pPr>
          </w:p>
        </w:tc>
        <w:tc>
          <w:tcPr>
            <w:tcW w:w="3569" w:type="dxa"/>
            <w:vMerge w:val="restart"/>
          </w:tcPr>
          <w:p>
            <w:pPr>
              <w:pStyle w:val="TableParagraph"/>
              <w:rPr>
                <w:sz w:val="18"/>
              </w:rPr>
            </w:pPr>
          </w:p>
        </w:tc>
        <w:tc>
          <w:tcPr>
            <w:tcW w:w="3886" w:type="dxa"/>
          </w:tcPr>
          <w:p>
            <w:pPr>
              <w:pStyle w:val="TableParagraph"/>
              <w:spacing w:line="205" w:lineRule="exact"/>
              <w:ind w:left="154" w:right="643"/>
              <w:jc w:val="center"/>
              <w:rPr>
                <w:sz w:val="20"/>
              </w:rPr>
            </w:pPr>
            <w:r>
              <w:rPr>
                <w:w w:val="95"/>
                <w:sz w:val="20"/>
              </w:rPr>
              <w:t>A16.08.041.002,</w:t>
            </w:r>
            <w:r>
              <w:rPr>
                <w:spacing w:val="54"/>
                <w:sz w:val="20"/>
              </w:rPr>
              <w:t> </w:t>
            </w:r>
            <w:r>
              <w:rPr>
                <w:spacing w:val="-2"/>
                <w:sz w:val="20"/>
              </w:rPr>
              <w:t>A16.08.041.003,</w:t>
            </w:r>
          </w:p>
        </w:tc>
        <w:tc>
          <w:tcPr>
            <w:tcW w:w="1547" w:type="dxa"/>
            <w:vMerge w:val="restart"/>
          </w:tcPr>
          <w:p>
            <w:pPr>
              <w:pStyle w:val="TableParagraph"/>
              <w:rPr>
                <w:sz w:val="18"/>
              </w:rPr>
            </w:pPr>
          </w:p>
        </w:tc>
        <w:tc>
          <w:tcPr>
            <w:tcW w:w="1336"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09" w:lineRule="exact"/>
              <w:ind w:left="154" w:right="643"/>
              <w:jc w:val="center"/>
              <w:rPr>
                <w:sz w:val="20"/>
              </w:rPr>
            </w:pPr>
            <w:r>
              <w:rPr>
                <w:w w:val="95"/>
                <w:sz w:val="20"/>
              </w:rPr>
              <w:t>A16.08.041.004,</w:t>
            </w:r>
            <w:r>
              <w:rPr>
                <w:spacing w:val="54"/>
                <w:sz w:val="20"/>
              </w:rPr>
              <w:t> </w:t>
            </w:r>
            <w:r>
              <w:rPr>
                <w:spacing w:val="-2"/>
                <w:sz w:val="20"/>
              </w:rPr>
              <w:t>A16.08.041.005,</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09" w:lineRule="exact"/>
              <w:ind w:left="156" w:right="641"/>
              <w:jc w:val="center"/>
              <w:rPr>
                <w:sz w:val="20"/>
              </w:rPr>
            </w:pPr>
            <w:r>
              <w:rPr>
                <w:sz w:val="20"/>
              </w:rPr>
              <w:t>A16.08.049,</w:t>
            </w:r>
            <w:r>
              <w:rPr>
                <w:spacing w:val="-9"/>
                <w:sz w:val="20"/>
              </w:rPr>
              <w:t> </w:t>
            </w:r>
            <w:r>
              <w:rPr>
                <w:sz w:val="20"/>
              </w:rPr>
              <w:t>A16.08.050,</w:t>
            </w:r>
            <w:r>
              <w:rPr>
                <w:spacing w:val="-10"/>
                <w:sz w:val="20"/>
              </w:rPr>
              <w:t> </w:t>
            </w:r>
            <w:r>
              <w:rPr>
                <w:spacing w:val="-2"/>
                <w:sz w:val="20"/>
              </w:rPr>
              <w:t>A16.08.051,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5" w:right="643"/>
              <w:jc w:val="center"/>
              <w:rPr>
                <w:sz w:val="20"/>
              </w:rPr>
            </w:pPr>
            <w:r>
              <w:rPr>
                <w:sz w:val="20"/>
              </w:rPr>
              <w:t>A16.08.052,</w:t>
            </w:r>
            <w:r>
              <w:rPr>
                <w:spacing w:val="-9"/>
                <w:sz w:val="20"/>
              </w:rPr>
              <w:t> </w:t>
            </w:r>
            <w:r>
              <w:rPr>
                <w:spacing w:val="-2"/>
                <w:sz w:val="20"/>
              </w:rPr>
              <w:t>A16.08.052.001,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5" w:right="643"/>
              <w:jc w:val="center"/>
              <w:rPr>
                <w:sz w:val="20"/>
              </w:rPr>
            </w:pPr>
            <w:r>
              <w:rPr>
                <w:sz w:val="20"/>
              </w:rPr>
              <w:t>A16.08.062,</w:t>
            </w:r>
            <w:r>
              <w:rPr>
                <w:spacing w:val="-9"/>
                <w:sz w:val="20"/>
              </w:rPr>
              <w:t> </w:t>
            </w:r>
            <w:r>
              <w:rPr>
                <w:spacing w:val="-2"/>
                <w:sz w:val="20"/>
              </w:rPr>
              <w:t>A16.08.066.001,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3" w:right="643"/>
              <w:jc w:val="center"/>
              <w:rPr>
                <w:sz w:val="20"/>
              </w:rPr>
            </w:pPr>
            <w:r>
              <w:rPr>
                <w:sz w:val="20"/>
              </w:rPr>
              <w:t>A16.08.070,</w:t>
            </w:r>
            <w:r>
              <w:rPr>
                <w:spacing w:val="-9"/>
                <w:sz w:val="20"/>
              </w:rPr>
              <w:t> </w:t>
            </w:r>
            <w:r>
              <w:rPr>
                <w:sz w:val="20"/>
              </w:rPr>
              <w:t>A16.08.071,</w:t>
            </w:r>
            <w:r>
              <w:rPr>
                <w:spacing w:val="-10"/>
                <w:sz w:val="20"/>
              </w:rPr>
              <w:t> </w:t>
            </w:r>
            <w:r>
              <w:rPr>
                <w:spacing w:val="-2"/>
                <w:sz w:val="20"/>
              </w:rPr>
              <w:t>A16.08.072,</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1" w:lineRule="exact"/>
              <w:ind w:left="153" w:right="643"/>
              <w:jc w:val="center"/>
              <w:rPr>
                <w:sz w:val="20"/>
              </w:rPr>
            </w:pPr>
            <w:r>
              <w:rPr>
                <w:sz w:val="20"/>
              </w:rPr>
              <w:t>A16.08.073,</w:t>
            </w:r>
            <w:r>
              <w:rPr>
                <w:spacing w:val="-9"/>
                <w:sz w:val="20"/>
              </w:rPr>
              <w:t> </w:t>
            </w:r>
            <w:r>
              <w:rPr>
                <w:sz w:val="20"/>
              </w:rPr>
              <w:t>A16.08.076,</w:t>
            </w:r>
            <w:r>
              <w:rPr>
                <w:spacing w:val="-10"/>
                <w:sz w:val="20"/>
              </w:rPr>
              <w:t> </w:t>
            </w:r>
            <w:r>
              <w:rPr>
                <w:spacing w:val="-2"/>
                <w:sz w:val="20"/>
              </w:rPr>
              <w:t>A16.25.039,</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4" w:right="643"/>
              <w:jc w:val="center"/>
              <w:rPr>
                <w:sz w:val="20"/>
              </w:rPr>
            </w:pPr>
            <w:r>
              <w:rPr>
                <w:w w:val="95"/>
                <w:sz w:val="20"/>
              </w:rPr>
              <w:t>A16.27.001.001,</w:t>
            </w:r>
            <w:r>
              <w:rPr>
                <w:spacing w:val="54"/>
                <w:sz w:val="20"/>
              </w:rPr>
              <w:t> </w:t>
            </w:r>
            <w:r>
              <w:rPr>
                <w:spacing w:val="-2"/>
                <w:sz w:val="20"/>
              </w:rPr>
              <w:t>A16.27.002.001,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24" w:lineRule="exact"/>
              <w:ind w:left="156" w:right="643"/>
              <w:jc w:val="center"/>
              <w:rPr>
                <w:sz w:val="20"/>
              </w:rPr>
            </w:pPr>
            <w:r>
              <w:rPr>
                <w:spacing w:val="-2"/>
                <w:sz w:val="20"/>
              </w:rPr>
              <w:t>A16.27.003.001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330" w:hRule="atLeast"/>
        </w:trPr>
        <w:tc>
          <w:tcPr>
            <w:tcW w:w="946" w:type="dxa"/>
          </w:tcPr>
          <w:p>
            <w:pPr>
              <w:pStyle w:val="TableParagraph"/>
              <w:rPr>
                <w:sz w:val="18"/>
              </w:rPr>
            </w:pPr>
          </w:p>
        </w:tc>
        <w:tc>
          <w:tcPr>
            <w:tcW w:w="707" w:type="dxa"/>
          </w:tcPr>
          <w:p>
            <w:pPr>
              <w:pStyle w:val="TableParagraph"/>
              <w:rPr>
                <w:sz w:val="18"/>
              </w:rPr>
            </w:pPr>
          </w:p>
        </w:tc>
        <w:tc>
          <w:tcPr>
            <w:tcW w:w="6901" w:type="dxa"/>
            <w:gridSpan w:val="2"/>
          </w:tcPr>
          <w:p>
            <w:pPr>
              <w:pStyle w:val="TableParagraph"/>
              <w:spacing w:before="46"/>
              <w:ind w:left="2689"/>
              <w:rPr>
                <w:sz w:val="20"/>
              </w:rPr>
            </w:pPr>
            <w:r>
              <w:rPr>
                <w:sz w:val="20"/>
              </w:rPr>
              <w:t>H81.0,</w:t>
            </w:r>
            <w:r>
              <w:rPr>
                <w:spacing w:val="-5"/>
                <w:sz w:val="20"/>
              </w:rPr>
              <w:t> </w:t>
            </w:r>
            <w:r>
              <w:rPr>
                <w:sz w:val="20"/>
              </w:rPr>
              <w:t>H81.1,</w:t>
            </w:r>
            <w:r>
              <w:rPr>
                <w:spacing w:val="-5"/>
                <w:sz w:val="20"/>
              </w:rPr>
              <w:t> </w:t>
            </w:r>
            <w:r>
              <w:rPr>
                <w:sz w:val="20"/>
              </w:rPr>
              <w:t>H81.2,</w:t>
            </w:r>
            <w:r>
              <w:rPr>
                <w:spacing w:val="-4"/>
                <w:sz w:val="20"/>
              </w:rPr>
              <w:t> </w:t>
            </w:r>
            <w:r>
              <w:rPr>
                <w:sz w:val="20"/>
              </w:rPr>
              <w:t>H81.3,</w:t>
            </w:r>
            <w:r>
              <w:rPr>
                <w:spacing w:val="-6"/>
                <w:sz w:val="20"/>
              </w:rPr>
              <w:t> </w:t>
            </w:r>
            <w:r>
              <w:rPr>
                <w:sz w:val="20"/>
              </w:rPr>
              <w:t>H81.4,</w:t>
            </w:r>
            <w:r>
              <w:rPr>
                <w:spacing w:val="-4"/>
                <w:sz w:val="20"/>
              </w:rPr>
              <w:t> </w:t>
            </w:r>
            <w:r>
              <w:rPr>
                <w:sz w:val="20"/>
              </w:rPr>
              <w:t>H81.8,</w:t>
            </w:r>
            <w:r>
              <w:rPr>
                <w:spacing w:val="-6"/>
                <w:sz w:val="20"/>
              </w:rPr>
              <w:t> </w:t>
            </w:r>
            <w:r>
              <w:rPr>
                <w:spacing w:val="-4"/>
                <w:sz w:val="20"/>
              </w:rPr>
              <w:t>H81.9</w:t>
            </w:r>
          </w:p>
        </w:tc>
        <w:tc>
          <w:tcPr>
            <w:tcW w:w="3886" w:type="dxa"/>
          </w:tcPr>
          <w:p>
            <w:pPr>
              <w:pStyle w:val="TableParagraph"/>
              <w:spacing w:before="46"/>
              <w:ind w:left="156" w:right="643"/>
              <w:jc w:val="center"/>
              <w:rPr>
                <w:sz w:val="20"/>
              </w:rPr>
            </w:pPr>
            <w:r>
              <w:rPr>
                <w:spacing w:val="-2"/>
                <w:sz w:val="20"/>
              </w:rPr>
              <w:t>A16.24.006.001</w:t>
            </w:r>
          </w:p>
        </w:tc>
        <w:tc>
          <w:tcPr>
            <w:tcW w:w="1547" w:type="dxa"/>
          </w:tcPr>
          <w:p>
            <w:pPr>
              <w:pStyle w:val="TableParagraph"/>
              <w:spacing w:before="46"/>
              <w:ind w:left="646"/>
              <w:rPr>
                <w:sz w:val="20"/>
              </w:rPr>
            </w:pPr>
            <w:r>
              <w:rPr>
                <w:w w:val="99"/>
                <w:sz w:val="20"/>
              </w:rPr>
              <w:t>-</w:t>
            </w:r>
          </w:p>
        </w:tc>
        <w:tc>
          <w:tcPr>
            <w:tcW w:w="133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st20.009</w:t>
            </w:r>
          </w:p>
        </w:tc>
        <w:tc>
          <w:tcPr>
            <w:tcW w:w="707" w:type="dxa"/>
          </w:tcPr>
          <w:p>
            <w:pPr>
              <w:pStyle w:val="TableParagraph"/>
              <w:spacing w:line="215" w:lineRule="exact" w:before="45"/>
              <w:ind w:left="210"/>
              <w:rPr>
                <w:sz w:val="20"/>
              </w:rPr>
            </w:pPr>
            <w:r>
              <w:rPr>
                <w:spacing w:val="-5"/>
                <w:sz w:val="20"/>
              </w:rPr>
              <w:t>213</w:t>
            </w:r>
          </w:p>
        </w:tc>
        <w:tc>
          <w:tcPr>
            <w:tcW w:w="3332"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3569" w:type="dxa"/>
          </w:tcPr>
          <w:p>
            <w:pPr>
              <w:pStyle w:val="TableParagraph"/>
              <w:spacing w:line="215" w:lineRule="exact" w:before="45"/>
              <w:ind w:right="792"/>
              <w:jc w:val="center"/>
              <w:rPr>
                <w:sz w:val="20"/>
              </w:rPr>
            </w:pPr>
            <w:r>
              <w:rPr>
                <w:w w:val="99"/>
                <w:sz w:val="20"/>
              </w:rPr>
              <w:t>-</w:t>
            </w:r>
          </w:p>
        </w:tc>
        <w:tc>
          <w:tcPr>
            <w:tcW w:w="3886" w:type="dxa"/>
          </w:tcPr>
          <w:p>
            <w:pPr>
              <w:pStyle w:val="TableParagraph"/>
              <w:spacing w:line="215" w:lineRule="exact" w:before="45"/>
              <w:ind w:left="154" w:right="643"/>
              <w:jc w:val="center"/>
              <w:rPr>
                <w:sz w:val="20"/>
              </w:rPr>
            </w:pPr>
            <w:r>
              <w:rPr>
                <w:w w:val="95"/>
                <w:sz w:val="20"/>
              </w:rPr>
              <w:t>A16.08.024.001,</w:t>
            </w:r>
            <w:r>
              <w:rPr>
                <w:spacing w:val="54"/>
                <w:sz w:val="20"/>
              </w:rPr>
              <w:t> </w:t>
            </w:r>
            <w:r>
              <w:rPr>
                <w:spacing w:val="-2"/>
                <w:sz w:val="20"/>
              </w:rPr>
              <w:t>A16.08.024.002,</w:t>
            </w:r>
          </w:p>
        </w:tc>
        <w:tc>
          <w:tcPr>
            <w:tcW w:w="1547" w:type="dxa"/>
          </w:tcPr>
          <w:p>
            <w:pPr>
              <w:pStyle w:val="TableParagraph"/>
              <w:spacing w:line="215" w:lineRule="exact" w:before="45"/>
              <w:ind w:left="646"/>
              <w:rPr>
                <w:sz w:val="20"/>
              </w:rPr>
            </w:pPr>
            <w:r>
              <w:rPr>
                <w:w w:val="99"/>
                <w:sz w:val="20"/>
              </w:rPr>
              <w:t>-</w:t>
            </w:r>
          </w:p>
        </w:tc>
        <w:tc>
          <w:tcPr>
            <w:tcW w:w="1336" w:type="dxa"/>
          </w:tcPr>
          <w:p>
            <w:pPr>
              <w:pStyle w:val="TableParagraph"/>
              <w:spacing w:line="215" w:lineRule="exact" w:before="45"/>
              <w:ind w:right="97"/>
              <w:jc w:val="right"/>
              <w:rPr>
                <w:sz w:val="20"/>
              </w:rPr>
            </w:pPr>
            <w:r>
              <w:rPr>
                <w:spacing w:val="-4"/>
                <w:sz w:val="20"/>
              </w:rPr>
              <w:t>1,96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слуха,</w:t>
            </w:r>
            <w:r>
              <w:rPr>
                <w:spacing w:val="-8"/>
                <w:sz w:val="20"/>
              </w:rPr>
              <w:t> </w:t>
            </w:r>
            <w:r>
              <w:rPr>
                <w:spacing w:val="-2"/>
                <w:sz w:val="20"/>
              </w:rPr>
              <w:t>придаточных</w:t>
            </w: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A16.08.024.003,</w:t>
            </w:r>
            <w:r>
              <w:rPr>
                <w:spacing w:val="54"/>
                <w:sz w:val="20"/>
              </w:rPr>
              <w:t> </w:t>
            </w:r>
            <w:r>
              <w:rPr>
                <w:spacing w:val="-2"/>
                <w:sz w:val="20"/>
              </w:rPr>
              <w:t>A16.08.024.004,</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3569" w:type="dxa"/>
          </w:tcPr>
          <w:p>
            <w:pPr>
              <w:pStyle w:val="TableParagraph"/>
              <w:rPr>
                <w:sz w:val="16"/>
              </w:rPr>
            </w:pPr>
          </w:p>
        </w:tc>
        <w:tc>
          <w:tcPr>
            <w:tcW w:w="3886" w:type="dxa"/>
          </w:tcPr>
          <w:p>
            <w:pPr>
              <w:pStyle w:val="TableParagraph"/>
              <w:spacing w:line="210" w:lineRule="exact"/>
              <w:ind w:left="156" w:right="642"/>
              <w:jc w:val="center"/>
              <w:rPr>
                <w:sz w:val="20"/>
              </w:rPr>
            </w:pPr>
            <w:r>
              <w:rPr>
                <w:sz w:val="20"/>
              </w:rPr>
              <w:t>A16.08.025,</w:t>
            </w:r>
            <w:r>
              <w:rPr>
                <w:spacing w:val="-9"/>
                <w:sz w:val="20"/>
              </w:rPr>
              <w:t> </w:t>
            </w:r>
            <w:r>
              <w:rPr>
                <w:spacing w:val="-2"/>
                <w:sz w:val="20"/>
              </w:rPr>
              <w:t>A16.08.026,</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дыхательных</w:t>
            </w:r>
            <w:r>
              <w:rPr>
                <w:spacing w:val="-11"/>
                <w:sz w:val="20"/>
              </w:rPr>
              <w:t> </w:t>
            </w:r>
            <w:r>
              <w:rPr>
                <w:spacing w:val="-2"/>
                <w:sz w:val="20"/>
              </w:rPr>
              <w:t>путях</w:t>
            </w: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A16.08.029.001,</w:t>
            </w:r>
            <w:r>
              <w:rPr>
                <w:spacing w:val="54"/>
                <w:sz w:val="20"/>
              </w:rPr>
              <w:t> </w:t>
            </w:r>
            <w:r>
              <w:rPr>
                <w:spacing w:val="-2"/>
                <w:sz w:val="20"/>
              </w:rPr>
              <w:t>A16.08.029.002,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(уровень</w:t>
            </w:r>
            <w:r>
              <w:rPr>
                <w:spacing w:val="-11"/>
                <w:sz w:val="20"/>
              </w:rPr>
              <w:t> </w:t>
            </w:r>
            <w:r>
              <w:rPr>
                <w:spacing w:val="-5"/>
                <w:sz w:val="20"/>
              </w:rPr>
              <w:t>5)</w:t>
            </w:r>
          </w:p>
        </w:tc>
        <w:tc>
          <w:tcPr>
            <w:tcW w:w="3569" w:type="dxa"/>
          </w:tcPr>
          <w:p>
            <w:pPr>
              <w:pStyle w:val="TableParagraph"/>
              <w:rPr>
                <w:sz w:val="16"/>
              </w:rPr>
            </w:pPr>
          </w:p>
        </w:tc>
        <w:tc>
          <w:tcPr>
            <w:tcW w:w="3886" w:type="dxa"/>
          </w:tcPr>
          <w:p>
            <w:pPr>
              <w:pStyle w:val="TableParagraph"/>
              <w:spacing w:line="210" w:lineRule="exact"/>
              <w:ind w:left="156" w:right="641"/>
              <w:jc w:val="center"/>
              <w:rPr>
                <w:sz w:val="20"/>
              </w:rPr>
            </w:pPr>
            <w:r>
              <w:rPr>
                <w:w w:val="95"/>
                <w:sz w:val="20"/>
              </w:rPr>
              <w:t>A16.08.029.003,</w:t>
            </w:r>
            <w:r>
              <w:rPr>
                <w:spacing w:val="54"/>
                <w:sz w:val="20"/>
              </w:rPr>
              <w:t> </w:t>
            </w:r>
            <w:r>
              <w:rPr>
                <w:spacing w:val="-2"/>
                <w:w w:val="95"/>
                <w:sz w:val="20"/>
              </w:rPr>
              <w:t>A16.08.029.004,</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sz w:val="20"/>
              </w:rPr>
              <w:t>A16.08.030,</w:t>
            </w:r>
            <w:r>
              <w:rPr>
                <w:spacing w:val="-9"/>
                <w:sz w:val="20"/>
              </w:rPr>
              <w:t> </w:t>
            </w:r>
            <w:r>
              <w:rPr>
                <w:spacing w:val="-2"/>
                <w:sz w:val="20"/>
              </w:rPr>
              <w:t>A16.08.032.001,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4" w:right="643"/>
              <w:jc w:val="center"/>
              <w:rPr>
                <w:sz w:val="20"/>
              </w:rPr>
            </w:pPr>
            <w:r>
              <w:rPr>
                <w:w w:val="95"/>
                <w:sz w:val="20"/>
              </w:rPr>
              <w:t>A16.08.032.002,</w:t>
            </w:r>
            <w:r>
              <w:rPr>
                <w:spacing w:val="54"/>
                <w:sz w:val="20"/>
              </w:rPr>
              <w:t> </w:t>
            </w:r>
            <w:r>
              <w:rPr>
                <w:spacing w:val="-2"/>
                <w:sz w:val="20"/>
              </w:rPr>
              <w:t>A16.08.032.003,</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1" w:lineRule="exact"/>
              <w:ind w:left="154" w:right="643"/>
              <w:jc w:val="center"/>
              <w:rPr>
                <w:sz w:val="20"/>
              </w:rPr>
            </w:pPr>
            <w:r>
              <w:rPr>
                <w:w w:val="95"/>
                <w:sz w:val="20"/>
              </w:rPr>
              <w:t>A16.08.032.006,</w:t>
            </w:r>
            <w:r>
              <w:rPr>
                <w:spacing w:val="54"/>
                <w:sz w:val="20"/>
              </w:rPr>
              <w:t> </w:t>
            </w:r>
            <w:r>
              <w:rPr>
                <w:spacing w:val="-2"/>
                <w:sz w:val="20"/>
              </w:rPr>
              <w:t>A16.08.032.007,</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5" w:right="643"/>
              <w:jc w:val="center"/>
              <w:rPr>
                <w:sz w:val="20"/>
              </w:rPr>
            </w:pPr>
            <w:r>
              <w:rPr>
                <w:sz w:val="20"/>
              </w:rPr>
              <w:t>A16.08.033,</w:t>
            </w:r>
            <w:r>
              <w:rPr>
                <w:spacing w:val="-9"/>
                <w:sz w:val="20"/>
              </w:rPr>
              <w:t> </w:t>
            </w:r>
            <w:r>
              <w:rPr>
                <w:spacing w:val="-2"/>
                <w:sz w:val="20"/>
              </w:rPr>
              <w:t>A16.08.033.002,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5" w:right="643"/>
              <w:jc w:val="center"/>
              <w:rPr>
                <w:sz w:val="20"/>
              </w:rPr>
            </w:pPr>
            <w:r>
              <w:rPr>
                <w:sz w:val="20"/>
              </w:rPr>
              <w:t>A16.08.034,</w:t>
            </w:r>
            <w:r>
              <w:rPr>
                <w:spacing w:val="-9"/>
                <w:sz w:val="20"/>
              </w:rPr>
              <w:t> </w:t>
            </w:r>
            <w:r>
              <w:rPr>
                <w:spacing w:val="-2"/>
                <w:sz w:val="20"/>
              </w:rPr>
              <w:t>A16.08.038.001,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sz w:val="20"/>
              </w:rPr>
              <w:t>A16.08.042,</w:t>
            </w:r>
            <w:r>
              <w:rPr>
                <w:spacing w:val="-9"/>
                <w:sz w:val="20"/>
              </w:rPr>
              <w:t> </w:t>
            </w:r>
            <w:r>
              <w:rPr>
                <w:spacing w:val="-2"/>
                <w:sz w:val="20"/>
              </w:rPr>
              <w:t>A16.08.042.001,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w w:val="95"/>
                <w:sz w:val="20"/>
              </w:rPr>
              <w:t>A16.08.052.002,</w:t>
            </w:r>
            <w:r>
              <w:rPr>
                <w:spacing w:val="54"/>
                <w:sz w:val="20"/>
              </w:rPr>
              <w:t> </w:t>
            </w:r>
            <w:r>
              <w:rPr>
                <w:spacing w:val="-2"/>
                <w:sz w:val="20"/>
              </w:rPr>
              <w:t>A16.08.053,</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3" w:right="643"/>
              <w:jc w:val="center"/>
              <w:rPr>
                <w:sz w:val="20"/>
              </w:rPr>
            </w:pPr>
            <w:r>
              <w:rPr>
                <w:sz w:val="20"/>
              </w:rPr>
              <w:t>A16.08.068,</w:t>
            </w:r>
            <w:r>
              <w:rPr>
                <w:spacing w:val="-9"/>
                <w:sz w:val="20"/>
              </w:rPr>
              <w:t> </w:t>
            </w:r>
            <w:r>
              <w:rPr>
                <w:sz w:val="20"/>
              </w:rPr>
              <w:t>A16.25.006,</w:t>
            </w:r>
            <w:r>
              <w:rPr>
                <w:spacing w:val="-10"/>
                <w:sz w:val="20"/>
              </w:rPr>
              <w:t> </w:t>
            </w:r>
            <w:r>
              <w:rPr>
                <w:spacing w:val="-2"/>
                <w:sz w:val="20"/>
              </w:rPr>
              <w:t>A16.25.009,</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6" w:right="642"/>
              <w:jc w:val="center"/>
              <w:rPr>
                <w:sz w:val="20"/>
              </w:rPr>
            </w:pPr>
            <w:r>
              <w:rPr>
                <w:sz w:val="20"/>
              </w:rPr>
              <w:t>A16.25.014,</w:t>
            </w:r>
            <w:r>
              <w:rPr>
                <w:spacing w:val="-7"/>
                <w:sz w:val="20"/>
              </w:rPr>
              <w:t> </w:t>
            </w:r>
            <w:r>
              <w:rPr>
                <w:spacing w:val="-2"/>
                <w:sz w:val="20"/>
              </w:rPr>
              <w:t>A16.25.014.001,</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A16.25.014.002,</w:t>
            </w:r>
            <w:r>
              <w:rPr>
                <w:spacing w:val="54"/>
                <w:sz w:val="20"/>
              </w:rPr>
              <w:t> </w:t>
            </w:r>
            <w:r>
              <w:rPr>
                <w:spacing w:val="-2"/>
                <w:sz w:val="20"/>
              </w:rPr>
              <w:t>A16.25.014.003,</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A16.25.014.004,</w:t>
            </w:r>
            <w:r>
              <w:rPr>
                <w:spacing w:val="54"/>
                <w:sz w:val="20"/>
              </w:rPr>
              <w:t> </w:t>
            </w:r>
            <w:r>
              <w:rPr>
                <w:spacing w:val="-2"/>
                <w:sz w:val="20"/>
              </w:rPr>
              <w:t>A16.25.014.005,</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sz w:val="20"/>
              </w:rPr>
              <w:t>A16.25.019,</w:t>
            </w:r>
            <w:r>
              <w:rPr>
                <w:spacing w:val="-9"/>
                <w:sz w:val="20"/>
              </w:rPr>
              <w:t> </w:t>
            </w:r>
            <w:r>
              <w:rPr>
                <w:spacing w:val="-2"/>
                <w:sz w:val="20"/>
              </w:rPr>
              <w:t>A16.25.019.001,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w w:val="95"/>
                <w:sz w:val="20"/>
              </w:rPr>
              <w:t>A16.25.019.002,</w:t>
            </w:r>
            <w:r>
              <w:rPr>
                <w:spacing w:val="54"/>
                <w:sz w:val="20"/>
              </w:rPr>
              <w:t> </w:t>
            </w:r>
            <w:r>
              <w:rPr>
                <w:spacing w:val="-2"/>
                <w:sz w:val="20"/>
              </w:rPr>
              <w:t>A16.25.022,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1" w:lineRule="exact"/>
              <w:ind w:left="155" w:right="643"/>
              <w:jc w:val="center"/>
              <w:rPr>
                <w:sz w:val="20"/>
              </w:rPr>
            </w:pPr>
            <w:r>
              <w:rPr>
                <w:sz w:val="20"/>
              </w:rPr>
              <w:t>A16.25.023,</w:t>
            </w:r>
            <w:r>
              <w:rPr>
                <w:spacing w:val="-9"/>
                <w:sz w:val="20"/>
              </w:rPr>
              <w:t> </w:t>
            </w:r>
            <w:r>
              <w:rPr>
                <w:spacing w:val="-2"/>
                <w:sz w:val="20"/>
              </w:rPr>
              <w:t>A16.25.023.001,</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3" w:right="643"/>
              <w:jc w:val="center"/>
              <w:rPr>
                <w:sz w:val="20"/>
              </w:rPr>
            </w:pPr>
            <w:r>
              <w:rPr>
                <w:sz w:val="20"/>
              </w:rPr>
              <w:t>A16.25.024,</w:t>
            </w:r>
            <w:r>
              <w:rPr>
                <w:spacing w:val="-9"/>
                <w:sz w:val="20"/>
              </w:rPr>
              <w:t> </w:t>
            </w:r>
            <w:r>
              <w:rPr>
                <w:sz w:val="20"/>
              </w:rPr>
              <w:t>A16.25.025,</w:t>
            </w:r>
            <w:r>
              <w:rPr>
                <w:spacing w:val="-10"/>
                <w:sz w:val="20"/>
              </w:rPr>
              <w:t> </w:t>
            </w:r>
            <w:r>
              <w:rPr>
                <w:spacing w:val="-2"/>
                <w:sz w:val="20"/>
              </w:rPr>
              <w:t>A16.25.026,</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3" w:right="643"/>
              <w:jc w:val="center"/>
              <w:rPr>
                <w:sz w:val="20"/>
              </w:rPr>
            </w:pPr>
            <w:r>
              <w:rPr>
                <w:sz w:val="20"/>
              </w:rPr>
              <w:t>A16.25.028,</w:t>
            </w:r>
            <w:r>
              <w:rPr>
                <w:spacing w:val="-9"/>
                <w:sz w:val="20"/>
              </w:rPr>
              <w:t> </w:t>
            </w:r>
            <w:r>
              <w:rPr>
                <w:sz w:val="20"/>
              </w:rPr>
              <w:t>A16.25.029,</w:t>
            </w:r>
            <w:r>
              <w:rPr>
                <w:spacing w:val="-10"/>
                <w:sz w:val="20"/>
              </w:rPr>
              <w:t> </w:t>
            </w:r>
            <w:r>
              <w:rPr>
                <w:spacing w:val="-2"/>
                <w:sz w:val="20"/>
              </w:rPr>
              <w:t>A16.25.032,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6" w:right="642"/>
              <w:jc w:val="center"/>
              <w:rPr>
                <w:sz w:val="20"/>
              </w:rPr>
            </w:pPr>
            <w:r>
              <w:rPr>
                <w:sz w:val="20"/>
              </w:rPr>
              <w:t>A16.25.033,</w:t>
            </w:r>
            <w:r>
              <w:rPr>
                <w:spacing w:val="-8"/>
                <w:sz w:val="20"/>
              </w:rPr>
              <w:t> </w:t>
            </w:r>
            <w:r>
              <w:rPr>
                <w:sz w:val="20"/>
              </w:rPr>
              <w:t>A16.25.034,</w:t>
            </w:r>
            <w:r>
              <w:rPr>
                <w:spacing w:val="-8"/>
                <w:sz w:val="20"/>
              </w:rPr>
              <w:t> </w:t>
            </w:r>
            <w:r>
              <w:rPr>
                <w:spacing w:val="-2"/>
                <w:sz w:val="20"/>
              </w:rPr>
              <w:t>A16.25.035,</w:t>
            </w:r>
          </w:p>
        </w:tc>
        <w:tc>
          <w:tcPr>
            <w:tcW w:w="1547" w:type="dxa"/>
          </w:tcPr>
          <w:p>
            <w:pPr>
              <w:pStyle w:val="TableParagraph"/>
              <w:rPr>
                <w:sz w:val="16"/>
              </w:rPr>
            </w:pPr>
          </w:p>
        </w:tc>
        <w:tc>
          <w:tcPr>
            <w:tcW w:w="133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32" w:type="dxa"/>
          </w:tcPr>
          <w:p>
            <w:pPr>
              <w:pStyle w:val="TableParagraph"/>
              <w:rPr>
                <w:sz w:val="18"/>
              </w:rPr>
            </w:pPr>
          </w:p>
        </w:tc>
        <w:tc>
          <w:tcPr>
            <w:tcW w:w="3569" w:type="dxa"/>
          </w:tcPr>
          <w:p>
            <w:pPr>
              <w:pStyle w:val="TableParagraph"/>
              <w:rPr>
                <w:sz w:val="18"/>
              </w:rPr>
            </w:pPr>
          </w:p>
        </w:tc>
        <w:tc>
          <w:tcPr>
            <w:tcW w:w="3886" w:type="dxa"/>
          </w:tcPr>
          <w:p>
            <w:pPr>
              <w:pStyle w:val="TableParagraph"/>
              <w:spacing w:line="226" w:lineRule="exact"/>
              <w:ind w:left="156" w:right="640"/>
              <w:jc w:val="center"/>
              <w:rPr>
                <w:sz w:val="20"/>
              </w:rPr>
            </w:pPr>
            <w:r>
              <w:rPr>
                <w:spacing w:val="-2"/>
                <w:sz w:val="20"/>
              </w:rPr>
              <w:t>A16.25.037</w:t>
            </w:r>
          </w:p>
        </w:tc>
        <w:tc>
          <w:tcPr>
            <w:tcW w:w="1547" w:type="dxa"/>
          </w:tcPr>
          <w:p>
            <w:pPr>
              <w:pStyle w:val="TableParagraph"/>
              <w:rPr>
                <w:sz w:val="18"/>
              </w:rPr>
            </w:pPr>
          </w:p>
        </w:tc>
        <w:tc>
          <w:tcPr>
            <w:tcW w:w="1336" w:type="dxa"/>
          </w:tcPr>
          <w:p>
            <w:pPr>
              <w:pStyle w:val="TableParagraph"/>
              <w:rPr>
                <w:sz w:val="18"/>
              </w:rPr>
            </w:pPr>
          </w:p>
        </w:tc>
      </w:tr>
      <w:tr>
        <w:trPr>
          <w:trHeight w:val="505" w:hRule="atLeast"/>
        </w:trPr>
        <w:tc>
          <w:tcPr>
            <w:tcW w:w="946" w:type="dxa"/>
          </w:tcPr>
          <w:p>
            <w:pPr>
              <w:pStyle w:val="TableParagraph"/>
              <w:spacing w:before="45"/>
              <w:ind w:left="50"/>
              <w:rPr>
                <w:sz w:val="20"/>
              </w:rPr>
            </w:pPr>
            <w:r>
              <w:rPr>
                <w:spacing w:val="-2"/>
                <w:sz w:val="20"/>
              </w:rPr>
              <w:t>st20.010</w:t>
            </w:r>
          </w:p>
        </w:tc>
        <w:tc>
          <w:tcPr>
            <w:tcW w:w="707" w:type="dxa"/>
          </w:tcPr>
          <w:p>
            <w:pPr>
              <w:pStyle w:val="TableParagraph"/>
              <w:spacing w:before="45"/>
              <w:ind w:left="210"/>
              <w:rPr>
                <w:sz w:val="20"/>
              </w:rPr>
            </w:pPr>
            <w:r>
              <w:rPr>
                <w:spacing w:val="-5"/>
                <w:sz w:val="20"/>
              </w:rPr>
              <w:t>214</w:t>
            </w:r>
          </w:p>
        </w:tc>
        <w:tc>
          <w:tcPr>
            <w:tcW w:w="3332" w:type="dxa"/>
          </w:tcPr>
          <w:p>
            <w:pPr>
              <w:pStyle w:val="TableParagraph"/>
              <w:spacing w:line="230" w:lineRule="atLeast" w:before="25"/>
              <w:ind w:left="192" w:right="1728"/>
              <w:rPr>
                <w:sz w:val="20"/>
              </w:rPr>
            </w:pPr>
            <w:r>
              <w:rPr>
                <w:sz w:val="20"/>
              </w:rPr>
              <w:t>Замена</w:t>
            </w:r>
            <w:r>
              <w:rPr>
                <w:spacing w:val="-13"/>
                <w:sz w:val="20"/>
              </w:rPr>
              <w:t> </w:t>
            </w:r>
            <w:r>
              <w:rPr>
                <w:sz w:val="20"/>
              </w:rPr>
              <w:t>речевого </w:t>
            </w:r>
            <w:r>
              <w:rPr>
                <w:spacing w:val="-2"/>
                <w:sz w:val="20"/>
              </w:rPr>
              <w:t>процессора</w:t>
            </w:r>
          </w:p>
        </w:tc>
        <w:tc>
          <w:tcPr>
            <w:tcW w:w="3569" w:type="dxa"/>
          </w:tcPr>
          <w:p>
            <w:pPr>
              <w:pStyle w:val="TableParagraph"/>
              <w:spacing w:before="45"/>
              <w:ind w:left="1131" w:right="1922"/>
              <w:jc w:val="center"/>
              <w:rPr>
                <w:sz w:val="20"/>
              </w:rPr>
            </w:pPr>
            <w:r>
              <w:rPr>
                <w:spacing w:val="-4"/>
                <w:sz w:val="20"/>
              </w:rPr>
              <w:t>H90.3</w:t>
            </w:r>
          </w:p>
        </w:tc>
        <w:tc>
          <w:tcPr>
            <w:tcW w:w="3886" w:type="dxa"/>
          </w:tcPr>
          <w:p>
            <w:pPr>
              <w:pStyle w:val="TableParagraph"/>
              <w:spacing w:before="45"/>
              <w:ind w:left="156" w:right="643"/>
              <w:jc w:val="center"/>
              <w:rPr>
                <w:sz w:val="20"/>
              </w:rPr>
            </w:pPr>
            <w:r>
              <w:rPr>
                <w:spacing w:val="-2"/>
                <w:sz w:val="20"/>
              </w:rPr>
              <w:t>B05.057.008</w:t>
            </w:r>
          </w:p>
        </w:tc>
        <w:tc>
          <w:tcPr>
            <w:tcW w:w="1547" w:type="dxa"/>
          </w:tcPr>
          <w:p>
            <w:pPr>
              <w:pStyle w:val="TableParagraph"/>
              <w:spacing w:before="45"/>
              <w:ind w:left="646"/>
              <w:rPr>
                <w:sz w:val="20"/>
              </w:rPr>
            </w:pPr>
            <w:r>
              <w:rPr>
                <w:w w:val="99"/>
                <w:sz w:val="20"/>
              </w:rPr>
              <w:t>-</w:t>
            </w:r>
          </w:p>
        </w:tc>
        <w:tc>
          <w:tcPr>
            <w:tcW w:w="1336" w:type="dxa"/>
          </w:tcPr>
          <w:p>
            <w:pPr>
              <w:pStyle w:val="TableParagraph"/>
              <w:spacing w:before="45"/>
              <w:ind w:right="47"/>
              <w:jc w:val="right"/>
              <w:rPr>
                <w:sz w:val="20"/>
              </w:rPr>
            </w:pPr>
            <w:r>
              <w:rPr>
                <w:spacing w:val="-2"/>
                <w:sz w:val="20"/>
              </w:rPr>
              <w:t>29,91</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295"/>
        <w:gridCol w:w="3744"/>
        <w:gridCol w:w="3751"/>
        <w:gridCol w:w="1572"/>
        <w:gridCol w:w="1262"/>
      </w:tblGrid>
      <w:tr>
        <w:trPr>
          <w:trHeight w:val="274" w:hRule="atLeast"/>
        </w:trPr>
        <w:tc>
          <w:tcPr>
            <w:tcW w:w="946" w:type="dxa"/>
          </w:tcPr>
          <w:p>
            <w:pPr>
              <w:pStyle w:val="TableParagraph"/>
              <w:spacing w:line="221" w:lineRule="exact"/>
              <w:ind w:left="37" w:right="198"/>
              <w:jc w:val="center"/>
              <w:rPr>
                <w:sz w:val="20"/>
              </w:rPr>
            </w:pPr>
            <w:r>
              <w:rPr>
                <w:spacing w:val="-4"/>
                <w:sz w:val="20"/>
              </w:rPr>
              <w:t>st21</w:t>
            </w:r>
          </w:p>
        </w:tc>
        <w:tc>
          <w:tcPr>
            <w:tcW w:w="707" w:type="dxa"/>
          </w:tcPr>
          <w:p>
            <w:pPr>
              <w:pStyle w:val="TableParagraph"/>
              <w:spacing w:line="221" w:lineRule="exact"/>
              <w:ind w:left="261"/>
              <w:rPr>
                <w:sz w:val="20"/>
              </w:rPr>
            </w:pPr>
            <w:r>
              <w:rPr>
                <w:spacing w:val="-5"/>
                <w:sz w:val="20"/>
              </w:rPr>
              <w:t>21</w:t>
            </w:r>
          </w:p>
        </w:tc>
        <w:tc>
          <w:tcPr>
            <w:tcW w:w="3295" w:type="dxa"/>
          </w:tcPr>
          <w:p>
            <w:pPr>
              <w:pStyle w:val="TableParagraph"/>
              <w:rPr>
                <w:sz w:val="18"/>
              </w:rPr>
            </w:pPr>
          </w:p>
        </w:tc>
        <w:tc>
          <w:tcPr>
            <w:tcW w:w="3744" w:type="dxa"/>
          </w:tcPr>
          <w:p>
            <w:pPr>
              <w:pStyle w:val="TableParagraph"/>
              <w:spacing w:line="221" w:lineRule="exact"/>
              <w:ind w:left="2377"/>
              <w:rPr>
                <w:sz w:val="20"/>
              </w:rPr>
            </w:pPr>
            <w:r>
              <w:rPr>
                <w:spacing w:val="-2"/>
                <w:sz w:val="20"/>
              </w:rPr>
              <w:t>Офтальмология</w:t>
            </w:r>
          </w:p>
        </w:tc>
        <w:tc>
          <w:tcPr>
            <w:tcW w:w="3751" w:type="dxa"/>
          </w:tcPr>
          <w:p>
            <w:pPr>
              <w:pStyle w:val="TableParagraph"/>
              <w:rPr>
                <w:sz w:val="18"/>
              </w:rPr>
            </w:pPr>
          </w:p>
        </w:tc>
        <w:tc>
          <w:tcPr>
            <w:tcW w:w="1572" w:type="dxa"/>
          </w:tcPr>
          <w:p>
            <w:pPr>
              <w:pStyle w:val="TableParagraph"/>
              <w:rPr>
                <w:sz w:val="18"/>
              </w:rPr>
            </w:pPr>
          </w:p>
        </w:tc>
        <w:tc>
          <w:tcPr>
            <w:tcW w:w="1262" w:type="dxa"/>
          </w:tcPr>
          <w:p>
            <w:pPr>
              <w:pStyle w:val="TableParagraph"/>
              <w:spacing w:line="221" w:lineRule="exact"/>
              <w:ind w:right="51"/>
              <w:jc w:val="right"/>
              <w:rPr>
                <w:sz w:val="20"/>
              </w:rPr>
            </w:pPr>
            <w:r>
              <w:rPr>
                <w:spacing w:val="-4"/>
                <w:sz w:val="20"/>
              </w:rPr>
              <w:t>0,92</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st21.001</w:t>
            </w:r>
          </w:p>
        </w:tc>
        <w:tc>
          <w:tcPr>
            <w:tcW w:w="707" w:type="dxa"/>
          </w:tcPr>
          <w:p>
            <w:pPr>
              <w:pStyle w:val="TableParagraph"/>
              <w:spacing w:line="215" w:lineRule="exact" w:before="45"/>
              <w:ind w:left="210"/>
              <w:rPr>
                <w:sz w:val="20"/>
              </w:rPr>
            </w:pPr>
            <w:r>
              <w:rPr>
                <w:spacing w:val="-5"/>
                <w:sz w:val="20"/>
              </w:rPr>
              <w:t>215</w:t>
            </w:r>
          </w:p>
        </w:tc>
        <w:tc>
          <w:tcPr>
            <w:tcW w:w="3295"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3744" w:type="dxa"/>
          </w:tcPr>
          <w:p>
            <w:pPr>
              <w:pStyle w:val="TableParagraph"/>
              <w:spacing w:line="215" w:lineRule="exact" w:before="45"/>
              <w:ind w:left="1391"/>
              <w:rPr>
                <w:sz w:val="20"/>
              </w:rPr>
            </w:pPr>
            <w:r>
              <w:rPr>
                <w:w w:val="99"/>
                <w:sz w:val="20"/>
              </w:rPr>
              <w:t>-</w:t>
            </w:r>
          </w:p>
        </w:tc>
        <w:tc>
          <w:tcPr>
            <w:tcW w:w="3751" w:type="dxa"/>
          </w:tcPr>
          <w:p>
            <w:pPr>
              <w:pStyle w:val="TableParagraph"/>
              <w:spacing w:line="215" w:lineRule="exact" w:before="45"/>
              <w:ind w:left="15" w:right="646"/>
              <w:jc w:val="center"/>
              <w:rPr>
                <w:sz w:val="20"/>
              </w:rPr>
            </w:pPr>
            <w:r>
              <w:rPr>
                <w:sz w:val="20"/>
              </w:rPr>
              <w:t>A16.01.037,</w:t>
            </w:r>
            <w:r>
              <w:rPr>
                <w:spacing w:val="-9"/>
                <w:sz w:val="20"/>
              </w:rPr>
              <w:t> </w:t>
            </w:r>
            <w:r>
              <w:rPr>
                <w:sz w:val="20"/>
              </w:rPr>
              <w:t>A16.26.001,</w:t>
            </w:r>
            <w:r>
              <w:rPr>
                <w:spacing w:val="-10"/>
                <w:sz w:val="20"/>
              </w:rPr>
              <w:t> </w:t>
            </w:r>
            <w:r>
              <w:rPr>
                <w:spacing w:val="-2"/>
                <w:sz w:val="20"/>
              </w:rPr>
              <w:t>A16.26.002,</w:t>
            </w:r>
          </w:p>
        </w:tc>
        <w:tc>
          <w:tcPr>
            <w:tcW w:w="1572" w:type="dxa"/>
          </w:tcPr>
          <w:p>
            <w:pPr>
              <w:pStyle w:val="TableParagraph"/>
              <w:spacing w:line="215" w:lineRule="exact" w:before="45"/>
              <w:ind w:left="643"/>
              <w:rPr>
                <w:sz w:val="20"/>
              </w:rPr>
            </w:pPr>
            <w:r>
              <w:rPr>
                <w:w w:val="99"/>
                <w:sz w:val="20"/>
              </w:rPr>
              <w:t>-</w:t>
            </w:r>
          </w:p>
        </w:tc>
        <w:tc>
          <w:tcPr>
            <w:tcW w:w="1262" w:type="dxa"/>
          </w:tcPr>
          <w:p>
            <w:pPr>
              <w:pStyle w:val="TableParagraph"/>
              <w:spacing w:line="215" w:lineRule="exact" w:before="45"/>
              <w:ind w:right="51"/>
              <w:jc w:val="right"/>
              <w:rPr>
                <w:sz w:val="20"/>
              </w:rPr>
            </w:pPr>
            <w:r>
              <w:rPr>
                <w:spacing w:val="-4"/>
                <w:sz w:val="20"/>
              </w:rPr>
              <w:t>0,49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1)</w:t>
            </w: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A16.26.005,</w:t>
            </w:r>
            <w:r>
              <w:rPr>
                <w:spacing w:val="-9"/>
                <w:sz w:val="20"/>
              </w:rPr>
              <w:t> </w:t>
            </w:r>
            <w:r>
              <w:rPr>
                <w:spacing w:val="-2"/>
                <w:sz w:val="20"/>
              </w:rPr>
              <w:t>A16.26.007,</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8" w:right="646"/>
              <w:jc w:val="center"/>
              <w:rPr>
                <w:sz w:val="20"/>
              </w:rPr>
            </w:pPr>
            <w:r>
              <w:rPr>
                <w:w w:val="95"/>
                <w:sz w:val="20"/>
              </w:rPr>
              <w:t>A16.26.007.001,</w:t>
            </w:r>
            <w:r>
              <w:rPr>
                <w:spacing w:val="56"/>
                <w:sz w:val="20"/>
              </w:rPr>
              <w:t> </w:t>
            </w:r>
            <w:r>
              <w:rPr>
                <w:spacing w:val="-2"/>
                <w:sz w:val="20"/>
              </w:rPr>
              <w:t>A16.26.007.003,</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A16.26.011,</w:t>
            </w:r>
            <w:r>
              <w:rPr>
                <w:spacing w:val="-9"/>
                <w:sz w:val="20"/>
              </w:rPr>
              <w:t> </w:t>
            </w:r>
            <w:r>
              <w:rPr>
                <w:sz w:val="20"/>
              </w:rPr>
              <w:t>A16.26.012,</w:t>
            </w:r>
            <w:r>
              <w:rPr>
                <w:spacing w:val="-10"/>
                <w:sz w:val="20"/>
              </w:rPr>
              <w:t> </w:t>
            </w:r>
            <w:r>
              <w:rPr>
                <w:spacing w:val="-2"/>
                <w:sz w:val="20"/>
              </w:rPr>
              <w:t>A16.26.013,</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A16.26.014,</w:t>
            </w:r>
            <w:r>
              <w:rPr>
                <w:spacing w:val="-9"/>
                <w:sz w:val="20"/>
              </w:rPr>
              <w:t> </w:t>
            </w:r>
            <w:r>
              <w:rPr>
                <w:sz w:val="20"/>
              </w:rPr>
              <w:t>A16.26.015,</w:t>
            </w:r>
            <w:r>
              <w:rPr>
                <w:spacing w:val="-10"/>
                <w:sz w:val="20"/>
              </w:rPr>
              <w:t> </w:t>
            </w:r>
            <w:r>
              <w:rPr>
                <w:spacing w:val="-2"/>
                <w:sz w:val="20"/>
              </w:rPr>
              <w:t>A16.26.016,</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A16.26.018,</w:t>
            </w:r>
            <w:r>
              <w:rPr>
                <w:spacing w:val="-9"/>
                <w:sz w:val="20"/>
              </w:rPr>
              <w:t> </w:t>
            </w:r>
            <w:r>
              <w:rPr>
                <w:sz w:val="20"/>
              </w:rPr>
              <w:t>A16.26.020,</w:t>
            </w:r>
            <w:r>
              <w:rPr>
                <w:spacing w:val="-10"/>
                <w:sz w:val="20"/>
              </w:rPr>
              <w:t> </w:t>
            </w:r>
            <w:r>
              <w:rPr>
                <w:spacing w:val="-2"/>
                <w:sz w:val="20"/>
              </w:rPr>
              <w:t>A16.26.024,</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1" w:lineRule="exact"/>
              <w:ind w:left="15" w:right="646"/>
              <w:jc w:val="center"/>
              <w:rPr>
                <w:sz w:val="20"/>
              </w:rPr>
            </w:pPr>
            <w:r>
              <w:rPr>
                <w:sz w:val="20"/>
              </w:rPr>
              <w:t>A16.26.025,</w:t>
            </w:r>
            <w:r>
              <w:rPr>
                <w:spacing w:val="-9"/>
                <w:sz w:val="20"/>
              </w:rPr>
              <w:t> </w:t>
            </w:r>
            <w:r>
              <w:rPr>
                <w:sz w:val="20"/>
              </w:rPr>
              <w:t>A16.26.026,</w:t>
            </w:r>
            <w:r>
              <w:rPr>
                <w:spacing w:val="-10"/>
                <w:sz w:val="20"/>
              </w:rPr>
              <w:t> </w:t>
            </w:r>
            <w:r>
              <w:rPr>
                <w:spacing w:val="-2"/>
                <w:sz w:val="20"/>
              </w:rPr>
              <w:t>A16.26.033,</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A16.26.034,</w:t>
            </w:r>
            <w:r>
              <w:rPr>
                <w:spacing w:val="-9"/>
                <w:sz w:val="20"/>
              </w:rPr>
              <w:t> </w:t>
            </w:r>
            <w:r>
              <w:rPr>
                <w:sz w:val="20"/>
              </w:rPr>
              <w:t>A16.26.035,</w:t>
            </w:r>
            <w:r>
              <w:rPr>
                <w:spacing w:val="-10"/>
                <w:sz w:val="20"/>
              </w:rPr>
              <w:t> </w:t>
            </w:r>
            <w:r>
              <w:rPr>
                <w:spacing w:val="-2"/>
                <w:sz w:val="20"/>
              </w:rPr>
              <w:t>A16.26.036,</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A16.26.037,</w:t>
            </w:r>
            <w:r>
              <w:rPr>
                <w:spacing w:val="-9"/>
                <w:sz w:val="20"/>
              </w:rPr>
              <w:t> </w:t>
            </w:r>
            <w:r>
              <w:rPr>
                <w:sz w:val="20"/>
              </w:rPr>
              <w:t>A16.26.043,</w:t>
            </w:r>
            <w:r>
              <w:rPr>
                <w:spacing w:val="-10"/>
                <w:sz w:val="20"/>
              </w:rPr>
              <w:t> </w:t>
            </w:r>
            <w:r>
              <w:rPr>
                <w:spacing w:val="-2"/>
                <w:sz w:val="20"/>
              </w:rPr>
              <w:t>A16.26.044,</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A16.26.046,</w:t>
            </w:r>
            <w:r>
              <w:rPr>
                <w:spacing w:val="-8"/>
                <w:sz w:val="20"/>
              </w:rPr>
              <w:t> </w:t>
            </w:r>
            <w:r>
              <w:rPr>
                <w:sz w:val="20"/>
              </w:rPr>
              <w:t>A16.26.051,</w:t>
            </w:r>
            <w:r>
              <w:rPr>
                <w:spacing w:val="-8"/>
                <w:sz w:val="20"/>
              </w:rPr>
              <w:t> </w:t>
            </w:r>
            <w:r>
              <w:rPr>
                <w:spacing w:val="-2"/>
                <w:sz w:val="20"/>
              </w:rPr>
              <w:t>A16.26.053,</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A16.26.054,</w:t>
            </w:r>
            <w:r>
              <w:rPr>
                <w:spacing w:val="-9"/>
                <w:sz w:val="20"/>
              </w:rPr>
              <w:t> </w:t>
            </w:r>
            <w:r>
              <w:rPr>
                <w:sz w:val="20"/>
              </w:rPr>
              <w:t>A16.26.055,</w:t>
            </w:r>
            <w:r>
              <w:rPr>
                <w:spacing w:val="-10"/>
                <w:sz w:val="20"/>
              </w:rPr>
              <w:t> </w:t>
            </w:r>
            <w:r>
              <w:rPr>
                <w:spacing w:val="-2"/>
                <w:sz w:val="20"/>
              </w:rPr>
              <w:t>A16.26.056,</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A16.26.059,</w:t>
            </w:r>
            <w:r>
              <w:rPr>
                <w:spacing w:val="-9"/>
                <w:sz w:val="20"/>
              </w:rPr>
              <w:t> </w:t>
            </w:r>
            <w:r>
              <w:rPr>
                <w:sz w:val="20"/>
              </w:rPr>
              <w:t>A16.26.072,</w:t>
            </w:r>
            <w:r>
              <w:rPr>
                <w:spacing w:val="-10"/>
                <w:sz w:val="20"/>
              </w:rPr>
              <w:t> </w:t>
            </w:r>
            <w:r>
              <w:rPr>
                <w:spacing w:val="-2"/>
                <w:sz w:val="20"/>
              </w:rPr>
              <w:t>A16.26.073,</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A16.26.083,</w:t>
            </w:r>
            <w:r>
              <w:rPr>
                <w:spacing w:val="-9"/>
                <w:sz w:val="20"/>
              </w:rPr>
              <w:t> </w:t>
            </w:r>
            <w:r>
              <w:rPr>
                <w:sz w:val="20"/>
              </w:rPr>
              <w:t>A16.26.110,</w:t>
            </w:r>
            <w:r>
              <w:rPr>
                <w:spacing w:val="-10"/>
                <w:sz w:val="20"/>
              </w:rPr>
              <w:t> </w:t>
            </w:r>
            <w:r>
              <w:rPr>
                <w:spacing w:val="-2"/>
                <w:sz w:val="20"/>
              </w:rPr>
              <w:t>A16.26.119,</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7" w:right="646"/>
              <w:jc w:val="center"/>
              <w:rPr>
                <w:sz w:val="20"/>
              </w:rPr>
            </w:pPr>
            <w:r>
              <w:rPr>
                <w:w w:val="95"/>
                <w:sz w:val="20"/>
              </w:rPr>
              <w:t>A16.26.120.001,</w:t>
            </w:r>
            <w:r>
              <w:rPr>
                <w:spacing w:val="54"/>
                <w:sz w:val="20"/>
              </w:rPr>
              <w:t> </w:t>
            </w:r>
            <w:r>
              <w:rPr>
                <w:spacing w:val="-2"/>
                <w:sz w:val="20"/>
              </w:rPr>
              <w:t>A16.26.121,</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A16.26.122,</w:t>
            </w:r>
            <w:r>
              <w:rPr>
                <w:spacing w:val="-9"/>
                <w:sz w:val="20"/>
              </w:rPr>
              <w:t> </w:t>
            </w:r>
            <w:r>
              <w:rPr>
                <w:sz w:val="20"/>
              </w:rPr>
              <w:t>A16.26.123,</w:t>
            </w:r>
            <w:r>
              <w:rPr>
                <w:spacing w:val="-10"/>
                <w:sz w:val="20"/>
              </w:rPr>
              <w:t> </w:t>
            </w:r>
            <w:r>
              <w:rPr>
                <w:spacing w:val="-2"/>
                <w:sz w:val="20"/>
              </w:rPr>
              <w:t>A16.26.124,</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A16.26.136,</w:t>
            </w:r>
            <w:r>
              <w:rPr>
                <w:spacing w:val="-9"/>
                <w:sz w:val="20"/>
              </w:rPr>
              <w:t> </w:t>
            </w:r>
            <w:r>
              <w:rPr>
                <w:sz w:val="20"/>
              </w:rPr>
              <w:t>A16.26.137,</w:t>
            </w:r>
            <w:r>
              <w:rPr>
                <w:spacing w:val="-10"/>
                <w:sz w:val="20"/>
              </w:rPr>
              <w:t> </w:t>
            </w:r>
            <w:r>
              <w:rPr>
                <w:spacing w:val="-2"/>
                <w:sz w:val="20"/>
              </w:rPr>
              <w:t>A16.26.138,</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8" w:right="643"/>
              <w:jc w:val="center"/>
              <w:rPr>
                <w:sz w:val="20"/>
              </w:rPr>
            </w:pPr>
            <w:r>
              <w:rPr>
                <w:sz w:val="20"/>
              </w:rPr>
              <w:t>A16.26.139,</w:t>
            </w:r>
            <w:r>
              <w:rPr>
                <w:spacing w:val="-9"/>
                <w:sz w:val="20"/>
              </w:rPr>
              <w:t> </w:t>
            </w:r>
            <w:r>
              <w:rPr>
                <w:sz w:val="20"/>
              </w:rPr>
              <w:t>A16.26.144,</w:t>
            </w:r>
            <w:r>
              <w:rPr>
                <w:spacing w:val="-10"/>
                <w:sz w:val="20"/>
              </w:rPr>
              <w:t> </w:t>
            </w:r>
            <w:r>
              <w:rPr>
                <w:spacing w:val="-2"/>
                <w:sz w:val="20"/>
              </w:rPr>
              <w:t>A16.26.148,</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A16.26.149,</w:t>
            </w:r>
            <w:r>
              <w:rPr>
                <w:spacing w:val="-9"/>
                <w:sz w:val="20"/>
              </w:rPr>
              <w:t> </w:t>
            </w:r>
            <w:r>
              <w:rPr>
                <w:sz w:val="20"/>
              </w:rPr>
              <w:t>A22.26.001,</w:t>
            </w:r>
            <w:r>
              <w:rPr>
                <w:spacing w:val="-10"/>
                <w:sz w:val="20"/>
              </w:rPr>
              <w:t> </w:t>
            </w:r>
            <w:r>
              <w:rPr>
                <w:spacing w:val="-2"/>
                <w:sz w:val="20"/>
              </w:rPr>
              <w:t>A22.26.002,</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A22.26.003,</w:t>
            </w:r>
            <w:r>
              <w:rPr>
                <w:spacing w:val="-9"/>
                <w:sz w:val="20"/>
              </w:rPr>
              <w:t> </w:t>
            </w:r>
            <w:r>
              <w:rPr>
                <w:sz w:val="20"/>
              </w:rPr>
              <w:t>A22.26.004,</w:t>
            </w:r>
            <w:r>
              <w:rPr>
                <w:spacing w:val="-10"/>
                <w:sz w:val="20"/>
              </w:rPr>
              <w:t> </w:t>
            </w:r>
            <w:r>
              <w:rPr>
                <w:spacing w:val="-2"/>
                <w:sz w:val="20"/>
              </w:rPr>
              <w:t>A22.26.005,</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A22.26.006,</w:t>
            </w:r>
            <w:r>
              <w:rPr>
                <w:spacing w:val="-9"/>
                <w:sz w:val="20"/>
              </w:rPr>
              <w:t> </w:t>
            </w:r>
            <w:r>
              <w:rPr>
                <w:sz w:val="20"/>
              </w:rPr>
              <w:t>A22.26.007,</w:t>
            </w:r>
            <w:r>
              <w:rPr>
                <w:spacing w:val="-10"/>
                <w:sz w:val="20"/>
              </w:rPr>
              <w:t> </w:t>
            </w:r>
            <w:r>
              <w:rPr>
                <w:spacing w:val="-2"/>
                <w:sz w:val="20"/>
              </w:rPr>
              <w:t>A22.26.009,</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A22.26.013,</w:t>
            </w:r>
            <w:r>
              <w:rPr>
                <w:spacing w:val="-9"/>
                <w:sz w:val="20"/>
              </w:rPr>
              <w:t> </w:t>
            </w:r>
            <w:r>
              <w:rPr>
                <w:sz w:val="20"/>
              </w:rPr>
              <w:t>A22.26.016,</w:t>
            </w:r>
            <w:r>
              <w:rPr>
                <w:spacing w:val="-10"/>
                <w:sz w:val="20"/>
              </w:rPr>
              <w:t> </w:t>
            </w:r>
            <w:r>
              <w:rPr>
                <w:spacing w:val="-2"/>
                <w:sz w:val="20"/>
              </w:rPr>
              <w:t>A22.26.019,</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A22.26.020,</w:t>
            </w:r>
            <w:r>
              <w:rPr>
                <w:spacing w:val="-9"/>
                <w:sz w:val="20"/>
              </w:rPr>
              <w:t> </w:t>
            </w:r>
            <w:r>
              <w:rPr>
                <w:sz w:val="20"/>
              </w:rPr>
              <w:t>A22.26.021,</w:t>
            </w:r>
            <w:r>
              <w:rPr>
                <w:spacing w:val="-10"/>
                <w:sz w:val="20"/>
              </w:rPr>
              <w:t> </w:t>
            </w:r>
            <w:r>
              <w:rPr>
                <w:spacing w:val="-2"/>
                <w:sz w:val="20"/>
              </w:rPr>
              <w:t>A22.26.022,</w:t>
            </w:r>
          </w:p>
        </w:tc>
        <w:tc>
          <w:tcPr>
            <w:tcW w:w="1572"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295" w:type="dxa"/>
          </w:tcPr>
          <w:p>
            <w:pPr>
              <w:pStyle w:val="TableParagraph"/>
              <w:rPr>
                <w:sz w:val="18"/>
              </w:rPr>
            </w:pPr>
          </w:p>
        </w:tc>
        <w:tc>
          <w:tcPr>
            <w:tcW w:w="3744" w:type="dxa"/>
          </w:tcPr>
          <w:p>
            <w:pPr>
              <w:pStyle w:val="TableParagraph"/>
              <w:rPr>
                <w:sz w:val="18"/>
              </w:rPr>
            </w:pPr>
          </w:p>
        </w:tc>
        <w:tc>
          <w:tcPr>
            <w:tcW w:w="3751" w:type="dxa"/>
          </w:tcPr>
          <w:p>
            <w:pPr>
              <w:pStyle w:val="TableParagraph"/>
              <w:spacing w:line="224" w:lineRule="exact"/>
              <w:ind w:left="18" w:right="643"/>
              <w:jc w:val="center"/>
              <w:rPr>
                <w:sz w:val="20"/>
              </w:rPr>
            </w:pPr>
            <w:r>
              <w:rPr>
                <w:spacing w:val="-2"/>
                <w:sz w:val="20"/>
              </w:rPr>
              <w:t>A22.26.023</w:t>
            </w:r>
          </w:p>
        </w:tc>
        <w:tc>
          <w:tcPr>
            <w:tcW w:w="1572" w:type="dxa"/>
          </w:tcPr>
          <w:p>
            <w:pPr>
              <w:pStyle w:val="TableParagraph"/>
              <w:rPr>
                <w:sz w:val="18"/>
              </w:rPr>
            </w:pPr>
          </w:p>
        </w:tc>
        <w:tc>
          <w:tcPr>
            <w:tcW w:w="1262"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st21.002</w:t>
            </w:r>
          </w:p>
        </w:tc>
        <w:tc>
          <w:tcPr>
            <w:tcW w:w="707" w:type="dxa"/>
          </w:tcPr>
          <w:p>
            <w:pPr>
              <w:pStyle w:val="TableParagraph"/>
              <w:spacing w:line="215" w:lineRule="exact" w:before="46"/>
              <w:ind w:left="210"/>
              <w:rPr>
                <w:sz w:val="20"/>
              </w:rPr>
            </w:pPr>
            <w:r>
              <w:rPr>
                <w:spacing w:val="-5"/>
                <w:sz w:val="20"/>
              </w:rPr>
              <w:t>216</w:t>
            </w:r>
          </w:p>
        </w:tc>
        <w:tc>
          <w:tcPr>
            <w:tcW w:w="3295"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3744" w:type="dxa"/>
          </w:tcPr>
          <w:p>
            <w:pPr>
              <w:pStyle w:val="TableParagraph"/>
              <w:spacing w:line="215" w:lineRule="exact" w:before="46"/>
              <w:ind w:left="1391"/>
              <w:rPr>
                <w:sz w:val="20"/>
              </w:rPr>
            </w:pPr>
            <w:r>
              <w:rPr>
                <w:w w:val="99"/>
                <w:sz w:val="20"/>
              </w:rPr>
              <w:t>-</w:t>
            </w:r>
          </w:p>
        </w:tc>
        <w:tc>
          <w:tcPr>
            <w:tcW w:w="3751" w:type="dxa"/>
          </w:tcPr>
          <w:p>
            <w:pPr>
              <w:pStyle w:val="TableParagraph"/>
              <w:spacing w:line="215" w:lineRule="exact" w:before="46"/>
              <w:ind w:left="17" w:right="646"/>
              <w:jc w:val="center"/>
              <w:rPr>
                <w:sz w:val="20"/>
              </w:rPr>
            </w:pPr>
            <w:r>
              <w:rPr>
                <w:w w:val="95"/>
                <w:sz w:val="20"/>
              </w:rPr>
              <w:t>A16.26.007.002,</w:t>
            </w:r>
            <w:r>
              <w:rPr>
                <w:spacing w:val="54"/>
                <w:sz w:val="20"/>
              </w:rPr>
              <w:t> </w:t>
            </w:r>
            <w:r>
              <w:rPr>
                <w:spacing w:val="-2"/>
                <w:sz w:val="20"/>
              </w:rPr>
              <w:t>A16.26.022,</w:t>
            </w:r>
          </w:p>
        </w:tc>
        <w:tc>
          <w:tcPr>
            <w:tcW w:w="1572" w:type="dxa"/>
          </w:tcPr>
          <w:p>
            <w:pPr>
              <w:pStyle w:val="TableParagraph"/>
              <w:spacing w:line="215" w:lineRule="exact" w:before="46"/>
              <w:ind w:left="643"/>
              <w:rPr>
                <w:sz w:val="20"/>
              </w:rPr>
            </w:pPr>
            <w:r>
              <w:rPr>
                <w:w w:val="99"/>
                <w:sz w:val="20"/>
              </w:rPr>
              <w:t>-</w:t>
            </w:r>
          </w:p>
        </w:tc>
        <w:tc>
          <w:tcPr>
            <w:tcW w:w="1262" w:type="dxa"/>
          </w:tcPr>
          <w:p>
            <w:pPr>
              <w:pStyle w:val="TableParagraph"/>
              <w:spacing w:line="215" w:lineRule="exact" w:before="46"/>
              <w:ind w:right="51"/>
              <w:jc w:val="right"/>
              <w:rPr>
                <w:sz w:val="20"/>
              </w:rPr>
            </w:pPr>
            <w:r>
              <w:rPr>
                <w:spacing w:val="-4"/>
                <w:sz w:val="20"/>
              </w:rPr>
              <w:t>0,79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2)</w:t>
            </w: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A16.26.023,</w:t>
            </w:r>
            <w:r>
              <w:rPr>
                <w:spacing w:val="-9"/>
                <w:sz w:val="20"/>
              </w:rPr>
              <w:t> </w:t>
            </w:r>
            <w:r>
              <w:rPr>
                <w:spacing w:val="-2"/>
                <w:sz w:val="20"/>
              </w:rPr>
              <w:t>A16.26.052,</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7" w:right="646"/>
              <w:jc w:val="center"/>
              <w:rPr>
                <w:sz w:val="20"/>
              </w:rPr>
            </w:pPr>
            <w:r>
              <w:rPr>
                <w:w w:val="95"/>
                <w:sz w:val="20"/>
              </w:rPr>
              <w:t>A16.26.052.001,</w:t>
            </w:r>
            <w:r>
              <w:rPr>
                <w:spacing w:val="54"/>
                <w:sz w:val="20"/>
              </w:rPr>
              <w:t> </w:t>
            </w:r>
            <w:r>
              <w:rPr>
                <w:spacing w:val="-2"/>
                <w:sz w:val="20"/>
              </w:rPr>
              <w:t>A16.26.058,</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A16.26.060,</w:t>
            </w:r>
            <w:r>
              <w:rPr>
                <w:spacing w:val="-9"/>
                <w:sz w:val="20"/>
              </w:rPr>
              <w:t> </w:t>
            </w:r>
            <w:r>
              <w:rPr>
                <w:sz w:val="20"/>
              </w:rPr>
              <w:t>A16.26.061,</w:t>
            </w:r>
            <w:r>
              <w:rPr>
                <w:spacing w:val="-10"/>
                <w:sz w:val="20"/>
              </w:rPr>
              <w:t> </w:t>
            </w:r>
            <w:r>
              <w:rPr>
                <w:spacing w:val="-2"/>
                <w:sz w:val="20"/>
              </w:rPr>
              <w:t>A16.26.062,</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1" w:lineRule="exact"/>
              <w:ind w:left="15" w:right="646"/>
              <w:jc w:val="center"/>
              <w:rPr>
                <w:sz w:val="20"/>
              </w:rPr>
            </w:pPr>
            <w:r>
              <w:rPr>
                <w:sz w:val="20"/>
              </w:rPr>
              <w:t>A16.26.063,</w:t>
            </w:r>
            <w:r>
              <w:rPr>
                <w:spacing w:val="-9"/>
                <w:sz w:val="20"/>
              </w:rPr>
              <w:t> </w:t>
            </w:r>
            <w:r>
              <w:rPr>
                <w:sz w:val="20"/>
              </w:rPr>
              <w:t>A16.26.064,</w:t>
            </w:r>
            <w:r>
              <w:rPr>
                <w:spacing w:val="-10"/>
                <w:sz w:val="20"/>
              </w:rPr>
              <w:t> </w:t>
            </w:r>
            <w:r>
              <w:rPr>
                <w:spacing w:val="-2"/>
                <w:sz w:val="20"/>
              </w:rPr>
              <w:t>A16.26.065,</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A16.26.066,</w:t>
            </w:r>
            <w:r>
              <w:rPr>
                <w:spacing w:val="-9"/>
                <w:sz w:val="20"/>
              </w:rPr>
              <w:t> </w:t>
            </w:r>
            <w:r>
              <w:rPr>
                <w:sz w:val="20"/>
              </w:rPr>
              <w:t>A16.26.067,</w:t>
            </w:r>
            <w:r>
              <w:rPr>
                <w:spacing w:val="-10"/>
                <w:sz w:val="20"/>
              </w:rPr>
              <w:t> </w:t>
            </w:r>
            <w:r>
              <w:rPr>
                <w:spacing w:val="-2"/>
                <w:sz w:val="20"/>
              </w:rPr>
              <w:t>A16.26.068,</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A16.26.069,</w:t>
            </w:r>
            <w:r>
              <w:rPr>
                <w:spacing w:val="-9"/>
                <w:sz w:val="20"/>
              </w:rPr>
              <w:t> </w:t>
            </w:r>
            <w:r>
              <w:rPr>
                <w:spacing w:val="-2"/>
                <w:sz w:val="20"/>
              </w:rPr>
              <w:t>A16.26.070,</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6" w:right="646"/>
              <w:jc w:val="center"/>
              <w:rPr>
                <w:sz w:val="20"/>
              </w:rPr>
            </w:pPr>
            <w:r>
              <w:rPr>
                <w:w w:val="95"/>
                <w:sz w:val="20"/>
              </w:rPr>
              <w:t>A16.26.073.001,</w:t>
            </w:r>
            <w:r>
              <w:rPr>
                <w:spacing w:val="54"/>
                <w:sz w:val="20"/>
              </w:rPr>
              <w:t> </w:t>
            </w:r>
            <w:r>
              <w:rPr>
                <w:spacing w:val="-2"/>
                <w:sz w:val="20"/>
              </w:rPr>
              <w:t>A16.26.073.003,</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8" w:right="643"/>
              <w:jc w:val="center"/>
              <w:rPr>
                <w:sz w:val="20"/>
              </w:rPr>
            </w:pPr>
            <w:r>
              <w:rPr>
                <w:sz w:val="20"/>
              </w:rPr>
              <w:t>A16.26.075,</w:t>
            </w:r>
            <w:r>
              <w:rPr>
                <w:spacing w:val="-7"/>
                <w:sz w:val="20"/>
              </w:rPr>
              <w:t> </w:t>
            </w:r>
            <w:r>
              <w:rPr>
                <w:spacing w:val="-2"/>
                <w:sz w:val="20"/>
              </w:rPr>
              <w:t>A16.26.076,</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7" w:right="646"/>
              <w:jc w:val="center"/>
              <w:rPr>
                <w:sz w:val="20"/>
              </w:rPr>
            </w:pPr>
            <w:r>
              <w:rPr>
                <w:w w:val="95"/>
                <w:sz w:val="20"/>
              </w:rPr>
              <w:t>A16.26.076.001,</w:t>
            </w:r>
            <w:r>
              <w:rPr>
                <w:spacing w:val="54"/>
                <w:sz w:val="20"/>
              </w:rPr>
              <w:t> </w:t>
            </w:r>
            <w:r>
              <w:rPr>
                <w:spacing w:val="-2"/>
                <w:sz w:val="20"/>
              </w:rPr>
              <w:t>A16.26.077,</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A16.26.078,</w:t>
            </w:r>
            <w:r>
              <w:rPr>
                <w:spacing w:val="-9"/>
                <w:sz w:val="20"/>
              </w:rPr>
              <w:t> </w:t>
            </w:r>
            <w:r>
              <w:rPr>
                <w:sz w:val="20"/>
              </w:rPr>
              <w:t>A16.26.079,</w:t>
            </w:r>
            <w:r>
              <w:rPr>
                <w:spacing w:val="-10"/>
                <w:sz w:val="20"/>
              </w:rPr>
              <w:t> </w:t>
            </w:r>
            <w:r>
              <w:rPr>
                <w:spacing w:val="-2"/>
                <w:sz w:val="20"/>
              </w:rPr>
              <w:t>A16.26.084,</w:t>
            </w:r>
          </w:p>
        </w:tc>
        <w:tc>
          <w:tcPr>
            <w:tcW w:w="1572"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5" w:lineRule="exact"/>
              <w:ind w:left="15" w:right="646"/>
              <w:jc w:val="center"/>
              <w:rPr>
                <w:sz w:val="20"/>
              </w:rPr>
            </w:pPr>
            <w:r>
              <w:rPr>
                <w:sz w:val="20"/>
              </w:rPr>
              <w:t>A16.26.096,</w:t>
            </w:r>
            <w:r>
              <w:rPr>
                <w:spacing w:val="-9"/>
                <w:sz w:val="20"/>
              </w:rPr>
              <w:t> </w:t>
            </w:r>
            <w:r>
              <w:rPr>
                <w:sz w:val="20"/>
              </w:rPr>
              <w:t>A16.26.097,</w:t>
            </w:r>
            <w:r>
              <w:rPr>
                <w:spacing w:val="-10"/>
                <w:sz w:val="20"/>
              </w:rPr>
              <w:t> </w:t>
            </w:r>
            <w:r>
              <w:rPr>
                <w:spacing w:val="-2"/>
                <w:sz w:val="20"/>
              </w:rPr>
              <w:t>A16.26.098,</w:t>
            </w:r>
          </w:p>
        </w:tc>
        <w:tc>
          <w:tcPr>
            <w:tcW w:w="1572"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295"/>
        <w:gridCol w:w="2610"/>
        <w:gridCol w:w="4882"/>
        <w:gridCol w:w="1571"/>
        <w:gridCol w:w="1260"/>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295" w:type="dxa"/>
            <w:vMerge w:val="restart"/>
          </w:tcPr>
          <w:p>
            <w:pPr>
              <w:pStyle w:val="TableParagraph"/>
              <w:rPr>
                <w:sz w:val="18"/>
              </w:rPr>
            </w:pPr>
          </w:p>
        </w:tc>
        <w:tc>
          <w:tcPr>
            <w:tcW w:w="2610" w:type="dxa"/>
            <w:vMerge w:val="restart"/>
          </w:tcPr>
          <w:p>
            <w:pPr>
              <w:pStyle w:val="TableParagraph"/>
              <w:rPr>
                <w:sz w:val="18"/>
              </w:rPr>
            </w:pPr>
          </w:p>
        </w:tc>
        <w:tc>
          <w:tcPr>
            <w:tcW w:w="4882" w:type="dxa"/>
          </w:tcPr>
          <w:p>
            <w:pPr>
              <w:pStyle w:val="TableParagraph"/>
              <w:spacing w:line="205" w:lineRule="exact"/>
              <w:ind w:left="1149" w:right="642"/>
              <w:jc w:val="center"/>
              <w:rPr>
                <w:sz w:val="20"/>
              </w:rPr>
            </w:pPr>
            <w:r>
              <w:rPr>
                <w:sz w:val="20"/>
              </w:rPr>
              <w:t>A16.26.112,</w:t>
            </w:r>
            <w:r>
              <w:rPr>
                <w:spacing w:val="-9"/>
                <w:sz w:val="20"/>
              </w:rPr>
              <w:t> </w:t>
            </w:r>
            <w:r>
              <w:rPr>
                <w:spacing w:val="-2"/>
                <w:sz w:val="20"/>
              </w:rPr>
              <w:t>A16.26.116,</w:t>
            </w:r>
          </w:p>
        </w:tc>
        <w:tc>
          <w:tcPr>
            <w:tcW w:w="1571"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295" w:type="dxa"/>
            <w:vMerge/>
            <w:tcBorders>
              <w:top w:val="nil"/>
            </w:tcBorders>
          </w:tcPr>
          <w:p>
            <w:pPr>
              <w:rPr>
                <w:sz w:val="2"/>
                <w:szCs w:val="2"/>
              </w:rPr>
            </w:pPr>
          </w:p>
        </w:tc>
        <w:tc>
          <w:tcPr>
            <w:tcW w:w="2610" w:type="dxa"/>
            <w:vMerge/>
            <w:tcBorders>
              <w:top w:val="nil"/>
            </w:tcBorders>
          </w:tcPr>
          <w:p>
            <w:pPr>
              <w:rPr>
                <w:sz w:val="2"/>
                <w:szCs w:val="2"/>
              </w:rPr>
            </w:pPr>
          </w:p>
        </w:tc>
        <w:tc>
          <w:tcPr>
            <w:tcW w:w="4882" w:type="dxa"/>
          </w:tcPr>
          <w:p>
            <w:pPr>
              <w:pStyle w:val="TableParagraph"/>
              <w:spacing w:line="209" w:lineRule="exact"/>
              <w:ind w:left="1149" w:right="644"/>
              <w:jc w:val="center"/>
              <w:rPr>
                <w:sz w:val="20"/>
              </w:rPr>
            </w:pPr>
            <w:r>
              <w:rPr>
                <w:w w:val="95"/>
                <w:sz w:val="20"/>
              </w:rPr>
              <w:t>A16.26.120.002,</w:t>
            </w:r>
            <w:r>
              <w:rPr>
                <w:spacing w:val="54"/>
                <w:sz w:val="20"/>
              </w:rPr>
              <w:t> </w:t>
            </w:r>
            <w:r>
              <w:rPr>
                <w:spacing w:val="-2"/>
                <w:sz w:val="20"/>
              </w:rPr>
              <w:t>A16.26.132,</w:t>
            </w: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295" w:type="dxa"/>
            <w:vMerge/>
            <w:tcBorders>
              <w:top w:val="nil"/>
            </w:tcBorders>
          </w:tcPr>
          <w:p>
            <w:pPr>
              <w:rPr>
                <w:sz w:val="2"/>
                <w:szCs w:val="2"/>
              </w:rPr>
            </w:pPr>
          </w:p>
        </w:tc>
        <w:tc>
          <w:tcPr>
            <w:tcW w:w="2610" w:type="dxa"/>
            <w:vMerge/>
            <w:tcBorders>
              <w:top w:val="nil"/>
            </w:tcBorders>
          </w:tcPr>
          <w:p>
            <w:pPr>
              <w:rPr>
                <w:sz w:val="2"/>
                <w:szCs w:val="2"/>
              </w:rPr>
            </w:pPr>
          </w:p>
        </w:tc>
        <w:tc>
          <w:tcPr>
            <w:tcW w:w="4882" w:type="dxa"/>
          </w:tcPr>
          <w:p>
            <w:pPr>
              <w:pStyle w:val="TableParagraph"/>
              <w:spacing w:line="209" w:lineRule="exact"/>
              <w:ind w:left="1147" w:right="644"/>
              <w:jc w:val="center"/>
              <w:rPr>
                <w:sz w:val="20"/>
              </w:rPr>
            </w:pPr>
            <w:r>
              <w:rPr>
                <w:sz w:val="20"/>
              </w:rPr>
              <w:t>A16.26.143,</w:t>
            </w:r>
            <w:r>
              <w:rPr>
                <w:spacing w:val="-9"/>
                <w:sz w:val="20"/>
              </w:rPr>
              <w:t> </w:t>
            </w:r>
            <w:r>
              <w:rPr>
                <w:sz w:val="20"/>
              </w:rPr>
              <w:t>A16.26.147,</w:t>
            </w:r>
            <w:r>
              <w:rPr>
                <w:spacing w:val="-10"/>
                <w:sz w:val="20"/>
              </w:rPr>
              <w:t> </w:t>
            </w:r>
            <w:r>
              <w:rPr>
                <w:spacing w:val="-2"/>
                <w:sz w:val="20"/>
              </w:rPr>
              <w:t>A22.26.011,</w:t>
            </w: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295" w:type="dxa"/>
            <w:vMerge/>
            <w:tcBorders>
              <w:top w:val="nil"/>
            </w:tcBorders>
          </w:tcPr>
          <w:p>
            <w:pPr>
              <w:rPr>
                <w:sz w:val="2"/>
                <w:szCs w:val="2"/>
              </w:rPr>
            </w:pPr>
          </w:p>
        </w:tc>
        <w:tc>
          <w:tcPr>
            <w:tcW w:w="2610" w:type="dxa"/>
            <w:vMerge/>
            <w:tcBorders>
              <w:top w:val="nil"/>
            </w:tcBorders>
          </w:tcPr>
          <w:p>
            <w:pPr>
              <w:rPr>
                <w:sz w:val="2"/>
                <w:szCs w:val="2"/>
              </w:rPr>
            </w:pPr>
          </w:p>
        </w:tc>
        <w:tc>
          <w:tcPr>
            <w:tcW w:w="4882" w:type="dxa"/>
          </w:tcPr>
          <w:p>
            <w:pPr>
              <w:pStyle w:val="TableParagraph"/>
              <w:spacing w:line="226" w:lineRule="exact"/>
              <w:ind w:left="1149" w:right="644"/>
              <w:jc w:val="center"/>
              <w:rPr>
                <w:sz w:val="20"/>
              </w:rPr>
            </w:pPr>
            <w:r>
              <w:rPr>
                <w:sz w:val="20"/>
              </w:rPr>
              <w:t>A22.26.018,</w:t>
            </w:r>
            <w:r>
              <w:rPr>
                <w:spacing w:val="-9"/>
                <w:sz w:val="20"/>
              </w:rPr>
              <w:t> </w:t>
            </w:r>
            <w:r>
              <w:rPr>
                <w:spacing w:val="-2"/>
                <w:sz w:val="20"/>
              </w:rPr>
              <w:t>A24.26.004</w:t>
            </w: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st21.003</w:t>
            </w:r>
          </w:p>
        </w:tc>
        <w:tc>
          <w:tcPr>
            <w:tcW w:w="707" w:type="dxa"/>
          </w:tcPr>
          <w:p>
            <w:pPr>
              <w:pStyle w:val="TableParagraph"/>
              <w:spacing w:line="215" w:lineRule="exact" w:before="46"/>
              <w:ind w:left="210"/>
              <w:rPr>
                <w:sz w:val="20"/>
              </w:rPr>
            </w:pPr>
            <w:r>
              <w:rPr>
                <w:spacing w:val="-5"/>
                <w:sz w:val="20"/>
              </w:rPr>
              <w:t>217</w:t>
            </w:r>
          </w:p>
        </w:tc>
        <w:tc>
          <w:tcPr>
            <w:tcW w:w="3295"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6"/>
                <w:sz w:val="20"/>
              </w:rPr>
              <w:t> </w:t>
            </w:r>
            <w:r>
              <w:rPr>
                <w:spacing w:val="-2"/>
                <w:sz w:val="20"/>
              </w:rPr>
              <w:t>органе</w:t>
            </w:r>
          </w:p>
        </w:tc>
        <w:tc>
          <w:tcPr>
            <w:tcW w:w="2610" w:type="dxa"/>
          </w:tcPr>
          <w:p>
            <w:pPr>
              <w:pStyle w:val="TableParagraph"/>
              <w:spacing w:line="215" w:lineRule="exact" w:before="46"/>
              <w:ind w:right="1150"/>
              <w:jc w:val="right"/>
              <w:rPr>
                <w:sz w:val="20"/>
              </w:rPr>
            </w:pPr>
            <w:r>
              <w:rPr>
                <w:w w:val="99"/>
                <w:sz w:val="20"/>
              </w:rPr>
              <w:t>-</w:t>
            </w:r>
          </w:p>
        </w:tc>
        <w:tc>
          <w:tcPr>
            <w:tcW w:w="4882" w:type="dxa"/>
          </w:tcPr>
          <w:p>
            <w:pPr>
              <w:pStyle w:val="TableParagraph"/>
              <w:spacing w:line="215" w:lineRule="exact" w:before="46"/>
              <w:ind w:left="1147" w:right="644"/>
              <w:jc w:val="center"/>
              <w:rPr>
                <w:sz w:val="20"/>
              </w:rPr>
            </w:pPr>
            <w:r>
              <w:rPr>
                <w:sz w:val="20"/>
              </w:rPr>
              <w:t>A16.26.003,</w:t>
            </w:r>
            <w:r>
              <w:rPr>
                <w:spacing w:val="-9"/>
                <w:sz w:val="20"/>
              </w:rPr>
              <w:t> </w:t>
            </w:r>
            <w:r>
              <w:rPr>
                <w:sz w:val="20"/>
              </w:rPr>
              <w:t>A16.26.004,</w:t>
            </w:r>
            <w:r>
              <w:rPr>
                <w:spacing w:val="-10"/>
                <w:sz w:val="20"/>
              </w:rPr>
              <w:t> </w:t>
            </w:r>
            <w:r>
              <w:rPr>
                <w:spacing w:val="-2"/>
                <w:sz w:val="20"/>
              </w:rPr>
              <w:t>A16.26.006,</w:t>
            </w:r>
          </w:p>
        </w:tc>
        <w:tc>
          <w:tcPr>
            <w:tcW w:w="1571" w:type="dxa"/>
          </w:tcPr>
          <w:p>
            <w:pPr>
              <w:pStyle w:val="TableParagraph"/>
              <w:spacing w:line="215" w:lineRule="exact" w:before="46"/>
              <w:ind w:left="646"/>
              <w:rPr>
                <w:sz w:val="20"/>
              </w:rPr>
            </w:pPr>
            <w:r>
              <w:rPr>
                <w:w w:val="99"/>
                <w:sz w:val="20"/>
              </w:rPr>
              <w:t>-</w:t>
            </w:r>
          </w:p>
        </w:tc>
        <w:tc>
          <w:tcPr>
            <w:tcW w:w="1260" w:type="dxa"/>
          </w:tcPr>
          <w:p>
            <w:pPr>
              <w:pStyle w:val="TableParagraph"/>
              <w:spacing w:line="215" w:lineRule="exact" w:before="46"/>
              <w:ind w:right="45"/>
              <w:jc w:val="right"/>
              <w:rPr>
                <w:sz w:val="20"/>
              </w:rPr>
            </w:pPr>
            <w:r>
              <w:rPr>
                <w:spacing w:val="-4"/>
                <w:sz w:val="20"/>
              </w:rPr>
              <w:t>1,07</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09"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3)</w:t>
            </w: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sz w:val="20"/>
              </w:rPr>
              <w:t>A16.26.008,</w:t>
            </w:r>
            <w:r>
              <w:rPr>
                <w:spacing w:val="-9"/>
                <w:sz w:val="20"/>
              </w:rPr>
              <w:t> </w:t>
            </w:r>
            <w:r>
              <w:rPr>
                <w:spacing w:val="-2"/>
                <w:sz w:val="20"/>
              </w:rPr>
              <w:t>A16.26.008.001,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7" w:right="644"/>
              <w:jc w:val="center"/>
              <w:rPr>
                <w:sz w:val="20"/>
              </w:rPr>
            </w:pPr>
            <w:r>
              <w:rPr>
                <w:sz w:val="20"/>
              </w:rPr>
              <w:t>A16.26.009,</w:t>
            </w:r>
            <w:r>
              <w:rPr>
                <w:spacing w:val="-9"/>
                <w:sz w:val="20"/>
              </w:rPr>
              <w:t> </w:t>
            </w:r>
            <w:r>
              <w:rPr>
                <w:sz w:val="20"/>
              </w:rPr>
              <w:t>A16.26.010,</w:t>
            </w:r>
            <w:r>
              <w:rPr>
                <w:spacing w:val="-10"/>
                <w:sz w:val="20"/>
              </w:rPr>
              <w:t> </w:t>
            </w:r>
            <w:r>
              <w:rPr>
                <w:spacing w:val="-2"/>
                <w:sz w:val="20"/>
              </w:rPr>
              <w:t>A16.26.017,</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1" w:lineRule="exact"/>
              <w:ind w:left="1147" w:right="644"/>
              <w:jc w:val="center"/>
              <w:rPr>
                <w:sz w:val="20"/>
              </w:rPr>
            </w:pPr>
            <w:r>
              <w:rPr>
                <w:sz w:val="20"/>
              </w:rPr>
              <w:t>A16.26.021,</w:t>
            </w:r>
            <w:r>
              <w:rPr>
                <w:spacing w:val="-9"/>
                <w:sz w:val="20"/>
              </w:rPr>
              <w:t> </w:t>
            </w:r>
            <w:r>
              <w:rPr>
                <w:sz w:val="20"/>
              </w:rPr>
              <w:t>A16.26.028,</w:t>
            </w:r>
            <w:r>
              <w:rPr>
                <w:spacing w:val="-10"/>
                <w:sz w:val="20"/>
              </w:rPr>
              <w:t> </w:t>
            </w:r>
            <w:r>
              <w:rPr>
                <w:spacing w:val="-2"/>
                <w:sz w:val="20"/>
              </w:rPr>
              <w:t>A16.26.029,</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A16.26.030,</w:t>
            </w:r>
            <w:r>
              <w:rPr>
                <w:spacing w:val="-9"/>
                <w:sz w:val="20"/>
              </w:rPr>
              <w:t> </w:t>
            </w:r>
            <w:r>
              <w:rPr>
                <w:sz w:val="20"/>
              </w:rPr>
              <w:t>A16.26.031,</w:t>
            </w:r>
            <w:r>
              <w:rPr>
                <w:spacing w:val="-10"/>
                <w:sz w:val="20"/>
              </w:rPr>
              <w:t> </w:t>
            </w:r>
            <w:r>
              <w:rPr>
                <w:spacing w:val="-2"/>
                <w:sz w:val="20"/>
              </w:rPr>
              <w:t>A16.26.032,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A16.26.039,</w:t>
            </w:r>
            <w:r>
              <w:rPr>
                <w:spacing w:val="-9"/>
                <w:sz w:val="20"/>
              </w:rPr>
              <w:t> </w:t>
            </w:r>
            <w:r>
              <w:rPr>
                <w:sz w:val="20"/>
              </w:rPr>
              <w:t>A16.26.041,</w:t>
            </w:r>
            <w:r>
              <w:rPr>
                <w:spacing w:val="-10"/>
                <w:sz w:val="20"/>
              </w:rPr>
              <w:t> </w:t>
            </w:r>
            <w:r>
              <w:rPr>
                <w:spacing w:val="-2"/>
                <w:sz w:val="20"/>
              </w:rPr>
              <w:t>A16.26.045,</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1"/>
              <w:jc w:val="center"/>
              <w:rPr>
                <w:sz w:val="20"/>
              </w:rPr>
            </w:pPr>
            <w:r>
              <w:rPr>
                <w:w w:val="95"/>
                <w:sz w:val="20"/>
              </w:rPr>
              <w:t>A16.26.049.007,</w:t>
            </w:r>
            <w:r>
              <w:rPr>
                <w:spacing w:val="54"/>
                <w:sz w:val="20"/>
              </w:rPr>
              <w:t> </w:t>
            </w:r>
            <w:r>
              <w:rPr>
                <w:spacing w:val="-2"/>
                <w:w w:val="95"/>
                <w:sz w:val="20"/>
              </w:rPr>
              <w:t>A16.26.049.009,</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7" w:right="644"/>
              <w:jc w:val="center"/>
              <w:rPr>
                <w:sz w:val="20"/>
              </w:rPr>
            </w:pPr>
            <w:r>
              <w:rPr>
                <w:sz w:val="20"/>
              </w:rPr>
              <w:t>A16.26.057,</w:t>
            </w:r>
            <w:r>
              <w:rPr>
                <w:spacing w:val="-9"/>
                <w:sz w:val="20"/>
              </w:rPr>
              <w:t> </w:t>
            </w:r>
            <w:r>
              <w:rPr>
                <w:sz w:val="20"/>
              </w:rPr>
              <w:t>A16.26.071,</w:t>
            </w:r>
            <w:r>
              <w:rPr>
                <w:spacing w:val="-10"/>
                <w:sz w:val="20"/>
              </w:rPr>
              <w:t> </w:t>
            </w:r>
            <w:r>
              <w:rPr>
                <w:spacing w:val="-2"/>
                <w:sz w:val="20"/>
              </w:rPr>
              <w:t>A16.26.074,</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w w:val="95"/>
                <w:sz w:val="20"/>
              </w:rPr>
              <w:t>A16.26.075.001,</w:t>
            </w:r>
            <w:r>
              <w:rPr>
                <w:spacing w:val="54"/>
                <w:sz w:val="20"/>
              </w:rPr>
              <w:t> </w:t>
            </w:r>
            <w:r>
              <w:rPr>
                <w:spacing w:val="-2"/>
                <w:sz w:val="20"/>
              </w:rPr>
              <w:t>A16.26.088,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A16.26.089.001,</w:t>
            </w:r>
            <w:r>
              <w:rPr>
                <w:spacing w:val="54"/>
                <w:sz w:val="20"/>
              </w:rPr>
              <w:t> </w:t>
            </w:r>
            <w:r>
              <w:rPr>
                <w:spacing w:val="-2"/>
                <w:sz w:val="20"/>
              </w:rPr>
              <w:t>A16.26.092,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A16.26.092.001,</w:t>
            </w:r>
            <w:r>
              <w:rPr>
                <w:spacing w:val="54"/>
                <w:sz w:val="20"/>
              </w:rPr>
              <w:t> </w:t>
            </w:r>
            <w:r>
              <w:rPr>
                <w:spacing w:val="-2"/>
                <w:sz w:val="20"/>
              </w:rPr>
              <w:t>A16.26.092.004,</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A16.26.092.005,</w:t>
            </w:r>
            <w:r>
              <w:rPr>
                <w:spacing w:val="54"/>
                <w:sz w:val="20"/>
              </w:rPr>
              <w:t> </w:t>
            </w:r>
            <w:r>
              <w:rPr>
                <w:spacing w:val="-2"/>
                <w:sz w:val="20"/>
              </w:rPr>
              <w:t>A16.26.099,</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A16.26.099.002,</w:t>
            </w:r>
            <w:r>
              <w:rPr>
                <w:spacing w:val="54"/>
                <w:sz w:val="20"/>
              </w:rPr>
              <w:t> </w:t>
            </w:r>
            <w:r>
              <w:rPr>
                <w:spacing w:val="-2"/>
                <w:sz w:val="20"/>
              </w:rPr>
              <w:t>A16.26.111.001,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8" w:right="644"/>
              <w:jc w:val="center"/>
              <w:rPr>
                <w:sz w:val="20"/>
              </w:rPr>
            </w:pPr>
            <w:r>
              <w:rPr>
                <w:w w:val="95"/>
                <w:sz w:val="20"/>
              </w:rPr>
              <w:t>A16.26.111.002,</w:t>
            </w:r>
            <w:r>
              <w:rPr>
                <w:spacing w:val="54"/>
                <w:sz w:val="20"/>
              </w:rPr>
              <w:t> </w:t>
            </w:r>
            <w:r>
              <w:rPr>
                <w:spacing w:val="-2"/>
                <w:sz w:val="20"/>
              </w:rPr>
              <w:t>A16.26.111.003,</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w w:val="95"/>
                <w:sz w:val="20"/>
              </w:rPr>
              <w:t>A16.26.111.004,</w:t>
            </w:r>
            <w:r>
              <w:rPr>
                <w:spacing w:val="54"/>
                <w:sz w:val="20"/>
              </w:rPr>
              <w:t> </w:t>
            </w:r>
            <w:r>
              <w:rPr>
                <w:spacing w:val="-2"/>
                <w:sz w:val="20"/>
              </w:rPr>
              <w:t>A16.26.117,</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A16.26.117.001,</w:t>
            </w:r>
            <w:r>
              <w:rPr>
                <w:spacing w:val="54"/>
                <w:sz w:val="20"/>
              </w:rPr>
              <w:t> </w:t>
            </w:r>
            <w:r>
              <w:rPr>
                <w:spacing w:val="-2"/>
                <w:sz w:val="20"/>
              </w:rPr>
              <w:t>A16.26.118,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A16.26.134,</w:t>
            </w:r>
            <w:r>
              <w:rPr>
                <w:spacing w:val="-9"/>
                <w:sz w:val="20"/>
              </w:rPr>
              <w:t> </w:t>
            </w:r>
            <w:r>
              <w:rPr>
                <w:sz w:val="20"/>
              </w:rPr>
              <w:t>A16.26.140,</w:t>
            </w:r>
            <w:r>
              <w:rPr>
                <w:spacing w:val="-10"/>
                <w:sz w:val="20"/>
              </w:rPr>
              <w:t> </w:t>
            </w:r>
            <w:r>
              <w:rPr>
                <w:spacing w:val="-2"/>
                <w:sz w:val="20"/>
              </w:rPr>
              <w:t>A16.26.141,</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A16.26.142,</w:t>
            </w:r>
            <w:r>
              <w:rPr>
                <w:spacing w:val="-9"/>
                <w:sz w:val="20"/>
              </w:rPr>
              <w:t> </w:t>
            </w:r>
            <w:r>
              <w:rPr>
                <w:sz w:val="20"/>
              </w:rPr>
              <w:t>A22.26.010,</w:t>
            </w:r>
            <w:r>
              <w:rPr>
                <w:spacing w:val="-10"/>
                <w:sz w:val="20"/>
              </w:rPr>
              <w:t> </w:t>
            </w:r>
            <w:r>
              <w:rPr>
                <w:spacing w:val="-2"/>
                <w:sz w:val="20"/>
              </w:rPr>
              <w:t>A22.26.027,</w:t>
            </w:r>
          </w:p>
        </w:tc>
        <w:tc>
          <w:tcPr>
            <w:tcW w:w="1571"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295" w:type="dxa"/>
          </w:tcPr>
          <w:p>
            <w:pPr>
              <w:pStyle w:val="TableParagraph"/>
              <w:rPr>
                <w:sz w:val="18"/>
              </w:rPr>
            </w:pPr>
          </w:p>
        </w:tc>
        <w:tc>
          <w:tcPr>
            <w:tcW w:w="2610" w:type="dxa"/>
          </w:tcPr>
          <w:p>
            <w:pPr>
              <w:pStyle w:val="TableParagraph"/>
              <w:rPr>
                <w:sz w:val="18"/>
              </w:rPr>
            </w:pPr>
          </w:p>
        </w:tc>
        <w:tc>
          <w:tcPr>
            <w:tcW w:w="4882" w:type="dxa"/>
          </w:tcPr>
          <w:p>
            <w:pPr>
              <w:pStyle w:val="TableParagraph"/>
              <w:spacing w:line="226" w:lineRule="exact"/>
              <w:ind w:left="1149" w:right="640"/>
              <w:jc w:val="center"/>
              <w:rPr>
                <w:sz w:val="20"/>
              </w:rPr>
            </w:pPr>
            <w:r>
              <w:rPr>
                <w:spacing w:val="-2"/>
                <w:sz w:val="20"/>
              </w:rPr>
              <w:t>A22.26.031</w:t>
            </w:r>
          </w:p>
        </w:tc>
        <w:tc>
          <w:tcPr>
            <w:tcW w:w="1571"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st21.004</w:t>
            </w:r>
          </w:p>
        </w:tc>
        <w:tc>
          <w:tcPr>
            <w:tcW w:w="707" w:type="dxa"/>
          </w:tcPr>
          <w:p>
            <w:pPr>
              <w:pStyle w:val="TableParagraph"/>
              <w:spacing w:line="215" w:lineRule="exact" w:before="45"/>
              <w:ind w:left="210"/>
              <w:rPr>
                <w:sz w:val="20"/>
              </w:rPr>
            </w:pPr>
            <w:r>
              <w:rPr>
                <w:spacing w:val="-5"/>
                <w:sz w:val="20"/>
              </w:rPr>
              <w:t>218</w:t>
            </w:r>
          </w:p>
        </w:tc>
        <w:tc>
          <w:tcPr>
            <w:tcW w:w="3295"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0" w:type="dxa"/>
          </w:tcPr>
          <w:p>
            <w:pPr>
              <w:pStyle w:val="TableParagraph"/>
              <w:spacing w:line="215" w:lineRule="exact" w:before="45"/>
              <w:ind w:right="1150"/>
              <w:jc w:val="right"/>
              <w:rPr>
                <w:sz w:val="20"/>
              </w:rPr>
            </w:pPr>
            <w:r>
              <w:rPr>
                <w:w w:val="99"/>
                <w:sz w:val="20"/>
              </w:rPr>
              <w:t>-</w:t>
            </w:r>
          </w:p>
        </w:tc>
        <w:tc>
          <w:tcPr>
            <w:tcW w:w="4882" w:type="dxa"/>
          </w:tcPr>
          <w:p>
            <w:pPr>
              <w:pStyle w:val="TableParagraph"/>
              <w:spacing w:line="215" w:lineRule="exact" w:before="45"/>
              <w:ind w:left="1148" w:right="644"/>
              <w:jc w:val="center"/>
              <w:rPr>
                <w:sz w:val="20"/>
              </w:rPr>
            </w:pPr>
            <w:r>
              <w:rPr>
                <w:w w:val="95"/>
                <w:sz w:val="20"/>
              </w:rPr>
              <w:t>A16.26.009.001,</w:t>
            </w:r>
            <w:r>
              <w:rPr>
                <w:spacing w:val="54"/>
                <w:sz w:val="20"/>
              </w:rPr>
              <w:t> </w:t>
            </w:r>
            <w:r>
              <w:rPr>
                <w:spacing w:val="-2"/>
                <w:sz w:val="20"/>
              </w:rPr>
              <w:t>A16.26.009.002,</w:t>
            </w:r>
          </w:p>
        </w:tc>
        <w:tc>
          <w:tcPr>
            <w:tcW w:w="1571"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1,19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4)</w:t>
            </w:r>
          </w:p>
        </w:tc>
        <w:tc>
          <w:tcPr>
            <w:tcW w:w="2610"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A16.26.010.001,</w:t>
            </w:r>
            <w:r>
              <w:rPr>
                <w:spacing w:val="54"/>
                <w:sz w:val="20"/>
              </w:rPr>
              <w:t> </w:t>
            </w:r>
            <w:r>
              <w:rPr>
                <w:spacing w:val="-2"/>
                <w:sz w:val="20"/>
              </w:rPr>
              <w:t>A16.26.010.002,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2"/>
              <w:jc w:val="center"/>
              <w:rPr>
                <w:sz w:val="20"/>
              </w:rPr>
            </w:pPr>
            <w:r>
              <w:rPr>
                <w:sz w:val="20"/>
              </w:rPr>
              <w:t>A16.26.019,</w:t>
            </w:r>
            <w:r>
              <w:rPr>
                <w:spacing w:val="-8"/>
                <w:sz w:val="20"/>
              </w:rPr>
              <w:t> </w:t>
            </w:r>
            <w:r>
              <w:rPr>
                <w:sz w:val="20"/>
              </w:rPr>
              <w:t>A16.26.027,</w:t>
            </w:r>
            <w:r>
              <w:rPr>
                <w:spacing w:val="-8"/>
                <w:sz w:val="20"/>
              </w:rPr>
              <w:t> </w:t>
            </w:r>
            <w:r>
              <w:rPr>
                <w:spacing w:val="-2"/>
                <w:sz w:val="20"/>
              </w:rPr>
              <w:t>A16.26.038,</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sz w:val="20"/>
              </w:rPr>
              <w:t>A16.26.040,</w:t>
            </w:r>
            <w:r>
              <w:rPr>
                <w:spacing w:val="-9"/>
                <w:sz w:val="20"/>
              </w:rPr>
              <w:t> </w:t>
            </w:r>
            <w:r>
              <w:rPr>
                <w:spacing w:val="-2"/>
                <w:sz w:val="20"/>
              </w:rPr>
              <w:t>A16.26.065.001,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7" w:right="644"/>
              <w:jc w:val="center"/>
              <w:rPr>
                <w:sz w:val="20"/>
              </w:rPr>
            </w:pPr>
            <w:r>
              <w:rPr>
                <w:sz w:val="20"/>
              </w:rPr>
              <w:t>A16.26.081,</w:t>
            </w:r>
            <w:r>
              <w:rPr>
                <w:spacing w:val="-9"/>
                <w:sz w:val="20"/>
              </w:rPr>
              <w:t> </w:t>
            </w:r>
            <w:r>
              <w:rPr>
                <w:sz w:val="20"/>
              </w:rPr>
              <w:t>A16.26.082,</w:t>
            </w:r>
            <w:r>
              <w:rPr>
                <w:spacing w:val="-10"/>
                <w:sz w:val="20"/>
              </w:rPr>
              <w:t> </w:t>
            </w:r>
            <w:r>
              <w:rPr>
                <w:spacing w:val="-2"/>
                <w:sz w:val="20"/>
              </w:rPr>
              <w:t>A16.26.086,</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1" w:lineRule="exact"/>
              <w:ind w:left="1149" w:right="644"/>
              <w:jc w:val="center"/>
              <w:rPr>
                <w:sz w:val="20"/>
              </w:rPr>
            </w:pPr>
            <w:r>
              <w:rPr>
                <w:sz w:val="20"/>
              </w:rPr>
              <w:t>A16.26.091,</w:t>
            </w:r>
            <w:r>
              <w:rPr>
                <w:spacing w:val="-9"/>
                <w:sz w:val="20"/>
              </w:rPr>
              <w:t> </w:t>
            </w:r>
            <w:r>
              <w:rPr>
                <w:spacing w:val="-2"/>
                <w:sz w:val="20"/>
              </w:rPr>
              <w:t>A16.26.092.002,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A16.26.093,</w:t>
            </w:r>
            <w:r>
              <w:rPr>
                <w:spacing w:val="-9"/>
                <w:sz w:val="20"/>
              </w:rPr>
              <w:t> </w:t>
            </w:r>
            <w:r>
              <w:rPr>
                <w:sz w:val="20"/>
              </w:rPr>
              <w:t>A16.26.094,</w:t>
            </w:r>
            <w:r>
              <w:rPr>
                <w:spacing w:val="-10"/>
                <w:sz w:val="20"/>
              </w:rPr>
              <w:t> </w:t>
            </w:r>
            <w:r>
              <w:rPr>
                <w:spacing w:val="-2"/>
                <w:sz w:val="20"/>
              </w:rPr>
              <w:t>A16.26.095,</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A16.26.099.001,</w:t>
            </w:r>
            <w:r>
              <w:rPr>
                <w:spacing w:val="54"/>
                <w:sz w:val="20"/>
              </w:rPr>
              <w:t> </w:t>
            </w:r>
            <w:r>
              <w:rPr>
                <w:spacing w:val="-2"/>
                <w:sz w:val="20"/>
              </w:rPr>
              <w:t>A16.26.102,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2"/>
              <w:jc w:val="center"/>
              <w:rPr>
                <w:sz w:val="20"/>
              </w:rPr>
            </w:pPr>
            <w:r>
              <w:rPr>
                <w:sz w:val="20"/>
              </w:rPr>
              <w:t>A16.26.106,</w:t>
            </w:r>
            <w:r>
              <w:rPr>
                <w:spacing w:val="-9"/>
                <w:sz w:val="20"/>
              </w:rPr>
              <w:t> </w:t>
            </w:r>
            <w:r>
              <w:rPr>
                <w:spacing w:val="-2"/>
                <w:sz w:val="20"/>
              </w:rPr>
              <w:t>A16.26.111,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8" w:right="644"/>
              <w:jc w:val="center"/>
              <w:rPr>
                <w:sz w:val="20"/>
              </w:rPr>
            </w:pPr>
            <w:r>
              <w:rPr>
                <w:w w:val="95"/>
                <w:sz w:val="20"/>
              </w:rPr>
              <w:t>A16.26.111.005,</w:t>
            </w:r>
            <w:r>
              <w:rPr>
                <w:spacing w:val="54"/>
                <w:sz w:val="20"/>
              </w:rPr>
              <w:t> </w:t>
            </w:r>
            <w:r>
              <w:rPr>
                <w:spacing w:val="-2"/>
                <w:sz w:val="20"/>
              </w:rPr>
              <w:t>A16.26.111.006,</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0"/>
              <w:jc w:val="center"/>
              <w:rPr>
                <w:sz w:val="20"/>
              </w:rPr>
            </w:pPr>
            <w:r>
              <w:rPr>
                <w:w w:val="95"/>
                <w:sz w:val="20"/>
              </w:rPr>
              <w:t>A16.26.111.007,</w:t>
            </w:r>
            <w:r>
              <w:rPr>
                <w:spacing w:val="54"/>
                <w:sz w:val="20"/>
              </w:rPr>
              <w:t> </w:t>
            </w:r>
            <w:r>
              <w:rPr>
                <w:spacing w:val="-2"/>
                <w:w w:val="95"/>
                <w:sz w:val="20"/>
              </w:rPr>
              <w:t>A16.26.111.008,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A16.26.111.009,</w:t>
            </w:r>
            <w:r>
              <w:rPr>
                <w:spacing w:val="54"/>
                <w:sz w:val="20"/>
              </w:rPr>
              <w:t> </w:t>
            </w:r>
            <w:r>
              <w:rPr>
                <w:spacing w:val="-2"/>
                <w:sz w:val="20"/>
              </w:rPr>
              <w:t>A16.26.113,</w:t>
            </w:r>
          </w:p>
        </w:tc>
        <w:tc>
          <w:tcPr>
            <w:tcW w:w="1571"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5" w:lineRule="exact"/>
              <w:ind w:left="1147" w:right="644"/>
              <w:jc w:val="center"/>
              <w:rPr>
                <w:sz w:val="20"/>
              </w:rPr>
            </w:pPr>
            <w:r>
              <w:rPr>
                <w:sz w:val="20"/>
              </w:rPr>
              <w:t>A16.26.114,</w:t>
            </w:r>
            <w:r>
              <w:rPr>
                <w:spacing w:val="-9"/>
                <w:sz w:val="20"/>
              </w:rPr>
              <w:t> </w:t>
            </w:r>
            <w:r>
              <w:rPr>
                <w:sz w:val="20"/>
              </w:rPr>
              <w:t>A16.26.115,</w:t>
            </w:r>
            <w:r>
              <w:rPr>
                <w:spacing w:val="-10"/>
                <w:sz w:val="20"/>
              </w:rPr>
              <w:t> </w:t>
            </w:r>
            <w:r>
              <w:rPr>
                <w:spacing w:val="-2"/>
                <w:sz w:val="20"/>
              </w:rPr>
              <w:t>A16.26.125,</w:t>
            </w:r>
          </w:p>
        </w:tc>
        <w:tc>
          <w:tcPr>
            <w:tcW w:w="1571"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304"/>
        <w:gridCol w:w="4592"/>
        <w:gridCol w:w="3892"/>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304" w:type="dxa"/>
            <w:vMerge w:val="restart"/>
          </w:tcPr>
          <w:p>
            <w:pPr>
              <w:pStyle w:val="TableParagraph"/>
              <w:rPr>
                <w:sz w:val="18"/>
              </w:rPr>
            </w:pPr>
          </w:p>
        </w:tc>
        <w:tc>
          <w:tcPr>
            <w:tcW w:w="4592" w:type="dxa"/>
            <w:vMerge w:val="restart"/>
          </w:tcPr>
          <w:p>
            <w:pPr>
              <w:pStyle w:val="TableParagraph"/>
              <w:rPr>
                <w:sz w:val="18"/>
              </w:rPr>
            </w:pPr>
          </w:p>
        </w:tc>
        <w:tc>
          <w:tcPr>
            <w:tcW w:w="3892" w:type="dxa"/>
          </w:tcPr>
          <w:p>
            <w:pPr>
              <w:pStyle w:val="TableParagraph"/>
              <w:spacing w:line="205" w:lineRule="exact"/>
              <w:ind w:left="161" w:right="645"/>
              <w:jc w:val="center"/>
              <w:rPr>
                <w:sz w:val="20"/>
              </w:rPr>
            </w:pPr>
            <w:r>
              <w:rPr>
                <w:sz w:val="20"/>
              </w:rPr>
              <w:t>A16.26.127,</w:t>
            </w:r>
            <w:r>
              <w:rPr>
                <w:spacing w:val="-9"/>
                <w:sz w:val="20"/>
              </w:rPr>
              <w:t> </w:t>
            </w:r>
            <w:r>
              <w:rPr>
                <w:spacing w:val="-2"/>
                <w:sz w:val="20"/>
              </w:rPr>
              <w:t>A16.26.127.001,</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04" w:type="dxa"/>
            <w:vMerge/>
            <w:tcBorders>
              <w:top w:val="nil"/>
            </w:tcBorders>
          </w:tcPr>
          <w:p>
            <w:pPr>
              <w:rPr>
                <w:sz w:val="2"/>
                <w:szCs w:val="2"/>
              </w:rPr>
            </w:pPr>
          </w:p>
        </w:tc>
        <w:tc>
          <w:tcPr>
            <w:tcW w:w="4592" w:type="dxa"/>
            <w:vMerge/>
            <w:tcBorders>
              <w:top w:val="nil"/>
            </w:tcBorders>
          </w:tcPr>
          <w:p>
            <w:pPr>
              <w:rPr>
                <w:sz w:val="2"/>
                <w:szCs w:val="2"/>
              </w:rPr>
            </w:pPr>
          </w:p>
        </w:tc>
        <w:tc>
          <w:tcPr>
            <w:tcW w:w="3892" w:type="dxa"/>
          </w:tcPr>
          <w:p>
            <w:pPr>
              <w:pStyle w:val="TableParagraph"/>
              <w:spacing w:line="209" w:lineRule="exact"/>
              <w:ind w:left="161" w:right="645"/>
              <w:jc w:val="center"/>
              <w:rPr>
                <w:sz w:val="20"/>
              </w:rPr>
            </w:pPr>
            <w:r>
              <w:rPr>
                <w:w w:val="95"/>
                <w:sz w:val="20"/>
              </w:rPr>
              <w:t>A16.26.127.002,</w:t>
            </w:r>
            <w:r>
              <w:rPr>
                <w:spacing w:val="54"/>
                <w:sz w:val="20"/>
              </w:rPr>
              <w:t> </w:t>
            </w:r>
            <w:r>
              <w:rPr>
                <w:spacing w:val="-2"/>
                <w:sz w:val="20"/>
              </w:rPr>
              <w:t>A16.26.128,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04" w:type="dxa"/>
            <w:vMerge/>
            <w:tcBorders>
              <w:top w:val="nil"/>
            </w:tcBorders>
          </w:tcPr>
          <w:p>
            <w:pPr>
              <w:rPr>
                <w:sz w:val="2"/>
                <w:szCs w:val="2"/>
              </w:rPr>
            </w:pPr>
          </w:p>
        </w:tc>
        <w:tc>
          <w:tcPr>
            <w:tcW w:w="4592" w:type="dxa"/>
            <w:vMerge/>
            <w:tcBorders>
              <w:top w:val="nil"/>
            </w:tcBorders>
          </w:tcPr>
          <w:p>
            <w:pPr>
              <w:rPr>
                <w:sz w:val="2"/>
                <w:szCs w:val="2"/>
              </w:rPr>
            </w:pPr>
          </w:p>
        </w:tc>
        <w:tc>
          <w:tcPr>
            <w:tcW w:w="3892" w:type="dxa"/>
          </w:tcPr>
          <w:p>
            <w:pPr>
              <w:pStyle w:val="TableParagraph"/>
              <w:spacing w:line="209" w:lineRule="exact"/>
              <w:ind w:left="161" w:right="647"/>
              <w:jc w:val="center"/>
              <w:rPr>
                <w:sz w:val="20"/>
              </w:rPr>
            </w:pPr>
            <w:r>
              <w:rPr>
                <w:sz w:val="20"/>
              </w:rPr>
              <w:t>A16.26.130,</w:t>
            </w:r>
            <w:r>
              <w:rPr>
                <w:spacing w:val="-9"/>
                <w:sz w:val="20"/>
              </w:rPr>
              <w:t> </w:t>
            </w:r>
            <w:r>
              <w:rPr>
                <w:sz w:val="20"/>
              </w:rPr>
              <w:t>A16.26.131,</w:t>
            </w:r>
            <w:r>
              <w:rPr>
                <w:spacing w:val="-10"/>
                <w:sz w:val="20"/>
              </w:rPr>
              <w:t> </w:t>
            </w:r>
            <w:r>
              <w:rPr>
                <w:spacing w:val="-2"/>
                <w:sz w:val="20"/>
              </w:rPr>
              <w:t>A16.26.146,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04" w:type="dxa"/>
            <w:vMerge/>
            <w:tcBorders>
              <w:top w:val="nil"/>
            </w:tcBorders>
          </w:tcPr>
          <w:p>
            <w:pPr>
              <w:rPr>
                <w:sz w:val="2"/>
                <w:szCs w:val="2"/>
              </w:rPr>
            </w:pPr>
          </w:p>
        </w:tc>
        <w:tc>
          <w:tcPr>
            <w:tcW w:w="4592" w:type="dxa"/>
            <w:vMerge/>
            <w:tcBorders>
              <w:top w:val="nil"/>
            </w:tcBorders>
          </w:tcPr>
          <w:p>
            <w:pPr>
              <w:rPr>
                <w:sz w:val="2"/>
                <w:szCs w:val="2"/>
              </w:rPr>
            </w:pPr>
          </w:p>
        </w:tc>
        <w:tc>
          <w:tcPr>
            <w:tcW w:w="3892" w:type="dxa"/>
          </w:tcPr>
          <w:p>
            <w:pPr>
              <w:pStyle w:val="TableParagraph"/>
              <w:spacing w:line="226" w:lineRule="exact"/>
              <w:ind w:left="161" w:right="645"/>
              <w:jc w:val="center"/>
              <w:rPr>
                <w:sz w:val="20"/>
              </w:rPr>
            </w:pPr>
            <w:r>
              <w:rPr>
                <w:sz w:val="20"/>
              </w:rPr>
              <w:t>A22.26.014,</w:t>
            </w:r>
            <w:r>
              <w:rPr>
                <w:spacing w:val="-9"/>
                <w:sz w:val="20"/>
              </w:rPr>
              <w:t> </w:t>
            </w:r>
            <w:r>
              <w:rPr>
                <w:sz w:val="20"/>
              </w:rPr>
              <w:t>A22.26.015,</w:t>
            </w:r>
            <w:r>
              <w:rPr>
                <w:spacing w:val="-10"/>
                <w:sz w:val="20"/>
              </w:rPr>
              <w:t> </w:t>
            </w:r>
            <w:r>
              <w:rPr>
                <w:spacing w:val="-2"/>
                <w:sz w:val="20"/>
              </w:rPr>
              <w:t>A22.26.028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st21.005</w:t>
            </w:r>
          </w:p>
        </w:tc>
        <w:tc>
          <w:tcPr>
            <w:tcW w:w="707" w:type="dxa"/>
          </w:tcPr>
          <w:p>
            <w:pPr>
              <w:pStyle w:val="TableParagraph"/>
              <w:spacing w:line="215" w:lineRule="exact" w:before="46"/>
              <w:ind w:left="210"/>
              <w:rPr>
                <w:sz w:val="20"/>
              </w:rPr>
            </w:pPr>
            <w:r>
              <w:rPr>
                <w:spacing w:val="-5"/>
                <w:sz w:val="20"/>
              </w:rPr>
              <w:t>219</w:t>
            </w:r>
          </w:p>
        </w:tc>
        <w:tc>
          <w:tcPr>
            <w:tcW w:w="230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4592" w:type="dxa"/>
          </w:tcPr>
          <w:p>
            <w:pPr>
              <w:pStyle w:val="TableParagraph"/>
              <w:spacing w:line="215" w:lineRule="exact" w:before="46"/>
              <w:ind w:left="238"/>
              <w:jc w:val="center"/>
              <w:rPr>
                <w:sz w:val="20"/>
              </w:rPr>
            </w:pPr>
            <w:r>
              <w:rPr>
                <w:w w:val="99"/>
                <w:sz w:val="20"/>
              </w:rPr>
              <w:t>-</w:t>
            </w:r>
          </w:p>
        </w:tc>
        <w:tc>
          <w:tcPr>
            <w:tcW w:w="3892" w:type="dxa"/>
          </w:tcPr>
          <w:p>
            <w:pPr>
              <w:pStyle w:val="TableParagraph"/>
              <w:spacing w:line="215" w:lineRule="exact" w:before="46"/>
              <w:ind w:left="161" w:right="646"/>
              <w:jc w:val="center"/>
              <w:rPr>
                <w:sz w:val="20"/>
              </w:rPr>
            </w:pPr>
            <w:r>
              <w:rPr>
                <w:w w:val="95"/>
                <w:sz w:val="20"/>
              </w:rPr>
              <w:t>A16.26.021.001,</w:t>
            </w:r>
            <w:r>
              <w:rPr>
                <w:spacing w:val="54"/>
                <w:sz w:val="20"/>
              </w:rPr>
              <w:t> </w:t>
            </w:r>
            <w:r>
              <w:rPr>
                <w:spacing w:val="-2"/>
                <w:sz w:val="20"/>
              </w:rPr>
              <w:t>A16.26.041.001,</w:t>
            </w:r>
          </w:p>
        </w:tc>
        <w:tc>
          <w:tcPr>
            <w:tcW w:w="1574"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2,11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spacing w:line="209"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5)</w:t>
            </w:r>
          </w:p>
        </w:tc>
        <w:tc>
          <w:tcPr>
            <w:tcW w:w="4592" w:type="dxa"/>
          </w:tcPr>
          <w:p>
            <w:pPr>
              <w:pStyle w:val="TableParagraph"/>
              <w:rPr>
                <w:sz w:val="16"/>
              </w:rPr>
            </w:pPr>
          </w:p>
        </w:tc>
        <w:tc>
          <w:tcPr>
            <w:tcW w:w="3892" w:type="dxa"/>
          </w:tcPr>
          <w:p>
            <w:pPr>
              <w:pStyle w:val="TableParagraph"/>
              <w:spacing w:line="209" w:lineRule="exact"/>
              <w:ind w:left="161" w:right="643"/>
              <w:jc w:val="center"/>
              <w:rPr>
                <w:sz w:val="20"/>
              </w:rPr>
            </w:pPr>
            <w:r>
              <w:rPr>
                <w:sz w:val="20"/>
              </w:rPr>
              <w:t>A16.26.047,</w:t>
            </w:r>
            <w:r>
              <w:rPr>
                <w:spacing w:val="-9"/>
                <w:sz w:val="20"/>
              </w:rPr>
              <w:t> </w:t>
            </w:r>
            <w:r>
              <w:rPr>
                <w:spacing w:val="-2"/>
                <w:sz w:val="20"/>
              </w:rPr>
              <w:t>A16.26.048,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A16.26.049.006,</w:t>
            </w:r>
            <w:r>
              <w:rPr>
                <w:spacing w:val="54"/>
                <w:sz w:val="20"/>
              </w:rPr>
              <w:t> </w:t>
            </w:r>
            <w:r>
              <w:rPr>
                <w:spacing w:val="-2"/>
                <w:sz w:val="20"/>
              </w:rPr>
              <w:t>A16.26.049.008,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1" w:lineRule="exact"/>
              <w:ind w:left="161" w:right="645"/>
              <w:jc w:val="center"/>
              <w:rPr>
                <w:sz w:val="20"/>
              </w:rPr>
            </w:pPr>
            <w:r>
              <w:rPr>
                <w:w w:val="95"/>
                <w:sz w:val="20"/>
              </w:rPr>
              <w:t>A16.26.086.001,</w:t>
            </w:r>
            <w:r>
              <w:rPr>
                <w:spacing w:val="54"/>
                <w:sz w:val="20"/>
              </w:rPr>
              <w:t> </w:t>
            </w:r>
            <w:r>
              <w:rPr>
                <w:spacing w:val="-2"/>
                <w:sz w:val="20"/>
              </w:rPr>
              <w:t>A16.26.087,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6"/>
              <w:jc w:val="center"/>
              <w:rPr>
                <w:sz w:val="20"/>
              </w:rPr>
            </w:pPr>
            <w:r>
              <w:rPr>
                <w:w w:val="95"/>
                <w:sz w:val="20"/>
              </w:rPr>
              <w:t>A16.26.092.003,</w:t>
            </w:r>
            <w:r>
              <w:rPr>
                <w:spacing w:val="54"/>
                <w:sz w:val="20"/>
              </w:rPr>
              <w:t> </w:t>
            </w:r>
            <w:r>
              <w:rPr>
                <w:spacing w:val="-2"/>
                <w:sz w:val="20"/>
              </w:rPr>
              <w:t>A16.26.093.002,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A16.26.094.001,</w:t>
            </w:r>
            <w:r>
              <w:rPr>
                <w:spacing w:val="54"/>
                <w:sz w:val="20"/>
              </w:rPr>
              <w:t> </w:t>
            </w:r>
            <w:r>
              <w:rPr>
                <w:spacing w:val="-2"/>
                <w:sz w:val="20"/>
              </w:rPr>
              <w:t>A16.26.100,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3"/>
              <w:jc w:val="center"/>
              <w:rPr>
                <w:sz w:val="20"/>
              </w:rPr>
            </w:pPr>
            <w:r>
              <w:rPr>
                <w:sz w:val="20"/>
              </w:rPr>
              <w:t>A16.26.101,</w:t>
            </w:r>
            <w:r>
              <w:rPr>
                <w:spacing w:val="-9"/>
                <w:sz w:val="20"/>
              </w:rPr>
              <w:t> </w:t>
            </w:r>
            <w:r>
              <w:rPr>
                <w:spacing w:val="-2"/>
                <w:sz w:val="20"/>
              </w:rPr>
              <w:t>A16.26.103,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A16.26.103.001,</w:t>
            </w:r>
            <w:r>
              <w:rPr>
                <w:spacing w:val="54"/>
                <w:sz w:val="20"/>
              </w:rPr>
              <w:t> </w:t>
            </w:r>
            <w:r>
              <w:rPr>
                <w:spacing w:val="-2"/>
                <w:sz w:val="20"/>
              </w:rPr>
              <w:t>A16.26.103.002,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1"/>
              <w:jc w:val="center"/>
              <w:rPr>
                <w:sz w:val="20"/>
              </w:rPr>
            </w:pPr>
            <w:r>
              <w:rPr>
                <w:w w:val="95"/>
                <w:sz w:val="20"/>
              </w:rPr>
              <w:t>A16.26.103.003,</w:t>
            </w:r>
            <w:r>
              <w:rPr>
                <w:spacing w:val="54"/>
                <w:sz w:val="20"/>
              </w:rPr>
              <w:t> </w:t>
            </w:r>
            <w:r>
              <w:rPr>
                <w:spacing w:val="-2"/>
                <w:sz w:val="20"/>
              </w:rPr>
              <w:t>A16.26.104,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3"/>
              <w:jc w:val="center"/>
              <w:rPr>
                <w:sz w:val="20"/>
              </w:rPr>
            </w:pPr>
            <w:r>
              <w:rPr>
                <w:sz w:val="20"/>
              </w:rPr>
              <w:t>A16.26.105,</w:t>
            </w:r>
            <w:r>
              <w:rPr>
                <w:spacing w:val="-9"/>
                <w:sz w:val="20"/>
              </w:rPr>
              <w:t> </w:t>
            </w:r>
            <w:r>
              <w:rPr>
                <w:spacing w:val="-2"/>
                <w:sz w:val="20"/>
              </w:rPr>
              <w:t>A16.26.107,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A16.26.107.001,</w:t>
            </w:r>
            <w:r>
              <w:rPr>
                <w:spacing w:val="54"/>
                <w:sz w:val="20"/>
              </w:rPr>
              <w:t> </w:t>
            </w:r>
            <w:r>
              <w:rPr>
                <w:spacing w:val="-2"/>
                <w:sz w:val="20"/>
              </w:rPr>
              <w:t>A16.26.108,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A16.26.128.001,</w:t>
            </w:r>
            <w:r>
              <w:rPr>
                <w:spacing w:val="54"/>
                <w:sz w:val="20"/>
              </w:rPr>
              <w:t> </w:t>
            </w:r>
            <w:r>
              <w:rPr>
                <w:spacing w:val="-2"/>
                <w:sz w:val="20"/>
              </w:rPr>
              <w:t>A16.26.145,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7"/>
              <w:jc w:val="center"/>
              <w:rPr>
                <w:sz w:val="20"/>
              </w:rPr>
            </w:pPr>
            <w:r>
              <w:rPr>
                <w:sz w:val="20"/>
              </w:rPr>
              <w:t>A16.26.150,</w:t>
            </w:r>
            <w:r>
              <w:rPr>
                <w:spacing w:val="-9"/>
                <w:sz w:val="20"/>
              </w:rPr>
              <w:t> </w:t>
            </w:r>
            <w:r>
              <w:rPr>
                <w:sz w:val="20"/>
              </w:rPr>
              <w:t>A16.26.151,</w:t>
            </w:r>
            <w:r>
              <w:rPr>
                <w:spacing w:val="-10"/>
                <w:sz w:val="20"/>
              </w:rPr>
              <w:t> </w:t>
            </w:r>
            <w:r>
              <w:rPr>
                <w:spacing w:val="-2"/>
                <w:sz w:val="20"/>
              </w:rPr>
              <w:t>A16.26.153,</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304" w:type="dxa"/>
          </w:tcPr>
          <w:p>
            <w:pPr>
              <w:pStyle w:val="TableParagraph"/>
              <w:rPr>
                <w:sz w:val="18"/>
              </w:rPr>
            </w:pPr>
          </w:p>
        </w:tc>
        <w:tc>
          <w:tcPr>
            <w:tcW w:w="4592" w:type="dxa"/>
          </w:tcPr>
          <w:p>
            <w:pPr>
              <w:pStyle w:val="TableParagraph"/>
              <w:rPr>
                <w:sz w:val="18"/>
              </w:rPr>
            </w:pPr>
          </w:p>
        </w:tc>
        <w:tc>
          <w:tcPr>
            <w:tcW w:w="3892" w:type="dxa"/>
          </w:tcPr>
          <w:p>
            <w:pPr>
              <w:pStyle w:val="TableParagraph"/>
              <w:spacing w:line="226" w:lineRule="exact"/>
              <w:ind w:left="161" w:right="641"/>
              <w:jc w:val="center"/>
              <w:rPr>
                <w:sz w:val="20"/>
              </w:rPr>
            </w:pPr>
            <w:r>
              <w:rPr>
                <w:spacing w:val="-2"/>
                <w:sz w:val="20"/>
              </w:rPr>
              <w:t>A22.26.017</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st21.006</w:t>
            </w:r>
          </w:p>
        </w:tc>
        <w:tc>
          <w:tcPr>
            <w:tcW w:w="707" w:type="dxa"/>
          </w:tcPr>
          <w:p>
            <w:pPr>
              <w:pStyle w:val="TableParagraph"/>
              <w:spacing w:line="215" w:lineRule="exact" w:before="45"/>
              <w:ind w:left="210"/>
              <w:rPr>
                <w:sz w:val="20"/>
              </w:rPr>
            </w:pPr>
            <w:r>
              <w:rPr>
                <w:spacing w:val="-5"/>
                <w:sz w:val="20"/>
              </w:rPr>
              <w:t>220</w:t>
            </w:r>
          </w:p>
        </w:tc>
        <w:tc>
          <w:tcPr>
            <w:tcW w:w="230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4592" w:type="dxa"/>
          </w:tcPr>
          <w:p>
            <w:pPr>
              <w:pStyle w:val="TableParagraph"/>
              <w:spacing w:line="215" w:lineRule="exact" w:before="45"/>
              <w:ind w:left="238"/>
              <w:jc w:val="center"/>
              <w:rPr>
                <w:sz w:val="20"/>
              </w:rPr>
            </w:pPr>
            <w:r>
              <w:rPr>
                <w:w w:val="99"/>
                <w:sz w:val="20"/>
              </w:rPr>
              <w:t>-</w:t>
            </w:r>
          </w:p>
        </w:tc>
        <w:tc>
          <w:tcPr>
            <w:tcW w:w="3892" w:type="dxa"/>
          </w:tcPr>
          <w:p>
            <w:pPr>
              <w:pStyle w:val="TableParagraph"/>
              <w:spacing w:line="215" w:lineRule="exact" w:before="45"/>
              <w:ind w:left="161" w:right="646"/>
              <w:jc w:val="center"/>
              <w:rPr>
                <w:sz w:val="20"/>
              </w:rPr>
            </w:pPr>
            <w:r>
              <w:rPr>
                <w:w w:val="95"/>
                <w:sz w:val="20"/>
              </w:rPr>
              <w:t>A16.26.046.001,</w:t>
            </w:r>
            <w:r>
              <w:rPr>
                <w:spacing w:val="54"/>
                <w:sz w:val="20"/>
              </w:rPr>
              <w:t> </w:t>
            </w:r>
            <w:r>
              <w:rPr>
                <w:spacing w:val="-2"/>
                <w:sz w:val="20"/>
              </w:rPr>
              <w:t>A16.26.046.002,</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2,33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6)</w:t>
            </w: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sz w:val="20"/>
              </w:rPr>
              <w:t>A16.26.049,</w:t>
            </w:r>
            <w:r>
              <w:rPr>
                <w:spacing w:val="-9"/>
                <w:sz w:val="20"/>
              </w:rPr>
              <w:t> </w:t>
            </w:r>
            <w:r>
              <w:rPr>
                <w:spacing w:val="-2"/>
                <w:sz w:val="20"/>
              </w:rPr>
              <w:t>A16.26.049.001,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A16.26.049.002,</w:t>
            </w:r>
            <w:r>
              <w:rPr>
                <w:spacing w:val="54"/>
                <w:sz w:val="20"/>
              </w:rPr>
              <w:t> </w:t>
            </w:r>
            <w:r>
              <w:rPr>
                <w:spacing w:val="-2"/>
                <w:sz w:val="20"/>
              </w:rPr>
              <w:t>A16.26.049.003,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A16.26.049.004,</w:t>
            </w:r>
            <w:r>
              <w:rPr>
                <w:spacing w:val="54"/>
                <w:sz w:val="20"/>
              </w:rPr>
              <w:t> </w:t>
            </w:r>
            <w:r>
              <w:rPr>
                <w:spacing w:val="-2"/>
                <w:sz w:val="20"/>
              </w:rPr>
              <w:t>A16.26.049.005,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sz w:val="20"/>
              </w:rPr>
              <w:t>A16.26.050,</w:t>
            </w:r>
            <w:r>
              <w:rPr>
                <w:spacing w:val="-9"/>
                <w:sz w:val="20"/>
              </w:rPr>
              <w:t> </w:t>
            </w:r>
            <w:r>
              <w:rPr>
                <w:spacing w:val="-2"/>
                <w:sz w:val="20"/>
              </w:rPr>
              <w:t>A16.26.064.001,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7"/>
              <w:jc w:val="center"/>
              <w:rPr>
                <w:sz w:val="20"/>
              </w:rPr>
            </w:pPr>
            <w:r>
              <w:rPr>
                <w:sz w:val="20"/>
              </w:rPr>
              <w:t>A16.26.080,</w:t>
            </w:r>
            <w:r>
              <w:rPr>
                <w:spacing w:val="-9"/>
                <w:sz w:val="20"/>
              </w:rPr>
              <w:t> </w:t>
            </w:r>
            <w:r>
              <w:rPr>
                <w:sz w:val="20"/>
              </w:rPr>
              <w:t>A16.26.085,</w:t>
            </w:r>
            <w:r>
              <w:rPr>
                <w:spacing w:val="-10"/>
                <w:sz w:val="20"/>
              </w:rPr>
              <w:t> </w:t>
            </w:r>
            <w:r>
              <w:rPr>
                <w:spacing w:val="-2"/>
                <w:sz w:val="20"/>
              </w:rPr>
              <w:t>A16.26.089,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A16.26.089.002,</w:t>
            </w:r>
            <w:r>
              <w:rPr>
                <w:spacing w:val="54"/>
                <w:sz w:val="20"/>
              </w:rPr>
              <w:t> </w:t>
            </w:r>
            <w:r>
              <w:rPr>
                <w:spacing w:val="-2"/>
                <w:sz w:val="20"/>
              </w:rPr>
              <w:t>A16.26.090,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A16.26.093.001,</w:t>
            </w:r>
            <w:r>
              <w:rPr>
                <w:spacing w:val="54"/>
                <w:sz w:val="20"/>
              </w:rPr>
              <w:t> </w:t>
            </w:r>
            <w:r>
              <w:rPr>
                <w:spacing w:val="-2"/>
                <w:sz w:val="20"/>
              </w:rPr>
              <w:t>A16.26.135,</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304" w:type="dxa"/>
          </w:tcPr>
          <w:p>
            <w:pPr>
              <w:pStyle w:val="TableParagraph"/>
              <w:rPr>
                <w:sz w:val="18"/>
              </w:rPr>
            </w:pPr>
          </w:p>
        </w:tc>
        <w:tc>
          <w:tcPr>
            <w:tcW w:w="4592" w:type="dxa"/>
          </w:tcPr>
          <w:p>
            <w:pPr>
              <w:pStyle w:val="TableParagraph"/>
              <w:rPr>
                <w:sz w:val="18"/>
              </w:rPr>
            </w:pPr>
          </w:p>
        </w:tc>
        <w:tc>
          <w:tcPr>
            <w:tcW w:w="3892" w:type="dxa"/>
          </w:tcPr>
          <w:p>
            <w:pPr>
              <w:pStyle w:val="TableParagraph"/>
              <w:spacing w:line="226" w:lineRule="exact"/>
              <w:ind w:left="161" w:right="641"/>
              <w:jc w:val="center"/>
              <w:rPr>
                <w:sz w:val="20"/>
              </w:rPr>
            </w:pPr>
            <w:r>
              <w:rPr>
                <w:spacing w:val="-2"/>
                <w:sz w:val="20"/>
              </w:rPr>
              <w:t>A16.26.152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st21.007</w:t>
            </w:r>
          </w:p>
        </w:tc>
        <w:tc>
          <w:tcPr>
            <w:tcW w:w="707" w:type="dxa"/>
          </w:tcPr>
          <w:p>
            <w:pPr>
              <w:pStyle w:val="TableParagraph"/>
              <w:spacing w:line="215" w:lineRule="exact" w:before="45"/>
              <w:ind w:left="210"/>
              <w:rPr>
                <w:sz w:val="20"/>
              </w:rPr>
            </w:pPr>
            <w:r>
              <w:rPr>
                <w:spacing w:val="-5"/>
                <w:sz w:val="20"/>
              </w:rPr>
              <w:t>221</w:t>
            </w:r>
          </w:p>
        </w:tc>
        <w:tc>
          <w:tcPr>
            <w:tcW w:w="2304" w:type="dxa"/>
          </w:tcPr>
          <w:p>
            <w:pPr>
              <w:pStyle w:val="TableParagraph"/>
              <w:spacing w:line="215" w:lineRule="exact" w:before="45"/>
              <w:ind w:left="192"/>
              <w:rPr>
                <w:sz w:val="20"/>
              </w:rPr>
            </w:pPr>
            <w:r>
              <w:rPr>
                <w:sz w:val="20"/>
              </w:rPr>
              <w:t>Болезни</w:t>
            </w:r>
            <w:r>
              <w:rPr>
                <w:spacing w:val="-10"/>
                <w:sz w:val="20"/>
              </w:rPr>
              <w:t> </w:t>
            </w:r>
            <w:r>
              <w:rPr>
                <w:spacing w:val="-2"/>
                <w:sz w:val="20"/>
              </w:rPr>
              <w:t>глаза</w:t>
            </w:r>
          </w:p>
        </w:tc>
        <w:tc>
          <w:tcPr>
            <w:tcW w:w="4592" w:type="dxa"/>
          </w:tcPr>
          <w:p>
            <w:pPr>
              <w:pStyle w:val="TableParagraph"/>
              <w:spacing w:line="215" w:lineRule="exact" w:before="45"/>
              <w:ind w:left="400" w:right="160"/>
              <w:jc w:val="center"/>
              <w:rPr>
                <w:sz w:val="20"/>
              </w:rPr>
            </w:pPr>
            <w:r>
              <w:rPr>
                <w:sz w:val="20"/>
              </w:rPr>
              <w:t>A71,</w:t>
            </w:r>
            <w:r>
              <w:rPr>
                <w:spacing w:val="-6"/>
                <w:sz w:val="20"/>
              </w:rPr>
              <w:t> </w:t>
            </w:r>
            <w:r>
              <w:rPr>
                <w:sz w:val="20"/>
              </w:rPr>
              <w:t>A71.0,</w:t>
            </w:r>
            <w:r>
              <w:rPr>
                <w:spacing w:val="-5"/>
                <w:sz w:val="20"/>
              </w:rPr>
              <w:t> </w:t>
            </w:r>
            <w:r>
              <w:rPr>
                <w:sz w:val="20"/>
              </w:rPr>
              <w:t>A71.1,</w:t>
            </w:r>
            <w:r>
              <w:rPr>
                <w:spacing w:val="-5"/>
                <w:sz w:val="20"/>
              </w:rPr>
              <w:t> </w:t>
            </w:r>
            <w:r>
              <w:rPr>
                <w:sz w:val="20"/>
              </w:rPr>
              <w:t>A71.9,</w:t>
            </w:r>
            <w:r>
              <w:rPr>
                <w:spacing w:val="-5"/>
                <w:sz w:val="20"/>
              </w:rPr>
              <w:t> </w:t>
            </w:r>
            <w:r>
              <w:rPr>
                <w:sz w:val="20"/>
              </w:rPr>
              <w:t>A74, A74.0,</w:t>
            </w:r>
            <w:r>
              <w:rPr>
                <w:spacing w:val="-7"/>
                <w:sz w:val="20"/>
              </w:rPr>
              <w:t> </w:t>
            </w:r>
            <w:r>
              <w:rPr>
                <w:spacing w:val="-4"/>
                <w:sz w:val="20"/>
              </w:rPr>
              <w:t>B30,</w:t>
            </w:r>
          </w:p>
        </w:tc>
        <w:tc>
          <w:tcPr>
            <w:tcW w:w="3892" w:type="dxa"/>
          </w:tcPr>
          <w:p>
            <w:pPr>
              <w:pStyle w:val="TableParagraph"/>
              <w:spacing w:line="215" w:lineRule="exact" w:before="45"/>
              <w:ind w:right="481"/>
              <w:jc w:val="center"/>
              <w:rPr>
                <w:sz w:val="20"/>
              </w:rPr>
            </w:pPr>
            <w:r>
              <w:rPr>
                <w:w w:val="99"/>
                <w:sz w:val="20"/>
              </w:rPr>
              <w:t>-</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0,51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1" w:lineRule="exact"/>
              <w:ind w:left="400" w:right="166"/>
              <w:jc w:val="center"/>
              <w:rPr>
                <w:sz w:val="20"/>
              </w:rPr>
            </w:pPr>
            <w:r>
              <w:rPr>
                <w:sz w:val="20"/>
              </w:rPr>
              <w:t>B30.0,</w:t>
            </w:r>
            <w:r>
              <w:rPr>
                <w:spacing w:val="-8"/>
                <w:sz w:val="20"/>
              </w:rPr>
              <w:t> </w:t>
            </w:r>
            <w:r>
              <w:rPr>
                <w:sz w:val="20"/>
              </w:rPr>
              <w:t>B30.1,</w:t>
            </w:r>
            <w:r>
              <w:rPr>
                <w:spacing w:val="-5"/>
                <w:sz w:val="20"/>
              </w:rPr>
              <w:t> </w:t>
            </w:r>
            <w:r>
              <w:rPr>
                <w:sz w:val="20"/>
              </w:rPr>
              <w:t>B30.2,</w:t>
            </w:r>
            <w:r>
              <w:rPr>
                <w:spacing w:val="-5"/>
                <w:sz w:val="20"/>
              </w:rPr>
              <w:t> </w:t>
            </w:r>
            <w:r>
              <w:rPr>
                <w:sz w:val="20"/>
              </w:rPr>
              <w:t>B30.3,</w:t>
            </w:r>
            <w:r>
              <w:rPr>
                <w:spacing w:val="-8"/>
                <w:sz w:val="20"/>
              </w:rPr>
              <w:t> </w:t>
            </w:r>
            <w:r>
              <w:rPr>
                <w:sz w:val="20"/>
              </w:rPr>
              <w:t>B30.8,</w:t>
            </w:r>
            <w:r>
              <w:rPr>
                <w:spacing w:val="-5"/>
                <w:sz w:val="20"/>
              </w:rPr>
              <w:t> </w:t>
            </w:r>
            <w:r>
              <w:rPr>
                <w:sz w:val="20"/>
              </w:rPr>
              <w:t>B30.9,</w:t>
            </w:r>
            <w:r>
              <w:rPr>
                <w:spacing w:val="-5"/>
                <w:sz w:val="20"/>
              </w:rPr>
              <w:t> </w:t>
            </w:r>
            <w:r>
              <w:rPr>
                <w:spacing w:val="-2"/>
                <w:sz w:val="20"/>
              </w:rPr>
              <w:t>B94.0,</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6"/>
              <w:jc w:val="center"/>
              <w:rPr>
                <w:sz w:val="20"/>
              </w:rPr>
            </w:pPr>
            <w:r>
              <w:rPr>
                <w:sz w:val="20"/>
              </w:rPr>
              <w:t>D09.2,</w:t>
            </w:r>
            <w:r>
              <w:rPr>
                <w:spacing w:val="-6"/>
                <w:sz w:val="20"/>
              </w:rPr>
              <w:t> </w:t>
            </w:r>
            <w:r>
              <w:rPr>
                <w:sz w:val="20"/>
              </w:rPr>
              <w:t>D31,</w:t>
            </w:r>
            <w:r>
              <w:rPr>
                <w:spacing w:val="-6"/>
                <w:sz w:val="20"/>
              </w:rPr>
              <w:t> </w:t>
            </w:r>
            <w:r>
              <w:rPr>
                <w:sz w:val="20"/>
              </w:rPr>
              <w:t>D31.0,</w:t>
            </w:r>
            <w:r>
              <w:rPr>
                <w:spacing w:val="-5"/>
                <w:sz w:val="20"/>
              </w:rPr>
              <w:t> </w:t>
            </w:r>
            <w:r>
              <w:rPr>
                <w:sz w:val="20"/>
              </w:rPr>
              <w:t>D31.1,</w:t>
            </w:r>
            <w:r>
              <w:rPr>
                <w:spacing w:val="-6"/>
                <w:sz w:val="20"/>
              </w:rPr>
              <w:t> </w:t>
            </w:r>
            <w:r>
              <w:rPr>
                <w:sz w:val="20"/>
              </w:rPr>
              <w:t>D31.2,</w:t>
            </w:r>
            <w:r>
              <w:rPr>
                <w:spacing w:val="-5"/>
                <w:sz w:val="20"/>
              </w:rPr>
              <w:t> </w:t>
            </w:r>
            <w:r>
              <w:rPr>
                <w:sz w:val="20"/>
              </w:rPr>
              <w:t>D31.3,</w:t>
            </w:r>
            <w:r>
              <w:rPr>
                <w:spacing w:val="-6"/>
                <w:sz w:val="20"/>
              </w:rPr>
              <w:t> </w:t>
            </w:r>
            <w:r>
              <w:rPr>
                <w:spacing w:val="-2"/>
                <w:sz w:val="20"/>
              </w:rPr>
              <w:t>D31.4,</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09" w:lineRule="exact"/>
              <w:ind w:left="400" w:right="166"/>
              <w:jc w:val="center"/>
              <w:rPr>
                <w:sz w:val="20"/>
              </w:rPr>
            </w:pPr>
            <w:r>
              <w:rPr>
                <w:sz w:val="20"/>
              </w:rPr>
              <w:t>D31.5,</w:t>
            </w:r>
            <w:r>
              <w:rPr>
                <w:spacing w:val="-6"/>
                <w:sz w:val="20"/>
              </w:rPr>
              <w:t> </w:t>
            </w:r>
            <w:r>
              <w:rPr>
                <w:sz w:val="20"/>
              </w:rPr>
              <w:t>D31.6,</w:t>
            </w:r>
            <w:r>
              <w:rPr>
                <w:spacing w:val="-6"/>
                <w:sz w:val="20"/>
              </w:rPr>
              <w:t> </w:t>
            </w:r>
            <w:r>
              <w:rPr>
                <w:sz w:val="20"/>
              </w:rPr>
              <w:t>D31.9,</w:t>
            </w:r>
            <w:r>
              <w:rPr>
                <w:spacing w:val="-5"/>
                <w:sz w:val="20"/>
              </w:rPr>
              <w:t> </w:t>
            </w:r>
            <w:r>
              <w:rPr>
                <w:sz w:val="20"/>
              </w:rPr>
              <w:t>H00,</w:t>
            </w:r>
            <w:r>
              <w:rPr>
                <w:spacing w:val="-6"/>
                <w:sz w:val="20"/>
              </w:rPr>
              <w:t> </w:t>
            </w:r>
            <w:r>
              <w:rPr>
                <w:sz w:val="20"/>
              </w:rPr>
              <w:t>H00.0,</w:t>
            </w:r>
            <w:r>
              <w:rPr>
                <w:spacing w:val="-5"/>
                <w:sz w:val="20"/>
              </w:rPr>
              <w:t> </w:t>
            </w:r>
            <w:r>
              <w:rPr>
                <w:sz w:val="20"/>
              </w:rPr>
              <w:t>H00.1,</w:t>
            </w:r>
            <w:r>
              <w:rPr>
                <w:spacing w:val="-5"/>
                <w:sz w:val="20"/>
              </w:rPr>
              <w:t> </w:t>
            </w:r>
            <w:r>
              <w:rPr>
                <w:spacing w:val="-4"/>
                <w:sz w:val="20"/>
              </w:rPr>
              <w:t>H01,</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09" w:lineRule="exact"/>
              <w:ind w:left="398" w:right="166"/>
              <w:jc w:val="center"/>
              <w:rPr>
                <w:sz w:val="20"/>
              </w:rPr>
            </w:pPr>
            <w:r>
              <w:rPr>
                <w:sz w:val="20"/>
              </w:rPr>
              <w:t>H01.0,</w:t>
            </w:r>
            <w:r>
              <w:rPr>
                <w:spacing w:val="-4"/>
                <w:sz w:val="20"/>
              </w:rPr>
              <w:t> </w:t>
            </w:r>
            <w:r>
              <w:rPr>
                <w:sz w:val="20"/>
              </w:rPr>
              <w:t>H01.1,</w:t>
            </w:r>
            <w:r>
              <w:rPr>
                <w:spacing w:val="-6"/>
                <w:sz w:val="20"/>
              </w:rPr>
              <w:t> </w:t>
            </w:r>
            <w:r>
              <w:rPr>
                <w:sz w:val="20"/>
              </w:rPr>
              <w:t>H01.8,</w:t>
            </w:r>
            <w:r>
              <w:rPr>
                <w:spacing w:val="-4"/>
                <w:sz w:val="20"/>
              </w:rPr>
              <w:t> </w:t>
            </w:r>
            <w:r>
              <w:rPr>
                <w:sz w:val="20"/>
              </w:rPr>
              <w:t>H01.9,</w:t>
            </w:r>
            <w:r>
              <w:rPr>
                <w:spacing w:val="-6"/>
                <w:sz w:val="20"/>
              </w:rPr>
              <w:t> </w:t>
            </w:r>
            <w:r>
              <w:rPr>
                <w:sz w:val="20"/>
              </w:rPr>
              <w:t>H02,</w:t>
            </w:r>
            <w:r>
              <w:rPr>
                <w:spacing w:val="-4"/>
                <w:sz w:val="20"/>
              </w:rPr>
              <w:t> </w:t>
            </w:r>
            <w:r>
              <w:rPr>
                <w:sz w:val="20"/>
              </w:rPr>
              <w:t>H02.0,</w:t>
            </w:r>
            <w:r>
              <w:rPr>
                <w:spacing w:val="-4"/>
                <w:sz w:val="20"/>
              </w:rPr>
              <w:t> </w:t>
            </w:r>
            <w:r>
              <w:rPr>
                <w:spacing w:val="-2"/>
                <w:sz w:val="20"/>
              </w:rPr>
              <w:t>H02.1,</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5"/>
              <w:jc w:val="center"/>
              <w:rPr>
                <w:sz w:val="20"/>
              </w:rPr>
            </w:pPr>
            <w:r>
              <w:rPr>
                <w:sz w:val="20"/>
              </w:rPr>
              <w:t>H02.2,</w:t>
            </w:r>
            <w:r>
              <w:rPr>
                <w:spacing w:val="-4"/>
                <w:sz w:val="20"/>
              </w:rPr>
              <w:t> </w:t>
            </w:r>
            <w:r>
              <w:rPr>
                <w:sz w:val="20"/>
              </w:rPr>
              <w:t>H02.3,</w:t>
            </w:r>
            <w:r>
              <w:rPr>
                <w:spacing w:val="-6"/>
                <w:sz w:val="20"/>
              </w:rPr>
              <w:t> </w:t>
            </w:r>
            <w:r>
              <w:rPr>
                <w:sz w:val="20"/>
              </w:rPr>
              <w:t>H02.4,</w:t>
            </w:r>
            <w:r>
              <w:rPr>
                <w:spacing w:val="-4"/>
                <w:sz w:val="20"/>
              </w:rPr>
              <w:t> </w:t>
            </w:r>
            <w:r>
              <w:rPr>
                <w:sz w:val="20"/>
              </w:rPr>
              <w:t>H02.5,</w:t>
            </w:r>
            <w:r>
              <w:rPr>
                <w:spacing w:val="-6"/>
                <w:sz w:val="20"/>
              </w:rPr>
              <w:t> </w:t>
            </w:r>
            <w:r>
              <w:rPr>
                <w:sz w:val="20"/>
              </w:rPr>
              <w:t>H02.6,</w:t>
            </w:r>
            <w:r>
              <w:rPr>
                <w:spacing w:val="-4"/>
                <w:sz w:val="20"/>
              </w:rPr>
              <w:t> </w:t>
            </w:r>
            <w:r>
              <w:rPr>
                <w:spacing w:val="-2"/>
                <w:sz w:val="20"/>
              </w:rPr>
              <w:t>H02.7,</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4"/>
              <w:jc w:val="center"/>
              <w:rPr>
                <w:sz w:val="20"/>
              </w:rPr>
            </w:pPr>
            <w:r>
              <w:rPr>
                <w:sz w:val="20"/>
              </w:rPr>
              <w:t>H02.8,</w:t>
            </w:r>
            <w:r>
              <w:rPr>
                <w:spacing w:val="-6"/>
                <w:sz w:val="20"/>
              </w:rPr>
              <w:t> </w:t>
            </w:r>
            <w:r>
              <w:rPr>
                <w:sz w:val="20"/>
              </w:rPr>
              <w:t>H02.9,</w:t>
            </w:r>
            <w:r>
              <w:rPr>
                <w:spacing w:val="-5"/>
                <w:sz w:val="20"/>
              </w:rPr>
              <w:t> </w:t>
            </w:r>
            <w:r>
              <w:rPr>
                <w:sz w:val="20"/>
              </w:rPr>
              <w:t>H03,</w:t>
            </w:r>
            <w:r>
              <w:rPr>
                <w:spacing w:val="-5"/>
                <w:sz w:val="20"/>
              </w:rPr>
              <w:t> </w:t>
            </w:r>
            <w:r>
              <w:rPr>
                <w:sz w:val="20"/>
              </w:rPr>
              <w:t>H03.0,</w:t>
            </w:r>
            <w:r>
              <w:rPr>
                <w:spacing w:val="-5"/>
                <w:sz w:val="20"/>
              </w:rPr>
              <w:t> </w:t>
            </w:r>
            <w:r>
              <w:rPr>
                <w:sz w:val="20"/>
              </w:rPr>
              <w:t>H03.1,</w:t>
            </w:r>
            <w:r>
              <w:rPr>
                <w:spacing w:val="-5"/>
                <w:sz w:val="20"/>
              </w:rPr>
              <w:t> </w:t>
            </w:r>
            <w:r>
              <w:rPr>
                <w:sz w:val="20"/>
              </w:rPr>
              <w:t>H03.8,</w:t>
            </w:r>
            <w:r>
              <w:rPr>
                <w:spacing w:val="-6"/>
                <w:sz w:val="20"/>
              </w:rPr>
              <w:t> </w:t>
            </w:r>
            <w:r>
              <w:rPr>
                <w:spacing w:val="-4"/>
                <w:sz w:val="20"/>
              </w:rPr>
              <w:t>H04,</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5"/>
              <w:jc w:val="center"/>
              <w:rPr>
                <w:sz w:val="20"/>
              </w:rPr>
            </w:pPr>
            <w:r>
              <w:rPr>
                <w:sz w:val="20"/>
              </w:rPr>
              <w:t>H04.0,</w:t>
            </w:r>
            <w:r>
              <w:rPr>
                <w:spacing w:val="-4"/>
                <w:sz w:val="20"/>
              </w:rPr>
              <w:t> </w:t>
            </w:r>
            <w:r>
              <w:rPr>
                <w:sz w:val="20"/>
              </w:rPr>
              <w:t>H04.1,</w:t>
            </w:r>
            <w:r>
              <w:rPr>
                <w:spacing w:val="-6"/>
                <w:sz w:val="20"/>
              </w:rPr>
              <w:t> </w:t>
            </w:r>
            <w:r>
              <w:rPr>
                <w:sz w:val="20"/>
              </w:rPr>
              <w:t>H04.2,</w:t>
            </w:r>
            <w:r>
              <w:rPr>
                <w:spacing w:val="-4"/>
                <w:sz w:val="20"/>
              </w:rPr>
              <w:t> </w:t>
            </w:r>
            <w:r>
              <w:rPr>
                <w:sz w:val="20"/>
              </w:rPr>
              <w:t>H04.3,</w:t>
            </w:r>
            <w:r>
              <w:rPr>
                <w:spacing w:val="-6"/>
                <w:sz w:val="20"/>
              </w:rPr>
              <w:t> </w:t>
            </w:r>
            <w:r>
              <w:rPr>
                <w:sz w:val="20"/>
              </w:rPr>
              <w:t>H04.4,</w:t>
            </w:r>
            <w:r>
              <w:rPr>
                <w:spacing w:val="-4"/>
                <w:sz w:val="20"/>
              </w:rPr>
              <w:t> </w:t>
            </w:r>
            <w:r>
              <w:rPr>
                <w:spacing w:val="-2"/>
                <w:sz w:val="20"/>
              </w:rPr>
              <w:t>H04.5,</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05" w:lineRule="exact"/>
              <w:ind w:left="400" w:right="166"/>
              <w:jc w:val="center"/>
              <w:rPr>
                <w:sz w:val="20"/>
              </w:rPr>
            </w:pPr>
            <w:r>
              <w:rPr>
                <w:sz w:val="20"/>
              </w:rPr>
              <w:t>H04.6,</w:t>
            </w:r>
            <w:r>
              <w:rPr>
                <w:spacing w:val="-6"/>
                <w:sz w:val="20"/>
              </w:rPr>
              <w:t> </w:t>
            </w:r>
            <w:r>
              <w:rPr>
                <w:sz w:val="20"/>
              </w:rPr>
              <w:t>H04.8,</w:t>
            </w:r>
            <w:r>
              <w:rPr>
                <w:spacing w:val="-6"/>
                <w:sz w:val="20"/>
              </w:rPr>
              <w:t> </w:t>
            </w:r>
            <w:r>
              <w:rPr>
                <w:sz w:val="20"/>
              </w:rPr>
              <w:t>H04.9,</w:t>
            </w:r>
            <w:r>
              <w:rPr>
                <w:spacing w:val="-5"/>
                <w:sz w:val="20"/>
              </w:rPr>
              <w:t> </w:t>
            </w:r>
            <w:r>
              <w:rPr>
                <w:sz w:val="20"/>
              </w:rPr>
              <w:t>H05,</w:t>
            </w:r>
            <w:r>
              <w:rPr>
                <w:spacing w:val="-6"/>
                <w:sz w:val="20"/>
              </w:rPr>
              <w:t> </w:t>
            </w:r>
            <w:r>
              <w:rPr>
                <w:sz w:val="20"/>
              </w:rPr>
              <w:t>H05.0,</w:t>
            </w:r>
            <w:r>
              <w:rPr>
                <w:spacing w:val="-5"/>
                <w:sz w:val="20"/>
              </w:rPr>
              <w:t> </w:t>
            </w:r>
            <w:r>
              <w:rPr>
                <w:sz w:val="20"/>
              </w:rPr>
              <w:t>H05.1,</w:t>
            </w:r>
            <w:r>
              <w:rPr>
                <w:spacing w:val="-5"/>
                <w:sz w:val="20"/>
              </w:rPr>
              <w:t> </w:t>
            </w:r>
            <w:r>
              <w:rPr>
                <w:spacing w:val="-2"/>
                <w:sz w:val="20"/>
              </w:rPr>
              <w:t>H05.2,</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2" w:right="0" w:firstLine="0"/>
        <w:jc w:val="left"/>
        <w:rPr>
          <w:sz w:val="20"/>
        </w:rPr>
      </w:pPr>
      <w:r>
        <w:rPr>
          <w:sz w:val="20"/>
        </w:rPr>
        <w:t>H05.3,</w:t>
      </w:r>
      <w:r>
        <w:rPr>
          <w:spacing w:val="-4"/>
          <w:sz w:val="20"/>
        </w:rPr>
        <w:t> </w:t>
      </w:r>
      <w:r>
        <w:rPr>
          <w:sz w:val="20"/>
        </w:rPr>
        <w:t>H05.4,</w:t>
      </w:r>
      <w:r>
        <w:rPr>
          <w:spacing w:val="-6"/>
          <w:sz w:val="20"/>
        </w:rPr>
        <w:t> </w:t>
      </w:r>
      <w:r>
        <w:rPr>
          <w:sz w:val="20"/>
        </w:rPr>
        <w:t>H05.5,</w:t>
      </w:r>
      <w:r>
        <w:rPr>
          <w:spacing w:val="-4"/>
          <w:sz w:val="20"/>
        </w:rPr>
        <w:t> </w:t>
      </w:r>
      <w:r>
        <w:rPr>
          <w:sz w:val="20"/>
        </w:rPr>
        <w:t>H05.8,</w:t>
      </w:r>
      <w:r>
        <w:rPr>
          <w:spacing w:val="-6"/>
          <w:sz w:val="20"/>
        </w:rPr>
        <w:t> </w:t>
      </w:r>
      <w:r>
        <w:rPr>
          <w:sz w:val="20"/>
        </w:rPr>
        <w:t>H05.9,</w:t>
      </w:r>
      <w:r>
        <w:rPr>
          <w:spacing w:val="-4"/>
          <w:sz w:val="20"/>
        </w:rPr>
        <w:t> </w:t>
      </w:r>
      <w:r>
        <w:rPr>
          <w:sz w:val="20"/>
        </w:rPr>
        <w:t>H06,</w:t>
      </w:r>
      <w:r>
        <w:rPr>
          <w:spacing w:val="-4"/>
          <w:sz w:val="20"/>
        </w:rPr>
        <w:t> </w:t>
      </w:r>
      <w:r>
        <w:rPr>
          <w:spacing w:val="-2"/>
          <w:sz w:val="20"/>
        </w:rPr>
        <w:t>H06.0,</w:t>
      </w:r>
    </w:p>
    <w:p>
      <w:pPr>
        <w:spacing w:line="229" w:lineRule="exact" w:before="1"/>
        <w:ind w:left="4605" w:right="0" w:firstLine="0"/>
        <w:jc w:val="left"/>
        <w:rPr>
          <w:sz w:val="20"/>
        </w:rPr>
      </w:pPr>
      <w:r>
        <w:rPr>
          <w:sz w:val="20"/>
        </w:rPr>
        <w:t>H06.1,</w:t>
      </w:r>
      <w:r>
        <w:rPr>
          <w:spacing w:val="-6"/>
          <w:sz w:val="20"/>
        </w:rPr>
        <w:t> </w:t>
      </w:r>
      <w:r>
        <w:rPr>
          <w:sz w:val="20"/>
        </w:rPr>
        <w:t>H06.2,</w:t>
      </w:r>
      <w:r>
        <w:rPr>
          <w:spacing w:val="-6"/>
          <w:sz w:val="20"/>
        </w:rPr>
        <w:t> </w:t>
      </w:r>
      <w:r>
        <w:rPr>
          <w:sz w:val="20"/>
        </w:rPr>
        <w:t>H06.3,</w:t>
      </w:r>
      <w:r>
        <w:rPr>
          <w:spacing w:val="-5"/>
          <w:sz w:val="20"/>
        </w:rPr>
        <w:t> </w:t>
      </w:r>
      <w:r>
        <w:rPr>
          <w:sz w:val="20"/>
        </w:rPr>
        <w:t>H10,</w:t>
      </w:r>
      <w:r>
        <w:rPr>
          <w:spacing w:val="-6"/>
          <w:sz w:val="20"/>
        </w:rPr>
        <w:t> </w:t>
      </w:r>
      <w:r>
        <w:rPr>
          <w:sz w:val="20"/>
        </w:rPr>
        <w:t>H10.0,</w:t>
      </w:r>
      <w:r>
        <w:rPr>
          <w:spacing w:val="-5"/>
          <w:sz w:val="20"/>
        </w:rPr>
        <w:t> </w:t>
      </w:r>
      <w:r>
        <w:rPr>
          <w:sz w:val="20"/>
        </w:rPr>
        <w:t>H10.1,</w:t>
      </w:r>
      <w:r>
        <w:rPr>
          <w:spacing w:val="-5"/>
          <w:sz w:val="20"/>
        </w:rPr>
        <w:t> </w:t>
      </w:r>
      <w:r>
        <w:rPr>
          <w:spacing w:val="-2"/>
          <w:sz w:val="20"/>
        </w:rPr>
        <w:t>H10.2,</w:t>
      </w:r>
    </w:p>
    <w:p>
      <w:pPr>
        <w:spacing w:line="229" w:lineRule="exact" w:before="0"/>
        <w:ind w:left="4602" w:right="0" w:firstLine="0"/>
        <w:jc w:val="left"/>
        <w:rPr>
          <w:sz w:val="20"/>
        </w:rPr>
      </w:pPr>
      <w:r>
        <w:rPr>
          <w:sz w:val="20"/>
        </w:rPr>
        <w:t>H10.3,</w:t>
      </w:r>
      <w:r>
        <w:rPr>
          <w:spacing w:val="-4"/>
          <w:sz w:val="20"/>
        </w:rPr>
        <w:t> </w:t>
      </w:r>
      <w:r>
        <w:rPr>
          <w:sz w:val="20"/>
        </w:rPr>
        <w:t>H10.4,</w:t>
      </w:r>
      <w:r>
        <w:rPr>
          <w:spacing w:val="-6"/>
          <w:sz w:val="20"/>
        </w:rPr>
        <w:t> </w:t>
      </w:r>
      <w:r>
        <w:rPr>
          <w:sz w:val="20"/>
        </w:rPr>
        <w:t>H10.5,</w:t>
      </w:r>
      <w:r>
        <w:rPr>
          <w:spacing w:val="-4"/>
          <w:sz w:val="20"/>
        </w:rPr>
        <w:t> </w:t>
      </w:r>
      <w:r>
        <w:rPr>
          <w:sz w:val="20"/>
        </w:rPr>
        <w:t>H10.8,</w:t>
      </w:r>
      <w:r>
        <w:rPr>
          <w:spacing w:val="-6"/>
          <w:sz w:val="20"/>
        </w:rPr>
        <w:t> </w:t>
      </w:r>
      <w:r>
        <w:rPr>
          <w:sz w:val="20"/>
        </w:rPr>
        <w:t>H10.9,</w:t>
      </w:r>
      <w:r>
        <w:rPr>
          <w:spacing w:val="-4"/>
          <w:sz w:val="20"/>
        </w:rPr>
        <w:t> </w:t>
      </w:r>
      <w:r>
        <w:rPr>
          <w:sz w:val="20"/>
        </w:rPr>
        <w:t>H11,</w:t>
      </w:r>
      <w:r>
        <w:rPr>
          <w:spacing w:val="-4"/>
          <w:sz w:val="20"/>
        </w:rPr>
        <w:t> </w:t>
      </w:r>
      <w:r>
        <w:rPr>
          <w:spacing w:val="-2"/>
          <w:sz w:val="20"/>
        </w:rPr>
        <w:t>H11.0,</w:t>
      </w:r>
    </w:p>
    <w:p>
      <w:pPr>
        <w:spacing w:before="0"/>
        <w:ind w:left="4602" w:right="0" w:firstLine="0"/>
        <w:jc w:val="left"/>
        <w:rPr>
          <w:sz w:val="20"/>
        </w:rPr>
      </w:pPr>
      <w:r>
        <w:rPr>
          <w:sz w:val="20"/>
        </w:rPr>
        <w:t>H11.1,</w:t>
      </w:r>
      <w:r>
        <w:rPr>
          <w:spacing w:val="-5"/>
          <w:sz w:val="20"/>
        </w:rPr>
        <w:t> </w:t>
      </w:r>
      <w:r>
        <w:rPr>
          <w:sz w:val="20"/>
        </w:rPr>
        <w:t>H11.2,</w:t>
      </w:r>
      <w:r>
        <w:rPr>
          <w:spacing w:val="-5"/>
          <w:sz w:val="20"/>
        </w:rPr>
        <w:t> </w:t>
      </w:r>
      <w:r>
        <w:rPr>
          <w:sz w:val="20"/>
        </w:rPr>
        <w:t>H11.3,</w:t>
      </w:r>
      <w:r>
        <w:rPr>
          <w:spacing w:val="-4"/>
          <w:sz w:val="20"/>
        </w:rPr>
        <w:t> </w:t>
      </w:r>
      <w:r>
        <w:rPr>
          <w:sz w:val="20"/>
        </w:rPr>
        <w:t>H11.4,</w:t>
      </w:r>
      <w:r>
        <w:rPr>
          <w:spacing w:val="-6"/>
          <w:sz w:val="20"/>
        </w:rPr>
        <w:t> </w:t>
      </w:r>
      <w:r>
        <w:rPr>
          <w:sz w:val="20"/>
        </w:rPr>
        <w:t>H11.8,</w:t>
      </w:r>
      <w:r>
        <w:rPr>
          <w:spacing w:val="-4"/>
          <w:sz w:val="20"/>
        </w:rPr>
        <w:t> </w:t>
      </w:r>
      <w:r>
        <w:rPr>
          <w:sz w:val="20"/>
        </w:rPr>
        <w:t>H11.9,</w:t>
      </w:r>
      <w:r>
        <w:rPr>
          <w:spacing w:val="-6"/>
          <w:sz w:val="20"/>
        </w:rPr>
        <w:t> </w:t>
      </w:r>
      <w:r>
        <w:rPr>
          <w:spacing w:val="-4"/>
          <w:sz w:val="20"/>
        </w:rPr>
        <w:t>H13,</w:t>
      </w:r>
    </w:p>
    <w:p>
      <w:pPr>
        <w:spacing w:before="1"/>
        <w:ind w:left="4602" w:right="0" w:firstLine="0"/>
        <w:jc w:val="left"/>
        <w:rPr>
          <w:sz w:val="20"/>
        </w:rPr>
      </w:pPr>
      <w:r>
        <w:rPr>
          <w:sz w:val="20"/>
        </w:rPr>
        <w:t>H13.0,</w:t>
      </w:r>
      <w:r>
        <w:rPr>
          <w:spacing w:val="-4"/>
          <w:sz w:val="20"/>
        </w:rPr>
        <w:t> </w:t>
      </w:r>
      <w:r>
        <w:rPr>
          <w:sz w:val="20"/>
        </w:rPr>
        <w:t>H13.1,</w:t>
      </w:r>
      <w:r>
        <w:rPr>
          <w:spacing w:val="-6"/>
          <w:sz w:val="20"/>
        </w:rPr>
        <w:t> </w:t>
      </w:r>
      <w:r>
        <w:rPr>
          <w:sz w:val="20"/>
        </w:rPr>
        <w:t>H13.2,</w:t>
      </w:r>
      <w:r>
        <w:rPr>
          <w:spacing w:val="-4"/>
          <w:sz w:val="20"/>
        </w:rPr>
        <w:t> </w:t>
      </w:r>
      <w:r>
        <w:rPr>
          <w:sz w:val="20"/>
        </w:rPr>
        <w:t>H13.3,</w:t>
      </w:r>
      <w:r>
        <w:rPr>
          <w:spacing w:val="-6"/>
          <w:sz w:val="20"/>
        </w:rPr>
        <w:t> </w:t>
      </w:r>
      <w:r>
        <w:rPr>
          <w:sz w:val="20"/>
        </w:rPr>
        <w:t>H13.8,</w:t>
      </w:r>
      <w:r>
        <w:rPr>
          <w:spacing w:val="-4"/>
          <w:sz w:val="20"/>
        </w:rPr>
        <w:t> </w:t>
      </w:r>
      <w:r>
        <w:rPr>
          <w:sz w:val="20"/>
        </w:rPr>
        <w:t>H15,</w:t>
      </w:r>
      <w:r>
        <w:rPr>
          <w:spacing w:val="-4"/>
          <w:sz w:val="20"/>
        </w:rPr>
        <w:t> </w:t>
      </w:r>
      <w:r>
        <w:rPr>
          <w:spacing w:val="-2"/>
          <w:sz w:val="20"/>
        </w:rPr>
        <w:t>H15.0,</w:t>
      </w:r>
    </w:p>
    <w:p>
      <w:pPr>
        <w:spacing w:before="0"/>
        <w:ind w:left="4605" w:right="0" w:firstLine="0"/>
        <w:jc w:val="left"/>
        <w:rPr>
          <w:sz w:val="20"/>
        </w:rPr>
      </w:pPr>
      <w:r>
        <w:rPr>
          <w:sz w:val="20"/>
        </w:rPr>
        <w:t>H15.1,</w:t>
      </w:r>
      <w:r>
        <w:rPr>
          <w:spacing w:val="-6"/>
          <w:sz w:val="20"/>
        </w:rPr>
        <w:t> </w:t>
      </w:r>
      <w:r>
        <w:rPr>
          <w:sz w:val="20"/>
        </w:rPr>
        <w:t>H15.8,</w:t>
      </w:r>
      <w:r>
        <w:rPr>
          <w:spacing w:val="-6"/>
          <w:sz w:val="20"/>
        </w:rPr>
        <w:t> </w:t>
      </w:r>
      <w:r>
        <w:rPr>
          <w:sz w:val="20"/>
        </w:rPr>
        <w:t>H15.9,</w:t>
      </w:r>
      <w:r>
        <w:rPr>
          <w:spacing w:val="-5"/>
          <w:sz w:val="20"/>
        </w:rPr>
        <w:t> </w:t>
      </w:r>
      <w:r>
        <w:rPr>
          <w:sz w:val="20"/>
        </w:rPr>
        <w:t>H16,</w:t>
      </w:r>
      <w:r>
        <w:rPr>
          <w:spacing w:val="-6"/>
          <w:sz w:val="20"/>
        </w:rPr>
        <w:t> </w:t>
      </w:r>
      <w:r>
        <w:rPr>
          <w:sz w:val="20"/>
        </w:rPr>
        <w:t>H16.0,</w:t>
      </w:r>
      <w:r>
        <w:rPr>
          <w:spacing w:val="-5"/>
          <w:sz w:val="20"/>
        </w:rPr>
        <w:t> </w:t>
      </w:r>
      <w:r>
        <w:rPr>
          <w:sz w:val="20"/>
        </w:rPr>
        <w:t>H16.1,</w:t>
      </w:r>
      <w:r>
        <w:rPr>
          <w:spacing w:val="-5"/>
          <w:sz w:val="20"/>
        </w:rPr>
        <w:t> </w:t>
      </w:r>
      <w:r>
        <w:rPr>
          <w:spacing w:val="-2"/>
          <w:sz w:val="20"/>
        </w:rPr>
        <w:t>H16.2,</w:t>
      </w:r>
    </w:p>
    <w:p>
      <w:pPr>
        <w:spacing w:before="0"/>
        <w:ind w:left="4602" w:right="0" w:firstLine="0"/>
        <w:jc w:val="left"/>
        <w:rPr>
          <w:sz w:val="20"/>
        </w:rPr>
      </w:pPr>
      <w:r>
        <w:rPr>
          <w:sz w:val="20"/>
        </w:rPr>
        <w:t>H16.3,</w:t>
      </w:r>
      <w:r>
        <w:rPr>
          <w:spacing w:val="-4"/>
          <w:sz w:val="20"/>
        </w:rPr>
        <w:t> </w:t>
      </w:r>
      <w:r>
        <w:rPr>
          <w:sz w:val="20"/>
        </w:rPr>
        <w:t>H16.4,</w:t>
      </w:r>
      <w:r>
        <w:rPr>
          <w:spacing w:val="-6"/>
          <w:sz w:val="20"/>
        </w:rPr>
        <w:t> </w:t>
      </w:r>
      <w:r>
        <w:rPr>
          <w:sz w:val="20"/>
        </w:rPr>
        <w:t>H16.8,</w:t>
      </w:r>
      <w:r>
        <w:rPr>
          <w:spacing w:val="-4"/>
          <w:sz w:val="20"/>
        </w:rPr>
        <w:t> </w:t>
      </w:r>
      <w:r>
        <w:rPr>
          <w:sz w:val="20"/>
        </w:rPr>
        <w:t>H16.9,</w:t>
      </w:r>
      <w:r>
        <w:rPr>
          <w:spacing w:val="-6"/>
          <w:sz w:val="20"/>
        </w:rPr>
        <w:t> </w:t>
      </w:r>
      <w:r>
        <w:rPr>
          <w:sz w:val="20"/>
        </w:rPr>
        <w:t>H17,</w:t>
      </w:r>
      <w:r>
        <w:rPr>
          <w:spacing w:val="-4"/>
          <w:sz w:val="20"/>
        </w:rPr>
        <w:t> </w:t>
      </w:r>
      <w:r>
        <w:rPr>
          <w:sz w:val="20"/>
        </w:rPr>
        <w:t>H17.0,</w:t>
      </w:r>
      <w:r>
        <w:rPr>
          <w:spacing w:val="-4"/>
          <w:sz w:val="20"/>
        </w:rPr>
        <w:t> </w:t>
      </w:r>
      <w:r>
        <w:rPr>
          <w:spacing w:val="-2"/>
          <w:sz w:val="20"/>
        </w:rPr>
        <w:t>H17.1,</w:t>
      </w:r>
    </w:p>
    <w:p>
      <w:pPr>
        <w:spacing w:line="229" w:lineRule="exact" w:before="1"/>
        <w:ind w:left="4605" w:right="0" w:firstLine="0"/>
        <w:jc w:val="left"/>
        <w:rPr>
          <w:sz w:val="20"/>
        </w:rPr>
      </w:pPr>
      <w:r>
        <w:rPr>
          <w:sz w:val="20"/>
        </w:rPr>
        <w:t>H17.8,</w:t>
      </w:r>
      <w:r>
        <w:rPr>
          <w:spacing w:val="-6"/>
          <w:sz w:val="20"/>
        </w:rPr>
        <w:t> </w:t>
      </w:r>
      <w:r>
        <w:rPr>
          <w:sz w:val="20"/>
        </w:rPr>
        <w:t>H17.9,</w:t>
      </w:r>
      <w:r>
        <w:rPr>
          <w:spacing w:val="-7"/>
          <w:sz w:val="20"/>
        </w:rPr>
        <w:t> </w:t>
      </w:r>
      <w:r>
        <w:rPr>
          <w:sz w:val="20"/>
        </w:rPr>
        <w:t>H18,</w:t>
      </w:r>
      <w:r>
        <w:rPr>
          <w:spacing w:val="-5"/>
          <w:sz w:val="20"/>
        </w:rPr>
        <w:t> </w:t>
      </w:r>
      <w:r>
        <w:rPr>
          <w:sz w:val="20"/>
        </w:rPr>
        <w:t>H18.0,</w:t>
      </w:r>
      <w:r>
        <w:rPr>
          <w:spacing w:val="-5"/>
          <w:sz w:val="20"/>
        </w:rPr>
        <w:t> </w:t>
      </w:r>
      <w:r>
        <w:rPr>
          <w:sz w:val="20"/>
        </w:rPr>
        <w:t>H18.1,</w:t>
      </w:r>
      <w:r>
        <w:rPr>
          <w:spacing w:val="-5"/>
          <w:sz w:val="20"/>
        </w:rPr>
        <w:t> </w:t>
      </w:r>
      <w:r>
        <w:rPr>
          <w:sz w:val="20"/>
        </w:rPr>
        <w:t>H18.2,</w:t>
      </w:r>
      <w:r>
        <w:rPr>
          <w:spacing w:val="-6"/>
          <w:sz w:val="20"/>
        </w:rPr>
        <w:t> </w:t>
      </w:r>
      <w:r>
        <w:rPr>
          <w:spacing w:val="-2"/>
          <w:sz w:val="20"/>
        </w:rPr>
        <w:t>H18.3,</w:t>
      </w:r>
    </w:p>
    <w:p>
      <w:pPr>
        <w:spacing w:line="229" w:lineRule="exact" w:before="0"/>
        <w:ind w:left="4602" w:right="0" w:firstLine="0"/>
        <w:jc w:val="left"/>
        <w:rPr>
          <w:sz w:val="20"/>
        </w:rPr>
      </w:pPr>
      <w:r>
        <w:rPr>
          <w:sz w:val="20"/>
        </w:rPr>
        <w:t>H18.4,</w:t>
      </w:r>
      <w:r>
        <w:rPr>
          <w:spacing w:val="-4"/>
          <w:sz w:val="20"/>
        </w:rPr>
        <w:t> </w:t>
      </w:r>
      <w:r>
        <w:rPr>
          <w:sz w:val="20"/>
        </w:rPr>
        <w:t>H18.5,</w:t>
      </w:r>
      <w:r>
        <w:rPr>
          <w:spacing w:val="-6"/>
          <w:sz w:val="20"/>
        </w:rPr>
        <w:t> </w:t>
      </w:r>
      <w:r>
        <w:rPr>
          <w:sz w:val="20"/>
        </w:rPr>
        <w:t>H18.6,</w:t>
      </w:r>
      <w:r>
        <w:rPr>
          <w:spacing w:val="-3"/>
          <w:sz w:val="20"/>
        </w:rPr>
        <w:t> </w:t>
      </w:r>
      <w:r>
        <w:rPr>
          <w:sz w:val="20"/>
        </w:rPr>
        <w:t>H18.7,</w:t>
      </w:r>
      <w:r>
        <w:rPr>
          <w:spacing w:val="-6"/>
          <w:sz w:val="20"/>
        </w:rPr>
        <w:t> </w:t>
      </w:r>
      <w:r>
        <w:rPr>
          <w:sz w:val="20"/>
        </w:rPr>
        <w:t>H18.8,</w:t>
      </w:r>
      <w:r>
        <w:rPr>
          <w:spacing w:val="-4"/>
          <w:sz w:val="20"/>
        </w:rPr>
        <w:t> </w:t>
      </w:r>
      <w:r>
        <w:rPr>
          <w:sz w:val="20"/>
        </w:rPr>
        <w:t>H18.9,</w:t>
      </w:r>
      <w:r>
        <w:rPr>
          <w:spacing w:val="-5"/>
          <w:sz w:val="20"/>
        </w:rPr>
        <w:t> </w:t>
      </w:r>
      <w:r>
        <w:rPr>
          <w:spacing w:val="-4"/>
          <w:sz w:val="20"/>
        </w:rPr>
        <w:t>H19,</w:t>
      </w:r>
    </w:p>
    <w:p>
      <w:pPr>
        <w:spacing w:before="1"/>
        <w:ind w:left="4602" w:right="0" w:firstLine="0"/>
        <w:jc w:val="left"/>
        <w:rPr>
          <w:sz w:val="20"/>
        </w:rPr>
      </w:pPr>
      <w:r>
        <w:rPr>
          <w:sz w:val="20"/>
        </w:rPr>
        <w:t>H19.0,</w:t>
      </w:r>
      <w:r>
        <w:rPr>
          <w:spacing w:val="-4"/>
          <w:sz w:val="20"/>
        </w:rPr>
        <w:t> </w:t>
      </w:r>
      <w:r>
        <w:rPr>
          <w:sz w:val="20"/>
        </w:rPr>
        <w:t>H19.1,</w:t>
      </w:r>
      <w:r>
        <w:rPr>
          <w:spacing w:val="-6"/>
          <w:sz w:val="20"/>
        </w:rPr>
        <w:t> </w:t>
      </w:r>
      <w:r>
        <w:rPr>
          <w:sz w:val="20"/>
        </w:rPr>
        <w:t>H19.2,</w:t>
      </w:r>
      <w:r>
        <w:rPr>
          <w:spacing w:val="-4"/>
          <w:sz w:val="20"/>
        </w:rPr>
        <w:t> </w:t>
      </w:r>
      <w:r>
        <w:rPr>
          <w:sz w:val="20"/>
        </w:rPr>
        <w:t>H19.3,</w:t>
      </w:r>
      <w:r>
        <w:rPr>
          <w:spacing w:val="-6"/>
          <w:sz w:val="20"/>
        </w:rPr>
        <w:t> </w:t>
      </w:r>
      <w:r>
        <w:rPr>
          <w:sz w:val="20"/>
        </w:rPr>
        <w:t>H19.8,</w:t>
      </w:r>
      <w:r>
        <w:rPr>
          <w:spacing w:val="-4"/>
          <w:sz w:val="20"/>
        </w:rPr>
        <w:t> </w:t>
      </w:r>
      <w:r>
        <w:rPr>
          <w:sz w:val="20"/>
        </w:rPr>
        <w:t>H20,</w:t>
      </w:r>
      <w:r>
        <w:rPr>
          <w:spacing w:val="-4"/>
          <w:sz w:val="20"/>
        </w:rPr>
        <w:t> </w:t>
      </w:r>
      <w:r>
        <w:rPr>
          <w:spacing w:val="-2"/>
          <w:sz w:val="20"/>
        </w:rPr>
        <w:t>H20.0,</w:t>
      </w:r>
    </w:p>
    <w:p>
      <w:pPr>
        <w:spacing w:before="0"/>
        <w:ind w:left="4602" w:right="0" w:firstLine="0"/>
        <w:jc w:val="left"/>
        <w:rPr>
          <w:sz w:val="20"/>
        </w:rPr>
      </w:pPr>
      <w:r>
        <w:rPr>
          <w:sz w:val="20"/>
        </w:rPr>
        <w:t>H20.1,</w:t>
      </w:r>
      <w:r>
        <w:rPr>
          <w:spacing w:val="-4"/>
          <w:sz w:val="20"/>
        </w:rPr>
        <w:t> </w:t>
      </w:r>
      <w:r>
        <w:rPr>
          <w:sz w:val="20"/>
        </w:rPr>
        <w:t>H20.2,</w:t>
      </w:r>
      <w:r>
        <w:rPr>
          <w:spacing w:val="-6"/>
          <w:sz w:val="20"/>
        </w:rPr>
        <w:t> </w:t>
      </w:r>
      <w:r>
        <w:rPr>
          <w:sz w:val="20"/>
        </w:rPr>
        <w:t>H20.8,</w:t>
      </w:r>
      <w:r>
        <w:rPr>
          <w:spacing w:val="-4"/>
          <w:sz w:val="20"/>
        </w:rPr>
        <w:t> </w:t>
      </w:r>
      <w:r>
        <w:rPr>
          <w:sz w:val="20"/>
        </w:rPr>
        <w:t>H20.9,</w:t>
      </w:r>
      <w:r>
        <w:rPr>
          <w:spacing w:val="-6"/>
          <w:sz w:val="20"/>
        </w:rPr>
        <w:t> </w:t>
      </w:r>
      <w:r>
        <w:rPr>
          <w:sz w:val="20"/>
        </w:rPr>
        <w:t>H21,</w:t>
      </w:r>
      <w:r>
        <w:rPr>
          <w:spacing w:val="-4"/>
          <w:sz w:val="20"/>
        </w:rPr>
        <w:t> </w:t>
      </w:r>
      <w:r>
        <w:rPr>
          <w:sz w:val="20"/>
        </w:rPr>
        <w:t>H21.0,</w:t>
      </w:r>
      <w:r>
        <w:rPr>
          <w:spacing w:val="-4"/>
          <w:sz w:val="20"/>
        </w:rPr>
        <w:t> </w:t>
      </w:r>
      <w:r>
        <w:rPr>
          <w:spacing w:val="-2"/>
          <w:sz w:val="20"/>
        </w:rPr>
        <w:t>H21.1,</w:t>
      </w:r>
    </w:p>
    <w:p>
      <w:pPr>
        <w:spacing w:before="1"/>
        <w:ind w:left="4602" w:right="0" w:firstLine="0"/>
        <w:jc w:val="left"/>
        <w:rPr>
          <w:sz w:val="20"/>
        </w:rPr>
      </w:pPr>
      <w:r>
        <w:rPr>
          <w:sz w:val="20"/>
        </w:rPr>
        <w:t>H21.2,</w:t>
      </w:r>
      <w:r>
        <w:rPr>
          <w:spacing w:val="-5"/>
          <w:sz w:val="20"/>
        </w:rPr>
        <w:t> </w:t>
      </w:r>
      <w:r>
        <w:rPr>
          <w:sz w:val="20"/>
        </w:rPr>
        <w:t>H21.3,</w:t>
      </w:r>
      <w:r>
        <w:rPr>
          <w:spacing w:val="-5"/>
          <w:sz w:val="20"/>
        </w:rPr>
        <w:t> </w:t>
      </w:r>
      <w:r>
        <w:rPr>
          <w:sz w:val="20"/>
        </w:rPr>
        <w:t>H21.4,</w:t>
      </w:r>
      <w:r>
        <w:rPr>
          <w:spacing w:val="-4"/>
          <w:sz w:val="20"/>
        </w:rPr>
        <w:t> </w:t>
      </w:r>
      <w:r>
        <w:rPr>
          <w:sz w:val="20"/>
        </w:rPr>
        <w:t>H21.5,</w:t>
      </w:r>
      <w:r>
        <w:rPr>
          <w:spacing w:val="-6"/>
          <w:sz w:val="20"/>
        </w:rPr>
        <w:t> </w:t>
      </w:r>
      <w:r>
        <w:rPr>
          <w:sz w:val="20"/>
        </w:rPr>
        <w:t>H21.8,</w:t>
      </w:r>
      <w:r>
        <w:rPr>
          <w:spacing w:val="-4"/>
          <w:sz w:val="20"/>
        </w:rPr>
        <w:t> </w:t>
      </w:r>
      <w:r>
        <w:rPr>
          <w:sz w:val="20"/>
        </w:rPr>
        <w:t>H21.9,</w:t>
      </w:r>
      <w:r>
        <w:rPr>
          <w:spacing w:val="-6"/>
          <w:sz w:val="20"/>
        </w:rPr>
        <w:t> </w:t>
      </w:r>
      <w:r>
        <w:rPr>
          <w:spacing w:val="-4"/>
          <w:sz w:val="20"/>
        </w:rPr>
        <w:t>H22,</w:t>
      </w:r>
    </w:p>
    <w:p>
      <w:pPr>
        <w:spacing w:before="0"/>
        <w:ind w:left="4605" w:right="0" w:firstLine="0"/>
        <w:jc w:val="left"/>
        <w:rPr>
          <w:sz w:val="20"/>
        </w:rPr>
      </w:pPr>
      <w:r>
        <w:rPr>
          <w:sz w:val="20"/>
        </w:rPr>
        <w:t>H22.0,</w:t>
      </w:r>
      <w:r>
        <w:rPr>
          <w:spacing w:val="-6"/>
          <w:sz w:val="20"/>
        </w:rPr>
        <w:t> </w:t>
      </w:r>
      <w:r>
        <w:rPr>
          <w:sz w:val="20"/>
        </w:rPr>
        <w:t>H22.1,</w:t>
      </w:r>
      <w:r>
        <w:rPr>
          <w:spacing w:val="-6"/>
          <w:sz w:val="20"/>
        </w:rPr>
        <w:t> </w:t>
      </w:r>
      <w:r>
        <w:rPr>
          <w:sz w:val="20"/>
        </w:rPr>
        <w:t>H22.8,</w:t>
      </w:r>
      <w:r>
        <w:rPr>
          <w:spacing w:val="-5"/>
          <w:sz w:val="20"/>
        </w:rPr>
        <w:t> </w:t>
      </w:r>
      <w:r>
        <w:rPr>
          <w:sz w:val="20"/>
        </w:rPr>
        <w:t>H25,</w:t>
      </w:r>
      <w:r>
        <w:rPr>
          <w:spacing w:val="-6"/>
          <w:sz w:val="20"/>
        </w:rPr>
        <w:t> </w:t>
      </w:r>
      <w:r>
        <w:rPr>
          <w:sz w:val="20"/>
        </w:rPr>
        <w:t>H25.0,</w:t>
      </w:r>
      <w:r>
        <w:rPr>
          <w:spacing w:val="-5"/>
          <w:sz w:val="20"/>
        </w:rPr>
        <w:t> </w:t>
      </w:r>
      <w:r>
        <w:rPr>
          <w:sz w:val="20"/>
        </w:rPr>
        <w:t>H25.1,</w:t>
      </w:r>
      <w:r>
        <w:rPr>
          <w:spacing w:val="-5"/>
          <w:sz w:val="20"/>
        </w:rPr>
        <w:t> </w:t>
      </w:r>
      <w:r>
        <w:rPr>
          <w:spacing w:val="-2"/>
          <w:sz w:val="20"/>
        </w:rPr>
        <w:t>H25.2,</w:t>
      </w:r>
    </w:p>
    <w:p>
      <w:pPr>
        <w:spacing w:line="229" w:lineRule="exact" w:before="1"/>
        <w:ind w:left="4605" w:right="0" w:firstLine="0"/>
        <w:jc w:val="left"/>
        <w:rPr>
          <w:sz w:val="20"/>
        </w:rPr>
      </w:pPr>
      <w:r>
        <w:rPr>
          <w:sz w:val="20"/>
        </w:rPr>
        <w:t>H25.8,</w:t>
      </w:r>
      <w:r>
        <w:rPr>
          <w:spacing w:val="-5"/>
          <w:sz w:val="20"/>
        </w:rPr>
        <w:t> </w:t>
      </w:r>
      <w:r>
        <w:rPr>
          <w:sz w:val="20"/>
        </w:rPr>
        <w:t>H25.9,</w:t>
      </w:r>
      <w:r>
        <w:rPr>
          <w:spacing w:val="-6"/>
          <w:sz w:val="20"/>
        </w:rPr>
        <w:t> </w:t>
      </w:r>
      <w:r>
        <w:rPr>
          <w:sz w:val="20"/>
        </w:rPr>
        <w:t>H26,</w:t>
      </w:r>
      <w:r>
        <w:rPr>
          <w:spacing w:val="-4"/>
          <w:sz w:val="20"/>
        </w:rPr>
        <w:t> </w:t>
      </w:r>
      <w:r>
        <w:rPr>
          <w:sz w:val="20"/>
        </w:rPr>
        <w:t>H26.0,</w:t>
      </w:r>
      <w:r>
        <w:rPr>
          <w:spacing w:val="-5"/>
          <w:sz w:val="20"/>
        </w:rPr>
        <w:t> </w:t>
      </w:r>
      <w:r>
        <w:rPr>
          <w:sz w:val="20"/>
        </w:rPr>
        <w:t>H26.1,</w:t>
      </w:r>
      <w:r>
        <w:rPr>
          <w:spacing w:val="-4"/>
          <w:sz w:val="20"/>
        </w:rPr>
        <w:t> </w:t>
      </w:r>
      <w:r>
        <w:rPr>
          <w:sz w:val="20"/>
        </w:rPr>
        <w:t>H26.2,</w:t>
      </w:r>
      <w:r>
        <w:rPr>
          <w:spacing w:val="-5"/>
          <w:sz w:val="20"/>
        </w:rPr>
        <w:t> </w:t>
      </w:r>
      <w:r>
        <w:rPr>
          <w:spacing w:val="-2"/>
          <w:sz w:val="20"/>
        </w:rPr>
        <w:t>H26.3,</w:t>
      </w:r>
    </w:p>
    <w:p>
      <w:pPr>
        <w:spacing w:line="229" w:lineRule="exact" w:before="0"/>
        <w:ind w:left="4605" w:right="0" w:firstLine="0"/>
        <w:jc w:val="left"/>
        <w:rPr>
          <w:sz w:val="20"/>
        </w:rPr>
      </w:pPr>
      <w:r>
        <w:rPr>
          <w:sz w:val="20"/>
        </w:rPr>
        <w:t>H26.4,</w:t>
      </w:r>
      <w:r>
        <w:rPr>
          <w:spacing w:val="-6"/>
          <w:sz w:val="20"/>
        </w:rPr>
        <w:t> </w:t>
      </w:r>
      <w:r>
        <w:rPr>
          <w:sz w:val="20"/>
        </w:rPr>
        <w:t>H26.8,</w:t>
      </w:r>
      <w:r>
        <w:rPr>
          <w:spacing w:val="-6"/>
          <w:sz w:val="20"/>
        </w:rPr>
        <w:t> </w:t>
      </w:r>
      <w:r>
        <w:rPr>
          <w:sz w:val="20"/>
        </w:rPr>
        <w:t>H26.9,</w:t>
      </w:r>
      <w:r>
        <w:rPr>
          <w:spacing w:val="-5"/>
          <w:sz w:val="20"/>
        </w:rPr>
        <w:t> </w:t>
      </w:r>
      <w:r>
        <w:rPr>
          <w:sz w:val="20"/>
        </w:rPr>
        <w:t>H27,</w:t>
      </w:r>
      <w:r>
        <w:rPr>
          <w:spacing w:val="-6"/>
          <w:sz w:val="20"/>
        </w:rPr>
        <w:t> </w:t>
      </w:r>
      <w:r>
        <w:rPr>
          <w:sz w:val="20"/>
        </w:rPr>
        <w:t>H27.0,</w:t>
      </w:r>
      <w:r>
        <w:rPr>
          <w:spacing w:val="-5"/>
          <w:sz w:val="20"/>
        </w:rPr>
        <w:t> </w:t>
      </w:r>
      <w:r>
        <w:rPr>
          <w:sz w:val="20"/>
        </w:rPr>
        <w:t>H27.1,</w:t>
      </w:r>
      <w:r>
        <w:rPr>
          <w:spacing w:val="-5"/>
          <w:sz w:val="20"/>
        </w:rPr>
        <w:t> </w:t>
      </w:r>
      <w:r>
        <w:rPr>
          <w:spacing w:val="-2"/>
          <w:sz w:val="20"/>
        </w:rPr>
        <w:t>H27.8,</w:t>
      </w:r>
    </w:p>
    <w:p>
      <w:pPr>
        <w:spacing w:before="0"/>
        <w:ind w:left="4679" w:right="0" w:firstLine="0"/>
        <w:jc w:val="left"/>
        <w:rPr>
          <w:sz w:val="20"/>
        </w:rPr>
      </w:pPr>
      <w:r>
        <w:rPr>
          <w:sz w:val="20"/>
        </w:rPr>
        <w:t>H27.9,</w:t>
      </w:r>
      <w:r>
        <w:rPr>
          <w:spacing w:val="-6"/>
          <w:sz w:val="20"/>
        </w:rPr>
        <w:t> </w:t>
      </w:r>
      <w:r>
        <w:rPr>
          <w:sz w:val="20"/>
        </w:rPr>
        <w:t>H28,</w:t>
      </w:r>
      <w:r>
        <w:rPr>
          <w:spacing w:val="-6"/>
          <w:sz w:val="20"/>
        </w:rPr>
        <w:t> </w:t>
      </w:r>
      <w:r>
        <w:rPr>
          <w:sz w:val="20"/>
        </w:rPr>
        <w:t>H28.0,</w:t>
      </w:r>
      <w:r>
        <w:rPr>
          <w:spacing w:val="-5"/>
          <w:sz w:val="20"/>
        </w:rPr>
        <w:t> </w:t>
      </w:r>
      <w:r>
        <w:rPr>
          <w:sz w:val="20"/>
        </w:rPr>
        <w:t>H28.1,</w:t>
      </w:r>
      <w:r>
        <w:rPr>
          <w:spacing w:val="-6"/>
          <w:sz w:val="20"/>
        </w:rPr>
        <w:t> </w:t>
      </w:r>
      <w:r>
        <w:rPr>
          <w:sz w:val="20"/>
        </w:rPr>
        <w:t>H28.2,</w:t>
      </w:r>
      <w:r>
        <w:rPr>
          <w:spacing w:val="-5"/>
          <w:sz w:val="20"/>
        </w:rPr>
        <w:t> </w:t>
      </w:r>
      <w:r>
        <w:rPr>
          <w:sz w:val="20"/>
        </w:rPr>
        <w:t>H28.8,</w:t>
      </w:r>
      <w:r>
        <w:rPr>
          <w:spacing w:val="-6"/>
          <w:sz w:val="20"/>
        </w:rPr>
        <w:t> </w:t>
      </w:r>
      <w:r>
        <w:rPr>
          <w:spacing w:val="-4"/>
          <w:sz w:val="20"/>
        </w:rPr>
        <w:t>H30,</w:t>
      </w:r>
    </w:p>
    <w:p>
      <w:pPr>
        <w:spacing w:before="0"/>
        <w:ind w:left="4602" w:right="0" w:firstLine="0"/>
        <w:jc w:val="left"/>
        <w:rPr>
          <w:sz w:val="20"/>
        </w:rPr>
      </w:pPr>
      <w:r>
        <w:rPr>
          <w:sz w:val="20"/>
        </w:rPr>
        <w:t>H30.0,</w:t>
      </w:r>
      <w:r>
        <w:rPr>
          <w:spacing w:val="-4"/>
          <w:sz w:val="20"/>
        </w:rPr>
        <w:t> </w:t>
      </w:r>
      <w:r>
        <w:rPr>
          <w:sz w:val="20"/>
        </w:rPr>
        <w:t>H30.1,</w:t>
      </w:r>
      <w:r>
        <w:rPr>
          <w:spacing w:val="-6"/>
          <w:sz w:val="20"/>
        </w:rPr>
        <w:t> </w:t>
      </w:r>
      <w:r>
        <w:rPr>
          <w:sz w:val="20"/>
        </w:rPr>
        <w:t>H30.2,</w:t>
      </w:r>
      <w:r>
        <w:rPr>
          <w:spacing w:val="-4"/>
          <w:sz w:val="20"/>
        </w:rPr>
        <w:t> </w:t>
      </w:r>
      <w:r>
        <w:rPr>
          <w:sz w:val="20"/>
        </w:rPr>
        <w:t>H30.8,</w:t>
      </w:r>
      <w:r>
        <w:rPr>
          <w:spacing w:val="-6"/>
          <w:sz w:val="20"/>
        </w:rPr>
        <w:t> </w:t>
      </w:r>
      <w:r>
        <w:rPr>
          <w:sz w:val="20"/>
        </w:rPr>
        <w:t>H30.9,</w:t>
      </w:r>
      <w:r>
        <w:rPr>
          <w:spacing w:val="-4"/>
          <w:sz w:val="20"/>
        </w:rPr>
        <w:t> </w:t>
      </w:r>
      <w:r>
        <w:rPr>
          <w:sz w:val="20"/>
        </w:rPr>
        <w:t>H31,</w:t>
      </w:r>
      <w:r>
        <w:rPr>
          <w:spacing w:val="-4"/>
          <w:sz w:val="20"/>
        </w:rPr>
        <w:t> </w:t>
      </w:r>
      <w:r>
        <w:rPr>
          <w:spacing w:val="-2"/>
          <w:sz w:val="20"/>
        </w:rPr>
        <w:t>H31.0,</w:t>
      </w:r>
    </w:p>
    <w:p>
      <w:pPr>
        <w:spacing w:before="1"/>
        <w:ind w:left="4602" w:right="0" w:firstLine="0"/>
        <w:jc w:val="left"/>
        <w:rPr>
          <w:sz w:val="20"/>
        </w:rPr>
      </w:pPr>
      <w:r>
        <w:rPr>
          <w:sz w:val="20"/>
        </w:rPr>
        <w:t>H31.1,</w:t>
      </w:r>
      <w:r>
        <w:rPr>
          <w:spacing w:val="-5"/>
          <w:sz w:val="20"/>
        </w:rPr>
        <w:t> </w:t>
      </w:r>
      <w:r>
        <w:rPr>
          <w:sz w:val="20"/>
        </w:rPr>
        <w:t>H31.2,</w:t>
      </w:r>
      <w:r>
        <w:rPr>
          <w:spacing w:val="-5"/>
          <w:sz w:val="20"/>
        </w:rPr>
        <w:t> </w:t>
      </w:r>
      <w:r>
        <w:rPr>
          <w:sz w:val="20"/>
        </w:rPr>
        <w:t>H31.3,</w:t>
      </w:r>
      <w:r>
        <w:rPr>
          <w:spacing w:val="-4"/>
          <w:sz w:val="20"/>
        </w:rPr>
        <w:t> </w:t>
      </w:r>
      <w:r>
        <w:rPr>
          <w:sz w:val="20"/>
        </w:rPr>
        <w:t>H31.4,</w:t>
      </w:r>
      <w:r>
        <w:rPr>
          <w:spacing w:val="-6"/>
          <w:sz w:val="20"/>
        </w:rPr>
        <w:t> </w:t>
      </w:r>
      <w:r>
        <w:rPr>
          <w:sz w:val="20"/>
        </w:rPr>
        <w:t>H31.8,</w:t>
      </w:r>
      <w:r>
        <w:rPr>
          <w:spacing w:val="-4"/>
          <w:sz w:val="20"/>
        </w:rPr>
        <w:t> </w:t>
      </w:r>
      <w:r>
        <w:rPr>
          <w:sz w:val="20"/>
        </w:rPr>
        <w:t>H31.9,</w:t>
      </w:r>
      <w:r>
        <w:rPr>
          <w:spacing w:val="-6"/>
          <w:sz w:val="20"/>
        </w:rPr>
        <w:t> </w:t>
      </w:r>
      <w:r>
        <w:rPr>
          <w:spacing w:val="-4"/>
          <w:sz w:val="20"/>
        </w:rPr>
        <w:t>H32,</w:t>
      </w:r>
    </w:p>
    <w:p>
      <w:pPr>
        <w:spacing w:before="1"/>
        <w:ind w:left="4605" w:right="0" w:firstLine="0"/>
        <w:jc w:val="left"/>
        <w:rPr>
          <w:sz w:val="20"/>
        </w:rPr>
      </w:pPr>
      <w:r>
        <w:rPr>
          <w:sz w:val="20"/>
        </w:rPr>
        <w:t>H32.0,</w:t>
      </w:r>
      <w:r>
        <w:rPr>
          <w:spacing w:val="-6"/>
          <w:sz w:val="20"/>
        </w:rPr>
        <w:t> </w:t>
      </w:r>
      <w:r>
        <w:rPr>
          <w:sz w:val="20"/>
        </w:rPr>
        <w:t>H32.8,</w:t>
      </w:r>
      <w:r>
        <w:rPr>
          <w:spacing w:val="-7"/>
          <w:sz w:val="20"/>
        </w:rPr>
        <w:t> </w:t>
      </w:r>
      <w:r>
        <w:rPr>
          <w:sz w:val="20"/>
        </w:rPr>
        <w:t>H33,</w:t>
      </w:r>
      <w:r>
        <w:rPr>
          <w:spacing w:val="-5"/>
          <w:sz w:val="20"/>
        </w:rPr>
        <w:t> </w:t>
      </w:r>
      <w:r>
        <w:rPr>
          <w:sz w:val="20"/>
        </w:rPr>
        <w:t>H33.0,</w:t>
      </w:r>
      <w:r>
        <w:rPr>
          <w:spacing w:val="-5"/>
          <w:sz w:val="20"/>
        </w:rPr>
        <w:t> </w:t>
      </w:r>
      <w:r>
        <w:rPr>
          <w:sz w:val="20"/>
        </w:rPr>
        <w:t>H33.1,</w:t>
      </w:r>
      <w:r>
        <w:rPr>
          <w:spacing w:val="-5"/>
          <w:sz w:val="20"/>
        </w:rPr>
        <w:t> </w:t>
      </w:r>
      <w:r>
        <w:rPr>
          <w:sz w:val="20"/>
        </w:rPr>
        <w:t>H33.2,</w:t>
      </w:r>
      <w:r>
        <w:rPr>
          <w:spacing w:val="-6"/>
          <w:sz w:val="20"/>
        </w:rPr>
        <w:t> </w:t>
      </w:r>
      <w:r>
        <w:rPr>
          <w:spacing w:val="-2"/>
          <w:sz w:val="20"/>
        </w:rPr>
        <w:t>H33.3,</w:t>
      </w:r>
    </w:p>
    <w:p>
      <w:pPr>
        <w:spacing w:line="229" w:lineRule="exact" w:before="0"/>
        <w:ind w:left="4605" w:right="0" w:firstLine="0"/>
        <w:jc w:val="left"/>
        <w:rPr>
          <w:sz w:val="20"/>
        </w:rPr>
      </w:pPr>
      <w:r>
        <w:rPr>
          <w:sz w:val="20"/>
        </w:rPr>
        <w:t>H33.4,</w:t>
      </w:r>
      <w:r>
        <w:rPr>
          <w:spacing w:val="-6"/>
          <w:sz w:val="20"/>
        </w:rPr>
        <w:t> </w:t>
      </w:r>
      <w:r>
        <w:rPr>
          <w:sz w:val="20"/>
        </w:rPr>
        <w:t>H33.5,</w:t>
      </w:r>
      <w:r>
        <w:rPr>
          <w:spacing w:val="-6"/>
          <w:sz w:val="20"/>
        </w:rPr>
        <w:t> </w:t>
      </w:r>
      <w:r>
        <w:rPr>
          <w:sz w:val="20"/>
        </w:rPr>
        <w:t>H34,</w:t>
      </w:r>
      <w:r>
        <w:rPr>
          <w:spacing w:val="-5"/>
          <w:sz w:val="20"/>
        </w:rPr>
        <w:t> </w:t>
      </w:r>
      <w:r>
        <w:rPr>
          <w:sz w:val="20"/>
        </w:rPr>
        <w:t>H34.0,</w:t>
      </w:r>
      <w:r>
        <w:rPr>
          <w:spacing w:val="-6"/>
          <w:sz w:val="20"/>
        </w:rPr>
        <w:t> </w:t>
      </w:r>
      <w:r>
        <w:rPr>
          <w:sz w:val="20"/>
        </w:rPr>
        <w:t>H34.1,</w:t>
      </w:r>
      <w:r>
        <w:rPr>
          <w:spacing w:val="-5"/>
          <w:sz w:val="20"/>
        </w:rPr>
        <w:t> </w:t>
      </w:r>
      <w:r>
        <w:rPr>
          <w:sz w:val="20"/>
        </w:rPr>
        <w:t>H34.2,</w:t>
      </w:r>
      <w:r>
        <w:rPr>
          <w:spacing w:val="-5"/>
          <w:sz w:val="20"/>
        </w:rPr>
        <w:t> </w:t>
      </w:r>
      <w:r>
        <w:rPr>
          <w:spacing w:val="-2"/>
          <w:sz w:val="20"/>
        </w:rPr>
        <w:t>H34.8,</w:t>
      </w:r>
    </w:p>
    <w:p>
      <w:pPr>
        <w:spacing w:line="229" w:lineRule="exact" w:before="0"/>
        <w:ind w:left="4605" w:right="0" w:firstLine="0"/>
        <w:jc w:val="left"/>
        <w:rPr>
          <w:sz w:val="20"/>
        </w:rPr>
      </w:pPr>
      <w:r>
        <w:rPr>
          <w:sz w:val="20"/>
        </w:rPr>
        <w:t>H34.9,</w:t>
      </w:r>
      <w:r>
        <w:rPr>
          <w:spacing w:val="-6"/>
          <w:sz w:val="20"/>
        </w:rPr>
        <w:t> </w:t>
      </w:r>
      <w:r>
        <w:rPr>
          <w:sz w:val="20"/>
        </w:rPr>
        <w:t>H35,</w:t>
      </w:r>
      <w:r>
        <w:rPr>
          <w:spacing w:val="-6"/>
          <w:sz w:val="20"/>
        </w:rPr>
        <w:t> </w:t>
      </w:r>
      <w:r>
        <w:rPr>
          <w:sz w:val="20"/>
        </w:rPr>
        <w:t>H35.0,</w:t>
      </w:r>
      <w:r>
        <w:rPr>
          <w:spacing w:val="-5"/>
          <w:sz w:val="20"/>
        </w:rPr>
        <w:t> </w:t>
      </w:r>
      <w:r>
        <w:rPr>
          <w:sz w:val="20"/>
        </w:rPr>
        <w:t>H35.1,</w:t>
      </w:r>
      <w:r>
        <w:rPr>
          <w:spacing w:val="-6"/>
          <w:sz w:val="20"/>
        </w:rPr>
        <w:t> </w:t>
      </w:r>
      <w:r>
        <w:rPr>
          <w:sz w:val="20"/>
        </w:rPr>
        <w:t>H35.2,</w:t>
      </w:r>
      <w:r>
        <w:rPr>
          <w:spacing w:val="-5"/>
          <w:sz w:val="20"/>
        </w:rPr>
        <w:t> </w:t>
      </w:r>
      <w:r>
        <w:rPr>
          <w:sz w:val="20"/>
        </w:rPr>
        <w:t>H35.3,</w:t>
      </w:r>
      <w:r>
        <w:rPr>
          <w:spacing w:val="-6"/>
          <w:sz w:val="20"/>
        </w:rPr>
        <w:t> </w:t>
      </w:r>
      <w:r>
        <w:rPr>
          <w:spacing w:val="-2"/>
          <w:sz w:val="20"/>
        </w:rPr>
        <w:t>H35.4,</w:t>
      </w:r>
    </w:p>
    <w:p>
      <w:pPr>
        <w:spacing w:before="0"/>
        <w:ind w:left="4602" w:right="0" w:firstLine="0"/>
        <w:jc w:val="left"/>
        <w:rPr>
          <w:sz w:val="20"/>
        </w:rPr>
      </w:pPr>
      <w:r>
        <w:rPr>
          <w:sz w:val="20"/>
        </w:rPr>
        <w:t>H35.5,</w:t>
      </w:r>
      <w:r>
        <w:rPr>
          <w:spacing w:val="-4"/>
          <w:sz w:val="20"/>
        </w:rPr>
        <w:t> </w:t>
      </w:r>
      <w:r>
        <w:rPr>
          <w:sz w:val="20"/>
        </w:rPr>
        <w:t>H35.6,</w:t>
      </w:r>
      <w:r>
        <w:rPr>
          <w:spacing w:val="-6"/>
          <w:sz w:val="20"/>
        </w:rPr>
        <w:t> </w:t>
      </w:r>
      <w:r>
        <w:rPr>
          <w:sz w:val="20"/>
        </w:rPr>
        <w:t>H35.7,</w:t>
      </w:r>
      <w:r>
        <w:rPr>
          <w:spacing w:val="-4"/>
          <w:sz w:val="20"/>
        </w:rPr>
        <w:t> </w:t>
      </w:r>
      <w:r>
        <w:rPr>
          <w:sz w:val="20"/>
        </w:rPr>
        <w:t>H35.8,</w:t>
      </w:r>
      <w:r>
        <w:rPr>
          <w:spacing w:val="-6"/>
          <w:sz w:val="20"/>
        </w:rPr>
        <w:t> </w:t>
      </w:r>
      <w:r>
        <w:rPr>
          <w:sz w:val="20"/>
        </w:rPr>
        <w:t>H35.9,</w:t>
      </w:r>
      <w:r>
        <w:rPr>
          <w:spacing w:val="-4"/>
          <w:sz w:val="20"/>
        </w:rPr>
        <w:t> </w:t>
      </w:r>
      <w:r>
        <w:rPr>
          <w:sz w:val="20"/>
        </w:rPr>
        <w:t>H36,</w:t>
      </w:r>
      <w:r>
        <w:rPr>
          <w:spacing w:val="-4"/>
          <w:sz w:val="20"/>
        </w:rPr>
        <w:t> </w:t>
      </w:r>
      <w:r>
        <w:rPr>
          <w:spacing w:val="-2"/>
          <w:sz w:val="20"/>
        </w:rPr>
        <w:t>H36.0,</w:t>
      </w:r>
    </w:p>
    <w:p>
      <w:pPr>
        <w:spacing w:before="1"/>
        <w:ind w:left="4605" w:right="0" w:firstLine="0"/>
        <w:jc w:val="left"/>
        <w:rPr>
          <w:sz w:val="20"/>
        </w:rPr>
      </w:pPr>
      <w:r>
        <w:rPr>
          <w:sz w:val="20"/>
        </w:rPr>
        <w:t>H36.8,</w:t>
      </w:r>
      <w:r>
        <w:rPr>
          <w:spacing w:val="-6"/>
          <w:sz w:val="20"/>
        </w:rPr>
        <w:t> </w:t>
      </w:r>
      <w:r>
        <w:rPr>
          <w:sz w:val="20"/>
        </w:rPr>
        <w:t>H40,</w:t>
      </w:r>
      <w:r>
        <w:rPr>
          <w:spacing w:val="-6"/>
          <w:sz w:val="20"/>
        </w:rPr>
        <w:t> </w:t>
      </w:r>
      <w:r>
        <w:rPr>
          <w:sz w:val="20"/>
        </w:rPr>
        <w:t>H40.0,</w:t>
      </w:r>
      <w:r>
        <w:rPr>
          <w:spacing w:val="-5"/>
          <w:sz w:val="20"/>
        </w:rPr>
        <w:t> </w:t>
      </w:r>
      <w:r>
        <w:rPr>
          <w:sz w:val="20"/>
        </w:rPr>
        <w:t>H40.1,</w:t>
      </w:r>
      <w:r>
        <w:rPr>
          <w:spacing w:val="-6"/>
          <w:sz w:val="20"/>
        </w:rPr>
        <w:t> </w:t>
      </w:r>
      <w:r>
        <w:rPr>
          <w:sz w:val="20"/>
        </w:rPr>
        <w:t>H40.2,</w:t>
      </w:r>
      <w:r>
        <w:rPr>
          <w:spacing w:val="-5"/>
          <w:sz w:val="20"/>
        </w:rPr>
        <w:t> </w:t>
      </w:r>
      <w:r>
        <w:rPr>
          <w:sz w:val="20"/>
        </w:rPr>
        <w:t>H40.3,</w:t>
      </w:r>
      <w:r>
        <w:rPr>
          <w:spacing w:val="-6"/>
          <w:sz w:val="20"/>
        </w:rPr>
        <w:t> </w:t>
      </w:r>
      <w:r>
        <w:rPr>
          <w:spacing w:val="-2"/>
          <w:sz w:val="20"/>
        </w:rPr>
        <w:t>H40.4,</w:t>
      </w:r>
    </w:p>
    <w:p>
      <w:pPr>
        <w:spacing w:before="0"/>
        <w:ind w:left="4602" w:right="0" w:firstLine="0"/>
        <w:jc w:val="left"/>
        <w:rPr>
          <w:sz w:val="20"/>
        </w:rPr>
      </w:pPr>
      <w:r>
        <w:rPr>
          <w:sz w:val="20"/>
        </w:rPr>
        <w:t>H40.5,</w:t>
      </w:r>
      <w:r>
        <w:rPr>
          <w:spacing w:val="-4"/>
          <w:sz w:val="20"/>
        </w:rPr>
        <w:t> </w:t>
      </w:r>
      <w:r>
        <w:rPr>
          <w:sz w:val="20"/>
        </w:rPr>
        <w:t>H40.6,</w:t>
      </w:r>
      <w:r>
        <w:rPr>
          <w:spacing w:val="-6"/>
          <w:sz w:val="20"/>
        </w:rPr>
        <w:t> </w:t>
      </w:r>
      <w:r>
        <w:rPr>
          <w:sz w:val="20"/>
        </w:rPr>
        <w:t>H40.8,</w:t>
      </w:r>
      <w:r>
        <w:rPr>
          <w:spacing w:val="-4"/>
          <w:sz w:val="20"/>
        </w:rPr>
        <w:t> </w:t>
      </w:r>
      <w:r>
        <w:rPr>
          <w:sz w:val="20"/>
        </w:rPr>
        <w:t>H40.9,</w:t>
      </w:r>
      <w:r>
        <w:rPr>
          <w:spacing w:val="-6"/>
          <w:sz w:val="20"/>
        </w:rPr>
        <w:t> </w:t>
      </w:r>
      <w:r>
        <w:rPr>
          <w:sz w:val="20"/>
        </w:rPr>
        <w:t>H42,</w:t>
      </w:r>
      <w:r>
        <w:rPr>
          <w:spacing w:val="-4"/>
          <w:sz w:val="20"/>
        </w:rPr>
        <w:t> </w:t>
      </w:r>
      <w:r>
        <w:rPr>
          <w:sz w:val="20"/>
        </w:rPr>
        <w:t>H42.0,</w:t>
      </w:r>
      <w:r>
        <w:rPr>
          <w:spacing w:val="-4"/>
          <w:sz w:val="20"/>
        </w:rPr>
        <w:t> </w:t>
      </w:r>
      <w:r>
        <w:rPr>
          <w:spacing w:val="-2"/>
          <w:sz w:val="20"/>
        </w:rPr>
        <w:t>H42.8,</w:t>
      </w:r>
    </w:p>
    <w:p>
      <w:pPr>
        <w:spacing w:line="229" w:lineRule="exact" w:before="1"/>
        <w:ind w:left="4605" w:right="0" w:firstLine="0"/>
        <w:jc w:val="left"/>
        <w:rPr>
          <w:sz w:val="20"/>
        </w:rPr>
      </w:pPr>
      <w:r>
        <w:rPr>
          <w:sz w:val="20"/>
        </w:rPr>
        <w:t>H43,</w:t>
      </w:r>
      <w:r>
        <w:rPr>
          <w:spacing w:val="-6"/>
          <w:sz w:val="20"/>
        </w:rPr>
        <w:t> </w:t>
      </w:r>
      <w:r>
        <w:rPr>
          <w:sz w:val="20"/>
        </w:rPr>
        <w:t>H43.0,</w:t>
      </w:r>
      <w:r>
        <w:rPr>
          <w:spacing w:val="-5"/>
          <w:sz w:val="20"/>
        </w:rPr>
        <w:t> </w:t>
      </w:r>
      <w:r>
        <w:rPr>
          <w:sz w:val="20"/>
        </w:rPr>
        <w:t>H43.1,</w:t>
      </w:r>
      <w:r>
        <w:rPr>
          <w:spacing w:val="-6"/>
          <w:sz w:val="20"/>
        </w:rPr>
        <w:t> </w:t>
      </w:r>
      <w:r>
        <w:rPr>
          <w:sz w:val="20"/>
        </w:rPr>
        <w:t>H43.2,</w:t>
      </w:r>
      <w:r>
        <w:rPr>
          <w:spacing w:val="-5"/>
          <w:sz w:val="20"/>
        </w:rPr>
        <w:t> </w:t>
      </w:r>
      <w:r>
        <w:rPr>
          <w:sz w:val="20"/>
        </w:rPr>
        <w:t>H43.3,</w:t>
      </w:r>
      <w:r>
        <w:rPr>
          <w:spacing w:val="-1"/>
          <w:sz w:val="20"/>
        </w:rPr>
        <w:t> </w:t>
      </w:r>
      <w:r>
        <w:rPr>
          <w:sz w:val="20"/>
        </w:rPr>
        <w:t>H43.8,</w:t>
      </w:r>
      <w:r>
        <w:rPr>
          <w:spacing w:val="-6"/>
          <w:sz w:val="20"/>
        </w:rPr>
        <w:t> </w:t>
      </w:r>
      <w:r>
        <w:rPr>
          <w:spacing w:val="-2"/>
          <w:sz w:val="20"/>
        </w:rPr>
        <w:t>H43.9,</w:t>
      </w:r>
    </w:p>
    <w:p>
      <w:pPr>
        <w:spacing w:line="229" w:lineRule="exact" w:before="0"/>
        <w:ind w:left="4605" w:right="0" w:firstLine="0"/>
        <w:jc w:val="left"/>
        <w:rPr>
          <w:sz w:val="20"/>
        </w:rPr>
      </w:pPr>
      <w:r>
        <w:rPr>
          <w:sz w:val="20"/>
        </w:rPr>
        <w:t>H44,</w:t>
      </w:r>
      <w:r>
        <w:rPr>
          <w:spacing w:val="-6"/>
          <w:sz w:val="20"/>
        </w:rPr>
        <w:t> </w:t>
      </w:r>
      <w:r>
        <w:rPr>
          <w:sz w:val="20"/>
        </w:rPr>
        <w:t>H44.0,</w:t>
      </w:r>
      <w:r>
        <w:rPr>
          <w:spacing w:val="-6"/>
          <w:sz w:val="20"/>
        </w:rPr>
        <w:t> </w:t>
      </w:r>
      <w:r>
        <w:rPr>
          <w:sz w:val="20"/>
        </w:rPr>
        <w:t>H44.1,</w:t>
      </w:r>
      <w:r>
        <w:rPr>
          <w:spacing w:val="-5"/>
          <w:sz w:val="20"/>
        </w:rPr>
        <w:t> </w:t>
      </w:r>
      <w:r>
        <w:rPr>
          <w:sz w:val="20"/>
        </w:rPr>
        <w:t>H44.2,</w:t>
      </w:r>
      <w:r>
        <w:rPr>
          <w:spacing w:val="-6"/>
          <w:sz w:val="20"/>
        </w:rPr>
        <w:t> </w:t>
      </w:r>
      <w:r>
        <w:rPr>
          <w:sz w:val="20"/>
        </w:rPr>
        <w:t>H44.3,</w:t>
      </w:r>
      <w:r>
        <w:rPr>
          <w:spacing w:val="-5"/>
          <w:sz w:val="20"/>
        </w:rPr>
        <w:t> </w:t>
      </w:r>
      <w:r>
        <w:rPr>
          <w:sz w:val="20"/>
        </w:rPr>
        <w:t>H44.4,</w:t>
      </w:r>
      <w:r>
        <w:rPr>
          <w:spacing w:val="-6"/>
          <w:sz w:val="20"/>
        </w:rPr>
        <w:t> </w:t>
      </w:r>
      <w:r>
        <w:rPr>
          <w:spacing w:val="-2"/>
          <w:sz w:val="20"/>
        </w:rPr>
        <w:t>H44.5,</w:t>
      </w:r>
    </w:p>
    <w:p>
      <w:pPr>
        <w:spacing w:before="0"/>
        <w:ind w:left="4602" w:right="0" w:firstLine="0"/>
        <w:jc w:val="left"/>
        <w:rPr>
          <w:sz w:val="20"/>
        </w:rPr>
      </w:pPr>
      <w:r>
        <w:rPr>
          <w:sz w:val="20"/>
        </w:rPr>
        <w:t>H44.6,</w:t>
      </w:r>
      <w:r>
        <w:rPr>
          <w:spacing w:val="-4"/>
          <w:sz w:val="20"/>
        </w:rPr>
        <w:t> </w:t>
      </w:r>
      <w:r>
        <w:rPr>
          <w:sz w:val="20"/>
        </w:rPr>
        <w:t>H44.7,</w:t>
      </w:r>
      <w:r>
        <w:rPr>
          <w:spacing w:val="-6"/>
          <w:sz w:val="20"/>
        </w:rPr>
        <w:t> </w:t>
      </w:r>
      <w:r>
        <w:rPr>
          <w:sz w:val="20"/>
        </w:rPr>
        <w:t>H44.8,</w:t>
      </w:r>
      <w:r>
        <w:rPr>
          <w:spacing w:val="-4"/>
          <w:sz w:val="20"/>
        </w:rPr>
        <w:t> </w:t>
      </w:r>
      <w:r>
        <w:rPr>
          <w:sz w:val="20"/>
        </w:rPr>
        <w:t>H44.9,</w:t>
      </w:r>
      <w:r>
        <w:rPr>
          <w:spacing w:val="-6"/>
          <w:sz w:val="20"/>
        </w:rPr>
        <w:t> </w:t>
      </w:r>
      <w:r>
        <w:rPr>
          <w:sz w:val="20"/>
        </w:rPr>
        <w:t>H45,</w:t>
      </w:r>
      <w:r>
        <w:rPr>
          <w:spacing w:val="-4"/>
          <w:sz w:val="20"/>
        </w:rPr>
        <w:t> </w:t>
      </w:r>
      <w:r>
        <w:rPr>
          <w:sz w:val="20"/>
        </w:rPr>
        <w:t>H45.0,</w:t>
      </w:r>
      <w:r>
        <w:rPr>
          <w:spacing w:val="-4"/>
          <w:sz w:val="20"/>
        </w:rPr>
        <w:t> </w:t>
      </w:r>
      <w:r>
        <w:rPr>
          <w:spacing w:val="-2"/>
          <w:sz w:val="20"/>
        </w:rPr>
        <w:t>H45.1,</w:t>
      </w:r>
    </w:p>
    <w:p>
      <w:pPr>
        <w:spacing w:before="1"/>
        <w:ind w:left="4679" w:right="0" w:firstLine="0"/>
        <w:jc w:val="left"/>
        <w:rPr>
          <w:sz w:val="20"/>
        </w:rPr>
      </w:pPr>
      <w:r>
        <w:rPr>
          <w:sz w:val="20"/>
        </w:rPr>
        <w:t>H45.8,</w:t>
      </w:r>
      <w:r>
        <w:rPr>
          <w:spacing w:val="-5"/>
          <w:sz w:val="20"/>
        </w:rPr>
        <w:t> </w:t>
      </w:r>
      <w:r>
        <w:rPr>
          <w:sz w:val="20"/>
        </w:rPr>
        <w:t>H46,</w:t>
      </w:r>
      <w:r>
        <w:rPr>
          <w:spacing w:val="-5"/>
          <w:sz w:val="20"/>
        </w:rPr>
        <w:t> </w:t>
      </w:r>
      <w:r>
        <w:rPr>
          <w:sz w:val="20"/>
        </w:rPr>
        <w:t>H47,</w:t>
      </w:r>
      <w:r>
        <w:rPr>
          <w:spacing w:val="-4"/>
          <w:sz w:val="20"/>
        </w:rPr>
        <w:t> </w:t>
      </w:r>
      <w:r>
        <w:rPr>
          <w:sz w:val="20"/>
        </w:rPr>
        <w:t>H47.0,</w:t>
      </w:r>
      <w:r>
        <w:rPr>
          <w:spacing w:val="-5"/>
          <w:sz w:val="20"/>
        </w:rPr>
        <w:t> </w:t>
      </w:r>
      <w:r>
        <w:rPr>
          <w:sz w:val="20"/>
        </w:rPr>
        <w:t>H47.1,</w:t>
      </w:r>
      <w:r>
        <w:rPr>
          <w:spacing w:val="-5"/>
          <w:sz w:val="20"/>
        </w:rPr>
        <w:t> </w:t>
      </w:r>
      <w:r>
        <w:rPr>
          <w:sz w:val="20"/>
        </w:rPr>
        <w:t>H47.2,</w:t>
      </w:r>
      <w:r>
        <w:rPr>
          <w:spacing w:val="-4"/>
          <w:sz w:val="20"/>
        </w:rPr>
        <w:t> </w:t>
      </w:r>
      <w:r>
        <w:rPr>
          <w:spacing w:val="-2"/>
          <w:sz w:val="20"/>
        </w:rPr>
        <w:t>H47.3,</w:t>
      </w:r>
    </w:p>
    <w:p>
      <w:pPr>
        <w:spacing w:before="0"/>
        <w:ind w:left="4602" w:right="0" w:firstLine="0"/>
        <w:jc w:val="left"/>
        <w:rPr>
          <w:sz w:val="20"/>
        </w:rPr>
      </w:pPr>
      <w:r>
        <w:rPr>
          <w:sz w:val="20"/>
        </w:rPr>
        <w:t>H47.4,</w:t>
      </w:r>
      <w:r>
        <w:rPr>
          <w:spacing w:val="-4"/>
          <w:sz w:val="20"/>
        </w:rPr>
        <w:t> </w:t>
      </w:r>
      <w:r>
        <w:rPr>
          <w:sz w:val="20"/>
        </w:rPr>
        <w:t>H47.5,</w:t>
      </w:r>
      <w:r>
        <w:rPr>
          <w:spacing w:val="-6"/>
          <w:sz w:val="20"/>
        </w:rPr>
        <w:t> </w:t>
      </w:r>
      <w:r>
        <w:rPr>
          <w:sz w:val="20"/>
        </w:rPr>
        <w:t>H47.6,</w:t>
      </w:r>
      <w:r>
        <w:rPr>
          <w:spacing w:val="-4"/>
          <w:sz w:val="20"/>
        </w:rPr>
        <w:t> </w:t>
      </w:r>
      <w:r>
        <w:rPr>
          <w:sz w:val="20"/>
        </w:rPr>
        <w:t>H47.7,</w:t>
      </w:r>
      <w:r>
        <w:rPr>
          <w:spacing w:val="-6"/>
          <w:sz w:val="20"/>
        </w:rPr>
        <w:t> </w:t>
      </w:r>
      <w:r>
        <w:rPr>
          <w:sz w:val="20"/>
        </w:rPr>
        <w:t>H48,</w:t>
      </w:r>
      <w:r>
        <w:rPr>
          <w:spacing w:val="-4"/>
          <w:sz w:val="20"/>
        </w:rPr>
        <w:t> </w:t>
      </w:r>
      <w:r>
        <w:rPr>
          <w:sz w:val="20"/>
        </w:rPr>
        <w:t>H48.0,</w:t>
      </w:r>
      <w:r>
        <w:rPr>
          <w:spacing w:val="-4"/>
          <w:sz w:val="20"/>
        </w:rPr>
        <w:t> </w:t>
      </w:r>
      <w:r>
        <w:rPr>
          <w:spacing w:val="-2"/>
          <w:sz w:val="20"/>
        </w:rPr>
        <w:t>H48.1,</w:t>
      </w:r>
    </w:p>
    <w:p>
      <w:pPr>
        <w:spacing w:before="1"/>
        <w:ind w:left="4605" w:right="0" w:firstLine="0"/>
        <w:jc w:val="left"/>
        <w:rPr>
          <w:sz w:val="20"/>
        </w:rPr>
      </w:pPr>
      <w:r>
        <w:rPr>
          <w:sz w:val="20"/>
        </w:rPr>
        <w:t>H48.8,</w:t>
      </w:r>
      <w:r>
        <w:rPr>
          <w:spacing w:val="-6"/>
          <w:sz w:val="20"/>
        </w:rPr>
        <w:t> </w:t>
      </w:r>
      <w:r>
        <w:rPr>
          <w:sz w:val="20"/>
        </w:rPr>
        <w:t>H49,</w:t>
      </w:r>
      <w:r>
        <w:rPr>
          <w:spacing w:val="-6"/>
          <w:sz w:val="20"/>
        </w:rPr>
        <w:t> </w:t>
      </w:r>
      <w:r>
        <w:rPr>
          <w:sz w:val="20"/>
        </w:rPr>
        <w:t>H49.0,</w:t>
      </w:r>
      <w:r>
        <w:rPr>
          <w:spacing w:val="-5"/>
          <w:sz w:val="20"/>
        </w:rPr>
        <w:t> </w:t>
      </w:r>
      <w:r>
        <w:rPr>
          <w:sz w:val="20"/>
        </w:rPr>
        <w:t>H49.1,</w:t>
      </w:r>
      <w:r>
        <w:rPr>
          <w:spacing w:val="-6"/>
          <w:sz w:val="20"/>
        </w:rPr>
        <w:t> </w:t>
      </w:r>
      <w:r>
        <w:rPr>
          <w:sz w:val="20"/>
        </w:rPr>
        <w:t>H49.2,</w:t>
      </w:r>
      <w:r>
        <w:rPr>
          <w:spacing w:val="-5"/>
          <w:sz w:val="20"/>
        </w:rPr>
        <w:t> </w:t>
      </w:r>
      <w:r>
        <w:rPr>
          <w:sz w:val="20"/>
        </w:rPr>
        <w:t>H49.3,</w:t>
      </w:r>
      <w:r>
        <w:rPr>
          <w:spacing w:val="-6"/>
          <w:sz w:val="20"/>
        </w:rPr>
        <w:t> </w:t>
      </w:r>
      <w:r>
        <w:rPr>
          <w:spacing w:val="-2"/>
          <w:sz w:val="20"/>
        </w:rPr>
        <w:t>H49.4,</w:t>
      </w:r>
    </w:p>
    <w:p>
      <w:pPr>
        <w:spacing w:line="229" w:lineRule="exact" w:before="0"/>
        <w:ind w:left="4605" w:right="0" w:firstLine="0"/>
        <w:jc w:val="left"/>
        <w:rPr>
          <w:sz w:val="20"/>
        </w:rPr>
      </w:pPr>
      <w:r>
        <w:rPr>
          <w:sz w:val="20"/>
        </w:rPr>
        <w:t>H49.8,</w:t>
      </w:r>
      <w:r>
        <w:rPr>
          <w:spacing w:val="-6"/>
          <w:sz w:val="20"/>
        </w:rPr>
        <w:t> </w:t>
      </w:r>
      <w:r>
        <w:rPr>
          <w:sz w:val="20"/>
        </w:rPr>
        <w:t>H49.9,</w:t>
      </w:r>
      <w:r>
        <w:rPr>
          <w:spacing w:val="-6"/>
          <w:sz w:val="20"/>
        </w:rPr>
        <w:t> </w:t>
      </w:r>
      <w:r>
        <w:rPr>
          <w:sz w:val="20"/>
        </w:rPr>
        <w:t>H50,</w:t>
      </w:r>
      <w:r>
        <w:rPr>
          <w:spacing w:val="-5"/>
          <w:sz w:val="20"/>
        </w:rPr>
        <w:t> </w:t>
      </w:r>
      <w:r>
        <w:rPr>
          <w:sz w:val="20"/>
        </w:rPr>
        <w:t>H50.0,</w:t>
      </w:r>
      <w:r>
        <w:rPr>
          <w:spacing w:val="-6"/>
          <w:sz w:val="20"/>
        </w:rPr>
        <w:t> </w:t>
      </w:r>
      <w:r>
        <w:rPr>
          <w:sz w:val="20"/>
        </w:rPr>
        <w:t>H50.1,</w:t>
      </w:r>
      <w:r>
        <w:rPr>
          <w:spacing w:val="-5"/>
          <w:sz w:val="20"/>
        </w:rPr>
        <w:t> </w:t>
      </w:r>
      <w:r>
        <w:rPr>
          <w:sz w:val="20"/>
        </w:rPr>
        <w:t>H50.2,</w:t>
      </w:r>
      <w:r>
        <w:rPr>
          <w:spacing w:val="-5"/>
          <w:sz w:val="20"/>
        </w:rPr>
        <w:t> </w:t>
      </w:r>
      <w:r>
        <w:rPr>
          <w:spacing w:val="-2"/>
          <w:sz w:val="20"/>
        </w:rPr>
        <w:t>H50.3,</w:t>
      </w:r>
    </w:p>
    <w:p>
      <w:pPr>
        <w:spacing w:line="229" w:lineRule="exact" w:before="0"/>
        <w:ind w:left="4602" w:right="0" w:firstLine="0"/>
        <w:jc w:val="left"/>
        <w:rPr>
          <w:sz w:val="20"/>
        </w:rPr>
      </w:pPr>
      <w:r>
        <w:rPr>
          <w:sz w:val="20"/>
        </w:rPr>
        <w:t>H50.4,</w:t>
      </w:r>
      <w:r>
        <w:rPr>
          <w:spacing w:val="-4"/>
          <w:sz w:val="20"/>
        </w:rPr>
        <w:t> </w:t>
      </w:r>
      <w:r>
        <w:rPr>
          <w:sz w:val="20"/>
        </w:rPr>
        <w:t>H50.5,</w:t>
      </w:r>
      <w:r>
        <w:rPr>
          <w:spacing w:val="-6"/>
          <w:sz w:val="20"/>
        </w:rPr>
        <w:t> </w:t>
      </w:r>
      <w:r>
        <w:rPr>
          <w:sz w:val="20"/>
        </w:rPr>
        <w:t>H50.6,</w:t>
      </w:r>
      <w:r>
        <w:rPr>
          <w:spacing w:val="-4"/>
          <w:sz w:val="20"/>
        </w:rPr>
        <w:t> </w:t>
      </w:r>
      <w:r>
        <w:rPr>
          <w:sz w:val="20"/>
        </w:rPr>
        <w:t>H50.8,</w:t>
      </w:r>
      <w:r>
        <w:rPr>
          <w:spacing w:val="-6"/>
          <w:sz w:val="20"/>
        </w:rPr>
        <w:t> </w:t>
      </w:r>
      <w:r>
        <w:rPr>
          <w:sz w:val="20"/>
        </w:rPr>
        <w:t>H50.9,</w:t>
      </w:r>
      <w:r>
        <w:rPr>
          <w:spacing w:val="-4"/>
          <w:sz w:val="20"/>
        </w:rPr>
        <w:t> </w:t>
      </w:r>
      <w:r>
        <w:rPr>
          <w:sz w:val="20"/>
        </w:rPr>
        <w:t>H51,</w:t>
      </w:r>
      <w:r>
        <w:rPr>
          <w:spacing w:val="-4"/>
          <w:sz w:val="20"/>
        </w:rPr>
        <w:t> </w:t>
      </w:r>
      <w:r>
        <w:rPr>
          <w:spacing w:val="-2"/>
          <w:sz w:val="20"/>
        </w:rPr>
        <w:t>H51.0,</w:t>
      </w:r>
    </w:p>
    <w:p>
      <w:pPr>
        <w:spacing w:before="1"/>
        <w:ind w:left="1159" w:right="4154" w:firstLine="0"/>
        <w:jc w:val="center"/>
        <w:rPr>
          <w:sz w:val="20"/>
        </w:rPr>
      </w:pPr>
      <w:r>
        <w:rPr>
          <w:sz w:val="20"/>
        </w:rPr>
        <w:t>H51.1,</w:t>
      </w:r>
      <w:r>
        <w:rPr>
          <w:spacing w:val="-4"/>
          <w:sz w:val="20"/>
        </w:rPr>
        <w:t> </w:t>
      </w:r>
      <w:r>
        <w:rPr>
          <w:sz w:val="20"/>
        </w:rPr>
        <w:t>H51.2,</w:t>
      </w:r>
      <w:r>
        <w:rPr>
          <w:spacing w:val="-6"/>
          <w:sz w:val="20"/>
        </w:rPr>
        <w:t> </w:t>
      </w:r>
      <w:r>
        <w:rPr>
          <w:sz w:val="20"/>
        </w:rPr>
        <w:t>H51.8,</w:t>
      </w:r>
      <w:r>
        <w:rPr>
          <w:spacing w:val="-4"/>
          <w:sz w:val="20"/>
        </w:rPr>
        <w:t> </w:t>
      </w:r>
      <w:r>
        <w:rPr>
          <w:sz w:val="20"/>
        </w:rPr>
        <w:t>H51.9,</w:t>
      </w:r>
      <w:r>
        <w:rPr>
          <w:spacing w:val="-6"/>
          <w:sz w:val="20"/>
        </w:rPr>
        <w:t> </w:t>
      </w:r>
      <w:r>
        <w:rPr>
          <w:sz w:val="20"/>
        </w:rPr>
        <w:t>H52,</w:t>
      </w:r>
      <w:r>
        <w:rPr>
          <w:spacing w:val="-4"/>
          <w:sz w:val="20"/>
        </w:rPr>
        <w:t> </w:t>
      </w:r>
      <w:r>
        <w:rPr>
          <w:sz w:val="20"/>
        </w:rPr>
        <w:t>H52.0,</w:t>
      </w:r>
      <w:r>
        <w:rPr>
          <w:spacing w:val="-4"/>
          <w:sz w:val="20"/>
        </w:rPr>
        <w:t> </w:t>
      </w:r>
      <w:r>
        <w:rPr>
          <w:spacing w:val="-2"/>
          <w:sz w:val="20"/>
        </w:rPr>
        <w:t>H52.1,</w:t>
      </w:r>
    </w:p>
    <w:p>
      <w:pPr>
        <w:spacing w:before="0"/>
        <w:ind w:left="1159" w:right="4154" w:firstLine="0"/>
        <w:jc w:val="center"/>
        <w:rPr>
          <w:sz w:val="20"/>
        </w:rPr>
      </w:pPr>
      <w:r>
        <w:rPr>
          <w:sz w:val="20"/>
        </w:rPr>
        <w:t>H52.2,</w:t>
      </w:r>
      <w:r>
        <w:rPr>
          <w:spacing w:val="-5"/>
          <w:sz w:val="20"/>
        </w:rPr>
        <w:t> </w:t>
      </w:r>
      <w:r>
        <w:rPr>
          <w:sz w:val="20"/>
        </w:rPr>
        <w:t>H52.3,</w:t>
      </w:r>
      <w:r>
        <w:rPr>
          <w:spacing w:val="-5"/>
          <w:sz w:val="20"/>
        </w:rPr>
        <w:t> </w:t>
      </w:r>
      <w:r>
        <w:rPr>
          <w:sz w:val="20"/>
        </w:rPr>
        <w:t>H52.4,</w:t>
      </w:r>
      <w:r>
        <w:rPr>
          <w:spacing w:val="-4"/>
          <w:sz w:val="20"/>
        </w:rPr>
        <w:t> </w:t>
      </w:r>
      <w:r>
        <w:rPr>
          <w:sz w:val="20"/>
        </w:rPr>
        <w:t>H52.5,</w:t>
      </w:r>
      <w:r>
        <w:rPr>
          <w:spacing w:val="-6"/>
          <w:sz w:val="20"/>
        </w:rPr>
        <w:t> </w:t>
      </w:r>
      <w:r>
        <w:rPr>
          <w:sz w:val="20"/>
        </w:rPr>
        <w:t>H52.6,</w:t>
      </w:r>
      <w:r>
        <w:rPr>
          <w:spacing w:val="-4"/>
          <w:sz w:val="20"/>
        </w:rPr>
        <w:t> </w:t>
      </w:r>
      <w:r>
        <w:rPr>
          <w:sz w:val="20"/>
        </w:rPr>
        <w:t>H52.7,</w:t>
      </w:r>
      <w:r>
        <w:rPr>
          <w:spacing w:val="-6"/>
          <w:sz w:val="20"/>
        </w:rPr>
        <w:t> </w:t>
      </w:r>
      <w:r>
        <w:rPr>
          <w:spacing w:val="-4"/>
          <w:sz w:val="20"/>
        </w:rPr>
        <w:t>H53,</w:t>
      </w:r>
    </w:p>
    <w:p>
      <w:pPr>
        <w:spacing w:before="1"/>
        <w:ind w:left="1162" w:right="4154" w:firstLine="0"/>
        <w:jc w:val="center"/>
        <w:rPr>
          <w:sz w:val="20"/>
        </w:rPr>
      </w:pPr>
      <w:r>
        <w:rPr>
          <w:sz w:val="20"/>
        </w:rPr>
        <w:t>H53.0,</w:t>
      </w:r>
      <w:r>
        <w:rPr>
          <w:spacing w:val="-4"/>
          <w:sz w:val="20"/>
        </w:rPr>
        <w:t> </w:t>
      </w:r>
      <w:r>
        <w:rPr>
          <w:sz w:val="20"/>
        </w:rPr>
        <w:t>H53.1,</w:t>
      </w:r>
      <w:r>
        <w:rPr>
          <w:spacing w:val="-6"/>
          <w:sz w:val="20"/>
        </w:rPr>
        <w:t> </w:t>
      </w:r>
      <w:r>
        <w:rPr>
          <w:sz w:val="20"/>
        </w:rPr>
        <w:t>H53.2,</w:t>
      </w:r>
      <w:r>
        <w:rPr>
          <w:spacing w:val="-4"/>
          <w:sz w:val="20"/>
        </w:rPr>
        <w:t> </w:t>
      </w:r>
      <w:r>
        <w:rPr>
          <w:sz w:val="20"/>
        </w:rPr>
        <w:t>H53.3,</w:t>
      </w:r>
      <w:r>
        <w:rPr>
          <w:spacing w:val="-6"/>
          <w:sz w:val="20"/>
        </w:rPr>
        <w:t> </w:t>
      </w:r>
      <w:r>
        <w:rPr>
          <w:sz w:val="20"/>
        </w:rPr>
        <w:t>H53.4,</w:t>
      </w:r>
      <w:r>
        <w:rPr>
          <w:spacing w:val="-4"/>
          <w:sz w:val="20"/>
        </w:rPr>
        <w:t> </w:t>
      </w:r>
      <w:r>
        <w:rPr>
          <w:spacing w:val="-2"/>
          <w:sz w:val="20"/>
        </w:rPr>
        <w:t>H53.5,</w:t>
      </w:r>
    </w:p>
    <w:p>
      <w:pPr>
        <w:spacing w:before="0"/>
        <w:ind w:left="1167" w:right="4154" w:firstLine="0"/>
        <w:jc w:val="center"/>
        <w:rPr>
          <w:sz w:val="20"/>
        </w:rPr>
      </w:pPr>
      <w:r>
        <w:rPr>
          <w:sz w:val="20"/>
        </w:rPr>
        <w:t>H53.6,</w:t>
      </w:r>
      <w:r>
        <w:rPr>
          <w:spacing w:val="-5"/>
          <w:sz w:val="20"/>
        </w:rPr>
        <w:t> </w:t>
      </w:r>
      <w:r>
        <w:rPr>
          <w:sz w:val="20"/>
        </w:rPr>
        <w:t>H53.8,</w:t>
      </w:r>
      <w:r>
        <w:rPr>
          <w:spacing w:val="-6"/>
          <w:sz w:val="20"/>
        </w:rPr>
        <w:t> </w:t>
      </w:r>
      <w:r>
        <w:rPr>
          <w:sz w:val="20"/>
        </w:rPr>
        <w:t>H53.9,</w:t>
      </w:r>
      <w:r>
        <w:rPr>
          <w:spacing w:val="-4"/>
          <w:sz w:val="20"/>
        </w:rPr>
        <w:t> </w:t>
      </w:r>
      <w:r>
        <w:rPr>
          <w:sz w:val="20"/>
        </w:rPr>
        <w:t>H54,</w:t>
      </w:r>
      <w:r>
        <w:rPr>
          <w:spacing w:val="-4"/>
          <w:sz w:val="20"/>
        </w:rPr>
        <w:t> </w:t>
      </w:r>
      <w:r>
        <w:rPr>
          <w:sz w:val="20"/>
        </w:rPr>
        <w:t>H54.0,</w:t>
      </w:r>
      <w:r>
        <w:rPr>
          <w:spacing w:val="-4"/>
          <w:sz w:val="20"/>
        </w:rPr>
        <w:t> </w:t>
      </w:r>
      <w:r>
        <w:rPr>
          <w:sz w:val="20"/>
        </w:rPr>
        <w:t>H54.1,</w:t>
      </w:r>
      <w:r>
        <w:rPr>
          <w:spacing w:val="-5"/>
          <w:sz w:val="20"/>
        </w:rPr>
        <w:t> </w:t>
      </w:r>
      <w:r>
        <w:rPr>
          <w:spacing w:val="-2"/>
          <w:sz w:val="20"/>
        </w:rPr>
        <w:t>H54.2,</w:t>
      </w:r>
    </w:p>
    <w:p>
      <w:pPr>
        <w:spacing w:before="0"/>
        <w:ind w:left="1162" w:right="4154" w:firstLine="0"/>
        <w:jc w:val="center"/>
        <w:rPr>
          <w:sz w:val="20"/>
        </w:rPr>
      </w:pPr>
      <w:r>
        <w:rPr>
          <w:sz w:val="20"/>
        </w:rPr>
        <w:t>H54.3,</w:t>
      </w:r>
      <w:r>
        <w:rPr>
          <w:spacing w:val="-4"/>
          <w:sz w:val="20"/>
        </w:rPr>
        <w:t> </w:t>
      </w:r>
      <w:r>
        <w:rPr>
          <w:sz w:val="20"/>
        </w:rPr>
        <w:t>H54.4,</w:t>
      </w:r>
      <w:r>
        <w:rPr>
          <w:spacing w:val="-6"/>
          <w:sz w:val="20"/>
        </w:rPr>
        <w:t> </w:t>
      </w:r>
      <w:r>
        <w:rPr>
          <w:sz w:val="20"/>
        </w:rPr>
        <w:t>H54.5,</w:t>
      </w:r>
      <w:r>
        <w:rPr>
          <w:spacing w:val="-4"/>
          <w:sz w:val="20"/>
        </w:rPr>
        <w:t> </w:t>
      </w:r>
      <w:r>
        <w:rPr>
          <w:sz w:val="20"/>
        </w:rPr>
        <w:t>H54.6,</w:t>
      </w:r>
      <w:r>
        <w:rPr>
          <w:spacing w:val="-6"/>
          <w:sz w:val="20"/>
        </w:rPr>
        <w:t> </w:t>
      </w:r>
      <w:r>
        <w:rPr>
          <w:sz w:val="20"/>
        </w:rPr>
        <w:t>H54.9,</w:t>
      </w:r>
      <w:r>
        <w:rPr>
          <w:spacing w:val="-4"/>
          <w:sz w:val="20"/>
        </w:rPr>
        <w:t> </w:t>
      </w:r>
      <w:r>
        <w:rPr>
          <w:sz w:val="20"/>
        </w:rPr>
        <w:t>H55,</w:t>
      </w:r>
      <w:r>
        <w:rPr>
          <w:spacing w:val="-4"/>
          <w:sz w:val="20"/>
        </w:rPr>
        <w:t> H57,</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99"/>
        <w:gridCol w:w="5187"/>
        <w:gridCol w:w="1953"/>
        <w:gridCol w:w="3120"/>
        <w:gridCol w:w="865"/>
      </w:tblGrid>
      <w:tr>
        <w:trPr>
          <w:trHeight w:val="1885"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5187" w:type="dxa"/>
          </w:tcPr>
          <w:p>
            <w:pPr>
              <w:pStyle w:val="TableParagraph"/>
              <w:spacing w:line="221" w:lineRule="exact"/>
              <w:ind w:left="237" w:right="987"/>
              <w:jc w:val="center"/>
              <w:rPr>
                <w:sz w:val="20"/>
              </w:rPr>
            </w:pPr>
            <w:r>
              <w:rPr>
                <w:sz w:val="20"/>
              </w:rPr>
              <w:t>H57.0,</w:t>
            </w:r>
            <w:r>
              <w:rPr>
                <w:spacing w:val="-4"/>
                <w:sz w:val="20"/>
              </w:rPr>
              <w:t> </w:t>
            </w:r>
            <w:r>
              <w:rPr>
                <w:sz w:val="20"/>
              </w:rPr>
              <w:t>H57.1,</w:t>
            </w:r>
            <w:r>
              <w:rPr>
                <w:spacing w:val="-6"/>
                <w:sz w:val="20"/>
              </w:rPr>
              <w:t> </w:t>
            </w:r>
            <w:r>
              <w:rPr>
                <w:sz w:val="20"/>
              </w:rPr>
              <w:t>H57.8,</w:t>
            </w:r>
            <w:r>
              <w:rPr>
                <w:spacing w:val="-4"/>
                <w:sz w:val="20"/>
              </w:rPr>
              <w:t> </w:t>
            </w:r>
            <w:r>
              <w:rPr>
                <w:sz w:val="20"/>
              </w:rPr>
              <w:t>H57.9,</w:t>
            </w:r>
            <w:r>
              <w:rPr>
                <w:spacing w:val="-6"/>
                <w:sz w:val="20"/>
              </w:rPr>
              <w:t> </w:t>
            </w:r>
            <w:r>
              <w:rPr>
                <w:sz w:val="20"/>
              </w:rPr>
              <w:t>H58,</w:t>
            </w:r>
            <w:r>
              <w:rPr>
                <w:spacing w:val="-4"/>
                <w:sz w:val="20"/>
              </w:rPr>
              <w:t> </w:t>
            </w:r>
            <w:r>
              <w:rPr>
                <w:sz w:val="20"/>
              </w:rPr>
              <w:t>H58.0,</w:t>
            </w:r>
            <w:r>
              <w:rPr>
                <w:spacing w:val="-4"/>
                <w:sz w:val="20"/>
              </w:rPr>
              <w:t> </w:t>
            </w:r>
            <w:r>
              <w:rPr>
                <w:spacing w:val="-2"/>
                <w:sz w:val="20"/>
              </w:rPr>
              <w:t>H58.1,</w:t>
            </w:r>
          </w:p>
          <w:p>
            <w:pPr>
              <w:pStyle w:val="TableParagraph"/>
              <w:spacing w:line="229" w:lineRule="exact"/>
              <w:ind w:left="237" w:right="985"/>
              <w:jc w:val="center"/>
              <w:rPr>
                <w:sz w:val="20"/>
              </w:rPr>
            </w:pPr>
            <w:r>
              <w:rPr>
                <w:sz w:val="20"/>
              </w:rPr>
              <w:t>H58.8,</w:t>
            </w:r>
            <w:r>
              <w:rPr>
                <w:spacing w:val="-5"/>
                <w:sz w:val="20"/>
              </w:rPr>
              <w:t> </w:t>
            </w:r>
            <w:r>
              <w:rPr>
                <w:sz w:val="20"/>
              </w:rPr>
              <w:t>H59,</w:t>
            </w:r>
            <w:r>
              <w:rPr>
                <w:spacing w:val="-5"/>
                <w:sz w:val="20"/>
              </w:rPr>
              <w:t> </w:t>
            </w:r>
            <w:r>
              <w:rPr>
                <w:sz w:val="20"/>
              </w:rPr>
              <w:t>H59.0,</w:t>
            </w:r>
            <w:r>
              <w:rPr>
                <w:spacing w:val="-5"/>
                <w:sz w:val="20"/>
              </w:rPr>
              <w:t> </w:t>
            </w:r>
            <w:r>
              <w:rPr>
                <w:sz w:val="20"/>
              </w:rPr>
              <w:t>H59.8,</w:t>
            </w:r>
            <w:r>
              <w:rPr>
                <w:spacing w:val="-5"/>
                <w:sz w:val="20"/>
              </w:rPr>
              <w:t> </w:t>
            </w:r>
            <w:r>
              <w:rPr>
                <w:sz w:val="20"/>
              </w:rPr>
              <w:t>H59.9,</w:t>
            </w:r>
            <w:r>
              <w:rPr>
                <w:spacing w:val="-7"/>
                <w:sz w:val="20"/>
              </w:rPr>
              <w:t> </w:t>
            </w:r>
            <w:r>
              <w:rPr>
                <w:sz w:val="20"/>
              </w:rPr>
              <w:t>P39.1,</w:t>
            </w:r>
            <w:r>
              <w:rPr>
                <w:spacing w:val="-6"/>
                <w:sz w:val="20"/>
              </w:rPr>
              <w:t> </w:t>
            </w:r>
            <w:r>
              <w:rPr>
                <w:spacing w:val="-4"/>
                <w:sz w:val="20"/>
              </w:rPr>
              <w:t>Q10,</w:t>
            </w:r>
          </w:p>
          <w:p>
            <w:pPr>
              <w:pStyle w:val="TableParagraph"/>
              <w:spacing w:line="229" w:lineRule="exact"/>
              <w:ind w:left="237" w:right="984"/>
              <w:jc w:val="center"/>
              <w:rPr>
                <w:sz w:val="20"/>
              </w:rPr>
            </w:pPr>
            <w:r>
              <w:rPr>
                <w:sz w:val="20"/>
              </w:rPr>
              <w:t>Q10.0,</w:t>
            </w:r>
            <w:r>
              <w:rPr>
                <w:spacing w:val="-4"/>
                <w:sz w:val="20"/>
              </w:rPr>
              <w:t> </w:t>
            </w:r>
            <w:r>
              <w:rPr>
                <w:sz w:val="20"/>
              </w:rPr>
              <w:t>Q10.1,</w:t>
            </w:r>
            <w:r>
              <w:rPr>
                <w:spacing w:val="-6"/>
                <w:sz w:val="20"/>
              </w:rPr>
              <w:t> </w:t>
            </w:r>
            <w:r>
              <w:rPr>
                <w:sz w:val="20"/>
              </w:rPr>
              <w:t>Q10.2,</w:t>
            </w:r>
            <w:r>
              <w:rPr>
                <w:spacing w:val="-4"/>
                <w:sz w:val="20"/>
              </w:rPr>
              <w:t> </w:t>
            </w:r>
            <w:r>
              <w:rPr>
                <w:sz w:val="20"/>
              </w:rPr>
              <w:t>Q10.3,</w:t>
            </w:r>
            <w:r>
              <w:rPr>
                <w:spacing w:val="-6"/>
                <w:sz w:val="20"/>
              </w:rPr>
              <w:t> </w:t>
            </w:r>
            <w:r>
              <w:rPr>
                <w:sz w:val="20"/>
              </w:rPr>
              <w:t>Q10.4,</w:t>
            </w:r>
            <w:r>
              <w:rPr>
                <w:spacing w:val="-4"/>
                <w:sz w:val="20"/>
              </w:rPr>
              <w:t> </w:t>
            </w:r>
            <w:r>
              <w:rPr>
                <w:spacing w:val="-2"/>
                <w:sz w:val="20"/>
              </w:rPr>
              <w:t>Q10.5,</w:t>
            </w:r>
          </w:p>
          <w:p>
            <w:pPr>
              <w:pStyle w:val="TableParagraph"/>
              <w:spacing w:before="1"/>
              <w:ind w:left="240"/>
              <w:rPr>
                <w:sz w:val="20"/>
              </w:rPr>
            </w:pPr>
            <w:r>
              <w:rPr>
                <w:sz w:val="20"/>
              </w:rPr>
              <w:t>Q10.6,</w:t>
            </w:r>
            <w:r>
              <w:rPr>
                <w:spacing w:val="-6"/>
                <w:sz w:val="20"/>
              </w:rPr>
              <w:t> </w:t>
            </w:r>
            <w:r>
              <w:rPr>
                <w:sz w:val="20"/>
              </w:rPr>
              <w:t>Q10.7,</w:t>
            </w:r>
            <w:r>
              <w:rPr>
                <w:spacing w:val="-7"/>
                <w:sz w:val="20"/>
              </w:rPr>
              <w:t> </w:t>
            </w:r>
            <w:r>
              <w:rPr>
                <w:sz w:val="20"/>
              </w:rPr>
              <w:t>Q11,</w:t>
            </w:r>
            <w:r>
              <w:rPr>
                <w:spacing w:val="-5"/>
                <w:sz w:val="20"/>
              </w:rPr>
              <w:t> </w:t>
            </w:r>
            <w:r>
              <w:rPr>
                <w:sz w:val="20"/>
              </w:rPr>
              <w:t>Q11.0,</w:t>
            </w:r>
            <w:r>
              <w:rPr>
                <w:spacing w:val="-5"/>
                <w:sz w:val="20"/>
              </w:rPr>
              <w:t> </w:t>
            </w:r>
            <w:r>
              <w:rPr>
                <w:sz w:val="20"/>
              </w:rPr>
              <w:t>Q11.1,</w:t>
            </w:r>
            <w:r>
              <w:rPr>
                <w:spacing w:val="-5"/>
                <w:sz w:val="20"/>
              </w:rPr>
              <w:t> </w:t>
            </w:r>
            <w:r>
              <w:rPr>
                <w:sz w:val="20"/>
              </w:rPr>
              <w:t>Q11.2,</w:t>
            </w:r>
            <w:r>
              <w:rPr>
                <w:spacing w:val="-6"/>
                <w:sz w:val="20"/>
              </w:rPr>
              <w:t> </w:t>
            </w:r>
            <w:r>
              <w:rPr>
                <w:spacing w:val="-2"/>
                <w:sz w:val="20"/>
              </w:rPr>
              <w:t>Q11.3,</w:t>
            </w:r>
          </w:p>
          <w:p>
            <w:pPr>
              <w:pStyle w:val="TableParagraph"/>
              <w:ind w:left="240"/>
              <w:rPr>
                <w:sz w:val="20"/>
              </w:rPr>
            </w:pPr>
            <w:r>
              <w:rPr>
                <w:sz w:val="20"/>
              </w:rPr>
              <w:t>Q12,</w:t>
            </w:r>
            <w:r>
              <w:rPr>
                <w:spacing w:val="-6"/>
                <w:sz w:val="20"/>
              </w:rPr>
              <w:t> </w:t>
            </w:r>
            <w:r>
              <w:rPr>
                <w:sz w:val="20"/>
              </w:rPr>
              <w:t>Q12.0,</w:t>
            </w:r>
            <w:r>
              <w:rPr>
                <w:spacing w:val="-5"/>
                <w:sz w:val="20"/>
              </w:rPr>
              <w:t> </w:t>
            </w:r>
            <w:r>
              <w:rPr>
                <w:sz w:val="20"/>
              </w:rPr>
              <w:t>Q12.1,</w:t>
            </w:r>
            <w:r>
              <w:rPr>
                <w:spacing w:val="-3"/>
                <w:sz w:val="20"/>
              </w:rPr>
              <w:t> </w:t>
            </w:r>
            <w:r>
              <w:rPr>
                <w:sz w:val="20"/>
              </w:rPr>
              <w:t>Q12.2,</w:t>
            </w:r>
            <w:r>
              <w:rPr>
                <w:spacing w:val="-6"/>
                <w:sz w:val="20"/>
              </w:rPr>
              <w:t> </w:t>
            </w:r>
            <w:r>
              <w:rPr>
                <w:sz w:val="20"/>
              </w:rPr>
              <w:t>Q12.3,</w:t>
            </w:r>
            <w:r>
              <w:rPr>
                <w:spacing w:val="-5"/>
                <w:sz w:val="20"/>
              </w:rPr>
              <w:t> </w:t>
            </w:r>
            <w:r>
              <w:rPr>
                <w:sz w:val="20"/>
              </w:rPr>
              <w:t>Q12.4,</w:t>
            </w:r>
            <w:r>
              <w:rPr>
                <w:spacing w:val="-6"/>
                <w:sz w:val="20"/>
              </w:rPr>
              <w:t> </w:t>
            </w:r>
            <w:r>
              <w:rPr>
                <w:spacing w:val="-2"/>
                <w:sz w:val="20"/>
              </w:rPr>
              <w:t>Q12.8,</w:t>
            </w:r>
          </w:p>
          <w:p>
            <w:pPr>
              <w:pStyle w:val="TableParagraph"/>
              <w:ind w:left="240"/>
              <w:rPr>
                <w:sz w:val="20"/>
              </w:rPr>
            </w:pPr>
            <w:r>
              <w:rPr>
                <w:sz w:val="20"/>
              </w:rPr>
              <w:t>Q12.9,</w:t>
            </w:r>
            <w:r>
              <w:rPr>
                <w:spacing w:val="-6"/>
                <w:sz w:val="20"/>
              </w:rPr>
              <w:t> </w:t>
            </w:r>
            <w:r>
              <w:rPr>
                <w:sz w:val="20"/>
              </w:rPr>
              <w:t>Q13,</w:t>
            </w:r>
            <w:r>
              <w:rPr>
                <w:spacing w:val="-6"/>
                <w:sz w:val="20"/>
              </w:rPr>
              <w:t> </w:t>
            </w:r>
            <w:r>
              <w:rPr>
                <w:sz w:val="20"/>
              </w:rPr>
              <w:t>Q13.0,</w:t>
            </w:r>
            <w:r>
              <w:rPr>
                <w:spacing w:val="-5"/>
                <w:sz w:val="20"/>
              </w:rPr>
              <w:t> </w:t>
            </w:r>
            <w:r>
              <w:rPr>
                <w:sz w:val="20"/>
              </w:rPr>
              <w:t>Q13.1,</w:t>
            </w:r>
            <w:r>
              <w:rPr>
                <w:spacing w:val="-6"/>
                <w:sz w:val="20"/>
              </w:rPr>
              <w:t> </w:t>
            </w:r>
            <w:r>
              <w:rPr>
                <w:sz w:val="20"/>
              </w:rPr>
              <w:t>Q13.2,</w:t>
            </w:r>
            <w:r>
              <w:rPr>
                <w:spacing w:val="-5"/>
                <w:sz w:val="20"/>
              </w:rPr>
              <w:t> </w:t>
            </w:r>
            <w:r>
              <w:rPr>
                <w:sz w:val="20"/>
              </w:rPr>
              <w:t>Q13.3,</w:t>
            </w:r>
            <w:r>
              <w:rPr>
                <w:spacing w:val="-6"/>
                <w:sz w:val="20"/>
              </w:rPr>
              <w:t> </w:t>
            </w:r>
            <w:r>
              <w:rPr>
                <w:spacing w:val="-2"/>
                <w:sz w:val="20"/>
              </w:rPr>
              <w:t>Q13.4,</w:t>
            </w:r>
          </w:p>
          <w:p>
            <w:pPr>
              <w:pStyle w:val="TableParagraph"/>
              <w:spacing w:before="1"/>
              <w:ind w:left="240"/>
              <w:rPr>
                <w:sz w:val="20"/>
              </w:rPr>
            </w:pPr>
            <w:r>
              <w:rPr>
                <w:sz w:val="20"/>
              </w:rPr>
              <w:t>Q13.5,</w:t>
            </w:r>
            <w:r>
              <w:rPr>
                <w:spacing w:val="-6"/>
                <w:sz w:val="20"/>
              </w:rPr>
              <w:t> </w:t>
            </w:r>
            <w:r>
              <w:rPr>
                <w:sz w:val="20"/>
              </w:rPr>
              <w:t>Q13.8,</w:t>
            </w:r>
            <w:r>
              <w:rPr>
                <w:spacing w:val="-6"/>
                <w:sz w:val="20"/>
              </w:rPr>
              <w:t> </w:t>
            </w:r>
            <w:r>
              <w:rPr>
                <w:sz w:val="20"/>
              </w:rPr>
              <w:t>Q13.9,</w:t>
            </w:r>
            <w:r>
              <w:rPr>
                <w:spacing w:val="-5"/>
                <w:sz w:val="20"/>
              </w:rPr>
              <w:t> </w:t>
            </w:r>
            <w:r>
              <w:rPr>
                <w:sz w:val="20"/>
              </w:rPr>
              <w:t>Q14,</w:t>
            </w:r>
            <w:r>
              <w:rPr>
                <w:spacing w:val="-6"/>
                <w:sz w:val="20"/>
              </w:rPr>
              <w:t> </w:t>
            </w:r>
            <w:r>
              <w:rPr>
                <w:sz w:val="20"/>
              </w:rPr>
              <w:t>Q14.0,</w:t>
            </w:r>
            <w:r>
              <w:rPr>
                <w:spacing w:val="-5"/>
                <w:sz w:val="20"/>
              </w:rPr>
              <w:t> </w:t>
            </w:r>
            <w:r>
              <w:rPr>
                <w:sz w:val="20"/>
              </w:rPr>
              <w:t>Q14.1,</w:t>
            </w:r>
            <w:r>
              <w:rPr>
                <w:spacing w:val="-5"/>
                <w:sz w:val="20"/>
              </w:rPr>
              <w:t> </w:t>
            </w:r>
            <w:r>
              <w:rPr>
                <w:spacing w:val="-2"/>
                <w:sz w:val="20"/>
              </w:rPr>
              <w:t>Q14.2,</w:t>
            </w:r>
          </w:p>
          <w:p>
            <w:pPr>
              <w:pStyle w:val="TableParagraph"/>
              <w:spacing w:before="1"/>
              <w:ind w:left="266"/>
              <w:rPr>
                <w:sz w:val="20"/>
              </w:rPr>
            </w:pPr>
            <w:r>
              <w:rPr>
                <w:sz w:val="20"/>
              </w:rPr>
              <w:t>Q14.3,</w:t>
            </w:r>
            <w:r>
              <w:rPr>
                <w:spacing w:val="-6"/>
                <w:sz w:val="20"/>
              </w:rPr>
              <w:t> </w:t>
            </w:r>
            <w:r>
              <w:rPr>
                <w:sz w:val="20"/>
              </w:rPr>
              <w:t>Q14.8,</w:t>
            </w:r>
            <w:r>
              <w:rPr>
                <w:spacing w:val="-6"/>
                <w:sz w:val="20"/>
              </w:rPr>
              <w:t> </w:t>
            </w:r>
            <w:r>
              <w:rPr>
                <w:sz w:val="20"/>
              </w:rPr>
              <w:t>Q14.9,</w:t>
            </w:r>
            <w:r>
              <w:rPr>
                <w:spacing w:val="-5"/>
                <w:sz w:val="20"/>
              </w:rPr>
              <w:t> </w:t>
            </w:r>
            <w:r>
              <w:rPr>
                <w:sz w:val="20"/>
              </w:rPr>
              <w:t>Q15,</w:t>
            </w:r>
            <w:r>
              <w:rPr>
                <w:spacing w:val="-6"/>
                <w:sz w:val="20"/>
              </w:rPr>
              <w:t> </w:t>
            </w:r>
            <w:r>
              <w:rPr>
                <w:sz w:val="20"/>
              </w:rPr>
              <w:t>Q15.0,</w:t>
            </w:r>
            <w:r>
              <w:rPr>
                <w:spacing w:val="-5"/>
                <w:sz w:val="20"/>
              </w:rPr>
              <w:t> </w:t>
            </w:r>
            <w:r>
              <w:rPr>
                <w:sz w:val="20"/>
              </w:rPr>
              <w:t>Q15.8,</w:t>
            </w:r>
            <w:r>
              <w:rPr>
                <w:spacing w:val="-5"/>
                <w:sz w:val="20"/>
              </w:rPr>
              <w:t> </w:t>
            </w:r>
            <w:r>
              <w:rPr>
                <w:spacing w:val="-4"/>
                <w:sz w:val="20"/>
              </w:rPr>
              <w:t>Q15.9</w:t>
            </w:r>
          </w:p>
        </w:tc>
        <w:tc>
          <w:tcPr>
            <w:tcW w:w="1953"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st21.008</w:t>
            </w:r>
          </w:p>
        </w:tc>
        <w:tc>
          <w:tcPr>
            <w:tcW w:w="707" w:type="dxa"/>
          </w:tcPr>
          <w:p>
            <w:pPr>
              <w:pStyle w:val="TableParagraph"/>
              <w:spacing w:line="215" w:lineRule="exact" w:before="45"/>
              <w:ind w:left="210"/>
              <w:rPr>
                <w:sz w:val="20"/>
              </w:rPr>
            </w:pPr>
            <w:r>
              <w:rPr>
                <w:spacing w:val="-5"/>
                <w:sz w:val="20"/>
              </w:rPr>
              <w:t>222</w:t>
            </w:r>
          </w:p>
        </w:tc>
        <w:tc>
          <w:tcPr>
            <w:tcW w:w="2499" w:type="dxa"/>
          </w:tcPr>
          <w:p>
            <w:pPr>
              <w:pStyle w:val="TableParagraph"/>
              <w:spacing w:line="215" w:lineRule="exact" w:before="45"/>
              <w:ind w:left="192"/>
              <w:rPr>
                <w:sz w:val="20"/>
              </w:rPr>
            </w:pPr>
            <w:r>
              <w:rPr>
                <w:sz w:val="20"/>
              </w:rPr>
              <w:t>Травмы</w:t>
            </w:r>
            <w:r>
              <w:rPr>
                <w:spacing w:val="-5"/>
                <w:sz w:val="20"/>
              </w:rPr>
              <w:t> </w:t>
            </w:r>
            <w:r>
              <w:rPr>
                <w:spacing w:val="-2"/>
                <w:sz w:val="20"/>
              </w:rPr>
              <w:t>глаза</w:t>
            </w:r>
          </w:p>
        </w:tc>
        <w:tc>
          <w:tcPr>
            <w:tcW w:w="5187" w:type="dxa"/>
          </w:tcPr>
          <w:p>
            <w:pPr>
              <w:pStyle w:val="TableParagraph"/>
              <w:spacing w:line="215" w:lineRule="exact" w:before="45"/>
              <w:ind w:left="257"/>
              <w:rPr>
                <w:sz w:val="20"/>
              </w:rPr>
            </w:pPr>
            <w:r>
              <w:rPr>
                <w:sz w:val="20"/>
              </w:rPr>
              <w:t>S00.1,</w:t>
            </w:r>
            <w:r>
              <w:rPr>
                <w:spacing w:val="-6"/>
                <w:sz w:val="20"/>
              </w:rPr>
              <w:t> </w:t>
            </w:r>
            <w:r>
              <w:rPr>
                <w:sz w:val="20"/>
              </w:rPr>
              <w:t>S00.2,</w:t>
            </w:r>
            <w:r>
              <w:rPr>
                <w:spacing w:val="-5"/>
                <w:sz w:val="20"/>
              </w:rPr>
              <w:t> </w:t>
            </w:r>
            <w:r>
              <w:rPr>
                <w:sz w:val="20"/>
              </w:rPr>
              <w:t>S01.1,</w:t>
            </w:r>
            <w:r>
              <w:rPr>
                <w:spacing w:val="-6"/>
                <w:sz w:val="20"/>
              </w:rPr>
              <w:t> </w:t>
            </w:r>
            <w:r>
              <w:rPr>
                <w:sz w:val="20"/>
              </w:rPr>
              <w:t>S02.3,</w:t>
            </w:r>
            <w:r>
              <w:rPr>
                <w:spacing w:val="-7"/>
                <w:sz w:val="20"/>
              </w:rPr>
              <w:t> </w:t>
            </w:r>
            <w:r>
              <w:rPr>
                <w:sz w:val="20"/>
              </w:rPr>
              <w:t>S02.30,</w:t>
            </w:r>
            <w:r>
              <w:rPr>
                <w:spacing w:val="-6"/>
                <w:sz w:val="20"/>
              </w:rPr>
              <w:t> </w:t>
            </w:r>
            <w:r>
              <w:rPr>
                <w:sz w:val="20"/>
              </w:rPr>
              <w:t>S02.31,</w:t>
            </w:r>
            <w:r>
              <w:rPr>
                <w:spacing w:val="-5"/>
                <w:sz w:val="20"/>
              </w:rPr>
              <w:t> </w:t>
            </w:r>
            <w:r>
              <w:rPr>
                <w:spacing w:val="-4"/>
                <w:sz w:val="20"/>
              </w:rPr>
              <w:t>S04,</w:t>
            </w:r>
          </w:p>
        </w:tc>
        <w:tc>
          <w:tcPr>
            <w:tcW w:w="1953" w:type="dxa"/>
          </w:tcPr>
          <w:p>
            <w:pPr>
              <w:pStyle w:val="TableParagraph"/>
              <w:spacing w:line="215" w:lineRule="exact" w:before="45"/>
              <w:ind w:left="881"/>
              <w:rPr>
                <w:sz w:val="20"/>
              </w:rPr>
            </w:pPr>
            <w:r>
              <w:rPr>
                <w:w w:val="99"/>
                <w:sz w:val="20"/>
              </w:rPr>
              <w:t>-</w:t>
            </w:r>
          </w:p>
        </w:tc>
        <w:tc>
          <w:tcPr>
            <w:tcW w:w="3120" w:type="dxa"/>
          </w:tcPr>
          <w:p>
            <w:pPr>
              <w:pStyle w:val="TableParagraph"/>
              <w:spacing w:line="215" w:lineRule="exact" w:before="45"/>
              <w:ind w:left="535"/>
              <w:jc w:val="center"/>
              <w:rPr>
                <w:sz w:val="20"/>
              </w:rPr>
            </w:pPr>
            <w:r>
              <w:rPr>
                <w:w w:val="99"/>
                <w:sz w:val="20"/>
              </w:rPr>
              <w:t>-</w:t>
            </w:r>
          </w:p>
        </w:tc>
        <w:tc>
          <w:tcPr>
            <w:tcW w:w="865" w:type="dxa"/>
          </w:tcPr>
          <w:p>
            <w:pPr>
              <w:pStyle w:val="TableParagraph"/>
              <w:spacing w:line="215" w:lineRule="exact" w:before="45"/>
              <w:ind w:right="51"/>
              <w:jc w:val="right"/>
              <w:rPr>
                <w:sz w:val="20"/>
              </w:rPr>
            </w:pPr>
            <w:r>
              <w:rPr>
                <w:spacing w:val="-4"/>
                <w:sz w:val="20"/>
              </w:rPr>
              <w:t>0,66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355"/>
              <w:rPr>
                <w:sz w:val="20"/>
              </w:rPr>
            </w:pPr>
            <w:r>
              <w:rPr>
                <w:sz w:val="20"/>
              </w:rPr>
              <w:t>S04.0,</w:t>
            </w:r>
            <w:r>
              <w:rPr>
                <w:spacing w:val="-6"/>
                <w:sz w:val="20"/>
              </w:rPr>
              <w:t> </w:t>
            </w:r>
            <w:r>
              <w:rPr>
                <w:sz w:val="20"/>
              </w:rPr>
              <w:t>S05,</w:t>
            </w:r>
            <w:r>
              <w:rPr>
                <w:spacing w:val="-6"/>
                <w:sz w:val="20"/>
              </w:rPr>
              <w:t> </w:t>
            </w:r>
            <w:r>
              <w:rPr>
                <w:sz w:val="20"/>
              </w:rPr>
              <w:t>S05.0,</w:t>
            </w:r>
            <w:r>
              <w:rPr>
                <w:spacing w:val="-5"/>
                <w:sz w:val="20"/>
              </w:rPr>
              <w:t> </w:t>
            </w:r>
            <w:r>
              <w:rPr>
                <w:sz w:val="20"/>
              </w:rPr>
              <w:t>S05.1,</w:t>
            </w:r>
            <w:r>
              <w:rPr>
                <w:spacing w:val="-6"/>
                <w:sz w:val="20"/>
              </w:rPr>
              <w:t> </w:t>
            </w:r>
            <w:r>
              <w:rPr>
                <w:sz w:val="20"/>
              </w:rPr>
              <w:t>S05.2,</w:t>
            </w:r>
            <w:r>
              <w:rPr>
                <w:spacing w:val="-5"/>
                <w:sz w:val="20"/>
              </w:rPr>
              <w:t> </w:t>
            </w:r>
            <w:r>
              <w:rPr>
                <w:sz w:val="20"/>
              </w:rPr>
              <w:t>S05.3,</w:t>
            </w:r>
            <w:r>
              <w:rPr>
                <w:spacing w:val="-6"/>
                <w:sz w:val="20"/>
              </w:rPr>
              <w:t> </w:t>
            </w:r>
            <w:r>
              <w:rPr>
                <w:spacing w:val="-2"/>
                <w:sz w:val="20"/>
              </w:rPr>
              <w:t>S05.4,</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346"/>
              <w:rPr>
                <w:sz w:val="20"/>
              </w:rPr>
            </w:pPr>
            <w:r>
              <w:rPr>
                <w:sz w:val="20"/>
              </w:rPr>
              <w:t>S05.5,</w:t>
            </w:r>
            <w:r>
              <w:rPr>
                <w:spacing w:val="-5"/>
                <w:sz w:val="20"/>
              </w:rPr>
              <w:t> </w:t>
            </w:r>
            <w:r>
              <w:rPr>
                <w:sz w:val="20"/>
              </w:rPr>
              <w:t>S05.6,</w:t>
            </w:r>
            <w:r>
              <w:rPr>
                <w:spacing w:val="-4"/>
                <w:sz w:val="20"/>
              </w:rPr>
              <w:t> </w:t>
            </w:r>
            <w:r>
              <w:rPr>
                <w:sz w:val="20"/>
              </w:rPr>
              <w:t>S05.7,</w:t>
            </w:r>
            <w:r>
              <w:rPr>
                <w:spacing w:val="-5"/>
                <w:sz w:val="20"/>
              </w:rPr>
              <w:t> </w:t>
            </w:r>
            <w:r>
              <w:rPr>
                <w:sz w:val="20"/>
              </w:rPr>
              <w:t>S05.8,</w:t>
            </w:r>
            <w:r>
              <w:rPr>
                <w:spacing w:val="-6"/>
                <w:sz w:val="20"/>
              </w:rPr>
              <w:t> </w:t>
            </w:r>
            <w:r>
              <w:rPr>
                <w:sz w:val="20"/>
              </w:rPr>
              <w:t>S05.9,</w:t>
            </w:r>
            <w:r>
              <w:rPr>
                <w:spacing w:val="-6"/>
                <w:sz w:val="20"/>
              </w:rPr>
              <w:t> </w:t>
            </w:r>
            <w:r>
              <w:rPr>
                <w:sz w:val="20"/>
              </w:rPr>
              <w:t>T15,</w:t>
            </w:r>
            <w:r>
              <w:rPr>
                <w:spacing w:val="-7"/>
                <w:sz w:val="20"/>
              </w:rPr>
              <w:t> </w:t>
            </w:r>
            <w:r>
              <w:rPr>
                <w:spacing w:val="-2"/>
                <w:sz w:val="20"/>
              </w:rPr>
              <w:t>T15.0,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317"/>
              <w:rPr>
                <w:sz w:val="20"/>
              </w:rPr>
            </w:pPr>
            <w:r>
              <w:rPr>
                <w:sz w:val="20"/>
              </w:rPr>
              <w:t>T15.1,</w:t>
            </w:r>
            <w:r>
              <w:rPr>
                <w:spacing w:val="-7"/>
                <w:sz w:val="20"/>
              </w:rPr>
              <w:t> </w:t>
            </w:r>
            <w:r>
              <w:rPr>
                <w:sz w:val="20"/>
              </w:rPr>
              <w:t>T15.8,</w:t>
            </w:r>
            <w:r>
              <w:rPr>
                <w:spacing w:val="-5"/>
                <w:sz w:val="20"/>
              </w:rPr>
              <w:t> </w:t>
            </w:r>
            <w:r>
              <w:rPr>
                <w:sz w:val="20"/>
              </w:rPr>
              <w:t>T15.9,</w:t>
            </w:r>
            <w:r>
              <w:rPr>
                <w:spacing w:val="-5"/>
                <w:sz w:val="20"/>
              </w:rPr>
              <w:t> </w:t>
            </w:r>
            <w:r>
              <w:rPr>
                <w:sz w:val="20"/>
              </w:rPr>
              <w:t>T26,</w:t>
            </w:r>
            <w:r>
              <w:rPr>
                <w:spacing w:val="-5"/>
                <w:sz w:val="20"/>
              </w:rPr>
              <w:t> </w:t>
            </w:r>
            <w:r>
              <w:rPr>
                <w:sz w:val="20"/>
              </w:rPr>
              <w:t>T26.0,</w:t>
            </w:r>
            <w:r>
              <w:rPr>
                <w:spacing w:val="-5"/>
                <w:sz w:val="20"/>
              </w:rPr>
              <w:t> </w:t>
            </w:r>
            <w:r>
              <w:rPr>
                <w:sz w:val="20"/>
              </w:rPr>
              <w:t>T26.1,</w:t>
            </w:r>
            <w:r>
              <w:rPr>
                <w:spacing w:val="-5"/>
                <w:sz w:val="20"/>
              </w:rPr>
              <w:t> </w:t>
            </w:r>
            <w:r>
              <w:rPr>
                <w:spacing w:val="-2"/>
                <w:sz w:val="20"/>
              </w:rPr>
              <w:t>T26.2,</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42"/>
              <w:rPr>
                <w:sz w:val="20"/>
              </w:rPr>
            </w:pPr>
            <w:r>
              <w:rPr>
                <w:sz w:val="20"/>
              </w:rPr>
              <w:t>T26.3,</w:t>
            </w:r>
            <w:r>
              <w:rPr>
                <w:spacing w:val="-7"/>
                <w:sz w:val="20"/>
              </w:rPr>
              <w:t> </w:t>
            </w:r>
            <w:r>
              <w:rPr>
                <w:sz w:val="20"/>
              </w:rPr>
              <w:t>T26.4,</w:t>
            </w:r>
            <w:r>
              <w:rPr>
                <w:spacing w:val="-5"/>
                <w:sz w:val="20"/>
              </w:rPr>
              <w:t> </w:t>
            </w:r>
            <w:r>
              <w:rPr>
                <w:sz w:val="20"/>
              </w:rPr>
              <w:t>T26.5,</w:t>
            </w:r>
            <w:r>
              <w:rPr>
                <w:spacing w:val="-5"/>
                <w:sz w:val="20"/>
              </w:rPr>
              <w:t> </w:t>
            </w:r>
            <w:r>
              <w:rPr>
                <w:sz w:val="20"/>
              </w:rPr>
              <w:t>T26.6,</w:t>
            </w:r>
            <w:r>
              <w:rPr>
                <w:spacing w:val="-5"/>
                <w:sz w:val="20"/>
              </w:rPr>
              <w:t> </w:t>
            </w:r>
            <w:r>
              <w:rPr>
                <w:sz w:val="20"/>
              </w:rPr>
              <w:t>T26.7,</w:t>
            </w:r>
            <w:r>
              <w:rPr>
                <w:spacing w:val="-5"/>
                <w:sz w:val="20"/>
              </w:rPr>
              <w:t> </w:t>
            </w:r>
            <w:r>
              <w:rPr>
                <w:sz w:val="20"/>
              </w:rPr>
              <w:t>T26.8,</w:t>
            </w:r>
            <w:r>
              <w:rPr>
                <w:spacing w:val="-5"/>
                <w:sz w:val="20"/>
              </w:rPr>
              <w:t> </w:t>
            </w:r>
            <w:r>
              <w:rPr>
                <w:spacing w:val="-2"/>
                <w:sz w:val="20"/>
              </w:rPr>
              <w:t>T26.9,</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5187" w:type="dxa"/>
          </w:tcPr>
          <w:p>
            <w:pPr>
              <w:pStyle w:val="TableParagraph"/>
              <w:spacing w:line="226" w:lineRule="exact"/>
              <w:ind w:left="1411"/>
              <w:rPr>
                <w:sz w:val="20"/>
              </w:rPr>
            </w:pPr>
            <w:r>
              <w:rPr>
                <w:sz w:val="20"/>
              </w:rPr>
              <w:t>T85.2,</w:t>
            </w:r>
            <w:r>
              <w:rPr>
                <w:spacing w:val="-6"/>
                <w:sz w:val="20"/>
              </w:rPr>
              <w:t> </w:t>
            </w:r>
            <w:r>
              <w:rPr>
                <w:sz w:val="20"/>
              </w:rPr>
              <w:t>T85.3,</w:t>
            </w:r>
            <w:r>
              <w:rPr>
                <w:spacing w:val="-4"/>
                <w:sz w:val="20"/>
              </w:rPr>
              <w:t> </w:t>
            </w:r>
            <w:r>
              <w:rPr>
                <w:spacing w:val="-2"/>
                <w:sz w:val="20"/>
              </w:rPr>
              <w:t>T90.4</w:t>
            </w:r>
          </w:p>
        </w:tc>
        <w:tc>
          <w:tcPr>
            <w:tcW w:w="1953"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st22</w:t>
            </w:r>
          </w:p>
        </w:tc>
        <w:tc>
          <w:tcPr>
            <w:tcW w:w="707" w:type="dxa"/>
          </w:tcPr>
          <w:p>
            <w:pPr>
              <w:pStyle w:val="TableParagraph"/>
              <w:spacing w:before="46"/>
              <w:ind w:left="261"/>
              <w:rPr>
                <w:sz w:val="20"/>
              </w:rPr>
            </w:pPr>
            <w:r>
              <w:rPr>
                <w:spacing w:val="-5"/>
                <w:sz w:val="20"/>
              </w:rPr>
              <w:t>22</w:t>
            </w:r>
          </w:p>
        </w:tc>
        <w:tc>
          <w:tcPr>
            <w:tcW w:w="2499" w:type="dxa"/>
          </w:tcPr>
          <w:p>
            <w:pPr>
              <w:pStyle w:val="TableParagraph"/>
              <w:rPr>
                <w:sz w:val="18"/>
              </w:rPr>
            </w:pPr>
          </w:p>
        </w:tc>
        <w:tc>
          <w:tcPr>
            <w:tcW w:w="5187" w:type="dxa"/>
          </w:tcPr>
          <w:p>
            <w:pPr>
              <w:pStyle w:val="TableParagraph"/>
              <w:spacing w:before="46"/>
              <w:ind w:left="3389"/>
              <w:rPr>
                <w:sz w:val="20"/>
              </w:rPr>
            </w:pPr>
            <w:r>
              <w:rPr>
                <w:spacing w:val="-2"/>
                <w:sz w:val="20"/>
              </w:rPr>
              <w:t>Педиатрия</w:t>
            </w:r>
          </w:p>
        </w:tc>
        <w:tc>
          <w:tcPr>
            <w:tcW w:w="1953" w:type="dxa"/>
          </w:tcPr>
          <w:p>
            <w:pPr>
              <w:pStyle w:val="TableParagraph"/>
              <w:rPr>
                <w:sz w:val="18"/>
              </w:rPr>
            </w:pPr>
          </w:p>
        </w:tc>
        <w:tc>
          <w:tcPr>
            <w:tcW w:w="3120" w:type="dxa"/>
          </w:tcPr>
          <w:p>
            <w:pPr>
              <w:pStyle w:val="TableParagraph"/>
              <w:rPr>
                <w:sz w:val="18"/>
              </w:rPr>
            </w:pPr>
          </w:p>
        </w:tc>
        <w:tc>
          <w:tcPr>
            <w:tcW w:w="865" w:type="dxa"/>
          </w:tcPr>
          <w:p>
            <w:pPr>
              <w:pStyle w:val="TableParagraph"/>
              <w:spacing w:before="46"/>
              <w:ind w:right="51"/>
              <w:jc w:val="right"/>
              <w:rPr>
                <w:sz w:val="20"/>
              </w:rPr>
            </w:pPr>
            <w:r>
              <w:rPr>
                <w:spacing w:val="-4"/>
                <w:sz w:val="20"/>
              </w:rPr>
              <w:t>0,80</w:t>
            </w:r>
          </w:p>
        </w:tc>
      </w:tr>
      <w:tr>
        <w:trPr>
          <w:trHeight w:val="560" w:hRule="atLeast"/>
        </w:trPr>
        <w:tc>
          <w:tcPr>
            <w:tcW w:w="946" w:type="dxa"/>
          </w:tcPr>
          <w:p>
            <w:pPr>
              <w:pStyle w:val="TableParagraph"/>
              <w:spacing w:before="45"/>
              <w:ind w:left="39" w:right="198"/>
              <w:jc w:val="center"/>
              <w:rPr>
                <w:sz w:val="20"/>
              </w:rPr>
            </w:pPr>
            <w:r>
              <w:rPr>
                <w:spacing w:val="-2"/>
                <w:sz w:val="20"/>
              </w:rPr>
              <w:t>st22.001</w:t>
            </w:r>
          </w:p>
        </w:tc>
        <w:tc>
          <w:tcPr>
            <w:tcW w:w="707" w:type="dxa"/>
          </w:tcPr>
          <w:p>
            <w:pPr>
              <w:pStyle w:val="TableParagraph"/>
              <w:spacing w:before="45"/>
              <w:ind w:left="210"/>
              <w:rPr>
                <w:sz w:val="20"/>
              </w:rPr>
            </w:pPr>
            <w:r>
              <w:rPr>
                <w:spacing w:val="-5"/>
                <w:sz w:val="20"/>
              </w:rPr>
              <w:t>223</w:t>
            </w:r>
          </w:p>
        </w:tc>
        <w:tc>
          <w:tcPr>
            <w:tcW w:w="2499" w:type="dxa"/>
          </w:tcPr>
          <w:p>
            <w:pPr>
              <w:pStyle w:val="TableParagraph"/>
              <w:spacing w:before="45"/>
              <w:ind w:left="192" w:right="233"/>
              <w:rPr>
                <w:sz w:val="20"/>
              </w:rPr>
            </w:pPr>
            <w:r>
              <w:rPr>
                <w:sz w:val="20"/>
              </w:rPr>
              <w:t>Нарушения</w:t>
            </w:r>
            <w:r>
              <w:rPr>
                <w:spacing w:val="-13"/>
                <w:sz w:val="20"/>
              </w:rPr>
              <w:t> </w:t>
            </w:r>
            <w:r>
              <w:rPr>
                <w:sz w:val="20"/>
              </w:rPr>
              <w:t>всасывания, </w:t>
            </w:r>
            <w:r>
              <w:rPr>
                <w:spacing w:val="-4"/>
                <w:sz w:val="20"/>
              </w:rPr>
              <w:t>дети</w:t>
            </w:r>
          </w:p>
        </w:tc>
        <w:tc>
          <w:tcPr>
            <w:tcW w:w="5187" w:type="dxa"/>
          </w:tcPr>
          <w:p>
            <w:pPr>
              <w:pStyle w:val="TableParagraph"/>
              <w:spacing w:before="45"/>
              <w:ind w:left="1380"/>
              <w:rPr>
                <w:sz w:val="20"/>
              </w:rPr>
            </w:pPr>
            <w:r>
              <w:rPr>
                <w:sz w:val="20"/>
              </w:rPr>
              <w:t>K90.4,</w:t>
            </w:r>
            <w:r>
              <w:rPr>
                <w:spacing w:val="-4"/>
                <w:sz w:val="20"/>
              </w:rPr>
              <w:t> </w:t>
            </w:r>
            <w:r>
              <w:rPr>
                <w:sz w:val="20"/>
              </w:rPr>
              <w:t>K90.8,</w:t>
            </w:r>
            <w:r>
              <w:rPr>
                <w:spacing w:val="-5"/>
                <w:sz w:val="20"/>
              </w:rPr>
              <w:t> </w:t>
            </w:r>
            <w:r>
              <w:rPr>
                <w:spacing w:val="-4"/>
                <w:sz w:val="20"/>
              </w:rPr>
              <w:t>K90.9</w:t>
            </w:r>
          </w:p>
        </w:tc>
        <w:tc>
          <w:tcPr>
            <w:tcW w:w="1953" w:type="dxa"/>
          </w:tcPr>
          <w:p>
            <w:pPr>
              <w:pStyle w:val="TableParagraph"/>
              <w:spacing w:before="45"/>
              <w:ind w:left="881"/>
              <w:rPr>
                <w:sz w:val="20"/>
              </w:rPr>
            </w:pPr>
            <w:r>
              <w:rPr>
                <w:w w:val="99"/>
                <w:sz w:val="20"/>
              </w:rPr>
              <w:t>-</w:t>
            </w:r>
          </w:p>
        </w:tc>
        <w:tc>
          <w:tcPr>
            <w:tcW w:w="3120" w:type="dxa"/>
          </w:tcPr>
          <w:p>
            <w:pPr>
              <w:pStyle w:val="TableParagraph"/>
              <w:spacing w:before="45"/>
              <w:ind w:left="1019" w:right="455"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spacing w:before="45"/>
              <w:ind w:right="51"/>
              <w:jc w:val="right"/>
              <w:rPr>
                <w:sz w:val="20"/>
              </w:rPr>
            </w:pPr>
            <w:r>
              <w:rPr>
                <w:spacing w:val="-4"/>
                <w:sz w:val="20"/>
              </w:rPr>
              <w:t>1,11</w:t>
            </w: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st22.002</w:t>
            </w:r>
          </w:p>
        </w:tc>
        <w:tc>
          <w:tcPr>
            <w:tcW w:w="707" w:type="dxa"/>
          </w:tcPr>
          <w:p>
            <w:pPr>
              <w:pStyle w:val="TableParagraph"/>
              <w:spacing w:line="214" w:lineRule="exact" w:before="46"/>
              <w:ind w:left="210"/>
              <w:rPr>
                <w:sz w:val="20"/>
              </w:rPr>
            </w:pPr>
            <w:r>
              <w:rPr>
                <w:spacing w:val="-5"/>
                <w:sz w:val="20"/>
              </w:rPr>
              <w:t>224</w:t>
            </w:r>
          </w:p>
        </w:tc>
        <w:tc>
          <w:tcPr>
            <w:tcW w:w="2499" w:type="dxa"/>
          </w:tcPr>
          <w:p>
            <w:pPr>
              <w:pStyle w:val="TableParagraph"/>
              <w:spacing w:line="214"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органов</w:t>
            </w:r>
          </w:p>
        </w:tc>
        <w:tc>
          <w:tcPr>
            <w:tcW w:w="5187" w:type="dxa"/>
          </w:tcPr>
          <w:p>
            <w:pPr>
              <w:pStyle w:val="TableParagraph"/>
              <w:spacing w:line="214" w:lineRule="exact" w:before="46"/>
              <w:ind w:left="250"/>
              <w:rPr>
                <w:sz w:val="20"/>
              </w:rPr>
            </w:pPr>
            <w:r>
              <w:rPr>
                <w:sz w:val="20"/>
              </w:rPr>
              <w:t>I85,</w:t>
            </w:r>
            <w:r>
              <w:rPr>
                <w:spacing w:val="-5"/>
                <w:sz w:val="20"/>
              </w:rPr>
              <w:t> </w:t>
            </w:r>
            <w:r>
              <w:rPr>
                <w:sz w:val="20"/>
              </w:rPr>
              <w:t>I85.0,</w:t>
            </w:r>
            <w:r>
              <w:rPr>
                <w:spacing w:val="-4"/>
                <w:sz w:val="20"/>
              </w:rPr>
              <w:t> </w:t>
            </w:r>
            <w:r>
              <w:rPr>
                <w:sz w:val="20"/>
              </w:rPr>
              <w:t>I85.9,</w:t>
            </w:r>
            <w:r>
              <w:rPr>
                <w:spacing w:val="-4"/>
                <w:sz w:val="20"/>
              </w:rPr>
              <w:t> </w:t>
            </w:r>
            <w:r>
              <w:rPr>
                <w:sz w:val="20"/>
              </w:rPr>
              <w:t>I86.4,</w:t>
            </w:r>
            <w:r>
              <w:rPr>
                <w:spacing w:val="-6"/>
                <w:sz w:val="20"/>
              </w:rPr>
              <w:t> </w:t>
            </w:r>
            <w:r>
              <w:rPr>
                <w:sz w:val="20"/>
              </w:rPr>
              <w:t>I98.2,</w:t>
            </w:r>
            <w:r>
              <w:rPr>
                <w:spacing w:val="-7"/>
                <w:sz w:val="20"/>
              </w:rPr>
              <w:t> </w:t>
            </w:r>
            <w:r>
              <w:rPr>
                <w:sz w:val="20"/>
              </w:rPr>
              <w:t>I98.3,</w:t>
            </w:r>
            <w:r>
              <w:rPr>
                <w:spacing w:val="-4"/>
                <w:sz w:val="20"/>
              </w:rPr>
              <w:t> </w:t>
            </w:r>
            <w:r>
              <w:rPr>
                <w:sz w:val="20"/>
              </w:rPr>
              <w:t>K35,</w:t>
            </w:r>
            <w:r>
              <w:rPr>
                <w:spacing w:val="-6"/>
                <w:sz w:val="20"/>
              </w:rPr>
              <w:t> </w:t>
            </w:r>
            <w:r>
              <w:rPr>
                <w:spacing w:val="-2"/>
                <w:sz w:val="20"/>
              </w:rPr>
              <w:t>K35.2,</w:t>
            </w:r>
          </w:p>
        </w:tc>
        <w:tc>
          <w:tcPr>
            <w:tcW w:w="1953" w:type="dxa"/>
          </w:tcPr>
          <w:p>
            <w:pPr>
              <w:pStyle w:val="TableParagraph"/>
              <w:spacing w:line="214" w:lineRule="exact" w:before="46"/>
              <w:ind w:left="881"/>
              <w:rPr>
                <w:sz w:val="20"/>
              </w:rPr>
            </w:pPr>
            <w:r>
              <w:rPr>
                <w:w w:val="99"/>
                <w:sz w:val="20"/>
              </w:rPr>
              <w:t>-</w:t>
            </w:r>
          </w:p>
        </w:tc>
        <w:tc>
          <w:tcPr>
            <w:tcW w:w="3120" w:type="dxa"/>
          </w:tcPr>
          <w:p>
            <w:pPr>
              <w:pStyle w:val="TableParagraph"/>
              <w:spacing w:line="214" w:lineRule="exact" w:before="46"/>
              <w:ind w:left="991"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46"/>
              <w:ind w:right="51"/>
              <w:jc w:val="right"/>
              <w:rPr>
                <w:sz w:val="20"/>
              </w:rPr>
            </w:pPr>
            <w:r>
              <w:rPr>
                <w:spacing w:val="-4"/>
                <w:sz w:val="20"/>
              </w:rPr>
              <w:t>0,39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09" w:lineRule="exact"/>
              <w:ind w:left="192"/>
              <w:rPr>
                <w:sz w:val="20"/>
              </w:rPr>
            </w:pPr>
            <w:r>
              <w:rPr>
                <w:spacing w:val="-2"/>
                <w:sz w:val="20"/>
              </w:rPr>
              <w:t>пищеварения,</w:t>
            </w:r>
            <w:r>
              <w:rPr>
                <w:spacing w:val="7"/>
                <w:sz w:val="20"/>
              </w:rPr>
              <w:t> </w:t>
            </w:r>
            <w:r>
              <w:rPr>
                <w:spacing w:val="-4"/>
                <w:sz w:val="20"/>
              </w:rPr>
              <w:t>дети</w:t>
            </w:r>
          </w:p>
        </w:tc>
        <w:tc>
          <w:tcPr>
            <w:tcW w:w="5187" w:type="dxa"/>
          </w:tcPr>
          <w:p>
            <w:pPr>
              <w:pStyle w:val="TableParagraph"/>
              <w:spacing w:line="209" w:lineRule="exact"/>
              <w:ind w:left="389"/>
              <w:rPr>
                <w:sz w:val="20"/>
              </w:rPr>
            </w:pPr>
            <w:r>
              <w:rPr>
                <w:sz w:val="20"/>
              </w:rPr>
              <w:t>K35.3,</w:t>
            </w:r>
            <w:r>
              <w:rPr>
                <w:spacing w:val="-4"/>
                <w:sz w:val="20"/>
              </w:rPr>
              <w:t> </w:t>
            </w:r>
            <w:r>
              <w:rPr>
                <w:sz w:val="20"/>
              </w:rPr>
              <w:t>K35.8,</w:t>
            </w:r>
            <w:r>
              <w:rPr>
                <w:spacing w:val="-6"/>
                <w:sz w:val="20"/>
              </w:rPr>
              <w:t> </w:t>
            </w:r>
            <w:r>
              <w:rPr>
                <w:sz w:val="20"/>
              </w:rPr>
              <w:t>K36,</w:t>
            </w:r>
            <w:r>
              <w:rPr>
                <w:spacing w:val="-4"/>
                <w:sz w:val="20"/>
              </w:rPr>
              <w:t> </w:t>
            </w:r>
            <w:r>
              <w:rPr>
                <w:sz w:val="20"/>
              </w:rPr>
              <w:t>K37,</w:t>
            </w:r>
            <w:r>
              <w:rPr>
                <w:spacing w:val="-4"/>
                <w:sz w:val="20"/>
              </w:rPr>
              <w:t> </w:t>
            </w:r>
            <w:r>
              <w:rPr>
                <w:sz w:val="20"/>
              </w:rPr>
              <w:t>K38,</w:t>
            </w:r>
            <w:r>
              <w:rPr>
                <w:spacing w:val="-4"/>
                <w:sz w:val="20"/>
              </w:rPr>
              <w:t> </w:t>
            </w:r>
            <w:r>
              <w:rPr>
                <w:sz w:val="20"/>
              </w:rPr>
              <w:t>K38.0,</w:t>
            </w:r>
            <w:r>
              <w:rPr>
                <w:spacing w:val="-6"/>
                <w:sz w:val="20"/>
              </w:rPr>
              <w:t> </w:t>
            </w:r>
            <w:r>
              <w:rPr>
                <w:spacing w:val="-2"/>
                <w:sz w:val="20"/>
              </w:rPr>
              <w:t>K38.1,</w:t>
            </w:r>
          </w:p>
        </w:tc>
        <w:tc>
          <w:tcPr>
            <w:tcW w:w="1953" w:type="dxa"/>
          </w:tcPr>
          <w:p>
            <w:pPr>
              <w:pStyle w:val="TableParagraph"/>
              <w:rPr>
                <w:sz w:val="16"/>
              </w:rPr>
            </w:pPr>
          </w:p>
        </w:tc>
        <w:tc>
          <w:tcPr>
            <w:tcW w:w="3120" w:type="dxa"/>
          </w:tcPr>
          <w:p>
            <w:pPr>
              <w:pStyle w:val="TableParagraph"/>
              <w:spacing w:line="209" w:lineRule="exact"/>
              <w:ind w:left="988" w:right="454"/>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K38.2,</w:t>
            </w:r>
            <w:r>
              <w:rPr>
                <w:spacing w:val="-4"/>
                <w:sz w:val="20"/>
              </w:rPr>
              <w:t> </w:t>
            </w:r>
            <w:r>
              <w:rPr>
                <w:sz w:val="20"/>
              </w:rPr>
              <w:t>K38.3,</w:t>
            </w:r>
            <w:r>
              <w:rPr>
                <w:spacing w:val="-4"/>
                <w:sz w:val="20"/>
              </w:rPr>
              <w:t> </w:t>
            </w:r>
            <w:r>
              <w:rPr>
                <w:sz w:val="20"/>
              </w:rPr>
              <w:t>K38.8,</w:t>
            </w:r>
            <w:r>
              <w:rPr>
                <w:spacing w:val="-4"/>
                <w:sz w:val="20"/>
              </w:rPr>
              <w:t> </w:t>
            </w:r>
            <w:r>
              <w:rPr>
                <w:sz w:val="20"/>
              </w:rPr>
              <w:t>K38.9,</w:t>
            </w:r>
            <w:r>
              <w:rPr>
                <w:spacing w:val="-6"/>
                <w:sz w:val="20"/>
              </w:rPr>
              <w:t> </w:t>
            </w:r>
            <w:r>
              <w:rPr>
                <w:sz w:val="20"/>
              </w:rPr>
              <w:t>K40,</w:t>
            </w:r>
            <w:r>
              <w:rPr>
                <w:spacing w:val="-4"/>
                <w:sz w:val="20"/>
              </w:rPr>
              <w:t> </w:t>
            </w:r>
            <w:r>
              <w:rPr>
                <w:sz w:val="20"/>
              </w:rPr>
              <w:t>K40.0,</w:t>
            </w:r>
            <w:r>
              <w:rPr>
                <w:spacing w:val="-4"/>
                <w:sz w:val="20"/>
              </w:rPr>
              <w:t> </w:t>
            </w:r>
            <w:r>
              <w:rPr>
                <w:spacing w:val="-2"/>
                <w:sz w:val="20"/>
              </w:rPr>
              <w:t>K40.1,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K40.2,</w:t>
            </w:r>
            <w:r>
              <w:rPr>
                <w:spacing w:val="-4"/>
                <w:sz w:val="20"/>
              </w:rPr>
              <w:t> </w:t>
            </w:r>
            <w:r>
              <w:rPr>
                <w:sz w:val="20"/>
              </w:rPr>
              <w:t>K40.3,</w:t>
            </w:r>
            <w:r>
              <w:rPr>
                <w:spacing w:val="-6"/>
                <w:sz w:val="20"/>
              </w:rPr>
              <w:t> </w:t>
            </w:r>
            <w:r>
              <w:rPr>
                <w:sz w:val="20"/>
              </w:rPr>
              <w:t>K40.4,</w:t>
            </w:r>
            <w:r>
              <w:rPr>
                <w:spacing w:val="-4"/>
                <w:sz w:val="20"/>
              </w:rPr>
              <w:t> </w:t>
            </w:r>
            <w:r>
              <w:rPr>
                <w:sz w:val="20"/>
              </w:rPr>
              <w:t>K40.9,</w:t>
            </w:r>
            <w:r>
              <w:rPr>
                <w:spacing w:val="-6"/>
                <w:sz w:val="20"/>
              </w:rPr>
              <w:t> </w:t>
            </w:r>
            <w:r>
              <w:rPr>
                <w:sz w:val="20"/>
              </w:rPr>
              <w:t>K41,</w:t>
            </w:r>
            <w:r>
              <w:rPr>
                <w:spacing w:val="-4"/>
                <w:sz w:val="20"/>
              </w:rPr>
              <w:t> </w:t>
            </w:r>
            <w:r>
              <w:rPr>
                <w:sz w:val="20"/>
              </w:rPr>
              <w:t>K41.0,</w:t>
            </w:r>
            <w:r>
              <w:rPr>
                <w:spacing w:val="-4"/>
                <w:sz w:val="20"/>
              </w:rPr>
              <w:t> </w:t>
            </w:r>
            <w:r>
              <w:rPr>
                <w:spacing w:val="-2"/>
                <w:sz w:val="20"/>
              </w:rPr>
              <w:t>K41.1,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K41.2,</w:t>
            </w:r>
            <w:r>
              <w:rPr>
                <w:spacing w:val="-4"/>
                <w:sz w:val="20"/>
              </w:rPr>
              <w:t> </w:t>
            </w:r>
            <w:r>
              <w:rPr>
                <w:sz w:val="20"/>
              </w:rPr>
              <w:t>K41.3,</w:t>
            </w:r>
            <w:r>
              <w:rPr>
                <w:spacing w:val="-6"/>
                <w:sz w:val="20"/>
              </w:rPr>
              <w:t> </w:t>
            </w:r>
            <w:r>
              <w:rPr>
                <w:sz w:val="20"/>
              </w:rPr>
              <w:t>K41.4,</w:t>
            </w:r>
            <w:r>
              <w:rPr>
                <w:spacing w:val="-4"/>
                <w:sz w:val="20"/>
              </w:rPr>
              <w:t> </w:t>
            </w:r>
            <w:r>
              <w:rPr>
                <w:sz w:val="20"/>
              </w:rPr>
              <w:t>K41.9,</w:t>
            </w:r>
            <w:r>
              <w:rPr>
                <w:spacing w:val="-6"/>
                <w:sz w:val="20"/>
              </w:rPr>
              <w:t> </w:t>
            </w:r>
            <w:r>
              <w:rPr>
                <w:sz w:val="20"/>
              </w:rPr>
              <w:t>K42,</w:t>
            </w:r>
            <w:r>
              <w:rPr>
                <w:spacing w:val="-4"/>
                <w:sz w:val="20"/>
              </w:rPr>
              <w:t> </w:t>
            </w:r>
            <w:r>
              <w:rPr>
                <w:sz w:val="20"/>
              </w:rPr>
              <w:t>K42.0,</w:t>
            </w:r>
            <w:r>
              <w:rPr>
                <w:spacing w:val="-4"/>
                <w:sz w:val="20"/>
              </w:rPr>
              <w:t> </w:t>
            </w:r>
            <w:r>
              <w:rPr>
                <w:spacing w:val="-2"/>
                <w:sz w:val="20"/>
              </w:rPr>
              <w:t>K42.1,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40"/>
              <w:rPr>
                <w:sz w:val="20"/>
              </w:rPr>
            </w:pPr>
            <w:r>
              <w:rPr>
                <w:sz w:val="20"/>
              </w:rPr>
              <w:t>K42.9,</w:t>
            </w:r>
            <w:r>
              <w:rPr>
                <w:spacing w:val="-6"/>
                <w:sz w:val="20"/>
              </w:rPr>
              <w:t> </w:t>
            </w:r>
            <w:r>
              <w:rPr>
                <w:sz w:val="20"/>
              </w:rPr>
              <w:t>K43,</w:t>
            </w:r>
            <w:r>
              <w:rPr>
                <w:spacing w:val="-6"/>
                <w:sz w:val="20"/>
              </w:rPr>
              <w:t> </w:t>
            </w:r>
            <w:r>
              <w:rPr>
                <w:sz w:val="20"/>
              </w:rPr>
              <w:t>K43.0,</w:t>
            </w:r>
            <w:r>
              <w:rPr>
                <w:spacing w:val="-5"/>
                <w:sz w:val="20"/>
              </w:rPr>
              <w:t> </w:t>
            </w:r>
            <w:r>
              <w:rPr>
                <w:sz w:val="20"/>
              </w:rPr>
              <w:t>K43.1,</w:t>
            </w:r>
            <w:r>
              <w:rPr>
                <w:spacing w:val="-6"/>
                <w:sz w:val="20"/>
              </w:rPr>
              <w:t> </w:t>
            </w:r>
            <w:r>
              <w:rPr>
                <w:sz w:val="20"/>
              </w:rPr>
              <w:t>K43.2,</w:t>
            </w:r>
            <w:r>
              <w:rPr>
                <w:spacing w:val="-5"/>
                <w:sz w:val="20"/>
              </w:rPr>
              <w:t> </w:t>
            </w:r>
            <w:r>
              <w:rPr>
                <w:sz w:val="20"/>
              </w:rPr>
              <w:t>K43.3,</w:t>
            </w:r>
            <w:r>
              <w:rPr>
                <w:spacing w:val="-6"/>
                <w:sz w:val="20"/>
              </w:rPr>
              <w:t> </w:t>
            </w:r>
            <w:r>
              <w:rPr>
                <w:spacing w:val="-2"/>
                <w:sz w:val="20"/>
              </w:rPr>
              <w:t>K43.4,</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38"/>
              <w:rPr>
                <w:sz w:val="20"/>
              </w:rPr>
            </w:pPr>
            <w:r>
              <w:rPr>
                <w:sz w:val="20"/>
              </w:rPr>
              <w:t>K43.5,</w:t>
            </w:r>
            <w:r>
              <w:rPr>
                <w:spacing w:val="-4"/>
                <w:sz w:val="20"/>
              </w:rPr>
              <w:t> </w:t>
            </w:r>
            <w:r>
              <w:rPr>
                <w:sz w:val="20"/>
              </w:rPr>
              <w:t>K43.6,</w:t>
            </w:r>
            <w:r>
              <w:rPr>
                <w:spacing w:val="-6"/>
                <w:sz w:val="20"/>
              </w:rPr>
              <w:t> </w:t>
            </w:r>
            <w:r>
              <w:rPr>
                <w:sz w:val="20"/>
              </w:rPr>
              <w:t>K43.7,</w:t>
            </w:r>
            <w:r>
              <w:rPr>
                <w:spacing w:val="-4"/>
                <w:sz w:val="20"/>
              </w:rPr>
              <w:t> </w:t>
            </w:r>
            <w:r>
              <w:rPr>
                <w:sz w:val="20"/>
              </w:rPr>
              <w:t>K43.9,</w:t>
            </w:r>
            <w:r>
              <w:rPr>
                <w:spacing w:val="-6"/>
                <w:sz w:val="20"/>
              </w:rPr>
              <w:t> </w:t>
            </w:r>
            <w:r>
              <w:rPr>
                <w:sz w:val="20"/>
              </w:rPr>
              <w:t>K44,</w:t>
            </w:r>
            <w:r>
              <w:rPr>
                <w:spacing w:val="-4"/>
                <w:sz w:val="20"/>
              </w:rPr>
              <w:t> </w:t>
            </w:r>
            <w:r>
              <w:rPr>
                <w:sz w:val="20"/>
              </w:rPr>
              <w:t>K44.0,</w:t>
            </w:r>
            <w:r>
              <w:rPr>
                <w:spacing w:val="-4"/>
                <w:sz w:val="20"/>
              </w:rPr>
              <w:t> </w:t>
            </w:r>
            <w:r>
              <w:rPr>
                <w:spacing w:val="-2"/>
                <w:sz w:val="20"/>
              </w:rPr>
              <w:t>K44.1,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314"/>
              <w:rPr>
                <w:sz w:val="20"/>
              </w:rPr>
            </w:pPr>
            <w:r>
              <w:rPr>
                <w:sz w:val="20"/>
              </w:rPr>
              <w:t>K44.9,</w:t>
            </w:r>
            <w:r>
              <w:rPr>
                <w:spacing w:val="-4"/>
                <w:sz w:val="20"/>
              </w:rPr>
              <w:t> </w:t>
            </w:r>
            <w:r>
              <w:rPr>
                <w:sz w:val="20"/>
              </w:rPr>
              <w:t>K45,</w:t>
            </w:r>
            <w:r>
              <w:rPr>
                <w:spacing w:val="-4"/>
                <w:sz w:val="20"/>
              </w:rPr>
              <w:t> </w:t>
            </w:r>
            <w:r>
              <w:rPr>
                <w:sz w:val="20"/>
              </w:rPr>
              <w:t>K45.0,</w:t>
            </w:r>
            <w:r>
              <w:rPr>
                <w:spacing w:val="-4"/>
                <w:sz w:val="20"/>
              </w:rPr>
              <w:t> </w:t>
            </w:r>
            <w:r>
              <w:rPr>
                <w:sz w:val="20"/>
              </w:rPr>
              <w:t>K45.1,</w:t>
            </w:r>
            <w:r>
              <w:rPr>
                <w:spacing w:val="-4"/>
                <w:sz w:val="20"/>
              </w:rPr>
              <w:t> </w:t>
            </w:r>
            <w:r>
              <w:rPr>
                <w:sz w:val="20"/>
              </w:rPr>
              <w:t>K45.8,</w:t>
            </w:r>
            <w:r>
              <w:rPr>
                <w:spacing w:val="-4"/>
                <w:sz w:val="20"/>
              </w:rPr>
              <w:t> </w:t>
            </w:r>
            <w:r>
              <w:rPr>
                <w:sz w:val="20"/>
              </w:rPr>
              <w:t>K46,</w:t>
            </w:r>
            <w:r>
              <w:rPr>
                <w:spacing w:val="-4"/>
                <w:sz w:val="20"/>
              </w:rPr>
              <w:t> </w:t>
            </w:r>
            <w:r>
              <w:rPr>
                <w:spacing w:val="-2"/>
                <w:sz w:val="20"/>
              </w:rPr>
              <w:t>K46.0,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40"/>
              <w:rPr>
                <w:sz w:val="20"/>
              </w:rPr>
            </w:pPr>
            <w:r>
              <w:rPr>
                <w:sz w:val="20"/>
              </w:rPr>
              <w:t>K46.1,</w:t>
            </w:r>
            <w:r>
              <w:rPr>
                <w:spacing w:val="-6"/>
                <w:sz w:val="20"/>
              </w:rPr>
              <w:t> </w:t>
            </w:r>
            <w:r>
              <w:rPr>
                <w:sz w:val="20"/>
              </w:rPr>
              <w:t>K46.9,</w:t>
            </w:r>
            <w:r>
              <w:rPr>
                <w:spacing w:val="-7"/>
                <w:sz w:val="20"/>
              </w:rPr>
              <w:t> </w:t>
            </w:r>
            <w:r>
              <w:rPr>
                <w:sz w:val="20"/>
              </w:rPr>
              <w:t>K52,</w:t>
            </w:r>
            <w:r>
              <w:rPr>
                <w:spacing w:val="-5"/>
                <w:sz w:val="20"/>
              </w:rPr>
              <w:t> </w:t>
            </w:r>
            <w:r>
              <w:rPr>
                <w:sz w:val="20"/>
              </w:rPr>
              <w:t>K52.0,</w:t>
            </w:r>
            <w:r>
              <w:rPr>
                <w:spacing w:val="-5"/>
                <w:sz w:val="20"/>
              </w:rPr>
              <w:t> </w:t>
            </w:r>
            <w:r>
              <w:rPr>
                <w:sz w:val="20"/>
              </w:rPr>
              <w:t>K52.1,</w:t>
            </w:r>
            <w:r>
              <w:rPr>
                <w:spacing w:val="-5"/>
                <w:sz w:val="20"/>
              </w:rPr>
              <w:t> </w:t>
            </w:r>
            <w:r>
              <w:rPr>
                <w:sz w:val="20"/>
              </w:rPr>
              <w:t>K52.2,</w:t>
            </w:r>
            <w:r>
              <w:rPr>
                <w:spacing w:val="-6"/>
                <w:sz w:val="20"/>
              </w:rPr>
              <w:t> </w:t>
            </w:r>
            <w:r>
              <w:rPr>
                <w:spacing w:val="-2"/>
                <w:sz w:val="20"/>
              </w:rPr>
              <w:t>K52.3,</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1" w:lineRule="exact"/>
              <w:ind w:left="240"/>
              <w:rPr>
                <w:sz w:val="20"/>
              </w:rPr>
            </w:pPr>
            <w:r>
              <w:rPr>
                <w:sz w:val="20"/>
              </w:rPr>
              <w:t>K52.8,</w:t>
            </w:r>
            <w:r>
              <w:rPr>
                <w:spacing w:val="-6"/>
                <w:sz w:val="20"/>
              </w:rPr>
              <w:t> </w:t>
            </w:r>
            <w:r>
              <w:rPr>
                <w:sz w:val="20"/>
              </w:rPr>
              <w:t>K52.9,</w:t>
            </w:r>
            <w:r>
              <w:rPr>
                <w:spacing w:val="-7"/>
                <w:sz w:val="20"/>
              </w:rPr>
              <w:t> </w:t>
            </w:r>
            <w:r>
              <w:rPr>
                <w:sz w:val="20"/>
              </w:rPr>
              <w:t>K55,</w:t>
            </w:r>
            <w:r>
              <w:rPr>
                <w:spacing w:val="-5"/>
                <w:sz w:val="20"/>
              </w:rPr>
              <w:t> </w:t>
            </w:r>
            <w:r>
              <w:rPr>
                <w:sz w:val="20"/>
              </w:rPr>
              <w:t>K55.0,</w:t>
            </w:r>
            <w:r>
              <w:rPr>
                <w:spacing w:val="-5"/>
                <w:sz w:val="20"/>
              </w:rPr>
              <w:t> </w:t>
            </w:r>
            <w:r>
              <w:rPr>
                <w:sz w:val="20"/>
              </w:rPr>
              <w:t>K55.1,</w:t>
            </w:r>
            <w:r>
              <w:rPr>
                <w:spacing w:val="-5"/>
                <w:sz w:val="20"/>
              </w:rPr>
              <w:t> </w:t>
            </w:r>
            <w:r>
              <w:rPr>
                <w:sz w:val="20"/>
              </w:rPr>
              <w:t>K55.2,</w:t>
            </w:r>
            <w:r>
              <w:rPr>
                <w:spacing w:val="-6"/>
                <w:sz w:val="20"/>
              </w:rPr>
              <w:t> </w:t>
            </w:r>
            <w:r>
              <w:rPr>
                <w:spacing w:val="-2"/>
                <w:sz w:val="20"/>
              </w:rPr>
              <w:t>K55.3,</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1" w:lineRule="exact"/>
              <w:ind w:left="240"/>
              <w:rPr>
                <w:sz w:val="20"/>
              </w:rPr>
            </w:pPr>
            <w:r>
              <w:rPr>
                <w:sz w:val="20"/>
              </w:rPr>
              <w:t>K55.8,</w:t>
            </w:r>
            <w:r>
              <w:rPr>
                <w:spacing w:val="-6"/>
                <w:sz w:val="20"/>
              </w:rPr>
              <w:t> </w:t>
            </w:r>
            <w:r>
              <w:rPr>
                <w:sz w:val="20"/>
              </w:rPr>
              <w:t>K55.9,</w:t>
            </w:r>
            <w:r>
              <w:rPr>
                <w:spacing w:val="-7"/>
                <w:sz w:val="20"/>
              </w:rPr>
              <w:t> </w:t>
            </w:r>
            <w:r>
              <w:rPr>
                <w:sz w:val="20"/>
              </w:rPr>
              <w:t>K56,</w:t>
            </w:r>
            <w:r>
              <w:rPr>
                <w:spacing w:val="-5"/>
                <w:sz w:val="20"/>
              </w:rPr>
              <w:t> </w:t>
            </w:r>
            <w:r>
              <w:rPr>
                <w:sz w:val="20"/>
              </w:rPr>
              <w:t>K56.0,</w:t>
            </w:r>
            <w:r>
              <w:rPr>
                <w:spacing w:val="-5"/>
                <w:sz w:val="20"/>
              </w:rPr>
              <w:t> </w:t>
            </w:r>
            <w:r>
              <w:rPr>
                <w:sz w:val="20"/>
              </w:rPr>
              <w:t>K56.1,</w:t>
            </w:r>
            <w:r>
              <w:rPr>
                <w:spacing w:val="-5"/>
                <w:sz w:val="20"/>
              </w:rPr>
              <w:t> </w:t>
            </w:r>
            <w:r>
              <w:rPr>
                <w:sz w:val="20"/>
              </w:rPr>
              <w:t>K56.2,</w:t>
            </w:r>
            <w:r>
              <w:rPr>
                <w:spacing w:val="-6"/>
                <w:sz w:val="20"/>
              </w:rPr>
              <w:t> </w:t>
            </w:r>
            <w:r>
              <w:rPr>
                <w:spacing w:val="-2"/>
                <w:sz w:val="20"/>
              </w:rPr>
              <w:t>K56.3,</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38"/>
              <w:rPr>
                <w:sz w:val="20"/>
              </w:rPr>
            </w:pPr>
            <w:r>
              <w:rPr>
                <w:sz w:val="20"/>
              </w:rPr>
              <w:t>K56.4,</w:t>
            </w:r>
            <w:r>
              <w:rPr>
                <w:spacing w:val="-4"/>
                <w:sz w:val="20"/>
              </w:rPr>
              <w:t> </w:t>
            </w:r>
            <w:r>
              <w:rPr>
                <w:sz w:val="20"/>
              </w:rPr>
              <w:t>K56.5,</w:t>
            </w:r>
            <w:r>
              <w:rPr>
                <w:spacing w:val="-6"/>
                <w:sz w:val="20"/>
              </w:rPr>
              <w:t> </w:t>
            </w:r>
            <w:r>
              <w:rPr>
                <w:sz w:val="20"/>
              </w:rPr>
              <w:t>K56.6,</w:t>
            </w:r>
            <w:r>
              <w:rPr>
                <w:spacing w:val="-4"/>
                <w:sz w:val="20"/>
              </w:rPr>
              <w:t> </w:t>
            </w:r>
            <w:r>
              <w:rPr>
                <w:sz w:val="20"/>
              </w:rPr>
              <w:t>K56.7,</w:t>
            </w:r>
            <w:r>
              <w:rPr>
                <w:spacing w:val="-6"/>
                <w:sz w:val="20"/>
              </w:rPr>
              <w:t> </w:t>
            </w:r>
            <w:r>
              <w:rPr>
                <w:sz w:val="20"/>
              </w:rPr>
              <w:t>K57,</w:t>
            </w:r>
            <w:r>
              <w:rPr>
                <w:spacing w:val="-4"/>
                <w:sz w:val="20"/>
              </w:rPr>
              <w:t> </w:t>
            </w:r>
            <w:r>
              <w:rPr>
                <w:sz w:val="20"/>
              </w:rPr>
              <w:t>K57.0,</w:t>
            </w:r>
            <w:r>
              <w:rPr>
                <w:spacing w:val="-4"/>
                <w:sz w:val="20"/>
              </w:rPr>
              <w:t> </w:t>
            </w:r>
            <w:r>
              <w:rPr>
                <w:spacing w:val="-2"/>
                <w:sz w:val="20"/>
              </w:rPr>
              <w:t>K57.1,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38"/>
              <w:rPr>
                <w:sz w:val="20"/>
              </w:rPr>
            </w:pPr>
            <w:r>
              <w:rPr>
                <w:sz w:val="20"/>
              </w:rPr>
              <w:t>K57.2,</w:t>
            </w:r>
            <w:r>
              <w:rPr>
                <w:spacing w:val="-5"/>
                <w:sz w:val="20"/>
              </w:rPr>
              <w:t> </w:t>
            </w:r>
            <w:r>
              <w:rPr>
                <w:sz w:val="20"/>
              </w:rPr>
              <w:t>K57.3,</w:t>
            </w:r>
            <w:r>
              <w:rPr>
                <w:spacing w:val="-5"/>
                <w:sz w:val="20"/>
              </w:rPr>
              <w:t> </w:t>
            </w:r>
            <w:r>
              <w:rPr>
                <w:sz w:val="20"/>
              </w:rPr>
              <w:t>K57.4,</w:t>
            </w:r>
            <w:r>
              <w:rPr>
                <w:spacing w:val="-4"/>
                <w:sz w:val="20"/>
              </w:rPr>
              <w:t> </w:t>
            </w:r>
            <w:r>
              <w:rPr>
                <w:sz w:val="20"/>
              </w:rPr>
              <w:t>K57.5,</w:t>
            </w:r>
            <w:r>
              <w:rPr>
                <w:spacing w:val="-6"/>
                <w:sz w:val="20"/>
              </w:rPr>
              <w:t> </w:t>
            </w:r>
            <w:r>
              <w:rPr>
                <w:sz w:val="20"/>
              </w:rPr>
              <w:t>K57.8,</w:t>
            </w:r>
            <w:r>
              <w:rPr>
                <w:spacing w:val="-4"/>
                <w:sz w:val="20"/>
              </w:rPr>
              <w:t> </w:t>
            </w:r>
            <w:r>
              <w:rPr>
                <w:sz w:val="20"/>
              </w:rPr>
              <w:t>K57.9,</w:t>
            </w:r>
            <w:r>
              <w:rPr>
                <w:spacing w:val="-6"/>
                <w:sz w:val="20"/>
              </w:rPr>
              <w:t> </w:t>
            </w:r>
            <w:r>
              <w:rPr>
                <w:spacing w:val="-4"/>
                <w:sz w:val="20"/>
              </w:rPr>
              <w:t>K58,</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K58.1,</w:t>
            </w:r>
            <w:r>
              <w:rPr>
                <w:spacing w:val="-4"/>
                <w:sz w:val="20"/>
              </w:rPr>
              <w:t> </w:t>
            </w:r>
            <w:r>
              <w:rPr>
                <w:sz w:val="20"/>
              </w:rPr>
              <w:t>K58.2,</w:t>
            </w:r>
            <w:r>
              <w:rPr>
                <w:spacing w:val="-6"/>
                <w:sz w:val="20"/>
              </w:rPr>
              <w:t> </w:t>
            </w:r>
            <w:r>
              <w:rPr>
                <w:sz w:val="20"/>
              </w:rPr>
              <w:t>K58.3,</w:t>
            </w:r>
            <w:r>
              <w:rPr>
                <w:spacing w:val="-4"/>
                <w:sz w:val="20"/>
              </w:rPr>
              <w:t> </w:t>
            </w:r>
            <w:r>
              <w:rPr>
                <w:sz w:val="20"/>
              </w:rPr>
              <w:t>K58.8,</w:t>
            </w:r>
            <w:r>
              <w:rPr>
                <w:spacing w:val="-5"/>
                <w:sz w:val="20"/>
              </w:rPr>
              <w:t> </w:t>
            </w:r>
            <w:r>
              <w:rPr>
                <w:sz w:val="20"/>
              </w:rPr>
              <w:t>K59,</w:t>
            </w:r>
            <w:r>
              <w:rPr>
                <w:spacing w:val="-4"/>
                <w:sz w:val="20"/>
              </w:rPr>
              <w:t> </w:t>
            </w:r>
            <w:r>
              <w:rPr>
                <w:sz w:val="20"/>
              </w:rPr>
              <w:t>K59.0,</w:t>
            </w:r>
            <w:r>
              <w:rPr>
                <w:spacing w:val="-4"/>
                <w:sz w:val="20"/>
              </w:rPr>
              <w:t> </w:t>
            </w:r>
            <w:r>
              <w:rPr>
                <w:spacing w:val="-2"/>
                <w:sz w:val="20"/>
              </w:rPr>
              <w:t>K59.1,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K59.2,</w:t>
            </w:r>
            <w:r>
              <w:rPr>
                <w:spacing w:val="-4"/>
                <w:sz w:val="20"/>
              </w:rPr>
              <w:t> </w:t>
            </w:r>
            <w:r>
              <w:rPr>
                <w:sz w:val="20"/>
              </w:rPr>
              <w:t>K59.3,</w:t>
            </w:r>
            <w:r>
              <w:rPr>
                <w:spacing w:val="-6"/>
                <w:sz w:val="20"/>
              </w:rPr>
              <w:t> </w:t>
            </w:r>
            <w:r>
              <w:rPr>
                <w:sz w:val="20"/>
              </w:rPr>
              <w:t>K59.4,</w:t>
            </w:r>
            <w:r>
              <w:rPr>
                <w:spacing w:val="-4"/>
                <w:sz w:val="20"/>
              </w:rPr>
              <w:t> </w:t>
            </w:r>
            <w:r>
              <w:rPr>
                <w:sz w:val="20"/>
              </w:rPr>
              <w:t>K59.8,</w:t>
            </w:r>
            <w:r>
              <w:rPr>
                <w:spacing w:val="-6"/>
                <w:sz w:val="20"/>
              </w:rPr>
              <w:t> </w:t>
            </w:r>
            <w:r>
              <w:rPr>
                <w:sz w:val="20"/>
              </w:rPr>
              <w:t>K59.9,</w:t>
            </w:r>
            <w:r>
              <w:rPr>
                <w:spacing w:val="-4"/>
                <w:sz w:val="20"/>
              </w:rPr>
              <w:t> </w:t>
            </w:r>
            <w:r>
              <w:rPr>
                <w:sz w:val="20"/>
              </w:rPr>
              <w:t>K60,</w:t>
            </w:r>
            <w:r>
              <w:rPr>
                <w:spacing w:val="-4"/>
                <w:sz w:val="20"/>
              </w:rPr>
              <w:t> </w:t>
            </w:r>
            <w:r>
              <w:rPr>
                <w:spacing w:val="-2"/>
                <w:sz w:val="20"/>
              </w:rPr>
              <w:t>K60.0,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K60.1,</w:t>
            </w:r>
            <w:r>
              <w:rPr>
                <w:spacing w:val="-4"/>
                <w:sz w:val="20"/>
              </w:rPr>
              <w:t> </w:t>
            </w:r>
            <w:r>
              <w:rPr>
                <w:sz w:val="20"/>
              </w:rPr>
              <w:t>K60.2,</w:t>
            </w:r>
            <w:r>
              <w:rPr>
                <w:spacing w:val="-6"/>
                <w:sz w:val="20"/>
              </w:rPr>
              <w:t> </w:t>
            </w:r>
            <w:r>
              <w:rPr>
                <w:sz w:val="20"/>
              </w:rPr>
              <w:t>K60.3,</w:t>
            </w:r>
            <w:r>
              <w:rPr>
                <w:spacing w:val="-4"/>
                <w:sz w:val="20"/>
              </w:rPr>
              <w:t> </w:t>
            </w:r>
            <w:r>
              <w:rPr>
                <w:sz w:val="20"/>
              </w:rPr>
              <w:t>K60.4,</w:t>
            </w:r>
            <w:r>
              <w:rPr>
                <w:spacing w:val="-6"/>
                <w:sz w:val="20"/>
              </w:rPr>
              <w:t> </w:t>
            </w:r>
            <w:r>
              <w:rPr>
                <w:sz w:val="20"/>
              </w:rPr>
              <w:t>K60.5,</w:t>
            </w:r>
            <w:r>
              <w:rPr>
                <w:spacing w:val="-4"/>
                <w:sz w:val="20"/>
              </w:rPr>
              <w:t> </w:t>
            </w:r>
            <w:r>
              <w:rPr>
                <w:sz w:val="20"/>
              </w:rPr>
              <w:t>K61,</w:t>
            </w:r>
            <w:r>
              <w:rPr>
                <w:spacing w:val="-4"/>
                <w:sz w:val="20"/>
              </w:rPr>
              <w:t> </w:t>
            </w:r>
            <w:r>
              <w:rPr>
                <w:spacing w:val="-2"/>
                <w:sz w:val="20"/>
              </w:rPr>
              <w:t>K61.0,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K61.1,</w:t>
            </w:r>
            <w:r>
              <w:rPr>
                <w:spacing w:val="-4"/>
                <w:sz w:val="20"/>
              </w:rPr>
              <w:t> </w:t>
            </w:r>
            <w:r>
              <w:rPr>
                <w:sz w:val="20"/>
              </w:rPr>
              <w:t>K61.2,</w:t>
            </w:r>
            <w:r>
              <w:rPr>
                <w:spacing w:val="-6"/>
                <w:sz w:val="20"/>
              </w:rPr>
              <w:t> </w:t>
            </w:r>
            <w:r>
              <w:rPr>
                <w:sz w:val="20"/>
              </w:rPr>
              <w:t>K61.3,</w:t>
            </w:r>
            <w:r>
              <w:rPr>
                <w:spacing w:val="-4"/>
                <w:sz w:val="20"/>
              </w:rPr>
              <w:t> </w:t>
            </w:r>
            <w:r>
              <w:rPr>
                <w:sz w:val="20"/>
              </w:rPr>
              <w:t>K61.4,</w:t>
            </w:r>
            <w:r>
              <w:rPr>
                <w:spacing w:val="-6"/>
                <w:sz w:val="20"/>
              </w:rPr>
              <w:t> </w:t>
            </w:r>
            <w:r>
              <w:rPr>
                <w:sz w:val="20"/>
              </w:rPr>
              <w:t>K62,</w:t>
            </w:r>
            <w:r>
              <w:rPr>
                <w:spacing w:val="-4"/>
                <w:sz w:val="20"/>
              </w:rPr>
              <w:t> </w:t>
            </w:r>
            <w:r>
              <w:rPr>
                <w:sz w:val="20"/>
              </w:rPr>
              <w:t>K62.0,</w:t>
            </w:r>
            <w:r>
              <w:rPr>
                <w:spacing w:val="-4"/>
                <w:sz w:val="20"/>
              </w:rPr>
              <w:t> </w:t>
            </w:r>
            <w:r>
              <w:rPr>
                <w:spacing w:val="-2"/>
                <w:sz w:val="20"/>
              </w:rPr>
              <w:t>K62.1,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5" w:lineRule="exact"/>
              <w:ind w:left="461"/>
              <w:rPr>
                <w:sz w:val="20"/>
              </w:rPr>
            </w:pPr>
            <w:r>
              <w:rPr>
                <w:sz w:val="20"/>
              </w:rPr>
              <w:t>K62.2,</w:t>
            </w:r>
            <w:r>
              <w:rPr>
                <w:spacing w:val="-4"/>
                <w:sz w:val="20"/>
              </w:rPr>
              <w:t> </w:t>
            </w:r>
            <w:r>
              <w:rPr>
                <w:sz w:val="20"/>
              </w:rPr>
              <w:t>K62.3,</w:t>
            </w:r>
            <w:r>
              <w:rPr>
                <w:spacing w:val="-6"/>
                <w:sz w:val="20"/>
              </w:rPr>
              <w:t> </w:t>
            </w:r>
            <w:r>
              <w:rPr>
                <w:sz w:val="20"/>
              </w:rPr>
              <w:t>K62.4,</w:t>
            </w:r>
            <w:r>
              <w:rPr>
                <w:spacing w:val="-4"/>
                <w:sz w:val="20"/>
              </w:rPr>
              <w:t> </w:t>
            </w:r>
            <w:r>
              <w:rPr>
                <w:sz w:val="20"/>
              </w:rPr>
              <w:t>K62.5,</w:t>
            </w:r>
            <w:r>
              <w:rPr>
                <w:spacing w:val="-6"/>
                <w:sz w:val="20"/>
              </w:rPr>
              <w:t> </w:t>
            </w:r>
            <w:r>
              <w:rPr>
                <w:sz w:val="20"/>
              </w:rPr>
              <w:t>K62.6,</w:t>
            </w:r>
            <w:r>
              <w:rPr>
                <w:spacing w:val="-4"/>
                <w:sz w:val="20"/>
              </w:rPr>
              <w:t> </w:t>
            </w:r>
            <w:r>
              <w:rPr>
                <w:spacing w:val="-2"/>
                <w:sz w:val="20"/>
              </w:rPr>
              <w:t>K62.7,</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5"/>
        <w:gridCol w:w="5318"/>
        <w:gridCol w:w="1844"/>
        <w:gridCol w:w="3118"/>
        <w:gridCol w:w="863"/>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75" w:type="dxa"/>
            <w:vMerge w:val="restart"/>
          </w:tcPr>
          <w:p>
            <w:pPr>
              <w:pStyle w:val="TableParagraph"/>
              <w:rPr>
                <w:sz w:val="18"/>
              </w:rPr>
            </w:pPr>
          </w:p>
        </w:tc>
        <w:tc>
          <w:tcPr>
            <w:tcW w:w="5318" w:type="dxa"/>
          </w:tcPr>
          <w:p>
            <w:pPr>
              <w:pStyle w:val="TableParagraph"/>
              <w:spacing w:line="205" w:lineRule="exact"/>
              <w:ind w:left="264"/>
              <w:rPr>
                <w:sz w:val="20"/>
              </w:rPr>
            </w:pPr>
            <w:r>
              <w:rPr>
                <w:sz w:val="20"/>
              </w:rPr>
              <w:t>K62.8,</w:t>
            </w:r>
            <w:r>
              <w:rPr>
                <w:spacing w:val="-5"/>
                <w:sz w:val="20"/>
              </w:rPr>
              <w:t> </w:t>
            </w:r>
            <w:r>
              <w:rPr>
                <w:sz w:val="20"/>
              </w:rPr>
              <w:t>K62.9,</w:t>
            </w:r>
            <w:r>
              <w:rPr>
                <w:spacing w:val="-6"/>
                <w:sz w:val="20"/>
              </w:rPr>
              <w:t> </w:t>
            </w:r>
            <w:r>
              <w:rPr>
                <w:sz w:val="20"/>
              </w:rPr>
              <w:t>K63,</w:t>
            </w:r>
            <w:r>
              <w:rPr>
                <w:spacing w:val="-4"/>
                <w:sz w:val="20"/>
              </w:rPr>
              <w:t> </w:t>
            </w:r>
            <w:r>
              <w:rPr>
                <w:sz w:val="20"/>
              </w:rPr>
              <w:t>K63.0,</w:t>
            </w:r>
            <w:r>
              <w:rPr>
                <w:spacing w:val="-5"/>
                <w:sz w:val="20"/>
              </w:rPr>
              <w:t> </w:t>
            </w:r>
            <w:r>
              <w:rPr>
                <w:sz w:val="20"/>
              </w:rPr>
              <w:t>K63.1,</w:t>
            </w:r>
            <w:r>
              <w:rPr>
                <w:spacing w:val="-4"/>
                <w:sz w:val="20"/>
              </w:rPr>
              <w:t> </w:t>
            </w:r>
            <w:r>
              <w:rPr>
                <w:sz w:val="20"/>
              </w:rPr>
              <w:t>K63.2,</w:t>
            </w:r>
            <w:r>
              <w:rPr>
                <w:spacing w:val="-5"/>
                <w:sz w:val="20"/>
              </w:rPr>
              <w:t> </w:t>
            </w:r>
            <w:r>
              <w:rPr>
                <w:spacing w:val="-2"/>
                <w:sz w:val="20"/>
              </w:rPr>
              <w:t>K63.3,</w:t>
            </w:r>
          </w:p>
        </w:tc>
        <w:tc>
          <w:tcPr>
            <w:tcW w:w="1844" w:type="dxa"/>
            <w:vMerge w:val="restart"/>
          </w:tcPr>
          <w:p>
            <w:pPr>
              <w:pStyle w:val="TableParagraph"/>
              <w:rPr>
                <w:sz w:val="18"/>
              </w:rPr>
            </w:pPr>
          </w:p>
        </w:tc>
        <w:tc>
          <w:tcPr>
            <w:tcW w:w="3118" w:type="dxa"/>
            <w:vMerge w:val="restart"/>
          </w:tcPr>
          <w:p>
            <w:pPr>
              <w:pStyle w:val="TableParagraph"/>
              <w:rPr>
                <w:sz w:val="18"/>
              </w:rPr>
            </w:pPr>
          </w:p>
        </w:tc>
        <w:tc>
          <w:tcPr>
            <w:tcW w:w="863"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4"/>
              <w:rPr>
                <w:sz w:val="20"/>
              </w:rPr>
            </w:pPr>
            <w:r>
              <w:rPr>
                <w:sz w:val="20"/>
              </w:rPr>
              <w:t>K63.4,</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2"/>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4"/>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4"/>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38"/>
              <w:rPr>
                <w:sz w:val="20"/>
              </w:rPr>
            </w:pPr>
            <w:r>
              <w:rPr>
                <w:sz w:val="20"/>
              </w:rPr>
              <w:t>K90,</w:t>
            </w:r>
            <w:r>
              <w:rPr>
                <w:spacing w:val="-5"/>
                <w:sz w:val="20"/>
              </w:rPr>
              <w:t> </w:t>
            </w:r>
            <w:r>
              <w:rPr>
                <w:sz w:val="20"/>
              </w:rPr>
              <w:t>K90.0,</w:t>
            </w:r>
            <w:r>
              <w:rPr>
                <w:spacing w:val="-5"/>
                <w:sz w:val="20"/>
              </w:rPr>
              <w:t> </w:t>
            </w:r>
            <w:r>
              <w:rPr>
                <w:sz w:val="20"/>
              </w:rPr>
              <w:t>K90.1,</w:t>
            </w:r>
            <w:r>
              <w:rPr>
                <w:spacing w:val="-5"/>
                <w:sz w:val="20"/>
              </w:rPr>
              <w:t> </w:t>
            </w:r>
            <w:r>
              <w:rPr>
                <w:sz w:val="20"/>
              </w:rPr>
              <w:t>K90.2,</w:t>
            </w:r>
            <w:r>
              <w:rPr>
                <w:spacing w:val="-5"/>
                <w:sz w:val="20"/>
              </w:rPr>
              <w:t> </w:t>
            </w:r>
            <w:r>
              <w:rPr>
                <w:sz w:val="20"/>
              </w:rPr>
              <w:t>K90.3,</w:t>
            </w:r>
            <w:r>
              <w:rPr>
                <w:spacing w:val="-5"/>
                <w:sz w:val="20"/>
              </w:rPr>
              <w:t> </w:t>
            </w:r>
            <w:r>
              <w:rPr>
                <w:sz w:val="20"/>
              </w:rPr>
              <w:t>K91,</w:t>
            </w:r>
            <w:r>
              <w:rPr>
                <w:spacing w:val="-5"/>
                <w:sz w:val="20"/>
              </w:rPr>
              <w:t> </w:t>
            </w:r>
            <w:r>
              <w:rPr>
                <w:spacing w:val="-2"/>
                <w:sz w:val="20"/>
              </w:rPr>
              <w:t>K91.0,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1" w:lineRule="exact"/>
              <w:ind w:left="262"/>
              <w:rPr>
                <w:sz w:val="20"/>
              </w:rPr>
            </w:pPr>
            <w:r>
              <w:rPr>
                <w:sz w:val="20"/>
              </w:rPr>
              <w:t>K91.1,</w:t>
            </w:r>
            <w:r>
              <w:rPr>
                <w:spacing w:val="-4"/>
                <w:sz w:val="20"/>
              </w:rPr>
              <w:t> </w:t>
            </w:r>
            <w:r>
              <w:rPr>
                <w:sz w:val="20"/>
              </w:rPr>
              <w:t>K91.2,</w:t>
            </w:r>
            <w:r>
              <w:rPr>
                <w:spacing w:val="-6"/>
                <w:sz w:val="20"/>
              </w:rPr>
              <w:t> </w:t>
            </w:r>
            <w:r>
              <w:rPr>
                <w:sz w:val="20"/>
              </w:rPr>
              <w:t>K91.3,</w:t>
            </w:r>
            <w:r>
              <w:rPr>
                <w:spacing w:val="-4"/>
                <w:sz w:val="20"/>
              </w:rPr>
              <w:t> </w:t>
            </w:r>
            <w:r>
              <w:rPr>
                <w:sz w:val="20"/>
              </w:rPr>
              <w:t>K91.4,</w:t>
            </w:r>
            <w:r>
              <w:rPr>
                <w:spacing w:val="-6"/>
                <w:sz w:val="20"/>
              </w:rPr>
              <w:t> </w:t>
            </w:r>
            <w:r>
              <w:rPr>
                <w:sz w:val="20"/>
              </w:rPr>
              <w:t>K91.8,</w:t>
            </w:r>
            <w:r>
              <w:rPr>
                <w:spacing w:val="-3"/>
                <w:sz w:val="20"/>
              </w:rPr>
              <w:t> </w:t>
            </w:r>
            <w:r>
              <w:rPr>
                <w:sz w:val="20"/>
              </w:rPr>
              <w:t>K91.9,</w:t>
            </w:r>
            <w:r>
              <w:rPr>
                <w:spacing w:val="-6"/>
                <w:sz w:val="20"/>
              </w:rPr>
              <w:t> </w:t>
            </w:r>
            <w:r>
              <w:rPr>
                <w:spacing w:val="-4"/>
                <w:sz w:val="20"/>
              </w:rPr>
              <w:t>K92,</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K92.0,</w:t>
            </w:r>
            <w:r>
              <w:rPr>
                <w:spacing w:val="-4"/>
                <w:sz w:val="20"/>
              </w:rPr>
              <w:t> </w:t>
            </w:r>
            <w:r>
              <w:rPr>
                <w:sz w:val="20"/>
              </w:rPr>
              <w:t>K92.1,</w:t>
            </w:r>
            <w:r>
              <w:rPr>
                <w:spacing w:val="-6"/>
                <w:sz w:val="20"/>
              </w:rPr>
              <w:t> </w:t>
            </w:r>
            <w:r>
              <w:rPr>
                <w:sz w:val="20"/>
              </w:rPr>
              <w:t>K92.2,</w:t>
            </w:r>
            <w:r>
              <w:rPr>
                <w:spacing w:val="-4"/>
                <w:sz w:val="20"/>
              </w:rPr>
              <w:t> </w:t>
            </w:r>
            <w:r>
              <w:rPr>
                <w:sz w:val="20"/>
              </w:rPr>
              <w:t>K92.8,</w:t>
            </w:r>
            <w:r>
              <w:rPr>
                <w:spacing w:val="-6"/>
                <w:sz w:val="20"/>
              </w:rPr>
              <w:t> </w:t>
            </w:r>
            <w:r>
              <w:rPr>
                <w:sz w:val="20"/>
              </w:rPr>
              <w:t>K92.9,</w:t>
            </w:r>
            <w:r>
              <w:rPr>
                <w:spacing w:val="-4"/>
                <w:sz w:val="20"/>
              </w:rPr>
              <w:t> </w:t>
            </w:r>
            <w:r>
              <w:rPr>
                <w:sz w:val="20"/>
              </w:rPr>
              <w:t>K93,</w:t>
            </w:r>
            <w:r>
              <w:rPr>
                <w:spacing w:val="-4"/>
                <w:sz w:val="20"/>
              </w:rPr>
              <w:t> </w:t>
            </w:r>
            <w:r>
              <w:rPr>
                <w:spacing w:val="-2"/>
                <w:sz w:val="20"/>
              </w:rPr>
              <w:t>K93.0,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4"/>
              <w:rPr>
                <w:sz w:val="20"/>
              </w:rPr>
            </w:pPr>
            <w:r>
              <w:rPr>
                <w:sz w:val="20"/>
              </w:rPr>
              <w:t>K93.1,</w:t>
            </w:r>
            <w:r>
              <w:rPr>
                <w:spacing w:val="-6"/>
                <w:sz w:val="20"/>
              </w:rPr>
              <w:t> </w:t>
            </w:r>
            <w:r>
              <w:rPr>
                <w:sz w:val="20"/>
              </w:rPr>
              <w:t>K93.8,</w:t>
            </w:r>
            <w:r>
              <w:rPr>
                <w:spacing w:val="-7"/>
                <w:sz w:val="20"/>
              </w:rPr>
              <w:t> </w:t>
            </w:r>
            <w:r>
              <w:rPr>
                <w:sz w:val="20"/>
              </w:rPr>
              <w:t>Q39,</w:t>
            </w:r>
            <w:r>
              <w:rPr>
                <w:spacing w:val="-5"/>
                <w:sz w:val="20"/>
              </w:rPr>
              <w:t> </w:t>
            </w:r>
            <w:r>
              <w:rPr>
                <w:sz w:val="20"/>
              </w:rPr>
              <w:t>Q39.0,</w:t>
            </w:r>
            <w:r>
              <w:rPr>
                <w:spacing w:val="-5"/>
                <w:sz w:val="20"/>
              </w:rPr>
              <w:t> </w:t>
            </w:r>
            <w:r>
              <w:rPr>
                <w:sz w:val="20"/>
              </w:rPr>
              <w:t>Q39.1,</w:t>
            </w:r>
            <w:r>
              <w:rPr>
                <w:spacing w:val="-5"/>
                <w:sz w:val="20"/>
              </w:rPr>
              <w:t> </w:t>
            </w:r>
            <w:r>
              <w:rPr>
                <w:sz w:val="20"/>
              </w:rPr>
              <w:t>Q39.2,</w:t>
            </w:r>
            <w:r>
              <w:rPr>
                <w:spacing w:val="-6"/>
                <w:sz w:val="20"/>
              </w:rPr>
              <w:t> </w:t>
            </w:r>
            <w:r>
              <w:rPr>
                <w:spacing w:val="-2"/>
                <w:sz w:val="20"/>
              </w:rPr>
              <w:t>Q39.3,</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Q39.4,</w:t>
            </w:r>
            <w:r>
              <w:rPr>
                <w:spacing w:val="-4"/>
                <w:sz w:val="20"/>
              </w:rPr>
              <w:t> </w:t>
            </w:r>
            <w:r>
              <w:rPr>
                <w:sz w:val="20"/>
              </w:rPr>
              <w:t>Q39.5,</w:t>
            </w:r>
            <w:r>
              <w:rPr>
                <w:spacing w:val="-6"/>
                <w:sz w:val="20"/>
              </w:rPr>
              <w:t> </w:t>
            </w:r>
            <w:r>
              <w:rPr>
                <w:sz w:val="20"/>
              </w:rPr>
              <w:t>Q39.6,</w:t>
            </w:r>
            <w:r>
              <w:rPr>
                <w:spacing w:val="-4"/>
                <w:sz w:val="20"/>
              </w:rPr>
              <w:t> </w:t>
            </w:r>
            <w:r>
              <w:rPr>
                <w:sz w:val="20"/>
              </w:rPr>
              <w:t>Q39.8,</w:t>
            </w:r>
            <w:r>
              <w:rPr>
                <w:spacing w:val="-6"/>
                <w:sz w:val="20"/>
              </w:rPr>
              <w:t> </w:t>
            </w:r>
            <w:r>
              <w:rPr>
                <w:sz w:val="20"/>
              </w:rPr>
              <w:t>Q39.9,</w:t>
            </w:r>
            <w:r>
              <w:rPr>
                <w:spacing w:val="-4"/>
                <w:sz w:val="20"/>
              </w:rPr>
              <w:t> </w:t>
            </w:r>
            <w:r>
              <w:rPr>
                <w:sz w:val="20"/>
              </w:rPr>
              <w:t>Q40,</w:t>
            </w:r>
            <w:r>
              <w:rPr>
                <w:spacing w:val="-4"/>
                <w:sz w:val="20"/>
              </w:rPr>
              <w:t> </w:t>
            </w:r>
            <w:r>
              <w:rPr>
                <w:spacing w:val="-2"/>
                <w:sz w:val="20"/>
              </w:rPr>
              <w:t>Q40.0,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Q40.1,</w:t>
            </w:r>
            <w:r>
              <w:rPr>
                <w:spacing w:val="-4"/>
                <w:sz w:val="20"/>
              </w:rPr>
              <w:t> </w:t>
            </w:r>
            <w:r>
              <w:rPr>
                <w:sz w:val="20"/>
              </w:rPr>
              <w:t>Q40.2,</w:t>
            </w:r>
            <w:r>
              <w:rPr>
                <w:spacing w:val="-6"/>
                <w:sz w:val="20"/>
              </w:rPr>
              <w:t> </w:t>
            </w:r>
            <w:r>
              <w:rPr>
                <w:sz w:val="20"/>
              </w:rPr>
              <w:t>Q40.3,</w:t>
            </w:r>
            <w:r>
              <w:rPr>
                <w:spacing w:val="-4"/>
                <w:sz w:val="20"/>
              </w:rPr>
              <w:t> </w:t>
            </w:r>
            <w:r>
              <w:rPr>
                <w:sz w:val="20"/>
              </w:rPr>
              <w:t>Q40.8,</w:t>
            </w:r>
            <w:r>
              <w:rPr>
                <w:spacing w:val="-6"/>
                <w:sz w:val="20"/>
              </w:rPr>
              <w:t> </w:t>
            </w:r>
            <w:r>
              <w:rPr>
                <w:sz w:val="20"/>
              </w:rPr>
              <w:t>Q40.9,</w:t>
            </w:r>
            <w:r>
              <w:rPr>
                <w:spacing w:val="-4"/>
                <w:sz w:val="20"/>
              </w:rPr>
              <w:t> </w:t>
            </w:r>
            <w:r>
              <w:rPr>
                <w:sz w:val="20"/>
              </w:rPr>
              <w:t>Q41,</w:t>
            </w:r>
            <w:r>
              <w:rPr>
                <w:spacing w:val="-4"/>
                <w:sz w:val="20"/>
              </w:rPr>
              <w:t> </w:t>
            </w:r>
            <w:r>
              <w:rPr>
                <w:spacing w:val="-2"/>
                <w:sz w:val="20"/>
              </w:rPr>
              <w:t>Q41.0,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Q41.1,</w:t>
            </w:r>
            <w:r>
              <w:rPr>
                <w:spacing w:val="-4"/>
                <w:sz w:val="20"/>
              </w:rPr>
              <w:t> </w:t>
            </w:r>
            <w:r>
              <w:rPr>
                <w:sz w:val="20"/>
              </w:rPr>
              <w:t>Q41.2,</w:t>
            </w:r>
            <w:r>
              <w:rPr>
                <w:spacing w:val="-6"/>
                <w:sz w:val="20"/>
              </w:rPr>
              <w:t> </w:t>
            </w:r>
            <w:r>
              <w:rPr>
                <w:sz w:val="20"/>
              </w:rPr>
              <w:t>Q41.8,</w:t>
            </w:r>
            <w:r>
              <w:rPr>
                <w:spacing w:val="-4"/>
                <w:sz w:val="20"/>
              </w:rPr>
              <w:t> </w:t>
            </w:r>
            <w:r>
              <w:rPr>
                <w:sz w:val="20"/>
              </w:rPr>
              <w:t>Q41.9,</w:t>
            </w:r>
            <w:r>
              <w:rPr>
                <w:spacing w:val="-6"/>
                <w:sz w:val="20"/>
              </w:rPr>
              <w:t> </w:t>
            </w:r>
            <w:r>
              <w:rPr>
                <w:sz w:val="20"/>
              </w:rPr>
              <w:t>Q42,</w:t>
            </w:r>
            <w:r>
              <w:rPr>
                <w:spacing w:val="1"/>
                <w:sz w:val="20"/>
              </w:rPr>
              <w:t> </w:t>
            </w:r>
            <w:r>
              <w:rPr>
                <w:sz w:val="20"/>
              </w:rPr>
              <w:t>Q42.0,</w:t>
            </w:r>
            <w:r>
              <w:rPr>
                <w:spacing w:val="-4"/>
                <w:sz w:val="20"/>
              </w:rPr>
              <w:t> </w:t>
            </w:r>
            <w:r>
              <w:rPr>
                <w:spacing w:val="-2"/>
                <w:sz w:val="20"/>
              </w:rPr>
              <w:t>Q42.1,</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Q42.2,</w:t>
            </w:r>
            <w:r>
              <w:rPr>
                <w:spacing w:val="-4"/>
                <w:sz w:val="20"/>
              </w:rPr>
              <w:t> </w:t>
            </w:r>
            <w:r>
              <w:rPr>
                <w:sz w:val="20"/>
              </w:rPr>
              <w:t>Q42.3,</w:t>
            </w:r>
            <w:r>
              <w:rPr>
                <w:spacing w:val="-6"/>
                <w:sz w:val="20"/>
              </w:rPr>
              <w:t> </w:t>
            </w:r>
            <w:r>
              <w:rPr>
                <w:sz w:val="20"/>
              </w:rPr>
              <w:t>Q42.8,</w:t>
            </w:r>
            <w:r>
              <w:rPr>
                <w:spacing w:val="-4"/>
                <w:sz w:val="20"/>
              </w:rPr>
              <w:t> </w:t>
            </w:r>
            <w:r>
              <w:rPr>
                <w:sz w:val="20"/>
              </w:rPr>
              <w:t>Q42.9,</w:t>
            </w:r>
            <w:r>
              <w:rPr>
                <w:spacing w:val="-6"/>
                <w:sz w:val="20"/>
              </w:rPr>
              <w:t> </w:t>
            </w:r>
            <w:r>
              <w:rPr>
                <w:sz w:val="20"/>
              </w:rPr>
              <w:t>Q43,</w:t>
            </w:r>
            <w:r>
              <w:rPr>
                <w:spacing w:val="-4"/>
                <w:sz w:val="20"/>
              </w:rPr>
              <w:t> </w:t>
            </w:r>
            <w:r>
              <w:rPr>
                <w:sz w:val="20"/>
              </w:rPr>
              <w:t>Q43.0,</w:t>
            </w:r>
            <w:r>
              <w:rPr>
                <w:spacing w:val="-4"/>
                <w:sz w:val="20"/>
              </w:rPr>
              <w:t> </w:t>
            </w:r>
            <w:r>
              <w:rPr>
                <w:spacing w:val="-2"/>
                <w:sz w:val="20"/>
              </w:rPr>
              <w:t>Q43.1,</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485"/>
              <w:rPr>
                <w:sz w:val="20"/>
              </w:rPr>
            </w:pPr>
            <w:r>
              <w:rPr>
                <w:sz w:val="20"/>
              </w:rPr>
              <w:t>Q43.2,</w:t>
            </w:r>
            <w:r>
              <w:rPr>
                <w:spacing w:val="-4"/>
                <w:sz w:val="20"/>
              </w:rPr>
              <w:t> </w:t>
            </w:r>
            <w:r>
              <w:rPr>
                <w:sz w:val="20"/>
              </w:rPr>
              <w:t>Q43.3,</w:t>
            </w:r>
            <w:r>
              <w:rPr>
                <w:spacing w:val="-6"/>
                <w:sz w:val="20"/>
              </w:rPr>
              <w:t> </w:t>
            </w:r>
            <w:r>
              <w:rPr>
                <w:sz w:val="20"/>
              </w:rPr>
              <w:t>Q43.4,</w:t>
            </w:r>
            <w:r>
              <w:rPr>
                <w:spacing w:val="-4"/>
                <w:sz w:val="20"/>
              </w:rPr>
              <w:t> </w:t>
            </w:r>
            <w:r>
              <w:rPr>
                <w:sz w:val="20"/>
              </w:rPr>
              <w:t>Q43.5,</w:t>
            </w:r>
            <w:r>
              <w:rPr>
                <w:spacing w:val="-6"/>
                <w:sz w:val="20"/>
              </w:rPr>
              <w:t> </w:t>
            </w:r>
            <w:r>
              <w:rPr>
                <w:sz w:val="20"/>
              </w:rPr>
              <w:t>Q43.6,</w:t>
            </w:r>
            <w:r>
              <w:rPr>
                <w:spacing w:val="-4"/>
                <w:sz w:val="20"/>
              </w:rPr>
              <w:t> </w:t>
            </w:r>
            <w:r>
              <w:rPr>
                <w:spacing w:val="-2"/>
                <w:sz w:val="20"/>
              </w:rPr>
              <w:t>Q43.7,</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74"/>
              <w:rPr>
                <w:sz w:val="20"/>
              </w:rPr>
            </w:pPr>
            <w:r>
              <w:rPr>
                <w:sz w:val="20"/>
              </w:rPr>
              <w:t>Q43.8,</w:t>
            </w:r>
            <w:r>
              <w:rPr>
                <w:spacing w:val="-5"/>
                <w:sz w:val="20"/>
              </w:rPr>
              <w:t> </w:t>
            </w:r>
            <w:r>
              <w:rPr>
                <w:sz w:val="20"/>
              </w:rPr>
              <w:t>Q43.9,</w:t>
            </w:r>
            <w:r>
              <w:rPr>
                <w:spacing w:val="-6"/>
                <w:sz w:val="20"/>
              </w:rPr>
              <w:t> </w:t>
            </w:r>
            <w:r>
              <w:rPr>
                <w:sz w:val="20"/>
              </w:rPr>
              <w:t>Q45.8,</w:t>
            </w:r>
            <w:r>
              <w:rPr>
                <w:spacing w:val="-4"/>
                <w:sz w:val="20"/>
              </w:rPr>
              <w:t> </w:t>
            </w:r>
            <w:r>
              <w:rPr>
                <w:sz w:val="20"/>
              </w:rPr>
              <w:t>Q45.9,</w:t>
            </w:r>
            <w:r>
              <w:rPr>
                <w:spacing w:val="-6"/>
                <w:sz w:val="20"/>
              </w:rPr>
              <w:t> </w:t>
            </w:r>
            <w:r>
              <w:rPr>
                <w:sz w:val="20"/>
              </w:rPr>
              <w:t>Q89.3,</w:t>
            </w:r>
            <w:r>
              <w:rPr>
                <w:spacing w:val="-4"/>
                <w:sz w:val="20"/>
              </w:rPr>
              <w:t> </w:t>
            </w:r>
            <w:r>
              <w:rPr>
                <w:sz w:val="20"/>
              </w:rPr>
              <w:t>R10,</w:t>
            </w:r>
            <w:r>
              <w:rPr>
                <w:spacing w:val="-5"/>
                <w:sz w:val="20"/>
              </w:rPr>
              <w:t> </w:t>
            </w:r>
            <w:r>
              <w:rPr>
                <w:spacing w:val="-2"/>
                <w:sz w:val="20"/>
              </w:rPr>
              <w:t>R10.0,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35"/>
              <w:rPr>
                <w:sz w:val="20"/>
              </w:rPr>
            </w:pPr>
            <w:r>
              <w:rPr>
                <w:sz w:val="20"/>
              </w:rPr>
              <w:t>R10.1,</w:t>
            </w:r>
            <w:r>
              <w:rPr>
                <w:spacing w:val="-5"/>
                <w:sz w:val="20"/>
              </w:rPr>
              <w:t> </w:t>
            </w:r>
            <w:r>
              <w:rPr>
                <w:sz w:val="20"/>
              </w:rPr>
              <w:t>R10.2,</w:t>
            </w:r>
            <w:r>
              <w:rPr>
                <w:spacing w:val="-4"/>
                <w:sz w:val="20"/>
              </w:rPr>
              <w:t> </w:t>
            </w:r>
            <w:r>
              <w:rPr>
                <w:sz w:val="20"/>
              </w:rPr>
              <w:t>R10.3,</w:t>
            </w:r>
            <w:r>
              <w:rPr>
                <w:spacing w:val="-4"/>
                <w:sz w:val="20"/>
              </w:rPr>
              <w:t> </w:t>
            </w:r>
            <w:r>
              <w:rPr>
                <w:sz w:val="20"/>
              </w:rPr>
              <w:t>R10.4,</w:t>
            </w:r>
            <w:r>
              <w:rPr>
                <w:spacing w:val="-7"/>
                <w:sz w:val="20"/>
              </w:rPr>
              <w:t> </w:t>
            </w:r>
            <w:r>
              <w:rPr>
                <w:sz w:val="20"/>
              </w:rPr>
              <w:t>R11,</w:t>
            </w:r>
            <w:r>
              <w:rPr>
                <w:spacing w:val="-4"/>
                <w:sz w:val="20"/>
              </w:rPr>
              <w:t> </w:t>
            </w:r>
            <w:r>
              <w:rPr>
                <w:sz w:val="20"/>
              </w:rPr>
              <w:t>R12,</w:t>
            </w:r>
            <w:r>
              <w:rPr>
                <w:spacing w:val="-4"/>
                <w:sz w:val="20"/>
              </w:rPr>
              <w:t> </w:t>
            </w:r>
            <w:r>
              <w:rPr>
                <w:sz w:val="20"/>
              </w:rPr>
              <w:t>R13,</w:t>
            </w:r>
            <w:r>
              <w:rPr>
                <w:spacing w:val="-4"/>
                <w:sz w:val="20"/>
              </w:rPr>
              <w:t> R14,</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77"/>
              <w:rPr>
                <w:sz w:val="20"/>
              </w:rPr>
            </w:pPr>
            <w:r>
              <w:rPr>
                <w:sz w:val="20"/>
              </w:rPr>
              <w:t>R15,</w:t>
            </w:r>
            <w:r>
              <w:rPr>
                <w:spacing w:val="-7"/>
                <w:sz w:val="20"/>
              </w:rPr>
              <w:t> </w:t>
            </w:r>
            <w:r>
              <w:rPr>
                <w:sz w:val="20"/>
              </w:rPr>
              <w:t>R19,</w:t>
            </w:r>
            <w:r>
              <w:rPr>
                <w:spacing w:val="-4"/>
                <w:sz w:val="20"/>
              </w:rPr>
              <w:t> </w:t>
            </w:r>
            <w:r>
              <w:rPr>
                <w:sz w:val="20"/>
              </w:rPr>
              <w:t>R19.0,</w:t>
            </w:r>
            <w:r>
              <w:rPr>
                <w:spacing w:val="-4"/>
                <w:sz w:val="20"/>
              </w:rPr>
              <w:t> </w:t>
            </w:r>
            <w:r>
              <w:rPr>
                <w:sz w:val="20"/>
              </w:rPr>
              <w:t>R19.1,</w:t>
            </w:r>
            <w:r>
              <w:rPr>
                <w:spacing w:val="-6"/>
                <w:sz w:val="20"/>
              </w:rPr>
              <w:t> </w:t>
            </w:r>
            <w:r>
              <w:rPr>
                <w:sz w:val="20"/>
              </w:rPr>
              <w:t>R19.2,</w:t>
            </w:r>
            <w:r>
              <w:rPr>
                <w:spacing w:val="-4"/>
                <w:sz w:val="20"/>
              </w:rPr>
              <w:t> </w:t>
            </w:r>
            <w:r>
              <w:rPr>
                <w:sz w:val="20"/>
              </w:rPr>
              <w:t>R19.3,</w:t>
            </w:r>
            <w:r>
              <w:rPr>
                <w:spacing w:val="-5"/>
                <w:sz w:val="20"/>
              </w:rPr>
              <w:t> </w:t>
            </w:r>
            <w:r>
              <w:rPr>
                <w:spacing w:val="-2"/>
                <w:sz w:val="20"/>
              </w:rPr>
              <w:t>R19.4,</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1" w:lineRule="exact"/>
              <w:ind w:left="302"/>
              <w:rPr>
                <w:sz w:val="20"/>
              </w:rPr>
            </w:pPr>
            <w:r>
              <w:rPr>
                <w:sz w:val="20"/>
              </w:rPr>
              <w:t>R19.5,</w:t>
            </w:r>
            <w:r>
              <w:rPr>
                <w:spacing w:val="-6"/>
                <w:sz w:val="20"/>
              </w:rPr>
              <w:t> </w:t>
            </w:r>
            <w:r>
              <w:rPr>
                <w:sz w:val="20"/>
              </w:rPr>
              <w:t>R19.6,</w:t>
            </w:r>
            <w:r>
              <w:rPr>
                <w:spacing w:val="-3"/>
                <w:sz w:val="20"/>
              </w:rPr>
              <w:t> </w:t>
            </w:r>
            <w:r>
              <w:rPr>
                <w:sz w:val="20"/>
              </w:rPr>
              <w:t>R19.8,</w:t>
            </w:r>
            <w:r>
              <w:rPr>
                <w:spacing w:val="-5"/>
                <w:sz w:val="20"/>
              </w:rPr>
              <w:t> </w:t>
            </w:r>
            <w:r>
              <w:rPr>
                <w:sz w:val="20"/>
              </w:rPr>
              <w:t>R85,</w:t>
            </w:r>
            <w:r>
              <w:rPr>
                <w:spacing w:val="-5"/>
                <w:sz w:val="20"/>
              </w:rPr>
              <w:t> </w:t>
            </w:r>
            <w:r>
              <w:rPr>
                <w:sz w:val="20"/>
              </w:rPr>
              <w:t>R85.0,</w:t>
            </w:r>
            <w:r>
              <w:rPr>
                <w:spacing w:val="-5"/>
                <w:sz w:val="20"/>
              </w:rPr>
              <w:t> </w:t>
            </w:r>
            <w:r>
              <w:rPr>
                <w:sz w:val="20"/>
              </w:rPr>
              <w:t>R85.1,</w:t>
            </w:r>
            <w:r>
              <w:rPr>
                <w:spacing w:val="-5"/>
                <w:sz w:val="20"/>
              </w:rPr>
              <w:t> </w:t>
            </w:r>
            <w:r>
              <w:rPr>
                <w:spacing w:val="-2"/>
                <w:sz w:val="20"/>
              </w:rPr>
              <w:t>R85.2,</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1" w:lineRule="exact"/>
              <w:ind w:left="228"/>
              <w:rPr>
                <w:sz w:val="20"/>
              </w:rPr>
            </w:pPr>
            <w:r>
              <w:rPr>
                <w:sz w:val="20"/>
              </w:rPr>
              <w:t>R85.3,</w:t>
            </w:r>
            <w:r>
              <w:rPr>
                <w:spacing w:val="-7"/>
                <w:sz w:val="20"/>
              </w:rPr>
              <w:t> </w:t>
            </w:r>
            <w:r>
              <w:rPr>
                <w:sz w:val="20"/>
              </w:rPr>
              <w:t>R85.4,</w:t>
            </w:r>
            <w:r>
              <w:rPr>
                <w:spacing w:val="-5"/>
                <w:sz w:val="20"/>
              </w:rPr>
              <w:t> </w:t>
            </w:r>
            <w:r>
              <w:rPr>
                <w:sz w:val="20"/>
              </w:rPr>
              <w:t>R85.5,</w:t>
            </w:r>
            <w:r>
              <w:rPr>
                <w:spacing w:val="-5"/>
                <w:sz w:val="20"/>
              </w:rPr>
              <w:t> </w:t>
            </w:r>
            <w:r>
              <w:rPr>
                <w:sz w:val="20"/>
              </w:rPr>
              <w:t>R85.6,</w:t>
            </w:r>
            <w:r>
              <w:rPr>
                <w:spacing w:val="-9"/>
                <w:sz w:val="20"/>
              </w:rPr>
              <w:t> </w:t>
            </w:r>
            <w:r>
              <w:rPr>
                <w:sz w:val="20"/>
              </w:rPr>
              <w:t>R85.7,</w:t>
            </w:r>
            <w:r>
              <w:rPr>
                <w:spacing w:val="-5"/>
                <w:sz w:val="20"/>
              </w:rPr>
              <w:t> </w:t>
            </w:r>
            <w:r>
              <w:rPr>
                <w:sz w:val="20"/>
              </w:rPr>
              <w:t>R85.8,</w:t>
            </w:r>
            <w:r>
              <w:rPr>
                <w:spacing w:val="-4"/>
                <w:sz w:val="20"/>
              </w:rPr>
              <w:t> </w:t>
            </w:r>
            <w:r>
              <w:rPr>
                <w:spacing w:val="-2"/>
                <w:sz w:val="20"/>
              </w:rPr>
              <w:t>R85.9,</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57"/>
              <w:rPr>
                <w:sz w:val="20"/>
              </w:rPr>
            </w:pPr>
            <w:r>
              <w:rPr>
                <w:sz w:val="20"/>
              </w:rPr>
              <w:t>R93.3,</w:t>
            </w:r>
            <w:r>
              <w:rPr>
                <w:spacing w:val="-5"/>
                <w:sz w:val="20"/>
              </w:rPr>
              <w:t> </w:t>
            </w:r>
            <w:r>
              <w:rPr>
                <w:sz w:val="20"/>
              </w:rPr>
              <w:t>R93.5,</w:t>
            </w:r>
            <w:r>
              <w:rPr>
                <w:spacing w:val="-5"/>
                <w:sz w:val="20"/>
              </w:rPr>
              <w:t> </w:t>
            </w:r>
            <w:r>
              <w:rPr>
                <w:sz w:val="20"/>
              </w:rPr>
              <w:t>S36,</w:t>
            </w:r>
            <w:r>
              <w:rPr>
                <w:spacing w:val="-5"/>
                <w:sz w:val="20"/>
              </w:rPr>
              <w:t> </w:t>
            </w:r>
            <w:r>
              <w:rPr>
                <w:sz w:val="20"/>
              </w:rPr>
              <w:t>S36.0,</w:t>
            </w:r>
            <w:r>
              <w:rPr>
                <w:spacing w:val="-7"/>
                <w:sz w:val="20"/>
              </w:rPr>
              <w:t> </w:t>
            </w:r>
            <w:r>
              <w:rPr>
                <w:sz w:val="20"/>
              </w:rPr>
              <w:t>S36.00,</w:t>
            </w:r>
            <w:r>
              <w:rPr>
                <w:spacing w:val="-5"/>
                <w:sz w:val="20"/>
              </w:rPr>
              <w:t> </w:t>
            </w:r>
            <w:r>
              <w:rPr>
                <w:sz w:val="20"/>
              </w:rPr>
              <w:t>S36.01,</w:t>
            </w:r>
            <w:r>
              <w:rPr>
                <w:spacing w:val="-7"/>
                <w:sz w:val="20"/>
              </w:rPr>
              <w:t> </w:t>
            </w:r>
            <w:r>
              <w:rPr>
                <w:spacing w:val="-2"/>
                <w:sz w:val="20"/>
              </w:rPr>
              <w:t>S36.3,</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384"/>
              <w:rPr>
                <w:sz w:val="20"/>
              </w:rPr>
            </w:pPr>
            <w:r>
              <w:rPr>
                <w:sz w:val="20"/>
              </w:rPr>
              <w:t>S36.30,</w:t>
            </w:r>
            <w:r>
              <w:rPr>
                <w:spacing w:val="-7"/>
                <w:sz w:val="20"/>
              </w:rPr>
              <w:t> </w:t>
            </w:r>
            <w:r>
              <w:rPr>
                <w:sz w:val="20"/>
              </w:rPr>
              <w:t>S36.31,</w:t>
            </w:r>
            <w:r>
              <w:rPr>
                <w:spacing w:val="-6"/>
                <w:sz w:val="20"/>
              </w:rPr>
              <w:t> </w:t>
            </w:r>
            <w:r>
              <w:rPr>
                <w:sz w:val="20"/>
              </w:rPr>
              <w:t>S36.4,</w:t>
            </w:r>
            <w:r>
              <w:rPr>
                <w:spacing w:val="-6"/>
                <w:sz w:val="20"/>
              </w:rPr>
              <w:t> </w:t>
            </w:r>
            <w:r>
              <w:rPr>
                <w:sz w:val="20"/>
              </w:rPr>
              <w:t>S36.40,</w:t>
            </w:r>
            <w:r>
              <w:rPr>
                <w:spacing w:val="-7"/>
                <w:sz w:val="20"/>
              </w:rPr>
              <w:t> </w:t>
            </w:r>
            <w:r>
              <w:rPr>
                <w:sz w:val="20"/>
              </w:rPr>
              <w:t>S36.41,</w:t>
            </w:r>
            <w:r>
              <w:rPr>
                <w:spacing w:val="-6"/>
                <w:sz w:val="20"/>
              </w:rPr>
              <w:t> </w:t>
            </w:r>
            <w:r>
              <w:rPr>
                <w:spacing w:val="-2"/>
                <w:sz w:val="20"/>
              </w:rPr>
              <w:t>S36.5,</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84"/>
              <w:rPr>
                <w:sz w:val="20"/>
              </w:rPr>
            </w:pPr>
            <w:r>
              <w:rPr>
                <w:sz w:val="20"/>
              </w:rPr>
              <w:t>S36.50,</w:t>
            </w:r>
            <w:r>
              <w:rPr>
                <w:spacing w:val="-7"/>
                <w:sz w:val="20"/>
              </w:rPr>
              <w:t> </w:t>
            </w:r>
            <w:r>
              <w:rPr>
                <w:sz w:val="20"/>
              </w:rPr>
              <w:t>S36.51,</w:t>
            </w:r>
            <w:r>
              <w:rPr>
                <w:spacing w:val="-6"/>
                <w:sz w:val="20"/>
              </w:rPr>
              <w:t> </w:t>
            </w:r>
            <w:r>
              <w:rPr>
                <w:sz w:val="20"/>
              </w:rPr>
              <w:t>S36.6,</w:t>
            </w:r>
            <w:r>
              <w:rPr>
                <w:spacing w:val="-6"/>
                <w:sz w:val="20"/>
              </w:rPr>
              <w:t> </w:t>
            </w:r>
            <w:r>
              <w:rPr>
                <w:sz w:val="20"/>
              </w:rPr>
              <w:t>S36.60,</w:t>
            </w:r>
            <w:r>
              <w:rPr>
                <w:spacing w:val="-7"/>
                <w:sz w:val="20"/>
              </w:rPr>
              <w:t> </w:t>
            </w:r>
            <w:r>
              <w:rPr>
                <w:sz w:val="20"/>
              </w:rPr>
              <w:t>S36.61,</w:t>
            </w:r>
            <w:r>
              <w:rPr>
                <w:spacing w:val="-6"/>
                <w:sz w:val="20"/>
              </w:rPr>
              <w:t> </w:t>
            </w:r>
            <w:r>
              <w:rPr>
                <w:spacing w:val="-2"/>
                <w:sz w:val="20"/>
              </w:rPr>
              <w:t>S36.7,</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84"/>
              <w:rPr>
                <w:sz w:val="20"/>
              </w:rPr>
            </w:pPr>
            <w:r>
              <w:rPr>
                <w:sz w:val="20"/>
              </w:rPr>
              <w:t>S36.70,</w:t>
            </w:r>
            <w:r>
              <w:rPr>
                <w:spacing w:val="-6"/>
                <w:sz w:val="20"/>
              </w:rPr>
              <w:t> </w:t>
            </w:r>
            <w:r>
              <w:rPr>
                <w:sz w:val="20"/>
              </w:rPr>
              <w:t>S36.71,</w:t>
            </w:r>
            <w:r>
              <w:rPr>
                <w:spacing w:val="-5"/>
                <w:sz w:val="20"/>
              </w:rPr>
              <w:t> </w:t>
            </w:r>
            <w:r>
              <w:rPr>
                <w:sz w:val="20"/>
              </w:rPr>
              <w:t>S36.8,</w:t>
            </w:r>
            <w:r>
              <w:rPr>
                <w:spacing w:val="-5"/>
                <w:sz w:val="20"/>
              </w:rPr>
              <w:t> </w:t>
            </w:r>
            <w:r>
              <w:rPr>
                <w:sz w:val="20"/>
              </w:rPr>
              <w:t>S36.80,</w:t>
            </w:r>
            <w:r>
              <w:rPr>
                <w:spacing w:val="-6"/>
                <w:sz w:val="20"/>
              </w:rPr>
              <w:t> </w:t>
            </w:r>
            <w:r>
              <w:rPr>
                <w:sz w:val="20"/>
              </w:rPr>
              <w:t>S36.81,</w:t>
            </w:r>
            <w:r>
              <w:rPr>
                <w:spacing w:val="-5"/>
                <w:sz w:val="20"/>
              </w:rPr>
              <w:t> </w:t>
            </w:r>
            <w:r>
              <w:rPr>
                <w:spacing w:val="-2"/>
                <w:sz w:val="20"/>
              </w:rPr>
              <w:t>S36.9,</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52"/>
              <w:rPr>
                <w:sz w:val="20"/>
              </w:rPr>
            </w:pPr>
            <w:r>
              <w:rPr>
                <w:sz w:val="20"/>
              </w:rPr>
              <w:t>S36.90,</w:t>
            </w:r>
            <w:r>
              <w:rPr>
                <w:spacing w:val="-4"/>
                <w:sz w:val="20"/>
              </w:rPr>
              <w:t> </w:t>
            </w:r>
            <w:r>
              <w:rPr>
                <w:sz w:val="20"/>
              </w:rPr>
              <w:t>S36.91,</w:t>
            </w:r>
            <w:r>
              <w:rPr>
                <w:spacing w:val="-6"/>
                <w:sz w:val="20"/>
              </w:rPr>
              <w:t> </w:t>
            </w:r>
            <w:r>
              <w:rPr>
                <w:sz w:val="20"/>
              </w:rPr>
              <w:t>T18,</w:t>
            </w:r>
            <w:r>
              <w:rPr>
                <w:spacing w:val="-5"/>
                <w:sz w:val="20"/>
              </w:rPr>
              <w:t> </w:t>
            </w:r>
            <w:r>
              <w:rPr>
                <w:sz w:val="20"/>
              </w:rPr>
              <w:t>T18.0,</w:t>
            </w:r>
            <w:r>
              <w:rPr>
                <w:spacing w:val="-8"/>
                <w:sz w:val="20"/>
              </w:rPr>
              <w:t> </w:t>
            </w:r>
            <w:r>
              <w:rPr>
                <w:sz w:val="20"/>
              </w:rPr>
              <w:t>T18.1,</w:t>
            </w:r>
            <w:r>
              <w:rPr>
                <w:spacing w:val="-5"/>
                <w:sz w:val="20"/>
              </w:rPr>
              <w:t> </w:t>
            </w:r>
            <w:r>
              <w:rPr>
                <w:sz w:val="20"/>
              </w:rPr>
              <w:t>T18.2,</w:t>
            </w:r>
            <w:r>
              <w:rPr>
                <w:spacing w:val="-6"/>
                <w:sz w:val="20"/>
              </w:rPr>
              <w:t> </w:t>
            </w:r>
            <w:r>
              <w:rPr>
                <w:spacing w:val="-2"/>
                <w:sz w:val="20"/>
              </w:rPr>
              <w:t>T18.3,</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6"/>
              <w:rPr>
                <w:sz w:val="20"/>
              </w:rPr>
            </w:pPr>
            <w:r>
              <w:rPr>
                <w:sz w:val="20"/>
              </w:rPr>
              <w:t>T18.4,</w:t>
            </w:r>
            <w:r>
              <w:rPr>
                <w:spacing w:val="-7"/>
                <w:sz w:val="20"/>
              </w:rPr>
              <w:t> </w:t>
            </w:r>
            <w:r>
              <w:rPr>
                <w:sz w:val="20"/>
              </w:rPr>
              <w:t>T18.5,</w:t>
            </w:r>
            <w:r>
              <w:rPr>
                <w:spacing w:val="-5"/>
                <w:sz w:val="20"/>
              </w:rPr>
              <w:t> </w:t>
            </w:r>
            <w:r>
              <w:rPr>
                <w:sz w:val="20"/>
              </w:rPr>
              <w:t>T18.8,</w:t>
            </w:r>
            <w:r>
              <w:rPr>
                <w:spacing w:val="-5"/>
                <w:sz w:val="20"/>
              </w:rPr>
              <w:t> </w:t>
            </w:r>
            <w:r>
              <w:rPr>
                <w:sz w:val="20"/>
              </w:rPr>
              <w:t>T18.9,</w:t>
            </w:r>
            <w:r>
              <w:rPr>
                <w:spacing w:val="-5"/>
                <w:sz w:val="20"/>
              </w:rPr>
              <w:t> </w:t>
            </w:r>
            <w:r>
              <w:rPr>
                <w:sz w:val="20"/>
              </w:rPr>
              <w:t>T28.0,</w:t>
            </w:r>
            <w:r>
              <w:rPr>
                <w:spacing w:val="-5"/>
                <w:sz w:val="20"/>
              </w:rPr>
              <w:t> </w:t>
            </w:r>
            <w:r>
              <w:rPr>
                <w:sz w:val="20"/>
              </w:rPr>
              <w:t>T28.4,</w:t>
            </w:r>
            <w:r>
              <w:rPr>
                <w:spacing w:val="-5"/>
                <w:sz w:val="20"/>
              </w:rPr>
              <w:t> </w:t>
            </w:r>
            <w:r>
              <w:rPr>
                <w:spacing w:val="-2"/>
                <w:sz w:val="20"/>
              </w:rPr>
              <w:t>T28.5,</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24" w:lineRule="exact"/>
              <w:ind w:left="1435"/>
              <w:rPr>
                <w:sz w:val="20"/>
              </w:rPr>
            </w:pPr>
            <w:r>
              <w:rPr>
                <w:sz w:val="20"/>
              </w:rPr>
              <w:t>T85.5,</w:t>
            </w:r>
            <w:r>
              <w:rPr>
                <w:spacing w:val="-6"/>
                <w:sz w:val="20"/>
              </w:rPr>
              <w:t> </w:t>
            </w:r>
            <w:r>
              <w:rPr>
                <w:sz w:val="20"/>
              </w:rPr>
              <w:t>T85.6,</w:t>
            </w:r>
            <w:r>
              <w:rPr>
                <w:spacing w:val="-4"/>
                <w:sz w:val="20"/>
              </w:rPr>
              <w:t> </w:t>
            </w:r>
            <w:r>
              <w:rPr>
                <w:spacing w:val="-2"/>
                <w:sz w:val="20"/>
              </w:rPr>
              <w:t>T91.5</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st22.003</w:t>
            </w:r>
          </w:p>
        </w:tc>
        <w:tc>
          <w:tcPr>
            <w:tcW w:w="707" w:type="dxa"/>
          </w:tcPr>
          <w:p>
            <w:pPr>
              <w:pStyle w:val="TableParagraph"/>
              <w:spacing w:line="215" w:lineRule="exact" w:before="46"/>
              <w:ind w:left="210"/>
              <w:rPr>
                <w:sz w:val="20"/>
              </w:rPr>
            </w:pPr>
            <w:r>
              <w:rPr>
                <w:spacing w:val="-5"/>
                <w:sz w:val="20"/>
              </w:rPr>
              <w:t>225</w:t>
            </w:r>
          </w:p>
        </w:tc>
        <w:tc>
          <w:tcPr>
            <w:tcW w:w="2475" w:type="dxa"/>
          </w:tcPr>
          <w:p>
            <w:pPr>
              <w:pStyle w:val="TableParagraph"/>
              <w:spacing w:line="215" w:lineRule="exact" w:before="46"/>
              <w:ind w:left="192"/>
              <w:rPr>
                <w:sz w:val="20"/>
              </w:rPr>
            </w:pPr>
            <w:r>
              <w:rPr>
                <w:spacing w:val="-2"/>
                <w:sz w:val="20"/>
              </w:rPr>
              <w:t>Воспалительные</w:t>
            </w:r>
          </w:p>
        </w:tc>
        <w:tc>
          <w:tcPr>
            <w:tcW w:w="5318" w:type="dxa"/>
          </w:tcPr>
          <w:p>
            <w:pPr>
              <w:pStyle w:val="TableParagraph"/>
              <w:spacing w:line="215" w:lineRule="exact" w:before="46"/>
              <w:ind w:left="384"/>
              <w:rPr>
                <w:sz w:val="20"/>
              </w:rPr>
            </w:pPr>
            <w:r>
              <w:rPr>
                <w:sz w:val="20"/>
              </w:rPr>
              <w:t>M08.0,</w:t>
            </w:r>
            <w:r>
              <w:rPr>
                <w:spacing w:val="-6"/>
                <w:sz w:val="20"/>
              </w:rPr>
              <w:t> </w:t>
            </w:r>
            <w:r>
              <w:rPr>
                <w:sz w:val="20"/>
              </w:rPr>
              <w:t>M08.1,</w:t>
            </w:r>
            <w:r>
              <w:rPr>
                <w:spacing w:val="-5"/>
                <w:sz w:val="20"/>
              </w:rPr>
              <w:t> </w:t>
            </w:r>
            <w:r>
              <w:rPr>
                <w:sz w:val="20"/>
              </w:rPr>
              <w:t>M08.2,</w:t>
            </w:r>
            <w:r>
              <w:rPr>
                <w:spacing w:val="-6"/>
                <w:sz w:val="20"/>
              </w:rPr>
              <w:t> </w:t>
            </w:r>
            <w:r>
              <w:rPr>
                <w:sz w:val="20"/>
              </w:rPr>
              <w:t>M08.3,</w:t>
            </w:r>
            <w:r>
              <w:rPr>
                <w:spacing w:val="-5"/>
                <w:sz w:val="20"/>
              </w:rPr>
              <w:t> </w:t>
            </w:r>
            <w:r>
              <w:rPr>
                <w:sz w:val="20"/>
              </w:rPr>
              <w:t>M08.4,</w:t>
            </w:r>
            <w:r>
              <w:rPr>
                <w:spacing w:val="-5"/>
                <w:sz w:val="20"/>
              </w:rPr>
              <w:t> </w:t>
            </w:r>
            <w:r>
              <w:rPr>
                <w:spacing w:val="-2"/>
                <w:sz w:val="20"/>
              </w:rPr>
              <w:t>M08.8,</w:t>
            </w:r>
          </w:p>
        </w:tc>
        <w:tc>
          <w:tcPr>
            <w:tcW w:w="1844" w:type="dxa"/>
          </w:tcPr>
          <w:p>
            <w:pPr>
              <w:pStyle w:val="TableParagraph"/>
              <w:spacing w:line="215" w:lineRule="exact" w:before="46"/>
              <w:ind w:left="774"/>
              <w:rPr>
                <w:sz w:val="20"/>
              </w:rPr>
            </w:pPr>
            <w:r>
              <w:rPr>
                <w:w w:val="99"/>
                <w:sz w:val="20"/>
              </w:rPr>
              <w:t>-</w:t>
            </w:r>
          </w:p>
        </w:tc>
        <w:tc>
          <w:tcPr>
            <w:tcW w:w="3118" w:type="dxa"/>
          </w:tcPr>
          <w:p>
            <w:pPr>
              <w:pStyle w:val="TableParagraph"/>
              <w:spacing w:line="215" w:lineRule="exact" w:before="46"/>
              <w:ind w:left="995" w:right="452"/>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5"/>
              <w:jc w:val="right"/>
              <w:rPr>
                <w:sz w:val="20"/>
              </w:rPr>
            </w:pPr>
            <w:r>
              <w:rPr>
                <w:spacing w:val="-4"/>
                <w:sz w:val="20"/>
              </w:rPr>
              <w:t>1,85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5" w:type="dxa"/>
          </w:tcPr>
          <w:p>
            <w:pPr>
              <w:pStyle w:val="TableParagraph"/>
              <w:spacing w:line="210" w:lineRule="exact"/>
              <w:ind w:left="192"/>
              <w:rPr>
                <w:sz w:val="20"/>
              </w:rPr>
            </w:pPr>
            <w:r>
              <w:rPr>
                <w:spacing w:val="-2"/>
                <w:sz w:val="20"/>
              </w:rPr>
              <w:t>артропатии,</w:t>
            </w:r>
          </w:p>
        </w:tc>
        <w:tc>
          <w:tcPr>
            <w:tcW w:w="5318" w:type="dxa"/>
          </w:tcPr>
          <w:p>
            <w:pPr>
              <w:pStyle w:val="TableParagraph"/>
              <w:spacing w:line="210" w:lineRule="exact"/>
              <w:ind w:left="384"/>
              <w:rPr>
                <w:sz w:val="20"/>
              </w:rPr>
            </w:pPr>
            <w:r>
              <w:rPr>
                <w:sz w:val="20"/>
              </w:rPr>
              <w:t>M08.9,</w:t>
            </w:r>
            <w:r>
              <w:rPr>
                <w:spacing w:val="-6"/>
                <w:sz w:val="20"/>
              </w:rPr>
              <w:t> </w:t>
            </w:r>
            <w:r>
              <w:rPr>
                <w:sz w:val="20"/>
              </w:rPr>
              <w:t>M09.0,</w:t>
            </w:r>
            <w:r>
              <w:rPr>
                <w:spacing w:val="-6"/>
                <w:sz w:val="20"/>
              </w:rPr>
              <w:t> </w:t>
            </w:r>
            <w:r>
              <w:rPr>
                <w:sz w:val="20"/>
              </w:rPr>
              <w:t>M09.1,</w:t>
            </w:r>
            <w:r>
              <w:rPr>
                <w:spacing w:val="-6"/>
                <w:sz w:val="20"/>
              </w:rPr>
              <w:t> </w:t>
            </w:r>
            <w:r>
              <w:rPr>
                <w:sz w:val="20"/>
              </w:rPr>
              <w:t>M09.2,</w:t>
            </w:r>
            <w:r>
              <w:rPr>
                <w:spacing w:val="-6"/>
                <w:sz w:val="20"/>
              </w:rPr>
              <w:t> </w:t>
            </w:r>
            <w:r>
              <w:rPr>
                <w:sz w:val="20"/>
              </w:rPr>
              <w:t>M09.8,</w:t>
            </w:r>
            <w:r>
              <w:rPr>
                <w:spacing w:val="-5"/>
                <w:sz w:val="20"/>
              </w:rPr>
              <w:t> </w:t>
            </w:r>
            <w:r>
              <w:rPr>
                <w:spacing w:val="-2"/>
                <w:sz w:val="20"/>
              </w:rPr>
              <w:t>M30.2,</w:t>
            </w:r>
          </w:p>
        </w:tc>
        <w:tc>
          <w:tcPr>
            <w:tcW w:w="1844" w:type="dxa"/>
          </w:tcPr>
          <w:p>
            <w:pPr>
              <w:pStyle w:val="TableParagraph"/>
              <w:rPr>
                <w:sz w:val="16"/>
              </w:rPr>
            </w:pPr>
          </w:p>
        </w:tc>
        <w:tc>
          <w:tcPr>
            <w:tcW w:w="3118" w:type="dxa"/>
          </w:tcPr>
          <w:p>
            <w:pPr>
              <w:pStyle w:val="TableParagraph"/>
              <w:spacing w:line="210" w:lineRule="exact"/>
              <w:ind w:left="992" w:right="452"/>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5" w:type="dxa"/>
          </w:tcPr>
          <w:p>
            <w:pPr>
              <w:pStyle w:val="TableParagraph"/>
              <w:spacing w:line="226" w:lineRule="exact"/>
              <w:ind w:left="192"/>
              <w:rPr>
                <w:sz w:val="20"/>
              </w:rPr>
            </w:pPr>
            <w:r>
              <w:rPr>
                <w:w w:val="95"/>
                <w:sz w:val="20"/>
              </w:rPr>
              <w:t>спондилопатии,</w:t>
            </w:r>
            <w:r>
              <w:rPr>
                <w:spacing w:val="49"/>
                <w:sz w:val="20"/>
              </w:rPr>
              <w:t> </w:t>
            </w:r>
            <w:r>
              <w:rPr>
                <w:spacing w:val="-4"/>
                <w:sz w:val="20"/>
              </w:rPr>
              <w:t>дети</w:t>
            </w:r>
          </w:p>
        </w:tc>
        <w:tc>
          <w:tcPr>
            <w:tcW w:w="5318" w:type="dxa"/>
          </w:tcPr>
          <w:p>
            <w:pPr>
              <w:pStyle w:val="TableParagraph"/>
              <w:spacing w:line="226" w:lineRule="exact"/>
              <w:ind w:left="1972" w:right="2798"/>
              <w:jc w:val="center"/>
              <w:rPr>
                <w:sz w:val="20"/>
              </w:rPr>
            </w:pPr>
            <w:r>
              <w:rPr>
                <w:spacing w:val="-4"/>
                <w:sz w:val="20"/>
              </w:rPr>
              <w:t>M33.0</w:t>
            </w:r>
          </w:p>
        </w:tc>
        <w:tc>
          <w:tcPr>
            <w:tcW w:w="1844" w:type="dxa"/>
          </w:tcPr>
          <w:p>
            <w:pPr>
              <w:pStyle w:val="TableParagraph"/>
              <w:rPr>
                <w:sz w:val="18"/>
              </w:rPr>
            </w:pPr>
          </w:p>
        </w:tc>
        <w:tc>
          <w:tcPr>
            <w:tcW w:w="3118" w:type="dxa"/>
          </w:tcPr>
          <w:p>
            <w:pPr>
              <w:pStyle w:val="TableParagraph"/>
              <w:rPr>
                <w:sz w:val="18"/>
              </w:rPr>
            </w:pPr>
          </w:p>
        </w:tc>
        <w:tc>
          <w:tcPr>
            <w:tcW w:w="863"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st22.004</w:t>
            </w:r>
          </w:p>
        </w:tc>
        <w:tc>
          <w:tcPr>
            <w:tcW w:w="707" w:type="dxa"/>
          </w:tcPr>
          <w:p>
            <w:pPr>
              <w:pStyle w:val="TableParagraph"/>
              <w:spacing w:line="215" w:lineRule="exact" w:before="45"/>
              <w:ind w:left="210"/>
              <w:rPr>
                <w:sz w:val="20"/>
              </w:rPr>
            </w:pPr>
            <w:r>
              <w:rPr>
                <w:spacing w:val="-5"/>
                <w:sz w:val="20"/>
              </w:rPr>
              <w:t>226</w:t>
            </w:r>
          </w:p>
        </w:tc>
        <w:tc>
          <w:tcPr>
            <w:tcW w:w="2475" w:type="dxa"/>
          </w:tcPr>
          <w:p>
            <w:pPr>
              <w:pStyle w:val="TableParagraph"/>
              <w:spacing w:line="215" w:lineRule="exact" w:before="45"/>
              <w:ind w:left="192"/>
              <w:rPr>
                <w:sz w:val="20"/>
              </w:rPr>
            </w:pPr>
            <w:r>
              <w:rPr>
                <w:spacing w:val="-2"/>
                <w:sz w:val="20"/>
              </w:rPr>
              <w:t>Врожденные</w:t>
            </w:r>
            <w:r>
              <w:rPr>
                <w:spacing w:val="7"/>
                <w:sz w:val="20"/>
              </w:rPr>
              <w:t> </w:t>
            </w:r>
            <w:r>
              <w:rPr>
                <w:spacing w:val="-2"/>
                <w:sz w:val="20"/>
              </w:rPr>
              <w:t>аномалии</w:t>
            </w:r>
          </w:p>
        </w:tc>
        <w:tc>
          <w:tcPr>
            <w:tcW w:w="5318" w:type="dxa"/>
          </w:tcPr>
          <w:p>
            <w:pPr>
              <w:pStyle w:val="TableParagraph"/>
              <w:spacing w:line="215" w:lineRule="exact" w:before="45"/>
              <w:ind w:left="264"/>
              <w:rPr>
                <w:sz w:val="20"/>
              </w:rPr>
            </w:pPr>
            <w:r>
              <w:rPr>
                <w:sz w:val="20"/>
              </w:rPr>
              <w:t>Q02,</w:t>
            </w:r>
            <w:r>
              <w:rPr>
                <w:spacing w:val="-6"/>
                <w:sz w:val="20"/>
              </w:rPr>
              <w:t> </w:t>
            </w:r>
            <w:r>
              <w:rPr>
                <w:sz w:val="20"/>
              </w:rPr>
              <w:t>Q03.0,</w:t>
            </w:r>
            <w:r>
              <w:rPr>
                <w:spacing w:val="-6"/>
                <w:sz w:val="20"/>
              </w:rPr>
              <w:t> </w:t>
            </w:r>
            <w:r>
              <w:rPr>
                <w:sz w:val="20"/>
              </w:rPr>
              <w:t>Q03.1,</w:t>
            </w:r>
            <w:r>
              <w:rPr>
                <w:spacing w:val="-5"/>
                <w:sz w:val="20"/>
              </w:rPr>
              <w:t> </w:t>
            </w:r>
            <w:r>
              <w:rPr>
                <w:sz w:val="20"/>
              </w:rPr>
              <w:t>Q03.8,</w:t>
            </w:r>
            <w:r>
              <w:rPr>
                <w:spacing w:val="-6"/>
                <w:sz w:val="20"/>
              </w:rPr>
              <w:t> </w:t>
            </w:r>
            <w:r>
              <w:rPr>
                <w:sz w:val="20"/>
              </w:rPr>
              <w:t>Q04.5,</w:t>
            </w:r>
            <w:r>
              <w:rPr>
                <w:spacing w:val="-5"/>
                <w:sz w:val="20"/>
              </w:rPr>
              <w:t> </w:t>
            </w:r>
            <w:r>
              <w:rPr>
                <w:sz w:val="20"/>
              </w:rPr>
              <w:t>Q04.6,</w:t>
            </w:r>
            <w:r>
              <w:rPr>
                <w:spacing w:val="-6"/>
                <w:sz w:val="20"/>
              </w:rPr>
              <w:t> </w:t>
            </w:r>
            <w:r>
              <w:rPr>
                <w:spacing w:val="-2"/>
                <w:sz w:val="20"/>
              </w:rPr>
              <w:t>Q04.8,</w:t>
            </w:r>
          </w:p>
        </w:tc>
        <w:tc>
          <w:tcPr>
            <w:tcW w:w="1844" w:type="dxa"/>
          </w:tcPr>
          <w:p>
            <w:pPr>
              <w:pStyle w:val="TableParagraph"/>
              <w:spacing w:line="215" w:lineRule="exact" w:before="45"/>
              <w:ind w:left="774"/>
              <w:rPr>
                <w:sz w:val="20"/>
              </w:rPr>
            </w:pPr>
            <w:r>
              <w:rPr>
                <w:w w:val="99"/>
                <w:sz w:val="20"/>
              </w:rPr>
              <w:t>-</w:t>
            </w:r>
          </w:p>
        </w:tc>
        <w:tc>
          <w:tcPr>
            <w:tcW w:w="3118" w:type="dxa"/>
          </w:tcPr>
          <w:p>
            <w:pPr>
              <w:pStyle w:val="TableParagraph"/>
              <w:spacing w:line="215" w:lineRule="exact" w:before="45"/>
              <w:ind w:left="995" w:right="452"/>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5"/>
              <w:ind w:right="45"/>
              <w:jc w:val="right"/>
              <w:rPr>
                <w:sz w:val="20"/>
              </w:rPr>
            </w:pPr>
            <w:r>
              <w:rPr>
                <w:spacing w:val="-4"/>
                <w:sz w:val="20"/>
              </w:rPr>
              <w:t>2,12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5" w:type="dxa"/>
          </w:tcPr>
          <w:p>
            <w:pPr>
              <w:pStyle w:val="TableParagraph"/>
              <w:spacing w:line="210" w:lineRule="exact"/>
              <w:ind w:left="192"/>
              <w:rPr>
                <w:sz w:val="20"/>
              </w:rPr>
            </w:pPr>
            <w:r>
              <w:rPr>
                <w:sz w:val="20"/>
              </w:rPr>
              <w:t>головного</w:t>
            </w:r>
            <w:r>
              <w:rPr>
                <w:spacing w:val="-6"/>
                <w:sz w:val="20"/>
              </w:rPr>
              <w:t> </w:t>
            </w:r>
            <w:r>
              <w:rPr>
                <w:sz w:val="20"/>
              </w:rPr>
              <w:t>и</w:t>
            </w:r>
            <w:r>
              <w:rPr>
                <w:spacing w:val="-8"/>
                <w:sz w:val="20"/>
              </w:rPr>
              <w:t> </w:t>
            </w:r>
            <w:r>
              <w:rPr>
                <w:spacing w:val="-2"/>
                <w:sz w:val="20"/>
              </w:rPr>
              <w:t>спинного</w:t>
            </w:r>
          </w:p>
        </w:tc>
        <w:tc>
          <w:tcPr>
            <w:tcW w:w="5318" w:type="dxa"/>
          </w:tcPr>
          <w:p>
            <w:pPr>
              <w:pStyle w:val="TableParagraph"/>
              <w:spacing w:line="210" w:lineRule="exact"/>
              <w:ind w:left="485"/>
              <w:rPr>
                <w:sz w:val="20"/>
              </w:rPr>
            </w:pPr>
            <w:r>
              <w:rPr>
                <w:sz w:val="20"/>
              </w:rPr>
              <w:t>Q05.0,</w:t>
            </w:r>
            <w:r>
              <w:rPr>
                <w:spacing w:val="-4"/>
                <w:sz w:val="20"/>
              </w:rPr>
              <w:t> </w:t>
            </w:r>
            <w:r>
              <w:rPr>
                <w:sz w:val="20"/>
              </w:rPr>
              <w:t>Q05.1,</w:t>
            </w:r>
            <w:r>
              <w:rPr>
                <w:spacing w:val="-6"/>
                <w:sz w:val="20"/>
              </w:rPr>
              <w:t> </w:t>
            </w:r>
            <w:r>
              <w:rPr>
                <w:sz w:val="20"/>
              </w:rPr>
              <w:t>Q05.2,</w:t>
            </w:r>
            <w:r>
              <w:rPr>
                <w:spacing w:val="-1"/>
                <w:sz w:val="20"/>
              </w:rPr>
              <w:t> </w:t>
            </w:r>
            <w:r>
              <w:rPr>
                <w:sz w:val="20"/>
              </w:rPr>
              <w:t>Q05.3,</w:t>
            </w:r>
            <w:r>
              <w:rPr>
                <w:spacing w:val="-6"/>
                <w:sz w:val="20"/>
              </w:rPr>
              <w:t> </w:t>
            </w:r>
            <w:r>
              <w:rPr>
                <w:sz w:val="20"/>
              </w:rPr>
              <w:t>Q05.5,</w:t>
            </w:r>
            <w:r>
              <w:rPr>
                <w:spacing w:val="-4"/>
                <w:sz w:val="20"/>
              </w:rPr>
              <w:t> </w:t>
            </w:r>
            <w:r>
              <w:rPr>
                <w:spacing w:val="-2"/>
                <w:sz w:val="20"/>
              </w:rPr>
              <w:t>Q05.6,</w:t>
            </w:r>
          </w:p>
        </w:tc>
        <w:tc>
          <w:tcPr>
            <w:tcW w:w="1844" w:type="dxa"/>
          </w:tcPr>
          <w:p>
            <w:pPr>
              <w:pStyle w:val="TableParagraph"/>
              <w:rPr>
                <w:sz w:val="16"/>
              </w:rPr>
            </w:pPr>
          </w:p>
        </w:tc>
        <w:tc>
          <w:tcPr>
            <w:tcW w:w="3118" w:type="dxa"/>
          </w:tcPr>
          <w:p>
            <w:pPr>
              <w:pStyle w:val="TableParagraph"/>
              <w:spacing w:line="210" w:lineRule="exact"/>
              <w:ind w:left="992" w:right="452"/>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5" w:type="dxa"/>
          </w:tcPr>
          <w:p>
            <w:pPr>
              <w:pStyle w:val="TableParagraph"/>
              <w:spacing w:line="226" w:lineRule="exact"/>
              <w:ind w:left="192"/>
              <w:rPr>
                <w:sz w:val="20"/>
              </w:rPr>
            </w:pPr>
            <w:r>
              <w:rPr>
                <w:sz w:val="20"/>
              </w:rPr>
              <w:t>мозга,</w:t>
            </w:r>
            <w:r>
              <w:rPr>
                <w:spacing w:val="-4"/>
                <w:sz w:val="20"/>
              </w:rPr>
              <w:t> дети</w:t>
            </w:r>
          </w:p>
        </w:tc>
        <w:tc>
          <w:tcPr>
            <w:tcW w:w="5318" w:type="dxa"/>
          </w:tcPr>
          <w:p>
            <w:pPr>
              <w:pStyle w:val="TableParagraph"/>
              <w:spacing w:line="226" w:lineRule="exact"/>
              <w:ind w:left="214"/>
              <w:rPr>
                <w:sz w:val="20"/>
              </w:rPr>
            </w:pPr>
            <w:r>
              <w:rPr>
                <w:sz w:val="20"/>
              </w:rPr>
              <w:t>Q05.7,</w:t>
            </w:r>
            <w:r>
              <w:rPr>
                <w:spacing w:val="-5"/>
                <w:sz w:val="20"/>
              </w:rPr>
              <w:t> </w:t>
            </w:r>
            <w:r>
              <w:rPr>
                <w:sz w:val="20"/>
              </w:rPr>
              <w:t>Q05.8,</w:t>
            </w:r>
            <w:r>
              <w:rPr>
                <w:spacing w:val="-5"/>
                <w:sz w:val="20"/>
              </w:rPr>
              <w:t> </w:t>
            </w:r>
            <w:r>
              <w:rPr>
                <w:sz w:val="20"/>
              </w:rPr>
              <w:t>Q06.1,</w:t>
            </w:r>
            <w:r>
              <w:rPr>
                <w:spacing w:val="-4"/>
                <w:sz w:val="20"/>
              </w:rPr>
              <w:t> </w:t>
            </w:r>
            <w:r>
              <w:rPr>
                <w:sz w:val="20"/>
              </w:rPr>
              <w:t>Q06.2,</w:t>
            </w:r>
            <w:r>
              <w:rPr>
                <w:spacing w:val="-6"/>
                <w:sz w:val="20"/>
              </w:rPr>
              <w:t> </w:t>
            </w:r>
            <w:r>
              <w:rPr>
                <w:sz w:val="20"/>
              </w:rPr>
              <w:t>Q06.3,</w:t>
            </w:r>
            <w:r>
              <w:rPr>
                <w:spacing w:val="-4"/>
                <w:sz w:val="20"/>
              </w:rPr>
              <w:t> </w:t>
            </w:r>
            <w:r>
              <w:rPr>
                <w:sz w:val="20"/>
              </w:rPr>
              <w:t>Q06.4,</w:t>
            </w:r>
            <w:r>
              <w:rPr>
                <w:spacing w:val="-6"/>
                <w:sz w:val="20"/>
              </w:rPr>
              <w:t> </w:t>
            </w:r>
            <w:r>
              <w:rPr>
                <w:spacing w:val="-4"/>
                <w:sz w:val="20"/>
              </w:rPr>
              <w:t>Q07.0</w:t>
            </w:r>
          </w:p>
        </w:tc>
        <w:tc>
          <w:tcPr>
            <w:tcW w:w="1844" w:type="dxa"/>
          </w:tcPr>
          <w:p>
            <w:pPr>
              <w:pStyle w:val="TableParagraph"/>
              <w:rPr>
                <w:sz w:val="18"/>
              </w:rPr>
            </w:pPr>
          </w:p>
        </w:tc>
        <w:tc>
          <w:tcPr>
            <w:tcW w:w="3118" w:type="dxa"/>
          </w:tcPr>
          <w:p>
            <w:pPr>
              <w:pStyle w:val="TableParagraph"/>
              <w:rPr>
                <w:sz w:val="18"/>
              </w:rPr>
            </w:pPr>
          </w:p>
        </w:tc>
        <w:tc>
          <w:tcPr>
            <w:tcW w:w="863" w:type="dxa"/>
          </w:tcPr>
          <w:p>
            <w:pPr>
              <w:pStyle w:val="TableParagraph"/>
              <w:rPr>
                <w:sz w:val="18"/>
              </w:rPr>
            </w:pPr>
          </w:p>
        </w:tc>
      </w:tr>
      <w:tr>
        <w:trPr>
          <w:trHeight w:val="329" w:hRule="atLeast"/>
        </w:trPr>
        <w:tc>
          <w:tcPr>
            <w:tcW w:w="946" w:type="dxa"/>
          </w:tcPr>
          <w:p>
            <w:pPr>
              <w:pStyle w:val="TableParagraph"/>
              <w:spacing w:before="45"/>
              <w:ind w:left="37" w:right="198"/>
              <w:jc w:val="center"/>
              <w:rPr>
                <w:sz w:val="20"/>
              </w:rPr>
            </w:pPr>
            <w:r>
              <w:rPr>
                <w:spacing w:val="-4"/>
                <w:sz w:val="20"/>
              </w:rPr>
              <w:t>st23</w:t>
            </w:r>
          </w:p>
        </w:tc>
        <w:tc>
          <w:tcPr>
            <w:tcW w:w="707" w:type="dxa"/>
          </w:tcPr>
          <w:p>
            <w:pPr>
              <w:pStyle w:val="TableParagraph"/>
              <w:spacing w:before="45"/>
              <w:ind w:left="261"/>
              <w:rPr>
                <w:sz w:val="20"/>
              </w:rPr>
            </w:pPr>
            <w:r>
              <w:rPr>
                <w:spacing w:val="-5"/>
                <w:sz w:val="20"/>
              </w:rPr>
              <w:t>23</w:t>
            </w:r>
          </w:p>
        </w:tc>
        <w:tc>
          <w:tcPr>
            <w:tcW w:w="2475" w:type="dxa"/>
          </w:tcPr>
          <w:p>
            <w:pPr>
              <w:pStyle w:val="TableParagraph"/>
              <w:rPr>
                <w:sz w:val="18"/>
              </w:rPr>
            </w:pPr>
          </w:p>
        </w:tc>
        <w:tc>
          <w:tcPr>
            <w:tcW w:w="5318" w:type="dxa"/>
          </w:tcPr>
          <w:p>
            <w:pPr>
              <w:pStyle w:val="TableParagraph"/>
              <w:spacing w:before="45"/>
              <w:ind w:left="3195"/>
              <w:rPr>
                <w:sz w:val="20"/>
              </w:rPr>
            </w:pPr>
            <w:r>
              <w:rPr>
                <w:spacing w:val="-2"/>
                <w:sz w:val="20"/>
              </w:rPr>
              <w:t>Пульмонология</w:t>
            </w:r>
          </w:p>
        </w:tc>
        <w:tc>
          <w:tcPr>
            <w:tcW w:w="1844" w:type="dxa"/>
          </w:tcPr>
          <w:p>
            <w:pPr>
              <w:pStyle w:val="TableParagraph"/>
              <w:rPr>
                <w:sz w:val="18"/>
              </w:rPr>
            </w:pPr>
          </w:p>
        </w:tc>
        <w:tc>
          <w:tcPr>
            <w:tcW w:w="3118" w:type="dxa"/>
          </w:tcPr>
          <w:p>
            <w:pPr>
              <w:pStyle w:val="TableParagraph"/>
              <w:rPr>
                <w:sz w:val="18"/>
              </w:rPr>
            </w:pPr>
          </w:p>
        </w:tc>
        <w:tc>
          <w:tcPr>
            <w:tcW w:w="863" w:type="dxa"/>
          </w:tcPr>
          <w:p>
            <w:pPr>
              <w:pStyle w:val="TableParagraph"/>
              <w:spacing w:before="45"/>
              <w:ind w:right="45"/>
              <w:jc w:val="right"/>
              <w:rPr>
                <w:sz w:val="20"/>
              </w:rPr>
            </w:pPr>
            <w:r>
              <w:rPr>
                <w:spacing w:val="-4"/>
                <w:sz w:val="20"/>
              </w:rPr>
              <w:t>1,31</w:t>
            </w: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st23.001</w:t>
            </w:r>
          </w:p>
        </w:tc>
        <w:tc>
          <w:tcPr>
            <w:tcW w:w="707" w:type="dxa"/>
          </w:tcPr>
          <w:p>
            <w:pPr>
              <w:pStyle w:val="TableParagraph"/>
              <w:spacing w:line="215" w:lineRule="exact" w:before="46"/>
              <w:ind w:left="210"/>
              <w:rPr>
                <w:sz w:val="20"/>
              </w:rPr>
            </w:pPr>
            <w:r>
              <w:rPr>
                <w:spacing w:val="-5"/>
                <w:sz w:val="20"/>
              </w:rPr>
              <w:t>227</w:t>
            </w:r>
          </w:p>
        </w:tc>
        <w:tc>
          <w:tcPr>
            <w:tcW w:w="2475" w:type="dxa"/>
          </w:tcPr>
          <w:p>
            <w:pPr>
              <w:pStyle w:val="TableParagraph"/>
              <w:spacing w:line="215"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органов</w:t>
            </w:r>
          </w:p>
        </w:tc>
        <w:tc>
          <w:tcPr>
            <w:tcW w:w="5318" w:type="dxa"/>
          </w:tcPr>
          <w:p>
            <w:pPr>
              <w:pStyle w:val="TableParagraph"/>
              <w:spacing w:line="215" w:lineRule="exact" w:before="46"/>
              <w:ind w:left="459"/>
              <w:rPr>
                <w:sz w:val="20"/>
              </w:rPr>
            </w:pPr>
            <w:r>
              <w:rPr>
                <w:sz w:val="20"/>
              </w:rPr>
              <w:t>J18.2,</w:t>
            </w:r>
            <w:r>
              <w:rPr>
                <w:spacing w:val="-6"/>
                <w:sz w:val="20"/>
              </w:rPr>
              <w:t> </w:t>
            </w:r>
            <w:r>
              <w:rPr>
                <w:sz w:val="20"/>
              </w:rPr>
              <w:t>J60,</w:t>
            </w:r>
            <w:r>
              <w:rPr>
                <w:spacing w:val="-5"/>
                <w:sz w:val="20"/>
              </w:rPr>
              <w:t> </w:t>
            </w:r>
            <w:r>
              <w:rPr>
                <w:sz w:val="20"/>
              </w:rPr>
              <w:t>J61,</w:t>
            </w:r>
            <w:r>
              <w:rPr>
                <w:spacing w:val="-5"/>
                <w:sz w:val="20"/>
              </w:rPr>
              <w:t> </w:t>
            </w:r>
            <w:r>
              <w:rPr>
                <w:sz w:val="20"/>
              </w:rPr>
              <w:t>J62,</w:t>
            </w:r>
            <w:r>
              <w:rPr>
                <w:spacing w:val="-4"/>
                <w:sz w:val="20"/>
              </w:rPr>
              <w:t> </w:t>
            </w:r>
            <w:r>
              <w:rPr>
                <w:sz w:val="20"/>
              </w:rPr>
              <w:t>J62.0,</w:t>
            </w:r>
            <w:r>
              <w:rPr>
                <w:spacing w:val="-3"/>
                <w:sz w:val="20"/>
              </w:rPr>
              <w:t> </w:t>
            </w:r>
            <w:r>
              <w:rPr>
                <w:sz w:val="20"/>
              </w:rPr>
              <w:t>J62.8,</w:t>
            </w:r>
            <w:r>
              <w:rPr>
                <w:spacing w:val="-6"/>
                <w:sz w:val="20"/>
              </w:rPr>
              <w:t> </w:t>
            </w:r>
            <w:r>
              <w:rPr>
                <w:sz w:val="20"/>
              </w:rPr>
              <w:t>J63,</w:t>
            </w:r>
            <w:r>
              <w:rPr>
                <w:spacing w:val="-3"/>
                <w:sz w:val="20"/>
              </w:rPr>
              <w:t> </w:t>
            </w:r>
            <w:r>
              <w:rPr>
                <w:spacing w:val="-2"/>
                <w:sz w:val="20"/>
              </w:rPr>
              <w:t>J63.0,</w:t>
            </w:r>
          </w:p>
        </w:tc>
        <w:tc>
          <w:tcPr>
            <w:tcW w:w="1844" w:type="dxa"/>
          </w:tcPr>
          <w:p>
            <w:pPr>
              <w:pStyle w:val="TableParagraph"/>
              <w:spacing w:line="215" w:lineRule="exact" w:before="46"/>
              <w:ind w:left="774"/>
              <w:rPr>
                <w:sz w:val="20"/>
              </w:rPr>
            </w:pPr>
            <w:r>
              <w:rPr>
                <w:w w:val="99"/>
                <w:sz w:val="20"/>
              </w:rPr>
              <w:t>-</w:t>
            </w:r>
          </w:p>
        </w:tc>
        <w:tc>
          <w:tcPr>
            <w:tcW w:w="3118" w:type="dxa"/>
          </w:tcPr>
          <w:p>
            <w:pPr>
              <w:pStyle w:val="TableParagraph"/>
              <w:spacing w:line="215" w:lineRule="exact" w:before="46"/>
              <w:ind w:left="995" w:right="452"/>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5"/>
              <w:jc w:val="right"/>
              <w:rPr>
                <w:sz w:val="20"/>
              </w:rPr>
            </w:pPr>
            <w:r>
              <w:rPr>
                <w:spacing w:val="-4"/>
                <w:sz w:val="20"/>
              </w:rPr>
              <w:t>0,85</w:t>
            </w: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75" w:type="dxa"/>
          </w:tcPr>
          <w:p>
            <w:pPr>
              <w:pStyle w:val="TableParagraph"/>
              <w:spacing w:line="205" w:lineRule="exact"/>
              <w:ind w:left="192"/>
              <w:rPr>
                <w:sz w:val="20"/>
              </w:rPr>
            </w:pPr>
            <w:r>
              <w:rPr>
                <w:spacing w:val="-2"/>
                <w:sz w:val="20"/>
              </w:rPr>
              <w:t>дыхания</w:t>
            </w:r>
          </w:p>
        </w:tc>
        <w:tc>
          <w:tcPr>
            <w:tcW w:w="5318" w:type="dxa"/>
          </w:tcPr>
          <w:p>
            <w:pPr>
              <w:pStyle w:val="TableParagraph"/>
              <w:spacing w:line="205" w:lineRule="exact"/>
              <w:ind w:left="307"/>
              <w:rPr>
                <w:sz w:val="20"/>
              </w:rPr>
            </w:pPr>
            <w:r>
              <w:rPr>
                <w:sz w:val="20"/>
              </w:rPr>
              <w:t>J63.1,</w:t>
            </w:r>
            <w:r>
              <w:rPr>
                <w:spacing w:val="-6"/>
                <w:sz w:val="20"/>
              </w:rPr>
              <w:t> </w:t>
            </w:r>
            <w:r>
              <w:rPr>
                <w:sz w:val="20"/>
              </w:rPr>
              <w:t>J63.2,</w:t>
            </w:r>
            <w:r>
              <w:rPr>
                <w:spacing w:val="-5"/>
                <w:sz w:val="20"/>
              </w:rPr>
              <w:t> </w:t>
            </w:r>
            <w:r>
              <w:rPr>
                <w:sz w:val="20"/>
              </w:rPr>
              <w:t>J63.3,</w:t>
            </w:r>
            <w:r>
              <w:rPr>
                <w:spacing w:val="-6"/>
                <w:sz w:val="20"/>
              </w:rPr>
              <w:t> </w:t>
            </w:r>
            <w:r>
              <w:rPr>
                <w:sz w:val="20"/>
              </w:rPr>
              <w:t>J63.4,</w:t>
            </w:r>
            <w:r>
              <w:rPr>
                <w:spacing w:val="-5"/>
                <w:sz w:val="20"/>
              </w:rPr>
              <w:t> </w:t>
            </w:r>
            <w:r>
              <w:rPr>
                <w:sz w:val="20"/>
              </w:rPr>
              <w:t>J63.5,</w:t>
            </w:r>
            <w:r>
              <w:rPr>
                <w:spacing w:val="-4"/>
                <w:sz w:val="20"/>
              </w:rPr>
              <w:t> </w:t>
            </w:r>
            <w:r>
              <w:rPr>
                <w:sz w:val="20"/>
              </w:rPr>
              <w:t>J63.8,</w:t>
            </w:r>
            <w:r>
              <w:rPr>
                <w:spacing w:val="-3"/>
                <w:sz w:val="20"/>
              </w:rPr>
              <w:t> </w:t>
            </w:r>
            <w:r>
              <w:rPr>
                <w:sz w:val="20"/>
              </w:rPr>
              <w:t>J64,</w:t>
            </w:r>
            <w:r>
              <w:rPr>
                <w:spacing w:val="-5"/>
                <w:sz w:val="20"/>
              </w:rPr>
              <w:t> </w:t>
            </w:r>
            <w:r>
              <w:rPr>
                <w:spacing w:val="-4"/>
                <w:sz w:val="20"/>
              </w:rPr>
              <w:t>J65,</w:t>
            </w:r>
          </w:p>
        </w:tc>
        <w:tc>
          <w:tcPr>
            <w:tcW w:w="1844" w:type="dxa"/>
          </w:tcPr>
          <w:p>
            <w:pPr>
              <w:pStyle w:val="TableParagraph"/>
              <w:rPr>
                <w:sz w:val="16"/>
              </w:rPr>
            </w:pPr>
          </w:p>
        </w:tc>
        <w:tc>
          <w:tcPr>
            <w:tcW w:w="3118" w:type="dxa"/>
          </w:tcPr>
          <w:p>
            <w:pPr>
              <w:pStyle w:val="TableParagraph"/>
              <w:spacing w:line="205" w:lineRule="exact"/>
              <w:ind w:left="995" w:right="452"/>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2"/>
        <w:gridCol w:w="5117"/>
        <w:gridCol w:w="1989"/>
        <w:gridCol w:w="3120"/>
        <w:gridCol w:w="864"/>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32" w:type="dxa"/>
            <w:vMerge w:val="restart"/>
          </w:tcPr>
          <w:p>
            <w:pPr>
              <w:pStyle w:val="TableParagraph"/>
              <w:rPr>
                <w:sz w:val="18"/>
              </w:rPr>
            </w:pPr>
          </w:p>
        </w:tc>
        <w:tc>
          <w:tcPr>
            <w:tcW w:w="5117" w:type="dxa"/>
          </w:tcPr>
          <w:p>
            <w:pPr>
              <w:pStyle w:val="TableParagraph"/>
              <w:spacing w:line="205" w:lineRule="exact"/>
              <w:ind w:left="156" w:right="902"/>
              <w:jc w:val="center"/>
              <w:rPr>
                <w:sz w:val="20"/>
              </w:rPr>
            </w:pPr>
            <w:r>
              <w:rPr>
                <w:sz w:val="20"/>
              </w:rPr>
              <w:t>J66,</w:t>
            </w:r>
            <w:r>
              <w:rPr>
                <w:spacing w:val="-6"/>
                <w:sz w:val="20"/>
              </w:rPr>
              <w:t> </w:t>
            </w:r>
            <w:r>
              <w:rPr>
                <w:sz w:val="20"/>
              </w:rPr>
              <w:t>J66.0,</w:t>
            </w:r>
            <w:r>
              <w:rPr>
                <w:spacing w:val="-6"/>
                <w:sz w:val="20"/>
              </w:rPr>
              <w:t> </w:t>
            </w:r>
            <w:r>
              <w:rPr>
                <w:sz w:val="20"/>
              </w:rPr>
              <w:t>J66.1,</w:t>
            </w:r>
            <w:r>
              <w:rPr>
                <w:spacing w:val="-6"/>
                <w:sz w:val="20"/>
              </w:rPr>
              <w:t> </w:t>
            </w:r>
            <w:r>
              <w:rPr>
                <w:sz w:val="20"/>
              </w:rPr>
              <w:t>J66.2,</w:t>
            </w:r>
            <w:r>
              <w:rPr>
                <w:spacing w:val="-4"/>
                <w:sz w:val="20"/>
              </w:rPr>
              <w:t> </w:t>
            </w:r>
            <w:r>
              <w:rPr>
                <w:sz w:val="20"/>
              </w:rPr>
              <w:t>J66.8,</w:t>
            </w:r>
            <w:r>
              <w:rPr>
                <w:spacing w:val="-6"/>
                <w:sz w:val="20"/>
              </w:rPr>
              <w:t> </w:t>
            </w:r>
            <w:r>
              <w:rPr>
                <w:sz w:val="20"/>
              </w:rPr>
              <w:t>J67,</w:t>
            </w:r>
            <w:r>
              <w:rPr>
                <w:spacing w:val="-4"/>
                <w:sz w:val="20"/>
              </w:rPr>
              <w:t> </w:t>
            </w:r>
            <w:r>
              <w:rPr>
                <w:sz w:val="20"/>
              </w:rPr>
              <w:t>J67.0,</w:t>
            </w:r>
            <w:r>
              <w:rPr>
                <w:spacing w:val="-4"/>
                <w:sz w:val="20"/>
              </w:rPr>
              <w:t> </w:t>
            </w:r>
            <w:r>
              <w:rPr>
                <w:spacing w:val="-2"/>
                <w:sz w:val="20"/>
              </w:rPr>
              <w:t>J67.1,</w:t>
            </w:r>
          </w:p>
        </w:tc>
        <w:tc>
          <w:tcPr>
            <w:tcW w:w="1989" w:type="dxa"/>
            <w:vMerge w:val="restart"/>
          </w:tcPr>
          <w:p>
            <w:pPr>
              <w:pStyle w:val="TableParagraph"/>
              <w:rPr>
                <w:sz w:val="18"/>
              </w:rPr>
            </w:pPr>
          </w:p>
        </w:tc>
        <w:tc>
          <w:tcPr>
            <w:tcW w:w="3120"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09" w:lineRule="exact"/>
              <w:ind w:left="179" w:right="923"/>
              <w:jc w:val="center"/>
              <w:rPr>
                <w:sz w:val="20"/>
              </w:rPr>
            </w:pPr>
            <w:r>
              <w:rPr>
                <w:sz w:val="20"/>
              </w:rPr>
              <w:t>J67.2,</w:t>
            </w:r>
            <w:r>
              <w:rPr>
                <w:spacing w:val="-6"/>
                <w:sz w:val="20"/>
              </w:rPr>
              <w:t> </w:t>
            </w:r>
            <w:r>
              <w:rPr>
                <w:sz w:val="20"/>
              </w:rPr>
              <w:t>J67.3,</w:t>
            </w:r>
            <w:r>
              <w:rPr>
                <w:spacing w:val="-6"/>
                <w:sz w:val="20"/>
              </w:rPr>
              <w:t> </w:t>
            </w:r>
            <w:r>
              <w:rPr>
                <w:sz w:val="20"/>
              </w:rPr>
              <w:t>J67.4,</w:t>
            </w:r>
            <w:r>
              <w:rPr>
                <w:spacing w:val="-6"/>
                <w:sz w:val="20"/>
              </w:rPr>
              <w:t> </w:t>
            </w:r>
            <w:r>
              <w:rPr>
                <w:sz w:val="20"/>
              </w:rPr>
              <w:t>J67.5,</w:t>
            </w:r>
            <w:r>
              <w:rPr>
                <w:spacing w:val="-6"/>
                <w:sz w:val="20"/>
              </w:rPr>
              <w:t> </w:t>
            </w:r>
            <w:r>
              <w:rPr>
                <w:sz w:val="20"/>
              </w:rPr>
              <w:t>J67.6,</w:t>
            </w:r>
            <w:r>
              <w:rPr>
                <w:spacing w:val="-4"/>
                <w:sz w:val="20"/>
              </w:rPr>
              <w:t> </w:t>
            </w:r>
            <w:r>
              <w:rPr>
                <w:sz w:val="20"/>
              </w:rPr>
              <w:t>J67.7,</w:t>
            </w:r>
            <w:r>
              <w:rPr>
                <w:spacing w:val="-4"/>
                <w:sz w:val="20"/>
              </w:rPr>
              <w:t> </w:t>
            </w:r>
            <w:r>
              <w:rPr>
                <w:spacing w:val="-2"/>
                <w:sz w:val="20"/>
              </w:rPr>
              <w:t>J67.8,</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09" w:lineRule="exact"/>
              <w:ind w:left="179" w:right="923"/>
              <w:jc w:val="center"/>
              <w:rPr>
                <w:sz w:val="20"/>
              </w:rPr>
            </w:pPr>
            <w:r>
              <w:rPr>
                <w:sz w:val="20"/>
              </w:rPr>
              <w:t>J67.9,</w:t>
            </w:r>
            <w:r>
              <w:rPr>
                <w:spacing w:val="-6"/>
                <w:sz w:val="20"/>
              </w:rPr>
              <w:t> </w:t>
            </w:r>
            <w:r>
              <w:rPr>
                <w:sz w:val="20"/>
              </w:rPr>
              <w:t>J68,</w:t>
            </w:r>
            <w:r>
              <w:rPr>
                <w:spacing w:val="-6"/>
                <w:sz w:val="20"/>
              </w:rPr>
              <w:t> </w:t>
            </w:r>
            <w:r>
              <w:rPr>
                <w:sz w:val="20"/>
              </w:rPr>
              <w:t>J68.0,</w:t>
            </w:r>
            <w:r>
              <w:rPr>
                <w:spacing w:val="-5"/>
                <w:sz w:val="20"/>
              </w:rPr>
              <w:t> </w:t>
            </w:r>
            <w:r>
              <w:rPr>
                <w:sz w:val="20"/>
              </w:rPr>
              <w:t>J68.1,</w:t>
            </w:r>
            <w:r>
              <w:rPr>
                <w:spacing w:val="-4"/>
                <w:sz w:val="20"/>
              </w:rPr>
              <w:t> </w:t>
            </w:r>
            <w:r>
              <w:rPr>
                <w:sz w:val="20"/>
              </w:rPr>
              <w:t>J68.2,</w:t>
            </w:r>
            <w:r>
              <w:rPr>
                <w:spacing w:val="-5"/>
                <w:sz w:val="20"/>
              </w:rPr>
              <w:t> </w:t>
            </w:r>
            <w:r>
              <w:rPr>
                <w:sz w:val="20"/>
              </w:rPr>
              <w:t>J68.3,</w:t>
            </w:r>
            <w:r>
              <w:rPr>
                <w:spacing w:val="-6"/>
                <w:sz w:val="20"/>
              </w:rPr>
              <w:t> </w:t>
            </w:r>
            <w:r>
              <w:rPr>
                <w:sz w:val="20"/>
              </w:rPr>
              <w:t>J68.4,</w:t>
            </w:r>
            <w:r>
              <w:rPr>
                <w:spacing w:val="-5"/>
                <w:sz w:val="20"/>
              </w:rPr>
              <w:t> </w:t>
            </w:r>
            <w:r>
              <w:rPr>
                <w:spacing w:val="-2"/>
                <w:sz w:val="20"/>
              </w:rPr>
              <w:t>J68.8,</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56" w:right="902"/>
              <w:jc w:val="center"/>
              <w:rPr>
                <w:sz w:val="20"/>
              </w:rPr>
            </w:pPr>
            <w:r>
              <w:rPr>
                <w:sz w:val="20"/>
              </w:rPr>
              <w:t>J68.9,</w:t>
            </w:r>
            <w:r>
              <w:rPr>
                <w:spacing w:val="-6"/>
                <w:sz w:val="20"/>
              </w:rPr>
              <w:t> </w:t>
            </w:r>
            <w:r>
              <w:rPr>
                <w:sz w:val="20"/>
              </w:rPr>
              <w:t>J69,</w:t>
            </w:r>
            <w:r>
              <w:rPr>
                <w:spacing w:val="-6"/>
                <w:sz w:val="20"/>
              </w:rPr>
              <w:t> </w:t>
            </w:r>
            <w:r>
              <w:rPr>
                <w:sz w:val="20"/>
              </w:rPr>
              <w:t>J69.0,</w:t>
            </w:r>
            <w:r>
              <w:rPr>
                <w:spacing w:val="-6"/>
                <w:sz w:val="20"/>
              </w:rPr>
              <w:t> </w:t>
            </w:r>
            <w:r>
              <w:rPr>
                <w:sz w:val="20"/>
              </w:rPr>
              <w:t>J69.1,</w:t>
            </w:r>
            <w:r>
              <w:rPr>
                <w:spacing w:val="-3"/>
                <w:sz w:val="20"/>
              </w:rPr>
              <w:t> </w:t>
            </w:r>
            <w:r>
              <w:rPr>
                <w:sz w:val="20"/>
              </w:rPr>
              <w:t>J69.8,</w:t>
            </w:r>
            <w:r>
              <w:rPr>
                <w:spacing w:val="-6"/>
                <w:sz w:val="20"/>
              </w:rPr>
              <w:t> </w:t>
            </w:r>
            <w:r>
              <w:rPr>
                <w:sz w:val="20"/>
              </w:rPr>
              <w:t>J70,</w:t>
            </w:r>
            <w:r>
              <w:rPr>
                <w:spacing w:val="-4"/>
                <w:sz w:val="20"/>
              </w:rPr>
              <w:t> </w:t>
            </w:r>
            <w:r>
              <w:rPr>
                <w:sz w:val="20"/>
              </w:rPr>
              <w:t>J70.0,</w:t>
            </w:r>
            <w:r>
              <w:rPr>
                <w:spacing w:val="-4"/>
                <w:sz w:val="20"/>
              </w:rPr>
              <w:t> </w:t>
            </w:r>
            <w:r>
              <w:rPr>
                <w:spacing w:val="-2"/>
                <w:sz w:val="20"/>
              </w:rPr>
              <w:t>J70.1,</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79" w:right="923"/>
              <w:jc w:val="center"/>
              <w:rPr>
                <w:sz w:val="20"/>
              </w:rPr>
            </w:pPr>
            <w:r>
              <w:rPr>
                <w:sz w:val="20"/>
              </w:rPr>
              <w:t>J70.2,</w:t>
            </w:r>
            <w:r>
              <w:rPr>
                <w:spacing w:val="-6"/>
                <w:sz w:val="20"/>
              </w:rPr>
              <w:t> </w:t>
            </w:r>
            <w:r>
              <w:rPr>
                <w:sz w:val="20"/>
              </w:rPr>
              <w:t>J70.3,</w:t>
            </w:r>
            <w:r>
              <w:rPr>
                <w:spacing w:val="-5"/>
                <w:sz w:val="20"/>
              </w:rPr>
              <w:t> </w:t>
            </w:r>
            <w:r>
              <w:rPr>
                <w:sz w:val="20"/>
              </w:rPr>
              <w:t>J70.4,</w:t>
            </w:r>
            <w:r>
              <w:rPr>
                <w:spacing w:val="-5"/>
                <w:sz w:val="20"/>
              </w:rPr>
              <w:t> </w:t>
            </w:r>
            <w:r>
              <w:rPr>
                <w:sz w:val="20"/>
              </w:rPr>
              <w:t>J70.8,</w:t>
            </w:r>
            <w:r>
              <w:rPr>
                <w:spacing w:val="-5"/>
                <w:sz w:val="20"/>
              </w:rPr>
              <w:t> </w:t>
            </w:r>
            <w:r>
              <w:rPr>
                <w:sz w:val="20"/>
              </w:rPr>
              <w:t>J70.9,</w:t>
            </w:r>
            <w:r>
              <w:rPr>
                <w:spacing w:val="-3"/>
                <w:sz w:val="20"/>
              </w:rPr>
              <w:t> </w:t>
            </w:r>
            <w:r>
              <w:rPr>
                <w:sz w:val="20"/>
              </w:rPr>
              <w:t>J80,</w:t>
            </w:r>
            <w:r>
              <w:rPr>
                <w:spacing w:val="-5"/>
                <w:sz w:val="20"/>
              </w:rPr>
              <w:t> </w:t>
            </w:r>
            <w:r>
              <w:rPr>
                <w:sz w:val="20"/>
              </w:rPr>
              <w:t>J81,</w:t>
            </w:r>
            <w:r>
              <w:rPr>
                <w:spacing w:val="-3"/>
                <w:sz w:val="20"/>
              </w:rPr>
              <w:t> </w:t>
            </w:r>
            <w:r>
              <w:rPr>
                <w:spacing w:val="-4"/>
                <w:sz w:val="20"/>
              </w:rPr>
              <w:t>J82,</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56" w:right="902"/>
              <w:jc w:val="center"/>
              <w:rPr>
                <w:sz w:val="20"/>
              </w:rPr>
            </w:pPr>
            <w:r>
              <w:rPr>
                <w:sz w:val="20"/>
              </w:rPr>
              <w:t>J84,</w:t>
            </w:r>
            <w:r>
              <w:rPr>
                <w:spacing w:val="-6"/>
                <w:sz w:val="20"/>
              </w:rPr>
              <w:t> </w:t>
            </w:r>
            <w:r>
              <w:rPr>
                <w:sz w:val="20"/>
              </w:rPr>
              <w:t>J84.0,</w:t>
            </w:r>
            <w:r>
              <w:rPr>
                <w:spacing w:val="-6"/>
                <w:sz w:val="20"/>
              </w:rPr>
              <w:t> </w:t>
            </w:r>
            <w:r>
              <w:rPr>
                <w:sz w:val="20"/>
              </w:rPr>
              <w:t>J84.1,</w:t>
            </w:r>
            <w:r>
              <w:rPr>
                <w:spacing w:val="-6"/>
                <w:sz w:val="20"/>
              </w:rPr>
              <w:t> </w:t>
            </w:r>
            <w:r>
              <w:rPr>
                <w:sz w:val="20"/>
              </w:rPr>
              <w:t>J84.8,</w:t>
            </w:r>
            <w:r>
              <w:rPr>
                <w:spacing w:val="-4"/>
                <w:sz w:val="20"/>
              </w:rPr>
              <w:t> </w:t>
            </w:r>
            <w:r>
              <w:rPr>
                <w:sz w:val="20"/>
              </w:rPr>
              <w:t>J84.9,</w:t>
            </w:r>
            <w:r>
              <w:rPr>
                <w:spacing w:val="-6"/>
                <w:sz w:val="20"/>
              </w:rPr>
              <w:t> </w:t>
            </w:r>
            <w:r>
              <w:rPr>
                <w:sz w:val="20"/>
              </w:rPr>
              <w:t>J95,</w:t>
            </w:r>
            <w:r>
              <w:rPr>
                <w:spacing w:val="-4"/>
                <w:sz w:val="20"/>
              </w:rPr>
              <w:t> </w:t>
            </w:r>
            <w:r>
              <w:rPr>
                <w:sz w:val="20"/>
              </w:rPr>
              <w:t>J95.0,</w:t>
            </w:r>
            <w:r>
              <w:rPr>
                <w:spacing w:val="-4"/>
                <w:sz w:val="20"/>
              </w:rPr>
              <w:t> </w:t>
            </w:r>
            <w:r>
              <w:rPr>
                <w:spacing w:val="-2"/>
                <w:sz w:val="20"/>
              </w:rPr>
              <w:t>J95.1,</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1" w:lineRule="exact"/>
              <w:ind w:left="179" w:right="923"/>
              <w:jc w:val="center"/>
              <w:rPr>
                <w:sz w:val="20"/>
              </w:rPr>
            </w:pPr>
            <w:r>
              <w:rPr>
                <w:sz w:val="20"/>
              </w:rPr>
              <w:t>J95.2,</w:t>
            </w:r>
            <w:r>
              <w:rPr>
                <w:spacing w:val="-6"/>
                <w:sz w:val="20"/>
              </w:rPr>
              <w:t> </w:t>
            </w:r>
            <w:r>
              <w:rPr>
                <w:sz w:val="20"/>
              </w:rPr>
              <w:t>J95.3,</w:t>
            </w:r>
            <w:r>
              <w:rPr>
                <w:spacing w:val="-6"/>
                <w:sz w:val="20"/>
              </w:rPr>
              <w:t> </w:t>
            </w:r>
            <w:r>
              <w:rPr>
                <w:sz w:val="20"/>
              </w:rPr>
              <w:t>J95.4,</w:t>
            </w:r>
            <w:r>
              <w:rPr>
                <w:spacing w:val="-5"/>
                <w:sz w:val="20"/>
              </w:rPr>
              <w:t> </w:t>
            </w:r>
            <w:r>
              <w:rPr>
                <w:sz w:val="20"/>
              </w:rPr>
              <w:t>J95.5,</w:t>
            </w:r>
            <w:r>
              <w:rPr>
                <w:spacing w:val="-6"/>
                <w:sz w:val="20"/>
              </w:rPr>
              <w:t> </w:t>
            </w:r>
            <w:r>
              <w:rPr>
                <w:sz w:val="20"/>
              </w:rPr>
              <w:t>J95.8,</w:t>
            </w:r>
            <w:r>
              <w:rPr>
                <w:spacing w:val="-4"/>
                <w:sz w:val="20"/>
              </w:rPr>
              <w:t> </w:t>
            </w:r>
            <w:r>
              <w:rPr>
                <w:sz w:val="20"/>
              </w:rPr>
              <w:t>J95.9,</w:t>
            </w:r>
            <w:r>
              <w:rPr>
                <w:spacing w:val="-4"/>
                <w:sz w:val="20"/>
              </w:rPr>
              <w:t> </w:t>
            </w:r>
            <w:r>
              <w:rPr>
                <w:sz w:val="20"/>
              </w:rPr>
              <w:t>J96,</w:t>
            </w:r>
            <w:r>
              <w:rPr>
                <w:spacing w:val="-5"/>
                <w:sz w:val="20"/>
              </w:rPr>
              <w:t> </w:t>
            </w:r>
            <w:r>
              <w:rPr>
                <w:spacing w:val="-2"/>
                <w:sz w:val="20"/>
              </w:rPr>
              <w:t>J96.0,</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79" w:right="923"/>
              <w:jc w:val="center"/>
              <w:rPr>
                <w:sz w:val="20"/>
              </w:rPr>
            </w:pPr>
            <w:r>
              <w:rPr>
                <w:sz w:val="20"/>
              </w:rPr>
              <w:t>J96.1,</w:t>
            </w:r>
            <w:r>
              <w:rPr>
                <w:spacing w:val="-6"/>
                <w:sz w:val="20"/>
              </w:rPr>
              <w:t> </w:t>
            </w:r>
            <w:r>
              <w:rPr>
                <w:sz w:val="20"/>
              </w:rPr>
              <w:t>J96.9,</w:t>
            </w:r>
            <w:r>
              <w:rPr>
                <w:spacing w:val="-6"/>
                <w:sz w:val="20"/>
              </w:rPr>
              <w:t> </w:t>
            </w:r>
            <w:r>
              <w:rPr>
                <w:sz w:val="20"/>
              </w:rPr>
              <w:t>J98,</w:t>
            </w:r>
            <w:r>
              <w:rPr>
                <w:spacing w:val="-5"/>
                <w:sz w:val="20"/>
              </w:rPr>
              <w:t> </w:t>
            </w:r>
            <w:r>
              <w:rPr>
                <w:sz w:val="20"/>
              </w:rPr>
              <w:t>J98.0,</w:t>
            </w:r>
            <w:r>
              <w:rPr>
                <w:spacing w:val="-4"/>
                <w:sz w:val="20"/>
              </w:rPr>
              <w:t> </w:t>
            </w:r>
            <w:r>
              <w:rPr>
                <w:sz w:val="20"/>
              </w:rPr>
              <w:t>J98.1,</w:t>
            </w:r>
            <w:r>
              <w:rPr>
                <w:spacing w:val="-5"/>
                <w:sz w:val="20"/>
              </w:rPr>
              <w:t> </w:t>
            </w:r>
            <w:r>
              <w:rPr>
                <w:sz w:val="20"/>
              </w:rPr>
              <w:t>J98.2,</w:t>
            </w:r>
            <w:r>
              <w:rPr>
                <w:spacing w:val="-6"/>
                <w:sz w:val="20"/>
              </w:rPr>
              <w:t> </w:t>
            </w:r>
            <w:r>
              <w:rPr>
                <w:sz w:val="20"/>
              </w:rPr>
              <w:t>J98.3,</w:t>
            </w:r>
            <w:r>
              <w:rPr>
                <w:spacing w:val="-5"/>
                <w:sz w:val="20"/>
              </w:rPr>
              <w:t> </w:t>
            </w:r>
            <w:r>
              <w:rPr>
                <w:spacing w:val="-2"/>
                <w:sz w:val="20"/>
              </w:rPr>
              <w:t>J98.4,</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09" w:lineRule="exact"/>
              <w:ind w:left="179" w:right="923"/>
              <w:jc w:val="center"/>
              <w:rPr>
                <w:sz w:val="20"/>
              </w:rPr>
            </w:pPr>
            <w:r>
              <w:rPr>
                <w:sz w:val="20"/>
              </w:rPr>
              <w:t>J98.5,</w:t>
            </w:r>
            <w:r>
              <w:rPr>
                <w:spacing w:val="-6"/>
                <w:sz w:val="20"/>
              </w:rPr>
              <w:t> </w:t>
            </w:r>
            <w:r>
              <w:rPr>
                <w:sz w:val="20"/>
              </w:rPr>
              <w:t>J98.6,</w:t>
            </w:r>
            <w:r>
              <w:rPr>
                <w:spacing w:val="-5"/>
                <w:sz w:val="20"/>
              </w:rPr>
              <w:t> </w:t>
            </w:r>
            <w:r>
              <w:rPr>
                <w:sz w:val="20"/>
              </w:rPr>
              <w:t>J98.7,</w:t>
            </w:r>
            <w:r>
              <w:rPr>
                <w:spacing w:val="-6"/>
                <w:sz w:val="20"/>
              </w:rPr>
              <w:t> </w:t>
            </w:r>
            <w:r>
              <w:rPr>
                <w:sz w:val="20"/>
              </w:rPr>
              <w:t>J98.8,</w:t>
            </w:r>
            <w:r>
              <w:rPr>
                <w:spacing w:val="-5"/>
                <w:sz w:val="20"/>
              </w:rPr>
              <w:t> </w:t>
            </w:r>
            <w:r>
              <w:rPr>
                <w:sz w:val="20"/>
              </w:rPr>
              <w:t>J98.9,</w:t>
            </w:r>
            <w:r>
              <w:rPr>
                <w:spacing w:val="-4"/>
                <w:sz w:val="20"/>
              </w:rPr>
              <w:t> </w:t>
            </w:r>
            <w:r>
              <w:rPr>
                <w:sz w:val="20"/>
              </w:rPr>
              <w:t>J99,</w:t>
            </w:r>
            <w:r>
              <w:rPr>
                <w:spacing w:val="-5"/>
                <w:sz w:val="20"/>
              </w:rPr>
              <w:t> </w:t>
            </w:r>
            <w:r>
              <w:rPr>
                <w:sz w:val="20"/>
              </w:rPr>
              <w:t>J99.0,</w:t>
            </w:r>
            <w:r>
              <w:rPr>
                <w:spacing w:val="-5"/>
                <w:sz w:val="20"/>
              </w:rPr>
              <w:t> </w:t>
            </w:r>
            <w:r>
              <w:rPr>
                <w:spacing w:val="-2"/>
                <w:sz w:val="20"/>
              </w:rPr>
              <w:t>J99.1,</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57" w:right="902"/>
              <w:jc w:val="center"/>
              <w:rPr>
                <w:sz w:val="20"/>
              </w:rPr>
            </w:pPr>
            <w:r>
              <w:rPr>
                <w:sz w:val="20"/>
              </w:rPr>
              <w:t>J99.8,</w:t>
            </w:r>
            <w:r>
              <w:rPr>
                <w:spacing w:val="-5"/>
                <w:sz w:val="20"/>
              </w:rPr>
              <w:t> </w:t>
            </w:r>
            <w:r>
              <w:rPr>
                <w:sz w:val="20"/>
              </w:rPr>
              <w:t>Q34,</w:t>
            </w:r>
            <w:r>
              <w:rPr>
                <w:spacing w:val="-5"/>
                <w:sz w:val="20"/>
              </w:rPr>
              <w:t> </w:t>
            </w:r>
            <w:r>
              <w:rPr>
                <w:sz w:val="20"/>
              </w:rPr>
              <w:t>Q34.0,</w:t>
            </w:r>
            <w:r>
              <w:rPr>
                <w:spacing w:val="-5"/>
                <w:sz w:val="20"/>
              </w:rPr>
              <w:t> </w:t>
            </w:r>
            <w:r>
              <w:rPr>
                <w:sz w:val="20"/>
              </w:rPr>
              <w:t>Q34.1,</w:t>
            </w:r>
            <w:r>
              <w:rPr>
                <w:spacing w:val="-5"/>
                <w:sz w:val="20"/>
              </w:rPr>
              <w:t> </w:t>
            </w:r>
            <w:r>
              <w:rPr>
                <w:sz w:val="20"/>
              </w:rPr>
              <w:t>Q34.8,</w:t>
            </w:r>
            <w:r>
              <w:rPr>
                <w:spacing w:val="-4"/>
                <w:sz w:val="20"/>
              </w:rPr>
              <w:t> </w:t>
            </w:r>
            <w:r>
              <w:rPr>
                <w:sz w:val="20"/>
              </w:rPr>
              <w:t>Q34.9,</w:t>
            </w:r>
            <w:r>
              <w:rPr>
                <w:spacing w:val="-7"/>
                <w:sz w:val="20"/>
              </w:rPr>
              <w:t> </w:t>
            </w:r>
            <w:r>
              <w:rPr>
                <w:spacing w:val="-2"/>
                <w:sz w:val="20"/>
              </w:rPr>
              <w:t>T17.4,</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26" w:lineRule="exact"/>
              <w:ind w:left="161" w:right="902"/>
              <w:jc w:val="center"/>
              <w:rPr>
                <w:sz w:val="20"/>
              </w:rPr>
            </w:pPr>
            <w:r>
              <w:rPr>
                <w:sz w:val="20"/>
              </w:rPr>
              <w:t>T17.5,</w:t>
            </w:r>
            <w:r>
              <w:rPr>
                <w:spacing w:val="-7"/>
                <w:sz w:val="20"/>
              </w:rPr>
              <w:t> </w:t>
            </w:r>
            <w:r>
              <w:rPr>
                <w:sz w:val="20"/>
              </w:rPr>
              <w:t>T17.8,</w:t>
            </w:r>
            <w:r>
              <w:rPr>
                <w:spacing w:val="-5"/>
                <w:sz w:val="20"/>
              </w:rPr>
              <w:t> </w:t>
            </w:r>
            <w:r>
              <w:rPr>
                <w:sz w:val="20"/>
              </w:rPr>
              <w:t>T17.9,</w:t>
            </w:r>
            <w:r>
              <w:rPr>
                <w:spacing w:val="-5"/>
                <w:sz w:val="20"/>
              </w:rPr>
              <w:t> </w:t>
            </w:r>
            <w:r>
              <w:rPr>
                <w:spacing w:val="-4"/>
                <w:sz w:val="20"/>
              </w:rPr>
              <w:t>T91.4</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st23.002</w:t>
            </w:r>
          </w:p>
        </w:tc>
        <w:tc>
          <w:tcPr>
            <w:tcW w:w="707" w:type="dxa"/>
          </w:tcPr>
          <w:p>
            <w:pPr>
              <w:pStyle w:val="TableParagraph"/>
              <w:spacing w:line="214" w:lineRule="exact" w:before="46"/>
              <w:ind w:left="210"/>
              <w:rPr>
                <w:sz w:val="20"/>
              </w:rPr>
            </w:pPr>
            <w:r>
              <w:rPr>
                <w:spacing w:val="-5"/>
                <w:sz w:val="20"/>
              </w:rPr>
              <w:t>228</w:t>
            </w:r>
          </w:p>
        </w:tc>
        <w:tc>
          <w:tcPr>
            <w:tcW w:w="2532" w:type="dxa"/>
          </w:tcPr>
          <w:p>
            <w:pPr>
              <w:pStyle w:val="TableParagraph"/>
              <w:spacing w:line="214" w:lineRule="exact" w:before="46"/>
              <w:ind w:left="192"/>
              <w:rPr>
                <w:sz w:val="20"/>
              </w:rPr>
            </w:pPr>
            <w:r>
              <w:rPr>
                <w:spacing w:val="-2"/>
                <w:sz w:val="20"/>
              </w:rPr>
              <w:t>Интерстициальные</w:t>
            </w:r>
          </w:p>
        </w:tc>
        <w:tc>
          <w:tcPr>
            <w:tcW w:w="5117" w:type="dxa"/>
          </w:tcPr>
          <w:p>
            <w:pPr>
              <w:pStyle w:val="TableParagraph"/>
              <w:spacing w:line="214" w:lineRule="exact" w:before="46"/>
              <w:ind w:left="162" w:right="902"/>
              <w:jc w:val="center"/>
              <w:rPr>
                <w:sz w:val="20"/>
              </w:rPr>
            </w:pPr>
            <w:r>
              <w:rPr>
                <w:sz w:val="20"/>
              </w:rPr>
              <w:t>J67,</w:t>
            </w:r>
            <w:r>
              <w:rPr>
                <w:spacing w:val="-6"/>
                <w:sz w:val="20"/>
              </w:rPr>
              <w:t> </w:t>
            </w:r>
            <w:r>
              <w:rPr>
                <w:sz w:val="20"/>
              </w:rPr>
              <w:t>J67.0,</w:t>
            </w:r>
            <w:r>
              <w:rPr>
                <w:spacing w:val="-5"/>
                <w:sz w:val="20"/>
              </w:rPr>
              <w:t> </w:t>
            </w:r>
            <w:r>
              <w:rPr>
                <w:sz w:val="20"/>
              </w:rPr>
              <w:t>J67.1,</w:t>
            </w:r>
            <w:r>
              <w:rPr>
                <w:spacing w:val="-5"/>
                <w:sz w:val="20"/>
              </w:rPr>
              <w:t> </w:t>
            </w:r>
            <w:r>
              <w:rPr>
                <w:sz w:val="20"/>
              </w:rPr>
              <w:t>J67.2,</w:t>
            </w:r>
            <w:r>
              <w:rPr>
                <w:spacing w:val="-3"/>
                <w:sz w:val="20"/>
              </w:rPr>
              <w:t> </w:t>
            </w:r>
            <w:r>
              <w:rPr>
                <w:sz w:val="20"/>
              </w:rPr>
              <w:t>J67.3,</w:t>
            </w:r>
            <w:r>
              <w:rPr>
                <w:spacing w:val="-5"/>
                <w:sz w:val="20"/>
              </w:rPr>
              <w:t> </w:t>
            </w:r>
            <w:r>
              <w:rPr>
                <w:sz w:val="20"/>
              </w:rPr>
              <w:t>J67.4,</w:t>
            </w:r>
            <w:r>
              <w:rPr>
                <w:spacing w:val="-5"/>
                <w:sz w:val="20"/>
              </w:rPr>
              <w:t> </w:t>
            </w:r>
            <w:r>
              <w:rPr>
                <w:sz w:val="20"/>
              </w:rPr>
              <w:t>J67.5,</w:t>
            </w:r>
            <w:r>
              <w:rPr>
                <w:spacing w:val="-5"/>
                <w:sz w:val="20"/>
              </w:rPr>
              <w:t> </w:t>
            </w:r>
            <w:r>
              <w:rPr>
                <w:spacing w:val="-2"/>
                <w:sz w:val="20"/>
              </w:rPr>
              <w:t>J67.6,</w:t>
            </w:r>
          </w:p>
        </w:tc>
        <w:tc>
          <w:tcPr>
            <w:tcW w:w="1989" w:type="dxa"/>
          </w:tcPr>
          <w:p>
            <w:pPr>
              <w:pStyle w:val="TableParagraph"/>
              <w:spacing w:line="214" w:lineRule="exact" w:before="46"/>
              <w:ind w:left="918"/>
              <w:rPr>
                <w:sz w:val="20"/>
              </w:rPr>
            </w:pPr>
            <w:r>
              <w:rPr>
                <w:w w:val="99"/>
                <w:sz w:val="20"/>
              </w:rPr>
              <w:t>-</w:t>
            </w:r>
          </w:p>
        </w:tc>
        <w:tc>
          <w:tcPr>
            <w:tcW w:w="3120" w:type="dxa"/>
          </w:tcPr>
          <w:p>
            <w:pPr>
              <w:pStyle w:val="TableParagraph"/>
              <w:spacing w:line="214" w:lineRule="exact" w:before="46"/>
              <w:ind w:left="992" w:right="453"/>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2,48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09" w:lineRule="exact"/>
              <w:ind w:left="192"/>
              <w:rPr>
                <w:sz w:val="20"/>
              </w:rPr>
            </w:pPr>
            <w:r>
              <w:rPr>
                <w:sz w:val="20"/>
              </w:rPr>
              <w:t>болезни</w:t>
            </w:r>
            <w:r>
              <w:rPr>
                <w:spacing w:val="-8"/>
                <w:sz w:val="20"/>
              </w:rPr>
              <w:t> </w:t>
            </w:r>
            <w:r>
              <w:rPr>
                <w:spacing w:val="-2"/>
                <w:sz w:val="20"/>
              </w:rPr>
              <w:t>легких,</w:t>
            </w:r>
          </w:p>
        </w:tc>
        <w:tc>
          <w:tcPr>
            <w:tcW w:w="5117" w:type="dxa"/>
          </w:tcPr>
          <w:p>
            <w:pPr>
              <w:pStyle w:val="TableParagraph"/>
              <w:spacing w:line="209" w:lineRule="exact"/>
              <w:ind w:left="179" w:right="923"/>
              <w:jc w:val="center"/>
              <w:rPr>
                <w:sz w:val="20"/>
              </w:rPr>
            </w:pPr>
            <w:r>
              <w:rPr>
                <w:sz w:val="20"/>
              </w:rPr>
              <w:t>J67.7,</w:t>
            </w:r>
            <w:r>
              <w:rPr>
                <w:spacing w:val="-6"/>
                <w:sz w:val="20"/>
              </w:rPr>
              <w:t> </w:t>
            </w:r>
            <w:r>
              <w:rPr>
                <w:sz w:val="20"/>
              </w:rPr>
              <w:t>J67.8,</w:t>
            </w:r>
            <w:r>
              <w:rPr>
                <w:spacing w:val="-6"/>
                <w:sz w:val="20"/>
              </w:rPr>
              <w:t> </w:t>
            </w:r>
            <w:r>
              <w:rPr>
                <w:sz w:val="20"/>
              </w:rPr>
              <w:t>J67.9,</w:t>
            </w:r>
            <w:r>
              <w:rPr>
                <w:spacing w:val="-5"/>
                <w:sz w:val="20"/>
              </w:rPr>
              <w:t> </w:t>
            </w:r>
            <w:r>
              <w:rPr>
                <w:sz w:val="20"/>
              </w:rPr>
              <w:t>J68,</w:t>
            </w:r>
            <w:r>
              <w:rPr>
                <w:spacing w:val="-4"/>
                <w:sz w:val="20"/>
              </w:rPr>
              <w:t> </w:t>
            </w:r>
            <w:r>
              <w:rPr>
                <w:sz w:val="20"/>
              </w:rPr>
              <w:t>J68.0,</w:t>
            </w:r>
            <w:r>
              <w:rPr>
                <w:spacing w:val="-5"/>
                <w:sz w:val="20"/>
              </w:rPr>
              <w:t> </w:t>
            </w:r>
            <w:r>
              <w:rPr>
                <w:sz w:val="20"/>
              </w:rPr>
              <w:t>J68.1,</w:t>
            </w:r>
            <w:r>
              <w:rPr>
                <w:spacing w:val="-6"/>
                <w:sz w:val="20"/>
              </w:rPr>
              <w:t> </w:t>
            </w:r>
            <w:r>
              <w:rPr>
                <w:sz w:val="20"/>
              </w:rPr>
              <w:t>J68.2,</w:t>
            </w:r>
            <w:r>
              <w:rPr>
                <w:spacing w:val="-5"/>
                <w:sz w:val="20"/>
              </w:rPr>
              <w:t> </w:t>
            </w:r>
            <w:r>
              <w:rPr>
                <w:spacing w:val="-2"/>
                <w:sz w:val="20"/>
              </w:rPr>
              <w:t>J68.3,</w:t>
            </w:r>
          </w:p>
        </w:tc>
        <w:tc>
          <w:tcPr>
            <w:tcW w:w="1989" w:type="dxa"/>
          </w:tcPr>
          <w:p>
            <w:pPr>
              <w:pStyle w:val="TableParagraph"/>
              <w:rPr>
                <w:sz w:val="16"/>
              </w:rPr>
            </w:pPr>
          </w:p>
        </w:tc>
        <w:tc>
          <w:tcPr>
            <w:tcW w:w="3120" w:type="dxa"/>
          </w:tcPr>
          <w:p>
            <w:pPr>
              <w:pStyle w:val="TableParagraph"/>
              <w:spacing w:line="209" w:lineRule="exact"/>
              <w:ind w:left="990" w:right="454"/>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pacing w:val="-2"/>
                <w:sz w:val="20"/>
              </w:rPr>
              <w:t>врожденные</w:t>
            </w:r>
            <w:r>
              <w:rPr>
                <w:spacing w:val="7"/>
                <w:sz w:val="20"/>
              </w:rPr>
              <w:t> </w:t>
            </w:r>
            <w:r>
              <w:rPr>
                <w:spacing w:val="-2"/>
                <w:sz w:val="20"/>
              </w:rPr>
              <w:t>аномалии</w:t>
            </w:r>
          </w:p>
        </w:tc>
        <w:tc>
          <w:tcPr>
            <w:tcW w:w="5117" w:type="dxa"/>
          </w:tcPr>
          <w:p>
            <w:pPr>
              <w:pStyle w:val="TableParagraph"/>
              <w:spacing w:line="210" w:lineRule="exact"/>
              <w:ind w:left="156" w:right="902"/>
              <w:jc w:val="center"/>
              <w:rPr>
                <w:sz w:val="20"/>
              </w:rPr>
            </w:pPr>
            <w:r>
              <w:rPr>
                <w:sz w:val="20"/>
              </w:rPr>
              <w:t>J68.4,</w:t>
            </w:r>
            <w:r>
              <w:rPr>
                <w:spacing w:val="-6"/>
                <w:sz w:val="20"/>
              </w:rPr>
              <w:t> </w:t>
            </w:r>
            <w:r>
              <w:rPr>
                <w:sz w:val="20"/>
              </w:rPr>
              <w:t>J68.8,</w:t>
            </w:r>
            <w:r>
              <w:rPr>
                <w:spacing w:val="-6"/>
                <w:sz w:val="20"/>
              </w:rPr>
              <w:t> </w:t>
            </w:r>
            <w:r>
              <w:rPr>
                <w:sz w:val="20"/>
              </w:rPr>
              <w:t>J68.9,</w:t>
            </w:r>
            <w:r>
              <w:rPr>
                <w:spacing w:val="-5"/>
                <w:sz w:val="20"/>
              </w:rPr>
              <w:t> </w:t>
            </w:r>
            <w:r>
              <w:rPr>
                <w:sz w:val="20"/>
              </w:rPr>
              <w:t>J69,</w:t>
            </w:r>
            <w:r>
              <w:rPr>
                <w:spacing w:val="-4"/>
                <w:sz w:val="20"/>
              </w:rPr>
              <w:t> </w:t>
            </w:r>
            <w:r>
              <w:rPr>
                <w:sz w:val="20"/>
              </w:rPr>
              <w:t>J69.0,</w:t>
            </w:r>
            <w:r>
              <w:rPr>
                <w:spacing w:val="-5"/>
                <w:sz w:val="20"/>
              </w:rPr>
              <w:t> </w:t>
            </w:r>
            <w:r>
              <w:rPr>
                <w:sz w:val="20"/>
              </w:rPr>
              <w:t>J69.1,</w:t>
            </w:r>
            <w:r>
              <w:rPr>
                <w:spacing w:val="-6"/>
                <w:sz w:val="20"/>
              </w:rPr>
              <w:t> </w:t>
            </w:r>
            <w:r>
              <w:rPr>
                <w:sz w:val="20"/>
              </w:rPr>
              <w:t>J69.8,</w:t>
            </w:r>
            <w:r>
              <w:rPr>
                <w:spacing w:val="-5"/>
                <w:sz w:val="20"/>
              </w:rPr>
              <w:t> </w:t>
            </w:r>
            <w:r>
              <w:rPr>
                <w:spacing w:val="-4"/>
                <w:sz w:val="20"/>
              </w:rPr>
              <w:t>J70,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развития</w:t>
            </w:r>
            <w:r>
              <w:rPr>
                <w:spacing w:val="-11"/>
                <w:sz w:val="20"/>
              </w:rPr>
              <w:t> </w:t>
            </w:r>
            <w:r>
              <w:rPr>
                <w:sz w:val="20"/>
              </w:rPr>
              <w:t>легких,</w:t>
            </w:r>
            <w:r>
              <w:rPr>
                <w:spacing w:val="-9"/>
                <w:sz w:val="20"/>
              </w:rPr>
              <w:t> </w:t>
            </w:r>
            <w:r>
              <w:rPr>
                <w:spacing w:val="-2"/>
                <w:sz w:val="20"/>
              </w:rPr>
              <w:t>бронхо-</w:t>
            </w:r>
          </w:p>
        </w:tc>
        <w:tc>
          <w:tcPr>
            <w:tcW w:w="5117" w:type="dxa"/>
          </w:tcPr>
          <w:p>
            <w:pPr>
              <w:pStyle w:val="TableParagraph"/>
              <w:spacing w:line="210" w:lineRule="exact"/>
              <w:ind w:left="179" w:right="923"/>
              <w:jc w:val="center"/>
              <w:rPr>
                <w:sz w:val="20"/>
              </w:rPr>
            </w:pPr>
            <w:r>
              <w:rPr>
                <w:sz w:val="20"/>
              </w:rPr>
              <w:t>J70.0,</w:t>
            </w:r>
            <w:r>
              <w:rPr>
                <w:spacing w:val="-7"/>
                <w:sz w:val="20"/>
              </w:rPr>
              <w:t> </w:t>
            </w:r>
            <w:r>
              <w:rPr>
                <w:sz w:val="20"/>
              </w:rPr>
              <w:t>J70.1,</w:t>
            </w:r>
            <w:r>
              <w:rPr>
                <w:spacing w:val="-6"/>
                <w:sz w:val="20"/>
              </w:rPr>
              <w:t> </w:t>
            </w:r>
            <w:r>
              <w:rPr>
                <w:sz w:val="20"/>
              </w:rPr>
              <w:t>J70.2,</w:t>
            </w:r>
            <w:r>
              <w:rPr>
                <w:spacing w:val="-6"/>
                <w:sz w:val="20"/>
              </w:rPr>
              <w:t> </w:t>
            </w:r>
            <w:r>
              <w:rPr>
                <w:sz w:val="20"/>
              </w:rPr>
              <w:t>J70.3,</w:t>
            </w:r>
            <w:r>
              <w:rPr>
                <w:spacing w:val="-6"/>
                <w:sz w:val="20"/>
              </w:rPr>
              <w:t> </w:t>
            </w:r>
            <w:r>
              <w:rPr>
                <w:sz w:val="20"/>
              </w:rPr>
              <w:t>J70.4,</w:t>
            </w:r>
            <w:r>
              <w:rPr>
                <w:spacing w:val="-4"/>
                <w:sz w:val="20"/>
              </w:rPr>
              <w:t> </w:t>
            </w:r>
            <w:r>
              <w:rPr>
                <w:sz w:val="20"/>
              </w:rPr>
              <w:t>J70.8,</w:t>
            </w:r>
            <w:r>
              <w:rPr>
                <w:spacing w:val="-5"/>
                <w:sz w:val="20"/>
              </w:rPr>
              <w:t> </w:t>
            </w:r>
            <w:r>
              <w:rPr>
                <w:sz w:val="20"/>
              </w:rPr>
              <w:t>J70.9,</w:t>
            </w:r>
            <w:r>
              <w:rPr>
                <w:spacing w:val="-4"/>
                <w:sz w:val="20"/>
              </w:rPr>
              <w:t> J84,</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легочная</w:t>
            </w:r>
            <w:r>
              <w:rPr>
                <w:spacing w:val="-9"/>
                <w:sz w:val="20"/>
              </w:rPr>
              <w:t> </w:t>
            </w:r>
            <w:r>
              <w:rPr>
                <w:sz w:val="20"/>
              </w:rPr>
              <w:t>дисплазия,</w:t>
            </w:r>
            <w:r>
              <w:rPr>
                <w:spacing w:val="-10"/>
                <w:sz w:val="20"/>
              </w:rPr>
              <w:t> </w:t>
            </w:r>
            <w:r>
              <w:rPr>
                <w:spacing w:val="-4"/>
                <w:sz w:val="20"/>
              </w:rPr>
              <w:t>дети</w:t>
            </w:r>
          </w:p>
        </w:tc>
        <w:tc>
          <w:tcPr>
            <w:tcW w:w="5117" w:type="dxa"/>
          </w:tcPr>
          <w:p>
            <w:pPr>
              <w:pStyle w:val="TableParagraph"/>
              <w:spacing w:line="210" w:lineRule="exact"/>
              <w:ind w:left="179" w:right="923"/>
              <w:jc w:val="center"/>
              <w:rPr>
                <w:sz w:val="20"/>
              </w:rPr>
            </w:pPr>
            <w:r>
              <w:rPr>
                <w:sz w:val="20"/>
              </w:rPr>
              <w:t>J84.0,</w:t>
            </w:r>
            <w:r>
              <w:rPr>
                <w:spacing w:val="-6"/>
                <w:sz w:val="20"/>
              </w:rPr>
              <w:t> </w:t>
            </w:r>
            <w:r>
              <w:rPr>
                <w:sz w:val="20"/>
              </w:rPr>
              <w:t>J84.1,</w:t>
            </w:r>
            <w:r>
              <w:rPr>
                <w:spacing w:val="-5"/>
                <w:sz w:val="20"/>
              </w:rPr>
              <w:t> </w:t>
            </w:r>
            <w:r>
              <w:rPr>
                <w:sz w:val="20"/>
              </w:rPr>
              <w:t>J84.8,</w:t>
            </w:r>
            <w:r>
              <w:rPr>
                <w:spacing w:val="-6"/>
                <w:sz w:val="20"/>
              </w:rPr>
              <w:t> </w:t>
            </w:r>
            <w:r>
              <w:rPr>
                <w:sz w:val="20"/>
              </w:rPr>
              <w:t>J84.9,</w:t>
            </w:r>
            <w:r>
              <w:rPr>
                <w:spacing w:val="-5"/>
                <w:sz w:val="20"/>
              </w:rPr>
              <w:t> </w:t>
            </w:r>
            <w:r>
              <w:rPr>
                <w:sz w:val="20"/>
              </w:rPr>
              <w:t>J98.2,</w:t>
            </w:r>
            <w:r>
              <w:rPr>
                <w:spacing w:val="-4"/>
                <w:sz w:val="20"/>
              </w:rPr>
              <w:t> </w:t>
            </w:r>
            <w:r>
              <w:rPr>
                <w:sz w:val="20"/>
              </w:rPr>
              <w:t>J99,</w:t>
            </w:r>
            <w:r>
              <w:rPr>
                <w:spacing w:val="-5"/>
                <w:sz w:val="20"/>
              </w:rPr>
              <w:t> </w:t>
            </w:r>
            <w:r>
              <w:rPr>
                <w:sz w:val="20"/>
              </w:rPr>
              <w:t>J99.0,</w:t>
            </w:r>
            <w:r>
              <w:rPr>
                <w:spacing w:val="-5"/>
                <w:sz w:val="20"/>
              </w:rPr>
              <w:t> </w:t>
            </w:r>
            <w:r>
              <w:rPr>
                <w:spacing w:val="-2"/>
                <w:sz w:val="20"/>
              </w:rPr>
              <w:t>J99.1,</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10" w:lineRule="exact"/>
              <w:ind w:left="161" w:right="902"/>
              <w:jc w:val="center"/>
              <w:rPr>
                <w:sz w:val="20"/>
              </w:rPr>
            </w:pPr>
            <w:r>
              <w:rPr>
                <w:sz w:val="20"/>
              </w:rPr>
              <w:t>J99.8,</w:t>
            </w:r>
            <w:r>
              <w:rPr>
                <w:spacing w:val="-6"/>
                <w:sz w:val="20"/>
              </w:rPr>
              <w:t> </w:t>
            </w:r>
            <w:r>
              <w:rPr>
                <w:sz w:val="20"/>
              </w:rPr>
              <w:t>P27.0,</w:t>
            </w:r>
            <w:r>
              <w:rPr>
                <w:spacing w:val="-5"/>
                <w:sz w:val="20"/>
              </w:rPr>
              <w:t> </w:t>
            </w:r>
            <w:r>
              <w:rPr>
                <w:sz w:val="20"/>
              </w:rPr>
              <w:t>P27.1,</w:t>
            </w:r>
            <w:r>
              <w:rPr>
                <w:spacing w:val="-5"/>
                <w:sz w:val="20"/>
              </w:rPr>
              <w:t> </w:t>
            </w:r>
            <w:r>
              <w:rPr>
                <w:sz w:val="20"/>
              </w:rPr>
              <w:t>P27.8,</w:t>
            </w:r>
            <w:r>
              <w:rPr>
                <w:spacing w:val="-5"/>
                <w:sz w:val="20"/>
              </w:rPr>
              <w:t> </w:t>
            </w:r>
            <w:r>
              <w:rPr>
                <w:sz w:val="20"/>
              </w:rPr>
              <w:t>P27.9,</w:t>
            </w:r>
            <w:r>
              <w:rPr>
                <w:spacing w:val="-3"/>
                <w:sz w:val="20"/>
              </w:rPr>
              <w:t> </w:t>
            </w:r>
            <w:r>
              <w:rPr>
                <w:sz w:val="20"/>
              </w:rPr>
              <w:t>Q32,</w:t>
            </w:r>
            <w:r>
              <w:rPr>
                <w:spacing w:val="-4"/>
                <w:sz w:val="20"/>
              </w:rPr>
              <w:t> </w:t>
            </w:r>
            <w:r>
              <w:rPr>
                <w:spacing w:val="-2"/>
                <w:sz w:val="20"/>
              </w:rPr>
              <w:t>Q32.0,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6" w:right="902"/>
              <w:jc w:val="center"/>
              <w:rPr>
                <w:sz w:val="20"/>
              </w:rPr>
            </w:pPr>
            <w:r>
              <w:rPr>
                <w:sz w:val="20"/>
              </w:rPr>
              <w:t>Q32.1,</w:t>
            </w:r>
            <w:r>
              <w:rPr>
                <w:spacing w:val="-4"/>
                <w:sz w:val="20"/>
              </w:rPr>
              <w:t> </w:t>
            </w:r>
            <w:r>
              <w:rPr>
                <w:sz w:val="20"/>
              </w:rPr>
              <w:t>Q32.2,</w:t>
            </w:r>
            <w:r>
              <w:rPr>
                <w:spacing w:val="-6"/>
                <w:sz w:val="20"/>
              </w:rPr>
              <w:t> </w:t>
            </w:r>
            <w:r>
              <w:rPr>
                <w:sz w:val="20"/>
              </w:rPr>
              <w:t>Q32.3,</w:t>
            </w:r>
            <w:r>
              <w:rPr>
                <w:spacing w:val="-4"/>
                <w:sz w:val="20"/>
              </w:rPr>
              <w:t> </w:t>
            </w:r>
            <w:r>
              <w:rPr>
                <w:sz w:val="20"/>
              </w:rPr>
              <w:t>Q32.4,</w:t>
            </w:r>
            <w:r>
              <w:rPr>
                <w:spacing w:val="-6"/>
                <w:sz w:val="20"/>
              </w:rPr>
              <w:t> </w:t>
            </w:r>
            <w:r>
              <w:rPr>
                <w:sz w:val="20"/>
              </w:rPr>
              <w:t>Q33,</w:t>
            </w:r>
            <w:r>
              <w:rPr>
                <w:spacing w:val="-4"/>
                <w:sz w:val="20"/>
              </w:rPr>
              <w:t> </w:t>
            </w:r>
            <w:r>
              <w:rPr>
                <w:sz w:val="20"/>
              </w:rPr>
              <w:t>Q33.0,</w:t>
            </w:r>
            <w:r>
              <w:rPr>
                <w:spacing w:val="-4"/>
                <w:sz w:val="20"/>
              </w:rPr>
              <w:t> </w:t>
            </w:r>
            <w:r>
              <w:rPr>
                <w:spacing w:val="-2"/>
                <w:sz w:val="20"/>
              </w:rPr>
              <w:t>Q33.1,</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9" w:right="902"/>
              <w:jc w:val="center"/>
              <w:rPr>
                <w:sz w:val="20"/>
              </w:rPr>
            </w:pPr>
            <w:r>
              <w:rPr>
                <w:sz w:val="20"/>
              </w:rPr>
              <w:t>Q33.2,</w:t>
            </w:r>
            <w:r>
              <w:rPr>
                <w:spacing w:val="-4"/>
                <w:sz w:val="20"/>
              </w:rPr>
              <w:t> </w:t>
            </w:r>
            <w:r>
              <w:rPr>
                <w:sz w:val="20"/>
              </w:rPr>
              <w:t>Q33.3,</w:t>
            </w:r>
            <w:r>
              <w:rPr>
                <w:spacing w:val="-6"/>
                <w:sz w:val="20"/>
              </w:rPr>
              <w:t> </w:t>
            </w:r>
            <w:r>
              <w:rPr>
                <w:sz w:val="20"/>
              </w:rPr>
              <w:t>Q33.4,</w:t>
            </w:r>
            <w:r>
              <w:rPr>
                <w:spacing w:val="-4"/>
                <w:sz w:val="20"/>
              </w:rPr>
              <w:t> </w:t>
            </w:r>
            <w:r>
              <w:rPr>
                <w:sz w:val="20"/>
              </w:rPr>
              <w:t>Q33.5,</w:t>
            </w:r>
            <w:r>
              <w:rPr>
                <w:spacing w:val="-6"/>
                <w:sz w:val="20"/>
              </w:rPr>
              <w:t> </w:t>
            </w:r>
            <w:r>
              <w:rPr>
                <w:sz w:val="20"/>
              </w:rPr>
              <w:t>Q33.6,</w:t>
            </w:r>
            <w:r>
              <w:rPr>
                <w:spacing w:val="-4"/>
                <w:sz w:val="20"/>
              </w:rPr>
              <w:t> </w:t>
            </w:r>
            <w:r>
              <w:rPr>
                <w:spacing w:val="-2"/>
                <w:sz w:val="20"/>
              </w:rPr>
              <w:t>Q33.8,</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2" w:type="dxa"/>
          </w:tcPr>
          <w:p>
            <w:pPr>
              <w:pStyle w:val="TableParagraph"/>
              <w:rPr>
                <w:sz w:val="18"/>
              </w:rPr>
            </w:pPr>
          </w:p>
        </w:tc>
        <w:tc>
          <w:tcPr>
            <w:tcW w:w="5117" w:type="dxa"/>
          </w:tcPr>
          <w:p>
            <w:pPr>
              <w:pStyle w:val="TableParagraph"/>
              <w:spacing w:line="226" w:lineRule="exact"/>
              <w:ind w:left="179" w:right="923"/>
              <w:jc w:val="center"/>
              <w:rPr>
                <w:sz w:val="20"/>
              </w:rPr>
            </w:pPr>
            <w:r>
              <w:rPr>
                <w:sz w:val="20"/>
              </w:rPr>
              <w:t>Q33.9,</w:t>
            </w:r>
            <w:r>
              <w:rPr>
                <w:spacing w:val="-5"/>
                <w:sz w:val="20"/>
              </w:rPr>
              <w:t> </w:t>
            </w:r>
            <w:r>
              <w:rPr>
                <w:sz w:val="20"/>
              </w:rPr>
              <w:t>Q34,</w:t>
            </w:r>
            <w:r>
              <w:rPr>
                <w:spacing w:val="-5"/>
                <w:sz w:val="20"/>
              </w:rPr>
              <w:t> </w:t>
            </w:r>
            <w:r>
              <w:rPr>
                <w:sz w:val="20"/>
              </w:rPr>
              <w:t>Q34.0,</w:t>
            </w:r>
            <w:r>
              <w:rPr>
                <w:spacing w:val="-5"/>
                <w:sz w:val="20"/>
              </w:rPr>
              <w:t> </w:t>
            </w:r>
            <w:r>
              <w:rPr>
                <w:sz w:val="20"/>
              </w:rPr>
              <w:t>Q34.1,</w:t>
            </w:r>
            <w:r>
              <w:rPr>
                <w:spacing w:val="-5"/>
                <w:sz w:val="20"/>
              </w:rPr>
              <w:t> </w:t>
            </w:r>
            <w:r>
              <w:rPr>
                <w:sz w:val="20"/>
              </w:rPr>
              <w:t>Q34.8,</w:t>
            </w:r>
            <w:r>
              <w:rPr>
                <w:spacing w:val="-5"/>
                <w:sz w:val="20"/>
              </w:rPr>
              <w:t> </w:t>
            </w:r>
            <w:r>
              <w:rPr>
                <w:spacing w:val="-4"/>
                <w:sz w:val="20"/>
              </w:rPr>
              <w:t>Q34.9</w:t>
            </w:r>
          </w:p>
        </w:tc>
        <w:tc>
          <w:tcPr>
            <w:tcW w:w="1989" w:type="dxa"/>
          </w:tcPr>
          <w:p>
            <w:pPr>
              <w:pStyle w:val="TableParagraph"/>
              <w:rPr>
                <w:sz w:val="18"/>
              </w:rPr>
            </w:pPr>
          </w:p>
        </w:tc>
        <w:tc>
          <w:tcPr>
            <w:tcW w:w="312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st23.003</w:t>
            </w:r>
          </w:p>
        </w:tc>
        <w:tc>
          <w:tcPr>
            <w:tcW w:w="707" w:type="dxa"/>
          </w:tcPr>
          <w:p>
            <w:pPr>
              <w:pStyle w:val="TableParagraph"/>
              <w:spacing w:line="214" w:lineRule="exact" w:before="46"/>
              <w:ind w:left="210"/>
              <w:rPr>
                <w:sz w:val="20"/>
              </w:rPr>
            </w:pPr>
            <w:r>
              <w:rPr>
                <w:spacing w:val="-5"/>
                <w:sz w:val="20"/>
              </w:rPr>
              <w:t>229</w:t>
            </w:r>
          </w:p>
        </w:tc>
        <w:tc>
          <w:tcPr>
            <w:tcW w:w="2532" w:type="dxa"/>
          </w:tcPr>
          <w:p>
            <w:pPr>
              <w:pStyle w:val="TableParagraph"/>
              <w:spacing w:line="214" w:lineRule="exact" w:before="46"/>
              <w:ind w:left="192"/>
              <w:rPr>
                <w:sz w:val="20"/>
              </w:rPr>
            </w:pPr>
            <w:r>
              <w:rPr>
                <w:spacing w:val="-2"/>
                <w:sz w:val="20"/>
              </w:rPr>
              <w:t>Доброкачественные</w:t>
            </w:r>
          </w:p>
        </w:tc>
        <w:tc>
          <w:tcPr>
            <w:tcW w:w="5117" w:type="dxa"/>
          </w:tcPr>
          <w:p>
            <w:pPr>
              <w:pStyle w:val="TableParagraph"/>
              <w:spacing w:line="214" w:lineRule="exact" w:before="46"/>
              <w:ind w:left="159" w:right="902"/>
              <w:jc w:val="center"/>
              <w:rPr>
                <w:sz w:val="20"/>
              </w:rPr>
            </w:pPr>
            <w:r>
              <w:rPr>
                <w:sz w:val="20"/>
              </w:rPr>
              <w:t>D02.1,</w:t>
            </w:r>
            <w:r>
              <w:rPr>
                <w:spacing w:val="-4"/>
                <w:sz w:val="20"/>
              </w:rPr>
              <w:t> </w:t>
            </w:r>
            <w:r>
              <w:rPr>
                <w:sz w:val="20"/>
              </w:rPr>
              <w:t>D02.2,</w:t>
            </w:r>
            <w:r>
              <w:rPr>
                <w:spacing w:val="-6"/>
                <w:sz w:val="20"/>
              </w:rPr>
              <w:t> </w:t>
            </w:r>
            <w:r>
              <w:rPr>
                <w:sz w:val="20"/>
              </w:rPr>
              <w:t>D02.3,</w:t>
            </w:r>
            <w:r>
              <w:rPr>
                <w:spacing w:val="-4"/>
                <w:sz w:val="20"/>
              </w:rPr>
              <w:t> </w:t>
            </w:r>
            <w:r>
              <w:rPr>
                <w:sz w:val="20"/>
              </w:rPr>
              <w:t>D02.4,</w:t>
            </w:r>
            <w:r>
              <w:rPr>
                <w:spacing w:val="-6"/>
                <w:sz w:val="20"/>
              </w:rPr>
              <w:t> </w:t>
            </w:r>
            <w:r>
              <w:rPr>
                <w:sz w:val="20"/>
              </w:rPr>
              <w:t>D14.2,</w:t>
            </w:r>
            <w:r>
              <w:rPr>
                <w:spacing w:val="-4"/>
                <w:sz w:val="20"/>
              </w:rPr>
              <w:t> </w:t>
            </w:r>
            <w:r>
              <w:rPr>
                <w:spacing w:val="-2"/>
                <w:sz w:val="20"/>
              </w:rPr>
              <w:t>D14.3,</w:t>
            </w:r>
          </w:p>
        </w:tc>
        <w:tc>
          <w:tcPr>
            <w:tcW w:w="1989" w:type="dxa"/>
          </w:tcPr>
          <w:p>
            <w:pPr>
              <w:pStyle w:val="TableParagraph"/>
              <w:spacing w:line="214" w:lineRule="exact" w:before="46"/>
              <w:ind w:left="918"/>
              <w:rPr>
                <w:sz w:val="20"/>
              </w:rPr>
            </w:pPr>
            <w:r>
              <w:rPr>
                <w:w w:val="99"/>
                <w:sz w:val="20"/>
              </w:rPr>
              <w:t>-</w:t>
            </w:r>
          </w:p>
        </w:tc>
        <w:tc>
          <w:tcPr>
            <w:tcW w:w="3120" w:type="dxa"/>
          </w:tcPr>
          <w:p>
            <w:pPr>
              <w:pStyle w:val="TableParagraph"/>
              <w:spacing w:line="214" w:lineRule="exact" w:before="46"/>
              <w:ind w:left="537"/>
              <w:jc w:val="center"/>
              <w:rPr>
                <w:sz w:val="20"/>
              </w:rPr>
            </w:pPr>
            <w:r>
              <w:rPr>
                <w:w w:val="99"/>
                <w:sz w:val="20"/>
              </w:rPr>
              <w:t>-</w:t>
            </w:r>
          </w:p>
        </w:tc>
        <w:tc>
          <w:tcPr>
            <w:tcW w:w="864" w:type="dxa"/>
          </w:tcPr>
          <w:p>
            <w:pPr>
              <w:pStyle w:val="TableParagraph"/>
              <w:spacing w:line="214" w:lineRule="exact" w:before="46"/>
              <w:ind w:right="49"/>
              <w:jc w:val="right"/>
              <w:rPr>
                <w:sz w:val="20"/>
              </w:rPr>
            </w:pPr>
            <w:r>
              <w:rPr>
                <w:spacing w:val="-4"/>
                <w:sz w:val="20"/>
              </w:rPr>
              <w:t>0,91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09" w:lineRule="exact"/>
              <w:ind w:left="192"/>
              <w:rPr>
                <w:sz w:val="20"/>
              </w:rPr>
            </w:pPr>
            <w:r>
              <w:rPr>
                <w:spacing w:val="-2"/>
                <w:sz w:val="20"/>
              </w:rPr>
              <w:t>новообразования,</w:t>
            </w:r>
          </w:p>
        </w:tc>
        <w:tc>
          <w:tcPr>
            <w:tcW w:w="5117" w:type="dxa"/>
          </w:tcPr>
          <w:p>
            <w:pPr>
              <w:pStyle w:val="TableParagraph"/>
              <w:spacing w:line="209" w:lineRule="exact"/>
              <w:ind w:left="159" w:right="902"/>
              <w:jc w:val="center"/>
              <w:rPr>
                <w:sz w:val="20"/>
              </w:rPr>
            </w:pPr>
            <w:r>
              <w:rPr>
                <w:sz w:val="20"/>
              </w:rPr>
              <w:t>D14.4,</w:t>
            </w:r>
            <w:r>
              <w:rPr>
                <w:spacing w:val="-4"/>
                <w:sz w:val="20"/>
              </w:rPr>
              <w:t> </w:t>
            </w:r>
            <w:r>
              <w:rPr>
                <w:sz w:val="20"/>
              </w:rPr>
              <w:t>D15.1,</w:t>
            </w:r>
            <w:r>
              <w:rPr>
                <w:spacing w:val="-6"/>
                <w:sz w:val="20"/>
              </w:rPr>
              <w:t> </w:t>
            </w:r>
            <w:r>
              <w:rPr>
                <w:sz w:val="20"/>
              </w:rPr>
              <w:t>D15.2,</w:t>
            </w:r>
            <w:r>
              <w:rPr>
                <w:spacing w:val="-4"/>
                <w:sz w:val="20"/>
              </w:rPr>
              <w:t> </w:t>
            </w:r>
            <w:r>
              <w:rPr>
                <w:sz w:val="20"/>
              </w:rPr>
              <w:t>D15.7,</w:t>
            </w:r>
            <w:r>
              <w:rPr>
                <w:spacing w:val="-6"/>
                <w:sz w:val="20"/>
              </w:rPr>
              <w:t> </w:t>
            </w:r>
            <w:r>
              <w:rPr>
                <w:sz w:val="20"/>
              </w:rPr>
              <w:t>D15.9,</w:t>
            </w:r>
            <w:r>
              <w:rPr>
                <w:spacing w:val="-4"/>
                <w:sz w:val="20"/>
              </w:rPr>
              <w:t> </w:t>
            </w:r>
            <w:r>
              <w:rPr>
                <w:spacing w:val="-2"/>
                <w:sz w:val="20"/>
              </w:rPr>
              <w:t>D16.7,</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новообразования</w:t>
            </w:r>
            <w:r>
              <w:rPr>
                <w:spacing w:val="-11"/>
                <w:sz w:val="20"/>
              </w:rPr>
              <w:t> </w:t>
            </w:r>
            <w:r>
              <w:rPr>
                <w:sz w:val="20"/>
              </w:rPr>
              <w:t>in</w:t>
            </w:r>
            <w:r>
              <w:rPr>
                <w:spacing w:val="-11"/>
                <w:sz w:val="20"/>
              </w:rPr>
              <w:t> </w:t>
            </w:r>
            <w:r>
              <w:rPr>
                <w:spacing w:val="-4"/>
                <w:sz w:val="20"/>
              </w:rPr>
              <w:t>situ</w:t>
            </w:r>
          </w:p>
        </w:tc>
        <w:tc>
          <w:tcPr>
            <w:tcW w:w="5117" w:type="dxa"/>
          </w:tcPr>
          <w:p>
            <w:pPr>
              <w:pStyle w:val="TableParagraph"/>
              <w:spacing w:line="210" w:lineRule="exact"/>
              <w:ind w:left="179" w:right="923"/>
              <w:jc w:val="center"/>
              <w:rPr>
                <w:sz w:val="20"/>
              </w:rPr>
            </w:pPr>
            <w:r>
              <w:rPr>
                <w:sz w:val="20"/>
              </w:rPr>
              <w:t>D19.0,</w:t>
            </w:r>
            <w:r>
              <w:rPr>
                <w:spacing w:val="-6"/>
                <w:sz w:val="20"/>
              </w:rPr>
              <w:t> </w:t>
            </w:r>
            <w:r>
              <w:rPr>
                <w:sz w:val="20"/>
              </w:rPr>
              <w:t>D36,</w:t>
            </w:r>
            <w:r>
              <w:rPr>
                <w:spacing w:val="-6"/>
                <w:sz w:val="20"/>
              </w:rPr>
              <w:t> </w:t>
            </w:r>
            <w:r>
              <w:rPr>
                <w:sz w:val="20"/>
              </w:rPr>
              <w:t>D36.0,</w:t>
            </w:r>
            <w:r>
              <w:rPr>
                <w:spacing w:val="-5"/>
                <w:sz w:val="20"/>
              </w:rPr>
              <w:t> </w:t>
            </w:r>
            <w:r>
              <w:rPr>
                <w:sz w:val="20"/>
              </w:rPr>
              <w:t>D36.1,</w:t>
            </w:r>
            <w:r>
              <w:rPr>
                <w:spacing w:val="-6"/>
                <w:sz w:val="20"/>
              </w:rPr>
              <w:t> </w:t>
            </w:r>
            <w:r>
              <w:rPr>
                <w:sz w:val="20"/>
              </w:rPr>
              <w:t>D36.7,</w:t>
            </w:r>
            <w:r>
              <w:rPr>
                <w:spacing w:val="-5"/>
                <w:sz w:val="20"/>
              </w:rPr>
              <w:t> </w:t>
            </w:r>
            <w:r>
              <w:rPr>
                <w:sz w:val="20"/>
              </w:rPr>
              <w:t>D36.9,</w:t>
            </w:r>
            <w:r>
              <w:rPr>
                <w:spacing w:val="-6"/>
                <w:sz w:val="20"/>
              </w:rPr>
              <w:t> </w:t>
            </w:r>
            <w:r>
              <w:rPr>
                <w:spacing w:val="-2"/>
                <w:sz w:val="20"/>
              </w:rPr>
              <w:t>D37.0,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органов</w:t>
            </w:r>
            <w:r>
              <w:rPr>
                <w:spacing w:val="-9"/>
                <w:sz w:val="20"/>
              </w:rPr>
              <w:t> </w:t>
            </w:r>
            <w:r>
              <w:rPr>
                <w:sz w:val="20"/>
              </w:rPr>
              <w:t>дыхания,</w:t>
            </w:r>
            <w:r>
              <w:rPr>
                <w:spacing w:val="-7"/>
                <w:sz w:val="20"/>
              </w:rPr>
              <w:t> </w:t>
            </w:r>
            <w:r>
              <w:rPr>
                <w:spacing w:val="-2"/>
                <w:sz w:val="20"/>
              </w:rPr>
              <w:t>других</w:t>
            </w:r>
          </w:p>
        </w:tc>
        <w:tc>
          <w:tcPr>
            <w:tcW w:w="5117" w:type="dxa"/>
          </w:tcPr>
          <w:p>
            <w:pPr>
              <w:pStyle w:val="TableParagraph"/>
              <w:spacing w:line="210" w:lineRule="exact"/>
              <w:ind w:left="179" w:right="923"/>
              <w:jc w:val="center"/>
              <w:rPr>
                <w:sz w:val="20"/>
              </w:rPr>
            </w:pPr>
            <w:r>
              <w:rPr>
                <w:sz w:val="20"/>
              </w:rPr>
              <w:t>D38,</w:t>
            </w:r>
            <w:r>
              <w:rPr>
                <w:spacing w:val="-6"/>
                <w:sz w:val="20"/>
              </w:rPr>
              <w:t> </w:t>
            </w:r>
            <w:r>
              <w:rPr>
                <w:sz w:val="20"/>
              </w:rPr>
              <w:t>D38.0,</w:t>
            </w:r>
            <w:r>
              <w:rPr>
                <w:spacing w:val="-6"/>
                <w:sz w:val="20"/>
              </w:rPr>
              <w:t> </w:t>
            </w:r>
            <w:r>
              <w:rPr>
                <w:sz w:val="20"/>
              </w:rPr>
              <w:t>D38.1,</w:t>
            </w:r>
            <w:r>
              <w:rPr>
                <w:spacing w:val="-5"/>
                <w:sz w:val="20"/>
              </w:rPr>
              <w:t> </w:t>
            </w:r>
            <w:r>
              <w:rPr>
                <w:sz w:val="20"/>
              </w:rPr>
              <w:t>D38.2,</w:t>
            </w:r>
            <w:r>
              <w:rPr>
                <w:spacing w:val="-6"/>
                <w:sz w:val="20"/>
              </w:rPr>
              <w:t> </w:t>
            </w:r>
            <w:r>
              <w:rPr>
                <w:sz w:val="20"/>
              </w:rPr>
              <w:t>D38.3,</w:t>
            </w:r>
            <w:r>
              <w:rPr>
                <w:spacing w:val="-5"/>
                <w:sz w:val="20"/>
              </w:rPr>
              <w:t> </w:t>
            </w:r>
            <w:r>
              <w:rPr>
                <w:sz w:val="20"/>
              </w:rPr>
              <w:t>D38.4,</w:t>
            </w:r>
            <w:r>
              <w:rPr>
                <w:spacing w:val="-6"/>
                <w:sz w:val="20"/>
              </w:rPr>
              <w:t> </w:t>
            </w:r>
            <w:r>
              <w:rPr>
                <w:spacing w:val="-2"/>
                <w:sz w:val="20"/>
              </w:rPr>
              <w:t>D38.5,</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и</w:t>
            </w:r>
            <w:r>
              <w:rPr>
                <w:spacing w:val="-10"/>
                <w:sz w:val="20"/>
              </w:rPr>
              <w:t> </w:t>
            </w:r>
            <w:r>
              <w:rPr>
                <w:sz w:val="20"/>
              </w:rPr>
              <w:t>неуточненных</w:t>
            </w:r>
            <w:r>
              <w:rPr>
                <w:spacing w:val="-10"/>
                <w:sz w:val="20"/>
              </w:rPr>
              <w:t> </w:t>
            </w:r>
            <w:r>
              <w:rPr>
                <w:spacing w:val="-2"/>
                <w:sz w:val="20"/>
              </w:rPr>
              <w:t>органов</w:t>
            </w:r>
          </w:p>
        </w:tc>
        <w:tc>
          <w:tcPr>
            <w:tcW w:w="5117" w:type="dxa"/>
          </w:tcPr>
          <w:p>
            <w:pPr>
              <w:pStyle w:val="TableParagraph"/>
              <w:spacing w:line="210" w:lineRule="exact"/>
              <w:ind w:left="164" w:right="902"/>
              <w:jc w:val="center"/>
              <w:rPr>
                <w:sz w:val="20"/>
              </w:rPr>
            </w:pPr>
            <w:r>
              <w:rPr>
                <w:sz w:val="20"/>
              </w:rPr>
              <w:t>D38.6,</w:t>
            </w:r>
            <w:r>
              <w:rPr>
                <w:spacing w:val="-4"/>
                <w:sz w:val="20"/>
              </w:rPr>
              <w:t> </w:t>
            </w:r>
            <w:r>
              <w:rPr>
                <w:sz w:val="20"/>
              </w:rPr>
              <w:t>D86.0,</w:t>
            </w:r>
            <w:r>
              <w:rPr>
                <w:spacing w:val="-5"/>
                <w:sz w:val="20"/>
              </w:rPr>
              <w:t> </w:t>
            </w:r>
            <w:r>
              <w:rPr>
                <w:spacing w:val="-4"/>
                <w:sz w:val="20"/>
              </w:rPr>
              <w:t>D86.2</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2" w:type="dxa"/>
          </w:tcPr>
          <w:p>
            <w:pPr>
              <w:pStyle w:val="TableParagraph"/>
              <w:spacing w:line="226" w:lineRule="exact"/>
              <w:ind w:left="192"/>
              <w:rPr>
                <w:sz w:val="20"/>
              </w:rPr>
            </w:pPr>
            <w:r>
              <w:rPr>
                <w:sz w:val="20"/>
              </w:rPr>
              <w:t>грудной</w:t>
            </w:r>
            <w:r>
              <w:rPr>
                <w:spacing w:val="-10"/>
                <w:sz w:val="20"/>
              </w:rPr>
              <w:t> </w:t>
            </w:r>
            <w:r>
              <w:rPr>
                <w:spacing w:val="-2"/>
                <w:sz w:val="20"/>
              </w:rPr>
              <w:t>клетки</w:t>
            </w:r>
          </w:p>
        </w:tc>
        <w:tc>
          <w:tcPr>
            <w:tcW w:w="5117" w:type="dxa"/>
          </w:tcPr>
          <w:p>
            <w:pPr>
              <w:pStyle w:val="TableParagraph"/>
              <w:rPr>
                <w:sz w:val="18"/>
              </w:rPr>
            </w:pPr>
          </w:p>
        </w:tc>
        <w:tc>
          <w:tcPr>
            <w:tcW w:w="1989" w:type="dxa"/>
          </w:tcPr>
          <w:p>
            <w:pPr>
              <w:pStyle w:val="TableParagraph"/>
              <w:rPr>
                <w:sz w:val="18"/>
              </w:rPr>
            </w:pPr>
          </w:p>
        </w:tc>
        <w:tc>
          <w:tcPr>
            <w:tcW w:w="312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st23.004</w:t>
            </w:r>
          </w:p>
        </w:tc>
        <w:tc>
          <w:tcPr>
            <w:tcW w:w="707" w:type="dxa"/>
          </w:tcPr>
          <w:p>
            <w:pPr>
              <w:pStyle w:val="TableParagraph"/>
              <w:spacing w:line="215" w:lineRule="exact" w:before="45"/>
              <w:ind w:left="210"/>
              <w:rPr>
                <w:sz w:val="20"/>
              </w:rPr>
            </w:pPr>
            <w:r>
              <w:rPr>
                <w:spacing w:val="-5"/>
                <w:sz w:val="20"/>
              </w:rPr>
              <w:t>230</w:t>
            </w:r>
          </w:p>
        </w:tc>
        <w:tc>
          <w:tcPr>
            <w:tcW w:w="2532" w:type="dxa"/>
          </w:tcPr>
          <w:p>
            <w:pPr>
              <w:pStyle w:val="TableParagraph"/>
              <w:spacing w:line="215" w:lineRule="exact" w:before="45"/>
              <w:ind w:left="192"/>
              <w:rPr>
                <w:sz w:val="20"/>
              </w:rPr>
            </w:pPr>
            <w:r>
              <w:rPr>
                <w:sz w:val="20"/>
              </w:rPr>
              <w:t>Пневмония,</w:t>
            </w:r>
            <w:r>
              <w:rPr>
                <w:spacing w:val="-13"/>
                <w:sz w:val="20"/>
              </w:rPr>
              <w:t> </w:t>
            </w:r>
            <w:r>
              <w:rPr>
                <w:spacing w:val="-2"/>
                <w:sz w:val="20"/>
              </w:rPr>
              <w:t>плеврит,</w:t>
            </w:r>
          </w:p>
        </w:tc>
        <w:tc>
          <w:tcPr>
            <w:tcW w:w="5117" w:type="dxa"/>
          </w:tcPr>
          <w:p>
            <w:pPr>
              <w:pStyle w:val="TableParagraph"/>
              <w:spacing w:line="215" w:lineRule="exact" w:before="45"/>
              <w:ind w:left="179" w:right="923"/>
              <w:jc w:val="center"/>
              <w:rPr>
                <w:sz w:val="20"/>
              </w:rPr>
            </w:pPr>
            <w:r>
              <w:rPr>
                <w:sz w:val="20"/>
              </w:rPr>
              <w:t>J10.0,</w:t>
            </w:r>
            <w:r>
              <w:rPr>
                <w:spacing w:val="-6"/>
                <w:sz w:val="20"/>
              </w:rPr>
              <w:t> </w:t>
            </w:r>
            <w:r>
              <w:rPr>
                <w:sz w:val="20"/>
              </w:rPr>
              <w:t>J11.0,</w:t>
            </w:r>
            <w:r>
              <w:rPr>
                <w:spacing w:val="-6"/>
                <w:sz w:val="20"/>
              </w:rPr>
              <w:t> </w:t>
            </w:r>
            <w:r>
              <w:rPr>
                <w:sz w:val="20"/>
              </w:rPr>
              <w:t>J12,</w:t>
            </w:r>
            <w:r>
              <w:rPr>
                <w:spacing w:val="-5"/>
                <w:sz w:val="20"/>
              </w:rPr>
              <w:t> </w:t>
            </w:r>
            <w:r>
              <w:rPr>
                <w:sz w:val="20"/>
              </w:rPr>
              <w:t>J12.0,</w:t>
            </w:r>
            <w:r>
              <w:rPr>
                <w:spacing w:val="-4"/>
                <w:sz w:val="20"/>
              </w:rPr>
              <w:t> </w:t>
            </w:r>
            <w:r>
              <w:rPr>
                <w:sz w:val="20"/>
              </w:rPr>
              <w:t>J12.1,</w:t>
            </w:r>
            <w:r>
              <w:rPr>
                <w:spacing w:val="-5"/>
                <w:sz w:val="20"/>
              </w:rPr>
              <w:t> </w:t>
            </w:r>
            <w:r>
              <w:rPr>
                <w:sz w:val="20"/>
              </w:rPr>
              <w:t>J12.2,</w:t>
            </w:r>
            <w:r>
              <w:rPr>
                <w:spacing w:val="-6"/>
                <w:sz w:val="20"/>
              </w:rPr>
              <w:t> </w:t>
            </w:r>
            <w:r>
              <w:rPr>
                <w:sz w:val="20"/>
              </w:rPr>
              <w:t>J12.3,</w:t>
            </w:r>
            <w:r>
              <w:rPr>
                <w:spacing w:val="-5"/>
                <w:sz w:val="20"/>
              </w:rPr>
              <w:t> </w:t>
            </w:r>
            <w:r>
              <w:rPr>
                <w:spacing w:val="-2"/>
                <w:sz w:val="20"/>
              </w:rPr>
              <w:t>J12.8,</w:t>
            </w:r>
          </w:p>
        </w:tc>
        <w:tc>
          <w:tcPr>
            <w:tcW w:w="1989" w:type="dxa"/>
          </w:tcPr>
          <w:p>
            <w:pPr>
              <w:pStyle w:val="TableParagraph"/>
              <w:spacing w:line="215" w:lineRule="exact" w:before="45"/>
              <w:ind w:left="918"/>
              <w:rPr>
                <w:sz w:val="20"/>
              </w:rPr>
            </w:pPr>
            <w:r>
              <w:rPr>
                <w:w w:val="99"/>
                <w:sz w:val="20"/>
              </w:rPr>
              <w:t>-</w:t>
            </w:r>
          </w:p>
        </w:tc>
        <w:tc>
          <w:tcPr>
            <w:tcW w:w="3120" w:type="dxa"/>
          </w:tcPr>
          <w:p>
            <w:pPr>
              <w:pStyle w:val="TableParagraph"/>
              <w:spacing w:line="215" w:lineRule="exact" w:before="45"/>
              <w:ind w:left="537"/>
              <w:jc w:val="center"/>
              <w:rPr>
                <w:sz w:val="20"/>
              </w:rPr>
            </w:pPr>
            <w:r>
              <w:rPr>
                <w:w w:val="99"/>
                <w:sz w:val="20"/>
              </w:rPr>
              <w:t>-</w:t>
            </w:r>
          </w:p>
        </w:tc>
        <w:tc>
          <w:tcPr>
            <w:tcW w:w="864" w:type="dxa"/>
          </w:tcPr>
          <w:p>
            <w:pPr>
              <w:pStyle w:val="TableParagraph"/>
              <w:spacing w:line="215" w:lineRule="exact" w:before="45"/>
              <w:ind w:right="49"/>
              <w:jc w:val="right"/>
              <w:rPr>
                <w:sz w:val="20"/>
              </w:rPr>
            </w:pPr>
            <w:r>
              <w:rPr>
                <w:spacing w:val="-4"/>
                <w:sz w:val="20"/>
              </w:rPr>
              <w:t>1,28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1" w:lineRule="exact"/>
              <w:ind w:left="192"/>
              <w:rPr>
                <w:sz w:val="20"/>
              </w:rPr>
            </w:pPr>
            <w:r>
              <w:rPr>
                <w:sz w:val="20"/>
              </w:rPr>
              <w:t>другие</w:t>
            </w:r>
            <w:r>
              <w:rPr>
                <w:spacing w:val="-8"/>
                <w:sz w:val="20"/>
              </w:rPr>
              <w:t> </w:t>
            </w:r>
            <w:r>
              <w:rPr>
                <w:sz w:val="20"/>
              </w:rPr>
              <w:t>болезни</w:t>
            </w:r>
            <w:r>
              <w:rPr>
                <w:spacing w:val="-6"/>
                <w:sz w:val="20"/>
              </w:rPr>
              <w:t> </w:t>
            </w:r>
            <w:r>
              <w:rPr>
                <w:spacing w:val="-2"/>
                <w:sz w:val="20"/>
              </w:rPr>
              <w:t>плевры</w:t>
            </w:r>
          </w:p>
        </w:tc>
        <w:tc>
          <w:tcPr>
            <w:tcW w:w="5117" w:type="dxa"/>
          </w:tcPr>
          <w:p>
            <w:pPr>
              <w:pStyle w:val="TableParagraph"/>
              <w:spacing w:line="211" w:lineRule="exact"/>
              <w:ind w:left="156" w:right="902"/>
              <w:jc w:val="center"/>
              <w:rPr>
                <w:sz w:val="20"/>
              </w:rPr>
            </w:pPr>
            <w:r>
              <w:rPr>
                <w:sz w:val="20"/>
              </w:rPr>
              <w:t>J12.9,</w:t>
            </w:r>
            <w:r>
              <w:rPr>
                <w:spacing w:val="-6"/>
                <w:sz w:val="20"/>
              </w:rPr>
              <w:t> </w:t>
            </w:r>
            <w:r>
              <w:rPr>
                <w:sz w:val="20"/>
              </w:rPr>
              <w:t>J13,</w:t>
            </w:r>
            <w:r>
              <w:rPr>
                <w:spacing w:val="-5"/>
                <w:sz w:val="20"/>
              </w:rPr>
              <w:t> </w:t>
            </w:r>
            <w:r>
              <w:rPr>
                <w:sz w:val="20"/>
              </w:rPr>
              <w:t>J14,</w:t>
            </w:r>
            <w:r>
              <w:rPr>
                <w:spacing w:val="-6"/>
                <w:sz w:val="20"/>
              </w:rPr>
              <w:t> </w:t>
            </w:r>
            <w:r>
              <w:rPr>
                <w:sz w:val="20"/>
              </w:rPr>
              <w:t>J15,</w:t>
            </w:r>
            <w:r>
              <w:rPr>
                <w:spacing w:val="-3"/>
                <w:sz w:val="20"/>
              </w:rPr>
              <w:t> </w:t>
            </w:r>
            <w:r>
              <w:rPr>
                <w:sz w:val="20"/>
              </w:rPr>
              <w:t>J15.0,</w:t>
            </w:r>
            <w:r>
              <w:rPr>
                <w:spacing w:val="-4"/>
                <w:sz w:val="20"/>
              </w:rPr>
              <w:t> </w:t>
            </w:r>
            <w:r>
              <w:rPr>
                <w:sz w:val="20"/>
              </w:rPr>
              <w:t>J15.1,</w:t>
            </w:r>
            <w:r>
              <w:rPr>
                <w:spacing w:val="-5"/>
                <w:sz w:val="20"/>
              </w:rPr>
              <w:t> </w:t>
            </w:r>
            <w:r>
              <w:rPr>
                <w:sz w:val="20"/>
              </w:rPr>
              <w:t>J15.2,</w:t>
            </w:r>
            <w:r>
              <w:rPr>
                <w:spacing w:val="-5"/>
                <w:sz w:val="20"/>
              </w:rPr>
              <w:t> </w:t>
            </w:r>
            <w:r>
              <w:rPr>
                <w:spacing w:val="-2"/>
                <w:sz w:val="20"/>
              </w:rPr>
              <w:t>J15.3,</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11" w:lineRule="exact"/>
              <w:ind w:left="179" w:right="923"/>
              <w:jc w:val="center"/>
              <w:rPr>
                <w:sz w:val="20"/>
              </w:rPr>
            </w:pPr>
            <w:r>
              <w:rPr>
                <w:sz w:val="20"/>
              </w:rPr>
              <w:t>J15.4,</w:t>
            </w:r>
            <w:r>
              <w:rPr>
                <w:spacing w:val="-6"/>
                <w:sz w:val="20"/>
              </w:rPr>
              <w:t> </w:t>
            </w:r>
            <w:r>
              <w:rPr>
                <w:sz w:val="20"/>
              </w:rPr>
              <w:t>J15.5,</w:t>
            </w:r>
            <w:r>
              <w:rPr>
                <w:spacing w:val="-6"/>
                <w:sz w:val="20"/>
              </w:rPr>
              <w:t> </w:t>
            </w:r>
            <w:r>
              <w:rPr>
                <w:sz w:val="20"/>
              </w:rPr>
              <w:t>J15.6,</w:t>
            </w:r>
            <w:r>
              <w:rPr>
                <w:spacing w:val="-5"/>
                <w:sz w:val="20"/>
              </w:rPr>
              <w:t> </w:t>
            </w:r>
            <w:r>
              <w:rPr>
                <w:sz w:val="20"/>
              </w:rPr>
              <w:t>J15.7,</w:t>
            </w:r>
            <w:r>
              <w:rPr>
                <w:spacing w:val="-6"/>
                <w:sz w:val="20"/>
              </w:rPr>
              <w:t> </w:t>
            </w:r>
            <w:r>
              <w:rPr>
                <w:sz w:val="20"/>
              </w:rPr>
              <w:t>J15.8,</w:t>
            </w:r>
            <w:r>
              <w:rPr>
                <w:spacing w:val="-4"/>
                <w:sz w:val="20"/>
              </w:rPr>
              <w:t> </w:t>
            </w:r>
            <w:r>
              <w:rPr>
                <w:sz w:val="20"/>
              </w:rPr>
              <w:t>J15.9,</w:t>
            </w:r>
            <w:r>
              <w:rPr>
                <w:spacing w:val="-4"/>
                <w:sz w:val="20"/>
              </w:rPr>
              <w:t> </w:t>
            </w:r>
            <w:r>
              <w:rPr>
                <w:sz w:val="20"/>
              </w:rPr>
              <w:t>J16,</w:t>
            </w:r>
            <w:r>
              <w:rPr>
                <w:spacing w:val="-5"/>
                <w:sz w:val="20"/>
              </w:rPr>
              <w:t> </w:t>
            </w:r>
            <w:r>
              <w:rPr>
                <w:spacing w:val="-2"/>
                <w:sz w:val="20"/>
              </w:rPr>
              <w:t>J16.0,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10" w:lineRule="exact"/>
              <w:ind w:left="157" w:right="902"/>
              <w:jc w:val="center"/>
              <w:rPr>
                <w:sz w:val="20"/>
              </w:rPr>
            </w:pPr>
            <w:r>
              <w:rPr>
                <w:sz w:val="20"/>
              </w:rPr>
              <w:t>J16.8,</w:t>
            </w:r>
            <w:r>
              <w:rPr>
                <w:spacing w:val="-6"/>
                <w:sz w:val="20"/>
              </w:rPr>
              <w:t> </w:t>
            </w:r>
            <w:r>
              <w:rPr>
                <w:sz w:val="20"/>
              </w:rPr>
              <w:t>J17,</w:t>
            </w:r>
            <w:r>
              <w:rPr>
                <w:spacing w:val="-4"/>
                <w:sz w:val="20"/>
              </w:rPr>
              <w:t> </w:t>
            </w:r>
            <w:r>
              <w:rPr>
                <w:sz w:val="20"/>
              </w:rPr>
              <w:t>J17.0,</w:t>
            </w:r>
            <w:r>
              <w:rPr>
                <w:spacing w:val="-5"/>
                <w:sz w:val="20"/>
              </w:rPr>
              <w:t> </w:t>
            </w:r>
            <w:r>
              <w:rPr>
                <w:sz w:val="20"/>
              </w:rPr>
              <w:t>J17.1,</w:t>
            </w:r>
            <w:r>
              <w:rPr>
                <w:spacing w:val="-4"/>
                <w:sz w:val="20"/>
              </w:rPr>
              <w:t> </w:t>
            </w:r>
            <w:r>
              <w:rPr>
                <w:sz w:val="20"/>
              </w:rPr>
              <w:t>J17.2,</w:t>
            </w:r>
            <w:r>
              <w:rPr>
                <w:spacing w:val="-5"/>
                <w:sz w:val="20"/>
              </w:rPr>
              <w:t> </w:t>
            </w:r>
            <w:r>
              <w:rPr>
                <w:sz w:val="20"/>
              </w:rPr>
              <w:t>J17.3,</w:t>
            </w:r>
            <w:r>
              <w:rPr>
                <w:spacing w:val="-6"/>
                <w:sz w:val="20"/>
              </w:rPr>
              <w:t> </w:t>
            </w:r>
            <w:r>
              <w:rPr>
                <w:sz w:val="20"/>
              </w:rPr>
              <w:t>J17.8,</w:t>
            </w:r>
            <w:r>
              <w:rPr>
                <w:spacing w:val="-5"/>
                <w:sz w:val="20"/>
              </w:rPr>
              <w:t> </w:t>
            </w:r>
            <w:r>
              <w:rPr>
                <w:spacing w:val="-4"/>
                <w:sz w:val="20"/>
              </w:rPr>
              <w:t>J18,</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6" w:right="902"/>
              <w:jc w:val="center"/>
              <w:rPr>
                <w:sz w:val="20"/>
              </w:rPr>
            </w:pPr>
            <w:r>
              <w:rPr>
                <w:sz w:val="20"/>
              </w:rPr>
              <w:t>J18.0,</w:t>
            </w:r>
            <w:r>
              <w:rPr>
                <w:spacing w:val="-5"/>
                <w:sz w:val="20"/>
              </w:rPr>
              <w:t> </w:t>
            </w:r>
            <w:r>
              <w:rPr>
                <w:sz w:val="20"/>
              </w:rPr>
              <w:t>J18.1,</w:t>
            </w:r>
            <w:r>
              <w:rPr>
                <w:spacing w:val="-5"/>
                <w:sz w:val="20"/>
              </w:rPr>
              <w:t> </w:t>
            </w:r>
            <w:r>
              <w:rPr>
                <w:sz w:val="20"/>
              </w:rPr>
              <w:t>J18.8,</w:t>
            </w:r>
            <w:r>
              <w:rPr>
                <w:spacing w:val="-5"/>
                <w:sz w:val="20"/>
              </w:rPr>
              <w:t> </w:t>
            </w:r>
            <w:r>
              <w:rPr>
                <w:sz w:val="20"/>
              </w:rPr>
              <w:t>J18.9,</w:t>
            </w:r>
            <w:r>
              <w:rPr>
                <w:spacing w:val="-5"/>
                <w:sz w:val="20"/>
              </w:rPr>
              <w:t> </w:t>
            </w:r>
            <w:r>
              <w:rPr>
                <w:sz w:val="20"/>
              </w:rPr>
              <w:t>J90,</w:t>
            </w:r>
            <w:r>
              <w:rPr>
                <w:spacing w:val="-5"/>
                <w:sz w:val="20"/>
              </w:rPr>
              <w:t> </w:t>
            </w:r>
            <w:r>
              <w:rPr>
                <w:sz w:val="20"/>
              </w:rPr>
              <w:t>J91,</w:t>
            </w:r>
            <w:r>
              <w:rPr>
                <w:spacing w:val="-3"/>
                <w:sz w:val="20"/>
              </w:rPr>
              <w:t> </w:t>
            </w:r>
            <w:r>
              <w:rPr>
                <w:sz w:val="20"/>
              </w:rPr>
              <w:t>J92,</w:t>
            </w:r>
            <w:r>
              <w:rPr>
                <w:spacing w:val="-5"/>
                <w:sz w:val="20"/>
              </w:rPr>
              <w:t> </w:t>
            </w:r>
            <w:r>
              <w:rPr>
                <w:spacing w:val="-2"/>
                <w:sz w:val="20"/>
              </w:rPr>
              <w:t>J92.0,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6" w:right="902"/>
              <w:jc w:val="center"/>
              <w:rPr>
                <w:sz w:val="20"/>
              </w:rPr>
            </w:pPr>
            <w:r>
              <w:rPr>
                <w:sz w:val="20"/>
              </w:rPr>
              <w:t>J92.9,</w:t>
            </w:r>
            <w:r>
              <w:rPr>
                <w:spacing w:val="-6"/>
                <w:sz w:val="20"/>
              </w:rPr>
              <w:t> </w:t>
            </w:r>
            <w:r>
              <w:rPr>
                <w:sz w:val="20"/>
              </w:rPr>
              <w:t>J93,</w:t>
            </w:r>
            <w:r>
              <w:rPr>
                <w:spacing w:val="-5"/>
                <w:sz w:val="20"/>
              </w:rPr>
              <w:t> </w:t>
            </w:r>
            <w:r>
              <w:rPr>
                <w:sz w:val="20"/>
              </w:rPr>
              <w:t>J93.0,</w:t>
            </w:r>
            <w:r>
              <w:rPr>
                <w:spacing w:val="-6"/>
                <w:sz w:val="20"/>
              </w:rPr>
              <w:t> </w:t>
            </w:r>
            <w:r>
              <w:rPr>
                <w:sz w:val="20"/>
              </w:rPr>
              <w:t>J93.1,</w:t>
            </w:r>
            <w:r>
              <w:rPr>
                <w:spacing w:val="-3"/>
                <w:sz w:val="20"/>
              </w:rPr>
              <w:t> </w:t>
            </w:r>
            <w:r>
              <w:rPr>
                <w:sz w:val="20"/>
              </w:rPr>
              <w:t>J93.8,</w:t>
            </w:r>
            <w:r>
              <w:rPr>
                <w:spacing w:val="-6"/>
                <w:sz w:val="20"/>
              </w:rPr>
              <w:t> </w:t>
            </w:r>
            <w:r>
              <w:rPr>
                <w:sz w:val="20"/>
              </w:rPr>
              <w:t>J93.9,</w:t>
            </w:r>
            <w:r>
              <w:rPr>
                <w:spacing w:val="-5"/>
                <w:sz w:val="20"/>
              </w:rPr>
              <w:t> </w:t>
            </w:r>
            <w:r>
              <w:rPr>
                <w:sz w:val="20"/>
              </w:rPr>
              <w:t>J94,</w:t>
            </w:r>
            <w:r>
              <w:rPr>
                <w:spacing w:val="-4"/>
                <w:sz w:val="20"/>
              </w:rPr>
              <w:t> </w:t>
            </w:r>
            <w:r>
              <w:rPr>
                <w:spacing w:val="-2"/>
                <w:sz w:val="20"/>
              </w:rPr>
              <w:t>J94.0,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2" w:type="dxa"/>
          </w:tcPr>
          <w:p>
            <w:pPr>
              <w:pStyle w:val="TableParagraph"/>
              <w:rPr>
                <w:sz w:val="18"/>
              </w:rPr>
            </w:pPr>
          </w:p>
        </w:tc>
        <w:tc>
          <w:tcPr>
            <w:tcW w:w="5117" w:type="dxa"/>
          </w:tcPr>
          <w:p>
            <w:pPr>
              <w:pStyle w:val="TableParagraph"/>
              <w:spacing w:line="226" w:lineRule="exact"/>
              <w:ind w:left="157" w:right="902"/>
              <w:jc w:val="center"/>
              <w:rPr>
                <w:sz w:val="20"/>
              </w:rPr>
            </w:pPr>
            <w:r>
              <w:rPr>
                <w:sz w:val="20"/>
              </w:rPr>
              <w:t>J94.1,</w:t>
            </w:r>
            <w:r>
              <w:rPr>
                <w:spacing w:val="-5"/>
                <w:sz w:val="20"/>
              </w:rPr>
              <w:t> </w:t>
            </w:r>
            <w:r>
              <w:rPr>
                <w:sz w:val="20"/>
              </w:rPr>
              <w:t>J94.2,</w:t>
            </w:r>
            <w:r>
              <w:rPr>
                <w:spacing w:val="-5"/>
                <w:sz w:val="20"/>
              </w:rPr>
              <w:t> </w:t>
            </w:r>
            <w:r>
              <w:rPr>
                <w:sz w:val="20"/>
              </w:rPr>
              <w:t>J94.8,</w:t>
            </w:r>
            <w:r>
              <w:rPr>
                <w:spacing w:val="-5"/>
                <w:sz w:val="20"/>
              </w:rPr>
              <w:t> </w:t>
            </w:r>
            <w:r>
              <w:rPr>
                <w:sz w:val="20"/>
              </w:rPr>
              <w:t>J94.9,</w:t>
            </w:r>
            <w:r>
              <w:rPr>
                <w:spacing w:val="-4"/>
                <w:sz w:val="20"/>
              </w:rPr>
              <w:t> </w:t>
            </w:r>
            <w:r>
              <w:rPr>
                <w:spacing w:val="-2"/>
                <w:sz w:val="20"/>
              </w:rPr>
              <w:t>R09.1</w:t>
            </w:r>
          </w:p>
        </w:tc>
        <w:tc>
          <w:tcPr>
            <w:tcW w:w="1989" w:type="dxa"/>
          </w:tcPr>
          <w:p>
            <w:pPr>
              <w:pStyle w:val="TableParagraph"/>
              <w:rPr>
                <w:sz w:val="18"/>
              </w:rPr>
            </w:pPr>
          </w:p>
        </w:tc>
        <w:tc>
          <w:tcPr>
            <w:tcW w:w="3120" w:type="dxa"/>
          </w:tcPr>
          <w:p>
            <w:pPr>
              <w:pStyle w:val="TableParagraph"/>
              <w:rPr>
                <w:sz w:val="18"/>
              </w:rPr>
            </w:pPr>
          </w:p>
        </w:tc>
        <w:tc>
          <w:tcPr>
            <w:tcW w:w="864" w:type="dxa"/>
          </w:tcPr>
          <w:p>
            <w:pPr>
              <w:pStyle w:val="TableParagraph"/>
              <w:rPr>
                <w:sz w:val="18"/>
              </w:rPr>
            </w:pPr>
          </w:p>
        </w:tc>
      </w:tr>
      <w:tr>
        <w:trPr>
          <w:trHeight w:val="506" w:hRule="atLeast"/>
        </w:trPr>
        <w:tc>
          <w:tcPr>
            <w:tcW w:w="946" w:type="dxa"/>
          </w:tcPr>
          <w:p>
            <w:pPr>
              <w:pStyle w:val="TableParagraph"/>
              <w:spacing w:before="46"/>
              <w:ind w:left="50"/>
              <w:rPr>
                <w:sz w:val="20"/>
              </w:rPr>
            </w:pPr>
            <w:r>
              <w:rPr>
                <w:spacing w:val="-2"/>
                <w:sz w:val="20"/>
              </w:rPr>
              <w:t>st23.005</w:t>
            </w:r>
          </w:p>
        </w:tc>
        <w:tc>
          <w:tcPr>
            <w:tcW w:w="707" w:type="dxa"/>
          </w:tcPr>
          <w:p>
            <w:pPr>
              <w:pStyle w:val="TableParagraph"/>
              <w:spacing w:before="46"/>
              <w:ind w:left="210"/>
              <w:rPr>
                <w:sz w:val="20"/>
              </w:rPr>
            </w:pPr>
            <w:r>
              <w:rPr>
                <w:spacing w:val="-5"/>
                <w:sz w:val="20"/>
              </w:rPr>
              <w:t>231</w:t>
            </w:r>
          </w:p>
        </w:tc>
        <w:tc>
          <w:tcPr>
            <w:tcW w:w="2532" w:type="dxa"/>
          </w:tcPr>
          <w:p>
            <w:pPr>
              <w:pStyle w:val="TableParagraph"/>
              <w:spacing w:before="46"/>
              <w:ind w:left="192"/>
              <w:rPr>
                <w:sz w:val="20"/>
              </w:rPr>
            </w:pPr>
            <w:r>
              <w:rPr>
                <w:sz w:val="20"/>
              </w:rPr>
              <w:t>Астма,</w:t>
            </w:r>
            <w:r>
              <w:rPr>
                <w:spacing w:val="-6"/>
                <w:sz w:val="20"/>
              </w:rPr>
              <w:t> </w:t>
            </w:r>
            <w:r>
              <w:rPr>
                <w:spacing w:val="-2"/>
                <w:sz w:val="20"/>
              </w:rPr>
              <w:t>взрослые</w:t>
            </w:r>
          </w:p>
        </w:tc>
        <w:tc>
          <w:tcPr>
            <w:tcW w:w="5117" w:type="dxa"/>
          </w:tcPr>
          <w:p>
            <w:pPr>
              <w:pStyle w:val="TableParagraph"/>
              <w:spacing w:before="46"/>
              <w:ind w:left="162" w:right="902"/>
              <w:jc w:val="center"/>
              <w:rPr>
                <w:sz w:val="20"/>
              </w:rPr>
            </w:pPr>
            <w:r>
              <w:rPr>
                <w:sz w:val="20"/>
              </w:rPr>
              <w:t>J45,</w:t>
            </w:r>
            <w:r>
              <w:rPr>
                <w:spacing w:val="-6"/>
                <w:sz w:val="20"/>
              </w:rPr>
              <w:t> </w:t>
            </w:r>
            <w:r>
              <w:rPr>
                <w:sz w:val="20"/>
              </w:rPr>
              <w:t>J45.0,</w:t>
            </w:r>
            <w:r>
              <w:rPr>
                <w:spacing w:val="-6"/>
                <w:sz w:val="20"/>
              </w:rPr>
              <w:t> </w:t>
            </w:r>
            <w:r>
              <w:rPr>
                <w:sz w:val="20"/>
              </w:rPr>
              <w:t>J45.1,</w:t>
            </w:r>
            <w:r>
              <w:rPr>
                <w:spacing w:val="-5"/>
                <w:sz w:val="20"/>
              </w:rPr>
              <w:t> </w:t>
            </w:r>
            <w:r>
              <w:rPr>
                <w:sz w:val="20"/>
              </w:rPr>
              <w:t>J45.8,</w:t>
            </w:r>
            <w:r>
              <w:rPr>
                <w:spacing w:val="-4"/>
                <w:sz w:val="20"/>
              </w:rPr>
              <w:t> </w:t>
            </w:r>
            <w:r>
              <w:rPr>
                <w:sz w:val="20"/>
              </w:rPr>
              <w:t>J45.9,</w:t>
            </w:r>
            <w:r>
              <w:rPr>
                <w:spacing w:val="-6"/>
                <w:sz w:val="20"/>
              </w:rPr>
              <w:t> </w:t>
            </w:r>
            <w:r>
              <w:rPr>
                <w:spacing w:val="-5"/>
                <w:sz w:val="20"/>
              </w:rPr>
              <w:t>J46</w:t>
            </w:r>
          </w:p>
        </w:tc>
        <w:tc>
          <w:tcPr>
            <w:tcW w:w="1989" w:type="dxa"/>
          </w:tcPr>
          <w:p>
            <w:pPr>
              <w:pStyle w:val="TableParagraph"/>
              <w:spacing w:before="46"/>
              <w:ind w:left="918"/>
              <w:rPr>
                <w:sz w:val="20"/>
              </w:rPr>
            </w:pPr>
            <w:r>
              <w:rPr>
                <w:w w:val="99"/>
                <w:sz w:val="20"/>
              </w:rPr>
              <w:t>-</w:t>
            </w:r>
          </w:p>
        </w:tc>
        <w:tc>
          <w:tcPr>
            <w:tcW w:w="3120" w:type="dxa"/>
          </w:tcPr>
          <w:p>
            <w:pPr>
              <w:pStyle w:val="TableParagraph"/>
              <w:spacing w:line="230" w:lineRule="atLeast" w:before="26"/>
              <w:ind w:left="1238" w:right="455"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9"/>
              <w:jc w:val="right"/>
              <w:rPr>
                <w:sz w:val="20"/>
              </w:rPr>
            </w:pPr>
            <w:r>
              <w:rPr>
                <w:spacing w:val="-4"/>
                <w:sz w:val="20"/>
              </w:rPr>
              <w:t>1,11</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6"/>
        <w:gridCol w:w="4694"/>
        <w:gridCol w:w="3047"/>
        <w:gridCol w:w="2540"/>
        <w:gridCol w:w="864"/>
      </w:tblGrid>
      <w:tr>
        <w:trPr>
          <w:trHeight w:val="505" w:hRule="atLeast"/>
        </w:trPr>
        <w:tc>
          <w:tcPr>
            <w:tcW w:w="946" w:type="dxa"/>
          </w:tcPr>
          <w:p>
            <w:pPr>
              <w:pStyle w:val="TableParagraph"/>
              <w:spacing w:line="221" w:lineRule="exact"/>
              <w:ind w:left="39" w:right="198"/>
              <w:jc w:val="center"/>
              <w:rPr>
                <w:sz w:val="20"/>
              </w:rPr>
            </w:pPr>
            <w:r>
              <w:rPr>
                <w:spacing w:val="-2"/>
                <w:sz w:val="20"/>
              </w:rPr>
              <w:t>st23.006</w:t>
            </w:r>
          </w:p>
        </w:tc>
        <w:tc>
          <w:tcPr>
            <w:tcW w:w="707" w:type="dxa"/>
          </w:tcPr>
          <w:p>
            <w:pPr>
              <w:pStyle w:val="TableParagraph"/>
              <w:spacing w:line="221" w:lineRule="exact"/>
              <w:ind w:left="210"/>
              <w:rPr>
                <w:sz w:val="20"/>
              </w:rPr>
            </w:pPr>
            <w:r>
              <w:rPr>
                <w:spacing w:val="-5"/>
                <w:sz w:val="20"/>
              </w:rPr>
              <w:t>232</w:t>
            </w:r>
          </w:p>
        </w:tc>
        <w:tc>
          <w:tcPr>
            <w:tcW w:w="2476" w:type="dxa"/>
          </w:tcPr>
          <w:p>
            <w:pPr>
              <w:pStyle w:val="TableParagraph"/>
              <w:spacing w:line="221" w:lineRule="exact"/>
              <w:ind w:left="192"/>
              <w:rPr>
                <w:sz w:val="20"/>
              </w:rPr>
            </w:pPr>
            <w:r>
              <w:rPr>
                <w:sz w:val="20"/>
              </w:rPr>
              <w:t>Астма,</w:t>
            </w:r>
            <w:r>
              <w:rPr>
                <w:spacing w:val="-6"/>
                <w:sz w:val="20"/>
              </w:rPr>
              <w:t> </w:t>
            </w:r>
            <w:r>
              <w:rPr>
                <w:spacing w:val="-4"/>
                <w:sz w:val="20"/>
              </w:rPr>
              <w:t>дети</w:t>
            </w:r>
          </w:p>
        </w:tc>
        <w:tc>
          <w:tcPr>
            <w:tcW w:w="4694" w:type="dxa"/>
          </w:tcPr>
          <w:p>
            <w:pPr>
              <w:pStyle w:val="TableParagraph"/>
              <w:spacing w:line="221" w:lineRule="exact"/>
              <w:ind w:left="861"/>
              <w:rPr>
                <w:sz w:val="20"/>
              </w:rPr>
            </w:pPr>
            <w:r>
              <w:rPr>
                <w:sz w:val="20"/>
              </w:rPr>
              <w:t>J45,</w:t>
            </w:r>
            <w:r>
              <w:rPr>
                <w:spacing w:val="-6"/>
                <w:sz w:val="20"/>
              </w:rPr>
              <w:t> </w:t>
            </w:r>
            <w:r>
              <w:rPr>
                <w:sz w:val="20"/>
              </w:rPr>
              <w:t>J45.0,</w:t>
            </w:r>
            <w:r>
              <w:rPr>
                <w:spacing w:val="-6"/>
                <w:sz w:val="20"/>
              </w:rPr>
              <w:t> </w:t>
            </w:r>
            <w:r>
              <w:rPr>
                <w:sz w:val="20"/>
              </w:rPr>
              <w:t>J45.1,</w:t>
            </w:r>
            <w:r>
              <w:rPr>
                <w:spacing w:val="-5"/>
                <w:sz w:val="20"/>
              </w:rPr>
              <w:t> </w:t>
            </w:r>
            <w:r>
              <w:rPr>
                <w:sz w:val="20"/>
              </w:rPr>
              <w:t>J45.8,</w:t>
            </w:r>
            <w:r>
              <w:rPr>
                <w:spacing w:val="-4"/>
                <w:sz w:val="20"/>
              </w:rPr>
              <w:t> </w:t>
            </w:r>
            <w:r>
              <w:rPr>
                <w:sz w:val="20"/>
              </w:rPr>
              <w:t>J45.9,</w:t>
            </w:r>
            <w:r>
              <w:rPr>
                <w:spacing w:val="-6"/>
                <w:sz w:val="20"/>
              </w:rPr>
              <w:t> </w:t>
            </w:r>
            <w:r>
              <w:rPr>
                <w:spacing w:val="-5"/>
                <w:sz w:val="20"/>
              </w:rPr>
              <w:t>J46</w:t>
            </w:r>
          </w:p>
        </w:tc>
        <w:tc>
          <w:tcPr>
            <w:tcW w:w="3047" w:type="dxa"/>
          </w:tcPr>
          <w:p>
            <w:pPr>
              <w:pStyle w:val="TableParagraph"/>
              <w:spacing w:line="221" w:lineRule="exact"/>
              <w:ind w:right="184"/>
              <w:jc w:val="center"/>
              <w:rPr>
                <w:sz w:val="20"/>
              </w:rPr>
            </w:pPr>
            <w:r>
              <w:rPr>
                <w:w w:val="99"/>
                <w:sz w:val="20"/>
              </w:rPr>
              <w:t>-</w:t>
            </w:r>
          </w:p>
        </w:tc>
        <w:tc>
          <w:tcPr>
            <w:tcW w:w="2540" w:type="dxa"/>
          </w:tcPr>
          <w:p>
            <w:pPr>
              <w:pStyle w:val="TableParagraph"/>
              <w:ind w:left="441" w:right="453"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line="221" w:lineRule="exact"/>
              <w:ind w:right="48"/>
              <w:jc w:val="right"/>
              <w:rPr>
                <w:sz w:val="20"/>
              </w:rPr>
            </w:pPr>
            <w:r>
              <w:rPr>
                <w:spacing w:val="-4"/>
                <w:sz w:val="20"/>
              </w:rPr>
              <w:t>1,25</w:t>
            </w:r>
          </w:p>
        </w:tc>
      </w:tr>
      <w:tr>
        <w:trPr>
          <w:trHeight w:val="330" w:hRule="atLeast"/>
        </w:trPr>
        <w:tc>
          <w:tcPr>
            <w:tcW w:w="946" w:type="dxa"/>
          </w:tcPr>
          <w:p>
            <w:pPr>
              <w:pStyle w:val="TableParagraph"/>
              <w:spacing w:before="45"/>
              <w:ind w:left="37" w:right="198"/>
              <w:jc w:val="center"/>
              <w:rPr>
                <w:sz w:val="20"/>
              </w:rPr>
            </w:pPr>
            <w:r>
              <w:rPr>
                <w:spacing w:val="-4"/>
                <w:sz w:val="20"/>
              </w:rPr>
              <w:t>st24</w:t>
            </w:r>
          </w:p>
        </w:tc>
        <w:tc>
          <w:tcPr>
            <w:tcW w:w="707" w:type="dxa"/>
          </w:tcPr>
          <w:p>
            <w:pPr>
              <w:pStyle w:val="TableParagraph"/>
              <w:spacing w:before="45"/>
              <w:ind w:left="261"/>
              <w:rPr>
                <w:sz w:val="20"/>
              </w:rPr>
            </w:pPr>
            <w:r>
              <w:rPr>
                <w:spacing w:val="-5"/>
                <w:sz w:val="20"/>
              </w:rPr>
              <w:t>24</w:t>
            </w:r>
          </w:p>
        </w:tc>
        <w:tc>
          <w:tcPr>
            <w:tcW w:w="2476" w:type="dxa"/>
          </w:tcPr>
          <w:p>
            <w:pPr>
              <w:pStyle w:val="TableParagraph"/>
              <w:rPr>
                <w:sz w:val="18"/>
              </w:rPr>
            </w:pPr>
          </w:p>
        </w:tc>
        <w:tc>
          <w:tcPr>
            <w:tcW w:w="4694" w:type="dxa"/>
          </w:tcPr>
          <w:p>
            <w:pPr>
              <w:pStyle w:val="TableParagraph"/>
              <w:spacing w:before="45"/>
              <w:ind w:right="235"/>
              <w:jc w:val="right"/>
              <w:rPr>
                <w:sz w:val="20"/>
              </w:rPr>
            </w:pPr>
            <w:r>
              <w:rPr>
                <w:spacing w:val="-2"/>
                <w:sz w:val="20"/>
              </w:rPr>
              <w:t>Ревматология</w:t>
            </w:r>
          </w:p>
        </w:tc>
        <w:tc>
          <w:tcPr>
            <w:tcW w:w="3047" w:type="dxa"/>
          </w:tcPr>
          <w:p>
            <w:pPr>
              <w:pStyle w:val="TableParagraph"/>
              <w:rPr>
                <w:sz w:val="18"/>
              </w:rPr>
            </w:pPr>
          </w:p>
        </w:tc>
        <w:tc>
          <w:tcPr>
            <w:tcW w:w="2540" w:type="dxa"/>
          </w:tcPr>
          <w:p>
            <w:pPr>
              <w:pStyle w:val="TableParagraph"/>
              <w:rPr>
                <w:sz w:val="18"/>
              </w:rPr>
            </w:pPr>
          </w:p>
        </w:tc>
        <w:tc>
          <w:tcPr>
            <w:tcW w:w="864" w:type="dxa"/>
          </w:tcPr>
          <w:p>
            <w:pPr>
              <w:pStyle w:val="TableParagraph"/>
              <w:spacing w:before="45"/>
              <w:ind w:right="48"/>
              <w:jc w:val="right"/>
              <w:rPr>
                <w:sz w:val="20"/>
              </w:rPr>
            </w:pPr>
            <w:r>
              <w:rPr>
                <w:spacing w:val="-4"/>
                <w:sz w:val="20"/>
              </w:rPr>
              <w:t>1,44</w:t>
            </w:r>
          </w:p>
        </w:tc>
      </w:tr>
      <w:tr>
        <w:trPr>
          <w:trHeight w:val="1480" w:hRule="atLeast"/>
        </w:trPr>
        <w:tc>
          <w:tcPr>
            <w:tcW w:w="946" w:type="dxa"/>
          </w:tcPr>
          <w:p>
            <w:pPr>
              <w:pStyle w:val="TableParagraph"/>
              <w:spacing w:before="46"/>
              <w:ind w:left="39" w:right="198"/>
              <w:jc w:val="center"/>
              <w:rPr>
                <w:sz w:val="20"/>
              </w:rPr>
            </w:pPr>
            <w:r>
              <w:rPr>
                <w:spacing w:val="-2"/>
                <w:sz w:val="20"/>
              </w:rPr>
              <w:t>st24.001</w:t>
            </w:r>
          </w:p>
        </w:tc>
        <w:tc>
          <w:tcPr>
            <w:tcW w:w="707" w:type="dxa"/>
          </w:tcPr>
          <w:p>
            <w:pPr>
              <w:pStyle w:val="TableParagraph"/>
              <w:spacing w:before="46"/>
              <w:ind w:left="210"/>
              <w:rPr>
                <w:sz w:val="20"/>
              </w:rPr>
            </w:pPr>
            <w:r>
              <w:rPr>
                <w:spacing w:val="-5"/>
                <w:sz w:val="20"/>
              </w:rPr>
              <w:t>233</w:t>
            </w:r>
          </w:p>
        </w:tc>
        <w:tc>
          <w:tcPr>
            <w:tcW w:w="2476" w:type="dxa"/>
          </w:tcPr>
          <w:p>
            <w:pPr>
              <w:pStyle w:val="TableParagraph"/>
              <w:spacing w:before="46"/>
              <w:ind w:left="192" w:right="336"/>
              <w:rPr>
                <w:sz w:val="20"/>
              </w:rPr>
            </w:pPr>
            <w:r>
              <w:rPr>
                <w:sz w:val="20"/>
              </w:rPr>
              <w:t>Системные</w:t>
            </w:r>
            <w:r>
              <w:rPr>
                <w:spacing w:val="-13"/>
                <w:sz w:val="20"/>
              </w:rPr>
              <w:t> </w:t>
            </w:r>
            <w:r>
              <w:rPr>
                <w:sz w:val="20"/>
              </w:rPr>
              <w:t>поражения </w:t>
            </w:r>
            <w:r>
              <w:rPr>
                <w:w w:val="95"/>
                <w:sz w:val="20"/>
              </w:rPr>
              <w:t>соединительной</w:t>
            </w:r>
            <w:r>
              <w:rPr>
                <w:spacing w:val="53"/>
                <w:sz w:val="20"/>
              </w:rPr>
              <w:t> </w:t>
            </w:r>
            <w:r>
              <w:rPr>
                <w:spacing w:val="-4"/>
                <w:sz w:val="20"/>
              </w:rPr>
              <w:t>ткани</w:t>
            </w:r>
          </w:p>
        </w:tc>
        <w:tc>
          <w:tcPr>
            <w:tcW w:w="4694" w:type="dxa"/>
          </w:tcPr>
          <w:p>
            <w:pPr>
              <w:pStyle w:val="TableParagraph"/>
              <w:spacing w:line="229" w:lineRule="exact" w:before="46"/>
              <w:ind w:left="383"/>
              <w:rPr>
                <w:sz w:val="20"/>
              </w:rPr>
            </w:pPr>
            <w:r>
              <w:rPr>
                <w:sz w:val="20"/>
              </w:rPr>
              <w:t>M30.0,</w:t>
            </w:r>
            <w:r>
              <w:rPr>
                <w:spacing w:val="-6"/>
                <w:sz w:val="20"/>
              </w:rPr>
              <w:t> </w:t>
            </w:r>
            <w:r>
              <w:rPr>
                <w:sz w:val="20"/>
              </w:rPr>
              <w:t>M30.1,</w:t>
            </w:r>
            <w:r>
              <w:rPr>
                <w:spacing w:val="-6"/>
                <w:sz w:val="20"/>
              </w:rPr>
              <w:t> </w:t>
            </w:r>
            <w:r>
              <w:rPr>
                <w:sz w:val="20"/>
              </w:rPr>
              <w:t>M30.3,</w:t>
            </w:r>
            <w:r>
              <w:rPr>
                <w:spacing w:val="-6"/>
                <w:sz w:val="20"/>
              </w:rPr>
              <w:t> </w:t>
            </w:r>
            <w:r>
              <w:rPr>
                <w:sz w:val="20"/>
              </w:rPr>
              <w:t>M30.8,</w:t>
            </w:r>
            <w:r>
              <w:rPr>
                <w:spacing w:val="-2"/>
                <w:sz w:val="20"/>
              </w:rPr>
              <w:t> </w:t>
            </w:r>
            <w:r>
              <w:rPr>
                <w:sz w:val="20"/>
              </w:rPr>
              <w:t>M31.0,</w:t>
            </w:r>
            <w:r>
              <w:rPr>
                <w:spacing w:val="-5"/>
                <w:sz w:val="20"/>
              </w:rPr>
              <w:t> </w:t>
            </w:r>
            <w:r>
              <w:rPr>
                <w:spacing w:val="-2"/>
                <w:sz w:val="20"/>
              </w:rPr>
              <w:t>M31.1,</w:t>
            </w:r>
          </w:p>
          <w:p>
            <w:pPr>
              <w:pStyle w:val="TableParagraph"/>
              <w:spacing w:line="229" w:lineRule="exact"/>
              <w:ind w:left="383"/>
              <w:rPr>
                <w:sz w:val="20"/>
              </w:rPr>
            </w:pPr>
            <w:r>
              <w:rPr>
                <w:sz w:val="20"/>
              </w:rPr>
              <w:t>M31.3,</w:t>
            </w:r>
            <w:r>
              <w:rPr>
                <w:spacing w:val="-6"/>
                <w:sz w:val="20"/>
              </w:rPr>
              <w:t> </w:t>
            </w:r>
            <w:r>
              <w:rPr>
                <w:sz w:val="20"/>
              </w:rPr>
              <w:t>M31.4,</w:t>
            </w:r>
            <w:r>
              <w:rPr>
                <w:spacing w:val="-6"/>
                <w:sz w:val="20"/>
              </w:rPr>
              <w:t> </w:t>
            </w:r>
            <w:r>
              <w:rPr>
                <w:sz w:val="20"/>
              </w:rPr>
              <w:t>M31.5,</w:t>
            </w:r>
            <w:r>
              <w:rPr>
                <w:spacing w:val="-6"/>
                <w:sz w:val="20"/>
              </w:rPr>
              <w:t> </w:t>
            </w:r>
            <w:r>
              <w:rPr>
                <w:sz w:val="20"/>
              </w:rPr>
              <w:t>M31.6,</w:t>
            </w:r>
            <w:r>
              <w:rPr>
                <w:spacing w:val="-6"/>
                <w:sz w:val="20"/>
              </w:rPr>
              <w:t> </w:t>
            </w:r>
            <w:r>
              <w:rPr>
                <w:sz w:val="20"/>
              </w:rPr>
              <w:t>M31.7,</w:t>
            </w:r>
            <w:r>
              <w:rPr>
                <w:spacing w:val="-5"/>
                <w:sz w:val="20"/>
              </w:rPr>
              <w:t> </w:t>
            </w:r>
            <w:r>
              <w:rPr>
                <w:spacing w:val="-2"/>
                <w:sz w:val="20"/>
              </w:rPr>
              <w:t>M31.8,</w:t>
            </w:r>
          </w:p>
          <w:p>
            <w:pPr>
              <w:pStyle w:val="TableParagraph"/>
              <w:ind w:left="383"/>
              <w:rPr>
                <w:sz w:val="20"/>
              </w:rPr>
            </w:pPr>
            <w:r>
              <w:rPr>
                <w:sz w:val="20"/>
              </w:rPr>
              <w:t>M31.9,</w:t>
            </w:r>
            <w:r>
              <w:rPr>
                <w:spacing w:val="-6"/>
                <w:sz w:val="20"/>
              </w:rPr>
              <w:t> </w:t>
            </w:r>
            <w:r>
              <w:rPr>
                <w:sz w:val="20"/>
              </w:rPr>
              <w:t>M32.0,</w:t>
            </w:r>
            <w:r>
              <w:rPr>
                <w:spacing w:val="-6"/>
                <w:sz w:val="20"/>
              </w:rPr>
              <w:t> </w:t>
            </w:r>
            <w:r>
              <w:rPr>
                <w:sz w:val="20"/>
              </w:rPr>
              <w:t>M32.1,</w:t>
            </w:r>
            <w:r>
              <w:rPr>
                <w:spacing w:val="-6"/>
                <w:sz w:val="20"/>
              </w:rPr>
              <w:t> </w:t>
            </w:r>
            <w:r>
              <w:rPr>
                <w:sz w:val="20"/>
              </w:rPr>
              <w:t>M32.8,</w:t>
            </w:r>
            <w:r>
              <w:rPr>
                <w:spacing w:val="-6"/>
                <w:sz w:val="20"/>
              </w:rPr>
              <w:t> </w:t>
            </w:r>
            <w:r>
              <w:rPr>
                <w:sz w:val="20"/>
              </w:rPr>
              <w:t>M32.9,</w:t>
            </w:r>
            <w:r>
              <w:rPr>
                <w:spacing w:val="-5"/>
                <w:sz w:val="20"/>
              </w:rPr>
              <w:t> </w:t>
            </w:r>
            <w:r>
              <w:rPr>
                <w:spacing w:val="-2"/>
                <w:sz w:val="20"/>
              </w:rPr>
              <w:t>M33.1,</w:t>
            </w:r>
          </w:p>
          <w:p>
            <w:pPr>
              <w:pStyle w:val="TableParagraph"/>
              <w:spacing w:before="1"/>
              <w:ind w:left="383"/>
              <w:rPr>
                <w:sz w:val="20"/>
              </w:rPr>
            </w:pPr>
            <w:r>
              <w:rPr>
                <w:sz w:val="20"/>
              </w:rPr>
              <w:t>M33.2,</w:t>
            </w:r>
            <w:r>
              <w:rPr>
                <w:spacing w:val="-6"/>
                <w:sz w:val="20"/>
              </w:rPr>
              <w:t> </w:t>
            </w:r>
            <w:r>
              <w:rPr>
                <w:sz w:val="20"/>
              </w:rPr>
              <w:t>M33.9,</w:t>
            </w:r>
            <w:r>
              <w:rPr>
                <w:spacing w:val="-6"/>
                <w:sz w:val="20"/>
              </w:rPr>
              <w:t> </w:t>
            </w:r>
            <w:r>
              <w:rPr>
                <w:sz w:val="20"/>
              </w:rPr>
              <w:t>M34.0,</w:t>
            </w:r>
            <w:r>
              <w:rPr>
                <w:spacing w:val="-6"/>
                <w:sz w:val="20"/>
              </w:rPr>
              <w:t> </w:t>
            </w:r>
            <w:r>
              <w:rPr>
                <w:sz w:val="20"/>
              </w:rPr>
              <w:t>M34.1,</w:t>
            </w:r>
            <w:r>
              <w:rPr>
                <w:spacing w:val="-6"/>
                <w:sz w:val="20"/>
              </w:rPr>
              <w:t> </w:t>
            </w:r>
            <w:r>
              <w:rPr>
                <w:sz w:val="20"/>
              </w:rPr>
              <w:t>M34.2,</w:t>
            </w:r>
            <w:r>
              <w:rPr>
                <w:spacing w:val="-5"/>
                <w:sz w:val="20"/>
              </w:rPr>
              <w:t> </w:t>
            </w:r>
            <w:r>
              <w:rPr>
                <w:spacing w:val="-2"/>
                <w:sz w:val="20"/>
              </w:rPr>
              <w:t>M34.8,</w:t>
            </w:r>
          </w:p>
          <w:p>
            <w:pPr>
              <w:pStyle w:val="TableParagraph"/>
              <w:spacing w:before="1"/>
              <w:ind w:left="383"/>
              <w:rPr>
                <w:sz w:val="20"/>
              </w:rPr>
            </w:pPr>
            <w:r>
              <w:rPr>
                <w:sz w:val="20"/>
              </w:rPr>
              <w:t>M34.9,</w:t>
            </w:r>
            <w:r>
              <w:rPr>
                <w:spacing w:val="-6"/>
                <w:sz w:val="20"/>
              </w:rPr>
              <w:t> </w:t>
            </w:r>
            <w:r>
              <w:rPr>
                <w:sz w:val="20"/>
              </w:rPr>
              <w:t>M35.0,</w:t>
            </w:r>
            <w:r>
              <w:rPr>
                <w:spacing w:val="-6"/>
                <w:sz w:val="20"/>
              </w:rPr>
              <w:t> </w:t>
            </w:r>
            <w:r>
              <w:rPr>
                <w:sz w:val="20"/>
              </w:rPr>
              <w:t>M35.1,</w:t>
            </w:r>
            <w:r>
              <w:rPr>
                <w:spacing w:val="-6"/>
                <w:sz w:val="20"/>
              </w:rPr>
              <w:t> </w:t>
            </w:r>
            <w:r>
              <w:rPr>
                <w:sz w:val="20"/>
              </w:rPr>
              <w:t>M35.2,</w:t>
            </w:r>
            <w:r>
              <w:rPr>
                <w:spacing w:val="-6"/>
                <w:sz w:val="20"/>
              </w:rPr>
              <w:t> </w:t>
            </w:r>
            <w:r>
              <w:rPr>
                <w:sz w:val="20"/>
              </w:rPr>
              <w:t>M35.3,</w:t>
            </w:r>
            <w:r>
              <w:rPr>
                <w:spacing w:val="-5"/>
                <w:sz w:val="20"/>
              </w:rPr>
              <w:t> </w:t>
            </w:r>
            <w:r>
              <w:rPr>
                <w:spacing w:val="-2"/>
                <w:sz w:val="20"/>
              </w:rPr>
              <w:t>M35.4,</w:t>
            </w:r>
          </w:p>
          <w:p>
            <w:pPr>
              <w:pStyle w:val="TableParagraph"/>
              <w:ind w:left="410"/>
              <w:rPr>
                <w:sz w:val="20"/>
              </w:rPr>
            </w:pPr>
            <w:r>
              <w:rPr>
                <w:sz w:val="20"/>
              </w:rPr>
              <w:t>M35.5,</w:t>
            </w:r>
            <w:r>
              <w:rPr>
                <w:spacing w:val="-6"/>
                <w:sz w:val="20"/>
              </w:rPr>
              <w:t> </w:t>
            </w:r>
            <w:r>
              <w:rPr>
                <w:sz w:val="20"/>
              </w:rPr>
              <w:t>M35.6,</w:t>
            </w:r>
            <w:r>
              <w:rPr>
                <w:spacing w:val="-6"/>
                <w:sz w:val="20"/>
              </w:rPr>
              <w:t> </w:t>
            </w:r>
            <w:r>
              <w:rPr>
                <w:sz w:val="20"/>
              </w:rPr>
              <w:t>M35.8,</w:t>
            </w:r>
            <w:r>
              <w:rPr>
                <w:spacing w:val="-6"/>
                <w:sz w:val="20"/>
              </w:rPr>
              <w:t> </w:t>
            </w:r>
            <w:r>
              <w:rPr>
                <w:sz w:val="20"/>
              </w:rPr>
              <w:t>M35.9,</w:t>
            </w:r>
            <w:r>
              <w:rPr>
                <w:spacing w:val="-6"/>
                <w:sz w:val="20"/>
              </w:rPr>
              <w:t> </w:t>
            </w:r>
            <w:r>
              <w:rPr>
                <w:sz w:val="20"/>
              </w:rPr>
              <w:t>M36.0,</w:t>
            </w:r>
            <w:r>
              <w:rPr>
                <w:spacing w:val="-5"/>
                <w:sz w:val="20"/>
              </w:rPr>
              <w:t> </w:t>
            </w:r>
            <w:r>
              <w:rPr>
                <w:spacing w:val="-4"/>
                <w:sz w:val="20"/>
              </w:rPr>
              <w:t>M36.8</w:t>
            </w:r>
          </w:p>
        </w:tc>
        <w:tc>
          <w:tcPr>
            <w:tcW w:w="3047" w:type="dxa"/>
          </w:tcPr>
          <w:p>
            <w:pPr>
              <w:pStyle w:val="TableParagraph"/>
              <w:spacing w:before="46"/>
              <w:ind w:right="184"/>
              <w:jc w:val="center"/>
              <w:rPr>
                <w:sz w:val="20"/>
              </w:rPr>
            </w:pPr>
            <w:r>
              <w:rPr>
                <w:w w:val="99"/>
                <w:sz w:val="20"/>
              </w:rPr>
              <w:t>-</w:t>
            </w:r>
          </w:p>
        </w:tc>
        <w:tc>
          <w:tcPr>
            <w:tcW w:w="2540" w:type="dxa"/>
          </w:tcPr>
          <w:p>
            <w:pPr>
              <w:pStyle w:val="TableParagraph"/>
              <w:spacing w:before="46"/>
              <w:ind w:left="1216"/>
              <w:rPr>
                <w:sz w:val="20"/>
              </w:rPr>
            </w:pPr>
            <w:r>
              <w:rPr>
                <w:w w:val="99"/>
                <w:sz w:val="20"/>
              </w:rPr>
              <w:t>-</w:t>
            </w:r>
          </w:p>
        </w:tc>
        <w:tc>
          <w:tcPr>
            <w:tcW w:w="864" w:type="dxa"/>
          </w:tcPr>
          <w:p>
            <w:pPr>
              <w:pStyle w:val="TableParagraph"/>
              <w:spacing w:before="46"/>
              <w:ind w:right="48"/>
              <w:jc w:val="right"/>
              <w:rPr>
                <w:sz w:val="20"/>
              </w:rPr>
            </w:pPr>
            <w:r>
              <w:rPr>
                <w:spacing w:val="-4"/>
                <w:sz w:val="20"/>
              </w:rPr>
              <w:t>1,78</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st24.002</w:t>
            </w:r>
          </w:p>
        </w:tc>
        <w:tc>
          <w:tcPr>
            <w:tcW w:w="707" w:type="dxa"/>
          </w:tcPr>
          <w:p>
            <w:pPr>
              <w:pStyle w:val="TableParagraph"/>
              <w:spacing w:line="215" w:lineRule="exact" w:before="45"/>
              <w:ind w:left="210"/>
              <w:rPr>
                <w:sz w:val="20"/>
              </w:rPr>
            </w:pPr>
            <w:r>
              <w:rPr>
                <w:spacing w:val="-5"/>
                <w:sz w:val="20"/>
              </w:rPr>
              <w:t>234</w:t>
            </w:r>
          </w:p>
        </w:tc>
        <w:tc>
          <w:tcPr>
            <w:tcW w:w="2476" w:type="dxa"/>
          </w:tcPr>
          <w:p>
            <w:pPr>
              <w:pStyle w:val="TableParagraph"/>
              <w:spacing w:line="215" w:lineRule="exact" w:before="45"/>
              <w:ind w:left="192"/>
              <w:rPr>
                <w:sz w:val="20"/>
              </w:rPr>
            </w:pPr>
            <w:r>
              <w:rPr>
                <w:sz w:val="20"/>
              </w:rPr>
              <w:t>Артропатии</w:t>
            </w:r>
            <w:r>
              <w:rPr>
                <w:spacing w:val="-12"/>
                <w:sz w:val="20"/>
              </w:rPr>
              <w:t> </w:t>
            </w:r>
            <w:r>
              <w:rPr>
                <w:spacing w:val="-10"/>
                <w:sz w:val="20"/>
              </w:rPr>
              <w:t>и</w:t>
            </w:r>
          </w:p>
        </w:tc>
        <w:tc>
          <w:tcPr>
            <w:tcW w:w="4694" w:type="dxa"/>
          </w:tcPr>
          <w:p>
            <w:pPr>
              <w:pStyle w:val="TableParagraph"/>
              <w:spacing w:line="215" w:lineRule="exact" w:before="45"/>
              <w:ind w:left="275"/>
              <w:rPr>
                <w:sz w:val="20"/>
              </w:rPr>
            </w:pPr>
            <w:r>
              <w:rPr>
                <w:sz w:val="20"/>
              </w:rPr>
              <w:t>I00,</w:t>
            </w:r>
            <w:r>
              <w:rPr>
                <w:spacing w:val="-5"/>
                <w:sz w:val="20"/>
              </w:rPr>
              <w:t> </w:t>
            </w:r>
            <w:r>
              <w:rPr>
                <w:sz w:val="20"/>
              </w:rPr>
              <w:t>M00,</w:t>
            </w:r>
            <w:r>
              <w:rPr>
                <w:spacing w:val="-4"/>
                <w:sz w:val="20"/>
              </w:rPr>
              <w:t> </w:t>
            </w:r>
            <w:r>
              <w:rPr>
                <w:sz w:val="20"/>
              </w:rPr>
              <w:t>M00.0,</w:t>
            </w:r>
            <w:r>
              <w:rPr>
                <w:spacing w:val="-6"/>
                <w:sz w:val="20"/>
              </w:rPr>
              <w:t> </w:t>
            </w:r>
            <w:r>
              <w:rPr>
                <w:sz w:val="20"/>
              </w:rPr>
              <w:t>M00.1,</w:t>
            </w:r>
            <w:r>
              <w:rPr>
                <w:spacing w:val="-4"/>
                <w:sz w:val="20"/>
              </w:rPr>
              <w:t> </w:t>
            </w:r>
            <w:r>
              <w:rPr>
                <w:sz w:val="20"/>
              </w:rPr>
              <w:t>M00.2,</w:t>
            </w:r>
            <w:r>
              <w:rPr>
                <w:spacing w:val="-4"/>
                <w:sz w:val="20"/>
              </w:rPr>
              <w:t> </w:t>
            </w:r>
            <w:r>
              <w:rPr>
                <w:sz w:val="20"/>
              </w:rPr>
              <w:t>M00.8,</w:t>
            </w:r>
            <w:r>
              <w:rPr>
                <w:spacing w:val="-6"/>
                <w:sz w:val="20"/>
              </w:rPr>
              <w:t> </w:t>
            </w:r>
            <w:r>
              <w:rPr>
                <w:spacing w:val="-2"/>
                <w:sz w:val="20"/>
              </w:rPr>
              <w:t>M00.9,</w:t>
            </w:r>
          </w:p>
        </w:tc>
        <w:tc>
          <w:tcPr>
            <w:tcW w:w="3047" w:type="dxa"/>
          </w:tcPr>
          <w:p>
            <w:pPr>
              <w:pStyle w:val="TableParagraph"/>
              <w:spacing w:line="215" w:lineRule="exact" w:before="45"/>
              <w:ind w:right="184"/>
              <w:jc w:val="center"/>
              <w:rPr>
                <w:sz w:val="20"/>
              </w:rPr>
            </w:pPr>
            <w:r>
              <w:rPr>
                <w:w w:val="99"/>
                <w:sz w:val="20"/>
              </w:rPr>
              <w:t>-</w:t>
            </w:r>
          </w:p>
        </w:tc>
        <w:tc>
          <w:tcPr>
            <w:tcW w:w="2540" w:type="dxa"/>
          </w:tcPr>
          <w:p>
            <w:pPr>
              <w:pStyle w:val="TableParagraph"/>
              <w:spacing w:line="215" w:lineRule="exact" w:before="45"/>
              <w:ind w:left="1216"/>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1,67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pacing w:val="-2"/>
                <w:sz w:val="20"/>
              </w:rPr>
              <w:t>спондилопатии</w:t>
            </w:r>
          </w:p>
        </w:tc>
        <w:tc>
          <w:tcPr>
            <w:tcW w:w="4694" w:type="dxa"/>
          </w:tcPr>
          <w:p>
            <w:pPr>
              <w:pStyle w:val="TableParagraph"/>
              <w:spacing w:line="210" w:lineRule="exact"/>
              <w:ind w:left="460"/>
              <w:rPr>
                <w:sz w:val="20"/>
              </w:rPr>
            </w:pPr>
            <w:r>
              <w:rPr>
                <w:sz w:val="20"/>
              </w:rPr>
              <w:t>M01,</w:t>
            </w:r>
            <w:r>
              <w:rPr>
                <w:spacing w:val="-5"/>
                <w:sz w:val="20"/>
              </w:rPr>
              <w:t> </w:t>
            </w:r>
            <w:r>
              <w:rPr>
                <w:sz w:val="20"/>
              </w:rPr>
              <w:t>M01.0,</w:t>
            </w:r>
            <w:r>
              <w:rPr>
                <w:spacing w:val="-4"/>
                <w:sz w:val="20"/>
              </w:rPr>
              <w:t> </w:t>
            </w:r>
            <w:r>
              <w:rPr>
                <w:sz w:val="20"/>
              </w:rPr>
              <w:t>M01.2,</w:t>
            </w:r>
            <w:r>
              <w:rPr>
                <w:spacing w:val="-6"/>
                <w:sz w:val="20"/>
              </w:rPr>
              <w:t> </w:t>
            </w:r>
            <w:r>
              <w:rPr>
                <w:sz w:val="20"/>
              </w:rPr>
              <w:t>M01.3,</w:t>
            </w:r>
            <w:r>
              <w:rPr>
                <w:spacing w:val="-6"/>
                <w:sz w:val="20"/>
              </w:rPr>
              <w:t> </w:t>
            </w:r>
            <w:r>
              <w:rPr>
                <w:sz w:val="20"/>
              </w:rPr>
              <w:t>M01.4,</w:t>
            </w:r>
            <w:r>
              <w:rPr>
                <w:spacing w:val="-4"/>
                <w:sz w:val="20"/>
              </w:rPr>
              <w:t> </w:t>
            </w:r>
            <w:r>
              <w:rPr>
                <w:spacing w:val="-2"/>
                <w:sz w:val="20"/>
              </w:rPr>
              <w:t>M01.5,</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M01.6,</w:t>
            </w:r>
            <w:r>
              <w:rPr>
                <w:spacing w:val="-5"/>
                <w:sz w:val="20"/>
              </w:rPr>
              <w:t> </w:t>
            </w:r>
            <w:r>
              <w:rPr>
                <w:sz w:val="20"/>
              </w:rPr>
              <w:t>M01.8,</w:t>
            </w:r>
            <w:r>
              <w:rPr>
                <w:spacing w:val="-4"/>
                <w:sz w:val="20"/>
              </w:rPr>
              <w:t> </w:t>
            </w:r>
            <w:r>
              <w:rPr>
                <w:sz w:val="20"/>
              </w:rPr>
              <w:t>M02,</w:t>
            </w:r>
            <w:r>
              <w:rPr>
                <w:spacing w:val="-6"/>
                <w:sz w:val="20"/>
              </w:rPr>
              <w:t> </w:t>
            </w:r>
            <w:r>
              <w:rPr>
                <w:sz w:val="20"/>
              </w:rPr>
              <w:t>M02.0,</w:t>
            </w:r>
            <w:r>
              <w:rPr>
                <w:spacing w:val="-6"/>
                <w:sz w:val="20"/>
              </w:rPr>
              <w:t> </w:t>
            </w:r>
            <w:r>
              <w:rPr>
                <w:sz w:val="20"/>
              </w:rPr>
              <w:t>M02.1,</w:t>
            </w:r>
            <w:r>
              <w:rPr>
                <w:spacing w:val="-4"/>
                <w:sz w:val="20"/>
              </w:rPr>
              <w:t> </w:t>
            </w:r>
            <w:r>
              <w:rPr>
                <w:spacing w:val="-2"/>
                <w:sz w:val="20"/>
              </w:rPr>
              <w:t>M02.2,</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M02.3,</w:t>
            </w:r>
            <w:r>
              <w:rPr>
                <w:spacing w:val="-5"/>
                <w:sz w:val="20"/>
              </w:rPr>
              <w:t> </w:t>
            </w:r>
            <w:r>
              <w:rPr>
                <w:sz w:val="20"/>
              </w:rPr>
              <w:t>M02.8,</w:t>
            </w:r>
            <w:r>
              <w:rPr>
                <w:spacing w:val="-5"/>
                <w:sz w:val="20"/>
              </w:rPr>
              <w:t> </w:t>
            </w:r>
            <w:r>
              <w:rPr>
                <w:sz w:val="20"/>
              </w:rPr>
              <w:t>M02.9,</w:t>
            </w:r>
            <w:r>
              <w:rPr>
                <w:spacing w:val="-4"/>
                <w:sz w:val="20"/>
              </w:rPr>
              <w:t> </w:t>
            </w:r>
            <w:r>
              <w:rPr>
                <w:sz w:val="20"/>
              </w:rPr>
              <w:t>M03,</w:t>
            </w:r>
            <w:r>
              <w:rPr>
                <w:spacing w:val="-6"/>
                <w:sz w:val="20"/>
              </w:rPr>
              <w:t> </w:t>
            </w:r>
            <w:r>
              <w:rPr>
                <w:sz w:val="20"/>
              </w:rPr>
              <w:t>M03.0,</w:t>
            </w:r>
            <w:r>
              <w:rPr>
                <w:spacing w:val="-5"/>
                <w:sz w:val="20"/>
              </w:rPr>
              <w:t> </w:t>
            </w:r>
            <w:r>
              <w:rPr>
                <w:spacing w:val="-2"/>
                <w:sz w:val="20"/>
              </w:rPr>
              <w:t>M03.2,</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460"/>
              <w:rPr>
                <w:sz w:val="20"/>
              </w:rPr>
            </w:pPr>
            <w:r>
              <w:rPr>
                <w:sz w:val="20"/>
              </w:rPr>
              <w:t>M03.6,</w:t>
            </w:r>
            <w:r>
              <w:rPr>
                <w:spacing w:val="-4"/>
                <w:sz w:val="20"/>
              </w:rPr>
              <w:t> </w:t>
            </w:r>
            <w:r>
              <w:rPr>
                <w:sz w:val="20"/>
              </w:rPr>
              <w:t>M05,</w:t>
            </w:r>
            <w:r>
              <w:rPr>
                <w:spacing w:val="-4"/>
                <w:sz w:val="20"/>
              </w:rPr>
              <w:t> </w:t>
            </w:r>
            <w:r>
              <w:rPr>
                <w:sz w:val="20"/>
              </w:rPr>
              <w:t>M05.0,</w:t>
            </w:r>
            <w:r>
              <w:rPr>
                <w:spacing w:val="-6"/>
                <w:sz w:val="20"/>
              </w:rPr>
              <w:t> </w:t>
            </w:r>
            <w:r>
              <w:rPr>
                <w:sz w:val="20"/>
              </w:rPr>
              <w:t>M05.1,</w:t>
            </w:r>
            <w:r>
              <w:rPr>
                <w:spacing w:val="-6"/>
                <w:sz w:val="20"/>
              </w:rPr>
              <w:t> </w:t>
            </w:r>
            <w:r>
              <w:rPr>
                <w:sz w:val="20"/>
              </w:rPr>
              <w:t>M05.2,</w:t>
            </w:r>
            <w:r>
              <w:rPr>
                <w:spacing w:val="-4"/>
                <w:sz w:val="20"/>
              </w:rPr>
              <w:t> </w:t>
            </w:r>
            <w:r>
              <w:rPr>
                <w:spacing w:val="-2"/>
                <w:sz w:val="20"/>
              </w:rPr>
              <w:t>M05.3,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383"/>
              <w:rPr>
                <w:sz w:val="20"/>
              </w:rPr>
            </w:pPr>
            <w:r>
              <w:rPr>
                <w:sz w:val="20"/>
              </w:rPr>
              <w:t>M05.8,</w:t>
            </w:r>
            <w:r>
              <w:rPr>
                <w:spacing w:val="-6"/>
                <w:sz w:val="20"/>
              </w:rPr>
              <w:t> </w:t>
            </w:r>
            <w:r>
              <w:rPr>
                <w:sz w:val="20"/>
              </w:rPr>
              <w:t>M05.9,</w:t>
            </w:r>
            <w:r>
              <w:rPr>
                <w:spacing w:val="-6"/>
                <w:sz w:val="20"/>
              </w:rPr>
              <w:t> </w:t>
            </w:r>
            <w:r>
              <w:rPr>
                <w:sz w:val="20"/>
              </w:rPr>
              <w:t>M06.0,</w:t>
            </w:r>
            <w:r>
              <w:rPr>
                <w:spacing w:val="-5"/>
                <w:sz w:val="20"/>
              </w:rPr>
              <w:t> </w:t>
            </w:r>
            <w:r>
              <w:rPr>
                <w:sz w:val="20"/>
              </w:rPr>
              <w:t>M06.1,</w:t>
            </w:r>
            <w:r>
              <w:rPr>
                <w:spacing w:val="-6"/>
                <w:sz w:val="20"/>
              </w:rPr>
              <w:t> </w:t>
            </w:r>
            <w:r>
              <w:rPr>
                <w:sz w:val="20"/>
              </w:rPr>
              <w:t>M06.2,</w:t>
            </w:r>
            <w:r>
              <w:rPr>
                <w:spacing w:val="-1"/>
                <w:sz w:val="20"/>
              </w:rPr>
              <w:t> </w:t>
            </w:r>
            <w:r>
              <w:rPr>
                <w:spacing w:val="-2"/>
                <w:sz w:val="20"/>
              </w:rPr>
              <w:t>M06.3,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M06.4,</w:t>
            </w:r>
            <w:r>
              <w:rPr>
                <w:spacing w:val="-5"/>
                <w:sz w:val="20"/>
              </w:rPr>
              <w:t> </w:t>
            </w:r>
            <w:r>
              <w:rPr>
                <w:sz w:val="20"/>
              </w:rPr>
              <w:t>M06.8,</w:t>
            </w:r>
            <w:r>
              <w:rPr>
                <w:spacing w:val="-5"/>
                <w:sz w:val="20"/>
              </w:rPr>
              <w:t> </w:t>
            </w:r>
            <w:r>
              <w:rPr>
                <w:sz w:val="20"/>
              </w:rPr>
              <w:t>M06.9,</w:t>
            </w:r>
            <w:r>
              <w:rPr>
                <w:spacing w:val="-4"/>
                <w:sz w:val="20"/>
              </w:rPr>
              <w:t> </w:t>
            </w:r>
            <w:r>
              <w:rPr>
                <w:sz w:val="20"/>
              </w:rPr>
              <w:t>M07,</w:t>
            </w:r>
            <w:r>
              <w:rPr>
                <w:spacing w:val="-6"/>
                <w:sz w:val="20"/>
              </w:rPr>
              <w:t> </w:t>
            </w:r>
            <w:r>
              <w:rPr>
                <w:sz w:val="20"/>
              </w:rPr>
              <w:t>M07.0,</w:t>
            </w:r>
            <w:r>
              <w:rPr>
                <w:spacing w:val="-5"/>
                <w:sz w:val="20"/>
              </w:rPr>
              <w:t> </w:t>
            </w:r>
            <w:r>
              <w:rPr>
                <w:spacing w:val="-2"/>
                <w:sz w:val="20"/>
              </w:rPr>
              <w:t>M07.1,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1" w:lineRule="exact"/>
              <w:ind w:left="383"/>
              <w:rPr>
                <w:sz w:val="20"/>
              </w:rPr>
            </w:pPr>
            <w:r>
              <w:rPr>
                <w:sz w:val="20"/>
              </w:rPr>
              <w:t>M07.2,</w:t>
            </w:r>
            <w:r>
              <w:rPr>
                <w:spacing w:val="-6"/>
                <w:sz w:val="20"/>
              </w:rPr>
              <w:t> </w:t>
            </w:r>
            <w:r>
              <w:rPr>
                <w:sz w:val="20"/>
              </w:rPr>
              <w:t>M07.3,</w:t>
            </w:r>
            <w:r>
              <w:rPr>
                <w:spacing w:val="-6"/>
                <w:sz w:val="20"/>
              </w:rPr>
              <w:t> </w:t>
            </w:r>
            <w:r>
              <w:rPr>
                <w:sz w:val="20"/>
              </w:rPr>
              <w:t>M07.4,</w:t>
            </w:r>
            <w:r>
              <w:rPr>
                <w:spacing w:val="-6"/>
                <w:sz w:val="20"/>
              </w:rPr>
              <w:t> </w:t>
            </w:r>
            <w:r>
              <w:rPr>
                <w:sz w:val="20"/>
              </w:rPr>
              <w:t>M07.5,</w:t>
            </w:r>
            <w:r>
              <w:rPr>
                <w:spacing w:val="-6"/>
                <w:sz w:val="20"/>
              </w:rPr>
              <w:t> </w:t>
            </w:r>
            <w:r>
              <w:rPr>
                <w:sz w:val="20"/>
              </w:rPr>
              <w:t>M07.6,</w:t>
            </w:r>
            <w:r>
              <w:rPr>
                <w:spacing w:val="-5"/>
                <w:sz w:val="20"/>
              </w:rPr>
              <w:t> </w:t>
            </w:r>
            <w:r>
              <w:rPr>
                <w:spacing w:val="-2"/>
                <w:sz w:val="20"/>
              </w:rPr>
              <w:t>M08.0,</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1" w:lineRule="exact"/>
              <w:ind w:left="383"/>
              <w:rPr>
                <w:sz w:val="20"/>
              </w:rPr>
            </w:pPr>
            <w:r>
              <w:rPr>
                <w:sz w:val="20"/>
              </w:rPr>
              <w:t>M08.1,</w:t>
            </w:r>
            <w:r>
              <w:rPr>
                <w:spacing w:val="-6"/>
                <w:sz w:val="20"/>
              </w:rPr>
              <w:t> </w:t>
            </w:r>
            <w:r>
              <w:rPr>
                <w:sz w:val="20"/>
              </w:rPr>
              <w:t>M08.2,</w:t>
            </w:r>
            <w:r>
              <w:rPr>
                <w:spacing w:val="-6"/>
                <w:sz w:val="20"/>
              </w:rPr>
              <w:t> </w:t>
            </w:r>
            <w:r>
              <w:rPr>
                <w:sz w:val="20"/>
              </w:rPr>
              <w:t>M08.3,</w:t>
            </w:r>
            <w:r>
              <w:rPr>
                <w:spacing w:val="-6"/>
                <w:sz w:val="20"/>
              </w:rPr>
              <w:t> </w:t>
            </w:r>
            <w:r>
              <w:rPr>
                <w:sz w:val="20"/>
              </w:rPr>
              <w:t>M08.4,</w:t>
            </w:r>
            <w:r>
              <w:rPr>
                <w:spacing w:val="-6"/>
                <w:sz w:val="20"/>
              </w:rPr>
              <w:t> </w:t>
            </w:r>
            <w:r>
              <w:rPr>
                <w:sz w:val="20"/>
              </w:rPr>
              <w:t>M08.8,</w:t>
            </w:r>
            <w:r>
              <w:rPr>
                <w:spacing w:val="-5"/>
                <w:sz w:val="20"/>
              </w:rPr>
              <w:t> </w:t>
            </w:r>
            <w:r>
              <w:rPr>
                <w:spacing w:val="-2"/>
                <w:sz w:val="20"/>
              </w:rPr>
              <w:t>M08.9,</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M10,</w:t>
            </w:r>
            <w:r>
              <w:rPr>
                <w:spacing w:val="-5"/>
                <w:sz w:val="20"/>
              </w:rPr>
              <w:t> </w:t>
            </w:r>
            <w:r>
              <w:rPr>
                <w:sz w:val="20"/>
              </w:rPr>
              <w:t>M10.0,</w:t>
            </w:r>
            <w:r>
              <w:rPr>
                <w:spacing w:val="-4"/>
                <w:sz w:val="20"/>
              </w:rPr>
              <w:t> </w:t>
            </w:r>
            <w:r>
              <w:rPr>
                <w:sz w:val="20"/>
              </w:rPr>
              <w:t>M10.1,</w:t>
            </w:r>
            <w:r>
              <w:rPr>
                <w:spacing w:val="-6"/>
                <w:sz w:val="20"/>
              </w:rPr>
              <w:t> </w:t>
            </w:r>
            <w:r>
              <w:rPr>
                <w:sz w:val="20"/>
              </w:rPr>
              <w:t>M10.2,</w:t>
            </w:r>
            <w:r>
              <w:rPr>
                <w:spacing w:val="-6"/>
                <w:sz w:val="20"/>
              </w:rPr>
              <w:t> </w:t>
            </w:r>
            <w:r>
              <w:rPr>
                <w:sz w:val="20"/>
              </w:rPr>
              <w:t>M10.3,</w:t>
            </w:r>
            <w:r>
              <w:rPr>
                <w:spacing w:val="-4"/>
                <w:sz w:val="20"/>
              </w:rPr>
              <w:t> </w:t>
            </w:r>
            <w:r>
              <w:rPr>
                <w:spacing w:val="-2"/>
                <w:sz w:val="20"/>
              </w:rPr>
              <w:t>M10.4,</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460"/>
              <w:rPr>
                <w:sz w:val="20"/>
              </w:rPr>
            </w:pPr>
            <w:r>
              <w:rPr>
                <w:sz w:val="20"/>
              </w:rPr>
              <w:t>M10.9,</w:t>
            </w:r>
            <w:r>
              <w:rPr>
                <w:spacing w:val="-4"/>
                <w:sz w:val="20"/>
              </w:rPr>
              <w:t> </w:t>
            </w:r>
            <w:r>
              <w:rPr>
                <w:sz w:val="20"/>
              </w:rPr>
              <w:t>M11,</w:t>
            </w:r>
            <w:r>
              <w:rPr>
                <w:spacing w:val="-4"/>
                <w:sz w:val="20"/>
              </w:rPr>
              <w:t> </w:t>
            </w:r>
            <w:r>
              <w:rPr>
                <w:sz w:val="20"/>
              </w:rPr>
              <w:t>M11.0,</w:t>
            </w:r>
            <w:r>
              <w:rPr>
                <w:spacing w:val="-6"/>
                <w:sz w:val="20"/>
              </w:rPr>
              <w:t> </w:t>
            </w:r>
            <w:r>
              <w:rPr>
                <w:sz w:val="20"/>
              </w:rPr>
              <w:t>M11.1,</w:t>
            </w:r>
            <w:r>
              <w:rPr>
                <w:spacing w:val="-6"/>
                <w:sz w:val="20"/>
              </w:rPr>
              <w:t> </w:t>
            </w:r>
            <w:r>
              <w:rPr>
                <w:sz w:val="20"/>
              </w:rPr>
              <w:t>M11.2,</w:t>
            </w:r>
            <w:r>
              <w:rPr>
                <w:spacing w:val="-4"/>
                <w:sz w:val="20"/>
              </w:rPr>
              <w:t> </w:t>
            </w:r>
            <w:r>
              <w:rPr>
                <w:spacing w:val="-2"/>
                <w:sz w:val="20"/>
              </w:rPr>
              <w:t>M11.8,</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460"/>
              <w:rPr>
                <w:sz w:val="20"/>
              </w:rPr>
            </w:pPr>
            <w:r>
              <w:rPr>
                <w:sz w:val="20"/>
              </w:rPr>
              <w:t>M11.9,</w:t>
            </w:r>
            <w:r>
              <w:rPr>
                <w:spacing w:val="-4"/>
                <w:sz w:val="20"/>
              </w:rPr>
              <w:t> </w:t>
            </w:r>
            <w:r>
              <w:rPr>
                <w:sz w:val="20"/>
              </w:rPr>
              <w:t>M12,</w:t>
            </w:r>
            <w:r>
              <w:rPr>
                <w:spacing w:val="-4"/>
                <w:sz w:val="20"/>
              </w:rPr>
              <w:t> </w:t>
            </w:r>
            <w:r>
              <w:rPr>
                <w:sz w:val="20"/>
              </w:rPr>
              <w:t>M12.0,</w:t>
            </w:r>
            <w:r>
              <w:rPr>
                <w:spacing w:val="-6"/>
                <w:sz w:val="20"/>
              </w:rPr>
              <w:t> </w:t>
            </w:r>
            <w:r>
              <w:rPr>
                <w:sz w:val="20"/>
              </w:rPr>
              <w:t>M12.1,</w:t>
            </w:r>
            <w:r>
              <w:rPr>
                <w:spacing w:val="-6"/>
                <w:sz w:val="20"/>
              </w:rPr>
              <w:t> </w:t>
            </w:r>
            <w:r>
              <w:rPr>
                <w:sz w:val="20"/>
              </w:rPr>
              <w:t>M12.2,</w:t>
            </w:r>
            <w:r>
              <w:rPr>
                <w:spacing w:val="-4"/>
                <w:sz w:val="20"/>
              </w:rPr>
              <w:t> </w:t>
            </w:r>
            <w:r>
              <w:rPr>
                <w:spacing w:val="-2"/>
                <w:sz w:val="20"/>
              </w:rPr>
              <w:t>M12.3,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M12.4,</w:t>
            </w:r>
            <w:r>
              <w:rPr>
                <w:spacing w:val="-5"/>
                <w:sz w:val="20"/>
              </w:rPr>
              <w:t> </w:t>
            </w:r>
            <w:r>
              <w:rPr>
                <w:sz w:val="20"/>
              </w:rPr>
              <w:t>M12.5,</w:t>
            </w:r>
            <w:r>
              <w:rPr>
                <w:spacing w:val="-5"/>
                <w:sz w:val="20"/>
              </w:rPr>
              <w:t> </w:t>
            </w:r>
            <w:r>
              <w:rPr>
                <w:sz w:val="20"/>
              </w:rPr>
              <w:t>M12.8,</w:t>
            </w:r>
            <w:r>
              <w:rPr>
                <w:spacing w:val="-4"/>
                <w:sz w:val="20"/>
              </w:rPr>
              <w:t> </w:t>
            </w:r>
            <w:r>
              <w:rPr>
                <w:sz w:val="20"/>
              </w:rPr>
              <w:t>M13,</w:t>
            </w:r>
            <w:r>
              <w:rPr>
                <w:spacing w:val="-6"/>
                <w:sz w:val="20"/>
              </w:rPr>
              <w:t> </w:t>
            </w:r>
            <w:r>
              <w:rPr>
                <w:sz w:val="20"/>
              </w:rPr>
              <w:t>M13.0,</w:t>
            </w:r>
            <w:r>
              <w:rPr>
                <w:spacing w:val="-5"/>
                <w:sz w:val="20"/>
              </w:rPr>
              <w:t> </w:t>
            </w:r>
            <w:r>
              <w:rPr>
                <w:spacing w:val="-2"/>
                <w:sz w:val="20"/>
              </w:rPr>
              <w:t>M13.1,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M13.8,</w:t>
            </w:r>
            <w:r>
              <w:rPr>
                <w:spacing w:val="-5"/>
                <w:sz w:val="20"/>
              </w:rPr>
              <w:t> </w:t>
            </w:r>
            <w:r>
              <w:rPr>
                <w:sz w:val="20"/>
              </w:rPr>
              <w:t>M13.9,</w:t>
            </w:r>
            <w:r>
              <w:rPr>
                <w:spacing w:val="-4"/>
                <w:sz w:val="20"/>
              </w:rPr>
              <w:t> </w:t>
            </w:r>
            <w:r>
              <w:rPr>
                <w:sz w:val="20"/>
              </w:rPr>
              <w:t>M14,</w:t>
            </w:r>
            <w:r>
              <w:rPr>
                <w:spacing w:val="-6"/>
                <w:sz w:val="20"/>
              </w:rPr>
              <w:t> </w:t>
            </w:r>
            <w:r>
              <w:rPr>
                <w:sz w:val="20"/>
              </w:rPr>
              <w:t>M14.0,</w:t>
            </w:r>
            <w:r>
              <w:rPr>
                <w:spacing w:val="-6"/>
                <w:sz w:val="20"/>
              </w:rPr>
              <w:t> </w:t>
            </w:r>
            <w:r>
              <w:rPr>
                <w:sz w:val="20"/>
              </w:rPr>
              <w:t>M14.1,</w:t>
            </w:r>
            <w:r>
              <w:rPr>
                <w:spacing w:val="-4"/>
                <w:sz w:val="20"/>
              </w:rPr>
              <w:t> </w:t>
            </w:r>
            <w:r>
              <w:rPr>
                <w:spacing w:val="-2"/>
                <w:sz w:val="20"/>
              </w:rPr>
              <w:t>M14.2,</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383"/>
              <w:rPr>
                <w:sz w:val="20"/>
              </w:rPr>
            </w:pPr>
            <w:r>
              <w:rPr>
                <w:sz w:val="20"/>
              </w:rPr>
              <w:t>M14.3,</w:t>
            </w:r>
            <w:r>
              <w:rPr>
                <w:spacing w:val="-6"/>
                <w:sz w:val="20"/>
              </w:rPr>
              <w:t> </w:t>
            </w:r>
            <w:r>
              <w:rPr>
                <w:sz w:val="20"/>
              </w:rPr>
              <w:t>M14.4,</w:t>
            </w:r>
            <w:r>
              <w:rPr>
                <w:spacing w:val="-6"/>
                <w:sz w:val="20"/>
              </w:rPr>
              <w:t> </w:t>
            </w:r>
            <w:r>
              <w:rPr>
                <w:sz w:val="20"/>
              </w:rPr>
              <w:t>M14.5,</w:t>
            </w:r>
            <w:r>
              <w:rPr>
                <w:spacing w:val="-6"/>
                <w:sz w:val="20"/>
              </w:rPr>
              <w:t> </w:t>
            </w:r>
            <w:r>
              <w:rPr>
                <w:sz w:val="20"/>
              </w:rPr>
              <w:t>M14.6,</w:t>
            </w:r>
            <w:r>
              <w:rPr>
                <w:spacing w:val="-6"/>
                <w:sz w:val="20"/>
              </w:rPr>
              <w:t> </w:t>
            </w:r>
            <w:r>
              <w:rPr>
                <w:sz w:val="20"/>
              </w:rPr>
              <w:t>M14.8,</w:t>
            </w:r>
            <w:r>
              <w:rPr>
                <w:spacing w:val="-5"/>
                <w:sz w:val="20"/>
              </w:rPr>
              <w:t> </w:t>
            </w:r>
            <w:r>
              <w:rPr>
                <w:spacing w:val="-2"/>
                <w:sz w:val="20"/>
              </w:rPr>
              <w:t>M36.1,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94" w:type="dxa"/>
          </w:tcPr>
          <w:p>
            <w:pPr>
              <w:pStyle w:val="TableParagraph"/>
              <w:spacing w:line="226" w:lineRule="exact"/>
              <w:ind w:left="484"/>
              <w:rPr>
                <w:sz w:val="20"/>
              </w:rPr>
            </w:pPr>
            <w:r>
              <w:rPr>
                <w:sz w:val="20"/>
              </w:rPr>
              <w:t>M36.2,</w:t>
            </w:r>
            <w:r>
              <w:rPr>
                <w:spacing w:val="-5"/>
                <w:sz w:val="20"/>
              </w:rPr>
              <w:t> </w:t>
            </w:r>
            <w:r>
              <w:rPr>
                <w:sz w:val="20"/>
              </w:rPr>
              <w:t>M36.3,</w:t>
            </w:r>
            <w:r>
              <w:rPr>
                <w:spacing w:val="-5"/>
                <w:sz w:val="20"/>
              </w:rPr>
              <w:t> </w:t>
            </w:r>
            <w:r>
              <w:rPr>
                <w:sz w:val="20"/>
              </w:rPr>
              <w:t>M36.4,</w:t>
            </w:r>
            <w:r>
              <w:rPr>
                <w:spacing w:val="-4"/>
                <w:sz w:val="20"/>
              </w:rPr>
              <w:t> </w:t>
            </w:r>
            <w:r>
              <w:rPr>
                <w:sz w:val="20"/>
              </w:rPr>
              <w:t>M45,</w:t>
            </w:r>
            <w:r>
              <w:rPr>
                <w:spacing w:val="-6"/>
                <w:sz w:val="20"/>
              </w:rPr>
              <w:t> </w:t>
            </w:r>
            <w:r>
              <w:rPr>
                <w:sz w:val="20"/>
              </w:rPr>
              <w:t>M46.8,</w:t>
            </w:r>
            <w:r>
              <w:rPr>
                <w:spacing w:val="-5"/>
                <w:sz w:val="20"/>
              </w:rPr>
              <w:t> </w:t>
            </w:r>
            <w:r>
              <w:rPr>
                <w:spacing w:val="-4"/>
                <w:sz w:val="20"/>
              </w:rPr>
              <w:t>M46.9</w:t>
            </w:r>
          </w:p>
        </w:tc>
        <w:tc>
          <w:tcPr>
            <w:tcW w:w="3047" w:type="dxa"/>
          </w:tcPr>
          <w:p>
            <w:pPr>
              <w:pStyle w:val="TableParagraph"/>
              <w:rPr>
                <w:sz w:val="18"/>
              </w:rPr>
            </w:pPr>
          </w:p>
        </w:tc>
        <w:tc>
          <w:tcPr>
            <w:tcW w:w="25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st24.003</w:t>
            </w:r>
          </w:p>
        </w:tc>
        <w:tc>
          <w:tcPr>
            <w:tcW w:w="707" w:type="dxa"/>
          </w:tcPr>
          <w:p>
            <w:pPr>
              <w:pStyle w:val="TableParagraph"/>
              <w:spacing w:line="215" w:lineRule="exact" w:before="45"/>
              <w:ind w:left="210"/>
              <w:rPr>
                <w:sz w:val="20"/>
              </w:rPr>
            </w:pPr>
            <w:r>
              <w:rPr>
                <w:spacing w:val="-5"/>
                <w:sz w:val="20"/>
              </w:rPr>
              <w:t>235</w:t>
            </w:r>
          </w:p>
        </w:tc>
        <w:tc>
          <w:tcPr>
            <w:tcW w:w="2476" w:type="dxa"/>
          </w:tcPr>
          <w:p>
            <w:pPr>
              <w:pStyle w:val="TableParagraph"/>
              <w:spacing w:line="215" w:lineRule="exact" w:before="45"/>
              <w:ind w:left="192"/>
              <w:rPr>
                <w:sz w:val="20"/>
              </w:rPr>
            </w:pPr>
            <w:r>
              <w:rPr>
                <w:spacing w:val="-2"/>
                <w:sz w:val="20"/>
              </w:rPr>
              <w:t>Ревматические</w:t>
            </w:r>
            <w:r>
              <w:rPr>
                <w:spacing w:val="12"/>
                <w:sz w:val="20"/>
              </w:rPr>
              <w:t> </w:t>
            </w:r>
            <w:r>
              <w:rPr>
                <w:spacing w:val="-2"/>
                <w:sz w:val="20"/>
              </w:rPr>
              <w:t>болезни</w:t>
            </w:r>
          </w:p>
        </w:tc>
        <w:tc>
          <w:tcPr>
            <w:tcW w:w="4694" w:type="dxa"/>
          </w:tcPr>
          <w:p>
            <w:pPr>
              <w:pStyle w:val="TableParagraph"/>
              <w:spacing w:line="215" w:lineRule="exact" w:before="45"/>
              <w:ind w:left="352"/>
              <w:rPr>
                <w:sz w:val="20"/>
              </w:rPr>
            </w:pPr>
            <w:r>
              <w:rPr>
                <w:sz w:val="20"/>
              </w:rPr>
              <w:t>I01,</w:t>
            </w:r>
            <w:r>
              <w:rPr>
                <w:spacing w:val="-4"/>
                <w:sz w:val="20"/>
              </w:rPr>
              <w:t> </w:t>
            </w:r>
            <w:r>
              <w:rPr>
                <w:sz w:val="20"/>
              </w:rPr>
              <w:t>I01.0,</w:t>
            </w:r>
            <w:r>
              <w:rPr>
                <w:spacing w:val="-4"/>
                <w:sz w:val="20"/>
              </w:rPr>
              <w:t> </w:t>
            </w:r>
            <w:r>
              <w:rPr>
                <w:sz w:val="20"/>
              </w:rPr>
              <w:t>I01.1,</w:t>
            </w:r>
            <w:r>
              <w:rPr>
                <w:spacing w:val="-4"/>
                <w:sz w:val="20"/>
              </w:rPr>
              <w:t> </w:t>
            </w:r>
            <w:r>
              <w:rPr>
                <w:sz w:val="20"/>
              </w:rPr>
              <w:t>I01.2,</w:t>
            </w:r>
            <w:r>
              <w:rPr>
                <w:spacing w:val="-6"/>
                <w:sz w:val="20"/>
              </w:rPr>
              <w:t> </w:t>
            </w:r>
            <w:r>
              <w:rPr>
                <w:sz w:val="20"/>
              </w:rPr>
              <w:t>I01.8,</w:t>
            </w:r>
            <w:r>
              <w:rPr>
                <w:spacing w:val="-5"/>
                <w:sz w:val="20"/>
              </w:rPr>
              <w:t> </w:t>
            </w:r>
            <w:r>
              <w:rPr>
                <w:sz w:val="20"/>
              </w:rPr>
              <w:t>I01.9,</w:t>
            </w:r>
            <w:r>
              <w:rPr>
                <w:spacing w:val="-4"/>
                <w:sz w:val="20"/>
              </w:rPr>
              <w:t> </w:t>
            </w:r>
            <w:r>
              <w:rPr>
                <w:sz w:val="20"/>
              </w:rPr>
              <w:t>I02,</w:t>
            </w:r>
            <w:r>
              <w:rPr>
                <w:spacing w:val="-4"/>
                <w:sz w:val="20"/>
              </w:rPr>
              <w:t> </w:t>
            </w:r>
            <w:r>
              <w:rPr>
                <w:spacing w:val="-2"/>
                <w:sz w:val="20"/>
              </w:rPr>
              <w:t>I02.0,</w:t>
            </w:r>
          </w:p>
        </w:tc>
        <w:tc>
          <w:tcPr>
            <w:tcW w:w="3047" w:type="dxa"/>
          </w:tcPr>
          <w:p>
            <w:pPr>
              <w:pStyle w:val="TableParagraph"/>
              <w:spacing w:line="215" w:lineRule="exact" w:before="45"/>
              <w:ind w:right="184"/>
              <w:jc w:val="center"/>
              <w:rPr>
                <w:sz w:val="20"/>
              </w:rPr>
            </w:pPr>
            <w:r>
              <w:rPr>
                <w:w w:val="99"/>
                <w:sz w:val="20"/>
              </w:rPr>
              <w:t>-</w:t>
            </w:r>
          </w:p>
        </w:tc>
        <w:tc>
          <w:tcPr>
            <w:tcW w:w="2540" w:type="dxa"/>
          </w:tcPr>
          <w:p>
            <w:pPr>
              <w:pStyle w:val="TableParagraph"/>
              <w:spacing w:line="215" w:lineRule="exact" w:before="45"/>
              <w:ind w:left="1216"/>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0,87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1" w:lineRule="exact"/>
              <w:ind w:left="192"/>
              <w:rPr>
                <w:sz w:val="20"/>
              </w:rPr>
            </w:pPr>
            <w:r>
              <w:rPr>
                <w:sz w:val="20"/>
              </w:rPr>
              <w:t>сердца</w:t>
            </w:r>
            <w:r>
              <w:rPr>
                <w:spacing w:val="-10"/>
                <w:sz w:val="20"/>
              </w:rPr>
              <w:t> </w:t>
            </w:r>
            <w:r>
              <w:rPr>
                <w:sz w:val="20"/>
              </w:rPr>
              <w:t>(уровень</w:t>
            </w:r>
            <w:r>
              <w:rPr>
                <w:spacing w:val="-9"/>
                <w:sz w:val="20"/>
              </w:rPr>
              <w:t> </w:t>
            </w:r>
            <w:r>
              <w:rPr>
                <w:spacing w:val="-5"/>
                <w:sz w:val="20"/>
              </w:rPr>
              <w:t>1)</w:t>
            </w:r>
          </w:p>
        </w:tc>
        <w:tc>
          <w:tcPr>
            <w:tcW w:w="4694" w:type="dxa"/>
          </w:tcPr>
          <w:p>
            <w:pPr>
              <w:pStyle w:val="TableParagraph"/>
              <w:spacing w:line="211" w:lineRule="exact"/>
              <w:ind w:left="352"/>
              <w:rPr>
                <w:sz w:val="20"/>
              </w:rPr>
            </w:pPr>
            <w:r>
              <w:rPr>
                <w:sz w:val="20"/>
              </w:rPr>
              <w:t>I02.9,</w:t>
            </w:r>
            <w:r>
              <w:rPr>
                <w:spacing w:val="-5"/>
                <w:sz w:val="20"/>
              </w:rPr>
              <w:t> </w:t>
            </w:r>
            <w:r>
              <w:rPr>
                <w:sz w:val="20"/>
              </w:rPr>
              <w:t>I05,</w:t>
            </w:r>
            <w:r>
              <w:rPr>
                <w:spacing w:val="-5"/>
                <w:sz w:val="20"/>
              </w:rPr>
              <w:t> </w:t>
            </w:r>
            <w:r>
              <w:rPr>
                <w:sz w:val="20"/>
              </w:rPr>
              <w:t>I05.0,</w:t>
            </w:r>
            <w:r>
              <w:rPr>
                <w:spacing w:val="-5"/>
                <w:sz w:val="20"/>
              </w:rPr>
              <w:t> </w:t>
            </w:r>
            <w:r>
              <w:rPr>
                <w:sz w:val="20"/>
              </w:rPr>
              <w:t>I05.1,</w:t>
            </w:r>
            <w:r>
              <w:rPr>
                <w:spacing w:val="-7"/>
                <w:sz w:val="20"/>
              </w:rPr>
              <w:t> </w:t>
            </w:r>
            <w:r>
              <w:rPr>
                <w:sz w:val="20"/>
              </w:rPr>
              <w:t>I05.2,</w:t>
            </w:r>
            <w:r>
              <w:rPr>
                <w:spacing w:val="-7"/>
                <w:sz w:val="20"/>
              </w:rPr>
              <w:t> </w:t>
            </w:r>
            <w:r>
              <w:rPr>
                <w:sz w:val="20"/>
              </w:rPr>
              <w:t>I05.8,</w:t>
            </w:r>
            <w:r>
              <w:rPr>
                <w:spacing w:val="-5"/>
                <w:sz w:val="20"/>
              </w:rPr>
              <w:t> </w:t>
            </w:r>
            <w:r>
              <w:rPr>
                <w:sz w:val="20"/>
              </w:rPr>
              <w:t>I05.9,</w:t>
            </w:r>
            <w:r>
              <w:rPr>
                <w:spacing w:val="-7"/>
                <w:sz w:val="20"/>
              </w:rPr>
              <w:t> </w:t>
            </w:r>
            <w:r>
              <w:rPr>
                <w:spacing w:val="-4"/>
                <w:sz w:val="20"/>
              </w:rPr>
              <w:t>I06,</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1" w:lineRule="exact"/>
              <w:ind w:left="275"/>
              <w:rPr>
                <w:sz w:val="20"/>
              </w:rPr>
            </w:pPr>
            <w:r>
              <w:rPr>
                <w:sz w:val="20"/>
              </w:rPr>
              <w:t>I06.0,</w:t>
            </w:r>
            <w:r>
              <w:rPr>
                <w:spacing w:val="-5"/>
                <w:sz w:val="20"/>
              </w:rPr>
              <w:t> </w:t>
            </w:r>
            <w:r>
              <w:rPr>
                <w:sz w:val="20"/>
              </w:rPr>
              <w:t>I06.1,</w:t>
            </w:r>
            <w:r>
              <w:rPr>
                <w:spacing w:val="-7"/>
                <w:sz w:val="20"/>
              </w:rPr>
              <w:t> </w:t>
            </w:r>
            <w:r>
              <w:rPr>
                <w:sz w:val="20"/>
              </w:rPr>
              <w:t>I06.2,</w:t>
            </w:r>
            <w:r>
              <w:rPr>
                <w:spacing w:val="-5"/>
                <w:sz w:val="20"/>
              </w:rPr>
              <w:t> </w:t>
            </w:r>
            <w:r>
              <w:rPr>
                <w:sz w:val="20"/>
              </w:rPr>
              <w:t>I06.8,</w:t>
            </w:r>
            <w:r>
              <w:rPr>
                <w:spacing w:val="-5"/>
                <w:sz w:val="20"/>
              </w:rPr>
              <w:t> </w:t>
            </w:r>
            <w:r>
              <w:rPr>
                <w:sz w:val="20"/>
              </w:rPr>
              <w:t>I06.9,</w:t>
            </w:r>
            <w:r>
              <w:rPr>
                <w:spacing w:val="-5"/>
                <w:sz w:val="20"/>
              </w:rPr>
              <w:t> </w:t>
            </w:r>
            <w:r>
              <w:rPr>
                <w:sz w:val="20"/>
              </w:rPr>
              <w:t>I07,</w:t>
            </w:r>
            <w:r>
              <w:rPr>
                <w:spacing w:val="-5"/>
                <w:sz w:val="20"/>
              </w:rPr>
              <w:t> </w:t>
            </w:r>
            <w:r>
              <w:rPr>
                <w:sz w:val="20"/>
              </w:rPr>
              <w:t>I07.0,</w:t>
            </w:r>
            <w:r>
              <w:rPr>
                <w:spacing w:val="-7"/>
                <w:sz w:val="20"/>
              </w:rPr>
              <w:t> </w:t>
            </w:r>
            <w:r>
              <w:rPr>
                <w:spacing w:val="-2"/>
                <w:sz w:val="20"/>
              </w:rPr>
              <w:t>I07.1,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275"/>
              <w:rPr>
                <w:sz w:val="20"/>
              </w:rPr>
            </w:pPr>
            <w:r>
              <w:rPr>
                <w:sz w:val="20"/>
              </w:rPr>
              <w:t>I07.2,</w:t>
            </w:r>
            <w:r>
              <w:rPr>
                <w:spacing w:val="-5"/>
                <w:sz w:val="20"/>
              </w:rPr>
              <w:t> </w:t>
            </w:r>
            <w:r>
              <w:rPr>
                <w:sz w:val="20"/>
              </w:rPr>
              <w:t>I07.8,</w:t>
            </w:r>
            <w:r>
              <w:rPr>
                <w:spacing w:val="-6"/>
                <w:sz w:val="20"/>
              </w:rPr>
              <w:t> </w:t>
            </w:r>
            <w:r>
              <w:rPr>
                <w:sz w:val="20"/>
              </w:rPr>
              <w:t>I07.9,</w:t>
            </w:r>
            <w:r>
              <w:rPr>
                <w:spacing w:val="-5"/>
                <w:sz w:val="20"/>
              </w:rPr>
              <w:t> </w:t>
            </w:r>
            <w:r>
              <w:rPr>
                <w:sz w:val="20"/>
              </w:rPr>
              <w:t>I08,</w:t>
            </w:r>
            <w:r>
              <w:rPr>
                <w:spacing w:val="-6"/>
                <w:sz w:val="20"/>
              </w:rPr>
              <w:t> </w:t>
            </w:r>
            <w:r>
              <w:rPr>
                <w:sz w:val="20"/>
              </w:rPr>
              <w:t>I08.0,</w:t>
            </w:r>
            <w:r>
              <w:rPr>
                <w:spacing w:val="-7"/>
                <w:sz w:val="20"/>
              </w:rPr>
              <w:t> </w:t>
            </w:r>
            <w:r>
              <w:rPr>
                <w:sz w:val="20"/>
              </w:rPr>
              <w:t>I08.1,</w:t>
            </w:r>
            <w:r>
              <w:rPr>
                <w:spacing w:val="-4"/>
                <w:sz w:val="20"/>
              </w:rPr>
              <w:t> </w:t>
            </w:r>
            <w:r>
              <w:rPr>
                <w:sz w:val="20"/>
              </w:rPr>
              <w:t>I08.2,</w:t>
            </w:r>
            <w:r>
              <w:rPr>
                <w:spacing w:val="-7"/>
                <w:sz w:val="20"/>
              </w:rPr>
              <w:t> </w:t>
            </w:r>
            <w:r>
              <w:rPr>
                <w:spacing w:val="-2"/>
                <w:sz w:val="20"/>
              </w:rPr>
              <w:t>I08.3,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94" w:type="dxa"/>
          </w:tcPr>
          <w:p>
            <w:pPr>
              <w:pStyle w:val="TableParagraph"/>
              <w:spacing w:line="224" w:lineRule="exact"/>
              <w:ind w:left="301"/>
              <w:rPr>
                <w:sz w:val="20"/>
              </w:rPr>
            </w:pPr>
            <w:r>
              <w:rPr>
                <w:sz w:val="20"/>
              </w:rPr>
              <w:t>I08.8,</w:t>
            </w:r>
            <w:r>
              <w:rPr>
                <w:spacing w:val="-5"/>
                <w:sz w:val="20"/>
              </w:rPr>
              <w:t> </w:t>
            </w:r>
            <w:r>
              <w:rPr>
                <w:sz w:val="20"/>
              </w:rPr>
              <w:t>I08.9,</w:t>
            </w:r>
            <w:r>
              <w:rPr>
                <w:spacing w:val="-7"/>
                <w:sz w:val="20"/>
              </w:rPr>
              <w:t> </w:t>
            </w:r>
            <w:r>
              <w:rPr>
                <w:sz w:val="20"/>
              </w:rPr>
              <w:t>I09,</w:t>
            </w:r>
            <w:r>
              <w:rPr>
                <w:spacing w:val="-4"/>
                <w:sz w:val="20"/>
              </w:rPr>
              <w:t> </w:t>
            </w:r>
            <w:r>
              <w:rPr>
                <w:sz w:val="20"/>
              </w:rPr>
              <w:t>I09.0,</w:t>
            </w:r>
            <w:r>
              <w:rPr>
                <w:spacing w:val="-7"/>
                <w:sz w:val="20"/>
              </w:rPr>
              <w:t> </w:t>
            </w:r>
            <w:r>
              <w:rPr>
                <w:sz w:val="20"/>
              </w:rPr>
              <w:t>I09.1,</w:t>
            </w:r>
            <w:r>
              <w:rPr>
                <w:spacing w:val="-6"/>
                <w:sz w:val="20"/>
              </w:rPr>
              <w:t> </w:t>
            </w:r>
            <w:r>
              <w:rPr>
                <w:sz w:val="20"/>
              </w:rPr>
              <w:t>I09.2,</w:t>
            </w:r>
            <w:r>
              <w:rPr>
                <w:spacing w:val="-5"/>
                <w:sz w:val="20"/>
              </w:rPr>
              <w:t> </w:t>
            </w:r>
            <w:r>
              <w:rPr>
                <w:sz w:val="20"/>
              </w:rPr>
              <w:t>I09.8,</w:t>
            </w:r>
            <w:r>
              <w:rPr>
                <w:spacing w:val="-7"/>
                <w:sz w:val="20"/>
              </w:rPr>
              <w:t> </w:t>
            </w:r>
            <w:r>
              <w:rPr>
                <w:spacing w:val="-4"/>
                <w:sz w:val="20"/>
              </w:rPr>
              <w:t>I09.9</w:t>
            </w:r>
          </w:p>
        </w:tc>
        <w:tc>
          <w:tcPr>
            <w:tcW w:w="3047" w:type="dxa"/>
          </w:tcPr>
          <w:p>
            <w:pPr>
              <w:pStyle w:val="TableParagraph"/>
              <w:rPr>
                <w:sz w:val="18"/>
              </w:rPr>
            </w:pPr>
          </w:p>
        </w:tc>
        <w:tc>
          <w:tcPr>
            <w:tcW w:w="2540" w:type="dxa"/>
          </w:tcPr>
          <w:p>
            <w:pPr>
              <w:pStyle w:val="TableParagraph"/>
              <w:rPr>
                <w:sz w:val="18"/>
              </w:rPr>
            </w:pPr>
          </w:p>
        </w:tc>
        <w:tc>
          <w:tcPr>
            <w:tcW w:w="864"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st24.004</w:t>
            </w:r>
          </w:p>
        </w:tc>
        <w:tc>
          <w:tcPr>
            <w:tcW w:w="707" w:type="dxa"/>
          </w:tcPr>
          <w:p>
            <w:pPr>
              <w:pStyle w:val="TableParagraph"/>
              <w:spacing w:line="215" w:lineRule="exact" w:before="46"/>
              <w:ind w:left="210"/>
              <w:rPr>
                <w:sz w:val="20"/>
              </w:rPr>
            </w:pPr>
            <w:r>
              <w:rPr>
                <w:spacing w:val="-5"/>
                <w:sz w:val="20"/>
              </w:rPr>
              <w:t>236</w:t>
            </w:r>
          </w:p>
        </w:tc>
        <w:tc>
          <w:tcPr>
            <w:tcW w:w="2476" w:type="dxa"/>
          </w:tcPr>
          <w:p>
            <w:pPr>
              <w:pStyle w:val="TableParagraph"/>
              <w:spacing w:line="215" w:lineRule="exact" w:before="46"/>
              <w:ind w:left="192"/>
              <w:rPr>
                <w:sz w:val="20"/>
              </w:rPr>
            </w:pPr>
            <w:r>
              <w:rPr>
                <w:spacing w:val="-2"/>
                <w:sz w:val="20"/>
              </w:rPr>
              <w:t>Ревматические</w:t>
            </w:r>
            <w:r>
              <w:rPr>
                <w:spacing w:val="13"/>
                <w:sz w:val="20"/>
              </w:rPr>
              <w:t> </w:t>
            </w:r>
            <w:r>
              <w:rPr>
                <w:spacing w:val="-2"/>
                <w:sz w:val="20"/>
              </w:rPr>
              <w:t>болезни</w:t>
            </w:r>
          </w:p>
        </w:tc>
        <w:tc>
          <w:tcPr>
            <w:tcW w:w="4694" w:type="dxa"/>
          </w:tcPr>
          <w:p>
            <w:pPr>
              <w:pStyle w:val="TableParagraph"/>
              <w:spacing w:line="215" w:lineRule="exact" w:before="46"/>
              <w:ind w:left="352"/>
              <w:rPr>
                <w:sz w:val="20"/>
              </w:rPr>
            </w:pPr>
            <w:r>
              <w:rPr>
                <w:sz w:val="20"/>
              </w:rPr>
              <w:t>I01,</w:t>
            </w:r>
            <w:r>
              <w:rPr>
                <w:spacing w:val="-5"/>
                <w:sz w:val="20"/>
              </w:rPr>
              <w:t> </w:t>
            </w:r>
            <w:r>
              <w:rPr>
                <w:sz w:val="20"/>
              </w:rPr>
              <w:t>I01.0,</w:t>
            </w:r>
            <w:r>
              <w:rPr>
                <w:spacing w:val="-5"/>
                <w:sz w:val="20"/>
              </w:rPr>
              <w:t> </w:t>
            </w:r>
            <w:r>
              <w:rPr>
                <w:sz w:val="20"/>
              </w:rPr>
              <w:t>I01.1,</w:t>
            </w:r>
            <w:r>
              <w:rPr>
                <w:spacing w:val="-4"/>
                <w:sz w:val="20"/>
              </w:rPr>
              <w:t> </w:t>
            </w:r>
            <w:r>
              <w:rPr>
                <w:sz w:val="20"/>
              </w:rPr>
              <w:t>I01.2,</w:t>
            </w:r>
            <w:r>
              <w:rPr>
                <w:spacing w:val="-7"/>
                <w:sz w:val="20"/>
              </w:rPr>
              <w:t> </w:t>
            </w:r>
            <w:r>
              <w:rPr>
                <w:sz w:val="20"/>
              </w:rPr>
              <w:t>I01.8,</w:t>
            </w:r>
            <w:r>
              <w:rPr>
                <w:spacing w:val="-6"/>
                <w:sz w:val="20"/>
              </w:rPr>
              <w:t> </w:t>
            </w:r>
            <w:r>
              <w:rPr>
                <w:sz w:val="20"/>
              </w:rPr>
              <w:t>I01.9,</w:t>
            </w:r>
            <w:r>
              <w:rPr>
                <w:spacing w:val="-5"/>
                <w:sz w:val="20"/>
              </w:rPr>
              <w:t> </w:t>
            </w:r>
            <w:r>
              <w:rPr>
                <w:sz w:val="20"/>
              </w:rPr>
              <w:t>I02,</w:t>
            </w:r>
            <w:r>
              <w:rPr>
                <w:spacing w:val="-4"/>
                <w:sz w:val="20"/>
              </w:rPr>
              <w:t> </w:t>
            </w:r>
            <w:r>
              <w:rPr>
                <w:spacing w:val="-2"/>
                <w:sz w:val="20"/>
              </w:rPr>
              <w:t>I02.0,</w:t>
            </w:r>
          </w:p>
        </w:tc>
        <w:tc>
          <w:tcPr>
            <w:tcW w:w="3047" w:type="dxa"/>
          </w:tcPr>
          <w:p>
            <w:pPr>
              <w:pStyle w:val="TableParagraph"/>
              <w:spacing w:line="215" w:lineRule="exact" w:before="46"/>
              <w:ind w:left="233" w:right="420"/>
              <w:jc w:val="center"/>
              <w:rPr>
                <w:sz w:val="20"/>
              </w:rPr>
            </w:pPr>
            <w:r>
              <w:rPr>
                <w:w w:val="95"/>
                <w:sz w:val="20"/>
              </w:rPr>
              <w:t>A06.09.005.002,</w:t>
            </w:r>
            <w:r>
              <w:rPr>
                <w:spacing w:val="54"/>
                <w:sz w:val="20"/>
              </w:rPr>
              <w:t> </w:t>
            </w:r>
            <w:r>
              <w:rPr>
                <w:spacing w:val="-2"/>
                <w:sz w:val="20"/>
              </w:rPr>
              <w:t>A06.10.006,</w:t>
            </w:r>
          </w:p>
        </w:tc>
        <w:tc>
          <w:tcPr>
            <w:tcW w:w="2540" w:type="dxa"/>
          </w:tcPr>
          <w:p>
            <w:pPr>
              <w:pStyle w:val="TableParagraph"/>
              <w:spacing w:line="215" w:lineRule="exact" w:before="46"/>
              <w:ind w:left="1216"/>
              <w:rPr>
                <w:sz w:val="20"/>
              </w:rPr>
            </w:pPr>
            <w:r>
              <w:rPr>
                <w:w w:val="99"/>
                <w:sz w:val="20"/>
              </w:rPr>
              <w:t>-</w:t>
            </w:r>
          </w:p>
        </w:tc>
        <w:tc>
          <w:tcPr>
            <w:tcW w:w="864" w:type="dxa"/>
          </w:tcPr>
          <w:p>
            <w:pPr>
              <w:pStyle w:val="TableParagraph"/>
              <w:spacing w:line="215" w:lineRule="exact" w:before="46"/>
              <w:ind w:right="48"/>
              <w:jc w:val="right"/>
              <w:rPr>
                <w:sz w:val="20"/>
              </w:rPr>
            </w:pPr>
            <w:r>
              <w:rPr>
                <w:spacing w:val="-4"/>
                <w:sz w:val="20"/>
              </w:rPr>
              <w:t>1,57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z w:val="20"/>
              </w:rPr>
              <w:t>сердца</w:t>
            </w:r>
            <w:r>
              <w:rPr>
                <w:spacing w:val="-10"/>
                <w:sz w:val="20"/>
              </w:rPr>
              <w:t> </w:t>
            </w:r>
            <w:r>
              <w:rPr>
                <w:sz w:val="20"/>
              </w:rPr>
              <w:t>(уровень</w:t>
            </w:r>
            <w:r>
              <w:rPr>
                <w:spacing w:val="-9"/>
                <w:sz w:val="20"/>
              </w:rPr>
              <w:t> </w:t>
            </w:r>
            <w:r>
              <w:rPr>
                <w:spacing w:val="-5"/>
                <w:sz w:val="20"/>
              </w:rPr>
              <w:t>2)</w:t>
            </w:r>
          </w:p>
        </w:tc>
        <w:tc>
          <w:tcPr>
            <w:tcW w:w="4694" w:type="dxa"/>
          </w:tcPr>
          <w:p>
            <w:pPr>
              <w:pStyle w:val="TableParagraph"/>
              <w:spacing w:line="210" w:lineRule="exact"/>
              <w:ind w:left="352"/>
              <w:rPr>
                <w:sz w:val="20"/>
              </w:rPr>
            </w:pPr>
            <w:r>
              <w:rPr>
                <w:sz w:val="20"/>
              </w:rPr>
              <w:t>I02.9,</w:t>
            </w:r>
            <w:r>
              <w:rPr>
                <w:spacing w:val="-5"/>
                <w:sz w:val="20"/>
              </w:rPr>
              <w:t> </w:t>
            </w:r>
            <w:r>
              <w:rPr>
                <w:sz w:val="20"/>
              </w:rPr>
              <w:t>I05,</w:t>
            </w:r>
            <w:r>
              <w:rPr>
                <w:spacing w:val="-5"/>
                <w:sz w:val="20"/>
              </w:rPr>
              <w:t> </w:t>
            </w:r>
            <w:r>
              <w:rPr>
                <w:sz w:val="20"/>
              </w:rPr>
              <w:t>I05.0,</w:t>
            </w:r>
            <w:r>
              <w:rPr>
                <w:spacing w:val="-5"/>
                <w:sz w:val="20"/>
              </w:rPr>
              <w:t> </w:t>
            </w:r>
            <w:r>
              <w:rPr>
                <w:sz w:val="20"/>
              </w:rPr>
              <w:t>I05.1,</w:t>
            </w:r>
            <w:r>
              <w:rPr>
                <w:spacing w:val="-7"/>
                <w:sz w:val="20"/>
              </w:rPr>
              <w:t> </w:t>
            </w:r>
            <w:r>
              <w:rPr>
                <w:sz w:val="20"/>
              </w:rPr>
              <w:t>I05.2,</w:t>
            </w:r>
            <w:r>
              <w:rPr>
                <w:spacing w:val="-7"/>
                <w:sz w:val="20"/>
              </w:rPr>
              <w:t> </w:t>
            </w:r>
            <w:r>
              <w:rPr>
                <w:sz w:val="20"/>
              </w:rPr>
              <w:t>I05.8,</w:t>
            </w:r>
            <w:r>
              <w:rPr>
                <w:spacing w:val="-5"/>
                <w:sz w:val="20"/>
              </w:rPr>
              <w:t> </w:t>
            </w:r>
            <w:r>
              <w:rPr>
                <w:sz w:val="20"/>
              </w:rPr>
              <w:t>I05.9,</w:t>
            </w:r>
            <w:r>
              <w:rPr>
                <w:spacing w:val="-7"/>
                <w:sz w:val="20"/>
              </w:rPr>
              <w:t> </w:t>
            </w:r>
            <w:r>
              <w:rPr>
                <w:spacing w:val="-4"/>
                <w:sz w:val="20"/>
              </w:rPr>
              <w:t>I06,</w:t>
            </w:r>
          </w:p>
        </w:tc>
        <w:tc>
          <w:tcPr>
            <w:tcW w:w="3047" w:type="dxa"/>
          </w:tcPr>
          <w:p>
            <w:pPr>
              <w:pStyle w:val="TableParagraph"/>
              <w:spacing w:line="210" w:lineRule="exact"/>
              <w:ind w:left="233" w:right="420"/>
              <w:jc w:val="center"/>
              <w:rPr>
                <w:sz w:val="20"/>
              </w:rPr>
            </w:pPr>
            <w:r>
              <w:rPr>
                <w:w w:val="95"/>
                <w:sz w:val="20"/>
              </w:rPr>
              <w:t>A06.10.006.002,</w:t>
            </w:r>
            <w:r>
              <w:rPr>
                <w:spacing w:val="54"/>
                <w:sz w:val="20"/>
              </w:rPr>
              <w:t> </w:t>
            </w:r>
            <w:r>
              <w:rPr>
                <w:spacing w:val="-2"/>
                <w:sz w:val="20"/>
              </w:rPr>
              <w:t>A11.10.001,</w:t>
            </w: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275"/>
              <w:rPr>
                <w:sz w:val="20"/>
              </w:rPr>
            </w:pPr>
            <w:r>
              <w:rPr>
                <w:sz w:val="20"/>
              </w:rPr>
              <w:t>I06.0,</w:t>
            </w:r>
            <w:r>
              <w:rPr>
                <w:spacing w:val="-5"/>
                <w:sz w:val="20"/>
              </w:rPr>
              <w:t> </w:t>
            </w:r>
            <w:r>
              <w:rPr>
                <w:sz w:val="20"/>
              </w:rPr>
              <w:t>I06.1,</w:t>
            </w:r>
            <w:r>
              <w:rPr>
                <w:spacing w:val="-7"/>
                <w:sz w:val="20"/>
              </w:rPr>
              <w:t> </w:t>
            </w:r>
            <w:r>
              <w:rPr>
                <w:sz w:val="20"/>
              </w:rPr>
              <w:t>I06.2,</w:t>
            </w:r>
            <w:r>
              <w:rPr>
                <w:spacing w:val="-5"/>
                <w:sz w:val="20"/>
              </w:rPr>
              <w:t> </w:t>
            </w:r>
            <w:r>
              <w:rPr>
                <w:sz w:val="20"/>
              </w:rPr>
              <w:t>I06.8,</w:t>
            </w:r>
            <w:r>
              <w:rPr>
                <w:spacing w:val="-5"/>
                <w:sz w:val="20"/>
              </w:rPr>
              <w:t> </w:t>
            </w:r>
            <w:r>
              <w:rPr>
                <w:sz w:val="20"/>
              </w:rPr>
              <w:t>I06.9,</w:t>
            </w:r>
            <w:r>
              <w:rPr>
                <w:spacing w:val="-5"/>
                <w:sz w:val="20"/>
              </w:rPr>
              <w:t> </w:t>
            </w:r>
            <w:r>
              <w:rPr>
                <w:sz w:val="20"/>
              </w:rPr>
              <w:t>I07,</w:t>
            </w:r>
            <w:r>
              <w:rPr>
                <w:spacing w:val="-5"/>
                <w:sz w:val="20"/>
              </w:rPr>
              <w:t> </w:t>
            </w:r>
            <w:r>
              <w:rPr>
                <w:sz w:val="20"/>
              </w:rPr>
              <w:t>I07.0,</w:t>
            </w:r>
            <w:r>
              <w:rPr>
                <w:spacing w:val="-7"/>
                <w:sz w:val="20"/>
              </w:rPr>
              <w:t> </w:t>
            </w:r>
            <w:r>
              <w:rPr>
                <w:spacing w:val="-2"/>
                <w:sz w:val="20"/>
              </w:rPr>
              <w:t>I07.1,</w:t>
            </w:r>
          </w:p>
        </w:tc>
        <w:tc>
          <w:tcPr>
            <w:tcW w:w="3047" w:type="dxa"/>
          </w:tcPr>
          <w:p>
            <w:pPr>
              <w:pStyle w:val="TableParagraph"/>
              <w:spacing w:line="209" w:lineRule="exact"/>
              <w:ind w:left="233" w:right="418"/>
              <w:jc w:val="center"/>
              <w:rPr>
                <w:sz w:val="20"/>
              </w:rPr>
            </w:pPr>
            <w:r>
              <w:rPr>
                <w:sz w:val="20"/>
              </w:rPr>
              <w:t>A11.10.003,</w:t>
            </w:r>
            <w:r>
              <w:rPr>
                <w:spacing w:val="-9"/>
                <w:sz w:val="20"/>
              </w:rPr>
              <w:t> </w:t>
            </w:r>
            <w:r>
              <w:rPr>
                <w:spacing w:val="-2"/>
                <w:sz w:val="20"/>
              </w:rPr>
              <w:t>A17.10.001,</w:t>
            </w: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275"/>
              <w:rPr>
                <w:sz w:val="20"/>
              </w:rPr>
            </w:pPr>
            <w:r>
              <w:rPr>
                <w:sz w:val="20"/>
              </w:rPr>
              <w:t>I07.2,</w:t>
            </w:r>
            <w:r>
              <w:rPr>
                <w:spacing w:val="-5"/>
                <w:sz w:val="20"/>
              </w:rPr>
              <w:t> </w:t>
            </w:r>
            <w:r>
              <w:rPr>
                <w:sz w:val="20"/>
              </w:rPr>
              <w:t>I07.8,</w:t>
            </w:r>
            <w:r>
              <w:rPr>
                <w:spacing w:val="-6"/>
                <w:sz w:val="20"/>
              </w:rPr>
              <w:t> </w:t>
            </w:r>
            <w:r>
              <w:rPr>
                <w:sz w:val="20"/>
              </w:rPr>
              <w:t>I07.9,</w:t>
            </w:r>
            <w:r>
              <w:rPr>
                <w:spacing w:val="-5"/>
                <w:sz w:val="20"/>
              </w:rPr>
              <w:t> </w:t>
            </w:r>
            <w:r>
              <w:rPr>
                <w:sz w:val="20"/>
              </w:rPr>
              <w:t>I08,</w:t>
            </w:r>
            <w:r>
              <w:rPr>
                <w:spacing w:val="-6"/>
                <w:sz w:val="20"/>
              </w:rPr>
              <w:t> </w:t>
            </w:r>
            <w:r>
              <w:rPr>
                <w:sz w:val="20"/>
              </w:rPr>
              <w:t>I08.0,</w:t>
            </w:r>
            <w:r>
              <w:rPr>
                <w:spacing w:val="-7"/>
                <w:sz w:val="20"/>
              </w:rPr>
              <w:t> </w:t>
            </w:r>
            <w:r>
              <w:rPr>
                <w:sz w:val="20"/>
              </w:rPr>
              <w:t>I08.1,</w:t>
            </w:r>
            <w:r>
              <w:rPr>
                <w:spacing w:val="-4"/>
                <w:sz w:val="20"/>
              </w:rPr>
              <w:t> </w:t>
            </w:r>
            <w:r>
              <w:rPr>
                <w:sz w:val="20"/>
              </w:rPr>
              <w:t>I08.2,</w:t>
            </w:r>
            <w:r>
              <w:rPr>
                <w:spacing w:val="-7"/>
                <w:sz w:val="20"/>
              </w:rPr>
              <w:t> </w:t>
            </w:r>
            <w:r>
              <w:rPr>
                <w:spacing w:val="-2"/>
                <w:sz w:val="20"/>
              </w:rPr>
              <w:t>I08.3,</w:t>
            </w:r>
          </w:p>
        </w:tc>
        <w:tc>
          <w:tcPr>
            <w:tcW w:w="3047" w:type="dxa"/>
          </w:tcPr>
          <w:p>
            <w:pPr>
              <w:pStyle w:val="TableParagraph"/>
              <w:spacing w:line="209" w:lineRule="exact"/>
              <w:ind w:left="233" w:right="420"/>
              <w:jc w:val="center"/>
              <w:rPr>
                <w:sz w:val="20"/>
              </w:rPr>
            </w:pPr>
            <w:r>
              <w:rPr>
                <w:w w:val="95"/>
                <w:sz w:val="20"/>
              </w:rPr>
              <w:t>A17.10.001.001,</w:t>
            </w:r>
            <w:r>
              <w:rPr>
                <w:spacing w:val="54"/>
                <w:sz w:val="20"/>
              </w:rPr>
              <w:t> </w:t>
            </w:r>
            <w:r>
              <w:rPr>
                <w:spacing w:val="-2"/>
                <w:sz w:val="20"/>
              </w:rPr>
              <w:t>A17.10.002,</w:t>
            </w:r>
          </w:p>
        </w:tc>
        <w:tc>
          <w:tcPr>
            <w:tcW w:w="2540"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5" w:lineRule="exact"/>
              <w:ind w:left="301"/>
              <w:rPr>
                <w:sz w:val="20"/>
              </w:rPr>
            </w:pPr>
            <w:r>
              <w:rPr>
                <w:sz w:val="20"/>
              </w:rPr>
              <w:t>I08.8,</w:t>
            </w:r>
            <w:r>
              <w:rPr>
                <w:spacing w:val="-4"/>
                <w:sz w:val="20"/>
              </w:rPr>
              <w:t> </w:t>
            </w:r>
            <w:r>
              <w:rPr>
                <w:sz w:val="20"/>
              </w:rPr>
              <w:t>I08.9,</w:t>
            </w:r>
            <w:r>
              <w:rPr>
                <w:spacing w:val="-7"/>
                <w:sz w:val="20"/>
              </w:rPr>
              <w:t> </w:t>
            </w:r>
            <w:r>
              <w:rPr>
                <w:sz w:val="20"/>
              </w:rPr>
              <w:t>I09,</w:t>
            </w:r>
            <w:r>
              <w:rPr>
                <w:spacing w:val="-4"/>
                <w:sz w:val="20"/>
              </w:rPr>
              <w:t> </w:t>
            </w:r>
            <w:r>
              <w:rPr>
                <w:sz w:val="20"/>
              </w:rPr>
              <w:t>I09.0,</w:t>
            </w:r>
            <w:r>
              <w:rPr>
                <w:spacing w:val="-7"/>
                <w:sz w:val="20"/>
              </w:rPr>
              <w:t> </w:t>
            </w:r>
            <w:r>
              <w:rPr>
                <w:sz w:val="20"/>
              </w:rPr>
              <w:t>I09.1,</w:t>
            </w:r>
            <w:r>
              <w:rPr>
                <w:spacing w:val="-6"/>
                <w:sz w:val="20"/>
              </w:rPr>
              <w:t> </w:t>
            </w:r>
            <w:r>
              <w:rPr>
                <w:sz w:val="20"/>
              </w:rPr>
              <w:t>I09.2,</w:t>
            </w:r>
            <w:r>
              <w:rPr>
                <w:spacing w:val="-5"/>
                <w:sz w:val="20"/>
              </w:rPr>
              <w:t> </w:t>
            </w:r>
            <w:r>
              <w:rPr>
                <w:sz w:val="20"/>
              </w:rPr>
              <w:t>I09.8,</w:t>
            </w:r>
            <w:r>
              <w:rPr>
                <w:spacing w:val="-7"/>
                <w:sz w:val="20"/>
              </w:rPr>
              <w:t> </w:t>
            </w:r>
            <w:r>
              <w:rPr>
                <w:spacing w:val="-4"/>
                <w:sz w:val="20"/>
              </w:rPr>
              <w:t>I09.9</w:t>
            </w:r>
          </w:p>
        </w:tc>
        <w:tc>
          <w:tcPr>
            <w:tcW w:w="3047" w:type="dxa"/>
          </w:tcPr>
          <w:p>
            <w:pPr>
              <w:pStyle w:val="TableParagraph"/>
              <w:spacing w:line="205" w:lineRule="exact"/>
              <w:ind w:left="233" w:right="419"/>
              <w:jc w:val="center"/>
              <w:rPr>
                <w:sz w:val="20"/>
              </w:rPr>
            </w:pPr>
            <w:r>
              <w:rPr>
                <w:spacing w:val="-2"/>
                <w:sz w:val="20"/>
              </w:rPr>
              <w:t>A17.10.002.001</w:t>
            </w:r>
          </w:p>
        </w:tc>
        <w:tc>
          <w:tcPr>
            <w:tcW w:w="2540"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99"/>
        <w:gridCol w:w="4411"/>
        <w:gridCol w:w="3407"/>
        <w:gridCol w:w="2516"/>
        <w:gridCol w:w="789"/>
      </w:tblGrid>
      <w:tr>
        <w:trPr>
          <w:trHeight w:val="274" w:hRule="atLeast"/>
        </w:trPr>
        <w:tc>
          <w:tcPr>
            <w:tcW w:w="946" w:type="dxa"/>
          </w:tcPr>
          <w:p>
            <w:pPr>
              <w:pStyle w:val="TableParagraph"/>
              <w:spacing w:line="221" w:lineRule="exact"/>
              <w:ind w:left="37" w:right="198"/>
              <w:jc w:val="center"/>
              <w:rPr>
                <w:sz w:val="20"/>
              </w:rPr>
            </w:pPr>
            <w:r>
              <w:rPr>
                <w:spacing w:val="-4"/>
                <w:sz w:val="20"/>
              </w:rPr>
              <w:t>st25</w:t>
            </w:r>
          </w:p>
        </w:tc>
        <w:tc>
          <w:tcPr>
            <w:tcW w:w="707" w:type="dxa"/>
          </w:tcPr>
          <w:p>
            <w:pPr>
              <w:pStyle w:val="TableParagraph"/>
              <w:spacing w:line="221" w:lineRule="exact"/>
              <w:ind w:left="261"/>
              <w:rPr>
                <w:sz w:val="20"/>
              </w:rPr>
            </w:pPr>
            <w:r>
              <w:rPr>
                <w:spacing w:val="-5"/>
                <w:sz w:val="20"/>
              </w:rPr>
              <w:t>25</w:t>
            </w:r>
          </w:p>
        </w:tc>
        <w:tc>
          <w:tcPr>
            <w:tcW w:w="2499" w:type="dxa"/>
          </w:tcPr>
          <w:p>
            <w:pPr>
              <w:pStyle w:val="TableParagraph"/>
              <w:rPr>
                <w:sz w:val="18"/>
              </w:rPr>
            </w:pPr>
          </w:p>
        </w:tc>
        <w:tc>
          <w:tcPr>
            <w:tcW w:w="7818" w:type="dxa"/>
            <w:gridSpan w:val="2"/>
          </w:tcPr>
          <w:p>
            <w:pPr>
              <w:pStyle w:val="TableParagraph"/>
              <w:spacing w:line="221" w:lineRule="exact"/>
              <w:ind w:left="2530" w:right="2653"/>
              <w:jc w:val="center"/>
              <w:rPr>
                <w:sz w:val="20"/>
              </w:rPr>
            </w:pPr>
            <w:r>
              <w:rPr>
                <w:w w:val="95"/>
                <w:sz w:val="20"/>
              </w:rPr>
              <w:t>Сердечно-сосудистая</w:t>
            </w:r>
            <w:r>
              <w:rPr>
                <w:spacing w:val="72"/>
                <w:sz w:val="20"/>
              </w:rPr>
              <w:t> </w:t>
            </w:r>
            <w:r>
              <w:rPr>
                <w:spacing w:val="-2"/>
                <w:w w:val="95"/>
                <w:sz w:val="20"/>
              </w:rPr>
              <w:t>хирургия</w:t>
            </w:r>
          </w:p>
        </w:tc>
        <w:tc>
          <w:tcPr>
            <w:tcW w:w="2516" w:type="dxa"/>
          </w:tcPr>
          <w:p>
            <w:pPr>
              <w:pStyle w:val="TableParagraph"/>
              <w:rPr>
                <w:sz w:val="18"/>
              </w:rPr>
            </w:pPr>
          </w:p>
        </w:tc>
        <w:tc>
          <w:tcPr>
            <w:tcW w:w="789" w:type="dxa"/>
          </w:tcPr>
          <w:p>
            <w:pPr>
              <w:pStyle w:val="TableParagraph"/>
              <w:spacing w:line="221" w:lineRule="exact"/>
              <w:ind w:right="49"/>
              <w:jc w:val="right"/>
              <w:rPr>
                <w:sz w:val="20"/>
              </w:rPr>
            </w:pPr>
            <w:r>
              <w:rPr>
                <w:spacing w:val="-4"/>
                <w:sz w:val="20"/>
              </w:rPr>
              <w:t>1,18</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st25.001</w:t>
            </w:r>
          </w:p>
        </w:tc>
        <w:tc>
          <w:tcPr>
            <w:tcW w:w="707" w:type="dxa"/>
          </w:tcPr>
          <w:p>
            <w:pPr>
              <w:pStyle w:val="TableParagraph"/>
              <w:spacing w:line="215" w:lineRule="exact" w:before="45"/>
              <w:ind w:left="210"/>
              <w:rPr>
                <w:sz w:val="20"/>
              </w:rPr>
            </w:pPr>
            <w:r>
              <w:rPr>
                <w:spacing w:val="-5"/>
                <w:sz w:val="20"/>
              </w:rPr>
              <w:t>237</w:t>
            </w:r>
          </w:p>
        </w:tc>
        <w:tc>
          <w:tcPr>
            <w:tcW w:w="2499" w:type="dxa"/>
          </w:tcPr>
          <w:p>
            <w:pPr>
              <w:pStyle w:val="TableParagraph"/>
              <w:spacing w:line="215" w:lineRule="exact" w:before="45"/>
              <w:ind w:left="192"/>
              <w:rPr>
                <w:sz w:val="20"/>
              </w:rPr>
            </w:pPr>
            <w:r>
              <w:rPr>
                <w:sz w:val="20"/>
              </w:rPr>
              <w:t>Флебит</w:t>
            </w:r>
            <w:r>
              <w:rPr>
                <w:spacing w:val="-5"/>
                <w:sz w:val="20"/>
              </w:rPr>
              <w:t> </w:t>
            </w:r>
            <w:r>
              <w:rPr>
                <w:sz w:val="20"/>
              </w:rPr>
              <w:t>и</w:t>
            </w:r>
            <w:r>
              <w:rPr>
                <w:spacing w:val="-3"/>
                <w:sz w:val="20"/>
              </w:rPr>
              <w:t> </w:t>
            </w:r>
            <w:r>
              <w:rPr>
                <w:spacing w:val="-2"/>
                <w:sz w:val="20"/>
              </w:rPr>
              <w:t>тромбофлебит,</w:t>
            </w:r>
          </w:p>
        </w:tc>
        <w:tc>
          <w:tcPr>
            <w:tcW w:w="4411" w:type="dxa"/>
          </w:tcPr>
          <w:p>
            <w:pPr>
              <w:pStyle w:val="TableParagraph"/>
              <w:spacing w:line="215" w:lineRule="exact" w:before="45"/>
              <w:ind w:left="174" w:right="151"/>
              <w:jc w:val="center"/>
              <w:rPr>
                <w:sz w:val="20"/>
              </w:rPr>
            </w:pPr>
            <w:r>
              <w:rPr>
                <w:sz w:val="20"/>
              </w:rPr>
              <w:t>I80,</w:t>
            </w:r>
            <w:r>
              <w:rPr>
                <w:spacing w:val="-5"/>
                <w:sz w:val="20"/>
              </w:rPr>
              <w:t> </w:t>
            </w:r>
            <w:r>
              <w:rPr>
                <w:sz w:val="20"/>
              </w:rPr>
              <w:t>I80.0,</w:t>
            </w:r>
            <w:r>
              <w:rPr>
                <w:spacing w:val="-5"/>
                <w:sz w:val="20"/>
              </w:rPr>
              <w:t> </w:t>
            </w:r>
            <w:r>
              <w:rPr>
                <w:sz w:val="20"/>
              </w:rPr>
              <w:t>I80.1,</w:t>
            </w:r>
            <w:r>
              <w:rPr>
                <w:spacing w:val="-5"/>
                <w:sz w:val="20"/>
              </w:rPr>
              <w:t> </w:t>
            </w:r>
            <w:r>
              <w:rPr>
                <w:sz w:val="20"/>
              </w:rPr>
              <w:t>I80.2,</w:t>
            </w:r>
            <w:r>
              <w:rPr>
                <w:spacing w:val="-6"/>
                <w:sz w:val="20"/>
              </w:rPr>
              <w:t> </w:t>
            </w:r>
            <w:r>
              <w:rPr>
                <w:sz w:val="20"/>
              </w:rPr>
              <w:t>I80.3,</w:t>
            </w:r>
            <w:r>
              <w:rPr>
                <w:spacing w:val="-6"/>
                <w:sz w:val="20"/>
              </w:rPr>
              <w:t> </w:t>
            </w:r>
            <w:r>
              <w:rPr>
                <w:sz w:val="20"/>
              </w:rPr>
              <w:t>I80.8,</w:t>
            </w:r>
            <w:r>
              <w:rPr>
                <w:spacing w:val="-5"/>
                <w:sz w:val="20"/>
              </w:rPr>
              <w:t> </w:t>
            </w:r>
            <w:r>
              <w:rPr>
                <w:sz w:val="20"/>
              </w:rPr>
              <w:t>I80.9,</w:t>
            </w:r>
            <w:r>
              <w:rPr>
                <w:spacing w:val="-7"/>
                <w:sz w:val="20"/>
              </w:rPr>
              <w:t> </w:t>
            </w:r>
            <w:r>
              <w:rPr>
                <w:spacing w:val="-4"/>
                <w:sz w:val="20"/>
              </w:rPr>
              <w:t>I83,</w:t>
            </w:r>
          </w:p>
        </w:tc>
        <w:tc>
          <w:tcPr>
            <w:tcW w:w="3407" w:type="dxa"/>
          </w:tcPr>
          <w:p>
            <w:pPr>
              <w:pStyle w:val="TableParagraph"/>
              <w:spacing w:line="215" w:lineRule="exact" w:before="45"/>
              <w:ind w:right="24"/>
              <w:jc w:val="center"/>
              <w:rPr>
                <w:sz w:val="20"/>
              </w:rPr>
            </w:pPr>
            <w:r>
              <w:rPr>
                <w:w w:val="99"/>
                <w:sz w:val="20"/>
              </w:rPr>
              <w:t>-</w:t>
            </w:r>
          </w:p>
        </w:tc>
        <w:tc>
          <w:tcPr>
            <w:tcW w:w="2516" w:type="dxa"/>
          </w:tcPr>
          <w:p>
            <w:pPr>
              <w:pStyle w:val="TableParagraph"/>
              <w:spacing w:line="215" w:lineRule="exact" w:before="45"/>
              <w:ind w:right="214"/>
              <w:jc w:val="center"/>
              <w:rPr>
                <w:sz w:val="20"/>
              </w:rPr>
            </w:pPr>
            <w:r>
              <w:rPr>
                <w:w w:val="99"/>
                <w:sz w:val="20"/>
              </w:rPr>
              <w:t>-</w:t>
            </w:r>
          </w:p>
        </w:tc>
        <w:tc>
          <w:tcPr>
            <w:tcW w:w="789" w:type="dxa"/>
          </w:tcPr>
          <w:p>
            <w:pPr>
              <w:pStyle w:val="TableParagraph"/>
              <w:spacing w:line="215" w:lineRule="exact" w:before="45"/>
              <w:ind w:right="49"/>
              <w:jc w:val="right"/>
              <w:rPr>
                <w:sz w:val="20"/>
              </w:rPr>
            </w:pPr>
            <w:r>
              <w:rPr>
                <w:spacing w:val="-4"/>
                <w:sz w:val="20"/>
              </w:rPr>
              <w:t>0,85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0" w:lineRule="exact"/>
              <w:ind w:left="192"/>
              <w:rPr>
                <w:sz w:val="20"/>
              </w:rPr>
            </w:pPr>
            <w:r>
              <w:rPr>
                <w:spacing w:val="-2"/>
                <w:sz w:val="20"/>
              </w:rPr>
              <w:t>варикозное</w:t>
            </w:r>
            <w:r>
              <w:rPr>
                <w:spacing w:val="6"/>
                <w:sz w:val="20"/>
              </w:rPr>
              <w:t> </w:t>
            </w:r>
            <w:r>
              <w:rPr>
                <w:spacing w:val="-2"/>
                <w:sz w:val="20"/>
              </w:rPr>
              <w:t>расширение</w:t>
            </w:r>
          </w:p>
        </w:tc>
        <w:tc>
          <w:tcPr>
            <w:tcW w:w="4411" w:type="dxa"/>
          </w:tcPr>
          <w:p>
            <w:pPr>
              <w:pStyle w:val="TableParagraph"/>
              <w:spacing w:line="210" w:lineRule="exact"/>
              <w:ind w:left="177" w:right="151"/>
              <w:jc w:val="center"/>
              <w:rPr>
                <w:sz w:val="20"/>
              </w:rPr>
            </w:pPr>
            <w:r>
              <w:rPr>
                <w:sz w:val="20"/>
              </w:rPr>
              <w:t>I83.0,</w:t>
            </w:r>
            <w:r>
              <w:rPr>
                <w:spacing w:val="-6"/>
                <w:sz w:val="20"/>
              </w:rPr>
              <w:t> </w:t>
            </w:r>
            <w:r>
              <w:rPr>
                <w:sz w:val="20"/>
              </w:rPr>
              <w:t>I83.1,</w:t>
            </w:r>
            <w:r>
              <w:rPr>
                <w:spacing w:val="-6"/>
                <w:sz w:val="20"/>
              </w:rPr>
              <w:t> </w:t>
            </w:r>
            <w:r>
              <w:rPr>
                <w:sz w:val="20"/>
              </w:rPr>
              <w:t>I83.2,</w:t>
            </w:r>
            <w:r>
              <w:rPr>
                <w:spacing w:val="-5"/>
                <w:sz w:val="20"/>
              </w:rPr>
              <w:t> </w:t>
            </w:r>
            <w:r>
              <w:rPr>
                <w:sz w:val="20"/>
              </w:rPr>
              <w:t>I83.9,</w:t>
            </w:r>
            <w:r>
              <w:rPr>
                <w:spacing w:val="-6"/>
                <w:sz w:val="20"/>
              </w:rPr>
              <w:t> </w:t>
            </w:r>
            <w:r>
              <w:rPr>
                <w:sz w:val="20"/>
              </w:rPr>
              <w:t>I86.8,</w:t>
            </w:r>
            <w:r>
              <w:rPr>
                <w:spacing w:val="-5"/>
                <w:sz w:val="20"/>
              </w:rPr>
              <w:t> </w:t>
            </w:r>
            <w:r>
              <w:rPr>
                <w:sz w:val="20"/>
              </w:rPr>
              <w:t>I87.0,</w:t>
            </w:r>
            <w:r>
              <w:rPr>
                <w:spacing w:val="-6"/>
                <w:sz w:val="20"/>
              </w:rPr>
              <w:t> </w:t>
            </w:r>
            <w:r>
              <w:rPr>
                <w:spacing w:val="-4"/>
                <w:sz w:val="20"/>
              </w:rPr>
              <w:t>I87.2</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spacing w:line="226" w:lineRule="exact"/>
              <w:ind w:left="192"/>
              <w:rPr>
                <w:sz w:val="20"/>
              </w:rPr>
            </w:pPr>
            <w:r>
              <w:rPr>
                <w:sz w:val="20"/>
              </w:rPr>
              <w:t>вен</w:t>
            </w:r>
            <w:r>
              <w:rPr>
                <w:spacing w:val="-7"/>
                <w:sz w:val="20"/>
              </w:rPr>
              <w:t> </w:t>
            </w:r>
            <w:r>
              <w:rPr>
                <w:sz w:val="20"/>
              </w:rPr>
              <w:t>нижних</w:t>
            </w:r>
            <w:r>
              <w:rPr>
                <w:spacing w:val="-5"/>
                <w:sz w:val="20"/>
              </w:rPr>
              <w:t> </w:t>
            </w:r>
            <w:r>
              <w:rPr>
                <w:spacing w:val="-2"/>
                <w:sz w:val="20"/>
              </w:rPr>
              <w:t>конечностей</w:t>
            </w:r>
          </w:p>
        </w:tc>
        <w:tc>
          <w:tcPr>
            <w:tcW w:w="4411" w:type="dxa"/>
          </w:tcPr>
          <w:p>
            <w:pPr>
              <w:pStyle w:val="TableParagraph"/>
              <w:rPr>
                <w:sz w:val="18"/>
              </w:rPr>
            </w:pPr>
          </w:p>
        </w:tc>
        <w:tc>
          <w:tcPr>
            <w:tcW w:w="3407" w:type="dxa"/>
          </w:tcPr>
          <w:p>
            <w:pPr>
              <w:pStyle w:val="TableParagraph"/>
              <w:rPr>
                <w:sz w:val="18"/>
              </w:rPr>
            </w:pPr>
          </w:p>
        </w:tc>
        <w:tc>
          <w:tcPr>
            <w:tcW w:w="2516" w:type="dxa"/>
          </w:tcPr>
          <w:p>
            <w:pPr>
              <w:pStyle w:val="TableParagraph"/>
              <w:rPr>
                <w:sz w:val="18"/>
              </w:rPr>
            </w:pPr>
          </w:p>
        </w:tc>
        <w:tc>
          <w:tcPr>
            <w:tcW w:w="789"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st25.002</w:t>
            </w:r>
          </w:p>
        </w:tc>
        <w:tc>
          <w:tcPr>
            <w:tcW w:w="707" w:type="dxa"/>
          </w:tcPr>
          <w:p>
            <w:pPr>
              <w:pStyle w:val="TableParagraph"/>
              <w:spacing w:line="215" w:lineRule="exact" w:before="45"/>
              <w:ind w:left="210"/>
              <w:rPr>
                <w:sz w:val="20"/>
              </w:rPr>
            </w:pPr>
            <w:r>
              <w:rPr>
                <w:spacing w:val="-5"/>
                <w:sz w:val="20"/>
              </w:rPr>
              <w:t>238</w:t>
            </w:r>
          </w:p>
        </w:tc>
        <w:tc>
          <w:tcPr>
            <w:tcW w:w="2499" w:type="dxa"/>
          </w:tcPr>
          <w:p>
            <w:pPr>
              <w:pStyle w:val="TableParagraph"/>
              <w:spacing w:line="215" w:lineRule="exact" w:before="45"/>
              <w:ind w:left="192"/>
              <w:rPr>
                <w:sz w:val="20"/>
              </w:rPr>
            </w:pPr>
            <w:r>
              <w:rPr>
                <w:sz w:val="20"/>
              </w:rPr>
              <w:t>Другие</w:t>
            </w:r>
            <w:r>
              <w:rPr>
                <w:spacing w:val="-10"/>
                <w:sz w:val="20"/>
              </w:rPr>
              <w:t> </w:t>
            </w:r>
            <w:r>
              <w:rPr>
                <w:spacing w:val="-2"/>
                <w:sz w:val="20"/>
              </w:rPr>
              <w:t>болезни,</w:t>
            </w:r>
          </w:p>
        </w:tc>
        <w:tc>
          <w:tcPr>
            <w:tcW w:w="4411" w:type="dxa"/>
          </w:tcPr>
          <w:p>
            <w:pPr>
              <w:pStyle w:val="TableParagraph"/>
              <w:spacing w:line="215" w:lineRule="exact" w:before="45"/>
              <w:ind w:left="179" w:right="148"/>
              <w:jc w:val="center"/>
              <w:rPr>
                <w:sz w:val="20"/>
              </w:rPr>
            </w:pPr>
            <w:r>
              <w:rPr>
                <w:sz w:val="20"/>
              </w:rPr>
              <w:t>I82,</w:t>
            </w:r>
            <w:r>
              <w:rPr>
                <w:spacing w:val="-5"/>
                <w:sz w:val="20"/>
              </w:rPr>
              <w:t> </w:t>
            </w:r>
            <w:r>
              <w:rPr>
                <w:sz w:val="20"/>
              </w:rPr>
              <w:t>I82.0,</w:t>
            </w:r>
            <w:r>
              <w:rPr>
                <w:spacing w:val="-5"/>
                <w:sz w:val="20"/>
              </w:rPr>
              <w:t> </w:t>
            </w:r>
            <w:r>
              <w:rPr>
                <w:sz w:val="20"/>
              </w:rPr>
              <w:t>I82.1,</w:t>
            </w:r>
            <w:r>
              <w:rPr>
                <w:spacing w:val="-4"/>
                <w:sz w:val="20"/>
              </w:rPr>
              <w:t> </w:t>
            </w:r>
            <w:r>
              <w:rPr>
                <w:sz w:val="20"/>
              </w:rPr>
              <w:t>I82.2,</w:t>
            </w:r>
            <w:r>
              <w:rPr>
                <w:spacing w:val="-7"/>
                <w:sz w:val="20"/>
              </w:rPr>
              <w:t> </w:t>
            </w:r>
            <w:r>
              <w:rPr>
                <w:sz w:val="20"/>
              </w:rPr>
              <w:t>I82.3,</w:t>
            </w:r>
            <w:r>
              <w:rPr>
                <w:spacing w:val="-6"/>
                <w:sz w:val="20"/>
              </w:rPr>
              <w:t> </w:t>
            </w:r>
            <w:r>
              <w:rPr>
                <w:sz w:val="20"/>
              </w:rPr>
              <w:t>I82.8,</w:t>
            </w:r>
            <w:r>
              <w:rPr>
                <w:spacing w:val="-5"/>
                <w:sz w:val="20"/>
              </w:rPr>
              <w:t> </w:t>
            </w:r>
            <w:r>
              <w:rPr>
                <w:sz w:val="20"/>
              </w:rPr>
              <w:t>I82.9,</w:t>
            </w:r>
            <w:r>
              <w:rPr>
                <w:spacing w:val="1"/>
                <w:sz w:val="20"/>
              </w:rPr>
              <w:t> </w:t>
            </w:r>
            <w:r>
              <w:rPr>
                <w:spacing w:val="-4"/>
                <w:sz w:val="20"/>
              </w:rPr>
              <w:t>I87,</w:t>
            </w:r>
          </w:p>
        </w:tc>
        <w:tc>
          <w:tcPr>
            <w:tcW w:w="3407" w:type="dxa"/>
          </w:tcPr>
          <w:p>
            <w:pPr>
              <w:pStyle w:val="TableParagraph"/>
              <w:spacing w:line="215" w:lineRule="exact" w:before="45"/>
              <w:ind w:right="24"/>
              <w:jc w:val="center"/>
              <w:rPr>
                <w:sz w:val="20"/>
              </w:rPr>
            </w:pPr>
            <w:r>
              <w:rPr>
                <w:w w:val="99"/>
                <w:sz w:val="20"/>
              </w:rPr>
              <w:t>-</w:t>
            </w:r>
          </w:p>
        </w:tc>
        <w:tc>
          <w:tcPr>
            <w:tcW w:w="2516" w:type="dxa"/>
          </w:tcPr>
          <w:p>
            <w:pPr>
              <w:pStyle w:val="TableParagraph"/>
              <w:spacing w:line="215" w:lineRule="exact" w:before="45"/>
              <w:ind w:right="214"/>
              <w:jc w:val="center"/>
              <w:rPr>
                <w:sz w:val="20"/>
              </w:rPr>
            </w:pPr>
            <w:r>
              <w:rPr>
                <w:w w:val="99"/>
                <w:sz w:val="20"/>
              </w:rPr>
              <w:t>-</w:t>
            </w:r>
          </w:p>
        </w:tc>
        <w:tc>
          <w:tcPr>
            <w:tcW w:w="789" w:type="dxa"/>
          </w:tcPr>
          <w:p>
            <w:pPr>
              <w:pStyle w:val="TableParagraph"/>
              <w:spacing w:line="215" w:lineRule="exact" w:before="45"/>
              <w:ind w:right="49"/>
              <w:jc w:val="right"/>
              <w:rPr>
                <w:sz w:val="20"/>
              </w:rPr>
            </w:pPr>
            <w:r>
              <w:rPr>
                <w:spacing w:val="-4"/>
                <w:sz w:val="20"/>
              </w:rPr>
              <w:t>1,32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1" w:lineRule="exact"/>
              <w:ind w:left="192"/>
              <w:rPr>
                <w:sz w:val="20"/>
              </w:rPr>
            </w:pPr>
            <w:r>
              <w:rPr>
                <w:spacing w:val="-2"/>
                <w:sz w:val="20"/>
              </w:rPr>
              <w:t>врожденные</w:t>
            </w:r>
            <w:r>
              <w:rPr>
                <w:spacing w:val="7"/>
                <w:sz w:val="20"/>
              </w:rPr>
              <w:t> </w:t>
            </w:r>
            <w:r>
              <w:rPr>
                <w:spacing w:val="-2"/>
                <w:sz w:val="20"/>
              </w:rPr>
              <w:t>аномалии</w:t>
            </w:r>
          </w:p>
        </w:tc>
        <w:tc>
          <w:tcPr>
            <w:tcW w:w="4411" w:type="dxa"/>
          </w:tcPr>
          <w:p>
            <w:pPr>
              <w:pStyle w:val="TableParagraph"/>
              <w:spacing w:line="211" w:lineRule="exact"/>
              <w:ind w:left="174" w:right="151"/>
              <w:jc w:val="center"/>
              <w:rPr>
                <w:sz w:val="20"/>
              </w:rPr>
            </w:pPr>
            <w:r>
              <w:rPr>
                <w:sz w:val="20"/>
              </w:rPr>
              <w:t>I87.1,</w:t>
            </w:r>
            <w:r>
              <w:rPr>
                <w:spacing w:val="-5"/>
                <w:sz w:val="20"/>
              </w:rPr>
              <w:t> </w:t>
            </w:r>
            <w:r>
              <w:rPr>
                <w:sz w:val="20"/>
              </w:rPr>
              <w:t>I87.8,</w:t>
            </w:r>
            <w:r>
              <w:rPr>
                <w:spacing w:val="-7"/>
                <w:sz w:val="20"/>
              </w:rPr>
              <w:t> </w:t>
            </w:r>
            <w:r>
              <w:rPr>
                <w:sz w:val="20"/>
              </w:rPr>
              <w:t>I87.9,</w:t>
            </w:r>
            <w:r>
              <w:rPr>
                <w:spacing w:val="-5"/>
                <w:sz w:val="20"/>
              </w:rPr>
              <w:t> </w:t>
            </w:r>
            <w:r>
              <w:rPr>
                <w:sz w:val="20"/>
              </w:rPr>
              <w:t>Q26,</w:t>
            </w:r>
            <w:r>
              <w:rPr>
                <w:spacing w:val="-5"/>
                <w:sz w:val="20"/>
              </w:rPr>
              <w:t> </w:t>
            </w:r>
            <w:r>
              <w:rPr>
                <w:sz w:val="20"/>
              </w:rPr>
              <w:t>Q26.0,</w:t>
            </w:r>
            <w:r>
              <w:rPr>
                <w:spacing w:val="-5"/>
                <w:sz w:val="20"/>
              </w:rPr>
              <w:t> </w:t>
            </w:r>
            <w:r>
              <w:rPr>
                <w:sz w:val="20"/>
              </w:rPr>
              <w:t>Q26.1,</w:t>
            </w:r>
            <w:r>
              <w:rPr>
                <w:spacing w:val="-5"/>
                <w:sz w:val="20"/>
              </w:rPr>
              <w:t> </w:t>
            </w:r>
            <w:r>
              <w:rPr>
                <w:spacing w:val="-2"/>
                <w:sz w:val="20"/>
              </w:rPr>
              <w:t>Q26.2,</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spacing w:line="226" w:lineRule="exact"/>
              <w:ind w:left="192"/>
              <w:rPr>
                <w:sz w:val="20"/>
              </w:rPr>
            </w:pPr>
            <w:r>
              <w:rPr>
                <w:spacing w:val="-5"/>
                <w:sz w:val="20"/>
              </w:rPr>
              <w:t>вен</w:t>
            </w:r>
          </w:p>
        </w:tc>
        <w:tc>
          <w:tcPr>
            <w:tcW w:w="4411" w:type="dxa"/>
          </w:tcPr>
          <w:p>
            <w:pPr>
              <w:pStyle w:val="TableParagraph"/>
              <w:spacing w:line="226" w:lineRule="exact"/>
              <w:ind w:left="176" w:right="151"/>
              <w:jc w:val="center"/>
              <w:rPr>
                <w:sz w:val="20"/>
              </w:rPr>
            </w:pPr>
            <w:r>
              <w:rPr>
                <w:sz w:val="20"/>
              </w:rPr>
              <w:t>Q26.3,</w:t>
            </w:r>
            <w:r>
              <w:rPr>
                <w:spacing w:val="-5"/>
                <w:sz w:val="20"/>
              </w:rPr>
              <w:t> </w:t>
            </w:r>
            <w:r>
              <w:rPr>
                <w:sz w:val="20"/>
              </w:rPr>
              <w:t>Q26.4,</w:t>
            </w:r>
            <w:r>
              <w:rPr>
                <w:spacing w:val="-5"/>
                <w:sz w:val="20"/>
              </w:rPr>
              <w:t> </w:t>
            </w:r>
            <w:r>
              <w:rPr>
                <w:sz w:val="20"/>
              </w:rPr>
              <w:t>Q26.5,</w:t>
            </w:r>
            <w:r>
              <w:rPr>
                <w:spacing w:val="-4"/>
                <w:sz w:val="20"/>
              </w:rPr>
              <w:t> </w:t>
            </w:r>
            <w:r>
              <w:rPr>
                <w:sz w:val="20"/>
              </w:rPr>
              <w:t>Q26.6,</w:t>
            </w:r>
            <w:r>
              <w:rPr>
                <w:spacing w:val="-6"/>
                <w:sz w:val="20"/>
              </w:rPr>
              <w:t> </w:t>
            </w:r>
            <w:r>
              <w:rPr>
                <w:sz w:val="20"/>
              </w:rPr>
              <w:t>Q26.8,</w:t>
            </w:r>
            <w:r>
              <w:rPr>
                <w:spacing w:val="-4"/>
                <w:sz w:val="20"/>
              </w:rPr>
              <w:t> </w:t>
            </w:r>
            <w:r>
              <w:rPr>
                <w:sz w:val="20"/>
              </w:rPr>
              <w:t>Q26.9,</w:t>
            </w:r>
            <w:r>
              <w:rPr>
                <w:spacing w:val="-6"/>
                <w:sz w:val="20"/>
              </w:rPr>
              <w:t> </w:t>
            </w:r>
            <w:r>
              <w:rPr>
                <w:spacing w:val="-4"/>
                <w:sz w:val="20"/>
              </w:rPr>
              <w:t>Q27.4</w:t>
            </w:r>
          </w:p>
        </w:tc>
        <w:tc>
          <w:tcPr>
            <w:tcW w:w="3407" w:type="dxa"/>
          </w:tcPr>
          <w:p>
            <w:pPr>
              <w:pStyle w:val="TableParagraph"/>
              <w:rPr>
                <w:sz w:val="18"/>
              </w:rPr>
            </w:pPr>
          </w:p>
        </w:tc>
        <w:tc>
          <w:tcPr>
            <w:tcW w:w="2516" w:type="dxa"/>
          </w:tcPr>
          <w:p>
            <w:pPr>
              <w:pStyle w:val="TableParagraph"/>
              <w:rPr>
                <w:sz w:val="18"/>
              </w:rPr>
            </w:pPr>
          </w:p>
        </w:tc>
        <w:tc>
          <w:tcPr>
            <w:tcW w:w="789"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st25.003</w:t>
            </w:r>
          </w:p>
        </w:tc>
        <w:tc>
          <w:tcPr>
            <w:tcW w:w="707" w:type="dxa"/>
          </w:tcPr>
          <w:p>
            <w:pPr>
              <w:pStyle w:val="TableParagraph"/>
              <w:spacing w:line="214" w:lineRule="exact" w:before="46"/>
              <w:ind w:left="210"/>
              <w:rPr>
                <w:sz w:val="20"/>
              </w:rPr>
            </w:pPr>
            <w:r>
              <w:rPr>
                <w:spacing w:val="-5"/>
                <w:sz w:val="20"/>
              </w:rPr>
              <w:t>239</w:t>
            </w:r>
          </w:p>
        </w:tc>
        <w:tc>
          <w:tcPr>
            <w:tcW w:w="2499" w:type="dxa"/>
          </w:tcPr>
          <w:p>
            <w:pPr>
              <w:pStyle w:val="TableParagraph"/>
              <w:spacing w:line="214" w:lineRule="exact" w:before="46"/>
              <w:ind w:left="192"/>
              <w:rPr>
                <w:sz w:val="20"/>
              </w:rPr>
            </w:pPr>
            <w:r>
              <w:rPr>
                <w:sz w:val="20"/>
              </w:rPr>
              <w:t>Болезни</w:t>
            </w:r>
            <w:r>
              <w:rPr>
                <w:spacing w:val="-10"/>
                <w:sz w:val="20"/>
              </w:rPr>
              <w:t> </w:t>
            </w:r>
            <w:r>
              <w:rPr>
                <w:spacing w:val="-2"/>
                <w:sz w:val="20"/>
              </w:rPr>
              <w:t>артерий,</w:t>
            </w:r>
          </w:p>
        </w:tc>
        <w:tc>
          <w:tcPr>
            <w:tcW w:w="4411" w:type="dxa"/>
          </w:tcPr>
          <w:p>
            <w:pPr>
              <w:pStyle w:val="TableParagraph"/>
              <w:spacing w:line="214" w:lineRule="exact" w:before="46"/>
              <w:ind w:left="174" w:right="151"/>
              <w:jc w:val="center"/>
              <w:rPr>
                <w:sz w:val="20"/>
              </w:rPr>
            </w:pPr>
            <w:r>
              <w:rPr>
                <w:sz w:val="20"/>
              </w:rPr>
              <w:t>I70,</w:t>
            </w:r>
            <w:r>
              <w:rPr>
                <w:spacing w:val="-5"/>
                <w:sz w:val="20"/>
              </w:rPr>
              <w:t> </w:t>
            </w:r>
            <w:r>
              <w:rPr>
                <w:sz w:val="20"/>
              </w:rPr>
              <w:t>I70.0,</w:t>
            </w:r>
            <w:r>
              <w:rPr>
                <w:spacing w:val="-5"/>
                <w:sz w:val="20"/>
              </w:rPr>
              <w:t> </w:t>
            </w:r>
            <w:r>
              <w:rPr>
                <w:sz w:val="20"/>
              </w:rPr>
              <w:t>I70.1,</w:t>
            </w:r>
            <w:r>
              <w:rPr>
                <w:spacing w:val="-4"/>
                <w:sz w:val="20"/>
              </w:rPr>
              <w:t> </w:t>
            </w:r>
            <w:r>
              <w:rPr>
                <w:sz w:val="20"/>
              </w:rPr>
              <w:t>I70.2,</w:t>
            </w:r>
            <w:r>
              <w:rPr>
                <w:spacing w:val="-7"/>
                <w:sz w:val="20"/>
              </w:rPr>
              <w:t> </w:t>
            </w:r>
            <w:r>
              <w:rPr>
                <w:sz w:val="20"/>
              </w:rPr>
              <w:t>I70.8,</w:t>
            </w:r>
            <w:r>
              <w:rPr>
                <w:spacing w:val="-6"/>
                <w:sz w:val="20"/>
              </w:rPr>
              <w:t> </w:t>
            </w:r>
            <w:r>
              <w:rPr>
                <w:sz w:val="20"/>
              </w:rPr>
              <w:t>I70.9,</w:t>
            </w:r>
            <w:r>
              <w:rPr>
                <w:spacing w:val="-5"/>
                <w:sz w:val="20"/>
              </w:rPr>
              <w:t> </w:t>
            </w:r>
            <w:r>
              <w:rPr>
                <w:sz w:val="20"/>
              </w:rPr>
              <w:t>I71,</w:t>
            </w:r>
            <w:r>
              <w:rPr>
                <w:spacing w:val="-4"/>
                <w:sz w:val="20"/>
              </w:rPr>
              <w:t> </w:t>
            </w:r>
            <w:r>
              <w:rPr>
                <w:spacing w:val="-2"/>
                <w:sz w:val="20"/>
              </w:rPr>
              <w:t>I71.0,</w:t>
            </w:r>
          </w:p>
        </w:tc>
        <w:tc>
          <w:tcPr>
            <w:tcW w:w="3407" w:type="dxa"/>
          </w:tcPr>
          <w:p>
            <w:pPr>
              <w:pStyle w:val="TableParagraph"/>
              <w:spacing w:line="214" w:lineRule="exact" w:before="46"/>
              <w:ind w:right="24"/>
              <w:jc w:val="center"/>
              <w:rPr>
                <w:sz w:val="20"/>
              </w:rPr>
            </w:pPr>
            <w:r>
              <w:rPr>
                <w:w w:val="99"/>
                <w:sz w:val="20"/>
              </w:rPr>
              <w:t>-</w:t>
            </w:r>
          </w:p>
        </w:tc>
        <w:tc>
          <w:tcPr>
            <w:tcW w:w="2516" w:type="dxa"/>
          </w:tcPr>
          <w:p>
            <w:pPr>
              <w:pStyle w:val="TableParagraph"/>
              <w:spacing w:line="214" w:lineRule="exact" w:before="46"/>
              <w:ind w:right="214"/>
              <w:jc w:val="center"/>
              <w:rPr>
                <w:sz w:val="20"/>
              </w:rPr>
            </w:pPr>
            <w:r>
              <w:rPr>
                <w:w w:val="99"/>
                <w:sz w:val="20"/>
              </w:rPr>
              <w:t>-</w:t>
            </w:r>
          </w:p>
        </w:tc>
        <w:tc>
          <w:tcPr>
            <w:tcW w:w="789" w:type="dxa"/>
          </w:tcPr>
          <w:p>
            <w:pPr>
              <w:pStyle w:val="TableParagraph"/>
              <w:spacing w:line="214" w:lineRule="exact" w:before="46"/>
              <w:ind w:right="49"/>
              <w:jc w:val="right"/>
              <w:rPr>
                <w:sz w:val="20"/>
              </w:rPr>
            </w:pPr>
            <w:r>
              <w:rPr>
                <w:spacing w:val="-4"/>
                <w:sz w:val="20"/>
              </w:rPr>
              <w:t>1,05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09" w:lineRule="exact"/>
              <w:ind w:left="192"/>
              <w:rPr>
                <w:sz w:val="20"/>
              </w:rPr>
            </w:pPr>
            <w:r>
              <w:rPr>
                <w:sz w:val="20"/>
              </w:rPr>
              <w:t>артериол</w:t>
            </w:r>
            <w:r>
              <w:rPr>
                <w:spacing w:val="-6"/>
                <w:sz w:val="20"/>
              </w:rPr>
              <w:t> </w:t>
            </w:r>
            <w:r>
              <w:rPr>
                <w:sz w:val="20"/>
              </w:rPr>
              <w:t>и</w:t>
            </w:r>
            <w:r>
              <w:rPr>
                <w:spacing w:val="-5"/>
                <w:sz w:val="20"/>
              </w:rPr>
              <w:t> </w:t>
            </w:r>
            <w:r>
              <w:rPr>
                <w:spacing w:val="-2"/>
                <w:sz w:val="20"/>
              </w:rPr>
              <w:t>капилляров</w:t>
            </w:r>
          </w:p>
        </w:tc>
        <w:tc>
          <w:tcPr>
            <w:tcW w:w="4411" w:type="dxa"/>
          </w:tcPr>
          <w:p>
            <w:pPr>
              <w:pStyle w:val="TableParagraph"/>
              <w:spacing w:line="209" w:lineRule="exact"/>
              <w:ind w:left="179" w:right="151"/>
              <w:jc w:val="center"/>
              <w:rPr>
                <w:sz w:val="20"/>
              </w:rPr>
            </w:pPr>
            <w:r>
              <w:rPr>
                <w:sz w:val="20"/>
              </w:rPr>
              <w:t>I71.1,</w:t>
            </w:r>
            <w:r>
              <w:rPr>
                <w:spacing w:val="-5"/>
                <w:sz w:val="20"/>
              </w:rPr>
              <w:t> </w:t>
            </w:r>
            <w:r>
              <w:rPr>
                <w:sz w:val="20"/>
              </w:rPr>
              <w:t>I71.2,</w:t>
            </w:r>
            <w:r>
              <w:rPr>
                <w:spacing w:val="-7"/>
                <w:sz w:val="20"/>
              </w:rPr>
              <w:t> </w:t>
            </w:r>
            <w:r>
              <w:rPr>
                <w:sz w:val="20"/>
              </w:rPr>
              <w:t>I71.3,</w:t>
            </w:r>
            <w:r>
              <w:rPr>
                <w:spacing w:val="-5"/>
                <w:sz w:val="20"/>
              </w:rPr>
              <w:t> </w:t>
            </w:r>
            <w:r>
              <w:rPr>
                <w:sz w:val="20"/>
              </w:rPr>
              <w:t>I71.4,</w:t>
            </w:r>
            <w:r>
              <w:rPr>
                <w:spacing w:val="-4"/>
                <w:sz w:val="20"/>
              </w:rPr>
              <w:t> </w:t>
            </w:r>
            <w:r>
              <w:rPr>
                <w:sz w:val="20"/>
              </w:rPr>
              <w:t>I71.5,</w:t>
            </w:r>
            <w:r>
              <w:rPr>
                <w:spacing w:val="-5"/>
                <w:sz w:val="20"/>
              </w:rPr>
              <w:t> </w:t>
            </w:r>
            <w:r>
              <w:rPr>
                <w:sz w:val="20"/>
              </w:rPr>
              <w:t>I71.6, I71.8,</w:t>
            </w:r>
            <w:r>
              <w:rPr>
                <w:spacing w:val="-5"/>
                <w:sz w:val="20"/>
              </w:rPr>
              <w:t> </w:t>
            </w:r>
            <w:r>
              <w:rPr>
                <w:spacing w:val="-2"/>
                <w:sz w:val="20"/>
              </w:rPr>
              <w:t>I71.9,</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2" w:right="151"/>
              <w:jc w:val="center"/>
              <w:rPr>
                <w:sz w:val="20"/>
              </w:rPr>
            </w:pPr>
            <w:r>
              <w:rPr>
                <w:sz w:val="20"/>
              </w:rPr>
              <w:t>I72,</w:t>
            </w:r>
            <w:r>
              <w:rPr>
                <w:spacing w:val="-5"/>
                <w:sz w:val="20"/>
              </w:rPr>
              <w:t> </w:t>
            </w:r>
            <w:r>
              <w:rPr>
                <w:sz w:val="20"/>
              </w:rPr>
              <w:t>I72.0,</w:t>
            </w:r>
            <w:r>
              <w:rPr>
                <w:spacing w:val="-5"/>
                <w:sz w:val="20"/>
              </w:rPr>
              <w:t> </w:t>
            </w:r>
            <w:r>
              <w:rPr>
                <w:sz w:val="20"/>
              </w:rPr>
              <w:t>I72.1,</w:t>
            </w:r>
            <w:r>
              <w:rPr>
                <w:spacing w:val="-5"/>
                <w:sz w:val="20"/>
              </w:rPr>
              <w:t> </w:t>
            </w:r>
            <w:r>
              <w:rPr>
                <w:sz w:val="20"/>
              </w:rPr>
              <w:t>I72.2,</w:t>
            </w:r>
            <w:r>
              <w:rPr>
                <w:spacing w:val="-6"/>
                <w:sz w:val="20"/>
              </w:rPr>
              <w:t> </w:t>
            </w:r>
            <w:r>
              <w:rPr>
                <w:sz w:val="20"/>
              </w:rPr>
              <w:t>I72.3,</w:t>
            </w:r>
            <w:r>
              <w:rPr>
                <w:spacing w:val="-6"/>
                <w:sz w:val="20"/>
              </w:rPr>
              <w:t> </w:t>
            </w:r>
            <w:r>
              <w:rPr>
                <w:sz w:val="20"/>
              </w:rPr>
              <w:t>I72.4,</w:t>
            </w:r>
            <w:r>
              <w:rPr>
                <w:spacing w:val="-5"/>
                <w:sz w:val="20"/>
              </w:rPr>
              <w:t> </w:t>
            </w:r>
            <w:r>
              <w:rPr>
                <w:sz w:val="20"/>
              </w:rPr>
              <w:t>I72.5,</w:t>
            </w:r>
            <w:r>
              <w:rPr>
                <w:spacing w:val="-7"/>
                <w:sz w:val="20"/>
              </w:rPr>
              <w:t> </w:t>
            </w:r>
            <w:r>
              <w:rPr>
                <w:spacing w:val="-2"/>
                <w:sz w:val="20"/>
              </w:rPr>
              <w:t>I72.6,</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4" w:right="151"/>
              <w:jc w:val="center"/>
              <w:rPr>
                <w:sz w:val="20"/>
              </w:rPr>
            </w:pPr>
            <w:r>
              <w:rPr>
                <w:sz w:val="20"/>
              </w:rPr>
              <w:t>I72.8,</w:t>
            </w:r>
            <w:r>
              <w:rPr>
                <w:spacing w:val="-5"/>
                <w:sz w:val="20"/>
              </w:rPr>
              <w:t> </w:t>
            </w:r>
            <w:r>
              <w:rPr>
                <w:sz w:val="20"/>
              </w:rPr>
              <w:t>I72.9,</w:t>
            </w:r>
            <w:r>
              <w:rPr>
                <w:spacing w:val="-7"/>
                <w:sz w:val="20"/>
              </w:rPr>
              <w:t> </w:t>
            </w:r>
            <w:r>
              <w:rPr>
                <w:sz w:val="20"/>
              </w:rPr>
              <w:t>I73,</w:t>
            </w:r>
            <w:r>
              <w:rPr>
                <w:spacing w:val="-4"/>
                <w:sz w:val="20"/>
              </w:rPr>
              <w:t> </w:t>
            </w:r>
            <w:r>
              <w:rPr>
                <w:sz w:val="20"/>
              </w:rPr>
              <w:t>I73.0,</w:t>
            </w:r>
            <w:r>
              <w:rPr>
                <w:spacing w:val="-7"/>
                <w:sz w:val="20"/>
              </w:rPr>
              <w:t> </w:t>
            </w:r>
            <w:r>
              <w:rPr>
                <w:sz w:val="20"/>
              </w:rPr>
              <w:t>I73.1,</w:t>
            </w:r>
            <w:r>
              <w:rPr>
                <w:spacing w:val="-6"/>
                <w:sz w:val="20"/>
              </w:rPr>
              <w:t> </w:t>
            </w:r>
            <w:r>
              <w:rPr>
                <w:sz w:val="20"/>
              </w:rPr>
              <w:t>I73.8,</w:t>
            </w:r>
            <w:r>
              <w:rPr>
                <w:spacing w:val="-5"/>
                <w:sz w:val="20"/>
              </w:rPr>
              <w:t> </w:t>
            </w:r>
            <w:r>
              <w:rPr>
                <w:sz w:val="20"/>
              </w:rPr>
              <w:t>I73.9,</w:t>
            </w:r>
            <w:r>
              <w:rPr>
                <w:spacing w:val="-7"/>
                <w:sz w:val="20"/>
              </w:rPr>
              <w:t> </w:t>
            </w:r>
            <w:r>
              <w:rPr>
                <w:spacing w:val="-4"/>
                <w:sz w:val="20"/>
              </w:rPr>
              <w:t>I74,</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1" w:right="151"/>
              <w:jc w:val="center"/>
              <w:rPr>
                <w:sz w:val="20"/>
              </w:rPr>
            </w:pPr>
            <w:r>
              <w:rPr>
                <w:sz w:val="20"/>
              </w:rPr>
              <w:t>I74.0,</w:t>
            </w:r>
            <w:r>
              <w:rPr>
                <w:spacing w:val="-5"/>
                <w:sz w:val="20"/>
              </w:rPr>
              <w:t> </w:t>
            </w:r>
            <w:r>
              <w:rPr>
                <w:sz w:val="20"/>
              </w:rPr>
              <w:t>I74.1,</w:t>
            </w:r>
            <w:r>
              <w:rPr>
                <w:spacing w:val="-7"/>
                <w:sz w:val="20"/>
              </w:rPr>
              <w:t> </w:t>
            </w:r>
            <w:r>
              <w:rPr>
                <w:sz w:val="20"/>
              </w:rPr>
              <w:t>I74.2,</w:t>
            </w:r>
            <w:r>
              <w:rPr>
                <w:spacing w:val="-5"/>
                <w:sz w:val="20"/>
              </w:rPr>
              <w:t> </w:t>
            </w:r>
            <w:r>
              <w:rPr>
                <w:sz w:val="20"/>
              </w:rPr>
              <w:t>I74.3,</w:t>
            </w:r>
            <w:r>
              <w:rPr>
                <w:spacing w:val="-5"/>
                <w:sz w:val="20"/>
              </w:rPr>
              <w:t> </w:t>
            </w:r>
            <w:r>
              <w:rPr>
                <w:sz w:val="20"/>
              </w:rPr>
              <w:t>I74.4,</w:t>
            </w:r>
            <w:r>
              <w:rPr>
                <w:spacing w:val="-5"/>
                <w:sz w:val="20"/>
              </w:rPr>
              <w:t> </w:t>
            </w:r>
            <w:r>
              <w:rPr>
                <w:sz w:val="20"/>
              </w:rPr>
              <w:t>I74.5,</w:t>
            </w:r>
            <w:r>
              <w:rPr>
                <w:spacing w:val="-6"/>
                <w:sz w:val="20"/>
              </w:rPr>
              <w:t> </w:t>
            </w:r>
            <w:r>
              <w:rPr>
                <w:sz w:val="20"/>
              </w:rPr>
              <w:t>I74.8,</w:t>
            </w:r>
            <w:r>
              <w:rPr>
                <w:spacing w:val="-5"/>
                <w:sz w:val="20"/>
              </w:rPr>
              <w:t> </w:t>
            </w:r>
            <w:r>
              <w:rPr>
                <w:spacing w:val="-2"/>
                <w:sz w:val="20"/>
              </w:rPr>
              <w:t>I74.9,</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2" w:right="151"/>
              <w:jc w:val="center"/>
              <w:rPr>
                <w:sz w:val="20"/>
              </w:rPr>
            </w:pPr>
            <w:r>
              <w:rPr>
                <w:sz w:val="20"/>
              </w:rPr>
              <w:t>I77,</w:t>
            </w:r>
            <w:r>
              <w:rPr>
                <w:spacing w:val="-5"/>
                <w:sz w:val="20"/>
              </w:rPr>
              <w:t> </w:t>
            </w:r>
            <w:r>
              <w:rPr>
                <w:sz w:val="20"/>
              </w:rPr>
              <w:t>I77.0,</w:t>
            </w:r>
            <w:r>
              <w:rPr>
                <w:spacing w:val="-5"/>
                <w:sz w:val="20"/>
              </w:rPr>
              <w:t> </w:t>
            </w:r>
            <w:r>
              <w:rPr>
                <w:sz w:val="20"/>
              </w:rPr>
              <w:t>I77.1,</w:t>
            </w:r>
            <w:r>
              <w:rPr>
                <w:spacing w:val="-5"/>
                <w:sz w:val="20"/>
              </w:rPr>
              <w:t> </w:t>
            </w:r>
            <w:r>
              <w:rPr>
                <w:sz w:val="20"/>
              </w:rPr>
              <w:t>I77.2,</w:t>
            </w:r>
            <w:r>
              <w:rPr>
                <w:spacing w:val="-6"/>
                <w:sz w:val="20"/>
              </w:rPr>
              <w:t> </w:t>
            </w:r>
            <w:r>
              <w:rPr>
                <w:sz w:val="20"/>
              </w:rPr>
              <w:t>I77.3,</w:t>
            </w:r>
            <w:r>
              <w:rPr>
                <w:spacing w:val="-6"/>
                <w:sz w:val="20"/>
              </w:rPr>
              <w:t> </w:t>
            </w:r>
            <w:r>
              <w:rPr>
                <w:sz w:val="20"/>
              </w:rPr>
              <w:t>I77.4,</w:t>
            </w:r>
            <w:r>
              <w:rPr>
                <w:spacing w:val="-5"/>
                <w:sz w:val="20"/>
              </w:rPr>
              <w:t> </w:t>
            </w:r>
            <w:r>
              <w:rPr>
                <w:sz w:val="20"/>
              </w:rPr>
              <w:t>I77.5,</w:t>
            </w:r>
            <w:r>
              <w:rPr>
                <w:spacing w:val="-7"/>
                <w:sz w:val="20"/>
              </w:rPr>
              <w:t> </w:t>
            </w:r>
            <w:r>
              <w:rPr>
                <w:spacing w:val="-2"/>
                <w:sz w:val="20"/>
              </w:rPr>
              <w:t>I77.6,</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09" w:lineRule="exact"/>
              <w:ind w:left="179" w:right="151"/>
              <w:jc w:val="center"/>
              <w:rPr>
                <w:sz w:val="20"/>
              </w:rPr>
            </w:pPr>
            <w:r>
              <w:rPr>
                <w:sz w:val="20"/>
              </w:rPr>
              <w:t>I77.8,</w:t>
            </w:r>
            <w:r>
              <w:rPr>
                <w:spacing w:val="-5"/>
                <w:sz w:val="20"/>
              </w:rPr>
              <w:t> </w:t>
            </w:r>
            <w:r>
              <w:rPr>
                <w:sz w:val="20"/>
              </w:rPr>
              <w:t>I77.9,</w:t>
            </w:r>
            <w:r>
              <w:rPr>
                <w:spacing w:val="-7"/>
                <w:sz w:val="20"/>
              </w:rPr>
              <w:t> </w:t>
            </w:r>
            <w:r>
              <w:rPr>
                <w:sz w:val="20"/>
              </w:rPr>
              <w:t>I78,</w:t>
            </w:r>
            <w:r>
              <w:rPr>
                <w:spacing w:val="-4"/>
                <w:sz w:val="20"/>
              </w:rPr>
              <w:t> </w:t>
            </w:r>
            <w:r>
              <w:rPr>
                <w:sz w:val="20"/>
              </w:rPr>
              <w:t>I78.0,</w:t>
            </w:r>
            <w:r>
              <w:rPr>
                <w:spacing w:val="-3"/>
                <w:sz w:val="20"/>
              </w:rPr>
              <w:t> </w:t>
            </w:r>
            <w:r>
              <w:rPr>
                <w:sz w:val="20"/>
              </w:rPr>
              <w:t>I78.1,</w:t>
            </w:r>
            <w:r>
              <w:rPr>
                <w:spacing w:val="-7"/>
                <w:sz w:val="20"/>
              </w:rPr>
              <w:t> </w:t>
            </w:r>
            <w:r>
              <w:rPr>
                <w:sz w:val="20"/>
              </w:rPr>
              <w:t>I78.8,</w:t>
            </w:r>
            <w:r>
              <w:rPr>
                <w:spacing w:val="-4"/>
                <w:sz w:val="20"/>
              </w:rPr>
              <w:t> </w:t>
            </w:r>
            <w:r>
              <w:rPr>
                <w:sz w:val="20"/>
              </w:rPr>
              <w:t>I78.9,</w:t>
            </w:r>
            <w:r>
              <w:rPr>
                <w:spacing w:val="-7"/>
                <w:sz w:val="20"/>
              </w:rPr>
              <w:t> </w:t>
            </w:r>
            <w:r>
              <w:rPr>
                <w:spacing w:val="-4"/>
                <w:sz w:val="20"/>
              </w:rPr>
              <w:t>I79,</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09" w:lineRule="exact"/>
              <w:ind w:left="175" w:right="151"/>
              <w:jc w:val="center"/>
              <w:rPr>
                <w:sz w:val="20"/>
              </w:rPr>
            </w:pPr>
            <w:r>
              <w:rPr>
                <w:sz w:val="20"/>
              </w:rPr>
              <w:t>I79.0,</w:t>
            </w:r>
            <w:r>
              <w:rPr>
                <w:spacing w:val="-5"/>
                <w:sz w:val="20"/>
              </w:rPr>
              <w:t> </w:t>
            </w:r>
            <w:r>
              <w:rPr>
                <w:sz w:val="20"/>
              </w:rPr>
              <w:t>I79.1,</w:t>
            </w:r>
            <w:r>
              <w:rPr>
                <w:spacing w:val="-6"/>
                <w:sz w:val="20"/>
              </w:rPr>
              <w:t> </w:t>
            </w:r>
            <w:r>
              <w:rPr>
                <w:sz w:val="20"/>
              </w:rPr>
              <w:t>I79.2,</w:t>
            </w:r>
            <w:r>
              <w:rPr>
                <w:spacing w:val="-4"/>
                <w:sz w:val="20"/>
              </w:rPr>
              <w:t> </w:t>
            </w:r>
            <w:r>
              <w:rPr>
                <w:sz w:val="20"/>
              </w:rPr>
              <w:t>I79.8,</w:t>
            </w:r>
            <w:r>
              <w:rPr>
                <w:spacing w:val="-4"/>
                <w:sz w:val="20"/>
              </w:rPr>
              <w:t> </w:t>
            </w:r>
            <w:r>
              <w:rPr>
                <w:sz w:val="20"/>
              </w:rPr>
              <w:t>I99,</w:t>
            </w:r>
            <w:r>
              <w:rPr>
                <w:spacing w:val="-6"/>
                <w:sz w:val="20"/>
              </w:rPr>
              <w:t> </w:t>
            </w:r>
            <w:r>
              <w:rPr>
                <w:sz w:val="20"/>
              </w:rPr>
              <w:t>Q25,</w:t>
            </w:r>
            <w:r>
              <w:rPr>
                <w:spacing w:val="-4"/>
                <w:sz w:val="20"/>
              </w:rPr>
              <w:t> </w:t>
            </w:r>
            <w:r>
              <w:rPr>
                <w:sz w:val="20"/>
              </w:rPr>
              <w:t>Q25.0,</w:t>
            </w:r>
            <w:r>
              <w:rPr>
                <w:spacing w:val="-5"/>
                <w:sz w:val="20"/>
              </w:rPr>
              <w:t> </w:t>
            </w:r>
            <w:r>
              <w:rPr>
                <w:spacing w:val="-2"/>
                <w:sz w:val="20"/>
              </w:rPr>
              <w:t>Q25.1,</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7" w:right="151"/>
              <w:jc w:val="center"/>
              <w:rPr>
                <w:sz w:val="20"/>
              </w:rPr>
            </w:pPr>
            <w:r>
              <w:rPr>
                <w:sz w:val="20"/>
              </w:rPr>
              <w:t>Q25.2,</w:t>
            </w:r>
            <w:r>
              <w:rPr>
                <w:spacing w:val="-4"/>
                <w:sz w:val="20"/>
              </w:rPr>
              <w:t> </w:t>
            </w:r>
            <w:r>
              <w:rPr>
                <w:sz w:val="20"/>
              </w:rPr>
              <w:t>Q25.3,</w:t>
            </w:r>
            <w:r>
              <w:rPr>
                <w:spacing w:val="-6"/>
                <w:sz w:val="20"/>
              </w:rPr>
              <w:t> </w:t>
            </w:r>
            <w:r>
              <w:rPr>
                <w:sz w:val="20"/>
              </w:rPr>
              <w:t>Q25.4,</w:t>
            </w:r>
            <w:r>
              <w:rPr>
                <w:spacing w:val="-4"/>
                <w:sz w:val="20"/>
              </w:rPr>
              <w:t> </w:t>
            </w:r>
            <w:r>
              <w:rPr>
                <w:sz w:val="20"/>
              </w:rPr>
              <w:t>Q25.5,</w:t>
            </w:r>
            <w:r>
              <w:rPr>
                <w:spacing w:val="-6"/>
                <w:sz w:val="20"/>
              </w:rPr>
              <w:t> </w:t>
            </w:r>
            <w:r>
              <w:rPr>
                <w:sz w:val="20"/>
              </w:rPr>
              <w:t>Q25.6,</w:t>
            </w:r>
            <w:r>
              <w:rPr>
                <w:spacing w:val="-4"/>
                <w:sz w:val="20"/>
              </w:rPr>
              <w:t> </w:t>
            </w:r>
            <w:r>
              <w:rPr>
                <w:spacing w:val="-2"/>
                <w:sz w:val="20"/>
              </w:rPr>
              <w:t>Q25.7,</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1" w:lineRule="exact"/>
              <w:ind w:left="176" w:right="151"/>
              <w:jc w:val="center"/>
              <w:rPr>
                <w:sz w:val="20"/>
              </w:rPr>
            </w:pPr>
            <w:r>
              <w:rPr>
                <w:sz w:val="20"/>
              </w:rPr>
              <w:t>Q25.8,</w:t>
            </w:r>
            <w:r>
              <w:rPr>
                <w:spacing w:val="-6"/>
                <w:sz w:val="20"/>
              </w:rPr>
              <w:t> </w:t>
            </w:r>
            <w:r>
              <w:rPr>
                <w:sz w:val="20"/>
              </w:rPr>
              <w:t>Q25.9,</w:t>
            </w:r>
            <w:r>
              <w:rPr>
                <w:spacing w:val="-7"/>
                <w:sz w:val="20"/>
              </w:rPr>
              <w:t> </w:t>
            </w:r>
            <w:r>
              <w:rPr>
                <w:sz w:val="20"/>
              </w:rPr>
              <w:t>Q27,</w:t>
            </w:r>
            <w:r>
              <w:rPr>
                <w:spacing w:val="-5"/>
                <w:sz w:val="20"/>
              </w:rPr>
              <w:t> </w:t>
            </w:r>
            <w:r>
              <w:rPr>
                <w:sz w:val="20"/>
              </w:rPr>
              <w:t>Q27.0,</w:t>
            </w:r>
            <w:r>
              <w:rPr>
                <w:spacing w:val="-5"/>
                <w:sz w:val="20"/>
              </w:rPr>
              <w:t> </w:t>
            </w:r>
            <w:r>
              <w:rPr>
                <w:sz w:val="20"/>
              </w:rPr>
              <w:t>Q27.1,</w:t>
            </w:r>
            <w:r>
              <w:rPr>
                <w:spacing w:val="-5"/>
                <w:sz w:val="20"/>
              </w:rPr>
              <w:t> </w:t>
            </w:r>
            <w:r>
              <w:rPr>
                <w:sz w:val="20"/>
              </w:rPr>
              <w:t>Q27.2,</w:t>
            </w:r>
            <w:r>
              <w:rPr>
                <w:spacing w:val="-6"/>
                <w:sz w:val="20"/>
              </w:rPr>
              <w:t> </w:t>
            </w:r>
            <w:r>
              <w:rPr>
                <w:spacing w:val="-2"/>
                <w:sz w:val="20"/>
              </w:rPr>
              <w:t>Q27.3,</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1" w:lineRule="exact"/>
              <w:ind w:left="176" w:right="151"/>
              <w:jc w:val="center"/>
              <w:rPr>
                <w:sz w:val="20"/>
              </w:rPr>
            </w:pPr>
            <w:r>
              <w:rPr>
                <w:sz w:val="20"/>
              </w:rPr>
              <w:t>Q27.8,</w:t>
            </w:r>
            <w:r>
              <w:rPr>
                <w:spacing w:val="-6"/>
                <w:sz w:val="20"/>
              </w:rPr>
              <w:t> </w:t>
            </w:r>
            <w:r>
              <w:rPr>
                <w:sz w:val="20"/>
              </w:rPr>
              <w:t>Q27.9,</w:t>
            </w:r>
            <w:r>
              <w:rPr>
                <w:spacing w:val="-7"/>
                <w:sz w:val="20"/>
              </w:rPr>
              <w:t> </w:t>
            </w:r>
            <w:r>
              <w:rPr>
                <w:sz w:val="20"/>
              </w:rPr>
              <w:t>Q28,</w:t>
            </w:r>
            <w:r>
              <w:rPr>
                <w:spacing w:val="-5"/>
                <w:sz w:val="20"/>
              </w:rPr>
              <w:t> </w:t>
            </w:r>
            <w:r>
              <w:rPr>
                <w:sz w:val="20"/>
              </w:rPr>
              <w:t>Q28.0,</w:t>
            </w:r>
            <w:r>
              <w:rPr>
                <w:spacing w:val="-5"/>
                <w:sz w:val="20"/>
              </w:rPr>
              <w:t> </w:t>
            </w:r>
            <w:r>
              <w:rPr>
                <w:sz w:val="20"/>
              </w:rPr>
              <w:t>Q28.1,</w:t>
            </w:r>
            <w:r>
              <w:rPr>
                <w:spacing w:val="-5"/>
                <w:sz w:val="20"/>
              </w:rPr>
              <w:t> </w:t>
            </w:r>
            <w:r>
              <w:rPr>
                <w:sz w:val="20"/>
              </w:rPr>
              <w:t>Q28.2,</w:t>
            </w:r>
            <w:r>
              <w:rPr>
                <w:spacing w:val="-6"/>
                <w:sz w:val="20"/>
              </w:rPr>
              <w:t> </w:t>
            </w:r>
            <w:r>
              <w:rPr>
                <w:spacing w:val="-2"/>
                <w:sz w:val="20"/>
              </w:rPr>
              <w:t>Q28.3,</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spacing w:line="226" w:lineRule="exact"/>
              <w:ind w:left="179" w:right="149"/>
              <w:jc w:val="center"/>
              <w:rPr>
                <w:sz w:val="20"/>
              </w:rPr>
            </w:pPr>
            <w:r>
              <w:rPr>
                <w:sz w:val="20"/>
              </w:rPr>
              <w:t>Q28.8,</w:t>
            </w:r>
            <w:r>
              <w:rPr>
                <w:spacing w:val="-4"/>
                <w:sz w:val="20"/>
              </w:rPr>
              <w:t> </w:t>
            </w:r>
            <w:r>
              <w:rPr>
                <w:sz w:val="20"/>
              </w:rPr>
              <w:t>Q28.9,</w:t>
            </w:r>
            <w:r>
              <w:rPr>
                <w:spacing w:val="-5"/>
                <w:sz w:val="20"/>
              </w:rPr>
              <w:t> </w:t>
            </w:r>
            <w:r>
              <w:rPr>
                <w:sz w:val="20"/>
              </w:rPr>
              <w:t>R02,</w:t>
            </w:r>
            <w:r>
              <w:rPr>
                <w:spacing w:val="-3"/>
                <w:sz w:val="20"/>
              </w:rPr>
              <w:t> </w:t>
            </w:r>
            <w:r>
              <w:rPr>
                <w:spacing w:val="-5"/>
                <w:sz w:val="20"/>
              </w:rPr>
              <w:t>R58</w:t>
            </w:r>
          </w:p>
        </w:tc>
        <w:tc>
          <w:tcPr>
            <w:tcW w:w="3407" w:type="dxa"/>
          </w:tcPr>
          <w:p>
            <w:pPr>
              <w:pStyle w:val="TableParagraph"/>
              <w:rPr>
                <w:sz w:val="18"/>
              </w:rPr>
            </w:pPr>
          </w:p>
        </w:tc>
        <w:tc>
          <w:tcPr>
            <w:tcW w:w="2516" w:type="dxa"/>
          </w:tcPr>
          <w:p>
            <w:pPr>
              <w:pStyle w:val="TableParagraph"/>
              <w:rPr>
                <w:sz w:val="18"/>
              </w:rPr>
            </w:pPr>
          </w:p>
        </w:tc>
        <w:tc>
          <w:tcPr>
            <w:tcW w:w="789"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st25.004</w:t>
            </w:r>
          </w:p>
        </w:tc>
        <w:tc>
          <w:tcPr>
            <w:tcW w:w="707" w:type="dxa"/>
          </w:tcPr>
          <w:p>
            <w:pPr>
              <w:pStyle w:val="TableParagraph"/>
              <w:spacing w:line="215" w:lineRule="exact" w:before="45"/>
              <w:ind w:left="210"/>
              <w:rPr>
                <w:sz w:val="20"/>
              </w:rPr>
            </w:pPr>
            <w:r>
              <w:rPr>
                <w:spacing w:val="-5"/>
                <w:sz w:val="20"/>
              </w:rPr>
              <w:t>240</w:t>
            </w:r>
          </w:p>
        </w:tc>
        <w:tc>
          <w:tcPr>
            <w:tcW w:w="2499" w:type="dxa"/>
          </w:tcPr>
          <w:p>
            <w:pPr>
              <w:pStyle w:val="TableParagraph"/>
              <w:spacing w:line="215" w:lineRule="exact" w:before="45"/>
              <w:ind w:left="192"/>
              <w:rPr>
                <w:sz w:val="20"/>
              </w:rPr>
            </w:pPr>
            <w:r>
              <w:rPr>
                <w:spacing w:val="-2"/>
                <w:sz w:val="20"/>
              </w:rPr>
              <w:t>Диагностическое</w:t>
            </w:r>
          </w:p>
        </w:tc>
        <w:tc>
          <w:tcPr>
            <w:tcW w:w="4411" w:type="dxa"/>
          </w:tcPr>
          <w:p>
            <w:pPr>
              <w:pStyle w:val="TableParagraph"/>
              <w:spacing w:line="215" w:lineRule="exact" w:before="45"/>
              <w:ind w:left="179" w:right="146"/>
              <w:jc w:val="center"/>
              <w:rPr>
                <w:sz w:val="20"/>
              </w:rPr>
            </w:pPr>
            <w:r>
              <w:rPr>
                <w:sz w:val="20"/>
              </w:rPr>
              <w:t>I.,</w:t>
            </w:r>
            <w:r>
              <w:rPr>
                <w:spacing w:val="-5"/>
                <w:sz w:val="20"/>
              </w:rPr>
              <w:t> </w:t>
            </w:r>
            <w:r>
              <w:rPr>
                <w:sz w:val="20"/>
              </w:rPr>
              <w:t>Q20-</w:t>
            </w:r>
            <w:r>
              <w:rPr>
                <w:spacing w:val="-5"/>
                <w:sz w:val="20"/>
              </w:rPr>
              <w:t>Q28</w:t>
            </w:r>
          </w:p>
        </w:tc>
        <w:tc>
          <w:tcPr>
            <w:tcW w:w="3407" w:type="dxa"/>
          </w:tcPr>
          <w:p>
            <w:pPr>
              <w:pStyle w:val="TableParagraph"/>
              <w:spacing w:line="215" w:lineRule="exact" w:before="45"/>
              <w:ind w:left="147" w:right="174"/>
              <w:jc w:val="center"/>
              <w:rPr>
                <w:sz w:val="20"/>
              </w:rPr>
            </w:pPr>
            <w:r>
              <w:rPr>
                <w:w w:val="95"/>
                <w:sz w:val="20"/>
              </w:rPr>
              <w:t>A04.10.002.001,</w:t>
            </w:r>
            <w:r>
              <w:rPr>
                <w:spacing w:val="54"/>
                <w:sz w:val="20"/>
              </w:rPr>
              <w:t> </w:t>
            </w:r>
            <w:r>
              <w:rPr>
                <w:spacing w:val="-2"/>
                <w:sz w:val="20"/>
              </w:rPr>
              <w:t>A06.10.008,</w:t>
            </w:r>
          </w:p>
        </w:tc>
        <w:tc>
          <w:tcPr>
            <w:tcW w:w="2516" w:type="dxa"/>
          </w:tcPr>
          <w:p>
            <w:pPr>
              <w:pStyle w:val="TableParagraph"/>
              <w:spacing w:line="215" w:lineRule="exact" w:before="45"/>
              <w:ind w:left="175"/>
              <w:rPr>
                <w:sz w:val="20"/>
              </w:rPr>
            </w:pPr>
            <w:r>
              <w:rPr>
                <w:sz w:val="20"/>
              </w:rPr>
              <w:t>Длительность:</w:t>
            </w:r>
            <w:r>
              <w:rPr>
                <w:spacing w:val="-9"/>
                <w:sz w:val="20"/>
              </w:rPr>
              <w:t> </w:t>
            </w:r>
            <w:r>
              <w:rPr>
                <w:sz w:val="20"/>
              </w:rPr>
              <w:t>До</w:t>
            </w:r>
            <w:r>
              <w:rPr>
                <w:spacing w:val="-7"/>
                <w:sz w:val="20"/>
              </w:rPr>
              <w:t> </w:t>
            </w:r>
            <w:r>
              <w:rPr>
                <w:spacing w:val="-4"/>
                <w:sz w:val="20"/>
              </w:rPr>
              <w:t>трех</w:t>
            </w:r>
          </w:p>
        </w:tc>
        <w:tc>
          <w:tcPr>
            <w:tcW w:w="789" w:type="dxa"/>
          </w:tcPr>
          <w:p>
            <w:pPr>
              <w:pStyle w:val="TableParagraph"/>
              <w:spacing w:line="215" w:lineRule="exact" w:before="45"/>
              <w:ind w:right="49"/>
              <w:jc w:val="right"/>
              <w:rPr>
                <w:sz w:val="20"/>
              </w:rPr>
            </w:pPr>
            <w:r>
              <w:rPr>
                <w:spacing w:val="-4"/>
                <w:sz w:val="20"/>
              </w:rPr>
              <w:t>1,01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0" w:lineRule="exact"/>
              <w:ind w:left="192"/>
              <w:rPr>
                <w:sz w:val="20"/>
              </w:rPr>
            </w:pPr>
            <w:r>
              <w:rPr>
                <w:spacing w:val="-2"/>
                <w:sz w:val="20"/>
              </w:rPr>
              <w:t>обследование</w:t>
            </w:r>
            <w:r>
              <w:rPr>
                <w:spacing w:val="8"/>
                <w:sz w:val="20"/>
              </w:rPr>
              <w:t> </w:t>
            </w:r>
            <w:r>
              <w:rPr>
                <w:spacing w:val="-2"/>
                <w:sz w:val="20"/>
              </w:rPr>
              <w:t>сердечно-</w:t>
            </w:r>
          </w:p>
        </w:tc>
        <w:tc>
          <w:tcPr>
            <w:tcW w:w="4411" w:type="dxa"/>
          </w:tcPr>
          <w:p>
            <w:pPr>
              <w:pStyle w:val="TableParagraph"/>
              <w:rPr>
                <w:sz w:val="16"/>
              </w:rPr>
            </w:pPr>
          </w:p>
        </w:tc>
        <w:tc>
          <w:tcPr>
            <w:tcW w:w="3407" w:type="dxa"/>
          </w:tcPr>
          <w:p>
            <w:pPr>
              <w:pStyle w:val="TableParagraph"/>
              <w:spacing w:line="210" w:lineRule="exact"/>
              <w:ind w:left="147" w:right="176"/>
              <w:jc w:val="center"/>
              <w:rPr>
                <w:sz w:val="20"/>
              </w:rPr>
            </w:pPr>
            <w:r>
              <w:rPr>
                <w:sz w:val="20"/>
              </w:rPr>
              <w:t>A06.12.003,</w:t>
            </w:r>
            <w:r>
              <w:rPr>
                <w:spacing w:val="-9"/>
                <w:sz w:val="20"/>
              </w:rPr>
              <w:t> </w:t>
            </w:r>
            <w:r>
              <w:rPr>
                <w:sz w:val="20"/>
              </w:rPr>
              <w:t>A06.12.004,</w:t>
            </w:r>
            <w:r>
              <w:rPr>
                <w:spacing w:val="-10"/>
                <w:sz w:val="20"/>
              </w:rPr>
              <w:t> </w:t>
            </w:r>
            <w:r>
              <w:rPr>
                <w:spacing w:val="-2"/>
                <w:sz w:val="20"/>
              </w:rPr>
              <w:t>A06.12.005,</w:t>
            </w:r>
          </w:p>
        </w:tc>
        <w:tc>
          <w:tcPr>
            <w:tcW w:w="2516" w:type="dxa"/>
          </w:tcPr>
          <w:p>
            <w:pPr>
              <w:pStyle w:val="TableParagraph"/>
              <w:spacing w:line="210" w:lineRule="exact"/>
              <w:ind w:left="312"/>
              <w:rPr>
                <w:sz w:val="20"/>
              </w:rPr>
            </w:pPr>
            <w:r>
              <w:rPr>
                <w:sz w:val="20"/>
              </w:rPr>
              <w:t>дней</w:t>
            </w:r>
            <w:r>
              <w:rPr>
                <w:spacing w:val="-6"/>
                <w:sz w:val="20"/>
              </w:rPr>
              <w:t> </w:t>
            </w:r>
            <w:r>
              <w:rPr>
                <w:spacing w:val="-2"/>
                <w:sz w:val="20"/>
              </w:rPr>
              <w:t>включительно</w:t>
            </w: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0" w:lineRule="exact"/>
              <w:ind w:left="192"/>
              <w:rPr>
                <w:sz w:val="20"/>
              </w:rPr>
            </w:pPr>
            <w:r>
              <w:rPr>
                <w:sz w:val="20"/>
              </w:rPr>
              <w:t>сосудистой</w:t>
            </w:r>
            <w:r>
              <w:rPr>
                <w:spacing w:val="-11"/>
                <w:sz w:val="20"/>
              </w:rPr>
              <w:t> </w:t>
            </w:r>
            <w:r>
              <w:rPr>
                <w:spacing w:val="-2"/>
                <w:sz w:val="20"/>
              </w:rPr>
              <w:t>системы</w:t>
            </w:r>
          </w:p>
        </w:tc>
        <w:tc>
          <w:tcPr>
            <w:tcW w:w="4411" w:type="dxa"/>
          </w:tcPr>
          <w:p>
            <w:pPr>
              <w:pStyle w:val="TableParagraph"/>
              <w:rPr>
                <w:sz w:val="16"/>
              </w:rPr>
            </w:pPr>
          </w:p>
        </w:tc>
        <w:tc>
          <w:tcPr>
            <w:tcW w:w="3407" w:type="dxa"/>
          </w:tcPr>
          <w:p>
            <w:pPr>
              <w:pStyle w:val="TableParagraph"/>
              <w:spacing w:line="210" w:lineRule="exact"/>
              <w:ind w:left="147" w:right="176"/>
              <w:jc w:val="center"/>
              <w:rPr>
                <w:sz w:val="20"/>
              </w:rPr>
            </w:pPr>
            <w:r>
              <w:rPr>
                <w:sz w:val="20"/>
              </w:rPr>
              <w:t>A06.12.006,</w:t>
            </w:r>
            <w:r>
              <w:rPr>
                <w:spacing w:val="-9"/>
                <w:sz w:val="20"/>
              </w:rPr>
              <w:t> </w:t>
            </w:r>
            <w:r>
              <w:rPr>
                <w:sz w:val="20"/>
              </w:rPr>
              <w:t>A06.12.007,</w:t>
            </w:r>
            <w:r>
              <w:rPr>
                <w:spacing w:val="-10"/>
                <w:sz w:val="20"/>
              </w:rPr>
              <w:t> </w:t>
            </w:r>
            <w:r>
              <w:rPr>
                <w:spacing w:val="-2"/>
                <w:sz w:val="20"/>
              </w:rPr>
              <w:t>A06.12.009,</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6"/>
              <w:jc w:val="center"/>
              <w:rPr>
                <w:sz w:val="20"/>
              </w:rPr>
            </w:pPr>
            <w:r>
              <w:rPr>
                <w:sz w:val="20"/>
              </w:rPr>
              <w:t>A06.12.010,</w:t>
            </w:r>
            <w:r>
              <w:rPr>
                <w:spacing w:val="-9"/>
                <w:sz w:val="20"/>
              </w:rPr>
              <w:t> </w:t>
            </w:r>
            <w:r>
              <w:rPr>
                <w:sz w:val="20"/>
              </w:rPr>
              <w:t>A06.12.011,</w:t>
            </w:r>
            <w:r>
              <w:rPr>
                <w:spacing w:val="-10"/>
                <w:sz w:val="20"/>
              </w:rPr>
              <w:t> </w:t>
            </w:r>
            <w:r>
              <w:rPr>
                <w:spacing w:val="-2"/>
                <w:sz w:val="20"/>
              </w:rPr>
              <w:t>A06.12.020,</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2"/>
              <w:jc w:val="center"/>
              <w:rPr>
                <w:sz w:val="20"/>
              </w:rPr>
            </w:pPr>
            <w:r>
              <w:rPr>
                <w:sz w:val="20"/>
              </w:rPr>
              <w:t>A06.12.021,</w:t>
            </w:r>
            <w:r>
              <w:rPr>
                <w:spacing w:val="-9"/>
                <w:sz w:val="20"/>
              </w:rPr>
              <w:t> </w:t>
            </w:r>
            <w:r>
              <w:rPr>
                <w:spacing w:val="-2"/>
                <w:sz w:val="20"/>
              </w:rPr>
              <w:t>A06.12.022,</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0" w:lineRule="exact"/>
              <w:ind w:left="147" w:right="170"/>
              <w:jc w:val="center"/>
              <w:rPr>
                <w:sz w:val="20"/>
              </w:rPr>
            </w:pPr>
            <w:r>
              <w:rPr>
                <w:w w:val="95"/>
                <w:sz w:val="20"/>
              </w:rPr>
              <w:t>A06.12.022.001,</w:t>
            </w:r>
            <w:r>
              <w:rPr>
                <w:spacing w:val="54"/>
                <w:sz w:val="20"/>
              </w:rPr>
              <w:t> </w:t>
            </w:r>
            <w:r>
              <w:rPr>
                <w:spacing w:val="-2"/>
                <w:sz w:val="20"/>
              </w:rPr>
              <w:t>A06.12.023,</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0" w:lineRule="exact"/>
              <w:ind w:left="147" w:right="176"/>
              <w:jc w:val="center"/>
              <w:rPr>
                <w:sz w:val="20"/>
              </w:rPr>
            </w:pPr>
            <w:r>
              <w:rPr>
                <w:sz w:val="20"/>
              </w:rPr>
              <w:t>A06.12.027,</w:t>
            </w:r>
            <w:r>
              <w:rPr>
                <w:spacing w:val="-9"/>
                <w:sz w:val="20"/>
              </w:rPr>
              <w:t> </w:t>
            </w:r>
            <w:r>
              <w:rPr>
                <w:sz w:val="20"/>
              </w:rPr>
              <w:t>A06.12.028,</w:t>
            </w:r>
            <w:r>
              <w:rPr>
                <w:spacing w:val="-10"/>
                <w:sz w:val="20"/>
              </w:rPr>
              <w:t> </w:t>
            </w:r>
            <w:r>
              <w:rPr>
                <w:spacing w:val="-2"/>
                <w:sz w:val="20"/>
              </w:rPr>
              <w:t>A06.12.029,</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1" w:lineRule="exact"/>
              <w:ind w:left="147" w:right="172"/>
              <w:jc w:val="center"/>
              <w:rPr>
                <w:sz w:val="20"/>
              </w:rPr>
            </w:pPr>
            <w:r>
              <w:rPr>
                <w:sz w:val="20"/>
              </w:rPr>
              <w:t>A06.12.030,</w:t>
            </w:r>
            <w:r>
              <w:rPr>
                <w:spacing w:val="-9"/>
                <w:sz w:val="20"/>
              </w:rPr>
              <w:t> </w:t>
            </w:r>
            <w:r>
              <w:rPr>
                <w:spacing w:val="-2"/>
                <w:sz w:val="20"/>
              </w:rPr>
              <w:t>A06.12.031,</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1" w:lineRule="exact"/>
              <w:ind w:left="147" w:right="174"/>
              <w:jc w:val="center"/>
              <w:rPr>
                <w:sz w:val="20"/>
              </w:rPr>
            </w:pPr>
            <w:r>
              <w:rPr>
                <w:w w:val="95"/>
                <w:sz w:val="20"/>
              </w:rPr>
              <w:t>A06.12.031.001,</w:t>
            </w:r>
            <w:r>
              <w:rPr>
                <w:spacing w:val="54"/>
                <w:sz w:val="20"/>
              </w:rPr>
              <w:t> </w:t>
            </w:r>
            <w:r>
              <w:rPr>
                <w:spacing w:val="-2"/>
                <w:sz w:val="20"/>
              </w:rPr>
              <w:t>A06.12.034,</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6"/>
              <w:jc w:val="center"/>
              <w:rPr>
                <w:sz w:val="20"/>
              </w:rPr>
            </w:pPr>
            <w:r>
              <w:rPr>
                <w:sz w:val="20"/>
              </w:rPr>
              <w:t>A06.12.035,</w:t>
            </w:r>
            <w:r>
              <w:rPr>
                <w:spacing w:val="-9"/>
                <w:sz w:val="20"/>
              </w:rPr>
              <w:t> </w:t>
            </w:r>
            <w:r>
              <w:rPr>
                <w:sz w:val="20"/>
              </w:rPr>
              <w:t>A06.12.036,</w:t>
            </w:r>
            <w:r>
              <w:rPr>
                <w:spacing w:val="-10"/>
                <w:sz w:val="20"/>
              </w:rPr>
              <w:t> </w:t>
            </w:r>
            <w:r>
              <w:rPr>
                <w:spacing w:val="-2"/>
                <w:sz w:val="20"/>
              </w:rPr>
              <w:t>A06.12.037,</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6"/>
              <w:jc w:val="center"/>
              <w:rPr>
                <w:sz w:val="20"/>
              </w:rPr>
            </w:pPr>
            <w:r>
              <w:rPr>
                <w:sz w:val="20"/>
              </w:rPr>
              <w:t>A06.12.038,</w:t>
            </w:r>
            <w:r>
              <w:rPr>
                <w:spacing w:val="-9"/>
                <w:sz w:val="20"/>
              </w:rPr>
              <w:t> </w:t>
            </w:r>
            <w:r>
              <w:rPr>
                <w:sz w:val="20"/>
              </w:rPr>
              <w:t>A06.12.042,</w:t>
            </w:r>
            <w:r>
              <w:rPr>
                <w:spacing w:val="-10"/>
                <w:sz w:val="20"/>
              </w:rPr>
              <w:t> </w:t>
            </w:r>
            <w:r>
              <w:rPr>
                <w:spacing w:val="-2"/>
                <w:sz w:val="20"/>
              </w:rPr>
              <w:t>A06.12.049,</w:t>
            </w:r>
          </w:p>
        </w:tc>
        <w:tc>
          <w:tcPr>
            <w:tcW w:w="2516" w:type="dxa"/>
          </w:tcPr>
          <w:p>
            <w:pPr>
              <w:pStyle w:val="TableParagraph"/>
              <w:rPr>
                <w:sz w:val="16"/>
              </w:rPr>
            </w:pPr>
          </w:p>
        </w:tc>
        <w:tc>
          <w:tcPr>
            <w:tcW w:w="789"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rPr>
                <w:sz w:val="18"/>
              </w:rPr>
            </w:pPr>
          </w:p>
        </w:tc>
        <w:tc>
          <w:tcPr>
            <w:tcW w:w="3407" w:type="dxa"/>
          </w:tcPr>
          <w:p>
            <w:pPr>
              <w:pStyle w:val="TableParagraph"/>
              <w:spacing w:line="226" w:lineRule="exact"/>
              <w:ind w:left="147" w:right="170"/>
              <w:jc w:val="center"/>
              <w:rPr>
                <w:sz w:val="20"/>
              </w:rPr>
            </w:pPr>
            <w:r>
              <w:rPr>
                <w:spacing w:val="-2"/>
                <w:sz w:val="20"/>
              </w:rPr>
              <w:t>A07.28.004</w:t>
            </w:r>
          </w:p>
        </w:tc>
        <w:tc>
          <w:tcPr>
            <w:tcW w:w="2516" w:type="dxa"/>
          </w:tcPr>
          <w:p>
            <w:pPr>
              <w:pStyle w:val="TableParagraph"/>
              <w:rPr>
                <w:sz w:val="18"/>
              </w:rPr>
            </w:pPr>
          </w:p>
        </w:tc>
        <w:tc>
          <w:tcPr>
            <w:tcW w:w="789" w:type="dxa"/>
          </w:tcPr>
          <w:p>
            <w:pPr>
              <w:pStyle w:val="TableParagraph"/>
              <w:rPr>
                <w:sz w:val="18"/>
              </w:rPr>
            </w:pPr>
          </w:p>
        </w:tc>
      </w:tr>
      <w:tr>
        <w:trPr>
          <w:trHeight w:val="560"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spacing w:before="46"/>
              <w:ind w:left="179" w:right="147"/>
              <w:jc w:val="center"/>
              <w:rPr>
                <w:sz w:val="20"/>
              </w:rPr>
            </w:pPr>
            <w:r>
              <w:rPr>
                <w:spacing w:val="-5"/>
                <w:sz w:val="20"/>
              </w:rPr>
              <w:t>I.</w:t>
            </w:r>
          </w:p>
        </w:tc>
        <w:tc>
          <w:tcPr>
            <w:tcW w:w="3407" w:type="dxa"/>
          </w:tcPr>
          <w:p>
            <w:pPr>
              <w:pStyle w:val="TableParagraph"/>
              <w:spacing w:before="46"/>
              <w:ind w:left="694" w:right="517" w:hanging="200"/>
              <w:rPr>
                <w:sz w:val="20"/>
              </w:rPr>
            </w:pPr>
            <w:r>
              <w:rPr>
                <w:sz w:val="20"/>
              </w:rPr>
              <w:t>A04.12.013.001,</w:t>
            </w:r>
            <w:r>
              <w:rPr>
                <w:spacing w:val="-13"/>
                <w:sz w:val="20"/>
              </w:rPr>
              <w:t> </w:t>
            </w:r>
            <w:r>
              <w:rPr>
                <w:sz w:val="20"/>
              </w:rPr>
              <w:t>A05.10.012, A06.12.059, A06.12.060</w:t>
            </w:r>
          </w:p>
        </w:tc>
        <w:tc>
          <w:tcPr>
            <w:tcW w:w="2516" w:type="dxa"/>
          </w:tcPr>
          <w:p>
            <w:pPr>
              <w:pStyle w:val="TableParagraph"/>
              <w:rPr>
                <w:sz w:val="18"/>
              </w:rPr>
            </w:pPr>
          </w:p>
        </w:tc>
        <w:tc>
          <w:tcPr>
            <w:tcW w:w="789" w:type="dxa"/>
          </w:tcPr>
          <w:p>
            <w:pPr>
              <w:pStyle w:val="TableParagraph"/>
              <w:rPr>
                <w:sz w:val="18"/>
              </w:rPr>
            </w:pPr>
          </w:p>
        </w:tc>
      </w:tr>
      <w:tr>
        <w:trPr>
          <w:trHeight w:val="505"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spacing w:before="45"/>
              <w:ind w:left="326"/>
              <w:rPr>
                <w:sz w:val="20"/>
              </w:rPr>
            </w:pPr>
            <w:r>
              <w:rPr>
                <w:sz w:val="20"/>
              </w:rPr>
              <w:t>I.,</w:t>
            </w:r>
            <w:r>
              <w:rPr>
                <w:spacing w:val="-5"/>
                <w:sz w:val="20"/>
              </w:rPr>
              <w:t> </w:t>
            </w:r>
            <w:r>
              <w:rPr>
                <w:sz w:val="20"/>
              </w:rPr>
              <w:t>Q20-Q28,</w:t>
            </w:r>
            <w:r>
              <w:rPr>
                <w:spacing w:val="-5"/>
                <w:sz w:val="20"/>
              </w:rPr>
              <w:t> </w:t>
            </w:r>
            <w:r>
              <w:rPr>
                <w:sz w:val="20"/>
              </w:rPr>
              <w:t>R00,</w:t>
            </w:r>
            <w:r>
              <w:rPr>
                <w:spacing w:val="-5"/>
                <w:sz w:val="20"/>
              </w:rPr>
              <w:t> </w:t>
            </w:r>
            <w:r>
              <w:rPr>
                <w:sz w:val="20"/>
              </w:rPr>
              <w:t>R00.0,</w:t>
            </w:r>
            <w:r>
              <w:rPr>
                <w:spacing w:val="-6"/>
                <w:sz w:val="20"/>
              </w:rPr>
              <w:t> </w:t>
            </w:r>
            <w:r>
              <w:rPr>
                <w:sz w:val="20"/>
              </w:rPr>
              <w:t>R00.1,</w:t>
            </w:r>
            <w:r>
              <w:rPr>
                <w:spacing w:val="-5"/>
                <w:sz w:val="20"/>
              </w:rPr>
              <w:t> </w:t>
            </w:r>
            <w:r>
              <w:rPr>
                <w:sz w:val="20"/>
              </w:rPr>
              <w:t>R00.2,</w:t>
            </w:r>
            <w:r>
              <w:rPr>
                <w:spacing w:val="-5"/>
                <w:sz w:val="20"/>
              </w:rPr>
              <w:t> </w:t>
            </w:r>
            <w:r>
              <w:rPr>
                <w:spacing w:val="-2"/>
                <w:sz w:val="20"/>
              </w:rPr>
              <w:t>R00.8,</w:t>
            </w:r>
          </w:p>
          <w:p>
            <w:pPr>
              <w:pStyle w:val="TableParagraph"/>
              <w:spacing w:line="210" w:lineRule="exact"/>
              <w:ind w:left="305"/>
              <w:rPr>
                <w:sz w:val="20"/>
              </w:rPr>
            </w:pPr>
            <w:r>
              <w:rPr>
                <w:sz w:val="20"/>
              </w:rPr>
              <w:t>R07.2,</w:t>
            </w:r>
            <w:r>
              <w:rPr>
                <w:spacing w:val="-5"/>
                <w:sz w:val="20"/>
              </w:rPr>
              <w:t> </w:t>
            </w:r>
            <w:r>
              <w:rPr>
                <w:sz w:val="20"/>
              </w:rPr>
              <w:t>R07.4,</w:t>
            </w:r>
            <w:r>
              <w:rPr>
                <w:spacing w:val="-6"/>
                <w:sz w:val="20"/>
              </w:rPr>
              <w:t> </w:t>
            </w:r>
            <w:r>
              <w:rPr>
                <w:sz w:val="20"/>
              </w:rPr>
              <w:t>T81,</w:t>
            </w:r>
            <w:r>
              <w:rPr>
                <w:spacing w:val="-6"/>
                <w:sz w:val="20"/>
              </w:rPr>
              <w:t> </w:t>
            </w:r>
            <w:r>
              <w:rPr>
                <w:sz w:val="20"/>
              </w:rPr>
              <w:t>T81.0,</w:t>
            </w:r>
            <w:r>
              <w:rPr>
                <w:spacing w:val="-6"/>
                <w:sz w:val="20"/>
              </w:rPr>
              <w:t> </w:t>
            </w:r>
            <w:r>
              <w:rPr>
                <w:sz w:val="20"/>
              </w:rPr>
              <w:t>T81.1,</w:t>
            </w:r>
            <w:r>
              <w:rPr>
                <w:spacing w:val="-6"/>
                <w:sz w:val="20"/>
              </w:rPr>
              <w:t> </w:t>
            </w:r>
            <w:r>
              <w:rPr>
                <w:sz w:val="20"/>
              </w:rPr>
              <w:t>T81.2,</w:t>
            </w:r>
            <w:r>
              <w:rPr>
                <w:spacing w:val="-6"/>
                <w:sz w:val="20"/>
              </w:rPr>
              <w:t> </w:t>
            </w:r>
            <w:r>
              <w:rPr>
                <w:spacing w:val="-2"/>
                <w:sz w:val="20"/>
              </w:rPr>
              <w:t>T81.3,</w:t>
            </w:r>
          </w:p>
        </w:tc>
        <w:tc>
          <w:tcPr>
            <w:tcW w:w="3407" w:type="dxa"/>
          </w:tcPr>
          <w:p>
            <w:pPr>
              <w:pStyle w:val="TableParagraph"/>
              <w:spacing w:before="45"/>
              <w:ind w:left="147" w:right="173"/>
              <w:jc w:val="center"/>
              <w:rPr>
                <w:sz w:val="20"/>
              </w:rPr>
            </w:pPr>
            <w:r>
              <w:rPr>
                <w:spacing w:val="-2"/>
                <w:sz w:val="20"/>
              </w:rPr>
              <w:t>A06.09.005.002</w:t>
            </w:r>
          </w:p>
        </w:tc>
        <w:tc>
          <w:tcPr>
            <w:tcW w:w="2516" w:type="dxa"/>
          </w:tcPr>
          <w:p>
            <w:pPr>
              <w:pStyle w:val="TableParagraph"/>
              <w:rPr>
                <w:sz w:val="18"/>
              </w:rPr>
            </w:pPr>
          </w:p>
        </w:tc>
        <w:tc>
          <w:tcPr>
            <w:tcW w:w="789"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78"/>
        <w:gridCol w:w="3500"/>
        <w:gridCol w:w="3908"/>
        <w:gridCol w:w="1574"/>
        <w:gridCol w:w="1261"/>
      </w:tblGrid>
      <w:tr>
        <w:trPr>
          <w:trHeight w:val="734" w:hRule="atLeast"/>
        </w:trPr>
        <w:tc>
          <w:tcPr>
            <w:tcW w:w="15274" w:type="dxa"/>
            <w:gridSpan w:val="7"/>
          </w:tcPr>
          <w:p>
            <w:pPr>
              <w:pStyle w:val="TableParagraph"/>
              <w:spacing w:line="221" w:lineRule="exact"/>
              <w:ind w:left="4470" w:right="7001"/>
              <w:jc w:val="center"/>
              <w:rPr>
                <w:sz w:val="20"/>
              </w:rPr>
            </w:pPr>
            <w:r>
              <w:rPr>
                <w:sz w:val="20"/>
              </w:rPr>
              <w:t>T81.4,</w:t>
            </w:r>
            <w:r>
              <w:rPr>
                <w:spacing w:val="-7"/>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z w:val="20"/>
              </w:rPr>
              <w:t>T81.9,</w:t>
            </w:r>
            <w:r>
              <w:rPr>
                <w:spacing w:val="-5"/>
                <w:sz w:val="20"/>
              </w:rPr>
              <w:t> </w:t>
            </w:r>
            <w:r>
              <w:rPr>
                <w:spacing w:val="-4"/>
                <w:sz w:val="20"/>
              </w:rPr>
              <w:t>T82,</w:t>
            </w:r>
          </w:p>
          <w:p>
            <w:pPr>
              <w:pStyle w:val="TableParagraph"/>
              <w:ind w:left="4470" w:right="7001"/>
              <w:jc w:val="center"/>
              <w:rPr>
                <w:sz w:val="20"/>
              </w:rPr>
            </w:pPr>
            <w:r>
              <w:rPr>
                <w:sz w:val="20"/>
              </w:rPr>
              <w:t>T85.4,</w:t>
            </w:r>
            <w:r>
              <w:rPr>
                <w:spacing w:val="-8"/>
                <w:sz w:val="20"/>
              </w:rPr>
              <w:t> </w:t>
            </w:r>
            <w:r>
              <w:rPr>
                <w:sz w:val="20"/>
              </w:rPr>
              <w:t>T85.7,</w:t>
            </w:r>
            <w:r>
              <w:rPr>
                <w:spacing w:val="-7"/>
                <w:sz w:val="20"/>
              </w:rPr>
              <w:t> </w:t>
            </w:r>
            <w:r>
              <w:rPr>
                <w:sz w:val="20"/>
              </w:rPr>
              <w:t>T85.8,</w:t>
            </w:r>
            <w:r>
              <w:rPr>
                <w:spacing w:val="-7"/>
                <w:sz w:val="20"/>
              </w:rPr>
              <w:t> </w:t>
            </w:r>
            <w:r>
              <w:rPr>
                <w:sz w:val="20"/>
              </w:rPr>
              <w:t>T85.9,</w:t>
            </w:r>
            <w:r>
              <w:rPr>
                <w:spacing w:val="-7"/>
                <w:sz w:val="20"/>
              </w:rPr>
              <w:t> </w:t>
            </w:r>
            <w:r>
              <w:rPr>
                <w:sz w:val="20"/>
              </w:rPr>
              <w:t>T98,</w:t>
            </w:r>
            <w:r>
              <w:rPr>
                <w:spacing w:val="-7"/>
                <w:sz w:val="20"/>
              </w:rPr>
              <w:t> </w:t>
            </w:r>
            <w:r>
              <w:rPr>
                <w:sz w:val="20"/>
              </w:rPr>
              <w:t>T98.0,</w:t>
            </w:r>
            <w:r>
              <w:rPr>
                <w:spacing w:val="-8"/>
                <w:sz w:val="20"/>
              </w:rPr>
              <w:t> </w:t>
            </w:r>
            <w:r>
              <w:rPr>
                <w:sz w:val="20"/>
              </w:rPr>
              <w:t>T98.1, T98.2, T98.3</w:t>
            </w:r>
          </w:p>
        </w:tc>
      </w:tr>
      <w:tr>
        <w:trPr>
          <w:trHeight w:val="280"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5" w:lineRule="exact" w:before="46"/>
              <w:ind w:left="2825"/>
              <w:rPr>
                <w:sz w:val="20"/>
              </w:rPr>
            </w:pPr>
            <w:r>
              <w:rPr>
                <w:sz w:val="20"/>
              </w:rPr>
              <w:t>I.,</w:t>
            </w:r>
            <w:r>
              <w:rPr>
                <w:spacing w:val="-5"/>
                <w:sz w:val="20"/>
              </w:rPr>
              <w:t> </w:t>
            </w:r>
            <w:r>
              <w:rPr>
                <w:sz w:val="20"/>
              </w:rPr>
              <w:t>Q20-Q28,</w:t>
            </w:r>
            <w:r>
              <w:rPr>
                <w:spacing w:val="-5"/>
                <w:sz w:val="20"/>
              </w:rPr>
              <w:t> </w:t>
            </w:r>
            <w:r>
              <w:rPr>
                <w:sz w:val="20"/>
              </w:rPr>
              <w:t>R00,</w:t>
            </w:r>
            <w:r>
              <w:rPr>
                <w:spacing w:val="-5"/>
                <w:sz w:val="20"/>
              </w:rPr>
              <w:t> </w:t>
            </w:r>
            <w:r>
              <w:rPr>
                <w:sz w:val="20"/>
              </w:rPr>
              <w:t>R00.0,</w:t>
            </w:r>
            <w:r>
              <w:rPr>
                <w:spacing w:val="-6"/>
                <w:sz w:val="20"/>
              </w:rPr>
              <w:t> </w:t>
            </w:r>
            <w:r>
              <w:rPr>
                <w:sz w:val="20"/>
              </w:rPr>
              <w:t>R00.1,</w:t>
            </w:r>
            <w:r>
              <w:rPr>
                <w:spacing w:val="-5"/>
                <w:sz w:val="20"/>
              </w:rPr>
              <w:t> </w:t>
            </w:r>
            <w:r>
              <w:rPr>
                <w:sz w:val="20"/>
              </w:rPr>
              <w:t>R00.2,</w:t>
            </w:r>
            <w:r>
              <w:rPr>
                <w:spacing w:val="-5"/>
                <w:sz w:val="20"/>
              </w:rPr>
              <w:t> </w:t>
            </w:r>
            <w:r>
              <w:rPr>
                <w:spacing w:val="-2"/>
                <w:sz w:val="20"/>
              </w:rPr>
              <w:t>R00.8,</w:t>
            </w:r>
          </w:p>
        </w:tc>
        <w:tc>
          <w:tcPr>
            <w:tcW w:w="3908" w:type="dxa"/>
          </w:tcPr>
          <w:p>
            <w:pPr>
              <w:pStyle w:val="TableParagraph"/>
              <w:spacing w:line="215" w:lineRule="exact" w:before="46"/>
              <w:ind w:left="179" w:right="644"/>
              <w:jc w:val="center"/>
              <w:rPr>
                <w:sz w:val="20"/>
              </w:rPr>
            </w:pPr>
            <w:r>
              <w:rPr>
                <w:sz w:val="20"/>
              </w:rPr>
              <w:t>A06.10.006,</w:t>
            </w:r>
            <w:r>
              <w:rPr>
                <w:spacing w:val="-9"/>
                <w:sz w:val="20"/>
              </w:rPr>
              <w:t> </w:t>
            </w:r>
            <w:r>
              <w:rPr>
                <w:spacing w:val="-2"/>
                <w:sz w:val="20"/>
              </w:rPr>
              <w:t>A06.10.006.002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04"/>
              <w:rPr>
                <w:sz w:val="20"/>
              </w:rPr>
            </w:pPr>
            <w:r>
              <w:rPr>
                <w:sz w:val="20"/>
              </w:rPr>
              <w:t>R07.2,</w:t>
            </w:r>
            <w:r>
              <w:rPr>
                <w:spacing w:val="-5"/>
                <w:sz w:val="20"/>
              </w:rPr>
              <w:t> </w:t>
            </w:r>
            <w:r>
              <w:rPr>
                <w:sz w:val="20"/>
              </w:rPr>
              <w:t>R07.4,</w:t>
            </w:r>
            <w:r>
              <w:rPr>
                <w:spacing w:val="-6"/>
                <w:sz w:val="20"/>
              </w:rPr>
              <w:t> </w:t>
            </w:r>
            <w:r>
              <w:rPr>
                <w:sz w:val="20"/>
              </w:rPr>
              <w:t>T81,</w:t>
            </w:r>
            <w:r>
              <w:rPr>
                <w:spacing w:val="-6"/>
                <w:sz w:val="20"/>
              </w:rPr>
              <w:t> </w:t>
            </w:r>
            <w:r>
              <w:rPr>
                <w:sz w:val="20"/>
              </w:rPr>
              <w:t>T81.0,</w:t>
            </w:r>
            <w:r>
              <w:rPr>
                <w:spacing w:val="-6"/>
                <w:sz w:val="20"/>
              </w:rPr>
              <w:t> </w:t>
            </w:r>
            <w:r>
              <w:rPr>
                <w:sz w:val="20"/>
              </w:rPr>
              <w:t>T81.2,</w:t>
            </w:r>
            <w:r>
              <w:rPr>
                <w:spacing w:val="-6"/>
                <w:sz w:val="20"/>
              </w:rPr>
              <w:t> </w:t>
            </w:r>
            <w:r>
              <w:rPr>
                <w:sz w:val="20"/>
              </w:rPr>
              <w:t>T81.4,</w:t>
            </w:r>
            <w:r>
              <w:rPr>
                <w:spacing w:val="-6"/>
                <w:sz w:val="20"/>
              </w:rPr>
              <w:t> </w:t>
            </w:r>
            <w:r>
              <w:rPr>
                <w:spacing w:val="-2"/>
                <w:sz w:val="20"/>
              </w:rPr>
              <w:t>T81.5,</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742"/>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1" w:lineRule="exact"/>
              <w:ind w:left="2816"/>
              <w:rPr>
                <w:sz w:val="20"/>
              </w:rPr>
            </w:pPr>
            <w:r>
              <w:rPr>
                <w:sz w:val="20"/>
              </w:rPr>
              <w:t>T82.9,</w:t>
            </w:r>
            <w:r>
              <w:rPr>
                <w:spacing w:val="-7"/>
                <w:sz w:val="20"/>
              </w:rPr>
              <w:t> </w:t>
            </w:r>
            <w:r>
              <w:rPr>
                <w:sz w:val="20"/>
              </w:rPr>
              <w:t>T85,</w:t>
            </w:r>
            <w:r>
              <w:rPr>
                <w:spacing w:val="-7"/>
                <w:sz w:val="20"/>
              </w:rPr>
              <w:t> </w:t>
            </w:r>
            <w:r>
              <w:rPr>
                <w:sz w:val="20"/>
              </w:rPr>
              <w:t>T85.1,</w:t>
            </w:r>
            <w:r>
              <w:rPr>
                <w:spacing w:val="-4"/>
                <w:sz w:val="20"/>
              </w:rPr>
              <w:t> </w:t>
            </w:r>
            <w:r>
              <w:rPr>
                <w:sz w:val="20"/>
              </w:rPr>
              <w:t>T85.6,</w:t>
            </w:r>
            <w:r>
              <w:rPr>
                <w:spacing w:val="-5"/>
                <w:sz w:val="20"/>
              </w:rPr>
              <w:t> </w:t>
            </w:r>
            <w:r>
              <w:rPr>
                <w:sz w:val="20"/>
              </w:rPr>
              <w:t>T85.7,</w:t>
            </w:r>
            <w:r>
              <w:rPr>
                <w:spacing w:val="-5"/>
                <w:sz w:val="20"/>
              </w:rPr>
              <w:t> </w:t>
            </w:r>
            <w:r>
              <w:rPr>
                <w:sz w:val="20"/>
              </w:rPr>
              <w:t>T85.8,</w:t>
            </w:r>
            <w:r>
              <w:rPr>
                <w:spacing w:val="-4"/>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6"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1"/>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4" w:lineRule="exact" w:before="46"/>
              <w:ind w:left="2852"/>
              <w:rPr>
                <w:sz w:val="20"/>
              </w:rPr>
            </w:pPr>
            <w:r>
              <w:rPr>
                <w:sz w:val="20"/>
              </w:rPr>
              <w:t>I.,</w:t>
            </w:r>
            <w:r>
              <w:rPr>
                <w:spacing w:val="-4"/>
                <w:sz w:val="20"/>
              </w:rPr>
              <w:t> </w:t>
            </w:r>
            <w:r>
              <w:rPr>
                <w:sz w:val="20"/>
              </w:rPr>
              <w:t>Q20-Q28,</w:t>
            </w:r>
            <w:r>
              <w:rPr>
                <w:spacing w:val="-5"/>
                <w:sz w:val="20"/>
              </w:rPr>
              <w:t> </w:t>
            </w:r>
            <w:r>
              <w:rPr>
                <w:sz w:val="20"/>
              </w:rPr>
              <w:t>T81,</w:t>
            </w:r>
            <w:r>
              <w:rPr>
                <w:spacing w:val="-5"/>
                <w:sz w:val="20"/>
              </w:rPr>
              <w:t> </w:t>
            </w:r>
            <w:r>
              <w:rPr>
                <w:sz w:val="20"/>
              </w:rPr>
              <w:t>T81.0,</w:t>
            </w:r>
            <w:r>
              <w:rPr>
                <w:spacing w:val="-5"/>
                <w:sz w:val="20"/>
              </w:rPr>
              <w:t> </w:t>
            </w:r>
            <w:r>
              <w:rPr>
                <w:sz w:val="20"/>
              </w:rPr>
              <w:t>T81.1,</w:t>
            </w:r>
            <w:r>
              <w:rPr>
                <w:spacing w:val="-5"/>
                <w:sz w:val="20"/>
              </w:rPr>
              <w:t> </w:t>
            </w:r>
            <w:r>
              <w:rPr>
                <w:sz w:val="20"/>
              </w:rPr>
              <w:t>T81.2,</w:t>
            </w:r>
            <w:r>
              <w:rPr>
                <w:spacing w:val="-6"/>
                <w:sz w:val="20"/>
              </w:rPr>
              <w:t> </w:t>
            </w:r>
            <w:r>
              <w:rPr>
                <w:spacing w:val="-2"/>
                <w:sz w:val="20"/>
              </w:rPr>
              <w:t>T81.3,</w:t>
            </w:r>
          </w:p>
        </w:tc>
        <w:tc>
          <w:tcPr>
            <w:tcW w:w="3908" w:type="dxa"/>
          </w:tcPr>
          <w:p>
            <w:pPr>
              <w:pStyle w:val="TableParagraph"/>
              <w:spacing w:line="214" w:lineRule="exact" w:before="46"/>
              <w:ind w:left="179" w:right="639"/>
              <w:jc w:val="center"/>
              <w:rPr>
                <w:sz w:val="20"/>
              </w:rPr>
            </w:pPr>
            <w:r>
              <w:rPr>
                <w:spacing w:val="-2"/>
                <w:sz w:val="20"/>
              </w:rPr>
              <w:t>A06.12.012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T81.4,</w:t>
            </w:r>
            <w:r>
              <w:rPr>
                <w:spacing w:val="-7"/>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z w:val="20"/>
              </w:rPr>
              <w:t>T81.9,</w:t>
            </w:r>
            <w:r>
              <w:rPr>
                <w:spacing w:val="-5"/>
                <w:sz w:val="20"/>
              </w:rPr>
              <w:t> </w:t>
            </w:r>
            <w:r>
              <w:rPr>
                <w:spacing w:val="-4"/>
                <w:sz w:val="20"/>
              </w:rPr>
              <w:t>T82,</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742"/>
              <w:rPr>
                <w:sz w:val="20"/>
              </w:rPr>
            </w:pPr>
            <w:r>
              <w:rPr>
                <w:sz w:val="20"/>
              </w:rPr>
              <w:t>T82.0,</w:t>
            </w:r>
            <w:r>
              <w:rPr>
                <w:spacing w:val="-7"/>
                <w:sz w:val="20"/>
              </w:rPr>
              <w:t> </w:t>
            </w:r>
            <w:r>
              <w:rPr>
                <w:sz w:val="20"/>
              </w:rPr>
              <w:t>T82.1,</w:t>
            </w:r>
            <w:r>
              <w:rPr>
                <w:spacing w:val="-5"/>
                <w:sz w:val="20"/>
              </w:rPr>
              <w:t> </w:t>
            </w:r>
            <w:r>
              <w:rPr>
                <w:sz w:val="20"/>
              </w:rPr>
              <w:t>T82.2,</w:t>
            </w:r>
            <w:r>
              <w:rPr>
                <w:spacing w:val="-5"/>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pacing w:val="-2"/>
                <w:sz w:val="20"/>
              </w:rPr>
              <w:t>T82.6,</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16"/>
              <w:rPr>
                <w:sz w:val="20"/>
              </w:rPr>
            </w:pPr>
            <w:r>
              <w:rPr>
                <w:sz w:val="20"/>
              </w:rPr>
              <w:t>T82.7,</w:t>
            </w:r>
            <w:r>
              <w:rPr>
                <w:spacing w:val="-7"/>
                <w:sz w:val="20"/>
              </w:rPr>
              <w:t> </w:t>
            </w:r>
            <w:r>
              <w:rPr>
                <w:sz w:val="20"/>
              </w:rPr>
              <w:t>T82.8,</w:t>
            </w:r>
            <w:r>
              <w:rPr>
                <w:spacing w:val="-5"/>
                <w:sz w:val="20"/>
              </w:rPr>
              <w:t> </w:t>
            </w:r>
            <w:r>
              <w:rPr>
                <w:sz w:val="20"/>
              </w:rPr>
              <w:t>T82.9,</w:t>
            </w:r>
            <w:r>
              <w:rPr>
                <w:spacing w:val="-5"/>
                <w:sz w:val="20"/>
              </w:rPr>
              <w:t> </w:t>
            </w:r>
            <w:r>
              <w:rPr>
                <w:sz w:val="20"/>
              </w:rPr>
              <w:t>T85,</w:t>
            </w:r>
            <w:r>
              <w:rPr>
                <w:spacing w:val="-5"/>
                <w:sz w:val="20"/>
              </w:rPr>
              <w:t> </w:t>
            </w:r>
            <w:r>
              <w:rPr>
                <w:sz w:val="20"/>
              </w:rPr>
              <w:t>T85.0,</w:t>
            </w:r>
            <w:r>
              <w:rPr>
                <w:spacing w:val="-5"/>
                <w:sz w:val="20"/>
              </w:rPr>
              <w:t> </w:t>
            </w:r>
            <w:r>
              <w:rPr>
                <w:sz w:val="20"/>
              </w:rPr>
              <w:t>T85.1,</w:t>
            </w:r>
            <w:r>
              <w:rPr>
                <w:spacing w:val="-5"/>
                <w:sz w:val="20"/>
              </w:rPr>
              <w:t> </w:t>
            </w:r>
            <w:r>
              <w:rPr>
                <w:spacing w:val="-2"/>
                <w:sz w:val="20"/>
              </w:rPr>
              <w:t>T85.2,</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742"/>
              <w:rPr>
                <w:sz w:val="20"/>
              </w:rPr>
            </w:pPr>
            <w:r>
              <w:rPr>
                <w:sz w:val="20"/>
              </w:rPr>
              <w:t>T85.3,</w:t>
            </w:r>
            <w:r>
              <w:rPr>
                <w:spacing w:val="-7"/>
                <w:sz w:val="20"/>
              </w:rPr>
              <w:t> </w:t>
            </w:r>
            <w:r>
              <w:rPr>
                <w:sz w:val="20"/>
              </w:rPr>
              <w:t>T85.4,</w:t>
            </w:r>
            <w:r>
              <w:rPr>
                <w:spacing w:val="-5"/>
                <w:sz w:val="20"/>
              </w:rPr>
              <w:t> </w:t>
            </w:r>
            <w:r>
              <w:rPr>
                <w:sz w:val="20"/>
              </w:rPr>
              <w:t>T85.5,</w:t>
            </w:r>
            <w:r>
              <w:rPr>
                <w:spacing w:val="-5"/>
                <w:sz w:val="20"/>
              </w:rPr>
              <w:t> </w:t>
            </w:r>
            <w:r>
              <w:rPr>
                <w:sz w:val="20"/>
              </w:rPr>
              <w:t>T85.6,</w:t>
            </w:r>
            <w:r>
              <w:rPr>
                <w:spacing w:val="-1"/>
                <w:sz w:val="20"/>
              </w:rPr>
              <w:t> </w:t>
            </w:r>
            <w:r>
              <w:rPr>
                <w:sz w:val="20"/>
              </w:rPr>
              <w:t>T85.7,</w:t>
            </w:r>
            <w:r>
              <w:rPr>
                <w:spacing w:val="-5"/>
                <w:sz w:val="20"/>
              </w:rPr>
              <w:t> </w:t>
            </w:r>
            <w:r>
              <w:rPr>
                <w:sz w:val="20"/>
              </w:rPr>
              <w:t>T85.8,</w:t>
            </w:r>
            <w:r>
              <w:rPr>
                <w:spacing w:val="-5"/>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6"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5" w:lineRule="exact" w:before="45"/>
              <w:ind w:left="2852"/>
              <w:rPr>
                <w:sz w:val="20"/>
              </w:rPr>
            </w:pPr>
            <w:r>
              <w:rPr>
                <w:sz w:val="20"/>
              </w:rPr>
              <w:t>I.,</w:t>
            </w:r>
            <w:r>
              <w:rPr>
                <w:spacing w:val="-4"/>
                <w:sz w:val="20"/>
              </w:rPr>
              <w:t> </w:t>
            </w:r>
            <w:r>
              <w:rPr>
                <w:sz w:val="20"/>
              </w:rPr>
              <w:t>Q20-Q28,</w:t>
            </w:r>
            <w:r>
              <w:rPr>
                <w:spacing w:val="-5"/>
                <w:sz w:val="20"/>
              </w:rPr>
              <w:t> </w:t>
            </w:r>
            <w:r>
              <w:rPr>
                <w:sz w:val="20"/>
              </w:rPr>
              <w:t>T81,</w:t>
            </w:r>
            <w:r>
              <w:rPr>
                <w:spacing w:val="-5"/>
                <w:sz w:val="20"/>
              </w:rPr>
              <w:t> </w:t>
            </w:r>
            <w:r>
              <w:rPr>
                <w:sz w:val="20"/>
              </w:rPr>
              <w:t>T81.0,</w:t>
            </w:r>
            <w:r>
              <w:rPr>
                <w:spacing w:val="-5"/>
                <w:sz w:val="20"/>
              </w:rPr>
              <w:t> </w:t>
            </w:r>
            <w:r>
              <w:rPr>
                <w:sz w:val="20"/>
              </w:rPr>
              <w:t>T81.2,</w:t>
            </w:r>
            <w:r>
              <w:rPr>
                <w:spacing w:val="-5"/>
                <w:sz w:val="20"/>
              </w:rPr>
              <w:t> </w:t>
            </w:r>
            <w:r>
              <w:rPr>
                <w:sz w:val="20"/>
              </w:rPr>
              <w:t>T81.4,</w:t>
            </w:r>
            <w:r>
              <w:rPr>
                <w:spacing w:val="-6"/>
                <w:sz w:val="20"/>
              </w:rPr>
              <w:t> </w:t>
            </w:r>
            <w:r>
              <w:rPr>
                <w:spacing w:val="-2"/>
                <w:sz w:val="20"/>
              </w:rPr>
              <w:t>T81.5,</w:t>
            </w:r>
          </w:p>
        </w:tc>
        <w:tc>
          <w:tcPr>
            <w:tcW w:w="3908" w:type="dxa"/>
          </w:tcPr>
          <w:p>
            <w:pPr>
              <w:pStyle w:val="TableParagraph"/>
              <w:spacing w:line="215" w:lineRule="exact" w:before="45"/>
              <w:ind w:left="179" w:right="639"/>
              <w:jc w:val="center"/>
              <w:rPr>
                <w:sz w:val="20"/>
              </w:rPr>
            </w:pPr>
            <w:r>
              <w:rPr>
                <w:spacing w:val="-2"/>
                <w:sz w:val="20"/>
              </w:rPr>
              <w:t>A06.12.017</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1" w:lineRule="exact"/>
              <w:ind w:left="2816"/>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1" w:lineRule="exact"/>
              <w:ind w:left="2742"/>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16"/>
              <w:rPr>
                <w:sz w:val="20"/>
              </w:rPr>
            </w:pPr>
            <w:r>
              <w:rPr>
                <w:sz w:val="20"/>
              </w:rPr>
              <w:t>T82.9,</w:t>
            </w:r>
            <w:r>
              <w:rPr>
                <w:spacing w:val="-7"/>
                <w:sz w:val="20"/>
              </w:rPr>
              <w:t> </w:t>
            </w:r>
            <w:r>
              <w:rPr>
                <w:sz w:val="20"/>
              </w:rPr>
              <w:t>T85,</w:t>
            </w:r>
            <w:r>
              <w:rPr>
                <w:spacing w:val="-7"/>
                <w:sz w:val="20"/>
              </w:rPr>
              <w:t> </w:t>
            </w:r>
            <w:r>
              <w:rPr>
                <w:sz w:val="20"/>
              </w:rPr>
              <w:t>T85.1,</w:t>
            </w:r>
            <w:r>
              <w:rPr>
                <w:spacing w:val="-4"/>
                <w:sz w:val="20"/>
              </w:rPr>
              <w:t> </w:t>
            </w:r>
            <w:r>
              <w:rPr>
                <w:sz w:val="20"/>
              </w:rPr>
              <w:t>T85.2,</w:t>
            </w:r>
            <w:r>
              <w:rPr>
                <w:spacing w:val="-5"/>
                <w:sz w:val="20"/>
              </w:rPr>
              <w:t> </w:t>
            </w:r>
            <w:r>
              <w:rPr>
                <w:sz w:val="20"/>
              </w:rPr>
              <w:t>T85.6,</w:t>
            </w:r>
            <w:r>
              <w:rPr>
                <w:spacing w:val="-5"/>
                <w:sz w:val="20"/>
              </w:rPr>
              <w:t> </w:t>
            </w:r>
            <w:r>
              <w:rPr>
                <w:sz w:val="20"/>
              </w:rPr>
              <w:t>T85.7,</w:t>
            </w:r>
            <w:r>
              <w:rPr>
                <w:spacing w:val="-4"/>
                <w:sz w:val="20"/>
              </w:rPr>
              <w:t> </w:t>
            </w:r>
            <w:r>
              <w:rPr>
                <w:spacing w:val="-2"/>
                <w:sz w:val="20"/>
              </w:rPr>
              <w:t>T85.8,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T85.9,</w:t>
            </w:r>
            <w:r>
              <w:rPr>
                <w:spacing w:val="-7"/>
                <w:sz w:val="20"/>
              </w:rPr>
              <w:t> </w:t>
            </w:r>
            <w:r>
              <w:rPr>
                <w:sz w:val="20"/>
              </w:rPr>
              <w:t>T98,</w:t>
            </w:r>
            <w:r>
              <w:rPr>
                <w:spacing w:val="-7"/>
                <w:sz w:val="20"/>
              </w:rPr>
              <w:t> </w:t>
            </w:r>
            <w:r>
              <w:rPr>
                <w:sz w:val="20"/>
              </w:rPr>
              <w:t>T98.0,</w:t>
            </w:r>
            <w:r>
              <w:rPr>
                <w:spacing w:val="-4"/>
                <w:sz w:val="20"/>
              </w:rPr>
              <w:t> </w:t>
            </w:r>
            <w:r>
              <w:rPr>
                <w:sz w:val="20"/>
              </w:rPr>
              <w:t>T98.1,</w:t>
            </w:r>
            <w:r>
              <w:rPr>
                <w:spacing w:val="-5"/>
                <w:sz w:val="20"/>
              </w:rPr>
              <w:t> </w:t>
            </w:r>
            <w:r>
              <w:rPr>
                <w:sz w:val="20"/>
              </w:rPr>
              <w:t>T98.2,</w:t>
            </w:r>
            <w:r>
              <w:rPr>
                <w:spacing w:val="-5"/>
                <w:sz w:val="20"/>
              </w:rPr>
              <w:t> </w:t>
            </w:r>
            <w:r>
              <w:rPr>
                <w:sz w:val="20"/>
              </w:rPr>
              <w:t>T98.3,</w:t>
            </w:r>
            <w:r>
              <w:rPr>
                <w:spacing w:val="-4"/>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4"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5" w:lineRule="exact" w:before="46"/>
              <w:ind w:left="2852"/>
              <w:rPr>
                <w:sz w:val="20"/>
              </w:rPr>
            </w:pPr>
            <w:r>
              <w:rPr>
                <w:sz w:val="20"/>
              </w:rPr>
              <w:t>I.,</w:t>
            </w:r>
            <w:r>
              <w:rPr>
                <w:spacing w:val="-4"/>
                <w:sz w:val="20"/>
              </w:rPr>
              <w:t> </w:t>
            </w:r>
            <w:r>
              <w:rPr>
                <w:sz w:val="20"/>
              </w:rPr>
              <w:t>Q20-Q28,</w:t>
            </w:r>
            <w:r>
              <w:rPr>
                <w:spacing w:val="-5"/>
                <w:sz w:val="20"/>
              </w:rPr>
              <w:t> </w:t>
            </w:r>
            <w:r>
              <w:rPr>
                <w:sz w:val="20"/>
              </w:rPr>
              <w:t>T81,</w:t>
            </w:r>
            <w:r>
              <w:rPr>
                <w:spacing w:val="-5"/>
                <w:sz w:val="20"/>
              </w:rPr>
              <w:t> </w:t>
            </w:r>
            <w:r>
              <w:rPr>
                <w:sz w:val="20"/>
              </w:rPr>
              <w:t>T81.0,</w:t>
            </w:r>
            <w:r>
              <w:rPr>
                <w:spacing w:val="-5"/>
                <w:sz w:val="20"/>
              </w:rPr>
              <w:t> </w:t>
            </w:r>
            <w:r>
              <w:rPr>
                <w:sz w:val="20"/>
              </w:rPr>
              <w:t>T81.2,</w:t>
            </w:r>
            <w:r>
              <w:rPr>
                <w:spacing w:val="-5"/>
                <w:sz w:val="20"/>
              </w:rPr>
              <w:t> </w:t>
            </w:r>
            <w:r>
              <w:rPr>
                <w:sz w:val="20"/>
              </w:rPr>
              <w:t>T81.4,</w:t>
            </w:r>
            <w:r>
              <w:rPr>
                <w:spacing w:val="-6"/>
                <w:sz w:val="20"/>
              </w:rPr>
              <w:t> </w:t>
            </w:r>
            <w:r>
              <w:rPr>
                <w:spacing w:val="-2"/>
                <w:sz w:val="20"/>
              </w:rPr>
              <w:t>T81.5,</w:t>
            </w:r>
          </w:p>
        </w:tc>
        <w:tc>
          <w:tcPr>
            <w:tcW w:w="3908" w:type="dxa"/>
          </w:tcPr>
          <w:p>
            <w:pPr>
              <w:pStyle w:val="TableParagraph"/>
              <w:spacing w:line="215" w:lineRule="exact" w:before="46"/>
              <w:ind w:left="179" w:right="645"/>
              <w:jc w:val="center"/>
              <w:rPr>
                <w:sz w:val="20"/>
              </w:rPr>
            </w:pPr>
            <w:r>
              <w:rPr>
                <w:sz w:val="20"/>
              </w:rPr>
              <w:t>A06.12.014,</w:t>
            </w:r>
            <w:r>
              <w:rPr>
                <w:spacing w:val="-9"/>
                <w:sz w:val="20"/>
              </w:rPr>
              <w:t> </w:t>
            </w:r>
            <w:r>
              <w:rPr>
                <w:sz w:val="20"/>
              </w:rPr>
              <w:t>A06.12.015,</w:t>
            </w:r>
            <w:r>
              <w:rPr>
                <w:spacing w:val="-10"/>
                <w:sz w:val="20"/>
              </w:rPr>
              <w:t> </w:t>
            </w:r>
            <w:r>
              <w:rPr>
                <w:spacing w:val="-2"/>
                <w:sz w:val="20"/>
              </w:rPr>
              <w:t>A06.12.016,</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908" w:type="dxa"/>
          </w:tcPr>
          <w:p>
            <w:pPr>
              <w:pStyle w:val="TableParagraph"/>
              <w:spacing w:line="209" w:lineRule="exact"/>
              <w:ind w:left="179" w:right="643"/>
              <w:jc w:val="center"/>
              <w:rPr>
                <w:sz w:val="20"/>
              </w:rPr>
            </w:pPr>
            <w:r>
              <w:rPr>
                <w:sz w:val="20"/>
              </w:rPr>
              <w:t>A06.12.018,</w:t>
            </w:r>
            <w:r>
              <w:rPr>
                <w:spacing w:val="-9"/>
                <w:sz w:val="20"/>
              </w:rPr>
              <w:t> </w:t>
            </w:r>
            <w:r>
              <w:rPr>
                <w:sz w:val="20"/>
              </w:rPr>
              <w:t>A06.12.039,</w:t>
            </w:r>
            <w:r>
              <w:rPr>
                <w:spacing w:val="-10"/>
                <w:sz w:val="20"/>
              </w:rPr>
              <w:t> </w:t>
            </w:r>
            <w:r>
              <w:rPr>
                <w:spacing w:val="-2"/>
                <w:sz w:val="20"/>
              </w:rPr>
              <w:t>A06.12.040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742"/>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16"/>
              <w:rPr>
                <w:sz w:val="20"/>
              </w:rPr>
            </w:pPr>
            <w:r>
              <w:rPr>
                <w:sz w:val="20"/>
              </w:rPr>
              <w:t>T82.9,</w:t>
            </w:r>
            <w:r>
              <w:rPr>
                <w:spacing w:val="-7"/>
                <w:sz w:val="20"/>
              </w:rPr>
              <w:t> </w:t>
            </w:r>
            <w:r>
              <w:rPr>
                <w:sz w:val="20"/>
              </w:rPr>
              <w:t>T85,</w:t>
            </w:r>
            <w:r>
              <w:rPr>
                <w:spacing w:val="-6"/>
                <w:sz w:val="20"/>
              </w:rPr>
              <w:t> </w:t>
            </w:r>
            <w:r>
              <w:rPr>
                <w:sz w:val="20"/>
              </w:rPr>
              <w:t>T85.1,</w:t>
            </w:r>
            <w:r>
              <w:rPr>
                <w:spacing w:val="-4"/>
                <w:sz w:val="20"/>
              </w:rPr>
              <w:t> </w:t>
            </w:r>
            <w:r>
              <w:rPr>
                <w:sz w:val="20"/>
              </w:rPr>
              <w:t>T85.6,</w:t>
            </w:r>
            <w:r>
              <w:rPr>
                <w:spacing w:val="-5"/>
                <w:sz w:val="20"/>
              </w:rPr>
              <w:t> </w:t>
            </w:r>
            <w:r>
              <w:rPr>
                <w:sz w:val="20"/>
              </w:rPr>
              <w:t>T85.7,</w:t>
            </w:r>
            <w:r>
              <w:rPr>
                <w:spacing w:val="-4"/>
                <w:sz w:val="20"/>
              </w:rPr>
              <w:t> </w:t>
            </w:r>
            <w:r>
              <w:rPr>
                <w:sz w:val="20"/>
              </w:rPr>
              <w:t>T85.8,</w:t>
            </w:r>
            <w:r>
              <w:rPr>
                <w:spacing w:val="-4"/>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6"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st25.005</w:t>
            </w:r>
          </w:p>
        </w:tc>
        <w:tc>
          <w:tcPr>
            <w:tcW w:w="707" w:type="dxa"/>
          </w:tcPr>
          <w:p>
            <w:pPr>
              <w:pStyle w:val="TableParagraph"/>
              <w:spacing w:line="214" w:lineRule="exact" w:before="46"/>
              <w:ind w:left="210"/>
              <w:rPr>
                <w:sz w:val="20"/>
              </w:rPr>
            </w:pPr>
            <w:r>
              <w:rPr>
                <w:spacing w:val="-5"/>
                <w:sz w:val="20"/>
              </w:rPr>
              <w:t>241</w:t>
            </w:r>
          </w:p>
        </w:tc>
        <w:tc>
          <w:tcPr>
            <w:tcW w:w="3378" w:type="dxa"/>
          </w:tcPr>
          <w:p>
            <w:pPr>
              <w:pStyle w:val="TableParagraph"/>
              <w:spacing w:line="214" w:lineRule="exact" w:before="46"/>
              <w:ind w:left="192"/>
              <w:rPr>
                <w:sz w:val="20"/>
              </w:rPr>
            </w:pPr>
            <w:r>
              <w:rPr>
                <w:sz w:val="20"/>
              </w:rPr>
              <w:t>Операции</w:t>
            </w:r>
            <w:r>
              <w:rPr>
                <w:spacing w:val="-7"/>
                <w:sz w:val="20"/>
              </w:rPr>
              <w:t> </w:t>
            </w:r>
            <w:r>
              <w:rPr>
                <w:sz w:val="20"/>
              </w:rPr>
              <w:t>на</w:t>
            </w:r>
            <w:r>
              <w:rPr>
                <w:spacing w:val="-6"/>
                <w:sz w:val="20"/>
              </w:rPr>
              <w:t> </w:t>
            </w:r>
            <w:r>
              <w:rPr>
                <w:sz w:val="20"/>
              </w:rPr>
              <w:t>сердце</w:t>
            </w:r>
            <w:r>
              <w:rPr>
                <w:spacing w:val="-5"/>
                <w:sz w:val="20"/>
              </w:rPr>
              <w:t> </w:t>
            </w:r>
            <w:r>
              <w:rPr>
                <w:spacing w:val="-10"/>
                <w:sz w:val="20"/>
              </w:rPr>
              <w:t>и</w:t>
            </w:r>
          </w:p>
        </w:tc>
        <w:tc>
          <w:tcPr>
            <w:tcW w:w="3500" w:type="dxa"/>
          </w:tcPr>
          <w:p>
            <w:pPr>
              <w:pStyle w:val="TableParagraph"/>
              <w:spacing w:line="214" w:lineRule="exact" w:before="46"/>
              <w:ind w:left="1307"/>
              <w:rPr>
                <w:sz w:val="20"/>
              </w:rPr>
            </w:pPr>
            <w:r>
              <w:rPr>
                <w:w w:val="99"/>
                <w:sz w:val="20"/>
              </w:rPr>
              <w:t>-</w:t>
            </w:r>
          </w:p>
        </w:tc>
        <w:tc>
          <w:tcPr>
            <w:tcW w:w="3908" w:type="dxa"/>
          </w:tcPr>
          <w:p>
            <w:pPr>
              <w:pStyle w:val="TableParagraph"/>
              <w:spacing w:line="214" w:lineRule="exact" w:before="46"/>
              <w:ind w:left="179" w:right="645"/>
              <w:jc w:val="center"/>
              <w:rPr>
                <w:sz w:val="20"/>
              </w:rPr>
            </w:pPr>
            <w:r>
              <w:rPr>
                <w:sz w:val="20"/>
              </w:rPr>
              <w:t>A16.10.008,</w:t>
            </w:r>
            <w:r>
              <w:rPr>
                <w:spacing w:val="-9"/>
                <w:sz w:val="20"/>
              </w:rPr>
              <w:t> </w:t>
            </w:r>
            <w:r>
              <w:rPr>
                <w:sz w:val="20"/>
              </w:rPr>
              <w:t>A16.10.009,</w:t>
            </w:r>
            <w:r>
              <w:rPr>
                <w:spacing w:val="-10"/>
                <w:sz w:val="20"/>
              </w:rPr>
              <w:t> </w:t>
            </w:r>
            <w:r>
              <w:rPr>
                <w:spacing w:val="-2"/>
                <w:sz w:val="20"/>
              </w:rPr>
              <w:t>A16.10.010,</w:t>
            </w:r>
          </w:p>
        </w:tc>
        <w:tc>
          <w:tcPr>
            <w:tcW w:w="1574" w:type="dxa"/>
          </w:tcPr>
          <w:p>
            <w:pPr>
              <w:pStyle w:val="TableParagraph"/>
              <w:spacing w:line="214" w:lineRule="exact" w:before="46"/>
              <w:ind w:left="647"/>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2,11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09" w:lineRule="exact"/>
              <w:ind w:left="192"/>
              <w:rPr>
                <w:sz w:val="20"/>
              </w:rPr>
            </w:pPr>
            <w:r>
              <w:rPr>
                <w:sz w:val="20"/>
              </w:rPr>
              <w:t>коронарных</w:t>
            </w:r>
            <w:r>
              <w:rPr>
                <w:spacing w:val="-13"/>
                <w:sz w:val="20"/>
              </w:rPr>
              <w:t> </w:t>
            </w:r>
            <w:r>
              <w:rPr>
                <w:spacing w:val="-2"/>
                <w:sz w:val="20"/>
              </w:rPr>
              <w:t>сосудах</w:t>
            </w:r>
          </w:p>
        </w:tc>
        <w:tc>
          <w:tcPr>
            <w:tcW w:w="3500" w:type="dxa"/>
          </w:tcPr>
          <w:p>
            <w:pPr>
              <w:pStyle w:val="TableParagraph"/>
              <w:rPr>
                <w:sz w:val="16"/>
              </w:rPr>
            </w:pPr>
          </w:p>
        </w:tc>
        <w:tc>
          <w:tcPr>
            <w:tcW w:w="3908" w:type="dxa"/>
          </w:tcPr>
          <w:p>
            <w:pPr>
              <w:pStyle w:val="TableParagraph"/>
              <w:spacing w:line="209" w:lineRule="exact"/>
              <w:ind w:left="179" w:right="641"/>
              <w:jc w:val="center"/>
              <w:rPr>
                <w:sz w:val="20"/>
              </w:rPr>
            </w:pPr>
            <w:r>
              <w:rPr>
                <w:sz w:val="20"/>
              </w:rPr>
              <w:t>A16.10.011,</w:t>
            </w:r>
            <w:r>
              <w:rPr>
                <w:spacing w:val="-9"/>
                <w:sz w:val="20"/>
              </w:rPr>
              <w:t> </w:t>
            </w:r>
            <w:r>
              <w:rPr>
                <w:spacing w:val="-2"/>
                <w:sz w:val="20"/>
              </w:rPr>
              <w:t>A16.10.011.001,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10" w:lineRule="exact"/>
              <w:ind w:left="192"/>
              <w:rPr>
                <w:sz w:val="20"/>
              </w:rPr>
            </w:pPr>
            <w:r>
              <w:rPr>
                <w:sz w:val="20"/>
              </w:rPr>
              <w:t>(уровень</w:t>
            </w:r>
            <w:r>
              <w:rPr>
                <w:spacing w:val="-11"/>
                <w:sz w:val="20"/>
              </w:rPr>
              <w:t> </w:t>
            </w:r>
            <w:r>
              <w:rPr>
                <w:spacing w:val="-5"/>
                <w:sz w:val="20"/>
              </w:rPr>
              <w:t>1)</w:t>
            </w:r>
          </w:p>
        </w:tc>
        <w:tc>
          <w:tcPr>
            <w:tcW w:w="3500" w:type="dxa"/>
          </w:tcPr>
          <w:p>
            <w:pPr>
              <w:pStyle w:val="TableParagraph"/>
              <w:rPr>
                <w:sz w:val="16"/>
              </w:rPr>
            </w:pPr>
          </w:p>
        </w:tc>
        <w:tc>
          <w:tcPr>
            <w:tcW w:w="3908" w:type="dxa"/>
          </w:tcPr>
          <w:p>
            <w:pPr>
              <w:pStyle w:val="TableParagraph"/>
              <w:spacing w:line="210" w:lineRule="exact"/>
              <w:ind w:left="179" w:right="643"/>
              <w:jc w:val="center"/>
              <w:rPr>
                <w:sz w:val="20"/>
              </w:rPr>
            </w:pPr>
            <w:r>
              <w:rPr>
                <w:w w:val="95"/>
                <w:sz w:val="20"/>
              </w:rPr>
              <w:t>A16.10.011.002,</w:t>
            </w:r>
            <w:r>
              <w:rPr>
                <w:spacing w:val="54"/>
                <w:sz w:val="20"/>
              </w:rPr>
              <w:t> </w:t>
            </w:r>
            <w:r>
              <w:rPr>
                <w:spacing w:val="-2"/>
                <w:sz w:val="20"/>
              </w:rPr>
              <w:t>A16.10.015,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rPr>
                <w:sz w:val="16"/>
              </w:rPr>
            </w:pPr>
          </w:p>
        </w:tc>
        <w:tc>
          <w:tcPr>
            <w:tcW w:w="3500" w:type="dxa"/>
          </w:tcPr>
          <w:p>
            <w:pPr>
              <w:pStyle w:val="TableParagraph"/>
              <w:rPr>
                <w:sz w:val="16"/>
              </w:rPr>
            </w:pPr>
          </w:p>
        </w:tc>
        <w:tc>
          <w:tcPr>
            <w:tcW w:w="3908" w:type="dxa"/>
          </w:tcPr>
          <w:p>
            <w:pPr>
              <w:pStyle w:val="TableParagraph"/>
              <w:spacing w:line="210" w:lineRule="exact"/>
              <w:ind w:left="179" w:right="643"/>
              <w:jc w:val="center"/>
              <w:rPr>
                <w:sz w:val="20"/>
              </w:rPr>
            </w:pPr>
            <w:r>
              <w:rPr>
                <w:w w:val="95"/>
                <w:sz w:val="20"/>
              </w:rPr>
              <w:t>A16.10.015.002,</w:t>
            </w:r>
            <w:r>
              <w:rPr>
                <w:spacing w:val="54"/>
                <w:sz w:val="20"/>
              </w:rPr>
              <w:t> </w:t>
            </w:r>
            <w:r>
              <w:rPr>
                <w:spacing w:val="-2"/>
                <w:sz w:val="20"/>
              </w:rPr>
              <w:t>A16.10.016,</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78" w:type="dxa"/>
          </w:tcPr>
          <w:p>
            <w:pPr>
              <w:pStyle w:val="TableParagraph"/>
              <w:rPr>
                <w:sz w:val="18"/>
              </w:rPr>
            </w:pPr>
          </w:p>
        </w:tc>
        <w:tc>
          <w:tcPr>
            <w:tcW w:w="3500" w:type="dxa"/>
          </w:tcPr>
          <w:p>
            <w:pPr>
              <w:pStyle w:val="TableParagraph"/>
              <w:rPr>
                <w:sz w:val="18"/>
              </w:rPr>
            </w:pPr>
          </w:p>
        </w:tc>
        <w:tc>
          <w:tcPr>
            <w:tcW w:w="3908" w:type="dxa"/>
          </w:tcPr>
          <w:p>
            <w:pPr>
              <w:pStyle w:val="TableParagraph"/>
              <w:spacing w:line="226" w:lineRule="exact"/>
              <w:ind w:left="179" w:right="643"/>
              <w:jc w:val="center"/>
              <w:rPr>
                <w:sz w:val="20"/>
              </w:rPr>
            </w:pPr>
            <w:r>
              <w:rPr>
                <w:sz w:val="20"/>
              </w:rPr>
              <w:t>A16.10.017,</w:t>
            </w:r>
            <w:r>
              <w:rPr>
                <w:spacing w:val="-9"/>
                <w:sz w:val="20"/>
              </w:rPr>
              <w:t> </w:t>
            </w:r>
            <w:r>
              <w:rPr>
                <w:spacing w:val="-2"/>
                <w:sz w:val="20"/>
              </w:rPr>
              <w:t>A16.10.042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st25.006</w:t>
            </w:r>
          </w:p>
        </w:tc>
        <w:tc>
          <w:tcPr>
            <w:tcW w:w="707" w:type="dxa"/>
          </w:tcPr>
          <w:p>
            <w:pPr>
              <w:pStyle w:val="TableParagraph"/>
              <w:spacing w:line="215" w:lineRule="exact" w:before="45"/>
              <w:ind w:left="210"/>
              <w:rPr>
                <w:sz w:val="20"/>
              </w:rPr>
            </w:pPr>
            <w:r>
              <w:rPr>
                <w:spacing w:val="-5"/>
                <w:sz w:val="20"/>
              </w:rPr>
              <w:t>242</w:t>
            </w:r>
          </w:p>
        </w:tc>
        <w:tc>
          <w:tcPr>
            <w:tcW w:w="3378"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6"/>
                <w:sz w:val="20"/>
              </w:rPr>
              <w:t> </w:t>
            </w:r>
            <w:r>
              <w:rPr>
                <w:sz w:val="20"/>
              </w:rPr>
              <w:t>сердце</w:t>
            </w:r>
            <w:r>
              <w:rPr>
                <w:spacing w:val="-5"/>
                <w:sz w:val="20"/>
              </w:rPr>
              <w:t> </w:t>
            </w:r>
            <w:r>
              <w:rPr>
                <w:spacing w:val="-10"/>
                <w:sz w:val="20"/>
              </w:rPr>
              <w:t>и</w:t>
            </w:r>
          </w:p>
        </w:tc>
        <w:tc>
          <w:tcPr>
            <w:tcW w:w="3500" w:type="dxa"/>
          </w:tcPr>
          <w:p>
            <w:pPr>
              <w:pStyle w:val="TableParagraph"/>
              <w:spacing w:line="215" w:lineRule="exact" w:before="45"/>
              <w:ind w:left="1307"/>
              <w:rPr>
                <w:sz w:val="20"/>
              </w:rPr>
            </w:pPr>
            <w:r>
              <w:rPr>
                <w:w w:val="99"/>
                <w:sz w:val="20"/>
              </w:rPr>
              <w:t>-</w:t>
            </w:r>
          </w:p>
        </w:tc>
        <w:tc>
          <w:tcPr>
            <w:tcW w:w="3908" w:type="dxa"/>
          </w:tcPr>
          <w:p>
            <w:pPr>
              <w:pStyle w:val="TableParagraph"/>
              <w:spacing w:line="215" w:lineRule="exact" w:before="45"/>
              <w:ind w:left="179" w:right="645"/>
              <w:jc w:val="center"/>
              <w:rPr>
                <w:sz w:val="20"/>
              </w:rPr>
            </w:pPr>
            <w:r>
              <w:rPr>
                <w:sz w:val="20"/>
              </w:rPr>
              <w:t>A16.10.018,</w:t>
            </w:r>
            <w:r>
              <w:rPr>
                <w:spacing w:val="-9"/>
                <w:sz w:val="20"/>
              </w:rPr>
              <w:t> </w:t>
            </w:r>
            <w:r>
              <w:rPr>
                <w:sz w:val="20"/>
              </w:rPr>
              <w:t>A16.10.023,</w:t>
            </w:r>
            <w:r>
              <w:rPr>
                <w:spacing w:val="-10"/>
                <w:sz w:val="20"/>
              </w:rPr>
              <w:t> </w:t>
            </w:r>
            <w:r>
              <w:rPr>
                <w:spacing w:val="-2"/>
                <w:sz w:val="20"/>
              </w:rPr>
              <w:t>A16.10.033,</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3,97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10" w:lineRule="exact"/>
              <w:ind w:left="192"/>
              <w:rPr>
                <w:sz w:val="20"/>
              </w:rPr>
            </w:pPr>
            <w:r>
              <w:rPr>
                <w:sz w:val="20"/>
              </w:rPr>
              <w:t>коронарных</w:t>
            </w:r>
            <w:r>
              <w:rPr>
                <w:spacing w:val="-13"/>
                <w:sz w:val="20"/>
              </w:rPr>
              <w:t> </w:t>
            </w:r>
            <w:r>
              <w:rPr>
                <w:spacing w:val="-2"/>
                <w:sz w:val="20"/>
              </w:rPr>
              <w:t>сосудах</w:t>
            </w:r>
          </w:p>
        </w:tc>
        <w:tc>
          <w:tcPr>
            <w:tcW w:w="3500" w:type="dxa"/>
          </w:tcPr>
          <w:p>
            <w:pPr>
              <w:pStyle w:val="TableParagraph"/>
              <w:rPr>
                <w:sz w:val="16"/>
              </w:rPr>
            </w:pPr>
          </w:p>
        </w:tc>
        <w:tc>
          <w:tcPr>
            <w:tcW w:w="3908" w:type="dxa"/>
          </w:tcPr>
          <w:p>
            <w:pPr>
              <w:pStyle w:val="TableParagraph"/>
              <w:spacing w:line="210" w:lineRule="exact"/>
              <w:ind w:left="179" w:right="639"/>
              <w:jc w:val="center"/>
              <w:rPr>
                <w:sz w:val="20"/>
              </w:rPr>
            </w:pPr>
            <w:r>
              <w:rPr>
                <w:spacing w:val="-2"/>
                <w:sz w:val="20"/>
              </w:rPr>
              <w:t>A16.10.035</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05" w:lineRule="exact"/>
              <w:ind w:left="192"/>
              <w:rPr>
                <w:sz w:val="20"/>
              </w:rPr>
            </w:pPr>
            <w:r>
              <w:rPr>
                <w:sz w:val="20"/>
              </w:rPr>
              <w:t>(уровень</w:t>
            </w:r>
            <w:r>
              <w:rPr>
                <w:spacing w:val="-11"/>
                <w:sz w:val="20"/>
              </w:rPr>
              <w:t> </w:t>
            </w:r>
            <w:r>
              <w:rPr>
                <w:spacing w:val="-5"/>
                <w:sz w:val="20"/>
              </w:rPr>
              <w:t>2)</w:t>
            </w:r>
          </w:p>
        </w:tc>
        <w:tc>
          <w:tcPr>
            <w:tcW w:w="3500" w:type="dxa"/>
          </w:tcPr>
          <w:p>
            <w:pPr>
              <w:pStyle w:val="TableParagraph"/>
              <w:rPr>
                <w:sz w:val="16"/>
              </w:rPr>
            </w:pPr>
          </w:p>
        </w:tc>
        <w:tc>
          <w:tcPr>
            <w:tcW w:w="3908"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78"/>
        <w:gridCol w:w="2527"/>
        <w:gridCol w:w="4880"/>
        <w:gridCol w:w="1573"/>
        <w:gridCol w:w="1260"/>
      </w:tblGrid>
      <w:tr>
        <w:trPr>
          <w:trHeight w:val="1885" w:hRule="atLeast"/>
        </w:trPr>
        <w:tc>
          <w:tcPr>
            <w:tcW w:w="946" w:type="dxa"/>
          </w:tcPr>
          <w:p>
            <w:pPr>
              <w:pStyle w:val="TableParagraph"/>
              <w:spacing w:line="221" w:lineRule="exact"/>
              <w:ind w:left="50"/>
              <w:rPr>
                <w:sz w:val="20"/>
              </w:rPr>
            </w:pPr>
            <w:r>
              <w:rPr>
                <w:spacing w:val="-2"/>
                <w:sz w:val="20"/>
              </w:rPr>
              <w:t>st25.007</w:t>
            </w:r>
          </w:p>
        </w:tc>
        <w:tc>
          <w:tcPr>
            <w:tcW w:w="707" w:type="dxa"/>
          </w:tcPr>
          <w:p>
            <w:pPr>
              <w:pStyle w:val="TableParagraph"/>
              <w:spacing w:line="221" w:lineRule="exact"/>
              <w:ind w:left="210"/>
              <w:rPr>
                <w:sz w:val="20"/>
              </w:rPr>
            </w:pPr>
            <w:r>
              <w:rPr>
                <w:spacing w:val="-5"/>
                <w:sz w:val="20"/>
              </w:rPr>
              <w:t>243</w:t>
            </w:r>
          </w:p>
        </w:tc>
        <w:tc>
          <w:tcPr>
            <w:tcW w:w="3378" w:type="dxa"/>
          </w:tcPr>
          <w:p>
            <w:pPr>
              <w:pStyle w:val="TableParagraph"/>
              <w:ind w:left="192" w:right="705"/>
              <w:rPr>
                <w:sz w:val="20"/>
              </w:rPr>
            </w:pPr>
            <w:r>
              <w:rPr>
                <w:sz w:val="20"/>
              </w:rPr>
              <w:t>Операции</w:t>
            </w:r>
            <w:r>
              <w:rPr>
                <w:spacing w:val="-13"/>
                <w:sz w:val="20"/>
              </w:rPr>
              <w:t> </w:t>
            </w:r>
            <w:r>
              <w:rPr>
                <w:sz w:val="20"/>
              </w:rPr>
              <w:t>на</w:t>
            </w:r>
            <w:r>
              <w:rPr>
                <w:spacing w:val="-12"/>
                <w:sz w:val="20"/>
              </w:rPr>
              <w:t> </w:t>
            </w:r>
            <w:r>
              <w:rPr>
                <w:sz w:val="20"/>
              </w:rPr>
              <w:t>сердце</w:t>
            </w:r>
            <w:r>
              <w:rPr>
                <w:spacing w:val="-13"/>
                <w:sz w:val="20"/>
              </w:rPr>
              <w:t> </w:t>
            </w:r>
            <w:r>
              <w:rPr>
                <w:sz w:val="20"/>
              </w:rPr>
              <w:t>и коронарных сосудах (уровень 3)</w:t>
            </w:r>
          </w:p>
        </w:tc>
        <w:tc>
          <w:tcPr>
            <w:tcW w:w="2527" w:type="dxa"/>
          </w:tcPr>
          <w:p>
            <w:pPr>
              <w:pStyle w:val="TableParagraph"/>
              <w:spacing w:line="221" w:lineRule="exact"/>
              <w:ind w:right="1150"/>
              <w:jc w:val="right"/>
              <w:rPr>
                <w:sz w:val="20"/>
              </w:rPr>
            </w:pPr>
            <w:r>
              <w:rPr>
                <w:w w:val="99"/>
                <w:sz w:val="20"/>
              </w:rPr>
              <w:t>-</w:t>
            </w:r>
          </w:p>
        </w:tc>
        <w:tc>
          <w:tcPr>
            <w:tcW w:w="4880" w:type="dxa"/>
          </w:tcPr>
          <w:p>
            <w:pPr>
              <w:pStyle w:val="TableParagraph"/>
              <w:ind w:left="1152" w:right="644" w:firstLine="1"/>
              <w:jc w:val="center"/>
              <w:rPr>
                <w:sz w:val="20"/>
              </w:rPr>
            </w:pPr>
            <w:r>
              <w:rPr>
                <w:sz w:val="20"/>
              </w:rPr>
              <w:t>A05.10.006.002, A16.10.001, A16.10.002,</w:t>
            </w:r>
            <w:r>
              <w:rPr>
                <w:spacing w:val="-13"/>
                <w:sz w:val="20"/>
              </w:rPr>
              <w:t> </w:t>
            </w:r>
            <w:r>
              <w:rPr>
                <w:sz w:val="20"/>
              </w:rPr>
              <w:t>A16.10.003,</w:t>
            </w:r>
            <w:r>
              <w:rPr>
                <w:spacing w:val="-12"/>
                <w:sz w:val="20"/>
              </w:rPr>
              <w:t> </w:t>
            </w:r>
            <w:r>
              <w:rPr>
                <w:sz w:val="20"/>
              </w:rPr>
              <w:t>A16.10.012, A16.10.015.001, A16.10.022, A16.10.024,</w:t>
            </w:r>
            <w:r>
              <w:rPr>
                <w:spacing w:val="-13"/>
                <w:sz w:val="20"/>
              </w:rPr>
              <w:t> </w:t>
            </w:r>
            <w:r>
              <w:rPr>
                <w:sz w:val="20"/>
              </w:rPr>
              <w:t>A16.10.030,</w:t>
            </w:r>
            <w:r>
              <w:rPr>
                <w:spacing w:val="-12"/>
                <w:sz w:val="20"/>
              </w:rPr>
              <w:t> </w:t>
            </w:r>
            <w:r>
              <w:rPr>
                <w:sz w:val="20"/>
              </w:rPr>
              <w:t>A16.10.031, A16.10.032, A16.10.035.002, A16.12.003, A16.12.004, A16.12.004.001, A16.12.004.002, A16.12.026.012, A16.12.028.017</w:t>
            </w:r>
          </w:p>
        </w:tc>
        <w:tc>
          <w:tcPr>
            <w:tcW w:w="1573" w:type="dxa"/>
          </w:tcPr>
          <w:p>
            <w:pPr>
              <w:pStyle w:val="TableParagraph"/>
              <w:spacing w:line="221" w:lineRule="exact"/>
              <w:ind w:left="648"/>
              <w:rPr>
                <w:sz w:val="20"/>
              </w:rPr>
            </w:pPr>
            <w:r>
              <w:rPr>
                <w:w w:val="99"/>
                <w:sz w:val="20"/>
              </w:rPr>
              <w:t>-</w:t>
            </w:r>
          </w:p>
        </w:tc>
        <w:tc>
          <w:tcPr>
            <w:tcW w:w="1260" w:type="dxa"/>
          </w:tcPr>
          <w:p>
            <w:pPr>
              <w:pStyle w:val="TableParagraph"/>
              <w:spacing w:line="221" w:lineRule="exact"/>
              <w:ind w:right="45"/>
              <w:jc w:val="right"/>
              <w:rPr>
                <w:sz w:val="20"/>
              </w:rPr>
            </w:pPr>
            <w:r>
              <w:rPr>
                <w:spacing w:val="-4"/>
                <w:sz w:val="20"/>
              </w:rPr>
              <w:t>4,31</w:t>
            </w:r>
          </w:p>
        </w:tc>
      </w:tr>
      <w:tr>
        <w:trPr>
          <w:trHeight w:val="1249" w:hRule="atLeast"/>
        </w:trPr>
        <w:tc>
          <w:tcPr>
            <w:tcW w:w="946" w:type="dxa"/>
          </w:tcPr>
          <w:p>
            <w:pPr>
              <w:pStyle w:val="TableParagraph"/>
              <w:spacing w:before="45"/>
              <w:ind w:left="50"/>
              <w:rPr>
                <w:sz w:val="20"/>
              </w:rPr>
            </w:pPr>
            <w:r>
              <w:rPr>
                <w:spacing w:val="-2"/>
                <w:sz w:val="20"/>
              </w:rPr>
              <w:t>st25.008</w:t>
            </w:r>
          </w:p>
        </w:tc>
        <w:tc>
          <w:tcPr>
            <w:tcW w:w="707" w:type="dxa"/>
          </w:tcPr>
          <w:p>
            <w:pPr>
              <w:pStyle w:val="TableParagraph"/>
              <w:spacing w:before="45"/>
              <w:ind w:left="210"/>
              <w:rPr>
                <w:sz w:val="20"/>
              </w:rPr>
            </w:pPr>
            <w:r>
              <w:rPr>
                <w:spacing w:val="-5"/>
                <w:sz w:val="20"/>
              </w:rPr>
              <w:t>244</w:t>
            </w:r>
          </w:p>
        </w:tc>
        <w:tc>
          <w:tcPr>
            <w:tcW w:w="3378" w:type="dxa"/>
          </w:tcPr>
          <w:p>
            <w:pPr>
              <w:pStyle w:val="TableParagraph"/>
              <w:spacing w:before="45"/>
              <w:ind w:left="192" w:right="705"/>
              <w:rPr>
                <w:sz w:val="20"/>
              </w:rPr>
            </w:pPr>
            <w:r>
              <w:rPr>
                <w:sz w:val="20"/>
              </w:rPr>
              <w:t>Операции</w:t>
            </w:r>
            <w:r>
              <w:rPr>
                <w:spacing w:val="-13"/>
                <w:sz w:val="20"/>
              </w:rPr>
              <w:t> </w:t>
            </w:r>
            <w:r>
              <w:rPr>
                <w:sz w:val="20"/>
              </w:rPr>
              <w:t>на</w:t>
            </w:r>
            <w:r>
              <w:rPr>
                <w:spacing w:val="-12"/>
                <w:sz w:val="20"/>
              </w:rPr>
              <w:t> </w:t>
            </w:r>
            <w:r>
              <w:rPr>
                <w:sz w:val="20"/>
              </w:rPr>
              <w:t>сосудах (уровень 1)</w:t>
            </w:r>
          </w:p>
        </w:tc>
        <w:tc>
          <w:tcPr>
            <w:tcW w:w="2527" w:type="dxa"/>
          </w:tcPr>
          <w:p>
            <w:pPr>
              <w:pStyle w:val="TableParagraph"/>
              <w:spacing w:before="45"/>
              <w:ind w:right="1150"/>
              <w:jc w:val="right"/>
              <w:rPr>
                <w:sz w:val="20"/>
              </w:rPr>
            </w:pPr>
            <w:r>
              <w:rPr>
                <w:w w:val="99"/>
                <w:sz w:val="20"/>
              </w:rPr>
              <w:t>-</w:t>
            </w:r>
          </w:p>
        </w:tc>
        <w:tc>
          <w:tcPr>
            <w:tcW w:w="4880" w:type="dxa"/>
          </w:tcPr>
          <w:p>
            <w:pPr>
              <w:pStyle w:val="TableParagraph"/>
              <w:spacing w:before="45"/>
              <w:ind w:left="1102" w:right="593"/>
              <w:jc w:val="center"/>
              <w:rPr>
                <w:sz w:val="20"/>
              </w:rPr>
            </w:pPr>
            <w:r>
              <w:rPr>
                <w:sz w:val="20"/>
              </w:rPr>
              <w:t>A11.12.001.002,</w:t>
            </w:r>
            <w:r>
              <w:rPr>
                <w:spacing w:val="-13"/>
                <w:sz w:val="20"/>
              </w:rPr>
              <w:t> </w:t>
            </w:r>
            <w:r>
              <w:rPr>
                <w:sz w:val="20"/>
              </w:rPr>
              <w:t>A16.12.014, A16.12.018, A16.12.020, A16.12.020.001,</w:t>
            </w:r>
            <w:r>
              <w:rPr>
                <w:spacing w:val="-13"/>
                <w:sz w:val="20"/>
              </w:rPr>
              <w:t> </w:t>
            </w:r>
            <w:r>
              <w:rPr>
                <w:sz w:val="20"/>
              </w:rPr>
              <w:t>A16.12.058, A16.12.058.001,</w:t>
            </w:r>
            <w:r>
              <w:rPr>
                <w:spacing w:val="-13"/>
                <w:sz w:val="20"/>
              </w:rPr>
              <w:t> </w:t>
            </w:r>
            <w:r>
              <w:rPr>
                <w:sz w:val="20"/>
              </w:rPr>
              <w:t>A16.12.063, </w:t>
            </w:r>
            <w:r>
              <w:rPr>
                <w:spacing w:val="-2"/>
                <w:sz w:val="20"/>
              </w:rPr>
              <w:t>A16.30.074</w:t>
            </w:r>
          </w:p>
        </w:tc>
        <w:tc>
          <w:tcPr>
            <w:tcW w:w="1573" w:type="dxa"/>
          </w:tcPr>
          <w:p>
            <w:pPr>
              <w:pStyle w:val="TableParagraph"/>
              <w:spacing w:before="45"/>
              <w:ind w:left="648"/>
              <w:rPr>
                <w:sz w:val="20"/>
              </w:rPr>
            </w:pPr>
            <w:r>
              <w:rPr>
                <w:w w:val="99"/>
                <w:sz w:val="20"/>
              </w:rPr>
              <w:t>-</w:t>
            </w:r>
          </w:p>
        </w:tc>
        <w:tc>
          <w:tcPr>
            <w:tcW w:w="1260" w:type="dxa"/>
          </w:tcPr>
          <w:p>
            <w:pPr>
              <w:pStyle w:val="TableParagraph"/>
              <w:spacing w:before="45"/>
              <w:ind w:right="45"/>
              <w:jc w:val="right"/>
              <w:rPr>
                <w:sz w:val="20"/>
              </w:rPr>
            </w:pPr>
            <w:r>
              <w:rPr>
                <w:spacing w:val="-4"/>
                <w:sz w:val="20"/>
              </w:rPr>
              <w:t>1,20</w:t>
            </w:r>
          </w:p>
        </w:tc>
      </w:tr>
      <w:tr>
        <w:trPr>
          <w:trHeight w:val="1940" w:hRule="atLeast"/>
        </w:trPr>
        <w:tc>
          <w:tcPr>
            <w:tcW w:w="946" w:type="dxa"/>
          </w:tcPr>
          <w:p>
            <w:pPr>
              <w:pStyle w:val="TableParagraph"/>
              <w:spacing w:before="46"/>
              <w:ind w:left="50"/>
              <w:rPr>
                <w:sz w:val="20"/>
              </w:rPr>
            </w:pPr>
            <w:r>
              <w:rPr>
                <w:spacing w:val="-2"/>
                <w:sz w:val="20"/>
              </w:rPr>
              <w:t>st25.009</w:t>
            </w:r>
          </w:p>
        </w:tc>
        <w:tc>
          <w:tcPr>
            <w:tcW w:w="707" w:type="dxa"/>
          </w:tcPr>
          <w:p>
            <w:pPr>
              <w:pStyle w:val="TableParagraph"/>
              <w:spacing w:before="46"/>
              <w:ind w:left="210"/>
              <w:rPr>
                <w:sz w:val="20"/>
              </w:rPr>
            </w:pPr>
            <w:r>
              <w:rPr>
                <w:spacing w:val="-5"/>
                <w:sz w:val="20"/>
              </w:rPr>
              <w:t>245</w:t>
            </w:r>
          </w:p>
        </w:tc>
        <w:tc>
          <w:tcPr>
            <w:tcW w:w="3378" w:type="dxa"/>
          </w:tcPr>
          <w:p>
            <w:pPr>
              <w:pStyle w:val="TableParagraph"/>
              <w:spacing w:before="46"/>
              <w:ind w:left="192" w:right="705"/>
              <w:rPr>
                <w:sz w:val="20"/>
              </w:rPr>
            </w:pPr>
            <w:r>
              <w:rPr>
                <w:sz w:val="20"/>
              </w:rPr>
              <w:t>Операции</w:t>
            </w:r>
            <w:r>
              <w:rPr>
                <w:spacing w:val="-13"/>
                <w:sz w:val="20"/>
              </w:rPr>
              <w:t> </w:t>
            </w:r>
            <w:r>
              <w:rPr>
                <w:sz w:val="20"/>
              </w:rPr>
              <w:t>на</w:t>
            </w:r>
            <w:r>
              <w:rPr>
                <w:spacing w:val="-12"/>
                <w:sz w:val="20"/>
              </w:rPr>
              <w:t> </w:t>
            </w:r>
            <w:r>
              <w:rPr>
                <w:sz w:val="20"/>
              </w:rPr>
              <w:t>сосудах (уровень 2)</w:t>
            </w:r>
          </w:p>
        </w:tc>
        <w:tc>
          <w:tcPr>
            <w:tcW w:w="2527" w:type="dxa"/>
          </w:tcPr>
          <w:p>
            <w:pPr>
              <w:pStyle w:val="TableParagraph"/>
              <w:spacing w:before="46"/>
              <w:ind w:right="1150"/>
              <w:jc w:val="right"/>
              <w:rPr>
                <w:sz w:val="20"/>
              </w:rPr>
            </w:pPr>
            <w:r>
              <w:rPr>
                <w:w w:val="99"/>
                <w:sz w:val="20"/>
              </w:rPr>
              <w:t>-</w:t>
            </w:r>
          </w:p>
        </w:tc>
        <w:tc>
          <w:tcPr>
            <w:tcW w:w="4880" w:type="dxa"/>
          </w:tcPr>
          <w:p>
            <w:pPr>
              <w:pStyle w:val="TableParagraph"/>
              <w:spacing w:before="46"/>
              <w:ind w:left="1152" w:right="644" w:firstLine="2"/>
              <w:jc w:val="center"/>
              <w:rPr>
                <w:sz w:val="20"/>
              </w:rPr>
            </w:pPr>
            <w:r>
              <w:rPr>
                <w:sz w:val="20"/>
              </w:rPr>
              <w:t>A16.12.006, A16.12.006.001, A16.12.006.002, A16.12.006.003, A16.12.012, A16.12.014.001, A16.12.014.002, A16.12.014.003, A16.12.014.004, A16.12.019.001, A16.12.036,</w:t>
            </w:r>
            <w:r>
              <w:rPr>
                <w:spacing w:val="-13"/>
                <w:sz w:val="20"/>
              </w:rPr>
              <w:t> </w:t>
            </w:r>
            <w:r>
              <w:rPr>
                <w:sz w:val="20"/>
              </w:rPr>
              <w:t>A16.12.039,</w:t>
            </w:r>
            <w:r>
              <w:rPr>
                <w:spacing w:val="-12"/>
                <w:sz w:val="20"/>
              </w:rPr>
              <w:t> </w:t>
            </w:r>
            <w:r>
              <w:rPr>
                <w:sz w:val="20"/>
              </w:rPr>
              <w:t>A16.12.064, A16.12.066, A22.12.003, A22.12.003.001, A22.12.004</w:t>
            </w:r>
          </w:p>
        </w:tc>
        <w:tc>
          <w:tcPr>
            <w:tcW w:w="1573" w:type="dxa"/>
          </w:tcPr>
          <w:p>
            <w:pPr>
              <w:pStyle w:val="TableParagraph"/>
              <w:spacing w:before="46"/>
              <w:ind w:left="648"/>
              <w:rPr>
                <w:sz w:val="20"/>
              </w:rPr>
            </w:pPr>
            <w:r>
              <w:rPr>
                <w:w w:val="99"/>
                <w:sz w:val="20"/>
              </w:rPr>
              <w:t>-</w:t>
            </w:r>
          </w:p>
        </w:tc>
        <w:tc>
          <w:tcPr>
            <w:tcW w:w="1260" w:type="dxa"/>
          </w:tcPr>
          <w:p>
            <w:pPr>
              <w:pStyle w:val="TableParagraph"/>
              <w:spacing w:before="46"/>
              <w:ind w:right="45"/>
              <w:jc w:val="right"/>
              <w:rPr>
                <w:sz w:val="20"/>
              </w:rPr>
            </w:pPr>
            <w:r>
              <w:rPr>
                <w:spacing w:val="-4"/>
                <w:sz w:val="20"/>
              </w:rPr>
              <w:t>2,37</w:t>
            </w:r>
          </w:p>
        </w:tc>
      </w:tr>
      <w:tr>
        <w:trPr>
          <w:trHeight w:val="3496" w:hRule="atLeast"/>
        </w:trPr>
        <w:tc>
          <w:tcPr>
            <w:tcW w:w="946" w:type="dxa"/>
          </w:tcPr>
          <w:p>
            <w:pPr>
              <w:pStyle w:val="TableParagraph"/>
              <w:spacing w:before="45"/>
              <w:ind w:left="50"/>
              <w:rPr>
                <w:sz w:val="20"/>
              </w:rPr>
            </w:pPr>
            <w:r>
              <w:rPr>
                <w:spacing w:val="-2"/>
                <w:sz w:val="20"/>
              </w:rPr>
              <w:t>st25.010</w:t>
            </w:r>
          </w:p>
        </w:tc>
        <w:tc>
          <w:tcPr>
            <w:tcW w:w="707" w:type="dxa"/>
          </w:tcPr>
          <w:p>
            <w:pPr>
              <w:pStyle w:val="TableParagraph"/>
              <w:spacing w:before="45"/>
              <w:ind w:left="210"/>
              <w:rPr>
                <w:sz w:val="20"/>
              </w:rPr>
            </w:pPr>
            <w:r>
              <w:rPr>
                <w:spacing w:val="-5"/>
                <w:sz w:val="20"/>
              </w:rPr>
              <w:t>246</w:t>
            </w:r>
          </w:p>
        </w:tc>
        <w:tc>
          <w:tcPr>
            <w:tcW w:w="3378" w:type="dxa"/>
          </w:tcPr>
          <w:p>
            <w:pPr>
              <w:pStyle w:val="TableParagraph"/>
              <w:spacing w:before="45"/>
              <w:ind w:left="192" w:right="705"/>
              <w:rPr>
                <w:sz w:val="20"/>
              </w:rPr>
            </w:pPr>
            <w:r>
              <w:rPr>
                <w:sz w:val="20"/>
              </w:rPr>
              <w:t>Операции</w:t>
            </w:r>
            <w:r>
              <w:rPr>
                <w:spacing w:val="-13"/>
                <w:sz w:val="20"/>
              </w:rPr>
              <w:t> </w:t>
            </w:r>
            <w:r>
              <w:rPr>
                <w:sz w:val="20"/>
              </w:rPr>
              <w:t>на</w:t>
            </w:r>
            <w:r>
              <w:rPr>
                <w:spacing w:val="-12"/>
                <w:sz w:val="20"/>
              </w:rPr>
              <w:t> </w:t>
            </w:r>
            <w:r>
              <w:rPr>
                <w:sz w:val="20"/>
              </w:rPr>
              <w:t>сосудах (уровень 3)</w:t>
            </w:r>
          </w:p>
        </w:tc>
        <w:tc>
          <w:tcPr>
            <w:tcW w:w="2527" w:type="dxa"/>
          </w:tcPr>
          <w:p>
            <w:pPr>
              <w:pStyle w:val="TableParagraph"/>
              <w:spacing w:before="45"/>
              <w:ind w:right="1150"/>
              <w:jc w:val="right"/>
              <w:rPr>
                <w:sz w:val="20"/>
              </w:rPr>
            </w:pPr>
            <w:r>
              <w:rPr>
                <w:w w:val="99"/>
                <w:sz w:val="20"/>
              </w:rPr>
              <w:t>-</w:t>
            </w:r>
          </w:p>
        </w:tc>
        <w:tc>
          <w:tcPr>
            <w:tcW w:w="4880" w:type="dxa"/>
          </w:tcPr>
          <w:p>
            <w:pPr>
              <w:pStyle w:val="TableParagraph"/>
              <w:spacing w:before="45"/>
              <w:ind w:left="1101" w:right="593"/>
              <w:jc w:val="center"/>
              <w:rPr>
                <w:sz w:val="20"/>
              </w:rPr>
            </w:pPr>
            <w:r>
              <w:rPr>
                <w:sz w:val="20"/>
              </w:rPr>
              <w:t>A16.12.001,</w:t>
            </w:r>
            <w:r>
              <w:rPr>
                <w:spacing w:val="-13"/>
                <w:sz w:val="20"/>
              </w:rPr>
              <w:t> </w:t>
            </w:r>
            <w:r>
              <w:rPr>
                <w:sz w:val="20"/>
              </w:rPr>
              <w:t>A16.12.002,</w:t>
            </w:r>
            <w:r>
              <w:rPr>
                <w:spacing w:val="-12"/>
                <w:sz w:val="20"/>
              </w:rPr>
              <w:t> </w:t>
            </w:r>
            <w:r>
              <w:rPr>
                <w:sz w:val="20"/>
              </w:rPr>
              <w:t>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w:t>
            </w:r>
          </w:p>
          <w:p>
            <w:pPr>
              <w:pStyle w:val="TableParagraph"/>
              <w:spacing w:line="210" w:lineRule="exact" w:before="1"/>
              <w:ind w:left="1100" w:right="593"/>
              <w:jc w:val="center"/>
              <w:rPr>
                <w:sz w:val="20"/>
              </w:rPr>
            </w:pPr>
            <w:r>
              <w:rPr>
                <w:w w:val="95"/>
                <w:sz w:val="20"/>
              </w:rPr>
              <w:t>A16.12.013.003,</w:t>
            </w:r>
            <w:r>
              <w:rPr>
                <w:spacing w:val="54"/>
                <w:sz w:val="20"/>
              </w:rPr>
              <w:t> </w:t>
            </w:r>
            <w:r>
              <w:rPr>
                <w:spacing w:val="-2"/>
                <w:sz w:val="20"/>
              </w:rPr>
              <w:t>A16.12.015,</w:t>
            </w:r>
          </w:p>
        </w:tc>
        <w:tc>
          <w:tcPr>
            <w:tcW w:w="1573" w:type="dxa"/>
          </w:tcPr>
          <w:p>
            <w:pPr>
              <w:pStyle w:val="TableParagraph"/>
              <w:spacing w:before="45"/>
              <w:ind w:left="648"/>
              <w:rPr>
                <w:sz w:val="20"/>
              </w:rPr>
            </w:pPr>
            <w:r>
              <w:rPr>
                <w:w w:val="99"/>
                <w:sz w:val="20"/>
              </w:rPr>
              <w:t>-</w:t>
            </w:r>
          </w:p>
        </w:tc>
        <w:tc>
          <w:tcPr>
            <w:tcW w:w="1260" w:type="dxa"/>
          </w:tcPr>
          <w:p>
            <w:pPr>
              <w:pStyle w:val="TableParagraph"/>
              <w:spacing w:before="45"/>
              <w:ind w:right="45"/>
              <w:jc w:val="right"/>
              <w:rPr>
                <w:sz w:val="20"/>
              </w:rPr>
            </w:pPr>
            <w:r>
              <w:rPr>
                <w:spacing w:val="-4"/>
                <w:sz w:val="20"/>
              </w:rPr>
              <w:t>4,13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6"/>
        <w:gridCol w:w="2560"/>
        <w:gridCol w:w="4881"/>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46" w:type="dxa"/>
            <w:vMerge w:val="restart"/>
          </w:tcPr>
          <w:p>
            <w:pPr>
              <w:pStyle w:val="TableParagraph"/>
              <w:rPr>
                <w:sz w:val="18"/>
              </w:rPr>
            </w:pPr>
          </w:p>
        </w:tc>
        <w:tc>
          <w:tcPr>
            <w:tcW w:w="2560" w:type="dxa"/>
            <w:vMerge w:val="restart"/>
          </w:tcPr>
          <w:p>
            <w:pPr>
              <w:pStyle w:val="TableParagraph"/>
              <w:rPr>
                <w:sz w:val="18"/>
              </w:rPr>
            </w:pPr>
          </w:p>
        </w:tc>
        <w:tc>
          <w:tcPr>
            <w:tcW w:w="4881" w:type="dxa"/>
          </w:tcPr>
          <w:p>
            <w:pPr>
              <w:pStyle w:val="TableParagraph"/>
              <w:spacing w:line="205" w:lineRule="exact"/>
              <w:ind w:left="1150" w:right="644"/>
              <w:jc w:val="center"/>
              <w:rPr>
                <w:sz w:val="20"/>
              </w:rPr>
            </w:pPr>
            <w:r>
              <w:rPr>
                <w:sz w:val="20"/>
              </w:rPr>
              <w:t>A16.12.016,</w:t>
            </w:r>
            <w:r>
              <w:rPr>
                <w:spacing w:val="-8"/>
                <w:sz w:val="20"/>
              </w:rPr>
              <w:t> </w:t>
            </w:r>
            <w:r>
              <w:rPr>
                <w:sz w:val="20"/>
              </w:rPr>
              <w:t>A16.12.017,</w:t>
            </w:r>
            <w:r>
              <w:rPr>
                <w:spacing w:val="-8"/>
                <w:sz w:val="20"/>
              </w:rPr>
              <w:t> </w:t>
            </w:r>
            <w:r>
              <w:rPr>
                <w:spacing w:val="-2"/>
                <w:sz w:val="20"/>
              </w:rPr>
              <w:t>A16.12.019,</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A16.12.022,</w:t>
            </w:r>
            <w:r>
              <w:rPr>
                <w:spacing w:val="-9"/>
                <w:sz w:val="20"/>
              </w:rPr>
              <w:t> </w:t>
            </w:r>
            <w:r>
              <w:rPr>
                <w:sz w:val="20"/>
              </w:rPr>
              <w:t>A16.12.023,</w:t>
            </w:r>
            <w:r>
              <w:rPr>
                <w:spacing w:val="-10"/>
                <w:sz w:val="20"/>
              </w:rPr>
              <w:t> </w:t>
            </w:r>
            <w:r>
              <w:rPr>
                <w:spacing w:val="-2"/>
                <w:sz w:val="20"/>
              </w:rPr>
              <w:t>A16.12.024,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A16.12.025,</w:t>
            </w:r>
            <w:r>
              <w:rPr>
                <w:spacing w:val="-9"/>
                <w:sz w:val="20"/>
              </w:rPr>
              <w:t> </w:t>
            </w:r>
            <w:r>
              <w:rPr>
                <w:sz w:val="20"/>
              </w:rPr>
              <w:t>A16.12.026,</w:t>
            </w:r>
            <w:r>
              <w:rPr>
                <w:spacing w:val="-10"/>
                <w:sz w:val="20"/>
              </w:rPr>
              <w:t> </w:t>
            </w:r>
            <w:r>
              <w:rPr>
                <w:spacing w:val="-2"/>
                <w:sz w:val="20"/>
              </w:rPr>
              <w:t>A16.12.027,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A16.12.028.006,</w:t>
            </w:r>
            <w:r>
              <w:rPr>
                <w:spacing w:val="54"/>
                <w:sz w:val="20"/>
              </w:rPr>
              <w:t> </w:t>
            </w:r>
            <w:r>
              <w:rPr>
                <w:spacing w:val="-2"/>
                <w:sz w:val="20"/>
              </w:rPr>
              <w:t>A16.12.028.007,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A16.12.028.008,</w:t>
            </w:r>
            <w:r>
              <w:rPr>
                <w:spacing w:val="54"/>
                <w:sz w:val="20"/>
              </w:rPr>
              <w:t> </w:t>
            </w:r>
            <w:r>
              <w:rPr>
                <w:spacing w:val="-2"/>
                <w:sz w:val="20"/>
              </w:rPr>
              <w:t>A16.12.028.014,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sz w:val="20"/>
              </w:rPr>
              <w:t>A16.12.029,</w:t>
            </w:r>
            <w:r>
              <w:rPr>
                <w:spacing w:val="-9"/>
                <w:sz w:val="20"/>
              </w:rPr>
              <w:t> </w:t>
            </w:r>
            <w:r>
              <w:rPr>
                <w:spacing w:val="-2"/>
                <w:sz w:val="20"/>
              </w:rPr>
              <w:t>A16.12.031,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1" w:lineRule="exact"/>
              <w:ind w:left="1147" w:right="644"/>
              <w:jc w:val="center"/>
              <w:rPr>
                <w:sz w:val="20"/>
              </w:rPr>
            </w:pPr>
            <w:r>
              <w:rPr>
                <w:w w:val="95"/>
                <w:sz w:val="20"/>
              </w:rPr>
              <w:t>A16.12.033.001,</w:t>
            </w:r>
            <w:r>
              <w:rPr>
                <w:spacing w:val="54"/>
                <w:sz w:val="20"/>
              </w:rPr>
              <w:t> </w:t>
            </w:r>
            <w:r>
              <w:rPr>
                <w:spacing w:val="-2"/>
                <w:sz w:val="20"/>
              </w:rPr>
              <w:t>A16.12.034.001,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A16.12.035,</w:t>
            </w:r>
            <w:r>
              <w:rPr>
                <w:spacing w:val="-9"/>
                <w:sz w:val="20"/>
              </w:rPr>
              <w:t> </w:t>
            </w:r>
            <w:r>
              <w:rPr>
                <w:spacing w:val="-2"/>
                <w:sz w:val="20"/>
              </w:rPr>
              <w:t>A16.12.035.001,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50" w:right="642"/>
              <w:jc w:val="center"/>
              <w:rPr>
                <w:sz w:val="20"/>
              </w:rPr>
            </w:pPr>
            <w:r>
              <w:rPr>
                <w:w w:val="95"/>
                <w:sz w:val="20"/>
              </w:rPr>
              <w:t>A16.12.035.002,</w:t>
            </w:r>
            <w:r>
              <w:rPr>
                <w:spacing w:val="54"/>
                <w:sz w:val="20"/>
              </w:rPr>
              <w:t> </w:t>
            </w:r>
            <w:r>
              <w:rPr>
                <w:spacing w:val="-2"/>
                <w:sz w:val="20"/>
              </w:rPr>
              <w:t>A16.12.038,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A16.12.038.001,</w:t>
            </w:r>
            <w:r>
              <w:rPr>
                <w:spacing w:val="54"/>
                <w:sz w:val="20"/>
              </w:rPr>
              <w:t> </w:t>
            </w:r>
            <w:r>
              <w:rPr>
                <w:spacing w:val="-2"/>
                <w:sz w:val="20"/>
              </w:rPr>
              <w:t>A16.12.038.002,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A16.12.038.003,</w:t>
            </w:r>
            <w:r>
              <w:rPr>
                <w:spacing w:val="54"/>
                <w:sz w:val="20"/>
              </w:rPr>
              <w:t> </w:t>
            </w:r>
            <w:r>
              <w:rPr>
                <w:spacing w:val="-2"/>
                <w:sz w:val="20"/>
              </w:rPr>
              <w:t>A16.12.038.004,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A16.12.038.005,</w:t>
            </w:r>
            <w:r>
              <w:rPr>
                <w:spacing w:val="54"/>
                <w:sz w:val="20"/>
              </w:rPr>
              <w:t> </w:t>
            </w:r>
            <w:r>
              <w:rPr>
                <w:spacing w:val="-2"/>
                <w:sz w:val="20"/>
              </w:rPr>
              <w:t>A16.12.038.006,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A16.12.038.007,</w:t>
            </w:r>
            <w:r>
              <w:rPr>
                <w:spacing w:val="54"/>
                <w:sz w:val="20"/>
              </w:rPr>
              <w:t> </w:t>
            </w:r>
            <w:r>
              <w:rPr>
                <w:spacing w:val="-2"/>
                <w:sz w:val="20"/>
              </w:rPr>
              <w:t>A16.12.038.008,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A16.12.038.009,</w:t>
            </w:r>
            <w:r>
              <w:rPr>
                <w:spacing w:val="54"/>
                <w:sz w:val="20"/>
              </w:rPr>
              <w:t> </w:t>
            </w:r>
            <w:r>
              <w:rPr>
                <w:spacing w:val="-2"/>
                <w:sz w:val="20"/>
              </w:rPr>
              <w:t>A16.12.038.010,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A16.12.038.011,</w:t>
            </w:r>
            <w:r>
              <w:rPr>
                <w:spacing w:val="54"/>
                <w:sz w:val="20"/>
              </w:rPr>
              <w:t> </w:t>
            </w:r>
            <w:r>
              <w:rPr>
                <w:spacing w:val="-2"/>
                <w:sz w:val="20"/>
              </w:rPr>
              <w:t>A16.12.038.012,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A16.12.038.013,</w:t>
            </w:r>
            <w:r>
              <w:rPr>
                <w:spacing w:val="54"/>
                <w:sz w:val="20"/>
              </w:rPr>
              <w:t> </w:t>
            </w:r>
            <w:r>
              <w:rPr>
                <w:spacing w:val="-2"/>
                <w:sz w:val="20"/>
              </w:rPr>
              <w:t>A16.12.040,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A16.12.041.003,</w:t>
            </w:r>
            <w:r>
              <w:rPr>
                <w:spacing w:val="54"/>
                <w:sz w:val="20"/>
              </w:rPr>
              <w:t> </w:t>
            </w:r>
            <w:r>
              <w:rPr>
                <w:spacing w:val="-2"/>
                <w:sz w:val="20"/>
              </w:rPr>
              <w:t>A16.12.042,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1" w:lineRule="exact"/>
              <w:ind w:left="1150" w:right="644"/>
              <w:jc w:val="center"/>
              <w:rPr>
                <w:sz w:val="20"/>
              </w:rPr>
            </w:pPr>
            <w:r>
              <w:rPr>
                <w:sz w:val="20"/>
              </w:rPr>
              <w:t>A16.12.048,</w:t>
            </w:r>
            <w:r>
              <w:rPr>
                <w:spacing w:val="-9"/>
                <w:sz w:val="20"/>
              </w:rPr>
              <w:t> </w:t>
            </w:r>
            <w:r>
              <w:rPr>
                <w:spacing w:val="-2"/>
                <w:sz w:val="20"/>
              </w:rPr>
              <w:t>A16.12.049,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1" w:lineRule="exact"/>
              <w:ind w:left="1147" w:right="644"/>
              <w:jc w:val="center"/>
              <w:rPr>
                <w:sz w:val="20"/>
              </w:rPr>
            </w:pPr>
            <w:r>
              <w:rPr>
                <w:w w:val="95"/>
                <w:sz w:val="20"/>
              </w:rPr>
              <w:t>A16.12.049.001,</w:t>
            </w:r>
            <w:r>
              <w:rPr>
                <w:spacing w:val="54"/>
                <w:sz w:val="20"/>
              </w:rPr>
              <w:t> </w:t>
            </w:r>
            <w:r>
              <w:rPr>
                <w:spacing w:val="-2"/>
                <w:sz w:val="20"/>
              </w:rPr>
              <w:t>A16.12.051.021,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A16.12.052,</w:t>
            </w:r>
            <w:r>
              <w:rPr>
                <w:spacing w:val="-9"/>
                <w:sz w:val="20"/>
              </w:rPr>
              <w:t> </w:t>
            </w:r>
            <w:r>
              <w:rPr>
                <w:sz w:val="20"/>
              </w:rPr>
              <w:t>A16.12.053,</w:t>
            </w:r>
            <w:r>
              <w:rPr>
                <w:spacing w:val="-10"/>
                <w:sz w:val="20"/>
              </w:rPr>
              <w:t> </w:t>
            </w:r>
            <w:r>
              <w:rPr>
                <w:spacing w:val="-2"/>
                <w:sz w:val="20"/>
              </w:rPr>
              <w:t>A16.12.054,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A16.12.054.001,</w:t>
            </w:r>
            <w:r>
              <w:rPr>
                <w:spacing w:val="54"/>
                <w:sz w:val="20"/>
              </w:rPr>
              <w:t> </w:t>
            </w:r>
            <w:r>
              <w:rPr>
                <w:spacing w:val="-2"/>
                <w:sz w:val="20"/>
              </w:rPr>
              <w:t>A16.12.054.002,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A16.12.055,</w:t>
            </w:r>
            <w:r>
              <w:rPr>
                <w:spacing w:val="-9"/>
                <w:sz w:val="20"/>
              </w:rPr>
              <w:t> </w:t>
            </w:r>
            <w:r>
              <w:rPr>
                <w:spacing w:val="-2"/>
                <w:sz w:val="20"/>
              </w:rPr>
              <w:t>A16.12.055.001,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A16.12.055.002,</w:t>
            </w:r>
            <w:r>
              <w:rPr>
                <w:spacing w:val="54"/>
                <w:sz w:val="20"/>
              </w:rPr>
              <w:t> </w:t>
            </w:r>
            <w:r>
              <w:rPr>
                <w:spacing w:val="-2"/>
                <w:sz w:val="20"/>
              </w:rPr>
              <w:t>A16.12.056,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A16.12.056.001,</w:t>
            </w:r>
            <w:r>
              <w:rPr>
                <w:spacing w:val="54"/>
                <w:sz w:val="20"/>
              </w:rPr>
              <w:t> </w:t>
            </w:r>
            <w:r>
              <w:rPr>
                <w:spacing w:val="-2"/>
                <w:sz w:val="20"/>
              </w:rPr>
              <w:t>A16.12.056.002,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A16.12.057,</w:t>
            </w:r>
            <w:r>
              <w:rPr>
                <w:spacing w:val="-9"/>
                <w:sz w:val="20"/>
              </w:rPr>
              <w:t> </w:t>
            </w:r>
            <w:r>
              <w:rPr>
                <w:sz w:val="20"/>
              </w:rPr>
              <w:t>A16.12.059,</w:t>
            </w:r>
            <w:r>
              <w:rPr>
                <w:spacing w:val="-10"/>
                <w:sz w:val="20"/>
              </w:rPr>
              <w:t> </w:t>
            </w:r>
            <w:r>
              <w:rPr>
                <w:spacing w:val="-2"/>
                <w:sz w:val="20"/>
              </w:rPr>
              <w:t>A16.12.060,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9" w:right="644"/>
              <w:jc w:val="center"/>
              <w:rPr>
                <w:sz w:val="20"/>
              </w:rPr>
            </w:pPr>
            <w:r>
              <w:rPr>
                <w:sz w:val="20"/>
              </w:rPr>
              <w:t>A16.12.061,</w:t>
            </w:r>
            <w:r>
              <w:rPr>
                <w:spacing w:val="-8"/>
                <w:sz w:val="20"/>
              </w:rPr>
              <w:t> </w:t>
            </w:r>
            <w:r>
              <w:rPr>
                <w:spacing w:val="-2"/>
                <w:sz w:val="20"/>
              </w:rPr>
              <w:t>A16.12.061.001,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26" w:lineRule="exact"/>
              <w:ind w:left="1148" w:right="644"/>
              <w:jc w:val="center"/>
              <w:rPr>
                <w:sz w:val="20"/>
              </w:rPr>
            </w:pPr>
            <w:r>
              <w:rPr>
                <w:sz w:val="20"/>
              </w:rPr>
              <w:t>A16.12.062,</w:t>
            </w:r>
            <w:r>
              <w:rPr>
                <w:spacing w:val="-9"/>
                <w:sz w:val="20"/>
              </w:rPr>
              <w:t> </w:t>
            </w:r>
            <w:r>
              <w:rPr>
                <w:spacing w:val="-2"/>
                <w:sz w:val="20"/>
              </w:rPr>
              <w:t>A16.12.070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st25.011</w:t>
            </w:r>
          </w:p>
        </w:tc>
        <w:tc>
          <w:tcPr>
            <w:tcW w:w="707" w:type="dxa"/>
          </w:tcPr>
          <w:p>
            <w:pPr>
              <w:pStyle w:val="TableParagraph"/>
              <w:spacing w:line="215" w:lineRule="exact" w:before="46"/>
              <w:ind w:left="210"/>
              <w:rPr>
                <w:sz w:val="20"/>
              </w:rPr>
            </w:pPr>
            <w:r>
              <w:rPr>
                <w:spacing w:val="-5"/>
                <w:sz w:val="20"/>
              </w:rPr>
              <w:t>247</w:t>
            </w:r>
          </w:p>
        </w:tc>
        <w:tc>
          <w:tcPr>
            <w:tcW w:w="3346"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2560" w:type="dxa"/>
          </w:tcPr>
          <w:p>
            <w:pPr>
              <w:pStyle w:val="TableParagraph"/>
              <w:spacing w:line="215" w:lineRule="exact" w:before="46"/>
              <w:ind w:left="186"/>
              <w:jc w:val="center"/>
              <w:rPr>
                <w:sz w:val="20"/>
              </w:rPr>
            </w:pPr>
            <w:r>
              <w:rPr>
                <w:w w:val="99"/>
                <w:sz w:val="20"/>
              </w:rPr>
              <w:t>-</w:t>
            </w:r>
          </w:p>
        </w:tc>
        <w:tc>
          <w:tcPr>
            <w:tcW w:w="4881" w:type="dxa"/>
          </w:tcPr>
          <w:p>
            <w:pPr>
              <w:pStyle w:val="TableParagraph"/>
              <w:spacing w:line="215" w:lineRule="exact" w:before="46"/>
              <w:ind w:left="1148" w:right="644"/>
              <w:jc w:val="center"/>
              <w:rPr>
                <w:sz w:val="20"/>
              </w:rPr>
            </w:pPr>
            <w:r>
              <w:rPr>
                <w:sz w:val="20"/>
              </w:rPr>
              <w:t>A16.12.008,</w:t>
            </w:r>
            <w:r>
              <w:rPr>
                <w:spacing w:val="-9"/>
                <w:sz w:val="20"/>
              </w:rPr>
              <w:t> </w:t>
            </w:r>
            <w:r>
              <w:rPr>
                <w:spacing w:val="-2"/>
                <w:sz w:val="20"/>
              </w:rPr>
              <w:t>A16.12.008.001,</w:t>
            </w:r>
          </w:p>
        </w:tc>
        <w:tc>
          <w:tcPr>
            <w:tcW w:w="1574" w:type="dxa"/>
          </w:tcPr>
          <w:p>
            <w:pPr>
              <w:pStyle w:val="TableParagraph"/>
              <w:spacing w:line="215" w:lineRule="exact" w:before="46"/>
              <w:ind w:right="212"/>
              <w:jc w:val="center"/>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6,08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spacing w:line="210" w:lineRule="exact"/>
              <w:ind w:left="192"/>
              <w:rPr>
                <w:sz w:val="20"/>
              </w:rPr>
            </w:pPr>
            <w:r>
              <w:rPr>
                <w:sz w:val="20"/>
              </w:rPr>
              <w:t>(уровень</w:t>
            </w:r>
            <w:r>
              <w:rPr>
                <w:spacing w:val="-11"/>
                <w:sz w:val="20"/>
              </w:rPr>
              <w:t> </w:t>
            </w:r>
            <w:r>
              <w:rPr>
                <w:spacing w:val="-5"/>
                <w:sz w:val="20"/>
              </w:rPr>
              <w:t>4)</w:t>
            </w: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A16.12.008.002,</w:t>
            </w:r>
            <w:r>
              <w:rPr>
                <w:spacing w:val="54"/>
                <w:sz w:val="20"/>
              </w:rPr>
              <w:t> </w:t>
            </w:r>
            <w:r>
              <w:rPr>
                <w:spacing w:val="-2"/>
                <w:sz w:val="20"/>
              </w:rPr>
              <w:t>A16.12.026.001,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A16.12.026.002,</w:t>
            </w:r>
            <w:r>
              <w:rPr>
                <w:spacing w:val="54"/>
                <w:sz w:val="20"/>
              </w:rPr>
              <w:t> </w:t>
            </w:r>
            <w:r>
              <w:rPr>
                <w:spacing w:val="-2"/>
                <w:sz w:val="20"/>
              </w:rPr>
              <w:t>A16.12.026.009,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A16.12.026.010,</w:t>
            </w:r>
            <w:r>
              <w:rPr>
                <w:spacing w:val="54"/>
                <w:sz w:val="20"/>
              </w:rPr>
              <w:t> </w:t>
            </w:r>
            <w:r>
              <w:rPr>
                <w:spacing w:val="-2"/>
                <w:sz w:val="20"/>
              </w:rPr>
              <w:t>A16.12.026.018,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A16.12.026.024,</w:t>
            </w:r>
            <w:r>
              <w:rPr>
                <w:spacing w:val="54"/>
                <w:sz w:val="20"/>
              </w:rPr>
              <w:t> </w:t>
            </w:r>
            <w:r>
              <w:rPr>
                <w:spacing w:val="-2"/>
                <w:sz w:val="20"/>
              </w:rPr>
              <w:t>A16.12.028.018,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A16.12.032,</w:t>
            </w:r>
            <w:r>
              <w:rPr>
                <w:spacing w:val="-9"/>
                <w:sz w:val="20"/>
              </w:rPr>
              <w:t> </w:t>
            </w:r>
            <w:r>
              <w:rPr>
                <w:sz w:val="20"/>
              </w:rPr>
              <w:t>A16.12.037,</w:t>
            </w:r>
            <w:r>
              <w:rPr>
                <w:spacing w:val="-10"/>
                <w:sz w:val="20"/>
              </w:rPr>
              <w:t> </w:t>
            </w:r>
            <w:r>
              <w:rPr>
                <w:spacing w:val="-2"/>
                <w:sz w:val="20"/>
              </w:rPr>
              <w:t>A16.12.065,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A16.12.071,</w:t>
            </w:r>
            <w:r>
              <w:rPr>
                <w:spacing w:val="-9"/>
                <w:sz w:val="20"/>
              </w:rPr>
              <w:t> </w:t>
            </w:r>
            <w:r>
              <w:rPr>
                <w:spacing w:val="-2"/>
                <w:sz w:val="20"/>
              </w:rPr>
              <w:t>A16.23.034.011,</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05" w:lineRule="exact"/>
              <w:ind w:left="1149" w:right="644"/>
              <w:jc w:val="center"/>
              <w:rPr>
                <w:sz w:val="20"/>
              </w:rPr>
            </w:pPr>
            <w:r>
              <w:rPr>
                <w:spacing w:val="-2"/>
                <w:sz w:val="20"/>
              </w:rPr>
              <w:t>A16.23.034.012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28"/>
        <w:gridCol w:w="4557"/>
        <w:gridCol w:w="3222"/>
        <w:gridCol w:w="2646"/>
        <w:gridCol w:w="767"/>
      </w:tblGrid>
      <w:tr>
        <w:trPr>
          <w:trHeight w:val="225" w:hRule="atLeast"/>
        </w:trPr>
        <w:tc>
          <w:tcPr>
            <w:tcW w:w="946" w:type="dxa"/>
          </w:tcPr>
          <w:p>
            <w:pPr>
              <w:pStyle w:val="TableParagraph"/>
              <w:spacing w:line="205" w:lineRule="exact"/>
              <w:ind w:left="39" w:right="198"/>
              <w:jc w:val="center"/>
              <w:rPr>
                <w:sz w:val="20"/>
              </w:rPr>
            </w:pPr>
            <w:r>
              <w:rPr>
                <w:spacing w:val="-2"/>
                <w:sz w:val="20"/>
              </w:rPr>
              <w:t>st25.012</w:t>
            </w:r>
          </w:p>
        </w:tc>
        <w:tc>
          <w:tcPr>
            <w:tcW w:w="707" w:type="dxa"/>
          </w:tcPr>
          <w:p>
            <w:pPr>
              <w:pStyle w:val="TableParagraph"/>
              <w:spacing w:line="205" w:lineRule="exact"/>
              <w:ind w:left="210"/>
              <w:rPr>
                <w:sz w:val="20"/>
              </w:rPr>
            </w:pPr>
            <w:r>
              <w:rPr>
                <w:spacing w:val="-5"/>
                <w:sz w:val="20"/>
              </w:rPr>
              <w:t>248</w:t>
            </w:r>
          </w:p>
        </w:tc>
        <w:tc>
          <w:tcPr>
            <w:tcW w:w="2428" w:type="dxa"/>
          </w:tcPr>
          <w:p>
            <w:pPr>
              <w:pStyle w:val="TableParagraph"/>
              <w:spacing w:line="205" w:lineRule="exact"/>
              <w:ind w:left="192"/>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4557" w:type="dxa"/>
          </w:tcPr>
          <w:p>
            <w:pPr>
              <w:pStyle w:val="TableParagraph"/>
              <w:spacing w:line="205" w:lineRule="exact"/>
              <w:ind w:left="25"/>
              <w:jc w:val="center"/>
              <w:rPr>
                <w:sz w:val="20"/>
              </w:rPr>
            </w:pPr>
            <w:r>
              <w:rPr>
                <w:w w:val="99"/>
                <w:sz w:val="20"/>
              </w:rPr>
              <w:t>-</w:t>
            </w:r>
          </w:p>
        </w:tc>
        <w:tc>
          <w:tcPr>
            <w:tcW w:w="3222" w:type="dxa"/>
          </w:tcPr>
          <w:p>
            <w:pPr>
              <w:pStyle w:val="TableParagraph"/>
              <w:spacing w:line="205" w:lineRule="exact"/>
              <w:ind w:left="245" w:right="241"/>
              <w:jc w:val="center"/>
              <w:rPr>
                <w:sz w:val="20"/>
              </w:rPr>
            </w:pPr>
            <w:r>
              <w:rPr>
                <w:w w:val="95"/>
                <w:sz w:val="20"/>
              </w:rPr>
              <w:t>A16.12.026.003,</w:t>
            </w:r>
            <w:r>
              <w:rPr>
                <w:spacing w:val="54"/>
                <w:sz w:val="20"/>
              </w:rPr>
              <w:t> </w:t>
            </w:r>
            <w:r>
              <w:rPr>
                <w:spacing w:val="-2"/>
                <w:sz w:val="20"/>
              </w:rPr>
              <w:t>A16.12.026.004,</w:t>
            </w:r>
          </w:p>
        </w:tc>
        <w:tc>
          <w:tcPr>
            <w:tcW w:w="2646" w:type="dxa"/>
          </w:tcPr>
          <w:p>
            <w:pPr>
              <w:pStyle w:val="TableParagraph"/>
              <w:spacing w:line="205" w:lineRule="exact"/>
              <w:ind w:right="124"/>
              <w:jc w:val="center"/>
              <w:rPr>
                <w:sz w:val="20"/>
              </w:rPr>
            </w:pPr>
            <w:r>
              <w:rPr>
                <w:w w:val="99"/>
                <w:sz w:val="20"/>
              </w:rPr>
              <w:t>-</w:t>
            </w:r>
          </w:p>
        </w:tc>
        <w:tc>
          <w:tcPr>
            <w:tcW w:w="767" w:type="dxa"/>
          </w:tcPr>
          <w:p>
            <w:pPr>
              <w:pStyle w:val="TableParagraph"/>
              <w:spacing w:line="205" w:lineRule="exact"/>
              <w:ind w:right="47"/>
              <w:jc w:val="right"/>
              <w:rPr>
                <w:sz w:val="20"/>
              </w:rPr>
            </w:pPr>
            <w:r>
              <w:rPr>
                <w:spacing w:val="-4"/>
                <w:sz w:val="20"/>
              </w:rPr>
              <w:t>7,12</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09" w:lineRule="exact"/>
              <w:ind w:left="192"/>
              <w:rPr>
                <w:sz w:val="20"/>
              </w:rPr>
            </w:pPr>
            <w:r>
              <w:rPr>
                <w:sz w:val="20"/>
              </w:rPr>
              <w:t>(уровень</w:t>
            </w:r>
            <w:r>
              <w:rPr>
                <w:spacing w:val="-11"/>
                <w:sz w:val="20"/>
              </w:rPr>
              <w:t> </w:t>
            </w:r>
            <w:r>
              <w:rPr>
                <w:spacing w:val="-5"/>
                <w:sz w:val="20"/>
              </w:rPr>
              <w:t>5)</w:t>
            </w:r>
          </w:p>
        </w:tc>
        <w:tc>
          <w:tcPr>
            <w:tcW w:w="4557" w:type="dxa"/>
          </w:tcPr>
          <w:p>
            <w:pPr>
              <w:pStyle w:val="TableParagraph"/>
              <w:rPr>
                <w:sz w:val="16"/>
              </w:rPr>
            </w:pPr>
          </w:p>
        </w:tc>
        <w:tc>
          <w:tcPr>
            <w:tcW w:w="3222" w:type="dxa"/>
          </w:tcPr>
          <w:p>
            <w:pPr>
              <w:pStyle w:val="TableParagraph"/>
              <w:spacing w:line="209" w:lineRule="exact"/>
              <w:ind w:left="245" w:right="240"/>
              <w:jc w:val="center"/>
              <w:rPr>
                <w:sz w:val="20"/>
              </w:rPr>
            </w:pPr>
            <w:r>
              <w:rPr>
                <w:sz w:val="20"/>
              </w:rPr>
              <w:t>A16.12.028,</w:t>
            </w:r>
            <w:r>
              <w:rPr>
                <w:spacing w:val="-9"/>
                <w:sz w:val="20"/>
              </w:rPr>
              <w:t> </w:t>
            </w:r>
            <w:r>
              <w:rPr>
                <w:spacing w:val="-2"/>
                <w:sz w:val="20"/>
              </w:rPr>
              <w:t>A16.12.028.001,</w:t>
            </w: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09" w:lineRule="exact"/>
              <w:ind w:left="245" w:right="240"/>
              <w:jc w:val="center"/>
              <w:rPr>
                <w:sz w:val="20"/>
              </w:rPr>
            </w:pPr>
            <w:r>
              <w:rPr>
                <w:w w:val="95"/>
                <w:sz w:val="20"/>
              </w:rPr>
              <w:t>A16.12.028.002,</w:t>
            </w:r>
            <w:r>
              <w:rPr>
                <w:spacing w:val="54"/>
                <w:sz w:val="20"/>
              </w:rPr>
              <w:t> </w:t>
            </w:r>
            <w:r>
              <w:rPr>
                <w:spacing w:val="-2"/>
                <w:sz w:val="20"/>
              </w:rPr>
              <w:t>A16.12.041,</w:t>
            </w: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10" w:lineRule="exact"/>
              <w:ind w:left="245" w:right="241"/>
              <w:jc w:val="center"/>
              <w:rPr>
                <w:sz w:val="20"/>
              </w:rPr>
            </w:pPr>
            <w:r>
              <w:rPr>
                <w:w w:val="95"/>
                <w:sz w:val="20"/>
              </w:rPr>
              <w:t>A16.12.041.001,</w:t>
            </w:r>
            <w:r>
              <w:rPr>
                <w:spacing w:val="54"/>
                <w:sz w:val="20"/>
              </w:rPr>
              <w:t> </w:t>
            </w:r>
            <w:r>
              <w:rPr>
                <w:spacing w:val="-2"/>
                <w:sz w:val="20"/>
              </w:rPr>
              <w:t>A16.12.041.002,</w:t>
            </w: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10" w:lineRule="exact"/>
              <w:ind w:left="245" w:right="240"/>
              <w:jc w:val="center"/>
              <w:rPr>
                <w:sz w:val="20"/>
              </w:rPr>
            </w:pPr>
            <w:r>
              <w:rPr>
                <w:w w:val="95"/>
                <w:sz w:val="20"/>
              </w:rPr>
              <w:t>A16.12.041.006,</w:t>
            </w:r>
            <w:r>
              <w:rPr>
                <w:spacing w:val="54"/>
                <w:sz w:val="20"/>
              </w:rPr>
              <w:t> </w:t>
            </w:r>
            <w:r>
              <w:rPr>
                <w:spacing w:val="-2"/>
                <w:sz w:val="20"/>
              </w:rPr>
              <w:t>A16.12.051,</w:t>
            </w: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10" w:lineRule="exact"/>
              <w:ind w:left="245" w:right="241"/>
              <w:jc w:val="center"/>
              <w:rPr>
                <w:sz w:val="20"/>
              </w:rPr>
            </w:pPr>
            <w:r>
              <w:rPr>
                <w:w w:val="95"/>
                <w:sz w:val="20"/>
              </w:rPr>
              <w:t>A16.12.051.001,</w:t>
            </w:r>
            <w:r>
              <w:rPr>
                <w:spacing w:val="54"/>
                <w:sz w:val="20"/>
              </w:rPr>
              <w:t> </w:t>
            </w:r>
            <w:r>
              <w:rPr>
                <w:spacing w:val="-2"/>
                <w:sz w:val="20"/>
              </w:rPr>
              <w:t>A16.12.051.002,</w:t>
            </w:r>
          </w:p>
        </w:tc>
        <w:tc>
          <w:tcPr>
            <w:tcW w:w="2646" w:type="dxa"/>
          </w:tcPr>
          <w:p>
            <w:pPr>
              <w:pStyle w:val="TableParagraph"/>
              <w:rPr>
                <w:sz w:val="16"/>
              </w:rPr>
            </w:pPr>
          </w:p>
        </w:tc>
        <w:tc>
          <w:tcPr>
            <w:tcW w:w="767"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8" w:type="dxa"/>
          </w:tcPr>
          <w:p>
            <w:pPr>
              <w:pStyle w:val="TableParagraph"/>
              <w:rPr>
                <w:sz w:val="18"/>
              </w:rPr>
            </w:pPr>
          </w:p>
        </w:tc>
        <w:tc>
          <w:tcPr>
            <w:tcW w:w="4557" w:type="dxa"/>
          </w:tcPr>
          <w:p>
            <w:pPr>
              <w:pStyle w:val="TableParagraph"/>
              <w:rPr>
                <w:sz w:val="18"/>
              </w:rPr>
            </w:pPr>
          </w:p>
        </w:tc>
        <w:tc>
          <w:tcPr>
            <w:tcW w:w="3222" w:type="dxa"/>
          </w:tcPr>
          <w:p>
            <w:pPr>
              <w:pStyle w:val="TableParagraph"/>
              <w:spacing w:line="226" w:lineRule="exact"/>
              <w:ind w:left="245" w:right="241"/>
              <w:jc w:val="center"/>
              <w:rPr>
                <w:sz w:val="20"/>
              </w:rPr>
            </w:pPr>
            <w:r>
              <w:rPr>
                <w:sz w:val="20"/>
              </w:rPr>
              <w:t>A16.12.077,</w:t>
            </w:r>
            <w:r>
              <w:rPr>
                <w:spacing w:val="-9"/>
                <w:sz w:val="20"/>
              </w:rPr>
              <w:t> </w:t>
            </w:r>
            <w:r>
              <w:rPr>
                <w:spacing w:val="-2"/>
                <w:sz w:val="20"/>
              </w:rPr>
              <w:t>A16.23.034.013</w:t>
            </w:r>
          </w:p>
        </w:tc>
        <w:tc>
          <w:tcPr>
            <w:tcW w:w="2646" w:type="dxa"/>
          </w:tcPr>
          <w:p>
            <w:pPr>
              <w:pStyle w:val="TableParagraph"/>
              <w:rPr>
                <w:sz w:val="18"/>
              </w:rPr>
            </w:pPr>
          </w:p>
        </w:tc>
        <w:tc>
          <w:tcPr>
            <w:tcW w:w="767"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st26</w:t>
            </w:r>
          </w:p>
        </w:tc>
        <w:tc>
          <w:tcPr>
            <w:tcW w:w="707" w:type="dxa"/>
          </w:tcPr>
          <w:p>
            <w:pPr>
              <w:pStyle w:val="TableParagraph"/>
              <w:spacing w:before="45"/>
              <w:ind w:left="261"/>
              <w:rPr>
                <w:sz w:val="20"/>
              </w:rPr>
            </w:pPr>
            <w:r>
              <w:rPr>
                <w:spacing w:val="-5"/>
                <w:sz w:val="20"/>
              </w:rPr>
              <w:t>26</w:t>
            </w:r>
          </w:p>
        </w:tc>
        <w:tc>
          <w:tcPr>
            <w:tcW w:w="2428" w:type="dxa"/>
          </w:tcPr>
          <w:p>
            <w:pPr>
              <w:pStyle w:val="TableParagraph"/>
              <w:rPr>
                <w:sz w:val="18"/>
              </w:rPr>
            </w:pPr>
          </w:p>
        </w:tc>
        <w:tc>
          <w:tcPr>
            <w:tcW w:w="7779" w:type="dxa"/>
            <w:gridSpan w:val="2"/>
          </w:tcPr>
          <w:p>
            <w:pPr>
              <w:pStyle w:val="TableParagraph"/>
              <w:spacing w:before="45"/>
              <w:ind w:left="2960" w:right="2907"/>
              <w:jc w:val="center"/>
              <w:rPr>
                <w:sz w:val="20"/>
              </w:rPr>
            </w:pPr>
            <w:r>
              <w:rPr>
                <w:w w:val="95"/>
                <w:sz w:val="20"/>
              </w:rPr>
              <w:t>Стоматология</w:t>
            </w:r>
            <w:r>
              <w:rPr>
                <w:spacing w:val="47"/>
                <w:sz w:val="20"/>
              </w:rPr>
              <w:t> </w:t>
            </w:r>
            <w:r>
              <w:rPr>
                <w:spacing w:val="-2"/>
                <w:sz w:val="20"/>
              </w:rPr>
              <w:t>детская</w:t>
            </w:r>
          </w:p>
        </w:tc>
        <w:tc>
          <w:tcPr>
            <w:tcW w:w="2646" w:type="dxa"/>
          </w:tcPr>
          <w:p>
            <w:pPr>
              <w:pStyle w:val="TableParagraph"/>
              <w:rPr>
                <w:sz w:val="18"/>
              </w:rPr>
            </w:pPr>
          </w:p>
        </w:tc>
        <w:tc>
          <w:tcPr>
            <w:tcW w:w="767" w:type="dxa"/>
          </w:tcPr>
          <w:p>
            <w:pPr>
              <w:pStyle w:val="TableParagraph"/>
              <w:spacing w:before="45"/>
              <w:ind w:right="47"/>
              <w:jc w:val="right"/>
              <w:rPr>
                <w:sz w:val="20"/>
              </w:rPr>
            </w:pPr>
            <w:r>
              <w:rPr>
                <w:spacing w:val="-4"/>
                <w:sz w:val="20"/>
              </w:rPr>
              <w:t>0,79</w:t>
            </w: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st26.001</w:t>
            </w:r>
          </w:p>
        </w:tc>
        <w:tc>
          <w:tcPr>
            <w:tcW w:w="707" w:type="dxa"/>
          </w:tcPr>
          <w:p>
            <w:pPr>
              <w:pStyle w:val="TableParagraph"/>
              <w:spacing w:line="215" w:lineRule="exact" w:before="46"/>
              <w:ind w:left="210"/>
              <w:rPr>
                <w:sz w:val="20"/>
              </w:rPr>
            </w:pPr>
            <w:r>
              <w:rPr>
                <w:spacing w:val="-5"/>
                <w:sz w:val="20"/>
              </w:rPr>
              <w:t>249</w:t>
            </w:r>
          </w:p>
        </w:tc>
        <w:tc>
          <w:tcPr>
            <w:tcW w:w="2428" w:type="dxa"/>
          </w:tcPr>
          <w:p>
            <w:pPr>
              <w:pStyle w:val="TableParagraph"/>
              <w:spacing w:line="215" w:lineRule="exact" w:before="46"/>
              <w:ind w:left="192"/>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4557" w:type="dxa"/>
          </w:tcPr>
          <w:p>
            <w:pPr>
              <w:pStyle w:val="TableParagraph"/>
              <w:spacing w:line="215" w:lineRule="exact" w:before="46"/>
              <w:ind w:right="321"/>
              <w:jc w:val="right"/>
              <w:rPr>
                <w:sz w:val="20"/>
              </w:rPr>
            </w:pPr>
            <w:r>
              <w:rPr>
                <w:sz w:val="20"/>
              </w:rPr>
              <w:t>I86.0,</w:t>
            </w:r>
            <w:r>
              <w:rPr>
                <w:spacing w:val="-5"/>
                <w:sz w:val="20"/>
              </w:rPr>
              <w:t> </w:t>
            </w:r>
            <w:r>
              <w:rPr>
                <w:sz w:val="20"/>
              </w:rPr>
              <w:t>K00,</w:t>
            </w:r>
            <w:r>
              <w:rPr>
                <w:spacing w:val="-5"/>
                <w:sz w:val="20"/>
              </w:rPr>
              <w:t> </w:t>
            </w:r>
            <w:r>
              <w:rPr>
                <w:sz w:val="20"/>
              </w:rPr>
              <w:t>K00.0,</w:t>
            </w:r>
            <w:r>
              <w:rPr>
                <w:spacing w:val="-4"/>
                <w:sz w:val="20"/>
              </w:rPr>
              <w:t> </w:t>
            </w:r>
            <w:r>
              <w:rPr>
                <w:sz w:val="20"/>
              </w:rPr>
              <w:t>K00.1,</w:t>
            </w:r>
            <w:r>
              <w:rPr>
                <w:spacing w:val="-4"/>
                <w:sz w:val="20"/>
              </w:rPr>
              <w:t> </w:t>
            </w:r>
            <w:r>
              <w:rPr>
                <w:sz w:val="20"/>
              </w:rPr>
              <w:t>K00.2, K00.3,</w:t>
            </w:r>
            <w:r>
              <w:rPr>
                <w:spacing w:val="-4"/>
                <w:sz w:val="20"/>
              </w:rPr>
              <w:t> </w:t>
            </w:r>
            <w:r>
              <w:rPr>
                <w:spacing w:val="-2"/>
                <w:sz w:val="20"/>
              </w:rPr>
              <w:t>K00.4,</w:t>
            </w:r>
          </w:p>
        </w:tc>
        <w:tc>
          <w:tcPr>
            <w:tcW w:w="3222" w:type="dxa"/>
          </w:tcPr>
          <w:p>
            <w:pPr>
              <w:pStyle w:val="TableParagraph"/>
              <w:spacing w:line="215" w:lineRule="exact" w:before="46"/>
              <w:ind w:left="8"/>
              <w:jc w:val="center"/>
              <w:rPr>
                <w:sz w:val="20"/>
              </w:rPr>
            </w:pPr>
            <w:r>
              <w:rPr>
                <w:w w:val="99"/>
                <w:sz w:val="20"/>
              </w:rPr>
              <w:t>-</w:t>
            </w:r>
          </w:p>
        </w:tc>
        <w:tc>
          <w:tcPr>
            <w:tcW w:w="2646" w:type="dxa"/>
          </w:tcPr>
          <w:p>
            <w:pPr>
              <w:pStyle w:val="TableParagraph"/>
              <w:spacing w:line="215" w:lineRule="exact" w:before="46"/>
              <w:ind w:left="235" w:right="359"/>
              <w:jc w:val="center"/>
              <w:rPr>
                <w:sz w:val="20"/>
              </w:rPr>
            </w:pPr>
            <w:r>
              <w:rPr>
                <w:sz w:val="20"/>
              </w:rPr>
              <w:t>Возрастная</w:t>
            </w:r>
            <w:r>
              <w:rPr>
                <w:spacing w:val="-8"/>
                <w:sz w:val="20"/>
              </w:rPr>
              <w:t> </w:t>
            </w:r>
            <w:r>
              <w:rPr>
                <w:sz w:val="20"/>
              </w:rPr>
              <w:t>группа:</w:t>
            </w:r>
            <w:r>
              <w:rPr>
                <w:spacing w:val="-7"/>
                <w:sz w:val="20"/>
              </w:rPr>
              <w:t> </w:t>
            </w:r>
            <w:r>
              <w:rPr>
                <w:sz w:val="20"/>
              </w:rPr>
              <w:t>от</w:t>
            </w:r>
            <w:r>
              <w:rPr>
                <w:spacing w:val="-7"/>
                <w:sz w:val="20"/>
              </w:rPr>
              <w:t> </w:t>
            </w:r>
            <w:r>
              <w:rPr>
                <w:spacing w:val="-10"/>
                <w:sz w:val="20"/>
              </w:rPr>
              <w:t>0</w:t>
            </w:r>
          </w:p>
        </w:tc>
        <w:tc>
          <w:tcPr>
            <w:tcW w:w="767" w:type="dxa"/>
          </w:tcPr>
          <w:p>
            <w:pPr>
              <w:pStyle w:val="TableParagraph"/>
              <w:spacing w:line="215" w:lineRule="exact" w:before="46"/>
              <w:ind w:right="47"/>
              <w:jc w:val="right"/>
              <w:rPr>
                <w:sz w:val="20"/>
              </w:rPr>
            </w:pPr>
            <w:r>
              <w:rPr>
                <w:spacing w:val="-4"/>
                <w:sz w:val="20"/>
              </w:rPr>
              <w:t>0,79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09" w:lineRule="exact"/>
              <w:ind w:left="192"/>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4557" w:type="dxa"/>
          </w:tcPr>
          <w:p>
            <w:pPr>
              <w:pStyle w:val="TableParagraph"/>
              <w:spacing w:line="209" w:lineRule="exact"/>
              <w:ind w:right="287"/>
              <w:jc w:val="right"/>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4"/>
                <w:sz w:val="20"/>
              </w:rPr>
              <w:t> </w:t>
            </w:r>
            <w:r>
              <w:rPr>
                <w:sz w:val="20"/>
              </w:rPr>
              <w:t>K01,</w:t>
            </w:r>
            <w:r>
              <w:rPr>
                <w:spacing w:val="-4"/>
                <w:sz w:val="20"/>
              </w:rPr>
              <w:t> </w:t>
            </w:r>
            <w:r>
              <w:rPr>
                <w:spacing w:val="-2"/>
                <w:sz w:val="20"/>
              </w:rPr>
              <w:t>K01.0,</w:t>
            </w:r>
          </w:p>
        </w:tc>
        <w:tc>
          <w:tcPr>
            <w:tcW w:w="3222" w:type="dxa"/>
          </w:tcPr>
          <w:p>
            <w:pPr>
              <w:pStyle w:val="TableParagraph"/>
              <w:rPr>
                <w:sz w:val="16"/>
              </w:rPr>
            </w:pPr>
          </w:p>
        </w:tc>
        <w:tc>
          <w:tcPr>
            <w:tcW w:w="2646" w:type="dxa"/>
          </w:tcPr>
          <w:p>
            <w:pPr>
              <w:pStyle w:val="TableParagraph"/>
              <w:spacing w:line="209" w:lineRule="exact"/>
              <w:ind w:left="232" w:right="359"/>
              <w:jc w:val="center"/>
              <w:rPr>
                <w:sz w:val="20"/>
              </w:rPr>
            </w:pPr>
            <w:r>
              <w:rPr>
                <w:sz w:val="20"/>
              </w:rPr>
              <w:t>дней</w:t>
            </w:r>
            <w:r>
              <w:rPr>
                <w:spacing w:val="-4"/>
                <w:sz w:val="20"/>
              </w:rPr>
              <w:t> </w:t>
            </w:r>
            <w:r>
              <w:rPr>
                <w:sz w:val="20"/>
              </w:rPr>
              <w:t>до</w:t>
            </w:r>
            <w:r>
              <w:rPr>
                <w:spacing w:val="-2"/>
                <w:sz w:val="20"/>
              </w:rPr>
              <w:t> </w:t>
            </w:r>
            <w:r>
              <w:rPr>
                <w:sz w:val="20"/>
              </w:rPr>
              <w:t>18</w:t>
            </w:r>
            <w:r>
              <w:rPr>
                <w:spacing w:val="-2"/>
                <w:sz w:val="20"/>
              </w:rPr>
              <w:t> </w:t>
            </w:r>
            <w:r>
              <w:rPr>
                <w:spacing w:val="-5"/>
                <w:sz w:val="20"/>
              </w:rPr>
              <w:t>лет</w:t>
            </w: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09" w:lineRule="exact"/>
              <w:ind w:left="192"/>
              <w:rPr>
                <w:sz w:val="20"/>
              </w:rPr>
            </w:pPr>
            <w:r>
              <w:rPr>
                <w:spacing w:val="-2"/>
                <w:sz w:val="20"/>
              </w:rPr>
              <w:t>челюстей,</w:t>
            </w:r>
            <w:r>
              <w:rPr>
                <w:spacing w:val="5"/>
                <w:sz w:val="20"/>
              </w:rPr>
              <w:t> </w:t>
            </w:r>
            <w:r>
              <w:rPr>
                <w:spacing w:val="-2"/>
                <w:sz w:val="20"/>
              </w:rPr>
              <w:t>врожденные</w:t>
            </w:r>
          </w:p>
        </w:tc>
        <w:tc>
          <w:tcPr>
            <w:tcW w:w="4557" w:type="dxa"/>
          </w:tcPr>
          <w:p>
            <w:pPr>
              <w:pStyle w:val="TableParagraph"/>
              <w:spacing w:line="209" w:lineRule="exact"/>
              <w:ind w:right="288"/>
              <w:jc w:val="right"/>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10" w:lineRule="exact"/>
              <w:ind w:left="192"/>
              <w:rPr>
                <w:sz w:val="20"/>
              </w:rPr>
            </w:pPr>
            <w:r>
              <w:rPr>
                <w:sz w:val="20"/>
              </w:rPr>
              <w:t>аномалии</w:t>
            </w:r>
            <w:r>
              <w:rPr>
                <w:spacing w:val="-6"/>
                <w:sz w:val="20"/>
              </w:rPr>
              <w:t> </w:t>
            </w:r>
            <w:r>
              <w:rPr>
                <w:sz w:val="20"/>
              </w:rPr>
              <w:t>лица</w:t>
            </w:r>
            <w:r>
              <w:rPr>
                <w:spacing w:val="-3"/>
                <w:sz w:val="20"/>
              </w:rPr>
              <w:t> </w:t>
            </w:r>
            <w:r>
              <w:rPr>
                <w:sz w:val="20"/>
              </w:rPr>
              <w:t>и</w:t>
            </w:r>
            <w:r>
              <w:rPr>
                <w:spacing w:val="-6"/>
                <w:sz w:val="20"/>
              </w:rPr>
              <w:t> </w:t>
            </w:r>
            <w:r>
              <w:rPr>
                <w:spacing w:val="-4"/>
                <w:sz w:val="20"/>
              </w:rPr>
              <w:t>шеи,</w:t>
            </w:r>
          </w:p>
        </w:tc>
        <w:tc>
          <w:tcPr>
            <w:tcW w:w="4557" w:type="dxa"/>
          </w:tcPr>
          <w:p>
            <w:pPr>
              <w:pStyle w:val="TableParagraph"/>
              <w:spacing w:line="210" w:lineRule="exact"/>
              <w:ind w:right="287"/>
              <w:jc w:val="right"/>
              <w:rPr>
                <w:sz w:val="20"/>
              </w:rPr>
            </w:pPr>
            <w:r>
              <w:rPr>
                <w:sz w:val="20"/>
              </w:rPr>
              <w:t>K02.5,</w:t>
            </w:r>
            <w:r>
              <w:rPr>
                <w:spacing w:val="-6"/>
                <w:sz w:val="20"/>
              </w:rPr>
              <w:t> </w:t>
            </w:r>
            <w:r>
              <w:rPr>
                <w:sz w:val="20"/>
              </w:rPr>
              <w:t>K02.8,</w:t>
            </w:r>
            <w:r>
              <w:rPr>
                <w:spacing w:val="-6"/>
                <w:sz w:val="20"/>
              </w:rPr>
              <w:t> </w:t>
            </w:r>
            <w:r>
              <w:rPr>
                <w:sz w:val="20"/>
              </w:rPr>
              <w:t>K02.9,</w:t>
            </w:r>
            <w:r>
              <w:rPr>
                <w:spacing w:val="-5"/>
                <w:sz w:val="20"/>
              </w:rPr>
              <w:t> </w:t>
            </w:r>
            <w:r>
              <w:rPr>
                <w:sz w:val="20"/>
              </w:rPr>
              <w:t>K03,</w:t>
            </w:r>
            <w:r>
              <w:rPr>
                <w:spacing w:val="-6"/>
                <w:sz w:val="20"/>
              </w:rPr>
              <w:t> </w:t>
            </w:r>
            <w:r>
              <w:rPr>
                <w:sz w:val="20"/>
              </w:rPr>
              <w:t>K03.0,</w:t>
            </w:r>
            <w:r>
              <w:rPr>
                <w:spacing w:val="-5"/>
                <w:sz w:val="20"/>
              </w:rPr>
              <w:t> </w:t>
            </w:r>
            <w:r>
              <w:rPr>
                <w:sz w:val="20"/>
              </w:rPr>
              <w:t>K03.1,</w:t>
            </w:r>
            <w:r>
              <w:rPr>
                <w:spacing w:val="-5"/>
                <w:sz w:val="20"/>
              </w:rPr>
              <w:t> </w:t>
            </w:r>
            <w:r>
              <w:rPr>
                <w:spacing w:val="-2"/>
                <w:sz w:val="20"/>
              </w:rPr>
              <w:t>K03.2,</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10" w:lineRule="exact"/>
              <w:ind w:left="192"/>
              <w:rPr>
                <w:sz w:val="20"/>
              </w:rPr>
            </w:pPr>
            <w:r>
              <w:rPr>
                <w:spacing w:val="-4"/>
                <w:sz w:val="20"/>
              </w:rPr>
              <w:t>дети</w:t>
            </w:r>
          </w:p>
        </w:tc>
        <w:tc>
          <w:tcPr>
            <w:tcW w:w="4557" w:type="dxa"/>
          </w:tcPr>
          <w:p>
            <w:pPr>
              <w:pStyle w:val="TableParagraph"/>
              <w:spacing w:line="210" w:lineRule="exact"/>
              <w:ind w:left="532"/>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8"/>
              <w:jc w:val="right"/>
              <w:rPr>
                <w:sz w:val="20"/>
              </w:rPr>
            </w:pPr>
            <w:r>
              <w:rPr>
                <w:sz w:val="20"/>
              </w:rPr>
              <w:t>K03.9,</w:t>
            </w:r>
            <w:r>
              <w:rPr>
                <w:spacing w:val="-6"/>
                <w:sz w:val="20"/>
              </w:rPr>
              <w:t> </w:t>
            </w:r>
            <w:r>
              <w:rPr>
                <w:sz w:val="20"/>
              </w:rPr>
              <w:t>K04,</w:t>
            </w:r>
            <w:r>
              <w:rPr>
                <w:spacing w:val="-6"/>
                <w:sz w:val="20"/>
              </w:rPr>
              <w:t> </w:t>
            </w:r>
            <w:r>
              <w:rPr>
                <w:sz w:val="20"/>
              </w:rPr>
              <w:t>K04.0,</w:t>
            </w:r>
            <w:r>
              <w:rPr>
                <w:spacing w:val="-5"/>
                <w:sz w:val="20"/>
              </w:rPr>
              <w:t> </w:t>
            </w:r>
            <w:r>
              <w:rPr>
                <w:sz w:val="20"/>
              </w:rPr>
              <w:t>K04.1,</w:t>
            </w:r>
            <w:r>
              <w:rPr>
                <w:spacing w:val="-6"/>
                <w:sz w:val="20"/>
              </w:rPr>
              <w:t> </w:t>
            </w:r>
            <w:r>
              <w:rPr>
                <w:sz w:val="20"/>
              </w:rPr>
              <w:t>K04.2,</w:t>
            </w:r>
            <w:r>
              <w:rPr>
                <w:spacing w:val="-5"/>
                <w:sz w:val="20"/>
              </w:rPr>
              <w:t> </w:t>
            </w:r>
            <w:r>
              <w:rPr>
                <w:sz w:val="20"/>
              </w:rPr>
              <w:t>K04.3,</w:t>
            </w:r>
            <w:r>
              <w:rPr>
                <w:spacing w:val="-6"/>
                <w:sz w:val="20"/>
              </w:rPr>
              <w:t> </w:t>
            </w:r>
            <w:r>
              <w:rPr>
                <w:spacing w:val="-2"/>
                <w:sz w:val="20"/>
              </w:rPr>
              <w:t>K04.4,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5"/>
              <w:jc w:val="right"/>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5"/>
                <w:sz w:val="20"/>
              </w:rPr>
              <w:t> </w:t>
            </w:r>
            <w:r>
              <w:rPr>
                <w:sz w:val="20"/>
              </w:rPr>
              <w:t>K04.9,</w:t>
            </w:r>
            <w:r>
              <w:rPr>
                <w:spacing w:val="-4"/>
                <w:sz w:val="20"/>
              </w:rPr>
              <w:t> </w:t>
            </w:r>
            <w:r>
              <w:rPr>
                <w:sz w:val="20"/>
              </w:rPr>
              <w:t>K05,</w:t>
            </w:r>
            <w:r>
              <w:rPr>
                <w:spacing w:val="-4"/>
                <w:sz w:val="20"/>
              </w:rPr>
              <w:t> </w:t>
            </w:r>
            <w:r>
              <w:rPr>
                <w:spacing w:val="-2"/>
                <w:sz w:val="20"/>
              </w:rPr>
              <w:t>K05.0,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7"/>
              <w:jc w:val="right"/>
              <w:rPr>
                <w:sz w:val="20"/>
              </w:rPr>
            </w:pPr>
            <w:r>
              <w:rPr>
                <w:sz w:val="20"/>
              </w:rPr>
              <w:t>K05.1,</w:t>
            </w:r>
            <w:r>
              <w:rPr>
                <w:spacing w:val="-5"/>
                <w:sz w:val="20"/>
              </w:rPr>
              <w:t> </w:t>
            </w:r>
            <w:r>
              <w:rPr>
                <w:sz w:val="20"/>
              </w:rPr>
              <w:t>K05.2,</w:t>
            </w:r>
            <w:r>
              <w:rPr>
                <w:spacing w:val="-5"/>
                <w:sz w:val="20"/>
              </w:rPr>
              <w:t> </w:t>
            </w:r>
            <w:r>
              <w:rPr>
                <w:sz w:val="20"/>
              </w:rPr>
              <w:t>K05.3,</w:t>
            </w:r>
            <w:r>
              <w:rPr>
                <w:spacing w:val="-4"/>
                <w:sz w:val="20"/>
              </w:rPr>
              <w:t> </w:t>
            </w:r>
            <w:r>
              <w:rPr>
                <w:sz w:val="20"/>
              </w:rPr>
              <w:t>K05.4,</w:t>
            </w:r>
            <w:r>
              <w:rPr>
                <w:spacing w:val="-6"/>
                <w:sz w:val="20"/>
              </w:rPr>
              <w:t> </w:t>
            </w:r>
            <w:r>
              <w:rPr>
                <w:sz w:val="20"/>
              </w:rPr>
              <w:t>K05.5,</w:t>
            </w:r>
            <w:r>
              <w:rPr>
                <w:spacing w:val="-4"/>
                <w:sz w:val="20"/>
              </w:rPr>
              <w:t> </w:t>
            </w:r>
            <w:r>
              <w:rPr>
                <w:sz w:val="20"/>
              </w:rPr>
              <w:t>K05.6,</w:t>
            </w:r>
            <w:r>
              <w:rPr>
                <w:spacing w:val="-6"/>
                <w:sz w:val="20"/>
              </w:rPr>
              <w:t> </w:t>
            </w:r>
            <w:r>
              <w:rPr>
                <w:spacing w:val="-4"/>
                <w:sz w:val="20"/>
              </w:rPr>
              <w:t>K06,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7"/>
              <w:jc w:val="right"/>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1" w:lineRule="exact"/>
              <w:ind w:left="532"/>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8"/>
              <w:jc w:val="right"/>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2"/>
              <w:jc w:val="right"/>
              <w:rPr>
                <w:sz w:val="20"/>
              </w:rPr>
            </w:pPr>
            <w:r>
              <w:rPr>
                <w:sz w:val="20"/>
              </w:rPr>
              <w:t>K08.8,</w:t>
            </w:r>
            <w:r>
              <w:rPr>
                <w:spacing w:val="-5"/>
                <w:sz w:val="20"/>
              </w:rPr>
              <w:t> </w:t>
            </w:r>
            <w:r>
              <w:rPr>
                <w:sz w:val="20"/>
              </w:rPr>
              <w:t>K08.9,</w:t>
            </w:r>
            <w:r>
              <w:rPr>
                <w:spacing w:val="-6"/>
                <w:sz w:val="20"/>
              </w:rPr>
              <w:t> </w:t>
            </w:r>
            <w:r>
              <w:rPr>
                <w:sz w:val="20"/>
              </w:rPr>
              <w:t>K09,</w:t>
            </w:r>
            <w:r>
              <w:rPr>
                <w:spacing w:val="-4"/>
                <w:sz w:val="20"/>
              </w:rPr>
              <w:t> </w:t>
            </w:r>
            <w:r>
              <w:rPr>
                <w:sz w:val="20"/>
              </w:rPr>
              <w:t>K09.0,</w:t>
            </w:r>
            <w:r>
              <w:rPr>
                <w:spacing w:val="-4"/>
                <w:sz w:val="20"/>
              </w:rPr>
              <w:t> </w:t>
            </w:r>
            <w:r>
              <w:rPr>
                <w:sz w:val="20"/>
              </w:rPr>
              <w:t>K09.1,</w:t>
            </w:r>
            <w:r>
              <w:rPr>
                <w:spacing w:val="-4"/>
                <w:sz w:val="20"/>
              </w:rPr>
              <w:t> </w:t>
            </w:r>
            <w:r>
              <w:rPr>
                <w:sz w:val="20"/>
              </w:rPr>
              <w:t>K09.2,</w:t>
            </w:r>
            <w:r>
              <w:rPr>
                <w:spacing w:val="-5"/>
                <w:sz w:val="20"/>
              </w:rPr>
              <w:t> </w:t>
            </w:r>
            <w:r>
              <w:rPr>
                <w:spacing w:val="-2"/>
                <w:sz w:val="20"/>
              </w:rPr>
              <w:t>K09.8,</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8"/>
              <w:jc w:val="right"/>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8"/>
              <w:jc w:val="right"/>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7"/>
              <w:jc w:val="right"/>
              <w:rPr>
                <w:sz w:val="20"/>
              </w:rPr>
            </w:pPr>
            <w:r>
              <w:rPr>
                <w:sz w:val="20"/>
              </w:rPr>
              <w:t>K11.5,</w:t>
            </w:r>
            <w:r>
              <w:rPr>
                <w:spacing w:val="-4"/>
                <w:sz w:val="20"/>
              </w:rPr>
              <w:t> </w:t>
            </w:r>
            <w:r>
              <w:rPr>
                <w:sz w:val="20"/>
              </w:rPr>
              <w:t>K11.6,</w:t>
            </w:r>
            <w:r>
              <w:rPr>
                <w:spacing w:val="-6"/>
                <w:sz w:val="20"/>
              </w:rPr>
              <w:t> </w:t>
            </w:r>
            <w:r>
              <w:rPr>
                <w:sz w:val="20"/>
              </w:rPr>
              <w:t>K11.7,</w:t>
            </w:r>
            <w:r>
              <w:rPr>
                <w:spacing w:val="-4"/>
                <w:sz w:val="20"/>
              </w:rPr>
              <w:t> </w:t>
            </w:r>
            <w:r>
              <w:rPr>
                <w:sz w:val="20"/>
              </w:rPr>
              <w:t>K11.8,</w:t>
            </w:r>
            <w:r>
              <w:rPr>
                <w:spacing w:val="-6"/>
                <w:sz w:val="20"/>
              </w:rPr>
              <w:t> </w:t>
            </w:r>
            <w:r>
              <w:rPr>
                <w:sz w:val="20"/>
              </w:rPr>
              <w:t>K11.9,</w:t>
            </w:r>
            <w:r>
              <w:rPr>
                <w:spacing w:val="-4"/>
                <w:sz w:val="20"/>
              </w:rPr>
              <w:t> </w:t>
            </w:r>
            <w:r>
              <w:rPr>
                <w:sz w:val="20"/>
              </w:rPr>
              <w:t>K12,</w:t>
            </w:r>
            <w:r>
              <w:rPr>
                <w:spacing w:val="-4"/>
                <w:sz w:val="20"/>
              </w:rPr>
              <w:t> </w:t>
            </w:r>
            <w:r>
              <w:rPr>
                <w:spacing w:val="-2"/>
                <w:sz w:val="20"/>
              </w:rPr>
              <w:t>K12.0,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7"/>
              <w:jc w:val="right"/>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7"/>
              <w:jc w:val="right"/>
              <w:rPr>
                <w:sz w:val="20"/>
              </w:rPr>
            </w:pPr>
            <w:r>
              <w:rPr>
                <w:sz w:val="20"/>
              </w:rPr>
              <w:t>K13.3,</w:t>
            </w:r>
            <w:r>
              <w:rPr>
                <w:spacing w:val="-4"/>
                <w:sz w:val="20"/>
              </w:rPr>
              <w:t> </w:t>
            </w:r>
            <w:r>
              <w:rPr>
                <w:sz w:val="20"/>
              </w:rPr>
              <w:t>K13.4,</w:t>
            </w:r>
            <w:r>
              <w:rPr>
                <w:spacing w:val="-6"/>
                <w:sz w:val="20"/>
              </w:rPr>
              <w:t> </w:t>
            </w:r>
            <w:r>
              <w:rPr>
                <w:sz w:val="20"/>
              </w:rPr>
              <w:t>K13.5,</w:t>
            </w:r>
            <w:r>
              <w:rPr>
                <w:spacing w:val="-4"/>
                <w:sz w:val="20"/>
              </w:rPr>
              <w:t> </w:t>
            </w:r>
            <w:r>
              <w:rPr>
                <w:sz w:val="20"/>
              </w:rPr>
              <w:t>K13.6,</w:t>
            </w:r>
            <w:r>
              <w:rPr>
                <w:spacing w:val="-6"/>
                <w:sz w:val="20"/>
              </w:rPr>
              <w:t> </w:t>
            </w:r>
            <w:r>
              <w:rPr>
                <w:sz w:val="20"/>
              </w:rPr>
              <w:t>K13.7,</w:t>
            </w:r>
            <w:r>
              <w:rPr>
                <w:spacing w:val="-4"/>
                <w:sz w:val="20"/>
              </w:rPr>
              <w:t> </w:t>
            </w:r>
            <w:r>
              <w:rPr>
                <w:sz w:val="20"/>
              </w:rPr>
              <w:t>K14,</w:t>
            </w:r>
            <w:r>
              <w:rPr>
                <w:spacing w:val="-4"/>
                <w:sz w:val="20"/>
              </w:rPr>
              <w:t> </w:t>
            </w:r>
            <w:r>
              <w:rPr>
                <w:spacing w:val="-2"/>
                <w:sz w:val="20"/>
              </w:rPr>
              <w:t>K14.0,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left="532"/>
              <w:rPr>
                <w:sz w:val="20"/>
              </w:rPr>
            </w:pPr>
            <w:r>
              <w:rPr>
                <w:sz w:val="20"/>
              </w:rPr>
              <w:t>K14.1,</w:t>
            </w:r>
            <w:r>
              <w:rPr>
                <w:spacing w:val="-4"/>
                <w:sz w:val="20"/>
              </w:rPr>
              <w:t> </w:t>
            </w:r>
            <w:r>
              <w:rPr>
                <w:sz w:val="20"/>
              </w:rPr>
              <w:t>K14.2,</w:t>
            </w:r>
            <w:r>
              <w:rPr>
                <w:spacing w:val="-6"/>
                <w:sz w:val="20"/>
              </w:rPr>
              <w:t> </w:t>
            </w:r>
            <w:r>
              <w:rPr>
                <w:sz w:val="20"/>
              </w:rPr>
              <w:t>K14.3,</w:t>
            </w:r>
            <w:r>
              <w:rPr>
                <w:spacing w:val="-3"/>
                <w:sz w:val="20"/>
              </w:rPr>
              <w:t> </w:t>
            </w:r>
            <w:r>
              <w:rPr>
                <w:sz w:val="20"/>
              </w:rPr>
              <w:t>K14.4,</w:t>
            </w:r>
            <w:r>
              <w:rPr>
                <w:spacing w:val="-6"/>
                <w:sz w:val="20"/>
              </w:rPr>
              <w:t> </w:t>
            </w:r>
            <w:r>
              <w:rPr>
                <w:sz w:val="20"/>
              </w:rPr>
              <w:t>K14.5,</w:t>
            </w:r>
            <w:r>
              <w:rPr>
                <w:spacing w:val="-4"/>
                <w:sz w:val="20"/>
              </w:rPr>
              <w:t> </w:t>
            </w:r>
            <w:r>
              <w:rPr>
                <w:spacing w:val="-2"/>
                <w:sz w:val="20"/>
              </w:rPr>
              <w:t>K14.6,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left="532"/>
              <w:rPr>
                <w:sz w:val="20"/>
              </w:rPr>
            </w:pPr>
            <w:r>
              <w:rPr>
                <w:sz w:val="20"/>
              </w:rPr>
              <w:t>K14.8,</w:t>
            </w:r>
            <w:r>
              <w:rPr>
                <w:spacing w:val="-4"/>
                <w:sz w:val="20"/>
              </w:rPr>
              <w:t> </w:t>
            </w:r>
            <w:r>
              <w:rPr>
                <w:sz w:val="20"/>
              </w:rPr>
              <w:t>K14.9,</w:t>
            </w:r>
            <w:r>
              <w:rPr>
                <w:spacing w:val="-6"/>
                <w:sz w:val="20"/>
              </w:rPr>
              <w:t> </w:t>
            </w:r>
            <w:r>
              <w:rPr>
                <w:sz w:val="20"/>
              </w:rPr>
              <w:t>Q18.3,</w:t>
            </w:r>
            <w:r>
              <w:rPr>
                <w:spacing w:val="-4"/>
                <w:sz w:val="20"/>
              </w:rPr>
              <w:t> </w:t>
            </w:r>
            <w:r>
              <w:rPr>
                <w:sz w:val="20"/>
              </w:rPr>
              <w:t>Q18.4,</w:t>
            </w:r>
            <w:r>
              <w:rPr>
                <w:spacing w:val="-6"/>
                <w:sz w:val="20"/>
              </w:rPr>
              <w:t> </w:t>
            </w:r>
            <w:r>
              <w:rPr>
                <w:sz w:val="20"/>
              </w:rPr>
              <w:t>Q18.5,</w:t>
            </w:r>
            <w:r>
              <w:rPr>
                <w:spacing w:val="-4"/>
                <w:sz w:val="20"/>
              </w:rPr>
              <w:t> </w:t>
            </w:r>
            <w:r>
              <w:rPr>
                <w:spacing w:val="-2"/>
                <w:sz w:val="20"/>
              </w:rPr>
              <w:t>Q18.6,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7"/>
              <w:jc w:val="right"/>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1" w:lineRule="exact"/>
              <w:ind w:left="385"/>
              <w:rPr>
                <w:sz w:val="20"/>
              </w:rPr>
            </w:pPr>
            <w:r>
              <w:rPr>
                <w:sz w:val="20"/>
              </w:rPr>
              <w:t>Q35.7,</w:t>
            </w:r>
            <w:r>
              <w:rPr>
                <w:spacing w:val="-6"/>
                <w:sz w:val="20"/>
              </w:rPr>
              <w:t> </w:t>
            </w:r>
            <w:r>
              <w:rPr>
                <w:sz w:val="20"/>
              </w:rPr>
              <w:t>Q35.9,</w:t>
            </w:r>
            <w:r>
              <w:rPr>
                <w:spacing w:val="-7"/>
                <w:sz w:val="20"/>
              </w:rPr>
              <w:t> </w:t>
            </w:r>
            <w:r>
              <w:rPr>
                <w:sz w:val="20"/>
              </w:rPr>
              <w:t>Q36,</w:t>
            </w:r>
            <w:r>
              <w:rPr>
                <w:spacing w:val="-5"/>
                <w:sz w:val="20"/>
              </w:rPr>
              <w:t> </w:t>
            </w:r>
            <w:r>
              <w:rPr>
                <w:sz w:val="20"/>
              </w:rPr>
              <w:t>Q36.0,</w:t>
            </w:r>
            <w:r>
              <w:rPr>
                <w:spacing w:val="-5"/>
                <w:sz w:val="20"/>
              </w:rPr>
              <w:t> </w:t>
            </w:r>
            <w:r>
              <w:rPr>
                <w:sz w:val="20"/>
              </w:rPr>
              <w:t>Q36.1,</w:t>
            </w:r>
            <w:r>
              <w:rPr>
                <w:spacing w:val="-5"/>
                <w:sz w:val="20"/>
              </w:rPr>
              <w:t> </w:t>
            </w:r>
            <w:r>
              <w:rPr>
                <w:sz w:val="20"/>
              </w:rPr>
              <w:t>Q36.9,</w:t>
            </w:r>
            <w:r>
              <w:rPr>
                <w:spacing w:val="-6"/>
                <w:sz w:val="20"/>
              </w:rPr>
              <w:t> </w:t>
            </w:r>
            <w:r>
              <w:rPr>
                <w:spacing w:val="-4"/>
                <w:sz w:val="20"/>
              </w:rPr>
              <w:t>Q37,</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left="532"/>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8"/>
              <w:jc w:val="right"/>
              <w:rPr>
                <w:sz w:val="20"/>
              </w:rPr>
            </w:pPr>
            <w:r>
              <w:rPr>
                <w:sz w:val="20"/>
              </w:rPr>
              <w:t>Q37.8,</w:t>
            </w:r>
            <w:r>
              <w:rPr>
                <w:spacing w:val="-6"/>
                <w:sz w:val="20"/>
              </w:rPr>
              <w:t> </w:t>
            </w:r>
            <w:r>
              <w:rPr>
                <w:sz w:val="20"/>
              </w:rPr>
              <w:t>Q37.9,</w:t>
            </w:r>
            <w:r>
              <w:rPr>
                <w:spacing w:val="-7"/>
                <w:sz w:val="20"/>
              </w:rPr>
              <w:t> </w:t>
            </w:r>
            <w:r>
              <w:rPr>
                <w:sz w:val="20"/>
              </w:rPr>
              <w:t>Q38,</w:t>
            </w:r>
            <w:r>
              <w:rPr>
                <w:spacing w:val="-5"/>
                <w:sz w:val="20"/>
              </w:rPr>
              <w:t> </w:t>
            </w:r>
            <w:r>
              <w:rPr>
                <w:sz w:val="20"/>
              </w:rPr>
              <w:t>Q38.0,</w:t>
            </w:r>
            <w:r>
              <w:rPr>
                <w:spacing w:val="-5"/>
                <w:sz w:val="20"/>
              </w:rPr>
              <w:t> </w:t>
            </w:r>
            <w:r>
              <w:rPr>
                <w:sz w:val="20"/>
              </w:rPr>
              <w:t>Q38.1,</w:t>
            </w:r>
            <w:r>
              <w:rPr>
                <w:spacing w:val="-5"/>
                <w:sz w:val="20"/>
              </w:rPr>
              <w:t> </w:t>
            </w:r>
            <w:r>
              <w:rPr>
                <w:sz w:val="20"/>
              </w:rPr>
              <w:t>Q38.2,</w:t>
            </w:r>
            <w:r>
              <w:rPr>
                <w:spacing w:val="-6"/>
                <w:sz w:val="20"/>
              </w:rPr>
              <w:t> </w:t>
            </w:r>
            <w:r>
              <w:rPr>
                <w:spacing w:val="-2"/>
                <w:sz w:val="20"/>
              </w:rPr>
              <w:t>Q38.3,</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44"/>
              <w:jc w:val="right"/>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left="481"/>
              <w:rPr>
                <w:sz w:val="20"/>
              </w:rPr>
            </w:pPr>
            <w:r>
              <w:rPr>
                <w:sz w:val="20"/>
              </w:rPr>
              <w:t>S01.5,</w:t>
            </w:r>
            <w:r>
              <w:rPr>
                <w:spacing w:val="-6"/>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55"/>
              <w:jc w:val="right"/>
              <w:rPr>
                <w:sz w:val="20"/>
              </w:rPr>
            </w:pPr>
            <w:r>
              <w:rPr>
                <w:sz w:val="20"/>
              </w:rPr>
              <w:t>S02.51,</w:t>
            </w:r>
            <w:r>
              <w:rPr>
                <w:spacing w:val="-6"/>
                <w:sz w:val="20"/>
              </w:rPr>
              <w:t> </w:t>
            </w:r>
            <w:r>
              <w:rPr>
                <w:sz w:val="20"/>
              </w:rPr>
              <w:t>S02.6,</w:t>
            </w:r>
            <w:r>
              <w:rPr>
                <w:spacing w:val="-7"/>
                <w:sz w:val="20"/>
              </w:rPr>
              <w:t> </w:t>
            </w:r>
            <w:r>
              <w:rPr>
                <w:sz w:val="20"/>
              </w:rPr>
              <w:t>S02.60,</w:t>
            </w:r>
            <w:r>
              <w:rPr>
                <w:spacing w:val="-5"/>
                <w:sz w:val="20"/>
              </w:rPr>
              <w:t> </w:t>
            </w:r>
            <w:r>
              <w:rPr>
                <w:sz w:val="20"/>
              </w:rPr>
              <w:t>S02.61,</w:t>
            </w:r>
            <w:r>
              <w:rPr>
                <w:spacing w:val="-5"/>
                <w:sz w:val="20"/>
              </w:rPr>
              <w:t> </w:t>
            </w:r>
            <w:r>
              <w:rPr>
                <w:sz w:val="20"/>
              </w:rPr>
              <w:t>S03,</w:t>
            </w:r>
            <w:r>
              <w:rPr>
                <w:spacing w:val="-5"/>
                <w:sz w:val="20"/>
              </w:rPr>
              <w:t> </w:t>
            </w:r>
            <w:r>
              <w:rPr>
                <w:sz w:val="20"/>
              </w:rPr>
              <w:t>S03.0,</w:t>
            </w:r>
            <w:r>
              <w:rPr>
                <w:spacing w:val="-6"/>
                <w:sz w:val="20"/>
              </w:rPr>
              <w:t> </w:t>
            </w:r>
            <w:r>
              <w:rPr>
                <w:spacing w:val="-2"/>
                <w:sz w:val="20"/>
              </w:rPr>
              <w:t>S03.1,</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5" w:lineRule="exact"/>
              <w:ind w:left="1218"/>
              <w:rPr>
                <w:sz w:val="20"/>
              </w:rPr>
            </w:pPr>
            <w:r>
              <w:rPr>
                <w:sz w:val="20"/>
              </w:rPr>
              <w:t>S03.2,</w:t>
            </w:r>
            <w:r>
              <w:rPr>
                <w:spacing w:val="-5"/>
                <w:sz w:val="20"/>
              </w:rPr>
              <w:t> </w:t>
            </w:r>
            <w:r>
              <w:rPr>
                <w:sz w:val="20"/>
              </w:rPr>
              <w:t>S03.3,</w:t>
            </w:r>
            <w:r>
              <w:rPr>
                <w:spacing w:val="-5"/>
                <w:sz w:val="20"/>
              </w:rPr>
              <w:t> </w:t>
            </w:r>
            <w:r>
              <w:rPr>
                <w:sz w:val="20"/>
              </w:rPr>
              <w:t>S03.4,</w:t>
            </w:r>
            <w:r>
              <w:rPr>
                <w:spacing w:val="-5"/>
                <w:sz w:val="20"/>
              </w:rPr>
              <w:t> </w:t>
            </w:r>
            <w:r>
              <w:rPr>
                <w:spacing w:val="-4"/>
                <w:sz w:val="20"/>
              </w:rPr>
              <w:t>S03.5</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76"/>
        <w:gridCol w:w="5059"/>
        <w:gridCol w:w="2003"/>
        <w:gridCol w:w="3119"/>
        <w:gridCol w:w="864"/>
      </w:tblGrid>
      <w:tr>
        <w:trPr>
          <w:trHeight w:val="274" w:hRule="atLeast"/>
        </w:trPr>
        <w:tc>
          <w:tcPr>
            <w:tcW w:w="946" w:type="dxa"/>
          </w:tcPr>
          <w:p>
            <w:pPr>
              <w:pStyle w:val="TableParagraph"/>
              <w:spacing w:line="221" w:lineRule="exact"/>
              <w:ind w:left="37" w:right="198"/>
              <w:jc w:val="center"/>
              <w:rPr>
                <w:sz w:val="20"/>
              </w:rPr>
            </w:pPr>
            <w:r>
              <w:rPr>
                <w:spacing w:val="-4"/>
                <w:sz w:val="20"/>
              </w:rPr>
              <w:t>st27</w:t>
            </w:r>
          </w:p>
        </w:tc>
        <w:tc>
          <w:tcPr>
            <w:tcW w:w="707" w:type="dxa"/>
          </w:tcPr>
          <w:p>
            <w:pPr>
              <w:pStyle w:val="TableParagraph"/>
              <w:spacing w:line="221" w:lineRule="exact"/>
              <w:ind w:left="261"/>
              <w:rPr>
                <w:sz w:val="20"/>
              </w:rPr>
            </w:pPr>
            <w:r>
              <w:rPr>
                <w:spacing w:val="-5"/>
                <w:sz w:val="20"/>
              </w:rPr>
              <w:t>27</w:t>
            </w:r>
          </w:p>
        </w:tc>
        <w:tc>
          <w:tcPr>
            <w:tcW w:w="2576" w:type="dxa"/>
          </w:tcPr>
          <w:p>
            <w:pPr>
              <w:pStyle w:val="TableParagraph"/>
              <w:rPr>
                <w:sz w:val="18"/>
              </w:rPr>
            </w:pPr>
          </w:p>
        </w:tc>
        <w:tc>
          <w:tcPr>
            <w:tcW w:w="5059" w:type="dxa"/>
          </w:tcPr>
          <w:p>
            <w:pPr>
              <w:pStyle w:val="TableParagraph"/>
              <w:spacing w:line="221" w:lineRule="exact"/>
              <w:ind w:right="932"/>
              <w:jc w:val="right"/>
              <w:rPr>
                <w:sz w:val="20"/>
              </w:rPr>
            </w:pPr>
            <w:r>
              <w:rPr>
                <w:spacing w:val="-2"/>
                <w:sz w:val="20"/>
              </w:rPr>
              <w:t>Терапия</w:t>
            </w:r>
          </w:p>
        </w:tc>
        <w:tc>
          <w:tcPr>
            <w:tcW w:w="2003" w:type="dxa"/>
          </w:tcPr>
          <w:p>
            <w:pPr>
              <w:pStyle w:val="TableParagraph"/>
              <w:rPr>
                <w:sz w:val="18"/>
              </w:rPr>
            </w:pPr>
          </w:p>
        </w:tc>
        <w:tc>
          <w:tcPr>
            <w:tcW w:w="3119" w:type="dxa"/>
          </w:tcPr>
          <w:p>
            <w:pPr>
              <w:pStyle w:val="TableParagraph"/>
              <w:rPr>
                <w:sz w:val="18"/>
              </w:rPr>
            </w:pPr>
          </w:p>
        </w:tc>
        <w:tc>
          <w:tcPr>
            <w:tcW w:w="864" w:type="dxa"/>
          </w:tcPr>
          <w:p>
            <w:pPr>
              <w:pStyle w:val="TableParagraph"/>
              <w:spacing w:line="221" w:lineRule="exact"/>
              <w:ind w:right="48"/>
              <w:jc w:val="right"/>
              <w:rPr>
                <w:sz w:val="20"/>
              </w:rPr>
            </w:pPr>
            <w:r>
              <w:rPr>
                <w:spacing w:val="-4"/>
                <w:sz w:val="20"/>
              </w:rPr>
              <w:t>0,73</w:t>
            </w:r>
          </w:p>
        </w:tc>
      </w:tr>
      <w:tr>
        <w:trPr>
          <w:trHeight w:val="1710" w:hRule="atLeast"/>
        </w:trPr>
        <w:tc>
          <w:tcPr>
            <w:tcW w:w="946" w:type="dxa"/>
          </w:tcPr>
          <w:p>
            <w:pPr>
              <w:pStyle w:val="TableParagraph"/>
              <w:spacing w:before="45"/>
              <w:ind w:left="39" w:right="198"/>
              <w:jc w:val="center"/>
              <w:rPr>
                <w:sz w:val="20"/>
              </w:rPr>
            </w:pPr>
            <w:r>
              <w:rPr>
                <w:spacing w:val="-2"/>
                <w:sz w:val="20"/>
              </w:rPr>
              <w:t>st27.001</w:t>
            </w:r>
          </w:p>
        </w:tc>
        <w:tc>
          <w:tcPr>
            <w:tcW w:w="707" w:type="dxa"/>
          </w:tcPr>
          <w:p>
            <w:pPr>
              <w:pStyle w:val="TableParagraph"/>
              <w:spacing w:before="45"/>
              <w:ind w:left="210"/>
              <w:rPr>
                <w:sz w:val="20"/>
              </w:rPr>
            </w:pPr>
            <w:r>
              <w:rPr>
                <w:spacing w:val="-5"/>
                <w:sz w:val="20"/>
              </w:rPr>
              <w:t>250</w:t>
            </w:r>
          </w:p>
        </w:tc>
        <w:tc>
          <w:tcPr>
            <w:tcW w:w="2576" w:type="dxa"/>
          </w:tcPr>
          <w:p>
            <w:pPr>
              <w:pStyle w:val="TableParagraph"/>
              <w:spacing w:before="45"/>
              <w:ind w:left="192" w:right="128"/>
              <w:rPr>
                <w:sz w:val="20"/>
              </w:rPr>
            </w:pPr>
            <w:r>
              <w:rPr>
                <w:sz w:val="20"/>
              </w:rPr>
              <w:t>Болезни пищевода, гастрит,</w:t>
            </w:r>
            <w:r>
              <w:rPr>
                <w:spacing w:val="-13"/>
                <w:sz w:val="20"/>
              </w:rPr>
              <w:t> </w:t>
            </w:r>
            <w:r>
              <w:rPr>
                <w:sz w:val="20"/>
              </w:rPr>
              <w:t>дуоденит,</w:t>
            </w:r>
            <w:r>
              <w:rPr>
                <w:spacing w:val="-12"/>
                <w:sz w:val="20"/>
              </w:rPr>
              <w:t> </w:t>
            </w:r>
            <w:r>
              <w:rPr>
                <w:sz w:val="20"/>
              </w:rPr>
              <w:t>другие болезни желудка и </w:t>
            </w:r>
            <w:r>
              <w:rPr>
                <w:spacing w:val="-2"/>
                <w:sz w:val="20"/>
              </w:rPr>
              <w:t>двенадцатиперстной кишки</w:t>
            </w:r>
          </w:p>
        </w:tc>
        <w:tc>
          <w:tcPr>
            <w:tcW w:w="5059" w:type="dxa"/>
          </w:tcPr>
          <w:p>
            <w:pPr>
              <w:pStyle w:val="TableParagraph"/>
              <w:spacing w:before="45"/>
              <w:ind w:left="312"/>
              <w:rPr>
                <w:sz w:val="20"/>
              </w:rPr>
            </w:pPr>
            <w:r>
              <w:rPr>
                <w:sz w:val="20"/>
              </w:rPr>
              <w:t>K20,</w:t>
            </w:r>
            <w:r>
              <w:rPr>
                <w:spacing w:val="-4"/>
                <w:sz w:val="20"/>
              </w:rPr>
              <w:t> </w:t>
            </w:r>
            <w:r>
              <w:rPr>
                <w:sz w:val="20"/>
              </w:rPr>
              <w:t>K21,</w:t>
            </w:r>
            <w:r>
              <w:rPr>
                <w:spacing w:val="-6"/>
                <w:sz w:val="20"/>
              </w:rPr>
              <w:t> </w:t>
            </w:r>
            <w:r>
              <w:rPr>
                <w:sz w:val="20"/>
              </w:rPr>
              <w:t>K21.0,</w:t>
            </w:r>
            <w:r>
              <w:rPr>
                <w:spacing w:val="-4"/>
                <w:sz w:val="20"/>
              </w:rPr>
              <w:t> </w:t>
            </w:r>
            <w:r>
              <w:rPr>
                <w:sz w:val="20"/>
              </w:rPr>
              <w:t>K21.9,</w:t>
            </w:r>
            <w:r>
              <w:rPr>
                <w:spacing w:val="-4"/>
                <w:sz w:val="20"/>
              </w:rPr>
              <w:t> </w:t>
            </w:r>
            <w:r>
              <w:rPr>
                <w:sz w:val="20"/>
              </w:rPr>
              <w:t>K22,</w:t>
            </w:r>
            <w:r>
              <w:rPr>
                <w:spacing w:val="-4"/>
                <w:sz w:val="20"/>
              </w:rPr>
              <w:t> </w:t>
            </w:r>
            <w:r>
              <w:rPr>
                <w:sz w:val="20"/>
              </w:rPr>
              <w:t>K22.0,</w:t>
            </w:r>
            <w:r>
              <w:rPr>
                <w:spacing w:val="-6"/>
                <w:sz w:val="20"/>
              </w:rPr>
              <w:t> </w:t>
            </w:r>
            <w:r>
              <w:rPr>
                <w:spacing w:val="-2"/>
                <w:sz w:val="20"/>
              </w:rPr>
              <w:t>K22.1,</w:t>
            </w:r>
          </w:p>
          <w:p>
            <w:pPr>
              <w:pStyle w:val="TableParagraph"/>
              <w:ind w:left="384"/>
              <w:rPr>
                <w:sz w:val="20"/>
              </w:rPr>
            </w:pPr>
            <w:r>
              <w:rPr>
                <w:sz w:val="20"/>
              </w:rPr>
              <w:t>K22.2,</w:t>
            </w:r>
            <w:r>
              <w:rPr>
                <w:spacing w:val="-4"/>
                <w:sz w:val="20"/>
              </w:rPr>
              <w:t> </w:t>
            </w:r>
            <w:r>
              <w:rPr>
                <w:sz w:val="20"/>
              </w:rPr>
              <w:t>K22.3,</w:t>
            </w:r>
            <w:r>
              <w:rPr>
                <w:spacing w:val="-6"/>
                <w:sz w:val="20"/>
              </w:rPr>
              <w:t> </w:t>
            </w:r>
            <w:r>
              <w:rPr>
                <w:sz w:val="20"/>
              </w:rPr>
              <w:t>K22.4,</w:t>
            </w:r>
            <w:r>
              <w:rPr>
                <w:spacing w:val="-4"/>
                <w:sz w:val="20"/>
              </w:rPr>
              <w:t> </w:t>
            </w:r>
            <w:r>
              <w:rPr>
                <w:sz w:val="20"/>
              </w:rPr>
              <w:t>K22.5,</w:t>
            </w:r>
            <w:r>
              <w:rPr>
                <w:spacing w:val="-6"/>
                <w:sz w:val="20"/>
              </w:rPr>
              <w:t> </w:t>
            </w:r>
            <w:r>
              <w:rPr>
                <w:sz w:val="20"/>
              </w:rPr>
              <w:t>K22.6,</w:t>
            </w:r>
            <w:r>
              <w:rPr>
                <w:spacing w:val="-4"/>
                <w:sz w:val="20"/>
              </w:rPr>
              <w:t> </w:t>
            </w:r>
            <w:r>
              <w:rPr>
                <w:spacing w:val="-2"/>
                <w:sz w:val="20"/>
              </w:rPr>
              <w:t>K22.7,</w:t>
            </w:r>
          </w:p>
          <w:p>
            <w:pPr>
              <w:pStyle w:val="TableParagraph"/>
              <w:ind w:left="237"/>
              <w:rPr>
                <w:sz w:val="20"/>
              </w:rPr>
            </w:pPr>
            <w:r>
              <w:rPr>
                <w:sz w:val="20"/>
              </w:rPr>
              <w:t>K22.8,</w:t>
            </w:r>
            <w:r>
              <w:rPr>
                <w:spacing w:val="-5"/>
                <w:sz w:val="20"/>
              </w:rPr>
              <w:t> </w:t>
            </w:r>
            <w:r>
              <w:rPr>
                <w:sz w:val="20"/>
              </w:rPr>
              <w:t>K22.9,</w:t>
            </w:r>
            <w:r>
              <w:rPr>
                <w:spacing w:val="-7"/>
                <w:sz w:val="20"/>
              </w:rPr>
              <w:t> </w:t>
            </w:r>
            <w:r>
              <w:rPr>
                <w:sz w:val="20"/>
              </w:rPr>
              <w:t>K23,</w:t>
            </w:r>
            <w:r>
              <w:rPr>
                <w:spacing w:val="-4"/>
                <w:sz w:val="20"/>
              </w:rPr>
              <w:t> </w:t>
            </w:r>
            <w:r>
              <w:rPr>
                <w:sz w:val="20"/>
              </w:rPr>
              <w:t>K23.1,</w:t>
            </w:r>
            <w:r>
              <w:rPr>
                <w:spacing w:val="-5"/>
                <w:sz w:val="20"/>
              </w:rPr>
              <w:t> </w:t>
            </w:r>
            <w:r>
              <w:rPr>
                <w:sz w:val="20"/>
              </w:rPr>
              <w:t>K23.8,</w:t>
            </w:r>
            <w:r>
              <w:rPr>
                <w:spacing w:val="-5"/>
                <w:sz w:val="20"/>
              </w:rPr>
              <w:t> </w:t>
            </w:r>
            <w:r>
              <w:rPr>
                <w:sz w:val="20"/>
              </w:rPr>
              <w:t>K29,</w:t>
            </w:r>
            <w:r>
              <w:rPr>
                <w:spacing w:val="-4"/>
                <w:sz w:val="20"/>
              </w:rPr>
              <w:t> </w:t>
            </w:r>
            <w:r>
              <w:rPr>
                <w:spacing w:val="-2"/>
                <w:sz w:val="20"/>
              </w:rPr>
              <w:t>K29.0,</w:t>
            </w:r>
          </w:p>
          <w:p>
            <w:pPr>
              <w:pStyle w:val="TableParagraph"/>
              <w:spacing w:before="1"/>
              <w:ind w:left="384"/>
              <w:rPr>
                <w:sz w:val="20"/>
              </w:rPr>
            </w:pPr>
            <w:r>
              <w:rPr>
                <w:sz w:val="20"/>
              </w:rPr>
              <w:t>K29.1,</w:t>
            </w:r>
            <w:r>
              <w:rPr>
                <w:spacing w:val="-4"/>
                <w:sz w:val="20"/>
              </w:rPr>
              <w:t> </w:t>
            </w:r>
            <w:r>
              <w:rPr>
                <w:sz w:val="20"/>
              </w:rPr>
              <w:t>K29.2,</w:t>
            </w:r>
            <w:r>
              <w:rPr>
                <w:spacing w:val="-6"/>
                <w:sz w:val="20"/>
              </w:rPr>
              <w:t> </w:t>
            </w:r>
            <w:r>
              <w:rPr>
                <w:sz w:val="20"/>
              </w:rPr>
              <w:t>K29.3,</w:t>
            </w:r>
            <w:r>
              <w:rPr>
                <w:spacing w:val="-4"/>
                <w:sz w:val="20"/>
              </w:rPr>
              <w:t> </w:t>
            </w:r>
            <w:r>
              <w:rPr>
                <w:sz w:val="20"/>
              </w:rPr>
              <w:t>K29.4,</w:t>
            </w:r>
            <w:r>
              <w:rPr>
                <w:spacing w:val="-6"/>
                <w:sz w:val="20"/>
              </w:rPr>
              <w:t> </w:t>
            </w:r>
            <w:r>
              <w:rPr>
                <w:sz w:val="20"/>
              </w:rPr>
              <w:t>K29.5,</w:t>
            </w:r>
            <w:r>
              <w:rPr>
                <w:spacing w:val="-4"/>
                <w:sz w:val="20"/>
              </w:rPr>
              <w:t> </w:t>
            </w:r>
            <w:r>
              <w:rPr>
                <w:spacing w:val="-2"/>
                <w:sz w:val="20"/>
              </w:rPr>
              <w:t>K29.6,</w:t>
            </w:r>
          </w:p>
          <w:p>
            <w:pPr>
              <w:pStyle w:val="TableParagraph"/>
              <w:spacing w:line="229" w:lineRule="exact"/>
              <w:ind w:left="160" w:right="933"/>
              <w:jc w:val="center"/>
              <w:rPr>
                <w:sz w:val="20"/>
              </w:rPr>
            </w:pPr>
            <w:r>
              <w:rPr>
                <w:sz w:val="20"/>
              </w:rPr>
              <w:t>K29.7,</w:t>
            </w:r>
            <w:r>
              <w:rPr>
                <w:spacing w:val="-5"/>
                <w:sz w:val="20"/>
              </w:rPr>
              <w:t> </w:t>
            </w:r>
            <w:r>
              <w:rPr>
                <w:sz w:val="20"/>
              </w:rPr>
              <w:t>K29.8,</w:t>
            </w:r>
            <w:r>
              <w:rPr>
                <w:spacing w:val="-6"/>
                <w:sz w:val="20"/>
              </w:rPr>
              <w:t> </w:t>
            </w:r>
            <w:r>
              <w:rPr>
                <w:sz w:val="20"/>
              </w:rPr>
              <w:t>K29.9,</w:t>
            </w:r>
            <w:r>
              <w:rPr>
                <w:spacing w:val="-5"/>
                <w:sz w:val="20"/>
              </w:rPr>
              <w:t> </w:t>
            </w:r>
            <w:r>
              <w:rPr>
                <w:sz w:val="20"/>
              </w:rPr>
              <w:t>K30,</w:t>
            </w:r>
            <w:r>
              <w:rPr>
                <w:spacing w:val="-4"/>
                <w:sz w:val="20"/>
              </w:rPr>
              <w:t> </w:t>
            </w:r>
            <w:r>
              <w:rPr>
                <w:sz w:val="20"/>
              </w:rPr>
              <w:t>K31,</w:t>
            </w:r>
            <w:r>
              <w:rPr>
                <w:spacing w:val="-5"/>
                <w:sz w:val="20"/>
              </w:rPr>
              <w:t> </w:t>
            </w:r>
            <w:r>
              <w:rPr>
                <w:sz w:val="20"/>
              </w:rPr>
              <w:t>K31.0,</w:t>
            </w:r>
            <w:r>
              <w:rPr>
                <w:spacing w:val="-4"/>
                <w:sz w:val="20"/>
              </w:rPr>
              <w:t> </w:t>
            </w:r>
            <w:r>
              <w:rPr>
                <w:spacing w:val="-2"/>
                <w:sz w:val="20"/>
              </w:rPr>
              <w:t>K31.1,</w:t>
            </w:r>
          </w:p>
          <w:p>
            <w:pPr>
              <w:pStyle w:val="TableParagraph"/>
              <w:spacing w:line="229" w:lineRule="exact"/>
              <w:ind w:left="160" w:right="933"/>
              <w:jc w:val="center"/>
              <w:rPr>
                <w:sz w:val="20"/>
              </w:rPr>
            </w:pPr>
            <w:r>
              <w:rPr>
                <w:sz w:val="20"/>
              </w:rPr>
              <w:t>K31.2,</w:t>
            </w:r>
            <w:r>
              <w:rPr>
                <w:spacing w:val="-4"/>
                <w:sz w:val="20"/>
              </w:rPr>
              <w:t> </w:t>
            </w:r>
            <w:r>
              <w:rPr>
                <w:sz w:val="20"/>
              </w:rPr>
              <w:t>K31.3,</w:t>
            </w:r>
            <w:r>
              <w:rPr>
                <w:spacing w:val="-6"/>
                <w:sz w:val="20"/>
              </w:rPr>
              <w:t> </w:t>
            </w:r>
            <w:r>
              <w:rPr>
                <w:sz w:val="20"/>
              </w:rPr>
              <w:t>K31.4,</w:t>
            </w:r>
            <w:r>
              <w:rPr>
                <w:spacing w:val="-4"/>
                <w:sz w:val="20"/>
              </w:rPr>
              <w:t> </w:t>
            </w:r>
            <w:r>
              <w:rPr>
                <w:sz w:val="20"/>
              </w:rPr>
              <w:t>K31.5,</w:t>
            </w:r>
            <w:r>
              <w:rPr>
                <w:spacing w:val="-6"/>
                <w:sz w:val="20"/>
              </w:rPr>
              <w:t> </w:t>
            </w:r>
            <w:r>
              <w:rPr>
                <w:sz w:val="20"/>
              </w:rPr>
              <w:t>K31.6,</w:t>
            </w:r>
            <w:r>
              <w:rPr>
                <w:spacing w:val="-4"/>
                <w:sz w:val="20"/>
              </w:rPr>
              <w:t> </w:t>
            </w:r>
            <w:r>
              <w:rPr>
                <w:spacing w:val="-2"/>
                <w:sz w:val="20"/>
              </w:rPr>
              <w:t>K31.7,</w:t>
            </w:r>
          </w:p>
          <w:p>
            <w:pPr>
              <w:pStyle w:val="TableParagraph"/>
              <w:spacing w:before="1"/>
              <w:ind w:left="158" w:right="933"/>
              <w:jc w:val="center"/>
              <w:rPr>
                <w:sz w:val="20"/>
              </w:rPr>
            </w:pPr>
            <w:r>
              <w:rPr>
                <w:sz w:val="20"/>
              </w:rPr>
              <w:t>K31.8,</w:t>
            </w:r>
            <w:r>
              <w:rPr>
                <w:spacing w:val="-4"/>
                <w:sz w:val="20"/>
              </w:rPr>
              <w:t> </w:t>
            </w:r>
            <w:r>
              <w:rPr>
                <w:sz w:val="20"/>
              </w:rPr>
              <w:t>K31.9,</w:t>
            </w:r>
            <w:r>
              <w:rPr>
                <w:spacing w:val="-7"/>
                <w:sz w:val="20"/>
              </w:rPr>
              <w:t> </w:t>
            </w:r>
            <w:r>
              <w:rPr>
                <w:sz w:val="20"/>
              </w:rPr>
              <w:t>T28.1,</w:t>
            </w:r>
            <w:r>
              <w:rPr>
                <w:spacing w:val="-6"/>
                <w:sz w:val="20"/>
              </w:rPr>
              <w:t> </w:t>
            </w:r>
            <w:r>
              <w:rPr>
                <w:sz w:val="20"/>
              </w:rPr>
              <w:t>T28.2,</w:t>
            </w:r>
            <w:r>
              <w:rPr>
                <w:spacing w:val="-5"/>
                <w:sz w:val="20"/>
              </w:rPr>
              <w:t> </w:t>
            </w:r>
            <w:r>
              <w:rPr>
                <w:sz w:val="20"/>
              </w:rPr>
              <w:t>T28.6,</w:t>
            </w:r>
            <w:r>
              <w:rPr>
                <w:spacing w:val="-6"/>
                <w:sz w:val="20"/>
              </w:rPr>
              <w:t> </w:t>
            </w:r>
            <w:r>
              <w:rPr>
                <w:sz w:val="20"/>
              </w:rPr>
              <w:t>T28.7,</w:t>
            </w:r>
            <w:r>
              <w:rPr>
                <w:spacing w:val="-5"/>
                <w:sz w:val="20"/>
              </w:rPr>
              <w:t> </w:t>
            </w:r>
            <w:r>
              <w:rPr>
                <w:spacing w:val="-4"/>
                <w:sz w:val="20"/>
              </w:rPr>
              <w:t>T28.9</w:t>
            </w:r>
          </w:p>
        </w:tc>
        <w:tc>
          <w:tcPr>
            <w:tcW w:w="2003" w:type="dxa"/>
          </w:tcPr>
          <w:p>
            <w:pPr>
              <w:pStyle w:val="TableParagraph"/>
              <w:spacing w:before="45"/>
              <w:ind w:left="932"/>
              <w:rPr>
                <w:sz w:val="20"/>
              </w:rPr>
            </w:pPr>
            <w:r>
              <w:rPr>
                <w:w w:val="99"/>
                <w:sz w:val="20"/>
              </w:rPr>
              <w:t>-</w:t>
            </w:r>
          </w:p>
        </w:tc>
        <w:tc>
          <w:tcPr>
            <w:tcW w:w="3119" w:type="dxa"/>
          </w:tcPr>
          <w:p>
            <w:pPr>
              <w:pStyle w:val="TableParagraph"/>
              <w:spacing w:before="45"/>
              <w:ind w:left="538"/>
              <w:jc w:val="center"/>
              <w:rPr>
                <w:sz w:val="20"/>
              </w:rPr>
            </w:pPr>
            <w:r>
              <w:rPr>
                <w:w w:val="99"/>
                <w:sz w:val="20"/>
              </w:rPr>
              <w:t>-</w:t>
            </w:r>
          </w:p>
        </w:tc>
        <w:tc>
          <w:tcPr>
            <w:tcW w:w="864" w:type="dxa"/>
          </w:tcPr>
          <w:p>
            <w:pPr>
              <w:pStyle w:val="TableParagraph"/>
              <w:spacing w:before="45"/>
              <w:ind w:right="48"/>
              <w:jc w:val="right"/>
              <w:rPr>
                <w:sz w:val="20"/>
              </w:rPr>
            </w:pPr>
            <w:r>
              <w:rPr>
                <w:spacing w:val="-4"/>
                <w:sz w:val="20"/>
              </w:rPr>
              <w:t>0,74</w:t>
            </w:r>
          </w:p>
        </w:tc>
      </w:tr>
      <w:tr>
        <w:trPr>
          <w:trHeight w:val="1710" w:hRule="atLeast"/>
        </w:trPr>
        <w:tc>
          <w:tcPr>
            <w:tcW w:w="946" w:type="dxa"/>
          </w:tcPr>
          <w:p>
            <w:pPr>
              <w:pStyle w:val="TableParagraph"/>
              <w:spacing w:before="46"/>
              <w:ind w:left="39" w:right="198"/>
              <w:jc w:val="center"/>
              <w:rPr>
                <w:sz w:val="20"/>
              </w:rPr>
            </w:pPr>
            <w:r>
              <w:rPr>
                <w:spacing w:val="-2"/>
                <w:sz w:val="20"/>
              </w:rPr>
              <w:t>st27.002</w:t>
            </w:r>
          </w:p>
        </w:tc>
        <w:tc>
          <w:tcPr>
            <w:tcW w:w="707" w:type="dxa"/>
          </w:tcPr>
          <w:p>
            <w:pPr>
              <w:pStyle w:val="TableParagraph"/>
              <w:spacing w:before="46"/>
              <w:ind w:left="210"/>
              <w:rPr>
                <w:sz w:val="20"/>
              </w:rPr>
            </w:pPr>
            <w:r>
              <w:rPr>
                <w:spacing w:val="-5"/>
                <w:sz w:val="20"/>
              </w:rPr>
              <w:t>251</w:t>
            </w:r>
          </w:p>
        </w:tc>
        <w:tc>
          <w:tcPr>
            <w:tcW w:w="2576" w:type="dxa"/>
          </w:tcPr>
          <w:p>
            <w:pPr>
              <w:pStyle w:val="TableParagraph"/>
              <w:spacing w:before="46"/>
              <w:ind w:left="192" w:right="211"/>
              <w:rPr>
                <w:sz w:val="20"/>
              </w:rPr>
            </w:pPr>
            <w:r>
              <w:rPr>
                <w:spacing w:val="-2"/>
                <w:sz w:val="20"/>
              </w:rPr>
              <w:t>Новообразования </w:t>
            </w:r>
            <w:r>
              <w:rPr>
                <w:sz w:val="20"/>
              </w:rPr>
              <w:t>доброкачественные, in situ, неопределенного и неуточненного</w:t>
            </w:r>
            <w:r>
              <w:rPr>
                <w:spacing w:val="-13"/>
                <w:sz w:val="20"/>
              </w:rPr>
              <w:t> </w:t>
            </w:r>
            <w:r>
              <w:rPr>
                <w:sz w:val="20"/>
              </w:rPr>
              <w:t>характера органов пищеварения</w:t>
            </w:r>
          </w:p>
        </w:tc>
        <w:tc>
          <w:tcPr>
            <w:tcW w:w="5059" w:type="dxa"/>
          </w:tcPr>
          <w:p>
            <w:pPr>
              <w:pStyle w:val="TableParagraph"/>
              <w:spacing w:before="46"/>
              <w:ind w:left="159" w:right="933"/>
              <w:jc w:val="center"/>
              <w:rPr>
                <w:sz w:val="20"/>
              </w:rPr>
            </w:pPr>
            <w:r>
              <w:rPr>
                <w:sz w:val="20"/>
              </w:rPr>
              <w:t>D01,</w:t>
            </w:r>
            <w:r>
              <w:rPr>
                <w:spacing w:val="-6"/>
                <w:sz w:val="20"/>
              </w:rPr>
              <w:t> </w:t>
            </w:r>
            <w:r>
              <w:rPr>
                <w:sz w:val="20"/>
              </w:rPr>
              <w:t>D01.0,</w:t>
            </w:r>
            <w:r>
              <w:rPr>
                <w:spacing w:val="-6"/>
                <w:sz w:val="20"/>
              </w:rPr>
              <w:t> </w:t>
            </w:r>
            <w:r>
              <w:rPr>
                <w:sz w:val="20"/>
              </w:rPr>
              <w:t>D01.1,</w:t>
            </w:r>
            <w:r>
              <w:rPr>
                <w:spacing w:val="-5"/>
                <w:sz w:val="20"/>
              </w:rPr>
              <w:t> </w:t>
            </w:r>
            <w:r>
              <w:rPr>
                <w:sz w:val="20"/>
              </w:rPr>
              <w:t>D01.2,</w:t>
            </w:r>
            <w:r>
              <w:rPr>
                <w:spacing w:val="-6"/>
                <w:sz w:val="20"/>
              </w:rPr>
              <w:t> </w:t>
            </w:r>
            <w:r>
              <w:rPr>
                <w:sz w:val="20"/>
              </w:rPr>
              <w:t>D01.3,</w:t>
            </w:r>
            <w:r>
              <w:rPr>
                <w:spacing w:val="-5"/>
                <w:sz w:val="20"/>
              </w:rPr>
              <w:t> </w:t>
            </w:r>
            <w:r>
              <w:rPr>
                <w:sz w:val="20"/>
              </w:rPr>
              <w:t>D01.4,</w:t>
            </w:r>
            <w:r>
              <w:rPr>
                <w:spacing w:val="-6"/>
                <w:sz w:val="20"/>
              </w:rPr>
              <w:t> </w:t>
            </w:r>
            <w:r>
              <w:rPr>
                <w:spacing w:val="-2"/>
                <w:sz w:val="20"/>
              </w:rPr>
              <w:t>D01.5,</w:t>
            </w:r>
          </w:p>
          <w:p>
            <w:pPr>
              <w:pStyle w:val="TableParagraph"/>
              <w:spacing w:line="229" w:lineRule="exact"/>
              <w:ind w:left="159" w:right="933"/>
              <w:jc w:val="center"/>
              <w:rPr>
                <w:sz w:val="20"/>
              </w:rPr>
            </w:pPr>
            <w:r>
              <w:rPr>
                <w:sz w:val="20"/>
              </w:rPr>
              <w:t>D01.7,</w:t>
            </w:r>
            <w:r>
              <w:rPr>
                <w:spacing w:val="-6"/>
                <w:sz w:val="20"/>
              </w:rPr>
              <w:t> </w:t>
            </w:r>
            <w:r>
              <w:rPr>
                <w:sz w:val="20"/>
              </w:rPr>
              <w:t>D01.9,</w:t>
            </w:r>
            <w:r>
              <w:rPr>
                <w:spacing w:val="-7"/>
                <w:sz w:val="20"/>
              </w:rPr>
              <w:t> </w:t>
            </w:r>
            <w:r>
              <w:rPr>
                <w:sz w:val="20"/>
              </w:rPr>
              <w:t>D12,</w:t>
            </w:r>
            <w:r>
              <w:rPr>
                <w:spacing w:val="-5"/>
                <w:sz w:val="20"/>
              </w:rPr>
              <w:t> </w:t>
            </w:r>
            <w:r>
              <w:rPr>
                <w:sz w:val="20"/>
              </w:rPr>
              <w:t>D12.0,</w:t>
            </w:r>
            <w:r>
              <w:rPr>
                <w:spacing w:val="-5"/>
                <w:sz w:val="20"/>
              </w:rPr>
              <w:t> </w:t>
            </w:r>
            <w:r>
              <w:rPr>
                <w:sz w:val="20"/>
              </w:rPr>
              <w:t>D12.1,</w:t>
            </w:r>
            <w:r>
              <w:rPr>
                <w:spacing w:val="-5"/>
                <w:sz w:val="20"/>
              </w:rPr>
              <w:t> </w:t>
            </w:r>
            <w:r>
              <w:rPr>
                <w:sz w:val="20"/>
              </w:rPr>
              <w:t>D12.2,</w:t>
            </w:r>
            <w:r>
              <w:rPr>
                <w:spacing w:val="-6"/>
                <w:sz w:val="20"/>
              </w:rPr>
              <w:t> </w:t>
            </w:r>
            <w:r>
              <w:rPr>
                <w:spacing w:val="-2"/>
                <w:sz w:val="20"/>
              </w:rPr>
              <w:t>D12.3,</w:t>
            </w:r>
          </w:p>
          <w:p>
            <w:pPr>
              <w:pStyle w:val="TableParagraph"/>
              <w:spacing w:line="229" w:lineRule="exact"/>
              <w:ind w:left="157" w:right="933"/>
              <w:jc w:val="center"/>
              <w:rPr>
                <w:sz w:val="20"/>
              </w:rPr>
            </w:pPr>
            <w:r>
              <w:rPr>
                <w:sz w:val="20"/>
              </w:rPr>
              <w:t>D12.4,</w:t>
            </w:r>
            <w:r>
              <w:rPr>
                <w:spacing w:val="-5"/>
                <w:sz w:val="20"/>
              </w:rPr>
              <w:t> </w:t>
            </w:r>
            <w:r>
              <w:rPr>
                <w:sz w:val="20"/>
              </w:rPr>
              <w:t>D12.5,</w:t>
            </w:r>
            <w:r>
              <w:rPr>
                <w:spacing w:val="-5"/>
                <w:sz w:val="20"/>
              </w:rPr>
              <w:t> </w:t>
            </w:r>
            <w:r>
              <w:rPr>
                <w:sz w:val="20"/>
              </w:rPr>
              <w:t>D12.6,</w:t>
            </w:r>
            <w:r>
              <w:rPr>
                <w:spacing w:val="-4"/>
                <w:sz w:val="20"/>
              </w:rPr>
              <w:t> </w:t>
            </w:r>
            <w:r>
              <w:rPr>
                <w:sz w:val="20"/>
              </w:rPr>
              <w:t>D12.7,</w:t>
            </w:r>
            <w:r>
              <w:rPr>
                <w:spacing w:val="-6"/>
                <w:sz w:val="20"/>
              </w:rPr>
              <w:t> </w:t>
            </w:r>
            <w:r>
              <w:rPr>
                <w:sz w:val="20"/>
              </w:rPr>
              <w:t>D12.8,</w:t>
            </w:r>
            <w:r>
              <w:rPr>
                <w:spacing w:val="-4"/>
                <w:sz w:val="20"/>
              </w:rPr>
              <w:t> </w:t>
            </w:r>
            <w:r>
              <w:rPr>
                <w:sz w:val="20"/>
              </w:rPr>
              <w:t>D12.9,</w:t>
            </w:r>
            <w:r>
              <w:rPr>
                <w:spacing w:val="-6"/>
                <w:sz w:val="20"/>
              </w:rPr>
              <w:t> </w:t>
            </w:r>
            <w:r>
              <w:rPr>
                <w:spacing w:val="-4"/>
                <w:sz w:val="20"/>
              </w:rPr>
              <w:t>D13,</w:t>
            </w:r>
          </w:p>
          <w:p>
            <w:pPr>
              <w:pStyle w:val="TableParagraph"/>
              <w:spacing w:before="1"/>
              <w:ind w:left="160" w:right="933"/>
              <w:jc w:val="center"/>
              <w:rPr>
                <w:sz w:val="20"/>
              </w:rPr>
            </w:pPr>
            <w:r>
              <w:rPr>
                <w:sz w:val="20"/>
              </w:rPr>
              <w:t>D13.0,</w:t>
            </w:r>
            <w:r>
              <w:rPr>
                <w:spacing w:val="-4"/>
                <w:sz w:val="20"/>
              </w:rPr>
              <w:t> </w:t>
            </w:r>
            <w:r>
              <w:rPr>
                <w:sz w:val="20"/>
              </w:rPr>
              <w:t>D13.1,</w:t>
            </w:r>
            <w:r>
              <w:rPr>
                <w:spacing w:val="-6"/>
                <w:sz w:val="20"/>
              </w:rPr>
              <w:t> </w:t>
            </w:r>
            <w:r>
              <w:rPr>
                <w:sz w:val="20"/>
              </w:rPr>
              <w:t>D13.2,</w:t>
            </w:r>
            <w:r>
              <w:rPr>
                <w:spacing w:val="-4"/>
                <w:sz w:val="20"/>
              </w:rPr>
              <w:t> </w:t>
            </w:r>
            <w:r>
              <w:rPr>
                <w:sz w:val="20"/>
              </w:rPr>
              <w:t>D13.3,</w:t>
            </w:r>
            <w:r>
              <w:rPr>
                <w:spacing w:val="-6"/>
                <w:sz w:val="20"/>
              </w:rPr>
              <w:t> </w:t>
            </w:r>
            <w:r>
              <w:rPr>
                <w:sz w:val="20"/>
              </w:rPr>
              <w:t>D13.4,</w:t>
            </w:r>
            <w:r>
              <w:rPr>
                <w:spacing w:val="-4"/>
                <w:sz w:val="20"/>
              </w:rPr>
              <w:t> </w:t>
            </w:r>
            <w:r>
              <w:rPr>
                <w:spacing w:val="-2"/>
                <w:sz w:val="20"/>
              </w:rPr>
              <w:t>D13.5,</w:t>
            </w:r>
          </w:p>
          <w:p>
            <w:pPr>
              <w:pStyle w:val="TableParagraph"/>
              <w:ind w:left="159" w:right="933"/>
              <w:jc w:val="center"/>
              <w:rPr>
                <w:sz w:val="20"/>
              </w:rPr>
            </w:pPr>
            <w:r>
              <w:rPr>
                <w:sz w:val="20"/>
              </w:rPr>
              <w:t>D13.9,</w:t>
            </w:r>
            <w:r>
              <w:rPr>
                <w:spacing w:val="-6"/>
                <w:sz w:val="20"/>
              </w:rPr>
              <w:t> </w:t>
            </w:r>
            <w:r>
              <w:rPr>
                <w:sz w:val="20"/>
              </w:rPr>
              <w:t>D19.1,</w:t>
            </w:r>
            <w:r>
              <w:rPr>
                <w:spacing w:val="-7"/>
                <w:sz w:val="20"/>
              </w:rPr>
              <w:t> </w:t>
            </w:r>
            <w:r>
              <w:rPr>
                <w:sz w:val="20"/>
              </w:rPr>
              <w:t>D20,</w:t>
            </w:r>
            <w:r>
              <w:rPr>
                <w:spacing w:val="-5"/>
                <w:sz w:val="20"/>
              </w:rPr>
              <w:t> </w:t>
            </w:r>
            <w:r>
              <w:rPr>
                <w:sz w:val="20"/>
              </w:rPr>
              <w:t>D20.0,</w:t>
            </w:r>
            <w:r>
              <w:rPr>
                <w:spacing w:val="-5"/>
                <w:sz w:val="20"/>
              </w:rPr>
              <w:t> </w:t>
            </w:r>
            <w:r>
              <w:rPr>
                <w:sz w:val="20"/>
              </w:rPr>
              <w:t>D20.1,</w:t>
            </w:r>
            <w:r>
              <w:rPr>
                <w:spacing w:val="-5"/>
                <w:sz w:val="20"/>
              </w:rPr>
              <w:t> </w:t>
            </w:r>
            <w:r>
              <w:rPr>
                <w:sz w:val="20"/>
              </w:rPr>
              <w:t>D37.1,</w:t>
            </w:r>
            <w:r>
              <w:rPr>
                <w:spacing w:val="-6"/>
                <w:sz w:val="20"/>
              </w:rPr>
              <w:t> </w:t>
            </w:r>
            <w:r>
              <w:rPr>
                <w:spacing w:val="-2"/>
                <w:sz w:val="20"/>
              </w:rPr>
              <w:t>D37.2,</w:t>
            </w:r>
          </w:p>
          <w:p>
            <w:pPr>
              <w:pStyle w:val="TableParagraph"/>
              <w:ind w:left="162" w:right="932"/>
              <w:jc w:val="center"/>
              <w:rPr>
                <w:sz w:val="20"/>
              </w:rPr>
            </w:pPr>
            <w:r>
              <w:rPr>
                <w:sz w:val="20"/>
              </w:rPr>
              <w:t>D37.3,</w:t>
            </w:r>
            <w:r>
              <w:rPr>
                <w:spacing w:val="-7"/>
                <w:sz w:val="20"/>
              </w:rPr>
              <w:t> </w:t>
            </w:r>
            <w:r>
              <w:rPr>
                <w:sz w:val="20"/>
              </w:rPr>
              <w:t>D37.4,</w:t>
            </w:r>
            <w:r>
              <w:rPr>
                <w:spacing w:val="-9"/>
                <w:sz w:val="20"/>
              </w:rPr>
              <w:t> </w:t>
            </w:r>
            <w:r>
              <w:rPr>
                <w:sz w:val="20"/>
              </w:rPr>
              <w:t>D37.5,</w:t>
            </w:r>
            <w:r>
              <w:rPr>
                <w:spacing w:val="-5"/>
                <w:sz w:val="20"/>
              </w:rPr>
              <w:t> </w:t>
            </w:r>
            <w:r>
              <w:rPr>
                <w:sz w:val="20"/>
              </w:rPr>
              <w:t>D37.6,</w:t>
            </w:r>
            <w:r>
              <w:rPr>
                <w:spacing w:val="-9"/>
                <w:sz w:val="20"/>
              </w:rPr>
              <w:t> </w:t>
            </w:r>
            <w:r>
              <w:rPr>
                <w:sz w:val="20"/>
              </w:rPr>
              <w:t>D37.7,</w:t>
            </w:r>
            <w:r>
              <w:rPr>
                <w:spacing w:val="-7"/>
                <w:sz w:val="20"/>
              </w:rPr>
              <w:t> </w:t>
            </w:r>
            <w:r>
              <w:rPr>
                <w:sz w:val="20"/>
              </w:rPr>
              <w:t>D37.9, D48.3, D48.4, K63.5</w:t>
            </w:r>
          </w:p>
        </w:tc>
        <w:tc>
          <w:tcPr>
            <w:tcW w:w="2003" w:type="dxa"/>
          </w:tcPr>
          <w:p>
            <w:pPr>
              <w:pStyle w:val="TableParagraph"/>
              <w:spacing w:before="46"/>
              <w:ind w:left="932"/>
              <w:rPr>
                <w:sz w:val="20"/>
              </w:rPr>
            </w:pPr>
            <w:r>
              <w:rPr>
                <w:w w:val="99"/>
                <w:sz w:val="20"/>
              </w:rPr>
              <w:t>-</w:t>
            </w:r>
          </w:p>
        </w:tc>
        <w:tc>
          <w:tcPr>
            <w:tcW w:w="3119" w:type="dxa"/>
          </w:tcPr>
          <w:p>
            <w:pPr>
              <w:pStyle w:val="TableParagraph"/>
              <w:spacing w:before="46"/>
              <w:ind w:left="538"/>
              <w:jc w:val="center"/>
              <w:rPr>
                <w:sz w:val="20"/>
              </w:rPr>
            </w:pPr>
            <w:r>
              <w:rPr>
                <w:w w:val="99"/>
                <w:sz w:val="20"/>
              </w:rPr>
              <w:t>-</w:t>
            </w:r>
          </w:p>
        </w:tc>
        <w:tc>
          <w:tcPr>
            <w:tcW w:w="864" w:type="dxa"/>
          </w:tcPr>
          <w:p>
            <w:pPr>
              <w:pStyle w:val="TableParagraph"/>
              <w:spacing w:before="46"/>
              <w:ind w:right="48"/>
              <w:jc w:val="right"/>
              <w:rPr>
                <w:sz w:val="20"/>
              </w:rPr>
            </w:pPr>
            <w:r>
              <w:rPr>
                <w:spacing w:val="-4"/>
                <w:sz w:val="20"/>
              </w:rPr>
              <w:t>0,69</w:t>
            </w:r>
          </w:p>
        </w:tc>
      </w:tr>
      <w:tr>
        <w:trPr>
          <w:trHeight w:val="1479" w:hRule="atLeast"/>
        </w:trPr>
        <w:tc>
          <w:tcPr>
            <w:tcW w:w="946" w:type="dxa"/>
          </w:tcPr>
          <w:p>
            <w:pPr>
              <w:pStyle w:val="TableParagraph"/>
              <w:spacing w:before="45"/>
              <w:ind w:left="39" w:right="198"/>
              <w:jc w:val="center"/>
              <w:rPr>
                <w:sz w:val="20"/>
              </w:rPr>
            </w:pPr>
            <w:r>
              <w:rPr>
                <w:spacing w:val="-2"/>
                <w:sz w:val="20"/>
              </w:rPr>
              <w:t>st27.003</w:t>
            </w:r>
          </w:p>
        </w:tc>
        <w:tc>
          <w:tcPr>
            <w:tcW w:w="707" w:type="dxa"/>
          </w:tcPr>
          <w:p>
            <w:pPr>
              <w:pStyle w:val="TableParagraph"/>
              <w:spacing w:before="45"/>
              <w:ind w:left="210"/>
              <w:rPr>
                <w:sz w:val="20"/>
              </w:rPr>
            </w:pPr>
            <w:r>
              <w:rPr>
                <w:spacing w:val="-5"/>
                <w:sz w:val="20"/>
              </w:rPr>
              <w:t>252</w:t>
            </w:r>
          </w:p>
        </w:tc>
        <w:tc>
          <w:tcPr>
            <w:tcW w:w="2576" w:type="dxa"/>
          </w:tcPr>
          <w:p>
            <w:pPr>
              <w:pStyle w:val="TableParagraph"/>
              <w:spacing w:before="45"/>
              <w:ind w:left="192"/>
              <w:rPr>
                <w:sz w:val="20"/>
              </w:rPr>
            </w:pPr>
            <w:r>
              <w:rPr>
                <w:sz w:val="20"/>
              </w:rPr>
              <w:t>Болезни</w:t>
            </w:r>
            <w:r>
              <w:rPr>
                <w:spacing w:val="-9"/>
                <w:sz w:val="20"/>
              </w:rPr>
              <w:t> </w:t>
            </w:r>
            <w:r>
              <w:rPr>
                <w:sz w:val="20"/>
              </w:rPr>
              <w:t>желчного</w:t>
            </w:r>
            <w:r>
              <w:rPr>
                <w:spacing w:val="-9"/>
                <w:sz w:val="20"/>
              </w:rPr>
              <w:t> </w:t>
            </w:r>
            <w:r>
              <w:rPr>
                <w:spacing w:val="-2"/>
                <w:sz w:val="20"/>
              </w:rPr>
              <w:t>пузыря</w:t>
            </w:r>
          </w:p>
        </w:tc>
        <w:tc>
          <w:tcPr>
            <w:tcW w:w="5059" w:type="dxa"/>
          </w:tcPr>
          <w:p>
            <w:pPr>
              <w:pStyle w:val="TableParagraph"/>
              <w:spacing w:before="45"/>
              <w:ind w:left="159" w:right="933"/>
              <w:jc w:val="center"/>
              <w:rPr>
                <w:sz w:val="20"/>
              </w:rPr>
            </w:pPr>
            <w:r>
              <w:rPr>
                <w:sz w:val="20"/>
              </w:rPr>
              <w:t>K80,</w:t>
            </w:r>
            <w:r>
              <w:rPr>
                <w:spacing w:val="-6"/>
                <w:sz w:val="20"/>
              </w:rPr>
              <w:t> </w:t>
            </w:r>
            <w:r>
              <w:rPr>
                <w:sz w:val="20"/>
              </w:rPr>
              <w:t>K80.0,</w:t>
            </w:r>
            <w:r>
              <w:rPr>
                <w:spacing w:val="-6"/>
                <w:sz w:val="20"/>
              </w:rPr>
              <w:t> </w:t>
            </w:r>
            <w:r>
              <w:rPr>
                <w:sz w:val="20"/>
              </w:rPr>
              <w:t>K80.1,</w:t>
            </w:r>
            <w:r>
              <w:rPr>
                <w:spacing w:val="-5"/>
                <w:sz w:val="20"/>
              </w:rPr>
              <w:t> </w:t>
            </w:r>
            <w:r>
              <w:rPr>
                <w:sz w:val="20"/>
              </w:rPr>
              <w:t>K80.2,</w:t>
            </w:r>
            <w:r>
              <w:rPr>
                <w:spacing w:val="-6"/>
                <w:sz w:val="20"/>
              </w:rPr>
              <w:t> </w:t>
            </w:r>
            <w:r>
              <w:rPr>
                <w:sz w:val="20"/>
              </w:rPr>
              <w:t>K80.3,</w:t>
            </w:r>
            <w:r>
              <w:rPr>
                <w:spacing w:val="-5"/>
                <w:sz w:val="20"/>
              </w:rPr>
              <w:t> </w:t>
            </w:r>
            <w:r>
              <w:rPr>
                <w:sz w:val="20"/>
              </w:rPr>
              <w:t>K80.4,</w:t>
            </w:r>
            <w:r>
              <w:rPr>
                <w:spacing w:val="-6"/>
                <w:sz w:val="20"/>
              </w:rPr>
              <w:t> </w:t>
            </w:r>
            <w:r>
              <w:rPr>
                <w:spacing w:val="-2"/>
                <w:sz w:val="20"/>
              </w:rPr>
              <w:t>K80.5,</w:t>
            </w:r>
          </w:p>
          <w:p>
            <w:pPr>
              <w:pStyle w:val="TableParagraph"/>
              <w:ind w:left="159" w:right="933"/>
              <w:jc w:val="center"/>
              <w:rPr>
                <w:sz w:val="20"/>
              </w:rPr>
            </w:pPr>
            <w:r>
              <w:rPr>
                <w:sz w:val="20"/>
              </w:rPr>
              <w:t>K80.8,</w:t>
            </w:r>
            <w:r>
              <w:rPr>
                <w:spacing w:val="-6"/>
                <w:sz w:val="20"/>
              </w:rPr>
              <w:t> </w:t>
            </w:r>
            <w:r>
              <w:rPr>
                <w:sz w:val="20"/>
              </w:rPr>
              <w:t>K81,</w:t>
            </w:r>
            <w:r>
              <w:rPr>
                <w:spacing w:val="-6"/>
                <w:sz w:val="20"/>
              </w:rPr>
              <w:t> </w:t>
            </w:r>
            <w:r>
              <w:rPr>
                <w:sz w:val="20"/>
              </w:rPr>
              <w:t>K81.0,</w:t>
            </w:r>
            <w:r>
              <w:rPr>
                <w:spacing w:val="-5"/>
                <w:sz w:val="20"/>
              </w:rPr>
              <w:t> </w:t>
            </w:r>
            <w:r>
              <w:rPr>
                <w:sz w:val="20"/>
              </w:rPr>
              <w:t>K81.1,</w:t>
            </w:r>
            <w:r>
              <w:rPr>
                <w:spacing w:val="-6"/>
                <w:sz w:val="20"/>
              </w:rPr>
              <w:t> </w:t>
            </w:r>
            <w:r>
              <w:rPr>
                <w:sz w:val="20"/>
              </w:rPr>
              <w:t>K81.8,</w:t>
            </w:r>
            <w:r>
              <w:rPr>
                <w:spacing w:val="-5"/>
                <w:sz w:val="20"/>
              </w:rPr>
              <w:t> </w:t>
            </w:r>
            <w:r>
              <w:rPr>
                <w:sz w:val="20"/>
              </w:rPr>
              <w:t>K81.9,</w:t>
            </w:r>
            <w:r>
              <w:rPr>
                <w:spacing w:val="-6"/>
                <w:sz w:val="20"/>
              </w:rPr>
              <w:t> </w:t>
            </w:r>
            <w:r>
              <w:rPr>
                <w:spacing w:val="-4"/>
                <w:sz w:val="20"/>
              </w:rPr>
              <w:t>K82,</w:t>
            </w:r>
          </w:p>
          <w:p>
            <w:pPr>
              <w:pStyle w:val="TableParagraph"/>
              <w:spacing w:before="1"/>
              <w:ind w:left="160" w:right="933"/>
              <w:jc w:val="center"/>
              <w:rPr>
                <w:sz w:val="20"/>
              </w:rPr>
            </w:pPr>
            <w:r>
              <w:rPr>
                <w:sz w:val="20"/>
              </w:rPr>
              <w:t>K82.0,</w:t>
            </w:r>
            <w:r>
              <w:rPr>
                <w:spacing w:val="-4"/>
                <w:sz w:val="20"/>
              </w:rPr>
              <w:t> </w:t>
            </w:r>
            <w:r>
              <w:rPr>
                <w:sz w:val="20"/>
              </w:rPr>
              <w:t>K82.1,</w:t>
            </w:r>
            <w:r>
              <w:rPr>
                <w:spacing w:val="-6"/>
                <w:sz w:val="20"/>
              </w:rPr>
              <w:t> </w:t>
            </w:r>
            <w:r>
              <w:rPr>
                <w:sz w:val="20"/>
              </w:rPr>
              <w:t>K82.2,</w:t>
            </w:r>
            <w:r>
              <w:rPr>
                <w:spacing w:val="-4"/>
                <w:sz w:val="20"/>
              </w:rPr>
              <w:t> </w:t>
            </w:r>
            <w:r>
              <w:rPr>
                <w:sz w:val="20"/>
              </w:rPr>
              <w:t>K82.3,</w:t>
            </w:r>
            <w:r>
              <w:rPr>
                <w:spacing w:val="-6"/>
                <w:sz w:val="20"/>
              </w:rPr>
              <w:t> </w:t>
            </w:r>
            <w:r>
              <w:rPr>
                <w:sz w:val="20"/>
              </w:rPr>
              <w:t>K82.4,</w:t>
            </w:r>
            <w:r>
              <w:rPr>
                <w:spacing w:val="-4"/>
                <w:sz w:val="20"/>
              </w:rPr>
              <w:t> </w:t>
            </w:r>
            <w:r>
              <w:rPr>
                <w:spacing w:val="-2"/>
                <w:sz w:val="20"/>
              </w:rPr>
              <w:t>K82.8,</w:t>
            </w:r>
          </w:p>
          <w:p>
            <w:pPr>
              <w:pStyle w:val="TableParagraph"/>
              <w:ind w:left="162" w:right="931"/>
              <w:jc w:val="center"/>
              <w:rPr>
                <w:sz w:val="20"/>
              </w:rPr>
            </w:pPr>
            <w:r>
              <w:rPr>
                <w:sz w:val="20"/>
              </w:rPr>
              <w:t>K82.9,</w:t>
            </w:r>
            <w:r>
              <w:rPr>
                <w:spacing w:val="-5"/>
                <w:sz w:val="20"/>
              </w:rPr>
              <w:t> </w:t>
            </w:r>
            <w:r>
              <w:rPr>
                <w:sz w:val="20"/>
              </w:rPr>
              <w:t>K83,</w:t>
            </w:r>
            <w:r>
              <w:rPr>
                <w:spacing w:val="-5"/>
                <w:sz w:val="20"/>
              </w:rPr>
              <w:t> </w:t>
            </w:r>
            <w:r>
              <w:rPr>
                <w:sz w:val="20"/>
              </w:rPr>
              <w:t>K83.0,</w:t>
            </w:r>
            <w:r>
              <w:rPr>
                <w:spacing w:val="-4"/>
                <w:sz w:val="20"/>
              </w:rPr>
              <w:t> </w:t>
            </w:r>
            <w:r>
              <w:rPr>
                <w:sz w:val="20"/>
              </w:rPr>
              <w:t>K83.1,</w:t>
            </w:r>
            <w:r>
              <w:rPr>
                <w:spacing w:val="-5"/>
                <w:sz w:val="20"/>
              </w:rPr>
              <w:t> </w:t>
            </w:r>
            <w:r>
              <w:rPr>
                <w:sz w:val="20"/>
              </w:rPr>
              <w:t>K83.2,</w:t>
            </w:r>
            <w:r>
              <w:rPr>
                <w:spacing w:val="-4"/>
                <w:sz w:val="20"/>
              </w:rPr>
              <w:t> </w:t>
            </w:r>
            <w:r>
              <w:rPr>
                <w:sz w:val="20"/>
              </w:rPr>
              <w:t>K83.3,</w:t>
            </w:r>
            <w:r>
              <w:rPr>
                <w:spacing w:val="-5"/>
                <w:sz w:val="20"/>
              </w:rPr>
              <w:t> </w:t>
            </w:r>
            <w:r>
              <w:rPr>
                <w:spacing w:val="-2"/>
                <w:sz w:val="20"/>
              </w:rPr>
              <w:t>K83.4,</w:t>
            </w:r>
          </w:p>
          <w:p>
            <w:pPr>
              <w:pStyle w:val="TableParagraph"/>
              <w:spacing w:before="1"/>
              <w:ind w:left="157" w:right="933"/>
              <w:jc w:val="center"/>
              <w:rPr>
                <w:sz w:val="20"/>
              </w:rPr>
            </w:pPr>
            <w:r>
              <w:rPr>
                <w:sz w:val="20"/>
              </w:rPr>
              <w:t>K83.5,</w:t>
            </w:r>
            <w:r>
              <w:rPr>
                <w:spacing w:val="-7"/>
                <w:sz w:val="20"/>
              </w:rPr>
              <w:t> </w:t>
            </w:r>
            <w:r>
              <w:rPr>
                <w:sz w:val="20"/>
              </w:rPr>
              <w:t>K83.8,</w:t>
            </w:r>
            <w:r>
              <w:rPr>
                <w:spacing w:val="-8"/>
                <w:sz w:val="20"/>
              </w:rPr>
              <w:t> </w:t>
            </w:r>
            <w:r>
              <w:rPr>
                <w:sz w:val="20"/>
              </w:rPr>
              <w:t>K83.9,</w:t>
            </w:r>
            <w:r>
              <w:rPr>
                <w:spacing w:val="-7"/>
                <w:sz w:val="20"/>
              </w:rPr>
              <w:t> </w:t>
            </w:r>
            <w:r>
              <w:rPr>
                <w:sz w:val="20"/>
              </w:rPr>
              <w:t>K87.0,</w:t>
            </w:r>
            <w:r>
              <w:rPr>
                <w:spacing w:val="-8"/>
                <w:sz w:val="20"/>
              </w:rPr>
              <w:t> </w:t>
            </w:r>
            <w:r>
              <w:rPr>
                <w:sz w:val="20"/>
              </w:rPr>
              <w:t>K91.5,</w:t>
            </w:r>
            <w:r>
              <w:rPr>
                <w:spacing w:val="-7"/>
                <w:sz w:val="20"/>
              </w:rPr>
              <w:t> </w:t>
            </w:r>
            <w:r>
              <w:rPr>
                <w:sz w:val="20"/>
              </w:rPr>
              <w:t>Q44,</w:t>
            </w:r>
            <w:r>
              <w:rPr>
                <w:spacing w:val="-7"/>
                <w:sz w:val="20"/>
              </w:rPr>
              <w:t> </w:t>
            </w:r>
            <w:r>
              <w:rPr>
                <w:sz w:val="20"/>
              </w:rPr>
              <w:t>Q44.0, Q44.1, Q44.2, Q44.3, Q44.4, Q44.5</w:t>
            </w:r>
          </w:p>
        </w:tc>
        <w:tc>
          <w:tcPr>
            <w:tcW w:w="2003" w:type="dxa"/>
          </w:tcPr>
          <w:p>
            <w:pPr>
              <w:pStyle w:val="TableParagraph"/>
              <w:spacing w:before="45"/>
              <w:ind w:left="932"/>
              <w:rPr>
                <w:sz w:val="20"/>
              </w:rPr>
            </w:pPr>
            <w:r>
              <w:rPr>
                <w:w w:val="99"/>
                <w:sz w:val="20"/>
              </w:rPr>
              <w:t>-</w:t>
            </w:r>
          </w:p>
        </w:tc>
        <w:tc>
          <w:tcPr>
            <w:tcW w:w="3119" w:type="dxa"/>
          </w:tcPr>
          <w:p>
            <w:pPr>
              <w:pStyle w:val="TableParagraph"/>
              <w:spacing w:before="45"/>
              <w:ind w:left="538"/>
              <w:jc w:val="center"/>
              <w:rPr>
                <w:sz w:val="20"/>
              </w:rPr>
            </w:pPr>
            <w:r>
              <w:rPr>
                <w:w w:val="99"/>
                <w:sz w:val="20"/>
              </w:rPr>
              <w:t>-</w:t>
            </w:r>
          </w:p>
        </w:tc>
        <w:tc>
          <w:tcPr>
            <w:tcW w:w="864" w:type="dxa"/>
          </w:tcPr>
          <w:p>
            <w:pPr>
              <w:pStyle w:val="TableParagraph"/>
              <w:spacing w:before="45"/>
              <w:ind w:right="48"/>
              <w:jc w:val="right"/>
              <w:rPr>
                <w:sz w:val="20"/>
              </w:rPr>
            </w:pPr>
            <w:r>
              <w:rPr>
                <w:spacing w:val="-4"/>
                <w:sz w:val="20"/>
              </w:rPr>
              <w:t>0,72</w:t>
            </w: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st27.004</w:t>
            </w:r>
          </w:p>
        </w:tc>
        <w:tc>
          <w:tcPr>
            <w:tcW w:w="707" w:type="dxa"/>
          </w:tcPr>
          <w:p>
            <w:pPr>
              <w:pStyle w:val="TableParagraph"/>
              <w:spacing w:line="215" w:lineRule="exact" w:before="46"/>
              <w:ind w:left="210"/>
              <w:rPr>
                <w:sz w:val="20"/>
              </w:rPr>
            </w:pPr>
            <w:r>
              <w:rPr>
                <w:spacing w:val="-5"/>
                <w:sz w:val="20"/>
              </w:rPr>
              <w:t>253</w:t>
            </w:r>
          </w:p>
        </w:tc>
        <w:tc>
          <w:tcPr>
            <w:tcW w:w="2576" w:type="dxa"/>
          </w:tcPr>
          <w:p>
            <w:pPr>
              <w:pStyle w:val="TableParagraph"/>
              <w:spacing w:line="215"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органов</w:t>
            </w:r>
          </w:p>
        </w:tc>
        <w:tc>
          <w:tcPr>
            <w:tcW w:w="5059" w:type="dxa"/>
          </w:tcPr>
          <w:p>
            <w:pPr>
              <w:pStyle w:val="TableParagraph"/>
              <w:spacing w:line="215" w:lineRule="exact" w:before="46"/>
              <w:ind w:left="173"/>
              <w:rPr>
                <w:sz w:val="20"/>
              </w:rPr>
            </w:pPr>
            <w:r>
              <w:rPr>
                <w:sz w:val="20"/>
              </w:rPr>
              <w:t>I85,</w:t>
            </w:r>
            <w:r>
              <w:rPr>
                <w:spacing w:val="-5"/>
                <w:sz w:val="20"/>
              </w:rPr>
              <w:t> </w:t>
            </w:r>
            <w:r>
              <w:rPr>
                <w:sz w:val="20"/>
              </w:rPr>
              <w:t>I85.0,</w:t>
            </w:r>
            <w:r>
              <w:rPr>
                <w:spacing w:val="-4"/>
                <w:sz w:val="20"/>
              </w:rPr>
              <w:t> </w:t>
            </w:r>
            <w:r>
              <w:rPr>
                <w:sz w:val="20"/>
              </w:rPr>
              <w:t>I85.9,</w:t>
            </w:r>
            <w:r>
              <w:rPr>
                <w:spacing w:val="-4"/>
                <w:sz w:val="20"/>
              </w:rPr>
              <w:t> </w:t>
            </w:r>
            <w:r>
              <w:rPr>
                <w:sz w:val="20"/>
              </w:rPr>
              <w:t>I86.4,</w:t>
            </w:r>
            <w:r>
              <w:rPr>
                <w:spacing w:val="-6"/>
                <w:sz w:val="20"/>
              </w:rPr>
              <w:t> </w:t>
            </w:r>
            <w:r>
              <w:rPr>
                <w:sz w:val="20"/>
              </w:rPr>
              <w:t>I98.2,</w:t>
            </w:r>
            <w:r>
              <w:rPr>
                <w:spacing w:val="-7"/>
                <w:sz w:val="20"/>
              </w:rPr>
              <w:t> </w:t>
            </w:r>
            <w:r>
              <w:rPr>
                <w:sz w:val="20"/>
              </w:rPr>
              <w:t>I98.3,</w:t>
            </w:r>
            <w:r>
              <w:rPr>
                <w:spacing w:val="-4"/>
                <w:sz w:val="20"/>
              </w:rPr>
              <w:t> </w:t>
            </w:r>
            <w:r>
              <w:rPr>
                <w:sz w:val="20"/>
              </w:rPr>
              <w:t>K35,</w:t>
            </w:r>
            <w:r>
              <w:rPr>
                <w:spacing w:val="-6"/>
                <w:sz w:val="20"/>
              </w:rPr>
              <w:t> </w:t>
            </w:r>
            <w:r>
              <w:rPr>
                <w:spacing w:val="-2"/>
                <w:sz w:val="20"/>
              </w:rPr>
              <w:t>K35.2,</w:t>
            </w:r>
          </w:p>
        </w:tc>
        <w:tc>
          <w:tcPr>
            <w:tcW w:w="2003" w:type="dxa"/>
          </w:tcPr>
          <w:p>
            <w:pPr>
              <w:pStyle w:val="TableParagraph"/>
              <w:spacing w:line="215" w:lineRule="exact" w:before="46"/>
              <w:ind w:left="932"/>
              <w:rPr>
                <w:sz w:val="20"/>
              </w:rPr>
            </w:pPr>
            <w:r>
              <w:rPr>
                <w:w w:val="99"/>
                <w:sz w:val="20"/>
              </w:rPr>
              <w:t>-</w:t>
            </w:r>
          </w:p>
        </w:tc>
        <w:tc>
          <w:tcPr>
            <w:tcW w:w="3119" w:type="dxa"/>
          </w:tcPr>
          <w:p>
            <w:pPr>
              <w:pStyle w:val="TableParagraph"/>
              <w:spacing w:line="215" w:lineRule="exact" w:before="46"/>
              <w:ind w:left="994" w:right="454"/>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8"/>
              <w:jc w:val="right"/>
              <w:rPr>
                <w:sz w:val="20"/>
              </w:rPr>
            </w:pPr>
            <w:r>
              <w:rPr>
                <w:spacing w:val="-4"/>
                <w:sz w:val="20"/>
              </w:rPr>
              <w:t>0,59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spacing w:line="209" w:lineRule="exact"/>
              <w:ind w:left="192"/>
              <w:rPr>
                <w:sz w:val="20"/>
              </w:rPr>
            </w:pPr>
            <w:r>
              <w:rPr>
                <w:spacing w:val="-2"/>
                <w:sz w:val="20"/>
              </w:rPr>
              <w:t>пищеварения,</w:t>
            </w:r>
            <w:r>
              <w:rPr>
                <w:spacing w:val="7"/>
                <w:sz w:val="20"/>
              </w:rPr>
              <w:t> </w:t>
            </w:r>
            <w:r>
              <w:rPr>
                <w:spacing w:val="-2"/>
                <w:sz w:val="20"/>
              </w:rPr>
              <w:t>взрослые</w:t>
            </w:r>
          </w:p>
        </w:tc>
        <w:tc>
          <w:tcPr>
            <w:tcW w:w="5059" w:type="dxa"/>
          </w:tcPr>
          <w:p>
            <w:pPr>
              <w:pStyle w:val="TableParagraph"/>
              <w:spacing w:line="209" w:lineRule="exact"/>
              <w:ind w:left="312"/>
              <w:rPr>
                <w:sz w:val="20"/>
              </w:rPr>
            </w:pPr>
            <w:r>
              <w:rPr>
                <w:sz w:val="20"/>
              </w:rPr>
              <w:t>K35.3,</w:t>
            </w:r>
            <w:r>
              <w:rPr>
                <w:spacing w:val="-4"/>
                <w:sz w:val="20"/>
              </w:rPr>
              <w:t> </w:t>
            </w:r>
            <w:r>
              <w:rPr>
                <w:sz w:val="20"/>
              </w:rPr>
              <w:t>K35.8,</w:t>
            </w:r>
            <w:r>
              <w:rPr>
                <w:spacing w:val="-6"/>
                <w:sz w:val="20"/>
              </w:rPr>
              <w:t> </w:t>
            </w:r>
            <w:r>
              <w:rPr>
                <w:sz w:val="20"/>
              </w:rPr>
              <w:t>K36,</w:t>
            </w:r>
            <w:r>
              <w:rPr>
                <w:spacing w:val="-4"/>
                <w:sz w:val="20"/>
              </w:rPr>
              <w:t> </w:t>
            </w:r>
            <w:r>
              <w:rPr>
                <w:sz w:val="20"/>
              </w:rPr>
              <w:t>K37,</w:t>
            </w:r>
            <w:r>
              <w:rPr>
                <w:spacing w:val="-4"/>
                <w:sz w:val="20"/>
              </w:rPr>
              <w:t> </w:t>
            </w:r>
            <w:r>
              <w:rPr>
                <w:sz w:val="20"/>
              </w:rPr>
              <w:t>K38,</w:t>
            </w:r>
            <w:r>
              <w:rPr>
                <w:spacing w:val="-4"/>
                <w:sz w:val="20"/>
              </w:rPr>
              <w:t> </w:t>
            </w:r>
            <w:r>
              <w:rPr>
                <w:sz w:val="20"/>
              </w:rPr>
              <w:t>K38.0,</w:t>
            </w:r>
            <w:r>
              <w:rPr>
                <w:spacing w:val="-6"/>
                <w:sz w:val="20"/>
              </w:rPr>
              <w:t> </w:t>
            </w:r>
            <w:r>
              <w:rPr>
                <w:spacing w:val="-2"/>
                <w:sz w:val="20"/>
              </w:rPr>
              <w:t>K38.1,</w:t>
            </w:r>
          </w:p>
        </w:tc>
        <w:tc>
          <w:tcPr>
            <w:tcW w:w="2003" w:type="dxa"/>
          </w:tcPr>
          <w:p>
            <w:pPr>
              <w:pStyle w:val="TableParagraph"/>
              <w:rPr>
                <w:sz w:val="16"/>
              </w:rPr>
            </w:pPr>
          </w:p>
        </w:tc>
        <w:tc>
          <w:tcPr>
            <w:tcW w:w="3119" w:type="dxa"/>
          </w:tcPr>
          <w:p>
            <w:pPr>
              <w:pStyle w:val="TableParagraph"/>
              <w:spacing w:line="209" w:lineRule="exact"/>
              <w:ind w:left="994"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9" w:lineRule="exact"/>
              <w:ind w:left="161"/>
              <w:rPr>
                <w:sz w:val="20"/>
              </w:rPr>
            </w:pPr>
            <w:r>
              <w:rPr>
                <w:sz w:val="20"/>
              </w:rPr>
              <w:t>K38.2,</w:t>
            </w:r>
            <w:r>
              <w:rPr>
                <w:spacing w:val="-4"/>
                <w:sz w:val="20"/>
              </w:rPr>
              <w:t> </w:t>
            </w:r>
            <w:r>
              <w:rPr>
                <w:sz w:val="20"/>
              </w:rPr>
              <w:t>K38.3,</w:t>
            </w:r>
            <w:r>
              <w:rPr>
                <w:spacing w:val="-6"/>
                <w:sz w:val="20"/>
              </w:rPr>
              <w:t> </w:t>
            </w:r>
            <w:r>
              <w:rPr>
                <w:sz w:val="20"/>
              </w:rPr>
              <w:t>K38.8,</w:t>
            </w:r>
            <w:r>
              <w:rPr>
                <w:spacing w:val="-4"/>
                <w:sz w:val="20"/>
              </w:rPr>
              <w:t> </w:t>
            </w:r>
            <w:r>
              <w:rPr>
                <w:sz w:val="20"/>
              </w:rPr>
              <w:t>K38.9,</w:t>
            </w:r>
            <w:r>
              <w:rPr>
                <w:spacing w:val="-6"/>
                <w:sz w:val="20"/>
              </w:rPr>
              <w:t> </w:t>
            </w:r>
            <w:r>
              <w:rPr>
                <w:sz w:val="20"/>
              </w:rPr>
              <w:t>K40,</w:t>
            </w:r>
            <w:r>
              <w:rPr>
                <w:spacing w:val="-4"/>
                <w:sz w:val="20"/>
              </w:rPr>
              <w:t> </w:t>
            </w:r>
            <w:r>
              <w:rPr>
                <w:sz w:val="20"/>
              </w:rPr>
              <w:t>K40.0,</w:t>
            </w:r>
            <w:r>
              <w:rPr>
                <w:spacing w:val="-4"/>
                <w:sz w:val="20"/>
              </w:rPr>
              <w:t> </w:t>
            </w:r>
            <w:r>
              <w:rPr>
                <w:spacing w:val="-2"/>
                <w:sz w:val="20"/>
              </w:rPr>
              <w:t>K40.1,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K40.2,</w:t>
            </w:r>
            <w:r>
              <w:rPr>
                <w:spacing w:val="-4"/>
                <w:sz w:val="20"/>
              </w:rPr>
              <w:t> </w:t>
            </w:r>
            <w:r>
              <w:rPr>
                <w:sz w:val="20"/>
              </w:rPr>
              <w:t>K40.3,</w:t>
            </w:r>
            <w:r>
              <w:rPr>
                <w:spacing w:val="-6"/>
                <w:sz w:val="20"/>
              </w:rPr>
              <w:t> </w:t>
            </w:r>
            <w:r>
              <w:rPr>
                <w:sz w:val="20"/>
              </w:rPr>
              <w:t>K40.4,</w:t>
            </w:r>
            <w:r>
              <w:rPr>
                <w:spacing w:val="-4"/>
                <w:sz w:val="20"/>
              </w:rPr>
              <w:t> </w:t>
            </w:r>
            <w:r>
              <w:rPr>
                <w:sz w:val="20"/>
              </w:rPr>
              <w:t>K40.9,</w:t>
            </w:r>
            <w:r>
              <w:rPr>
                <w:spacing w:val="-6"/>
                <w:sz w:val="20"/>
              </w:rPr>
              <w:t> </w:t>
            </w:r>
            <w:r>
              <w:rPr>
                <w:sz w:val="20"/>
              </w:rPr>
              <w:t>K41,</w:t>
            </w:r>
            <w:r>
              <w:rPr>
                <w:spacing w:val="-4"/>
                <w:sz w:val="20"/>
              </w:rPr>
              <w:t> </w:t>
            </w:r>
            <w:r>
              <w:rPr>
                <w:sz w:val="20"/>
              </w:rPr>
              <w:t>K41.0,</w:t>
            </w:r>
            <w:r>
              <w:rPr>
                <w:spacing w:val="-4"/>
                <w:sz w:val="20"/>
              </w:rPr>
              <w:t> </w:t>
            </w:r>
            <w:r>
              <w:rPr>
                <w:spacing w:val="-2"/>
                <w:sz w:val="20"/>
              </w:rPr>
              <w:t>K41.1,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K41.2,</w:t>
            </w:r>
            <w:r>
              <w:rPr>
                <w:spacing w:val="-4"/>
                <w:sz w:val="20"/>
              </w:rPr>
              <w:t> </w:t>
            </w:r>
            <w:r>
              <w:rPr>
                <w:sz w:val="20"/>
              </w:rPr>
              <w:t>K41.3,</w:t>
            </w:r>
            <w:r>
              <w:rPr>
                <w:spacing w:val="-6"/>
                <w:sz w:val="20"/>
              </w:rPr>
              <w:t> </w:t>
            </w:r>
            <w:r>
              <w:rPr>
                <w:sz w:val="20"/>
              </w:rPr>
              <w:t>K41.4,</w:t>
            </w:r>
            <w:r>
              <w:rPr>
                <w:spacing w:val="-4"/>
                <w:sz w:val="20"/>
              </w:rPr>
              <w:t> </w:t>
            </w:r>
            <w:r>
              <w:rPr>
                <w:sz w:val="20"/>
              </w:rPr>
              <w:t>K41.9,</w:t>
            </w:r>
            <w:r>
              <w:rPr>
                <w:spacing w:val="-6"/>
                <w:sz w:val="20"/>
              </w:rPr>
              <w:t> </w:t>
            </w:r>
            <w:r>
              <w:rPr>
                <w:sz w:val="20"/>
              </w:rPr>
              <w:t>K42,</w:t>
            </w:r>
            <w:r>
              <w:rPr>
                <w:spacing w:val="-4"/>
                <w:sz w:val="20"/>
              </w:rPr>
              <w:t> </w:t>
            </w:r>
            <w:r>
              <w:rPr>
                <w:sz w:val="20"/>
              </w:rPr>
              <w:t>K42.0,</w:t>
            </w:r>
            <w:r>
              <w:rPr>
                <w:spacing w:val="-4"/>
                <w:sz w:val="20"/>
              </w:rPr>
              <w:t> </w:t>
            </w:r>
            <w:r>
              <w:rPr>
                <w:spacing w:val="-2"/>
                <w:sz w:val="20"/>
              </w:rPr>
              <w:t>K42.1,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1" w:lineRule="exact"/>
              <w:ind w:left="163"/>
              <w:rPr>
                <w:sz w:val="20"/>
              </w:rPr>
            </w:pPr>
            <w:r>
              <w:rPr>
                <w:sz w:val="20"/>
              </w:rPr>
              <w:t>K42.9,</w:t>
            </w:r>
            <w:r>
              <w:rPr>
                <w:spacing w:val="-6"/>
                <w:sz w:val="20"/>
              </w:rPr>
              <w:t> </w:t>
            </w:r>
            <w:r>
              <w:rPr>
                <w:sz w:val="20"/>
              </w:rPr>
              <w:t>K43,</w:t>
            </w:r>
            <w:r>
              <w:rPr>
                <w:spacing w:val="-6"/>
                <w:sz w:val="20"/>
              </w:rPr>
              <w:t> </w:t>
            </w:r>
            <w:r>
              <w:rPr>
                <w:sz w:val="20"/>
              </w:rPr>
              <w:t>K43.0,</w:t>
            </w:r>
            <w:r>
              <w:rPr>
                <w:spacing w:val="-5"/>
                <w:sz w:val="20"/>
              </w:rPr>
              <w:t> </w:t>
            </w:r>
            <w:r>
              <w:rPr>
                <w:sz w:val="20"/>
              </w:rPr>
              <w:t>K43.1,</w:t>
            </w:r>
            <w:r>
              <w:rPr>
                <w:spacing w:val="-6"/>
                <w:sz w:val="20"/>
              </w:rPr>
              <w:t> </w:t>
            </w:r>
            <w:r>
              <w:rPr>
                <w:sz w:val="20"/>
              </w:rPr>
              <w:t>K43.2,</w:t>
            </w:r>
            <w:r>
              <w:rPr>
                <w:spacing w:val="-5"/>
                <w:sz w:val="20"/>
              </w:rPr>
              <w:t> </w:t>
            </w:r>
            <w:r>
              <w:rPr>
                <w:sz w:val="20"/>
              </w:rPr>
              <w:t>K43.3,</w:t>
            </w:r>
            <w:r>
              <w:rPr>
                <w:spacing w:val="-6"/>
                <w:sz w:val="20"/>
              </w:rPr>
              <w:t> </w:t>
            </w:r>
            <w:r>
              <w:rPr>
                <w:spacing w:val="-2"/>
                <w:sz w:val="20"/>
              </w:rPr>
              <w:t>K43.4,</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1" w:lineRule="exact"/>
              <w:ind w:left="161"/>
              <w:rPr>
                <w:sz w:val="20"/>
              </w:rPr>
            </w:pPr>
            <w:r>
              <w:rPr>
                <w:sz w:val="20"/>
              </w:rPr>
              <w:t>K43.5,</w:t>
            </w:r>
            <w:r>
              <w:rPr>
                <w:spacing w:val="-4"/>
                <w:sz w:val="20"/>
              </w:rPr>
              <w:t> </w:t>
            </w:r>
            <w:r>
              <w:rPr>
                <w:sz w:val="20"/>
              </w:rPr>
              <w:t>K43.6,</w:t>
            </w:r>
            <w:r>
              <w:rPr>
                <w:spacing w:val="-6"/>
                <w:sz w:val="20"/>
              </w:rPr>
              <w:t> </w:t>
            </w:r>
            <w:r>
              <w:rPr>
                <w:sz w:val="20"/>
              </w:rPr>
              <w:t>K43.7,</w:t>
            </w:r>
            <w:r>
              <w:rPr>
                <w:spacing w:val="-4"/>
                <w:sz w:val="20"/>
              </w:rPr>
              <w:t> </w:t>
            </w:r>
            <w:r>
              <w:rPr>
                <w:sz w:val="20"/>
              </w:rPr>
              <w:t>K43.9,</w:t>
            </w:r>
            <w:r>
              <w:rPr>
                <w:spacing w:val="-6"/>
                <w:sz w:val="20"/>
              </w:rPr>
              <w:t> </w:t>
            </w:r>
            <w:r>
              <w:rPr>
                <w:sz w:val="20"/>
              </w:rPr>
              <w:t>K44,</w:t>
            </w:r>
            <w:r>
              <w:rPr>
                <w:spacing w:val="-4"/>
                <w:sz w:val="20"/>
              </w:rPr>
              <w:t> </w:t>
            </w:r>
            <w:r>
              <w:rPr>
                <w:sz w:val="20"/>
              </w:rPr>
              <w:t>K44.0,</w:t>
            </w:r>
            <w:r>
              <w:rPr>
                <w:spacing w:val="-4"/>
                <w:sz w:val="20"/>
              </w:rPr>
              <w:t> </w:t>
            </w:r>
            <w:r>
              <w:rPr>
                <w:spacing w:val="-2"/>
                <w:sz w:val="20"/>
              </w:rPr>
              <w:t>K44.1,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9" w:lineRule="exact"/>
              <w:ind w:left="237"/>
              <w:rPr>
                <w:sz w:val="20"/>
              </w:rPr>
            </w:pPr>
            <w:r>
              <w:rPr>
                <w:sz w:val="20"/>
              </w:rPr>
              <w:t>K44.9,</w:t>
            </w:r>
            <w:r>
              <w:rPr>
                <w:spacing w:val="-5"/>
                <w:sz w:val="20"/>
              </w:rPr>
              <w:t> </w:t>
            </w:r>
            <w:r>
              <w:rPr>
                <w:sz w:val="20"/>
              </w:rPr>
              <w:t>K45,</w:t>
            </w:r>
            <w:r>
              <w:rPr>
                <w:spacing w:val="-4"/>
                <w:sz w:val="20"/>
              </w:rPr>
              <w:t> </w:t>
            </w:r>
            <w:r>
              <w:rPr>
                <w:sz w:val="20"/>
              </w:rPr>
              <w:t>K45.0,</w:t>
            </w:r>
            <w:r>
              <w:rPr>
                <w:spacing w:val="-5"/>
                <w:sz w:val="20"/>
              </w:rPr>
              <w:t> </w:t>
            </w:r>
            <w:r>
              <w:rPr>
                <w:sz w:val="20"/>
              </w:rPr>
              <w:t>K45.1,</w:t>
            </w:r>
            <w:r>
              <w:rPr>
                <w:spacing w:val="-4"/>
                <w:sz w:val="20"/>
              </w:rPr>
              <w:t> </w:t>
            </w:r>
            <w:r>
              <w:rPr>
                <w:sz w:val="20"/>
              </w:rPr>
              <w:t>K45.8,</w:t>
            </w:r>
            <w:r>
              <w:rPr>
                <w:spacing w:val="-5"/>
                <w:sz w:val="20"/>
              </w:rPr>
              <w:t> </w:t>
            </w:r>
            <w:r>
              <w:rPr>
                <w:sz w:val="20"/>
              </w:rPr>
              <w:t>K46,</w:t>
            </w:r>
            <w:r>
              <w:rPr>
                <w:spacing w:val="-4"/>
                <w:sz w:val="20"/>
              </w:rPr>
              <w:t> </w:t>
            </w:r>
            <w:r>
              <w:rPr>
                <w:spacing w:val="-2"/>
                <w:sz w:val="20"/>
              </w:rPr>
              <w:t>K46.0,</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9" w:lineRule="exact"/>
              <w:ind w:left="163"/>
              <w:rPr>
                <w:sz w:val="20"/>
              </w:rPr>
            </w:pPr>
            <w:r>
              <w:rPr>
                <w:sz w:val="20"/>
              </w:rPr>
              <w:t>K46.1,</w:t>
            </w:r>
            <w:r>
              <w:rPr>
                <w:spacing w:val="-6"/>
                <w:sz w:val="20"/>
              </w:rPr>
              <w:t> </w:t>
            </w:r>
            <w:r>
              <w:rPr>
                <w:sz w:val="20"/>
              </w:rPr>
              <w:t>K46.9,</w:t>
            </w:r>
            <w:r>
              <w:rPr>
                <w:spacing w:val="-7"/>
                <w:sz w:val="20"/>
              </w:rPr>
              <w:t> </w:t>
            </w:r>
            <w:r>
              <w:rPr>
                <w:sz w:val="20"/>
              </w:rPr>
              <w:t>K52,</w:t>
            </w:r>
            <w:r>
              <w:rPr>
                <w:spacing w:val="-5"/>
                <w:sz w:val="20"/>
              </w:rPr>
              <w:t> </w:t>
            </w:r>
            <w:r>
              <w:rPr>
                <w:sz w:val="20"/>
              </w:rPr>
              <w:t>K52.0,</w:t>
            </w:r>
            <w:r>
              <w:rPr>
                <w:spacing w:val="-5"/>
                <w:sz w:val="20"/>
              </w:rPr>
              <w:t> </w:t>
            </w:r>
            <w:r>
              <w:rPr>
                <w:sz w:val="20"/>
              </w:rPr>
              <w:t>K52.1,</w:t>
            </w:r>
            <w:r>
              <w:rPr>
                <w:spacing w:val="-5"/>
                <w:sz w:val="20"/>
              </w:rPr>
              <w:t> </w:t>
            </w:r>
            <w:r>
              <w:rPr>
                <w:sz w:val="20"/>
              </w:rPr>
              <w:t>K52.2,</w:t>
            </w:r>
            <w:r>
              <w:rPr>
                <w:spacing w:val="-6"/>
                <w:sz w:val="20"/>
              </w:rPr>
              <w:t> </w:t>
            </w:r>
            <w:r>
              <w:rPr>
                <w:spacing w:val="-2"/>
                <w:sz w:val="20"/>
              </w:rPr>
              <w:t>K52.3,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3"/>
              <w:rPr>
                <w:sz w:val="20"/>
              </w:rPr>
            </w:pPr>
            <w:r>
              <w:rPr>
                <w:sz w:val="20"/>
              </w:rPr>
              <w:t>K52.8,</w:t>
            </w:r>
            <w:r>
              <w:rPr>
                <w:spacing w:val="-6"/>
                <w:sz w:val="20"/>
              </w:rPr>
              <w:t> </w:t>
            </w:r>
            <w:r>
              <w:rPr>
                <w:sz w:val="20"/>
              </w:rPr>
              <w:t>K52.9,</w:t>
            </w:r>
            <w:r>
              <w:rPr>
                <w:spacing w:val="-7"/>
                <w:sz w:val="20"/>
              </w:rPr>
              <w:t> </w:t>
            </w:r>
            <w:r>
              <w:rPr>
                <w:sz w:val="20"/>
              </w:rPr>
              <w:t>K55,</w:t>
            </w:r>
            <w:r>
              <w:rPr>
                <w:spacing w:val="-5"/>
                <w:sz w:val="20"/>
              </w:rPr>
              <w:t> </w:t>
            </w:r>
            <w:r>
              <w:rPr>
                <w:sz w:val="20"/>
              </w:rPr>
              <w:t>K55.0,</w:t>
            </w:r>
            <w:r>
              <w:rPr>
                <w:spacing w:val="-5"/>
                <w:sz w:val="20"/>
              </w:rPr>
              <w:t> </w:t>
            </w:r>
            <w:r>
              <w:rPr>
                <w:sz w:val="20"/>
              </w:rPr>
              <w:t>K55.1,</w:t>
            </w:r>
            <w:r>
              <w:rPr>
                <w:spacing w:val="-5"/>
                <w:sz w:val="20"/>
              </w:rPr>
              <w:t> </w:t>
            </w:r>
            <w:r>
              <w:rPr>
                <w:sz w:val="20"/>
              </w:rPr>
              <w:t>K55.2,</w:t>
            </w:r>
            <w:r>
              <w:rPr>
                <w:spacing w:val="-6"/>
                <w:sz w:val="20"/>
              </w:rPr>
              <w:t> </w:t>
            </w:r>
            <w:r>
              <w:rPr>
                <w:spacing w:val="-2"/>
                <w:sz w:val="20"/>
              </w:rPr>
              <w:t>K55.3,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3"/>
              <w:rPr>
                <w:sz w:val="20"/>
              </w:rPr>
            </w:pPr>
            <w:r>
              <w:rPr>
                <w:sz w:val="20"/>
              </w:rPr>
              <w:t>K55.8,</w:t>
            </w:r>
            <w:r>
              <w:rPr>
                <w:spacing w:val="-6"/>
                <w:sz w:val="20"/>
              </w:rPr>
              <w:t> </w:t>
            </w:r>
            <w:r>
              <w:rPr>
                <w:sz w:val="20"/>
              </w:rPr>
              <w:t>K55.9,</w:t>
            </w:r>
            <w:r>
              <w:rPr>
                <w:spacing w:val="-7"/>
                <w:sz w:val="20"/>
              </w:rPr>
              <w:t> </w:t>
            </w:r>
            <w:r>
              <w:rPr>
                <w:sz w:val="20"/>
              </w:rPr>
              <w:t>K56,</w:t>
            </w:r>
            <w:r>
              <w:rPr>
                <w:spacing w:val="-5"/>
                <w:sz w:val="20"/>
              </w:rPr>
              <w:t> </w:t>
            </w:r>
            <w:r>
              <w:rPr>
                <w:sz w:val="20"/>
              </w:rPr>
              <w:t>K56.0,</w:t>
            </w:r>
            <w:r>
              <w:rPr>
                <w:spacing w:val="-5"/>
                <w:sz w:val="20"/>
              </w:rPr>
              <w:t> </w:t>
            </w:r>
            <w:r>
              <w:rPr>
                <w:sz w:val="20"/>
              </w:rPr>
              <w:t>K56.1,</w:t>
            </w:r>
            <w:r>
              <w:rPr>
                <w:spacing w:val="-5"/>
                <w:sz w:val="20"/>
              </w:rPr>
              <w:t> </w:t>
            </w:r>
            <w:r>
              <w:rPr>
                <w:sz w:val="20"/>
              </w:rPr>
              <w:t>K56.2,</w:t>
            </w:r>
            <w:r>
              <w:rPr>
                <w:spacing w:val="-6"/>
                <w:sz w:val="20"/>
              </w:rPr>
              <w:t> </w:t>
            </w:r>
            <w:r>
              <w:rPr>
                <w:spacing w:val="-2"/>
                <w:sz w:val="20"/>
              </w:rPr>
              <w:t>K56.3,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K56.4,</w:t>
            </w:r>
            <w:r>
              <w:rPr>
                <w:spacing w:val="-4"/>
                <w:sz w:val="20"/>
              </w:rPr>
              <w:t> </w:t>
            </w:r>
            <w:r>
              <w:rPr>
                <w:sz w:val="20"/>
              </w:rPr>
              <w:t>K56.5,</w:t>
            </w:r>
            <w:r>
              <w:rPr>
                <w:spacing w:val="-6"/>
                <w:sz w:val="20"/>
              </w:rPr>
              <w:t> </w:t>
            </w:r>
            <w:r>
              <w:rPr>
                <w:sz w:val="20"/>
              </w:rPr>
              <w:t>K56.6,</w:t>
            </w:r>
            <w:r>
              <w:rPr>
                <w:spacing w:val="-4"/>
                <w:sz w:val="20"/>
              </w:rPr>
              <w:t> </w:t>
            </w:r>
            <w:r>
              <w:rPr>
                <w:sz w:val="20"/>
              </w:rPr>
              <w:t>K56.7,</w:t>
            </w:r>
            <w:r>
              <w:rPr>
                <w:spacing w:val="-6"/>
                <w:sz w:val="20"/>
              </w:rPr>
              <w:t> </w:t>
            </w:r>
            <w:r>
              <w:rPr>
                <w:sz w:val="20"/>
              </w:rPr>
              <w:t>K57,</w:t>
            </w:r>
            <w:r>
              <w:rPr>
                <w:spacing w:val="-4"/>
                <w:sz w:val="20"/>
              </w:rPr>
              <w:t> </w:t>
            </w:r>
            <w:r>
              <w:rPr>
                <w:sz w:val="20"/>
              </w:rPr>
              <w:t>K57.0,</w:t>
            </w:r>
            <w:r>
              <w:rPr>
                <w:spacing w:val="-4"/>
                <w:sz w:val="20"/>
              </w:rPr>
              <w:t> </w:t>
            </w:r>
            <w:r>
              <w:rPr>
                <w:spacing w:val="-2"/>
                <w:sz w:val="20"/>
              </w:rPr>
              <w:t>K57.1,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K57.2,</w:t>
            </w:r>
            <w:r>
              <w:rPr>
                <w:spacing w:val="-5"/>
                <w:sz w:val="20"/>
              </w:rPr>
              <w:t> </w:t>
            </w:r>
            <w:r>
              <w:rPr>
                <w:sz w:val="20"/>
              </w:rPr>
              <w:t>K57.3,</w:t>
            </w:r>
            <w:r>
              <w:rPr>
                <w:spacing w:val="-5"/>
                <w:sz w:val="20"/>
              </w:rPr>
              <w:t> </w:t>
            </w:r>
            <w:r>
              <w:rPr>
                <w:sz w:val="20"/>
              </w:rPr>
              <w:t>K57.4,</w:t>
            </w:r>
            <w:r>
              <w:rPr>
                <w:spacing w:val="-4"/>
                <w:sz w:val="20"/>
              </w:rPr>
              <w:t> </w:t>
            </w:r>
            <w:r>
              <w:rPr>
                <w:sz w:val="20"/>
              </w:rPr>
              <w:t>K57.5,</w:t>
            </w:r>
            <w:r>
              <w:rPr>
                <w:spacing w:val="-6"/>
                <w:sz w:val="20"/>
              </w:rPr>
              <w:t> </w:t>
            </w:r>
            <w:r>
              <w:rPr>
                <w:sz w:val="20"/>
              </w:rPr>
              <w:t>K57.8,</w:t>
            </w:r>
            <w:r>
              <w:rPr>
                <w:spacing w:val="-4"/>
                <w:sz w:val="20"/>
              </w:rPr>
              <w:t> </w:t>
            </w:r>
            <w:r>
              <w:rPr>
                <w:sz w:val="20"/>
              </w:rPr>
              <w:t>K57.9,</w:t>
            </w:r>
            <w:r>
              <w:rPr>
                <w:spacing w:val="-6"/>
                <w:sz w:val="20"/>
              </w:rPr>
              <w:t> </w:t>
            </w:r>
            <w:r>
              <w:rPr>
                <w:spacing w:val="-4"/>
                <w:sz w:val="20"/>
              </w:rPr>
              <w:t>K58,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5" w:lineRule="exact"/>
              <w:ind w:left="161"/>
              <w:rPr>
                <w:sz w:val="20"/>
              </w:rPr>
            </w:pPr>
            <w:r>
              <w:rPr>
                <w:sz w:val="20"/>
              </w:rPr>
              <w:t>K58.1,</w:t>
            </w:r>
            <w:r>
              <w:rPr>
                <w:spacing w:val="-4"/>
                <w:sz w:val="20"/>
              </w:rPr>
              <w:t> </w:t>
            </w:r>
            <w:r>
              <w:rPr>
                <w:sz w:val="20"/>
              </w:rPr>
              <w:t>K58.2,</w:t>
            </w:r>
            <w:r>
              <w:rPr>
                <w:spacing w:val="-6"/>
                <w:sz w:val="20"/>
              </w:rPr>
              <w:t> </w:t>
            </w:r>
            <w:r>
              <w:rPr>
                <w:sz w:val="20"/>
              </w:rPr>
              <w:t>K58.3,</w:t>
            </w:r>
            <w:r>
              <w:rPr>
                <w:spacing w:val="-4"/>
                <w:sz w:val="20"/>
              </w:rPr>
              <w:t> </w:t>
            </w:r>
            <w:r>
              <w:rPr>
                <w:sz w:val="20"/>
              </w:rPr>
              <w:t>K58.8,</w:t>
            </w:r>
            <w:r>
              <w:rPr>
                <w:spacing w:val="-6"/>
                <w:sz w:val="20"/>
              </w:rPr>
              <w:t> </w:t>
            </w:r>
            <w:r>
              <w:rPr>
                <w:sz w:val="20"/>
              </w:rPr>
              <w:t>K59,</w:t>
            </w:r>
            <w:r>
              <w:rPr>
                <w:spacing w:val="-4"/>
                <w:sz w:val="20"/>
              </w:rPr>
              <w:t> </w:t>
            </w:r>
            <w:r>
              <w:rPr>
                <w:sz w:val="20"/>
              </w:rPr>
              <w:t>K59.0,</w:t>
            </w:r>
            <w:r>
              <w:rPr>
                <w:spacing w:val="-4"/>
                <w:sz w:val="20"/>
              </w:rPr>
              <w:t> </w:t>
            </w:r>
            <w:r>
              <w:rPr>
                <w:spacing w:val="-2"/>
                <w:sz w:val="20"/>
              </w:rPr>
              <w:t>K59.1,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51"/>
        <w:gridCol w:w="5090"/>
        <w:gridCol w:w="2395"/>
        <w:gridCol w:w="2327"/>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51" w:type="dxa"/>
            <w:vMerge w:val="restart"/>
          </w:tcPr>
          <w:p>
            <w:pPr>
              <w:pStyle w:val="TableParagraph"/>
              <w:rPr>
                <w:sz w:val="18"/>
              </w:rPr>
            </w:pPr>
          </w:p>
        </w:tc>
        <w:tc>
          <w:tcPr>
            <w:tcW w:w="5090" w:type="dxa"/>
          </w:tcPr>
          <w:p>
            <w:pPr>
              <w:pStyle w:val="TableParagraph"/>
              <w:spacing w:line="205" w:lineRule="exact"/>
              <w:ind w:left="151" w:right="908"/>
              <w:jc w:val="center"/>
              <w:rPr>
                <w:sz w:val="20"/>
              </w:rPr>
            </w:pPr>
            <w:r>
              <w:rPr>
                <w:sz w:val="20"/>
              </w:rPr>
              <w:t>K59.2,</w:t>
            </w:r>
            <w:r>
              <w:rPr>
                <w:spacing w:val="-4"/>
                <w:sz w:val="20"/>
              </w:rPr>
              <w:t> </w:t>
            </w:r>
            <w:r>
              <w:rPr>
                <w:sz w:val="20"/>
              </w:rPr>
              <w:t>K59.3,</w:t>
            </w:r>
            <w:r>
              <w:rPr>
                <w:spacing w:val="-6"/>
                <w:sz w:val="20"/>
              </w:rPr>
              <w:t> </w:t>
            </w:r>
            <w:r>
              <w:rPr>
                <w:sz w:val="20"/>
              </w:rPr>
              <w:t>K59.4,</w:t>
            </w:r>
            <w:r>
              <w:rPr>
                <w:spacing w:val="-4"/>
                <w:sz w:val="20"/>
              </w:rPr>
              <w:t> </w:t>
            </w:r>
            <w:r>
              <w:rPr>
                <w:sz w:val="20"/>
              </w:rPr>
              <w:t>K59.8,</w:t>
            </w:r>
            <w:r>
              <w:rPr>
                <w:spacing w:val="-6"/>
                <w:sz w:val="20"/>
              </w:rPr>
              <w:t> </w:t>
            </w:r>
            <w:r>
              <w:rPr>
                <w:sz w:val="20"/>
              </w:rPr>
              <w:t>K59.9,</w:t>
            </w:r>
            <w:r>
              <w:rPr>
                <w:spacing w:val="-4"/>
                <w:sz w:val="20"/>
              </w:rPr>
              <w:t> </w:t>
            </w:r>
            <w:r>
              <w:rPr>
                <w:sz w:val="20"/>
              </w:rPr>
              <w:t>K60,</w:t>
            </w:r>
            <w:r>
              <w:rPr>
                <w:spacing w:val="-4"/>
                <w:sz w:val="20"/>
              </w:rPr>
              <w:t> </w:t>
            </w:r>
            <w:r>
              <w:rPr>
                <w:spacing w:val="-2"/>
                <w:sz w:val="20"/>
              </w:rPr>
              <w:t>K60.0,</w:t>
            </w:r>
          </w:p>
        </w:tc>
        <w:tc>
          <w:tcPr>
            <w:tcW w:w="2395" w:type="dxa"/>
            <w:vMerge w:val="restart"/>
          </w:tcPr>
          <w:p>
            <w:pPr>
              <w:pStyle w:val="TableParagraph"/>
              <w:rPr>
                <w:sz w:val="18"/>
              </w:rPr>
            </w:pPr>
          </w:p>
        </w:tc>
        <w:tc>
          <w:tcPr>
            <w:tcW w:w="232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K60.1,</w:t>
            </w:r>
            <w:r>
              <w:rPr>
                <w:spacing w:val="-4"/>
                <w:sz w:val="20"/>
              </w:rPr>
              <w:t> </w:t>
            </w:r>
            <w:r>
              <w:rPr>
                <w:sz w:val="20"/>
              </w:rPr>
              <w:t>K60.2,</w:t>
            </w:r>
            <w:r>
              <w:rPr>
                <w:spacing w:val="-6"/>
                <w:sz w:val="20"/>
              </w:rPr>
              <w:t> </w:t>
            </w:r>
            <w:r>
              <w:rPr>
                <w:sz w:val="20"/>
              </w:rPr>
              <w:t>K60.3,</w:t>
            </w:r>
            <w:r>
              <w:rPr>
                <w:spacing w:val="-4"/>
                <w:sz w:val="20"/>
              </w:rPr>
              <w:t> </w:t>
            </w:r>
            <w:r>
              <w:rPr>
                <w:sz w:val="20"/>
              </w:rPr>
              <w:t>K60.4,</w:t>
            </w:r>
            <w:r>
              <w:rPr>
                <w:spacing w:val="-6"/>
                <w:sz w:val="20"/>
              </w:rPr>
              <w:t> </w:t>
            </w:r>
            <w:r>
              <w:rPr>
                <w:sz w:val="20"/>
              </w:rPr>
              <w:t>K60.5,</w:t>
            </w:r>
            <w:r>
              <w:rPr>
                <w:spacing w:val="-4"/>
                <w:sz w:val="20"/>
              </w:rPr>
              <w:t> </w:t>
            </w:r>
            <w:r>
              <w:rPr>
                <w:sz w:val="20"/>
              </w:rPr>
              <w:t>K61,</w:t>
            </w:r>
            <w:r>
              <w:rPr>
                <w:spacing w:val="-4"/>
                <w:sz w:val="20"/>
              </w:rPr>
              <w:t> </w:t>
            </w:r>
            <w:r>
              <w:rPr>
                <w:spacing w:val="-2"/>
                <w:sz w:val="20"/>
              </w:rPr>
              <w:t>K61.0,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K61.1,</w:t>
            </w:r>
            <w:r>
              <w:rPr>
                <w:spacing w:val="-4"/>
                <w:sz w:val="20"/>
              </w:rPr>
              <w:t> </w:t>
            </w:r>
            <w:r>
              <w:rPr>
                <w:sz w:val="20"/>
              </w:rPr>
              <w:t>K61.2,</w:t>
            </w:r>
            <w:r>
              <w:rPr>
                <w:spacing w:val="-6"/>
                <w:sz w:val="20"/>
              </w:rPr>
              <w:t> </w:t>
            </w:r>
            <w:r>
              <w:rPr>
                <w:sz w:val="20"/>
              </w:rPr>
              <w:t>K61.3,</w:t>
            </w:r>
            <w:r>
              <w:rPr>
                <w:spacing w:val="-4"/>
                <w:sz w:val="20"/>
              </w:rPr>
              <w:t> </w:t>
            </w:r>
            <w:r>
              <w:rPr>
                <w:sz w:val="20"/>
              </w:rPr>
              <w:t>K61.4,</w:t>
            </w:r>
            <w:r>
              <w:rPr>
                <w:spacing w:val="-6"/>
                <w:sz w:val="20"/>
              </w:rPr>
              <w:t> </w:t>
            </w:r>
            <w:r>
              <w:rPr>
                <w:sz w:val="20"/>
              </w:rPr>
              <w:t>K62,</w:t>
            </w:r>
            <w:r>
              <w:rPr>
                <w:spacing w:val="-4"/>
                <w:sz w:val="20"/>
              </w:rPr>
              <w:t> </w:t>
            </w:r>
            <w:r>
              <w:rPr>
                <w:sz w:val="20"/>
              </w:rPr>
              <w:t>K62.0,</w:t>
            </w:r>
            <w:r>
              <w:rPr>
                <w:spacing w:val="-4"/>
                <w:sz w:val="20"/>
              </w:rPr>
              <w:t> </w:t>
            </w:r>
            <w:r>
              <w:rPr>
                <w:spacing w:val="-2"/>
                <w:sz w:val="20"/>
              </w:rPr>
              <w:t>K62.1,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8"/>
              <w:jc w:val="center"/>
              <w:rPr>
                <w:sz w:val="20"/>
              </w:rPr>
            </w:pPr>
            <w:r>
              <w:rPr>
                <w:sz w:val="20"/>
              </w:rPr>
              <w:t>K62.2,</w:t>
            </w:r>
            <w:r>
              <w:rPr>
                <w:spacing w:val="-4"/>
                <w:sz w:val="20"/>
              </w:rPr>
              <w:t> </w:t>
            </w:r>
            <w:r>
              <w:rPr>
                <w:sz w:val="20"/>
              </w:rPr>
              <w:t>K62.3,</w:t>
            </w:r>
            <w:r>
              <w:rPr>
                <w:spacing w:val="-6"/>
                <w:sz w:val="20"/>
              </w:rPr>
              <w:t> </w:t>
            </w:r>
            <w:r>
              <w:rPr>
                <w:sz w:val="20"/>
              </w:rPr>
              <w:t>K62.4,</w:t>
            </w:r>
            <w:r>
              <w:rPr>
                <w:spacing w:val="-4"/>
                <w:sz w:val="20"/>
              </w:rPr>
              <w:t> </w:t>
            </w:r>
            <w:r>
              <w:rPr>
                <w:sz w:val="20"/>
              </w:rPr>
              <w:t>K62.5,</w:t>
            </w:r>
            <w:r>
              <w:rPr>
                <w:spacing w:val="-6"/>
                <w:sz w:val="20"/>
              </w:rPr>
              <w:t> </w:t>
            </w:r>
            <w:r>
              <w:rPr>
                <w:sz w:val="20"/>
              </w:rPr>
              <w:t>K62.6,</w:t>
            </w:r>
            <w:r>
              <w:rPr>
                <w:spacing w:val="-4"/>
                <w:sz w:val="20"/>
              </w:rPr>
              <w:t> </w:t>
            </w:r>
            <w:r>
              <w:rPr>
                <w:spacing w:val="-2"/>
                <w:sz w:val="20"/>
              </w:rPr>
              <w:t>K62.7,</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6"/>
              <w:jc w:val="center"/>
              <w:rPr>
                <w:sz w:val="20"/>
              </w:rPr>
            </w:pPr>
            <w:r>
              <w:rPr>
                <w:sz w:val="20"/>
              </w:rPr>
              <w:t>K62.8,</w:t>
            </w:r>
            <w:r>
              <w:rPr>
                <w:spacing w:val="-5"/>
                <w:sz w:val="20"/>
              </w:rPr>
              <w:t> </w:t>
            </w:r>
            <w:r>
              <w:rPr>
                <w:sz w:val="20"/>
              </w:rPr>
              <w:t>K62.9,</w:t>
            </w:r>
            <w:r>
              <w:rPr>
                <w:spacing w:val="-7"/>
                <w:sz w:val="20"/>
              </w:rPr>
              <w:t> </w:t>
            </w:r>
            <w:r>
              <w:rPr>
                <w:sz w:val="20"/>
              </w:rPr>
              <w:t>K63,</w:t>
            </w:r>
            <w:r>
              <w:rPr>
                <w:spacing w:val="-4"/>
                <w:sz w:val="20"/>
              </w:rPr>
              <w:t> </w:t>
            </w:r>
            <w:r>
              <w:rPr>
                <w:sz w:val="20"/>
              </w:rPr>
              <w:t>K63.0,</w:t>
            </w:r>
            <w:r>
              <w:rPr>
                <w:spacing w:val="-5"/>
                <w:sz w:val="20"/>
              </w:rPr>
              <w:t> </w:t>
            </w:r>
            <w:r>
              <w:rPr>
                <w:sz w:val="20"/>
              </w:rPr>
              <w:t>K63.1,</w:t>
            </w:r>
            <w:r>
              <w:rPr>
                <w:spacing w:val="-5"/>
                <w:sz w:val="20"/>
              </w:rPr>
              <w:t> </w:t>
            </w:r>
            <w:r>
              <w:rPr>
                <w:sz w:val="20"/>
              </w:rPr>
              <w:t>K63.2,</w:t>
            </w:r>
            <w:r>
              <w:rPr>
                <w:spacing w:val="-5"/>
                <w:sz w:val="20"/>
              </w:rPr>
              <w:t> </w:t>
            </w:r>
            <w:r>
              <w:rPr>
                <w:spacing w:val="-2"/>
                <w:sz w:val="20"/>
              </w:rPr>
              <w:t>K63.3,</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K63.4,</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1" w:right="908"/>
              <w:jc w:val="center"/>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3" w:right="908"/>
              <w:jc w:val="center"/>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2"/>
              <w:jc w:val="center"/>
              <w:rPr>
                <w:sz w:val="20"/>
              </w:rPr>
            </w:pPr>
            <w:r>
              <w:rPr>
                <w:sz w:val="20"/>
              </w:rPr>
              <w:t>K90,</w:t>
            </w:r>
            <w:r>
              <w:rPr>
                <w:spacing w:val="-6"/>
                <w:sz w:val="20"/>
              </w:rPr>
              <w:t> </w:t>
            </w:r>
            <w:r>
              <w:rPr>
                <w:sz w:val="20"/>
              </w:rPr>
              <w:t>K90.0,</w:t>
            </w:r>
            <w:r>
              <w:rPr>
                <w:spacing w:val="-6"/>
                <w:sz w:val="20"/>
              </w:rPr>
              <w:t> </w:t>
            </w:r>
            <w:r>
              <w:rPr>
                <w:sz w:val="20"/>
              </w:rPr>
              <w:t>K90.1,</w:t>
            </w:r>
            <w:r>
              <w:rPr>
                <w:spacing w:val="-5"/>
                <w:sz w:val="20"/>
              </w:rPr>
              <w:t> </w:t>
            </w:r>
            <w:r>
              <w:rPr>
                <w:sz w:val="20"/>
              </w:rPr>
              <w:t>K90.2,</w:t>
            </w:r>
            <w:r>
              <w:rPr>
                <w:spacing w:val="-6"/>
                <w:sz w:val="20"/>
              </w:rPr>
              <w:t> </w:t>
            </w:r>
            <w:r>
              <w:rPr>
                <w:sz w:val="20"/>
              </w:rPr>
              <w:t>K90.3,</w:t>
            </w:r>
            <w:r>
              <w:rPr>
                <w:spacing w:val="-5"/>
                <w:sz w:val="20"/>
              </w:rPr>
              <w:t> </w:t>
            </w:r>
            <w:r>
              <w:rPr>
                <w:sz w:val="20"/>
              </w:rPr>
              <w:t>K90.4,</w:t>
            </w:r>
            <w:r>
              <w:rPr>
                <w:spacing w:val="-6"/>
                <w:sz w:val="20"/>
              </w:rPr>
              <w:t> </w:t>
            </w:r>
            <w:r>
              <w:rPr>
                <w:spacing w:val="-2"/>
                <w:sz w:val="20"/>
              </w:rPr>
              <w:t>K90.8,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K90.9,</w:t>
            </w:r>
            <w:r>
              <w:rPr>
                <w:spacing w:val="-6"/>
                <w:sz w:val="20"/>
              </w:rPr>
              <w:t> </w:t>
            </w:r>
            <w:r>
              <w:rPr>
                <w:sz w:val="20"/>
              </w:rPr>
              <w:t>K91,</w:t>
            </w:r>
            <w:r>
              <w:rPr>
                <w:spacing w:val="-6"/>
                <w:sz w:val="20"/>
              </w:rPr>
              <w:t> </w:t>
            </w:r>
            <w:r>
              <w:rPr>
                <w:sz w:val="20"/>
              </w:rPr>
              <w:t>K91.0,</w:t>
            </w:r>
            <w:r>
              <w:rPr>
                <w:spacing w:val="-5"/>
                <w:sz w:val="20"/>
              </w:rPr>
              <w:t> </w:t>
            </w:r>
            <w:r>
              <w:rPr>
                <w:sz w:val="20"/>
              </w:rPr>
              <w:t>K91.1,</w:t>
            </w:r>
            <w:r>
              <w:rPr>
                <w:spacing w:val="-6"/>
                <w:sz w:val="20"/>
              </w:rPr>
              <w:t> </w:t>
            </w:r>
            <w:r>
              <w:rPr>
                <w:sz w:val="20"/>
              </w:rPr>
              <w:t>K91.2,</w:t>
            </w:r>
            <w:r>
              <w:rPr>
                <w:spacing w:val="-5"/>
                <w:sz w:val="20"/>
              </w:rPr>
              <w:t> </w:t>
            </w:r>
            <w:r>
              <w:rPr>
                <w:sz w:val="20"/>
              </w:rPr>
              <w:t>K91.3,</w:t>
            </w:r>
            <w:r>
              <w:rPr>
                <w:spacing w:val="-6"/>
                <w:sz w:val="20"/>
              </w:rPr>
              <w:t> </w:t>
            </w:r>
            <w:r>
              <w:rPr>
                <w:spacing w:val="-2"/>
                <w:sz w:val="20"/>
              </w:rPr>
              <w:t>K91.4,</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K91.8,</w:t>
            </w:r>
            <w:r>
              <w:rPr>
                <w:spacing w:val="-6"/>
                <w:sz w:val="20"/>
              </w:rPr>
              <w:t> </w:t>
            </w:r>
            <w:r>
              <w:rPr>
                <w:sz w:val="20"/>
              </w:rPr>
              <w:t>K91.9,</w:t>
            </w:r>
            <w:r>
              <w:rPr>
                <w:spacing w:val="-7"/>
                <w:sz w:val="20"/>
              </w:rPr>
              <w:t> </w:t>
            </w:r>
            <w:r>
              <w:rPr>
                <w:sz w:val="20"/>
              </w:rPr>
              <w:t>K92,</w:t>
            </w:r>
            <w:r>
              <w:rPr>
                <w:spacing w:val="-5"/>
                <w:sz w:val="20"/>
              </w:rPr>
              <w:t> </w:t>
            </w:r>
            <w:r>
              <w:rPr>
                <w:sz w:val="20"/>
              </w:rPr>
              <w:t>K92.0,</w:t>
            </w:r>
            <w:r>
              <w:rPr>
                <w:spacing w:val="-5"/>
                <w:sz w:val="20"/>
              </w:rPr>
              <w:t> </w:t>
            </w:r>
            <w:r>
              <w:rPr>
                <w:sz w:val="20"/>
              </w:rPr>
              <w:t>K92.1,</w:t>
            </w:r>
            <w:r>
              <w:rPr>
                <w:spacing w:val="-5"/>
                <w:sz w:val="20"/>
              </w:rPr>
              <w:t> </w:t>
            </w:r>
            <w:r>
              <w:rPr>
                <w:sz w:val="20"/>
              </w:rPr>
              <w:t>K92.2,</w:t>
            </w:r>
            <w:r>
              <w:rPr>
                <w:spacing w:val="-6"/>
                <w:sz w:val="20"/>
              </w:rPr>
              <w:t> </w:t>
            </w:r>
            <w:r>
              <w:rPr>
                <w:spacing w:val="-2"/>
                <w:sz w:val="20"/>
              </w:rPr>
              <w:t>K92.8,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K92.9,</w:t>
            </w:r>
            <w:r>
              <w:rPr>
                <w:spacing w:val="-5"/>
                <w:sz w:val="20"/>
              </w:rPr>
              <w:t> </w:t>
            </w:r>
            <w:r>
              <w:rPr>
                <w:sz w:val="20"/>
              </w:rPr>
              <w:t>K93,</w:t>
            </w:r>
            <w:r>
              <w:rPr>
                <w:spacing w:val="-5"/>
                <w:sz w:val="20"/>
              </w:rPr>
              <w:t> </w:t>
            </w:r>
            <w:r>
              <w:rPr>
                <w:sz w:val="20"/>
              </w:rPr>
              <w:t>K93.0,</w:t>
            </w:r>
            <w:r>
              <w:rPr>
                <w:spacing w:val="-5"/>
                <w:sz w:val="20"/>
              </w:rPr>
              <w:t> </w:t>
            </w:r>
            <w:r>
              <w:rPr>
                <w:sz w:val="20"/>
              </w:rPr>
              <w:t>K93.1,</w:t>
            </w:r>
            <w:r>
              <w:rPr>
                <w:spacing w:val="-5"/>
                <w:sz w:val="20"/>
              </w:rPr>
              <w:t> </w:t>
            </w:r>
            <w:r>
              <w:rPr>
                <w:sz w:val="20"/>
              </w:rPr>
              <w:t>K93.8,</w:t>
            </w:r>
            <w:r>
              <w:rPr>
                <w:spacing w:val="-5"/>
                <w:sz w:val="20"/>
              </w:rPr>
              <w:t> </w:t>
            </w:r>
            <w:r>
              <w:rPr>
                <w:sz w:val="20"/>
              </w:rPr>
              <w:t>Q39,</w:t>
            </w:r>
            <w:r>
              <w:rPr>
                <w:spacing w:val="-5"/>
                <w:sz w:val="20"/>
              </w:rPr>
              <w:t> </w:t>
            </w:r>
            <w:r>
              <w:rPr>
                <w:spacing w:val="-2"/>
                <w:sz w:val="20"/>
              </w:rPr>
              <w:t>Q39.0,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4" w:right="908"/>
              <w:jc w:val="center"/>
              <w:rPr>
                <w:sz w:val="20"/>
              </w:rPr>
            </w:pPr>
            <w:r>
              <w:rPr>
                <w:sz w:val="20"/>
              </w:rPr>
              <w:t>Q39.1,</w:t>
            </w:r>
            <w:r>
              <w:rPr>
                <w:spacing w:val="-4"/>
                <w:sz w:val="20"/>
              </w:rPr>
              <w:t> </w:t>
            </w:r>
            <w:r>
              <w:rPr>
                <w:sz w:val="20"/>
              </w:rPr>
              <w:t>Q39.2,</w:t>
            </w:r>
            <w:r>
              <w:rPr>
                <w:spacing w:val="-6"/>
                <w:sz w:val="20"/>
              </w:rPr>
              <w:t> </w:t>
            </w:r>
            <w:r>
              <w:rPr>
                <w:sz w:val="20"/>
              </w:rPr>
              <w:t>Q39.3,</w:t>
            </w:r>
            <w:r>
              <w:rPr>
                <w:spacing w:val="-4"/>
                <w:sz w:val="20"/>
              </w:rPr>
              <w:t> </w:t>
            </w:r>
            <w:r>
              <w:rPr>
                <w:sz w:val="20"/>
              </w:rPr>
              <w:t>Q39.4,</w:t>
            </w:r>
            <w:r>
              <w:rPr>
                <w:spacing w:val="-6"/>
                <w:sz w:val="20"/>
              </w:rPr>
              <w:t> </w:t>
            </w:r>
            <w:r>
              <w:rPr>
                <w:sz w:val="20"/>
              </w:rPr>
              <w:t>Q39.5,</w:t>
            </w:r>
            <w:r>
              <w:rPr>
                <w:spacing w:val="-4"/>
                <w:sz w:val="20"/>
              </w:rPr>
              <w:t> </w:t>
            </w:r>
            <w:r>
              <w:rPr>
                <w:spacing w:val="-2"/>
                <w:sz w:val="20"/>
              </w:rPr>
              <w:t>Q39.6,</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3" w:right="908"/>
              <w:jc w:val="center"/>
              <w:rPr>
                <w:sz w:val="20"/>
              </w:rPr>
            </w:pPr>
            <w:r>
              <w:rPr>
                <w:sz w:val="20"/>
              </w:rPr>
              <w:t>Q39.8,</w:t>
            </w:r>
            <w:r>
              <w:rPr>
                <w:spacing w:val="-6"/>
                <w:sz w:val="20"/>
              </w:rPr>
              <w:t> </w:t>
            </w:r>
            <w:r>
              <w:rPr>
                <w:sz w:val="20"/>
              </w:rPr>
              <w:t>Q39.9,</w:t>
            </w:r>
            <w:r>
              <w:rPr>
                <w:spacing w:val="-7"/>
                <w:sz w:val="20"/>
              </w:rPr>
              <w:t> </w:t>
            </w:r>
            <w:r>
              <w:rPr>
                <w:sz w:val="20"/>
              </w:rPr>
              <w:t>Q40,</w:t>
            </w:r>
            <w:r>
              <w:rPr>
                <w:spacing w:val="-5"/>
                <w:sz w:val="20"/>
              </w:rPr>
              <w:t> </w:t>
            </w:r>
            <w:r>
              <w:rPr>
                <w:sz w:val="20"/>
              </w:rPr>
              <w:t>Q40.0,</w:t>
            </w:r>
            <w:r>
              <w:rPr>
                <w:spacing w:val="-5"/>
                <w:sz w:val="20"/>
              </w:rPr>
              <w:t> </w:t>
            </w:r>
            <w:r>
              <w:rPr>
                <w:sz w:val="20"/>
              </w:rPr>
              <w:t>Q40.1,</w:t>
            </w:r>
            <w:r>
              <w:rPr>
                <w:spacing w:val="-5"/>
                <w:sz w:val="20"/>
              </w:rPr>
              <w:t> </w:t>
            </w:r>
            <w:r>
              <w:rPr>
                <w:sz w:val="20"/>
              </w:rPr>
              <w:t>Q40.2,</w:t>
            </w:r>
            <w:r>
              <w:rPr>
                <w:spacing w:val="-6"/>
                <w:sz w:val="20"/>
              </w:rPr>
              <w:t> </w:t>
            </w:r>
            <w:r>
              <w:rPr>
                <w:spacing w:val="-2"/>
                <w:sz w:val="20"/>
              </w:rPr>
              <w:t>Q40.3,</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6"/>
              <w:jc w:val="center"/>
              <w:rPr>
                <w:sz w:val="20"/>
              </w:rPr>
            </w:pPr>
            <w:r>
              <w:rPr>
                <w:sz w:val="20"/>
              </w:rPr>
              <w:t>Q40.8,</w:t>
            </w:r>
            <w:r>
              <w:rPr>
                <w:spacing w:val="-5"/>
                <w:sz w:val="20"/>
              </w:rPr>
              <w:t> </w:t>
            </w:r>
            <w:r>
              <w:rPr>
                <w:sz w:val="20"/>
              </w:rPr>
              <w:t>Q40.9,</w:t>
            </w:r>
            <w:r>
              <w:rPr>
                <w:spacing w:val="-6"/>
                <w:sz w:val="20"/>
              </w:rPr>
              <w:t> </w:t>
            </w:r>
            <w:r>
              <w:rPr>
                <w:sz w:val="20"/>
              </w:rPr>
              <w:t>Q41,</w:t>
            </w:r>
            <w:r>
              <w:rPr>
                <w:spacing w:val="-5"/>
                <w:sz w:val="20"/>
              </w:rPr>
              <w:t> </w:t>
            </w:r>
            <w:r>
              <w:rPr>
                <w:sz w:val="20"/>
              </w:rPr>
              <w:t>Q41.0,</w:t>
            </w:r>
            <w:r>
              <w:rPr>
                <w:spacing w:val="-5"/>
                <w:sz w:val="20"/>
              </w:rPr>
              <w:t> </w:t>
            </w:r>
            <w:r>
              <w:rPr>
                <w:sz w:val="20"/>
              </w:rPr>
              <w:t>Q41.1,</w:t>
            </w:r>
            <w:r>
              <w:rPr>
                <w:spacing w:val="-4"/>
                <w:sz w:val="20"/>
              </w:rPr>
              <w:t> </w:t>
            </w:r>
            <w:r>
              <w:rPr>
                <w:sz w:val="20"/>
              </w:rPr>
              <w:t>Q41.2,</w:t>
            </w:r>
            <w:r>
              <w:rPr>
                <w:spacing w:val="-5"/>
                <w:sz w:val="20"/>
              </w:rPr>
              <w:t> </w:t>
            </w:r>
            <w:r>
              <w:rPr>
                <w:spacing w:val="-2"/>
                <w:sz w:val="20"/>
              </w:rPr>
              <w:t>Q41.8,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Q41.9,</w:t>
            </w:r>
            <w:r>
              <w:rPr>
                <w:spacing w:val="-6"/>
                <w:sz w:val="20"/>
              </w:rPr>
              <w:t> </w:t>
            </w:r>
            <w:r>
              <w:rPr>
                <w:sz w:val="20"/>
              </w:rPr>
              <w:t>Q42,</w:t>
            </w:r>
            <w:r>
              <w:rPr>
                <w:spacing w:val="-6"/>
                <w:sz w:val="20"/>
              </w:rPr>
              <w:t> </w:t>
            </w:r>
            <w:r>
              <w:rPr>
                <w:sz w:val="20"/>
              </w:rPr>
              <w:t>Q42.0,</w:t>
            </w:r>
            <w:r>
              <w:rPr>
                <w:spacing w:val="-5"/>
                <w:sz w:val="20"/>
              </w:rPr>
              <w:t> </w:t>
            </w:r>
            <w:r>
              <w:rPr>
                <w:sz w:val="20"/>
              </w:rPr>
              <w:t>Q42.1,</w:t>
            </w:r>
            <w:r>
              <w:rPr>
                <w:spacing w:val="-6"/>
                <w:sz w:val="20"/>
              </w:rPr>
              <w:t> </w:t>
            </w:r>
            <w:r>
              <w:rPr>
                <w:sz w:val="20"/>
              </w:rPr>
              <w:t>Q42.2,</w:t>
            </w:r>
            <w:r>
              <w:rPr>
                <w:spacing w:val="-5"/>
                <w:sz w:val="20"/>
              </w:rPr>
              <w:t> </w:t>
            </w:r>
            <w:r>
              <w:rPr>
                <w:sz w:val="20"/>
              </w:rPr>
              <w:t>Q42.3,</w:t>
            </w:r>
            <w:r>
              <w:rPr>
                <w:spacing w:val="-6"/>
                <w:sz w:val="20"/>
              </w:rPr>
              <w:t> </w:t>
            </w:r>
            <w:r>
              <w:rPr>
                <w:spacing w:val="-2"/>
                <w:sz w:val="20"/>
              </w:rPr>
              <w:t>Q42.8,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3" w:right="908"/>
              <w:jc w:val="center"/>
              <w:rPr>
                <w:sz w:val="20"/>
              </w:rPr>
            </w:pPr>
            <w:r>
              <w:rPr>
                <w:sz w:val="20"/>
              </w:rPr>
              <w:t>Q42.9,</w:t>
            </w:r>
            <w:r>
              <w:rPr>
                <w:spacing w:val="-6"/>
                <w:sz w:val="20"/>
              </w:rPr>
              <w:t> </w:t>
            </w:r>
            <w:r>
              <w:rPr>
                <w:sz w:val="20"/>
              </w:rPr>
              <w:t>Q43,</w:t>
            </w:r>
            <w:r>
              <w:rPr>
                <w:spacing w:val="-6"/>
                <w:sz w:val="20"/>
              </w:rPr>
              <w:t> </w:t>
            </w:r>
            <w:r>
              <w:rPr>
                <w:sz w:val="20"/>
              </w:rPr>
              <w:t>Q43.0,</w:t>
            </w:r>
            <w:r>
              <w:rPr>
                <w:spacing w:val="-5"/>
                <w:sz w:val="20"/>
              </w:rPr>
              <w:t> </w:t>
            </w:r>
            <w:r>
              <w:rPr>
                <w:sz w:val="20"/>
              </w:rPr>
              <w:t>Q43.1,</w:t>
            </w:r>
            <w:r>
              <w:rPr>
                <w:spacing w:val="-6"/>
                <w:sz w:val="20"/>
              </w:rPr>
              <w:t> </w:t>
            </w:r>
            <w:r>
              <w:rPr>
                <w:sz w:val="20"/>
              </w:rPr>
              <w:t>Q43.2,</w:t>
            </w:r>
            <w:r>
              <w:rPr>
                <w:spacing w:val="-5"/>
                <w:sz w:val="20"/>
              </w:rPr>
              <w:t> </w:t>
            </w:r>
            <w:r>
              <w:rPr>
                <w:sz w:val="20"/>
              </w:rPr>
              <w:t>Q43.3,</w:t>
            </w:r>
            <w:r>
              <w:rPr>
                <w:spacing w:val="-6"/>
                <w:sz w:val="20"/>
              </w:rPr>
              <w:t> </w:t>
            </w:r>
            <w:r>
              <w:rPr>
                <w:spacing w:val="-2"/>
                <w:sz w:val="20"/>
              </w:rPr>
              <w:t>Q43.4,</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4" w:right="908"/>
              <w:jc w:val="center"/>
              <w:rPr>
                <w:sz w:val="20"/>
              </w:rPr>
            </w:pPr>
            <w:r>
              <w:rPr>
                <w:sz w:val="20"/>
              </w:rPr>
              <w:t>Q43.5,</w:t>
            </w:r>
            <w:r>
              <w:rPr>
                <w:spacing w:val="-4"/>
                <w:sz w:val="20"/>
              </w:rPr>
              <w:t> </w:t>
            </w:r>
            <w:r>
              <w:rPr>
                <w:sz w:val="20"/>
              </w:rPr>
              <w:t>Q43.6,</w:t>
            </w:r>
            <w:r>
              <w:rPr>
                <w:spacing w:val="-6"/>
                <w:sz w:val="20"/>
              </w:rPr>
              <w:t> </w:t>
            </w:r>
            <w:r>
              <w:rPr>
                <w:sz w:val="20"/>
              </w:rPr>
              <w:t>Q43.7,</w:t>
            </w:r>
            <w:r>
              <w:rPr>
                <w:spacing w:val="-4"/>
                <w:sz w:val="20"/>
              </w:rPr>
              <w:t> </w:t>
            </w:r>
            <w:r>
              <w:rPr>
                <w:sz w:val="20"/>
              </w:rPr>
              <w:t>Q43.8,</w:t>
            </w:r>
            <w:r>
              <w:rPr>
                <w:spacing w:val="-6"/>
                <w:sz w:val="20"/>
              </w:rPr>
              <w:t> </w:t>
            </w:r>
            <w:r>
              <w:rPr>
                <w:sz w:val="20"/>
              </w:rPr>
              <w:t>Q43.9,</w:t>
            </w:r>
            <w:r>
              <w:rPr>
                <w:spacing w:val="-4"/>
                <w:sz w:val="20"/>
              </w:rPr>
              <w:t> </w:t>
            </w:r>
            <w:r>
              <w:rPr>
                <w:spacing w:val="-2"/>
                <w:sz w:val="20"/>
              </w:rPr>
              <w:t>Q45.8,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Q45.9,</w:t>
            </w:r>
            <w:r>
              <w:rPr>
                <w:spacing w:val="-5"/>
                <w:sz w:val="20"/>
              </w:rPr>
              <w:t> </w:t>
            </w:r>
            <w:r>
              <w:rPr>
                <w:sz w:val="20"/>
              </w:rPr>
              <w:t>Q89.3,</w:t>
            </w:r>
            <w:r>
              <w:rPr>
                <w:spacing w:val="-6"/>
                <w:sz w:val="20"/>
              </w:rPr>
              <w:t> </w:t>
            </w:r>
            <w:r>
              <w:rPr>
                <w:sz w:val="20"/>
              </w:rPr>
              <w:t>R10,</w:t>
            </w:r>
            <w:r>
              <w:rPr>
                <w:spacing w:val="-5"/>
                <w:sz w:val="20"/>
              </w:rPr>
              <w:t> </w:t>
            </w:r>
            <w:r>
              <w:rPr>
                <w:sz w:val="20"/>
              </w:rPr>
              <w:t>R10.0,</w:t>
            </w:r>
            <w:r>
              <w:rPr>
                <w:spacing w:val="-4"/>
                <w:sz w:val="20"/>
              </w:rPr>
              <w:t> </w:t>
            </w:r>
            <w:r>
              <w:rPr>
                <w:sz w:val="20"/>
              </w:rPr>
              <w:t>R10.1,</w:t>
            </w:r>
            <w:r>
              <w:rPr>
                <w:spacing w:val="-5"/>
                <w:sz w:val="20"/>
              </w:rPr>
              <w:t> </w:t>
            </w:r>
            <w:r>
              <w:rPr>
                <w:sz w:val="20"/>
              </w:rPr>
              <w:t>R10.2,</w:t>
            </w:r>
            <w:r>
              <w:rPr>
                <w:spacing w:val="-4"/>
                <w:sz w:val="20"/>
              </w:rPr>
              <w:t> </w:t>
            </w:r>
            <w:r>
              <w:rPr>
                <w:spacing w:val="-2"/>
                <w:sz w:val="20"/>
              </w:rPr>
              <w:t>R10.3,</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R10.4,</w:t>
            </w:r>
            <w:r>
              <w:rPr>
                <w:spacing w:val="-4"/>
                <w:sz w:val="20"/>
              </w:rPr>
              <w:t> </w:t>
            </w:r>
            <w:r>
              <w:rPr>
                <w:sz w:val="20"/>
              </w:rPr>
              <w:t>R11,</w:t>
            </w:r>
            <w:r>
              <w:rPr>
                <w:spacing w:val="-3"/>
                <w:sz w:val="20"/>
              </w:rPr>
              <w:t> </w:t>
            </w:r>
            <w:r>
              <w:rPr>
                <w:sz w:val="20"/>
              </w:rPr>
              <w:t>R12,</w:t>
            </w:r>
            <w:r>
              <w:rPr>
                <w:spacing w:val="-4"/>
                <w:sz w:val="20"/>
              </w:rPr>
              <w:t> </w:t>
            </w:r>
            <w:r>
              <w:rPr>
                <w:sz w:val="20"/>
              </w:rPr>
              <w:t>R13,</w:t>
            </w:r>
            <w:r>
              <w:rPr>
                <w:spacing w:val="-3"/>
                <w:sz w:val="20"/>
              </w:rPr>
              <w:t> </w:t>
            </w:r>
            <w:r>
              <w:rPr>
                <w:sz w:val="20"/>
              </w:rPr>
              <w:t>R14,</w:t>
            </w:r>
            <w:r>
              <w:rPr>
                <w:spacing w:val="-5"/>
                <w:sz w:val="20"/>
              </w:rPr>
              <w:t> </w:t>
            </w:r>
            <w:r>
              <w:rPr>
                <w:sz w:val="20"/>
              </w:rPr>
              <w:t>R15,</w:t>
            </w:r>
            <w:r>
              <w:rPr>
                <w:spacing w:val="-3"/>
                <w:sz w:val="20"/>
              </w:rPr>
              <w:t> </w:t>
            </w:r>
            <w:r>
              <w:rPr>
                <w:sz w:val="20"/>
              </w:rPr>
              <w:t>R19,</w:t>
            </w:r>
            <w:r>
              <w:rPr>
                <w:spacing w:val="-4"/>
                <w:sz w:val="20"/>
              </w:rPr>
              <w:t> </w:t>
            </w:r>
            <w:r>
              <w:rPr>
                <w:spacing w:val="-2"/>
                <w:sz w:val="20"/>
              </w:rPr>
              <w:t>R19.0,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8"/>
              <w:jc w:val="center"/>
              <w:rPr>
                <w:sz w:val="20"/>
              </w:rPr>
            </w:pPr>
            <w:r>
              <w:rPr>
                <w:sz w:val="20"/>
              </w:rPr>
              <w:t>R19.1,</w:t>
            </w:r>
            <w:r>
              <w:rPr>
                <w:spacing w:val="-6"/>
                <w:sz w:val="20"/>
              </w:rPr>
              <w:t> </w:t>
            </w:r>
            <w:r>
              <w:rPr>
                <w:sz w:val="20"/>
              </w:rPr>
              <w:t>R19.2,</w:t>
            </w:r>
            <w:r>
              <w:rPr>
                <w:spacing w:val="-5"/>
                <w:sz w:val="20"/>
              </w:rPr>
              <w:t> </w:t>
            </w:r>
            <w:r>
              <w:rPr>
                <w:sz w:val="20"/>
              </w:rPr>
              <w:t>R19.3,</w:t>
            </w:r>
            <w:r>
              <w:rPr>
                <w:spacing w:val="-5"/>
                <w:sz w:val="20"/>
              </w:rPr>
              <w:t> </w:t>
            </w:r>
            <w:r>
              <w:rPr>
                <w:sz w:val="20"/>
              </w:rPr>
              <w:t>R19.4,</w:t>
            </w:r>
            <w:r>
              <w:rPr>
                <w:spacing w:val="-9"/>
                <w:sz w:val="20"/>
              </w:rPr>
              <w:t> </w:t>
            </w:r>
            <w:r>
              <w:rPr>
                <w:sz w:val="20"/>
              </w:rPr>
              <w:t>R19.5,</w:t>
            </w:r>
            <w:r>
              <w:rPr>
                <w:spacing w:val="-5"/>
                <w:sz w:val="20"/>
              </w:rPr>
              <w:t> </w:t>
            </w:r>
            <w:r>
              <w:rPr>
                <w:sz w:val="20"/>
              </w:rPr>
              <w:t>R19.6,</w:t>
            </w:r>
            <w:r>
              <w:rPr>
                <w:spacing w:val="-4"/>
                <w:sz w:val="20"/>
              </w:rPr>
              <w:t> </w:t>
            </w:r>
            <w:r>
              <w:rPr>
                <w:spacing w:val="-2"/>
                <w:sz w:val="20"/>
              </w:rPr>
              <w:t>R19.8,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R85,</w:t>
            </w:r>
            <w:r>
              <w:rPr>
                <w:spacing w:val="-5"/>
                <w:sz w:val="20"/>
              </w:rPr>
              <w:t> </w:t>
            </w:r>
            <w:r>
              <w:rPr>
                <w:sz w:val="20"/>
              </w:rPr>
              <w:t>R85.0,</w:t>
            </w:r>
            <w:r>
              <w:rPr>
                <w:spacing w:val="-5"/>
                <w:sz w:val="20"/>
              </w:rPr>
              <w:t> </w:t>
            </w:r>
            <w:r>
              <w:rPr>
                <w:sz w:val="20"/>
              </w:rPr>
              <w:t>R85.1,</w:t>
            </w:r>
            <w:r>
              <w:rPr>
                <w:spacing w:val="-5"/>
                <w:sz w:val="20"/>
              </w:rPr>
              <w:t> </w:t>
            </w:r>
            <w:r>
              <w:rPr>
                <w:sz w:val="20"/>
              </w:rPr>
              <w:t>R85.2,</w:t>
            </w:r>
            <w:r>
              <w:rPr>
                <w:spacing w:val="-5"/>
                <w:sz w:val="20"/>
              </w:rPr>
              <w:t> </w:t>
            </w:r>
            <w:r>
              <w:rPr>
                <w:sz w:val="20"/>
              </w:rPr>
              <w:t>R85.3,</w:t>
            </w:r>
            <w:r>
              <w:rPr>
                <w:spacing w:val="-5"/>
                <w:sz w:val="20"/>
              </w:rPr>
              <w:t> </w:t>
            </w:r>
            <w:r>
              <w:rPr>
                <w:sz w:val="20"/>
              </w:rPr>
              <w:t>R85.4,</w:t>
            </w:r>
            <w:r>
              <w:rPr>
                <w:spacing w:val="-5"/>
                <w:sz w:val="20"/>
              </w:rPr>
              <w:t> </w:t>
            </w:r>
            <w:r>
              <w:rPr>
                <w:spacing w:val="-2"/>
                <w:sz w:val="20"/>
              </w:rPr>
              <w:t>R85.5,</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1" w:right="908"/>
              <w:jc w:val="center"/>
              <w:rPr>
                <w:sz w:val="20"/>
              </w:rPr>
            </w:pPr>
            <w:r>
              <w:rPr>
                <w:sz w:val="20"/>
              </w:rPr>
              <w:t>R85.6,</w:t>
            </w:r>
            <w:r>
              <w:rPr>
                <w:spacing w:val="-7"/>
                <w:sz w:val="20"/>
              </w:rPr>
              <w:t> </w:t>
            </w:r>
            <w:r>
              <w:rPr>
                <w:sz w:val="20"/>
              </w:rPr>
              <w:t>R85.7,</w:t>
            </w:r>
            <w:r>
              <w:rPr>
                <w:spacing w:val="-5"/>
                <w:sz w:val="20"/>
              </w:rPr>
              <w:t> </w:t>
            </w:r>
            <w:r>
              <w:rPr>
                <w:sz w:val="20"/>
              </w:rPr>
              <w:t>R85.8,</w:t>
            </w:r>
            <w:r>
              <w:rPr>
                <w:spacing w:val="-5"/>
                <w:sz w:val="20"/>
              </w:rPr>
              <w:t> </w:t>
            </w:r>
            <w:r>
              <w:rPr>
                <w:sz w:val="20"/>
              </w:rPr>
              <w:t>R85.9,</w:t>
            </w:r>
            <w:r>
              <w:rPr>
                <w:spacing w:val="-9"/>
                <w:sz w:val="20"/>
              </w:rPr>
              <w:t> </w:t>
            </w:r>
            <w:r>
              <w:rPr>
                <w:sz w:val="20"/>
              </w:rPr>
              <w:t>R93.3,</w:t>
            </w:r>
            <w:r>
              <w:rPr>
                <w:spacing w:val="-5"/>
                <w:sz w:val="20"/>
              </w:rPr>
              <w:t> </w:t>
            </w:r>
            <w:r>
              <w:rPr>
                <w:sz w:val="20"/>
              </w:rPr>
              <w:t>R93.5,</w:t>
            </w:r>
            <w:r>
              <w:rPr>
                <w:spacing w:val="-4"/>
                <w:sz w:val="20"/>
              </w:rPr>
              <w:t> S36,</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S36.0,</w:t>
            </w:r>
            <w:r>
              <w:rPr>
                <w:spacing w:val="-5"/>
                <w:sz w:val="20"/>
              </w:rPr>
              <w:t> </w:t>
            </w:r>
            <w:r>
              <w:rPr>
                <w:sz w:val="20"/>
              </w:rPr>
              <w:t>S36.00,</w:t>
            </w:r>
            <w:r>
              <w:rPr>
                <w:spacing w:val="-7"/>
                <w:sz w:val="20"/>
              </w:rPr>
              <w:t> </w:t>
            </w:r>
            <w:r>
              <w:rPr>
                <w:sz w:val="20"/>
              </w:rPr>
              <w:t>S36.01,</w:t>
            </w:r>
            <w:r>
              <w:rPr>
                <w:spacing w:val="-5"/>
                <w:sz w:val="20"/>
              </w:rPr>
              <w:t> </w:t>
            </w:r>
            <w:r>
              <w:rPr>
                <w:sz w:val="20"/>
              </w:rPr>
              <w:t>S36.3,</w:t>
            </w:r>
            <w:r>
              <w:rPr>
                <w:spacing w:val="-7"/>
                <w:sz w:val="20"/>
              </w:rPr>
              <w:t> </w:t>
            </w:r>
            <w:r>
              <w:rPr>
                <w:sz w:val="20"/>
              </w:rPr>
              <w:t>S36.30,</w:t>
            </w:r>
            <w:r>
              <w:rPr>
                <w:spacing w:val="-5"/>
                <w:sz w:val="20"/>
              </w:rPr>
              <w:t> </w:t>
            </w:r>
            <w:r>
              <w:rPr>
                <w:spacing w:val="-2"/>
                <w:sz w:val="20"/>
              </w:rPr>
              <w:t>S36.31,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S36.4,</w:t>
            </w:r>
            <w:r>
              <w:rPr>
                <w:spacing w:val="-5"/>
                <w:sz w:val="20"/>
              </w:rPr>
              <w:t> </w:t>
            </w:r>
            <w:r>
              <w:rPr>
                <w:sz w:val="20"/>
              </w:rPr>
              <w:t>S36.40,</w:t>
            </w:r>
            <w:r>
              <w:rPr>
                <w:spacing w:val="-7"/>
                <w:sz w:val="20"/>
              </w:rPr>
              <w:t> </w:t>
            </w:r>
            <w:r>
              <w:rPr>
                <w:sz w:val="20"/>
              </w:rPr>
              <w:t>S36.41,</w:t>
            </w:r>
            <w:r>
              <w:rPr>
                <w:spacing w:val="-5"/>
                <w:sz w:val="20"/>
              </w:rPr>
              <w:t> </w:t>
            </w:r>
            <w:r>
              <w:rPr>
                <w:sz w:val="20"/>
              </w:rPr>
              <w:t>S36.5,</w:t>
            </w:r>
            <w:r>
              <w:rPr>
                <w:spacing w:val="-7"/>
                <w:sz w:val="20"/>
              </w:rPr>
              <w:t> </w:t>
            </w:r>
            <w:r>
              <w:rPr>
                <w:sz w:val="20"/>
              </w:rPr>
              <w:t>S36.50,</w:t>
            </w:r>
            <w:r>
              <w:rPr>
                <w:spacing w:val="-5"/>
                <w:sz w:val="20"/>
              </w:rPr>
              <w:t> </w:t>
            </w:r>
            <w:r>
              <w:rPr>
                <w:spacing w:val="-2"/>
                <w:sz w:val="20"/>
              </w:rPr>
              <w:t>S36.51,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7"/>
              <w:jc w:val="center"/>
              <w:rPr>
                <w:sz w:val="20"/>
              </w:rPr>
            </w:pPr>
            <w:r>
              <w:rPr>
                <w:sz w:val="20"/>
              </w:rPr>
              <w:t>S36.6,</w:t>
            </w:r>
            <w:r>
              <w:rPr>
                <w:spacing w:val="-5"/>
                <w:sz w:val="20"/>
              </w:rPr>
              <w:t> </w:t>
            </w:r>
            <w:r>
              <w:rPr>
                <w:sz w:val="20"/>
              </w:rPr>
              <w:t>S36.60,</w:t>
            </w:r>
            <w:r>
              <w:rPr>
                <w:spacing w:val="-6"/>
                <w:sz w:val="20"/>
              </w:rPr>
              <w:t> </w:t>
            </w:r>
            <w:r>
              <w:rPr>
                <w:sz w:val="20"/>
              </w:rPr>
              <w:t>S36.61,</w:t>
            </w:r>
            <w:r>
              <w:rPr>
                <w:spacing w:val="-4"/>
                <w:sz w:val="20"/>
              </w:rPr>
              <w:t> </w:t>
            </w:r>
            <w:r>
              <w:rPr>
                <w:sz w:val="20"/>
              </w:rPr>
              <w:t>S36.7,</w:t>
            </w:r>
            <w:r>
              <w:rPr>
                <w:spacing w:val="-6"/>
                <w:sz w:val="20"/>
              </w:rPr>
              <w:t> </w:t>
            </w:r>
            <w:r>
              <w:rPr>
                <w:sz w:val="20"/>
              </w:rPr>
              <w:t>S36.70,</w:t>
            </w:r>
            <w:r>
              <w:rPr>
                <w:spacing w:val="-4"/>
                <w:sz w:val="20"/>
              </w:rPr>
              <w:t> </w:t>
            </w:r>
            <w:r>
              <w:rPr>
                <w:spacing w:val="-2"/>
                <w:sz w:val="20"/>
              </w:rPr>
              <w:t>S36.71,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1" w:right="908"/>
              <w:jc w:val="center"/>
              <w:rPr>
                <w:sz w:val="20"/>
              </w:rPr>
            </w:pPr>
            <w:r>
              <w:rPr>
                <w:sz w:val="20"/>
              </w:rPr>
              <w:t>S36.8,</w:t>
            </w:r>
            <w:r>
              <w:rPr>
                <w:spacing w:val="-5"/>
                <w:sz w:val="20"/>
              </w:rPr>
              <w:t> </w:t>
            </w:r>
            <w:r>
              <w:rPr>
                <w:sz w:val="20"/>
              </w:rPr>
              <w:t>S36.80,</w:t>
            </w:r>
            <w:r>
              <w:rPr>
                <w:spacing w:val="-7"/>
                <w:sz w:val="20"/>
              </w:rPr>
              <w:t> </w:t>
            </w:r>
            <w:r>
              <w:rPr>
                <w:sz w:val="20"/>
              </w:rPr>
              <w:t>S36.81,</w:t>
            </w:r>
            <w:r>
              <w:rPr>
                <w:spacing w:val="-5"/>
                <w:sz w:val="20"/>
              </w:rPr>
              <w:t> </w:t>
            </w:r>
            <w:r>
              <w:rPr>
                <w:sz w:val="20"/>
              </w:rPr>
              <w:t>S36.9,</w:t>
            </w:r>
            <w:r>
              <w:rPr>
                <w:spacing w:val="-7"/>
                <w:sz w:val="20"/>
              </w:rPr>
              <w:t> </w:t>
            </w:r>
            <w:r>
              <w:rPr>
                <w:sz w:val="20"/>
              </w:rPr>
              <w:t>S36.90,</w:t>
            </w:r>
            <w:r>
              <w:rPr>
                <w:spacing w:val="-5"/>
                <w:sz w:val="20"/>
              </w:rPr>
              <w:t> </w:t>
            </w:r>
            <w:r>
              <w:rPr>
                <w:spacing w:val="-2"/>
                <w:sz w:val="20"/>
              </w:rPr>
              <w:t>S36.91,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3" w:right="908"/>
              <w:jc w:val="center"/>
              <w:rPr>
                <w:sz w:val="20"/>
              </w:rPr>
            </w:pPr>
            <w:r>
              <w:rPr>
                <w:sz w:val="20"/>
              </w:rPr>
              <w:t>T18,</w:t>
            </w:r>
            <w:r>
              <w:rPr>
                <w:spacing w:val="-6"/>
                <w:sz w:val="20"/>
              </w:rPr>
              <w:t> </w:t>
            </w:r>
            <w:r>
              <w:rPr>
                <w:sz w:val="20"/>
              </w:rPr>
              <w:t>T18.0,</w:t>
            </w:r>
            <w:r>
              <w:rPr>
                <w:spacing w:val="-7"/>
                <w:sz w:val="20"/>
              </w:rPr>
              <w:t> </w:t>
            </w:r>
            <w:r>
              <w:rPr>
                <w:sz w:val="20"/>
              </w:rPr>
              <w:t>T18.1,</w:t>
            </w:r>
            <w:r>
              <w:rPr>
                <w:spacing w:val="-5"/>
                <w:sz w:val="20"/>
              </w:rPr>
              <w:t> </w:t>
            </w:r>
            <w:r>
              <w:rPr>
                <w:sz w:val="20"/>
              </w:rPr>
              <w:t>T18.2,</w:t>
            </w:r>
            <w:r>
              <w:rPr>
                <w:spacing w:val="-5"/>
                <w:sz w:val="20"/>
              </w:rPr>
              <w:t> </w:t>
            </w:r>
            <w:r>
              <w:rPr>
                <w:sz w:val="20"/>
              </w:rPr>
              <w:t>T18.3,</w:t>
            </w:r>
            <w:r>
              <w:rPr>
                <w:spacing w:val="-5"/>
                <w:sz w:val="20"/>
              </w:rPr>
              <w:t> </w:t>
            </w:r>
            <w:r>
              <w:rPr>
                <w:sz w:val="20"/>
              </w:rPr>
              <w:t>T18.4,</w:t>
            </w:r>
            <w:r>
              <w:rPr>
                <w:spacing w:val="-5"/>
                <w:sz w:val="20"/>
              </w:rPr>
              <w:t> </w:t>
            </w:r>
            <w:r>
              <w:rPr>
                <w:spacing w:val="-2"/>
                <w:sz w:val="20"/>
              </w:rPr>
              <w:t>T18.5,</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4" w:right="907"/>
              <w:jc w:val="center"/>
              <w:rPr>
                <w:sz w:val="20"/>
              </w:rPr>
            </w:pPr>
            <w:r>
              <w:rPr>
                <w:sz w:val="20"/>
              </w:rPr>
              <w:t>T18.8,</w:t>
            </w:r>
            <w:r>
              <w:rPr>
                <w:spacing w:val="-7"/>
                <w:sz w:val="20"/>
              </w:rPr>
              <w:t> </w:t>
            </w:r>
            <w:r>
              <w:rPr>
                <w:sz w:val="20"/>
              </w:rPr>
              <w:t>T18.9,</w:t>
            </w:r>
            <w:r>
              <w:rPr>
                <w:spacing w:val="-5"/>
                <w:sz w:val="20"/>
              </w:rPr>
              <w:t> </w:t>
            </w:r>
            <w:r>
              <w:rPr>
                <w:sz w:val="20"/>
              </w:rPr>
              <w:t>T28.0,</w:t>
            </w:r>
            <w:r>
              <w:rPr>
                <w:spacing w:val="-5"/>
                <w:sz w:val="20"/>
              </w:rPr>
              <w:t> </w:t>
            </w:r>
            <w:r>
              <w:rPr>
                <w:sz w:val="20"/>
              </w:rPr>
              <w:t>T28.4,</w:t>
            </w:r>
            <w:r>
              <w:rPr>
                <w:spacing w:val="-5"/>
                <w:sz w:val="20"/>
              </w:rPr>
              <w:t> </w:t>
            </w:r>
            <w:r>
              <w:rPr>
                <w:sz w:val="20"/>
              </w:rPr>
              <w:t>T28.5,</w:t>
            </w:r>
            <w:r>
              <w:rPr>
                <w:spacing w:val="-5"/>
                <w:sz w:val="20"/>
              </w:rPr>
              <w:t> </w:t>
            </w:r>
            <w:r>
              <w:rPr>
                <w:sz w:val="20"/>
              </w:rPr>
              <w:t>T85.5,</w:t>
            </w:r>
            <w:r>
              <w:rPr>
                <w:spacing w:val="-5"/>
                <w:sz w:val="20"/>
              </w:rPr>
              <w:t> </w:t>
            </w:r>
            <w:r>
              <w:rPr>
                <w:spacing w:val="-2"/>
                <w:sz w:val="20"/>
              </w:rPr>
              <w:t>T85.6,</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26" w:lineRule="exact"/>
              <w:ind w:left="154" w:right="901"/>
              <w:jc w:val="center"/>
              <w:rPr>
                <w:sz w:val="20"/>
              </w:rPr>
            </w:pPr>
            <w:r>
              <w:rPr>
                <w:spacing w:val="-2"/>
                <w:sz w:val="20"/>
              </w:rPr>
              <w:t>T91.5</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st27.005</w:t>
            </w:r>
          </w:p>
        </w:tc>
        <w:tc>
          <w:tcPr>
            <w:tcW w:w="707" w:type="dxa"/>
          </w:tcPr>
          <w:p>
            <w:pPr>
              <w:pStyle w:val="TableParagraph"/>
              <w:spacing w:line="215" w:lineRule="exact" w:before="45"/>
              <w:ind w:left="210"/>
              <w:rPr>
                <w:sz w:val="20"/>
              </w:rPr>
            </w:pPr>
            <w:r>
              <w:rPr>
                <w:spacing w:val="-5"/>
                <w:sz w:val="20"/>
              </w:rPr>
              <w:t>254</w:t>
            </w:r>
          </w:p>
        </w:tc>
        <w:tc>
          <w:tcPr>
            <w:tcW w:w="2551" w:type="dxa"/>
          </w:tcPr>
          <w:p>
            <w:pPr>
              <w:pStyle w:val="TableParagraph"/>
              <w:spacing w:line="215" w:lineRule="exact" w:before="45"/>
              <w:ind w:left="192"/>
              <w:rPr>
                <w:sz w:val="20"/>
              </w:rPr>
            </w:pPr>
            <w:r>
              <w:rPr>
                <w:w w:val="95"/>
                <w:sz w:val="20"/>
              </w:rPr>
              <w:t>Гипертоническая</w:t>
            </w:r>
            <w:r>
              <w:rPr>
                <w:spacing w:val="54"/>
                <w:sz w:val="20"/>
              </w:rPr>
              <w:t> </w:t>
            </w:r>
            <w:r>
              <w:rPr>
                <w:spacing w:val="-2"/>
                <w:sz w:val="20"/>
              </w:rPr>
              <w:t>болезнь</w:t>
            </w:r>
          </w:p>
        </w:tc>
        <w:tc>
          <w:tcPr>
            <w:tcW w:w="5090" w:type="dxa"/>
          </w:tcPr>
          <w:p>
            <w:pPr>
              <w:pStyle w:val="TableParagraph"/>
              <w:spacing w:line="215" w:lineRule="exact" w:before="45"/>
              <w:ind w:left="148" w:right="908"/>
              <w:jc w:val="center"/>
              <w:rPr>
                <w:sz w:val="20"/>
              </w:rPr>
            </w:pPr>
            <w:r>
              <w:rPr>
                <w:sz w:val="20"/>
              </w:rPr>
              <w:t>I10,</w:t>
            </w:r>
            <w:r>
              <w:rPr>
                <w:spacing w:val="-4"/>
                <w:sz w:val="20"/>
              </w:rPr>
              <w:t> </w:t>
            </w:r>
            <w:r>
              <w:rPr>
                <w:sz w:val="20"/>
              </w:rPr>
              <w:t>I11,</w:t>
            </w:r>
            <w:r>
              <w:rPr>
                <w:spacing w:val="-6"/>
                <w:sz w:val="20"/>
              </w:rPr>
              <w:t> </w:t>
            </w:r>
            <w:r>
              <w:rPr>
                <w:sz w:val="20"/>
              </w:rPr>
              <w:t>I11.0,</w:t>
            </w:r>
            <w:r>
              <w:rPr>
                <w:spacing w:val="-4"/>
                <w:sz w:val="20"/>
              </w:rPr>
              <w:t> </w:t>
            </w:r>
            <w:r>
              <w:rPr>
                <w:sz w:val="20"/>
              </w:rPr>
              <w:t>I11.9,</w:t>
            </w:r>
            <w:r>
              <w:rPr>
                <w:spacing w:val="-3"/>
                <w:sz w:val="20"/>
              </w:rPr>
              <w:t> </w:t>
            </w:r>
            <w:r>
              <w:rPr>
                <w:sz w:val="20"/>
              </w:rPr>
              <w:t>I12,</w:t>
            </w:r>
            <w:r>
              <w:rPr>
                <w:spacing w:val="-4"/>
                <w:sz w:val="20"/>
              </w:rPr>
              <w:t> </w:t>
            </w:r>
            <w:r>
              <w:rPr>
                <w:sz w:val="20"/>
              </w:rPr>
              <w:t>I12.0,</w:t>
            </w:r>
            <w:r>
              <w:rPr>
                <w:spacing w:val="-4"/>
                <w:sz w:val="20"/>
              </w:rPr>
              <w:t> </w:t>
            </w:r>
            <w:r>
              <w:rPr>
                <w:sz w:val="20"/>
              </w:rPr>
              <w:t>I12.9,</w:t>
            </w:r>
            <w:r>
              <w:rPr>
                <w:spacing w:val="-5"/>
                <w:sz w:val="20"/>
              </w:rPr>
              <w:t> </w:t>
            </w:r>
            <w:r>
              <w:rPr>
                <w:sz w:val="20"/>
              </w:rPr>
              <w:t>I13,</w:t>
            </w:r>
            <w:r>
              <w:rPr>
                <w:spacing w:val="-6"/>
                <w:sz w:val="20"/>
              </w:rPr>
              <w:t> </w:t>
            </w:r>
            <w:r>
              <w:rPr>
                <w:spacing w:val="-2"/>
                <w:sz w:val="20"/>
              </w:rPr>
              <w:t>I13.0,</w:t>
            </w:r>
          </w:p>
        </w:tc>
        <w:tc>
          <w:tcPr>
            <w:tcW w:w="2395" w:type="dxa"/>
          </w:tcPr>
          <w:p>
            <w:pPr>
              <w:pStyle w:val="TableParagraph"/>
              <w:spacing w:line="215" w:lineRule="exact" w:before="45"/>
              <w:ind w:left="926"/>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0,70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1" w:type="dxa"/>
          </w:tcPr>
          <w:p>
            <w:pPr>
              <w:pStyle w:val="TableParagraph"/>
              <w:spacing w:line="210" w:lineRule="exact"/>
              <w:ind w:left="192"/>
              <w:rPr>
                <w:sz w:val="20"/>
              </w:rPr>
            </w:pPr>
            <w:r>
              <w:rPr>
                <w:sz w:val="20"/>
              </w:rPr>
              <w:t>в</w:t>
            </w:r>
            <w:r>
              <w:rPr>
                <w:spacing w:val="-5"/>
                <w:sz w:val="20"/>
              </w:rPr>
              <w:t> </w:t>
            </w:r>
            <w:r>
              <w:rPr>
                <w:sz w:val="20"/>
              </w:rPr>
              <w:t>стадии</w:t>
            </w:r>
            <w:r>
              <w:rPr>
                <w:spacing w:val="-5"/>
                <w:sz w:val="20"/>
              </w:rPr>
              <w:t> </w:t>
            </w:r>
            <w:r>
              <w:rPr>
                <w:spacing w:val="-2"/>
                <w:sz w:val="20"/>
              </w:rPr>
              <w:t>обострения</w:t>
            </w:r>
          </w:p>
        </w:tc>
        <w:tc>
          <w:tcPr>
            <w:tcW w:w="5090" w:type="dxa"/>
          </w:tcPr>
          <w:p>
            <w:pPr>
              <w:pStyle w:val="TableParagraph"/>
              <w:spacing w:line="210" w:lineRule="exact"/>
              <w:ind w:left="149" w:right="908"/>
              <w:jc w:val="center"/>
              <w:rPr>
                <w:sz w:val="20"/>
              </w:rPr>
            </w:pPr>
            <w:r>
              <w:rPr>
                <w:sz w:val="20"/>
              </w:rPr>
              <w:t>I13.1,</w:t>
            </w:r>
            <w:r>
              <w:rPr>
                <w:spacing w:val="-5"/>
                <w:sz w:val="20"/>
              </w:rPr>
              <w:t> </w:t>
            </w:r>
            <w:r>
              <w:rPr>
                <w:sz w:val="20"/>
              </w:rPr>
              <w:t>I13.2,</w:t>
            </w:r>
            <w:r>
              <w:rPr>
                <w:spacing w:val="-6"/>
                <w:sz w:val="20"/>
              </w:rPr>
              <w:t> </w:t>
            </w:r>
            <w:r>
              <w:rPr>
                <w:sz w:val="20"/>
              </w:rPr>
              <w:t>I13.9,</w:t>
            </w:r>
            <w:r>
              <w:rPr>
                <w:spacing w:val="-5"/>
                <w:sz w:val="20"/>
              </w:rPr>
              <w:t> </w:t>
            </w:r>
            <w:r>
              <w:rPr>
                <w:sz w:val="20"/>
              </w:rPr>
              <w:t>I15,</w:t>
            </w:r>
            <w:r>
              <w:rPr>
                <w:spacing w:val="-6"/>
                <w:sz w:val="20"/>
              </w:rPr>
              <w:t> </w:t>
            </w:r>
            <w:r>
              <w:rPr>
                <w:sz w:val="20"/>
              </w:rPr>
              <w:t>I15.0,</w:t>
            </w:r>
            <w:r>
              <w:rPr>
                <w:spacing w:val="-7"/>
                <w:sz w:val="20"/>
              </w:rPr>
              <w:t> </w:t>
            </w:r>
            <w:r>
              <w:rPr>
                <w:sz w:val="20"/>
              </w:rPr>
              <w:t>I15.1,</w:t>
            </w:r>
            <w:r>
              <w:rPr>
                <w:spacing w:val="-4"/>
                <w:sz w:val="20"/>
              </w:rPr>
              <w:t> </w:t>
            </w:r>
            <w:r>
              <w:rPr>
                <w:sz w:val="20"/>
              </w:rPr>
              <w:t>I15.2,</w:t>
            </w:r>
            <w:r>
              <w:rPr>
                <w:spacing w:val="-7"/>
                <w:sz w:val="20"/>
              </w:rPr>
              <w:t> </w:t>
            </w:r>
            <w:r>
              <w:rPr>
                <w:spacing w:val="-2"/>
                <w:sz w:val="20"/>
              </w:rPr>
              <w:t>I15.8,</w:t>
            </w:r>
          </w:p>
        </w:tc>
        <w:tc>
          <w:tcPr>
            <w:tcW w:w="2395"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1" w:type="dxa"/>
          </w:tcPr>
          <w:p>
            <w:pPr>
              <w:pStyle w:val="TableParagraph"/>
              <w:rPr>
                <w:sz w:val="18"/>
              </w:rPr>
            </w:pPr>
          </w:p>
        </w:tc>
        <w:tc>
          <w:tcPr>
            <w:tcW w:w="5090" w:type="dxa"/>
          </w:tcPr>
          <w:p>
            <w:pPr>
              <w:pStyle w:val="TableParagraph"/>
              <w:spacing w:line="226" w:lineRule="exact"/>
              <w:ind w:left="154" w:right="904"/>
              <w:jc w:val="center"/>
              <w:rPr>
                <w:sz w:val="20"/>
              </w:rPr>
            </w:pPr>
            <w:r>
              <w:rPr>
                <w:spacing w:val="-2"/>
                <w:sz w:val="20"/>
              </w:rPr>
              <w:t>I15.9</w:t>
            </w:r>
          </w:p>
        </w:tc>
        <w:tc>
          <w:tcPr>
            <w:tcW w:w="2395"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st27.006</w:t>
            </w:r>
          </w:p>
        </w:tc>
        <w:tc>
          <w:tcPr>
            <w:tcW w:w="707" w:type="dxa"/>
          </w:tcPr>
          <w:p>
            <w:pPr>
              <w:pStyle w:val="TableParagraph"/>
              <w:spacing w:line="215" w:lineRule="exact" w:before="45"/>
              <w:ind w:left="210"/>
              <w:rPr>
                <w:sz w:val="20"/>
              </w:rPr>
            </w:pPr>
            <w:r>
              <w:rPr>
                <w:spacing w:val="-5"/>
                <w:sz w:val="20"/>
              </w:rPr>
              <w:t>255</w:t>
            </w:r>
          </w:p>
        </w:tc>
        <w:tc>
          <w:tcPr>
            <w:tcW w:w="2551" w:type="dxa"/>
          </w:tcPr>
          <w:p>
            <w:pPr>
              <w:pStyle w:val="TableParagraph"/>
              <w:spacing w:line="215" w:lineRule="exact" w:before="45"/>
              <w:ind w:left="192"/>
              <w:rPr>
                <w:sz w:val="20"/>
              </w:rPr>
            </w:pPr>
            <w:r>
              <w:rPr>
                <w:spacing w:val="-2"/>
                <w:sz w:val="20"/>
              </w:rPr>
              <w:t>Стенокардия</w:t>
            </w:r>
            <w:r>
              <w:rPr>
                <w:spacing w:val="8"/>
                <w:sz w:val="20"/>
              </w:rPr>
              <w:t> </w:t>
            </w:r>
            <w:r>
              <w:rPr>
                <w:spacing w:val="-2"/>
                <w:sz w:val="20"/>
              </w:rPr>
              <w:t>(кроме</w:t>
            </w:r>
          </w:p>
        </w:tc>
        <w:tc>
          <w:tcPr>
            <w:tcW w:w="5090" w:type="dxa"/>
          </w:tcPr>
          <w:p>
            <w:pPr>
              <w:pStyle w:val="TableParagraph"/>
              <w:spacing w:line="215" w:lineRule="exact" w:before="45"/>
              <w:ind w:left="154" w:right="904"/>
              <w:jc w:val="center"/>
              <w:rPr>
                <w:sz w:val="20"/>
              </w:rPr>
            </w:pPr>
            <w:r>
              <w:rPr>
                <w:sz w:val="20"/>
              </w:rPr>
              <w:t>I20,</w:t>
            </w:r>
            <w:r>
              <w:rPr>
                <w:spacing w:val="-5"/>
                <w:sz w:val="20"/>
              </w:rPr>
              <w:t> </w:t>
            </w:r>
            <w:r>
              <w:rPr>
                <w:sz w:val="20"/>
              </w:rPr>
              <w:t>I20.1,</w:t>
            </w:r>
            <w:r>
              <w:rPr>
                <w:spacing w:val="-4"/>
                <w:sz w:val="20"/>
              </w:rPr>
              <w:t> </w:t>
            </w:r>
            <w:r>
              <w:rPr>
                <w:sz w:val="20"/>
              </w:rPr>
              <w:t>I20.8,</w:t>
            </w:r>
            <w:r>
              <w:rPr>
                <w:spacing w:val="-4"/>
                <w:sz w:val="20"/>
              </w:rPr>
              <w:t> </w:t>
            </w:r>
            <w:r>
              <w:rPr>
                <w:sz w:val="20"/>
              </w:rPr>
              <w:t>I20.9,</w:t>
            </w:r>
            <w:r>
              <w:rPr>
                <w:spacing w:val="-6"/>
                <w:sz w:val="20"/>
              </w:rPr>
              <w:t> </w:t>
            </w:r>
            <w:r>
              <w:rPr>
                <w:sz w:val="20"/>
              </w:rPr>
              <w:t>I25,</w:t>
            </w:r>
            <w:r>
              <w:rPr>
                <w:spacing w:val="-4"/>
                <w:sz w:val="20"/>
              </w:rPr>
              <w:t> </w:t>
            </w:r>
            <w:r>
              <w:rPr>
                <w:sz w:val="20"/>
              </w:rPr>
              <w:t>I25.0,</w:t>
            </w:r>
            <w:r>
              <w:rPr>
                <w:spacing w:val="-4"/>
                <w:sz w:val="20"/>
              </w:rPr>
              <w:t> </w:t>
            </w:r>
            <w:r>
              <w:rPr>
                <w:sz w:val="20"/>
              </w:rPr>
              <w:t>I25.1,</w:t>
            </w:r>
            <w:r>
              <w:rPr>
                <w:spacing w:val="-4"/>
                <w:sz w:val="20"/>
              </w:rPr>
              <w:t> </w:t>
            </w:r>
            <w:r>
              <w:rPr>
                <w:spacing w:val="-2"/>
                <w:sz w:val="20"/>
              </w:rPr>
              <w:t>I25.2,</w:t>
            </w:r>
          </w:p>
        </w:tc>
        <w:tc>
          <w:tcPr>
            <w:tcW w:w="2395" w:type="dxa"/>
          </w:tcPr>
          <w:p>
            <w:pPr>
              <w:pStyle w:val="TableParagraph"/>
              <w:spacing w:line="215" w:lineRule="exact" w:before="45"/>
              <w:ind w:left="926"/>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0,78</w:t>
            </w: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51" w:type="dxa"/>
          </w:tcPr>
          <w:p>
            <w:pPr>
              <w:pStyle w:val="TableParagraph"/>
              <w:spacing w:line="205" w:lineRule="exact"/>
              <w:ind w:left="192"/>
              <w:rPr>
                <w:sz w:val="20"/>
              </w:rPr>
            </w:pPr>
            <w:r>
              <w:rPr>
                <w:spacing w:val="-2"/>
                <w:sz w:val="20"/>
              </w:rPr>
              <w:t>нестабильной),</w:t>
            </w:r>
          </w:p>
        </w:tc>
        <w:tc>
          <w:tcPr>
            <w:tcW w:w="5090" w:type="dxa"/>
          </w:tcPr>
          <w:p>
            <w:pPr>
              <w:pStyle w:val="TableParagraph"/>
              <w:spacing w:line="205" w:lineRule="exact"/>
              <w:ind w:left="152" w:right="908"/>
              <w:jc w:val="center"/>
              <w:rPr>
                <w:sz w:val="20"/>
              </w:rPr>
            </w:pPr>
            <w:r>
              <w:rPr>
                <w:sz w:val="20"/>
              </w:rPr>
              <w:t>I25.3,</w:t>
            </w:r>
            <w:r>
              <w:rPr>
                <w:spacing w:val="-6"/>
                <w:sz w:val="20"/>
              </w:rPr>
              <w:t> </w:t>
            </w:r>
            <w:r>
              <w:rPr>
                <w:sz w:val="20"/>
              </w:rPr>
              <w:t>I25.4,</w:t>
            </w:r>
            <w:r>
              <w:rPr>
                <w:spacing w:val="-6"/>
                <w:sz w:val="20"/>
              </w:rPr>
              <w:t> </w:t>
            </w:r>
            <w:r>
              <w:rPr>
                <w:sz w:val="20"/>
              </w:rPr>
              <w:t>I25.5,</w:t>
            </w:r>
            <w:r>
              <w:rPr>
                <w:spacing w:val="-6"/>
                <w:sz w:val="20"/>
              </w:rPr>
              <w:t> </w:t>
            </w:r>
            <w:r>
              <w:rPr>
                <w:sz w:val="20"/>
              </w:rPr>
              <w:t>I25.6,</w:t>
            </w:r>
            <w:r>
              <w:rPr>
                <w:spacing w:val="-5"/>
                <w:sz w:val="20"/>
              </w:rPr>
              <w:t> </w:t>
            </w:r>
            <w:r>
              <w:rPr>
                <w:sz w:val="20"/>
              </w:rPr>
              <w:t>I25.8,</w:t>
            </w:r>
            <w:r>
              <w:rPr>
                <w:spacing w:val="-5"/>
                <w:sz w:val="20"/>
              </w:rPr>
              <w:t> </w:t>
            </w:r>
            <w:r>
              <w:rPr>
                <w:spacing w:val="-4"/>
                <w:sz w:val="20"/>
              </w:rPr>
              <w:t>I25.9</w:t>
            </w:r>
          </w:p>
        </w:tc>
        <w:tc>
          <w:tcPr>
            <w:tcW w:w="2395"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64"/>
        <w:gridCol w:w="4517"/>
        <w:gridCol w:w="3532"/>
        <w:gridCol w:w="1747"/>
        <w:gridCol w:w="1261"/>
      </w:tblGrid>
      <w:tr>
        <w:trPr>
          <w:trHeight w:val="734" w:hRule="atLeast"/>
        </w:trPr>
        <w:tc>
          <w:tcPr>
            <w:tcW w:w="946" w:type="dxa"/>
          </w:tcPr>
          <w:p>
            <w:pPr>
              <w:pStyle w:val="TableParagraph"/>
              <w:rPr>
                <w:sz w:val="18"/>
              </w:rPr>
            </w:pPr>
          </w:p>
        </w:tc>
        <w:tc>
          <w:tcPr>
            <w:tcW w:w="707" w:type="dxa"/>
          </w:tcPr>
          <w:p>
            <w:pPr>
              <w:pStyle w:val="TableParagraph"/>
              <w:rPr>
                <w:sz w:val="18"/>
              </w:rPr>
            </w:pPr>
          </w:p>
        </w:tc>
        <w:tc>
          <w:tcPr>
            <w:tcW w:w="2564" w:type="dxa"/>
          </w:tcPr>
          <w:p>
            <w:pPr>
              <w:pStyle w:val="TableParagraph"/>
              <w:ind w:left="192" w:right="105"/>
              <w:rPr>
                <w:sz w:val="20"/>
              </w:rPr>
            </w:pPr>
            <w:r>
              <w:rPr>
                <w:sz w:val="20"/>
              </w:rPr>
              <w:t>хроническая</w:t>
            </w:r>
            <w:r>
              <w:rPr>
                <w:spacing w:val="-13"/>
                <w:sz w:val="20"/>
              </w:rPr>
              <w:t> </w:t>
            </w:r>
            <w:r>
              <w:rPr>
                <w:sz w:val="20"/>
              </w:rPr>
              <w:t>ишемическая болезнь сердца</w:t>
            </w:r>
          </w:p>
          <w:p>
            <w:pPr>
              <w:pStyle w:val="TableParagraph"/>
              <w:spacing w:line="228" w:lineRule="exact"/>
              <w:ind w:left="192"/>
              <w:rPr>
                <w:sz w:val="20"/>
              </w:rPr>
            </w:pPr>
            <w:r>
              <w:rPr>
                <w:sz w:val="20"/>
              </w:rPr>
              <w:t>(уровень</w:t>
            </w:r>
            <w:r>
              <w:rPr>
                <w:spacing w:val="-10"/>
                <w:sz w:val="20"/>
              </w:rPr>
              <w:t> </w:t>
            </w:r>
            <w:r>
              <w:rPr>
                <w:spacing w:val="-5"/>
                <w:sz w:val="20"/>
              </w:rPr>
              <w:t>1)</w:t>
            </w:r>
          </w:p>
        </w:tc>
        <w:tc>
          <w:tcPr>
            <w:tcW w:w="4517" w:type="dxa"/>
          </w:tcPr>
          <w:p>
            <w:pPr>
              <w:pStyle w:val="TableParagraph"/>
              <w:rPr>
                <w:sz w:val="18"/>
              </w:rPr>
            </w:pPr>
          </w:p>
        </w:tc>
        <w:tc>
          <w:tcPr>
            <w:tcW w:w="3532" w:type="dxa"/>
          </w:tcPr>
          <w:p>
            <w:pPr>
              <w:pStyle w:val="TableParagraph"/>
              <w:rPr>
                <w:sz w:val="18"/>
              </w:rPr>
            </w:pPr>
          </w:p>
        </w:tc>
        <w:tc>
          <w:tcPr>
            <w:tcW w:w="1747"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st27.007</w:t>
            </w:r>
          </w:p>
        </w:tc>
        <w:tc>
          <w:tcPr>
            <w:tcW w:w="707" w:type="dxa"/>
          </w:tcPr>
          <w:p>
            <w:pPr>
              <w:pStyle w:val="TableParagraph"/>
              <w:spacing w:line="215" w:lineRule="exact" w:before="46"/>
              <w:ind w:left="210"/>
              <w:rPr>
                <w:sz w:val="20"/>
              </w:rPr>
            </w:pPr>
            <w:r>
              <w:rPr>
                <w:spacing w:val="-5"/>
                <w:sz w:val="20"/>
              </w:rPr>
              <w:t>256</w:t>
            </w:r>
          </w:p>
        </w:tc>
        <w:tc>
          <w:tcPr>
            <w:tcW w:w="2564" w:type="dxa"/>
          </w:tcPr>
          <w:p>
            <w:pPr>
              <w:pStyle w:val="TableParagraph"/>
              <w:spacing w:line="215" w:lineRule="exact" w:before="46"/>
              <w:ind w:left="192"/>
              <w:rPr>
                <w:sz w:val="20"/>
              </w:rPr>
            </w:pPr>
            <w:r>
              <w:rPr>
                <w:spacing w:val="-2"/>
                <w:sz w:val="20"/>
              </w:rPr>
              <w:t>Стенокардия</w:t>
            </w:r>
            <w:r>
              <w:rPr>
                <w:spacing w:val="8"/>
                <w:sz w:val="20"/>
              </w:rPr>
              <w:t> </w:t>
            </w:r>
            <w:r>
              <w:rPr>
                <w:spacing w:val="-2"/>
                <w:sz w:val="20"/>
              </w:rPr>
              <w:t>(кроме</w:t>
            </w:r>
          </w:p>
        </w:tc>
        <w:tc>
          <w:tcPr>
            <w:tcW w:w="4517" w:type="dxa"/>
          </w:tcPr>
          <w:p>
            <w:pPr>
              <w:pStyle w:val="TableParagraph"/>
              <w:spacing w:line="215" w:lineRule="exact" w:before="46"/>
              <w:ind w:left="71" w:right="278"/>
              <w:jc w:val="center"/>
              <w:rPr>
                <w:sz w:val="20"/>
              </w:rPr>
            </w:pPr>
            <w:r>
              <w:rPr>
                <w:sz w:val="20"/>
              </w:rPr>
              <w:t>I20,</w:t>
            </w:r>
            <w:r>
              <w:rPr>
                <w:spacing w:val="-5"/>
                <w:sz w:val="20"/>
              </w:rPr>
              <w:t> </w:t>
            </w:r>
            <w:r>
              <w:rPr>
                <w:sz w:val="20"/>
              </w:rPr>
              <w:t>I20.1,</w:t>
            </w:r>
            <w:r>
              <w:rPr>
                <w:spacing w:val="-5"/>
                <w:sz w:val="20"/>
              </w:rPr>
              <w:t> </w:t>
            </w:r>
            <w:r>
              <w:rPr>
                <w:sz w:val="20"/>
              </w:rPr>
              <w:t>I20.8,</w:t>
            </w:r>
            <w:r>
              <w:rPr>
                <w:spacing w:val="-5"/>
                <w:sz w:val="20"/>
              </w:rPr>
              <w:t> </w:t>
            </w:r>
            <w:r>
              <w:rPr>
                <w:sz w:val="20"/>
              </w:rPr>
              <w:t>I20.9,</w:t>
            </w:r>
            <w:r>
              <w:rPr>
                <w:spacing w:val="-6"/>
                <w:sz w:val="20"/>
              </w:rPr>
              <w:t> </w:t>
            </w:r>
            <w:r>
              <w:rPr>
                <w:sz w:val="20"/>
              </w:rPr>
              <w:t>I25,</w:t>
            </w:r>
            <w:r>
              <w:rPr>
                <w:spacing w:val="-5"/>
                <w:sz w:val="20"/>
              </w:rPr>
              <w:t> </w:t>
            </w:r>
            <w:r>
              <w:rPr>
                <w:sz w:val="20"/>
              </w:rPr>
              <w:t>I25.0,</w:t>
            </w:r>
            <w:r>
              <w:rPr>
                <w:spacing w:val="-4"/>
                <w:sz w:val="20"/>
              </w:rPr>
              <w:t> </w:t>
            </w:r>
            <w:r>
              <w:rPr>
                <w:sz w:val="20"/>
              </w:rPr>
              <w:t>I25.1,</w:t>
            </w:r>
            <w:r>
              <w:rPr>
                <w:spacing w:val="-5"/>
                <w:sz w:val="20"/>
              </w:rPr>
              <w:t> </w:t>
            </w:r>
            <w:r>
              <w:rPr>
                <w:spacing w:val="-2"/>
                <w:sz w:val="20"/>
              </w:rPr>
              <w:t>I25.2,</w:t>
            </w:r>
          </w:p>
        </w:tc>
        <w:tc>
          <w:tcPr>
            <w:tcW w:w="3532" w:type="dxa"/>
          </w:tcPr>
          <w:p>
            <w:pPr>
              <w:pStyle w:val="TableParagraph"/>
              <w:spacing w:line="215" w:lineRule="exact" w:before="46"/>
              <w:ind w:left="322" w:right="816"/>
              <w:jc w:val="center"/>
              <w:rPr>
                <w:sz w:val="20"/>
              </w:rPr>
            </w:pPr>
            <w:r>
              <w:rPr>
                <w:sz w:val="20"/>
              </w:rPr>
              <w:t>A06.10.006,</w:t>
            </w:r>
            <w:r>
              <w:rPr>
                <w:spacing w:val="-9"/>
                <w:sz w:val="20"/>
              </w:rPr>
              <w:t> </w:t>
            </w:r>
            <w:r>
              <w:rPr>
                <w:spacing w:val="-2"/>
                <w:sz w:val="20"/>
              </w:rPr>
              <w:t>A06.10.006.002,</w:t>
            </w:r>
          </w:p>
        </w:tc>
        <w:tc>
          <w:tcPr>
            <w:tcW w:w="1747" w:type="dxa"/>
          </w:tcPr>
          <w:p>
            <w:pPr>
              <w:pStyle w:val="TableParagraph"/>
              <w:spacing w:line="215" w:lineRule="exact" w:before="46"/>
              <w:ind w:left="820"/>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1,70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10" w:lineRule="exact"/>
              <w:ind w:left="192"/>
              <w:rPr>
                <w:sz w:val="20"/>
              </w:rPr>
            </w:pPr>
            <w:r>
              <w:rPr>
                <w:spacing w:val="-2"/>
                <w:sz w:val="20"/>
              </w:rPr>
              <w:t>нестабильной),</w:t>
            </w:r>
          </w:p>
        </w:tc>
        <w:tc>
          <w:tcPr>
            <w:tcW w:w="4517" w:type="dxa"/>
          </w:tcPr>
          <w:p>
            <w:pPr>
              <w:pStyle w:val="TableParagraph"/>
              <w:spacing w:line="210" w:lineRule="exact"/>
              <w:ind w:left="74" w:right="278"/>
              <w:jc w:val="center"/>
              <w:rPr>
                <w:sz w:val="20"/>
              </w:rPr>
            </w:pPr>
            <w:r>
              <w:rPr>
                <w:sz w:val="20"/>
              </w:rPr>
              <w:t>I25.3,</w:t>
            </w:r>
            <w:r>
              <w:rPr>
                <w:spacing w:val="-5"/>
                <w:sz w:val="20"/>
              </w:rPr>
              <w:t> </w:t>
            </w:r>
            <w:r>
              <w:rPr>
                <w:sz w:val="20"/>
              </w:rPr>
              <w:t>I25.4,</w:t>
            </w:r>
            <w:r>
              <w:rPr>
                <w:spacing w:val="-7"/>
                <w:sz w:val="20"/>
              </w:rPr>
              <w:t> </w:t>
            </w:r>
            <w:r>
              <w:rPr>
                <w:sz w:val="20"/>
              </w:rPr>
              <w:t>I25.5,</w:t>
            </w:r>
            <w:r>
              <w:rPr>
                <w:spacing w:val="-5"/>
                <w:sz w:val="20"/>
              </w:rPr>
              <w:t> </w:t>
            </w:r>
            <w:r>
              <w:rPr>
                <w:sz w:val="20"/>
              </w:rPr>
              <w:t>I25.6,</w:t>
            </w:r>
            <w:r>
              <w:rPr>
                <w:spacing w:val="-1"/>
                <w:sz w:val="20"/>
              </w:rPr>
              <w:t> </w:t>
            </w:r>
            <w:r>
              <w:rPr>
                <w:sz w:val="20"/>
              </w:rPr>
              <w:t>I25.8,</w:t>
            </w:r>
            <w:r>
              <w:rPr>
                <w:spacing w:val="-5"/>
                <w:sz w:val="20"/>
              </w:rPr>
              <w:t> </w:t>
            </w:r>
            <w:r>
              <w:rPr>
                <w:spacing w:val="-4"/>
                <w:sz w:val="20"/>
              </w:rPr>
              <w:t>I25.9</w:t>
            </w:r>
          </w:p>
        </w:tc>
        <w:tc>
          <w:tcPr>
            <w:tcW w:w="3532" w:type="dxa"/>
          </w:tcPr>
          <w:p>
            <w:pPr>
              <w:pStyle w:val="TableParagraph"/>
              <w:spacing w:line="210" w:lineRule="exact"/>
              <w:ind w:left="321" w:right="816"/>
              <w:jc w:val="center"/>
              <w:rPr>
                <w:sz w:val="20"/>
              </w:rPr>
            </w:pPr>
            <w:r>
              <w:rPr>
                <w:sz w:val="20"/>
              </w:rPr>
              <w:t>A07.10.001,</w:t>
            </w:r>
            <w:r>
              <w:rPr>
                <w:spacing w:val="-9"/>
                <w:sz w:val="20"/>
              </w:rPr>
              <w:t> </w:t>
            </w:r>
            <w:r>
              <w:rPr>
                <w:spacing w:val="-2"/>
                <w:sz w:val="20"/>
              </w:rPr>
              <w:t>A07.10.001.001</w:t>
            </w: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pacing w:val="-2"/>
                <w:sz w:val="20"/>
              </w:rPr>
              <w:t>хроническая</w:t>
            </w:r>
            <w:r>
              <w:rPr>
                <w:spacing w:val="8"/>
                <w:sz w:val="20"/>
              </w:rPr>
              <w:t> </w:t>
            </w:r>
            <w:r>
              <w:rPr>
                <w:spacing w:val="-2"/>
                <w:sz w:val="20"/>
              </w:rPr>
              <w:t>ишемическая</w:t>
            </w:r>
          </w:p>
        </w:tc>
        <w:tc>
          <w:tcPr>
            <w:tcW w:w="4517" w:type="dxa"/>
          </w:tcPr>
          <w:p>
            <w:pPr>
              <w:pStyle w:val="TableParagraph"/>
              <w:rPr>
                <w:sz w:val="16"/>
              </w:rPr>
            </w:pP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z w:val="20"/>
              </w:rPr>
              <w:t>болезнь</w:t>
            </w:r>
            <w:r>
              <w:rPr>
                <w:spacing w:val="-10"/>
                <w:sz w:val="20"/>
              </w:rPr>
              <w:t> </w:t>
            </w:r>
            <w:r>
              <w:rPr>
                <w:spacing w:val="-2"/>
                <w:sz w:val="20"/>
              </w:rPr>
              <w:t>сердца</w:t>
            </w:r>
          </w:p>
        </w:tc>
        <w:tc>
          <w:tcPr>
            <w:tcW w:w="4517" w:type="dxa"/>
          </w:tcPr>
          <w:p>
            <w:pPr>
              <w:pStyle w:val="TableParagraph"/>
              <w:rPr>
                <w:sz w:val="16"/>
              </w:rPr>
            </w:pP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564" w:type="dxa"/>
          </w:tcPr>
          <w:p>
            <w:pPr>
              <w:pStyle w:val="TableParagraph"/>
              <w:spacing w:line="226" w:lineRule="exact"/>
              <w:ind w:left="192"/>
              <w:rPr>
                <w:sz w:val="20"/>
              </w:rPr>
            </w:pPr>
            <w:r>
              <w:rPr>
                <w:sz w:val="20"/>
              </w:rPr>
              <w:t>(уровень</w:t>
            </w:r>
            <w:r>
              <w:rPr>
                <w:spacing w:val="-10"/>
                <w:sz w:val="20"/>
              </w:rPr>
              <w:t> </w:t>
            </w:r>
            <w:r>
              <w:rPr>
                <w:spacing w:val="-5"/>
                <w:sz w:val="20"/>
              </w:rPr>
              <w:t>2)</w:t>
            </w:r>
          </w:p>
        </w:tc>
        <w:tc>
          <w:tcPr>
            <w:tcW w:w="4517" w:type="dxa"/>
          </w:tcPr>
          <w:p>
            <w:pPr>
              <w:pStyle w:val="TableParagraph"/>
              <w:rPr>
                <w:sz w:val="18"/>
              </w:rPr>
            </w:pPr>
          </w:p>
        </w:tc>
        <w:tc>
          <w:tcPr>
            <w:tcW w:w="3532" w:type="dxa"/>
          </w:tcPr>
          <w:p>
            <w:pPr>
              <w:pStyle w:val="TableParagraph"/>
              <w:rPr>
                <w:sz w:val="18"/>
              </w:rPr>
            </w:pPr>
          </w:p>
        </w:tc>
        <w:tc>
          <w:tcPr>
            <w:tcW w:w="1747"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st27.008</w:t>
            </w:r>
          </w:p>
        </w:tc>
        <w:tc>
          <w:tcPr>
            <w:tcW w:w="707" w:type="dxa"/>
          </w:tcPr>
          <w:p>
            <w:pPr>
              <w:pStyle w:val="TableParagraph"/>
              <w:spacing w:line="215" w:lineRule="exact" w:before="46"/>
              <w:ind w:left="210"/>
              <w:rPr>
                <w:sz w:val="20"/>
              </w:rPr>
            </w:pPr>
            <w:r>
              <w:rPr>
                <w:spacing w:val="-5"/>
                <w:sz w:val="20"/>
              </w:rPr>
              <w:t>257</w:t>
            </w:r>
          </w:p>
        </w:tc>
        <w:tc>
          <w:tcPr>
            <w:tcW w:w="2564" w:type="dxa"/>
          </w:tcPr>
          <w:p>
            <w:pPr>
              <w:pStyle w:val="TableParagraph"/>
              <w:spacing w:line="215"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сердца</w:t>
            </w:r>
          </w:p>
        </w:tc>
        <w:tc>
          <w:tcPr>
            <w:tcW w:w="4517" w:type="dxa"/>
          </w:tcPr>
          <w:p>
            <w:pPr>
              <w:pStyle w:val="TableParagraph"/>
              <w:spacing w:line="215" w:lineRule="exact" w:before="46"/>
              <w:ind w:left="68" w:right="278"/>
              <w:jc w:val="center"/>
              <w:rPr>
                <w:sz w:val="20"/>
              </w:rPr>
            </w:pPr>
            <w:r>
              <w:rPr>
                <w:sz w:val="20"/>
              </w:rPr>
              <w:t>I24,</w:t>
            </w:r>
            <w:r>
              <w:rPr>
                <w:spacing w:val="-5"/>
                <w:sz w:val="20"/>
              </w:rPr>
              <w:t> </w:t>
            </w:r>
            <w:r>
              <w:rPr>
                <w:sz w:val="20"/>
              </w:rPr>
              <w:t>I24.0,</w:t>
            </w:r>
            <w:r>
              <w:rPr>
                <w:spacing w:val="-4"/>
                <w:sz w:val="20"/>
              </w:rPr>
              <w:t> </w:t>
            </w:r>
            <w:r>
              <w:rPr>
                <w:sz w:val="20"/>
              </w:rPr>
              <w:t>I24.1,</w:t>
            </w:r>
            <w:r>
              <w:rPr>
                <w:spacing w:val="-4"/>
                <w:sz w:val="20"/>
              </w:rPr>
              <w:t> </w:t>
            </w:r>
            <w:r>
              <w:rPr>
                <w:sz w:val="20"/>
              </w:rPr>
              <w:t>I24.8,</w:t>
            </w:r>
            <w:r>
              <w:rPr>
                <w:spacing w:val="-6"/>
                <w:sz w:val="20"/>
              </w:rPr>
              <w:t> </w:t>
            </w:r>
            <w:r>
              <w:rPr>
                <w:sz w:val="20"/>
              </w:rPr>
              <w:t>I24.9,</w:t>
            </w:r>
            <w:r>
              <w:rPr>
                <w:spacing w:val="-7"/>
                <w:sz w:val="20"/>
              </w:rPr>
              <w:t> </w:t>
            </w:r>
            <w:r>
              <w:rPr>
                <w:sz w:val="20"/>
              </w:rPr>
              <w:t>I27,</w:t>
            </w:r>
            <w:r>
              <w:rPr>
                <w:spacing w:val="-4"/>
                <w:sz w:val="20"/>
              </w:rPr>
              <w:t> </w:t>
            </w:r>
            <w:r>
              <w:rPr>
                <w:sz w:val="20"/>
              </w:rPr>
              <w:t>I27.0,</w:t>
            </w:r>
            <w:r>
              <w:rPr>
                <w:spacing w:val="-4"/>
                <w:sz w:val="20"/>
              </w:rPr>
              <w:t> </w:t>
            </w:r>
            <w:r>
              <w:rPr>
                <w:spacing w:val="-2"/>
                <w:sz w:val="20"/>
              </w:rPr>
              <w:t>I27.1,</w:t>
            </w:r>
          </w:p>
        </w:tc>
        <w:tc>
          <w:tcPr>
            <w:tcW w:w="3532" w:type="dxa"/>
          </w:tcPr>
          <w:p>
            <w:pPr>
              <w:pStyle w:val="TableParagraph"/>
              <w:spacing w:line="215" w:lineRule="exact" w:before="46"/>
              <w:ind w:right="491"/>
              <w:jc w:val="center"/>
              <w:rPr>
                <w:sz w:val="20"/>
              </w:rPr>
            </w:pPr>
            <w:r>
              <w:rPr>
                <w:w w:val="99"/>
                <w:sz w:val="20"/>
              </w:rPr>
              <w:t>-</w:t>
            </w:r>
          </w:p>
        </w:tc>
        <w:tc>
          <w:tcPr>
            <w:tcW w:w="1747" w:type="dxa"/>
          </w:tcPr>
          <w:p>
            <w:pPr>
              <w:pStyle w:val="TableParagraph"/>
              <w:spacing w:line="215" w:lineRule="exact" w:before="46"/>
              <w:ind w:left="820"/>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0,78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z w:val="20"/>
              </w:rPr>
              <w:t>(уровень</w:t>
            </w:r>
            <w:r>
              <w:rPr>
                <w:spacing w:val="-11"/>
                <w:sz w:val="20"/>
              </w:rPr>
              <w:t> </w:t>
            </w:r>
            <w:r>
              <w:rPr>
                <w:spacing w:val="-5"/>
                <w:sz w:val="20"/>
              </w:rPr>
              <w:t>1)</w:t>
            </w:r>
          </w:p>
        </w:tc>
        <w:tc>
          <w:tcPr>
            <w:tcW w:w="4517" w:type="dxa"/>
          </w:tcPr>
          <w:p>
            <w:pPr>
              <w:pStyle w:val="TableParagraph"/>
              <w:spacing w:line="209" w:lineRule="exact"/>
              <w:ind w:left="66" w:right="278"/>
              <w:jc w:val="center"/>
              <w:rPr>
                <w:sz w:val="20"/>
              </w:rPr>
            </w:pPr>
            <w:r>
              <w:rPr>
                <w:sz w:val="20"/>
              </w:rPr>
              <w:t>I27.2,</w:t>
            </w:r>
            <w:r>
              <w:rPr>
                <w:spacing w:val="-5"/>
                <w:sz w:val="20"/>
              </w:rPr>
              <w:t> </w:t>
            </w:r>
            <w:r>
              <w:rPr>
                <w:sz w:val="20"/>
              </w:rPr>
              <w:t>I27.8,</w:t>
            </w:r>
            <w:r>
              <w:rPr>
                <w:spacing w:val="-6"/>
                <w:sz w:val="20"/>
              </w:rPr>
              <w:t> </w:t>
            </w:r>
            <w:r>
              <w:rPr>
                <w:sz w:val="20"/>
              </w:rPr>
              <w:t>I27.9,</w:t>
            </w:r>
            <w:r>
              <w:rPr>
                <w:spacing w:val="-5"/>
                <w:sz w:val="20"/>
              </w:rPr>
              <w:t> </w:t>
            </w:r>
            <w:r>
              <w:rPr>
                <w:sz w:val="20"/>
              </w:rPr>
              <w:t>I28,</w:t>
            </w:r>
            <w:r>
              <w:rPr>
                <w:spacing w:val="-6"/>
                <w:sz w:val="20"/>
              </w:rPr>
              <w:t> </w:t>
            </w:r>
            <w:r>
              <w:rPr>
                <w:sz w:val="20"/>
              </w:rPr>
              <w:t>I28.0,</w:t>
            </w:r>
            <w:r>
              <w:rPr>
                <w:spacing w:val="-7"/>
                <w:sz w:val="20"/>
              </w:rPr>
              <w:t> </w:t>
            </w:r>
            <w:r>
              <w:rPr>
                <w:sz w:val="20"/>
              </w:rPr>
              <w:t>I28.1,</w:t>
            </w:r>
            <w:r>
              <w:rPr>
                <w:spacing w:val="-4"/>
                <w:sz w:val="20"/>
              </w:rPr>
              <w:t> </w:t>
            </w:r>
            <w:r>
              <w:rPr>
                <w:sz w:val="20"/>
              </w:rPr>
              <w:t>I28.8,</w:t>
            </w:r>
            <w:r>
              <w:rPr>
                <w:spacing w:val="-7"/>
                <w:sz w:val="20"/>
              </w:rPr>
              <w:t> </w:t>
            </w:r>
            <w:r>
              <w:rPr>
                <w:spacing w:val="-2"/>
                <w:sz w:val="20"/>
              </w:rPr>
              <w:t>I28.9,</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3" w:right="278"/>
              <w:jc w:val="center"/>
              <w:rPr>
                <w:sz w:val="20"/>
              </w:rPr>
            </w:pPr>
            <w:r>
              <w:rPr>
                <w:sz w:val="20"/>
              </w:rPr>
              <w:t>I34,</w:t>
            </w:r>
            <w:r>
              <w:rPr>
                <w:spacing w:val="-5"/>
                <w:sz w:val="20"/>
              </w:rPr>
              <w:t> </w:t>
            </w:r>
            <w:r>
              <w:rPr>
                <w:sz w:val="20"/>
              </w:rPr>
              <w:t>I34.0,</w:t>
            </w:r>
            <w:r>
              <w:rPr>
                <w:spacing w:val="-5"/>
                <w:sz w:val="20"/>
              </w:rPr>
              <w:t> </w:t>
            </w:r>
            <w:r>
              <w:rPr>
                <w:sz w:val="20"/>
              </w:rPr>
              <w:t>I34.1,</w:t>
            </w:r>
            <w:r>
              <w:rPr>
                <w:spacing w:val="-4"/>
                <w:sz w:val="20"/>
              </w:rPr>
              <w:t> </w:t>
            </w:r>
            <w:r>
              <w:rPr>
                <w:sz w:val="20"/>
              </w:rPr>
              <w:t>I34.2,</w:t>
            </w:r>
            <w:r>
              <w:rPr>
                <w:spacing w:val="-3"/>
                <w:sz w:val="20"/>
              </w:rPr>
              <w:t> </w:t>
            </w:r>
            <w:r>
              <w:rPr>
                <w:sz w:val="20"/>
              </w:rPr>
              <w:t>I34.8,</w:t>
            </w:r>
            <w:r>
              <w:rPr>
                <w:spacing w:val="-6"/>
                <w:sz w:val="20"/>
              </w:rPr>
              <w:t> </w:t>
            </w:r>
            <w:r>
              <w:rPr>
                <w:sz w:val="20"/>
              </w:rPr>
              <w:t>I34.9,</w:t>
            </w:r>
            <w:r>
              <w:rPr>
                <w:spacing w:val="-5"/>
                <w:sz w:val="20"/>
              </w:rPr>
              <w:t> </w:t>
            </w:r>
            <w:r>
              <w:rPr>
                <w:sz w:val="20"/>
              </w:rPr>
              <w:t>I35,</w:t>
            </w:r>
            <w:r>
              <w:rPr>
                <w:spacing w:val="-4"/>
                <w:sz w:val="20"/>
              </w:rPr>
              <w:t> </w:t>
            </w:r>
            <w:r>
              <w:rPr>
                <w:spacing w:val="-2"/>
                <w:sz w:val="20"/>
              </w:rPr>
              <w:t>I35.0,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I35.1,</w:t>
            </w:r>
            <w:r>
              <w:rPr>
                <w:spacing w:val="-5"/>
                <w:sz w:val="20"/>
              </w:rPr>
              <w:t> </w:t>
            </w:r>
            <w:r>
              <w:rPr>
                <w:sz w:val="20"/>
              </w:rPr>
              <w:t>I35.2,</w:t>
            </w:r>
            <w:r>
              <w:rPr>
                <w:spacing w:val="-7"/>
                <w:sz w:val="20"/>
              </w:rPr>
              <w:t> </w:t>
            </w:r>
            <w:r>
              <w:rPr>
                <w:sz w:val="20"/>
              </w:rPr>
              <w:t>I35.8,</w:t>
            </w:r>
            <w:r>
              <w:rPr>
                <w:spacing w:val="-4"/>
                <w:sz w:val="20"/>
              </w:rPr>
              <w:t> </w:t>
            </w:r>
            <w:r>
              <w:rPr>
                <w:sz w:val="20"/>
              </w:rPr>
              <w:t>I35.9,</w:t>
            </w:r>
            <w:r>
              <w:rPr>
                <w:spacing w:val="-5"/>
                <w:sz w:val="20"/>
              </w:rPr>
              <w:t> </w:t>
            </w:r>
            <w:r>
              <w:rPr>
                <w:sz w:val="20"/>
              </w:rPr>
              <w:t>I36,</w:t>
            </w:r>
            <w:r>
              <w:rPr>
                <w:spacing w:val="-6"/>
                <w:sz w:val="20"/>
              </w:rPr>
              <w:t> </w:t>
            </w:r>
            <w:r>
              <w:rPr>
                <w:sz w:val="20"/>
              </w:rPr>
              <w:t>I36.0,</w:t>
            </w:r>
            <w:r>
              <w:rPr>
                <w:spacing w:val="-5"/>
                <w:sz w:val="20"/>
              </w:rPr>
              <w:t> </w:t>
            </w:r>
            <w:r>
              <w:rPr>
                <w:sz w:val="20"/>
              </w:rPr>
              <w:t>I36.1,</w:t>
            </w:r>
            <w:r>
              <w:rPr>
                <w:spacing w:val="-7"/>
                <w:sz w:val="20"/>
              </w:rPr>
              <w:t> </w:t>
            </w:r>
            <w:r>
              <w:rPr>
                <w:spacing w:val="-2"/>
                <w:sz w:val="20"/>
              </w:rPr>
              <w:t>I36.2,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I36.8,</w:t>
            </w:r>
            <w:r>
              <w:rPr>
                <w:spacing w:val="-5"/>
                <w:sz w:val="20"/>
              </w:rPr>
              <w:t> </w:t>
            </w:r>
            <w:r>
              <w:rPr>
                <w:sz w:val="20"/>
              </w:rPr>
              <w:t>I36.9,</w:t>
            </w:r>
            <w:r>
              <w:rPr>
                <w:spacing w:val="-7"/>
                <w:sz w:val="20"/>
              </w:rPr>
              <w:t> </w:t>
            </w:r>
            <w:r>
              <w:rPr>
                <w:sz w:val="20"/>
              </w:rPr>
              <w:t>I37,</w:t>
            </w:r>
            <w:r>
              <w:rPr>
                <w:spacing w:val="-4"/>
                <w:sz w:val="20"/>
              </w:rPr>
              <w:t> </w:t>
            </w:r>
            <w:r>
              <w:rPr>
                <w:sz w:val="20"/>
              </w:rPr>
              <w:t>I37.0,</w:t>
            </w:r>
            <w:r>
              <w:rPr>
                <w:spacing w:val="-7"/>
                <w:sz w:val="20"/>
              </w:rPr>
              <w:t> </w:t>
            </w:r>
            <w:r>
              <w:rPr>
                <w:sz w:val="20"/>
              </w:rPr>
              <w:t>I37.1,</w:t>
            </w:r>
            <w:r>
              <w:rPr>
                <w:spacing w:val="-6"/>
                <w:sz w:val="20"/>
              </w:rPr>
              <w:t> </w:t>
            </w:r>
            <w:r>
              <w:rPr>
                <w:sz w:val="20"/>
              </w:rPr>
              <w:t>I37.2,</w:t>
            </w:r>
            <w:r>
              <w:rPr>
                <w:spacing w:val="-5"/>
                <w:sz w:val="20"/>
              </w:rPr>
              <w:t> </w:t>
            </w:r>
            <w:r>
              <w:rPr>
                <w:sz w:val="20"/>
              </w:rPr>
              <w:t>I37.8,</w:t>
            </w:r>
            <w:r>
              <w:rPr>
                <w:spacing w:val="-7"/>
                <w:sz w:val="20"/>
              </w:rPr>
              <w:t> </w:t>
            </w:r>
            <w:r>
              <w:rPr>
                <w:spacing w:val="-2"/>
                <w:sz w:val="20"/>
              </w:rPr>
              <w:t>I37.9,</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I39,</w:t>
            </w:r>
            <w:r>
              <w:rPr>
                <w:spacing w:val="-5"/>
                <w:sz w:val="20"/>
              </w:rPr>
              <w:t> </w:t>
            </w:r>
            <w:r>
              <w:rPr>
                <w:sz w:val="20"/>
              </w:rPr>
              <w:t>I39.0,</w:t>
            </w:r>
            <w:r>
              <w:rPr>
                <w:spacing w:val="-5"/>
                <w:sz w:val="20"/>
              </w:rPr>
              <w:t> </w:t>
            </w:r>
            <w:r>
              <w:rPr>
                <w:sz w:val="20"/>
              </w:rPr>
              <w:t>I39.1,</w:t>
            </w:r>
            <w:r>
              <w:rPr>
                <w:spacing w:val="-4"/>
                <w:sz w:val="20"/>
              </w:rPr>
              <w:t> </w:t>
            </w:r>
            <w:r>
              <w:rPr>
                <w:sz w:val="20"/>
              </w:rPr>
              <w:t>I39.2,</w:t>
            </w:r>
            <w:r>
              <w:rPr>
                <w:spacing w:val="-7"/>
                <w:sz w:val="20"/>
              </w:rPr>
              <w:t> </w:t>
            </w:r>
            <w:r>
              <w:rPr>
                <w:sz w:val="20"/>
              </w:rPr>
              <w:t>I39.3,</w:t>
            </w:r>
            <w:r>
              <w:rPr>
                <w:spacing w:val="-6"/>
                <w:sz w:val="20"/>
              </w:rPr>
              <w:t> </w:t>
            </w:r>
            <w:r>
              <w:rPr>
                <w:sz w:val="20"/>
              </w:rPr>
              <w:t>I39.4,</w:t>
            </w:r>
            <w:r>
              <w:rPr>
                <w:spacing w:val="-5"/>
                <w:sz w:val="20"/>
              </w:rPr>
              <w:t> </w:t>
            </w:r>
            <w:r>
              <w:rPr>
                <w:sz w:val="20"/>
              </w:rPr>
              <w:t>I46,</w:t>
            </w:r>
            <w:r>
              <w:rPr>
                <w:spacing w:val="-4"/>
                <w:sz w:val="20"/>
              </w:rPr>
              <w:t> </w:t>
            </w:r>
            <w:r>
              <w:rPr>
                <w:spacing w:val="-2"/>
                <w:sz w:val="20"/>
              </w:rPr>
              <w:t>I46.0,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I46.1,</w:t>
            </w:r>
            <w:r>
              <w:rPr>
                <w:spacing w:val="-5"/>
                <w:sz w:val="20"/>
              </w:rPr>
              <w:t> </w:t>
            </w:r>
            <w:r>
              <w:rPr>
                <w:sz w:val="20"/>
              </w:rPr>
              <w:t>I46.9,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68" w:right="278"/>
              <w:jc w:val="center"/>
              <w:rPr>
                <w:sz w:val="20"/>
              </w:rPr>
            </w:pPr>
            <w:r>
              <w:rPr>
                <w:sz w:val="20"/>
              </w:rPr>
              <w:t>I51.1,</w:t>
            </w:r>
            <w:r>
              <w:rPr>
                <w:spacing w:val="-5"/>
                <w:sz w:val="20"/>
              </w:rPr>
              <w:t> </w:t>
            </w:r>
            <w:r>
              <w:rPr>
                <w:sz w:val="20"/>
              </w:rPr>
              <w:t>I51.2,</w:t>
            </w:r>
            <w:r>
              <w:rPr>
                <w:spacing w:val="-6"/>
                <w:sz w:val="20"/>
              </w:rPr>
              <w:t> </w:t>
            </w:r>
            <w:r>
              <w:rPr>
                <w:sz w:val="20"/>
              </w:rPr>
              <w:t>I51.3,</w:t>
            </w:r>
            <w:r>
              <w:rPr>
                <w:spacing w:val="-5"/>
                <w:sz w:val="20"/>
              </w:rPr>
              <w:t> </w:t>
            </w:r>
            <w:r>
              <w:rPr>
                <w:sz w:val="20"/>
              </w:rPr>
              <w:t>I51.4,</w:t>
            </w:r>
            <w:r>
              <w:rPr>
                <w:spacing w:val="-4"/>
                <w:sz w:val="20"/>
              </w:rPr>
              <w:t> </w:t>
            </w:r>
            <w:r>
              <w:rPr>
                <w:sz w:val="20"/>
              </w:rPr>
              <w:t>I51.5,</w:t>
            </w:r>
            <w:r>
              <w:rPr>
                <w:spacing w:val="-4"/>
                <w:sz w:val="20"/>
              </w:rPr>
              <w:t> </w:t>
            </w:r>
            <w:r>
              <w:rPr>
                <w:sz w:val="20"/>
              </w:rPr>
              <w:t>I51.6,</w:t>
            </w:r>
            <w:r>
              <w:rPr>
                <w:spacing w:val="-7"/>
                <w:sz w:val="20"/>
              </w:rPr>
              <w:t> </w:t>
            </w:r>
            <w:r>
              <w:rPr>
                <w:sz w:val="20"/>
              </w:rPr>
              <w:t>I51.7,</w:t>
            </w:r>
            <w:r>
              <w:rPr>
                <w:spacing w:val="-4"/>
                <w:sz w:val="20"/>
              </w:rPr>
              <w:t> </w:t>
            </w:r>
            <w:r>
              <w:rPr>
                <w:spacing w:val="-2"/>
                <w:sz w:val="20"/>
              </w:rPr>
              <w:t>I51.8,</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68" w:right="278"/>
              <w:jc w:val="center"/>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I95,</w:t>
            </w:r>
            <w:r>
              <w:rPr>
                <w:spacing w:val="-5"/>
                <w:sz w:val="20"/>
              </w:rPr>
              <w:t> </w:t>
            </w:r>
            <w:r>
              <w:rPr>
                <w:sz w:val="20"/>
              </w:rPr>
              <w:t>I95.0,</w:t>
            </w:r>
            <w:r>
              <w:rPr>
                <w:spacing w:val="-4"/>
                <w:sz w:val="20"/>
              </w:rPr>
              <w:t> </w:t>
            </w:r>
            <w:r>
              <w:rPr>
                <w:spacing w:val="-2"/>
                <w:sz w:val="20"/>
              </w:rPr>
              <w:t>I95.1,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1" w:lineRule="exact"/>
              <w:ind w:left="66" w:right="278"/>
              <w:jc w:val="center"/>
              <w:rPr>
                <w:sz w:val="20"/>
              </w:rPr>
            </w:pPr>
            <w:r>
              <w:rPr>
                <w:sz w:val="20"/>
              </w:rPr>
              <w:t>I95.2,</w:t>
            </w:r>
            <w:r>
              <w:rPr>
                <w:spacing w:val="-5"/>
                <w:sz w:val="20"/>
              </w:rPr>
              <w:t> </w:t>
            </w:r>
            <w:r>
              <w:rPr>
                <w:sz w:val="20"/>
              </w:rPr>
              <w:t>I95.8,</w:t>
            </w:r>
            <w:r>
              <w:rPr>
                <w:spacing w:val="-6"/>
                <w:sz w:val="20"/>
              </w:rPr>
              <w:t> </w:t>
            </w:r>
            <w:r>
              <w:rPr>
                <w:sz w:val="20"/>
              </w:rPr>
              <w:t>I95.9,</w:t>
            </w:r>
            <w:r>
              <w:rPr>
                <w:spacing w:val="-5"/>
                <w:sz w:val="20"/>
              </w:rPr>
              <w:t> </w:t>
            </w:r>
            <w:r>
              <w:rPr>
                <w:sz w:val="20"/>
              </w:rPr>
              <w:t>I97,</w:t>
            </w:r>
            <w:r>
              <w:rPr>
                <w:spacing w:val="-6"/>
                <w:sz w:val="20"/>
              </w:rPr>
              <w:t> </w:t>
            </w:r>
            <w:r>
              <w:rPr>
                <w:sz w:val="20"/>
              </w:rPr>
              <w:t>I97.0,</w:t>
            </w:r>
            <w:r>
              <w:rPr>
                <w:spacing w:val="-7"/>
                <w:sz w:val="20"/>
              </w:rPr>
              <w:t> </w:t>
            </w:r>
            <w:r>
              <w:rPr>
                <w:sz w:val="20"/>
              </w:rPr>
              <w:t>I97.1,</w:t>
            </w:r>
            <w:r>
              <w:rPr>
                <w:spacing w:val="-4"/>
                <w:sz w:val="20"/>
              </w:rPr>
              <w:t> </w:t>
            </w:r>
            <w:r>
              <w:rPr>
                <w:sz w:val="20"/>
              </w:rPr>
              <w:t>I97.8,</w:t>
            </w:r>
            <w:r>
              <w:rPr>
                <w:spacing w:val="-7"/>
                <w:sz w:val="20"/>
              </w:rPr>
              <w:t> </w:t>
            </w:r>
            <w:r>
              <w:rPr>
                <w:spacing w:val="-2"/>
                <w:sz w:val="20"/>
              </w:rPr>
              <w:t>I97.9,</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0" w:right="278"/>
              <w:jc w:val="center"/>
              <w:rPr>
                <w:sz w:val="20"/>
              </w:rPr>
            </w:pPr>
            <w:r>
              <w:rPr>
                <w:sz w:val="20"/>
              </w:rPr>
              <w:t>I98.1,</w:t>
            </w:r>
            <w:r>
              <w:rPr>
                <w:spacing w:val="-5"/>
                <w:sz w:val="20"/>
              </w:rPr>
              <w:t> </w:t>
            </w:r>
            <w:r>
              <w:rPr>
                <w:sz w:val="20"/>
              </w:rPr>
              <w:t>I98.8,</w:t>
            </w:r>
            <w:r>
              <w:rPr>
                <w:spacing w:val="-5"/>
                <w:sz w:val="20"/>
              </w:rPr>
              <w:t> </w:t>
            </w:r>
            <w:r>
              <w:rPr>
                <w:sz w:val="20"/>
              </w:rPr>
              <w:t>Q20,</w:t>
            </w:r>
            <w:r>
              <w:rPr>
                <w:spacing w:val="-5"/>
                <w:sz w:val="20"/>
              </w:rPr>
              <w:t> </w:t>
            </w:r>
            <w:r>
              <w:rPr>
                <w:sz w:val="20"/>
              </w:rPr>
              <w:t>Q20.0,</w:t>
            </w:r>
            <w:r>
              <w:rPr>
                <w:spacing w:val="-6"/>
                <w:sz w:val="20"/>
              </w:rPr>
              <w:t> </w:t>
            </w:r>
            <w:r>
              <w:rPr>
                <w:sz w:val="20"/>
              </w:rPr>
              <w:t>Q20.1,</w:t>
            </w:r>
            <w:r>
              <w:rPr>
                <w:spacing w:val="-5"/>
                <w:sz w:val="20"/>
              </w:rPr>
              <w:t> </w:t>
            </w:r>
            <w:r>
              <w:rPr>
                <w:sz w:val="20"/>
              </w:rPr>
              <w:t>Q20.2,</w:t>
            </w:r>
            <w:r>
              <w:rPr>
                <w:spacing w:val="-5"/>
                <w:sz w:val="20"/>
              </w:rPr>
              <w:t> </w:t>
            </w:r>
            <w:r>
              <w:rPr>
                <w:spacing w:val="-2"/>
                <w:sz w:val="20"/>
              </w:rPr>
              <w:t>Q20.3,</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0" w:right="278"/>
              <w:jc w:val="center"/>
              <w:rPr>
                <w:sz w:val="20"/>
              </w:rPr>
            </w:pPr>
            <w:r>
              <w:rPr>
                <w:sz w:val="20"/>
              </w:rPr>
              <w:t>Q21.1,</w:t>
            </w:r>
            <w:r>
              <w:rPr>
                <w:spacing w:val="-4"/>
                <w:sz w:val="20"/>
              </w:rPr>
              <w:t> </w:t>
            </w:r>
            <w:r>
              <w:rPr>
                <w:sz w:val="20"/>
              </w:rPr>
              <w:t>Q21.2,</w:t>
            </w:r>
            <w:r>
              <w:rPr>
                <w:spacing w:val="-6"/>
                <w:sz w:val="20"/>
              </w:rPr>
              <w:t> </w:t>
            </w:r>
            <w:r>
              <w:rPr>
                <w:sz w:val="20"/>
              </w:rPr>
              <w:t>Q21.3,</w:t>
            </w:r>
            <w:r>
              <w:rPr>
                <w:spacing w:val="-3"/>
                <w:sz w:val="20"/>
              </w:rPr>
              <w:t> </w:t>
            </w:r>
            <w:r>
              <w:rPr>
                <w:sz w:val="20"/>
              </w:rPr>
              <w:t>Q21.4,</w:t>
            </w:r>
            <w:r>
              <w:rPr>
                <w:spacing w:val="-6"/>
                <w:sz w:val="20"/>
              </w:rPr>
              <w:t> </w:t>
            </w:r>
            <w:r>
              <w:rPr>
                <w:sz w:val="20"/>
              </w:rPr>
              <w:t>Q21.8,</w:t>
            </w:r>
            <w:r>
              <w:rPr>
                <w:spacing w:val="-4"/>
                <w:sz w:val="20"/>
              </w:rPr>
              <w:t> </w:t>
            </w:r>
            <w:r>
              <w:rPr>
                <w:sz w:val="20"/>
              </w:rPr>
              <w:t>Q21.9,</w:t>
            </w:r>
            <w:r>
              <w:rPr>
                <w:spacing w:val="-5"/>
                <w:sz w:val="20"/>
              </w:rPr>
              <w:t> </w:t>
            </w:r>
            <w:r>
              <w:rPr>
                <w:spacing w:val="-4"/>
                <w:sz w:val="20"/>
              </w:rPr>
              <w:t>Q22,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1" w:right="278"/>
              <w:jc w:val="center"/>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0" w:right="278"/>
              <w:jc w:val="center"/>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0" w:right="278"/>
              <w:jc w:val="center"/>
              <w:rPr>
                <w:sz w:val="20"/>
              </w:rPr>
            </w:pPr>
            <w:r>
              <w:rPr>
                <w:sz w:val="20"/>
              </w:rPr>
              <w:t>Q24.2,</w:t>
            </w:r>
            <w:r>
              <w:rPr>
                <w:spacing w:val="-5"/>
                <w:sz w:val="20"/>
              </w:rPr>
              <w:t> </w:t>
            </w:r>
            <w:r>
              <w:rPr>
                <w:sz w:val="20"/>
              </w:rPr>
              <w:t>Q24.3,</w:t>
            </w:r>
            <w:r>
              <w:rPr>
                <w:spacing w:val="-5"/>
                <w:sz w:val="20"/>
              </w:rPr>
              <w:t> </w:t>
            </w:r>
            <w:r>
              <w:rPr>
                <w:sz w:val="20"/>
              </w:rPr>
              <w:t>Q24.4,</w:t>
            </w:r>
            <w:r>
              <w:rPr>
                <w:spacing w:val="-4"/>
                <w:sz w:val="20"/>
              </w:rPr>
              <w:t> </w:t>
            </w:r>
            <w:r>
              <w:rPr>
                <w:sz w:val="20"/>
              </w:rPr>
              <w:t>Q24.5,</w:t>
            </w:r>
            <w:r>
              <w:rPr>
                <w:spacing w:val="-6"/>
                <w:sz w:val="20"/>
              </w:rPr>
              <w:t> </w:t>
            </w:r>
            <w:r>
              <w:rPr>
                <w:sz w:val="20"/>
              </w:rPr>
              <w:t>Q24.8,</w:t>
            </w:r>
            <w:r>
              <w:rPr>
                <w:spacing w:val="-4"/>
                <w:sz w:val="20"/>
              </w:rPr>
              <w:t> </w:t>
            </w:r>
            <w:r>
              <w:rPr>
                <w:sz w:val="20"/>
              </w:rPr>
              <w:t>Q24.9,</w:t>
            </w:r>
            <w:r>
              <w:rPr>
                <w:spacing w:val="-6"/>
                <w:sz w:val="20"/>
              </w:rPr>
              <w:t> </w:t>
            </w:r>
            <w:r>
              <w:rPr>
                <w:spacing w:val="-4"/>
                <w:sz w:val="20"/>
              </w:rPr>
              <w:t>R01,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7" w:right="278"/>
              <w:jc w:val="center"/>
              <w:rPr>
                <w:sz w:val="20"/>
              </w:rPr>
            </w:pPr>
            <w:r>
              <w:rPr>
                <w:sz w:val="20"/>
              </w:rPr>
              <w:t>R01.0,</w:t>
            </w:r>
            <w:r>
              <w:rPr>
                <w:spacing w:val="-6"/>
                <w:sz w:val="20"/>
              </w:rPr>
              <w:t> </w:t>
            </w:r>
            <w:r>
              <w:rPr>
                <w:sz w:val="20"/>
              </w:rPr>
              <w:t>R01.1,</w:t>
            </w:r>
            <w:r>
              <w:rPr>
                <w:spacing w:val="-5"/>
                <w:sz w:val="20"/>
              </w:rPr>
              <w:t> </w:t>
            </w:r>
            <w:r>
              <w:rPr>
                <w:sz w:val="20"/>
              </w:rPr>
              <w:t>R01.2,</w:t>
            </w:r>
            <w:r>
              <w:rPr>
                <w:spacing w:val="-5"/>
                <w:sz w:val="20"/>
              </w:rPr>
              <w:t> </w:t>
            </w:r>
            <w:r>
              <w:rPr>
                <w:sz w:val="20"/>
              </w:rPr>
              <w:t>R03,</w:t>
            </w:r>
            <w:r>
              <w:rPr>
                <w:spacing w:val="-5"/>
                <w:sz w:val="20"/>
              </w:rPr>
              <w:t> </w:t>
            </w:r>
            <w:r>
              <w:rPr>
                <w:sz w:val="20"/>
              </w:rPr>
              <w:t>R03.0,</w:t>
            </w:r>
            <w:r>
              <w:rPr>
                <w:spacing w:val="-5"/>
                <w:sz w:val="20"/>
              </w:rPr>
              <w:t> </w:t>
            </w:r>
            <w:r>
              <w:rPr>
                <w:sz w:val="20"/>
              </w:rPr>
              <w:t>R03.1,</w:t>
            </w:r>
            <w:r>
              <w:rPr>
                <w:spacing w:val="-5"/>
                <w:sz w:val="20"/>
              </w:rPr>
              <w:t> </w:t>
            </w:r>
            <w:r>
              <w:rPr>
                <w:spacing w:val="-2"/>
                <w:sz w:val="20"/>
              </w:rPr>
              <w:t>R07.2,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1" w:right="278"/>
              <w:jc w:val="center"/>
              <w:rPr>
                <w:sz w:val="20"/>
              </w:rPr>
            </w:pPr>
            <w:r>
              <w:rPr>
                <w:sz w:val="20"/>
              </w:rPr>
              <w:t>R07.4,</w:t>
            </w:r>
            <w:r>
              <w:rPr>
                <w:spacing w:val="-5"/>
                <w:sz w:val="20"/>
              </w:rPr>
              <w:t> </w:t>
            </w:r>
            <w:r>
              <w:rPr>
                <w:sz w:val="20"/>
              </w:rPr>
              <w:t>R09.8,</w:t>
            </w:r>
            <w:r>
              <w:rPr>
                <w:spacing w:val="-5"/>
                <w:sz w:val="20"/>
              </w:rPr>
              <w:t> </w:t>
            </w:r>
            <w:r>
              <w:rPr>
                <w:sz w:val="20"/>
              </w:rPr>
              <w:t>R55,</w:t>
            </w:r>
            <w:r>
              <w:rPr>
                <w:spacing w:val="-5"/>
                <w:sz w:val="20"/>
              </w:rPr>
              <w:t> </w:t>
            </w:r>
            <w:r>
              <w:rPr>
                <w:sz w:val="20"/>
              </w:rPr>
              <w:t>R57.0,</w:t>
            </w:r>
            <w:r>
              <w:rPr>
                <w:spacing w:val="-5"/>
                <w:sz w:val="20"/>
              </w:rPr>
              <w:t> </w:t>
            </w:r>
            <w:r>
              <w:rPr>
                <w:sz w:val="20"/>
              </w:rPr>
              <w:t>R93.1,</w:t>
            </w:r>
            <w:r>
              <w:rPr>
                <w:spacing w:val="-5"/>
                <w:sz w:val="20"/>
              </w:rPr>
              <w:t> </w:t>
            </w:r>
            <w:r>
              <w:rPr>
                <w:sz w:val="20"/>
              </w:rPr>
              <w:t>R94.3,</w:t>
            </w:r>
            <w:r>
              <w:rPr>
                <w:spacing w:val="-5"/>
                <w:sz w:val="20"/>
              </w:rPr>
              <w:t> </w:t>
            </w:r>
            <w:r>
              <w:rPr>
                <w:spacing w:val="-4"/>
                <w:sz w:val="20"/>
              </w:rPr>
              <w:t>S26,</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68" w:right="278"/>
              <w:jc w:val="center"/>
              <w:rPr>
                <w:sz w:val="20"/>
              </w:rPr>
            </w:pPr>
            <w:r>
              <w:rPr>
                <w:sz w:val="20"/>
              </w:rPr>
              <w:t>S26.0,</w:t>
            </w:r>
            <w:r>
              <w:rPr>
                <w:spacing w:val="-5"/>
                <w:sz w:val="20"/>
              </w:rPr>
              <w:t> </w:t>
            </w:r>
            <w:r>
              <w:rPr>
                <w:sz w:val="20"/>
              </w:rPr>
              <w:t>S26.00,</w:t>
            </w:r>
            <w:r>
              <w:rPr>
                <w:spacing w:val="-7"/>
                <w:sz w:val="20"/>
              </w:rPr>
              <w:t> </w:t>
            </w:r>
            <w:r>
              <w:rPr>
                <w:sz w:val="20"/>
              </w:rPr>
              <w:t>S26.01,</w:t>
            </w:r>
            <w:r>
              <w:rPr>
                <w:spacing w:val="-5"/>
                <w:sz w:val="20"/>
              </w:rPr>
              <w:t> </w:t>
            </w:r>
            <w:r>
              <w:rPr>
                <w:sz w:val="20"/>
              </w:rPr>
              <w:t>S26.8,</w:t>
            </w:r>
            <w:r>
              <w:rPr>
                <w:spacing w:val="-7"/>
                <w:sz w:val="20"/>
              </w:rPr>
              <w:t> </w:t>
            </w:r>
            <w:r>
              <w:rPr>
                <w:sz w:val="20"/>
              </w:rPr>
              <w:t>S26.80,</w:t>
            </w:r>
            <w:r>
              <w:rPr>
                <w:spacing w:val="-5"/>
                <w:sz w:val="20"/>
              </w:rPr>
              <w:t> </w:t>
            </w:r>
            <w:r>
              <w:rPr>
                <w:spacing w:val="-2"/>
                <w:sz w:val="20"/>
              </w:rPr>
              <w:t>S26.81,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1" w:lineRule="exact"/>
              <w:ind w:left="69" w:right="278"/>
              <w:jc w:val="center"/>
              <w:rPr>
                <w:sz w:val="20"/>
              </w:rPr>
            </w:pPr>
            <w:r>
              <w:rPr>
                <w:sz w:val="20"/>
              </w:rPr>
              <w:t>S26.9,</w:t>
            </w:r>
            <w:r>
              <w:rPr>
                <w:spacing w:val="-5"/>
                <w:sz w:val="20"/>
              </w:rPr>
              <w:t> </w:t>
            </w:r>
            <w:r>
              <w:rPr>
                <w:sz w:val="20"/>
              </w:rPr>
              <w:t>S26.90,</w:t>
            </w:r>
            <w:r>
              <w:rPr>
                <w:spacing w:val="-5"/>
                <w:sz w:val="20"/>
              </w:rPr>
              <w:t> </w:t>
            </w:r>
            <w:r>
              <w:rPr>
                <w:sz w:val="20"/>
              </w:rPr>
              <w:t>S26.91,</w:t>
            </w:r>
            <w:r>
              <w:rPr>
                <w:spacing w:val="-6"/>
                <w:sz w:val="20"/>
              </w:rPr>
              <w:t> </w:t>
            </w:r>
            <w:r>
              <w:rPr>
                <w:sz w:val="20"/>
              </w:rPr>
              <w:t>T82,</w:t>
            </w:r>
            <w:r>
              <w:rPr>
                <w:spacing w:val="-6"/>
                <w:sz w:val="20"/>
              </w:rPr>
              <w:t> </w:t>
            </w:r>
            <w:r>
              <w:rPr>
                <w:sz w:val="20"/>
              </w:rPr>
              <w:t>T82.0,</w:t>
            </w:r>
            <w:r>
              <w:rPr>
                <w:spacing w:val="-6"/>
                <w:sz w:val="20"/>
              </w:rPr>
              <w:t> </w:t>
            </w:r>
            <w:r>
              <w:rPr>
                <w:sz w:val="20"/>
              </w:rPr>
              <w:t>T82.1,</w:t>
            </w:r>
            <w:r>
              <w:rPr>
                <w:spacing w:val="-6"/>
                <w:sz w:val="20"/>
              </w:rPr>
              <w:t> </w:t>
            </w:r>
            <w:r>
              <w:rPr>
                <w:spacing w:val="-2"/>
                <w:sz w:val="20"/>
              </w:rPr>
              <w:t>T82.2,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64" w:type="dxa"/>
          </w:tcPr>
          <w:p>
            <w:pPr>
              <w:pStyle w:val="TableParagraph"/>
              <w:rPr>
                <w:sz w:val="18"/>
              </w:rPr>
            </w:pPr>
          </w:p>
        </w:tc>
        <w:tc>
          <w:tcPr>
            <w:tcW w:w="4517" w:type="dxa"/>
          </w:tcPr>
          <w:p>
            <w:pPr>
              <w:pStyle w:val="TableParagraph"/>
              <w:spacing w:line="226" w:lineRule="exact"/>
              <w:ind w:left="73" w:right="278"/>
              <w:jc w:val="center"/>
              <w:rPr>
                <w:sz w:val="20"/>
              </w:rPr>
            </w:pPr>
            <w:r>
              <w:rPr>
                <w:sz w:val="20"/>
              </w:rPr>
              <w:t>T82.3,</w:t>
            </w:r>
            <w:r>
              <w:rPr>
                <w:spacing w:val="-7"/>
                <w:sz w:val="20"/>
              </w:rPr>
              <w:t> </w:t>
            </w:r>
            <w:r>
              <w:rPr>
                <w:sz w:val="20"/>
              </w:rPr>
              <w:t>T82.4,</w:t>
            </w:r>
            <w:r>
              <w:rPr>
                <w:spacing w:val="-5"/>
                <w:sz w:val="20"/>
              </w:rPr>
              <w:t> </w:t>
            </w:r>
            <w:r>
              <w:rPr>
                <w:sz w:val="20"/>
              </w:rPr>
              <w:t>T82.7,</w:t>
            </w:r>
            <w:r>
              <w:rPr>
                <w:spacing w:val="-4"/>
                <w:sz w:val="20"/>
              </w:rPr>
              <w:t> </w:t>
            </w:r>
            <w:r>
              <w:rPr>
                <w:sz w:val="20"/>
              </w:rPr>
              <w:t>T82.8,</w:t>
            </w:r>
            <w:r>
              <w:rPr>
                <w:spacing w:val="-5"/>
                <w:sz w:val="20"/>
              </w:rPr>
              <w:t> </w:t>
            </w:r>
            <w:r>
              <w:rPr>
                <w:sz w:val="20"/>
              </w:rPr>
              <w:t>T82.9,</w:t>
            </w:r>
            <w:r>
              <w:rPr>
                <w:spacing w:val="-5"/>
                <w:sz w:val="20"/>
              </w:rPr>
              <w:t> </w:t>
            </w:r>
            <w:r>
              <w:rPr>
                <w:spacing w:val="-4"/>
                <w:sz w:val="20"/>
              </w:rPr>
              <w:t>T85.8</w:t>
            </w:r>
          </w:p>
        </w:tc>
        <w:tc>
          <w:tcPr>
            <w:tcW w:w="3532" w:type="dxa"/>
          </w:tcPr>
          <w:p>
            <w:pPr>
              <w:pStyle w:val="TableParagraph"/>
              <w:rPr>
                <w:sz w:val="18"/>
              </w:rPr>
            </w:pPr>
          </w:p>
        </w:tc>
        <w:tc>
          <w:tcPr>
            <w:tcW w:w="1747"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st27.009</w:t>
            </w:r>
          </w:p>
        </w:tc>
        <w:tc>
          <w:tcPr>
            <w:tcW w:w="707" w:type="dxa"/>
          </w:tcPr>
          <w:p>
            <w:pPr>
              <w:pStyle w:val="TableParagraph"/>
              <w:spacing w:line="214" w:lineRule="exact" w:before="46"/>
              <w:ind w:left="210"/>
              <w:rPr>
                <w:sz w:val="20"/>
              </w:rPr>
            </w:pPr>
            <w:r>
              <w:rPr>
                <w:spacing w:val="-5"/>
                <w:sz w:val="20"/>
              </w:rPr>
              <w:t>258</w:t>
            </w:r>
          </w:p>
        </w:tc>
        <w:tc>
          <w:tcPr>
            <w:tcW w:w="2564" w:type="dxa"/>
          </w:tcPr>
          <w:p>
            <w:pPr>
              <w:pStyle w:val="TableParagraph"/>
              <w:spacing w:line="214"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сердца</w:t>
            </w:r>
          </w:p>
        </w:tc>
        <w:tc>
          <w:tcPr>
            <w:tcW w:w="4517" w:type="dxa"/>
          </w:tcPr>
          <w:p>
            <w:pPr>
              <w:pStyle w:val="TableParagraph"/>
              <w:spacing w:line="214" w:lineRule="exact" w:before="46"/>
              <w:ind w:left="71" w:right="278"/>
              <w:jc w:val="center"/>
              <w:rPr>
                <w:sz w:val="20"/>
              </w:rPr>
            </w:pPr>
            <w:r>
              <w:rPr>
                <w:sz w:val="20"/>
              </w:rPr>
              <w:t>I24,</w:t>
            </w:r>
            <w:r>
              <w:rPr>
                <w:spacing w:val="-4"/>
                <w:sz w:val="20"/>
              </w:rPr>
              <w:t> </w:t>
            </w:r>
            <w:r>
              <w:rPr>
                <w:sz w:val="20"/>
              </w:rPr>
              <w:t>I24.0,</w:t>
            </w:r>
            <w:r>
              <w:rPr>
                <w:spacing w:val="-4"/>
                <w:sz w:val="20"/>
              </w:rPr>
              <w:t> </w:t>
            </w:r>
            <w:r>
              <w:rPr>
                <w:sz w:val="20"/>
              </w:rPr>
              <w:t>I24.1,</w:t>
            </w:r>
            <w:r>
              <w:rPr>
                <w:spacing w:val="-4"/>
                <w:sz w:val="20"/>
              </w:rPr>
              <w:t> </w:t>
            </w:r>
            <w:r>
              <w:rPr>
                <w:sz w:val="20"/>
              </w:rPr>
              <w:t>I24.8,</w:t>
            </w:r>
            <w:r>
              <w:rPr>
                <w:spacing w:val="-6"/>
                <w:sz w:val="20"/>
              </w:rPr>
              <w:t> </w:t>
            </w:r>
            <w:r>
              <w:rPr>
                <w:sz w:val="20"/>
              </w:rPr>
              <w:t>I24.9,</w:t>
            </w:r>
            <w:r>
              <w:rPr>
                <w:spacing w:val="-6"/>
                <w:sz w:val="20"/>
              </w:rPr>
              <w:t> </w:t>
            </w:r>
            <w:r>
              <w:rPr>
                <w:sz w:val="20"/>
              </w:rPr>
              <w:t>I27,</w:t>
            </w:r>
            <w:r>
              <w:rPr>
                <w:spacing w:val="-4"/>
                <w:sz w:val="20"/>
              </w:rPr>
              <w:t> </w:t>
            </w:r>
            <w:r>
              <w:rPr>
                <w:sz w:val="20"/>
              </w:rPr>
              <w:t>I27.0,</w:t>
            </w:r>
            <w:r>
              <w:rPr>
                <w:spacing w:val="-4"/>
                <w:sz w:val="20"/>
              </w:rPr>
              <w:t> </w:t>
            </w:r>
            <w:r>
              <w:rPr>
                <w:spacing w:val="-2"/>
                <w:sz w:val="20"/>
              </w:rPr>
              <w:t>I27.1,</w:t>
            </w:r>
          </w:p>
        </w:tc>
        <w:tc>
          <w:tcPr>
            <w:tcW w:w="3532" w:type="dxa"/>
          </w:tcPr>
          <w:p>
            <w:pPr>
              <w:pStyle w:val="TableParagraph"/>
              <w:spacing w:line="214" w:lineRule="exact" w:before="46"/>
              <w:ind w:left="322" w:right="816"/>
              <w:jc w:val="center"/>
              <w:rPr>
                <w:sz w:val="20"/>
              </w:rPr>
            </w:pPr>
            <w:r>
              <w:rPr>
                <w:w w:val="95"/>
                <w:sz w:val="20"/>
              </w:rPr>
              <w:t>A06.09.005.002,</w:t>
            </w:r>
            <w:r>
              <w:rPr>
                <w:spacing w:val="54"/>
                <w:sz w:val="20"/>
              </w:rPr>
              <w:t> </w:t>
            </w:r>
            <w:r>
              <w:rPr>
                <w:spacing w:val="-2"/>
                <w:sz w:val="20"/>
              </w:rPr>
              <w:t>A06.10.006,</w:t>
            </w:r>
          </w:p>
        </w:tc>
        <w:tc>
          <w:tcPr>
            <w:tcW w:w="1747" w:type="dxa"/>
          </w:tcPr>
          <w:p>
            <w:pPr>
              <w:pStyle w:val="TableParagraph"/>
              <w:spacing w:line="214" w:lineRule="exact" w:before="46"/>
              <w:ind w:left="820"/>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1,54</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4517" w:type="dxa"/>
          </w:tcPr>
          <w:p>
            <w:pPr>
              <w:pStyle w:val="TableParagraph"/>
              <w:spacing w:line="209" w:lineRule="exact"/>
              <w:ind w:left="66" w:right="278"/>
              <w:jc w:val="center"/>
              <w:rPr>
                <w:sz w:val="20"/>
              </w:rPr>
            </w:pPr>
            <w:r>
              <w:rPr>
                <w:sz w:val="20"/>
              </w:rPr>
              <w:t>I27.2,</w:t>
            </w:r>
            <w:r>
              <w:rPr>
                <w:spacing w:val="-5"/>
                <w:sz w:val="20"/>
              </w:rPr>
              <w:t> </w:t>
            </w:r>
            <w:r>
              <w:rPr>
                <w:sz w:val="20"/>
              </w:rPr>
              <w:t>I27.8,</w:t>
            </w:r>
            <w:r>
              <w:rPr>
                <w:spacing w:val="-6"/>
                <w:sz w:val="20"/>
              </w:rPr>
              <w:t> </w:t>
            </w:r>
            <w:r>
              <w:rPr>
                <w:sz w:val="20"/>
              </w:rPr>
              <w:t>I27.9,</w:t>
            </w:r>
            <w:r>
              <w:rPr>
                <w:spacing w:val="-5"/>
                <w:sz w:val="20"/>
              </w:rPr>
              <w:t> </w:t>
            </w:r>
            <w:r>
              <w:rPr>
                <w:sz w:val="20"/>
              </w:rPr>
              <w:t>I28,</w:t>
            </w:r>
            <w:r>
              <w:rPr>
                <w:spacing w:val="-6"/>
                <w:sz w:val="20"/>
              </w:rPr>
              <w:t> </w:t>
            </w:r>
            <w:r>
              <w:rPr>
                <w:sz w:val="20"/>
              </w:rPr>
              <w:t>I28.0,</w:t>
            </w:r>
            <w:r>
              <w:rPr>
                <w:spacing w:val="-7"/>
                <w:sz w:val="20"/>
              </w:rPr>
              <w:t> </w:t>
            </w:r>
            <w:r>
              <w:rPr>
                <w:sz w:val="20"/>
              </w:rPr>
              <w:t>I28.1,</w:t>
            </w:r>
            <w:r>
              <w:rPr>
                <w:spacing w:val="-4"/>
                <w:sz w:val="20"/>
              </w:rPr>
              <w:t> </w:t>
            </w:r>
            <w:r>
              <w:rPr>
                <w:sz w:val="20"/>
              </w:rPr>
              <w:t>I28.8,</w:t>
            </w:r>
            <w:r>
              <w:rPr>
                <w:spacing w:val="-7"/>
                <w:sz w:val="20"/>
              </w:rPr>
              <w:t> </w:t>
            </w:r>
            <w:r>
              <w:rPr>
                <w:spacing w:val="-2"/>
                <w:sz w:val="20"/>
              </w:rPr>
              <w:t>I28.9,</w:t>
            </w:r>
          </w:p>
        </w:tc>
        <w:tc>
          <w:tcPr>
            <w:tcW w:w="3532" w:type="dxa"/>
          </w:tcPr>
          <w:p>
            <w:pPr>
              <w:pStyle w:val="TableParagraph"/>
              <w:spacing w:line="209" w:lineRule="exact"/>
              <w:ind w:left="322" w:right="816"/>
              <w:jc w:val="center"/>
              <w:rPr>
                <w:sz w:val="20"/>
              </w:rPr>
            </w:pPr>
            <w:r>
              <w:rPr>
                <w:w w:val="95"/>
                <w:sz w:val="20"/>
              </w:rPr>
              <w:t>A06.10.006.002,</w:t>
            </w:r>
            <w:r>
              <w:rPr>
                <w:spacing w:val="54"/>
                <w:sz w:val="20"/>
              </w:rPr>
              <w:t> </w:t>
            </w:r>
            <w:r>
              <w:rPr>
                <w:spacing w:val="-2"/>
                <w:sz w:val="20"/>
              </w:rPr>
              <w:t>A07.10.001,</w:t>
            </w: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I34,</w:t>
            </w:r>
            <w:r>
              <w:rPr>
                <w:spacing w:val="-5"/>
                <w:sz w:val="20"/>
              </w:rPr>
              <w:t> </w:t>
            </w:r>
            <w:r>
              <w:rPr>
                <w:sz w:val="20"/>
              </w:rPr>
              <w:t>I34.0,</w:t>
            </w:r>
            <w:r>
              <w:rPr>
                <w:spacing w:val="-5"/>
                <w:sz w:val="20"/>
              </w:rPr>
              <w:t> </w:t>
            </w:r>
            <w:r>
              <w:rPr>
                <w:sz w:val="20"/>
              </w:rPr>
              <w:t>I34.1,</w:t>
            </w:r>
            <w:r>
              <w:rPr>
                <w:spacing w:val="-4"/>
                <w:sz w:val="20"/>
              </w:rPr>
              <w:t> </w:t>
            </w:r>
            <w:r>
              <w:rPr>
                <w:sz w:val="20"/>
              </w:rPr>
              <w:t>I34.2,</w:t>
            </w:r>
            <w:r>
              <w:rPr>
                <w:spacing w:val="-7"/>
                <w:sz w:val="20"/>
              </w:rPr>
              <w:t> </w:t>
            </w:r>
            <w:r>
              <w:rPr>
                <w:sz w:val="20"/>
              </w:rPr>
              <w:t>I34.8,</w:t>
            </w:r>
            <w:r>
              <w:rPr>
                <w:spacing w:val="-6"/>
                <w:sz w:val="20"/>
              </w:rPr>
              <w:t> </w:t>
            </w:r>
            <w:r>
              <w:rPr>
                <w:sz w:val="20"/>
              </w:rPr>
              <w:t>I34.9,</w:t>
            </w:r>
            <w:r>
              <w:rPr>
                <w:spacing w:val="-5"/>
                <w:sz w:val="20"/>
              </w:rPr>
              <w:t> </w:t>
            </w:r>
            <w:r>
              <w:rPr>
                <w:sz w:val="20"/>
              </w:rPr>
              <w:t>I35,</w:t>
            </w:r>
            <w:r>
              <w:rPr>
                <w:spacing w:val="-4"/>
                <w:sz w:val="20"/>
              </w:rPr>
              <w:t> </w:t>
            </w:r>
            <w:r>
              <w:rPr>
                <w:spacing w:val="-2"/>
                <w:sz w:val="20"/>
              </w:rPr>
              <w:t>I35.0,</w:t>
            </w:r>
          </w:p>
        </w:tc>
        <w:tc>
          <w:tcPr>
            <w:tcW w:w="3532" w:type="dxa"/>
          </w:tcPr>
          <w:p>
            <w:pPr>
              <w:pStyle w:val="TableParagraph"/>
              <w:spacing w:line="210" w:lineRule="exact"/>
              <w:ind w:left="322" w:right="816"/>
              <w:jc w:val="center"/>
              <w:rPr>
                <w:sz w:val="20"/>
              </w:rPr>
            </w:pPr>
            <w:r>
              <w:rPr>
                <w:w w:val="95"/>
                <w:sz w:val="20"/>
              </w:rPr>
              <w:t>A07.10.001.001,</w:t>
            </w:r>
            <w:r>
              <w:rPr>
                <w:spacing w:val="54"/>
                <w:sz w:val="20"/>
              </w:rPr>
              <w:t> </w:t>
            </w:r>
            <w:r>
              <w:rPr>
                <w:spacing w:val="-2"/>
                <w:sz w:val="20"/>
              </w:rPr>
              <w:t>A11.10.001,</w:t>
            </w: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I35.1,</w:t>
            </w:r>
            <w:r>
              <w:rPr>
                <w:spacing w:val="-5"/>
                <w:sz w:val="20"/>
              </w:rPr>
              <w:t> </w:t>
            </w:r>
            <w:r>
              <w:rPr>
                <w:sz w:val="20"/>
              </w:rPr>
              <w:t>I35.2,</w:t>
            </w:r>
            <w:r>
              <w:rPr>
                <w:spacing w:val="-7"/>
                <w:sz w:val="20"/>
              </w:rPr>
              <w:t> </w:t>
            </w:r>
            <w:r>
              <w:rPr>
                <w:sz w:val="20"/>
              </w:rPr>
              <w:t>I35.8,</w:t>
            </w:r>
            <w:r>
              <w:rPr>
                <w:spacing w:val="-4"/>
                <w:sz w:val="20"/>
              </w:rPr>
              <w:t> </w:t>
            </w:r>
            <w:r>
              <w:rPr>
                <w:sz w:val="20"/>
              </w:rPr>
              <w:t>I35.9,</w:t>
            </w:r>
            <w:r>
              <w:rPr>
                <w:spacing w:val="-5"/>
                <w:sz w:val="20"/>
              </w:rPr>
              <w:t> </w:t>
            </w:r>
            <w:r>
              <w:rPr>
                <w:sz w:val="20"/>
              </w:rPr>
              <w:t>I36,</w:t>
            </w:r>
            <w:r>
              <w:rPr>
                <w:spacing w:val="-6"/>
                <w:sz w:val="20"/>
              </w:rPr>
              <w:t> </w:t>
            </w:r>
            <w:r>
              <w:rPr>
                <w:sz w:val="20"/>
              </w:rPr>
              <w:t>I36.0,</w:t>
            </w:r>
            <w:r>
              <w:rPr>
                <w:spacing w:val="-5"/>
                <w:sz w:val="20"/>
              </w:rPr>
              <w:t> </w:t>
            </w:r>
            <w:r>
              <w:rPr>
                <w:sz w:val="20"/>
              </w:rPr>
              <w:t>I36.1,</w:t>
            </w:r>
            <w:r>
              <w:rPr>
                <w:spacing w:val="-7"/>
                <w:sz w:val="20"/>
              </w:rPr>
              <w:t> </w:t>
            </w:r>
            <w:r>
              <w:rPr>
                <w:spacing w:val="-2"/>
                <w:sz w:val="20"/>
              </w:rPr>
              <w:t>I36.2,</w:t>
            </w:r>
          </w:p>
        </w:tc>
        <w:tc>
          <w:tcPr>
            <w:tcW w:w="3532" w:type="dxa"/>
          </w:tcPr>
          <w:p>
            <w:pPr>
              <w:pStyle w:val="TableParagraph"/>
              <w:spacing w:line="210" w:lineRule="exact"/>
              <w:ind w:left="322" w:right="814"/>
              <w:jc w:val="center"/>
              <w:rPr>
                <w:sz w:val="20"/>
              </w:rPr>
            </w:pPr>
            <w:r>
              <w:rPr>
                <w:sz w:val="20"/>
              </w:rPr>
              <w:t>A11.10.003,</w:t>
            </w:r>
            <w:r>
              <w:rPr>
                <w:spacing w:val="-9"/>
                <w:sz w:val="20"/>
              </w:rPr>
              <w:t> </w:t>
            </w:r>
            <w:r>
              <w:rPr>
                <w:spacing w:val="-2"/>
                <w:sz w:val="20"/>
              </w:rPr>
              <w:t>A17.10.001,</w:t>
            </w: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I36.8,</w:t>
            </w:r>
            <w:r>
              <w:rPr>
                <w:spacing w:val="-5"/>
                <w:sz w:val="20"/>
              </w:rPr>
              <w:t> </w:t>
            </w:r>
            <w:r>
              <w:rPr>
                <w:sz w:val="20"/>
              </w:rPr>
              <w:t>I36.9,</w:t>
            </w:r>
            <w:r>
              <w:rPr>
                <w:spacing w:val="-7"/>
                <w:sz w:val="20"/>
              </w:rPr>
              <w:t> </w:t>
            </w:r>
            <w:r>
              <w:rPr>
                <w:sz w:val="20"/>
              </w:rPr>
              <w:t>I37,</w:t>
            </w:r>
            <w:r>
              <w:rPr>
                <w:spacing w:val="-4"/>
                <w:sz w:val="20"/>
              </w:rPr>
              <w:t> </w:t>
            </w:r>
            <w:r>
              <w:rPr>
                <w:sz w:val="20"/>
              </w:rPr>
              <w:t>I37.0,</w:t>
            </w:r>
            <w:r>
              <w:rPr>
                <w:spacing w:val="-7"/>
                <w:sz w:val="20"/>
              </w:rPr>
              <w:t> </w:t>
            </w:r>
            <w:r>
              <w:rPr>
                <w:sz w:val="20"/>
              </w:rPr>
              <w:t>I37.1,</w:t>
            </w:r>
            <w:r>
              <w:rPr>
                <w:spacing w:val="-6"/>
                <w:sz w:val="20"/>
              </w:rPr>
              <w:t> </w:t>
            </w:r>
            <w:r>
              <w:rPr>
                <w:sz w:val="20"/>
              </w:rPr>
              <w:t>I37.2,</w:t>
            </w:r>
            <w:r>
              <w:rPr>
                <w:spacing w:val="-5"/>
                <w:sz w:val="20"/>
              </w:rPr>
              <w:t> </w:t>
            </w:r>
            <w:r>
              <w:rPr>
                <w:sz w:val="20"/>
              </w:rPr>
              <w:t>I37.8,</w:t>
            </w:r>
            <w:r>
              <w:rPr>
                <w:spacing w:val="-7"/>
                <w:sz w:val="20"/>
              </w:rPr>
              <w:t> </w:t>
            </w:r>
            <w:r>
              <w:rPr>
                <w:spacing w:val="-2"/>
                <w:sz w:val="20"/>
              </w:rPr>
              <w:t>I37.9,</w:t>
            </w:r>
          </w:p>
        </w:tc>
        <w:tc>
          <w:tcPr>
            <w:tcW w:w="3532" w:type="dxa"/>
          </w:tcPr>
          <w:p>
            <w:pPr>
              <w:pStyle w:val="TableParagraph"/>
              <w:spacing w:line="210" w:lineRule="exact"/>
              <w:ind w:left="322" w:right="816"/>
              <w:jc w:val="center"/>
              <w:rPr>
                <w:sz w:val="20"/>
              </w:rPr>
            </w:pPr>
            <w:r>
              <w:rPr>
                <w:w w:val="95"/>
                <w:sz w:val="20"/>
              </w:rPr>
              <w:t>A17.10.001.001,</w:t>
            </w:r>
            <w:r>
              <w:rPr>
                <w:spacing w:val="54"/>
                <w:sz w:val="20"/>
              </w:rPr>
              <w:t> </w:t>
            </w:r>
            <w:r>
              <w:rPr>
                <w:spacing w:val="-2"/>
                <w:sz w:val="20"/>
              </w:rPr>
              <w:t>A17.10.002,</w:t>
            </w:r>
          </w:p>
        </w:tc>
        <w:tc>
          <w:tcPr>
            <w:tcW w:w="1747"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5" w:lineRule="exact"/>
              <w:ind w:left="69" w:right="278"/>
              <w:jc w:val="center"/>
              <w:rPr>
                <w:sz w:val="20"/>
              </w:rPr>
            </w:pPr>
            <w:r>
              <w:rPr>
                <w:sz w:val="20"/>
              </w:rPr>
              <w:t>I39,</w:t>
            </w:r>
            <w:r>
              <w:rPr>
                <w:spacing w:val="-4"/>
                <w:sz w:val="20"/>
              </w:rPr>
              <w:t> </w:t>
            </w:r>
            <w:r>
              <w:rPr>
                <w:sz w:val="20"/>
              </w:rPr>
              <w:t>I39.0,</w:t>
            </w:r>
            <w:r>
              <w:rPr>
                <w:spacing w:val="-5"/>
                <w:sz w:val="20"/>
              </w:rPr>
              <w:t> </w:t>
            </w:r>
            <w:r>
              <w:rPr>
                <w:sz w:val="20"/>
              </w:rPr>
              <w:t>I39.1,</w:t>
            </w:r>
            <w:r>
              <w:rPr>
                <w:spacing w:val="-4"/>
                <w:sz w:val="20"/>
              </w:rPr>
              <w:t> </w:t>
            </w:r>
            <w:r>
              <w:rPr>
                <w:sz w:val="20"/>
              </w:rPr>
              <w:t>I39.2,</w:t>
            </w:r>
            <w:r>
              <w:rPr>
                <w:spacing w:val="-7"/>
                <w:sz w:val="20"/>
              </w:rPr>
              <w:t> </w:t>
            </w:r>
            <w:r>
              <w:rPr>
                <w:sz w:val="20"/>
              </w:rPr>
              <w:t>I39.3,</w:t>
            </w:r>
            <w:r>
              <w:rPr>
                <w:spacing w:val="-6"/>
                <w:sz w:val="20"/>
              </w:rPr>
              <w:t> </w:t>
            </w:r>
            <w:r>
              <w:rPr>
                <w:sz w:val="20"/>
              </w:rPr>
              <w:t>I39.4,</w:t>
            </w:r>
            <w:r>
              <w:rPr>
                <w:spacing w:val="-5"/>
                <w:sz w:val="20"/>
              </w:rPr>
              <w:t> </w:t>
            </w:r>
            <w:r>
              <w:rPr>
                <w:sz w:val="20"/>
              </w:rPr>
              <w:t>I46,</w:t>
            </w:r>
            <w:r>
              <w:rPr>
                <w:spacing w:val="-4"/>
                <w:sz w:val="20"/>
              </w:rPr>
              <w:t> </w:t>
            </w:r>
            <w:r>
              <w:rPr>
                <w:spacing w:val="-2"/>
                <w:sz w:val="20"/>
              </w:rPr>
              <w:t>I46.0,</w:t>
            </w:r>
          </w:p>
        </w:tc>
        <w:tc>
          <w:tcPr>
            <w:tcW w:w="3532" w:type="dxa"/>
          </w:tcPr>
          <w:p>
            <w:pPr>
              <w:pStyle w:val="TableParagraph"/>
              <w:spacing w:line="205" w:lineRule="exact"/>
              <w:ind w:left="322" w:right="815"/>
              <w:jc w:val="center"/>
              <w:rPr>
                <w:sz w:val="20"/>
              </w:rPr>
            </w:pPr>
            <w:r>
              <w:rPr>
                <w:spacing w:val="-2"/>
                <w:sz w:val="20"/>
              </w:rPr>
              <w:t>A17.10.002.001</w:t>
            </w:r>
          </w:p>
        </w:tc>
        <w:tc>
          <w:tcPr>
            <w:tcW w:w="1747"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45"/>
        <w:gridCol w:w="5207"/>
        <w:gridCol w:w="2384"/>
        <w:gridCol w:w="2327"/>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45" w:type="dxa"/>
            <w:vMerge w:val="restart"/>
          </w:tcPr>
          <w:p>
            <w:pPr>
              <w:pStyle w:val="TableParagraph"/>
              <w:rPr>
                <w:sz w:val="18"/>
              </w:rPr>
            </w:pPr>
          </w:p>
        </w:tc>
        <w:tc>
          <w:tcPr>
            <w:tcW w:w="5207" w:type="dxa"/>
          </w:tcPr>
          <w:p>
            <w:pPr>
              <w:pStyle w:val="TableParagraph"/>
              <w:spacing w:line="205" w:lineRule="exact"/>
              <w:ind w:left="383"/>
              <w:rPr>
                <w:sz w:val="20"/>
              </w:rPr>
            </w:pPr>
            <w:r>
              <w:rPr>
                <w:sz w:val="20"/>
              </w:rPr>
              <w:t>I46.1,</w:t>
            </w:r>
            <w:r>
              <w:rPr>
                <w:spacing w:val="-5"/>
                <w:sz w:val="20"/>
              </w:rPr>
              <w:t> </w:t>
            </w:r>
            <w:r>
              <w:rPr>
                <w:sz w:val="20"/>
              </w:rPr>
              <w:t>I46.9,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tc>
        <w:tc>
          <w:tcPr>
            <w:tcW w:w="2384" w:type="dxa"/>
            <w:vMerge w:val="restart"/>
          </w:tcPr>
          <w:p>
            <w:pPr>
              <w:pStyle w:val="TableParagraph"/>
              <w:rPr>
                <w:sz w:val="18"/>
              </w:rPr>
            </w:pPr>
          </w:p>
        </w:tc>
        <w:tc>
          <w:tcPr>
            <w:tcW w:w="232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right="897"/>
              <w:jc w:val="right"/>
              <w:rPr>
                <w:sz w:val="20"/>
              </w:rPr>
            </w:pPr>
            <w:r>
              <w:rPr>
                <w:sz w:val="20"/>
              </w:rPr>
              <w:t>I51.1,</w:t>
            </w:r>
            <w:r>
              <w:rPr>
                <w:spacing w:val="-5"/>
                <w:sz w:val="20"/>
              </w:rPr>
              <w:t> </w:t>
            </w:r>
            <w:r>
              <w:rPr>
                <w:sz w:val="20"/>
              </w:rPr>
              <w:t>I51.2,</w:t>
            </w:r>
            <w:r>
              <w:rPr>
                <w:spacing w:val="-7"/>
                <w:sz w:val="20"/>
              </w:rPr>
              <w:t> </w:t>
            </w:r>
            <w:r>
              <w:rPr>
                <w:sz w:val="20"/>
              </w:rPr>
              <w:t>I51.3,</w:t>
            </w:r>
            <w:r>
              <w:rPr>
                <w:spacing w:val="-5"/>
                <w:sz w:val="20"/>
              </w:rPr>
              <w:t> </w:t>
            </w:r>
            <w:r>
              <w:rPr>
                <w:sz w:val="20"/>
              </w:rPr>
              <w:t>I51.4,</w:t>
            </w:r>
            <w:r>
              <w:rPr>
                <w:spacing w:val="-5"/>
                <w:sz w:val="20"/>
              </w:rPr>
              <w:t> </w:t>
            </w:r>
            <w:r>
              <w:rPr>
                <w:sz w:val="20"/>
              </w:rPr>
              <w:t>I51.5,</w:t>
            </w:r>
            <w:r>
              <w:rPr>
                <w:spacing w:val="-5"/>
                <w:sz w:val="20"/>
              </w:rPr>
              <w:t> </w:t>
            </w:r>
            <w:r>
              <w:rPr>
                <w:sz w:val="20"/>
              </w:rPr>
              <w:t>I51.6,</w:t>
            </w:r>
            <w:r>
              <w:rPr>
                <w:spacing w:val="-6"/>
                <w:sz w:val="20"/>
              </w:rPr>
              <w:t> </w:t>
            </w:r>
            <w:r>
              <w:rPr>
                <w:sz w:val="20"/>
              </w:rPr>
              <w:t>I51.7,</w:t>
            </w:r>
            <w:r>
              <w:rPr>
                <w:spacing w:val="-5"/>
                <w:sz w:val="20"/>
              </w:rPr>
              <w:t> </w:t>
            </w:r>
            <w:r>
              <w:rPr>
                <w:spacing w:val="-2"/>
                <w:sz w:val="20"/>
              </w:rPr>
              <w:t>I51.8,</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left="383"/>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I95,</w:t>
            </w:r>
            <w:r>
              <w:rPr>
                <w:spacing w:val="-5"/>
                <w:sz w:val="20"/>
              </w:rPr>
              <w:t> </w:t>
            </w:r>
            <w:r>
              <w:rPr>
                <w:sz w:val="20"/>
              </w:rPr>
              <w:t>I95.0,</w:t>
            </w:r>
            <w:r>
              <w:rPr>
                <w:spacing w:val="-4"/>
                <w:sz w:val="20"/>
              </w:rPr>
              <w:t> </w:t>
            </w:r>
            <w:r>
              <w:rPr>
                <w:spacing w:val="-2"/>
                <w:sz w:val="20"/>
              </w:rPr>
              <w:t>I95.1,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63"/>
              <w:jc w:val="right"/>
              <w:rPr>
                <w:sz w:val="20"/>
              </w:rPr>
            </w:pPr>
            <w:r>
              <w:rPr>
                <w:sz w:val="20"/>
              </w:rPr>
              <w:t>I95.2,</w:t>
            </w:r>
            <w:r>
              <w:rPr>
                <w:spacing w:val="-5"/>
                <w:sz w:val="20"/>
              </w:rPr>
              <w:t> </w:t>
            </w:r>
            <w:r>
              <w:rPr>
                <w:sz w:val="20"/>
              </w:rPr>
              <w:t>I95.8,</w:t>
            </w:r>
            <w:r>
              <w:rPr>
                <w:spacing w:val="-6"/>
                <w:sz w:val="20"/>
              </w:rPr>
              <w:t> </w:t>
            </w:r>
            <w:r>
              <w:rPr>
                <w:sz w:val="20"/>
              </w:rPr>
              <w:t>I95.9,</w:t>
            </w:r>
            <w:r>
              <w:rPr>
                <w:spacing w:val="-5"/>
                <w:sz w:val="20"/>
              </w:rPr>
              <w:t> </w:t>
            </w:r>
            <w:r>
              <w:rPr>
                <w:sz w:val="20"/>
              </w:rPr>
              <w:t>I97,</w:t>
            </w:r>
            <w:r>
              <w:rPr>
                <w:spacing w:val="-6"/>
                <w:sz w:val="20"/>
              </w:rPr>
              <w:t> </w:t>
            </w:r>
            <w:r>
              <w:rPr>
                <w:sz w:val="20"/>
              </w:rPr>
              <w:t>I97.0,</w:t>
            </w:r>
            <w:r>
              <w:rPr>
                <w:spacing w:val="-7"/>
                <w:sz w:val="20"/>
              </w:rPr>
              <w:t> </w:t>
            </w:r>
            <w:r>
              <w:rPr>
                <w:sz w:val="20"/>
              </w:rPr>
              <w:t>I97.1,</w:t>
            </w:r>
            <w:r>
              <w:rPr>
                <w:spacing w:val="-4"/>
                <w:sz w:val="20"/>
              </w:rPr>
              <w:t> </w:t>
            </w:r>
            <w:r>
              <w:rPr>
                <w:sz w:val="20"/>
              </w:rPr>
              <w:t>I97.8,</w:t>
            </w:r>
            <w:r>
              <w:rPr>
                <w:spacing w:val="-7"/>
                <w:sz w:val="20"/>
              </w:rPr>
              <w:t> </w:t>
            </w:r>
            <w:r>
              <w:rPr>
                <w:spacing w:val="-2"/>
                <w:sz w:val="20"/>
              </w:rPr>
              <w:t>I97.9,</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left="371"/>
              <w:rPr>
                <w:sz w:val="20"/>
              </w:rPr>
            </w:pPr>
            <w:r>
              <w:rPr>
                <w:sz w:val="20"/>
              </w:rPr>
              <w:t>I98.1,</w:t>
            </w:r>
            <w:r>
              <w:rPr>
                <w:spacing w:val="-5"/>
                <w:sz w:val="20"/>
              </w:rPr>
              <w:t> </w:t>
            </w:r>
            <w:r>
              <w:rPr>
                <w:sz w:val="20"/>
              </w:rPr>
              <w:t>I98.8,</w:t>
            </w:r>
            <w:r>
              <w:rPr>
                <w:spacing w:val="-5"/>
                <w:sz w:val="20"/>
              </w:rPr>
              <w:t> </w:t>
            </w:r>
            <w:r>
              <w:rPr>
                <w:sz w:val="20"/>
              </w:rPr>
              <w:t>Q20,</w:t>
            </w:r>
            <w:r>
              <w:rPr>
                <w:spacing w:val="-5"/>
                <w:sz w:val="20"/>
              </w:rPr>
              <w:t> </w:t>
            </w:r>
            <w:r>
              <w:rPr>
                <w:sz w:val="20"/>
              </w:rPr>
              <w:t>Q20.0,</w:t>
            </w:r>
            <w:r>
              <w:rPr>
                <w:spacing w:val="-6"/>
                <w:sz w:val="20"/>
              </w:rPr>
              <w:t> </w:t>
            </w:r>
            <w:r>
              <w:rPr>
                <w:sz w:val="20"/>
              </w:rPr>
              <w:t>Q20.1,</w:t>
            </w:r>
            <w:r>
              <w:rPr>
                <w:spacing w:val="-5"/>
                <w:sz w:val="20"/>
              </w:rPr>
              <w:t> </w:t>
            </w:r>
            <w:r>
              <w:rPr>
                <w:sz w:val="20"/>
              </w:rPr>
              <w:t>Q20.2,</w:t>
            </w:r>
            <w:r>
              <w:rPr>
                <w:spacing w:val="-5"/>
                <w:sz w:val="20"/>
              </w:rPr>
              <w:t> </w:t>
            </w:r>
            <w:r>
              <w:rPr>
                <w:spacing w:val="-2"/>
                <w:sz w:val="20"/>
              </w:rPr>
              <w:t>Q20.3,</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54"/>
              <w:jc w:val="right"/>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1" w:lineRule="exact"/>
              <w:ind w:right="954"/>
              <w:jc w:val="right"/>
              <w:rPr>
                <w:sz w:val="20"/>
              </w:rPr>
            </w:pPr>
            <w:r>
              <w:rPr>
                <w:sz w:val="20"/>
              </w:rPr>
              <w:t>Q21.1,</w:t>
            </w:r>
            <w:r>
              <w:rPr>
                <w:spacing w:val="-5"/>
                <w:sz w:val="20"/>
              </w:rPr>
              <w:t> </w:t>
            </w:r>
            <w:r>
              <w:rPr>
                <w:sz w:val="20"/>
              </w:rPr>
              <w:t>Q21.2,</w:t>
            </w:r>
            <w:r>
              <w:rPr>
                <w:spacing w:val="-5"/>
                <w:sz w:val="20"/>
              </w:rPr>
              <w:t> </w:t>
            </w:r>
            <w:r>
              <w:rPr>
                <w:sz w:val="20"/>
              </w:rPr>
              <w:t>Q21.3,</w:t>
            </w:r>
            <w:r>
              <w:rPr>
                <w:spacing w:val="-4"/>
                <w:sz w:val="20"/>
              </w:rPr>
              <w:t> </w:t>
            </w:r>
            <w:r>
              <w:rPr>
                <w:sz w:val="20"/>
              </w:rPr>
              <w:t>Q21.4,</w:t>
            </w:r>
            <w:r>
              <w:rPr>
                <w:spacing w:val="-6"/>
                <w:sz w:val="20"/>
              </w:rPr>
              <w:t> </w:t>
            </w:r>
            <w:r>
              <w:rPr>
                <w:sz w:val="20"/>
              </w:rPr>
              <w:t>Q21.8,</w:t>
            </w:r>
            <w:r>
              <w:rPr>
                <w:spacing w:val="-4"/>
                <w:sz w:val="20"/>
              </w:rPr>
              <w:t> </w:t>
            </w:r>
            <w:r>
              <w:rPr>
                <w:sz w:val="20"/>
              </w:rPr>
              <w:t>Q21.9,</w:t>
            </w:r>
            <w:r>
              <w:rPr>
                <w:spacing w:val="-6"/>
                <w:sz w:val="20"/>
              </w:rPr>
              <w:t> </w:t>
            </w:r>
            <w:r>
              <w:rPr>
                <w:spacing w:val="-4"/>
                <w:sz w:val="20"/>
              </w:rPr>
              <w:t>Q22,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left="515"/>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right="954"/>
              <w:jc w:val="right"/>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51"/>
              <w:jc w:val="right"/>
              <w:rPr>
                <w:sz w:val="20"/>
              </w:rPr>
            </w:pPr>
            <w:r>
              <w:rPr>
                <w:sz w:val="20"/>
              </w:rPr>
              <w:t>Q23.3,</w:t>
            </w:r>
            <w:r>
              <w:rPr>
                <w:spacing w:val="-4"/>
                <w:sz w:val="20"/>
              </w:rPr>
              <w:t> </w:t>
            </w:r>
            <w:r>
              <w:rPr>
                <w:sz w:val="20"/>
              </w:rPr>
              <w:t>Q23.4,</w:t>
            </w:r>
            <w:r>
              <w:rPr>
                <w:spacing w:val="-6"/>
                <w:sz w:val="20"/>
              </w:rPr>
              <w:t> </w:t>
            </w:r>
            <w:r>
              <w:rPr>
                <w:sz w:val="20"/>
              </w:rPr>
              <w:t>Q23.8,</w:t>
            </w:r>
            <w:r>
              <w:rPr>
                <w:spacing w:val="-1"/>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59"/>
              <w:jc w:val="right"/>
              <w:rPr>
                <w:sz w:val="20"/>
              </w:rPr>
            </w:pPr>
            <w:r>
              <w:rPr>
                <w:sz w:val="20"/>
              </w:rPr>
              <w:t>Q24.2,</w:t>
            </w:r>
            <w:r>
              <w:rPr>
                <w:spacing w:val="-5"/>
                <w:sz w:val="20"/>
              </w:rPr>
              <w:t> </w:t>
            </w:r>
            <w:r>
              <w:rPr>
                <w:sz w:val="20"/>
              </w:rPr>
              <w:t>Q24.3,</w:t>
            </w:r>
            <w:r>
              <w:rPr>
                <w:spacing w:val="-5"/>
                <w:sz w:val="20"/>
              </w:rPr>
              <w:t> </w:t>
            </w:r>
            <w:r>
              <w:rPr>
                <w:sz w:val="20"/>
              </w:rPr>
              <w:t>Q24.4,</w:t>
            </w:r>
            <w:r>
              <w:rPr>
                <w:spacing w:val="-4"/>
                <w:sz w:val="20"/>
              </w:rPr>
              <w:t> </w:t>
            </w:r>
            <w:r>
              <w:rPr>
                <w:sz w:val="20"/>
              </w:rPr>
              <w:t>Q24.5,</w:t>
            </w:r>
            <w:r>
              <w:rPr>
                <w:spacing w:val="-6"/>
                <w:sz w:val="20"/>
              </w:rPr>
              <w:t> </w:t>
            </w:r>
            <w:r>
              <w:rPr>
                <w:sz w:val="20"/>
              </w:rPr>
              <w:t>Q24.8,</w:t>
            </w:r>
            <w:r>
              <w:rPr>
                <w:spacing w:val="-4"/>
                <w:sz w:val="20"/>
              </w:rPr>
              <w:t> </w:t>
            </w:r>
            <w:r>
              <w:rPr>
                <w:sz w:val="20"/>
              </w:rPr>
              <w:t>Q24.9,</w:t>
            </w:r>
            <w:r>
              <w:rPr>
                <w:spacing w:val="-6"/>
                <w:sz w:val="20"/>
              </w:rPr>
              <w:t> </w:t>
            </w:r>
            <w:r>
              <w:rPr>
                <w:spacing w:val="-4"/>
                <w:sz w:val="20"/>
              </w:rPr>
              <w:t>R01,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93"/>
              <w:jc w:val="right"/>
              <w:rPr>
                <w:sz w:val="20"/>
              </w:rPr>
            </w:pPr>
            <w:r>
              <w:rPr>
                <w:sz w:val="20"/>
              </w:rPr>
              <w:t>R01.0,</w:t>
            </w:r>
            <w:r>
              <w:rPr>
                <w:spacing w:val="-6"/>
                <w:sz w:val="20"/>
              </w:rPr>
              <w:t> </w:t>
            </w:r>
            <w:r>
              <w:rPr>
                <w:sz w:val="20"/>
              </w:rPr>
              <w:t>R01.1,</w:t>
            </w:r>
            <w:r>
              <w:rPr>
                <w:spacing w:val="-5"/>
                <w:sz w:val="20"/>
              </w:rPr>
              <w:t> </w:t>
            </w:r>
            <w:r>
              <w:rPr>
                <w:sz w:val="20"/>
              </w:rPr>
              <w:t>R01.2,</w:t>
            </w:r>
            <w:r>
              <w:rPr>
                <w:spacing w:val="-5"/>
                <w:sz w:val="20"/>
              </w:rPr>
              <w:t> </w:t>
            </w:r>
            <w:r>
              <w:rPr>
                <w:sz w:val="20"/>
              </w:rPr>
              <w:t>R03,</w:t>
            </w:r>
            <w:r>
              <w:rPr>
                <w:spacing w:val="-5"/>
                <w:sz w:val="20"/>
              </w:rPr>
              <w:t> </w:t>
            </w:r>
            <w:r>
              <w:rPr>
                <w:sz w:val="20"/>
              </w:rPr>
              <w:t>R03.0,</w:t>
            </w:r>
            <w:r>
              <w:rPr>
                <w:spacing w:val="-5"/>
                <w:sz w:val="20"/>
              </w:rPr>
              <w:t> </w:t>
            </w:r>
            <w:r>
              <w:rPr>
                <w:sz w:val="20"/>
              </w:rPr>
              <w:t>R03.1,</w:t>
            </w:r>
            <w:r>
              <w:rPr>
                <w:spacing w:val="-5"/>
                <w:sz w:val="20"/>
              </w:rPr>
              <w:t> </w:t>
            </w:r>
            <w:r>
              <w:rPr>
                <w:spacing w:val="-2"/>
                <w:sz w:val="20"/>
              </w:rPr>
              <w:t>R07.2,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left="419"/>
              <w:rPr>
                <w:sz w:val="20"/>
              </w:rPr>
            </w:pPr>
            <w:r>
              <w:rPr>
                <w:sz w:val="20"/>
              </w:rPr>
              <w:t>R07.4,</w:t>
            </w:r>
            <w:r>
              <w:rPr>
                <w:spacing w:val="-5"/>
                <w:sz w:val="20"/>
              </w:rPr>
              <w:t> </w:t>
            </w:r>
            <w:r>
              <w:rPr>
                <w:sz w:val="20"/>
              </w:rPr>
              <w:t>R09.8,</w:t>
            </w:r>
            <w:r>
              <w:rPr>
                <w:spacing w:val="-5"/>
                <w:sz w:val="20"/>
              </w:rPr>
              <w:t> </w:t>
            </w:r>
            <w:r>
              <w:rPr>
                <w:sz w:val="20"/>
              </w:rPr>
              <w:t>R55,</w:t>
            </w:r>
            <w:r>
              <w:rPr>
                <w:spacing w:val="-5"/>
                <w:sz w:val="20"/>
              </w:rPr>
              <w:t> </w:t>
            </w:r>
            <w:r>
              <w:rPr>
                <w:sz w:val="20"/>
              </w:rPr>
              <w:t>R57.0,</w:t>
            </w:r>
            <w:r>
              <w:rPr>
                <w:spacing w:val="-5"/>
                <w:sz w:val="20"/>
              </w:rPr>
              <w:t> </w:t>
            </w:r>
            <w:r>
              <w:rPr>
                <w:sz w:val="20"/>
              </w:rPr>
              <w:t>R93.1,</w:t>
            </w:r>
            <w:r>
              <w:rPr>
                <w:spacing w:val="-5"/>
                <w:sz w:val="20"/>
              </w:rPr>
              <w:t> </w:t>
            </w:r>
            <w:r>
              <w:rPr>
                <w:sz w:val="20"/>
              </w:rPr>
              <w:t>R94.3,</w:t>
            </w:r>
            <w:r>
              <w:rPr>
                <w:spacing w:val="-5"/>
                <w:sz w:val="20"/>
              </w:rPr>
              <w:t> </w:t>
            </w:r>
            <w:r>
              <w:rPr>
                <w:spacing w:val="-4"/>
                <w:sz w:val="20"/>
              </w:rPr>
              <w:t>S26,</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left="414"/>
              <w:rPr>
                <w:sz w:val="20"/>
              </w:rPr>
            </w:pPr>
            <w:r>
              <w:rPr>
                <w:sz w:val="20"/>
              </w:rPr>
              <w:t>S26.0,</w:t>
            </w:r>
            <w:r>
              <w:rPr>
                <w:spacing w:val="-5"/>
                <w:sz w:val="20"/>
              </w:rPr>
              <w:t> </w:t>
            </w:r>
            <w:r>
              <w:rPr>
                <w:sz w:val="20"/>
              </w:rPr>
              <w:t>S26.00,</w:t>
            </w:r>
            <w:r>
              <w:rPr>
                <w:spacing w:val="-7"/>
                <w:sz w:val="20"/>
              </w:rPr>
              <w:t> </w:t>
            </w:r>
            <w:r>
              <w:rPr>
                <w:sz w:val="20"/>
              </w:rPr>
              <w:t>S26.01,</w:t>
            </w:r>
            <w:r>
              <w:rPr>
                <w:spacing w:val="-5"/>
                <w:sz w:val="20"/>
              </w:rPr>
              <w:t> </w:t>
            </w:r>
            <w:r>
              <w:rPr>
                <w:sz w:val="20"/>
              </w:rPr>
              <w:t>S26.8,</w:t>
            </w:r>
            <w:r>
              <w:rPr>
                <w:spacing w:val="-7"/>
                <w:sz w:val="20"/>
              </w:rPr>
              <w:t> </w:t>
            </w:r>
            <w:r>
              <w:rPr>
                <w:sz w:val="20"/>
              </w:rPr>
              <w:t>S26.80,</w:t>
            </w:r>
            <w:r>
              <w:rPr>
                <w:spacing w:val="-5"/>
                <w:sz w:val="20"/>
              </w:rPr>
              <w:t> </w:t>
            </w:r>
            <w:r>
              <w:rPr>
                <w:spacing w:val="-2"/>
                <w:sz w:val="20"/>
              </w:rPr>
              <w:t>S26.81,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right="941"/>
              <w:jc w:val="right"/>
              <w:rPr>
                <w:sz w:val="20"/>
              </w:rPr>
            </w:pPr>
            <w:r>
              <w:rPr>
                <w:sz w:val="20"/>
              </w:rPr>
              <w:t>S26.9,</w:t>
            </w:r>
            <w:r>
              <w:rPr>
                <w:spacing w:val="-5"/>
                <w:sz w:val="20"/>
              </w:rPr>
              <w:t> </w:t>
            </w:r>
            <w:r>
              <w:rPr>
                <w:sz w:val="20"/>
              </w:rPr>
              <w:t>S26.90,</w:t>
            </w:r>
            <w:r>
              <w:rPr>
                <w:spacing w:val="-5"/>
                <w:sz w:val="20"/>
              </w:rPr>
              <w:t> </w:t>
            </w:r>
            <w:r>
              <w:rPr>
                <w:sz w:val="20"/>
              </w:rPr>
              <w:t>S26.91,</w:t>
            </w:r>
            <w:r>
              <w:rPr>
                <w:spacing w:val="-6"/>
                <w:sz w:val="20"/>
              </w:rPr>
              <w:t> </w:t>
            </w:r>
            <w:r>
              <w:rPr>
                <w:sz w:val="20"/>
              </w:rPr>
              <w:t>T82,</w:t>
            </w:r>
            <w:r>
              <w:rPr>
                <w:spacing w:val="-6"/>
                <w:sz w:val="20"/>
              </w:rPr>
              <w:t> </w:t>
            </w:r>
            <w:r>
              <w:rPr>
                <w:sz w:val="20"/>
              </w:rPr>
              <w:t>T82.0,</w:t>
            </w:r>
            <w:r>
              <w:rPr>
                <w:spacing w:val="-6"/>
                <w:sz w:val="20"/>
              </w:rPr>
              <w:t> </w:t>
            </w:r>
            <w:r>
              <w:rPr>
                <w:sz w:val="20"/>
              </w:rPr>
              <w:t>T82.1,</w:t>
            </w:r>
            <w:r>
              <w:rPr>
                <w:spacing w:val="-6"/>
                <w:sz w:val="20"/>
              </w:rPr>
              <w:t> </w:t>
            </w:r>
            <w:r>
              <w:rPr>
                <w:spacing w:val="-2"/>
                <w:sz w:val="20"/>
              </w:rPr>
              <w:t>T82.2,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26" w:lineRule="exact"/>
              <w:ind w:left="609"/>
              <w:rPr>
                <w:sz w:val="20"/>
              </w:rPr>
            </w:pPr>
            <w:r>
              <w:rPr>
                <w:sz w:val="20"/>
              </w:rPr>
              <w:t>T82.3,</w:t>
            </w:r>
            <w:r>
              <w:rPr>
                <w:spacing w:val="-7"/>
                <w:sz w:val="20"/>
              </w:rPr>
              <w:t> </w:t>
            </w:r>
            <w:r>
              <w:rPr>
                <w:sz w:val="20"/>
              </w:rPr>
              <w:t>T82.4,</w:t>
            </w:r>
            <w:r>
              <w:rPr>
                <w:spacing w:val="-5"/>
                <w:sz w:val="20"/>
              </w:rPr>
              <w:t> </w:t>
            </w:r>
            <w:r>
              <w:rPr>
                <w:sz w:val="20"/>
              </w:rPr>
              <w:t>T82.7,</w:t>
            </w:r>
            <w:r>
              <w:rPr>
                <w:spacing w:val="-4"/>
                <w:sz w:val="20"/>
              </w:rPr>
              <w:t> </w:t>
            </w:r>
            <w:r>
              <w:rPr>
                <w:sz w:val="20"/>
              </w:rPr>
              <w:t>T82.8,</w:t>
            </w:r>
            <w:r>
              <w:rPr>
                <w:spacing w:val="-5"/>
                <w:sz w:val="20"/>
              </w:rPr>
              <w:t> </w:t>
            </w:r>
            <w:r>
              <w:rPr>
                <w:sz w:val="20"/>
              </w:rPr>
              <w:t>T82.9,</w:t>
            </w:r>
            <w:r>
              <w:rPr>
                <w:spacing w:val="-5"/>
                <w:sz w:val="20"/>
              </w:rPr>
              <w:t> </w:t>
            </w:r>
            <w:r>
              <w:rPr>
                <w:spacing w:val="-4"/>
                <w:sz w:val="20"/>
              </w:rPr>
              <w:t>T85.8</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st27.010</w:t>
            </w:r>
          </w:p>
        </w:tc>
        <w:tc>
          <w:tcPr>
            <w:tcW w:w="707" w:type="dxa"/>
          </w:tcPr>
          <w:p>
            <w:pPr>
              <w:pStyle w:val="TableParagraph"/>
              <w:spacing w:line="215" w:lineRule="exact" w:before="46"/>
              <w:ind w:left="210"/>
              <w:rPr>
                <w:sz w:val="20"/>
              </w:rPr>
            </w:pPr>
            <w:r>
              <w:rPr>
                <w:spacing w:val="-5"/>
                <w:sz w:val="20"/>
              </w:rPr>
              <w:t>259</w:t>
            </w:r>
          </w:p>
        </w:tc>
        <w:tc>
          <w:tcPr>
            <w:tcW w:w="2445" w:type="dxa"/>
          </w:tcPr>
          <w:p>
            <w:pPr>
              <w:pStyle w:val="TableParagraph"/>
              <w:spacing w:line="215" w:lineRule="exact" w:before="46"/>
              <w:ind w:left="192"/>
              <w:rPr>
                <w:sz w:val="20"/>
              </w:rPr>
            </w:pPr>
            <w:r>
              <w:rPr>
                <w:spacing w:val="-2"/>
                <w:sz w:val="20"/>
              </w:rPr>
              <w:t>Бронхит</w:t>
            </w:r>
          </w:p>
        </w:tc>
        <w:tc>
          <w:tcPr>
            <w:tcW w:w="5207" w:type="dxa"/>
          </w:tcPr>
          <w:p>
            <w:pPr>
              <w:pStyle w:val="TableParagraph"/>
              <w:spacing w:line="215" w:lineRule="exact" w:before="46"/>
              <w:ind w:right="924"/>
              <w:jc w:val="right"/>
              <w:rPr>
                <w:sz w:val="20"/>
              </w:rPr>
            </w:pPr>
            <w:r>
              <w:rPr>
                <w:sz w:val="20"/>
              </w:rPr>
              <w:t>J20,</w:t>
            </w:r>
            <w:r>
              <w:rPr>
                <w:spacing w:val="-6"/>
                <w:sz w:val="20"/>
              </w:rPr>
              <w:t> </w:t>
            </w:r>
            <w:r>
              <w:rPr>
                <w:sz w:val="20"/>
              </w:rPr>
              <w:t>J20.0,</w:t>
            </w:r>
            <w:r>
              <w:rPr>
                <w:spacing w:val="-6"/>
                <w:sz w:val="20"/>
              </w:rPr>
              <w:t> </w:t>
            </w:r>
            <w:r>
              <w:rPr>
                <w:sz w:val="20"/>
              </w:rPr>
              <w:t>J20.1,</w:t>
            </w:r>
            <w:r>
              <w:rPr>
                <w:spacing w:val="-6"/>
                <w:sz w:val="20"/>
              </w:rPr>
              <w:t> </w:t>
            </w:r>
            <w:r>
              <w:rPr>
                <w:sz w:val="20"/>
              </w:rPr>
              <w:t>J20.2,</w:t>
            </w:r>
            <w:r>
              <w:rPr>
                <w:spacing w:val="-3"/>
                <w:sz w:val="20"/>
              </w:rPr>
              <w:t> </w:t>
            </w:r>
            <w:r>
              <w:rPr>
                <w:sz w:val="20"/>
              </w:rPr>
              <w:t>J20.3,</w:t>
            </w:r>
            <w:r>
              <w:rPr>
                <w:spacing w:val="-6"/>
                <w:sz w:val="20"/>
              </w:rPr>
              <w:t> </w:t>
            </w:r>
            <w:r>
              <w:rPr>
                <w:sz w:val="20"/>
              </w:rPr>
              <w:t>J20.4,</w:t>
            </w:r>
            <w:r>
              <w:rPr>
                <w:spacing w:val="-6"/>
                <w:sz w:val="20"/>
              </w:rPr>
              <w:t> </w:t>
            </w:r>
            <w:r>
              <w:rPr>
                <w:sz w:val="20"/>
              </w:rPr>
              <w:t>J20.5,</w:t>
            </w:r>
            <w:r>
              <w:rPr>
                <w:spacing w:val="-5"/>
                <w:sz w:val="20"/>
              </w:rPr>
              <w:t> </w:t>
            </w:r>
            <w:r>
              <w:rPr>
                <w:spacing w:val="-2"/>
                <w:sz w:val="20"/>
              </w:rPr>
              <w:t>J20.6,</w:t>
            </w:r>
          </w:p>
        </w:tc>
        <w:tc>
          <w:tcPr>
            <w:tcW w:w="2384" w:type="dxa"/>
          </w:tcPr>
          <w:p>
            <w:pPr>
              <w:pStyle w:val="TableParagraph"/>
              <w:spacing w:line="215" w:lineRule="exact" w:before="46"/>
              <w:ind w:left="915"/>
              <w:rPr>
                <w:sz w:val="20"/>
              </w:rPr>
            </w:pPr>
            <w:r>
              <w:rPr>
                <w:w w:val="99"/>
                <w:sz w:val="20"/>
              </w:rPr>
              <w:t>-</w:t>
            </w:r>
          </w:p>
        </w:tc>
        <w:tc>
          <w:tcPr>
            <w:tcW w:w="2327" w:type="dxa"/>
          </w:tcPr>
          <w:p>
            <w:pPr>
              <w:pStyle w:val="TableParagraph"/>
              <w:spacing w:line="215" w:lineRule="exact" w:before="46"/>
              <w:ind w:right="861"/>
              <w:jc w:val="right"/>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0,75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09" w:lineRule="exact"/>
              <w:ind w:left="192"/>
              <w:rPr>
                <w:sz w:val="20"/>
              </w:rPr>
            </w:pPr>
            <w:r>
              <w:rPr>
                <w:spacing w:val="-2"/>
                <w:sz w:val="20"/>
              </w:rPr>
              <w:t>необструктивный,</w:t>
            </w:r>
          </w:p>
        </w:tc>
        <w:tc>
          <w:tcPr>
            <w:tcW w:w="5207" w:type="dxa"/>
          </w:tcPr>
          <w:p>
            <w:pPr>
              <w:pStyle w:val="TableParagraph"/>
              <w:spacing w:line="209" w:lineRule="exact"/>
              <w:ind w:right="924"/>
              <w:jc w:val="right"/>
              <w:rPr>
                <w:sz w:val="20"/>
              </w:rPr>
            </w:pPr>
            <w:r>
              <w:rPr>
                <w:sz w:val="20"/>
              </w:rPr>
              <w:t>J20.7,</w:t>
            </w:r>
            <w:r>
              <w:rPr>
                <w:spacing w:val="-6"/>
                <w:sz w:val="20"/>
              </w:rPr>
              <w:t> </w:t>
            </w:r>
            <w:r>
              <w:rPr>
                <w:sz w:val="20"/>
              </w:rPr>
              <w:t>J20.8,</w:t>
            </w:r>
            <w:r>
              <w:rPr>
                <w:spacing w:val="-6"/>
                <w:sz w:val="20"/>
              </w:rPr>
              <w:t> </w:t>
            </w:r>
            <w:r>
              <w:rPr>
                <w:sz w:val="20"/>
              </w:rPr>
              <w:t>J20.9,</w:t>
            </w:r>
            <w:r>
              <w:rPr>
                <w:spacing w:val="-5"/>
                <w:sz w:val="20"/>
              </w:rPr>
              <w:t> </w:t>
            </w:r>
            <w:r>
              <w:rPr>
                <w:sz w:val="20"/>
              </w:rPr>
              <w:t>J21,</w:t>
            </w:r>
            <w:r>
              <w:rPr>
                <w:spacing w:val="-4"/>
                <w:sz w:val="20"/>
              </w:rPr>
              <w:t> </w:t>
            </w:r>
            <w:r>
              <w:rPr>
                <w:sz w:val="20"/>
              </w:rPr>
              <w:t>J21.0,</w:t>
            </w:r>
            <w:r>
              <w:rPr>
                <w:spacing w:val="-5"/>
                <w:sz w:val="20"/>
              </w:rPr>
              <w:t> </w:t>
            </w:r>
            <w:r>
              <w:rPr>
                <w:sz w:val="20"/>
              </w:rPr>
              <w:t>J21.1,</w:t>
            </w:r>
            <w:r>
              <w:rPr>
                <w:spacing w:val="-6"/>
                <w:sz w:val="20"/>
              </w:rPr>
              <w:t> </w:t>
            </w:r>
            <w:r>
              <w:rPr>
                <w:sz w:val="20"/>
              </w:rPr>
              <w:t>J21.8,</w:t>
            </w:r>
            <w:r>
              <w:rPr>
                <w:spacing w:val="-5"/>
                <w:sz w:val="20"/>
              </w:rPr>
              <w:t> </w:t>
            </w:r>
            <w:r>
              <w:rPr>
                <w:spacing w:val="-2"/>
                <w:sz w:val="20"/>
              </w:rPr>
              <w:t>J21.9,</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09" w:lineRule="exact"/>
              <w:ind w:left="192"/>
              <w:rPr>
                <w:sz w:val="20"/>
              </w:rPr>
            </w:pPr>
            <w:r>
              <w:rPr>
                <w:sz w:val="20"/>
              </w:rPr>
              <w:t>симптомы</w:t>
            </w:r>
            <w:r>
              <w:rPr>
                <w:spacing w:val="-6"/>
                <w:sz w:val="20"/>
              </w:rPr>
              <w:t> </w:t>
            </w:r>
            <w:r>
              <w:rPr>
                <w:sz w:val="20"/>
              </w:rPr>
              <w:t>и</w:t>
            </w:r>
            <w:r>
              <w:rPr>
                <w:spacing w:val="-4"/>
                <w:sz w:val="20"/>
              </w:rPr>
              <w:t> </w:t>
            </w:r>
            <w:r>
              <w:rPr>
                <w:spacing w:val="-2"/>
                <w:sz w:val="20"/>
              </w:rPr>
              <w:t>признаки,</w:t>
            </w:r>
          </w:p>
        </w:tc>
        <w:tc>
          <w:tcPr>
            <w:tcW w:w="5207" w:type="dxa"/>
          </w:tcPr>
          <w:p>
            <w:pPr>
              <w:pStyle w:val="TableParagraph"/>
              <w:spacing w:line="209" w:lineRule="exact"/>
              <w:ind w:left="460"/>
              <w:rPr>
                <w:sz w:val="20"/>
              </w:rPr>
            </w:pPr>
            <w:r>
              <w:rPr>
                <w:sz w:val="20"/>
              </w:rPr>
              <w:t>J22,</w:t>
            </w:r>
            <w:r>
              <w:rPr>
                <w:spacing w:val="-6"/>
                <w:sz w:val="20"/>
              </w:rPr>
              <w:t> </w:t>
            </w:r>
            <w:r>
              <w:rPr>
                <w:sz w:val="20"/>
              </w:rPr>
              <w:t>J40,</w:t>
            </w:r>
            <w:r>
              <w:rPr>
                <w:spacing w:val="-6"/>
                <w:sz w:val="20"/>
              </w:rPr>
              <w:t> </w:t>
            </w:r>
            <w:r>
              <w:rPr>
                <w:sz w:val="20"/>
              </w:rPr>
              <w:t>J41,</w:t>
            </w:r>
            <w:r>
              <w:rPr>
                <w:spacing w:val="-4"/>
                <w:sz w:val="20"/>
              </w:rPr>
              <w:t> </w:t>
            </w:r>
            <w:r>
              <w:rPr>
                <w:sz w:val="20"/>
              </w:rPr>
              <w:t>J41.0,</w:t>
            </w:r>
            <w:r>
              <w:rPr>
                <w:spacing w:val="-4"/>
                <w:sz w:val="20"/>
              </w:rPr>
              <w:t> </w:t>
            </w:r>
            <w:r>
              <w:rPr>
                <w:sz w:val="20"/>
              </w:rPr>
              <w:t>J41.1,</w:t>
            </w:r>
            <w:r>
              <w:rPr>
                <w:spacing w:val="-4"/>
                <w:sz w:val="20"/>
              </w:rPr>
              <w:t> </w:t>
            </w:r>
            <w:r>
              <w:rPr>
                <w:sz w:val="20"/>
              </w:rPr>
              <w:t>J41.8,</w:t>
            </w:r>
            <w:r>
              <w:rPr>
                <w:spacing w:val="-6"/>
                <w:sz w:val="20"/>
              </w:rPr>
              <w:t> </w:t>
            </w:r>
            <w:r>
              <w:rPr>
                <w:sz w:val="20"/>
              </w:rPr>
              <w:t>J42,</w:t>
            </w:r>
            <w:r>
              <w:rPr>
                <w:spacing w:val="-4"/>
                <w:sz w:val="20"/>
              </w:rPr>
              <w:t> </w:t>
            </w:r>
            <w:r>
              <w:rPr>
                <w:spacing w:val="-2"/>
                <w:sz w:val="20"/>
              </w:rPr>
              <w:t>R04.2,</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z w:val="20"/>
              </w:rPr>
              <w:t>относящиеся</w:t>
            </w:r>
            <w:r>
              <w:rPr>
                <w:spacing w:val="-7"/>
                <w:sz w:val="20"/>
              </w:rPr>
              <w:t> </w:t>
            </w:r>
            <w:r>
              <w:rPr>
                <w:sz w:val="20"/>
              </w:rPr>
              <w:t>к</w:t>
            </w:r>
            <w:r>
              <w:rPr>
                <w:spacing w:val="-7"/>
                <w:sz w:val="20"/>
              </w:rPr>
              <w:t> </w:t>
            </w:r>
            <w:r>
              <w:rPr>
                <w:spacing w:val="-2"/>
                <w:sz w:val="20"/>
              </w:rPr>
              <w:t>органам</w:t>
            </w:r>
          </w:p>
        </w:tc>
        <w:tc>
          <w:tcPr>
            <w:tcW w:w="5207" w:type="dxa"/>
          </w:tcPr>
          <w:p>
            <w:pPr>
              <w:pStyle w:val="TableParagraph"/>
              <w:spacing w:line="210" w:lineRule="exact"/>
              <w:ind w:left="407"/>
              <w:rPr>
                <w:sz w:val="20"/>
              </w:rPr>
            </w:pPr>
            <w:r>
              <w:rPr>
                <w:sz w:val="20"/>
              </w:rPr>
              <w:t>R04.8,</w:t>
            </w:r>
            <w:r>
              <w:rPr>
                <w:spacing w:val="-7"/>
                <w:sz w:val="20"/>
              </w:rPr>
              <w:t> </w:t>
            </w:r>
            <w:r>
              <w:rPr>
                <w:sz w:val="20"/>
              </w:rPr>
              <w:t>R04.9,</w:t>
            </w:r>
            <w:r>
              <w:rPr>
                <w:spacing w:val="-4"/>
                <w:sz w:val="20"/>
              </w:rPr>
              <w:t> </w:t>
            </w:r>
            <w:r>
              <w:rPr>
                <w:sz w:val="20"/>
              </w:rPr>
              <w:t>R05,</w:t>
            </w:r>
            <w:r>
              <w:rPr>
                <w:spacing w:val="-4"/>
                <w:sz w:val="20"/>
              </w:rPr>
              <w:t> </w:t>
            </w:r>
            <w:r>
              <w:rPr>
                <w:sz w:val="20"/>
              </w:rPr>
              <w:t>R06,</w:t>
            </w:r>
            <w:r>
              <w:rPr>
                <w:spacing w:val="-6"/>
                <w:sz w:val="20"/>
              </w:rPr>
              <w:t> </w:t>
            </w:r>
            <w:r>
              <w:rPr>
                <w:sz w:val="20"/>
              </w:rPr>
              <w:t>R06.0,</w:t>
            </w:r>
            <w:r>
              <w:rPr>
                <w:spacing w:val="-4"/>
                <w:sz w:val="20"/>
              </w:rPr>
              <w:t> </w:t>
            </w:r>
            <w:r>
              <w:rPr>
                <w:sz w:val="20"/>
              </w:rPr>
              <w:t>R06.1,</w:t>
            </w:r>
            <w:r>
              <w:rPr>
                <w:spacing w:val="-5"/>
                <w:sz w:val="20"/>
              </w:rPr>
              <w:t> </w:t>
            </w:r>
            <w:r>
              <w:rPr>
                <w:spacing w:val="-2"/>
                <w:sz w:val="20"/>
              </w:rPr>
              <w:t>R06.2,</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pacing w:val="-2"/>
                <w:sz w:val="20"/>
              </w:rPr>
              <w:t>дыхания</w:t>
            </w:r>
          </w:p>
        </w:tc>
        <w:tc>
          <w:tcPr>
            <w:tcW w:w="5207" w:type="dxa"/>
          </w:tcPr>
          <w:p>
            <w:pPr>
              <w:pStyle w:val="TableParagraph"/>
              <w:spacing w:line="210" w:lineRule="exact"/>
              <w:ind w:right="916"/>
              <w:jc w:val="right"/>
              <w:rPr>
                <w:sz w:val="20"/>
              </w:rPr>
            </w:pPr>
            <w:r>
              <w:rPr>
                <w:sz w:val="20"/>
              </w:rPr>
              <w:t>R06.3,</w:t>
            </w:r>
            <w:r>
              <w:rPr>
                <w:spacing w:val="-7"/>
                <w:sz w:val="20"/>
              </w:rPr>
              <w:t> </w:t>
            </w:r>
            <w:r>
              <w:rPr>
                <w:sz w:val="20"/>
              </w:rPr>
              <w:t>R06.4,</w:t>
            </w:r>
            <w:r>
              <w:rPr>
                <w:spacing w:val="-4"/>
                <w:sz w:val="20"/>
              </w:rPr>
              <w:t> </w:t>
            </w:r>
            <w:r>
              <w:rPr>
                <w:sz w:val="20"/>
              </w:rPr>
              <w:t>R06.5,</w:t>
            </w:r>
            <w:r>
              <w:rPr>
                <w:spacing w:val="-5"/>
                <w:sz w:val="20"/>
              </w:rPr>
              <w:t> </w:t>
            </w:r>
            <w:r>
              <w:rPr>
                <w:sz w:val="20"/>
              </w:rPr>
              <w:t>R06.6,</w:t>
            </w:r>
            <w:r>
              <w:rPr>
                <w:spacing w:val="-8"/>
                <w:sz w:val="20"/>
              </w:rPr>
              <w:t> </w:t>
            </w:r>
            <w:r>
              <w:rPr>
                <w:sz w:val="20"/>
              </w:rPr>
              <w:t>R06.7,</w:t>
            </w:r>
            <w:r>
              <w:rPr>
                <w:spacing w:val="-4"/>
                <w:sz w:val="20"/>
              </w:rPr>
              <w:t> </w:t>
            </w:r>
            <w:r>
              <w:rPr>
                <w:sz w:val="20"/>
              </w:rPr>
              <w:t>R06.8,</w:t>
            </w:r>
            <w:r>
              <w:rPr>
                <w:spacing w:val="-4"/>
                <w:sz w:val="20"/>
              </w:rPr>
              <w:t> </w:t>
            </w:r>
            <w:r>
              <w:rPr>
                <w:spacing w:val="-2"/>
                <w:sz w:val="20"/>
              </w:rPr>
              <w:t>R07.1,</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407"/>
              <w:rPr>
                <w:sz w:val="20"/>
              </w:rPr>
            </w:pPr>
            <w:r>
              <w:rPr>
                <w:sz w:val="20"/>
              </w:rPr>
              <w:t>R07.3,</w:t>
            </w:r>
            <w:r>
              <w:rPr>
                <w:spacing w:val="-5"/>
                <w:sz w:val="20"/>
              </w:rPr>
              <w:t> </w:t>
            </w:r>
            <w:r>
              <w:rPr>
                <w:sz w:val="20"/>
              </w:rPr>
              <w:t>R09,</w:t>
            </w:r>
            <w:r>
              <w:rPr>
                <w:spacing w:val="-5"/>
                <w:sz w:val="20"/>
              </w:rPr>
              <w:t> </w:t>
            </w:r>
            <w:r>
              <w:rPr>
                <w:sz w:val="20"/>
              </w:rPr>
              <w:t>R09.0,</w:t>
            </w:r>
            <w:r>
              <w:rPr>
                <w:spacing w:val="-5"/>
                <w:sz w:val="20"/>
              </w:rPr>
              <w:t> </w:t>
            </w:r>
            <w:r>
              <w:rPr>
                <w:sz w:val="20"/>
              </w:rPr>
              <w:t>R09.2,</w:t>
            </w:r>
            <w:r>
              <w:rPr>
                <w:spacing w:val="-5"/>
                <w:sz w:val="20"/>
              </w:rPr>
              <w:t> </w:t>
            </w:r>
            <w:r>
              <w:rPr>
                <w:sz w:val="20"/>
              </w:rPr>
              <w:t>R09.3,</w:t>
            </w:r>
            <w:r>
              <w:rPr>
                <w:spacing w:val="-5"/>
                <w:sz w:val="20"/>
              </w:rPr>
              <w:t> </w:t>
            </w:r>
            <w:r>
              <w:rPr>
                <w:sz w:val="20"/>
              </w:rPr>
              <w:t>R68.3,</w:t>
            </w:r>
            <w:r>
              <w:rPr>
                <w:spacing w:val="-5"/>
                <w:sz w:val="20"/>
              </w:rPr>
              <w:t> </w:t>
            </w:r>
            <w:r>
              <w:rPr>
                <w:spacing w:val="-4"/>
                <w:sz w:val="20"/>
              </w:rPr>
              <w:t>R84,</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9" w:lineRule="exact"/>
              <w:ind w:right="918"/>
              <w:jc w:val="right"/>
              <w:rPr>
                <w:sz w:val="20"/>
              </w:rPr>
            </w:pPr>
            <w:r>
              <w:rPr>
                <w:sz w:val="20"/>
              </w:rPr>
              <w:t>R84.0,</w:t>
            </w:r>
            <w:r>
              <w:rPr>
                <w:spacing w:val="-7"/>
                <w:sz w:val="20"/>
              </w:rPr>
              <w:t> </w:t>
            </w:r>
            <w:r>
              <w:rPr>
                <w:sz w:val="20"/>
              </w:rPr>
              <w:t>R84.1,</w:t>
            </w:r>
            <w:r>
              <w:rPr>
                <w:spacing w:val="-5"/>
                <w:sz w:val="20"/>
              </w:rPr>
              <w:t> </w:t>
            </w:r>
            <w:r>
              <w:rPr>
                <w:sz w:val="20"/>
              </w:rPr>
              <w:t>R84.2,</w:t>
            </w:r>
            <w:r>
              <w:rPr>
                <w:spacing w:val="-5"/>
                <w:sz w:val="20"/>
              </w:rPr>
              <w:t> </w:t>
            </w:r>
            <w:r>
              <w:rPr>
                <w:sz w:val="20"/>
              </w:rPr>
              <w:t>R84.3,</w:t>
            </w:r>
            <w:r>
              <w:rPr>
                <w:spacing w:val="-9"/>
                <w:sz w:val="20"/>
              </w:rPr>
              <w:t> </w:t>
            </w:r>
            <w:r>
              <w:rPr>
                <w:sz w:val="20"/>
              </w:rPr>
              <w:t>R84.4,</w:t>
            </w:r>
            <w:r>
              <w:rPr>
                <w:spacing w:val="-5"/>
                <w:sz w:val="20"/>
              </w:rPr>
              <w:t> </w:t>
            </w:r>
            <w:r>
              <w:rPr>
                <w:sz w:val="20"/>
              </w:rPr>
              <w:t>R84.5,</w:t>
            </w:r>
            <w:r>
              <w:rPr>
                <w:spacing w:val="-4"/>
                <w:sz w:val="20"/>
              </w:rPr>
              <w:t> </w:t>
            </w:r>
            <w:r>
              <w:rPr>
                <w:spacing w:val="-2"/>
                <w:sz w:val="20"/>
              </w:rPr>
              <w:t>R84.6,</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45" w:type="dxa"/>
          </w:tcPr>
          <w:p>
            <w:pPr>
              <w:pStyle w:val="TableParagraph"/>
              <w:rPr>
                <w:sz w:val="18"/>
              </w:rPr>
            </w:pPr>
          </w:p>
        </w:tc>
        <w:tc>
          <w:tcPr>
            <w:tcW w:w="5207" w:type="dxa"/>
          </w:tcPr>
          <w:p>
            <w:pPr>
              <w:pStyle w:val="TableParagraph"/>
              <w:spacing w:line="224" w:lineRule="exact"/>
              <w:ind w:left="942"/>
              <w:rPr>
                <w:sz w:val="20"/>
              </w:rPr>
            </w:pPr>
            <w:r>
              <w:rPr>
                <w:sz w:val="20"/>
              </w:rPr>
              <w:t>R84.7,</w:t>
            </w:r>
            <w:r>
              <w:rPr>
                <w:spacing w:val="-5"/>
                <w:sz w:val="20"/>
              </w:rPr>
              <w:t> </w:t>
            </w:r>
            <w:r>
              <w:rPr>
                <w:sz w:val="20"/>
              </w:rPr>
              <w:t>R84.8,</w:t>
            </w:r>
            <w:r>
              <w:rPr>
                <w:spacing w:val="-5"/>
                <w:sz w:val="20"/>
              </w:rPr>
              <w:t> </w:t>
            </w:r>
            <w:r>
              <w:rPr>
                <w:sz w:val="20"/>
              </w:rPr>
              <w:t>R84.9,</w:t>
            </w:r>
            <w:r>
              <w:rPr>
                <w:spacing w:val="-5"/>
                <w:sz w:val="20"/>
              </w:rPr>
              <w:t> </w:t>
            </w:r>
            <w:r>
              <w:rPr>
                <w:sz w:val="20"/>
              </w:rPr>
              <w:t>R91,</w:t>
            </w:r>
            <w:r>
              <w:rPr>
                <w:spacing w:val="-4"/>
                <w:sz w:val="20"/>
              </w:rPr>
              <w:t> R94.2</w:t>
            </w:r>
          </w:p>
        </w:tc>
        <w:tc>
          <w:tcPr>
            <w:tcW w:w="2384"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st27.011</w:t>
            </w:r>
          </w:p>
        </w:tc>
        <w:tc>
          <w:tcPr>
            <w:tcW w:w="707" w:type="dxa"/>
          </w:tcPr>
          <w:p>
            <w:pPr>
              <w:pStyle w:val="TableParagraph"/>
              <w:spacing w:line="215" w:lineRule="exact" w:before="46"/>
              <w:ind w:left="210"/>
              <w:rPr>
                <w:sz w:val="20"/>
              </w:rPr>
            </w:pPr>
            <w:r>
              <w:rPr>
                <w:spacing w:val="-5"/>
                <w:sz w:val="20"/>
              </w:rPr>
              <w:t>260</w:t>
            </w:r>
          </w:p>
        </w:tc>
        <w:tc>
          <w:tcPr>
            <w:tcW w:w="2445" w:type="dxa"/>
          </w:tcPr>
          <w:p>
            <w:pPr>
              <w:pStyle w:val="TableParagraph"/>
              <w:spacing w:line="215" w:lineRule="exact" w:before="46"/>
              <w:ind w:left="192"/>
              <w:rPr>
                <w:sz w:val="20"/>
              </w:rPr>
            </w:pPr>
            <w:r>
              <w:rPr>
                <w:sz w:val="20"/>
              </w:rPr>
              <w:t>ХОБЛ,</w:t>
            </w:r>
            <w:r>
              <w:rPr>
                <w:spacing w:val="-9"/>
                <w:sz w:val="20"/>
              </w:rPr>
              <w:t> </w:t>
            </w:r>
            <w:r>
              <w:rPr>
                <w:spacing w:val="-2"/>
                <w:sz w:val="20"/>
              </w:rPr>
              <w:t>эмфизема,</w:t>
            </w:r>
          </w:p>
        </w:tc>
        <w:tc>
          <w:tcPr>
            <w:tcW w:w="5207" w:type="dxa"/>
          </w:tcPr>
          <w:p>
            <w:pPr>
              <w:pStyle w:val="TableParagraph"/>
              <w:spacing w:line="215" w:lineRule="exact" w:before="46"/>
              <w:ind w:right="996"/>
              <w:jc w:val="right"/>
              <w:rPr>
                <w:sz w:val="20"/>
              </w:rPr>
            </w:pPr>
            <w:r>
              <w:rPr>
                <w:sz w:val="20"/>
              </w:rPr>
              <w:t>J43,</w:t>
            </w:r>
            <w:r>
              <w:rPr>
                <w:spacing w:val="-6"/>
                <w:sz w:val="20"/>
              </w:rPr>
              <w:t> </w:t>
            </w:r>
            <w:r>
              <w:rPr>
                <w:sz w:val="20"/>
              </w:rPr>
              <w:t>J43.0,</w:t>
            </w:r>
            <w:r>
              <w:rPr>
                <w:spacing w:val="-6"/>
                <w:sz w:val="20"/>
              </w:rPr>
              <w:t> </w:t>
            </w:r>
            <w:r>
              <w:rPr>
                <w:sz w:val="20"/>
              </w:rPr>
              <w:t>J43.1,</w:t>
            </w:r>
            <w:r>
              <w:rPr>
                <w:spacing w:val="-5"/>
                <w:sz w:val="20"/>
              </w:rPr>
              <w:t> </w:t>
            </w:r>
            <w:r>
              <w:rPr>
                <w:sz w:val="20"/>
              </w:rPr>
              <w:t>J43.2,</w:t>
            </w:r>
            <w:r>
              <w:rPr>
                <w:spacing w:val="-4"/>
                <w:sz w:val="20"/>
              </w:rPr>
              <w:t> </w:t>
            </w:r>
            <w:r>
              <w:rPr>
                <w:sz w:val="20"/>
              </w:rPr>
              <w:t>J43.8,</w:t>
            </w:r>
            <w:r>
              <w:rPr>
                <w:spacing w:val="-2"/>
                <w:sz w:val="20"/>
              </w:rPr>
              <w:t> </w:t>
            </w:r>
            <w:r>
              <w:rPr>
                <w:sz w:val="20"/>
              </w:rPr>
              <w:t>J43.9,</w:t>
            </w:r>
            <w:r>
              <w:rPr>
                <w:spacing w:val="-5"/>
                <w:sz w:val="20"/>
              </w:rPr>
              <w:t> </w:t>
            </w:r>
            <w:r>
              <w:rPr>
                <w:sz w:val="20"/>
              </w:rPr>
              <w:t>J44,</w:t>
            </w:r>
            <w:r>
              <w:rPr>
                <w:spacing w:val="-4"/>
                <w:sz w:val="20"/>
              </w:rPr>
              <w:t> </w:t>
            </w:r>
            <w:r>
              <w:rPr>
                <w:spacing w:val="-2"/>
                <w:sz w:val="20"/>
              </w:rPr>
              <w:t>J44.0,</w:t>
            </w:r>
          </w:p>
        </w:tc>
        <w:tc>
          <w:tcPr>
            <w:tcW w:w="2384" w:type="dxa"/>
          </w:tcPr>
          <w:p>
            <w:pPr>
              <w:pStyle w:val="TableParagraph"/>
              <w:spacing w:line="215" w:lineRule="exact" w:before="46"/>
              <w:ind w:left="915"/>
              <w:rPr>
                <w:sz w:val="20"/>
              </w:rPr>
            </w:pPr>
            <w:r>
              <w:rPr>
                <w:w w:val="99"/>
                <w:sz w:val="20"/>
              </w:rPr>
              <w:t>-</w:t>
            </w:r>
          </w:p>
        </w:tc>
        <w:tc>
          <w:tcPr>
            <w:tcW w:w="2327" w:type="dxa"/>
          </w:tcPr>
          <w:p>
            <w:pPr>
              <w:pStyle w:val="TableParagraph"/>
              <w:spacing w:line="215" w:lineRule="exact" w:before="46"/>
              <w:ind w:right="861"/>
              <w:jc w:val="right"/>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0,89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pacing w:val="-2"/>
                <w:sz w:val="20"/>
              </w:rPr>
              <w:t>бронхоэктатическая</w:t>
            </w:r>
          </w:p>
        </w:tc>
        <w:tc>
          <w:tcPr>
            <w:tcW w:w="5207" w:type="dxa"/>
          </w:tcPr>
          <w:p>
            <w:pPr>
              <w:pStyle w:val="TableParagraph"/>
              <w:spacing w:line="210" w:lineRule="exact"/>
              <w:ind w:left="1343"/>
              <w:rPr>
                <w:sz w:val="20"/>
              </w:rPr>
            </w:pPr>
            <w:r>
              <w:rPr>
                <w:sz w:val="20"/>
              </w:rPr>
              <w:t>J44.1,</w:t>
            </w:r>
            <w:r>
              <w:rPr>
                <w:spacing w:val="-5"/>
                <w:sz w:val="20"/>
              </w:rPr>
              <w:t> </w:t>
            </w:r>
            <w:r>
              <w:rPr>
                <w:sz w:val="20"/>
              </w:rPr>
              <w:t>J44.8,</w:t>
            </w:r>
            <w:r>
              <w:rPr>
                <w:spacing w:val="-5"/>
                <w:sz w:val="20"/>
              </w:rPr>
              <w:t> </w:t>
            </w:r>
            <w:r>
              <w:rPr>
                <w:sz w:val="20"/>
              </w:rPr>
              <w:t>J44.9,</w:t>
            </w:r>
            <w:r>
              <w:rPr>
                <w:spacing w:val="-5"/>
                <w:sz w:val="20"/>
              </w:rPr>
              <w:t> J47</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45" w:type="dxa"/>
          </w:tcPr>
          <w:p>
            <w:pPr>
              <w:pStyle w:val="TableParagraph"/>
              <w:spacing w:line="226" w:lineRule="exact"/>
              <w:ind w:left="192"/>
              <w:rPr>
                <w:sz w:val="20"/>
              </w:rPr>
            </w:pPr>
            <w:r>
              <w:rPr>
                <w:spacing w:val="-2"/>
                <w:sz w:val="20"/>
              </w:rPr>
              <w:t>болезнь</w:t>
            </w:r>
          </w:p>
        </w:tc>
        <w:tc>
          <w:tcPr>
            <w:tcW w:w="5207" w:type="dxa"/>
          </w:tcPr>
          <w:p>
            <w:pPr>
              <w:pStyle w:val="TableParagraph"/>
              <w:rPr>
                <w:sz w:val="18"/>
              </w:rPr>
            </w:pPr>
          </w:p>
        </w:tc>
        <w:tc>
          <w:tcPr>
            <w:tcW w:w="2384"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st27.012</w:t>
            </w:r>
          </w:p>
        </w:tc>
        <w:tc>
          <w:tcPr>
            <w:tcW w:w="707" w:type="dxa"/>
          </w:tcPr>
          <w:p>
            <w:pPr>
              <w:pStyle w:val="TableParagraph"/>
              <w:spacing w:line="215" w:lineRule="exact" w:before="45"/>
              <w:ind w:left="210"/>
              <w:rPr>
                <w:sz w:val="20"/>
              </w:rPr>
            </w:pPr>
            <w:r>
              <w:rPr>
                <w:spacing w:val="-5"/>
                <w:sz w:val="20"/>
              </w:rPr>
              <w:t>261</w:t>
            </w:r>
          </w:p>
        </w:tc>
        <w:tc>
          <w:tcPr>
            <w:tcW w:w="2445" w:type="dxa"/>
          </w:tcPr>
          <w:p>
            <w:pPr>
              <w:pStyle w:val="TableParagraph"/>
              <w:spacing w:line="215" w:lineRule="exact" w:before="45"/>
              <w:ind w:left="192"/>
              <w:rPr>
                <w:sz w:val="20"/>
              </w:rPr>
            </w:pPr>
            <w:r>
              <w:rPr>
                <w:sz w:val="20"/>
              </w:rPr>
              <w:t>Отравления</w:t>
            </w:r>
            <w:r>
              <w:rPr>
                <w:spacing w:val="-8"/>
                <w:sz w:val="20"/>
              </w:rPr>
              <w:t> </w:t>
            </w:r>
            <w:r>
              <w:rPr>
                <w:sz w:val="20"/>
              </w:rPr>
              <w:t>и</w:t>
            </w:r>
            <w:r>
              <w:rPr>
                <w:spacing w:val="-8"/>
                <w:sz w:val="20"/>
              </w:rPr>
              <w:t> </w:t>
            </w:r>
            <w:r>
              <w:rPr>
                <w:spacing w:val="-2"/>
                <w:sz w:val="20"/>
              </w:rPr>
              <w:t>другие</w:t>
            </w:r>
          </w:p>
        </w:tc>
        <w:tc>
          <w:tcPr>
            <w:tcW w:w="5207" w:type="dxa"/>
          </w:tcPr>
          <w:p>
            <w:pPr>
              <w:pStyle w:val="TableParagraph"/>
              <w:spacing w:line="215" w:lineRule="exact" w:before="45"/>
              <w:ind w:right="1009"/>
              <w:jc w:val="right"/>
              <w:rPr>
                <w:sz w:val="20"/>
              </w:rPr>
            </w:pPr>
            <w:r>
              <w:rPr>
                <w:sz w:val="20"/>
              </w:rPr>
              <w:t>R50.2,</w:t>
            </w:r>
            <w:r>
              <w:rPr>
                <w:spacing w:val="-5"/>
                <w:sz w:val="20"/>
              </w:rPr>
              <w:t> </w:t>
            </w:r>
            <w:r>
              <w:rPr>
                <w:sz w:val="20"/>
              </w:rPr>
              <w:t>R57.1,</w:t>
            </w:r>
            <w:r>
              <w:rPr>
                <w:spacing w:val="-4"/>
                <w:sz w:val="20"/>
              </w:rPr>
              <w:t> </w:t>
            </w:r>
            <w:r>
              <w:rPr>
                <w:sz w:val="20"/>
              </w:rPr>
              <w:t>R57.8,</w:t>
            </w:r>
            <w:r>
              <w:rPr>
                <w:spacing w:val="-4"/>
                <w:sz w:val="20"/>
              </w:rPr>
              <w:t> </w:t>
            </w:r>
            <w:r>
              <w:rPr>
                <w:sz w:val="20"/>
              </w:rPr>
              <w:t>R57.9,</w:t>
            </w:r>
            <w:r>
              <w:rPr>
                <w:spacing w:val="-7"/>
                <w:sz w:val="20"/>
              </w:rPr>
              <w:t> </w:t>
            </w:r>
            <w:r>
              <w:rPr>
                <w:sz w:val="20"/>
              </w:rPr>
              <w:t>T36,</w:t>
            </w:r>
            <w:r>
              <w:rPr>
                <w:spacing w:val="-6"/>
                <w:sz w:val="20"/>
              </w:rPr>
              <w:t> </w:t>
            </w:r>
            <w:r>
              <w:rPr>
                <w:sz w:val="20"/>
              </w:rPr>
              <w:t>T36.0,</w:t>
            </w:r>
            <w:r>
              <w:rPr>
                <w:spacing w:val="-8"/>
                <w:sz w:val="20"/>
              </w:rPr>
              <w:t> </w:t>
            </w:r>
            <w:r>
              <w:rPr>
                <w:spacing w:val="-2"/>
                <w:sz w:val="20"/>
              </w:rPr>
              <w:t>T36.1,</w:t>
            </w:r>
          </w:p>
        </w:tc>
        <w:tc>
          <w:tcPr>
            <w:tcW w:w="2384" w:type="dxa"/>
          </w:tcPr>
          <w:p>
            <w:pPr>
              <w:pStyle w:val="TableParagraph"/>
              <w:spacing w:line="215" w:lineRule="exact" w:before="45"/>
              <w:ind w:left="915"/>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0,53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1" w:lineRule="exact"/>
              <w:ind w:left="192"/>
              <w:rPr>
                <w:sz w:val="20"/>
              </w:rPr>
            </w:pPr>
            <w:r>
              <w:rPr>
                <w:sz w:val="20"/>
              </w:rPr>
              <w:t>воздействия</w:t>
            </w:r>
            <w:r>
              <w:rPr>
                <w:spacing w:val="-13"/>
                <w:sz w:val="20"/>
              </w:rPr>
              <w:t> </w:t>
            </w:r>
            <w:r>
              <w:rPr>
                <w:spacing w:val="-2"/>
                <w:sz w:val="20"/>
              </w:rPr>
              <w:t>внешних</w:t>
            </w:r>
          </w:p>
        </w:tc>
        <w:tc>
          <w:tcPr>
            <w:tcW w:w="5207" w:type="dxa"/>
          </w:tcPr>
          <w:p>
            <w:pPr>
              <w:pStyle w:val="TableParagraph"/>
              <w:spacing w:line="211" w:lineRule="exact"/>
              <w:ind w:right="955"/>
              <w:jc w:val="right"/>
              <w:rPr>
                <w:sz w:val="20"/>
              </w:rPr>
            </w:pPr>
            <w:r>
              <w:rPr>
                <w:sz w:val="20"/>
              </w:rPr>
              <w:t>T36.2,</w:t>
            </w:r>
            <w:r>
              <w:rPr>
                <w:spacing w:val="-7"/>
                <w:sz w:val="20"/>
              </w:rPr>
              <w:t> </w:t>
            </w:r>
            <w:r>
              <w:rPr>
                <w:sz w:val="20"/>
              </w:rPr>
              <w:t>T36.3,</w:t>
            </w:r>
            <w:r>
              <w:rPr>
                <w:spacing w:val="-5"/>
                <w:sz w:val="20"/>
              </w:rPr>
              <w:t> </w:t>
            </w:r>
            <w:r>
              <w:rPr>
                <w:sz w:val="20"/>
              </w:rPr>
              <w:t>T36.4,</w:t>
            </w:r>
            <w:r>
              <w:rPr>
                <w:spacing w:val="-5"/>
                <w:sz w:val="20"/>
              </w:rPr>
              <w:t> </w:t>
            </w:r>
            <w:r>
              <w:rPr>
                <w:sz w:val="20"/>
              </w:rPr>
              <w:t>T36.5,</w:t>
            </w:r>
            <w:r>
              <w:rPr>
                <w:spacing w:val="-5"/>
                <w:sz w:val="20"/>
              </w:rPr>
              <w:t> </w:t>
            </w:r>
            <w:r>
              <w:rPr>
                <w:sz w:val="20"/>
              </w:rPr>
              <w:t>T36.6,</w:t>
            </w:r>
            <w:r>
              <w:rPr>
                <w:spacing w:val="-5"/>
                <w:sz w:val="20"/>
              </w:rPr>
              <w:t> </w:t>
            </w:r>
            <w:r>
              <w:rPr>
                <w:sz w:val="20"/>
              </w:rPr>
              <w:t>T36.7,</w:t>
            </w:r>
            <w:r>
              <w:rPr>
                <w:spacing w:val="-5"/>
                <w:sz w:val="20"/>
              </w:rPr>
              <w:t> </w:t>
            </w:r>
            <w:r>
              <w:rPr>
                <w:spacing w:val="-2"/>
                <w:sz w:val="20"/>
              </w:rPr>
              <w:t>T36.8,</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pacing w:val="-2"/>
                <w:sz w:val="20"/>
              </w:rPr>
              <w:t>причин</w:t>
            </w:r>
          </w:p>
        </w:tc>
        <w:tc>
          <w:tcPr>
            <w:tcW w:w="5207" w:type="dxa"/>
          </w:tcPr>
          <w:p>
            <w:pPr>
              <w:pStyle w:val="TableParagraph"/>
              <w:spacing w:line="210" w:lineRule="exact"/>
              <w:ind w:left="371"/>
              <w:rPr>
                <w:sz w:val="20"/>
              </w:rPr>
            </w:pPr>
            <w:r>
              <w:rPr>
                <w:sz w:val="20"/>
              </w:rPr>
              <w:t>T36.9,</w:t>
            </w:r>
            <w:r>
              <w:rPr>
                <w:spacing w:val="-7"/>
                <w:sz w:val="20"/>
              </w:rPr>
              <w:t> </w:t>
            </w:r>
            <w:r>
              <w:rPr>
                <w:sz w:val="20"/>
              </w:rPr>
              <w:t>T37,</w:t>
            </w:r>
            <w:r>
              <w:rPr>
                <w:spacing w:val="-7"/>
                <w:sz w:val="20"/>
              </w:rPr>
              <w:t> </w:t>
            </w:r>
            <w:r>
              <w:rPr>
                <w:sz w:val="20"/>
              </w:rPr>
              <w:t>T37.0,</w:t>
            </w:r>
            <w:r>
              <w:rPr>
                <w:spacing w:val="-4"/>
                <w:sz w:val="20"/>
              </w:rPr>
              <w:t> </w:t>
            </w:r>
            <w:r>
              <w:rPr>
                <w:sz w:val="20"/>
              </w:rPr>
              <w:t>T37.1,</w:t>
            </w:r>
            <w:r>
              <w:rPr>
                <w:spacing w:val="-5"/>
                <w:sz w:val="20"/>
              </w:rPr>
              <w:t> </w:t>
            </w:r>
            <w:r>
              <w:rPr>
                <w:sz w:val="20"/>
              </w:rPr>
              <w:t>T37.2,</w:t>
            </w:r>
            <w:r>
              <w:rPr>
                <w:spacing w:val="-5"/>
                <w:sz w:val="20"/>
              </w:rPr>
              <w:t> </w:t>
            </w:r>
            <w:r>
              <w:rPr>
                <w:sz w:val="20"/>
              </w:rPr>
              <w:t>T37.3,</w:t>
            </w:r>
            <w:r>
              <w:rPr>
                <w:spacing w:val="-4"/>
                <w:sz w:val="20"/>
              </w:rPr>
              <w:t> </w:t>
            </w:r>
            <w:r>
              <w:rPr>
                <w:spacing w:val="-2"/>
                <w:sz w:val="20"/>
              </w:rPr>
              <w:t>T37.4,</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9" w:lineRule="exact"/>
              <w:ind w:left="371"/>
              <w:rPr>
                <w:sz w:val="20"/>
              </w:rPr>
            </w:pPr>
            <w:r>
              <w:rPr>
                <w:sz w:val="20"/>
              </w:rPr>
              <w:t>T37.5,</w:t>
            </w:r>
            <w:r>
              <w:rPr>
                <w:spacing w:val="-7"/>
                <w:sz w:val="20"/>
              </w:rPr>
              <w:t> </w:t>
            </w:r>
            <w:r>
              <w:rPr>
                <w:sz w:val="20"/>
              </w:rPr>
              <w:t>T37.8,</w:t>
            </w:r>
            <w:r>
              <w:rPr>
                <w:spacing w:val="-5"/>
                <w:sz w:val="20"/>
              </w:rPr>
              <w:t> </w:t>
            </w:r>
            <w:r>
              <w:rPr>
                <w:sz w:val="20"/>
              </w:rPr>
              <w:t>T37.9,</w:t>
            </w:r>
            <w:r>
              <w:rPr>
                <w:spacing w:val="-5"/>
                <w:sz w:val="20"/>
              </w:rPr>
              <w:t> </w:t>
            </w:r>
            <w:r>
              <w:rPr>
                <w:sz w:val="20"/>
              </w:rPr>
              <w:t>T38,</w:t>
            </w:r>
            <w:r>
              <w:rPr>
                <w:spacing w:val="-5"/>
                <w:sz w:val="20"/>
              </w:rPr>
              <w:t> </w:t>
            </w:r>
            <w:r>
              <w:rPr>
                <w:sz w:val="20"/>
              </w:rPr>
              <w:t>T38.0,</w:t>
            </w:r>
            <w:r>
              <w:rPr>
                <w:spacing w:val="-5"/>
                <w:sz w:val="20"/>
              </w:rPr>
              <w:t> </w:t>
            </w:r>
            <w:r>
              <w:rPr>
                <w:sz w:val="20"/>
              </w:rPr>
              <w:t>T38.1,</w:t>
            </w:r>
            <w:r>
              <w:rPr>
                <w:spacing w:val="-5"/>
                <w:sz w:val="20"/>
              </w:rPr>
              <w:t> </w:t>
            </w:r>
            <w:r>
              <w:rPr>
                <w:spacing w:val="-2"/>
                <w:sz w:val="20"/>
              </w:rPr>
              <w:t>T38.2,</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9" w:lineRule="exact"/>
              <w:ind w:right="955"/>
              <w:jc w:val="right"/>
              <w:rPr>
                <w:sz w:val="20"/>
              </w:rPr>
            </w:pPr>
            <w:r>
              <w:rPr>
                <w:sz w:val="20"/>
              </w:rPr>
              <w:t>T38.3,</w:t>
            </w:r>
            <w:r>
              <w:rPr>
                <w:spacing w:val="-7"/>
                <w:sz w:val="20"/>
              </w:rPr>
              <w:t> </w:t>
            </w:r>
            <w:r>
              <w:rPr>
                <w:sz w:val="20"/>
              </w:rPr>
              <w:t>T38.4,</w:t>
            </w:r>
            <w:r>
              <w:rPr>
                <w:spacing w:val="-5"/>
                <w:sz w:val="20"/>
              </w:rPr>
              <w:t> </w:t>
            </w:r>
            <w:r>
              <w:rPr>
                <w:sz w:val="20"/>
              </w:rPr>
              <w:t>T38.5,</w:t>
            </w:r>
            <w:r>
              <w:rPr>
                <w:spacing w:val="-5"/>
                <w:sz w:val="20"/>
              </w:rPr>
              <w:t> </w:t>
            </w:r>
            <w:r>
              <w:rPr>
                <w:sz w:val="20"/>
              </w:rPr>
              <w:t>T38.6,</w:t>
            </w:r>
            <w:r>
              <w:rPr>
                <w:spacing w:val="-5"/>
                <w:sz w:val="20"/>
              </w:rPr>
              <w:t> </w:t>
            </w:r>
            <w:r>
              <w:rPr>
                <w:sz w:val="20"/>
              </w:rPr>
              <w:t>T38.7,</w:t>
            </w:r>
            <w:r>
              <w:rPr>
                <w:spacing w:val="-5"/>
                <w:sz w:val="20"/>
              </w:rPr>
              <w:t> </w:t>
            </w:r>
            <w:r>
              <w:rPr>
                <w:sz w:val="20"/>
              </w:rPr>
              <w:t>T38.8,</w:t>
            </w:r>
            <w:r>
              <w:rPr>
                <w:spacing w:val="-5"/>
                <w:sz w:val="20"/>
              </w:rPr>
              <w:t> </w:t>
            </w:r>
            <w:r>
              <w:rPr>
                <w:spacing w:val="-2"/>
                <w:sz w:val="20"/>
              </w:rPr>
              <w:t>T38.9,</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371"/>
              <w:rPr>
                <w:sz w:val="20"/>
              </w:rPr>
            </w:pPr>
            <w:r>
              <w:rPr>
                <w:sz w:val="20"/>
              </w:rPr>
              <w:t>T39,</w:t>
            </w:r>
            <w:r>
              <w:rPr>
                <w:spacing w:val="-6"/>
                <w:sz w:val="20"/>
              </w:rPr>
              <w:t> </w:t>
            </w:r>
            <w:r>
              <w:rPr>
                <w:sz w:val="20"/>
              </w:rPr>
              <w:t>T39.0,</w:t>
            </w:r>
            <w:r>
              <w:rPr>
                <w:spacing w:val="-7"/>
                <w:sz w:val="20"/>
              </w:rPr>
              <w:t> </w:t>
            </w:r>
            <w:r>
              <w:rPr>
                <w:sz w:val="20"/>
              </w:rPr>
              <w:t>T39.1,</w:t>
            </w:r>
            <w:r>
              <w:rPr>
                <w:spacing w:val="-5"/>
                <w:sz w:val="20"/>
              </w:rPr>
              <w:t> </w:t>
            </w:r>
            <w:r>
              <w:rPr>
                <w:sz w:val="20"/>
              </w:rPr>
              <w:t>T39.2,</w:t>
            </w:r>
            <w:r>
              <w:rPr>
                <w:spacing w:val="-5"/>
                <w:sz w:val="20"/>
              </w:rPr>
              <w:t> </w:t>
            </w:r>
            <w:r>
              <w:rPr>
                <w:sz w:val="20"/>
              </w:rPr>
              <w:t>T39.3,</w:t>
            </w:r>
            <w:r>
              <w:rPr>
                <w:spacing w:val="-5"/>
                <w:sz w:val="20"/>
              </w:rPr>
              <w:t> </w:t>
            </w:r>
            <w:r>
              <w:rPr>
                <w:sz w:val="20"/>
              </w:rPr>
              <w:t>T39.4,</w:t>
            </w:r>
            <w:r>
              <w:rPr>
                <w:spacing w:val="-5"/>
                <w:sz w:val="20"/>
              </w:rPr>
              <w:t> </w:t>
            </w:r>
            <w:r>
              <w:rPr>
                <w:spacing w:val="-2"/>
                <w:sz w:val="20"/>
              </w:rPr>
              <w:t>T39.8,</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371"/>
              <w:rPr>
                <w:sz w:val="20"/>
              </w:rPr>
            </w:pPr>
            <w:r>
              <w:rPr>
                <w:sz w:val="20"/>
              </w:rPr>
              <w:t>T39.9,</w:t>
            </w:r>
            <w:r>
              <w:rPr>
                <w:spacing w:val="-7"/>
                <w:sz w:val="20"/>
              </w:rPr>
              <w:t> </w:t>
            </w:r>
            <w:r>
              <w:rPr>
                <w:sz w:val="20"/>
              </w:rPr>
              <w:t>T40,</w:t>
            </w:r>
            <w:r>
              <w:rPr>
                <w:spacing w:val="-7"/>
                <w:sz w:val="20"/>
              </w:rPr>
              <w:t> </w:t>
            </w:r>
            <w:r>
              <w:rPr>
                <w:sz w:val="20"/>
              </w:rPr>
              <w:t>T40.0,</w:t>
            </w:r>
            <w:r>
              <w:rPr>
                <w:spacing w:val="-4"/>
                <w:sz w:val="20"/>
              </w:rPr>
              <w:t> </w:t>
            </w:r>
            <w:r>
              <w:rPr>
                <w:sz w:val="20"/>
              </w:rPr>
              <w:t>T40.1,</w:t>
            </w:r>
            <w:r>
              <w:rPr>
                <w:spacing w:val="-5"/>
                <w:sz w:val="20"/>
              </w:rPr>
              <w:t> </w:t>
            </w:r>
            <w:r>
              <w:rPr>
                <w:sz w:val="20"/>
              </w:rPr>
              <w:t>T40.2,</w:t>
            </w:r>
            <w:r>
              <w:rPr>
                <w:spacing w:val="-5"/>
                <w:sz w:val="20"/>
              </w:rPr>
              <w:t> </w:t>
            </w:r>
            <w:r>
              <w:rPr>
                <w:sz w:val="20"/>
              </w:rPr>
              <w:t>T40.3,</w:t>
            </w:r>
            <w:r>
              <w:rPr>
                <w:spacing w:val="-4"/>
                <w:sz w:val="20"/>
              </w:rPr>
              <w:t> </w:t>
            </w:r>
            <w:r>
              <w:rPr>
                <w:spacing w:val="-2"/>
                <w:sz w:val="20"/>
              </w:rPr>
              <w:t>T40.4,</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371"/>
              <w:rPr>
                <w:sz w:val="20"/>
              </w:rPr>
            </w:pPr>
            <w:r>
              <w:rPr>
                <w:sz w:val="20"/>
              </w:rPr>
              <w:t>T40.5,</w:t>
            </w:r>
            <w:r>
              <w:rPr>
                <w:spacing w:val="-7"/>
                <w:sz w:val="20"/>
              </w:rPr>
              <w:t> </w:t>
            </w:r>
            <w:r>
              <w:rPr>
                <w:sz w:val="20"/>
              </w:rPr>
              <w:t>T40.6,</w:t>
            </w:r>
            <w:r>
              <w:rPr>
                <w:spacing w:val="-4"/>
                <w:sz w:val="20"/>
              </w:rPr>
              <w:t> </w:t>
            </w:r>
            <w:r>
              <w:rPr>
                <w:sz w:val="20"/>
              </w:rPr>
              <w:t>T40.7,</w:t>
            </w:r>
            <w:r>
              <w:rPr>
                <w:spacing w:val="-5"/>
                <w:sz w:val="20"/>
              </w:rPr>
              <w:t> </w:t>
            </w:r>
            <w:r>
              <w:rPr>
                <w:sz w:val="20"/>
              </w:rPr>
              <w:t>T40.8,</w:t>
            </w:r>
            <w:r>
              <w:rPr>
                <w:spacing w:val="-4"/>
                <w:sz w:val="20"/>
              </w:rPr>
              <w:t> </w:t>
            </w:r>
            <w:r>
              <w:rPr>
                <w:sz w:val="20"/>
              </w:rPr>
              <w:t>T40.9,</w:t>
            </w:r>
            <w:r>
              <w:rPr>
                <w:spacing w:val="-5"/>
                <w:sz w:val="20"/>
              </w:rPr>
              <w:t> </w:t>
            </w:r>
            <w:r>
              <w:rPr>
                <w:sz w:val="20"/>
              </w:rPr>
              <w:t>T41,</w:t>
            </w:r>
            <w:r>
              <w:rPr>
                <w:spacing w:val="-6"/>
                <w:sz w:val="20"/>
              </w:rPr>
              <w:t> </w:t>
            </w:r>
            <w:r>
              <w:rPr>
                <w:spacing w:val="-2"/>
                <w:sz w:val="20"/>
              </w:rPr>
              <w:t>T41.0,</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5" w:lineRule="exact"/>
              <w:ind w:left="371"/>
              <w:rPr>
                <w:sz w:val="20"/>
              </w:rPr>
            </w:pPr>
            <w:r>
              <w:rPr>
                <w:sz w:val="20"/>
              </w:rPr>
              <w:t>T41.1,</w:t>
            </w:r>
            <w:r>
              <w:rPr>
                <w:spacing w:val="-7"/>
                <w:sz w:val="20"/>
              </w:rPr>
              <w:t> </w:t>
            </w:r>
            <w:r>
              <w:rPr>
                <w:sz w:val="20"/>
              </w:rPr>
              <w:t>T41.2,</w:t>
            </w:r>
            <w:r>
              <w:rPr>
                <w:spacing w:val="-4"/>
                <w:sz w:val="20"/>
              </w:rPr>
              <w:t> </w:t>
            </w:r>
            <w:r>
              <w:rPr>
                <w:sz w:val="20"/>
              </w:rPr>
              <w:t>T41.3,</w:t>
            </w:r>
            <w:r>
              <w:rPr>
                <w:spacing w:val="-4"/>
                <w:sz w:val="20"/>
              </w:rPr>
              <w:t> </w:t>
            </w:r>
            <w:r>
              <w:rPr>
                <w:sz w:val="20"/>
              </w:rPr>
              <w:t>T41.4,</w:t>
            </w:r>
            <w:r>
              <w:rPr>
                <w:spacing w:val="-4"/>
                <w:sz w:val="20"/>
              </w:rPr>
              <w:t> </w:t>
            </w:r>
            <w:r>
              <w:rPr>
                <w:sz w:val="20"/>
              </w:rPr>
              <w:t>T41.5,</w:t>
            </w:r>
            <w:r>
              <w:rPr>
                <w:spacing w:val="-4"/>
                <w:sz w:val="20"/>
              </w:rPr>
              <w:t> </w:t>
            </w:r>
            <w:r>
              <w:rPr>
                <w:sz w:val="20"/>
              </w:rPr>
              <w:t>T42,</w:t>
            </w:r>
            <w:r>
              <w:rPr>
                <w:spacing w:val="-6"/>
                <w:sz w:val="20"/>
              </w:rPr>
              <w:t> </w:t>
            </w:r>
            <w:r>
              <w:rPr>
                <w:spacing w:val="-2"/>
                <w:sz w:val="20"/>
              </w:rPr>
              <w:t>T42.0,</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7" w:right="0" w:firstLine="0"/>
        <w:jc w:val="left"/>
        <w:rPr>
          <w:sz w:val="20"/>
        </w:rPr>
      </w:pPr>
      <w:r>
        <w:rPr>
          <w:sz w:val="20"/>
        </w:rPr>
        <w:t>T42.1,</w:t>
      </w:r>
      <w:r>
        <w:rPr>
          <w:spacing w:val="-7"/>
          <w:sz w:val="20"/>
        </w:rPr>
        <w:t> </w:t>
      </w:r>
      <w:r>
        <w:rPr>
          <w:sz w:val="20"/>
        </w:rPr>
        <w:t>T42.2,</w:t>
      </w:r>
      <w:r>
        <w:rPr>
          <w:spacing w:val="-5"/>
          <w:sz w:val="20"/>
        </w:rPr>
        <w:t> </w:t>
      </w:r>
      <w:r>
        <w:rPr>
          <w:sz w:val="20"/>
        </w:rPr>
        <w:t>T42.3,</w:t>
      </w:r>
      <w:r>
        <w:rPr>
          <w:spacing w:val="-5"/>
          <w:sz w:val="20"/>
        </w:rPr>
        <w:t> </w:t>
      </w:r>
      <w:r>
        <w:rPr>
          <w:sz w:val="20"/>
        </w:rPr>
        <w:t>T42.4,</w:t>
      </w:r>
      <w:r>
        <w:rPr>
          <w:spacing w:val="-5"/>
          <w:sz w:val="20"/>
        </w:rPr>
        <w:t> </w:t>
      </w:r>
      <w:r>
        <w:rPr>
          <w:sz w:val="20"/>
        </w:rPr>
        <w:t>T42.5,</w:t>
      </w:r>
      <w:r>
        <w:rPr>
          <w:spacing w:val="-5"/>
          <w:sz w:val="20"/>
        </w:rPr>
        <w:t> </w:t>
      </w:r>
      <w:r>
        <w:rPr>
          <w:sz w:val="20"/>
        </w:rPr>
        <w:t>T42.6,</w:t>
      </w:r>
      <w:r>
        <w:rPr>
          <w:spacing w:val="-5"/>
          <w:sz w:val="20"/>
        </w:rPr>
        <w:t> </w:t>
      </w:r>
      <w:r>
        <w:rPr>
          <w:spacing w:val="-2"/>
          <w:sz w:val="20"/>
        </w:rPr>
        <w:t>T42.7,</w:t>
      </w:r>
    </w:p>
    <w:p>
      <w:pPr>
        <w:spacing w:line="229" w:lineRule="exact" w:before="1"/>
        <w:ind w:left="4681" w:right="0" w:firstLine="0"/>
        <w:jc w:val="left"/>
        <w:rPr>
          <w:sz w:val="20"/>
        </w:rPr>
      </w:pPr>
      <w:r>
        <w:rPr>
          <w:sz w:val="20"/>
        </w:rPr>
        <w:t>T42.8,</w:t>
      </w:r>
      <w:r>
        <w:rPr>
          <w:spacing w:val="-7"/>
          <w:sz w:val="20"/>
        </w:rPr>
        <w:t> </w:t>
      </w:r>
      <w:r>
        <w:rPr>
          <w:sz w:val="20"/>
        </w:rPr>
        <w:t>T43,</w:t>
      </w:r>
      <w:r>
        <w:rPr>
          <w:spacing w:val="-7"/>
          <w:sz w:val="20"/>
        </w:rPr>
        <w:t> </w:t>
      </w:r>
      <w:r>
        <w:rPr>
          <w:sz w:val="20"/>
        </w:rPr>
        <w:t>T43.0,</w:t>
      </w:r>
      <w:r>
        <w:rPr>
          <w:spacing w:val="-4"/>
          <w:sz w:val="20"/>
        </w:rPr>
        <w:t> </w:t>
      </w:r>
      <w:r>
        <w:rPr>
          <w:sz w:val="20"/>
        </w:rPr>
        <w:t>T43.1,</w:t>
      </w:r>
      <w:r>
        <w:rPr>
          <w:spacing w:val="-5"/>
          <w:sz w:val="20"/>
        </w:rPr>
        <w:t> </w:t>
      </w:r>
      <w:r>
        <w:rPr>
          <w:sz w:val="20"/>
        </w:rPr>
        <w:t>T43.2,</w:t>
      </w:r>
      <w:r>
        <w:rPr>
          <w:spacing w:val="-5"/>
          <w:sz w:val="20"/>
        </w:rPr>
        <w:t> </w:t>
      </w:r>
      <w:r>
        <w:rPr>
          <w:sz w:val="20"/>
        </w:rPr>
        <w:t>T43.3,</w:t>
      </w:r>
      <w:r>
        <w:rPr>
          <w:spacing w:val="-4"/>
          <w:sz w:val="20"/>
        </w:rPr>
        <w:t> </w:t>
      </w:r>
      <w:r>
        <w:rPr>
          <w:spacing w:val="-2"/>
          <w:sz w:val="20"/>
        </w:rPr>
        <w:t>T43.4,</w:t>
      </w:r>
    </w:p>
    <w:p>
      <w:pPr>
        <w:spacing w:line="229" w:lineRule="exact" w:before="0"/>
        <w:ind w:left="4681" w:right="0" w:firstLine="0"/>
        <w:jc w:val="left"/>
        <w:rPr>
          <w:sz w:val="20"/>
        </w:rPr>
      </w:pPr>
      <w:r>
        <w:rPr>
          <w:sz w:val="20"/>
        </w:rPr>
        <w:t>T43.5,</w:t>
      </w:r>
      <w:r>
        <w:rPr>
          <w:spacing w:val="-7"/>
          <w:sz w:val="20"/>
        </w:rPr>
        <w:t> </w:t>
      </w:r>
      <w:r>
        <w:rPr>
          <w:sz w:val="20"/>
        </w:rPr>
        <w:t>T43.6,</w:t>
      </w:r>
      <w:r>
        <w:rPr>
          <w:spacing w:val="-4"/>
          <w:sz w:val="20"/>
        </w:rPr>
        <w:t> </w:t>
      </w:r>
      <w:r>
        <w:rPr>
          <w:sz w:val="20"/>
        </w:rPr>
        <w:t>T43.8,</w:t>
      </w:r>
      <w:r>
        <w:rPr>
          <w:spacing w:val="-5"/>
          <w:sz w:val="20"/>
        </w:rPr>
        <w:t> </w:t>
      </w:r>
      <w:r>
        <w:rPr>
          <w:sz w:val="20"/>
        </w:rPr>
        <w:t>T43.9,</w:t>
      </w:r>
      <w:r>
        <w:rPr>
          <w:spacing w:val="-4"/>
          <w:sz w:val="20"/>
        </w:rPr>
        <w:t> </w:t>
      </w:r>
      <w:r>
        <w:rPr>
          <w:sz w:val="20"/>
        </w:rPr>
        <w:t>T44,</w:t>
      </w:r>
      <w:r>
        <w:rPr>
          <w:spacing w:val="-5"/>
          <w:sz w:val="20"/>
        </w:rPr>
        <w:t> </w:t>
      </w:r>
      <w:r>
        <w:rPr>
          <w:sz w:val="20"/>
        </w:rPr>
        <w:t>T44.0,</w:t>
      </w:r>
      <w:r>
        <w:rPr>
          <w:spacing w:val="-6"/>
          <w:sz w:val="20"/>
        </w:rPr>
        <w:t> </w:t>
      </w:r>
      <w:r>
        <w:rPr>
          <w:spacing w:val="-2"/>
          <w:sz w:val="20"/>
        </w:rPr>
        <w:t>T44.1,</w:t>
      </w:r>
    </w:p>
    <w:p>
      <w:pPr>
        <w:spacing w:before="0"/>
        <w:ind w:left="4607" w:right="0" w:firstLine="0"/>
        <w:jc w:val="left"/>
        <w:rPr>
          <w:sz w:val="20"/>
        </w:rPr>
      </w:pPr>
      <w:r>
        <w:rPr>
          <w:sz w:val="20"/>
        </w:rPr>
        <w:t>T44.2,</w:t>
      </w:r>
      <w:r>
        <w:rPr>
          <w:spacing w:val="-7"/>
          <w:sz w:val="20"/>
        </w:rPr>
        <w:t> </w:t>
      </w:r>
      <w:r>
        <w:rPr>
          <w:sz w:val="20"/>
        </w:rPr>
        <w:t>T44.3,</w:t>
      </w:r>
      <w:r>
        <w:rPr>
          <w:spacing w:val="-5"/>
          <w:sz w:val="20"/>
        </w:rPr>
        <w:t> </w:t>
      </w:r>
      <w:r>
        <w:rPr>
          <w:sz w:val="20"/>
        </w:rPr>
        <w:t>T44.4,</w:t>
      </w:r>
      <w:r>
        <w:rPr>
          <w:spacing w:val="-5"/>
          <w:sz w:val="20"/>
        </w:rPr>
        <w:t> </w:t>
      </w:r>
      <w:r>
        <w:rPr>
          <w:sz w:val="20"/>
        </w:rPr>
        <w:t>T44.5,</w:t>
      </w:r>
      <w:r>
        <w:rPr>
          <w:spacing w:val="-5"/>
          <w:sz w:val="20"/>
        </w:rPr>
        <w:t> </w:t>
      </w:r>
      <w:r>
        <w:rPr>
          <w:sz w:val="20"/>
        </w:rPr>
        <w:t>T44.6,</w:t>
      </w:r>
      <w:r>
        <w:rPr>
          <w:spacing w:val="-5"/>
          <w:sz w:val="20"/>
        </w:rPr>
        <w:t> </w:t>
      </w:r>
      <w:r>
        <w:rPr>
          <w:sz w:val="20"/>
        </w:rPr>
        <w:t>T44.7,</w:t>
      </w:r>
      <w:r>
        <w:rPr>
          <w:spacing w:val="-5"/>
          <w:sz w:val="20"/>
        </w:rPr>
        <w:t> </w:t>
      </w:r>
      <w:r>
        <w:rPr>
          <w:spacing w:val="-2"/>
          <w:sz w:val="20"/>
        </w:rPr>
        <w:t>T44.8,</w:t>
      </w:r>
    </w:p>
    <w:p>
      <w:pPr>
        <w:spacing w:before="1"/>
        <w:ind w:left="4681" w:right="0" w:firstLine="0"/>
        <w:jc w:val="left"/>
        <w:rPr>
          <w:sz w:val="20"/>
        </w:rPr>
      </w:pPr>
      <w:r>
        <w:rPr>
          <w:sz w:val="20"/>
        </w:rPr>
        <w:t>T44.9,</w:t>
      </w:r>
      <w:r>
        <w:rPr>
          <w:spacing w:val="-6"/>
          <w:sz w:val="20"/>
        </w:rPr>
        <w:t> </w:t>
      </w:r>
      <w:r>
        <w:rPr>
          <w:sz w:val="20"/>
        </w:rPr>
        <w:t>T45,</w:t>
      </w:r>
      <w:r>
        <w:rPr>
          <w:spacing w:val="-6"/>
          <w:sz w:val="20"/>
        </w:rPr>
        <w:t> </w:t>
      </w:r>
      <w:r>
        <w:rPr>
          <w:sz w:val="20"/>
        </w:rPr>
        <w:t>T45.0,</w:t>
      </w:r>
      <w:r>
        <w:rPr>
          <w:spacing w:val="-4"/>
          <w:sz w:val="20"/>
        </w:rPr>
        <w:t> </w:t>
      </w:r>
      <w:r>
        <w:rPr>
          <w:sz w:val="20"/>
        </w:rPr>
        <w:t>T45.1,</w:t>
      </w:r>
      <w:r>
        <w:rPr>
          <w:spacing w:val="-4"/>
          <w:sz w:val="20"/>
        </w:rPr>
        <w:t> </w:t>
      </w:r>
      <w:r>
        <w:rPr>
          <w:sz w:val="20"/>
        </w:rPr>
        <w:t>T45.2,</w:t>
      </w:r>
      <w:r>
        <w:rPr>
          <w:spacing w:val="-3"/>
          <w:sz w:val="20"/>
        </w:rPr>
        <w:t> </w:t>
      </w:r>
      <w:r>
        <w:rPr>
          <w:sz w:val="20"/>
        </w:rPr>
        <w:t>T45.3,</w:t>
      </w:r>
      <w:r>
        <w:rPr>
          <w:spacing w:val="-4"/>
          <w:sz w:val="20"/>
        </w:rPr>
        <w:t> </w:t>
      </w:r>
      <w:r>
        <w:rPr>
          <w:spacing w:val="-2"/>
          <w:sz w:val="20"/>
        </w:rPr>
        <w:t>T45.4,</w:t>
      </w:r>
    </w:p>
    <w:p>
      <w:pPr>
        <w:spacing w:before="0"/>
        <w:ind w:left="4681" w:right="0" w:firstLine="0"/>
        <w:jc w:val="left"/>
        <w:rPr>
          <w:sz w:val="20"/>
        </w:rPr>
      </w:pPr>
      <w:r>
        <w:rPr>
          <w:sz w:val="20"/>
        </w:rPr>
        <w:t>T45.5,</w:t>
      </w:r>
      <w:r>
        <w:rPr>
          <w:spacing w:val="-7"/>
          <w:sz w:val="20"/>
        </w:rPr>
        <w:t> </w:t>
      </w:r>
      <w:r>
        <w:rPr>
          <w:sz w:val="20"/>
        </w:rPr>
        <w:t>T45.6,</w:t>
      </w:r>
      <w:r>
        <w:rPr>
          <w:spacing w:val="-4"/>
          <w:sz w:val="20"/>
        </w:rPr>
        <w:t> </w:t>
      </w:r>
      <w:r>
        <w:rPr>
          <w:sz w:val="20"/>
        </w:rPr>
        <w:t>T45.7,</w:t>
      </w:r>
      <w:r>
        <w:rPr>
          <w:spacing w:val="-5"/>
          <w:sz w:val="20"/>
        </w:rPr>
        <w:t> </w:t>
      </w:r>
      <w:r>
        <w:rPr>
          <w:sz w:val="20"/>
        </w:rPr>
        <w:t>T45.8,</w:t>
      </w:r>
      <w:r>
        <w:rPr>
          <w:spacing w:val="-4"/>
          <w:sz w:val="20"/>
        </w:rPr>
        <w:t> </w:t>
      </w:r>
      <w:r>
        <w:rPr>
          <w:sz w:val="20"/>
        </w:rPr>
        <w:t>T45.9,</w:t>
      </w:r>
      <w:r>
        <w:rPr>
          <w:spacing w:val="-5"/>
          <w:sz w:val="20"/>
        </w:rPr>
        <w:t> </w:t>
      </w:r>
      <w:r>
        <w:rPr>
          <w:sz w:val="20"/>
        </w:rPr>
        <w:t>T46,</w:t>
      </w:r>
      <w:r>
        <w:rPr>
          <w:spacing w:val="-6"/>
          <w:sz w:val="20"/>
        </w:rPr>
        <w:t> </w:t>
      </w:r>
      <w:r>
        <w:rPr>
          <w:spacing w:val="-2"/>
          <w:sz w:val="20"/>
        </w:rPr>
        <w:t>T46.0,</w:t>
      </w:r>
    </w:p>
    <w:p>
      <w:pPr>
        <w:spacing w:before="0"/>
        <w:ind w:left="4607" w:right="0" w:firstLine="0"/>
        <w:jc w:val="left"/>
        <w:rPr>
          <w:sz w:val="20"/>
        </w:rPr>
      </w:pPr>
      <w:r>
        <w:rPr>
          <w:sz w:val="20"/>
        </w:rPr>
        <w:t>T46.1,</w:t>
      </w:r>
      <w:r>
        <w:rPr>
          <w:spacing w:val="-7"/>
          <w:sz w:val="20"/>
        </w:rPr>
        <w:t> </w:t>
      </w:r>
      <w:r>
        <w:rPr>
          <w:sz w:val="20"/>
        </w:rPr>
        <w:t>T46.2,</w:t>
      </w:r>
      <w:r>
        <w:rPr>
          <w:spacing w:val="-5"/>
          <w:sz w:val="20"/>
        </w:rPr>
        <w:t> </w:t>
      </w:r>
      <w:r>
        <w:rPr>
          <w:sz w:val="20"/>
        </w:rPr>
        <w:t>T46.3,</w:t>
      </w:r>
      <w:r>
        <w:rPr>
          <w:spacing w:val="-5"/>
          <w:sz w:val="20"/>
        </w:rPr>
        <w:t> </w:t>
      </w:r>
      <w:r>
        <w:rPr>
          <w:sz w:val="20"/>
        </w:rPr>
        <w:t>T46.4,</w:t>
      </w:r>
      <w:r>
        <w:rPr>
          <w:spacing w:val="-5"/>
          <w:sz w:val="20"/>
        </w:rPr>
        <w:t> </w:t>
      </w:r>
      <w:r>
        <w:rPr>
          <w:sz w:val="20"/>
        </w:rPr>
        <w:t>T46.5,</w:t>
      </w:r>
      <w:r>
        <w:rPr>
          <w:spacing w:val="-5"/>
          <w:sz w:val="20"/>
        </w:rPr>
        <w:t> </w:t>
      </w:r>
      <w:r>
        <w:rPr>
          <w:sz w:val="20"/>
        </w:rPr>
        <w:t>T46.6,</w:t>
      </w:r>
      <w:r>
        <w:rPr>
          <w:spacing w:val="-5"/>
          <w:sz w:val="20"/>
        </w:rPr>
        <w:t> </w:t>
      </w:r>
      <w:r>
        <w:rPr>
          <w:spacing w:val="-2"/>
          <w:sz w:val="20"/>
        </w:rPr>
        <w:t>T46.7,</w:t>
      </w:r>
    </w:p>
    <w:p>
      <w:pPr>
        <w:spacing w:line="229" w:lineRule="exact" w:before="1"/>
        <w:ind w:left="4681" w:right="0" w:firstLine="0"/>
        <w:jc w:val="left"/>
        <w:rPr>
          <w:sz w:val="20"/>
        </w:rPr>
      </w:pPr>
      <w:r>
        <w:rPr>
          <w:sz w:val="20"/>
        </w:rPr>
        <w:t>T46.8,</w:t>
      </w:r>
      <w:r>
        <w:rPr>
          <w:spacing w:val="-7"/>
          <w:sz w:val="20"/>
        </w:rPr>
        <w:t> </w:t>
      </w:r>
      <w:r>
        <w:rPr>
          <w:sz w:val="20"/>
        </w:rPr>
        <w:t>T46.9,</w:t>
      </w:r>
      <w:r>
        <w:rPr>
          <w:spacing w:val="-5"/>
          <w:sz w:val="20"/>
        </w:rPr>
        <w:t> </w:t>
      </w:r>
      <w:r>
        <w:rPr>
          <w:sz w:val="20"/>
        </w:rPr>
        <w:t>T47,</w:t>
      </w:r>
      <w:r>
        <w:rPr>
          <w:spacing w:val="-5"/>
          <w:sz w:val="20"/>
        </w:rPr>
        <w:t> </w:t>
      </w:r>
      <w:r>
        <w:rPr>
          <w:sz w:val="20"/>
        </w:rPr>
        <w:t>T47.0,</w:t>
      </w:r>
      <w:r>
        <w:rPr>
          <w:spacing w:val="-5"/>
          <w:sz w:val="20"/>
        </w:rPr>
        <w:t> </w:t>
      </w:r>
      <w:r>
        <w:rPr>
          <w:sz w:val="20"/>
        </w:rPr>
        <w:t>T47.1,</w:t>
      </w:r>
      <w:r>
        <w:rPr>
          <w:spacing w:val="-5"/>
          <w:sz w:val="20"/>
        </w:rPr>
        <w:t> </w:t>
      </w:r>
      <w:r>
        <w:rPr>
          <w:sz w:val="20"/>
        </w:rPr>
        <w:t>T47.2,</w:t>
      </w:r>
      <w:r>
        <w:rPr>
          <w:spacing w:val="-5"/>
          <w:sz w:val="20"/>
        </w:rPr>
        <w:t> </w:t>
      </w:r>
      <w:r>
        <w:rPr>
          <w:spacing w:val="-2"/>
          <w:sz w:val="20"/>
        </w:rPr>
        <w:t>T47.3,</w:t>
      </w:r>
    </w:p>
    <w:p>
      <w:pPr>
        <w:spacing w:line="229" w:lineRule="exact" w:before="0"/>
        <w:ind w:left="4681" w:right="0" w:firstLine="0"/>
        <w:jc w:val="left"/>
        <w:rPr>
          <w:sz w:val="20"/>
        </w:rPr>
      </w:pPr>
      <w:r>
        <w:rPr>
          <w:sz w:val="20"/>
        </w:rPr>
        <w:t>T47.4,</w:t>
      </w:r>
      <w:r>
        <w:rPr>
          <w:spacing w:val="-7"/>
          <w:sz w:val="20"/>
        </w:rPr>
        <w:t> </w:t>
      </w:r>
      <w:r>
        <w:rPr>
          <w:sz w:val="20"/>
        </w:rPr>
        <w:t>T47.5,</w:t>
      </w:r>
      <w:r>
        <w:rPr>
          <w:spacing w:val="-5"/>
          <w:sz w:val="20"/>
        </w:rPr>
        <w:t> </w:t>
      </w:r>
      <w:r>
        <w:rPr>
          <w:sz w:val="20"/>
        </w:rPr>
        <w:t>T47.6,</w:t>
      </w:r>
      <w:r>
        <w:rPr>
          <w:spacing w:val="-5"/>
          <w:sz w:val="20"/>
        </w:rPr>
        <w:t> </w:t>
      </w:r>
      <w:r>
        <w:rPr>
          <w:sz w:val="20"/>
        </w:rPr>
        <w:t>T47.7,</w:t>
      </w:r>
      <w:r>
        <w:rPr>
          <w:spacing w:val="-5"/>
          <w:sz w:val="20"/>
        </w:rPr>
        <w:t> </w:t>
      </w:r>
      <w:r>
        <w:rPr>
          <w:sz w:val="20"/>
        </w:rPr>
        <w:t>T47.8,</w:t>
      </w:r>
      <w:r>
        <w:rPr>
          <w:spacing w:val="-5"/>
          <w:sz w:val="20"/>
        </w:rPr>
        <w:t> </w:t>
      </w:r>
      <w:r>
        <w:rPr>
          <w:sz w:val="20"/>
        </w:rPr>
        <w:t>T47.9,</w:t>
      </w:r>
      <w:r>
        <w:rPr>
          <w:spacing w:val="-5"/>
          <w:sz w:val="20"/>
        </w:rPr>
        <w:t> </w:t>
      </w:r>
      <w:r>
        <w:rPr>
          <w:spacing w:val="-4"/>
          <w:sz w:val="20"/>
        </w:rPr>
        <w:t>T48,</w:t>
      </w:r>
    </w:p>
    <w:p>
      <w:pPr>
        <w:spacing w:before="1"/>
        <w:ind w:left="4607" w:right="0" w:firstLine="0"/>
        <w:jc w:val="left"/>
        <w:rPr>
          <w:sz w:val="20"/>
        </w:rPr>
      </w:pPr>
      <w:r>
        <w:rPr>
          <w:sz w:val="20"/>
        </w:rPr>
        <w:t>T48.0,</w:t>
      </w:r>
      <w:r>
        <w:rPr>
          <w:spacing w:val="-7"/>
          <w:sz w:val="20"/>
        </w:rPr>
        <w:t> </w:t>
      </w:r>
      <w:r>
        <w:rPr>
          <w:sz w:val="20"/>
        </w:rPr>
        <w:t>T48.1,</w:t>
      </w:r>
      <w:r>
        <w:rPr>
          <w:spacing w:val="-5"/>
          <w:sz w:val="20"/>
        </w:rPr>
        <w:t> </w:t>
      </w:r>
      <w:r>
        <w:rPr>
          <w:sz w:val="20"/>
        </w:rPr>
        <w:t>T48.2,</w:t>
      </w:r>
      <w:r>
        <w:rPr>
          <w:spacing w:val="-5"/>
          <w:sz w:val="20"/>
        </w:rPr>
        <w:t> </w:t>
      </w:r>
      <w:r>
        <w:rPr>
          <w:sz w:val="20"/>
        </w:rPr>
        <w:t>T48.3,</w:t>
      </w:r>
      <w:r>
        <w:rPr>
          <w:spacing w:val="-5"/>
          <w:sz w:val="20"/>
        </w:rPr>
        <w:t> </w:t>
      </w:r>
      <w:r>
        <w:rPr>
          <w:sz w:val="20"/>
        </w:rPr>
        <w:t>T48.4,</w:t>
      </w:r>
      <w:r>
        <w:rPr>
          <w:spacing w:val="-5"/>
          <w:sz w:val="20"/>
        </w:rPr>
        <w:t> </w:t>
      </w:r>
      <w:r>
        <w:rPr>
          <w:sz w:val="20"/>
        </w:rPr>
        <w:t>T48.5,</w:t>
      </w:r>
      <w:r>
        <w:rPr>
          <w:spacing w:val="-5"/>
          <w:sz w:val="20"/>
        </w:rPr>
        <w:t> </w:t>
      </w:r>
      <w:r>
        <w:rPr>
          <w:spacing w:val="-2"/>
          <w:sz w:val="20"/>
        </w:rPr>
        <w:t>T48.6,</w:t>
      </w:r>
    </w:p>
    <w:p>
      <w:pPr>
        <w:spacing w:before="0"/>
        <w:ind w:left="4681" w:right="0" w:firstLine="0"/>
        <w:jc w:val="left"/>
        <w:rPr>
          <w:sz w:val="20"/>
        </w:rPr>
      </w:pPr>
      <w:r>
        <w:rPr>
          <w:sz w:val="20"/>
        </w:rPr>
        <w:t>T48.7,</w:t>
      </w:r>
      <w:r>
        <w:rPr>
          <w:spacing w:val="-7"/>
          <w:sz w:val="20"/>
        </w:rPr>
        <w:t> </w:t>
      </w:r>
      <w:r>
        <w:rPr>
          <w:sz w:val="20"/>
        </w:rPr>
        <w:t>T49,</w:t>
      </w:r>
      <w:r>
        <w:rPr>
          <w:spacing w:val="-7"/>
          <w:sz w:val="20"/>
        </w:rPr>
        <w:t> </w:t>
      </w:r>
      <w:r>
        <w:rPr>
          <w:sz w:val="20"/>
        </w:rPr>
        <w:t>T49.0,</w:t>
      </w:r>
      <w:r>
        <w:rPr>
          <w:spacing w:val="-4"/>
          <w:sz w:val="20"/>
        </w:rPr>
        <w:t> </w:t>
      </w:r>
      <w:r>
        <w:rPr>
          <w:sz w:val="20"/>
        </w:rPr>
        <w:t>T49.1,</w:t>
      </w:r>
      <w:r>
        <w:rPr>
          <w:spacing w:val="-5"/>
          <w:sz w:val="20"/>
        </w:rPr>
        <w:t> </w:t>
      </w:r>
      <w:r>
        <w:rPr>
          <w:sz w:val="20"/>
        </w:rPr>
        <w:t>T49.2,</w:t>
      </w:r>
      <w:r>
        <w:rPr>
          <w:spacing w:val="-5"/>
          <w:sz w:val="20"/>
        </w:rPr>
        <w:t> </w:t>
      </w:r>
      <w:r>
        <w:rPr>
          <w:sz w:val="20"/>
        </w:rPr>
        <w:t>T49.3,</w:t>
      </w:r>
      <w:r>
        <w:rPr>
          <w:spacing w:val="-4"/>
          <w:sz w:val="20"/>
        </w:rPr>
        <w:t> </w:t>
      </w:r>
      <w:r>
        <w:rPr>
          <w:spacing w:val="-2"/>
          <w:sz w:val="20"/>
        </w:rPr>
        <w:t>T49.4,</w:t>
      </w:r>
    </w:p>
    <w:p>
      <w:pPr>
        <w:spacing w:before="1"/>
        <w:ind w:left="4681" w:right="0" w:firstLine="0"/>
        <w:jc w:val="left"/>
        <w:rPr>
          <w:sz w:val="20"/>
        </w:rPr>
      </w:pPr>
      <w:r>
        <w:rPr>
          <w:sz w:val="20"/>
        </w:rPr>
        <w:t>T49.5,</w:t>
      </w:r>
      <w:r>
        <w:rPr>
          <w:spacing w:val="-7"/>
          <w:sz w:val="20"/>
        </w:rPr>
        <w:t> </w:t>
      </w:r>
      <w:r>
        <w:rPr>
          <w:sz w:val="20"/>
        </w:rPr>
        <w:t>T49.6,</w:t>
      </w:r>
      <w:r>
        <w:rPr>
          <w:spacing w:val="-4"/>
          <w:sz w:val="20"/>
        </w:rPr>
        <w:t> </w:t>
      </w:r>
      <w:r>
        <w:rPr>
          <w:sz w:val="20"/>
        </w:rPr>
        <w:t>T49.7,</w:t>
      </w:r>
      <w:r>
        <w:rPr>
          <w:spacing w:val="-5"/>
          <w:sz w:val="20"/>
        </w:rPr>
        <w:t> </w:t>
      </w:r>
      <w:r>
        <w:rPr>
          <w:sz w:val="20"/>
        </w:rPr>
        <w:t>T49.8,</w:t>
      </w:r>
      <w:r>
        <w:rPr>
          <w:spacing w:val="-4"/>
          <w:sz w:val="20"/>
        </w:rPr>
        <w:t> </w:t>
      </w:r>
      <w:r>
        <w:rPr>
          <w:sz w:val="20"/>
        </w:rPr>
        <w:t>T49.9,</w:t>
      </w:r>
      <w:r>
        <w:rPr>
          <w:spacing w:val="-5"/>
          <w:sz w:val="20"/>
        </w:rPr>
        <w:t> </w:t>
      </w:r>
      <w:r>
        <w:rPr>
          <w:sz w:val="20"/>
        </w:rPr>
        <w:t>T50,</w:t>
      </w:r>
      <w:r>
        <w:rPr>
          <w:spacing w:val="-6"/>
          <w:sz w:val="20"/>
        </w:rPr>
        <w:t> </w:t>
      </w:r>
      <w:r>
        <w:rPr>
          <w:spacing w:val="-2"/>
          <w:sz w:val="20"/>
        </w:rPr>
        <w:t>T50.0,</w:t>
      </w:r>
    </w:p>
    <w:p>
      <w:pPr>
        <w:spacing w:before="0"/>
        <w:ind w:left="4607" w:right="0" w:firstLine="0"/>
        <w:jc w:val="left"/>
        <w:rPr>
          <w:sz w:val="20"/>
        </w:rPr>
      </w:pPr>
      <w:r>
        <w:rPr>
          <w:sz w:val="20"/>
        </w:rPr>
        <w:t>T50.1,</w:t>
      </w:r>
      <w:r>
        <w:rPr>
          <w:spacing w:val="-7"/>
          <w:sz w:val="20"/>
        </w:rPr>
        <w:t> </w:t>
      </w:r>
      <w:r>
        <w:rPr>
          <w:sz w:val="20"/>
        </w:rPr>
        <w:t>T50.2,</w:t>
      </w:r>
      <w:r>
        <w:rPr>
          <w:spacing w:val="-5"/>
          <w:sz w:val="20"/>
        </w:rPr>
        <w:t> </w:t>
      </w:r>
      <w:r>
        <w:rPr>
          <w:sz w:val="20"/>
        </w:rPr>
        <w:t>T50.3,</w:t>
      </w:r>
      <w:r>
        <w:rPr>
          <w:spacing w:val="-5"/>
          <w:sz w:val="20"/>
        </w:rPr>
        <w:t> </w:t>
      </w:r>
      <w:r>
        <w:rPr>
          <w:sz w:val="20"/>
        </w:rPr>
        <w:t>T50.4,</w:t>
      </w:r>
      <w:r>
        <w:rPr>
          <w:spacing w:val="-5"/>
          <w:sz w:val="20"/>
        </w:rPr>
        <w:t> </w:t>
      </w:r>
      <w:r>
        <w:rPr>
          <w:sz w:val="20"/>
        </w:rPr>
        <w:t>T50.5,</w:t>
      </w:r>
      <w:r>
        <w:rPr>
          <w:spacing w:val="-5"/>
          <w:sz w:val="20"/>
        </w:rPr>
        <w:t> </w:t>
      </w:r>
      <w:r>
        <w:rPr>
          <w:sz w:val="20"/>
        </w:rPr>
        <w:t>T50.6,</w:t>
      </w:r>
      <w:r>
        <w:rPr>
          <w:spacing w:val="-5"/>
          <w:sz w:val="20"/>
        </w:rPr>
        <w:t> </w:t>
      </w:r>
      <w:r>
        <w:rPr>
          <w:spacing w:val="-2"/>
          <w:sz w:val="20"/>
        </w:rPr>
        <w:t>T50.7,</w:t>
      </w:r>
    </w:p>
    <w:p>
      <w:pPr>
        <w:spacing w:line="229" w:lineRule="exact" w:before="1"/>
        <w:ind w:left="4681" w:right="0" w:firstLine="0"/>
        <w:jc w:val="left"/>
        <w:rPr>
          <w:sz w:val="20"/>
        </w:rPr>
      </w:pPr>
      <w:r>
        <w:rPr>
          <w:sz w:val="20"/>
        </w:rPr>
        <w:t>T50.8,</w:t>
      </w:r>
      <w:r>
        <w:rPr>
          <w:spacing w:val="-7"/>
          <w:sz w:val="20"/>
        </w:rPr>
        <w:t> </w:t>
      </w:r>
      <w:r>
        <w:rPr>
          <w:sz w:val="20"/>
        </w:rPr>
        <w:t>T50.9,</w:t>
      </w:r>
      <w:r>
        <w:rPr>
          <w:spacing w:val="-5"/>
          <w:sz w:val="20"/>
        </w:rPr>
        <w:t> </w:t>
      </w:r>
      <w:r>
        <w:rPr>
          <w:sz w:val="20"/>
        </w:rPr>
        <w:t>T51,</w:t>
      </w:r>
      <w:r>
        <w:rPr>
          <w:spacing w:val="-5"/>
          <w:sz w:val="20"/>
        </w:rPr>
        <w:t> </w:t>
      </w:r>
      <w:r>
        <w:rPr>
          <w:sz w:val="20"/>
        </w:rPr>
        <w:t>T51.0,</w:t>
      </w:r>
      <w:r>
        <w:rPr>
          <w:spacing w:val="-5"/>
          <w:sz w:val="20"/>
        </w:rPr>
        <w:t> </w:t>
      </w:r>
      <w:r>
        <w:rPr>
          <w:sz w:val="20"/>
        </w:rPr>
        <w:t>T51.1,</w:t>
      </w:r>
      <w:r>
        <w:rPr>
          <w:spacing w:val="-5"/>
          <w:sz w:val="20"/>
        </w:rPr>
        <w:t> </w:t>
      </w:r>
      <w:r>
        <w:rPr>
          <w:sz w:val="20"/>
        </w:rPr>
        <w:t>T51.2,</w:t>
      </w:r>
      <w:r>
        <w:rPr>
          <w:spacing w:val="-5"/>
          <w:sz w:val="20"/>
        </w:rPr>
        <w:t> </w:t>
      </w:r>
      <w:r>
        <w:rPr>
          <w:spacing w:val="-2"/>
          <w:sz w:val="20"/>
        </w:rPr>
        <w:t>T51.3,</w:t>
      </w:r>
    </w:p>
    <w:p>
      <w:pPr>
        <w:spacing w:line="229" w:lineRule="exact" w:before="0"/>
        <w:ind w:left="4681" w:right="0" w:firstLine="0"/>
        <w:jc w:val="left"/>
        <w:rPr>
          <w:sz w:val="20"/>
        </w:rPr>
      </w:pPr>
      <w:r>
        <w:rPr>
          <w:sz w:val="20"/>
        </w:rPr>
        <w:t>T51.8,</w:t>
      </w:r>
      <w:r>
        <w:rPr>
          <w:spacing w:val="-7"/>
          <w:sz w:val="20"/>
        </w:rPr>
        <w:t> </w:t>
      </w:r>
      <w:r>
        <w:rPr>
          <w:sz w:val="20"/>
        </w:rPr>
        <w:t>T51.9,</w:t>
      </w:r>
      <w:r>
        <w:rPr>
          <w:spacing w:val="-5"/>
          <w:sz w:val="20"/>
        </w:rPr>
        <w:t> </w:t>
      </w:r>
      <w:r>
        <w:rPr>
          <w:sz w:val="20"/>
        </w:rPr>
        <w:t>T52,</w:t>
      </w:r>
      <w:r>
        <w:rPr>
          <w:spacing w:val="-5"/>
          <w:sz w:val="20"/>
        </w:rPr>
        <w:t> </w:t>
      </w:r>
      <w:r>
        <w:rPr>
          <w:sz w:val="20"/>
        </w:rPr>
        <w:t>T52.0,</w:t>
      </w:r>
      <w:r>
        <w:rPr>
          <w:spacing w:val="-5"/>
          <w:sz w:val="20"/>
        </w:rPr>
        <w:t> </w:t>
      </w:r>
      <w:r>
        <w:rPr>
          <w:sz w:val="20"/>
        </w:rPr>
        <w:t>T52.1,</w:t>
      </w:r>
      <w:r>
        <w:rPr>
          <w:spacing w:val="-5"/>
          <w:sz w:val="20"/>
        </w:rPr>
        <w:t> </w:t>
      </w:r>
      <w:r>
        <w:rPr>
          <w:sz w:val="20"/>
        </w:rPr>
        <w:t>T52.2,</w:t>
      </w:r>
      <w:r>
        <w:rPr>
          <w:spacing w:val="-5"/>
          <w:sz w:val="20"/>
        </w:rPr>
        <w:t> </w:t>
      </w:r>
      <w:r>
        <w:rPr>
          <w:spacing w:val="-2"/>
          <w:sz w:val="20"/>
        </w:rPr>
        <w:t>T52.3,</w:t>
      </w:r>
    </w:p>
    <w:p>
      <w:pPr>
        <w:spacing w:before="0"/>
        <w:ind w:left="4681" w:right="0" w:firstLine="0"/>
        <w:jc w:val="left"/>
        <w:rPr>
          <w:sz w:val="20"/>
        </w:rPr>
      </w:pPr>
      <w:r>
        <w:rPr>
          <w:sz w:val="20"/>
        </w:rPr>
        <w:t>T52.4,</w:t>
      </w:r>
      <w:r>
        <w:rPr>
          <w:spacing w:val="-7"/>
          <w:sz w:val="20"/>
        </w:rPr>
        <w:t> </w:t>
      </w:r>
      <w:r>
        <w:rPr>
          <w:sz w:val="20"/>
        </w:rPr>
        <w:t>T52.8,</w:t>
      </w:r>
      <w:r>
        <w:rPr>
          <w:spacing w:val="-4"/>
          <w:sz w:val="20"/>
        </w:rPr>
        <w:t> </w:t>
      </w:r>
      <w:r>
        <w:rPr>
          <w:sz w:val="20"/>
        </w:rPr>
        <w:t>T52.9,</w:t>
      </w:r>
      <w:r>
        <w:rPr>
          <w:spacing w:val="-5"/>
          <w:sz w:val="20"/>
        </w:rPr>
        <w:t> </w:t>
      </w:r>
      <w:r>
        <w:rPr>
          <w:sz w:val="20"/>
        </w:rPr>
        <w:t>T53,</w:t>
      </w:r>
      <w:r>
        <w:rPr>
          <w:spacing w:val="-4"/>
          <w:sz w:val="20"/>
        </w:rPr>
        <w:t> </w:t>
      </w:r>
      <w:r>
        <w:rPr>
          <w:sz w:val="20"/>
        </w:rPr>
        <w:t>T53.0,</w:t>
      </w:r>
      <w:r>
        <w:rPr>
          <w:spacing w:val="-5"/>
          <w:sz w:val="20"/>
        </w:rPr>
        <w:t> </w:t>
      </w:r>
      <w:r>
        <w:rPr>
          <w:sz w:val="20"/>
        </w:rPr>
        <w:t>T53.1,</w:t>
      </w:r>
      <w:r>
        <w:rPr>
          <w:spacing w:val="-4"/>
          <w:sz w:val="20"/>
        </w:rPr>
        <w:t> </w:t>
      </w:r>
      <w:r>
        <w:rPr>
          <w:spacing w:val="-2"/>
          <w:sz w:val="20"/>
        </w:rPr>
        <w:t>T53.2,</w:t>
      </w:r>
    </w:p>
    <w:p>
      <w:pPr>
        <w:spacing w:before="0"/>
        <w:ind w:left="4681" w:right="0" w:firstLine="0"/>
        <w:jc w:val="left"/>
        <w:rPr>
          <w:sz w:val="20"/>
        </w:rPr>
      </w:pPr>
      <w:r>
        <w:rPr>
          <w:sz w:val="20"/>
        </w:rPr>
        <w:t>T53.3,</w:t>
      </w:r>
      <w:r>
        <w:rPr>
          <w:spacing w:val="-7"/>
          <w:sz w:val="20"/>
        </w:rPr>
        <w:t> </w:t>
      </w:r>
      <w:r>
        <w:rPr>
          <w:sz w:val="20"/>
        </w:rPr>
        <w:t>T53.4,</w:t>
      </w:r>
      <w:r>
        <w:rPr>
          <w:spacing w:val="-5"/>
          <w:sz w:val="20"/>
        </w:rPr>
        <w:t> </w:t>
      </w:r>
      <w:r>
        <w:rPr>
          <w:sz w:val="20"/>
        </w:rPr>
        <w:t>T53.5,</w:t>
      </w:r>
      <w:r>
        <w:rPr>
          <w:spacing w:val="-5"/>
          <w:sz w:val="20"/>
        </w:rPr>
        <w:t> </w:t>
      </w:r>
      <w:r>
        <w:rPr>
          <w:sz w:val="20"/>
        </w:rPr>
        <w:t>T53.6,</w:t>
      </w:r>
      <w:r>
        <w:rPr>
          <w:spacing w:val="-5"/>
          <w:sz w:val="20"/>
        </w:rPr>
        <w:t> </w:t>
      </w:r>
      <w:r>
        <w:rPr>
          <w:sz w:val="20"/>
        </w:rPr>
        <w:t>T53.7,</w:t>
      </w:r>
      <w:r>
        <w:rPr>
          <w:spacing w:val="-5"/>
          <w:sz w:val="20"/>
        </w:rPr>
        <w:t> </w:t>
      </w:r>
      <w:r>
        <w:rPr>
          <w:sz w:val="20"/>
        </w:rPr>
        <w:t>T53.9,</w:t>
      </w:r>
      <w:r>
        <w:rPr>
          <w:spacing w:val="-5"/>
          <w:sz w:val="20"/>
        </w:rPr>
        <w:t> </w:t>
      </w:r>
      <w:r>
        <w:rPr>
          <w:spacing w:val="-4"/>
          <w:sz w:val="20"/>
        </w:rPr>
        <w:t>T54,</w:t>
      </w:r>
    </w:p>
    <w:p>
      <w:pPr>
        <w:spacing w:before="1"/>
        <w:ind w:left="4756" w:right="0" w:firstLine="0"/>
        <w:jc w:val="left"/>
        <w:rPr>
          <w:sz w:val="20"/>
        </w:rPr>
      </w:pPr>
      <w:r>
        <w:rPr>
          <w:sz w:val="20"/>
        </w:rPr>
        <w:t>T54.0,</w:t>
      </w:r>
      <w:r>
        <w:rPr>
          <w:spacing w:val="-7"/>
          <w:sz w:val="20"/>
        </w:rPr>
        <w:t> </w:t>
      </w:r>
      <w:r>
        <w:rPr>
          <w:sz w:val="20"/>
        </w:rPr>
        <w:t>T54.1,</w:t>
      </w:r>
      <w:r>
        <w:rPr>
          <w:spacing w:val="-4"/>
          <w:sz w:val="20"/>
        </w:rPr>
        <w:t> </w:t>
      </w:r>
      <w:r>
        <w:rPr>
          <w:sz w:val="20"/>
        </w:rPr>
        <w:t>T54.2,</w:t>
      </w:r>
      <w:r>
        <w:rPr>
          <w:spacing w:val="-5"/>
          <w:sz w:val="20"/>
        </w:rPr>
        <w:t> </w:t>
      </w:r>
      <w:r>
        <w:rPr>
          <w:sz w:val="20"/>
        </w:rPr>
        <w:t>T54.3,</w:t>
      </w:r>
      <w:r>
        <w:rPr>
          <w:spacing w:val="-4"/>
          <w:sz w:val="20"/>
        </w:rPr>
        <w:t> </w:t>
      </w:r>
      <w:r>
        <w:rPr>
          <w:sz w:val="20"/>
        </w:rPr>
        <w:t>T54.9,</w:t>
      </w:r>
      <w:r>
        <w:rPr>
          <w:spacing w:val="-5"/>
          <w:sz w:val="20"/>
        </w:rPr>
        <w:t> </w:t>
      </w:r>
      <w:r>
        <w:rPr>
          <w:sz w:val="20"/>
        </w:rPr>
        <w:t>T55,</w:t>
      </w:r>
      <w:r>
        <w:rPr>
          <w:spacing w:val="-6"/>
          <w:sz w:val="20"/>
        </w:rPr>
        <w:t> </w:t>
      </w:r>
      <w:r>
        <w:rPr>
          <w:spacing w:val="-4"/>
          <w:sz w:val="20"/>
        </w:rPr>
        <w:t>T56,</w:t>
      </w:r>
    </w:p>
    <w:p>
      <w:pPr>
        <w:spacing w:before="1"/>
        <w:ind w:left="4607" w:right="0" w:firstLine="0"/>
        <w:jc w:val="left"/>
        <w:rPr>
          <w:sz w:val="20"/>
        </w:rPr>
      </w:pPr>
      <w:r>
        <w:rPr>
          <w:sz w:val="20"/>
        </w:rPr>
        <w:t>T56.0,</w:t>
      </w:r>
      <w:r>
        <w:rPr>
          <w:spacing w:val="-7"/>
          <w:sz w:val="20"/>
        </w:rPr>
        <w:t> </w:t>
      </w:r>
      <w:r>
        <w:rPr>
          <w:sz w:val="20"/>
        </w:rPr>
        <w:t>T56.1,</w:t>
      </w:r>
      <w:r>
        <w:rPr>
          <w:spacing w:val="-5"/>
          <w:sz w:val="20"/>
        </w:rPr>
        <w:t> </w:t>
      </w:r>
      <w:r>
        <w:rPr>
          <w:sz w:val="20"/>
        </w:rPr>
        <w:t>T56.2,</w:t>
      </w:r>
      <w:r>
        <w:rPr>
          <w:spacing w:val="-5"/>
          <w:sz w:val="20"/>
        </w:rPr>
        <w:t> </w:t>
      </w:r>
      <w:r>
        <w:rPr>
          <w:sz w:val="20"/>
        </w:rPr>
        <w:t>T56.3,</w:t>
      </w:r>
      <w:r>
        <w:rPr>
          <w:spacing w:val="-5"/>
          <w:sz w:val="20"/>
        </w:rPr>
        <w:t> </w:t>
      </w:r>
      <w:r>
        <w:rPr>
          <w:sz w:val="20"/>
        </w:rPr>
        <w:t>T56.4,</w:t>
      </w:r>
      <w:r>
        <w:rPr>
          <w:spacing w:val="-5"/>
          <w:sz w:val="20"/>
        </w:rPr>
        <w:t> </w:t>
      </w:r>
      <w:r>
        <w:rPr>
          <w:sz w:val="20"/>
        </w:rPr>
        <w:t>T56.5,</w:t>
      </w:r>
      <w:r>
        <w:rPr>
          <w:spacing w:val="-5"/>
          <w:sz w:val="20"/>
        </w:rPr>
        <w:t> </w:t>
      </w:r>
      <w:r>
        <w:rPr>
          <w:spacing w:val="-2"/>
          <w:sz w:val="20"/>
        </w:rPr>
        <w:t>T56.6,</w:t>
      </w:r>
    </w:p>
    <w:p>
      <w:pPr>
        <w:spacing w:line="229" w:lineRule="exact" w:before="0"/>
        <w:ind w:left="4681" w:right="0" w:firstLine="0"/>
        <w:jc w:val="left"/>
        <w:rPr>
          <w:sz w:val="20"/>
        </w:rPr>
      </w:pPr>
      <w:r>
        <w:rPr>
          <w:sz w:val="20"/>
        </w:rPr>
        <w:t>T56.7,</w:t>
      </w:r>
      <w:r>
        <w:rPr>
          <w:spacing w:val="-7"/>
          <w:sz w:val="20"/>
        </w:rPr>
        <w:t> </w:t>
      </w:r>
      <w:r>
        <w:rPr>
          <w:sz w:val="20"/>
        </w:rPr>
        <w:t>T56.8,</w:t>
      </w:r>
      <w:r>
        <w:rPr>
          <w:spacing w:val="-5"/>
          <w:sz w:val="20"/>
        </w:rPr>
        <w:t> </w:t>
      </w:r>
      <w:r>
        <w:rPr>
          <w:sz w:val="20"/>
        </w:rPr>
        <w:t>T56.9,</w:t>
      </w:r>
      <w:r>
        <w:rPr>
          <w:spacing w:val="-5"/>
          <w:sz w:val="20"/>
        </w:rPr>
        <w:t> </w:t>
      </w:r>
      <w:r>
        <w:rPr>
          <w:sz w:val="20"/>
        </w:rPr>
        <w:t>T57,</w:t>
      </w:r>
      <w:r>
        <w:rPr>
          <w:spacing w:val="-5"/>
          <w:sz w:val="20"/>
        </w:rPr>
        <w:t> </w:t>
      </w:r>
      <w:r>
        <w:rPr>
          <w:sz w:val="20"/>
        </w:rPr>
        <w:t>T57.0,</w:t>
      </w:r>
      <w:r>
        <w:rPr>
          <w:spacing w:val="-5"/>
          <w:sz w:val="20"/>
        </w:rPr>
        <w:t> </w:t>
      </w:r>
      <w:r>
        <w:rPr>
          <w:sz w:val="20"/>
        </w:rPr>
        <w:t>T57.1,</w:t>
      </w:r>
      <w:r>
        <w:rPr>
          <w:spacing w:val="-5"/>
          <w:sz w:val="20"/>
        </w:rPr>
        <w:t> </w:t>
      </w:r>
      <w:r>
        <w:rPr>
          <w:spacing w:val="-2"/>
          <w:sz w:val="20"/>
        </w:rPr>
        <w:t>T57.2,</w:t>
      </w:r>
    </w:p>
    <w:p>
      <w:pPr>
        <w:spacing w:line="229" w:lineRule="exact" w:before="0"/>
        <w:ind w:left="4756" w:right="0" w:firstLine="0"/>
        <w:jc w:val="left"/>
        <w:rPr>
          <w:sz w:val="20"/>
        </w:rPr>
      </w:pPr>
      <w:r>
        <w:rPr>
          <w:sz w:val="20"/>
        </w:rPr>
        <w:t>T57.3,</w:t>
      </w:r>
      <w:r>
        <w:rPr>
          <w:spacing w:val="-7"/>
          <w:sz w:val="20"/>
        </w:rPr>
        <w:t> </w:t>
      </w:r>
      <w:r>
        <w:rPr>
          <w:sz w:val="20"/>
        </w:rPr>
        <w:t>T57.8,</w:t>
      </w:r>
      <w:r>
        <w:rPr>
          <w:spacing w:val="-4"/>
          <w:sz w:val="20"/>
        </w:rPr>
        <w:t> </w:t>
      </w:r>
      <w:r>
        <w:rPr>
          <w:sz w:val="20"/>
        </w:rPr>
        <w:t>T57.9,</w:t>
      </w:r>
      <w:r>
        <w:rPr>
          <w:spacing w:val="-5"/>
          <w:sz w:val="20"/>
        </w:rPr>
        <w:t> </w:t>
      </w:r>
      <w:r>
        <w:rPr>
          <w:sz w:val="20"/>
        </w:rPr>
        <w:t>T58,</w:t>
      </w:r>
      <w:r>
        <w:rPr>
          <w:spacing w:val="-4"/>
          <w:sz w:val="20"/>
        </w:rPr>
        <w:t> </w:t>
      </w:r>
      <w:r>
        <w:rPr>
          <w:sz w:val="20"/>
        </w:rPr>
        <w:t>T59,</w:t>
      </w:r>
      <w:r>
        <w:rPr>
          <w:spacing w:val="-4"/>
          <w:sz w:val="20"/>
        </w:rPr>
        <w:t> </w:t>
      </w:r>
      <w:r>
        <w:rPr>
          <w:sz w:val="20"/>
        </w:rPr>
        <w:t>T59.0,</w:t>
      </w:r>
      <w:r>
        <w:rPr>
          <w:spacing w:val="-5"/>
          <w:sz w:val="20"/>
        </w:rPr>
        <w:t> </w:t>
      </w:r>
      <w:r>
        <w:rPr>
          <w:spacing w:val="-2"/>
          <w:sz w:val="20"/>
        </w:rPr>
        <w:t>T59.1,</w:t>
      </w:r>
    </w:p>
    <w:p>
      <w:pPr>
        <w:spacing w:before="0"/>
        <w:ind w:left="4607" w:right="0" w:firstLine="0"/>
        <w:jc w:val="left"/>
        <w:rPr>
          <w:sz w:val="20"/>
        </w:rPr>
      </w:pPr>
      <w:r>
        <w:rPr>
          <w:sz w:val="20"/>
        </w:rPr>
        <w:t>T59.2,</w:t>
      </w:r>
      <w:r>
        <w:rPr>
          <w:spacing w:val="-7"/>
          <w:sz w:val="20"/>
        </w:rPr>
        <w:t> </w:t>
      </w:r>
      <w:r>
        <w:rPr>
          <w:sz w:val="20"/>
        </w:rPr>
        <w:t>T59.3,</w:t>
      </w:r>
      <w:r>
        <w:rPr>
          <w:spacing w:val="-5"/>
          <w:sz w:val="20"/>
        </w:rPr>
        <w:t> </w:t>
      </w:r>
      <w:r>
        <w:rPr>
          <w:sz w:val="20"/>
        </w:rPr>
        <w:t>T59.4,</w:t>
      </w:r>
      <w:r>
        <w:rPr>
          <w:spacing w:val="-5"/>
          <w:sz w:val="20"/>
        </w:rPr>
        <w:t> </w:t>
      </w:r>
      <w:r>
        <w:rPr>
          <w:sz w:val="20"/>
        </w:rPr>
        <w:t>T59.5,</w:t>
      </w:r>
      <w:r>
        <w:rPr>
          <w:spacing w:val="-5"/>
          <w:sz w:val="20"/>
        </w:rPr>
        <w:t> </w:t>
      </w:r>
      <w:r>
        <w:rPr>
          <w:sz w:val="20"/>
        </w:rPr>
        <w:t>T59.6,</w:t>
      </w:r>
      <w:r>
        <w:rPr>
          <w:spacing w:val="-5"/>
          <w:sz w:val="20"/>
        </w:rPr>
        <w:t> </w:t>
      </w:r>
      <w:r>
        <w:rPr>
          <w:sz w:val="20"/>
        </w:rPr>
        <w:t>T59.7,</w:t>
      </w:r>
      <w:r>
        <w:rPr>
          <w:spacing w:val="-5"/>
          <w:sz w:val="20"/>
        </w:rPr>
        <w:t> </w:t>
      </w:r>
      <w:r>
        <w:rPr>
          <w:spacing w:val="-2"/>
          <w:sz w:val="20"/>
        </w:rPr>
        <w:t>T59.8,</w:t>
      </w:r>
    </w:p>
    <w:p>
      <w:pPr>
        <w:spacing w:before="1"/>
        <w:ind w:left="4681" w:right="0" w:firstLine="0"/>
        <w:jc w:val="left"/>
        <w:rPr>
          <w:sz w:val="20"/>
        </w:rPr>
      </w:pPr>
      <w:r>
        <w:rPr>
          <w:sz w:val="20"/>
        </w:rPr>
        <w:t>T59.9,</w:t>
      </w:r>
      <w:r>
        <w:rPr>
          <w:spacing w:val="-7"/>
          <w:sz w:val="20"/>
        </w:rPr>
        <w:t> </w:t>
      </w:r>
      <w:r>
        <w:rPr>
          <w:sz w:val="20"/>
        </w:rPr>
        <w:t>T60,</w:t>
      </w:r>
      <w:r>
        <w:rPr>
          <w:spacing w:val="-7"/>
          <w:sz w:val="20"/>
        </w:rPr>
        <w:t> </w:t>
      </w:r>
      <w:r>
        <w:rPr>
          <w:sz w:val="20"/>
        </w:rPr>
        <w:t>T60.0,</w:t>
      </w:r>
      <w:r>
        <w:rPr>
          <w:spacing w:val="-4"/>
          <w:sz w:val="20"/>
        </w:rPr>
        <w:t> </w:t>
      </w:r>
      <w:r>
        <w:rPr>
          <w:sz w:val="20"/>
        </w:rPr>
        <w:t>T60.1,</w:t>
      </w:r>
      <w:r>
        <w:rPr>
          <w:spacing w:val="-5"/>
          <w:sz w:val="20"/>
        </w:rPr>
        <w:t> </w:t>
      </w:r>
      <w:r>
        <w:rPr>
          <w:sz w:val="20"/>
        </w:rPr>
        <w:t>T60.2,</w:t>
      </w:r>
      <w:r>
        <w:rPr>
          <w:spacing w:val="-5"/>
          <w:sz w:val="20"/>
        </w:rPr>
        <w:t> </w:t>
      </w:r>
      <w:r>
        <w:rPr>
          <w:sz w:val="20"/>
        </w:rPr>
        <w:t>T60.3,</w:t>
      </w:r>
      <w:r>
        <w:rPr>
          <w:spacing w:val="-4"/>
          <w:sz w:val="20"/>
        </w:rPr>
        <w:t> </w:t>
      </w:r>
      <w:r>
        <w:rPr>
          <w:spacing w:val="-2"/>
          <w:sz w:val="20"/>
        </w:rPr>
        <w:t>T60.4,</w:t>
      </w:r>
    </w:p>
    <w:p>
      <w:pPr>
        <w:spacing w:before="0"/>
        <w:ind w:left="4681" w:right="0" w:firstLine="0"/>
        <w:jc w:val="left"/>
        <w:rPr>
          <w:sz w:val="20"/>
        </w:rPr>
      </w:pPr>
      <w:r>
        <w:rPr>
          <w:sz w:val="20"/>
        </w:rPr>
        <w:t>T60.8,</w:t>
      </w:r>
      <w:r>
        <w:rPr>
          <w:spacing w:val="-7"/>
          <w:sz w:val="20"/>
        </w:rPr>
        <w:t> </w:t>
      </w:r>
      <w:r>
        <w:rPr>
          <w:sz w:val="20"/>
        </w:rPr>
        <w:t>T60.9,</w:t>
      </w:r>
      <w:r>
        <w:rPr>
          <w:spacing w:val="-5"/>
          <w:sz w:val="20"/>
        </w:rPr>
        <w:t> </w:t>
      </w:r>
      <w:r>
        <w:rPr>
          <w:sz w:val="20"/>
        </w:rPr>
        <w:t>T61,</w:t>
      </w:r>
      <w:r>
        <w:rPr>
          <w:spacing w:val="-5"/>
          <w:sz w:val="20"/>
        </w:rPr>
        <w:t> </w:t>
      </w:r>
      <w:r>
        <w:rPr>
          <w:sz w:val="20"/>
        </w:rPr>
        <w:t>T61.0,</w:t>
      </w:r>
      <w:r>
        <w:rPr>
          <w:spacing w:val="-5"/>
          <w:sz w:val="20"/>
        </w:rPr>
        <w:t> </w:t>
      </w:r>
      <w:r>
        <w:rPr>
          <w:sz w:val="20"/>
        </w:rPr>
        <w:t>T61.1,</w:t>
      </w:r>
      <w:r>
        <w:rPr>
          <w:spacing w:val="-5"/>
          <w:sz w:val="20"/>
        </w:rPr>
        <w:t> </w:t>
      </w:r>
      <w:r>
        <w:rPr>
          <w:sz w:val="20"/>
        </w:rPr>
        <w:t>T61.2,</w:t>
      </w:r>
      <w:r>
        <w:rPr>
          <w:spacing w:val="-5"/>
          <w:sz w:val="20"/>
        </w:rPr>
        <w:t> </w:t>
      </w:r>
      <w:r>
        <w:rPr>
          <w:spacing w:val="-2"/>
          <w:sz w:val="20"/>
        </w:rPr>
        <w:t>T61.8,</w:t>
      </w:r>
    </w:p>
    <w:p>
      <w:pPr>
        <w:spacing w:line="229" w:lineRule="exact" w:before="1"/>
        <w:ind w:left="4681" w:right="0" w:firstLine="0"/>
        <w:jc w:val="left"/>
        <w:rPr>
          <w:sz w:val="20"/>
        </w:rPr>
      </w:pPr>
      <w:r>
        <w:rPr>
          <w:sz w:val="20"/>
        </w:rPr>
        <w:t>T61.9,</w:t>
      </w:r>
      <w:r>
        <w:rPr>
          <w:spacing w:val="-7"/>
          <w:sz w:val="20"/>
        </w:rPr>
        <w:t> </w:t>
      </w:r>
      <w:r>
        <w:rPr>
          <w:sz w:val="20"/>
        </w:rPr>
        <w:t>T62,</w:t>
      </w:r>
      <w:r>
        <w:rPr>
          <w:spacing w:val="-7"/>
          <w:sz w:val="20"/>
        </w:rPr>
        <w:t> </w:t>
      </w:r>
      <w:r>
        <w:rPr>
          <w:sz w:val="20"/>
        </w:rPr>
        <w:t>T62.0,</w:t>
      </w:r>
      <w:r>
        <w:rPr>
          <w:spacing w:val="-4"/>
          <w:sz w:val="20"/>
        </w:rPr>
        <w:t> </w:t>
      </w:r>
      <w:r>
        <w:rPr>
          <w:sz w:val="20"/>
        </w:rPr>
        <w:t>T62.1,</w:t>
      </w:r>
      <w:r>
        <w:rPr>
          <w:spacing w:val="-5"/>
          <w:sz w:val="20"/>
        </w:rPr>
        <w:t> </w:t>
      </w:r>
      <w:r>
        <w:rPr>
          <w:sz w:val="20"/>
        </w:rPr>
        <w:t>T62.2,</w:t>
      </w:r>
      <w:r>
        <w:rPr>
          <w:spacing w:val="-5"/>
          <w:sz w:val="20"/>
        </w:rPr>
        <w:t> </w:t>
      </w:r>
      <w:r>
        <w:rPr>
          <w:sz w:val="20"/>
        </w:rPr>
        <w:t>T62.8,</w:t>
      </w:r>
      <w:r>
        <w:rPr>
          <w:spacing w:val="-4"/>
          <w:sz w:val="20"/>
        </w:rPr>
        <w:t> </w:t>
      </w:r>
      <w:r>
        <w:rPr>
          <w:spacing w:val="-2"/>
          <w:sz w:val="20"/>
        </w:rPr>
        <w:t>T62.9,</w:t>
      </w:r>
    </w:p>
    <w:p>
      <w:pPr>
        <w:spacing w:line="229" w:lineRule="exact" w:before="0"/>
        <w:ind w:left="4681" w:right="0" w:firstLine="0"/>
        <w:jc w:val="left"/>
        <w:rPr>
          <w:sz w:val="20"/>
        </w:rPr>
      </w:pPr>
      <w:r>
        <w:rPr>
          <w:sz w:val="20"/>
        </w:rPr>
        <w:t>T63,</w:t>
      </w:r>
      <w:r>
        <w:rPr>
          <w:spacing w:val="-6"/>
          <w:sz w:val="20"/>
        </w:rPr>
        <w:t> </w:t>
      </w:r>
      <w:r>
        <w:rPr>
          <w:sz w:val="20"/>
        </w:rPr>
        <w:t>T63.0,</w:t>
      </w:r>
      <w:r>
        <w:rPr>
          <w:spacing w:val="-7"/>
          <w:sz w:val="20"/>
        </w:rPr>
        <w:t> </w:t>
      </w:r>
      <w:r>
        <w:rPr>
          <w:sz w:val="20"/>
        </w:rPr>
        <w:t>T63.1,</w:t>
      </w:r>
      <w:r>
        <w:rPr>
          <w:spacing w:val="-5"/>
          <w:sz w:val="20"/>
        </w:rPr>
        <w:t> </w:t>
      </w:r>
      <w:r>
        <w:rPr>
          <w:sz w:val="20"/>
        </w:rPr>
        <w:t>T63.2,</w:t>
      </w:r>
      <w:r>
        <w:rPr>
          <w:spacing w:val="-5"/>
          <w:sz w:val="20"/>
        </w:rPr>
        <w:t> </w:t>
      </w:r>
      <w:r>
        <w:rPr>
          <w:sz w:val="20"/>
        </w:rPr>
        <w:t>T63.3,</w:t>
      </w:r>
      <w:r>
        <w:rPr>
          <w:spacing w:val="-5"/>
          <w:sz w:val="20"/>
        </w:rPr>
        <w:t> </w:t>
      </w:r>
      <w:r>
        <w:rPr>
          <w:sz w:val="20"/>
        </w:rPr>
        <w:t>T63.4,</w:t>
      </w:r>
      <w:r>
        <w:rPr>
          <w:spacing w:val="-5"/>
          <w:sz w:val="20"/>
        </w:rPr>
        <w:t> </w:t>
      </w:r>
      <w:r>
        <w:rPr>
          <w:spacing w:val="-2"/>
          <w:sz w:val="20"/>
        </w:rPr>
        <w:t>T63.5,</w:t>
      </w:r>
    </w:p>
    <w:p>
      <w:pPr>
        <w:spacing w:before="0"/>
        <w:ind w:left="1162" w:right="4154" w:firstLine="0"/>
        <w:jc w:val="center"/>
        <w:rPr>
          <w:sz w:val="20"/>
        </w:rPr>
      </w:pPr>
      <w:r>
        <w:rPr>
          <w:sz w:val="20"/>
        </w:rPr>
        <w:t>T63.6,</w:t>
      </w:r>
      <w:r>
        <w:rPr>
          <w:spacing w:val="-6"/>
          <w:sz w:val="20"/>
        </w:rPr>
        <w:t> </w:t>
      </w:r>
      <w:r>
        <w:rPr>
          <w:sz w:val="20"/>
        </w:rPr>
        <w:t>T63.8,</w:t>
      </w:r>
      <w:r>
        <w:rPr>
          <w:spacing w:val="-4"/>
          <w:sz w:val="20"/>
        </w:rPr>
        <w:t> </w:t>
      </w:r>
      <w:r>
        <w:rPr>
          <w:sz w:val="20"/>
        </w:rPr>
        <w:t>T63.9,</w:t>
      </w:r>
      <w:r>
        <w:rPr>
          <w:spacing w:val="-4"/>
          <w:sz w:val="20"/>
        </w:rPr>
        <w:t> </w:t>
      </w:r>
      <w:r>
        <w:rPr>
          <w:sz w:val="20"/>
        </w:rPr>
        <w:t>T64,</w:t>
      </w:r>
      <w:r>
        <w:rPr>
          <w:spacing w:val="-4"/>
          <w:sz w:val="20"/>
        </w:rPr>
        <w:t> </w:t>
      </w:r>
      <w:r>
        <w:rPr>
          <w:sz w:val="20"/>
        </w:rPr>
        <w:t>T65,</w:t>
      </w:r>
      <w:r>
        <w:rPr>
          <w:spacing w:val="-4"/>
          <w:sz w:val="20"/>
        </w:rPr>
        <w:t> </w:t>
      </w:r>
      <w:r>
        <w:rPr>
          <w:sz w:val="20"/>
        </w:rPr>
        <w:t>T65.0,</w:t>
      </w:r>
      <w:r>
        <w:rPr>
          <w:spacing w:val="-4"/>
          <w:sz w:val="20"/>
        </w:rPr>
        <w:t> </w:t>
      </w:r>
      <w:r>
        <w:rPr>
          <w:spacing w:val="-2"/>
          <w:sz w:val="20"/>
        </w:rPr>
        <w:t>T65.1,</w:t>
      </w:r>
    </w:p>
    <w:p>
      <w:pPr>
        <w:spacing w:before="1"/>
        <w:ind w:left="1163" w:right="4154" w:firstLine="0"/>
        <w:jc w:val="center"/>
        <w:rPr>
          <w:sz w:val="20"/>
        </w:rPr>
      </w:pPr>
      <w:r>
        <w:rPr>
          <w:sz w:val="20"/>
        </w:rPr>
        <w:t>T65.2,</w:t>
      </w:r>
      <w:r>
        <w:rPr>
          <w:spacing w:val="-7"/>
          <w:sz w:val="20"/>
        </w:rPr>
        <w:t> </w:t>
      </w:r>
      <w:r>
        <w:rPr>
          <w:sz w:val="20"/>
        </w:rPr>
        <w:t>T65.3,</w:t>
      </w:r>
      <w:r>
        <w:rPr>
          <w:spacing w:val="-5"/>
          <w:sz w:val="20"/>
        </w:rPr>
        <w:t> </w:t>
      </w:r>
      <w:r>
        <w:rPr>
          <w:sz w:val="20"/>
        </w:rPr>
        <w:t>T65.4,</w:t>
      </w:r>
      <w:r>
        <w:rPr>
          <w:spacing w:val="-5"/>
          <w:sz w:val="20"/>
        </w:rPr>
        <w:t> </w:t>
      </w:r>
      <w:r>
        <w:rPr>
          <w:sz w:val="20"/>
        </w:rPr>
        <w:t>T65.5,</w:t>
      </w:r>
      <w:r>
        <w:rPr>
          <w:spacing w:val="-5"/>
          <w:sz w:val="20"/>
        </w:rPr>
        <w:t> </w:t>
      </w:r>
      <w:r>
        <w:rPr>
          <w:sz w:val="20"/>
        </w:rPr>
        <w:t>T65.6,</w:t>
      </w:r>
      <w:r>
        <w:rPr>
          <w:spacing w:val="-5"/>
          <w:sz w:val="20"/>
        </w:rPr>
        <w:t> </w:t>
      </w:r>
      <w:r>
        <w:rPr>
          <w:sz w:val="20"/>
        </w:rPr>
        <w:t>T65.8,</w:t>
      </w:r>
      <w:r>
        <w:rPr>
          <w:spacing w:val="-5"/>
          <w:sz w:val="20"/>
        </w:rPr>
        <w:t> </w:t>
      </w:r>
      <w:r>
        <w:rPr>
          <w:spacing w:val="-2"/>
          <w:sz w:val="20"/>
        </w:rPr>
        <w:t>T65.9,</w:t>
      </w:r>
    </w:p>
    <w:p>
      <w:pPr>
        <w:spacing w:before="0"/>
        <w:ind w:left="1159" w:right="4154" w:firstLine="0"/>
        <w:jc w:val="center"/>
        <w:rPr>
          <w:sz w:val="20"/>
        </w:rPr>
      </w:pPr>
      <w:r>
        <w:rPr>
          <w:sz w:val="20"/>
        </w:rPr>
        <w:t>T66,</w:t>
      </w:r>
      <w:r>
        <w:rPr>
          <w:spacing w:val="-5"/>
          <w:sz w:val="20"/>
        </w:rPr>
        <w:t> </w:t>
      </w:r>
      <w:r>
        <w:rPr>
          <w:sz w:val="20"/>
        </w:rPr>
        <w:t>T67,</w:t>
      </w:r>
      <w:r>
        <w:rPr>
          <w:spacing w:val="-5"/>
          <w:sz w:val="20"/>
        </w:rPr>
        <w:t> </w:t>
      </w:r>
      <w:r>
        <w:rPr>
          <w:sz w:val="20"/>
        </w:rPr>
        <w:t>T67.0,</w:t>
      </w:r>
      <w:r>
        <w:rPr>
          <w:spacing w:val="-5"/>
          <w:sz w:val="20"/>
        </w:rPr>
        <w:t> </w:t>
      </w:r>
      <w:r>
        <w:rPr>
          <w:sz w:val="20"/>
        </w:rPr>
        <w:t>T67.1,</w:t>
      </w:r>
      <w:r>
        <w:rPr>
          <w:spacing w:val="-5"/>
          <w:sz w:val="20"/>
        </w:rPr>
        <w:t> </w:t>
      </w:r>
      <w:r>
        <w:rPr>
          <w:sz w:val="20"/>
        </w:rPr>
        <w:t>T67.2,</w:t>
      </w:r>
      <w:r>
        <w:rPr>
          <w:spacing w:val="-5"/>
          <w:sz w:val="20"/>
        </w:rPr>
        <w:t> </w:t>
      </w:r>
      <w:r>
        <w:rPr>
          <w:sz w:val="20"/>
        </w:rPr>
        <w:t>T67.3,</w:t>
      </w:r>
      <w:r>
        <w:rPr>
          <w:spacing w:val="-5"/>
          <w:sz w:val="20"/>
        </w:rPr>
        <w:t> </w:t>
      </w:r>
      <w:r>
        <w:rPr>
          <w:spacing w:val="-2"/>
          <w:sz w:val="20"/>
        </w:rPr>
        <w:t>T67.4,</w:t>
      </w:r>
    </w:p>
    <w:p>
      <w:pPr>
        <w:spacing w:before="1"/>
        <w:ind w:left="1161" w:right="4154" w:firstLine="0"/>
        <w:jc w:val="center"/>
        <w:rPr>
          <w:sz w:val="20"/>
        </w:rPr>
      </w:pPr>
      <w:r>
        <w:rPr>
          <w:sz w:val="20"/>
        </w:rPr>
        <w:t>T67.5,</w:t>
      </w:r>
      <w:r>
        <w:rPr>
          <w:spacing w:val="-7"/>
          <w:sz w:val="20"/>
        </w:rPr>
        <w:t> </w:t>
      </w:r>
      <w:r>
        <w:rPr>
          <w:sz w:val="20"/>
        </w:rPr>
        <w:t>T67.6,</w:t>
      </w:r>
      <w:r>
        <w:rPr>
          <w:spacing w:val="-4"/>
          <w:sz w:val="20"/>
        </w:rPr>
        <w:t> </w:t>
      </w:r>
      <w:r>
        <w:rPr>
          <w:sz w:val="20"/>
        </w:rPr>
        <w:t>T67.7,</w:t>
      </w:r>
      <w:r>
        <w:rPr>
          <w:spacing w:val="-5"/>
          <w:sz w:val="20"/>
        </w:rPr>
        <w:t> </w:t>
      </w:r>
      <w:r>
        <w:rPr>
          <w:sz w:val="20"/>
        </w:rPr>
        <w:t>T67.8,</w:t>
      </w:r>
      <w:r>
        <w:rPr>
          <w:spacing w:val="-4"/>
          <w:sz w:val="20"/>
        </w:rPr>
        <w:t> </w:t>
      </w:r>
      <w:r>
        <w:rPr>
          <w:sz w:val="20"/>
        </w:rPr>
        <w:t>T67.9,</w:t>
      </w:r>
      <w:r>
        <w:rPr>
          <w:spacing w:val="-5"/>
          <w:sz w:val="20"/>
        </w:rPr>
        <w:t> </w:t>
      </w:r>
      <w:r>
        <w:rPr>
          <w:sz w:val="20"/>
        </w:rPr>
        <w:t>T68,</w:t>
      </w:r>
      <w:r>
        <w:rPr>
          <w:spacing w:val="-6"/>
          <w:sz w:val="20"/>
        </w:rPr>
        <w:t> </w:t>
      </w:r>
      <w:r>
        <w:rPr>
          <w:spacing w:val="-4"/>
          <w:sz w:val="20"/>
        </w:rPr>
        <w:t>T69,</w:t>
      </w:r>
    </w:p>
    <w:p>
      <w:pPr>
        <w:spacing w:line="229" w:lineRule="exact" w:before="0"/>
        <w:ind w:left="1162" w:right="4154" w:firstLine="0"/>
        <w:jc w:val="center"/>
        <w:rPr>
          <w:sz w:val="20"/>
        </w:rPr>
      </w:pPr>
      <w:r>
        <w:rPr>
          <w:sz w:val="20"/>
        </w:rPr>
        <w:t>T69.0,</w:t>
      </w:r>
      <w:r>
        <w:rPr>
          <w:spacing w:val="-7"/>
          <w:sz w:val="20"/>
        </w:rPr>
        <w:t> </w:t>
      </w:r>
      <w:r>
        <w:rPr>
          <w:sz w:val="20"/>
        </w:rPr>
        <w:t>T69.1,</w:t>
      </w:r>
      <w:r>
        <w:rPr>
          <w:spacing w:val="-4"/>
          <w:sz w:val="20"/>
        </w:rPr>
        <w:t> </w:t>
      </w:r>
      <w:r>
        <w:rPr>
          <w:sz w:val="20"/>
        </w:rPr>
        <w:t>T69.8,</w:t>
      </w:r>
      <w:r>
        <w:rPr>
          <w:spacing w:val="-5"/>
          <w:sz w:val="20"/>
        </w:rPr>
        <w:t> </w:t>
      </w:r>
      <w:r>
        <w:rPr>
          <w:sz w:val="20"/>
        </w:rPr>
        <w:t>T69.9,</w:t>
      </w:r>
      <w:r>
        <w:rPr>
          <w:spacing w:val="-4"/>
          <w:sz w:val="20"/>
        </w:rPr>
        <w:t> </w:t>
      </w:r>
      <w:r>
        <w:rPr>
          <w:sz w:val="20"/>
        </w:rPr>
        <w:t>T70,</w:t>
      </w:r>
      <w:r>
        <w:rPr>
          <w:spacing w:val="-5"/>
          <w:sz w:val="20"/>
        </w:rPr>
        <w:t> </w:t>
      </w:r>
      <w:r>
        <w:rPr>
          <w:sz w:val="20"/>
        </w:rPr>
        <w:t>T70.0,</w:t>
      </w:r>
      <w:r>
        <w:rPr>
          <w:spacing w:val="-6"/>
          <w:sz w:val="20"/>
        </w:rPr>
        <w:t> </w:t>
      </w:r>
      <w:r>
        <w:rPr>
          <w:spacing w:val="-2"/>
          <w:sz w:val="20"/>
        </w:rPr>
        <w:t>T70.1,</w:t>
      </w:r>
    </w:p>
    <w:p>
      <w:pPr>
        <w:spacing w:line="229" w:lineRule="exact" w:before="0"/>
        <w:ind w:left="1161" w:right="4154" w:firstLine="0"/>
        <w:jc w:val="center"/>
        <w:rPr>
          <w:sz w:val="20"/>
        </w:rPr>
      </w:pPr>
      <w:r>
        <w:rPr>
          <w:sz w:val="20"/>
        </w:rPr>
        <w:t>T70.2,</w:t>
      </w:r>
      <w:r>
        <w:rPr>
          <w:spacing w:val="-7"/>
          <w:sz w:val="20"/>
        </w:rPr>
        <w:t> </w:t>
      </w:r>
      <w:r>
        <w:rPr>
          <w:sz w:val="20"/>
        </w:rPr>
        <w:t>T70.3,</w:t>
      </w:r>
      <w:r>
        <w:rPr>
          <w:spacing w:val="-4"/>
          <w:sz w:val="20"/>
        </w:rPr>
        <w:t> </w:t>
      </w:r>
      <w:r>
        <w:rPr>
          <w:sz w:val="20"/>
        </w:rPr>
        <w:t>T70.4,</w:t>
      </w:r>
      <w:r>
        <w:rPr>
          <w:spacing w:val="-5"/>
          <w:sz w:val="20"/>
        </w:rPr>
        <w:t> </w:t>
      </w:r>
      <w:r>
        <w:rPr>
          <w:sz w:val="20"/>
        </w:rPr>
        <w:t>T70.8,</w:t>
      </w:r>
      <w:r>
        <w:rPr>
          <w:spacing w:val="-4"/>
          <w:sz w:val="20"/>
        </w:rPr>
        <w:t> </w:t>
      </w:r>
      <w:r>
        <w:rPr>
          <w:sz w:val="20"/>
        </w:rPr>
        <w:t>T70.9,</w:t>
      </w:r>
      <w:r>
        <w:rPr>
          <w:spacing w:val="-5"/>
          <w:sz w:val="20"/>
        </w:rPr>
        <w:t> </w:t>
      </w:r>
      <w:r>
        <w:rPr>
          <w:sz w:val="20"/>
        </w:rPr>
        <w:t>T71,</w:t>
      </w:r>
      <w:r>
        <w:rPr>
          <w:spacing w:val="-6"/>
          <w:sz w:val="20"/>
        </w:rPr>
        <w:t> </w:t>
      </w:r>
      <w:r>
        <w:rPr>
          <w:spacing w:val="-4"/>
          <w:sz w:val="20"/>
        </w:rPr>
        <w:t>T73,</w:t>
      </w:r>
    </w:p>
    <w:p>
      <w:pPr>
        <w:spacing w:before="1"/>
        <w:ind w:left="4681" w:right="0" w:firstLine="0"/>
        <w:jc w:val="left"/>
        <w:rPr>
          <w:sz w:val="20"/>
        </w:rPr>
      </w:pPr>
      <w:r>
        <w:rPr>
          <w:sz w:val="20"/>
        </w:rPr>
        <w:t>T73.0,</w:t>
      </w:r>
      <w:r>
        <w:rPr>
          <w:spacing w:val="-7"/>
          <w:sz w:val="20"/>
        </w:rPr>
        <w:t> </w:t>
      </w:r>
      <w:r>
        <w:rPr>
          <w:sz w:val="20"/>
        </w:rPr>
        <w:t>T73.1,</w:t>
      </w:r>
      <w:r>
        <w:rPr>
          <w:spacing w:val="-5"/>
          <w:sz w:val="20"/>
        </w:rPr>
        <w:t> </w:t>
      </w:r>
      <w:r>
        <w:rPr>
          <w:sz w:val="20"/>
        </w:rPr>
        <w:t>T73.2,</w:t>
      </w:r>
      <w:r>
        <w:rPr>
          <w:spacing w:val="-5"/>
          <w:sz w:val="20"/>
        </w:rPr>
        <w:t> </w:t>
      </w:r>
      <w:r>
        <w:rPr>
          <w:sz w:val="20"/>
        </w:rPr>
        <w:t>T73.3,</w:t>
      </w:r>
      <w:r>
        <w:rPr>
          <w:spacing w:val="-5"/>
          <w:sz w:val="20"/>
        </w:rPr>
        <w:t> </w:t>
      </w:r>
      <w:r>
        <w:rPr>
          <w:sz w:val="20"/>
        </w:rPr>
        <w:t>T73.8,</w:t>
      </w:r>
      <w:r>
        <w:rPr>
          <w:spacing w:val="-5"/>
          <w:sz w:val="20"/>
        </w:rPr>
        <w:t> </w:t>
      </w:r>
      <w:r>
        <w:rPr>
          <w:sz w:val="20"/>
        </w:rPr>
        <w:t>T73.9,</w:t>
      </w:r>
      <w:r>
        <w:rPr>
          <w:spacing w:val="-5"/>
          <w:sz w:val="20"/>
        </w:rPr>
        <w:t> </w:t>
      </w:r>
      <w:r>
        <w:rPr>
          <w:spacing w:val="-4"/>
          <w:sz w:val="20"/>
        </w:rPr>
        <w:t>T74,</w:t>
      </w:r>
    </w:p>
    <w:p>
      <w:pPr>
        <w:spacing w:before="0"/>
        <w:ind w:left="4681" w:right="0" w:firstLine="0"/>
        <w:jc w:val="left"/>
        <w:rPr>
          <w:sz w:val="20"/>
        </w:rPr>
      </w:pPr>
      <w:r>
        <w:rPr>
          <w:sz w:val="20"/>
        </w:rPr>
        <w:t>T74.0,</w:t>
      </w:r>
      <w:r>
        <w:rPr>
          <w:spacing w:val="-7"/>
          <w:sz w:val="20"/>
        </w:rPr>
        <w:t> </w:t>
      </w:r>
      <w:r>
        <w:rPr>
          <w:sz w:val="20"/>
        </w:rPr>
        <w:t>T74.1,</w:t>
      </w:r>
      <w:r>
        <w:rPr>
          <w:spacing w:val="-5"/>
          <w:sz w:val="20"/>
        </w:rPr>
        <w:t> </w:t>
      </w:r>
      <w:r>
        <w:rPr>
          <w:sz w:val="20"/>
        </w:rPr>
        <w:t>T74.2,</w:t>
      </w:r>
      <w:r>
        <w:rPr>
          <w:spacing w:val="-5"/>
          <w:sz w:val="20"/>
        </w:rPr>
        <w:t> </w:t>
      </w:r>
      <w:r>
        <w:rPr>
          <w:sz w:val="20"/>
        </w:rPr>
        <w:t>T74.3,</w:t>
      </w:r>
      <w:r>
        <w:rPr>
          <w:spacing w:val="-5"/>
          <w:sz w:val="20"/>
        </w:rPr>
        <w:t> </w:t>
      </w:r>
      <w:r>
        <w:rPr>
          <w:sz w:val="20"/>
        </w:rPr>
        <w:t>T74.8,</w:t>
      </w:r>
      <w:r>
        <w:rPr>
          <w:spacing w:val="-5"/>
          <w:sz w:val="20"/>
        </w:rPr>
        <w:t> </w:t>
      </w:r>
      <w:r>
        <w:rPr>
          <w:sz w:val="20"/>
        </w:rPr>
        <w:t>T74.9,</w:t>
      </w:r>
      <w:r>
        <w:rPr>
          <w:spacing w:val="-5"/>
          <w:sz w:val="20"/>
        </w:rPr>
        <w:t> </w:t>
      </w:r>
      <w:r>
        <w:rPr>
          <w:spacing w:val="-4"/>
          <w:sz w:val="20"/>
        </w:rPr>
        <w:t>T75,</w:t>
      </w:r>
    </w:p>
    <w:p>
      <w:pPr>
        <w:spacing w:before="1"/>
        <w:ind w:left="4681" w:right="0" w:firstLine="0"/>
        <w:jc w:val="left"/>
        <w:rPr>
          <w:sz w:val="20"/>
        </w:rPr>
      </w:pPr>
      <w:r>
        <w:rPr>
          <w:sz w:val="20"/>
        </w:rPr>
        <w:t>T75.0,</w:t>
      </w:r>
      <w:r>
        <w:rPr>
          <w:spacing w:val="-7"/>
          <w:sz w:val="20"/>
        </w:rPr>
        <w:t> </w:t>
      </w:r>
      <w:r>
        <w:rPr>
          <w:sz w:val="20"/>
        </w:rPr>
        <w:t>T75.1,</w:t>
      </w:r>
      <w:r>
        <w:rPr>
          <w:spacing w:val="-5"/>
          <w:sz w:val="20"/>
        </w:rPr>
        <w:t> </w:t>
      </w:r>
      <w:r>
        <w:rPr>
          <w:sz w:val="20"/>
        </w:rPr>
        <w:t>T75.2,</w:t>
      </w:r>
      <w:r>
        <w:rPr>
          <w:spacing w:val="-5"/>
          <w:sz w:val="20"/>
        </w:rPr>
        <w:t> </w:t>
      </w:r>
      <w:r>
        <w:rPr>
          <w:sz w:val="20"/>
        </w:rPr>
        <w:t>T75.3,</w:t>
      </w:r>
      <w:r>
        <w:rPr>
          <w:spacing w:val="-5"/>
          <w:sz w:val="20"/>
        </w:rPr>
        <w:t> </w:t>
      </w:r>
      <w:r>
        <w:rPr>
          <w:sz w:val="20"/>
        </w:rPr>
        <w:t>T75.4,</w:t>
      </w:r>
      <w:r>
        <w:rPr>
          <w:spacing w:val="-5"/>
          <w:sz w:val="20"/>
        </w:rPr>
        <w:t> </w:t>
      </w:r>
      <w:r>
        <w:rPr>
          <w:sz w:val="20"/>
        </w:rPr>
        <w:t>T75.8,</w:t>
      </w:r>
      <w:r>
        <w:rPr>
          <w:spacing w:val="-5"/>
          <w:sz w:val="20"/>
        </w:rPr>
        <w:t> </w:t>
      </w:r>
      <w:r>
        <w:rPr>
          <w:spacing w:val="-4"/>
          <w:sz w:val="20"/>
        </w:rPr>
        <w:t>T76,</w:t>
      </w:r>
    </w:p>
    <w:p>
      <w:pPr>
        <w:spacing w:before="0"/>
        <w:ind w:left="4756" w:right="0" w:firstLine="0"/>
        <w:jc w:val="left"/>
        <w:rPr>
          <w:sz w:val="20"/>
        </w:rPr>
      </w:pPr>
      <w:r>
        <w:rPr>
          <w:sz w:val="20"/>
        </w:rPr>
        <w:t>T78,</w:t>
      </w:r>
      <w:r>
        <w:rPr>
          <w:spacing w:val="-5"/>
          <w:sz w:val="20"/>
        </w:rPr>
        <w:t> </w:t>
      </w:r>
      <w:r>
        <w:rPr>
          <w:sz w:val="20"/>
        </w:rPr>
        <w:t>T78.1,</w:t>
      </w:r>
      <w:r>
        <w:rPr>
          <w:spacing w:val="-7"/>
          <w:sz w:val="20"/>
        </w:rPr>
        <w:t> </w:t>
      </w:r>
      <w:r>
        <w:rPr>
          <w:sz w:val="20"/>
        </w:rPr>
        <w:t>T78.8,</w:t>
      </w:r>
      <w:r>
        <w:rPr>
          <w:spacing w:val="-4"/>
          <w:sz w:val="20"/>
        </w:rPr>
        <w:t> </w:t>
      </w:r>
      <w:r>
        <w:rPr>
          <w:sz w:val="20"/>
        </w:rPr>
        <w:t>T78.9,</w:t>
      </w:r>
      <w:r>
        <w:rPr>
          <w:spacing w:val="-5"/>
          <w:sz w:val="20"/>
        </w:rPr>
        <w:t> </w:t>
      </w:r>
      <w:r>
        <w:rPr>
          <w:sz w:val="20"/>
        </w:rPr>
        <w:t>T79,</w:t>
      </w:r>
      <w:r>
        <w:rPr>
          <w:spacing w:val="-4"/>
          <w:sz w:val="20"/>
        </w:rPr>
        <w:t> </w:t>
      </w:r>
      <w:r>
        <w:rPr>
          <w:sz w:val="20"/>
        </w:rPr>
        <w:t>T79.0,</w:t>
      </w:r>
      <w:r>
        <w:rPr>
          <w:spacing w:val="-5"/>
          <w:sz w:val="20"/>
        </w:rPr>
        <w:t> </w:t>
      </w:r>
      <w:r>
        <w:rPr>
          <w:spacing w:val="-2"/>
          <w:sz w:val="20"/>
        </w:rPr>
        <w:t>T79.1,</w:t>
      </w:r>
    </w:p>
    <w:p>
      <w:pPr>
        <w:spacing w:before="0"/>
        <w:ind w:left="4607" w:right="0" w:firstLine="0"/>
        <w:jc w:val="left"/>
        <w:rPr>
          <w:sz w:val="20"/>
        </w:rPr>
      </w:pPr>
      <w:r>
        <w:rPr>
          <w:sz w:val="20"/>
        </w:rPr>
        <w:t>T79.2,</w:t>
      </w:r>
      <w:r>
        <w:rPr>
          <w:spacing w:val="-7"/>
          <w:sz w:val="20"/>
        </w:rPr>
        <w:t> </w:t>
      </w:r>
      <w:r>
        <w:rPr>
          <w:sz w:val="20"/>
        </w:rPr>
        <w:t>T79.3,</w:t>
      </w:r>
      <w:r>
        <w:rPr>
          <w:spacing w:val="-5"/>
          <w:sz w:val="20"/>
        </w:rPr>
        <w:t> </w:t>
      </w:r>
      <w:r>
        <w:rPr>
          <w:sz w:val="20"/>
        </w:rPr>
        <w:t>T79.4,</w:t>
      </w:r>
      <w:r>
        <w:rPr>
          <w:spacing w:val="-5"/>
          <w:sz w:val="20"/>
        </w:rPr>
        <w:t> </w:t>
      </w:r>
      <w:r>
        <w:rPr>
          <w:sz w:val="20"/>
        </w:rPr>
        <w:t>T79.5,</w:t>
      </w:r>
      <w:r>
        <w:rPr>
          <w:spacing w:val="-5"/>
          <w:sz w:val="20"/>
        </w:rPr>
        <w:t> </w:t>
      </w:r>
      <w:r>
        <w:rPr>
          <w:sz w:val="20"/>
        </w:rPr>
        <w:t>T79.6,</w:t>
      </w:r>
      <w:r>
        <w:rPr>
          <w:spacing w:val="-5"/>
          <w:sz w:val="20"/>
        </w:rPr>
        <w:t> </w:t>
      </w:r>
      <w:r>
        <w:rPr>
          <w:sz w:val="20"/>
        </w:rPr>
        <w:t>T79.7,</w:t>
      </w:r>
      <w:r>
        <w:rPr>
          <w:spacing w:val="-5"/>
          <w:sz w:val="20"/>
        </w:rPr>
        <w:t> </w:t>
      </w:r>
      <w:r>
        <w:rPr>
          <w:spacing w:val="-2"/>
          <w:sz w:val="20"/>
        </w:rPr>
        <w:t>T79.8,</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13"/>
        <w:gridCol w:w="5220"/>
        <w:gridCol w:w="1979"/>
        <w:gridCol w:w="3173"/>
        <w:gridCol w:w="838"/>
      </w:tblGrid>
      <w:tr>
        <w:trPr>
          <w:trHeight w:val="1424" w:hRule="atLeast"/>
        </w:trPr>
        <w:tc>
          <w:tcPr>
            <w:tcW w:w="946" w:type="dxa"/>
          </w:tcPr>
          <w:p>
            <w:pPr>
              <w:pStyle w:val="TableParagraph"/>
              <w:rPr>
                <w:sz w:val="18"/>
              </w:rPr>
            </w:pPr>
          </w:p>
        </w:tc>
        <w:tc>
          <w:tcPr>
            <w:tcW w:w="707" w:type="dxa"/>
          </w:tcPr>
          <w:p>
            <w:pPr>
              <w:pStyle w:val="TableParagraph"/>
              <w:rPr>
                <w:sz w:val="18"/>
              </w:rPr>
            </w:pPr>
          </w:p>
        </w:tc>
        <w:tc>
          <w:tcPr>
            <w:tcW w:w="2413" w:type="dxa"/>
          </w:tcPr>
          <w:p>
            <w:pPr>
              <w:pStyle w:val="TableParagraph"/>
              <w:rPr>
                <w:sz w:val="18"/>
              </w:rPr>
            </w:pPr>
          </w:p>
        </w:tc>
        <w:tc>
          <w:tcPr>
            <w:tcW w:w="5220" w:type="dxa"/>
          </w:tcPr>
          <w:p>
            <w:pPr>
              <w:pStyle w:val="TableParagraph"/>
              <w:spacing w:line="221" w:lineRule="exact"/>
              <w:ind w:left="403"/>
              <w:rPr>
                <w:sz w:val="20"/>
              </w:rPr>
            </w:pPr>
            <w:r>
              <w:rPr>
                <w:sz w:val="20"/>
              </w:rPr>
              <w:t>T79.9,</w:t>
            </w:r>
            <w:r>
              <w:rPr>
                <w:spacing w:val="-7"/>
                <w:sz w:val="20"/>
              </w:rPr>
              <w:t> </w:t>
            </w:r>
            <w:r>
              <w:rPr>
                <w:sz w:val="20"/>
              </w:rPr>
              <w:t>T80,</w:t>
            </w:r>
            <w:r>
              <w:rPr>
                <w:spacing w:val="-6"/>
                <w:sz w:val="20"/>
              </w:rPr>
              <w:t> </w:t>
            </w:r>
            <w:r>
              <w:rPr>
                <w:sz w:val="20"/>
              </w:rPr>
              <w:t>T80.0,</w:t>
            </w:r>
            <w:r>
              <w:rPr>
                <w:spacing w:val="-4"/>
                <w:sz w:val="20"/>
              </w:rPr>
              <w:t> </w:t>
            </w:r>
            <w:r>
              <w:rPr>
                <w:sz w:val="20"/>
              </w:rPr>
              <w:t>T80.1,</w:t>
            </w:r>
            <w:r>
              <w:rPr>
                <w:spacing w:val="-5"/>
                <w:sz w:val="20"/>
              </w:rPr>
              <w:t> </w:t>
            </w:r>
            <w:r>
              <w:rPr>
                <w:sz w:val="20"/>
              </w:rPr>
              <w:t>T80.2,</w:t>
            </w:r>
            <w:r>
              <w:rPr>
                <w:spacing w:val="-4"/>
                <w:sz w:val="20"/>
              </w:rPr>
              <w:t> </w:t>
            </w:r>
            <w:r>
              <w:rPr>
                <w:sz w:val="20"/>
              </w:rPr>
              <w:t>T80.3,</w:t>
            </w:r>
            <w:r>
              <w:rPr>
                <w:spacing w:val="-4"/>
                <w:sz w:val="20"/>
              </w:rPr>
              <w:t> </w:t>
            </w:r>
            <w:r>
              <w:rPr>
                <w:spacing w:val="-2"/>
                <w:sz w:val="20"/>
              </w:rPr>
              <w:t>T80.4,</w:t>
            </w:r>
          </w:p>
          <w:p>
            <w:pPr>
              <w:pStyle w:val="TableParagraph"/>
              <w:spacing w:line="229" w:lineRule="exact"/>
              <w:ind w:left="403"/>
              <w:rPr>
                <w:sz w:val="20"/>
              </w:rPr>
            </w:pPr>
            <w:r>
              <w:rPr>
                <w:sz w:val="20"/>
              </w:rPr>
              <w:t>T80.6,</w:t>
            </w:r>
            <w:r>
              <w:rPr>
                <w:spacing w:val="-7"/>
                <w:sz w:val="20"/>
              </w:rPr>
              <w:t> </w:t>
            </w:r>
            <w:r>
              <w:rPr>
                <w:sz w:val="20"/>
              </w:rPr>
              <w:t>T80.8,</w:t>
            </w:r>
            <w:r>
              <w:rPr>
                <w:spacing w:val="-5"/>
                <w:sz w:val="20"/>
              </w:rPr>
              <w:t> </w:t>
            </w:r>
            <w:r>
              <w:rPr>
                <w:sz w:val="20"/>
              </w:rPr>
              <w:t>T80.9,</w:t>
            </w:r>
            <w:r>
              <w:rPr>
                <w:spacing w:val="-5"/>
                <w:sz w:val="20"/>
              </w:rPr>
              <w:t> </w:t>
            </w:r>
            <w:r>
              <w:rPr>
                <w:sz w:val="20"/>
              </w:rPr>
              <w:t>T81,</w:t>
            </w:r>
            <w:r>
              <w:rPr>
                <w:spacing w:val="-5"/>
                <w:sz w:val="20"/>
              </w:rPr>
              <w:t> </w:t>
            </w:r>
            <w:r>
              <w:rPr>
                <w:sz w:val="20"/>
              </w:rPr>
              <w:t>T81.0,</w:t>
            </w:r>
            <w:r>
              <w:rPr>
                <w:spacing w:val="-5"/>
                <w:sz w:val="20"/>
              </w:rPr>
              <w:t> </w:t>
            </w:r>
            <w:r>
              <w:rPr>
                <w:sz w:val="20"/>
              </w:rPr>
              <w:t>T81.1,</w:t>
            </w:r>
            <w:r>
              <w:rPr>
                <w:spacing w:val="-5"/>
                <w:sz w:val="20"/>
              </w:rPr>
              <w:t> </w:t>
            </w:r>
            <w:r>
              <w:rPr>
                <w:spacing w:val="-2"/>
                <w:sz w:val="20"/>
              </w:rPr>
              <w:t>T81.2,</w:t>
            </w:r>
          </w:p>
          <w:p>
            <w:pPr>
              <w:pStyle w:val="TableParagraph"/>
              <w:spacing w:line="229" w:lineRule="exact"/>
              <w:ind w:left="328"/>
              <w:rPr>
                <w:sz w:val="20"/>
              </w:rPr>
            </w:pPr>
            <w:r>
              <w:rPr>
                <w:sz w:val="20"/>
              </w:rPr>
              <w:t>T81.3,</w:t>
            </w:r>
            <w:r>
              <w:rPr>
                <w:spacing w:val="-7"/>
                <w:sz w:val="20"/>
              </w:rPr>
              <w:t> </w:t>
            </w:r>
            <w:r>
              <w:rPr>
                <w:sz w:val="20"/>
              </w:rPr>
              <w:t>T81.4,</w:t>
            </w:r>
            <w:r>
              <w:rPr>
                <w:spacing w:val="-5"/>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pacing w:val="-2"/>
                <w:sz w:val="20"/>
              </w:rPr>
              <w:t>T81.9,</w:t>
            </w:r>
          </w:p>
          <w:p>
            <w:pPr>
              <w:pStyle w:val="TableParagraph"/>
              <w:spacing w:before="1"/>
              <w:ind w:left="267" w:right="876"/>
              <w:jc w:val="center"/>
              <w:rPr>
                <w:sz w:val="20"/>
              </w:rPr>
            </w:pPr>
            <w:r>
              <w:rPr>
                <w:sz w:val="20"/>
              </w:rPr>
              <w:t>T85.7,</w:t>
            </w:r>
            <w:r>
              <w:rPr>
                <w:spacing w:val="-7"/>
                <w:sz w:val="20"/>
              </w:rPr>
              <w:t> </w:t>
            </w:r>
            <w:r>
              <w:rPr>
                <w:sz w:val="20"/>
              </w:rPr>
              <w:t>T85.9,</w:t>
            </w:r>
            <w:r>
              <w:rPr>
                <w:spacing w:val="-5"/>
                <w:sz w:val="20"/>
              </w:rPr>
              <w:t> </w:t>
            </w:r>
            <w:r>
              <w:rPr>
                <w:sz w:val="20"/>
              </w:rPr>
              <w:t>T88,</w:t>
            </w:r>
            <w:r>
              <w:rPr>
                <w:spacing w:val="-5"/>
                <w:sz w:val="20"/>
              </w:rPr>
              <w:t> </w:t>
            </w:r>
            <w:r>
              <w:rPr>
                <w:sz w:val="20"/>
              </w:rPr>
              <w:t>T88.0,</w:t>
            </w:r>
            <w:r>
              <w:rPr>
                <w:spacing w:val="-5"/>
                <w:sz w:val="20"/>
              </w:rPr>
              <w:t> </w:t>
            </w:r>
            <w:r>
              <w:rPr>
                <w:sz w:val="20"/>
              </w:rPr>
              <w:t>T88.1,</w:t>
            </w:r>
            <w:r>
              <w:rPr>
                <w:spacing w:val="-5"/>
                <w:sz w:val="20"/>
              </w:rPr>
              <w:t> </w:t>
            </w:r>
            <w:r>
              <w:rPr>
                <w:sz w:val="20"/>
              </w:rPr>
              <w:t>T88.2,</w:t>
            </w:r>
            <w:r>
              <w:rPr>
                <w:spacing w:val="-5"/>
                <w:sz w:val="20"/>
              </w:rPr>
              <w:t> </w:t>
            </w:r>
            <w:r>
              <w:rPr>
                <w:spacing w:val="-2"/>
                <w:sz w:val="20"/>
              </w:rPr>
              <w:t>T88.3,</w:t>
            </w:r>
          </w:p>
          <w:p>
            <w:pPr>
              <w:pStyle w:val="TableParagraph"/>
              <w:ind w:left="267" w:right="879"/>
              <w:jc w:val="center"/>
              <w:rPr>
                <w:sz w:val="20"/>
              </w:rPr>
            </w:pPr>
            <w:r>
              <w:rPr>
                <w:sz w:val="20"/>
              </w:rPr>
              <w:t>T88.4,</w:t>
            </w:r>
            <w:r>
              <w:rPr>
                <w:spacing w:val="-7"/>
                <w:sz w:val="20"/>
              </w:rPr>
              <w:t> </w:t>
            </w:r>
            <w:r>
              <w:rPr>
                <w:sz w:val="20"/>
              </w:rPr>
              <w:t>T88.5,</w:t>
            </w:r>
            <w:r>
              <w:rPr>
                <w:spacing w:val="-6"/>
                <w:sz w:val="20"/>
              </w:rPr>
              <w:t> </w:t>
            </w:r>
            <w:r>
              <w:rPr>
                <w:sz w:val="20"/>
              </w:rPr>
              <w:t>T88.7,</w:t>
            </w:r>
            <w:r>
              <w:rPr>
                <w:spacing w:val="-6"/>
                <w:sz w:val="20"/>
              </w:rPr>
              <w:t> </w:t>
            </w:r>
            <w:r>
              <w:rPr>
                <w:sz w:val="20"/>
              </w:rPr>
              <w:t>T88.8,</w:t>
            </w:r>
            <w:r>
              <w:rPr>
                <w:spacing w:val="-6"/>
                <w:sz w:val="20"/>
              </w:rPr>
              <w:t> </w:t>
            </w:r>
            <w:r>
              <w:rPr>
                <w:sz w:val="20"/>
              </w:rPr>
              <w:t>T88.9,</w:t>
            </w:r>
            <w:r>
              <w:rPr>
                <w:spacing w:val="-6"/>
                <w:sz w:val="20"/>
              </w:rPr>
              <w:t> </w:t>
            </w:r>
            <w:r>
              <w:rPr>
                <w:sz w:val="20"/>
              </w:rPr>
              <w:t>T96,</w:t>
            </w:r>
            <w:r>
              <w:rPr>
                <w:spacing w:val="-7"/>
                <w:sz w:val="20"/>
              </w:rPr>
              <w:t> </w:t>
            </w:r>
            <w:r>
              <w:rPr>
                <w:sz w:val="20"/>
              </w:rPr>
              <w:t>T97,</w:t>
            </w:r>
            <w:r>
              <w:rPr>
                <w:spacing w:val="-7"/>
                <w:sz w:val="20"/>
              </w:rPr>
              <w:t> </w:t>
            </w:r>
            <w:r>
              <w:rPr>
                <w:sz w:val="20"/>
              </w:rPr>
              <w:t>T98, T98.0, T98.1, T98.2, T98.3</w:t>
            </w:r>
          </w:p>
        </w:tc>
        <w:tc>
          <w:tcPr>
            <w:tcW w:w="1979" w:type="dxa"/>
          </w:tcPr>
          <w:p>
            <w:pPr>
              <w:pStyle w:val="TableParagraph"/>
              <w:rPr>
                <w:sz w:val="18"/>
              </w:rPr>
            </w:pPr>
          </w:p>
        </w:tc>
        <w:tc>
          <w:tcPr>
            <w:tcW w:w="3173" w:type="dxa"/>
          </w:tcPr>
          <w:p>
            <w:pPr>
              <w:pStyle w:val="TableParagraph"/>
              <w:rPr>
                <w:sz w:val="18"/>
              </w:rPr>
            </w:pPr>
          </w:p>
        </w:tc>
        <w:tc>
          <w:tcPr>
            <w:tcW w:w="838"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st27.013</w:t>
            </w:r>
          </w:p>
        </w:tc>
        <w:tc>
          <w:tcPr>
            <w:tcW w:w="707" w:type="dxa"/>
          </w:tcPr>
          <w:p>
            <w:pPr>
              <w:pStyle w:val="TableParagraph"/>
              <w:spacing w:line="215" w:lineRule="exact" w:before="45"/>
              <w:ind w:left="210"/>
              <w:rPr>
                <w:sz w:val="20"/>
              </w:rPr>
            </w:pPr>
            <w:r>
              <w:rPr>
                <w:spacing w:val="-5"/>
                <w:sz w:val="20"/>
              </w:rPr>
              <w:t>262</w:t>
            </w:r>
          </w:p>
        </w:tc>
        <w:tc>
          <w:tcPr>
            <w:tcW w:w="2413" w:type="dxa"/>
          </w:tcPr>
          <w:p>
            <w:pPr>
              <w:pStyle w:val="TableParagraph"/>
              <w:spacing w:line="215" w:lineRule="exact" w:before="45"/>
              <w:ind w:left="192"/>
              <w:rPr>
                <w:sz w:val="20"/>
              </w:rPr>
            </w:pPr>
            <w:r>
              <w:rPr>
                <w:sz w:val="20"/>
              </w:rPr>
              <w:t>Отравления</w:t>
            </w:r>
            <w:r>
              <w:rPr>
                <w:spacing w:val="-8"/>
                <w:sz w:val="20"/>
              </w:rPr>
              <w:t> </w:t>
            </w:r>
            <w:r>
              <w:rPr>
                <w:sz w:val="20"/>
              </w:rPr>
              <w:t>и</w:t>
            </w:r>
            <w:r>
              <w:rPr>
                <w:spacing w:val="-8"/>
                <w:sz w:val="20"/>
              </w:rPr>
              <w:t> </w:t>
            </w:r>
            <w:r>
              <w:rPr>
                <w:spacing w:val="-2"/>
                <w:sz w:val="20"/>
              </w:rPr>
              <w:t>другие</w:t>
            </w:r>
          </w:p>
        </w:tc>
        <w:tc>
          <w:tcPr>
            <w:tcW w:w="5220" w:type="dxa"/>
          </w:tcPr>
          <w:p>
            <w:pPr>
              <w:pStyle w:val="TableParagraph"/>
              <w:spacing w:line="215" w:lineRule="exact" w:before="45"/>
              <w:ind w:left="381"/>
              <w:rPr>
                <w:sz w:val="20"/>
              </w:rPr>
            </w:pPr>
            <w:r>
              <w:rPr>
                <w:sz w:val="20"/>
              </w:rPr>
              <w:t>R50.2,</w:t>
            </w:r>
            <w:r>
              <w:rPr>
                <w:spacing w:val="-5"/>
                <w:sz w:val="20"/>
              </w:rPr>
              <w:t> </w:t>
            </w:r>
            <w:r>
              <w:rPr>
                <w:sz w:val="20"/>
              </w:rPr>
              <w:t>R57.1,</w:t>
            </w:r>
            <w:r>
              <w:rPr>
                <w:spacing w:val="-4"/>
                <w:sz w:val="20"/>
              </w:rPr>
              <w:t> </w:t>
            </w:r>
            <w:r>
              <w:rPr>
                <w:sz w:val="20"/>
              </w:rPr>
              <w:t>R57.8,</w:t>
            </w:r>
            <w:r>
              <w:rPr>
                <w:spacing w:val="-4"/>
                <w:sz w:val="20"/>
              </w:rPr>
              <w:t> </w:t>
            </w:r>
            <w:r>
              <w:rPr>
                <w:sz w:val="20"/>
              </w:rPr>
              <w:t>R57.9,</w:t>
            </w:r>
            <w:r>
              <w:rPr>
                <w:spacing w:val="-7"/>
                <w:sz w:val="20"/>
              </w:rPr>
              <w:t> </w:t>
            </w:r>
            <w:r>
              <w:rPr>
                <w:sz w:val="20"/>
              </w:rPr>
              <w:t>T36,</w:t>
            </w:r>
            <w:r>
              <w:rPr>
                <w:spacing w:val="-6"/>
                <w:sz w:val="20"/>
              </w:rPr>
              <w:t> </w:t>
            </w:r>
            <w:r>
              <w:rPr>
                <w:sz w:val="20"/>
              </w:rPr>
              <w:t>T36.0,</w:t>
            </w:r>
            <w:r>
              <w:rPr>
                <w:spacing w:val="-8"/>
                <w:sz w:val="20"/>
              </w:rPr>
              <w:t> </w:t>
            </w:r>
            <w:r>
              <w:rPr>
                <w:spacing w:val="-2"/>
                <w:sz w:val="20"/>
              </w:rPr>
              <w:t>T36.1,</w:t>
            </w:r>
          </w:p>
        </w:tc>
        <w:tc>
          <w:tcPr>
            <w:tcW w:w="1979" w:type="dxa"/>
          </w:tcPr>
          <w:p>
            <w:pPr>
              <w:pStyle w:val="TableParagraph"/>
              <w:spacing w:line="215" w:lineRule="exact" w:before="45"/>
              <w:ind w:right="42"/>
              <w:jc w:val="center"/>
              <w:rPr>
                <w:sz w:val="20"/>
              </w:rPr>
            </w:pPr>
            <w:r>
              <w:rPr>
                <w:w w:val="99"/>
                <w:sz w:val="20"/>
              </w:rPr>
              <w:t>-</w:t>
            </w:r>
          </w:p>
        </w:tc>
        <w:tc>
          <w:tcPr>
            <w:tcW w:w="3173" w:type="dxa"/>
          </w:tcPr>
          <w:p>
            <w:pPr>
              <w:pStyle w:val="TableParagraph"/>
              <w:spacing w:line="215" w:lineRule="exact" w:before="45"/>
              <w:ind w:left="969" w:right="432"/>
              <w:jc w:val="center"/>
              <w:rPr>
                <w:sz w:val="20"/>
              </w:rPr>
            </w:pPr>
            <w:r>
              <w:rPr>
                <w:spacing w:val="-4"/>
                <w:sz w:val="20"/>
              </w:rPr>
              <w:t>Иной</w:t>
            </w:r>
          </w:p>
        </w:tc>
        <w:tc>
          <w:tcPr>
            <w:tcW w:w="838" w:type="dxa"/>
          </w:tcPr>
          <w:p>
            <w:pPr>
              <w:pStyle w:val="TableParagraph"/>
              <w:spacing w:line="215" w:lineRule="exact" w:before="45"/>
              <w:ind w:left="434"/>
              <w:rPr>
                <w:sz w:val="20"/>
              </w:rPr>
            </w:pPr>
            <w:r>
              <w:rPr>
                <w:spacing w:val="-4"/>
                <w:sz w:val="20"/>
              </w:rPr>
              <w:t>4,07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spacing w:line="211" w:lineRule="exact"/>
              <w:ind w:left="192"/>
              <w:rPr>
                <w:sz w:val="20"/>
              </w:rPr>
            </w:pPr>
            <w:r>
              <w:rPr>
                <w:sz w:val="20"/>
              </w:rPr>
              <w:t>воздействия</w:t>
            </w:r>
            <w:r>
              <w:rPr>
                <w:spacing w:val="-13"/>
                <w:sz w:val="20"/>
              </w:rPr>
              <w:t> </w:t>
            </w:r>
            <w:r>
              <w:rPr>
                <w:spacing w:val="-2"/>
                <w:sz w:val="20"/>
              </w:rPr>
              <w:t>внешних</w:t>
            </w:r>
          </w:p>
        </w:tc>
        <w:tc>
          <w:tcPr>
            <w:tcW w:w="5220" w:type="dxa"/>
          </w:tcPr>
          <w:p>
            <w:pPr>
              <w:pStyle w:val="TableParagraph"/>
              <w:spacing w:line="211" w:lineRule="exact"/>
              <w:ind w:left="328"/>
              <w:rPr>
                <w:sz w:val="20"/>
              </w:rPr>
            </w:pPr>
            <w:r>
              <w:rPr>
                <w:sz w:val="20"/>
              </w:rPr>
              <w:t>T36.2,</w:t>
            </w:r>
            <w:r>
              <w:rPr>
                <w:spacing w:val="-7"/>
                <w:sz w:val="20"/>
              </w:rPr>
              <w:t> </w:t>
            </w:r>
            <w:r>
              <w:rPr>
                <w:sz w:val="20"/>
              </w:rPr>
              <w:t>T36.3,</w:t>
            </w:r>
            <w:r>
              <w:rPr>
                <w:spacing w:val="-5"/>
                <w:sz w:val="20"/>
              </w:rPr>
              <w:t> </w:t>
            </w:r>
            <w:r>
              <w:rPr>
                <w:sz w:val="20"/>
              </w:rPr>
              <w:t>T36.4,</w:t>
            </w:r>
            <w:r>
              <w:rPr>
                <w:spacing w:val="-5"/>
                <w:sz w:val="20"/>
              </w:rPr>
              <w:t> </w:t>
            </w:r>
            <w:r>
              <w:rPr>
                <w:sz w:val="20"/>
              </w:rPr>
              <w:t>T36.5,</w:t>
            </w:r>
            <w:r>
              <w:rPr>
                <w:spacing w:val="-5"/>
                <w:sz w:val="20"/>
              </w:rPr>
              <w:t> </w:t>
            </w:r>
            <w:r>
              <w:rPr>
                <w:sz w:val="20"/>
              </w:rPr>
              <w:t>T36.6,</w:t>
            </w:r>
            <w:r>
              <w:rPr>
                <w:spacing w:val="-5"/>
                <w:sz w:val="20"/>
              </w:rPr>
              <w:t> </w:t>
            </w:r>
            <w:r>
              <w:rPr>
                <w:sz w:val="20"/>
              </w:rPr>
              <w:t>T36.7,</w:t>
            </w:r>
            <w:r>
              <w:rPr>
                <w:spacing w:val="-5"/>
                <w:sz w:val="20"/>
              </w:rPr>
              <w:t> </w:t>
            </w:r>
            <w:r>
              <w:rPr>
                <w:spacing w:val="-2"/>
                <w:sz w:val="20"/>
              </w:rPr>
              <w:t>T36.8,</w:t>
            </w:r>
          </w:p>
        </w:tc>
        <w:tc>
          <w:tcPr>
            <w:tcW w:w="1979" w:type="dxa"/>
          </w:tcPr>
          <w:p>
            <w:pPr>
              <w:pStyle w:val="TableParagraph"/>
              <w:rPr>
                <w:sz w:val="16"/>
              </w:rPr>
            </w:pPr>
          </w:p>
        </w:tc>
        <w:tc>
          <w:tcPr>
            <w:tcW w:w="3173" w:type="dxa"/>
          </w:tcPr>
          <w:p>
            <w:pPr>
              <w:pStyle w:val="TableParagraph"/>
              <w:spacing w:line="211" w:lineRule="exact"/>
              <w:ind w:left="969" w:right="431"/>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spacing w:line="210" w:lineRule="exact"/>
              <w:ind w:left="192"/>
              <w:rPr>
                <w:sz w:val="20"/>
              </w:rPr>
            </w:pPr>
            <w:r>
              <w:rPr>
                <w:sz w:val="20"/>
              </w:rPr>
              <w:t>причин</w:t>
            </w:r>
            <w:r>
              <w:rPr>
                <w:spacing w:val="-6"/>
                <w:sz w:val="20"/>
              </w:rPr>
              <w:t> </w:t>
            </w:r>
            <w:r>
              <w:rPr>
                <w:sz w:val="20"/>
              </w:rPr>
              <w:t>с</w:t>
            </w:r>
            <w:r>
              <w:rPr>
                <w:spacing w:val="-5"/>
                <w:sz w:val="20"/>
              </w:rPr>
              <w:t> </w:t>
            </w:r>
            <w:r>
              <w:rPr>
                <w:spacing w:val="-2"/>
                <w:sz w:val="20"/>
              </w:rPr>
              <w:t>синдромом</w:t>
            </w:r>
          </w:p>
        </w:tc>
        <w:tc>
          <w:tcPr>
            <w:tcW w:w="5220" w:type="dxa"/>
          </w:tcPr>
          <w:p>
            <w:pPr>
              <w:pStyle w:val="TableParagraph"/>
              <w:spacing w:line="210" w:lineRule="exact"/>
              <w:ind w:left="403"/>
              <w:rPr>
                <w:sz w:val="20"/>
              </w:rPr>
            </w:pPr>
            <w:r>
              <w:rPr>
                <w:sz w:val="20"/>
              </w:rPr>
              <w:t>T36.9,</w:t>
            </w:r>
            <w:r>
              <w:rPr>
                <w:spacing w:val="-7"/>
                <w:sz w:val="20"/>
              </w:rPr>
              <w:t> </w:t>
            </w:r>
            <w:r>
              <w:rPr>
                <w:sz w:val="20"/>
              </w:rPr>
              <w:t>T37,</w:t>
            </w:r>
            <w:r>
              <w:rPr>
                <w:spacing w:val="-7"/>
                <w:sz w:val="20"/>
              </w:rPr>
              <w:t> </w:t>
            </w:r>
            <w:r>
              <w:rPr>
                <w:sz w:val="20"/>
              </w:rPr>
              <w:t>T37.0,</w:t>
            </w:r>
            <w:r>
              <w:rPr>
                <w:spacing w:val="-4"/>
                <w:sz w:val="20"/>
              </w:rPr>
              <w:t> </w:t>
            </w:r>
            <w:r>
              <w:rPr>
                <w:sz w:val="20"/>
              </w:rPr>
              <w:t>T37.1,</w:t>
            </w:r>
            <w:r>
              <w:rPr>
                <w:spacing w:val="-5"/>
                <w:sz w:val="20"/>
              </w:rPr>
              <w:t> </w:t>
            </w:r>
            <w:r>
              <w:rPr>
                <w:sz w:val="20"/>
              </w:rPr>
              <w:t>T37.2,</w:t>
            </w:r>
            <w:r>
              <w:rPr>
                <w:spacing w:val="-5"/>
                <w:sz w:val="20"/>
              </w:rPr>
              <w:t> </w:t>
            </w:r>
            <w:r>
              <w:rPr>
                <w:sz w:val="20"/>
              </w:rPr>
              <w:t>T37.3,</w:t>
            </w:r>
            <w:r>
              <w:rPr>
                <w:spacing w:val="-4"/>
                <w:sz w:val="20"/>
              </w:rPr>
              <w:t> </w:t>
            </w:r>
            <w:r>
              <w:rPr>
                <w:spacing w:val="-2"/>
                <w:sz w:val="20"/>
              </w:rPr>
              <w:t>T37.4,</w:t>
            </w:r>
          </w:p>
        </w:tc>
        <w:tc>
          <w:tcPr>
            <w:tcW w:w="1979" w:type="dxa"/>
          </w:tcPr>
          <w:p>
            <w:pPr>
              <w:pStyle w:val="TableParagraph"/>
              <w:rPr>
                <w:sz w:val="16"/>
              </w:rPr>
            </w:pPr>
          </w:p>
        </w:tc>
        <w:tc>
          <w:tcPr>
            <w:tcW w:w="3173" w:type="dxa"/>
          </w:tcPr>
          <w:p>
            <w:pPr>
              <w:pStyle w:val="TableParagraph"/>
              <w:spacing w:line="210" w:lineRule="exact"/>
              <w:ind w:left="968" w:right="433"/>
              <w:jc w:val="center"/>
              <w:rPr>
                <w:sz w:val="20"/>
              </w:rPr>
            </w:pPr>
            <w:r>
              <w:rPr>
                <w:sz w:val="20"/>
              </w:rPr>
              <w:t>критерий:</w:t>
            </w:r>
            <w:r>
              <w:rPr>
                <w:spacing w:val="-13"/>
                <w:sz w:val="20"/>
              </w:rPr>
              <w:t> </w:t>
            </w:r>
            <w:r>
              <w:rPr>
                <w:spacing w:val="-5"/>
                <w:sz w:val="20"/>
              </w:rPr>
              <w:t>it1</w:t>
            </w: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spacing w:line="210" w:lineRule="exact"/>
              <w:ind w:left="192"/>
              <w:rPr>
                <w:sz w:val="20"/>
              </w:rPr>
            </w:pPr>
            <w:r>
              <w:rPr>
                <w:sz w:val="20"/>
              </w:rPr>
              <w:t>органной</w:t>
            </w:r>
            <w:r>
              <w:rPr>
                <w:spacing w:val="-11"/>
                <w:sz w:val="20"/>
              </w:rPr>
              <w:t> </w:t>
            </w:r>
            <w:r>
              <w:rPr>
                <w:spacing w:val="-2"/>
                <w:sz w:val="20"/>
              </w:rPr>
              <w:t>дисфункции</w:t>
            </w:r>
          </w:p>
        </w:tc>
        <w:tc>
          <w:tcPr>
            <w:tcW w:w="5220" w:type="dxa"/>
          </w:tcPr>
          <w:p>
            <w:pPr>
              <w:pStyle w:val="TableParagraph"/>
              <w:spacing w:line="210" w:lineRule="exact"/>
              <w:ind w:left="403"/>
              <w:rPr>
                <w:sz w:val="20"/>
              </w:rPr>
            </w:pPr>
            <w:r>
              <w:rPr>
                <w:sz w:val="20"/>
              </w:rPr>
              <w:t>T37.5,</w:t>
            </w:r>
            <w:r>
              <w:rPr>
                <w:spacing w:val="-7"/>
                <w:sz w:val="20"/>
              </w:rPr>
              <w:t> </w:t>
            </w:r>
            <w:r>
              <w:rPr>
                <w:sz w:val="20"/>
              </w:rPr>
              <w:t>T37.8,</w:t>
            </w:r>
            <w:r>
              <w:rPr>
                <w:spacing w:val="-5"/>
                <w:sz w:val="20"/>
              </w:rPr>
              <w:t> </w:t>
            </w:r>
            <w:r>
              <w:rPr>
                <w:sz w:val="20"/>
              </w:rPr>
              <w:t>T37.9,</w:t>
            </w:r>
            <w:r>
              <w:rPr>
                <w:spacing w:val="-2"/>
                <w:sz w:val="20"/>
              </w:rPr>
              <w:t> </w:t>
            </w:r>
            <w:r>
              <w:rPr>
                <w:sz w:val="20"/>
              </w:rPr>
              <w:t>T38,</w:t>
            </w:r>
            <w:r>
              <w:rPr>
                <w:spacing w:val="-5"/>
                <w:sz w:val="20"/>
              </w:rPr>
              <w:t> </w:t>
            </w:r>
            <w:r>
              <w:rPr>
                <w:sz w:val="20"/>
              </w:rPr>
              <w:t>T38.0,</w:t>
            </w:r>
            <w:r>
              <w:rPr>
                <w:spacing w:val="-5"/>
                <w:sz w:val="20"/>
              </w:rPr>
              <w:t> </w:t>
            </w:r>
            <w:r>
              <w:rPr>
                <w:sz w:val="20"/>
              </w:rPr>
              <w:t>T38.1,</w:t>
            </w:r>
            <w:r>
              <w:rPr>
                <w:spacing w:val="-5"/>
                <w:sz w:val="20"/>
              </w:rPr>
              <w:t> </w:t>
            </w:r>
            <w:r>
              <w:rPr>
                <w:spacing w:val="-2"/>
                <w:sz w:val="20"/>
              </w:rPr>
              <w:t>T38.2,</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T38.3,</w:t>
            </w:r>
            <w:r>
              <w:rPr>
                <w:spacing w:val="-7"/>
                <w:sz w:val="20"/>
              </w:rPr>
              <w:t> </w:t>
            </w:r>
            <w:r>
              <w:rPr>
                <w:sz w:val="20"/>
              </w:rPr>
              <w:t>T38.4,</w:t>
            </w:r>
            <w:r>
              <w:rPr>
                <w:spacing w:val="-5"/>
                <w:sz w:val="20"/>
              </w:rPr>
              <w:t> </w:t>
            </w:r>
            <w:r>
              <w:rPr>
                <w:sz w:val="20"/>
              </w:rPr>
              <w:t>T38.5,</w:t>
            </w:r>
            <w:r>
              <w:rPr>
                <w:spacing w:val="-5"/>
                <w:sz w:val="20"/>
              </w:rPr>
              <w:t> </w:t>
            </w:r>
            <w:r>
              <w:rPr>
                <w:sz w:val="20"/>
              </w:rPr>
              <w:t>T38.6,</w:t>
            </w:r>
            <w:r>
              <w:rPr>
                <w:spacing w:val="-5"/>
                <w:sz w:val="20"/>
              </w:rPr>
              <w:t> </w:t>
            </w:r>
            <w:r>
              <w:rPr>
                <w:sz w:val="20"/>
              </w:rPr>
              <w:t>T38.7,</w:t>
            </w:r>
            <w:r>
              <w:rPr>
                <w:spacing w:val="-5"/>
                <w:sz w:val="20"/>
              </w:rPr>
              <w:t> </w:t>
            </w:r>
            <w:r>
              <w:rPr>
                <w:sz w:val="20"/>
              </w:rPr>
              <w:t>T38.8,</w:t>
            </w:r>
            <w:r>
              <w:rPr>
                <w:spacing w:val="-5"/>
                <w:sz w:val="20"/>
              </w:rPr>
              <w:t> </w:t>
            </w:r>
            <w:r>
              <w:rPr>
                <w:spacing w:val="-2"/>
                <w:sz w:val="20"/>
              </w:rPr>
              <w:t>T38.9,</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T39,</w:t>
            </w:r>
            <w:r>
              <w:rPr>
                <w:spacing w:val="-6"/>
                <w:sz w:val="20"/>
              </w:rPr>
              <w:t> </w:t>
            </w:r>
            <w:r>
              <w:rPr>
                <w:sz w:val="20"/>
              </w:rPr>
              <w:t>T39.0,</w:t>
            </w:r>
            <w:r>
              <w:rPr>
                <w:spacing w:val="-7"/>
                <w:sz w:val="20"/>
              </w:rPr>
              <w:t> </w:t>
            </w:r>
            <w:r>
              <w:rPr>
                <w:sz w:val="20"/>
              </w:rPr>
              <w:t>T39.1,</w:t>
            </w:r>
            <w:r>
              <w:rPr>
                <w:spacing w:val="-5"/>
                <w:sz w:val="20"/>
              </w:rPr>
              <w:t> </w:t>
            </w:r>
            <w:r>
              <w:rPr>
                <w:sz w:val="20"/>
              </w:rPr>
              <w:t>T39.2,</w:t>
            </w:r>
            <w:r>
              <w:rPr>
                <w:spacing w:val="-5"/>
                <w:sz w:val="20"/>
              </w:rPr>
              <w:t> </w:t>
            </w:r>
            <w:r>
              <w:rPr>
                <w:sz w:val="20"/>
              </w:rPr>
              <w:t>T39.3,</w:t>
            </w:r>
            <w:r>
              <w:rPr>
                <w:spacing w:val="-5"/>
                <w:sz w:val="20"/>
              </w:rPr>
              <w:t> </w:t>
            </w:r>
            <w:r>
              <w:rPr>
                <w:sz w:val="20"/>
              </w:rPr>
              <w:t>T39.4,</w:t>
            </w:r>
            <w:r>
              <w:rPr>
                <w:spacing w:val="-5"/>
                <w:sz w:val="20"/>
              </w:rPr>
              <w:t> </w:t>
            </w:r>
            <w:r>
              <w:rPr>
                <w:spacing w:val="-2"/>
                <w:sz w:val="20"/>
              </w:rPr>
              <w:t>T39.8,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T39.9,</w:t>
            </w:r>
            <w:r>
              <w:rPr>
                <w:spacing w:val="-7"/>
                <w:sz w:val="20"/>
              </w:rPr>
              <w:t> </w:t>
            </w:r>
            <w:r>
              <w:rPr>
                <w:sz w:val="20"/>
              </w:rPr>
              <w:t>T40,</w:t>
            </w:r>
            <w:r>
              <w:rPr>
                <w:spacing w:val="-7"/>
                <w:sz w:val="20"/>
              </w:rPr>
              <w:t> </w:t>
            </w:r>
            <w:r>
              <w:rPr>
                <w:sz w:val="20"/>
              </w:rPr>
              <w:t>T40.0,</w:t>
            </w:r>
            <w:r>
              <w:rPr>
                <w:spacing w:val="-4"/>
                <w:sz w:val="20"/>
              </w:rPr>
              <w:t> </w:t>
            </w:r>
            <w:r>
              <w:rPr>
                <w:sz w:val="20"/>
              </w:rPr>
              <w:t>T40.1,</w:t>
            </w:r>
            <w:r>
              <w:rPr>
                <w:spacing w:val="-5"/>
                <w:sz w:val="20"/>
              </w:rPr>
              <w:t> </w:t>
            </w:r>
            <w:r>
              <w:rPr>
                <w:sz w:val="20"/>
              </w:rPr>
              <w:t>T40.2,</w:t>
            </w:r>
            <w:r>
              <w:rPr>
                <w:spacing w:val="-5"/>
                <w:sz w:val="20"/>
              </w:rPr>
              <w:t> </w:t>
            </w:r>
            <w:r>
              <w:rPr>
                <w:sz w:val="20"/>
              </w:rPr>
              <w:t>T40.3,</w:t>
            </w:r>
            <w:r>
              <w:rPr>
                <w:spacing w:val="-4"/>
                <w:sz w:val="20"/>
              </w:rPr>
              <w:t> </w:t>
            </w:r>
            <w:r>
              <w:rPr>
                <w:spacing w:val="-2"/>
                <w:sz w:val="20"/>
              </w:rPr>
              <w:t>T40.4,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T40.5,</w:t>
            </w:r>
            <w:r>
              <w:rPr>
                <w:spacing w:val="-7"/>
                <w:sz w:val="20"/>
              </w:rPr>
              <w:t> </w:t>
            </w:r>
            <w:r>
              <w:rPr>
                <w:sz w:val="20"/>
              </w:rPr>
              <w:t>T40.6,</w:t>
            </w:r>
            <w:r>
              <w:rPr>
                <w:spacing w:val="-4"/>
                <w:sz w:val="20"/>
              </w:rPr>
              <w:t> </w:t>
            </w:r>
            <w:r>
              <w:rPr>
                <w:sz w:val="20"/>
              </w:rPr>
              <w:t>T40.7,</w:t>
            </w:r>
            <w:r>
              <w:rPr>
                <w:spacing w:val="-5"/>
                <w:sz w:val="20"/>
              </w:rPr>
              <w:t> </w:t>
            </w:r>
            <w:r>
              <w:rPr>
                <w:sz w:val="20"/>
              </w:rPr>
              <w:t>T40.8,</w:t>
            </w:r>
            <w:r>
              <w:rPr>
                <w:spacing w:val="-4"/>
                <w:sz w:val="20"/>
              </w:rPr>
              <w:t> </w:t>
            </w:r>
            <w:r>
              <w:rPr>
                <w:sz w:val="20"/>
              </w:rPr>
              <w:t>T40.9,</w:t>
            </w:r>
            <w:r>
              <w:rPr>
                <w:spacing w:val="-5"/>
                <w:sz w:val="20"/>
              </w:rPr>
              <w:t> </w:t>
            </w:r>
            <w:r>
              <w:rPr>
                <w:sz w:val="20"/>
              </w:rPr>
              <w:t>T41,</w:t>
            </w:r>
            <w:r>
              <w:rPr>
                <w:spacing w:val="-6"/>
                <w:sz w:val="20"/>
              </w:rPr>
              <w:t> </w:t>
            </w:r>
            <w:r>
              <w:rPr>
                <w:spacing w:val="-2"/>
                <w:sz w:val="20"/>
              </w:rPr>
              <w:t>T41.0,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T41.1,</w:t>
            </w:r>
            <w:r>
              <w:rPr>
                <w:spacing w:val="-7"/>
                <w:sz w:val="20"/>
              </w:rPr>
              <w:t> </w:t>
            </w:r>
            <w:r>
              <w:rPr>
                <w:sz w:val="20"/>
              </w:rPr>
              <w:t>T41.2,</w:t>
            </w:r>
            <w:r>
              <w:rPr>
                <w:spacing w:val="-4"/>
                <w:sz w:val="20"/>
              </w:rPr>
              <w:t> </w:t>
            </w:r>
            <w:r>
              <w:rPr>
                <w:sz w:val="20"/>
              </w:rPr>
              <w:t>T41.3,</w:t>
            </w:r>
            <w:r>
              <w:rPr>
                <w:spacing w:val="-5"/>
                <w:sz w:val="20"/>
              </w:rPr>
              <w:t> </w:t>
            </w:r>
            <w:r>
              <w:rPr>
                <w:sz w:val="20"/>
              </w:rPr>
              <w:t>T41.4,</w:t>
            </w:r>
            <w:r>
              <w:rPr>
                <w:spacing w:val="-4"/>
                <w:sz w:val="20"/>
              </w:rPr>
              <w:t> </w:t>
            </w:r>
            <w:r>
              <w:rPr>
                <w:sz w:val="20"/>
              </w:rPr>
              <w:t>T41.5,</w:t>
            </w:r>
            <w:r>
              <w:rPr>
                <w:spacing w:val="-5"/>
                <w:sz w:val="20"/>
              </w:rPr>
              <w:t> </w:t>
            </w:r>
            <w:r>
              <w:rPr>
                <w:sz w:val="20"/>
              </w:rPr>
              <w:t>T42, </w:t>
            </w:r>
            <w:r>
              <w:rPr>
                <w:spacing w:val="-2"/>
                <w:sz w:val="20"/>
              </w:rPr>
              <w:t>T42.0,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T42.1,</w:t>
            </w:r>
            <w:r>
              <w:rPr>
                <w:spacing w:val="-7"/>
                <w:sz w:val="20"/>
              </w:rPr>
              <w:t> </w:t>
            </w:r>
            <w:r>
              <w:rPr>
                <w:sz w:val="20"/>
              </w:rPr>
              <w:t>T42.2,</w:t>
            </w:r>
            <w:r>
              <w:rPr>
                <w:spacing w:val="-5"/>
                <w:sz w:val="20"/>
              </w:rPr>
              <w:t> </w:t>
            </w:r>
            <w:r>
              <w:rPr>
                <w:sz w:val="20"/>
              </w:rPr>
              <w:t>T42.3,</w:t>
            </w:r>
            <w:r>
              <w:rPr>
                <w:spacing w:val="-5"/>
                <w:sz w:val="20"/>
              </w:rPr>
              <w:t> </w:t>
            </w:r>
            <w:r>
              <w:rPr>
                <w:sz w:val="20"/>
              </w:rPr>
              <w:t>T42.4,</w:t>
            </w:r>
            <w:r>
              <w:rPr>
                <w:spacing w:val="-5"/>
                <w:sz w:val="20"/>
              </w:rPr>
              <w:t> </w:t>
            </w:r>
            <w:r>
              <w:rPr>
                <w:sz w:val="20"/>
              </w:rPr>
              <w:t>T42.5,</w:t>
            </w:r>
            <w:r>
              <w:rPr>
                <w:spacing w:val="-5"/>
                <w:sz w:val="20"/>
              </w:rPr>
              <w:t> </w:t>
            </w:r>
            <w:r>
              <w:rPr>
                <w:sz w:val="20"/>
              </w:rPr>
              <w:t>T42.6,</w:t>
            </w:r>
            <w:r>
              <w:rPr>
                <w:spacing w:val="-5"/>
                <w:sz w:val="20"/>
              </w:rPr>
              <w:t> </w:t>
            </w:r>
            <w:r>
              <w:rPr>
                <w:spacing w:val="-2"/>
                <w:sz w:val="20"/>
              </w:rPr>
              <w:t>T42.7,</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T42.8,</w:t>
            </w:r>
            <w:r>
              <w:rPr>
                <w:spacing w:val="-7"/>
                <w:sz w:val="20"/>
              </w:rPr>
              <w:t> </w:t>
            </w:r>
            <w:r>
              <w:rPr>
                <w:sz w:val="20"/>
              </w:rPr>
              <w:t>T43,</w:t>
            </w:r>
            <w:r>
              <w:rPr>
                <w:spacing w:val="-7"/>
                <w:sz w:val="20"/>
              </w:rPr>
              <w:t> </w:t>
            </w:r>
            <w:r>
              <w:rPr>
                <w:sz w:val="20"/>
              </w:rPr>
              <w:t>T43.0,</w:t>
            </w:r>
            <w:r>
              <w:rPr>
                <w:spacing w:val="-4"/>
                <w:sz w:val="20"/>
              </w:rPr>
              <w:t> </w:t>
            </w:r>
            <w:r>
              <w:rPr>
                <w:sz w:val="20"/>
              </w:rPr>
              <w:t>T43.1,</w:t>
            </w:r>
            <w:r>
              <w:rPr>
                <w:spacing w:val="-5"/>
                <w:sz w:val="20"/>
              </w:rPr>
              <w:t> </w:t>
            </w:r>
            <w:r>
              <w:rPr>
                <w:sz w:val="20"/>
              </w:rPr>
              <w:t>T43.2,</w:t>
            </w:r>
            <w:r>
              <w:rPr>
                <w:spacing w:val="-5"/>
                <w:sz w:val="20"/>
              </w:rPr>
              <w:t> </w:t>
            </w:r>
            <w:r>
              <w:rPr>
                <w:sz w:val="20"/>
              </w:rPr>
              <w:t>T43.3,</w:t>
            </w:r>
            <w:r>
              <w:rPr>
                <w:spacing w:val="-4"/>
                <w:sz w:val="20"/>
              </w:rPr>
              <w:t> </w:t>
            </w:r>
            <w:r>
              <w:rPr>
                <w:spacing w:val="-2"/>
                <w:sz w:val="20"/>
              </w:rPr>
              <w:t>T43.4,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T43.5,</w:t>
            </w:r>
            <w:r>
              <w:rPr>
                <w:spacing w:val="-7"/>
                <w:sz w:val="20"/>
              </w:rPr>
              <w:t> </w:t>
            </w:r>
            <w:r>
              <w:rPr>
                <w:sz w:val="20"/>
              </w:rPr>
              <w:t>T43.6,</w:t>
            </w:r>
            <w:r>
              <w:rPr>
                <w:spacing w:val="-4"/>
                <w:sz w:val="20"/>
              </w:rPr>
              <w:t> </w:t>
            </w:r>
            <w:r>
              <w:rPr>
                <w:sz w:val="20"/>
              </w:rPr>
              <w:t>T43.8,</w:t>
            </w:r>
            <w:r>
              <w:rPr>
                <w:spacing w:val="-5"/>
                <w:sz w:val="20"/>
              </w:rPr>
              <w:t> </w:t>
            </w:r>
            <w:r>
              <w:rPr>
                <w:sz w:val="20"/>
              </w:rPr>
              <w:t>T43.9,</w:t>
            </w:r>
            <w:r>
              <w:rPr>
                <w:spacing w:val="-4"/>
                <w:sz w:val="20"/>
              </w:rPr>
              <w:t> </w:t>
            </w:r>
            <w:r>
              <w:rPr>
                <w:sz w:val="20"/>
              </w:rPr>
              <w:t>T44,</w:t>
            </w:r>
            <w:r>
              <w:rPr>
                <w:spacing w:val="-5"/>
                <w:sz w:val="20"/>
              </w:rPr>
              <w:t> </w:t>
            </w:r>
            <w:r>
              <w:rPr>
                <w:sz w:val="20"/>
              </w:rPr>
              <w:t>T44.0,</w:t>
            </w:r>
            <w:r>
              <w:rPr>
                <w:spacing w:val="-6"/>
                <w:sz w:val="20"/>
              </w:rPr>
              <w:t> </w:t>
            </w:r>
            <w:r>
              <w:rPr>
                <w:spacing w:val="-2"/>
                <w:sz w:val="20"/>
              </w:rPr>
              <w:t>T44.1,</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328"/>
              <w:rPr>
                <w:sz w:val="20"/>
              </w:rPr>
            </w:pPr>
            <w:r>
              <w:rPr>
                <w:sz w:val="20"/>
              </w:rPr>
              <w:t>T44.2,</w:t>
            </w:r>
            <w:r>
              <w:rPr>
                <w:spacing w:val="-7"/>
                <w:sz w:val="20"/>
              </w:rPr>
              <w:t> </w:t>
            </w:r>
            <w:r>
              <w:rPr>
                <w:sz w:val="20"/>
              </w:rPr>
              <w:t>T44.3,</w:t>
            </w:r>
            <w:r>
              <w:rPr>
                <w:spacing w:val="-5"/>
                <w:sz w:val="20"/>
              </w:rPr>
              <w:t> </w:t>
            </w:r>
            <w:r>
              <w:rPr>
                <w:sz w:val="20"/>
              </w:rPr>
              <w:t>T44.4,</w:t>
            </w:r>
            <w:r>
              <w:rPr>
                <w:spacing w:val="-5"/>
                <w:sz w:val="20"/>
              </w:rPr>
              <w:t> </w:t>
            </w:r>
            <w:r>
              <w:rPr>
                <w:sz w:val="20"/>
              </w:rPr>
              <w:t>T44.5,</w:t>
            </w:r>
            <w:r>
              <w:rPr>
                <w:spacing w:val="-5"/>
                <w:sz w:val="20"/>
              </w:rPr>
              <w:t> </w:t>
            </w:r>
            <w:r>
              <w:rPr>
                <w:sz w:val="20"/>
              </w:rPr>
              <w:t>T44.6,</w:t>
            </w:r>
            <w:r>
              <w:rPr>
                <w:spacing w:val="-5"/>
                <w:sz w:val="20"/>
              </w:rPr>
              <w:t> </w:t>
            </w:r>
            <w:r>
              <w:rPr>
                <w:sz w:val="20"/>
              </w:rPr>
              <w:t>T44.7,</w:t>
            </w:r>
            <w:r>
              <w:rPr>
                <w:spacing w:val="-5"/>
                <w:sz w:val="20"/>
              </w:rPr>
              <w:t> </w:t>
            </w:r>
            <w:r>
              <w:rPr>
                <w:spacing w:val="-2"/>
                <w:sz w:val="20"/>
              </w:rPr>
              <w:t>T44.8,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T44.9,</w:t>
            </w:r>
            <w:r>
              <w:rPr>
                <w:spacing w:val="-7"/>
                <w:sz w:val="20"/>
              </w:rPr>
              <w:t> </w:t>
            </w:r>
            <w:r>
              <w:rPr>
                <w:sz w:val="20"/>
              </w:rPr>
              <w:t>T45,</w:t>
            </w:r>
            <w:r>
              <w:rPr>
                <w:spacing w:val="-7"/>
                <w:sz w:val="20"/>
              </w:rPr>
              <w:t> </w:t>
            </w:r>
            <w:r>
              <w:rPr>
                <w:sz w:val="20"/>
              </w:rPr>
              <w:t>T45.0,</w:t>
            </w:r>
            <w:r>
              <w:rPr>
                <w:spacing w:val="-4"/>
                <w:sz w:val="20"/>
              </w:rPr>
              <w:t> </w:t>
            </w:r>
            <w:r>
              <w:rPr>
                <w:sz w:val="20"/>
              </w:rPr>
              <w:t>T45.1,</w:t>
            </w:r>
            <w:r>
              <w:rPr>
                <w:spacing w:val="-5"/>
                <w:sz w:val="20"/>
              </w:rPr>
              <w:t> </w:t>
            </w:r>
            <w:r>
              <w:rPr>
                <w:sz w:val="20"/>
              </w:rPr>
              <w:t>T45.2,</w:t>
            </w:r>
            <w:r>
              <w:rPr>
                <w:spacing w:val="-5"/>
                <w:sz w:val="20"/>
              </w:rPr>
              <w:t> </w:t>
            </w:r>
            <w:r>
              <w:rPr>
                <w:sz w:val="20"/>
              </w:rPr>
              <w:t>T45.3,</w:t>
            </w:r>
            <w:r>
              <w:rPr>
                <w:spacing w:val="-4"/>
                <w:sz w:val="20"/>
              </w:rPr>
              <w:t> </w:t>
            </w:r>
            <w:r>
              <w:rPr>
                <w:spacing w:val="-2"/>
                <w:sz w:val="20"/>
              </w:rPr>
              <w:t>T45.4,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T45.5,</w:t>
            </w:r>
            <w:r>
              <w:rPr>
                <w:spacing w:val="-7"/>
                <w:sz w:val="20"/>
              </w:rPr>
              <w:t> </w:t>
            </w:r>
            <w:r>
              <w:rPr>
                <w:sz w:val="20"/>
              </w:rPr>
              <w:t>T45.6,</w:t>
            </w:r>
            <w:r>
              <w:rPr>
                <w:spacing w:val="-4"/>
                <w:sz w:val="20"/>
              </w:rPr>
              <w:t> </w:t>
            </w:r>
            <w:r>
              <w:rPr>
                <w:sz w:val="20"/>
              </w:rPr>
              <w:t>T45.7,</w:t>
            </w:r>
            <w:r>
              <w:rPr>
                <w:spacing w:val="-4"/>
                <w:sz w:val="20"/>
              </w:rPr>
              <w:t> </w:t>
            </w:r>
            <w:r>
              <w:rPr>
                <w:sz w:val="20"/>
              </w:rPr>
              <w:t>T45.8,</w:t>
            </w:r>
            <w:r>
              <w:rPr>
                <w:spacing w:val="-5"/>
                <w:sz w:val="20"/>
              </w:rPr>
              <w:t> </w:t>
            </w:r>
            <w:r>
              <w:rPr>
                <w:sz w:val="20"/>
              </w:rPr>
              <w:t>T45.9,</w:t>
            </w:r>
            <w:r>
              <w:rPr>
                <w:spacing w:val="-4"/>
                <w:sz w:val="20"/>
              </w:rPr>
              <w:t> </w:t>
            </w:r>
            <w:r>
              <w:rPr>
                <w:sz w:val="20"/>
              </w:rPr>
              <w:t>T46,</w:t>
            </w:r>
            <w:r>
              <w:rPr>
                <w:spacing w:val="-6"/>
                <w:sz w:val="20"/>
              </w:rPr>
              <w:t> </w:t>
            </w:r>
            <w:r>
              <w:rPr>
                <w:spacing w:val="-2"/>
                <w:sz w:val="20"/>
              </w:rPr>
              <w:t>T46.0,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T46.1,</w:t>
            </w:r>
            <w:r>
              <w:rPr>
                <w:spacing w:val="-7"/>
                <w:sz w:val="20"/>
              </w:rPr>
              <w:t> </w:t>
            </w:r>
            <w:r>
              <w:rPr>
                <w:sz w:val="20"/>
              </w:rPr>
              <w:t>T46.2,</w:t>
            </w:r>
            <w:r>
              <w:rPr>
                <w:spacing w:val="-5"/>
                <w:sz w:val="20"/>
              </w:rPr>
              <w:t> </w:t>
            </w:r>
            <w:r>
              <w:rPr>
                <w:sz w:val="20"/>
              </w:rPr>
              <w:t>T46.3,</w:t>
            </w:r>
            <w:r>
              <w:rPr>
                <w:spacing w:val="-5"/>
                <w:sz w:val="20"/>
              </w:rPr>
              <w:t> </w:t>
            </w:r>
            <w:r>
              <w:rPr>
                <w:sz w:val="20"/>
              </w:rPr>
              <w:t>T46.4,</w:t>
            </w:r>
            <w:r>
              <w:rPr>
                <w:spacing w:val="-5"/>
                <w:sz w:val="20"/>
              </w:rPr>
              <w:t> </w:t>
            </w:r>
            <w:r>
              <w:rPr>
                <w:sz w:val="20"/>
              </w:rPr>
              <w:t>T46.5,</w:t>
            </w:r>
            <w:r>
              <w:rPr>
                <w:spacing w:val="-5"/>
                <w:sz w:val="20"/>
              </w:rPr>
              <w:t> </w:t>
            </w:r>
            <w:r>
              <w:rPr>
                <w:sz w:val="20"/>
              </w:rPr>
              <w:t>T46.6,</w:t>
            </w:r>
            <w:r>
              <w:rPr>
                <w:spacing w:val="-5"/>
                <w:sz w:val="20"/>
              </w:rPr>
              <w:t> </w:t>
            </w:r>
            <w:r>
              <w:rPr>
                <w:spacing w:val="-2"/>
                <w:sz w:val="20"/>
              </w:rPr>
              <w:t>T46.7,</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T46.8,</w:t>
            </w:r>
            <w:r>
              <w:rPr>
                <w:spacing w:val="-7"/>
                <w:sz w:val="20"/>
              </w:rPr>
              <w:t> </w:t>
            </w:r>
            <w:r>
              <w:rPr>
                <w:sz w:val="20"/>
              </w:rPr>
              <w:t>T46.9,</w:t>
            </w:r>
            <w:r>
              <w:rPr>
                <w:spacing w:val="-5"/>
                <w:sz w:val="20"/>
              </w:rPr>
              <w:t> </w:t>
            </w:r>
            <w:r>
              <w:rPr>
                <w:sz w:val="20"/>
              </w:rPr>
              <w:t>T47,</w:t>
            </w:r>
            <w:r>
              <w:rPr>
                <w:spacing w:val="-5"/>
                <w:sz w:val="20"/>
              </w:rPr>
              <w:t> </w:t>
            </w:r>
            <w:r>
              <w:rPr>
                <w:sz w:val="20"/>
              </w:rPr>
              <w:t>T47.0,</w:t>
            </w:r>
            <w:r>
              <w:rPr>
                <w:spacing w:val="-5"/>
                <w:sz w:val="20"/>
              </w:rPr>
              <w:t> </w:t>
            </w:r>
            <w:r>
              <w:rPr>
                <w:sz w:val="20"/>
              </w:rPr>
              <w:t>T47.1,</w:t>
            </w:r>
            <w:r>
              <w:rPr>
                <w:spacing w:val="-5"/>
                <w:sz w:val="20"/>
              </w:rPr>
              <w:t> </w:t>
            </w:r>
            <w:r>
              <w:rPr>
                <w:sz w:val="20"/>
              </w:rPr>
              <w:t>T47.2,</w:t>
            </w:r>
            <w:r>
              <w:rPr>
                <w:spacing w:val="-5"/>
                <w:sz w:val="20"/>
              </w:rPr>
              <w:t> </w:t>
            </w:r>
            <w:r>
              <w:rPr>
                <w:spacing w:val="-2"/>
                <w:sz w:val="20"/>
              </w:rPr>
              <w:t>T47.3,</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T47.4,</w:t>
            </w:r>
            <w:r>
              <w:rPr>
                <w:spacing w:val="-7"/>
                <w:sz w:val="20"/>
              </w:rPr>
              <w:t> </w:t>
            </w:r>
            <w:r>
              <w:rPr>
                <w:sz w:val="20"/>
              </w:rPr>
              <w:t>T47.5,</w:t>
            </w:r>
            <w:r>
              <w:rPr>
                <w:spacing w:val="-5"/>
                <w:sz w:val="20"/>
              </w:rPr>
              <w:t> </w:t>
            </w:r>
            <w:r>
              <w:rPr>
                <w:sz w:val="20"/>
              </w:rPr>
              <w:t>T47.6,</w:t>
            </w:r>
            <w:r>
              <w:rPr>
                <w:spacing w:val="-5"/>
                <w:sz w:val="20"/>
              </w:rPr>
              <w:t> </w:t>
            </w:r>
            <w:r>
              <w:rPr>
                <w:sz w:val="20"/>
              </w:rPr>
              <w:t>T47.7,</w:t>
            </w:r>
            <w:r>
              <w:rPr>
                <w:spacing w:val="-5"/>
                <w:sz w:val="20"/>
              </w:rPr>
              <w:t> </w:t>
            </w:r>
            <w:r>
              <w:rPr>
                <w:sz w:val="20"/>
              </w:rPr>
              <w:t>T47.8,</w:t>
            </w:r>
            <w:r>
              <w:rPr>
                <w:spacing w:val="-5"/>
                <w:sz w:val="20"/>
              </w:rPr>
              <w:t> </w:t>
            </w:r>
            <w:r>
              <w:rPr>
                <w:sz w:val="20"/>
              </w:rPr>
              <w:t>T47.9,</w:t>
            </w:r>
            <w:r>
              <w:rPr>
                <w:spacing w:val="-5"/>
                <w:sz w:val="20"/>
              </w:rPr>
              <w:t> </w:t>
            </w:r>
            <w:r>
              <w:rPr>
                <w:spacing w:val="-4"/>
                <w:sz w:val="20"/>
              </w:rPr>
              <w:t>T48,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T48.0,</w:t>
            </w:r>
            <w:r>
              <w:rPr>
                <w:spacing w:val="-7"/>
                <w:sz w:val="20"/>
              </w:rPr>
              <w:t> </w:t>
            </w:r>
            <w:r>
              <w:rPr>
                <w:sz w:val="20"/>
              </w:rPr>
              <w:t>T48.1,</w:t>
            </w:r>
            <w:r>
              <w:rPr>
                <w:spacing w:val="-5"/>
                <w:sz w:val="20"/>
              </w:rPr>
              <w:t> </w:t>
            </w:r>
            <w:r>
              <w:rPr>
                <w:sz w:val="20"/>
              </w:rPr>
              <w:t>T48.2,</w:t>
            </w:r>
            <w:r>
              <w:rPr>
                <w:spacing w:val="-5"/>
                <w:sz w:val="20"/>
              </w:rPr>
              <w:t> </w:t>
            </w:r>
            <w:r>
              <w:rPr>
                <w:sz w:val="20"/>
              </w:rPr>
              <w:t>T48.3,</w:t>
            </w:r>
            <w:r>
              <w:rPr>
                <w:spacing w:val="-5"/>
                <w:sz w:val="20"/>
              </w:rPr>
              <w:t> </w:t>
            </w:r>
            <w:r>
              <w:rPr>
                <w:sz w:val="20"/>
              </w:rPr>
              <w:t>T48.4,</w:t>
            </w:r>
            <w:r>
              <w:rPr>
                <w:spacing w:val="-5"/>
                <w:sz w:val="20"/>
              </w:rPr>
              <w:t> </w:t>
            </w:r>
            <w:r>
              <w:rPr>
                <w:sz w:val="20"/>
              </w:rPr>
              <w:t>T48.5,</w:t>
            </w:r>
            <w:r>
              <w:rPr>
                <w:spacing w:val="-5"/>
                <w:sz w:val="20"/>
              </w:rPr>
              <w:t> </w:t>
            </w:r>
            <w:r>
              <w:rPr>
                <w:spacing w:val="-2"/>
                <w:sz w:val="20"/>
              </w:rPr>
              <w:t>T48.6,</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T48.7,</w:t>
            </w:r>
            <w:r>
              <w:rPr>
                <w:spacing w:val="-7"/>
                <w:sz w:val="20"/>
              </w:rPr>
              <w:t> </w:t>
            </w:r>
            <w:r>
              <w:rPr>
                <w:sz w:val="20"/>
              </w:rPr>
              <w:t>T49,</w:t>
            </w:r>
            <w:r>
              <w:rPr>
                <w:spacing w:val="-7"/>
                <w:sz w:val="20"/>
              </w:rPr>
              <w:t> </w:t>
            </w:r>
            <w:r>
              <w:rPr>
                <w:sz w:val="20"/>
              </w:rPr>
              <w:t>T49.0,</w:t>
            </w:r>
            <w:r>
              <w:rPr>
                <w:spacing w:val="-4"/>
                <w:sz w:val="20"/>
              </w:rPr>
              <w:t> </w:t>
            </w:r>
            <w:r>
              <w:rPr>
                <w:sz w:val="20"/>
              </w:rPr>
              <w:t>T49.1,</w:t>
            </w:r>
            <w:r>
              <w:rPr>
                <w:spacing w:val="-2"/>
                <w:sz w:val="20"/>
              </w:rPr>
              <w:t> </w:t>
            </w:r>
            <w:r>
              <w:rPr>
                <w:sz w:val="20"/>
              </w:rPr>
              <w:t>T49.2,</w:t>
            </w:r>
            <w:r>
              <w:rPr>
                <w:spacing w:val="-5"/>
                <w:sz w:val="20"/>
              </w:rPr>
              <w:t> </w:t>
            </w:r>
            <w:r>
              <w:rPr>
                <w:sz w:val="20"/>
              </w:rPr>
              <w:t>T49.3,</w:t>
            </w:r>
            <w:r>
              <w:rPr>
                <w:spacing w:val="-4"/>
                <w:sz w:val="20"/>
              </w:rPr>
              <w:t> </w:t>
            </w:r>
            <w:r>
              <w:rPr>
                <w:spacing w:val="-2"/>
                <w:sz w:val="20"/>
              </w:rPr>
              <w:t>T49.4,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T49.5,</w:t>
            </w:r>
            <w:r>
              <w:rPr>
                <w:spacing w:val="-7"/>
                <w:sz w:val="20"/>
              </w:rPr>
              <w:t> </w:t>
            </w:r>
            <w:r>
              <w:rPr>
                <w:sz w:val="20"/>
              </w:rPr>
              <w:t>T49.6,</w:t>
            </w:r>
            <w:r>
              <w:rPr>
                <w:spacing w:val="-4"/>
                <w:sz w:val="20"/>
              </w:rPr>
              <w:t> </w:t>
            </w:r>
            <w:r>
              <w:rPr>
                <w:sz w:val="20"/>
              </w:rPr>
              <w:t>T49.7,</w:t>
            </w:r>
            <w:r>
              <w:rPr>
                <w:spacing w:val="-5"/>
                <w:sz w:val="20"/>
              </w:rPr>
              <w:t> </w:t>
            </w:r>
            <w:r>
              <w:rPr>
                <w:sz w:val="20"/>
              </w:rPr>
              <w:t>T49.8,</w:t>
            </w:r>
            <w:r>
              <w:rPr>
                <w:spacing w:val="-4"/>
                <w:sz w:val="20"/>
              </w:rPr>
              <w:t> </w:t>
            </w:r>
            <w:r>
              <w:rPr>
                <w:sz w:val="20"/>
              </w:rPr>
              <w:t>T49.9,</w:t>
            </w:r>
            <w:r>
              <w:rPr>
                <w:spacing w:val="-5"/>
                <w:sz w:val="20"/>
              </w:rPr>
              <w:t> </w:t>
            </w:r>
            <w:r>
              <w:rPr>
                <w:sz w:val="20"/>
              </w:rPr>
              <w:t>T50,</w:t>
            </w:r>
            <w:r>
              <w:rPr>
                <w:spacing w:val="-6"/>
                <w:sz w:val="20"/>
              </w:rPr>
              <w:t> </w:t>
            </w:r>
            <w:r>
              <w:rPr>
                <w:spacing w:val="-2"/>
                <w:sz w:val="20"/>
              </w:rPr>
              <w:t>T50.0,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T50.1,</w:t>
            </w:r>
            <w:r>
              <w:rPr>
                <w:spacing w:val="-7"/>
                <w:sz w:val="20"/>
              </w:rPr>
              <w:t> </w:t>
            </w:r>
            <w:r>
              <w:rPr>
                <w:sz w:val="20"/>
              </w:rPr>
              <w:t>T50.2,</w:t>
            </w:r>
            <w:r>
              <w:rPr>
                <w:spacing w:val="-5"/>
                <w:sz w:val="20"/>
              </w:rPr>
              <w:t> </w:t>
            </w:r>
            <w:r>
              <w:rPr>
                <w:sz w:val="20"/>
              </w:rPr>
              <w:t>T50.3,</w:t>
            </w:r>
            <w:r>
              <w:rPr>
                <w:spacing w:val="-5"/>
                <w:sz w:val="20"/>
              </w:rPr>
              <w:t> </w:t>
            </w:r>
            <w:r>
              <w:rPr>
                <w:sz w:val="20"/>
              </w:rPr>
              <w:t>T50.4,</w:t>
            </w:r>
            <w:r>
              <w:rPr>
                <w:spacing w:val="-5"/>
                <w:sz w:val="20"/>
              </w:rPr>
              <w:t> </w:t>
            </w:r>
            <w:r>
              <w:rPr>
                <w:sz w:val="20"/>
              </w:rPr>
              <w:t>T50.5,</w:t>
            </w:r>
            <w:r>
              <w:rPr>
                <w:spacing w:val="-5"/>
                <w:sz w:val="20"/>
              </w:rPr>
              <w:t> </w:t>
            </w:r>
            <w:r>
              <w:rPr>
                <w:sz w:val="20"/>
              </w:rPr>
              <w:t>T50.6,</w:t>
            </w:r>
            <w:r>
              <w:rPr>
                <w:spacing w:val="-5"/>
                <w:sz w:val="20"/>
              </w:rPr>
              <w:t> </w:t>
            </w:r>
            <w:r>
              <w:rPr>
                <w:spacing w:val="-2"/>
                <w:sz w:val="20"/>
              </w:rPr>
              <w:t>T50.7,</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T50.8,</w:t>
            </w:r>
            <w:r>
              <w:rPr>
                <w:spacing w:val="-7"/>
                <w:sz w:val="20"/>
              </w:rPr>
              <w:t> </w:t>
            </w:r>
            <w:r>
              <w:rPr>
                <w:sz w:val="20"/>
              </w:rPr>
              <w:t>T50.9,</w:t>
            </w:r>
            <w:r>
              <w:rPr>
                <w:spacing w:val="-5"/>
                <w:sz w:val="20"/>
              </w:rPr>
              <w:t> </w:t>
            </w:r>
            <w:r>
              <w:rPr>
                <w:sz w:val="20"/>
              </w:rPr>
              <w:t>T51,</w:t>
            </w:r>
            <w:r>
              <w:rPr>
                <w:spacing w:val="-5"/>
                <w:sz w:val="20"/>
              </w:rPr>
              <w:t> </w:t>
            </w:r>
            <w:r>
              <w:rPr>
                <w:sz w:val="20"/>
              </w:rPr>
              <w:t>T51.0,</w:t>
            </w:r>
            <w:r>
              <w:rPr>
                <w:spacing w:val="-5"/>
                <w:sz w:val="20"/>
              </w:rPr>
              <w:t> </w:t>
            </w:r>
            <w:r>
              <w:rPr>
                <w:sz w:val="20"/>
              </w:rPr>
              <w:t>T51.1,</w:t>
            </w:r>
            <w:r>
              <w:rPr>
                <w:spacing w:val="-5"/>
                <w:sz w:val="20"/>
              </w:rPr>
              <w:t> </w:t>
            </w:r>
            <w:r>
              <w:rPr>
                <w:sz w:val="20"/>
              </w:rPr>
              <w:t>T51.2,</w:t>
            </w:r>
            <w:r>
              <w:rPr>
                <w:spacing w:val="-5"/>
                <w:sz w:val="20"/>
              </w:rPr>
              <w:t> </w:t>
            </w:r>
            <w:r>
              <w:rPr>
                <w:spacing w:val="-2"/>
                <w:sz w:val="20"/>
              </w:rPr>
              <w:t>T51.3,</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T51.8,</w:t>
            </w:r>
            <w:r>
              <w:rPr>
                <w:spacing w:val="-7"/>
                <w:sz w:val="20"/>
              </w:rPr>
              <w:t> </w:t>
            </w:r>
            <w:r>
              <w:rPr>
                <w:sz w:val="20"/>
              </w:rPr>
              <w:t>T51.9,</w:t>
            </w:r>
            <w:r>
              <w:rPr>
                <w:spacing w:val="-5"/>
                <w:sz w:val="20"/>
              </w:rPr>
              <w:t> </w:t>
            </w:r>
            <w:r>
              <w:rPr>
                <w:sz w:val="20"/>
              </w:rPr>
              <w:t>T52,</w:t>
            </w:r>
            <w:r>
              <w:rPr>
                <w:spacing w:val="-5"/>
                <w:sz w:val="20"/>
              </w:rPr>
              <w:t> </w:t>
            </w:r>
            <w:r>
              <w:rPr>
                <w:sz w:val="20"/>
              </w:rPr>
              <w:t>T52.0,</w:t>
            </w:r>
            <w:r>
              <w:rPr>
                <w:spacing w:val="-5"/>
                <w:sz w:val="20"/>
              </w:rPr>
              <w:t> </w:t>
            </w:r>
            <w:r>
              <w:rPr>
                <w:sz w:val="20"/>
              </w:rPr>
              <w:t>T52.1,</w:t>
            </w:r>
            <w:r>
              <w:rPr>
                <w:spacing w:val="-5"/>
                <w:sz w:val="20"/>
              </w:rPr>
              <w:t> </w:t>
            </w:r>
            <w:r>
              <w:rPr>
                <w:sz w:val="20"/>
              </w:rPr>
              <w:t>T52.2,</w:t>
            </w:r>
            <w:r>
              <w:rPr>
                <w:spacing w:val="-5"/>
                <w:sz w:val="20"/>
              </w:rPr>
              <w:t> </w:t>
            </w:r>
            <w:r>
              <w:rPr>
                <w:spacing w:val="-2"/>
                <w:sz w:val="20"/>
              </w:rPr>
              <w:t>T52.3,</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T52.4,</w:t>
            </w:r>
            <w:r>
              <w:rPr>
                <w:spacing w:val="-7"/>
                <w:sz w:val="20"/>
              </w:rPr>
              <w:t> </w:t>
            </w:r>
            <w:r>
              <w:rPr>
                <w:sz w:val="20"/>
              </w:rPr>
              <w:t>T52.8,</w:t>
            </w:r>
            <w:r>
              <w:rPr>
                <w:spacing w:val="-5"/>
                <w:sz w:val="20"/>
              </w:rPr>
              <w:t> </w:t>
            </w:r>
            <w:r>
              <w:rPr>
                <w:sz w:val="20"/>
              </w:rPr>
              <w:t>T52.9,</w:t>
            </w:r>
            <w:r>
              <w:rPr>
                <w:spacing w:val="-5"/>
                <w:sz w:val="20"/>
              </w:rPr>
              <w:t> </w:t>
            </w:r>
            <w:r>
              <w:rPr>
                <w:sz w:val="20"/>
              </w:rPr>
              <w:t>T53,</w:t>
            </w:r>
            <w:r>
              <w:rPr>
                <w:spacing w:val="-5"/>
                <w:sz w:val="20"/>
              </w:rPr>
              <w:t> </w:t>
            </w:r>
            <w:r>
              <w:rPr>
                <w:sz w:val="20"/>
              </w:rPr>
              <w:t>T53.0,</w:t>
            </w:r>
            <w:r>
              <w:rPr>
                <w:spacing w:val="-5"/>
                <w:sz w:val="20"/>
              </w:rPr>
              <w:t> </w:t>
            </w:r>
            <w:r>
              <w:rPr>
                <w:sz w:val="20"/>
              </w:rPr>
              <w:t>T53.1,</w:t>
            </w:r>
            <w:r>
              <w:rPr>
                <w:spacing w:val="-5"/>
                <w:sz w:val="20"/>
              </w:rPr>
              <w:t> </w:t>
            </w:r>
            <w:r>
              <w:rPr>
                <w:spacing w:val="-2"/>
                <w:sz w:val="20"/>
              </w:rPr>
              <w:t>T53.2,</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T53.3,</w:t>
            </w:r>
            <w:r>
              <w:rPr>
                <w:spacing w:val="-7"/>
                <w:sz w:val="20"/>
              </w:rPr>
              <w:t> </w:t>
            </w:r>
            <w:r>
              <w:rPr>
                <w:sz w:val="20"/>
              </w:rPr>
              <w:t>T53.4,</w:t>
            </w:r>
            <w:r>
              <w:rPr>
                <w:spacing w:val="-5"/>
                <w:sz w:val="20"/>
              </w:rPr>
              <w:t> </w:t>
            </w:r>
            <w:r>
              <w:rPr>
                <w:sz w:val="20"/>
              </w:rPr>
              <w:t>T53.5,</w:t>
            </w:r>
            <w:r>
              <w:rPr>
                <w:spacing w:val="-5"/>
                <w:sz w:val="20"/>
              </w:rPr>
              <w:t> </w:t>
            </w:r>
            <w:r>
              <w:rPr>
                <w:sz w:val="20"/>
              </w:rPr>
              <w:t>T53.6,</w:t>
            </w:r>
            <w:r>
              <w:rPr>
                <w:spacing w:val="-5"/>
                <w:sz w:val="20"/>
              </w:rPr>
              <w:t> </w:t>
            </w:r>
            <w:r>
              <w:rPr>
                <w:sz w:val="20"/>
              </w:rPr>
              <w:t>T53.7,</w:t>
            </w:r>
            <w:r>
              <w:rPr>
                <w:spacing w:val="-5"/>
                <w:sz w:val="20"/>
              </w:rPr>
              <w:t> </w:t>
            </w:r>
            <w:r>
              <w:rPr>
                <w:sz w:val="20"/>
              </w:rPr>
              <w:t>T53.9,</w:t>
            </w:r>
            <w:r>
              <w:rPr>
                <w:spacing w:val="-5"/>
                <w:sz w:val="20"/>
              </w:rPr>
              <w:t> </w:t>
            </w:r>
            <w:r>
              <w:rPr>
                <w:spacing w:val="-4"/>
                <w:sz w:val="20"/>
              </w:rPr>
              <w:t>T54,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77"/>
              <w:rPr>
                <w:sz w:val="20"/>
              </w:rPr>
            </w:pPr>
            <w:r>
              <w:rPr>
                <w:sz w:val="20"/>
              </w:rPr>
              <w:t>T54.0,</w:t>
            </w:r>
            <w:r>
              <w:rPr>
                <w:spacing w:val="-7"/>
                <w:sz w:val="20"/>
              </w:rPr>
              <w:t> </w:t>
            </w:r>
            <w:r>
              <w:rPr>
                <w:sz w:val="20"/>
              </w:rPr>
              <w:t>T54.1,</w:t>
            </w:r>
            <w:r>
              <w:rPr>
                <w:spacing w:val="-4"/>
                <w:sz w:val="20"/>
              </w:rPr>
              <w:t> </w:t>
            </w:r>
            <w:r>
              <w:rPr>
                <w:sz w:val="20"/>
              </w:rPr>
              <w:t>T54.2,</w:t>
            </w:r>
            <w:r>
              <w:rPr>
                <w:spacing w:val="-5"/>
                <w:sz w:val="20"/>
              </w:rPr>
              <w:t> </w:t>
            </w:r>
            <w:r>
              <w:rPr>
                <w:sz w:val="20"/>
              </w:rPr>
              <w:t>T54.3,</w:t>
            </w:r>
            <w:r>
              <w:rPr>
                <w:spacing w:val="-4"/>
                <w:sz w:val="20"/>
              </w:rPr>
              <w:t> </w:t>
            </w:r>
            <w:r>
              <w:rPr>
                <w:sz w:val="20"/>
              </w:rPr>
              <w:t>T54.9,</w:t>
            </w:r>
            <w:r>
              <w:rPr>
                <w:spacing w:val="-5"/>
                <w:sz w:val="20"/>
              </w:rPr>
              <w:t> </w:t>
            </w:r>
            <w:r>
              <w:rPr>
                <w:sz w:val="20"/>
              </w:rPr>
              <w:t>T55,</w:t>
            </w:r>
            <w:r>
              <w:rPr>
                <w:spacing w:val="-6"/>
                <w:sz w:val="20"/>
              </w:rPr>
              <w:t> </w:t>
            </w:r>
            <w:r>
              <w:rPr>
                <w:spacing w:val="-4"/>
                <w:sz w:val="20"/>
              </w:rPr>
              <w:t>T56,</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T56.0,</w:t>
            </w:r>
            <w:r>
              <w:rPr>
                <w:spacing w:val="-7"/>
                <w:sz w:val="20"/>
              </w:rPr>
              <w:t> </w:t>
            </w:r>
            <w:r>
              <w:rPr>
                <w:sz w:val="20"/>
              </w:rPr>
              <w:t>T56.1,</w:t>
            </w:r>
            <w:r>
              <w:rPr>
                <w:spacing w:val="-5"/>
                <w:sz w:val="20"/>
              </w:rPr>
              <w:t> </w:t>
            </w:r>
            <w:r>
              <w:rPr>
                <w:sz w:val="20"/>
              </w:rPr>
              <w:t>T56.2,</w:t>
            </w:r>
            <w:r>
              <w:rPr>
                <w:spacing w:val="-5"/>
                <w:sz w:val="20"/>
              </w:rPr>
              <w:t> </w:t>
            </w:r>
            <w:r>
              <w:rPr>
                <w:sz w:val="20"/>
              </w:rPr>
              <w:t>T56.3,</w:t>
            </w:r>
            <w:r>
              <w:rPr>
                <w:spacing w:val="-5"/>
                <w:sz w:val="20"/>
              </w:rPr>
              <w:t> </w:t>
            </w:r>
            <w:r>
              <w:rPr>
                <w:sz w:val="20"/>
              </w:rPr>
              <w:t>T56.4,</w:t>
            </w:r>
            <w:r>
              <w:rPr>
                <w:spacing w:val="-5"/>
                <w:sz w:val="20"/>
              </w:rPr>
              <w:t> </w:t>
            </w:r>
            <w:r>
              <w:rPr>
                <w:sz w:val="20"/>
              </w:rPr>
              <w:t>T56.5,</w:t>
            </w:r>
            <w:r>
              <w:rPr>
                <w:spacing w:val="-5"/>
                <w:sz w:val="20"/>
              </w:rPr>
              <w:t> </w:t>
            </w:r>
            <w:r>
              <w:rPr>
                <w:spacing w:val="-2"/>
                <w:sz w:val="20"/>
              </w:rPr>
              <w:t>T56.6,</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T56.7,</w:t>
            </w:r>
            <w:r>
              <w:rPr>
                <w:spacing w:val="-7"/>
                <w:sz w:val="20"/>
              </w:rPr>
              <w:t> </w:t>
            </w:r>
            <w:r>
              <w:rPr>
                <w:sz w:val="20"/>
              </w:rPr>
              <w:t>T56.8,</w:t>
            </w:r>
            <w:r>
              <w:rPr>
                <w:spacing w:val="-5"/>
                <w:sz w:val="20"/>
              </w:rPr>
              <w:t> </w:t>
            </w:r>
            <w:r>
              <w:rPr>
                <w:sz w:val="20"/>
              </w:rPr>
              <w:t>T56.9,</w:t>
            </w:r>
            <w:r>
              <w:rPr>
                <w:spacing w:val="-5"/>
                <w:sz w:val="20"/>
              </w:rPr>
              <w:t> </w:t>
            </w:r>
            <w:r>
              <w:rPr>
                <w:sz w:val="20"/>
              </w:rPr>
              <w:t>T57,</w:t>
            </w:r>
            <w:r>
              <w:rPr>
                <w:spacing w:val="-5"/>
                <w:sz w:val="20"/>
              </w:rPr>
              <w:t> </w:t>
            </w:r>
            <w:r>
              <w:rPr>
                <w:sz w:val="20"/>
              </w:rPr>
              <w:t>T57.0,</w:t>
            </w:r>
            <w:r>
              <w:rPr>
                <w:spacing w:val="-5"/>
                <w:sz w:val="20"/>
              </w:rPr>
              <w:t> </w:t>
            </w:r>
            <w:r>
              <w:rPr>
                <w:sz w:val="20"/>
              </w:rPr>
              <w:t>T57.1,</w:t>
            </w:r>
            <w:r>
              <w:rPr>
                <w:spacing w:val="-5"/>
                <w:sz w:val="20"/>
              </w:rPr>
              <w:t> </w:t>
            </w:r>
            <w:r>
              <w:rPr>
                <w:spacing w:val="-2"/>
                <w:sz w:val="20"/>
              </w:rPr>
              <w:t>T57.2,</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77"/>
              <w:rPr>
                <w:sz w:val="20"/>
              </w:rPr>
            </w:pPr>
            <w:r>
              <w:rPr>
                <w:sz w:val="20"/>
              </w:rPr>
              <w:t>T57.3,</w:t>
            </w:r>
            <w:r>
              <w:rPr>
                <w:spacing w:val="-7"/>
                <w:sz w:val="20"/>
              </w:rPr>
              <w:t> </w:t>
            </w:r>
            <w:r>
              <w:rPr>
                <w:sz w:val="20"/>
              </w:rPr>
              <w:t>T57.8,</w:t>
            </w:r>
            <w:r>
              <w:rPr>
                <w:spacing w:val="-4"/>
                <w:sz w:val="20"/>
              </w:rPr>
              <w:t> </w:t>
            </w:r>
            <w:r>
              <w:rPr>
                <w:sz w:val="20"/>
              </w:rPr>
              <w:t>T57.9,</w:t>
            </w:r>
            <w:r>
              <w:rPr>
                <w:spacing w:val="-5"/>
                <w:sz w:val="20"/>
              </w:rPr>
              <w:t> </w:t>
            </w:r>
            <w:r>
              <w:rPr>
                <w:sz w:val="20"/>
              </w:rPr>
              <w:t>T58,</w:t>
            </w:r>
            <w:r>
              <w:rPr>
                <w:spacing w:val="-4"/>
                <w:sz w:val="20"/>
              </w:rPr>
              <w:t> </w:t>
            </w:r>
            <w:r>
              <w:rPr>
                <w:sz w:val="20"/>
              </w:rPr>
              <w:t>T59,</w:t>
            </w:r>
            <w:r>
              <w:rPr>
                <w:spacing w:val="-4"/>
                <w:sz w:val="20"/>
              </w:rPr>
              <w:t> </w:t>
            </w:r>
            <w:r>
              <w:rPr>
                <w:sz w:val="20"/>
              </w:rPr>
              <w:t>T59.0,</w:t>
            </w:r>
            <w:r>
              <w:rPr>
                <w:spacing w:val="-5"/>
                <w:sz w:val="20"/>
              </w:rPr>
              <w:t> </w:t>
            </w:r>
            <w:r>
              <w:rPr>
                <w:spacing w:val="-2"/>
                <w:sz w:val="20"/>
              </w:rPr>
              <w:t>T59.1,</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5" w:lineRule="exact"/>
              <w:ind w:left="328"/>
              <w:rPr>
                <w:sz w:val="20"/>
              </w:rPr>
            </w:pPr>
            <w:r>
              <w:rPr>
                <w:sz w:val="20"/>
              </w:rPr>
              <w:t>T59.2,</w:t>
            </w:r>
            <w:r>
              <w:rPr>
                <w:spacing w:val="-7"/>
                <w:sz w:val="20"/>
              </w:rPr>
              <w:t> </w:t>
            </w:r>
            <w:r>
              <w:rPr>
                <w:sz w:val="20"/>
              </w:rPr>
              <w:t>T59.3,</w:t>
            </w:r>
            <w:r>
              <w:rPr>
                <w:spacing w:val="-5"/>
                <w:sz w:val="20"/>
              </w:rPr>
              <w:t> </w:t>
            </w:r>
            <w:r>
              <w:rPr>
                <w:sz w:val="20"/>
              </w:rPr>
              <w:t>T59.4,</w:t>
            </w:r>
            <w:r>
              <w:rPr>
                <w:spacing w:val="-2"/>
                <w:sz w:val="20"/>
              </w:rPr>
              <w:t> </w:t>
            </w:r>
            <w:r>
              <w:rPr>
                <w:sz w:val="20"/>
              </w:rPr>
              <w:t>T59.5,</w:t>
            </w:r>
            <w:r>
              <w:rPr>
                <w:spacing w:val="-5"/>
                <w:sz w:val="20"/>
              </w:rPr>
              <w:t> </w:t>
            </w:r>
            <w:r>
              <w:rPr>
                <w:sz w:val="20"/>
              </w:rPr>
              <w:t>T59.6,</w:t>
            </w:r>
            <w:r>
              <w:rPr>
                <w:spacing w:val="-5"/>
                <w:sz w:val="20"/>
              </w:rPr>
              <w:t> </w:t>
            </w:r>
            <w:r>
              <w:rPr>
                <w:sz w:val="20"/>
              </w:rPr>
              <w:t>T59.7,</w:t>
            </w:r>
            <w:r>
              <w:rPr>
                <w:spacing w:val="-5"/>
                <w:sz w:val="20"/>
              </w:rPr>
              <w:t> </w:t>
            </w:r>
            <w:r>
              <w:rPr>
                <w:spacing w:val="-2"/>
                <w:sz w:val="20"/>
              </w:rPr>
              <w:t>T59.8,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59"/>
        <w:gridCol w:w="2562"/>
        <w:gridCol w:w="4449"/>
        <w:gridCol w:w="1789"/>
        <w:gridCol w:w="1260"/>
      </w:tblGrid>
      <w:tr>
        <w:trPr>
          <w:trHeight w:val="225" w:hRule="atLeast"/>
        </w:trPr>
        <w:tc>
          <w:tcPr>
            <w:tcW w:w="15272" w:type="dxa"/>
            <w:gridSpan w:val="7"/>
          </w:tcPr>
          <w:p>
            <w:pPr>
              <w:pStyle w:val="TableParagraph"/>
              <w:spacing w:line="205" w:lineRule="exact"/>
              <w:ind w:left="4469"/>
              <w:rPr>
                <w:sz w:val="20"/>
              </w:rPr>
            </w:pPr>
            <w:r>
              <w:rPr>
                <w:sz w:val="20"/>
              </w:rPr>
              <w:t>T59.9,</w:t>
            </w:r>
            <w:r>
              <w:rPr>
                <w:spacing w:val="-7"/>
                <w:sz w:val="20"/>
              </w:rPr>
              <w:t> </w:t>
            </w:r>
            <w:r>
              <w:rPr>
                <w:sz w:val="20"/>
              </w:rPr>
              <w:t>T60,</w:t>
            </w:r>
            <w:r>
              <w:rPr>
                <w:spacing w:val="-7"/>
                <w:sz w:val="20"/>
              </w:rPr>
              <w:t> </w:t>
            </w:r>
            <w:r>
              <w:rPr>
                <w:sz w:val="20"/>
              </w:rPr>
              <w:t>T60.0,</w:t>
            </w:r>
            <w:r>
              <w:rPr>
                <w:spacing w:val="-4"/>
                <w:sz w:val="20"/>
              </w:rPr>
              <w:t> </w:t>
            </w:r>
            <w:r>
              <w:rPr>
                <w:sz w:val="20"/>
              </w:rPr>
              <w:t>T60.1,</w:t>
            </w:r>
            <w:r>
              <w:rPr>
                <w:spacing w:val="-5"/>
                <w:sz w:val="20"/>
              </w:rPr>
              <w:t> </w:t>
            </w:r>
            <w:r>
              <w:rPr>
                <w:sz w:val="20"/>
              </w:rPr>
              <w:t>T60.2,</w:t>
            </w:r>
            <w:r>
              <w:rPr>
                <w:spacing w:val="-5"/>
                <w:sz w:val="20"/>
              </w:rPr>
              <w:t> </w:t>
            </w:r>
            <w:r>
              <w:rPr>
                <w:sz w:val="20"/>
              </w:rPr>
              <w:t>T60.3,</w:t>
            </w:r>
            <w:r>
              <w:rPr>
                <w:spacing w:val="-4"/>
                <w:sz w:val="20"/>
              </w:rPr>
              <w:t> </w:t>
            </w:r>
            <w:r>
              <w:rPr>
                <w:spacing w:val="-2"/>
                <w:sz w:val="20"/>
              </w:rPr>
              <w:t>T60.4,</w:t>
            </w:r>
          </w:p>
        </w:tc>
      </w:tr>
      <w:tr>
        <w:trPr>
          <w:trHeight w:val="229" w:hRule="atLeast"/>
        </w:trPr>
        <w:tc>
          <w:tcPr>
            <w:tcW w:w="15272" w:type="dxa"/>
            <w:gridSpan w:val="7"/>
          </w:tcPr>
          <w:p>
            <w:pPr>
              <w:pStyle w:val="TableParagraph"/>
              <w:spacing w:line="209" w:lineRule="exact"/>
              <w:ind w:left="4469"/>
              <w:rPr>
                <w:sz w:val="20"/>
              </w:rPr>
            </w:pPr>
            <w:r>
              <w:rPr>
                <w:sz w:val="20"/>
              </w:rPr>
              <w:t>T60.8,</w:t>
            </w:r>
            <w:r>
              <w:rPr>
                <w:spacing w:val="-7"/>
                <w:sz w:val="20"/>
              </w:rPr>
              <w:t> </w:t>
            </w:r>
            <w:r>
              <w:rPr>
                <w:sz w:val="20"/>
              </w:rPr>
              <w:t>T60.9,</w:t>
            </w:r>
            <w:r>
              <w:rPr>
                <w:spacing w:val="-5"/>
                <w:sz w:val="20"/>
              </w:rPr>
              <w:t> </w:t>
            </w:r>
            <w:r>
              <w:rPr>
                <w:sz w:val="20"/>
              </w:rPr>
              <w:t>T61,</w:t>
            </w:r>
            <w:r>
              <w:rPr>
                <w:spacing w:val="-5"/>
                <w:sz w:val="20"/>
              </w:rPr>
              <w:t> </w:t>
            </w:r>
            <w:r>
              <w:rPr>
                <w:sz w:val="20"/>
              </w:rPr>
              <w:t>T61.0,</w:t>
            </w:r>
            <w:r>
              <w:rPr>
                <w:spacing w:val="-5"/>
                <w:sz w:val="20"/>
              </w:rPr>
              <w:t> </w:t>
            </w:r>
            <w:r>
              <w:rPr>
                <w:sz w:val="20"/>
              </w:rPr>
              <w:t>T61.1,</w:t>
            </w:r>
            <w:r>
              <w:rPr>
                <w:spacing w:val="-5"/>
                <w:sz w:val="20"/>
              </w:rPr>
              <w:t> </w:t>
            </w:r>
            <w:r>
              <w:rPr>
                <w:sz w:val="20"/>
              </w:rPr>
              <w:t>T61.2,</w:t>
            </w:r>
            <w:r>
              <w:rPr>
                <w:spacing w:val="-5"/>
                <w:sz w:val="20"/>
              </w:rPr>
              <w:t> </w:t>
            </w:r>
            <w:r>
              <w:rPr>
                <w:spacing w:val="-2"/>
                <w:sz w:val="20"/>
              </w:rPr>
              <w:t>T61.8,</w:t>
            </w:r>
          </w:p>
        </w:tc>
      </w:tr>
      <w:tr>
        <w:trPr>
          <w:trHeight w:val="229" w:hRule="atLeast"/>
        </w:trPr>
        <w:tc>
          <w:tcPr>
            <w:tcW w:w="15272" w:type="dxa"/>
            <w:gridSpan w:val="7"/>
          </w:tcPr>
          <w:p>
            <w:pPr>
              <w:pStyle w:val="TableParagraph"/>
              <w:spacing w:line="209" w:lineRule="exact"/>
              <w:ind w:left="4469"/>
              <w:rPr>
                <w:sz w:val="20"/>
              </w:rPr>
            </w:pPr>
            <w:r>
              <w:rPr>
                <w:sz w:val="20"/>
              </w:rPr>
              <w:t>T61.9,</w:t>
            </w:r>
            <w:r>
              <w:rPr>
                <w:spacing w:val="-7"/>
                <w:sz w:val="20"/>
              </w:rPr>
              <w:t> </w:t>
            </w:r>
            <w:r>
              <w:rPr>
                <w:sz w:val="20"/>
              </w:rPr>
              <w:t>T62,</w:t>
            </w:r>
            <w:r>
              <w:rPr>
                <w:spacing w:val="-7"/>
                <w:sz w:val="20"/>
              </w:rPr>
              <w:t> </w:t>
            </w:r>
            <w:r>
              <w:rPr>
                <w:sz w:val="20"/>
              </w:rPr>
              <w:t>T62.0,</w:t>
            </w:r>
            <w:r>
              <w:rPr>
                <w:spacing w:val="-4"/>
                <w:sz w:val="20"/>
              </w:rPr>
              <w:t> </w:t>
            </w:r>
            <w:r>
              <w:rPr>
                <w:sz w:val="20"/>
              </w:rPr>
              <w:t>T62.1,</w:t>
            </w:r>
            <w:r>
              <w:rPr>
                <w:spacing w:val="-5"/>
                <w:sz w:val="20"/>
              </w:rPr>
              <w:t> </w:t>
            </w:r>
            <w:r>
              <w:rPr>
                <w:sz w:val="20"/>
              </w:rPr>
              <w:t>T62.2,</w:t>
            </w:r>
            <w:r>
              <w:rPr>
                <w:spacing w:val="-5"/>
                <w:sz w:val="20"/>
              </w:rPr>
              <w:t> </w:t>
            </w:r>
            <w:r>
              <w:rPr>
                <w:sz w:val="20"/>
              </w:rPr>
              <w:t>T62.8,</w:t>
            </w:r>
            <w:r>
              <w:rPr>
                <w:spacing w:val="-4"/>
                <w:sz w:val="20"/>
              </w:rPr>
              <w:t> </w:t>
            </w:r>
            <w:r>
              <w:rPr>
                <w:spacing w:val="-2"/>
                <w:sz w:val="20"/>
              </w:rPr>
              <w:t>T62.9,</w:t>
            </w:r>
          </w:p>
        </w:tc>
      </w:tr>
      <w:tr>
        <w:trPr>
          <w:trHeight w:val="230" w:hRule="atLeast"/>
        </w:trPr>
        <w:tc>
          <w:tcPr>
            <w:tcW w:w="15272" w:type="dxa"/>
            <w:gridSpan w:val="7"/>
          </w:tcPr>
          <w:p>
            <w:pPr>
              <w:pStyle w:val="TableParagraph"/>
              <w:spacing w:line="210" w:lineRule="exact"/>
              <w:ind w:left="4469"/>
              <w:rPr>
                <w:sz w:val="20"/>
              </w:rPr>
            </w:pPr>
            <w:r>
              <w:rPr>
                <w:sz w:val="20"/>
              </w:rPr>
              <w:t>T63,</w:t>
            </w:r>
            <w:r>
              <w:rPr>
                <w:spacing w:val="-6"/>
                <w:sz w:val="20"/>
              </w:rPr>
              <w:t> </w:t>
            </w:r>
            <w:r>
              <w:rPr>
                <w:sz w:val="20"/>
              </w:rPr>
              <w:t>T63.0,</w:t>
            </w:r>
            <w:r>
              <w:rPr>
                <w:spacing w:val="-7"/>
                <w:sz w:val="20"/>
              </w:rPr>
              <w:t> </w:t>
            </w:r>
            <w:r>
              <w:rPr>
                <w:sz w:val="20"/>
              </w:rPr>
              <w:t>T63.1,</w:t>
            </w:r>
            <w:r>
              <w:rPr>
                <w:spacing w:val="-5"/>
                <w:sz w:val="20"/>
              </w:rPr>
              <w:t> </w:t>
            </w:r>
            <w:r>
              <w:rPr>
                <w:sz w:val="20"/>
              </w:rPr>
              <w:t>T63.2,</w:t>
            </w:r>
            <w:r>
              <w:rPr>
                <w:spacing w:val="-5"/>
                <w:sz w:val="20"/>
              </w:rPr>
              <w:t> </w:t>
            </w:r>
            <w:r>
              <w:rPr>
                <w:sz w:val="20"/>
              </w:rPr>
              <w:t>T63.3,</w:t>
            </w:r>
            <w:r>
              <w:rPr>
                <w:spacing w:val="-5"/>
                <w:sz w:val="20"/>
              </w:rPr>
              <w:t> </w:t>
            </w:r>
            <w:r>
              <w:rPr>
                <w:sz w:val="20"/>
              </w:rPr>
              <w:t>T63.4,</w:t>
            </w:r>
            <w:r>
              <w:rPr>
                <w:spacing w:val="-5"/>
                <w:sz w:val="20"/>
              </w:rPr>
              <w:t> </w:t>
            </w:r>
            <w:r>
              <w:rPr>
                <w:spacing w:val="-2"/>
                <w:sz w:val="20"/>
              </w:rPr>
              <w:t>T63.5,</w:t>
            </w:r>
          </w:p>
        </w:tc>
      </w:tr>
      <w:tr>
        <w:trPr>
          <w:trHeight w:val="230" w:hRule="atLeast"/>
        </w:trPr>
        <w:tc>
          <w:tcPr>
            <w:tcW w:w="15272" w:type="dxa"/>
            <w:gridSpan w:val="7"/>
          </w:tcPr>
          <w:p>
            <w:pPr>
              <w:pStyle w:val="TableParagraph"/>
              <w:spacing w:line="210" w:lineRule="exact"/>
              <w:ind w:left="4543"/>
              <w:rPr>
                <w:sz w:val="20"/>
              </w:rPr>
            </w:pPr>
            <w:r>
              <w:rPr>
                <w:sz w:val="20"/>
              </w:rPr>
              <w:t>T63.6,</w:t>
            </w:r>
            <w:r>
              <w:rPr>
                <w:spacing w:val="-7"/>
                <w:sz w:val="20"/>
              </w:rPr>
              <w:t> </w:t>
            </w:r>
            <w:r>
              <w:rPr>
                <w:sz w:val="20"/>
              </w:rPr>
              <w:t>T63.8,</w:t>
            </w:r>
            <w:r>
              <w:rPr>
                <w:spacing w:val="-4"/>
                <w:sz w:val="20"/>
              </w:rPr>
              <w:t> </w:t>
            </w:r>
            <w:r>
              <w:rPr>
                <w:sz w:val="20"/>
              </w:rPr>
              <w:t>T63.9,</w:t>
            </w:r>
            <w:r>
              <w:rPr>
                <w:spacing w:val="-5"/>
                <w:sz w:val="20"/>
              </w:rPr>
              <w:t> </w:t>
            </w:r>
            <w:r>
              <w:rPr>
                <w:sz w:val="20"/>
              </w:rPr>
              <w:t>T64,</w:t>
            </w:r>
            <w:r>
              <w:rPr>
                <w:spacing w:val="-4"/>
                <w:sz w:val="20"/>
              </w:rPr>
              <w:t> </w:t>
            </w:r>
            <w:r>
              <w:rPr>
                <w:sz w:val="20"/>
              </w:rPr>
              <w:t>T65,</w:t>
            </w:r>
            <w:r>
              <w:rPr>
                <w:spacing w:val="-4"/>
                <w:sz w:val="20"/>
              </w:rPr>
              <w:t> </w:t>
            </w:r>
            <w:r>
              <w:rPr>
                <w:sz w:val="20"/>
              </w:rPr>
              <w:t>T65.0,</w:t>
            </w:r>
            <w:r>
              <w:rPr>
                <w:spacing w:val="-5"/>
                <w:sz w:val="20"/>
              </w:rPr>
              <w:t> </w:t>
            </w:r>
            <w:r>
              <w:rPr>
                <w:spacing w:val="-2"/>
                <w:sz w:val="20"/>
              </w:rPr>
              <w:t>T65.1,</w:t>
            </w:r>
          </w:p>
        </w:tc>
      </w:tr>
      <w:tr>
        <w:trPr>
          <w:trHeight w:val="230" w:hRule="atLeast"/>
        </w:trPr>
        <w:tc>
          <w:tcPr>
            <w:tcW w:w="15272" w:type="dxa"/>
            <w:gridSpan w:val="7"/>
          </w:tcPr>
          <w:p>
            <w:pPr>
              <w:pStyle w:val="TableParagraph"/>
              <w:spacing w:line="210" w:lineRule="exact"/>
              <w:ind w:left="4395"/>
              <w:rPr>
                <w:sz w:val="20"/>
              </w:rPr>
            </w:pPr>
            <w:r>
              <w:rPr>
                <w:sz w:val="20"/>
              </w:rPr>
              <w:t>T65.2,</w:t>
            </w:r>
            <w:r>
              <w:rPr>
                <w:spacing w:val="-7"/>
                <w:sz w:val="20"/>
              </w:rPr>
              <w:t> </w:t>
            </w:r>
            <w:r>
              <w:rPr>
                <w:sz w:val="20"/>
              </w:rPr>
              <w:t>T65.3,</w:t>
            </w:r>
            <w:r>
              <w:rPr>
                <w:spacing w:val="-5"/>
                <w:sz w:val="20"/>
              </w:rPr>
              <w:t> </w:t>
            </w:r>
            <w:r>
              <w:rPr>
                <w:sz w:val="20"/>
              </w:rPr>
              <w:t>T65.4,</w:t>
            </w:r>
            <w:r>
              <w:rPr>
                <w:spacing w:val="-5"/>
                <w:sz w:val="20"/>
              </w:rPr>
              <w:t> </w:t>
            </w:r>
            <w:r>
              <w:rPr>
                <w:sz w:val="20"/>
              </w:rPr>
              <w:t>T65.5,</w:t>
            </w:r>
            <w:r>
              <w:rPr>
                <w:spacing w:val="-5"/>
                <w:sz w:val="20"/>
              </w:rPr>
              <w:t> </w:t>
            </w:r>
            <w:r>
              <w:rPr>
                <w:sz w:val="20"/>
              </w:rPr>
              <w:t>T65.6,</w:t>
            </w:r>
            <w:r>
              <w:rPr>
                <w:spacing w:val="-5"/>
                <w:sz w:val="20"/>
              </w:rPr>
              <w:t> </w:t>
            </w:r>
            <w:r>
              <w:rPr>
                <w:sz w:val="20"/>
              </w:rPr>
              <w:t>T65.8,</w:t>
            </w:r>
            <w:r>
              <w:rPr>
                <w:spacing w:val="-5"/>
                <w:sz w:val="20"/>
              </w:rPr>
              <w:t> </w:t>
            </w:r>
            <w:r>
              <w:rPr>
                <w:spacing w:val="-2"/>
                <w:sz w:val="20"/>
              </w:rPr>
              <w:t>T65.9,</w:t>
            </w:r>
          </w:p>
        </w:tc>
      </w:tr>
      <w:tr>
        <w:trPr>
          <w:trHeight w:val="230" w:hRule="atLeast"/>
        </w:trPr>
        <w:tc>
          <w:tcPr>
            <w:tcW w:w="15272" w:type="dxa"/>
            <w:gridSpan w:val="7"/>
          </w:tcPr>
          <w:p>
            <w:pPr>
              <w:pStyle w:val="TableParagraph"/>
              <w:spacing w:line="211" w:lineRule="exact"/>
              <w:ind w:left="4543"/>
              <w:rPr>
                <w:sz w:val="20"/>
              </w:rPr>
            </w:pPr>
            <w:r>
              <w:rPr>
                <w:sz w:val="20"/>
              </w:rPr>
              <w:t>T66,</w:t>
            </w:r>
            <w:r>
              <w:rPr>
                <w:spacing w:val="-5"/>
                <w:sz w:val="20"/>
              </w:rPr>
              <w:t> </w:t>
            </w:r>
            <w:r>
              <w:rPr>
                <w:sz w:val="20"/>
              </w:rPr>
              <w:t>T67,</w:t>
            </w:r>
            <w:r>
              <w:rPr>
                <w:spacing w:val="-5"/>
                <w:sz w:val="20"/>
              </w:rPr>
              <w:t> </w:t>
            </w:r>
            <w:r>
              <w:rPr>
                <w:sz w:val="20"/>
              </w:rPr>
              <w:t>T67.0,</w:t>
            </w:r>
            <w:r>
              <w:rPr>
                <w:spacing w:val="-5"/>
                <w:sz w:val="20"/>
              </w:rPr>
              <w:t> </w:t>
            </w:r>
            <w:r>
              <w:rPr>
                <w:sz w:val="20"/>
              </w:rPr>
              <w:t>T67.1,</w:t>
            </w:r>
            <w:r>
              <w:rPr>
                <w:spacing w:val="-5"/>
                <w:sz w:val="20"/>
              </w:rPr>
              <w:t> </w:t>
            </w:r>
            <w:r>
              <w:rPr>
                <w:sz w:val="20"/>
              </w:rPr>
              <w:t>T67.2,</w:t>
            </w:r>
            <w:r>
              <w:rPr>
                <w:spacing w:val="-5"/>
                <w:sz w:val="20"/>
              </w:rPr>
              <w:t> </w:t>
            </w:r>
            <w:r>
              <w:rPr>
                <w:sz w:val="20"/>
              </w:rPr>
              <w:t>T67.3,</w:t>
            </w:r>
            <w:r>
              <w:rPr>
                <w:spacing w:val="-5"/>
                <w:sz w:val="20"/>
              </w:rPr>
              <w:t> </w:t>
            </w:r>
            <w:r>
              <w:rPr>
                <w:spacing w:val="-2"/>
                <w:sz w:val="20"/>
              </w:rPr>
              <w:t>T67.4,</w:t>
            </w:r>
          </w:p>
        </w:tc>
      </w:tr>
      <w:tr>
        <w:trPr>
          <w:trHeight w:val="229" w:hRule="atLeast"/>
        </w:trPr>
        <w:tc>
          <w:tcPr>
            <w:tcW w:w="15272" w:type="dxa"/>
            <w:gridSpan w:val="7"/>
          </w:tcPr>
          <w:p>
            <w:pPr>
              <w:pStyle w:val="TableParagraph"/>
              <w:spacing w:line="210" w:lineRule="exact"/>
              <w:ind w:left="4543"/>
              <w:rPr>
                <w:sz w:val="20"/>
              </w:rPr>
            </w:pPr>
            <w:r>
              <w:rPr>
                <w:sz w:val="20"/>
              </w:rPr>
              <w:t>T67.5,</w:t>
            </w:r>
            <w:r>
              <w:rPr>
                <w:spacing w:val="-7"/>
                <w:sz w:val="20"/>
              </w:rPr>
              <w:t> </w:t>
            </w:r>
            <w:r>
              <w:rPr>
                <w:sz w:val="20"/>
              </w:rPr>
              <w:t>T67.6,</w:t>
            </w:r>
            <w:r>
              <w:rPr>
                <w:spacing w:val="-4"/>
                <w:sz w:val="20"/>
              </w:rPr>
              <w:t> </w:t>
            </w:r>
            <w:r>
              <w:rPr>
                <w:sz w:val="20"/>
              </w:rPr>
              <w:t>T67.7,</w:t>
            </w:r>
            <w:r>
              <w:rPr>
                <w:spacing w:val="-5"/>
                <w:sz w:val="20"/>
              </w:rPr>
              <w:t> </w:t>
            </w:r>
            <w:r>
              <w:rPr>
                <w:sz w:val="20"/>
              </w:rPr>
              <w:t>T67.8,</w:t>
            </w:r>
            <w:r>
              <w:rPr>
                <w:spacing w:val="-4"/>
                <w:sz w:val="20"/>
              </w:rPr>
              <w:t> </w:t>
            </w:r>
            <w:r>
              <w:rPr>
                <w:sz w:val="20"/>
              </w:rPr>
              <w:t>T67.9,</w:t>
            </w:r>
            <w:r>
              <w:rPr>
                <w:spacing w:val="-5"/>
                <w:sz w:val="20"/>
              </w:rPr>
              <w:t> </w:t>
            </w:r>
            <w:r>
              <w:rPr>
                <w:sz w:val="20"/>
              </w:rPr>
              <w:t>T68,</w:t>
            </w:r>
            <w:r>
              <w:rPr>
                <w:spacing w:val="-6"/>
                <w:sz w:val="20"/>
              </w:rPr>
              <w:t> </w:t>
            </w:r>
            <w:r>
              <w:rPr>
                <w:spacing w:val="-4"/>
                <w:sz w:val="20"/>
              </w:rPr>
              <w:t>T69,</w:t>
            </w:r>
          </w:p>
        </w:tc>
      </w:tr>
      <w:tr>
        <w:trPr>
          <w:trHeight w:val="229" w:hRule="atLeast"/>
        </w:trPr>
        <w:tc>
          <w:tcPr>
            <w:tcW w:w="15272" w:type="dxa"/>
            <w:gridSpan w:val="7"/>
          </w:tcPr>
          <w:p>
            <w:pPr>
              <w:pStyle w:val="TableParagraph"/>
              <w:spacing w:line="209" w:lineRule="exact"/>
              <w:ind w:left="4469"/>
              <w:rPr>
                <w:sz w:val="20"/>
              </w:rPr>
            </w:pPr>
            <w:r>
              <w:rPr>
                <w:sz w:val="20"/>
              </w:rPr>
              <w:t>T69.0,</w:t>
            </w:r>
            <w:r>
              <w:rPr>
                <w:spacing w:val="-7"/>
                <w:sz w:val="20"/>
              </w:rPr>
              <w:t> </w:t>
            </w:r>
            <w:r>
              <w:rPr>
                <w:sz w:val="20"/>
              </w:rPr>
              <w:t>T69.1,</w:t>
            </w:r>
            <w:r>
              <w:rPr>
                <w:spacing w:val="-4"/>
                <w:sz w:val="20"/>
              </w:rPr>
              <w:t> </w:t>
            </w:r>
            <w:r>
              <w:rPr>
                <w:sz w:val="20"/>
              </w:rPr>
              <w:t>T69.8,</w:t>
            </w:r>
            <w:r>
              <w:rPr>
                <w:spacing w:val="-5"/>
                <w:sz w:val="20"/>
              </w:rPr>
              <w:t> </w:t>
            </w:r>
            <w:r>
              <w:rPr>
                <w:sz w:val="20"/>
              </w:rPr>
              <w:t>T69.9,</w:t>
            </w:r>
            <w:r>
              <w:rPr>
                <w:spacing w:val="-4"/>
                <w:sz w:val="20"/>
              </w:rPr>
              <w:t> </w:t>
            </w:r>
            <w:r>
              <w:rPr>
                <w:sz w:val="20"/>
              </w:rPr>
              <w:t>T70,</w:t>
            </w:r>
            <w:r>
              <w:rPr>
                <w:spacing w:val="-5"/>
                <w:sz w:val="20"/>
              </w:rPr>
              <w:t> </w:t>
            </w:r>
            <w:r>
              <w:rPr>
                <w:sz w:val="20"/>
              </w:rPr>
              <w:t>T70.0,</w:t>
            </w:r>
            <w:r>
              <w:rPr>
                <w:spacing w:val="-6"/>
                <w:sz w:val="20"/>
              </w:rPr>
              <w:t> </w:t>
            </w:r>
            <w:r>
              <w:rPr>
                <w:spacing w:val="-2"/>
                <w:sz w:val="20"/>
              </w:rPr>
              <w:t>T70.1,</w:t>
            </w:r>
          </w:p>
        </w:tc>
      </w:tr>
      <w:tr>
        <w:trPr>
          <w:trHeight w:val="230" w:hRule="atLeast"/>
        </w:trPr>
        <w:tc>
          <w:tcPr>
            <w:tcW w:w="15272" w:type="dxa"/>
            <w:gridSpan w:val="7"/>
          </w:tcPr>
          <w:p>
            <w:pPr>
              <w:pStyle w:val="TableParagraph"/>
              <w:spacing w:line="210" w:lineRule="exact"/>
              <w:ind w:left="4543"/>
              <w:rPr>
                <w:sz w:val="20"/>
              </w:rPr>
            </w:pPr>
            <w:r>
              <w:rPr>
                <w:sz w:val="20"/>
              </w:rPr>
              <w:t>T70.2,</w:t>
            </w:r>
            <w:r>
              <w:rPr>
                <w:spacing w:val="-7"/>
                <w:sz w:val="20"/>
              </w:rPr>
              <w:t> </w:t>
            </w:r>
            <w:r>
              <w:rPr>
                <w:sz w:val="20"/>
              </w:rPr>
              <w:t>T70.3,</w:t>
            </w:r>
            <w:r>
              <w:rPr>
                <w:spacing w:val="-4"/>
                <w:sz w:val="20"/>
              </w:rPr>
              <w:t> </w:t>
            </w:r>
            <w:r>
              <w:rPr>
                <w:sz w:val="20"/>
              </w:rPr>
              <w:t>T70.4,</w:t>
            </w:r>
            <w:r>
              <w:rPr>
                <w:spacing w:val="-5"/>
                <w:sz w:val="20"/>
              </w:rPr>
              <w:t> </w:t>
            </w:r>
            <w:r>
              <w:rPr>
                <w:sz w:val="20"/>
              </w:rPr>
              <w:t>T70.8,</w:t>
            </w:r>
            <w:r>
              <w:rPr>
                <w:spacing w:val="-4"/>
                <w:sz w:val="20"/>
              </w:rPr>
              <w:t> </w:t>
            </w:r>
            <w:r>
              <w:rPr>
                <w:sz w:val="20"/>
              </w:rPr>
              <w:t>T70.9,</w:t>
            </w:r>
            <w:r>
              <w:rPr>
                <w:spacing w:val="-5"/>
                <w:sz w:val="20"/>
              </w:rPr>
              <w:t> </w:t>
            </w:r>
            <w:r>
              <w:rPr>
                <w:sz w:val="20"/>
              </w:rPr>
              <w:t>T71,</w:t>
            </w:r>
            <w:r>
              <w:rPr>
                <w:spacing w:val="-6"/>
                <w:sz w:val="20"/>
              </w:rPr>
              <w:t> </w:t>
            </w:r>
            <w:r>
              <w:rPr>
                <w:spacing w:val="-4"/>
                <w:sz w:val="20"/>
              </w:rPr>
              <w:t>T73,</w:t>
            </w:r>
          </w:p>
        </w:tc>
      </w:tr>
      <w:tr>
        <w:trPr>
          <w:trHeight w:val="230" w:hRule="atLeast"/>
        </w:trPr>
        <w:tc>
          <w:tcPr>
            <w:tcW w:w="15272" w:type="dxa"/>
            <w:gridSpan w:val="7"/>
          </w:tcPr>
          <w:p>
            <w:pPr>
              <w:pStyle w:val="TableParagraph"/>
              <w:spacing w:line="210" w:lineRule="exact"/>
              <w:ind w:left="4469"/>
              <w:rPr>
                <w:sz w:val="20"/>
              </w:rPr>
            </w:pPr>
            <w:r>
              <w:rPr>
                <w:sz w:val="20"/>
              </w:rPr>
              <w:t>T73.0,</w:t>
            </w:r>
            <w:r>
              <w:rPr>
                <w:spacing w:val="-7"/>
                <w:sz w:val="20"/>
              </w:rPr>
              <w:t> </w:t>
            </w:r>
            <w:r>
              <w:rPr>
                <w:sz w:val="20"/>
              </w:rPr>
              <w:t>T73.1,</w:t>
            </w:r>
            <w:r>
              <w:rPr>
                <w:spacing w:val="-5"/>
                <w:sz w:val="20"/>
              </w:rPr>
              <w:t> </w:t>
            </w:r>
            <w:r>
              <w:rPr>
                <w:sz w:val="20"/>
              </w:rPr>
              <w:t>T73.2,</w:t>
            </w:r>
            <w:r>
              <w:rPr>
                <w:spacing w:val="-2"/>
                <w:sz w:val="20"/>
              </w:rPr>
              <w:t> </w:t>
            </w:r>
            <w:r>
              <w:rPr>
                <w:sz w:val="20"/>
              </w:rPr>
              <w:t>T73.3,</w:t>
            </w:r>
            <w:r>
              <w:rPr>
                <w:spacing w:val="-5"/>
                <w:sz w:val="20"/>
              </w:rPr>
              <w:t> </w:t>
            </w:r>
            <w:r>
              <w:rPr>
                <w:sz w:val="20"/>
              </w:rPr>
              <w:t>T73.8,</w:t>
            </w:r>
            <w:r>
              <w:rPr>
                <w:spacing w:val="-5"/>
                <w:sz w:val="20"/>
              </w:rPr>
              <w:t> </w:t>
            </w:r>
            <w:r>
              <w:rPr>
                <w:sz w:val="20"/>
              </w:rPr>
              <w:t>T73.9,</w:t>
            </w:r>
            <w:r>
              <w:rPr>
                <w:spacing w:val="-5"/>
                <w:sz w:val="20"/>
              </w:rPr>
              <w:t> </w:t>
            </w:r>
            <w:r>
              <w:rPr>
                <w:spacing w:val="-4"/>
                <w:sz w:val="20"/>
              </w:rPr>
              <w:t>T74,</w:t>
            </w:r>
          </w:p>
        </w:tc>
      </w:tr>
      <w:tr>
        <w:trPr>
          <w:trHeight w:val="230" w:hRule="atLeast"/>
        </w:trPr>
        <w:tc>
          <w:tcPr>
            <w:tcW w:w="15272" w:type="dxa"/>
            <w:gridSpan w:val="7"/>
          </w:tcPr>
          <w:p>
            <w:pPr>
              <w:pStyle w:val="TableParagraph"/>
              <w:spacing w:line="210" w:lineRule="exact"/>
              <w:ind w:left="4469"/>
              <w:rPr>
                <w:sz w:val="20"/>
              </w:rPr>
            </w:pPr>
            <w:r>
              <w:rPr>
                <w:sz w:val="20"/>
              </w:rPr>
              <w:t>T74.0,</w:t>
            </w:r>
            <w:r>
              <w:rPr>
                <w:spacing w:val="-7"/>
                <w:sz w:val="20"/>
              </w:rPr>
              <w:t> </w:t>
            </w:r>
            <w:r>
              <w:rPr>
                <w:sz w:val="20"/>
              </w:rPr>
              <w:t>T74.1,</w:t>
            </w:r>
            <w:r>
              <w:rPr>
                <w:spacing w:val="-5"/>
                <w:sz w:val="20"/>
              </w:rPr>
              <w:t> </w:t>
            </w:r>
            <w:r>
              <w:rPr>
                <w:sz w:val="20"/>
              </w:rPr>
              <w:t>T74.2,</w:t>
            </w:r>
            <w:r>
              <w:rPr>
                <w:spacing w:val="-5"/>
                <w:sz w:val="20"/>
              </w:rPr>
              <w:t> </w:t>
            </w:r>
            <w:r>
              <w:rPr>
                <w:sz w:val="20"/>
              </w:rPr>
              <w:t>T74.3,</w:t>
            </w:r>
            <w:r>
              <w:rPr>
                <w:spacing w:val="-5"/>
                <w:sz w:val="20"/>
              </w:rPr>
              <w:t> </w:t>
            </w:r>
            <w:r>
              <w:rPr>
                <w:sz w:val="20"/>
              </w:rPr>
              <w:t>T74.8,</w:t>
            </w:r>
            <w:r>
              <w:rPr>
                <w:spacing w:val="-5"/>
                <w:sz w:val="20"/>
              </w:rPr>
              <w:t> </w:t>
            </w:r>
            <w:r>
              <w:rPr>
                <w:sz w:val="20"/>
              </w:rPr>
              <w:t>T74.9,</w:t>
            </w:r>
            <w:r>
              <w:rPr>
                <w:spacing w:val="-5"/>
                <w:sz w:val="20"/>
              </w:rPr>
              <w:t> </w:t>
            </w:r>
            <w:r>
              <w:rPr>
                <w:spacing w:val="-4"/>
                <w:sz w:val="20"/>
              </w:rPr>
              <w:t>T75,</w:t>
            </w:r>
          </w:p>
        </w:tc>
      </w:tr>
      <w:tr>
        <w:trPr>
          <w:trHeight w:val="230" w:hRule="atLeast"/>
        </w:trPr>
        <w:tc>
          <w:tcPr>
            <w:tcW w:w="15272" w:type="dxa"/>
            <w:gridSpan w:val="7"/>
          </w:tcPr>
          <w:p>
            <w:pPr>
              <w:pStyle w:val="TableParagraph"/>
              <w:spacing w:line="210" w:lineRule="exact"/>
              <w:ind w:left="4469"/>
              <w:rPr>
                <w:sz w:val="20"/>
              </w:rPr>
            </w:pPr>
            <w:r>
              <w:rPr>
                <w:sz w:val="20"/>
              </w:rPr>
              <w:t>T75.0,</w:t>
            </w:r>
            <w:r>
              <w:rPr>
                <w:spacing w:val="-7"/>
                <w:sz w:val="20"/>
              </w:rPr>
              <w:t> </w:t>
            </w:r>
            <w:r>
              <w:rPr>
                <w:sz w:val="20"/>
              </w:rPr>
              <w:t>T75.1,</w:t>
            </w:r>
            <w:r>
              <w:rPr>
                <w:spacing w:val="-5"/>
                <w:sz w:val="20"/>
              </w:rPr>
              <w:t> </w:t>
            </w:r>
            <w:r>
              <w:rPr>
                <w:sz w:val="20"/>
              </w:rPr>
              <w:t>T75.2,</w:t>
            </w:r>
            <w:r>
              <w:rPr>
                <w:spacing w:val="-5"/>
                <w:sz w:val="20"/>
              </w:rPr>
              <w:t> </w:t>
            </w:r>
            <w:r>
              <w:rPr>
                <w:sz w:val="20"/>
              </w:rPr>
              <w:t>T75.3,</w:t>
            </w:r>
            <w:r>
              <w:rPr>
                <w:spacing w:val="-5"/>
                <w:sz w:val="20"/>
              </w:rPr>
              <w:t> </w:t>
            </w:r>
            <w:r>
              <w:rPr>
                <w:sz w:val="20"/>
              </w:rPr>
              <w:t>T75.4,</w:t>
            </w:r>
            <w:r>
              <w:rPr>
                <w:spacing w:val="-5"/>
                <w:sz w:val="20"/>
              </w:rPr>
              <w:t> </w:t>
            </w:r>
            <w:r>
              <w:rPr>
                <w:sz w:val="20"/>
              </w:rPr>
              <w:t>T75.8,</w:t>
            </w:r>
            <w:r>
              <w:rPr>
                <w:spacing w:val="-5"/>
                <w:sz w:val="20"/>
              </w:rPr>
              <w:t> </w:t>
            </w:r>
            <w:r>
              <w:rPr>
                <w:spacing w:val="-4"/>
                <w:sz w:val="20"/>
              </w:rPr>
              <w:t>T76,</w:t>
            </w:r>
          </w:p>
        </w:tc>
      </w:tr>
      <w:tr>
        <w:trPr>
          <w:trHeight w:val="229" w:hRule="atLeast"/>
        </w:trPr>
        <w:tc>
          <w:tcPr>
            <w:tcW w:w="15272" w:type="dxa"/>
            <w:gridSpan w:val="7"/>
          </w:tcPr>
          <w:p>
            <w:pPr>
              <w:pStyle w:val="TableParagraph"/>
              <w:spacing w:line="209" w:lineRule="exact"/>
              <w:ind w:left="4543"/>
              <w:rPr>
                <w:sz w:val="20"/>
              </w:rPr>
            </w:pPr>
            <w:r>
              <w:rPr>
                <w:sz w:val="20"/>
              </w:rPr>
              <w:t>T78,</w:t>
            </w:r>
            <w:r>
              <w:rPr>
                <w:spacing w:val="-5"/>
                <w:sz w:val="20"/>
              </w:rPr>
              <w:t> </w:t>
            </w:r>
            <w:r>
              <w:rPr>
                <w:sz w:val="20"/>
              </w:rPr>
              <w:t>T78.1,</w:t>
            </w:r>
            <w:r>
              <w:rPr>
                <w:spacing w:val="-7"/>
                <w:sz w:val="20"/>
              </w:rPr>
              <w:t> </w:t>
            </w:r>
            <w:r>
              <w:rPr>
                <w:sz w:val="20"/>
              </w:rPr>
              <w:t>T78.8,</w:t>
            </w:r>
            <w:r>
              <w:rPr>
                <w:spacing w:val="-4"/>
                <w:sz w:val="20"/>
              </w:rPr>
              <w:t> </w:t>
            </w:r>
            <w:r>
              <w:rPr>
                <w:sz w:val="20"/>
              </w:rPr>
              <w:t>T78.9,</w:t>
            </w:r>
            <w:r>
              <w:rPr>
                <w:spacing w:val="-5"/>
                <w:sz w:val="20"/>
              </w:rPr>
              <w:t> </w:t>
            </w:r>
            <w:r>
              <w:rPr>
                <w:sz w:val="20"/>
              </w:rPr>
              <w:t>T79,</w:t>
            </w:r>
            <w:r>
              <w:rPr>
                <w:spacing w:val="-4"/>
                <w:sz w:val="20"/>
              </w:rPr>
              <w:t> </w:t>
            </w:r>
            <w:r>
              <w:rPr>
                <w:sz w:val="20"/>
              </w:rPr>
              <w:t>T79.0,</w:t>
            </w:r>
            <w:r>
              <w:rPr>
                <w:spacing w:val="-5"/>
                <w:sz w:val="20"/>
              </w:rPr>
              <w:t> </w:t>
            </w:r>
            <w:r>
              <w:rPr>
                <w:spacing w:val="-2"/>
                <w:sz w:val="20"/>
              </w:rPr>
              <w:t>T79.1,</w:t>
            </w:r>
          </w:p>
        </w:tc>
      </w:tr>
      <w:tr>
        <w:trPr>
          <w:trHeight w:val="229" w:hRule="atLeast"/>
        </w:trPr>
        <w:tc>
          <w:tcPr>
            <w:tcW w:w="15272" w:type="dxa"/>
            <w:gridSpan w:val="7"/>
          </w:tcPr>
          <w:p>
            <w:pPr>
              <w:pStyle w:val="TableParagraph"/>
              <w:spacing w:line="209" w:lineRule="exact"/>
              <w:ind w:left="4395"/>
              <w:rPr>
                <w:sz w:val="20"/>
              </w:rPr>
            </w:pPr>
            <w:r>
              <w:rPr>
                <w:sz w:val="20"/>
              </w:rPr>
              <w:t>T79.2,</w:t>
            </w:r>
            <w:r>
              <w:rPr>
                <w:spacing w:val="-7"/>
                <w:sz w:val="20"/>
              </w:rPr>
              <w:t> </w:t>
            </w:r>
            <w:r>
              <w:rPr>
                <w:sz w:val="20"/>
              </w:rPr>
              <w:t>T79.3,</w:t>
            </w:r>
            <w:r>
              <w:rPr>
                <w:spacing w:val="-5"/>
                <w:sz w:val="20"/>
              </w:rPr>
              <w:t> </w:t>
            </w:r>
            <w:r>
              <w:rPr>
                <w:sz w:val="20"/>
              </w:rPr>
              <w:t>T79.4,</w:t>
            </w:r>
            <w:r>
              <w:rPr>
                <w:spacing w:val="-5"/>
                <w:sz w:val="20"/>
              </w:rPr>
              <w:t> </w:t>
            </w:r>
            <w:r>
              <w:rPr>
                <w:sz w:val="20"/>
              </w:rPr>
              <w:t>T79.5,</w:t>
            </w:r>
            <w:r>
              <w:rPr>
                <w:spacing w:val="-5"/>
                <w:sz w:val="20"/>
              </w:rPr>
              <w:t> </w:t>
            </w:r>
            <w:r>
              <w:rPr>
                <w:sz w:val="20"/>
              </w:rPr>
              <w:t>T79.6,</w:t>
            </w:r>
            <w:r>
              <w:rPr>
                <w:spacing w:val="-5"/>
                <w:sz w:val="20"/>
              </w:rPr>
              <w:t> </w:t>
            </w:r>
            <w:r>
              <w:rPr>
                <w:sz w:val="20"/>
              </w:rPr>
              <w:t>T79.7,</w:t>
            </w:r>
            <w:r>
              <w:rPr>
                <w:spacing w:val="-5"/>
                <w:sz w:val="20"/>
              </w:rPr>
              <w:t> </w:t>
            </w:r>
            <w:r>
              <w:rPr>
                <w:spacing w:val="-2"/>
                <w:sz w:val="20"/>
              </w:rPr>
              <w:t>T79.8,</w:t>
            </w:r>
          </w:p>
        </w:tc>
      </w:tr>
      <w:tr>
        <w:trPr>
          <w:trHeight w:val="230" w:hRule="atLeast"/>
        </w:trPr>
        <w:tc>
          <w:tcPr>
            <w:tcW w:w="15272" w:type="dxa"/>
            <w:gridSpan w:val="7"/>
          </w:tcPr>
          <w:p>
            <w:pPr>
              <w:pStyle w:val="TableParagraph"/>
              <w:spacing w:line="210" w:lineRule="exact"/>
              <w:ind w:left="4469"/>
              <w:rPr>
                <w:sz w:val="20"/>
              </w:rPr>
            </w:pPr>
            <w:r>
              <w:rPr>
                <w:sz w:val="20"/>
              </w:rPr>
              <w:t>T79.9,</w:t>
            </w:r>
            <w:r>
              <w:rPr>
                <w:spacing w:val="-7"/>
                <w:sz w:val="20"/>
              </w:rPr>
              <w:t> </w:t>
            </w:r>
            <w:r>
              <w:rPr>
                <w:sz w:val="20"/>
              </w:rPr>
              <w:t>T80,</w:t>
            </w:r>
            <w:r>
              <w:rPr>
                <w:spacing w:val="-7"/>
                <w:sz w:val="20"/>
              </w:rPr>
              <w:t> </w:t>
            </w:r>
            <w:r>
              <w:rPr>
                <w:sz w:val="20"/>
              </w:rPr>
              <w:t>T80.0,</w:t>
            </w:r>
            <w:r>
              <w:rPr>
                <w:spacing w:val="-4"/>
                <w:sz w:val="20"/>
              </w:rPr>
              <w:t> </w:t>
            </w:r>
            <w:r>
              <w:rPr>
                <w:sz w:val="20"/>
              </w:rPr>
              <w:t>T80.1,</w:t>
            </w:r>
            <w:r>
              <w:rPr>
                <w:spacing w:val="-5"/>
                <w:sz w:val="20"/>
              </w:rPr>
              <w:t> </w:t>
            </w:r>
            <w:r>
              <w:rPr>
                <w:sz w:val="20"/>
              </w:rPr>
              <w:t>T80.2,</w:t>
            </w:r>
            <w:r>
              <w:rPr>
                <w:spacing w:val="-5"/>
                <w:sz w:val="20"/>
              </w:rPr>
              <w:t> </w:t>
            </w:r>
            <w:r>
              <w:rPr>
                <w:sz w:val="20"/>
              </w:rPr>
              <w:t>T80.3,</w:t>
            </w:r>
            <w:r>
              <w:rPr>
                <w:spacing w:val="-4"/>
                <w:sz w:val="20"/>
              </w:rPr>
              <w:t> </w:t>
            </w:r>
            <w:r>
              <w:rPr>
                <w:spacing w:val="-2"/>
                <w:sz w:val="20"/>
              </w:rPr>
              <w:t>T80.4,</w:t>
            </w:r>
          </w:p>
        </w:tc>
      </w:tr>
      <w:tr>
        <w:trPr>
          <w:trHeight w:val="230" w:hRule="atLeast"/>
        </w:trPr>
        <w:tc>
          <w:tcPr>
            <w:tcW w:w="15272" w:type="dxa"/>
            <w:gridSpan w:val="7"/>
          </w:tcPr>
          <w:p>
            <w:pPr>
              <w:pStyle w:val="TableParagraph"/>
              <w:spacing w:line="210" w:lineRule="exact"/>
              <w:ind w:left="4469"/>
              <w:rPr>
                <w:sz w:val="20"/>
              </w:rPr>
            </w:pPr>
            <w:r>
              <w:rPr>
                <w:sz w:val="20"/>
              </w:rPr>
              <w:t>T80.6,</w:t>
            </w:r>
            <w:r>
              <w:rPr>
                <w:spacing w:val="-7"/>
                <w:sz w:val="20"/>
              </w:rPr>
              <w:t> </w:t>
            </w:r>
            <w:r>
              <w:rPr>
                <w:sz w:val="20"/>
              </w:rPr>
              <w:t>T80.8,</w:t>
            </w:r>
            <w:r>
              <w:rPr>
                <w:spacing w:val="-5"/>
                <w:sz w:val="20"/>
              </w:rPr>
              <w:t> </w:t>
            </w:r>
            <w:r>
              <w:rPr>
                <w:sz w:val="20"/>
              </w:rPr>
              <w:t>T80.9,</w:t>
            </w:r>
            <w:r>
              <w:rPr>
                <w:spacing w:val="-5"/>
                <w:sz w:val="20"/>
              </w:rPr>
              <w:t> </w:t>
            </w:r>
            <w:r>
              <w:rPr>
                <w:sz w:val="20"/>
              </w:rPr>
              <w:t>T81,</w:t>
            </w:r>
            <w:r>
              <w:rPr>
                <w:spacing w:val="-5"/>
                <w:sz w:val="20"/>
              </w:rPr>
              <w:t> </w:t>
            </w:r>
            <w:r>
              <w:rPr>
                <w:sz w:val="20"/>
              </w:rPr>
              <w:t>T81.0,</w:t>
            </w:r>
            <w:r>
              <w:rPr>
                <w:spacing w:val="-5"/>
                <w:sz w:val="20"/>
              </w:rPr>
              <w:t> </w:t>
            </w:r>
            <w:r>
              <w:rPr>
                <w:sz w:val="20"/>
              </w:rPr>
              <w:t>T81.1,</w:t>
            </w:r>
            <w:r>
              <w:rPr>
                <w:spacing w:val="-5"/>
                <w:sz w:val="20"/>
              </w:rPr>
              <w:t> </w:t>
            </w:r>
            <w:r>
              <w:rPr>
                <w:spacing w:val="-2"/>
                <w:sz w:val="20"/>
              </w:rPr>
              <w:t>T81.2,</w:t>
            </w:r>
          </w:p>
        </w:tc>
      </w:tr>
      <w:tr>
        <w:trPr>
          <w:trHeight w:val="230" w:hRule="atLeast"/>
        </w:trPr>
        <w:tc>
          <w:tcPr>
            <w:tcW w:w="15272" w:type="dxa"/>
            <w:gridSpan w:val="7"/>
          </w:tcPr>
          <w:p>
            <w:pPr>
              <w:pStyle w:val="TableParagraph"/>
              <w:spacing w:line="211" w:lineRule="exact"/>
              <w:ind w:left="4395"/>
              <w:rPr>
                <w:sz w:val="20"/>
              </w:rPr>
            </w:pPr>
            <w:r>
              <w:rPr>
                <w:sz w:val="20"/>
              </w:rPr>
              <w:t>T81.3,</w:t>
            </w:r>
            <w:r>
              <w:rPr>
                <w:spacing w:val="-7"/>
                <w:sz w:val="20"/>
              </w:rPr>
              <w:t> </w:t>
            </w:r>
            <w:r>
              <w:rPr>
                <w:sz w:val="20"/>
              </w:rPr>
              <w:t>T81.4,</w:t>
            </w:r>
            <w:r>
              <w:rPr>
                <w:spacing w:val="-5"/>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pacing w:val="-2"/>
                <w:sz w:val="20"/>
              </w:rPr>
              <w:t>T81.9,</w:t>
            </w:r>
          </w:p>
        </w:tc>
      </w:tr>
      <w:tr>
        <w:trPr>
          <w:trHeight w:val="230" w:hRule="atLeast"/>
        </w:trPr>
        <w:tc>
          <w:tcPr>
            <w:tcW w:w="15272" w:type="dxa"/>
            <w:gridSpan w:val="7"/>
          </w:tcPr>
          <w:p>
            <w:pPr>
              <w:pStyle w:val="TableParagraph"/>
              <w:spacing w:line="211" w:lineRule="exact"/>
              <w:ind w:left="4469"/>
              <w:rPr>
                <w:sz w:val="20"/>
              </w:rPr>
            </w:pPr>
            <w:r>
              <w:rPr>
                <w:sz w:val="20"/>
              </w:rPr>
              <w:t>T85.7,</w:t>
            </w:r>
            <w:r>
              <w:rPr>
                <w:spacing w:val="-7"/>
                <w:sz w:val="20"/>
              </w:rPr>
              <w:t> </w:t>
            </w:r>
            <w:r>
              <w:rPr>
                <w:sz w:val="20"/>
              </w:rPr>
              <w:t>T85.9,</w:t>
            </w:r>
            <w:r>
              <w:rPr>
                <w:spacing w:val="-5"/>
                <w:sz w:val="20"/>
              </w:rPr>
              <w:t> </w:t>
            </w:r>
            <w:r>
              <w:rPr>
                <w:sz w:val="20"/>
              </w:rPr>
              <w:t>T88,</w:t>
            </w:r>
            <w:r>
              <w:rPr>
                <w:spacing w:val="-5"/>
                <w:sz w:val="20"/>
              </w:rPr>
              <w:t> </w:t>
            </w:r>
            <w:r>
              <w:rPr>
                <w:sz w:val="20"/>
              </w:rPr>
              <w:t>T88.0,</w:t>
            </w:r>
            <w:r>
              <w:rPr>
                <w:spacing w:val="-5"/>
                <w:sz w:val="20"/>
              </w:rPr>
              <w:t> </w:t>
            </w:r>
            <w:r>
              <w:rPr>
                <w:sz w:val="20"/>
              </w:rPr>
              <w:t>T88.1,</w:t>
            </w:r>
            <w:r>
              <w:rPr>
                <w:spacing w:val="-5"/>
                <w:sz w:val="20"/>
              </w:rPr>
              <w:t> </w:t>
            </w:r>
            <w:r>
              <w:rPr>
                <w:sz w:val="20"/>
              </w:rPr>
              <w:t>T88.2,</w:t>
            </w:r>
            <w:r>
              <w:rPr>
                <w:spacing w:val="-5"/>
                <w:sz w:val="20"/>
              </w:rPr>
              <w:t> </w:t>
            </w:r>
            <w:r>
              <w:rPr>
                <w:spacing w:val="-2"/>
                <w:sz w:val="20"/>
              </w:rPr>
              <w:t>T88.3,</w:t>
            </w:r>
          </w:p>
        </w:tc>
      </w:tr>
      <w:tr>
        <w:trPr>
          <w:trHeight w:val="229" w:hRule="atLeast"/>
        </w:trPr>
        <w:tc>
          <w:tcPr>
            <w:tcW w:w="15272" w:type="dxa"/>
            <w:gridSpan w:val="7"/>
          </w:tcPr>
          <w:p>
            <w:pPr>
              <w:pStyle w:val="TableParagraph"/>
              <w:spacing w:line="209" w:lineRule="exact"/>
              <w:ind w:left="4332"/>
              <w:rPr>
                <w:sz w:val="20"/>
              </w:rPr>
            </w:pPr>
            <w:r>
              <w:rPr>
                <w:sz w:val="20"/>
              </w:rPr>
              <w:t>T88.4,</w:t>
            </w:r>
            <w:r>
              <w:rPr>
                <w:spacing w:val="-6"/>
                <w:sz w:val="20"/>
              </w:rPr>
              <w:t> </w:t>
            </w:r>
            <w:r>
              <w:rPr>
                <w:sz w:val="20"/>
              </w:rPr>
              <w:t>T88.5,</w:t>
            </w:r>
            <w:r>
              <w:rPr>
                <w:spacing w:val="-4"/>
                <w:sz w:val="20"/>
              </w:rPr>
              <w:t> </w:t>
            </w:r>
            <w:r>
              <w:rPr>
                <w:sz w:val="20"/>
              </w:rPr>
              <w:t>T88.7,</w:t>
            </w:r>
            <w:r>
              <w:rPr>
                <w:spacing w:val="-4"/>
                <w:sz w:val="20"/>
              </w:rPr>
              <w:t> </w:t>
            </w:r>
            <w:r>
              <w:rPr>
                <w:sz w:val="20"/>
              </w:rPr>
              <w:t>T88.8,</w:t>
            </w:r>
            <w:r>
              <w:rPr>
                <w:spacing w:val="-4"/>
                <w:sz w:val="20"/>
              </w:rPr>
              <w:t> </w:t>
            </w:r>
            <w:r>
              <w:rPr>
                <w:sz w:val="20"/>
              </w:rPr>
              <w:t>T88.9,</w:t>
            </w:r>
            <w:r>
              <w:rPr>
                <w:spacing w:val="-4"/>
                <w:sz w:val="20"/>
              </w:rPr>
              <w:t> </w:t>
            </w:r>
            <w:r>
              <w:rPr>
                <w:sz w:val="20"/>
              </w:rPr>
              <w:t>T96,</w:t>
            </w:r>
            <w:r>
              <w:rPr>
                <w:spacing w:val="-6"/>
                <w:sz w:val="20"/>
              </w:rPr>
              <w:t> </w:t>
            </w:r>
            <w:r>
              <w:rPr>
                <w:sz w:val="20"/>
              </w:rPr>
              <w:t>T97,</w:t>
            </w:r>
            <w:r>
              <w:rPr>
                <w:spacing w:val="-6"/>
                <w:sz w:val="20"/>
              </w:rPr>
              <w:t> </w:t>
            </w:r>
            <w:r>
              <w:rPr>
                <w:spacing w:val="-4"/>
                <w:sz w:val="20"/>
              </w:rPr>
              <w:t>T98,</w:t>
            </w:r>
          </w:p>
        </w:tc>
      </w:tr>
      <w:tr>
        <w:trPr>
          <w:trHeight w:val="279" w:hRule="atLeast"/>
        </w:trPr>
        <w:tc>
          <w:tcPr>
            <w:tcW w:w="15272" w:type="dxa"/>
            <w:gridSpan w:val="7"/>
          </w:tcPr>
          <w:p>
            <w:pPr>
              <w:pStyle w:val="TableParagraph"/>
              <w:spacing w:line="224" w:lineRule="exact"/>
              <w:ind w:left="5277" w:right="7803"/>
              <w:jc w:val="center"/>
              <w:rPr>
                <w:sz w:val="20"/>
              </w:rPr>
            </w:pPr>
            <w:r>
              <w:rPr>
                <w:sz w:val="20"/>
              </w:rPr>
              <w:t>T98.0,</w:t>
            </w:r>
            <w:r>
              <w:rPr>
                <w:spacing w:val="-7"/>
                <w:sz w:val="20"/>
              </w:rPr>
              <w:t> </w:t>
            </w:r>
            <w:r>
              <w:rPr>
                <w:sz w:val="20"/>
              </w:rPr>
              <w:t>T98.1,</w:t>
            </w:r>
            <w:r>
              <w:rPr>
                <w:spacing w:val="-5"/>
                <w:sz w:val="20"/>
              </w:rPr>
              <w:t> </w:t>
            </w:r>
            <w:r>
              <w:rPr>
                <w:sz w:val="20"/>
              </w:rPr>
              <w:t>T98.2,</w:t>
            </w:r>
            <w:r>
              <w:rPr>
                <w:spacing w:val="-5"/>
                <w:sz w:val="20"/>
              </w:rPr>
              <w:t> </w:t>
            </w:r>
            <w:r>
              <w:rPr>
                <w:spacing w:val="-4"/>
                <w:sz w:val="20"/>
              </w:rPr>
              <w:t>T98.3</w:t>
            </w:r>
          </w:p>
        </w:tc>
      </w:tr>
      <w:tr>
        <w:trPr>
          <w:trHeight w:val="280" w:hRule="atLeast"/>
        </w:trPr>
        <w:tc>
          <w:tcPr>
            <w:tcW w:w="946" w:type="dxa"/>
          </w:tcPr>
          <w:p>
            <w:pPr>
              <w:pStyle w:val="TableParagraph"/>
              <w:spacing w:line="215" w:lineRule="exact" w:before="46"/>
              <w:ind w:left="50"/>
              <w:rPr>
                <w:sz w:val="20"/>
              </w:rPr>
            </w:pPr>
            <w:r>
              <w:rPr>
                <w:spacing w:val="-2"/>
                <w:sz w:val="20"/>
              </w:rPr>
              <w:t>st27.014</w:t>
            </w:r>
          </w:p>
        </w:tc>
        <w:tc>
          <w:tcPr>
            <w:tcW w:w="707" w:type="dxa"/>
          </w:tcPr>
          <w:p>
            <w:pPr>
              <w:pStyle w:val="TableParagraph"/>
              <w:spacing w:line="215" w:lineRule="exact" w:before="46"/>
              <w:ind w:left="210"/>
              <w:rPr>
                <w:sz w:val="20"/>
              </w:rPr>
            </w:pPr>
            <w:r>
              <w:rPr>
                <w:spacing w:val="-5"/>
                <w:sz w:val="20"/>
              </w:rPr>
              <w:t>263</w:t>
            </w:r>
          </w:p>
        </w:tc>
        <w:tc>
          <w:tcPr>
            <w:tcW w:w="3559" w:type="dxa"/>
          </w:tcPr>
          <w:p>
            <w:pPr>
              <w:pStyle w:val="TableParagraph"/>
              <w:spacing w:line="215" w:lineRule="exact" w:before="46"/>
              <w:ind w:left="192"/>
              <w:rPr>
                <w:sz w:val="20"/>
              </w:rPr>
            </w:pPr>
            <w:r>
              <w:rPr>
                <w:w w:val="95"/>
                <w:sz w:val="20"/>
              </w:rPr>
              <w:t>Госпитализация</w:t>
            </w:r>
            <w:r>
              <w:rPr>
                <w:spacing w:val="49"/>
                <w:sz w:val="20"/>
              </w:rPr>
              <w:t> </w:t>
            </w:r>
            <w:r>
              <w:rPr>
                <w:spacing w:val="-10"/>
                <w:sz w:val="20"/>
              </w:rPr>
              <w:t>в</w:t>
            </w:r>
          </w:p>
        </w:tc>
        <w:tc>
          <w:tcPr>
            <w:tcW w:w="2562" w:type="dxa"/>
          </w:tcPr>
          <w:p>
            <w:pPr>
              <w:pStyle w:val="TableParagraph"/>
              <w:spacing w:line="215" w:lineRule="exact" w:before="46"/>
              <w:ind w:right="239"/>
              <w:jc w:val="center"/>
              <w:rPr>
                <w:sz w:val="20"/>
              </w:rPr>
            </w:pPr>
            <w:r>
              <w:rPr>
                <w:w w:val="99"/>
                <w:sz w:val="20"/>
              </w:rPr>
              <w:t>-</w:t>
            </w:r>
          </w:p>
        </w:tc>
        <w:tc>
          <w:tcPr>
            <w:tcW w:w="4449" w:type="dxa"/>
          </w:tcPr>
          <w:p>
            <w:pPr>
              <w:pStyle w:val="TableParagraph"/>
              <w:spacing w:line="215" w:lineRule="exact" w:before="46"/>
              <w:ind w:right="862"/>
              <w:jc w:val="right"/>
              <w:rPr>
                <w:sz w:val="20"/>
              </w:rPr>
            </w:pPr>
            <w:r>
              <w:rPr>
                <w:sz w:val="20"/>
              </w:rPr>
              <w:t>B03.005.010,</w:t>
            </w:r>
            <w:r>
              <w:rPr>
                <w:spacing w:val="-9"/>
                <w:sz w:val="20"/>
              </w:rPr>
              <w:t> </w:t>
            </w:r>
            <w:r>
              <w:rPr>
                <w:spacing w:val="-2"/>
                <w:sz w:val="20"/>
              </w:rPr>
              <w:t>B03.005.011,</w:t>
            </w:r>
          </w:p>
        </w:tc>
        <w:tc>
          <w:tcPr>
            <w:tcW w:w="1789" w:type="dxa"/>
          </w:tcPr>
          <w:p>
            <w:pPr>
              <w:pStyle w:val="TableParagraph"/>
              <w:spacing w:line="215" w:lineRule="exact" w:before="46"/>
              <w:ind w:left="4"/>
              <w:jc w:val="center"/>
              <w:rPr>
                <w:sz w:val="20"/>
              </w:rPr>
            </w:pPr>
            <w:r>
              <w:rPr>
                <w:w w:val="99"/>
                <w:sz w:val="20"/>
              </w:rPr>
              <w:t>-</w:t>
            </w:r>
          </w:p>
        </w:tc>
        <w:tc>
          <w:tcPr>
            <w:tcW w:w="1260" w:type="dxa"/>
          </w:tcPr>
          <w:p>
            <w:pPr>
              <w:pStyle w:val="TableParagraph"/>
              <w:spacing w:line="215" w:lineRule="exact" w:before="46"/>
              <w:ind w:right="46"/>
              <w:jc w:val="right"/>
              <w:rPr>
                <w:sz w:val="20"/>
              </w:rPr>
            </w:pPr>
            <w:r>
              <w:rPr>
                <w:spacing w:val="-4"/>
                <w:sz w:val="20"/>
              </w:rPr>
              <w:t>1,00</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09" w:lineRule="exact"/>
              <w:ind w:left="192"/>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B03.005.018,</w:t>
            </w:r>
            <w:r>
              <w:rPr>
                <w:spacing w:val="-9"/>
                <w:sz w:val="20"/>
              </w:rPr>
              <w:t> </w:t>
            </w:r>
            <w:r>
              <w:rPr>
                <w:spacing w:val="-2"/>
                <w:sz w:val="20"/>
              </w:rPr>
              <w:t>B03.009.001,</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09" w:lineRule="exact"/>
              <w:ind w:left="192"/>
              <w:rPr>
                <w:sz w:val="20"/>
              </w:rPr>
            </w:pPr>
            <w:r>
              <w:rPr>
                <w:spacing w:val="-2"/>
                <w:sz w:val="20"/>
              </w:rPr>
              <w:t>постановкой/</w:t>
            </w: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B03.009.002,</w:t>
            </w:r>
            <w:r>
              <w:rPr>
                <w:spacing w:val="-9"/>
                <w:sz w:val="20"/>
              </w:rPr>
              <w:t> </w:t>
            </w:r>
            <w:r>
              <w:rPr>
                <w:spacing w:val="-2"/>
                <w:sz w:val="20"/>
              </w:rPr>
              <w:t>B03.009.003,</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10" w:lineRule="exact"/>
              <w:ind w:left="192"/>
              <w:rPr>
                <w:sz w:val="20"/>
              </w:rPr>
            </w:pPr>
            <w:r>
              <w:rPr>
                <w:w w:val="95"/>
                <w:sz w:val="20"/>
              </w:rPr>
              <w:t>подтверждением</w:t>
            </w:r>
            <w:r>
              <w:rPr>
                <w:spacing w:val="53"/>
                <w:sz w:val="20"/>
              </w:rPr>
              <w:t> </w:t>
            </w:r>
            <w:r>
              <w:rPr>
                <w:spacing w:val="-2"/>
                <w:sz w:val="20"/>
              </w:rPr>
              <w:t>диагноза</w:t>
            </w: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B03.024.002,</w:t>
            </w:r>
            <w:r>
              <w:rPr>
                <w:spacing w:val="-9"/>
                <w:sz w:val="20"/>
              </w:rPr>
              <w:t> </w:t>
            </w:r>
            <w:r>
              <w:rPr>
                <w:spacing w:val="-2"/>
                <w:sz w:val="20"/>
              </w:rPr>
              <w:t>B03.024.003,</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10" w:lineRule="exact"/>
              <w:ind w:left="192"/>
              <w:rPr>
                <w:sz w:val="20"/>
              </w:rPr>
            </w:pPr>
            <w:r>
              <w:rPr>
                <w:spacing w:val="-2"/>
                <w:sz w:val="20"/>
              </w:rPr>
              <w:t>злокачественного</w:t>
            </w:r>
          </w:p>
        </w:tc>
        <w:tc>
          <w:tcPr>
            <w:tcW w:w="2562" w:type="dxa"/>
          </w:tcPr>
          <w:p>
            <w:pPr>
              <w:pStyle w:val="TableParagraph"/>
              <w:rPr>
                <w:sz w:val="16"/>
              </w:rPr>
            </w:pPr>
          </w:p>
        </w:tc>
        <w:tc>
          <w:tcPr>
            <w:tcW w:w="4449" w:type="dxa"/>
          </w:tcPr>
          <w:p>
            <w:pPr>
              <w:pStyle w:val="TableParagraph"/>
              <w:spacing w:line="210" w:lineRule="exact"/>
              <w:ind w:right="860"/>
              <w:jc w:val="right"/>
              <w:rPr>
                <w:sz w:val="20"/>
              </w:rPr>
            </w:pPr>
            <w:r>
              <w:rPr>
                <w:sz w:val="20"/>
              </w:rPr>
              <w:t>B03.027.001,</w:t>
            </w:r>
            <w:r>
              <w:rPr>
                <w:spacing w:val="-7"/>
                <w:sz w:val="20"/>
              </w:rPr>
              <w:t> </w:t>
            </w:r>
            <w:r>
              <w:rPr>
                <w:spacing w:val="-2"/>
                <w:sz w:val="20"/>
              </w:rPr>
              <w:t>B03.027.002,</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10" w:lineRule="exact"/>
              <w:ind w:left="192"/>
              <w:rPr>
                <w:sz w:val="20"/>
              </w:rPr>
            </w:pPr>
            <w:r>
              <w:rPr>
                <w:spacing w:val="-2"/>
                <w:sz w:val="20"/>
              </w:rPr>
              <w:t>новообразования</w:t>
            </w: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B03.027.003,</w:t>
            </w:r>
            <w:r>
              <w:rPr>
                <w:spacing w:val="-9"/>
                <w:sz w:val="20"/>
              </w:rPr>
              <w:t> </w:t>
            </w:r>
            <w:r>
              <w:rPr>
                <w:spacing w:val="-2"/>
                <w:sz w:val="20"/>
              </w:rPr>
              <w:t>B03.027.004,</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B03.027.005,</w:t>
            </w:r>
            <w:r>
              <w:rPr>
                <w:spacing w:val="-9"/>
                <w:sz w:val="20"/>
              </w:rPr>
              <w:t> </w:t>
            </w:r>
            <w:r>
              <w:rPr>
                <w:spacing w:val="-2"/>
                <w:sz w:val="20"/>
              </w:rPr>
              <w:t>B03.027.006,</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B03.027.007,</w:t>
            </w:r>
            <w:r>
              <w:rPr>
                <w:spacing w:val="-9"/>
                <w:sz w:val="20"/>
              </w:rPr>
              <w:t> </w:t>
            </w:r>
            <w:r>
              <w:rPr>
                <w:spacing w:val="-2"/>
                <w:sz w:val="20"/>
              </w:rPr>
              <w:t>B03.027.008,</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B03.027.009,</w:t>
            </w:r>
            <w:r>
              <w:rPr>
                <w:spacing w:val="-9"/>
                <w:sz w:val="20"/>
              </w:rPr>
              <w:t> </w:t>
            </w:r>
            <w:r>
              <w:rPr>
                <w:spacing w:val="-2"/>
                <w:sz w:val="20"/>
              </w:rPr>
              <w:t>B03.027.010,</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B03.027.011,</w:t>
            </w:r>
            <w:r>
              <w:rPr>
                <w:spacing w:val="-9"/>
                <w:sz w:val="20"/>
              </w:rPr>
              <w:t> </w:t>
            </w:r>
            <w:r>
              <w:rPr>
                <w:spacing w:val="-2"/>
                <w:sz w:val="20"/>
              </w:rPr>
              <w:t>B03.027.012,</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B03.027.013,</w:t>
            </w:r>
            <w:r>
              <w:rPr>
                <w:spacing w:val="-9"/>
                <w:sz w:val="20"/>
              </w:rPr>
              <w:t> </w:t>
            </w:r>
            <w:r>
              <w:rPr>
                <w:spacing w:val="-2"/>
                <w:sz w:val="20"/>
              </w:rPr>
              <w:t>B03.027.014,</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B03.027.015,</w:t>
            </w:r>
            <w:r>
              <w:rPr>
                <w:spacing w:val="-9"/>
                <w:sz w:val="20"/>
              </w:rPr>
              <w:t> </w:t>
            </w:r>
            <w:r>
              <w:rPr>
                <w:spacing w:val="-2"/>
                <w:sz w:val="20"/>
              </w:rPr>
              <w:t>B03.027.016,</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B03.027.017,</w:t>
            </w:r>
            <w:r>
              <w:rPr>
                <w:spacing w:val="-9"/>
                <w:sz w:val="20"/>
              </w:rPr>
              <w:t> </w:t>
            </w:r>
            <w:r>
              <w:rPr>
                <w:spacing w:val="-2"/>
                <w:sz w:val="20"/>
              </w:rPr>
              <w:t>B03.027.018,</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B03.027.019,</w:t>
            </w:r>
            <w:r>
              <w:rPr>
                <w:spacing w:val="-9"/>
                <w:sz w:val="20"/>
              </w:rPr>
              <w:t> </w:t>
            </w:r>
            <w:r>
              <w:rPr>
                <w:spacing w:val="-2"/>
                <w:sz w:val="20"/>
              </w:rPr>
              <w:t>B03.027.020,</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9" w:lineRule="exact"/>
              <w:ind w:right="861"/>
              <w:jc w:val="right"/>
              <w:rPr>
                <w:sz w:val="20"/>
              </w:rPr>
            </w:pPr>
            <w:r>
              <w:rPr>
                <w:sz w:val="20"/>
              </w:rPr>
              <w:t>B03.027.021,</w:t>
            </w:r>
            <w:r>
              <w:rPr>
                <w:spacing w:val="-8"/>
                <w:sz w:val="20"/>
              </w:rPr>
              <w:t> </w:t>
            </w:r>
            <w:r>
              <w:rPr>
                <w:spacing w:val="-2"/>
                <w:sz w:val="20"/>
              </w:rPr>
              <w:t>B03.027.022,</w:t>
            </w:r>
          </w:p>
        </w:tc>
        <w:tc>
          <w:tcPr>
            <w:tcW w:w="1789"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5" w:lineRule="exact"/>
              <w:ind w:right="862"/>
              <w:jc w:val="right"/>
              <w:rPr>
                <w:sz w:val="20"/>
              </w:rPr>
            </w:pPr>
            <w:r>
              <w:rPr>
                <w:sz w:val="20"/>
              </w:rPr>
              <w:t>B03.027.023,</w:t>
            </w:r>
            <w:r>
              <w:rPr>
                <w:spacing w:val="-9"/>
                <w:sz w:val="20"/>
              </w:rPr>
              <w:t> </w:t>
            </w:r>
            <w:r>
              <w:rPr>
                <w:spacing w:val="-2"/>
                <w:sz w:val="20"/>
              </w:rPr>
              <w:t>B03.027.024,</w:t>
            </w:r>
          </w:p>
        </w:tc>
        <w:tc>
          <w:tcPr>
            <w:tcW w:w="1789"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5"/>
        <w:gridCol w:w="4301"/>
        <w:gridCol w:w="3940"/>
        <w:gridCol w:w="1574"/>
        <w:gridCol w:w="1261"/>
      </w:tblGrid>
      <w:tr>
        <w:trPr>
          <w:trHeight w:val="3035" w:hRule="atLeast"/>
        </w:trPr>
        <w:tc>
          <w:tcPr>
            <w:tcW w:w="946" w:type="dxa"/>
          </w:tcPr>
          <w:p>
            <w:pPr>
              <w:pStyle w:val="TableParagraph"/>
              <w:rPr>
                <w:sz w:val="18"/>
              </w:rPr>
            </w:pPr>
          </w:p>
        </w:tc>
        <w:tc>
          <w:tcPr>
            <w:tcW w:w="707" w:type="dxa"/>
          </w:tcPr>
          <w:p>
            <w:pPr>
              <w:pStyle w:val="TableParagraph"/>
              <w:rPr>
                <w:sz w:val="18"/>
              </w:rPr>
            </w:pPr>
          </w:p>
        </w:tc>
        <w:tc>
          <w:tcPr>
            <w:tcW w:w="2545" w:type="dxa"/>
          </w:tcPr>
          <w:p>
            <w:pPr>
              <w:pStyle w:val="TableParagraph"/>
              <w:rPr>
                <w:sz w:val="18"/>
              </w:rPr>
            </w:pPr>
          </w:p>
        </w:tc>
        <w:tc>
          <w:tcPr>
            <w:tcW w:w="4301" w:type="dxa"/>
          </w:tcPr>
          <w:p>
            <w:pPr>
              <w:pStyle w:val="TableParagraph"/>
              <w:rPr>
                <w:sz w:val="18"/>
              </w:rPr>
            </w:pPr>
          </w:p>
        </w:tc>
        <w:tc>
          <w:tcPr>
            <w:tcW w:w="3940" w:type="dxa"/>
          </w:tcPr>
          <w:p>
            <w:pPr>
              <w:pStyle w:val="TableParagraph"/>
              <w:ind w:left="643" w:right="1077" w:hanging="1"/>
              <w:jc w:val="center"/>
              <w:rPr>
                <w:sz w:val="20"/>
              </w:rPr>
            </w:pPr>
            <w:r>
              <w:rPr>
                <w:sz w:val="20"/>
              </w:rPr>
              <w:t>B03.027.025,</w:t>
            </w:r>
            <w:r>
              <w:rPr>
                <w:spacing w:val="-13"/>
                <w:sz w:val="20"/>
              </w:rPr>
              <w:t> </w:t>
            </w:r>
            <w:r>
              <w:rPr>
                <w:sz w:val="20"/>
              </w:rPr>
              <w:t>B03.027.026, B03.027.027,</w:t>
            </w:r>
            <w:r>
              <w:rPr>
                <w:spacing w:val="-13"/>
                <w:sz w:val="20"/>
              </w:rPr>
              <w:t> </w:t>
            </w:r>
            <w:r>
              <w:rPr>
                <w:sz w:val="20"/>
              </w:rPr>
              <w:t>B03.027.028, B03.027.029,</w:t>
            </w:r>
            <w:r>
              <w:rPr>
                <w:spacing w:val="-13"/>
                <w:sz w:val="20"/>
              </w:rPr>
              <w:t> </w:t>
            </w:r>
            <w:r>
              <w:rPr>
                <w:sz w:val="20"/>
              </w:rPr>
              <w:t>B03.027.030, B03.027.031,</w:t>
            </w:r>
            <w:r>
              <w:rPr>
                <w:spacing w:val="-13"/>
                <w:sz w:val="20"/>
              </w:rPr>
              <w:t> </w:t>
            </w:r>
            <w:r>
              <w:rPr>
                <w:sz w:val="20"/>
              </w:rPr>
              <w:t>B03.027.032, B03.027.033,</w:t>
            </w:r>
            <w:r>
              <w:rPr>
                <w:spacing w:val="-13"/>
                <w:sz w:val="20"/>
              </w:rPr>
              <w:t> </w:t>
            </w:r>
            <w:r>
              <w:rPr>
                <w:sz w:val="20"/>
              </w:rPr>
              <w:t>B03.027.034, B03.027.035,</w:t>
            </w:r>
            <w:r>
              <w:rPr>
                <w:spacing w:val="-13"/>
                <w:sz w:val="20"/>
              </w:rPr>
              <w:t> </w:t>
            </w:r>
            <w:r>
              <w:rPr>
                <w:sz w:val="20"/>
              </w:rPr>
              <w:t>B03.027.036, B03.027.037,</w:t>
            </w:r>
            <w:r>
              <w:rPr>
                <w:spacing w:val="-13"/>
                <w:sz w:val="20"/>
              </w:rPr>
              <w:t> </w:t>
            </w:r>
            <w:r>
              <w:rPr>
                <w:sz w:val="20"/>
              </w:rPr>
              <w:t>B03.027.038, B03.027.039,</w:t>
            </w:r>
            <w:r>
              <w:rPr>
                <w:spacing w:val="-13"/>
                <w:sz w:val="20"/>
              </w:rPr>
              <w:t> </w:t>
            </w:r>
            <w:r>
              <w:rPr>
                <w:sz w:val="20"/>
              </w:rPr>
              <w:t>B03.027.040, B03.027.041,</w:t>
            </w:r>
            <w:r>
              <w:rPr>
                <w:spacing w:val="-13"/>
                <w:sz w:val="20"/>
              </w:rPr>
              <w:t> </w:t>
            </w:r>
            <w:r>
              <w:rPr>
                <w:sz w:val="20"/>
              </w:rPr>
              <w:t>B03.027.042, B03.027.043,</w:t>
            </w:r>
            <w:r>
              <w:rPr>
                <w:spacing w:val="-13"/>
                <w:sz w:val="20"/>
              </w:rPr>
              <w:t> </w:t>
            </w:r>
            <w:r>
              <w:rPr>
                <w:sz w:val="20"/>
              </w:rPr>
              <w:t>B03.027.044, B03.027.045,</w:t>
            </w:r>
            <w:r>
              <w:rPr>
                <w:spacing w:val="-13"/>
                <w:sz w:val="20"/>
              </w:rPr>
              <w:t> </w:t>
            </w:r>
            <w:r>
              <w:rPr>
                <w:sz w:val="20"/>
              </w:rPr>
              <w:t>B03.027.046, B03.027.047,</w:t>
            </w:r>
            <w:r>
              <w:rPr>
                <w:spacing w:val="-13"/>
                <w:sz w:val="20"/>
              </w:rPr>
              <w:t> </w:t>
            </w:r>
            <w:r>
              <w:rPr>
                <w:sz w:val="20"/>
              </w:rPr>
              <w:t>B03.027.048, </w:t>
            </w:r>
            <w:r>
              <w:rPr>
                <w:spacing w:val="-2"/>
                <w:sz w:val="20"/>
              </w:rPr>
              <w:t>B03.027.049</w:t>
            </w:r>
          </w:p>
        </w:tc>
        <w:tc>
          <w:tcPr>
            <w:tcW w:w="1574" w:type="dxa"/>
          </w:tcPr>
          <w:p>
            <w:pPr>
              <w:pStyle w:val="TableParagraph"/>
              <w:rPr>
                <w:sz w:val="18"/>
              </w:rPr>
            </w:pPr>
          </w:p>
        </w:tc>
        <w:tc>
          <w:tcPr>
            <w:tcW w:w="1261"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st28</w:t>
            </w:r>
          </w:p>
        </w:tc>
        <w:tc>
          <w:tcPr>
            <w:tcW w:w="707" w:type="dxa"/>
          </w:tcPr>
          <w:p>
            <w:pPr>
              <w:pStyle w:val="TableParagraph"/>
              <w:spacing w:before="45"/>
              <w:ind w:left="261"/>
              <w:rPr>
                <w:sz w:val="20"/>
              </w:rPr>
            </w:pPr>
            <w:r>
              <w:rPr>
                <w:spacing w:val="-5"/>
                <w:sz w:val="20"/>
              </w:rPr>
              <w:t>28</w:t>
            </w:r>
          </w:p>
        </w:tc>
        <w:tc>
          <w:tcPr>
            <w:tcW w:w="2545" w:type="dxa"/>
          </w:tcPr>
          <w:p>
            <w:pPr>
              <w:pStyle w:val="TableParagraph"/>
              <w:rPr>
                <w:sz w:val="18"/>
              </w:rPr>
            </w:pPr>
          </w:p>
        </w:tc>
        <w:tc>
          <w:tcPr>
            <w:tcW w:w="8241" w:type="dxa"/>
            <w:gridSpan w:val="2"/>
          </w:tcPr>
          <w:p>
            <w:pPr>
              <w:pStyle w:val="TableParagraph"/>
              <w:spacing w:before="45"/>
              <w:ind w:left="2837" w:right="3477"/>
              <w:jc w:val="center"/>
              <w:rPr>
                <w:sz w:val="20"/>
              </w:rPr>
            </w:pPr>
            <w:r>
              <w:rPr>
                <w:sz w:val="20"/>
              </w:rPr>
              <w:t>Торакальная</w:t>
            </w:r>
            <w:r>
              <w:rPr>
                <w:spacing w:val="-11"/>
                <w:sz w:val="20"/>
              </w:rPr>
              <w:t> </w:t>
            </w:r>
            <w:r>
              <w:rPr>
                <w:spacing w:val="-2"/>
                <w:sz w:val="20"/>
              </w:rPr>
              <w:t>хирургия</w:t>
            </w:r>
          </w:p>
        </w:tc>
        <w:tc>
          <w:tcPr>
            <w:tcW w:w="1574" w:type="dxa"/>
          </w:tcPr>
          <w:p>
            <w:pPr>
              <w:pStyle w:val="TableParagraph"/>
              <w:rPr>
                <w:sz w:val="18"/>
              </w:rPr>
            </w:pPr>
          </w:p>
        </w:tc>
        <w:tc>
          <w:tcPr>
            <w:tcW w:w="1261" w:type="dxa"/>
          </w:tcPr>
          <w:p>
            <w:pPr>
              <w:pStyle w:val="TableParagraph"/>
              <w:spacing w:before="45"/>
              <w:ind w:right="48"/>
              <w:jc w:val="right"/>
              <w:rPr>
                <w:sz w:val="20"/>
              </w:rPr>
            </w:pPr>
            <w:r>
              <w:rPr>
                <w:spacing w:val="-4"/>
                <w:sz w:val="20"/>
              </w:rPr>
              <w:t>2,09</w:t>
            </w:r>
          </w:p>
        </w:tc>
      </w:tr>
      <w:tr>
        <w:trPr>
          <w:trHeight w:val="789" w:hRule="atLeast"/>
        </w:trPr>
        <w:tc>
          <w:tcPr>
            <w:tcW w:w="946" w:type="dxa"/>
          </w:tcPr>
          <w:p>
            <w:pPr>
              <w:pStyle w:val="TableParagraph"/>
              <w:spacing w:before="46"/>
              <w:ind w:left="39" w:right="198"/>
              <w:jc w:val="center"/>
              <w:rPr>
                <w:sz w:val="20"/>
              </w:rPr>
            </w:pPr>
            <w:r>
              <w:rPr>
                <w:spacing w:val="-2"/>
                <w:sz w:val="20"/>
              </w:rPr>
              <w:t>st28.001</w:t>
            </w:r>
          </w:p>
        </w:tc>
        <w:tc>
          <w:tcPr>
            <w:tcW w:w="707" w:type="dxa"/>
          </w:tcPr>
          <w:p>
            <w:pPr>
              <w:pStyle w:val="TableParagraph"/>
              <w:spacing w:before="46"/>
              <w:ind w:left="210"/>
              <w:rPr>
                <w:sz w:val="20"/>
              </w:rPr>
            </w:pPr>
            <w:r>
              <w:rPr>
                <w:spacing w:val="-5"/>
                <w:sz w:val="20"/>
              </w:rPr>
              <w:t>264</w:t>
            </w:r>
          </w:p>
        </w:tc>
        <w:tc>
          <w:tcPr>
            <w:tcW w:w="2545" w:type="dxa"/>
          </w:tcPr>
          <w:p>
            <w:pPr>
              <w:pStyle w:val="TableParagraph"/>
              <w:spacing w:before="46"/>
              <w:ind w:left="192" w:right="496"/>
              <w:rPr>
                <w:sz w:val="20"/>
              </w:rPr>
            </w:pPr>
            <w:r>
              <w:rPr>
                <w:sz w:val="20"/>
              </w:rPr>
              <w:t>Гнойные состояния нижних</w:t>
            </w:r>
            <w:r>
              <w:rPr>
                <w:spacing w:val="-13"/>
                <w:sz w:val="20"/>
              </w:rPr>
              <w:t> </w:t>
            </w:r>
            <w:r>
              <w:rPr>
                <w:sz w:val="20"/>
              </w:rPr>
              <w:t>дыхательных </w:t>
            </w:r>
            <w:r>
              <w:rPr>
                <w:spacing w:val="-2"/>
                <w:sz w:val="20"/>
              </w:rPr>
              <w:t>путей</w:t>
            </w:r>
          </w:p>
        </w:tc>
        <w:tc>
          <w:tcPr>
            <w:tcW w:w="4301" w:type="dxa"/>
          </w:tcPr>
          <w:p>
            <w:pPr>
              <w:pStyle w:val="TableParagraph"/>
              <w:spacing w:before="46"/>
              <w:ind w:left="269" w:right="218"/>
              <w:jc w:val="center"/>
              <w:rPr>
                <w:sz w:val="20"/>
              </w:rPr>
            </w:pPr>
            <w:r>
              <w:rPr>
                <w:sz w:val="20"/>
              </w:rPr>
              <w:t>J85,</w:t>
            </w:r>
            <w:r>
              <w:rPr>
                <w:spacing w:val="-6"/>
                <w:sz w:val="20"/>
              </w:rPr>
              <w:t> </w:t>
            </w:r>
            <w:r>
              <w:rPr>
                <w:sz w:val="20"/>
              </w:rPr>
              <w:t>J85.0,</w:t>
            </w:r>
            <w:r>
              <w:rPr>
                <w:spacing w:val="-6"/>
                <w:sz w:val="20"/>
              </w:rPr>
              <w:t> </w:t>
            </w:r>
            <w:r>
              <w:rPr>
                <w:sz w:val="20"/>
              </w:rPr>
              <w:t>J85.1,</w:t>
            </w:r>
            <w:r>
              <w:rPr>
                <w:spacing w:val="-6"/>
                <w:sz w:val="20"/>
              </w:rPr>
              <w:t> </w:t>
            </w:r>
            <w:r>
              <w:rPr>
                <w:sz w:val="20"/>
              </w:rPr>
              <w:t>J85.2,</w:t>
            </w:r>
            <w:r>
              <w:rPr>
                <w:spacing w:val="-4"/>
                <w:sz w:val="20"/>
              </w:rPr>
              <w:t> </w:t>
            </w:r>
            <w:r>
              <w:rPr>
                <w:sz w:val="20"/>
              </w:rPr>
              <w:t>J85.3,</w:t>
            </w:r>
            <w:r>
              <w:rPr>
                <w:spacing w:val="-6"/>
                <w:sz w:val="20"/>
              </w:rPr>
              <w:t> </w:t>
            </w:r>
            <w:r>
              <w:rPr>
                <w:sz w:val="20"/>
              </w:rPr>
              <w:t>J86,</w:t>
            </w:r>
            <w:r>
              <w:rPr>
                <w:spacing w:val="-4"/>
                <w:sz w:val="20"/>
              </w:rPr>
              <w:t> </w:t>
            </w:r>
            <w:r>
              <w:rPr>
                <w:sz w:val="20"/>
              </w:rPr>
              <w:t>J86.0,</w:t>
            </w:r>
            <w:r>
              <w:rPr>
                <w:spacing w:val="2"/>
                <w:sz w:val="20"/>
              </w:rPr>
              <w:t> </w:t>
            </w:r>
            <w:r>
              <w:rPr>
                <w:spacing w:val="-4"/>
                <w:sz w:val="20"/>
              </w:rPr>
              <w:t>J86.9</w:t>
            </w:r>
          </w:p>
        </w:tc>
        <w:tc>
          <w:tcPr>
            <w:tcW w:w="3940" w:type="dxa"/>
          </w:tcPr>
          <w:p>
            <w:pPr>
              <w:pStyle w:val="TableParagraph"/>
              <w:spacing w:before="46"/>
              <w:ind w:right="429"/>
              <w:jc w:val="center"/>
              <w:rPr>
                <w:sz w:val="20"/>
              </w:rPr>
            </w:pPr>
            <w:r>
              <w:rPr>
                <w:w w:val="99"/>
                <w:sz w:val="20"/>
              </w:rPr>
              <w:t>-</w:t>
            </w:r>
          </w:p>
        </w:tc>
        <w:tc>
          <w:tcPr>
            <w:tcW w:w="1574" w:type="dxa"/>
          </w:tcPr>
          <w:p>
            <w:pPr>
              <w:pStyle w:val="TableParagraph"/>
              <w:spacing w:before="46"/>
              <w:ind w:left="647"/>
              <w:rPr>
                <w:sz w:val="20"/>
              </w:rPr>
            </w:pPr>
            <w:r>
              <w:rPr>
                <w:w w:val="99"/>
                <w:sz w:val="20"/>
              </w:rPr>
              <w:t>-</w:t>
            </w:r>
          </w:p>
        </w:tc>
        <w:tc>
          <w:tcPr>
            <w:tcW w:w="1261" w:type="dxa"/>
          </w:tcPr>
          <w:p>
            <w:pPr>
              <w:pStyle w:val="TableParagraph"/>
              <w:spacing w:before="46"/>
              <w:ind w:right="48"/>
              <w:jc w:val="right"/>
              <w:rPr>
                <w:sz w:val="20"/>
              </w:rPr>
            </w:pPr>
            <w:r>
              <w:rPr>
                <w:spacing w:val="-4"/>
                <w:sz w:val="20"/>
              </w:rPr>
              <w:t>2,05</w:t>
            </w:r>
          </w:p>
        </w:tc>
      </w:tr>
      <w:tr>
        <w:trPr>
          <w:trHeight w:val="1250" w:hRule="atLeast"/>
        </w:trPr>
        <w:tc>
          <w:tcPr>
            <w:tcW w:w="946" w:type="dxa"/>
          </w:tcPr>
          <w:p>
            <w:pPr>
              <w:pStyle w:val="TableParagraph"/>
              <w:spacing w:before="46"/>
              <w:ind w:left="39" w:right="198"/>
              <w:jc w:val="center"/>
              <w:rPr>
                <w:sz w:val="20"/>
              </w:rPr>
            </w:pPr>
            <w:r>
              <w:rPr>
                <w:spacing w:val="-2"/>
                <w:sz w:val="20"/>
              </w:rPr>
              <w:t>st28.002</w:t>
            </w:r>
          </w:p>
        </w:tc>
        <w:tc>
          <w:tcPr>
            <w:tcW w:w="707" w:type="dxa"/>
          </w:tcPr>
          <w:p>
            <w:pPr>
              <w:pStyle w:val="TableParagraph"/>
              <w:spacing w:before="46"/>
              <w:ind w:left="210"/>
              <w:rPr>
                <w:sz w:val="20"/>
              </w:rPr>
            </w:pPr>
            <w:r>
              <w:rPr>
                <w:spacing w:val="-5"/>
                <w:sz w:val="20"/>
              </w:rPr>
              <w:t>265</w:t>
            </w:r>
          </w:p>
        </w:tc>
        <w:tc>
          <w:tcPr>
            <w:tcW w:w="2545" w:type="dxa"/>
          </w:tcPr>
          <w:p>
            <w:pPr>
              <w:pStyle w:val="TableParagraph"/>
              <w:spacing w:before="46"/>
              <w:ind w:left="192"/>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средостения</w:t>
            </w:r>
            <w:r>
              <w:rPr>
                <w:spacing w:val="-11"/>
                <w:sz w:val="20"/>
              </w:rPr>
              <w:t> </w:t>
            </w:r>
            <w:r>
              <w:rPr>
                <w:sz w:val="20"/>
              </w:rPr>
              <w:t>(уровень</w:t>
            </w:r>
            <w:r>
              <w:rPr>
                <w:spacing w:val="-10"/>
                <w:sz w:val="20"/>
              </w:rPr>
              <w:t> </w:t>
            </w:r>
            <w:r>
              <w:rPr>
                <w:spacing w:val="-5"/>
                <w:sz w:val="20"/>
              </w:rPr>
              <w:t>1)</w:t>
            </w:r>
          </w:p>
        </w:tc>
        <w:tc>
          <w:tcPr>
            <w:tcW w:w="4301" w:type="dxa"/>
          </w:tcPr>
          <w:p>
            <w:pPr>
              <w:pStyle w:val="TableParagraph"/>
              <w:spacing w:before="46"/>
              <w:ind w:left="47"/>
              <w:jc w:val="center"/>
              <w:rPr>
                <w:sz w:val="20"/>
              </w:rPr>
            </w:pPr>
            <w:r>
              <w:rPr>
                <w:w w:val="99"/>
                <w:sz w:val="20"/>
              </w:rPr>
              <w:t>-</w:t>
            </w:r>
          </w:p>
        </w:tc>
        <w:tc>
          <w:tcPr>
            <w:tcW w:w="3940" w:type="dxa"/>
          </w:tcPr>
          <w:p>
            <w:pPr>
              <w:pStyle w:val="TableParagraph"/>
              <w:spacing w:before="46"/>
              <w:ind w:left="211" w:right="645" w:firstLine="1"/>
              <w:jc w:val="center"/>
              <w:rPr>
                <w:sz w:val="20"/>
              </w:rPr>
            </w:pPr>
            <w:r>
              <w:rPr>
                <w:sz w:val="20"/>
              </w:rPr>
              <w:t>A03.10.001, A03.10.001.001, A11.09.004, A11.11.004, A11.11.004.001, A16.09.001, A16.09.005,</w:t>
            </w:r>
            <w:r>
              <w:rPr>
                <w:spacing w:val="-13"/>
                <w:sz w:val="20"/>
              </w:rPr>
              <w:t> </w:t>
            </w:r>
            <w:r>
              <w:rPr>
                <w:sz w:val="20"/>
              </w:rPr>
              <w:t>A16.09.012,</w:t>
            </w:r>
            <w:r>
              <w:rPr>
                <w:spacing w:val="-12"/>
                <w:sz w:val="20"/>
              </w:rPr>
              <w:t> </w:t>
            </w:r>
            <w:r>
              <w:rPr>
                <w:sz w:val="20"/>
              </w:rPr>
              <w:t>A16.09.035, </w:t>
            </w:r>
            <w:r>
              <w:rPr>
                <w:spacing w:val="-2"/>
                <w:sz w:val="20"/>
              </w:rPr>
              <w:t>A16.09.042</w:t>
            </w:r>
          </w:p>
        </w:tc>
        <w:tc>
          <w:tcPr>
            <w:tcW w:w="1574" w:type="dxa"/>
          </w:tcPr>
          <w:p>
            <w:pPr>
              <w:pStyle w:val="TableParagraph"/>
              <w:spacing w:before="46"/>
              <w:ind w:left="647"/>
              <w:rPr>
                <w:sz w:val="20"/>
              </w:rPr>
            </w:pPr>
            <w:r>
              <w:rPr>
                <w:w w:val="99"/>
                <w:sz w:val="20"/>
              </w:rPr>
              <w:t>-</w:t>
            </w:r>
          </w:p>
        </w:tc>
        <w:tc>
          <w:tcPr>
            <w:tcW w:w="1261" w:type="dxa"/>
          </w:tcPr>
          <w:p>
            <w:pPr>
              <w:pStyle w:val="TableParagraph"/>
              <w:spacing w:before="46"/>
              <w:ind w:right="48"/>
              <w:jc w:val="right"/>
              <w:rPr>
                <w:sz w:val="20"/>
              </w:rPr>
            </w:pPr>
            <w:r>
              <w:rPr>
                <w:spacing w:val="-4"/>
                <w:sz w:val="20"/>
              </w:rPr>
              <w:t>1,54</w:t>
            </w:r>
          </w:p>
        </w:tc>
      </w:tr>
      <w:tr>
        <w:trPr>
          <w:trHeight w:val="1249" w:hRule="atLeast"/>
        </w:trPr>
        <w:tc>
          <w:tcPr>
            <w:tcW w:w="946" w:type="dxa"/>
          </w:tcPr>
          <w:p>
            <w:pPr>
              <w:pStyle w:val="TableParagraph"/>
              <w:spacing w:before="46"/>
              <w:ind w:left="39" w:right="198"/>
              <w:jc w:val="center"/>
              <w:rPr>
                <w:sz w:val="20"/>
              </w:rPr>
            </w:pPr>
            <w:r>
              <w:rPr>
                <w:spacing w:val="-2"/>
                <w:sz w:val="20"/>
              </w:rPr>
              <w:t>st28.003</w:t>
            </w:r>
          </w:p>
        </w:tc>
        <w:tc>
          <w:tcPr>
            <w:tcW w:w="707" w:type="dxa"/>
          </w:tcPr>
          <w:p>
            <w:pPr>
              <w:pStyle w:val="TableParagraph"/>
              <w:spacing w:before="46"/>
              <w:ind w:left="210"/>
              <w:rPr>
                <w:sz w:val="20"/>
              </w:rPr>
            </w:pPr>
            <w:r>
              <w:rPr>
                <w:spacing w:val="-5"/>
                <w:sz w:val="20"/>
              </w:rPr>
              <w:t>266</w:t>
            </w:r>
          </w:p>
        </w:tc>
        <w:tc>
          <w:tcPr>
            <w:tcW w:w="2545" w:type="dxa"/>
          </w:tcPr>
          <w:p>
            <w:pPr>
              <w:pStyle w:val="TableParagraph"/>
              <w:spacing w:before="46"/>
              <w:ind w:left="192"/>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средостения</w:t>
            </w:r>
            <w:r>
              <w:rPr>
                <w:spacing w:val="-11"/>
                <w:sz w:val="20"/>
              </w:rPr>
              <w:t> </w:t>
            </w:r>
            <w:r>
              <w:rPr>
                <w:sz w:val="20"/>
              </w:rPr>
              <w:t>(уровень</w:t>
            </w:r>
            <w:r>
              <w:rPr>
                <w:spacing w:val="-10"/>
                <w:sz w:val="20"/>
              </w:rPr>
              <w:t> </w:t>
            </w:r>
            <w:r>
              <w:rPr>
                <w:spacing w:val="-5"/>
                <w:sz w:val="20"/>
              </w:rPr>
              <w:t>2)</w:t>
            </w:r>
          </w:p>
        </w:tc>
        <w:tc>
          <w:tcPr>
            <w:tcW w:w="4301" w:type="dxa"/>
          </w:tcPr>
          <w:p>
            <w:pPr>
              <w:pStyle w:val="TableParagraph"/>
              <w:spacing w:before="46"/>
              <w:ind w:left="47"/>
              <w:jc w:val="center"/>
              <w:rPr>
                <w:sz w:val="20"/>
              </w:rPr>
            </w:pPr>
            <w:r>
              <w:rPr>
                <w:w w:val="99"/>
                <w:sz w:val="20"/>
              </w:rPr>
              <w:t>-</w:t>
            </w:r>
          </w:p>
        </w:tc>
        <w:tc>
          <w:tcPr>
            <w:tcW w:w="3940" w:type="dxa"/>
          </w:tcPr>
          <w:p>
            <w:pPr>
              <w:pStyle w:val="TableParagraph"/>
              <w:spacing w:before="46"/>
              <w:ind w:left="384" w:right="817"/>
              <w:jc w:val="center"/>
              <w:rPr>
                <w:sz w:val="20"/>
              </w:rPr>
            </w:pPr>
            <w:r>
              <w:rPr>
                <w:sz w:val="20"/>
              </w:rPr>
              <w:t>A16.09.001.001,</w:t>
            </w:r>
            <w:r>
              <w:rPr>
                <w:spacing w:val="-13"/>
                <w:sz w:val="20"/>
              </w:rPr>
              <w:t> </w:t>
            </w:r>
            <w:r>
              <w:rPr>
                <w:sz w:val="20"/>
              </w:rPr>
              <w:t>A16.09.003, A16.09.004, A16.09.006, A16.09.006.001,</w:t>
            </w:r>
            <w:r>
              <w:rPr>
                <w:spacing w:val="-13"/>
                <w:sz w:val="20"/>
              </w:rPr>
              <w:t> </w:t>
            </w:r>
            <w:r>
              <w:rPr>
                <w:sz w:val="20"/>
              </w:rPr>
              <w:t>A16.09.031, A16.09.036,</w:t>
            </w:r>
            <w:r>
              <w:rPr>
                <w:spacing w:val="-13"/>
                <w:sz w:val="20"/>
              </w:rPr>
              <w:t> </w:t>
            </w:r>
            <w:r>
              <w:rPr>
                <w:sz w:val="20"/>
              </w:rPr>
              <w:t>A16.10.011.005, </w:t>
            </w:r>
            <w:r>
              <w:rPr>
                <w:spacing w:val="-2"/>
                <w:sz w:val="20"/>
              </w:rPr>
              <w:t>A16.11.004</w:t>
            </w:r>
          </w:p>
        </w:tc>
        <w:tc>
          <w:tcPr>
            <w:tcW w:w="1574" w:type="dxa"/>
          </w:tcPr>
          <w:p>
            <w:pPr>
              <w:pStyle w:val="TableParagraph"/>
              <w:spacing w:before="46"/>
              <w:ind w:left="647"/>
              <w:rPr>
                <w:sz w:val="20"/>
              </w:rPr>
            </w:pPr>
            <w:r>
              <w:rPr>
                <w:w w:val="99"/>
                <w:sz w:val="20"/>
              </w:rPr>
              <w:t>-</w:t>
            </w:r>
          </w:p>
        </w:tc>
        <w:tc>
          <w:tcPr>
            <w:tcW w:w="1261" w:type="dxa"/>
          </w:tcPr>
          <w:p>
            <w:pPr>
              <w:pStyle w:val="TableParagraph"/>
              <w:spacing w:before="46"/>
              <w:ind w:right="48"/>
              <w:jc w:val="right"/>
              <w:rPr>
                <w:sz w:val="20"/>
              </w:rPr>
            </w:pPr>
            <w:r>
              <w:rPr>
                <w:spacing w:val="-4"/>
                <w:sz w:val="20"/>
              </w:rPr>
              <w:t>1,92</w:t>
            </w:r>
          </w:p>
        </w:tc>
      </w:tr>
      <w:tr>
        <w:trPr>
          <w:trHeight w:val="1885" w:hRule="atLeast"/>
        </w:trPr>
        <w:tc>
          <w:tcPr>
            <w:tcW w:w="946" w:type="dxa"/>
          </w:tcPr>
          <w:p>
            <w:pPr>
              <w:pStyle w:val="TableParagraph"/>
              <w:spacing w:before="45"/>
              <w:ind w:left="39" w:right="198"/>
              <w:jc w:val="center"/>
              <w:rPr>
                <w:sz w:val="20"/>
              </w:rPr>
            </w:pPr>
            <w:r>
              <w:rPr>
                <w:spacing w:val="-2"/>
                <w:sz w:val="20"/>
              </w:rPr>
              <w:t>st28.004</w:t>
            </w:r>
          </w:p>
        </w:tc>
        <w:tc>
          <w:tcPr>
            <w:tcW w:w="707" w:type="dxa"/>
          </w:tcPr>
          <w:p>
            <w:pPr>
              <w:pStyle w:val="TableParagraph"/>
              <w:spacing w:before="45"/>
              <w:ind w:left="210"/>
              <w:rPr>
                <w:sz w:val="20"/>
              </w:rPr>
            </w:pPr>
            <w:r>
              <w:rPr>
                <w:spacing w:val="-5"/>
                <w:sz w:val="20"/>
              </w:rPr>
              <w:t>267</w:t>
            </w:r>
          </w:p>
        </w:tc>
        <w:tc>
          <w:tcPr>
            <w:tcW w:w="2545" w:type="dxa"/>
          </w:tcPr>
          <w:p>
            <w:pPr>
              <w:pStyle w:val="TableParagraph"/>
              <w:spacing w:before="45"/>
              <w:ind w:left="192"/>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средостения</w:t>
            </w:r>
            <w:r>
              <w:rPr>
                <w:spacing w:val="-11"/>
                <w:sz w:val="20"/>
              </w:rPr>
              <w:t> </w:t>
            </w:r>
            <w:r>
              <w:rPr>
                <w:sz w:val="20"/>
              </w:rPr>
              <w:t>(уровень</w:t>
            </w:r>
            <w:r>
              <w:rPr>
                <w:spacing w:val="-10"/>
                <w:sz w:val="20"/>
              </w:rPr>
              <w:t> </w:t>
            </w:r>
            <w:r>
              <w:rPr>
                <w:spacing w:val="-5"/>
                <w:sz w:val="20"/>
              </w:rPr>
              <w:t>3)</w:t>
            </w:r>
          </w:p>
        </w:tc>
        <w:tc>
          <w:tcPr>
            <w:tcW w:w="4301" w:type="dxa"/>
          </w:tcPr>
          <w:p>
            <w:pPr>
              <w:pStyle w:val="TableParagraph"/>
              <w:spacing w:before="45"/>
              <w:ind w:left="47"/>
              <w:jc w:val="center"/>
              <w:rPr>
                <w:sz w:val="20"/>
              </w:rPr>
            </w:pPr>
            <w:r>
              <w:rPr>
                <w:w w:val="99"/>
                <w:sz w:val="20"/>
              </w:rPr>
              <w:t>-</w:t>
            </w:r>
          </w:p>
        </w:tc>
        <w:tc>
          <w:tcPr>
            <w:tcW w:w="3940" w:type="dxa"/>
          </w:tcPr>
          <w:p>
            <w:pPr>
              <w:pStyle w:val="TableParagraph"/>
              <w:spacing w:before="45"/>
              <w:ind w:left="384" w:right="817"/>
              <w:jc w:val="center"/>
              <w:rPr>
                <w:sz w:val="20"/>
              </w:rPr>
            </w:pPr>
            <w:r>
              <w:rPr>
                <w:sz w:val="20"/>
              </w:rPr>
              <w:t>A16.09.001.002,</w:t>
            </w:r>
            <w:r>
              <w:rPr>
                <w:spacing w:val="-13"/>
                <w:sz w:val="20"/>
              </w:rPr>
              <w:t> </w:t>
            </w:r>
            <w:r>
              <w:rPr>
                <w:sz w:val="20"/>
              </w:rPr>
              <w:t>A16.09.004.001, A16.09.005.001, A16.09.007, A16.09.007.002, A16.09.008, A16.09.009, A16.09.009.002, A16.09.013, A16.09.013.006, A16.09.014, A16.09.014.005,</w:t>
            </w:r>
          </w:p>
          <w:p>
            <w:pPr>
              <w:pStyle w:val="TableParagraph"/>
              <w:spacing w:line="230" w:lineRule="exact"/>
              <w:ind w:left="384" w:right="817" w:firstLine="2"/>
              <w:jc w:val="center"/>
              <w:rPr>
                <w:sz w:val="20"/>
              </w:rPr>
            </w:pPr>
            <w:r>
              <w:rPr>
                <w:sz w:val="20"/>
              </w:rPr>
              <w:t>A16.09.015, A16.09.015.005, A16.09.015.006,</w:t>
            </w:r>
            <w:r>
              <w:rPr>
                <w:spacing w:val="-13"/>
                <w:sz w:val="20"/>
              </w:rPr>
              <w:t> </w:t>
            </w:r>
            <w:r>
              <w:rPr>
                <w:sz w:val="20"/>
              </w:rPr>
              <w:t>A16.09.015.007,</w:t>
            </w:r>
          </w:p>
        </w:tc>
        <w:tc>
          <w:tcPr>
            <w:tcW w:w="1574" w:type="dxa"/>
          </w:tcPr>
          <w:p>
            <w:pPr>
              <w:pStyle w:val="TableParagraph"/>
              <w:spacing w:before="45"/>
              <w:ind w:left="647"/>
              <w:rPr>
                <w:sz w:val="20"/>
              </w:rPr>
            </w:pPr>
            <w:r>
              <w:rPr>
                <w:w w:val="99"/>
                <w:sz w:val="20"/>
              </w:rPr>
              <w:t>-</w:t>
            </w:r>
          </w:p>
        </w:tc>
        <w:tc>
          <w:tcPr>
            <w:tcW w:w="1261" w:type="dxa"/>
          </w:tcPr>
          <w:p>
            <w:pPr>
              <w:pStyle w:val="TableParagraph"/>
              <w:spacing w:before="45"/>
              <w:ind w:right="48"/>
              <w:jc w:val="right"/>
              <w:rPr>
                <w:sz w:val="20"/>
              </w:rPr>
            </w:pPr>
            <w:r>
              <w:rPr>
                <w:spacing w:val="-4"/>
                <w:sz w:val="20"/>
              </w:rPr>
              <w:t>2,56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84"/>
        <w:gridCol w:w="2423"/>
        <w:gridCol w:w="4882"/>
        <w:gridCol w:w="1575"/>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484" w:type="dxa"/>
            <w:vMerge w:val="restart"/>
          </w:tcPr>
          <w:p>
            <w:pPr>
              <w:pStyle w:val="TableParagraph"/>
              <w:rPr>
                <w:sz w:val="18"/>
              </w:rPr>
            </w:pPr>
          </w:p>
        </w:tc>
        <w:tc>
          <w:tcPr>
            <w:tcW w:w="2423" w:type="dxa"/>
            <w:vMerge w:val="restart"/>
          </w:tcPr>
          <w:p>
            <w:pPr>
              <w:pStyle w:val="TableParagraph"/>
              <w:rPr>
                <w:sz w:val="18"/>
              </w:rPr>
            </w:pPr>
          </w:p>
        </w:tc>
        <w:tc>
          <w:tcPr>
            <w:tcW w:w="4882" w:type="dxa"/>
          </w:tcPr>
          <w:p>
            <w:pPr>
              <w:pStyle w:val="TableParagraph"/>
              <w:spacing w:line="205" w:lineRule="exact"/>
              <w:ind w:left="1145" w:right="644"/>
              <w:jc w:val="center"/>
              <w:rPr>
                <w:sz w:val="20"/>
              </w:rPr>
            </w:pPr>
            <w:r>
              <w:rPr>
                <w:sz w:val="20"/>
              </w:rPr>
              <w:t>A16.09.016,</w:t>
            </w:r>
            <w:r>
              <w:rPr>
                <w:spacing w:val="-9"/>
                <w:sz w:val="20"/>
              </w:rPr>
              <w:t> </w:t>
            </w:r>
            <w:r>
              <w:rPr>
                <w:spacing w:val="-2"/>
                <w:sz w:val="20"/>
              </w:rPr>
              <w:t>A16.09.016.005,</w:t>
            </w:r>
          </w:p>
        </w:tc>
        <w:tc>
          <w:tcPr>
            <w:tcW w:w="1575"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09" w:lineRule="exact"/>
              <w:ind w:left="1145" w:right="644"/>
              <w:jc w:val="center"/>
              <w:rPr>
                <w:sz w:val="20"/>
              </w:rPr>
            </w:pPr>
            <w:r>
              <w:rPr>
                <w:w w:val="95"/>
                <w:sz w:val="20"/>
              </w:rPr>
              <w:t>A16.09.016.006,</w:t>
            </w:r>
            <w:r>
              <w:rPr>
                <w:spacing w:val="54"/>
                <w:sz w:val="20"/>
              </w:rPr>
              <w:t> </w:t>
            </w:r>
            <w:r>
              <w:rPr>
                <w:spacing w:val="-2"/>
                <w:sz w:val="20"/>
              </w:rPr>
              <w:t>A16.09.017,</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09" w:lineRule="exact"/>
              <w:ind w:left="1143" w:right="644"/>
              <w:jc w:val="center"/>
              <w:rPr>
                <w:sz w:val="20"/>
              </w:rPr>
            </w:pPr>
            <w:r>
              <w:rPr>
                <w:sz w:val="20"/>
              </w:rPr>
              <w:t>A16.09.018,</w:t>
            </w:r>
            <w:r>
              <w:rPr>
                <w:spacing w:val="-9"/>
                <w:sz w:val="20"/>
              </w:rPr>
              <w:t> </w:t>
            </w:r>
            <w:r>
              <w:rPr>
                <w:sz w:val="20"/>
              </w:rPr>
              <w:t>A16.09.020,</w:t>
            </w:r>
            <w:r>
              <w:rPr>
                <w:spacing w:val="-10"/>
                <w:sz w:val="20"/>
              </w:rPr>
              <w:t> </w:t>
            </w:r>
            <w:r>
              <w:rPr>
                <w:spacing w:val="-2"/>
                <w:sz w:val="20"/>
              </w:rPr>
              <w:t>A16.09.025,</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5" w:right="644"/>
              <w:jc w:val="center"/>
              <w:rPr>
                <w:sz w:val="20"/>
              </w:rPr>
            </w:pPr>
            <w:r>
              <w:rPr>
                <w:w w:val="95"/>
                <w:sz w:val="20"/>
              </w:rPr>
              <w:t>A16.09.026.005,</w:t>
            </w:r>
            <w:r>
              <w:rPr>
                <w:spacing w:val="54"/>
                <w:sz w:val="20"/>
              </w:rPr>
              <w:t> </w:t>
            </w:r>
            <w:r>
              <w:rPr>
                <w:spacing w:val="-2"/>
                <w:sz w:val="20"/>
              </w:rPr>
              <w:t>A16.09.027,</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4" w:right="644"/>
              <w:jc w:val="center"/>
              <w:rPr>
                <w:sz w:val="20"/>
              </w:rPr>
            </w:pPr>
            <w:r>
              <w:rPr>
                <w:w w:val="95"/>
                <w:sz w:val="20"/>
              </w:rPr>
              <w:t>A16.09.036.001,</w:t>
            </w:r>
            <w:r>
              <w:rPr>
                <w:spacing w:val="54"/>
                <w:sz w:val="20"/>
              </w:rPr>
              <w:t> </w:t>
            </w:r>
            <w:r>
              <w:rPr>
                <w:spacing w:val="-2"/>
                <w:sz w:val="20"/>
              </w:rPr>
              <w:t>A16.09.036.002,</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5" w:right="644"/>
              <w:jc w:val="center"/>
              <w:rPr>
                <w:sz w:val="20"/>
              </w:rPr>
            </w:pPr>
            <w:r>
              <w:rPr>
                <w:sz w:val="20"/>
              </w:rPr>
              <w:t>A16.09.037,</w:t>
            </w:r>
            <w:r>
              <w:rPr>
                <w:spacing w:val="-9"/>
                <w:sz w:val="20"/>
              </w:rPr>
              <w:t> </w:t>
            </w:r>
            <w:r>
              <w:rPr>
                <w:spacing w:val="-2"/>
                <w:sz w:val="20"/>
              </w:rPr>
              <w:t>A16.09.037.001,</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1" w:lineRule="exact"/>
              <w:ind w:left="1148" w:right="644"/>
              <w:jc w:val="center"/>
              <w:rPr>
                <w:sz w:val="20"/>
              </w:rPr>
            </w:pPr>
            <w:r>
              <w:rPr>
                <w:sz w:val="20"/>
              </w:rPr>
              <w:t>A16.09.038,</w:t>
            </w:r>
            <w:r>
              <w:rPr>
                <w:spacing w:val="-9"/>
                <w:sz w:val="20"/>
              </w:rPr>
              <w:t> </w:t>
            </w:r>
            <w:r>
              <w:rPr>
                <w:sz w:val="20"/>
              </w:rPr>
              <w:t>A16.09.039,</w:t>
            </w:r>
            <w:r>
              <w:rPr>
                <w:spacing w:val="-10"/>
                <w:sz w:val="20"/>
              </w:rPr>
              <w:t> </w:t>
            </w:r>
            <w:r>
              <w:rPr>
                <w:spacing w:val="-2"/>
                <w:sz w:val="20"/>
              </w:rPr>
              <w:t>A16.09.040,</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3" w:right="644"/>
              <w:jc w:val="center"/>
              <w:rPr>
                <w:sz w:val="20"/>
              </w:rPr>
            </w:pPr>
            <w:r>
              <w:rPr>
                <w:sz w:val="20"/>
              </w:rPr>
              <w:t>A16.09.041,</w:t>
            </w:r>
            <w:r>
              <w:rPr>
                <w:spacing w:val="-9"/>
                <w:sz w:val="20"/>
              </w:rPr>
              <w:t> </w:t>
            </w:r>
            <w:r>
              <w:rPr>
                <w:sz w:val="20"/>
              </w:rPr>
              <w:t>A16.09.044,</w:t>
            </w:r>
            <w:r>
              <w:rPr>
                <w:spacing w:val="-10"/>
                <w:sz w:val="20"/>
              </w:rPr>
              <w:t> </w:t>
            </w:r>
            <w:r>
              <w:rPr>
                <w:spacing w:val="-2"/>
                <w:sz w:val="20"/>
              </w:rPr>
              <w:t>A16.11.001,</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24" w:lineRule="exact"/>
              <w:ind w:left="1144" w:right="644"/>
              <w:jc w:val="center"/>
              <w:rPr>
                <w:sz w:val="20"/>
              </w:rPr>
            </w:pPr>
            <w:r>
              <w:rPr>
                <w:sz w:val="20"/>
              </w:rPr>
              <w:t>A16.11.003,</w:t>
            </w:r>
            <w:r>
              <w:rPr>
                <w:spacing w:val="-9"/>
                <w:sz w:val="20"/>
              </w:rPr>
              <w:t> </w:t>
            </w:r>
            <w:r>
              <w:rPr>
                <w:spacing w:val="-2"/>
                <w:sz w:val="20"/>
              </w:rPr>
              <w:t>A16.11.004.001</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st28.005</w:t>
            </w:r>
          </w:p>
        </w:tc>
        <w:tc>
          <w:tcPr>
            <w:tcW w:w="707" w:type="dxa"/>
          </w:tcPr>
          <w:p>
            <w:pPr>
              <w:pStyle w:val="TableParagraph"/>
              <w:spacing w:line="215" w:lineRule="exact" w:before="46"/>
              <w:ind w:left="210"/>
              <w:rPr>
                <w:sz w:val="20"/>
              </w:rPr>
            </w:pPr>
            <w:r>
              <w:rPr>
                <w:spacing w:val="-5"/>
                <w:sz w:val="20"/>
              </w:rPr>
              <w:t>268</w:t>
            </w:r>
          </w:p>
        </w:tc>
        <w:tc>
          <w:tcPr>
            <w:tcW w:w="348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нижних</w:t>
            </w:r>
          </w:p>
        </w:tc>
        <w:tc>
          <w:tcPr>
            <w:tcW w:w="2423" w:type="dxa"/>
          </w:tcPr>
          <w:p>
            <w:pPr>
              <w:pStyle w:val="TableParagraph"/>
              <w:spacing w:line="215" w:lineRule="exact" w:before="46"/>
              <w:ind w:left="47"/>
              <w:jc w:val="center"/>
              <w:rPr>
                <w:sz w:val="20"/>
              </w:rPr>
            </w:pPr>
            <w:r>
              <w:rPr>
                <w:w w:val="99"/>
                <w:sz w:val="20"/>
              </w:rPr>
              <w:t>-</w:t>
            </w:r>
          </w:p>
        </w:tc>
        <w:tc>
          <w:tcPr>
            <w:tcW w:w="4882" w:type="dxa"/>
          </w:tcPr>
          <w:p>
            <w:pPr>
              <w:pStyle w:val="TableParagraph"/>
              <w:spacing w:line="215" w:lineRule="exact" w:before="46"/>
              <w:ind w:left="1144" w:right="644"/>
              <w:jc w:val="center"/>
              <w:rPr>
                <w:sz w:val="20"/>
              </w:rPr>
            </w:pPr>
            <w:r>
              <w:rPr>
                <w:w w:val="95"/>
                <w:sz w:val="20"/>
              </w:rPr>
              <w:t>A16.09.007.003,</w:t>
            </w:r>
            <w:r>
              <w:rPr>
                <w:spacing w:val="54"/>
                <w:sz w:val="20"/>
              </w:rPr>
              <w:t> </w:t>
            </w:r>
            <w:r>
              <w:rPr>
                <w:spacing w:val="-2"/>
                <w:sz w:val="20"/>
              </w:rPr>
              <w:t>A16.09.007.004,</w:t>
            </w:r>
          </w:p>
        </w:tc>
        <w:tc>
          <w:tcPr>
            <w:tcW w:w="1575" w:type="dxa"/>
          </w:tcPr>
          <w:p>
            <w:pPr>
              <w:pStyle w:val="TableParagraph"/>
              <w:spacing w:line="215" w:lineRule="exact" w:before="46"/>
              <w:ind w:right="217"/>
              <w:jc w:val="center"/>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4,12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spacing w:line="210" w:lineRule="exact"/>
              <w:ind w:left="192"/>
              <w:rPr>
                <w:sz w:val="20"/>
              </w:rPr>
            </w:pPr>
            <w:r>
              <w:rPr>
                <w:sz w:val="20"/>
              </w:rPr>
              <w:t>дыхательных</w:t>
            </w:r>
            <w:r>
              <w:rPr>
                <w:spacing w:val="-8"/>
                <w:sz w:val="20"/>
              </w:rPr>
              <w:t> </w:t>
            </w:r>
            <w:r>
              <w:rPr>
                <w:sz w:val="20"/>
              </w:rPr>
              <w:t>путях</w:t>
            </w:r>
            <w:r>
              <w:rPr>
                <w:spacing w:val="-10"/>
                <w:sz w:val="20"/>
              </w:rPr>
              <w:t> и</w:t>
            </w: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A16.09.009.004,</w:t>
            </w:r>
            <w:r>
              <w:rPr>
                <w:spacing w:val="54"/>
                <w:sz w:val="20"/>
              </w:rPr>
              <w:t> </w:t>
            </w:r>
            <w:r>
              <w:rPr>
                <w:spacing w:val="-2"/>
                <w:sz w:val="20"/>
              </w:rPr>
              <w:t>A16.09.009.005,</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spacing w:line="209" w:lineRule="exact"/>
              <w:ind w:left="192"/>
              <w:rPr>
                <w:sz w:val="20"/>
              </w:rPr>
            </w:pPr>
            <w:r>
              <w:rPr>
                <w:sz w:val="20"/>
              </w:rPr>
              <w:t>легочной</w:t>
            </w:r>
            <w:r>
              <w:rPr>
                <w:spacing w:val="-10"/>
                <w:sz w:val="20"/>
              </w:rPr>
              <w:t> </w:t>
            </w:r>
            <w:r>
              <w:rPr>
                <w:sz w:val="20"/>
              </w:rPr>
              <w:t>ткани,</w:t>
            </w:r>
            <w:r>
              <w:rPr>
                <w:spacing w:val="-8"/>
                <w:sz w:val="20"/>
              </w:rPr>
              <w:t> </w:t>
            </w:r>
            <w:r>
              <w:rPr>
                <w:spacing w:val="-2"/>
                <w:sz w:val="20"/>
              </w:rPr>
              <w:t>органах</w:t>
            </w:r>
          </w:p>
        </w:tc>
        <w:tc>
          <w:tcPr>
            <w:tcW w:w="2423" w:type="dxa"/>
          </w:tcPr>
          <w:p>
            <w:pPr>
              <w:pStyle w:val="TableParagraph"/>
              <w:rPr>
                <w:sz w:val="16"/>
              </w:rPr>
            </w:pPr>
          </w:p>
        </w:tc>
        <w:tc>
          <w:tcPr>
            <w:tcW w:w="4882" w:type="dxa"/>
          </w:tcPr>
          <w:p>
            <w:pPr>
              <w:pStyle w:val="TableParagraph"/>
              <w:spacing w:line="209" w:lineRule="exact"/>
              <w:ind w:left="1146" w:right="644"/>
              <w:jc w:val="center"/>
              <w:rPr>
                <w:sz w:val="20"/>
              </w:rPr>
            </w:pPr>
            <w:r>
              <w:rPr>
                <w:w w:val="95"/>
                <w:sz w:val="20"/>
              </w:rPr>
              <w:t>A16.09.009.006,</w:t>
            </w:r>
            <w:r>
              <w:rPr>
                <w:spacing w:val="56"/>
                <w:sz w:val="20"/>
              </w:rPr>
              <w:t> </w:t>
            </w:r>
            <w:r>
              <w:rPr>
                <w:spacing w:val="-2"/>
                <w:sz w:val="20"/>
              </w:rPr>
              <w:t>A16.09.009.007,</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spacing w:line="209" w:lineRule="exact"/>
              <w:ind w:left="192"/>
              <w:rPr>
                <w:sz w:val="20"/>
              </w:rPr>
            </w:pPr>
            <w:r>
              <w:rPr>
                <w:sz w:val="20"/>
              </w:rPr>
              <w:t>средостения</w:t>
            </w:r>
            <w:r>
              <w:rPr>
                <w:spacing w:val="-11"/>
                <w:sz w:val="20"/>
              </w:rPr>
              <w:t> </w:t>
            </w:r>
            <w:r>
              <w:rPr>
                <w:sz w:val="20"/>
              </w:rPr>
              <w:t>(уровень</w:t>
            </w:r>
            <w:r>
              <w:rPr>
                <w:spacing w:val="-10"/>
                <w:sz w:val="20"/>
              </w:rPr>
              <w:t> </w:t>
            </w:r>
            <w:r>
              <w:rPr>
                <w:spacing w:val="-5"/>
                <w:sz w:val="20"/>
              </w:rPr>
              <w:t>4)</w:t>
            </w: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A16.09.009.008,</w:t>
            </w:r>
            <w:r>
              <w:rPr>
                <w:spacing w:val="54"/>
                <w:sz w:val="20"/>
              </w:rPr>
              <w:t> </w:t>
            </w:r>
            <w:r>
              <w:rPr>
                <w:spacing w:val="-2"/>
                <w:sz w:val="20"/>
              </w:rPr>
              <w:t>A16.09.009.009,</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A16.09.009.010,</w:t>
            </w:r>
            <w:r>
              <w:rPr>
                <w:spacing w:val="54"/>
                <w:sz w:val="20"/>
              </w:rPr>
              <w:t> </w:t>
            </w:r>
            <w:r>
              <w:rPr>
                <w:spacing w:val="-2"/>
                <w:sz w:val="20"/>
              </w:rPr>
              <w:t>A16.09.009.011,</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A16.09.013.001,</w:t>
            </w:r>
            <w:r>
              <w:rPr>
                <w:spacing w:val="54"/>
                <w:sz w:val="20"/>
              </w:rPr>
              <w:t> </w:t>
            </w:r>
            <w:r>
              <w:rPr>
                <w:spacing w:val="-2"/>
                <w:sz w:val="20"/>
              </w:rPr>
              <w:t>A16.09.013.002,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A16.09.013.003,</w:t>
            </w:r>
            <w:r>
              <w:rPr>
                <w:spacing w:val="54"/>
                <w:sz w:val="20"/>
              </w:rPr>
              <w:t> </w:t>
            </w:r>
            <w:r>
              <w:rPr>
                <w:spacing w:val="-2"/>
                <w:sz w:val="20"/>
              </w:rPr>
              <w:t>A16.09.014.002,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A16.09.014.003,</w:t>
            </w:r>
            <w:r>
              <w:rPr>
                <w:spacing w:val="54"/>
                <w:sz w:val="20"/>
              </w:rPr>
              <w:t> </w:t>
            </w:r>
            <w:r>
              <w:rPr>
                <w:spacing w:val="-2"/>
                <w:sz w:val="20"/>
              </w:rPr>
              <w:t>A16.09.014.004,</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A16.09.014.006,</w:t>
            </w:r>
            <w:r>
              <w:rPr>
                <w:spacing w:val="54"/>
                <w:sz w:val="20"/>
              </w:rPr>
              <w:t> </w:t>
            </w:r>
            <w:r>
              <w:rPr>
                <w:spacing w:val="-2"/>
                <w:sz w:val="20"/>
              </w:rPr>
              <w:t>A16.09.014.007,</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A16.09.015.003,</w:t>
            </w:r>
            <w:r>
              <w:rPr>
                <w:spacing w:val="54"/>
                <w:sz w:val="20"/>
              </w:rPr>
              <w:t> </w:t>
            </w:r>
            <w:r>
              <w:rPr>
                <w:spacing w:val="-2"/>
                <w:sz w:val="20"/>
              </w:rPr>
              <w:t>A16.09.015.004,</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6" w:right="644"/>
              <w:jc w:val="center"/>
              <w:rPr>
                <w:sz w:val="20"/>
              </w:rPr>
            </w:pPr>
            <w:r>
              <w:rPr>
                <w:w w:val="95"/>
                <w:sz w:val="20"/>
              </w:rPr>
              <w:t>A16.09.015.008,</w:t>
            </w:r>
            <w:r>
              <w:rPr>
                <w:spacing w:val="56"/>
                <w:sz w:val="20"/>
              </w:rPr>
              <w:t> </w:t>
            </w:r>
            <w:r>
              <w:rPr>
                <w:spacing w:val="-2"/>
                <w:sz w:val="20"/>
              </w:rPr>
              <w:t>A16.09.016.002,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A16.09.016.004,</w:t>
            </w:r>
            <w:r>
              <w:rPr>
                <w:spacing w:val="54"/>
                <w:sz w:val="20"/>
              </w:rPr>
              <w:t> </w:t>
            </w:r>
            <w:r>
              <w:rPr>
                <w:spacing w:val="-2"/>
                <w:sz w:val="20"/>
              </w:rPr>
              <w:t>A16.09.016.007,</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A16.09.016.008,</w:t>
            </w:r>
            <w:r>
              <w:rPr>
                <w:spacing w:val="54"/>
                <w:sz w:val="20"/>
              </w:rPr>
              <w:t> </w:t>
            </w:r>
            <w:r>
              <w:rPr>
                <w:spacing w:val="-2"/>
                <w:sz w:val="20"/>
              </w:rPr>
              <w:t>A16.09.018.001,</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5" w:right="644"/>
              <w:jc w:val="center"/>
              <w:rPr>
                <w:sz w:val="20"/>
              </w:rPr>
            </w:pPr>
            <w:r>
              <w:rPr>
                <w:sz w:val="20"/>
              </w:rPr>
              <w:t>A16.09.019,</w:t>
            </w:r>
            <w:r>
              <w:rPr>
                <w:spacing w:val="-9"/>
                <w:sz w:val="20"/>
              </w:rPr>
              <w:t> </w:t>
            </w:r>
            <w:r>
              <w:rPr>
                <w:spacing w:val="-2"/>
                <w:sz w:val="20"/>
              </w:rPr>
              <w:t>A16.09.019.001,</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A16.09.019.002,</w:t>
            </w:r>
            <w:r>
              <w:rPr>
                <w:spacing w:val="54"/>
                <w:sz w:val="20"/>
              </w:rPr>
              <w:t> </w:t>
            </w:r>
            <w:r>
              <w:rPr>
                <w:spacing w:val="-2"/>
                <w:sz w:val="20"/>
              </w:rPr>
              <w:t>A16.09.019.003,</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5" w:right="644"/>
              <w:jc w:val="center"/>
              <w:rPr>
                <w:sz w:val="20"/>
              </w:rPr>
            </w:pPr>
            <w:r>
              <w:rPr>
                <w:w w:val="95"/>
                <w:sz w:val="20"/>
              </w:rPr>
              <w:t>A16.09.019.004,</w:t>
            </w:r>
            <w:r>
              <w:rPr>
                <w:spacing w:val="54"/>
                <w:sz w:val="20"/>
              </w:rPr>
              <w:t> </w:t>
            </w:r>
            <w:r>
              <w:rPr>
                <w:spacing w:val="-2"/>
                <w:sz w:val="20"/>
              </w:rPr>
              <w:t>A16.09.024,</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5" w:right="644"/>
              <w:jc w:val="center"/>
              <w:rPr>
                <w:sz w:val="20"/>
              </w:rPr>
            </w:pPr>
            <w:r>
              <w:rPr>
                <w:w w:val="95"/>
                <w:sz w:val="20"/>
              </w:rPr>
              <w:t>A16.09.025.002,</w:t>
            </w:r>
            <w:r>
              <w:rPr>
                <w:spacing w:val="54"/>
                <w:sz w:val="20"/>
              </w:rPr>
              <w:t> </w:t>
            </w:r>
            <w:r>
              <w:rPr>
                <w:spacing w:val="-2"/>
                <w:sz w:val="20"/>
              </w:rPr>
              <w:t>A16.09.026,</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A16.09.026.001,</w:t>
            </w:r>
            <w:r>
              <w:rPr>
                <w:spacing w:val="54"/>
                <w:sz w:val="20"/>
              </w:rPr>
              <w:t> </w:t>
            </w:r>
            <w:r>
              <w:rPr>
                <w:spacing w:val="-2"/>
                <w:sz w:val="20"/>
              </w:rPr>
              <w:t>A16.09.026.002,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A16.09.026.003,</w:t>
            </w:r>
            <w:r>
              <w:rPr>
                <w:spacing w:val="54"/>
                <w:sz w:val="20"/>
              </w:rPr>
              <w:t> </w:t>
            </w:r>
            <w:r>
              <w:rPr>
                <w:spacing w:val="-2"/>
                <w:w w:val="95"/>
                <w:sz w:val="20"/>
              </w:rPr>
              <w:t>A16.09.026.004,</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3" w:right="644"/>
              <w:jc w:val="center"/>
              <w:rPr>
                <w:sz w:val="20"/>
              </w:rPr>
            </w:pPr>
            <w:r>
              <w:rPr>
                <w:sz w:val="20"/>
              </w:rPr>
              <w:t>A16.09.028,</w:t>
            </w:r>
            <w:r>
              <w:rPr>
                <w:spacing w:val="-9"/>
                <w:sz w:val="20"/>
              </w:rPr>
              <w:t> </w:t>
            </w:r>
            <w:r>
              <w:rPr>
                <w:sz w:val="20"/>
              </w:rPr>
              <w:t>A16.09.029,</w:t>
            </w:r>
            <w:r>
              <w:rPr>
                <w:spacing w:val="-10"/>
                <w:sz w:val="20"/>
              </w:rPr>
              <w:t> </w:t>
            </w:r>
            <w:r>
              <w:rPr>
                <w:spacing w:val="-2"/>
                <w:sz w:val="20"/>
              </w:rPr>
              <w:t>A16.09.030,</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5" w:right="644"/>
              <w:jc w:val="center"/>
              <w:rPr>
                <w:sz w:val="20"/>
              </w:rPr>
            </w:pPr>
            <w:r>
              <w:rPr>
                <w:sz w:val="20"/>
              </w:rPr>
              <w:t>A16.09.032,</w:t>
            </w:r>
            <w:r>
              <w:rPr>
                <w:spacing w:val="-9"/>
                <w:sz w:val="20"/>
              </w:rPr>
              <w:t> </w:t>
            </w:r>
            <w:r>
              <w:rPr>
                <w:spacing w:val="-2"/>
                <w:sz w:val="20"/>
              </w:rPr>
              <w:t>A16.09.032.003,</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A16.09.032.004,</w:t>
            </w:r>
            <w:r>
              <w:rPr>
                <w:spacing w:val="54"/>
                <w:sz w:val="20"/>
              </w:rPr>
              <w:t> </w:t>
            </w:r>
            <w:r>
              <w:rPr>
                <w:spacing w:val="-2"/>
                <w:sz w:val="20"/>
              </w:rPr>
              <w:t>A16.09.032.005,</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A16.09.032.006,</w:t>
            </w:r>
            <w:r>
              <w:rPr>
                <w:spacing w:val="54"/>
                <w:sz w:val="20"/>
              </w:rPr>
              <w:t> </w:t>
            </w:r>
            <w:r>
              <w:rPr>
                <w:spacing w:val="-2"/>
                <w:sz w:val="20"/>
              </w:rPr>
              <w:t>A16.09.032.007,</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5" w:right="644"/>
              <w:jc w:val="center"/>
              <w:rPr>
                <w:sz w:val="20"/>
              </w:rPr>
            </w:pPr>
            <w:r>
              <w:rPr>
                <w:w w:val="95"/>
                <w:sz w:val="20"/>
              </w:rPr>
              <w:t>A16.09.040.001,</w:t>
            </w:r>
            <w:r>
              <w:rPr>
                <w:spacing w:val="54"/>
                <w:sz w:val="20"/>
              </w:rPr>
              <w:t> </w:t>
            </w:r>
            <w:r>
              <w:rPr>
                <w:spacing w:val="-2"/>
                <w:sz w:val="20"/>
              </w:rPr>
              <w:t>A16.11.002,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A16.11.002.001,</w:t>
            </w:r>
            <w:r>
              <w:rPr>
                <w:spacing w:val="54"/>
                <w:sz w:val="20"/>
              </w:rPr>
              <w:t> </w:t>
            </w:r>
            <w:r>
              <w:rPr>
                <w:spacing w:val="-2"/>
                <w:sz w:val="20"/>
              </w:rPr>
              <w:t>A16.11.002.002,</w:t>
            </w:r>
          </w:p>
        </w:tc>
        <w:tc>
          <w:tcPr>
            <w:tcW w:w="1575"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5" w:lineRule="exact"/>
              <w:ind w:left="1146" w:right="644"/>
              <w:jc w:val="center"/>
              <w:rPr>
                <w:sz w:val="20"/>
              </w:rPr>
            </w:pPr>
            <w:r>
              <w:rPr>
                <w:w w:val="95"/>
                <w:sz w:val="20"/>
              </w:rPr>
              <w:t>A16.11.002.003,</w:t>
            </w:r>
            <w:r>
              <w:rPr>
                <w:spacing w:val="54"/>
                <w:sz w:val="20"/>
              </w:rPr>
              <w:t> </w:t>
            </w:r>
            <w:r>
              <w:rPr>
                <w:spacing w:val="-2"/>
                <w:sz w:val="20"/>
              </w:rPr>
              <w:t>A16.11.002.004</w:t>
            </w:r>
          </w:p>
        </w:tc>
        <w:tc>
          <w:tcPr>
            <w:tcW w:w="1575"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5"/>
        <w:gridCol w:w="5518"/>
        <w:gridCol w:w="1983"/>
        <w:gridCol w:w="2327"/>
        <w:gridCol w:w="1262"/>
      </w:tblGrid>
      <w:tr>
        <w:trPr>
          <w:trHeight w:val="274" w:hRule="atLeast"/>
        </w:trPr>
        <w:tc>
          <w:tcPr>
            <w:tcW w:w="946" w:type="dxa"/>
          </w:tcPr>
          <w:p>
            <w:pPr>
              <w:pStyle w:val="TableParagraph"/>
              <w:spacing w:line="221" w:lineRule="exact"/>
              <w:ind w:left="37" w:right="198"/>
              <w:jc w:val="center"/>
              <w:rPr>
                <w:sz w:val="20"/>
              </w:rPr>
            </w:pPr>
            <w:r>
              <w:rPr>
                <w:spacing w:val="-4"/>
                <w:sz w:val="20"/>
              </w:rPr>
              <w:t>st29</w:t>
            </w:r>
          </w:p>
        </w:tc>
        <w:tc>
          <w:tcPr>
            <w:tcW w:w="707" w:type="dxa"/>
          </w:tcPr>
          <w:p>
            <w:pPr>
              <w:pStyle w:val="TableParagraph"/>
              <w:spacing w:line="221" w:lineRule="exact"/>
              <w:ind w:left="261"/>
              <w:rPr>
                <w:sz w:val="20"/>
              </w:rPr>
            </w:pPr>
            <w:r>
              <w:rPr>
                <w:spacing w:val="-5"/>
                <w:sz w:val="20"/>
              </w:rPr>
              <w:t>29</w:t>
            </w:r>
          </w:p>
        </w:tc>
        <w:tc>
          <w:tcPr>
            <w:tcW w:w="2535" w:type="dxa"/>
          </w:tcPr>
          <w:p>
            <w:pPr>
              <w:pStyle w:val="TableParagraph"/>
              <w:rPr>
                <w:sz w:val="18"/>
              </w:rPr>
            </w:pPr>
          </w:p>
        </w:tc>
        <w:tc>
          <w:tcPr>
            <w:tcW w:w="5518" w:type="dxa"/>
          </w:tcPr>
          <w:p>
            <w:pPr>
              <w:pStyle w:val="TableParagraph"/>
              <w:spacing w:line="221" w:lineRule="exact"/>
              <w:ind w:left="2621"/>
              <w:rPr>
                <w:sz w:val="20"/>
              </w:rPr>
            </w:pPr>
            <w:r>
              <w:rPr>
                <w:sz w:val="20"/>
              </w:rPr>
              <w:t>Травматология</w:t>
            </w:r>
            <w:r>
              <w:rPr>
                <w:spacing w:val="-7"/>
                <w:sz w:val="20"/>
              </w:rPr>
              <w:t> </w:t>
            </w:r>
            <w:r>
              <w:rPr>
                <w:sz w:val="20"/>
              </w:rPr>
              <w:t>и</w:t>
            </w:r>
            <w:r>
              <w:rPr>
                <w:spacing w:val="-7"/>
                <w:sz w:val="20"/>
              </w:rPr>
              <w:t> </w:t>
            </w:r>
            <w:r>
              <w:rPr>
                <w:spacing w:val="-2"/>
                <w:sz w:val="20"/>
              </w:rPr>
              <w:t>ортопедия</w:t>
            </w:r>
          </w:p>
        </w:tc>
        <w:tc>
          <w:tcPr>
            <w:tcW w:w="1983" w:type="dxa"/>
          </w:tcPr>
          <w:p>
            <w:pPr>
              <w:pStyle w:val="TableParagraph"/>
              <w:rPr>
                <w:sz w:val="18"/>
              </w:rPr>
            </w:pPr>
          </w:p>
        </w:tc>
        <w:tc>
          <w:tcPr>
            <w:tcW w:w="2327" w:type="dxa"/>
          </w:tcPr>
          <w:p>
            <w:pPr>
              <w:pStyle w:val="TableParagraph"/>
              <w:rPr>
                <w:sz w:val="18"/>
              </w:rPr>
            </w:pPr>
          </w:p>
        </w:tc>
        <w:tc>
          <w:tcPr>
            <w:tcW w:w="1262" w:type="dxa"/>
          </w:tcPr>
          <w:p>
            <w:pPr>
              <w:pStyle w:val="TableParagraph"/>
              <w:spacing w:line="221" w:lineRule="exact"/>
              <w:ind w:right="52"/>
              <w:jc w:val="right"/>
              <w:rPr>
                <w:sz w:val="20"/>
              </w:rPr>
            </w:pPr>
            <w:r>
              <w:rPr>
                <w:spacing w:val="-4"/>
                <w:sz w:val="20"/>
              </w:rPr>
              <w:t>1,37</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st29.001</w:t>
            </w:r>
          </w:p>
        </w:tc>
        <w:tc>
          <w:tcPr>
            <w:tcW w:w="707" w:type="dxa"/>
          </w:tcPr>
          <w:p>
            <w:pPr>
              <w:pStyle w:val="TableParagraph"/>
              <w:spacing w:line="215" w:lineRule="exact" w:before="45"/>
              <w:ind w:left="210"/>
              <w:rPr>
                <w:sz w:val="20"/>
              </w:rPr>
            </w:pPr>
            <w:r>
              <w:rPr>
                <w:spacing w:val="-5"/>
                <w:sz w:val="20"/>
              </w:rPr>
              <w:t>269</w:t>
            </w:r>
          </w:p>
        </w:tc>
        <w:tc>
          <w:tcPr>
            <w:tcW w:w="2535" w:type="dxa"/>
          </w:tcPr>
          <w:p>
            <w:pPr>
              <w:pStyle w:val="TableParagraph"/>
              <w:spacing w:line="215" w:lineRule="exact" w:before="45"/>
              <w:ind w:left="192"/>
              <w:rPr>
                <w:sz w:val="20"/>
              </w:rPr>
            </w:pPr>
            <w:r>
              <w:rPr>
                <w:w w:val="95"/>
                <w:sz w:val="20"/>
              </w:rPr>
              <w:t>Приобретенные</w:t>
            </w:r>
            <w:r>
              <w:rPr>
                <w:spacing w:val="52"/>
                <w:sz w:val="20"/>
              </w:rPr>
              <w:t> </w:t>
            </w:r>
            <w:r>
              <w:rPr>
                <w:spacing w:val="-10"/>
                <w:sz w:val="20"/>
              </w:rPr>
              <w:t>и</w:t>
            </w:r>
          </w:p>
        </w:tc>
        <w:tc>
          <w:tcPr>
            <w:tcW w:w="5518" w:type="dxa"/>
          </w:tcPr>
          <w:p>
            <w:pPr>
              <w:pStyle w:val="TableParagraph"/>
              <w:spacing w:line="215" w:lineRule="exact" w:before="45"/>
              <w:ind w:left="401"/>
              <w:rPr>
                <w:sz w:val="20"/>
              </w:rPr>
            </w:pPr>
            <w:r>
              <w:rPr>
                <w:sz w:val="20"/>
              </w:rPr>
              <w:t>M20,</w:t>
            </w:r>
            <w:r>
              <w:rPr>
                <w:spacing w:val="-5"/>
                <w:sz w:val="20"/>
              </w:rPr>
              <w:t> </w:t>
            </w:r>
            <w:r>
              <w:rPr>
                <w:sz w:val="20"/>
              </w:rPr>
              <w:t>M20.0,</w:t>
            </w:r>
            <w:r>
              <w:rPr>
                <w:spacing w:val="-4"/>
                <w:sz w:val="20"/>
              </w:rPr>
              <w:t> </w:t>
            </w:r>
            <w:r>
              <w:rPr>
                <w:sz w:val="20"/>
              </w:rPr>
              <w:t>M20.1,</w:t>
            </w:r>
            <w:r>
              <w:rPr>
                <w:spacing w:val="-6"/>
                <w:sz w:val="20"/>
              </w:rPr>
              <w:t> </w:t>
            </w:r>
            <w:r>
              <w:rPr>
                <w:sz w:val="20"/>
              </w:rPr>
              <w:t>M20.2,</w:t>
            </w:r>
            <w:r>
              <w:rPr>
                <w:spacing w:val="-6"/>
                <w:sz w:val="20"/>
              </w:rPr>
              <w:t> </w:t>
            </w:r>
            <w:r>
              <w:rPr>
                <w:sz w:val="20"/>
              </w:rPr>
              <w:t>M20.3,</w:t>
            </w:r>
            <w:r>
              <w:rPr>
                <w:spacing w:val="-4"/>
                <w:sz w:val="20"/>
              </w:rPr>
              <w:t> </w:t>
            </w:r>
            <w:r>
              <w:rPr>
                <w:spacing w:val="-2"/>
                <w:sz w:val="20"/>
              </w:rPr>
              <w:t>M20.4,</w:t>
            </w:r>
          </w:p>
        </w:tc>
        <w:tc>
          <w:tcPr>
            <w:tcW w:w="1983" w:type="dxa"/>
          </w:tcPr>
          <w:p>
            <w:pPr>
              <w:pStyle w:val="TableParagraph"/>
              <w:spacing w:line="215" w:lineRule="exact" w:before="45"/>
              <w:ind w:left="514"/>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0,99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pacing w:val="-2"/>
                <w:sz w:val="20"/>
              </w:rPr>
              <w:t>врожденные</w:t>
            </w:r>
            <w:r>
              <w:rPr>
                <w:spacing w:val="7"/>
                <w:sz w:val="20"/>
              </w:rPr>
              <w:t> </w:t>
            </w:r>
            <w:r>
              <w:rPr>
                <w:spacing w:val="-2"/>
                <w:sz w:val="20"/>
              </w:rPr>
              <w:t>костно-</w:t>
            </w:r>
          </w:p>
        </w:tc>
        <w:tc>
          <w:tcPr>
            <w:tcW w:w="5518" w:type="dxa"/>
          </w:tcPr>
          <w:p>
            <w:pPr>
              <w:pStyle w:val="TableParagraph"/>
              <w:spacing w:line="210" w:lineRule="exact"/>
              <w:ind w:left="401"/>
              <w:rPr>
                <w:sz w:val="20"/>
              </w:rPr>
            </w:pPr>
            <w:r>
              <w:rPr>
                <w:sz w:val="20"/>
              </w:rPr>
              <w:t>M20.5,</w:t>
            </w:r>
            <w:r>
              <w:rPr>
                <w:spacing w:val="-5"/>
                <w:sz w:val="20"/>
              </w:rPr>
              <w:t> </w:t>
            </w:r>
            <w:r>
              <w:rPr>
                <w:sz w:val="20"/>
              </w:rPr>
              <w:t>M20.6,</w:t>
            </w:r>
            <w:r>
              <w:rPr>
                <w:spacing w:val="-4"/>
                <w:sz w:val="20"/>
              </w:rPr>
              <w:t> </w:t>
            </w:r>
            <w:r>
              <w:rPr>
                <w:sz w:val="20"/>
              </w:rPr>
              <w:t>M21,</w:t>
            </w:r>
            <w:r>
              <w:rPr>
                <w:spacing w:val="-6"/>
                <w:sz w:val="20"/>
              </w:rPr>
              <w:t> </w:t>
            </w:r>
            <w:r>
              <w:rPr>
                <w:sz w:val="20"/>
              </w:rPr>
              <w:t>M21.0,</w:t>
            </w:r>
            <w:r>
              <w:rPr>
                <w:spacing w:val="-6"/>
                <w:sz w:val="20"/>
              </w:rPr>
              <w:t> </w:t>
            </w:r>
            <w:r>
              <w:rPr>
                <w:sz w:val="20"/>
              </w:rPr>
              <w:t>M21.1,</w:t>
            </w:r>
            <w:r>
              <w:rPr>
                <w:spacing w:val="-4"/>
                <w:sz w:val="20"/>
              </w:rPr>
              <w:t> </w:t>
            </w:r>
            <w:r>
              <w:rPr>
                <w:spacing w:val="-2"/>
                <w:sz w:val="20"/>
              </w:rPr>
              <w:t>M21.2,</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мышечные</w:t>
            </w:r>
            <w:r>
              <w:rPr>
                <w:spacing w:val="-11"/>
                <w:sz w:val="20"/>
              </w:rPr>
              <w:t> </w:t>
            </w:r>
            <w:r>
              <w:rPr>
                <w:spacing w:val="-2"/>
                <w:sz w:val="20"/>
              </w:rPr>
              <w:t>деформации</w:t>
            </w:r>
          </w:p>
        </w:tc>
        <w:tc>
          <w:tcPr>
            <w:tcW w:w="5518" w:type="dxa"/>
          </w:tcPr>
          <w:p>
            <w:pPr>
              <w:pStyle w:val="TableParagraph"/>
              <w:spacing w:line="210" w:lineRule="exact"/>
              <w:ind w:left="324"/>
              <w:rPr>
                <w:sz w:val="20"/>
              </w:rPr>
            </w:pPr>
            <w:r>
              <w:rPr>
                <w:sz w:val="20"/>
              </w:rPr>
              <w:t>M21.3,</w:t>
            </w:r>
            <w:r>
              <w:rPr>
                <w:spacing w:val="-6"/>
                <w:sz w:val="20"/>
              </w:rPr>
              <w:t> </w:t>
            </w:r>
            <w:r>
              <w:rPr>
                <w:sz w:val="20"/>
              </w:rPr>
              <w:t>M21.4,</w:t>
            </w:r>
            <w:r>
              <w:rPr>
                <w:spacing w:val="-6"/>
                <w:sz w:val="20"/>
              </w:rPr>
              <w:t> </w:t>
            </w:r>
            <w:r>
              <w:rPr>
                <w:sz w:val="20"/>
              </w:rPr>
              <w:t>M21.5,</w:t>
            </w:r>
            <w:r>
              <w:rPr>
                <w:spacing w:val="-6"/>
                <w:sz w:val="20"/>
              </w:rPr>
              <w:t> </w:t>
            </w:r>
            <w:r>
              <w:rPr>
                <w:sz w:val="20"/>
              </w:rPr>
              <w:t>M21.6,</w:t>
            </w:r>
            <w:r>
              <w:rPr>
                <w:spacing w:val="-6"/>
                <w:sz w:val="20"/>
              </w:rPr>
              <w:t> </w:t>
            </w:r>
            <w:r>
              <w:rPr>
                <w:sz w:val="20"/>
              </w:rPr>
              <w:t>M21.7,</w:t>
            </w:r>
            <w:r>
              <w:rPr>
                <w:spacing w:val="-5"/>
                <w:sz w:val="20"/>
              </w:rPr>
              <w:t> </w:t>
            </w:r>
            <w:r>
              <w:rPr>
                <w:spacing w:val="-2"/>
                <w:sz w:val="20"/>
              </w:rPr>
              <w:t>M21.8,</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01"/>
              <w:rPr>
                <w:sz w:val="20"/>
              </w:rPr>
            </w:pPr>
            <w:r>
              <w:rPr>
                <w:sz w:val="20"/>
              </w:rPr>
              <w:t>M21.9,</w:t>
            </w:r>
            <w:r>
              <w:rPr>
                <w:spacing w:val="-4"/>
                <w:sz w:val="20"/>
              </w:rPr>
              <w:t> </w:t>
            </w:r>
            <w:r>
              <w:rPr>
                <w:sz w:val="20"/>
              </w:rPr>
              <w:t>M95,</w:t>
            </w:r>
            <w:r>
              <w:rPr>
                <w:spacing w:val="-4"/>
                <w:sz w:val="20"/>
              </w:rPr>
              <w:t> </w:t>
            </w:r>
            <w:r>
              <w:rPr>
                <w:sz w:val="20"/>
              </w:rPr>
              <w:t>M95.0,</w:t>
            </w:r>
            <w:r>
              <w:rPr>
                <w:spacing w:val="-6"/>
                <w:sz w:val="20"/>
              </w:rPr>
              <w:t> </w:t>
            </w:r>
            <w:r>
              <w:rPr>
                <w:sz w:val="20"/>
              </w:rPr>
              <w:t>M95.1,</w:t>
            </w:r>
            <w:r>
              <w:rPr>
                <w:spacing w:val="-6"/>
                <w:sz w:val="20"/>
              </w:rPr>
              <w:t> </w:t>
            </w:r>
            <w:r>
              <w:rPr>
                <w:sz w:val="20"/>
              </w:rPr>
              <w:t>M95.2,</w:t>
            </w:r>
            <w:r>
              <w:rPr>
                <w:spacing w:val="-4"/>
                <w:sz w:val="20"/>
              </w:rPr>
              <w:t> </w:t>
            </w:r>
            <w:r>
              <w:rPr>
                <w:spacing w:val="-2"/>
                <w:sz w:val="20"/>
              </w:rPr>
              <w:t>M95.3,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432"/>
              <w:rPr>
                <w:sz w:val="20"/>
              </w:rPr>
            </w:pPr>
            <w:r>
              <w:rPr>
                <w:sz w:val="20"/>
              </w:rPr>
              <w:t>M95.4,</w:t>
            </w:r>
            <w:r>
              <w:rPr>
                <w:spacing w:val="-6"/>
                <w:sz w:val="20"/>
              </w:rPr>
              <w:t> </w:t>
            </w:r>
            <w:r>
              <w:rPr>
                <w:sz w:val="20"/>
              </w:rPr>
              <w:t>M95.5,</w:t>
            </w:r>
            <w:r>
              <w:rPr>
                <w:spacing w:val="-5"/>
                <w:sz w:val="20"/>
              </w:rPr>
              <w:t> </w:t>
            </w:r>
            <w:r>
              <w:rPr>
                <w:sz w:val="20"/>
              </w:rPr>
              <w:t>M95.8,</w:t>
            </w:r>
            <w:r>
              <w:rPr>
                <w:spacing w:val="-5"/>
                <w:sz w:val="20"/>
              </w:rPr>
              <w:t> </w:t>
            </w:r>
            <w:r>
              <w:rPr>
                <w:sz w:val="20"/>
              </w:rPr>
              <w:t>M95.9,</w:t>
            </w:r>
            <w:r>
              <w:rPr>
                <w:spacing w:val="-5"/>
                <w:sz w:val="20"/>
              </w:rPr>
              <w:t> </w:t>
            </w:r>
            <w:r>
              <w:rPr>
                <w:sz w:val="20"/>
              </w:rPr>
              <w:t>Q65,</w:t>
            </w:r>
            <w:r>
              <w:rPr>
                <w:spacing w:val="-5"/>
                <w:sz w:val="20"/>
              </w:rPr>
              <w:t> </w:t>
            </w:r>
            <w:r>
              <w:rPr>
                <w:spacing w:val="-2"/>
                <w:sz w:val="20"/>
              </w:rPr>
              <w:t>Q65.0,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425"/>
              <w:rPr>
                <w:sz w:val="20"/>
              </w:rPr>
            </w:pPr>
            <w:r>
              <w:rPr>
                <w:sz w:val="20"/>
              </w:rPr>
              <w:t>Q65.1,</w:t>
            </w:r>
            <w:r>
              <w:rPr>
                <w:spacing w:val="-4"/>
                <w:sz w:val="20"/>
              </w:rPr>
              <w:t> </w:t>
            </w:r>
            <w:r>
              <w:rPr>
                <w:sz w:val="20"/>
              </w:rPr>
              <w:t>Q65.2,</w:t>
            </w:r>
            <w:r>
              <w:rPr>
                <w:spacing w:val="-6"/>
                <w:sz w:val="20"/>
              </w:rPr>
              <w:t> </w:t>
            </w:r>
            <w:r>
              <w:rPr>
                <w:sz w:val="20"/>
              </w:rPr>
              <w:t>Q65.3,</w:t>
            </w:r>
            <w:r>
              <w:rPr>
                <w:spacing w:val="-4"/>
                <w:sz w:val="20"/>
              </w:rPr>
              <w:t> </w:t>
            </w:r>
            <w:r>
              <w:rPr>
                <w:sz w:val="20"/>
              </w:rPr>
              <w:t>Q65.4,</w:t>
            </w:r>
            <w:r>
              <w:rPr>
                <w:spacing w:val="-6"/>
                <w:sz w:val="20"/>
              </w:rPr>
              <w:t> </w:t>
            </w:r>
            <w:r>
              <w:rPr>
                <w:sz w:val="20"/>
              </w:rPr>
              <w:t>Q65.5,</w:t>
            </w:r>
            <w:r>
              <w:rPr>
                <w:spacing w:val="-4"/>
                <w:sz w:val="20"/>
              </w:rPr>
              <w:t> </w:t>
            </w:r>
            <w:r>
              <w:rPr>
                <w:spacing w:val="-2"/>
                <w:sz w:val="20"/>
              </w:rPr>
              <w:t>Q65.6,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1" w:lineRule="exact"/>
              <w:ind w:left="204"/>
              <w:rPr>
                <w:sz w:val="20"/>
              </w:rPr>
            </w:pPr>
            <w:r>
              <w:rPr>
                <w:sz w:val="20"/>
              </w:rPr>
              <w:t>Q65.8,</w:t>
            </w:r>
            <w:r>
              <w:rPr>
                <w:spacing w:val="-6"/>
                <w:sz w:val="20"/>
              </w:rPr>
              <w:t> </w:t>
            </w:r>
            <w:r>
              <w:rPr>
                <w:sz w:val="20"/>
              </w:rPr>
              <w:t>Q65.9,</w:t>
            </w:r>
            <w:r>
              <w:rPr>
                <w:spacing w:val="-7"/>
                <w:sz w:val="20"/>
              </w:rPr>
              <w:t> </w:t>
            </w:r>
            <w:r>
              <w:rPr>
                <w:sz w:val="20"/>
              </w:rPr>
              <w:t>Q66,</w:t>
            </w:r>
            <w:r>
              <w:rPr>
                <w:spacing w:val="-5"/>
                <w:sz w:val="20"/>
              </w:rPr>
              <w:t> </w:t>
            </w:r>
            <w:r>
              <w:rPr>
                <w:sz w:val="20"/>
              </w:rPr>
              <w:t>Q66.0,</w:t>
            </w:r>
            <w:r>
              <w:rPr>
                <w:spacing w:val="-5"/>
                <w:sz w:val="20"/>
              </w:rPr>
              <w:t> </w:t>
            </w:r>
            <w:r>
              <w:rPr>
                <w:sz w:val="20"/>
              </w:rPr>
              <w:t>Q66.1,</w:t>
            </w:r>
            <w:r>
              <w:rPr>
                <w:spacing w:val="-5"/>
                <w:sz w:val="20"/>
              </w:rPr>
              <w:t> </w:t>
            </w:r>
            <w:r>
              <w:rPr>
                <w:sz w:val="20"/>
              </w:rPr>
              <w:t>Q66.2,</w:t>
            </w:r>
            <w:r>
              <w:rPr>
                <w:spacing w:val="-6"/>
                <w:sz w:val="20"/>
              </w:rPr>
              <w:t> </w:t>
            </w:r>
            <w:r>
              <w:rPr>
                <w:spacing w:val="-2"/>
                <w:sz w:val="20"/>
              </w:rPr>
              <w:t>Q66.3,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2"/>
              <w:rPr>
                <w:sz w:val="20"/>
              </w:rPr>
            </w:pPr>
            <w:r>
              <w:rPr>
                <w:sz w:val="20"/>
              </w:rPr>
              <w:t>Q66.4,</w:t>
            </w:r>
            <w:r>
              <w:rPr>
                <w:spacing w:val="-5"/>
                <w:sz w:val="20"/>
              </w:rPr>
              <w:t> </w:t>
            </w:r>
            <w:r>
              <w:rPr>
                <w:sz w:val="20"/>
              </w:rPr>
              <w:t>Q66.5,</w:t>
            </w:r>
            <w:r>
              <w:rPr>
                <w:spacing w:val="-5"/>
                <w:sz w:val="20"/>
              </w:rPr>
              <w:t> </w:t>
            </w:r>
            <w:r>
              <w:rPr>
                <w:sz w:val="20"/>
              </w:rPr>
              <w:t>Q66.6,</w:t>
            </w:r>
            <w:r>
              <w:rPr>
                <w:spacing w:val="-4"/>
                <w:sz w:val="20"/>
              </w:rPr>
              <w:t> </w:t>
            </w:r>
            <w:r>
              <w:rPr>
                <w:sz w:val="20"/>
              </w:rPr>
              <w:t>Q66.7,</w:t>
            </w:r>
            <w:r>
              <w:rPr>
                <w:spacing w:val="-6"/>
                <w:sz w:val="20"/>
              </w:rPr>
              <w:t> </w:t>
            </w:r>
            <w:r>
              <w:rPr>
                <w:sz w:val="20"/>
              </w:rPr>
              <w:t>Q66.8,</w:t>
            </w:r>
            <w:r>
              <w:rPr>
                <w:spacing w:val="-4"/>
                <w:sz w:val="20"/>
              </w:rPr>
              <w:t> </w:t>
            </w:r>
            <w:r>
              <w:rPr>
                <w:sz w:val="20"/>
              </w:rPr>
              <w:t>Q66.9,</w:t>
            </w:r>
            <w:r>
              <w:rPr>
                <w:spacing w:val="-6"/>
                <w:sz w:val="20"/>
              </w:rPr>
              <w:t> </w:t>
            </w:r>
            <w:r>
              <w:rPr>
                <w:spacing w:val="-4"/>
                <w:sz w:val="20"/>
              </w:rPr>
              <w:t>Q67,</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Q67.0,</w:t>
            </w:r>
            <w:r>
              <w:rPr>
                <w:spacing w:val="-4"/>
                <w:sz w:val="20"/>
              </w:rPr>
              <w:t> </w:t>
            </w:r>
            <w:r>
              <w:rPr>
                <w:sz w:val="20"/>
              </w:rPr>
              <w:t>Q67.1,</w:t>
            </w:r>
            <w:r>
              <w:rPr>
                <w:spacing w:val="-6"/>
                <w:sz w:val="20"/>
              </w:rPr>
              <w:t> </w:t>
            </w:r>
            <w:r>
              <w:rPr>
                <w:sz w:val="20"/>
              </w:rPr>
              <w:t>Q67.2,</w:t>
            </w:r>
            <w:r>
              <w:rPr>
                <w:spacing w:val="-4"/>
                <w:sz w:val="20"/>
              </w:rPr>
              <w:t> </w:t>
            </w:r>
            <w:r>
              <w:rPr>
                <w:sz w:val="20"/>
              </w:rPr>
              <w:t>Q67.3,</w:t>
            </w:r>
            <w:r>
              <w:rPr>
                <w:spacing w:val="-6"/>
                <w:sz w:val="20"/>
              </w:rPr>
              <w:t> </w:t>
            </w:r>
            <w:r>
              <w:rPr>
                <w:sz w:val="20"/>
              </w:rPr>
              <w:t>Q67.4,</w:t>
            </w:r>
            <w:r>
              <w:rPr>
                <w:spacing w:val="-4"/>
                <w:sz w:val="20"/>
              </w:rPr>
              <w:t> </w:t>
            </w:r>
            <w:r>
              <w:rPr>
                <w:spacing w:val="-2"/>
                <w:sz w:val="20"/>
              </w:rPr>
              <w:t>Q67.5,</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Q67.6,</w:t>
            </w:r>
            <w:r>
              <w:rPr>
                <w:spacing w:val="-6"/>
                <w:sz w:val="20"/>
              </w:rPr>
              <w:t> </w:t>
            </w:r>
            <w:r>
              <w:rPr>
                <w:sz w:val="20"/>
              </w:rPr>
              <w:t>Q67.7,</w:t>
            </w:r>
            <w:r>
              <w:rPr>
                <w:spacing w:val="-6"/>
                <w:sz w:val="20"/>
              </w:rPr>
              <w:t> </w:t>
            </w:r>
            <w:r>
              <w:rPr>
                <w:sz w:val="20"/>
              </w:rPr>
              <w:t>Q67.8,</w:t>
            </w:r>
            <w:r>
              <w:rPr>
                <w:spacing w:val="-5"/>
                <w:sz w:val="20"/>
              </w:rPr>
              <w:t> </w:t>
            </w:r>
            <w:r>
              <w:rPr>
                <w:sz w:val="20"/>
              </w:rPr>
              <w:t>Q68,</w:t>
            </w:r>
            <w:r>
              <w:rPr>
                <w:spacing w:val="-6"/>
                <w:sz w:val="20"/>
              </w:rPr>
              <w:t> </w:t>
            </w:r>
            <w:r>
              <w:rPr>
                <w:sz w:val="20"/>
              </w:rPr>
              <w:t>Q68.0,</w:t>
            </w:r>
            <w:r>
              <w:rPr>
                <w:spacing w:val="-5"/>
                <w:sz w:val="20"/>
              </w:rPr>
              <w:t> </w:t>
            </w:r>
            <w:r>
              <w:rPr>
                <w:sz w:val="20"/>
              </w:rPr>
              <w:t>Q68.1,</w:t>
            </w:r>
            <w:r>
              <w:rPr>
                <w:spacing w:val="-5"/>
                <w:sz w:val="20"/>
              </w:rPr>
              <w:t> </w:t>
            </w:r>
            <w:r>
              <w:rPr>
                <w:spacing w:val="-2"/>
                <w:sz w:val="20"/>
              </w:rPr>
              <w:t>Q68.2,</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2"/>
              <w:rPr>
                <w:sz w:val="20"/>
              </w:rPr>
            </w:pPr>
            <w:r>
              <w:rPr>
                <w:sz w:val="20"/>
              </w:rPr>
              <w:t>Q68.3,</w:t>
            </w:r>
            <w:r>
              <w:rPr>
                <w:spacing w:val="-4"/>
                <w:sz w:val="20"/>
              </w:rPr>
              <w:t> </w:t>
            </w:r>
            <w:r>
              <w:rPr>
                <w:sz w:val="20"/>
              </w:rPr>
              <w:t>Q68.4,</w:t>
            </w:r>
            <w:r>
              <w:rPr>
                <w:spacing w:val="-6"/>
                <w:sz w:val="20"/>
              </w:rPr>
              <w:t> </w:t>
            </w:r>
            <w:r>
              <w:rPr>
                <w:sz w:val="20"/>
              </w:rPr>
              <w:t>Q68.5,</w:t>
            </w:r>
            <w:r>
              <w:rPr>
                <w:spacing w:val="-4"/>
                <w:sz w:val="20"/>
              </w:rPr>
              <w:t> </w:t>
            </w:r>
            <w:r>
              <w:rPr>
                <w:sz w:val="20"/>
              </w:rPr>
              <w:t>Q68.8,</w:t>
            </w:r>
            <w:r>
              <w:rPr>
                <w:spacing w:val="-6"/>
                <w:sz w:val="20"/>
              </w:rPr>
              <w:t> </w:t>
            </w:r>
            <w:r>
              <w:rPr>
                <w:sz w:val="20"/>
              </w:rPr>
              <w:t>Q69,</w:t>
            </w:r>
            <w:r>
              <w:rPr>
                <w:spacing w:val="-4"/>
                <w:sz w:val="20"/>
              </w:rPr>
              <w:t> </w:t>
            </w:r>
            <w:r>
              <w:rPr>
                <w:sz w:val="20"/>
              </w:rPr>
              <w:t>Q69.0,</w:t>
            </w:r>
            <w:r>
              <w:rPr>
                <w:spacing w:val="-4"/>
                <w:sz w:val="20"/>
              </w:rPr>
              <w:t> </w:t>
            </w:r>
            <w:r>
              <w:rPr>
                <w:spacing w:val="-2"/>
                <w:sz w:val="20"/>
              </w:rPr>
              <w:t>Q69.1,</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Q69.2,</w:t>
            </w:r>
            <w:r>
              <w:rPr>
                <w:spacing w:val="-6"/>
                <w:sz w:val="20"/>
              </w:rPr>
              <w:t> </w:t>
            </w:r>
            <w:r>
              <w:rPr>
                <w:sz w:val="20"/>
              </w:rPr>
              <w:t>Q69.9,</w:t>
            </w:r>
            <w:r>
              <w:rPr>
                <w:spacing w:val="-7"/>
                <w:sz w:val="20"/>
              </w:rPr>
              <w:t> </w:t>
            </w:r>
            <w:r>
              <w:rPr>
                <w:sz w:val="20"/>
              </w:rPr>
              <w:t>Q70,</w:t>
            </w:r>
            <w:r>
              <w:rPr>
                <w:spacing w:val="-5"/>
                <w:sz w:val="20"/>
              </w:rPr>
              <w:t> </w:t>
            </w:r>
            <w:r>
              <w:rPr>
                <w:sz w:val="20"/>
              </w:rPr>
              <w:t>Q70.0,</w:t>
            </w:r>
            <w:r>
              <w:rPr>
                <w:spacing w:val="-5"/>
                <w:sz w:val="20"/>
              </w:rPr>
              <w:t> </w:t>
            </w:r>
            <w:r>
              <w:rPr>
                <w:sz w:val="20"/>
              </w:rPr>
              <w:t>Q70.1,</w:t>
            </w:r>
            <w:r>
              <w:rPr>
                <w:spacing w:val="-5"/>
                <w:sz w:val="20"/>
              </w:rPr>
              <w:t> </w:t>
            </w:r>
            <w:r>
              <w:rPr>
                <w:sz w:val="20"/>
              </w:rPr>
              <w:t>Q70.2,</w:t>
            </w:r>
            <w:r>
              <w:rPr>
                <w:spacing w:val="-6"/>
                <w:sz w:val="20"/>
              </w:rPr>
              <w:t> </w:t>
            </w:r>
            <w:r>
              <w:rPr>
                <w:spacing w:val="-2"/>
                <w:sz w:val="20"/>
              </w:rPr>
              <w:t>Q70.3,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Q70.4,</w:t>
            </w:r>
            <w:r>
              <w:rPr>
                <w:spacing w:val="-6"/>
                <w:sz w:val="20"/>
              </w:rPr>
              <w:t> </w:t>
            </w:r>
            <w:r>
              <w:rPr>
                <w:sz w:val="20"/>
              </w:rPr>
              <w:t>Q70.9,</w:t>
            </w:r>
            <w:r>
              <w:rPr>
                <w:spacing w:val="-7"/>
                <w:sz w:val="20"/>
              </w:rPr>
              <w:t> </w:t>
            </w:r>
            <w:r>
              <w:rPr>
                <w:sz w:val="20"/>
              </w:rPr>
              <w:t>Q71,</w:t>
            </w:r>
            <w:r>
              <w:rPr>
                <w:spacing w:val="-5"/>
                <w:sz w:val="20"/>
              </w:rPr>
              <w:t> </w:t>
            </w:r>
            <w:r>
              <w:rPr>
                <w:sz w:val="20"/>
              </w:rPr>
              <w:t>Q71.0,</w:t>
            </w:r>
            <w:r>
              <w:rPr>
                <w:spacing w:val="-5"/>
                <w:sz w:val="20"/>
              </w:rPr>
              <w:t> </w:t>
            </w:r>
            <w:r>
              <w:rPr>
                <w:sz w:val="20"/>
              </w:rPr>
              <w:t>Q71.1,</w:t>
            </w:r>
            <w:r>
              <w:rPr>
                <w:spacing w:val="-5"/>
                <w:sz w:val="20"/>
              </w:rPr>
              <w:t> </w:t>
            </w:r>
            <w:r>
              <w:rPr>
                <w:sz w:val="20"/>
              </w:rPr>
              <w:t>Q71.2,</w:t>
            </w:r>
            <w:r>
              <w:rPr>
                <w:spacing w:val="-6"/>
                <w:sz w:val="20"/>
              </w:rPr>
              <w:t> </w:t>
            </w:r>
            <w:r>
              <w:rPr>
                <w:spacing w:val="-2"/>
                <w:sz w:val="20"/>
              </w:rPr>
              <w:t>Q71.3,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2"/>
              <w:rPr>
                <w:sz w:val="20"/>
              </w:rPr>
            </w:pPr>
            <w:r>
              <w:rPr>
                <w:sz w:val="20"/>
              </w:rPr>
              <w:t>Q71.4,</w:t>
            </w:r>
            <w:r>
              <w:rPr>
                <w:spacing w:val="-4"/>
                <w:sz w:val="20"/>
              </w:rPr>
              <w:t> </w:t>
            </w:r>
            <w:r>
              <w:rPr>
                <w:sz w:val="20"/>
              </w:rPr>
              <w:t>Q71.5,</w:t>
            </w:r>
            <w:r>
              <w:rPr>
                <w:spacing w:val="-6"/>
                <w:sz w:val="20"/>
              </w:rPr>
              <w:t> </w:t>
            </w:r>
            <w:r>
              <w:rPr>
                <w:sz w:val="20"/>
              </w:rPr>
              <w:t>Q71.6,</w:t>
            </w:r>
            <w:r>
              <w:rPr>
                <w:spacing w:val="-4"/>
                <w:sz w:val="20"/>
              </w:rPr>
              <w:t> </w:t>
            </w:r>
            <w:r>
              <w:rPr>
                <w:sz w:val="20"/>
              </w:rPr>
              <w:t>Q71.8,</w:t>
            </w:r>
            <w:r>
              <w:rPr>
                <w:spacing w:val="-6"/>
                <w:sz w:val="20"/>
              </w:rPr>
              <w:t> </w:t>
            </w:r>
            <w:r>
              <w:rPr>
                <w:sz w:val="20"/>
              </w:rPr>
              <w:t>Q71.9,</w:t>
            </w:r>
            <w:r>
              <w:rPr>
                <w:spacing w:val="-4"/>
                <w:sz w:val="20"/>
              </w:rPr>
              <w:t> </w:t>
            </w:r>
            <w:r>
              <w:rPr>
                <w:sz w:val="20"/>
              </w:rPr>
              <w:t>Q72,</w:t>
            </w:r>
            <w:r>
              <w:rPr>
                <w:spacing w:val="-4"/>
                <w:sz w:val="20"/>
              </w:rPr>
              <w:t> </w:t>
            </w:r>
            <w:r>
              <w:rPr>
                <w:spacing w:val="-2"/>
                <w:sz w:val="20"/>
              </w:rPr>
              <w:t>Q72.0,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Q72.1,</w:t>
            </w:r>
            <w:r>
              <w:rPr>
                <w:spacing w:val="-4"/>
                <w:sz w:val="20"/>
              </w:rPr>
              <w:t> </w:t>
            </w:r>
            <w:r>
              <w:rPr>
                <w:sz w:val="20"/>
              </w:rPr>
              <w:t>Q72.2,</w:t>
            </w:r>
            <w:r>
              <w:rPr>
                <w:spacing w:val="-6"/>
                <w:sz w:val="20"/>
              </w:rPr>
              <w:t> </w:t>
            </w:r>
            <w:r>
              <w:rPr>
                <w:sz w:val="20"/>
              </w:rPr>
              <w:t>Q72.3,</w:t>
            </w:r>
            <w:r>
              <w:rPr>
                <w:spacing w:val="-4"/>
                <w:sz w:val="20"/>
              </w:rPr>
              <w:t> </w:t>
            </w:r>
            <w:r>
              <w:rPr>
                <w:sz w:val="20"/>
              </w:rPr>
              <w:t>Q72.4,</w:t>
            </w:r>
            <w:r>
              <w:rPr>
                <w:spacing w:val="-6"/>
                <w:sz w:val="20"/>
              </w:rPr>
              <w:t> </w:t>
            </w:r>
            <w:r>
              <w:rPr>
                <w:sz w:val="20"/>
              </w:rPr>
              <w:t>Q72.5,</w:t>
            </w:r>
            <w:r>
              <w:rPr>
                <w:spacing w:val="-4"/>
                <w:sz w:val="20"/>
              </w:rPr>
              <w:t> </w:t>
            </w:r>
            <w:r>
              <w:rPr>
                <w:spacing w:val="-2"/>
                <w:sz w:val="20"/>
              </w:rPr>
              <w:t>Q72.6,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Q72.7,</w:t>
            </w:r>
            <w:r>
              <w:rPr>
                <w:spacing w:val="-5"/>
                <w:sz w:val="20"/>
              </w:rPr>
              <w:t> </w:t>
            </w:r>
            <w:r>
              <w:rPr>
                <w:sz w:val="20"/>
              </w:rPr>
              <w:t>Q72.8,</w:t>
            </w:r>
            <w:r>
              <w:rPr>
                <w:spacing w:val="-6"/>
                <w:sz w:val="20"/>
              </w:rPr>
              <w:t> </w:t>
            </w:r>
            <w:r>
              <w:rPr>
                <w:sz w:val="20"/>
              </w:rPr>
              <w:t>Q72.9,</w:t>
            </w:r>
            <w:r>
              <w:rPr>
                <w:spacing w:val="-5"/>
                <w:sz w:val="20"/>
              </w:rPr>
              <w:t> </w:t>
            </w:r>
            <w:r>
              <w:rPr>
                <w:sz w:val="20"/>
              </w:rPr>
              <w:t>Q73,</w:t>
            </w:r>
            <w:r>
              <w:rPr>
                <w:spacing w:val="-5"/>
                <w:sz w:val="20"/>
              </w:rPr>
              <w:t> </w:t>
            </w:r>
            <w:r>
              <w:rPr>
                <w:sz w:val="20"/>
              </w:rPr>
              <w:t>Q73.0,</w:t>
            </w:r>
            <w:r>
              <w:rPr>
                <w:spacing w:val="-4"/>
                <w:sz w:val="20"/>
              </w:rPr>
              <w:t> </w:t>
            </w:r>
            <w:r>
              <w:rPr>
                <w:sz w:val="20"/>
              </w:rPr>
              <w:t>Q73.1,</w:t>
            </w:r>
            <w:r>
              <w:rPr>
                <w:spacing w:val="-5"/>
                <w:sz w:val="20"/>
              </w:rPr>
              <w:t> </w:t>
            </w:r>
            <w:r>
              <w:rPr>
                <w:spacing w:val="-2"/>
                <w:sz w:val="20"/>
              </w:rPr>
              <w:t>Q73.8,</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Q74,</w:t>
            </w:r>
            <w:r>
              <w:rPr>
                <w:spacing w:val="-6"/>
                <w:sz w:val="20"/>
              </w:rPr>
              <w:t> </w:t>
            </w:r>
            <w:r>
              <w:rPr>
                <w:sz w:val="20"/>
              </w:rPr>
              <w:t>Q74.0,</w:t>
            </w:r>
            <w:r>
              <w:rPr>
                <w:spacing w:val="-6"/>
                <w:sz w:val="20"/>
              </w:rPr>
              <w:t> </w:t>
            </w:r>
            <w:r>
              <w:rPr>
                <w:sz w:val="20"/>
              </w:rPr>
              <w:t>Q74.1,</w:t>
            </w:r>
            <w:r>
              <w:rPr>
                <w:spacing w:val="-5"/>
                <w:sz w:val="20"/>
              </w:rPr>
              <w:t> </w:t>
            </w:r>
            <w:r>
              <w:rPr>
                <w:sz w:val="20"/>
              </w:rPr>
              <w:t>Q74.2,</w:t>
            </w:r>
            <w:r>
              <w:rPr>
                <w:spacing w:val="-6"/>
                <w:sz w:val="20"/>
              </w:rPr>
              <w:t> </w:t>
            </w:r>
            <w:r>
              <w:rPr>
                <w:sz w:val="20"/>
              </w:rPr>
              <w:t>Q74.3,</w:t>
            </w:r>
            <w:r>
              <w:rPr>
                <w:spacing w:val="-5"/>
                <w:sz w:val="20"/>
              </w:rPr>
              <w:t> </w:t>
            </w:r>
            <w:r>
              <w:rPr>
                <w:sz w:val="20"/>
              </w:rPr>
              <w:t>Q74.8,</w:t>
            </w:r>
            <w:r>
              <w:rPr>
                <w:spacing w:val="-6"/>
                <w:sz w:val="20"/>
              </w:rPr>
              <w:t> </w:t>
            </w:r>
            <w:r>
              <w:rPr>
                <w:spacing w:val="-2"/>
                <w:sz w:val="20"/>
              </w:rPr>
              <w:t>Q74.9,</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Q75,</w:t>
            </w:r>
            <w:r>
              <w:rPr>
                <w:spacing w:val="-6"/>
                <w:sz w:val="20"/>
              </w:rPr>
              <w:t> </w:t>
            </w:r>
            <w:r>
              <w:rPr>
                <w:sz w:val="20"/>
              </w:rPr>
              <w:t>Q75.0,</w:t>
            </w:r>
            <w:r>
              <w:rPr>
                <w:spacing w:val="-6"/>
                <w:sz w:val="20"/>
              </w:rPr>
              <w:t> </w:t>
            </w:r>
            <w:r>
              <w:rPr>
                <w:sz w:val="20"/>
              </w:rPr>
              <w:t>Q75.1,</w:t>
            </w:r>
            <w:r>
              <w:rPr>
                <w:spacing w:val="-5"/>
                <w:sz w:val="20"/>
              </w:rPr>
              <w:t> </w:t>
            </w:r>
            <w:r>
              <w:rPr>
                <w:sz w:val="20"/>
              </w:rPr>
              <w:t>Q75.2,</w:t>
            </w:r>
            <w:r>
              <w:rPr>
                <w:spacing w:val="-6"/>
                <w:sz w:val="20"/>
              </w:rPr>
              <w:t> </w:t>
            </w:r>
            <w:r>
              <w:rPr>
                <w:sz w:val="20"/>
              </w:rPr>
              <w:t>Q75.3,</w:t>
            </w:r>
            <w:r>
              <w:rPr>
                <w:spacing w:val="-5"/>
                <w:sz w:val="20"/>
              </w:rPr>
              <w:t> </w:t>
            </w:r>
            <w:r>
              <w:rPr>
                <w:sz w:val="20"/>
              </w:rPr>
              <w:t>Q75.4,</w:t>
            </w:r>
            <w:r>
              <w:rPr>
                <w:spacing w:val="-6"/>
                <w:sz w:val="20"/>
              </w:rPr>
              <w:t> </w:t>
            </w:r>
            <w:r>
              <w:rPr>
                <w:spacing w:val="-2"/>
                <w:sz w:val="20"/>
              </w:rPr>
              <w:t>Q75.5,</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Q75.8,</w:t>
            </w:r>
            <w:r>
              <w:rPr>
                <w:spacing w:val="-6"/>
                <w:sz w:val="20"/>
              </w:rPr>
              <w:t> </w:t>
            </w:r>
            <w:r>
              <w:rPr>
                <w:sz w:val="20"/>
              </w:rPr>
              <w:t>Q75.9,</w:t>
            </w:r>
            <w:r>
              <w:rPr>
                <w:spacing w:val="-7"/>
                <w:sz w:val="20"/>
              </w:rPr>
              <w:t> </w:t>
            </w:r>
            <w:r>
              <w:rPr>
                <w:sz w:val="20"/>
              </w:rPr>
              <w:t>Q76,</w:t>
            </w:r>
            <w:r>
              <w:rPr>
                <w:spacing w:val="-5"/>
                <w:sz w:val="20"/>
              </w:rPr>
              <w:t> </w:t>
            </w:r>
            <w:r>
              <w:rPr>
                <w:sz w:val="20"/>
              </w:rPr>
              <w:t>Q76.0,</w:t>
            </w:r>
            <w:r>
              <w:rPr>
                <w:spacing w:val="-5"/>
                <w:sz w:val="20"/>
              </w:rPr>
              <w:t> </w:t>
            </w:r>
            <w:r>
              <w:rPr>
                <w:sz w:val="20"/>
              </w:rPr>
              <w:t>Q76.1,</w:t>
            </w:r>
            <w:r>
              <w:rPr>
                <w:spacing w:val="-5"/>
                <w:sz w:val="20"/>
              </w:rPr>
              <w:t> </w:t>
            </w:r>
            <w:r>
              <w:rPr>
                <w:sz w:val="20"/>
              </w:rPr>
              <w:t>Q76.2,</w:t>
            </w:r>
            <w:r>
              <w:rPr>
                <w:spacing w:val="-6"/>
                <w:sz w:val="20"/>
              </w:rPr>
              <w:t> </w:t>
            </w:r>
            <w:r>
              <w:rPr>
                <w:spacing w:val="-2"/>
                <w:sz w:val="20"/>
              </w:rPr>
              <w:t>Q76.3,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2"/>
              <w:rPr>
                <w:sz w:val="20"/>
              </w:rPr>
            </w:pPr>
            <w:r>
              <w:rPr>
                <w:sz w:val="20"/>
              </w:rPr>
              <w:t>Q76.4,</w:t>
            </w:r>
            <w:r>
              <w:rPr>
                <w:spacing w:val="-5"/>
                <w:sz w:val="20"/>
              </w:rPr>
              <w:t> </w:t>
            </w:r>
            <w:r>
              <w:rPr>
                <w:sz w:val="20"/>
              </w:rPr>
              <w:t>Q76.5,</w:t>
            </w:r>
            <w:r>
              <w:rPr>
                <w:spacing w:val="-5"/>
                <w:sz w:val="20"/>
              </w:rPr>
              <w:t> </w:t>
            </w:r>
            <w:r>
              <w:rPr>
                <w:sz w:val="20"/>
              </w:rPr>
              <w:t>Q76.6,</w:t>
            </w:r>
            <w:r>
              <w:rPr>
                <w:spacing w:val="-4"/>
                <w:sz w:val="20"/>
              </w:rPr>
              <w:t> </w:t>
            </w:r>
            <w:r>
              <w:rPr>
                <w:sz w:val="20"/>
              </w:rPr>
              <w:t>Q76.7,</w:t>
            </w:r>
            <w:r>
              <w:rPr>
                <w:spacing w:val="-6"/>
                <w:sz w:val="20"/>
              </w:rPr>
              <w:t> </w:t>
            </w:r>
            <w:r>
              <w:rPr>
                <w:sz w:val="20"/>
              </w:rPr>
              <w:t>Q76.8,</w:t>
            </w:r>
            <w:r>
              <w:rPr>
                <w:spacing w:val="-4"/>
                <w:sz w:val="20"/>
              </w:rPr>
              <w:t> </w:t>
            </w:r>
            <w:r>
              <w:rPr>
                <w:sz w:val="20"/>
              </w:rPr>
              <w:t>Q76.9,</w:t>
            </w:r>
            <w:r>
              <w:rPr>
                <w:spacing w:val="-6"/>
                <w:sz w:val="20"/>
              </w:rPr>
              <w:t> </w:t>
            </w:r>
            <w:r>
              <w:rPr>
                <w:spacing w:val="-4"/>
                <w:sz w:val="20"/>
              </w:rPr>
              <w:t>Q77,</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Q77.0,</w:t>
            </w:r>
            <w:r>
              <w:rPr>
                <w:spacing w:val="-4"/>
                <w:sz w:val="20"/>
              </w:rPr>
              <w:t> </w:t>
            </w:r>
            <w:r>
              <w:rPr>
                <w:sz w:val="20"/>
              </w:rPr>
              <w:t>Q77.1,</w:t>
            </w:r>
            <w:r>
              <w:rPr>
                <w:spacing w:val="-6"/>
                <w:sz w:val="20"/>
              </w:rPr>
              <w:t> </w:t>
            </w:r>
            <w:r>
              <w:rPr>
                <w:sz w:val="20"/>
              </w:rPr>
              <w:t>Q77.2,</w:t>
            </w:r>
            <w:r>
              <w:rPr>
                <w:spacing w:val="-4"/>
                <w:sz w:val="20"/>
              </w:rPr>
              <w:t> </w:t>
            </w:r>
            <w:r>
              <w:rPr>
                <w:sz w:val="20"/>
              </w:rPr>
              <w:t>Q77.3,</w:t>
            </w:r>
            <w:r>
              <w:rPr>
                <w:spacing w:val="-6"/>
                <w:sz w:val="20"/>
              </w:rPr>
              <w:t> </w:t>
            </w:r>
            <w:r>
              <w:rPr>
                <w:sz w:val="20"/>
              </w:rPr>
              <w:t>Q77.5,</w:t>
            </w:r>
            <w:r>
              <w:rPr>
                <w:spacing w:val="-4"/>
                <w:sz w:val="20"/>
              </w:rPr>
              <w:t> </w:t>
            </w:r>
            <w:r>
              <w:rPr>
                <w:spacing w:val="-2"/>
                <w:sz w:val="20"/>
              </w:rPr>
              <w:t>Q77.6,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Q77.7,</w:t>
            </w:r>
            <w:r>
              <w:rPr>
                <w:spacing w:val="-6"/>
                <w:sz w:val="20"/>
              </w:rPr>
              <w:t> </w:t>
            </w:r>
            <w:r>
              <w:rPr>
                <w:sz w:val="20"/>
              </w:rPr>
              <w:t>Q77.8,</w:t>
            </w:r>
            <w:r>
              <w:rPr>
                <w:spacing w:val="-6"/>
                <w:sz w:val="20"/>
              </w:rPr>
              <w:t> </w:t>
            </w:r>
            <w:r>
              <w:rPr>
                <w:sz w:val="20"/>
              </w:rPr>
              <w:t>Q77.9,</w:t>
            </w:r>
            <w:r>
              <w:rPr>
                <w:spacing w:val="-5"/>
                <w:sz w:val="20"/>
              </w:rPr>
              <w:t> </w:t>
            </w:r>
            <w:r>
              <w:rPr>
                <w:sz w:val="20"/>
              </w:rPr>
              <w:t>Q78,</w:t>
            </w:r>
            <w:r>
              <w:rPr>
                <w:spacing w:val="-6"/>
                <w:sz w:val="20"/>
              </w:rPr>
              <w:t> </w:t>
            </w:r>
            <w:r>
              <w:rPr>
                <w:sz w:val="20"/>
              </w:rPr>
              <w:t>Q78.1,</w:t>
            </w:r>
            <w:r>
              <w:rPr>
                <w:spacing w:val="-5"/>
                <w:sz w:val="20"/>
              </w:rPr>
              <w:t> </w:t>
            </w:r>
            <w:r>
              <w:rPr>
                <w:sz w:val="20"/>
              </w:rPr>
              <w:t>Q78.2,</w:t>
            </w:r>
            <w:r>
              <w:rPr>
                <w:spacing w:val="-5"/>
                <w:sz w:val="20"/>
              </w:rPr>
              <w:t> </w:t>
            </w:r>
            <w:r>
              <w:rPr>
                <w:spacing w:val="-2"/>
                <w:sz w:val="20"/>
              </w:rPr>
              <w:t>Q78.3,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2"/>
              <w:rPr>
                <w:sz w:val="20"/>
              </w:rPr>
            </w:pPr>
            <w:r>
              <w:rPr>
                <w:sz w:val="20"/>
              </w:rPr>
              <w:t>Q78.4,</w:t>
            </w:r>
            <w:r>
              <w:rPr>
                <w:spacing w:val="-4"/>
                <w:sz w:val="20"/>
              </w:rPr>
              <w:t> </w:t>
            </w:r>
            <w:r>
              <w:rPr>
                <w:sz w:val="20"/>
              </w:rPr>
              <w:t>Q78.5,</w:t>
            </w:r>
            <w:r>
              <w:rPr>
                <w:spacing w:val="-6"/>
                <w:sz w:val="20"/>
              </w:rPr>
              <w:t> </w:t>
            </w:r>
            <w:r>
              <w:rPr>
                <w:sz w:val="20"/>
              </w:rPr>
              <w:t>Q78.6,</w:t>
            </w:r>
            <w:r>
              <w:rPr>
                <w:spacing w:val="-4"/>
                <w:sz w:val="20"/>
              </w:rPr>
              <w:t> </w:t>
            </w:r>
            <w:r>
              <w:rPr>
                <w:sz w:val="20"/>
              </w:rPr>
              <w:t>Q78.8,</w:t>
            </w:r>
            <w:r>
              <w:rPr>
                <w:spacing w:val="-6"/>
                <w:sz w:val="20"/>
              </w:rPr>
              <w:t> </w:t>
            </w:r>
            <w:r>
              <w:rPr>
                <w:sz w:val="20"/>
              </w:rPr>
              <w:t>Q78.9,</w:t>
            </w:r>
            <w:r>
              <w:rPr>
                <w:spacing w:val="-4"/>
                <w:sz w:val="20"/>
              </w:rPr>
              <w:t> </w:t>
            </w:r>
            <w:r>
              <w:rPr>
                <w:sz w:val="20"/>
              </w:rPr>
              <w:t>Q79,</w:t>
            </w:r>
            <w:r>
              <w:rPr>
                <w:spacing w:val="-4"/>
                <w:sz w:val="20"/>
              </w:rPr>
              <w:t> </w:t>
            </w:r>
            <w:r>
              <w:rPr>
                <w:spacing w:val="-2"/>
                <w:sz w:val="20"/>
              </w:rPr>
              <w:t>Q79.0,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Q79.1,</w:t>
            </w:r>
            <w:r>
              <w:rPr>
                <w:spacing w:val="-4"/>
                <w:sz w:val="20"/>
              </w:rPr>
              <w:t> </w:t>
            </w:r>
            <w:r>
              <w:rPr>
                <w:sz w:val="20"/>
              </w:rPr>
              <w:t>Q79.2,</w:t>
            </w:r>
            <w:r>
              <w:rPr>
                <w:spacing w:val="-6"/>
                <w:sz w:val="20"/>
              </w:rPr>
              <w:t> </w:t>
            </w:r>
            <w:r>
              <w:rPr>
                <w:sz w:val="20"/>
              </w:rPr>
              <w:t>Q79.3,</w:t>
            </w:r>
            <w:r>
              <w:rPr>
                <w:spacing w:val="-4"/>
                <w:sz w:val="20"/>
              </w:rPr>
              <w:t> </w:t>
            </w:r>
            <w:r>
              <w:rPr>
                <w:sz w:val="20"/>
              </w:rPr>
              <w:t>Q79.4,</w:t>
            </w:r>
            <w:r>
              <w:rPr>
                <w:spacing w:val="-6"/>
                <w:sz w:val="20"/>
              </w:rPr>
              <w:t> </w:t>
            </w:r>
            <w:r>
              <w:rPr>
                <w:sz w:val="20"/>
              </w:rPr>
              <w:t>Q79.5,</w:t>
            </w:r>
            <w:r>
              <w:rPr>
                <w:spacing w:val="-4"/>
                <w:sz w:val="20"/>
              </w:rPr>
              <w:t> </w:t>
            </w:r>
            <w:r>
              <w:rPr>
                <w:spacing w:val="-2"/>
                <w:sz w:val="20"/>
              </w:rPr>
              <w:t>Q79.8,</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18"/>
              <w:rPr>
                <w:sz w:val="20"/>
              </w:rPr>
            </w:pPr>
            <w:r>
              <w:rPr>
                <w:sz w:val="20"/>
              </w:rPr>
              <w:t>Q79.9,</w:t>
            </w:r>
            <w:r>
              <w:rPr>
                <w:spacing w:val="-5"/>
                <w:sz w:val="20"/>
              </w:rPr>
              <w:t> </w:t>
            </w:r>
            <w:r>
              <w:rPr>
                <w:sz w:val="20"/>
              </w:rPr>
              <w:t>Q87.0,</w:t>
            </w:r>
            <w:r>
              <w:rPr>
                <w:spacing w:val="-6"/>
                <w:sz w:val="20"/>
              </w:rPr>
              <w:t> </w:t>
            </w:r>
            <w:r>
              <w:rPr>
                <w:sz w:val="20"/>
              </w:rPr>
              <w:t>Q87.5,</w:t>
            </w:r>
            <w:r>
              <w:rPr>
                <w:spacing w:val="-5"/>
                <w:sz w:val="20"/>
              </w:rPr>
              <w:t> </w:t>
            </w:r>
            <w:r>
              <w:rPr>
                <w:sz w:val="20"/>
              </w:rPr>
              <w:t>Q89.9,</w:t>
            </w:r>
            <w:r>
              <w:rPr>
                <w:spacing w:val="-6"/>
                <w:sz w:val="20"/>
              </w:rPr>
              <w:t> </w:t>
            </w:r>
            <w:r>
              <w:rPr>
                <w:sz w:val="20"/>
              </w:rPr>
              <w:t>R26.2,</w:t>
            </w:r>
            <w:r>
              <w:rPr>
                <w:spacing w:val="-4"/>
                <w:sz w:val="20"/>
              </w:rPr>
              <w:t> </w:t>
            </w:r>
            <w:r>
              <w:rPr>
                <w:sz w:val="20"/>
              </w:rPr>
              <w:t>R29.4,</w:t>
            </w:r>
            <w:r>
              <w:rPr>
                <w:spacing w:val="-5"/>
                <w:sz w:val="20"/>
              </w:rPr>
              <w:t> </w:t>
            </w:r>
            <w:r>
              <w:rPr>
                <w:spacing w:val="-4"/>
                <w:sz w:val="20"/>
              </w:rPr>
              <w:t>R89,</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168"/>
              <w:rPr>
                <w:sz w:val="20"/>
              </w:rPr>
            </w:pPr>
            <w:r>
              <w:rPr>
                <w:sz w:val="20"/>
              </w:rPr>
              <w:t>R89.0,</w:t>
            </w:r>
            <w:r>
              <w:rPr>
                <w:spacing w:val="-7"/>
                <w:sz w:val="20"/>
              </w:rPr>
              <w:t> </w:t>
            </w:r>
            <w:r>
              <w:rPr>
                <w:sz w:val="20"/>
              </w:rPr>
              <w:t>R89.1,</w:t>
            </w:r>
            <w:r>
              <w:rPr>
                <w:spacing w:val="-5"/>
                <w:sz w:val="20"/>
              </w:rPr>
              <w:t> </w:t>
            </w:r>
            <w:r>
              <w:rPr>
                <w:sz w:val="20"/>
              </w:rPr>
              <w:t>R89.2,</w:t>
            </w:r>
            <w:r>
              <w:rPr>
                <w:spacing w:val="-5"/>
                <w:sz w:val="20"/>
              </w:rPr>
              <w:t> </w:t>
            </w:r>
            <w:r>
              <w:rPr>
                <w:sz w:val="20"/>
              </w:rPr>
              <w:t>R89.3,</w:t>
            </w:r>
            <w:r>
              <w:rPr>
                <w:spacing w:val="-9"/>
                <w:sz w:val="20"/>
              </w:rPr>
              <w:t> </w:t>
            </w:r>
            <w:r>
              <w:rPr>
                <w:sz w:val="20"/>
              </w:rPr>
              <w:t>R89.4,</w:t>
            </w:r>
            <w:r>
              <w:rPr>
                <w:spacing w:val="-5"/>
                <w:sz w:val="20"/>
              </w:rPr>
              <w:t> </w:t>
            </w:r>
            <w:r>
              <w:rPr>
                <w:sz w:val="20"/>
              </w:rPr>
              <w:t>R89.5,</w:t>
            </w:r>
            <w:r>
              <w:rPr>
                <w:spacing w:val="-4"/>
                <w:sz w:val="20"/>
              </w:rPr>
              <w:t> </w:t>
            </w:r>
            <w:r>
              <w:rPr>
                <w:spacing w:val="-2"/>
                <w:sz w:val="20"/>
              </w:rPr>
              <w:t>R89.6,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5" w:type="dxa"/>
          </w:tcPr>
          <w:p>
            <w:pPr>
              <w:pStyle w:val="TableParagraph"/>
              <w:rPr>
                <w:sz w:val="18"/>
              </w:rPr>
            </w:pPr>
          </w:p>
        </w:tc>
        <w:tc>
          <w:tcPr>
            <w:tcW w:w="5518" w:type="dxa"/>
          </w:tcPr>
          <w:p>
            <w:pPr>
              <w:pStyle w:val="TableParagraph"/>
              <w:spacing w:line="226" w:lineRule="exact"/>
              <w:ind w:left="778"/>
              <w:rPr>
                <w:sz w:val="20"/>
              </w:rPr>
            </w:pPr>
            <w:r>
              <w:rPr>
                <w:sz w:val="20"/>
              </w:rPr>
              <w:t>R89.7,</w:t>
            </w:r>
            <w:r>
              <w:rPr>
                <w:spacing w:val="-5"/>
                <w:sz w:val="20"/>
              </w:rPr>
              <w:t> </w:t>
            </w:r>
            <w:r>
              <w:rPr>
                <w:sz w:val="20"/>
              </w:rPr>
              <w:t>R89.8,</w:t>
            </w:r>
            <w:r>
              <w:rPr>
                <w:spacing w:val="-4"/>
                <w:sz w:val="20"/>
              </w:rPr>
              <w:t> </w:t>
            </w:r>
            <w:r>
              <w:rPr>
                <w:sz w:val="20"/>
              </w:rPr>
              <w:t>R89.9,</w:t>
            </w:r>
            <w:r>
              <w:rPr>
                <w:spacing w:val="-4"/>
                <w:sz w:val="20"/>
              </w:rPr>
              <w:t> </w:t>
            </w:r>
            <w:r>
              <w:rPr>
                <w:sz w:val="20"/>
              </w:rPr>
              <w:t>R93.6,</w:t>
            </w:r>
            <w:r>
              <w:rPr>
                <w:spacing w:val="-8"/>
                <w:sz w:val="20"/>
              </w:rPr>
              <w:t> </w:t>
            </w:r>
            <w:r>
              <w:rPr>
                <w:spacing w:val="-2"/>
                <w:sz w:val="20"/>
              </w:rPr>
              <w:t>R93.7</w:t>
            </w:r>
          </w:p>
        </w:tc>
        <w:tc>
          <w:tcPr>
            <w:tcW w:w="1983"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st29.002</w:t>
            </w:r>
          </w:p>
        </w:tc>
        <w:tc>
          <w:tcPr>
            <w:tcW w:w="707" w:type="dxa"/>
          </w:tcPr>
          <w:p>
            <w:pPr>
              <w:pStyle w:val="TableParagraph"/>
              <w:spacing w:line="215" w:lineRule="exact" w:before="45"/>
              <w:ind w:left="210"/>
              <w:rPr>
                <w:sz w:val="20"/>
              </w:rPr>
            </w:pPr>
            <w:r>
              <w:rPr>
                <w:spacing w:val="-5"/>
                <w:sz w:val="20"/>
              </w:rPr>
              <w:t>270</w:t>
            </w:r>
          </w:p>
        </w:tc>
        <w:tc>
          <w:tcPr>
            <w:tcW w:w="2535" w:type="dxa"/>
          </w:tcPr>
          <w:p>
            <w:pPr>
              <w:pStyle w:val="TableParagraph"/>
              <w:spacing w:line="215" w:lineRule="exact" w:before="45"/>
              <w:ind w:left="192"/>
              <w:rPr>
                <w:sz w:val="20"/>
              </w:rPr>
            </w:pPr>
            <w:r>
              <w:rPr>
                <w:sz w:val="20"/>
              </w:rPr>
              <w:t>Переломы</w:t>
            </w:r>
            <w:r>
              <w:rPr>
                <w:spacing w:val="-7"/>
                <w:sz w:val="20"/>
              </w:rPr>
              <w:t> </w:t>
            </w:r>
            <w:r>
              <w:rPr>
                <w:sz w:val="20"/>
              </w:rPr>
              <w:t>шейки</w:t>
            </w:r>
            <w:r>
              <w:rPr>
                <w:spacing w:val="-7"/>
                <w:sz w:val="20"/>
              </w:rPr>
              <w:t> </w:t>
            </w:r>
            <w:r>
              <w:rPr>
                <w:sz w:val="20"/>
              </w:rPr>
              <w:t>бедра</w:t>
            </w:r>
            <w:r>
              <w:rPr>
                <w:spacing w:val="-6"/>
                <w:sz w:val="20"/>
              </w:rPr>
              <w:t> </w:t>
            </w:r>
            <w:r>
              <w:rPr>
                <w:spacing w:val="-10"/>
                <w:sz w:val="20"/>
              </w:rPr>
              <w:t>и</w:t>
            </w:r>
          </w:p>
        </w:tc>
        <w:tc>
          <w:tcPr>
            <w:tcW w:w="5518" w:type="dxa"/>
          </w:tcPr>
          <w:p>
            <w:pPr>
              <w:pStyle w:val="TableParagraph"/>
              <w:spacing w:line="215" w:lineRule="exact" w:before="45"/>
              <w:ind w:left="324"/>
              <w:rPr>
                <w:sz w:val="20"/>
              </w:rPr>
            </w:pPr>
            <w:r>
              <w:rPr>
                <w:sz w:val="20"/>
              </w:rPr>
              <w:t>S32.3,</w:t>
            </w:r>
            <w:r>
              <w:rPr>
                <w:spacing w:val="-5"/>
                <w:sz w:val="20"/>
              </w:rPr>
              <w:t> </w:t>
            </w:r>
            <w:r>
              <w:rPr>
                <w:sz w:val="20"/>
              </w:rPr>
              <w:t>S32.30,</w:t>
            </w:r>
            <w:r>
              <w:rPr>
                <w:spacing w:val="-7"/>
                <w:sz w:val="20"/>
              </w:rPr>
              <w:t> </w:t>
            </w:r>
            <w:r>
              <w:rPr>
                <w:sz w:val="20"/>
              </w:rPr>
              <w:t>S32.31,</w:t>
            </w:r>
            <w:r>
              <w:rPr>
                <w:spacing w:val="-5"/>
                <w:sz w:val="20"/>
              </w:rPr>
              <w:t> </w:t>
            </w:r>
            <w:r>
              <w:rPr>
                <w:sz w:val="20"/>
              </w:rPr>
              <w:t>S32.4,</w:t>
            </w:r>
            <w:r>
              <w:rPr>
                <w:spacing w:val="-7"/>
                <w:sz w:val="20"/>
              </w:rPr>
              <w:t> </w:t>
            </w:r>
            <w:r>
              <w:rPr>
                <w:sz w:val="20"/>
              </w:rPr>
              <w:t>S32.40,</w:t>
            </w:r>
            <w:r>
              <w:rPr>
                <w:spacing w:val="-5"/>
                <w:sz w:val="20"/>
              </w:rPr>
              <w:t> </w:t>
            </w:r>
            <w:r>
              <w:rPr>
                <w:spacing w:val="-2"/>
                <w:sz w:val="20"/>
              </w:rPr>
              <w:t>S32.41,</w:t>
            </w:r>
          </w:p>
        </w:tc>
        <w:tc>
          <w:tcPr>
            <w:tcW w:w="1983" w:type="dxa"/>
          </w:tcPr>
          <w:p>
            <w:pPr>
              <w:pStyle w:val="TableParagraph"/>
              <w:spacing w:line="215" w:lineRule="exact" w:before="45"/>
              <w:ind w:left="514"/>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1,52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костей</w:t>
            </w:r>
            <w:r>
              <w:rPr>
                <w:spacing w:val="-7"/>
                <w:sz w:val="20"/>
              </w:rPr>
              <w:t> </w:t>
            </w:r>
            <w:r>
              <w:rPr>
                <w:spacing w:val="-4"/>
                <w:sz w:val="20"/>
              </w:rPr>
              <w:t>таза</w:t>
            </w:r>
          </w:p>
        </w:tc>
        <w:tc>
          <w:tcPr>
            <w:tcW w:w="5518" w:type="dxa"/>
          </w:tcPr>
          <w:p>
            <w:pPr>
              <w:pStyle w:val="TableParagraph"/>
              <w:spacing w:line="210" w:lineRule="exact"/>
              <w:ind w:left="375"/>
              <w:rPr>
                <w:sz w:val="20"/>
              </w:rPr>
            </w:pPr>
            <w:r>
              <w:rPr>
                <w:sz w:val="20"/>
              </w:rPr>
              <w:t>S32.5,</w:t>
            </w:r>
            <w:r>
              <w:rPr>
                <w:spacing w:val="-5"/>
                <w:sz w:val="20"/>
              </w:rPr>
              <w:t> </w:t>
            </w:r>
            <w:r>
              <w:rPr>
                <w:sz w:val="20"/>
              </w:rPr>
              <w:t>S32.50,</w:t>
            </w:r>
            <w:r>
              <w:rPr>
                <w:spacing w:val="-7"/>
                <w:sz w:val="20"/>
              </w:rPr>
              <w:t> </w:t>
            </w:r>
            <w:r>
              <w:rPr>
                <w:sz w:val="20"/>
              </w:rPr>
              <w:t>S32.51,</w:t>
            </w:r>
            <w:r>
              <w:rPr>
                <w:spacing w:val="-5"/>
                <w:sz w:val="20"/>
              </w:rPr>
              <w:t> </w:t>
            </w:r>
            <w:r>
              <w:rPr>
                <w:sz w:val="20"/>
              </w:rPr>
              <w:t>S33.4,</w:t>
            </w:r>
            <w:r>
              <w:rPr>
                <w:spacing w:val="-7"/>
                <w:sz w:val="20"/>
              </w:rPr>
              <w:t> </w:t>
            </w:r>
            <w:r>
              <w:rPr>
                <w:sz w:val="20"/>
              </w:rPr>
              <w:t>S72.0,</w:t>
            </w:r>
            <w:r>
              <w:rPr>
                <w:spacing w:val="-5"/>
                <w:sz w:val="20"/>
              </w:rPr>
              <w:t> </w:t>
            </w:r>
            <w:r>
              <w:rPr>
                <w:spacing w:val="-2"/>
                <w:sz w:val="20"/>
              </w:rPr>
              <w:t>S72.00,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324"/>
              <w:rPr>
                <w:sz w:val="20"/>
              </w:rPr>
            </w:pPr>
            <w:r>
              <w:rPr>
                <w:sz w:val="20"/>
              </w:rPr>
              <w:t>S72.01,</w:t>
            </w:r>
            <w:r>
              <w:rPr>
                <w:spacing w:val="-6"/>
                <w:sz w:val="20"/>
              </w:rPr>
              <w:t> </w:t>
            </w:r>
            <w:r>
              <w:rPr>
                <w:sz w:val="20"/>
              </w:rPr>
              <w:t>S72.1,</w:t>
            </w:r>
            <w:r>
              <w:rPr>
                <w:spacing w:val="-7"/>
                <w:sz w:val="20"/>
              </w:rPr>
              <w:t> </w:t>
            </w:r>
            <w:r>
              <w:rPr>
                <w:sz w:val="20"/>
              </w:rPr>
              <w:t>S72.10,</w:t>
            </w:r>
            <w:r>
              <w:rPr>
                <w:spacing w:val="-5"/>
                <w:sz w:val="20"/>
              </w:rPr>
              <w:t> </w:t>
            </w:r>
            <w:r>
              <w:rPr>
                <w:sz w:val="20"/>
              </w:rPr>
              <w:t>S72.11,</w:t>
            </w:r>
            <w:r>
              <w:rPr>
                <w:spacing w:val="-6"/>
                <w:sz w:val="20"/>
              </w:rPr>
              <w:t> </w:t>
            </w:r>
            <w:r>
              <w:rPr>
                <w:sz w:val="20"/>
              </w:rPr>
              <w:t>S72.2,</w:t>
            </w:r>
            <w:r>
              <w:rPr>
                <w:spacing w:val="-5"/>
                <w:sz w:val="20"/>
              </w:rPr>
              <w:t> </w:t>
            </w:r>
            <w:r>
              <w:rPr>
                <w:spacing w:val="-2"/>
                <w:sz w:val="20"/>
              </w:rPr>
              <w:t>S72.20,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5" w:type="dxa"/>
          </w:tcPr>
          <w:p>
            <w:pPr>
              <w:pStyle w:val="TableParagraph"/>
              <w:rPr>
                <w:sz w:val="18"/>
              </w:rPr>
            </w:pPr>
          </w:p>
        </w:tc>
        <w:tc>
          <w:tcPr>
            <w:tcW w:w="5518" w:type="dxa"/>
          </w:tcPr>
          <w:p>
            <w:pPr>
              <w:pStyle w:val="TableParagraph"/>
              <w:spacing w:line="226" w:lineRule="exact"/>
              <w:ind w:left="1891" w:right="3037"/>
              <w:jc w:val="center"/>
              <w:rPr>
                <w:sz w:val="20"/>
              </w:rPr>
            </w:pPr>
            <w:r>
              <w:rPr>
                <w:spacing w:val="-2"/>
                <w:sz w:val="20"/>
              </w:rPr>
              <w:t>S72.21</w:t>
            </w:r>
          </w:p>
        </w:tc>
        <w:tc>
          <w:tcPr>
            <w:tcW w:w="1983"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st29.003</w:t>
            </w:r>
          </w:p>
        </w:tc>
        <w:tc>
          <w:tcPr>
            <w:tcW w:w="707" w:type="dxa"/>
          </w:tcPr>
          <w:p>
            <w:pPr>
              <w:pStyle w:val="TableParagraph"/>
              <w:spacing w:line="215" w:lineRule="exact" w:before="45"/>
              <w:ind w:left="210"/>
              <w:rPr>
                <w:sz w:val="20"/>
              </w:rPr>
            </w:pPr>
            <w:r>
              <w:rPr>
                <w:spacing w:val="-5"/>
                <w:sz w:val="20"/>
              </w:rPr>
              <w:t>271</w:t>
            </w:r>
          </w:p>
        </w:tc>
        <w:tc>
          <w:tcPr>
            <w:tcW w:w="2535" w:type="dxa"/>
          </w:tcPr>
          <w:p>
            <w:pPr>
              <w:pStyle w:val="TableParagraph"/>
              <w:spacing w:line="215" w:lineRule="exact" w:before="45"/>
              <w:ind w:left="192"/>
              <w:rPr>
                <w:sz w:val="20"/>
              </w:rPr>
            </w:pPr>
            <w:r>
              <w:rPr>
                <w:sz w:val="20"/>
              </w:rPr>
              <w:t>Переломы</w:t>
            </w:r>
            <w:r>
              <w:rPr>
                <w:spacing w:val="-9"/>
                <w:sz w:val="20"/>
              </w:rPr>
              <w:t> </w:t>
            </w:r>
            <w:r>
              <w:rPr>
                <w:spacing w:val="-2"/>
                <w:sz w:val="20"/>
              </w:rPr>
              <w:t>бедренной</w:t>
            </w:r>
          </w:p>
        </w:tc>
        <w:tc>
          <w:tcPr>
            <w:tcW w:w="5518" w:type="dxa"/>
          </w:tcPr>
          <w:p>
            <w:pPr>
              <w:pStyle w:val="TableParagraph"/>
              <w:spacing w:line="215" w:lineRule="exact" w:before="45"/>
              <w:ind w:left="324"/>
              <w:rPr>
                <w:sz w:val="20"/>
              </w:rPr>
            </w:pPr>
            <w:r>
              <w:rPr>
                <w:sz w:val="20"/>
              </w:rPr>
              <w:t>S72.3,</w:t>
            </w:r>
            <w:r>
              <w:rPr>
                <w:spacing w:val="-5"/>
                <w:sz w:val="20"/>
              </w:rPr>
              <w:t> </w:t>
            </w:r>
            <w:r>
              <w:rPr>
                <w:sz w:val="20"/>
              </w:rPr>
              <w:t>S72.30,</w:t>
            </w:r>
            <w:r>
              <w:rPr>
                <w:spacing w:val="-7"/>
                <w:sz w:val="20"/>
              </w:rPr>
              <w:t> </w:t>
            </w:r>
            <w:r>
              <w:rPr>
                <w:sz w:val="20"/>
              </w:rPr>
              <w:t>S72.31,</w:t>
            </w:r>
            <w:r>
              <w:rPr>
                <w:spacing w:val="-5"/>
                <w:sz w:val="20"/>
              </w:rPr>
              <w:t> </w:t>
            </w:r>
            <w:r>
              <w:rPr>
                <w:sz w:val="20"/>
              </w:rPr>
              <w:t>S72.4,</w:t>
            </w:r>
            <w:r>
              <w:rPr>
                <w:spacing w:val="-7"/>
                <w:sz w:val="20"/>
              </w:rPr>
              <w:t> </w:t>
            </w:r>
            <w:r>
              <w:rPr>
                <w:sz w:val="20"/>
              </w:rPr>
              <w:t>S72.40,</w:t>
            </w:r>
            <w:r>
              <w:rPr>
                <w:spacing w:val="-5"/>
                <w:sz w:val="20"/>
              </w:rPr>
              <w:t> </w:t>
            </w:r>
            <w:r>
              <w:rPr>
                <w:spacing w:val="-2"/>
                <w:sz w:val="20"/>
              </w:rPr>
              <w:t>S72.41,</w:t>
            </w:r>
          </w:p>
        </w:tc>
        <w:tc>
          <w:tcPr>
            <w:tcW w:w="1983" w:type="dxa"/>
          </w:tcPr>
          <w:p>
            <w:pPr>
              <w:pStyle w:val="TableParagraph"/>
              <w:spacing w:line="215" w:lineRule="exact" w:before="45"/>
              <w:ind w:left="514"/>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0,69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кости,</w:t>
            </w:r>
            <w:r>
              <w:rPr>
                <w:spacing w:val="-9"/>
                <w:sz w:val="20"/>
              </w:rPr>
              <w:t> </w:t>
            </w:r>
            <w:r>
              <w:rPr>
                <w:sz w:val="20"/>
              </w:rPr>
              <w:t>другие</w:t>
            </w:r>
            <w:r>
              <w:rPr>
                <w:spacing w:val="-6"/>
                <w:sz w:val="20"/>
              </w:rPr>
              <w:t> </w:t>
            </w:r>
            <w:r>
              <w:rPr>
                <w:spacing w:val="-2"/>
                <w:sz w:val="20"/>
              </w:rPr>
              <w:t>травмы</w:t>
            </w:r>
          </w:p>
        </w:tc>
        <w:tc>
          <w:tcPr>
            <w:tcW w:w="5518" w:type="dxa"/>
          </w:tcPr>
          <w:p>
            <w:pPr>
              <w:pStyle w:val="TableParagraph"/>
              <w:spacing w:line="210" w:lineRule="exact"/>
              <w:ind w:left="324"/>
              <w:rPr>
                <w:sz w:val="20"/>
              </w:rPr>
            </w:pPr>
            <w:r>
              <w:rPr>
                <w:sz w:val="20"/>
              </w:rPr>
              <w:t>S72.8,</w:t>
            </w:r>
            <w:r>
              <w:rPr>
                <w:spacing w:val="-5"/>
                <w:sz w:val="20"/>
              </w:rPr>
              <w:t> </w:t>
            </w:r>
            <w:r>
              <w:rPr>
                <w:sz w:val="20"/>
              </w:rPr>
              <w:t>S72.80,</w:t>
            </w:r>
            <w:r>
              <w:rPr>
                <w:spacing w:val="-7"/>
                <w:sz w:val="20"/>
              </w:rPr>
              <w:t> </w:t>
            </w:r>
            <w:r>
              <w:rPr>
                <w:sz w:val="20"/>
              </w:rPr>
              <w:t>S72.81,</w:t>
            </w:r>
            <w:r>
              <w:rPr>
                <w:spacing w:val="-5"/>
                <w:sz w:val="20"/>
              </w:rPr>
              <w:t> </w:t>
            </w:r>
            <w:r>
              <w:rPr>
                <w:sz w:val="20"/>
              </w:rPr>
              <w:t>S72.9,</w:t>
            </w:r>
            <w:r>
              <w:rPr>
                <w:spacing w:val="-7"/>
                <w:sz w:val="20"/>
              </w:rPr>
              <w:t> </w:t>
            </w:r>
            <w:r>
              <w:rPr>
                <w:sz w:val="20"/>
              </w:rPr>
              <w:t>S72.90,</w:t>
            </w:r>
            <w:r>
              <w:rPr>
                <w:spacing w:val="-5"/>
                <w:sz w:val="20"/>
              </w:rPr>
              <w:t> </w:t>
            </w:r>
            <w:r>
              <w:rPr>
                <w:spacing w:val="-2"/>
                <w:sz w:val="20"/>
              </w:rPr>
              <w:t>S72.91,</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области</w:t>
            </w:r>
            <w:r>
              <w:rPr>
                <w:spacing w:val="-7"/>
                <w:sz w:val="20"/>
              </w:rPr>
              <w:t> </w:t>
            </w:r>
            <w:r>
              <w:rPr>
                <w:sz w:val="20"/>
              </w:rPr>
              <w:t>бедра</w:t>
            </w:r>
            <w:r>
              <w:rPr>
                <w:spacing w:val="-6"/>
                <w:sz w:val="20"/>
              </w:rPr>
              <w:t> </w:t>
            </w:r>
            <w:r>
              <w:rPr>
                <w:spacing w:val="-10"/>
                <w:sz w:val="20"/>
              </w:rPr>
              <w:t>и</w:t>
            </w:r>
          </w:p>
        </w:tc>
        <w:tc>
          <w:tcPr>
            <w:tcW w:w="5518" w:type="dxa"/>
          </w:tcPr>
          <w:p>
            <w:pPr>
              <w:pStyle w:val="TableParagraph"/>
              <w:spacing w:line="210" w:lineRule="exact"/>
              <w:ind w:left="394"/>
              <w:rPr>
                <w:sz w:val="20"/>
              </w:rPr>
            </w:pPr>
            <w:r>
              <w:rPr>
                <w:sz w:val="20"/>
              </w:rPr>
              <w:t>S73,</w:t>
            </w:r>
            <w:r>
              <w:rPr>
                <w:spacing w:val="-5"/>
                <w:sz w:val="20"/>
              </w:rPr>
              <w:t> </w:t>
            </w:r>
            <w:r>
              <w:rPr>
                <w:sz w:val="20"/>
              </w:rPr>
              <w:t>S73.0,</w:t>
            </w:r>
            <w:r>
              <w:rPr>
                <w:spacing w:val="-4"/>
                <w:sz w:val="20"/>
              </w:rPr>
              <w:t> </w:t>
            </w:r>
            <w:r>
              <w:rPr>
                <w:sz w:val="20"/>
              </w:rPr>
              <w:t>S73.1,</w:t>
            </w:r>
            <w:r>
              <w:rPr>
                <w:spacing w:val="-5"/>
                <w:sz w:val="20"/>
              </w:rPr>
              <w:t> </w:t>
            </w:r>
            <w:r>
              <w:rPr>
                <w:sz w:val="20"/>
              </w:rPr>
              <w:t>S76,</w:t>
            </w:r>
            <w:r>
              <w:rPr>
                <w:spacing w:val="-6"/>
                <w:sz w:val="20"/>
              </w:rPr>
              <w:t> </w:t>
            </w:r>
            <w:r>
              <w:rPr>
                <w:sz w:val="20"/>
              </w:rPr>
              <w:t>S76.0,</w:t>
            </w:r>
            <w:r>
              <w:rPr>
                <w:spacing w:val="-6"/>
                <w:sz w:val="20"/>
              </w:rPr>
              <w:t> </w:t>
            </w:r>
            <w:r>
              <w:rPr>
                <w:sz w:val="20"/>
              </w:rPr>
              <w:t>S76.1,</w:t>
            </w:r>
            <w:r>
              <w:rPr>
                <w:spacing w:val="-4"/>
                <w:sz w:val="20"/>
              </w:rPr>
              <w:t> </w:t>
            </w:r>
            <w:r>
              <w:rPr>
                <w:spacing w:val="-2"/>
                <w:sz w:val="20"/>
              </w:rPr>
              <w:t>S76.2,</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05" w:lineRule="exact"/>
              <w:ind w:left="192"/>
              <w:rPr>
                <w:sz w:val="20"/>
              </w:rPr>
            </w:pPr>
            <w:r>
              <w:rPr>
                <w:spacing w:val="-2"/>
                <w:sz w:val="20"/>
              </w:rPr>
              <w:t>тазобедренного</w:t>
            </w:r>
            <w:r>
              <w:rPr>
                <w:spacing w:val="14"/>
                <w:sz w:val="20"/>
              </w:rPr>
              <w:t> </w:t>
            </w:r>
            <w:r>
              <w:rPr>
                <w:spacing w:val="-2"/>
                <w:sz w:val="20"/>
              </w:rPr>
              <w:t>сустава</w:t>
            </w:r>
          </w:p>
        </w:tc>
        <w:tc>
          <w:tcPr>
            <w:tcW w:w="5518" w:type="dxa"/>
          </w:tcPr>
          <w:p>
            <w:pPr>
              <w:pStyle w:val="TableParagraph"/>
              <w:spacing w:line="205" w:lineRule="exact"/>
              <w:ind w:left="1392"/>
              <w:rPr>
                <w:sz w:val="20"/>
              </w:rPr>
            </w:pPr>
            <w:r>
              <w:rPr>
                <w:sz w:val="20"/>
              </w:rPr>
              <w:t>S76.3,</w:t>
            </w:r>
            <w:r>
              <w:rPr>
                <w:spacing w:val="-5"/>
                <w:sz w:val="20"/>
              </w:rPr>
              <w:t> </w:t>
            </w:r>
            <w:r>
              <w:rPr>
                <w:sz w:val="20"/>
              </w:rPr>
              <w:t>S76.4,</w:t>
            </w:r>
            <w:r>
              <w:rPr>
                <w:spacing w:val="-5"/>
                <w:sz w:val="20"/>
              </w:rPr>
              <w:t> </w:t>
            </w:r>
            <w:r>
              <w:rPr>
                <w:spacing w:val="-2"/>
                <w:sz w:val="20"/>
              </w:rPr>
              <w:t>S76.7</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03"/>
        <w:gridCol w:w="5145"/>
        <w:gridCol w:w="2386"/>
        <w:gridCol w:w="2326"/>
        <w:gridCol w:w="1261"/>
      </w:tblGrid>
      <w:tr>
        <w:trPr>
          <w:trHeight w:val="8041" w:hRule="atLeast"/>
        </w:trPr>
        <w:tc>
          <w:tcPr>
            <w:tcW w:w="946" w:type="dxa"/>
          </w:tcPr>
          <w:p>
            <w:pPr>
              <w:pStyle w:val="TableParagraph"/>
              <w:spacing w:line="221" w:lineRule="exact"/>
              <w:ind w:left="50"/>
              <w:rPr>
                <w:sz w:val="20"/>
              </w:rPr>
            </w:pPr>
            <w:r>
              <w:rPr>
                <w:spacing w:val="-2"/>
                <w:sz w:val="20"/>
              </w:rPr>
              <w:t>st29.004</w:t>
            </w:r>
          </w:p>
        </w:tc>
        <w:tc>
          <w:tcPr>
            <w:tcW w:w="707" w:type="dxa"/>
          </w:tcPr>
          <w:p>
            <w:pPr>
              <w:pStyle w:val="TableParagraph"/>
              <w:spacing w:line="221" w:lineRule="exact"/>
              <w:ind w:left="210"/>
              <w:rPr>
                <w:sz w:val="20"/>
              </w:rPr>
            </w:pPr>
            <w:r>
              <w:rPr>
                <w:spacing w:val="-5"/>
                <w:sz w:val="20"/>
              </w:rPr>
              <w:t>272</w:t>
            </w:r>
          </w:p>
        </w:tc>
        <w:tc>
          <w:tcPr>
            <w:tcW w:w="2503" w:type="dxa"/>
          </w:tcPr>
          <w:p>
            <w:pPr>
              <w:pStyle w:val="TableParagraph"/>
              <w:ind w:left="192"/>
              <w:rPr>
                <w:sz w:val="20"/>
              </w:rPr>
            </w:pPr>
            <w:r>
              <w:rPr>
                <w:sz w:val="20"/>
              </w:rPr>
              <w:t>Переломы, вывихи, растяжения области грудной</w:t>
            </w:r>
            <w:r>
              <w:rPr>
                <w:spacing w:val="-13"/>
                <w:sz w:val="20"/>
              </w:rPr>
              <w:t> </w:t>
            </w:r>
            <w:r>
              <w:rPr>
                <w:sz w:val="20"/>
              </w:rPr>
              <w:t>клетки,</w:t>
            </w:r>
            <w:r>
              <w:rPr>
                <w:spacing w:val="-12"/>
                <w:sz w:val="20"/>
              </w:rPr>
              <w:t> </w:t>
            </w:r>
            <w:r>
              <w:rPr>
                <w:sz w:val="20"/>
              </w:rPr>
              <w:t>верхней конечности и стопы</w:t>
            </w:r>
          </w:p>
        </w:tc>
        <w:tc>
          <w:tcPr>
            <w:tcW w:w="5145" w:type="dxa"/>
          </w:tcPr>
          <w:p>
            <w:pPr>
              <w:pStyle w:val="TableParagraph"/>
              <w:ind w:left="201" w:right="919"/>
              <w:jc w:val="center"/>
              <w:rPr>
                <w:sz w:val="20"/>
              </w:rPr>
            </w:pPr>
            <w:r>
              <w:rPr>
                <w:sz w:val="20"/>
              </w:rPr>
              <w:t>S22.2, S22.20, S22.21, S22.3, S22.30, S22.31, S22.5, S22.50, S22.51, S22.8, S22.80, S22.81, S22.9, S22.90, S22.91, S23.4, S23.5, S27, S27.0, S27.00, S27.01, S27.1, S27.10, S27.11, S27.2, S27.20, S27.21, S27.3, S27.30, S27.31, S27.4, S27.40, S27.41, S27.5, S27.50, S27.51, S27.6, S27.60, S27.61, S27.8, S27.80, S27.81, S27.9, S27.90,</w:t>
            </w:r>
            <w:r>
              <w:rPr>
                <w:spacing w:val="-7"/>
                <w:sz w:val="20"/>
              </w:rPr>
              <w:t> </w:t>
            </w:r>
            <w:r>
              <w:rPr>
                <w:sz w:val="20"/>
              </w:rPr>
              <w:t>S27.91,</w:t>
            </w:r>
            <w:r>
              <w:rPr>
                <w:spacing w:val="-7"/>
                <w:sz w:val="20"/>
              </w:rPr>
              <w:t> </w:t>
            </w:r>
            <w:r>
              <w:rPr>
                <w:sz w:val="20"/>
              </w:rPr>
              <w:t>S29.0,</w:t>
            </w:r>
            <w:r>
              <w:rPr>
                <w:spacing w:val="-7"/>
                <w:sz w:val="20"/>
              </w:rPr>
              <w:t> </w:t>
            </w:r>
            <w:r>
              <w:rPr>
                <w:sz w:val="20"/>
              </w:rPr>
              <w:t>S39.0,</w:t>
            </w:r>
            <w:r>
              <w:rPr>
                <w:spacing w:val="-9"/>
                <w:sz w:val="20"/>
              </w:rPr>
              <w:t> </w:t>
            </w:r>
            <w:r>
              <w:rPr>
                <w:sz w:val="20"/>
              </w:rPr>
              <w:t>S42,</w:t>
            </w:r>
            <w:r>
              <w:rPr>
                <w:spacing w:val="-7"/>
                <w:sz w:val="20"/>
              </w:rPr>
              <w:t> </w:t>
            </w:r>
            <w:r>
              <w:rPr>
                <w:sz w:val="20"/>
              </w:rPr>
              <w:t>S42.0,</w:t>
            </w:r>
            <w:r>
              <w:rPr>
                <w:spacing w:val="-7"/>
                <w:sz w:val="20"/>
              </w:rPr>
              <w:t> </w:t>
            </w:r>
            <w:r>
              <w:rPr>
                <w:sz w:val="20"/>
              </w:rPr>
              <w:t>S42.00, S42.01, S42.1, S42.10, S42.11, S42.2, S42.20, S42.21, S42.3, S42.30, S42.31, S42.4, S42.40, S42.41, S42.8, S42.80, S42.81, S42.9, S42.90, S42.91, S43, S43.0, S43.1, S43.2, S43.3, S43.4,</w:t>
            </w:r>
          </w:p>
          <w:p>
            <w:pPr>
              <w:pStyle w:val="TableParagraph"/>
              <w:ind w:left="201" w:right="917"/>
              <w:jc w:val="center"/>
              <w:rPr>
                <w:sz w:val="20"/>
              </w:rPr>
            </w:pPr>
            <w:r>
              <w:rPr>
                <w:sz w:val="20"/>
              </w:rPr>
              <w:t>S43.5,</w:t>
            </w:r>
            <w:r>
              <w:rPr>
                <w:spacing w:val="-6"/>
                <w:sz w:val="20"/>
              </w:rPr>
              <w:t> </w:t>
            </w:r>
            <w:r>
              <w:rPr>
                <w:sz w:val="20"/>
              </w:rPr>
              <w:t>S43.6,</w:t>
            </w:r>
            <w:r>
              <w:rPr>
                <w:spacing w:val="-6"/>
                <w:sz w:val="20"/>
              </w:rPr>
              <w:t> </w:t>
            </w:r>
            <w:r>
              <w:rPr>
                <w:sz w:val="20"/>
              </w:rPr>
              <w:t>S43.7,</w:t>
            </w:r>
            <w:r>
              <w:rPr>
                <w:spacing w:val="-5"/>
                <w:sz w:val="20"/>
              </w:rPr>
              <w:t> </w:t>
            </w:r>
            <w:r>
              <w:rPr>
                <w:sz w:val="20"/>
              </w:rPr>
              <w:t>S46,</w:t>
            </w:r>
            <w:r>
              <w:rPr>
                <w:spacing w:val="-6"/>
                <w:sz w:val="20"/>
              </w:rPr>
              <w:t> </w:t>
            </w:r>
            <w:r>
              <w:rPr>
                <w:sz w:val="20"/>
              </w:rPr>
              <w:t>S46.0,</w:t>
            </w:r>
            <w:r>
              <w:rPr>
                <w:spacing w:val="-5"/>
                <w:sz w:val="20"/>
              </w:rPr>
              <w:t> </w:t>
            </w:r>
            <w:r>
              <w:rPr>
                <w:sz w:val="20"/>
              </w:rPr>
              <w:t>S46.1,</w:t>
            </w:r>
            <w:r>
              <w:rPr>
                <w:spacing w:val="-6"/>
                <w:sz w:val="20"/>
              </w:rPr>
              <w:t> </w:t>
            </w:r>
            <w:r>
              <w:rPr>
                <w:spacing w:val="-2"/>
                <w:sz w:val="20"/>
              </w:rPr>
              <w:t>S46.2,</w:t>
            </w:r>
          </w:p>
          <w:p>
            <w:pPr>
              <w:pStyle w:val="TableParagraph"/>
              <w:ind w:left="201" w:right="919"/>
              <w:jc w:val="center"/>
              <w:rPr>
                <w:sz w:val="20"/>
              </w:rPr>
            </w:pPr>
            <w:r>
              <w:rPr>
                <w:sz w:val="20"/>
              </w:rPr>
              <w:t>S46.3, S46.7, S46.8, S46.9, S52, S52.0, S52.00, S52.01, S52.1, S52.10, S52.11, S52.2, S52.20, S52.21, S52.3, S52.30, S52.31, S52.4, S52.40, S52.41, S52.5, S52.50, S52.51, S52.6, S52.60, S52.61, S52.7, S52.70, S52.71, S52.8, S52.80, S52.81,</w:t>
            </w:r>
            <w:r>
              <w:rPr>
                <w:spacing w:val="-7"/>
                <w:sz w:val="20"/>
              </w:rPr>
              <w:t> </w:t>
            </w:r>
            <w:r>
              <w:rPr>
                <w:sz w:val="20"/>
              </w:rPr>
              <w:t>S52.9,</w:t>
            </w:r>
            <w:r>
              <w:rPr>
                <w:spacing w:val="-9"/>
                <w:sz w:val="20"/>
              </w:rPr>
              <w:t> </w:t>
            </w:r>
            <w:r>
              <w:rPr>
                <w:sz w:val="20"/>
              </w:rPr>
              <w:t>S52.90,</w:t>
            </w:r>
            <w:r>
              <w:rPr>
                <w:spacing w:val="-7"/>
                <w:sz w:val="20"/>
              </w:rPr>
              <w:t> </w:t>
            </w:r>
            <w:r>
              <w:rPr>
                <w:sz w:val="20"/>
              </w:rPr>
              <w:t>S52.91,</w:t>
            </w:r>
            <w:r>
              <w:rPr>
                <w:spacing w:val="-7"/>
                <w:sz w:val="20"/>
              </w:rPr>
              <w:t> </w:t>
            </w:r>
            <w:r>
              <w:rPr>
                <w:sz w:val="20"/>
              </w:rPr>
              <w:t>S53,</w:t>
            </w:r>
            <w:r>
              <w:rPr>
                <w:spacing w:val="-7"/>
                <w:sz w:val="20"/>
              </w:rPr>
              <w:t> </w:t>
            </w:r>
            <w:r>
              <w:rPr>
                <w:sz w:val="20"/>
              </w:rPr>
              <w:t>S53.0,</w:t>
            </w:r>
            <w:r>
              <w:rPr>
                <w:spacing w:val="-7"/>
                <w:sz w:val="20"/>
              </w:rPr>
              <w:t> </w:t>
            </w:r>
            <w:r>
              <w:rPr>
                <w:sz w:val="20"/>
              </w:rPr>
              <w:t>S53.1,</w:t>
            </w:r>
          </w:p>
          <w:p>
            <w:pPr>
              <w:pStyle w:val="TableParagraph"/>
              <w:spacing w:line="229" w:lineRule="exact"/>
              <w:ind w:left="201" w:right="917"/>
              <w:jc w:val="center"/>
              <w:rPr>
                <w:sz w:val="20"/>
              </w:rPr>
            </w:pPr>
            <w:r>
              <w:rPr>
                <w:sz w:val="20"/>
              </w:rPr>
              <w:t>S53.2,</w:t>
            </w:r>
            <w:r>
              <w:rPr>
                <w:spacing w:val="-6"/>
                <w:sz w:val="20"/>
              </w:rPr>
              <w:t> </w:t>
            </w:r>
            <w:r>
              <w:rPr>
                <w:sz w:val="20"/>
              </w:rPr>
              <w:t>S53.3,</w:t>
            </w:r>
            <w:r>
              <w:rPr>
                <w:spacing w:val="-6"/>
                <w:sz w:val="20"/>
              </w:rPr>
              <w:t> </w:t>
            </w:r>
            <w:r>
              <w:rPr>
                <w:sz w:val="20"/>
              </w:rPr>
              <w:t>S53.4,</w:t>
            </w:r>
            <w:r>
              <w:rPr>
                <w:spacing w:val="-5"/>
                <w:sz w:val="20"/>
              </w:rPr>
              <w:t> </w:t>
            </w:r>
            <w:r>
              <w:rPr>
                <w:sz w:val="20"/>
              </w:rPr>
              <w:t>S56,</w:t>
            </w:r>
            <w:r>
              <w:rPr>
                <w:spacing w:val="-6"/>
                <w:sz w:val="20"/>
              </w:rPr>
              <w:t> </w:t>
            </w:r>
            <w:r>
              <w:rPr>
                <w:sz w:val="20"/>
              </w:rPr>
              <w:t>S56.0,</w:t>
            </w:r>
            <w:r>
              <w:rPr>
                <w:spacing w:val="-5"/>
                <w:sz w:val="20"/>
              </w:rPr>
              <w:t> </w:t>
            </w:r>
            <w:r>
              <w:rPr>
                <w:sz w:val="20"/>
              </w:rPr>
              <w:t>S56.1,</w:t>
            </w:r>
            <w:r>
              <w:rPr>
                <w:spacing w:val="-6"/>
                <w:sz w:val="20"/>
              </w:rPr>
              <w:t> </w:t>
            </w:r>
            <w:r>
              <w:rPr>
                <w:spacing w:val="-2"/>
                <w:sz w:val="20"/>
              </w:rPr>
              <w:t>S56.2,</w:t>
            </w:r>
          </w:p>
          <w:p>
            <w:pPr>
              <w:pStyle w:val="TableParagraph"/>
              <w:ind w:left="250" w:right="968" w:firstLine="100"/>
              <w:jc w:val="both"/>
              <w:rPr>
                <w:sz w:val="20"/>
              </w:rPr>
            </w:pPr>
            <w:r>
              <w:rPr>
                <w:sz w:val="20"/>
              </w:rPr>
              <w:t>S56.3, S56.4, S56.5, S56.7, S56.8, S62, S62.0, S62.00, S62.01, S62.1, S62.10, S62.11, S62.2, S62.20, S62.21, S62.3, S62.30, S62.31, S62.4, S62.40, S62.41, S62.5, S62.50, S62.51, S62.6, S62.60, S62.61, S62.7, S62.70, S62.71, S62.8, S62.80,</w:t>
            </w:r>
            <w:r>
              <w:rPr>
                <w:spacing w:val="-5"/>
                <w:sz w:val="20"/>
              </w:rPr>
              <w:t> </w:t>
            </w:r>
            <w:r>
              <w:rPr>
                <w:sz w:val="20"/>
              </w:rPr>
              <w:t>S62.81,</w:t>
            </w:r>
            <w:r>
              <w:rPr>
                <w:spacing w:val="-5"/>
                <w:sz w:val="20"/>
              </w:rPr>
              <w:t> </w:t>
            </w:r>
            <w:r>
              <w:rPr>
                <w:sz w:val="20"/>
              </w:rPr>
              <w:t>S63,</w:t>
            </w:r>
            <w:r>
              <w:rPr>
                <w:spacing w:val="-7"/>
                <w:sz w:val="20"/>
              </w:rPr>
              <w:t> </w:t>
            </w:r>
            <w:r>
              <w:rPr>
                <w:sz w:val="20"/>
              </w:rPr>
              <w:t>S63.0,</w:t>
            </w:r>
            <w:r>
              <w:rPr>
                <w:spacing w:val="-4"/>
                <w:sz w:val="20"/>
              </w:rPr>
              <w:t> </w:t>
            </w:r>
            <w:r>
              <w:rPr>
                <w:sz w:val="20"/>
              </w:rPr>
              <w:t>S63.1,</w:t>
            </w:r>
            <w:r>
              <w:rPr>
                <w:spacing w:val="-5"/>
                <w:sz w:val="20"/>
              </w:rPr>
              <w:t> </w:t>
            </w:r>
            <w:r>
              <w:rPr>
                <w:sz w:val="20"/>
              </w:rPr>
              <w:t>S63.2,</w:t>
            </w:r>
            <w:r>
              <w:rPr>
                <w:spacing w:val="-7"/>
                <w:sz w:val="20"/>
              </w:rPr>
              <w:t> </w:t>
            </w:r>
            <w:r>
              <w:rPr>
                <w:spacing w:val="-2"/>
                <w:sz w:val="20"/>
              </w:rPr>
              <w:t>S63.3,</w:t>
            </w:r>
          </w:p>
          <w:p>
            <w:pPr>
              <w:pStyle w:val="TableParagraph"/>
              <w:ind w:left="351"/>
              <w:jc w:val="both"/>
              <w:rPr>
                <w:sz w:val="20"/>
              </w:rPr>
            </w:pPr>
            <w:r>
              <w:rPr>
                <w:sz w:val="20"/>
              </w:rPr>
              <w:t>S63.4,</w:t>
            </w:r>
            <w:r>
              <w:rPr>
                <w:spacing w:val="-6"/>
                <w:sz w:val="20"/>
              </w:rPr>
              <w:t> </w:t>
            </w:r>
            <w:r>
              <w:rPr>
                <w:sz w:val="20"/>
              </w:rPr>
              <w:t>S63.5,</w:t>
            </w:r>
            <w:r>
              <w:rPr>
                <w:spacing w:val="-5"/>
                <w:sz w:val="20"/>
              </w:rPr>
              <w:t> </w:t>
            </w:r>
            <w:r>
              <w:rPr>
                <w:sz w:val="20"/>
              </w:rPr>
              <w:t>S63.6,</w:t>
            </w:r>
            <w:r>
              <w:rPr>
                <w:spacing w:val="-5"/>
                <w:sz w:val="20"/>
              </w:rPr>
              <w:t> </w:t>
            </w:r>
            <w:r>
              <w:rPr>
                <w:sz w:val="20"/>
              </w:rPr>
              <w:t>S63.7,</w:t>
            </w:r>
            <w:r>
              <w:rPr>
                <w:spacing w:val="-7"/>
                <w:sz w:val="20"/>
              </w:rPr>
              <w:t> </w:t>
            </w:r>
            <w:r>
              <w:rPr>
                <w:sz w:val="20"/>
              </w:rPr>
              <w:t>S66,</w:t>
            </w:r>
            <w:r>
              <w:rPr>
                <w:spacing w:val="-5"/>
                <w:sz w:val="20"/>
              </w:rPr>
              <w:t> </w:t>
            </w:r>
            <w:r>
              <w:rPr>
                <w:sz w:val="20"/>
              </w:rPr>
              <w:t>S66.0,</w:t>
            </w:r>
            <w:r>
              <w:rPr>
                <w:spacing w:val="-5"/>
                <w:sz w:val="20"/>
              </w:rPr>
              <w:t> </w:t>
            </w:r>
            <w:r>
              <w:rPr>
                <w:spacing w:val="-2"/>
                <w:sz w:val="20"/>
              </w:rPr>
              <w:t>S66.1,</w:t>
            </w:r>
          </w:p>
          <w:p>
            <w:pPr>
              <w:pStyle w:val="TableParagraph"/>
              <w:ind w:left="277"/>
              <w:jc w:val="both"/>
              <w:rPr>
                <w:sz w:val="20"/>
              </w:rPr>
            </w:pPr>
            <w:r>
              <w:rPr>
                <w:sz w:val="20"/>
              </w:rPr>
              <w:t>S66.2,</w:t>
            </w:r>
            <w:r>
              <w:rPr>
                <w:spacing w:val="-6"/>
                <w:sz w:val="20"/>
              </w:rPr>
              <w:t> </w:t>
            </w:r>
            <w:r>
              <w:rPr>
                <w:sz w:val="20"/>
              </w:rPr>
              <w:t>S66.3,</w:t>
            </w:r>
            <w:r>
              <w:rPr>
                <w:spacing w:val="-5"/>
                <w:sz w:val="20"/>
              </w:rPr>
              <w:t> </w:t>
            </w:r>
            <w:r>
              <w:rPr>
                <w:sz w:val="20"/>
              </w:rPr>
              <w:t>S66.4,</w:t>
            </w:r>
            <w:r>
              <w:rPr>
                <w:spacing w:val="-5"/>
                <w:sz w:val="20"/>
              </w:rPr>
              <w:t> </w:t>
            </w:r>
            <w:r>
              <w:rPr>
                <w:sz w:val="20"/>
              </w:rPr>
              <w:t>S66.5,</w:t>
            </w:r>
            <w:r>
              <w:rPr>
                <w:spacing w:val="-7"/>
                <w:sz w:val="20"/>
              </w:rPr>
              <w:t> </w:t>
            </w:r>
            <w:r>
              <w:rPr>
                <w:sz w:val="20"/>
              </w:rPr>
              <w:t>S66.6,</w:t>
            </w:r>
            <w:r>
              <w:rPr>
                <w:spacing w:val="-5"/>
                <w:sz w:val="20"/>
              </w:rPr>
              <w:t> </w:t>
            </w:r>
            <w:r>
              <w:rPr>
                <w:sz w:val="20"/>
              </w:rPr>
              <w:t>S66.7,</w:t>
            </w:r>
            <w:r>
              <w:rPr>
                <w:spacing w:val="-5"/>
                <w:sz w:val="20"/>
              </w:rPr>
              <w:t> </w:t>
            </w:r>
            <w:r>
              <w:rPr>
                <w:spacing w:val="-2"/>
                <w:sz w:val="20"/>
              </w:rPr>
              <w:t>S66.8,</w:t>
            </w:r>
          </w:p>
          <w:p>
            <w:pPr>
              <w:pStyle w:val="TableParagraph"/>
              <w:ind w:left="201" w:right="919"/>
              <w:jc w:val="center"/>
              <w:rPr>
                <w:sz w:val="20"/>
              </w:rPr>
            </w:pPr>
            <w:r>
              <w:rPr>
                <w:sz w:val="20"/>
              </w:rPr>
              <w:t>S66.9,</w:t>
            </w:r>
            <w:r>
              <w:rPr>
                <w:spacing w:val="-7"/>
                <w:sz w:val="20"/>
              </w:rPr>
              <w:t> </w:t>
            </w:r>
            <w:r>
              <w:rPr>
                <w:sz w:val="20"/>
              </w:rPr>
              <w:t>S92,</w:t>
            </w:r>
            <w:r>
              <w:rPr>
                <w:spacing w:val="-7"/>
                <w:sz w:val="20"/>
              </w:rPr>
              <w:t> </w:t>
            </w:r>
            <w:r>
              <w:rPr>
                <w:sz w:val="20"/>
              </w:rPr>
              <w:t>S92.0,</w:t>
            </w:r>
            <w:r>
              <w:rPr>
                <w:spacing w:val="-7"/>
                <w:sz w:val="20"/>
              </w:rPr>
              <w:t> </w:t>
            </w:r>
            <w:r>
              <w:rPr>
                <w:sz w:val="20"/>
              </w:rPr>
              <w:t>S92.00,</w:t>
            </w:r>
            <w:r>
              <w:rPr>
                <w:spacing w:val="-7"/>
                <w:sz w:val="20"/>
              </w:rPr>
              <w:t> </w:t>
            </w:r>
            <w:r>
              <w:rPr>
                <w:sz w:val="20"/>
              </w:rPr>
              <w:t>S92.01,</w:t>
            </w:r>
            <w:r>
              <w:rPr>
                <w:spacing w:val="-7"/>
                <w:sz w:val="20"/>
              </w:rPr>
              <w:t> </w:t>
            </w:r>
            <w:r>
              <w:rPr>
                <w:sz w:val="20"/>
              </w:rPr>
              <w:t>S92.1,</w:t>
            </w:r>
            <w:r>
              <w:rPr>
                <w:spacing w:val="-9"/>
                <w:sz w:val="20"/>
              </w:rPr>
              <w:t> </w:t>
            </w:r>
            <w:r>
              <w:rPr>
                <w:sz w:val="20"/>
              </w:rPr>
              <w:t>S92.10, S92.11, S92.2, S92.20, S92.21, S92.3, S92.30, S92.31, S92.4, S92.40, S92.41, S92.5, S92.50, S92.51, S92.9, S92.90, S92.91, S93.1, S93.3,</w:t>
            </w:r>
          </w:p>
          <w:p>
            <w:pPr>
              <w:pStyle w:val="TableParagraph"/>
              <w:ind w:left="201" w:right="915"/>
              <w:jc w:val="center"/>
              <w:rPr>
                <w:sz w:val="20"/>
              </w:rPr>
            </w:pPr>
            <w:r>
              <w:rPr>
                <w:sz w:val="20"/>
              </w:rPr>
              <w:t>S93.5,</w:t>
            </w:r>
            <w:r>
              <w:rPr>
                <w:spacing w:val="-4"/>
                <w:sz w:val="20"/>
              </w:rPr>
              <w:t> </w:t>
            </w:r>
            <w:r>
              <w:rPr>
                <w:sz w:val="20"/>
              </w:rPr>
              <w:t>S93.6,</w:t>
            </w:r>
            <w:r>
              <w:rPr>
                <w:spacing w:val="-6"/>
                <w:sz w:val="20"/>
              </w:rPr>
              <w:t> </w:t>
            </w:r>
            <w:r>
              <w:rPr>
                <w:sz w:val="20"/>
              </w:rPr>
              <w:t>T09.2,</w:t>
            </w:r>
            <w:r>
              <w:rPr>
                <w:spacing w:val="-5"/>
                <w:sz w:val="20"/>
              </w:rPr>
              <w:t> </w:t>
            </w:r>
            <w:r>
              <w:rPr>
                <w:sz w:val="20"/>
              </w:rPr>
              <w:t>T09.5,</w:t>
            </w:r>
            <w:r>
              <w:rPr>
                <w:spacing w:val="-6"/>
                <w:sz w:val="20"/>
              </w:rPr>
              <w:t> </w:t>
            </w:r>
            <w:r>
              <w:rPr>
                <w:sz w:val="20"/>
              </w:rPr>
              <w:t>T10,</w:t>
            </w:r>
            <w:r>
              <w:rPr>
                <w:spacing w:val="-6"/>
                <w:sz w:val="20"/>
              </w:rPr>
              <w:t> </w:t>
            </w:r>
            <w:r>
              <w:rPr>
                <w:sz w:val="20"/>
              </w:rPr>
              <w:t>T10.0,</w:t>
            </w:r>
            <w:r>
              <w:rPr>
                <w:spacing w:val="-7"/>
                <w:sz w:val="20"/>
              </w:rPr>
              <w:t> </w:t>
            </w:r>
            <w:r>
              <w:rPr>
                <w:spacing w:val="-2"/>
                <w:sz w:val="20"/>
              </w:rPr>
              <w:t>T10.1,</w:t>
            </w:r>
          </w:p>
          <w:p>
            <w:pPr>
              <w:pStyle w:val="TableParagraph"/>
              <w:spacing w:line="230" w:lineRule="atLeast"/>
              <w:ind w:left="201" w:right="915"/>
              <w:jc w:val="center"/>
              <w:rPr>
                <w:sz w:val="20"/>
              </w:rPr>
            </w:pPr>
            <w:r>
              <w:rPr>
                <w:sz w:val="20"/>
              </w:rPr>
              <w:t>T11.2,</w:t>
            </w:r>
            <w:r>
              <w:rPr>
                <w:spacing w:val="-9"/>
                <w:sz w:val="20"/>
              </w:rPr>
              <w:t> </w:t>
            </w:r>
            <w:r>
              <w:rPr>
                <w:sz w:val="20"/>
              </w:rPr>
              <w:t>T11.5,</w:t>
            </w:r>
            <w:r>
              <w:rPr>
                <w:spacing w:val="-7"/>
                <w:sz w:val="20"/>
              </w:rPr>
              <w:t> </w:t>
            </w:r>
            <w:r>
              <w:rPr>
                <w:sz w:val="20"/>
              </w:rPr>
              <w:t>T12,</w:t>
            </w:r>
            <w:r>
              <w:rPr>
                <w:spacing w:val="-7"/>
                <w:sz w:val="20"/>
              </w:rPr>
              <w:t> </w:t>
            </w:r>
            <w:r>
              <w:rPr>
                <w:sz w:val="20"/>
              </w:rPr>
              <w:t>T12.0,</w:t>
            </w:r>
            <w:r>
              <w:rPr>
                <w:spacing w:val="-7"/>
                <w:sz w:val="20"/>
              </w:rPr>
              <w:t> </w:t>
            </w:r>
            <w:r>
              <w:rPr>
                <w:sz w:val="20"/>
              </w:rPr>
              <w:t>T12.1,</w:t>
            </w:r>
            <w:r>
              <w:rPr>
                <w:spacing w:val="-7"/>
                <w:sz w:val="20"/>
              </w:rPr>
              <w:t> </w:t>
            </w:r>
            <w:r>
              <w:rPr>
                <w:sz w:val="20"/>
              </w:rPr>
              <w:t>T13.2,</w:t>
            </w:r>
            <w:r>
              <w:rPr>
                <w:spacing w:val="-7"/>
                <w:sz w:val="20"/>
              </w:rPr>
              <w:t> </w:t>
            </w:r>
            <w:r>
              <w:rPr>
                <w:sz w:val="20"/>
              </w:rPr>
              <w:t>T13.5, T14.2, T14.20, T14.21, T14.3, T14.6</w:t>
            </w:r>
          </w:p>
        </w:tc>
        <w:tc>
          <w:tcPr>
            <w:tcW w:w="2386" w:type="dxa"/>
          </w:tcPr>
          <w:p>
            <w:pPr>
              <w:pStyle w:val="TableParagraph"/>
              <w:spacing w:line="221" w:lineRule="exact"/>
              <w:ind w:right="479"/>
              <w:jc w:val="center"/>
              <w:rPr>
                <w:sz w:val="20"/>
              </w:rPr>
            </w:pPr>
            <w:r>
              <w:rPr>
                <w:w w:val="99"/>
                <w:sz w:val="20"/>
              </w:rPr>
              <w:t>-</w:t>
            </w:r>
          </w:p>
        </w:tc>
        <w:tc>
          <w:tcPr>
            <w:tcW w:w="2326" w:type="dxa"/>
          </w:tcPr>
          <w:p>
            <w:pPr>
              <w:pStyle w:val="TableParagraph"/>
              <w:spacing w:line="221" w:lineRule="exact"/>
              <w:ind w:left="539"/>
              <w:jc w:val="center"/>
              <w:rPr>
                <w:sz w:val="20"/>
              </w:rPr>
            </w:pPr>
            <w:r>
              <w:rPr>
                <w:w w:val="99"/>
                <w:sz w:val="20"/>
              </w:rPr>
              <w:t>-</w:t>
            </w:r>
          </w:p>
        </w:tc>
        <w:tc>
          <w:tcPr>
            <w:tcW w:w="1261" w:type="dxa"/>
          </w:tcPr>
          <w:p>
            <w:pPr>
              <w:pStyle w:val="TableParagraph"/>
              <w:spacing w:line="221" w:lineRule="exact"/>
              <w:ind w:right="48"/>
              <w:jc w:val="right"/>
              <w:rPr>
                <w:sz w:val="20"/>
              </w:rPr>
            </w:pPr>
            <w:r>
              <w:rPr>
                <w:spacing w:val="-4"/>
                <w:sz w:val="20"/>
              </w:rPr>
              <w:t>0,56</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95"/>
        <w:gridCol w:w="5169"/>
        <w:gridCol w:w="2071"/>
        <w:gridCol w:w="2922"/>
        <w:gridCol w:w="962"/>
      </w:tblGrid>
      <w:tr>
        <w:trPr>
          <w:trHeight w:val="2114" w:hRule="atLeast"/>
        </w:trPr>
        <w:tc>
          <w:tcPr>
            <w:tcW w:w="946" w:type="dxa"/>
          </w:tcPr>
          <w:p>
            <w:pPr>
              <w:pStyle w:val="TableParagraph"/>
              <w:spacing w:line="221" w:lineRule="exact"/>
              <w:ind w:left="50"/>
              <w:rPr>
                <w:sz w:val="20"/>
              </w:rPr>
            </w:pPr>
            <w:r>
              <w:rPr>
                <w:spacing w:val="-2"/>
                <w:sz w:val="20"/>
              </w:rPr>
              <w:t>st29.005</w:t>
            </w:r>
          </w:p>
        </w:tc>
        <w:tc>
          <w:tcPr>
            <w:tcW w:w="707" w:type="dxa"/>
          </w:tcPr>
          <w:p>
            <w:pPr>
              <w:pStyle w:val="TableParagraph"/>
              <w:spacing w:line="221" w:lineRule="exact"/>
              <w:ind w:left="210"/>
              <w:rPr>
                <w:sz w:val="20"/>
              </w:rPr>
            </w:pPr>
            <w:r>
              <w:rPr>
                <w:spacing w:val="-5"/>
                <w:sz w:val="20"/>
              </w:rPr>
              <w:t>273</w:t>
            </w:r>
          </w:p>
        </w:tc>
        <w:tc>
          <w:tcPr>
            <w:tcW w:w="2495" w:type="dxa"/>
          </w:tcPr>
          <w:p>
            <w:pPr>
              <w:pStyle w:val="TableParagraph"/>
              <w:ind w:left="192" w:right="589"/>
              <w:jc w:val="both"/>
              <w:rPr>
                <w:sz w:val="20"/>
              </w:rPr>
            </w:pPr>
            <w:r>
              <w:rPr>
                <w:sz w:val="20"/>
              </w:rPr>
              <w:t>Переломы, вывихи, растяжения</w:t>
            </w:r>
            <w:r>
              <w:rPr>
                <w:spacing w:val="-13"/>
                <w:sz w:val="20"/>
              </w:rPr>
              <w:t> </w:t>
            </w:r>
            <w:r>
              <w:rPr>
                <w:sz w:val="20"/>
              </w:rPr>
              <w:t>области колена и голени</w:t>
            </w:r>
          </w:p>
        </w:tc>
        <w:tc>
          <w:tcPr>
            <w:tcW w:w="5169" w:type="dxa"/>
          </w:tcPr>
          <w:p>
            <w:pPr>
              <w:pStyle w:val="TableParagraph"/>
              <w:ind w:left="208" w:right="934" w:firstLine="4"/>
              <w:jc w:val="center"/>
              <w:rPr>
                <w:sz w:val="20"/>
              </w:rPr>
            </w:pPr>
            <w:r>
              <w:rPr>
                <w:sz w:val="20"/>
              </w:rPr>
              <w:t>S82, S82.0, S82.00, S82.01, S82.1, S82.10, S82.11, S82.2, S82.20, S82.21, S82.3, S82.30, S82.31, S82.4, S82.40, S82.41, S82.5, S82.50, S82.51, S82.6, S82.60, S82.61, S82.8, S82.80, S82.81,</w:t>
            </w:r>
            <w:r>
              <w:rPr>
                <w:spacing w:val="-7"/>
                <w:sz w:val="20"/>
              </w:rPr>
              <w:t> </w:t>
            </w:r>
            <w:r>
              <w:rPr>
                <w:sz w:val="20"/>
              </w:rPr>
              <w:t>S82.9,</w:t>
            </w:r>
            <w:r>
              <w:rPr>
                <w:spacing w:val="-9"/>
                <w:sz w:val="20"/>
              </w:rPr>
              <w:t> </w:t>
            </w:r>
            <w:r>
              <w:rPr>
                <w:sz w:val="20"/>
              </w:rPr>
              <w:t>S82.90,</w:t>
            </w:r>
            <w:r>
              <w:rPr>
                <w:spacing w:val="-7"/>
                <w:sz w:val="20"/>
              </w:rPr>
              <w:t> </w:t>
            </w:r>
            <w:r>
              <w:rPr>
                <w:sz w:val="20"/>
              </w:rPr>
              <w:t>S82.91,</w:t>
            </w:r>
            <w:r>
              <w:rPr>
                <w:spacing w:val="-7"/>
                <w:sz w:val="20"/>
              </w:rPr>
              <w:t> </w:t>
            </w:r>
            <w:r>
              <w:rPr>
                <w:sz w:val="20"/>
              </w:rPr>
              <w:t>S83,</w:t>
            </w:r>
            <w:r>
              <w:rPr>
                <w:spacing w:val="-7"/>
                <w:sz w:val="20"/>
              </w:rPr>
              <w:t> </w:t>
            </w:r>
            <w:r>
              <w:rPr>
                <w:sz w:val="20"/>
              </w:rPr>
              <w:t>S83.0,</w:t>
            </w:r>
            <w:r>
              <w:rPr>
                <w:spacing w:val="-7"/>
                <w:sz w:val="20"/>
              </w:rPr>
              <w:t> </w:t>
            </w:r>
            <w:r>
              <w:rPr>
                <w:sz w:val="20"/>
              </w:rPr>
              <w:t>S83.1,</w:t>
            </w:r>
          </w:p>
          <w:p>
            <w:pPr>
              <w:pStyle w:val="TableParagraph"/>
              <w:spacing w:line="230" w:lineRule="exact"/>
              <w:ind w:left="233" w:right="957"/>
              <w:jc w:val="center"/>
              <w:rPr>
                <w:sz w:val="20"/>
              </w:rPr>
            </w:pPr>
            <w:r>
              <w:rPr>
                <w:sz w:val="20"/>
              </w:rPr>
              <w:t>S83.2,</w:t>
            </w:r>
            <w:r>
              <w:rPr>
                <w:spacing w:val="-6"/>
                <w:sz w:val="20"/>
              </w:rPr>
              <w:t> </w:t>
            </w:r>
            <w:r>
              <w:rPr>
                <w:sz w:val="20"/>
              </w:rPr>
              <w:t>S83.3,</w:t>
            </w:r>
            <w:r>
              <w:rPr>
                <w:spacing w:val="-5"/>
                <w:sz w:val="20"/>
              </w:rPr>
              <w:t> </w:t>
            </w:r>
            <w:r>
              <w:rPr>
                <w:sz w:val="20"/>
              </w:rPr>
              <w:t>S83.4,</w:t>
            </w:r>
            <w:r>
              <w:rPr>
                <w:spacing w:val="-5"/>
                <w:sz w:val="20"/>
              </w:rPr>
              <w:t> </w:t>
            </w:r>
            <w:r>
              <w:rPr>
                <w:sz w:val="20"/>
              </w:rPr>
              <w:t>S83.5,</w:t>
            </w:r>
            <w:r>
              <w:rPr>
                <w:spacing w:val="-7"/>
                <w:sz w:val="20"/>
              </w:rPr>
              <w:t> </w:t>
            </w:r>
            <w:r>
              <w:rPr>
                <w:sz w:val="20"/>
              </w:rPr>
              <w:t>S83.6,</w:t>
            </w:r>
            <w:r>
              <w:rPr>
                <w:spacing w:val="-5"/>
                <w:sz w:val="20"/>
              </w:rPr>
              <w:t> </w:t>
            </w:r>
            <w:r>
              <w:rPr>
                <w:sz w:val="20"/>
              </w:rPr>
              <w:t>S83.7,</w:t>
            </w:r>
            <w:r>
              <w:rPr>
                <w:spacing w:val="-5"/>
                <w:sz w:val="20"/>
              </w:rPr>
              <w:t> </w:t>
            </w:r>
            <w:r>
              <w:rPr>
                <w:spacing w:val="-4"/>
                <w:sz w:val="20"/>
              </w:rPr>
              <w:t>S86,</w:t>
            </w:r>
          </w:p>
          <w:p>
            <w:pPr>
              <w:pStyle w:val="TableParagraph"/>
              <w:ind w:left="233" w:right="955"/>
              <w:jc w:val="center"/>
              <w:rPr>
                <w:sz w:val="20"/>
              </w:rPr>
            </w:pPr>
            <w:r>
              <w:rPr>
                <w:sz w:val="20"/>
              </w:rPr>
              <w:t>S86.0,</w:t>
            </w:r>
            <w:r>
              <w:rPr>
                <w:spacing w:val="-6"/>
                <w:sz w:val="20"/>
              </w:rPr>
              <w:t> </w:t>
            </w:r>
            <w:r>
              <w:rPr>
                <w:sz w:val="20"/>
              </w:rPr>
              <w:t>S86.1,</w:t>
            </w:r>
            <w:r>
              <w:rPr>
                <w:spacing w:val="-5"/>
                <w:sz w:val="20"/>
              </w:rPr>
              <w:t> </w:t>
            </w:r>
            <w:r>
              <w:rPr>
                <w:sz w:val="20"/>
              </w:rPr>
              <w:t>S86.2,</w:t>
            </w:r>
            <w:r>
              <w:rPr>
                <w:spacing w:val="-5"/>
                <w:sz w:val="20"/>
              </w:rPr>
              <w:t> </w:t>
            </w:r>
            <w:r>
              <w:rPr>
                <w:sz w:val="20"/>
              </w:rPr>
              <w:t>S86.3,</w:t>
            </w:r>
            <w:r>
              <w:rPr>
                <w:spacing w:val="-7"/>
                <w:sz w:val="20"/>
              </w:rPr>
              <w:t> </w:t>
            </w:r>
            <w:r>
              <w:rPr>
                <w:sz w:val="20"/>
              </w:rPr>
              <w:t>S86.7,</w:t>
            </w:r>
            <w:r>
              <w:rPr>
                <w:spacing w:val="-5"/>
                <w:sz w:val="20"/>
              </w:rPr>
              <w:t> </w:t>
            </w:r>
            <w:r>
              <w:rPr>
                <w:sz w:val="20"/>
              </w:rPr>
              <w:t>S86.8,</w:t>
            </w:r>
            <w:r>
              <w:rPr>
                <w:spacing w:val="-5"/>
                <w:sz w:val="20"/>
              </w:rPr>
              <w:t> </w:t>
            </w:r>
            <w:r>
              <w:rPr>
                <w:spacing w:val="-2"/>
                <w:sz w:val="20"/>
              </w:rPr>
              <w:t>S86.9,</w:t>
            </w:r>
          </w:p>
          <w:p>
            <w:pPr>
              <w:pStyle w:val="TableParagraph"/>
              <w:ind w:left="233" w:right="957"/>
              <w:jc w:val="center"/>
              <w:rPr>
                <w:sz w:val="20"/>
              </w:rPr>
            </w:pPr>
            <w:r>
              <w:rPr>
                <w:sz w:val="20"/>
              </w:rPr>
              <w:t>S93,</w:t>
            </w:r>
            <w:r>
              <w:rPr>
                <w:spacing w:val="-7"/>
                <w:sz w:val="20"/>
              </w:rPr>
              <w:t> </w:t>
            </w:r>
            <w:r>
              <w:rPr>
                <w:sz w:val="20"/>
              </w:rPr>
              <w:t>S93.0,</w:t>
            </w:r>
            <w:r>
              <w:rPr>
                <w:spacing w:val="-7"/>
                <w:sz w:val="20"/>
              </w:rPr>
              <w:t> </w:t>
            </w:r>
            <w:r>
              <w:rPr>
                <w:sz w:val="20"/>
              </w:rPr>
              <w:t>S93.2,</w:t>
            </w:r>
            <w:r>
              <w:rPr>
                <w:spacing w:val="-7"/>
                <w:sz w:val="20"/>
              </w:rPr>
              <w:t> </w:t>
            </w:r>
            <w:r>
              <w:rPr>
                <w:sz w:val="20"/>
              </w:rPr>
              <w:t>S93.4,</w:t>
            </w:r>
            <w:r>
              <w:rPr>
                <w:spacing w:val="-7"/>
                <w:sz w:val="20"/>
              </w:rPr>
              <w:t> </w:t>
            </w:r>
            <w:r>
              <w:rPr>
                <w:sz w:val="20"/>
              </w:rPr>
              <w:t>S96,</w:t>
            </w:r>
            <w:r>
              <w:rPr>
                <w:spacing w:val="-9"/>
                <w:sz w:val="20"/>
              </w:rPr>
              <w:t> </w:t>
            </w:r>
            <w:r>
              <w:rPr>
                <w:sz w:val="20"/>
              </w:rPr>
              <w:t>S96.0,</w:t>
            </w:r>
            <w:r>
              <w:rPr>
                <w:spacing w:val="-7"/>
                <w:sz w:val="20"/>
              </w:rPr>
              <w:t> </w:t>
            </w:r>
            <w:r>
              <w:rPr>
                <w:sz w:val="20"/>
              </w:rPr>
              <w:t>S96.1, S96.2, S96.7, S96.8, S96.9</w:t>
            </w:r>
          </w:p>
        </w:tc>
        <w:tc>
          <w:tcPr>
            <w:tcW w:w="2071" w:type="dxa"/>
          </w:tcPr>
          <w:p>
            <w:pPr>
              <w:pStyle w:val="TableParagraph"/>
              <w:spacing w:line="221" w:lineRule="exact"/>
              <w:ind w:left="903"/>
              <w:rPr>
                <w:sz w:val="20"/>
              </w:rPr>
            </w:pPr>
            <w:r>
              <w:rPr>
                <w:w w:val="99"/>
                <w:sz w:val="20"/>
              </w:rPr>
              <w:t>-</w:t>
            </w:r>
          </w:p>
        </w:tc>
        <w:tc>
          <w:tcPr>
            <w:tcW w:w="2922" w:type="dxa"/>
          </w:tcPr>
          <w:p>
            <w:pPr>
              <w:pStyle w:val="TableParagraph"/>
              <w:spacing w:line="221" w:lineRule="exact"/>
              <w:ind w:left="541"/>
              <w:jc w:val="center"/>
              <w:rPr>
                <w:sz w:val="20"/>
              </w:rPr>
            </w:pPr>
            <w:r>
              <w:rPr>
                <w:w w:val="99"/>
                <w:sz w:val="20"/>
              </w:rPr>
              <w:t>-</w:t>
            </w:r>
          </w:p>
        </w:tc>
        <w:tc>
          <w:tcPr>
            <w:tcW w:w="962" w:type="dxa"/>
          </w:tcPr>
          <w:p>
            <w:pPr>
              <w:pStyle w:val="TableParagraph"/>
              <w:spacing w:line="221" w:lineRule="exact"/>
              <w:ind w:right="46"/>
              <w:jc w:val="right"/>
              <w:rPr>
                <w:sz w:val="20"/>
              </w:rPr>
            </w:pPr>
            <w:r>
              <w:rPr>
                <w:spacing w:val="-4"/>
                <w:sz w:val="20"/>
              </w:rPr>
              <w:t>0,74</w:t>
            </w:r>
          </w:p>
        </w:tc>
      </w:tr>
      <w:tr>
        <w:trPr>
          <w:trHeight w:val="6485" w:hRule="atLeast"/>
        </w:trPr>
        <w:tc>
          <w:tcPr>
            <w:tcW w:w="946" w:type="dxa"/>
          </w:tcPr>
          <w:p>
            <w:pPr>
              <w:pStyle w:val="TableParagraph"/>
              <w:spacing w:before="46"/>
              <w:ind w:left="50"/>
              <w:rPr>
                <w:sz w:val="20"/>
              </w:rPr>
            </w:pPr>
            <w:r>
              <w:rPr>
                <w:spacing w:val="-2"/>
                <w:sz w:val="20"/>
              </w:rPr>
              <w:t>st29.006</w:t>
            </w:r>
          </w:p>
        </w:tc>
        <w:tc>
          <w:tcPr>
            <w:tcW w:w="707" w:type="dxa"/>
          </w:tcPr>
          <w:p>
            <w:pPr>
              <w:pStyle w:val="TableParagraph"/>
              <w:spacing w:before="46"/>
              <w:ind w:left="210"/>
              <w:rPr>
                <w:sz w:val="20"/>
              </w:rPr>
            </w:pPr>
            <w:r>
              <w:rPr>
                <w:spacing w:val="-5"/>
                <w:sz w:val="20"/>
              </w:rPr>
              <w:t>274</w:t>
            </w:r>
          </w:p>
        </w:tc>
        <w:tc>
          <w:tcPr>
            <w:tcW w:w="2495" w:type="dxa"/>
          </w:tcPr>
          <w:p>
            <w:pPr>
              <w:pStyle w:val="TableParagraph"/>
              <w:spacing w:before="46"/>
              <w:ind w:left="192" w:right="170"/>
              <w:rPr>
                <w:sz w:val="20"/>
              </w:rPr>
            </w:pPr>
            <w:r>
              <w:rPr>
                <w:spacing w:val="-2"/>
                <w:sz w:val="20"/>
              </w:rPr>
              <w:t>Множественные переломы, травматические </w:t>
            </w:r>
            <w:r>
              <w:rPr>
                <w:sz w:val="20"/>
              </w:rPr>
              <w:t>ампутации,</w:t>
            </w:r>
            <w:r>
              <w:rPr>
                <w:spacing w:val="-13"/>
                <w:sz w:val="20"/>
              </w:rPr>
              <w:t> </w:t>
            </w:r>
            <w:r>
              <w:rPr>
                <w:sz w:val="20"/>
              </w:rPr>
              <w:t>размозжения и последствия травм</w:t>
            </w:r>
          </w:p>
        </w:tc>
        <w:tc>
          <w:tcPr>
            <w:tcW w:w="5169" w:type="dxa"/>
          </w:tcPr>
          <w:p>
            <w:pPr>
              <w:pStyle w:val="TableParagraph"/>
              <w:spacing w:before="46"/>
              <w:ind w:left="233" w:right="952"/>
              <w:jc w:val="center"/>
              <w:rPr>
                <w:sz w:val="20"/>
              </w:rPr>
            </w:pPr>
            <w:r>
              <w:rPr>
                <w:sz w:val="20"/>
              </w:rPr>
              <w:t>S07,</w:t>
            </w:r>
            <w:r>
              <w:rPr>
                <w:spacing w:val="-5"/>
                <w:sz w:val="20"/>
              </w:rPr>
              <w:t> </w:t>
            </w:r>
            <w:r>
              <w:rPr>
                <w:sz w:val="20"/>
              </w:rPr>
              <w:t>S07.0,</w:t>
            </w:r>
            <w:r>
              <w:rPr>
                <w:spacing w:val="-5"/>
                <w:sz w:val="20"/>
              </w:rPr>
              <w:t> </w:t>
            </w:r>
            <w:r>
              <w:rPr>
                <w:sz w:val="20"/>
              </w:rPr>
              <w:t>S07.1,</w:t>
            </w:r>
            <w:r>
              <w:rPr>
                <w:spacing w:val="-5"/>
                <w:sz w:val="20"/>
              </w:rPr>
              <w:t> </w:t>
            </w:r>
            <w:r>
              <w:rPr>
                <w:sz w:val="20"/>
              </w:rPr>
              <w:t>S07.8,</w:t>
            </w:r>
            <w:r>
              <w:rPr>
                <w:spacing w:val="-5"/>
                <w:sz w:val="20"/>
              </w:rPr>
              <w:t> </w:t>
            </w:r>
            <w:r>
              <w:rPr>
                <w:sz w:val="20"/>
              </w:rPr>
              <w:t>S07.9, S08,</w:t>
            </w:r>
            <w:r>
              <w:rPr>
                <w:spacing w:val="-5"/>
                <w:sz w:val="20"/>
              </w:rPr>
              <w:t> </w:t>
            </w:r>
            <w:r>
              <w:rPr>
                <w:spacing w:val="-2"/>
                <w:sz w:val="20"/>
              </w:rPr>
              <w:t>S08.0,</w:t>
            </w:r>
          </w:p>
          <w:p>
            <w:pPr>
              <w:pStyle w:val="TableParagraph"/>
              <w:ind w:left="233" w:right="957"/>
              <w:jc w:val="center"/>
              <w:rPr>
                <w:sz w:val="20"/>
              </w:rPr>
            </w:pPr>
            <w:r>
              <w:rPr>
                <w:sz w:val="20"/>
              </w:rPr>
              <w:t>S08.1,</w:t>
            </w:r>
            <w:r>
              <w:rPr>
                <w:spacing w:val="-6"/>
                <w:sz w:val="20"/>
              </w:rPr>
              <w:t> </w:t>
            </w:r>
            <w:r>
              <w:rPr>
                <w:sz w:val="20"/>
              </w:rPr>
              <w:t>S08.8,</w:t>
            </w:r>
            <w:r>
              <w:rPr>
                <w:spacing w:val="-5"/>
                <w:sz w:val="20"/>
              </w:rPr>
              <w:t> </w:t>
            </w:r>
            <w:r>
              <w:rPr>
                <w:sz w:val="20"/>
              </w:rPr>
              <w:t>S08.9,</w:t>
            </w:r>
            <w:r>
              <w:rPr>
                <w:spacing w:val="-5"/>
                <w:sz w:val="20"/>
              </w:rPr>
              <w:t> </w:t>
            </w:r>
            <w:r>
              <w:rPr>
                <w:sz w:val="20"/>
              </w:rPr>
              <w:t>S09.7,</w:t>
            </w:r>
            <w:r>
              <w:rPr>
                <w:spacing w:val="-7"/>
                <w:sz w:val="20"/>
              </w:rPr>
              <w:t> </w:t>
            </w:r>
            <w:r>
              <w:rPr>
                <w:sz w:val="20"/>
              </w:rPr>
              <w:t>S17,</w:t>
            </w:r>
            <w:r>
              <w:rPr>
                <w:spacing w:val="-5"/>
                <w:sz w:val="20"/>
              </w:rPr>
              <w:t> </w:t>
            </w:r>
            <w:r>
              <w:rPr>
                <w:sz w:val="20"/>
              </w:rPr>
              <w:t>S17.0,</w:t>
            </w:r>
            <w:r>
              <w:rPr>
                <w:spacing w:val="-5"/>
                <w:sz w:val="20"/>
              </w:rPr>
              <w:t> </w:t>
            </w:r>
            <w:r>
              <w:rPr>
                <w:spacing w:val="-2"/>
                <w:sz w:val="20"/>
              </w:rPr>
              <w:t>S17.8,</w:t>
            </w:r>
          </w:p>
          <w:p>
            <w:pPr>
              <w:pStyle w:val="TableParagraph"/>
              <w:spacing w:before="1"/>
              <w:ind w:left="233" w:right="953"/>
              <w:jc w:val="center"/>
              <w:rPr>
                <w:sz w:val="20"/>
              </w:rPr>
            </w:pPr>
            <w:r>
              <w:rPr>
                <w:sz w:val="20"/>
              </w:rPr>
              <w:t>S17.9,</w:t>
            </w:r>
            <w:r>
              <w:rPr>
                <w:spacing w:val="-7"/>
                <w:sz w:val="20"/>
              </w:rPr>
              <w:t> </w:t>
            </w:r>
            <w:r>
              <w:rPr>
                <w:sz w:val="20"/>
              </w:rPr>
              <w:t>S18,</w:t>
            </w:r>
            <w:r>
              <w:rPr>
                <w:spacing w:val="-7"/>
                <w:sz w:val="20"/>
              </w:rPr>
              <w:t> </w:t>
            </w:r>
            <w:r>
              <w:rPr>
                <w:sz w:val="20"/>
              </w:rPr>
              <w:t>S19.7,</w:t>
            </w:r>
            <w:r>
              <w:rPr>
                <w:spacing w:val="-7"/>
                <w:sz w:val="20"/>
              </w:rPr>
              <w:t> </w:t>
            </w:r>
            <w:r>
              <w:rPr>
                <w:sz w:val="20"/>
              </w:rPr>
              <w:t>S22.1,</w:t>
            </w:r>
            <w:r>
              <w:rPr>
                <w:spacing w:val="-7"/>
                <w:sz w:val="20"/>
              </w:rPr>
              <w:t> </w:t>
            </w:r>
            <w:r>
              <w:rPr>
                <w:sz w:val="20"/>
              </w:rPr>
              <w:t>S22.10,</w:t>
            </w:r>
            <w:r>
              <w:rPr>
                <w:spacing w:val="-7"/>
                <w:sz w:val="20"/>
              </w:rPr>
              <w:t> </w:t>
            </w:r>
            <w:r>
              <w:rPr>
                <w:sz w:val="20"/>
              </w:rPr>
              <w:t>S22.11,</w:t>
            </w:r>
            <w:r>
              <w:rPr>
                <w:spacing w:val="-7"/>
                <w:sz w:val="20"/>
              </w:rPr>
              <w:t> </w:t>
            </w:r>
            <w:r>
              <w:rPr>
                <w:sz w:val="20"/>
              </w:rPr>
              <w:t>S22.4, S22.40, S22.41, S27.7, S27.70, S27.71, S28, S28.0,</w:t>
            </w:r>
            <w:r>
              <w:rPr>
                <w:spacing w:val="-6"/>
                <w:sz w:val="20"/>
              </w:rPr>
              <w:t> </w:t>
            </w:r>
            <w:r>
              <w:rPr>
                <w:sz w:val="20"/>
              </w:rPr>
              <w:t>S28.1,</w:t>
            </w:r>
            <w:r>
              <w:rPr>
                <w:spacing w:val="-5"/>
                <w:sz w:val="20"/>
              </w:rPr>
              <w:t> </w:t>
            </w:r>
            <w:r>
              <w:rPr>
                <w:sz w:val="20"/>
              </w:rPr>
              <w:t>S29.7,</w:t>
            </w:r>
            <w:r>
              <w:rPr>
                <w:spacing w:val="-6"/>
                <w:sz w:val="20"/>
              </w:rPr>
              <w:t> </w:t>
            </w:r>
            <w:r>
              <w:rPr>
                <w:sz w:val="20"/>
              </w:rPr>
              <w:t>S32.7,</w:t>
            </w:r>
            <w:r>
              <w:rPr>
                <w:spacing w:val="-7"/>
                <w:sz w:val="20"/>
              </w:rPr>
              <w:t> </w:t>
            </w:r>
            <w:r>
              <w:rPr>
                <w:sz w:val="20"/>
              </w:rPr>
              <w:t>S32.70,</w:t>
            </w:r>
            <w:r>
              <w:rPr>
                <w:spacing w:val="-6"/>
                <w:sz w:val="20"/>
              </w:rPr>
              <w:t> </w:t>
            </w:r>
            <w:r>
              <w:rPr>
                <w:sz w:val="20"/>
              </w:rPr>
              <w:t>S32.71,</w:t>
            </w:r>
            <w:r>
              <w:rPr>
                <w:spacing w:val="-5"/>
                <w:sz w:val="20"/>
              </w:rPr>
              <w:t> </w:t>
            </w:r>
            <w:r>
              <w:rPr>
                <w:spacing w:val="-4"/>
                <w:sz w:val="20"/>
              </w:rPr>
              <w:t>S38,</w:t>
            </w:r>
          </w:p>
          <w:p>
            <w:pPr>
              <w:pStyle w:val="TableParagraph"/>
              <w:spacing w:line="229" w:lineRule="exact"/>
              <w:ind w:left="232" w:right="957"/>
              <w:jc w:val="center"/>
              <w:rPr>
                <w:sz w:val="20"/>
              </w:rPr>
            </w:pPr>
            <w:r>
              <w:rPr>
                <w:sz w:val="20"/>
              </w:rPr>
              <w:t>S38.0,</w:t>
            </w:r>
            <w:r>
              <w:rPr>
                <w:spacing w:val="-6"/>
                <w:sz w:val="20"/>
              </w:rPr>
              <w:t> </w:t>
            </w:r>
            <w:r>
              <w:rPr>
                <w:sz w:val="20"/>
              </w:rPr>
              <w:t>S38.1,</w:t>
            </w:r>
            <w:r>
              <w:rPr>
                <w:spacing w:val="-5"/>
                <w:sz w:val="20"/>
              </w:rPr>
              <w:t> </w:t>
            </w:r>
            <w:r>
              <w:rPr>
                <w:sz w:val="20"/>
              </w:rPr>
              <w:t>S38.3,</w:t>
            </w:r>
            <w:r>
              <w:rPr>
                <w:spacing w:val="-5"/>
                <w:sz w:val="20"/>
              </w:rPr>
              <w:t> </w:t>
            </w:r>
            <w:r>
              <w:rPr>
                <w:sz w:val="20"/>
              </w:rPr>
              <w:t>S39.6,</w:t>
            </w:r>
            <w:r>
              <w:rPr>
                <w:spacing w:val="-7"/>
                <w:sz w:val="20"/>
              </w:rPr>
              <w:t> </w:t>
            </w:r>
            <w:r>
              <w:rPr>
                <w:sz w:val="20"/>
              </w:rPr>
              <w:t>S39.7,</w:t>
            </w:r>
            <w:r>
              <w:rPr>
                <w:spacing w:val="-5"/>
                <w:sz w:val="20"/>
              </w:rPr>
              <w:t> </w:t>
            </w:r>
            <w:r>
              <w:rPr>
                <w:sz w:val="20"/>
              </w:rPr>
              <w:t>S42.7,</w:t>
            </w:r>
            <w:r>
              <w:rPr>
                <w:spacing w:val="-5"/>
                <w:sz w:val="20"/>
              </w:rPr>
              <w:t> </w:t>
            </w:r>
            <w:r>
              <w:rPr>
                <w:spacing w:val="-2"/>
                <w:sz w:val="20"/>
              </w:rPr>
              <w:t>S42.70,</w:t>
            </w:r>
          </w:p>
          <w:p>
            <w:pPr>
              <w:pStyle w:val="TableParagraph"/>
              <w:ind w:left="184" w:right="904"/>
              <w:jc w:val="center"/>
              <w:rPr>
                <w:sz w:val="20"/>
              </w:rPr>
            </w:pPr>
            <w:r>
              <w:rPr>
                <w:sz w:val="20"/>
              </w:rPr>
              <w:t>S42.71,</w:t>
            </w:r>
            <w:r>
              <w:rPr>
                <w:spacing w:val="-5"/>
                <w:sz w:val="20"/>
              </w:rPr>
              <w:t> </w:t>
            </w:r>
            <w:r>
              <w:rPr>
                <w:sz w:val="20"/>
              </w:rPr>
              <w:t>S47,</w:t>
            </w:r>
            <w:r>
              <w:rPr>
                <w:spacing w:val="-5"/>
                <w:sz w:val="20"/>
              </w:rPr>
              <w:t> </w:t>
            </w:r>
            <w:r>
              <w:rPr>
                <w:sz w:val="20"/>
              </w:rPr>
              <w:t>S48,</w:t>
            </w:r>
            <w:r>
              <w:rPr>
                <w:spacing w:val="-5"/>
                <w:sz w:val="20"/>
              </w:rPr>
              <w:t> </w:t>
            </w:r>
            <w:r>
              <w:rPr>
                <w:sz w:val="20"/>
              </w:rPr>
              <w:t>S48.0,</w:t>
            </w:r>
            <w:r>
              <w:rPr>
                <w:spacing w:val="-5"/>
                <w:sz w:val="20"/>
              </w:rPr>
              <w:t> </w:t>
            </w:r>
            <w:r>
              <w:rPr>
                <w:sz w:val="20"/>
              </w:rPr>
              <w:t>S48.1,</w:t>
            </w:r>
            <w:r>
              <w:rPr>
                <w:spacing w:val="-5"/>
                <w:sz w:val="20"/>
              </w:rPr>
              <w:t> </w:t>
            </w:r>
            <w:r>
              <w:rPr>
                <w:sz w:val="20"/>
              </w:rPr>
              <w:t>S48.9,</w:t>
            </w:r>
            <w:r>
              <w:rPr>
                <w:spacing w:val="-4"/>
                <w:sz w:val="20"/>
              </w:rPr>
              <w:t> </w:t>
            </w:r>
            <w:r>
              <w:rPr>
                <w:sz w:val="20"/>
              </w:rPr>
              <w:t>S49.7,</w:t>
            </w:r>
            <w:r>
              <w:rPr>
                <w:spacing w:val="-5"/>
                <w:sz w:val="20"/>
              </w:rPr>
              <w:t> </w:t>
            </w:r>
            <w:r>
              <w:rPr>
                <w:spacing w:val="-4"/>
                <w:sz w:val="20"/>
              </w:rPr>
              <w:t>S57,</w:t>
            </w:r>
          </w:p>
          <w:p>
            <w:pPr>
              <w:pStyle w:val="TableParagraph"/>
              <w:ind w:left="233" w:right="957"/>
              <w:jc w:val="center"/>
              <w:rPr>
                <w:sz w:val="20"/>
              </w:rPr>
            </w:pPr>
            <w:r>
              <w:rPr>
                <w:sz w:val="20"/>
              </w:rPr>
              <w:t>S57.0,</w:t>
            </w:r>
            <w:r>
              <w:rPr>
                <w:spacing w:val="-6"/>
                <w:sz w:val="20"/>
              </w:rPr>
              <w:t> </w:t>
            </w:r>
            <w:r>
              <w:rPr>
                <w:sz w:val="20"/>
              </w:rPr>
              <w:t>S57.8,</w:t>
            </w:r>
            <w:r>
              <w:rPr>
                <w:spacing w:val="-6"/>
                <w:sz w:val="20"/>
              </w:rPr>
              <w:t> </w:t>
            </w:r>
            <w:r>
              <w:rPr>
                <w:sz w:val="20"/>
              </w:rPr>
              <w:t>S57.9,</w:t>
            </w:r>
            <w:r>
              <w:rPr>
                <w:spacing w:val="-5"/>
                <w:sz w:val="20"/>
              </w:rPr>
              <w:t> </w:t>
            </w:r>
            <w:r>
              <w:rPr>
                <w:sz w:val="20"/>
              </w:rPr>
              <w:t>S58,</w:t>
            </w:r>
            <w:r>
              <w:rPr>
                <w:spacing w:val="-6"/>
                <w:sz w:val="20"/>
              </w:rPr>
              <w:t> </w:t>
            </w:r>
            <w:r>
              <w:rPr>
                <w:sz w:val="20"/>
              </w:rPr>
              <w:t>S58.0,</w:t>
            </w:r>
            <w:r>
              <w:rPr>
                <w:spacing w:val="-5"/>
                <w:sz w:val="20"/>
              </w:rPr>
              <w:t> </w:t>
            </w:r>
            <w:r>
              <w:rPr>
                <w:sz w:val="20"/>
              </w:rPr>
              <w:t>S58.1,</w:t>
            </w:r>
            <w:r>
              <w:rPr>
                <w:spacing w:val="-6"/>
                <w:sz w:val="20"/>
              </w:rPr>
              <w:t> </w:t>
            </w:r>
            <w:r>
              <w:rPr>
                <w:spacing w:val="-2"/>
                <w:sz w:val="20"/>
              </w:rPr>
              <w:t>S58.9,</w:t>
            </w:r>
          </w:p>
          <w:p>
            <w:pPr>
              <w:pStyle w:val="TableParagraph"/>
              <w:spacing w:line="229" w:lineRule="exact" w:before="1"/>
              <w:ind w:left="233" w:right="957"/>
              <w:jc w:val="center"/>
              <w:rPr>
                <w:sz w:val="20"/>
              </w:rPr>
            </w:pPr>
            <w:r>
              <w:rPr>
                <w:sz w:val="20"/>
              </w:rPr>
              <w:t>S59.7,</w:t>
            </w:r>
            <w:r>
              <w:rPr>
                <w:spacing w:val="-5"/>
                <w:sz w:val="20"/>
              </w:rPr>
              <w:t> </w:t>
            </w:r>
            <w:r>
              <w:rPr>
                <w:sz w:val="20"/>
              </w:rPr>
              <w:t>S67,</w:t>
            </w:r>
            <w:r>
              <w:rPr>
                <w:spacing w:val="-5"/>
                <w:sz w:val="20"/>
              </w:rPr>
              <w:t> </w:t>
            </w:r>
            <w:r>
              <w:rPr>
                <w:sz w:val="20"/>
              </w:rPr>
              <w:t>S67.0,</w:t>
            </w:r>
            <w:r>
              <w:rPr>
                <w:spacing w:val="-4"/>
                <w:sz w:val="20"/>
              </w:rPr>
              <w:t> </w:t>
            </w:r>
            <w:r>
              <w:rPr>
                <w:sz w:val="20"/>
              </w:rPr>
              <w:t>S67.8,</w:t>
            </w:r>
            <w:r>
              <w:rPr>
                <w:spacing w:val="-5"/>
                <w:sz w:val="20"/>
              </w:rPr>
              <w:t> </w:t>
            </w:r>
            <w:r>
              <w:rPr>
                <w:sz w:val="20"/>
              </w:rPr>
              <w:t>S68,</w:t>
            </w:r>
            <w:r>
              <w:rPr>
                <w:spacing w:val="-7"/>
                <w:sz w:val="20"/>
              </w:rPr>
              <w:t> </w:t>
            </w:r>
            <w:r>
              <w:rPr>
                <w:sz w:val="20"/>
              </w:rPr>
              <w:t>S68.0,</w:t>
            </w:r>
            <w:r>
              <w:rPr>
                <w:spacing w:val="-4"/>
                <w:sz w:val="20"/>
              </w:rPr>
              <w:t> </w:t>
            </w:r>
            <w:r>
              <w:rPr>
                <w:spacing w:val="-2"/>
                <w:sz w:val="20"/>
              </w:rPr>
              <w:t>S68.1,</w:t>
            </w:r>
          </w:p>
          <w:p>
            <w:pPr>
              <w:pStyle w:val="TableParagraph"/>
              <w:ind w:left="184" w:right="906" w:hanging="1"/>
              <w:jc w:val="center"/>
              <w:rPr>
                <w:sz w:val="20"/>
              </w:rPr>
            </w:pPr>
            <w:r>
              <w:rPr>
                <w:sz w:val="20"/>
              </w:rPr>
              <w:t>S68.2, S68.3, S68.4, S68.8, S68.9, S69.7, S72.7, S72.70, S72.71, S77, S77.0, S77.1, S77.2, S78, S78.0,</w:t>
            </w:r>
            <w:r>
              <w:rPr>
                <w:spacing w:val="-7"/>
                <w:sz w:val="20"/>
              </w:rPr>
              <w:t> </w:t>
            </w:r>
            <w:r>
              <w:rPr>
                <w:sz w:val="20"/>
              </w:rPr>
              <w:t>S78.1,</w:t>
            </w:r>
            <w:r>
              <w:rPr>
                <w:spacing w:val="-7"/>
                <w:sz w:val="20"/>
              </w:rPr>
              <w:t> </w:t>
            </w:r>
            <w:r>
              <w:rPr>
                <w:sz w:val="20"/>
              </w:rPr>
              <w:t>S78.9,</w:t>
            </w:r>
            <w:r>
              <w:rPr>
                <w:spacing w:val="-4"/>
                <w:sz w:val="20"/>
              </w:rPr>
              <w:t> </w:t>
            </w:r>
            <w:r>
              <w:rPr>
                <w:sz w:val="20"/>
              </w:rPr>
              <w:t>S79.7,</w:t>
            </w:r>
            <w:r>
              <w:rPr>
                <w:spacing w:val="-9"/>
                <w:sz w:val="20"/>
              </w:rPr>
              <w:t> </w:t>
            </w:r>
            <w:r>
              <w:rPr>
                <w:sz w:val="20"/>
              </w:rPr>
              <w:t>S82.7,</w:t>
            </w:r>
            <w:r>
              <w:rPr>
                <w:spacing w:val="-7"/>
                <w:sz w:val="20"/>
              </w:rPr>
              <w:t> </w:t>
            </w:r>
            <w:r>
              <w:rPr>
                <w:sz w:val="20"/>
              </w:rPr>
              <w:t>S82.70,</w:t>
            </w:r>
            <w:r>
              <w:rPr>
                <w:spacing w:val="-9"/>
                <w:sz w:val="20"/>
              </w:rPr>
              <w:t> </w:t>
            </w:r>
            <w:r>
              <w:rPr>
                <w:sz w:val="20"/>
              </w:rPr>
              <w:t>S82.71,</w:t>
            </w:r>
          </w:p>
          <w:p>
            <w:pPr>
              <w:pStyle w:val="TableParagraph"/>
              <w:ind w:left="233" w:right="957"/>
              <w:jc w:val="center"/>
              <w:rPr>
                <w:sz w:val="20"/>
              </w:rPr>
            </w:pPr>
            <w:r>
              <w:rPr>
                <w:sz w:val="20"/>
              </w:rPr>
              <w:t>S87,</w:t>
            </w:r>
            <w:r>
              <w:rPr>
                <w:spacing w:val="-5"/>
                <w:sz w:val="20"/>
              </w:rPr>
              <w:t> </w:t>
            </w:r>
            <w:r>
              <w:rPr>
                <w:sz w:val="20"/>
              </w:rPr>
              <w:t>S87.0,</w:t>
            </w:r>
            <w:r>
              <w:rPr>
                <w:spacing w:val="-4"/>
                <w:sz w:val="20"/>
              </w:rPr>
              <w:t> </w:t>
            </w:r>
            <w:r>
              <w:rPr>
                <w:sz w:val="20"/>
              </w:rPr>
              <w:t>S87.8,</w:t>
            </w:r>
            <w:r>
              <w:rPr>
                <w:spacing w:val="-5"/>
                <w:sz w:val="20"/>
              </w:rPr>
              <w:t> </w:t>
            </w:r>
            <w:r>
              <w:rPr>
                <w:sz w:val="20"/>
              </w:rPr>
              <w:t>S88,</w:t>
            </w:r>
            <w:r>
              <w:rPr>
                <w:spacing w:val="-6"/>
                <w:sz w:val="20"/>
              </w:rPr>
              <w:t> </w:t>
            </w:r>
            <w:r>
              <w:rPr>
                <w:sz w:val="20"/>
              </w:rPr>
              <w:t>S88.0,</w:t>
            </w:r>
            <w:r>
              <w:rPr>
                <w:spacing w:val="-6"/>
                <w:sz w:val="20"/>
              </w:rPr>
              <w:t> </w:t>
            </w:r>
            <w:r>
              <w:rPr>
                <w:sz w:val="20"/>
              </w:rPr>
              <w:t>S88.1,</w:t>
            </w:r>
            <w:r>
              <w:rPr>
                <w:spacing w:val="-5"/>
                <w:sz w:val="20"/>
              </w:rPr>
              <w:t> </w:t>
            </w:r>
            <w:r>
              <w:rPr>
                <w:sz w:val="20"/>
              </w:rPr>
              <w:t>S88.9,</w:t>
            </w:r>
            <w:r>
              <w:rPr>
                <w:spacing w:val="-4"/>
                <w:sz w:val="20"/>
              </w:rPr>
              <w:t> S89,</w:t>
            </w:r>
          </w:p>
          <w:p>
            <w:pPr>
              <w:pStyle w:val="TableParagraph"/>
              <w:spacing w:line="229" w:lineRule="exact" w:before="1"/>
              <w:ind w:left="232" w:right="957"/>
              <w:jc w:val="center"/>
              <w:rPr>
                <w:sz w:val="20"/>
              </w:rPr>
            </w:pPr>
            <w:r>
              <w:rPr>
                <w:sz w:val="20"/>
              </w:rPr>
              <w:t>S89.7,</w:t>
            </w:r>
            <w:r>
              <w:rPr>
                <w:spacing w:val="-6"/>
                <w:sz w:val="20"/>
              </w:rPr>
              <w:t> </w:t>
            </w:r>
            <w:r>
              <w:rPr>
                <w:sz w:val="20"/>
              </w:rPr>
              <w:t>S92.7,</w:t>
            </w:r>
            <w:r>
              <w:rPr>
                <w:spacing w:val="-5"/>
                <w:sz w:val="20"/>
              </w:rPr>
              <w:t> </w:t>
            </w:r>
            <w:r>
              <w:rPr>
                <w:sz w:val="20"/>
              </w:rPr>
              <w:t>S92.70,</w:t>
            </w:r>
            <w:r>
              <w:rPr>
                <w:spacing w:val="-5"/>
                <w:sz w:val="20"/>
              </w:rPr>
              <w:t> </w:t>
            </w:r>
            <w:r>
              <w:rPr>
                <w:sz w:val="20"/>
              </w:rPr>
              <w:t>S92.71,</w:t>
            </w:r>
            <w:r>
              <w:rPr>
                <w:spacing w:val="-7"/>
                <w:sz w:val="20"/>
              </w:rPr>
              <w:t> </w:t>
            </w:r>
            <w:r>
              <w:rPr>
                <w:sz w:val="20"/>
              </w:rPr>
              <w:t>S97,</w:t>
            </w:r>
            <w:r>
              <w:rPr>
                <w:spacing w:val="-5"/>
                <w:sz w:val="20"/>
              </w:rPr>
              <w:t> </w:t>
            </w:r>
            <w:r>
              <w:rPr>
                <w:sz w:val="20"/>
              </w:rPr>
              <w:t>S97.0,</w:t>
            </w:r>
            <w:r>
              <w:rPr>
                <w:spacing w:val="-6"/>
                <w:sz w:val="20"/>
              </w:rPr>
              <w:t> </w:t>
            </w:r>
            <w:r>
              <w:rPr>
                <w:spacing w:val="-2"/>
                <w:sz w:val="20"/>
              </w:rPr>
              <w:t>S97.1,</w:t>
            </w:r>
          </w:p>
          <w:p>
            <w:pPr>
              <w:pStyle w:val="TableParagraph"/>
              <w:spacing w:line="229" w:lineRule="exact"/>
              <w:ind w:left="233" w:right="957"/>
              <w:jc w:val="center"/>
              <w:rPr>
                <w:sz w:val="20"/>
              </w:rPr>
            </w:pPr>
            <w:r>
              <w:rPr>
                <w:sz w:val="20"/>
              </w:rPr>
              <w:t>S97.8,</w:t>
            </w:r>
            <w:r>
              <w:rPr>
                <w:spacing w:val="-6"/>
                <w:sz w:val="20"/>
              </w:rPr>
              <w:t> </w:t>
            </w:r>
            <w:r>
              <w:rPr>
                <w:sz w:val="20"/>
              </w:rPr>
              <w:t>S98,</w:t>
            </w:r>
            <w:r>
              <w:rPr>
                <w:spacing w:val="-6"/>
                <w:sz w:val="20"/>
              </w:rPr>
              <w:t> </w:t>
            </w:r>
            <w:r>
              <w:rPr>
                <w:sz w:val="20"/>
              </w:rPr>
              <w:t>S98.0,</w:t>
            </w:r>
            <w:r>
              <w:rPr>
                <w:spacing w:val="-5"/>
                <w:sz w:val="20"/>
              </w:rPr>
              <w:t> </w:t>
            </w:r>
            <w:r>
              <w:rPr>
                <w:sz w:val="20"/>
              </w:rPr>
              <w:t>S98.1,</w:t>
            </w:r>
            <w:r>
              <w:rPr>
                <w:spacing w:val="-6"/>
                <w:sz w:val="20"/>
              </w:rPr>
              <w:t> </w:t>
            </w:r>
            <w:r>
              <w:rPr>
                <w:sz w:val="20"/>
              </w:rPr>
              <w:t>S98.2,</w:t>
            </w:r>
            <w:r>
              <w:rPr>
                <w:spacing w:val="-5"/>
                <w:sz w:val="20"/>
              </w:rPr>
              <w:t> </w:t>
            </w:r>
            <w:r>
              <w:rPr>
                <w:sz w:val="20"/>
              </w:rPr>
              <w:t>S98.3,</w:t>
            </w:r>
            <w:r>
              <w:rPr>
                <w:spacing w:val="-6"/>
                <w:sz w:val="20"/>
              </w:rPr>
              <w:t> </w:t>
            </w:r>
            <w:r>
              <w:rPr>
                <w:spacing w:val="-2"/>
                <w:sz w:val="20"/>
              </w:rPr>
              <w:t>S98.4,</w:t>
            </w:r>
          </w:p>
          <w:p>
            <w:pPr>
              <w:pStyle w:val="TableParagraph"/>
              <w:ind w:left="321" w:right="1043" w:firstLine="2"/>
              <w:jc w:val="center"/>
              <w:rPr>
                <w:sz w:val="20"/>
              </w:rPr>
            </w:pPr>
            <w:r>
              <w:rPr>
                <w:sz w:val="20"/>
              </w:rPr>
              <w:t>S99.7, T02.1, T02.10, T02.11, T02.2, T02.20, T02.21,</w:t>
            </w:r>
            <w:r>
              <w:rPr>
                <w:spacing w:val="-4"/>
                <w:sz w:val="20"/>
              </w:rPr>
              <w:t> </w:t>
            </w:r>
            <w:r>
              <w:rPr>
                <w:sz w:val="20"/>
              </w:rPr>
              <w:t>T02.3,</w:t>
            </w:r>
            <w:r>
              <w:rPr>
                <w:spacing w:val="-4"/>
                <w:sz w:val="20"/>
              </w:rPr>
              <w:t> </w:t>
            </w:r>
            <w:r>
              <w:rPr>
                <w:sz w:val="20"/>
              </w:rPr>
              <w:t>T02.30,</w:t>
            </w:r>
            <w:r>
              <w:rPr>
                <w:spacing w:val="-4"/>
                <w:sz w:val="20"/>
              </w:rPr>
              <w:t> </w:t>
            </w:r>
            <w:r>
              <w:rPr>
                <w:sz w:val="20"/>
              </w:rPr>
              <w:t>T02.31,</w:t>
            </w:r>
            <w:r>
              <w:rPr>
                <w:spacing w:val="-4"/>
                <w:sz w:val="20"/>
              </w:rPr>
              <w:t> </w:t>
            </w:r>
            <w:r>
              <w:rPr>
                <w:sz w:val="20"/>
              </w:rPr>
              <w:t>T02.4,</w:t>
            </w:r>
            <w:r>
              <w:rPr>
                <w:spacing w:val="-4"/>
                <w:sz w:val="20"/>
              </w:rPr>
              <w:t> </w:t>
            </w:r>
            <w:r>
              <w:rPr>
                <w:sz w:val="20"/>
              </w:rPr>
              <w:t>T02.40, T02.41,</w:t>
            </w:r>
            <w:r>
              <w:rPr>
                <w:spacing w:val="-4"/>
                <w:sz w:val="20"/>
              </w:rPr>
              <w:t> </w:t>
            </w:r>
            <w:r>
              <w:rPr>
                <w:sz w:val="20"/>
              </w:rPr>
              <w:t>T02.5,</w:t>
            </w:r>
            <w:r>
              <w:rPr>
                <w:spacing w:val="-4"/>
                <w:sz w:val="20"/>
              </w:rPr>
              <w:t> </w:t>
            </w:r>
            <w:r>
              <w:rPr>
                <w:sz w:val="20"/>
              </w:rPr>
              <w:t>T02.50,</w:t>
            </w:r>
            <w:r>
              <w:rPr>
                <w:spacing w:val="-4"/>
                <w:sz w:val="20"/>
              </w:rPr>
              <w:t> </w:t>
            </w:r>
            <w:r>
              <w:rPr>
                <w:sz w:val="20"/>
              </w:rPr>
              <w:t>T02.51,</w:t>
            </w:r>
            <w:r>
              <w:rPr>
                <w:spacing w:val="-4"/>
                <w:sz w:val="20"/>
              </w:rPr>
              <w:t> </w:t>
            </w:r>
            <w:r>
              <w:rPr>
                <w:sz w:val="20"/>
              </w:rPr>
              <w:t>T02.6,</w:t>
            </w:r>
            <w:r>
              <w:rPr>
                <w:spacing w:val="-4"/>
                <w:sz w:val="20"/>
              </w:rPr>
              <w:t> </w:t>
            </w:r>
            <w:r>
              <w:rPr>
                <w:sz w:val="20"/>
              </w:rPr>
              <w:t>T02.60, T02.61,</w:t>
            </w:r>
            <w:r>
              <w:rPr>
                <w:spacing w:val="-4"/>
                <w:sz w:val="20"/>
              </w:rPr>
              <w:t> </w:t>
            </w:r>
            <w:r>
              <w:rPr>
                <w:sz w:val="20"/>
              </w:rPr>
              <w:t>T02.7,</w:t>
            </w:r>
            <w:r>
              <w:rPr>
                <w:spacing w:val="-4"/>
                <w:sz w:val="20"/>
              </w:rPr>
              <w:t> </w:t>
            </w:r>
            <w:r>
              <w:rPr>
                <w:sz w:val="20"/>
              </w:rPr>
              <w:t>T02.70,</w:t>
            </w:r>
            <w:r>
              <w:rPr>
                <w:spacing w:val="-4"/>
                <w:sz w:val="20"/>
              </w:rPr>
              <w:t> </w:t>
            </w:r>
            <w:r>
              <w:rPr>
                <w:sz w:val="20"/>
              </w:rPr>
              <w:t>T02.71,</w:t>
            </w:r>
            <w:r>
              <w:rPr>
                <w:spacing w:val="-4"/>
                <w:sz w:val="20"/>
              </w:rPr>
              <w:t> </w:t>
            </w:r>
            <w:r>
              <w:rPr>
                <w:sz w:val="20"/>
              </w:rPr>
              <w:t>T02.8,</w:t>
            </w:r>
            <w:r>
              <w:rPr>
                <w:spacing w:val="-4"/>
                <w:sz w:val="20"/>
              </w:rPr>
              <w:t> </w:t>
            </w:r>
            <w:r>
              <w:rPr>
                <w:sz w:val="20"/>
              </w:rPr>
              <w:t>T02.80, T02.81, T02.9, T02.90, T02.91, T03, T03.0, T03.1,</w:t>
            </w:r>
            <w:r>
              <w:rPr>
                <w:spacing w:val="-9"/>
                <w:sz w:val="20"/>
              </w:rPr>
              <w:t> </w:t>
            </w:r>
            <w:r>
              <w:rPr>
                <w:sz w:val="20"/>
              </w:rPr>
              <w:t>T03.2,</w:t>
            </w:r>
            <w:r>
              <w:rPr>
                <w:spacing w:val="-7"/>
                <w:sz w:val="20"/>
              </w:rPr>
              <w:t> </w:t>
            </w:r>
            <w:r>
              <w:rPr>
                <w:sz w:val="20"/>
              </w:rPr>
              <w:t>T03.3,</w:t>
            </w:r>
            <w:r>
              <w:rPr>
                <w:spacing w:val="-7"/>
                <w:sz w:val="20"/>
              </w:rPr>
              <w:t> </w:t>
            </w:r>
            <w:r>
              <w:rPr>
                <w:sz w:val="20"/>
              </w:rPr>
              <w:t>T03.4,</w:t>
            </w:r>
            <w:r>
              <w:rPr>
                <w:spacing w:val="-7"/>
                <w:sz w:val="20"/>
              </w:rPr>
              <w:t> </w:t>
            </w:r>
            <w:r>
              <w:rPr>
                <w:sz w:val="20"/>
              </w:rPr>
              <w:t>T03.8,</w:t>
            </w:r>
            <w:r>
              <w:rPr>
                <w:spacing w:val="-7"/>
                <w:sz w:val="20"/>
              </w:rPr>
              <w:t> </w:t>
            </w:r>
            <w:r>
              <w:rPr>
                <w:sz w:val="20"/>
              </w:rPr>
              <w:t>T03.9,</w:t>
            </w:r>
            <w:r>
              <w:rPr>
                <w:spacing w:val="-7"/>
                <w:sz w:val="20"/>
              </w:rPr>
              <w:t> </w:t>
            </w:r>
            <w:r>
              <w:rPr>
                <w:sz w:val="20"/>
              </w:rPr>
              <w:t>T04,</w:t>
            </w:r>
          </w:p>
          <w:p>
            <w:pPr>
              <w:pStyle w:val="TableParagraph"/>
              <w:spacing w:before="1"/>
              <w:ind w:left="233" w:right="953"/>
              <w:jc w:val="center"/>
              <w:rPr>
                <w:sz w:val="20"/>
              </w:rPr>
            </w:pPr>
            <w:r>
              <w:rPr>
                <w:sz w:val="20"/>
              </w:rPr>
              <w:t>T04.0,</w:t>
            </w:r>
            <w:r>
              <w:rPr>
                <w:spacing w:val="-7"/>
                <w:sz w:val="20"/>
              </w:rPr>
              <w:t> </w:t>
            </w:r>
            <w:r>
              <w:rPr>
                <w:sz w:val="20"/>
              </w:rPr>
              <w:t>T04.1,</w:t>
            </w:r>
            <w:r>
              <w:rPr>
                <w:spacing w:val="-5"/>
                <w:sz w:val="20"/>
              </w:rPr>
              <w:t> </w:t>
            </w:r>
            <w:r>
              <w:rPr>
                <w:sz w:val="20"/>
              </w:rPr>
              <w:t>T04.2,</w:t>
            </w:r>
            <w:r>
              <w:rPr>
                <w:spacing w:val="-5"/>
                <w:sz w:val="20"/>
              </w:rPr>
              <w:t> </w:t>
            </w:r>
            <w:r>
              <w:rPr>
                <w:sz w:val="20"/>
              </w:rPr>
              <w:t>T04.3,</w:t>
            </w:r>
            <w:r>
              <w:rPr>
                <w:spacing w:val="-5"/>
                <w:sz w:val="20"/>
              </w:rPr>
              <w:t> </w:t>
            </w:r>
            <w:r>
              <w:rPr>
                <w:sz w:val="20"/>
              </w:rPr>
              <w:t>T04.4,</w:t>
            </w:r>
            <w:r>
              <w:rPr>
                <w:spacing w:val="-5"/>
                <w:sz w:val="20"/>
              </w:rPr>
              <w:t> </w:t>
            </w:r>
            <w:r>
              <w:rPr>
                <w:sz w:val="20"/>
              </w:rPr>
              <w:t>T04.7,</w:t>
            </w:r>
            <w:r>
              <w:rPr>
                <w:spacing w:val="-5"/>
                <w:sz w:val="20"/>
              </w:rPr>
              <w:t> </w:t>
            </w:r>
            <w:r>
              <w:rPr>
                <w:spacing w:val="-2"/>
                <w:sz w:val="20"/>
              </w:rPr>
              <w:t>T04.8,</w:t>
            </w:r>
          </w:p>
          <w:p>
            <w:pPr>
              <w:pStyle w:val="TableParagraph"/>
              <w:ind w:left="233" w:right="953"/>
              <w:jc w:val="center"/>
              <w:rPr>
                <w:sz w:val="20"/>
              </w:rPr>
            </w:pPr>
            <w:r>
              <w:rPr>
                <w:sz w:val="20"/>
              </w:rPr>
              <w:t>T04.9,</w:t>
            </w:r>
            <w:r>
              <w:rPr>
                <w:spacing w:val="-7"/>
                <w:sz w:val="20"/>
              </w:rPr>
              <w:t> </w:t>
            </w:r>
            <w:r>
              <w:rPr>
                <w:sz w:val="20"/>
              </w:rPr>
              <w:t>T05,</w:t>
            </w:r>
            <w:r>
              <w:rPr>
                <w:spacing w:val="-6"/>
                <w:sz w:val="20"/>
              </w:rPr>
              <w:t> </w:t>
            </w:r>
            <w:r>
              <w:rPr>
                <w:sz w:val="20"/>
              </w:rPr>
              <w:t>T05.0,</w:t>
            </w:r>
            <w:r>
              <w:rPr>
                <w:spacing w:val="-5"/>
                <w:sz w:val="20"/>
              </w:rPr>
              <w:t> </w:t>
            </w:r>
            <w:r>
              <w:rPr>
                <w:sz w:val="20"/>
              </w:rPr>
              <w:t>T05.1,</w:t>
            </w:r>
            <w:r>
              <w:rPr>
                <w:spacing w:val="-4"/>
                <w:sz w:val="20"/>
              </w:rPr>
              <w:t> </w:t>
            </w:r>
            <w:r>
              <w:rPr>
                <w:sz w:val="20"/>
              </w:rPr>
              <w:t>T05.2,</w:t>
            </w:r>
            <w:r>
              <w:rPr>
                <w:spacing w:val="-5"/>
                <w:sz w:val="20"/>
              </w:rPr>
              <w:t> </w:t>
            </w:r>
            <w:r>
              <w:rPr>
                <w:sz w:val="20"/>
              </w:rPr>
              <w:t>T05.3,</w:t>
            </w:r>
            <w:r>
              <w:rPr>
                <w:spacing w:val="-4"/>
                <w:sz w:val="20"/>
              </w:rPr>
              <w:t> </w:t>
            </w:r>
            <w:r>
              <w:rPr>
                <w:spacing w:val="-2"/>
                <w:sz w:val="20"/>
              </w:rPr>
              <w:t>T05.4,</w:t>
            </w:r>
          </w:p>
          <w:p>
            <w:pPr>
              <w:pStyle w:val="TableParagraph"/>
              <w:spacing w:before="1"/>
              <w:ind w:left="233" w:right="954"/>
              <w:jc w:val="center"/>
              <w:rPr>
                <w:sz w:val="20"/>
              </w:rPr>
            </w:pPr>
            <w:r>
              <w:rPr>
                <w:sz w:val="20"/>
              </w:rPr>
              <w:t>T05.5,</w:t>
            </w:r>
            <w:r>
              <w:rPr>
                <w:spacing w:val="-7"/>
                <w:sz w:val="20"/>
              </w:rPr>
              <w:t> </w:t>
            </w:r>
            <w:r>
              <w:rPr>
                <w:sz w:val="20"/>
              </w:rPr>
              <w:t>T05.6,</w:t>
            </w:r>
            <w:r>
              <w:rPr>
                <w:spacing w:val="-4"/>
                <w:sz w:val="20"/>
              </w:rPr>
              <w:t> </w:t>
            </w:r>
            <w:r>
              <w:rPr>
                <w:sz w:val="20"/>
              </w:rPr>
              <w:t>T05.8,</w:t>
            </w:r>
            <w:r>
              <w:rPr>
                <w:spacing w:val="-5"/>
                <w:sz w:val="20"/>
              </w:rPr>
              <w:t> </w:t>
            </w:r>
            <w:r>
              <w:rPr>
                <w:sz w:val="20"/>
              </w:rPr>
              <w:t>T05.9,</w:t>
            </w:r>
            <w:r>
              <w:rPr>
                <w:spacing w:val="-4"/>
                <w:sz w:val="20"/>
              </w:rPr>
              <w:t> </w:t>
            </w:r>
            <w:r>
              <w:rPr>
                <w:sz w:val="20"/>
              </w:rPr>
              <w:t>T06,</w:t>
            </w:r>
            <w:r>
              <w:rPr>
                <w:spacing w:val="-5"/>
                <w:sz w:val="20"/>
              </w:rPr>
              <w:t> </w:t>
            </w:r>
            <w:r>
              <w:rPr>
                <w:sz w:val="20"/>
              </w:rPr>
              <w:t>T06.0,</w:t>
            </w:r>
            <w:r>
              <w:rPr>
                <w:spacing w:val="-6"/>
                <w:sz w:val="20"/>
              </w:rPr>
              <w:t> </w:t>
            </w:r>
            <w:r>
              <w:rPr>
                <w:spacing w:val="-2"/>
                <w:sz w:val="20"/>
              </w:rPr>
              <w:t>T06.1,</w:t>
            </w:r>
          </w:p>
          <w:p>
            <w:pPr>
              <w:pStyle w:val="TableParagraph"/>
              <w:ind w:left="233" w:right="955"/>
              <w:jc w:val="center"/>
              <w:rPr>
                <w:sz w:val="20"/>
              </w:rPr>
            </w:pPr>
            <w:r>
              <w:rPr>
                <w:sz w:val="20"/>
              </w:rPr>
              <w:t>T06.2,</w:t>
            </w:r>
            <w:r>
              <w:rPr>
                <w:spacing w:val="-7"/>
                <w:sz w:val="20"/>
              </w:rPr>
              <w:t> </w:t>
            </w:r>
            <w:r>
              <w:rPr>
                <w:sz w:val="20"/>
              </w:rPr>
              <w:t>T06.3,</w:t>
            </w:r>
            <w:r>
              <w:rPr>
                <w:spacing w:val="-4"/>
                <w:sz w:val="20"/>
              </w:rPr>
              <w:t> </w:t>
            </w:r>
            <w:r>
              <w:rPr>
                <w:sz w:val="20"/>
              </w:rPr>
              <w:t>T06.4,</w:t>
            </w:r>
            <w:r>
              <w:rPr>
                <w:spacing w:val="-5"/>
                <w:sz w:val="20"/>
              </w:rPr>
              <w:t> </w:t>
            </w:r>
            <w:r>
              <w:rPr>
                <w:sz w:val="20"/>
              </w:rPr>
              <w:t>T06.5,</w:t>
            </w:r>
            <w:r>
              <w:rPr>
                <w:spacing w:val="-4"/>
                <w:sz w:val="20"/>
              </w:rPr>
              <w:t> </w:t>
            </w:r>
            <w:r>
              <w:rPr>
                <w:sz w:val="20"/>
              </w:rPr>
              <w:t>T06.8,</w:t>
            </w:r>
            <w:r>
              <w:rPr>
                <w:spacing w:val="-5"/>
                <w:sz w:val="20"/>
              </w:rPr>
              <w:t> </w:t>
            </w:r>
            <w:r>
              <w:rPr>
                <w:sz w:val="20"/>
              </w:rPr>
              <w:t>T07,</w:t>
            </w:r>
            <w:r>
              <w:rPr>
                <w:spacing w:val="-6"/>
                <w:sz w:val="20"/>
              </w:rPr>
              <w:t> </w:t>
            </w:r>
            <w:r>
              <w:rPr>
                <w:spacing w:val="-2"/>
                <w:sz w:val="20"/>
              </w:rPr>
              <w:t>T09.6,</w:t>
            </w:r>
          </w:p>
          <w:p>
            <w:pPr>
              <w:pStyle w:val="TableParagraph"/>
              <w:spacing w:line="229" w:lineRule="exact" w:before="1"/>
              <w:ind w:left="321"/>
              <w:rPr>
                <w:sz w:val="20"/>
              </w:rPr>
            </w:pPr>
            <w:r>
              <w:rPr>
                <w:sz w:val="20"/>
              </w:rPr>
              <w:t>T11.6,</w:t>
            </w:r>
            <w:r>
              <w:rPr>
                <w:spacing w:val="-7"/>
                <w:sz w:val="20"/>
              </w:rPr>
              <w:t> </w:t>
            </w:r>
            <w:r>
              <w:rPr>
                <w:sz w:val="20"/>
              </w:rPr>
              <w:t>T13.6,</w:t>
            </w:r>
            <w:r>
              <w:rPr>
                <w:spacing w:val="-5"/>
                <w:sz w:val="20"/>
              </w:rPr>
              <w:t> </w:t>
            </w:r>
            <w:r>
              <w:rPr>
                <w:sz w:val="20"/>
              </w:rPr>
              <w:t>T14.7,</w:t>
            </w:r>
            <w:r>
              <w:rPr>
                <w:spacing w:val="-5"/>
                <w:sz w:val="20"/>
              </w:rPr>
              <w:t> </w:t>
            </w:r>
            <w:r>
              <w:rPr>
                <w:sz w:val="20"/>
              </w:rPr>
              <w:t>T84,</w:t>
            </w:r>
            <w:r>
              <w:rPr>
                <w:spacing w:val="-5"/>
                <w:sz w:val="20"/>
              </w:rPr>
              <w:t> </w:t>
            </w:r>
            <w:r>
              <w:rPr>
                <w:sz w:val="20"/>
              </w:rPr>
              <w:t>T84.0,</w:t>
            </w:r>
            <w:r>
              <w:rPr>
                <w:spacing w:val="-5"/>
                <w:sz w:val="20"/>
              </w:rPr>
              <w:t> </w:t>
            </w:r>
            <w:r>
              <w:rPr>
                <w:sz w:val="20"/>
              </w:rPr>
              <w:t>T84.1,</w:t>
            </w:r>
            <w:r>
              <w:rPr>
                <w:spacing w:val="-5"/>
                <w:sz w:val="20"/>
              </w:rPr>
              <w:t> </w:t>
            </w:r>
            <w:r>
              <w:rPr>
                <w:spacing w:val="-2"/>
                <w:sz w:val="20"/>
              </w:rPr>
              <w:t>T84.2,</w:t>
            </w:r>
          </w:p>
          <w:p>
            <w:pPr>
              <w:pStyle w:val="TableParagraph"/>
              <w:spacing w:line="229" w:lineRule="exact"/>
              <w:ind w:left="246"/>
              <w:rPr>
                <w:sz w:val="20"/>
              </w:rPr>
            </w:pPr>
            <w:r>
              <w:rPr>
                <w:sz w:val="20"/>
              </w:rPr>
              <w:t>T84.3,</w:t>
            </w:r>
            <w:r>
              <w:rPr>
                <w:spacing w:val="-7"/>
                <w:sz w:val="20"/>
              </w:rPr>
              <w:t> </w:t>
            </w:r>
            <w:r>
              <w:rPr>
                <w:sz w:val="20"/>
              </w:rPr>
              <w:t>T84.4,</w:t>
            </w:r>
            <w:r>
              <w:rPr>
                <w:spacing w:val="-5"/>
                <w:sz w:val="20"/>
              </w:rPr>
              <w:t> </w:t>
            </w:r>
            <w:r>
              <w:rPr>
                <w:sz w:val="20"/>
              </w:rPr>
              <w:t>T84.5,</w:t>
            </w:r>
            <w:r>
              <w:rPr>
                <w:spacing w:val="-5"/>
                <w:sz w:val="20"/>
              </w:rPr>
              <w:t> </w:t>
            </w:r>
            <w:r>
              <w:rPr>
                <w:sz w:val="20"/>
              </w:rPr>
              <w:t>T84.6,</w:t>
            </w:r>
            <w:r>
              <w:rPr>
                <w:spacing w:val="-5"/>
                <w:sz w:val="20"/>
              </w:rPr>
              <w:t> </w:t>
            </w:r>
            <w:r>
              <w:rPr>
                <w:sz w:val="20"/>
              </w:rPr>
              <w:t>T84.7,</w:t>
            </w:r>
            <w:r>
              <w:rPr>
                <w:spacing w:val="-5"/>
                <w:sz w:val="20"/>
              </w:rPr>
              <w:t> </w:t>
            </w:r>
            <w:r>
              <w:rPr>
                <w:sz w:val="20"/>
              </w:rPr>
              <w:t>T84.8,</w:t>
            </w:r>
            <w:r>
              <w:rPr>
                <w:spacing w:val="-5"/>
                <w:sz w:val="20"/>
              </w:rPr>
              <w:t> </w:t>
            </w:r>
            <w:r>
              <w:rPr>
                <w:spacing w:val="-2"/>
                <w:sz w:val="20"/>
              </w:rPr>
              <w:t>T84.9,</w:t>
            </w:r>
          </w:p>
          <w:p>
            <w:pPr>
              <w:pStyle w:val="TableParagraph"/>
              <w:spacing w:line="210" w:lineRule="exact"/>
              <w:ind w:left="321"/>
              <w:rPr>
                <w:sz w:val="20"/>
              </w:rPr>
            </w:pPr>
            <w:r>
              <w:rPr>
                <w:sz w:val="20"/>
              </w:rPr>
              <w:t>T87,</w:t>
            </w:r>
            <w:r>
              <w:rPr>
                <w:spacing w:val="-6"/>
                <w:sz w:val="20"/>
              </w:rPr>
              <w:t> </w:t>
            </w:r>
            <w:r>
              <w:rPr>
                <w:sz w:val="20"/>
              </w:rPr>
              <w:t>T87.0,</w:t>
            </w:r>
            <w:r>
              <w:rPr>
                <w:spacing w:val="-7"/>
                <w:sz w:val="20"/>
              </w:rPr>
              <w:t> </w:t>
            </w:r>
            <w:r>
              <w:rPr>
                <w:sz w:val="20"/>
              </w:rPr>
              <w:t>T87.1,</w:t>
            </w:r>
            <w:r>
              <w:rPr>
                <w:spacing w:val="-5"/>
                <w:sz w:val="20"/>
              </w:rPr>
              <w:t> </w:t>
            </w:r>
            <w:r>
              <w:rPr>
                <w:sz w:val="20"/>
              </w:rPr>
              <w:t>T87.2,</w:t>
            </w:r>
            <w:r>
              <w:rPr>
                <w:spacing w:val="-5"/>
                <w:sz w:val="20"/>
              </w:rPr>
              <w:t> </w:t>
            </w:r>
            <w:r>
              <w:rPr>
                <w:sz w:val="20"/>
              </w:rPr>
              <w:t>T87.3,</w:t>
            </w:r>
            <w:r>
              <w:rPr>
                <w:spacing w:val="-1"/>
                <w:sz w:val="20"/>
              </w:rPr>
              <w:t> </w:t>
            </w:r>
            <w:r>
              <w:rPr>
                <w:sz w:val="20"/>
              </w:rPr>
              <w:t>T87.4,</w:t>
            </w:r>
            <w:r>
              <w:rPr>
                <w:spacing w:val="-5"/>
                <w:sz w:val="20"/>
              </w:rPr>
              <w:t> </w:t>
            </w:r>
            <w:r>
              <w:rPr>
                <w:spacing w:val="-2"/>
                <w:sz w:val="20"/>
              </w:rPr>
              <w:t>T87.5,</w:t>
            </w:r>
          </w:p>
        </w:tc>
        <w:tc>
          <w:tcPr>
            <w:tcW w:w="2071" w:type="dxa"/>
          </w:tcPr>
          <w:p>
            <w:pPr>
              <w:pStyle w:val="TableParagraph"/>
              <w:spacing w:before="46"/>
              <w:ind w:left="903"/>
              <w:rPr>
                <w:sz w:val="20"/>
              </w:rPr>
            </w:pPr>
            <w:r>
              <w:rPr>
                <w:w w:val="99"/>
                <w:sz w:val="20"/>
              </w:rPr>
              <w:t>-</w:t>
            </w:r>
          </w:p>
        </w:tc>
        <w:tc>
          <w:tcPr>
            <w:tcW w:w="2922" w:type="dxa"/>
          </w:tcPr>
          <w:p>
            <w:pPr>
              <w:pStyle w:val="TableParagraph"/>
              <w:spacing w:before="46"/>
              <w:ind w:left="1089" w:right="547"/>
              <w:jc w:val="center"/>
              <w:rPr>
                <w:sz w:val="20"/>
              </w:rPr>
            </w:pPr>
            <w:r>
              <w:rPr>
                <w:sz w:val="20"/>
              </w:rPr>
              <w:t>Пол:</w:t>
            </w:r>
            <w:r>
              <w:rPr>
                <w:spacing w:val="-6"/>
                <w:sz w:val="20"/>
              </w:rPr>
              <w:t> </w:t>
            </w:r>
            <w:r>
              <w:rPr>
                <w:spacing w:val="-2"/>
                <w:sz w:val="20"/>
              </w:rPr>
              <w:t>Мужской</w:t>
            </w:r>
          </w:p>
        </w:tc>
        <w:tc>
          <w:tcPr>
            <w:tcW w:w="962" w:type="dxa"/>
          </w:tcPr>
          <w:p>
            <w:pPr>
              <w:pStyle w:val="TableParagraph"/>
              <w:spacing w:before="46"/>
              <w:ind w:right="46"/>
              <w:jc w:val="right"/>
              <w:rPr>
                <w:sz w:val="20"/>
              </w:rPr>
            </w:pPr>
            <w:r>
              <w:rPr>
                <w:spacing w:val="-4"/>
                <w:sz w:val="20"/>
              </w:rPr>
              <w:t>1,44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61"/>
        <w:gridCol w:w="2345"/>
        <w:gridCol w:w="4384"/>
        <w:gridCol w:w="2570"/>
        <w:gridCol w:w="764"/>
      </w:tblGrid>
      <w:tr>
        <w:trPr>
          <w:trHeight w:val="1195" w:hRule="atLeast"/>
        </w:trPr>
        <w:tc>
          <w:tcPr>
            <w:tcW w:w="15277" w:type="dxa"/>
            <w:gridSpan w:val="7"/>
          </w:tcPr>
          <w:p>
            <w:pPr>
              <w:pStyle w:val="TableParagraph"/>
              <w:spacing w:line="221" w:lineRule="exact"/>
              <w:ind w:left="4468" w:right="7003"/>
              <w:jc w:val="center"/>
              <w:rPr>
                <w:sz w:val="20"/>
              </w:rPr>
            </w:pPr>
            <w:r>
              <w:rPr>
                <w:sz w:val="20"/>
              </w:rPr>
              <w:t>T87.6,</w:t>
            </w:r>
            <w:r>
              <w:rPr>
                <w:spacing w:val="-6"/>
                <w:sz w:val="20"/>
              </w:rPr>
              <w:t> </w:t>
            </w:r>
            <w:r>
              <w:rPr>
                <w:sz w:val="20"/>
              </w:rPr>
              <w:t>T90,</w:t>
            </w:r>
            <w:r>
              <w:rPr>
                <w:spacing w:val="-6"/>
                <w:sz w:val="20"/>
              </w:rPr>
              <w:t> </w:t>
            </w:r>
            <w:r>
              <w:rPr>
                <w:sz w:val="20"/>
              </w:rPr>
              <w:t>T90.0,</w:t>
            </w:r>
            <w:r>
              <w:rPr>
                <w:spacing w:val="-5"/>
                <w:sz w:val="20"/>
              </w:rPr>
              <w:t> </w:t>
            </w:r>
            <w:r>
              <w:rPr>
                <w:sz w:val="20"/>
              </w:rPr>
              <w:t>T90.1,</w:t>
            </w:r>
            <w:r>
              <w:rPr>
                <w:spacing w:val="-4"/>
                <w:sz w:val="20"/>
              </w:rPr>
              <w:t> </w:t>
            </w:r>
            <w:r>
              <w:rPr>
                <w:sz w:val="20"/>
              </w:rPr>
              <w:t>T91,</w:t>
            </w:r>
            <w:r>
              <w:rPr>
                <w:spacing w:val="-4"/>
                <w:sz w:val="20"/>
              </w:rPr>
              <w:t> </w:t>
            </w:r>
            <w:r>
              <w:rPr>
                <w:sz w:val="20"/>
              </w:rPr>
              <w:t>T91.0,</w:t>
            </w:r>
            <w:r>
              <w:rPr>
                <w:spacing w:val="-4"/>
                <w:sz w:val="20"/>
              </w:rPr>
              <w:t> </w:t>
            </w:r>
            <w:r>
              <w:rPr>
                <w:spacing w:val="-2"/>
                <w:sz w:val="20"/>
              </w:rPr>
              <w:t>T91.2,</w:t>
            </w:r>
          </w:p>
          <w:p>
            <w:pPr>
              <w:pStyle w:val="TableParagraph"/>
              <w:spacing w:line="229" w:lineRule="exact"/>
              <w:ind w:left="4469" w:right="7003"/>
              <w:jc w:val="center"/>
              <w:rPr>
                <w:sz w:val="20"/>
              </w:rPr>
            </w:pPr>
            <w:r>
              <w:rPr>
                <w:sz w:val="20"/>
              </w:rPr>
              <w:t>T91.8,</w:t>
            </w:r>
            <w:r>
              <w:rPr>
                <w:spacing w:val="-7"/>
                <w:sz w:val="20"/>
              </w:rPr>
              <w:t> </w:t>
            </w:r>
            <w:r>
              <w:rPr>
                <w:sz w:val="20"/>
              </w:rPr>
              <w:t>T91.9,</w:t>
            </w:r>
            <w:r>
              <w:rPr>
                <w:spacing w:val="-5"/>
                <w:sz w:val="20"/>
              </w:rPr>
              <w:t> </w:t>
            </w:r>
            <w:r>
              <w:rPr>
                <w:sz w:val="20"/>
              </w:rPr>
              <w:t>T92,</w:t>
            </w:r>
            <w:r>
              <w:rPr>
                <w:spacing w:val="-5"/>
                <w:sz w:val="20"/>
              </w:rPr>
              <w:t> </w:t>
            </w:r>
            <w:r>
              <w:rPr>
                <w:sz w:val="20"/>
              </w:rPr>
              <w:t>T92.0,</w:t>
            </w:r>
            <w:r>
              <w:rPr>
                <w:spacing w:val="-5"/>
                <w:sz w:val="20"/>
              </w:rPr>
              <w:t> </w:t>
            </w:r>
            <w:r>
              <w:rPr>
                <w:sz w:val="20"/>
              </w:rPr>
              <w:t>T92.1,</w:t>
            </w:r>
            <w:r>
              <w:rPr>
                <w:spacing w:val="-5"/>
                <w:sz w:val="20"/>
              </w:rPr>
              <w:t> </w:t>
            </w:r>
            <w:r>
              <w:rPr>
                <w:sz w:val="20"/>
              </w:rPr>
              <w:t>T92.2,</w:t>
            </w:r>
            <w:r>
              <w:rPr>
                <w:spacing w:val="-5"/>
                <w:sz w:val="20"/>
              </w:rPr>
              <w:t> </w:t>
            </w:r>
            <w:r>
              <w:rPr>
                <w:spacing w:val="-2"/>
                <w:sz w:val="20"/>
              </w:rPr>
              <w:t>T92.3,</w:t>
            </w:r>
          </w:p>
          <w:p>
            <w:pPr>
              <w:pStyle w:val="TableParagraph"/>
              <w:spacing w:line="229" w:lineRule="exact"/>
              <w:ind w:left="4470" w:right="7003"/>
              <w:jc w:val="center"/>
              <w:rPr>
                <w:sz w:val="20"/>
              </w:rPr>
            </w:pPr>
            <w:r>
              <w:rPr>
                <w:sz w:val="20"/>
              </w:rPr>
              <w:t>T92.5,</w:t>
            </w:r>
            <w:r>
              <w:rPr>
                <w:spacing w:val="-7"/>
                <w:sz w:val="20"/>
              </w:rPr>
              <w:t> </w:t>
            </w:r>
            <w:r>
              <w:rPr>
                <w:sz w:val="20"/>
              </w:rPr>
              <w:t>T92.6,</w:t>
            </w:r>
            <w:r>
              <w:rPr>
                <w:spacing w:val="-4"/>
                <w:sz w:val="20"/>
              </w:rPr>
              <w:t> </w:t>
            </w:r>
            <w:r>
              <w:rPr>
                <w:sz w:val="20"/>
              </w:rPr>
              <w:t>T92.8,</w:t>
            </w:r>
            <w:r>
              <w:rPr>
                <w:spacing w:val="-5"/>
                <w:sz w:val="20"/>
              </w:rPr>
              <w:t> </w:t>
            </w:r>
            <w:r>
              <w:rPr>
                <w:sz w:val="20"/>
              </w:rPr>
              <w:t>T92.9,</w:t>
            </w:r>
            <w:r>
              <w:rPr>
                <w:spacing w:val="-4"/>
                <w:sz w:val="20"/>
              </w:rPr>
              <w:t> </w:t>
            </w:r>
            <w:r>
              <w:rPr>
                <w:sz w:val="20"/>
              </w:rPr>
              <w:t>T93,</w:t>
            </w:r>
            <w:r>
              <w:rPr>
                <w:spacing w:val="-5"/>
                <w:sz w:val="20"/>
              </w:rPr>
              <w:t> </w:t>
            </w:r>
            <w:r>
              <w:rPr>
                <w:sz w:val="20"/>
              </w:rPr>
              <w:t>T93.0,</w:t>
            </w:r>
            <w:r>
              <w:rPr>
                <w:spacing w:val="-6"/>
                <w:sz w:val="20"/>
              </w:rPr>
              <w:t> </w:t>
            </w:r>
            <w:r>
              <w:rPr>
                <w:spacing w:val="-2"/>
                <w:sz w:val="20"/>
              </w:rPr>
              <w:t>T93.1,</w:t>
            </w:r>
          </w:p>
          <w:p>
            <w:pPr>
              <w:pStyle w:val="TableParagraph"/>
              <w:spacing w:before="1"/>
              <w:ind w:left="4469" w:right="7003"/>
              <w:jc w:val="center"/>
              <w:rPr>
                <w:sz w:val="20"/>
              </w:rPr>
            </w:pPr>
            <w:r>
              <w:rPr>
                <w:sz w:val="20"/>
              </w:rPr>
              <w:t>T93.2,</w:t>
            </w:r>
            <w:r>
              <w:rPr>
                <w:spacing w:val="-9"/>
                <w:sz w:val="20"/>
              </w:rPr>
              <w:t> </w:t>
            </w:r>
            <w:r>
              <w:rPr>
                <w:sz w:val="20"/>
              </w:rPr>
              <w:t>T93.3,</w:t>
            </w:r>
            <w:r>
              <w:rPr>
                <w:spacing w:val="-7"/>
                <w:sz w:val="20"/>
              </w:rPr>
              <w:t> </w:t>
            </w:r>
            <w:r>
              <w:rPr>
                <w:sz w:val="20"/>
              </w:rPr>
              <w:t>T93.5,</w:t>
            </w:r>
            <w:r>
              <w:rPr>
                <w:spacing w:val="-7"/>
                <w:sz w:val="20"/>
              </w:rPr>
              <w:t> </w:t>
            </w:r>
            <w:r>
              <w:rPr>
                <w:sz w:val="20"/>
              </w:rPr>
              <w:t>T93.6,</w:t>
            </w:r>
            <w:r>
              <w:rPr>
                <w:spacing w:val="-7"/>
                <w:sz w:val="20"/>
              </w:rPr>
              <w:t> </w:t>
            </w:r>
            <w:r>
              <w:rPr>
                <w:sz w:val="20"/>
              </w:rPr>
              <w:t>T93.8,</w:t>
            </w:r>
            <w:r>
              <w:rPr>
                <w:spacing w:val="-7"/>
                <w:sz w:val="20"/>
              </w:rPr>
              <w:t> </w:t>
            </w:r>
            <w:r>
              <w:rPr>
                <w:sz w:val="20"/>
              </w:rPr>
              <w:t>T93.9,</w:t>
            </w:r>
            <w:r>
              <w:rPr>
                <w:spacing w:val="-7"/>
                <w:sz w:val="20"/>
              </w:rPr>
              <w:t> </w:t>
            </w:r>
            <w:r>
              <w:rPr>
                <w:sz w:val="20"/>
              </w:rPr>
              <w:t>T94, T94.0, T94.1</w:t>
            </w:r>
          </w:p>
        </w:tc>
      </w:tr>
      <w:tr>
        <w:trPr>
          <w:trHeight w:val="2400" w:hRule="atLeast"/>
        </w:trPr>
        <w:tc>
          <w:tcPr>
            <w:tcW w:w="946" w:type="dxa"/>
          </w:tcPr>
          <w:p>
            <w:pPr>
              <w:pStyle w:val="TableParagraph"/>
              <w:spacing w:before="46"/>
              <w:ind w:left="50"/>
              <w:rPr>
                <w:sz w:val="20"/>
              </w:rPr>
            </w:pPr>
            <w:r>
              <w:rPr>
                <w:spacing w:val="-2"/>
                <w:sz w:val="20"/>
              </w:rPr>
              <w:t>st29.007</w:t>
            </w:r>
          </w:p>
        </w:tc>
        <w:tc>
          <w:tcPr>
            <w:tcW w:w="707" w:type="dxa"/>
          </w:tcPr>
          <w:p>
            <w:pPr>
              <w:pStyle w:val="TableParagraph"/>
              <w:spacing w:before="46"/>
              <w:ind w:left="210"/>
              <w:rPr>
                <w:sz w:val="20"/>
              </w:rPr>
            </w:pPr>
            <w:r>
              <w:rPr>
                <w:spacing w:val="-5"/>
                <w:sz w:val="20"/>
              </w:rPr>
              <w:t>275</w:t>
            </w:r>
          </w:p>
        </w:tc>
        <w:tc>
          <w:tcPr>
            <w:tcW w:w="3561" w:type="dxa"/>
          </w:tcPr>
          <w:p>
            <w:pPr>
              <w:pStyle w:val="TableParagraph"/>
              <w:spacing w:before="46"/>
              <w:ind w:left="192" w:right="694"/>
              <w:rPr>
                <w:sz w:val="20"/>
              </w:rPr>
            </w:pPr>
            <w:r>
              <w:rPr>
                <w:sz w:val="20"/>
              </w:rPr>
              <w:t>Тяжелая</w:t>
            </w:r>
            <w:r>
              <w:rPr>
                <w:spacing w:val="-13"/>
                <w:sz w:val="20"/>
              </w:rPr>
              <w:t> </w:t>
            </w:r>
            <w:r>
              <w:rPr>
                <w:sz w:val="20"/>
              </w:rPr>
              <w:t>множественная</w:t>
            </w:r>
            <w:r>
              <w:rPr>
                <w:spacing w:val="-12"/>
                <w:sz w:val="20"/>
              </w:rPr>
              <w:t> </w:t>
            </w:r>
            <w:r>
              <w:rPr>
                <w:sz w:val="20"/>
              </w:rPr>
              <w:t>и сочетанная травма </w:t>
            </w:r>
            <w:r>
              <w:rPr>
                <w:spacing w:val="-2"/>
                <w:sz w:val="20"/>
              </w:rPr>
              <w:t>(политравма)</w:t>
            </w:r>
          </w:p>
        </w:tc>
        <w:tc>
          <w:tcPr>
            <w:tcW w:w="2345" w:type="dxa"/>
          </w:tcPr>
          <w:p>
            <w:pPr>
              <w:pStyle w:val="TableParagraph"/>
              <w:spacing w:before="46"/>
              <w:ind w:right="26"/>
              <w:jc w:val="center"/>
              <w:rPr>
                <w:sz w:val="20"/>
              </w:rPr>
            </w:pPr>
            <w:r>
              <w:rPr>
                <w:w w:val="99"/>
                <w:sz w:val="20"/>
              </w:rPr>
              <w:t>-</w:t>
            </w:r>
          </w:p>
        </w:tc>
        <w:tc>
          <w:tcPr>
            <w:tcW w:w="4384" w:type="dxa"/>
          </w:tcPr>
          <w:p>
            <w:pPr>
              <w:pStyle w:val="TableParagraph"/>
              <w:spacing w:before="46"/>
              <w:ind w:left="1004"/>
              <w:jc w:val="center"/>
              <w:rPr>
                <w:sz w:val="20"/>
              </w:rPr>
            </w:pPr>
            <w:r>
              <w:rPr>
                <w:w w:val="99"/>
                <w:sz w:val="20"/>
              </w:rPr>
              <w:t>-</w:t>
            </w:r>
          </w:p>
        </w:tc>
        <w:tc>
          <w:tcPr>
            <w:tcW w:w="2570" w:type="dxa"/>
          </w:tcPr>
          <w:p>
            <w:pPr>
              <w:pStyle w:val="TableParagraph"/>
              <w:spacing w:before="46"/>
              <w:ind w:left="144" w:right="363" w:firstLine="4"/>
              <w:jc w:val="center"/>
              <w:rPr>
                <w:sz w:val="20"/>
              </w:rPr>
            </w:pPr>
            <w:r>
              <w:rPr>
                <w:spacing w:val="-2"/>
                <w:sz w:val="20"/>
              </w:rPr>
              <w:t>Дополнительные </w:t>
            </w:r>
            <w:r>
              <w:rPr>
                <w:sz w:val="20"/>
              </w:rPr>
              <w:t>диагнозы: J93, J93.0, J93.1,</w:t>
            </w:r>
            <w:r>
              <w:rPr>
                <w:spacing w:val="-13"/>
                <w:sz w:val="20"/>
              </w:rPr>
              <w:t> </w:t>
            </w:r>
            <w:r>
              <w:rPr>
                <w:sz w:val="20"/>
              </w:rPr>
              <w:t>J93.8,</w:t>
            </w:r>
            <w:r>
              <w:rPr>
                <w:spacing w:val="-12"/>
                <w:sz w:val="20"/>
              </w:rPr>
              <w:t> </w:t>
            </w:r>
            <w:r>
              <w:rPr>
                <w:sz w:val="20"/>
              </w:rPr>
              <w:t>J93.9,</w:t>
            </w:r>
            <w:r>
              <w:rPr>
                <w:spacing w:val="-13"/>
                <w:sz w:val="20"/>
              </w:rPr>
              <w:t> </w:t>
            </w:r>
            <w:r>
              <w:rPr>
                <w:sz w:val="20"/>
              </w:rPr>
              <w:t>J94.2,</w:t>
            </w:r>
          </w:p>
          <w:p>
            <w:pPr>
              <w:pStyle w:val="TableParagraph"/>
              <w:spacing w:line="229" w:lineRule="exact"/>
              <w:ind w:left="400" w:right="617"/>
              <w:jc w:val="center"/>
              <w:rPr>
                <w:sz w:val="20"/>
              </w:rPr>
            </w:pPr>
            <w:r>
              <w:rPr>
                <w:sz w:val="20"/>
              </w:rPr>
              <w:t>J94.8,</w:t>
            </w:r>
            <w:r>
              <w:rPr>
                <w:spacing w:val="-5"/>
                <w:sz w:val="20"/>
              </w:rPr>
              <w:t> </w:t>
            </w:r>
            <w:r>
              <w:rPr>
                <w:sz w:val="20"/>
              </w:rPr>
              <w:t>J94.9,</w:t>
            </w:r>
            <w:r>
              <w:rPr>
                <w:spacing w:val="-5"/>
                <w:sz w:val="20"/>
              </w:rPr>
              <w:t> </w:t>
            </w:r>
            <w:r>
              <w:rPr>
                <w:spacing w:val="-2"/>
                <w:sz w:val="20"/>
              </w:rPr>
              <w:t>J96.0,</w:t>
            </w:r>
          </w:p>
          <w:p>
            <w:pPr>
              <w:pStyle w:val="TableParagraph"/>
              <w:ind w:left="397" w:right="609"/>
              <w:jc w:val="center"/>
              <w:rPr>
                <w:sz w:val="20"/>
              </w:rPr>
            </w:pPr>
            <w:r>
              <w:rPr>
                <w:sz w:val="20"/>
              </w:rPr>
              <w:t>N17,</w:t>
            </w:r>
            <w:r>
              <w:rPr>
                <w:spacing w:val="-13"/>
                <w:sz w:val="20"/>
              </w:rPr>
              <w:t> </w:t>
            </w:r>
            <w:r>
              <w:rPr>
                <w:sz w:val="20"/>
              </w:rPr>
              <w:t>R57.1,</w:t>
            </w:r>
            <w:r>
              <w:rPr>
                <w:spacing w:val="-12"/>
                <w:sz w:val="20"/>
              </w:rPr>
              <w:t> </w:t>
            </w:r>
            <w:r>
              <w:rPr>
                <w:sz w:val="20"/>
              </w:rPr>
              <w:t>R57.8, </w:t>
            </w:r>
            <w:r>
              <w:rPr>
                <w:spacing w:val="-2"/>
                <w:sz w:val="20"/>
              </w:rPr>
              <w:t>T79.4</w:t>
            </w:r>
          </w:p>
          <w:p>
            <w:pPr>
              <w:pStyle w:val="TableParagraph"/>
              <w:spacing w:before="10"/>
              <w:rPr>
                <w:sz w:val="19"/>
              </w:rPr>
            </w:pPr>
          </w:p>
          <w:p>
            <w:pPr>
              <w:pStyle w:val="TableParagraph"/>
              <w:spacing w:before="1"/>
              <w:ind w:left="298" w:right="510" w:hanging="2"/>
              <w:jc w:val="center"/>
              <w:rPr>
                <w:sz w:val="20"/>
              </w:rPr>
            </w:pPr>
            <w:r>
              <w:rPr>
                <w:spacing w:val="-4"/>
                <w:sz w:val="20"/>
              </w:rPr>
              <w:t>Иной </w:t>
            </w:r>
            <w:r>
              <w:rPr>
                <w:spacing w:val="-2"/>
                <w:sz w:val="20"/>
              </w:rPr>
              <w:t>классификационный </w:t>
            </w:r>
            <w:r>
              <w:rPr>
                <w:sz w:val="20"/>
              </w:rPr>
              <w:t>критерий: plt</w:t>
            </w:r>
          </w:p>
        </w:tc>
        <w:tc>
          <w:tcPr>
            <w:tcW w:w="764" w:type="dxa"/>
          </w:tcPr>
          <w:p>
            <w:pPr>
              <w:pStyle w:val="TableParagraph"/>
              <w:spacing w:before="46"/>
              <w:ind w:right="51"/>
              <w:jc w:val="right"/>
              <w:rPr>
                <w:sz w:val="20"/>
              </w:rPr>
            </w:pPr>
            <w:r>
              <w:rPr>
                <w:spacing w:val="-4"/>
                <w:sz w:val="20"/>
              </w:rPr>
              <w:t>7,07</w:t>
            </w:r>
          </w:p>
        </w:tc>
      </w:tr>
      <w:tr>
        <w:trPr>
          <w:trHeight w:val="279" w:hRule="atLeast"/>
        </w:trPr>
        <w:tc>
          <w:tcPr>
            <w:tcW w:w="946" w:type="dxa"/>
          </w:tcPr>
          <w:p>
            <w:pPr>
              <w:pStyle w:val="TableParagraph"/>
              <w:spacing w:line="214" w:lineRule="exact" w:before="46"/>
              <w:ind w:left="50"/>
              <w:rPr>
                <w:sz w:val="20"/>
              </w:rPr>
            </w:pPr>
            <w:r>
              <w:rPr>
                <w:spacing w:val="-2"/>
                <w:sz w:val="20"/>
              </w:rPr>
              <w:t>st29.008</w:t>
            </w:r>
          </w:p>
        </w:tc>
        <w:tc>
          <w:tcPr>
            <w:tcW w:w="707" w:type="dxa"/>
          </w:tcPr>
          <w:p>
            <w:pPr>
              <w:pStyle w:val="TableParagraph"/>
              <w:spacing w:line="214" w:lineRule="exact" w:before="46"/>
              <w:ind w:left="210"/>
              <w:rPr>
                <w:sz w:val="20"/>
              </w:rPr>
            </w:pPr>
            <w:r>
              <w:rPr>
                <w:spacing w:val="-5"/>
                <w:sz w:val="20"/>
              </w:rPr>
              <w:t>276</w:t>
            </w:r>
          </w:p>
        </w:tc>
        <w:tc>
          <w:tcPr>
            <w:tcW w:w="3561" w:type="dxa"/>
          </w:tcPr>
          <w:p>
            <w:pPr>
              <w:pStyle w:val="TableParagraph"/>
              <w:spacing w:line="214" w:lineRule="exact" w:before="46"/>
              <w:ind w:left="192"/>
              <w:rPr>
                <w:sz w:val="20"/>
              </w:rPr>
            </w:pPr>
            <w:r>
              <w:rPr>
                <w:spacing w:val="-2"/>
                <w:sz w:val="20"/>
              </w:rPr>
              <w:t>Эндопротезирование</w:t>
            </w:r>
          </w:p>
        </w:tc>
        <w:tc>
          <w:tcPr>
            <w:tcW w:w="2345" w:type="dxa"/>
          </w:tcPr>
          <w:p>
            <w:pPr>
              <w:pStyle w:val="TableParagraph"/>
              <w:spacing w:line="214" w:lineRule="exact" w:before="46"/>
              <w:ind w:right="26"/>
              <w:jc w:val="center"/>
              <w:rPr>
                <w:sz w:val="20"/>
              </w:rPr>
            </w:pPr>
            <w:r>
              <w:rPr>
                <w:w w:val="99"/>
                <w:sz w:val="20"/>
              </w:rPr>
              <w:t>-</w:t>
            </w:r>
          </w:p>
        </w:tc>
        <w:tc>
          <w:tcPr>
            <w:tcW w:w="4384" w:type="dxa"/>
          </w:tcPr>
          <w:p>
            <w:pPr>
              <w:pStyle w:val="TableParagraph"/>
              <w:spacing w:line="214" w:lineRule="exact" w:before="46"/>
              <w:ind w:left="1149" w:right="147"/>
              <w:jc w:val="center"/>
              <w:rPr>
                <w:sz w:val="20"/>
              </w:rPr>
            </w:pPr>
            <w:r>
              <w:rPr>
                <w:sz w:val="20"/>
              </w:rPr>
              <w:t>A16.04.021,</w:t>
            </w:r>
            <w:r>
              <w:rPr>
                <w:spacing w:val="-7"/>
                <w:sz w:val="20"/>
              </w:rPr>
              <w:t> </w:t>
            </w:r>
            <w:r>
              <w:rPr>
                <w:spacing w:val="-2"/>
                <w:sz w:val="20"/>
              </w:rPr>
              <w:t>A16.04.021.001,</w:t>
            </w:r>
          </w:p>
        </w:tc>
        <w:tc>
          <w:tcPr>
            <w:tcW w:w="2570" w:type="dxa"/>
          </w:tcPr>
          <w:p>
            <w:pPr>
              <w:pStyle w:val="TableParagraph"/>
              <w:spacing w:line="214" w:lineRule="exact" w:before="46"/>
              <w:ind w:left="1143"/>
              <w:rPr>
                <w:sz w:val="20"/>
              </w:rPr>
            </w:pPr>
            <w:r>
              <w:rPr>
                <w:w w:val="99"/>
                <w:sz w:val="20"/>
              </w:rPr>
              <w:t>-</w:t>
            </w:r>
          </w:p>
        </w:tc>
        <w:tc>
          <w:tcPr>
            <w:tcW w:w="764" w:type="dxa"/>
          </w:tcPr>
          <w:p>
            <w:pPr>
              <w:pStyle w:val="TableParagraph"/>
              <w:spacing w:line="214" w:lineRule="exact" w:before="46"/>
              <w:ind w:right="51"/>
              <w:jc w:val="right"/>
              <w:rPr>
                <w:sz w:val="20"/>
              </w:rPr>
            </w:pPr>
            <w:r>
              <w:rPr>
                <w:spacing w:val="-4"/>
                <w:sz w:val="20"/>
              </w:rPr>
              <w:t>4,46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spacing w:line="209" w:lineRule="exact"/>
              <w:ind w:left="192"/>
              <w:rPr>
                <w:sz w:val="20"/>
              </w:rPr>
            </w:pPr>
            <w:r>
              <w:rPr>
                <w:spacing w:val="-2"/>
                <w:sz w:val="20"/>
              </w:rPr>
              <w:t>суставов</w:t>
            </w:r>
          </w:p>
        </w:tc>
        <w:tc>
          <w:tcPr>
            <w:tcW w:w="2345" w:type="dxa"/>
          </w:tcPr>
          <w:p>
            <w:pPr>
              <w:pStyle w:val="TableParagraph"/>
              <w:rPr>
                <w:sz w:val="16"/>
              </w:rPr>
            </w:pPr>
          </w:p>
        </w:tc>
        <w:tc>
          <w:tcPr>
            <w:tcW w:w="4384" w:type="dxa"/>
          </w:tcPr>
          <w:p>
            <w:pPr>
              <w:pStyle w:val="TableParagraph"/>
              <w:spacing w:line="209" w:lineRule="exact"/>
              <w:ind w:left="1150" w:right="147"/>
              <w:jc w:val="center"/>
              <w:rPr>
                <w:sz w:val="20"/>
              </w:rPr>
            </w:pPr>
            <w:r>
              <w:rPr>
                <w:sz w:val="20"/>
              </w:rPr>
              <w:t>A16.04.021.002,</w:t>
            </w:r>
            <w:r>
              <w:rPr>
                <w:spacing w:val="-10"/>
                <w:sz w:val="20"/>
              </w:rPr>
              <w:t> </w:t>
            </w:r>
            <w:r>
              <w:rPr>
                <w:spacing w:val="-2"/>
                <w:sz w:val="20"/>
              </w:rPr>
              <w:t>A16.04.021.004,</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1" w:lineRule="exact"/>
              <w:ind w:left="1150" w:right="147"/>
              <w:jc w:val="center"/>
              <w:rPr>
                <w:sz w:val="20"/>
              </w:rPr>
            </w:pPr>
            <w:r>
              <w:rPr>
                <w:sz w:val="20"/>
              </w:rPr>
              <w:t>A16.04.021.005,</w:t>
            </w:r>
            <w:r>
              <w:rPr>
                <w:spacing w:val="-10"/>
                <w:sz w:val="20"/>
              </w:rPr>
              <w:t> </w:t>
            </w:r>
            <w:r>
              <w:rPr>
                <w:spacing w:val="-2"/>
                <w:sz w:val="20"/>
              </w:rPr>
              <w:t>A16.04.021.006,</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A16.04.021.007,</w:t>
            </w:r>
            <w:r>
              <w:rPr>
                <w:spacing w:val="54"/>
                <w:sz w:val="20"/>
              </w:rPr>
              <w:t> </w:t>
            </w:r>
            <w:r>
              <w:rPr>
                <w:spacing w:val="-2"/>
                <w:sz w:val="20"/>
              </w:rPr>
              <w:t>A16.04.021.008,</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A16.04.021.009,</w:t>
            </w:r>
            <w:r>
              <w:rPr>
                <w:spacing w:val="54"/>
                <w:sz w:val="20"/>
              </w:rPr>
              <w:t> </w:t>
            </w:r>
            <w:r>
              <w:rPr>
                <w:spacing w:val="-2"/>
                <w:sz w:val="20"/>
              </w:rPr>
              <w:t>A16.04.021.010,</w:t>
            </w:r>
          </w:p>
        </w:tc>
        <w:tc>
          <w:tcPr>
            <w:tcW w:w="2570" w:type="dxa"/>
          </w:tcPr>
          <w:p>
            <w:pPr>
              <w:pStyle w:val="TableParagraph"/>
              <w:rPr>
                <w:sz w:val="16"/>
              </w:rPr>
            </w:pPr>
          </w:p>
        </w:tc>
        <w:tc>
          <w:tcPr>
            <w:tcW w:w="7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561" w:type="dxa"/>
          </w:tcPr>
          <w:p>
            <w:pPr>
              <w:pStyle w:val="TableParagraph"/>
              <w:rPr>
                <w:sz w:val="18"/>
              </w:rPr>
            </w:pPr>
          </w:p>
        </w:tc>
        <w:tc>
          <w:tcPr>
            <w:tcW w:w="2345" w:type="dxa"/>
          </w:tcPr>
          <w:p>
            <w:pPr>
              <w:pStyle w:val="TableParagraph"/>
              <w:rPr>
                <w:sz w:val="18"/>
              </w:rPr>
            </w:pPr>
          </w:p>
        </w:tc>
        <w:tc>
          <w:tcPr>
            <w:tcW w:w="4384" w:type="dxa"/>
          </w:tcPr>
          <w:p>
            <w:pPr>
              <w:pStyle w:val="TableParagraph"/>
              <w:spacing w:line="226" w:lineRule="exact"/>
              <w:ind w:left="1149" w:right="147"/>
              <w:jc w:val="center"/>
              <w:rPr>
                <w:sz w:val="20"/>
              </w:rPr>
            </w:pPr>
            <w:r>
              <w:rPr>
                <w:spacing w:val="-2"/>
                <w:sz w:val="20"/>
              </w:rPr>
              <w:t>A16.04.021.011</w:t>
            </w:r>
          </w:p>
        </w:tc>
        <w:tc>
          <w:tcPr>
            <w:tcW w:w="2570" w:type="dxa"/>
          </w:tcPr>
          <w:p>
            <w:pPr>
              <w:pStyle w:val="TableParagraph"/>
              <w:rPr>
                <w:sz w:val="18"/>
              </w:rPr>
            </w:pPr>
          </w:p>
        </w:tc>
        <w:tc>
          <w:tcPr>
            <w:tcW w:w="76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st29.009</w:t>
            </w:r>
          </w:p>
        </w:tc>
        <w:tc>
          <w:tcPr>
            <w:tcW w:w="707" w:type="dxa"/>
          </w:tcPr>
          <w:p>
            <w:pPr>
              <w:pStyle w:val="TableParagraph"/>
              <w:spacing w:line="215" w:lineRule="exact" w:before="45"/>
              <w:ind w:left="210"/>
              <w:rPr>
                <w:sz w:val="20"/>
              </w:rPr>
            </w:pPr>
            <w:r>
              <w:rPr>
                <w:spacing w:val="-5"/>
                <w:sz w:val="20"/>
              </w:rPr>
              <w:t>277</w:t>
            </w:r>
          </w:p>
        </w:tc>
        <w:tc>
          <w:tcPr>
            <w:tcW w:w="3561"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345" w:type="dxa"/>
          </w:tcPr>
          <w:p>
            <w:pPr>
              <w:pStyle w:val="TableParagraph"/>
              <w:spacing w:line="215" w:lineRule="exact" w:before="45"/>
              <w:ind w:right="26"/>
              <w:jc w:val="center"/>
              <w:rPr>
                <w:sz w:val="20"/>
              </w:rPr>
            </w:pPr>
            <w:r>
              <w:rPr>
                <w:w w:val="99"/>
                <w:sz w:val="20"/>
              </w:rPr>
              <w:t>-</w:t>
            </w:r>
          </w:p>
        </w:tc>
        <w:tc>
          <w:tcPr>
            <w:tcW w:w="4384" w:type="dxa"/>
          </w:tcPr>
          <w:p>
            <w:pPr>
              <w:pStyle w:val="TableParagraph"/>
              <w:spacing w:line="215" w:lineRule="exact" w:before="45"/>
              <w:ind w:left="1149" w:right="147"/>
              <w:jc w:val="center"/>
              <w:rPr>
                <w:sz w:val="20"/>
              </w:rPr>
            </w:pPr>
            <w:r>
              <w:rPr>
                <w:sz w:val="20"/>
              </w:rPr>
              <w:t>A11.03.001,</w:t>
            </w:r>
            <w:r>
              <w:rPr>
                <w:spacing w:val="-7"/>
                <w:sz w:val="20"/>
              </w:rPr>
              <w:t> </w:t>
            </w:r>
            <w:r>
              <w:rPr>
                <w:spacing w:val="-2"/>
                <w:sz w:val="20"/>
              </w:rPr>
              <w:t>A11.03.001.001,</w:t>
            </w:r>
          </w:p>
        </w:tc>
        <w:tc>
          <w:tcPr>
            <w:tcW w:w="2570" w:type="dxa"/>
          </w:tcPr>
          <w:p>
            <w:pPr>
              <w:pStyle w:val="TableParagraph"/>
              <w:spacing w:line="215" w:lineRule="exact" w:before="45"/>
              <w:ind w:left="1143"/>
              <w:rPr>
                <w:sz w:val="20"/>
              </w:rPr>
            </w:pPr>
            <w:r>
              <w:rPr>
                <w:w w:val="99"/>
                <w:sz w:val="20"/>
              </w:rPr>
              <w:t>-</w:t>
            </w:r>
          </w:p>
        </w:tc>
        <w:tc>
          <w:tcPr>
            <w:tcW w:w="764" w:type="dxa"/>
          </w:tcPr>
          <w:p>
            <w:pPr>
              <w:pStyle w:val="TableParagraph"/>
              <w:spacing w:line="215" w:lineRule="exact" w:before="45"/>
              <w:ind w:right="51"/>
              <w:jc w:val="right"/>
              <w:rPr>
                <w:sz w:val="20"/>
              </w:rPr>
            </w:pPr>
            <w:r>
              <w:rPr>
                <w:spacing w:val="-4"/>
                <w:sz w:val="20"/>
              </w:rPr>
              <w:t>0,79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spacing w:line="210" w:lineRule="exact"/>
              <w:ind w:left="192"/>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A11.03.001.002,</w:t>
            </w:r>
            <w:r>
              <w:rPr>
                <w:spacing w:val="54"/>
                <w:sz w:val="20"/>
              </w:rPr>
              <w:t> </w:t>
            </w:r>
            <w:r>
              <w:rPr>
                <w:spacing w:val="-2"/>
                <w:sz w:val="20"/>
              </w:rPr>
              <w:t>A11.03.001.003,</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spacing w:line="210"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1)</w:t>
            </w:r>
          </w:p>
        </w:tc>
        <w:tc>
          <w:tcPr>
            <w:tcW w:w="2345" w:type="dxa"/>
          </w:tcPr>
          <w:p>
            <w:pPr>
              <w:pStyle w:val="TableParagraph"/>
              <w:rPr>
                <w:sz w:val="16"/>
              </w:rPr>
            </w:pPr>
          </w:p>
        </w:tc>
        <w:tc>
          <w:tcPr>
            <w:tcW w:w="4384" w:type="dxa"/>
          </w:tcPr>
          <w:p>
            <w:pPr>
              <w:pStyle w:val="TableParagraph"/>
              <w:spacing w:line="210" w:lineRule="exact"/>
              <w:ind w:left="1148" w:right="147"/>
              <w:jc w:val="center"/>
              <w:rPr>
                <w:sz w:val="20"/>
              </w:rPr>
            </w:pPr>
            <w:r>
              <w:rPr>
                <w:sz w:val="20"/>
              </w:rPr>
              <w:t>A16.02.001,</w:t>
            </w:r>
            <w:r>
              <w:rPr>
                <w:spacing w:val="-9"/>
                <w:sz w:val="20"/>
              </w:rPr>
              <w:t> </w:t>
            </w:r>
            <w:r>
              <w:rPr>
                <w:spacing w:val="-2"/>
                <w:sz w:val="20"/>
              </w:rPr>
              <w:t>A16.02.001.001,</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47" w:right="147"/>
              <w:jc w:val="center"/>
              <w:rPr>
                <w:sz w:val="20"/>
              </w:rPr>
            </w:pPr>
            <w:r>
              <w:rPr>
                <w:w w:val="95"/>
                <w:sz w:val="20"/>
              </w:rPr>
              <w:t>A16.02.001.002,</w:t>
            </w:r>
            <w:r>
              <w:rPr>
                <w:spacing w:val="54"/>
                <w:sz w:val="20"/>
              </w:rPr>
              <w:t> </w:t>
            </w:r>
            <w:r>
              <w:rPr>
                <w:spacing w:val="-2"/>
                <w:sz w:val="20"/>
              </w:rPr>
              <w:t>A16.02.001.003,</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50" w:right="147"/>
              <w:jc w:val="center"/>
              <w:rPr>
                <w:sz w:val="20"/>
              </w:rPr>
            </w:pPr>
            <w:r>
              <w:rPr>
                <w:sz w:val="20"/>
              </w:rPr>
              <w:t>A16.02.003,</w:t>
            </w:r>
            <w:r>
              <w:rPr>
                <w:spacing w:val="-9"/>
                <w:sz w:val="20"/>
              </w:rPr>
              <w:t> </w:t>
            </w:r>
            <w:r>
              <w:rPr>
                <w:spacing w:val="-2"/>
                <w:sz w:val="20"/>
              </w:rPr>
              <w:t>A16.02.004,</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A16.02.004.001,</w:t>
            </w:r>
            <w:r>
              <w:rPr>
                <w:spacing w:val="54"/>
                <w:sz w:val="20"/>
              </w:rPr>
              <w:t> </w:t>
            </w:r>
            <w:r>
              <w:rPr>
                <w:spacing w:val="-2"/>
                <w:sz w:val="20"/>
              </w:rPr>
              <w:t>A16.02.004.002,</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1" w:lineRule="exact"/>
              <w:ind w:left="1146" w:right="147"/>
              <w:jc w:val="center"/>
              <w:rPr>
                <w:sz w:val="20"/>
              </w:rPr>
            </w:pPr>
            <w:r>
              <w:rPr>
                <w:sz w:val="20"/>
              </w:rPr>
              <w:t>A16.02.006,</w:t>
            </w:r>
            <w:r>
              <w:rPr>
                <w:spacing w:val="-9"/>
                <w:sz w:val="20"/>
              </w:rPr>
              <w:t> </w:t>
            </w:r>
            <w:r>
              <w:rPr>
                <w:sz w:val="20"/>
              </w:rPr>
              <w:t>A16.02.007,</w:t>
            </w:r>
            <w:r>
              <w:rPr>
                <w:spacing w:val="-10"/>
                <w:sz w:val="20"/>
              </w:rPr>
              <w:t> </w:t>
            </w:r>
            <w:r>
              <w:rPr>
                <w:spacing w:val="-2"/>
                <w:sz w:val="20"/>
              </w:rPr>
              <w:t>A16.02.008,</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1" w:lineRule="exact"/>
              <w:ind w:left="1146" w:right="147"/>
              <w:jc w:val="center"/>
              <w:rPr>
                <w:sz w:val="20"/>
              </w:rPr>
            </w:pPr>
            <w:r>
              <w:rPr>
                <w:sz w:val="20"/>
              </w:rPr>
              <w:t>A16.02.009,</w:t>
            </w:r>
            <w:r>
              <w:rPr>
                <w:spacing w:val="-9"/>
                <w:sz w:val="20"/>
              </w:rPr>
              <w:t> </w:t>
            </w:r>
            <w:r>
              <w:rPr>
                <w:sz w:val="20"/>
              </w:rPr>
              <w:t>A16.02.010,</w:t>
            </w:r>
            <w:r>
              <w:rPr>
                <w:spacing w:val="-10"/>
                <w:sz w:val="20"/>
              </w:rPr>
              <w:t> </w:t>
            </w:r>
            <w:r>
              <w:rPr>
                <w:spacing w:val="-2"/>
                <w:sz w:val="20"/>
              </w:rPr>
              <w:t>A16.02.011,</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50" w:right="147"/>
              <w:jc w:val="center"/>
              <w:rPr>
                <w:sz w:val="20"/>
              </w:rPr>
            </w:pPr>
            <w:r>
              <w:rPr>
                <w:sz w:val="20"/>
              </w:rPr>
              <w:t>A16.02.018,</w:t>
            </w:r>
            <w:r>
              <w:rPr>
                <w:spacing w:val="-8"/>
                <w:sz w:val="20"/>
              </w:rPr>
              <w:t> </w:t>
            </w:r>
            <w:r>
              <w:rPr>
                <w:sz w:val="20"/>
              </w:rPr>
              <w:t>A16.03.005,</w:t>
            </w:r>
            <w:r>
              <w:rPr>
                <w:spacing w:val="-8"/>
                <w:sz w:val="20"/>
              </w:rPr>
              <w:t> </w:t>
            </w:r>
            <w:r>
              <w:rPr>
                <w:spacing w:val="-2"/>
                <w:sz w:val="20"/>
              </w:rPr>
              <w:t>A16.03.006,</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50" w:right="147"/>
              <w:jc w:val="center"/>
              <w:rPr>
                <w:sz w:val="20"/>
              </w:rPr>
            </w:pPr>
            <w:r>
              <w:rPr>
                <w:sz w:val="20"/>
              </w:rPr>
              <w:t>A16.03.007,</w:t>
            </w:r>
            <w:r>
              <w:rPr>
                <w:spacing w:val="-9"/>
                <w:sz w:val="20"/>
              </w:rPr>
              <w:t> </w:t>
            </w:r>
            <w:r>
              <w:rPr>
                <w:spacing w:val="-2"/>
                <w:sz w:val="20"/>
              </w:rPr>
              <w:t>A16.03.013,</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47" w:right="147"/>
              <w:jc w:val="center"/>
              <w:rPr>
                <w:sz w:val="20"/>
              </w:rPr>
            </w:pPr>
            <w:r>
              <w:rPr>
                <w:w w:val="95"/>
                <w:sz w:val="20"/>
              </w:rPr>
              <w:t>A16.03.014.001,</w:t>
            </w:r>
            <w:r>
              <w:rPr>
                <w:spacing w:val="54"/>
                <w:sz w:val="20"/>
              </w:rPr>
              <w:t> </w:t>
            </w:r>
            <w:r>
              <w:rPr>
                <w:spacing w:val="-2"/>
                <w:sz w:val="20"/>
              </w:rPr>
              <w:t>A16.03.014.002,</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50" w:right="147"/>
              <w:jc w:val="center"/>
              <w:rPr>
                <w:sz w:val="20"/>
              </w:rPr>
            </w:pPr>
            <w:r>
              <w:rPr>
                <w:sz w:val="20"/>
              </w:rPr>
              <w:t>A16.03.015,</w:t>
            </w:r>
            <w:r>
              <w:rPr>
                <w:spacing w:val="-9"/>
                <w:sz w:val="20"/>
              </w:rPr>
              <w:t> </w:t>
            </w:r>
            <w:r>
              <w:rPr>
                <w:spacing w:val="-2"/>
                <w:sz w:val="20"/>
              </w:rPr>
              <w:t>A16.03.017,</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8" w:right="147"/>
              <w:jc w:val="center"/>
              <w:rPr>
                <w:sz w:val="20"/>
              </w:rPr>
            </w:pPr>
            <w:r>
              <w:rPr>
                <w:w w:val="95"/>
                <w:sz w:val="20"/>
              </w:rPr>
              <w:t>A16.03.017.001,</w:t>
            </w:r>
            <w:r>
              <w:rPr>
                <w:spacing w:val="54"/>
                <w:sz w:val="20"/>
              </w:rPr>
              <w:t> </w:t>
            </w:r>
            <w:r>
              <w:rPr>
                <w:spacing w:val="-2"/>
                <w:sz w:val="20"/>
              </w:rPr>
              <w:t>A16.03.020,</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8" w:right="147"/>
              <w:jc w:val="center"/>
              <w:rPr>
                <w:sz w:val="20"/>
              </w:rPr>
            </w:pPr>
            <w:r>
              <w:rPr>
                <w:sz w:val="20"/>
              </w:rPr>
              <w:t>A16.03.021,</w:t>
            </w:r>
            <w:r>
              <w:rPr>
                <w:spacing w:val="-9"/>
                <w:sz w:val="20"/>
              </w:rPr>
              <w:t> </w:t>
            </w:r>
            <w:r>
              <w:rPr>
                <w:spacing w:val="-2"/>
                <w:sz w:val="20"/>
              </w:rPr>
              <w:t>A16.03.021.001,</w:t>
            </w:r>
          </w:p>
        </w:tc>
        <w:tc>
          <w:tcPr>
            <w:tcW w:w="2570" w:type="dxa"/>
          </w:tcPr>
          <w:p>
            <w:pPr>
              <w:pStyle w:val="TableParagraph"/>
              <w:rPr>
                <w:sz w:val="16"/>
              </w:rPr>
            </w:pPr>
          </w:p>
        </w:tc>
        <w:tc>
          <w:tcPr>
            <w:tcW w:w="7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5" w:lineRule="exact"/>
              <w:ind w:left="1147" w:right="147"/>
              <w:jc w:val="center"/>
              <w:rPr>
                <w:sz w:val="20"/>
              </w:rPr>
            </w:pPr>
            <w:r>
              <w:rPr>
                <w:w w:val="95"/>
                <w:sz w:val="20"/>
              </w:rPr>
              <w:t>A16.03.021.002,</w:t>
            </w:r>
            <w:r>
              <w:rPr>
                <w:spacing w:val="54"/>
                <w:sz w:val="20"/>
              </w:rPr>
              <w:t> </w:t>
            </w:r>
            <w:r>
              <w:rPr>
                <w:spacing w:val="-2"/>
                <w:sz w:val="20"/>
              </w:rPr>
              <w:t>A16.03.021.003,</w:t>
            </w:r>
          </w:p>
        </w:tc>
        <w:tc>
          <w:tcPr>
            <w:tcW w:w="2570" w:type="dxa"/>
          </w:tcPr>
          <w:p>
            <w:pPr>
              <w:pStyle w:val="TableParagraph"/>
              <w:rPr>
                <w:sz w:val="16"/>
              </w:rPr>
            </w:pPr>
          </w:p>
        </w:tc>
        <w:tc>
          <w:tcPr>
            <w:tcW w:w="7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0"/>
        <w:gridCol w:w="2565"/>
        <w:gridCol w:w="4880"/>
        <w:gridCol w:w="1573"/>
        <w:gridCol w:w="1260"/>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40" w:type="dxa"/>
            <w:vMerge w:val="restart"/>
          </w:tcPr>
          <w:p>
            <w:pPr>
              <w:pStyle w:val="TableParagraph"/>
              <w:rPr>
                <w:sz w:val="18"/>
              </w:rPr>
            </w:pPr>
          </w:p>
        </w:tc>
        <w:tc>
          <w:tcPr>
            <w:tcW w:w="2565" w:type="dxa"/>
            <w:vMerge w:val="restart"/>
          </w:tcPr>
          <w:p>
            <w:pPr>
              <w:pStyle w:val="TableParagraph"/>
              <w:rPr>
                <w:sz w:val="18"/>
              </w:rPr>
            </w:pPr>
          </w:p>
        </w:tc>
        <w:tc>
          <w:tcPr>
            <w:tcW w:w="4880" w:type="dxa"/>
          </w:tcPr>
          <w:p>
            <w:pPr>
              <w:pStyle w:val="TableParagraph"/>
              <w:spacing w:line="205" w:lineRule="exact"/>
              <w:ind w:left="1100" w:right="593"/>
              <w:jc w:val="center"/>
              <w:rPr>
                <w:sz w:val="20"/>
              </w:rPr>
            </w:pPr>
            <w:r>
              <w:rPr>
                <w:w w:val="95"/>
                <w:sz w:val="20"/>
              </w:rPr>
              <w:t>A16.03.021.004,</w:t>
            </w:r>
            <w:r>
              <w:rPr>
                <w:spacing w:val="54"/>
                <w:sz w:val="20"/>
              </w:rPr>
              <w:t> </w:t>
            </w:r>
            <w:r>
              <w:rPr>
                <w:spacing w:val="-2"/>
                <w:sz w:val="20"/>
              </w:rPr>
              <w:t>A16.03.022,</w:t>
            </w:r>
          </w:p>
        </w:tc>
        <w:tc>
          <w:tcPr>
            <w:tcW w:w="1573"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09" w:lineRule="exact"/>
              <w:ind w:left="1099" w:right="593"/>
              <w:jc w:val="center"/>
              <w:rPr>
                <w:sz w:val="20"/>
              </w:rPr>
            </w:pPr>
            <w:r>
              <w:rPr>
                <w:w w:val="95"/>
                <w:sz w:val="20"/>
              </w:rPr>
              <w:t>A16.03.022.001,</w:t>
            </w:r>
            <w:r>
              <w:rPr>
                <w:spacing w:val="54"/>
                <w:sz w:val="20"/>
              </w:rPr>
              <w:t> </w:t>
            </w:r>
            <w:r>
              <w:rPr>
                <w:spacing w:val="-2"/>
                <w:sz w:val="20"/>
              </w:rPr>
              <w:t>A16.03.022.003,</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09" w:lineRule="exact"/>
              <w:ind w:left="1100" w:right="593"/>
              <w:jc w:val="center"/>
              <w:rPr>
                <w:sz w:val="20"/>
              </w:rPr>
            </w:pPr>
            <w:r>
              <w:rPr>
                <w:sz w:val="20"/>
              </w:rPr>
              <w:t>A16.03.027,</w:t>
            </w:r>
            <w:r>
              <w:rPr>
                <w:spacing w:val="-8"/>
                <w:sz w:val="20"/>
              </w:rPr>
              <w:t> </w:t>
            </w:r>
            <w:r>
              <w:rPr>
                <w:sz w:val="20"/>
              </w:rPr>
              <w:t>A16.03.031,</w:t>
            </w:r>
            <w:r>
              <w:rPr>
                <w:spacing w:val="-9"/>
                <w:sz w:val="20"/>
              </w:rPr>
              <w:t> </w:t>
            </w:r>
            <w:r>
              <w:rPr>
                <w:spacing w:val="-2"/>
                <w:sz w:val="20"/>
              </w:rPr>
              <w:t>A16.03.033,</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098" w:right="593"/>
              <w:jc w:val="center"/>
              <w:rPr>
                <w:sz w:val="20"/>
              </w:rPr>
            </w:pPr>
            <w:r>
              <w:rPr>
                <w:sz w:val="20"/>
              </w:rPr>
              <w:t>A16.03.036,</w:t>
            </w:r>
            <w:r>
              <w:rPr>
                <w:spacing w:val="-9"/>
                <w:sz w:val="20"/>
              </w:rPr>
              <w:t> </w:t>
            </w:r>
            <w:r>
              <w:rPr>
                <w:sz w:val="20"/>
              </w:rPr>
              <w:t>A16.03.049,</w:t>
            </w:r>
            <w:r>
              <w:rPr>
                <w:spacing w:val="-10"/>
                <w:sz w:val="20"/>
              </w:rPr>
              <w:t> </w:t>
            </w:r>
            <w:r>
              <w:rPr>
                <w:spacing w:val="-2"/>
                <w:sz w:val="20"/>
              </w:rPr>
              <w:t>A16.03.082,</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098" w:right="593"/>
              <w:jc w:val="center"/>
              <w:rPr>
                <w:sz w:val="20"/>
              </w:rPr>
            </w:pPr>
            <w:r>
              <w:rPr>
                <w:sz w:val="20"/>
              </w:rPr>
              <w:t>A16.03.084,</w:t>
            </w:r>
            <w:r>
              <w:rPr>
                <w:spacing w:val="-9"/>
                <w:sz w:val="20"/>
              </w:rPr>
              <w:t> </w:t>
            </w:r>
            <w:r>
              <w:rPr>
                <w:sz w:val="20"/>
              </w:rPr>
              <w:t>A16.03.089,</w:t>
            </w:r>
            <w:r>
              <w:rPr>
                <w:spacing w:val="-10"/>
                <w:sz w:val="20"/>
              </w:rPr>
              <w:t> </w:t>
            </w:r>
            <w:r>
              <w:rPr>
                <w:spacing w:val="-2"/>
                <w:sz w:val="20"/>
              </w:rPr>
              <w:t>A16.04.002,</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102" w:right="593"/>
              <w:jc w:val="center"/>
              <w:rPr>
                <w:sz w:val="20"/>
              </w:rPr>
            </w:pPr>
            <w:r>
              <w:rPr>
                <w:sz w:val="20"/>
              </w:rPr>
              <w:t>A16.04.005,</w:t>
            </w:r>
            <w:r>
              <w:rPr>
                <w:spacing w:val="-9"/>
                <w:sz w:val="20"/>
              </w:rPr>
              <w:t> </w:t>
            </w:r>
            <w:r>
              <w:rPr>
                <w:spacing w:val="-2"/>
                <w:sz w:val="20"/>
              </w:rPr>
              <w:t>A16.04.018,</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1" w:lineRule="exact"/>
              <w:ind w:left="1100" w:right="593"/>
              <w:jc w:val="center"/>
              <w:rPr>
                <w:sz w:val="20"/>
              </w:rPr>
            </w:pPr>
            <w:r>
              <w:rPr>
                <w:w w:val="95"/>
                <w:sz w:val="20"/>
              </w:rPr>
              <w:t>A16.04.018.001,</w:t>
            </w:r>
            <w:r>
              <w:rPr>
                <w:spacing w:val="54"/>
                <w:sz w:val="20"/>
              </w:rPr>
              <w:t> </w:t>
            </w:r>
            <w:r>
              <w:rPr>
                <w:spacing w:val="-2"/>
                <w:sz w:val="20"/>
              </w:rPr>
              <w:t>A16.04.019,</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102" w:right="593"/>
              <w:jc w:val="center"/>
              <w:rPr>
                <w:sz w:val="20"/>
              </w:rPr>
            </w:pPr>
            <w:r>
              <w:rPr>
                <w:sz w:val="20"/>
              </w:rPr>
              <w:t>A16.04.022,</w:t>
            </w:r>
            <w:r>
              <w:rPr>
                <w:spacing w:val="-9"/>
                <w:sz w:val="20"/>
              </w:rPr>
              <w:t> </w:t>
            </w:r>
            <w:r>
              <w:rPr>
                <w:spacing w:val="-2"/>
                <w:sz w:val="20"/>
              </w:rPr>
              <w:t>A16.04.024,</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24" w:lineRule="exact"/>
              <w:ind w:left="1101" w:right="593"/>
              <w:jc w:val="center"/>
              <w:rPr>
                <w:sz w:val="20"/>
              </w:rPr>
            </w:pPr>
            <w:r>
              <w:rPr>
                <w:w w:val="95"/>
                <w:sz w:val="20"/>
              </w:rPr>
              <w:t>A16.30.017.003,</w:t>
            </w:r>
            <w:r>
              <w:rPr>
                <w:spacing w:val="54"/>
                <w:sz w:val="20"/>
              </w:rPr>
              <w:t> </w:t>
            </w:r>
            <w:r>
              <w:rPr>
                <w:spacing w:val="-2"/>
                <w:sz w:val="20"/>
              </w:rPr>
              <w:t>A16.30.019.004</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st29.010</w:t>
            </w:r>
          </w:p>
        </w:tc>
        <w:tc>
          <w:tcPr>
            <w:tcW w:w="707" w:type="dxa"/>
          </w:tcPr>
          <w:p>
            <w:pPr>
              <w:pStyle w:val="TableParagraph"/>
              <w:spacing w:line="215" w:lineRule="exact" w:before="46"/>
              <w:ind w:left="210"/>
              <w:rPr>
                <w:sz w:val="20"/>
              </w:rPr>
            </w:pPr>
            <w:r>
              <w:rPr>
                <w:spacing w:val="-5"/>
                <w:sz w:val="20"/>
              </w:rPr>
              <w:t>278</w:t>
            </w:r>
          </w:p>
        </w:tc>
        <w:tc>
          <w:tcPr>
            <w:tcW w:w="3340"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565" w:type="dxa"/>
          </w:tcPr>
          <w:p>
            <w:pPr>
              <w:pStyle w:val="TableParagraph"/>
              <w:spacing w:line="215" w:lineRule="exact" w:before="46"/>
              <w:ind w:right="1150"/>
              <w:jc w:val="right"/>
              <w:rPr>
                <w:sz w:val="20"/>
              </w:rPr>
            </w:pPr>
            <w:r>
              <w:rPr>
                <w:w w:val="99"/>
                <w:sz w:val="20"/>
              </w:rPr>
              <w:t>-</w:t>
            </w:r>
          </w:p>
        </w:tc>
        <w:tc>
          <w:tcPr>
            <w:tcW w:w="4880" w:type="dxa"/>
          </w:tcPr>
          <w:p>
            <w:pPr>
              <w:pStyle w:val="TableParagraph"/>
              <w:spacing w:line="215" w:lineRule="exact" w:before="46"/>
              <w:ind w:left="1098" w:right="593"/>
              <w:jc w:val="center"/>
              <w:rPr>
                <w:sz w:val="20"/>
              </w:rPr>
            </w:pPr>
            <w:r>
              <w:rPr>
                <w:sz w:val="20"/>
              </w:rPr>
              <w:t>A16.02.002,</w:t>
            </w:r>
            <w:r>
              <w:rPr>
                <w:spacing w:val="-9"/>
                <w:sz w:val="20"/>
              </w:rPr>
              <w:t> </w:t>
            </w:r>
            <w:r>
              <w:rPr>
                <w:sz w:val="20"/>
              </w:rPr>
              <w:t>A16.03.001,</w:t>
            </w:r>
            <w:r>
              <w:rPr>
                <w:spacing w:val="-10"/>
                <w:sz w:val="20"/>
              </w:rPr>
              <w:t> </w:t>
            </w:r>
            <w:r>
              <w:rPr>
                <w:spacing w:val="-2"/>
                <w:sz w:val="20"/>
              </w:rPr>
              <w:t>A16.03.014,</w:t>
            </w:r>
          </w:p>
        </w:tc>
        <w:tc>
          <w:tcPr>
            <w:tcW w:w="1573" w:type="dxa"/>
          </w:tcPr>
          <w:p>
            <w:pPr>
              <w:pStyle w:val="TableParagraph"/>
              <w:spacing w:line="215" w:lineRule="exact" w:before="46"/>
              <w:ind w:left="648"/>
              <w:rPr>
                <w:sz w:val="20"/>
              </w:rPr>
            </w:pPr>
            <w:r>
              <w:rPr>
                <w:w w:val="99"/>
                <w:sz w:val="20"/>
              </w:rPr>
              <w:t>-</w:t>
            </w:r>
          </w:p>
        </w:tc>
        <w:tc>
          <w:tcPr>
            <w:tcW w:w="1260" w:type="dxa"/>
          </w:tcPr>
          <w:p>
            <w:pPr>
              <w:pStyle w:val="TableParagraph"/>
              <w:spacing w:line="215" w:lineRule="exact" w:before="46"/>
              <w:ind w:right="45"/>
              <w:jc w:val="right"/>
              <w:rPr>
                <w:sz w:val="20"/>
              </w:rPr>
            </w:pPr>
            <w:r>
              <w:rPr>
                <w:spacing w:val="-4"/>
                <w:sz w:val="20"/>
              </w:rPr>
              <w:t>0,93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мышечной</w:t>
            </w:r>
            <w:r>
              <w:rPr>
                <w:spacing w:val="-8"/>
                <w:sz w:val="20"/>
              </w:rPr>
              <w:t> </w:t>
            </w:r>
            <w:r>
              <w:rPr>
                <w:sz w:val="20"/>
              </w:rPr>
              <w:t>системе</w:t>
            </w:r>
            <w:r>
              <w:rPr>
                <w:spacing w:val="-7"/>
                <w:sz w:val="20"/>
              </w:rPr>
              <w:t> </w:t>
            </w:r>
            <w:r>
              <w:rPr>
                <w:spacing w:val="-10"/>
                <w:sz w:val="20"/>
              </w:rPr>
              <w:t>и</w:t>
            </w:r>
          </w:p>
        </w:tc>
        <w:tc>
          <w:tcPr>
            <w:tcW w:w="2565" w:type="dxa"/>
          </w:tcPr>
          <w:p>
            <w:pPr>
              <w:pStyle w:val="TableParagraph"/>
              <w:rPr>
                <w:sz w:val="16"/>
              </w:rPr>
            </w:pPr>
          </w:p>
        </w:tc>
        <w:tc>
          <w:tcPr>
            <w:tcW w:w="4880" w:type="dxa"/>
          </w:tcPr>
          <w:p>
            <w:pPr>
              <w:pStyle w:val="TableParagraph"/>
              <w:spacing w:line="210" w:lineRule="exact"/>
              <w:ind w:left="1100" w:right="593"/>
              <w:jc w:val="center"/>
              <w:rPr>
                <w:sz w:val="20"/>
              </w:rPr>
            </w:pPr>
            <w:r>
              <w:rPr>
                <w:sz w:val="20"/>
              </w:rPr>
              <w:t>A16.03.016,</w:t>
            </w:r>
            <w:r>
              <w:rPr>
                <w:spacing w:val="-9"/>
                <w:sz w:val="20"/>
              </w:rPr>
              <w:t> </w:t>
            </w:r>
            <w:r>
              <w:rPr>
                <w:spacing w:val="-2"/>
                <w:sz w:val="20"/>
              </w:rPr>
              <w:t>A16.03.016.001,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09"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2)</w:t>
            </w: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A16.03.025.003,</w:t>
            </w:r>
            <w:r>
              <w:rPr>
                <w:spacing w:val="54"/>
                <w:sz w:val="20"/>
              </w:rPr>
              <w:t> </w:t>
            </w:r>
            <w:r>
              <w:rPr>
                <w:spacing w:val="-2"/>
                <w:sz w:val="20"/>
              </w:rPr>
              <w:t>A16.03.025.004,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102" w:right="593"/>
              <w:jc w:val="center"/>
              <w:rPr>
                <w:sz w:val="20"/>
              </w:rPr>
            </w:pPr>
            <w:r>
              <w:rPr>
                <w:sz w:val="20"/>
              </w:rPr>
              <w:t>A16.03.029,</w:t>
            </w:r>
            <w:r>
              <w:rPr>
                <w:spacing w:val="-9"/>
                <w:sz w:val="20"/>
              </w:rPr>
              <w:t> </w:t>
            </w:r>
            <w:r>
              <w:rPr>
                <w:spacing w:val="-2"/>
                <w:sz w:val="20"/>
              </w:rPr>
              <w:t>A16.03.034,</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A16.03.034.001,</w:t>
            </w:r>
            <w:r>
              <w:rPr>
                <w:spacing w:val="54"/>
                <w:sz w:val="20"/>
              </w:rPr>
              <w:t> </w:t>
            </w:r>
            <w:r>
              <w:rPr>
                <w:spacing w:val="-2"/>
                <w:sz w:val="20"/>
              </w:rPr>
              <w:t>A16.03.034.002,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A16.03.059,</w:t>
            </w:r>
            <w:r>
              <w:rPr>
                <w:spacing w:val="-9"/>
                <w:sz w:val="20"/>
              </w:rPr>
              <w:t> </w:t>
            </w:r>
            <w:r>
              <w:rPr>
                <w:sz w:val="20"/>
              </w:rPr>
              <w:t>A16.03.083,</w:t>
            </w:r>
            <w:r>
              <w:rPr>
                <w:spacing w:val="-10"/>
                <w:sz w:val="20"/>
              </w:rPr>
              <w:t> </w:t>
            </w:r>
            <w:r>
              <w:rPr>
                <w:spacing w:val="-2"/>
                <w:sz w:val="20"/>
              </w:rPr>
              <w:t>A16.03.085,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A16.03.086,</w:t>
            </w:r>
            <w:r>
              <w:rPr>
                <w:spacing w:val="-9"/>
                <w:sz w:val="20"/>
              </w:rPr>
              <w:t> </w:t>
            </w:r>
            <w:r>
              <w:rPr>
                <w:sz w:val="20"/>
              </w:rPr>
              <w:t>A16.03.087,</w:t>
            </w:r>
            <w:r>
              <w:rPr>
                <w:spacing w:val="-10"/>
                <w:sz w:val="20"/>
              </w:rPr>
              <w:t> </w:t>
            </w:r>
            <w:r>
              <w:rPr>
                <w:spacing w:val="-2"/>
                <w:sz w:val="20"/>
              </w:rPr>
              <w:t>A16.03.090,</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A16.04.038,</w:t>
            </w:r>
            <w:r>
              <w:rPr>
                <w:spacing w:val="-9"/>
                <w:sz w:val="20"/>
              </w:rPr>
              <w:t> </w:t>
            </w:r>
            <w:r>
              <w:rPr>
                <w:sz w:val="20"/>
              </w:rPr>
              <w:t>A16.04.039,</w:t>
            </w:r>
            <w:r>
              <w:rPr>
                <w:spacing w:val="-10"/>
                <w:sz w:val="20"/>
              </w:rPr>
              <w:t> </w:t>
            </w:r>
            <w:r>
              <w:rPr>
                <w:spacing w:val="-2"/>
                <w:sz w:val="20"/>
              </w:rPr>
              <w:t>A16.04.048,</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40" w:type="dxa"/>
          </w:tcPr>
          <w:p>
            <w:pPr>
              <w:pStyle w:val="TableParagraph"/>
              <w:rPr>
                <w:sz w:val="18"/>
              </w:rPr>
            </w:pPr>
          </w:p>
        </w:tc>
        <w:tc>
          <w:tcPr>
            <w:tcW w:w="2565" w:type="dxa"/>
          </w:tcPr>
          <w:p>
            <w:pPr>
              <w:pStyle w:val="TableParagraph"/>
              <w:rPr>
                <w:sz w:val="18"/>
              </w:rPr>
            </w:pPr>
          </w:p>
        </w:tc>
        <w:tc>
          <w:tcPr>
            <w:tcW w:w="4880" w:type="dxa"/>
          </w:tcPr>
          <w:p>
            <w:pPr>
              <w:pStyle w:val="TableParagraph"/>
              <w:spacing w:line="226" w:lineRule="exact"/>
              <w:ind w:left="1104" w:right="593"/>
              <w:jc w:val="center"/>
              <w:rPr>
                <w:sz w:val="20"/>
              </w:rPr>
            </w:pPr>
            <w:r>
              <w:rPr>
                <w:spacing w:val="-2"/>
                <w:sz w:val="20"/>
              </w:rPr>
              <w:t>A16.04.049</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st29.011</w:t>
            </w:r>
          </w:p>
        </w:tc>
        <w:tc>
          <w:tcPr>
            <w:tcW w:w="707" w:type="dxa"/>
          </w:tcPr>
          <w:p>
            <w:pPr>
              <w:pStyle w:val="TableParagraph"/>
              <w:spacing w:line="215" w:lineRule="exact" w:before="45"/>
              <w:ind w:left="210"/>
              <w:rPr>
                <w:sz w:val="20"/>
              </w:rPr>
            </w:pPr>
            <w:r>
              <w:rPr>
                <w:spacing w:val="-5"/>
                <w:sz w:val="20"/>
              </w:rPr>
              <w:t>279</w:t>
            </w:r>
          </w:p>
        </w:tc>
        <w:tc>
          <w:tcPr>
            <w:tcW w:w="3340"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565" w:type="dxa"/>
          </w:tcPr>
          <w:p>
            <w:pPr>
              <w:pStyle w:val="TableParagraph"/>
              <w:spacing w:line="215" w:lineRule="exact" w:before="45"/>
              <w:ind w:right="1150"/>
              <w:jc w:val="right"/>
              <w:rPr>
                <w:sz w:val="20"/>
              </w:rPr>
            </w:pPr>
            <w:r>
              <w:rPr>
                <w:w w:val="99"/>
                <w:sz w:val="20"/>
              </w:rPr>
              <w:t>-</w:t>
            </w:r>
          </w:p>
        </w:tc>
        <w:tc>
          <w:tcPr>
            <w:tcW w:w="4880" w:type="dxa"/>
          </w:tcPr>
          <w:p>
            <w:pPr>
              <w:pStyle w:val="TableParagraph"/>
              <w:spacing w:line="215" w:lineRule="exact" w:before="45"/>
              <w:ind w:left="1100" w:right="593"/>
              <w:jc w:val="center"/>
              <w:rPr>
                <w:sz w:val="20"/>
              </w:rPr>
            </w:pPr>
            <w:r>
              <w:rPr>
                <w:sz w:val="20"/>
              </w:rPr>
              <w:t>A16.02.005,</w:t>
            </w:r>
            <w:r>
              <w:rPr>
                <w:spacing w:val="-9"/>
                <w:sz w:val="20"/>
              </w:rPr>
              <w:t> </w:t>
            </w:r>
            <w:r>
              <w:rPr>
                <w:spacing w:val="-2"/>
                <w:sz w:val="20"/>
              </w:rPr>
              <w:t>A16.02.005.001,</w:t>
            </w:r>
          </w:p>
        </w:tc>
        <w:tc>
          <w:tcPr>
            <w:tcW w:w="1573" w:type="dxa"/>
          </w:tcPr>
          <w:p>
            <w:pPr>
              <w:pStyle w:val="TableParagraph"/>
              <w:spacing w:line="215" w:lineRule="exact" w:before="45"/>
              <w:ind w:left="648"/>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1,37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A16.02.005.002,</w:t>
            </w:r>
            <w:r>
              <w:rPr>
                <w:spacing w:val="54"/>
                <w:sz w:val="20"/>
              </w:rPr>
              <w:t> </w:t>
            </w:r>
            <w:r>
              <w:rPr>
                <w:spacing w:val="-2"/>
                <w:sz w:val="20"/>
              </w:rPr>
              <w:t>A16.02.005.003,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09"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3)</w:t>
            </w: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A16.02.005.004,</w:t>
            </w:r>
            <w:r>
              <w:rPr>
                <w:spacing w:val="54"/>
                <w:sz w:val="20"/>
              </w:rPr>
              <w:t> </w:t>
            </w:r>
            <w:r>
              <w:rPr>
                <w:spacing w:val="-2"/>
                <w:sz w:val="20"/>
              </w:rPr>
              <w:t>A16.02.005.005,</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A16.02.009.001,</w:t>
            </w:r>
            <w:r>
              <w:rPr>
                <w:spacing w:val="54"/>
                <w:sz w:val="20"/>
              </w:rPr>
              <w:t> </w:t>
            </w:r>
            <w:r>
              <w:rPr>
                <w:spacing w:val="-2"/>
                <w:sz w:val="20"/>
              </w:rPr>
              <w:t>A16.02.009.003,</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A16.02.009.004,</w:t>
            </w:r>
            <w:r>
              <w:rPr>
                <w:spacing w:val="54"/>
                <w:sz w:val="20"/>
              </w:rPr>
              <w:t> </w:t>
            </w:r>
            <w:r>
              <w:rPr>
                <w:spacing w:val="-2"/>
                <w:sz w:val="20"/>
              </w:rPr>
              <w:t>A16.02.009.005,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100" w:right="593"/>
              <w:jc w:val="center"/>
              <w:rPr>
                <w:sz w:val="20"/>
              </w:rPr>
            </w:pPr>
            <w:r>
              <w:rPr>
                <w:w w:val="95"/>
                <w:sz w:val="20"/>
              </w:rPr>
              <w:t>A16.02.009.006,</w:t>
            </w:r>
            <w:r>
              <w:rPr>
                <w:spacing w:val="54"/>
                <w:sz w:val="20"/>
              </w:rPr>
              <w:t> </w:t>
            </w:r>
            <w:r>
              <w:rPr>
                <w:spacing w:val="-2"/>
                <w:sz w:val="20"/>
              </w:rPr>
              <w:t>A16.02.012,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A16.02.014,</w:t>
            </w:r>
            <w:r>
              <w:rPr>
                <w:spacing w:val="-9"/>
                <w:sz w:val="20"/>
              </w:rPr>
              <w:t> </w:t>
            </w:r>
            <w:r>
              <w:rPr>
                <w:sz w:val="20"/>
              </w:rPr>
              <w:t>A16.02.015,</w:t>
            </w:r>
            <w:r>
              <w:rPr>
                <w:spacing w:val="-10"/>
                <w:sz w:val="20"/>
              </w:rPr>
              <w:t> </w:t>
            </w:r>
            <w:r>
              <w:rPr>
                <w:spacing w:val="-2"/>
                <w:sz w:val="20"/>
              </w:rPr>
              <w:t>A16.02.016,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A16.02.017,</w:t>
            </w:r>
            <w:r>
              <w:rPr>
                <w:spacing w:val="-9"/>
                <w:sz w:val="20"/>
              </w:rPr>
              <w:t> </w:t>
            </w:r>
            <w:r>
              <w:rPr>
                <w:sz w:val="20"/>
              </w:rPr>
              <w:t>A16.03.002,</w:t>
            </w:r>
            <w:r>
              <w:rPr>
                <w:spacing w:val="-10"/>
                <w:sz w:val="20"/>
              </w:rPr>
              <w:t> </w:t>
            </w:r>
            <w:r>
              <w:rPr>
                <w:spacing w:val="-2"/>
                <w:sz w:val="20"/>
              </w:rPr>
              <w:t>A16.03.003,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A16.03.004,</w:t>
            </w:r>
            <w:r>
              <w:rPr>
                <w:spacing w:val="-9"/>
                <w:sz w:val="20"/>
              </w:rPr>
              <w:t> </w:t>
            </w:r>
            <w:r>
              <w:rPr>
                <w:sz w:val="20"/>
              </w:rPr>
              <w:t>A16.03.008,</w:t>
            </w:r>
            <w:r>
              <w:rPr>
                <w:spacing w:val="-10"/>
                <w:sz w:val="20"/>
              </w:rPr>
              <w:t> </w:t>
            </w:r>
            <w:r>
              <w:rPr>
                <w:spacing w:val="-2"/>
                <w:sz w:val="20"/>
              </w:rPr>
              <w:t>A16.03.018,</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102" w:right="593"/>
              <w:jc w:val="center"/>
              <w:rPr>
                <w:sz w:val="20"/>
              </w:rPr>
            </w:pPr>
            <w:r>
              <w:rPr>
                <w:sz w:val="20"/>
              </w:rPr>
              <w:t>A16.03.024,</w:t>
            </w:r>
            <w:r>
              <w:rPr>
                <w:spacing w:val="-9"/>
                <w:sz w:val="20"/>
              </w:rPr>
              <w:t> </w:t>
            </w:r>
            <w:r>
              <w:rPr>
                <w:spacing w:val="-2"/>
                <w:sz w:val="20"/>
              </w:rPr>
              <w:t>A16.03.025,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1" w:lineRule="exact"/>
              <w:ind w:left="1100" w:right="593"/>
              <w:jc w:val="center"/>
              <w:rPr>
                <w:sz w:val="20"/>
              </w:rPr>
            </w:pPr>
            <w:r>
              <w:rPr>
                <w:w w:val="95"/>
                <w:sz w:val="20"/>
              </w:rPr>
              <w:t>A16.03.025.001,</w:t>
            </w:r>
            <w:r>
              <w:rPr>
                <w:spacing w:val="54"/>
                <w:sz w:val="20"/>
              </w:rPr>
              <w:t> </w:t>
            </w:r>
            <w:r>
              <w:rPr>
                <w:spacing w:val="-2"/>
                <w:sz w:val="20"/>
              </w:rPr>
              <w:t>A16.03.026,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A16.03.026.002,</w:t>
            </w:r>
            <w:r>
              <w:rPr>
                <w:spacing w:val="54"/>
                <w:sz w:val="20"/>
              </w:rPr>
              <w:t> </w:t>
            </w:r>
            <w:r>
              <w:rPr>
                <w:spacing w:val="-2"/>
                <w:sz w:val="20"/>
              </w:rPr>
              <w:t>A16.03.026.003,</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101" w:right="593"/>
              <w:jc w:val="center"/>
              <w:rPr>
                <w:sz w:val="20"/>
              </w:rPr>
            </w:pPr>
            <w:r>
              <w:rPr>
                <w:w w:val="95"/>
                <w:sz w:val="20"/>
              </w:rPr>
              <w:t>A16.03.026.004,</w:t>
            </w:r>
            <w:r>
              <w:rPr>
                <w:spacing w:val="55"/>
                <w:sz w:val="20"/>
              </w:rPr>
              <w:t> </w:t>
            </w:r>
            <w:r>
              <w:rPr>
                <w:spacing w:val="-2"/>
                <w:sz w:val="20"/>
              </w:rPr>
              <w:t>A16.03.028,</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A16.03.028.001,</w:t>
            </w:r>
            <w:r>
              <w:rPr>
                <w:spacing w:val="54"/>
                <w:sz w:val="20"/>
              </w:rPr>
              <w:t> </w:t>
            </w:r>
            <w:r>
              <w:rPr>
                <w:spacing w:val="-2"/>
                <w:sz w:val="20"/>
              </w:rPr>
              <w:t>A16.03.028.002,</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A16.03.028.003,</w:t>
            </w:r>
            <w:r>
              <w:rPr>
                <w:spacing w:val="54"/>
                <w:sz w:val="20"/>
              </w:rPr>
              <w:t> </w:t>
            </w:r>
            <w:r>
              <w:rPr>
                <w:spacing w:val="-2"/>
                <w:sz w:val="20"/>
              </w:rPr>
              <w:t>A16.03.028.004,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A16.03.028.005,</w:t>
            </w:r>
            <w:r>
              <w:rPr>
                <w:spacing w:val="54"/>
                <w:sz w:val="20"/>
              </w:rPr>
              <w:t> </w:t>
            </w:r>
            <w:r>
              <w:rPr>
                <w:spacing w:val="-2"/>
                <w:sz w:val="20"/>
              </w:rPr>
              <w:t>A16.03.028.006,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A16.03.028.007,</w:t>
            </w:r>
            <w:r>
              <w:rPr>
                <w:spacing w:val="54"/>
                <w:sz w:val="20"/>
              </w:rPr>
              <w:t> </w:t>
            </w:r>
            <w:r>
              <w:rPr>
                <w:spacing w:val="-2"/>
                <w:sz w:val="20"/>
              </w:rPr>
              <w:t>A16.03.028.008,</w:t>
            </w:r>
          </w:p>
        </w:tc>
        <w:tc>
          <w:tcPr>
            <w:tcW w:w="1573"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5" w:lineRule="exact"/>
              <w:ind w:left="1099" w:right="593"/>
              <w:jc w:val="center"/>
              <w:rPr>
                <w:sz w:val="20"/>
              </w:rPr>
            </w:pPr>
            <w:r>
              <w:rPr>
                <w:w w:val="95"/>
                <w:sz w:val="20"/>
              </w:rPr>
              <w:t>A16.03.028.009,</w:t>
            </w:r>
            <w:r>
              <w:rPr>
                <w:spacing w:val="54"/>
                <w:sz w:val="20"/>
              </w:rPr>
              <w:t> </w:t>
            </w:r>
            <w:r>
              <w:rPr>
                <w:spacing w:val="-2"/>
                <w:sz w:val="20"/>
              </w:rPr>
              <w:t>A16.03.028.010,</w:t>
            </w:r>
          </w:p>
        </w:tc>
        <w:tc>
          <w:tcPr>
            <w:tcW w:w="1573"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8923" w:right="4154" w:firstLine="0"/>
        <w:jc w:val="center"/>
        <w:rPr>
          <w:sz w:val="20"/>
        </w:rPr>
      </w:pPr>
      <w:r>
        <w:rPr>
          <w:sz w:val="20"/>
        </w:rPr>
        <w:t>A16.03.028.011, A16.03.030, A16.03.033.001, A16.03.058, A16.03.058.001, A16.03.060, A16.03.060.001, A16.03.061, A16.03.061.001, A16.03.062, A16.03.062.001, A16.03.063, A16.03.063.001, A16.03.064, A16.03.064.001, A16.03.065, A16.03.065.001, A16.03.065.003, A16.03.068,</w:t>
      </w:r>
      <w:r>
        <w:rPr>
          <w:spacing w:val="-13"/>
          <w:sz w:val="20"/>
        </w:rPr>
        <w:t> </w:t>
      </w:r>
      <w:r>
        <w:rPr>
          <w:sz w:val="20"/>
        </w:rPr>
        <w:t>A16.03.073,</w:t>
      </w:r>
      <w:r>
        <w:rPr>
          <w:spacing w:val="-12"/>
          <w:sz w:val="20"/>
        </w:rPr>
        <w:t> </w:t>
      </w:r>
      <w:r>
        <w:rPr>
          <w:sz w:val="20"/>
        </w:rPr>
        <w:t>A16.03.074, A16.03.075, A16.03.075.003, A16.03.075.004, A16.03.075.005, A16.03.076, A16.03.077, A16.03.077.001, A16.03.077.004, A16.03.078,</w:t>
      </w:r>
      <w:r>
        <w:rPr>
          <w:spacing w:val="-13"/>
          <w:sz w:val="20"/>
        </w:rPr>
        <w:t> </w:t>
      </w:r>
      <w:r>
        <w:rPr>
          <w:sz w:val="20"/>
        </w:rPr>
        <w:t>A16.03.079,</w:t>
      </w:r>
      <w:r>
        <w:rPr>
          <w:spacing w:val="-12"/>
          <w:sz w:val="20"/>
        </w:rPr>
        <w:t> </w:t>
      </w:r>
      <w:r>
        <w:rPr>
          <w:sz w:val="20"/>
        </w:rPr>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w:t>
      </w:r>
      <w:r>
        <w:rPr>
          <w:spacing w:val="-13"/>
          <w:sz w:val="20"/>
        </w:rPr>
        <w:t> </w:t>
      </w:r>
      <w:r>
        <w:rPr>
          <w:sz w:val="20"/>
        </w:rPr>
        <w:t>A16.30.016,</w:t>
      </w:r>
      <w:r>
        <w:rPr>
          <w:spacing w:val="-12"/>
          <w:sz w:val="20"/>
        </w:rPr>
        <w:t> </w:t>
      </w:r>
      <w:r>
        <w:rPr>
          <w:sz w:val="20"/>
        </w:rPr>
        <w:t>A16.30.017, A16.30.017.001, A16.30.017.002, A16.30.017.004, A16.30.018, A16.30.019, A16.30.019.001, A16.30.019.002, A16.30.019.003, </w:t>
      </w:r>
      <w:r>
        <w:rPr>
          <w:spacing w:val="-2"/>
          <w:sz w:val="20"/>
        </w:rPr>
        <w:t>A16.30.020</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0"/>
        <w:gridCol w:w="2566"/>
        <w:gridCol w:w="4881"/>
        <w:gridCol w:w="1574"/>
        <w:gridCol w:w="1261"/>
      </w:tblGrid>
      <w:tr>
        <w:trPr>
          <w:trHeight w:val="8502" w:hRule="atLeast"/>
        </w:trPr>
        <w:tc>
          <w:tcPr>
            <w:tcW w:w="946" w:type="dxa"/>
          </w:tcPr>
          <w:p>
            <w:pPr>
              <w:pStyle w:val="TableParagraph"/>
              <w:spacing w:line="221" w:lineRule="exact"/>
              <w:ind w:left="50"/>
              <w:rPr>
                <w:sz w:val="20"/>
              </w:rPr>
            </w:pPr>
            <w:r>
              <w:rPr>
                <w:spacing w:val="-2"/>
                <w:sz w:val="20"/>
              </w:rPr>
              <w:t>st29.012</w:t>
            </w:r>
          </w:p>
        </w:tc>
        <w:tc>
          <w:tcPr>
            <w:tcW w:w="707" w:type="dxa"/>
          </w:tcPr>
          <w:p>
            <w:pPr>
              <w:pStyle w:val="TableParagraph"/>
              <w:spacing w:line="221" w:lineRule="exact"/>
              <w:ind w:left="210"/>
              <w:rPr>
                <w:sz w:val="20"/>
              </w:rPr>
            </w:pPr>
            <w:r>
              <w:rPr>
                <w:spacing w:val="-5"/>
                <w:sz w:val="20"/>
              </w:rPr>
              <w:t>280</w:t>
            </w:r>
          </w:p>
        </w:tc>
        <w:tc>
          <w:tcPr>
            <w:tcW w:w="3340" w:type="dxa"/>
          </w:tcPr>
          <w:p>
            <w:pPr>
              <w:pStyle w:val="TableParagraph"/>
              <w:ind w:left="192" w:right="1345"/>
              <w:jc w:val="both"/>
              <w:rPr>
                <w:sz w:val="20"/>
              </w:rPr>
            </w:pPr>
            <w:r>
              <w:rPr>
                <w:sz w:val="20"/>
              </w:rPr>
              <w:t>Операции</w:t>
            </w:r>
            <w:r>
              <w:rPr>
                <w:spacing w:val="-13"/>
                <w:sz w:val="20"/>
              </w:rPr>
              <w:t> </w:t>
            </w:r>
            <w:r>
              <w:rPr>
                <w:sz w:val="20"/>
              </w:rPr>
              <w:t>на</w:t>
            </w:r>
            <w:r>
              <w:rPr>
                <w:spacing w:val="-12"/>
                <w:sz w:val="20"/>
              </w:rPr>
              <w:t> </w:t>
            </w:r>
            <w:r>
              <w:rPr>
                <w:sz w:val="20"/>
              </w:rPr>
              <w:t>костно- мышечной</w:t>
            </w:r>
            <w:r>
              <w:rPr>
                <w:spacing w:val="-13"/>
                <w:sz w:val="20"/>
              </w:rPr>
              <w:t> </w:t>
            </w:r>
            <w:r>
              <w:rPr>
                <w:sz w:val="20"/>
              </w:rPr>
              <w:t>системе</w:t>
            </w:r>
            <w:r>
              <w:rPr>
                <w:spacing w:val="-12"/>
                <w:sz w:val="20"/>
              </w:rPr>
              <w:t> </w:t>
            </w:r>
            <w:r>
              <w:rPr>
                <w:sz w:val="20"/>
              </w:rPr>
              <w:t>и суставах (уровень 4)</w:t>
            </w:r>
          </w:p>
        </w:tc>
        <w:tc>
          <w:tcPr>
            <w:tcW w:w="2566" w:type="dxa"/>
          </w:tcPr>
          <w:p>
            <w:pPr>
              <w:pStyle w:val="TableParagraph"/>
              <w:spacing w:line="221" w:lineRule="exact"/>
              <w:ind w:left="192"/>
              <w:jc w:val="center"/>
              <w:rPr>
                <w:sz w:val="20"/>
              </w:rPr>
            </w:pPr>
            <w:r>
              <w:rPr>
                <w:w w:val="99"/>
                <w:sz w:val="20"/>
              </w:rPr>
              <w:t>-</w:t>
            </w:r>
          </w:p>
        </w:tc>
        <w:tc>
          <w:tcPr>
            <w:tcW w:w="4881" w:type="dxa"/>
          </w:tcPr>
          <w:p>
            <w:pPr>
              <w:pStyle w:val="TableParagraph"/>
              <w:ind w:left="1151" w:right="646" w:firstLine="2"/>
              <w:jc w:val="center"/>
              <w:rPr>
                <w:sz w:val="20"/>
              </w:rPr>
            </w:pPr>
            <w:r>
              <w:rPr>
                <w:sz w:val="20"/>
              </w:rPr>
              <w:t>A16.02.006.001, A16.02.009.002, A16.02.011.002, A16.02.012.001, A16.02.013,</w:t>
            </w:r>
            <w:r>
              <w:rPr>
                <w:spacing w:val="-13"/>
                <w:sz w:val="20"/>
              </w:rPr>
              <w:t> </w:t>
            </w:r>
            <w:r>
              <w:rPr>
                <w:sz w:val="20"/>
              </w:rPr>
              <w:t>A16.02.019,</w:t>
            </w:r>
            <w:r>
              <w:rPr>
                <w:spacing w:val="-12"/>
                <w:sz w:val="20"/>
              </w:rPr>
              <w:t> </w:t>
            </w:r>
            <w:r>
              <w:rPr>
                <w:sz w:val="20"/>
              </w:rPr>
              <w:t>A16.03.009, A16.03.010,</w:t>
            </w:r>
            <w:r>
              <w:rPr>
                <w:spacing w:val="-13"/>
                <w:sz w:val="20"/>
              </w:rPr>
              <w:t> </w:t>
            </w:r>
            <w:r>
              <w:rPr>
                <w:sz w:val="20"/>
              </w:rPr>
              <w:t>A16.03.011,</w:t>
            </w:r>
            <w:r>
              <w:rPr>
                <w:spacing w:val="-12"/>
                <w:sz w:val="20"/>
              </w:rPr>
              <w:t> </w:t>
            </w:r>
            <w:r>
              <w:rPr>
                <w:sz w:val="20"/>
              </w:rPr>
              <w:t>A16.03.012, A16.03.019, A16.03.022.004, A16.03.022.005, A16.03.022.007, A16.03.022.009, A16.03.022.010, A16.03.023, A16.03.024.002, A16.03.024.003, A16.03.024.005, A16.03.024.007, A16.03.024.008, A16.03.024.009, A16.03.024.010, A16.03.024.011, A16.03.024.012, A16.03.033.002, A16.03.035, A16.03.035.001, A16.03.043, A16.03.044,</w:t>
            </w:r>
            <w:r>
              <w:rPr>
                <w:spacing w:val="-13"/>
                <w:sz w:val="20"/>
              </w:rPr>
              <w:t> </w:t>
            </w:r>
            <w:r>
              <w:rPr>
                <w:sz w:val="20"/>
              </w:rPr>
              <w:t>A16.03.045,</w:t>
            </w:r>
            <w:r>
              <w:rPr>
                <w:spacing w:val="-12"/>
                <w:sz w:val="20"/>
              </w:rPr>
              <w:t> </w:t>
            </w:r>
            <w:r>
              <w:rPr>
                <w:sz w:val="20"/>
              </w:rPr>
              <w:t>A16.03.046, A16.03.047,</w:t>
            </w:r>
            <w:r>
              <w:rPr>
                <w:spacing w:val="-13"/>
                <w:sz w:val="20"/>
              </w:rPr>
              <w:t> </w:t>
            </w:r>
            <w:r>
              <w:rPr>
                <w:sz w:val="20"/>
              </w:rPr>
              <w:t>A16.03.048,</w:t>
            </w:r>
            <w:r>
              <w:rPr>
                <w:spacing w:val="-12"/>
                <w:sz w:val="20"/>
              </w:rPr>
              <w:t> </w:t>
            </w:r>
            <w:r>
              <w:rPr>
                <w:sz w:val="20"/>
              </w:rPr>
              <w:t>A16.03.050, A16.03.051, A16.03.051.002, A16.03.053,</w:t>
            </w:r>
            <w:r>
              <w:rPr>
                <w:spacing w:val="-13"/>
                <w:sz w:val="20"/>
              </w:rPr>
              <w:t> </w:t>
            </w:r>
            <w:r>
              <w:rPr>
                <w:sz w:val="20"/>
              </w:rPr>
              <w:t>A16.03.054,</w:t>
            </w:r>
            <w:r>
              <w:rPr>
                <w:spacing w:val="-12"/>
                <w:sz w:val="20"/>
              </w:rPr>
              <w:t> </w:t>
            </w:r>
            <w:r>
              <w:rPr>
                <w:sz w:val="20"/>
              </w:rPr>
              <w:t>A16.03.055, A16.03.056, A16.03.057, A16.03.060.002, A16.03.061.002, A16.03.062.002, A16.03.062.003, A16.03.063.002, A16.03.064.002, A16.03.065.002, A16.03.066, A16.03.066.001, A16.03.067, A16.03.067.001, A16.03.068.001, A16.03.068.002, A16.03.068.003, A16.03.068.004, A16.03.068.005, A16.03.069,</w:t>
            </w:r>
            <w:r>
              <w:rPr>
                <w:spacing w:val="-13"/>
                <w:sz w:val="20"/>
              </w:rPr>
              <w:t> </w:t>
            </w:r>
            <w:r>
              <w:rPr>
                <w:sz w:val="20"/>
              </w:rPr>
              <w:t>A16.03.070,</w:t>
            </w:r>
            <w:r>
              <w:rPr>
                <w:spacing w:val="-12"/>
                <w:sz w:val="20"/>
              </w:rPr>
              <w:t> </w:t>
            </w:r>
            <w:r>
              <w:rPr>
                <w:sz w:val="20"/>
              </w:rPr>
              <w:t>A16.03.071, A16.03.072, A16.03.077.002, A16.03.077.003, A16.03.080.001, A16.03.080.002, A16.03.080.003, A16.03.080.004, A16.03.081.001, A16.03.081.002, A16.03.081.003, A16.03.083.001, A16.03.088, A16.04.004.001, A16.04.007, A16.04.007.001, A16.04.008,</w:t>
            </w:r>
          </w:p>
          <w:p>
            <w:pPr>
              <w:pStyle w:val="TableParagraph"/>
              <w:spacing w:line="210" w:lineRule="exact"/>
              <w:ind w:left="1148" w:right="644"/>
              <w:jc w:val="center"/>
              <w:rPr>
                <w:sz w:val="20"/>
              </w:rPr>
            </w:pPr>
            <w:r>
              <w:rPr>
                <w:sz w:val="20"/>
              </w:rPr>
              <w:t>A16.04.012,</w:t>
            </w:r>
            <w:r>
              <w:rPr>
                <w:spacing w:val="-9"/>
                <w:sz w:val="20"/>
              </w:rPr>
              <w:t> </w:t>
            </w:r>
            <w:r>
              <w:rPr>
                <w:spacing w:val="-2"/>
                <w:sz w:val="20"/>
              </w:rPr>
              <w:t>A16.04.012.002,</w:t>
            </w:r>
          </w:p>
        </w:tc>
        <w:tc>
          <w:tcPr>
            <w:tcW w:w="1574" w:type="dxa"/>
          </w:tcPr>
          <w:p>
            <w:pPr>
              <w:pStyle w:val="TableParagraph"/>
              <w:spacing w:line="221" w:lineRule="exact"/>
              <w:ind w:right="212"/>
              <w:jc w:val="center"/>
              <w:rPr>
                <w:sz w:val="20"/>
              </w:rPr>
            </w:pPr>
            <w:r>
              <w:rPr>
                <w:w w:val="99"/>
                <w:sz w:val="20"/>
              </w:rPr>
              <w:t>-</w:t>
            </w:r>
          </w:p>
        </w:tc>
        <w:tc>
          <w:tcPr>
            <w:tcW w:w="1261" w:type="dxa"/>
          </w:tcPr>
          <w:p>
            <w:pPr>
              <w:pStyle w:val="TableParagraph"/>
              <w:spacing w:line="221" w:lineRule="exact"/>
              <w:ind w:right="49"/>
              <w:jc w:val="right"/>
              <w:rPr>
                <w:sz w:val="20"/>
              </w:rPr>
            </w:pPr>
            <w:r>
              <w:rPr>
                <w:spacing w:val="-4"/>
                <w:sz w:val="20"/>
              </w:rPr>
              <w:t>2,42</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0"/>
        <w:gridCol w:w="3476"/>
        <w:gridCol w:w="3971"/>
        <w:gridCol w:w="1573"/>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40" w:type="dxa"/>
            <w:vMerge w:val="restart"/>
          </w:tcPr>
          <w:p>
            <w:pPr>
              <w:pStyle w:val="TableParagraph"/>
              <w:rPr>
                <w:sz w:val="18"/>
              </w:rPr>
            </w:pPr>
          </w:p>
        </w:tc>
        <w:tc>
          <w:tcPr>
            <w:tcW w:w="3476" w:type="dxa"/>
            <w:vMerge w:val="restart"/>
          </w:tcPr>
          <w:p>
            <w:pPr>
              <w:pStyle w:val="TableParagraph"/>
              <w:rPr>
                <w:sz w:val="18"/>
              </w:rPr>
            </w:pPr>
          </w:p>
        </w:tc>
        <w:tc>
          <w:tcPr>
            <w:tcW w:w="3971" w:type="dxa"/>
          </w:tcPr>
          <w:p>
            <w:pPr>
              <w:pStyle w:val="TableParagraph"/>
              <w:spacing w:line="205" w:lineRule="exact"/>
              <w:ind w:left="241" w:right="644"/>
              <w:jc w:val="center"/>
              <w:rPr>
                <w:sz w:val="20"/>
              </w:rPr>
            </w:pPr>
            <w:r>
              <w:rPr>
                <w:sz w:val="20"/>
              </w:rPr>
              <w:t>A16.04.013,</w:t>
            </w:r>
            <w:r>
              <w:rPr>
                <w:spacing w:val="-9"/>
                <w:sz w:val="20"/>
              </w:rPr>
              <w:t> </w:t>
            </w:r>
            <w:r>
              <w:rPr>
                <w:spacing w:val="-2"/>
                <w:sz w:val="20"/>
              </w:rPr>
              <w:t>A16.04.013.001,</w:t>
            </w:r>
          </w:p>
        </w:tc>
        <w:tc>
          <w:tcPr>
            <w:tcW w:w="1573"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09" w:lineRule="exact"/>
              <w:ind w:left="241" w:right="644"/>
              <w:jc w:val="center"/>
              <w:rPr>
                <w:sz w:val="20"/>
              </w:rPr>
            </w:pPr>
            <w:r>
              <w:rPr>
                <w:w w:val="95"/>
                <w:sz w:val="20"/>
              </w:rPr>
              <w:t>A16.04.013.002,</w:t>
            </w:r>
            <w:r>
              <w:rPr>
                <w:spacing w:val="54"/>
                <w:sz w:val="20"/>
              </w:rPr>
              <w:t> </w:t>
            </w:r>
            <w:r>
              <w:rPr>
                <w:spacing w:val="-2"/>
                <w:sz w:val="20"/>
              </w:rPr>
              <w:t>A16.04.014,</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09" w:lineRule="exact"/>
              <w:ind w:left="239" w:right="644"/>
              <w:jc w:val="center"/>
              <w:rPr>
                <w:sz w:val="20"/>
              </w:rPr>
            </w:pPr>
            <w:r>
              <w:rPr>
                <w:sz w:val="20"/>
              </w:rPr>
              <w:t>A16.04.015,</w:t>
            </w:r>
            <w:r>
              <w:rPr>
                <w:spacing w:val="-9"/>
                <w:sz w:val="20"/>
              </w:rPr>
              <w:t> </w:t>
            </w:r>
            <w:r>
              <w:rPr>
                <w:sz w:val="20"/>
              </w:rPr>
              <w:t>A16.04.016,</w:t>
            </w:r>
            <w:r>
              <w:rPr>
                <w:spacing w:val="-10"/>
                <w:sz w:val="20"/>
              </w:rPr>
              <w:t> </w:t>
            </w:r>
            <w:r>
              <w:rPr>
                <w:spacing w:val="-2"/>
                <w:sz w:val="20"/>
              </w:rPr>
              <w:t>A16.04.017,</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0" w:right="644"/>
              <w:jc w:val="center"/>
              <w:rPr>
                <w:sz w:val="20"/>
              </w:rPr>
            </w:pPr>
            <w:r>
              <w:rPr>
                <w:w w:val="95"/>
                <w:sz w:val="20"/>
              </w:rPr>
              <w:t>A16.04.017.001,</w:t>
            </w:r>
            <w:r>
              <w:rPr>
                <w:spacing w:val="54"/>
                <w:sz w:val="20"/>
              </w:rPr>
              <w:t> </w:t>
            </w:r>
            <w:r>
              <w:rPr>
                <w:spacing w:val="-2"/>
                <w:sz w:val="20"/>
              </w:rPr>
              <w:t>A16.04.017.005,</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1" w:right="644"/>
              <w:jc w:val="center"/>
              <w:rPr>
                <w:sz w:val="20"/>
              </w:rPr>
            </w:pPr>
            <w:r>
              <w:rPr>
                <w:sz w:val="20"/>
              </w:rPr>
              <w:t>A16.04.025,</w:t>
            </w:r>
            <w:r>
              <w:rPr>
                <w:spacing w:val="-8"/>
                <w:sz w:val="20"/>
              </w:rPr>
              <w:t> </w:t>
            </w:r>
            <w:r>
              <w:rPr>
                <w:sz w:val="20"/>
              </w:rPr>
              <w:t>A16.04.029,</w:t>
            </w:r>
            <w:r>
              <w:rPr>
                <w:spacing w:val="-9"/>
                <w:sz w:val="20"/>
              </w:rPr>
              <w:t> </w:t>
            </w:r>
            <w:r>
              <w:rPr>
                <w:spacing w:val="-2"/>
                <w:sz w:val="20"/>
              </w:rPr>
              <w:t>A16.04.030,</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1" w:right="644"/>
              <w:jc w:val="center"/>
              <w:rPr>
                <w:sz w:val="20"/>
              </w:rPr>
            </w:pPr>
            <w:r>
              <w:rPr>
                <w:w w:val="95"/>
                <w:sz w:val="20"/>
              </w:rPr>
              <w:t>A16.04.030.001,</w:t>
            </w:r>
            <w:r>
              <w:rPr>
                <w:spacing w:val="54"/>
                <w:sz w:val="20"/>
              </w:rPr>
              <w:t> </w:t>
            </w:r>
            <w:r>
              <w:rPr>
                <w:spacing w:val="-2"/>
                <w:sz w:val="20"/>
              </w:rPr>
              <w:t>A16.04.034,</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1" w:lineRule="exact"/>
              <w:ind w:left="239" w:right="644"/>
              <w:jc w:val="center"/>
              <w:rPr>
                <w:sz w:val="20"/>
              </w:rPr>
            </w:pPr>
            <w:r>
              <w:rPr>
                <w:sz w:val="20"/>
              </w:rPr>
              <w:t>A16.04.035,</w:t>
            </w:r>
            <w:r>
              <w:rPr>
                <w:spacing w:val="-9"/>
                <w:sz w:val="20"/>
              </w:rPr>
              <w:t> </w:t>
            </w:r>
            <w:r>
              <w:rPr>
                <w:sz w:val="20"/>
              </w:rPr>
              <w:t>A16.04.036,</w:t>
            </w:r>
            <w:r>
              <w:rPr>
                <w:spacing w:val="-10"/>
                <w:sz w:val="20"/>
              </w:rPr>
              <w:t> </w:t>
            </w:r>
            <w:r>
              <w:rPr>
                <w:spacing w:val="-2"/>
                <w:sz w:val="20"/>
              </w:rPr>
              <w:t>A16.04.040,</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39" w:right="644"/>
              <w:jc w:val="center"/>
              <w:rPr>
                <w:sz w:val="20"/>
              </w:rPr>
            </w:pPr>
            <w:r>
              <w:rPr>
                <w:sz w:val="20"/>
              </w:rPr>
              <w:t>A16.04.041,</w:t>
            </w:r>
            <w:r>
              <w:rPr>
                <w:spacing w:val="-9"/>
                <w:sz w:val="20"/>
              </w:rPr>
              <w:t> </w:t>
            </w:r>
            <w:r>
              <w:rPr>
                <w:sz w:val="20"/>
              </w:rPr>
              <w:t>A16.04.043,</w:t>
            </w:r>
            <w:r>
              <w:rPr>
                <w:spacing w:val="-10"/>
                <w:sz w:val="20"/>
              </w:rPr>
              <w:t> </w:t>
            </w:r>
            <w:r>
              <w:rPr>
                <w:spacing w:val="-2"/>
                <w:sz w:val="20"/>
              </w:rPr>
              <w:t>A16.04.044,</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09" w:lineRule="exact"/>
              <w:ind w:left="241" w:right="642"/>
              <w:jc w:val="center"/>
              <w:rPr>
                <w:sz w:val="20"/>
              </w:rPr>
            </w:pPr>
            <w:r>
              <w:rPr>
                <w:sz w:val="20"/>
              </w:rPr>
              <w:t>A16.30.031,</w:t>
            </w:r>
            <w:r>
              <w:rPr>
                <w:spacing w:val="-9"/>
                <w:sz w:val="20"/>
              </w:rPr>
              <w:t> </w:t>
            </w:r>
            <w:r>
              <w:rPr>
                <w:spacing w:val="-2"/>
                <w:sz w:val="20"/>
              </w:rPr>
              <w:t>A16.30.048,</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0" w:right="644"/>
              <w:jc w:val="center"/>
              <w:rPr>
                <w:sz w:val="20"/>
              </w:rPr>
            </w:pPr>
            <w:r>
              <w:rPr>
                <w:w w:val="95"/>
                <w:sz w:val="20"/>
              </w:rPr>
              <w:t>A16.30.048.001,</w:t>
            </w:r>
            <w:r>
              <w:rPr>
                <w:spacing w:val="54"/>
                <w:sz w:val="20"/>
              </w:rPr>
              <w:t> </w:t>
            </w:r>
            <w:r>
              <w:rPr>
                <w:spacing w:val="-2"/>
                <w:sz w:val="20"/>
              </w:rPr>
              <w:t>A16.30.048.002,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1" w:right="644"/>
              <w:jc w:val="center"/>
              <w:rPr>
                <w:sz w:val="20"/>
              </w:rPr>
            </w:pPr>
            <w:r>
              <w:rPr>
                <w:w w:val="95"/>
                <w:sz w:val="20"/>
              </w:rPr>
              <w:t>A16.30.048.003,</w:t>
            </w:r>
            <w:r>
              <w:rPr>
                <w:spacing w:val="54"/>
                <w:sz w:val="20"/>
              </w:rPr>
              <w:t> </w:t>
            </w:r>
            <w:r>
              <w:rPr>
                <w:spacing w:val="-2"/>
                <w:sz w:val="20"/>
              </w:rPr>
              <w:t>A16.30.050,</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26" w:lineRule="exact"/>
              <w:ind w:left="241" w:right="644"/>
              <w:jc w:val="center"/>
              <w:rPr>
                <w:sz w:val="20"/>
              </w:rPr>
            </w:pPr>
            <w:r>
              <w:rPr>
                <w:sz w:val="20"/>
              </w:rPr>
              <w:t>A22.04.005,</w:t>
            </w:r>
            <w:r>
              <w:rPr>
                <w:spacing w:val="-9"/>
                <w:sz w:val="20"/>
              </w:rPr>
              <w:t> </w:t>
            </w:r>
            <w:r>
              <w:rPr>
                <w:sz w:val="20"/>
              </w:rPr>
              <w:t>A22.04.006,</w:t>
            </w:r>
            <w:r>
              <w:rPr>
                <w:spacing w:val="-10"/>
                <w:sz w:val="20"/>
              </w:rPr>
              <w:t> </w:t>
            </w:r>
            <w:r>
              <w:rPr>
                <w:spacing w:val="-2"/>
                <w:sz w:val="20"/>
              </w:rPr>
              <w:t>A22.04.007</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16" w:type="dxa"/>
            <w:gridSpan w:val="2"/>
          </w:tcPr>
          <w:p>
            <w:pPr>
              <w:pStyle w:val="TableParagraph"/>
              <w:spacing w:line="215" w:lineRule="exact" w:before="45"/>
              <w:ind w:left="2910"/>
              <w:rPr>
                <w:sz w:val="20"/>
              </w:rPr>
            </w:pPr>
            <w:r>
              <w:rPr>
                <w:sz w:val="20"/>
              </w:rPr>
              <w:t>S42.3,</w:t>
            </w:r>
            <w:r>
              <w:rPr>
                <w:spacing w:val="-5"/>
                <w:sz w:val="20"/>
              </w:rPr>
              <w:t> </w:t>
            </w:r>
            <w:r>
              <w:rPr>
                <w:sz w:val="20"/>
              </w:rPr>
              <w:t>S42.30,</w:t>
            </w:r>
            <w:r>
              <w:rPr>
                <w:spacing w:val="-6"/>
                <w:sz w:val="20"/>
              </w:rPr>
              <w:t> </w:t>
            </w:r>
            <w:r>
              <w:rPr>
                <w:sz w:val="20"/>
              </w:rPr>
              <w:t>S42.4,</w:t>
            </w:r>
            <w:r>
              <w:rPr>
                <w:spacing w:val="-5"/>
                <w:sz w:val="20"/>
              </w:rPr>
              <w:t> </w:t>
            </w:r>
            <w:r>
              <w:rPr>
                <w:sz w:val="20"/>
              </w:rPr>
              <w:t>S42.40,</w:t>
            </w:r>
            <w:r>
              <w:rPr>
                <w:spacing w:val="-6"/>
                <w:sz w:val="20"/>
              </w:rPr>
              <w:t> </w:t>
            </w:r>
            <w:r>
              <w:rPr>
                <w:sz w:val="20"/>
              </w:rPr>
              <w:t>S42.7,</w:t>
            </w:r>
            <w:r>
              <w:rPr>
                <w:spacing w:val="-5"/>
                <w:sz w:val="20"/>
              </w:rPr>
              <w:t> </w:t>
            </w:r>
            <w:r>
              <w:rPr>
                <w:spacing w:val="-2"/>
                <w:sz w:val="20"/>
              </w:rPr>
              <w:t>S42.70,</w:t>
            </w:r>
          </w:p>
        </w:tc>
        <w:tc>
          <w:tcPr>
            <w:tcW w:w="3971" w:type="dxa"/>
          </w:tcPr>
          <w:p>
            <w:pPr>
              <w:pStyle w:val="TableParagraph"/>
              <w:spacing w:line="215" w:lineRule="exact" w:before="45"/>
              <w:ind w:left="241" w:right="643"/>
              <w:jc w:val="center"/>
              <w:rPr>
                <w:sz w:val="20"/>
              </w:rPr>
            </w:pPr>
            <w:r>
              <w:rPr>
                <w:spacing w:val="-2"/>
                <w:sz w:val="20"/>
              </w:rPr>
              <w:t>A16.03.033.002</w:t>
            </w:r>
          </w:p>
        </w:tc>
        <w:tc>
          <w:tcPr>
            <w:tcW w:w="1573" w:type="dxa"/>
          </w:tcPr>
          <w:p>
            <w:pPr>
              <w:pStyle w:val="TableParagraph"/>
              <w:spacing w:line="215" w:lineRule="exact" w:before="45"/>
              <w:ind w:left="646"/>
              <w:rPr>
                <w:sz w:val="20"/>
              </w:rPr>
            </w:pPr>
            <w:r>
              <w:rPr>
                <w:w w:val="99"/>
                <w:sz w:val="20"/>
              </w:rPr>
              <w:t>-</w:t>
            </w: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10" w:lineRule="exact"/>
              <w:ind w:left="2859"/>
              <w:rPr>
                <w:sz w:val="20"/>
              </w:rPr>
            </w:pPr>
            <w:r>
              <w:rPr>
                <w:sz w:val="20"/>
              </w:rPr>
              <w:t>S42.71,</w:t>
            </w:r>
            <w:r>
              <w:rPr>
                <w:spacing w:val="-6"/>
                <w:sz w:val="20"/>
              </w:rPr>
              <w:t> </w:t>
            </w:r>
            <w:r>
              <w:rPr>
                <w:sz w:val="20"/>
              </w:rPr>
              <w:t>S52.0,</w:t>
            </w:r>
            <w:r>
              <w:rPr>
                <w:spacing w:val="-7"/>
                <w:sz w:val="20"/>
              </w:rPr>
              <w:t> </w:t>
            </w:r>
            <w:r>
              <w:rPr>
                <w:sz w:val="20"/>
              </w:rPr>
              <w:t>S52.00,</w:t>
            </w:r>
            <w:r>
              <w:rPr>
                <w:spacing w:val="-5"/>
                <w:sz w:val="20"/>
              </w:rPr>
              <w:t> </w:t>
            </w:r>
            <w:r>
              <w:rPr>
                <w:sz w:val="20"/>
              </w:rPr>
              <w:t>S52.01,</w:t>
            </w:r>
            <w:r>
              <w:rPr>
                <w:spacing w:val="-6"/>
                <w:sz w:val="20"/>
              </w:rPr>
              <w:t> </w:t>
            </w:r>
            <w:r>
              <w:rPr>
                <w:sz w:val="20"/>
              </w:rPr>
              <w:t>S52.1,</w:t>
            </w:r>
            <w:r>
              <w:rPr>
                <w:spacing w:val="-5"/>
                <w:sz w:val="20"/>
              </w:rPr>
              <w:t> </w:t>
            </w:r>
            <w:r>
              <w:rPr>
                <w:spacing w:val="-2"/>
                <w:sz w:val="20"/>
              </w:rPr>
              <w:t>S52.10,</w:t>
            </w:r>
          </w:p>
        </w:tc>
        <w:tc>
          <w:tcPr>
            <w:tcW w:w="3971" w:type="dxa"/>
          </w:tcPr>
          <w:p>
            <w:pPr>
              <w:pStyle w:val="TableParagraph"/>
              <w:rPr>
                <w:sz w:val="16"/>
              </w:rPr>
            </w:pPr>
          </w:p>
        </w:tc>
        <w:tc>
          <w:tcPr>
            <w:tcW w:w="1573"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10" w:lineRule="exact"/>
              <w:ind w:left="2859"/>
              <w:rPr>
                <w:sz w:val="20"/>
              </w:rPr>
            </w:pPr>
            <w:r>
              <w:rPr>
                <w:sz w:val="20"/>
              </w:rPr>
              <w:t>S52.11,</w:t>
            </w:r>
            <w:r>
              <w:rPr>
                <w:spacing w:val="-6"/>
                <w:sz w:val="20"/>
              </w:rPr>
              <w:t> </w:t>
            </w:r>
            <w:r>
              <w:rPr>
                <w:sz w:val="20"/>
              </w:rPr>
              <w:t>S52.2,</w:t>
            </w:r>
            <w:r>
              <w:rPr>
                <w:spacing w:val="-7"/>
                <w:sz w:val="20"/>
              </w:rPr>
              <w:t> </w:t>
            </w:r>
            <w:r>
              <w:rPr>
                <w:sz w:val="20"/>
              </w:rPr>
              <w:t>S52.20,</w:t>
            </w:r>
            <w:r>
              <w:rPr>
                <w:spacing w:val="-5"/>
                <w:sz w:val="20"/>
              </w:rPr>
              <w:t> </w:t>
            </w:r>
            <w:r>
              <w:rPr>
                <w:sz w:val="20"/>
              </w:rPr>
              <w:t>S52.21,</w:t>
            </w:r>
            <w:r>
              <w:rPr>
                <w:spacing w:val="-6"/>
                <w:sz w:val="20"/>
              </w:rPr>
              <w:t> </w:t>
            </w:r>
            <w:r>
              <w:rPr>
                <w:sz w:val="20"/>
              </w:rPr>
              <w:t>S52.3,</w:t>
            </w:r>
            <w:r>
              <w:rPr>
                <w:spacing w:val="-5"/>
                <w:sz w:val="20"/>
              </w:rPr>
              <w:t> </w:t>
            </w:r>
            <w:r>
              <w:rPr>
                <w:spacing w:val="-2"/>
                <w:sz w:val="20"/>
              </w:rPr>
              <w:t>S52.30,</w:t>
            </w:r>
          </w:p>
        </w:tc>
        <w:tc>
          <w:tcPr>
            <w:tcW w:w="3971" w:type="dxa"/>
          </w:tcPr>
          <w:p>
            <w:pPr>
              <w:pStyle w:val="TableParagraph"/>
              <w:rPr>
                <w:sz w:val="16"/>
              </w:rPr>
            </w:pPr>
          </w:p>
        </w:tc>
        <w:tc>
          <w:tcPr>
            <w:tcW w:w="1573"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10" w:lineRule="exact"/>
              <w:ind w:left="2859"/>
              <w:rPr>
                <w:sz w:val="20"/>
              </w:rPr>
            </w:pPr>
            <w:r>
              <w:rPr>
                <w:sz w:val="20"/>
              </w:rPr>
              <w:t>S52.31,</w:t>
            </w:r>
            <w:r>
              <w:rPr>
                <w:spacing w:val="-5"/>
                <w:sz w:val="20"/>
              </w:rPr>
              <w:t> </w:t>
            </w:r>
            <w:r>
              <w:rPr>
                <w:sz w:val="20"/>
              </w:rPr>
              <w:t>S52.4,</w:t>
            </w:r>
            <w:r>
              <w:rPr>
                <w:spacing w:val="-7"/>
                <w:sz w:val="20"/>
              </w:rPr>
              <w:t> </w:t>
            </w:r>
            <w:r>
              <w:rPr>
                <w:sz w:val="20"/>
              </w:rPr>
              <w:t>S52.40,</w:t>
            </w:r>
            <w:r>
              <w:rPr>
                <w:spacing w:val="-5"/>
                <w:sz w:val="20"/>
              </w:rPr>
              <w:t> </w:t>
            </w:r>
            <w:r>
              <w:rPr>
                <w:sz w:val="20"/>
              </w:rPr>
              <w:t>S52.5,</w:t>
            </w:r>
            <w:r>
              <w:rPr>
                <w:spacing w:val="-6"/>
                <w:sz w:val="20"/>
              </w:rPr>
              <w:t> </w:t>
            </w:r>
            <w:r>
              <w:rPr>
                <w:sz w:val="20"/>
              </w:rPr>
              <w:t>S52.50,</w:t>
            </w:r>
            <w:r>
              <w:rPr>
                <w:spacing w:val="-5"/>
                <w:sz w:val="20"/>
              </w:rPr>
              <w:t> </w:t>
            </w:r>
            <w:r>
              <w:rPr>
                <w:spacing w:val="-2"/>
                <w:sz w:val="20"/>
              </w:rPr>
              <w:t>S52.51,</w:t>
            </w:r>
          </w:p>
        </w:tc>
        <w:tc>
          <w:tcPr>
            <w:tcW w:w="3971" w:type="dxa"/>
          </w:tcPr>
          <w:p>
            <w:pPr>
              <w:pStyle w:val="TableParagraph"/>
              <w:rPr>
                <w:sz w:val="16"/>
              </w:rPr>
            </w:pPr>
          </w:p>
        </w:tc>
        <w:tc>
          <w:tcPr>
            <w:tcW w:w="1573" w:type="dxa"/>
          </w:tcPr>
          <w:p>
            <w:pPr>
              <w:pStyle w:val="TableParagraph"/>
              <w:rPr>
                <w:sz w:val="16"/>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26" w:lineRule="exact"/>
              <w:ind w:left="3217"/>
              <w:rPr>
                <w:sz w:val="20"/>
              </w:rPr>
            </w:pPr>
            <w:r>
              <w:rPr>
                <w:sz w:val="20"/>
              </w:rPr>
              <w:t>S52.6,</w:t>
            </w:r>
            <w:r>
              <w:rPr>
                <w:spacing w:val="-6"/>
                <w:sz w:val="20"/>
              </w:rPr>
              <w:t> </w:t>
            </w:r>
            <w:r>
              <w:rPr>
                <w:sz w:val="20"/>
              </w:rPr>
              <w:t>S52.60,</w:t>
            </w:r>
            <w:r>
              <w:rPr>
                <w:spacing w:val="-7"/>
                <w:sz w:val="20"/>
              </w:rPr>
              <w:t> </w:t>
            </w:r>
            <w:r>
              <w:rPr>
                <w:sz w:val="20"/>
              </w:rPr>
              <w:t>S52.61,</w:t>
            </w:r>
            <w:r>
              <w:rPr>
                <w:spacing w:val="-6"/>
                <w:sz w:val="20"/>
              </w:rPr>
              <w:t> </w:t>
            </w:r>
            <w:r>
              <w:rPr>
                <w:sz w:val="20"/>
              </w:rPr>
              <w:t>S52.7,</w:t>
            </w:r>
            <w:r>
              <w:rPr>
                <w:spacing w:val="-7"/>
                <w:sz w:val="20"/>
              </w:rPr>
              <w:t> </w:t>
            </w:r>
            <w:r>
              <w:rPr>
                <w:spacing w:val="-2"/>
                <w:sz w:val="20"/>
              </w:rPr>
              <w:t>S52.70</w:t>
            </w:r>
          </w:p>
        </w:tc>
        <w:tc>
          <w:tcPr>
            <w:tcW w:w="3971" w:type="dxa"/>
          </w:tcPr>
          <w:p>
            <w:pPr>
              <w:pStyle w:val="TableParagraph"/>
              <w:rPr>
                <w:sz w:val="18"/>
              </w:rPr>
            </w:pPr>
          </w:p>
        </w:tc>
        <w:tc>
          <w:tcPr>
            <w:tcW w:w="1573" w:type="dxa"/>
          </w:tcPr>
          <w:p>
            <w:pPr>
              <w:pStyle w:val="TableParagraph"/>
              <w:rPr>
                <w:sz w:val="18"/>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st29.013</w:t>
            </w:r>
          </w:p>
        </w:tc>
        <w:tc>
          <w:tcPr>
            <w:tcW w:w="707" w:type="dxa"/>
          </w:tcPr>
          <w:p>
            <w:pPr>
              <w:pStyle w:val="TableParagraph"/>
              <w:spacing w:line="215" w:lineRule="exact" w:before="45"/>
              <w:ind w:left="210"/>
              <w:rPr>
                <w:sz w:val="20"/>
              </w:rPr>
            </w:pPr>
            <w:r>
              <w:rPr>
                <w:spacing w:val="-5"/>
                <w:sz w:val="20"/>
              </w:rPr>
              <w:t>281</w:t>
            </w:r>
          </w:p>
        </w:tc>
        <w:tc>
          <w:tcPr>
            <w:tcW w:w="3340" w:type="dxa"/>
          </w:tcPr>
          <w:p>
            <w:pPr>
              <w:pStyle w:val="TableParagraph"/>
              <w:spacing w:line="215" w:lineRule="exact" w:before="45"/>
              <w:ind w:left="192"/>
              <w:rPr>
                <w:sz w:val="20"/>
              </w:rPr>
            </w:pPr>
            <w:r>
              <w:rPr>
                <w:sz w:val="20"/>
              </w:rPr>
              <w:t>Операции</w:t>
            </w:r>
            <w:r>
              <w:rPr>
                <w:spacing w:val="-6"/>
                <w:sz w:val="20"/>
              </w:rPr>
              <w:t> </w:t>
            </w:r>
            <w:r>
              <w:rPr>
                <w:sz w:val="20"/>
              </w:rPr>
              <w:t>на</w:t>
            </w:r>
            <w:r>
              <w:rPr>
                <w:spacing w:val="-7"/>
                <w:sz w:val="20"/>
              </w:rPr>
              <w:t> </w:t>
            </w:r>
            <w:r>
              <w:rPr>
                <w:spacing w:val="-2"/>
                <w:sz w:val="20"/>
              </w:rPr>
              <w:t>костно-</w:t>
            </w:r>
          </w:p>
        </w:tc>
        <w:tc>
          <w:tcPr>
            <w:tcW w:w="3476" w:type="dxa"/>
          </w:tcPr>
          <w:p>
            <w:pPr>
              <w:pStyle w:val="TableParagraph"/>
              <w:spacing w:line="215" w:lineRule="exact" w:before="45"/>
              <w:ind w:right="715"/>
              <w:jc w:val="center"/>
              <w:rPr>
                <w:sz w:val="20"/>
              </w:rPr>
            </w:pPr>
            <w:r>
              <w:rPr>
                <w:w w:val="99"/>
                <w:sz w:val="20"/>
              </w:rPr>
              <w:t>-</w:t>
            </w:r>
          </w:p>
        </w:tc>
        <w:tc>
          <w:tcPr>
            <w:tcW w:w="3971" w:type="dxa"/>
          </w:tcPr>
          <w:p>
            <w:pPr>
              <w:pStyle w:val="TableParagraph"/>
              <w:spacing w:line="215" w:lineRule="exact" w:before="45"/>
              <w:ind w:left="240" w:right="644"/>
              <w:jc w:val="center"/>
              <w:rPr>
                <w:sz w:val="20"/>
              </w:rPr>
            </w:pPr>
            <w:r>
              <w:rPr>
                <w:w w:val="95"/>
                <w:sz w:val="20"/>
              </w:rPr>
              <w:t>A16.03.022.002,</w:t>
            </w:r>
            <w:r>
              <w:rPr>
                <w:spacing w:val="54"/>
                <w:sz w:val="20"/>
              </w:rPr>
              <w:t> </w:t>
            </w:r>
            <w:r>
              <w:rPr>
                <w:spacing w:val="-2"/>
                <w:sz w:val="20"/>
              </w:rPr>
              <w:t>A16.03.022.006,</w:t>
            </w:r>
          </w:p>
        </w:tc>
        <w:tc>
          <w:tcPr>
            <w:tcW w:w="1573"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3,15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A16.03.022.008,</w:t>
            </w:r>
            <w:r>
              <w:rPr>
                <w:spacing w:val="54"/>
                <w:sz w:val="20"/>
              </w:rPr>
              <w:t> </w:t>
            </w:r>
            <w:r>
              <w:rPr>
                <w:spacing w:val="-2"/>
                <w:sz w:val="20"/>
              </w:rPr>
              <w:t>A16.03.024.001,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5)</w:t>
            </w: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A16.03.024.006,</w:t>
            </w:r>
            <w:r>
              <w:rPr>
                <w:spacing w:val="54"/>
                <w:sz w:val="20"/>
              </w:rPr>
              <w:t> </w:t>
            </w:r>
            <w:r>
              <w:rPr>
                <w:spacing w:val="-2"/>
                <w:sz w:val="20"/>
              </w:rPr>
              <w:t>A16.03.024.013,</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A16.03.024.014,</w:t>
            </w:r>
            <w:r>
              <w:rPr>
                <w:spacing w:val="54"/>
                <w:sz w:val="20"/>
              </w:rPr>
              <w:t> </w:t>
            </w:r>
            <w:r>
              <w:rPr>
                <w:spacing w:val="-2"/>
                <w:sz w:val="20"/>
              </w:rPr>
              <w:t>A16.03.024.015,</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A16.03.024.016,</w:t>
            </w:r>
            <w:r>
              <w:rPr>
                <w:spacing w:val="54"/>
                <w:sz w:val="20"/>
              </w:rPr>
              <w:t> </w:t>
            </w:r>
            <w:r>
              <w:rPr>
                <w:spacing w:val="-2"/>
                <w:sz w:val="20"/>
              </w:rPr>
              <w:t>A16.03.026.001,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39" w:right="644"/>
              <w:jc w:val="center"/>
              <w:rPr>
                <w:sz w:val="20"/>
              </w:rPr>
            </w:pPr>
            <w:r>
              <w:rPr>
                <w:sz w:val="20"/>
              </w:rPr>
              <w:t>A16.03.037,</w:t>
            </w:r>
            <w:r>
              <w:rPr>
                <w:spacing w:val="-9"/>
                <w:sz w:val="20"/>
              </w:rPr>
              <w:t> </w:t>
            </w:r>
            <w:r>
              <w:rPr>
                <w:sz w:val="20"/>
              </w:rPr>
              <w:t>A16.03.038,</w:t>
            </w:r>
            <w:r>
              <w:rPr>
                <w:spacing w:val="-10"/>
                <w:sz w:val="20"/>
              </w:rPr>
              <w:t> </w:t>
            </w:r>
            <w:r>
              <w:rPr>
                <w:spacing w:val="-2"/>
                <w:sz w:val="20"/>
              </w:rPr>
              <w:t>A16.03.039,</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sz w:val="20"/>
              </w:rPr>
              <w:t>A16.03.040,</w:t>
            </w:r>
            <w:r>
              <w:rPr>
                <w:spacing w:val="-9"/>
                <w:sz w:val="20"/>
              </w:rPr>
              <w:t> </w:t>
            </w:r>
            <w:r>
              <w:rPr>
                <w:sz w:val="20"/>
              </w:rPr>
              <w:t>A16.03.041,</w:t>
            </w:r>
            <w:r>
              <w:rPr>
                <w:spacing w:val="-9"/>
                <w:sz w:val="20"/>
              </w:rPr>
              <w:t> </w:t>
            </w:r>
            <w:r>
              <w:rPr>
                <w:spacing w:val="-2"/>
                <w:sz w:val="20"/>
              </w:rPr>
              <w:t>A16.03.042,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A16.03.051.001,</w:t>
            </w:r>
            <w:r>
              <w:rPr>
                <w:spacing w:val="54"/>
                <w:sz w:val="20"/>
              </w:rPr>
              <w:t> </w:t>
            </w:r>
            <w:r>
              <w:rPr>
                <w:spacing w:val="-2"/>
                <w:sz w:val="20"/>
              </w:rPr>
              <w:t>A16.03.051.003,</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A16.03.075.001,</w:t>
            </w:r>
            <w:r>
              <w:rPr>
                <w:spacing w:val="54"/>
                <w:sz w:val="20"/>
              </w:rPr>
              <w:t> </w:t>
            </w:r>
            <w:r>
              <w:rPr>
                <w:spacing w:val="-2"/>
                <w:sz w:val="20"/>
              </w:rPr>
              <w:t>A16.03.075.002,</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A16.03.075.006,</w:t>
            </w:r>
            <w:r>
              <w:rPr>
                <w:spacing w:val="54"/>
                <w:sz w:val="20"/>
              </w:rPr>
              <w:t> </w:t>
            </w:r>
            <w:r>
              <w:rPr>
                <w:spacing w:val="-2"/>
                <w:sz w:val="20"/>
              </w:rPr>
              <w:t>A16.03.076.001,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A16.03.076.002,</w:t>
            </w:r>
            <w:r>
              <w:rPr>
                <w:spacing w:val="54"/>
                <w:sz w:val="20"/>
              </w:rPr>
              <w:t> </w:t>
            </w:r>
            <w:r>
              <w:rPr>
                <w:spacing w:val="-2"/>
                <w:sz w:val="20"/>
              </w:rPr>
              <w:t>A16.04.008.001,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1" w:lineRule="exact"/>
              <w:ind w:left="241" w:right="644"/>
              <w:jc w:val="center"/>
              <w:rPr>
                <w:sz w:val="20"/>
              </w:rPr>
            </w:pPr>
            <w:r>
              <w:rPr>
                <w:sz w:val="20"/>
              </w:rPr>
              <w:t>A16.04.010,</w:t>
            </w:r>
            <w:r>
              <w:rPr>
                <w:spacing w:val="-9"/>
                <w:sz w:val="20"/>
              </w:rPr>
              <w:t> </w:t>
            </w:r>
            <w:r>
              <w:rPr>
                <w:spacing w:val="-2"/>
                <w:sz w:val="20"/>
              </w:rPr>
              <w:t>A16.04.010.001,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1" w:right="644"/>
              <w:jc w:val="center"/>
              <w:rPr>
                <w:sz w:val="20"/>
              </w:rPr>
            </w:pPr>
            <w:r>
              <w:rPr>
                <w:sz w:val="20"/>
              </w:rPr>
              <w:t>A16.04.011,</w:t>
            </w:r>
            <w:r>
              <w:rPr>
                <w:spacing w:val="-9"/>
                <w:sz w:val="20"/>
              </w:rPr>
              <w:t> </w:t>
            </w:r>
            <w:r>
              <w:rPr>
                <w:spacing w:val="-2"/>
                <w:sz w:val="20"/>
              </w:rPr>
              <w:t>A16.04.015.002,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A16.04.017.002,</w:t>
            </w:r>
            <w:r>
              <w:rPr>
                <w:spacing w:val="54"/>
                <w:sz w:val="20"/>
              </w:rPr>
              <w:t> </w:t>
            </w:r>
            <w:r>
              <w:rPr>
                <w:spacing w:val="-2"/>
                <w:sz w:val="20"/>
              </w:rPr>
              <w:t>A16.04.017.003,</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1" w:right="643"/>
              <w:jc w:val="center"/>
              <w:rPr>
                <w:sz w:val="20"/>
              </w:rPr>
            </w:pPr>
            <w:r>
              <w:rPr>
                <w:w w:val="95"/>
                <w:sz w:val="20"/>
              </w:rPr>
              <w:t>A16.04.017.004,</w:t>
            </w:r>
            <w:r>
              <w:rPr>
                <w:spacing w:val="56"/>
                <w:sz w:val="20"/>
              </w:rPr>
              <w:t> </w:t>
            </w:r>
            <w:r>
              <w:rPr>
                <w:spacing w:val="-2"/>
                <w:sz w:val="20"/>
              </w:rPr>
              <w:t>A16.04.020,</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A16.04.021.003,</w:t>
            </w:r>
            <w:r>
              <w:rPr>
                <w:spacing w:val="54"/>
                <w:sz w:val="20"/>
              </w:rPr>
              <w:t> </w:t>
            </w:r>
            <w:r>
              <w:rPr>
                <w:spacing w:val="-2"/>
                <w:sz w:val="20"/>
              </w:rPr>
              <w:t>A16.04.025.001,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39" w:right="644"/>
              <w:jc w:val="center"/>
              <w:rPr>
                <w:sz w:val="20"/>
              </w:rPr>
            </w:pPr>
            <w:r>
              <w:rPr>
                <w:sz w:val="20"/>
              </w:rPr>
              <w:t>A16.04.026,</w:t>
            </w:r>
            <w:r>
              <w:rPr>
                <w:spacing w:val="-9"/>
                <w:sz w:val="20"/>
              </w:rPr>
              <w:t> </w:t>
            </w:r>
            <w:r>
              <w:rPr>
                <w:sz w:val="20"/>
              </w:rPr>
              <w:t>A16.04.027,</w:t>
            </w:r>
            <w:r>
              <w:rPr>
                <w:spacing w:val="-10"/>
                <w:sz w:val="20"/>
              </w:rPr>
              <w:t> </w:t>
            </w:r>
            <w:r>
              <w:rPr>
                <w:spacing w:val="-2"/>
                <w:sz w:val="20"/>
              </w:rPr>
              <w:t>A16.04.028,</w:t>
            </w:r>
          </w:p>
        </w:tc>
        <w:tc>
          <w:tcPr>
            <w:tcW w:w="1573"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5" w:lineRule="exact"/>
              <w:ind w:left="239" w:right="644"/>
              <w:jc w:val="center"/>
              <w:rPr>
                <w:sz w:val="20"/>
              </w:rPr>
            </w:pPr>
            <w:r>
              <w:rPr>
                <w:sz w:val="20"/>
              </w:rPr>
              <w:t>A16.04.031,</w:t>
            </w:r>
            <w:r>
              <w:rPr>
                <w:spacing w:val="-9"/>
                <w:sz w:val="20"/>
              </w:rPr>
              <w:t> </w:t>
            </w:r>
            <w:r>
              <w:rPr>
                <w:sz w:val="20"/>
              </w:rPr>
              <w:t>A16.04.033,</w:t>
            </w:r>
            <w:r>
              <w:rPr>
                <w:spacing w:val="-10"/>
                <w:sz w:val="20"/>
              </w:rPr>
              <w:t> </w:t>
            </w:r>
            <w:r>
              <w:rPr>
                <w:spacing w:val="-2"/>
                <w:sz w:val="20"/>
              </w:rPr>
              <w:t>A16.04.042,</w:t>
            </w:r>
          </w:p>
        </w:tc>
        <w:tc>
          <w:tcPr>
            <w:tcW w:w="1573"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63"/>
        <w:gridCol w:w="4791"/>
        <w:gridCol w:w="2985"/>
        <w:gridCol w:w="2020"/>
        <w:gridCol w:w="1261"/>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63" w:type="dxa"/>
          </w:tcPr>
          <w:p>
            <w:pPr>
              <w:pStyle w:val="TableParagraph"/>
              <w:rPr>
                <w:sz w:val="18"/>
              </w:rPr>
            </w:pPr>
          </w:p>
        </w:tc>
        <w:tc>
          <w:tcPr>
            <w:tcW w:w="4791" w:type="dxa"/>
          </w:tcPr>
          <w:p>
            <w:pPr>
              <w:pStyle w:val="TableParagraph"/>
              <w:rPr>
                <w:sz w:val="18"/>
              </w:rPr>
            </w:pPr>
          </w:p>
        </w:tc>
        <w:tc>
          <w:tcPr>
            <w:tcW w:w="2985" w:type="dxa"/>
          </w:tcPr>
          <w:p>
            <w:pPr>
              <w:pStyle w:val="TableParagraph"/>
              <w:ind w:left="773" w:right="539" w:hanging="723"/>
              <w:rPr>
                <w:sz w:val="20"/>
              </w:rPr>
            </w:pPr>
            <w:r>
              <w:rPr>
                <w:sz w:val="20"/>
              </w:rPr>
              <w:t>A16.30.029,</w:t>
            </w:r>
            <w:r>
              <w:rPr>
                <w:spacing w:val="-13"/>
                <w:sz w:val="20"/>
              </w:rPr>
              <w:t> </w:t>
            </w:r>
            <w:r>
              <w:rPr>
                <w:sz w:val="20"/>
              </w:rPr>
              <w:t>A16.30.029.001, </w:t>
            </w:r>
            <w:r>
              <w:rPr>
                <w:spacing w:val="-2"/>
                <w:sz w:val="20"/>
              </w:rPr>
              <w:t>A16.30.030</w:t>
            </w:r>
          </w:p>
        </w:tc>
        <w:tc>
          <w:tcPr>
            <w:tcW w:w="2020" w:type="dxa"/>
          </w:tcPr>
          <w:p>
            <w:pPr>
              <w:pStyle w:val="TableParagraph"/>
              <w:rPr>
                <w:sz w:val="18"/>
              </w:rPr>
            </w:pPr>
          </w:p>
        </w:tc>
        <w:tc>
          <w:tcPr>
            <w:tcW w:w="1261" w:type="dxa"/>
          </w:tcPr>
          <w:p>
            <w:pPr>
              <w:pStyle w:val="TableParagraph"/>
              <w:rPr>
                <w:sz w:val="18"/>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63" w:type="dxa"/>
            <w:vMerge w:val="restart"/>
          </w:tcPr>
          <w:p>
            <w:pPr>
              <w:pStyle w:val="TableParagraph"/>
              <w:rPr>
                <w:sz w:val="18"/>
              </w:rPr>
            </w:pPr>
          </w:p>
        </w:tc>
        <w:tc>
          <w:tcPr>
            <w:tcW w:w="4791" w:type="dxa"/>
          </w:tcPr>
          <w:p>
            <w:pPr>
              <w:pStyle w:val="TableParagraph"/>
              <w:spacing w:line="215" w:lineRule="exact" w:before="45"/>
              <w:ind w:left="397"/>
              <w:rPr>
                <w:sz w:val="20"/>
              </w:rPr>
            </w:pPr>
            <w:r>
              <w:rPr>
                <w:sz w:val="20"/>
              </w:rPr>
              <w:t>Q68.1,</w:t>
            </w:r>
            <w:r>
              <w:rPr>
                <w:spacing w:val="-4"/>
                <w:sz w:val="20"/>
              </w:rPr>
              <w:t> </w:t>
            </w:r>
            <w:r>
              <w:rPr>
                <w:sz w:val="20"/>
              </w:rPr>
              <w:t>Q68.2,</w:t>
            </w:r>
            <w:r>
              <w:rPr>
                <w:spacing w:val="-6"/>
                <w:sz w:val="20"/>
              </w:rPr>
              <w:t> </w:t>
            </w:r>
            <w:r>
              <w:rPr>
                <w:sz w:val="20"/>
              </w:rPr>
              <w:t>Q68.3,</w:t>
            </w:r>
            <w:r>
              <w:rPr>
                <w:spacing w:val="-4"/>
                <w:sz w:val="20"/>
              </w:rPr>
              <w:t> </w:t>
            </w:r>
            <w:r>
              <w:rPr>
                <w:sz w:val="20"/>
              </w:rPr>
              <w:t>Q68.4,</w:t>
            </w:r>
            <w:r>
              <w:rPr>
                <w:spacing w:val="-6"/>
                <w:sz w:val="20"/>
              </w:rPr>
              <w:t> </w:t>
            </w:r>
            <w:r>
              <w:rPr>
                <w:sz w:val="20"/>
              </w:rPr>
              <w:t>Q71.4,</w:t>
            </w:r>
            <w:r>
              <w:rPr>
                <w:spacing w:val="-4"/>
                <w:sz w:val="20"/>
              </w:rPr>
              <w:t> </w:t>
            </w:r>
            <w:r>
              <w:rPr>
                <w:spacing w:val="-2"/>
                <w:sz w:val="20"/>
              </w:rPr>
              <w:t>Q71.5,</w:t>
            </w:r>
          </w:p>
        </w:tc>
        <w:tc>
          <w:tcPr>
            <w:tcW w:w="2985" w:type="dxa"/>
          </w:tcPr>
          <w:p>
            <w:pPr>
              <w:pStyle w:val="TableParagraph"/>
              <w:spacing w:line="215" w:lineRule="exact" w:before="45"/>
              <w:ind w:left="311" w:right="803"/>
              <w:jc w:val="center"/>
              <w:rPr>
                <w:sz w:val="20"/>
              </w:rPr>
            </w:pPr>
            <w:r>
              <w:rPr>
                <w:spacing w:val="-2"/>
                <w:sz w:val="20"/>
              </w:rPr>
              <w:t>A16.03.033.002</w:t>
            </w:r>
          </w:p>
        </w:tc>
        <w:tc>
          <w:tcPr>
            <w:tcW w:w="2020" w:type="dxa"/>
          </w:tcPr>
          <w:p>
            <w:pPr>
              <w:pStyle w:val="TableParagraph"/>
              <w:spacing w:line="215" w:lineRule="exact" w:before="45"/>
              <w:ind w:right="857"/>
              <w:jc w:val="right"/>
              <w:rPr>
                <w:sz w:val="20"/>
              </w:rPr>
            </w:pPr>
            <w:r>
              <w:rPr>
                <w:w w:val="99"/>
                <w:sz w:val="20"/>
              </w:rPr>
              <w:t>-</w:t>
            </w: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397"/>
              <w:rPr>
                <w:sz w:val="20"/>
              </w:rPr>
            </w:pPr>
            <w:r>
              <w:rPr>
                <w:sz w:val="20"/>
              </w:rPr>
              <w:t>Q71.8,</w:t>
            </w:r>
            <w:r>
              <w:rPr>
                <w:spacing w:val="-4"/>
                <w:sz w:val="20"/>
              </w:rPr>
              <w:t> </w:t>
            </w:r>
            <w:r>
              <w:rPr>
                <w:sz w:val="20"/>
              </w:rPr>
              <w:t>Q71.9,</w:t>
            </w:r>
            <w:r>
              <w:rPr>
                <w:spacing w:val="-6"/>
                <w:sz w:val="20"/>
              </w:rPr>
              <w:t> </w:t>
            </w:r>
            <w:r>
              <w:rPr>
                <w:sz w:val="20"/>
              </w:rPr>
              <w:t>Q72.4,</w:t>
            </w:r>
            <w:r>
              <w:rPr>
                <w:spacing w:val="-4"/>
                <w:sz w:val="20"/>
              </w:rPr>
              <w:t> </w:t>
            </w:r>
            <w:r>
              <w:rPr>
                <w:sz w:val="20"/>
              </w:rPr>
              <w:t>Q72.5,</w:t>
            </w:r>
            <w:r>
              <w:rPr>
                <w:spacing w:val="-6"/>
                <w:sz w:val="20"/>
              </w:rPr>
              <w:t> </w:t>
            </w:r>
            <w:r>
              <w:rPr>
                <w:sz w:val="20"/>
              </w:rPr>
              <w:t>Q72.6,</w:t>
            </w:r>
            <w:r>
              <w:rPr>
                <w:spacing w:val="-4"/>
                <w:sz w:val="20"/>
              </w:rPr>
              <w:t> </w:t>
            </w:r>
            <w:r>
              <w:rPr>
                <w:spacing w:val="-2"/>
                <w:sz w:val="20"/>
              </w:rPr>
              <w:t>Q72.7,</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174"/>
              <w:rPr>
                <w:sz w:val="20"/>
              </w:rPr>
            </w:pPr>
            <w:r>
              <w:rPr>
                <w:sz w:val="20"/>
              </w:rPr>
              <w:t>Q72.8,</w:t>
            </w:r>
            <w:r>
              <w:rPr>
                <w:spacing w:val="-4"/>
                <w:sz w:val="20"/>
              </w:rPr>
              <w:t> </w:t>
            </w:r>
            <w:r>
              <w:rPr>
                <w:sz w:val="20"/>
              </w:rPr>
              <w:t>Q72.9,</w:t>
            </w:r>
            <w:r>
              <w:rPr>
                <w:spacing w:val="-6"/>
                <w:sz w:val="20"/>
              </w:rPr>
              <w:t> </w:t>
            </w:r>
            <w:r>
              <w:rPr>
                <w:sz w:val="20"/>
              </w:rPr>
              <w:t>Q73.1,</w:t>
            </w:r>
            <w:r>
              <w:rPr>
                <w:spacing w:val="-4"/>
                <w:sz w:val="20"/>
              </w:rPr>
              <w:t> </w:t>
            </w:r>
            <w:r>
              <w:rPr>
                <w:sz w:val="20"/>
              </w:rPr>
              <w:t>Q73.8,</w:t>
            </w:r>
            <w:r>
              <w:rPr>
                <w:spacing w:val="-6"/>
                <w:sz w:val="20"/>
              </w:rPr>
              <w:t> </w:t>
            </w:r>
            <w:r>
              <w:rPr>
                <w:sz w:val="20"/>
              </w:rPr>
              <w:t>Q74,</w:t>
            </w:r>
            <w:r>
              <w:rPr>
                <w:spacing w:val="-4"/>
                <w:sz w:val="20"/>
              </w:rPr>
              <w:t> </w:t>
            </w:r>
            <w:r>
              <w:rPr>
                <w:sz w:val="20"/>
              </w:rPr>
              <w:t>Q74.0,</w:t>
            </w:r>
            <w:r>
              <w:rPr>
                <w:spacing w:val="-4"/>
                <w:sz w:val="20"/>
              </w:rPr>
              <w:t> </w:t>
            </w:r>
            <w:r>
              <w:rPr>
                <w:spacing w:val="-2"/>
                <w:sz w:val="20"/>
              </w:rPr>
              <w:t>Q74.1,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Q74.2,</w:t>
            </w:r>
            <w:r>
              <w:rPr>
                <w:spacing w:val="-4"/>
                <w:sz w:val="20"/>
              </w:rPr>
              <w:t> </w:t>
            </w:r>
            <w:r>
              <w:rPr>
                <w:sz w:val="20"/>
              </w:rPr>
              <w:t>Q74.3,</w:t>
            </w:r>
            <w:r>
              <w:rPr>
                <w:spacing w:val="-6"/>
                <w:sz w:val="20"/>
              </w:rPr>
              <w:t> </w:t>
            </w:r>
            <w:r>
              <w:rPr>
                <w:sz w:val="20"/>
              </w:rPr>
              <w:t>Q74.8,</w:t>
            </w:r>
            <w:r>
              <w:rPr>
                <w:spacing w:val="-4"/>
                <w:sz w:val="20"/>
              </w:rPr>
              <w:t> </w:t>
            </w:r>
            <w:r>
              <w:rPr>
                <w:sz w:val="20"/>
              </w:rPr>
              <w:t>S32.31,</w:t>
            </w:r>
            <w:r>
              <w:rPr>
                <w:spacing w:val="-6"/>
                <w:sz w:val="20"/>
              </w:rPr>
              <w:t> </w:t>
            </w:r>
            <w:r>
              <w:rPr>
                <w:sz w:val="20"/>
              </w:rPr>
              <w:t>S32.41,</w:t>
            </w:r>
            <w:r>
              <w:rPr>
                <w:spacing w:val="-4"/>
                <w:sz w:val="20"/>
              </w:rPr>
              <w:t> </w:t>
            </w:r>
            <w:r>
              <w:rPr>
                <w:spacing w:val="-2"/>
                <w:sz w:val="20"/>
              </w:rPr>
              <w:t>S32.51,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S32.7,</w:t>
            </w:r>
            <w:r>
              <w:rPr>
                <w:spacing w:val="-5"/>
                <w:sz w:val="20"/>
              </w:rPr>
              <w:t> </w:t>
            </w:r>
            <w:r>
              <w:rPr>
                <w:sz w:val="20"/>
              </w:rPr>
              <w:t>S32.70,</w:t>
            </w:r>
            <w:r>
              <w:rPr>
                <w:spacing w:val="-7"/>
                <w:sz w:val="20"/>
              </w:rPr>
              <w:t> </w:t>
            </w:r>
            <w:r>
              <w:rPr>
                <w:sz w:val="20"/>
              </w:rPr>
              <w:t>S32.71,</w:t>
            </w:r>
            <w:r>
              <w:rPr>
                <w:spacing w:val="-5"/>
                <w:sz w:val="20"/>
              </w:rPr>
              <w:t> </w:t>
            </w:r>
            <w:r>
              <w:rPr>
                <w:sz w:val="20"/>
              </w:rPr>
              <w:t>S42.0,</w:t>
            </w:r>
            <w:r>
              <w:rPr>
                <w:spacing w:val="-7"/>
                <w:sz w:val="20"/>
              </w:rPr>
              <w:t> </w:t>
            </w:r>
            <w:r>
              <w:rPr>
                <w:sz w:val="20"/>
              </w:rPr>
              <w:t>S42.00,</w:t>
            </w:r>
            <w:r>
              <w:rPr>
                <w:spacing w:val="-5"/>
                <w:sz w:val="20"/>
              </w:rPr>
              <w:t> </w:t>
            </w:r>
            <w:r>
              <w:rPr>
                <w:spacing w:val="-2"/>
                <w:sz w:val="20"/>
              </w:rPr>
              <w:t>S42.01,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1" w:lineRule="exact"/>
              <w:ind w:left="296"/>
              <w:rPr>
                <w:sz w:val="20"/>
              </w:rPr>
            </w:pPr>
            <w:r>
              <w:rPr>
                <w:sz w:val="20"/>
              </w:rPr>
              <w:t>S42.2,</w:t>
            </w:r>
            <w:r>
              <w:rPr>
                <w:spacing w:val="-7"/>
                <w:sz w:val="20"/>
              </w:rPr>
              <w:t> </w:t>
            </w:r>
            <w:r>
              <w:rPr>
                <w:sz w:val="20"/>
              </w:rPr>
              <w:t>S42.20,</w:t>
            </w:r>
            <w:r>
              <w:rPr>
                <w:spacing w:val="-8"/>
                <w:sz w:val="20"/>
              </w:rPr>
              <w:t> </w:t>
            </w:r>
            <w:r>
              <w:rPr>
                <w:sz w:val="20"/>
              </w:rPr>
              <w:t>S42.21,</w:t>
            </w:r>
            <w:r>
              <w:rPr>
                <w:spacing w:val="-6"/>
                <w:sz w:val="20"/>
              </w:rPr>
              <w:t> </w:t>
            </w:r>
            <w:r>
              <w:rPr>
                <w:sz w:val="20"/>
              </w:rPr>
              <w:t>S42.31,</w:t>
            </w:r>
            <w:r>
              <w:rPr>
                <w:spacing w:val="-6"/>
                <w:sz w:val="20"/>
              </w:rPr>
              <w:t> </w:t>
            </w:r>
            <w:r>
              <w:rPr>
                <w:sz w:val="20"/>
              </w:rPr>
              <w:t>S42.41,</w:t>
            </w:r>
            <w:r>
              <w:rPr>
                <w:spacing w:val="-6"/>
                <w:sz w:val="20"/>
              </w:rPr>
              <w:t> </w:t>
            </w:r>
            <w:r>
              <w:rPr>
                <w:spacing w:val="-2"/>
                <w:sz w:val="20"/>
              </w:rPr>
              <w:t>S42.8,</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46"/>
              <w:rPr>
                <w:sz w:val="20"/>
              </w:rPr>
            </w:pPr>
            <w:r>
              <w:rPr>
                <w:sz w:val="20"/>
              </w:rPr>
              <w:t>S42.80,</w:t>
            </w:r>
            <w:r>
              <w:rPr>
                <w:spacing w:val="-7"/>
                <w:sz w:val="20"/>
              </w:rPr>
              <w:t> </w:t>
            </w:r>
            <w:r>
              <w:rPr>
                <w:sz w:val="20"/>
              </w:rPr>
              <w:t>S42.81,</w:t>
            </w:r>
            <w:r>
              <w:rPr>
                <w:spacing w:val="-6"/>
                <w:sz w:val="20"/>
              </w:rPr>
              <w:t> </w:t>
            </w:r>
            <w:r>
              <w:rPr>
                <w:sz w:val="20"/>
              </w:rPr>
              <w:t>S42.9,</w:t>
            </w:r>
            <w:r>
              <w:rPr>
                <w:spacing w:val="-6"/>
                <w:sz w:val="20"/>
              </w:rPr>
              <w:t> </w:t>
            </w:r>
            <w:r>
              <w:rPr>
                <w:sz w:val="20"/>
              </w:rPr>
              <w:t>S42.90,</w:t>
            </w:r>
            <w:r>
              <w:rPr>
                <w:spacing w:val="-7"/>
                <w:sz w:val="20"/>
              </w:rPr>
              <w:t> </w:t>
            </w:r>
            <w:r>
              <w:rPr>
                <w:sz w:val="20"/>
              </w:rPr>
              <w:t>S42.91,</w:t>
            </w:r>
            <w:r>
              <w:rPr>
                <w:spacing w:val="-6"/>
                <w:sz w:val="20"/>
              </w:rPr>
              <w:t> </w:t>
            </w:r>
            <w:r>
              <w:rPr>
                <w:spacing w:val="-2"/>
                <w:sz w:val="20"/>
              </w:rPr>
              <w:t>S52.41,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140"/>
              <w:rPr>
                <w:sz w:val="20"/>
              </w:rPr>
            </w:pPr>
            <w:r>
              <w:rPr>
                <w:sz w:val="20"/>
              </w:rPr>
              <w:t>S52.71,</w:t>
            </w:r>
            <w:r>
              <w:rPr>
                <w:spacing w:val="-5"/>
                <w:sz w:val="20"/>
              </w:rPr>
              <w:t> </w:t>
            </w:r>
            <w:r>
              <w:rPr>
                <w:sz w:val="20"/>
              </w:rPr>
              <w:t>S57,</w:t>
            </w:r>
            <w:r>
              <w:rPr>
                <w:spacing w:val="-4"/>
                <w:sz w:val="20"/>
              </w:rPr>
              <w:t> </w:t>
            </w:r>
            <w:r>
              <w:rPr>
                <w:sz w:val="20"/>
              </w:rPr>
              <w:t>S57.0,</w:t>
            </w:r>
            <w:r>
              <w:rPr>
                <w:spacing w:val="-5"/>
                <w:sz w:val="20"/>
              </w:rPr>
              <w:t> </w:t>
            </w:r>
            <w:r>
              <w:rPr>
                <w:sz w:val="20"/>
              </w:rPr>
              <w:t>S57.8,</w:t>
            </w:r>
            <w:r>
              <w:rPr>
                <w:spacing w:val="-4"/>
                <w:sz w:val="20"/>
              </w:rPr>
              <w:t> </w:t>
            </w:r>
            <w:r>
              <w:rPr>
                <w:sz w:val="20"/>
              </w:rPr>
              <w:t>S72.0,</w:t>
            </w:r>
            <w:r>
              <w:rPr>
                <w:spacing w:val="-4"/>
                <w:sz w:val="20"/>
              </w:rPr>
              <w:t> </w:t>
            </w:r>
            <w:r>
              <w:rPr>
                <w:sz w:val="20"/>
              </w:rPr>
              <w:t>S72.00,</w:t>
            </w:r>
            <w:r>
              <w:rPr>
                <w:spacing w:val="-7"/>
                <w:sz w:val="20"/>
              </w:rPr>
              <w:t> </w:t>
            </w:r>
            <w:r>
              <w:rPr>
                <w:spacing w:val="-2"/>
                <w:sz w:val="20"/>
              </w:rPr>
              <w:t>S72.01,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S72.1,</w:t>
            </w:r>
            <w:r>
              <w:rPr>
                <w:spacing w:val="-5"/>
                <w:sz w:val="20"/>
              </w:rPr>
              <w:t> </w:t>
            </w:r>
            <w:r>
              <w:rPr>
                <w:sz w:val="20"/>
              </w:rPr>
              <w:t>S72.10,</w:t>
            </w:r>
            <w:r>
              <w:rPr>
                <w:spacing w:val="-7"/>
                <w:sz w:val="20"/>
              </w:rPr>
              <w:t> </w:t>
            </w:r>
            <w:r>
              <w:rPr>
                <w:sz w:val="20"/>
              </w:rPr>
              <w:t>S72.11,</w:t>
            </w:r>
            <w:r>
              <w:rPr>
                <w:spacing w:val="-5"/>
                <w:sz w:val="20"/>
              </w:rPr>
              <w:t> </w:t>
            </w:r>
            <w:r>
              <w:rPr>
                <w:sz w:val="20"/>
              </w:rPr>
              <w:t>S72.2,</w:t>
            </w:r>
            <w:r>
              <w:rPr>
                <w:spacing w:val="-7"/>
                <w:sz w:val="20"/>
              </w:rPr>
              <w:t> </w:t>
            </w:r>
            <w:r>
              <w:rPr>
                <w:sz w:val="20"/>
              </w:rPr>
              <w:t>S72.20,</w:t>
            </w:r>
            <w:r>
              <w:rPr>
                <w:spacing w:val="-5"/>
                <w:sz w:val="20"/>
              </w:rPr>
              <w:t> </w:t>
            </w:r>
            <w:r>
              <w:rPr>
                <w:spacing w:val="-2"/>
                <w:sz w:val="20"/>
              </w:rPr>
              <w:t>S72.21,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S72.3,</w:t>
            </w:r>
            <w:r>
              <w:rPr>
                <w:spacing w:val="-5"/>
                <w:sz w:val="20"/>
              </w:rPr>
              <w:t> </w:t>
            </w:r>
            <w:r>
              <w:rPr>
                <w:sz w:val="20"/>
              </w:rPr>
              <w:t>S72.30,</w:t>
            </w:r>
            <w:r>
              <w:rPr>
                <w:spacing w:val="-7"/>
                <w:sz w:val="20"/>
              </w:rPr>
              <w:t> </w:t>
            </w:r>
            <w:r>
              <w:rPr>
                <w:sz w:val="20"/>
              </w:rPr>
              <w:t>S72.31,</w:t>
            </w:r>
            <w:r>
              <w:rPr>
                <w:spacing w:val="-5"/>
                <w:sz w:val="20"/>
              </w:rPr>
              <w:t> </w:t>
            </w:r>
            <w:r>
              <w:rPr>
                <w:sz w:val="20"/>
              </w:rPr>
              <w:t>S72.4,</w:t>
            </w:r>
            <w:r>
              <w:rPr>
                <w:spacing w:val="-7"/>
                <w:sz w:val="20"/>
              </w:rPr>
              <w:t> </w:t>
            </w:r>
            <w:r>
              <w:rPr>
                <w:sz w:val="20"/>
              </w:rPr>
              <w:t>S72.40,</w:t>
            </w:r>
            <w:r>
              <w:rPr>
                <w:spacing w:val="-5"/>
                <w:sz w:val="20"/>
              </w:rPr>
              <w:t> </w:t>
            </w:r>
            <w:r>
              <w:rPr>
                <w:spacing w:val="-2"/>
                <w:sz w:val="20"/>
              </w:rPr>
              <w:t>S72.41,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S72.7,</w:t>
            </w:r>
            <w:r>
              <w:rPr>
                <w:spacing w:val="-5"/>
                <w:sz w:val="20"/>
              </w:rPr>
              <w:t> </w:t>
            </w:r>
            <w:r>
              <w:rPr>
                <w:sz w:val="20"/>
              </w:rPr>
              <w:t>S72.70,</w:t>
            </w:r>
            <w:r>
              <w:rPr>
                <w:spacing w:val="-7"/>
                <w:sz w:val="20"/>
              </w:rPr>
              <w:t> </w:t>
            </w:r>
            <w:r>
              <w:rPr>
                <w:sz w:val="20"/>
              </w:rPr>
              <w:t>S72.71,</w:t>
            </w:r>
            <w:r>
              <w:rPr>
                <w:spacing w:val="-5"/>
                <w:sz w:val="20"/>
              </w:rPr>
              <w:t> </w:t>
            </w:r>
            <w:r>
              <w:rPr>
                <w:sz w:val="20"/>
              </w:rPr>
              <w:t>S72.8,</w:t>
            </w:r>
            <w:r>
              <w:rPr>
                <w:spacing w:val="-7"/>
                <w:sz w:val="20"/>
              </w:rPr>
              <w:t> </w:t>
            </w:r>
            <w:r>
              <w:rPr>
                <w:sz w:val="20"/>
              </w:rPr>
              <w:t>S72.80,</w:t>
            </w:r>
            <w:r>
              <w:rPr>
                <w:spacing w:val="-5"/>
                <w:sz w:val="20"/>
              </w:rPr>
              <w:t> </w:t>
            </w:r>
            <w:r>
              <w:rPr>
                <w:spacing w:val="-2"/>
                <w:sz w:val="20"/>
              </w:rPr>
              <w:t>S72.81,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190"/>
              <w:rPr>
                <w:sz w:val="20"/>
              </w:rPr>
            </w:pPr>
            <w:r>
              <w:rPr>
                <w:sz w:val="20"/>
              </w:rPr>
              <w:t>S72.9,</w:t>
            </w:r>
            <w:r>
              <w:rPr>
                <w:spacing w:val="-5"/>
                <w:sz w:val="20"/>
              </w:rPr>
              <w:t> </w:t>
            </w:r>
            <w:r>
              <w:rPr>
                <w:sz w:val="20"/>
              </w:rPr>
              <w:t>S72.90,</w:t>
            </w:r>
            <w:r>
              <w:rPr>
                <w:spacing w:val="-7"/>
                <w:sz w:val="20"/>
              </w:rPr>
              <w:t> </w:t>
            </w:r>
            <w:r>
              <w:rPr>
                <w:sz w:val="20"/>
              </w:rPr>
              <w:t>S72.91,</w:t>
            </w:r>
            <w:r>
              <w:rPr>
                <w:spacing w:val="-5"/>
                <w:sz w:val="20"/>
              </w:rPr>
              <w:t> </w:t>
            </w:r>
            <w:r>
              <w:rPr>
                <w:sz w:val="20"/>
              </w:rPr>
              <w:t>S77,</w:t>
            </w:r>
            <w:r>
              <w:rPr>
                <w:spacing w:val="-5"/>
                <w:sz w:val="20"/>
              </w:rPr>
              <w:t> </w:t>
            </w:r>
            <w:r>
              <w:rPr>
                <w:sz w:val="20"/>
              </w:rPr>
              <w:t>S77.0,</w:t>
            </w:r>
            <w:r>
              <w:rPr>
                <w:spacing w:val="-5"/>
                <w:sz w:val="20"/>
              </w:rPr>
              <w:t> </w:t>
            </w:r>
            <w:r>
              <w:rPr>
                <w:sz w:val="20"/>
              </w:rPr>
              <w:t>S77.1,</w:t>
            </w:r>
            <w:r>
              <w:rPr>
                <w:spacing w:val="-7"/>
                <w:sz w:val="20"/>
              </w:rPr>
              <w:t> </w:t>
            </w:r>
            <w:r>
              <w:rPr>
                <w:spacing w:val="-2"/>
                <w:sz w:val="20"/>
              </w:rPr>
              <w:t>S82.1,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S82.10,</w:t>
            </w:r>
            <w:r>
              <w:rPr>
                <w:spacing w:val="-7"/>
                <w:sz w:val="20"/>
              </w:rPr>
              <w:t> </w:t>
            </w:r>
            <w:r>
              <w:rPr>
                <w:sz w:val="20"/>
              </w:rPr>
              <w:t>S82.11,</w:t>
            </w:r>
            <w:r>
              <w:rPr>
                <w:spacing w:val="-6"/>
                <w:sz w:val="20"/>
              </w:rPr>
              <w:t> </w:t>
            </w:r>
            <w:r>
              <w:rPr>
                <w:sz w:val="20"/>
              </w:rPr>
              <w:t>S82.2,</w:t>
            </w:r>
            <w:r>
              <w:rPr>
                <w:spacing w:val="-6"/>
                <w:sz w:val="20"/>
              </w:rPr>
              <w:t> </w:t>
            </w:r>
            <w:r>
              <w:rPr>
                <w:sz w:val="20"/>
              </w:rPr>
              <w:t>S82.20,</w:t>
            </w:r>
            <w:r>
              <w:rPr>
                <w:spacing w:val="-7"/>
                <w:sz w:val="20"/>
              </w:rPr>
              <w:t> </w:t>
            </w:r>
            <w:r>
              <w:rPr>
                <w:sz w:val="20"/>
              </w:rPr>
              <w:t>S82.21,</w:t>
            </w:r>
            <w:r>
              <w:rPr>
                <w:spacing w:val="-6"/>
                <w:sz w:val="20"/>
              </w:rPr>
              <w:t> </w:t>
            </w:r>
            <w:r>
              <w:rPr>
                <w:spacing w:val="-2"/>
                <w:sz w:val="20"/>
              </w:rPr>
              <w:t>S82.3,</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S82.30,</w:t>
            </w:r>
            <w:r>
              <w:rPr>
                <w:spacing w:val="-7"/>
                <w:sz w:val="20"/>
              </w:rPr>
              <w:t> </w:t>
            </w:r>
            <w:r>
              <w:rPr>
                <w:sz w:val="20"/>
              </w:rPr>
              <w:t>S82.31,</w:t>
            </w:r>
            <w:r>
              <w:rPr>
                <w:spacing w:val="-6"/>
                <w:sz w:val="20"/>
              </w:rPr>
              <w:t> </w:t>
            </w:r>
            <w:r>
              <w:rPr>
                <w:sz w:val="20"/>
              </w:rPr>
              <w:t>S82.4,</w:t>
            </w:r>
            <w:r>
              <w:rPr>
                <w:spacing w:val="-6"/>
                <w:sz w:val="20"/>
              </w:rPr>
              <w:t> </w:t>
            </w:r>
            <w:r>
              <w:rPr>
                <w:sz w:val="20"/>
              </w:rPr>
              <w:t>S82.40,</w:t>
            </w:r>
            <w:r>
              <w:rPr>
                <w:spacing w:val="-7"/>
                <w:sz w:val="20"/>
              </w:rPr>
              <w:t> </w:t>
            </w:r>
            <w:r>
              <w:rPr>
                <w:sz w:val="20"/>
              </w:rPr>
              <w:t>S82.41,</w:t>
            </w:r>
            <w:r>
              <w:rPr>
                <w:spacing w:val="-6"/>
                <w:sz w:val="20"/>
              </w:rPr>
              <w:t> </w:t>
            </w:r>
            <w:r>
              <w:rPr>
                <w:spacing w:val="-2"/>
                <w:sz w:val="20"/>
              </w:rPr>
              <w:t>S82.5,</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S82.50,</w:t>
            </w:r>
            <w:r>
              <w:rPr>
                <w:spacing w:val="-7"/>
                <w:sz w:val="20"/>
              </w:rPr>
              <w:t> </w:t>
            </w:r>
            <w:r>
              <w:rPr>
                <w:sz w:val="20"/>
              </w:rPr>
              <w:t>S82.51,</w:t>
            </w:r>
            <w:r>
              <w:rPr>
                <w:spacing w:val="-6"/>
                <w:sz w:val="20"/>
              </w:rPr>
              <w:t> </w:t>
            </w:r>
            <w:r>
              <w:rPr>
                <w:sz w:val="20"/>
              </w:rPr>
              <w:t>S82.6,</w:t>
            </w:r>
            <w:r>
              <w:rPr>
                <w:spacing w:val="-6"/>
                <w:sz w:val="20"/>
              </w:rPr>
              <w:t> </w:t>
            </w:r>
            <w:r>
              <w:rPr>
                <w:sz w:val="20"/>
              </w:rPr>
              <w:t>S82.60,</w:t>
            </w:r>
            <w:r>
              <w:rPr>
                <w:spacing w:val="-7"/>
                <w:sz w:val="20"/>
              </w:rPr>
              <w:t> </w:t>
            </w:r>
            <w:r>
              <w:rPr>
                <w:sz w:val="20"/>
              </w:rPr>
              <w:t>S82.61,</w:t>
            </w:r>
            <w:r>
              <w:rPr>
                <w:spacing w:val="-6"/>
                <w:sz w:val="20"/>
              </w:rPr>
              <w:t> </w:t>
            </w:r>
            <w:r>
              <w:rPr>
                <w:spacing w:val="-2"/>
                <w:sz w:val="20"/>
              </w:rPr>
              <w:t>S82.7,</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S82.70,</w:t>
            </w:r>
            <w:r>
              <w:rPr>
                <w:spacing w:val="-7"/>
                <w:sz w:val="20"/>
              </w:rPr>
              <w:t> </w:t>
            </w:r>
            <w:r>
              <w:rPr>
                <w:sz w:val="20"/>
              </w:rPr>
              <w:t>S82.71,</w:t>
            </w:r>
            <w:r>
              <w:rPr>
                <w:spacing w:val="-6"/>
                <w:sz w:val="20"/>
              </w:rPr>
              <w:t> </w:t>
            </w:r>
            <w:r>
              <w:rPr>
                <w:sz w:val="20"/>
              </w:rPr>
              <w:t>S82.8,</w:t>
            </w:r>
            <w:r>
              <w:rPr>
                <w:spacing w:val="-6"/>
                <w:sz w:val="20"/>
              </w:rPr>
              <w:t> </w:t>
            </w:r>
            <w:r>
              <w:rPr>
                <w:sz w:val="20"/>
              </w:rPr>
              <w:t>S82.80,</w:t>
            </w:r>
            <w:r>
              <w:rPr>
                <w:spacing w:val="-7"/>
                <w:sz w:val="20"/>
              </w:rPr>
              <w:t> </w:t>
            </w:r>
            <w:r>
              <w:rPr>
                <w:sz w:val="20"/>
              </w:rPr>
              <w:t>S82.81,</w:t>
            </w:r>
            <w:r>
              <w:rPr>
                <w:spacing w:val="-6"/>
                <w:sz w:val="20"/>
              </w:rPr>
              <w:t> </w:t>
            </w:r>
            <w:r>
              <w:rPr>
                <w:spacing w:val="-2"/>
                <w:sz w:val="20"/>
              </w:rPr>
              <w:t>S82.9,</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74"/>
              <w:rPr>
                <w:sz w:val="20"/>
              </w:rPr>
            </w:pPr>
            <w:r>
              <w:rPr>
                <w:sz w:val="20"/>
              </w:rPr>
              <w:t>S82.90,</w:t>
            </w:r>
            <w:r>
              <w:rPr>
                <w:spacing w:val="-5"/>
                <w:sz w:val="20"/>
              </w:rPr>
              <w:t> </w:t>
            </w:r>
            <w:r>
              <w:rPr>
                <w:sz w:val="20"/>
              </w:rPr>
              <w:t>S82.91,</w:t>
            </w:r>
            <w:r>
              <w:rPr>
                <w:spacing w:val="-6"/>
                <w:sz w:val="20"/>
              </w:rPr>
              <w:t> </w:t>
            </w:r>
            <w:r>
              <w:rPr>
                <w:sz w:val="20"/>
              </w:rPr>
              <w:t>T02.2,</w:t>
            </w:r>
            <w:r>
              <w:rPr>
                <w:spacing w:val="-8"/>
                <w:sz w:val="20"/>
              </w:rPr>
              <w:t> </w:t>
            </w:r>
            <w:r>
              <w:rPr>
                <w:sz w:val="20"/>
              </w:rPr>
              <w:t>T02.20,</w:t>
            </w:r>
            <w:r>
              <w:rPr>
                <w:spacing w:val="-6"/>
                <w:sz w:val="20"/>
              </w:rPr>
              <w:t> </w:t>
            </w:r>
            <w:r>
              <w:rPr>
                <w:sz w:val="20"/>
              </w:rPr>
              <w:t>T02.21,</w:t>
            </w:r>
            <w:r>
              <w:rPr>
                <w:spacing w:val="-7"/>
                <w:sz w:val="20"/>
              </w:rPr>
              <w:t> </w:t>
            </w:r>
            <w:r>
              <w:rPr>
                <w:spacing w:val="-2"/>
                <w:sz w:val="20"/>
              </w:rPr>
              <w:t>T02.3,</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26" w:lineRule="exact"/>
              <w:ind w:left="1535"/>
              <w:rPr>
                <w:sz w:val="20"/>
              </w:rPr>
            </w:pPr>
            <w:r>
              <w:rPr>
                <w:sz w:val="20"/>
              </w:rPr>
              <w:t>T02.30,</w:t>
            </w:r>
            <w:r>
              <w:rPr>
                <w:spacing w:val="-8"/>
                <w:sz w:val="20"/>
              </w:rPr>
              <w:t> </w:t>
            </w:r>
            <w:r>
              <w:rPr>
                <w:spacing w:val="-2"/>
                <w:sz w:val="20"/>
              </w:rPr>
              <w:t>T02.31</w:t>
            </w:r>
          </w:p>
        </w:tc>
        <w:tc>
          <w:tcPr>
            <w:tcW w:w="2985" w:type="dxa"/>
          </w:tcPr>
          <w:p>
            <w:pPr>
              <w:pStyle w:val="TableParagraph"/>
              <w:rPr>
                <w:sz w:val="18"/>
              </w:rPr>
            </w:pPr>
          </w:p>
        </w:tc>
        <w:tc>
          <w:tcPr>
            <w:tcW w:w="2020" w:type="dxa"/>
          </w:tcPr>
          <w:p>
            <w:pPr>
              <w:pStyle w:val="TableParagraph"/>
              <w:rPr>
                <w:sz w:val="18"/>
              </w:rPr>
            </w:pPr>
          </w:p>
        </w:tc>
        <w:tc>
          <w:tcPr>
            <w:tcW w:w="1261" w:type="dxa"/>
            <w:vMerge/>
            <w:tcBorders>
              <w:top w:val="nil"/>
            </w:tcBorders>
          </w:tcPr>
          <w:p>
            <w:pPr>
              <w:rPr>
                <w:sz w:val="2"/>
                <w:szCs w:val="2"/>
              </w:rPr>
            </w:pPr>
          </w:p>
        </w:tc>
      </w:tr>
      <w:tr>
        <w:trPr>
          <w:trHeight w:val="330" w:hRule="atLeast"/>
        </w:trPr>
        <w:tc>
          <w:tcPr>
            <w:tcW w:w="946" w:type="dxa"/>
          </w:tcPr>
          <w:p>
            <w:pPr>
              <w:pStyle w:val="TableParagraph"/>
              <w:spacing w:before="46"/>
              <w:ind w:left="37" w:right="198"/>
              <w:jc w:val="center"/>
              <w:rPr>
                <w:sz w:val="20"/>
              </w:rPr>
            </w:pPr>
            <w:r>
              <w:rPr>
                <w:spacing w:val="-4"/>
                <w:sz w:val="20"/>
              </w:rPr>
              <w:t>st30</w:t>
            </w:r>
          </w:p>
        </w:tc>
        <w:tc>
          <w:tcPr>
            <w:tcW w:w="707" w:type="dxa"/>
          </w:tcPr>
          <w:p>
            <w:pPr>
              <w:pStyle w:val="TableParagraph"/>
              <w:spacing w:before="46"/>
              <w:ind w:left="261"/>
              <w:rPr>
                <w:sz w:val="20"/>
              </w:rPr>
            </w:pPr>
            <w:r>
              <w:rPr>
                <w:spacing w:val="-5"/>
                <w:sz w:val="20"/>
              </w:rPr>
              <w:t>30</w:t>
            </w:r>
          </w:p>
        </w:tc>
        <w:tc>
          <w:tcPr>
            <w:tcW w:w="2563" w:type="dxa"/>
          </w:tcPr>
          <w:p>
            <w:pPr>
              <w:pStyle w:val="TableParagraph"/>
              <w:rPr>
                <w:sz w:val="18"/>
              </w:rPr>
            </w:pPr>
          </w:p>
        </w:tc>
        <w:tc>
          <w:tcPr>
            <w:tcW w:w="4791" w:type="dxa"/>
          </w:tcPr>
          <w:p>
            <w:pPr>
              <w:pStyle w:val="TableParagraph"/>
              <w:spacing w:before="46"/>
              <w:ind w:right="596"/>
              <w:jc w:val="right"/>
              <w:rPr>
                <w:sz w:val="20"/>
              </w:rPr>
            </w:pPr>
            <w:r>
              <w:rPr>
                <w:spacing w:val="-2"/>
                <w:sz w:val="20"/>
              </w:rPr>
              <w:t>Урология</w:t>
            </w:r>
          </w:p>
        </w:tc>
        <w:tc>
          <w:tcPr>
            <w:tcW w:w="2985" w:type="dxa"/>
          </w:tcPr>
          <w:p>
            <w:pPr>
              <w:pStyle w:val="TableParagraph"/>
              <w:rPr>
                <w:sz w:val="18"/>
              </w:rPr>
            </w:pPr>
          </w:p>
        </w:tc>
        <w:tc>
          <w:tcPr>
            <w:tcW w:w="2020" w:type="dxa"/>
          </w:tcPr>
          <w:p>
            <w:pPr>
              <w:pStyle w:val="TableParagraph"/>
              <w:rPr>
                <w:sz w:val="18"/>
              </w:rPr>
            </w:pPr>
          </w:p>
        </w:tc>
        <w:tc>
          <w:tcPr>
            <w:tcW w:w="1261" w:type="dxa"/>
          </w:tcPr>
          <w:p>
            <w:pPr>
              <w:pStyle w:val="TableParagraph"/>
              <w:spacing w:before="46"/>
              <w:ind w:right="47"/>
              <w:jc w:val="right"/>
              <w:rPr>
                <w:sz w:val="20"/>
              </w:rPr>
            </w:pPr>
            <w:r>
              <w:rPr>
                <w:spacing w:val="-4"/>
                <w:sz w:val="20"/>
              </w:rPr>
              <w:t>1,20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st30.001</w:t>
            </w:r>
          </w:p>
        </w:tc>
        <w:tc>
          <w:tcPr>
            <w:tcW w:w="707" w:type="dxa"/>
          </w:tcPr>
          <w:p>
            <w:pPr>
              <w:pStyle w:val="TableParagraph"/>
              <w:spacing w:line="215" w:lineRule="exact" w:before="45"/>
              <w:ind w:left="210"/>
              <w:rPr>
                <w:sz w:val="20"/>
              </w:rPr>
            </w:pPr>
            <w:r>
              <w:rPr>
                <w:spacing w:val="-5"/>
                <w:sz w:val="20"/>
              </w:rPr>
              <w:t>282</w:t>
            </w:r>
          </w:p>
        </w:tc>
        <w:tc>
          <w:tcPr>
            <w:tcW w:w="2563" w:type="dxa"/>
          </w:tcPr>
          <w:p>
            <w:pPr>
              <w:pStyle w:val="TableParagraph"/>
              <w:spacing w:line="215" w:lineRule="exact" w:before="45"/>
              <w:ind w:left="192"/>
              <w:rPr>
                <w:sz w:val="20"/>
              </w:rPr>
            </w:pPr>
            <w:r>
              <w:rPr>
                <w:spacing w:val="-2"/>
                <w:sz w:val="20"/>
              </w:rPr>
              <w:t>Тубулоинтерстициальные</w:t>
            </w:r>
          </w:p>
        </w:tc>
        <w:tc>
          <w:tcPr>
            <w:tcW w:w="4791" w:type="dxa"/>
          </w:tcPr>
          <w:p>
            <w:pPr>
              <w:pStyle w:val="TableParagraph"/>
              <w:spacing w:line="215" w:lineRule="exact" w:before="45"/>
              <w:ind w:left="325"/>
              <w:rPr>
                <w:sz w:val="20"/>
              </w:rPr>
            </w:pPr>
            <w:r>
              <w:rPr>
                <w:sz w:val="20"/>
              </w:rPr>
              <w:t>N10,</w:t>
            </w:r>
            <w:r>
              <w:rPr>
                <w:spacing w:val="-5"/>
                <w:sz w:val="20"/>
              </w:rPr>
              <w:t> </w:t>
            </w:r>
            <w:r>
              <w:rPr>
                <w:sz w:val="20"/>
              </w:rPr>
              <w:t>N11,</w:t>
            </w:r>
            <w:r>
              <w:rPr>
                <w:spacing w:val="-6"/>
                <w:sz w:val="20"/>
              </w:rPr>
              <w:t> </w:t>
            </w:r>
            <w:r>
              <w:rPr>
                <w:sz w:val="20"/>
              </w:rPr>
              <w:t>N11.0,</w:t>
            </w:r>
            <w:r>
              <w:rPr>
                <w:spacing w:val="-4"/>
                <w:sz w:val="20"/>
              </w:rPr>
              <w:t> </w:t>
            </w:r>
            <w:r>
              <w:rPr>
                <w:sz w:val="20"/>
              </w:rPr>
              <w:t>N11.1,</w:t>
            </w:r>
            <w:r>
              <w:rPr>
                <w:spacing w:val="-5"/>
                <w:sz w:val="20"/>
              </w:rPr>
              <w:t> </w:t>
            </w:r>
            <w:r>
              <w:rPr>
                <w:sz w:val="20"/>
              </w:rPr>
              <w:t>N11.8,</w:t>
            </w:r>
            <w:r>
              <w:rPr>
                <w:spacing w:val="-4"/>
                <w:sz w:val="20"/>
              </w:rPr>
              <w:t> </w:t>
            </w:r>
            <w:r>
              <w:rPr>
                <w:sz w:val="20"/>
              </w:rPr>
              <w:t>N11.9,</w:t>
            </w:r>
            <w:r>
              <w:rPr>
                <w:spacing w:val="-4"/>
                <w:sz w:val="20"/>
              </w:rPr>
              <w:t> N12,</w:t>
            </w:r>
          </w:p>
        </w:tc>
        <w:tc>
          <w:tcPr>
            <w:tcW w:w="2985" w:type="dxa"/>
          </w:tcPr>
          <w:p>
            <w:pPr>
              <w:pStyle w:val="TableParagraph"/>
              <w:spacing w:line="215" w:lineRule="exact" w:before="45"/>
              <w:ind w:right="490"/>
              <w:jc w:val="center"/>
              <w:rPr>
                <w:sz w:val="20"/>
              </w:rPr>
            </w:pPr>
            <w:r>
              <w:rPr>
                <w:w w:val="99"/>
                <w:sz w:val="20"/>
              </w:rPr>
              <w:t>-</w:t>
            </w:r>
          </w:p>
        </w:tc>
        <w:tc>
          <w:tcPr>
            <w:tcW w:w="2020" w:type="dxa"/>
          </w:tcPr>
          <w:p>
            <w:pPr>
              <w:pStyle w:val="TableParagraph"/>
              <w:spacing w:line="215" w:lineRule="exact" w:before="45"/>
              <w:ind w:right="857"/>
              <w:jc w:val="right"/>
              <w:rPr>
                <w:sz w:val="20"/>
              </w:rPr>
            </w:pPr>
            <w:r>
              <w:rPr>
                <w:w w:val="99"/>
                <w:sz w:val="20"/>
              </w:rPr>
              <w:t>-</w:t>
            </w:r>
          </w:p>
        </w:tc>
        <w:tc>
          <w:tcPr>
            <w:tcW w:w="1261" w:type="dxa"/>
          </w:tcPr>
          <w:p>
            <w:pPr>
              <w:pStyle w:val="TableParagraph"/>
              <w:spacing w:line="215" w:lineRule="exact" w:before="45"/>
              <w:ind w:right="47"/>
              <w:jc w:val="right"/>
              <w:rPr>
                <w:sz w:val="20"/>
              </w:rPr>
            </w:pPr>
            <w:r>
              <w:rPr>
                <w:spacing w:val="-4"/>
                <w:sz w:val="20"/>
              </w:rPr>
              <w:t>0,86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10" w:lineRule="exact"/>
              <w:ind w:left="192"/>
              <w:rPr>
                <w:sz w:val="20"/>
              </w:rPr>
            </w:pPr>
            <w:r>
              <w:rPr>
                <w:sz w:val="20"/>
              </w:rPr>
              <w:t>болезни</w:t>
            </w:r>
            <w:r>
              <w:rPr>
                <w:spacing w:val="-8"/>
                <w:sz w:val="20"/>
              </w:rPr>
              <w:t> </w:t>
            </w:r>
            <w:r>
              <w:rPr>
                <w:sz w:val="20"/>
              </w:rPr>
              <w:t>почек,</w:t>
            </w:r>
            <w:r>
              <w:rPr>
                <w:spacing w:val="-7"/>
                <w:sz w:val="20"/>
              </w:rPr>
              <w:t> </w:t>
            </w:r>
            <w:r>
              <w:rPr>
                <w:spacing w:val="-2"/>
                <w:sz w:val="20"/>
              </w:rPr>
              <w:t>другие</w:t>
            </w:r>
          </w:p>
        </w:tc>
        <w:tc>
          <w:tcPr>
            <w:tcW w:w="4791" w:type="dxa"/>
          </w:tcPr>
          <w:p>
            <w:pPr>
              <w:pStyle w:val="TableParagraph"/>
              <w:spacing w:line="210" w:lineRule="exact"/>
              <w:ind w:left="250"/>
              <w:rPr>
                <w:sz w:val="20"/>
              </w:rPr>
            </w:pPr>
            <w:r>
              <w:rPr>
                <w:sz w:val="20"/>
              </w:rPr>
              <w:t>N13.6,</w:t>
            </w:r>
            <w:r>
              <w:rPr>
                <w:spacing w:val="-6"/>
                <w:sz w:val="20"/>
              </w:rPr>
              <w:t> </w:t>
            </w:r>
            <w:r>
              <w:rPr>
                <w:sz w:val="20"/>
              </w:rPr>
              <w:t>N15,</w:t>
            </w:r>
            <w:r>
              <w:rPr>
                <w:spacing w:val="-6"/>
                <w:sz w:val="20"/>
              </w:rPr>
              <w:t> </w:t>
            </w:r>
            <w:r>
              <w:rPr>
                <w:sz w:val="20"/>
              </w:rPr>
              <w:t>N15.0,</w:t>
            </w:r>
            <w:r>
              <w:rPr>
                <w:spacing w:val="-5"/>
                <w:sz w:val="20"/>
              </w:rPr>
              <w:t> </w:t>
            </w:r>
            <w:r>
              <w:rPr>
                <w:sz w:val="20"/>
              </w:rPr>
              <w:t>N15.1,</w:t>
            </w:r>
            <w:r>
              <w:rPr>
                <w:spacing w:val="-6"/>
                <w:sz w:val="20"/>
              </w:rPr>
              <w:t> </w:t>
            </w:r>
            <w:r>
              <w:rPr>
                <w:sz w:val="20"/>
              </w:rPr>
              <w:t>N15.8,</w:t>
            </w:r>
            <w:r>
              <w:rPr>
                <w:spacing w:val="-5"/>
                <w:sz w:val="20"/>
              </w:rPr>
              <w:t> </w:t>
            </w:r>
            <w:r>
              <w:rPr>
                <w:sz w:val="20"/>
              </w:rPr>
              <w:t>N15.9,</w:t>
            </w:r>
            <w:r>
              <w:rPr>
                <w:spacing w:val="-6"/>
                <w:sz w:val="20"/>
              </w:rPr>
              <w:t> </w:t>
            </w:r>
            <w:r>
              <w:rPr>
                <w:spacing w:val="-4"/>
                <w:sz w:val="20"/>
              </w:rPr>
              <w:t>N16,</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10" w:lineRule="exact"/>
              <w:ind w:left="192"/>
              <w:rPr>
                <w:sz w:val="20"/>
              </w:rPr>
            </w:pPr>
            <w:r>
              <w:rPr>
                <w:sz w:val="20"/>
              </w:rPr>
              <w:t>болезни</w:t>
            </w:r>
            <w:r>
              <w:rPr>
                <w:spacing w:val="-9"/>
                <w:sz w:val="20"/>
              </w:rPr>
              <w:t> </w:t>
            </w:r>
            <w:r>
              <w:rPr>
                <w:sz w:val="20"/>
              </w:rPr>
              <w:t>мочевой</w:t>
            </w:r>
            <w:r>
              <w:rPr>
                <w:spacing w:val="-6"/>
                <w:sz w:val="20"/>
              </w:rPr>
              <w:t> </w:t>
            </w:r>
            <w:r>
              <w:rPr>
                <w:spacing w:val="-2"/>
                <w:sz w:val="20"/>
              </w:rPr>
              <w:t>системы</w:t>
            </w:r>
          </w:p>
        </w:tc>
        <w:tc>
          <w:tcPr>
            <w:tcW w:w="4791" w:type="dxa"/>
          </w:tcPr>
          <w:p>
            <w:pPr>
              <w:pStyle w:val="TableParagraph"/>
              <w:spacing w:line="210" w:lineRule="exact"/>
              <w:ind w:left="397"/>
              <w:rPr>
                <w:sz w:val="20"/>
              </w:rPr>
            </w:pPr>
            <w:r>
              <w:rPr>
                <w:sz w:val="20"/>
              </w:rPr>
              <w:t>N16.0,</w:t>
            </w:r>
            <w:r>
              <w:rPr>
                <w:spacing w:val="-4"/>
                <w:sz w:val="20"/>
              </w:rPr>
              <w:t> </w:t>
            </w:r>
            <w:r>
              <w:rPr>
                <w:sz w:val="20"/>
              </w:rPr>
              <w:t>N16.1,</w:t>
            </w:r>
            <w:r>
              <w:rPr>
                <w:spacing w:val="-6"/>
                <w:sz w:val="20"/>
              </w:rPr>
              <w:t> </w:t>
            </w:r>
            <w:r>
              <w:rPr>
                <w:sz w:val="20"/>
              </w:rPr>
              <w:t>N16.2,</w:t>
            </w:r>
            <w:r>
              <w:rPr>
                <w:spacing w:val="-4"/>
                <w:sz w:val="20"/>
              </w:rPr>
              <w:t> </w:t>
            </w:r>
            <w:r>
              <w:rPr>
                <w:sz w:val="20"/>
              </w:rPr>
              <w:t>N16.3,</w:t>
            </w:r>
            <w:r>
              <w:rPr>
                <w:spacing w:val="-6"/>
                <w:sz w:val="20"/>
              </w:rPr>
              <w:t> </w:t>
            </w:r>
            <w:r>
              <w:rPr>
                <w:sz w:val="20"/>
              </w:rPr>
              <w:t>N16.4,</w:t>
            </w:r>
            <w:r>
              <w:rPr>
                <w:spacing w:val="-4"/>
                <w:sz w:val="20"/>
              </w:rPr>
              <w:t> </w:t>
            </w:r>
            <w:r>
              <w:rPr>
                <w:spacing w:val="-2"/>
                <w:sz w:val="20"/>
              </w:rPr>
              <w:t>N16.5,</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09" w:lineRule="exact"/>
              <w:ind w:left="250"/>
              <w:rPr>
                <w:sz w:val="20"/>
              </w:rPr>
            </w:pPr>
            <w:r>
              <w:rPr>
                <w:sz w:val="20"/>
              </w:rPr>
              <w:t>N16.8,</w:t>
            </w:r>
            <w:r>
              <w:rPr>
                <w:spacing w:val="-5"/>
                <w:sz w:val="20"/>
              </w:rPr>
              <w:t> </w:t>
            </w:r>
            <w:r>
              <w:rPr>
                <w:sz w:val="20"/>
              </w:rPr>
              <w:t>N29,</w:t>
            </w:r>
            <w:r>
              <w:rPr>
                <w:spacing w:val="-5"/>
                <w:sz w:val="20"/>
              </w:rPr>
              <w:t> </w:t>
            </w:r>
            <w:r>
              <w:rPr>
                <w:sz w:val="20"/>
              </w:rPr>
              <w:t>N29.0,</w:t>
            </w:r>
            <w:r>
              <w:rPr>
                <w:spacing w:val="-4"/>
                <w:sz w:val="20"/>
              </w:rPr>
              <w:t> </w:t>
            </w:r>
            <w:r>
              <w:rPr>
                <w:sz w:val="20"/>
              </w:rPr>
              <w:t>N30,</w:t>
            </w:r>
            <w:r>
              <w:rPr>
                <w:spacing w:val="-5"/>
                <w:sz w:val="20"/>
              </w:rPr>
              <w:t> </w:t>
            </w:r>
            <w:r>
              <w:rPr>
                <w:sz w:val="20"/>
              </w:rPr>
              <w:t>N30.0,</w:t>
            </w:r>
            <w:r>
              <w:rPr>
                <w:spacing w:val="-5"/>
                <w:sz w:val="20"/>
              </w:rPr>
              <w:t> </w:t>
            </w:r>
            <w:r>
              <w:rPr>
                <w:sz w:val="20"/>
              </w:rPr>
              <w:t>N30.1,</w:t>
            </w:r>
            <w:r>
              <w:rPr>
                <w:spacing w:val="-4"/>
                <w:sz w:val="20"/>
              </w:rPr>
              <w:t> </w:t>
            </w:r>
            <w:r>
              <w:rPr>
                <w:spacing w:val="-2"/>
                <w:sz w:val="20"/>
              </w:rPr>
              <w:t>N30.2,</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09" w:lineRule="exact"/>
              <w:ind w:left="174"/>
              <w:rPr>
                <w:sz w:val="20"/>
              </w:rPr>
            </w:pPr>
            <w:r>
              <w:rPr>
                <w:sz w:val="20"/>
              </w:rPr>
              <w:t>N30.3,</w:t>
            </w:r>
            <w:r>
              <w:rPr>
                <w:spacing w:val="-4"/>
                <w:sz w:val="20"/>
              </w:rPr>
              <w:t> </w:t>
            </w:r>
            <w:r>
              <w:rPr>
                <w:sz w:val="20"/>
              </w:rPr>
              <w:t>N30.4,</w:t>
            </w:r>
            <w:r>
              <w:rPr>
                <w:spacing w:val="-6"/>
                <w:sz w:val="20"/>
              </w:rPr>
              <w:t> </w:t>
            </w:r>
            <w:r>
              <w:rPr>
                <w:sz w:val="20"/>
              </w:rPr>
              <w:t>N30.8,</w:t>
            </w:r>
            <w:r>
              <w:rPr>
                <w:spacing w:val="-4"/>
                <w:sz w:val="20"/>
              </w:rPr>
              <w:t> </w:t>
            </w:r>
            <w:r>
              <w:rPr>
                <w:sz w:val="20"/>
              </w:rPr>
              <w:t>N30.9,</w:t>
            </w:r>
            <w:r>
              <w:rPr>
                <w:spacing w:val="-5"/>
                <w:sz w:val="20"/>
              </w:rPr>
              <w:t> </w:t>
            </w:r>
            <w:r>
              <w:rPr>
                <w:sz w:val="20"/>
              </w:rPr>
              <w:t>N33,</w:t>
            </w:r>
            <w:r>
              <w:rPr>
                <w:spacing w:val="-4"/>
                <w:sz w:val="20"/>
              </w:rPr>
              <w:t> </w:t>
            </w:r>
            <w:r>
              <w:rPr>
                <w:sz w:val="20"/>
              </w:rPr>
              <w:t>N33.0,</w:t>
            </w:r>
            <w:r>
              <w:rPr>
                <w:spacing w:val="-4"/>
                <w:sz w:val="20"/>
              </w:rPr>
              <w:t> </w:t>
            </w:r>
            <w:r>
              <w:rPr>
                <w:spacing w:val="-2"/>
                <w:sz w:val="20"/>
              </w:rPr>
              <w:t>N33.8,</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250"/>
              <w:rPr>
                <w:sz w:val="20"/>
              </w:rPr>
            </w:pPr>
            <w:r>
              <w:rPr>
                <w:sz w:val="20"/>
              </w:rPr>
              <w:t>N34,</w:t>
            </w:r>
            <w:r>
              <w:rPr>
                <w:spacing w:val="-5"/>
                <w:sz w:val="20"/>
              </w:rPr>
              <w:t> </w:t>
            </w:r>
            <w:r>
              <w:rPr>
                <w:sz w:val="20"/>
              </w:rPr>
              <w:t>N34.0,</w:t>
            </w:r>
            <w:r>
              <w:rPr>
                <w:spacing w:val="-5"/>
                <w:sz w:val="20"/>
              </w:rPr>
              <w:t> </w:t>
            </w:r>
            <w:r>
              <w:rPr>
                <w:sz w:val="20"/>
              </w:rPr>
              <w:t>N34.1,</w:t>
            </w:r>
            <w:r>
              <w:rPr>
                <w:spacing w:val="-5"/>
                <w:sz w:val="20"/>
              </w:rPr>
              <w:t> </w:t>
            </w:r>
            <w:r>
              <w:rPr>
                <w:sz w:val="20"/>
              </w:rPr>
              <w:t>N34.2,</w:t>
            </w:r>
            <w:r>
              <w:rPr>
                <w:spacing w:val="-5"/>
                <w:sz w:val="20"/>
              </w:rPr>
              <w:t> </w:t>
            </w:r>
            <w:r>
              <w:rPr>
                <w:sz w:val="20"/>
              </w:rPr>
              <w:t>N34.3,</w:t>
            </w:r>
            <w:r>
              <w:rPr>
                <w:spacing w:val="-5"/>
                <w:sz w:val="20"/>
              </w:rPr>
              <w:t> </w:t>
            </w:r>
            <w:r>
              <w:rPr>
                <w:sz w:val="20"/>
              </w:rPr>
              <w:t>N35,</w:t>
            </w:r>
            <w:r>
              <w:rPr>
                <w:spacing w:val="-5"/>
                <w:sz w:val="20"/>
              </w:rPr>
              <w:t> </w:t>
            </w:r>
            <w:r>
              <w:rPr>
                <w:spacing w:val="-2"/>
                <w:sz w:val="20"/>
              </w:rPr>
              <w:t>N35.0,</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563" w:type="dxa"/>
          </w:tcPr>
          <w:p>
            <w:pPr>
              <w:pStyle w:val="TableParagraph"/>
              <w:rPr>
                <w:sz w:val="18"/>
              </w:rPr>
            </w:pPr>
          </w:p>
        </w:tc>
        <w:tc>
          <w:tcPr>
            <w:tcW w:w="4791" w:type="dxa"/>
          </w:tcPr>
          <w:p>
            <w:pPr>
              <w:pStyle w:val="TableParagraph"/>
              <w:spacing w:line="226" w:lineRule="exact"/>
              <w:ind w:left="498"/>
              <w:rPr>
                <w:sz w:val="20"/>
              </w:rPr>
            </w:pPr>
            <w:r>
              <w:rPr>
                <w:sz w:val="20"/>
              </w:rPr>
              <w:t>N35.1,</w:t>
            </w:r>
            <w:r>
              <w:rPr>
                <w:spacing w:val="-5"/>
                <w:sz w:val="20"/>
              </w:rPr>
              <w:t> </w:t>
            </w:r>
            <w:r>
              <w:rPr>
                <w:sz w:val="20"/>
              </w:rPr>
              <w:t>N35.8,</w:t>
            </w:r>
            <w:r>
              <w:rPr>
                <w:spacing w:val="-6"/>
                <w:sz w:val="20"/>
              </w:rPr>
              <w:t> </w:t>
            </w:r>
            <w:r>
              <w:rPr>
                <w:sz w:val="20"/>
              </w:rPr>
              <w:t>N35.9,</w:t>
            </w:r>
            <w:r>
              <w:rPr>
                <w:spacing w:val="-4"/>
                <w:sz w:val="20"/>
              </w:rPr>
              <w:t> </w:t>
            </w:r>
            <w:r>
              <w:rPr>
                <w:sz w:val="20"/>
              </w:rPr>
              <w:t>N39,</w:t>
            </w:r>
            <w:r>
              <w:rPr>
                <w:spacing w:val="-5"/>
                <w:sz w:val="20"/>
              </w:rPr>
              <w:t> </w:t>
            </w:r>
            <w:r>
              <w:rPr>
                <w:sz w:val="20"/>
              </w:rPr>
              <w:t>N39.0,</w:t>
            </w:r>
            <w:r>
              <w:rPr>
                <w:spacing w:val="-4"/>
                <w:sz w:val="20"/>
              </w:rPr>
              <w:t> N99.1</w:t>
            </w:r>
          </w:p>
        </w:tc>
        <w:tc>
          <w:tcPr>
            <w:tcW w:w="2985" w:type="dxa"/>
          </w:tcPr>
          <w:p>
            <w:pPr>
              <w:pStyle w:val="TableParagraph"/>
              <w:rPr>
                <w:sz w:val="18"/>
              </w:rPr>
            </w:pPr>
          </w:p>
        </w:tc>
        <w:tc>
          <w:tcPr>
            <w:tcW w:w="2020"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st30.002</w:t>
            </w:r>
          </w:p>
        </w:tc>
        <w:tc>
          <w:tcPr>
            <w:tcW w:w="707" w:type="dxa"/>
          </w:tcPr>
          <w:p>
            <w:pPr>
              <w:pStyle w:val="TableParagraph"/>
              <w:spacing w:line="214" w:lineRule="exact" w:before="46"/>
              <w:ind w:left="210"/>
              <w:rPr>
                <w:sz w:val="20"/>
              </w:rPr>
            </w:pPr>
            <w:r>
              <w:rPr>
                <w:spacing w:val="-5"/>
                <w:sz w:val="20"/>
              </w:rPr>
              <w:t>283</w:t>
            </w:r>
          </w:p>
        </w:tc>
        <w:tc>
          <w:tcPr>
            <w:tcW w:w="2563" w:type="dxa"/>
          </w:tcPr>
          <w:p>
            <w:pPr>
              <w:pStyle w:val="TableParagraph"/>
              <w:spacing w:line="214" w:lineRule="exact" w:before="46"/>
              <w:ind w:left="192"/>
              <w:rPr>
                <w:sz w:val="20"/>
              </w:rPr>
            </w:pPr>
            <w:r>
              <w:rPr>
                <w:sz w:val="20"/>
              </w:rPr>
              <w:t>Камни</w:t>
            </w:r>
            <w:r>
              <w:rPr>
                <w:spacing w:val="-6"/>
                <w:sz w:val="20"/>
              </w:rPr>
              <w:t> </w:t>
            </w:r>
            <w:r>
              <w:rPr>
                <w:sz w:val="20"/>
              </w:rPr>
              <w:t>мочевой</w:t>
            </w:r>
            <w:r>
              <w:rPr>
                <w:spacing w:val="-5"/>
                <w:sz w:val="20"/>
              </w:rPr>
              <w:t> </w:t>
            </w:r>
            <w:r>
              <w:rPr>
                <w:spacing w:val="-2"/>
                <w:sz w:val="20"/>
              </w:rPr>
              <w:t>системы;</w:t>
            </w:r>
          </w:p>
        </w:tc>
        <w:tc>
          <w:tcPr>
            <w:tcW w:w="4791" w:type="dxa"/>
          </w:tcPr>
          <w:p>
            <w:pPr>
              <w:pStyle w:val="TableParagraph"/>
              <w:spacing w:line="214" w:lineRule="exact" w:before="46"/>
              <w:ind w:left="250"/>
              <w:rPr>
                <w:sz w:val="20"/>
              </w:rPr>
            </w:pPr>
            <w:r>
              <w:rPr>
                <w:sz w:val="20"/>
              </w:rPr>
              <w:t>N13,</w:t>
            </w:r>
            <w:r>
              <w:rPr>
                <w:spacing w:val="-5"/>
                <w:sz w:val="20"/>
              </w:rPr>
              <w:t> </w:t>
            </w:r>
            <w:r>
              <w:rPr>
                <w:sz w:val="20"/>
              </w:rPr>
              <w:t>N13.0,</w:t>
            </w:r>
            <w:r>
              <w:rPr>
                <w:spacing w:val="-5"/>
                <w:sz w:val="20"/>
              </w:rPr>
              <w:t> </w:t>
            </w:r>
            <w:r>
              <w:rPr>
                <w:sz w:val="20"/>
              </w:rPr>
              <w:t>N13.1,</w:t>
            </w:r>
            <w:r>
              <w:rPr>
                <w:spacing w:val="-5"/>
                <w:sz w:val="20"/>
              </w:rPr>
              <w:t> </w:t>
            </w:r>
            <w:r>
              <w:rPr>
                <w:sz w:val="20"/>
              </w:rPr>
              <w:t>N13.2,</w:t>
            </w:r>
            <w:r>
              <w:rPr>
                <w:spacing w:val="-5"/>
                <w:sz w:val="20"/>
              </w:rPr>
              <w:t> </w:t>
            </w:r>
            <w:r>
              <w:rPr>
                <w:sz w:val="20"/>
              </w:rPr>
              <w:t>N13.3,</w:t>
            </w:r>
            <w:r>
              <w:rPr>
                <w:spacing w:val="-5"/>
                <w:sz w:val="20"/>
              </w:rPr>
              <w:t> </w:t>
            </w:r>
            <w:r>
              <w:rPr>
                <w:sz w:val="20"/>
              </w:rPr>
              <w:t>N20,</w:t>
            </w:r>
            <w:r>
              <w:rPr>
                <w:spacing w:val="-5"/>
                <w:sz w:val="20"/>
              </w:rPr>
              <w:t> </w:t>
            </w:r>
            <w:r>
              <w:rPr>
                <w:spacing w:val="-2"/>
                <w:sz w:val="20"/>
              </w:rPr>
              <w:t>N20.0,</w:t>
            </w:r>
          </w:p>
        </w:tc>
        <w:tc>
          <w:tcPr>
            <w:tcW w:w="2985" w:type="dxa"/>
          </w:tcPr>
          <w:p>
            <w:pPr>
              <w:pStyle w:val="TableParagraph"/>
              <w:spacing w:line="214" w:lineRule="exact" w:before="46"/>
              <w:ind w:right="490"/>
              <w:jc w:val="center"/>
              <w:rPr>
                <w:sz w:val="20"/>
              </w:rPr>
            </w:pPr>
            <w:r>
              <w:rPr>
                <w:w w:val="99"/>
                <w:sz w:val="20"/>
              </w:rPr>
              <w:t>-</w:t>
            </w:r>
          </w:p>
        </w:tc>
        <w:tc>
          <w:tcPr>
            <w:tcW w:w="2020" w:type="dxa"/>
          </w:tcPr>
          <w:p>
            <w:pPr>
              <w:pStyle w:val="TableParagraph"/>
              <w:spacing w:line="214" w:lineRule="exact" w:before="46"/>
              <w:ind w:right="857"/>
              <w:jc w:val="right"/>
              <w:rPr>
                <w:sz w:val="20"/>
              </w:rPr>
            </w:pPr>
            <w:r>
              <w:rPr>
                <w:w w:val="99"/>
                <w:sz w:val="20"/>
              </w:rPr>
              <w:t>-</w:t>
            </w:r>
          </w:p>
        </w:tc>
        <w:tc>
          <w:tcPr>
            <w:tcW w:w="1261" w:type="dxa"/>
          </w:tcPr>
          <w:p>
            <w:pPr>
              <w:pStyle w:val="TableParagraph"/>
              <w:spacing w:line="214" w:lineRule="exact" w:before="46"/>
              <w:ind w:right="47"/>
              <w:jc w:val="right"/>
              <w:rPr>
                <w:sz w:val="20"/>
              </w:rPr>
            </w:pPr>
            <w:r>
              <w:rPr>
                <w:spacing w:val="-4"/>
                <w:sz w:val="20"/>
              </w:rPr>
              <w:t>0,49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09" w:lineRule="exact"/>
              <w:ind w:left="192"/>
              <w:rPr>
                <w:sz w:val="20"/>
              </w:rPr>
            </w:pPr>
            <w:r>
              <w:rPr>
                <w:sz w:val="20"/>
              </w:rPr>
              <w:t>симптомы,</w:t>
            </w:r>
            <w:r>
              <w:rPr>
                <w:spacing w:val="-11"/>
                <w:sz w:val="20"/>
              </w:rPr>
              <w:t> </w:t>
            </w:r>
            <w:r>
              <w:rPr>
                <w:sz w:val="20"/>
              </w:rPr>
              <w:t>относящиеся</w:t>
            </w:r>
            <w:r>
              <w:rPr>
                <w:spacing w:val="-9"/>
                <w:sz w:val="20"/>
              </w:rPr>
              <w:t> </w:t>
            </w:r>
            <w:r>
              <w:rPr>
                <w:spacing w:val="-10"/>
                <w:sz w:val="20"/>
              </w:rPr>
              <w:t>к</w:t>
            </w:r>
          </w:p>
        </w:tc>
        <w:tc>
          <w:tcPr>
            <w:tcW w:w="4791" w:type="dxa"/>
          </w:tcPr>
          <w:p>
            <w:pPr>
              <w:pStyle w:val="TableParagraph"/>
              <w:spacing w:line="209" w:lineRule="exact"/>
              <w:ind w:left="176"/>
              <w:rPr>
                <w:sz w:val="20"/>
              </w:rPr>
            </w:pPr>
            <w:r>
              <w:rPr>
                <w:sz w:val="20"/>
              </w:rPr>
              <w:t>N20.1,</w:t>
            </w:r>
            <w:r>
              <w:rPr>
                <w:spacing w:val="-6"/>
                <w:sz w:val="20"/>
              </w:rPr>
              <w:t> </w:t>
            </w:r>
            <w:r>
              <w:rPr>
                <w:sz w:val="20"/>
              </w:rPr>
              <w:t>N20.2,</w:t>
            </w:r>
            <w:r>
              <w:rPr>
                <w:spacing w:val="-6"/>
                <w:sz w:val="20"/>
              </w:rPr>
              <w:t> </w:t>
            </w:r>
            <w:r>
              <w:rPr>
                <w:sz w:val="20"/>
              </w:rPr>
              <w:t>N20.9,</w:t>
            </w:r>
            <w:r>
              <w:rPr>
                <w:spacing w:val="-5"/>
                <w:sz w:val="20"/>
              </w:rPr>
              <w:t> </w:t>
            </w:r>
            <w:r>
              <w:rPr>
                <w:sz w:val="20"/>
              </w:rPr>
              <w:t>N21,</w:t>
            </w:r>
            <w:r>
              <w:rPr>
                <w:spacing w:val="-6"/>
                <w:sz w:val="20"/>
              </w:rPr>
              <w:t> </w:t>
            </w:r>
            <w:r>
              <w:rPr>
                <w:sz w:val="20"/>
              </w:rPr>
              <w:t>N21.0,</w:t>
            </w:r>
            <w:r>
              <w:rPr>
                <w:spacing w:val="-5"/>
                <w:sz w:val="20"/>
              </w:rPr>
              <w:t> </w:t>
            </w:r>
            <w:r>
              <w:rPr>
                <w:sz w:val="20"/>
              </w:rPr>
              <w:t>N21.1,</w:t>
            </w:r>
            <w:r>
              <w:rPr>
                <w:spacing w:val="-5"/>
                <w:sz w:val="20"/>
              </w:rPr>
              <w:t> </w:t>
            </w:r>
            <w:r>
              <w:rPr>
                <w:spacing w:val="-2"/>
                <w:sz w:val="20"/>
              </w:rPr>
              <w:t>N21.8,</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10" w:lineRule="exact"/>
              <w:ind w:left="192"/>
              <w:rPr>
                <w:sz w:val="20"/>
              </w:rPr>
            </w:pPr>
            <w:r>
              <w:rPr>
                <w:sz w:val="20"/>
              </w:rPr>
              <w:t>мочевой</w:t>
            </w:r>
            <w:r>
              <w:rPr>
                <w:spacing w:val="-6"/>
                <w:sz w:val="20"/>
              </w:rPr>
              <w:t> </w:t>
            </w:r>
            <w:r>
              <w:rPr>
                <w:spacing w:val="-2"/>
                <w:sz w:val="20"/>
              </w:rPr>
              <w:t>системе</w:t>
            </w:r>
          </w:p>
        </w:tc>
        <w:tc>
          <w:tcPr>
            <w:tcW w:w="4791" w:type="dxa"/>
          </w:tcPr>
          <w:p>
            <w:pPr>
              <w:pStyle w:val="TableParagraph"/>
              <w:spacing w:line="210" w:lineRule="exact"/>
              <w:ind w:left="337"/>
              <w:rPr>
                <w:sz w:val="20"/>
              </w:rPr>
            </w:pPr>
            <w:r>
              <w:rPr>
                <w:sz w:val="20"/>
              </w:rPr>
              <w:t>N21.9,</w:t>
            </w:r>
            <w:r>
              <w:rPr>
                <w:spacing w:val="-5"/>
                <w:sz w:val="20"/>
              </w:rPr>
              <w:t> </w:t>
            </w:r>
            <w:r>
              <w:rPr>
                <w:sz w:val="20"/>
              </w:rPr>
              <w:t>N22,</w:t>
            </w:r>
            <w:r>
              <w:rPr>
                <w:spacing w:val="-5"/>
                <w:sz w:val="20"/>
              </w:rPr>
              <w:t> </w:t>
            </w:r>
            <w:r>
              <w:rPr>
                <w:sz w:val="20"/>
              </w:rPr>
              <w:t>N22.0,</w:t>
            </w:r>
            <w:r>
              <w:rPr>
                <w:spacing w:val="-4"/>
                <w:sz w:val="20"/>
              </w:rPr>
              <w:t> </w:t>
            </w:r>
            <w:r>
              <w:rPr>
                <w:sz w:val="20"/>
              </w:rPr>
              <w:t>N22.8,</w:t>
            </w:r>
            <w:r>
              <w:rPr>
                <w:spacing w:val="-5"/>
                <w:sz w:val="20"/>
              </w:rPr>
              <w:t> </w:t>
            </w:r>
            <w:r>
              <w:rPr>
                <w:sz w:val="20"/>
              </w:rPr>
              <w:t>N23,</w:t>
            </w:r>
            <w:r>
              <w:rPr>
                <w:spacing w:val="-4"/>
                <w:sz w:val="20"/>
              </w:rPr>
              <w:t> </w:t>
            </w:r>
            <w:r>
              <w:rPr>
                <w:sz w:val="20"/>
              </w:rPr>
              <w:t>R30,</w:t>
            </w:r>
            <w:r>
              <w:rPr>
                <w:spacing w:val="-5"/>
                <w:sz w:val="20"/>
              </w:rPr>
              <w:t> </w:t>
            </w:r>
            <w:r>
              <w:rPr>
                <w:spacing w:val="-2"/>
                <w:sz w:val="20"/>
              </w:rPr>
              <w:t>R30.0,</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296"/>
              <w:rPr>
                <w:sz w:val="20"/>
              </w:rPr>
            </w:pPr>
            <w:r>
              <w:rPr>
                <w:sz w:val="20"/>
              </w:rPr>
              <w:t>R30.1,</w:t>
            </w:r>
            <w:r>
              <w:rPr>
                <w:spacing w:val="-4"/>
                <w:sz w:val="20"/>
              </w:rPr>
              <w:t> </w:t>
            </w:r>
            <w:r>
              <w:rPr>
                <w:sz w:val="20"/>
              </w:rPr>
              <w:t>R30.9,</w:t>
            </w:r>
            <w:r>
              <w:rPr>
                <w:spacing w:val="-3"/>
                <w:sz w:val="20"/>
              </w:rPr>
              <w:t> </w:t>
            </w:r>
            <w:r>
              <w:rPr>
                <w:sz w:val="20"/>
              </w:rPr>
              <w:t>R31,</w:t>
            </w:r>
            <w:r>
              <w:rPr>
                <w:spacing w:val="-4"/>
                <w:sz w:val="20"/>
              </w:rPr>
              <w:t> </w:t>
            </w:r>
            <w:r>
              <w:rPr>
                <w:sz w:val="20"/>
              </w:rPr>
              <w:t>R32,</w:t>
            </w:r>
            <w:r>
              <w:rPr>
                <w:spacing w:val="-5"/>
                <w:sz w:val="20"/>
              </w:rPr>
              <w:t> </w:t>
            </w:r>
            <w:r>
              <w:rPr>
                <w:sz w:val="20"/>
              </w:rPr>
              <w:t>R33,</w:t>
            </w:r>
            <w:r>
              <w:rPr>
                <w:spacing w:val="-5"/>
                <w:sz w:val="20"/>
              </w:rPr>
              <w:t> </w:t>
            </w:r>
            <w:r>
              <w:rPr>
                <w:sz w:val="20"/>
              </w:rPr>
              <w:t>R35,</w:t>
            </w:r>
            <w:r>
              <w:rPr>
                <w:spacing w:val="-4"/>
                <w:sz w:val="20"/>
              </w:rPr>
              <w:t> </w:t>
            </w:r>
            <w:r>
              <w:rPr>
                <w:sz w:val="20"/>
              </w:rPr>
              <w:t>R36,</w:t>
            </w:r>
            <w:r>
              <w:rPr>
                <w:spacing w:val="-3"/>
                <w:sz w:val="20"/>
              </w:rPr>
              <w:t> </w:t>
            </w:r>
            <w:r>
              <w:rPr>
                <w:spacing w:val="-4"/>
                <w:sz w:val="20"/>
              </w:rPr>
              <w:t>R39,</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289"/>
              <w:rPr>
                <w:sz w:val="20"/>
              </w:rPr>
            </w:pPr>
            <w:r>
              <w:rPr>
                <w:sz w:val="20"/>
              </w:rPr>
              <w:t>R39.0,</w:t>
            </w:r>
            <w:r>
              <w:rPr>
                <w:spacing w:val="-7"/>
                <w:sz w:val="20"/>
              </w:rPr>
              <w:t> </w:t>
            </w:r>
            <w:r>
              <w:rPr>
                <w:sz w:val="20"/>
              </w:rPr>
              <w:t>R39.1,</w:t>
            </w:r>
            <w:r>
              <w:rPr>
                <w:spacing w:val="-4"/>
                <w:sz w:val="20"/>
              </w:rPr>
              <w:t> </w:t>
            </w:r>
            <w:r>
              <w:rPr>
                <w:sz w:val="20"/>
              </w:rPr>
              <w:t>R39.2,</w:t>
            </w:r>
            <w:r>
              <w:rPr>
                <w:spacing w:val="-4"/>
                <w:sz w:val="20"/>
              </w:rPr>
              <w:t> </w:t>
            </w:r>
            <w:r>
              <w:rPr>
                <w:sz w:val="20"/>
              </w:rPr>
              <w:t>R39.8,</w:t>
            </w:r>
            <w:r>
              <w:rPr>
                <w:spacing w:val="-8"/>
                <w:sz w:val="20"/>
              </w:rPr>
              <w:t> </w:t>
            </w:r>
            <w:r>
              <w:rPr>
                <w:sz w:val="20"/>
              </w:rPr>
              <w:t>R80,</w:t>
            </w:r>
            <w:r>
              <w:rPr>
                <w:spacing w:val="-4"/>
                <w:sz w:val="20"/>
              </w:rPr>
              <w:t> </w:t>
            </w:r>
            <w:r>
              <w:rPr>
                <w:sz w:val="20"/>
              </w:rPr>
              <w:t>R82,</w:t>
            </w:r>
            <w:r>
              <w:rPr>
                <w:spacing w:val="-4"/>
                <w:sz w:val="20"/>
              </w:rPr>
              <w:t> </w:t>
            </w:r>
            <w:r>
              <w:rPr>
                <w:spacing w:val="-2"/>
                <w:sz w:val="20"/>
              </w:rPr>
              <w:t>R82.0,</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140"/>
              <w:rPr>
                <w:sz w:val="20"/>
              </w:rPr>
            </w:pPr>
            <w:r>
              <w:rPr>
                <w:sz w:val="20"/>
              </w:rPr>
              <w:t>R82.1,</w:t>
            </w:r>
            <w:r>
              <w:rPr>
                <w:spacing w:val="-7"/>
                <w:sz w:val="20"/>
              </w:rPr>
              <w:t> </w:t>
            </w:r>
            <w:r>
              <w:rPr>
                <w:sz w:val="20"/>
              </w:rPr>
              <w:t>R82.2,</w:t>
            </w:r>
            <w:r>
              <w:rPr>
                <w:spacing w:val="-5"/>
                <w:sz w:val="20"/>
              </w:rPr>
              <w:t> </w:t>
            </w:r>
            <w:r>
              <w:rPr>
                <w:sz w:val="20"/>
              </w:rPr>
              <w:t>R82.3,</w:t>
            </w:r>
            <w:r>
              <w:rPr>
                <w:spacing w:val="-5"/>
                <w:sz w:val="20"/>
              </w:rPr>
              <w:t> </w:t>
            </w:r>
            <w:r>
              <w:rPr>
                <w:sz w:val="20"/>
              </w:rPr>
              <w:t>R82.4,</w:t>
            </w:r>
            <w:r>
              <w:rPr>
                <w:spacing w:val="-9"/>
                <w:sz w:val="20"/>
              </w:rPr>
              <w:t> </w:t>
            </w:r>
            <w:r>
              <w:rPr>
                <w:sz w:val="20"/>
              </w:rPr>
              <w:t>R82.5,</w:t>
            </w:r>
            <w:r>
              <w:rPr>
                <w:spacing w:val="-5"/>
                <w:sz w:val="20"/>
              </w:rPr>
              <w:t> </w:t>
            </w:r>
            <w:r>
              <w:rPr>
                <w:sz w:val="20"/>
              </w:rPr>
              <w:t>R82.6,</w:t>
            </w:r>
            <w:r>
              <w:rPr>
                <w:spacing w:val="-4"/>
                <w:sz w:val="20"/>
              </w:rPr>
              <w:t> </w:t>
            </w:r>
            <w:r>
              <w:rPr>
                <w:spacing w:val="-2"/>
                <w:sz w:val="20"/>
              </w:rPr>
              <w:t>R82.7,</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05" w:lineRule="exact"/>
              <w:ind w:left="214"/>
              <w:rPr>
                <w:sz w:val="20"/>
              </w:rPr>
            </w:pPr>
            <w:r>
              <w:rPr>
                <w:sz w:val="20"/>
              </w:rPr>
              <w:t>R82.8,</w:t>
            </w:r>
            <w:r>
              <w:rPr>
                <w:spacing w:val="-5"/>
                <w:sz w:val="20"/>
              </w:rPr>
              <w:t> </w:t>
            </w:r>
            <w:r>
              <w:rPr>
                <w:sz w:val="20"/>
              </w:rPr>
              <w:t>R82.9,</w:t>
            </w:r>
            <w:r>
              <w:rPr>
                <w:spacing w:val="-5"/>
                <w:sz w:val="20"/>
              </w:rPr>
              <w:t> </w:t>
            </w:r>
            <w:r>
              <w:rPr>
                <w:sz w:val="20"/>
              </w:rPr>
              <w:t>R86,</w:t>
            </w:r>
            <w:r>
              <w:rPr>
                <w:spacing w:val="-5"/>
                <w:sz w:val="20"/>
              </w:rPr>
              <w:t> </w:t>
            </w:r>
            <w:r>
              <w:rPr>
                <w:sz w:val="20"/>
              </w:rPr>
              <w:t>R86.0,</w:t>
            </w:r>
            <w:r>
              <w:rPr>
                <w:spacing w:val="-5"/>
                <w:sz w:val="20"/>
              </w:rPr>
              <w:t> </w:t>
            </w:r>
            <w:r>
              <w:rPr>
                <w:sz w:val="20"/>
              </w:rPr>
              <w:t>R86.1, R86.2,</w:t>
            </w:r>
            <w:r>
              <w:rPr>
                <w:spacing w:val="-5"/>
                <w:sz w:val="20"/>
              </w:rPr>
              <w:t> </w:t>
            </w:r>
            <w:r>
              <w:rPr>
                <w:spacing w:val="-2"/>
                <w:sz w:val="20"/>
              </w:rPr>
              <w:t>R86.3,</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0"/>
        <w:gridCol w:w="5126"/>
        <w:gridCol w:w="2102"/>
        <w:gridCol w:w="2922"/>
        <w:gridCol w:w="962"/>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10" w:type="dxa"/>
          </w:tcPr>
          <w:p>
            <w:pPr>
              <w:pStyle w:val="TableParagraph"/>
              <w:rPr>
                <w:sz w:val="18"/>
              </w:rPr>
            </w:pPr>
          </w:p>
        </w:tc>
        <w:tc>
          <w:tcPr>
            <w:tcW w:w="5126" w:type="dxa"/>
          </w:tcPr>
          <w:p>
            <w:pPr>
              <w:pStyle w:val="TableParagraph"/>
              <w:ind w:left="1676" w:right="459" w:hanging="1484"/>
              <w:rPr>
                <w:sz w:val="20"/>
              </w:rPr>
            </w:pPr>
            <w:r>
              <w:rPr>
                <w:sz w:val="20"/>
              </w:rPr>
              <w:t>R86.4,</w:t>
            </w:r>
            <w:r>
              <w:rPr>
                <w:spacing w:val="-7"/>
                <w:sz w:val="20"/>
              </w:rPr>
              <w:t> </w:t>
            </w:r>
            <w:r>
              <w:rPr>
                <w:sz w:val="20"/>
              </w:rPr>
              <w:t>R86.5,</w:t>
            </w:r>
            <w:r>
              <w:rPr>
                <w:spacing w:val="-7"/>
                <w:sz w:val="20"/>
              </w:rPr>
              <w:t> </w:t>
            </w:r>
            <w:r>
              <w:rPr>
                <w:sz w:val="20"/>
              </w:rPr>
              <w:t>R86.6,</w:t>
            </w:r>
            <w:r>
              <w:rPr>
                <w:spacing w:val="-7"/>
                <w:sz w:val="20"/>
              </w:rPr>
              <w:t> </w:t>
            </w:r>
            <w:r>
              <w:rPr>
                <w:sz w:val="20"/>
              </w:rPr>
              <w:t>R86.7,</w:t>
            </w:r>
            <w:r>
              <w:rPr>
                <w:spacing w:val="-10"/>
                <w:sz w:val="20"/>
              </w:rPr>
              <w:t> </w:t>
            </w:r>
            <w:r>
              <w:rPr>
                <w:sz w:val="20"/>
              </w:rPr>
              <w:t>R86.8,</w:t>
            </w:r>
            <w:r>
              <w:rPr>
                <w:spacing w:val="-7"/>
                <w:sz w:val="20"/>
              </w:rPr>
              <w:t> </w:t>
            </w:r>
            <w:r>
              <w:rPr>
                <w:sz w:val="20"/>
              </w:rPr>
              <w:t>R86.9,</w:t>
            </w:r>
            <w:r>
              <w:rPr>
                <w:spacing w:val="-7"/>
                <w:sz w:val="20"/>
              </w:rPr>
              <w:t> </w:t>
            </w:r>
            <w:r>
              <w:rPr>
                <w:sz w:val="20"/>
              </w:rPr>
              <w:t>R93.4, R94.4, R94.8</w:t>
            </w:r>
          </w:p>
        </w:tc>
        <w:tc>
          <w:tcPr>
            <w:tcW w:w="2102" w:type="dxa"/>
          </w:tcPr>
          <w:p>
            <w:pPr>
              <w:pStyle w:val="TableParagraph"/>
              <w:rPr>
                <w:sz w:val="18"/>
              </w:rPr>
            </w:pPr>
          </w:p>
        </w:tc>
        <w:tc>
          <w:tcPr>
            <w:tcW w:w="2922" w:type="dxa"/>
          </w:tcPr>
          <w:p>
            <w:pPr>
              <w:pStyle w:val="TableParagraph"/>
              <w:rPr>
                <w:sz w:val="18"/>
              </w:rPr>
            </w:pPr>
          </w:p>
        </w:tc>
        <w:tc>
          <w:tcPr>
            <w:tcW w:w="962" w:type="dxa"/>
          </w:tcPr>
          <w:p>
            <w:pPr>
              <w:pStyle w:val="TableParagraph"/>
              <w:rPr>
                <w:sz w:val="18"/>
              </w:rPr>
            </w:pPr>
          </w:p>
        </w:tc>
      </w:tr>
      <w:tr>
        <w:trPr>
          <w:trHeight w:val="1939" w:hRule="atLeast"/>
        </w:trPr>
        <w:tc>
          <w:tcPr>
            <w:tcW w:w="946" w:type="dxa"/>
          </w:tcPr>
          <w:p>
            <w:pPr>
              <w:pStyle w:val="TableParagraph"/>
              <w:spacing w:before="45"/>
              <w:ind w:left="50"/>
              <w:rPr>
                <w:sz w:val="20"/>
              </w:rPr>
            </w:pPr>
            <w:r>
              <w:rPr>
                <w:spacing w:val="-2"/>
                <w:sz w:val="20"/>
              </w:rPr>
              <w:t>st30.003</w:t>
            </w:r>
          </w:p>
        </w:tc>
        <w:tc>
          <w:tcPr>
            <w:tcW w:w="707" w:type="dxa"/>
          </w:tcPr>
          <w:p>
            <w:pPr>
              <w:pStyle w:val="TableParagraph"/>
              <w:spacing w:before="45"/>
              <w:ind w:left="210"/>
              <w:rPr>
                <w:sz w:val="20"/>
              </w:rPr>
            </w:pPr>
            <w:r>
              <w:rPr>
                <w:spacing w:val="-5"/>
                <w:sz w:val="20"/>
              </w:rPr>
              <w:t>284</w:t>
            </w:r>
          </w:p>
        </w:tc>
        <w:tc>
          <w:tcPr>
            <w:tcW w:w="2510" w:type="dxa"/>
          </w:tcPr>
          <w:p>
            <w:pPr>
              <w:pStyle w:val="TableParagraph"/>
              <w:spacing w:before="45"/>
              <w:ind w:left="192" w:right="221"/>
              <w:rPr>
                <w:sz w:val="20"/>
              </w:rPr>
            </w:pPr>
            <w:r>
              <w:rPr>
                <w:spacing w:val="-2"/>
                <w:sz w:val="20"/>
              </w:rPr>
              <w:t>Доброкачественные новообразования, </w:t>
            </w:r>
            <w:r>
              <w:rPr>
                <w:sz w:val="20"/>
              </w:rPr>
              <w:t>новообразования</w:t>
            </w:r>
            <w:r>
              <w:rPr>
                <w:spacing w:val="-13"/>
                <w:sz w:val="20"/>
              </w:rPr>
              <w:t> </w:t>
            </w:r>
            <w:r>
              <w:rPr>
                <w:sz w:val="20"/>
              </w:rPr>
              <w:t>in</w:t>
            </w:r>
            <w:r>
              <w:rPr>
                <w:spacing w:val="-12"/>
                <w:sz w:val="20"/>
              </w:rPr>
              <w:t> </w:t>
            </w:r>
            <w:r>
              <w:rPr>
                <w:sz w:val="20"/>
              </w:rPr>
              <w:t>situ, неопределенного и неизвестного</w:t>
            </w:r>
            <w:r>
              <w:rPr>
                <w:spacing w:val="-8"/>
                <w:sz w:val="20"/>
              </w:rPr>
              <w:t> </w:t>
            </w:r>
            <w:r>
              <w:rPr>
                <w:sz w:val="20"/>
              </w:rPr>
              <w:t>характера мочевых органов и мужских половых </w:t>
            </w:r>
            <w:r>
              <w:rPr>
                <w:spacing w:val="-2"/>
                <w:sz w:val="20"/>
              </w:rPr>
              <w:t>органов</w:t>
            </w:r>
          </w:p>
        </w:tc>
        <w:tc>
          <w:tcPr>
            <w:tcW w:w="5126" w:type="dxa"/>
          </w:tcPr>
          <w:p>
            <w:pPr>
              <w:pStyle w:val="TableParagraph"/>
              <w:spacing w:before="45"/>
              <w:ind w:left="230" w:right="936"/>
              <w:jc w:val="center"/>
              <w:rPr>
                <w:sz w:val="20"/>
              </w:rPr>
            </w:pPr>
            <w:r>
              <w:rPr>
                <w:sz w:val="20"/>
              </w:rPr>
              <w:t>D07.4,</w:t>
            </w:r>
            <w:r>
              <w:rPr>
                <w:spacing w:val="-4"/>
                <w:sz w:val="20"/>
              </w:rPr>
              <w:t> </w:t>
            </w:r>
            <w:r>
              <w:rPr>
                <w:sz w:val="20"/>
              </w:rPr>
              <w:t>D07.5,</w:t>
            </w:r>
            <w:r>
              <w:rPr>
                <w:spacing w:val="-4"/>
                <w:sz w:val="20"/>
              </w:rPr>
              <w:t> </w:t>
            </w:r>
            <w:r>
              <w:rPr>
                <w:sz w:val="20"/>
              </w:rPr>
              <w:t>D07.6,</w:t>
            </w:r>
            <w:r>
              <w:rPr>
                <w:spacing w:val="-4"/>
                <w:sz w:val="20"/>
              </w:rPr>
              <w:t> </w:t>
            </w:r>
            <w:r>
              <w:rPr>
                <w:sz w:val="20"/>
              </w:rPr>
              <w:t>D09.0,</w:t>
            </w:r>
            <w:r>
              <w:rPr>
                <w:spacing w:val="-6"/>
                <w:sz w:val="20"/>
              </w:rPr>
              <w:t> </w:t>
            </w:r>
            <w:r>
              <w:rPr>
                <w:sz w:val="20"/>
              </w:rPr>
              <w:t>D09.1,</w:t>
            </w:r>
            <w:r>
              <w:rPr>
                <w:spacing w:val="-4"/>
                <w:sz w:val="20"/>
              </w:rPr>
              <w:t> </w:t>
            </w:r>
            <w:r>
              <w:rPr>
                <w:spacing w:val="-2"/>
                <w:sz w:val="20"/>
              </w:rPr>
              <w:t>D09.7,</w:t>
            </w:r>
          </w:p>
          <w:p>
            <w:pPr>
              <w:pStyle w:val="TableParagraph"/>
              <w:ind w:left="230" w:right="939"/>
              <w:jc w:val="center"/>
              <w:rPr>
                <w:sz w:val="20"/>
              </w:rPr>
            </w:pPr>
            <w:r>
              <w:rPr>
                <w:sz w:val="20"/>
              </w:rPr>
              <w:t>D09.9,</w:t>
            </w:r>
            <w:r>
              <w:rPr>
                <w:spacing w:val="-6"/>
                <w:sz w:val="20"/>
              </w:rPr>
              <w:t> </w:t>
            </w:r>
            <w:r>
              <w:rPr>
                <w:sz w:val="20"/>
              </w:rPr>
              <w:t>D29,</w:t>
            </w:r>
            <w:r>
              <w:rPr>
                <w:spacing w:val="-6"/>
                <w:sz w:val="20"/>
              </w:rPr>
              <w:t> </w:t>
            </w:r>
            <w:r>
              <w:rPr>
                <w:sz w:val="20"/>
              </w:rPr>
              <w:t>D29.0,</w:t>
            </w:r>
            <w:r>
              <w:rPr>
                <w:spacing w:val="-5"/>
                <w:sz w:val="20"/>
              </w:rPr>
              <w:t> </w:t>
            </w:r>
            <w:r>
              <w:rPr>
                <w:sz w:val="20"/>
              </w:rPr>
              <w:t>D29.1,</w:t>
            </w:r>
            <w:r>
              <w:rPr>
                <w:spacing w:val="-6"/>
                <w:sz w:val="20"/>
              </w:rPr>
              <w:t> </w:t>
            </w:r>
            <w:r>
              <w:rPr>
                <w:sz w:val="20"/>
              </w:rPr>
              <w:t>D29.2,</w:t>
            </w:r>
            <w:r>
              <w:rPr>
                <w:spacing w:val="-5"/>
                <w:sz w:val="20"/>
              </w:rPr>
              <w:t> </w:t>
            </w:r>
            <w:r>
              <w:rPr>
                <w:sz w:val="20"/>
              </w:rPr>
              <w:t>D29.3,</w:t>
            </w:r>
            <w:r>
              <w:rPr>
                <w:spacing w:val="-6"/>
                <w:sz w:val="20"/>
              </w:rPr>
              <w:t> </w:t>
            </w:r>
            <w:r>
              <w:rPr>
                <w:spacing w:val="-2"/>
                <w:sz w:val="20"/>
              </w:rPr>
              <w:t>D29.4,</w:t>
            </w:r>
          </w:p>
          <w:p>
            <w:pPr>
              <w:pStyle w:val="TableParagraph"/>
              <w:ind w:left="230" w:right="939"/>
              <w:jc w:val="center"/>
              <w:rPr>
                <w:sz w:val="20"/>
              </w:rPr>
            </w:pPr>
            <w:r>
              <w:rPr>
                <w:sz w:val="20"/>
              </w:rPr>
              <w:t>D29.7,</w:t>
            </w:r>
            <w:r>
              <w:rPr>
                <w:spacing w:val="-6"/>
                <w:sz w:val="20"/>
              </w:rPr>
              <w:t> </w:t>
            </w:r>
            <w:r>
              <w:rPr>
                <w:sz w:val="20"/>
              </w:rPr>
              <w:t>D29.9,</w:t>
            </w:r>
            <w:r>
              <w:rPr>
                <w:spacing w:val="-7"/>
                <w:sz w:val="20"/>
              </w:rPr>
              <w:t> </w:t>
            </w:r>
            <w:r>
              <w:rPr>
                <w:sz w:val="20"/>
              </w:rPr>
              <w:t>D30,</w:t>
            </w:r>
            <w:r>
              <w:rPr>
                <w:spacing w:val="-5"/>
                <w:sz w:val="20"/>
              </w:rPr>
              <w:t> </w:t>
            </w:r>
            <w:r>
              <w:rPr>
                <w:sz w:val="20"/>
              </w:rPr>
              <w:t>D30.0,</w:t>
            </w:r>
            <w:r>
              <w:rPr>
                <w:spacing w:val="-5"/>
                <w:sz w:val="20"/>
              </w:rPr>
              <w:t> </w:t>
            </w:r>
            <w:r>
              <w:rPr>
                <w:sz w:val="20"/>
              </w:rPr>
              <w:t>D30.1,</w:t>
            </w:r>
            <w:r>
              <w:rPr>
                <w:spacing w:val="-5"/>
                <w:sz w:val="20"/>
              </w:rPr>
              <w:t> </w:t>
            </w:r>
            <w:r>
              <w:rPr>
                <w:sz w:val="20"/>
              </w:rPr>
              <w:t>D30.2,</w:t>
            </w:r>
            <w:r>
              <w:rPr>
                <w:spacing w:val="-6"/>
                <w:sz w:val="20"/>
              </w:rPr>
              <w:t> </w:t>
            </w:r>
            <w:r>
              <w:rPr>
                <w:spacing w:val="-2"/>
                <w:sz w:val="20"/>
              </w:rPr>
              <w:t>D30.3,</w:t>
            </w:r>
          </w:p>
          <w:p>
            <w:pPr>
              <w:pStyle w:val="TableParagraph"/>
              <w:spacing w:line="229" w:lineRule="exact" w:before="1"/>
              <w:ind w:left="230" w:right="939"/>
              <w:jc w:val="center"/>
              <w:rPr>
                <w:sz w:val="20"/>
              </w:rPr>
            </w:pPr>
            <w:r>
              <w:rPr>
                <w:sz w:val="20"/>
              </w:rPr>
              <w:t>D30.4,</w:t>
            </w:r>
            <w:r>
              <w:rPr>
                <w:spacing w:val="-6"/>
                <w:sz w:val="20"/>
              </w:rPr>
              <w:t> </w:t>
            </w:r>
            <w:r>
              <w:rPr>
                <w:sz w:val="20"/>
              </w:rPr>
              <w:t>D30.7,</w:t>
            </w:r>
            <w:r>
              <w:rPr>
                <w:spacing w:val="-6"/>
                <w:sz w:val="20"/>
              </w:rPr>
              <w:t> </w:t>
            </w:r>
            <w:r>
              <w:rPr>
                <w:sz w:val="20"/>
              </w:rPr>
              <w:t>D30.9,</w:t>
            </w:r>
            <w:r>
              <w:rPr>
                <w:spacing w:val="-5"/>
                <w:sz w:val="20"/>
              </w:rPr>
              <w:t> </w:t>
            </w:r>
            <w:r>
              <w:rPr>
                <w:sz w:val="20"/>
              </w:rPr>
              <w:t>D40,</w:t>
            </w:r>
            <w:r>
              <w:rPr>
                <w:spacing w:val="-6"/>
                <w:sz w:val="20"/>
              </w:rPr>
              <w:t> </w:t>
            </w:r>
            <w:r>
              <w:rPr>
                <w:sz w:val="20"/>
              </w:rPr>
              <w:t>D40.0,</w:t>
            </w:r>
            <w:r>
              <w:rPr>
                <w:spacing w:val="-5"/>
                <w:sz w:val="20"/>
              </w:rPr>
              <w:t> </w:t>
            </w:r>
            <w:r>
              <w:rPr>
                <w:sz w:val="20"/>
              </w:rPr>
              <w:t>D40.1,</w:t>
            </w:r>
            <w:r>
              <w:rPr>
                <w:spacing w:val="-5"/>
                <w:sz w:val="20"/>
              </w:rPr>
              <w:t> </w:t>
            </w:r>
            <w:r>
              <w:rPr>
                <w:spacing w:val="-2"/>
                <w:sz w:val="20"/>
              </w:rPr>
              <w:t>D40.7,</w:t>
            </w:r>
          </w:p>
          <w:p>
            <w:pPr>
              <w:pStyle w:val="TableParagraph"/>
              <w:ind w:left="229" w:right="939"/>
              <w:jc w:val="center"/>
              <w:rPr>
                <w:sz w:val="20"/>
              </w:rPr>
            </w:pPr>
            <w:r>
              <w:rPr>
                <w:sz w:val="20"/>
              </w:rPr>
              <w:t>D40.9,</w:t>
            </w:r>
            <w:r>
              <w:rPr>
                <w:spacing w:val="-8"/>
                <w:sz w:val="20"/>
              </w:rPr>
              <w:t> </w:t>
            </w:r>
            <w:r>
              <w:rPr>
                <w:sz w:val="20"/>
              </w:rPr>
              <w:t>D41,</w:t>
            </w:r>
            <w:r>
              <w:rPr>
                <w:spacing w:val="-8"/>
                <w:sz w:val="20"/>
              </w:rPr>
              <w:t> </w:t>
            </w:r>
            <w:r>
              <w:rPr>
                <w:sz w:val="20"/>
              </w:rPr>
              <w:t>D41.0,</w:t>
            </w:r>
            <w:r>
              <w:rPr>
                <w:spacing w:val="-8"/>
                <w:sz w:val="20"/>
              </w:rPr>
              <w:t> </w:t>
            </w:r>
            <w:r>
              <w:rPr>
                <w:sz w:val="20"/>
              </w:rPr>
              <w:t>D41.1,</w:t>
            </w:r>
            <w:r>
              <w:rPr>
                <w:spacing w:val="-8"/>
                <w:sz w:val="20"/>
              </w:rPr>
              <w:t> </w:t>
            </w:r>
            <w:r>
              <w:rPr>
                <w:sz w:val="20"/>
              </w:rPr>
              <w:t>D41.2,</w:t>
            </w:r>
            <w:r>
              <w:rPr>
                <w:spacing w:val="-8"/>
                <w:sz w:val="20"/>
              </w:rPr>
              <w:t> </w:t>
            </w:r>
            <w:r>
              <w:rPr>
                <w:sz w:val="20"/>
              </w:rPr>
              <w:t>D41.3,</w:t>
            </w:r>
            <w:r>
              <w:rPr>
                <w:spacing w:val="-8"/>
                <w:sz w:val="20"/>
              </w:rPr>
              <w:t> </w:t>
            </w:r>
            <w:r>
              <w:rPr>
                <w:sz w:val="20"/>
              </w:rPr>
              <w:t>D41.4, D41.7, D41.9</w:t>
            </w:r>
          </w:p>
        </w:tc>
        <w:tc>
          <w:tcPr>
            <w:tcW w:w="2102" w:type="dxa"/>
          </w:tcPr>
          <w:p>
            <w:pPr>
              <w:pStyle w:val="TableParagraph"/>
              <w:spacing w:before="45"/>
              <w:ind w:left="931"/>
              <w:rPr>
                <w:sz w:val="20"/>
              </w:rPr>
            </w:pPr>
            <w:r>
              <w:rPr>
                <w:w w:val="99"/>
                <w:sz w:val="20"/>
              </w:rPr>
              <w:t>-</w:t>
            </w:r>
          </w:p>
        </w:tc>
        <w:tc>
          <w:tcPr>
            <w:tcW w:w="2922" w:type="dxa"/>
          </w:tcPr>
          <w:p>
            <w:pPr>
              <w:pStyle w:val="TableParagraph"/>
              <w:spacing w:before="45"/>
              <w:ind w:left="535"/>
              <w:jc w:val="center"/>
              <w:rPr>
                <w:sz w:val="20"/>
              </w:rPr>
            </w:pPr>
            <w:r>
              <w:rPr>
                <w:w w:val="99"/>
                <w:sz w:val="20"/>
              </w:rPr>
              <w:t>-</w:t>
            </w:r>
          </w:p>
        </w:tc>
        <w:tc>
          <w:tcPr>
            <w:tcW w:w="962" w:type="dxa"/>
          </w:tcPr>
          <w:p>
            <w:pPr>
              <w:pStyle w:val="TableParagraph"/>
              <w:spacing w:before="45"/>
              <w:ind w:right="49"/>
              <w:jc w:val="right"/>
              <w:rPr>
                <w:sz w:val="20"/>
              </w:rPr>
            </w:pPr>
            <w:r>
              <w:rPr>
                <w:spacing w:val="-4"/>
                <w:sz w:val="20"/>
              </w:rPr>
              <w:t>0,64</w:t>
            </w:r>
          </w:p>
        </w:tc>
      </w:tr>
      <w:tr>
        <w:trPr>
          <w:trHeight w:val="790" w:hRule="atLeast"/>
        </w:trPr>
        <w:tc>
          <w:tcPr>
            <w:tcW w:w="946" w:type="dxa"/>
          </w:tcPr>
          <w:p>
            <w:pPr>
              <w:pStyle w:val="TableParagraph"/>
              <w:spacing w:before="45"/>
              <w:ind w:left="50"/>
              <w:rPr>
                <w:sz w:val="20"/>
              </w:rPr>
            </w:pPr>
            <w:r>
              <w:rPr>
                <w:spacing w:val="-2"/>
                <w:sz w:val="20"/>
              </w:rPr>
              <w:t>st30.004</w:t>
            </w:r>
          </w:p>
        </w:tc>
        <w:tc>
          <w:tcPr>
            <w:tcW w:w="707" w:type="dxa"/>
          </w:tcPr>
          <w:p>
            <w:pPr>
              <w:pStyle w:val="TableParagraph"/>
              <w:spacing w:before="45"/>
              <w:ind w:left="210"/>
              <w:rPr>
                <w:sz w:val="20"/>
              </w:rPr>
            </w:pPr>
            <w:r>
              <w:rPr>
                <w:spacing w:val="-5"/>
                <w:sz w:val="20"/>
              </w:rPr>
              <w:t>285</w:t>
            </w:r>
          </w:p>
        </w:tc>
        <w:tc>
          <w:tcPr>
            <w:tcW w:w="2510" w:type="dxa"/>
          </w:tcPr>
          <w:p>
            <w:pPr>
              <w:pStyle w:val="TableParagraph"/>
              <w:spacing w:before="45"/>
              <w:ind w:left="192" w:right="220"/>
              <w:rPr>
                <w:sz w:val="20"/>
              </w:rPr>
            </w:pPr>
            <w:r>
              <w:rPr>
                <w:sz w:val="20"/>
              </w:rPr>
              <w:t>Болезни</w:t>
            </w:r>
            <w:r>
              <w:rPr>
                <w:spacing w:val="-13"/>
                <w:sz w:val="20"/>
              </w:rPr>
              <w:t> </w:t>
            </w:r>
            <w:r>
              <w:rPr>
                <w:sz w:val="20"/>
              </w:rPr>
              <w:t>предстательной </w:t>
            </w:r>
            <w:r>
              <w:rPr>
                <w:spacing w:val="-2"/>
                <w:sz w:val="20"/>
              </w:rPr>
              <w:t>железы</w:t>
            </w:r>
          </w:p>
        </w:tc>
        <w:tc>
          <w:tcPr>
            <w:tcW w:w="5126" w:type="dxa"/>
          </w:tcPr>
          <w:p>
            <w:pPr>
              <w:pStyle w:val="TableParagraph"/>
              <w:spacing w:before="45"/>
              <w:ind w:left="303"/>
              <w:rPr>
                <w:sz w:val="20"/>
              </w:rPr>
            </w:pPr>
            <w:r>
              <w:rPr>
                <w:sz w:val="20"/>
              </w:rPr>
              <w:t>N40,</w:t>
            </w:r>
            <w:r>
              <w:rPr>
                <w:spacing w:val="-5"/>
                <w:sz w:val="20"/>
              </w:rPr>
              <w:t> </w:t>
            </w:r>
            <w:r>
              <w:rPr>
                <w:sz w:val="20"/>
              </w:rPr>
              <w:t>N41,</w:t>
            </w:r>
            <w:r>
              <w:rPr>
                <w:spacing w:val="-6"/>
                <w:sz w:val="20"/>
              </w:rPr>
              <w:t> </w:t>
            </w:r>
            <w:r>
              <w:rPr>
                <w:sz w:val="20"/>
              </w:rPr>
              <w:t>N41.0,</w:t>
            </w:r>
            <w:r>
              <w:rPr>
                <w:spacing w:val="-4"/>
                <w:sz w:val="20"/>
              </w:rPr>
              <w:t> </w:t>
            </w:r>
            <w:r>
              <w:rPr>
                <w:sz w:val="20"/>
              </w:rPr>
              <w:t>N41.1,</w:t>
            </w:r>
            <w:r>
              <w:rPr>
                <w:spacing w:val="-5"/>
                <w:sz w:val="20"/>
              </w:rPr>
              <w:t> </w:t>
            </w:r>
            <w:r>
              <w:rPr>
                <w:sz w:val="20"/>
              </w:rPr>
              <w:t>N41.2,</w:t>
            </w:r>
            <w:r>
              <w:rPr>
                <w:spacing w:val="-4"/>
                <w:sz w:val="20"/>
              </w:rPr>
              <w:t> </w:t>
            </w:r>
            <w:r>
              <w:rPr>
                <w:sz w:val="20"/>
              </w:rPr>
              <w:t>N41.3,</w:t>
            </w:r>
            <w:r>
              <w:rPr>
                <w:spacing w:val="-4"/>
                <w:sz w:val="20"/>
              </w:rPr>
              <w:t> </w:t>
            </w:r>
            <w:r>
              <w:rPr>
                <w:spacing w:val="-2"/>
                <w:sz w:val="20"/>
              </w:rPr>
              <w:t>N41.8,</w:t>
            </w:r>
          </w:p>
          <w:p>
            <w:pPr>
              <w:pStyle w:val="TableParagraph"/>
              <w:ind w:left="1444" w:right="459" w:hanging="1215"/>
              <w:rPr>
                <w:sz w:val="20"/>
              </w:rPr>
            </w:pPr>
            <w:r>
              <w:rPr>
                <w:sz w:val="20"/>
              </w:rPr>
              <w:t>N41.9,</w:t>
            </w:r>
            <w:r>
              <w:rPr>
                <w:spacing w:val="-8"/>
                <w:sz w:val="20"/>
              </w:rPr>
              <w:t> </w:t>
            </w:r>
            <w:r>
              <w:rPr>
                <w:sz w:val="20"/>
              </w:rPr>
              <w:t>N42,</w:t>
            </w:r>
            <w:r>
              <w:rPr>
                <w:spacing w:val="-8"/>
                <w:sz w:val="20"/>
              </w:rPr>
              <w:t> </w:t>
            </w:r>
            <w:r>
              <w:rPr>
                <w:sz w:val="20"/>
              </w:rPr>
              <w:t>N42.0,</w:t>
            </w:r>
            <w:r>
              <w:rPr>
                <w:spacing w:val="-8"/>
                <w:sz w:val="20"/>
              </w:rPr>
              <w:t> </w:t>
            </w:r>
            <w:r>
              <w:rPr>
                <w:sz w:val="20"/>
              </w:rPr>
              <w:t>N42.1,</w:t>
            </w:r>
            <w:r>
              <w:rPr>
                <w:spacing w:val="-8"/>
                <w:sz w:val="20"/>
              </w:rPr>
              <w:t> </w:t>
            </w:r>
            <w:r>
              <w:rPr>
                <w:sz w:val="20"/>
              </w:rPr>
              <w:t>N42.2,</w:t>
            </w:r>
            <w:r>
              <w:rPr>
                <w:spacing w:val="-8"/>
                <w:sz w:val="20"/>
              </w:rPr>
              <w:t> </w:t>
            </w:r>
            <w:r>
              <w:rPr>
                <w:sz w:val="20"/>
              </w:rPr>
              <w:t>N42.3,</w:t>
            </w:r>
            <w:r>
              <w:rPr>
                <w:spacing w:val="-8"/>
                <w:sz w:val="20"/>
              </w:rPr>
              <w:t> </w:t>
            </w:r>
            <w:r>
              <w:rPr>
                <w:sz w:val="20"/>
              </w:rPr>
              <w:t>N42.8, N42.9, N51, N51.0</w:t>
            </w:r>
          </w:p>
        </w:tc>
        <w:tc>
          <w:tcPr>
            <w:tcW w:w="2102" w:type="dxa"/>
          </w:tcPr>
          <w:p>
            <w:pPr>
              <w:pStyle w:val="TableParagraph"/>
              <w:spacing w:before="45"/>
              <w:ind w:left="931"/>
              <w:rPr>
                <w:sz w:val="20"/>
              </w:rPr>
            </w:pPr>
            <w:r>
              <w:rPr>
                <w:w w:val="99"/>
                <w:sz w:val="20"/>
              </w:rPr>
              <w:t>-</w:t>
            </w:r>
          </w:p>
        </w:tc>
        <w:tc>
          <w:tcPr>
            <w:tcW w:w="2922" w:type="dxa"/>
          </w:tcPr>
          <w:p>
            <w:pPr>
              <w:pStyle w:val="TableParagraph"/>
              <w:spacing w:before="45"/>
              <w:ind w:left="535"/>
              <w:jc w:val="center"/>
              <w:rPr>
                <w:sz w:val="20"/>
              </w:rPr>
            </w:pPr>
            <w:r>
              <w:rPr>
                <w:w w:val="99"/>
                <w:sz w:val="20"/>
              </w:rPr>
              <w:t>-</w:t>
            </w:r>
          </w:p>
        </w:tc>
        <w:tc>
          <w:tcPr>
            <w:tcW w:w="962" w:type="dxa"/>
          </w:tcPr>
          <w:p>
            <w:pPr>
              <w:pStyle w:val="TableParagraph"/>
              <w:spacing w:before="45"/>
              <w:ind w:right="49"/>
              <w:jc w:val="right"/>
              <w:rPr>
                <w:sz w:val="20"/>
              </w:rPr>
            </w:pPr>
            <w:r>
              <w:rPr>
                <w:spacing w:val="-4"/>
                <w:sz w:val="20"/>
              </w:rPr>
              <w:t>0,73</w:t>
            </w:r>
          </w:p>
        </w:tc>
      </w:tr>
      <w:tr>
        <w:trPr>
          <w:trHeight w:val="279" w:hRule="atLeast"/>
        </w:trPr>
        <w:tc>
          <w:tcPr>
            <w:tcW w:w="946" w:type="dxa"/>
          </w:tcPr>
          <w:p>
            <w:pPr>
              <w:pStyle w:val="TableParagraph"/>
              <w:spacing w:line="214" w:lineRule="exact" w:before="46"/>
              <w:ind w:left="50"/>
              <w:rPr>
                <w:sz w:val="20"/>
              </w:rPr>
            </w:pPr>
            <w:r>
              <w:rPr>
                <w:spacing w:val="-2"/>
                <w:sz w:val="20"/>
              </w:rPr>
              <w:t>st30.005</w:t>
            </w:r>
          </w:p>
        </w:tc>
        <w:tc>
          <w:tcPr>
            <w:tcW w:w="707" w:type="dxa"/>
          </w:tcPr>
          <w:p>
            <w:pPr>
              <w:pStyle w:val="TableParagraph"/>
              <w:spacing w:line="214" w:lineRule="exact" w:before="46"/>
              <w:ind w:left="210"/>
              <w:rPr>
                <w:sz w:val="20"/>
              </w:rPr>
            </w:pPr>
            <w:r>
              <w:rPr>
                <w:spacing w:val="-5"/>
                <w:sz w:val="20"/>
              </w:rPr>
              <w:t>286</w:t>
            </w:r>
          </w:p>
        </w:tc>
        <w:tc>
          <w:tcPr>
            <w:tcW w:w="2510" w:type="dxa"/>
          </w:tcPr>
          <w:p>
            <w:pPr>
              <w:pStyle w:val="TableParagraph"/>
              <w:spacing w:line="214" w:lineRule="exact" w:before="46"/>
              <w:ind w:left="192"/>
              <w:rPr>
                <w:sz w:val="20"/>
              </w:rPr>
            </w:pPr>
            <w:r>
              <w:rPr>
                <w:sz w:val="20"/>
              </w:rPr>
              <w:t>Другие</w:t>
            </w:r>
            <w:r>
              <w:rPr>
                <w:spacing w:val="-10"/>
                <w:sz w:val="20"/>
              </w:rPr>
              <w:t> </w:t>
            </w:r>
            <w:r>
              <w:rPr>
                <w:spacing w:val="-2"/>
                <w:sz w:val="20"/>
              </w:rPr>
              <w:t>болезни,</w:t>
            </w:r>
          </w:p>
        </w:tc>
        <w:tc>
          <w:tcPr>
            <w:tcW w:w="5126" w:type="dxa"/>
          </w:tcPr>
          <w:p>
            <w:pPr>
              <w:pStyle w:val="TableParagraph"/>
              <w:spacing w:line="214" w:lineRule="exact" w:before="46"/>
              <w:ind w:left="231"/>
              <w:rPr>
                <w:sz w:val="20"/>
              </w:rPr>
            </w:pPr>
            <w:r>
              <w:rPr>
                <w:sz w:val="20"/>
              </w:rPr>
              <w:t>I86.1,</w:t>
            </w:r>
            <w:r>
              <w:rPr>
                <w:spacing w:val="-6"/>
                <w:sz w:val="20"/>
              </w:rPr>
              <w:t> </w:t>
            </w:r>
            <w:r>
              <w:rPr>
                <w:sz w:val="20"/>
              </w:rPr>
              <w:t>I86.2,</w:t>
            </w:r>
            <w:r>
              <w:rPr>
                <w:spacing w:val="-6"/>
                <w:sz w:val="20"/>
              </w:rPr>
              <w:t> </w:t>
            </w:r>
            <w:r>
              <w:rPr>
                <w:sz w:val="20"/>
              </w:rPr>
              <w:t>N13.4,</w:t>
            </w:r>
            <w:r>
              <w:rPr>
                <w:spacing w:val="-6"/>
                <w:sz w:val="20"/>
              </w:rPr>
              <w:t> </w:t>
            </w:r>
            <w:r>
              <w:rPr>
                <w:sz w:val="20"/>
              </w:rPr>
              <w:t>N13.5,</w:t>
            </w:r>
            <w:r>
              <w:rPr>
                <w:spacing w:val="-6"/>
                <w:sz w:val="20"/>
              </w:rPr>
              <w:t> </w:t>
            </w:r>
            <w:r>
              <w:rPr>
                <w:sz w:val="20"/>
              </w:rPr>
              <w:t>N13.7,</w:t>
            </w:r>
            <w:r>
              <w:rPr>
                <w:spacing w:val="-6"/>
                <w:sz w:val="20"/>
              </w:rPr>
              <w:t> </w:t>
            </w:r>
            <w:r>
              <w:rPr>
                <w:sz w:val="20"/>
              </w:rPr>
              <w:t>N13.8,</w:t>
            </w:r>
            <w:r>
              <w:rPr>
                <w:spacing w:val="-6"/>
                <w:sz w:val="20"/>
              </w:rPr>
              <w:t> </w:t>
            </w:r>
            <w:r>
              <w:rPr>
                <w:spacing w:val="-2"/>
                <w:sz w:val="20"/>
              </w:rPr>
              <w:t>N13.9,</w:t>
            </w:r>
          </w:p>
        </w:tc>
        <w:tc>
          <w:tcPr>
            <w:tcW w:w="2102" w:type="dxa"/>
          </w:tcPr>
          <w:p>
            <w:pPr>
              <w:pStyle w:val="TableParagraph"/>
              <w:spacing w:line="214" w:lineRule="exact" w:before="46"/>
              <w:ind w:left="931"/>
              <w:rPr>
                <w:sz w:val="20"/>
              </w:rPr>
            </w:pPr>
            <w:r>
              <w:rPr>
                <w:w w:val="99"/>
                <w:sz w:val="20"/>
              </w:rPr>
              <w:t>-</w:t>
            </w:r>
          </w:p>
        </w:tc>
        <w:tc>
          <w:tcPr>
            <w:tcW w:w="2922" w:type="dxa"/>
          </w:tcPr>
          <w:p>
            <w:pPr>
              <w:pStyle w:val="TableParagraph"/>
              <w:spacing w:line="214" w:lineRule="exact" w:before="46"/>
              <w:ind w:left="1086" w:right="550"/>
              <w:jc w:val="center"/>
              <w:rPr>
                <w:sz w:val="20"/>
              </w:rPr>
            </w:pPr>
            <w:r>
              <w:rPr>
                <w:sz w:val="20"/>
              </w:rPr>
              <w:t>Пол:</w:t>
            </w:r>
            <w:r>
              <w:rPr>
                <w:spacing w:val="-6"/>
                <w:sz w:val="20"/>
              </w:rPr>
              <w:t> </w:t>
            </w:r>
            <w:r>
              <w:rPr>
                <w:spacing w:val="-2"/>
                <w:sz w:val="20"/>
              </w:rPr>
              <w:t>Мужской</w:t>
            </w:r>
          </w:p>
        </w:tc>
        <w:tc>
          <w:tcPr>
            <w:tcW w:w="962" w:type="dxa"/>
          </w:tcPr>
          <w:p>
            <w:pPr>
              <w:pStyle w:val="TableParagraph"/>
              <w:spacing w:line="214" w:lineRule="exact" w:before="46"/>
              <w:ind w:right="49"/>
              <w:jc w:val="right"/>
              <w:rPr>
                <w:sz w:val="20"/>
              </w:rPr>
            </w:pPr>
            <w:r>
              <w:rPr>
                <w:spacing w:val="-4"/>
                <w:sz w:val="20"/>
              </w:rPr>
              <w:t>0,67</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09" w:lineRule="exact"/>
              <w:ind w:left="192"/>
              <w:rPr>
                <w:sz w:val="20"/>
              </w:rPr>
            </w:pPr>
            <w:r>
              <w:rPr>
                <w:spacing w:val="-2"/>
                <w:sz w:val="20"/>
              </w:rPr>
              <w:t>врожденные</w:t>
            </w:r>
            <w:r>
              <w:rPr>
                <w:spacing w:val="7"/>
                <w:sz w:val="20"/>
              </w:rPr>
              <w:t> </w:t>
            </w:r>
            <w:r>
              <w:rPr>
                <w:spacing w:val="-2"/>
                <w:sz w:val="20"/>
              </w:rPr>
              <w:t>аномалии,</w:t>
            </w:r>
          </w:p>
        </w:tc>
        <w:tc>
          <w:tcPr>
            <w:tcW w:w="5126" w:type="dxa"/>
          </w:tcPr>
          <w:p>
            <w:pPr>
              <w:pStyle w:val="TableParagraph"/>
              <w:spacing w:line="209" w:lineRule="exact"/>
              <w:ind w:left="303"/>
              <w:rPr>
                <w:sz w:val="20"/>
              </w:rPr>
            </w:pPr>
            <w:r>
              <w:rPr>
                <w:sz w:val="20"/>
              </w:rPr>
              <w:t>N14,</w:t>
            </w:r>
            <w:r>
              <w:rPr>
                <w:spacing w:val="-6"/>
                <w:sz w:val="20"/>
              </w:rPr>
              <w:t> </w:t>
            </w:r>
            <w:r>
              <w:rPr>
                <w:sz w:val="20"/>
              </w:rPr>
              <w:t>N14.0,</w:t>
            </w:r>
            <w:r>
              <w:rPr>
                <w:spacing w:val="-6"/>
                <w:sz w:val="20"/>
              </w:rPr>
              <w:t> </w:t>
            </w:r>
            <w:r>
              <w:rPr>
                <w:sz w:val="20"/>
              </w:rPr>
              <w:t>N14.1,</w:t>
            </w:r>
            <w:r>
              <w:rPr>
                <w:spacing w:val="-5"/>
                <w:sz w:val="20"/>
              </w:rPr>
              <w:t> </w:t>
            </w:r>
            <w:r>
              <w:rPr>
                <w:sz w:val="20"/>
              </w:rPr>
              <w:t>N14.2,</w:t>
            </w:r>
            <w:r>
              <w:rPr>
                <w:spacing w:val="-6"/>
                <w:sz w:val="20"/>
              </w:rPr>
              <w:t> </w:t>
            </w:r>
            <w:r>
              <w:rPr>
                <w:sz w:val="20"/>
              </w:rPr>
              <w:t>N14.3,</w:t>
            </w:r>
            <w:r>
              <w:rPr>
                <w:spacing w:val="-5"/>
                <w:sz w:val="20"/>
              </w:rPr>
              <w:t> </w:t>
            </w:r>
            <w:r>
              <w:rPr>
                <w:sz w:val="20"/>
              </w:rPr>
              <w:t>N14.4,</w:t>
            </w:r>
            <w:r>
              <w:rPr>
                <w:spacing w:val="-6"/>
                <w:sz w:val="20"/>
              </w:rPr>
              <w:t> </w:t>
            </w:r>
            <w:r>
              <w:rPr>
                <w:spacing w:val="-4"/>
                <w:sz w:val="20"/>
              </w:rPr>
              <w:t>N25,</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10" w:lineRule="exact"/>
              <w:ind w:left="192"/>
              <w:rPr>
                <w:sz w:val="20"/>
              </w:rPr>
            </w:pPr>
            <w:r>
              <w:rPr>
                <w:spacing w:val="-2"/>
                <w:sz w:val="20"/>
              </w:rPr>
              <w:t>повреждения</w:t>
            </w:r>
            <w:r>
              <w:rPr>
                <w:spacing w:val="7"/>
                <w:sz w:val="20"/>
              </w:rPr>
              <w:t> </w:t>
            </w:r>
            <w:r>
              <w:rPr>
                <w:spacing w:val="-2"/>
                <w:sz w:val="20"/>
              </w:rPr>
              <w:t>мочевой</w:t>
            </w:r>
          </w:p>
        </w:tc>
        <w:tc>
          <w:tcPr>
            <w:tcW w:w="5126" w:type="dxa"/>
          </w:tcPr>
          <w:p>
            <w:pPr>
              <w:pStyle w:val="TableParagraph"/>
              <w:spacing w:line="210" w:lineRule="exact"/>
              <w:ind w:left="303"/>
              <w:rPr>
                <w:sz w:val="20"/>
              </w:rPr>
            </w:pPr>
            <w:r>
              <w:rPr>
                <w:sz w:val="20"/>
              </w:rPr>
              <w:t>N25.0,</w:t>
            </w:r>
            <w:r>
              <w:rPr>
                <w:spacing w:val="-5"/>
                <w:sz w:val="20"/>
              </w:rPr>
              <w:t> </w:t>
            </w:r>
            <w:r>
              <w:rPr>
                <w:sz w:val="20"/>
              </w:rPr>
              <w:t>N25.9,</w:t>
            </w:r>
            <w:r>
              <w:rPr>
                <w:spacing w:val="-6"/>
                <w:sz w:val="20"/>
              </w:rPr>
              <w:t> </w:t>
            </w:r>
            <w:r>
              <w:rPr>
                <w:sz w:val="20"/>
              </w:rPr>
              <w:t>N26,</w:t>
            </w:r>
            <w:r>
              <w:rPr>
                <w:spacing w:val="-4"/>
                <w:sz w:val="20"/>
              </w:rPr>
              <w:t> </w:t>
            </w:r>
            <w:r>
              <w:rPr>
                <w:sz w:val="20"/>
              </w:rPr>
              <w:t>N27,</w:t>
            </w:r>
            <w:r>
              <w:rPr>
                <w:spacing w:val="-5"/>
                <w:sz w:val="20"/>
              </w:rPr>
              <w:t> </w:t>
            </w:r>
            <w:r>
              <w:rPr>
                <w:sz w:val="20"/>
              </w:rPr>
              <w:t>N27.0,</w:t>
            </w:r>
            <w:r>
              <w:rPr>
                <w:spacing w:val="-4"/>
                <w:sz w:val="20"/>
              </w:rPr>
              <w:t> </w:t>
            </w:r>
            <w:r>
              <w:rPr>
                <w:sz w:val="20"/>
              </w:rPr>
              <w:t>N27.1,</w:t>
            </w:r>
            <w:r>
              <w:rPr>
                <w:spacing w:val="-4"/>
                <w:sz w:val="20"/>
              </w:rPr>
              <w:t> </w:t>
            </w:r>
            <w:r>
              <w:rPr>
                <w:spacing w:val="-2"/>
                <w:sz w:val="20"/>
              </w:rPr>
              <w:t>N27.9,</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11" w:lineRule="exact"/>
              <w:ind w:left="192"/>
              <w:rPr>
                <w:sz w:val="20"/>
              </w:rPr>
            </w:pPr>
            <w:r>
              <w:rPr>
                <w:sz w:val="20"/>
              </w:rPr>
              <w:t>системы</w:t>
            </w:r>
            <w:r>
              <w:rPr>
                <w:spacing w:val="-5"/>
                <w:sz w:val="20"/>
              </w:rPr>
              <w:t> </w:t>
            </w:r>
            <w:r>
              <w:rPr>
                <w:sz w:val="20"/>
              </w:rPr>
              <w:t>и</w:t>
            </w:r>
            <w:r>
              <w:rPr>
                <w:spacing w:val="-5"/>
                <w:sz w:val="20"/>
              </w:rPr>
              <w:t> </w:t>
            </w:r>
            <w:r>
              <w:rPr>
                <w:spacing w:val="-2"/>
                <w:sz w:val="20"/>
              </w:rPr>
              <w:t>мужских</w:t>
            </w:r>
          </w:p>
        </w:tc>
        <w:tc>
          <w:tcPr>
            <w:tcW w:w="5126" w:type="dxa"/>
          </w:tcPr>
          <w:p>
            <w:pPr>
              <w:pStyle w:val="TableParagraph"/>
              <w:spacing w:line="211" w:lineRule="exact"/>
              <w:ind w:left="229"/>
              <w:rPr>
                <w:sz w:val="20"/>
              </w:rPr>
            </w:pPr>
            <w:r>
              <w:rPr>
                <w:sz w:val="20"/>
              </w:rPr>
              <w:t>N28,</w:t>
            </w:r>
            <w:r>
              <w:rPr>
                <w:spacing w:val="-6"/>
                <w:sz w:val="20"/>
              </w:rPr>
              <w:t> </w:t>
            </w:r>
            <w:r>
              <w:rPr>
                <w:sz w:val="20"/>
              </w:rPr>
              <w:t>N28.0,</w:t>
            </w:r>
            <w:r>
              <w:rPr>
                <w:spacing w:val="-6"/>
                <w:sz w:val="20"/>
              </w:rPr>
              <w:t> </w:t>
            </w:r>
            <w:r>
              <w:rPr>
                <w:sz w:val="20"/>
              </w:rPr>
              <w:t>N28.1,</w:t>
            </w:r>
            <w:r>
              <w:rPr>
                <w:spacing w:val="-5"/>
                <w:sz w:val="20"/>
              </w:rPr>
              <w:t> </w:t>
            </w:r>
            <w:r>
              <w:rPr>
                <w:sz w:val="20"/>
              </w:rPr>
              <w:t>N28.8,</w:t>
            </w:r>
            <w:r>
              <w:rPr>
                <w:spacing w:val="-6"/>
                <w:sz w:val="20"/>
              </w:rPr>
              <w:t> </w:t>
            </w:r>
            <w:r>
              <w:rPr>
                <w:sz w:val="20"/>
              </w:rPr>
              <w:t>N28.9,</w:t>
            </w:r>
            <w:r>
              <w:rPr>
                <w:spacing w:val="-5"/>
                <w:sz w:val="20"/>
              </w:rPr>
              <w:t> </w:t>
            </w:r>
            <w:r>
              <w:rPr>
                <w:sz w:val="20"/>
              </w:rPr>
              <w:t>N29.1,</w:t>
            </w:r>
            <w:r>
              <w:rPr>
                <w:spacing w:val="-6"/>
                <w:sz w:val="20"/>
              </w:rPr>
              <w:t> </w:t>
            </w:r>
            <w:r>
              <w:rPr>
                <w:spacing w:val="-2"/>
                <w:sz w:val="20"/>
              </w:rPr>
              <w:t>N29.8,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11" w:lineRule="exact"/>
              <w:ind w:left="192"/>
              <w:rPr>
                <w:sz w:val="20"/>
              </w:rPr>
            </w:pPr>
            <w:r>
              <w:rPr>
                <w:sz w:val="20"/>
              </w:rPr>
              <w:t>половых</w:t>
            </w:r>
            <w:r>
              <w:rPr>
                <w:spacing w:val="-9"/>
                <w:sz w:val="20"/>
              </w:rPr>
              <w:t> </w:t>
            </w:r>
            <w:r>
              <w:rPr>
                <w:spacing w:val="-2"/>
                <w:sz w:val="20"/>
              </w:rPr>
              <w:t>органов</w:t>
            </w:r>
          </w:p>
        </w:tc>
        <w:tc>
          <w:tcPr>
            <w:tcW w:w="5126" w:type="dxa"/>
          </w:tcPr>
          <w:p>
            <w:pPr>
              <w:pStyle w:val="TableParagraph"/>
              <w:spacing w:line="211" w:lineRule="exact"/>
              <w:ind w:left="303"/>
              <w:rPr>
                <w:sz w:val="20"/>
              </w:rPr>
            </w:pPr>
            <w:r>
              <w:rPr>
                <w:sz w:val="20"/>
              </w:rPr>
              <w:t>N31,</w:t>
            </w:r>
            <w:r>
              <w:rPr>
                <w:spacing w:val="-6"/>
                <w:sz w:val="20"/>
              </w:rPr>
              <w:t> </w:t>
            </w:r>
            <w:r>
              <w:rPr>
                <w:sz w:val="20"/>
              </w:rPr>
              <w:t>N31.0,</w:t>
            </w:r>
            <w:r>
              <w:rPr>
                <w:spacing w:val="-6"/>
                <w:sz w:val="20"/>
              </w:rPr>
              <w:t> </w:t>
            </w:r>
            <w:r>
              <w:rPr>
                <w:sz w:val="20"/>
              </w:rPr>
              <w:t>N31.1,</w:t>
            </w:r>
            <w:r>
              <w:rPr>
                <w:spacing w:val="-5"/>
                <w:sz w:val="20"/>
              </w:rPr>
              <w:t> </w:t>
            </w:r>
            <w:r>
              <w:rPr>
                <w:sz w:val="20"/>
              </w:rPr>
              <w:t>N31.2,</w:t>
            </w:r>
            <w:r>
              <w:rPr>
                <w:spacing w:val="-6"/>
                <w:sz w:val="20"/>
              </w:rPr>
              <w:t> </w:t>
            </w:r>
            <w:r>
              <w:rPr>
                <w:sz w:val="20"/>
              </w:rPr>
              <w:t>N31.8,</w:t>
            </w:r>
            <w:r>
              <w:rPr>
                <w:spacing w:val="-5"/>
                <w:sz w:val="20"/>
              </w:rPr>
              <w:t> </w:t>
            </w:r>
            <w:r>
              <w:rPr>
                <w:sz w:val="20"/>
              </w:rPr>
              <w:t>N31.9,</w:t>
            </w:r>
            <w:r>
              <w:rPr>
                <w:spacing w:val="-6"/>
                <w:sz w:val="20"/>
              </w:rPr>
              <w:t> </w:t>
            </w:r>
            <w:r>
              <w:rPr>
                <w:spacing w:val="-4"/>
                <w:sz w:val="20"/>
              </w:rPr>
              <w:t>N32,</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450"/>
              <w:rPr>
                <w:sz w:val="20"/>
              </w:rPr>
            </w:pPr>
            <w:r>
              <w:rPr>
                <w:sz w:val="20"/>
              </w:rPr>
              <w:t>N32.0,</w:t>
            </w:r>
            <w:r>
              <w:rPr>
                <w:spacing w:val="-4"/>
                <w:sz w:val="20"/>
              </w:rPr>
              <w:t> </w:t>
            </w:r>
            <w:r>
              <w:rPr>
                <w:sz w:val="20"/>
              </w:rPr>
              <w:t>N32.1,</w:t>
            </w:r>
            <w:r>
              <w:rPr>
                <w:spacing w:val="-5"/>
                <w:sz w:val="20"/>
              </w:rPr>
              <w:t> </w:t>
            </w:r>
            <w:r>
              <w:rPr>
                <w:sz w:val="20"/>
              </w:rPr>
              <w:t>N32.2,</w:t>
            </w:r>
            <w:r>
              <w:rPr>
                <w:spacing w:val="-3"/>
                <w:sz w:val="20"/>
              </w:rPr>
              <w:t> </w:t>
            </w:r>
            <w:r>
              <w:rPr>
                <w:sz w:val="20"/>
              </w:rPr>
              <w:t>N32.3,</w:t>
            </w:r>
            <w:r>
              <w:rPr>
                <w:spacing w:val="-5"/>
                <w:sz w:val="20"/>
              </w:rPr>
              <w:t> </w:t>
            </w:r>
            <w:r>
              <w:rPr>
                <w:sz w:val="20"/>
              </w:rPr>
              <w:t>N32.4,</w:t>
            </w:r>
            <w:r>
              <w:rPr>
                <w:spacing w:val="-3"/>
                <w:sz w:val="20"/>
              </w:rPr>
              <w:t> </w:t>
            </w:r>
            <w:r>
              <w:rPr>
                <w:spacing w:val="-2"/>
                <w:sz w:val="20"/>
              </w:rPr>
              <w:t>N32.8,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9"/>
              <w:rPr>
                <w:sz w:val="20"/>
              </w:rPr>
            </w:pPr>
            <w:r>
              <w:rPr>
                <w:sz w:val="20"/>
              </w:rPr>
              <w:t>N32.9,</w:t>
            </w:r>
            <w:r>
              <w:rPr>
                <w:spacing w:val="-6"/>
                <w:sz w:val="20"/>
              </w:rPr>
              <w:t> </w:t>
            </w:r>
            <w:r>
              <w:rPr>
                <w:sz w:val="20"/>
              </w:rPr>
              <w:t>N36,</w:t>
            </w:r>
            <w:r>
              <w:rPr>
                <w:spacing w:val="-6"/>
                <w:sz w:val="20"/>
              </w:rPr>
              <w:t> </w:t>
            </w:r>
            <w:r>
              <w:rPr>
                <w:sz w:val="20"/>
              </w:rPr>
              <w:t>N36.0,</w:t>
            </w:r>
            <w:r>
              <w:rPr>
                <w:spacing w:val="-5"/>
                <w:sz w:val="20"/>
              </w:rPr>
              <w:t> </w:t>
            </w:r>
            <w:r>
              <w:rPr>
                <w:sz w:val="20"/>
              </w:rPr>
              <w:t>N36.1,</w:t>
            </w:r>
            <w:r>
              <w:rPr>
                <w:spacing w:val="-6"/>
                <w:sz w:val="20"/>
              </w:rPr>
              <w:t> </w:t>
            </w:r>
            <w:r>
              <w:rPr>
                <w:sz w:val="20"/>
              </w:rPr>
              <w:t>N36.2,</w:t>
            </w:r>
            <w:r>
              <w:rPr>
                <w:spacing w:val="-5"/>
                <w:sz w:val="20"/>
              </w:rPr>
              <w:t> </w:t>
            </w:r>
            <w:r>
              <w:rPr>
                <w:sz w:val="20"/>
              </w:rPr>
              <w:t>N36.3,</w:t>
            </w:r>
            <w:r>
              <w:rPr>
                <w:spacing w:val="-6"/>
                <w:sz w:val="20"/>
              </w:rPr>
              <w:t> </w:t>
            </w:r>
            <w:r>
              <w:rPr>
                <w:spacing w:val="-2"/>
                <w:sz w:val="20"/>
              </w:rPr>
              <w:t>N36.8,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9"/>
              <w:rPr>
                <w:sz w:val="20"/>
              </w:rPr>
            </w:pPr>
            <w:r>
              <w:rPr>
                <w:sz w:val="20"/>
              </w:rPr>
              <w:t>N36.9,</w:t>
            </w:r>
            <w:r>
              <w:rPr>
                <w:spacing w:val="-6"/>
                <w:sz w:val="20"/>
              </w:rPr>
              <w:t> </w:t>
            </w:r>
            <w:r>
              <w:rPr>
                <w:sz w:val="20"/>
              </w:rPr>
              <w:t>N37,</w:t>
            </w:r>
            <w:r>
              <w:rPr>
                <w:spacing w:val="-6"/>
                <w:sz w:val="20"/>
              </w:rPr>
              <w:t> </w:t>
            </w:r>
            <w:r>
              <w:rPr>
                <w:sz w:val="20"/>
              </w:rPr>
              <w:t>N37.0,</w:t>
            </w:r>
            <w:r>
              <w:rPr>
                <w:spacing w:val="-5"/>
                <w:sz w:val="20"/>
              </w:rPr>
              <w:t> </w:t>
            </w:r>
            <w:r>
              <w:rPr>
                <w:sz w:val="20"/>
              </w:rPr>
              <w:t>N37.8,</w:t>
            </w:r>
            <w:r>
              <w:rPr>
                <w:spacing w:val="-6"/>
                <w:sz w:val="20"/>
              </w:rPr>
              <w:t> </w:t>
            </w:r>
            <w:r>
              <w:rPr>
                <w:sz w:val="20"/>
              </w:rPr>
              <w:t>N39.1,</w:t>
            </w:r>
            <w:r>
              <w:rPr>
                <w:spacing w:val="-5"/>
                <w:sz w:val="20"/>
              </w:rPr>
              <w:t> </w:t>
            </w:r>
            <w:r>
              <w:rPr>
                <w:sz w:val="20"/>
              </w:rPr>
              <w:t>N39.2,</w:t>
            </w:r>
            <w:r>
              <w:rPr>
                <w:spacing w:val="-6"/>
                <w:sz w:val="20"/>
              </w:rPr>
              <w:t> </w:t>
            </w:r>
            <w:r>
              <w:rPr>
                <w:spacing w:val="-2"/>
                <w:sz w:val="20"/>
              </w:rPr>
              <w:t>N39.3,</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9"/>
              <w:rPr>
                <w:sz w:val="20"/>
              </w:rPr>
            </w:pPr>
            <w:r>
              <w:rPr>
                <w:sz w:val="20"/>
              </w:rPr>
              <w:t>N39.4,</w:t>
            </w:r>
            <w:r>
              <w:rPr>
                <w:spacing w:val="-6"/>
                <w:sz w:val="20"/>
              </w:rPr>
              <w:t> </w:t>
            </w:r>
            <w:r>
              <w:rPr>
                <w:sz w:val="20"/>
              </w:rPr>
              <w:t>N39.8,</w:t>
            </w:r>
            <w:r>
              <w:rPr>
                <w:spacing w:val="-6"/>
                <w:sz w:val="20"/>
              </w:rPr>
              <w:t> </w:t>
            </w:r>
            <w:r>
              <w:rPr>
                <w:sz w:val="20"/>
              </w:rPr>
              <w:t>N39.9,</w:t>
            </w:r>
            <w:r>
              <w:rPr>
                <w:spacing w:val="-5"/>
                <w:sz w:val="20"/>
              </w:rPr>
              <w:t> </w:t>
            </w:r>
            <w:r>
              <w:rPr>
                <w:sz w:val="20"/>
              </w:rPr>
              <w:t>N43,</w:t>
            </w:r>
            <w:r>
              <w:rPr>
                <w:spacing w:val="-6"/>
                <w:sz w:val="20"/>
              </w:rPr>
              <w:t> </w:t>
            </w:r>
            <w:r>
              <w:rPr>
                <w:sz w:val="20"/>
              </w:rPr>
              <w:t>N43.0,</w:t>
            </w:r>
            <w:r>
              <w:rPr>
                <w:spacing w:val="-5"/>
                <w:sz w:val="20"/>
              </w:rPr>
              <w:t> </w:t>
            </w:r>
            <w:r>
              <w:rPr>
                <w:sz w:val="20"/>
              </w:rPr>
              <w:t>N43.1,</w:t>
            </w:r>
            <w:r>
              <w:rPr>
                <w:spacing w:val="-5"/>
                <w:sz w:val="20"/>
              </w:rPr>
              <w:t> </w:t>
            </w:r>
            <w:r>
              <w:rPr>
                <w:spacing w:val="-2"/>
                <w:sz w:val="20"/>
              </w:rPr>
              <w:t>N43.2,</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378"/>
              <w:rPr>
                <w:sz w:val="20"/>
              </w:rPr>
            </w:pPr>
            <w:r>
              <w:rPr>
                <w:sz w:val="20"/>
              </w:rPr>
              <w:t>N43.3,</w:t>
            </w:r>
            <w:r>
              <w:rPr>
                <w:spacing w:val="-5"/>
                <w:sz w:val="20"/>
              </w:rPr>
              <w:t> </w:t>
            </w:r>
            <w:r>
              <w:rPr>
                <w:sz w:val="20"/>
              </w:rPr>
              <w:t>N43.4,</w:t>
            </w:r>
            <w:r>
              <w:rPr>
                <w:spacing w:val="-6"/>
                <w:sz w:val="20"/>
              </w:rPr>
              <w:t> </w:t>
            </w:r>
            <w:r>
              <w:rPr>
                <w:sz w:val="20"/>
              </w:rPr>
              <w:t>N44,</w:t>
            </w:r>
            <w:r>
              <w:rPr>
                <w:spacing w:val="-4"/>
                <w:sz w:val="20"/>
              </w:rPr>
              <w:t> </w:t>
            </w:r>
            <w:r>
              <w:rPr>
                <w:sz w:val="20"/>
              </w:rPr>
              <w:t>N45,</w:t>
            </w:r>
            <w:r>
              <w:rPr>
                <w:spacing w:val="-5"/>
                <w:sz w:val="20"/>
              </w:rPr>
              <w:t> </w:t>
            </w:r>
            <w:r>
              <w:rPr>
                <w:sz w:val="20"/>
              </w:rPr>
              <w:t>N45.0,</w:t>
            </w:r>
            <w:r>
              <w:rPr>
                <w:spacing w:val="-4"/>
                <w:sz w:val="20"/>
              </w:rPr>
              <w:t> </w:t>
            </w:r>
            <w:r>
              <w:rPr>
                <w:sz w:val="20"/>
              </w:rPr>
              <w:t>N45.9,</w:t>
            </w:r>
            <w:r>
              <w:rPr>
                <w:spacing w:val="-4"/>
                <w:sz w:val="20"/>
              </w:rPr>
              <w:t> N46,</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303"/>
              <w:rPr>
                <w:sz w:val="20"/>
              </w:rPr>
            </w:pPr>
            <w:r>
              <w:rPr>
                <w:sz w:val="20"/>
              </w:rPr>
              <w:t>N47,</w:t>
            </w:r>
            <w:r>
              <w:rPr>
                <w:spacing w:val="-5"/>
                <w:sz w:val="20"/>
              </w:rPr>
              <w:t> </w:t>
            </w:r>
            <w:r>
              <w:rPr>
                <w:sz w:val="20"/>
              </w:rPr>
              <w:t>N48,</w:t>
            </w:r>
            <w:r>
              <w:rPr>
                <w:spacing w:val="-6"/>
                <w:sz w:val="20"/>
              </w:rPr>
              <w:t> </w:t>
            </w:r>
            <w:r>
              <w:rPr>
                <w:sz w:val="20"/>
              </w:rPr>
              <w:t>N48.0,</w:t>
            </w:r>
            <w:r>
              <w:rPr>
                <w:spacing w:val="-4"/>
                <w:sz w:val="20"/>
              </w:rPr>
              <w:t> </w:t>
            </w:r>
            <w:r>
              <w:rPr>
                <w:sz w:val="20"/>
              </w:rPr>
              <w:t>N48.1,</w:t>
            </w:r>
            <w:r>
              <w:rPr>
                <w:spacing w:val="-5"/>
                <w:sz w:val="20"/>
              </w:rPr>
              <w:t> </w:t>
            </w:r>
            <w:r>
              <w:rPr>
                <w:sz w:val="20"/>
              </w:rPr>
              <w:t>N48.2,</w:t>
            </w:r>
            <w:r>
              <w:rPr>
                <w:spacing w:val="-4"/>
                <w:sz w:val="20"/>
              </w:rPr>
              <w:t> </w:t>
            </w:r>
            <w:r>
              <w:rPr>
                <w:sz w:val="20"/>
              </w:rPr>
              <w:t>N48.3,</w:t>
            </w:r>
            <w:r>
              <w:rPr>
                <w:spacing w:val="-4"/>
                <w:sz w:val="20"/>
              </w:rPr>
              <w:t> </w:t>
            </w:r>
            <w:r>
              <w:rPr>
                <w:spacing w:val="-2"/>
                <w:sz w:val="20"/>
              </w:rPr>
              <w:t>N48.4,</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7"/>
              <w:rPr>
                <w:sz w:val="20"/>
              </w:rPr>
            </w:pPr>
            <w:r>
              <w:rPr>
                <w:sz w:val="20"/>
              </w:rPr>
              <w:t>N48.5,</w:t>
            </w:r>
            <w:r>
              <w:rPr>
                <w:spacing w:val="-4"/>
                <w:sz w:val="20"/>
              </w:rPr>
              <w:t> </w:t>
            </w:r>
            <w:r>
              <w:rPr>
                <w:sz w:val="20"/>
              </w:rPr>
              <w:t>N48.6,</w:t>
            </w:r>
            <w:r>
              <w:rPr>
                <w:spacing w:val="-5"/>
                <w:sz w:val="20"/>
              </w:rPr>
              <w:t> </w:t>
            </w:r>
            <w:r>
              <w:rPr>
                <w:sz w:val="20"/>
              </w:rPr>
              <w:t>N48.8,</w:t>
            </w:r>
            <w:r>
              <w:rPr>
                <w:spacing w:val="-4"/>
                <w:sz w:val="20"/>
              </w:rPr>
              <w:t> </w:t>
            </w:r>
            <w:r>
              <w:rPr>
                <w:sz w:val="20"/>
              </w:rPr>
              <w:t>N48.9,</w:t>
            </w:r>
            <w:r>
              <w:rPr>
                <w:spacing w:val="-6"/>
                <w:sz w:val="20"/>
              </w:rPr>
              <w:t> </w:t>
            </w:r>
            <w:r>
              <w:rPr>
                <w:sz w:val="20"/>
              </w:rPr>
              <w:t>N49,</w:t>
            </w:r>
            <w:r>
              <w:rPr>
                <w:spacing w:val="-3"/>
                <w:sz w:val="20"/>
              </w:rPr>
              <w:t> </w:t>
            </w:r>
            <w:r>
              <w:rPr>
                <w:sz w:val="20"/>
              </w:rPr>
              <w:t>N49.0,</w:t>
            </w:r>
            <w:r>
              <w:rPr>
                <w:spacing w:val="-4"/>
                <w:sz w:val="20"/>
              </w:rPr>
              <w:t> </w:t>
            </w:r>
            <w:r>
              <w:rPr>
                <w:spacing w:val="-2"/>
                <w:sz w:val="20"/>
              </w:rPr>
              <w:t>N49.1,</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9"/>
              <w:rPr>
                <w:sz w:val="20"/>
              </w:rPr>
            </w:pPr>
            <w:r>
              <w:rPr>
                <w:sz w:val="20"/>
              </w:rPr>
              <w:t>N49.2,</w:t>
            </w:r>
            <w:r>
              <w:rPr>
                <w:spacing w:val="-6"/>
                <w:sz w:val="20"/>
              </w:rPr>
              <w:t> </w:t>
            </w:r>
            <w:r>
              <w:rPr>
                <w:sz w:val="20"/>
              </w:rPr>
              <w:t>N49.8,</w:t>
            </w:r>
            <w:r>
              <w:rPr>
                <w:spacing w:val="-6"/>
                <w:sz w:val="20"/>
              </w:rPr>
              <w:t> </w:t>
            </w:r>
            <w:r>
              <w:rPr>
                <w:sz w:val="20"/>
              </w:rPr>
              <w:t>N49.9,</w:t>
            </w:r>
            <w:r>
              <w:rPr>
                <w:spacing w:val="-5"/>
                <w:sz w:val="20"/>
              </w:rPr>
              <w:t> </w:t>
            </w:r>
            <w:r>
              <w:rPr>
                <w:sz w:val="20"/>
              </w:rPr>
              <w:t>N50,</w:t>
            </w:r>
            <w:r>
              <w:rPr>
                <w:spacing w:val="-6"/>
                <w:sz w:val="20"/>
              </w:rPr>
              <w:t> </w:t>
            </w:r>
            <w:r>
              <w:rPr>
                <w:sz w:val="20"/>
              </w:rPr>
              <w:t>N50.0,</w:t>
            </w:r>
            <w:r>
              <w:rPr>
                <w:spacing w:val="-5"/>
                <w:sz w:val="20"/>
              </w:rPr>
              <w:t> </w:t>
            </w:r>
            <w:r>
              <w:rPr>
                <w:sz w:val="20"/>
              </w:rPr>
              <w:t>N50.1,</w:t>
            </w:r>
            <w:r>
              <w:rPr>
                <w:spacing w:val="-5"/>
                <w:sz w:val="20"/>
              </w:rPr>
              <w:t> </w:t>
            </w:r>
            <w:r>
              <w:rPr>
                <w:spacing w:val="-2"/>
                <w:sz w:val="20"/>
              </w:rPr>
              <w:t>N50.8,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450"/>
              <w:rPr>
                <w:sz w:val="20"/>
              </w:rPr>
            </w:pPr>
            <w:r>
              <w:rPr>
                <w:sz w:val="20"/>
              </w:rPr>
              <w:t>N50.9,</w:t>
            </w:r>
            <w:r>
              <w:rPr>
                <w:spacing w:val="-4"/>
                <w:sz w:val="20"/>
              </w:rPr>
              <w:t> </w:t>
            </w:r>
            <w:r>
              <w:rPr>
                <w:sz w:val="20"/>
              </w:rPr>
              <w:t>N51.1,</w:t>
            </w:r>
            <w:r>
              <w:rPr>
                <w:spacing w:val="-6"/>
                <w:sz w:val="20"/>
              </w:rPr>
              <w:t> </w:t>
            </w:r>
            <w:r>
              <w:rPr>
                <w:sz w:val="20"/>
              </w:rPr>
              <w:t>N51.2,</w:t>
            </w:r>
            <w:r>
              <w:rPr>
                <w:spacing w:val="-4"/>
                <w:sz w:val="20"/>
              </w:rPr>
              <w:t> </w:t>
            </w:r>
            <w:r>
              <w:rPr>
                <w:sz w:val="20"/>
              </w:rPr>
              <w:t>N51.8,</w:t>
            </w:r>
            <w:r>
              <w:rPr>
                <w:spacing w:val="-6"/>
                <w:sz w:val="20"/>
              </w:rPr>
              <w:t> </w:t>
            </w:r>
            <w:r>
              <w:rPr>
                <w:sz w:val="20"/>
              </w:rPr>
              <w:t>N99.4,</w:t>
            </w:r>
            <w:r>
              <w:rPr>
                <w:spacing w:val="-4"/>
                <w:sz w:val="20"/>
              </w:rPr>
              <w:t> </w:t>
            </w:r>
            <w:r>
              <w:rPr>
                <w:spacing w:val="-2"/>
                <w:sz w:val="20"/>
              </w:rPr>
              <w:t>N99.5,</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1" w:lineRule="exact"/>
              <w:ind w:left="229"/>
              <w:rPr>
                <w:sz w:val="20"/>
              </w:rPr>
            </w:pPr>
            <w:r>
              <w:rPr>
                <w:sz w:val="20"/>
              </w:rPr>
              <w:t>N99.8,</w:t>
            </w:r>
            <w:r>
              <w:rPr>
                <w:spacing w:val="-6"/>
                <w:sz w:val="20"/>
              </w:rPr>
              <w:t> </w:t>
            </w:r>
            <w:r>
              <w:rPr>
                <w:sz w:val="20"/>
              </w:rPr>
              <w:t>N99.9,</w:t>
            </w:r>
            <w:r>
              <w:rPr>
                <w:spacing w:val="-7"/>
                <w:sz w:val="20"/>
              </w:rPr>
              <w:t> </w:t>
            </w:r>
            <w:r>
              <w:rPr>
                <w:sz w:val="20"/>
              </w:rPr>
              <w:t>Q53,</w:t>
            </w:r>
            <w:r>
              <w:rPr>
                <w:spacing w:val="-5"/>
                <w:sz w:val="20"/>
              </w:rPr>
              <w:t> </w:t>
            </w:r>
            <w:r>
              <w:rPr>
                <w:sz w:val="20"/>
              </w:rPr>
              <w:t>Q53.0,</w:t>
            </w:r>
            <w:r>
              <w:rPr>
                <w:spacing w:val="-5"/>
                <w:sz w:val="20"/>
              </w:rPr>
              <w:t> </w:t>
            </w:r>
            <w:r>
              <w:rPr>
                <w:sz w:val="20"/>
              </w:rPr>
              <w:t>Q53.1,</w:t>
            </w:r>
            <w:r>
              <w:rPr>
                <w:spacing w:val="-5"/>
                <w:sz w:val="20"/>
              </w:rPr>
              <w:t> </w:t>
            </w:r>
            <w:r>
              <w:rPr>
                <w:sz w:val="20"/>
              </w:rPr>
              <w:t>Q53.2,</w:t>
            </w:r>
            <w:r>
              <w:rPr>
                <w:spacing w:val="-6"/>
                <w:sz w:val="20"/>
              </w:rPr>
              <w:t> </w:t>
            </w:r>
            <w:r>
              <w:rPr>
                <w:spacing w:val="-2"/>
                <w:sz w:val="20"/>
              </w:rPr>
              <w:t>Q53.9,</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1" w:lineRule="exact"/>
              <w:ind w:left="229"/>
              <w:rPr>
                <w:sz w:val="20"/>
              </w:rPr>
            </w:pPr>
            <w:r>
              <w:rPr>
                <w:sz w:val="20"/>
              </w:rPr>
              <w:t>Q54,</w:t>
            </w:r>
            <w:r>
              <w:rPr>
                <w:spacing w:val="-6"/>
                <w:sz w:val="20"/>
              </w:rPr>
              <w:t> </w:t>
            </w:r>
            <w:r>
              <w:rPr>
                <w:sz w:val="20"/>
              </w:rPr>
              <w:t>Q54.0,</w:t>
            </w:r>
            <w:r>
              <w:rPr>
                <w:spacing w:val="-6"/>
                <w:sz w:val="20"/>
              </w:rPr>
              <w:t> </w:t>
            </w:r>
            <w:r>
              <w:rPr>
                <w:sz w:val="20"/>
              </w:rPr>
              <w:t>Q54.1,</w:t>
            </w:r>
            <w:r>
              <w:rPr>
                <w:spacing w:val="-5"/>
                <w:sz w:val="20"/>
              </w:rPr>
              <w:t> </w:t>
            </w:r>
            <w:r>
              <w:rPr>
                <w:sz w:val="20"/>
              </w:rPr>
              <w:t>Q54.2,</w:t>
            </w:r>
            <w:r>
              <w:rPr>
                <w:spacing w:val="-6"/>
                <w:sz w:val="20"/>
              </w:rPr>
              <w:t> </w:t>
            </w:r>
            <w:r>
              <w:rPr>
                <w:sz w:val="20"/>
              </w:rPr>
              <w:t>Q54.3,</w:t>
            </w:r>
            <w:r>
              <w:rPr>
                <w:spacing w:val="-5"/>
                <w:sz w:val="20"/>
              </w:rPr>
              <w:t> </w:t>
            </w:r>
            <w:r>
              <w:rPr>
                <w:sz w:val="20"/>
              </w:rPr>
              <w:t>Q54.4,</w:t>
            </w:r>
            <w:r>
              <w:rPr>
                <w:spacing w:val="-6"/>
                <w:sz w:val="20"/>
              </w:rPr>
              <w:t> </w:t>
            </w:r>
            <w:r>
              <w:rPr>
                <w:spacing w:val="-2"/>
                <w:sz w:val="20"/>
              </w:rPr>
              <w:t>Q54.8,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9"/>
              <w:rPr>
                <w:sz w:val="20"/>
              </w:rPr>
            </w:pPr>
            <w:r>
              <w:rPr>
                <w:sz w:val="20"/>
              </w:rPr>
              <w:t>Q54.9,</w:t>
            </w:r>
            <w:r>
              <w:rPr>
                <w:spacing w:val="-6"/>
                <w:sz w:val="20"/>
              </w:rPr>
              <w:t> </w:t>
            </w:r>
            <w:r>
              <w:rPr>
                <w:sz w:val="20"/>
              </w:rPr>
              <w:t>Q55,</w:t>
            </w:r>
            <w:r>
              <w:rPr>
                <w:spacing w:val="-6"/>
                <w:sz w:val="20"/>
              </w:rPr>
              <w:t> </w:t>
            </w:r>
            <w:r>
              <w:rPr>
                <w:sz w:val="20"/>
              </w:rPr>
              <w:t>Q55.0,</w:t>
            </w:r>
            <w:r>
              <w:rPr>
                <w:spacing w:val="-5"/>
                <w:sz w:val="20"/>
              </w:rPr>
              <w:t> </w:t>
            </w:r>
            <w:r>
              <w:rPr>
                <w:sz w:val="20"/>
              </w:rPr>
              <w:t>Q55.1,</w:t>
            </w:r>
            <w:r>
              <w:rPr>
                <w:spacing w:val="-6"/>
                <w:sz w:val="20"/>
              </w:rPr>
              <w:t> </w:t>
            </w:r>
            <w:r>
              <w:rPr>
                <w:sz w:val="20"/>
              </w:rPr>
              <w:t>Q55.2,</w:t>
            </w:r>
            <w:r>
              <w:rPr>
                <w:spacing w:val="-5"/>
                <w:sz w:val="20"/>
              </w:rPr>
              <w:t> </w:t>
            </w:r>
            <w:r>
              <w:rPr>
                <w:sz w:val="20"/>
              </w:rPr>
              <w:t>Q55.3,</w:t>
            </w:r>
            <w:r>
              <w:rPr>
                <w:spacing w:val="-6"/>
                <w:sz w:val="20"/>
              </w:rPr>
              <w:t> </w:t>
            </w:r>
            <w:r>
              <w:rPr>
                <w:spacing w:val="-2"/>
                <w:sz w:val="20"/>
              </w:rPr>
              <w:t>Q55.4,</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7"/>
              <w:rPr>
                <w:sz w:val="20"/>
              </w:rPr>
            </w:pPr>
            <w:r>
              <w:rPr>
                <w:sz w:val="20"/>
              </w:rPr>
              <w:t>Q55.5,</w:t>
            </w:r>
            <w:r>
              <w:rPr>
                <w:spacing w:val="-4"/>
                <w:sz w:val="20"/>
              </w:rPr>
              <w:t> </w:t>
            </w:r>
            <w:r>
              <w:rPr>
                <w:sz w:val="20"/>
              </w:rPr>
              <w:t>Q55.6,</w:t>
            </w:r>
            <w:r>
              <w:rPr>
                <w:spacing w:val="-6"/>
                <w:sz w:val="20"/>
              </w:rPr>
              <w:t> </w:t>
            </w:r>
            <w:r>
              <w:rPr>
                <w:sz w:val="20"/>
              </w:rPr>
              <w:t>Q55.8,</w:t>
            </w:r>
            <w:r>
              <w:rPr>
                <w:spacing w:val="-4"/>
                <w:sz w:val="20"/>
              </w:rPr>
              <w:t> </w:t>
            </w:r>
            <w:r>
              <w:rPr>
                <w:sz w:val="20"/>
              </w:rPr>
              <w:t>Q55.9,</w:t>
            </w:r>
            <w:r>
              <w:rPr>
                <w:spacing w:val="-6"/>
                <w:sz w:val="20"/>
              </w:rPr>
              <w:t> </w:t>
            </w:r>
            <w:r>
              <w:rPr>
                <w:sz w:val="20"/>
              </w:rPr>
              <w:t>Q60,</w:t>
            </w:r>
            <w:r>
              <w:rPr>
                <w:spacing w:val="-4"/>
                <w:sz w:val="20"/>
              </w:rPr>
              <w:t> </w:t>
            </w:r>
            <w:r>
              <w:rPr>
                <w:sz w:val="20"/>
              </w:rPr>
              <w:t>Q60.0,</w:t>
            </w:r>
            <w:r>
              <w:rPr>
                <w:spacing w:val="-4"/>
                <w:sz w:val="20"/>
              </w:rPr>
              <w:t> </w:t>
            </w:r>
            <w:r>
              <w:rPr>
                <w:spacing w:val="-2"/>
                <w:sz w:val="20"/>
              </w:rPr>
              <w:t>Q60.1,</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7"/>
              <w:rPr>
                <w:sz w:val="20"/>
              </w:rPr>
            </w:pPr>
            <w:r>
              <w:rPr>
                <w:sz w:val="20"/>
              </w:rPr>
              <w:t>Q60.2,</w:t>
            </w:r>
            <w:r>
              <w:rPr>
                <w:spacing w:val="-4"/>
                <w:sz w:val="20"/>
              </w:rPr>
              <w:t> </w:t>
            </w:r>
            <w:r>
              <w:rPr>
                <w:sz w:val="20"/>
              </w:rPr>
              <w:t>Q60.3,</w:t>
            </w:r>
            <w:r>
              <w:rPr>
                <w:spacing w:val="-6"/>
                <w:sz w:val="20"/>
              </w:rPr>
              <w:t> </w:t>
            </w:r>
            <w:r>
              <w:rPr>
                <w:sz w:val="20"/>
              </w:rPr>
              <w:t>Q60.4,</w:t>
            </w:r>
            <w:r>
              <w:rPr>
                <w:spacing w:val="-4"/>
                <w:sz w:val="20"/>
              </w:rPr>
              <w:t> </w:t>
            </w:r>
            <w:r>
              <w:rPr>
                <w:sz w:val="20"/>
              </w:rPr>
              <w:t>Q60.5,</w:t>
            </w:r>
            <w:r>
              <w:rPr>
                <w:spacing w:val="-6"/>
                <w:sz w:val="20"/>
              </w:rPr>
              <w:t> </w:t>
            </w:r>
            <w:r>
              <w:rPr>
                <w:sz w:val="20"/>
              </w:rPr>
              <w:t>Q60.6,</w:t>
            </w:r>
            <w:r>
              <w:rPr>
                <w:spacing w:val="-4"/>
                <w:sz w:val="20"/>
              </w:rPr>
              <w:t> </w:t>
            </w:r>
            <w:r>
              <w:rPr>
                <w:sz w:val="20"/>
              </w:rPr>
              <w:t>Q61,</w:t>
            </w:r>
            <w:r>
              <w:rPr>
                <w:spacing w:val="-4"/>
                <w:sz w:val="20"/>
              </w:rPr>
              <w:t> </w:t>
            </w:r>
            <w:r>
              <w:rPr>
                <w:spacing w:val="-2"/>
                <w:sz w:val="20"/>
              </w:rPr>
              <w:t>Q61.0,</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7"/>
              <w:rPr>
                <w:sz w:val="20"/>
              </w:rPr>
            </w:pPr>
            <w:r>
              <w:rPr>
                <w:sz w:val="20"/>
              </w:rPr>
              <w:t>Q61.4,</w:t>
            </w:r>
            <w:r>
              <w:rPr>
                <w:spacing w:val="-4"/>
                <w:sz w:val="20"/>
              </w:rPr>
              <w:t> </w:t>
            </w:r>
            <w:r>
              <w:rPr>
                <w:sz w:val="20"/>
              </w:rPr>
              <w:t>Q61.5,</w:t>
            </w:r>
            <w:r>
              <w:rPr>
                <w:spacing w:val="-6"/>
                <w:sz w:val="20"/>
              </w:rPr>
              <w:t> </w:t>
            </w:r>
            <w:r>
              <w:rPr>
                <w:sz w:val="20"/>
              </w:rPr>
              <w:t>Q61.8,</w:t>
            </w:r>
            <w:r>
              <w:rPr>
                <w:spacing w:val="-4"/>
                <w:sz w:val="20"/>
              </w:rPr>
              <w:t> </w:t>
            </w:r>
            <w:r>
              <w:rPr>
                <w:sz w:val="20"/>
              </w:rPr>
              <w:t>Q61.9,</w:t>
            </w:r>
            <w:r>
              <w:rPr>
                <w:spacing w:val="-6"/>
                <w:sz w:val="20"/>
              </w:rPr>
              <w:t> </w:t>
            </w:r>
            <w:r>
              <w:rPr>
                <w:sz w:val="20"/>
              </w:rPr>
              <w:t>Q62,</w:t>
            </w:r>
            <w:r>
              <w:rPr>
                <w:spacing w:val="-4"/>
                <w:sz w:val="20"/>
              </w:rPr>
              <w:t> </w:t>
            </w:r>
            <w:r>
              <w:rPr>
                <w:sz w:val="20"/>
              </w:rPr>
              <w:t>Q62.0,</w:t>
            </w:r>
            <w:r>
              <w:rPr>
                <w:spacing w:val="-4"/>
                <w:sz w:val="20"/>
              </w:rPr>
              <w:t> </w:t>
            </w:r>
            <w:r>
              <w:rPr>
                <w:spacing w:val="-2"/>
                <w:sz w:val="20"/>
              </w:rPr>
              <w:t>Q62.1,</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450"/>
              <w:rPr>
                <w:sz w:val="20"/>
              </w:rPr>
            </w:pPr>
            <w:r>
              <w:rPr>
                <w:sz w:val="20"/>
              </w:rPr>
              <w:t>Q62.2,</w:t>
            </w:r>
            <w:r>
              <w:rPr>
                <w:spacing w:val="-4"/>
                <w:sz w:val="20"/>
              </w:rPr>
              <w:t> </w:t>
            </w:r>
            <w:r>
              <w:rPr>
                <w:sz w:val="20"/>
              </w:rPr>
              <w:t>Q62.3,</w:t>
            </w:r>
            <w:r>
              <w:rPr>
                <w:spacing w:val="-6"/>
                <w:sz w:val="20"/>
              </w:rPr>
              <w:t> </w:t>
            </w:r>
            <w:r>
              <w:rPr>
                <w:sz w:val="20"/>
              </w:rPr>
              <w:t>Q62.4,</w:t>
            </w:r>
            <w:r>
              <w:rPr>
                <w:spacing w:val="-4"/>
                <w:sz w:val="20"/>
              </w:rPr>
              <w:t> </w:t>
            </w:r>
            <w:r>
              <w:rPr>
                <w:sz w:val="20"/>
              </w:rPr>
              <w:t>Q62.5,</w:t>
            </w:r>
            <w:r>
              <w:rPr>
                <w:spacing w:val="-6"/>
                <w:sz w:val="20"/>
              </w:rPr>
              <w:t> </w:t>
            </w:r>
            <w:r>
              <w:rPr>
                <w:sz w:val="20"/>
              </w:rPr>
              <w:t>Q62.6,</w:t>
            </w:r>
            <w:r>
              <w:rPr>
                <w:spacing w:val="-4"/>
                <w:sz w:val="20"/>
              </w:rPr>
              <w:t> </w:t>
            </w:r>
            <w:r>
              <w:rPr>
                <w:spacing w:val="-2"/>
                <w:sz w:val="20"/>
              </w:rPr>
              <w:t>Q62.7,</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9"/>
              <w:rPr>
                <w:sz w:val="20"/>
              </w:rPr>
            </w:pPr>
            <w:r>
              <w:rPr>
                <w:sz w:val="20"/>
              </w:rPr>
              <w:t>Q62.8,</w:t>
            </w:r>
            <w:r>
              <w:rPr>
                <w:spacing w:val="-6"/>
                <w:sz w:val="20"/>
              </w:rPr>
              <w:t> </w:t>
            </w:r>
            <w:r>
              <w:rPr>
                <w:sz w:val="20"/>
              </w:rPr>
              <w:t>Q63,</w:t>
            </w:r>
            <w:r>
              <w:rPr>
                <w:spacing w:val="-6"/>
                <w:sz w:val="20"/>
              </w:rPr>
              <w:t> </w:t>
            </w:r>
            <w:r>
              <w:rPr>
                <w:sz w:val="20"/>
              </w:rPr>
              <w:t>Q63.0,</w:t>
            </w:r>
            <w:r>
              <w:rPr>
                <w:spacing w:val="-5"/>
                <w:sz w:val="20"/>
              </w:rPr>
              <w:t> </w:t>
            </w:r>
            <w:r>
              <w:rPr>
                <w:sz w:val="20"/>
              </w:rPr>
              <w:t>Q63.1,</w:t>
            </w:r>
            <w:r>
              <w:rPr>
                <w:spacing w:val="-6"/>
                <w:sz w:val="20"/>
              </w:rPr>
              <w:t> </w:t>
            </w:r>
            <w:r>
              <w:rPr>
                <w:sz w:val="20"/>
              </w:rPr>
              <w:t>Q63.2,</w:t>
            </w:r>
            <w:r>
              <w:rPr>
                <w:spacing w:val="-5"/>
                <w:sz w:val="20"/>
              </w:rPr>
              <w:t> </w:t>
            </w:r>
            <w:r>
              <w:rPr>
                <w:sz w:val="20"/>
              </w:rPr>
              <w:t>Q63.3,</w:t>
            </w:r>
            <w:r>
              <w:rPr>
                <w:spacing w:val="-6"/>
                <w:sz w:val="20"/>
              </w:rPr>
              <w:t> </w:t>
            </w:r>
            <w:r>
              <w:rPr>
                <w:spacing w:val="-2"/>
                <w:sz w:val="20"/>
              </w:rPr>
              <w:t>Q63.8,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5" w:lineRule="exact"/>
              <w:ind w:left="229"/>
              <w:rPr>
                <w:sz w:val="20"/>
              </w:rPr>
            </w:pPr>
            <w:r>
              <w:rPr>
                <w:sz w:val="20"/>
              </w:rPr>
              <w:t>Q63.9,</w:t>
            </w:r>
            <w:r>
              <w:rPr>
                <w:spacing w:val="-6"/>
                <w:sz w:val="20"/>
              </w:rPr>
              <w:t> </w:t>
            </w:r>
            <w:r>
              <w:rPr>
                <w:sz w:val="20"/>
              </w:rPr>
              <w:t>Q64,</w:t>
            </w:r>
            <w:r>
              <w:rPr>
                <w:spacing w:val="-5"/>
                <w:sz w:val="20"/>
              </w:rPr>
              <w:t> </w:t>
            </w:r>
            <w:r>
              <w:rPr>
                <w:sz w:val="20"/>
              </w:rPr>
              <w:t>Q64.0,</w:t>
            </w:r>
            <w:r>
              <w:rPr>
                <w:spacing w:val="-5"/>
                <w:sz w:val="20"/>
              </w:rPr>
              <w:t> </w:t>
            </w:r>
            <w:r>
              <w:rPr>
                <w:sz w:val="20"/>
              </w:rPr>
              <w:t>Q64.1,</w:t>
            </w:r>
            <w:r>
              <w:rPr>
                <w:spacing w:val="-5"/>
                <w:sz w:val="20"/>
              </w:rPr>
              <w:t> </w:t>
            </w:r>
            <w:r>
              <w:rPr>
                <w:sz w:val="20"/>
              </w:rPr>
              <w:t>Q64.2,</w:t>
            </w:r>
            <w:r>
              <w:rPr>
                <w:spacing w:val="-5"/>
                <w:sz w:val="20"/>
              </w:rPr>
              <w:t> </w:t>
            </w:r>
            <w:r>
              <w:rPr>
                <w:sz w:val="20"/>
              </w:rPr>
              <w:t>Q64.3,</w:t>
            </w:r>
            <w:r>
              <w:rPr>
                <w:spacing w:val="-6"/>
                <w:sz w:val="20"/>
              </w:rPr>
              <w:t> </w:t>
            </w:r>
            <w:r>
              <w:rPr>
                <w:spacing w:val="-2"/>
                <w:sz w:val="20"/>
              </w:rPr>
              <w:t>Q64.4,</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90"/>
        <w:gridCol w:w="2515"/>
        <w:gridCol w:w="4487"/>
        <w:gridCol w:w="2364"/>
        <w:gridCol w:w="863"/>
      </w:tblGrid>
      <w:tr>
        <w:trPr>
          <w:trHeight w:val="225" w:hRule="atLeast"/>
        </w:trPr>
        <w:tc>
          <w:tcPr>
            <w:tcW w:w="15272" w:type="dxa"/>
            <w:gridSpan w:val="7"/>
          </w:tcPr>
          <w:p>
            <w:pPr>
              <w:pStyle w:val="TableParagraph"/>
              <w:spacing w:line="205" w:lineRule="exact"/>
              <w:ind w:left="4349"/>
              <w:rPr>
                <w:sz w:val="20"/>
              </w:rPr>
            </w:pPr>
            <w:r>
              <w:rPr>
                <w:sz w:val="20"/>
              </w:rPr>
              <w:t>Q64.5,</w:t>
            </w:r>
            <w:r>
              <w:rPr>
                <w:spacing w:val="-5"/>
                <w:sz w:val="20"/>
              </w:rPr>
              <w:t> </w:t>
            </w:r>
            <w:r>
              <w:rPr>
                <w:sz w:val="20"/>
              </w:rPr>
              <w:t>Q64.6,</w:t>
            </w:r>
            <w:r>
              <w:rPr>
                <w:spacing w:val="-6"/>
                <w:sz w:val="20"/>
              </w:rPr>
              <w:t> </w:t>
            </w:r>
            <w:r>
              <w:rPr>
                <w:sz w:val="20"/>
              </w:rPr>
              <w:t>Q64.7,</w:t>
            </w:r>
            <w:r>
              <w:rPr>
                <w:spacing w:val="-4"/>
                <w:sz w:val="20"/>
              </w:rPr>
              <w:t> </w:t>
            </w:r>
            <w:r>
              <w:rPr>
                <w:sz w:val="20"/>
              </w:rPr>
              <w:t>Q64.8,</w:t>
            </w:r>
            <w:r>
              <w:rPr>
                <w:spacing w:val="-6"/>
                <w:sz w:val="20"/>
              </w:rPr>
              <w:t> </w:t>
            </w:r>
            <w:r>
              <w:rPr>
                <w:sz w:val="20"/>
              </w:rPr>
              <w:t>Q64.9,</w:t>
            </w:r>
            <w:r>
              <w:rPr>
                <w:spacing w:val="-4"/>
                <w:sz w:val="20"/>
              </w:rPr>
              <w:t> </w:t>
            </w:r>
            <w:r>
              <w:rPr>
                <w:sz w:val="20"/>
              </w:rPr>
              <w:t>S30.2,</w:t>
            </w:r>
            <w:r>
              <w:rPr>
                <w:spacing w:val="-4"/>
                <w:sz w:val="20"/>
              </w:rPr>
              <w:t> </w:t>
            </w:r>
            <w:r>
              <w:rPr>
                <w:spacing w:val="-2"/>
                <w:sz w:val="20"/>
              </w:rPr>
              <w:t>S31.2,</w:t>
            </w:r>
          </w:p>
        </w:tc>
      </w:tr>
      <w:tr>
        <w:trPr>
          <w:trHeight w:val="229" w:hRule="atLeast"/>
        </w:trPr>
        <w:tc>
          <w:tcPr>
            <w:tcW w:w="15272" w:type="dxa"/>
            <w:gridSpan w:val="7"/>
          </w:tcPr>
          <w:p>
            <w:pPr>
              <w:pStyle w:val="TableParagraph"/>
              <w:spacing w:line="209" w:lineRule="exact"/>
              <w:ind w:left="4409"/>
              <w:rPr>
                <w:sz w:val="20"/>
              </w:rPr>
            </w:pPr>
            <w:r>
              <w:rPr>
                <w:sz w:val="20"/>
              </w:rPr>
              <w:t>S31.3,</w:t>
            </w:r>
            <w:r>
              <w:rPr>
                <w:spacing w:val="-6"/>
                <w:sz w:val="20"/>
              </w:rPr>
              <w:t> </w:t>
            </w:r>
            <w:r>
              <w:rPr>
                <w:sz w:val="20"/>
              </w:rPr>
              <w:t>S31.5,</w:t>
            </w:r>
            <w:r>
              <w:rPr>
                <w:spacing w:val="-5"/>
                <w:sz w:val="20"/>
              </w:rPr>
              <w:t> </w:t>
            </w:r>
            <w:r>
              <w:rPr>
                <w:sz w:val="20"/>
              </w:rPr>
              <w:t>S37,</w:t>
            </w:r>
            <w:r>
              <w:rPr>
                <w:spacing w:val="-6"/>
                <w:sz w:val="20"/>
              </w:rPr>
              <w:t> </w:t>
            </w:r>
            <w:r>
              <w:rPr>
                <w:sz w:val="20"/>
              </w:rPr>
              <w:t>S37.0,</w:t>
            </w:r>
            <w:r>
              <w:rPr>
                <w:spacing w:val="-5"/>
                <w:sz w:val="20"/>
              </w:rPr>
              <w:t> </w:t>
            </w:r>
            <w:r>
              <w:rPr>
                <w:sz w:val="20"/>
              </w:rPr>
              <w:t>S37.00,</w:t>
            </w:r>
            <w:r>
              <w:rPr>
                <w:spacing w:val="-5"/>
                <w:sz w:val="20"/>
              </w:rPr>
              <w:t> </w:t>
            </w:r>
            <w:r>
              <w:rPr>
                <w:sz w:val="20"/>
              </w:rPr>
              <w:t>S37.01,</w:t>
            </w:r>
            <w:r>
              <w:rPr>
                <w:spacing w:val="-6"/>
                <w:sz w:val="20"/>
              </w:rPr>
              <w:t> </w:t>
            </w:r>
            <w:r>
              <w:rPr>
                <w:spacing w:val="-2"/>
                <w:sz w:val="20"/>
              </w:rPr>
              <w:t>S37.1,</w:t>
            </w:r>
          </w:p>
        </w:tc>
      </w:tr>
      <w:tr>
        <w:trPr>
          <w:trHeight w:val="229" w:hRule="atLeast"/>
        </w:trPr>
        <w:tc>
          <w:tcPr>
            <w:tcW w:w="15272" w:type="dxa"/>
            <w:gridSpan w:val="7"/>
          </w:tcPr>
          <w:p>
            <w:pPr>
              <w:pStyle w:val="TableParagraph"/>
              <w:spacing w:line="209" w:lineRule="exact"/>
              <w:ind w:left="4512"/>
              <w:rPr>
                <w:sz w:val="20"/>
              </w:rPr>
            </w:pPr>
            <w:r>
              <w:rPr>
                <w:sz w:val="20"/>
              </w:rPr>
              <w:t>S37.10,</w:t>
            </w:r>
            <w:r>
              <w:rPr>
                <w:spacing w:val="-7"/>
                <w:sz w:val="20"/>
              </w:rPr>
              <w:t> </w:t>
            </w:r>
            <w:r>
              <w:rPr>
                <w:sz w:val="20"/>
              </w:rPr>
              <w:t>S37.11,</w:t>
            </w:r>
            <w:r>
              <w:rPr>
                <w:spacing w:val="-6"/>
                <w:sz w:val="20"/>
              </w:rPr>
              <w:t> </w:t>
            </w:r>
            <w:r>
              <w:rPr>
                <w:sz w:val="20"/>
              </w:rPr>
              <w:t>S37.2,</w:t>
            </w:r>
            <w:r>
              <w:rPr>
                <w:spacing w:val="-6"/>
                <w:sz w:val="20"/>
              </w:rPr>
              <w:t> </w:t>
            </w:r>
            <w:r>
              <w:rPr>
                <w:sz w:val="20"/>
              </w:rPr>
              <w:t>S37.20,</w:t>
            </w:r>
            <w:r>
              <w:rPr>
                <w:spacing w:val="-7"/>
                <w:sz w:val="20"/>
              </w:rPr>
              <w:t> </w:t>
            </w:r>
            <w:r>
              <w:rPr>
                <w:sz w:val="20"/>
              </w:rPr>
              <w:t>S37.21,</w:t>
            </w:r>
            <w:r>
              <w:rPr>
                <w:spacing w:val="-6"/>
                <w:sz w:val="20"/>
              </w:rPr>
              <w:t> </w:t>
            </w:r>
            <w:r>
              <w:rPr>
                <w:spacing w:val="-2"/>
                <w:sz w:val="20"/>
              </w:rPr>
              <w:t>S37.3,</w:t>
            </w:r>
          </w:p>
        </w:tc>
      </w:tr>
      <w:tr>
        <w:trPr>
          <w:trHeight w:val="230" w:hRule="atLeast"/>
        </w:trPr>
        <w:tc>
          <w:tcPr>
            <w:tcW w:w="15272" w:type="dxa"/>
            <w:gridSpan w:val="7"/>
          </w:tcPr>
          <w:p>
            <w:pPr>
              <w:pStyle w:val="TableParagraph"/>
              <w:spacing w:line="210" w:lineRule="exact"/>
              <w:ind w:left="4512"/>
              <w:rPr>
                <w:sz w:val="20"/>
              </w:rPr>
            </w:pPr>
            <w:r>
              <w:rPr>
                <w:sz w:val="20"/>
              </w:rPr>
              <w:t>S37.30,</w:t>
            </w:r>
            <w:r>
              <w:rPr>
                <w:spacing w:val="-7"/>
                <w:sz w:val="20"/>
              </w:rPr>
              <w:t> </w:t>
            </w:r>
            <w:r>
              <w:rPr>
                <w:sz w:val="20"/>
              </w:rPr>
              <w:t>S37.31,</w:t>
            </w:r>
            <w:r>
              <w:rPr>
                <w:spacing w:val="-6"/>
                <w:sz w:val="20"/>
              </w:rPr>
              <w:t> </w:t>
            </w:r>
            <w:r>
              <w:rPr>
                <w:sz w:val="20"/>
              </w:rPr>
              <w:t>S37.7,</w:t>
            </w:r>
            <w:r>
              <w:rPr>
                <w:spacing w:val="-6"/>
                <w:sz w:val="20"/>
              </w:rPr>
              <w:t> </w:t>
            </w:r>
            <w:r>
              <w:rPr>
                <w:sz w:val="20"/>
              </w:rPr>
              <w:t>S37.70,</w:t>
            </w:r>
            <w:r>
              <w:rPr>
                <w:spacing w:val="-7"/>
                <w:sz w:val="20"/>
              </w:rPr>
              <w:t> </w:t>
            </w:r>
            <w:r>
              <w:rPr>
                <w:sz w:val="20"/>
              </w:rPr>
              <w:t>S37.71,</w:t>
            </w:r>
            <w:r>
              <w:rPr>
                <w:spacing w:val="-6"/>
                <w:sz w:val="20"/>
              </w:rPr>
              <w:t> </w:t>
            </w:r>
            <w:r>
              <w:rPr>
                <w:spacing w:val="-2"/>
                <w:sz w:val="20"/>
              </w:rPr>
              <w:t>S37.8,</w:t>
            </w:r>
          </w:p>
        </w:tc>
      </w:tr>
      <w:tr>
        <w:trPr>
          <w:trHeight w:val="230" w:hRule="atLeast"/>
        </w:trPr>
        <w:tc>
          <w:tcPr>
            <w:tcW w:w="15272" w:type="dxa"/>
            <w:gridSpan w:val="7"/>
          </w:tcPr>
          <w:p>
            <w:pPr>
              <w:pStyle w:val="TableParagraph"/>
              <w:spacing w:line="210" w:lineRule="exact"/>
              <w:ind w:left="4512"/>
              <w:rPr>
                <w:sz w:val="20"/>
              </w:rPr>
            </w:pPr>
            <w:r>
              <w:rPr>
                <w:sz w:val="20"/>
              </w:rPr>
              <w:t>S37.80,</w:t>
            </w:r>
            <w:r>
              <w:rPr>
                <w:spacing w:val="-7"/>
                <w:sz w:val="20"/>
              </w:rPr>
              <w:t> </w:t>
            </w:r>
            <w:r>
              <w:rPr>
                <w:sz w:val="20"/>
              </w:rPr>
              <w:t>S37.81,</w:t>
            </w:r>
            <w:r>
              <w:rPr>
                <w:spacing w:val="-6"/>
                <w:sz w:val="20"/>
              </w:rPr>
              <w:t> </w:t>
            </w:r>
            <w:r>
              <w:rPr>
                <w:sz w:val="20"/>
              </w:rPr>
              <w:t>S37.9,</w:t>
            </w:r>
            <w:r>
              <w:rPr>
                <w:spacing w:val="-6"/>
                <w:sz w:val="20"/>
              </w:rPr>
              <w:t> </w:t>
            </w:r>
            <w:r>
              <w:rPr>
                <w:sz w:val="20"/>
              </w:rPr>
              <w:t>S37.90,</w:t>
            </w:r>
            <w:r>
              <w:rPr>
                <w:spacing w:val="-7"/>
                <w:sz w:val="20"/>
              </w:rPr>
              <w:t> </w:t>
            </w:r>
            <w:r>
              <w:rPr>
                <w:sz w:val="20"/>
              </w:rPr>
              <w:t>S37.91,</w:t>
            </w:r>
            <w:r>
              <w:rPr>
                <w:spacing w:val="-6"/>
                <w:sz w:val="20"/>
              </w:rPr>
              <w:t> </w:t>
            </w:r>
            <w:r>
              <w:rPr>
                <w:spacing w:val="-2"/>
                <w:sz w:val="20"/>
              </w:rPr>
              <w:t>S38.2,</w:t>
            </w:r>
          </w:p>
        </w:tc>
      </w:tr>
      <w:tr>
        <w:trPr>
          <w:trHeight w:val="230" w:hRule="atLeast"/>
        </w:trPr>
        <w:tc>
          <w:tcPr>
            <w:tcW w:w="15272" w:type="dxa"/>
            <w:gridSpan w:val="7"/>
          </w:tcPr>
          <w:p>
            <w:pPr>
              <w:pStyle w:val="TableParagraph"/>
              <w:spacing w:line="210" w:lineRule="exact"/>
              <w:ind w:left="4543"/>
              <w:rPr>
                <w:sz w:val="20"/>
              </w:rPr>
            </w:pPr>
            <w:r>
              <w:rPr>
                <w:sz w:val="20"/>
              </w:rPr>
              <w:t>T19,</w:t>
            </w:r>
            <w:r>
              <w:rPr>
                <w:spacing w:val="-5"/>
                <w:sz w:val="20"/>
              </w:rPr>
              <w:t> </w:t>
            </w:r>
            <w:r>
              <w:rPr>
                <w:sz w:val="20"/>
              </w:rPr>
              <w:t>T19.0,</w:t>
            </w:r>
            <w:r>
              <w:rPr>
                <w:spacing w:val="-7"/>
                <w:sz w:val="20"/>
              </w:rPr>
              <w:t> </w:t>
            </w:r>
            <w:r>
              <w:rPr>
                <w:sz w:val="20"/>
              </w:rPr>
              <w:t>T19.1,</w:t>
            </w:r>
            <w:r>
              <w:rPr>
                <w:spacing w:val="-4"/>
                <w:sz w:val="20"/>
              </w:rPr>
              <w:t> </w:t>
            </w:r>
            <w:r>
              <w:rPr>
                <w:sz w:val="20"/>
              </w:rPr>
              <w:t>T19.8,</w:t>
            </w:r>
            <w:r>
              <w:rPr>
                <w:spacing w:val="-5"/>
                <w:sz w:val="20"/>
              </w:rPr>
              <w:t> </w:t>
            </w:r>
            <w:r>
              <w:rPr>
                <w:sz w:val="20"/>
              </w:rPr>
              <w:t>T19.9,</w:t>
            </w:r>
            <w:r>
              <w:rPr>
                <w:spacing w:val="-4"/>
                <w:sz w:val="20"/>
              </w:rPr>
              <w:t> </w:t>
            </w:r>
            <w:r>
              <w:rPr>
                <w:sz w:val="20"/>
              </w:rPr>
              <w:t>T83,</w:t>
            </w:r>
            <w:r>
              <w:rPr>
                <w:spacing w:val="-5"/>
                <w:sz w:val="20"/>
              </w:rPr>
              <w:t> </w:t>
            </w:r>
            <w:r>
              <w:rPr>
                <w:spacing w:val="-2"/>
                <w:sz w:val="20"/>
              </w:rPr>
              <w:t>T83.0,</w:t>
            </w:r>
          </w:p>
        </w:tc>
      </w:tr>
      <w:tr>
        <w:trPr>
          <w:trHeight w:val="279" w:hRule="atLeast"/>
        </w:trPr>
        <w:tc>
          <w:tcPr>
            <w:tcW w:w="15272" w:type="dxa"/>
            <w:gridSpan w:val="7"/>
          </w:tcPr>
          <w:p>
            <w:pPr>
              <w:pStyle w:val="TableParagraph"/>
              <w:spacing w:line="226" w:lineRule="exact"/>
              <w:ind w:left="4419"/>
              <w:rPr>
                <w:sz w:val="20"/>
              </w:rPr>
            </w:pPr>
            <w:r>
              <w:rPr>
                <w:sz w:val="20"/>
              </w:rPr>
              <w:t>T83.1,</w:t>
            </w:r>
            <w:r>
              <w:rPr>
                <w:spacing w:val="-7"/>
                <w:sz w:val="20"/>
              </w:rPr>
              <w:t> </w:t>
            </w:r>
            <w:r>
              <w:rPr>
                <w:sz w:val="20"/>
              </w:rPr>
              <w:t>T83.2,</w:t>
            </w:r>
            <w:r>
              <w:rPr>
                <w:spacing w:val="-5"/>
                <w:sz w:val="20"/>
              </w:rPr>
              <w:t> </w:t>
            </w:r>
            <w:r>
              <w:rPr>
                <w:sz w:val="20"/>
              </w:rPr>
              <w:t>T83.4,</w:t>
            </w:r>
            <w:r>
              <w:rPr>
                <w:spacing w:val="-5"/>
                <w:sz w:val="20"/>
              </w:rPr>
              <w:t> </w:t>
            </w:r>
            <w:r>
              <w:rPr>
                <w:sz w:val="20"/>
              </w:rPr>
              <w:t>T83.5,</w:t>
            </w:r>
            <w:r>
              <w:rPr>
                <w:spacing w:val="-5"/>
                <w:sz w:val="20"/>
              </w:rPr>
              <w:t> </w:t>
            </w:r>
            <w:r>
              <w:rPr>
                <w:sz w:val="20"/>
              </w:rPr>
              <w:t>T83.6,</w:t>
            </w:r>
            <w:r>
              <w:rPr>
                <w:spacing w:val="-5"/>
                <w:sz w:val="20"/>
              </w:rPr>
              <w:t> </w:t>
            </w:r>
            <w:r>
              <w:rPr>
                <w:sz w:val="20"/>
              </w:rPr>
              <w:t>T83.8,</w:t>
            </w:r>
            <w:r>
              <w:rPr>
                <w:spacing w:val="-5"/>
                <w:sz w:val="20"/>
              </w:rPr>
              <w:t> </w:t>
            </w:r>
            <w:r>
              <w:rPr>
                <w:spacing w:val="-4"/>
                <w:sz w:val="20"/>
              </w:rPr>
              <w:t>T83.9</w:t>
            </w:r>
          </w:p>
        </w:tc>
      </w:tr>
      <w:tr>
        <w:trPr>
          <w:trHeight w:val="281" w:hRule="atLeast"/>
        </w:trPr>
        <w:tc>
          <w:tcPr>
            <w:tcW w:w="946" w:type="dxa"/>
          </w:tcPr>
          <w:p>
            <w:pPr>
              <w:pStyle w:val="TableParagraph"/>
              <w:spacing w:line="214" w:lineRule="exact" w:before="47"/>
              <w:ind w:left="50"/>
              <w:rPr>
                <w:sz w:val="20"/>
              </w:rPr>
            </w:pPr>
            <w:r>
              <w:rPr>
                <w:spacing w:val="-2"/>
                <w:sz w:val="20"/>
              </w:rPr>
              <w:t>st30.006</w:t>
            </w:r>
          </w:p>
        </w:tc>
        <w:tc>
          <w:tcPr>
            <w:tcW w:w="707" w:type="dxa"/>
          </w:tcPr>
          <w:p>
            <w:pPr>
              <w:pStyle w:val="TableParagraph"/>
              <w:spacing w:line="214" w:lineRule="exact" w:before="47"/>
              <w:ind w:left="210"/>
              <w:rPr>
                <w:sz w:val="20"/>
              </w:rPr>
            </w:pPr>
            <w:r>
              <w:rPr>
                <w:spacing w:val="-5"/>
                <w:sz w:val="20"/>
              </w:rPr>
              <w:t>287</w:t>
            </w:r>
          </w:p>
        </w:tc>
        <w:tc>
          <w:tcPr>
            <w:tcW w:w="3390" w:type="dxa"/>
          </w:tcPr>
          <w:p>
            <w:pPr>
              <w:pStyle w:val="TableParagraph"/>
              <w:spacing w:line="216"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47"/>
              <w:ind w:right="1150"/>
              <w:jc w:val="right"/>
              <w:rPr>
                <w:sz w:val="20"/>
              </w:rPr>
            </w:pPr>
            <w:r>
              <w:rPr>
                <w:w w:val="99"/>
                <w:sz w:val="20"/>
              </w:rPr>
              <w:t>-</w:t>
            </w:r>
          </w:p>
        </w:tc>
        <w:tc>
          <w:tcPr>
            <w:tcW w:w="4487" w:type="dxa"/>
          </w:tcPr>
          <w:p>
            <w:pPr>
              <w:pStyle w:val="TableParagraph"/>
              <w:spacing w:line="216" w:lineRule="exact" w:before="45"/>
              <w:ind w:left="1148" w:right="250"/>
              <w:jc w:val="center"/>
              <w:rPr>
                <w:sz w:val="20"/>
              </w:rPr>
            </w:pPr>
            <w:r>
              <w:rPr>
                <w:sz w:val="20"/>
              </w:rPr>
              <w:t>A11.21.002,</w:t>
            </w:r>
            <w:r>
              <w:rPr>
                <w:spacing w:val="-9"/>
                <w:sz w:val="20"/>
              </w:rPr>
              <w:t> </w:t>
            </w:r>
            <w:r>
              <w:rPr>
                <w:sz w:val="20"/>
              </w:rPr>
              <w:t>A11.21.003,</w:t>
            </w:r>
            <w:r>
              <w:rPr>
                <w:spacing w:val="-10"/>
                <w:sz w:val="20"/>
              </w:rPr>
              <w:t> </w:t>
            </w:r>
            <w:r>
              <w:rPr>
                <w:spacing w:val="-2"/>
                <w:sz w:val="20"/>
              </w:rPr>
              <w:t>A11.21.005,</w:t>
            </w:r>
          </w:p>
        </w:tc>
        <w:tc>
          <w:tcPr>
            <w:tcW w:w="2364" w:type="dxa"/>
          </w:tcPr>
          <w:p>
            <w:pPr>
              <w:pStyle w:val="TableParagraph"/>
              <w:spacing w:line="216" w:lineRule="exact" w:before="45"/>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47"/>
              <w:ind w:right="46"/>
              <w:jc w:val="right"/>
              <w:rPr>
                <w:sz w:val="20"/>
              </w:rPr>
            </w:pPr>
            <w:r>
              <w:rPr>
                <w:spacing w:val="-4"/>
                <w:sz w:val="20"/>
              </w:rPr>
              <w:t>1,20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10" w:lineRule="exact"/>
              <w:ind w:left="1150" w:right="247"/>
              <w:jc w:val="center"/>
              <w:rPr>
                <w:sz w:val="20"/>
              </w:rPr>
            </w:pPr>
            <w:r>
              <w:rPr>
                <w:sz w:val="20"/>
              </w:rPr>
              <w:t>A16.21.008,</w:t>
            </w:r>
            <w:r>
              <w:rPr>
                <w:spacing w:val="-9"/>
                <w:sz w:val="20"/>
              </w:rPr>
              <w:t> </w:t>
            </w:r>
            <w:r>
              <w:rPr>
                <w:sz w:val="20"/>
              </w:rPr>
              <w:t>A16.21.009,</w:t>
            </w:r>
            <w:r>
              <w:rPr>
                <w:spacing w:val="-10"/>
                <w:sz w:val="20"/>
              </w:rPr>
              <w:t> </w:t>
            </w:r>
            <w:r>
              <w:rPr>
                <w:spacing w:val="-2"/>
                <w:sz w:val="20"/>
              </w:rPr>
              <w:t>A16.21.010,</w:t>
            </w:r>
          </w:p>
        </w:tc>
        <w:tc>
          <w:tcPr>
            <w:tcW w:w="2364" w:type="dxa"/>
          </w:tcPr>
          <w:p>
            <w:pPr>
              <w:pStyle w:val="TableParagraph"/>
              <w:spacing w:line="210"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w w:val="95"/>
                <w:sz w:val="20"/>
              </w:rPr>
              <w:t>A16.21.010.001,</w:t>
            </w:r>
            <w:r>
              <w:rPr>
                <w:spacing w:val="54"/>
                <w:sz w:val="20"/>
              </w:rPr>
              <w:t> </w:t>
            </w:r>
            <w:r>
              <w:rPr>
                <w:spacing w:val="-2"/>
                <w:sz w:val="20"/>
              </w:rPr>
              <w:t>A16.21.011,</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A16.21.012,</w:t>
            </w:r>
            <w:r>
              <w:rPr>
                <w:spacing w:val="-9"/>
                <w:sz w:val="20"/>
              </w:rPr>
              <w:t> </w:t>
            </w:r>
            <w:r>
              <w:rPr>
                <w:sz w:val="20"/>
              </w:rPr>
              <w:t>A16.21.013,</w:t>
            </w:r>
            <w:r>
              <w:rPr>
                <w:spacing w:val="-10"/>
                <w:sz w:val="20"/>
              </w:rPr>
              <w:t> </w:t>
            </w:r>
            <w:r>
              <w:rPr>
                <w:spacing w:val="-2"/>
                <w:sz w:val="20"/>
              </w:rPr>
              <w:t>A16.21.017,</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A16.21.023,</w:t>
            </w:r>
            <w:r>
              <w:rPr>
                <w:spacing w:val="-9"/>
                <w:sz w:val="20"/>
              </w:rPr>
              <w:t> </w:t>
            </w:r>
            <w:r>
              <w:rPr>
                <w:sz w:val="20"/>
              </w:rPr>
              <w:t>A16.21.024,</w:t>
            </w:r>
            <w:r>
              <w:rPr>
                <w:spacing w:val="-10"/>
                <w:sz w:val="20"/>
              </w:rPr>
              <w:t> </w:t>
            </w:r>
            <w:r>
              <w:rPr>
                <w:spacing w:val="-2"/>
                <w:sz w:val="20"/>
              </w:rPr>
              <w:t>A16.21.025,</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A16.21.031,</w:t>
            </w:r>
            <w:r>
              <w:rPr>
                <w:spacing w:val="-9"/>
                <w:sz w:val="20"/>
              </w:rPr>
              <w:t> </w:t>
            </w:r>
            <w:r>
              <w:rPr>
                <w:sz w:val="20"/>
              </w:rPr>
              <w:t>A16.21.032,</w:t>
            </w:r>
            <w:r>
              <w:rPr>
                <w:spacing w:val="-10"/>
                <w:sz w:val="20"/>
              </w:rPr>
              <w:t> </w:t>
            </w:r>
            <w:r>
              <w:rPr>
                <w:spacing w:val="-2"/>
                <w:sz w:val="20"/>
              </w:rPr>
              <w:t>A16.21.034,</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0" w:lineRule="exact"/>
              <w:ind w:left="1150" w:right="248"/>
              <w:jc w:val="center"/>
              <w:rPr>
                <w:sz w:val="20"/>
              </w:rPr>
            </w:pPr>
            <w:r>
              <w:rPr>
                <w:sz w:val="20"/>
              </w:rPr>
              <w:t>A16.21.035,</w:t>
            </w:r>
            <w:r>
              <w:rPr>
                <w:spacing w:val="-9"/>
                <w:sz w:val="20"/>
              </w:rPr>
              <w:t> </w:t>
            </w:r>
            <w:r>
              <w:rPr>
                <w:spacing w:val="-2"/>
                <w:sz w:val="20"/>
              </w:rPr>
              <w:t>A16.21.037,</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0" w:lineRule="exact"/>
              <w:ind w:left="1325" w:right="426"/>
              <w:jc w:val="center"/>
              <w:rPr>
                <w:sz w:val="20"/>
              </w:rPr>
            </w:pPr>
            <w:r>
              <w:rPr>
                <w:w w:val="95"/>
                <w:sz w:val="20"/>
              </w:rPr>
              <w:t>A16.21.037.001,</w:t>
            </w:r>
            <w:r>
              <w:rPr>
                <w:spacing w:val="54"/>
                <w:sz w:val="20"/>
              </w:rPr>
              <w:t> </w:t>
            </w:r>
            <w:r>
              <w:rPr>
                <w:spacing w:val="-2"/>
                <w:sz w:val="20"/>
              </w:rPr>
              <w:t>A16.21.037.002,</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w w:val="95"/>
                <w:sz w:val="20"/>
              </w:rPr>
              <w:t>A16.21.037.003,</w:t>
            </w:r>
            <w:r>
              <w:rPr>
                <w:spacing w:val="54"/>
                <w:sz w:val="20"/>
              </w:rPr>
              <w:t> </w:t>
            </w:r>
            <w:r>
              <w:rPr>
                <w:spacing w:val="-2"/>
                <w:sz w:val="20"/>
              </w:rPr>
              <w:t>A16.21.038,</w:t>
            </w:r>
          </w:p>
        </w:tc>
        <w:tc>
          <w:tcPr>
            <w:tcW w:w="2364" w:type="dxa"/>
          </w:tcPr>
          <w:p>
            <w:pPr>
              <w:pStyle w:val="TableParagraph"/>
              <w:rPr>
                <w:sz w:val="16"/>
              </w:rPr>
            </w:pPr>
          </w:p>
        </w:tc>
        <w:tc>
          <w:tcPr>
            <w:tcW w:w="863"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2" w:lineRule="exact"/>
              <w:ind w:left="1150" w:right="247"/>
              <w:jc w:val="center"/>
              <w:rPr>
                <w:sz w:val="20"/>
              </w:rPr>
            </w:pPr>
            <w:r>
              <w:rPr>
                <w:sz w:val="20"/>
              </w:rPr>
              <w:t>A16.21.039,</w:t>
            </w:r>
            <w:r>
              <w:rPr>
                <w:spacing w:val="-9"/>
                <w:sz w:val="20"/>
              </w:rPr>
              <w:t> </w:t>
            </w:r>
            <w:r>
              <w:rPr>
                <w:sz w:val="20"/>
              </w:rPr>
              <w:t>A16.21.040,</w:t>
            </w:r>
            <w:r>
              <w:rPr>
                <w:spacing w:val="-10"/>
                <w:sz w:val="20"/>
              </w:rPr>
              <w:t> </w:t>
            </w:r>
            <w:r>
              <w:rPr>
                <w:spacing w:val="-2"/>
                <w:sz w:val="20"/>
              </w:rPr>
              <w:t>A16.21.043,</w:t>
            </w:r>
          </w:p>
        </w:tc>
        <w:tc>
          <w:tcPr>
            <w:tcW w:w="2364" w:type="dxa"/>
          </w:tcPr>
          <w:p>
            <w:pPr>
              <w:pStyle w:val="TableParagraph"/>
              <w:rPr>
                <w:sz w:val="16"/>
              </w:rPr>
            </w:pPr>
          </w:p>
        </w:tc>
        <w:tc>
          <w:tcPr>
            <w:tcW w:w="863"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7" w:type="dxa"/>
          </w:tcPr>
          <w:p>
            <w:pPr>
              <w:pStyle w:val="TableParagraph"/>
              <w:spacing w:line="227" w:lineRule="exact"/>
              <w:ind w:left="1325" w:right="421"/>
              <w:jc w:val="center"/>
              <w:rPr>
                <w:sz w:val="20"/>
              </w:rPr>
            </w:pPr>
            <w:r>
              <w:rPr>
                <w:spacing w:val="-2"/>
                <w:sz w:val="20"/>
              </w:rPr>
              <w:t>A16.21.048</w:t>
            </w:r>
          </w:p>
        </w:tc>
        <w:tc>
          <w:tcPr>
            <w:tcW w:w="2364" w:type="dxa"/>
          </w:tcPr>
          <w:p>
            <w:pPr>
              <w:pStyle w:val="TableParagraph"/>
              <w:rPr>
                <w:sz w:val="18"/>
              </w:rPr>
            </w:pPr>
          </w:p>
        </w:tc>
        <w:tc>
          <w:tcPr>
            <w:tcW w:w="863"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st30.007</w:t>
            </w:r>
          </w:p>
        </w:tc>
        <w:tc>
          <w:tcPr>
            <w:tcW w:w="707" w:type="dxa"/>
          </w:tcPr>
          <w:p>
            <w:pPr>
              <w:pStyle w:val="TableParagraph"/>
              <w:spacing w:line="214" w:lineRule="exact" w:before="36"/>
              <w:ind w:left="210"/>
              <w:rPr>
                <w:sz w:val="20"/>
              </w:rPr>
            </w:pPr>
            <w:r>
              <w:rPr>
                <w:spacing w:val="-5"/>
                <w:sz w:val="20"/>
              </w:rPr>
              <w:t>288</w:t>
            </w:r>
          </w:p>
        </w:tc>
        <w:tc>
          <w:tcPr>
            <w:tcW w:w="3390" w:type="dxa"/>
          </w:tcPr>
          <w:p>
            <w:pPr>
              <w:pStyle w:val="TableParagraph"/>
              <w:spacing w:line="216" w:lineRule="exact" w:before="34"/>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36"/>
              <w:ind w:right="1150"/>
              <w:jc w:val="right"/>
              <w:rPr>
                <w:sz w:val="20"/>
              </w:rPr>
            </w:pPr>
            <w:r>
              <w:rPr>
                <w:w w:val="99"/>
                <w:sz w:val="20"/>
              </w:rPr>
              <w:t>-</w:t>
            </w:r>
          </w:p>
        </w:tc>
        <w:tc>
          <w:tcPr>
            <w:tcW w:w="4487" w:type="dxa"/>
          </w:tcPr>
          <w:p>
            <w:pPr>
              <w:pStyle w:val="TableParagraph"/>
              <w:spacing w:line="216" w:lineRule="exact" w:before="34"/>
              <w:ind w:left="1150" w:right="250"/>
              <w:jc w:val="center"/>
              <w:rPr>
                <w:sz w:val="20"/>
              </w:rPr>
            </w:pPr>
            <w:r>
              <w:rPr>
                <w:w w:val="95"/>
                <w:sz w:val="20"/>
              </w:rPr>
              <w:t>A11.21.005.001,</w:t>
            </w:r>
            <w:r>
              <w:rPr>
                <w:spacing w:val="54"/>
                <w:sz w:val="20"/>
              </w:rPr>
              <w:t> </w:t>
            </w:r>
            <w:r>
              <w:rPr>
                <w:spacing w:val="-2"/>
                <w:sz w:val="20"/>
              </w:rPr>
              <w:t>A16.21.001,</w:t>
            </w:r>
          </w:p>
        </w:tc>
        <w:tc>
          <w:tcPr>
            <w:tcW w:w="2364" w:type="dxa"/>
          </w:tcPr>
          <w:p>
            <w:pPr>
              <w:pStyle w:val="TableParagraph"/>
              <w:spacing w:line="216" w:lineRule="exact" w:before="34"/>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36"/>
              <w:ind w:right="46"/>
              <w:jc w:val="right"/>
              <w:rPr>
                <w:sz w:val="20"/>
              </w:rPr>
            </w:pPr>
            <w:r>
              <w:rPr>
                <w:spacing w:val="-4"/>
                <w:sz w:val="20"/>
              </w:rPr>
              <w:t>1,42</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09"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09" w:lineRule="exact"/>
              <w:ind w:left="1150" w:right="248"/>
              <w:jc w:val="center"/>
              <w:rPr>
                <w:sz w:val="20"/>
              </w:rPr>
            </w:pPr>
            <w:r>
              <w:rPr>
                <w:sz w:val="20"/>
              </w:rPr>
              <w:t>A16.21.007,</w:t>
            </w:r>
            <w:r>
              <w:rPr>
                <w:spacing w:val="-9"/>
                <w:sz w:val="20"/>
              </w:rPr>
              <w:t> </w:t>
            </w:r>
            <w:r>
              <w:rPr>
                <w:spacing w:val="-2"/>
                <w:sz w:val="20"/>
              </w:rPr>
              <w:t>A16.21.015,</w:t>
            </w:r>
          </w:p>
        </w:tc>
        <w:tc>
          <w:tcPr>
            <w:tcW w:w="2364" w:type="dxa"/>
          </w:tcPr>
          <w:p>
            <w:pPr>
              <w:pStyle w:val="TableParagraph"/>
              <w:spacing w:line="209"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2515" w:type="dxa"/>
          </w:tcPr>
          <w:p>
            <w:pPr>
              <w:pStyle w:val="TableParagraph"/>
              <w:rPr>
                <w:sz w:val="16"/>
              </w:rPr>
            </w:pPr>
          </w:p>
        </w:tc>
        <w:tc>
          <w:tcPr>
            <w:tcW w:w="4487" w:type="dxa"/>
          </w:tcPr>
          <w:p>
            <w:pPr>
              <w:pStyle w:val="TableParagraph"/>
              <w:spacing w:line="209" w:lineRule="exact"/>
              <w:ind w:left="1150" w:right="250"/>
              <w:jc w:val="center"/>
              <w:rPr>
                <w:sz w:val="20"/>
              </w:rPr>
            </w:pPr>
            <w:r>
              <w:rPr>
                <w:w w:val="95"/>
                <w:sz w:val="20"/>
              </w:rPr>
              <w:t>A16.21.015.001,</w:t>
            </w:r>
            <w:r>
              <w:rPr>
                <w:spacing w:val="54"/>
                <w:sz w:val="20"/>
              </w:rPr>
              <w:t> </w:t>
            </w:r>
            <w:r>
              <w:rPr>
                <w:spacing w:val="-2"/>
                <w:sz w:val="20"/>
              </w:rPr>
              <w:t>A16.21.016,</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A16.21.018,</w:t>
            </w:r>
            <w:r>
              <w:rPr>
                <w:spacing w:val="-9"/>
                <w:sz w:val="20"/>
              </w:rPr>
              <w:t> </w:t>
            </w:r>
            <w:r>
              <w:rPr>
                <w:sz w:val="20"/>
              </w:rPr>
              <w:t>A16.21.021,</w:t>
            </w:r>
            <w:r>
              <w:rPr>
                <w:spacing w:val="-10"/>
                <w:sz w:val="20"/>
              </w:rPr>
              <w:t> </w:t>
            </w:r>
            <w:r>
              <w:rPr>
                <w:spacing w:val="-2"/>
                <w:sz w:val="20"/>
              </w:rPr>
              <w:t>A16.21.022,</w:t>
            </w:r>
          </w:p>
        </w:tc>
        <w:tc>
          <w:tcPr>
            <w:tcW w:w="2364" w:type="dxa"/>
          </w:tcPr>
          <w:p>
            <w:pPr>
              <w:pStyle w:val="TableParagraph"/>
              <w:rPr>
                <w:sz w:val="16"/>
              </w:rPr>
            </w:pPr>
          </w:p>
        </w:tc>
        <w:tc>
          <w:tcPr>
            <w:tcW w:w="863"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2" w:lineRule="exact"/>
              <w:ind w:left="1150" w:right="250"/>
              <w:jc w:val="center"/>
              <w:rPr>
                <w:sz w:val="20"/>
              </w:rPr>
            </w:pPr>
            <w:r>
              <w:rPr>
                <w:sz w:val="20"/>
              </w:rPr>
              <w:t>A16.21.027,</w:t>
            </w:r>
            <w:r>
              <w:rPr>
                <w:spacing w:val="-9"/>
                <w:sz w:val="20"/>
              </w:rPr>
              <w:t> </w:t>
            </w:r>
            <w:r>
              <w:rPr>
                <w:sz w:val="20"/>
              </w:rPr>
              <w:t>A16.21.028,</w:t>
            </w:r>
            <w:r>
              <w:rPr>
                <w:spacing w:val="-9"/>
                <w:sz w:val="20"/>
              </w:rPr>
              <w:t> </w:t>
            </w:r>
            <w:r>
              <w:rPr>
                <w:spacing w:val="-2"/>
                <w:sz w:val="20"/>
              </w:rPr>
              <w:t>A16.21.033,</w:t>
            </w:r>
          </w:p>
        </w:tc>
        <w:tc>
          <w:tcPr>
            <w:tcW w:w="2364" w:type="dxa"/>
          </w:tcPr>
          <w:p>
            <w:pPr>
              <w:pStyle w:val="TableParagraph"/>
              <w:rPr>
                <w:sz w:val="16"/>
              </w:rPr>
            </w:pPr>
          </w:p>
        </w:tc>
        <w:tc>
          <w:tcPr>
            <w:tcW w:w="863"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7" w:type="dxa"/>
          </w:tcPr>
          <w:p>
            <w:pPr>
              <w:pStyle w:val="TableParagraph"/>
              <w:spacing w:line="227" w:lineRule="exact"/>
              <w:ind w:left="1150" w:right="250"/>
              <w:jc w:val="center"/>
              <w:rPr>
                <w:sz w:val="20"/>
              </w:rPr>
            </w:pPr>
            <w:r>
              <w:rPr>
                <w:sz w:val="20"/>
              </w:rPr>
              <w:t>A16.21.044,</w:t>
            </w:r>
            <w:r>
              <w:rPr>
                <w:spacing w:val="-9"/>
                <w:sz w:val="20"/>
              </w:rPr>
              <w:t> </w:t>
            </w:r>
            <w:r>
              <w:rPr>
                <w:sz w:val="20"/>
              </w:rPr>
              <w:t>A16.21.045,</w:t>
            </w:r>
            <w:r>
              <w:rPr>
                <w:spacing w:val="-10"/>
                <w:sz w:val="20"/>
              </w:rPr>
              <w:t> </w:t>
            </w:r>
            <w:r>
              <w:rPr>
                <w:spacing w:val="-2"/>
                <w:sz w:val="20"/>
              </w:rPr>
              <w:t>A16.21.047</w:t>
            </w:r>
          </w:p>
        </w:tc>
        <w:tc>
          <w:tcPr>
            <w:tcW w:w="2364" w:type="dxa"/>
          </w:tcPr>
          <w:p>
            <w:pPr>
              <w:pStyle w:val="TableParagraph"/>
              <w:rPr>
                <w:sz w:val="18"/>
              </w:rPr>
            </w:pPr>
          </w:p>
        </w:tc>
        <w:tc>
          <w:tcPr>
            <w:tcW w:w="863"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st30.008</w:t>
            </w:r>
          </w:p>
        </w:tc>
        <w:tc>
          <w:tcPr>
            <w:tcW w:w="707" w:type="dxa"/>
          </w:tcPr>
          <w:p>
            <w:pPr>
              <w:pStyle w:val="TableParagraph"/>
              <w:spacing w:line="214" w:lineRule="exact" w:before="36"/>
              <w:ind w:left="210"/>
              <w:rPr>
                <w:sz w:val="20"/>
              </w:rPr>
            </w:pPr>
            <w:r>
              <w:rPr>
                <w:spacing w:val="-5"/>
                <w:sz w:val="20"/>
              </w:rPr>
              <w:t>289</w:t>
            </w:r>
          </w:p>
        </w:tc>
        <w:tc>
          <w:tcPr>
            <w:tcW w:w="3390" w:type="dxa"/>
          </w:tcPr>
          <w:p>
            <w:pPr>
              <w:pStyle w:val="TableParagraph"/>
              <w:spacing w:line="216" w:lineRule="exact" w:before="34"/>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36"/>
              <w:ind w:right="1150"/>
              <w:jc w:val="right"/>
              <w:rPr>
                <w:sz w:val="20"/>
              </w:rPr>
            </w:pPr>
            <w:r>
              <w:rPr>
                <w:w w:val="99"/>
                <w:sz w:val="20"/>
              </w:rPr>
              <w:t>-</w:t>
            </w:r>
          </w:p>
        </w:tc>
        <w:tc>
          <w:tcPr>
            <w:tcW w:w="4487" w:type="dxa"/>
          </w:tcPr>
          <w:p>
            <w:pPr>
              <w:pStyle w:val="TableParagraph"/>
              <w:spacing w:line="216" w:lineRule="exact" w:before="34"/>
              <w:ind w:left="1148" w:right="250"/>
              <w:jc w:val="center"/>
              <w:rPr>
                <w:sz w:val="20"/>
              </w:rPr>
            </w:pPr>
            <w:r>
              <w:rPr>
                <w:sz w:val="20"/>
              </w:rPr>
              <w:t>A16.21.003,</w:t>
            </w:r>
            <w:r>
              <w:rPr>
                <w:spacing w:val="-9"/>
                <w:sz w:val="20"/>
              </w:rPr>
              <w:t> </w:t>
            </w:r>
            <w:r>
              <w:rPr>
                <w:sz w:val="20"/>
              </w:rPr>
              <w:t>A16.21.004,</w:t>
            </w:r>
            <w:r>
              <w:rPr>
                <w:spacing w:val="-10"/>
                <w:sz w:val="20"/>
              </w:rPr>
              <w:t> </w:t>
            </w:r>
            <w:r>
              <w:rPr>
                <w:spacing w:val="-2"/>
                <w:sz w:val="20"/>
              </w:rPr>
              <w:t>A16.21.006,</w:t>
            </w:r>
          </w:p>
        </w:tc>
        <w:tc>
          <w:tcPr>
            <w:tcW w:w="2364" w:type="dxa"/>
          </w:tcPr>
          <w:p>
            <w:pPr>
              <w:pStyle w:val="TableParagraph"/>
              <w:spacing w:line="216" w:lineRule="exact" w:before="34"/>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36"/>
              <w:ind w:right="46"/>
              <w:jc w:val="right"/>
              <w:rPr>
                <w:sz w:val="20"/>
              </w:rPr>
            </w:pPr>
            <w:r>
              <w:rPr>
                <w:spacing w:val="-4"/>
                <w:sz w:val="20"/>
              </w:rPr>
              <w:t>2,31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10" w:lineRule="exact"/>
              <w:ind w:left="1325" w:right="426"/>
              <w:jc w:val="center"/>
              <w:rPr>
                <w:sz w:val="20"/>
              </w:rPr>
            </w:pPr>
            <w:r>
              <w:rPr>
                <w:w w:val="95"/>
                <w:sz w:val="20"/>
              </w:rPr>
              <w:t>A16.21.006.001,</w:t>
            </w:r>
            <w:r>
              <w:rPr>
                <w:spacing w:val="54"/>
                <w:sz w:val="20"/>
              </w:rPr>
              <w:t> </w:t>
            </w:r>
            <w:r>
              <w:rPr>
                <w:spacing w:val="-2"/>
                <w:sz w:val="20"/>
              </w:rPr>
              <w:t>A16.21.006.002,</w:t>
            </w:r>
          </w:p>
        </w:tc>
        <w:tc>
          <w:tcPr>
            <w:tcW w:w="2364" w:type="dxa"/>
          </w:tcPr>
          <w:p>
            <w:pPr>
              <w:pStyle w:val="TableParagraph"/>
              <w:spacing w:line="210"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2515" w:type="dxa"/>
          </w:tcPr>
          <w:p>
            <w:pPr>
              <w:pStyle w:val="TableParagraph"/>
              <w:rPr>
                <w:sz w:val="16"/>
              </w:rPr>
            </w:pPr>
          </w:p>
        </w:tc>
        <w:tc>
          <w:tcPr>
            <w:tcW w:w="4487" w:type="dxa"/>
          </w:tcPr>
          <w:p>
            <w:pPr>
              <w:pStyle w:val="TableParagraph"/>
              <w:spacing w:line="209" w:lineRule="exact"/>
              <w:ind w:left="1150" w:right="249"/>
              <w:jc w:val="center"/>
              <w:rPr>
                <w:sz w:val="20"/>
              </w:rPr>
            </w:pPr>
            <w:r>
              <w:rPr>
                <w:w w:val="95"/>
                <w:sz w:val="20"/>
              </w:rPr>
              <w:t>A16.21.006.003,</w:t>
            </w:r>
            <w:r>
              <w:rPr>
                <w:spacing w:val="56"/>
                <w:sz w:val="20"/>
              </w:rPr>
              <w:t> </w:t>
            </w:r>
            <w:r>
              <w:rPr>
                <w:spacing w:val="-2"/>
                <w:sz w:val="20"/>
              </w:rPr>
              <w:t>A16.21.006.006,</w:t>
            </w:r>
          </w:p>
        </w:tc>
        <w:tc>
          <w:tcPr>
            <w:tcW w:w="2364" w:type="dxa"/>
          </w:tcPr>
          <w:p>
            <w:pPr>
              <w:pStyle w:val="TableParagraph"/>
              <w:rPr>
                <w:sz w:val="16"/>
              </w:rPr>
            </w:pPr>
          </w:p>
        </w:tc>
        <w:tc>
          <w:tcPr>
            <w:tcW w:w="863" w:type="dxa"/>
          </w:tcPr>
          <w:p>
            <w:pPr>
              <w:pStyle w:val="TableParagraph"/>
              <w:rPr>
                <w:sz w:val="16"/>
              </w:rPr>
            </w:pPr>
          </w:p>
        </w:tc>
      </w:tr>
      <w:tr>
        <w:trPr>
          <w:trHeight w:val="228"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8" w:lineRule="exact"/>
              <w:ind w:left="1150" w:right="250"/>
              <w:jc w:val="center"/>
              <w:rPr>
                <w:sz w:val="20"/>
              </w:rPr>
            </w:pPr>
            <w:r>
              <w:rPr>
                <w:sz w:val="20"/>
              </w:rPr>
              <w:t>A16.21.019,</w:t>
            </w:r>
            <w:r>
              <w:rPr>
                <w:spacing w:val="-9"/>
                <w:sz w:val="20"/>
              </w:rPr>
              <w:t> </w:t>
            </w:r>
            <w:r>
              <w:rPr>
                <w:spacing w:val="-2"/>
                <w:sz w:val="20"/>
              </w:rPr>
              <w:t>A16.21.019.001,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1" w:lineRule="exact"/>
              <w:ind w:left="1325" w:right="426"/>
              <w:jc w:val="center"/>
              <w:rPr>
                <w:sz w:val="20"/>
              </w:rPr>
            </w:pPr>
            <w:r>
              <w:rPr>
                <w:w w:val="95"/>
                <w:sz w:val="20"/>
              </w:rPr>
              <w:t>A16.21.019.002,</w:t>
            </w:r>
            <w:r>
              <w:rPr>
                <w:spacing w:val="54"/>
                <w:sz w:val="20"/>
              </w:rPr>
              <w:t> </w:t>
            </w:r>
            <w:r>
              <w:rPr>
                <w:spacing w:val="-2"/>
                <w:sz w:val="20"/>
              </w:rPr>
              <w:t>A16.21.019.003,</w:t>
            </w:r>
          </w:p>
        </w:tc>
        <w:tc>
          <w:tcPr>
            <w:tcW w:w="2364" w:type="dxa"/>
          </w:tcPr>
          <w:p>
            <w:pPr>
              <w:pStyle w:val="TableParagraph"/>
              <w:rPr>
                <w:sz w:val="16"/>
              </w:rPr>
            </w:pPr>
          </w:p>
        </w:tc>
        <w:tc>
          <w:tcPr>
            <w:tcW w:w="863"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2" w:lineRule="exact"/>
              <w:ind w:left="1148" w:right="250"/>
              <w:jc w:val="center"/>
              <w:rPr>
                <w:sz w:val="20"/>
              </w:rPr>
            </w:pPr>
            <w:r>
              <w:rPr>
                <w:sz w:val="20"/>
              </w:rPr>
              <w:t>A16.21.029,</w:t>
            </w:r>
            <w:r>
              <w:rPr>
                <w:spacing w:val="-9"/>
                <w:sz w:val="20"/>
              </w:rPr>
              <w:t> </w:t>
            </w:r>
            <w:r>
              <w:rPr>
                <w:sz w:val="20"/>
              </w:rPr>
              <w:t>A16.21.030,</w:t>
            </w:r>
            <w:r>
              <w:rPr>
                <w:spacing w:val="-10"/>
                <w:sz w:val="20"/>
              </w:rPr>
              <w:t> </w:t>
            </w:r>
            <w:r>
              <w:rPr>
                <w:spacing w:val="-2"/>
                <w:sz w:val="20"/>
              </w:rPr>
              <w:t>A16.21.036,</w:t>
            </w:r>
          </w:p>
        </w:tc>
        <w:tc>
          <w:tcPr>
            <w:tcW w:w="2364" w:type="dxa"/>
          </w:tcPr>
          <w:p>
            <w:pPr>
              <w:pStyle w:val="TableParagraph"/>
              <w:rPr>
                <w:sz w:val="16"/>
              </w:rPr>
            </w:pPr>
          </w:p>
        </w:tc>
        <w:tc>
          <w:tcPr>
            <w:tcW w:w="863"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7" w:type="dxa"/>
          </w:tcPr>
          <w:p>
            <w:pPr>
              <w:pStyle w:val="TableParagraph"/>
              <w:spacing w:line="227" w:lineRule="exact"/>
              <w:ind w:left="1150" w:right="250"/>
              <w:jc w:val="center"/>
              <w:rPr>
                <w:sz w:val="20"/>
              </w:rPr>
            </w:pPr>
            <w:r>
              <w:rPr>
                <w:sz w:val="20"/>
              </w:rPr>
              <w:t>A16.21.042,</w:t>
            </w:r>
            <w:r>
              <w:rPr>
                <w:spacing w:val="-9"/>
                <w:sz w:val="20"/>
              </w:rPr>
              <w:t> </w:t>
            </w:r>
            <w:r>
              <w:rPr>
                <w:sz w:val="20"/>
              </w:rPr>
              <w:t>A16.21.046,</w:t>
            </w:r>
            <w:r>
              <w:rPr>
                <w:spacing w:val="-10"/>
                <w:sz w:val="20"/>
              </w:rPr>
              <w:t> </w:t>
            </w:r>
            <w:r>
              <w:rPr>
                <w:spacing w:val="-2"/>
                <w:sz w:val="20"/>
              </w:rPr>
              <w:t>A24.21.003</w:t>
            </w:r>
          </w:p>
        </w:tc>
        <w:tc>
          <w:tcPr>
            <w:tcW w:w="2364" w:type="dxa"/>
          </w:tcPr>
          <w:p>
            <w:pPr>
              <w:pStyle w:val="TableParagraph"/>
              <w:rPr>
                <w:sz w:val="18"/>
              </w:rPr>
            </w:pPr>
          </w:p>
        </w:tc>
        <w:tc>
          <w:tcPr>
            <w:tcW w:w="863" w:type="dxa"/>
          </w:tcPr>
          <w:p>
            <w:pPr>
              <w:pStyle w:val="TableParagraph"/>
              <w:rPr>
                <w:sz w:val="18"/>
              </w:rPr>
            </w:pPr>
          </w:p>
        </w:tc>
      </w:tr>
      <w:tr>
        <w:trPr>
          <w:trHeight w:val="268" w:hRule="atLeast"/>
        </w:trPr>
        <w:tc>
          <w:tcPr>
            <w:tcW w:w="946" w:type="dxa"/>
          </w:tcPr>
          <w:p>
            <w:pPr>
              <w:pStyle w:val="TableParagraph"/>
              <w:spacing w:line="215" w:lineRule="exact" w:before="34"/>
              <w:ind w:left="50"/>
              <w:rPr>
                <w:sz w:val="20"/>
              </w:rPr>
            </w:pPr>
            <w:r>
              <w:rPr>
                <w:spacing w:val="-2"/>
                <w:sz w:val="20"/>
              </w:rPr>
              <w:t>st30.009</w:t>
            </w:r>
          </w:p>
        </w:tc>
        <w:tc>
          <w:tcPr>
            <w:tcW w:w="707" w:type="dxa"/>
          </w:tcPr>
          <w:p>
            <w:pPr>
              <w:pStyle w:val="TableParagraph"/>
              <w:spacing w:line="215" w:lineRule="exact" w:before="34"/>
              <w:ind w:left="210"/>
              <w:rPr>
                <w:sz w:val="20"/>
              </w:rPr>
            </w:pPr>
            <w:r>
              <w:rPr>
                <w:spacing w:val="-5"/>
                <w:sz w:val="20"/>
              </w:rPr>
              <w:t>290</w:t>
            </w:r>
          </w:p>
        </w:tc>
        <w:tc>
          <w:tcPr>
            <w:tcW w:w="3390" w:type="dxa"/>
          </w:tcPr>
          <w:p>
            <w:pPr>
              <w:pStyle w:val="TableParagraph"/>
              <w:spacing w:line="215" w:lineRule="exact" w:before="34"/>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5" w:lineRule="exact" w:before="34"/>
              <w:ind w:right="1150"/>
              <w:jc w:val="right"/>
              <w:rPr>
                <w:sz w:val="20"/>
              </w:rPr>
            </w:pPr>
            <w:r>
              <w:rPr>
                <w:w w:val="99"/>
                <w:sz w:val="20"/>
              </w:rPr>
              <w:t>-</w:t>
            </w:r>
          </w:p>
        </w:tc>
        <w:tc>
          <w:tcPr>
            <w:tcW w:w="4487" w:type="dxa"/>
          </w:tcPr>
          <w:p>
            <w:pPr>
              <w:pStyle w:val="TableParagraph"/>
              <w:spacing w:line="215" w:lineRule="exact" w:before="34"/>
              <w:ind w:left="1150" w:right="250"/>
              <w:jc w:val="center"/>
              <w:rPr>
                <w:sz w:val="20"/>
              </w:rPr>
            </w:pPr>
            <w:r>
              <w:rPr>
                <w:sz w:val="20"/>
              </w:rPr>
              <w:t>A16.21.002,</w:t>
            </w:r>
            <w:r>
              <w:rPr>
                <w:spacing w:val="-9"/>
                <w:sz w:val="20"/>
              </w:rPr>
              <w:t> </w:t>
            </w:r>
            <w:r>
              <w:rPr>
                <w:spacing w:val="-2"/>
                <w:sz w:val="20"/>
              </w:rPr>
              <w:t>A16.21.002.001,</w:t>
            </w:r>
          </w:p>
        </w:tc>
        <w:tc>
          <w:tcPr>
            <w:tcW w:w="2364" w:type="dxa"/>
          </w:tcPr>
          <w:p>
            <w:pPr>
              <w:pStyle w:val="TableParagraph"/>
              <w:spacing w:line="215" w:lineRule="exact" w:before="34"/>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34"/>
              <w:ind w:right="46"/>
              <w:jc w:val="right"/>
              <w:rPr>
                <w:sz w:val="20"/>
              </w:rPr>
            </w:pPr>
            <w:r>
              <w:rPr>
                <w:spacing w:val="-4"/>
                <w:sz w:val="20"/>
              </w:rPr>
              <w:t>3,12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sz w:val="20"/>
              </w:rPr>
              <w:t>A16.21.005,</w:t>
            </w:r>
            <w:r>
              <w:rPr>
                <w:spacing w:val="-9"/>
                <w:sz w:val="20"/>
              </w:rPr>
              <w:t> </w:t>
            </w:r>
            <w:r>
              <w:rPr>
                <w:spacing w:val="-2"/>
                <w:sz w:val="20"/>
              </w:rPr>
              <w:t>A16.21.006.005,</w:t>
            </w:r>
          </w:p>
        </w:tc>
        <w:tc>
          <w:tcPr>
            <w:tcW w:w="2364" w:type="dxa"/>
          </w:tcPr>
          <w:p>
            <w:pPr>
              <w:pStyle w:val="TableParagraph"/>
              <w:spacing w:line="210"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взрослые</w:t>
            </w:r>
            <w:r>
              <w:rPr>
                <w:spacing w:val="-10"/>
                <w:sz w:val="20"/>
              </w:rPr>
              <w:t> </w:t>
            </w:r>
            <w:r>
              <w:rPr>
                <w:sz w:val="20"/>
              </w:rPr>
              <w:t>(уровень</w:t>
            </w:r>
            <w:r>
              <w:rPr>
                <w:spacing w:val="-9"/>
                <w:sz w:val="20"/>
              </w:rPr>
              <w:t> </w:t>
            </w:r>
            <w:r>
              <w:rPr>
                <w:spacing w:val="-5"/>
                <w:sz w:val="20"/>
              </w:rPr>
              <w:t>4)</w:t>
            </w: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sz w:val="20"/>
              </w:rPr>
              <w:t>A16.21.014,</w:t>
            </w:r>
            <w:r>
              <w:rPr>
                <w:spacing w:val="-9"/>
                <w:sz w:val="20"/>
              </w:rPr>
              <w:t> </w:t>
            </w:r>
            <w:r>
              <w:rPr>
                <w:spacing w:val="-2"/>
                <w:sz w:val="20"/>
              </w:rPr>
              <w:t>A16.21.014.001,</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50" w:right="250"/>
              <w:jc w:val="center"/>
              <w:rPr>
                <w:sz w:val="20"/>
              </w:rPr>
            </w:pPr>
            <w:r>
              <w:rPr>
                <w:w w:val="95"/>
                <w:sz w:val="20"/>
              </w:rPr>
              <w:t>A16.21.014.002,</w:t>
            </w:r>
            <w:r>
              <w:rPr>
                <w:spacing w:val="54"/>
                <w:sz w:val="20"/>
              </w:rPr>
              <w:t> </w:t>
            </w:r>
            <w:r>
              <w:rPr>
                <w:spacing w:val="-2"/>
                <w:sz w:val="20"/>
              </w:rPr>
              <w:t>A16.21.041,</w:t>
            </w:r>
          </w:p>
        </w:tc>
        <w:tc>
          <w:tcPr>
            <w:tcW w:w="2364" w:type="dxa"/>
          </w:tcPr>
          <w:p>
            <w:pPr>
              <w:pStyle w:val="TableParagraph"/>
              <w:rPr>
                <w:sz w:val="16"/>
              </w:rPr>
            </w:pPr>
          </w:p>
        </w:tc>
        <w:tc>
          <w:tcPr>
            <w:tcW w:w="863"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4" w:lineRule="exact"/>
              <w:ind w:left="1325" w:right="426"/>
              <w:jc w:val="center"/>
              <w:rPr>
                <w:sz w:val="20"/>
              </w:rPr>
            </w:pPr>
            <w:r>
              <w:rPr>
                <w:w w:val="95"/>
                <w:sz w:val="20"/>
              </w:rPr>
              <w:t>A16.21.041.001,</w:t>
            </w:r>
            <w:r>
              <w:rPr>
                <w:spacing w:val="54"/>
                <w:sz w:val="20"/>
              </w:rPr>
              <w:t> </w:t>
            </w:r>
            <w:r>
              <w:rPr>
                <w:spacing w:val="-2"/>
                <w:sz w:val="20"/>
              </w:rPr>
              <w:t>A16.21.049</w:t>
            </w:r>
          </w:p>
        </w:tc>
        <w:tc>
          <w:tcPr>
            <w:tcW w:w="2364" w:type="dxa"/>
          </w:tcPr>
          <w:p>
            <w:pPr>
              <w:pStyle w:val="TableParagraph"/>
              <w:rPr>
                <w:sz w:val="16"/>
              </w:rPr>
            </w:pP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37"/>
        <w:gridCol w:w="2568"/>
        <w:gridCol w:w="4486"/>
        <w:gridCol w:w="2366"/>
        <w:gridCol w:w="864"/>
      </w:tblGrid>
      <w:tr>
        <w:trPr>
          <w:trHeight w:val="2575" w:hRule="atLeast"/>
        </w:trPr>
        <w:tc>
          <w:tcPr>
            <w:tcW w:w="946" w:type="dxa"/>
          </w:tcPr>
          <w:p>
            <w:pPr>
              <w:pStyle w:val="TableParagraph"/>
              <w:spacing w:line="221" w:lineRule="exact"/>
              <w:ind w:left="50"/>
              <w:rPr>
                <w:sz w:val="20"/>
              </w:rPr>
            </w:pPr>
            <w:r>
              <w:rPr>
                <w:spacing w:val="-2"/>
                <w:sz w:val="20"/>
              </w:rPr>
              <w:t>st30.010</w:t>
            </w:r>
          </w:p>
        </w:tc>
        <w:tc>
          <w:tcPr>
            <w:tcW w:w="707" w:type="dxa"/>
          </w:tcPr>
          <w:p>
            <w:pPr>
              <w:pStyle w:val="TableParagraph"/>
              <w:spacing w:line="221" w:lineRule="exact"/>
              <w:ind w:left="210"/>
              <w:rPr>
                <w:sz w:val="20"/>
              </w:rPr>
            </w:pPr>
            <w:r>
              <w:rPr>
                <w:spacing w:val="-5"/>
                <w:sz w:val="20"/>
              </w:rPr>
              <w:t>291</w:t>
            </w:r>
          </w:p>
        </w:tc>
        <w:tc>
          <w:tcPr>
            <w:tcW w:w="3337" w:type="dxa"/>
          </w:tcPr>
          <w:p>
            <w:pPr>
              <w:pStyle w:val="TableParagraph"/>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1)</w:t>
            </w:r>
          </w:p>
        </w:tc>
        <w:tc>
          <w:tcPr>
            <w:tcW w:w="2568" w:type="dxa"/>
          </w:tcPr>
          <w:p>
            <w:pPr>
              <w:pStyle w:val="TableParagraph"/>
              <w:spacing w:line="221" w:lineRule="exact"/>
              <w:ind w:right="1150"/>
              <w:jc w:val="right"/>
              <w:rPr>
                <w:sz w:val="20"/>
              </w:rPr>
            </w:pPr>
            <w:r>
              <w:rPr>
                <w:w w:val="99"/>
                <w:sz w:val="20"/>
              </w:rPr>
              <w:t>-</w:t>
            </w:r>
          </w:p>
        </w:tc>
        <w:tc>
          <w:tcPr>
            <w:tcW w:w="4486" w:type="dxa"/>
          </w:tcPr>
          <w:p>
            <w:pPr>
              <w:pStyle w:val="TableParagraph"/>
              <w:ind w:left="1150" w:right="248"/>
              <w:jc w:val="center"/>
              <w:rPr>
                <w:sz w:val="20"/>
              </w:rPr>
            </w:pPr>
            <w:r>
              <w:rPr>
                <w:sz w:val="20"/>
              </w:rPr>
              <w:t>A03.28.001,</w:t>
            </w:r>
            <w:r>
              <w:rPr>
                <w:spacing w:val="-13"/>
                <w:sz w:val="20"/>
              </w:rPr>
              <w:t> </w:t>
            </w:r>
            <w:r>
              <w:rPr>
                <w:sz w:val="20"/>
              </w:rPr>
              <w:t>A03.28.002,</w:t>
            </w:r>
            <w:r>
              <w:rPr>
                <w:spacing w:val="-12"/>
                <w:sz w:val="20"/>
              </w:rPr>
              <w:t> </w:t>
            </w:r>
            <w:r>
              <w:rPr>
                <w:sz w:val="20"/>
              </w:rPr>
              <w:t>A03.28.003, A03.28.004,</w:t>
            </w:r>
            <w:r>
              <w:rPr>
                <w:spacing w:val="-13"/>
                <w:sz w:val="20"/>
              </w:rPr>
              <w:t> </w:t>
            </w:r>
            <w:r>
              <w:rPr>
                <w:sz w:val="20"/>
              </w:rPr>
              <w:t>A06.28.003,</w:t>
            </w:r>
            <w:r>
              <w:rPr>
                <w:spacing w:val="-12"/>
                <w:sz w:val="20"/>
              </w:rPr>
              <w:t> </w:t>
            </w:r>
            <w:r>
              <w:rPr>
                <w:sz w:val="20"/>
              </w:rPr>
              <w:t>A06.28.004, A06.28.012,</w:t>
            </w:r>
            <w:r>
              <w:rPr>
                <w:spacing w:val="-13"/>
                <w:sz w:val="20"/>
              </w:rPr>
              <w:t> </w:t>
            </w:r>
            <w:r>
              <w:rPr>
                <w:sz w:val="20"/>
              </w:rPr>
              <w:t>A11.28.001,</w:t>
            </w:r>
            <w:r>
              <w:rPr>
                <w:spacing w:val="-12"/>
                <w:sz w:val="20"/>
              </w:rPr>
              <w:t> </w:t>
            </w:r>
            <w:r>
              <w:rPr>
                <w:sz w:val="20"/>
              </w:rPr>
              <w:t>A11.28.002, A16.28.013.001, A16.28.013.002, A16.28.025, A16.28.035, A16.28.035.001, A16.28.040, A16.28.043, A16.28.045.004, A16.28.051, A16.28.052.001, A16.28.072.001, A16.28.077, A16.28.079, A16.28.086, A16.28.086.001, A16.28.087</w:t>
            </w:r>
          </w:p>
        </w:tc>
        <w:tc>
          <w:tcPr>
            <w:tcW w:w="2366" w:type="dxa"/>
          </w:tcPr>
          <w:p>
            <w:pPr>
              <w:pStyle w:val="TableParagraph"/>
              <w:ind w:left="485"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line="221" w:lineRule="exact"/>
              <w:ind w:right="48"/>
              <w:jc w:val="right"/>
              <w:rPr>
                <w:sz w:val="20"/>
              </w:rPr>
            </w:pPr>
            <w:r>
              <w:rPr>
                <w:spacing w:val="-4"/>
                <w:sz w:val="20"/>
              </w:rPr>
              <w:t>1,08</w:t>
            </w:r>
          </w:p>
        </w:tc>
      </w:tr>
      <w:tr>
        <w:trPr>
          <w:trHeight w:val="3550" w:hRule="atLeast"/>
        </w:trPr>
        <w:tc>
          <w:tcPr>
            <w:tcW w:w="946" w:type="dxa"/>
          </w:tcPr>
          <w:p>
            <w:pPr>
              <w:pStyle w:val="TableParagraph"/>
              <w:spacing w:before="46"/>
              <w:ind w:left="50"/>
              <w:rPr>
                <w:sz w:val="20"/>
              </w:rPr>
            </w:pPr>
            <w:r>
              <w:rPr>
                <w:spacing w:val="-2"/>
                <w:sz w:val="20"/>
              </w:rPr>
              <w:t>st30.011</w:t>
            </w:r>
          </w:p>
        </w:tc>
        <w:tc>
          <w:tcPr>
            <w:tcW w:w="707" w:type="dxa"/>
          </w:tcPr>
          <w:p>
            <w:pPr>
              <w:pStyle w:val="TableParagraph"/>
              <w:spacing w:before="46"/>
              <w:ind w:left="210"/>
              <w:rPr>
                <w:sz w:val="20"/>
              </w:rPr>
            </w:pPr>
            <w:r>
              <w:rPr>
                <w:spacing w:val="-5"/>
                <w:sz w:val="20"/>
              </w:rPr>
              <w:t>292</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2)</w:t>
            </w:r>
          </w:p>
        </w:tc>
        <w:tc>
          <w:tcPr>
            <w:tcW w:w="2568" w:type="dxa"/>
          </w:tcPr>
          <w:p>
            <w:pPr>
              <w:pStyle w:val="TableParagraph"/>
              <w:spacing w:before="46"/>
              <w:ind w:right="1150"/>
              <w:jc w:val="right"/>
              <w:rPr>
                <w:sz w:val="20"/>
              </w:rPr>
            </w:pPr>
            <w:r>
              <w:rPr>
                <w:w w:val="99"/>
                <w:sz w:val="20"/>
              </w:rPr>
              <w:t>-</w:t>
            </w:r>
          </w:p>
        </w:tc>
        <w:tc>
          <w:tcPr>
            <w:tcW w:w="4486" w:type="dxa"/>
          </w:tcPr>
          <w:p>
            <w:pPr>
              <w:pStyle w:val="TableParagraph"/>
              <w:spacing w:before="46"/>
              <w:ind w:left="1150" w:right="248"/>
              <w:jc w:val="center"/>
              <w:rPr>
                <w:sz w:val="20"/>
              </w:rPr>
            </w:pPr>
            <w:r>
              <w:rPr>
                <w:sz w:val="20"/>
              </w:rPr>
              <w:t>A03.28.001.001, A03.28.001.002, A11.28.001.001, A11.28.011, A11.28.012,</w:t>
            </w:r>
            <w:r>
              <w:rPr>
                <w:spacing w:val="-13"/>
                <w:sz w:val="20"/>
              </w:rPr>
              <w:t> </w:t>
            </w:r>
            <w:r>
              <w:rPr>
                <w:sz w:val="20"/>
              </w:rPr>
              <w:t>A11.28.013,</w:t>
            </w:r>
            <w:r>
              <w:rPr>
                <w:spacing w:val="-12"/>
                <w:sz w:val="20"/>
              </w:rPr>
              <w:t> </w:t>
            </w:r>
            <w:r>
              <w:rPr>
                <w:sz w:val="20"/>
              </w:rPr>
              <w:t>A16.28.006, A16.28.009, A16.28.010.002, A16.28.011,</w:t>
            </w:r>
            <w:r>
              <w:rPr>
                <w:spacing w:val="-13"/>
                <w:sz w:val="20"/>
              </w:rPr>
              <w:t> </w:t>
            </w:r>
            <w:r>
              <w:rPr>
                <w:sz w:val="20"/>
              </w:rPr>
              <w:t>A16.28.012,</w:t>
            </w:r>
            <w:r>
              <w:rPr>
                <w:spacing w:val="-12"/>
                <w:sz w:val="20"/>
              </w:rPr>
              <w:t> </w:t>
            </w:r>
            <w:r>
              <w:rPr>
                <w:sz w:val="20"/>
              </w:rPr>
              <w:t>A16.28.014, A16.28.015,</w:t>
            </w:r>
            <w:r>
              <w:rPr>
                <w:spacing w:val="-13"/>
                <w:sz w:val="20"/>
              </w:rPr>
              <w:t> </w:t>
            </w:r>
            <w:r>
              <w:rPr>
                <w:sz w:val="20"/>
              </w:rPr>
              <w:t>A16.28.017,</w:t>
            </w:r>
            <w:r>
              <w:rPr>
                <w:spacing w:val="-12"/>
                <w:sz w:val="20"/>
              </w:rPr>
              <w:t> </w:t>
            </w:r>
            <w:r>
              <w:rPr>
                <w:sz w:val="20"/>
              </w:rPr>
              <w:t>A16.28.023, A16.28.024,</w:t>
            </w:r>
            <w:r>
              <w:rPr>
                <w:spacing w:val="-13"/>
                <w:sz w:val="20"/>
              </w:rPr>
              <w:t> </w:t>
            </w:r>
            <w:r>
              <w:rPr>
                <w:sz w:val="20"/>
              </w:rPr>
              <w:t>A16.28.033,</w:t>
            </w:r>
            <w:r>
              <w:rPr>
                <w:spacing w:val="-12"/>
                <w:sz w:val="20"/>
              </w:rPr>
              <w:t> </w:t>
            </w:r>
            <w:r>
              <w:rPr>
                <w:sz w:val="20"/>
              </w:rPr>
              <w:t>A16.28.034, A16.28.036,</w:t>
            </w:r>
            <w:r>
              <w:rPr>
                <w:spacing w:val="-13"/>
                <w:sz w:val="20"/>
              </w:rPr>
              <w:t> </w:t>
            </w:r>
            <w:r>
              <w:rPr>
                <w:sz w:val="20"/>
              </w:rPr>
              <w:t>A16.28.037,</w:t>
            </w:r>
            <w:r>
              <w:rPr>
                <w:spacing w:val="-12"/>
                <w:sz w:val="20"/>
              </w:rPr>
              <w:t> </w:t>
            </w:r>
            <w:r>
              <w:rPr>
                <w:sz w:val="20"/>
              </w:rPr>
              <w:t>A16.28.039, A16.28.044,</w:t>
            </w:r>
            <w:r>
              <w:rPr>
                <w:spacing w:val="-13"/>
                <w:sz w:val="20"/>
              </w:rPr>
              <w:t> </w:t>
            </w:r>
            <w:r>
              <w:rPr>
                <w:sz w:val="20"/>
              </w:rPr>
              <w:t>A16.28.045,</w:t>
            </w:r>
            <w:r>
              <w:rPr>
                <w:spacing w:val="-12"/>
                <w:sz w:val="20"/>
              </w:rPr>
              <w:t> </w:t>
            </w:r>
            <w:r>
              <w:rPr>
                <w:sz w:val="20"/>
              </w:rPr>
              <w:t>A16.28.046, A16.28.052,</w:t>
            </w:r>
            <w:r>
              <w:rPr>
                <w:spacing w:val="-13"/>
                <w:sz w:val="20"/>
              </w:rPr>
              <w:t> </w:t>
            </w:r>
            <w:r>
              <w:rPr>
                <w:sz w:val="20"/>
              </w:rPr>
              <w:t>A16.28.053,</w:t>
            </w:r>
            <w:r>
              <w:rPr>
                <w:spacing w:val="-12"/>
                <w:sz w:val="20"/>
              </w:rPr>
              <w:t> </w:t>
            </w:r>
            <w:r>
              <w:rPr>
                <w:sz w:val="20"/>
              </w:rPr>
              <w:t>A16.28.054, A16.28.058,</w:t>
            </w:r>
            <w:r>
              <w:rPr>
                <w:spacing w:val="-13"/>
                <w:sz w:val="20"/>
              </w:rPr>
              <w:t> </w:t>
            </w:r>
            <w:r>
              <w:rPr>
                <w:sz w:val="20"/>
              </w:rPr>
              <w:t>A16.28.060,</w:t>
            </w:r>
            <w:r>
              <w:rPr>
                <w:spacing w:val="-12"/>
                <w:sz w:val="20"/>
              </w:rPr>
              <w:t> </w:t>
            </w:r>
            <w:r>
              <w:rPr>
                <w:sz w:val="20"/>
              </w:rPr>
              <w:t>A16.28.071, A16.28.072, A16.28.074, A16.28.075.001, A16.28.076, A16.28.082,</w:t>
            </w:r>
            <w:r>
              <w:rPr>
                <w:spacing w:val="-13"/>
                <w:sz w:val="20"/>
              </w:rPr>
              <w:t> </w:t>
            </w:r>
            <w:r>
              <w:rPr>
                <w:sz w:val="20"/>
              </w:rPr>
              <w:t>A16.28.083,</w:t>
            </w:r>
            <w:r>
              <w:rPr>
                <w:spacing w:val="-12"/>
                <w:sz w:val="20"/>
              </w:rPr>
              <w:t> </w:t>
            </w:r>
            <w:r>
              <w:rPr>
                <w:sz w:val="20"/>
              </w:rPr>
              <w:t>A16.28.093, </w:t>
            </w:r>
            <w:r>
              <w:rPr>
                <w:spacing w:val="-2"/>
                <w:sz w:val="20"/>
              </w:rPr>
              <w:t>A16.28.094</w:t>
            </w:r>
          </w:p>
        </w:tc>
        <w:tc>
          <w:tcPr>
            <w:tcW w:w="2366" w:type="dxa"/>
          </w:tcPr>
          <w:p>
            <w:pPr>
              <w:pStyle w:val="TableParagraph"/>
              <w:spacing w:before="46"/>
              <w:ind w:left="485"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1,12</w:t>
            </w:r>
          </w:p>
        </w:tc>
      </w:tr>
      <w:tr>
        <w:trPr>
          <w:trHeight w:val="2345" w:hRule="atLeast"/>
        </w:trPr>
        <w:tc>
          <w:tcPr>
            <w:tcW w:w="946" w:type="dxa"/>
          </w:tcPr>
          <w:p>
            <w:pPr>
              <w:pStyle w:val="TableParagraph"/>
              <w:spacing w:before="46"/>
              <w:ind w:left="50"/>
              <w:rPr>
                <w:sz w:val="20"/>
              </w:rPr>
            </w:pPr>
            <w:r>
              <w:rPr>
                <w:spacing w:val="-2"/>
                <w:sz w:val="20"/>
              </w:rPr>
              <w:t>st30.012</w:t>
            </w:r>
          </w:p>
        </w:tc>
        <w:tc>
          <w:tcPr>
            <w:tcW w:w="707" w:type="dxa"/>
          </w:tcPr>
          <w:p>
            <w:pPr>
              <w:pStyle w:val="TableParagraph"/>
              <w:spacing w:before="46"/>
              <w:ind w:left="210"/>
              <w:rPr>
                <w:sz w:val="20"/>
              </w:rPr>
            </w:pPr>
            <w:r>
              <w:rPr>
                <w:spacing w:val="-5"/>
                <w:sz w:val="20"/>
              </w:rPr>
              <w:t>293</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3)</w:t>
            </w:r>
          </w:p>
        </w:tc>
        <w:tc>
          <w:tcPr>
            <w:tcW w:w="2568" w:type="dxa"/>
          </w:tcPr>
          <w:p>
            <w:pPr>
              <w:pStyle w:val="TableParagraph"/>
              <w:spacing w:before="46"/>
              <w:ind w:right="1150"/>
              <w:jc w:val="right"/>
              <w:rPr>
                <w:sz w:val="20"/>
              </w:rPr>
            </w:pPr>
            <w:r>
              <w:rPr>
                <w:w w:val="99"/>
                <w:sz w:val="20"/>
              </w:rPr>
              <w:t>-</w:t>
            </w:r>
          </w:p>
        </w:tc>
        <w:tc>
          <w:tcPr>
            <w:tcW w:w="4486" w:type="dxa"/>
          </w:tcPr>
          <w:p>
            <w:pPr>
              <w:pStyle w:val="TableParagraph"/>
              <w:spacing w:before="46"/>
              <w:ind w:left="1152" w:right="248" w:hanging="1"/>
              <w:jc w:val="center"/>
              <w:rPr>
                <w:sz w:val="20"/>
              </w:rPr>
            </w:pPr>
            <w:r>
              <w:rPr>
                <w:sz w:val="20"/>
              </w:rPr>
              <w:t>A16.28.001, A16.28.001.001, A16.28.002,</w:t>
            </w:r>
            <w:r>
              <w:rPr>
                <w:spacing w:val="-13"/>
                <w:sz w:val="20"/>
              </w:rPr>
              <w:t> </w:t>
            </w:r>
            <w:r>
              <w:rPr>
                <w:sz w:val="20"/>
              </w:rPr>
              <w:t>A16.28.003,</w:t>
            </w:r>
            <w:r>
              <w:rPr>
                <w:spacing w:val="-12"/>
                <w:sz w:val="20"/>
              </w:rPr>
              <w:t> </w:t>
            </w:r>
            <w:r>
              <w:rPr>
                <w:sz w:val="20"/>
              </w:rPr>
              <w:t>A16.28.008, A16.28.010, A16.28.013, A16.28.017.001, A16.28.019, A16.28.020,</w:t>
            </w:r>
            <w:r>
              <w:rPr>
                <w:spacing w:val="-13"/>
                <w:sz w:val="20"/>
              </w:rPr>
              <w:t> </w:t>
            </w:r>
            <w:r>
              <w:rPr>
                <w:sz w:val="20"/>
              </w:rPr>
              <w:t>A16.28.021,</w:t>
            </w:r>
            <w:r>
              <w:rPr>
                <w:spacing w:val="-12"/>
                <w:sz w:val="20"/>
              </w:rPr>
              <w:t> </w:t>
            </w:r>
            <w:r>
              <w:rPr>
                <w:sz w:val="20"/>
              </w:rPr>
              <w:t>A16.28.028, A16.28.029, A16.28.029.002, A16.28.029.003, A16.28.035.002, A16.28.038,</w:t>
            </w:r>
            <w:r>
              <w:rPr>
                <w:spacing w:val="-13"/>
                <w:sz w:val="20"/>
              </w:rPr>
              <w:t> </w:t>
            </w:r>
            <w:r>
              <w:rPr>
                <w:sz w:val="20"/>
              </w:rPr>
              <w:t>A16.28.041,</w:t>
            </w:r>
            <w:r>
              <w:rPr>
                <w:spacing w:val="-12"/>
                <w:sz w:val="20"/>
              </w:rPr>
              <w:t> </w:t>
            </w:r>
            <w:r>
              <w:rPr>
                <w:sz w:val="20"/>
              </w:rPr>
              <w:t>A16.28.042, A16.28.045.001, A16.28.045.002,</w:t>
            </w:r>
          </w:p>
          <w:p>
            <w:pPr>
              <w:pStyle w:val="TableParagraph"/>
              <w:spacing w:line="209" w:lineRule="exact"/>
              <w:ind w:left="1150" w:right="250"/>
              <w:jc w:val="center"/>
              <w:rPr>
                <w:sz w:val="20"/>
              </w:rPr>
            </w:pPr>
            <w:r>
              <w:rPr>
                <w:w w:val="95"/>
                <w:sz w:val="20"/>
              </w:rPr>
              <w:t>A16.28.046.001,</w:t>
            </w:r>
            <w:r>
              <w:rPr>
                <w:spacing w:val="54"/>
                <w:sz w:val="20"/>
              </w:rPr>
              <w:t> </w:t>
            </w:r>
            <w:r>
              <w:rPr>
                <w:spacing w:val="-2"/>
                <w:sz w:val="20"/>
              </w:rPr>
              <w:t>A16.28.046.002,</w:t>
            </w:r>
          </w:p>
        </w:tc>
        <w:tc>
          <w:tcPr>
            <w:tcW w:w="2366" w:type="dxa"/>
          </w:tcPr>
          <w:p>
            <w:pPr>
              <w:pStyle w:val="TableParagraph"/>
              <w:spacing w:before="46"/>
              <w:ind w:left="485"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1,62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37"/>
        <w:gridCol w:w="2568"/>
        <w:gridCol w:w="4485"/>
        <w:gridCol w:w="2367"/>
        <w:gridCol w:w="864"/>
      </w:tblGrid>
      <w:tr>
        <w:trPr>
          <w:trHeight w:val="2345" w:hRule="atLeast"/>
        </w:trPr>
        <w:tc>
          <w:tcPr>
            <w:tcW w:w="946" w:type="dxa"/>
          </w:tcPr>
          <w:p>
            <w:pPr>
              <w:pStyle w:val="TableParagraph"/>
              <w:rPr>
                <w:sz w:val="18"/>
              </w:rPr>
            </w:pPr>
          </w:p>
        </w:tc>
        <w:tc>
          <w:tcPr>
            <w:tcW w:w="707" w:type="dxa"/>
          </w:tcPr>
          <w:p>
            <w:pPr>
              <w:pStyle w:val="TableParagraph"/>
              <w:rPr>
                <w:sz w:val="18"/>
              </w:rPr>
            </w:pPr>
          </w:p>
        </w:tc>
        <w:tc>
          <w:tcPr>
            <w:tcW w:w="3337" w:type="dxa"/>
          </w:tcPr>
          <w:p>
            <w:pPr>
              <w:pStyle w:val="TableParagraph"/>
              <w:rPr>
                <w:sz w:val="18"/>
              </w:rPr>
            </w:pPr>
          </w:p>
        </w:tc>
        <w:tc>
          <w:tcPr>
            <w:tcW w:w="2568" w:type="dxa"/>
          </w:tcPr>
          <w:p>
            <w:pPr>
              <w:pStyle w:val="TableParagraph"/>
              <w:rPr>
                <w:sz w:val="18"/>
              </w:rPr>
            </w:pPr>
          </w:p>
        </w:tc>
        <w:tc>
          <w:tcPr>
            <w:tcW w:w="4485" w:type="dxa"/>
          </w:tcPr>
          <w:p>
            <w:pPr>
              <w:pStyle w:val="TableParagraph"/>
              <w:ind w:left="1152" w:right="247" w:hanging="2"/>
              <w:jc w:val="center"/>
              <w:rPr>
                <w:sz w:val="20"/>
              </w:rPr>
            </w:pPr>
            <w:r>
              <w:rPr>
                <w:sz w:val="20"/>
              </w:rPr>
              <w:t>A16.28.047,</w:t>
            </w:r>
            <w:r>
              <w:rPr>
                <w:spacing w:val="-13"/>
                <w:sz w:val="20"/>
              </w:rPr>
              <w:t> </w:t>
            </w:r>
            <w:r>
              <w:rPr>
                <w:sz w:val="20"/>
              </w:rPr>
              <w:t>A16.28.048,</w:t>
            </w:r>
            <w:r>
              <w:rPr>
                <w:spacing w:val="-12"/>
                <w:sz w:val="20"/>
              </w:rPr>
              <w:t> </w:t>
            </w:r>
            <w:r>
              <w:rPr>
                <w:sz w:val="20"/>
              </w:rPr>
              <w:t>A16.28.055, A16.28.056,</w:t>
            </w:r>
            <w:r>
              <w:rPr>
                <w:spacing w:val="-13"/>
                <w:sz w:val="20"/>
              </w:rPr>
              <w:t> </w:t>
            </w:r>
            <w:r>
              <w:rPr>
                <w:sz w:val="20"/>
              </w:rPr>
              <w:t>A16.28.057,</w:t>
            </w:r>
            <w:r>
              <w:rPr>
                <w:spacing w:val="-12"/>
                <w:sz w:val="20"/>
              </w:rPr>
              <w:t> </w:t>
            </w:r>
            <w:r>
              <w:rPr>
                <w:sz w:val="20"/>
              </w:rPr>
              <w:t>A16.28.059, A16.28.062, A16.28.062.001, A16.28.075, A16.28.075.002, A16.28.075.003, A16.28.080, A16.28.088,</w:t>
            </w:r>
            <w:r>
              <w:rPr>
                <w:spacing w:val="-13"/>
                <w:sz w:val="20"/>
              </w:rPr>
              <w:t> </w:t>
            </w:r>
            <w:r>
              <w:rPr>
                <w:sz w:val="20"/>
              </w:rPr>
              <w:t>A16.28.089,</w:t>
            </w:r>
            <w:r>
              <w:rPr>
                <w:spacing w:val="-12"/>
                <w:sz w:val="20"/>
              </w:rPr>
              <w:t> </w:t>
            </w:r>
            <w:r>
              <w:rPr>
                <w:sz w:val="20"/>
              </w:rPr>
              <w:t>A16.28.090, A16.28.091, A16.28.092, A16.28.094.001, A16.28.095, A16.28.096,</w:t>
            </w:r>
            <w:r>
              <w:rPr>
                <w:spacing w:val="-13"/>
                <w:sz w:val="20"/>
              </w:rPr>
              <w:t> </w:t>
            </w:r>
            <w:r>
              <w:rPr>
                <w:sz w:val="20"/>
              </w:rPr>
              <w:t>A16.28.097,</w:t>
            </w:r>
            <w:r>
              <w:rPr>
                <w:spacing w:val="-12"/>
                <w:sz w:val="20"/>
              </w:rPr>
              <w:t> </w:t>
            </w:r>
            <w:r>
              <w:rPr>
                <w:sz w:val="20"/>
              </w:rPr>
              <w:t>A16.28.098, A16.28.099, A22.28.001, A22.28.002</w:t>
            </w:r>
          </w:p>
        </w:tc>
        <w:tc>
          <w:tcPr>
            <w:tcW w:w="2367" w:type="dxa"/>
          </w:tcPr>
          <w:p>
            <w:pPr>
              <w:pStyle w:val="TableParagraph"/>
              <w:rPr>
                <w:sz w:val="18"/>
              </w:rPr>
            </w:pPr>
          </w:p>
        </w:tc>
        <w:tc>
          <w:tcPr>
            <w:tcW w:w="864" w:type="dxa"/>
          </w:tcPr>
          <w:p>
            <w:pPr>
              <w:pStyle w:val="TableParagraph"/>
              <w:rPr>
                <w:sz w:val="18"/>
              </w:rPr>
            </w:pPr>
          </w:p>
        </w:tc>
      </w:tr>
      <w:tr>
        <w:trPr>
          <w:trHeight w:val="2170" w:hRule="atLeast"/>
        </w:trPr>
        <w:tc>
          <w:tcPr>
            <w:tcW w:w="946" w:type="dxa"/>
          </w:tcPr>
          <w:p>
            <w:pPr>
              <w:pStyle w:val="TableParagraph"/>
              <w:spacing w:before="46"/>
              <w:ind w:left="50"/>
              <w:rPr>
                <w:sz w:val="20"/>
              </w:rPr>
            </w:pPr>
            <w:r>
              <w:rPr>
                <w:spacing w:val="-2"/>
                <w:sz w:val="20"/>
              </w:rPr>
              <w:t>st30.013</w:t>
            </w:r>
          </w:p>
        </w:tc>
        <w:tc>
          <w:tcPr>
            <w:tcW w:w="707" w:type="dxa"/>
          </w:tcPr>
          <w:p>
            <w:pPr>
              <w:pStyle w:val="TableParagraph"/>
              <w:spacing w:before="46"/>
              <w:ind w:left="210"/>
              <w:rPr>
                <w:sz w:val="20"/>
              </w:rPr>
            </w:pPr>
            <w:r>
              <w:rPr>
                <w:spacing w:val="-5"/>
                <w:sz w:val="20"/>
              </w:rPr>
              <w:t>294</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4)</w:t>
            </w:r>
          </w:p>
        </w:tc>
        <w:tc>
          <w:tcPr>
            <w:tcW w:w="2568" w:type="dxa"/>
          </w:tcPr>
          <w:p>
            <w:pPr>
              <w:pStyle w:val="TableParagraph"/>
              <w:spacing w:before="46"/>
              <w:ind w:right="1150"/>
              <w:jc w:val="right"/>
              <w:rPr>
                <w:sz w:val="20"/>
              </w:rPr>
            </w:pPr>
            <w:r>
              <w:rPr>
                <w:w w:val="99"/>
                <w:sz w:val="20"/>
              </w:rPr>
              <w:t>-</w:t>
            </w:r>
          </w:p>
        </w:tc>
        <w:tc>
          <w:tcPr>
            <w:tcW w:w="4485" w:type="dxa"/>
          </w:tcPr>
          <w:p>
            <w:pPr>
              <w:pStyle w:val="TableParagraph"/>
              <w:spacing w:before="46"/>
              <w:ind w:left="1152" w:right="249" w:firstLine="1"/>
              <w:jc w:val="center"/>
              <w:rPr>
                <w:sz w:val="20"/>
              </w:rPr>
            </w:pPr>
            <w:r>
              <w:rPr>
                <w:sz w:val="20"/>
              </w:rPr>
              <w:t>A16.28.004, A16.28.006.001, A16.28.007, A16.28.007.001, A16.28.010.001, A16.28.018.001, A16.28.020.001, A16.28.026, A16.28.026.002, A16.28.032, A16.28.032.001, A16.28.039.001, A16.28.069,</w:t>
            </w:r>
            <w:r>
              <w:rPr>
                <w:spacing w:val="-13"/>
                <w:sz w:val="20"/>
              </w:rPr>
              <w:t> </w:t>
            </w:r>
            <w:r>
              <w:rPr>
                <w:sz w:val="20"/>
              </w:rPr>
              <w:t>A16.28.070,</w:t>
            </w:r>
            <w:r>
              <w:rPr>
                <w:spacing w:val="-12"/>
                <w:sz w:val="20"/>
              </w:rPr>
              <w:t> </w:t>
            </w:r>
            <w:r>
              <w:rPr>
                <w:sz w:val="20"/>
              </w:rPr>
              <w:t>A16.28.073, A16.28.074.001, A16.28.078, A16.28.085, A24.28.002</w:t>
            </w:r>
          </w:p>
        </w:tc>
        <w:tc>
          <w:tcPr>
            <w:tcW w:w="2367" w:type="dxa"/>
          </w:tcPr>
          <w:p>
            <w:pPr>
              <w:pStyle w:val="TableParagraph"/>
              <w:spacing w:before="46"/>
              <w:ind w:left="486"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1,95</w:t>
            </w:r>
          </w:p>
        </w:tc>
      </w:tr>
      <w:tr>
        <w:trPr>
          <w:trHeight w:val="3955" w:hRule="atLeast"/>
        </w:trPr>
        <w:tc>
          <w:tcPr>
            <w:tcW w:w="946" w:type="dxa"/>
          </w:tcPr>
          <w:p>
            <w:pPr>
              <w:pStyle w:val="TableParagraph"/>
              <w:spacing w:before="46"/>
              <w:ind w:left="50"/>
              <w:rPr>
                <w:sz w:val="20"/>
              </w:rPr>
            </w:pPr>
            <w:r>
              <w:rPr>
                <w:spacing w:val="-2"/>
                <w:sz w:val="20"/>
              </w:rPr>
              <w:t>st30.014</w:t>
            </w:r>
          </w:p>
        </w:tc>
        <w:tc>
          <w:tcPr>
            <w:tcW w:w="707" w:type="dxa"/>
          </w:tcPr>
          <w:p>
            <w:pPr>
              <w:pStyle w:val="TableParagraph"/>
              <w:spacing w:before="46"/>
              <w:ind w:left="210"/>
              <w:rPr>
                <w:sz w:val="20"/>
              </w:rPr>
            </w:pPr>
            <w:r>
              <w:rPr>
                <w:spacing w:val="-5"/>
                <w:sz w:val="20"/>
              </w:rPr>
              <w:t>295</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5)</w:t>
            </w:r>
          </w:p>
        </w:tc>
        <w:tc>
          <w:tcPr>
            <w:tcW w:w="2568" w:type="dxa"/>
          </w:tcPr>
          <w:p>
            <w:pPr>
              <w:pStyle w:val="TableParagraph"/>
              <w:spacing w:before="46"/>
              <w:ind w:right="1150"/>
              <w:jc w:val="right"/>
              <w:rPr>
                <w:sz w:val="20"/>
              </w:rPr>
            </w:pPr>
            <w:r>
              <w:rPr>
                <w:w w:val="99"/>
                <w:sz w:val="20"/>
              </w:rPr>
              <w:t>-</w:t>
            </w:r>
          </w:p>
        </w:tc>
        <w:tc>
          <w:tcPr>
            <w:tcW w:w="4485" w:type="dxa"/>
          </w:tcPr>
          <w:p>
            <w:pPr>
              <w:pStyle w:val="TableParagraph"/>
              <w:spacing w:before="46"/>
              <w:ind w:left="1325" w:right="417" w:hanging="5"/>
              <w:jc w:val="center"/>
              <w:rPr>
                <w:sz w:val="20"/>
              </w:rPr>
            </w:pPr>
            <w:r>
              <w:rPr>
                <w:sz w:val="20"/>
              </w:rPr>
              <w:t>A16.28.004.004,</w:t>
            </w:r>
            <w:r>
              <w:rPr>
                <w:spacing w:val="-13"/>
                <w:sz w:val="20"/>
              </w:rPr>
              <w:t> </w:t>
            </w:r>
            <w:r>
              <w:rPr>
                <w:sz w:val="20"/>
              </w:rPr>
              <w:t>A16.28.004.009, A16.28.015.001, A16.28.016, A16.28.018, A16.28.022, A16.28.022.001,</w:t>
            </w:r>
            <w:r>
              <w:rPr>
                <w:spacing w:val="-13"/>
                <w:sz w:val="20"/>
              </w:rPr>
              <w:t> </w:t>
            </w:r>
            <w:r>
              <w:rPr>
                <w:sz w:val="20"/>
              </w:rPr>
              <w:t>A16.28.028.001, A16.28.029.001, A16.28.030, A16.28.030.001,</w:t>
            </w:r>
            <w:r>
              <w:rPr>
                <w:spacing w:val="-13"/>
                <w:sz w:val="20"/>
              </w:rPr>
              <w:t> </w:t>
            </w:r>
            <w:r>
              <w:rPr>
                <w:sz w:val="20"/>
              </w:rPr>
              <w:t>A16.28.030.003, A16.28.030.007,</w:t>
            </w:r>
            <w:r>
              <w:rPr>
                <w:spacing w:val="-13"/>
                <w:sz w:val="20"/>
              </w:rPr>
              <w:t> </w:t>
            </w:r>
            <w:r>
              <w:rPr>
                <w:sz w:val="20"/>
              </w:rPr>
              <w:t>A16.28.030.008, A16.28.030.011, A16.28.031, A16.28.031.001,</w:t>
            </w:r>
            <w:r>
              <w:rPr>
                <w:spacing w:val="-13"/>
                <w:sz w:val="20"/>
              </w:rPr>
              <w:t> </w:t>
            </w:r>
            <w:r>
              <w:rPr>
                <w:sz w:val="20"/>
              </w:rPr>
              <w:t>A16.28.031.003, A16.28.031.007,</w:t>
            </w:r>
            <w:r>
              <w:rPr>
                <w:spacing w:val="-13"/>
                <w:sz w:val="20"/>
              </w:rPr>
              <w:t> </w:t>
            </w:r>
            <w:r>
              <w:rPr>
                <w:sz w:val="20"/>
              </w:rPr>
              <w:t>A16.28.031.010, A16.28.032.002,</w:t>
            </w:r>
            <w:r>
              <w:rPr>
                <w:spacing w:val="-13"/>
                <w:sz w:val="20"/>
              </w:rPr>
              <w:t> </w:t>
            </w:r>
            <w:r>
              <w:rPr>
                <w:sz w:val="20"/>
              </w:rPr>
              <w:t>A16.28.032.003, A16.28.038.001,</w:t>
            </w:r>
            <w:r>
              <w:rPr>
                <w:spacing w:val="-13"/>
                <w:sz w:val="20"/>
              </w:rPr>
              <w:t> </w:t>
            </w:r>
            <w:r>
              <w:rPr>
                <w:sz w:val="20"/>
              </w:rPr>
              <w:t>A16.28.038.002, A16.28.038.003,</w:t>
            </w:r>
            <w:r>
              <w:rPr>
                <w:spacing w:val="-13"/>
                <w:sz w:val="20"/>
              </w:rPr>
              <w:t> </w:t>
            </w:r>
            <w:r>
              <w:rPr>
                <w:sz w:val="20"/>
              </w:rPr>
              <w:t>A16.28.045.003, A16.28.050, A16.28.050.001, A16.28.055.001,</w:t>
            </w:r>
            <w:r>
              <w:rPr>
                <w:spacing w:val="-13"/>
                <w:sz w:val="20"/>
              </w:rPr>
              <w:t> </w:t>
            </w:r>
            <w:r>
              <w:rPr>
                <w:sz w:val="20"/>
              </w:rPr>
              <w:t>A16.28.059.002,</w:t>
            </w:r>
          </w:p>
          <w:p>
            <w:pPr>
              <w:pStyle w:val="TableParagraph"/>
              <w:spacing w:line="230" w:lineRule="exact"/>
              <w:ind w:left="1150" w:right="246"/>
              <w:jc w:val="center"/>
              <w:rPr>
                <w:sz w:val="20"/>
              </w:rPr>
            </w:pPr>
            <w:r>
              <w:rPr>
                <w:sz w:val="20"/>
              </w:rPr>
              <w:t>A16.28.061,</w:t>
            </w:r>
            <w:r>
              <w:rPr>
                <w:spacing w:val="-13"/>
                <w:sz w:val="20"/>
              </w:rPr>
              <w:t> </w:t>
            </w:r>
            <w:r>
              <w:rPr>
                <w:sz w:val="20"/>
              </w:rPr>
              <w:t>A16.28.071.001, A16.28.081, A16.28.084,</w:t>
            </w:r>
          </w:p>
        </w:tc>
        <w:tc>
          <w:tcPr>
            <w:tcW w:w="2367" w:type="dxa"/>
          </w:tcPr>
          <w:p>
            <w:pPr>
              <w:pStyle w:val="TableParagraph"/>
              <w:spacing w:before="46"/>
              <w:ind w:left="486"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2,14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9"/>
        <w:gridCol w:w="4370"/>
        <w:gridCol w:w="3482"/>
        <w:gridCol w:w="2366"/>
        <w:gridCol w:w="864"/>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rPr>
                <w:sz w:val="18"/>
              </w:rPr>
            </w:pPr>
          </w:p>
        </w:tc>
        <w:tc>
          <w:tcPr>
            <w:tcW w:w="4370" w:type="dxa"/>
          </w:tcPr>
          <w:p>
            <w:pPr>
              <w:pStyle w:val="TableParagraph"/>
              <w:rPr>
                <w:sz w:val="18"/>
              </w:rPr>
            </w:pPr>
          </w:p>
        </w:tc>
        <w:tc>
          <w:tcPr>
            <w:tcW w:w="3482" w:type="dxa"/>
          </w:tcPr>
          <w:p>
            <w:pPr>
              <w:pStyle w:val="TableParagraph"/>
              <w:ind w:left="1043" w:right="416" w:hanging="723"/>
              <w:rPr>
                <w:sz w:val="20"/>
              </w:rPr>
            </w:pPr>
            <w:r>
              <w:rPr>
                <w:sz w:val="20"/>
              </w:rPr>
              <w:t>A16.28.084.001,</w:t>
            </w:r>
            <w:r>
              <w:rPr>
                <w:spacing w:val="-13"/>
                <w:sz w:val="20"/>
              </w:rPr>
              <w:t> </w:t>
            </w:r>
            <w:r>
              <w:rPr>
                <w:sz w:val="20"/>
              </w:rPr>
              <w:t>A16.28.084.002, </w:t>
            </w:r>
            <w:r>
              <w:rPr>
                <w:spacing w:val="-2"/>
                <w:sz w:val="20"/>
              </w:rPr>
              <w:t>A16.28.084.003</w:t>
            </w:r>
          </w:p>
        </w:tc>
        <w:tc>
          <w:tcPr>
            <w:tcW w:w="2366"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st30.015</w:t>
            </w:r>
          </w:p>
        </w:tc>
        <w:tc>
          <w:tcPr>
            <w:tcW w:w="707" w:type="dxa"/>
          </w:tcPr>
          <w:p>
            <w:pPr>
              <w:pStyle w:val="TableParagraph"/>
              <w:spacing w:line="215" w:lineRule="exact" w:before="45"/>
              <w:ind w:left="210"/>
              <w:rPr>
                <w:sz w:val="20"/>
              </w:rPr>
            </w:pPr>
            <w:r>
              <w:rPr>
                <w:spacing w:val="-5"/>
                <w:sz w:val="20"/>
              </w:rPr>
              <w:t>296</w:t>
            </w:r>
          </w:p>
        </w:tc>
        <w:tc>
          <w:tcPr>
            <w:tcW w:w="25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6"/>
                <w:sz w:val="20"/>
              </w:rPr>
              <w:t> </w:t>
            </w:r>
            <w:r>
              <w:rPr>
                <w:sz w:val="20"/>
              </w:rPr>
              <w:t>почке</w:t>
            </w:r>
            <w:r>
              <w:rPr>
                <w:spacing w:val="-4"/>
                <w:sz w:val="20"/>
              </w:rPr>
              <w:t> </w:t>
            </w:r>
            <w:r>
              <w:rPr>
                <w:spacing w:val="-10"/>
                <w:sz w:val="20"/>
              </w:rPr>
              <w:t>и</w:t>
            </w:r>
          </w:p>
        </w:tc>
        <w:tc>
          <w:tcPr>
            <w:tcW w:w="4370" w:type="dxa"/>
          </w:tcPr>
          <w:p>
            <w:pPr>
              <w:pStyle w:val="TableParagraph"/>
              <w:spacing w:line="215" w:lineRule="exact" w:before="45"/>
              <w:ind w:right="7"/>
              <w:jc w:val="center"/>
              <w:rPr>
                <w:sz w:val="20"/>
              </w:rPr>
            </w:pPr>
            <w:r>
              <w:rPr>
                <w:w w:val="99"/>
                <w:sz w:val="20"/>
              </w:rPr>
              <w:t>-</w:t>
            </w:r>
          </w:p>
        </w:tc>
        <w:tc>
          <w:tcPr>
            <w:tcW w:w="3482" w:type="dxa"/>
          </w:tcPr>
          <w:p>
            <w:pPr>
              <w:pStyle w:val="TableParagraph"/>
              <w:spacing w:line="215" w:lineRule="exact" w:before="45"/>
              <w:ind w:left="147" w:right="248"/>
              <w:jc w:val="center"/>
              <w:rPr>
                <w:sz w:val="20"/>
              </w:rPr>
            </w:pPr>
            <w:r>
              <w:rPr>
                <w:w w:val="95"/>
                <w:sz w:val="20"/>
              </w:rPr>
              <w:t>A16.28.003.001,</w:t>
            </w:r>
            <w:r>
              <w:rPr>
                <w:spacing w:val="54"/>
                <w:sz w:val="20"/>
              </w:rPr>
              <w:t> </w:t>
            </w:r>
            <w:r>
              <w:rPr>
                <w:spacing w:val="-2"/>
                <w:sz w:val="20"/>
              </w:rPr>
              <w:t>A16.28.003.003,</w:t>
            </w:r>
          </w:p>
        </w:tc>
        <w:tc>
          <w:tcPr>
            <w:tcW w:w="2366" w:type="dxa"/>
          </w:tcPr>
          <w:p>
            <w:pPr>
              <w:pStyle w:val="TableParagraph"/>
              <w:spacing w:line="215" w:lineRule="exact" w:before="45"/>
              <w:ind w:left="242" w:right="452"/>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8"/>
              <w:jc w:val="right"/>
              <w:rPr>
                <w:sz w:val="20"/>
              </w:rPr>
            </w:pPr>
            <w:r>
              <w:rPr>
                <w:spacing w:val="-4"/>
                <w:sz w:val="20"/>
              </w:rPr>
              <w:t>4,13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pacing w:val="-2"/>
                <w:sz w:val="20"/>
              </w:rPr>
              <w:t>мочевыделительной</w:t>
            </w: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A16.28.004.001,</w:t>
            </w:r>
            <w:r>
              <w:rPr>
                <w:spacing w:val="54"/>
                <w:sz w:val="20"/>
              </w:rPr>
              <w:t> </w:t>
            </w:r>
            <w:r>
              <w:rPr>
                <w:spacing w:val="-2"/>
                <w:sz w:val="20"/>
              </w:rPr>
              <w:t>A16.28.004.002,</w:t>
            </w:r>
          </w:p>
        </w:tc>
        <w:tc>
          <w:tcPr>
            <w:tcW w:w="2366" w:type="dxa"/>
          </w:tcPr>
          <w:p>
            <w:pPr>
              <w:pStyle w:val="TableParagraph"/>
              <w:spacing w:line="210" w:lineRule="exact"/>
              <w:ind w:left="242" w:right="452"/>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системе,</w:t>
            </w:r>
            <w:r>
              <w:rPr>
                <w:spacing w:val="-7"/>
                <w:sz w:val="20"/>
              </w:rPr>
              <w:t> </w:t>
            </w:r>
            <w:r>
              <w:rPr>
                <w:spacing w:val="-2"/>
                <w:sz w:val="20"/>
              </w:rPr>
              <w:t>взрослые</w:t>
            </w: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A16.28.004.005,</w:t>
            </w:r>
            <w:r>
              <w:rPr>
                <w:spacing w:val="54"/>
                <w:sz w:val="20"/>
              </w:rPr>
              <w:t> </w:t>
            </w:r>
            <w:r>
              <w:rPr>
                <w:spacing w:val="-2"/>
                <w:sz w:val="20"/>
              </w:rPr>
              <w:t>A16.28.004.010,</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9" w:lineRule="exact"/>
              <w:ind w:left="192"/>
              <w:rPr>
                <w:sz w:val="20"/>
              </w:rPr>
            </w:pPr>
            <w:r>
              <w:rPr>
                <w:sz w:val="20"/>
              </w:rPr>
              <w:t>(уровень</w:t>
            </w:r>
            <w:r>
              <w:rPr>
                <w:spacing w:val="-11"/>
                <w:sz w:val="20"/>
              </w:rPr>
              <w:t> </w:t>
            </w:r>
            <w:r>
              <w:rPr>
                <w:spacing w:val="-5"/>
                <w:sz w:val="20"/>
              </w:rPr>
              <w:t>6)</w:t>
            </w:r>
          </w:p>
        </w:tc>
        <w:tc>
          <w:tcPr>
            <w:tcW w:w="4370" w:type="dxa"/>
          </w:tcPr>
          <w:p>
            <w:pPr>
              <w:pStyle w:val="TableParagraph"/>
              <w:rPr>
                <w:sz w:val="16"/>
              </w:rPr>
            </w:pPr>
          </w:p>
        </w:tc>
        <w:tc>
          <w:tcPr>
            <w:tcW w:w="3482" w:type="dxa"/>
          </w:tcPr>
          <w:p>
            <w:pPr>
              <w:pStyle w:val="TableParagraph"/>
              <w:spacing w:line="209" w:lineRule="exact"/>
              <w:ind w:left="147" w:right="248"/>
              <w:jc w:val="center"/>
              <w:rPr>
                <w:sz w:val="20"/>
              </w:rPr>
            </w:pPr>
            <w:r>
              <w:rPr>
                <w:w w:val="95"/>
                <w:sz w:val="20"/>
              </w:rPr>
              <w:t>A16.28.007.002,</w:t>
            </w:r>
            <w:r>
              <w:rPr>
                <w:spacing w:val="54"/>
                <w:sz w:val="20"/>
              </w:rPr>
              <w:t> </w:t>
            </w:r>
            <w:r>
              <w:rPr>
                <w:spacing w:val="-2"/>
                <w:sz w:val="20"/>
              </w:rPr>
              <w:t>A16.28.030.002,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7" w:right="248"/>
              <w:jc w:val="center"/>
              <w:rPr>
                <w:sz w:val="20"/>
              </w:rPr>
            </w:pPr>
            <w:r>
              <w:rPr>
                <w:w w:val="95"/>
                <w:sz w:val="20"/>
              </w:rPr>
              <w:t>A16.28.030.004,</w:t>
            </w:r>
            <w:r>
              <w:rPr>
                <w:spacing w:val="54"/>
                <w:sz w:val="20"/>
              </w:rPr>
              <w:t> </w:t>
            </w:r>
            <w:r>
              <w:rPr>
                <w:spacing w:val="-2"/>
                <w:sz w:val="20"/>
              </w:rPr>
              <w:t>A16.28.030.005,</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1" w:lineRule="exact"/>
              <w:ind w:left="147" w:right="248"/>
              <w:jc w:val="center"/>
              <w:rPr>
                <w:sz w:val="20"/>
              </w:rPr>
            </w:pPr>
            <w:r>
              <w:rPr>
                <w:w w:val="95"/>
                <w:sz w:val="20"/>
              </w:rPr>
              <w:t>A16.28.030.009,</w:t>
            </w:r>
            <w:r>
              <w:rPr>
                <w:spacing w:val="54"/>
                <w:sz w:val="20"/>
              </w:rPr>
              <w:t> </w:t>
            </w:r>
            <w:r>
              <w:rPr>
                <w:spacing w:val="-2"/>
                <w:sz w:val="20"/>
              </w:rPr>
              <w:t>A16.28.030.012,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8" w:right="247"/>
              <w:jc w:val="center"/>
              <w:rPr>
                <w:sz w:val="20"/>
              </w:rPr>
            </w:pPr>
            <w:r>
              <w:rPr>
                <w:w w:val="95"/>
                <w:sz w:val="20"/>
              </w:rPr>
              <w:t>A16.28.030.014,</w:t>
            </w:r>
            <w:r>
              <w:rPr>
                <w:spacing w:val="56"/>
                <w:sz w:val="20"/>
              </w:rPr>
              <w:t> </w:t>
            </w:r>
            <w:r>
              <w:rPr>
                <w:spacing w:val="-2"/>
                <w:sz w:val="20"/>
              </w:rPr>
              <w:t>A16.28.031.002,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A16.28.031.004,</w:t>
            </w:r>
            <w:r>
              <w:rPr>
                <w:spacing w:val="54"/>
                <w:sz w:val="20"/>
              </w:rPr>
              <w:t> </w:t>
            </w:r>
            <w:r>
              <w:rPr>
                <w:spacing w:val="-2"/>
                <w:sz w:val="20"/>
              </w:rPr>
              <w:t>A16.28.031.005,</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A16.28.031.006,</w:t>
            </w:r>
            <w:r>
              <w:rPr>
                <w:spacing w:val="54"/>
                <w:sz w:val="20"/>
              </w:rPr>
              <w:t> </w:t>
            </w:r>
            <w:r>
              <w:rPr>
                <w:spacing w:val="-2"/>
                <w:sz w:val="20"/>
              </w:rPr>
              <w:t>A16.28.031.008,</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A16.28.031.011,</w:t>
            </w:r>
            <w:r>
              <w:rPr>
                <w:spacing w:val="54"/>
                <w:sz w:val="20"/>
              </w:rPr>
              <w:t> </w:t>
            </w:r>
            <w:r>
              <w:rPr>
                <w:spacing w:val="-2"/>
                <w:sz w:val="20"/>
              </w:rPr>
              <w:t>A16.28.049,</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7" w:right="248"/>
              <w:jc w:val="center"/>
              <w:rPr>
                <w:sz w:val="20"/>
              </w:rPr>
            </w:pPr>
            <w:r>
              <w:rPr>
                <w:w w:val="95"/>
                <w:sz w:val="20"/>
              </w:rPr>
              <w:t>A16.28.059.001,</w:t>
            </w:r>
            <w:r>
              <w:rPr>
                <w:spacing w:val="54"/>
                <w:sz w:val="20"/>
              </w:rPr>
              <w:t> </w:t>
            </w:r>
            <w:r>
              <w:rPr>
                <w:spacing w:val="-2"/>
                <w:sz w:val="20"/>
              </w:rPr>
              <w:t>A16.28.073.001,</w:t>
            </w:r>
          </w:p>
        </w:tc>
        <w:tc>
          <w:tcPr>
            <w:tcW w:w="2366"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rPr>
                <w:sz w:val="18"/>
              </w:rPr>
            </w:pPr>
          </w:p>
        </w:tc>
        <w:tc>
          <w:tcPr>
            <w:tcW w:w="4370" w:type="dxa"/>
          </w:tcPr>
          <w:p>
            <w:pPr>
              <w:pStyle w:val="TableParagraph"/>
              <w:rPr>
                <w:sz w:val="18"/>
              </w:rPr>
            </w:pPr>
          </w:p>
        </w:tc>
        <w:tc>
          <w:tcPr>
            <w:tcW w:w="3482" w:type="dxa"/>
          </w:tcPr>
          <w:p>
            <w:pPr>
              <w:pStyle w:val="TableParagraph"/>
              <w:spacing w:line="226" w:lineRule="exact"/>
              <w:ind w:left="148" w:right="247"/>
              <w:jc w:val="center"/>
              <w:rPr>
                <w:sz w:val="20"/>
              </w:rPr>
            </w:pPr>
            <w:r>
              <w:rPr>
                <w:spacing w:val="-2"/>
                <w:sz w:val="20"/>
              </w:rPr>
              <w:t>A16.28.078.001</w:t>
            </w:r>
          </w:p>
        </w:tc>
        <w:tc>
          <w:tcPr>
            <w:tcW w:w="2366" w:type="dxa"/>
          </w:tcPr>
          <w:p>
            <w:pPr>
              <w:pStyle w:val="TableParagraph"/>
              <w:rPr>
                <w:sz w:val="18"/>
              </w:rPr>
            </w:pPr>
          </w:p>
        </w:tc>
        <w:tc>
          <w:tcPr>
            <w:tcW w:w="864"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st31</w:t>
            </w:r>
          </w:p>
        </w:tc>
        <w:tc>
          <w:tcPr>
            <w:tcW w:w="707" w:type="dxa"/>
          </w:tcPr>
          <w:p>
            <w:pPr>
              <w:pStyle w:val="TableParagraph"/>
              <w:spacing w:before="46"/>
              <w:ind w:left="261"/>
              <w:rPr>
                <w:sz w:val="20"/>
              </w:rPr>
            </w:pPr>
            <w:r>
              <w:rPr>
                <w:spacing w:val="-5"/>
                <w:sz w:val="20"/>
              </w:rPr>
              <w:t>31</w:t>
            </w:r>
          </w:p>
        </w:tc>
        <w:tc>
          <w:tcPr>
            <w:tcW w:w="2539" w:type="dxa"/>
          </w:tcPr>
          <w:p>
            <w:pPr>
              <w:pStyle w:val="TableParagraph"/>
              <w:rPr>
                <w:sz w:val="18"/>
              </w:rPr>
            </w:pPr>
          </w:p>
        </w:tc>
        <w:tc>
          <w:tcPr>
            <w:tcW w:w="4370" w:type="dxa"/>
          </w:tcPr>
          <w:p>
            <w:pPr>
              <w:pStyle w:val="TableParagraph"/>
              <w:spacing w:before="46"/>
              <w:ind w:right="147"/>
              <w:jc w:val="right"/>
              <w:rPr>
                <w:sz w:val="20"/>
              </w:rPr>
            </w:pPr>
            <w:r>
              <w:rPr>
                <w:spacing w:val="-2"/>
                <w:sz w:val="20"/>
              </w:rPr>
              <w:t>Хирургия</w:t>
            </w:r>
          </w:p>
        </w:tc>
        <w:tc>
          <w:tcPr>
            <w:tcW w:w="3482" w:type="dxa"/>
          </w:tcPr>
          <w:p>
            <w:pPr>
              <w:pStyle w:val="TableParagraph"/>
              <w:rPr>
                <w:sz w:val="18"/>
              </w:rPr>
            </w:pPr>
          </w:p>
        </w:tc>
        <w:tc>
          <w:tcPr>
            <w:tcW w:w="2366" w:type="dxa"/>
          </w:tcPr>
          <w:p>
            <w:pPr>
              <w:pStyle w:val="TableParagraph"/>
              <w:rPr>
                <w:sz w:val="18"/>
              </w:rPr>
            </w:pPr>
          </w:p>
        </w:tc>
        <w:tc>
          <w:tcPr>
            <w:tcW w:w="864" w:type="dxa"/>
          </w:tcPr>
          <w:p>
            <w:pPr>
              <w:pStyle w:val="TableParagraph"/>
              <w:spacing w:before="46"/>
              <w:ind w:right="48"/>
              <w:jc w:val="right"/>
              <w:rPr>
                <w:sz w:val="20"/>
              </w:rPr>
            </w:pPr>
            <w:r>
              <w:rPr>
                <w:spacing w:val="-4"/>
                <w:sz w:val="20"/>
              </w:rPr>
              <w:t>0,90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st31.001</w:t>
            </w:r>
          </w:p>
        </w:tc>
        <w:tc>
          <w:tcPr>
            <w:tcW w:w="707" w:type="dxa"/>
          </w:tcPr>
          <w:p>
            <w:pPr>
              <w:pStyle w:val="TableParagraph"/>
              <w:spacing w:line="215" w:lineRule="exact" w:before="45"/>
              <w:ind w:left="210"/>
              <w:rPr>
                <w:sz w:val="20"/>
              </w:rPr>
            </w:pPr>
            <w:r>
              <w:rPr>
                <w:spacing w:val="-5"/>
                <w:sz w:val="20"/>
              </w:rPr>
              <w:t>297</w:t>
            </w:r>
          </w:p>
        </w:tc>
        <w:tc>
          <w:tcPr>
            <w:tcW w:w="2539" w:type="dxa"/>
          </w:tcPr>
          <w:p>
            <w:pPr>
              <w:pStyle w:val="TableParagraph"/>
              <w:spacing w:line="215" w:lineRule="exact" w:before="45"/>
              <w:ind w:left="192"/>
              <w:rPr>
                <w:sz w:val="20"/>
              </w:rPr>
            </w:pPr>
            <w:r>
              <w:rPr>
                <w:sz w:val="20"/>
              </w:rPr>
              <w:t>Болезни</w:t>
            </w:r>
            <w:r>
              <w:rPr>
                <w:spacing w:val="-8"/>
                <w:sz w:val="20"/>
              </w:rPr>
              <w:t> </w:t>
            </w:r>
            <w:r>
              <w:rPr>
                <w:spacing w:val="-2"/>
                <w:sz w:val="20"/>
              </w:rPr>
              <w:t>лимфатических</w:t>
            </w:r>
          </w:p>
        </w:tc>
        <w:tc>
          <w:tcPr>
            <w:tcW w:w="4370" w:type="dxa"/>
          </w:tcPr>
          <w:p>
            <w:pPr>
              <w:pStyle w:val="TableParagraph"/>
              <w:spacing w:line="215" w:lineRule="exact" w:before="45"/>
              <w:ind w:right="154"/>
              <w:jc w:val="right"/>
              <w:rPr>
                <w:sz w:val="20"/>
              </w:rPr>
            </w:pPr>
            <w:r>
              <w:rPr>
                <w:sz w:val="20"/>
              </w:rPr>
              <w:t>I88.0,</w:t>
            </w:r>
            <w:r>
              <w:rPr>
                <w:spacing w:val="-5"/>
                <w:sz w:val="20"/>
              </w:rPr>
              <w:t> </w:t>
            </w:r>
            <w:r>
              <w:rPr>
                <w:sz w:val="20"/>
              </w:rPr>
              <w:t>I88.1,</w:t>
            </w:r>
            <w:r>
              <w:rPr>
                <w:spacing w:val="-7"/>
                <w:sz w:val="20"/>
              </w:rPr>
              <w:t> </w:t>
            </w:r>
            <w:r>
              <w:rPr>
                <w:sz w:val="20"/>
              </w:rPr>
              <w:t>I88.8,</w:t>
            </w:r>
            <w:r>
              <w:rPr>
                <w:spacing w:val="-5"/>
                <w:sz w:val="20"/>
              </w:rPr>
              <w:t> </w:t>
            </w:r>
            <w:r>
              <w:rPr>
                <w:sz w:val="20"/>
              </w:rPr>
              <w:t>I88.9,</w:t>
            </w:r>
            <w:r>
              <w:rPr>
                <w:spacing w:val="-5"/>
                <w:sz w:val="20"/>
              </w:rPr>
              <w:t> </w:t>
            </w:r>
            <w:r>
              <w:rPr>
                <w:sz w:val="20"/>
              </w:rPr>
              <w:t>I89.0,</w:t>
            </w:r>
            <w:r>
              <w:rPr>
                <w:spacing w:val="-5"/>
                <w:sz w:val="20"/>
              </w:rPr>
              <w:t> </w:t>
            </w:r>
            <w:r>
              <w:rPr>
                <w:sz w:val="20"/>
              </w:rPr>
              <w:t>I89.1,</w:t>
            </w:r>
            <w:r>
              <w:rPr>
                <w:spacing w:val="-6"/>
                <w:sz w:val="20"/>
              </w:rPr>
              <w:t> </w:t>
            </w:r>
            <w:r>
              <w:rPr>
                <w:sz w:val="20"/>
              </w:rPr>
              <w:t>I89.8,</w:t>
            </w:r>
            <w:r>
              <w:rPr>
                <w:spacing w:val="-5"/>
                <w:sz w:val="20"/>
              </w:rPr>
              <w:t> </w:t>
            </w:r>
            <w:r>
              <w:rPr>
                <w:spacing w:val="-2"/>
                <w:sz w:val="20"/>
              </w:rPr>
              <w:t>I89.9,</w:t>
            </w:r>
          </w:p>
        </w:tc>
        <w:tc>
          <w:tcPr>
            <w:tcW w:w="3482" w:type="dxa"/>
          </w:tcPr>
          <w:p>
            <w:pPr>
              <w:pStyle w:val="TableParagraph"/>
              <w:spacing w:line="215" w:lineRule="exact" w:before="45"/>
              <w:ind w:right="97"/>
              <w:jc w:val="center"/>
              <w:rPr>
                <w:sz w:val="20"/>
              </w:rPr>
            </w:pPr>
            <w:r>
              <w:rPr>
                <w:w w:val="99"/>
                <w:sz w:val="20"/>
              </w:rPr>
              <w:t>-</w:t>
            </w:r>
          </w:p>
        </w:tc>
        <w:tc>
          <w:tcPr>
            <w:tcW w:w="2366" w:type="dxa"/>
          </w:tcPr>
          <w:p>
            <w:pPr>
              <w:pStyle w:val="TableParagraph"/>
              <w:spacing w:line="215" w:lineRule="exact" w:before="45"/>
              <w:ind w:right="212"/>
              <w:jc w:val="center"/>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0,61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1" w:lineRule="exact"/>
              <w:ind w:left="192"/>
              <w:rPr>
                <w:sz w:val="20"/>
              </w:rPr>
            </w:pPr>
            <w:r>
              <w:rPr>
                <w:sz w:val="20"/>
              </w:rPr>
              <w:t>сосудов</w:t>
            </w:r>
            <w:r>
              <w:rPr>
                <w:spacing w:val="-5"/>
                <w:sz w:val="20"/>
              </w:rPr>
              <w:t> </w:t>
            </w:r>
            <w:r>
              <w:rPr>
                <w:sz w:val="20"/>
              </w:rPr>
              <w:t>и</w:t>
            </w:r>
            <w:r>
              <w:rPr>
                <w:spacing w:val="-3"/>
                <w:sz w:val="20"/>
              </w:rPr>
              <w:t> </w:t>
            </w:r>
            <w:r>
              <w:rPr>
                <w:spacing w:val="-2"/>
                <w:sz w:val="20"/>
              </w:rPr>
              <w:t>лимфатических</w:t>
            </w:r>
          </w:p>
        </w:tc>
        <w:tc>
          <w:tcPr>
            <w:tcW w:w="4370" w:type="dxa"/>
          </w:tcPr>
          <w:p>
            <w:pPr>
              <w:pStyle w:val="TableParagraph"/>
              <w:spacing w:line="211" w:lineRule="exact"/>
              <w:ind w:left="270"/>
              <w:rPr>
                <w:sz w:val="20"/>
              </w:rPr>
            </w:pPr>
            <w:r>
              <w:rPr>
                <w:sz w:val="20"/>
              </w:rPr>
              <w:t>L04.0,</w:t>
            </w:r>
            <w:r>
              <w:rPr>
                <w:spacing w:val="-6"/>
                <w:sz w:val="20"/>
              </w:rPr>
              <w:t> </w:t>
            </w:r>
            <w:r>
              <w:rPr>
                <w:sz w:val="20"/>
              </w:rPr>
              <w:t>L04.1,</w:t>
            </w:r>
            <w:r>
              <w:rPr>
                <w:spacing w:val="-5"/>
                <w:sz w:val="20"/>
              </w:rPr>
              <w:t> </w:t>
            </w:r>
            <w:r>
              <w:rPr>
                <w:sz w:val="20"/>
              </w:rPr>
              <w:t>L04.2,</w:t>
            </w:r>
            <w:r>
              <w:rPr>
                <w:spacing w:val="-5"/>
                <w:sz w:val="20"/>
              </w:rPr>
              <w:t> </w:t>
            </w:r>
            <w:r>
              <w:rPr>
                <w:sz w:val="20"/>
              </w:rPr>
              <w:t>L04.3,</w:t>
            </w:r>
            <w:r>
              <w:rPr>
                <w:spacing w:val="-5"/>
                <w:sz w:val="20"/>
              </w:rPr>
              <w:t> </w:t>
            </w:r>
            <w:r>
              <w:rPr>
                <w:sz w:val="20"/>
              </w:rPr>
              <w:t>L04.8,</w:t>
            </w:r>
            <w:r>
              <w:rPr>
                <w:spacing w:val="-5"/>
                <w:sz w:val="20"/>
              </w:rPr>
              <w:t> </w:t>
            </w:r>
            <w:r>
              <w:rPr>
                <w:sz w:val="20"/>
              </w:rPr>
              <w:t>L04.9,</w:t>
            </w:r>
            <w:r>
              <w:rPr>
                <w:spacing w:val="-5"/>
                <w:sz w:val="20"/>
              </w:rPr>
              <w:t> </w:t>
            </w:r>
            <w:r>
              <w:rPr>
                <w:spacing w:val="-4"/>
                <w:sz w:val="20"/>
              </w:rPr>
              <w:t>R59,</w:t>
            </w:r>
          </w:p>
        </w:tc>
        <w:tc>
          <w:tcPr>
            <w:tcW w:w="3482" w:type="dxa"/>
          </w:tcPr>
          <w:p>
            <w:pPr>
              <w:pStyle w:val="TableParagraph"/>
              <w:rPr>
                <w:sz w:val="16"/>
              </w:rPr>
            </w:pPr>
          </w:p>
        </w:tc>
        <w:tc>
          <w:tcPr>
            <w:tcW w:w="2366"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spacing w:line="226" w:lineRule="exact"/>
              <w:ind w:left="192"/>
              <w:rPr>
                <w:sz w:val="20"/>
              </w:rPr>
            </w:pPr>
            <w:r>
              <w:rPr>
                <w:spacing w:val="-2"/>
                <w:sz w:val="20"/>
              </w:rPr>
              <w:t>узлов</w:t>
            </w:r>
          </w:p>
        </w:tc>
        <w:tc>
          <w:tcPr>
            <w:tcW w:w="4370" w:type="dxa"/>
          </w:tcPr>
          <w:p>
            <w:pPr>
              <w:pStyle w:val="TableParagraph"/>
              <w:spacing w:line="226" w:lineRule="exact"/>
              <w:ind w:left="1355"/>
              <w:rPr>
                <w:sz w:val="20"/>
              </w:rPr>
            </w:pPr>
            <w:r>
              <w:rPr>
                <w:sz w:val="20"/>
              </w:rPr>
              <w:t>R59.0,</w:t>
            </w:r>
            <w:r>
              <w:rPr>
                <w:spacing w:val="-5"/>
                <w:sz w:val="20"/>
              </w:rPr>
              <w:t> </w:t>
            </w:r>
            <w:r>
              <w:rPr>
                <w:sz w:val="20"/>
              </w:rPr>
              <w:t>R59.1,</w:t>
            </w:r>
            <w:r>
              <w:rPr>
                <w:spacing w:val="-5"/>
                <w:sz w:val="20"/>
              </w:rPr>
              <w:t> </w:t>
            </w:r>
            <w:r>
              <w:rPr>
                <w:spacing w:val="-2"/>
                <w:sz w:val="20"/>
              </w:rPr>
              <w:t>R59.9</w:t>
            </w:r>
          </w:p>
        </w:tc>
        <w:tc>
          <w:tcPr>
            <w:tcW w:w="3482" w:type="dxa"/>
          </w:tcPr>
          <w:p>
            <w:pPr>
              <w:pStyle w:val="TableParagraph"/>
              <w:rPr>
                <w:sz w:val="18"/>
              </w:rPr>
            </w:pPr>
          </w:p>
        </w:tc>
        <w:tc>
          <w:tcPr>
            <w:tcW w:w="2366"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st31.002</w:t>
            </w:r>
          </w:p>
        </w:tc>
        <w:tc>
          <w:tcPr>
            <w:tcW w:w="707" w:type="dxa"/>
          </w:tcPr>
          <w:p>
            <w:pPr>
              <w:pStyle w:val="TableParagraph"/>
              <w:spacing w:line="215" w:lineRule="exact" w:before="45"/>
              <w:ind w:left="210"/>
              <w:rPr>
                <w:sz w:val="20"/>
              </w:rPr>
            </w:pPr>
            <w:r>
              <w:rPr>
                <w:spacing w:val="-5"/>
                <w:sz w:val="20"/>
              </w:rPr>
              <w:t>298</w:t>
            </w:r>
          </w:p>
        </w:tc>
        <w:tc>
          <w:tcPr>
            <w:tcW w:w="25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70" w:type="dxa"/>
          </w:tcPr>
          <w:p>
            <w:pPr>
              <w:pStyle w:val="TableParagraph"/>
              <w:spacing w:line="215" w:lineRule="exact" w:before="45"/>
              <w:ind w:right="7"/>
              <w:jc w:val="center"/>
              <w:rPr>
                <w:sz w:val="20"/>
              </w:rPr>
            </w:pPr>
            <w:r>
              <w:rPr>
                <w:w w:val="99"/>
                <w:sz w:val="20"/>
              </w:rPr>
              <w:t>-</w:t>
            </w:r>
          </w:p>
        </w:tc>
        <w:tc>
          <w:tcPr>
            <w:tcW w:w="3482" w:type="dxa"/>
          </w:tcPr>
          <w:p>
            <w:pPr>
              <w:pStyle w:val="TableParagraph"/>
              <w:spacing w:line="215" w:lineRule="exact" w:before="45"/>
              <w:ind w:left="148" w:right="248"/>
              <w:jc w:val="center"/>
              <w:rPr>
                <w:sz w:val="20"/>
              </w:rPr>
            </w:pPr>
            <w:r>
              <w:rPr>
                <w:sz w:val="20"/>
              </w:rPr>
              <w:t>A16.01.001,</w:t>
            </w:r>
            <w:r>
              <w:rPr>
                <w:spacing w:val="-7"/>
                <w:sz w:val="20"/>
              </w:rPr>
              <w:t> </w:t>
            </w:r>
            <w:r>
              <w:rPr>
                <w:sz w:val="20"/>
              </w:rPr>
              <w:t>A16.01.002,</w:t>
            </w:r>
            <w:r>
              <w:rPr>
                <w:spacing w:val="-10"/>
                <w:sz w:val="20"/>
              </w:rPr>
              <w:t> </w:t>
            </w:r>
            <w:r>
              <w:rPr>
                <w:spacing w:val="-2"/>
                <w:sz w:val="20"/>
              </w:rPr>
              <w:t>A16.01.005,</w:t>
            </w:r>
          </w:p>
        </w:tc>
        <w:tc>
          <w:tcPr>
            <w:tcW w:w="2366" w:type="dxa"/>
          </w:tcPr>
          <w:p>
            <w:pPr>
              <w:pStyle w:val="TableParagraph"/>
              <w:spacing w:line="215" w:lineRule="exact" w:before="45"/>
              <w:ind w:right="212"/>
              <w:jc w:val="center"/>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0,55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подкожной</w:t>
            </w:r>
            <w:r>
              <w:rPr>
                <w:spacing w:val="-11"/>
                <w:sz w:val="20"/>
              </w:rPr>
              <w:t> </w:t>
            </w:r>
            <w:r>
              <w:rPr>
                <w:spacing w:val="-2"/>
                <w:sz w:val="20"/>
              </w:rPr>
              <w:t>клетчатке,</w:t>
            </w:r>
          </w:p>
        </w:tc>
        <w:tc>
          <w:tcPr>
            <w:tcW w:w="4370" w:type="dxa"/>
          </w:tcPr>
          <w:p>
            <w:pPr>
              <w:pStyle w:val="TableParagraph"/>
              <w:rPr>
                <w:sz w:val="16"/>
              </w:rPr>
            </w:pPr>
          </w:p>
        </w:tc>
        <w:tc>
          <w:tcPr>
            <w:tcW w:w="3482" w:type="dxa"/>
          </w:tcPr>
          <w:p>
            <w:pPr>
              <w:pStyle w:val="TableParagraph"/>
              <w:spacing w:line="210" w:lineRule="exact"/>
              <w:ind w:left="148" w:right="248"/>
              <w:jc w:val="center"/>
              <w:rPr>
                <w:sz w:val="20"/>
              </w:rPr>
            </w:pPr>
            <w:r>
              <w:rPr>
                <w:sz w:val="20"/>
              </w:rPr>
              <w:t>A16.01.008,</w:t>
            </w:r>
            <w:r>
              <w:rPr>
                <w:spacing w:val="-9"/>
                <w:sz w:val="20"/>
              </w:rPr>
              <w:t> </w:t>
            </w:r>
            <w:r>
              <w:rPr>
                <w:spacing w:val="-2"/>
                <w:sz w:val="20"/>
              </w:rPr>
              <w:t>A16.01.008.001,</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придатках</w:t>
            </w:r>
            <w:r>
              <w:rPr>
                <w:spacing w:val="-11"/>
                <w:sz w:val="20"/>
              </w:rPr>
              <w:t> </w:t>
            </w:r>
            <w:r>
              <w:rPr>
                <w:spacing w:val="-4"/>
                <w:sz w:val="20"/>
              </w:rPr>
              <w:t>кожи</w:t>
            </w:r>
          </w:p>
        </w:tc>
        <w:tc>
          <w:tcPr>
            <w:tcW w:w="4370" w:type="dxa"/>
          </w:tcPr>
          <w:p>
            <w:pPr>
              <w:pStyle w:val="TableParagraph"/>
              <w:rPr>
                <w:sz w:val="16"/>
              </w:rPr>
            </w:pPr>
          </w:p>
        </w:tc>
        <w:tc>
          <w:tcPr>
            <w:tcW w:w="3482" w:type="dxa"/>
          </w:tcPr>
          <w:p>
            <w:pPr>
              <w:pStyle w:val="TableParagraph"/>
              <w:spacing w:line="210" w:lineRule="exact"/>
              <w:ind w:left="148" w:right="248"/>
              <w:jc w:val="center"/>
              <w:rPr>
                <w:sz w:val="20"/>
              </w:rPr>
            </w:pPr>
            <w:r>
              <w:rPr>
                <w:sz w:val="20"/>
              </w:rPr>
              <w:t>A16.01.011,</w:t>
            </w:r>
            <w:r>
              <w:rPr>
                <w:spacing w:val="-9"/>
                <w:sz w:val="20"/>
              </w:rPr>
              <w:t> </w:t>
            </w:r>
            <w:r>
              <w:rPr>
                <w:spacing w:val="-2"/>
                <w:sz w:val="20"/>
              </w:rPr>
              <w:t>A16.01.012.004,</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(уровень</w:t>
            </w:r>
            <w:r>
              <w:rPr>
                <w:spacing w:val="-10"/>
                <w:sz w:val="20"/>
              </w:rPr>
              <w:t> </w:t>
            </w:r>
            <w:r>
              <w:rPr>
                <w:spacing w:val="-5"/>
                <w:sz w:val="20"/>
              </w:rPr>
              <w:t>1)</w:t>
            </w:r>
          </w:p>
        </w:tc>
        <w:tc>
          <w:tcPr>
            <w:tcW w:w="4370" w:type="dxa"/>
          </w:tcPr>
          <w:p>
            <w:pPr>
              <w:pStyle w:val="TableParagraph"/>
              <w:rPr>
                <w:sz w:val="16"/>
              </w:rPr>
            </w:pPr>
          </w:p>
        </w:tc>
        <w:tc>
          <w:tcPr>
            <w:tcW w:w="3482" w:type="dxa"/>
          </w:tcPr>
          <w:p>
            <w:pPr>
              <w:pStyle w:val="TableParagraph"/>
              <w:spacing w:line="210" w:lineRule="exact"/>
              <w:ind w:left="146" w:right="248"/>
              <w:jc w:val="center"/>
              <w:rPr>
                <w:sz w:val="20"/>
              </w:rPr>
            </w:pPr>
            <w:r>
              <w:rPr>
                <w:sz w:val="20"/>
              </w:rPr>
              <w:t>A16.01.015,</w:t>
            </w:r>
            <w:r>
              <w:rPr>
                <w:spacing w:val="-9"/>
                <w:sz w:val="20"/>
              </w:rPr>
              <w:t> </w:t>
            </w:r>
            <w:r>
              <w:rPr>
                <w:sz w:val="20"/>
              </w:rPr>
              <w:t>A16.01.016,</w:t>
            </w:r>
            <w:r>
              <w:rPr>
                <w:spacing w:val="-10"/>
                <w:sz w:val="20"/>
              </w:rPr>
              <w:t> </w:t>
            </w:r>
            <w:r>
              <w:rPr>
                <w:spacing w:val="-2"/>
                <w:sz w:val="20"/>
              </w:rPr>
              <w:t>A16.01.017,</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A16.01.017.001,</w:t>
            </w:r>
            <w:r>
              <w:rPr>
                <w:spacing w:val="54"/>
                <w:sz w:val="20"/>
              </w:rPr>
              <w:t> </w:t>
            </w:r>
            <w:r>
              <w:rPr>
                <w:spacing w:val="-2"/>
                <w:sz w:val="20"/>
              </w:rPr>
              <w:t>A16.01.019,</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6" w:right="248"/>
              <w:jc w:val="center"/>
              <w:rPr>
                <w:sz w:val="20"/>
              </w:rPr>
            </w:pPr>
            <w:r>
              <w:rPr>
                <w:sz w:val="20"/>
              </w:rPr>
              <w:t>A16.01.020,</w:t>
            </w:r>
            <w:r>
              <w:rPr>
                <w:spacing w:val="-9"/>
                <w:sz w:val="20"/>
              </w:rPr>
              <w:t> </w:t>
            </w:r>
            <w:r>
              <w:rPr>
                <w:sz w:val="20"/>
              </w:rPr>
              <w:t>A16.01.021,</w:t>
            </w:r>
            <w:r>
              <w:rPr>
                <w:spacing w:val="-10"/>
                <w:sz w:val="20"/>
              </w:rPr>
              <w:t> </w:t>
            </w:r>
            <w:r>
              <w:rPr>
                <w:spacing w:val="-2"/>
                <w:sz w:val="20"/>
              </w:rPr>
              <w:t>A16.01.022,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8" w:right="248"/>
              <w:jc w:val="center"/>
              <w:rPr>
                <w:sz w:val="20"/>
              </w:rPr>
            </w:pPr>
            <w:r>
              <w:rPr>
                <w:w w:val="95"/>
                <w:sz w:val="20"/>
              </w:rPr>
              <w:t>A16.01.022.001,</w:t>
            </w:r>
            <w:r>
              <w:rPr>
                <w:spacing w:val="54"/>
                <w:sz w:val="20"/>
              </w:rPr>
              <w:t> </w:t>
            </w:r>
            <w:r>
              <w:rPr>
                <w:spacing w:val="-2"/>
                <w:sz w:val="20"/>
              </w:rPr>
              <w:t>A16.01.023,</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6" w:right="248"/>
              <w:jc w:val="center"/>
              <w:rPr>
                <w:sz w:val="20"/>
              </w:rPr>
            </w:pPr>
            <w:r>
              <w:rPr>
                <w:sz w:val="20"/>
              </w:rPr>
              <w:t>A16.01.024,</w:t>
            </w:r>
            <w:r>
              <w:rPr>
                <w:spacing w:val="-9"/>
                <w:sz w:val="20"/>
              </w:rPr>
              <w:t> </w:t>
            </w:r>
            <w:r>
              <w:rPr>
                <w:sz w:val="20"/>
              </w:rPr>
              <w:t>A16.01.025,</w:t>
            </w:r>
            <w:r>
              <w:rPr>
                <w:spacing w:val="-10"/>
                <w:sz w:val="20"/>
              </w:rPr>
              <w:t> </w:t>
            </w:r>
            <w:r>
              <w:rPr>
                <w:spacing w:val="-2"/>
                <w:sz w:val="20"/>
              </w:rPr>
              <w:t>A16.01.026,</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1" w:lineRule="exact"/>
              <w:ind w:left="148" w:right="246"/>
              <w:jc w:val="center"/>
              <w:rPr>
                <w:sz w:val="20"/>
              </w:rPr>
            </w:pPr>
            <w:r>
              <w:rPr>
                <w:sz w:val="20"/>
              </w:rPr>
              <w:t>A16.01.027,</w:t>
            </w:r>
            <w:r>
              <w:rPr>
                <w:spacing w:val="-7"/>
                <w:sz w:val="20"/>
              </w:rPr>
              <w:t> </w:t>
            </w:r>
            <w:r>
              <w:rPr>
                <w:spacing w:val="-2"/>
                <w:sz w:val="20"/>
              </w:rPr>
              <w:t>A16.01.027.001,</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1" w:lineRule="exact"/>
              <w:ind w:left="148" w:right="248"/>
              <w:jc w:val="center"/>
              <w:rPr>
                <w:sz w:val="20"/>
              </w:rPr>
            </w:pPr>
            <w:r>
              <w:rPr>
                <w:w w:val="95"/>
                <w:sz w:val="20"/>
              </w:rPr>
              <w:t>A16.01.027.002,</w:t>
            </w:r>
            <w:r>
              <w:rPr>
                <w:spacing w:val="54"/>
                <w:sz w:val="20"/>
              </w:rPr>
              <w:t> </w:t>
            </w:r>
            <w:r>
              <w:rPr>
                <w:spacing w:val="-2"/>
                <w:sz w:val="20"/>
              </w:rPr>
              <w:t>A16.01.028,</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A16.01.030.001,</w:t>
            </w:r>
            <w:r>
              <w:rPr>
                <w:spacing w:val="54"/>
                <w:sz w:val="20"/>
              </w:rPr>
              <w:t> </w:t>
            </w:r>
            <w:r>
              <w:rPr>
                <w:spacing w:val="-2"/>
                <w:sz w:val="20"/>
              </w:rPr>
              <w:t>A16.30.060,</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6" w:right="248"/>
              <w:jc w:val="center"/>
              <w:rPr>
                <w:sz w:val="20"/>
              </w:rPr>
            </w:pPr>
            <w:r>
              <w:rPr>
                <w:sz w:val="20"/>
              </w:rPr>
              <w:t>A16.30.062,</w:t>
            </w:r>
            <w:r>
              <w:rPr>
                <w:spacing w:val="-9"/>
                <w:sz w:val="20"/>
              </w:rPr>
              <w:t> </w:t>
            </w:r>
            <w:r>
              <w:rPr>
                <w:sz w:val="20"/>
              </w:rPr>
              <w:t>A16.30.064,</w:t>
            </w:r>
            <w:r>
              <w:rPr>
                <w:spacing w:val="-10"/>
                <w:sz w:val="20"/>
              </w:rPr>
              <w:t> </w:t>
            </w:r>
            <w:r>
              <w:rPr>
                <w:spacing w:val="-2"/>
                <w:sz w:val="20"/>
              </w:rPr>
              <w:t>A16.30.066,</w:t>
            </w:r>
          </w:p>
        </w:tc>
        <w:tc>
          <w:tcPr>
            <w:tcW w:w="2366"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rPr>
                <w:sz w:val="18"/>
              </w:rPr>
            </w:pPr>
          </w:p>
        </w:tc>
        <w:tc>
          <w:tcPr>
            <w:tcW w:w="4370" w:type="dxa"/>
          </w:tcPr>
          <w:p>
            <w:pPr>
              <w:pStyle w:val="TableParagraph"/>
              <w:rPr>
                <w:sz w:val="18"/>
              </w:rPr>
            </w:pPr>
          </w:p>
        </w:tc>
        <w:tc>
          <w:tcPr>
            <w:tcW w:w="3482" w:type="dxa"/>
          </w:tcPr>
          <w:p>
            <w:pPr>
              <w:pStyle w:val="TableParagraph"/>
              <w:spacing w:line="226" w:lineRule="exact"/>
              <w:ind w:left="148" w:right="248"/>
              <w:jc w:val="center"/>
              <w:rPr>
                <w:sz w:val="20"/>
              </w:rPr>
            </w:pPr>
            <w:r>
              <w:rPr>
                <w:sz w:val="20"/>
              </w:rPr>
              <w:t>A16.30.067,</w:t>
            </w:r>
            <w:r>
              <w:rPr>
                <w:spacing w:val="-9"/>
                <w:sz w:val="20"/>
              </w:rPr>
              <w:t> </w:t>
            </w:r>
            <w:r>
              <w:rPr>
                <w:spacing w:val="-2"/>
                <w:sz w:val="20"/>
              </w:rPr>
              <w:t>A16.30.076</w:t>
            </w:r>
          </w:p>
        </w:tc>
        <w:tc>
          <w:tcPr>
            <w:tcW w:w="2366" w:type="dxa"/>
          </w:tcPr>
          <w:p>
            <w:pPr>
              <w:pStyle w:val="TableParagraph"/>
              <w:rPr>
                <w:sz w:val="18"/>
              </w:rPr>
            </w:pPr>
          </w:p>
        </w:tc>
        <w:tc>
          <w:tcPr>
            <w:tcW w:w="864"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st31.003</w:t>
            </w:r>
          </w:p>
        </w:tc>
        <w:tc>
          <w:tcPr>
            <w:tcW w:w="707" w:type="dxa"/>
          </w:tcPr>
          <w:p>
            <w:pPr>
              <w:pStyle w:val="TableParagraph"/>
              <w:spacing w:line="215" w:lineRule="exact" w:before="46"/>
              <w:ind w:left="210"/>
              <w:rPr>
                <w:sz w:val="20"/>
              </w:rPr>
            </w:pPr>
            <w:r>
              <w:rPr>
                <w:spacing w:val="-5"/>
                <w:sz w:val="20"/>
              </w:rPr>
              <w:t>299</w:t>
            </w:r>
          </w:p>
        </w:tc>
        <w:tc>
          <w:tcPr>
            <w:tcW w:w="2539"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70" w:type="dxa"/>
          </w:tcPr>
          <w:p>
            <w:pPr>
              <w:pStyle w:val="TableParagraph"/>
              <w:spacing w:line="215" w:lineRule="exact" w:before="46"/>
              <w:ind w:right="7"/>
              <w:jc w:val="center"/>
              <w:rPr>
                <w:sz w:val="20"/>
              </w:rPr>
            </w:pPr>
            <w:r>
              <w:rPr>
                <w:w w:val="99"/>
                <w:sz w:val="20"/>
              </w:rPr>
              <w:t>-</w:t>
            </w:r>
          </w:p>
        </w:tc>
        <w:tc>
          <w:tcPr>
            <w:tcW w:w="3482" w:type="dxa"/>
          </w:tcPr>
          <w:p>
            <w:pPr>
              <w:pStyle w:val="TableParagraph"/>
              <w:spacing w:line="215" w:lineRule="exact" w:before="46"/>
              <w:ind w:left="148" w:right="248"/>
              <w:jc w:val="center"/>
              <w:rPr>
                <w:sz w:val="20"/>
              </w:rPr>
            </w:pPr>
            <w:r>
              <w:rPr>
                <w:sz w:val="20"/>
              </w:rPr>
              <w:t>A16.01.003,</w:t>
            </w:r>
            <w:r>
              <w:rPr>
                <w:spacing w:val="-9"/>
                <w:sz w:val="20"/>
              </w:rPr>
              <w:t> </w:t>
            </w:r>
            <w:r>
              <w:rPr>
                <w:spacing w:val="-2"/>
                <w:sz w:val="20"/>
              </w:rPr>
              <w:t>A16.01.003.001,</w:t>
            </w:r>
          </w:p>
        </w:tc>
        <w:tc>
          <w:tcPr>
            <w:tcW w:w="2366" w:type="dxa"/>
          </w:tcPr>
          <w:p>
            <w:pPr>
              <w:pStyle w:val="TableParagraph"/>
              <w:spacing w:line="215" w:lineRule="exact" w:before="46"/>
              <w:ind w:right="212"/>
              <w:jc w:val="center"/>
              <w:rPr>
                <w:sz w:val="20"/>
              </w:rPr>
            </w:pPr>
            <w:r>
              <w:rPr>
                <w:w w:val="99"/>
                <w:sz w:val="20"/>
              </w:rPr>
              <w:t>-</w:t>
            </w:r>
          </w:p>
        </w:tc>
        <w:tc>
          <w:tcPr>
            <w:tcW w:w="864" w:type="dxa"/>
          </w:tcPr>
          <w:p>
            <w:pPr>
              <w:pStyle w:val="TableParagraph"/>
              <w:spacing w:line="215" w:lineRule="exact" w:before="46"/>
              <w:ind w:right="48"/>
              <w:jc w:val="right"/>
              <w:rPr>
                <w:sz w:val="20"/>
              </w:rPr>
            </w:pPr>
            <w:r>
              <w:rPr>
                <w:spacing w:val="-4"/>
                <w:sz w:val="20"/>
              </w:rPr>
              <w:t>0,71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9" w:lineRule="exact"/>
              <w:ind w:left="192"/>
              <w:rPr>
                <w:sz w:val="20"/>
              </w:rPr>
            </w:pPr>
            <w:r>
              <w:rPr>
                <w:sz w:val="20"/>
              </w:rPr>
              <w:t>подкожной</w:t>
            </w:r>
            <w:r>
              <w:rPr>
                <w:spacing w:val="-11"/>
                <w:sz w:val="20"/>
              </w:rPr>
              <w:t> </w:t>
            </w:r>
            <w:r>
              <w:rPr>
                <w:spacing w:val="-2"/>
                <w:sz w:val="20"/>
              </w:rPr>
              <w:t>клетчатке,</w:t>
            </w: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A16.01.003.002,</w:t>
            </w:r>
            <w:r>
              <w:rPr>
                <w:spacing w:val="55"/>
                <w:sz w:val="20"/>
              </w:rPr>
              <w:t> </w:t>
            </w:r>
            <w:r>
              <w:rPr>
                <w:spacing w:val="-2"/>
                <w:sz w:val="20"/>
              </w:rPr>
              <w:t>A16.01.003.006,</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9" w:lineRule="exact"/>
              <w:ind w:left="192"/>
              <w:rPr>
                <w:sz w:val="20"/>
              </w:rPr>
            </w:pPr>
            <w:r>
              <w:rPr>
                <w:sz w:val="20"/>
              </w:rPr>
              <w:t>придатках</w:t>
            </w:r>
            <w:r>
              <w:rPr>
                <w:spacing w:val="-11"/>
                <w:sz w:val="20"/>
              </w:rPr>
              <w:t> </w:t>
            </w:r>
            <w:r>
              <w:rPr>
                <w:spacing w:val="-4"/>
                <w:sz w:val="20"/>
              </w:rPr>
              <w:t>кожи</w:t>
            </w: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A16.01.003.007,</w:t>
            </w:r>
            <w:r>
              <w:rPr>
                <w:spacing w:val="54"/>
                <w:sz w:val="20"/>
              </w:rPr>
              <w:t> </w:t>
            </w:r>
            <w:r>
              <w:rPr>
                <w:spacing w:val="-2"/>
                <w:sz w:val="20"/>
              </w:rPr>
              <w:t>A16.01.004,</w:t>
            </w:r>
          </w:p>
        </w:tc>
        <w:tc>
          <w:tcPr>
            <w:tcW w:w="2366"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5" w:lineRule="exact"/>
              <w:ind w:left="192"/>
              <w:rPr>
                <w:sz w:val="20"/>
              </w:rPr>
            </w:pPr>
            <w:r>
              <w:rPr>
                <w:sz w:val="20"/>
              </w:rPr>
              <w:t>(уровень</w:t>
            </w:r>
            <w:r>
              <w:rPr>
                <w:spacing w:val="-10"/>
                <w:sz w:val="20"/>
              </w:rPr>
              <w:t> </w:t>
            </w:r>
            <w:r>
              <w:rPr>
                <w:spacing w:val="-5"/>
                <w:sz w:val="20"/>
              </w:rPr>
              <w:t>2)</w:t>
            </w:r>
          </w:p>
        </w:tc>
        <w:tc>
          <w:tcPr>
            <w:tcW w:w="4370" w:type="dxa"/>
          </w:tcPr>
          <w:p>
            <w:pPr>
              <w:pStyle w:val="TableParagraph"/>
              <w:rPr>
                <w:sz w:val="16"/>
              </w:rPr>
            </w:pPr>
          </w:p>
        </w:tc>
        <w:tc>
          <w:tcPr>
            <w:tcW w:w="3482" w:type="dxa"/>
          </w:tcPr>
          <w:p>
            <w:pPr>
              <w:pStyle w:val="TableParagraph"/>
              <w:spacing w:line="205" w:lineRule="exact"/>
              <w:ind w:left="147" w:right="248"/>
              <w:jc w:val="center"/>
              <w:rPr>
                <w:sz w:val="20"/>
              </w:rPr>
            </w:pPr>
            <w:r>
              <w:rPr>
                <w:w w:val="95"/>
                <w:sz w:val="20"/>
              </w:rPr>
              <w:t>A16.01.004.001,</w:t>
            </w:r>
            <w:r>
              <w:rPr>
                <w:spacing w:val="54"/>
                <w:sz w:val="20"/>
              </w:rPr>
              <w:t> </w:t>
            </w:r>
            <w:r>
              <w:rPr>
                <w:spacing w:val="-2"/>
                <w:sz w:val="20"/>
              </w:rPr>
              <w:t>A16.01.004.002,</w:t>
            </w:r>
          </w:p>
        </w:tc>
        <w:tc>
          <w:tcPr>
            <w:tcW w:w="2366"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84"/>
        <w:gridCol w:w="2521"/>
        <w:gridCol w:w="4881"/>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84" w:type="dxa"/>
            <w:vMerge w:val="restart"/>
          </w:tcPr>
          <w:p>
            <w:pPr>
              <w:pStyle w:val="TableParagraph"/>
              <w:rPr>
                <w:sz w:val="18"/>
              </w:rPr>
            </w:pPr>
          </w:p>
        </w:tc>
        <w:tc>
          <w:tcPr>
            <w:tcW w:w="2521" w:type="dxa"/>
            <w:vMerge w:val="restart"/>
          </w:tcPr>
          <w:p>
            <w:pPr>
              <w:pStyle w:val="TableParagraph"/>
              <w:rPr>
                <w:sz w:val="18"/>
              </w:rPr>
            </w:pPr>
          </w:p>
        </w:tc>
        <w:tc>
          <w:tcPr>
            <w:tcW w:w="4881" w:type="dxa"/>
          </w:tcPr>
          <w:p>
            <w:pPr>
              <w:pStyle w:val="TableParagraph"/>
              <w:spacing w:line="205" w:lineRule="exact"/>
              <w:ind w:left="1148" w:right="644"/>
              <w:jc w:val="center"/>
              <w:rPr>
                <w:sz w:val="20"/>
              </w:rPr>
            </w:pPr>
            <w:r>
              <w:rPr>
                <w:sz w:val="20"/>
              </w:rPr>
              <w:t>A16.01.006,</w:t>
            </w:r>
            <w:r>
              <w:rPr>
                <w:spacing w:val="-9"/>
                <w:sz w:val="20"/>
              </w:rPr>
              <w:t> </w:t>
            </w:r>
            <w:r>
              <w:rPr>
                <w:sz w:val="20"/>
              </w:rPr>
              <w:t>A16.01.009,</w:t>
            </w:r>
            <w:r>
              <w:rPr>
                <w:spacing w:val="-10"/>
                <w:sz w:val="20"/>
              </w:rPr>
              <w:t> </w:t>
            </w:r>
            <w:r>
              <w:rPr>
                <w:spacing w:val="-2"/>
                <w:sz w:val="20"/>
              </w:rPr>
              <w:t>A16.01.012,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09" w:lineRule="exact"/>
              <w:ind w:left="1150" w:right="644"/>
              <w:jc w:val="center"/>
              <w:rPr>
                <w:sz w:val="20"/>
              </w:rPr>
            </w:pPr>
            <w:r>
              <w:rPr>
                <w:w w:val="95"/>
                <w:sz w:val="20"/>
              </w:rPr>
              <w:t>A16.01.012.001,</w:t>
            </w:r>
            <w:r>
              <w:rPr>
                <w:spacing w:val="54"/>
                <w:sz w:val="20"/>
              </w:rPr>
              <w:t> </w:t>
            </w:r>
            <w:r>
              <w:rPr>
                <w:spacing w:val="-2"/>
                <w:sz w:val="20"/>
              </w:rPr>
              <w:t>A16.01.013,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09" w:lineRule="exact"/>
              <w:ind w:left="1150" w:right="642"/>
              <w:jc w:val="center"/>
              <w:rPr>
                <w:sz w:val="20"/>
              </w:rPr>
            </w:pPr>
            <w:r>
              <w:rPr>
                <w:sz w:val="20"/>
              </w:rPr>
              <w:t>A16.01.014,</w:t>
            </w:r>
            <w:r>
              <w:rPr>
                <w:spacing w:val="-9"/>
                <w:sz w:val="20"/>
              </w:rPr>
              <w:t> </w:t>
            </w:r>
            <w:r>
              <w:rPr>
                <w:spacing w:val="-2"/>
                <w:sz w:val="20"/>
              </w:rPr>
              <w:t>A16.01.018,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w w:val="95"/>
                <w:sz w:val="20"/>
              </w:rPr>
              <w:t>A16.01.023.001,</w:t>
            </w:r>
            <w:r>
              <w:rPr>
                <w:spacing w:val="54"/>
                <w:sz w:val="20"/>
              </w:rPr>
              <w:t> </w:t>
            </w:r>
            <w:r>
              <w:rPr>
                <w:spacing w:val="-2"/>
                <w:sz w:val="20"/>
              </w:rPr>
              <w:t>A16.01.029,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A16.01.030,</w:t>
            </w:r>
            <w:r>
              <w:rPr>
                <w:spacing w:val="-9"/>
                <w:sz w:val="20"/>
              </w:rPr>
              <w:t> </w:t>
            </w:r>
            <w:r>
              <w:rPr>
                <w:sz w:val="20"/>
              </w:rPr>
              <w:t>A16.01.031,</w:t>
            </w:r>
            <w:r>
              <w:rPr>
                <w:spacing w:val="-10"/>
                <w:sz w:val="20"/>
              </w:rPr>
              <w:t> </w:t>
            </w:r>
            <w:r>
              <w:rPr>
                <w:spacing w:val="-2"/>
                <w:sz w:val="20"/>
              </w:rPr>
              <w:t>A16.01.038,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50" w:right="641"/>
              <w:jc w:val="center"/>
              <w:rPr>
                <w:sz w:val="20"/>
              </w:rPr>
            </w:pPr>
            <w:r>
              <w:rPr>
                <w:sz w:val="20"/>
              </w:rPr>
              <w:t>A16.30.032,</w:t>
            </w:r>
            <w:r>
              <w:rPr>
                <w:spacing w:val="-9"/>
                <w:sz w:val="20"/>
              </w:rPr>
              <w:t> </w:t>
            </w:r>
            <w:r>
              <w:rPr>
                <w:spacing w:val="-2"/>
                <w:sz w:val="20"/>
              </w:rPr>
              <w:t>A16.30.032.001,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1" w:lineRule="exact"/>
              <w:ind w:left="1149" w:right="644"/>
              <w:jc w:val="center"/>
              <w:rPr>
                <w:sz w:val="20"/>
              </w:rPr>
            </w:pPr>
            <w:r>
              <w:rPr>
                <w:w w:val="95"/>
                <w:sz w:val="20"/>
              </w:rPr>
              <w:t>A16.30.032.002,</w:t>
            </w:r>
            <w:r>
              <w:rPr>
                <w:spacing w:val="54"/>
                <w:sz w:val="20"/>
              </w:rPr>
              <w:t> </w:t>
            </w:r>
            <w:r>
              <w:rPr>
                <w:spacing w:val="-2"/>
                <w:sz w:val="20"/>
              </w:rPr>
              <w:t>A16.30.032.004,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w w:val="95"/>
                <w:sz w:val="20"/>
              </w:rPr>
              <w:t>A16.30.032.005,</w:t>
            </w:r>
            <w:r>
              <w:rPr>
                <w:spacing w:val="54"/>
                <w:sz w:val="20"/>
              </w:rPr>
              <w:t> </w:t>
            </w:r>
            <w:r>
              <w:rPr>
                <w:spacing w:val="-2"/>
                <w:sz w:val="20"/>
              </w:rPr>
              <w:t>A16.30.033,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24" w:lineRule="exact"/>
              <w:ind w:left="1150" w:right="644"/>
              <w:jc w:val="center"/>
              <w:rPr>
                <w:sz w:val="20"/>
              </w:rPr>
            </w:pPr>
            <w:r>
              <w:rPr>
                <w:sz w:val="20"/>
              </w:rPr>
              <w:t>A16.30.068,</w:t>
            </w:r>
            <w:r>
              <w:rPr>
                <w:spacing w:val="-9"/>
                <w:sz w:val="20"/>
              </w:rPr>
              <w:t> </w:t>
            </w:r>
            <w:r>
              <w:rPr>
                <w:sz w:val="20"/>
              </w:rPr>
              <w:t>A16.30.072,</w:t>
            </w:r>
            <w:r>
              <w:rPr>
                <w:spacing w:val="-10"/>
                <w:sz w:val="20"/>
              </w:rPr>
              <w:t> </w:t>
            </w:r>
            <w:r>
              <w:rPr>
                <w:spacing w:val="-2"/>
                <w:sz w:val="20"/>
              </w:rPr>
              <w:t>A16.30.073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st31.004</w:t>
            </w:r>
          </w:p>
        </w:tc>
        <w:tc>
          <w:tcPr>
            <w:tcW w:w="707" w:type="dxa"/>
          </w:tcPr>
          <w:p>
            <w:pPr>
              <w:pStyle w:val="TableParagraph"/>
              <w:spacing w:line="215" w:lineRule="exact" w:before="46"/>
              <w:ind w:left="210"/>
              <w:rPr>
                <w:sz w:val="20"/>
              </w:rPr>
            </w:pPr>
            <w:r>
              <w:rPr>
                <w:spacing w:val="-5"/>
                <w:sz w:val="20"/>
              </w:rPr>
              <w:t>300</w:t>
            </w:r>
          </w:p>
        </w:tc>
        <w:tc>
          <w:tcPr>
            <w:tcW w:w="338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2521" w:type="dxa"/>
          </w:tcPr>
          <w:p>
            <w:pPr>
              <w:pStyle w:val="TableParagraph"/>
              <w:spacing w:line="215" w:lineRule="exact" w:before="46"/>
              <w:ind w:right="1150"/>
              <w:jc w:val="right"/>
              <w:rPr>
                <w:sz w:val="20"/>
              </w:rPr>
            </w:pPr>
            <w:r>
              <w:rPr>
                <w:w w:val="99"/>
                <w:sz w:val="20"/>
              </w:rPr>
              <w:t>-</w:t>
            </w:r>
          </w:p>
        </w:tc>
        <w:tc>
          <w:tcPr>
            <w:tcW w:w="4881" w:type="dxa"/>
          </w:tcPr>
          <w:p>
            <w:pPr>
              <w:pStyle w:val="TableParagraph"/>
              <w:spacing w:line="215" w:lineRule="exact" w:before="46"/>
              <w:ind w:left="1149" w:right="644"/>
              <w:jc w:val="center"/>
              <w:rPr>
                <w:sz w:val="20"/>
              </w:rPr>
            </w:pPr>
            <w:r>
              <w:rPr>
                <w:w w:val="95"/>
                <w:sz w:val="20"/>
              </w:rPr>
              <w:t>A16.01.006.001,</w:t>
            </w:r>
            <w:r>
              <w:rPr>
                <w:spacing w:val="54"/>
                <w:sz w:val="20"/>
              </w:rPr>
              <w:t> </w:t>
            </w:r>
            <w:r>
              <w:rPr>
                <w:spacing w:val="-2"/>
                <w:sz w:val="20"/>
              </w:rPr>
              <w:t>A16.01.023.002,</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1,38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подкожной</w:t>
            </w:r>
            <w:r>
              <w:rPr>
                <w:spacing w:val="-11"/>
                <w:sz w:val="20"/>
              </w:rPr>
              <w:t> </w:t>
            </w:r>
            <w:r>
              <w:rPr>
                <w:spacing w:val="-2"/>
                <w:sz w:val="20"/>
              </w:rPr>
              <w:t>клетчатке,</w:t>
            </w: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A16.01.031.001,</w:t>
            </w:r>
            <w:r>
              <w:rPr>
                <w:spacing w:val="54"/>
                <w:sz w:val="20"/>
              </w:rPr>
              <w:t> </w:t>
            </w:r>
            <w:r>
              <w:rPr>
                <w:spacing w:val="-2"/>
                <w:sz w:val="20"/>
              </w:rPr>
              <w:t>A16.30.014,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придатках</w:t>
            </w:r>
            <w:r>
              <w:rPr>
                <w:spacing w:val="-11"/>
                <w:sz w:val="20"/>
              </w:rPr>
              <w:t> </w:t>
            </w:r>
            <w:r>
              <w:rPr>
                <w:spacing w:val="-4"/>
                <w:sz w:val="20"/>
              </w:rPr>
              <w:t>кожи</w:t>
            </w:r>
          </w:p>
        </w:tc>
        <w:tc>
          <w:tcPr>
            <w:tcW w:w="2521" w:type="dxa"/>
          </w:tcPr>
          <w:p>
            <w:pPr>
              <w:pStyle w:val="TableParagraph"/>
              <w:rPr>
                <w:sz w:val="16"/>
              </w:rPr>
            </w:pPr>
          </w:p>
        </w:tc>
        <w:tc>
          <w:tcPr>
            <w:tcW w:w="4881" w:type="dxa"/>
          </w:tcPr>
          <w:p>
            <w:pPr>
              <w:pStyle w:val="TableParagraph"/>
              <w:spacing w:line="209" w:lineRule="exact"/>
              <w:ind w:left="1150" w:right="640"/>
              <w:jc w:val="center"/>
              <w:rPr>
                <w:sz w:val="20"/>
              </w:rPr>
            </w:pPr>
            <w:r>
              <w:rPr>
                <w:spacing w:val="-2"/>
                <w:sz w:val="20"/>
              </w:rPr>
              <w:t>A16.30.015</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84" w:type="dxa"/>
          </w:tcPr>
          <w:p>
            <w:pPr>
              <w:pStyle w:val="TableParagraph"/>
              <w:spacing w:line="224" w:lineRule="exact"/>
              <w:ind w:left="192"/>
              <w:rPr>
                <w:sz w:val="20"/>
              </w:rPr>
            </w:pPr>
            <w:r>
              <w:rPr>
                <w:sz w:val="20"/>
              </w:rPr>
              <w:t>(уровень</w:t>
            </w:r>
            <w:r>
              <w:rPr>
                <w:spacing w:val="-10"/>
                <w:sz w:val="20"/>
              </w:rPr>
              <w:t> </w:t>
            </w:r>
            <w:r>
              <w:rPr>
                <w:spacing w:val="-5"/>
                <w:sz w:val="20"/>
              </w:rPr>
              <w:t>3)</w:t>
            </w:r>
          </w:p>
        </w:tc>
        <w:tc>
          <w:tcPr>
            <w:tcW w:w="2521" w:type="dxa"/>
          </w:tcPr>
          <w:p>
            <w:pPr>
              <w:pStyle w:val="TableParagraph"/>
              <w:rPr>
                <w:sz w:val="18"/>
              </w:rPr>
            </w:pPr>
          </w:p>
        </w:tc>
        <w:tc>
          <w:tcPr>
            <w:tcW w:w="4881"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st31.005</w:t>
            </w:r>
          </w:p>
        </w:tc>
        <w:tc>
          <w:tcPr>
            <w:tcW w:w="707" w:type="dxa"/>
          </w:tcPr>
          <w:p>
            <w:pPr>
              <w:pStyle w:val="TableParagraph"/>
              <w:spacing w:line="215" w:lineRule="exact" w:before="46"/>
              <w:ind w:left="210"/>
              <w:rPr>
                <w:sz w:val="20"/>
              </w:rPr>
            </w:pPr>
            <w:r>
              <w:rPr>
                <w:spacing w:val="-5"/>
                <w:sz w:val="20"/>
              </w:rPr>
              <w:t>301</w:t>
            </w:r>
          </w:p>
        </w:tc>
        <w:tc>
          <w:tcPr>
            <w:tcW w:w="338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2521" w:type="dxa"/>
          </w:tcPr>
          <w:p>
            <w:pPr>
              <w:pStyle w:val="TableParagraph"/>
              <w:spacing w:line="215" w:lineRule="exact" w:before="46"/>
              <w:ind w:right="1150"/>
              <w:jc w:val="right"/>
              <w:rPr>
                <w:sz w:val="20"/>
              </w:rPr>
            </w:pPr>
            <w:r>
              <w:rPr>
                <w:w w:val="99"/>
                <w:sz w:val="20"/>
              </w:rPr>
              <w:t>-</w:t>
            </w:r>
          </w:p>
        </w:tc>
        <w:tc>
          <w:tcPr>
            <w:tcW w:w="4881" w:type="dxa"/>
          </w:tcPr>
          <w:p>
            <w:pPr>
              <w:pStyle w:val="TableParagraph"/>
              <w:spacing w:line="215" w:lineRule="exact" w:before="46"/>
              <w:ind w:left="1149" w:right="644"/>
              <w:jc w:val="center"/>
              <w:rPr>
                <w:sz w:val="20"/>
              </w:rPr>
            </w:pPr>
            <w:r>
              <w:rPr>
                <w:w w:val="95"/>
                <w:sz w:val="20"/>
              </w:rPr>
              <w:t>A16.01.003.003,</w:t>
            </w:r>
            <w:r>
              <w:rPr>
                <w:spacing w:val="54"/>
                <w:sz w:val="20"/>
              </w:rPr>
              <w:t> </w:t>
            </w:r>
            <w:r>
              <w:rPr>
                <w:spacing w:val="-2"/>
                <w:sz w:val="20"/>
              </w:rPr>
              <w:t>A16.01.003.004,</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2,41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подкожной</w:t>
            </w:r>
            <w:r>
              <w:rPr>
                <w:spacing w:val="-11"/>
                <w:sz w:val="20"/>
              </w:rPr>
              <w:t> </w:t>
            </w:r>
            <w:r>
              <w:rPr>
                <w:spacing w:val="-2"/>
                <w:sz w:val="20"/>
              </w:rPr>
              <w:t>клетчатке,</w:t>
            </w:r>
          </w:p>
        </w:tc>
        <w:tc>
          <w:tcPr>
            <w:tcW w:w="252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A16.01.003.005,</w:t>
            </w:r>
            <w:r>
              <w:rPr>
                <w:spacing w:val="54"/>
                <w:sz w:val="20"/>
              </w:rPr>
              <w:t> </w:t>
            </w:r>
            <w:r>
              <w:rPr>
                <w:spacing w:val="-2"/>
                <w:sz w:val="20"/>
              </w:rPr>
              <w:t>A16.01.005.005,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придатках</w:t>
            </w:r>
            <w:r>
              <w:rPr>
                <w:spacing w:val="-11"/>
                <w:sz w:val="20"/>
              </w:rPr>
              <w:t> </w:t>
            </w:r>
            <w:r>
              <w:rPr>
                <w:spacing w:val="-4"/>
                <w:sz w:val="20"/>
              </w:rPr>
              <w:t>кожи</w:t>
            </w:r>
          </w:p>
        </w:tc>
        <w:tc>
          <w:tcPr>
            <w:tcW w:w="2521"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A16.01.007,</w:t>
            </w:r>
            <w:r>
              <w:rPr>
                <w:spacing w:val="-9"/>
                <w:sz w:val="20"/>
              </w:rPr>
              <w:t> </w:t>
            </w:r>
            <w:r>
              <w:rPr>
                <w:spacing w:val="-2"/>
                <w:sz w:val="20"/>
              </w:rPr>
              <w:t>A16.01.010,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(уровень</w:t>
            </w:r>
            <w:r>
              <w:rPr>
                <w:spacing w:val="-10"/>
                <w:sz w:val="20"/>
              </w:rPr>
              <w:t> </w:t>
            </w:r>
            <w:r>
              <w:rPr>
                <w:spacing w:val="-5"/>
                <w:sz w:val="20"/>
              </w:rPr>
              <w:t>4)</w:t>
            </w:r>
          </w:p>
        </w:tc>
        <w:tc>
          <w:tcPr>
            <w:tcW w:w="2521"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A16.01.010.001,</w:t>
            </w:r>
            <w:r>
              <w:rPr>
                <w:spacing w:val="54"/>
                <w:sz w:val="20"/>
              </w:rPr>
              <w:t> </w:t>
            </w:r>
            <w:r>
              <w:rPr>
                <w:spacing w:val="-2"/>
                <w:sz w:val="20"/>
              </w:rPr>
              <w:t>A16.01.010.002,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1" w:lineRule="exact"/>
              <w:ind w:left="1149" w:right="644"/>
              <w:jc w:val="center"/>
              <w:rPr>
                <w:sz w:val="20"/>
              </w:rPr>
            </w:pPr>
            <w:r>
              <w:rPr>
                <w:w w:val="95"/>
                <w:sz w:val="20"/>
              </w:rPr>
              <w:t>A16.01.010.004,</w:t>
            </w:r>
            <w:r>
              <w:rPr>
                <w:spacing w:val="54"/>
                <w:sz w:val="20"/>
              </w:rPr>
              <w:t> </w:t>
            </w:r>
            <w:r>
              <w:rPr>
                <w:spacing w:val="-2"/>
                <w:sz w:val="20"/>
              </w:rPr>
              <w:t>A16.01.010.005,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A16.01.012.002,</w:t>
            </w:r>
            <w:r>
              <w:rPr>
                <w:spacing w:val="55"/>
                <w:sz w:val="20"/>
              </w:rPr>
              <w:t> </w:t>
            </w:r>
            <w:r>
              <w:rPr>
                <w:spacing w:val="-2"/>
                <w:sz w:val="20"/>
              </w:rPr>
              <w:t>A16.01.012.003,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A16.01.031.002,</w:t>
            </w:r>
            <w:r>
              <w:rPr>
                <w:spacing w:val="54"/>
                <w:sz w:val="20"/>
              </w:rPr>
              <w:t> </w:t>
            </w:r>
            <w:r>
              <w:rPr>
                <w:spacing w:val="-2"/>
                <w:sz w:val="20"/>
              </w:rPr>
              <w:t>A16.01.031.003,</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84" w:type="dxa"/>
          </w:tcPr>
          <w:p>
            <w:pPr>
              <w:pStyle w:val="TableParagraph"/>
              <w:rPr>
                <w:sz w:val="18"/>
              </w:rPr>
            </w:pPr>
          </w:p>
        </w:tc>
        <w:tc>
          <w:tcPr>
            <w:tcW w:w="2521"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A16.07.098,</w:t>
            </w:r>
            <w:r>
              <w:rPr>
                <w:spacing w:val="-9"/>
                <w:sz w:val="20"/>
              </w:rPr>
              <w:t> </w:t>
            </w:r>
            <w:r>
              <w:rPr>
                <w:spacing w:val="-2"/>
                <w:sz w:val="20"/>
              </w:rPr>
              <w:t>A16.08.008.006</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st31.006</w:t>
            </w:r>
          </w:p>
        </w:tc>
        <w:tc>
          <w:tcPr>
            <w:tcW w:w="707" w:type="dxa"/>
          </w:tcPr>
          <w:p>
            <w:pPr>
              <w:pStyle w:val="TableParagraph"/>
              <w:spacing w:line="215" w:lineRule="exact" w:before="45"/>
              <w:ind w:left="210"/>
              <w:rPr>
                <w:sz w:val="20"/>
              </w:rPr>
            </w:pPr>
            <w:r>
              <w:rPr>
                <w:spacing w:val="-5"/>
                <w:sz w:val="20"/>
              </w:rPr>
              <w:t>302</w:t>
            </w:r>
          </w:p>
        </w:tc>
        <w:tc>
          <w:tcPr>
            <w:tcW w:w="338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521" w:type="dxa"/>
          </w:tcPr>
          <w:p>
            <w:pPr>
              <w:pStyle w:val="TableParagraph"/>
              <w:spacing w:line="215" w:lineRule="exact" w:before="45"/>
              <w:ind w:right="1150"/>
              <w:jc w:val="right"/>
              <w:rPr>
                <w:sz w:val="20"/>
              </w:rPr>
            </w:pPr>
            <w:r>
              <w:rPr>
                <w:w w:val="99"/>
                <w:sz w:val="20"/>
              </w:rPr>
              <w:t>-</w:t>
            </w:r>
          </w:p>
        </w:tc>
        <w:tc>
          <w:tcPr>
            <w:tcW w:w="4881" w:type="dxa"/>
          </w:tcPr>
          <w:p>
            <w:pPr>
              <w:pStyle w:val="TableParagraph"/>
              <w:spacing w:line="215" w:lineRule="exact" w:before="45"/>
              <w:ind w:left="1150" w:right="644"/>
              <w:jc w:val="center"/>
              <w:rPr>
                <w:sz w:val="20"/>
              </w:rPr>
            </w:pPr>
            <w:r>
              <w:rPr>
                <w:w w:val="95"/>
                <w:sz w:val="20"/>
              </w:rPr>
              <w:t>A11.06.002.002,</w:t>
            </w:r>
            <w:r>
              <w:rPr>
                <w:spacing w:val="54"/>
                <w:sz w:val="20"/>
              </w:rPr>
              <w:t> </w:t>
            </w:r>
            <w:r>
              <w:rPr>
                <w:spacing w:val="-2"/>
                <w:sz w:val="20"/>
              </w:rPr>
              <w:t>A16.06.002,</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1,43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w w:val="95"/>
                <w:sz w:val="20"/>
              </w:rPr>
              <w:t>кроветворения</w:t>
            </w:r>
            <w:r>
              <w:rPr>
                <w:spacing w:val="47"/>
                <w:sz w:val="20"/>
              </w:rPr>
              <w:t> </w:t>
            </w:r>
            <w:r>
              <w:rPr>
                <w:spacing w:val="-10"/>
                <w:sz w:val="20"/>
              </w:rPr>
              <w:t>и</w:t>
            </w:r>
          </w:p>
        </w:tc>
        <w:tc>
          <w:tcPr>
            <w:tcW w:w="252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A16.06.003,</w:t>
            </w:r>
            <w:r>
              <w:rPr>
                <w:spacing w:val="-9"/>
                <w:sz w:val="20"/>
              </w:rPr>
              <w:t> </w:t>
            </w:r>
            <w:r>
              <w:rPr>
                <w:spacing w:val="-2"/>
                <w:sz w:val="20"/>
              </w:rPr>
              <w:t>A16.06.005,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иммунной</w:t>
            </w:r>
            <w:r>
              <w:rPr>
                <w:spacing w:val="-12"/>
                <w:sz w:val="20"/>
              </w:rPr>
              <w:t> </w:t>
            </w:r>
            <w:r>
              <w:rPr>
                <w:spacing w:val="-2"/>
                <w:sz w:val="20"/>
              </w:rPr>
              <w:t>системы</w:t>
            </w: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A16.06.005.004,</w:t>
            </w:r>
            <w:r>
              <w:rPr>
                <w:spacing w:val="54"/>
                <w:sz w:val="20"/>
              </w:rPr>
              <w:t> </w:t>
            </w:r>
            <w:r>
              <w:rPr>
                <w:spacing w:val="-2"/>
                <w:sz w:val="20"/>
              </w:rPr>
              <w:t>A16.06.006,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(уровень</w:t>
            </w:r>
            <w:r>
              <w:rPr>
                <w:spacing w:val="-11"/>
                <w:sz w:val="20"/>
              </w:rPr>
              <w:t> </w:t>
            </w:r>
            <w:r>
              <w:rPr>
                <w:spacing w:val="-5"/>
                <w:sz w:val="20"/>
              </w:rPr>
              <w:t>1)</w:t>
            </w:r>
          </w:p>
        </w:tc>
        <w:tc>
          <w:tcPr>
            <w:tcW w:w="2521" w:type="dxa"/>
          </w:tcPr>
          <w:p>
            <w:pPr>
              <w:pStyle w:val="TableParagraph"/>
              <w:rPr>
                <w:sz w:val="16"/>
              </w:rPr>
            </w:pPr>
          </w:p>
        </w:tc>
        <w:tc>
          <w:tcPr>
            <w:tcW w:w="4881" w:type="dxa"/>
          </w:tcPr>
          <w:p>
            <w:pPr>
              <w:pStyle w:val="TableParagraph"/>
              <w:spacing w:line="209" w:lineRule="exact"/>
              <w:ind w:left="1150" w:right="644"/>
              <w:jc w:val="center"/>
              <w:rPr>
                <w:sz w:val="20"/>
              </w:rPr>
            </w:pPr>
            <w:r>
              <w:rPr>
                <w:w w:val="95"/>
                <w:sz w:val="20"/>
              </w:rPr>
              <w:t>A16.06.006.001,</w:t>
            </w:r>
            <w:r>
              <w:rPr>
                <w:spacing w:val="54"/>
                <w:sz w:val="20"/>
              </w:rPr>
              <w:t> </w:t>
            </w:r>
            <w:r>
              <w:rPr>
                <w:spacing w:val="-2"/>
                <w:sz w:val="20"/>
              </w:rPr>
              <w:t>A16.06.006.002,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A16.06.010,</w:t>
            </w:r>
            <w:r>
              <w:rPr>
                <w:spacing w:val="-9"/>
                <w:sz w:val="20"/>
              </w:rPr>
              <w:t> </w:t>
            </w:r>
            <w:r>
              <w:rPr>
                <w:sz w:val="20"/>
              </w:rPr>
              <w:t>A16.06.011,</w:t>
            </w:r>
            <w:r>
              <w:rPr>
                <w:spacing w:val="-10"/>
                <w:sz w:val="20"/>
              </w:rPr>
              <w:t> </w:t>
            </w:r>
            <w:r>
              <w:rPr>
                <w:spacing w:val="-2"/>
                <w:sz w:val="20"/>
              </w:rPr>
              <w:t>A16.06.012,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A16.06.013,</w:t>
            </w:r>
            <w:r>
              <w:rPr>
                <w:spacing w:val="-9"/>
                <w:sz w:val="20"/>
              </w:rPr>
              <w:t> </w:t>
            </w:r>
            <w:r>
              <w:rPr>
                <w:spacing w:val="-2"/>
                <w:sz w:val="20"/>
              </w:rPr>
              <w:t>A16.06.014,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1" w:lineRule="exact"/>
              <w:ind w:left="1149" w:right="644"/>
              <w:jc w:val="center"/>
              <w:rPr>
                <w:sz w:val="20"/>
              </w:rPr>
            </w:pPr>
            <w:r>
              <w:rPr>
                <w:w w:val="95"/>
                <w:sz w:val="20"/>
              </w:rPr>
              <w:t>A16.06.014.001,</w:t>
            </w:r>
            <w:r>
              <w:rPr>
                <w:spacing w:val="54"/>
                <w:sz w:val="20"/>
              </w:rPr>
              <w:t> </w:t>
            </w:r>
            <w:r>
              <w:rPr>
                <w:spacing w:val="-2"/>
                <w:sz w:val="20"/>
              </w:rPr>
              <w:t>A16.06.014.002,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1" w:lineRule="exact"/>
              <w:ind w:left="1150" w:right="644"/>
              <w:jc w:val="center"/>
              <w:rPr>
                <w:sz w:val="20"/>
              </w:rPr>
            </w:pPr>
            <w:r>
              <w:rPr>
                <w:w w:val="95"/>
                <w:sz w:val="20"/>
              </w:rPr>
              <w:t>A16.06.014.003,</w:t>
            </w:r>
            <w:r>
              <w:rPr>
                <w:spacing w:val="54"/>
                <w:sz w:val="20"/>
              </w:rPr>
              <w:t> </w:t>
            </w:r>
            <w:r>
              <w:rPr>
                <w:spacing w:val="-2"/>
                <w:sz w:val="20"/>
              </w:rPr>
              <w:t>A16.06.015,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A16.06.016,</w:t>
            </w:r>
            <w:r>
              <w:rPr>
                <w:spacing w:val="-9"/>
                <w:sz w:val="20"/>
              </w:rPr>
              <w:t> </w:t>
            </w:r>
            <w:r>
              <w:rPr>
                <w:spacing w:val="-2"/>
                <w:sz w:val="20"/>
              </w:rPr>
              <w:t>A16.06.016.001,</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84" w:type="dxa"/>
          </w:tcPr>
          <w:p>
            <w:pPr>
              <w:pStyle w:val="TableParagraph"/>
              <w:rPr>
                <w:sz w:val="18"/>
              </w:rPr>
            </w:pPr>
          </w:p>
        </w:tc>
        <w:tc>
          <w:tcPr>
            <w:tcW w:w="2521" w:type="dxa"/>
          </w:tcPr>
          <w:p>
            <w:pPr>
              <w:pStyle w:val="TableParagraph"/>
              <w:rPr>
                <w:sz w:val="18"/>
              </w:rPr>
            </w:pPr>
          </w:p>
        </w:tc>
        <w:tc>
          <w:tcPr>
            <w:tcW w:w="4881" w:type="dxa"/>
          </w:tcPr>
          <w:p>
            <w:pPr>
              <w:pStyle w:val="TableParagraph"/>
              <w:spacing w:line="226" w:lineRule="exact"/>
              <w:ind w:left="1150" w:right="643"/>
              <w:jc w:val="center"/>
              <w:rPr>
                <w:sz w:val="20"/>
              </w:rPr>
            </w:pPr>
            <w:r>
              <w:rPr>
                <w:spacing w:val="-2"/>
                <w:sz w:val="20"/>
              </w:rPr>
              <w:t>A16.06.016.002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st31.007</w:t>
            </w:r>
          </w:p>
        </w:tc>
        <w:tc>
          <w:tcPr>
            <w:tcW w:w="707" w:type="dxa"/>
          </w:tcPr>
          <w:p>
            <w:pPr>
              <w:pStyle w:val="TableParagraph"/>
              <w:spacing w:line="215" w:lineRule="exact" w:before="45"/>
              <w:ind w:left="210"/>
              <w:rPr>
                <w:sz w:val="20"/>
              </w:rPr>
            </w:pPr>
            <w:r>
              <w:rPr>
                <w:spacing w:val="-5"/>
                <w:sz w:val="20"/>
              </w:rPr>
              <w:t>303</w:t>
            </w:r>
          </w:p>
        </w:tc>
        <w:tc>
          <w:tcPr>
            <w:tcW w:w="338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521" w:type="dxa"/>
          </w:tcPr>
          <w:p>
            <w:pPr>
              <w:pStyle w:val="TableParagraph"/>
              <w:spacing w:line="215" w:lineRule="exact" w:before="45"/>
              <w:ind w:right="1150"/>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sz w:val="20"/>
              </w:rPr>
              <w:t>A16.05.002,</w:t>
            </w:r>
            <w:r>
              <w:rPr>
                <w:spacing w:val="-9"/>
                <w:sz w:val="20"/>
              </w:rPr>
              <w:t> </w:t>
            </w:r>
            <w:r>
              <w:rPr>
                <w:sz w:val="20"/>
              </w:rPr>
              <w:t>A16.05.003,</w:t>
            </w:r>
            <w:r>
              <w:rPr>
                <w:spacing w:val="-10"/>
                <w:sz w:val="20"/>
              </w:rPr>
              <w:t> </w:t>
            </w:r>
            <w:r>
              <w:rPr>
                <w:spacing w:val="-2"/>
                <w:sz w:val="20"/>
              </w:rPr>
              <w:t>A16.05.004,</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1,83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w w:val="95"/>
                <w:sz w:val="20"/>
              </w:rPr>
              <w:t>кроветворения</w:t>
            </w:r>
            <w:r>
              <w:rPr>
                <w:spacing w:val="47"/>
                <w:sz w:val="20"/>
              </w:rPr>
              <w:t> </w:t>
            </w:r>
            <w:r>
              <w:rPr>
                <w:spacing w:val="-10"/>
                <w:sz w:val="20"/>
              </w:rPr>
              <w:t>и</w:t>
            </w:r>
          </w:p>
        </w:tc>
        <w:tc>
          <w:tcPr>
            <w:tcW w:w="2521"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A16.06.004,</w:t>
            </w:r>
            <w:r>
              <w:rPr>
                <w:spacing w:val="-9"/>
                <w:sz w:val="20"/>
              </w:rPr>
              <w:t> </w:t>
            </w:r>
            <w:r>
              <w:rPr>
                <w:sz w:val="20"/>
              </w:rPr>
              <w:t>A16.06.007,</w:t>
            </w:r>
            <w:r>
              <w:rPr>
                <w:spacing w:val="-10"/>
                <w:sz w:val="20"/>
              </w:rPr>
              <w:t> </w:t>
            </w:r>
            <w:r>
              <w:rPr>
                <w:spacing w:val="-2"/>
                <w:sz w:val="20"/>
              </w:rPr>
              <w:t>A16.06.008,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иммунной</w:t>
            </w:r>
            <w:r>
              <w:rPr>
                <w:spacing w:val="-11"/>
                <w:sz w:val="20"/>
              </w:rPr>
              <w:t> </w:t>
            </w:r>
            <w:r>
              <w:rPr>
                <w:spacing w:val="-2"/>
                <w:sz w:val="20"/>
              </w:rPr>
              <w:t>системы</w:t>
            </w: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A16.06.009,</w:t>
            </w:r>
            <w:r>
              <w:rPr>
                <w:spacing w:val="-9"/>
                <w:sz w:val="20"/>
              </w:rPr>
              <w:t> </w:t>
            </w:r>
            <w:r>
              <w:rPr>
                <w:spacing w:val="-2"/>
                <w:sz w:val="20"/>
              </w:rPr>
              <w:t>A16.06.009.001,</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5" w:lineRule="exact"/>
              <w:ind w:left="192"/>
              <w:rPr>
                <w:sz w:val="20"/>
              </w:rPr>
            </w:pPr>
            <w:r>
              <w:rPr>
                <w:sz w:val="20"/>
              </w:rPr>
              <w:t>(уровень</w:t>
            </w:r>
            <w:r>
              <w:rPr>
                <w:spacing w:val="-11"/>
                <w:sz w:val="20"/>
              </w:rPr>
              <w:t> </w:t>
            </w:r>
            <w:r>
              <w:rPr>
                <w:spacing w:val="-5"/>
                <w:sz w:val="20"/>
              </w:rPr>
              <w:t>2)</w:t>
            </w:r>
          </w:p>
        </w:tc>
        <w:tc>
          <w:tcPr>
            <w:tcW w:w="2521" w:type="dxa"/>
          </w:tcPr>
          <w:p>
            <w:pPr>
              <w:pStyle w:val="TableParagraph"/>
              <w:rPr>
                <w:sz w:val="16"/>
              </w:rPr>
            </w:pPr>
          </w:p>
        </w:tc>
        <w:tc>
          <w:tcPr>
            <w:tcW w:w="4881" w:type="dxa"/>
          </w:tcPr>
          <w:p>
            <w:pPr>
              <w:pStyle w:val="TableParagraph"/>
              <w:spacing w:line="205" w:lineRule="exact"/>
              <w:ind w:left="1149" w:right="644"/>
              <w:jc w:val="center"/>
              <w:rPr>
                <w:sz w:val="20"/>
              </w:rPr>
            </w:pPr>
            <w:r>
              <w:rPr>
                <w:w w:val="95"/>
                <w:sz w:val="20"/>
              </w:rPr>
              <w:t>A16.06.009.002,</w:t>
            </w:r>
            <w:r>
              <w:rPr>
                <w:spacing w:val="54"/>
                <w:sz w:val="20"/>
              </w:rPr>
              <w:t> </w:t>
            </w:r>
            <w:r>
              <w:rPr>
                <w:spacing w:val="-2"/>
                <w:sz w:val="20"/>
              </w:rPr>
              <w:t>A16.06.009.003,</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50"/>
        <w:gridCol w:w="4338"/>
        <w:gridCol w:w="3900"/>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50" w:type="dxa"/>
            <w:vMerge w:val="restart"/>
          </w:tcPr>
          <w:p>
            <w:pPr>
              <w:pStyle w:val="TableParagraph"/>
              <w:rPr>
                <w:sz w:val="18"/>
              </w:rPr>
            </w:pPr>
          </w:p>
        </w:tc>
        <w:tc>
          <w:tcPr>
            <w:tcW w:w="4338" w:type="dxa"/>
            <w:vMerge w:val="restart"/>
          </w:tcPr>
          <w:p>
            <w:pPr>
              <w:pStyle w:val="TableParagraph"/>
              <w:rPr>
                <w:sz w:val="18"/>
              </w:rPr>
            </w:pPr>
          </w:p>
        </w:tc>
        <w:tc>
          <w:tcPr>
            <w:tcW w:w="3900" w:type="dxa"/>
          </w:tcPr>
          <w:p>
            <w:pPr>
              <w:pStyle w:val="TableParagraph"/>
              <w:spacing w:line="205" w:lineRule="exact"/>
              <w:ind w:left="169" w:right="646"/>
              <w:jc w:val="center"/>
              <w:rPr>
                <w:sz w:val="20"/>
              </w:rPr>
            </w:pPr>
            <w:r>
              <w:rPr>
                <w:w w:val="95"/>
                <w:sz w:val="20"/>
              </w:rPr>
              <w:t>A16.06.016.003,</w:t>
            </w:r>
            <w:r>
              <w:rPr>
                <w:spacing w:val="54"/>
                <w:sz w:val="20"/>
              </w:rPr>
              <w:t> </w:t>
            </w:r>
            <w:r>
              <w:rPr>
                <w:spacing w:val="-2"/>
                <w:sz w:val="20"/>
              </w:rPr>
              <w:t>A16.06.016.004,</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0" w:type="dxa"/>
            <w:vMerge/>
            <w:tcBorders>
              <w:top w:val="nil"/>
            </w:tcBorders>
          </w:tcPr>
          <w:p>
            <w:pPr>
              <w:rPr>
                <w:sz w:val="2"/>
                <w:szCs w:val="2"/>
              </w:rPr>
            </w:pPr>
          </w:p>
        </w:tc>
        <w:tc>
          <w:tcPr>
            <w:tcW w:w="4338" w:type="dxa"/>
            <w:vMerge/>
            <w:tcBorders>
              <w:top w:val="nil"/>
            </w:tcBorders>
          </w:tcPr>
          <w:p>
            <w:pPr>
              <w:rPr>
                <w:sz w:val="2"/>
                <w:szCs w:val="2"/>
              </w:rPr>
            </w:pPr>
          </w:p>
        </w:tc>
        <w:tc>
          <w:tcPr>
            <w:tcW w:w="3900" w:type="dxa"/>
          </w:tcPr>
          <w:p>
            <w:pPr>
              <w:pStyle w:val="TableParagraph"/>
              <w:spacing w:line="209" w:lineRule="exact"/>
              <w:ind w:left="169" w:right="645"/>
              <w:jc w:val="center"/>
              <w:rPr>
                <w:sz w:val="20"/>
              </w:rPr>
            </w:pPr>
            <w:r>
              <w:rPr>
                <w:w w:val="95"/>
                <w:sz w:val="20"/>
              </w:rPr>
              <w:t>A16.06.016.005,</w:t>
            </w:r>
            <w:r>
              <w:rPr>
                <w:spacing w:val="54"/>
                <w:sz w:val="20"/>
              </w:rPr>
              <w:t> </w:t>
            </w:r>
            <w:r>
              <w:rPr>
                <w:spacing w:val="-2"/>
                <w:sz w:val="20"/>
              </w:rPr>
              <w:t>A16.06.017,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0" w:type="dxa"/>
            <w:vMerge/>
            <w:tcBorders>
              <w:top w:val="nil"/>
            </w:tcBorders>
          </w:tcPr>
          <w:p>
            <w:pPr>
              <w:rPr>
                <w:sz w:val="2"/>
                <w:szCs w:val="2"/>
              </w:rPr>
            </w:pPr>
          </w:p>
        </w:tc>
        <w:tc>
          <w:tcPr>
            <w:tcW w:w="4338" w:type="dxa"/>
            <w:vMerge/>
            <w:tcBorders>
              <w:top w:val="nil"/>
            </w:tcBorders>
          </w:tcPr>
          <w:p>
            <w:pPr>
              <w:rPr>
                <w:sz w:val="2"/>
                <w:szCs w:val="2"/>
              </w:rPr>
            </w:pPr>
          </w:p>
        </w:tc>
        <w:tc>
          <w:tcPr>
            <w:tcW w:w="3900" w:type="dxa"/>
          </w:tcPr>
          <w:p>
            <w:pPr>
              <w:pStyle w:val="TableParagraph"/>
              <w:spacing w:line="224" w:lineRule="exact"/>
              <w:ind w:left="169" w:right="645"/>
              <w:jc w:val="center"/>
              <w:rPr>
                <w:sz w:val="20"/>
              </w:rPr>
            </w:pPr>
            <w:r>
              <w:rPr>
                <w:sz w:val="20"/>
              </w:rPr>
              <w:t>A16.06.018,</w:t>
            </w:r>
            <w:r>
              <w:rPr>
                <w:spacing w:val="-9"/>
                <w:sz w:val="20"/>
              </w:rPr>
              <w:t> </w:t>
            </w:r>
            <w:r>
              <w:rPr>
                <w:sz w:val="20"/>
              </w:rPr>
              <w:t>A16.30.061,</w:t>
            </w:r>
            <w:r>
              <w:rPr>
                <w:spacing w:val="-10"/>
                <w:sz w:val="20"/>
              </w:rPr>
              <w:t> </w:t>
            </w:r>
            <w:r>
              <w:rPr>
                <w:spacing w:val="-2"/>
                <w:sz w:val="20"/>
              </w:rPr>
              <w:t>A16.30.063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st31.008</w:t>
            </w:r>
          </w:p>
        </w:tc>
        <w:tc>
          <w:tcPr>
            <w:tcW w:w="707" w:type="dxa"/>
          </w:tcPr>
          <w:p>
            <w:pPr>
              <w:pStyle w:val="TableParagraph"/>
              <w:spacing w:line="215" w:lineRule="exact" w:before="46"/>
              <w:ind w:left="210"/>
              <w:rPr>
                <w:sz w:val="20"/>
              </w:rPr>
            </w:pPr>
            <w:r>
              <w:rPr>
                <w:spacing w:val="-5"/>
                <w:sz w:val="20"/>
              </w:rPr>
              <w:t>304</w:t>
            </w:r>
          </w:p>
        </w:tc>
        <w:tc>
          <w:tcPr>
            <w:tcW w:w="2550"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4338" w:type="dxa"/>
          </w:tcPr>
          <w:p>
            <w:pPr>
              <w:pStyle w:val="TableParagraph"/>
              <w:spacing w:line="215" w:lineRule="exact" w:before="46"/>
              <w:jc w:val="center"/>
              <w:rPr>
                <w:sz w:val="20"/>
              </w:rPr>
            </w:pPr>
            <w:r>
              <w:rPr>
                <w:w w:val="99"/>
                <w:sz w:val="20"/>
              </w:rPr>
              <w:t>-</w:t>
            </w:r>
          </w:p>
        </w:tc>
        <w:tc>
          <w:tcPr>
            <w:tcW w:w="3900" w:type="dxa"/>
          </w:tcPr>
          <w:p>
            <w:pPr>
              <w:pStyle w:val="TableParagraph"/>
              <w:spacing w:line="215" w:lineRule="exact" w:before="46"/>
              <w:ind w:left="169" w:right="646"/>
              <w:jc w:val="center"/>
              <w:rPr>
                <w:sz w:val="20"/>
              </w:rPr>
            </w:pPr>
            <w:r>
              <w:rPr>
                <w:w w:val="95"/>
                <w:sz w:val="20"/>
              </w:rPr>
              <w:t>A16.05.002.001,</w:t>
            </w:r>
            <w:r>
              <w:rPr>
                <w:spacing w:val="54"/>
                <w:sz w:val="20"/>
              </w:rPr>
              <w:t> </w:t>
            </w:r>
            <w:r>
              <w:rPr>
                <w:spacing w:val="-2"/>
                <w:sz w:val="20"/>
              </w:rPr>
              <w:t>A16.05.004.001,</w:t>
            </w:r>
          </w:p>
        </w:tc>
        <w:tc>
          <w:tcPr>
            <w:tcW w:w="1574"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2,16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w w:val="95"/>
                <w:sz w:val="20"/>
              </w:rPr>
              <w:t>кроветворения</w:t>
            </w:r>
            <w:r>
              <w:rPr>
                <w:spacing w:val="47"/>
                <w:sz w:val="20"/>
              </w:rPr>
              <w:t> </w:t>
            </w:r>
            <w:r>
              <w:rPr>
                <w:spacing w:val="-10"/>
                <w:sz w:val="20"/>
              </w:rPr>
              <w:t>и</w:t>
            </w:r>
          </w:p>
        </w:tc>
        <w:tc>
          <w:tcPr>
            <w:tcW w:w="4338" w:type="dxa"/>
          </w:tcPr>
          <w:p>
            <w:pPr>
              <w:pStyle w:val="TableParagraph"/>
              <w:rPr>
                <w:sz w:val="16"/>
              </w:rPr>
            </w:pPr>
          </w:p>
        </w:tc>
        <w:tc>
          <w:tcPr>
            <w:tcW w:w="3900" w:type="dxa"/>
          </w:tcPr>
          <w:p>
            <w:pPr>
              <w:pStyle w:val="TableParagraph"/>
              <w:spacing w:line="210" w:lineRule="exact"/>
              <w:ind w:left="169" w:right="647"/>
              <w:jc w:val="center"/>
              <w:rPr>
                <w:sz w:val="20"/>
              </w:rPr>
            </w:pPr>
            <w:r>
              <w:rPr>
                <w:sz w:val="20"/>
              </w:rPr>
              <w:t>A16.05.005,</w:t>
            </w:r>
            <w:r>
              <w:rPr>
                <w:spacing w:val="-9"/>
                <w:sz w:val="20"/>
              </w:rPr>
              <w:t> </w:t>
            </w:r>
            <w:r>
              <w:rPr>
                <w:sz w:val="20"/>
              </w:rPr>
              <w:t>A16.05.006,</w:t>
            </w:r>
            <w:r>
              <w:rPr>
                <w:spacing w:val="-10"/>
                <w:sz w:val="20"/>
              </w:rPr>
              <w:t> </w:t>
            </w:r>
            <w:r>
              <w:rPr>
                <w:spacing w:val="-2"/>
                <w:sz w:val="20"/>
              </w:rPr>
              <w:t>A16.05.007,</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09" w:lineRule="exact"/>
              <w:ind w:left="192"/>
              <w:rPr>
                <w:sz w:val="20"/>
              </w:rPr>
            </w:pPr>
            <w:r>
              <w:rPr>
                <w:sz w:val="20"/>
              </w:rPr>
              <w:t>иммунной</w:t>
            </w:r>
            <w:r>
              <w:rPr>
                <w:spacing w:val="-12"/>
                <w:sz w:val="20"/>
              </w:rPr>
              <w:t> </w:t>
            </w:r>
            <w:r>
              <w:rPr>
                <w:spacing w:val="-2"/>
                <w:sz w:val="20"/>
              </w:rPr>
              <w:t>системы</w:t>
            </w: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A16.05.008,</w:t>
            </w:r>
            <w:r>
              <w:rPr>
                <w:spacing w:val="-9"/>
                <w:sz w:val="20"/>
              </w:rPr>
              <w:t> </w:t>
            </w:r>
            <w:r>
              <w:rPr>
                <w:spacing w:val="-2"/>
                <w:sz w:val="20"/>
              </w:rPr>
              <w:t>A16.05.008.001,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09" w:lineRule="exact"/>
              <w:ind w:left="192"/>
              <w:rPr>
                <w:sz w:val="20"/>
              </w:rPr>
            </w:pPr>
            <w:r>
              <w:rPr>
                <w:sz w:val="20"/>
              </w:rPr>
              <w:t>(уровень</w:t>
            </w:r>
            <w:r>
              <w:rPr>
                <w:spacing w:val="-11"/>
                <w:sz w:val="20"/>
              </w:rPr>
              <w:t> </w:t>
            </w:r>
            <w:r>
              <w:rPr>
                <w:spacing w:val="-5"/>
                <w:sz w:val="20"/>
              </w:rPr>
              <w:t>3)</w:t>
            </w: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A16.05.010,</w:t>
            </w:r>
            <w:r>
              <w:rPr>
                <w:spacing w:val="-9"/>
                <w:sz w:val="20"/>
              </w:rPr>
              <w:t> </w:t>
            </w:r>
            <w:r>
              <w:rPr>
                <w:spacing w:val="-2"/>
                <w:sz w:val="20"/>
              </w:rPr>
              <w:t>A16.05.010.001,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11" w:lineRule="exact"/>
              <w:ind w:left="169" w:right="645"/>
              <w:jc w:val="center"/>
              <w:rPr>
                <w:sz w:val="20"/>
              </w:rPr>
            </w:pPr>
            <w:r>
              <w:rPr>
                <w:sz w:val="20"/>
              </w:rPr>
              <w:t>A16.06.001,</w:t>
            </w:r>
            <w:r>
              <w:rPr>
                <w:spacing w:val="-9"/>
                <w:sz w:val="20"/>
              </w:rPr>
              <w:t> </w:t>
            </w:r>
            <w:r>
              <w:rPr>
                <w:spacing w:val="-2"/>
                <w:sz w:val="20"/>
              </w:rPr>
              <w:t>A16.06.004.001,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10" w:lineRule="exact"/>
              <w:ind w:left="169" w:right="642"/>
              <w:jc w:val="center"/>
              <w:rPr>
                <w:sz w:val="20"/>
              </w:rPr>
            </w:pPr>
            <w:r>
              <w:rPr>
                <w:w w:val="95"/>
                <w:sz w:val="20"/>
              </w:rPr>
              <w:t>A16.06.005.001,</w:t>
            </w:r>
            <w:r>
              <w:rPr>
                <w:spacing w:val="54"/>
                <w:sz w:val="20"/>
              </w:rPr>
              <w:t> </w:t>
            </w:r>
            <w:r>
              <w:rPr>
                <w:spacing w:val="-2"/>
                <w:sz w:val="20"/>
              </w:rPr>
              <w:t>A16.06.006.003,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10" w:lineRule="exact"/>
              <w:ind w:left="169" w:right="646"/>
              <w:jc w:val="center"/>
              <w:rPr>
                <w:sz w:val="20"/>
              </w:rPr>
            </w:pPr>
            <w:r>
              <w:rPr>
                <w:w w:val="95"/>
                <w:sz w:val="20"/>
              </w:rPr>
              <w:t>A16.06.007.001,</w:t>
            </w:r>
            <w:r>
              <w:rPr>
                <w:spacing w:val="54"/>
                <w:sz w:val="20"/>
              </w:rPr>
              <w:t> </w:t>
            </w:r>
            <w:r>
              <w:rPr>
                <w:spacing w:val="-2"/>
                <w:sz w:val="20"/>
              </w:rPr>
              <w:t>A16.06.007.002,</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rPr>
                <w:sz w:val="18"/>
              </w:rPr>
            </w:pPr>
          </w:p>
        </w:tc>
        <w:tc>
          <w:tcPr>
            <w:tcW w:w="4338" w:type="dxa"/>
          </w:tcPr>
          <w:p>
            <w:pPr>
              <w:pStyle w:val="TableParagraph"/>
              <w:rPr>
                <w:sz w:val="18"/>
              </w:rPr>
            </w:pPr>
          </w:p>
        </w:tc>
        <w:tc>
          <w:tcPr>
            <w:tcW w:w="3900" w:type="dxa"/>
          </w:tcPr>
          <w:p>
            <w:pPr>
              <w:pStyle w:val="TableParagraph"/>
              <w:spacing w:line="226" w:lineRule="exact"/>
              <w:ind w:left="169" w:right="644"/>
              <w:jc w:val="center"/>
              <w:rPr>
                <w:sz w:val="20"/>
              </w:rPr>
            </w:pPr>
            <w:r>
              <w:rPr>
                <w:spacing w:val="-2"/>
                <w:sz w:val="20"/>
              </w:rPr>
              <w:t>A16.06.017.001</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st31.009</w:t>
            </w:r>
          </w:p>
        </w:tc>
        <w:tc>
          <w:tcPr>
            <w:tcW w:w="707" w:type="dxa"/>
          </w:tcPr>
          <w:p>
            <w:pPr>
              <w:pStyle w:val="TableParagraph"/>
              <w:spacing w:line="215" w:lineRule="exact" w:before="45"/>
              <w:ind w:left="210"/>
              <w:rPr>
                <w:sz w:val="20"/>
              </w:rPr>
            </w:pPr>
            <w:r>
              <w:rPr>
                <w:spacing w:val="-5"/>
                <w:sz w:val="20"/>
              </w:rPr>
              <w:t>305</w:t>
            </w:r>
          </w:p>
        </w:tc>
        <w:tc>
          <w:tcPr>
            <w:tcW w:w="2550" w:type="dxa"/>
          </w:tcPr>
          <w:p>
            <w:pPr>
              <w:pStyle w:val="TableParagraph"/>
              <w:spacing w:line="215" w:lineRule="exact" w:before="45"/>
              <w:ind w:left="192"/>
              <w:rPr>
                <w:sz w:val="20"/>
              </w:rPr>
            </w:pPr>
            <w:r>
              <w:rPr>
                <w:sz w:val="20"/>
              </w:rPr>
              <w:t>Операции</w:t>
            </w:r>
            <w:r>
              <w:rPr>
                <w:spacing w:val="-10"/>
                <w:sz w:val="20"/>
              </w:rPr>
              <w:t> </w:t>
            </w:r>
            <w:r>
              <w:rPr>
                <w:spacing w:val="-5"/>
                <w:sz w:val="20"/>
              </w:rPr>
              <w:t>на</w:t>
            </w:r>
          </w:p>
        </w:tc>
        <w:tc>
          <w:tcPr>
            <w:tcW w:w="4338" w:type="dxa"/>
          </w:tcPr>
          <w:p>
            <w:pPr>
              <w:pStyle w:val="TableParagraph"/>
              <w:spacing w:line="215" w:lineRule="exact" w:before="45"/>
              <w:jc w:val="center"/>
              <w:rPr>
                <w:sz w:val="20"/>
              </w:rPr>
            </w:pPr>
            <w:r>
              <w:rPr>
                <w:w w:val="99"/>
                <w:sz w:val="20"/>
              </w:rPr>
              <w:t>-</w:t>
            </w:r>
          </w:p>
        </w:tc>
        <w:tc>
          <w:tcPr>
            <w:tcW w:w="3900" w:type="dxa"/>
          </w:tcPr>
          <w:p>
            <w:pPr>
              <w:pStyle w:val="TableParagraph"/>
              <w:spacing w:line="215" w:lineRule="exact" w:before="45"/>
              <w:ind w:left="169" w:right="647"/>
              <w:jc w:val="center"/>
              <w:rPr>
                <w:sz w:val="20"/>
              </w:rPr>
            </w:pPr>
            <w:r>
              <w:rPr>
                <w:sz w:val="20"/>
              </w:rPr>
              <w:t>A16.22.001,</w:t>
            </w:r>
            <w:r>
              <w:rPr>
                <w:spacing w:val="-9"/>
                <w:sz w:val="20"/>
              </w:rPr>
              <w:t> </w:t>
            </w:r>
            <w:r>
              <w:rPr>
                <w:sz w:val="20"/>
              </w:rPr>
              <w:t>A16.22.002,</w:t>
            </w:r>
            <w:r>
              <w:rPr>
                <w:spacing w:val="-10"/>
                <w:sz w:val="20"/>
              </w:rPr>
              <w:t> </w:t>
            </w:r>
            <w:r>
              <w:rPr>
                <w:spacing w:val="-2"/>
                <w:sz w:val="20"/>
              </w:rPr>
              <w:t>A16.22.003,</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1,81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w w:val="95"/>
                <w:sz w:val="20"/>
              </w:rPr>
              <w:t>эндокринных</w:t>
            </w:r>
            <w:r>
              <w:rPr>
                <w:spacing w:val="41"/>
                <w:sz w:val="20"/>
              </w:rPr>
              <w:t> </w:t>
            </w:r>
            <w:r>
              <w:rPr>
                <w:spacing w:val="-2"/>
                <w:w w:val="95"/>
                <w:sz w:val="20"/>
              </w:rPr>
              <w:t>железах</w:t>
            </w:r>
          </w:p>
        </w:tc>
        <w:tc>
          <w:tcPr>
            <w:tcW w:w="4338" w:type="dxa"/>
          </w:tcPr>
          <w:p>
            <w:pPr>
              <w:pStyle w:val="TableParagraph"/>
              <w:rPr>
                <w:sz w:val="16"/>
              </w:rPr>
            </w:pPr>
          </w:p>
        </w:tc>
        <w:tc>
          <w:tcPr>
            <w:tcW w:w="3900" w:type="dxa"/>
          </w:tcPr>
          <w:p>
            <w:pPr>
              <w:pStyle w:val="TableParagraph"/>
              <w:spacing w:line="210" w:lineRule="exact"/>
              <w:ind w:left="169" w:right="645"/>
              <w:jc w:val="center"/>
              <w:rPr>
                <w:sz w:val="20"/>
              </w:rPr>
            </w:pPr>
            <w:r>
              <w:rPr>
                <w:sz w:val="20"/>
              </w:rPr>
              <w:t>A16.22.007,</w:t>
            </w:r>
            <w:r>
              <w:rPr>
                <w:spacing w:val="-9"/>
                <w:sz w:val="20"/>
              </w:rPr>
              <w:t> </w:t>
            </w:r>
            <w:r>
              <w:rPr>
                <w:spacing w:val="-2"/>
                <w:sz w:val="20"/>
              </w:rPr>
              <w:t>A16.22.007.002,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кроме</w:t>
            </w:r>
            <w:r>
              <w:rPr>
                <w:spacing w:val="-4"/>
                <w:sz w:val="20"/>
              </w:rPr>
              <w:t> </w:t>
            </w:r>
            <w:r>
              <w:rPr>
                <w:spacing w:val="-2"/>
                <w:sz w:val="20"/>
              </w:rPr>
              <w:t>гипофиза</w:t>
            </w:r>
          </w:p>
        </w:tc>
        <w:tc>
          <w:tcPr>
            <w:tcW w:w="4338" w:type="dxa"/>
          </w:tcPr>
          <w:p>
            <w:pPr>
              <w:pStyle w:val="TableParagraph"/>
              <w:rPr>
                <w:sz w:val="16"/>
              </w:rPr>
            </w:pPr>
          </w:p>
        </w:tc>
        <w:tc>
          <w:tcPr>
            <w:tcW w:w="3900" w:type="dxa"/>
          </w:tcPr>
          <w:p>
            <w:pPr>
              <w:pStyle w:val="TableParagraph"/>
              <w:spacing w:line="210" w:lineRule="exact"/>
              <w:ind w:left="169" w:right="645"/>
              <w:jc w:val="center"/>
              <w:rPr>
                <w:sz w:val="20"/>
              </w:rPr>
            </w:pPr>
            <w:r>
              <w:rPr>
                <w:sz w:val="20"/>
              </w:rPr>
              <w:t>A16.22.008,</w:t>
            </w:r>
            <w:r>
              <w:rPr>
                <w:spacing w:val="-9"/>
                <w:sz w:val="20"/>
              </w:rPr>
              <w:t> </w:t>
            </w:r>
            <w:r>
              <w:rPr>
                <w:sz w:val="20"/>
              </w:rPr>
              <w:t>A16.22.011,</w:t>
            </w:r>
            <w:r>
              <w:rPr>
                <w:spacing w:val="-10"/>
                <w:sz w:val="20"/>
              </w:rPr>
              <w:t> </w:t>
            </w:r>
            <w:r>
              <w:rPr>
                <w:spacing w:val="-2"/>
                <w:sz w:val="20"/>
              </w:rPr>
              <w:t>A16.22.013</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spacing w:line="226" w:lineRule="exact"/>
              <w:ind w:left="192"/>
              <w:rPr>
                <w:sz w:val="20"/>
              </w:rPr>
            </w:pPr>
            <w:r>
              <w:rPr>
                <w:sz w:val="20"/>
              </w:rPr>
              <w:t>(уровень</w:t>
            </w:r>
            <w:r>
              <w:rPr>
                <w:spacing w:val="-10"/>
                <w:sz w:val="20"/>
              </w:rPr>
              <w:t> </w:t>
            </w:r>
            <w:r>
              <w:rPr>
                <w:spacing w:val="-5"/>
                <w:sz w:val="20"/>
              </w:rPr>
              <w:t>1)</w:t>
            </w:r>
          </w:p>
        </w:tc>
        <w:tc>
          <w:tcPr>
            <w:tcW w:w="4338" w:type="dxa"/>
          </w:tcPr>
          <w:p>
            <w:pPr>
              <w:pStyle w:val="TableParagraph"/>
              <w:rPr>
                <w:sz w:val="18"/>
              </w:rPr>
            </w:pPr>
          </w:p>
        </w:tc>
        <w:tc>
          <w:tcPr>
            <w:tcW w:w="3900"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st31.010</w:t>
            </w:r>
          </w:p>
        </w:tc>
        <w:tc>
          <w:tcPr>
            <w:tcW w:w="707" w:type="dxa"/>
          </w:tcPr>
          <w:p>
            <w:pPr>
              <w:pStyle w:val="TableParagraph"/>
              <w:spacing w:line="215" w:lineRule="exact" w:before="45"/>
              <w:ind w:left="210"/>
              <w:rPr>
                <w:sz w:val="20"/>
              </w:rPr>
            </w:pPr>
            <w:r>
              <w:rPr>
                <w:spacing w:val="-5"/>
                <w:sz w:val="20"/>
              </w:rPr>
              <w:t>306</w:t>
            </w:r>
          </w:p>
        </w:tc>
        <w:tc>
          <w:tcPr>
            <w:tcW w:w="2550" w:type="dxa"/>
          </w:tcPr>
          <w:p>
            <w:pPr>
              <w:pStyle w:val="TableParagraph"/>
              <w:spacing w:line="215" w:lineRule="exact" w:before="45"/>
              <w:ind w:left="192"/>
              <w:rPr>
                <w:sz w:val="20"/>
              </w:rPr>
            </w:pPr>
            <w:r>
              <w:rPr>
                <w:sz w:val="20"/>
              </w:rPr>
              <w:t>Операции</w:t>
            </w:r>
            <w:r>
              <w:rPr>
                <w:spacing w:val="-10"/>
                <w:sz w:val="20"/>
              </w:rPr>
              <w:t> </w:t>
            </w:r>
            <w:r>
              <w:rPr>
                <w:spacing w:val="-5"/>
                <w:sz w:val="20"/>
              </w:rPr>
              <w:t>на</w:t>
            </w:r>
          </w:p>
        </w:tc>
        <w:tc>
          <w:tcPr>
            <w:tcW w:w="4338" w:type="dxa"/>
          </w:tcPr>
          <w:p>
            <w:pPr>
              <w:pStyle w:val="TableParagraph"/>
              <w:spacing w:line="215" w:lineRule="exact" w:before="45"/>
              <w:jc w:val="center"/>
              <w:rPr>
                <w:sz w:val="20"/>
              </w:rPr>
            </w:pPr>
            <w:r>
              <w:rPr>
                <w:w w:val="99"/>
                <w:sz w:val="20"/>
              </w:rPr>
              <w:t>-</w:t>
            </w:r>
          </w:p>
        </w:tc>
        <w:tc>
          <w:tcPr>
            <w:tcW w:w="3900" w:type="dxa"/>
          </w:tcPr>
          <w:p>
            <w:pPr>
              <w:pStyle w:val="TableParagraph"/>
              <w:spacing w:line="215" w:lineRule="exact" w:before="45"/>
              <w:ind w:left="169" w:right="646"/>
              <w:jc w:val="center"/>
              <w:rPr>
                <w:sz w:val="20"/>
              </w:rPr>
            </w:pPr>
            <w:r>
              <w:rPr>
                <w:w w:val="95"/>
                <w:sz w:val="20"/>
              </w:rPr>
              <w:t>A16.22.002.002,</w:t>
            </w:r>
            <w:r>
              <w:rPr>
                <w:spacing w:val="54"/>
                <w:sz w:val="20"/>
              </w:rPr>
              <w:t> </w:t>
            </w:r>
            <w:r>
              <w:rPr>
                <w:spacing w:val="-2"/>
                <w:sz w:val="20"/>
              </w:rPr>
              <w:t>A16.22.002.003,</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2,67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1" w:lineRule="exact"/>
              <w:ind w:left="192"/>
              <w:rPr>
                <w:sz w:val="20"/>
              </w:rPr>
            </w:pPr>
            <w:r>
              <w:rPr>
                <w:w w:val="95"/>
                <w:sz w:val="20"/>
              </w:rPr>
              <w:t>эндокринных</w:t>
            </w:r>
            <w:r>
              <w:rPr>
                <w:spacing w:val="41"/>
                <w:sz w:val="20"/>
              </w:rPr>
              <w:t> </w:t>
            </w:r>
            <w:r>
              <w:rPr>
                <w:spacing w:val="-2"/>
                <w:w w:val="95"/>
                <w:sz w:val="20"/>
              </w:rPr>
              <w:t>железах</w:t>
            </w:r>
          </w:p>
        </w:tc>
        <w:tc>
          <w:tcPr>
            <w:tcW w:w="4338" w:type="dxa"/>
          </w:tcPr>
          <w:p>
            <w:pPr>
              <w:pStyle w:val="TableParagraph"/>
              <w:rPr>
                <w:sz w:val="16"/>
              </w:rPr>
            </w:pPr>
          </w:p>
        </w:tc>
        <w:tc>
          <w:tcPr>
            <w:tcW w:w="3900" w:type="dxa"/>
          </w:tcPr>
          <w:p>
            <w:pPr>
              <w:pStyle w:val="TableParagraph"/>
              <w:spacing w:line="211" w:lineRule="exact"/>
              <w:ind w:left="169" w:right="645"/>
              <w:jc w:val="center"/>
              <w:rPr>
                <w:sz w:val="20"/>
              </w:rPr>
            </w:pPr>
            <w:r>
              <w:rPr>
                <w:sz w:val="20"/>
              </w:rPr>
              <w:t>A16.22.004,</w:t>
            </w:r>
            <w:r>
              <w:rPr>
                <w:spacing w:val="-9"/>
                <w:sz w:val="20"/>
              </w:rPr>
              <w:t> </w:t>
            </w:r>
            <w:r>
              <w:rPr>
                <w:spacing w:val="-2"/>
                <w:sz w:val="20"/>
              </w:rPr>
              <w:t>A16.22.004.001,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1" w:lineRule="exact"/>
              <w:ind w:left="192"/>
              <w:rPr>
                <w:sz w:val="20"/>
              </w:rPr>
            </w:pPr>
            <w:r>
              <w:rPr>
                <w:sz w:val="20"/>
              </w:rPr>
              <w:t>кроме</w:t>
            </w:r>
            <w:r>
              <w:rPr>
                <w:spacing w:val="-4"/>
                <w:sz w:val="20"/>
              </w:rPr>
              <w:t> </w:t>
            </w:r>
            <w:r>
              <w:rPr>
                <w:spacing w:val="-2"/>
                <w:sz w:val="20"/>
              </w:rPr>
              <w:t>гипофиза</w:t>
            </w:r>
          </w:p>
        </w:tc>
        <w:tc>
          <w:tcPr>
            <w:tcW w:w="4338" w:type="dxa"/>
          </w:tcPr>
          <w:p>
            <w:pPr>
              <w:pStyle w:val="TableParagraph"/>
              <w:rPr>
                <w:sz w:val="16"/>
              </w:rPr>
            </w:pPr>
          </w:p>
        </w:tc>
        <w:tc>
          <w:tcPr>
            <w:tcW w:w="3900" w:type="dxa"/>
          </w:tcPr>
          <w:p>
            <w:pPr>
              <w:pStyle w:val="TableParagraph"/>
              <w:spacing w:line="211" w:lineRule="exact"/>
              <w:ind w:left="169" w:right="646"/>
              <w:jc w:val="center"/>
              <w:rPr>
                <w:sz w:val="20"/>
              </w:rPr>
            </w:pPr>
            <w:r>
              <w:rPr>
                <w:w w:val="95"/>
                <w:sz w:val="20"/>
              </w:rPr>
              <w:t>A16.22.004.002,</w:t>
            </w:r>
            <w:r>
              <w:rPr>
                <w:spacing w:val="54"/>
                <w:sz w:val="20"/>
              </w:rPr>
              <w:t> </w:t>
            </w:r>
            <w:r>
              <w:rPr>
                <w:spacing w:val="-2"/>
                <w:sz w:val="20"/>
              </w:rPr>
              <w:t>A16.22.004.003,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(уровень</w:t>
            </w:r>
            <w:r>
              <w:rPr>
                <w:spacing w:val="-10"/>
                <w:sz w:val="20"/>
              </w:rPr>
              <w:t> </w:t>
            </w:r>
            <w:r>
              <w:rPr>
                <w:spacing w:val="-5"/>
                <w:sz w:val="20"/>
              </w:rPr>
              <w:t>2)</w:t>
            </w:r>
          </w:p>
        </w:tc>
        <w:tc>
          <w:tcPr>
            <w:tcW w:w="4338" w:type="dxa"/>
          </w:tcPr>
          <w:p>
            <w:pPr>
              <w:pStyle w:val="TableParagraph"/>
              <w:rPr>
                <w:sz w:val="16"/>
              </w:rPr>
            </w:pPr>
          </w:p>
        </w:tc>
        <w:tc>
          <w:tcPr>
            <w:tcW w:w="3900" w:type="dxa"/>
          </w:tcPr>
          <w:p>
            <w:pPr>
              <w:pStyle w:val="TableParagraph"/>
              <w:spacing w:line="210" w:lineRule="exact"/>
              <w:ind w:left="169" w:right="645"/>
              <w:jc w:val="center"/>
              <w:rPr>
                <w:sz w:val="20"/>
              </w:rPr>
            </w:pPr>
            <w:r>
              <w:rPr>
                <w:w w:val="95"/>
                <w:sz w:val="20"/>
              </w:rPr>
              <w:t>A16.22.007.001,</w:t>
            </w:r>
            <w:r>
              <w:rPr>
                <w:spacing w:val="54"/>
                <w:sz w:val="20"/>
              </w:rPr>
              <w:t> </w:t>
            </w:r>
            <w:r>
              <w:rPr>
                <w:spacing w:val="-2"/>
                <w:sz w:val="20"/>
              </w:rPr>
              <w:t>A16.22.009,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A16.22.010,</w:t>
            </w:r>
            <w:r>
              <w:rPr>
                <w:spacing w:val="-9"/>
                <w:sz w:val="20"/>
              </w:rPr>
              <w:t> </w:t>
            </w:r>
            <w:r>
              <w:rPr>
                <w:spacing w:val="-2"/>
                <w:sz w:val="20"/>
              </w:rPr>
              <w:t>A16.22.010.001,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A16.22.015,</w:t>
            </w:r>
            <w:r>
              <w:rPr>
                <w:spacing w:val="-9"/>
                <w:sz w:val="20"/>
              </w:rPr>
              <w:t> </w:t>
            </w:r>
            <w:r>
              <w:rPr>
                <w:spacing w:val="-2"/>
                <w:sz w:val="20"/>
              </w:rPr>
              <w:t>A16.22.015.001,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rPr>
                <w:sz w:val="18"/>
              </w:rPr>
            </w:pPr>
          </w:p>
        </w:tc>
        <w:tc>
          <w:tcPr>
            <w:tcW w:w="4338" w:type="dxa"/>
          </w:tcPr>
          <w:p>
            <w:pPr>
              <w:pStyle w:val="TableParagraph"/>
              <w:rPr>
                <w:sz w:val="18"/>
              </w:rPr>
            </w:pPr>
          </w:p>
        </w:tc>
        <w:tc>
          <w:tcPr>
            <w:tcW w:w="3900" w:type="dxa"/>
          </w:tcPr>
          <w:p>
            <w:pPr>
              <w:pStyle w:val="TableParagraph"/>
              <w:spacing w:line="226" w:lineRule="exact"/>
              <w:ind w:left="169" w:right="641"/>
              <w:jc w:val="center"/>
              <w:rPr>
                <w:sz w:val="20"/>
              </w:rPr>
            </w:pPr>
            <w:r>
              <w:rPr>
                <w:spacing w:val="-2"/>
                <w:sz w:val="20"/>
              </w:rPr>
              <w:t>A16.28.064</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st31.011</w:t>
            </w:r>
          </w:p>
        </w:tc>
        <w:tc>
          <w:tcPr>
            <w:tcW w:w="707" w:type="dxa"/>
          </w:tcPr>
          <w:p>
            <w:pPr>
              <w:pStyle w:val="TableParagraph"/>
              <w:spacing w:line="214" w:lineRule="exact" w:before="46"/>
              <w:ind w:left="210"/>
              <w:rPr>
                <w:sz w:val="20"/>
              </w:rPr>
            </w:pPr>
            <w:r>
              <w:rPr>
                <w:spacing w:val="-5"/>
                <w:sz w:val="20"/>
              </w:rPr>
              <w:t>307</w:t>
            </w:r>
          </w:p>
        </w:tc>
        <w:tc>
          <w:tcPr>
            <w:tcW w:w="2550" w:type="dxa"/>
          </w:tcPr>
          <w:p>
            <w:pPr>
              <w:pStyle w:val="TableParagraph"/>
              <w:spacing w:line="214" w:lineRule="exact" w:before="46"/>
              <w:ind w:left="192"/>
              <w:rPr>
                <w:sz w:val="20"/>
              </w:rPr>
            </w:pPr>
            <w:r>
              <w:rPr>
                <w:sz w:val="20"/>
              </w:rPr>
              <w:t>Болезни</w:t>
            </w:r>
            <w:r>
              <w:rPr>
                <w:spacing w:val="-10"/>
                <w:sz w:val="20"/>
              </w:rPr>
              <w:t> </w:t>
            </w:r>
            <w:r>
              <w:rPr>
                <w:spacing w:val="-2"/>
                <w:sz w:val="20"/>
              </w:rPr>
              <w:t>молочной</w:t>
            </w:r>
          </w:p>
        </w:tc>
        <w:tc>
          <w:tcPr>
            <w:tcW w:w="4338" w:type="dxa"/>
          </w:tcPr>
          <w:p>
            <w:pPr>
              <w:pStyle w:val="TableParagraph"/>
              <w:spacing w:line="214" w:lineRule="exact" w:before="46"/>
              <w:ind w:left="168" w:right="171"/>
              <w:jc w:val="center"/>
              <w:rPr>
                <w:sz w:val="20"/>
              </w:rPr>
            </w:pPr>
            <w:r>
              <w:rPr>
                <w:sz w:val="20"/>
              </w:rPr>
              <w:t>D05,</w:t>
            </w:r>
            <w:r>
              <w:rPr>
                <w:spacing w:val="-5"/>
                <w:sz w:val="20"/>
              </w:rPr>
              <w:t> </w:t>
            </w:r>
            <w:r>
              <w:rPr>
                <w:sz w:val="20"/>
              </w:rPr>
              <w:t>D05.0,</w:t>
            </w:r>
            <w:r>
              <w:rPr>
                <w:spacing w:val="-5"/>
                <w:sz w:val="20"/>
              </w:rPr>
              <w:t> </w:t>
            </w:r>
            <w:r>
              <w:rPr>
                <w:sz w:val="20"/>
              </w:rPr>
              <w:t>D05.1,</w:t>
            </w:r>
            <w:r>
              <w:rPr>
                <w:spacing w:val="-5"/>
                <w:sz w:val="20"/>
              </w:rPr>
              <w:t> </w:t>
            </w:r>
            <w:r>
              <w:rPr>
                <w:sz w:val="20"/>
              </w:rPr>
              <w:t>D05.7,</w:t>
            </w:r>
            <w:r>
              <w:rPr>
                <w:spacing w:val="-5"/>
                <w:sz w:val="20"/>
              </w:rPr>
              <w:t> </w:t>
            </w:r>
            <w:r>
              <w:rPr>
                <w:sz w:val="20"/>
              </w:rPr>
              <w:t>D05.9,</w:t>
            </w:r>
            <w:r>
              <w:rPr>
                <w:spacing w:val="-7"/>
                <w:sz w:val="20"/>
              </w:rPr>
              <w:t> </w:t>
            </w:r>
            <w:r>
              <w:rPr>
                <w:sz w:val="20"/>
              </w:rPr>
              <w:t>I97.2,</w:t>
            </w:r>
            <w:r>
              <w:rPr>
                <w:spacing w:val="-5"/>
                <w:sz w:val="20"/>
              </w:rPr>
              <w:t> </w:t>
            </w:r>
            <w:r>
              <w:rPr>
                <w:spacing w:val="-4"/>
                <w:sz w:val="20"/>
              </w:rPr>
              <w:t>N60,</w:t>
            </w:r>
          </w:p>
        </w:tc>
        <w:tc>
          <w:tcPr>
            <w:tcW w:w="3900" w:type="dxa"/>
          </w:tcPr>
          <w:p>
            <w:pPr>
              <w:pStyle w:val="TableParagraph"/>
              <w:spacing w:line="214" w:lineRule="exact" w:before="46"/>
              <w:ind w:right="473"/>
              <w:jc w:val="center"/>
              <w:rPr>
                <w:sz w:val="20"/>
              </w:rPr>
            </w:pPr>
            <w:r>
              <w:rPr>
                <w:w w:val="99"/>
                <w:sz w:val="20"/>
              </w:rPr>
              <w:t>-</w:t>
            </w:r>
          </w:p>
        </w:tc>
        <w:tc>
          <w:tcPr>
            <w:tcW w:w="1574" w:type="dxa"/>
          </w:tcPr>
          <w:p>
            <w:pPr>
              <w:pStyle w:val="TableParagraph"/>
              <w:spacing w:line="214" w:lineRule="exact" w:before="46"/>
              <w:ind w:left="645"/>
              <w:rPr>
                <w:sz w:val="20"/>
              </w:rPr>
            </w:pPr>
            <w:r>
              <w:rPr>
                <w:w w:val="99"/>
                <w:sz w:val="20"/>
              </w:rPr>
              <w:t>-</w:t>
            </w:r>
          </w:p>
        </w:tc>
        <w:tc>
          <w:tcPr>
            <w:tcW w:w="1261" w:type="dxa"/>
          </w:tcPr>
          <w:p>
            <w:pPr>
              <w:pStyle w:val="TableParagraph"/>
              <w:spacing w:line="214" w:lineRule="exact" w:before="46"/>
              <w:ind w:right="50"/>
              <w:jc w:val="right"/>
              <w:rPr>
                <w:sz w:val="20"/>
              </w:rPr>
            </w:pPr>
            <w:r>
              <w:rPr>
                <w:spacing w:val="-4"/>
                <w:sz w:val="20"/>
              </w:rPr>
              <w:t>0,73</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09" w:lineRule="exact"/>
              <w:ind w:left="192"/>
              <w:rPr>
                <w:sz w:val="20"/>
              </w:rPr>
            </w:pPr>
            <w:r>
              <w:rPr>
                <w:sz w:val="20"/>
              </w:rPr>
              <w:t>железы,</w:t>
            </w:r>
            <w:r>
              <w:rPr>
                <w:spacing w:val="-8"/>
                <w:sz w:val="20"/>
              </w:rPr>
              <w:t> </w:t>
            </w:r>
            <w:r>
              <w:rPr>
                <w:spacing w:val="-2"/>
                <w:sz w:val="20"/>
              </w:rPr>
              <w:t>новообразования</w:t>
            </w:r>
          </w:p>
        </w:tc>
        <w:tc>
          <w:tcPr>
            <w:tcW w:w="4338" w:type="dxa"/>
          </w:tcPr>
          <w:p>
            <w:pPr>
              <w:pStyle w:val="TableParagraph"/>
              <w:spacing w:line="209" w:lineRule="exact"/>
              <w:ind w:left="171" w:right="171"/>
              <w:jc w:val="center"/>
              <w:rPr>
                <w:sz w:val="20"/>
              </w:rPr>
            </w:pPr>
            <w:r>
              <w:rPr>
                <w:sz w:val="20"/>
              </w:rPr>
              <w:t>N60.0,</w:t>
            </w:r>
            <w:r>
              <w:rPr>
                <w:spacing w:val="-4"/>
                <w:sz w:val="20"/>
              </w:rPr>
              <w:t> </w:t>
            </w:r>
            <w:r>
              <w:rPr>
                <w:sz w:val="20"/>
              </w:rPr>
              <w:t>N60.1,</w:t>
            </w:r>
            <w:r>
              <w:rPr>
                <w:spacing w:val="-6"/>
                <w:sz w:val="20"/>
              </w:rPr>
              <w:t> </w:t>
            </w:r>
            <w:r>
              <w:rPr>
                <w:sz w:val="20"/>
              </w:rPr>
              <w:t>N60.2,</w:t>
            </w:r>
            <w:r>
              <w:rPr>
                <w:spacing w:val="-4"/>
                <w:sz w:val="20"/>
              </w:rPr>
              <w:t> </w:t>
            </w:r>
            <w:r>
              <w:rPr>
                <w:sz w:val="20"/>
              </w:rPr>
              <w:t>N60.3,</w:t>
            </w:r>
            <w:r>
              <w:rPr>
                <w:spacing w:val="-6"/>
                <w:sz w:val="20"/>
              </w:rPr>
              <w:t> </w:t>
            </w:r>
            <w:r>
              <w:rPr>
                <w:sz w:val="20"/>
              </w:rPr>
              <w:t>N60.4,</w:t>
            </w:r>
            <w:r>
              <w:rPr>
                <w:spacing w:val="-4"/>
                <w:sz w:val="20"/>
              </w:rPr>
              <w:t> </w:t>
            </w:r>
            <w:r>
              <w:rPr>
                <w:spacing w:val="-2"/>
                <w:sz w:val="20"/>
              </w:rPr>
              <w:t>N60.8,</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молочной</w:t>
            </w:r>
            <w:r>
              <w:rPr>
                <w:spacing w:val="-9"/>
                <w:sz w:val="20"/>
              </w:rPr>
              <w:t> </w:t>
            </w:r>
            <w:r>
              <w:rPr>
                <w:spacing w:val="-2"/>
                <w:sz w:val="20"/>
              </w:rPr>
              <w:t>железы</w:t>
            </w:r>
          </w:p>
        </w:tc>
        <w:tc>
          <w:tcPr>
            <w:tcW w:w="4338" w:type="dxa"/>
          </w:tcPr>
          <w:p>
            <w:pPr>
              <w:pStyle w:val="TableParagraph"/>
              <w:spacing w:line="210" w:lineRule="exact"/>
              <w:ind w:left="171" w:right="168"/>
              <w:jc w:val="center"/>
              <w:rPr>
                <w:sz w:val="20"/>
              </w:rPr>
            </w:pPr>
            <w:r>
              <w:rPr>
                <w:sz w:val="20"/>
              </w:rPr>
              <w:t>N60.9,</w:t>
            </w:r>
            <w:r>
              <w:rPr>
                <w:spacing w:val="-3"/>
                <w:sz w:val="20"/>
              </w:rPr>
              <w:t> </w:t>
            </w:r>
            <w:r>
              <w:rPr>
                <w:sz w:val="20"/>
              </w:rPr>
              <w:t>N61,</w:t>
            </w:r>
            <w:r>
              <w:rPr>
                <w:spacing w:val="-3"/>
                <w:sz w:val="20"/>
              </w:rPr>
              <w:t> </w:t>
            </w:r>
            <w:r>
              <w:rPr>
                <w:sz w:val="20"/>
              </w:rPr>
              <w:t>N62,</w:t>
            </w:r>
            <w:r>
              <w:rPr>
                <w:spacing w:val="-3"/>
                <w:sz w:val="20"/>
              </w:rPr>
              <w:t> </w:t>
            </w:r>
            <w:r>
              <w:rPr>
                <w:sz w:val="20"/>
              </w:rPr>
              <w:t>N63,</w:t>
            </w:r>
            <w:r>
              <w:rPr>
                <w:spacing w:val="-3"/>
                <w:sz w:val="20"/>
              </w:rPr>
              <w:t> </w:t>
            </w:r>
            <w:r>
              <w:rPr>
                <w:sz w:val="20"/>
              </w:rPr>
              <w:t>N64,</w:t>
            </w:r>
            <w:r>
              <w:rPr>
                <w:spacing w:val="-6"/>
                <w:sz w:val="20"/>
              </w:rPr>
              <w:t> </w:t>
            </w:r>
            <w:r>
              <w:rPr>
                <w:sz w:val="20"/>
              </w:rPr>
              <w:t>N64.0,</w:t>
            </w:r>
            <w:r>
              <w:rPr>
                <w:spacing w:val="-3"/>
                <w:sz w:val="20"/>
              </w:rPr>
              <w:t> </w:t>
            </w:r>
            <w:r>
              <w:rPr>
                <w:spacing w:val="-2"/>
                <w:sz w:val="20"/>
              </w:rPr>
              <w:t>N64.1,</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w w:val="95"/>
                <w:sz w:val="20"/>
              </w:rPr>
              <w:t>доброкачественные,</w:t>
            </w:r>
            <w:r>
              <w:rPr>
                <w:spacing w:val="65"/>
                <w:sz w:val="20"/>
              </w:rPr>
              <w:t> </w:t>
            </w:r>
            <w:r>
              <w:rPr>
                <w:spacing w:val="-5"/>
                <w:sz w:val="20"/>
              </w:rPr>
              <w:t>in</w:t>
            </w:r>
          </w:p>
        </w:tc>
        <w:tc>
          <w:tcPr>
            <w:tcW w:w="4338" w:type="dxa"/>
          </w:tcPr>
          <w:p>
            <w:pPr>
              <w:pStyle w:val="TableParagraph"/>
              <w:spacing w:line="210" w:lineRule="exact"/>
              <w:ind w:left="171" w:right="171"/>
              <w:jc w:val="center"/>
              <w:rPr>
                <w:sz w:val="20"/>
              </w:rPr>
            </w:pPr>
            <w:r>
              <w:rPr>
                <w:sz w:val="20"/>
              </w:rPr>
              <w:t>N64.2,</w:t>
            </w:r>
            <w:r>
              <w:rPr>
                <w:spacing w:val="-4"/>
                <w:sz w:val="20"/>
              </w:rPr>
              <w:t> </w:t>
            </w:r>
            <w:r>
              <w:rPr>
                <w:sz w:val="20"/>
              </w:rPr>
              <w:t>N64.3,</w:t>
            </w:r>
            <w:r>
              <w:rPr>
                <w:spacing w:val="-6"/>
                <w:sz w:val="20"/>
              </w:rPr>
              <w:t> </w:t>
            </w:r>
            <w:r>
              <w:rPr>
                <w:sz w:val="20"/>
              </w:rPr>
              <w:t>N64.4,</w:t>
            </w:r>
            <w:r>
              <w:rPr>
                <w:spacing w:val="-4"/>
                <w:sz w:val="20"/>
              </w:rPr>
              <w:t> </w:t>
            </w:r>
            <w:r>
              <w:rPr>
                <w:sz w:val="20"/>
              </w:rPr>
              <w:t>N64.5,</w:t>
            </w:r>
            <w:r>
              <w:rPr>
                <w:spacing w:val="-6"/>
                <w:sz w:val="20"/>
              </w:rPr>
              <w:t> </w:t>
            </w:r>
            <w:r>
              <w:rPr>
                <w:sz w:val="20"/>
              </w:rPr>
              <w:t>N64.8,</w:t>
            </w:r>
            <w:r>
              <w:rPr>
                <w:spacing w:val="-4"/>
                <w:sz w:val="20"/>
              </w:rPr>
              <w:t> </w:t>
            </w:r>
            <w:r>
              <w:rPr>
                <w:spacing w:val="-2"/>
                <w:sz w:val="20"/>
              </w:rPr>
              <w:t>N64.9,</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1" w:lineRule="exact"/>
              <w:ind w:left="192"/>
              <w:rPr>
                <w:sz w:val="20"/>
              </w:rPr>
            </w:pPr>
            <w:r>
              <w:rPr>
                <w:sz w:val="20"/>
              </w:rPr>
              <w:t>situ,</w:t>
            </w:r>
            <w:r>
              <w:rPr>
                <w:spacing w:val="-10"/>
                <w:sz w:val="20"/>
              </w:rPr>
              <w:t> </w:t>
            </w:r>
            <w:r>
              <w:rPr>
                <w:sz w:val="20"/>
              </w:rPr>
              <w:t>неопределенного</w:t>
            </w:r>
            <w:r>
              <w:rPr>
                <w:spacing w:val="-11"/>
                <w:sz w:val="20"/>
              </w:rPr>
              <w:t> </w:t>
            </w:r>
            <w:r>
              <w:rPr>
                <w:spacing w:val="-10"/>
                <w:sz w:val="20"/>
              </w:rPr>
              <w:t>и</w:t>
            </w:r>
          </w:p>
        </w:tc>
        <w:tc>
          <w:tcPr>
            <w:tcW w:w="4338" w:type="dxa"/>
          </w:tcPr>
          <w:p>
            <w:pPr>
              <w:pStyle w:val="TableParagraph"/>
              <w:spacing w:line="211" w:lineRule="exact"/>
              <w:ind w:left="170" w:right="171"/>
              <w:jc w:val="center"/>
              <w:rPr>
                <w:sz w:val="20"/>
              </w:rPr>
            </w:pPr>
            <w:r>
              <w:rPr>
                <w:sz w:val="20"/>
              </w:rPr>
              <w:t>Q83.0,</w:t>
            </w:r>
            <w:r>
              <w:rPr>
                <w:spacing w:val="-5"/>
                <w:sz w:val="20"/>
              </w:rPr>
              <w:t> </w:t>
            </w:r>
            <w:r>
              <w:rPr>
                <w:sz w:val="20"/>
              </w:rPr>
              <w:t>Q83.1,</w:t>
            </w:r>
            <w:r>
              <w:rPr>
                <w:spacing w:val="-5"/>
                <w:sz w:val="20"/>
              </w:rPr>
              <w:t> </w:t>
            </w:r>
            <w:r>
              <w:rPr>
                <w:sz w:val="20"/>
              </w:rPr>
              <w:t>Q83.2,</w:t>
            </w:r>
            <w:r>
              <w:rPr>
                <w:spacing w:val="-4"/>
                <w:sz w:val="20"/>
              </w:rPr>
              <w:t> </w:t>
            </w:r>
            <w:r>
              <w:rPr>
                <w:sz w:val="20"/>
              </w:rPr>
              <w:t>Q83.3,</w:t>
            </w:r>
            <w:r>
              <w:rPr>
                <w:spacing w:val="-6"/>
                <w:sz w:val="20"/>
              </w:rPr>
              <w:t> </w:t>
            </w:r>
            <w:r>
              <w:rPr>
                <w:sz w:val="20"/>
              </w:rPr>
              <w:t>Q83.8,</w:t>
            </w:r>
            <w:r>
              <w:rPr>
                <w:spacing w:val="-4"/>
                <w:sz w:val="20"/>
              </w:rPr>
              <w:t> </w:t>
            </w:r>
            <w:r>
              <w:rPr>
                <w:sz w:val="20"/>
              </w:rPr>
              <w:t>Q83.9,</w:t>
            </w:r>
            <w:r>
              <w:rPr>
                <w:spacing w:val="-6"/>
                <w:sz w:val="20"/>
              </w:rPr>
              <w:t> </w:t>
            </w:r>
            <w:r>
              <w:rPr>
                <w:spacing w:val="-4"/>
                <w:sz w:val="20"/>
              </w:rPr>
              <w:t>R92,</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spacing w:line="226" w:lineRule="exact"/>
              <w:ind w:left="192"/>
              <w:rPr>
                <w:sz w:val="20"/>
              </w:rPr>
            </w:pPr>
            <w:r>
              <w:rPr>
                <w:spacing w:val="-2"/>
                <w:sz w:val="20"/>
              </w:rPr>
              <w:t>неизвестного</w:t>
            </w:r>
            <w:r>
              <w:rPr>
                <w:spacing w:val="9"/>
                <w:sz w:val="20"/>
              </w:rPr>
              <w:t> </w:t>
            </w:r>
            <w:r>
              <w:rPr>
                <w:spacing w:val="-2"/>
                <w:sz w:val="20"/>
              </w:rPr>
              <w:t>характера</w:t>
            </w:r>
          </w:p>
        </w:tc>
        <w:tc>
          <w:tcPr>
            <w:tcW w:w="4338" w:type="dxa"/>
          </w:tcPr>
          <w:p>
            <w:pPr>
              <w:pStyle w:val="TableParagraph"/>
              <w:spacing w:line="226" w:lineRule="exact"/>
              <w:ind w:left="171" w:right="167"/>
              <w:jc w:val="center"/>
              <w:rPr>
                <w:sz w:val="20"/>
              </w:rPr>
            </w:pPr>
            <w:r>
              <w:rPr>
                <w:spacing w:val="-2"/>
                <w:sz w:val="20"/>
              </w:rPr>
              <w:t>T85.4</w:t>
            </w:r>
          </w:p>
        </w:tc>
        <w:tc>
          <w:tcPr>
            <w:tcW w:w="3900"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st31.012</w:t>
            </w:r>
          </w:p>
        </w:tc>
        <w:tc>
          <w:tcPr>
            <w:tcW w:w="707" w:type="dxa"/>
          </w:tcPr>
          <w:p>
            <w:pPr>
              <w:pStyle w:val="TableParagraph"/>
              <w:spacing w:line="215" w:lineRule="exact" w:before="45"/>
              <w:ind w:left="210"/>
              <w:rPr>
                <w:sz w:val="20"/>
              </w:rPr>
            </w:pPr>
            <w:r>
              <w:rPr>
                <w:spacing w:val="-5"/>
                <w:sz w:val="20"/>
              </w:rPr>
              <w:t>308</w:t>
            </w:r>
          </w:p>
        </w:tc>
        <w:tc>
          <w:tcPr>
            <w:tcW w:w="2550" w:type="dxa"/>
          </w:tcPr>
          <w:p>
            <w:pPr>
              <w:pStyle w:val="TableParagraph"/>
              <w:spacing w:line="215" w:lineRule="exact" w:before="45"/>
              <w:ind w:left="192"/>
              <w:rPr>
                <w:sz w:val="20"/>
              </w:rPr>
            </w:pPr>
            <w:r>
              <w:rPr>
                <w:sz w:val="20"/>
              </w:rPr>
              <w:t>Артрозы,</w:t>
            </w:r>
            <w:r>
              <w:rPr>
                <w:spacing w:val="-9"/>
                <w:sz w:val="20"/>
              </w:rPr>
              <w:t> </w:t>
            </w:r>
            <w:r>
              <w:rPr>
                <w:spacing w:val="-2"/>
                <w:sz w:val="20"/>
              </w:rPr>
              <w:t>другие</w:t>
            </w:r>
          </w:p>
        </w:tc>
        <w:tc>
          <w:tcPr>
            <w:tcW w:w="4338" w:type="dxa"/>
          </w:tcPr>
          <w:p>
            <w:pPr>
              <w:pStyle w:val="TableParagraph"/>
              <w:spacing w:line="215" w:lineRule="exact" w:before="45"/>
              <w:ind w:left="171" w:right="171"/>
              <w:jc w:val="center"/>
              <w:rPr>
                <w:sz w:val="20"/>
              </w:rPr>
            </w:pPr>
            <w:r>
              <w:rPr>
                <w:sz w:val="20"/>
              </w:rPr>
              <w:t>A26.7,</w:t>
            </w:r>
            <w:r>
              <w:rPr>
                <w:spacing w:val="-6"/>
                <w:sz w:val="20"/>
              </w:rPr>
              <w:t> </w:t>
            </w:r>
            <w:r>
              <w:rPr>
                <w:sz w:val="20"/>
              </w:rPr>
              <w:t>A48.0,</w:t>
            </w:r>
            <w:r>
              <w:rPr>
                <w:spacing w:val="-5"/>
                <w:sz w:val="20"/>
              </w:rPr>
              <w:t> </w:t>
            </w:r>
            <w:r>
              <w:rPr>
                <w:sz w:val="20"/>
              </w:rPr>
              <w:t>L02.1,</w:t>
            </w:r>
            <w:r>
              <w:rPr>
                <w:spacing w:val="-6"/>
                <w:sz w:val="20"/>
              </w:rPr>
              <w:t> </w:t>
            </w:r>
            <w:r>
              <w:rPr>
                <w:sz w:val="20"/>
              </w:rPr>
              <w:t>L02.2,</w:t>
            </w:r>
            <w:r>
              <w:rPr>
                <w:spacing w:val="-5"/>
                <w:sz w:val="20"/>
              </w:rPr>
              <w:t> </w:t>
            </w:r>
            <w:r>
              <w:rPr>
                <w:sz w:val="20"/>
              </w:rPr>
              <w:t>L02.3,</w:t>
            </w:r>
            <w:r>
              <w:rPr>
                <w:spacing w:val="-6"/>
                <w:sz w:val="20"/>
              </w:rPr>
              <w:t> </w:t>
            </w:r>
            <w:r>
              <w:rPr>
                <w:sz w:val="20"/>
              </w:rPr>
              <w:t>L02.9,</w:t>
            </w:r>
            <w:r>
              <w:rPr>
                <w:spacing w:val="-5"/>
                <w:sz w:val="20"/>
              </w:rPr>
              <w:t> </w:t>
            </w:r>
            <w:r>
              <w:rPr>
                <w:spacing w:val="-2"/>
                <w:sz w:val="20"/>
              </w:rPr>
              <w:t>L03.1,</w:t>
            </w:r>
          </w:p>
        </w:tc>
        <w:tc>
          <w:tcPr>
            <w:tcW w:w="3900" w:type="dxa"/>
          </w:tcPr>
          <w:p>
            <w:pPr>
              <w:pStyle w:val="TableParagraph"/>
              <w:spacing w:line="215" w:lineRule="exact" w:before="45"/>
              <w:ind w:right="473"/>
              <w:jc w:val="center"/>
              <w:rPr>
                <w:sz w:val="20"/>
              </w:rPr>
            </w:pPr>
            <w:r>
              <w:rPr>
                <w:w w:val="99"/>
                <w:sz w:val="20"/>
              </w:rPr>
              <w:t>-</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0,76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поражения</w:t>
            </w:r>
            <w:r>
              <w:rPr>
                <w:spacing w:val="-12"/>
                <w:sz w:val="20"/>
              </w:rPr>
              <w:t> </w:t>
            </w:r>
            <w:r>
              <w:rPr>
                <w:spacing w:val="-2"/>
                <w:sz w:val="20"/>
              </w:rPr>
              <w:t>суставов,</w:t>
            </w:r>
          </w:p>
        </w:tc>
        <w:tc>
          <w:tcPr>
            <w:tcW w:w="4338" w:type="dxa"/>
          </w:tcPr>
          <w:p>
            <w:pPr>
              <w:pStyle w:val="TableParagraph"/>
              <w:spacing w:line="210" w:lineRule="exact"/>
              <w:ind w:left="171" w:right="171"/>
              <w:jc w:val="center"/>
              <w:rPr>
                <w:sz w:val="20"/>
              </w:rPr>
            </w:pPr>
            <w:r>
              <w:rPr>
                <w:sz w:val="20"/>
              </w:rPr>
              <w:t>L03.2,</w:t>
            </w:r>
            <w:r>
              <w:rPr>
                <w:spacing w:val="-5"/>
                <w:sz w:val="20"/>
              </w:rPr>
              <w:t> </w:t>
            </w:r>
            <w:r>
              <w:rPr>
                <w:sz w:val="20"/>
              </w:rPr>
              <w:t>L03.3,</w:t>
            </w:r>
            <w:r>
              <w:rPr>
                <w:spacing w:val="-5"/>
                <w:sz w:val="20"/>
              </w:rPr>
              <w:t> </w:t>
            </w:r>
            <w:r>
              <w:rPr>
                <w:sz w:val="20"/>
              </w:rPr>
              <w:t>L03.8,</w:t>
            </w:r>
            <w:r>
              <w:rPr>
                <w:spacing w:val="-4"/>
                <w:sz w:val="20"/>
              </w:rPr>
              <w:t> </w:t>
            </w:r>
            <w:r>
              <w:rPr>
                <w:sz w:val="20"/>
              </w:rPr>
              <w:t>L03.9,</w:t>
            </w:r>
            <w:r>
              <w:rPr>
                <w:spacing w:val="-5"/>
                <w:sz w:val="20"/>
              </w:rPr>
              <w:t> </w:t>
            </w:r>
            <w:r>
              <w:rPr>
                <w:sz w:val="20"/>
              </w:rPr>
              <w:t>L05.0,</w:t>
            </w:r>
            <w:r>
              <w:rPr>
                <w:spacing w:val="-4"/>
                <w:sz w:val="20"/>
              </w:rPr>
              <w:t> </w:t>
            </w:r>
            <w:r>
              <w:rPr>
                <w:sz w:val="20"/>
              </w:rPr>
              <w:t>L05.9,</w:t>
            </w:r>
            <w:r>
              <w:rPr>
                <w:spacing w:val="-5"/>
                <w:sz w:val="20"/>
              </w:rPr>
              <w:t> </w:t>
            </w:r>
            <w:r>
              <w:rPr>
                <w:spacing w:val="-2"/>
                <w:sz w:val="20"/>
              </w:rPr>
              <w:t>L73.2,</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болезни</w:t>
            </w:r>
            <w:r>
              <w:rPr>
                <w:spacing w:val="-7"/>
                <w:sz w:val="20"/>
              </w:rPr>
              <w:t> </w:t>
            </w:r>
            <w:r>
              <w:rPr>
                <w:sz w:val="20"/>
              </w:rPr>
              <w:t>мягких</w:t>
            </w:r>
            <w:r>
              <w:rPr>
                <w:spacing w:val="-6"/>
                <w:sz w:val="20"/>
              </w:rPr>
              <w:t> </w:t>
            </w:r>
            <w:r>
              <w:rPr>
                <w:spacing w:val="-2"/>
                <w:sz w:val="20"/>
              </w:rPr>
              <w:t>тканей</w:t>
            </w:r>
          </w:p>
        </w:tc>
        <w:tc>
          <w:tcPr>
            <w:tcW w:w="4338" w:type="dxa"/>
          </w:tcPr>
          <w:p>
            <w:pPr>
              <w:pStyle w:val="TableParagraph"/>
              <w:spacing w:line="210" w:lineRule="exact"/>
              <w:ind w:left="169" w:right="171"/>
              <w:jc w:val="center"/>
              <w:rPr>
                <w:sz w:val="20"/>
              </w:rPr>
            </w:pPr>
            <w:r>
              <w:rPr>
                <w:sz w:val="20"/>
              </w:rPr>
              <w:t>L89.0,</w:t>
            </w:r>
            <w:r>
              <w:rPr>
                <w:spacing w:val="-5"/>
                <w:sz w:val="20"/>
              </w:rPr>
              <w:t> </w:t>
            </w:r>
            <w:r>
              <w:rPr>
                <w:sz w:val="20"/>
              </w:rPr>
              <w:t>L89.1,</w:t>
            </w:r>
            <w:r>
              <w:rPr>
                <w:spacing w:val="-5"/>
                <w:sz w:val="20"/>
              </w:rPr>
              <w:t> </w:t>
            </w:r>
            <w:r>
              <w:rPr>
                <w:sz w:val="20"/>
              </w:rPr>
              <w:t>L89.2,</w:t>
            </w:r>
            <w:r>
              <w:rPr>
                <w:spacing w:val="-4"/>
                <w:sz w:val="20"/>
              </w:rPr>
              <w:t> </w:t>
            </w:r>
            <w:r>
              <w:rPr>
                <w:sz w:val="20"/>
              </w:rPr>
              <w:t>L89.3,</w:t>
            </w:r>
            <w:r>
              <w:rPr>
                <w:spacing w:val="-5"/>
                <w:sz w:val="20"/>
              </w:rPr>
              <w:t> </w:t>
            </w:r>
            <w:r>
              <w:rPr>
                <w:sz w:val="20"/>
              </w:rPr>
              <w:t>L89.9,</w:t>
            </w:r>
            <w:r>
              <w:rPr>
                <w:spacing w:val="-5"/>
                <w:sz w:val="20"/>
              </w:rPr>
              <w:t> </w:t>
            </w:r>
            <w:r>
              <w:rPr>
                <w:sz w:val="20"/>
              </w:rPr>
              <w:t>L97,</w:t>
            </w:r>
            <w:r>
              <w:rPr>
                <w:spacing w:val="-6"/>
                <w:sz w:val="20"/>
              </w:rPr>
              <w:t> </w:t>
            </w:r>
            <w:r>
              <w:rPr>
                <w:spacing w:val="-2"/>
                <w:sz w:val="20"/>
              </w:rPr>
              <w:t>L98.4,</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10" w:lineRule="exact"/>
              <w:ind w:left="170" w:right="171"/>
              <w:jc w:val="center"/>
              <w:rPr>
                <w:sz w:val="20"/>
              </w:rPr>
            </w:pPr>
            <w:r>
              <w:rPr>
                <w:sz w:val="20"/>
              </w:rPr>
              <w:t>M15,</w:t>
            </w:r>
            <w:r>
              <w:rPr>
                <w:spacing w:val="-5"/>
                <w:sz w:val="20"/>
              </w:rPr>
              <w:t> </w:t>
            </w:r>
            <w:r>
              <w:rPr>
                <w:sz w:val="20"/>
              </w:rPr>
              <w:t>M15.0,</w:t>
            </w:r>
            <w:r>
              <w:rPr>
                <w:spacing w:val="-4"/>
                <w:sz w:val="20"/>
              </w:rPr>
              <w:t> </w:t>
            </w:r>
            <w:r>
              <w:rPr>
                <w:sz w:val="20"/>
              </w:rPr>
              <w:t>M15.1,</w:t>
            </w:r>
            <w:r>
              <w:rPr>
                <w:spacing w:val="-6"/>
                <w:sz w:val="20"/>
              </w:rPr>
              <w:t> </w:t>
            </w:r>
            <w:r>
              <w:rPr>
                <w:sz w:val="20"/>
              </w:rPr>
              <w:t>M15.2,</w:t>
            </w:r>
            <w:r>
              <w:rPr>
                <w:spacing w:val="-6"/>
                <w:sz w:val="20"/>
              </w:rPr>
              <w:t> </w:t>
            </w:r>
            <w:r>
              <w:rPr>
                <w:sz w:val="20"/>
              </w:rPr>
              <w:t>M15.3,</w:t>
            </w:r>
            <w:r>
              <w:rPr>
                <w:spacing w:val="-4"/>
                <w:sz w:val="20"/>
              </w:rPr>
              <w:t> </w:t>
            </w:r>
            <w:r>
              <w:rPr>
                <w:spacing w:val="-2"/>
                <w:sz w:val="20"/>
              </w:rPr>
              <w:t>M15.4,</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09" w:lineRule="exact"/>
              <w:ind w:left="170" w:right="171"/>
              <w:jc w:val="center"/>
              <w:rPr>
                <w:sz w:val="20"/>
              </w:rPr>
            </w:pPr>
            <w:r>
              <w:rPr>
                <w:sz w:val="20"/>
              </w:rPr>
              <w:t>M15.8,</w:t>
            </w:r>
            <w:r>
              <w:rPr>
                <w:spacing w:val="-5"/>
                <w:sz w:val="20"/>
              </w:rPr>
              <w:t> </w:t>
            </w:r>
            <w:r>
              <w:rPr>
                <w:sz w:val="20"/>
              </w:rPr>
              <w:t>M15.9,</w:t>
            </w:r>
            <w:r>
              <w:rPr>
                <w:spacing w:val="-4"/>
                <w:sz w:val="20"/>
              </w:rPr>
              <w:t> </w:t>
            </w:r>
            <w:r>
              <w:rPr>
                <w:sz w:val="20"/>
              </w:rPr>
              <w:t>M16,</w:t>
            </w:r>
            <w:r>
              <w:rPr>
                <w:spacing w:val="-6"/>
                <w:sz w:val="20"/>
              </w:rPr>
              <w:t> </w:t>
            </w:r>
            <w:r>
              <w:rPr>
                <w:sz w:val="20"/>
              </w:rPr>
              <w:t>M16.0,</w:t>
            </w:r>
            <w:r>
              <w:rPr>
                <w:spacing w:val="-6"/>
                <w:sz w:val="20"/>
              </w:rPr>
              <w:t> </w:t>
            </w:r>
            <w:r>
              <w:rPr>
                <w:sz w:val="20"/>
              </w:rPr>
              <w:t>M16.1,</w:t>
            </w:r>
            <w:r>
              <w:rPr>
                <w:spacing w:val="-4"/>
                <w:sz w:val="20"/>
              </w:rPr>
              <w:t> </w:t>
            </w:r>
            <w:r>
              <w:rPr>
                <w:spacing w:val="-2"/>
                <w:sz w:val="20"/>
              </w:rPr>
              <w:t>M16.2,</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09" w:lineRule="exact"/>
              <w:ind w:left="169" w:right="171"/>
              <w:jc w:val="center"/>
              <w:rPr>
                <w:sz w:val="20"/>
              </w:rPr>
            </w:pPr>
            <w:r>
              <w:rPr>
                <w:sz w:val="20"/>
              </w:rPr>
              <w:t>M16.3,</w:t>
            </w:r>
            <w:r>
              <w:rPr>
                <w:spacing w:val="-6"/>
                <w:sz w:val="20"/>
              </w:rPr>
              <w:t> </w:t>
            </w:r>
            <w:r>
              <w:rPr>
                <w:sz w:val="20"/>
              </w:rPr>
              <w:t>M16.4,</w:t>
            </w:r>
            <w:r>
              <w:rPr>
                <w:spacing w:val="-6"/>
                <w:sz w:val="20"/>
              </w:rPr>
              <w:t> </w:t>
            </w:r>
            <w:r>
              <w:rPr>
                <w:sz w:val="20"/>
              </w:rPr>
              <w:t>M16.5,</w:t>
            </w:r>
            <w:r>
              <w:rPr>
                <w:spacing w:val="-6"/>
                <w:sz w:val="20"/>
              </w:rPr>
              <w:t> </w:t>
            </w:r>
            <w:r>
              <w:rPr>
                <w:sz w:val="20"/>
              </w:rPr>
              <w:t>M16.6,</w:t>
            </w:r>
            <w:r>
              <w:rPr>
                <w:spacing w:val="-6"/>
                <w:sz w:val="20"/>
              </w:rPr>
              <w:t> </w:t>
            </w:r>
            <w:r>
              <w:rPr>
                <w:sz w:val="20"/>
              </w:rPr>
              <w:t>M16.7,</w:t>
            </w:r>
            <w:r>
              <w:rPr>
                <w:spacing w:val="-5"/>
                <w:sz w:val="20"/>
              </w:rPr>
              <w:t> </w:t>
            </w:r>
            <w:r>
              <w:rPr>
                <w:spacing w:val="-2"/>
                <w:sz w:val="20"/>
              </w:rPr>
              <w:t>M16.9,</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05" w:lineRule="exact"/>
              <w:ind w:left="170" w:right="171"/>
              <w:jc w:val="center"/>
              <w:rPr>
                <w:sz w:val="20"/>
              </w:rPr>
            </w:pPr>
            <w:r>
              <w:rPr>
                <w:sz w:val="20"/>
              </w:rPr>
              <w:t>M17,</w:t>
            </w:r>
            <w:r>
              <w:rPr>
                <w:spacing w:val="-5"/>
                <w:sz w:val="20"/>
              </w:rPr>
              <w:t> </w:t>
            </w:r>
            <w:r>
              <w:rPr>
                <w:sz w:val="20"/>
              </w:rPr>
              <w:t>M17.0,</w:t>
            </w:r>
            <w:r>
              <w:rPr>
                <w:spacing w:val="-4"/>
                <w:sz w:val="20"/>
              </w:rPr>
              <w:t> </w:t>
            </w:r>
            <w:r>
              <w:rPr>
                <w:sz w:val="20"/>
              </w:rPr>
              <w:t>M17.1,</w:t>
            </w:r>
            <w:r>
              <w:rPr>
                <w:spacing w:val="-6"/>
                <w:sz w:val="20"/>
              </w:rPr>
              <w:t> </w:t>
            </w:r>
            <w:r>
              <w:rPr>
                <w:sz w:val="20"/>
              </w:rPr>
              <w:t>M17.2,</w:t>
            </w:r>
            <w:r>
              <w:rPr>
                <w:spacing w:val="-6"/>
                <w:sz w:val="20"/>
              </w:rPr>
              <w:t> </w:t>
            </w:r>
            <w:r>
              <w:rPr>
                <w:sz w:val="20"/>
              </w:rPr>
              <w:t>M17.3,</w:t>
            </w:r>
            <w:r>
              <w:rPr>
                <w:spacing w:val="-4"/>
                <w:sz w:val="20"/>
              </w:rPr>
              <w:t> </w:t>
            </w:r>
            <w:r>
              <w:rPr>
                <w:spacing w:val="-2"/>
                <w:sz w:val="20"/>
              </w:rPr>
              <w:t>M17.4,</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96"/>
        <w:gridCol w:w="4976"/>
        <w:gridCol w:w="2463"/>
        <w:gridCol w:w="2326"/>
        <w:gridCol w:w="1261"/>
      </w:tblGrid>
      <w:tr>
        <w:trPr>
          <w:trHeight w:val="7405" w:hRule="atLeast"/>
        </w:trPr>
        <w:tc>
          <w:tcPr>
            <w:tcW w:w="946" w:type="dxa"/>
          </w:tcPr>
          <w:p>
            <w:pPr>
              <w:pStyle w:val="TableParagraph"/>
              <w:rPr>
                <w:sz w:val="18"/>
              </w:rPr>
            </w:pPr>
          </w:p>
        </w:tc>
        <w:tc>
          <w:tcPr>
            <w:tcW w:w="707" w:type="dxa"/>
          </w:tcPr>
          <w:p>
            <w:pPr>
              <w:pStyle w:val="TableParagraph"/>
              <w:rPr>
                <w:sz w:val="18"/>
              </w:rPr>
            </w:pPr>
          </w:p>
        </w:tc>
        <w:tc>
          <w:tcPr>
            <w:tcW w:w="2596" w:type="dxa"/>
          </w:tcPr>
          <w:p>
            <w:pPr>
              <w:pStyle w:val="TableParagraph"/>
              <w:rPr>
                <w:sz w:val="18"/>
              </w:rPr>
            </w:pPr>
          </w:p>
        </w:tc>
        <w:tc>
          <w:tcPr>
            <w:tcW w:w="4976" w:type="dxa"/>
          </w:tcPr>
          <w:p>
            <w:pPr>
              <w:pStyle w:val="TableParagraph"/>
              <w:spacing w:line="221" w:lineRule="exact"/>
              <w:ind w:left="340"/>
              <w:rPr>
                <w:sz w:val="20"/>
              </w:rPr>
            </w:pPr>
            <w:r>
              <w:rPr>
                <w:sz w:val="20"/>
              </w:rPr>
              <w:t>M17.5,</w:t>
            </w:r>
            <w:r>
              <w:rPr>
                <w:spacing w:val="-4"/>
                <w:sz w:val="20"/>
              </w:rPr>
              <w:t> </w:t>
            </w:r>
            <w:r>
              <w:rPr>
                <w:sz w:val="20"/>
              </w:rPr>
              <w:t>M17.9,</w:t>
            </w:r>
            <w:r>
              <w:rPr>
                <w:spacing w:val="-4"/>
                <w:sz w:val="20"/>
              </w:rPr>
              <w:t> </w:t>
            </w:r>
            <w:r>
              <w:rPr>
                <w:sz w:val="20"/>
              </w:rPr>
              <w:t>M18,</w:t>
            </w:r>
            <w:r>
              <w:rPr>
                <w:spacing w:val="-6"/>
                <w:sz w:val="20"/>
              </w:rPr>
              <w:t> </w:t>
            </w:r>
            <w:r>
              <w:rPr>
                <w:sz w:val="20"/>
              </w:rPr>
              <w:t>M18.0,</w:t>
            </w:r>
            <w:r>
              <w:rPr>
                <w:spacing w:val="-5"/>
                <w:sz w:val="20"/>
              </w:rPr>
              <w:t> </w:t>
            </w:r>
            <w:r>
              <w:rPr>
                <w:sz w:val="20"/>
              </w:rPr>
              <w:t>M18.1,</w:t>
            </w:r>
            <w:r>
              <w:rPr>
                <w:spacing w:val="-4"/>
                <w:sz w:val="20"/>
              </w:rPr>
              <w:t> </w:t>
            </w:r>
            <w:r>
              <w:rPr>
                <w:spacing w:val="-2"/>
                <w:sz w:val="20"/>
              </w:rPr>
              <w:t>M18.2,</w:t>
            </w:r>
          </w:p>
          <w:p>
            <w:pPr>
              <w:pStyle w:val="TableParagraph"/>
              <w:spacing w:line="229" w:lineRule="exact"/>
              <w:ind w:left="340"/>
              <w:rPr>
                <w:sz w:val="20"/>
              </w:rPr>
            </w:pPr>
            <w:r>
              <w:rPr>
                <w:sz w:val="20"/>
              </w:rPr>
              <w:t>M18.3,</w:t>
            </w:r>
            <w:r>
              <w:rPr>
                <w:spacing w:val="-6"/>
                <w:sz w:val="20"/>
              </w:rPr>
              <w:t> </w:t>
            </w:r>
            <w:r>
              <w:rPr>
                <w:sz w:val="20"/>
              </w:rPr>
              <w:t>M18.4,</w:t>
            </w:r>
            <w:r>
              <w:rPr>
                <w:spacing w:val="-5"/>
                <w:sz w:val="20"/>
              </w:rPr>
              <w:t> </w:t>
            </w:r>
            <w:r>
              <w:rPr>
                <w:sz w:val="20"/>
              </w:rPr>
              <w:t>M18.5,</w:t>
            </w:r>
            <w:r>
              <w:rPr>
                <w:spacing w:val="-5"/>
                <w:sz w:val="20"/>
              </w:rPr>
              <w:t> </w:t>
            </w:r>
            <w:r>
              <w:rPr>
                <w:sz w:val="20"/>
              </w:rPr>
              <w:t>M18.9,</w:t>
            </w:r>
            <w:r>
              <w:rPr>
                <w:spacing w:val="-5"/>
                <w:sz w:val="20"/>
              </w:rPr>
              <w:t> </w:t>
            </w:r>
            <w:r>
              <w:rPr>
                <w:sz w:val="20"/>
              </w:rPr>
              <w:t>M19,</w:t>
            </w:r>
            <w:r>
              <w:rPr>
                <w:spacing w:val="-5"/>
                <w:sz w:val="20"/>
              </w:rPr>
              <w:t> </w:t>
            </w:r>
            <w:r>
              <w:rPr>
                <w:spacing w:val="-2"/>
                <w:sz w:val="20"/>
              </w:rPr>
              <w:t>M19.0,</w:t>
            </w:r>
          </w:p>
          <w:p>
            <w:pPr>
              <w:pStyle w:val="TableParagraph"/>
              <w:spacing w:line="229" w:lineRule="exact"/>
              <w:ind w:left="340"/>
              <w:rPr>
                <w:sz w:val="20"/>
              </w:rPr>
            </w:pPr>
            <w:r>
              <w:rPr>
                <w:sz w:val="20"/>
              </w:rPr>
              <w:t>M19.1,</w:t>
            </w:r>
            <w:r>
              <w:rPr>
                <w:spacing w:val="-6"/>
                <w:sz w:val="20"/>
              </w:rPr>
              <w:t> </w:t>
            </w:r>
            <w:r>
              <w:rPr>
                <w:sz w:val="20"/>
              </w:rPr>
              <w:t>M19.2,</w:t>
            </w:r>
            <w:r>
              <w:rPr>
                <w:spacing w:val="-5"/>
                <w:sz w:val="20"/>
              </w:rPr>
              <w:t> </w:t>
            </w:r>
            <w:r>
              <w:rPr>
                <w:sz w:val="20"/>
              </w:rPr>
              <w:t>M19.8,</w:t>
            </w:r>
            <w:r>
              <w:rPr>
                <w:spacing w:val="-5"/>
                <w:sz w:val="20"/>
              </w:rPr>
              <w:t> </w:t>
            </w:r>
            <w:r>
              <w:rPr>
                <w:sz w:val="20"/>
              </w:rPr>
              <w:t>M19.9,</w:t>
            </w:r>
            <w:r>
              <w:rPr>
                <w:spacing w:val="-5"/>
                <w:sz w:val="20"/>
              </w:rPr>
              <w:t> </w:t>
            </w:r>
            <w:r>
              <w:rPr>
                <w:sz w:val="20"/>
              </w:rPr>
              <w:t>M22,</w:t>
            </w:r>
            <w:r>
              <w:rPr>
                <w:spacing w:val="-5"/>
                <w:sz w:val="20"/>
              </w:rPr>
              <w:t> </w:t>
            </w:r>
            <w:r>
              <w:rPr>
                <w:spacing w:val="-2"/>
                <w:sz w:val="20"/>
              </w:rPr>
              <w:t>M22.0,</w:t>
            </w:r>
          </w:p>
          <w:p>
            <w:pPr>
              <w:pStyle w:val="TableParagraph"/>
              <w:spacing w:before="1"/>
              <w:ind w:left="263"/>
              <w:rPr>
                <w:sz w:val="20"/>
              </w:rPr>
            </w:pPr>
            <w:r>
              <w:rPr>
                <w:sz w:val="20"/>
              </w:rPr>
              <w:t>M22.1,</w:t>
            </w:r>
            <w:r>
              <w:rPr>
                <w:spacing w:val="-6"/>
                <w:sz w:val="20"/>
              </w:rPr>
              <w:t> </w:t>
            </w:r>
            <w:r>
              <w:rPr>
                <w:sz w:val="20"/>
              </w:rPr>
              <w:t>M22.2,</w:t>
            </w:r>
            <w:r>
              <w:rPr>
                <w:spacing w:val="-6"/>
                <w:sz w:val="20"/>
              </w:rPr>
              <w:t> </w:t>
            </w:r>
            <w:r>
              <w:rPr>
                <w:sz w:val="20"/>
              </w:rPr>
              <w:t>M22.3,</w:t>
            </w:r>
            <w:r>
              <w:rPr>
                <w:spacing w:val="-6"/>
                <w:sz w:val="20"/>
              </w:rPr>
              <w:t> </w:t>
            </w:r>
            <w:r>
              <w:rPr>
                <w:sz w:val="20"/>
              </w:rPr>
              <w:t>M22.4,</w:t>
            </w:r>
            <w:r>
              <w:rPr>
                <w:spacing w:val="-6"/>
                <w:sz w:val="20"/>
              </w:rPr>
              <w:t> </w:t>
            </w:r>
            <w:r>
              <w:rPr>
                <w:sz w:val="20"/>
              </w:rPr>
              <w:t>M22.8,</w:t>
            </w:r>
            <w:r>
              <w:rPr>
                <w:spacing w:val="-5"/>
                <w:sz w:val="20"/>
              </w:rPr>
              <w:t> </w:t>
            </w:r>
            <w:r>
              <w:rPr>
                <w:spacing w:val="-2"/>
                <w:sz w:val="20"/>
              </w:rPr>
              <w:t>M22.9,</w:t>
            </w:r>
          </w:p>
          <w:p>
            <w:pPr>
              <w:pStyle w:val="TableParagraph"/>
              <w:ind w:left="340"/>
              <w:rPr>
                <w:sz w:val="20"/>
              </w:rPr>
            </w:pPr>
            <w:r>
              <w:rPr>
                <w:sz w:val="20"/>
              </w:rPr>
              <w:t>M23,</w:t>
            </w:r>
            <w:r>
              <w:rPr>
                <w:spacing w:val="-5"/>
                <w:sz w:val="20"/>
              </w:rPr>
              <w:t> </w:t>
            </w:r>
            <w:r>
              <w:rPr>
                <w:sz w:val="20"/>
              </w:rPr>
              <w:t>M23.0,</w:t>
            </w:r>
            <w:r>
              <w:rPr>
                <w:spacing w:val="-4"/>
                <w:sz w:val="20"/>
              </w:rPr>
              <w:t> </w:t>
            </w:r>
            <w:r>
              <w:rPr>
                <w:sz w:val="20"/>
              </w:rPr>
              <w:t>M23.1,</w:t>
            </w:r>
            <w:r>
              <w:rPr>
                <w:spacing w:val="-6"/>
                <w:sz w:val="20"/>
              </w:rPr>
              <w:t> </w:t>
            </w:r>
            <w:r>
              <w:rPr>
                <w:sz w:val="20"/>
              </w:rPr>
              <w:t>M23.2,</w:t>
            </w:r>
            <w:r>
              <w:rPr>
                <w:spacing w:val="-6"/>
                <w:sz w:val="20"/>
              </w:rPr>
              <w:t> </w:t>
            </w:r>
            <w:r>
              <w:rPr>
                <w:sz w:val="20"/>
              </w:rPr>
              <w:t>M23.3,</w:t>
            </w:r>
            <w:r>
              <w:rPr>
                <w:spacing w:val="-4"/>
                <w:sz w:val="20"/>
              </w:rPr>
              <w:t> </w:t>
            </w:r>
            <w:r>
              <w:rPr>
                <w:spacing w:val="-2"/>
                <w:sz w:val="20"/>
              </w:rPr>
              <w:t>M23.4,</w:t>
            </w:r>
          </w:p>
          <w:p>
            <w:pPr>
              <w:pStyle w:val="TableParagraph"/>
              <w:ind w:left="340"/>
              <w:rPr>
                <w:sz w:val="20"/>
              </w:rPr>
            </w:pPr>
            <w:r>
              <w:rPr>
                <w:sz w:val="20"/>
              </w:rPr>
              <w:t>M23.5,</w:t>
            </w:r>
            <w:r>
              <w:rPr>
                <w:spacing w:val="-6"/>
                <w:sz w:val="20"/>
              </w:rPr>
              <w:t> </w:t>
            </w:r>
            <w:r>
              <w:rPr>
                <w:sz w:val="20"/>
              </w:rPr>
              <w:t>M23.6,</w:t>
            </w:r>
            <w:r>
              <w:rPr>
                <w:spacing w:val="-5"/>
                <w:sz w:val="20"/>
              </w:rPr>
              <w:t> </w:t>
            </w:r>
            <w:r>
              <w:rPr>
                <w:sz w:val="20"/>
              </w:rPr>
              <w:t>M23.8,</w:t>
            </w:r>
            <w:r>
              <w:rPr>
                <w:spacing w:val="-5"/>
                <w:sz w:val="20"/>
              </w:rPr>
              <w:t> </w:t>
            </w:r>
            <w:r>
              <w:rPr>
                <w:sz w:val="20"/>
              </w:rPr>
              <w:t>M23.9,</w:t>
            </w:r>
            <w:r>
              <w:rPr>
                <w:spacing w:val="-5"/>
                <w:sz w:val="20"/>
              </w:rPr>
              <w:t> </w:t>
            </w:r>
            <w:r>
              <w:rPr>
                <w:sz w:val="20"/>
              </w:rPr>
              <w:t>M24,</w:t>
            </w:r>
            <w:r>
              <w:rPr>
                <w:spacing w:val="-5"/>
                <w:sz w:val="20"/>
              </w:rPr>
              <w:t> </w:t>
            </w:r>
            <w:r>
              <w:rPr>
                <w:spacing w:val="-2"/>
                <w:sz w:val="20"/>
              </w:rPr>
              <w:t>M24.0,</w:t>
            </w:r>
          </w:p>
          <w:p>
            <w:pPr>
              <w:pStyle w:val="TableParagraph"/>
              <w:spacing w:before="1"/>
              <w:ind w:left="263"/>
              <w:rPr>
                <w:sz w:val="20"/>
              </w:rPr>
            </w:pPr>
            <w:r>
              <w:rPr>
                <w:sz w:val="20"/>
              </w:rPr>
              <w:t>M24.1,</w:t>
            </w:r>
            <w:r>
              <w:rPr>
                <w:spacing w:val="-5"/>
                <w:sz w:val="20"/>
              </w:rPr>
              <w:t> </w:t>
            </w:r>
            <w:r>
              <w:rPr>
                <w:sz w:val="20"/>
              </w:rPr>
              <w:t>M24.2,</w:t>
            </w:r>
            <w:r>
              <w:rPr>
                <w:spacing w:val="-5"/>
                <w:sz w:val="20"/>
              </w:rPr>
              <w:t> </w:t>
            </w:r>
            <w:r>
              <w:rPr>
                <w:sz w:val="20"/>
              </w:rPr>
              <w:t>M24.3,</w:t>
            </w:r>
            <w:r>
              <w:rPr>
                <w:spacing w:val="-5"/>
                <w:sz w:val="20"/>
              </w:rPr>
              <w:t> </w:t>
            </w:r>
            <w:r>
              <w:rPr>
                <w:sz w:val="20"/>
              </w:rPr>
              <w:t>M24.4,</w:t>
            </w:r>
            <w:r>
              <w:rPr>
                <w:spacing w:val="-5"/>
                <w:sz w:val="20"/>
              </w:rPr>
              <w:t> </w:t>
            </w:r>
            <w:r>
              <w:rPr>
                <w:sz w:val="20"/>
              </w:rPr>
              <w:t>M24.5,</w:t>
            </w:r>
            <w:r>
              <w:rPr>
                <w:spacing w:val="-5"/>
                <w:sz w:val="20"/>
              </w:rPr>
              <w:t> </w:t>
            </w:r>
            <w:r>
              <w:rPr>
                <w:spacing w:val="-2"/>
                <w:sz w:val="20"/>
              </w:rPr>
              <w:t>M24.6,</w:t>
            </w:r>
          </w:p>
          <w:p>
            <w:pPr>
              <w:pStyle w:val="TableParagraph"/>
              <w:spacing w:line="229" w:lineRule="exact" w:before="1"/>
              <w:ind w:left="340"/>
              <w:rPr>
                <w:sz w:val="20"/>
              </w:rPr>
            </w:pPr>
            <w:r>
              <w:rPr>
                <w:sz w:val="20"/>
              </w:rPr>
              <w:t>M24.7,</w:t>
            </w:r>
            <w:r>
              <w:rPr>
                <w:spacing w:val="-5"/>
                <w:sz w:val="20"/>
              </w:rPr>
              <w:t> </w:t>
            </w:r>
            <w:r>
              <w:rPr>
                <w:sz w:val="20"/>
              </w:rPr>
              <w:t>M24.8,</w:t>
            </w:r>
            <w:r>
              <w:rPr>
                <w:spacing w:val="-5"/>
                <w:sz w:val="20"/>
              </w:rPr>
              <w:t> </w:t>
            </w:r>
            <w:r>
              <w:rPr>
                <w:sz w:val="20"/>
              </w:rPr>
              <w:t>M24.9,</w:t>
            </w:r>
            <w:r>
              <w:rPr>
                <w:spacing w:val="-4"/>
                <w:sz w:val="20"/>
              </w:rPr>
              <w:t> </w:t>
            </w:r>
            <w:r>
              <w:rPr>
                <w:sz w:val="20"/>
              </w:rPr>
              <w:t>M25,</w:t>
            </w:r>
            <w:r>
              <w:rPr>
                <w:spacing w:val="-6"/>
                <w:sz w:val="20"/>
              </w:rPr>
              <w:t> </w:t>
            </w:r>
            <w:r>
              <w:rPr>
                <w:sz w:val="20"/>
              </w:rPr>
              <w:t>M25.0,</w:t>
            </w:r>
            <w:r>
              <w:rPr>
                <w:spacing w:val="-5"/>
                <w:sz w:val="20"/>
              </w:rPr>
              <w:t> </w:t>
            </w:r>
            <w:r>
              <w:rPr>
                <w:spacing w:val="-2"/>
                <w:sz w:val="20"/>
              </w:rPr>
              <w:t>M25.1,</w:t>
            </w:r>
          </w:p>
          <w:p>
            <w:pPr>
              <w:pStyle w:val="TableParagraph"/>
              <w:spacing w:line="229" w:lineRule="exact"/>
              <w:ind w:left="263"/>
              <w:rPr>
                <w:sz w:val="20"/>
              </w:rPr>
            </w:pPr>
            <w:r>
              <w:rPr>
                <w:sz w:val="20"/>
              </w:rPr>
              <w:t>M25.2,</w:t>
            </w:r>
            <w:r>
              <w:rPr>
                <w:spacing w:val="-6"/>
                <w:sz w:val="20"/>
              </w:rPr>
              <w:t> </w:t>
            </w:r>
            <w:r>
              <w:rPr>
                <w:sz w:val="20"/>
              </w:rPr>
              <w:t>M25.3,</w:t>
            </w:r>
            <w:r>
              <w:rPr>
                <w:spacing w:val="-6"/>
                <w:sz w:val="20"/>
              </w:rPr>
              <w:t> </w:t>
            </w:r>
            <w:r>
              <w:rPr>
                <w:sz w:val="20"/>
              </w:rPr>
              <w:t>M25.4,</w:t>
            </w:r>
            <w:r>
              <w:rPr>
                <w:spacing w:val="-6"/>
                <w:sz w:val="20"/>
              </w:rPr>
              <w:t> </w:t>
            </w:r>
            <w:r>
              <w:rPr>
                <w:sz w:val="20"/>
              </w:rPr>
              <w:t>M25.5,</w:t>
            </w:r>
            <w:r>
              <w:rPr>
                <w:spacing w:val="-6"/>
                <w:sz w:val="20"/>
              </w:rPr>
              <w:t> </w:t>
            </w:r>
            <w:r>
              <w:rPr>
                <w:sz w:val="20"/>
              </w:rPr>
              <w:t>M25.6,</w:t>
            </w:r>
            <w:r>
              <w:rPr>
                <w:spacing w:val="-5"/>
                <w:sz w:val="20"/>
              </w:rPr>
              <w:t> </w:t>
            </w:r>
            <w:r>
              <w:rPr>
                <w:spacing w:val="-2"/>
                <w:sz w:val="20"/>
              </w:rPr>
              <w:t>M25.7,</w:t>
            </w:r>
          </w:p>
          <w:p>
            <w:pPr>
              <w:pStyle w:val="TableParagraph"/>
              <w:ind w:left="340"/>
              <w:rPr>
                <w:sz w:val="20"/>
              </w:rPr>
            </w:pPr>
            <w:r>
              <w:rPr>
                <w:sz w:val="20"/>
              </w:rPr>
              <w:t>M25.8,</w:t>
            </w:r>
            <w:r>
              <w:rPr>
                <w:spacing w:val="-5"/>
                <w:sz w:val="20"/>
              </w:rPr>
              <w:t> </w:t>
            </w:r>
            <w:r>
              <w:rPr>
                <w:sz w:val="20"/>
              </w:rPr>
              <w:t>M25.9,</w:t>
            </w:r>
            <w:r>
              <w:rPr>
                <w:spacing w:val="-5"/>
                <w:sz w:val="20"/>
              </w:rPr>
              <w:t> </w:t>
            </w:r>
            <w:r>
              <w:rPr>
                <w:sz w:val="20"/>
              </w:rPr>
              <w:t>M35.7,</w:t>
            </w:r>
            <w:r>
              <w:rPr>
                <w:spacing w:val="-4"/>
                <w:sz w:val="20"/>
              </w:rPr>
              <w:t> </w:t>
            </w:r>
            <w:r>
              <w:rPr>
                <w:sz w:val="20"/>
              </w:rPr>
              <w:t>M60,</w:t>
            </w:r>
            <w:r>
              <w:rPr>
                <w:spacing w:val="-6"/>
                <w:sz w:val="20"/>
              </w:rPr>
              <w:t> </w:t>
            </w:r>
            <w:r>
              <w:rPr>
                <w:sz w:val="20"/>
              </w:rPr>
              <w:t>M60.0,</w:t>
            </w:r>
            <w:r>
              <w:rPr>
                <w:spacing w:val="-5"/>
                <w:sz w:val="20"/>
              </w:rPr>
              <w:t> </w:t>
            </w:r>
            <w:r>
              <w:rPr>
                <w:spacing w:val="-2"/>
                <w:sz w:val="20"/>
              </w:rPr>
              <w:t>M60.1,</w:t>
            </w:r>
          </w:p>
          <w:p>
            <w:pPr>
              <w:pStyle w:val="TableParagraph"/>
              <w:spacing w:before="1"/>
              <w:ind w:left="340"/>
              <w:rPr>
                <w:sz w:val="20"/>
              </w:rPr>
            </w:pPr>
            <w:r>
              <w:rPr>
                <w:sz w:val="20"/>
              </w:rPr>
              <w:t>M60.2,</w:t>
            </w:r>
            <w:r>
              <w:rPr>
                <w:spacing w:val="-5"/>
                <w:sz w:val="20"/>
              </w:rPr>
              <w:t> </w:t>
            </w:r>
            <w:r>
              <w:rPr>
                <w:sz w:val="20"/>
              </w:rPr>
              <w:t>M60.8,</w:t>
            </w:r>
            <w:r>
              <w:rPr>
                <w:spacing w:val="-5"/>
                <w:sz w:val="20"/>
              </w:rPr>
              <w:t> </w:t>
            </w:r>
            <w:r>
              <w:rPr>
                <w:sz w:val="20"/>
              </w:rPr>
              <w:t>M60.9,</w:t>
            </w:r>
            <w:r>
              <w:rPr>
                <w:spacing w:val="-4"/>
                <w:sz w:val="20"/>
              </w:rPr>
              <w:t> </w:t>
            </w:r>
            <w:r>
              <w:rPr>
                <w:sz w:val="20"/>
              </w:rPr>
              <w:t>M61,</w:t>
            </w:r>
            <w:r>
              <w:rPr>
                <w:spacing w:val="-6"/>
                <w:sz w:val="20"/>
              </w:rPr>
              <w:t> </w:t>
            </w:r>
            <w:r>
              <w:rPr>
                <w:sz w:val="20"/>
              </w:rPr>
              <w:t>M61.0,</w:t>
            </w:r>
            <w:r>
              <w:rPr>
                <w:spacing w:val="-5"/>
                <w:sz w:val="20"/>
              </w:rPr>
              <w:t> </w:t>
            </w:r>
            <w:r>
              <w:rPr>
                <w:spacing w:val="-2"/>
                <w:sz w:val="20"/>
              </w:rPr>
              <w:t>M61.1,</w:t>
            </w:r>
          </w:p>
          <w:p>
            <w:pPr>
              <w:pStyle w:val="TableParagraph"/>
              <w:ind w:left="340"/>
              <w:rPr>
                <w:sz w:val="20"/>
              </w:rPr>
            </w:pPr>
            <w:r>
              <w:rPr>
                <w:sz w:val="20"/>
              </w:rPr>
              <w:t>M61.2,</w:t>
            </w:r>
            <w:r>
              <w:rPr>
                <w:spacing w:val="-6"/>
                <w:sz w:val="20"/>
              </w:rPr>
              <w:t> </w:t>
            </w:r>
            <w:r>
              <w:rPr>
                <w:sz w:val="20"/>
              </w:rPr>
              <w:t>M61.3,</w:t>
            </w:r>
            <w:r>
              <w:rPr>
                <w:spacing w:val="-6"/>
                <w:sz w:val="20"/>
              </w:rPr>
              <w:t> </w:t>
            </w:r>
            <w:r>
              <w:rPr>
                <w:sz w:val="20"/>
              </w:rPr>
              <w:t>M61.4,</w:t>
            </w:r>
            <w:r>
              <w:rPr>
                <w:spacing w:val="-6"/>
                <w:sz w:val="20"/>
              </w:rPr>
              <w:t> </w:t>
            </w:r>
            <w:r>
              <w:rPr>
                <w:sz w:val="20"/>
              </w:rPr>
              <w:t>M61.5,</w:t>
            </w:r>
            <w:r>
              <w:rPr>
                <w:spacing w:val="-6"/>
                <w:sz w:val="20"/>
              </w:rPr>
              <w:t> </w:t>
            </w:r>
            <w:r>
              <w:rPr>
                <w:sz w:val="20"/>
              </w:rPr>
              <w:t>M61.9,</w:t>
            </w:r>
            <w:r>
              <w:rPr>
                <w:spacing w:val="-5"/>
                <w:sz w:val="20"/>
              </w:rPr>
              <w:t> </w:t>
            </w:r>
            <w:r>
              <w:rPr>
                <w:spacing w:val="-4"/>
                <w:sz w:val="20"/>
              </w:rPr>
              <w:t>M62,</w:t>
            </w:r>
          </w:p>
          <w:p>
            <w:pPr>
              <w:pStyle w:val="TableParagraph"/>
              <w:ind w:left="263"/>
              <w:rPr>
                <w:sz w:val="20"/>
              </w:rPr>
            </w:pPr>
            <w:r>
              <w:rPr>
                <w:sz w:val="20"/>
              </w:rPr>
              <w:t>M62.0,</w:t>
            </w:r>
            <w:r>
              <w:rPr>
                <w:spacing w:val="-6"/>
                <w:sz w:val="20"/>
              </w:rPr>
              <w:t> </w:t>
            </w:r>
            <w:r>
              <w:rPr>
                <w:sz w:val="20"/>
              </w:rPr>
              <w:t>M62.1,</w:t>
            </w:r>
            <w:r>
              <w:rPr>
                <w:spacing w:val="-6"/>
                <w:sz w:val="20"/>
              </w:rPr>
              <w:t> </w:t>
            </w:r>
            <w:r>
              <w:rPr>
                <w:sz w:val="20"/>
              </w:rPr>
              <w:t>M62.2,</w:t>
            </w:r>
            <w:r>
              <w:rPr>
                <w:spacing w:val="-6"/>
                <w:sz w:val="20"/>
              </w:rPr>
              <w:t> </w:t>
            </w:r>
            <w:r>
              <w:rPr>
                <w:sz w:val="20"/>
              </w:rPr>
              <w:t>M62.3,</w:t>
            </w:r>
            <w:r>
              <w:rPr>
                <w:spacing w:val="-6"/>
                <w:sz w:val="20"/>
              </w:rPr>
              <w:t> </w:t>
            </w:r>
            <w:r>
              <w:rPr>
                <w:sz w:val="20"/>
              </w:rPr>
              <w:t>M62.4,</w:t>
            </w:r>
            <w:r>
              <w:rPr>
                <w:spacing w:val="-5"/>
                <w:sz w:val="20"/>
              </w:rPr>
              <w:t> </w:t>
            </w:r>
            <w:r>
              <w:rPr>
                <w:spacing w:val="-2"/>
                <w:sz w:val="20"/>
              </w:rPr>
              <w:t>M62.5,</w:t>
            </w:r>
          </w:p>
          <w:p>
            <w:pPr>
              <w:pStyle w:val="TableParagraph"/>
              <w:spacing w:line="229" w:lineRule="exact" w:before="1"/>
              <w:ind w:left="340"/>
              <w:rPr>
                <w:sz w:val="20"/>
              </w:rPr>
            </w:pPr>
            <w:r>
              <w:rPr>
                <w:sz w:val="20"/>
              </w:rPr>
              <w:t>M62.6,</w:t>
            </w:r>
            <w:r>
              <w:rPr>
                <w:spacing w:val="-5"/>
                <w:sz w:val="20"/>
              </w:rPr>
              <w:t> </w:t>
            </w:r>
            <w:r>
              <w:rPr>
                <w:sz w:val="20"/>
              </w:rPr>
              <w:t>M62.8,</w:t>
            </w:r>
            <w:r>
              <w:rPr>
                <w:spacing w:val="-5"/>
                <w:sz w:val="20"/>
              </w:rPr>
              <w:t> </w:t>
            </w:r>
            <w:r>
              <w:rPr>
                <w:sz w:val="20"/>
              </w:rPr>
              <w:t>M62.9,</w:t>
            </w:r>
            <w:r>
              <w:rPr>
                <w:spacing w:val="-4"/>
                <w:sz w:val="20"/>
              </w:rPr>
              <w:t> </w:t>
            </w:r>
            <w:r>
              <w:rPr>
                <w:sz w:val="20"/>
              </w:rPr>
              <w:t>M63,</w:t>
            </w:r>
            <w:r>
              <w:rPr>
                <w:spacing w:val="-6"/>
                <w:sz w:val="20"/>
              </w:rPr>
              <w:t> </w:t>
            </w:r>
            <w:r>
              <w:rPr>
                <w:sz w:val="20"/>
              </w:rPr>
              <w:t>M63.0,</w:t>
            </w:r>
            <w:r>
              <w:rPr>
                <w:spacing w:val="-5"/>
                <w:sz w:val="20"/>
              </w:rPr>
              <w:t> </w:t>
            </w:r>
            <w:r>
              <w:rPr>
                <w:spacing w:val="-2"/>
                <w:sz w:val="20"/>
              </w:rPr>
              <w:t>M63.1,</w:t>
            </w:r>
          </w:p>
          <w:p>
            <w:pPr>
              <w:pStyle w:val="TableParagraph"/>
              <w:spacing w:line="229" w:lineRule="exact"/>
              <w:ind w:left="340"/>
              <w:rPr>
                <w:sz w:val="20"/>
              </w:rPr>
            </w:pPr>
            <w:r>
              <w:rPr>
                <w:sz w:val="20"/>
              </w:rPr>
              <w:t>M63.2,</w:t>
            </w:r>
            <w:r>
              <w:rPr>
                <w:spacing w:val="-5"/>
                <w:sz w:val="20"/>
              </w:rPr>
              <w:t> </w:t>
            </w:r>
            <w:r>
              <w:rPr>
                <w:sz w:val="20"/>
              </w:rPr>
              <w:t>M63.3,</w:t>
            </w:r>
            <w:r>
              <w:rPr>
                <w:spacing w:val="-5"/>
                <w:sz w:val="20"/>
              </w:rPr>
              <w:t> </w:t>
            </w:r>
            <w:r>
              <w:rPr>
                <w:sz w:val="20"/>
              </w:rPr>
              <w:t>M63.8,</w:t>
            </w:r>
            <w:r>
              <w:rPr>
                <w:spacing w:val="-4"/>
                <w:sz w:val="20"/>
              </w:rPr>
              <w:t> </w:t>
            </w:r>
            <w:r>
              <w:rPr>
                <w:sz w:val="20"/>
              </w:rPr>
              <w:t>M65,</w:t>
            </w:r>
            <w:r>
              <w:rPr>
                <w:spacing w:val="-6"/>
                <w:sz w:val="20"/>
              </w:rPr>
              <w:t> </w:t>
            </w:r>
            <w:r>
              <w:rPr>
                <w:sz w:val="20"/>
              </w:rPr>
              <w:t>M65.0,</w:t>
            </w:r>
            <w:r>
              <w:rPr>
                <w:spacing w:val="-5"/>
                <w:sz w:val="20"/>
              </w:rPr>
              <w:t> </w:t>
            </w:r>
            <w:r>
              <w:rPr>
                <w:spacing w:val="-2"/>
                <w:sz w:val="20"/>
              </w:rPr>
              <w:t>M65.1,</w:t>
            </w:r>
          </w:p>
          <w:p>
            <w:pPr>
              <w:pStyle w:val="TableParagraph"/>
              <w:ind w:left="92" w:right="819"/>
              <w:jc w:val="center"/>
              <w:rPr>
                <w:sz w:val="20"/>
              </w:rPr>
            </w:pPr>
            <w:r>
              <w:rPr>
                <w:sz w:val="20"/>
              </w:rPr>
              <w:t>M65.2,</w:t>
            </w:r>
            <w:r>
              <w:rPr>
                <w:spacing w:val="-6"/>
                <w:sz w:val="20"/>
              </w:rPr>
              <w:t> </w:t>
            </w:r>
            <w:r>
              <w:rPr>
                <w:sz w:val="20"/>
              </w:rPr>
              <w:t>M65.3,</w:t>
            </w:r>
            <w:r>
              <w:rPr>
                <w:spacing w:val="-6"/>
                <w:sz w:val="20"/>
              </w:rPr>
              <w:t> </w:t>
            </w:r>
            <w:r>
              <w:rPr>
                <w:sz w:val="20"/>
              </w:rPr>
              <w:t>M65.4,</w:t>
            </w:r>
            <w:r>
              <w:rPr>
                <w:spacing w:val="-6"/>
                <w:sz w:val="20"/>
              </w:rPr>
              <w:t> </w:t>
            </w:r>
            <w:r>
              <w:rPr>
                <w:sz w:val="20"/>
              </w:rPr>
              <w:t>M65.8,</w:t>
            </w:r>
            <w:r>
              <w:rPr>
                <w:spacing w:val="-6"/>
                <w:sz w:val="20"/>
              </w:rPr>
              <w:t> </w:t>
            </w:r>
            <w:r>
              <w:rPr>
                <w:sz w:val="20"/>
              </w:rPr>
              <w:t>M65.9,</w:t>
            </w:r>
            <w:r>
              <w:rPr>
                <w:spacing w:val="-5"/>
                <w:sz w:val="20"/>
              </w:rPr>
              <w:t> </w:t>
            </w:r>
            <w:r>
              <w:rPr>
                <w:spacing w:val="-4"/>
                <w:sz w:val="20"/>
              </w:rPr>
              <w:t>M66,</w:t>
            </w:r>
          </w:p>
          <w:p>
            <w:pPr>
              <w:pStyle w:val="TableParagraph"/>
              <w:spacing w:before="1"/>
              <w:ind w:left="92" w:right="824"/>
              <w:jc w:val="center"/>
              <w:rPr>
                <w:sz w:val="20"/>
              </w:rPr>
            </w:pPr>
            <w:r>
              <w:rPr>
                <w:sz w:val="20"/>
              </w:rPr>
              <w:t>M66.0,</w:t>
            </w:r>
            <w:r>
              <w:rPr>
                <w:spacing w:val="-6"/>
                <w:sz w:val="20"/>
              </w:rPr>
              <w:t> </w:t>
            </w:r>
            <w:r>
              <w:rPr>
                <w:sz w:val="20"/>
              </w:rPr>
              <w:t>M66.1,</w:t>
            </w:r>
            <w:r>
              <w:rPr>
                <w:spacing w:val="-6"/>
                <w:sz w:val="20"/>
              </w:rPr>
              <w:t> </w:t>
            </w:r>
            <w:r>
              <w:rPr>
                <w:sz w:val="20"/>
              </w:rPr>
              <w:t>M66.2,</w:t>
            </w:r>
            <w:r>
              <w:rPr>
                <w:spacing w:val="-6"/>
                <w:sz w:val="20"/>
              </w:rPr>
              <w:t> </w:t>
            </w:r>
            <w:r>
              <w:rPr>
                <w:sz w:val="20"/>
              </w:rPr>
              <w:t>M66.3,</w:t>
            </w:r>
            <w:r>
              <w:rPr>
                <w:spacing w:val="-6"/>
                <w:sz w:val="20"/>
              </w:rPr>
              <w:t> </w:t>
            </w:r>
            <w:r>
              <w:rPr>
                <w:sz w:val="20"/>
              </w:rPr>
              <w:t>M66.4,</w:t>
            </w:r>
            <w:r>
              <w:rPr>
                <w:spacing w:val="-5"/>
                <w:sz w:val="20"/>
              </w:rPr>
              <w:t> </w:t>
            </w:r>
            <w:r>
              <w:rPr>
                <w:spacing w:val="-2"/>
                <w:sz w:val="20"/>
              </w:rPr>
              <w:t>M66.5,</w:t>
            </w:r>
          </w:p>
          <w:p>
            <w:pPr>
              <w:pStyle w:val="TableParagraph"/>
              <w:ind w:left="92" w:right="821"/>
              <w:jc w:val="center"/>
              <w:rPr>
                <w:sz w:val="20"/>
              </w:rPr>
            </w:pPr>
            <w:r>
              <w:rPr>
                <w:sz w:val="20"/>
              </w:rPr>
              <w:t>M67,</w:t>
            </w:r>
            <w:r>
              <w:rPr>
                <w:spacing w:val="-5"/>
                <w:sz w:val="20"/>
              </w:rPr>
              <w:t> </w:t>
            </w:r>
            <w:r>
              <w:rPr>
                <w:sz w:val="20"/>
              </w:rPr>
              <w:t>M67.0,</w:t>
            </w:r>
            <w:r>
              <w:rPr>
                <w:spacing w:val="-4"/>
                <w:sz w:val="20"/>
              </w:rPr>
              <w:t> </w:t>
            </w:r>
            <w:r>
              <w:rPr>
                <w:sz w:val="20"/>
              </w:rPr>
              <w:t>M67.1,</w:t>
            </w:r>
            <w:r>
              <w:rPr>
                <w:spacing w:val="-6"/>
                <w:sz w:val="20"/>
              </w:rPr>
              <w:t> </w:t>
            </w:r>
            <w:r>
              <w:rPr>
                <w:sz w:val="20"/>
              </w:rPr>
              <w:t>M67.2,</w:t>
            </w:r>
            <w:r>
              <w:rPr>
                <w:spacing w:val="-6"/>
                <w:sz w:val="20"/>
              </w:rPr>
              <w:t> </w:t>
            </w:r>
            <w:r>
              <w:rPr>
                <w:sz w:val="20"/>
              </w:rPr>
              <w:t>M67.3,</w:t>
            </w:r>
            <w:r>
              <w:rPr>
                <w:spacing w:val="-4"/>
                <w:sz w:val="20"/>
              </w:rPr>
              <w:t> </w:t>
            </w:r>
            <w:r>
              <w:rPr>
                <w:spacing w:val="-2"/>
                <w:sz w:val="20"/>
              </w:rPr>
              <w:t>M67.4,</w:t>
            </w:r>
          </w:p>
          <w:p>
            <w:pPr>
              <w:pStyle w:val="TableParagraph"/>
              <w:spacing w:before="1"/>
              <w:ind w:left="92" w:right="822"/>
              <w:jc w:val="center"/>
              <w:rPr>
                <w:sz w:val="20"/>
              </w:rPr>
            </w:pPr>
            <w:r>
              <w:rPr>
                <w:sz w:val="20"/>
              </w:rPr>
              <w:t>M67.8,</w:t>
            </w:r>
            <w:r>
              <w:rPr>
                <w:spacing w:val="-5"/>
                <w:sz w:val="20"/>
              </w:rPr>
              <w:t> </w:t>
            </w:r>
            <w:r>
              <w:rPr>
                <w:sz w:val="20"/>
              </w:rPr>
              <w:t>M67.9,</w:t>
            </w:r>
            <w:r>
              <w:rPr>
                <w:spacing w:val="-4"/>
                <w:sz w:val="20"/>
              </w:rPr>
              <w:t> </w:t>
            </w:r>
            <w:r>
              <w:rPr>
                <w:sz w:val="20"/>
              </w:rPr>
              <w:t>M68,</w:t>
            </w:r>
            <w:r>
              <w:rPr>
                <w:spacing w:val="-6"/>
                <w:sz w:val="20"/>
              </w:rPr>
              <w:t> </w:t>
            </w:r>
            <w:r>
              <w:rPr>
                <w:sz w:val="20"/>
              </w:rPr>
              <w:t>M68.0,</w:t>
            </w:r>
            <w:r>
              <w:rPr>
                <w:spacing w:val="-6"/>
                <w:sz w:val="20"/>
              </w:rPr>
              <w:t> </w:t>
            </w:r>
            <w:r>
              <w:rPr>
                <w:sz w:val="20"/>
              </w:rPr>
              <w:t>M68.8,</w:t>
            </w:r>
            <w:r>
              <w:rPr>
                <w:spacing w:val="-4"/>
                <w:sz w:val="20"/>
              </w:rPr>
              <w:t> </w:t>
            </w:r>
            <w:r>
              <w:rPr>
                <w:sz w:val="20"/>
              </w:rPr>
              <w:t>M70,</w:t>
            </w:r>
            <w:r>
              <w:rPr>
                <w:spacing w:val="-4"/>
                <w:sz w:val="20"/>
              </w:rPr>
              <w:t> </w:t>
            </w:r>
            <w:r>
              <w:rPr>
                <w:spacing w:val="-2"/>
                <w:sz w:val="20"/>
              </w:rPr>
              <w:t>M70.0,</w:t>
            </w:r>
          </w:p>
          <w:p>
            <w:pPr>
              <w:pStyle w:val="TableParagraph"/>
              <w:spacing w:line="229" w:lineRule="exact"/>
              <w:ind w:left="92" w:right="823"/>
              <w:jc w:val="center"/>
              <w:rPr>
                <w:sz w:val="20"/>
              </w:rPr>
            </w:pPr>
            <w:r>
              <w:rPr>
                <w:sz w:val="20"/>
              </w:rPr>
              <w:t>M70.1,</w:t>
            </w:r>
            <w:r>
              <w:rPr>
                <w:spacing w:val="-6"/>
                <w:sz w:val="20"/>
              </w:rPr>
              <w:t> </w:t>
            </w:r>
            <w:r>
              <w:rPr>
                <w:sz w:val="20"/>
              </w:rPr>
              <w:t>M70.2,</w:t>
            </w:r>
            <w:r>
              <w:rPr>
                <w:spacing w:val="-6"/>
                <w:sz w:val="20"/>
              </w:rPr>
              <w:t> </w:t>
            </w:r>
            <w:r>
              <w:rPr>
                <w:sz w:val="20"/>
              </w:rPr>
              <w:t>M70.3,</w:t>
            </w:r>
            <w:r>
              <w:rPr>
                <w:spacing w:val="-5"/>
                <w:sz w:val="20"/>
              </w:rPr>
              <w:t> </w:t>
            </w:r>
            <w:r>
              <w:rPr>
                <w:sz w:val="20"/>
              </w:rPr>
              <w:t>M70.4,</w:t>
            </w:r>
            <w:r>
              <w:rPr>
                <w:spacing w:val="-6"/>
                <w:sz w:val="20"/>
              </w:rPr>
              <w:t> </w:t>
            </w:r>
            <w:r>
              <w:rPr>
                <w:sz w:val="20"/>
              </w:rPr>
              <w:t>M70.5,</w:t>
            </w:r>
            <w:r>
              <w:rPr>
                <w:spacing w:val="-5"/>
                <w:sz w:val="20"/>
              </w:rPr>
              <w:t> </w:t>
            </w:r>
            <w:r>
              <w:rPr>
                <w:spacing w:val="-2"/>
                <w:sz w:val="20"/>
              </w:rPr>
              <w:t>M70.6,</w:t>
            </w:r>
          </w:p>
          <w:p>
            <w:pPr>
              <w:pStyle w:val="TableParagraph"/>
              <w:spacing w:line="229" w:lineRule="exact"/>
              <w:ind w:left="92" w:right="821"/>
              <w:jc w:val="center"/>
              <w:rPr>
                <w:sz w:val="20"/>
              </w:rPr>
            </w:pPr>
            <w:r>
              <w:rPr>
                <w:sz w:val="20"/>
              </w:rPr>
              <w:t>M70.7,</w:t>
            </w:r>
            <w:r>
              <w:rPr>
                <w:spacing w:val="-5"/>
                <w:sz w:val="20"/>
              </w:rPr>
              <w:t> </w:t>
            </w:r>
            <w:r>
              <w:rPr>
                <w:sz w:val="20"/>
              </w:rPr>
              <w:t>M70.8,</w:t>
            </w:r>
            <w:r>
              <w:rPr>
                <w:spacing w:val="-5"/>
                <w:sz w:val="20"/>
              </w:rPr>
              <w:t> </w:t>
            </w:r>
            <w:r>
              <w:rPr>
                <w:sz w:val="20"/>
              </w:rPr>
              <w:t>M70.9,</w:t>
            </w:r>
            <w:r>
              <w:rPr>
                <w:spacing w:val="-4"/>
                <w:sz w:val="20"/>
              </w:rPr>
              <w:t> </w:t>
            </w:r>
            <w:r>
              <w:rPr>
                <w:sz w:val="20"/>
              </w:rPr>
              <w:t>M71,</w:t>
            </w:r>
            <w:r>
              <w:rPr>
                <w:spacing w:val="-6"/>
                <w:sz w:val="20"/>
              </w:rPr>
              <w:t> </w:t>
            </w:r>
            <w:r>
              <w:rPr>
                <w:sz w:val="20"/>
              </w:rPr>
              <w:t>M71.0,</w:t>
            </w:r>
            <w:r>
              <w:rPr>
                <w:spacing w:val="-5"/>
                <w:sz w:val="20"/>
              </w:rPr>
              <w:t> </w:t>
            </w:r>
            <w:r>
              <w:rPr>
                <w:spacing w:val="-2"/>
                <w:sz w:val="20"/>
              </w:rPr>
              <w:t>M71.1,</w:t>
            </w:r>
          </w:p>
          <w:p>
            <w:pPr>
              <w:pStyle w:val="TableParagraph"/>
              <w:spacing w:before="1"/>
              <w:ind w:left="263"/>
              <w:rPr>
                <w:sz w:val="20"/>
              </w:rPr>
            </w:pPr>
            <w:r>
              <w:rPr>
                <w:sz w:val="20"/>
              </w:rPr>
              <w:t>M71.2,</w:t>
            </w:r>
            <w:r>
              <w:rPr>
                <w:spacing w:val="-6"/>
                <w:sz w:val="20"/>
              </w:rPr>
              <w:t> </w:t>
            </w:r>
            <w:r>
              <w:rPr>
                <w:sz w:val="20"/>
              </w:rPr>
              <w:t>M71.3,</w:t>
            </w:r>
            <w:r>
              <w:rPr>
                <w:spacing w:val="-6"/>
                <w:sz w:val="20"/>
              </w:rPr>
              <w:t> </w:t>
            </w:r>
            <w:r>
              <w:rPr>
                <w:sz w:val="20"/>
              </w:rPr>
              <w:t>M71.4,</w:t>
            </w:r>
            <w:r>
              <w:rPr>
                <w:spacing w:val="-6"/>
                <w:sz w:val="20"/>
              </w:rPr>
              <w:t> </w:t>
            </w:r>
            <w:r>
              <w:rPr>
                <w:sz w:val="20"/>
              </w:rPr>
              <w:t>M71.5,</w:t>
            </w:r>
            <w:r>
              <w:rPr>
                <w:spacing w:val="-6"/>
                <w:sz w:val="20"/>
              </w:rPr>
              <w:t> </w:t>
            </w:r>
            <w:r>
              <w:rPr>
                <w:sz w:val="20"/>
              </w:rPr>
              <w:t>M71.8,</w:t>
            </w:r>
            <w:r>
              <w:rPr>
                <w:spacing w:val="-5"/>
                <w:sz w:val="20"/>
              </w:rPr>
              <w:t> </w:t>
            </w:r>
            <w:r>
              <w:rPr>
                <w:spacing w:val="-2"/>
                <w:sz w:val="20"/>
              </w:rPr>
              <w:t>M71.9,</w:t>
            </w:r>
          </w:p>
          <w:p>
            <w:pPr>
              <w:pStyle w:val="TableParagraph"/>
              <w:ind w:left="340"/>
              <w:rPr>
                <w:sz w:val="20"/>
              </w:rPr>
            </w:pPr>
            <w:r>
              <w:rPr>
                <w:sz w:val="20"/>
              </w:rPr>
              <w:t>M72,</w:t>
            </w:r>
            <w:r>
              <w:rPr>
                <w:spacing w:val="-5"/>
                <w:sz w:val="20"/>
              </w:rPr>
              <w:t> </w:t>
            </w:r>
            <w:r>
              <w:rPr>
                <w:sz w:val="20"/>
              </w:rPr>
              <w:t>M72.0,</w:t>
            </w:r>
            <w:r>
              <w:rPr>
                <w:spacing w:val="-4"/>
                <w:sz w:val="20"/>
              </w:rPr>
              <w:t> </w:t>
            </w:r>
            <w:r>
              <w:rPr>
                <w:sz w:val="20"/>
              </w:rPr>
              <w:t>M72.1,</w:t>
            </w:r>
            <w:r>
              <w:rPr>
                <w:spacing w:val="-6"/>
                <w:sz w:val="20"/>
              </w:rPr>
              <w:t> </w:t>
            </w:r>
            <w:r>
              <w:rPr>
                <w:sz w:val="20"/>
              </w:rPr>
              <w:t>M72.2,</w:t>
            </w:r>
            <w:r>
              <w:rPr>
                <w:spacing w:val="-6"/>
                <w:sz w:val="20"/>
              </w:rPr>
              <w:t> </w:t>
            </w:r>
            <w:r>
              <w:rPr>
                <w:sz w:val="20"/>
              </w:rPr>
              <w:t>M72.4,</w:t>
            </w:r>
            <w:r>
              <w:rPr>
                <w:spacing w:val="-4"/>
                <w:sz w:val="20"/>
              </w:rPr>
              <w:t> </w:t>
            </w:r>
            <w:r>
              <w:rPr>
                <w:spacing w:val="-2"/>
                <w:sz w:val="20"/>
              </w:rPr>
              <w:t>M72.6,</w:t>
            </w:r>
          </w:p>
          <w:p>
            <w:pPr>
              <w:pStyle w:val="TableParagraph"/>
              <w:spacing w:before="1"/>
              <w:ind w:left="340"/>
              <w:rPr>
                <w:sz w:val="20"/>
              </w:rPr>
            </w:pPr>
            <w:r>
              <w:rPr>
                <w:sz w:val="20"/>
              </w:rPr>
              <w:t>M72.8,</w:t>
            </w:r>
            <w:r>
              <w:rPr>
                <w:spacing w:val="-5"/>
                <w:sz w:val="20"/>
              </w:rPr>
              <w:t> </w:t>
            </w:r>
            <w:r>
              <w:rPr>
                <w:sz w:val="20"/>
              </w:rPr>
              <w:t>M72.9,</w:t>
            </w:r>
            <w:r>
              <w:rPr>
                <w:spacing w:val="-5"/>
                <w:sz w:val="20"/>
              </w:rPr>
              <w:t> </w:t>
            </w:r>
            <w:r>
              <w:rPr>
                <w:sz w:val="20"/>
              </w:rPr>
              <w:t>M73.8,</w:t>
            </w:r>
            <w:r>
              <w:rPr>
                <w:spacing w:val="-4"/>
                <w:sz w:val="20"/>
              </w:rPr>
              <w:t> </w:t>
            </w:r>
            <w:r>
              <w:rPr>
                <w:sz w:val="20"/>
              </w:rPr>
              <w:t>M75,</w:t>
            </w:r>
            <w:r>
              <w:rPr>
                <w:spacing w:val="-6"/>
                <w:sz w:val="20"/>
              </w:rPr>
              <w:t> </w:t>
            </w:r>
            <w:r>
              <w:rPr>
                <w:sz w:val="20"/>
              </w:rPr>
              <w:t>M75.0,</w:t>
            </w:r>
            <w:r>
              <w:rPr>
                <w:spacing w:val="-5"/>
                <w:sz w:val="20"/>
              </w:rPr>
              <w:t> </w:t>
            </w:r>
            <w:r>
              <w:rPr>
                <w:spacing w:val="-2"/>
                <w:sz w:val="20"/>
              </w:rPr>
              <w:t>M75.1,</w:t>
            </w:r>
          </w:p>
          <w:p>
            <w:pPr>
              <w:pStyle w:val="TableParagraph"/>
              <w:spacing w:line="229" w:lineRule="exact"/>
              <w:ind w:left="263"/>
              <w:rPr>
                <w:sz w:val="20"/>
              </w:rPr>
            </w:pPr>
            <w:r>
              <w:rPr>
                <w:sz w:val="20"/>
              </w:rPr>
              <w:t>M75.2,</w:t>
            </w:r>
            <w:r>
              <w:rPr>
                <w:spacing w:val="-6"/>
                <w:sz w:val="20"/>
              </w:rPr>
              <w:t> </w:t>
            </w:r>
            <w:r>
              <w:rPr>
                <w:sz w:val="20"/>
              </w:rPr>
              <w:t>M75.3,</w:t>
            </w:r>
            <w:r>
              <w:rPr>
                <w:spacing w:val="-6"/>
                <w:sz w:val="20"/>
              </w:rPr>
              <w:t> </w:t>
            </w:r>
            <w:r>
              <w:rPr>
                <w:sz w:val="20"/>
              </w:rPr>
              <w:t>M75.4,</w:t>
            </w:r>
            <w:r>
              <w:rPr>
                <w:spacing w:val="-6"/>
                <w:sz w:val="20"/>
              </w:rPr>
              <w:t> </w:t>
            </w:r>
            <w:r>
              <w:rPr>
                <w:sz w:val="20"/>
              </w:rPr>
              <w:t>M75.5,</w:t>
            </w:r>
            <w:r>
              <w:rPr>
                <w:spacing w:val="-6"/>
                <w:sz w:val="20"/>
              </w:rPr>
              <w:t> </w:t>
            </w:r>
            <w:r>
              <w:rPr>
                <w:sz w:val="20"/>
              </w:rPr>
              <w:t>M75.6,</w:t>
            </w:r>
            <w:r>
              <w:rPr>
                <w:spacing w:val="-5"/>
                <w:sz w:val="20"/>
              </w:rPr>
              <w:t> </w:t>
            </w:r>
            <w:r>
              <w:rPr>
                <w:spacing w:val="-2"/>
                <w:sz w:val="20"/>
              </w:rPr>
              <w:t>M75.8,</w:t>
            </w:r>
          </w:p>
          <w:p>
            <w:pPr>
              <w:pStyle w:val="TableParagraph"/>
              <w:spacing w:line="229" w:lineRule="exact"/>
              <w:ind w:left="340"/>
              <w:rPr>
                <w:sz w:val="20"/>
              </w:rPr>
            </w:pPr>
            <w:r>
              <w:rPr>
                <w:sz w:val="20"/>
              </w:rPr>
              <w:t>M75.9,</w:t>
            </w:r>
            <w:r>
              <w:rPr>
                <w:spacing w:val="-4"/>
                <w:sz w:val="20"/>
              </w:rPr>
              <w:t> </w:t>
            </w:r>
            <w:r>
              <w:rPr>
                <w:sz w:val="20"/>
              </w:rPr>
              <w:t>M76,</w:t>
            </w:r>
            <w:r>
              <w:rPr>
                <w:spacing w:val="-4"/>
                <w:sz w:val="20"/>
              </w:rPr>
              <w:t> </w:t>
            </w:r>
            <w:r>
              <w:rPr>
                <w:sz w:val="20"/>
              </w:rPr>
              <w:t>M76.0,</w:t>
            </w:r>
            <w:r>
              <w:rPr>
                <w:spacing w:val="-4"/>
                <w:sz w:val="20"/>
              </w:rPr>
              <w:t> </w:t>
            </w:r>
            <w:r>
              <w:rPr>
                <w:sz w:val="20"/>
              </w:rPr>
              <w:t>M76.1,</w:t>
            </w:r>
            <w:r>
              <w:rPr>
                <w:spacing w:val="-6"/>
                <w:sz w:val="20"/>
              </w:rPr>
              <w:t> </w:t>
            </w:r>
            <w:r>
              <w:rPr>
                <w:sz w:val="20"/>
              </w:rPr>
              <w:t>M76.2,</w:t>
            </w:r>
            <w:r>
              <w:rPr>
                <w:spacing w:val="-4"/>
                <w:sz w:val="20"/>
              </w:rPr>
              <w:t> </w:t>
            </w:r>
            <w:r>
              <w:rPr>
                <w:spacing w:val="-2"/>
                <w:sz w:val="20"/>
              </w:rPr>
              <w:t>M76.3,</w:t>
            </w:r>
          </w:p>
          <w:p>
            <w:pPr>
              <w:pStyle w:val="TableParagraph"/>
              <w:spacing w:before="1"/>
              <w:ind w:left="92" w:right="824"/>
              <w:jc w:val="center"/>
              <w:rPr>
                <w:sz w:val="20"/>
              </w:rPr>
            </w:pPr>
            <w:r>
              <w:rPr>
                <w:sz w:val="20"/>
              </w:rPr>
              <w:t>M76.4,</w:t>
            </w:r>
            <w:r>
              <w:rPr>
                <w:spacing w:val="-6"/>
                <w:sz w:val="20"/>
              </w:rPr>
              <w:t> </w:t>
            </w:r>
            <w:r>
              <w:rPr>
                <w:sz w:val="20"/>
              </w:rPr>
              <w:t>M76.5,</w:t>
            </w:r>
            <w:r>
              <w:rPr>
                <w:spacing w:val="-6"/>
                <w:sz w:val="20"/>
              </w:rPr>
              <w:t> </w:t>
            </w:r>
            <w:r>
              <w:rPr>
                <w:sz w:val="20"/>
              </w:rPr>
              <w:t>M76.6,</w:t>
            </w:r>
            <w:r>
              <w:rPr>
                <w:spacing w:val="-6"/>
                <w:sz w:val="20"/>
              </w:rPr>
              <w:t> </w:t>
            </w:r>
            <w:r>
              <w:rPr>
                <w:sz w:val="20"/>
              </w:rPr>
              <w:t>M76.7,</w:t>
            </w:r>
            <w:r>
              <w:rPr>
                <w:spacing w:val="-6"/>
                <w:sz w:val="20"/>
              </w:rPr>
              <w:t> </w:t>
            </w:r>
            <w:r>
              <w:rPr>
                <w:sz w:val="20"/>
              </w:rPr>
              <w:t>M76.8,</w:t>
            </w:r>
            <w:r>
              <w:rPr>
                <w:spacing w:val="-5"/>
                <w:sz w:val="20"/>
              </w:rPr>
              <w:t> </w:t>
            </w:r>
            <w:r>
              <w:rPr>
                <w:spacing w:val="-2"/>
                <w:sz w:val="20"/>
              </w:rPr>
              <w:t>M76.9,</w:t>
            </w:r>
          </w:p>
          <w:p>
            <w:pPr>
              <w:pStyle w:val="TableParagraph"/>
              <w:ind w:left="92" w:right="821"/>
              <w:jc w:val="center"/>
              <w:rPr>
                <w:sz w:val="20"/>
              </w:rPr>
            </w:pPr>
            <w:r>
              <w:rPr>
                <w:sz w:val="20"/>
              </w:rPr>
              <w:t>M77,</w:t>
            </w:r>
            <w:r>
              <w:rPr>
                <w:spacing w:val="-5"/>
                <w:sz w:val="20"/>
              </w:rPr>
              <w:t> </w:t>
            </w:r>
            <w:r>
              <w:rPr>
                <w:sz w:val="20"/>
              </w:rPr>
              <w:t>M77.0,</w:t>
            </w:r>
            <w:r>
              <w:rPr>
                <w:spacing w:val="-4"/>
                <w:sz w:val="20"/>
              </w:rPr>
              <w:t> </w:t>
            </w:r>
            <w:r>
              <w:rPr>
                <w:sz w:val="20"/>
              </w:rPr>
              <w:t>M77.1,</w:t>
            </w:r>
            <w:r>
              <w:rPr>
                <w:spacing w:val="-6"/>
                <w:sz w:val="20"/>
              </w:rPr>
              <w:t> </w:t>
            </w:r>
            <w:r>
              <w:rPr>
                <w:sz w:val="20"/>
              </w:rPr>
              <w:t>M77.2,</w:t>
            </w:r>
            <w:r>
              <w:rPr>
                <w:spacing w:val="-6"/>
                <w:sz w:val="20"/>
              </w:rPr>
              <w:t> </w:t>
            </w:r>
            <w:r>
              <w:rPr>
                <w:sz w:val="20"/>
              </w:rPr>
              <w:t>M77.3,</w:t>
            </w:r>
            <w:r>
              <w:rPr>
                <w:spacing w:val="-4"/>
                <w:sz w:val="20"/>
              </w:rPr>
              <w:t> </w:t>
            </w:r>
            <w:r>
              <w:rPr>
                <w:spacing w:val="-2"/>
                <w:sz w:val="20"/>
              </w:rPr>
              <w:t>M77.4,</w:t>
            </w:r>
          </w:p>
          <w:p>
            <w:pPr>
              <w:pStyle w:val="TableParagraph"/>
              <w:ind w:left="92" w:right="821"/>
              <w:jc w:val="center"/>
              <w:rPr>
                <w:sz w:val="20"/>
              </w:rPr>
            </w:pPr>
            <w:r>
              <w:rPr>
                <w:sz w:val="20"/>
              </w:rPr>
              <w:t>M77.5,</w:t>
            </w:r>
            <w:r>
              <w:rPr>
                <w:spacing w:val="-5"/>
                <w:sz w:val="20"/>
              </w:rPr>
              <w:t> </w:t>
            </w:r>
            <w:r>
              <w:rPr>
                <w:sz w:val="20"/>
              </w:rPr>
              <w:t>M77.8,</w:t>
            </w:r>
            <w:r>
              <w:rPr>
                <w:spacing w:val="-5"/>
                <w:sz w:val="20"/>
              </w:rPr>
              <w:t> </w:t>
            </w:r>
            <w:r>
              <w:rPr>
                <w:sz w:val="20"/>
              </w:rPr>
              <w:t>M77.9,</w:t>
            </w:r>
            <w:r>
              <w:rPr>
                <w:spacing w:val="-4"/>
                <w:sz w:val="20"/>
              </w:rPr>
              <w:t> </w:t>
            </w:r>
            <w:r>
              <w:rPr>
                <w:sz w:val="20"/>
              </w:rPr>
              <w:t>M79,</w:t>
            </w:r>
            <w:r>
              <w:rPr>
                <w:spacing w:val="-6"/>
                <w:sz w:val="20"/>
              </w:rPr>
              <w:t> </w:t>
            </w:r>
            <w:r>
              <w:rPr>
                <w:sz w:val="20"/>
              </w:rPr>
              <w:t>M79.0,</w:t>
            </w:r>
            <w:r>
              <w:rPr>
                <w:spacing w:val="-5"/>
                <w:sz w:val="20"/>
              </w:rPr>
              <w:t> </w:t>
            </w:r>
            <w:r>
              <w:rPr>
                <w:spacing w:val="-2"/>
                <w:sz w:val="20"/>
              </w:rPr>
              <w:t>M79.1,</w:t>
            </w:r>
          </w:p>
          <w:p>
            <w:pPr>
              <w:pStyle w:val="TableParagraph"/>
              <w:spacing w:before="1"/>
              <w:ind w:left="92" w:right="824"/>
              <w:jc w:val="center"/>
              <w:rPr>
                <w:sz w:val="20"/>
              </w:rPr>
            </w:pPr>
            <w:r>
              <w:rPr>
                <w:sz w:val="20"/>
              </w:rPr>
              <w:t>M79.2,</w:t>
            </w:r>
            <w:r>
              <w:rPr>
                <w:spacing w:val="-6"/>
                <w:sz w:val="20"/>
              </w:rPr>
              <w:t> </w:t>
            </w:r>
            <w:r>
              <w:rPr>
                <w:sz w:val="20"/>
              </w:rPr>
              <w:t>M79.3,</w:t>
            </w:r>
            <w:r>
              <w:rPr>
                <w:spacing w:val="-6"/>
                <w:sz w:val="20"/>
              </w:rPr>
              <w:t> </w:t>
            </w:r>
            <w:r>
              <w:rPr>
                <w:sz w:val="20"/>
              </w:rPr>
              <w:t>M79.4,</w:t>
            </w:r>
            <w:r>
              <w:rPr>
                <w:spacing w:val="-6"/>
                <w:sz w:val="20"/>
              </w:rPr>
              <w:t> </w:t>
            </w:r>
            <w:r>
              <w:rPr>
                <w:sz w:val="20"/>
              </w:rPr>
              <w:t>M79.5,</w:t>
            </w:r>
            <w:r>
              <w:rPr>
                <w:spacing w:val="-6"/>
                <w:sz w:val="20"/>
              </w:rPr>
              <w:t> </w:t>
            </w:r>
            <w:r>
              <w:rPr>
                <w:sz w:val="20"/>
              </w:rPr>
              <w:t>M79.6,</w:t>
            </w:r>
            <w:r>
              <w:rPr>
                <w:spacing w:val="-5"/>
                <w:sz w:val="20"/>
              </w:rPr>
              <w:t> </w:t>
            </w:r>
            <w:r>
              <w:rPr>
                <w:spacing w:val="-2"/>
                <w:sz w:val="20"/>
              </w:rPr>
              <w:t>M79.7,</w:t>
            </w:r>
          </w:p>
          <w:p>
            <w:pPr>
              <w:pStyle w:val="TableParagraph"/>
              <w:spacing w:before="1"/>
              <w:ind w:left="92" w:right="824"/>
              <w:jc w:val="center"/>
              <w:rPr>
                <w:sz w:val="20"/>
              </w:rPr>
            </w:pPr>
            <w:r>
              <w:rPr>
                <w:sz w:val="20"/>
              </w:rPr>
              <w:t>M79.8,</w:t>
            </w:r>
            <w:r>
              <w:rPr>
                <w:spacing w:val="-6"/>
                <w:sz w:val="20"/>
              </w:rPr>
              <w:t> </w:t>
            </w:r>
            <w:r>
              <w:rPr>
                <w:sz w:val="20"/>
              </w:rPr>
              <w:t>M79.9,</w:t>
            </w:r>
            <w:r>
              <w:rPr>
                <w:spacing w:val="-8"/>
                <w:sz w:val="20"/>
              </w:rPr>
              <w:t> </w:t>
            </w:r>
            <w:r>
              <w:rPr>
                <w:sz w:val="20"/>
              </w:rPr>
              <w:t>T95.0,</w:t>
            </w:r>
            <w:r>
              <w:rPr>
                <w:spacing w:val="-8"/>
                <w:sz w:val="20"/>
              </w:rPr>
              <w:t> </w:t>
            </w:r>
            <w:r>
              <w:rPr>
                <w:sz w:val="20"/>
              </w:rPr>
              <w:t>T95.1,</w:t>
            </w:r>
            <w:r>
              <w:rPr>
                <w:spacing w:val="-8"/>
                <w:sz w:val="20"/>
              </w:rPr>
              <w:t> </w:t>
            </w:r>
            <w:r>
              <w:rPr>
                <w:sz w:val="20"/>
              </w:rPr>
              <w:t>T95.2,</w:t>
            </w:r>
            <w:r>
              <w:rPr>
                <w:spacing w:val="-9"/>
                <w:sz w:val="20"/>
              </w:rPr>
              <w:t> </w:t>
            </w:r>
            <w:r>
              <w:rPr>
                <w:sz w:val="20"/>
              </w:rPr>
              <w:t>T95.3,</w:t>
            </w:r>
            <w:r>
              <w:rPr>
                <w:spacing w:val="-8"/>
                <w:sz w:val="20"/>
              </w:rPr>
              <w:t> </w:t>
            </w:r>
            <w:r>
              <w:rPr>
                <w:sz w:val="20"/>
              </w:rPr>
              <w:t>T95.4, T95.8, T95.9</w:t>
            </w:r>
          </w:p>
        </w:tc>
        <w:tc>
          <w:tcPr>
            <w:tcW w:w="2463" w:type="dxa"/>
          </w:tcPr>
          <w:p>
            <w:pPr>
              <w:pStyle w:val="TableParagraph"/>
              <w:rPr>
                <w:sz w:val="18"/>
              </w:rPr>
            </w:pPr>
          </w:p>
        </w:tc>
        <w:tc>
          <w:tcPr>
            <w:tcW w:w="2326" w:type="dxa"/>
          </w:tcPr>
          <w:p>
            <w:pPr>
              <w:pStyle w:val="TableParagraph"/>
              <w:rPr>
                <w:sz w:val="18"/>
              </w:rPr>
            </w:pPr>
          </w:p>
        </w:tc>
        <w:tc>
          <w:tcPr>
            <w:tcW w:w="1261" w:type="dxa"/>
          </w:tcPr>
          <w:p>
            <w:pPr>
              <w:pStyle w:val="TableParagraph"/>
              <w:rPr>
                <w:sz w:val="18"/>
              </w:rPr>
            </w:pPr>
          </w:p>
        </w:tc>
      </w:tr>
      <w:tr>
        <w:trPr>
          <w:trHeight w:val="329" w:hRule="atLeast"/>
        </w:trPr>
        <w:tc>
          <w:tcPr>
            <w:tcW w:w="946" w:type="dxa"/>
          </w:tcPr>
          <w:p>
            <w:pPr>
              <w:pStyle w:val="TableParagraph"/>
              <w:spacing w:before="46"/>
              <w:ind w:left="50"/>
              <w:rPr>
                <w:sz w:val="20"/>
              </w:rPr>
            </w:pPr>
            <w:r>
              <w:rPr>
                <w:spacing w:val="-2"/>
                <w:sz w:val="20"/>
              </w:rPr>
              <w:t>st31.013</w:t>
            </w:r>
          </w:p>
        </w:tc>
        <w:tc>
          <w:tcPr>
            <w:tcW w:w="707" w:type="dxa"/>
          </w:tcPr>
          <w:p>
            <w:pPr>
              <w:pStyle w:val="TableParagraph"/>
              <w:spacing w:before="46"/>
              <w:ind w:left="210"/>
              <w:rPr>
                <w:sz w:val="20"/>
              </w:rPr>
            </w:pPr>
            <w:r>
              <w:rPr>
                <w:spacing w:val="-5"/>
                <w:sz w:val="20"/>
              </w:rPr>
              <w:t>309</w:t>
            </w:r>
          </w:p>
        </w:tc>
        <w:tc>
          <w:tcPr>
            <w:tcW w:w="2596" w:type="dxa"/>
          </w:tcPr>
          <w:p>
            <w:pPr>
              <w:pStyle w:val="TableParagraph"/>
              <w:spacing w:before="46"/>
              <w:ind w:left="192"/>
              <w:rPr>
                <w:sz w:val="20"/>
              </w:rPr>
            </w:pPr>
            <w:r>
              <w:rPr>
                <w:spacing w:val="-2"/>
                <w:sz w:val="20"/>
              </w:rPr>
              <w:t>Остеомиелит</w:t>
            </w:r>
            <w:r>
              <w:rPr>
                <w:spacing w:val="5"/>
                <w:sz w:val="20"/>
              </w:rPr>
              <w:t> </w:t>
            </w:r>
            <w:r>
              <w:rPr>
                <w:spacing w:val="-2"/>
                <w:sz w:val="20"/>
              </w:rPr>
              <w:t>(уровень</w:t>
            </w:r>
            <w:r>
              <w:rPr>
                <w:spacing w:val="7"/>
                <w:sz w:val="20"/>
              </w:rPr>
              <w:t> </w:t>
            </w:r>
            <w:r>
              <w:rPr>
                <w:spacing w:val="-5"/>
                <w:sz w:val="20"/>
              </w:rPr>
              <w:t>1)</w:t>
            </w:r>
          </w:p>
        </w:tc>
        <w:tc>
          <w:tcPr>
            <w:tcW w:w="4976" w:type="dxa"/>
          </w:tcPr>
          <w:p>
            <w:pPr>
              <w:pStyle w:val="TableParagraph"/>
              <w:spacing w:before="46"/>
              <w:ind w:left="1233"/>
              <w:rPr>
                <w:sz w:val="20"/>
              </w:rPr>
            </w:pPr>
            <w:r>
              <w:rPr>
                <w:sz w:val="20"/>
              </w:rPr>
              <w:t>M86.0,</w:t>
            </w:r>
            <w:r>
              <w:rPr>
                <w:spacing w:val="-6"/>
                <w:sz w:val="20"/>
              </w:rPr>
              <w:t> </w:t>
            </w:r>
            <w:r>
              <w:rPr>
                <w:sz w:val="20"/>
              </w:rPr>
              <w:t>M86.1,</w:t>
            </w:r>
            <w:r>
              <w:rPr>
                <w:spacing w:val="-5"/>
                <w:sz w:val="20"/>
              </w:rPr>
              <w:t> </w:t>
            </w:r>
            <w:r>
              <w:rPr>
                <w:spacing w:val="-4"/>
                <w:sz w:val="20"/>
              </w:rPr>
              <w:t>M86.2</w:t>
            </w:r>
          </w:p>
        </w:tc>
        <w:tc>
          <w:tcPr>
            <w:tcW w:w="2463" w:type="dxa"/>
          </w:tcPr>
          <w:p>
            <w:pPr>
              <w:pStyle w:val="TableParagraph"/>
              <w:spacing w:before="46"/>
              <w:ind w:left="995"/>
              <w:rPr>
                <w:sz w:val="20"/>
              </w:rPr>
            </w:pPr>
            <w:r>
              <w:rPr>
                <w:w w:val="99"/>
                <w:sz w:val="20"/>
              </w:rPr>
              <w:t>-</w:t>
            </w:r>
          </w:p>
        </w:tc>
        <w:tc>
          <w:tcPr>
            <w:tcW w:w="2326" w:type="dxa"/>
          </w:tcPr>
          <w:p>
            <w:pPr>
              <w:pStyle w:val="TableParagraph"/>
              <w:spacing w:before="46"/>
              <w:ind w:right="859"/>
              <w:jc w:val="right"/>
              <w:rPr>
                <w:sz w:val="20"/>
              </w:rPr>
            </w:pPr>
            <w:r>
              <w:rPr>
                <w:w w:val="99"/>
                <w:sz w:val="20"/>
              </w:rPr>
              <w:t>-</w:t>
            </w:r>
          </w:p>
        </w:tc>
        <w:tc>
          <w:tcPr>
            <w:tcW w:w="1261" w:type="dxa"/>
          </w:tcPr>
          <w:p>
            <w:pPr>
              <w:pStyle w:val="TableParagraph"/>
              <w:spacing w:before="46"/>
              <w:ind w:right="49"/>
              <w:jc w:val="right"/>
              <w:rPr>
                <w:sz w:val="20"/>
              </w:rPr>
            </w:pPr>
            <w:r>
              <w:rPr>
                <w:spacing w:val="-4"/>
                <w:sz w:val="20"/>
              </w:rPr>
              <w:t>2,42</w:t>
            </w:r>
          </w:p>
        </w:tc>
      </w:tr>
      <w:tr>
        <w:trPr>
          <w:trHeight w:val="505" w:hRule="atLeast"/>
        </w:trPr>
        <w:tc>
          <w:tcPr>
            <w:tcW w:w="946" w:type="dxa"/>
          </w:tcPr>
          <w:p>
            <w:pPr>
              <w:pStyle w:val="TableParagraph"/>
              <w:spacing w:before="45"/>
              <w:ind w:left="50"/>
              <w:rPr>
                <w:sz w:val="20"/>
              </w:rPr>
            </w:pPr>
            <w:r>
              <w:rPr>
                <w:spacing w:val="-2"/>
                <w:sz w:val="20"/>
              </w:rPr>
              <w:t>st31.014</w:t>
            </w:r>
          </w:p>
        </w:tc>
        <w:tc>
          <w:tcPr>
            <w:tcW w:w="707" w:type="dxa"/>
          </w:tcPr>
          <w:p>
            <w:pPr>
              <w:pStyle w:val="TableParagraph"/>
              <w:spacing w:before="45"/>
              <w:ind w:left="210"/>
              <w:rPr>
                <w:sz w:val="20"/>
              </w:rPr>
            </w:pPr>
            <w:r>
              <w:rPr>
                <w:spacing w:val="-5"/>
                <w:sz w:val="20"/>
              </w:rPr>
              <w:t>310</w:t>
            </w:r>
          </w:p>
        </w:tc>
        <w:tc>
          <w:tcPr>
            <w:tcW w:w="2596" w:type="dxa"/>
          </w:tcPr>
          <w:p>
            <w:pPr>
              <w:pStyle w:val="TableParagraph"/>
              <w:spacing w:before="45"/>
              <w:ind w:left="192"/>
              <w:rPr>
                <w:sz w:val="20"/>
              </w:rPr>
            </w:pPr>
            <w:r>
              <w:rPr>
                <w:spacing w:val="-2"/>
                <w:sz w:val="20"/>
              </w:rPr>
              <w:t>Остеомиелит</w:t>
            </w:r>
            <w:r>
              <w:rPr>
                <w:spacing w:val="5"/>
                <w:sz w:val="20"/>
              </w:rPr>
              <w:t> </w:t>
            </w:r>
            <w:r>
              <w:rPr>
                <w:spacing w:val="-2"/>
                <w:sz w:val="20"/>
              </w:rPr>
              <w:t>(уровень</w:t>
            </w:r>
            <w:r>
              <w:rPr>
                <w:spacing w:val="7"/>
                <w:sz w:val="20"/>
              </w:rPr>
              <w:t> </w:t>
            </w:r>
            <w:r>
              <w:rPr>
                <w:spacing w:val="-5"/>
                <w:sz w:val="20"/>
              </w:rPr>
              <w:t>2)</w:t>
            </w:r>
          </w:p>
        </w:tc>
        <w:tc>
          <w:tcPr>
            <w:tcW w:w="4976" w:type="dxa"/>
          </w:tcPr>
          <w:p>
            <w:pPr>
              <w:pStyle w:val="TableParagraph"/>
              <w:spacing w:line="230" w:lineRule="atLeast" w:before="25"/>
              <w:ind w:left="1859" w:right="553" w:hanging="1596"/>
              <w:rPr>
                <w:sz w:val="20"/>
              </w:rPr>
            </w:pPr>
            <w:r>
              <w:rPr>
                <w:sz w:val="20"/>
              </w:rPr>
              <w:t>M46.2,</w:t>
            </w:r>
            <w:r>
              <w:rPr>
                <w:spacing w:val="-9"/>
                <w:sz w:val="20"/>
              </w:rPr>
              <w:t> </w:t>
            </w:r>
            <w:r>
              <w:rPr>
                <w:sz w:val="20"/>
              </w:rPr>
              <w:t>M86.3,</w:t>
            </w:r>
            <w:r>
              <w:rPr>
                <w:spacing w:val="-9"/>
                <w:sz w:val="20"/>
              </w:rPr>
              <w:t> </w:t>
            </w:r>
            <w:r>
              <w:rPr>
                <w:sz w:val="20"/>
              </w:rPr>
              <w:t>M86.4,</w:t>
            </w:r>
            <w:r>
              <w:rPr>
                <w:spacing w:val="-9"/>
                <w:sz w:val="20"/>
              </w:rPr>
              <w:t> </w:t>
            </w:r>
            <w:r>
              <w:rPr>
                <w:sz w:val="20"/>
              </w:rPr>
              <w:t>M86.5,</w:t>
            </w:r>
            <w:r>
              <w:rPr>
                <w:spacing w:val="-9"/>
                <w:sz w:val="20"/>
              </w:rPr>
              <w:t> </w:t>
            </w:r>
            <w:r>
              <w:rPr>
                <w:sz w:val="20"/>
              </w:rPr>
              <w:t>M86.6,</w:t>
            </w:r>
            <w:r>
              <w:rPr>
                <w:spacing w:val="-9"/>
                <w:sz w:val="20"/>
              </w:rPr>
              <w:t> </w:t>
            </w:r>
            <w:r>
              <w:rPr>
                <w:sz w:val="20"/>
              </w:rPr>
              <w:t>M86.8, </w:t>
            </w:r>
            <w:r>
              <w:rPr>
                <w:spacing w:val="-4"/>
                <w:sz w:val="20"/>
              </w:rPr>
              <w:t>M86.9</w:t>
            </w:r>
          </w:p>
        </w:tc>
        <w:tc>
          <w:tcPr>
            <w:tcW w:w="2463" w:type="dxa"/>
          </w:tcPr>
          <w:p>
            <w:pPr>
              <w:pStyle w:val="TableParagraph"/>
              <w:spacing w:before="45"/>
              <w:ind w:left="995"/>
              <w:rPr>
                <w:sz w:val="20"/>
              </w:rPr>
            </w:pPr>
            <w:r>
              <w:rPr>
                <w:w w:val="99"/>
                <w:sz w:val="20"/>
              </w:rPr>
              <w:t>-</w:t>
            </w:r>
          </w:p>
        </w:tc>
        <w:tc>
          <w:tcPr>
            <w:tcW w:w="2326" w:type="dxa"/>
          </w:tcPr>
          <w:p>
            <w:pPr>
              <w:pStyle w:val="TableParagraph"/>
              <w:spacing w:before="45"/>
              <w:ind w:right="859"/>
              <w:jc w:val="right"/>
              <w:rPr>
                <w:sz w:val="20"/>
              </w:rPr>
            </w:pPr>
            <w:r>
              <w:rPr>
                <w:w w:val="99"/>
                <w:sz w:val="20"/>
              </w:rPr>
              <w:t>-</w:t>
            </w:r>
          </w:p>
        </w:tc>
        <w:tc>
          <w:tcPr>
            <w:tcW w:w="1261" w:type="dxa"/>
          </w:tcPr>
          <w:p>
            <w:pPr>
              <w:pStyle w:val="TableParagraph"/>
              <w:spacing w:before="45"/>
              <w:ind w:right="49"/>
              <w:jc w:val="right"/>
              <w:rPr>
                <w:sz w:val="20"/>
              </w:rPr>
            </w:pPr>
            <w:r>
              <w:rPr>
                <w:spacing w:val="-4"/>
                <w:sz w:val="20"/>
              </w:rPr>
              <w:t>3,51</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4"/>
        <w:gridCol w:w="4781"/>
        <w:gridCol w:w="3015"/>
        <w:gridCol w:w="2020"/>
        <w:gridCol w:w="1261"/>
      </w:tblGrid>
      <w:tr>
        <w:trPr>
          <w:trHeight w:val="274" w:hRule="atLeast"/>
        </w:trPr>
        <w:tc>
          <w:tcPr>
            <w:tcW w:w="946" w:type="dxa"/>
          </w:tcPr>
          <w:p>
            <w:pPr>
              <w:pStyle w:val="TableParagraph"/>
              <w:spacing w:line="221" w:lineRule="exact"/>
              <w:ind w:left="50"/>
              <w:rPr>
                <w:sz w:val="20"/>
              </w:rPr>
            </w:pPr>
            <w:r>
              <w:rPr>
                <w:spacing w:val="-2"/>
                <w:sz w:val="20"/>
              </w:rPr>
              <w:t>st31.015</w:t>
            </w:r>
          </w:p>
        </w:tc>
        <w:tc>
          <w:tcPr>
            <w:tcW w:w="707" w:type="dxa"/>
          </w:tcPr>
          <w:p>
            <w:pPr>
              <w:pStyle w:val="TableParagraph"/>
              <w:spacing w:line="221" w:lineRule="exact"/>
              <w:ind w:left="210"/>
              <w:rPr>
                <w:sz w:val="20"/>
              </w:rPr>
            </w:pPr>
            <w:r>
              <w:rPr>
                <w:spacing w:val="-5"/>
                <w:sz w:val="20"/>
              </w:rPr>
              <w:t>311</w:t>
            </w:r>
          </w:p>
        </w:tc>
        <w:tc>
          <w:tcPr>
            <w:tcW w:w="2544" w:type="dxa"/>
          </w:tcPr>
          <w:p>
            <w:pPr>
              <w:pStyle w:val="TableParagraph"/>
              <w:spacing w:line="221" w:lineRule="exact"/>
              <w:ind w:left="192"/>
              <w:rPr>
                <w:sz w:val="20"/>
              </w:rPr>
            </w:pPr>
            <w:r>
              <w:rPr>
                <w:spacing w:val="-2"/>
                <w:sz w:val="20"/>
              </w:rPr>
              <w:t>Остеомиелит</w:t>
            </w:r>
            <w:r>
              <w:rPr>
                <w:spacing w:val="5"/>
                <w:sz w:val="20"/>
              </w:rPr>
              <w:t> </w:t>
            </w:r>
            <w:r>
              <w:rPr>
                <w:spacing w:val="-2"/>
                <w:sz w:val="20"/>
              </w:rPr>
              <w:t>(уровень</w:t>
            </w:r>
            <w:r>
              <w:rPr>
                <w:spacing w:val="7"/>
                <w:sz w:val="20"/>
              </w:rPr>
              <w:t> </w:t>
            </w:r>
            <w:r>
              <w:rPr>
                <w:spacing w:val="-5"/>
                <w:sz w:val="20"/>
              </w:rPr>
              <w:t>3)</w:t>
            </w:r>
          </w:p>
        </w:tc>
        <w:tc>
          <w:tcPr>
            <w:tcW w:w="4781" w:type="dxa"/>
          </w:tcPr>
          <w:p>
            <w:pPr>
              <w:pStyle w:val="TableParagraph"/>
              <w:spacing w:line="221" w:lineRule="exact"/>
              <w:ind w:left="341"/>
              <w:rPr>
                <w:sz w:val="20"/>
              </w:rPr>
            </w:pPr>
            <w:r>
              <w:rPr>
                <w:sz w:val="20"/>
              </w:rPr>
              <w:t>M86.3,</w:t>
            </w:r>
            <w:r>
              <w:rPr>
                <w:spacing w:val="-6"/>
                <w:sz w:val="20"/>
              </w:rPr>
              <w:t> </w:t>
            </w:r>
            <w:r>
              <w:rPr>
                <w:sz w:val="20"/>
              </w:rPr>
              <w:t>M86.4,</w:t>
            </w:r>
            <w:r>
              <w:rPr>
                <w:spacing w:val="-6"/>
                <w:sz w:val="20"/>
              </w:rPr>
              <w:t> </w:t>
            </w:r>
            <w:r>
              <w:rPr>
                <w:sz w:val="20"/>
              </w:rPr>
              <w:t>M86.5,</w:t>
            </w:r>
            <w:r>
              <w:rPr>
                <w:spacing w:val="-6"/>
                <w:sz w:val="20"/>
              </w:rPr>
              <w:t> </w:t>
            </w:r>
            <w:r>
              <w:rPr>
                <w:sz w:val="20"/>
              </w:rPr>
              <w:t>M86.6,</w:t>
            </w:r>
            <w:r>
              <w:rPr>
                <w:spacing w:val="-6"/>
                <w:sz w:val="20"/>
              </w:rPr>
              <w:t> </w:t>
            </w:r>
            <w:r>
              <w:rPr>
                <w:sz w:val="20"/>
              </w:rPr>
              <w:t>M86.8,</w:t>
            </w:r>
            <w:r>
              <w:rPr>
                <w:spacing w:val="-5"/>
                <w:sz w:val="20"/>
              </w:rPr>
              <w:t> </w:t>
            </w:r>
            <w:r>
              <w:rPr>
                <w:spacing w:val="-4"/>
                <w:sz w:val="20"/>
              </w:rPr>
              <w:t>M86.9</w:t>
            </w:r>
          </w:p>
        </w:tc>
        <w:tc>
          <w:tcPr>
            <w:tcW w:w="3015" w:type="dxa"/>
          </w:tcPr>
          <w:p>
            <w:pPr>
              <w:pStyle w:val="TableParagraph"/>
              <w:spacing w:line="221" w:lineRule="exact"/>
              <w:ind w:left="622" w:right="1086"/>
              <w:jc w:val="center"/>
              <w:rPr>
                <w:sz w:val="20"/>
              </w:rPr>
            </w:pPr>
            <w:r>
              <w:rPr>
                <w:spacing w:val="-2"/>
                <w:sz w:val="20"/>
              </w:rPr>
              <w:t>A16.03.033.002</w:t>
            </w:r>
          </w:p>
        </w:tc>
        <w:tc>
          <w:tcPr>
            <w:tcW w:w="2020" w:type="dxa"/>
          </w:tcPr>
          <w:p>
            <w:pPr>
              <w:pStyle w:val="TableParagraph"/>
              <w:spacing w:line="221" w:lineRule="exact"/>
              <w:ind w:right="858"/>
              <w:jc w:val="right"/>
              <w:rPr>
                <w:sz w:val="20"/>
              </w:rPr>
            </w:pPr>
            <w:r>
              <w:rPr>
                <w:w w:val="99"/>
                <w:sz w:val="20"/>
              </w:rPr>
              <w:t>-</w:t>
            </w:r>
          </w:p>
        </w:tc>
        <w:tc>
          <w:tcPr>
            <w:tcW w:w="1261" w:type="dxa"/>
          </w:tcPr>
          <w:p>
            <w:pPr>
              <w:pStyle w:val="TableParagraph"/>
              <w:spacing w:line="221" w:lineRule="exact"/>
              <w:ind w:right="48"/>
              <w:jc w:val="right"/>
              <w:rPr>
                <w:sz w:val="20"/>
              </w:rPr>
            </w:pPr>
            <w:r>
              <w:rPr>
                <w:spacing w:val="-4"/>
                <w:sz w:val="20"/>
              </w:rPr>
              <w:t>4,02</w:t>
            </w:r>
          </w:p>
        </w:tc>
      </w:tr>
      <w:tr>
        <w:trPr>
          <w:trHeight w:val="1020" w:hRule="atLeast"/>
        </w:trPr>
        <w:tc>
          <w:tcPr>
            <w:tcW w:w="946" w:type="dxa"/>
          </w:tcPr>
          <w:p>
            <w:pPr>
              <w:pStyle w:val="TableParagraph"/>
              <w:spacing w:before="45"/>
              <w:ind w:left="50"/>
              <w:rPr>
                <w:sz w:val="20"/>
              </w:rPr>
            </w:pPr>
            <w:r>
              <w:rPr>
                <w:spacing w:val="-2"/>
                <w:sz w:val="20"/>
              </w:rPr>
              <w:t>st31.016</w:t>
            </w:r>
          </w:p>
        </w:tc>
        <w:tc>
          <w:tcPr>
            <w:tcW w:w="707" w:type="dxa"/>
          </w:tcPr>
          <w:p>
            <w:pPr>
              <w:pStyle w:val="TableParagraph"/>
              <w:spacing w:before="45"/>
              <w:ind w:left="210"/>
              <w:rPr>
                <w:sz w:val="20"/>
              </w:rPr>
            </w:pPr>
            <w:r>
              <w:rPr>
                <w:spacing w:val="-5"/>
                <w:sz w:val="20"/>
              </w:rPr>
              <w:t>312</w:t>
            </w:r>
          </w:p>
        </w:tc>
        <w:tc>
          <w:tcPr>
            <w:tcW w:w="2544" w:type="dxa"/>
          </w:tcPr>
          <w:p>
            <w:pPr>
              <w:pStyle w:val="TableParagraph"/>
              <w:spacing w:before="45"/>
              <w:ind w:left="192" w:right="187"/>
              <w:rPr>
                <w:sz w:val="20"/>
              </w:rPr>
            </w:pPr>
            <w:r>
              <w:rPr>
                <w:spacing w:val="-2"/>
                <w:sz w:val="20"/>
              </w:rPr>
              <w:t>Доброкачественные </w:t>
            </w:r>
            <w:r>
              <w:rPr>
                <w:sz w:val="20"/>
              </w:rPr>
              <w:t>новообразования</w:t>
            </w:r>
            <w:r>
              <w:rPr>
                <w:spacing w:val="-13"/>
                <w:sz w:val="20"/>
              </w:rPr>
              <w:t> </w:t>
            </w:r>
            <w:r>
              <w:rPr>
                <w:sz w:val="20"/>
              </w:rPr>
              <w:t>костно- мышечной системы и соединительной ткани</w:t>
            </w:r>
          </w:p>
        </w:tc>
        <w:tc>
          <w:tcPr>
            <w:tcW w:w="4781" w:type="dxa"/>
          </w:tcPr>
          <w:p>
            <w:pPr>
              <w:pStyle w:val="TableParagraph"/>
              <w:spacing w:before="45"/>
              <w:ind w:left="192" w:right="623"/>
              <w:jc w:val="center"/>
              <w:rPr>
                <w:sz w:val="20"/>
              </w:rPr>
            </w:pPr>
            <w:r>
              <w:rPr>
                <w:sz w:val="20"/>
              </w:rPr>
              <w:t>D16.0,</w:t>
            </w:r>
            <w:r>
              <w:rPr>
                <w:spacing w:val="-4"/>
                <w:sz w:val="20"/>
              </w:rPr>
              <w:t> </w:t>
            </w:r>
            <w:r>
              <w:rPr>
                <w:sz w:val="20"/>
              </w:rPr>
              <w:t>D16.1,</w:t>
            </w:r>
            <w:r>
              <w:rPr>
                <w:spacing w:val="-6"/>
                <w:sz w:val="20"/>
              </w:rPr>
              <w:t> </w:t>
            </w:r>
            <w:r>
              <w:rPr>
                <w:sz w:val="20"/>
              </w:rPr>
              <w:t>D16.2,</w:t>
            </w:r>
            <w:r>
              <w:rPr>
                <w:spacing w:val="-4"/>
                <w:sz w:val="20"/>
              </w:rPr>
              <w:t> </w:t>
            </w:r>
            <w:r>
              <w:rPr>
                <w:sz w:val="20"/>
              </w:rPr>
              <w:t>D16.3,</w:t>
            </w:r>
            <w:r>
              <w:rPr>
                <w:spacing w:val="-6"/>
                <w:sz w:val="20"/>
              </w:rPr>
              <w:t> </w:t>
            </w:r>
            <w:r>
              <w:rPr>
                <w:sz w:val="20"/>
              </w:rPr>
              <w:t>D16.4,</w:t>
            </w:r>
            <w:r>
              <w:rPr>
                <w:spacing w:val="-4"/>
                <w:sz w:val="20"/>
              </w:rPr>
              <w:t> </w:t>
            </w:r>
            <w:r>
              <w:rPr>
                <w:spacing w:val="-2"/>
                <w:sz w:val="20"/>
              </w:rPr>
              <w:t>D16.6,</w:t>
            </w:r>
          </w:p>
          <w:p>
            <w:pPr>
              <w:pStyle w:val="TableParagraph"/>
              <w:ind w:left="192" w:right="626"/>
              <w:jc w:val="center"/>
              <w:rPr>
                <w:sz w:val="20"/>
              </w:rPr>
            </w:pPr>
            <w:r>
              <w:rPr>
                <w:sz w:val="20"/>
              </w:rPr>
              <w:t>D16.8,</w:t>
            </w:r>
            <w:r>
              <w:rPr>
                <w:spacing w:val="-4"/>
                <w:sz w:val="20"/>
              </w:rPr>
              <w:t> </w:t>
            </w:r>
            <w:r>
              <w:rPr>
                <w:sz w:val="20"/>
              </w:rPr>
              <w:t>D16.9,</w:t>
            </w:r>
            <w:r>
              <w:rPr>
                <w:spacing w:val="-6"/>
                <w:sz w:val="20"/>
              </w:rPr>
              <w:t> </w:t>
            </w:r>
            <w:r>
              <w:rPr>
                <w:sz w:val="20"/>
              </w:rPr>
              <w:t>D19.7,</w:t>
            </w:r>
            <w:r>
              <w:rPr>
                <w:spacing w:val="-4"/>
                <w:sz w:val="20"/>
              </w:rPr>
              <w:t> </w:t>
            </w:r>
            <w:r>
              <w:rPr>
                <w:sz w:val="20"/>
              </w:rPr>
              <w:t>D19.9,</w:t>
            </w:r>
            <w:r>
              <w:rPr>
                <w:spacing w:val="-6"/>
                <w:sz w:val="20"/>
              </w:rPr>
              <w:t> </w:t>
            </w:r>
            <w:r>
              <w:rPr>
                <w:sz w:val="20"/>
              </w:rPr>
              <w:t>D21,</w:t>
            </w:r>
            <w:r>
              <w:rPr>
                <w:spacing w:val="-4"/>
                <w:sz w:val="20"/>
              </w:rPr>
              <w:t> </w:t>
            </w:r>
            <w:r>
              <w:rPr>
                <w:sz w:val="20"/>
              </w:rPr>
              <w:t>D21.0,</w:t>
            </w:r>
            <w:r>
              <w:rPr>
                <w:spacing w:val="-4"/>
                <w:sz w:val="20"/>
              </w:rPr>
              <w:t> </w:t>
            </w:r>
            <w:r>
              <w:rPr>
                <w:spacing w:val="-2"/>
                <w:sz w:val="20"/>
              </w:rPr>
              <w:t>D21.1,</w:t>
            </w:r>
          </w:p>
          <w:p>
            <w:pPr>
              <w:pStyle w:val="TableParagraph"/>
              <w:ind w:left="192" w:right="623"/>
              <w:jc w:val="center"/>
              <w:rPr>
                <w:sz w:val="20"/>
              </w:rPr>
            </w:pPr>
            <w:r>
              <w:rPr>
                <w:sz w:val="20"/>
              </w:rPr>
              <w:t>D21.2,</w:t>
            </w:r>
            <w:r>
              <w:rPr>
                <w:spacing w:val="-8"/>
                <w:sz w:val="20"/>
              </w:rPr>
              <w:t> </w:t>
            </w:r>
            <w:r>
              <w:rPr>
                <w:sz w:val="20"/>
              </w:rPr>
              <w:t>D21.3,</w:t>
            </w:r>
            <w:r>
              <w:rPr>
                <w:spacing w:val="-9"/>
                <w:sz w:val="20"/>
              </w:rPr>
              <w:t> </w:t>
            </w:r>
            <w:r>
              <w:rPr>
                <w:sz w:val="20"/>
              </w:rPr>
              <w:t>D21.4,</w:t>
            </w:r>
            <w:r>
              <w:rPr>
                <w:spacing w:val="-8"/>
                <w:sz w:val="20"/>
              </w:rPr>
              <w:t> </w:t>
            </w:r>
            <w:r>
              <w:rPr>
                <w:sz w:val="20"/>
              </w:rPr>
              <w:t>D21.5,</w:t>
            </w:r>
            <w:r>
              <w:rPr>
                <w:spacing w:val="-9"/>
                <w:sz w:val="20"/>
              </w:rPr>
              <w:t> </w:t>
            </w:r>
            <w:r>
              <w:rPr>
                <w:sz w:val="20"/>
              </w:rPr>
              <w:t>D21.6,</w:t>
            </w:r>
            <w:r>
              <w:rPr>
                <w:spacing w:val="-8"/>
                <w:sz w:val="20"/>
              </w:rPr>
              <w:t> </w:t>
            </w:r>
            <w:r>
              <w:rPr>
                <w:sz w:val="20"/>
              </w:rPr>
              <w:t>D21.9, D48.0, D48.1</w:t>
            </w:r>
          </w:p>
        </w:tc>
        <w:tc>
          <w:tcPr>
            <w:tcW w:w="3015" w:type="dxa"/>
          </w:tcPr>
          <w:p>
            <w:pPr>
              <w:pStyle w:val="TableParagraph"/>
              <w:spacing w:before="45"/>
              <w:ind w:right="462"/>
              <w:jc w:val="center"/>
              <w:rPr>
                <w:sz w:val="20"/>
              </w:rPr>
            </w:pPr>
            <w:r>
              <w:rPr>
                <w:w w:val="99"/>
                <w:sz w:val="20"/>
              </w:rPr>
              <w:t>-</w:t>
            </w:r>
          </w:p>
        </w:tc>
        <w:tc>
          <w:tcPr>
            <w:tcW w:w="2020" w:type="dxa"/>
          </w:tcPr>
          <w:p>
            <w:pPr>
              <w:pStyle w:val="TableParagraph"/>
              <w:spacing w:before="45"/>
              <w:ind w:right="858"/>
              <w:jc w:val="right"/>
              <w:rPr>
                <w:sz w:val="20"/>
              </w:rPr>
            </w:pPr>
            <w:r>
              <w:rPr>
                <w:w w:val="99"/>
                <w:sz w:val="20"/>
              </w:rPr>
              <w:t>-</w:t>
            </w:r>
          </w:p>
        </w:tc>
        <w:tc>
          <w:tcPr>
            <w:tcW w:w="1261" w:type="dxa"/>
          </w:tcPr>
          <w:p>
            <w:pPr>
              <w:pStyle w:val="TableParagraph"/>
              <w:spacing w:before="45"/>
              <w:ind w:right="48"/>
              <w:jc w:val="right"/>
              <w:rPr>
                <w:sz w:val="20"/>
              </w:rPr>
            </w:pPr>
            <w:r>
              <w:rPr>
                <w:spacing w:val="-4"/>
                <w:sz w:val="20"/>
              </w:rPr>
              <w:t>0,84</w:t>
            </w:r>
          </w:p>
        </w:tc>
      </w:tr>
      <w:tr>
        <w:trPr>
          <w:trHeight w:val="2630" w:hRule="atLeast"/>
        </w:trPr>
        <w:tc>
          <w:tcPr>
            <w:tcW w:w="946" w:type="dxa"/>
          </w:tcPr>
          <w:p>
            <w:pPr>
              <w:pStyle w:val="TableParagraph"/>
              <w:spacing w:before="45"/>
              <w:ind w:left="50"/>
              <w:rPr>
                <w:sz w:val="20"/>
              </w:rPr>
            </w:pPr>
            <w:r>
              <w:rPr>
                <w:spacing w:val="-2"/>
                <w:sz w:val="20"/>
              </w:rPr>
              <w:t>st31.017</w:t>
            </w:r>
          </w:p>
        </w:tc>
        <w:tc>
          <w:tcPr>
            <w:tcW w:w="707" w:type="dxa"/>
          </w:tcPr>
          <w:p>
            <w:pPr>
              <w:pStyle w:val="TableParagraph"/>
              <w:spacing w:before="45"/>
              <w:ind w:left="210"/>
              <w:rPr>
                <w:sz w:val="20"/>
              </w:rPr>
            </w:pPr>
            <w:r>
              <w:rPr>
                <w:spacing w:val="-5"/>
                <w:sz w:val="20"/>
              </w:rPr>
              <w:t>313</w:t>
            </w:r>
          </w:p>
        </w:tc>
        <w:tc>
          <w:tcPr>
            <w:tcW w:w="2544" w:type="dxa"/>
          </w:tcPr>
          <w:p>
            <w:pPr>
              <w:pStyle w:val="TableParagraph"/>
              <w:spacing w:before="45"/>
              <w:ind w:left="192"/>
              <w:rPr>
                <w:sz w:val="20"/>
              </w:rPr>
            </w:pPr>
            <w:r>
              <w:rPr>
                <w:spacing w:val="-2"/>
                <w:sz w:val="20"/>
              </w:rPr>
              <w:t>Доброкачественные новообразования, </w:t>
            </w:r>
            <w:r>
              <w:rPr>
                <w:sz w:val="20"/>
              </w:rPr>
              <w:t>новообразования</w:t>
            </w:r>
            <w:r>
              <w:rPr>
                <w:spacing w:val="-13"/>
                <w:sz w:val="20"/>
              </w:rPr>
              <w:t> </w:t>
            </w:r>
            <w:r>
              <w:rPr>
                <w:sz w:val="20"/>
              </w:rPr>
              <w:t>in</w:t>
            </w:r>
            <w:r>
              <w:rPr>
                <w:spacing w:val="-12"/>
                <w:sz w:val="20"/>
              </w:rPr>
              <w:t> </w:t>
            </w:r>
            <w:r>
              <w:rPr>
                <w:sz w:val="20"/>
              </w:rPr>
              <w:t>situ кожи,</w:t>
            </w:r>
            <w:r>
              <w:rPr>
                <w:spacing w:val="-6"/>
                <w:sz w:val="20"/>
              </w:rPr>
              <w:t> </w:t>
            </w:r>
            <w:r>
              <w:rPr>
                <w:sz w:val="20"/>
              </w:rPr>
              <w:t>жировой</w:t>
            </w:r>
            <w:r>
              <w:rPr>
                <w:spacing w:val="-8"/>
                <w:sz w:val="20"/>
              </w:rPr>
              <w:t> </w:t>
            </w:r>
            <w:r>
              <w:rPr>
                <w:sz w:val="20"/>
              </w:rPr>
              <w:t>ткани</w:t>
            </w:r>
            <w:r>
              <w:rPr>
                <w:spacing w:val="-7"/>
                <w:sz w:val="20"/>
              </w:rPr>
              <w:t> </w:t>
            </w:r>
            <w:r>
              <w:rPr>
                <w:sz w:val="20"/>
              </w:rPr>
              <w:t>и другие болезни кожи</w:t>
            </w:r>
          </w:p>
        </w:tc>
        <w:tc>
          <w:tcPr>
            <w:tcW w:w="4781" w:type="dxa"/>
          </w:tcPr>
          <w:p>
            <w:pPr>
              <w:pStyle w:val="TableParagraph"/>
              <w:spacing w:before="45"/>
              <w:ind w:left="192" w:right="624"/>
              <w:jc w:val="center"/>
              <w:rPr>
                <w:sz w:val="20"/>
              </w:rPr>
            </w:pPr>
            <w:r>
              <w:rPr>
                <w:sz w:val="20"/>
              </w:rPr>
              <w:t>D03,</w:t>
            </w:r>
            <w:r>
              <w:rPr>
                <w:spacing w:val="-6"/>
                <w:sz w:val="20"/>
              </w:rPr>
              <w:t> </w:t>
            </w:r>
            <w:r>
              <w:rPr>
                <w:sz w:val="20"/>
              </w:rPr>
              <w:t>D03.0,</w:t>
            </w:r>
            <w:r>
              <w:rPr>
                <w:spacing w:val="-6"/>
                <w:sz w:val="20"/>
              </w:rPr>
              <w:t> </w:t>
            </w:r>
            <w:r>
              <w:rPr>
                <w:sz w:val="20"/>
              </w:rPr>
              <w:t>D03.1,</w:t>
            </w:r>
            <w:r>
              <w:rPr>
                <w:spacing w:val="-5"/>
                <w:sz w:val="20"/>
              </w:rPr>
              <w:t> </w:t>
            </w:r>
            <w:r>
              <w:rPr>
                <w:sz w:val="20"/>
              </w:rPr>
              <w:t>D03.2,</w:t>
            </w:r>
            <w:r>
              <w:rPr>
                <w:spacing w:val="-6"/>
                <w:sz w:val="20"/>
              </w:rPr>
              <w:t> </w:t>
            </w:r>
            <w:r>
              <w:rPr>
                <w:sz w:val="20"/>
              </w:rPr>
              <w:t>D03.3,</w:t>
            </w:r>
            <w:r>
              <w:rPr>
                <w:spacing w:val="-5"/>
                <w:sz w:val="20"/>
              </w:rPr>
              <w:t> </w:t>
            </w:r>
            <w:r>
              <w:rPr>
                <w:sz w:val="20"/>
              </w:rPr>
              <w:t>D03.4,</w:t>
            </w:r>
            <w:r>
              <w:rPr>
                <w:spacing w:val="-6"/>
                <w:sz w:val="20"/>
              </w:rPr>
              <w:t> </w:t>
            </w:r>
            <w:r>
              <w:rPr>
                <w:spacing w:val="-2"/>
                <w:sz w:val="20"/>
              </w:rPr>
              <w:t>D03.5,</w:t>
            </w:r>
          </w:p>
          <w:p>
            <w:pPr>
              <w:pStyle w:val="TableParagraph"/>
              <w:spacing w:before="1"/>
              <w:ind w:left="192" w:right="626"/>
              <w:jc w:val="center"/>
              <w:rPr>
                <w:sz w:val="20"/>
              </w:rPr>
            </w:pPr>
            <w:r>
              <w:rPr>
                <w:sz w:val="20"/>
              </w:rPr>
              <w:t>D03.6,</w:t>
            </w:r>
            <w:r>
              <w:rPr>
                <w:spacing w:val="-4"/>
                <w:sz w:val="20"/>
              </w:rPr>
              <w:t> </w:t>
            </w:r>
            <w:r>
              <w:rPr>
                <w:sz w:val="20"/>
              </w:rPr>
              <w:t>D03.7,</w:t>
            </w:r>
            <w:r>
              <w:rPr>
                <w:spacing w:val="-6"/>
                <w:sz w:val="20"/>
              </w:rPr>
              <w:t> </w:t>
            </w:r>
            <w:r>
              <w:rPr>
                <w:sz w:val="20"/>
              </w:rPr>
              <w:t>D03.8,</w:t>
            </w:r>
            <w:r>
              <w:rPr>
                <w:spacing w:val="-4"/>
                <w:sz w:val="20"/>
              </w:rPr>
              <w:t> </w:t>
            </w:r>
            <w:r>
              <w:rPr>
                <w:sz w:val="20"/>
              </w:rPr>
              <w:t>D03.9,</w:t>
            </w:r>
            <w:r>
              <w:rPr>
                <w:spacing w:val="-6"/>
                <w:sz w:val="20"/>
              </w:rPr>
              <w:t> </w:t>
            </w:r>
            <w:r>
              <w:rPr>
                <w:sz w:val="20"/>
              </w:rPr>
              <w:t>D04,</w:t>
            </w:r>
            <w:r>
              <w:rPr>
                <w:spacing w:val="-4"/>
                <w:sz w:val="20"/>
              </w:rPr>
              <w:t> </w:t>
            </w:r>
            <w:r>
              <w:rPr>
                <w:sz w:val="20"/>
              </w:rPr>
              <w:t>D04.0,</w:t>
            </w:r>
            <w:r>
              <w:rPr>
                <w:spacing w:val="-4"/>
                <w:sz w:val="20"/>
              </w:rPr>
              <w:t> </w:t>
            </w:r>
            <w:r>
              <w:rPr>
                <w:spacing w:val="-2"/>
                <w:sz w:val="20"/>
              </w:rPr>
              <w:t>D04.1,</w:t>
            </w:r>
          </w:p>
          <w:p>
            <w:pPr>
              <w:pStyle w:val="TableParagraph"/>
              <w:ind w:left="192" w:right="623"/>
              <w:jc w:val="center"/>
              <w:rPr>
                <w:sz w:val="20"/>
              </w:rPr>
            </w:pPr>
            <w:r>
              <w:rPr>
                <w:sz w:val="20"/>
              </w:rPr>
              <w:t>D04.2,</w:t>
            </w:r>
            <w:r>
              <w:rPr>
                <w:spacing w:val="-4"/>
                <w:sz w:val="20"/>
              </w:rPr>
              <w:t> </w:t>
            </w:r>
            <w:r>
              <w:rPr>
                <w:sz w:val="20"/>
              </w:rPr>
              <w:t>D04.3,</w:t>
            </w:r>
            <w:r>
              <w:rPr>
                <w:spacing w:val="-6"/>
                <w:sz w:val="20"/>
              </w:rPr>
              <w:t> </w:t>
            </w:r>
            <w:r>
              <w:rPr>
                <w:sz w:val="20"/>
              </w:rPr>
              <w:t>D04.4,</w:t>
            </w:r>
            <w:r>
              <w:rPr>
                <w:spacing w:val="-4"/>
                <w:sz w:val="20"/>
              </w:rPr>
              <w:t> </w:t>
            </w:r>
            <w:r>
              <w:rPr>
                <w:sz w:val="20"/>
              </w:rPr>
              <w:t>D04.5,</w:t>
            </w:r>
            <w:r>
              <w:rPr>
                <w:spacing w:val="-6"/>
                <w:sz w:val="20"/>
              </w:rPr>
              <w:t> </w:t>
            </w:r>
            <w:r>
              <w:rPr>
                <w:sz w:val="20"/>
              </w:rPr>
              <w:t>D04.6,</w:t>
            </w:r>
            <w:r>
              <w:rPr>
                <w:spacing w:val="-4"/>
                <w:sz w:val="20"/>
              </w:rPr>
              <w:t> </w:t>
            </w:r>
            <w:r>
              <w:rPr>
                <w:spacing w:val="-2"/>
                <w:sz w:val="20"/>
              </w:rPr>
              <w:t>D04.7,</w:t>
            </w:r>
          </w:p>
          <w:p>
            <w:pPr>
              <w:pStyle w:val="TableParagraph"/>
              <w:ind w:left="192" w:right="623"/>
              <w:jc w:val="center"/>
              <w:rPr>
                <w:sz w:val="20"/>
              </w:rPr>
            </w:pPr>
            <w:r>
              <w:rPr>
                <w:sz w:val="20"/>
              </w:rPr>
              <w:t>D04.8,</w:t>
            </w:r>
            <w:r>
              <w:rPr>
                <w:spacing w:val="-5"/>
                <w:sz w:val="20"/>
              </w:rPr>
              <w:t> </w:t>
            </w:r>
            <w:r>
              <w:rPr>
                <w:sz w:val="20"/>
              </w:rPr>
              <w:t>D04.9,</w:t>
            </w:r>
            <w:r>
              <w:rPr>
                <w:spacing w:val="-7"/>
                <w:sz w:val="20"/>
              </w:rPr>
              <w:t> </w:t>
            </w:r>
            <w:r>
              <w:rPr>
                <w:sz w:val="20"/>
              </w:rPr>
              <w:t>D17,</w:t>
            </w:r>
            <w:r>
              <w:rPr>
                <w:spacing w:val="-5"/>
                <w:sz w:val="20"/>
              </w:rPr>
              <w:t> </w:t>
            </w:r>
            <w:r>
              <w:rPr>
                <w:sz w:val="20"/>
              </w:rPr>
              <w:t>D17.0,</w:t>
            </w:r>
            <w:r>
              <w:rPr>
                <w:spacing w:val="-5"/>
                <w:sz w:val="20"/>
              </w:rPr>
              <w:t> </w:t>
            </w:r>
            <w:r>
              <w:rPr>
                <w:sz w:val="20"/>
              </w:rPr>
              <w:t>D17.1,</w:t>
            </w:r>
            <w:r>
              <w:rPr>
                <w:spacing w:val="-5"/>
                <w:sz w:val="20"/>
              </w:rPr>
              <w:t> </w:t>
            </w:r>
            <w:r>
              <w:rPr>
                <w:sz w:val="20"/>
              </w:rPr>
              <w:t>D17.2,</w:t>
            </w:r>
            <w:r>
              <w:rPr>
                <w:spacing w:val="-6"/>
                <w:sz w:val="20"/>
              </w:rPr>
              <w:t> </w:t>
            </w:r>
            <w:r>
              <w:rPr>
                <w:spacing w:val="-2"/>
                <w:sz w:val="20"/>
              </w:rPr>
              <w:t>D17.3,</w:t>
            </w:r>
          </w:p>
          <w:p>
            <w:pPr>
              <w:pStyle w:val="TableParagraph"/>
              <w:spacing w:line="229" w:lineRule="exact" w:before="1"/>
              <w:ind w:left="192" w:right="626"/>
              <w:jc w:val="center"/>
              <w:rPr>
                <w:sz w:val="20"/>
              </w:rPr>
            </w:pPr>
            <w:r>
              <w:rPr>
                <w:sz w:val="20"/>
              </w:rPr>
              <w:t>D17.4,</w:t>
            </w:r>
            <w:r>
              <w:rPr>
                <w:spacing w:val="-4"/>
                <w:sz w:val="20"/>
              </w:rPr>
              <w:t> </w:t>
            </w:r>
            <w:r>
              <w:rPr>
                <w:sz w:val="20"/>
              </w:rPr>
              <w:t>D17.5,</w:t>
            </w:r>
            <w:r>
              <w:rPr>
                <w:spacing w:val="-6"/>
                <w:sz w:val="20"/>
              </w:rPr>
              <w:t> </w:t>
            </w:r>
            <w:r>
              <w:rPr>
                <w:sz w:val="20"/>
              </w:rPr>
              <w:t>D17.6,</w:t>
            </w:r>
            <w:r>
              <w:rPr>
                <w:spacing w:val="-4"/>
                <w:sz w:val="20"/>
              </w:rPr>
              <w:t> </w:t>
            </w:r>
            <w:r>
              <w:rPr>
                <w:sz w:val="20"/>
              </w:rPr>
              <w:t>D17.7,</w:t>
            </w:r>
            <w:r>
              <w:rPr>
                <w:spacing w:val="-6"/>
                <w:sz w:val="20"/>
              </w:rPr>
              <w:t> </w:t>
            </w:r>
            <w:r>
              <w:rPr>
                <w:sz w:val="20"/>
              </w:rPr>
              <w:t>D17.9,</w:t>
            </w:r>
            <w:r>
              <w:rPr>
                <w:spacing w:val="-4"/>
                <w:sz w:val="20"/>
              </w:rPr>
              <w:t> </w:t>
            </w:r>
            <w:r>
              <w:rPr>
                <w:sz w:val="20"/>
              </w:rPr>
              <w:t>D18,</w:t>
            </w:r>
            <w:r>
              <w:rPr>
                <w:spacing w:val="-4"/>
                <w:sz w:val="20"/>
              </w:rPr>
              <w:t> </w:t>
            </w:r>
            <w:r>
              <w:rPr>
                <w:spacing w:val="-2"/>
                <w:sz w:val="20"/>
              </w:rPr>
              <w:t>D18.0,</w:t>
            </w:r>
          </w:p>
          <w:p>
            <w:pPr>
              <w:pStyle w:val="TableParagraph"/>
              <w:spacing w:line="229" w:lineRule="exact"/>
              <w:ind w:left="192" w:right="624"/>
              <w:jc w:val="center"/>
              <w:rPr>
                <w:sz w:val="20"/>
              </w:rPr>
            </w:pPr>
            <w:r>
              <w:rPr>
                <w:sz w:val="20"/>
              </w:rPr>
              <w:t>D18.1,</w:t>
            </w:r>
            <w:r>
              <w:rPr>
                <w:spacing w:val="-6"/>
                <w:sz w:val="20"/>
              </w:rPr>
              <w:t> </w:t>
            </w:r>
            <w:r>
              <w:rPr>
                <w:sz w:val="20"/>
              </w:rPr>
              <w:t>D22,</w:t>
            </w:r>
            <w:r>
              <w:rPr>
                <w:spacing w:val="-6"/>
                <w:sz w:val="20"/>
              </w:rPr>
              <w:t> </w:t>
            </w:r>
            <w:r>
              <w:rPr>
                <w:sz w:val="20"/>
              </w:rPr>
              <w:t>D22.0,</w:t>
            </w:r>
            <w:r>
              <w:rPr>
                <w:spacing w:val="-5"/>
                <w:sz w:val="20"/>
              </w:rPr>
              <w:t> </w:t>
            </w:r>
            <w:r>
              <w:rPr>
                <w:sz w:val="20"/>
              </w:rPr>
              <w:t>D22.1,</w:t>
            </w:r>
            <w:r>
              <w:rPr>
                <w:spacing w:val="-6"/>
                <w:sz w:val="20"/>
              </w:rPr>
              <w:t> </w:t>
            </w:r>
            <w:r>
              <w:rPr>
                <w:sz w:val="20"/>
              </w:rPr>
              <w:t>D22.2,</w:t>
            </w:r>
            <w:r>
              <w:rPr>
                <w:spacing w:val="-5"/>
                <w:sz w:val="20"/>
              </w:rPr>
              <w:t> </w:t>
            </w:r>
            <w:r>
              <w:rPr>
                <w:sz w:val="20"/>
              </w:rPr>
              <w:t>D22.3,</w:t>
            </w:r>
            <w:r>
              <w:rPr>
                <w:spacing w:val="-6"/>
                <w:sz w:val="20"/>
              </w:rPr>
              <w:t> </w:t>
            </w:r>
            <w:r>
              <w:rPr>
                <w:spacing w:val="-2"/>
                <w:sz w:val="20"/>
              </w:rPr>
              <w:t>D22.4,</w:t>
            </w:r>
          </w:p>
          <w:p>
            <w:pPr>
              <w:pStyle w:val="TableParagraph"/>
              <w:ind w:left="192" w:right="626"/>
              <w:jc w:val="center"/>
              <w:rPr>
                <w:sz w:val="20"/>
              </w:rPr>
            </w:pPr>
            <w:r>
              <w:rPr>
                <w:sz w:val="20"/>
              </w:rPr>
              <w:t>D22.5,</w:t>
            </w:r>
            <w:r>
              <w:rPr>
                <w:spacing w:val="-4"/>
                <w:sz w:val="20"/>
              </w:rPr>
              <w:t> </w:t>
            </w:r>
            <w:r>
              <w:rPr>
                <w:sz w:val="20"/>
              </w:rPr>
              <w:t>D22.6,</w:t>
            </w:r>
            <w:r>
              <w:rPr>
                <w:spacing w:val="-6"/>
                <w:sz w:val="20"/>
              </w:rPr>
              <w:t> </w:t>
            </w:r>
            <w:r>
              <w:rPr>
                <w:sz w:val="20"/>
              </w:rPr>
              <w:t>D22.7,</w:t>
            </w:r>
            <w:r>
              <w:rPr>
                <w:spacing w:val="-4"/>
                <w:sz w:val="20"/>
              </w:rPr>
              <w:t> </w:t>
            </w:r>
            <w:r>
              <w:rPr>
                <w:sz w:val="20"/>
              </w:rPr>
              <w:t>D22.9,</w:t>
            </w:r>
            <w:r>
              <w:rPr>
                <w:spacing w:val="-6"/>
                <w:sz w:val="20"/>
              </w:rPr>
              <w:t> </w:t>
            </w:r>
            <w:r>
              <w:rPr>
                <w:sz w:val="20"/>
              </w:rPr>
              <w:t>D23,</w:t>
            </w:r>
            <w:r>
              <w:rPr>
                <w:spacing w:val="-4"/>
                <w:sz w:val="20"/>
              </w:rPr>
              <w:t> </w:t>
            </w:r>
            <w:r>
              <w:rPr>
                <w:sz w:val="20"/>
              </w:rPr>
              <w:t>D23.0,</w:t>
            </w:r>
            <w:r>
              <w:rPr>
                <w:spacing w:val="-4"/>
                <w:sz w:val="20"/>
              </w:rPr>
              <w:t> </w:t>
            </w:r>
            <w:r>
              <w:rPr>
                <w:spacing w:val="-2"/>
                <w:sz w:val="20"/>
              </w:rPr>
              <w:t>D23.1,</w:t>
            </w:r>
          </w:p>
          <w:p>
            <w:pPr>
              <w:pStyle w:val="TableParagraph"/>
              <w:spacing w:before="1"/>
              <w:ind w:left="192" w:right="623"/>
              <w:jc w:val="center"/>
              <w:rPr>
                <w:sz w:val="20"/>
              </w:rPr>
            </w:pPr>
            <w:r>
              <w:rPr>
                <w:sz w:val="20"/>
              </w:rPr>
              <w:t>D23.2,</w:t>
            </w:r>
            <w:r>
              <w:rPr>
                <w:spacing w:val="-4"/>
                <w:sz w:val="20"/>
              </w:rPr>
              <w:t> </w:t>
            </w:r>
            <w:r>
              <w:rPr>
                <w:sz w:val="20"/>
              </w:rPr>
              <w:t>D23.3,</w:t>
            </w:r>
            <w:r>
              <w:rPr>
                <w:spacing w:val="-6"/>
                <w:sz w:val="20"/>
              </w:rPr>
              <w:t> </w:t>
            </w:r>
            <w:r>
              <w:rPr>
                <w:sz w:val="20"/>
              </w:rPr>
              <w:t>D23.4,</w:t>
            </w:r>
            <w:r>
              <w:rPr>
                <w:spacing w:val="-4"/>
                <w:sz w:val="20"/>
              </w:rPr>
              <w:t> </w:t>
            </w:r>
            <w:r>
              <w:rPr>
                <w:sz w:val="20"/>
              </w:rPr>
              <w:t>D23.5,</w:t>
            </w:r>
            <w:r>
              <w:rPr>
                <w:spacing w:val="-6"/>
                <w:sz w:val="20"/>
              </w:rPr>
              <w:t> </w:t>
            </w:r>
            <w:r>
              <w:rPr>
                <w:sz w:val="20"/>
              </w:rPr>
              <w:t>D23.6,</w:t>
            </w:r>
            <w:r>
              <w:rPr>
                <w:spacing w:val="-4"/>
                <w:sz w:val="20"/>
              </w:rPr>
              <w:t> </w:t>
            </w:r>
            <w:r>
              <w:rPr>
                <w:spacing w:val="-2"/>
                <w:sz w:val="20"/>
              </w:rPr>
              <w:t>D23.7,</w:t>
            </w:r>
          </w:p>
          <w:p>
            <w:pPr>
              <w:pStyle w:val="TableParagraph"/>
              <w:ind w:left="192" w:right="621"/>
              <w:jc w:val="center"/>
              <w:rPr>
                <w:sz w:val="20"/>
              </w:rPr>
            </w:pPr>
            <w:r>
              <w:rPr>
                <w:sz w:val="20"/>
              </w:rPr>
              <w:t>D23.9,</w:t>
            </w:r>
            <w:r>
              <w:rPr>
                <w:spacing w:val="-6"/>
                <w:sz w:val="20"/>
              </w:rPr>
              <w:t> </w:t>
            </w:r>
            <w:r>
              <w:rPr>
                <w:sz w:val="20"/>
              </w:rPr>
              <w:t>D24,</w:t>
            </w:r>
            <w:r>
              <w:rPr>
                <w:spacing w:val="-5"/>
                <w:sz w:val="20"/>
              </w:rPr>
              <w:t> </w:t>
            </w:r>
            <w:r>
              <w:rPr>
                <w:sz w:val="20"/>
              </w:rPr>
              <w:t>D48.5,</w:t>
            </w:r>
            <w:r>
              <w:rPr>
                <w:spacing w:val="-6"/>
                <w:sz w:val="20"/>
              </w:rPr>
              <w:t> </w:t>
            </w:r>
            <w:r>
              <w:rPr>
                <w:sz w:val="20"/>
              </w:rPr>
              <w:t>D48.6,</w:t>
            </w:r>
            <w:r>
              <w:rPr>
                <w:spacing w:val="-5"/>
                <w:sz w:val="20"/>
              </w:rPr>
              <w:t> </w:t>
            </w:r>
            <w:r>
              <w:rPr>
                <w:sz w:val="20"/>
              </w:rPr>
              <w:t>D48.7,</w:t>
            </w:r>
            <w:r>
              <w:rPr>
                <w:spacing w:val="-1"/>
                <w:sz w:val="20"/>
              </w:rPr>
              <w:t> </w:t>
            </w:r>
            <w:r>
              <w:rPr>
                <w:sz w:val="20"/>
              </w:rPr>
              <w:t>D48.9,</w:t>
            </w:r>
            <w:r>
              <w:rPr>
                <w:spacing w:val="-6"/>
                <w:sz w:val="20"/>
              </w:rPr>
              <w:t> </w:t>
            </w:r>
            <w:r>
              <w:rPr>
                <w:spacing w:val="-2"/>
                <w:sz w:val="20"/>
              </w:rPr>
              <w:t>L02.0,</w:t>
            </w:r>
          </w:p>
          <w:p>
            <w:pPr>
              <w:pStyle w:val="TableParagraph"/>
              <w:spacing w:before="1"/>
              <w:ind w:left="192" w:right="624"/>
              <w:jc w:val="center"/>
              <w:rPr>
                <w:sz w:val="20"/>
              </w:rPr>
            </w:pPr>
            <w:r>
              <w:rPr>
                <w:sz w:val="20"/>
              </w:rPr>
              <w:t>L02.4,</w:t>
            </w:r>
            <w:r>
              <w:rPr>
                <w:spacing w:val="-7"/>
                <w:sz w:val="20"/>
              </w:rPr>
              <w:t> </w:t>
            </w:r>
            <w:r>
              <w:rPr>
                <w:sz w:val="20"/>
              </w:rPr>
              <w:t>L02.8,</w:t>
            </w:r>
            <w:r>
              <w:rPr>
                <w:spacing w:val="-7"/>
                <w:sz w:val="20"/>
              </w:rPr>
              <w:t> </w:t>
            </w:r>
            <w:r>
              <w:rPr>
                <w:sz w:val="20"/>
              </w:rPr>
              <w:t>L03.0,</w:t>
            </w:r>
            <w:r>
              <w:rPr>
                <w:spacing w:val="-7"/>
                <w:sz w:val="20"/>
              </w:rPr>
              <w:t> </w:t>
            </w:r>
            <w:r>
              <w:rPr>
                <w:sz w:val="20"/>
              </w:rPr>
              <w:t>L72.0,</w:t>
            </w:r>
            <w:r>
              <w:rPr>
                <w:spacing w:val="-7"/>
                <w:sz w:val="20"/>
              </w:rPr>
              <w:t> </w:t>
            </w:r>
            <w:r>
              <w:rPr>
                <w:sz w:val="20"/>
              </w:rPr>
              <w:t>L72.1,</w:t>
            </w:r>
            <w:r>
              <w:rPr>
                <w:spacing w:val="-7"/>
                <w:sz w:val="20"/>
              </w:rPr>
              <w:t> </w:t>
            </w:r>
            <w:r>
              <w:rPr>
                <w:sz w:val="20"/>
              </w:rPr>
              <w:t>L72.2,</w:t>
            </w:r>
            <w:r>
              <w:rPr>
                <w:spacing w:val="-7"/>
                <w:sz w:val="20"/>
              </w:rPr>
              <w:t> </w:t>
            </w:r>
            <w:r>
              <w:rPr>
                <w:sz w:val="20"/>
              </w:rPr>
              <w:t>L72.8, </w:t>
            </w:r>
            <w:r>
              <w:rPr>
                <w:spacing w:val="-2"/>
                <w:sz w:val="20"/>
              </w:rPr>
              <w:t>L72.9</w:t>
            </w:r>
          </w:p>
        </w:tc>
        <w:tc>
          <w:tcPr>
            <w:tcW w:w="3015" w:type="dxa"/>
          </w:tcPr>
          <w:p>
            <w:pPr>
              <w:pStyle w:val="TableParagraph"/>
              <w:spacing w:before="45"/>
              <w:ind w:right="462"/>
              <w:jc w:val="center"/>
              <w:rPr>
                <w:sz w:val="20"/>
              </w:rPr>
            </w:pPr>
            <w:r>
              <w:rPr>
                <w:w w:val="99"/>
                <w:sz w:val="20"/>
              </w:rPr>
              <w:t>-</w:t>
            </w:r>
          </w:p>
        </w:tc>
        <w:tc>
          <w:tcPr>
            <w:tcW w:w="2020" w:type="dxa"/>
          </w:tcPr>
          <w:p>
            <w:pPr>
              <w:pStyle w:val="TableParagraph"/>
              <w:spacing w:before="45"/>
              <w:ind w:right="858"/>
              <w:jc w:val="right"/>
              <w:rPr>
                <w:sz w:val="20"/>
              </w:rPr>
            </w:pPr>
            <w:r>
              <w:rPr>
                <w:w w:val="99"/>
                <w:sz w:val="20"/>
              </w:rPr>
              <w:t>-</w:t>
            </w:r>
          </w:p>
        </w:tc>
        <w:tc>
          <w:tcPr>
            <w:tcW w:w="1261" w:type="dxa"/>
          </w:tcPr>
          <w:p>
            <w:pPr>
              <w:pStyle w:val="TableParagraph"/>
              <w:spacing w:before="45"/>
              <w:ind w:right="48"/>
              <w:jc w:val="right"/>
              <w:rPr>
                <w:sz w:val="20"/>
              </w:rPr>
            </w:pPr>
            <w:r>
              <w:rPr>
                <w:spacing w:val="-4"/>
                <w:sz w:val="20"/>
              </w:rPr>
              <w:t>0,50</w:t>
            </w:r>
          </w:p>
        </w:tc>
      </w:tr>
      <w:tr>
        <w:trPr>
          <w:trHeight w:val="4646" w:hRule="atLeast"/>
        </w:trPr>
        <w:tc>
          <w:tcPr>
            <w:tcW w:w="946" w:type="dxa"/>
          </w:tcPr>
          <w:p>
            <w:pPr>
              <w:pStyle w:val="TableParagraph"/>
              <w:spacing w:before="45"/>
              <w:ind w:left="50"/>
              <w:rPr>
                <w:sz w:val="20"/>
              </w:rPr>
            </w:pPr>
            <w:r>
              <w:rPr>
                <w:spacing w:val="-2"/>
                <w:sz w:val="20"/>
              </w:rPr>
              <w:t>st31.018</w:t>
            </w:r>
          </w:p>
        </w:tc>
        <w:tc>
          <w:tcPr>
            <w:tcW w:w="707" w:type="dxa"/>
          </w:tcPr>
          <w:p>
            <w:pPr>
              <w:pStyle w:val="TableParagraph"/>
              <w:spacing w:before="45"/>
              <w:ind w:left="210"/>
              <w:rPr>
                <w:sz w:val="20"/>
              </w:rPr>
            </w:pPr>
            <w:r>
              <w:rPr>
                <w:spacing w:val="-5"/>
                <w:sz w:val="20"/>
              </w:rPr>
              <w:t>314</w:t>
            </w:r>
          </w:p>
        </w:tc>
        <w:tc>
          <w:tcPr>
            <w:tcW w:w="2544" w:type="dxa"/>
          </w:tcPr>
          <w:p>
            <w:pPr>
              <w:pStyle w:val="TableParagraph"/>
              <w:spacing w:before="45"/>
              <w:ind w:left="192"/>
              <w:rPr>
                <w:sz w:val="20"/>
              </w:rPr>
            </w:pPr>
            <w:r>
              <w:rPr>
                <w:sz w:val="20"/>
              </w:rPr>
              <w:t>Открытые раны, поверхностные,</w:t>
            </w:r>
            <w:r>
              <w:rPr>
                <w:spacing w:val="-13"/>
                <w:sz w:val="20"/>
              </w:rPr>
              <w:t> </w:t>
            </w:r>
            <w:r>
              <w:rPr>
                <w:sz w:val="20"/>
              </w:rPr>
              <w:t>другие</w:t>
            </w:r>
            <w:r>
              <w:rPr>
                <w:spacing w:val="-12"/>
                <w:sz w:val="20"/>
              </w:rPr>
              <w:t> </w:t>
            </w:r>
            <w:r>
              <w:rPr>
                <w:sz w:val="20"/>
              </w:rPr>
              <w:t>и неуточненные травмы</w:t>
            </w:r>
          </w:p>
        </w:tc>
        <w:tc>
          <w:tcPr>
            <w:tcW w:w="4781" w:type="dxa"/>
          </w:tcPr>
          <w:p>
            <w:pPr>
              <w:pStyle w:val="TableParagraph"/>
              <w:spacing w:before="45"/>
              <w:ind w:left="385"/>
              <w:rPr>
                <w:sz w:val="20"/>
              </w:rPr>
            </w:pPr>
            <w:r>
              <w:rPr>
                <w:sz w:val="20"/>
              </w:rPr>
              <w:t>S00,</w:t>
            </w:r>
            <w:r>
              <w:rPr>
                <w:spacing w:val="-6"/>
                <w:sz w:val="20"/>
              </w:rPr>
              <w:t> </w:t>
            </w:r>
            <w:r>
              <w:rPr>
                <w:sz w:val="20"/>
              </w:rPr>
              <w:t>S00.0,</w:t>
            </w:r>
            <w:r>
              <w:rPr>
                <w:spacing w:val="-6"/>
                <w:sz w:val="20"/>
              </w:rPr>
              <w:t> </w:t>
            </w:r>
            <w:r>
              <w:rPr>
                <w:sz w:val="20"/>
              </w:rPr>
              <w:t>S00.3,</w:t>
            </w:r>
            <w:r>
              <w:rPr>
                <w:spacing w:val="-5"/>
                <w:sz w:val="20"/>
              </w:rPr>
              <w:t> </w:t>
            </w:r>
            <w:r>
              <w:rPr>
                <w:sz w:val="20"/>
              </w:rPr>
              <w:t>S00.7,</w:t>
            </w:r>
            <w:r>
              <w:rPr>
                <w:spacing w:val="-6"/>
                <w:sz w:val="20"/>
              </w:rPr>
              <w:t> </w:t>
            </w:r>
            <w:r>
              <w:rPr>
                <w:sz w:val="20"/>
              </w:rPr>
              <w:t>S00.8,</w:t>
            </w:r>
            <w:r>
              <w:rPr>
                <w:spacing w:val="-5"/>
                <w:sz w:val="20"/>
              </w:rPr>
              <w:t> </w:t>
            </w:r>
            <w:r>
              <w:rPr>
                <w:sz w:val="20"/>
              </w:rPr>
              <w:t>S00.9,</w:t>
            </w:r>
            <w:r>
              <w:rPr>
                <w:spacing w:val="-6"/>
                <w:sz w:val="20"/>
              </w:rPr>
              <w:t> </w:t>
            </w:r>
            <w:r>
              <w:rPr>
                <w:spacing w:val="-4"/>
                <w:sz w:val="20"/>
              </w:rPr>
              <w:t>S01,</w:t>
            </w:r>
          </w:p>
          <w:p>
            <w:pPr>
              <w:pStyle w:val="TableParagraph"/>
              <w:ind w:left="310"/>
              <w:rPr>
                <w:sz w:val="20"/>
              </w:rPr>
            </w:pPr>
            <w:r>
              <w:rPr>
                <w:sz w:val="20"/>
              </w:rPr>
              <w:t>S01.0,</w:t>
            </w:r>
            <w:r>
              <w:rPr>
                <w:spacing w:val="-6"/>
                <w:sz w:val="20"/>
              </w:rPr>
              <w:t> </w:t>
            </w:r>
            <w:r>
              <w:rPr>
                <w:sz w:val="20"/>
              </w:rPr>
              <w:t>S01.2,</w:t>
            </w:r>
            <w:r>
              <w:rPr>
                <w:spacing w:val="-5"/>
                <w:sz w:val="20"/>
              </w:rPr>
              <w:t> </w:t>
            </w:r>
            <w:r>
              <w:rPr>
                <w:sz w:val="20"/>
              </w:rPr>
              <w:t>S01.7,</w:t>
            </w:r>
            <w:r>
              <w:rPr>
                <w:spacing w:val="-5"/>
                <w:sz w:val="20"/>
              </w:rPr>
              <w:t> </w:t>
            </w:r>
            <w:r>
              <w:rPr>
                <w:sz w:val="20"/>
              </w:rPr>
              <w:t>S01.8,</w:t>
            </w:r>
            <w:r>
              <w:rPr>
                <w:spacing w:val="-7"/>
                <w:sz w:val="20"/>
              </w:rPr>
              <w:t> </w:t>
            </w:r>
            <w:r>
              <w:rPr>
                <w:sz w:val="20"/>
              </w:rPr>
              <w:t>S01.9,</w:t>
            </w:r>
            <w:r>
              <w:rPr>
                <w:spacing w:val="-5"/>
                <w:sz w:val="20"/>
              </w:rPr>
              <w:t> </w:t>
            </w:r>
            <w:r>
              <w:rPr>
                <w:sz w:val="20"/>
              </w:rPr>
              <w:t>S09,</w:t>
            </w:r>
            <w:r>
              <w:rPr>
                <w:spacing w:val="-5"/>
                <w:sz w:val="20"/>
              </w:rPr>
              <w:t> </w:t>
            </w:r>
            <w:r>
              <w:rPr>
                <w:spacing w:val="-2"/>
                <w:sz w:val="20"/>
              </w:rPr>
              <w:t>S09.0,</w:t>
            </w:r>
          </w:p>
          <w:p>
            <w:pPr>
              <w:pStyle w:val="TableParagraph"/>
              <w:spacing w:before="1"/>
              <w:ind w:left="310"/>
              <w:rPr>
                <w:sz w:val="20"/>
              </w:rPr>
            </w:pPr>
            <w:r>
              <w:rPr>
                <w:sz w:val="20"/>
              </w:rPr>
              <w:t>S09.1,</w:t>
            </w:r>
            <w:r>
              <w:rPr>
                <w:spacing w:val="-6"/>
                <w:sz w:val="20"/>
              </w:rPr>
              <w:t> </w:t>
            </w:r>
            <w:r>
              <w:rPr>
                <w:sz w:val="20"/>
              </w:rPr>
              <w:t>S09.8,</w:t>
            </w:r>
            <w:r>
              <w:rPr>
                <w:spacing w:val="-5"/>
                <w:sz w:val="20"/>
              </w:rPr>
              <w:t> </w:t>
            </w:r>
            <w:r>
              <w:rPr>
                <w:sz w:val="20"/>
              </w:rPr>
              <w:t>S09.9,</w:t>
            </w:r>
            <w:r>
              <w:rPr>
                <w:spacing w:val="-6"/>
                <w:sz w:val="20"/>
              </w:rPr>
              <w:t> </w:t>
            </w:r>
            <w:r>
              <w:rPr>
                <w:sz w:val="20"/>
              </w:rPr>
              <w:t>S10,</w:t>
            </w:r>
            <w:r>
              <w:rPr>
                <w:spacing w:val="-5"/>
                <w:sz w:val="20"/>
              </w:rPr>
              <w:t> </w:t>
            </w:r>
            <w:r>
              <w:rPr>
                <w:sz w:val="20"/>
              </w:rPr>
              <w:t>S10.0,</w:t>
            </w:r>
            <w:r>
              <w:rPr>
                <w:spacing w:val="-5"/>
                <w:sz w:val="20"/>
              </w:rPr>
              <w:t> </w:t>
            </w:r>
            <w:r>
              <w:rPr>
                <w:sz w:val="20"/>
              </w:rPr>
              <w:t>S10.1,</w:t>
            </w:r>
            <w:r>
              <w:rPr>
                <w:spacing w:val="-6"/>
                <w:sz w:val="20"/>
              </w:rPr>
              <w:t> </w:t>
            </w:r>
            <w:r>
              <w:rPr>
                <w:spacing w:val="-2"/>
                <w:sz w:val="20"/>
              </w:rPr>
              <w:t>S10.7,</w:t>
            </w:r>
          </w:p>
          <w:p>
            <w:pPr>
              <w:pStyle w:val="TableParagraph"/>
              <w:spacing w:line="229" w:lineRule="exact"/>
              <w:ind w:left="310"/>
              <w:rPr>
                <w:sz w:val="20"/>
              </w:rPr>
            </w:pPr>
            <w:r>
              <w:rPr>
                <w:sz w:val="20"/>
              </w:rPr>
              <w:t>S10.8,</w:t>
            </w:r>
            <w:r>
              <w:rPr>
                <w:spacing w:val="-6"/>
                <w:sz w:val="20"/>
              </w:rPr>
              <w:t> </w:t>
            </w:r>
            <w:r>
              <w:rPr>
                <w:sz w:val="20"/>
              </w:rPr>
              <w:t>S10.9,</w:t>
            </w:r>
            <w:r>
              <w:rPr>
                <w:spacing w:val="-6"/>
                <w:sz w:val="20"/>
              </w:rPr>
              <w:t> </w:t>
            </w:r>
            <w:r>
              <w:rPr>
                <w:sz w:val="20"/>
              </w:rPr>
              <w:t>S11,</w:t>
            </w:r>
            <w:r>
              <w:rPr>
                <w:spacing w:val="-5"/>
                <w:sz w:val="20"/>
              </w:rPr>
              <w:t> </w:t>
            </w:r>
            <w:r>
              <w:rPr>
                <w:sz w:val="20"/>
              </w:rPr>
              <w:t>S11.0,</w:t>
            </w:r>
            <w:r>
              <w:rPr>
                <w:spacing w:val="-6"/>
                <w:sz w:val="20"/>
              </w:rPr>
              <w:t> </w:t>
            </w:r>
            <w:r>
              <w:rPr>
                <w:sz w:val="20"/>
              </w:rPr>
              <w:t>S11.1,</w:t>
            </w:r>
            <w:r>
              <w:rPr>
                <w:spacing w:val="-5"/>
                <w:sz w:val="20"/>
              </w:rPr>
              <w:t> </w:t>
            </w:r>
            <w:r>
              <w:rPr>
                <w:sz w:val="20"/>
              </w:rPr>
              <w:t>S11.2,</w:t>
            </w:r>
            <w:r>
              <w:rPr>
                <w:spacing w:val="-6"/>
                <w:sz w:val="20"/>
              </w:rPr>
              <w:t> </w:t>
            </w:r>
            <w:r>
              <w:rPr>
                <w:spacing w:val="-2"/>
                <w:sz w:val="20"/>
              </w:rPr>
              <w:t>S11.7,</w:t>
            </w:r>
          </w:p>
          <w:p>
            <w:pPr>
              <w:pStyle w:val="TableParagraph"/>
              <w:spacing w:line="229" w:lineRule="exact"/>
              <w:ind w:left="310"/>
              <w:rPr>
                <w:sz w:val="20"/>
              </w:rPr>
            </w:pPr>
            <w:r>
              <w:rPr>
                <w:sz w:val="20"/>
              </w:rPr>
              <w:t>S11.8,</w:t>
            </w:r>
            <w:r>
              <w:rPr>
                <w:spacing w:val="-6"/>
                <w:sz w:val="20"/>
              </w:rPr>
              <w:t> </w:t>
            </w:r>
            <w:r>
              <w:rPr>
                <w:sz w:val="20"/>
              </w:rPr>
              <w:t>S11.9,</w:t>
            </w:r>
            <w:r>
              <w:rPr>
                <w:spacing w:val="-6"/>
                <w:sz w:val="20"/>
              </w:rPr>
              <w:t> </w:t>
            </w:r>
            <w:r>
              <w:rPr>
                <w:sz w:val="20"/>
              </w:rPr>
              <w:t>S15,</w:t>
            </w:r>
            <w:r>
              <w:rPr>
                <w:spacing w:val="-5"/>
                <w:sz w:val="20"/>
              </w:rPr>
              <w:t> </w:t>
            </w:r>
            <w:r>
              <w:rPr>
                <w:sz w:val="20"/>
              </w:rPr>
              <w:t>S15.0,</w:t>
            </w:r>
            <w:r>
              <w:rPr>
                <w:spacing w:val="-6"/>
                <w:sz w:val="20"/>
              </w:rPr>
              <w:t> </w:t>
            </w:r>
            <w:r>
              <w:rPr>
                <w:sz w:val="20"/>
              </w:rPr>
              <w:t>S15.1,</w:t>
            </w:r>
            <w:r>
              <w:rPr>
                <w:spacing w:val="-5"/>
                <w:sz w:val="20"/>
              </w:rPr>
              <w:t> </w:t>
            </w:r>
            <w:r>
              <w:rPr>
                <w:sz w:val="20"/>
              </w:rPr>
              <w:t>S15.2,</w:t>
            </w:r>
            <w:r>
              <w:rPr>
                <w:spacing w:val="-6"/>
                <w:sz w:val="20"/>
              </w:rPr>
              <w:t> </w:t>
            </w:r>
            <w:r>
              <w:rPr>
                <w:spacing w:val="-2"/>
                <w:sz w:val="20"/>
              </w:rPr>
              <w:t>S15.3,</w:t>
            </w:r>
          </w:p>
          <w:p>
            <w:pPr>
              <w:pStyle w:val="TableParagraph"/>
              <w:spacing w:before="1"/>
              <w:ind w:left="192" w:right="626"/>
              <w:jc w:val="center"/>
              <w:rPr>
                <w:sz w:val="20"/>
              </w:rPr>
            </w:pPr>
            <w:r>
              <w:rPr>
                <w:sz w:val="20"/>
              </w:rPr>
              <w:t>S15.7,</w:t>
            </w:r>
            <w:r>
              <w:rPr>
                <w:spacing w:val="-6"/>
                <w:sz w:val="20"/>
              </w:rPr>
              <w:t> </w:t>
            </w:r>
            <w:r>
              <w:rPr>
                <w:sz w:val="20"/>
              </w:rPr>
              <w:t>S15.8,</w:t>
            </w:r>
            <w:r>
              <w:rPr>
                <w:spacing w:val="-6"/>
                <w:sz w:val="20"/>
              </w:rPr>
              <w:t> </w:t>
            </w:r>
            <w:r>
              <w:rPr>
                <w:sz w:val="20"/>
              </w:rPr>
              <w:t>S15.9,</w:t>
            </w:r>
            <w:r>
              <w:rPr>
                <w:spacing w:val="-5"/>
                <w:sz w:val="20"/>
              </w:rPr>
              <w:t> </w:t>
            </w:r>
            <w:r>
              <w:rPr>
                <w:sz w:val="20"/>
              </w:rPr>
              <w:t>S19,</w:t>
            </w:r>
            <w:r>
              <w:rPr>
                <w:spacing w:val="-6"/>
                <w:sz w:val="20"/>
              </w:rPr>
              <w:t> </w:t>
            </w:r>
            <w:r>
              <w:rPr>
                <w:sz w:val="20"/>
              </w:rPr>
              <w:t>S19.8,</w:t>
            </w:r>
            <w:r>
              <w:rPr>
                <w:spacing w:val="-5"/>
                <w:sz w:val="20"/>
              </w:rPr>
              <w:t> </w:t>
            </w:r>
            <w:r>
              <w:rPr>
                <w:sz w:val="20"/>
              </w:rPr>
              <w:t>S19.9,</w:t>
            </w:r>
            <w:r>
              <w:rPr>
                <w:spacing w:val="-6"/>
                <w:sz w:val="20"/>
              </w:rPr>
              <w:t> </w:t>
            </w:r>
            <w:r>
              <w:rPr>
                <w:spacing w:val="-4"/>
                <w:sz w:val="20"/>
              </w:rPr>
              <w:t>S20,</w:t>
            </w:r>
          </w:p>
          <w:p>
            <w:pPr>
              <w:pStyle w:val="TableParagraph"/>
              <w:ind w:left="192" w:right="624"/>
              <w:jc w:val="center"/>
              <w:rPr>
                <w:sz w:val="20"/>
              </w:rPr>
            </w:pPr>
            <w:r>
              <w:rPr>
                <w:sz w:val="20"/>
              </w:rPr>
              <w:t>S20.0,</w:t>
            </w:r>
            <w:r>
              <w:rPr>
                <w:spacing w:val="-6"/>
                <w:sz w:val="20"/>
              </w:rPr>
              <w:t> </w:t>
            </w:r>
            <w:r>
              <w:rPr>
                <w:sz w:val="20"/>
              </w:rPr>
              <w:t>S20.1,</w:t>
            </w:r>
            <w:r>
              <w:rPr>
                <w:spacing w:val="-5"/>
                <w:sz w:val="20"/>
              </w:rPr>
              <w:t> </w:t>
            </w:r>
            <w:r>
              <w:rPr>
                <w:sz w:val="20"/>
              </w:rPr>
              <w:t>S20.2,</w:t>
            </w:r>
            <w:r>
              <w:rPr>
                <w:spacing w:val="-5"/>
                <w:sz w:val="20"/>
              </w:rPr>
              <w:t> </w:t>
            </w:r>
            <w:r>
              <w:rPr>
                <w:sz w:val="20"/>
              </w:rPr>
              <w:t>S20.3,</w:t>
            </w:r>
            <w:r>
              <w:rPr>
                <w:spacing w:val="-7"/>
                <w:sz w:val="20"/>
              </w:rPr>
              <w:t> </w:t>
            </w:r>
            <w:r>
              <w:rPr>
                <w:sz w:val="20"/>
              </w:rPr>
              <w:t>S20.4,</w:t>
            </w:r>
            <w:r>
              <w:rPr>
                <w:spacing w:val="-5"/>
                <w:sz w:val="20"/>
              </w:rPr>
              <w:t> </w:t>
            </w:r>
            <w:r>
              <w:rPr>
                <w:sz w:val="20"/>
              </w:rPr>
              <w:t>S20.7,</w:t>
            </w:r>
            <w:r>
              <w:rPr>
                <w:spacing w:val="-5"/>
                <w:sz w:val="20"/>
              </w:rPr>
              <w:t> </w:t>
            </w:r>
            <w:r>
              <w:rPr>
                <w:spacing w:val="-2"/>
                <w:sz w:val="20"/>
              </w:rPr>
              <w:t>S20.8,</w:t>
            </w:r>
          </w:p>
          <w:p>
            <w:pPr>
              <w:pStyle w:val="TableParagraph"/>
              <w:spacing w:before="1"/>
              <w:ind w:left="192" w:right="622"/>
              <w:jc w:val="center"/>
              <w:rPr>
                <w:sz w:val="20"/>
              </w:rPr>
            </w:pPr>
            <w:r>
              <w:rPr>
                <w:sz w:val="20"/>
              </w:rPr>
              <w:t>S21,</w:t>
            </w:r>
            <w:r>
              <w:rPr>
                <w:spacing w:val="-6"/>
                <w:sz w:val="20"/>
              </w:rPr>
              <w:t> </w:t>
            </w:r>
            <w:r>
              <w:rPr>
                <w:sz w:val="20"/>
              </w:rPr>
              <w:t>S21.0,</w:t>
            </w:r>
            <w:r>
              <w:rPr>
                <w:spacing w:val="-5"/>
                <w:sz w:val="20"/>
              </w:rPr>
              <w:t> </w:t>
            </w:r>
            <w:r>
              <w:rPr>
                <w:sz w:val="20"/>
              </w:rPr>
              <w:t>S21.1,</w:t>
            </w:r>
            <w:r>
              <w:rPr>
                <w:spacing w:val="-6"/>
                <w:sz w:val="20"/>
              </w:rPr>
              <w:t> </w:t>
            </w:r>
            <w:r>
              <w:rPr>
                <w:sz w:val="20"/>
              </w:rPr>
              <w:t>S21.2,</w:t>
            </w:r>
            <w:r>
              <w:rPr>
                <w:spacing w:val="-5"/>
                <w:sz w:val="20"/>
              </w:rPr>
              <w:t> </w:t>
            </w:r>
            <w:r>
              <w:rPr>
                <w:sz w:val="20"/>
              </w:rPr>
              <w:t>S21.7,</w:t>
            </w:r>
            <w:r>
              <w:rPr>
                <w:spacing w:val="-1"/>
                <w:sz w:val="20"/>
              </w:rPr>
              <w:t> </w:t>
            </w:r>
            <w:r>
              <w:rPr>
                <w:sz w:val="20"/>
              </w:rPr>
              <w:t>S21.8,</w:t>
            </w:r>
            <w:r>
              <w:rPr>
                <w:spacing w:val="-6"/>
                <w:sz w:val="20"/>
              </w:rPr>
              <w:t> </w:t>
            </w:r>
            <w:r>
              <w:rPr>
                <w:spacing w:val="-2"/>
                <w:sz w:val="20"/>
              </w:rPr>
              <w:t>S21.9,</w:t>
            </w:r>
          </w:p>
          <w:p>
            <w:pPr>
              <w:pStyle w:val="TableParagraph"/>
              <w:spacing w:line="229" w:lineRule="exact"/>
              <w:ind w:left="192" w:right="626"/>
              <w:jc w:val="center"/>
              <w:rPr>
                <w:sz w:val="20"/>
              </w:rPr>
            </w:pPr>
            <w:r>
              <w:rPr>
                <w:sz w:val="20"/>
              </w:rPr>
              <w:t>S25,</w:t>
            </w:r>
            <w:r>
              <w:rPr>
                <w:spacing w:val="-6"/>
                <w:sz w:val="20"/>
              </w:rPr>
              <w:t> </w:t>
            </w:r>
            <w:r>
              <w:rPr>
                <w:sz w:val="20"/>
              </w:rPr>
              <w:t>S25.0,</w:t>
            </w:r>
            <w:r>
              <w:rPr>
                <w:spacing w:val="-6"/>
                <w:sz w:val="20"/>
              </w:rPr>
              <w:t> </w:t>
            </w:r>
            <w:r>
              <w:rPr>
                <w:sz w:val="20"/>
              </w:rPr>
              <w:t>S25.1,</w:t>
            </w:r>
            <w:r>
              <w:rPr>
                <w:spacing w:val="-5"/>
                <w:sz w:val="20"/>
              </w:rPr>
              <w:t> </w:t>
            </w:r>
            <w:r>
              <w:rPr>
                <w:sz w:val="20"/>
              </w:rPr>
              <w:t>S25.2,</w:t>
            </w:r>
            <w:r>
              <w:rPr>
                <w:spacing w:val="-6"/>
                <w:sz w:val="20"/>
              </w:rPr>
              <w:t> </w:t>
            </w:r>
            <w:r>
              <w:rPr>
                <w:sz w:val="20"/>
              </w:rPr>
              <w:t>S25.3,</w:t>
            </w:r>
            <w:r>
              <w:rPr>
                <w:spacing w:val="-5"/>
                <w:sz w:val="20"/>
              </w:rPr>
              <w:t> </w:t>
            </w:r>
            <w:r>
              <w:rPr>
                <w:sz w:val="20"/>
              </w:rPr>
              <w:t>S25.4,</w:t>
            </w:r>
            <w:r>
              <w:rPr>
                <w:spacing w:val="-6"/>
                <w:sz w:val="20"/>
              </w:rPr>
              <w:t> </w:t>
            </w:r>
            <w:r>
              <w:rPr>
                <w:spacing w:val="-2"/>
                <w:sz w:val="20"/>
              </w:rPr>
              <w:t>S25.5,</w:t>
            </w:r>
          </w:p>
          <w:p>
            <w:pPr>
              <w:pStyle w:val="TableParagraph"/>
              <w:spacing w:line="229" w:lineRule="exact"/>
              <w:ind w:left="192" w:right="626"/>
              <w:jc w:val="center"/>
              <w:rPr>
                <w:sz w:val="20"/>
              </w:rPr>
            </w:pPr>
            <w:r>
              <w:rPr>
                <w:sz w:val="20"/>
              </w:rPr>
              <w:t>S25.7,</w:t>
            </w:r>
            <w:r>
              <w:rPr>
                <w:spacing w:val="-6"/>
                <w:sz w:val="20"/>
              </w:rPr>
              <w:t> </w:t>
            </w:r>
            <w:r>
              <w:rPr>
                <w:sz w:val="20"/>
              </w:rPr>
              <w:t>S25.8,</w:t>
            </w:r>
            <w:r>
              <w:rPr>
                <w:spacing w:val="-5"/>
                <w:sz w:val="20"/>
              </w:rPr>
              <w:t> </w:t>
            </w:r>
            <w:r>
              <w:rPr>
                <w:sz w:val="20"/>
              </w:rPr>
              <w:t>S25.9,</w:t>
            </w:r>
            <w:r>
              <w:rPr>
                <w:spacing w:val="-5"/>
                <w:sz w:val="20"/>
              </w:rPr>
              <w:t> </w:t>
            </w:r>
            <w:r>
              <w:rPr>
                <w:sz w:val="20"/>
              </w:rPr>
              <w:t>S29.8,</w:t>
            </w:r>
            <w:r>
              <w:rPr>
                <w:spacing w:val="-7"/>
                <w:sz w:val="20"/>
              </w:rPr>
              <w:t> </w:t>
            </w:r>
            <w:r>
              <w:rPr>
                <w:sz w:val="20"/>
              </w:rPr>
              <w:t>S29.9,</w:t>
            </w:r>
            <w:r>
              <w:rPr>
                <w:spacing w:val="-5"/>
                <w:sz w:val="20"/>
              </w:rPr>
              <w:t> </w:t>
            </w:r>
            <w:r>
              <w:rPr>
                <w:sz w:val="20"/>
              </w:rPr>
              <w:t>S30,</w:t>
            </w:r>
            <w:r>
              <w:rPr>
                <w:spacing w:val="-5"/>
                <w:sz w:val="20"/>
              </w:rPr>
              <w:t> </w:t>
            </w:r>
            <w:r>
              <w:rPr>
                <w:spacing w:val="-2"/>
                <w:sz w:val="20"/>
              </w:rPr>
              <w:t>S30.0,</w:t>
            </w:r>
          </w:p>
          <w:p>
            <w:pPr>
              <w:pStyle w:val="TableParagraph"/>
              <w:ind w:left="310"/>
              <w:rPr>
                <w:sz w:val="20"/>
              </w:rPr>
            </w:pPr>
            <w:r>
              <w:rPr>
                <w:sz w:val="20"/>
              </w:rPr>
              <w:t>S30.1,</w:t>
            </w:r>
            <w:r>
              <w:rPr>
                <w:spacing w:val="-6"/>
                <w:sz w:val="20"/>
              </w:rPr>
              <w:t> </w:t>
            </w:r>
            <w:r>
              <w:rPr>
                <w:sz w:val="20"/>
              </w:rPr>
              <w:t>S30.7,</w:t>
            </w:r>
            <w:r>
              <w:rPr>
                <w:spacing w:val="-5"/>
                <w:sz w:val="20"/>
              </w:rPr>
              <w:t> </w:t>
            </w:r>
            <w:r>
              <w:rPr>
                <w:sz w:val="20"/>
              </w:rPr>
              <w:t>S30.8,</w:t>
            </w:r>
            <w:r>
              <w:rPr>
                <w:spacing w:val="-5"/>
                <w:sz w:val="20"/>
              </w:rPr>
              <w:t> </w:t>
            </w:r>
            <w:r>
              <w:rPr>
                <w:sz w:val="20"/>
              </w:rPr>
              <w:t>S30.9,</w:t>
            </w:r>
            <w:r>
              <w:rPr>
                <w:spacing w:val="-7"/>
                <w:sz w:val="20"/>
              </w:rPr>
              <w:t> </w:t>
            </w:r>
            <w:r>
              <w:rPr>
                <w:sz w:val="20"/>
              </w:rPr>
              <w:t>S31,</w:t>
            </w:r>
            <w:r>
              <w:rPr>
                <w:spacing w:val="-5"/>
                <w:sz w:val="20"/>
              </w:rPr>
              <w:t> </w:t>
            </w:r>
            <w:r>
              <w:rPr>
                <w:sz w:val="20"/>
              </w:rPr>
              <w:t>S31.0,</w:t>
            </w:r>
            <w:r>
              <w:rPr>
                <w:spacing w:val="-5"/>
                <w:sz w:val="20"/>
              </w:rPr>
              <w:t> </w:t>
            </w:r>
            <w:r>
              <w:rPr>
                <w:spacing w:val="-2"/>
                <w:sz w:val="20"/>
              </w:rPr>
              <w:t>S31.1,</w:t>
            </w:r>
          </w:p>
          <w:p>
            <w:pPr>
              <w:pStyle w:val="TableParagraph"/>
              <w:spacing w:before="1"/>
              <w:ind w:left="310"/>
              <w:rPr>
                <w:sz w:val="20"/>
              </w:rPr>
            </w:pPr>
            <w:r>
              <w:rPr>
                <w:sz w:val="20"/>
              </w:rPr>
              <w:t>S31.7,</w:t>
            </w:r>
            <w:r>
              <w:rPr>
                <w:spacing w:val="-6"/>
                <w:sz w:val="20"/>
              </w:rPr>
              <w:t> </w:t>
            </w:r>
            <w:r>
              <w:rPr>
                <w:sz w:val="20"/>
              </w:rPr>
              <w:t>S31.8,</w:t>
            </w:r>
            <w:r>
              <w:rPr>
                <w:spacing w:val="-6"/>
                <w:sz w:val="20"/>
              </w:rPr>
              <w:t> </w:t>
            </w:r>
            <w:r>
              <w:rPr>
                <w:sz w:val="20"/>
              </w:rPr>
              <w:t>S35,</w:t>
            </w:r>
            <w:r>
              <w:rPr>
                <w:spacing w:val="-5"/>
                <w:sz w:val="20"/>
              </w:rPr>
              <w:t> </w:t>
            </w:r>
            <w:r>
              <w:rPr>
                <w:sz w:val="20"/>
              </w:rPr>
              <w:t>S35.0,</w:t>
            </w:r>
            <w:r>
              <w:rPr>
                <w:spacing w:val="-6"/>
                <w:sz w:val="20"/>
              </w:rPr>
              <w:t> </w:t>
            </w:r>
            <w:r>
              <w:rPr>
                <w:sz w:val="20"/>
              </w:rPr>
              <w:t>S35.1,</w:t>
            </w:r>
            <w:r>
              <w:rPr>
                <w:spacing w:val="-5"/>
                <w:sz w:val="20"/>
              </w:rPr>
              <w:t> </w:t>
            </w:r>
            <w:r>
              <w:rPr>
                <w:sz w:val="20"/>
              </w:rPr>
              <w:t>S35.2,</w:t>
            </w:r>
            <w:r>
              <w:rPr>
                <w:spacing w:val="-6"/>
                <w:sz w:val="20"/>
              </w:rPr>
              <w:t> </w:t>
            </w:r>
            <w:r>
              <w:rPr>
                <w:spacing w:val="-2"/>
                <w:sz w:val="20"/>
              </w:rPr>
              <w:t>S35.3,</w:t>
            </w:r>
          </w:p>
          <w:p>
            <w:pPr>
              <w:pStyle w:val="TableParagraph"/>
              <w:spacing w:before="1"/>
              <w:ind w:left="236"/>
              <w:rPr>
                <w:sz w:val="20"/>
              </w:rPr>
            </w:pPr>
            <w:r>
              <w:rPr>
                <w:sz w:val="20"/>
              </w:rPr>
              <w:t>S35.4,</w:t>
            </w:r>
            <w:r>
              <w:rPr>
                <w:spacing w:val="-6"/>
                <w:sz w:val="20"/>
              </w:rPr>
              <w:t> </w:t>
            </w:r>
            <w:r>
              <w:rPr>
                <w:sz w:val="20"/>
              </w:rPr>
              <w:t>S35.5,</w:t>
            </w:r>
            <w:r>
              <w:rPr>
                <w:spacing w:val="-5"/>
                <w:sz w:val="20"/>
              </w:rPr>
              <w:t> </w:t>
            </w:r>
            <w:r>
              <w:rPr>
                <w:sz w:val="20"/>
              </w:rPr>
              <w:t>S35.7,</w:t>
            </w:r>
            <w:r>
              <w:rPr>
                <w:spacing w:val="-5"/>
                <w:sz w:val="20"/>
              </w:rPr>
              <w:t> </w:t>
            </w:r>
            <w:r>
              <w:rPr>
                <w:sz w:val="20"/>
              </w:rPr>
              <w:t>S35.8,</w:t>
            </w:r>
            <w:r>
              <w:rPr>
                <w:spacing w:val="-7"/>
                <w:sz w:val="20"/>
              </w:rPr>
              <w:t> </w:t>
            </w:r>
            <w:r>
              <w:rPr>
                <w:sz w:val="20"/>
              </w:rPr>
              <w:t>S35.9,</w:t>
            </w:r>
            <w:r>
              <w:rPr>
                <w:spacing w:val="-5"/>
                <w:sz w:val="20"/>
              </w:rPr>
              <w:t> </w:t>
            </w:r>
            <w:r>
              <w:rPr>
                <w:sz w:val="20"/>
              </w:rPr>
              <w:t>S39.8,</w:t>
            </w:r>
            <w:r>
              <w:rPr>
                <w:spacing w:val="-5"/>
                <w:sz w:val="20"/>
              </w:rPr>
              <w:t> </w:t>
            </w:r>
            <w:r>
              <w:rPr>
                <w:spacing w:val="-2"/>
                <w:sz w:val="20"/>
              </w:rPr>
              <w:t>S39.9,</w:t>
            </w:r>
          </w:p>
          <w:p>
            <w:pPr>
              <w:pStyle w:val="TableParagraph"/>
              <w:ind w:left="385"/>
              <w:rPr>
                <w:sz w:val="20"/>
              </w:rPr>
            </w:pPr>
            <w:r>
              <w:rPr>
                <w:sz w:val="20"/>
              </w:rPr>
              <w:t>S40,</w:t>
            </w:r>
            <w:r>
              <w:rPr>
                <w:spacing w:val="-5"/>
                <w:sz w:val="20"/>
              </w:rPr>
              <w:t> </w:t>
            </w:r>
            <w:r>
              <w:rPr>
                <w:sz w:val="20"/>
              </w:rPr>
              <w:t>S40.0,</w:t>
            </w:r>
            <w:r>
              <w:rPr>
                <w:spacing w:val="-4"/>
                <w:sz w:val="20"/>
              </w:rPr>
              <w:t> </w:t>
            </w:r>
            <w:r>
              <w:rPr>
                <w:sz w:val="20"/>
              </w:rPr>
              <w:t>S40.7,</w:t>
            </w:r>
            <w:r>
              <w:rPr>
                <w:spacing w:val="-5"/>
                <w:sz w:val="20"/>
              </w:rPr>
              <w:t> </w:t>
            </w:r>
            <w:r>
              <w:rPr>
                <w:sz w:val="20"/>
              </w:rPr>
              <w:t>S40.8,</w:t>
            </w:r>
            <w:r>
              <w:rPr>
                <w:spacing w:val="-5"/>
                <w:sz w:val="20"/>
              </w:rPr>
              <w:t> </w:t>
            </w:r>
            <w:r>
              <w:rPr>
                <w:sz w:val="20"/>
              </w:rPr>
              <w:t>S40.9,</w:t>
            </w:r>
            <w:r>
              <w:rPr>
                <w:spacing w:val="-5"/>
                <w:sz w:val="20"/>
              </w:rPr>
              <w:t> </w:t>
            </w:r>
            <w:r>
              <w:rPr>
                <w:sz w:val="20"/>
              </w:rPr>
              <w:t>S41,</w:t>
            </w:r>
            <w:r>
              <w:rPr>
                <w:spacing w:val="-5"/>
                <w:sz w:val="20"/>
              </w:rPr>
              <w:t> </w:t>
            </w:r>
            <w:r>
              <w:rPr>
                <w:spacing w:val="-2"/>
                <w:sz w:val="20"/>
              </w:rPr>
              <w:t>S41.0,</w:t>
            </w:r>
          </w:p>
          <w:p>
            <w:pPr>
              <w:pStyle w:val="TableParagraph"/>
              <w:spacing w:line="229" w:lineRule="exact" w:before="1"/>
              <w:ind w:left="310"/>
              <w:rPr>
                <w:sz w:val="20"/>
              </w:rPr>
            </w:pPr>
            <w:r>
              <w:rPr>
                <w:sz w:val="20"/>
              </w:rPr>
              <w:t>S41.1,</w:t>
            </w:r>
            <w:r>
              <w:rPr>
                <w:spacing w:val="-6"/>
                <w:sz w:val="20"/>
              </w:rPr>
              <w:t> </w:t>
            </w:r>
            <w:r>
              <w:rPr>
                <w:sz w:val="20"/>
              </w:rPr>
              <w:t>S41.7,</w:t>
            </w:r>
            <w:r>
              <w:rPr>
                <w:spacing w:val="-6"/>
                <w:sz w:val="20"/>
              </w:rPr>
              <w:t> </w:t>
            </w:r>
            <w:r>
              <w:rPr>
                <w:sz w:val="20"/>
              </w:rPr>
              <w:t>S41.8,</w:t>
            </w:r>
            <w:r>
              <w:rPr>
                <w:spacing w:val="-5"/>
                <w:sz w:val="20"/>
              </w:rPr>
              <w:t> </w:t>
            </w:r>
            <w:r>
              <w:rPr>
                <w:sz w:val="20"/>
              </w:rPr>
              <w:t>S45,</w:t>
            </w:r>
            <w:r>
              <w:rPr>
                <w:spacing w:val="-6"/>
                <w:sz w:val="20"/>
              </w:rPr>
              <w:t> </w:t>
            </w:r>
            <w:r>
              <w:rPr>
                <w:sz w:val="20"/>
              </w:rPr>
              <w:t>S45.0,</w:t>
            </w:r>
            <w:r>
              <w:rPr>
                <w:spacing w:val="-5"/>
                <w:sz w:val="20"/>
              </w:rPr>
              <w:t> </w:t>
            </w:r>
            <w:r>
              <w:rPr>
                <w:sz w:val="20"/>
              </w:rPr>
              <w:t>S45.1,</w:t>
            </w:r>
            <w:r>
              <w:rPr>
                <w:spacing w:val="-6"/>
                <w:sz w:val="20"/>
              </w:rPr>
              <w:t> </w:t>
            </w:r>
            <w:r>
              <w:rPr>
                <w:spacing w:val="-2"/>
                <w:sz w:val="20"/>
              </w:rPr>
              <w:t>S45.2,</w:t>
            </w:r>
          </w:p>
          <w:p>
            <w:pPr>
              <w:pStyle w:val="TableParagraph"/>
              <w:spacing w:line="229" w:lineRule="exact"/>
              <w:ind w:left="310"/>
              <w:rPr>
                <w:sz w:val="20"/>
              </w:rPr>
            </w:pPr>
            <w:r>
              <w:rPr>
                <w:sz w:val="20"/>
              </w:rPr>
              <w:t>S45.3,</w:t>
            </w:r>
            <w:r>
              <w:rPr>
                <w:spacing w:val="-6"/>
                <w:sz w:val="20"/>
              </w:rPr>
              <w:t> </w:t>
            </w:r>
            <w:r>
              <w:rPr>
                <w:sz w:val="20"/>
              </w:rPr>
              <w:t>S45.7,</w:t>
            </w:r>
            <w:r>
              <w:rPr>
                <w:spacing w:val="-5"/>
                <w:sz w:val="20"/>
              </w:rPr>
              <w:t> </w:t>
            </w:r>
            <w:r>
              <w:rPr>
                <w:sz w:val="20"/>
              </w:rPr>
              <w:t>S45.8,</w:t>
            </w:r>
            <w:r>
              <w:rPr>
                <w:spacing w:val="-5"/>
                <w:sz w:val="20"/>
              </w:rPr>
              <w:t> </w:t>
            </w:r>
            <w:r>
              <w:rPr>
                <w:sz w:val="20"/>
              </w:rPr>
              <w:t>S45.9,</w:t>
            </w:r>
            <w:r>
              <w:rPr>
                <w:spacing w:val="-7"/>
                <w:sz w:val="20"/>
              </w:rPr>
              <w:t> </w:t>
            </w:r>
            <w:r>
              <w:rPr>
                <w:sz w:val="20"/>
              </w:rPr>
              <w:t>S49.8,</w:t>
            </w:r>
            <w:r>
              <w:rPr>
                <w:spacing w:val="-5"/>
                <w:sz w:val="20"/>
              </w:rPr>
              <w:t> </w:t>
            </w:r>
            <w:r>
              <w:rPr>
                <w:sz w:val="20"/>
              </w:rPr>
              <w:t>S49.9,</w:t>
            </w:r>
            <w:r>
              <w:rPr>
                <w:spacing w:val="-5"/>
                <w:sz w:val="20"/>
              </w:rPr>
              <w:t> </w:t>
            </w:r>
            <w:r>
              <w:rPr>
                <w:spacing w:val="-4"/>
                <w:sz w:val="20"/>
              </w:rPr>
              <w:t>S50,</w:t>
            </w:r>
          </w:p>
          <w:p>
            <w:pPr>
              <w:pStyle w:val="TableParagraph"/>
              <w:ind w:left="310"/>
              <w:rPr>
                <w:sz w:val="20"/>
              </w:rPr>
            </w:pPr>
            <w:r>
              <w:rPr>
                <w:sz w:val="20"/>
              </w:rPr>
              <w:t>S50.0,</w:t>
            </w:r>
            <w:r>
              <w:rPr>
                <w:spacing w:val="-6"/>
                <w:sz w:val="20"/>
              </w:rPr>
              <w:t> </w:t>
            </w:r>
            <w:r>
              <w:rPr>
                <w:sz w:val="20"/>
              </w:rPr>
              <w:t>S50.1,</w:t>
            </w:r>
            <w:r>
              <w:rPr>
                <w:spacing w:val="-5"/>
                <w:sz w:val="20"/>
              </w:rPr>
              <w:t> </w:t>
            </w:r>
            <w:r>
              <w:rPr>
                <w:sz w:val="20"/>
              </w:rPr>
              <w:t>S50.7,</w:t>
            </w:r>
            <w:r>
              <w:rPr>
                <w:spacing w:val="-5"/>
                <w:sz w:val="20"/>
              </w:rPr>
              <w:t> </w:t>
            </w:r>
            <w:r>
              <w:rPr>
                <w:sz w:val="20"/>
              </w:rPr>
              <w:t>S50.8,</w:t>
            </w:r>
            <w:r>
              <w:rPr>
                <w:spacing w:val="-7"/>
                <w:sz w:val="20"/>
              </w:rPr>
              <w:t> </w:t>
            </w:r>
            <w:r>
              <w:rPr>
                <w:sz w:val="20"/>
              </w:rPr>
              <w:t>S50.9,</w:t>
            </w:r>
            <w:r>
              <w:rPr>
                <w:spacing w:val="-5"/>
                <w:sz w:val="20"/>
              </w:rPr>
              <w:t> </w:t>
            </w:r>
            <w:r>
              <w:rPr>
                <w:sz w:val="20"/>
              </w:rPr>
              <w:t>S51,</w:t>
            </w:r>
            <w:r>
              <w:rPr>
                <w:spacing w:val="-5"/>
                <w:sz w:val="20"/>
              </w:rPr>
              <w:t> </w:t>
            </w:r>
            <w:r>
              <w:rPr>
                <w:spacing w:val="-2"/>
                <w:sz w:val="20"/>
              </w:rPr>
              <w:t>S51.0,</w:t>
            </w:r>
          </w:p>
          <w:p>
            <w:pPr>
              <w:pStyle w:val="TableParagraph"/>
              <w:ind w:left="310"/>
              <w:rPr>
                <w:sz w:val="20"/>
              </w:rPr>
            </w:pPr>
            <w:r>
              <w:rPr>
                <w:sz w:val="20"/>
              </w:rPr>
              <w:t>S51.7,</w:t>
            </w:r>
            <w:r>
              <w:rPr>
                <w:spacing w:val="-6"/>
                <w:sz w:val="20"/>
              </w:rPr>
              <w:t> </w:t>
            </w:r>
            <w:r>
              <w:rPr>
                <w:sz w:val="20"/>
              </w:rPr>
              <w:t>S51.8,</w:t>
            </w:r>
            <w:r>
              <w:rPr>
                <w:spacing w:val="-6"/>
                <w:sz w:val="20"/>
              </w:rPr>
              <w:t> </w:t>
            </w:r>
            <w:r>
              <w:rPr>
                <w:sz w:val="20"/>
              </w:rPr>
              <w:t>S51.9,</w:t>
            </w:r>
            <w:r>
              <w:rPr>
                <w:spacing w:val="-5"/>
                <w:sz w:val="20"/>
              </w:rPr>
              <w:t> </w:t>
            </w:r>
            <w:r>
              <w:rPr>
                <w:sz w:val="20"/>
              </w:rPr>
              <w:t>S55,</w:t>
            </w:r>
            <w:r>
              <w:rPr>
                <w:spacing w:val="-6"/>
                <w:sz w:val="20"/>
              </w:rPr>
              <w:t> </w:t>
            </w:r>
            <w:r>
              <w:rPr>
                <w:sz w:val="20"/>
              </w:rPr>
              <w:t>S55.0,</w:t>
            </w:r>
            <w:r>
              <w:rPr>
                <w:spacing w:val="-5"/>
                <w:sz w:val="20"/>
              </w:rPr>
              <w:t> </w:t>
            </w:r>
            <w:r>
              <w:rPr>
                <w:sz w:val="20"/>
              </w:rPr>
              <w:t>S55.1,</w:t>
            </w:r>
            <w:r>
              <w:rPr>
                <w:spacing w:val="-6"/>
                <w:sz w:val="20"/>
              </w:rPr>
              <w:t> </w:t>
            </w:r>
            <w:r>
              <w:rPr>
                <w:spacing w:val="-2"/>
                <w:sz w:val="20"/>
              </w:rPr>
              <w:t>S55.2,</w:t>
            </w:r>
          </w:p>
          <w:p>
            <w:pPr>
              <w:pStyle w:val="TableParagraph"/>
              <w:spacing w:before="1"/>
              <w:ind w:left="310"/>
              <w:rPr>
                <w:sz w:val="20"/>
              </w:rPr>
            </w:pPr>
            <w:r>
              <w:rPr>
                <w:sz w:val="20"/>
              </w:rPr>
              <w:t>S55.7,</w:t>
            </w:r>
            <w:r>
              <w:rPr>
                <w:spacing w:val="-5"/>
                <w:sz w:val="20"/>
              </w:rPr>
              <w:t> </w:t>
            </w:r>
            <w:r>
              <w:rPr>
                <w:sz w:val="20"/>
              </w:rPr>
              <w:t>S55.8,</w:t>
            </w:r>
            <w:r>
              <w:rPr>
                <w:spacing w:val="-5"/>
                <w:sz w:val="20"/>
              </w:rPr>
              <w:t> </w:t>
            </w:r>
            <w:r>
              <w:rPr>
                <w:sz w:val="20"/>
              </w:rPr>
              <w:t>S55.9,</w:t>
            </w:r>
            <w:r>
              <w:rPr>
                <w:spacing w:val="-5"/>
                <w:sz w:val="20"/>
              </w:rPr>
              <w:t> </w:t>
            </w:r>
            <w:r>
              <w:rPr>
                <w:sz w:val="20"/>
              </w:rPr>
              <w:t>S59.8,</w:t>
            </w:r>
            <w:r>
              <w:rPr>
                <w:spacing w:val="-4"/>
                <w:sz w:val="20"/>
              </w:rPr>
              <w:t> </w:t>
            </w:r>
            <w:r>
              <w:rPr>
                <w:sz w:val="20"/>
              </w:rPr>
              <w:t>S59.9,</w:t>
            </w:r>
            <w:r>
              <w:rPr>
                <w:spacing w:val="-5"/>
                <w:sz w:val="20"/>
              </w:rPr>
              <w:t> </w:t>
            </w:r>
            <w:r>
              <w:rPr>
                <w:sz w:val="20"/>
              </w:rPr>
              <w:t>S60,</w:t>
            </w:r>
            <w:r>
              <w:rPr>
                <w:spacing w:val="-5"/>
                <w:sz w:val="20"/>
              </w:rPr>
              <w:t> </w:t>
            </w:r>
            <w:r>
              <w:rPr>
                <w:spacing w:val="-2"/>
                <w:sz w:val="20"/>
              </w:rPr>
              <w:t>S60.0,</w:t>
            </w:r>
          </w:p>
          <w:p>
            <w:pPr>
              <w:pStyle w:val="TableParagraph"/>
              <w:spacing w:line="210" w:lineRule="exact"/>
              <w:ind w:left="310"/>
              <w:rPr>
                <w:sz w:val="20"/>
              </w:rPr>
            </w:pPr>
            <w:r>
              <w:rPr>
                <w:sz w:val="20"/>
              </w:rPr>
              <w:t>S60.1,</w:t>
            </w:r>
            <w:r>
              <w:rPr>
                <w:spacing w:val="-6"/>
                <w:sz w:val="20"/>
              </w:rPr>
              <w:t> </w:t>
            </w:r>
            <w:r>
              <w:rPr>
                <w:sz w:val="20"/>
              </w:rPr>
              <w:t>S60.2,</w:t>
            </w:r>
            <w:r>
              <w:rPr>
                <w:spacing w:val="-5"/>
                <w:sz w:val="20"/>
              </w:rPr>
              <w:t> </w:t>
            </w:r>
            <w:r>
              <w:rPr>
                <w:sz w:val="20"/>
              </w:rPr>
              <w:t>S60.7,</w:t>
            </w:r>
            <w:r>
              <w:rPr>
                <w:spacing w:val="-5"/>
                <w:sz w:val="20"/>
              </w:rPr>
              <w:t> </w:t>
            </w:r>
            <w:r>
              <w:rPr>
                <w:sz w:val="20"/>
              </w:rPr>
              <w:t>S60.8,</w:t>
            </w:r>
            <w:r>
              <w:rPr>
                <w:spacing w:val="-7"/>
                <w:sz w:val="20"/>
              </w:rPr>
              <w:t> </w:t>
            </w:r>
            <w:r>
              <w:rPr>
                <w:sz w:val="20"/>
              </w:rPr>
              <w:t>S60.9,</w:t>
            </w:r>
            <w:r>
              <w:rPr>
                <w:spacing w:val="-5"/>
                <w:sz w:val="20"/>
              </w:rPr>
              <w:t> </w:t>
            </w:r>
            <w:r>
              <w:rPr>
                <w:sz w:val="20"/>
              </w:rPr>
              <w:t>S61,</w:t>
            </w:r>
            <w:r>
              <w:rPr>
                <w:spacing w:val="-5"/>
                <w:sz w:val="20"/>
              </w:rPr>
              <w:t> </w:t>
            </w:r>
            <w:r>
              <w:rPr>
                <w:spacing w:val="-2"/>
                <w:sz w:val="20"/>
              </w:rPr>
              <w:t>S61.0,</w:t>
            </w:r>
          </w:p>
        </w:tc>
        <w:tc>
          <w:tcPr>
            <w:tcW w:w="3015" w:type="dxa"/>
          </w:tcPr>
          <w:p>
            <w:pPr>
              <w:pStyle w:val="TableParagraph"/>
              <w:spacing w:before="45"/>
              <w:ind w:right="462"/>
              <w:jc w:val="center"/>
              <w:rPr>
                <w:sz w:val="20"/>
              </w:rPr>
            </w:pPr>
            <w:r>
              <w:rPr>
                <w:w w:val="99"/>
                <w:sz w:val="20"/>
              </w:rPr>
              <w:t>-</w:t>
            </w:r>
          </w:p>
        </w:tc>
        <w:tc>
          <w:tcPr>
            <w:tcW w:w="2020" w:type="dxa"/>
          </w:tcPr>
          <w:p>
            <w:pPr>
              <w:pStyle w:val="TableParagraph"/>
              <w:spacing w:before="45"/>
              <w:ind w:right="858"/>
              <w:jc w:val="right"/>
              <w:rPr>
                <w:sz w:val="20"/>
              </w:rPr>
            </w:pPr>
            <w:r>
              <w:rPr>
                <w:w w:val="99"/>
                <w:sz w:val="20"/>
              </w:rPr>
              <w:t>-</w:t>
            </w:r>
          </w:p>
        </w:tc>
        <w:tc>
          <w:tcPr>
            <w:tcW w:w="1261" w:type="dxa"/>
          </w:tcPr>
          <w:p>
            <w:pPr>
              <w:pStyle w:val="TableParagraph"/>
              <w:spacing w:before="45"/>
              <w:ind w:right="48"/>
              <w:jc w:val="right"/>
              <w:rPr>
                <w:sz w:val="20"/>
              </w:rPr>
            </w:pPr>
            <w:r>
              <w:rPr>
                <w:spacing w:val="-4"/>
                <w:sz w:val="20"/>
              </w:rPr>
              <w:t>0,37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32"/>
        <w:gridCol w:w="2474"/>
        <w:gridCol w:w="4881"/>
        <w:gridCol w:w="1574"/>
        <w:gridCol w:w="1261"/>
      </w:tblGrid>
      <w:tr>
        <w:trPr>
          <w:trHeight w:val="225" w:hRule="atLeast"/>
        </w:trPr>
        <w:tc>
          <w:tcPr>
            <w:tcW w:w="15275" w:type="dxa"/>
            <w:gridSpan w:val="7"/>
          </w:tcPr>
          <w:p>
            <w:pPr>
              <w:pStyle w:val="TableParagraph"/>
              <w:spacing w:line="205" w:lineRule="exact"/>
              <w:ind w:left="4507"/>
              <w:rPr>
                <w:sz w:val="20"/>
              </w:rPr>
            </w:pPr>
            <w:r>
              <w:rPr>
                <w:sz w:val="20"/>
              </w:rPr>
              <w:t>S61.1,</w:t>
            </w:r>
            <w:r>
              <w:rPr>
                <w:spacing w:val="-6"/>
                <w:sz w:val="20"/>
              </w:rPr>
              <w:t> </w:t>
            </w:r>
            <w:r>
              <w:rPr>
                <w:sz w:val="20"/>
              </w:rPr>
              <w:t>S61.7,</w:t>
            </w:r>
            <w:r>
              <w:rPr>
                <w:spacing w:val="-5"/>
                <w:sz w:val="20"/>
              </w:rPr>
              <w:t> </w:t>
            </w:r>
            <w:r>
              <w:rPr>
                <w:sz w:val="20"/>
              </w:rPr>
              <w:t>S61.8,</w:t>
            </w:r>
            <w:r>
              <w:rPr>
                <w:spacing w:val="-5"/>
                <w:sz w:val="20"/>
              </w:rPr>
              <w:t> </w:t>
            </w:r>
            <w:r>
              <w:rPr>
                <w:sz w:val="20"/>
              </w:rPr>
              <w:t>S61.9,</w:t>
            </w:r>
            <w:r>
              <w:rPr>
                <w:spacing w:val="-7"/>
                <w:sz w:val="20"/>
              </w:rPr>
              <w:t> </w:t>
            </w:r>
            <w:r>
              <w:rPr>
                <w:sz w:val="20"/>
              </w:rPr>
              <w:t>S65,</w:t>
            </w:r>
            <w:r>
              <w:rPr>
                <w:spacing w:val="-5"/>
                <w:sz w:val="20"/>
              </w:rPr>
              <w:t> </w:t>
            </w:r>
            <w:r>
              <w:rPr>
                <w:sz w:val="20"/>
              </w:rPr>
              <w:t>S65.0,</w:t>
            </w:r>
            <w:r>
              <w:rPr>
                <w:spacing w:val="-5"/>
                <w:sz w:val="20"/>
              </w:rPr>
              <w:t> </w:t>
            </w:r>
            <w:r>
              <w:rPr>
                <w:spacing w:val="-2"/>
                <w:sz w:val="20"/>
              </w:rPr>
              <w:t>S65.1,</w:t>
            </w:r>
          </w:p>
        </w:tc>
      </w:tr>
      <w:tr>
        <w:trPr>
          <w:trHeight w:val="229" w:hRule="atLeast"/>
        </w:trPr>
        <w:tc>
          <w:tcPr>
            <w:tcW w:w="15275" w:type="dxa"/>
            <w:gridSpan w:val="7"/>
          </w:tcPr>
          <w:p>
            <w:pPr>
              <w:pStyle w:val="TableParagraph"/>
              <w:spacing w:line="209" w:lineRule="exact"/>
              <w:ind w:left="4433"/>
              <w:rPr>
                <w:sz w:val="20"/>
              </w:rPr>
            </w:pPr>
            <w:r>
              <w:rPr>
                <w:sz w:val="20"/>
              </w:rPr>
              <w:t>S65.2,</w:t>
            </w:r>
            <w:r>
              <w:rPr>
                <w:spacing w:val="-6"/>
                <w:sz w:val="20"/>
              </w:rPr>
              <w:t> </w:t>
            </w:r>
            <w:r>
              <w:rPr>
                <w:sz w:val="20"/>
              </w:rPr>
              <w:t>S65.3,</w:t>
            </w:r>
            <w:r>
              <w:rPr>
                <w:spacing w:val="-5"/>
                <w:sz w:val="20"/>
              </w:rPr>
              <w:t> </w:t>
            </w:r>
            <w:r>
              <w:rPr>
                <w:sz w:val="20"/>
              </w:rPr>
              <w:t>S65.4,</w:t>
            </w:r>
            <w:r>
              <w:rPr>
                <w:spacing w:val="-5"/>
                <w:sz w:val="20"/>
              </w:rPr>
              <w:t> </w:t>
            </w:r>
            <w:r>
              <w:rPr>
                <w:sz w:val="20"/>
              </w:rPr>
              <w:t>S65.5,</w:t>
            </w:r>
            <w:r>
              <w:rPr>
                <w:spacing w:val="-7"/>
                <w:sz w:val="20"/>
              </w:rPr>
              <w:t> </w:t>
            </w:r>
            <w:r>
              <w:rPr>
                <w:sz w:val="20"/>
              </w:rPr>
              <w:t>S65.7,</w:t>
            </w:r>
            <w:r>
              <w:rPr>
                <w:spacing w:val="-5"/>
                <w:sz w:val="20"/>
              </w:rPr>
              <w:t> </w:t>
            </w:r>
            <w:r>
              <w:rPr>
                <w:sz w:val="20"/>
              </w:rPr>
              <w:t>S65.8,</w:t>
            </w:r>
            <w:r>
              <w:rPr>
                <w:spacing w:val="-5"/>
                <w:sz w:val="20"/>
              </w:rPr>
              <w:t> </w:t>
            </w:r>
            <w:r>
              <w:rPr>
                <w:spacing w:val="-2"/>
                <w:sz w:val="20"/>
              </w:rPr>
              <w:t>S65.9,</w:t>
            </w:r>
          </w:p>
        </w:tc>
      </w:tr>
      <w:tr>
        <w:trPr>
          <w:trHeight w:val="229" w:hRule="atLeast"/>
        </w:trPr>
        <w:tc>
          <w:tcPr>
            <w:tcW w:w="15275" w:type="dxa"/>
            <w:gridSpan w:val="7"/>
          </w:tcPr>
          <w:p>
            <w:pPr>
              <w:pStyle w:val="TableParagraph"/>
              <w:spacing w:line="209" w:lineRule="exact"/>
              <w:ind w:left="4507"/>
              <w:rPr>
                <w:sz w:val="20"/>
              </w:rPr>
            </w:pPr>
            <w:r>
              <w:rPr>
                <w:sz w:val="20"/>
              </w:rPr>
              <w:t>S69.8,</w:t>
            </w:r>
            <w:r>
              <w:rPr>
                <w:spacing w:val="-6"/>
                <w:sz w:val="20"/>
              </w:rPr>
              <w:t> </w:t>
            </w:r>
            <w:r>
              <w:rPr>
                <w:sz w:val="20"/>
              </w:rPr>
              <w:t>S69.9,</w:t>
            </w:r>
            <w:r>
              <w:rPr>
                <w:spacing w:val="-6"/>
                <w:sz w:val="20"/>
              </w:rPr>
              <w:t> </w:t>
            </w:r>
            <w:r>
              <w:rPr>
                <w:sz w:val="20"/>
              </w:rPr>
              <w:t>S70,</w:t>
            </w:r>
            <w:r>
              <w:rPr>
                <w:spacing w:val="-5"/>
                <w:sz w:val="20"/>
              </w:rPr>
              <w:t> </w:t>
            </w:r>
            <w:r>
              <w:rPr>
                <w:sz w:val="20"/>
              </w:rPr>
              <w:t>S70.0,</w:t>
            </w:r>
            <w:r>
              <w:rPr>
                <w:spacing w:val="-6"/>
                <w:sz w:val="20"/>
              </w:rPr>
              <w:t> </w:t>
            </w:r>
            <w:r>
              <w:rPr>
                <w:sz w:val="20"/>
              </w:rPr>
              <w:t>S70.1,</w:t>
            </w:r>
            <w:r>
              <w:rPr>
                <w:spacing w:val="-5"/>
                <w:sz w:val="20"/>
              </w:rPr>
              <w:t> </w:t>
            </w:r>
            <w:r>
              <w:rPr>
                <w:sz w:val="20"/>
              </w:rPr>
              <w:t>S70.7,</w:t>
            </w:r>
            <w:r>
              <w:rPr>
                <w:spacing w:val="-6"/>
                <w:sz w:val="20"/>
              </w:rPr>
              <w:t> </w:t>
            </w:r>
            <w:r>
              <w:rPr>
                <w:spacing w:val="-2"/>
                <w:sz w:val="20"/>
              </w:rPr>
              <w:t>S70.8,</w:t>
            </w:r>
          </w:p>
        </w:tc>
      </w:tr>
      <w:tr>
        <w:trPr>
          <w:trHeight w:val="230" w:hRule="atLeast"/>
        </w:trPr>
        <w:tc>
          <w:tcPr>
            <w:tcW w:w="15275" w:type="dxa"/>
            <w:gridSpan w:val="7"/>
          </w:tcPr>
          <w:p>
            <w:pPr>
              <w:pStyle w:val="TableParagraph"/>
              <w:spacing w:line="210" w:lineRule="exact"/>
              <w:ind w:left="4582"/>
              <w:rPr>
                <w:sz w:val="20"/>
              </w:rPr>
            </w:pPr>
            <w:r>
              <w:rPr>
                <w:sz w:val="20"/>
              </w:rPr>
              <w:t>S70.9,</w:t>
            </w:r>
            <w:r>
              <w:rPr>
                <w:spacing w:val="-6"/>
                <w:sz w:val="20"/>
              </w:rPr>
              <w:t> </w:t>
            </w:r>
            <w:r>
              <w:rPr>
                <w:sz w:val="20"/>
              </w:rPr>
              <w:t>S71,</w:t>
            </w:r>
            <w:r>
              <w:rPr>
                <w:spacing w:val="-6"/>
                <w:sz w:val="20"/>
              </w:rPr>
              <w:t> </w:t>
            </w:r>
            <w:r>
              <w:rPr>
                <w:sz w:val="20"/>
              </w:rPr>
              <w:t>S71.0,</w:t>
            </w:r>
            <w:r>
              <w:rPr>
                <w:spacing w:val="-5"/>
                <w:sz w:val="20"/>
              </w:rPr>
              <w:t> </w:t>
            </w:r>
            <w:r>
              <w:rPr>
                <w:sz w:val="20"/>
              </w:rPr>
              <w:t>S71.1,</w:t>
            </w:r>
            <w:r>
              <w:rPr>
                <w:spacing w:val="-6"/>
                <w:sz w:val="20"/>
              </w:rPr>
              <w:t> </w:t>
            </w:r>
            <w:r>
              <w:rPr>
                <w:sz w:val="20"/>
              </w:rPr>
              <w:t>S71.7,</w:t>
            </w:r>
            <w:r>
              <w:rPr>
                <w:spacing w:val="-5"/>
                <w:sz w:val="20"/>
              </w:rPr>
              <w:t> </w:t>
            </w:r>
            <w:r>
              <w:rPr>
                <w:sz w:val="20"/>
              </w:rPr>
              <w:t>S71.8,</w:t>
            </w:r>
            <w:r>
              <w:rPr>
                <w:spacing w:val="-6"/>
                <w:sz w:val="20"/>
              </w:rPr>
              <w:t> </w:t>
            </w:r>
            <w:r>
              <w:rPr>
                <w:spacing w:val="-4"/>
                <w:sz w:val="20"/>
              </w:rPr>
              <w:t>S75,</w:t>
            </w:r>
          </w:p>
        </w:tc>
      </w:tr>
      <w:tr>
        <w:trPr>
          <w:trHeight w:val="230" w:hRule="atLeast"/>
        </w:trPr>
        <w:tc>
          <w:tcPr>
            <w:tcW w:w="15275" w:type="dxa"/>
            <w:gridSpan w:val="7"/>
          </w:tcPr>
          <w:p>
            <w:pPr>
              <w:pStyle w:val="TableParagraph"/>
              <w:spacing w:line="210" w:lineRule="exact"/>
              <w:ind w:left="4433"/>
              <w:rPr>
                <w:sz w:val="20"/>
              </w:rPr>
            </w:pPr>
            <w:r>
              <w:rPr>
                <w:sz w:val="20"/>
              </w:rPr>
              <w:t>S75.0,</w:t>
            </w:r>
            <w:r>
              <w:rPr>
                <w:spacing w:val="-6"/>
                <w:sz w:val="20"/>
              </w:rPr>
              <w:t> </w:t>
            </w:r>
            <w:r>
              <w:rPr>
                <w:sz w:val="20"/>
              </w:rPr>
              <w:t>S75.1,</w:t>
            </w:r>
            <w:r>
              <w:rPr>
                <w:spacing w:val="-5"/>
                <w:sz w:val="20"/>
              </w:rPr>
              <w:t> </w:t>
            </w:r>
            <w:r>
              <w:rPr>
                <w:sz w:val="20"/>
              </w:rPr>
              <w:t>S75.2,</w:t>
            </w:r>
            <w:r>
              <w:rPr>
                <w:spacing w:val="-5"/>
                <w:sz w:val="20"/>
              </w:rPr>
              <w:t> </w:t>
            </w:r>
            <w:r>
              <w:rPr>
                <w:sz w:val="20"/>
              </w:rPr>
              <w:t>S75.7,</w:t>
            </w:r>
            <w:r>
              <w:rPr>
                <w:spacing w:val="-7"/>
                <w:sz w:val="20"/>
              </w:rPr>
              <w:t> </w:t>
            </w:r>
            <w:r>
              <w:rPr>
                <w:sz w:val="20"/>
              </w:rPr>
              <w:t>S75.8,</w:t>
            </w:r>
            <w:r>
              <w:rPr>
                <w:spacing w:val="-5"/>
                <w:sz w:val="20"/>
              </w:rPr>
              <w:t> </w:t>
            </w:r>
            <w:r>
              <w:rPr>
                <w:sz w:val="20"/>
              </w:rPr>
              <w:t>S75.9,</w:t>
            </w:r>
            <w:r>
              <w:rPr>
                <w:spacing w:val="-5"/>
                <w:sz w:val="20"/>
              </w:rPr>
              <w:t> </w:t>
            </w:r>
            <w:r>
              <w:rPr>
                <w:spacing w:val="-2"/>
                <w:sz w:val="20"/>
              </w:rPr>
              <w:t>S79.8,</w:t>
            </w:r>
          </w:p>
        </w:tc>
      </w:tr>
      <w:tr>
        <w:trPr>
          <w:trHeight w:val="230" w:hRule="atLeast"/>
        </w:trPr>
        <w:tc>
          <w:tcPr>
            <w:tcW w:w="15275" w:type="dxa"/>
            <w:gridSpan w:val="7"/>
          </w:tcPr>
          <w:p>
            <w:pPr>
              <w:pStyle w:val="TableParagraph"/>
              <w:spacing w:line="210" w:lineRule="exact"/>
              <w:ind w:left="4507"/>
              <w:rPr>
                <w:sz w:val="20"/>
              </w:rPr>
            </w:pPr>
            <w:r>
              <w:rPr>
                <w:sz w:val="20"/>
              </w:rPr>
              <w:t>S79.9,</w:t>
            </w:r>
            <w:r>
              <w:rPr>
                <w:spacing w:val="-6"/>
                <w:sz w:val="20"/>
              </w:rPr>
              <w:t> </w:t>
            </w:r>
            <w:r>
              <w:rPr>
                <w:sz w:val="20"/>
              </w:rPr>
              <w:t>S80,</w:t>
            </w:r>
            <w:r>
              <w:rPr>
                <w:spacing w:val="-6"/>
                <w:sz w:val="20"/>
              </w:rPr>
              <w:t> </w:t>
            </w:r>
            <w:r>
              <w:rPr>
                <w:sz w:val="20"/>
              </w:rPr>
              <w:t>S80.0,</w:t>
            </w:r>
            <w:r>
              <w:rPr>
                <w:spacing w:val="-5"/>
                <w:sz w:val="20"/>
              </w:rPr>
              <w:t> </w:t>
            </w:r>
            <w:r>
              <w:rPr>
                <w:sz w:val="20"/>
              </w:rPr>
              <w:t>S80.1,</w:t>
            </w:r>
            <w:r>
              <w:rPr>
                <w:spacing w:val="-6"/>
                <w:sz w:val="20"/>
              </w:rPr>
              <w:t> </w:t>
            </w:r>
            <w:r>
              <w:rPr>
                <w:sz w:val="20"/>
              </w:rPr>
              <w:t>S80.7,</w:t>
            </w:r>
            <w:r>
              <w:rPr>
                <w:spacing w:val="-5"/>
                <w:sz w:val="20"/>
              </w:rPr>
              <w:t> </w:t>
            </w:r>
            <w:r>
              <w:rPr>
                <w:sz w:val="20"/>
              </w:rPr>
              <w:t>S80.8,</w:t>
            </w:r>
            <w:r>
              <w:rPr>
                <w:spacing w:val="-6"/>
                <w:sz w:val="20"/>
              </w:rPr>
              <w:t> </w:t>
            </w:r>
            <w:r>
              <w:rPr>
                <w:spacing w:val="-2"/>
                <w:sz w:val="20"/>
              </w:rPr>
              <w:t>S80.9,</w:t>
            </w:r>
          </w:p>
        </w:tc>
      </w:tr>
      <w:tr>
        <w:trPr>
          <w:trHeight w:val="230" w:hRule="atLeast"/>
        </w:trPr>
        <w:tc>
          <w:tcPr>
            <w:tcW w:w="15275" w:type="dxa"/>
            <w:gridSpan w:val="7"/>
          </w:tcPr>
          <w:p>
            <w:pPr>
              <w:pStyle w:val="TableParagraph"/>
              <w:spacing w:line="211" w:lineRule="exact"/>
              <w:ind w:left="4582"/>
              <w:rPr>
                <w:sz w:val="20"/>
              </w:rPr>
            </w:pPr>
            <w:r>
              <w:rPr>
                <w:sz w:val="20"/>
              </w:rPr>
              <w:t>S81,</w:t>
            </w:r>
            <w:r>
              <w:rPr>
                <w:spacing w:val="-5"/>
                <w:sz w:val="20"/>
              </w:rPr>
              <w:t> </w:t>
            </w:r>
            <w:r>
              <w:rPr>
                <w:sz w:val="20"/>
              </w:rPr>
              <w:t>S81.0,</w:t>
            </w:r>
            <w:r>
              <w:rPr>
                <w:spacing w:val="-5"/>
                <w:sz w:val="20"/>
              </w:rPr>
              <w:t> </w:t>
            </w:r>
            <w:r>
              <w:rPr>
                <w:sz w:val="20"/>
              </w:rPr>
              <w:t>S81.7,</w:t>
            </w:r>
            <w:r>
              <w:rPr>
                <w:spacing w:val="-5"/>
                <w:sz w:val="20"/>
              </w:rPr>
              <w:t> </w:t>
            </w:r>
            <w:r>
              <w:rPr>
                <w:sz w:val="20"/>
              </w:rPr>
              <w:t>S81.8,</w:t>
            </w:r>
            <w:r>
              <w:rPr>
                <w:spacing w:val="-5"/>
                <w:sz w:val="20"/>
              </w:rPr>
              <w:t> </w:t>
            </w:r>
            <w:r>
              <w:rPr>
                <w:sz w:val="20"/>
              </w:rPr>
              <w:t>S81.9,</w:t>
            </w:r>
            <w:r>
              <w:rPr>
                <w:spacing w:val="-5"/>
                <w:sz w:val="20"/>
              </w:rPr>
              <w:t> </w:t>
            </w:r>
            <w:r>
              <w:rPr>
                <w:sz w:val="20"/>
              </w:rPr>
              <w:t>S85,</w:t>
            </w:r>
            <w:r>
              <w:rPr>
                <w:spacing w:val="-5"/>
                <w:sz w:val="20"/>
              </w:rPr>
              <w:t> </w:t>
            </w:r>
            <w:r>
              <w:rPr>
                <w:spacing w:val="-2"/>
                <w:sz w:val="20"/>
              </w:rPr>
              <w:t>S85.0,</w:t>
            </w:r>
          </w:p>
        </w:tc>
      </w:tr>
      <w:tr>
        <w:trPr>
          <w:trHeight w:val="229" w:hRule="atLeast"/>
        </w:trPr>
        <w:tc>
          <w:tcPr>
            <w:tcW w:w="15275" w:type="dxa"/>
            <w:gridSpan w:val="7"/>
          </w:tcPr>
          <w:p>
            <w:pPr>
              <w:pStyle w:val="TableParagraph"/>
              <w:spacing w:line="210" w:lineRule="exact"/>
              <w:ind w:left="4433"/>
              <w:rPr>
                <w:sz w:val="20"/>
              </w:rPr>
            </w:pPr>
            <w:r>
              <w:rPr>
                <w:sz w:val="20"/>
              </w:rPr>
              <w:t>S85.1,</w:t>
            </w:r>
            <w:r>
              <w:rPr>
                <w:spacing w:val="-6"/>
                <w:sz w:val="20"/>
              </w:rPr>
              <w:t> </w:t>
            </w:r>
            <w:r>
              <w:rPr>
                <w:sz w:val="20"/>
              </w:rPr>
              <w:t>S85.2,</w:t>
            </w:r>
            <w:r>
              <w:rPr>
                <w:spacing w:val="-5"/>
                <w:sz w:val="20"/>
              </w:rPr>
              <w:t> </w:t>
            </w:r>
            <w:r>
              <w:rPr>
                <w:sz w:val="20"/>
              </w:rPr>
              <w:t>S85.3,</w:t>
            </w:r>
            <w:r>
              <w:rPr>
                <w:spacing w:val="-5"/>
                <w:sz w:val="20"/>
              </w:rPr>
              <w:t> </w:t>
            </w:r>
            <w:r>
              <w:rPr>
                <w:sz w:val="20"/>
              </w:rPr>
              <w:t>S85.4,</w:t>
            </w:r>
            <w:r>
              <w:rPr>
                <w:spacing w:val="-7"/>
                <w:sz w:val="20"/>
              </w:rPr>
              <w:t> </w:t>
            </w:r>
            <w:r>
              <w:rPr>
                <w:sz w:val="20"/>
              </w:rPr>
              <w:t>S85.5,</w:t>
            </w:r>
            <w:r>
              <w:rPr>
                <w:spacing w:val="-5"/>
                <w:sz w:val="20"/>
              </w:rPr>
              <w:t> </w:t>
            </w:r>
            <w:r>
              <w:rPr>
                <w:sz w:val="20"/>
              </w:rPr>
              <w:t>S85.7,</w:t>
            </w:r>
            <w:r>
              <w:rPr>
                <w:spacing w:val="-5"/>
                <w:sz w:val="20"/>
              </w:rPr>
              <w:t> </w:t>
            </w:r>
            <w:r>
              <w:rPr>
                <w:spacing w:val="-2"/>
                <w:sz w:val="20"/>
              </w:rPr>
              <w:t>S85.8,</w:t>
            </w:r>
          </w:p>
        </w:tc>
      </w:tr>
      <w:tr>
        <w:trPr>
          <w:trHeight w:val="229" w:hRule="atLeast"/>
        </w:trPr>
        <w:tc>
          <w:tcPr>
            <w:tcW w:w="15275" w:type="dxa"/>
            <w:gridSpan w:val="7"/>
          </w:tcPr>
          <w:p>
            <w:pPr>
              <w:pStyle w:val="TableParagraph"/>
              <w:spacing w:line="209" w:lineRule="exact"/>
              <w:ind w:left="4507"/>
              <w:rPr>
                <w:sz w:val="20"/>
              </w:rPr>
            </w:pPr>
            <w:r>
              <w:rPr>
                <w:sz w:val="20"/>
              </w:rPr>
              <w:t>S85.9,</w:t>
            </w:r>
            <w:r>
              <w:rPr>
                <w:spacing w:val="-6"/>
                <w:sz w:val="20"/>
              </w:rPr>
              <w:t> </w:t>
            </w:r>
            <w:r>
              <w:rPr>
                <w:sz w:val="20"/>
              </w:rPr>
              <w:t>S89.8,</w:t>
            </w:r>
            <w:r>
              <w:rPr>
                <w:spacing w:val="-6"/>
                <w:sz w:val="20"/>
              </w:rPr>
              <w:t> </w:t>
            </w:r>
            <w:r>
              <w:rPr>
                <w:sz w:val="20"/>
              </w:rPr>
              <w:t>S89.9,</w:t>
            </w:r>
            <w:r>
              <w:rPr>
                <w:spacing w:val="-5"/>
                <w:sz w:val="20"/>
              </w:rPr>
              <w:t> </w:t>
            </w:r>
            <w:r>
              <w:rPr>
                <w:sz w:val="20"/>
              </w:rPr>
              <w:t>S90,</w:t>
            </w:r>
            <w:r>
              <w:rPr>
                <w:spacing w:val="-6"/>
                <w:sz w:val="20"/>
              </w:rPr>
              <w:t> </w:t>
            </w:r>
            <w:r>
              <w:rPr>
                <w:sz w:val="20"/>
              </w:rPr>
              <w:t>S90.0,</w:t>
            </w:r>
            <w:r>
              <w:rPr>
                <w:spacing w:val="-5"/>
                <w:sz w:val="20"/>
              </w:rPr>
              <w:t> </w:t>
            </w:r>
            <w:r>
              <w:rPr>
                <w:sz w:val="20"/>
              </w:rPr>
              <w:t>S90.1,</w:t>
            </w:r>
            <w:r>
              <w:rPr>
                <w:spacing w:val="-6"/>
                <w:sz w:val="20"/>
              </w:rPr>
              <w:t> </w:t>
            </w:r>
            <w:r>
              <w:rPr>
                <w:spacing w:val="-2"/>
                <w:sz w:val="20"/>
              </w:rPr>
              <w:t>S90.2,</w:t>
            </w:r>
          </w:p>
        </w:tc>
      </w:tr>
      <w:tr>
        <w:trPr>
          <w:trHeight w:val="230" w:hRule="atLeast"/>
        </w:trPr>
        <w:tc>
          <w:tcPr>
            <w:tcW w:w="15275" w:type="dxa"/>
            <w:gridSpan w:val="7"/>
          </w:tcPr>
          <w:p>
            <w:pPr>
              <w:pStyle w:val="TableParagraph"/>
              <w:spacing w:line="210" w:lineRule="exact"/>
              <w:ind w:left="4507"/>
              <w:rPr>
                <w:sz w:val="20"/>
              </w:rPr>
            </w:pPr>
            <w:r>
              <w:rPr>
                <w:sz w:val="20"/>
              </w:rPr>
              <w:t>S90.3,</w:t>
            </w:r>
            <w:r>
              <w:rPr>
                <w:spacing w:val="-6"/>
                <w:sz w:val="20"/>
              </w:rPr>
              <w:t> </w:t>
            </w:r>
            <w:r>
              <w:rPr>
                <w:sz w:val="20"/>
              </w:rPr>
              <w:t>S90.7,</w:t>
            </w:r>
            <w:r>
              <w:rPr>
                <w:spacing w:val="-5"/>
                <w:sz w:val="20"/>
              </w:rPr>
              <w:t> </w:t>
            </w:r>
            <w:r>
              <w:rPr>
                <w:sz w:val="20"/>
              </w:rPr>
              <w:t>S90.8,</w:t>
            </w:r>
            <w:r>
              <w:rPr>
                <w:spacing w:val="-2"/>
                <w:sz w:val="20"/>
              </w:rPr>
              <w:t> </w:t>
            </w:r>
            <w:r>
              <w:rPr>
                <w:sz w:val="20"/>
              </w:rPr>
              <w:t>S90.9,</w:t>
            </w:r>
            <w:r>
              <w:rPr>
                <w:spacing w:val="-7"/>
                <w:sz w:val="20"/>
              </w:rPr>
              <w:t> </w:t>
            </w:r>
            <w:r>
              <w:rPr>
                <w:sz w:val="20"/>
              </w:rPr>
              <w:t>S91,</w:t>
            </w:r>
            <w:r>
              <w:rPr>
                <w:spacing w:val="-5"/>
                <w:sz w:val="20"/>
              </w:rPr>
              <w:t> </w:t>
            </w:r>
            <w:r>
              <w:rPr>
                <w:sz w:val="20"/>
              </w:rPr>
              <w:t>S91.0,</w:t>
            </w:r>
            <w:r>
              <w:rPr>
                <w:spacing w:val="-5"/>
                <w:sz w:val="20"/>
              </w:rPr>
              <w:t> </w:t>
            </w:r>
            <w:r>
              <w:rPr>
                <w:spacing w:val="-2"/>
                <w:sz w:val="20"/>
              </w:rPr>
              <w:t>S91.1,</w:t>
            </w:r>
          </w:p>
        </w:tc>
      </w:tr>
      <w:tr>
        <w:trPr>
          <w:trHeight w:val="230" w:hRule="atLeast"/>
        </w:trPr>
        <w:tc>
          <w:tcPr>
            <w:tcW w:w="15275" w:type="dxa"/>
            <w:gridSpan w:val="7"/>
          </w:tcPr>
          <w:p>
            <w:pPr>
              <w:pStyle w:val="TableParagraph"/>
              <w:spacing w:line="210" w:lineRule="exact"/>
              <w:ind w:left="4507"/>
              <w:rPr>
                <w:sz w:val="20"/>
              </w:rPr>
            </w:pPr>
            <w:r>
              <w:rPr>
                <w:sz w:val="20"/>
              </w:rPr>
              <w:t>S91.2,</w:t>
            </w:r>
            <w:r>
              <w:rPr>
                <w:spacing w:val="-6"/>
                <w:sz w:val="20"/>
              </w:rPr>
              <w:t> </w:t>
            </w:r>
            <w:r>
              <w:rPr>
                <w:sz w:val="20"/>
              </w:rPr>
              <w:t>S91.3,</w:t>
            </w:r>
            <w:r>
              <w:rPr>
                <w:spacing w:val="-6"/>
                <w:sz w:val="20"/>
              </w:rPr>
              <w:t> </w:t>
            </w:r>
            <w:r>
              <w:rPr>
                <w:sz w:val="20"/>
              </w:rPr>
              <w:t>S91.7,</w:t>
            </w:r>
            <w:r>
              <w:rPr>
                <w:spacing w:val="-5"/>
                <w:sz w:val="20"/>
              </w:rPr>
              <w:t> </w:t>
            </w:r>
            <w:r>
              <w:rPr>
                <w:sz w:val="20"/>
              </w:rPr>
              <w:t>S95,</w:t>
            </w:r>
            <w:r>
              <w:rPr>
                <w:spacing w:val="-6"/>
                <w:sz w:val="20"/>
              </w:rPr>
              <w:t> </w:t>
            </w:r>
            <w:r>
              <w:rPr>
                <w:sz w:val="20"/>
              </w:rPr>
              <w:t>S95.0,</w:t>
            </w:r>
            <w:r>
              <w:rPr>
                <w:spacing w:val="-5"/>
                <w:sz w:val="20"/>
              </w:rPr>
              <w:t> </w:t>
            </w:r>
            <w:r>
              <w:rPr>
                <w:sz w:val="20"/>
              </w:rPr>
              <w:t>S95.1,</w:t>
            </w:r>
            <w:r>
              <w:rPr>
                <w:spacing w:val="-6"/>
                <w:sz w:val="20"/>
              </w:rPr>
              <w:t> </w:t>
            </w:r>
            <w:r>
              <w:rPr>
                <w:spacing w:val="-2"/>
                <w:sz w:val="20"/>
              </w:rPr>
              <w:t>S95.2,</w:t>
            </w:r>
          </w:p>
        </w:tc>
      </w:tr>
      <w:tr>
        <w:trPr>
          <w:trHeight w:val="230" w:hRule="atLeast"/>
        </w:trPr>
        <w:tc>
          <w:tcPr>
            <w:tcW w:w="15275" w:type="dxa"/>
            <w:gridSpan w:val="7"/>
          </w:tcPr>
          <w:p>
            <w:pPr>
              <w:pStyle w:val="TableParagraph"/>
              <w:spacing w:line="210" w:lineRule="exact"/>
              <w:ind w:left="4498"/>
              <w:rPr>
                <w:sz w:val="20"/>
              </w:rPr>
            </w:pPr>
            <w:r>
              <w:rPr>
                <w:sz w:val="20"/>
              </w:rPr>
              <w:t>S95.7,</w:t>
            </w:r>
            <w:r>
              <w:rPr>
                <w:spacing w:val="-5"/>
                <w:sz w:val="20"/>
              </w:rPr>
              <w:t> </w:t>
            </w:r>
            <w:r>
              <w:rPr>
                <w:sz w:val="20"/>
              </w:rPr>
              <w:t>S95.8,</w:t>
            </w:r>
            <w:r>
              <w:rPr>
                <w:spacing w:val="-4"/>
                <w:sz w:val="20"/>
              </w:rPr>
              <w:t> </w:t>
            </w:r>
            <w:r>
              <w:rPr>
                <w:sz w:val="20"/>
              </w:rPr>
              <w:t>S95.9,</w:t>
            </w:r>
            <w:r>
              <w:rPr>
                <w:spacing w:val="-5"/>
                <w:sz w:val="20"/>
              </w:rPr>
              <w:t> </w:t>
            </w:r>
            <w:r>
              <w:rPr>
                <w:sz w:val="20"/>
              </w:rPr>
              <w:t>S99.8,</w:t>
            </w:r>
            <w:r>
              <w:rPr>
                <w:spacing w:val="-6"/>
                <w:sz w:val="20"/>
              </w:rPr>
              <w:t> </w:t>
            </w:r>
            <w:r>
              <w:rPr>
                <w:sz w:val="20"/>
              </w:rPr>
              <w:t>S99.9,</w:t>
            </w:r>
            <w:r>
              <w:rPr>
                <w:spacing w:val="-6"/>
                <w:sz w:val="20"/>
              </w:rPr>
              <w:t> </w:t>
            </w:r>
            <w:r>
              <w:rPr>
                <w:sz w:val="20"/>
              </w:rPr>
              <w:t>T00,</w:t>
            </w:r>
            <w:r>
              <w:rPr>
                <w:spacing w:val="-7"/>
                <w:sz w:val="20"/>
              </w:rPr>
              <w:t> </w:t>
            </w:r>
            <w:r>
              <w:rPr>
                <w:spacing w:val="-2"/>
                <w:sz w:val="20"/>
              </w:rPr>
              <w:t>T00.0,</w:t>
            </w:r>
          </w:p>
        </w:tc>
      </w:tr>
      <w:tr>
        <w:trPr>
          <w:trHeight w:val="230" w:hRule="atLeast"/>
        </w:trPr>
        <w:tc>
          <w:tcPr>
            <w:tcW w:w="15275" w:type="dxa"/>
            <w:gridSpan w:val="7"/>
          </w:tcPr>
          <w:p>
            <w:pPr>
              <w:pStyle w:val="TableParagraph"/>
              <w:spacing w:line="210" w:lineRule="exact"/>
              <w:ind w:left="4469"/>
              <w:rPr>
                <w:sz w:val="20"/>
              </w:rPr>
            </w:pPr>
            <w:r>
              <w:rPr>
                <w:sz w:val="20"/>
              </w:rPr>
              <w:t>T00.1,</w:t>
            </w:r>
            <w:r>
              <w:rPr>
                <w:spacing w:val="-7"/>
                <w:sz w:val="20"/>
              </w:rPr>
              <w:t> </w:t>
            </w:r>
            <w:r>
              <w:rPr>
                <w:sz w:val="20"/>
              </w:rPr>
              <w:t>T00.2,</w:t>
            </w:r>
            <w:r>
              <w:rPr>
                <w:spacing w:val="-5"/>
                <w:sz w:val="20"/>
              </w:rPr>
              <w:t> </w:t>
            </w:r>
            <w:r>
              <w:rPr>
                <w:sz w:val="20"/>
              </w:rPr>
              <w:t>T00.3,</w:t>
            </w:r>
            <w:r>
              <w:rPr>
                <w:spacing w:val="-5"/>
                <w:sz w:val="20"/>
              </w:rPr>
              <w:t> </w:t>
            </w:r>
            <w:r>
              <w:rPr>
                <w:sz w:val="20"/>
              </w:rPr>
              <w:t>T00.6,</w:t>
            </w:r>
            <w:r>
              <w:rPr>
                <w:spacing w:val="-5"/>
                <w:sz w:val="20"/>
              </w:rPr>
              <w:t> </w:t>
            </w:r>
            <w:r>
              <w:rPr>
                <w:sz w:val="20"/>
              </w:rPr>
              <w:t>T00.8,</w:t>
            </w:r>
            <w:r>
              <w:rPr>
                <w:spacing w:val="-5"/>
                <w:sz w:val="20"/>
              </w:rPr>
              <w:t> </w:t>
            </w:r>
            <w:r>
              <w:rPr>
                <w:sz w:val="20"/>
              </w:rPr>
              <w:t>T00.9,</w:t>
            </w:r>
            <w:r>
              <w:rPr>
                <w:spacing w:val="-5"/>
                <w:sz w:val="20"/>
              </w:rPr>
              <w:t> </w:t>
            </w:r>
            <w:r>
              <w:rPr>
                <w:spacing w:val="-4"/>
                <w:sz w:val="20"/>
              </w:rPr>
              <w:t>T01,</w:t>
            </w:r>
          </w:p>
        </w:tc>
      </w:tr>
      <w:tr>
        <w:trPr>
          <w:trHeight w:val="229" w:hRule="atLeast"/>
        </w:trPr>
        <w:tc>
          <w:tcPr>
            <w:tcW w:w="15275" w:type="dxa"/>
            <w:gridSpan w:val="7"/>
          </w:tcPr>
          <w:p>
            <w:pPr>
              <w:pStyle w:val="TableParagraph"/>
              <w:spacing w:line="209" w:lineRule="exact"/>
              <w:ind w:left="4395"/>
              <w:rPr>
                <w:sz w:val="20"/>
              </w:rPr>
            </w:pPr>
            <w:r>
              <w:rPr>
                <w:sz w:val="20"/>
              </w:rPr>
              <w:t>T01.0,</w:t>
            </w:r>
            <w:r>
              <w:rPr>
                <w:spacing w:val="-7"/>
                <w:sz w:val="20"/>
              </w:rPr>
              <w:t> </w:t>
            </w:r>
            <w:r>
              <w:rPr>
                <w:sz w:val="20"/>
              </w:rPr>
              <w:t>T01.1,</w:t>
            </w:r>
            <w:r>
              <w:rPr>
                <w:spacing w:val="-5"/>
                <w:sz w:val="20"/>
              </w:rPr>
              <w:t> </w:t>
            </w:r>
            <w:r>
              <w:rPr>
                <w:sz w:val="20"/>
              </w:rPr>
              <w:t>T01.2,</w:t>
            </w:r>
            <w:r>
              <w:rPr>
                <w:spacing w:val="-5"/>
                <w:sz w:val="20"/>
              </w:rPr>
              <w:t> </w:t>
            </w:r>
            <w:r>
              <w:rPr>
                <w:sz w:val="20"/>
              </w:rPr>
              <w:t>T01.3,</w:t>
            </w:r>
            <w:r>
              <w:rPr>
                <w:spacing w:val="-5"/>
                <w:sz w:val="20"/>
              </w:rPr>
              <w:t> </w:t>
            </w:r>
            <w:r>
              <w:rPr>
                <w:sz w:val="20"/>
              </w:rPr>
              <w:t>T01.6,</w:t>
            </w:r>
            <w:r>
              <w:rPr>
                <w:spacing w:val="-5"/>
                <w:sz w:val="20"/>
              </w:rPr>
              <w:t> </w:t>
            </w:r>
            <w:r>
              <w:rPr>
                <w:sz w:val="20"/>
              </w:rPr>
              <w:t>T01.8,</w:t>
            </w:r>
            <w:r>
              <w:rPr>
                <w:spacing w:val="-5"/>
                <w:sz w:val="20"/>
              </w:rPr>
              <w:t> </w:t>
            </w:r>
            <w:r>
              <w:rPr>
                <w:spacing w:val="-2"/>
                <w:sz w:val="20"/>
              </w:rPr>
              <w:t>T01.9,</w:t>
            </w:r>
          </w:p>
        </w:tc>
      </w:tr>
      <w:tr>
        <w:trPr>
          <w:trHeight w:val="229" w:hRule="atLeast"/>
        </w:trPr>
        <w:tc>
          <w:tcPr>
            <w:tcW w:w="15275" w:type="dxa"/>
            <w:gridSpan w:val="7"/>
          </w:tcPr>
          <w:p>
            <w:pPr>
              <w:pStyle w:val="TableParagraph"/>
              <w:spacing w:line="209" w:lineRule="exact"/>
              <w:ind w:left="4543"/>
              <w:rPr>
                <w:sz w:val="20"/>
              </w:rPr>
            </w:pPr>
            <w:r>
              <w:rPr>
                <w:sz w:val="20"/>
              </w:rPr>
              <w:t>T09,</w:t>
            </w:r>
            <w:r>
              <w:rPr>
                <w:spacing w:val="-5"/>
                <w:sz w:val="20"/>
              </w:rPr>
              <w:t> </w:t>
            </w:r>
            <w:r>
              <w:rPr>
                <w:sz w:val="20"/>
              </w:rPr>
              <w:t>T09.0,</w:t>
            </w:r>
            <w:r>
              <w:rPr>
                <w:spacing w:val="-7"/>
                <w:sz w:val="20"/>
              </w:rPr>
              <w:t> </w:t>
            </w:r>
            <w:r>
              <w:rPr>
                <w:sz w:val="20"/>
              </w:rPr>
              <w:t>T09.1,</w:t>
            </w:r>
            <w:r>
              <w:rPr>
                <w:spacing w:val="-4"/>
                <w:sz w:val="20"/>
              </w:rPr>
              <w:t> </w:t>
            </w:r>
            <w:r>
              <w:rPr>
                <w:sz w:val="20"/>
              </w:rPr>
              <w:t>T09.8,</w:t>
            </w:r>
            <w:r>
              <w:rPr>
                <w:spacing w:val="-5"/>
                <w:sz w:val="20"/>
              </w:rPr>
              <w:t> </w:t>
            </w:r>
            <w:r>
              <w:rPr>
                <w:sz w:val="20"/>
              </w:rPr>
              <w:t>T09.9,</w:t>
            </w:r>
            <w:r>
              <w:rPr>
                <w:spacing w:val="-4"/>
                <w:sz w:val="20"/>
              </w:rPr>
              <w:t> </w:t>
            </w:r>
            <w:r>
              <w:rPr>
                <w:sz w:val="20"/>
              </w:rPr>
              <w:t>T11,</w:t>
            </w:r>
            <w:r>
              <w:rPr>
                <w:spacing w:val="-5"/>
                <w:sz w:val="20"/>
              </w:rPr>
              <w:t> </w:t>
            </w:r>
            <w:r>
              <w:rPr>
                <w:spacing w:val="-2"/>
                <w:sz w:val="20"/>
              </w:rPr>
              <w:t>T11.0,</w:t>
            </w:r>
          </w:p>
        </w:tc>
      </w:tr>
      <w:tr>
        <w:trPr>
          <w:trHeight w:val="230" w:hRule="atLeast"/>
        </w:trPr>
        <w:tc>
          <w:tcPr>
            <w:tcW w:w="15275" w:type="dxa"/>
            <w:gridSpan w:val="7"/>
          </w:tcPr>
          <w:p>
            <w:pPr>
              <w:pStyle w:val="TableParagraph"/>
              <w:spacing w:line="210" w:lineRule="exact"/>
              <w:ind w:left="4469"/>
              <w:rPr>
                <w:sz w:val="20"/>
              </w:rPr>
            </w:pPr>
            <w:r>
              <w:rPr>
                <w:sz w:val="20"/>
              </w:rPr>
              <w:t>T11.1,</w:t>
            </w:r>
            <w:r>
              <w:rPr>
                <w:spacing w:val="-7"/>
                <w:sz w:val="20"/>
              </w:rPr>
              <w:t> </w:t>
            </w:r>
            <w:r>
              <w:rPr>
                <w:sz w:val="20"/>
              </w:rPr>
              <w:t>T11.4,</w:t>
            </w:r>
            <w:r>
              <w:rPr>
                <w:spacing w:val="-4"/>
                <w:sz w:val="20"/>
              </w:rPr>
              <w:t> </w:t>
            </w:r>
            <w:r>
              <w:rPr>
                <w:sz w:val="20"/>
              </w:rPr>
              <w:t>T11.8,</w:t>
            </w:r>
            <w:r>
              <w:rPr>
                <w:spacing w:val="-5"/>
                <w:sz w:val="20"/>
              </w:rPr>
              <w:t> </w:t>
            </w:r>
            <w:r>
              <w:rPr>
                <w:sz w:val="20"/>
              </w:rPr>
              <w:t>T11.9,</w:t>
            </w:r>
            <w:r>
              <w:rPr>
                <w:spacing w:val="-4"/>
                <w:sz w:val="20"/>
              </w:rPr>
              <w:t> </w:t>
            </w:r>
            <w:r>
              <w:rPr>
                <w:sz w:val="20"/>
              </w:rPr>
              <w:t>T13,</w:t>
            </w:r>
            <w:r>
              <w:rPr>
                <w:spacing w:val="-5"/>
                <w:sz w:val="20"/>
              </w:rPr>
              <w:t> </w:t>
            </w:r>
            <w:r>
              <w:rPr>
                <w:sz w:val="20"/>
              </w:rPr>
              <w:t>T13.0,</w:t>
            </w:r>
            <w:r>
              <w:rPr>
                <w:spacing w:val="-6"/>
                <w:sz w:val="20"/>
              </w:rPr>
              <w:t> </w:t>
            </w:r>
            <w:r>
              <w:rPr>
                <w:spacing w:val="-2"/>
                <w:sz w:val="20"/>
              </w:rPr>
              <w:t>T13.1,</w:t>
            </w:r>
          </w:p>
        </w:tc>
      </w:tr>
      <w:tr>
        <w:trPr>
          <w:trHeight w:val="230" w:hRule="atLeast"/>
        </w:trPr>
        <w:tc>
          <w:tcPr>
            <w:tcW w:w="15275" w:type="dxa"/>
            <w:gridSpan w:val="7"/>
          </w:tcPr>
          <w:p>
            <w:pPr>
              <w:pStyle w:val="TableParagraph"/>
              <w:spacing w:line="210" w:lineRule="exact"/>
              <w:ind w:left="4469"/>
              <w:rPr>
                <w:sz w:val="20"/>
              </w:rPr>
            </w:pPr>
            <w:r>
              <w:rPr>
                <w:sz w:val="20"/>
              </w:rPr>
              <w:t>T13.4,</w:t>
            </w:r>
            <w:r>
              <w:rPr>
                <w:spacing w:val="-7"/>
                <w:sz w:val="20"/>
              </w:rPr>
              <w:t> </w:t>
            </w:r>
            <w:r>
              <w:rPr>
                <w:sz w:val="20"/>
              </w:rPr>
              <w:t>T13.8,</w:t>
            </w:r>
            <w:r>
              <w:rPr>
                <w:spacing w:val="-5"/>
                <w:sz w:val="20"/>
              </w:rPr>
              <w:t> </w:t>
            </w:r>
            <w:r>
              <w:rPr>
                <w:sz w:val="20"/>
              </w:rPr>
              <w:t>T13.9,</w:t>
            </w:r>
            <w:r>
              <w:rPr>
                <w:spacing w:val="-5"/>
                <w:sz w:val="20"/>
              </w:rPr>
              <w:t> </w:t>
            </w:r>
            <w:r>
              <w:rPr>
                <w:sz w:val="20"/>
              </w:rPr>
              <w:t>T14,</w:t>
            </w:r>
            <w:r>
              <w:rPr>
                <w:spacing w:val="-5"/>
                <w:sz w:val="20"/>
              </w:rPr>
              <w:t> </w:t>
            </w:r>
            <w:r>
              <w:rPr>
                <w:sz w:val="20"/>
              </w:rPr>
              <w:t>T14.0,</w:t>
            </w:r>
            <w:r>
              <w:rPr>
                <w:spacing w:val="-5"/>
                <w:sz w:val="20"/>
              </w:rPr>
              <w:t> </w:t>
            </w:r>
            <w:r>
              <w:rPr>
                <w:sz w:val="20"/>
              </w:rPr>
              <w:t>T14.1,</w:t>
            </w:r>
            <w:r>
              <w:rPr>
                <w:spacing w:val="-5"/>
                <w:sz w:val="20"/>
              </w:rPr>
              <w:t> </w:t>
            </w:r>
            <w:r>
              <w:rPr>
                <w:spacing w:val="-2"/>
                <w:sz w:val="20"/>
              </w:rPr>
              <w:t>T14.5,</w:t>
            </w:r>
          </w:p>
        </w:tc>
      </w:tr>
      <w:tr>
        <w:trPr>
          <w:trHeight w:val="279" w:hRule="atLeast"/>
        </w:trPr>
        <w:tc>
          <w:tcPr>
            <w:tcW w:w="15275" w:type="dxa"/>
            <w:gridSpan w:val="7"/>
          </w:tcPr>
          <w:p>
            <w:pPr>
              <w:pStyle w:val="TableParagraph"/>
              <w:spacing w:line="226" w:lineRule="exact"/>
              <w:ind w:left="5841" w:right="8366"/>
              <w:jc w:val="center"/>
              <w:rPr>
                <w:sz w:val="20"/>
              </w:rPr>
            </w:pPr>
            <w:r>
              <w:rPr>
                <w:sz w:val="20"/>
              </w:rPr>
              <w:t>T14.8,</w:t>
            </w:r>
            <w:r>
              <w:rPr>
                <w:spacing w:val="-7"/>
                <w:sz w:val="20"/>
              </w:rPr>
              <w:t> </w:t>
            </w:r>
            <w:r>
              <w:rPr>
                <w:spacing w:val="-2"/>
                <w:sz w:val="20"/>
              </w:rPr>
              <w:t>T14.9</w:t>
            </w:r>
          </w:p>
        </w:tc>
      </w:tr>
      <w:tr>
        <w:trPr>
          <w:trHeight w:val="279" w:hRule="atLeast"/>
        </w:trPr>
        <w:tc>
          <w:tcPr>
            <w:tcW w:w="946" w:type="dxa"/>
          </w:tcPr>
          <w:p>
            <w:pPr>
              <w:pStyle w:val="TableParagraph"/>
              <w:spacing w:line="215" w:lineRule="exact" w:before="45"/>
              <w:ind w:left="50"/>
              <w:rPr>
                <w:sz w:val="20"/>
              </w:rPr>
            </w:pPr>
            <w:r>
              <w:rPr>
                <w:spacing w:val="-2"/>
                <w:sz w:val="20"/>
              </w:rPr>
              <w:t>st31.019</w:t>
            </w:r>
          </w:p>
        </w:tc>
        <w:tc>
          <w:tcPr>
            <w:tcW w:w="707" w:type="dxa"/>
          </w:tcPr>
          <w:p>
            <w:pPr>
              <w:pStyle w:val="TableParagraph"/>
              <w:spacing w:line="215" w:lineRule="exact" w:before="45"/>
              <w:ind w:left="210"/>
              <w:rPr>
                <w:sz w:val="20"/>
              </w:rPr>
            </w:pPr>
            <w:r>
              <w:rPr>
                <w:spacing w:val="-5"/>
                <w:sz w:val="20"/>
              </w:rPr>
              <w:t>315</w:t>
            </w:r>
          </w:p>
        </w:tc>
        <w:tc>
          <w:tcPr>
            <w:tcW w:w="3432"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молочной</w:t>
            </w:r>
          </w:p>
        </w:tc>
        <w:tc>
          <w:tcPr>
            <w:tcW w:w="2474" w:type="dxa"/>
          </w:tcPr>
          <w:p>
            <w:pPr>
              <w:pStyle w:val="TableParagraph"/>
              <w:spacing w:line="215" w:lineRule="exact" w:before="45"/>
              <w:ind w:left="100"/>
              <w:jc w:val="center"/>
              <w:rPr>
                <w:sz w:val="20"/>
              </w:rPr>
            </w:pPr>
            <w:r>
              <w:rPr>
                <w:w w:val="99"/>
                <w:sz w:val="20"/>
              </w:rPr>
              <w:t>-</w:t>
            </w:r>
          </w:p>
        </w:tc>
        <w:tc>
          <w:tcPr>
            <w:tcW w:w="4881" w:type="dxa"/>
          </w:tcPr>
          <w:p>
            <w:pPr>
              <w:pStyle w:val="TableParagraph"/>
              <w:spacing w:line="215" w:lineRule="exact" w:before="45"/>
              <w:ind w:left="1150" w:right="644"/>
              <w:jc w:val="center"/>
              <w:rPr>
                <w:sz w:val="20"/>
              </w:rPr>
            </w:pPr>
            <w:r>
              <w:rPr>
                <w:sz w:val="20"/>
              </w:rPr>
              <w:t>A16.20.031,</w:t>
            </w:r>
            <w:r>
              <w:rPr>
                <w:spacing w:val="-9"/>
                <w:sz w:val="20"/>
              </w:rPr>
              <w:t> </w:t>
            </w:r>
            <w:r>
              <w:rPr>
                <w:spacing w:val="-2"/>
                <w:sz w:val="20"/>
              </w:rPr>
              <w:t>A16.20.032,</w:t>
            </w:r>
          </w:p>
        </w:tc>
        <w:tc>
          <w:tcPr>
            <w:tcW w:w="1574" w:type="dxa"/>
          </w:tcPr>
          <w:p>
            <w:pPr>
              <w:pStyle w:val="TableParagraph"/>
              <w:spacing w:line="215" w:lineRule="exact" w:before="45"/>
              <w:ind w:right="212"/>
              <w:jc w:val="center"/>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1,19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spacing w:line="210" w:lineRule="exact"/>
              <w:ind w:left="192"/>
              <w:rPr>
                <w:sz w:val="20"/>
              </w:rPr>
            </w:pPr>
            <w:r>
              <w:rPr>
                <w:sz w:val="20"/>
              </w:rPr>
              <w:t>железе</w:t>
            </w:r>
            <w:r>
              <w:rPr>
                <w:spacing w:val="-8"/>
                <w:sz w:val="20"/>
              </w:rPr>
              <w:t> </w:t>
            </w:r>
            <w:r>
              <w:rPr>
                <w:spacing w:val="-2"/>
                <w:sz w:val="20"/>
              </w:rPr>
              <w:t>(кроме</w:t>
            </w:r>
          </w:p>
        </w:tc>
        <w:tc>
          <w:tcPr>
            <w:tcW w:w="2474" w:type="dxa"/>
          </w:tcPr>
          <w:p>
            <w:pPr>
              <w:pStyle w:val="TableParagraph"/>
              <w:rPr>
                <w:sz w:val="16"/>
              </w:rPr>
            </w:pPr>
          </w:p>
        </w:tc>
        <w:tc>
          <w:tcPr>
            <w:tcW w:w="4881" w:type="dxa"/>
          </w:tcPr>
          <w:p>
            <w:pPr>
              <w:pStyle w:val="TableParagraph"/>
              <w:spacing w:line="210" w:lineRule="exact"/>
              <w:ind w:left="1150" w:right="643"/>
              <w:jc w:val="center"/>
              <w:rPr>
                <w:sz w:val="20"/>
              </w:rPr>
            </w:pPr>
            <w:r>
              <w:rPr>
                <w:w w:val="95"/>
                <w:sz w:val="20"/>
              </w:rPr>
              <w:t>A16.20.032.001,</w:t>
            </w:r>
            <w:r>
              <w:rPr>
                <w:spacing w:val="54"/>
                <w:sz w:val="20"/>
              </w:rPr>
              <w:t> </w:t>
            </w:r>
            <w:r>
              <w:rPr>
                <w:spacing w:val="-2"/>
                <w:w w:val="95"/>
                <w:sz w:val="20"/>
              </w:rPr>
              <w:t>A16.20.032.002,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spacing w:line="210" w:lineRule="exact"/>
              <w:ind w:left="192"/>
              <w:rPr>
                <w:sz w:val="20"/>
              </w:rPr>
            </w:pPr>
            <w:r>
              <w:rPr>
                <w:spacing w:val="-2"/>
                <w:sz w:val="20"/>
              </w:rPr>
              <w:t>злокачественных</w:t>
            </w: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A16.20.032.005,</w:t>
            </w:r>
            <w:r>
              <w:rPr>
                <w:spacing w:val="54"/>
                <w:sz w:val="20"/>
              </w:rPr>
              <w:t> </w:t>
            </w:r>
            <w:r>
              <w:rPr>
                <w:spacing w:val="-2"/>
                <w:sz w:val="20"/>
              </w:rPr>
              <w:t>A16.20.032.006,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spacing w:line="210" w:lineRule="exact"/>
              <w:ind w:left="192"/>
              <w:rPr>
                <w:sz w:val="20"/>
              </w:rPr>
            </w:pPr>
            <w:r>
              <w:rPr>
                <w:spacing w:val="-2"/>
                <w:sz w:val="20"/>
              </w:rPr>
              <w:t>новообразований)</w:t>
            </w: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A16.20.032.007,</w:t>
            </w:r>
            <w:r>
              <w:rPr>
                <w:spacing w:val="54"/>
                <w:sz w:val="20"/>
              </w:rPr>
              <w:t> </w:t>
            </w:r>
            <w:r>
              <w:rPr>
                <w:spacing w:val="-2"/>
                <w:sz w:val="20"/>
              </w:rPr>
              <w:t>A16.20.032.011,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A16.20.043,</w:t>
            </w:r>
            <w:r>
              <w:rPr>
                <w:spacing w:val="-9"/>
                <w:sz w:val="20"/>
              </w:rPr>
              <w:t> </w:t>
            </w:r>
            <w:r>
              <w:rPr>
                <w:spacing w:val="-2"/>
                <w:sz w:val="20"/>
              </w:rPr>
              <w:t>A16.20.043.001,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A16.20.043.002,</w:t>
            </w:r>
            <w:r>
              <w:rPr>
                <w:spacing w:val="54"/>
                <w:sz w:val="20"/>
              </w:rPr>
              <w:t> </w:t>
            </w:r>
            <w:r>
              <w:rPr>
                <w:spacing w:val="-2"/>
                <w:sz w:val="20"/>
              </w:rPr>
              <w:t>A16.20.043.003,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A16.20.043.004,</w:t>
            </w:r>
            <w:r>
              <w:rPr>
                <w:spacing w:val="54"/>
                <w:sz w:val="20"/>
              </w:rPr>
              <w:t> </w:t>
            </w:r>
            <w:r>
              <w:rPr>
                <w:spacing w:val="-2"/>
                <w:sz w:val="20"/>
              </w:rPr>
              <w:t>A16.20.043.006,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A16.20.044,</w:t>
            </w:r>
            <w:r>
              <w:rPr>
                <w:spacing w:val="-9"/>
                <w:sz w:val="20"/>
              </w:rPr>
              <w:t> </w:t>
            </w:r>
            <w:r>
              <w:rPr>
                <w:sz w:val="20"/>
              </w:rPr>
              <w:t>A16.20.045,</w:t>
            </w:r>
            <w:r>
              <w:rPr>
                <w:spacing w:val="-10"/>
                <w:sz w:val="20"/>
              </w:rPr>
              <w:t> </w:t>
            </w:r>
            <w:r>
              <w:rPr>
                <w:spacing w:val="-2"/>
                <w:sz w:val="20"/>
              </w:rPr>
              <w:t>A16.20.047,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A16.20.048,</w:t>
            </w:r>
            <w:r>
              <w:rPr>
                <w:spacing w:val="-9"/>
                <w:sz w:val="20"/>
              </w:rPr>
              <w:t> </w:t>
            </w:r>
            <w:r>
              <w:rPr>
                <w:spacing w:val="-2"/>
                <w:sz w:val="20"/>
              </w:rPr>
              <w:t>A16.20.049,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A16.20.049.001,</w:t>
            </w:r>
            <w:r>
              <w:rPr>
                <w:spacing w:val="54"/>
                <w:sz w:val="20"/>
              </w:rPr>
              <w:t> </w:t>
            </w:r>
            <w:r>
              <w:rPr>
                <w:spacing w:val="-2"/>
                <w:sz w:val="20"/>
              </w:rPr>
              <w:t>A16.20.049.002,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50" w:right="643"/>
              <w:jc w:val="center"/>
              <w:rPr>
                <w:sz w:val="20"/>
              </w:rPr>
            </w:pPr>
            <w:r>
              <w:rPr>
                <w:sz w:val="20"/>
              </w:rPr>
              <w:t>A16.20.051,</w:t>
            </w:r>
            <w:r>
              <w:rPr>
                <w:spacing w:val="-9"/>
                <w:sz w:val="20"/>
              </w:rPr>
              <w:t> </w:t>
            </w:r>
            <w:r>
              <w:rPr>
                <w:spacing w:val="-2"/>
                <w:sz w:val="20"/>
              </w:rPr>
              <w:t>A16.20.085,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A16.20.085.002,</w:t>
            </w:r>
            <w:r>
              <w:rPr>
                <w:spacing w:val="54"/>
                <w:sz w:val="20"/>
              </w:rPr>
              <w:t> </w:t>
            </w:r>
            <w:r>
              <w:rPr>
                <w:spacing w:val="-2"/>
                <w:sz w:val="20"/>
              </w:rPr>
              <w:t>A16.20.085.003,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A16.20.085.004,</w:t>
            </w:r>
            <w:r>
              <w:rPr>
                <w:spacing w:val="54"/>
                <w:sz w:val="20"/>
              </w:rPr>
              <w:t> </w:t>
            </w:r>
            <w:r>
              <w:rPr>
                <w:spacing w:val="-2"/>
                <w:sz w:val="20"/>
              </w:rPr>
              <w:t>A16.20.085.005,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A16.20.085.006,</w:t>
            </w:r>
            <w:r>
              <w:rPr>
                <w:spacing w:val="54"/>
                <w:sz w:val="20"/>
              </w:rPr>
              <w:t> </w:t>
            </w:r>
            <w:r>
              <w:rPr>
                <w:spacing w:val="-2"/>
                <w:sz w:val="20"/>
              </w:rPr>
              <w:t>A16.20.085.010,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A16.20.085.011,</w:t>
            </w:r>
            <w:r>
              <w:rPr>
                <w:spacing w:val="54"/>
                <w:sz w:val="20"/>
              </w:rPr>
              <w:t> </w:t>
            </w:r>
            <w:r>
              <w:rPr>
                <w:spacing w:val="-2"/>
                <w:sz w:val="20"/>
              </w:rPr>
              <w:t>A16.20.085.012,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A16.20.086,</w:t>
            </w:r>
            <w:r>
              <w:rPr>
                <w:spacing w:val="-9"/>
                <w:sz w:val="20"/>
              </w:rPr>
              <w:t> </w:t>
            </w:r>
            <w:r>
              <w:rPr>
                <w:spacing w:val="-2"/>
                <w:sz w:val="20"/>
              </w:rPr>
              <w:t>A16.20.086.001,</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5" w:lineRule="exact"/>
              <w:ind w:left="1150" w:right="642"/>
              <w:jc w:val="center"/>
              <w:rPr>
                <w:sz w:val="20"/>
              </w:rPr>
            </w:pPr>
            <w:r>
              <w:rPr>
                <w:spacing w:val="-2"/>
                <w:sz w:val="20"/>
              </w:rPr>
              <w:t>A16.20.103</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54"/>
        <w:gridCol w:w="2452"/>
        <w:gridCol w:w="4881"/>
        <w:gridCol w:w="1574"/>
        <w:gridCol w:w="1261"/>
      </w:tblGrid>
      <w:tr>
        <w:trPr>
          <w:trHeight w:val="274" w:hRule="atLeast"/>
        </w:trPr>
        <w:tc>
          <w:tcPr>
            <w:tcW w:w="946" w:type="dxa"/>
          </w:tcPr>
          <w:p>
            <w:pPr>
              <w:pStyle w:val="TableParagraph"/>
              <w:spacing w:line="221" w:lineRule="exact"/>
              <w:ind w:left="37" w:right="198"/>
              <w:jc w:val="center"/>
              <w:rPr>
                <w:sz w:val="20"/>
              </w:rPr>
            </w:pPr>
            <w:r>
              <w:rPr>
                <w:spacing w:val="-4"/>
                <w:sz w:val="20"/>
              </w:rPr>
              <w:t>st32</w:t>
            </w:r>
          </w:p>
        </w:tc>
        <w:tc>
          <w:tcPr>
            <w:tcW w:w="707" w:type="dxa"/>
          </w:tcPr>
          <w:p>
            <w:pPr>
              <w:pStyle w:val="TableParagraph"/>
              <w:spacing w:line="221" w:lineRule="exact"/>
              <w:ind w:left="261"/>
              <w:rPr>
                <w:sz w:val="20"/>
              </w:rPr>
            </w:pPr>
            <w:r>
              <w:rPr>
                <w:spacing w:val="-5"/>
                <w:sz w:val="20"/>
              </w:rPr>
              <w:t>32</w:t>
            </w:r>
          </w:p>
        </w:tc>
        <w:tc>
          <w:tcPr>
            <w:tcW w:w="3454" w:type="dxa"/>
          </w:tcPr>
          <w:p>
            <w:pPr>
              <w:pStyle w:val="TableParagraph"/>
              <w:rPr>
                <w:sz w:val="18"/>
              </w:rPr>
            </w:pPr>
          </w:p>
        </w:tc>
        <w:tc>
          <w:tcPr>
            <w:tcW w:w="7333" w:type="dxa"/>
            <w:gridSpan w:val="2"/>
          </w:tcPr>
          <w:p>
            <w:pPr>
              <w:pStyle w:val="TableParagraph"/>
              <w:spacing w:line="221" w:lineRule="exact"/>
              <w:ind w:left="1733"/>
              <w:rPr>
                <w:sz w:val="20"/>
              </w:rPr>
            </w:pPr>
            <w:r>
              <w:rPr>
                <w:sz w:val="20"/>
              </w:rPr>
              <w:t>Хирургия</w:t>
            </w:r>
            <w:r>
              <w:rPr>
                <w:spacing w:val="-12"/>
                <w:sz w:val="20"/>
              </w:rPr>
              <w:t> </w:t>
            </w:r>
            <w:r>
              <w:rPr>
                <w:spacing w:val="-2"/>
                <w:sz w:val="20"/>
              </w:rPr>
              <w:t>(абдоминальная)</w:t>
            </w:r>
          </w:p>
        </w:tc>
        <w:tc>
          <w:tcPr>
            <w:tcW w:w="1574" w:type="dxa"/>
          </w:tcPr>
          <w:p>
            <w:pPr>
              <w:pStyle w:val="TableParagraph"/>
              <w:rPr>
                <w:sz w:val="18"/>
              </w:rPr>
            </w:pPr>
          </w:p>
        </w:tc>
        <w:tc>
          <w:tcPr>
            <w:tcW w:w="1261" w:type="dxa"/>
          </w:tcPr>
          <w:p>
            <w:pPr>
              <w:pStyle w:val="TableParagraph"/>
              <w:spacing w:line="221" w:lineRule="exact"/>
              <w:ind w:right="49"/>
              <w:jc w:val="right"/>
              <w:rPr>
                <w:sz w:val="20"/>
              </w:rPr>
            </w:pPr>
            <w:r>
              <w:rPr>
                <w:spacing w:val="-4"/>
                <w:sz w:val="20"/>
              </w:rPr>
              <w:t>1,20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st32.001</w:t>
            </w:r>
          </w:p>
        </w:tc>
        <w:tc>
          <w:tcPr>
            <w:tcW w:w="707" w:type="dxa"/>
          </w:tcPr>
          <w:p>
            <w:pPr>
              <w:pStyle w:val="TableParagraph"/>
              <w:spacing w:line="215" w:lineRule="exact" w:before="45"/>
              <w:ind w:left="210"/>
              <w:rPr>
                <w:sz w:val="20"/>
              </w:rPr>
            </w:pPr>
            <w:r>
              <w:rPr>
                <w:spacing w:val="-5"/>
                <w:sz w:val="20"/>
              </w:rPr>
              <w:t>316</w:t>
            </w:r>
          </w:p>
        </w:tc>
        <w:tc>
          <w:tcPr>
            <w:tcW w:w="3454" w:type="dxa"/>
          </w:tcPr>
          <w:p>
            <w:pPr>
              <w:pStyle w:val="TableParagraph"/>
              <w:spacing w:line="215" w:lineRule="exact" w:before="45"/>
              <w:ind w:left="192"/>
              <w:rPr>
                <w:sz w:val="20"/>
              </w:rPr>
            </w:pPr>
            <w:r>
              <w:rPr>
                <w:sz w:val="20"/>
              </w:rPr>
              <w:t>Операции</w:t>
            </w:r>
            <w:r>
              <w:rPr>
                <w:spacing w:val="-6"/>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sz w:val="20"/>
              </w:rPr>
              <w:t>A16.14.006,</w:t>
            </w:r>
            <w:r>
              <w:rPr>
                <w:spacing w:val="-9"/>
                <w:sz w:val="20"/>
              </w:rPr>
              <w:t> </w:t>
            </w:r>
            <w:r>
              <w:rPr>
                <w:spacing w:val="-2"/>
                <w:sz w:val="20"/>
              </w:rPr>
              <w:t>A16.14.006.001,</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A16.14.007,</w:t>
            </w:r>
            <w:r>
              <w:rPr>
                <w:spacing w:val="-9"/>
                <w:sz w:val="20"/>
              </w:rPr>
              <w:t> </w:t>
            </w:r>
            <w:r>
              <w:rPr>
                <w:spacing w:val="-2"/>
                <w:sz w:val="20"/>
              </w:rPr>
              <w:t>A16.14.007.001,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A16.14.008,</w:t>
            </w:r>
            <w:r>
              <w:rPr>
                <w:spacing w:val="-9"/>
                <w:sz w:val="20"/>
              </w:rPr>
              <w:t> </w:t>
            </w:r>
            <w:r>
              <w:rPr>
                <w:sz w:val="20"/>
              </w:rPr>
              <w:t>A16.14.009,</w:t>
            </w:r>
            <w:r>
              <w:rPr>
                <w:spacing w:val="-10"/>
                <w:sz w:val="20"/>
              </w:rPr>
              <w:t> </w:t>
            </w:r>
            <w:r>
              <w:rPr>
                <w:spacing w:val="-2"/>
                <w:sz w:val="20"/>
              </w:rPr>
              <w:t>A16.14.031</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2452" w:type="dxa"/>
          </w:tcPr>
          <w:p>
            <w:pPr>
              <w:pStyle w:val="TableParagraph"/>
              <w:rPr>
                <w:sz w:val="18"/>
              </w:rPr>
            </w:pPr>
          </w:p>
        </w:tc>
        <w:tc>
          <w:tcPr>
            <w:tcW w:w="4881"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st32.002</w:t>
            </w:r>
          </w:p>
        </w:tc>
        <w:tc>
          <w:tcPr>
            <w:tcW w:w="707" w:type="dxa"/>
          </w:tcPr>
          <w:p>
            <w:pPr>
              <w:pStyle w:val="TableParagraph"/>
              <w:spacing w:line="215" w:lineRule="exact" w:before="45"/>
              <w:ind w:left="210"/>
              <w:rPr>
                <w:sz w:val="20"/>
              </w:rPr>
            </w:pPr>
            <w:r>
              <w:rPr>
                <w:spacing w:val="-5"/>
                <w:sz w:val="20"/>
              </w:rPr>
              <w:t>317</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50" w:right="643"/>
              <w:jc w:val="center"/>
              <w:rPr>
                <w:sz w:val="20"/>
              </w:rPr>
            </w:pPr>
            <w:r>
              <w:rPr>
                <w:w w:val="95"/>
                <w:sz w:val="20"/>
              </w:rPr>
              <w:t>A16.14.006.002,</w:t>
            </w:r>
            <w:r>
              <w:rPr>
                <w:spacing w:val="54"/>
                <w:sz w:val="20"/>
              </w:rPr>
              <w:t> </w:t>
            </w:r>
            <w:r>
              <w:rPr>
                <w:spacing w:val="-2"/>
                <w:sz w:val="20"/>
              </w:rPr>
              <w:t>A16.14.008.001,</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1,43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11" w:lineRule="exact"/>
              <w:ind w:left="1147" w:right="644"/>
              <w:jc w:val="center"/>
              <w:rPr>
                <w:sz w:val="20"/>
              </w:rPr>
            </w:pPr>
            <w:r>
              <w:rPr>
                <w:w w:val="95"/>
                <w:sz w:val="20"/>
              </w:rPr>
              <w:t>A16.14.009.001,</w:t>
            </w:r>
            <w:r>
              <w:rPr>
                <w:spacing w:val="54"/>
                <w:sz w:val="20"/>
              </w:rPr>
              <w:t> </w:t>
            </w:r>
            <w:r>
              <w:rPr>
                <w:spacing w:val="-2"/>
                <w:sz w:val="20"/>
              </w:rPr>
              <w:t>A16.14.009.002,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A16.14.010,</w:t>
            </w:r>
            <w:r>
              <w:rPr>
                <w:spacing w:val="-9"/>
                <w:sz w:val="20"/>
              </w:rPr>
              <w:t> </w:t>
            </w:r>
            <w:r>
              <w:rPr>
                <w:sz w:val="20"/>
              </w:rPr>
              <w:t>A16.14.011,</w:t>
            </w:r>
            <w:r>
              <w:rPr>
                <w:spacing w:val="-10"/>
                <w:sz w:val="20"/>
              </w:rPr>
              <w:t> </w:t>
            </w:r>
            <w:r>
              <w:rPr>
                <w:spacing w:val="-2"/>
                <w:sz w:val="20"/>
              </w:rPr>
              <w:t>A16.14.012,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(уровень</w:t>
            </w:r>
            <w:r>
              <w:rPr>
                <w:spacing w:val="-11"/>
                <w:sz w:val="20"/>
              </w:rPr>
              <w:t> </w:t>
            </w:r>
            <w:r>
              <w:rPr>
                <w:spacing w:val="-5"/>
                <w:sz w:val="20"/>
              </w:rPr>
              <w:t>2)</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A16.14.013,</w:t>
            </w:r>
            <w:r>
              <w:rPr>
                <w:spacing w:val="-9"/>
                <w:sz w:val="20"/>
              </w:rPr>
              <w:t> </w:t>
            </w:r>
            <w:r>
              <w:rPr>
                <w:sz w:val="20"/>
              </w:rPr>
              <w:t>A16.14.014,</w:t>
            </w:r>
            <w:r>
              <w:rPr>
                <w:spacing w:val="-10"/>
                <w:sz w:val="20"/>
              </w:rPr>
              <w:t> </w:t>
            </w:r>
            <w:r>
              <w:rPr>
                <w:spacing w:val="-2"/>
                <w:sz w:val="20"/>
              </w:rPr>
              <w:t>A16.14.015,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A16.14.016,</w:t>
            </w:r>
            <w:r>
              <w:rPr>
                <w:spacing w:val="-9"/>
                <w:sz w:val="20"/>
              </w:rPr>
              <w:t> </w:t>
            </w:r>
            <w:r>
              <w:rPr>
                <w:spacing w:val="-2"/>
                <w:sz w:val="20"/>
              </w:rPr>
              <w:t>A16.14.020,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A16.14.020.001,</w:t>
            </w:r>
            <w:r>
              <w:rPr>
                <w:spacing w:val="54"/>
                <w:sz w:val="20"/>
              </w:rPr>
              <w:t> </w:t>
            </w:r>
            <w:r>
              <w:rPr>
                <w:spacing w:val="-2"/>
                <w:sz w:val="20"/>
              </w:rPr>
              <w:t>A16.14.020.002,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A16.14.020.003,</w:t>
            </w:r>
            <w:r>
              <w:rPr>
                <w:spacing w:val="54"/>
                <w:sz w:val="20"/>
              </w:rPr>
              <w:t> </w:t>
            </w:r>
            <w:r>
              <w:rPr>
                <w:spacing w:val="-2"/>
                <w:sz w:val="20"/>
              </w:rPr>
              <w:t>A16.14.020.004,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A16.14.021,</w:t>
            </w:r>
            <w:r>
              <w:rPr>
                <w:spacing w:val="-9"/>
                <w:sz w:val="20"/>
              </w:rPr>
              <w:t> </w:t>
            </w:r>
            <w:r>
              <w:rPr>
                <w:sz w:val="20"/>
              </w:rPr>
              <w:t>A16.14.024,</w:t>
            </w:r>
            <w:r>
              <w:rPr>
                <w:spacing w:val="-10"/>
                <w:sz w:val="20"/>
              </w:rPr>
              <w:t> </w:t>
            </w:r>
            <w:r>
              <w:rPr>
                <w:spacing w:val="-2"/>
                <w:sz w:val="20"/>
              </w:rPr>
              <w:t>A16.14.025,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50" w:right="643"/>
              <w:jc w:val="center"/>
              <w:rPr>
                <w:sz w:val="20"/>
              </w:rPr>
            </w:pPr>
            <w:r>
              <w:rPr>
                <w:w w:val="95"/>
                <w:sz w:val="20"/>
              </w:rPr>
              <w:t>A16.14.026.001,</w:t>
            </w:r>
            <w:r>
              <w:rPr>
                <w:spacing w:val="54"/>
                <w:sz w:val="20"/>
              </w:rPr>
              <w:t> </w:t>
            </w:r>
            <w:r>
              <w:rPr>
                <w:spacing w:val="-2"/>
                <w:sz w:val="20"/>
              </w:rPr>
              <w:t>A16.14.027,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A16.14.031.002,</w:t>
            </w:r>
            <w:r>
              <w:rPr>
                <w:spacing w:val="54"/>
                <w:sz w:val="20"/>
              </w:rPr>
              <w:t> </w:t>
            </w:r>
            <w:r>
              <w:rPr>
                <w:spacing w:val="-2"/>
                <w:sz w:val="20"/>
              </w:rPr>
              <w:t>A16.14.031.003,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6" w:right="644"/>
              <w:jc w:val="center"/>
              <w:rPr>
                <w:sz w:val="20"/>
              </w:rPr>
            </w:pPr>
            <w:r>
              <w:rPr>
                <w:sz w:val="20"/>
              </w:rPr>
              <w:t>A16.14.038,</w:t>
            </w:r>
            <w:r>
              <w:rPr>
                <w:spacing w:val="-9"/>
                <w:sz w:val="20"/>
              </w:rPr>
              <w:t> </w:t>
            </w:r>
            <w:r>
              <w:rPr>
                <w:sz w:val="20"/>
              </w:rPr>
              <w:t>A16.14.040,</w:t>
            </w:r>
            <w:r>
              <w:rPr>
                <w:spacing w:val="-10"/>
                <w:sz w:val="20"/>
              </w:rPr>
              <w:t> </w:t>
            </w:r>
            <w:r>
              <w:rPr>
                <w:spacing w:val="-2"/>
                <w:sz w:val="20"/>
              </w:rPr>
              <w:t>A16.14.041,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A16.14.041.001,</w:t>
            </w:r>
            <w:r>
              <w:rPr>
                <w:spacing w:val="54"/>
                <w:sz w:val="20"/>
              </w:rPr>
              <w:t> </w:t>
            </w:r>
            <w:r>
              <w:rPr>
                <w:spacing w:val="-2"/>
                <w:sz w:val="20"/>
              </w:rPr>
              <w:t>A16.14.042,</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50" w:right="642"/>
              <w:jc w:val="center"/>
              <w:rPr>
                <w:sz w:val="20"/>
              </w:rPr>
            </w:pPr>
            <w:r>
              <w:rPr>
                <w:spacing w:val="-2"/>
                <w:sz w:val="20"/>
              </w:rPr>
              <w:t>A16.14.043</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st32.003</w:t>
            </w:r>
          </w:p>
        </w:tc>
        <w:tc>
          <w:tcPr>
            <w:tcW w:w="707" w:type="dxa"/>
          </w:tcPr>
          <w:p>
            <w:pPr>
              <w:pStyle w:val="TableParagraph"/>
              <w:spacing w:line="215" w:lineRule="exact" w:before="46"/>
              <w:ind w:left="210"/>
              <w:rPr>
                <w:sz w:val="20"/>
              </w:rPr>
            </w:pPr>
            <w:r>
              <w:rPr>
                <w:spacing w:val="-5"/>
                <w:sz w:val="20"/>
              </w:rPr>
              <w:t>318</w:t>
            </w:r>
          </w:p>
        </w:tc>
        <w:tc>
          <w:tcPr>
            <w:tcW w:w="345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48" w:right="644"/>
              <w:jc w:val="center"/>
              <w:rPr>
                <w:sz w:val="20"/>
              </w:rPr>
            </w:pPr>
            <w:r>
              <w:rPr>
                <w:w w:val="95"/>
                <w:sz w:val="20"/>
              </w:rPr>
              <w:t>A16.14.011.001,</w:t>
            </w:r>
            <w:r>
              <w:rPr>
                <w:spacing w:val="54"/>
                <w:sz w:val="20"/>
              </w:rPr>
              <w:t> </w:t>
            </w:r>
            <w:r>
              <w:rPr>
                <w:spacing w:val="-2"/>
                <w:sz w:val="20"/>
              </w:rPr>
              <w:t>A16.14.023,</w:t>
            </w:r>
          </w:p>
        </w:tc>
        <w:tc>
          <w:tcPr>
            <w:tcW w:w="1574" w:type="dxa"/>
          </w:tcPr>
          <w:p>
            <w:pPr>
              <w:pStyle w:val="TableParagraph"/>
              <w:spacing w:line="215" w:lineRule="exact" w:before="46"/>
              <w:ind w:left="646"/>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3,00</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09"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09" w:lineRule="exact"/>
              <w:ind w:left="1150" w:right="643"/>
              <w:jc w:val="center"/>
              <w:rPr>
                <w:sz w:val="20"/>
              </w:rPr>
            </w:pPr>
            <w:r>
              <w:rPr>
                <w:w w:val="95"/>
                <w:sz w:val="20"/>
              </w:rPr>
              <w:t>A16.14.024.001,</w:t>
            </w:r>
            <w:r>
              <w:rPr>
                <w:spacing w:val="54"/>
                <w:sz w:val="20"/>
              </w:rPr>
              <w:t> </w:t>
            </w:r>
            <w:r>
              <w:rPr>
                <w:spacing w:val="-2"/>
                <w:w w:val="95"/>
                <w:sz w:val="20"/>
              </w:rPr>
              <w:t>A16.14.024.002,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09"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A16.14.024.003,</w:t>
            </w:r>
            <w:r>
              <w:rPr>
                <w:spacing w:val="54"/>
                <w:sz w:val="20"/>
              </w:rPr>
              <w:t> </w:t>
            </w:r>
            <w:r>
              <w:rPr>
                <w:spacing w:val="-2"/>
                <w:sz w:val="20"/>
              </w:rPr>
              <w:t>A16.14.027.002,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(уровень</w:t>
            </w:r>
            <w:r>
              <w:rPr>
                <w:spacing w:val="-11"/>
                <w:sz w:val="20"/>
              </w:rPr>
              <w:t> </w:t>
            </w:r>
            <w:r>
              <w:rPr>
                <w:spacing w:val="-5"/>
                <w:sz w:val="20"/>
              </w:rPr>
              <w:t>3)</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A16.14.031.001,</w:t>
            </w:r>
            <w:r>
              <w:rPr>
                <w:spacing w:val="54"/>
                <w:sz w:val="20"/>
              </w:rPr>
              <w:t> </w:t>
            </w:r>
            <w:r>
              <w:rPr>
                <w:spacing w:val="-2"/>
                <w:sz w:val="20"/>
              </w:rPr>
              <w:t>A16.14.032,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A16.14.032.002,</w:t>
            </w:r>
            <w:r>
              <w:rPr>
                <w:spacing w:val="54"/>
                <w:sz w:val="20"/>
              </w:rPr>
              <w:t> </w:t>
            </w:r>
            <w:r>
              <w:rPr>
                <w:spacing w:val="-2"/>
                <w:sz w:val="20"/>
              </w:rPr>
              <w:t>A16.14.032.003,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A16.14.042.001,</w:t>
            </w:r>
            <w:r>
              <w:rPr>
                <w:spacing w:val="54"/>
                <w:sz w:val="20"/>
              </w:rPr>
              <w:t> </w:t>
            </w:r>
            <w:r>
              <w:rPr>
                <w:spacing w:val="-2"/>
                <w:sz w:val="20"/>
              </w:rPr>
              <w:t>A16.14.042.002,</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49" w:right="644"/>
              <w:jc w:val="center"/>
              <w:rPr>
                <w:sz w:val="20"/>
              </w:rPr>
            </w:pPr>
            <w:r>
              <w:rPr>
                <w:spacing w:val="-2"/>
                <w:sz w:val="20"/>
              </w:rPr>
              <w:t>A16.14.042.003</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st32.004</w:t>
            </w:r>
          </w:p>
        </w:tc>
        <w:tc>
          <w:tcPr>
            <w:tcW w:w="707" w:type="dxa"/>
          </w:tcPr>
          <w:p>
            <w:pPr>
              <w:pStyle w:val="TableParagraph"/>
              <w:spacing w:line="215" w:lineRule="exact" w:before="45"/>
              <w:ind w:left="210"/>
              <w:rPr>
                <w:sz w:val="20"/>
              </w:rPr>
            </w:pPr>
            <w:r>
              <w:rPr>
                <w:spacing w:val="-5"/>
                <w:sz w:val="20"/>
              </w:rPr>
              <w:t>319</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50" w:right="643"/>
              <w:jc w:val="center"/>
              <w:rPr>
                <w:sz w:val="20"/>
              </w:rPr>
            </w:pPr>
            <w:r>
              <w:rPr>
                <w:w w:val="95"/>
                <w:sz w:val="20"/>
              </w:rPr>
              <w:t>A16.14.020.005,</w:t>
            </w:r>
            <w:r>
              <w:rPr>
                <w:spacing w:val="54"/>
                <w:sz w:val="20"/>
              </w:rPr>
              <w:t> </w:t>
            </w:r>
            <w:r>
              <w:rPr>
                <w:spacing w:val="-2"/>
                <w:w w:val="95"/>
                <w:sz w:val="20"/>
              </w:rPr>
              <w:t>A16.14.020.006,</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4,30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11" w:lineRule="exact"/>
              <w:ind w:left="1148" w:right="644"/>
              <w:jc w:val="center"/>
              <w:rPr>
                <w:sz w:val="20"/>
              </w:rPr>
            </w:pPr>
            <w:r>
              <w:rPr>
                <w:sz w:val="20"/>
              </w:rPr>
              <w:t>A16.14.022,</w:t>
            </w:r>
            <w:r>
              <w:rPr>
                <w:spacing w:val="-9"/>
                <w:sz w:val="20"/>
              </w:rPr>
              <w:t> </w:t>
            </w:r>
            <w:r>
              <w:rPr>
                <w:spacing w:val="-2"/>
                <w:sz w:val="20"/>
              </w:rPr>
              <w:t>A16.14.026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spacing w:line="226" w:lineRule="exact"/>
              <w:ind w:left="192"/>
              <w:rPr>
                <w:sz w:val="20"/>
              </w:rPr>
            </w:pPr>
            <w:r>
              <w:rPr>
                <w:sz w:val="20"/>
              </w:rPr>
              <w:t>(уровень</w:t>
            </w:r>
            <w:r>
              <w:rPr>
                <w:spacing w:val="-11"/>
                <w:sz w:val="20"/>
              </w:rPr>
              <w:t> </w:t>
            </w:r>
            <w:r>
              <w:rPr>
                <w:spacing w:val="-5"/>
                <w:sz w:val="20"/>
              </w:rPr>
              <w:t>4)</w:t>
            </w:r>
          </w:p>
        </w:tc>
        <w:tc>
          <w:tcPr>
            <w:tcW w:w="2452" w:type="dxa"/>
          </w:tcPr>
          <w:p>
            <w:pPr>
              <w:pStyle w:val="TableParagraph"/>
              <w:rPr>
                <w:sz w:val="18"/>
              </w:rPr>
            </w:pPr>
          </w:p>
        </w:tc>
        <w:tc>
          <w:tcPr>
            <w:tcW w:w="4881"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st32.005</w:t>
            </w:r>
          </w:p>
        </w:tc>
        <w:tc>
          <w:tcPr>
            <w:tcW w:w="707" w:type="dxa"/>
          </w:tcPr>
          <w:p>
            <w:pPr>
              <w:pStyle w:val="TableParagraph"/>
              <w:spacing w:line="215" w:lineRule="exact" w:before="45"/>
              <w:ind w:left="210"/>
              <w:rPr>
                <w:sz w:val="20"/>
              </w:rPr>
            </w:pPr>
            <w:r>
              <w:rPr>
                <w:spacing w:val="-5"/>
                <w:sz w:val="20"/>
              </w:rPr>
              <w:t>320</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z w:val="20"/>
              </w:rPr>
              <w:t>печени</w:t>
            </w:r>
            <w:r>
              <w:rPr>
                <w:spacing w:val="-7"/>
                <w:sz w:val="20"/>
              </w:rPr>
              <w:t> </w:t>
            </w:r>
            <w:r>
              <w:rPr>
                <w:spacing w:val="-10"/>
                <w:sz w:val="20"/>
              </w:rPr>
              <w:t>и</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7" w:right="644"/>
              <w:jc w:val="center"/>
              <w:rPr>
                <w:sz w:val="20"/>
              </w:rPr>
            </w:pPr>
            <w:r>
              <w:rPr>
                <w:w w:val="95"/>
                <w:sz w:val="20"/>
              </w:rPr>
              <w:t>A11.14.001.001,</w:t>
            </w:r>
            <w:r>
              <w:rPr>
                <w:spacing w:val="54"/>
                <w:sz w:val="20"/>
              </w:rPr>
              <w:t> </w:t>
            </w:r>
            <w:r>
              <w:rPr>
                <w:spacing w:val="-2"/>
                <w:sz w:val="20"/>
              </w:rPr>
              <w:t>A11.15.002.001,</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2,42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w w:val="95"/>
                <w:sz w:val="20"/>
              </w:rPr>
              <w:t>поджелудочной</w:t>
            </w:r>
            <w:r>
              <w:rPr>
                <w:spacing w:val="52"/>
                <w:sz w:val="20"/>
              </w:rPr>
              <w:t> </w:t>
            </w:r>
            <w:r>
              <w:rPr>
                <w:spacing w:val="-2"/>
                <w:sz w:val="20"/>
              </w:rPr>
              <w:t>железе</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A16.14.002,</w:t>
            </w:r>
            <w:r>
              <w:rPr>
                <w:spacing w:val="-9"/>
                <w:sz w:val="20"/>
              </w:rPr>
              <w:t> </w:t>
            </w:r>
            <w:r>
              <w:rPr>
                <w:sz w:val="20"/>
              </w:rPr>
              <w:t>A16.14.005,</w:t>
            </w:r>
            <w:r>
              <w:rPr>
                <w:spacing w:val="-10"/>
                <w:sz w:val="20"/>
              </w:rPr>
              <w:t> </w:t>
            </w:r>
            <w:r>
              <w:rPr>
                <w:spacing w:val="-2"/>
                <w:sz w:val="20"/>
              </w:rPr>
              <w:t>A16.14.017,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(уровень</w:t>
            </w:r>
            <w:r>
              <w:rPr>
                <w:spacing w:val="-11"/>
                <w:sz w:val="20"/>
              </w:rPr>
              <w:t> </w:t>
            </w:r>
            <w:r>
              <w:rPr>
                <w:spacing w:val="-5"/>
                <w:sz w:val="20"/>
              </w:rPr>
              <w:t>1)</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A16.14.018,</w:t>
            </w:r>
            <w:r>
              <w:rPr>
                <w:spacing w:val="-9"/>
                <w:sz w:val="20"/>
              </w:rPr>
              <w:t> </w:t>
            </w:r>
            <w:r>
              <w:rPr>
                <w:spacing w:val="-2"/>
                <w:sz w:val="20"/>
              </w:rPr>
              <w:t>A16.14.018.001,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A16.14.018.003,</w:t>
            </w:r>
            <w:r>
              <w:rPr>
                <w:spacing w:val="54"/>
                <w:sz w:val="20"/>
              </w:rPr>
              <w:t> </w:t>
            </w:r>
            <w:r>
              <w:rPr>
                <w:spacing w:val="-2"/>
                <w:sz w:val="20"/>
              </w:rPr>
              <w:t>A16.14.018.004,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A16.14.028,</w:t>
            </w:r>
            <w:r>
              <w:rPr>
                <w:spacing w:val="-9"/>
                <w:sz w:val="20"/>
              </w:rPr>
              <w:t> </w:t>
            </w:r>
            <w:r>
              <w:rPr>
                <w:spacing w:val="-2"/>
                <w:sz w:val="20"/>
              </w:rPr>
              <w:t>A16.14.029,</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5" w:lineRule="exact"/>
              <w:ind w:left="1147" w:right="644"/>
              <w:jc w:val="center"/>
              <w:rPr>
                <w:sz w:val="20"/>
              </w:rPr>
            </w:pPr>
            <w:r>
              <w:rPr>
                <w:w w:val="95"/>
                <w:sz w:val="20"/>
              </w:rPr>
              <w:t>A16.14.032.001,</w:t>
            </w:r>
            <w:r>
              <w:rPr>
                <w:spacing w:val="54"/>
                <w:sz w:val="20"/>
              </w:rPr>
              <w:t> </w:t>
            </w:r>
            <w:r>
              <w:rPr>
                <w:spacing w:val="-2"/>
                <w:sz w:val="20"/>
              </w:rPr>
              <w:t>A16.14.035.002,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4"/>
        <w:gridCol w:w="4391"/>
        <w:gridCol w:w="3923"/>
        <w:gridCol w:w="1573"/>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74" w:type="dxa"/>
            <w:vMerge w:val="restart"/>
          </w:tcPr>
          <w:p>
            <w:pPr>
              <w:pStyle w:val="TableParagraph"/>
              <w:rPr>
                <w:sz w:val="18"/>
              </w:rPr>
            </w:pPr>
          </w:p>
        </w:tc>
        <w:tc>
          <w:tcPr>
            <w:tcW w:w="4391" w:type="dxa"/>
            <w:vMerge w:val="restart"/>
          </w:tcPr>
          <w:p>
            <w:pPr>
              <w:pStyle w:val="TableParagraph"/>
              <w:rPr>
                <w:sz w:val="18"/>
              </w:rPr>
            </w:pPr>
          </w:p>
        </w:tc>
        <w:tc>
          <w:tcPr>
            <w:tcW w:w="3923" w:type="dxa"/>
          </w:tcPr>
          <w:p>
            <w:pPr>
              <w:pStyle w:val="TableParagraph"/>
              <w:spacing w:line="205" w:lineRule="exact"/>
              <w:ind w:left="192" w:right="646"/>
              <w:jc w:val="center"/>
              <w:rPr>
                <w:sz w:val="20"/>
              </w:rPr>
            </w:pPr>
            <w:r>
              <w:rPr>
                <w:w w:val="95"/>
                <w:sz w:val="20"/>
              </w:rPr>
              <w:t>A16.14.035.003,</w:t>
            </w:r>
            <w:r>
              <w:rPr>
                <w:spacing w:val="54"/>
                <w:sz w:val="20"/>
              </w:rPr>
              <w:t> </w:t>
            </w:r>
            <w:r>
              <w:rPr>
                <w:spacing w:val="-2"/>
                <w:sz w:val="20"/>
              </w:rPr>
              <w:t>A16.14.035.004,</w:t>
            </w:r>
          </w:p>
        </w:tc>
        <w:tc>
          <w:tcPr>
            <w:tcW w:w="1573"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09" w:lineRule="exact"/>
              <w:ind w:left="192" w:right="646"/>
              <w:jc w:val="center"/>
              <w:rPr>
                <w:sz w:val="20"/>
              </w:rPr>
            </w:pPr>
            <w:r>
              <w:rPr>
                <w:w w:val="95"/>
                <w:sz w:val="20"/>
              </w:rPr>
              <w:t>A16.14.035.005,</w:t>
            </w:r>
            <w:r>
              <w:rPr>
                <w:spacing w:val="54"/>
                <w:sz w:val="20"/>
              </w:rPr>
              <w:t> </w:t>
            </w:r>
            <w:r>
              <w:rPr>
                <w:spacing w:val="-2"/>
                <w:sz w:val="20"/>
              </w:rPr>
              <w:t>A16.14.035.006,</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09" w:lineRule="exact"/>
              <w:ind w:left="192" w:right="645"/>
              <w:jc w:val="center"/>
              <w:rPr>
                <w:sz w:val="20"/>
              </w:rPr>
            </w:pPr>
            <w:r>
              <w:rPr>
                <w:w w:val="95"/>
                <w:sz w:val="20"/>
              </w:rPr>
              <w:t>A16.14.035.007,</w:t>
            </w:r>
            <w:r>
              <w:rPr>
                <w:spacing w:val="54"/>
                <w:sz w:val="20"/>
              </w:rPr>
              <w:t> </w:t>
            </w:r>
            <w:r>
              <w:rPr>
                <w:spacing w:val="-2"/>
                <w:sz w:val="20"/>
              </w:rPr>
              <w:t>A16.15.002,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2" w:right="645"/>
              <w:jc w:val="center"/>
              <w:rPr>
                <w:sz w:val="20"/>
              </w:rPr>
            </w:pPr>
            <w:r>
              <w:rPr>
                <w:sz w:val="20"/>
              </w:rPr>
              <w:t>A16.15.003,</w:t>
            </w:r>
            <w:r>
              <w:rPr>
                <w:spacing w:val="-9"/>
                <w:sz w:val="20"/>
              </w:rPr>
              <w:t> </w:t>
            </w:r>
            <w:r>
              <w:rPr>
                <w:spacing w:val="-2"/>
                <w:sz w:val="20"/>
              </w:rPr>
              <w:t>A16.15.003.001,</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1" w:right="646"/>
              <w:jc w:val="center"/>
              <w:rPr>
                <w:sz w:val="20"/>
              </w:rPr>
            </w:pPr>
            <w:r>
              <w:rPr>
                <w:sz w:val="20"/>
              </w:rPr>
              <w:t>A16.15.004,</w:t>
            </w:r>
            <w:r>
              <w:rPr>
                <w:spacing w:val="-9"/>
                <w:sz w:val="20"/>
              </w:rPr>
              <w:t> </w:t>
            </w:r>
            <w:r>
              <w:rPr>
                <w:sz w:val="20"/>
              </w:rPr>
              <w:t>A16.15.005,</w:t>
            </w:r>
            <w:r>
              <w:rPr>
                <w:spacing w:val="-10"/>
                <w:sz w:val="20"/>
              </w:rPr>
              <w:t> </w:t>
            </w:r>
            <w:r>
              <w:rPr>
                <w:spacing w:val="-2"/>
                <w:sz w:val="20"/>
              </w:rPr>
              <w:t>A16.15.006,</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1" w:right="646"/>
              <w:jc w:val="center"/>
              <w:rPr>
                <w:sz w:val="20"/>
              </w:rPr>
            </w:pPr>
            <w:r>
              <w:rPr>
                <w:sz w:val="20"/>
              </w:rPr>
              <w:t>A16.15.007,</w:t>
            </w:r>
            <w:r>
              <w:rPr>
                <w:spacing w:val="-9"/>
                <w:sz w:val="20"/>
              </w:rPr>
              <w:t> </w:t>
            </w:r>
            <w:r>
              <w:rPr>
                <w:sz w:val="20"/>
              </w:rPr>
              <w:t>A16.15.012,</w:t>
            </w:r>
            <w:r>
              <w:rPr>
                <w:spacing w:val="-10"/>
                <w:sz w:val="20"/>
              </w:rPr>
              <w:t> </w:t>
            </w:r>
            <w:r>
              <w:rPr>
                <w:spacing w:val="-2"/>
                <w:sz w:val="20"/>
              </w:rPr>
              <w:t>A16.15.015,</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1" w:lineRule="exact"/>
              <w:ind w:left="192" w:right="646"/>
              <w:jc w:val="center"/>
              <w:rPr>
                <w:sz w:val="20"/>
              </w:rPr>
            </w:pPr>
            <w:r>
              <w:rPr>
                <w:w w:val="95"/>
                <w:sz w:val="20"/>
              </w:rPr>
              <w:t>A16.15.015.001,</w:t>
            </w:r>
            <w:r>
              <w:rPr>
                <w:spacing w:val="54"/>
                <w:sz w:val="20"/>
              </w:rPr>
              <w:t> </w:t>
            </w:r>
            <w:r>
              <w:rPr>
                <w:spacing w:val="-2"/>
                <w:sz w:val="20"/>
              </w:rPr>
              <w:t>A16.15.015.002,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2" w:right="645"/>
              <w:jc w:val="center"/>
              <w:rPr>
                <w:sz w:val="20"/>
              </w:rPr>
            </w:pPr>
            <w:r>
              <w:rPr>
                <w:w w:val="95"/>
                <w:sz w:val="20"/>
              </w:rPr>
              <w:t>A16.15.015.003,</w:t>
            </w:r>
            <w:r>
              <w:rPr>
                <w:spacing w:val="54"/>
                <w:sz w:val="20"/>
              </w:rPr>
              <w:t> </w:t>
            </w:r>
            <w:r>
              <w:rPr>
                <w:spacing w:val="-2"/>
                <w:sz w:val="20"/>
              </w:rPr>
              <w:t>A16.15.016,</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09" w:lineRule="exact"/>
              <w:ind w:left="192" w:right="646"/>
              <w:jc w:val="center"/>
              <w:rPr>
                <w:sz w:val="20"/>
              </w:rPr>
            </w:pPr>
            <w:r>
              <w:rPr>
                <w:w w:val="95"/>
                <w:sz w:val="20"/>
              </w:rPr>
              <w:t>A16.15.016.001,</w:t>
            </w:r>
            <w:r>
              <w:rPr>
                <w:spacing w:val="54"/>
                <w:sz w:val="20"/>
              </w:rPr>
              <w:t> </w:t>
            </w:r>
            <w:r>
              <w:rPr>
                <w:spacing w:val="-2"/>
                <w:sz w:val="20"/>
              </w:rPr>
              <w:t>A16.15.016.002,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2" w:right="643"/>
              <w:jc w:val="center"/>
              <w:rPr>
                <w:sz w:val="20"/>
              </w:rPr>
            </w:pPr>
            <w:r>
              <w:rPr>
                <w:sz w:val="20"/>
              </w:rPr>
              <w:t>A16.15.017,</w:t>
            </w:r>
            <w:r>
              <w:rPr>
                <w:spacing w:val="-9"/>
                <w:sz w:val="20"/>
              </w:rPr>
              <w:t> </w:t>
            </w:r>
            <w:r>
              <w:rPr>
                <w:spacing w:val="-2"/>
                <w:sz w:val="20"/>
              </w:rPr>
              <w:t>A16.15.022,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26" w:lineRule="exact"/>
              <w:ind w:left="192" w:right="644"/>
              <w:jc w:val="center"/>
              <w:rPr>
                <w:sz w:val="20"/>
              </w:rPr>
            </w:pPr>
            <w:r>
              <w:rPr>
                <w:spacing w:val="-2"/>
                <w:sz w:val="20"/>
              </w:rPr>
              <w:t>A16.15.022.001</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st32.006</w:t>
            </w:r>
          </w:p>
        </w:tc>
        <w:tc>
          <w:tcPr>
            <w:tcW w:w="707" w:type="dxa"/>
          </w:tcPr>
          <w:p>
            <w:pPr>
              <w:pStyle w:val="TableParagraph"/>
              <w:spacing w:line="214" w:lineRule="exact" w:before="46"/>
              <w:ind w:left="210"/>
              <w:rPr>
                <w:sz w:val="20"/>
              </w:rPr>
            </w:pPr>
            <w:r>
              <w:rPr>
                <w:spacing w:val="-5"/>
                <w:sz w:val="20"/>
              </w:rPr>
              <w:t>321</w:t>
            </w:r>
          </w:p>
        </w:tc>
        <w:tc>
          <w:tcPr>
            <w:tcW w:w="2474" w:type="dxa"/>
          </w:tcPr>
          <w:p>
            <w:pPr>
              <w:pStyle w:val="TableParagraph"/>
              <w:spacing w:line="214" w:lineRule="exact" w:before="46"/>
              <w:ind w:left="192"/>
              <w:rPr>
                <w:sz w:val="20"/>
              </w:rPr>
            </w:pPr>
            <w:r>
              <w:rPr>
                <w:sz w:val="20"/>
              </w:rPr>
              <w:t>Операции</w:t>
            </w:r>
            <w:r>
              <w:rPr>
                <w:spacing w:val="-7"/>
                <w:sz w:val="20"/>
              </w:rPr>
              <w:t> </w:t>
            </w:r>
            <w:r>
              <w:rPr>
                <w:sz w:val="20"/>
              </w:rPr>
              <w:t>на</w:t>
            </w:r>
            <w:r>
              <w:rPr>
                <w:spacing w:val="-7"/>
                <w:sz w:val="20"/>
              </w:rPr>
              <w:t> </w:t>
            </w:r>
            <w:r>
              <w:rPr>
                <w:sz w:val="20"/>
              </w:rPr>
              <w:t>печени</w:t>
            </w:r>
            <w:r>
              <w:rPr>
                <w:spacing w:val="-7"/>
                <w:sz w:val="20"/>
              </w:rPr>
              <w:t> </w:t>
            </w:r>
            <w:r>
              <w:rPr>
                <w:spacing w:val="-10"/>
                <w:sz w:val="20"/>
              </w:rPr>
              <w:t>и</w:t>
            </w:r>
          </w:p>
        </w:tc>
        <w:tc>
          <w:tcPr>
            <w:tcW w:w="4391" w:type="dxa"/>
          </w:tcPr>
          <w:p>
            <w:pPr>
              <w:pStyle w:val="TableParagraph"/>
              <w:spacing w:line="214" w:lineRule="exact" w:before="46"/>
              <w:ind w:left="99"/>
              <w:jc w:val="center"/>
              <w:rPr>
                <w:sz w:val="20"/>
              </w:rPr>
            </w:pPr>
            <w:r>
              <w:rPr>
                <w:w w:val="99"/>
                <w:sz w:val="20"/>
              </w:rPr>
              <w:t>-</w:t>
            </w:r>
          </w:p>
        </w:tc>
        <w:tc>
          <w:tcPr>
            <w:tcW w:w="3923" w:type="dxa"/>
          </w:tcPr>
          <w:p>
            <w:pPr>
              <w:pStyle w:val="TableParagraph"/>
              <w:spacing w:line="214" w:lineRule="exact" w:before="46"/>
              <w:ind w:left="191" w:right="646"/>
              <w:jc w:val="center"/>
              <w:rPr>
                <w:sz w:val="20"/>
              </w:rPr>
            </w:pPr>
            <w:r>
              <w:rPr>
                <w:sz w:val="20"/>
              </w:rPr>
              <w:t>A11.14.005,</w:t>
            </w:r>
            <w:r>
              <w:rPr>
                <w:spacing w:val="-9"/>
                <w:sz w:val="20"/>
              </w:rPr>
              <w:t> </w:t>
            </w:r>
            <w:r>
              <w:rPr>
                <w:sz w:val="20"/>
              </w:rPr>
              <w:t>A16.14.001,</w:t>
            </w:r>
            <w:r>
              <w:rPr>
                <w:spacing w:val="-10"/>
                <w:sz w:val="20"/>
              </w:rPr>
              <w:t> </w:t>
            </w:r>
            <w:r>
              <w:rPr>
                <w:spacing w:val="-2"/>
                <w:sz w:val="20"/>
              </w:rPr>
              <w:t>A16.14.003,</w:t>
            </w:r>
          </w:p>
        </w:tc>
        <w:tc>
          <w:tcPr>
            <w:tcW w:w="1573" w:type="dxa"/>
          </w:tcPr>
          <w:p>
            <w:pPr>
              <w:pStyle w:val="TableParagraph"/>
              <w:spacing w:line="214" w:lineRule="exact" w:before="46"/>
              <w:ind w:left="645"/>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2,69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spacing w:line="209" w:lineRule="exact"/>
              <w:ind w:left="192"/>
              <w:rPr>
                <w:sz w:val="20"/>
              </w:rPr>
            </w:pPr>
            <w:r>
              <w:rPr>
                <w:w w:val="95"/>
                <w:sz w:val="20"/>
              </w:rPr>
              <w:t>поджелудочной</w:t>
            </w:r>
            <w:r>
              <w:rPr>
                <w:spacing w:val="52"/>
                <w:sz w:val="20"/>
              </w:rPr>
              <w:t> </w:t>
            </w:r>
            <w:r>
              <w:rPr>
                <w:spacing w:val="-2"/>
                <w:sz w:val="20"/>
              </w:rPr>
              <w:t>железе</w:t>
            </w:r>
          </w:p>
        </w:tc>
        <w:tc>
          <w:tcPr>
            <w:tcW w:w="4391" w:type="dxa"/>
          </w:tcPr>
          <w:p>
            <w:pPr>
              <w:pStyle w:val="TableParagraph"/>
              <w:rPr>
                <w:sz w:val="16"/>
              </w:rPr>
            </w:pPr>
          </w:p>
        </w:tc>
        <w:tc>
          <w:tcPr>
            <w:tcW w:w="3923" w:type="dxa"/>
          </w:tcPr>
          <w:p>
            <w:pPr>
              <w:pStyle w:val="TableParagraph"/>
              <w:spacing w:line="209" w:lineRule="exact"/>
              <w:ind w:left="192" w:right="645"/>
              <w:jc w:val="center"/>
              <w:rPr>
                <w:sz w:val="20"/>
              </w:rPr>
            </w:pPr>
            <w:r>
              <w:rPr>
                <w:sz w:val="20"/>
              </w:rPr>
              <w:t>A16.14.004,</w:t>
            </w:r>
            <w:r>
              <w:rPr>
                <w:spacing w:val="-9"/>
                <w:sz w:val="20"/>
              </w:rPr>
              <w:t> </w:t>
            </w:r>
            <w:r>
              <w:rPr>
                <w:spacing w:val="-2"/>
                <w:sz w:val="20"/>
              </w:rPr>
              <w:t>A16.14.018.002,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spacing w:line="210" w:lineRule="exact"/>
              <w:ind w:left="192"/>
              <w:rPr>
                <w:sz w:val="20"/>
              </w:rPr>
            </w:pPr>
            <w:r>
              <w:rPr>
                <w:sz w:val="20"/>
              </w:rPr>
              <w:t>(уровень</w:t>
            </w:r>
            <w:r>
              <w:rPr>
                <w:spacing w:val="-11"/>
                <w:sz w:val="20"/>
              </w:rPr>
              <w:t> </w:t>
            </w:r>
            <w:r>
              <w:rPr>
                <w:spacing w:val="-5"/>
                <w:sz w:val="20"/>
              </w:rPr>
              <w:t>2)</w:t>
            </w:r>
          </w:p>
        </w:tc>
        <w:tc>
          <w:tcPr>
            <w:tcW w:w="4391" w:type="dxa"/>
          </w:tcPr>
          <w:p>
            <w:pPr>
              <w:pStyle w:val="TableParagraph"/>
              <w:rPr>
                <w:sz w:val="16"/>
              </w:rPr>
            </w:pPr>
          </w:p>
        </w:tc>
        <w:tc>
          <w:tcPr>
            <w:tcW w:w="3923" w:type="dxa"/>
          </w:tcPr>
          <w:p>
            <w:pPr>
              <w:pStyle w:val="TableParagraph"/>
              <w:spacing w:line="210" w:lineRule="exact"/>
              <w:ind w:left="192" w:right="642"/>
              <w:jc w:val="center"/>
              <w:rPr>
                <w:sz w:val="20"/>
              </w:rPr>
            </w:pPr>
            <w:r>
              <w:rPr>
                <w:sz w:val="20"/>
              </w:rPr>
              <w:t>A16.14.018.005,</w:t>
            </w:r>
            <w:r>
              <w:rPr>
                <w:spacing w:val="-10"/>
                <w:sz w:val="20"/>
              </w:rPr>
              <w:t> </w:t>
            </w:r>
            <w:r>
              <w:rPr>
                <w:spacing w:val="-2"/>
                <w:sz w:val="20"/>
              </w:rPr>
              <w:t>A16.14.019,</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A16.14.019.001,</w:t>
            </w:r>
            <w:r>
              <w:rPr>
                <w:spacing w:val="54"/>
                <w:sz w:val="20"/>
              </w:rPr>
              <w:t> </w:t>
            </w:r>
            <w:r>
              <w:rPr>
                <w:spacing w:val="-2"/>
                <w:sz w:val="20"/>
              </w:rPr>
              <w:t>A16.14.030,</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A16.14.030.001,</w:t>
            </w:r>
            <w:r>
              <w:rPr>
                <w:spacing w:val="54"/>
                <w:sz w:val="20"/>
              </w:rPr>
              <w:t> </w:t>
            </w:r>
            <w:r>
              <w:rPr>
                <w:spacing w:val="-2"/>
                <w:sz w:val="20"/>
              </w:rPr>
              <w:t>A16.14.034,</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w w:val="95"/>
                <w:sz w:val="20"/>
              </w:rPr>
              <w:t>A16.14.034.001,</w:t>
            </w:r>
            <w:r>
              <w:rPr>
                <w:spacing w:val="54"/>
                <w:sz w:val="20"/>
              </w:rPr>
              <w:t> </w:t>
            </w:r>
            <w:r>
              <w:rPr>
                <w:spacing w:val="-2"/>
                <w:sz w:val="20"/>
              </w:rPr>
              <w:t>A16.14.034.002,</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6"/>
              <w:jc w:val="center"/>
              <w:rPr>
                <w:sz w:val="20"/>
              </w:rPr>
            </w:pPr>
            <w:r>
              <w:rPr>
                <w:w w:val="95"/>
                <w:sz w:val="20"/>
              </w:rPr>
              <w:t>A16.14.034.004,</w:t>
            </w:r>
            <w:r>
              <w:rPr>
                <w:spacing w:val="54"/>
                <w:sz w:val="20"/>
              </w:rPr>
              <w:t> </w:t>
            </w:r>
            <w:r>
              <w:rPr>
                <w:spacing w:val="-2"/>
                <w:sz w:val="20"/>
              </w:rPr>
              <w:t>A16.14.034.005,</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6"/>
              <w:jc w:val="center"/>
              <w:rPr>
                <w:sz w:val="20"/>
              </w:rPr>
            </w:pPr>
            <w:r>
              <w:rPr>
                <w:w w:val="95"/>
                <w:sz w:val="20"/>
              </w:rPr>
              <w:t>A16.14.034.006,</w:t>
            </w:r>
            <w:r>
              <w:rPr>
                <w:spacing w:val="54"/>
                <w:sz w:val="20"/>
              </w:rPr>
              <w:t> </w:t>
            </w:r>
            <w:r>
              <w:rPr>
                <w:spacing w:val="-2"/>
                <w:sz w:val="20"/>
              </w:rPr>
              <w:t>A16.14.034.007,</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A16.14.034.008,</w:t>
            </w:r>
            <w:r>
              <w:rPr>
                <w:spacing w:val="54"/>
                <w:sz w:val="20"/>
              </w:rPr>
              <w:t> </w:t>
            </w:r>
            <w:r>
              <w:rPr>
                <w:spacing w:val="-2"/>
                <w:sz w:val="20"/>
              </w:rPr>
              <w:t>A16.14.035,</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A16.14.035.001,</w:t>
            </w:r>
            <w:r>
              <w:rPr>
                <w:spacing w:val="54"/>
                <w:sz w:val="20"/>
              </w:rPr>
              <w:t> </w:t>
            </w:r>
            <w:r>
              <w:rPr>
                <w:spacing w:val="-2"/>
                <w:sz w:val="20"/>
              </w:rPr>
              <w:t>A16.14.036,</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sz w:val="20"/>
              </w:rPr>
              <w:t>A16.14.037,</w:t>
            </w:r>
            <w:r>
              <w:rPr>
                <w:spacing w:val="-9"/>
                <w:sz w:val="20"/>
              </w:rPr>
              <w:t> </w:t>
            </w:r>
            <w:r>
              <w:rPr>
                <w:spacing w:val="-2"/>
                <w:sz w:val="20"/>
              </w:rPr>
              <w:t>A16.14.037.001,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5"/>
              <w:jc w:val="center"/>
              <w:rPr>
                <w:sz w:val="20"/>
              </w:rPr>
            </w:pPr>
            <w:r>
              <w:rPr>
                <w:w w:val="95"/>
                <w:sz w:val="20"/>
              </w:rPr>
              <w:t>A16.14.037.002,</w:t>
            </w:r>
            <w:r>
              <w:rPr>
                <w:spacing w:val="55"/>
                <w:sz w:val="20"/>
              </w:rPr>
              <w:t> </w:t>
            </w:r>
            <w:r>
              <w:rPr>
                <w:spacing w:val="-2"/>
                <w:sz w:val="20"/>
              </w:rPr>
              <w:t>A16.14.037.003,</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1" w:right="646"/>
              <w:jc w:val="center"/>
              <w:rPr>
                <w:sz w:val="20"/>
              </w:rPr>
            </w:pPr>
            <w:r>
              <w:rPr>
                <w:sz w:val="20"/>
              </w:rPr>
              <w:t>A16.14.039,</w:t>
            </w:r>
            <w:r>
              <w:rPr>
                <w:spacing w:val="-9"/>
                <w:sz w:val="20"/>
              </w:rPr>
              <w:t> </w:t>
            </w:r>
            <w:r>
              <w:rPr>
                <w:sz w:val="20"/>
              </w:rPr>
              <w:t>A16.14.044,</w:t>
            </w:r>
            <w:r>
              <w:rPr>
                <w:spacing w:val="-10"/>
                <w:sz w:val="20"/>
              </w:rPr>
              <w:t> </w:t>
            </w:r>
            <w:r>
              <w:rPr>
                <w:spacing w:val="-2"/>
                <w:sz w:val="20"/>
              </w:rPr>
              <w:t>A16.15.001,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w w:val="95"/>
                <w:sz w:val="20"/>
              </w:rPr>
              <w:t>A16.15.001.001,</w:t>
            </w:r>
            <w:r>
              <w:rPr>
                <w:spacing w:val="54"/>
                <w:sz w:val="20"/>
              </w:rPr>
              <w:t> </w:t>
            </w:r>
            <w:r>
              <w:rPr>
                <w:spacing w:val="-2"/>
                <w:sz w:val="20"/>
              </w:rPr>
              <w:t>A16.15.001.002,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A16.15.001.003,</w:t>
            </w:r>
            <w:r>
              <w:rPr>
                <w:spacing w:val="54"/>
                <w:sz w:val="20"/>
              </w:rPr>
              <w:t> </w:t>
            </w:r>
            <w:r>
              <w:rPr>
                <w:spacing w:val="-2"/>
                <w:sz w:val="20"/>
              </w:rPr>
              <w:t>A16.15.008,</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sz w:val="20"/>
              </w:rPr>
              <w:t>A16.15.009,</w:t>
            </w:r>
            <w:r>
              <w:rPr>
                <w:spacing w:val="-9"/>
                <w:sz w:val="20"/>
              </w:rPr>
              <w:t> </w:t>
            </w:r>
            <w:r>
              <w:rPr>
                <w:spacing w:val="-2"/>
                <w:sz w:val="20"/>
              </w:rPr>
              <w:t>A16.15.009.001,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w w:val="95"/>
                <w:sz w:val="20"/>
              </w:rPr>
              <w:t>A16.15.009.002,</w:t>
            </w:r>
            <w:r>
              <w:rPr>
                <w:spacing w:val="54"/>
                <w:sz w:val="20"/>
              </w:rPr>
              <w:t> </w:t>
            </w:r>
            <w:r>
              <w:rPr>
                <w:spacing w:val="-2"/>
                <w:sz w:val="20"/>
              </w:rPr>
              <w:t>A16.15.009.003,</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A16.15.009.004,</w:t>
            </w:r>
            <w:r>
              <w:rPr>
                <w:spacing w:val="54"/>
                <w:sz w:val="20"/>
              </w:rPr>
              <w:t> </w:t>
            </w:r>
            <w:r>
              <w:rPr>
                <w:spacing w:val="-2"/>
                <w:sz w:val="20"/>
              </w:rPr>
              <w:t>A16.15.010,</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6"/>
              <w:jc w:val="center"/>
              <w:rPr>
                <w:sz w:val="20"/>
              </w:rPr>
            </w:pPr>
            <w:r>
              <w:rPr>
                <w:w w:val="95"/>
                <w:sz w:val="20"/>
              </w:rPr>
              <w:t>A16.15.010.001,</w:t>
            </w:r>
            <w:r>
              <w:rPr>
                <w:spacing w:val="54"/>
                <w:sz w:val="20"/>
              </w:rPr>
              <w:t> </w:t>
            </w:r>
            <w:r>
              <w:rPr>
                <w:spacing w:val="-2"/>
                <w:sz w:val="20"/>
              </w:rPr>
              <w:t>A16.15.010.002,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sz w:val="20"/>
              </w:rPr>
              <w:t>A16.15.011,</w:t>
            </w:r>
            <w:r>
              <w:rPr>
                <w:spacing w:val="-8"/>
                <w:sz w:val="20"/>
              </w:rPr>
              <w:t> </w:t>
            </w:r>
            <w:r>
              <w:rPr>
                <w:sz w:val="20"/>
              </w:rPr>
              <w:t>A16.15.013,</w:t>
            </w:r>
            <w:r>
              <w:rPr>
                <w:spacing w:val="-9"/>
                <w:sz w:val="20"/>
              </w:rPr>
              <w:t> </w:t>
            </w:r>
            <w:r>
              <w:rPr>
                <w:spacing w:val="-2"/>
                <w:sz w:val="20"/>
              </w:rPr>
              <w:t>A16.15.014,</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1" w:right="646"/>
              <w:jc w:val="center"/>
              <w:rPr>
                <w:sz w:val="20"/>
              </w:rPr>
            </w:pPr>
            <w:r>
              <w:rPr>
                <w:sz w:val="20"/>
              </w:rPr>
              <w:t>A16.15.018,</w:t>
            </w:r>
            <w:r>
              <w:rPr>
                <w:spacing w:val="-9"/>
                <w:sz w:val="20"/>
              </w:rPr>
              <w:t> </w:t>
            </w:r>
            <w:r>
              <w:rPr>
                <w:sz w:val="20"/>
              </w:rPr>
              <w:t>A16.15.019,</w:t>
            </w:r>
            <w:r>
              <w:rPr>
                <w:spacing w:val="-10"/>
                <w:sz w:val="20"/>
              </w:rPr>
              <w:t> </w:t>
            </w:r>
            <w:r>
              <w:rPr>
                <w:spacing w:val="-2"/>
                <w:sz w:val="20"/>
              </w:rPr>
              <w:t>A16.15.020,</w:t>
            </w:r>
          </w:p>
        </w:tc>
        <w:tc>
          <w:tcPr>
            <w:tcW w:w="1573"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4" w:type="dxa"/>
          </w:tcPr>
          <w:p>
            <w:pPr>
              <w:pStyle w:val="TableParagraph"/>
              <w:rPr>
                <w:sz w:val="18"/>
              </w:rPr>
            </w:pPr>
          </w:p>
        </w:tc>
        <w:tc>
          <w:tcPr>
            <w:tcW w:w="4391" w:type="dxa"/>
          </w:tcPr>
          <w:p>
            <w:pPr>
              <w:pStyle w:val="TableParagraph"/>
              <w:rPr>
                <w:sz w:val="18"/>
              </w:rPr>
            </w:pPr>
          </w:p>
        </w:tc>
        <w:tc>
          <w:tcPr>
            <w:tcW w:w="3923" w:type="dxa"/>
          </w:tcPr>
          <w:p>
            <w:pPr>
              <w:pStyle w:val="TableParagraph"/>
              <w:spacing w:line="226" w:lineRule="exact"/>
              <w:ind w:left="192" w:right="641"/>
              <w:jc w:val="center"/>
              <w:rPr>
                <w:sz w:val="20"/>
              </w:rPr>
            </w:pPr>
            <w:r>
              <w:rPr>
                <w:spacing w:val="-2"/>
                <w:sz w:val="20"/>
              </w:rPr>
              <w:t>A16.15.021</w:t>
            </w:r>
          </w:p>
        </w:tc>
        <w:tc>
          <w:tcPr>
            <w:tcW w:w="1573" w:type="dxa"/>
          </w:tcPr>
          <w:p>
            <w:pPr>
              <w:pStyle w:val="TableParagraph"/>
              <w:rPr>
                <w:sz w:val="18"/>
              </w:rPr>
            </w:pPr>
          </w:p>
        </w:tc>
        <w:tc>
          <w:tcPr>
            <w:tcW w:w="1261" w:type="dxa"/>
          </w:tcPr>
          <w:p>
            <w:pPr>
              <w:pStyle w:val="TableParagraph"/>
              <w:rPr>
                <w:sz w:val="18"/>
              </w:rPr>
            </w:pPr>
          </w:p>
        </w:tc>
      </w:tr>
      <w:tr>
        <w:trPr>
          <w:trHeight w:val="505" w:hRule="atLeast"/>
        </w:trPr>
        <w:tc>
          <w:tcPr>
            <w:tcW w:w="946" w:type="dxa"/>
          </w:tcPr>
          <w:p>
            <w:pPr>
              <w:pStyle w:val="TableParagraph"/>
              <w:spacing w:before="45"/>
              <w:ind w:left="50"/>
              <w:rPr>
                <w:sz w:val="20"/>
              </w:rPr>
            </w:pPr>
            <w:r>
              <w:rPr>
                <w:spacing w:val="-2"/>
                <w:sz w:val="20"/>
              </w:rPr>
              <w:t>st32.007</w:t>
            </w:r>
          </w:p>
        </w:tc>
        <w:tc>
          <w:tcPr>
            <w:tcW w:w="707" w:type="dxa"/>
          </w:tcPr>
          <w:p>
            <w:pPr>
              <w:pStyle w:val="TableParagraph"/>
              <w:spacing w:before="45"/>
              <w:ind w:left="210"/>
              <w:rPr>
                <w:sz w:val="20"/>
              </w:rPr>
            </w:pPr>
            <w:r>
              <w:rPr>
                <w:spacing w:val="-5"/>
                <w:sz w:val="20"/>
              </w:rPr>
              <w:t>322</w:t>
            </w:r>
          </w:p>
        </w:tc>
        <w:tc>
          <w:tcPr>
            <w:tcW w:w="2474" w:type="dxa"/>
          </w:tcPr>
          <w:p>
            <w:pPr>
              <w:pStyle w:val="TableParagraph"/>
              <w:spacing w:line="230" w:lineRule="atLeast" w:before="25"/>
              <w:ind w:left="192" w:right="284"/>
              <w:rPr>
                <w:sz w:val="20"/>
              </w:rPr>
            </w:pPr>
            <w:r>
              <w:rPr>
                <w:spacing w:val="-2"/>
                <w:sz w:val="20"/>
              </w:rPr>
              <w:t>Панкреатит, </w:t>
            </w:r>
            <w:r>
              <w:rPr>
                <w:sz w:val="20"/>
              </w:rPr>
              <w:t>хирургическое</w:t>
            </w:r>
            <w:r>
              <w:rPr>
                <w:spacing w:val="-13"/>
                <w:sz w:val="20"/>
              </w:rPr>
              <w:t> </w:t>
            </w:r>
            <w:r>
              <w:rPr>
                <w:sz w:val="20"/>
              </w:rPr>
              <w:t>лечение</w:t>
            </w:r>
          </w:p>
        </w:tc>
        <w:tc>
          <w:tcPr>
            <w:tcW w:w="4391" w:type="dxa"/>
          </w:tcPr>
          <w:p>
            <w:pPr>
              <w:pStyle w:val="TableParagraph"/>
              <w:spacing w:before="45"/>
              <w:ind w:left="295" w:right="198"/>
              <w:jc w:val="center"/>
              <w:rPr>
                <w:sz w:val="20"/>
              </w:rPr>
            </w:pPr>
            <w:r>
              <w:rPr>
                <w:sz w:val="20"/>
              </w:rPr>
              <w:t>K85,</w:t>
            </w:r>
            <w:r>
              <w:rPr>
                <w:spacing w:val="-6"/>
                <w:sz w:val="20"/>
              </w:rPr>
              <w:t> </w:t>
            </w:r>
            <w:r>
              <w:rPr>
                <w:sz w:val="20"/>
              </w:rPr>
              <w:t>K85.0,</w:t>
            </w:r>
            <w:r>
              <w:rPr>
                <w:spacing w:val="-6"/>
                <w:sz w:val="20"/>
              </w:rPr>
              <w:t> </w:t>
            </w:r>
            <w:r>
              <w:rPr>
                <w:sz w:val="20"/>
              </w:rPr>
              <w:t>K85.1,</w:t>
            </w:r>
            <w:r>
              <w:rPr>
                <w:spacing w:val="-5"/>
                <w:sz w:val="20"/>
              </w:rPr>
              <w:t> </w:t>
            </w:r>
            <w:r>
              <w:rPr>
                <w:sz w:val="20"/>
              </w:rPr>
              <w:t>K85.2,</w:t>
            </w:r>
            <w:r>
              <w:rPr>
                <w:spacing w:val="-6"/>
                <w:sz w:val="20"/>
              </w:rPr>
              <w:t> </w:t>
            </w:r>
            <w:r>
              <w:rPr>
                <w:sz w:val="20"/>
              </w:rPr>
              <w:t>K85.3,</w:t>
            </w:r>
            <w:r>
              <w:rPr>
                <w:spacing w:val="-5"/>
                <w:sz w:val="20"/>
              </w:rPr>
              <w:t> </w:t>
            </w:r>
            <w:r>
              <w:rPr>
                <w:sz w:val="20"/>
              </w:rPr>
              <w:t>K85.8,</w:t>
            </w:r>
            <w:r>
              <w:rPr>
                <w:spacing w:val="-6"/>
                <w:sz w:val="20"/>
              </w:rPr>
              <w:t> </w:t>
            </w:r>
            <w:r>
              <w:rPr>
                <w:spacing w:val="-4"/>
                <w:sz w:val="20"/>
              </w:rPr>
              <w:t>K85.9</w:t>
            </w:r>
          </w:p>
        </w:tc>
        <w:tc>
          <w:tcPr>
            <w:tcW w:w="3923" w:type="dxa"/>
          </w:tcPr>
          <w:p>
            <w:pPr>
              <w:pStyle w:val="TableParagraph"/>
              <w:spacing w:before="45"/>
              <w:ind w:left="192" w:right="645"/>
              <w:jc w:val="center"/>
              <w:rPr>
                <w:sz w:val="20"/>
              </w:rPr>
            </w:pPr>
            <w:r>
              <w:rPr>
                <w:sz w:val="20"/>
              </w:rPr>
              <w:t>A16.15.014,</w:t>
            </w:r>
            <w:r>
              <w:rPr>
                <w:spacing w:val="-9"/>
                <w:sz w:val="20"/>
              </w:rPr>
              <w:t> </w:t>
            </w:r>
            <w:r>
              <w:rPr>
                <w:spacing w:val="-2"/>
                <w:sz w:val="20"/>
              </w:rPr>
              <w:t>A16.15.018</w:t>
            </w:r>
          </w:p>
        </w:tc>
        <w:tc>
          <w:tcPr>
            <w:tcW w:w="1573" w:type="dxa"/>
          </w:tcPr>
          <w:p>
            <w:pPr>
              <w:pStyle w:val="TableParagraph"/>
              <w:spacing w:before="45"/>
              <w:ind w:left="645"/>
              <w:rPr>
                <w:sz w:val="20"/>
              </w:rPr>
            </w:pPr>
            <w:r>
              <w:rPr>
                <w:w w:val="99"/>
                <w:sz w:val="20"/>
              </w:rPr>
              <w:t>-</w:t>
            </w:r>
          </w:p>
        </w:tc>
        <w:tc>
          <w:tcPr>
            <w:tcW w:w="1261" w:type="dxa"/>
          </w:tcPr>
          <w:p>
            <w:pPr>
              <w:pStyle w:val="TableParagraph"/>
              <w:spacing w:before="45"/>
              <w:ind w:right="49"/>
              <w:jc w:val="right"/>
              <w:rPr>
                <w:sz w:val="20"/>
              </w:rPr>
            </w:pPr>
            <w:r>
              <w:rPr>
                <w:spacing w:val="-4"/>
                <w:sz w:val="20"/>
              </w:rPr>
              <w:t>4,12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57"/>
        <w:gridCol w:w="2449"/>
        <w:gridCol w:w="4883"/>
        <w:gridCol w:w="1571"/>
        <w:gridCol w:w="1260"/>
      </w:tblGrid>
      <w:tr>
        <w:trPr>
          <w:trHeight w:val="964" w:hRule="atLeast"/>
        </w:trPr>
        <w:tc>
          <w:tcPr>
            <w:tcW w:w="946" w:type="dxa"/>
          </w:tcPr>
          <w:p>
            <w:pPr>
              <w:pStyle w:val="TableParagraph"/>
              <w:spacing w:line="221" w:lineRule="exact"/>
              <w:ind w:left="50"/>
              <w:rPr>
                <w:sz w:val="20"/>
              </w:rPr>
            </w:pPr>
            <w:r>
              <w:rPr>
                <w:spacing w:val="-2"/>
                <w:sz w:val="20"/>
              </w:rPr>
              <w:t>st32.008</w:t>
            </w:r>
          </w:p>
        </w:tc>
        <w:tc>
          <w:tcPr>
            <w:tcW w:w="707" w:type="dxa"/>
          </w:tcPr>
          <w:p>
            <w:pPr>
              <w:pStyle w:val="TableParagraph"/>
              <w:spacing w:line="221" w:lineRule="exact"/>
              <w:ind w:left="210"/>
              <w:rPr>
                <w:sz w:val="20"/>
              </w:rPr>
            </w:pPr>
            <w:r>
              <w:rPr>
                <w:spacing w:val="-5"/>
                <w:sz w:val="20"/>
              </w:rPr>
              <w:t>323</w:t>
            </w:r>
          </w:p>
        </w:tc>
        <w:tc>
          <w:tcPr>
            <w:tcW w:w="3457" w:type="dxa"/>
          </w:tcPr>
          <w:p>
            <w:pPr>
              <w:pStyle w:val="TableParagraph"/>
              <w:ind w:left="192" w:right="1018"/>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1)</w:t>
            </w:r>
          </w:p>
        </w:tc>
        <w:tc>
          <w:tcPr>
            <w:tcW w:w="2449" w:type="dxa"/>
          </w:tcPr>
          <w:p>
            <w:pPr>
              <w:pStyle w:val="TableParagraph"/>
              <w:spacing w:line="221" w:lineRule="exact"/>
              <w:ind w:right="1151"/>
              <w:jc w:val="right"/>
              <w:rPr>
                <w:sz w:val="20"/>
              </w:rPr>
            </w:pPr>
            <w:r>
              <w:rPr>
                <w:w w:val="99"/>
                <w:sz w:val="20"/>
              </w:rPr>
              <w:t>-</w:t>
            </w:r>
          </w:p>
        </w:tc>
        <w:tc>
          <w:tcPr>
            <w:tcW w:w="4883" w:type="dxa"/>
          </w:tcPr>
          <w:p>
            <w:pPr>
              <w:pStyle w:val="TableParagraph"/>
              <w:ind w:left="1499" w:right="995"/>
              <w:jc w:val="both"/>
              <w:rPr>
                <w:sz w:val="20"/>
              </w:rPr>
            </w:pPr>
            <w:r>
              <w:rPr>
                <w:sz w:val="20"/>
              </w:rPr>
              <w:t>A03.16.001.001,</w:t>
            </w:r>
            <w:r>
              <w:rPr>
                <w:spacing w:val="-13"/>
                <w:sz w:val="20"/>
              </w:rPr>
              <w:t> </w:t>
            </w:r>
            <w:r>
              <w:rPr>
                <w:sz w:val="20"/>
              </w:rPr>
              <w:t>A16.16.001, A16.16.041.003,</w:t>
            </w:r>
            <w:r>
              <w:rPr>
                <w:spacing w:val="-13"/>
                <w:sz w:val="20"/>
              </w:rPr>
              <w:t> </w:t>
            </w:r>
            <w:r>
              <w:rPr>
                <w:sz w:val="20"/>
              </w:rPr>
              <w:t>A16.16.047, A16.16.047.001, A16.16.048</w:t>
            </w:r>
          </w:p>
        </w:tc>
        <w:tc>
          <w:tcPr>
            <w:tcW w:w="1571" w:type="dxa"/>
          </w:tcPr>
          <w:p>
            <w:pPr>
              <w:pStyle w:val="TableParagraph"/>
              <w:spacing w:line="221" w:lineRule="exact"/>
              <w:ind w:left="644"/>
              <w:rPr>
                <w:sz w:val="20"/>
              </w:rPr>
            </w:pPr>
            <w:r>
              <w:rPr>
                <w:w w:val="99"/>
                <w:sz w:val="20"/>
              </w:rPr>
              <w:t>-</w:t>
            </w:r>
          </w:p>
        </w:tc>
        <w:tc>
          <w:tcPr>
            <w:tcW w:w="1260" w:type="dxa"/>
          </w:tcPr>
          <w:p>
            <w:pPr>
              <w:pStyle w:val="TableParagraph"/>
              <w:spacing w:line="221" w:lineRule="exact"/>
              <w:ind w:right="47"/>
              <w:jc w:val="right"/>
              <w:rPr>
                <w:sz w:val="20"/>
              </w:rPr>
            </w:pPr>
            <w:r>
              <w:rPr>
                <w:spacing w:val="-4"/>
                <w:sz w:val="20"/>
              </w:rPr>
              <w:t>1,16</w:t>
            </w:r>
          </w:p>
        </w:tc>
      </w:tr>
      <w:tr>
        <w:trPr>
          <w:trHeight w:val="7635" w:hRule="atLeast"/>
        </w:trPr>
        <w:tc>
          <w:tcPr>
            <w:tcW w:w="946" w:type="dxa"/>
          </w:tcPr>
          <w:p>
            <w:pPr>
              <w:pStyle w:val="TableParagraph"/>
              <w:spacing w:before="46"/>
              <w:ind w:left="50"/>
              <w:rPr>
                <w:sz w:val="20"/>
              </w:rPr>
            </w:pPr>
            <w:r>
              <w:rPr>
                <w:spacing w:val="-2"/>
                <w:sz w:val="20"/>
              </w:rPr>
              <w:t>st32.009</w:t>
            </w:r>
          </w:p>
        </w:tc>
        <w:tc>
          <w:tcPr>
            <w:tcW w:w="707" w:type="dxa"/>
          </w:tcPr>
          <w:p>
            <w:pPr>
              <w:pStyle w:val="TableParagraph"/>
              <w:spacing w:before="46"/>
              <w:ind w:left="210"/>
              <w:rPr>
                <w:sz w:val="20"/>
              </w:rPr>
            </w:pPr>
            <w:r>
              <w:rPr>
                <w:spacing w:val="-5"/>
                <w:sz w:val="20"/>
              </w:rPr>
              <w:t>324</w:t>
            </w:r>
          </w:p>
        </w:tc>
        <w:tc>
          <w:tcPr>
            <w:tcW w:w="3457" w:type="dxa"/>
          </w:tcPr>
          <w:p>
            <w:pPr>
              <w:pStyle w:val="TableParagraph"/>
              <w:spacing w:before="46"/>
              <w:ind w:left="192" w:right="1018"/>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2)</w:t>
            </w:r>
          </w:p>
        </w:tc>
        <w:tc>
          <w:tcPr>
            <w:tcW w:w="2449" w:type="dxa"/>
          </w:tcPr>
          <w:p>
            <w:pPr>
              <w:pStyle w:val="TableParagraph"/>
              <w:spacing w:before="46"/>
              <w:ind w:right="1151"/>
              <w:jc w:val="right"/>
              <w:rPr>
                <w:sz w:val="20"/>
              </w:rPr>
            </w:pPr>
            <w:r>
              <w:rPr>
                <w:w w:val="99"/>
                <w:sz w:val="20"/>
              </w:rPr>
              <w:t>-</w:t>
            </w:r>
          </w:p>
        </w:tc>
        <w:tc>
          <w:tcPr>
            <w:tcW w:w="4883" w:type="dxa"/>
          </w:tcPr>
          <w:p>
            <w:pPr>
              <w:pStyle w:val="TableParagraph"/>
              <w:spacing w:before="46"/>
              <w:ind w:left="1151" w:right="644" w:hanging="5"/>
              <w:jc w:val="center"/>
              <w:rPr>
                <w:sz w:val="20"/>
              </w:rPr>
            </w:pPr>
            <w:r>
              <w:rPr>
                <w:sz w:val="20"/>
              </w:rPr>
              <w:t>A16.16.002,</w:t>
            </w:r>
            <w:r>
              <w:rPr>
                <w:spacing w:val="-13"/>
                <w:sz w:val="20"/>
              </w:rPr>
              <w:t> </w:t>
            </w:r>
            <w:r>
              <w:rPr>
                <w:sz w:val="20"/>
              </w:rPr>
              <w:t>A16.16.003,</w:t>
            </w:r>
            <w:r>
              <w:rPr>
                <w:spacing w:val="-12"/>
                <w:sz w:val="20"/>
              </w:rPr>
              <w:t> </w:t>
            </w:r>
            <w:r>
              <w:rPr>
                <w:sz w:val="20"/>
              </w:rPr>
              <w:t>A16.16.004, A16.16.005, A16.16.006, A16.16.006.001, A16.16.006.002, A16.16.007,</w:t>
            </w:r>
            <w:r>
              <w:rPr>
                <w:spacing w:val="-13"/>
                <w:sz w:val="20"/>
              </w:rPr>
              <w:t> </w:t>
            </w:r>
            <w:r>
              <w:rPr>
                <w:sz w:val="20"/>
              </w:rPr>
              <w:t>A16.16.008,</w:t>
            </w:r>
            <w:r>
              <w:rPr>
                <w:spacing w:val="-12"/>
                <w:sz w:val="20"/>
              </w:rPr>
              <w:t> </w:t>
            </w:r>
            <w:r>
              <w:rPr>
                <w:sz w:val="20"/>
              </w:rPr>
              <w:t>A16.16.009, A16.16.010,</w:t>
            </w:r>
            <w:r>
              <w:rPr>
                <w:spacing w:val="-13"/>
                <w:sz w:val="20"/>
              </w:rPr>
              <w:t> </w:t>
            </w:r>
            <w:r>
              <w:rPr>
                <w:sz w:val="20"/>
              </w:rPr>
              <w:t>A16.16.011,</w:t>
            </w:r>
            <w:r>
              <w:rPr>
                <w:spacing w:val="-12"/>
                <w:sz w:val="20"/>
              </w:rPr>
              <w:t> </w:t>
            </w:r>
            <w:r>
              <w:rPr>
                <w:sz w:val="20"/>
              </w:rPr>
              <w:t>A16.16.012, A16.16.013,</w:t>
            </w:r>
            <w:r>
              <w:rPr>
                <w:spacing w:val="-13"/>
                <w:sz w:val="20"/>
              </w:rPr>
              <w:t> </w:t>
            </w:r>
            <w:r>
              <w:rPr>
                <w:sz w:val="20"/>
              </w:rPr>
              <w:t>A16.16.014,</w:t>
            </w:r>
            <w:r>
              <w:rPr>
                <w:spacing w:val="-12"/>
                <w:sz w:val="20"/>
              </w:rPr>
              <w:t> </w:t>
            </w:r>
            <w:r>
              <w:rPr>
                <w:sz w:val="20"/>
              </w:rPr>
              <w:t>A16.16.015, A16.16.015.001, A16.16.015.002, A16.16.015.003, A16.16.016, A16.16.017, A16.16.017.001, A16.16.017.003, A16.16.017.004, A16.16.017.005, A16.16.017.006, A16.16.017.007, A16.16.017.008, A16.16.017.009, A16.16.017.012, A16.16.017.013, A16.16.017.014, A16.16.017.015, A16.16.018, A16.16.018.001, A16.16.018.002, A16.16.018.003, A16.16.018.004, A16.16.019,</w:t>
            </w:r>
            <w:r>
              <w:rPr>
                <w:spacing w:val="-13"/>
                <w:sz w:val="20"/>
              </w:rPr>
              <w:t> </w:t>
            </w:r>
            <w:r>
              <w:rPr>
                <w:sz w:val="20"/>
              </w:rPr>
              <w:t>A16.16.020,</w:t>
            </w:r>
            <w:r>
              <w:rPr>
                <w:spacing w:val="-12"/>
                <w:sz w:val="20"/>
              </w:rPr>
              <w:t> </w:t>
            </w:r>
            <w:r>
              <w:rPr>
                <w:sz w:val="20"/>
              </w:rPr>
              <w:t>A16.16.021, A16.16.021.001, A16.16.022, A16.16.023,</w:t>
            </w:r>
            <w:r>
              <w:rPr>
                <w:spacing w:val="-13"/>
                <w:sz w:val="20"/>
              </w:rPr>
              <w:t> </w:t>
            </w:r>
            <w:r>
              <w:rPr>
                <w:sz w:val="20"/>
              </w:rPr>
              <w:t>A16.16.024,</w:t>
            </w:r>
            <w:r>
              <w:rPr>
                <w:spacing w:val="-12"/>
                <w:sz w:val="20"/>
              </w:rPr>
              <w:t> </w:t>
            </w:r>
            <w:r>
              <w:rPr>
                <w:sz w:val="20"/>
              </w:rPr>
              <w:t>A16.16.025, A16.16.027, A16.16.028, A16.16.028.001, A16.16.028.002, A16.16.028.003, A16.16.029, A16.16.030, A16.16.030.001, A16.16.030.002, A16.16.031, A16.16.032, A16.16.032.001, A16.16.032.002, A16.16.033, A16.16.034, A16.16.034.001, A16.16.034.002, A16.16.035, A16.16.036.001, A16.16.037, A16.16.037.001, A16.16.038, A16.16.038.001, A16.16.039,</w:t>
            </w:r>
          </w:p>
          <w:p>
            <w:pPr>
              <w:pStyle w:val="TableParagraph"/>
              <w:spacing w:line="210" w:lineRule="exact"/>
              <w:ind w:left="1148" w:right="646"/>
              <w:jc w:val="center"/>
              <w:rPr>
                <w:sz w:val="20"/>
              </w:rPr>
            </w:pPr>
            <w:r>
              <w:rPr>
                <w:sz w:val="20"/>
              </w:rPr>
              <w:t>A16.16.041,</w:t>
            </w:r>
            <w:r>
              <w:rPr>
                <w:spacing w:val="-9"/>
                <w:sz w:val="20"/>
              </w:rPr>
              <w:t> </w:t>
            </w:r>
            <w:r>
              <w:rPr>
                <w:spacing w:val="-2"/>
                <w:sz w:val="20"/>
              </w:rPr>
              <w:t>A16.16.041.001,</w:t>
            </w:r>
          </w:p>
        </w:tc>
        <w:tc>
          <w:tcPr>
            <w:tcW w:w="1571" w:type="dxa"/>
          </w:tcPr>
          <w:p>
            <w:pPr>
              <w:pStyle w:val="TableParagraph"/>
              <w:spacing w:before="46"/>
              <w:ind w:left="644"/>
              <w:rPr>
                <w:sz w:val="20"/>
              </w:rPr>
            </w:pPr>
            <w:r>
              <w:rPr>
                <w:w w:val="99"/>
                <w:sz w:val="20"/>
              </w:rPr>
              <w:t>-</w:t>
            </w:r>
          </w:p>
        </w:tc>
        <w:tc>
          <w:tcPr>
            <w:tcW w:w="1260" w:type="dxa"/>
          </w:tcPr>
          <w:p>
            <w:pPr>
              <w:pStyle w:val="TableParagraph"/>
              <w:spacing w:before="46"/>
              <w:ind w:right="47"/>
              <w:jc w:val="right"/>
              <w:rPr>
                <w:sz w:val="20"/>
              </w:rPr>
            </w:pPr>
            <w:r>
              <w:rPr>
                <w:spacing w:val="-4"/>
                <w:sz w:val="20"/>
              </w:rPr>
              <w:t>1,95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56"/>
        <w:gridCol w:w="2350"/>
        <w:gridCol w:w="4485"/>
        <w:gridCol w:w="2368"/>
        <w:gridCol w:w="864"/>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556" w:type="dxa"/>
            <w:vMerge w:val="restart"/>
          </w:tcPr>
          <w:p>
            <w:pPr>
              <w:pStyle w:val="TableParagraph"/>
              <w:rPr>
                <w:sz w:val="18"/>
              </w:rPr>
            </w:pPr>
          </w:p>
        </w:tc>
        <w:tc>
          <w:tcPr>
            <w:tcW w:w="2350" w:type="dxa"/>
            <w:vMerge w:val="restart"/>
          </w:tcPr>
          <w:p>
            <w:pPr>
              <w:pStyle w:val="TableParagraph"/>
              <w:rPr>
                <w:sz w:val="18"/>
              </w:rPr>
            </w:pPr>
          </w:p>
        </w:tc>
        <w:tc>
          <w:tcPr>
            <w:tcW w:w="4485" w:type="dxa"/>
          </w:tcPr>
          <w:p>
            <w:pPr>
              <w:pStyle w:val="TableParagraph"/>
              <w:spacing w:line="205" w:lineRule="exact"/>
              <w:ind w:left="1149" w:right="250"/>
              <w:jc w:val="center"/>
              <w:rPr>
                <w:sz w:val="20"/>
              </w:rPr>
            </w:pPr>
            <w:r>
              <w:rPr>
                <w:w w:val="95"/>
                <w:sz w:val="20"/>
              </w:rPr>
              <w:t>A16.16.041.002,</w:t>
            </w:r>
            <w:r>
              <w:rPr>
                <w:spacing w:val="54"/>
                <w:sz w:val="20"/>
              </w:rPr>
              <w:t> </w:t>
            </w:r>
            <w:r>
              <w:rPr>
                <w:spacing w:val="-2"/>
                <w:sz w:val="20"/>
              </w:rPr>
              <w:t>A16.16.041.004,</w:t>
            </w:r>
          </w:p>
        </w:tc>
        <w:tc>
          <w:tcPr>
            <w:tcW w:w="2368"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09" w:lineRule="exact"/>
              <w:ind w:left="1149" w:right="250"/>
              <w:jc w:val="center"/>
              <w:rPr>
                <w:sz w:val="20"/>
              </w:rPr>
            </w:pPr>
            <w:r>
              <w:rPr>
                <w:w w:val="95"/>
                <w:sz w:val="20"/>
              </w:rPr>
              <w:t>A16.16.041.005,</w:t>
            </w:r>
            <w:r>
              <w:rPr>
                <w:spacing w:val="54"/>
                <w:sz w:val="20"/>
              </w:rPr>
              <w:t> </w:t>
            </w:r>
            <w:r>
              <w:rPr>
                <w:spacing w:val="-2"/>
                <w:sz w:val="20"/>
              </w:rPr>
              <w:t>A16.16.041.006,</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09" w:lineRule="exact"/>
              <w:ind w:left="1150" w:right="250"/>
              <w:jc w:val="center"/>
              <w:rPr>
                <w:sz w:val="20"/>
              </w:rPr>
            </w:pPr>
            <w:r>
              <w:rPr>
                <w:sz w:val="20"/>
              </w:rPr>
              <w:t>A16.16.042,</w:t>
            </w:r>
            <w:r>
              <w:rPr>
                <w:spacing w:val="-7"/>
                <w:sz w:val="20"/>
              </w:rPr>
              <w:t> </w:t>
            </w:r>
            <w:r>
              <w:rPr>
                <w:sz w:val="20"/>
              </w:rPr>
              <w:t>A16.16.043,</w:t>
            </w:r>
            <w:r>
              <w:rPr>
                <w:spacing w:val="-10"/>
                <w:sz w:val="20"/>
              </w:rPr>
              <w:t> </w:t>
            </w:r>
            <w:r>
              <w:rPr>
                <w:spacing w:val="-2"/>
                <w:sz w:val="20"/>
              </w:rPr>
              <w:t>A16.16.044,</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48" w:right="250"/>
              <w:jc w:val="center"/>
              <w:rPr>
                <w:sz w:val="20"/>
              </w:rPr>
            </w:pPr>
            <w:r>
              <w:rPr>
                <w:sz w:val="20"/>
              </w:rPr>
              <w:t>A16.16.051,</w:t>
            </w:r>
            <w:r>
              <w:rPr>
                <w:spacing w:val="-9"/>
                <w:sz w:val="20"/>
              </w:rPr>
              <w:t> </w:t>
            </w:r>
            <w:r>
              <w:rPr>
                <w:sz w:val="20"/>
              </w:rPr>
              <w:t>A16.16.052,</w:t>
            </w:r>
            <w:r>
              <w:rPr>
                <w:spacing w:val="-10"/>
                <w:sz w:val="20"/>
              </w:rPr>
              <w:t> </w:t>
            </w:r>
            <w:r>
              <w:rPr>
                <w:spacing w:val="-2"/>
                <w:sz w:val="20"/>
              </w:rPr>
              <w:t>A16.16.053,</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48" w:right="250"/>
              <w:jc w:val="center"/>
              <w:rPr>
                <w:sz w:val="20"/>
              </w:rPr>
            </w:pPr>
            <w:r>
              <w:rPr>
                <w:sz w:val="20"/>
              </w:rPr>
              <w:t>A16.16.054,</w:t>
            </w:r>
            <w:r>
              <w:rPr>
                <w:spacing w:val="-9"/>
                <w:sz w:val="20"/>
              </w:rPr>
              <w:t> </w:t>
            </w:r>
            <w:r>
              <w:rPr>
                <w:sz w:val="20"/>
              </w:rPr>
              <w:t>A16.16.055,</w:t>
            </w:r>
            <w:r>
              <w:rPr>
                <w:spacing w:val="-10"/>
                <w:sz w:val="20"/>
              </w:rPr>
              <w:t> </w:t>
            </w:r>
            <w:r>
              <w:rPr>
                <w:spacing w:val="-2"/>
                <w:sz w:val="20"/>
              </w:rPr>
              <w:t>A16.16.056,</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48" w:right="250"/>
              <w:jc w:val="center"/>
              <w:rPr>
                <w:sz w:val="20"/>
              </w:rPr>
            </w:pPr>
            <w:r>
              <w:rPr>
                <w:sz w:val="20"/>
              </w:rPr>
              <w:t>A16.16.057,</w:t>
            </w:r>
            <w:r>
              <w:rPr>
                <w:spacing w:val="-9"/>
                <w:sz w:val="20"/>
              </w:rPr>
              <w:t> </w:t>
            </w:r>
            <w:r>
              <w:rPr>
                <w:sz w:val="20"/>
              </w:rPr>
              <w:t>A16.16.058,</w:t>
            </w:r>
            <w:r>
              <w:rPr>
                <w:spacing w:val="-10"/>
                <w:sz w:val="20"/>
              </w:rPr>
              <w:t> </w:t>
            </w:r>
            <w:r>
              <w:rPr>
                <w:spacing w:val="-2"/>
                <w:sz w:val="20"/>
              </w:rPr>
              <w:t>A16.16.059,</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1" w:lineRule="exact"/>
              <w:ind w:left="1150" w:right="248"/>
              <w:jc w:val="center"/>
              <w:rPr>
                <w:sz w:val="20"/>
              </w:rPr>
            </w:pPr>
            <w:r>
              <w:rPr>
                <w:sz w:val="20"/>
              </w:rPr>
              <w:t>A16.16.061,</w:t>
            </w:r>
            <w:r>
              <w:rPr>
                <w:spacing w:val="-9"/>
                <w:sz w:val="20"/>
              </w:rPr>
              <w:t> </w:t>
            </w:r>
            <w:r>
              <w:rPr>
                <w:spacing w:val="-2"/>
                <w:sz w:val="20"/>
              </w:rPr>
              <w:t>A16.16.064,</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50" w:right="250"/>
              <w:jc w:val="center"/>
              <w:rPr>
                <w:sz w:val="20"/>
              </w:rPr>
            </w:pPr>
            <w:r>
              <w:rPr>
                <w:w w:val="95"/>
                <w:sz w:val="20"/>
              </w:rPr>
              <w:t>A16.16.064.001,</w:t>
            </w:r>
            <w:r>
              <w:rPr>
                <w:spacing w:val="54"/>
                <w:sz w:val="20"/>
              </w:rPr>
              <w:t> </w:t>
            </w:r>
            <w:r>
              <w:rPr>
                <w:spacing w:val="-2"/>
                <w:sz w:val="20"/>
              </w:rPr>
              <w:t>A16.16.065,</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09" w:lineRule="exact"/>
              <w:ind w:left="1150" w:right="250"/>
              <w:jc w:val="center"/>
              <w:rPr>
                <w:sz w:val="20"/>
              </w:rPr>
            </w:pPr>
            <w:r>
              <w:rPr>
                <w:w w:val="95"/>
                <w:sz w:val="20"/>
              </w:rPr>
              <w:t>A16.16.065.001,</w:t>
            </w:r>
            <w:r>
              <w:rPr>
                <w:spacing w:val="54"/>
                <w:sz w:val="20"/>
              </w:rPr>
              <w:t> </w:t>
            </w:r>
            <w:r>
              <w:rPr>
                <w:spacing w:val="-2"/>
                <w:sz w:val="20"/>
              </w:rPr>
              <w:t>A16.16.066,</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26" w:lineRule="exact"/>
              <w:ind w:left="1150" w:right="246"/>
              <w:jc w:val="center"/>
              <w:rPr>
                <w:sz w:val="20"/>
              </w:rPr>
            </w:pPr>
            <w:r>
              <w:rPr>
                <w:spacing w:val="-2"/>
                <w:sz w:val="20"/>
              </w:rPr>
              <w:t>A16.16.067</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st32.010</w:t>
            </w:r>
          </w:p>
        </w:tc>
        <w:tc>
          <w:tcPr>
            <w:tcW w:w="707" w:type="dxa"/>
          </w:tcPr>
          <w:p>
            <w:pPr>
              <w:pStyle w:val="TableParagraph"/>
              <w:spacing w:line="215" w:lineRule="exact" w:before="46"/>
              <w:ind w:left="210"/>
              <w:rPr>
                <w:sz w:val="20"/>
              </w:rPr>
            </w:pPr>
            <w:r>
              <w:rPr>
                <w:spacing w:val="-5"/>
                <w:sz w:val="20"/>
              </w:rPr>
              <w:t>325</w:t>
            </w:r>
          </w:p>
        </w:tc>
        <w:tc>
          <w:tcPr>
            <w:tcW w:w="3556"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6"/>
                <w:sz w:val="20"/>
              </w:rPr>
              <w:t> </w:t>
            </w:r>
            <w:r>
              <w:rPr>
                <w:spacing w:val="-2"/>
                <w:sz w:val="20"/>
              </w:rPr>
              <w:t>пищеводе,</w:t>
            </w:r>
          </w:p>
        </w:tc>
        <w:tc>
          <w:tcPr>
            <w:tcW w:w="2350" w:type="dxa"/>
          </w:tcPr>
          <w:p>
            <w:pPr>
              <w:pStyle w:val="TableParagraph"/>
              <w:spacing w:line="215" w:lineRule="exact" w:before="46"/>
              <w:ind w:right="21"/>
              <w:jc w:val="center"/>
              <w:rPr>
                <w:sz w:val="20"/>
              </w:rPr>
            </w:pPr>
            <w:r>
              <w:rPr>
                <w:w w:val="99"/>
                <w:sz w:val="20"/>
              </w:rPr>
              <w:t>-</w:t>
            </w:r>
          </w:p>
        </w:tc>
        <w:tc>
          <w:tcPr>
            <w:tcW w:w="4485" w:type="dxa"/>
          </w:tcPr>
          <w:p>
            <w:pPr>
              <w:pStyle w:val="TableParagraph"/>
              <w:spacing w:line="215" w:lineRule="exact" w:before="46"/>
              <w:ind w:left="1149" w:right="250"/>
              <w:jc w:val="center"/>
              <w:rPr>
                <w:sz w:val="20"/>
              </w:rPr>
            </w:pPr>
            <w:r>
              <w:rPr>
                <w:w w:val="95"/>
                <w:sz w:val="20"/>
              </w:rPr>
              <w:t>A16.16.017.002,</w:t>
            </w:r>
            <w:r>
              <w:rPr>
                <w:spacing w:val="54"/>
                <w:sz w:val="20"/>
              </w:rPr>
              <w:t> </w:t>
            </w:r>
            <w:r>
              <w:rPr>
                <w:spacing w:val="-2"/>
                <w:sz w:val="20"/>
              </w:rPr>
              <w:t>A16.16.017.016,</w:t>
            </w:r>
          </w:p>
        </w:tc>
        <w:tc>
          <w:tcPr>
            <w:tcW w:w="2368" w:type="dxa"/>
          </w:tcPr>
          <w:p>
            <w:pPr>
              <w:pStyle w:val="TableParagraph"/>
              <w:spacing w:line="215" w:lineRule="exact" w:before="46"/>
              <w:ind w:right="214"/>
              <w:jc w:val="center"/>
              <w:rPr>
                <w:sz w:val="20"/>
              </w:rPr>
            </w:pPr>
            <w:r>
              <w:rPr>
                <w:w w:val="99"/>
                <w:sz w:val="20"/>
              </w:rPr>
              <w:t>-</w:t>
            </w:r>
          </w:p>
        </w:tc>
        <w:tc>
          <w:tcPr>
            <w:tcW w:w="864" w:type="dxa"/>
          </w:tcPr>
          <w:p>
            <w:pPr>
              <w:pStyle w:val="TableParagraph"/>
              <w:spacing w:line="215" w:lineRule="exact" w:before="46"/>
              <w:ind w:right="50"/>
              <w:jc w:val="right"/>
              <w:rPr>
                <w:sz w:val="20"/>
              </w:rPr>
            </w:pPr>
            <w:r>
              <w:rPr>
                <w:spacing w:val="-4"/>
                <w:sz w:val="20"/>
              </w:rPr>
              <w:t>2,46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09" w:lineRule="exact"/>
              <w:ind w:left="192"/>
              <w:rPr>
                <w:sz w:val="20"/>
              </w:rPr>
            </w:pPr>
            <w:r>
              <w:rPr>
                <w:spacing w:val="-2"/>
                <w:sz w:val="20"/>
              </w:rPr>
              <w:t>желудке,</w:t>
            </w:r>
          </w:p>
        </w:tc>
        <w:tc>
          <w:tcPr>
            <w:tcW w:w="2350" w:type="dxa"/>
          </w:tcPr>
          <w:p>
            <w:pPr>
              <w:pStyle w:val="TableParagraph"/>
              <w:rPr>
                <w:sz w:val="16"/>
              </w:rPr>
            </w:pPr>
          </w:p>
        </w:tc>
        <w:tc>
          <w:tcPr>
            <w:tcW w:w="4485" w:type="dxa"/>
          </w:tcPr>
          <w:p>
            <w:pPr>
              <w:pStyle w:val="TableParagraph"/>
              <w:spacing w:line="209" w:lineRule="exact"/>
              <w:ind w:left="1150" w:right="250"/>
              <w:jc w:val="center"/>
              <w:rPr>
                <w:sz w:val="20"/>
              </w:rPr>
            </w:pPr>
            <w:r>
              <w:rPr>
                <w:sz w:val="20"/>
              </w:rPr>
              <w:t>A16.16.026,</w:t>
            </w:r>
            <w:r>
              <w:rPr>
                <w:spacing w:val="-9"/>
                <w:sz w:val="20"/>
              </w:rPr>
              <w:t> </w:t>
            </w:r>
            <w:r>
              <w:rPr>
                <w:spacing w:val="-2"/>
                <w:sz w:val="20"/>
              </w:rPr>
              <w:t>A16.16.026.001,</w:t>
            </w:r>
          </w:p>
        </w:tc>
        <w:tc>
          <w:tcPr>
            <w:tcW w:w="2368"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09" w:lineRule="exact"/>
              <w:ind w:left="192"/>
              <w:rPr>
                <w:sz w:val="20"/>
              </w:rPr>
            </w:pPr>
            <w:r>
              <w:rPr>
                <w:spacing w:val="-2"/>
                <w:sz w:val="20"/>
              </w:rPr>
              <w:t>двенадцатиперстной</w:t>
            </w:r>
          </w:p>
        </w:tc>
        <w:tc>
          <w:tcPr>
            <w:tcW w:w="2350" w:type="dxa"/>
          </w:tcPr>
          <w:p>
            <w:pPr>
              <w:pStyle w:val="TableParagraph"/>
              <w:rPr>
                <w:sz w:val="16"/>
              </w:rPr>
            </w:pPr>
          </w:p>
        </w:tc>
        <w:tc>
          <w:tcPr>
            <w:tcW w:w="4485" w:type="dxa"/>
          </w:tcPr>
          <w:p>
            <w:pPr>
              <w:pStyle w:val="TableParagraph"/>
              <w:spacing w:line="209" w:lineRule="exact"/>
              <w:ind w:left="1149" w:right="250"/>
              <w:jc w:val="center"/>
              <w:rPr>
                <w:sz w:val="20"/>
              </w:rPr>
            </w:pPr>
            <w:r>
              <w:rPr>
                <w:w w:val="95"/>
                <w:sz w:val="20"/>
              </w:rPr>
              <w:t>A16.16.026.002,</w:t>
            </w:r>
            <w:r>
              <w:rPr>
                <w:spacing w:val="54"/>
                <w:sz w:val="20"/>
              </w:rPr>
              <w:t> </w:t>
            </w:r>
            <w:r>
              <w:rPr>
                <w:spacing w:val="-2"/>
                <w:sz w:val="20"/>
              </w:rPr>
              <w:t>A16.16.026.003,</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0" w:lineRule="exact"/>
              <w:ind w:left="192"/>
              <w:rPr>
                <w:sz w:val="20"/>
              </w:rPr>
            </w:pPr>
            <w:r>
              <w:rPr>
                <w:sz w:val="20"/>
              </w:rPr>
              <w:t>кишке</w:t>
            </w:r>
            <w:r>
              <w:rPr>
                <w:spacing w:val="-10"/>
                <w:sz w:val="20"/>
              </w:rPr>
              <w:t> </w:t>
            </w:r>
            <w:r>
              <w:rPr>
                <w:sz w:val="20"/>
              </w:rPr>
              <w:t>(уровень</w:t>
            </w:r>
            <w:r>
              <w:rPr>
                <w:spacing w:val="-9"/>
                <w:sz w:val="20"/>
              </w:rPr>
              <w:t> </w:t>
            </w:r>
            <w:r>
              <w:rPr>
                <w:spacing w:val="-5"/>
                <w:sz w:val="20"/>
              </w:rPr>
              <w:t>3)</w:t>
            </w: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A16.16.026.004,</w:t>
            </w:r>
            <w:r>
              <w:rPr>
                <w:spacing w:val="54"/>
                <w:sz w:val="20"/>
              </w:rPr>
              <w:t> </w:t>
            </w:r>
            <w:r>
              <w:rPr>
                <w:spacing w:val="-2"/>
                <w:sz w:val="20"/>
              </w:rPr>
              <w:t>A16.16.026.005,</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A16.16.027.001,</w:t>
            </w:r>
            <w:r>
              <w:rPr>
                <w:spacing w:val="54"/>
                <w:sz w:val="20"/>
              </w:rPr>
              <w:t> </w:t>
            </w:r>
            <w:r>
              <w:rPr>
                <w:spacing w:val="-2"/>
                <w:sz w:val="20"/>
              </w:rPr>
              <w:t>A16.16.033.001,</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50"/>
              <w:jc w:val="center"/>
              <w:rPr>
                <w:sz w:val="20"/>
              </w:rPr>
            </w:pPr>
            <w:r>
              <w:rPr>
                <w:w w:val="95"/>
                <w:sz w:val="20"/>
              </w:rPr>
              <w:t>A16.16.034.003,</w:t>
            </w:r>
            <w:r>
              <w:rPr>
                <w:spacing w:val="54"/>
                <w:sz w:val="20"/>
              </w:rPr>
              <w:t> </w:t>
            </w:r>
            <w:r>
              <w:rPr>
                <w:spacing w:val="-2"/>
                <w:sz w:val="20"/>
              </w:rPr>
              <w:t>A16.16.036,</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A16.16.040,</w:t>
            </w:r>
            <w:r>
              <w:rPr>
                <w:spacing w:val="-9"/>
                <w:sz w:val="20"/>
              </w:rPr>
              <w:t> </w:t>
            </w:r>
            <w:r>
              <w:rPr>
                <w:spacing w:val="-2"/>
                <w:sz w:val="20"/>
              </w:rPr>
              <w:t>A16.16.040.001,</w:t>
            </w:r>
          </w:p>
        </w:tc>
        <w:tc>
          <w:tcPr>
            <w:tcW w:w="2368"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09" w:lineRule="exact"/>
              <w:ind w:left="1150" w:right="248"/>
              <w:jc w:val="center"/>
              <w:rPr>
                <w:sz w:val="20"/>
              </w:rPr>
            </w:pPr>
            <w:r>
              <w:rPr>
                <w:sz w:val="20"/>
              </w:rPr>
              <w:t>A16.16.045,</w:t>
            </w:r>
            <w:r>
              <w:rPr>
                <w:spacing w:val="-9"/>
                <w:sz w:val="20"/>
              </w:rPr>
              <w:t> </w:t>
            </w:r>
            <w:r>
              <w:rPr>
                <w:spacing w:val="-2"/>
                <w:sz w:val="20"/>
              </w:rPr>
              <w:t>A16.16.046,</w:t>
            </w:r>
          </w:p>
        </w:tc>
        <w:tc>
          <w:tcPr>
            <w:tcW w:w="2368"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09" w:lineRule="exact"/>
              <w:ind w:left="1149" w:right="250"/>
              <w:jc w:val="center"/>
              <w:rPr>
                <w:sz w:val="20"/>
              </w:rPr>
            </w:pPr>
            <w:r>
              <w:rPr>
                <w:w w:val="95"/>
                <w:sz w:val="20"/>
              </w:rPr>
              <w:t>A16.16.046.001,</w:t>
            </w:r>
            <w:r>
              <w:rPr>
                <w:spacing w:val="54"/>
                <w:sz w:val="20"/>
              </w:rPr>
              <w:t> </w:t>
            </w:r>
            <w:r>
              <w:rPr>
                <w:spacing w:val="-2"/>
                <w:sz w:val="20"/>
              </w:rPr>
              <w:t>A16.16.046.002,</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50"/>
              <w:jc w:val="center"/>
              <w:rPr>
                <w:sz w:val="20"/>
              </w:rPr>
            </w:pPr>
            <w:r>
              <w:rPr>
                <w:w w:val="95"/>
                <w:sz w:val="20"/>
              </w:rPr>
              <w:t>A16.16.046.003,</w:t>
            </w:r>
            <w:r>
              <w:rPr>
                <w:spacing w:val="54"/>
                <w:sz w:val="20"/>
              </w:rPr>
              <w:t> </w:t>
            </w:r>
            <w:r>
              <w:rPr>
                <w:spacing w:val="-2"/>
                <w:sz w:val="20"/>
              </w:rPr>
              <w:t>A16.16.049,</w:t>
            </w:r>
          </w:p>
        </w:tc>
        <w:tc>
          <w:tcPr>
            <w:tcW w:w="2368"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556" w:type="dxa"/>
          </w:tcPr>
          <w:p>
            <w:pPr>
              <w:pStyle w:val="TableParagraph"/>
              <w:rPr>
                <w:sz w:val="18"/>
              </w:rPr>
            </w:pPr>
          </w:p>
        </w:tc>
        <w:tc>
          <w:tcPr>
            <w:tcW w:w="2350" w:type="dxa"/>
          </w:tcPr>
          <w:p>
            <w:pPr>
              <w:pStyle w:val="TableParagraph"/>
              <w:rPr>
                <w:sz w:val="18"/>
              </w:rPr>
            </w:pPr>
          </w:p>
        </w:tc>
        <w:tc>
          <w:tcPr>
            <w:tcW w:w="4485" w:type="dxa"/>
          </w:tcPr>
          <w:p>
            <w:pPr>
              <w:pStyle w:val="TableParagraph"/>
              <w:spacing w:line="226" w:lineRule="exact"/>
              <w:ind w:left="1150" w:right="250"/>
              <w:jc w:val="center"/>
              <w:rPr>
                <w:sz w:val="20"/>
              </w:rPr>
            </w:pPr>
            <w:r>
              <w:rPr>
                <w:sz w:val="20"/>
              </w:rPr>
              <w:t>A16.16.060,</w:t>
            </w:r>
            <w:r>
              <w:rPr>
                <w:spacing w:val="-9"/>
                <w:sz w:val="20"/>
              </w:rPr>
              <w:t> </w:t>
            </w:r>
            <w:r>
              <w:rPr>
                <w:sz w:val="20"/>
              </w:rPr>
              <w:t>A16.19.028,</w:t>
            </w:r>
            <w:r>
              <w:rPr>
                <w:spacing w:val="-10"/>
                <w:sz w:val="20"/>
              </w:rPr>
              <w:t> </w:t>
            </w:r>
            <w:r>
              <w:rPr>
                <w:spacing w:val="-2"/>
                <w:sz w:val="20"/>
              </w:rPr>
              <w:t>A16.19.029</w:t>
            </w:r>
          </w:p>
        </w:tc>
        <w:tc>
          <w:tcPr>
            <w:tcW w:w="2368" w:type="dxa"/>
          </w:tcPr>
          <w:p>
            <w:pPr>
              <w:pStyle w:val="TableParagraph"/>
              <w:rPr>
                <w:sz w:val="18"/>
              </w:rPr>
            </w:pPr>
          </w:p>
        </w:tc>
        <w:tc>
          <w:tcPr>
            <w:tcW w:w="864" w:type="dxa"/>
          </w:tcPr>
          <w:p>
            <w:pPr>
              <w:pStyle w:val="TableParagraph"/>
              <w:rPr>
                <w:sz w:val="18"/>
              </w:rPr>
            </w:pPr>
          </w:p>
        </w:tc>
      </w:tr>
      <w:tr>
        <w:trPr>
          <w:trHeight w:val="560" w:hRule="atLeast"/>
        </w:trPr>
        <w:tc>
          <w:tcPr>
            <w:tcW w:w="946" w:type="dxa"/>
          </w:tcPr>
          <w:p>
            <w:pPr>
              <w:pStyle w:val="TableParagraph"/>
              <w:spacing w:before="45"/>
              <w:ind w:left="50"/>
              <w:rPr>
                <w:sz w:val="20"/>
              </w:rPr>
            </w:pPr>
            <w:r>
              <w:rPr>
                <w:spacing w:val="-2"/>
                <w:sz w:val="20"/>
              </w:rPr>
              <w:t>st32.011</w:t>
            </w:r>
          </w:p>
        </w:tc>
        <w:tc>
          <w:tcPr>
            <w:tcW w:w="707" w:type="dxa"/>
          </w:tcPr>
          <w:p>
            <w:pPr>
              <w:pStyle w:val="TableParagraph"/>
              <w:spacing w:before="45"/>
              <w:ind w:left="210"/>
              <w:rPr>
                <w:sz w:val="20"/>
              </w:rPr>
            </w:pPr>
            <w:r>
              <w:rPr>
                <w:spacing w:val="-5"/>
                <w:sz w:val="20"/>
              </w:rPr>
              <w:t>326</w:t>
            </w:r>
          </w:p>
        </w:tc>
        <w:tc>
          <w:tcPr>
            <w:tcW w:w="3556" w:type="dxa"/>
          </w:tcPr>
          <w:p>
            <w:pPr>
              <w:pStyle w:val="TableParagraph"/>
              <w:spacing w:before="45"/>
              <w:ind w:left="192" w:right="1119"/>
              <w:rPr>
                <w:sz w:val="20"/>
              </w:rPr>
            </w:pPr>
            <w:r>
              <w:rPr>
                <w:sz w:val="20"/>
              </w:rPr>
              <w:t>Аппендэктомия,</w:t>
            </w:r>
            <w:r>
              <w:rPr>
                <w:spacing w:val="-13"/>
                <w:sz w:val="20"/>
              </w:rPr>
              <w:t> </w:t>
            </w:r>
            <w:r>
              <w:rPr>
                <w:sz w:val="20"/>
              </w:rPr>
              <w:t>взрослые (уровень 1)</w:t>
            </w:r>
          </w:p>
        </w:tc>
        <w:tc>
          <w:tcPr>
            <w:tcW w:w="2350" w:type="dxa"/>
          </w:tcPr>
          <w:p>
            <w:pPr>
              <w:pStyle w:val="TableParagraph"/>
              <w:spacing w:before="45"/>
              <w:ind w:right="21"/>
              <w:jc w:val="center"/>
              <w:rPr>
                <w:sz w:val="20"/>
              </w:rPr>
            </w:pPr>
            <w:r>
              <w:rPr>
                <w:w w:val="99"/>
                <w:sz w:val="20"/>
              </w:rPr>
              <w:t>-</w:t>
            </w:r>
          </w:p>
        </w:tc>
        <w:tc>
          <w:tcPr>
            <w:tcW w:w="4485" w:type="dxa"/>
          </w:tcPr>
          <w:p>
            <w:pPr>
              <w:pStyle w:val="TableParagraph"/>
              <w:spacing w:before="45"/>
              <w:ind w:left="1150" w:right="250"/>
              <w:jc w:val="center"/>
              <w:rPr>
                <w:sz w:val="20"/>
              </w:rPr>
            </w:pPr>
            <w:r>
              <w:rPr>
                <w:sz w:val="20"/>
              </w:rPr>
              <w:t>A16.18.009,</w:t>
            </w:r>
            <w:r>
              <w:rPr>
                <w:spacing w:val="-9"/>
                <w:sz w:val="20"/>
              </w:rPr>
              <w:t> </w:t>
            </w:r>
            <w:r>
              <w:rPr>
                <w:spacing w:val="-2"/>
                <w:sz w:val="20"/>
              </w:rPr>
              <w:t>A16.18.010</w:t>
            </w:r>
          </w:p>
        </w:tc>
        <w:tc>
          <w:tcPr>
            <w:tcW w:w="2368" w:type="dxa"/>
          </w:tcPr>
          <w:p>
            <w:pPr>
              <w:pStyle w:val="TableParagraph"/>
              <w:spacing w:before="45"/>
              <w:ind w:left="485"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5"/>
              <w:ind w:right="50"/>
              <w:jc w:val="right"/>
              <w:rPr>
                <w:sz w:val="20"/>
              </w:rPr>
            </w:pPr>
            <w:r>
              <w:rPr>
                <w:spacing w:val="-4"/>
                <w:sz w:val="20"/>
              </w:rPr>
              <w:t>0,73</w:t>
            </w:r>
          </w:p>
        </w:tc>
      </w:tr>
      <w:tr>
        <w:trPr>
          <w:trHeight w:val="560" w:hRule="atLeast"/>
        </w:trPr>
        <w:tc>
          <w:tcPr>
            <w:tcW w:w="946" w:type="dxa"/>
          </w:tcPr>
          <w:p>
            <w:pPr>
              <w:pStyle w:val="TableParagraph"/>
              <w:spacing w:before="46"/>
              <w:ind w:left="50"/>
              <w:rPr>
                <w:sz w:val="20"/>
              </w:rPr>
            </w:pPr>
            <w:r>
              <w:rPr>
                <w:spacing w:val="-2"/>
                <w:sz w:val="20"/>
              </w:rPr>
              <w:t>st32.012</w:t>
            </w:r>
          </w:p>
        </w:tc>
        <w:tc>
          <w:tcPr>
            <w:tcW w:w="707" w:type="dxa"/>
          </w:tcPr>
          <w:p>
            <w:pPr>
              <w:pStyle w:val="TableParagraph"/>
              <w:spacing w:before="46"/>
              <w:ind w:left="210"/>
              <w:rPr>
                <w:sz w:val="20"/>
              </w:rPr>
            </w:pPr>
            <w:r>
              <w:rPr>
                <w:spacing w:val="-5"/>
                <w:sz w:val="20"/>
              </w:rPr>
              <w:t>327</w:t>
            </w:r>
          </w:p>
        </w:tc>
        <w:tc>
          <w:tcPr>
            <w:tcW w:w="3556" w:type="dxa"/>
          </w:tcPr>
          <w:p>
            <w:pPr>
              <w:pStyle w:val="TableParagraph"/>
              <w:spacing w:before="46"/>
              <w:ind w:left="192" w:right="1119"/>
              <w:rPr>
                <w:sz w:val="20"/>
              </w:rPr>
            </w:pPr>
            <w:r>
              <w:rPr>
                <w:sz w:val="20"/>
              </w:rPr>
              <w:t>Аппендэктомия,</w:t>
            </w:r>
            <w:r>
              <w:rPr>
                <w:spacing w:val="-13"/>
                <w:sz w:val="20"/>
              </w:rPr>
              <w:t> </w:t>
            </w:r>
            <w:r>
              <w:rPr>
                <w:sz w:val="20"/>
              </w:rPr>
              <w:t>взрослые (уровень 2)</w:t>
            </w:r>
          </w:p>
        </w:tc>
        <w:tc>
          <w:tcPr>
            <w:tcW w:w="2350" w:type="dxa"/>
          </w:tcPr>
          <w:p>
            <w:pPr>
              <w:pStyle w:val="TableParagraph"/>
              <w:spacing w:before="46"/>
              <w:ind w:right="21"/>
              <w:jc w:val="center"/>
              <w:rPr>
                <w:sz w:val="20"/>
              </w:rPr>
            </w:pPr>
            <w:r>
              <w:rPr>
                <w:w w:val="99"/>
                <w:sz w:val="20"/>
              </w:rPr>
              <w:t>-</w:t>
            </w:r>
          </w:p>
        </w:tc>
        <w:tc>
          <w:tcPr>
            <w:tcW w:w="4485" w:type="dxa"/>
          </w:tcPr>
          <w:p>
            <w:pPr>
              <w:pStyle w:val="TableParagraph"/>
              <w:spacing w:before="46"/>
              <w:ind w:left="1150" w:right="249"/>
              <w:jc w:val="center"/>
              <w:rPr>
                <w:sz w:val="20"/>
              </w:rPr>
            </w:pPr>
            <w:r>
              <w:rPr>
                <w:spacing w:val="-2"/>
                <w:sz w:val="20"/>
              </w:rPr>
              <w:t>A16.18.009.001</w:t>
            </w:r>
          </w:p>
        </w:tc>
        <w:tc>
          <w:tcPr>
            <w:tcW w:w="2368" w:type="dxa"/>
          </w:tcPr>
          <w:p>
            <w:pPr>
              <w:pStyle w:val="TableParagraph"/>
              <w:spacing w:before="46"/>
              <w:ind w:left="485"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50"/>
              <w:jc w:val="right"/>
              <w:rPr>
                <w:sz w:val="20"/>
              </w:rPr>
            </w:pPr>
            <w:r>
              <w:rPr>
                <w:spacing w:val="-4"/>
                <w:sz w:val="20"/>
              </w:rPr>
              <w:t>0,91</w:t>
            </w:r>
          </w:p>
        </w:tc>
      </w:tr>
      <w:tr>
        <w:trPr>
          <w:trHeight w:val="279" w:hRule="atLeast"/>
        </w:trPr>
        <w:tc>
          <w:tcPr>
            <w:tcW w:w="946" w:type="dxa"/>
          </w:tcPr>
          <w:p>
            <w:pPr>
              <w:pStyle w:val="TableParagraph"/>
              <w:spacing w:line="215" w:lineRule="exact" w:before="45"/>
              <w:ind w:left="50"/>
              <w:rPr>
                <w:sz w:val="20"/>
              </w:rPr>
            </w:pPr>
            <w:r>
              <w:rPr>
                <w:spacing w:val="-2"/>
                <w:sz w:val="20"/>
              </w:rPr>
              <w:t>st32.013</w:t>
            </w:r>
          </w:p>
        </w:tc>
        <w:tc>
          <w:tcPr>
            <w:tcW w:w="707" w:type="dxa"/>
          </w:tcPr>
          <w:p>
            <w:pPr>
              <w:pStyle w:val="TableParagraph"/>
              <w:spacing w:line="215" w:lineRule="exact" w:before="45"/>
              <w:ind w:left="210"/>
              <w:rPr>
                <w:sz w:val="20"/>
              </w:rPr>
            </w:pPr>
            <w:r>
              <w:rPr>
                <w:spacing w:val="-5"/>
                <w:sz w:val="20"/>
              </w:rPr>
              <w:t>328</w:t>
            </w:r>
          </w:p>
        </w:tc>
        <w:tc>
          <w:tcPr>
            <w:tcW w:w="3556" w:type="dxa"/>
          </w:tcPr>
          <w:p>
            <w:pPr>
              <w:pStyle w:val="TableParagraph"/>
              <w:spacing w:line="215" w:lineRule="exact" w:before="45"/>
              <w:ind w:left="192"/>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2350" w:type="dxa"/>
          </w:tcPr>
          <w:p>
            <w:pPr>
              <w:pStyle w:val="TableParagraph"/>
              <w:spacing w:line="215" w:lineRule="exact" w:before="45"/>
              <w:ind w:right="21"/>
              <w:jc w:val="center"/>
              <w:rPr>
                <w:sz w:val="20"/>
              </w:rPr>
            </w:pPr>
            <w:r>
              <w:rPr>
                <w:w w:val="99"/>
                <w:sz w:val="20"/>
              </w:rPr>
              <w:t>-</w:t>
            </w:r>
          </w:p>
        </w:tc>
        <w:tc>
          <w:tcPr>
            <w:tcW w:w="4485" w:type="dxa"/>
          </w:tcPr>
          <w:p>
            <w:pPr>
              <w:pStyle w:val="TableParagraph"/>
              <w:spacing w:line="215" w:lineRule="exact" w:before="45"/>
              <w:ind w:left="1148" w:right="250"/>
              <w:jc w:val="center"/>
              <w:rPr>
                <w:sz w:val="20"/>
              </w:rPr>
            </w:pPr>
            <w:r>
              <w:rPr>
                <w:sz w:val="20"/>
              </w:rPr>
              <w:t>A16.30.001,</w:t>
            </w:r>
            <w:r>
              <w:rPr>
                <w:spacing w:val="-9"/>
                <w:sz w:val="20"/>
              </w:rPr>
              <w:t> </w:t>
            </w:r>
            <w:r>
              <w:rPr>
                <w:sz w:val="20"/>
              </w:rPr>
              <w:t>A16.30.002,</w:t>
            </w:r>
            <w:r>
              <w:rPr>
                <w:spacing w:val="-10"/>
                <w:sz w:val="20"/>
              </w:rPr>
              <w:t> </w:t>
            </w:r>
            <w:r>
              <w:rPr>
                <w:spacing w:val="-2"/>
                <w:sz w:val="20"/>
              </w:rPr>
              <w:t>A16.30.003,</w:t>
            </w:r>
          </w:p>
        </w:tc>
        <w:tc>
          <w:tcPr>
            <w:tcW w:w="2368" w:type="dxa"/>
          </w:tcPr>
          <w:p>
            <w:pPr>
              <w:pStyle w:val="TableParagraph"/>
              <w:spacing w:line="215" w:lineRule="exact" w:before="45"/>
              <w:ind w:left="242" w:right="453"/>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0"/>
              <w:jc w:val="right"/>
              <w:rPr>
                <w:sz w:val="20"/>
              </w:rPr>
            </w:pPr>
            <w:r>
              <w:rPr>
                <w:spacing w:val="-4"/>
                <w:sz w:val="20"/>
              </w:rPr>
              <w:t>0,86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1" w:lineRule="exact"/>
              <w:ind w:left="192"/>
              <w:rPr>
                <w:sz w:val="20"/>
              </w:rPr>
            </w:pPr>
            <w:r>
              <w:rPr>
                <w:sz w:val="20"/>
              </w:rPr>
              <w:t>грыж,</w:t>
            </w:r>
            <w:r>
              <w:rPr>
                <w:spacing w:val="-7"/>
                <w:sz w:val="20"/>
              </w:rPr>
              <w:t> </w:t>
            </w:r>
            <w:r>
              <w:rPr>
                <w:spacing w:val="-2"/>
                <w:sz w:val="20"/>
              </w:rPr>
              <w:t>взрослые</w:t>
            </w:r>
          </w:p>
        </w:tc>
        <w:tc>
          <w:tcPr>
            <w:tcW w:w="2350" w:type="dxa"/>
          </w:tcPr>
          <w:p>
            <w:pPr>
              <w:pStyle w:val="TableParagraph"/>
              <w:rPr>
                <w:sz w:val="16"/>
              </w:rPr>
            </w:pPr>
          </w:p>
        </w:tc>
        <w:tc>
          <w:tcPr>
            <w:tcW w:w="4485" w:type="dxa"/>
          </w:tcPr>
          <w:p>
            <w:pPr>
              <w:pStyle w:val="TableParagraph"/>
              <w:spacing w:line="211" w:lineRule="exact"/>
              <w:ind w:left="1150" w:right="250"/>
              <w:jc w:val="center"/>
              <w:rPr>
                <w:sz w:val="20"/>
              </w:rPr>
            </w:pPr>
            <w:r>
              <w:rPr>
                <w:sz w:val="20"/>
              </w:rPr>
              <w:t>A16.30.004,</w:t>
            </w:r>
            <w:r>
              <w:rPr>
                <w:spacing w:val="-9"/>
                <w:sz w:val="20"/>
              </w:rPr>
              <w:t> </w:t>
            </w:r>
            <w:r>
              <w:rPr>
                <w:spacing w:val="-2"/>
                <w:sz w:val="20"/>
              </w:rPr>
              <w:t>A16.30.004.001,</w:t>
            </w:r>
          </w:p>
        </w:tc>
        <w:tc>
          <w:tcPr>
            <w:tcW w:w="2368" w:type="dxa"/>
          </w:tcPr>
          <w:p>
            <w:pPr>
              <w:pStyle w:val="TableParagraph"/>
              <w:spacing w:line="211" w:lineRule="exact"/>
              <w:ind w:left="242"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556" w:type="dxa"/>
          </w:tcPr>
          <w:p>
            <w:pPr>
              <w:pStyle w:val="TableParagraph"/>
              <w:spacing w:line="226" w:lineRule="exact"/>
              <w:ind w:left="192"/>
              <w:rPr>
                <w:sz w:val="20"/>
              </w:rPr>
            </w:pPr>
            <w:r>
              <w:rPr>
                <w:sz w:val="20"/>
              </w:rPr>
              <w:t>(уровень</w:t>
            </w:r>
            <w:r>
              <w:rPr>
                <w:spacing w:val="-10"/>
                <w:sz w:val="20"/>
              </w:rPr>
              <w:t> </w:t>
            </w:r>
            <w:r>
              <w:rPr>
                <w:spacing w:val="-5"/>
                <w:sz w:val="20"/>
              </w:rPr>
              <w:t>1)</w:t>
            </w:r>
          </w:p>
        </w:tc>
        <w:tc>
          <w:tcPr>
            <w:tcW w:w="2350" w:type="dxa"/>
          </w:tcPr>
          <w:p>
            <w:pPr>
              <w:pStyle w:val="TableParagraph"/>
              <w:rPr>
                <w:sz w:val="18"/>
              </w:rPr>
            </w:pPr>
          </w:p>
        </w:tc>
        <w:tc>
          <w:tcPr>
            <w:tcW w:w="4485" w:type="dxa"/>
          </w:tcPr>
          <w:p>
            <w:pPr>
              <w:pStyle w:val="TableParagraph"/>
              <w:spacing w:line="226" w:lineRule="exact"/>
              <w:ind w:left="1150" w:right="249"/>
              <w:jc w:val="center"/>
              <w:rPr>
                <w:sz w:val="20"/>
              </w:rPr>
            </w:pPr>
            <w:r>
              <w:rPr>
                <w:spacing w:val="-2"/>
                <w:sz w:val="20"/>
              </w:rPr>
              <w:t>A16.30.004.002</w:t>
            </w:r>
          </w:p>
        </w:tc>
        <w:tc>
          <w:tcPr>
            <w:tcW w:w="2368"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st32.014</w:t>
            </w:r>
          </w:p>
        </w:tc>
        <w:tc>
          <w:tcPr>
            <w:tcW w:w="707" w:type="dxa"/>
          </w:tcPr>
          <w:p>
            <w:pPr>
              <w:pStyle w:val="TableParagraph"/>
              <w:spacing w:line="215" w:lineRule="exact" w:before="45"/>
              <w:ind w:left="210"/>
              <w:rPr>
                <w:sz w:val="20"/>
              </w:rPr>
            </w:pPr>
            <w:r>
              <w:rPr>
                <w:spacing w:val="-5"/>
                <w:sz w:val="20"/>
              </w:rPr>
              <w:t>329</w:t>
            </w:r>
          </w:p>
        </w:tc>
        <w:tc>
          <w:tcPr>
            <w:tcW w:w="3556" w:type="dxa"/>
          </w:tcPr>
          <w:p>
            <w:pPr>
              <w:pStyle w:val="TableParagraph"/>
              <w:spacing w:line="215" w:lineRule="exact" w:before="45"/>
              <w:ind w:left="192"/>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2350" w:type="dxa"/>
          </w:tcPr>
          <w:p>
            <w:pPr>
              <w:pStyle w:val="TableParagraph"/>
              <w:spacing w:line="215" w:lineRule="exact" w:before="45"/>
              <w:ind w:right="21"/>
              <w:jc w:val="center"/>
              <w:rPr>
                <w:sz w:val="20"/>
              </w:rPr>
            </w:pPr>
            <w:r>
              <w:rPr>
                <w:w w:val="99"/>
                <w:sz w:val="20"/>
              </w:rPr>
              <w:t>-</w:t>
            </w:r>
          </w:p>
        </w:tc>
        <w:tc>
          <w:tcPr>
            <w:tcW w:w="4485" w:type="dxa"/>
          </w:tcPr>
          <w:p>
            <w:pPr>
              <w:pStyle w:val="TableParagraph"/>
              <w:spacing w:line="215" w:lineRule="exact" w:before="45"/>
              <w:ind w:left="1149" w:right="250"/>
              <w:jc w:val="center"/>
              <w:rPr>
                <w:sz w:val="20"/>
              </w:rPr>
            </w:pPr>
            <w:r>
              <w:rPr>
                <w:w w:val="95"/>
                <w:sz w:val="20"/>
              </w:rPr>
              <w:t>A16.30.004.003,</w:t>
            </w:r>
            <w:r>
              <w:rPr>
                <w:spacing w:val="54"/>
                <w:sz w:val="20"/>
              </w:rPr>
              <w:t> </w:t>
            </w:r>
            <w:r>
              <w:rPr>
                <w:spacing w:val="-2"/>
                <w:sz w:val="20"/>
              </w:rPr>
              <w:t>A16.30.004.004,</w:t>
            </w:r>
          </w:p>
        </w:tc>
        <w:tc>
          <w:tcPr>
            <w:tcW w:w="2368" w:type="dxa"/>
          </w:tcPr>
          <w:p>
            <w:pPr>
              <w:pStyle w:val="TableParagraph"/>
              <w:spacing w:line="215" w:lineRule="exact" w:before="45"/>
              <w:ind w:left="242" w:right="454"/>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0"/>
              <w:jc w:val="right"/>
              <w:rPr>
                <w:sz w:val="20"/>
              </w:rPr>
            </w:pPr>
            <w:r>
              <w:rPr>
                <w:spacing w:val="-4"/>
                <w:sz w:val="20"/>
              </w:rPr>
              <w:t>1,24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0" w:lineRule="exact"/>
              <w:ind w:left="192"/>
              <w:rPr>
                <w:sz w:val="20"/>
              </w:rPr>
            </w:pPr>
            <w:r>
              <w:rPr>
                <w:sz w:val="20"/>
              </w:rPr>
              <w:t>грыж,</w:t>
            </w:r>
            <w:r>
              <w:rPr>
                <w:spacing w:val="-7"/>
                <w:sz w:val="20"/>
              </w:rPr>
              <w:t> </w:t>
            </w:r>
            <w:r>
              <w:rPr>
                <w:spacing w:val="-2"/>
                <w:sz w:val="20"/>
              </w:rPr>
              <w:t>взрослые</w:t>
            </w: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A16.30.004.005,</w:t>
            </w:r>
            <w:r>
              <w:rPr>
                <w:spacing w:val="54"/>
                <w:sz w:val="20"/>
              </w:rPr>
              <w:t> </w:t>
            </w:r>
            <w:r>
              <w:rPr>
                <w:spacing w:val="-2"/>
                <w:sz w:val="20"/>
              </w:rPr>
              <w:t>A16.30.004.006,</w:t>
            </w:r>
          </w:p>
        </w:tc>
        <w:tc>
          <w:tcPr>
            <w:tcW w:w="2368" w:type="dxa"/>
          </w:tcPr>
          <w:p>
            <w:pPr>
              <w:pStyle w:val="TableParagraph"/>
              <w:spacing w:line="210" w:lineRule="exact"/>
              <w:ind w:left="242" w:right="452"/>
              <w:jc w:val="center"/>
              <w:rPr>
                <w:sz w:val="20"/>
              </w:rPr>
            </w:pPr>
            <w:r>
              <w:rPr>
                <w:sz w:val="20"/>
              </w:rPr>
              <w:t>старше</w:t>
            </w:r>
            <w:r>
              <w:rPr>
                <w:spacing w:val="-3"/>
                <w:sz w:val="20"/>
              </w:rPr>
              <w:t> </w:t>
            </w:r>
            <w:r>
              <w:rPr>
                <w:sz w:val="20"/>
              </w:rPr>
              <w:t>18</w:t>
            </w:r>
            <w:r>
              <w:rPr>
                <w:spacing w:val="-2"/>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0" w:lineRule="exact"/>
              <w:ind w:left="192"/>
              <w:rPr>
                <w:sz w:val="20"/>
              </w:rPr>
            </w:pPr>
            <w:r>
              <w:rPr>
                <w:sz w:val="20"/>
              </w:rPr>
              <w:t>(уровень</w:t>
            </w:r>
            <w:r>
              <w:rPr>
                <w:spacing w:val="-10"/>
                <w:sz w:val="20"/>
              </w:rPr>
              <w:t> </w:t>
            </w:r>
            <w:r>
              <w:rPr>
                <w:spacing w:val="-5"/>
                <w:sz w:val="20"/>
              </w:rPr>
              <w:t>2)</w:t>
            </w: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A16.30.004.007,</w:t>
            </w:r>
            <w:r>
              <w:rPr>
                <w:spacing w:val="54"/>
                <w:sz w:val="20"/>
              </w:rPr>
              <w:t> </w:t>
            </w:r>
            <w:r>
              <w:rPr>
                <w:spacing w:val="-2"/>
                <w:sz w:val="20"/>
              </w:rPr>
              <w:t>A16.30.004.008,</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50"/>
              <w:jc w:val="center"/>
              <w:rPr>
                <w:sz w:val="20"/>
              </w:rPr>
            </w:pPr>
            <w:r>
              <w:rPr>
                <w:w w:val="95"/>
                <w:sz w:val="20"/>
              </w:rPr>
              <w:t>A16.30.004.009,</w:t>
            </w:r>
            <w:r>
              <w:rPr>
                <w:spacing w:val="54"/>
                <w:sz w:val="20"/>
              </w:rPr>
              <w:t> </w:t>
            </w:r>
            <w:r>
              <w:rPr>
                <w:spacing w:val="-2"/>
                <w:sz w:val="20"/>
              </w:rPr>
              <w:t>A16.30.005,</w:t>
            </w:r>
          </w:p>
        </w:tc>
        <w:tc>
          <w:tcPr>
            <w:tcW w:w="2368"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05" w:lineRule="exact"/>
              <w:ind w:left="1150" w:right="249"/>
              <w:jc w:val="center"/>
              <w:rPr>
                <w:sz w:val="20"/>
              </w:rPr>
            </w:pPr>
            <w:r>
              <w:rPr>
                <w:spacing w:val="-2"/>
                <w:sz w:val="20"/>
              </w:rPr>
              <w:t>A16.30.005.002</w:t>
            </w:r>
          </w:p>
        </w:tc>
        <w:tc>
          <w:tcPr>
            <w:tcW w:w="2368"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19"/>
        <w:gridCol w:w="2586"/>
        <w:gridCol w:w="4394"/>
        <w:gridCol w:w="2547"/>
        <w:gridCol w:w="774"/>
      </w:tblGrid>
      <w:tr>
        <w:trPr>
          <w:trHeight w:val="1424" w:hRule="atLeast"/>
        </w:trPr>
        <w:tc>
          <w:tcPr>
            <w:tcW w:w="946" w:type="dxa"/>
          </w:tcPr>
          <w:p>
            <w:pPr>
              <w:pStyle w:val="TableParagraph"/>
              <w:spacing w:line="221" w:lineRule="exact"/>
              <w:ind w:left="50"/>
              <w:rPr>
                <w:sz w:val="20"/>
              </w:rPr>
            </w:pPr>
            <w:r>
              <w:rPr>
                <w:spacing w:val="-2"/>
                <w:sz w:val="20"/>
              </w:rPr>
              <w:t>st32.015</w:t>
            </w:r>
          </w:p>
        </w:tc>
        <w:tc>
          <w:tcPr>
            <w:tcW w:w="707" w:type="dxa"/>
          </w:tcPr>
          <w:p>
            <w:pPr>
              <w:pStyle w:val="TableParagraph"/>
              <w:spacing w:line="221" w:lineRule="exact"/>
              <w:ind w:left="210"/>
              <w:rPr>
                <w:sz w:val="20"/>
              </w:rPr>
            </w:pPr>
            <w:r>
              <w:rPr>
                <w:spacing w:val="-5"/>
                <w:sz w:val="20"/>
              </w:rPr>
              <w:t>330</w:t>
            </w:r>
          </w:p>
        </w:tc>
        <w:tc>
          <w:tcPr>
            <w:tcW w:w="3319" w:type="dxa"/>
          </w:tcPr>
          <w:p>
            <w:pPr>
              <w:pStyle w:val="TableParagraph"/>
              <w:ind w:left="192" w:right="1059"/>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3)</w:t>
            </w:r>
          </w:p>
        </w:tc>
        <w:tc>
          <w:tcPr>
            <w:tcW w:w="2586" w:type="dxa"/>
          </w:tcPr>
          <w:p>
            <w:pPr>
              <w:pStyle w:val="TableParagraph"/>
              <w:spacing w:line="221" w:lineRule="exact"/>
              <w:ind w:right="1150"/>
              <w:jc w:val="right"/>
              <w:rPr>
                <w:sz w:val="20"/>
              </w:rPr>
            </w:pPr>
            <w:r>
              <w:rPr>
                <w:w w:val="99"/>
                <w:sz w:val="20"/>
              </w:rPr>
              <w:t>-</w:t>
            </w:r>
          </w:p>
        </w:tc>
        <w:tc>
          <w:tcPr>
            <w:tcW w:w="4394" w:type="dxa"/>
          </w:tcPr>
          <w:p>
            <w:pPr>
              <w:pStyle w:val="TableParagraph"/>
              <w:ind w:left="1151" w:right="156"/>
              <w:jc w:val="center"/>
              <w:rPr>
                <w:sz w:val="20"/>
              </w:rPr>
            </w:pPr>
            <w:r>
              <w:rPr>
                <w:sz w:val="20"/>
              </w:rPr>
              <w:t>A16.30.001.001,</w:t>
            </w:r>
            <w:r>
              <w:rPr>
                <w:spacing w:val="-13"/>
                <w:sz w:val="20"/>
              </w:rPr>
              <w:t> </w:t>
            </w:r>
            <w:r>
              <w:rPr>
                <w:sz w:val="20"/>
              </w:rPr>
              <w:t>A16.30.001.002, A16.30.002.001,</w:t>
            </w:r>
            <w:r>
              <w:rPr>
                <w:spacing w:val="-13"/>
                <w:sz w:val="20"/>
              </w:rPr>
              <w:t> </w:t>
            </w:r>
            <w:r>
              <w:rPr>
                <w:sz w:val="20"/>
              </w:rPr>
              <w:t>A16.30.002.002, A16.30.004.010,</w:t>
            </w:r>
            <w:r>
              <w:rPr>
                <w:spacing w:val="-13"/>
                <w:sz w:val="20"/>
              </w:rPr>
              <w:t> </w:t>
            </w:r>
            <w:r>
              <w:rPr>
                <w:sz w:val="20"/>
              </w:rPr>
              <w:t>A16.30.004.011, A16.30.004.012,</w:t>
            </w:r>
            <w:r>
              <w:rPr>
                <w:spacing w:val="-13"/>
                <w:sz w:val="20"/>
              </w:rPr>
              <w:t> </w:t>
            </w:r>
            <w:r>
              <w:rPr>
                <w:sz w:val="20"/>
              </w:rPr>
              <w:t>A16.30.004.013, A16.30.004.014,</w:t>
            </w:r>
            <w:r>
              <w:rPr>
                <w:spacing w:val="-13"/>
                <w:sz w:val="20"/>
              </w:rPr>
              <w:t> </w:t>
            </w:r>
            <w:r>
              <w:rPr>
                <w:sz w:val="20"/>
              </w:rPr>
              <w:t>A16.30.005.001, </w:t>
            </w:r>
            <w:r>
              <w:rPr>
                <w:spacing w:val="-2"/>
                <w:sz w:val="20"/>
              </w:rPr>
              <w:t>A16.30.005.003</w:t>
            </w:r>
          </w:p>
        </w:tc>
        <w:tc>
          <w:tcPr>
            <w:tcW w:w="2547" w:type="dxa"/>
          </w:tcPr>
          <w:p>
            <w:pPr>
              <w:pStyle w:val="TableParagraph"/>
              <w:ind w:left="577" w:right="543" w:hanging="236"/>
              <w:rPr>
                <w:sz w:val="20"/>
              </w:rPr>
            </w:pPr>
            <w:r>
              <w:rPr>
                <w:sz w:val="20"/>
              </w:rPr>
              <w:t>Возрастная</w:t>
            </w:r>
            <w:r>
              <w:rPr>
                <w:spacing w:val="-13"/>
                <w:sz w:val="20"/>
              </w:rPr>
              <w:t> </w:t>
            </w:r>
            <w:r>
              <w:rPr>
                <w:sz w:val="20"/>
              </w:rPr>
              <w:t>группа: старше 18 лет</w:t>
            </w:r>
          </w:p>
        </w:tc>
        <w:tc>
          <w:tcPr>
            <w:tcW w:w="774" w:type="dxa"/>
          </w:tcPr>
          <w:p>
            <w:pPr>
              <w:pStyle w:val="TableParagraph"/>
              <w:spacing w:line="221" w:lineRule="exact"/>
              <w:ind w:right="47"/>
              <w:jc w:val="right"/>
              <w:rPr>
                <w:sz w:val="20"/>
              </w:rPr>
            </w:pPr>
            <w:r>
              <w:rPr>
                <w:spacing w:val="-4"/>
                <w:sz w:val="20"/>
              </w:rPr>
              <w:t>1,78</w:t>
            </w:r>
          </w:p>
        </w:tc>
      </w:tr>
      <w:tr>
        <w:trPr>
          <w:trHeight w:val="2171" w:hRule="atLeast"/>
        </w:trPr>
        <w:tc>
          <w:tcPr>
            <w:tcW w:w="946" w:type="dxa"/>
          </w:tcPr>
          <w:p>
            <w:pPr>
              <w:pStyle w:val="TableParagraph"/>
              <w:spacing w:before="45"/>
              <w:ind w:left="50"/>
              <w:rPr>
                <w:sz w:val="20"/>
              </w:rPr>
            </w:pPr>
            <w:r>
              <w:rPr>
                <w:spacing w:val="-2"/>
                <w:sz w:val="20"/>
              </w:rPr>
              <w:t>st32.019</w:t>
            </w:r>
          </w:p>
        </w:tc>
        <w:tc>
          <w:tcPr>
            <w:tcW w:w="707" w:type="dxa"/>
          </w:tcPr>
          <w:p>
            <w:pPr>
              <w:pStyle w:val="TableParagraph"/>
              <w:spacing w:before="45"/>
              <w:ind w:left="210"/>
              <w:rPr>
                <w:sz w:val="20"/>
              </w:rPr>
            </w:pPr>
            <w:r>
              <w:rPr>
                <w:spacing w:val="-5"/>
                <w:sz w:val="20"/>
              </w:rPr>
              <w:t>331</w:t>
            </w:r>
          </w:p>
        </w:tc>
        <w:tc>
          <w:tcPr>
            <w:tcW w:w="3319" w:type="dxa"/>
          </w:tcPr>
          <w:p>
            <w:pPr>
              <w:pStyle w:val="TableParagraph"/>
              <w:spacing w:before="45"/>
              <w:ind w:left="192" w:right="1059"/>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4)</w:t>
            </w:r>
          </w:p>
        </w:tc>
        <w:tc>
          <w:tcPr>
            <w:tcW w:w="2586" w:type="dxa"/>
          </w:tcPr>
          <w:p>
            <w:pPr>
              <w:pStyle w:val="TableParagraph"/>
              <w:rPr>
                <w:sz w:val="18"/>
              </w:rPr>
            </w:pPr>
          </w:p>
        </w:tc>
        <w:tc>
          <w:tcPr>
            <w:tcW w:w="4394" w:type="dxa"/>
          </w:tcPr>
          <w:p>
            <w:pPr>
              <w:pStyle w:val="TableParagraph"/>
              <w:spacing w:before="45"/>
              <w:ind w:left="1325" w:right="330"/>
              <w:jc w:val="both"/>
              <w:rPr>
                <w:sz w:val="20"/>
              </w:rPr>
            </w:pPr>
            <w:r>
              <w:rPr>
                <w:sz w:val="20"/>
              </w:rPr>
              <w:t>A16.30.004.005,</w:t>
            </w:r>
            <w:r>
              <w:rPr>
                <w:spacing w:val="-13"/>
                <w:sz w:val="20"/>
              </w:rPr>
              <w:t> </w:t>
            </w:r>
            <w:r>
              <w:rPr>
                <w:sz w:val="20"/>
              </w:rPr>
              <w:t>A16.30.004.006, A16.30.004.007,</w:t>
            </w:r>
            <w:r>
              <w:rPr>
                <w:spacing w:val="-13"/>
                <w:sz w:val="20"/>
              </w:rPr>
              <w:t> </w:t>
            </w:r>
            <w:r>
              <w:rPr>
                <w:sz w:val="20"/>
              </w:rPr>
              <w:t>A16.30.004.008, A16.30.004.015, A16.30.004.016</w:t>
            </w:r>
          </w:p>
        </w:tc>
        <w:tc>
          <w:tcPr>
            <w:tcW w:w="2547" w:type="dxa"/>
          </w:tcPr>
          <w:p>
            <w:pPr>
              <w:pStyle w:val="TableParagraph"/>
              <w:spacing w:before="45"/>
              <w:ind w:left="342" w:right="550"/>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289" w:right="496" w:hanging="2"/>
              <w:jc w:val="center"/>
              <w:rPr>
                <w:sz w:val="20"/>
              </w:rPr>
            </w:pPr>
            <w:r>
              <w:rPr>
                <w:spacing w:val="-4"/>
                <w:sz w:val="20"/>
              </w:rPr>
              <w:t>Иной </w:t>
            </w:r>
            <w:r>
              <w:rPr>
                <w:spacing w:val="-2"/>
                <w:sz w:val="20"/>
              </w:rPr>
              <w:t>классификационный критерий:</w:t>
            </w:r>
          </w:p>
          <w:p>
            <w:pPr>
              <w:pStyle w:val="TableParagraph"/>
              <w:ind w:left="157" w:right="370" w:firstLine="1"/>
              <w:jc w:val="center"/>
              <w:rPr>
                <w:sz w:val="20"/>
              </w:rPr>
            </w:pPr>
            <w:r>
              <w:rPr>
                <w:sz w:val="20"/>
              </w:rPr>
              <w:t>lgh1, lgh2, lgh3, lgh4, lgh5, lgh6, lgh7, lgh8, lgh9,</w:t>
            </w:r>
            <w:r>
              <w:rPr>
                <w:spacing w:val="-13"/>
                <w:sz w:val="20"/>
              </w:rPr>
              <w:t> </w:t>
            </w:r>
            <w:r>
              <w:rPr>
                <w:sz w:val="20"/>
              </w:rPr>
              <w:t>lgh10,</w:t>
            </w:r>
            <w:r>
              <w:rPr>
                <w:spacing w:val="-12"/>
                <w:sz w:val="20"/>
              </w:rPr>
              <w:t> </w:t>
            </w:r>
            <w:r>
              <w:rPr>
                <w:sz w:val="20"/>
              </w:rPr>
              <w:t>lgh11,</w:t>
            </w:r>
            <w:r>
              <w:rPr>
                <w:spacing w:val="-13"/>
                <w:sz w:val="20"/>
              </w:rPr>
              <w:t> </w:t>
            </w:r>
            <w:r>
              <w:rPr>
                <w:sz w:val="20"/>
              </w:rPr>
              <w:t>lgh12</w:t>
            </w:r>
          </w:p>
        </w:tc>
        <w:tc>
          <w:tcPr>
            <w:tcW w:w="774" w:type="dxa"/>
          </w:tcPr>
          <w:p>
            <w:pPr>
              <w:pStyle w:val="TableParagraph"/>
              <w:spacing w:before="45"/>
              <w:ind w:right="47"/>
              <w:jc w:val="right"/>
              <w:rPr>
                <w:sz w:val="20"/>
              </w:rPr>
            </w:pPr>
            <w:r>
              <w:rPr>
                <w:spacing w:val="-4"/>
                <w:sz w:val="20"/>
              </w:rPr>
              <w:t>5,60</w:t>
            </w:r>
          </w:p>
        </w:tc>
      </w:tr>
      <w:tr>
        <w:trPr>
          <w:trHeight w:val="279" w:hRule="atLeast"/>
        </w:trPr>
        <w:tc>
          <w:tcPr>
            <w:tcW w:w="946" w:type="dxa"/>
          </w:tcPr>
          <w:p>
            <w:pPr>
              <w:pStyle w:val="TableParagraph"/>
              <w:spacing w:line="214" w:lineRule="exact" w:before="46"/>
              <w:ind w:left="50"/>
              <w:rPr>
                <w:sz w:val="20"/>
              </w:rPr>
            </w:pPr>
            <w:r>
              <w:rPr>
                <w:spacing w:val="-2"/>
                <w:sz w:val="20"/>
              </w:rPr>
              <w:t>st32.016</w:t>
            </w:r>
          </w:p>
        </w:tc>
        <w:tc>
          <w:tcPr>
            <w:tcW w:w="707" w:type="dxa"/>
          </w:tcPr>
          <w:p>
            <w:pPr>
              <w:pStyle w:val="TableParagraph"/>
              <w:spacing w:line="214" w:lineRule="exact" w:before="46"/>
              <w:ind w:left="210"/>
              <w:rPr>
                <w:sz w:val="20"/>
              </w:rPr>
            </w:pPr>
            <w:r>
              <w:rPr>
                <w:spacing w:val="-5"/>
                <w:sz w:val="20"/>
              </w:rPr>
              <w:t>332</w:t>
            </w:r>
          </w:p>
        </w:tc>
        <w:tc>
          <w:tcPr>
            <w:tcW w:w="3319" w:type="dxa"/>
          </w:tcPr>
          <w:p>
            <w:pPr>
              <w:pStyle w:val="TableParagraph"/>
              <w:spacing w:line="214" w:lineRule="exact" w:before="46"/>
              <w:ind w:left="192"/>
              <w:rPr>
                <w:sz w:val="20"/>
              </w:rPr>
            </w:pPr>
            <w:r>
              <w:rPr>
                <w:sz w:val="20"/>
              </w:rPr>
              <w:t>Другие</w:t>
            </w:r>
            <w:r>
              <w:rPr>
                <w:spacing w:val="-8"/>
                <w:sz w:val="20"/>
              </w:rPr>
              <w:t> </w:t>
            </w:r>
            <w:r>
              <w:rPr>
                <w:sz w:val="20"/>
              </w:rPr>
              <w:t>операции</w:t>
            </w:r>
            <w:r>
              <w:rPr>
                <w:spacing w:val="-9"/>
                <w:sz w:val="20"/>
              </w:rPr>
              <w:t> </w:t>
            </w:r>
            <w:r>
              <w:rPr>
                <w:spacing w:val="-5"/>
                <w:sz w:val="20"/>
              </w:rPr>
              <w:t>на</w:t>
            </w:r>
          </w:p>
        </w:tc>
        <w:tc>
          <w:tcPr>
            <w:tcW w:w="2586" w:type="dxa"/>
          </w:tcPr>
          <w:p>
            <w:pPr>
              <w:pStyle w:val="TableParagraph"/>
              <w:spacing w:line="214" w:lineRule="exact" w:before="46"/>
              <w:ind w:right="1150"/>
              <w:jc w:val="right"/>
              <w:rPr>
                <w:sz w:val="20"/>
              </w:rPr>
            </w:pPr>
            <w:r>
              <w:rPr>
                <w:w w:val="99"/>
                <w:sz w:val="20"/>
              </w:rPr>
              <w:t>-</w:t>
            </w:r>
          </w:p>
        </w:tc>
        <w:tc>
          <w:tcPr>
            <w:tcW w:w="4394" w:type="dxa"/>
          </w:tcPr>
          <w:p>
            <w:pPr>
              <w:pStyle w:val="TableParagraph"/>
              <w:spacing w:line="214" w:lineRule="exact" w:before="46"/>
              <w:ind w:left="1151" w:right="156"/>
              <w:jc w:val="center"/>
              <w:rPr>
                <w:sz w:val="20"/>
              </w:rPr>
            </w:pPr>
            <w:r>
              <w:rPr>
                <w:sz w:val="20"/>
              </w:rPr>
              <w:t>A03.15.001,</w:t>
            </w:r>
            <w:r>
              <w:rPr>
                <w:spacing w:val="-9"/>
                <w:sz w:val="20"/>
              </w:rPr>
              <w:t> </w:t>
            </w:r>
            <w:r>
              <w:rPr>
                <w:spacing w:val="-2"/>
                <w:sz w:val="20"/>
              </w:rPr>
              <w:t>A03.30.008,</w:t>
            </w:r>
          </w:p>
        </w:tc>
        <w:tc>
          <w:tcPr>
            <w:tcW w:w="2547" w:type="dxa"/>
          </w:tcPr>
          <w:p>
            <w:pPr>
              <w:pStyle w:val="TableParagraph"/>
              <w:spacing w:line="214" w:lineRule="exact" w:before="46"/>
              <w:ind w:left="1134"/>
              <w:rPr>
                <w:sz w:val="20"/>
              </w:rPr>
            </w:pPr>
            <w:r>
              <w:rPr>
                <w:w w:val="99"/>
                <w:sz w:val="20"/>
              </w:rPr>
              <w:t>-</w:t>
            </w:r>
          </w:p>
        </w:tc>
        <w:tc>
          <w:tcPr>
            <w:tcW w:w="774" w:type="dxa"/>
          </w:tcPr>
          <w:p>
            <w:pPr>
              <w:pStyle w:val="TableParagraph"/>
              <w:spacing w:line="214" w:lineRule="exact" w:before="46"/>
              <w:ind w:right="47"/>
              <w:jc w:val="right"/>
              <w:rPr>
                <w:sz w:val="20"/>
              </w:rPr>
            </w:pPr>
            <w:r>
              <w:rPr>
                <w:spacing w:val="-4"/>
                <w:sz w:val="20"/>
              </w:rPr>
              <w:t>1,13</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09" w:lineRule="exact"/>
              <w:ind w:left="192"/>
              <w:rPr>
                <w:sz w:val="20"/>
              </w:rPr>
            </w:pPr>
            <w:r>
              <w:rPr>
                <w:sz w:val="20"/>
              </w:rPr>
              <w:t>органах</w:t>
            </w:r>
            <w:r>
              <w:rPr>
                <w:spacing w:val="-9"/>
                <w:sz w:val="20"/>
              </w:rPr>
              <w:t> </w:t>
            </w:r>
            <w:r>
              <w:rPr>
                <w:spacing w:val="-2"/>
                <w:sz w:val="20"/>
              </w:rPr>
              <w:t>брюшной</w:t>
            </w:r>
          </w:p>
        </w:tc>
        <w:tc>
          <w:tcPr>
            <w:tcW w:w="2586" w:type="dxa"/>
          </w:tcPr>
          <w:p>
            <w:pPr>
              <w:pStyle w:val="TableParagraph"/>
              <w:rPr>
                <w:sz w:val="16"/>
              </w:rPr>
            </w:pPr>
          </w:p>
        </w:tc>
        <w:tc>
          <w:tcPr>
            <w:tcW w:w="4394" w:type="dxa"/>
          </w:tcPr>
          <w:p>
            <w:pPr>
              <w:pStyle w:val="TableParagraph"/>
              <w:spacing w:line="209" w:lineRule="exact"/>
              <w:ind w:left="1149" w:right="156"/>
              <w:jc w:val="center"/>
              <w:rPr>
                <w:sz w:val="20"/>
              </w:rPr>
            </w:pPr>
            <w:r>
              <w:rPr>
                <w:w w:val="95"/>
                <w:sz w:val="20"/>
              </w:rPr>
              <w:t>A16.30.006.002,</w:t>
            </w:r>
            <w:r>
              <w:rPr>
                <w:spacing w:val="54"/>
                <w:sz w:val="20"/>
              </w:rPr>
              <w:t> </w:t>
            </w:r>
            <w:r>
              <w:rPr>
                <w:spacing w:val="-2"/>
                <w:sz w:val="20"/>
              </w:rPr>
              <w:t>A16.30.008,</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11" w:lineRule="exact"/>
              <w:ind w:left="192"/>
              <w:rPr>
                <w:sz w:val="20"/>
              </w:rPr>
            </w:pPr>
            <w:r>
              <w:rPr>
                <w:sz w:val="20"/>
              </w:rPr>
              <w:t>полости</w:t>
            </w:r>
            <w:r>
              <w:rPr>
                <w:spacing w:val="-10"/>
                <w:sz w:val="20"/>
              </w:rPr>
              <w:t> </w:t>
            </w:r>
            <w:r>
              <w:rPr>
                <w:sz w:val="20"/>
              </w:rPr>
              <w:t>(уровень</w:t>
            </w:r>
            <w:r>
              <w:rPr>
                <w:spacing w:val="-9"/>
                <w:sz w:val="20"/>
              </w:rPr>
              <w:t> </w:t>
            </w:r>
            <w:r>
              <w:rPr>
                <w:spacing w:val="-5"/>
                <w:sz w:val="20"/>
              </w:rPr>
              <w:t>1)</w:t>
            </w:r>
          </w:p>
        </w:tc>
        <w:tc>
          <w:tcPr>
            <w:tcW w:w="2586" w:type="dxa"/>
          </w:tcPr>
          <w:p>
            <w:pPr>
              <w:pStyle w:val="TableParagraph"/>
              <w:rPr>
                <w:sz w:val="16"/>
              </w:rPr>
            </w:pPr>
          </w:p>
        </w:tc>
        <w:tc>
          <w:tcPr>
            <w:tcW w:w="4394" w:type="dxa"/>
          </w:tcPr>
          <w:p>
            <w:pPr>
              <w:pStyle w:val="TableParagraph"/>
              <w:spacing w:line="211" w:lineRule="exact"/>
              <w:ind w:left="1151" w:right="156"/>
              <w:jc w:val="center"/>
              <w:rPr>
                <w:sz w:val="20"/>
              </w:rPr>
            </w:pPr>
            <w:r>
              <w:rPr>
                <w:sz w:val="20"/>
              </w:rPr>
              <w:t>A16.30.034,</w:t>
            </w:r>
            <w:r>
              <w:rPr>
                <w:spacing w:val="-9"/>
                <w:sz w:val="20"/>
              </w:rPr>
              <w:t> </w:t>
            </w:r>
            <w:r>
              <w:rPr>
                <w:spacing w:val="-2"/>
                <w:sz w:val="20"/>
              </w:rPr>
              <w:t>A16.30.042,</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49" w:right="156"/>
              <w:jc w:val="center"/>
              <w:rPr>
                <w:sz w:val="20"/>
              </w:rPr>
            </w:pPr>
            <w:r>
              <w:rPr>
                <w:w w:val="95"/>
                <w:sz w:val="20"/>
              </w:rPr>
              <w:t>A16.30.042.001,</w:t>
            </w:r>
            <w:r>
              <w:rPr>
                <w:spacing w:val="54"/>
                <w:sz w:val="20"/>
              </w:rPr>
              <w:t> </w:t>
            </w:r>
            <w:r>
              <w:rPr>
                <w:spacing w:val="-2"/>
                <w:sz w:val="20"/>
              </w:rPr>
              <w:t>A16.30.043,</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50" w:right="156"/>
              <w:jc w:val="center"/>
              <w:rPr>
                <w:sz w:val="20"/>
              </w:rPr>
            </w:pPr>
            <w:r>
              <w:rPr>
                <w:w w:val="95"/>
                <w:sz w:val="20"/>
              </w:rPr>
              <w:t>A16.30.043.001,</w:t>
            </w:r>
            <w:r>
              <w:rPr>
                <w:spacing w:val="54"/>
                <w:sz w:val="20"/>
              </w:rPr>
              <w:t> </w:t>
            </w:r>
            <w:r>
              <w:rPr>
                <w:spacing w:val="-2"/>
                <w:sz w:val="20"/>
              </w:rPr>
              <w:t>A16.30.045,</w:t>
            </w:r>
          </w:p>
        </w:tc>
        <w:tc>
          <w:tcPr>
            <w:tcW w:w="2547" w:type="dxa"/>
          </w:tcPr>
          <w:p>
            <w:pPr>
              <w:pStyle w:val="TableParagraph"/>
              <w:rPr>
                <w:sz w:val="16"/>
              </w:rPr>
            </w:pPr>
          </w:p>
        </w:tc>
        <w:tc>
          <w:tcPr>
            <w:tcW w:w="77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19" w:type="dxa"/>
          </w:tcPr>
          <w:p>
            <w:pPr>
              <w:pStyle w:val="TableParagraph"/>
              <w:rPr>
                <w:sz w:val="18"/>
              </w:rPr>
            </w:pPr>
          </w:p>
        </w:tc>
        <w:tc>
          <w:tcPr>
            <w:tcW w:w="2586" w:type="dxa"/>
          </w:tcPr>
          <w:p>
            <w:pPr>
              <w:pStyle w:val="TableParagraph"/>
              <w:rPr>
                <w:sz w:val="18"/>
              </w:rPr>
            </w:pPr>
          </w:p>
        </w:tc>
        <w:tc>
          <w:tcPr>
            <w:tcW w:w="4394" w:type="dxa"/>
          </w:tcPr>
          <w:p>
            <w:pPr>
              <w:pStyle w:val="TableParagraph"/>
              <w:spacing w:line="226" w:lineRule="exact"/>
              <w:ind w:left="1149" w:right="156"/>
              <w:jc w:val="center"/>
              <w:rPr>
                <w:sz w:val="20"/>
              </w:rPr>
            </w:pPr>
            <w:r>
              <w:rPr>
                <w:sz w:val="20"/>
              </w:rPr>
              <w:t>A16.30.046,</w:t>
            </w:r>
            <w:r>
              <w:rPr>
                <w:spacing w:val="-9"/>
                <w:sz w:val="20"/>
              </w:rPr>
              <w:t> </w:t>
            </w:r>
            <w:r>
              <w:rPr>
                <w:spacing w:val="-2"/>
                <w:sz w:val="20"/>
              </w:rPr>
              <w:t>A16.30.079</w:t>
            </w:r>
          </w:p>
        </w:tc>
        <w:tc>
          <w:tcPr>
            <w:tcW w:w="2547" w:type="dxa"/>
          </w:tcPr>
          <w:p>
            <w:pPr>
              <w:pStyle w:val="TableParagraph"/>
              <w:rPr>
                <w:sz w:val="18"/>
              </w:rPr>
            </w:pPr>
          </w:p>
        </w:tc>
        <w:tc>
          <w:tcPr>
            <w:tcW w:w="77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st32.017</w:t>
            </w:r>
          </w:p>
        </w:tc>
        <w:tc>
          <w:tcPr>
            <w:tcW w:w="707" w:type="dxa"/>
          </w:tcPr>
          <w:p>
            <w:pPr>
              <w:pStyle w:val="TableParagraph"/>
              <w:spacing w:line="215" w:lineRule="exact" w:before="45"/>
              <w:ind w:left="210"/>
              <w:rPr>
                <w:sz w:val="20"/>
              </w:rPr>
            </w:pPr>
            <w:r>
              <w:rPr>
                <w:spacing w:val="-5"/>
                <w:sz w:val="20"/>
              </w:rPr>
              <w:t>333</w:t>
            </w:r>
          </w:p>
        </w:tc>
        <w:tc>
          <w:tcPr>
            <w:tcW w:w="3319" w:type="dxa"/>
          </w:tcPr>
          <w:p>
            <w:pPr>
              <w:pStyle w:val="TableParagraph"/>
              <w:spacing w:line="215" w:lineRule="exact" w:before="45"/>
              <w:ind w:left="192"/>
              <w:rPr>
                <w:sz w:val="20"/>
              </w:rPr>
            </w:pPr>
            <w:r>
              <w:rPr>
                <w:sz w:val="20"/>
              </w:rPr>
              <w:t>Другие</w:t>
            </w:r>
            <w:r>
              <w:rPr>
                <w:spacing w:val="-8"/>
                <w:sz w:val="20"/>
              </w:rPr>
              <w:t> </w:t>
            </w:r>
            <w:r>
              <w:rPr>
                <w:sz w:val="20"/>
              </w:rPr>
              <w:t>операции</w:t>
            </w:r>
            <w:r>
              <w:rPr>
                <w:spacing w:val="-9"/>
                <w:sz w:val="20"/>
              </w:rPr>
              <w:t> </w:t>
            </w:r>
            <w:r>
              <w:rPr>
                <w:spacing w:val="-5"/>
                <w:sz w:val="20"/>
              </w:rPr>
              <w:t>на</w:t>
            </w:r>
          </w:p>
        </w:tc>
        <w:tc>
          <w:tcPr>
            <w:tcW w:w="2586" w:type="dxa"/>
          </w:tcPr>
          <w:p>
            <w:pPr>
              <w:pStyle w:val="TableParagraph"/>
              <w:spacing w:line="215" w:lineRule="exact" w:before="45"/>
              <w:ind w:right="1150"/>
              <w:jc w:val="right"/>
              <w:rPr>
                <w:sz w:val="20"/>
              </w:rPr>
            </w:pPr>
            <w:r>
              <w:rPr>
                <w:w w:val="99"/>
                <w:sz w:val="20"/>
              </w:rPr>
              <w:t>-</w:t>
            </w:r>
          </w:p>
        </w:tc>
        <w:tc>
          <w:tcPr>
            <w:tcW w:w="4394" w:type="dxa"/>
          </w:tcPr>
          <w:p>
            <w:pPr>
              <w:pStyle w:val="TableParagraph"/>
              <w:spacing w:line="215" w:lineRule="exact" w:before="45"/>
              <w:ind w:left="1147" w:right="156"/>
              <w:jc w:val="center"/>
              <w:rPr>
                <w:sz w:val="20"/>
              </w:rPr>
            </w:pPr>
            <w:r>
              <w:rPr>
                <w:sz w:val="20"/>
              </w:rPr>
              <w:t>A03.30.003,</w:t>
            </w:r>
            <w:r>
              <w:rPr>
                <w:spacing w:val="-9"/>
                <w:sz w:val="20"/>
              </w:rPr>
              <w:t> </w:t>
            </w:r>
            <w:r>
              <w:rPr>
                <w:sz w:val="20"/>
              </w:rPr>
              <w:t>A03.30.004,</w:t>
            </w:r>
            <w:r>
              <w:rPr>
                <w:spacing w:val="-10"/>
                <w:sz w:val="20"/>
              </w:rPr>
              <w:t> </w:t>
            </w:r>
            <w:r>
              <w:rPr>
                <w:spacing w:val="-2"/>
                <w:sz w:val="20"/>
              </w:rPr>
              <w:t>A03.30.005,</w:t>
            </w:r>
          </w:p>
        </w:tc>
        <w:tc>
          <w:tcPr>
            <w:tcW w:w="2547" w:type="dxa"/>
          </w:tcPr>
          <w:p>
            <w:pPr>
              <w:pStyle w:val="TableParagraph"/>
              <w:spacing w:line="215" w:lineRule="exact" w:before="45"/>
              <w:ind w:left="1134"/>
              <w:rPr>
                <w:sz w:val="20"/>
              </w:rPr>
            </w:pPr>
            <w:r>
              <w:rPr>
                <w:w w:val="99"/>
                <w:sz w:val="20"/>
              </w:rPr>
              <w:t>-</w:t>
            </w:r>
          </w:p>
        </w:tc>
        <w:tc>
          <w:tcPr>
            <w:tcW w:w="774" w:type="dxa"/>
          </w:tcPr>
          <w:p>
            <w:pPr>
              <w:pStyle w:val="TableParagraph"/>
              <w:spacing w:line="215" w:lineRule="exact" w:before="45"/>
              <w:ind w:right="47"/>
              <w:jc w:val="right"/>
              <w:rPr>
                <w:sz w:val="20"/>
              </w:rPr>
            </w:pPr>
            <w:r>
              <w:rPr>
                <w:spacing w:val="-4"/>
                <w:sz w:val="20"/>
              </w:rPr>
              <w:t>1,19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10" w:lineRule="exact"/>
              <w:ind w:left="192"/>
              <w:rPr>
                <w:sz w:val="20"/>
              </w:rPr>
            </w:pPr>
            <w:r>
              <w:rPr>
                <w:sz w:val="20"/>
              </w:rPr>
              <w:t>органах</w:t>
            </w:r>
            <w:r>
              <w:rPr>
                <w:spacing w:val="-9"/>
                <w:sz w:val="20"/>
              </w:rPr>
              <w:t> </w:t>
            </w:r>
            <w:r>
              <w:rPr>
                <w:spacing w:val="-2"/>
                <w:sz w:val="20"/>
              </w:rPr>
              <w:t>брюшной</w:t>
            </w:r>
          </w:p>
        </w:tc>
        <w:tc>
          <w:tcPr>
            <w:tcW w:w="2586" w:type="dxa"/>
          </w:tcPr>
          <w:p>
            <w:pPr>
              <w:pStyle w:val="TableParagraph"/>
              <w:rPr>
                <w:sz w:val="16"/>
              </w:rPr>
            </w:pPr>
          </w:p>
        </w:tc>
        <w:tc>
          <w:tcPr>
            <w:tcW w:w="4394" w:type="dxa"/>
          </w:tcPr>
          <w:p>
            <w:pPr>
              <w:pStyle w:val="TableParagraph"/>
              <w:spacing w:line="210" w:lineRule="exact"/>
              <w:ind w:left="1149" w:right="156"/>
              <w:jc w:val="center"/>
              <w:rPr>
                <w:sz w:val="20"/>
              </w:rPr>
            </w:pPr>
            <w:r>
              <w:rPr>
                <w:sz w:val="20"/>
              </w:rPr>
              <w:t>A16.30.007,</w:t>
            </w:r>
            <w:r>
              <w:rPr>
                <w:spacing w:val="-9"/>
                <w:sz w:val="20"/>
              </w:rPr>
              <w:t> </w:t>
            </w:r>
            <w:r>
              <w:rPr>
                <w:spacing w:val="-2"/>
                <w:sz w:val="20"/>
              </w:rPr>
              <w:t>A16.30.007.001,</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10" w:lineRule="exact"/>
              <w:ind w:left="192"/>
              <w:rPr>
                <w:sz w:val="20"/>
              </w:rPr>
            </w:pPr>
            <w:r>
              <w:rPr>
                <w:sz w:val="20"/>
              </w:rPr>
              <w:t>полости</w:t>
            </w:r>
            <w:r>
              <w:rPr>
                <w:spacing w:val="-10"/>
                <w:sz w:val="20"/>
              </w:rPr>
              <w:t> </w:t>
            </w:r>
            <w:r>
              <w:rPr>
                <w:sz w:val="20"/>
              </w:rPr>
              <w:t>(уровень</w:t>
            </w:r>
            <w:r>
              <w:rPr>
                <w:spacing w:val="-9"/>
                <w:sz w:val="20"/>
              </w:rPr>
              <w:t> </w:t>
            </w:r>
            <w:r>
              <w:rPr>
                <w:spacing w:val="-5"/>
                <w:sz w:val="20"/>
              </w:rPr>
              <w:t>2)</w:t>
            </w:r>
          </w:p>
        </w:tc>
        <w:tc>
          <w:tcPr>
            <w:tcW w:w="2586" w:type="dxa"/>
          </w:tcPr>
          <w:p>
            <w:pPr>
              <w:pStyle w:val="TableParagraph"/>
              <w:rPr>
                <w:sz w:val="16"/>
              </w:rPr>
            </w:pPr>
          </w:p>
        </w:tc>
        <w:tc>
          <w:tcPr>
            <w:tcW w:w="4394" w:type="dxa"/>
          </w:tcPr>
          <w:p>
            <w:pPr>
              <w:pStyle w:val="TableParagraph"/>
              <w:spacing w:line="210" w:lineRule="exact"/>
              <w:ind w:left="1148" w:right="156"/>
              <w:jc w:val="center"/>
              <w:rPr>
                <w:sz w:val="20"/>
              </w:rPr>
            </w:pPr>
            <w:r>
              <w:rPr>
                <w:w w:val="95"/>
                <w:sz w:val="20"/>
              </w:rPr>
              <w:t>A16.30.007.002,</w:t>
            </w:r>
            <w:r>
              <w:rPr>
                <w:spacing w:val="54"/>
                <w:sz w:val="20"/>
              </w:rPr>
              <w:t> </w:t>
            </w:r>
            <w:r>
              <w:rPr>
                <w:spacing w:val="-2"/>
                <w:sz w:val="20"/>
              </w:rPr>
              <w:t>A16.30.007.003,</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9" w:right="156"/>
              <w:jc w:val="center"/>
              <w:rPr>
                <w:sz w:val="20"/>
              </w:rPr>
            </w:pPr>
            <w:r>
              <w:rPr>
                <w:w w:val="95"/>
                <w:sz w:val="20"/>
              </w:rPr>
              <w:t>A16.30.007.004,</w:t>
            </w:r>
            <w:r>
              <w:rPr>
                <w:spacing w:val="54"/>
                <w:sz w:val="20"/>
              </w:rPr>
              <w:t> </w:t>
            </w:r>
            <w:r>
              <w:rPr>
                <w:spacing w:val="-2"/>
                <w:sz w:val="20"/>
              </w:rPr>
              <w:t>A16.30.009,</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9" w:right="156"/>
              <w:jc w:val="center"/>
              <w:rPr>
                <w:sz w:val="20"/>
              </w:rPr>
            </w:pPr>
            <w:r>
              <w:rPr>
                <w:sz w:val="20"/>
              </w:rPr>
              <w:t>A16.30.010,</w:t>
            </w:r>
            <w:r>
              <w:rPr>
                <w:spacing w:val="-9"/>
                <w:sz w:val="20"/>
              </w:rPr>
              <w:t> </w:t>
            </w:r>
            <w:r>
              <w:rPr>
                <w:sz w:val="20"/>
              </w:rPr>
              <w:t>A16.30.011,</w:t>
            </w:r>
            <w:r>
              <w:rPr>
                <w:spacing w:val="-9"/>
                <w:sz w:val="20"/>
              </w:rPr>
              <w:t> </w:t>
            </w:r>
            <w:r>
              <w:rPr>
                <w:spacing w:val="-2"/>
                <w:sz w:val="20"/>
              </w:rPr>
              <w:t>A16.30.012,</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51" w:right="156"/>
              <w:jc w:val="center"/>
              <w:rPr>
                <w:sz w:val="20"/>
              </w:rPr>
            </w:pPr>
            <w:r>
              <w:rPr>
                <w:sz w:val="20"/>
              </w:rPr>
              <w:t>A16.30.021,</w:t>
            </w:r>
            <w:r>
              <w:rPr>
                <w:spacing w:val="-9"/>
                <w:sz w:val="20"/>
              </w:rPr>
              <w:t> </w:t>
            </w:r>
            <w:r>
              <w:rPr>
                <w:spacing w:val="-2"/>
                <w:sz w:val="20"/>
              </w:rPr>
              <w:t>A16.30.022,</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1" w:lineRule="exact"/>
              <w:ind w:left="1149" w:right="156"/>
              <w:jc w:val="center"/>
              <w:rPr>
                <w:sz w:val="20"/>
              </w:rPr>
            </w:pPr>
            <w:r>
              <w:rPr>
                <w:w w:val="95"/>
                <w:sz w:val="20"/>
              </w:rPr>
              <w:t>A16.30.022.001,</w:t>
            </w:r>
            <w:r>
              <w:rPr>
                <w:spacing w:val="54"/>
                <w:sz w:val="20"/>
              </w:rPr>
              <w:t> </w:t>
            </w:r>
            <w:r>
              <w:rPr>
                <w:spacing w:val="-2"/>
                <w:sz w:val="20"/>
              </w:rPr>
              <w:t>A16.30.023,</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1" w:lineRule="exact"/>
              <w:ind w:left="1151" w:right="156"/>
              <w:jc w:val="center"/>
              <w:rPr>
                <w:sz w:val="20"/>
              </w:rPr>
            </w:pPr>
            <w:r>
              <w:rPr>
                <w:sz w:val="20"/>
              </w:rPr>
              <w:t>A16.30.024,</w:t>
            </w:r>
            <w:r>
              <w:rPr>
                <w:spacing w:val="-9"/>
                <w:sz w:val="20"/>
              </w:rPr>
              <w:t> </w:t>
            </w:r>
            <w:r>
              <w:rPr>
                <w:spacing w:val="-2"/>
                <w:sz w:val="20"/>
              </w:rPr>
              <w:t>A16.30.025,</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48" w:right="156"/>
              <w:jc w:val="center"/>
              <w:rPr>
                <w:sz w:val="20"/>
              </w:rPr>
            </w:pPr>
            <w:r>
              <w:rPr>
                <w:w w:val="95"/>
                <w:sz w:val="20"/>
              </w:rPr>
              <w:t>A16.30.025.001,</w:t>
            </w:r>
            <w:r>
              <w:rPr>
                <w:spacing w:val="54"/>
                <w:sz w:val="20"/>
              </w:rPr>
              <w:t> </w:t>
            </w:r>
            <w:r>
              <w:rPr>
                <w:spacing w:val="-2"/>
                <w:sz w:val="20"/>
              </w:rPr>
              <w:t>A16.30.025.002,</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8" w:right="156"/>
              <w:jc w:val="center"/>
              <w:rPr>
                <w:sz w:val="20"/>
              </w:rPr>
            </w:pPr>
            <w:r>
              <w:rPr>
                <w:w w:val="95"/>
                <w:sz w:val="20"/>
              </w:rPr>
              <w:t>A16.30.025.003,</w:t>
            </w:r>
            <w:r>
              <w:rPr>
                <w:spacing w:val="54"/>
                <w:sz w:val="20"/>
              </w:rPr>
              <w:t> </w:t>
            </w:r>
            <w:r>
              <w:rPr>
                <w:spacing w:val="-2"/>
                <w:sz w:val="20"/>
              </w:rPr>
              <w:t>A16.30.025.004,</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7" w:right="156"/>
              <w:jc w:val="center"/>
              <w:rPr>
                <w:sz w:val="20"/>
              </w:rPr>
            </w:pPr>
            <w:r>
              <w:rPr>
                <w:sz w:val="20"/>
              </w:rPr>
              <w:t>A16.30.026,</w:t>
            </w:r>
            <w:r>
              <w:rPr>
                <w:spacing w:val="-9"/>
                <w:sz w:val="20"/>
              </w:rPr>
              <w:t> </w:t>
            </w:r>
            <w:r>
              <w:rPr>
                <w:sz w:val="20"/>
              </w:rPr>
              <w:t>A16.30.027,</w:t>
            </w:r>
            <w:r>
              <w:rPr>
                <w:spacing w:val="-10"/>
                <w:sz w:val="20"/>
              </w:rPr>
              <w:t> </w:t>
            </w:r>
            <w:r>
              <w:rPr>
                <w:spacing w:val="-2"/>
                <w:sz w:val="20"/>
              </w:rPr>
              <w:t>A16.30.028,</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48" w:right="156"/>
              <w:jc w:val="center"/>
              <w:rPr>
                <w:sz w:val="20"/>
              </w:rPr>
            </w:pPr>
            <w:r>
              <w:rPr>
                <w:w w:val="95"/>
                <w:sz w:val="20"/>
              </w:rPr>
              <w:t>A16.30.028.001,</w:t>
            </w:r>
            <w:r>
              <w:rPr>
                <w:spacing w:val="54"/>
                <w:sz w:val="20"/>
              </w:rPr>
              <w:t> </w:t>
            </w:r>
            <w:r>
              <w:rPr>
                <w:spacing w:val="-2"/>
                <w:sz w:val="20"/>
              </w:rPr>
              <w:t>A16.30.028.002,</w:t>
            </w:r>
          </w:p>
        </w:tc>
        <w:tc>
          <w:tcPr>
            <w:tcW w:w="2547" w:type="dxa"/>
          </w:tcPr>
          <w:p>
            <w:pPr>
              <w:pStyle w:val="TableParagraph"/>
              <w:rPr>
                <w:sz w:val="16"/>
              </w:rPr>
            </w:pPr>
          </w:p>
        </w:tc>
        <w:tc>
          <w:tcPr>
            <w:tcW w:w="77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5" w:lineRule="exact"/>
              <w:ind w:left="1151" w:right="156"/>
              <w:jc w:val="center"/>
              <w:rPr>
                <w:sz w:val="20"/>
              </w:rPr>
            </w:pPr>
            <w:r>
              <w:rPr>
                <w:sz w:val="20"/>
              </w:rPr>
              <w:t>A16.30.037,</w:t>
            </w:r>
            <w:r>
              <w:rPr>
                <w:spacing w:val="-8"/>
                <w:sz w:val="20"/>
              </w:rPr>
              <w:t> </w:t>
            </w:r>
            <w:r>
              <w:rPr>
                <w:sz w:val="20"/>
              </w:rPr>
              <w:t>A16.30.044,</w:t>
            </w:r>
            <w:r>
              <w:rPr>
                <w:spacing w:val="-8"/>
                <w:sz w:val="20"/>
              </w:rPr>
              <w:t> </w:t>
            </w:r>
            <w:r>
              <w:rPr>
                <w:spacing w:val="-2"/>
                <w:sz w:val="20"/>
              </w:rPr>
              <w:t>A16.30.051,</w:t>
            </w:r>
          </w:p>
        </w:tc>
        <w:tc>
          <w:tcPr>
            <w:tcW w:w="2547" w:type="dxa"/>
          </w:tcPr>
          <w:p>
            <w:pPr>
              <w:pStyle w:val="TableParagraph"/>
              <w:rPr>
                <w:sz w:val="16"/>
              </w:rPr>
            </w:pPr>
          </w:p>
        </w:tc>
        <w:tc>
          <w:tcPr>
            <w:tcW w:w="77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70"/>
        <w:gridCol w:w="4396"/>
        <w:gridCol w:w="3250"/>
        <w:gridCol w:w="2626"/>
        <w:gridCol w:w="778"/>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rPr>
                <w:sz w:val="18"/>
              </w:rPr>
            </w:pPr>
          </w:p>
        </w:tc>
        <w:tc>
          <w:tcPr>
            <w:tcW w:w="3250" w:type="dxa"/>
          </w:tcPr>
          <w:p>
            <w:pPr>
              <w:pStyle w:val="TableParagraph"/>
              <w:ind w:left="986" w:right="590" w:hanging="372"/>
              <w:rPr>
                <w:sz w:val="20"/>
              </w:rPr>
            </w:pPr>
            <w:r>
              <w:rPr>
                <w:sz w:val="20"/>
              </w:rPr>
              <w:t>A16.30.065,</w:t>
            </w:r>
            <w:r>
              <w:rPr>
                <w:spacing w:val="-13"/>
                <w:sz w:val="20"/>
              </w:rPr>
              <w:t> </w:t>
            </w:r>
            <w:r>
              <w:rPr>
                <w:sz w:val="20"/>
              </w:rPr>
              <w:t>A16.30.071, </w:t>
            </w:r>
            <w:r>
              <w:rPr>
                <w:spacing w:val="-2"/>
                <w:sz w:val="20"/>
              </w:rPr>
              <w:t>A16.30.071.001</w:t>
            </w:r>
          </w:p>
        </w:tc>
        <w:tc>
          <w:tcPr>
            <w:tcW w:w="2626" w:type="dxa"/>
          </w:tcPr>
          <w:p>
            <w:pPr>
              <w:pStyle w:val="TableParagraph"/>
              <w:rPr>
                <w:sz w:val="18"/>
              </w:rPr>
            </w:pPr>
          </w:p>
        </w:tc>
        <w:tc>
          <w:tcPr>
            <w:tcW w:w="778"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st32.018</w:t>
            </w:r>
          </w:p>
        </w:tc>
        <w:tc>
          <w:tcPr>
            <w:tcW w:w="707" w:type="dxa"/>
          </w:tcPr>
          <w:p>
            <w:pPr>
              <w:pStyle w:val="TableParagraph"/>
              <w:spacing w:line="215" w:lineRule="exact" w:before="45"/>
              <w:ind w:left="210"/>
              <w:rPr>
                <w:sz w:val="20"/>
              </w:rPr>
            </w:pPr>
            <w:r>
              <w:rPr>
                <w:spacing w:val="-5"/>
                <w:sz w:val="20"/>
              </w:rPr>
              <w:t>334</w:t>
            </w:r>
          </w:p>
        </w:tc>
        <w:tc>
          <w:tcPr>
            <w:tcW w:w="2570" w:type="dxa"/>
          </w:tcPr>
          <w:p>
            <w:pPr>
              <w:pStyle w:val="TableParagraph"/>
              <w:spacing w:line="215" w:lineRule="exact" w:before="45"/>
              <w:ind w:left="192"/>
              <w:rPr>
                <w:sz w:val="20"/>
              </w:rPr>
            </w:pPr>
            <w:r>
              <w:rPr>
                <w:sz w:val="20"/>
              </w:rPr>
              <w:t>Другие</w:t>
            </w:r>
            <w:r>
              <w:rPr>
                <w:spacing w:val="-7"/>
                <w:sz w:val="20"/>
              </w:rPr>
              <w:t> </w:t>
            </w:r>
            <w:r>
              <w:rPr>
                <w:sz w:val="20"/>
              </w:rPr>
              <w:t>операции</w:t>
            </w:r>
            <w:r>
              <w:rPr>
                <w:spacing w:val="-8"/>
                <w:sz w:val="20"/>
              </w:rPr>
              <w:t> </w:t>
            </w:r>
            <w:r>
              <w:rPr>
                <w:spacing w:val="-5"/>
                <w:sz w:val="20"/>
              </w:rPr>
              <w:t>на</w:t>
            </w:r>
          </w:p>
        </w:tc>
        <w:tc>
          <w:tcPr>
            <w:tcW w:w="4396" w:type="dxa"/>
          </w:tcPr>
          <w:p>
            <w:pPr>
              <w:pStyle w:val="TableParagraph"/>
              <w:spacing w:line="215" w:lineRule="exact" w:before="45"/>
              <w:ind w:right="95"/>
              <w:jc w:val="center"/>
              <w:rPr>
                <w:sz w:val="20"/>
              </w:rPr>
            </w:pPr>
            <w:r>
              <w:rPr>
                <w:w w:val="99"/>
                <w:sz w:val="20"/>
              </w:rPr>
              <w:t>-</w:t>
            </w:r>
          </w:p>
        </w:tc>
        <w:tc>
          <w:tcPr>
            <w:tcW w:w="3250" w:type="dxa"/>
          </w:tcPr>
          <w:p>
            <w:pPr>
              <w:pStyle w:val="TableParagraph"/>
              <w:spacing w:line="215" w:lineRule="exact" w:before="45"/>
              <w:ind w:left="264" w:right="250"/>
              <w:jc w:val="center"/>
              <w:rPr>
                <w:sz w:val="20"/>
              </w:rPr>
            </w:pPr>
            <w:r>
              <w:rPr>
                <w:w w:val="95"/>
                <w:sz w:val="20"/>
              </w:rPr>
              <w:t>A16.30.010.001,</w:t>
            </w:r>
            <w:r>
              <w:rPr>
                <w:spacing w:val="54"/>
                <w:sz w:val="20"/>
              </w:rPr>
              <w:t> </w:t>
            </w:r>
            <w:r>
              <w:rPr>
                <w:spacing w:val="-2"/>
                <w:sz w:val="20"/>
              </w:rPr>
              <w:t>A16.30.011.001,</w:t>
            </w:r>
          </w:p>
        </w:tc>
        <w:tc>
          <w:tcPr>
            <w:tcW w:w="2626" w:type="dxa"/>
          </w:tcPr>
          <w:p>
            <w:pPr>
              <w:pStyle w:val="TableParagraph"/>
              <w:spacing w:line="215" w:lineRule="exact" w:before="45"/>
              <w:ind w:right="122"/>
              <w:jc w:val="center"/>
              <w:rPr>
                <w:sz w:val="20"/>
              </w:rPr>
            </w:pPr>
            <w:r>
              <w:rPr>
                <w:w w:val="99"/>
                <w:sz w:val="20"/>
              </w:rPr>
              <w:t>-</w:t>
            </w:r>
          </w:p>
        </w:tc>
        <w:tc>
          <w:tcPr>
            <w:tcW w:w="778" w:type="dxa"/>
          </w:tcPr>
          <w:p>
            <w:pPr>
              <w:pStyle w:val="TableParagraph"/>
              <w:spacing w:line="215" w:lineRule="exact" w:before="45"/>
              <w:ind w:right="47"/>
              <w:jc w:val="right"/>
              <w:rPr>
                <w:sz w:val="20"/>
              </w:rPr>
            </w:pPr>
            <w:r>
              <w:rPr>
                <w:spacing w:val="-4"/>
                <w:sz w:val="20"/>
              </w:rPr>
              <w:t>2,13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spacing w:line="210" w:lineRule="exact"/>
              <w:ind w:left="192"/>
              <w:rPr>
                <w:sz w:val="20"/>
              </w:rPr>
            </w:pPr>
            <w:r>
              <w:rPr>
                <w:sz w:val="20"/>
              </w:rPr>
              <w:t>органах</w:t>
            </w:r>
            <w:r>
              <w:rPr>
                <w:spacing w:val="-9"/>
                <w:sz w:val="20"/>
              </w:rPr>
              <w:t> </w:t>
            </w:r>
            <w:r>
              <w:rPr>
                <w:spacing w:val="-2"/>
                <w:sz w:val="20"/>
              </w:rPr>
              <w:t>брюшной</w:t>
            </w:r>
          </w:p>
        </w:tc>
        <w:tc>
          <w:tcPr>
            <w:tcW w:w="4396" w:type="dxa"/>
          </w:tcPr>
          <w:p>
            <w:pPr>
              <w:pStyle w:val="TableParagraph"/>
              <w:rPr>
                <w:sz w:val="16"/>
              </w:rPr>
            </w:pPr>
          </w:p>
        </w:tc>
        <w:tc>
          <w:tcPr>
            <w:tcW w:w="3250" w:type="dxa"/>
          </w:tcPr>
          <w:p>
            <w:pPr>
              <w:pStyle w:val="TableParagraph"/>
              <w:spacing w:line="210" w:lineRule="exact"/>
              <w:ind w:left="264" w:right="249"/>
              <w:jc w:val="center"/>
              <w:rPr>
                <w:sz w:val="20"/>
              </w:rPr>
            </w:pPr>
            <w:r>
              <w:rPr>
                <w:w w:val="95"/>
                <w:sz w:val="20"/>
              </w:rPr>
              <w:t>A16.30.025.005,</w:t>
            </w:r>
            <w:r>
              <w:rPr>
                <w:spacing w:val="54"/>
                <w:sz w:val="20"/>
              </w:rPr>
              <w:t> </w:t>
            </w:r>
            <w:r>
              <w:rPr>
                <w:spacing w:val="-2"/>
                <w:sz w:val="20"/>
              </w:rPr>
              <w:t>A16.30.038,</w:t>
            </w:r>
          </w:p>
        </w:tc>
        <w:tc>
          <w:tcPr>
            <w:tcW w:w="2626" w:type="dxa"/>
          </w:tcPr>
          <w:p>
            <w:pPr>
              <w:pStyle w:val="TableParagraph"/>
              <w:rPr>
                <w:sz w:val="16"/>
              </w:rPr>
            </w:pP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spacing w:line="210" w:lineRule="exact"/>
              <w:ind w:left="192"/>
              <w:rPr>
                <w:sz w:val="20"/>
              </w:rPr>
            </w:pPr>
            <w:r>
              <w:rPr>
                <w:sz w:val="20"/>
              </w:rPr>
              <w:t>полости</w:t>
            </w:r>
            <w:r>
              <w:rPr>
                <w:spacing w:val="-10"/>
                <w:sz w:val="20"/>
              </w:rPr>
              <w:t> </w:t>
            </w:r>
            <w:r>
              <w:rPr>
                <w:sz w:val="20"/>
              </w:rPr>
              <w:t>(уровень</w:t>
            </w:r>
            <w:r>
              <w:rPr>
                <w:spacing w:val="-7"/>
                <w:sz w:val="20"/>
              </w:rPr>
              <w:t> </w:t>
            </w:r>
            <w:r>
              <w:rPr>
                <w:spacing w:val="-5"/>
                <w:sz w:val="20"/>
              </w:rPr>
              <w:t>3)</w:t>
            </w:r>
          </w:p>
        </w:tc>
        <w:tc>
          <w:tcPr>
            <w:tcW w:w="4396" w:type="dxa"/>
          </w:tcPr>
          <w:p>
            <w:pPr>
              <w:pStyle w:val="TableParagraph"/>
              <w:rPr>
                <w:sz w:val="16"/>
              </w:rPr>
            </w:pPr>
          </w:p>
        </w:tc>
        <w:tc>
          <w:tcPr>
            <w:tcW w:w="3250" w:type="dxa"/>
          </w:tcPr>
          <w:p>
            <w:pPr>
              <w:pStyle w:val="TableParagraph"/>
              <w:spacing w:line="210" w:lineRule="exact"/>
              <w:ind w:left="264" w:right="247"/>
              <w:jc w:val="center"/>
              <w:rPr>
                <w:sz w:val="20"/>
              </w:rPr>
            </w:pPr>
            <w:r>
              <w:rPr>
                <w:sz w:val="20"/>
              </w:rPr>
              <w:t>A16.30.039,</w:t>
            </w:r>
            <w:r>
              <w:rPr>
                <w:spacing w:val="-9"/>
                <w:sz w:val="20"/>
              </w:rPr>
              <w:t> </w:t>
            </w:r>
            <w:r>
              <w:rPr>
                <w:spacing w:val="-2"/>
                <w:sz w:val="20"/>
              </w:rPr>
              <w:t>A16.30.040,</w:t>
            </w:r>
          </w:p>
        </w:tc>
        <w:tc>
          <w:tcPr>
            <w:tcW w:w="2626" w:type="dxa"/>
          </w:tcPr>
          <w:p>
            <w:pPr>
              <w:pStyle w:val="TableParagraph"/>
              <w:rPr>
                <w:sz w:val="16"/>
              </w:rPr>
            </w:pP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rPr>
                <w:sz w:val="16"/>
              </w:rPr>
            </w:pPr>
          </w:p>
        </w:tc>
        <w:tc>
          <w:tcPr>
            <w:tcW w:w="3250" w:type="dxa"/>
          </w:tcPr>
          <w:p>
            <w:pPr>
              <w:pStyle w:val="TableParagraph"/>
              <w:spacing w:line="209" w:lineRule="exact"/>
              <w:ind w:left="264" w:right="250"/>
              <w:jc w:val="center"/>
              <w:rPr>
                <w:sz w:val="20"/>
              </w:rPr>
            </w:pPr>
            <w:r>
              <w:rPr>
                <w:w w:val="95"/>
                <w:sz w:val="20"/>
              </w:rPr>
              <w:t>A16.30.043.002,</w:t>
            </w:r>
            <w:r>
              <w:rPr>
                <w:spacing w:val="54"/>
                <w:sz w:val="20"/>
              </w:rPr>
              <w:t> </w:t>
            </w:r>
            <w:r>
              <w:rPr>
                <w:spacing w:val="-2"/>
                <w:sz w:val="20"/>
              </w:rPr>
              <w:t>A16.30.043.003,</w:t>
            </w:r>
          </w:p>
        </w:tc>
        <w:tc>
          <w:tcPr>
            <w:tcW w:w="2626" w:type="dxa"/>
          </w:tcPr>
          <w:p>
            <w:pPr>
              <w:pStyle w:val="TableParagraph"/>
              <w:rPr>
                <w:sz w:val="16"/>
              </w:rPr>
            </w:pP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rPr>
                <w:sz w:val="16"/>
              </w:rPr>
            </w:pPr>
          </w:p>
        </w:tc>
        <w:tc>
          <w:tcPr>
            <w:tcW w:w="3250" w:type="dxa"/>
          </w:tcPr>
          <w:p>
            <w:pPr>
              <w:pStyle w:val="TableParagraph"/>
              <w:spacing w:line="209" w:lineRule="exact"/>
              <w:ind w:left="264" w:right="249"/>
              <w:jc w:val="center"/>
              <w:rPr>
                <w:sz w:val="20"/>
              </w:rPr>
            </w:pPr>
            <w:r>
              <w:rPr>
                <w:sz w:val="20"/>
              </w:rPr>
              <w:t>A16.30.047,</w:t>
            </w:r>
            <w:r>
              <w:rPr>
                <w:spacing w:val="-9"/>
                <w:sz w:val="20"/>
              </w:rPr>
              <w:t> </w:t>
            </w:r>
            <w:r>
              <w:rPr>
                <w:spacing w:val="-2"/>
                <w:sz w:val="20"/>
              </w:rPr>
              <w:t>A16.30.051.001,</w:t>
            </w:r>
          </w:p>
        </w:tc>
        <w:tc>
          <w:tcPr>
            <w:tcW w:w="2626" w:type="dxa"/>
          </w:tcPr>
          <w:p>
            <w:pPr>
              <w:pStyle w:val="TableParagraph"/>
              <w:rPr>
                <w:sz w:val="16"/>
              </w:rPr>
            </w:pPr>
          </w:p>
        </w:tc>
        <w:tc>
          <w:tcPr>
            <w:tcW w:w="778"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rPr>
                <w:sz w:val="18"/>
              </w:rPr>
            </w:pPr>
          </w:p>
        </w:tc>
        <w:tc>
          <w:tcPr>
            <w:tcW w:w="3250" w:type="dxa"/>
          </w:tcPr>
          <w:p>
            <w:pPr>
              <w:pStyle w:val="TableParagraph"/>
              <w:spacing w:line="226" w:lineRule="exact"/>
              <w:ind w:left="264" w:right="250"/>
              <w:jc w:val="center"/>
              <w:rPr>
                <w:sz w:val="20"/>
              </w:rPr>
            </w:pPr>
            <w:r>
              <w:rPr>
                <w:sz w:val="20"/>
              </w:rPr>
              <w:t>A16.30.059,</w:t>
            </w:r>
            <w:r>
              <w:rPr>
                <w:spacing w:val="-9"/>
                <w:sz w:val="20"/>
              </w:rPr>
              <w:t> </w:t>
            </w:r>
            <w:r>
              <w:rPr>
                <w:spacing w:val="-2"/>
                <w:sz w:val="20"/>
              </w:rPr>
              <w:t>A16.30.059.001</w:t>
            </w:r>
          </w:p>
        </w:tc>
        <w:tc>
          <w:tcPr>
            <w:tcW w:w="2626" w:type="dxa"/>
          </w:tcPr>
          <w:p>
            <w:pPr>
              <w:pStyle w:val="TableParagraph"/>
              <w:rPr>
                <w:sz w:val="18"/>
              </w:rPr>
            </w:pPr>
          </w:p>
        </w:tc>
        <w:tc>
          <w:tcPr>
            <w:tcW w:w="778"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st33</w:t>
            </w:r>
          </w:p>
        </w:tc>
        <w:tc>
          <w:tcPr>
            <w:tcW w:w="707" w:type="dxa"/>
          </w:tcPr>
          <w:p>
            <w:pPr>
              <w:pStyle w:val="TableParagraph"/>
              <w:spacing w:before="46"/>
              <w:ind w:left="261"/>
              <w:rPr>
                <w:sz w:val="20"/>
              </w:rPr>
            </w:pPr>
            <w:r>
              <w:rPr>
                <w:spacing w:val="-5"/>
                <w:sz w:val="20"/>
              </w:rPr>
              <w:t>33</w:t>
            </w:r>
          </w:p>
        </w:tc>
        <w:tc>
          <w:tcPr>
            <w:tcW w:w="2570" w:type="dxa"/>
          </w:tcPr>
          <w:p>
            <w:pPr>
              <w:pStyle w:val="TableParagraph"/>
              <w:rPr>
                <w:sz w:val="18"/>
              </w:rPr>
            </w:pPr>
          </w:p>
        </w:tc>
        <w:tc>
          <w:tcPr>
            <w:tcW w:w="7646" w:type="dxa"/>
            <w:gridSpan w:val="2"/>
          </w:tcPr>
          <w:p>
            <w:pPr>
              <w:pStyle w:val="TableParagraph"/>
              <w:spacing w:before="46"/>
              <w:ind w:left="2576" w:right="2668"/>
              <w:jc w:val="center"/>
              <w:rPr>
                <w:sz w:val="20"/>
              </w:rPr>
            </w:pPr>
            <w:r>
              <w:rPr>
                <w:sz w:val="20"/>
              </w:rPr>
              <w:t>Хирургия</w:t>
            </w:r>
            <w:r>
              <w:rPr>
                <w:spacing w:val="-12"/>
                <w:sz w:val="20"/>
              </w:rPr>
              <w:t> </w:t>
            </w:r>
            <w:r>
              <w:rPr>
                <w:spacing w:val="-2"/>
                <w:sz w:val="20"/>
              </w:rPr>
              <w:t>(комбустиология)</w:t>
            </w:r>
          </w:p>
        </w:tc>
        <w:tc>
          <w:tcPr>
            <w:tcW w:w="2626" w:type="dxa"/>
          </w:tcPr>
          <w:p>
            <w:pPr>
              <w:pStyle w:val="TableParagraph"/>
              <w:rPr>
                <w:sz w:val="18"/>
              </w:rPr>
            </w:pPr>
          </w:p>
        </w:tc>
        <w:tc>
          <w:tcPr>
            <w:tcW w:w="778" w:type="dxa"/>
          </w:tcPr>
          <w:p>
            <w:pPr>
              <w:pStyle w:val="TableParagraph"/>
              <w:spacing w:before="46"/>
              <w:ind w:right="47"/>
              <w:jc w:val="right"/>
              <w:rPr>
                <w:sz w:val="20"/>
              </w:rPr>
            </w:pPr>
            <w:r>
              <w:rPr>
                <w:spacing w:val="-4"/>
                <w:sz w:val="20"/>
              </w:rPr>
              <w:t>1,95</w:t>
            </w:r>
          </w:p>
        </w:tc>
      </w:tr>
      <w:tr>
        <w:trPr>
          <w:trHeight w:val="560" w:hRule="atLeast"/>
        </w:trPr>
        <w:tc>
          <w:tcPr>
            <w:tcW w:w="946" w:type="dxa"/>
          </w:tcPr>
          <w:p>
            <w:pPr>
              <w:pStyle w:val="TableParagraph"/>
              <w:spacing w:before="45"/>
              <w:ind w:left="39" w:right="198"/>
              <w:jc w:val="center"/>
              <w:rPr>
                <w:sz w:val="20"/>
              </w:rPr>
            </w:pPr>
            <w:r>
              <w:rPr>
                <w:spacing w:val="-2"/>
                <w:sz w:val="20"/>
              </w:rPr>
              <w:t>st33.001</w:t>
            </w:r>
          </w:p>
        </w:tc>
        <w:tc>
          <w:tcPr>
            <w:tcW w:w="707" w:type="dxa"/>
          </w:tcPr>
          <w:p>
            <w:pPr>
              <w:pStyle w:val="TableParagraph"/>
              <w:spacing w:before="45"/>
              <w:ind w:left="210"/>
              <w:rPr>
                <w:sz w:val="20"/>
              </w:rPr>
            </w:pPr>
            <w:r>
              <w:rPr>
                <w:spacing w:val="-5"/>
                <w:sz w:val="20"/>
              </w:rPr>
              <w:t>335</w:t>
            </w:r>
          </w:p>
        </w:tc>
        <w:tc>
          <w:tcPr>
            <w:tcW w:w="2570" w:type="dxa"/>
          </w:tcPr>
          <w:p>
            <w:pPr>
              <w:pStyle w:val="TableParagraph"/>
              <w:spacing w:before="45"/>
              <w:ind w:left="192"/>
              <w:rPr>
                <w:sz w:val="20"/>
              </w:rPr>
            </w:pPr>
            <w:r>
              <w:rPr>
                <w:sz w:val="20"/>
              </w:rPr>
              <w:t>Отморожения</w:t>
            </w:r>
            <w:r>
              <w:rPr>
                <w:spacing w:val="-13"/>
                <w:sz w:val="20"/>
              </w:rPr>
              <w:t> </w:t>
            </w:r>
            <w:r>
              <w:rPr>
                <w:sz w:val="20"/>
              </w:rPr>
              <w:t>(уровень</w:t>
            </w:r>
            <w:r>
              <w:rPr>
                <w:spacing w:val="-11"/>
                <w:sz w:val="20"/>
              </w:rPr>
              <w:t> </w:t>
            </w:r>
            <w:r>
              <w:rPr>
                <w:spacing w:val="-5"/>
                <w:sz w:val="20"/>
              </w:rPr>
              <w:t>1)</w:t>
            </w:r>
          </w:p>
        </w:tc>
        <w:tc>
          <w:tcPr>
            <w:tcW w:w="4396" w:type="dxa"/>
          </w:tcPr>
          <w:p>
            <w:pPr>
              <w:pStyle w:val="TableParagraph"/>
              <w:spacing w:before="45"/>
              <w:ind w:left="1055" w:hanging="884"/>
              <w:rPr>
                <w:sz w:val="20"/>
              </w:rPr>
            </w:pPr>
            <w:r>
              <w:rPr>
                <w:sz w:val="20"/>
              </w:rPr>
              <w:t>T33.0,</w:t>
            </w:r>
            <w:r>
              <w:rPr>
                <w:spacing w:val="-9"/>
                <w:sz w:val="20"/>
              </w:rPr>
              <w:t> </w:t>
            </w:r>
            <w:r>
              <w:rPr>
                <w:sz w:val="20"/>
              </w:rPr>
              <w:t>T33.1,</w:t>
            </w:r>
            <w:r>
              <w:rPr>
                <w:spacing w:val="-7"/>
                <w:sz w:val="20"/>
              </w:rPr>
              <w:t> </w:t>
            </w:r>
            <w:r>
              <w:rPr>
                <w:sz w:val="20"/>
              </w:rPr>
              <w:t>T33.2,</w:t>
            </w:r>
            <w:r>
              <w:rPr>
                <w:spacing w:val="-7"/>
                <w:sz w:val="20"/>
              </w:rPr>
              <w:t> </w:t>
            </w:r>
            <w:r>
              <w:rPr>
                <w:sz w:val="20"/>
              </w:rPr>
              <w:t>T33.3,</w:t>
            </w:r>
            <w:r>
              <w:rPr>
                <w:spacing w:val="-7"/>
                <w:sz w:val="20"/>
              </w:rPr>
              <w:t> </w:t>
            </w:r>
            <w:r>
              <w:rPr>
                <w:sz w:val="20"/>
              </w:rPr>
              <w:t>T33.4,</w:t>
            </w:r>
            <w:r>
              <w:rPr>
                <w:spacing w:val="-7"/>
                <w:sz w:val="20"/>
              </w:rPr>
              <w:t> </w:t>
            </w:r>
            <w:r>
              <w:rPr>
                <w:sz w:val="20"/>
              </w:rPr>
              <w:t>T33.5,</w:t>
            </w:r>
            <w:r>
              <w:rPr>
                <w:spacing w:val="-7"/>
                <w:sz w:val="20"/>
              </w:rPr>
              <w:t> </w:t>
            </w:r>
            <w:r>
              <w:rPr>
                <w:sz w:val="20"/>
              </w:rPr>
              <w:t>T33.6, T33.7, T33.8, T33.9, T35.0</w:t>
            </w:r>
          </w:p>
        </w:tc>
        <w:tc>
          <w:tcPr>
            <w:tcW w:w="3250" w:type="dxa"/>
          </w:tcPr>
          <w:p>
            <w:pPr>
              <w:pStyle w:val="TableParagraph"/>
              <w:spacing w:before="45"/>
              <w:ind w:left="18"/>
              <w:jc w:val="center"/>
              <w:rPr>
                <w:sz w:val="20"/>
              </w:rPr>
            </w:pPr>
            <w:r>
              <w:rPr>
                <w:w w:val="99"/>
                <w:sz w:val="20"/>
              </w:rPr>
              <w:t>-</w:t>
            </w:r>
          </w:p>
        </w:tc>
        <w:tc>
          <w:tcPr>
            <w:tcW w:w="2626" w:type="dxa"/>
          </w:tcPr>
          <w:p>
            <w:pPr>
              <w:pStyle w:val="TableParagraph"/>
              <w:spacing w:before="45"/>
              <w:ind w:right="122"/>
              <w:jc w:val="center"/>
              <w:rPr>
                <w:sz w:val="20"/>
              </w:rPr>
            </w:pPr>
            <w:r>
              <w:rPr>
                <w:w w:val="99"/>
                <w:sz w:val="20"/>
              </w:rPr>
              <w:t>-</w:t>
            </w:r>
          </w:p>
        </w:tc>
        <w:tc>
          <w:tcPr>
            <w:tcW w:w="778" w:type="dxa"/>
          </w:tcPr>
          <w:p>
            <w:pPr>
              <w:pStyle w:val="TableParagraph"/>
              <w:spacing w:before="45"/>
              <w:ind w:right="47"/>
              <w:jc w:val="right"/>
              <w:rPr>
                <w:sz w:val="20"/>
              </w:rPr>
            </w:pPr>
            <w:r>
              <w:rPr>
                <w:spacing w:val="-4"/>
                <w:sz w:val="20"/>
              </w:rPr>
              <w:t>1,17</w:t>
            </w: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st33.002</w:t>
            </w:r>
          </w:p>
        </w:tc>
        <w:tc>
          <w:tcPr>
            <w:tcW w:w="707" w:type="dxa"/>
          </w:tcPr>
          <w:p>
            <w:pPr>
              <w:pStyle w:val="TableParagraph"/>
              <w:spacing w:line="214" w:lineRule="exact" w:before="46"/>
              <w:ind w:left="210"/>
              <w:rPr>
                <w:sz w:val="20"/>
              </w:rPr>
            </w:pPr>
            <w:r>
              <w:rPr>
                <w:spacing w:val="-5"/>
                <w:sz w:val="20"/>
              </w:rPr>
              <w:t>336</w:t>
            </w:r>
          </w:p>
        </w:tc>
        <w:tc>
          <w:tcPr>
            <w:tcW w:w="2570" w:type="dxa"/>
          </w:tcPr>
          <w:p>
            <w:pPr>
              <w:pStyle w:val="TableParagraph"/>
              <w:spacing w:line="214" w:lineRule="exact" w:before="46"/>
              <w:ind w:left="192"/>
              <w:rPr>
                <w:sz w:val="20"/>
              </w:rPr>
            </w:pPr>
            <w:r>
              <w:rPr>
                <w:sz w:val="20"/>
              </w:rPr>
              <w:t>Отморожения</w:t>
            </w:r>
            <w:r>
              <w:rPr>
                <w:spacing w:val="-13"/>
                <w:sz w:val="20"/>
              </w:rPr>
              <w:t> </w:t>
            </w:r>
            <w:r>
              <w:rPr>
                <w:sz w:val="20"/>
              </w:rPr>
              <w:t>(уровень</w:t>
            </w:r>
            <w:r>
              <w:rPr>
                <w:spacing w:val="-11"/>
                <w:sz w:val="20"/>
              </w:rPr>
              <w:t> </w:t>
            </w:r>
            <w:r>
              <w:rPr>
                <w:spacing w:val="-5"/>
                <w:sz w:val="20"/>
              </w:rPr>
              <w:t>2)</w:t>
            </w:r>
          </w:p>
        </w:tc>
        <w:tc>
          <w:tcPr>
            <w:tcW w:w="4396" w:type="dxa"/>
          </w:tcPr>
          <w:p>
            <w:pPr>
              <w:pStyle w:val="TableParagraph"/>
              <w:spacing w:line="214" w:lineRule="exact" w:before="46"/>
              <w:ind w:left="165" w:right="264"/>
              <w:jc w:val="center"/>
              <w:rPr>
                <w:sz w:val="20"/>
              </w:rPr>
            </w:pPr>
            <w:r>
              <w:rPr>
                <w:sz w:val="20"/>
              </w:rPr>
              <w:t>T34,</w:t>
            </w:r>
            <w:r>
              <w:rPr>
                <w:spacing w:val="-6"/>
                <w:sz w:val="20"/>
              </w:rPr>
              <w:t> </w:t>
            </w:r>
            <w:r>
              <w:rPr>
                <w:sz w:val="20"/>
              </w:rPr>
              <w:t>T34.0,</w:t>
            </w:r>
            <w:r>
              <w:rPr>
                <w:spacing w:val="-7"/>
                <w:sz w:val="20"/>
              </w:rPr>
              <w:t> </w:t>
            </w:r>
            <w:r>
              <w:rPr>
                <w:sz w:val="20"/>
              </w:rPr>
              <w:t>T34.1,</w:t>
            </w:r>
            <w:r>
              <w:rPr>
                <w:spacing w:val="-5"/>
                <w:sz w:val="20"/>
              </w:rPr>
              <w:t> </w:t>
            </w:r>
            <w:r>
              <w:rPr>
                <w:sz w:val="20"/>
              </w:rPr>
              <w:t>T34.2,</w:t>
            </w:r>
            <w:r>
              <w:rPr>
                <w:spacing w:val="-5"/>
                <w:sz w:val="20"/>
              </w:rPr>
              <w:t> </w:t>
            </w:r>
            <w:r>
              <w:rPr>
                <w:sz w:val="20"/>
              </w:rPr>
              <w:t>T34.3,</w:t>
            </w:r>
            <w:r>
              <w:rPr>
                <w:spacing w:val="-5"/>
                <w:sz w:val="20"/>
              </w:rPr>
              <w:t> </w:t>
            </w:r>
            <w:r>
              <w:rPr>
                <w:sz w:val="20"/>
              </w:rPr>
              <w:t>T34.4,</w:t>
            </w:r>
            <w:r>
              <w:rPr>
                <w:spacing w:val="-5"/>
                <w:sz w:val="20"/>
              </w:rPr>
              <w:t> </w:t>
            </w:r>
            <w:r>
              <w:rPr>
                <w:spacing w:val="-2"/>
                <w:sz w:val="20"/>
              </w:rPr>
              <w:t>T34.5,</w:t>
            </w:r>
          </w:p>
        </w:tc>
        <w:tc>
          <w:tcPr>
            <w:tcW w:w="3250" w:type="dxa"/>
          </w:tcPr>
          <w:p>
            <w:pPr>
              <w:pStyle w:val="TableParagraph"/>
              <w:spacing w:line="214" w:lineRule="exact" w:before="46"/>
              <w:ind w:left="18"/>
              <w:jc w:val="center"/>
              <w:rPr>
                <w:sz w:val="20"/>
              </w:rPr>
            </w:pPr>
            <w:r>
              <w:rPr>
                <w:w w:val="99"/>
                <w:sz w:val="20"/>
              </w:rPr>
              <w:t>-</w:t>
            </w:r>
          </w:p>
        </w:tc>
        <w:tc>
          <w:tcPr>
            <w:tcW w:w="2626" w:type="dxa"/>
          </w:tcPr>
          <w:p>
            <w:pPr>
              <w:pStyle w:val="TableParagraph"/>
              <w:spacing w:line="214" w:lineRule="exact" w:before="46"/>
              <w:ind w:right="122"/>
              <w:jc w:val="center"/>
              <w:rPr>
                <w:sz w:val="20"/>
              </w:rPr>
            </w:pPr>
            <w:r>
              <w:rPr>
                <w:w w:val="99"/>
                <w:sz w:val="20"/>
              </w:rPr>
              <w:t>-</w:t>
            </w:r>
          </w:p>
        </w:tc>
        <w:tc>
          <w:tcPr>
            <w:tcW w:w="778" w:type="dxa"/>
          </w:tcPr>
          <w:p>
            <w:pPr>
              <w:pStyle w:val="TableParagraph"/>
              <w:spacing w:line="214" w:lineRule="exact" w:before="46"/>
              <w:ind w:right="47"/>
              <w:jc w:val="right"/>
              <w:rPr>
                <w:sz w:val="20"/>
              </w:rPr>
            </w:pPr>
            <w:r>
              <w:rPr>
                <w:spacing w:val="-4"/>
                <w:sz w:val="20"/>
              </w:rPr>
              <w:t>2,91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T34.6,</w:t>
            </w:r>
            <w:r>
              <w:rPr>
                <w:spacing w:val="-7"/>
                <w:sz w:val="20"/>
              </w:rPr>
              <w:t> </w:t>
            </w:r>
            <w:r>
              <w:rPr>
                <w:sz w:val="20"/>
              </w:rPr>
              <w:t>T34.7,</w:t>
            </w:r>
            <w:r>
              <w:rPr>
                <w:spacing w:val="-5"/>
                <w:sz w:val="20"/>
              </w:rPr>
              <w:t> </w:t>
            </w:r>
            <w:r>
              <w:rPr>
                <w:sz w:val="20"/>
              </w:rPr>
              <w:t>T34.8,</w:t>
            </w:r>
            <w:r>
              <w:rPr>
                <w:spacing w:val="-5"/>
                <w:sz w:val="20"/>
              </w:rPr>
              <w:t> </w:t>
            </w:r>
            <w:r>
              <w:rPr>
                <w:sz w:val="20"/>
              </w:rPr>
              <w:t>T34.9,</w:t>
            </w:r>
            <w:r>
              <w:rPr>
                <w:spacing w:val="-5"/>
                <w:sz w:val="20"/>
              </w:rPr>
              <w:t> </w:t>
            </w:r>
            <w:r>
              <w:rPr>
                <w:sz w:val="20"/>
              </w:rPr>
              <w:t>T35.1,</w:t>
            </w:r>
            <w:r>
              <w:rPr>
                <w:spacing w:val="-5"/>
                <w:sz w:val="20"/>
              </w:rPr>
              <w:t> </w:t>
            </w:r>
            <w:r>
              <w:rPr>
                <w:sz w:val="20"/>
              </w:rPr>
              <w:t>T35.2,</w:t>
            </w:r>
            <w:r>
              <w:rPr>
                <w:spacing w:val="-5"/>
                <w:sz w:val="20"/>
              </w:rPr>
              <w:t> </w:t>
            </w:r>
            <w:r>
              <w:rPr>
                <w:spacing w:val="-2"/>
                <w:sz w:val="20"/>
              </w:rPr>
              <w:t>T35.3,</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spacing w:line="226" w:lineRule="exact"/>
              <w:ind w:left="168" w:right="264"/>
              <w:jc w:val="center"/>
              <w:rPr>
                <w:sz w:val="20"/>
              </w:rPr>
            </w:pPr>
            <w:r>
              <w:rPr>
                <w:sz w:val="20"/>
              </w:rPr>
              <w:t>T35.4,</w:t>
            </w:r>
            <w:r>
              <w:rPr>
                <w:spacing w:val="-7"/>
                <w:sz w:val="20"/>
              </w:rPr>
              <w:t> </w:t>
            </w:r>
            <w:r>
              <w:rPr>
                <w:sz w:val="20"/>
              </w:rPr>
              <w:t>T35.5,</w:t>
            </w:r>
            <w:r>
              <w:rPr>
                <w:spacing w:val="-5"/>
                <w:sz w:val="20"/>
              </w:rPr>
              <w:t> </w:t>
            </w:r>
            <w:r>
              <w:rPr>
                <w:sz w:val="20"/>
              </w:rPr>
              <w:t>T35.6,</w:t>
            </w:r>
            <w:r>
              <w:rPr>
                <w:spacing w:val="-5"/>
                <w:sz w:val="20"/>
              </w:rPr>
              <w:t> </w:t>
            </w:r>
            <w:r>
              <w:rPr>
                <w:spacing w:val="-4"/>
                <w:sz w:val="20"/>
              </w:rPr>
              <w:t>T35.7</w:t>
            </w:r>
          </w:p>
        </w:tc>
        <w:tc>
          <w:tcPr>
            <w:tcW w:w="3250" w:type="dxa"/>
          </w:tcPr>
          <w:p>
            <w:pPr>
              <w:pStyle w:val="TableParagraph"/>
              <w:rPr>
                <w:sz w:val="18"/>
              </w:rPr>
            </w:pPr>
          </w:p>
        </w:tc>
        <w:tc>
          <w:tcPr>
            <w:tcW w:w="2626" w:type="dxa"/>
          </w:tcPr>
          <w:p>
            <w:pPr>
              <w:pStyle w:val="TableParagraph"/>
              <w:rPr>
                <w:sz w:val="18"/>
              </w:rPr>
            </w:pPr>
          </w:p>
        </w:tc>
        <w:tc>
          <w:tcPr>
            <w:tcW w:w="778"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st33.003</w:t>
            </w:r>
          </w:p>
        </w:tc>
        <w:tc>
          <w:tcPr>
            <w:tcW w:w="707" w:type="dxa"/>
          </w:tcPr>
          <w:p>
            <w:pPr>
              <w:pStyle w:val="TableParagraph"/>
              <w:spacing w:line="215" w:lineRule="exact" w:before="46"/>
              <w:ind w:left="210"/>
              <w:rPr>
                <w:sz w:val="20"/>
              </w:rPr>
            </w:pPr>
            <w:r>
              <w:rPr>
                <w:spacing w:val="-5"/>
                <w:sz w:val="20"/>
              </w:rPr>
              <w:t>337</w:t>
            </w:r>
          </w:p>
        </w:tc>
        <w:tc>
          <w:tcPr>
            <w:tcW w:w="2570" w:type="dxa"/>
          </w:tcPr>
          <w:p>
            <w:pPr>
              <w:pStyle w:val="TableParagraph"/>
              <w:spacing w:line="215"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1)</w:t>
            </w:r>
          </w:p>
        </w:tc>
        <w:tc>
          <w:tcPr>
            <w:tcW w:w="4396" w:type="dxa"/>
          </w:tcPr>
          <w:p>
            <w:pPr>
              <w:pStyle w:val="TableParagraph"/>
              <w:spacing w:line="215" w:lineRule="exact" w:before="46"/>
              <w:ind w:left="167" w:right="264"/>
              <w:jc w:val="center"/>
              <w:rPr>
                <w:sz w:val="20"/>
              </w:rPr>
            </w:pPr>
            <w:r>
              <w:rPr>
                <w:sz w:val="20"/>
              </w:rPr>
              <w:t>T20.1,</w:t>
            </w:r>
            <w:r>
              <w:rPr>
                <w:spacing w:val="-7"/>
                <w:sz w:val="20"/>
              </w:rPr>
              <w:t> </w:t>
            </w:r>
            <w:r>
              <w:rPr>
                <w:sz w:val="20"/>
              </w:rPr>
              <w:t>T20.2,</w:t>
            </w:r>
            <w:r>
              <w:rPr>
                <w:spacing w:val="-5"/>
                <w:sz w:val="20"/>
              </w:rPr>
              <w:t> </w:t>
            </w:r>
            <w:r>
              <w:rPr>
                <w:sz w:val="20"/>
              </w:rPr>
              <w:t>T20.5,</w:t>
            </w:r>
            <w:r>
              <w:rPr>
                <w:spacing w:val="-5"/>
                <w:sz w:val="20"/>
              </w:rPr>
              <w:t> </w:t>
            </w:r>
            <w:r>
              <w:rPr>
                <w:sz w:val="20"/>
              </w:rPr>
              <w:t>T20.6,</w:t>
            </w:r>
            <w:r>
              <w:rPr>
                <w:spacing w:val="-5"/>
                <w:sz w:val="20"/>
              </w:rPr>
              <w:t> </w:t>
            </w:r>
            <w:r>
              <w:rPr>
                <w:sz w:val="20"/>
              </w:rPr>
              <w:t>T21.1,</w:t>
            </w:r>
            <w:r>
              <w:rPr>
                <w:spacing w:val="-5"/>
                <w:sz w:val="20"/>
              </w:rPr>
              <w:t> </w:t>
            </w:r>
            <w:r>
              <w:rPr>
                <w:sz w:val="20"/>
              </w:rPr>
              <w:t>T21.2,</w:t>
            </w:r>
            <w:r>
              <w:rPr>
                <w:spacing w:val="-5"/>
                <w:sz w:val="20"/>
              </w:rPr>
              <w:t> </w:t>
            </w:r>
            <w:r>
              <w:rPr>
                <w:spacing w:val="-2"/>
                <w:sz w:val="20"/>
              </w:rPr>
              <w:t>T21.5,</w:t>
            </w:r>
          </w:p>
        </w:tc>
        <w:tc>
          <w:tcPr>
            <w:tcW w:w="3250" w:type="dxa"/>
          </w:tcPr>
          <w:p>
            <w:pPr>
              <w:pStyle w:val="TableParagraph"/>
              <w:spacing w:line="215" w:lineRule="exact" w:before="46"/>
              <w:ind w:left="18"/>
              <w:jc w:val="center"/>
              <w:rPr>
                <w:sz w:val="20"/>
              </w:rPr>
            </w:pPr>
            <w:r>
              <w:rPr>
                <w:w w:val="99"/>
                <w:sz w:val="20"/>
              </w:rPr>
              <w:t>-</w:t>
            </w:r>
          </w:p>
        </w:tc>
        <w:tc>
          <w:tcPr>
            <w:tcW w:w="2626" w:type="dxa"/>
          </w:tcPr>
          <w:p>
            <w:pPr>
              <w:pStyle w:val="TableParagraph"/>
              <w:spacing w:line="215" w:lineRule="exact" w:before="46"/>
              <w:ind w:left="244" w:right="365"/>
              <w:jc w:val="center"/>
              <w:rPr>
                <w:sz w:val="20"/>
              </w:rPr>
            </w:pPr>
            <w:r>
              <w:rPr>
                <w:spacing w:val="-2"/>
                <w:sz w:val="20"/>
              </w:rPr>
              <w:t>Дополнительные</w:t>
            </w:r>
          </w:p>
        </w:tc>
        <w:tc>
          <w:tcPr>
            <w:tcW w:w="778" w:type="dxa"/>
          </w:tcPr>
          <w:p>
            <w:pPr>
              <w:pStyle w:val="TableParagraph"/>
              <w:spacing w:line="215" w:lineRule="exact" w:before="46"/>
              <w:ind w:right="47"/>
              <w:jc w:val="right"/>
              <w:rPr>
                <w:sz w:val="20"/>
              </w:rPr>
            </w:pPr>
            <w:r>
              <w:rPr>
                <w:spacing w:val="-4"/>
                <w:sz w:val="20"/>
              </w:rPr>
              <w:t>1,21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73" w:right="263"/>
              <w:jc w:val="center"/>
              <w:rPr>
                <w:sz w:val="20"/>
              </w:rPr>
            </w:pPr>
            <w:r>
              <w:rPr>
                <w:sz w:val="20"/>
              </w:rPr>
              <w:t>T21.6,</w:t>
            </w:r>
            <w:r>
              <w:rPr>
                <w:spacing w:val="-7"/>
                <w:sz w:val="20"/>
              </w:rPr>
              <w:t> </w:t>
            </w:r>
            <w:r>
              <w:rPr>
                <w:sz w:val="20"/>
              </w:rPr>
              <w:t>T22.1,</w:t>
            </w:r>
            <w:r>
              <w:rPr>
                <w:spacing w:val="-5"/>
                <w:sz w:val="20"/>
              </w:rPr>
              <w:t> </w:t>
            </w:r>
            <w:r>
              <w:rPr>
                <w:sz w:val="20"/>
              </w:rPr>
              <w:t>T22.2,</w:t>
            </w:r>
            <w:r>
              <w:rPr>
                <w:spacing w:val="-5"/>
                <w:sz w:val="20"/>
              </w:rPr>
              <w:t> </w:t>
            </w:r>
            <w:r>
              <w:rPr>
                <w:sz w:val="20"/>
              </w:rPr>
              <w:t>T22.5,</w:t>
            </w:r>
            <w:r>
              <w:rPr>
                <w:spacing w:val="-5"/>
                <w:sz w:val="20"/>
              </w:rPr>
              <w:t> </w:t>
            </w:r>
            <w:r>
              <w:rPr>
                <w:sz w:val="20"/>
              </w:rPr>
              <w:t>T22.6,</w:t>
            </w:r>
            <w:r>
              <w:rPr>
                <w:spacing w:val="-5"/>
                <w:sz w:val="20"/>
              </w:rPr>
              <w:t> </w:t>
            </w:r>
            <w:r>
              <w:rPr>
                <w:sz w:val="20"/>
              </w:rPr>
              <w:t>T23.1,</w:t>
            </w:r>
            <w:r>
              <w:rPr>
                <w:spacing w:val="1"/>
                <w:sz w:val="20"/>
              </w:rPr>
              <w:t> </w:t>
            </w:r>
            <w:r>
              <w:rPr>
                <w:spacing w:val="-2"/>
                <w:sz w:val="20"/>
              </w:rPr>
              <w:t>T23.2,</w:t>
            </w:r>
          </w:p>
        </w:tc>
        <w:tc>
          <w:tcPr>
            <w:tcW w:w="3250" w:type="dxa"/>
          </w:tcPr>
          <w:p>
            <w:pPr>
              <w:pStyle w:val="TableParagraph"/>
              <w:rPr>
                <w:sz w:val="16"/>
              </w:rPr>
            </w:pPr>
          </w:p>
        </w:tc>
        <w:tc>
          <w:tcPr>
            <w:tcW w:w="2626" w:type="dxa"/>
          </w:tcPr>
          <w:p>
            <w:pPr>
              <w:pStyle w:val="TableParagraph"/>
              <w:spacing w:line="209" w:lineRule="exact"/>
              <w:ind w:left="244" w:right="364"/>
              <w:jc w:val="center"/>
              <w:rPr>
                <w:sz w:val="20"/>
              </w:rPr>
            </w:pPr>
            <w:r>
              <w:rPr>
                <w:sz w:val="20"/>
              </w:rPr>
              <w:t>диагнозы:</w:t>
            </w:r>
            <w:r>
              <w:rPr>
                <w:spacing w:val="-7"/>
                <w:sz w:val="20"/>
              </w:rPr>
              <w:t> </w:t>
            </w:r>
            <w:r>
              <w:rPr>
                <w:sz w:val="20"/>
              </w:rPr>
              <w:t>T31.0,</w:t>
            </w:r>
            <w:r>
              <w:rPr>
                <w:spacing w:val="-8"/>
                <w:sz w:val="20"/>
              </w:rPr>
              <w:t> </w:t>
            </w:r>
            <w:r>
              <w:rPr>
                <w:spacing w:val="-2"/>
                <w:sz w:val="20"/>
              </w:rPr>
              <w:t>T32.0</w:t>
            </w: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T23.5,</w:t>
            </w:r>
            <w:r>
              <w:rPr>
                <w:spacing w:val="-7"/>
                <w:sz w:val="20"/>
              </w:rPr>
              <w:t> </w:t>
            </w:r>
            <w:r>
              <w:rPr>
                <w:sz w:val="20"/>
              </w:rPr>
              <w:t>T23.6,</w:t>
            </w:r>
            <w:r>
              <w:rPr>
                <w:spacing w:val="-5"/>
                <w:sz w:val="20"/>
              </w:rPr>
              <w:t> </w:t>
            </w:r>
            <w:r>
              <w:rPr>
                <w:sz w:val="20"/>
              </w:rPr>
              <w:t>T24.1,</w:t>
            </w:r>
            <w:r>
              <w:rPr>
                <w:spacing w:val="-5"/>
                <w:sz w:val="20"/>
              </w:rPr>
              <w:t> </w:t>
            </w:r>
            <w:r>
              <w:rPr>
                <w:sz w:val="20"/>
              </w:rPr>
              <w:t>T24.2,</w:t>
            </w:r>
            <w:r>
              <w:rPr>
                <w:spacing w:val="-5"/>
                <w:sz w:val="20"/>
              </w:rPr>
              <w:t> </w:t>
            </w:r>
            <w:r>
              <w:rPr>
                <w:sz w:val="20"/>
              </w:rPr>
              <w:t>T24.5,</w:t>
            </w:r>
            <w:r>
              <w:rPr>
                <w:spacing w:val="-5"/>
                <w:sz w:val="20"/>
              </w:rPr>
              <w:t> </w:t>
            </w:r>
            <w:r>
              <w:rPr>
                <w:sz w:val="20"/>
              </w:rPr>
              <w:t>T24.6,</w:t>
            </w:r>
            <w:r>
              <w:rPr>
                <w:spacing w:val="-5"/>
                <w:sz w:val="20"/>
              </w:rPr>
              <w:t> </w:t>
            </w:r>
            <w:r>
              <w:rPr>
                <w:spacing w:val="-2"/>
                <w:sz w:val="20"/>
              </w:rPr>
              <w:t>T25.1,</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T25.2,</w:t>
            </w:r>
            <w:r>
              <w:rPr>
                <w:spacing w:val="-7"/>
                <w:sz w:val="20"/>
              </w:rPr>
              <w:t> </w:t>
            </w:r>
            <w:r>
              <w:rPr>
                <w:sz w:val="20"/>
              </w:rPr>
              <w:t>T25.5,</w:t>
            </w:r>
            <w:r>
              <w:rPr>
                <w:spacing w:val="-5"/>
                <w:sz w:val="20"/>
              </w:rPr>
              <w:t> </w:t>
            </w:r>
            <w:r>
              <w:rPr>
                <w:sz w:val="20"/>
              </w:rPr>
              <w:t>T25.6,</w:t>
            </w:r>
            <w:r>
              <w:rPr>
                <w:spacing w:val="-5"/>
                <w:sz w:val="20"/>
              </w:rPr>
              <w:t> </w:t>
            </w:r>
            <w:r>
              <w:rPr>
                <w:sz w:val="20"/>
              </w:rPr>
              <w:t>T29.1,</w:t>
            </w:r>
            <w:r>
              <w:rPr>
                <w:spacing w:val="-5"/>
                <w:sz w:val="20"/>
              </w:rPr>
              <w:t> </w:t>
            </w:r>
            <w:r>
              <w:rPr>
                <w:sz w:val="20"/>
              </w:rPr>
              <w:t>T29.2,</w:t>
            </w:r>
            <w:r>
              <w:rPr>
                <w:spacing w:val="-5"/>
                <w:sz w:val="20"/>
              </w:rPr>
              <w:t> </w:t>
            </w:r>
            <w:r>
              <w:rPr>
                <w:sz w:val="20"/>
              </w:rPr>
              <w:t>T29.5,</w:t>
            </w:r>
            <w:r>
              <w:rPr>
                <w:spacing w:val="-5"/>
                <w:sz w:val="20"/>
              </w:rPr>
              <w:t> </w:t>
            </w:r>
            <w:r>
              <w:rPr>
                <w:spacing w:val="-2"/>
                <w:sz w:val="20"/>
              </w:rPr>
              <w:t>T29.6,</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spacing w:line="226" w:lineRule="exact"/>
              <w:ind w:left="169" w:right="264"/>
              <w:jc w:val="center"/>
              <w:rPr>
                <w:sz w:val="20"/>
              </w:rPr>
            </w:pPr>
            <w:r>
              <w:rPr>
                <w:sz w:val="20"/>
              </w:rPr>
              <w:t>T30.0,</w:t>
            </w:r>
            <w:r>
              <w:rPr>
                <w:spacing w:val="-7"/>
                <w:sz w:val="20"/>
              </w:rPr>
              <w:t> </w:t>
            </w:r>
            <w:r>
              <w:rPr>
                <w:sz w:val="20"/>
              </w:rPr>
              <w:t>T30.1,</w:t>
            </w:r>
            <w:r>
              <w:rPr>
                <w:spacing w:val="-5"/>
                <w:sz w:val="20"/>
              </w:rPr>
              <w:t> </w:t>
            </w:r>
            <w:r>
              <w:rPr>
                <w:sz w:val="20"/>
              </w:rPr>
              <w:t>T30.2,</w:t>
            </w:r>
            <w:r>
              <w:rPr>
                <w:spacing w:val="-5"/>
                <w:sz w:val="20"/>
              </w:rPr>
              <w:t> </w:t>
            </w:r>
            <w:r>
              <w:rPr>
                <w:sz w:val="20"/>
              </w:rPr>
              <w:t>T30.4,</w:t>
            </w:r>
            <w:r>
              <w:rPr>
                <w:spacing w:val="-4"/>
                <w:sz w:val="20"/>
              </w:rPr>
              <w:t> </w:t>
            </w:r>
            <w:r>
              <w:rPr>
                <w:spacing w:val="-2"/>
                <w:sz w:val="20"/>
              </w:rPr>
              <w:t>T30.5</w:t>
            </w:r>
          </w:p>
        </w:tc>
        <w:tc>
          <w:tcPr>
            <w:tcW w:w="3250" w:type="dxa"/>
          </w:tcPr>
          <w:p>
            <w:pPr>
              <w:pStyle w:val="TableParagraph"/>
              <w:rPr>
                <w:sz w:val="18"/>
              </w:rPr>
            </w:pPr>
          </w:p>
        </w:tc>
        <w:tc>
          <w:tcPr>
            <w:tcW w:w="2626" w:type="dxa"/>
          </w:tcPr>
          <w:p>
            <w:pPr>
              <w:pStyle w:val="TableParagraph"/>
              <w:rPr>
                <w:sz w:val="18"/>
              </w:rPr>
            </w:pPr>
          </w:p>
        </w:tc>
        <w:tc>
          <w:tcPr>
            <w:tcW w:w="778"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st33.004</w:t>
            </w:r>
          </w:p>
        </w:tc>
        <w:tc>
          <w:tcPr>
            <w:tcW w:w="707" w:type="dxa"/>
          </w:tcPr>
          <w:p>
            <w:pPr>
              <w:pStyle w:val="TableParagraph"/>
              <w:spacing w:line="214" w:lineRule="exact" w:before="46"/>
              <w:ind w:left="210"/>
              <w:rPr>
                <w:sz w:val="20"/>
              </w:rPr>
            </w:pPr>
            <w:r>
              <w:rPr>
                <w:spacing w:val="-5"/>
                <w:sz w:val="20"/>
              </w:rPr>
              <w:t>338</w:t>
            </w:r>
          </w:p>
        </w:tc>
        <w:tc>
          <w:tcPr>
            <w:tcW w:w="2570" w:type="dxa"/>
          </w:tcPr>
          <w:p>
            <w:pPr>
              <w:pStyle w:val="TableParagraph"/>
              <w:spacing w:line="214"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2)</w:t>
            </w:r>
          </w:p>
        </w:tc>
        <w:tc>
          <w:tcPr>
            <w:tcW w:w="4396" w:type="dxa"/>
          </w:tcPr>
          <w:p>
            <w:pPr>
              <w:pStyle w:val="TableParagraph"/>
              <w:spacing w:line="214" w:lineRule="exact" w:before="46"/>
              <w:ind w:left="173" w:right="264"/>
              <w:jc w:val="center"/>
              <w:rPr>
                <w:sz w:val="20"/>
              </w:rPr>
            </w:pPr>
            <w:r>
              <w:rPr>
                <w:sz w:val="20"/>
              </w:rPr>
              <w:t>T20.1,</w:t>
            </w:r>
            <w:r>
              <w:rPr>
                <w:spacing w:val="-6"/>
                <w:sz w:val="20"/>
              </w:rPr>
              <w:t> </w:t>
            </w:r>
            <w:r>
              <w:rPr>
                <w:sz w:val="20"/>
              </w:rPr>
              <w:t>T20.2,</w:t>
            </w:r>
            <w:r>
              <w:rPr>
                <w:spacing w:val="-4"/>
                <w:sz w:val="20"/>
              </w:rPr>
              <w:t> </w:t>
            </w:r>
            <w:r>
              <w:rPr>
                <w:sz w:val="20"/>
              </w:rPr>
              <w:t>T20.5,</w:t>
            </w:r>
            <w:r>
              <w:rPr>
                <w:spacing w:val="-4"/>
                <w:sz w:val="20"/>
              </w:rPr>
              <w:t> </w:t>
            </w:r>
            <w:r>
              <w:rPr>
                <w:sz w:val="20"/>
              </w:rPr>
              <w:t>T20.6,</w:t>
            </w:r>
            <w:r>
              <w:rPr>
                <w:spacing w:val="-4"/>
                <w:sz w:val="20"/>
              </w:rPr>
              <w:t> </w:t>
            </w:r>
            <w:r>
              <w:rPr>
                <w:sz w:val="20"/>
              </w:rPr>
              <w:t>T21.1,</w:t>
            </w:r>
            <w:r>
              <w:rPr>
                <w:spacing w:val="-4"/>
                <w:sz w:val="20"/>
              </w:rPr>
              <w:t> </w:t>
            </w:r>
            <w:r>
              <w:rPr>
                <w:sz w:val="20"/>
              </w:rPr>
              <w:t>T21.2,</w:t>
            </w:r>
            <w:r>
              <w:rPr>
                <w:spacing w:val="-4"/>
                <w:sz w:val="20"/>
              </w:rPr>
              <w:t> </w:t>
            </w:r>
            <w:r>
              <w:rPr>
                <w:spacing w:val="-2"/>
                <w:sz w:val="20"/>
              </w:rPr>
              <w:t>T21.5,</w:t>
            </w:r>
          </w:p>
        </w:tc>
        <w:tc>
          <w:tcPr>
            <w:tcW w:w="3250" w:type="dxa"/>
          </w:tcPr>
          <w:p>
            <w:pPr>
              <w:pStyle w:val="TableParagraph"/>
              <w:spacing w:line="214" w:lineRule="exact" w:before="46"/>
              <w:ind w:left="18"/>
              <w:jc w:val="center"/>
              <w:rPr>
                <w:sz w:val="20"/>
              </w:rPr>
            </w:pPr>
            <w:r>
              <w:rPr>
                <w:w w:val="99"/>
                <w:sz w:val="20"/>
              </w:rPr>
              <w:t>-</w:t>
            </w:r>
          </w:p>
        </w:tc>
        <w:tc>
          <w:tcPr>
            <w:tcW w:w="2626" w:type="dxa"/>
          </w:tcPr>
          <w:p>
            <w:pPr>
              <w:pStyle w:val="TableParagraph"/>
              <w:spacing w:line="214" w:lineRule="exact" w:before="46"/>
              <w:ind w:left="244" w:right="365"/>
              <w:jc w:val="center"/>
              <w:rPr>
                <w:sz w:val="20"/>
              </w:rPr>
            </w:pPr>
            <w:r>
              <w:rPr>
                <w:spacing w:val="-2"/>
                <w:sz w:val="20"/>
              </w:rPr>
              <w:t>Дополнительные</w:t>
            </w:r>
          </w:p>
        </w:tc>
        <w:tc>
          <w:tcPr>
            <w:tcW w:w="778" w:type="dxa"/>
          </w:tcPr>
          <w:p>
            <w:pPr>
              <w:pStyle w:val="TableParagraph"/>
              <w:spacing w:line="214" w:lineRule="exact" w:before="46"/>
              <w:ind w:right="47"/>
              <w:jc w:val="right"/>
              <w:rPr>
                <w:sz w:val="20"/>
              </w:rPr>
            </w:pPr>
            <w:r>
              <w:rPr>
                <w:spacing w:val="-4"/>
                <w:sz w:val="20"/>
              </w:rPr>
              <w:t>2,03</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T21.6,</w:t>
            </w:r>
            <w:r>
              <w:rPr>
                <w:spacing w:val="-7"/>
                <w:sz w:val="20"/>
              </w:rPr>
              <w:t> </w:t>
            </w:r>
            <w:r>
              <w:rPr>
                <w:sz w:val="20"/>
              </w:rPr>
              <w:t>T22.1,</w:t>
            </w:r>
            <w:r>
              <w:rPr>
                <w:spacing w:val="-5"/>
                <w:sz w:val="20"/>
              </w:rPr>
              <w:t> </w:t>
            </w:r>
            <w:r>
              <w:rPr>
                <w:sz w:val="20"/>
              </w:rPr>
              <w:t>T22.2,</w:t>
            </w:r>
            <w:r>
              <w:rPr>
                <w:spacing w:val="-5"/>
                <w:sz w:val="20"/>
              </w:rPr>
              <w:t> </w:t>
            </w:r>
            <w:r>
              <w:rPr>
                <w:sz w:val="20"/>
              </w:rPr>
              <w:t>T22.5,</w:t>
            </w:r>
            <w:r>
              <w:rPr>
                <w:spacing w:val="-5"/>
                <w:sz w:val="20"/>
              </w:rPr>
              <w:t> </w:t>
            </w:r>
            <w:r>
              <w:rPr>
                <w:sz w:val="20"/>
              </w:rPr>
              <w:t>T22.6,</w:t>
            </w:r>
            <w:r>
              <w:rPr>
                <w:spacing w:val="-5"/>
                <w:sz w:val="20"/>
              </w:rPr>
              <w:t> </w:t>
            </w:r>
            <w:r>
              <w:rPr>
                <w:sz w:val="20"/>
              </w:rPr>
              <w:t>T23.1,</w:t>
            </w:r>
            <w:r>
              <w:rPr>
                <w:spacing w:val="-5"/>
                <w:sz w:val="20"/>
              </w:rPr>
              <w:t> </w:t>
            </w:r>
            <w:r>
              <w:rPr>
                <w:spacing w:val="-2"/>
                <w:sz w:val="20"/>
              </w:rPr>
              <w:t>T23.2,</w:t>
            </w:r>
          </w:p>
        </w:tc>
        <w:tc>
          <w:tcPr>
            <w:tcW w:w="3250" w:type="dxa"/>
          </w:tcPr>
          <w:p>
            <w:pPr>
              <w:pStyle w:val="TableParagraph"/>
              <w:rPr>
                <w:sz w:val="16"/>
              </w:rPr>
            </w:pPr>
          </w:p>
        </w:tc>
        <w:tc>
          <w:tcPr>
            <w:tcW w:w="2626" w:type="dxa"/>
          </w:tcPr>
          <w:p>
            <w:pPr>
              <w:pStyle w:val="TableParagraph"/>
              <w:spacing w:line="209" w:lineRule="exact"/>
              <w:ind w:left="244" w:right="369"/>
              <w:jc w:val="center"/>
              <w:rPr>
                <w:sz w:val="20"/>
              </w:rPr>
            </w:pPr>
            <w:r>
              <w:rPr>
                <w:sz w:val="20"/>
              </w:rPr>
              <w:t>диагнозы:</w:t>
            </w:r>
            <w:r>
              <w:rPr>
                <w:spacing w:val="-7"/>
                <w:sz w:val="20"/>
              </w:rPr>
              <w:t> </w:t>
            </w:r>
            <w:r>
              <w:rPr>
                <w:sz w:val="20"/>
              </w:rPr>
              <w:t>T31.1,</w:t>
            </w:r>
            <w:r>
              <w:rPr>
                <w:spacing w:val="-8"/>
                <w:sz w:val="20"/>
              </w:rPr>
              <w:t> </w:t>
            </w:r>
            <w:r>
              <w:rPr>
                <w:spacing w:val="-2"/>
                <w:sz w:val="20"/>
              </w:rPr>
              <w:t>T31.2,</w:t>
            </w: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T23.5,</w:t>
            </w:r>
            <w:r>
              <w:rPr>
                <w:spacing w:val="-7"/>
                <w:sz w:val="20"/>
              </w:rPr>
              <w:t> </w:t>
            </w:r>
            <w:r>
              <w:rPr>
                <w:sz w:val="20"/>
              </w:rPr>
              <w:t>T23.6,</w:t>
            </w:r>
            <w:r>
              <w:rPr>
                <w:spacing w:val="-5"/>
                <w:sz w:val="20"/>
              </w:rPr>
              <w:t> </w:t>
            </w:r>
            <w:r>
              <w:rPr>
                <w:sz w:val="20"/>
              </w:rPr>
              <w:t>T24.1,</w:t>
            </w:r>
            <w:r>
              <w:rPr>
                <w:spacing w:val="-5"/>
                <w:sz w:val="20"/>
              </w:rPr>
              <w:t> </w:t>
            </w:r>
            <w:r>
              <w:rPr>
                <w:sz w:val="20"/>
              </w:rPr>
              <w:t>T24.2,</w:t>
            </w:r>
            <w:r>
              <w:rPr>
                <w:spacing w:val="-5"/>
                <w:sz w:val="20"/>
              </w:rPr>
              <w:t> </w:t>
            </w:r>
            <w:r>
              <w:rPr>
                <w:sz w:val="20"/>
              </w:rPr>
              <w:t>T24.5,</w:t>
            </w:r>
            <w:r>
              <w:rPr>
                <w:spacing w:val="-5"/>
                <w:sz w:val="20"/>
              </w:rPr>
              <w:t> </w:t>
            </w:r>
            <w:r>
              <w:rPr>
                <w:sz w:val="20"/>
              </w:rPr>
              <w:t>T24.6,</w:t>
            </w:r>
            <w:r>
              <w:rPr>
                <w:spacing w:val="-5"/>
                <w:sz w:val="20"/>
              </w:rPr>
              <w:t> </w:t>
            </w:r>
            <w:r>
              <w:rPr>
                <w:spacing w:val="-2"/>
                <w:sz w:val="20"/>
              </w:rPr>
              <w:t>T25.1,</w:t>
            </w:r>
          </w:p>
        </w:tc>
        <w:tc>
          <w:tcPr>
            <w:tcW w:w="3250" w:type="dxa"/>
          </w:tcPr>
          <w:p>
            <w:pPr>
              <w:pStyle w:val="TableParagraph"/>
              <w:rPr>
                <w:sz w:val="16"/>
              </w:rPr>
            </w:pPr>
          </w:p>
        </w:tc>
        <w:tc>
          <w:tcPr>
            <w:tcW w:w="2626" w:type="dxa"/>
          </w:tcPr>
          <w:p>
            <w:pPr>
              <w:pStyle w:val="TableParagraph"/>
              <w:spacing w:line="210" w:lineRule="exact"/>
              <w:ind w:left="244" w:right="365"/>
              <w:jc w:val="center"/>
              <w:rPr>
                <w:sz w:val="20"/>
              </w:rPr>
            </w:pPr>
            <w:r>
              <w:rPr>
                <w:sz w:val="20"/>
              </w:rPr>
              <w:t>T31.3,</w:t>
            </w:r>
            <w:r>
              <w:rPr>
                <w:spacing w:val="-6"/>
                <w:sz w:val="20"/>
              </w:rPr>
              <w:t> </w:t>
            </w:r>
            <w:r>
              <w:rPr>
                <w:sz w:val="20"/>
              </w:rPr>
              <w:t>T31.4,</w:t>
            </w:r>
            <w:r>
              <w:rPr>
                <w:spacing w:val="-4"/>
                <w:sz w:val="20"/>
              </w:rPr>
              <w:t> </w:t>
            </w:r>
            <w:r>
              <w:rPr>
                <w:spacing w:val="-2"/>
                <w:sz w:val="20"/>
              </w:rPr>
              <w:t>T31.5,</w:t>
            </w: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T25.2,</w:t>
            </w:r>
            <w:r>
              <w:rPr>
                <w:spacing w:val="-7"/>
                <w:sz w:val="20"/>
              </w:rPr>
              <w:t> </w:t>
            </w:r>
            <w:r>
              <w:rPr>
                <w:sz w:val="20"/>
              </w:rPr>
              <w:t>T25.5,</w:t>
            </w:r>
            <w:r>
              <w:rPr>
                <w:spacing w:val="-5"/>
                <w:sz w:val="20"/>
              </w:rPr>
              <w:t> </w:t>
            </w:r>
            <w:r>
              <w:rPr>
                <w:sz w:val="20"/>
              </w:rPr>
              <w:t>T25.6,</w:t>
            </w:r>
            <w:r>
              <w:rPr>
                <w:spacing w:val="-5"/>
                <w:sz w:val="20"/>
              </w:rPr>
              <w:t> </w:t>
            </w:r>
            <w:r>
              <w:rPr>
                <w:sz w:val="20"/>
              </w:rPr>
              <w:t>T29.1,</w:t>
            </w:r>
            <w:r>
              <w:rPr>
                <w:spacing w:val="-5"/>
                <w:sz w:val="20"/>
              </w:rPr>
              <w:t> </w:t>
            </w:r>
            <w:r>
              <w:rPr>
                <w:sz w:val="20"/>
              </w:rPr>
              <w:t>T29.2,</w:t>
            </w:r>
            <w:r>
              <w:rPr>
                <w:spacing w:val="-5"/>
                <w:sz w:val="20"/>
              </w:rPr>
              <w:t> </w:t>
            </w:r>
            <w:r>
              <w:rPr>
                <w:sz w:val="20"/>
              </w:rPr>
              <w:t>T29.5,</w:t>
            </w:r>
            <w:r>
              <w:rPr>
                <w:spacing w:val="-5"/>
                <w:sz w:val="20"/>
              </w:rPr>
              <w:t> </w:t>
            </w:r>
            <w:r>
              <w:rPr>
                <w:spacing w:val="-2"/>
                <w:sz w:val="20"/>
              </w:rPr>
              <w:t>T29.6,</w:t>
            </w:r>
          </w:p>
        </w:tc>
        <w:tc>
          <w:tcPr>
            <w:tcW w:w="3250" w:type="dxa"/>
          </w:tcPr>
          <w:p>
            <w:pPr>
              <w:pStyle w:val="TableParagraph"/>
              <w:rPr>
                <w:sz w:val="16"/>
              </w:rPr>
            </w:pPr>
          </w:p>
        </w:tc>
        <w:tc>
          <w:tcPr>
            <w:tcW w:w="2626" w:type="dxa"/>
          </w:tcPr>
          <w:p>
            <w:pPr>
              <w:pStyle w:val="TableParagraph"/>
              <w:spacing w:line="210" w:lineRule="exact"/>
              <w:ind w:left="244" w:right="366"/>
              <w:jc w:val="center"/>
              <w:rPr>
                <w:sz w:val="20"/>
              </w:rPr>
            </w:pPr>
            <w:r>
              <w:rPr>
                <w:sz w:val="20"/>
              </w:rPr>
              <w:t>T31.6,</w:t>
            </w:r>
            <w:r>
              <w:rPr>
                <w:spacing w:val="-6"/>
                <w:sz w:val="20"/>
              </w:rPr>
              <w:t> </w:t>
            </w:r>
            <w:r>
              <w:rPr>
                <w:sz w:val="20"/>
              </w:rPr>
              <w:t>T31.7,</w:t>
            </w:r>
            <w:r>
              <w:rPr>
                <w:spacing w:val="-4"/>
                <w:sz w:val="20"/>
              </w:rPr>
              <w:t> </w:t>
            </w:r>
            <w:r>
              <w:rPr>
                <w:spacing w:val="-2"/>
                <w:sz w:val="20"/>
              </w:rPr>
              <w:t>T31.8,</w:t>
            </w: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8" w:right="264"/>
              <w:jc w:val="center"/>
              <w:rPr>
                <w:sz w:val="20"/>
              </w:rPr>
            </w:pPr>
            <w:r>
              <w:rPr>
                <w:sz w:val="20"/>
              </w:rPr>
              <w:t>T30.0,</w:t>
            </w:r>
            <w:r>
              <w:rPr>
                <w:spacing w:val="-7"/>
                <w:sz w:val="20"/>
              </w:rPr>
              <w:t> </w:t>
            </w:r>
            <w:r>
              <w:rPr>
                <w:sz w:val="20"/>
              </w:rPr>
              <w:t>T30.1,</w:t>
            </w:r>
            <w:r>
              <w:rPr>
                <w:spacing w:val="-5"/>
                <w:sz w:val="20"/>
              </w:rPr>
              <w:t> </w:t>
            </w:r>
            <w:r>
              <w:rPr>
                <w:sz w:val="20"/>
              </w:rPr>
              <w:t>T30.2,</w:t>
            </w:r>
            <w:r>
              <w:rPr>
                <w:spacing w:val="-4"/>
                <w:sz w:val="20"/>
              </w:rPr>
              <w:t> </w:t>
            </w:r>
            <w:r>
              <w:rPr>
                <w:sz w:val="20"/>
              </w:rPr>
              <w:t>T30.4,</w:t>
            </w:r>
            <w:r>
              <w:rPr>
                <w:spacing w:val="-5"/>
                <w:sz w:val="20"/>
              </w:rPr>
              <w:t> </w:t>
            </w:r>
            <w:r>
              <w:rPr>
                <w:sz w:val="20"/>
              </w:rPr>
              <w:t>T30.5,</w:t>
            </w:r>
            <w:r>
              <w:rPr>
                <w:spacing w:val="-5"/>
                <w:sz w:val="20"/>
              </w:rPr>
              <w:t> </w:t>
            </w:r>
            <w:r>
              <w:rPr>
                <w:spacing w:val="-4"/>
                <w:sz w:val="20"/>
              </w:rPr>
              <w:t>T30.6</w:t>
            </w:r>
          </w:p>
        </w:tc>
        <w:tc>
          <w:tcPr>
            <w:tcW w:w="3250" w:type="dxa"/>
          </w:tcPr>
          <w:p>
            <w:pPr>
              <w:pStyle w:val="TableParagraph"/>
              <w:rPr>
                <w:sz w:val="16"/>
              </w:rPr>
            </w:pPr>
          </w:p>
        </w:tc>
        <w:tc>
          <w:tcPr>
            <w:tcW w:w="2626" w:type="dxa"/>
          </w:tcPr>
          <w:p>
            <w:pPr>
              <w:pStyle w:val="TableParagraph"/>
              <w:spacing w:line="210" w:lineRule="exact"/>
              <w:ind w:left="244" w:right="366"/>
              <w:jc w:val="center"/>
              <w:rPr>
                <w:sz w:val="20"/>
              </w:rPr>
            </w:pPr>
            <w:r>
              <w:rPr>
                <w:sz w:val="20"/>
              </w:rPr>
              <w:t>T31.9,</w:t>
            </w:r>
            <w:r>
              <w:rPr>
                <w:spacing w:val="-6"/>
                <w:sz w:val="20"/>
              </w:rPr>
              <w:t> </w:t>
            </w:r>
            <w:r>
              <w:rPr>
                <w:sz w:val="20"/>
              </w:rPr>
              <w:t>T32.1,</w:t>
            </w:r>
            <w:r>
              <w:rPr>
                <w:spacing w:val="-4"/>
                <w:sz w:val="20"/>
              </w:rPr>
              <w:t> </w:t>
            </w:r>
            <w:r>
              <w:rPr>
                <w:spacing w:val="-2"/>
                <w:sz w:val="20"/>
              </w:rPr>
              <w:t>T32.2,</w:t>
            </w: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rPr>
                <w:sz w:val="16"/>
              </w:rPr>
            </w:pPr>
          </w:p>
        </w:tc>
        <w:tc>
          <w:tcPr>
            <w:tcW w:w="3250" w:type="dxa"/>
          </w:tcPr>
          <w:p>
            <w:pPr>
              <w:pStyle w:val="TableParagraph"/>
              <w:rPr>
                <w:sz w:val="16"/>
              </w:rPr>
            </w:pPr>
          </w:p>
        </w:tc>
        <w:tc>
          <w:tcPr>
            <w:tcW w:w="2626" w:type="dxa"/>
          </w:tcPr>
          <w:p>
            <w:pPr>
              <w:pStyle w:val="TableParagraph"/>
              <w:spacing w:line="209" w:lineRule="exact"/>
              <w:ind w:left="244" w:right="366"/>
              <w:jc w:val="center"/>
              <w:rPr>
                <w:sz w:val="20"/>
              </w:rPr>
            </w:pPr>
            <w:r>
              <w:rPr>
                <w:sz w:val="20"/>
              </w:rPr>
              <w:t>T32.3,</w:t>
            </w:r>
            <w:r>
              <w:rPr>
                <w:spacing w:val="-6"/>
                <w:sz w:val="20"/>
              </w:rPr>
              <w:t> </w:t>
            </w:r>
            <w:r>
              <w:rPr>
                <w:sz w:val="20"/>
              </w:rPr>
              <w:t>T32.4,</w:t>
            </w:r>
            <w:r>
              <w:rPr>
                <w:spacing w:val="-4"/>
                <w:sz w:val="20"/>
              </w:rPr>
              <w:t> </w:t>
            </w:r>
            <w:r>
              <w:rPr>
                <w:spacing w:val="-2"/>
                <w:sz w:val="20"/>
              </w:rPr>
              <w:t>T32.5,</w:t>
            </w:r>
          </w:p>
        </w:tc>
        <w:tc>
          <w:tcPr>
            <w:tcW w:w="778"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rPr>
                <w:sz w:val="18"/>
              </w:rPr>
            </w:pPr>
          </w:p>
        </w:tc>
        <w:tc>
          <w:tcPr>
            <w:tcW w:w="3250" w:type="dxa"/>
          </w:tcPr>
          <w:p>
            <w:pPr>
              <w:pStyle w:val="TableParagraph"/>
              <w:rPr>
                <w:sz w:val="18"/>
              </w:rPr>
            </w:pPr>
          </w:p>
        </w:tc>
        <w:tc>
          <w:tcPr>
            <w:tcW w:w="2626" w:type="dxa"/>
          </w:tcPr>
          <w:p>
            <w:pPr>
              <w:pStyle w:val="TableParagraph"/>
              <w:spacing w:line="224" w:lineRule="exact"/>
              <w:ind w:left="244" w:right="363"/>
              <w:jc w:val="center"/>
              <w:rPr>
                <w:sz w:val="20"/>
              </w:rPr>
            </w:pPr>
            <w:r>
              <w:rPr>
                <w:sz w:val="20"/>
              </w:rPr>
              <w:t>T32.6,</w:t>
            </w:r>
            <w:r>
              <w:rPr>
                <w:spacing w:val="-7"/>
                <w:sz w:val="20"/>
              </w:rPr>
              <w:t> </w:t>
            </w:r>
            <w:r>
              <w:rPr>
                <w:spacing w:val="-2"/>
                <w:sz w:val="20"/>
              </w:rPr>
              <w:t>T32.7</w:t>
            </w:r>
          </w:p>
        </w:tc>
        <w:tc>
          <w:tcPr>
            <w:tcW w:w="778" w:type="dxa"/>
          </w:tcPr>
          <w:p>
            <w:pPr>
              <w:pStyle w:val="TableParagraph"/>
              <w:rPr>
                <w:sz w:val="18"/>
              </w:rPr>
            </w:pPr>
          </w:p>
        </w:tc>
      </w:tr>
      <w:tr>
        <w:trPr>
          <w:trHeight w:val="281" w:hRule="atLeast"/>
        </w:trPr>
        <w:tc>
          <w:tcPr>
            <w:tcW w:w="946" w:type="dxa"/>
          </w:tcPr>
          <w:p>
            <w:pPr>
              <w:pStyle w:val="TableParagraph"/>
              <w:spacing w:line="215" w:lineRule="exact" w:before="46"/>
              <w:ind w:left="39" w:right="198"/>
              <w:jc w:val="center"/>
              <w:rPr>
                <w:sz w:val="20"/>
              </w:rPr>
            </w:pPr>
            <w:r>
              <w:rPr>
                <w:spacing w:val="-2"/>
                <w:sz w:val="20"/>
              </w:rPr>
              <w:t>st33.005</w:t>
            </w:r>
          </w:p>
        </w:tc>
        <w:tc>
          <w:tcPr>
            <w:tcW w:w="707" w:type="dxa"/>
          </w:tcPr>
          <w:p>
            <w:pPr>
              <w:pStyle w:val="TableParagraph"/>
              <w:spacing w:line="215" w:lineRule="exact" w:before="46"/>
              <w:ind w:left="210"/>
              <w:rPr>
                <w:sz w:val="20"/>
              </w:rPr>
            </w:pPr>
            <w:r>
              <w:rPr>
                <w:spacing w:val="-5"/>
                <w:sz w:val="20"/>
              </w:rPr>
              <w:t>339</w:t>
            </w:r>
          </w:p>
        </w:tc>
        <w:tc>
          <w:tcPr>
            <w:tcW w:w="2570" w:type="dxa"/>
          </w:tcPr>
          <w:p>
            <w:pPr>
              <w:pStyle w:val="TableParagraph"/>
              <w:spacing w:line="215"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3)</w:t>
            </w:r>
          </w:p>
        </w:tc>
        <w:tc>
          <w:tcPr>
            <w:tcW w:w="4396" w:type="dxa"/>
          </w:tcPr>
          <w:p>
            <w:pPr>
              <w:pStyle w:val="TableParagraph"/>
              <w:spacing w:line="215" w:lineRule="exact" w:before="46"/>
              <w:ind w:left="167" w:right="264"/>
              <w:jc w:val="center"/>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3250" w:type="dxa"/>
          </w:tcPr>
          <w:p>
            <w:pPr>
              <w:pStyle w:val="TableParagraph"/>
              <w:spacing w:line="215" w:lineRule="exact" w:before="46"/>
              <w:ind w:left="18"/>
              <w:jc w:val="center"/>
              <w:rPr>
                <w:sz w:val="20"/>
              </w:rPr>
            </w:pPr>
            <w:r>
              <w:rPr>
                <w:w w:val="99"/>
                <w:sz w:val="20"/>
              </w:rPr>
              <w:t>-</w:t>
            </w:r>
          </w:p>
        </w:tc>
        <w:tc>
          <w:tcPr>
            <w:tcW w:w="2626" w:type="dxa"/>
          </w:tcPr>
          <w:p>
            <w:pPr>
              <w:pStyle w:val="TableParagraph"/>
              <w:spacing w:line="215" w:lineRule="exact" w:before="46"/>
              <w:ind w:left="244" w:right="365"/>
              <w:jc w:val="center"/>
              <w:rPr>
                <w:sz w:val="20"/>
              </w:rPr>
            </w:pPr>
            <w:r>
              <w:rPr>
                <w:spacing w:val="-2"/>
                <w:sz w:val="20"/>
              </w:rPr>
              <w:t>Дополнительные</w:t>
            </w:r>
          </w:p>
        </w:tc>
        <w:tc>
          <w:tcPr>
            <w:tcW w:w="778" w:type="dxa"/>
          </w:tcPr>
          <w:p>
            <w:pPr>
              <w:pStyle w:val="TableParagraph"/>
              <w:spacing w:line="215" w:lineRule="exact" w:before="46"/>
              <w:ind w:right="47"/>
              <w:jc w:val="right"/>
              <w:rPr>
                <w:sz w:val="20"/>
              </w:rPr>
            </w:pPr>
            <w:r>
              <w:rPr>
                <w:spacing w:val="-4"/>
                <w:sz w:val="20"/>
              </w:rPr>
              <w:t>3,54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3250" w:type="dxa"/>
          </w:tcPr>
          <w:p>
            <w:pPr>
              <w:pStyle w:val="TableParagraph"/>
              <w:rPr>
                <w:sz w:val="16"/>
              </w:rPr>
            </w:pPr>
          </w:p>
        </w:tc>
        <w:tc>
          <w:tcPr>
            <w:tcW w:w="2626" w:type="dxa"/>
          </w:tcPr>
          <w:p>
            <w:pPr>
              <w:pStyle w:val="TableParagraph"/>
              <w:spacing w:line="210" w:lineRule="exact"/>
              <w:ind w:left="244" w:right="364"/>
              <w:jc w:val="center"/>
              <w:rPr>
                <w:sz w:val="20"/>
              </w:rPr>
            </w:pPr>
            <w:r>
              <w:rPr>
                <w:sz w:val="20"/>
              </w:rPr>
              <w:t>диагнозы:</w:t>
            </w:r>
            <w:r>
              <w:rPr>
                <w:spacing w:val="-7"/>
                <w:sz w:val="20"/>
              </w:rPr>
              <w:t> </w:t>
            </w:r>
            <w:r>
              <w:rPr>
                <w:sz w:val="20"/>
              </w:rPr>
              <w:t>T31.0,</w:t>
            </w:r>
            <w:r>
              <w:rPr>
                <w:spacing w:val="-8"/>
                <w:sz w:val="20"/>
              </w:rPr>
              <w:t> </w:t>
            </w:r>
            <w:r>
              <w:rPr>
                <w:spacing w:val="-2"/>
                <w:sz w:val="20"/>
              </w:rPr>
              <w:t>T32.0</w:t>
            </w: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73" w:right="263"/>
              <w:jc w:val="center"/>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5"/>
                <w:sz w:val="20"/>
              </w:rPr>
              <w:t> </w:t>
            </w:r>
            <w:r>
              <w:rPr>
                <w:sz w:val="20"/>
              </w:rPr>
              <w:t>T24.4,</w:t>
            </w:r>
            <w:r>
              <w:rPr>
                <w:spacing w:val="-5"/>
                <w:sz w:val="20"/>
              </w:rPr>
              <w:t> </w:t>
            </w:r>
            <w:r>
              <w:rPr>
                <w:sz w:val="20"/>
              </w:rPr>
              <w:t>T24.7,</w:t>
            </w:r>
            <w:r>
              <w:rPr>
                <w:spacing w:val="1"/>
                <w:sz w:val="20"/>
              </w:rPr>
              <w:t> </w:t>
            </w:r>
            <w:r>
              <w:rPr>
                <w:spacing w:val="-2"/>
                <w:sz w:val="20"/>
              </w:rPr>
              <w:t>T25.0,</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T25.3,</w:t>
            </w:r>
            <w:r>
              <w:rPr>
                <w:spacing w:val="-7"/>
                <w:sz w:val="20"/>
              </w:rPr>
              <w:t> </w:t>
            </w:r>
            <w:r>
              <w:rPr>
                <w:sz w:val="20"/>
              </w:rPr>
              <w:t>T25.4,</w:t>
            </w:r>
            <w:r>
              <w:rPr>
                <w:spacing w:val="-5"/>
                <w:sz w:val="20"/>
              </w:rPr>
              <w:t> </w:t>
            </w:r>
            <w:r>
              <w:rPr>
                <w:sz w:val="20"/>
              </w:rPr>
              <w:t>T25.7,</w:t>
            </w:r>
            <w:r>
              <w:rPr>
                <w:spacing w:val="-5"/>
                <w:sz w:val="20"/>
              </w:rPr>
              <w:t> </w:t>
            </w:r>
            <w:r>
              <w:rPr>
                <w:sz w:val="20"/>
              </w:rPr>
              <w:t>T29.0,</w:t>
            </w:r>
            <w:r>
              <w:rPr>
                <w:spacing w:val="-5"/>
                <w:sz w:val="20"/>
              </w:rPr>
              <w:t> </w:t>
            </w:r>
            <w:r>
              <w:rPr>
                <w:sz w:val="20"/>
              </w:rPr>
              <w:t>T29.3,</w:t>
            </w:r>
            <w:r>
              <w:rPr>
                <w:spacing w:val="-5"/>
                <w:sz w:val="20"/>
              </w:rPr>
              <w:t> </w:t>
            </w:r>
            <w:r>
              <w:rPr>
                <w:sz w:val="20"/>
              </w:rPr>
              <w:t>T29.4,</w:t>
            </w:r>
            <w:r>
              <w:rPr>
                <w:spacing w:val="-5"/>
                <w:sz w:val="20"/>
              </w:rPr>
              <w:t> </w:t>
            </w:r>
            <w:r>
              <w:rPr>
                <w:spacing w:val="-2"/>
                <w:sz w:val="20"/>
              </w:rPr>
              <w:t>T29.7,</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spacing w:line="226" w:lineRule="exact"/>
              <w:ind w:left="172" w:right="264"/>
              <w:jc w:val="center"/>
              <w:rPr>
                <w:sz w:val="20"/>
              </w:rPr>
            </w:pPr>
            <w:r>
              <w:rPr>
                <w:sz w:val="20"/>
              </w:rPr>
              <w:t>T30.3,</w:t>
            </w:r>
            <w:r>
              <w:rPr>
                <w:spacing w:val="-7"/>
                <w:sz w:val="20"/>
              </w:rPr>
              <w:t> </w:t>
            </w:r>
            <w:r>
              <w:rPr>
                <w:spacing w:val="-2"/>
                <w:sz w:val="20"/>
              </w:rPr>
              <w:t>T30.7</w:t>
            </w:r>
          </w:p>
        </w:tc>
        <w:tc>
          <w:tcPr>
            <w:tcW w:w="3250" w:type="dxa"/>
          </w:tcPr>
          <w:p>
            <w:pPr>
              <w:pStyle w:val="TableParagraph"/>
              <w:rPr>
                <w:sz w:val="18"/>
              </w:rPr>
            </w:pPr>
          </w:p>
        </w:tc>
        <w:tc>
          <w:tcPr>
            <w:tcW w:w="2626" w:type="dxa"/>
          </w:tcPr>
          <w:p>
            <w:pPr>
              <w:pStyle w:val="TableParagraph"/>
              <w:rPr>
                <w:sz w:val="18"/>
              </w:rPr>
            </w:pPr>
          </w:p>
        </w:tc>
        <w:tc>
          <w:tcPr>
            <w:tcW w:w="778"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st33.006</w:t>
            </w:r>
          </w:p>
        </w:tc>
        <w:tc>
          <w:tcPr>
            <w:tcW w:w="707" w:type="dxa"/>
          </w:tcPr>
          <w:p>
            <w:pPr>
              <w:pStyle w:val="TableParagraph"/>
              <w:spacing w:line="215" w:lineRule="exact" w:before="46"/>
              <w:ind w:left="210"/>
              <w:rPr>
                <w:sz w:val="20"/>
              </w:rPr>
            </w:pPr>
            <w:r>
              <w:rPr>
                <w:spacing w:val="-5"/>
                <w:sz w:val="20"/>
              </w:rPr>
              <w:t>340</w:t>
            </w:r>
          </w:p>
        </w:tc>
        <w:tc>
          <w:tcPr>
            <w:tcW w:w="2570" w:type="dxa"/>
          </w:tcPr>
          <w:p>
            <w:pPr>
              <w:pStyle w:val="TableParagraph"/>
              <w:spacing w:line="215"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4)</w:t>
            </w:r>
          </w:p>
        </w:tc>
        <w:tc>
          <w:tcPr>
            <w:tcW w:w="4396" w:type="dxa"/>
          </w:tcPr>
          <w:p>
            <w:pPr>
              <w:pStyle w:val="TableParagraph"/>
              <w:spacing w:line="215" w:lineRule="exact" w:before="46"/>
              <w:ind w:left="167" w:right="264"/>
              <w:jc w:val="center"/>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3250" w:type="dxa"/>
          </w:tcPr>
          <w:p>
            <w:pPr>
              <w:pStyle w:val="TableParagraph"/>
              <w:spacing w:line="215" w:lineRule="exact" w:before="46"/>
              <w:ind w:left="18"/>
              <w:jc w:val="center"/>
              <w:rPr>
                <w:sz w:val="20"/>
              </w:rPr>
            </w:pPr>
            <w:r>
              <w:rPr>
                <w:w w:val="99"/>
                <w:sz w:val="20"/>
              </w:rPr>
              <w:t>-</w:t>
            </w:r>
          </w:p>
        </w:tc>
        <w:tc>
          <w:tcPr>
            <w:tcW w:w="2626" w:type="dxa"/>
          </w:tcPr>
          <w:p>
            <w:pPr>
              <w:pStyle w:val="TableParagraph"/>
              <w:spacing w:line="215" w:lineRule="exact" w:before="46"/>
              <w:ind w:left="244" w:right="365"/>
              <w:jc w:val="center"/>
              <w:rPr>
                <w:sz w:val="20"/>
              </w:rPr>
            </w:pPr>
            <w:r>
              <w:rPr>
                <w:spacing w:val="-2"/>
                <w:sz w:val="20"/>
              </w:rPr>
              <w:t>Дополнительные</w:t>
            </w:r>
          </w:p>
        </w:tc>
        <w:tc>
          <w:tcPr>
            <w:tcW w:w="778" w:type="dxa"/>
          </w:tcPr>
          <w:p>
            <w:pPr>
              <w:pStyle w:val="TableParagraph"/>
              <w:spacing w:line="215" w:lineRule="exact" w:before="46"/>
              <w:ind w:right="47"/>
              <w:jc w:val="right"/>
              <w:rPr>
                <w:sz w:val="20"/>
              </w:rPr>
            </w:pPr>
            <w:r>
              <w:rPr>
                <w:spacing w:val="-4"/>
                <w:sz w:val="20"/>
              </w:rPr>
              <w:t>5,20</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3250" w:type="dxa"/>
          </w:tcPr>
          <w:p>
            <w:pPr>
              <w:pStyle w:val="TableParagraph"/>
              <w:rPr>
                <w:sz w:val="16"/>
              </w:rPr>
            </w:pPr>
          </w:p>
        </w:tc>
        <w:tc>
          <w:tcPr>
            <w:tcW w:w="2626" w:type="dxa"/>
          </w:tcPr>
          <w:p>
            <w:pPr>
              <w:pStyle w:val="TableParagraph"/>
              <w:spacing w:line="209" w:lineRule="exact"/>
              <w:ind w:left="244" w:right="369"/>
              <w:jc w:val="center"/>
              <w:rPr>
                <w:sz w:val="20"/>
              </w:rPr>
            </w:pPr>
            <w:r>
              <w:rPr>
                <w:sz w:val="20"/>
              </w:rPr>
              <w:t>диагнозы:</w:t>
            </w:r>
            <w:r>
              <w:rPr>
                <w:spacing w:val="-7"/>
                <w:sz w:val="20"/>
              </w:rPr>
              <w:t> </w:t>
            </w:r>
            <w:r>
              <w:rPr>
                <w:sz w:val="20"/>
              </w:rPr>
              <w:t>T31.1,</w:t>
            </w:r>
            <w:r>
              <w:rPr>
                <w:spacing w:val="-8"/>
                <w:sz w:val="20"/>
              </w:rPr>
              <w:t> </w:t>
            </w:r>
            <w:r>
              <w:rPr>
                <w:spacing w:val="-2"/>
                <w:sz w:val="20"/>
              </w:rPr>
              <w:t>T31.2,</w:t>
            </w:r>
          </w:p>
        </w:tc>
        <w:tc>
          <w:tcPr>
            <w:tcW w:w="778"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4" w:lineRule="exact"/>
              <w:ind w:left="168" w:right="264"/>
              <w:jc w:val="center"/>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4"/>
                <w:sz w:val="20"/>
              </w:rPr>
              <w:t> </w:t>
            </w:r>
            <w:r>
              <w:rPr>
                <w:sz w:val="20"/>
              </w:rPr>
              <w:t>T24.4,</w:t>
            </w:r>
            <w:r>
              <w:rPr>
                <w:spacing w:val="-5"/>
                <w:sz w:val="20"/>
              </w:rPr>
              <w:t> </w:t>
            </w:r>
            <w:r>
              <w:rPr>
                <w:sz w:val="20"/>
              </w:rPr>
              <w:t>T24.7,</w:t>
            </w:r>
            <w:r>
              <w:rPr>
                <w:spacing w:val="-5"/>
                <w:sz w:val="20"/>
              </w:rPr>
              <w:t> </w:t>
            </w:r>
            <w:r>
              <w:rPr>
                <w:spacing w:val="-2"/>
                <w:sz w:val="20"/>
              </w:rPr>
              <w:t>T25.0,</w:t>
            </w:r>
          </w:p>
        </w:tc>
        <w:tc>
          <w:tcPr>
            <w:tcW w:w="3250" w:type="dxa"/>
          </w:tcPr>
          <w:p>
            <w:pPr>
              <w:pStyle w:val="TableParagraph"/>
              <w:rPr>
                <w:sz w:val="16"/>
              </w:rPr>
            </w:pPr>
          </w:p>
        </w:tc>
        <w:tc>
          <w:tcPr>
            <w:tcW w:w="2626" w:type="dxa"/>
          </w:tcPr>
          <w:p>
            <w:pPr>
              <w:pStyle w:val="TableParagraph"/>
              <w:spacing w:line="204" w:lineRule="exact"/>
              <w:ind w:left="244" w:right="363"/>
              <w:jc w:val="center"/>
              <w:rPr>
                <w:sz w:val="20"/>
              </w:rPr>
            </w:pPr>
            <w:r>
              <w:rPr>
                <w:sz w:val="20"/>
              </w:rPr>
              <w:t>T32.1,</w:t>
            </w:r>
            <w:r>
              <w:rPr>
                <w:spacing w:val="-7"/>
                <w:sz w:val="20"/>
              </w:rPr>
              <w:t> </w:t>
            </w:r>
            <w:r>
              <w:rPr>
                <w:spacing w:val="-2"/>
                <w:sz w:val="20"/>
              </w:rPr>
              <w:t>T32.2</w:t>
            </w:r>
          </w:p>
        </w:tc>
        <w:tc>
          <w:tcPr>
            <w:tcW w:w="77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6"/>
        <w:gridCol w:w="2448"/>
        <w:gridCol w:w="5616"/>
        <w:gridCol w:w="1486"/>
        <w:gridCol w:w="3267"/>
        <w:gridCol w:w="854"/>
      </w:tblGrid>
      <w:tr>
        <w:trPr>
          <w:trHeight w:val="505"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ind w:left="1751" w:right="908" w:hanging="1457"/>
              <w:rPr>
                <w:sz w:val="20"/>
              </w:rPr>
            </w:pPr>
            <w:r>
              <w:rPr>
                <w:sz w:val="20"/>
              </w:rPr>
              <w:t>T25.3,</w:t>
            </w:r>
            <w:r>
              <w:rPr>
                <w:spacing w:val="-9"/>
                <w:sz w:val="20"/>
              </w:rPr>
              <w:t> </w:t>
            </w:r>
            <w:r>
              <w:rPr>
                <w:sz w:val="20"/>
              </w:rPr>
              <w:t>T25.4,</w:t>
            </w:r>
            <w:r>
              <w:rPr>
                <w:spacing w:val="-7"/>
                <w:sz w:val="20"/>
              </w:rPr>
              <w:t> </w:t>
            </w:r>
            <w:r>
              <w:rPr>
                <w:sz w:val="20"/>
              </w:rPr>
              <w:t>T25.7,</w:t>
            </w:r>
            <w:r>
              <w:rPr>
                <w:spacing w:val="-7"/>
                <w:sz w:val="20"/>
              </w:rPr>
              <w:t> </w:t>
            </w:r>
            <w:r>
              <w:rPr>
                <w:sz w:val="20"/>
              </w:rPr>
              <w:t>T29.0,</w:t>
            </w:r>
            <w:r>
              <w:rPr>
                <w:spacing w:val="-7"/>
                <w:sz w:val="20"/>
              </w:rPr>
              <w:t> </w:t>
            </w:r>
            <w:r>
              <w:rPr>
                <w:sz w:val="20"/>
              </w:rPr>
              <w:t>T29.3,</w:t>
            </w:r>
            <w:r>
              <w:rPr>
                <w:spacing w:val="-7"/>
                <w:sz w:val="20"/>
              </w:rPr>
              <w:t> </w:t>
            </w:r>
            <w:r>
              <w:rPr>
                <w:sz w:val="20"/>
              </w:rPr>
              <w:t>T29.4,</w:t>
            </w:r>
            <w:r>
              <w:rPr>
                <w:spacing w:val="-7"/>
                <w:sz w:val="20"/>
              </w:rPr>
              <w:t> </w:t>
            </w:r>
            <w:r>
              <w:rPr>
                <w:sz w:val="20"/>
              </w:rPr>
              <w:t>T29.7, T30.3, T30.7</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rPr>
                <w:sz w:val="18"/>
              </w:rPr>
            </w:pPr>
          </w:p>
        </w:tc>
      </w:tr>
      <w:tr>
        <w:trPr>
          <w:trHeight w:val="559"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spacing w:before="45"/>
              <w:ind w:left="2037" w:right="978" w:hanging="1743"/>
              <w:rPr>
                <w:sz w:val="20"/>
              </w:rPr>
            </w:pPr>
            <w:r>
              <w:rPr>
                <w:sz w:val="20"/>
              </w:rPr>
              <w:t>T27.0,</w:t>
            </w:r>
            <w:r>
              <w:rPr>
                <w:spacing w:val="-9"/>
                <w:sz w:val="20"/>
              </w:rPr>
              <w:t> </w:t>
            </w:r>
            <w:r>
              <w:rPr>
                <w:sz w:val="20"/>
              </w:rPr>
              <w:t>T27.1,</w:t>
            </w:r>
            <w:r>
              <w:rPr>
                <w:spacing w:val="-7"/>
                <w:sz w:val="20"/>
              </w:rPr>
              <w:t> </w:t>
            </w:r>
            <w:r>
              <w:rPr>
                <w:sz w:val="20"/>
              </w:rPr>
              <w:t>T27.2,</w:t>
            </w:r>
            <w:r>
              <w:rPr>
                <w:spacing w:val="-7"/>
                <w:sz w:val="20"/>
              </w:rPr>
              <w:t> </w:t>
            </w:r>
            <w:r>
              <w:rPr>
                <w:sz w:val="20"/>
              </w:rPr>
              <w:t>T27.3,</w:t>
            </w:r>
            <w:r>
              <w:rPr>
                <w:spacing w:val="-7"/>
                <w:sz w:val="20"/>
              </w:rPr>
              <w:t> </w:t>
            </w:r>
            <w:r>
              <w:rPr>
                <w:sz w:val="20"/>
              </w:rPr>
              <w:t>T27.4,</w:t>
            </w:r>
            <w:r>
              <w:rPr>
                <w:spacing w:val="-7"/>
                <w:sz w:val="20"/>
              </w:rPr>
              <w:t> </w:t>
            </w:r>
            <w:r>
              <w:rPr>
                <w:sz w:val="20"/>
              </w:rPr>
              <w:t>T27.5,</w:t>
            </w:r>
            <w:r>
              <w:rPr>
                <w:spacing w:val="-7"/>
                <w:sz w:val="20"/>
              </w:rPr>
              <w:t> </w:t>
            </w:r>
            <w:r>
              <w:rPr>
                <w:sz w:val="20"/>
              </w:rPr>
              <w:t>T27.6, </w:t>
            </w:r>
            <w:r>
              <w:rPr>
                <w:spacing w:val="-4"/>
                <w:sz w:val="20"/>
              </w:rPr>
              <w:t>T27.7</w:t>
            </w:r>
          </w:p>
        </w:tc>
        <w:tc>
          <w:tcPr>
            <w:tcW w:w="1486" w:type="dxa"/>
          </w:tcPr>
          <w:p>
            <w:pPr>
              <w:pStyle w:val="TableParagraph"/>
              <w:spacing w:before="45"/>
              <w:ind w:left="504"/>
              <w:rPr>
                <w:sz w:val="20"/>
              </w:rPr>
            </w:pPr>
            <w:r>
              <w:rPr>
                <w:w w:val="99"/>
                <w:sz w:val="20"/>
              </w:rPr>
              <w:t>-</w:t>
            </w:r>
          </w:p>
        </w:tc>
        <w:tc>
          <w:tcPr>
            <w:tcW w:w="3267" w:type="dxa"/>
          </w:tcPr>
          <w:p>
            <w:pPr>
              <w:pStyle w:val="TableParagraph"/>
              <w:spacing w:before="45"/>
              <w:ind w:left="568"/>
              <w:jc w:val="center"/>
              <w:rPr>
                <w:sz w:val="20"/>
              </w:rPr>
            </w:pPr>
            <w:r>
              <w:rPr>
                <w:w w:val="99"/>
                <w:sz w:val="20"/>
              </w:rPr>
              <w:t>-</w:t>
            </w:r>
          </w:p>
        </w:tc>
        <w:tc>
          <w:tcPr>
            <w:tcW w:w="85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st33.007</w:t>
            </w:r>
          </w:p>
        </w:tc>
        <w:tc>
          <w:tcPr>
            <w:tcW w:w="706" w:type="dxa"/>
          </w:tcPr>
          <w:p>
            <w:pPr>
              <w:pStyle w:val="TableParagraph"/>
              <w:spacing w:line="215" w:lineRule="exact" w:before="45"/>
              <w:ind w:left="210"/>
              <w:rPr>
                <w:sz w:val="20"/>
              </w:rPr>
            </w:pPr>
            <w:r>
              <w:rPr>
                <w:spacing w:val="-5"/>
                <w:sz w:val="20"/>
              </w:rPr>
              <w:t>341</w:t>
            </w:r>
          </w:p>
        </w:tc>
        <w:tc>
          <w:tcPr>
            <w:tcW w:w="2448" w:type="dxa"/>
          </w:tcPr>
          <w:p>
            <w:pPr>
              <w:pStyle w:val="TableParagraph"/>
              <w:spacing w:line="215" w:lineRule="exact" w:before="45"/>
              <w:ind w:left="193"/>
              <w:rPr>
                <w:sz w:val="20"/>
              </w:rPr>
            </w:pPr>
            <w:r>
              <w:rPr>
                <w:sz w:val="20"/>
              </w:rPr>
              <w:t>Ожоги</w:t>
            </w:r>
            <w:r>
              <w:rPr>
                <w:spacing w:val="-10"/>
                <w:sz w:val="20"/>
              </w:rPr>
              <w:t> </w:t>
            </w:r>
            <w:r>
              <w:rPr>
                <w:sz w:val="20"/>
              </w:rPr>
              <w:t>(уровень</w:t>
            </w:r>
            <w:r>
              <w:rPr>
                <w:spacing w:val="-8"/>
                <w:sz w:val="20"/>
              </w:rPr>
              <w:t> </w:t>
            </w:r>
            <w:r>
              <w:rPr>
                <w:spacing w:val="-5"/>
                <w:sz w:val="20"/>
              </w:rPr>
              <w:t>5)</w:t>
            </w:r>
          </w:p>
        </w:tc>
        <w:tc>
          <w:tcPr>
            <w:tcW w:w="5616" w:type="dxa"/>
          </w:tcPr>
          <w:p>
            <w:pPr>
              <w:pStyle w:val="TableParagraph"/>
              <w:spacing w:line="215" w:lineRule="exact" w:before="45"/>
              <w:ind w:left="295"/>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1486" w:type="dxa"/>
          </w:tcPr>
          <w:p>
            <w:pPr>
              <w:pStyle w:val="TableParagraph"/>
              <w:spacing w:line="215" w:lineRule="exact" w:before="45"/>
              <w:ind w:left="504"/>
              <w:rPr>
                <w:sz w:val="20"/>
              </w:rPr>
            </w:pPr>
            <w:r>
              <w:rPr>
                <w:w w:val="99"/>
                <w:sz w:val="20"/>
              </w:rPr>
              <w:t>-</w:t>
            </w:r>
          </w:p>
        </w:tc>
        <w:tc>
          <w:tcPr>
            <w:tcW w:w="3267" w:type="dxa"/>
          </w:tcPr>
          <w:p>
            <w:pPr>
              <w:pStyle w:val="TableParagraph"/>
              <w:spacing w:line="215" w:lineRule="exact" w:before="45"/>
              <w:ind w:left="909" w:right="340"/>
              <w:jc w:val="center"/>
              <w:rPr>
                <w:sz w:val="20"/>
              </w:rPr>
            </w:pPr>
            <w:r>
              <w:rPr>
                <w:spacing w:val="-2"/>
                <w:sz w:val="20"/>
              </w:rPr>
              <w:t>Дополнительные</w:t>
            </w:r>
          </w:p>
        </w:tc>
        <w:tc>
          <w:tcPr>
            <w:tcW w:w="854" w:type="dxa"/>
          </w:tcPr>
          <w:p>
            <w:pPr>
              <w:pStyle w:val="TableParagraph"/>
              <w:spacing w:line="215" w:lineRule="exact" w:before="45"/>
              <w:ind w:right="47"/>
              <w:jc w:val="right"/>
              <w:rPr>
                <w:sz w:val="20"/>
              </w:rPr>
            </w:pPr>
            <w:r>
              <w:rPr>
                <w:spacing w:val="-2"/>
                <w:sz w:val="20"/>
              </w:rPr>
              <w:t>11,11</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1" w:lineRule="exact"/>
              <w:ind w:left="295"/>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1486" w:type="dxa"/>
          </w:tcPr>
          <w:p>
            <w:pPr>
              <w:pStyle w:val="TableParagraph"/>
              <w:rPr>
                <w:sz w:val="16"/>
              </w:rPr>
            </w:pPr>
          </w:p>
        </w:tc>
        <w:tc>
          <w:tcPr>
            <w:tcW w:w="3267" w:type="dxa"/>
          </w:tcPr>
          <w:p>
            <w:pPr>
              <w:pStyle w:val="TableParagraph"/>
              <w:spacing w:line="211" w:lineRule="exact"/>
              <w:ind w:left="909" w:right="344"/>
              <w:jc w:val="center"/>
              <w:rPr>
                <w:sz w:val="20"/>
              </w:rPr>
            </w:pPr>
            <w:r>
              <w:rPr>
                <w:sz w:val="20"/>
              </w:rPr>
              <w:t>диагнозы:</w:t>
            </w:r>
            <w:r>
              <w:rPr>
                <w:spacing w:val="-7"/>
                <w:sz w:val="20"/>
              </w:rPr>
              <w:t> </w:t>
            </w:r>
            <w:r>
              <w:rPr>
                <w:sz w:val="20"/>
              </w:rPr>
              <w:t>T31.3,</w:t>
            </w:r>
            <w:r>
              <w:rPr>
                <w:spacing w:val="-8"/>
                <w:sz w:val="20"/>
              </w:rPr>
              <w:t> </w:t>
            </w:r>
            <w:r>
              <w:rPr>
                <w:spacing w:val="-2"/>
                <w:sz w:val="20"/>
              </w:rPr>
              <w:t>T31.4,</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1" w:lineRule="exact"/>
              <w:ind w:left="295"/>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5"/>
                <w:sz w:val="20"/>
              </w:rPr>
              <w:t> </w:t>
            </w:r>
            <w:r>
              <w:rPr>
                <w:sz w:val="20"/>
              </w:rPr>
              <w:t>T24.4,</w:t>
            </w:r>
            <w:r>
              <w:rPr>
                <w:spacing w:val="-5"/>
                <w:sz w:val="20"/>
              </w:rPr>
              <w:t> </w:t>
            </w:r>
            <w:r>
              <w:rPr>
                <w:sz w:val="20"/>
              </w:rPr>
              <w:t>T24.7,</w:t>
            </w:r>
            <w:r>
              <w:rPr>
                <w:spacing w:val="-5"/>
                <w:sz w:val="20"/>
              </w:rPr>
              <w:t> </w:t>
            </w:r>
            <w:r>
              <w:rPr>
                <w:spacing w:val="-2"/>
                <w:sz w:val="20"/>
              </w:rPr>
              <w:t>T25.0,</w:t>
            </w:r>
          </w:p>
        </w:tc>
        <w:tc>
          <w:tcPr>
            <w:tcW w:w="1486" w:type="dxa"/>
          </w:tcPr>
          <w:p>
            <w:pPr>
              <w:pStyle w:val="TableParagraph"/>
              <w:rPr>
                <w:sz w:val="16"/>
              </w:rPr>
            </w:pPr>
          </w:p>
        </w:tc>
        <w:tc>
          <w:tcPr>
            <w:tcW w:w="3267" w:type="dxa"/>
          </w:tcPr>
          <w:p>
            <w:pPr>
              <w:pStyle w:val="TableParagraph"/>
              <w:spacing w:line="211" w:lineRule="exact"/>
              <w:ind w:left="909" w:right="341"/>
              <w:jc w:val="center"/>
              <w:rPr>
                <w:sz w:val="20"/>
              </w:rPr>
            </w:pPr>
            <w:r>
              <w:rPr>
                <w:sz w:val="20"/>
              </w:rPr>
              <w:t>T31.5,</w:t>
            </w:r>
            <w:r>
              <w:rPr>
                <w:spacing w:val="-6"/>
                <w:sz w:val="20"/>
              </w:rPr>
              <w:t> </w:t>
            </w:r>
            <w:r>
              <w:rPr>
                <w:sz w:val="20"/>
              </w:rPr>
              <w:t>T31.6,</w:t>
            </w:r>
            <w:r>
              <w:rPr>
                <w:spacing w:val="-4"/>
                <w:sz w:val="20"/>
              </w:rPr>
              <w:t> </w:t>
            </w:r>
            <w:r>
              <w:rPr>
                <w:spacing w:val="-2"/>
                <w:sz w:val="20"/>
              </w:rPr>
              <w:t>T31.7,</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5"/>
              <w:rPr>
                <w:sz w:val="20"/>
              </w:rPr>
            </w:pPr>
            <w:r>
              <w:rPr>
                <w:sz w:val="20"/>
              </w:rPr>
              <w:t>T25.3,</w:t>
            </w:r>
            <w:r>
              <w:rPr>
                <w:spacing w:val="-7"/>
                <w:sz w:val="20"/>
              </w:rPr>
              <w:t> </w:t>
            </w:r>
            <w:r>
              <w:rPr>
                <w:sz w:val="20"/>
              </w:rPr>
              <w:t>T25.4,</w:t>
            </w:r>
            <w:r>
              <w:rPr>
                <w:spacing w:val="-5"/>
                <w:sz w:val="20"/>
              </w:rPr>
              <w:t> </w:t>
            </w:r>
            <w:r>
              <w:rPr>
                <w:sz w:val="20"/>
              </w:rPr>
              <w:t>T25.7,</w:t>
            </w:r>
            <w:r>
              <w:rPr>
                <w:spacing w:val="-5"/>
                <w:sz w:val="20"/>
              </w:rPr>
              <w:t> </w:t>
            </w:r>
            <w:r>
              <w:rPr>
                <w:sz w:val="20"/>
              </w:rPr>
              <w:t>T29.0,</w:t>
            </w:r>
            <w:r>
              <w:rPr>
                <w:spacing w:val="-5"/>
                <w:sz w:val="20"/>
              </w:rPr>
              <w:t> </w:t>
            </w:r>
            <w:r>
              <w:rPr>
                <w:sz w:val="20"/>
              </w:rPr>
              <w:t>T29.3,</w:t>
            </w:r>
            <w:r>
              <w:rPr>
                <w:spacing w:val="-5"/>
                <w:sz w:val="20"/>
              </w:rPr>
              <w:t> </w:t>
            </w:r>
            <w:r>
              <w:rPr>
                <w:sz w:val="20"/>
              </w:rPr>
              <w:t>T29.4,</w:t>
            </w:r>
            <w:r>
              <w:rPr>
                <w:spacing w:val="-5"/>
                <w:sz w:val="20"/>
              </w:rPr>
              <w:t> </w:t>
            </w:r>
            <w:r>
              <w:rPr>
                <w:spacing w:val="-2"/>
                <w:sz w:val="20"/>
              </w:rPr>
              <w:t>T29.7,</w:t>
            </w:r>
          </w:p>
        </w:tc>
        <w:tc>
          <w:tcPr>
            <w:tcW w:w="1486" w:type="dxa"/>
          </w:tcPr>
          <w:p>
            <w:pPr>
              <w:pStyle w:val="TableParagraph"/>
              <w:rPr>
                <w:sz w:val="16"/>
              </w:rPr>
            </w:pPr>
          </w:p>
        </w:tc>
        <w:tc>
          <w:tcPr>
            <w:tcW w:w="3267" w:type="dxa"/>
          </w:tcPr>
          <w:p>
            <w:pPr>
              <w:pStyle w:val="TableParagraph"/>
              <w:spacing w:line="210" w:lineRule="exact"/>
              <w:ind w:left="909" w:right="341"/>
              <w:jc w:val="center"/>
              <w:rPr>
                <w:sz w:val="20"/>
              </w:rPr>
            </w:pPr>
            <w:r>
              <w:rPr>
                <w:sz w:val="20"/>
              </w:rPr>
              <w:t>T31.8,</w:t>
            </w:r>
            <w:r>
              <w:rPr>
                <w:spacing w:val="-6"/>
                <w:sz w:val="20"/>
              </w:rPr>
              <w:t> </w:t>
            </w:r>
            <w:r>
              <w:rPr>
                <w:sz w:val="20"/>
              </w:rPr>
              <w:t>T31.9,</w:t>
            </w:r>
            <w:r>
              <w:rPr>
                <w:spacing w:val="-4"/>
                <w:sz w:val="20"/>
              </w:rPr>
              <w:t> </w:t>
            </w:r>
            <w:r>
              <w:rPr>
                <w:spacing w:val="-2"/>
                <w:sz w:val="20"/>
              </w:rPr>
              <w:t>T32.3,</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1751"/>
              <w:rPr>
                <w:sz w:val="20"/>
              </w:rPr>
            </w:pPr>
            <w:r>
              <w:rPr>
                <w:sz w:val="20"/>
              </w:rPr>
              <w:t>T30.3,</w:t>
            </w:r>
            <w:r>
              <w:rPr>
                <w:spacing w:val="-7"/>
                <w:sz w:val="20"/>
              </w:rPr>
              <w:t> </w:t>
            </w:r>
            <w:r>
              <w:rPr>
                <w:spacing w:val="-2"/>
                <w:sz w:val="20"/>
              </w:rPr>
              <w:t>T30.7</w:t>
            </w:r>
          </w:p>
        </w:tc>
        <w:tc>
          <w:tcPr>
            <w:tcW w:w="1486" w:type="dxa"/>
          </w:tcPr>
          <w:p>
            <w:pPr>
              <w:pStyle w:val="TableParagraph"/>
              <w:rPr>
                <w:sz w:val="16"/>
              </w:rPr>
            </w:pPr>
          </w:p>
        </w:tc>
        <w:tc>
          <w:tcPr>
            <w:tcW w:w="3267" w:type="dxa"/>
          </w:tcPr>
          <w:p>
            <w:pPr>
              <w:pStyle w:val="TableParagraph"/>
              <w:spacing w:line="210" w:lineRule="exact"/>
              <w:ind w:left="909" w:right="341"/>
              <w:jc w:val="center"/>
              <w:rPr>
                <w:sz w:val="20"/>
              </w:rPr>
            </w:pPr>
            <w:r>
              <w:rPr>
                <w:sz w:val="20"/>
              </w:rPr>
              <w:t>T32.4,</w:t>
            </w:r>
            <w:r>
              <w:rPr>
                <w:spacing w:val="-6"/>
                <w:sz w:val="20"/>
              </w:rPr>
              <w:t> </w:t>
            </w:r>
            <w:r>
              <w:rPr>
                <w:sz w:val="20"/>
              </w:rPr>
              <w:t>T32.5,</w:t>
            </w:r>
            <w:r>
              <w:rPr>
                <w:spacing w:val="-4"/>
                <w:sz w:val="20"/>
              </w:rPr>
              <w:t> </w:t>
            </w:r>
            <w:r>
              <w:rPr>
                <w:spacing w:val="-2"/>
                <w:sz w:val="20"/>
              </w:rPr>
              <w:t>T32.6,</w:t>
            </w:r>
          </w:p>
        </w:tc>
        <w:tc>
          <w:tcPr>
            <w:tcW w:w="854" w:type="dxa"/>
          </w:tcPr>
          <w:p>
            <w:pPr>
              <w:pStyle w:val="TableParagraph"/>
              <w:rPr>
                <w:sz w:val="16"/>
              </w:rPr>
            </w:pPr>
          </w:p>
        </w:tc>
      </w:tr>
      <w:tr>
        <w:trPr>
          <w:trHeight w:val="279"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rPr>
                <w:sz w:val="18"/>
              </w:rPr>
            </w:pPr>
          </w:p>
        </w:tc>
        <w:tc>
          <w:tcPr>
            <w:tcW w:w="1486" w:type="dxa"/>
          </w:tcPr>
          <w:p>
            <w:pPr>
              <w:pStyle w:val="TableParagraph"/>
              <w:rPr>
                <w:sz w:val="18"/>
              </w:rPr>
            </w:pPr>
          </w:p>
        </w:tc>
        <w:tc>
          <w:tcPr>
            <w:tcW w:w="3267" w:type="dxa"/>
          </w:tcPr>
          <w:p>
            <w:pPr>
              <w:pStyle w:val="TableParagraph"/>
              <w:spacing w:line="226" w:lineRule="exact"/>
              <w:ind w:left="909" w:right="342"/>
              <w:jc w:val="center"/>
              <w:rPr>
                <w:sz w:val="20"/>
              </w:rPr>
            </w:pPr>
            <w:r>
              <w:rPr>
                <w:sz w:val="20"/>
              </w:rPr>
              <w:t>T32.7,</w:t>
            </w:r>
            <w:r>
              <w:rPr>
                <w:spacing w:val="-6"/>
                <w:sz w:val="20"/>
              </w:rPr>
              <w:t> </w:t>
            </w:r>
            <w:r>
              <w:rPr>
                <w:sz w:val="20"/>
              </w:rPr>
              <w:t>T32.8,</w:t>
            </w:r>
            <w:r>
              <w:rPr>
                <w:spacing w:val="-4"/>
                <w:sz w:val="20"/>
              </w:rPr>
              <w:t> </w:t>
            </w:r>
            <w:r>
              <w:rPr>
                <w:spacing w:val="-2"/>
                <w:sz w:val="20"/>
              </w:rPr>
              <w:t>T32.9</w:t>
            </w:r>
          </w:p>
        </w:tc>
        <w:tc>
          <w:tcPr>
            <w:tcW w:w="85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st33.008</w:t>
            </w:r>
          </w:p>
        </w:tc>
        <w:tc>
          <w:tcPr>
            <w:tcW w:w="706" w:type="dxa"/>
          </w:tcPr>
          <w:p>
            <w:pPr>
              <w:pStyle w:val="TableParagraph"/>
              <w:spacing w:line="215" w:lineRule="exact" w:before="45"/>
              <w:ind w:left="210"/>
              <w:rPr>
                <w:sz w:val="20"/>
              </w:rPr>
            </w:pPr>
            <w:r>
              <w:rPr>
                <w:spacing w:val="-5"/>
                <w:sz w:val="20"/>
              </w:rPr>
              <w:t>342</w:t>
            </w:r>
          </w:p>
        </w:tc>
        <w:tc>
          <w:tcPr>
            <w:tcW w:w="2448" w:type="dxa"/>
          </w:tcPr>
          <w:p>
            <w:pPr>
              <w:pStyle w:val="TableParagraph"/>
              <w:spacing w:line="215" w:lineRule="exact" w:before="45"/>
              <w:ind w:left="193"/>
              <w:rPr>
                <w:sz w:val="20"/>
              </w:rPr>
            </w:pPr>
            <w:r>
              <w:rPr>
                <w:sz w:val="20"/>
              </w:rPr>
              <w:t>Ожоги</w:t>
            </w:r>
            <w:r>
              <w:rPr>
                <w:spacing w:val="-7"/>
                <w:sz w:val="20"/>
              </w:rPr>
              <w:t> </w:t>
            </w:r>
            <w:r>
              <w:rPr>
                <w:sz w:val="20"/>
              </w:rPr>
              <w:t>(уровень</w:t>
            </w:r>
            <w:r>
              <w:rPr>
                <w:spacing w:val="-6"/>
                <w:sz w:val="20"/>
              </w:rPr>
              <w:t> </w:t>
            </w:r>
            <w:r>
              <w:rPr>
                <w:sz w:val="20"/>
              </w:rPr>
              <w:t>4,5)</w:t>
            </w:r>
            <w:r>
              <w:rPr>
                <w:spacing w:val="-6"/>
                <w:sz w:val="20"/>
              </w:rPr>
              <w:t> </w:t>
            </w:r>
            <w:r>
              <w:rPr>
                <w:spacing w:val="-10"/>
                <w:sz w:val="20"/>
              </w:rPr>
              <w:t>с</w:t>
            </w:r>
          </w:p>
        </w:tc>
        <w:tc>
          <w:tcPr>
            <w:tcW w:w="5616" w:type="dxa"/>
          </w:tcPr>
          <w:p>
            <w:pPr>
              <w:pStyle w:val="TableParagraph"/>
              <w:spacing w:line="215" w:lineRule="exact" w:before="45"/>
              <w:ind w:left="295"/>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1486" w:type="dxa"/>
          </w:tcPr>
          <w:p>
            <w:pPr>
              <w:pStyle w:val="TableParagraph"/>
              <w:spacing w:line="215" w:lineRule="exact" w:before="45"/>
              <w:ind w:left="504"/>
              <w:rPr>
                <w:sz w:val="20"/>
              </w:rPr>
            </w:pPr>
            <w:r>
              <w:rPr>
                <w:w w:val="99"/>
                <w:sz w:val="20"/>
              </w:rPr>
              <w:t>-</w:t>
            </w:r>
          </w:p>
        </w:tc>
        <w:tc>
          <w:tcPr>
            <w:tcW w:w="3267" w:type="dxa"/>
          </w:tcPr>
          <w:p>
            <w:pPr>
              <w:pStyle w:val="TableParagraph"/>
              <w:spacing w:line="215" w:lineRule="exact" w:before="45"/>
              <w:ind w:left="909" w:right="340"/>
              <w:jc w:val="center"/>
              <w:rPr>
                <w:sz w:val="20"/>
              </w:rPr>
            </w:pPr>
            <w:r>
              <w:rPr>
                <w:spacing w:val="-4"/>
                <w:sz w:val="20"/>
              </w:rPr>
              <w:t>Иной</w:t>
            </w:r>
          </w:p>
        </w:tc>
        <w:tc>
          <w:tcPr>
            <w:tcW w:w="854" w:type="dxa"/>
          </w:tcPr>
          <w:p>
            <w:pPr>
              <w:pStyle w:val="TableParagraph"/>
              <w:spacing w:line="215" w:lineRule="exact" w:before="45"/>
              <w:ind w:right="47"/>
              <w:jc w:val="right"/>
              <w:rPr>
                <w:sz w:val="20"/>
              </w:rPr>
            </w:pPr>
            <w:r>
              <w:rPr>
                <w:spacing w:val="-2"/>
                <w:sz w:val="20"/>
              </w:rPr>
              <w:t>14,07</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z w:val="20"/>
              </w:rPr>
              <w:t>синдромом</w:t>
            </w:r>
            <w:r>
              <w:rPr>
                <w:spacing w:val="-6"/>
                <w:sz w:val="20"/>
              </w:rPr>
              <w:t> </w:t>
            </w:r>
            <w:r>
              <w:rPr>
                <w:spacing w:val="-2"/>
                <w:sz w:val="20"/>
              </w:rPr>
              <w:t>органной</w:t>
            </w:r>
          </w:p>
        </w:tc>
        <w:tc>
          <w:tcPr>
            <w:tcW w:w="5616" w:type="dxa"/>
          </w:tcPr>
          <w:p>
            <w:pPr>
              <w:pStyle w:val="TableParagraph"/>
              <w:spacing w:line="210" w:lineRule="exact"/>
              <w:ind w:left="295"/>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1486" w:type="dxa"/>
          </w:tcPr>
          <w:p>
            <w:pPr>
              <w:pStyle w:val="TableParagraph"/>
              <w:rPr>
                <w:sz w:val="16"/>
              </w:rPr>
            </w:pPr>
          </w:p>
        </w:tc>
        <w:tc>
          <w:tcPr>
            <w:tcW w:w="3267" w:type="dxa"/>
          </w:tcPr>
          <w:p>
            <w:pPr>
              <w:pStyle w:val="TableParagraph"/>
              <w:spacing w:line="210" w:lineRule="exact"/>
              <w:ind w:left="909" w:right="339"/>
              <w:jc w:val="center"/>
              <w:rPr>
                <w:sz w:val="20"/>
              </w:rPr>
            </w:pPr>
            <w:r>
              <w:rPr>
                <w:spacing w:val="-2"/>
                <w:sz w:val="20"/>
              </w:rPr>
              <w:t>классификационный</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pacing w:val="-2"/>
                <w:sz w:val="20"/>
              </w:rPr>
              <w:t>дисфункции</w:t>
            </w:r>
          </w:p>
        </w:tc>
        <w:tc>
          <w:tcPr>
            <w:tcW w:w="5616" w:type="dxa"/>
          </w:tcPr>
          <w:p>
            <w:pPr>
              <w:pStyle w:val="TableParagraph"/>
              <w:spacing w:line="210" w:lineRule="exact"/>
              <w:ind w:left="295"/>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4"/>
                <w:sz w:val="20"/>
              </w:rPr>
              <w:t> </w:t>
            </w:r>
            <w:r>
              <w:rPr>
                <w:sz w:val="20"/>
              </w:rPr>
              <w:t>T24.4,</w:t>
            </w:r>
            <w:r>
              <w:rPr>
                <w:spacing w:val="-5"/>
                <w:sz w:val="20"/>
              </w:rPr>
              <w:t> </w:t>
            </w:r>
            <w:r>
              <w:rPr>
                <w:sz w:val="20"/>
              </w:rPr>
              <w:t>T24.7,</w:t>
            </w:r>
            <w:r>
              <w:rPr>
                <w:spacing w:val="-5"/>
                <w:sz w:val="20"/>
              </w:rPr>
              <w:t> </w:t>
            </w:r>
            <w:r>
              <w:rPr>
                <w:spacing w:val="-2"/>
                <w:sz w:val="20"/>
              </w:rPr>
              <w:t>T25.0,</w:t>
            </w:r>
          </w:p>
        </w:tc>
        <w:tc>
          <w:tcPr>
            <w:tcW w:w="1486" w:type="dxa"/>
          </w:tcPr>
          <w:p>
            <w:pPr>
              <w:pStyle w:val="TableParagraph"/>
              <w:rPr>
                <w:sz w:val="16"/>
              </w:rPr>
            </w:pPr>
          </w:p>
        </w:tc>
        <w:tc>
          <w:tcPr>
            <w:tcW w:w="3267" w:type="dxa"/>
          </w:tcPr>
          <w:p>
            <w:pPr>
              <w:pStyle w:val="TableParagraph"/>
              <w:spacing w:line="210" w:lineRule="exact"/>
              <w:ind w:left="909" w:right="342"/>
              <w:jc w:val="center"/>
              <w:rPr>
                <w:sz w:val="20"/>
              </w:rPr>
            </w:pPr>
            <w:r>
              <w:rPr>
                <w:sz w:val="20"/>
              </w:rPr>
              <w:t>критерий:</w:t>
            </w:r>
            <w:r>
              <w:rPr>
                <w:spacing w:val="-13"/>
                <w:sz w:val="20"/>
              </w:rPr>
              <w:t> </w:t>
            </w:r>
            <w:r>
              <w:rPr>
                <w:spacing w:val="-5"/>
                <w:sz w:val="20"/>
              </w:rPr>
              <w:t>it1</w:t>
            </w: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5"/>
              <w:rPr>
                <w:sz w:val="20"/>
              </w:rPr>
            </w:pPr>
            <w:r>
              <w:rPr>
                <w:sz w:val="20"/>
              </w:rPr>
              <w:t>T25.3,</w:t>
            </w:r>
            <w:r>
              <w:rPr>
                <w:spacing w:val="-7"/>
                <w:sz w:val="20"/>
              </w:rPr>
              <w:t> </w:t>
            </w:r>
            <w:r>
              <w:rPr>
                <w:sz w:val="20"/>
              </w:rPr>
              <w:t>T25.4,</w:t>
            </w:r>
            <w:r>
              <w:rPr>
                <w:spacing w:val="-5"/>
                <w:sz w:val="20"/>
              </w:rPr>
              <w:t> </w:t>
            </w:r>
            <w:r>
              <w:rPr>
                <w:sz w:val="20"/>
              </w:rPr>
              <w:t>T25.7,</w:t>
            </w:r>
            <w:r>
              <w:rPr>
                <w:spacing w:val="-5"/>
                <w:sz w:val="20"/>
              </w:rPr>
              <w:t> </w:t>
            </w:r>
            <w:r>
              <w:rPr>
                <w:sz w:val="20"/>
              </w:rPr>
              <w:t>T29.0,</w:t>
            </w:r>
            <w:r>
              <w:rPr>
                <w:spacing w:val="-5"/>
                <w:sz w:val="20"/>
              </w:rPr>
              <w:t> </w:t>
            </w:r>
            <w:r>
              <w:rPr>
                <w:sz w:val="20"/>
              </w:rPr>
              <w:t>T29.3,</w:t>
            </w:r>
            <w:r>
              <w:rPr>
                <w:spacing w:val="-5"/>
                <w:sz w:val="20"/>
              </w:rPr>
              <w:t> </w:t>
            </w:r>
            <w:r>
              <w:rPr>
                <w:sz w:val="20"/>
              </w:rPr>
              <w:t>T29.4,</w:t>
            </w:r>
            <w:r>
              <w:rPr>
                <w:spacing w:val="-5"/>
                <w:sz w:val="20"/>
              </w:rPr>
              <w:t> </w:t>
            </w:r>
            <w:r>
              <w:rPr>
                <w:spacing w:val="-2"/>
                <w:sz w:val="20"/>
              </w:rPr>
              <w:t>T29.7,</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79"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spacing w:line="224" w:lineRule="exact"/>
              <w:ind w:left="1751"/>
              <w:rPr>
                <w:sz w:val="20"/>
              </w:rPr>
            </w:pPr>
            <w:r>
              <w:rPr>
                <w:sz w:val="20"/>
              </w:rPr>
              <w:t>T30.3,</w:t>
            </w:r>
            <w:r>
              <w:rPr>
                <w:spacing w:val="-7"/>
                <w:sz w:val="20"/>
              </w:rPr>
              <w:t> </w:t>
            </w:r>
            <w:r>
              <w:rPr>
                <w:spacing w:val="-2"/>
                <w:sz w:val="20"/>
              </w:rPr>
              <w:t>T30.7</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rPr>
                <w:sz w:val="18"/>
              </w:rPr>
            </w:pPr>
          </w:p>
        </w:tc>
      </w:tr>
      <w:tr>
        <w:trPr>
          <w:trHeight w:val="560"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spacing w:before="46"/>
              <w:ind w:left="2037" w:right="978" w:hanging="1743"/>
              <w:rPr>
                <w:sz w:val="20"/>
              </w:rPr>
            </w:pPr>
            <w:r>
              <w:rPr>
                <w:sz w:val="20"/>
              </w:rPr>
              <w:t>T27.0,</w:t>
            </w:r>
            <w:r>
              <w:rPr>
                <w:spacing w:val="-9"/>
                <w:sz w:val="20"/>
              </w:rPr>
              <w:t> </w:t>
            </w:r>
            <w:r>
              <w:rPr>
                <w:sz w:val="20"/>
              </w:rPr>
              <w:t>T27.1,</w:t>
            </w:r>
            <w:r>
              <w:rPr>
                <w:spacing w:val="-7"/>
                <w:sz w:val="20"/>
              </w:rPr>
              <w:t> </w:t>
            </w:r>
            <w:r>
              <w:rPr>
                <w:sz w:val="20"/>
              </w:rPr>
              <w:t>T27.2,</w:t>
            </w:r>
            <w:r>
              <w:rPr>
                <w:spacing w:val="-7"/>
                <w:sz w:val="20"/>
              </w:rPr>
              <w:t> </w:t>
            </w:r>
            <w:r>
              <w:rPr>
                <w:sz w:val="20"/>
              </w:rPr>
              <w:t>T27.3,</w:t>
            </w:r>
            <w:r>
              <w:rPr>
                <w:spacing w:val="-7"/>
                <w:sz w:val="20"/>
              </w:rPr>
              <w:t> </w:t>
            </w:r>
            <w:r>
              <w:rPr>
                <w:sz w:val="20"/>
              </w:rPr>
              <w:t>T27.4,</w:t>
            </w:r>
            <w:r>
              <w:rPr>
                <w:spacing w:val="-7"/>
                <w:sz w:val="20"/>
              </w:rPr>
              <w:t> </w:t>
            </w:r>
            <w:r>
              <w:rPr>
                <w:sz w:val="20"/>
              </w:rPr>
              <w:t>T27.5,</w:t>
            </w:r>
            <w:r>
              <w:rPr>
                <w:spacing w:val="-7"/>
                <w:sz w:val="20"/>
              </w:rPr>
              <w:t> </w:t>
            </w:r>
            <w:r>
              <w:rPr>
                <w:sz w:val="20"/>
              </w:rPr>
              <w:t>T27.6, </w:t>
            </w:r>
            <w:r>
              <w:rPr>
                <w:spacing w:val="-4"/>
                <w:sz w:val="20"/>
              </w:rPr>
              <w:t>T27.7</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st34</w:t>
            </w:r>
          </w:p>
        </w:tc>
        <w:tc>
          <w:tcPr>
            <w:tcW w:w="706" w:type="dxa"/>
          </w:tcPr>
          <w:p>
            <w:pPr>
              <w:pStyle w:val="TableParagraph"/>
              <w:spacing w:before="45"/>
              <w:ind w:left="261"/>
              <w:rPr>
                <w:sz w:val="20"/>
              </w:rPr>
            </w:pPr>
            <w:r>
              <w:rPr>
                <w:spacing w:val="-5"/>
                <w:sz w:val="20"/>
              </w:rPr>
              <w:t>34</w:t>
            </w:r>
          </w:p>
        </w:tc>
        <w:tc>
          <w:tcPr>
            <w:tcW w:w="2448" w:type="dxa"/>
          </w:tcPr>
          <w:p>
            <w:pPr>
              <w:pStyle w:val="TableParagraph"/>
              <w:rPr>
                <w:sz w:val="18"/>
              </w:rPr>
            </w:pPr>
          </w:p>
        </w:tc>
        <w:tc>
          <w:tcPr>
            <w:tcW w:w="5616" w:type="dxa"/>
          </w:tcPr>
          <w:p>
            <w:pPr>
              <w:pStyle w:val="TableParagraph"/>
              <w:spacing w:before="45"/>
              <w:ind w:left="2682"/>
              <w:rPr>
                <w:sz w:val="20"/>
              </w:rPr>
            </w:pPr>
            <w:r>
              <w:rPr>
                <w:w w:val="95"/>
                <w:sz w:val="20"/>
              </w:rPr>
              <w:t>Челюстно-лицевая</w:t>
            </w:r>
            <w:r>
              <w:rPr>
                <w:spacing w:val="59"/>
                <w:sz w:val="20"/>
              </w:rPr>
              <w:t> </w:t>
            </w:r>
            <w:r>
              <w:rPr>
                <w:spacing w:val="-2"/>
                <w:w w:val="95"/>
                <w:sz w:val="20"/>
              </w:rPr>
              <w:t>хирургия</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spacing w:before="45"/>
              <w:ind w:right="97"/>
              <w:jc w:val="right"/>
              <w:rPr>
                <w:sz w:val="20"/>
              </w:rPr>
            </w:pPr>
            <w:r>
              <w:rPr>
                <w:spacing w:val="-4"/>
                <w:sz w:val="20"/>
              </w:rPr>
              <w:t>1,18</w:t>
            </w:r>
          </w:p>
        </w:tc>
      </w:tr>
      <w:tr>
        <w:trPr>
          <w:trHeight w:val="280" w:hRule="atLeast"/>
        </w:trPr>
        <w:tc>
          <w:tcPr>
            <w:tcW w:w="946" w:type="dxa"/>
          </w:tcPr>
          <w:p>
            <w:pPr>
              <w:pStyle w:val="TableParagraph"/>
              <w:spacing w:line="215" w:lineRule="exact" w:before="46"/>
              <w:ind w:left="39" w:right="197"/>
              <w:jc w:val="center"/>
              <w:rPr>
                <w:sz w:val="20"/>
              </w:rPr>
            </w:pPr>
            <w:r>
              <w:rPr>
                <w:spacing w:val="-2"/>
                <w:sz w:val="20"/>
              </w:rPr>
              <w:t>st34.001</w:t>
            </w:r>
          </w:p>
        </w:tc>
        <w:tc>
          <w:tcPr>
            <w:tcW w:w="706" w:type="dxa"/>
          </w:tcPr>
          <w:p>
            <w:pPr>
              <w:pStyle w:val="TableParagraph"/>
              <w:spacing w:line="215" w:lineRule="exact" w:before="46"/>
              <w:ind w:left="210"/>
              <w:rPr>
                <w:sz w:val="20"/>
              </w:rPr>
            </w:pPr>
            <w:r>
              <w:rPr>
                <w:spacing w:val="-5"/>
                <w:sz w:val="20"/>
              </w:rPr>
              <w:t>343</w:t>
            </w:r>
          </w:p>
        </w:tc>
        <w:tc>
          <w:tcPr>
            <w:tcW w:w="2448" w:type="dxa"/>
          </w:tcPr>
          <w:p>
            <w:pPr>
              <w:pStyle w:val="TableParagraph"/>
              <w:spacing w:line="215" w:lineRule="exact" w:before="46"/>
              <w:ind w:left="193"/>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5616" w:type="dxa"/>
          </w:tcPr>
          <w:p>
            <w:pPr>
              <w:pStyle w:val="TableParagraph"/>
              <w:spacing w:line="215" w:lineRule="exact" w:before="46"/>
              <w:ind w:left="330"/>
              <w:rPr>
                <w:sz w:val="20"/>
              </w:rPr>
            </w:pPr>
            <w:r>
              <w:rPr>
                <w:sz w:val="20"/>
              </w:rPr>
              <w:t>I86.0,</w:t>
            </w:r>
            <w:r>
              <w:rPr>
                <w:spacing w:val="-5"/>
                <w:sz w:val="20"/>
              </w:rPr>
              <w:t> </w:t>
            </w:r>
            <w:r>
              <w:rPr>
                <w:sz w:val="20"/>
              </w:rPr>
              <w:t>K00,</w:t>
            </w:r>
            <w:r>
              <w:rPr>
                <w:spacing w:val="-6"/>
                <w:sz w:val="20"/>
              </w:rPr>
              <w:t> </w:t>
            </w:r>
            <w:r>
              <w:rPr>
                <w:sz w:val="20"/>
              </w:rPr>
              <w:t>K00.0,</w:t>
            </w:r>
            <w:r>
              <w:rPr>
                <w:spacing w:val="-4"/>
                <w:sz w:val="20"/>
              </w:rPr>
              <w:t> </w:t>
            </w:r>
            <w:r>
              <w:rPr>
                <w:sz w:val="20"/>
              </w:rPr>
              <w:t>K00.1,</w:t>
            </w:r>
            <w:r>
              <w:rPr>
                <w:spacing w:val="-4"/>
                <w:sz w:val="20"/>
              </w:rPr>
              <w:t> </w:t>
            </w:r>
            <w:r>
              <w:rPr>
                <w:sz w:val="20"/>
              </w:rPr>
              <w:t>K00.2,</w:t>
            </w:r>
            <w:r>
              <w:rPr>
                <w:spacing w:val="-4"/>
                <w:sz w:val="20"/>
              </w:rPr>
              <w:t> </w:t>
            </w:r>
            <w:r>
              <w:rPr>
                <w:sz w:val="20"/>
              </w:rPr>
              <w:t>K00.3,</w:t>
            </w:r>
            <w:r>
              <w:rPr>
                <w:spacing w:val="-4"/>
                <w:sz w:val="20"/>
              </w:rPr>
              <w:t> </w:t>
            </w:r>
            <w:r>
              <w:rPr>
                <w:spacing w:val="-2"/>
                <w:sz w:val="20"/>
              </w:rPr>
              <w:t>K00.4,</w:t>
            </w:r>
          </w:p>
        </w:tc>
        <w:tc>
          <w:tcPr>
            <w:tcW w:w="1486" w:type="dxa"/>
          </w:tcPr>
          <w:p>
            <w:pPr>
              <w:pStyle w:val="TableParagraph"/>
              <w:spacing w:line="215" w:lineRule="exact" w:before="46"/>
              <w:ind w:left="504"/>
              <w:rPr>
                <w:sz w:val="20"/>
              </w:rPr>
            </w:pPr>
            <w:r>
              <w:rPr>
                <w:w w:val="99"/>
                <w:sz w:val="20"/>
              </w:rPr>
              <w:t>-</w:t>
            </w:r>
          </w:p>
        </w:tc>
        <w:tc>
          <w:tcPr>
            <w:tcW w:w="3267" w:type="dxa"/>
          </w:tcPr>
          <w:p>
            <w:pPr>
              <w:pStyle w:val="TableParagraph"/>
              <w:spacing w:line="215" w:lineRule="exact" w:before="46"/>
              <w:ind w:left="909" w:right="339"/>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5" w:lineRule="exact" w:before="46"/>
              <w:ind w:right="97"/>
              <w:jc w:val="right"/>
              <w:rPr>
                <w:sz w:val="20"/>
              </w:rPr>
            </w:pPr>
            <w:r>
              <w:rPr>
                <w:spacing w:val="-4"/>
                <w:sz w:val="20"/>
              </w:rPr>
              <w:t>0,89</w:t>
            </w: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09" w:lineRule="exact"/>
              <w:ind w:left="193"/>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5616" w:type="dxa"/>
          </w:tcPr>
          <w:p>
            <w:pPr>
              <w:pStyle w:val="TableParagraph"/>
              <w:spacing w:line="209" w:lineRule="exact"/>
              <w:ind w:left="290"/>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4"/>
                <w:sz w:val="20"/>
              </w:rPr>
              <w:t> </w:t>
            </w:r>
            <w:r>
              <w:rPr>
                <w:sz w:val="20"/>
              </w:rPr>
              <w:t>K01,</w:t>
            </w:r>
            <w:r>
              <w:rPr>
                <w:spacing w:val="-4"/>
                <w:sz w:val="20"/>
              </w:rPr>
              <w:t> </w:t>
            </w:r>
            <w:r>
              <w:rPr>
                <w:spacing w:val="-2"/>
                <w:sz w:val="20"/>
              </w:rPr>
              <w:t>K01.0,</w:t>
            </w:r>
          </w:p>
        </w:tc>
        <w:tc>
          <w:tcPr>
            <w:tcW w:w="1486" w:type="dxa"/>
          </w:tcPr>
          <w:p>
            <w:pPr>
              <w:pStyle w:val="TableParagraph"/>
              <w:rPr>
                <w:sz w:val="16"/>
              </w:rPr>
            </w:pPr>
          </w:p>
        </w:tc>
        <w:tc>
          <w:tcPr>
            <w:tcW w:w="3267" w:type="dxa"/>
          </w:tcPr>
          <w:p>
            <w:pPr>
              <w:pStyle w:val="TableParagraph"/>
              <w:spacing w:line="209" w:lineRule="exact"/>
              <w:ind w:left="909" w:right="339"/>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09" w:lineRule="exact"/>
              <w:ind w:left="193"/>
              <w:rPr>
                <w:sz w:val="20"/>
              </w:rPr>
            </w:pPr>
            <w:r>
              <w:rPr>
                <w:spacing w:val="-2"/>
                <w:sz w:val="20"/>
              </w:rPr>
              <w:t>челюстей,</w:t>
            </w:r>
            <w:r>
              <w:rPr>
                <w:spacing w:val="5"/>
                <w:sz w:val="20"/>
              </w:rPr>
              <w:t> </w:t>
            </w:r>
            <w:r>
              <w:rPr>
                <w:spacing w:val="-2"/>
                <w:sz w:val="20"/>
              </w:rPr>
              <w:t>врожденные</w:t>
            </w:r>
          </w:p>
        </w:tc>
        <w:tc>
          <w:tcPr>
            <w:tcW w:w="5616" w:type="dxa"/>
          </w:tcPr>
          <w:p>
            <w:pPr>
              <w:pStyle w:val="TableParagraph"/>
              <w:spacing w:line="209" w:lineRule="exact"/>
              <w:ind w:left="292"/>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z w:val="20"/>
              </w:rPr>
              <w:t>аномалии</w:t>
            </w:r>
            <w:r>
              <w:rPr>
                <w:spacing w:val="-6"/>
                <w:sz w:val="20"/>
              </w:rPr>
              <w:t> </w:t>
            </w:r>
            <w:r>
              <w:rPr>
                <w:sz w:val="20"/>
              </w:rPr>
              <w:t>лица</w:t>
            </w:r>
            <w:r>
              <w:rPr>
                <w:spacing w:val="-3"/>
                <w:sz w:val="20"/>
              </w:rPr>
              <w:t> </w:t>
            </w:r>
            <w:r>
              <w:rPr>
                <w:sz w:val="20"/>
              </w:rPr>
              <w:t>и</w:t>
            </w:r>
            <w:r>
              <w:rPr>
                <w:spacing w:val="-6"/>
                <w:sz w:val="20"/>
              </w:rPr>
              <w:t> </w:t>
            </w:r>
            <w:r>
              <w:rPr>
                <w:spacing w:val="-4"/>
                <w:sz w:val="20"/>
              </w:rPr>
              <w:t>шеи,</w:t>
            </w:r>
          </w:p>
        </w:tc>
        <w:tc>
          <w:tcPr>
            <w:tcW w:w="5616" w:type="dxa"/>
          </w:tcPr>
          <w:p>
            <w:pPr>
              <w:pStyle w:val="TableParagraph"/>
              <w:spacing w:line="210" w:lineRule="exact"/>
              <w:ind w:left="292"/>
              <w:rPr>
                <w:sz w:val="20"/>
              </w:rPr>
            </w:pPr>
            <w:r>
              <w:rPr>
                <w:sz w:val="20"/>
              </w:rPr>
              <w:t>K02.5,</w:t>
            </w:r>
            <w:r>
              <w:rPr>
                <w:spacing w:val="-6"/>
                <w:sz w:val="20"/>
              </w:rPr>
              <w:t> </w:t>
            </w:r>
            <w:r>
              <w:rPr>
                <w:sz w:val="20"/>
              </w:rPr>
              <w:t>K02.8,</w:t>
            </w:r>
            <w:r>
              <w:rPr>
                <w:spacing w:val="-6"/>
                <w:sz w:val="20"/>
              </w:rPr>
              <w:t> </w:t>
            </w:r>
            <w:r>
              <w:rPr>
                <w:sz w:val="20"/>
              </w:rPr>
              <w:t>K02.9,</w:t>
            </w:r>
            <w:r>
              <w:rPr>
                <w:spacing w:val="-3"/>
                <w:sz w:val="20"/>
              </w:rPr>
              <w:t> </w:t>
            </w:r>
            <w:r>
              <w:rPr>
                <w:sz w:val="20"/>
              </w:rPr>
              <w:t>K03,</w:t>
            </w:r>
            <w:r>
              <w:rPr>
                <w:spacing w:val="-5"/>
                <w:sz w:val="20"/>
              </w:rPr>
              <w:t> </w:t>
            </w:r>
            <w:r>
              <w:rPr>
                <w:sz w:val="20"/>
              </w:rPr>
              <w:t>K03.0,</w:t>
            </w:r>
            <w:r>
              <w:rPr>
                <w:spacing w:val="-5"/>
                <w:sz w:val="20"/>
              </w:rPr>
              <w:t> </w:t>
            </w:r>
            <w:r>
              <w:rPr>
                <w:sz w:val="20"/>
              </w:rPr>
              <w:t>K03.1,</w:t>
            </w:r>
            <w:r>
              <w:rPr>
                <w:spacing w:val="-5"/>
                <w:sz w:val="20"/>
              </w:rPr>
              <w:t> </w:t>
            </w:r>
            <w:r>
              <w:rPr>
                <w:spacing w:val="-2"/>
                <w:sz w:val="20"/>
              </w:rPr>
              <w:t>K03.2,</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pacing w:val="-2"/>
                <w:sz w:val="20"/>
              </w:rPr>
              <w:t>взрослые</w:t>
            </w:r>
          </w:p>
        </w:tc>
        <w:tc>
          <w:tcPr>
            <w:tcW w:w="5616" w:type="dxa"/>
          </w:tcPr>
          <w:p>
            <w:pPr>
              <w:pStyle w:val="TableParagraph"/>
              <w:spacing w:line="210" w:lineRule="exact"/>
              <w:ind w:left="513"/>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K03.9,</w:t>
            </w:r>
            <w:r>
              <w:rPr>
                <w:spacing w:val="-6"/>
                <w:sz w:val="20"/>
              </w:rPr>
              <w:t> </w:t>
            </w:r>
            <w:r>
              <w:rPr>
                <w:sz w:val="20"/>
              </w:rPr>
              <w:t>K04,</w:t>
            </w:r>
            <w:r>
              <w:rPr>
                <w:spacing w:val="-6"/>
                <w:sz w:val="20"/>
              </w:rPr>
              <w:t> </w:t>
            </w:r>
            <w:r>
              <w:rPr>
                <w:sz w:val="20"/>
              </w:rPr>
              <w:t>K04.0,</w:t>
            </w:r>
            <w:r>
              <w:rPr>
                <w:spacing w:val="-5"/>
                <w:sz w:val="20"/>
              </w:rPr>
              <w:t> </w:t>
            </w:r>
            <w:r>
              <w:rPr>
                <w:sz w:val="20"/>
              </w:rPr>
              <w:t>K04.1,</w:t>
            </w:r>
            <w:r>
              <w:rPr>
                <w:spacing w:val="-6"/>
                <w:sz w:val="20"/>
              </w:rPr>
              <w:t> </w:t>
            </w:r>
            <w:r>
              <w:rPr>
                <w:sz w:val="20"/>
              </w:rPr>
              <w:t>K04.2,</w:t>
            </w:r>
            <w:r>
              <w:rPr>
                <w:spacing w:val="-5"/>
                <w:sz w:val="20"/>
              </w:rPr>
              <w:t> </w:t>
            </w:r>
            <w:r>
              <w:rPr>
                <w:sz w:val="20"/>
              </w:rPr>
              <w:t>K04.3,</w:t>
            </w:r>
            <w:r>
              <w:rPr>
                <w:spacing w:val="-6"/>
                <w:sz w:val="20"/>
              </w:rPr>
              <w:t> </w:t>
            </w:r>
            <w:r>
              <w:rPr>
                <w:spacing w:val="-2"/>
                <w:sz w:val="20"/>
              </w:rPr>
              <w:t>K04.4,</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0"/>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6"/>
                <w:sz w:val="20"/>
              </w:rPr>
              <w:t> </w:t>
            </w:r>
            <w:r>
              <w:rPr>
                <w:sz w:val="20"/>
              </w:rPr>
              <w:t>K04.9,</w:t>
            </w:r>
            <w:r>
              <w:rPr>
                <w:spacing w:val="-4"/>
                <w:sz w:val="20"/>
              </w:rPr>
              <w:t> </w:t>
            </w:r>
            <w:r>
              <w:rPr>
                <w:sz w:val="20"/>
              </w:rPr>
              <w:t>K05,</w:t>
            </w:r>
            <w:r>
              <w:rPr>
                <w:spacing w:val="-4"/>
                <w:sz w:val="20"/>
              </w:rPr>
              <w:t> </w:t>
            </w:r>
            <w:r>
              <w:rPr>
                <w:spacing w:val="-2"/>
                <w:sz w:val="20"/>
              </w:rPr>
              <w:t>K05.0,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0"/>
              <w:rPr>
                <w:sz w:val="20"/>
              </w:rPr>
            </w:pPr>
            <w:r>
              <w:rPr>
                <w:sz w:val="20"/>
              </w:rPr>
              <w:t>K05.1,</w:t>
            </w:r>
            <w:r>
              <w:rPr>
                <w:spacing w:val="-5"/>
                <w:sz w:val="20"/>
              </w:rPr>
              <w:t> </w:t>
            </w:r>
            <w:r>
              <w:rPr>
                <w:sz w:val="20"/>
              </w:rPr>
              <w:t>K05.2,</w:t>
            </w:r>
            <w:r>
              <w:rPr>
                <w:spacing w:val="-5"/>
                <w:sz w:val="20"/>
              </w:rPr>
              <w:t> </w:t>
            </w:r>
            <w:r>
              <w:rPr>
                <w:sz w:val="20"/>
              </w:rPr>
              <w:t>K05.3,</w:t>
            </w:r>
            <w:r>
              <w:rPr>
                <w:spacing w:val="-4"/>
                <w:sz w:val="20"/>
              </w:rPr>
              <w:t> </w:t>
            </w:r>
            <w:r>
              <w:rPr>
                <w:sz w:val="20"/>
              </w:rPr>
              <w:t>K05.4,</w:t>
            </w:r>
            <w:r>
              <w:rPr>
                <w:spacing w:val="-6"/>
                <w:sz w:val="20"/>
              </w:rPr>
              <w:t> </w:t>
            </w:r>
            <w:r>
              <w:rPr>
                <w:sz w:val="20"/>
              </w:rPr>
              <w:t>K05.5,</w:t>
            </w:r>
            <w:r>
              <w:rPr>
                <w:spacing w:val="-4"/>
                <w:sz w:val="20"/>
              </w:rPr>
              <w:t> </w:t>
            </w:r>
            <w:r>
              <w:rPr>
                <w:sz w:val="20"/>
              </w:rPr>
              <w:t>K05.6,</w:t>
            </w:r>
            <w:r>
              <w:rPr>
                <w:spacing w:val="-6"/>
                <w:sz w:val="20"/>
              </w:rPr>
              <w:t> </w:t>
            </w:r>
            <w:r>
              <w:rPr>
                <w:spacing w:val="-4"/>
                <w:sz w:val="20"/>
              </w:rPr>
              <w:t>K06,</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1" w:lineRule="exact"/>
              <w:ind w:left="290"/>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513"/>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K08.8,</w:t>
            </w:r>
            <w:r>
              <w:rPr>
                <w:spacing w:val="-6"/>
                <w:sz w:val="20"/>
              </w:rPr>
              <w:t> </w:t>
            </w:r>
            <w:r>
              <w:rPr>
                <w:sz w:val="20"/>
              </w:rPr>
              <w:t>K08.9,</w:t>
            </w:r>
            <w:r>
              <w:rPr>
                <w:spacing w:val="-7"/>
                <w:sz w:val="20"/>
              </w:rPr>
              <w:t> </w:t>
            </w:r>
            <w:r>
              <w:rPr>
                <w:sz w:val="20"/>
              </w:rPr>
              <w:t>K09,</w:t>
            </w:r>
            <w:r>
              <w:rPr>
                <w:spacing w:val="-5"/>
                <w:sz w:val="20"/>
              </w:rPr>
              <w:t> </w:t>
            </w:r>
            <w:r>
              <w:rPr>
                <w:sz w:val="20"/>
              </w:rPr>
              <w:t>K09.0,</w:t>
            </w:r>
            <w:r>
              <w:rPr>
                <w:spacing w:val="-5"/>
                <w:sz w:val="20"/>
              </w:rPr>
              <w:t> </w:t>
            </w:r>
            <w:r>
              <w:rPr>
                <w:sz w:val="20"/>
              </w:rPr>
              <w:t>K09.1,</w:t>
            </w:r>
            <w:r>
              <w:rPr>
                <w:spacing w:val="-5"/>
                <w:sz w:val="20"/>
              </w:rPr>
              <w:t> </w:t>
            </w:r>
            <w:r>
              <w:rPr>
                <w:sz w:val="20"/>
              </w:rPr>
              <w:t>K09.2,</w:t>
            </w:r>
            <w:r>
              <w:rPr>
                <w:spacing w:val="-6"/>
                <w:sz w:val="20"/>
              </w:rPr>
              <w:t> </w:t>
            </w:r>
            <w:r>
              <w:rPr>
                <w:spacing w:val="-2"/>
                <w:sz w:val="20"/>
              </w:rPr>
              <w:t>K09.8,</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2"/>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2"/>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0"/>
              <w:rPr>
                <w:sz w:val="20"/>
              </w:rPr>
            </w:pPr>
            <w:r>
              <w:rPr>
                <w:sz w:val="20"/>
              </w:rPr>
              <w:t>K11.5,</w:t>
            </w:r>
            <w:r>
              <w:rPr>
                <w:spacing w:val="-4"/>
                <w:sz w:val="20"/>
              </w:rPr>
              <w:t> </w:t>
            </w:r>
            <w:r>
              <w:rPr>
                <w:sz w:val="20"/>
              </w:rPr>
              <w:t>K11.6,</w:t>
            </w:r>
            <w:r>
              <w:rPr>
                <w:spacing w:val="-5"/>
                <w:sz w:val="20"/>
              </w:rPr>
              <w:t> </w:t>
            </w:r>
            <w:r>
              <w:rPr>
                <w:sz w:val="20"/>
              </w:rPr>
              <w:t>K11.7,</w:t>
            </w:r>
            <w:r>
              <w:rPr>
                <w:spacing w:val="-4"/>
                <w:sz w:val="20"/>
              </w:rPr>
              <w:t> </w:t>
            </w:r>
            <w:r>
              <w:rPr>
                <w:sz w:val="20"/>
              </w:rPr>
              <w:t>K11.8,</w:t>
            </w:r>
            <w:r>
              <w:rPr>
                <w:spacing w:val="-5"/>
                <w:sz w:val="20"/>
              </w:rPr>
              <w:t> </w:t>
            </w:r>
            <w:r>
              <w:rPr>
                <w:sz w:val="20"/>
              </w:rPr>
              <w:t>K11.9,</w:t>
            </w:r>
            <w:r>
              <w:rPr>
                <w:spacing w:val="-3"/>
                <w:sz w:val="20"/>
              </w:rPr>
              <w:t> </w:t>
            </w:r>
            <w:r>
              <w:rPr>
                <w:sz w:val="20"/>
              </w:rPr>
              <w:t>K12,</w:t>
            </w:r>
            <w:r>
              <w:rPr>
                <w:spacing w:val="-4"/>
                <w:sz w:val="20"/>
              </w:rPr>
              <w:t> </w:t>
            </w:r>
            <w:r>
              <w:rPr>
                <w:spacing w:val="-2"/>
                <w:sz w:val="20"/>
              </w:rPr>
              <w:t>K12.0,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5"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5" w:lineRule="exact"/>
              <w:ind w:left="290"/>
              <w:rPr>
                <w:sz w:val="20"/>
              </w:rPr>
            </w:pPr>
            <w:r>
              <w:rPr>
                <w:sz w:val="20"/>
              </w:rPr>
              <w:t>K13.3,</w:t>
            </w:r>
            <w:r>
              <w:rPr>
                <w:spacing w:val="-4"/>
                <w:sz w:val="20"/>
              </w:rPr>
              <w:t> </w:t>
            </w:r>
            <w:r>
              <w:rPr>
                <w:sz w:val="20"/>
              </w:rPr>
              <w:t>K13.4,</w:t>
            </w:r>
            <w:r>
              <w:rPr>
                <w:spacing w:val="-6"/>
                <w:sz w:val="20"/>
              </w:rPr>
              <w:t> </w:t>
            </w:r>
            <w:r>
              <w:rPr>
                <w:sz w:val="20"/>
              </w:rPr>
              <w:t>K13.5,</w:t>
            </w:r>
            <w:r>
              <w:rPr>
                <w:spacing w:val="-4"/>
                <w:sz w:val="20"/>
              </w:rPr>
              <w:t> </w:t>
            </w:r>
            <w:r>
              <w:rPr>
                <w:sz w:val="20"/>
              </w:rPr>
              <w:t>K13.6,</w:t>
            </w:r>
            <w:r>
              <w:rPr>
                <w:spacing w:val="-6"/>
                <w:sz w:val="20"/>
              </w:rPr>
              <w:t> </w:t>
            </w:r>
            <w:r>
              <w:rPr>
                <w:sz w:val="20"/>
              </w:rPr>
              <w:t>K13.7,</w:t>
            </w:r>
            <w:r>
              <w:rPr>
                <w:spacing w:val="-4"/>
                <w:sz w:val="20"/>
              </w:rPr>
              <w:t> </w:t>
            </w:r>
            <w:r>
              <w:rPr>
                <w:sz w:val="20"/>
              </w:rPr>
              <w:t>K14,</w:t>
            </w:r>
            <w:r>
              <w:rPr>
                <w:spacing w:val="-4"/>
                <w:sz w:val="20"/>
              </w:rPr>
              <w:t> </w:t>
            </w:r>
            <w:r>
              <w:rPr>
                <w:spacing w:val="-2"/>
                <w:sz w:val="20"/>
              </w:rPr>
              <w:t>K14.0,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54"/>
        <w:gridCol w:w="2452"/>
        <w:gridCol w:w="4881"/>
        <w:gridCol w:w="1573"/>
        <w:gridCol w:w="1260"/>
      </w:tblGrid>
      <w:tr>
        <w:trPr>
          <w:trHeight w:val="2345" w:hRule="atLeast"/>
        </w:trPr>
        <w:tc>
          <w:tcPr>
            <w:tcW w:w="15273" w:type="dxa"/>
            <w:gridSpan w:val="7"/>
          </w:tcPr>
          <w:p>
            <w:pPr>
              <w:pStyle w:val="TableParagraph"/>
              <w:spacing w:line="221" w:lineRule="exact"/>
              <w:ind w:left="4349" w:right="6878"/>
              <w:jc w:val="center"/>
              <w:rPr>
                <w:sz w:val="20"/>
              </w:rPr>
            </w:pPr>
            <w:r>
              <w:rPr>
                <w:sz w:val="20"/>
              </w:rPr>
              <w:t>K14.1,</w:t>
            </w:r>
            <w:r>
              <w:rPr>
                <w:spacing w:val="-4"/>
                <w:sz w:val="20"/>
              </w:rPr>
              <w:t> </w:t>
            </w:r>
            <w:r>
              <w:rPr>
                <w:sz w:val="20"/>
              </w:rPr>
              <w:t>K14.2,</w:t>
            </w:r>
            <w:r>
              <w:rPr>
                <w:spacing w:val="-6"/>
                <w:sz w:val="20"/>
              </w:rPr>
              <w:t> </w:t>
            </w:r>
            <w:r>
              <w:rPr>
                <w:sz w:val="20"/>
              </w:rPr>
              <w:t>K14.3,</w:t>
            </w:r>
            <w:r>
              <w:rPr>
                <w:spacing w:val="-4"/>
                <w:sz w:val="20"/>
              </w:rPr>
              <w:t> </w:t>
            </w:r>
            <w:r>
              <w:rPr>
                <w:sz w:val="20"/>
              </w:rPr>
              <w:t>K14.4,</w:t>
            </w:r>
            <w:r>
              <w:rPr>
                <w:spacing w:val="-6"/>
                <w:sz w:val="20"/>
              </w:rPr>
              <w:t> </w:t>
            </w:r>
            <w:r>
              <w:rPr>
                <w:sz w:val="20"/>
              </w:rPr>
              <w:t>K14.5,</w:t>
            </w:r>
            <w:r>
              <w:rPr>
                <w:spacing w:val="-4"/>
                <w:sz w:val="20"/>
              </w:rPr>
              <w:t> </w:t>
            </w:r>
            <w:r>
              <w:rPr>
                <w:spacing w:val="-2"/>
                <w:sz w:val="20"/>
              </w:rPr>
              <w:t>K14.6,</w:t>
            </w:r>
          </w:p>
          <w:p>
            <w:pPr>
              <w:pStyle w:val="TableParagraph"/>
              <w:spacing w:line="229" w:lineRule="exact"/>
              <w:ind w:left="4349" w:right="6878"/>
              <w:jc w:val="center"/>
              <w:rPr>
                <w:sz w:val="20"/>
              </w:rPr>
            </w:pPr>
            <w:r>
              <w:rPr>
                <w:sz w:val="20"/>
              </w:rPr>
              <w:t>K14.8,</w:t>
            </w:r>
            <w:r>
              <w:rPr>
                <w:spacing w:val="-4"/>
                <w:sz w:val="20"/>
              </w:rPr>
              <w:t> </w:t>
            </w:r>
            <w:r>
              <w:rPr>
                <w:sz w:val="20"/>
              </w:rPr>
              <w:t>K14.9,</w:t>
            </w:r>
            <w:r>
              <w:rPr>
                <w:spacing w:val="-6"/>
                <w:sz w:val="20"/>
              </w:rPr>
              <w:t> </w:t>
            </w:r>
            <w:r>
              <w:rPr>
                <w:sz w:val="20"/>
              </w:rPr>
              <w:t>Q18.3,</w:t>
            </w:r>
            <w:r>
              <w:rPr>
                <w:spacing w:val="-4"/>
                <w:sz w:val="20"/>
              </w:rPr>
              <w:t> </w:t>
            </w:r>
            <w:r>
              <w:rPr>
                <w:sz w:val="20"/>
              </w:rPr>
              <w:t>Q18.4,</w:t>
            </w:r>
            <w:r>
              <w:rPr>
                <w:spacing w:val="-6"/>
                <w:sz w:val="20"/>
              </w:rPr>
              <w:t> </w:t>
            </w:r>
            <w:r>
              <w:rPr>
                <w:sz w:val="20"/>
              </w:rPr>
              <w:t>Q18.5,</w:t>
            </w:r>
            <w:r>
              <w:rPr>
                <w:spacing w:val="-4"/>
                <w:sz w:val="20"/>
              </w:rPr>
              <w:t> </w:t>
            </w:r>
            <w:r>
              <w:rPr>
                <w:spacing w:val="-2"/>
                <w:sz w:val="20"/>
              </w:rPr>
              <w:t>Q18.6,</w:t>
            </w:r>
          </w:p>
          <w:p>
            <w:pPr>
              <w:pStyle w:val="TableParagraph"/>
              <w:spacing w:line="229" w:lineRule="exact"/>
              <w:ind w:left="4349" w:right="6879"/>
              <w:jc w:val="center"/>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p>
            <w:pPr>
              <w:pStyle w:val="TableParagraph"/>
              <w:spacing w:before="1"/>
              <w:ind w:left="4349" w:right="6877"/>
              <w:jc w:val="center"/>
              <w:rPr>
                <w:sz w:val="20"/>
              </w:rPr>
            </w:pPr>
            <w:r>
              <w:rPr>
                <w:sz w:val="20"/>
              </w:rPr>
              <w:t>Q35.7,</w:t>
            </w:r>
            <w:r>
              <w:rPr>
                <w:spacing w:val="-6"/>
                <w:sz w:val="20"/>
              </w:rPr>
              <w:t> </w:t>
            </w:r>
            <w:r>
              <w:rPr>
                <w:sz w:val="20"/>
              </w:rPr>
              <w:t>Q35.9,</w:t>
            </w:r>
            <w:r>
              <w:rPr>
                <w:spacing w:val="-6"/>
                <w:sz w:val="20"/>
              </w:rPr>
              <w:t> </w:t>
            </w:r>
            <w:r>
              <w:rPr>
                <w:sz w:val="20"/>
              </w:rPr>
              <w:t>Q36,</w:t>
            </w:r>
            <w:r>
              <w:rPr>
                <w:spacing w:val="-5"/>
                <w:sz w:val="20"/>
              </w:rPr>
              <w:t> </w:t>
            </w:r>
            <w:r>
              <w:rPr>
                <w:sz w:val="20"/>
              </w:rPr>
              <w:t>Q36.0,</w:t>
            </w:r>
            <w:r>
              <w:rPr>
                <w:spacing w:val="-6"/>
                <w:sz w:val="20"/>
              </w:rPr>
              <w:t> </w:t>
            </w:r>
            <w:r>
              <w:rPr>
                <w:sz w:val="20"/>
              </w:rPr>
              <w:t>Q36.1,</w:t>
            </w:r>
            <w:r>
              <w:rPr>
                <w:spacing w:val="-5"/>
                <w:sz w:val="20"/>
              </w:rPr>
              <w:t> </w:t>
            </w:r>
            <w:r>
              <w:rPr>
                <w:sz w:val="20"/>
              </w:rPr>
              <w:t>Q36.9,</w:t>
            </w:r>
            <w:r>
              <w:rPr>
                <w:spacing w:val="-5"/>
                <w:sz w:val="20"/>
              </w:rPr>
              <w:t> </w:t>
            </w:r>
            <w:r>
              <w:rPr>
                <w:spacing w:val="-4"/>
                <w:sz w:val="20"/>
              </w:rPr>
              <w:t>Q37,</w:t>
            </w:r>
          </w:p>
          <w:p>
            <w:pPr>
              <w:pStyle w:val="TableParagraph"/>
              <w:ind w:left="4349" w:right="6878"/>
              <w:jc w:val="center"/>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p>
            <w:pPr>
              <w:pStyle w:val="TableParagraph"/>
              <w:ind w:left="4349" w:right="6879"/>
              <w:jc w:val="center"/>
              <w:rPr>
                <w:sz w:val="20"/>
              </w:rPr>
            </w:pPr>
            <w:r>
              <w:rPr>
                <w:sz w:val="20"/>
              </w:rPr>
              <w:t>Q37.8,</w:t>
            </w:r>
            <w:r>
              <w:rPr>
                <w:spacing w:val="-6"/>
                <w:sz w:val="20"/>
              </w:rPr>
              <w:t> </w:t>
            </w:r>
            <w:r>
              <w:rPr>
                <w:sz w:val="20"/>
              </w:rPr>
              <w:t>Q37.9,</w:t>
            </w:r>
            <w:r>
              <w:rPr>
                <w:spacing w:val="-7"/>
                <w:sz w:val="20"/>
              </w:rPr>
              <w:t> </w:t>
            </w:r>
            <w:r>
              <w:rPr>
                <w:sz w:val="20"/>
              </w:rPr>
              <w:t>Q38,</w:t>
            </w:r>
            <w:r>
              <w:rPr>
                <w:spacing w:val="-5"/>
                <w:sz w:val="20"/>
              </w:rPr>
              <w:t> </w:t>
            </w:r>
            <w:r>
              <w:rPr>
                <w:sz w:val="20"/>
              </w:rPr>
              <w:t>Q38.0,</w:t>
            </w:r>
            <w:r>
              <w:rPr>
                <w:spacing w:val="-5"/>
                <w:sz w:val="20"/>
              </w:rPr>
              <w:t> </w:t>
            </w:r>
            <w:r>
              <w:rPr>
                <w:sz w:val="20"/>
              </w:rPr>
              <w:t>Q38.1,</w:t>
            </w:r>
            <w:r>
              <w:rPr>
                <w:spacing w:val="-5"/>
                <w:sz w:val="20"/>
              </w:rPr>
              <w:t> </w:t>
            </w:r>
            <w:r>
              <w:rPr>
                <w:sz w:val="20"/>
              </w:rPr>
              <w:t>Q38.2,</w:t>
            </w:r>
            <w:r>
              <w:rPr>
                <w:spacing w:val="-6"/>
                <w:sz w:val="20"/>
              </w:rPr>
              <w:t> </w:t>
            </w:r>
            <w:r>
              <w:rPr>
                <w:spacing w:val="-2"/>
                <w:sz w:val="20"/>
              </w:rPr>
              <w:t>Q38.3,</w:t>
            </w:r>
          </w:p>
          <w:p>
            <w:pPr>
              <w:pStyle w:val="TableParagraph"/>
              <w:spacing w:before="1"/>
              <w:ind w:left="4349" w:right="6879"/>
              <w:jc w:val="center"/>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p>
            <w:pPr>
              <w:pStyle w:val="TableParagraph"/>
              <w:spacing w:line="229" w:lineRule="exact" w:before="1"/>
              <w:ind w:left="4349" w:right="6879"/>
              <w:jc w:val="center"/>
              <w:rPr>
                <w:sz w:val="20"/>
              </w:rPr>
            </w:pPr>
            <w:r>
              <w:rPr>
                <w:sz w:val="20"/>
              </w:rPr>
              <w:t>S01.5,</w:t>
            </w:r>
            <w:r>
              <w:rPr>
                <w:spacing w:val="-6"/>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p>
            <w:pPr>
              <w:pStyle w:val="TableParagraph"/>
              <w:ind w:left="4349" w:right="6877"/>
              <w:jc w:val="center"/>
              <w:rPr>
                <w:sz w:val="20"/>
              </w:rPr>
            </w:pPr>
            <w:r>
              <w:rPr>
                <w:sz w:val="20"/>
              </w:rPr>
              <w:t>S02.51,</w:t>
            </w:r>
            <w:r>
              <w:rPr>
                <w:spacing w:val="-6"/>
                <w:sz w:val="20"/>
              </w:rPr>
              <w:t> </w:t>
            </w:r>
            <w:r>
              <w:rPr>
                <w:sz w:val="20"/>
              </w:rPr>
              <w:t>S02.6,</w:t>
            </w:r>
            <w:r>
              <w:rPr>
                <w:spacing w:val="-8"/>
                <w:sz w:val="20"/>
              </w:rPr>
              <w:t> </w:t>
            </w:r>
            <w:r>
              <w:rPr>
                <w:sz w:val="20"/>
              </w:rPr>
              <w:t>S02.60,</w:t>
            </w:r>
            <w:r>
              <w:rPr>
                <w:spacing w:val="-6"/>
                <w:sz w:val="20"/>
              </w:rPr>
              <w:t> </w:t>
            </w:r>
            <w:r>
              <w:rPr>
                <w:sz w:val="20"/>
              </w:rPr>
              <w:t>S02.61,</w:t>
            </w:r>
            <w:r>
              <w:rPr>
                <w:spacing w:val="-6"/>
                <w:sz w:val="20"/>
              </w:rPr>
              <w:t> </w:t>
            </w:r>
            <w:r>
              <w:rPr>
                <w:sz w:val="20"/>
              </w:rPr>
              <w:t>S03,</w:t>
            </w:r>
            <w:r>
              <w:rPr>
                <w:spacing w:val="-6"/>
                <w:sz w:val="20"/>
              </w:rPr>
              <w:t> </w:t>
            </w:r>
            <w:r>
              <w:rPr>
                <w:sz w:val="20"/>
              </w:rPr>
              <w:t>S03.0,</w:t>
            </w:r>
            <w:r>
              <w:rPr>
                <w:spacing w:val="-6"/>
                <w:sz w:val="20"/>
              </w:rPr>
              <w:t> </w:t>
            </w:r>
            <w:r>
              <w:rPr>
                <w:sz w:val="20"/>
              </w:rPr>
              <w:t>S03.1, S03.2, S03.3, S03.4, S03.5</w:t>
            </w:r>
          </w:p>
        </w:tc>
      </w:tr>
      <w:tr>
        <w:trPr>
          <w:trHeight w:val="560" w:hRule="atLeast"/>
        </w:trPr>
        <w:tc>
          <w:tcPr>
            <w:tcW w:w="946" w:type="dxa"/>
          </w:tcPr>
          <w:p>
            <w:pPr>
              <w:pStyle w:val="TableParagraph"/>
              <w:spacing w:before="46"/>
              <w:ind w:left="50"/>
              <w:rPr>
                <w:sz w:val="20"/>
              </w:rPr>
            </w:pPr>
            <w:r>
              <w:rPr>
                <w:spacing w:val="-2"/>
                <w:sz w:val="20"/>
              </w:rPr>
              <w:t>st34.002</w:t>
            </w:r>
          </w:p>
        </w:tc>
        <w:tc>
          <w:tcPr>
            <w:tcW w:w="707" w:type="dxa"/>
          </w:tcPr>
          <w:p>
            <w:pPr>
              <w:pStyle w:val="TableParagraph"/>
              <w:spacing w:before="46"/>
              <w:ind w:left="210"/>
              <w:rPr>
                <w:sz w:val="20"/>
              </w:rPr>
            </w:pPr>
            <w:r>
              <w:rPr>
                <w:spacing w:val="-5"/>
                <w:sz w:val="20"/>
              </w:rPr>
              <w:t>344</w:t>
            </w:r>
          </w:p>
        </w:tc>
        <w:tc>
          <w:tcPr>
            <w:tcW w:w="3454" w:type="dxa"/>
          </w:tcPr>
          <w:p>
            <w:pPr>
              <w:pStyle w:val="TableParagraph"/>
              <w:spacing w:before="46"/>
              <w:ind w:left="192" w:right="779"/>
              <w:rPr>
                <w:sz w:val="20"/>
              </w:rPr>
            </w:pPr>
            <w:r>
              <w:rPr>
                <w:sz w:val="20"/>
              </w:rPr>
              <w:t>Операции на органах полости</w:t>
            </w:r>
            <w:r>
              <w:rPr>
                <w:spacing w:val="-13"/>
                <w:sz w:val="20"/>
              </w:rPr>
              <w:t> </w:t>
            </w:r>
            <w:r>
              <w:rPr>
                <w:sz w:val="20"/>
              </w:rPr>
              <w:t>рта</w:t>
            </w:r>
            <w:r>
              <w:rPr>
                <w:spacing w:val="-12"/>
                <w:sz w:val="20"/>
              </w:rPr>
              <w:t> </w:t>
            </w:r>
            <w:r>
              <w:rPr>
                <w:sz w:val="20"/>
              </w:rPr>
              <w:t>(уровень</w:t>
            </w:r>
            <w:r>
              <w:rPr>
                <w:spacing w:val="-13"/>
                <w:sz w:val="20"/>
              </w:rPr>
              <w:t> </w:t>
            </w:r>
            <w:r>
              <w:rPr>
                <w:sz w:val="20"/>
              </w:rPr>
              <w:t>1)</w:t>
            </w:r>
          </w:p>
        </w:tc>
        <w:tc>
          <w:tcPr>
            <w:tcW w:w="2452" w:type="dxa"/>
          </w:tcPr>
          <w:p>
            <w:pPr>
              <w:pStyle w:val="TableParagraph"/>
              <w:spacing w:before="46"/>
              <w:ind w:right="1151"/>
              <w:jc w:val="right"/>
              <w:rPr>
                <w:sz w:val="20"/>
              </w:rPr>
            </w:pPr>
            <w:r>
              <w:rPr>
                <w:w w:val="99"/>
                <w:sz w:val="20"/>
              </w:rPr>
              <w:t>-</w:t>
            </w:r>
          </w:p>
        </w:tc>
        <w:tc>
          <w:tcPr>
            <w:tcW w:w="4881" w:type="dxa"/>
          </w:tcPr>
          <w:p>
            <w:pPr>
              <w:pStyle w:val="TableParagraph"/>
              <w:spacing w:before="46"/>
              <w:ind w:left="2221" w:hanging="1071"/>
              <w:rPr>
                <w:sz w:val="20"/>
              </w:rPr>
            </w:pPr>
            <w:r>
              <w:rPr>
                <w:sz w:val="20"/>
              </w:rPr>
              <w:t>A16.07.011,</w:t>
            </w:r>
            <w:r>
              <w:rPr>
                <w:spacing w:val="-13"/>
                <w:sz w:val="20"/>
              </w:rPr>
              <w:t> </w:t>
            </w:r>
            <w:r>
              <w:rPr>
                <w:sz w:val="20"/>
              </w:rPr>
              <w:t>A16.07.012,</w:t>
            </w:r>
            <w:r>
              <w:rPr>
                <w:spacing w:val="-12"/>
                <w:sz w:val="20"/>
              </w:rPr>
              <w:t> </w:t>
            </w:r>
            <w:r>
              <w:rPr>
                <w:sz w:val="20"/>
              </w:rPr>
              <w:t>A16.07.014, </w:t>
            </w:r>
            <w:r>
              <w:rPr>
                <w:spacing w:val="-2"/>
                <w:sz w:val="20"/>
              </w:rPr>
              <w:t>A16.07.097</w:t>
            </w:r>
          </w:p>
        </w:tc>
        <w:tc>
          <w:tcPr>
            <w:tcW w:w="1573" w:type="dxa"/>
          </w:tcPr>
          <w:p>
            <w:pPr>
              <w:pStyle w:val="TableParagraph"/>
              <w:spacing w:before="46"/>
              <w:ind w:left="646"/>
              <w:rPr>
                <w:sz w:val="20"/>
              </w:rPr>
            </w:pPr>
            <w:r>
              <w:rPr>
                <w:w w:val="99"/>
                <w:sz w:val="20"/>
              </w:rPr>
              <w:t>-</w:t>
            </w:r>
          </w:p>
        </w:tc>
        <w:tc>
          <w:tcPr>
            <w:tcW w:w="1260" w:type="dxa"/>
          </w:tcPr>
          <w:p>
            <w:pPr>
              <w:pStyle w:val="TableParagraph"/>
              <w:spacing w:before="46"/>
              <w:ind w:right="47"/>
              <w:jc w:val="right"/>
              <w:rPr>
                <w:sz w:val="20"/>
              </w:rPr>
            </w:pPr>
            <w:r>
              <w:rPr>
                <w:spacing w:val="-4"/>
                <w:sz w:val="20"/>
              </w:rPr>
              <w:t>0,74</w:t>
            </w:r>
          </w:p>
        </w:tc>
      </w:tr>
      <w:tr>
        <w:trPr>
          <w:trHeight w:val="279" w:hRule="atLeast"/>
        </w:trPr>
        <w:tc>
          <w:tcPr>
            <w:tcW w:w="946" w:type="dxa"/>
          </w:tcPr>
          <w:p>
            <w:pPr>
              <w:pStyle w:val="TableParagraph"/>
              <w:spacing w:line="215" w:lineRule="exact" w:before="45"/>
              <w:ind w:left="50"/>
              <w:rPr>
                <w:sz w:val="20"/>
              </w:rPr>
            </w:pPr>
            <w:r>
              <w:rPr>
                <w:spacing w:val="-2"/>
                <w:sz w:val="20"/>
              </w:rPr>
              <w:t>st34.003</w:t>
            </w:r>
          </w:p>
        </w:tc>
        <w:tc>
          <w:tcPr>
            <w:tcW w:w="707" w:type="dxa"/>
          </w:tcPr>
          <w:p>
            <w:pPr>
              <w:pStyle w:val="TableParagraph"/>
              <w:spacing w:line="215" w:lineRule="exact" w:before="45"/>
              <w:ind w:left="210"/>
              <w:rPr>
                <w:sz w:val="20"/>
              </w:rPr>
            </w:pPr>
            <w:r>
              <w:rPr>
                <w:spacing w:val="-5"/>
                <w:sz w:val="20"/>
              </w:rPr>
              <w:t>345</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7" w:right="644"/>
              <w:jc w:val="center"/>
              <w:rPr>
                <w:sz w:val="20"/>
              </w:rPr>
            </w:pPr>
            <w:r>
              <w:rPr>
                <w:sz w:val="20"/>
              </w:rPr>
              <w:t>A16.07.015,</w:t>
            </w:r>
            <w:r>
              <w:rPr>
                <w:spacing w:val="-9"/>
                <w:sz w:val="20"/>
              </w:rPr>
              <w:t> </w:t>
            </w:r>
            <w:r>
              <w:rPr>
                <w:sz w:val="20"/>
              </w:rPr>
              <w:t>A16.07.016,</w:t>
            </w:r>
            <w:r>
              <w:rPr>
                <w:spacing w:val="-10"/>
                <w:sz w:val="20"/>
              </w:rPr>
              <w:t> </w:t>
            </w:r>
            <w:r>
              <w:rPr>
                <w:spacing w:val="-2"/>
                <w:sz w:val="20"/>
              </w:rPr>
              <w:t>A16.07.017,</w:t>
            </w:r>
          </w:p>
        </w:tc>
        <w:tc>
          <w:tcPr>
            <w:tcW w:w="1573"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1,27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2)</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A16.07.029,</w:t>
            </w:r>
            <w:r>
              <w:rPr>
                <w:spacing w:val="-9"/>
                <w:sz w:val="20"/>
              </w:rPr>
              <w:t> </w:t>
            </w:r>
            <w:r>
              <w:rPr>
                <w:sz w:val="20"/>
              </w:rPr>
              <w:t>A16.07.042,</w:t>
            </w:r>
            <w:r>
              <w:rPr>
                <w:spacing w:val="-10"/>
                <w:sz w:val="20"/>
              </w:rPr>
              <w:t> </w:t>
            </w:r>
            <w:r>
              <w:rPr>
                <w:spacing w:val="-2"/>
                <w:sz w:val="20"/>
              </w:rPr>
              <w:t>A16.07.043,</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A16.07.044,</w:t>
            </w:r>
            <w:r>
              <w:rPr>
                <w:spacing w:val="-9"/>
                <w:sz w:val="20"/>
              </w:rPr>
              <w:t> </w:t>
            </w:r>
            <w:r>
              <w:rPr>
                <w:sz w:val="20"/>
              </w:rPr>
              <w:t>A16.07.045,</w:t>
            </w:r>
            <w:r>
              <w:rPr>
                <w:spacing w:val="-10"/>
                <w:sz w:val="20"/>
              </w:rPr>
              <w:t> </w:t>
            </w:r>
            <w:r>
              <w:rPr>
                <w:spacing w:val="-2"/>
                <w:sz w:val="20"/>
              </w:rPr>
              <w:t>A16.07.064,</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48" w:right="644"/>
              <w:jc w:val="center"/>
              <w:rPr>
                <w:sz w:val="20"/>
              </w:rPr>
            </w:pPr>
            <w:r>
              <w:rPr>
                <w:sz w:val="20"/>
              </w:rPr>
              <w:t>A16.07.067,</w:t>
            </w:r>
            <w:r>
              <w:rPr>
                <w:spacing w:val="-9"/>
                <w:sz w:val="20"/>
              </w:rPr>
              <w:t> </w:t>
            </w:r>
            <w:r>
              <w:rPr>
                <w:spacing w:val="-2"/>
                <w:sz w:val="20"/>
              </w:rPr>
              <w:t>A16.22.012</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st34.004</w:t>
            </w:r>
          </w:p>
        </w:tc>
        <w:tc>
          <w:tcPr>
            <w:tcW w:w="707" w:type="dxa"/>
          </w:tcPr>
          <w:p>
            <w:pPr>
              <w:pStyle w:val="TableParagraph"/>
              <w:spacing w:line="215" w:lineRule="exact" w:before="45"/>
              <w:ind w:left="210"/>
              <w:rPr>
                <w:sz w:val="20"/>
              </w:rPr>
            </w:pPr>
            <w:r>
              <w:rPr>
                <w:spacing w:val="-5"/>
                <w:sz w:val="20"/>
              </w:rPr>
              <w:t>346</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w w:val="95"/>
                <w:sz w:val="20"/>
              </w:rPr>
              <w:t>A16.07.017.001,</w:t>
            </w:r>
            <w:r>
              <w:rPr>
                <w:spacing w:val="54"/>
                <w:sz w:val="20"/>
              </w:rPr>
              <w:t> </w:t>
            </w:r>
            <w:r>
              <w:rPr>
                <w:spacing w:val="-2"/>
                <w:sz w:val="20"/>
              </w:rPr>
              <w:t>A16.07.027,</w:t>
            </w:r>
          </w:p>
        </w:tc>
        <w:tc>
          <w:tcPr>
            <w:tcW w:w="1573"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1,63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3)</w:t>
            </w:r>
          </w:p>
        </w:tc>
        <w:tc>
          <w:tcPr>
            <w:tcW w:w="2452" w:type="dxa"/>
          </w:tcPr>
          <w:p>
            <w:pPr>
              <w:pStyle w:val="TableParagraph"/>
              <w:rPr>
                <w:sz w:val="16"/>
              </w:rPr>
            </w:pPr>
          </w:p>
        </w:tc>
        <w:tc>
          <w:tcPr>
            <w:tcW w:w="4881" w:type="dxa"/>
          </w:tcPr>
          <w:p>
            <w:pPr>
              <w:pStyle w:val="TableParagraph"/>
              <w:spacing w:line="211" w:lineRule="exact"/>
              <w:ind w:left="1148" w:right="644"/>
              <w:jc w:val="center"/>
              <w:rPr>
                <w:sz w:val="20"/>
              </w:rPr>
            </w:pPr>
            <w:r>
              <w:rPr>
                <w:w w:val="95"/>
                <w:sz w:val="20"/>
              </w:rPr>
              <w:t>A16.07.067.001,</w:t>
            </w:r>
            <w:r>
              <w:rPr>
                <w:spacing w:val="54"/>
                <w:sz w:val="20"/>
              </w:rPr>
              <w:t> </w:t>
            </w:r>
            <w:r>
              <w:rPr>
                <w:spacing w:val="-2"/>
                <w:sz w:val="20"/>
              </w:rPr>
              <w:t>A16.07.075,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A16.07.077,</w:t>
            </w:r>
            <w:r>
              <w:rPr>
                <w:spacing w:val="-9"/>
                <w:sz w:val="20"/>
              </w:rPr>
              <w:t> </w:t>
            </w:r>
            <w:r>
              <w:rPr>
                <w:sz w:val="20"/>
              </w:rPr>
              <w:t>A16.07.078,</w:t>
            </w:r>
            <w:r>
              <w:rPr>
                <w:spacing w:val="-10"/>
                <w:sz w:val="20"/>
              </w:rPr>
              <w:t> </w:t>
            </w:r>
            <w:r>
              <w:rPr>
                <w:spacing w:val="-2"/>
                <w:sz w:val="20"/>
              </w:rPr>
              <w:t>A16.07.079,</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A16.07.079.004,</w:t>
            </w:r>
            <w:r>
              <w:rPr>
                <w:spacing w:val="54"/>
                <w:sz w:val="20"/>
              </w:rPr>
              <w:t> </w:t>
            </w:r>
            <w:r>
              <w:rPr>
                <w:spacing w:val="-2"/>
                <w:sz w:val="20"/>
              </w:rPr>
              <w:t>A16.07.083,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A16.07.083.001,</w:t>
            </w:r>
            <w:r>
              <w:rPr>
                <w:spacing w:val="54"/>
                <w:sz w:val="20"/>
              </w:rPr>
              <w:t> </w:t>
            </w:r>
            <w:r>
              <w:rPr>
                <w:spacing w:val="-2"/>
                <w:sz w:val="20"/>
              </w:rPr>
              <w:t>A16.07.083.002,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A16.07.084,</w:t>
            </w:r>
            <w:r>
              <w:rPr>
                <w:spacing w:val="-9"/>
                <w:sz w:val="20"/>
              </w:rPr>
              <w:t> </w:t>
            </w:r>
            <w:r>
              <w:rPr>
                <w:spacing w:val="-2"/>
                <w:sz w:val="20"/>
              </w:rPr>
              <w:t>A16.07.084.001,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A16.07.084.002,</w:t>
            </w:r>
            <w:r>
              <w:rPr>
                <w:spacing w:val="54"/>
                <w:sz w:val="20"/>
              </w:rPr>
              <w:t> </w:t>
            </w:r>
            <w:r>
              <w:rPr>
                <w:spacing w:val="-2"/>
                <w:sz w:val="20"/>
              </w:rPr>
              <w:t>A16.07.085,</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48" w:right="644"/>
              <w:jc w:val="center"/>
              <w:rPr>
                <w:sz w:val="20"/>
              </w:rPr>
            </w:pPr>
            <w:r>
              <w:rPr>
                <w:sz w:val="20"/>
              </w:rPr>
              <w:t>A16.07.086,</w:t>
            </w:r>
            <w:r>
              <w:rPr>
                <w:spacing w:val="-9"/>
                <w:sz w:val="20"/>
              </w:rPr>
              <w:t> </w:t>
            </w:r>
            <w:r>
              <w:rPr>
                <w:sz w:val="20"/>
              </w:rPr>
              <w:t>A16.07.087,</w:t>
            </w:r>
            <w:r>
              <w:rPr>
                <w:spacing w:val="-10"/>
                <w:sz w:val="20"/>
              </w:rPr>
              <w:t> </w:t>
            </w:r>
            <w:r>
              <w:rPr>
                <w:spacing w:val="-2"/>
                <w:sz w:val="20"/>
              </w:rPr>
              <w:t>A16.07.088</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st34.005</w:t>
            </w:r>
          </w:p>
        </w:tc>
        <w:tc>
          <w:tcPr>
            <w:tcW w:w="707" w:type="dxa"/>
          </w:tcPr>
          <w:p>
            <w:pPr>
              <w:pStyle w:val="TableParagraph"/>
              <w:spacing w:line="215" w:lineRule="exact" w:before="45"/>
              <w:ind w:left="210"/>
              <w:rPr>
                <w:sz w:val="20"/>
              </w:rPr>
            </w:pPr>
            <w:r>
              <w:rPr>
                <w:spacing w:val="-5"/>
                <w:sz w:val="20"/>
              </w:rPr>
              <w:t>347</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9" w:right="644"/>
              <w:jc w:val="center"/>
              <w:rPr>
                <w:sz w:val="20"/>
              </w:rPr>
            </w:pPr>
            <w:r>
              <w:rPr>
                <w:sz w:val="20"/>
              </w:rPr>
              <w:t>A16.07.022,</w:t>
            </w:r>
            <w:r>
              <w:rPr>
                <w:spacing w:val="-8"/>
                <w:sz w:val="20"/>
              </w:rPr>
              <w:t> </w:t>
            </w:r>
            <w:r>
              <w:rPr>
                <w:spacing w:val="-2"/>
                <w:sz w:val="20"/>
              </w:rPr>
              <w:t>A16.07.027.001,</w:t>
            </w:r>
          </w:p>
        </w:tc>
        <w:tc>
          <w:tcPr>
            <w:tcW w:w="1573"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1,90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4)</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A16.07.041,</w:t>
            </w:r>
            <w:r>
              <w:rPr>
                <w:spacing w:val="-9"/>
                <w:sz w:val="20"/>
              </w:rPr>
              <w:t> </w:t>
            </w:r>
            <w:r>
              <w:rPr>
                <w:spacing w:val="-2"/>
                <w:sz w:val="20"/>
              </w:rPr>
              <w:t>A16.07.041.001,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1" w:lineRule="exact"/>
              <w:ind w:left="1148" w:right="644"/>
              <w:jc w:val="center"/>
              <w:rPr>
                <w:sz w:val="20"/>
              </w:rPr>
            </w:pPr>
            <w:r>
              <w:rPr>
                <w:sz w:val="20"/>
              </w:rPr>
              <w:t>A16.07.061,</w:t>
            </w:r>
            <w:r>
              <w:rPr>
                <w:spacing w:val="-9"/>
                <w:sz w:val="20"/>
              </w:rPr>
              <w:t> </w:t>
            </w:r>
            <w:r>
              <w:rPr>
                <w:spacing w:val="-2"/>
                <w:sz w:val="20"/>
              </w:rPr>
              <w:t>A16.07.061.001,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1" w:lineRule="exact"/>
              <w:ind w:left="1146" w:right="644"/>
              <w:jc w:val="center"/>
              <w:rPr>
                <w:sz w:val="20"/>
              </w:rPr>
            </w:pPr>
            <w:r>
              <w:rPr>
                <w:sz w:val="20"/>
              </w:rPr>
              <w:t>A16.07.062,</w:t>
            </w:r>
            <w:r>
              <w:rPr>
                <w:spacing w:val="-9"/>
                <w:sz w:val="20"/>
              </w:rPr>
              <w:t> </w:t>
            </w:r>
            <w:r>
              <w:rPr>
                <w:sz w:val="20"/>
              </w:rPr>
              <w:t>A16.07.063,</w:t>
            </w:r>
            <w:r>
              <w:rPr>
                <w:spacing w:val="-10"/>
                <w:sz w:val="20"/>
              </w:rPr>
              <w:t> </w:t>
            </w:r>
            <w:r>
              <w:rPr>
                <w:spacing w:val="-2"/>
                <w:sz w:val="20"/>
              </w:rPr>
              <w:t>A16.07.066,</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A16.07.071,</w:t>
            </w:r>
            <w:r>
              <w:rPr>
                <w:spacing w:val="-9"/>
                <w:sz w:val="20"/>
              </w:rPr>
              <w:t> </w:t>
            </w:r>
            <w:r>
              <w:rPr>
                <w:spacing w:val="-2"/>
                <w:sz w:val="20"/>
              </w:rPr>
              <w:t>A16.07.071.001,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A16.07.072,</w:t>
            </w:r>
            <w:r>
              <w:rPr>
                <w:spacing w:val="-9"/>
                <w:sz w:val="20"/>
              </w:rPr>
              <w:t> </w:t>
            </w:r>
            <w:r>
              <w:rPr>
                <w:spacing w:val="-2"/>
                <w:sz w:val="20"/>
              </w:rPr>
              <w:t>A16.07.074,</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A16.07.074.001,</w:t>
            </w:r>
            <w:r>
              <w:rPr>
                <w:spacing w:val="54"/>
                <w:sz w:val="20"/>
              </w:rPr>
              <w:t> </w:t>
            </w:r>
            <w:r>
              <w:rPr>
                <w:spacing w:val="-2"/>
                <w:sz w:val="20"/>
              </w:rPr>
              <w:t>A16.07.074.002,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A16.07.076,</w:t>
            </w:r>
            <w:r>
              <w:rPr>
                <w:spacing w:val="-9"/>
                <w:sz w:val="20"/>
              </w:rPr>
              <w:t> </w:t>
            </w:r>
            <w:r>
              <w:rPr>
                <w:sz w:val="20"/>
              </w:rPr>
              <w:t>A16.07.080,</w:t>
            </w:r>
            <w:r>
              <w:rPr>
                <w:spacing w:val="-10"/>
                <w:sz w:val="20"/>
              </w:rPr>
              <w:t> </w:t>
            </w:r>
            <w:r>
              <w:rPr>
                <w:spacing w:val="-2"/>
                <w:sz w:val="20"/>
              </w:rPr>
              <w:t>A16.07.081,</w:t>
            </w:r>
          </w:p>
        </w:tc>
        <w:tc>
          <w:tcPr>
            <w:tcW w:w="1573"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5" w:lineRule="exact"/>
              <w:ind w:left="1149" w:right="644"/>
              <w:jc w:val="center"/>
              <w:rPr>
                <w:sz w:val="20"/>
              </w:rPr>
            </w:pPr>
            <w:r>
              <w:rPr>
                <w:spacing w:val="-2"/>
                <w:sz w:val="20"/>
              </w:rPr>
              <w:t>A16.07.085.001</w:t>
            </w:r>
          </w:p>
        </w:tc>
        <w:tc>
          <w:tcPr>
            <w:tcW w:w="1573"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20"/>
        <w:gridCol w:w="4913"/>
        <w:gridCol w:w="2785"/>
        <w:gridCol w:w="2640"/>
        <w:gridCol w:w="864"/>
      </w:tblGrid>
      <w:tr>
        <w:trPr>
          <w:trHeight w:val="274" w:hRule="atLeast"/>
        </w:trPr>
        <w:tc>
          <w:tcPr>
            <w:tcW w:w="946" w:type="dxa"/>
          </w:tcPr>
          <w:p>
            <w:pPr>
              <w:pStyle w:val="TableParagraph"/>
              <w:spacing w:line="221" w:lineRule="exact"/>
              <w:ind w:left="37" w:right="198"/>
              <w:jc w:val="center"/>
              <w:rPr>
                <w:sz w:val="20"/>
              </w:rPr>
            </w:pPr>
            <w:r>
              <w:rPr>
                <w:spacing w:val="-4"/>
                <w:sz w:val="20"/>
              </w:rPr>
              <w:t>st35</w:t>
            </w:r>
          </w:p>
        </w:tc>
        <w:tc>
          <w:tcPr>
            <w:tcW w:w="707" w:type="dxa"/>
          </w:tcPr>
          <w:p>
            <w:pPr>
              <w:pStyle w:val="TableParagraph"/>
              <w:spacing w:line="221" w:lineRule="exact"/>
              <w:ind w:left="261"/>
              <w:rPr>
                <w:sz w:val="20"/>
              </w:rPr>
            </w:pPr>
            <w:r>
              <w:rPr>
                <w:spacing w:val="-5"/>
                <w:sz w:val="20"/>
              </w:rPr>
              <w:t>35</w:t>
            </w:r>
          </w:p>
        </w:tc>
        <w:tc>
          <w:tcPr>
            <w:tcW w:w="2420" w:type="dxa"/>
          </w:tcPr>
          <w:p>
            <w:pPr>
              <w:pStyle w:val="TableParagraph"/>
              <w:rPr>
                <w:sz w:val="18"/>
              </w:rPr>
            </w:pPr>
          </w:p>
        </w:tc>
        <w:tc>
          <w:tcPr>
            <w:tcW w:w="4913" w:type="dxa"/>
          </w:tcPr>
          <w:p>
            <w:pPr>
              <w:pStyle w:val="TableParagraph"/>
              <w:spacing w:line="221" w:lineRule="exact"/>
              <w:ind w:left="3209"/>
              <w:rPr>
                <w:sz w:val="20"/>
              </w:rPr>
            </w:pPr>
            <w:r>
              <w:rPr>
                <w:spacing w:val="-2"/>
                <w:sz w:val="20"/>
              </w:rPr>
              <w:t>Эндокринология</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spacing w:line="221" w:lineRule="exact"/>
              <w:ind w:right="49"/>
              <w:jc w:val="right"/>
              <w:rPr>
                <w:sz w:val="20"/>
              </w:rPr>
            </w:pPr>
            <w:r>
              <w:rPr>
                <w:spacing w:val="-4"/>
                <w:sz w:val="20"/>
              </w:rPr>
              <w:t>1,40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st35.001</w:t>
            </w:r>
          </w:p>
        </w:tc>
        <w:tc>
          <w:tcPr>
            <w:tcW w:w="707" w:type="dxa"/>
          </w:tcPr>
          <w:p>
            <w:pPr>
              <w:pStyle w:val="TableParagraph"/>
              <w:spacing w:line="215" w:lineRule="exact" w:before="45"/>
              <w:ind w:left="210"/>
              <w:rPr>
                <w:sz w:val="20"/>
              </w:rPr>
            </w:pPr>
            <w:r>
              <w:rPr>
                <w:spacing w:val="-5"/>
                <w:sz w:val="20"/>
              </w:rPr>
              <w:t>348</w:t>
            </w:r>
          </w:p>
        </w:tc>
        <w:tc>
          <w:tcPr>
            <w:tcW w:w="2420" w:type="dxa"/>
          </w:tcPr>
          <w:p>
            <w:pPr>
              <w:pStyle w:val="TableParagraph"/>
              <w:spacing w:line="215" w:lineRule="exact" w:before="45"/>
              <w:ind w:left="192"/>
              <w:rPr>
                <w:sz w:val="20"/>
              </w:rPr>
            </w:pPr>
            <w:r>
              <w:rPr>
                <w:sz w:val="20"/>
              </w:rPr>
              <w:t>Сахарный</w:t>
            </w:r>
            <w:r>
              <w:rPr>
                <w:spacing w:val="-11"/>
                <w:sz w:val="20"/>
              </w:rPr>
              <w:t> </w:t>
            </w:r>
            <w:r>
              <w:rPr>
                <w:spacing w:val="-2"/>
                <w:sz w:val="20"/>
              </w:rPr>
              <w:t>диабет,</w:t>
            </w:r>
          </w:p>
        </w:tc>
        <w:tc>
          <w:tcPr>
            <w:tcW w:w="4913" w:type="dxa"/>
          </w:tcPr>
          <w:p>
            <w:pPr>
              <w:pStyle w:val="TableParagraph"/>
              <w:spacing w:line="215" w:lineRule="exact" w:before="45"/>
              <w:ind w:left="379"/>
              <w:rPr>
                <w:sz w:val="20"/>
              </w:rPr>
            </w:pPr>
            <w:r>
              <w:rPr>
                <w:sz w:val="20"/>
              </w:rPr>
              <w:t>E10.9,</w:t>
            </w:r>
            <w:r>
              <w:rPr>
                <w:spacing w:val="-7"/>
                <w:sz w:val="20"/>
              </w:rPr>
              <w:t> </w:t>
            </w:r>
            <w:r>
              <w:rPr>
                <w:sz w:val="20"/>
              </w:rPr>
              <w:t>E11.9,</w:t>
            </w:r>
            <w:r>
              <w:rPr>
                <w:spacing w:val="-5"/>
                <w:sz w:val="20"/>
              </w:rPr>
              <w:t> </w:t>
            </w:r>
            <w:r>
              <w:rPr>
                <w:sz w:val="20"/>
              </w:rPr>
              <w:t>E13.9,</w:t>
            </w:r>
            <w:r>
              <w:rPr>
                <w:spacing w:val="-5"/>
                <w:sz w:val="20"/>
              </w:rPr>
              <w:t> </w:t>
            </w:r>
            <w:r>
              <w:rPr>
                <w:sz w:val="20"/>
              </w:rPr>
              <w:t>E14.9,</w:t>
            </w:r>
            <w:r>
              <w:rPr>
                <w:spacing w:val="-5"/>
                <w:sz w:val="20"/>
              </w:rPr>
              <w:t> </w:t>
            </w:r>
            <w:r>
              <w:rPr>
                <w:sz w:val="20"/>
              </w:rPr>
              <w:t>R73,</w:t>
            </w:r>
            <w:r>
              <w:rPr>
                <w:spacing w:val="-6"/>
                <w:sz w:val="20"/>
              </w:rPr>
              <w:t> </w:t>
            </w:r>
            <w:r>
              <w:rPr>
                <w:sz w:val="20"/>
              </w:rPr>
              <w:t>R73.0,</w:t>
            </w:r>
            <w:r>
              <w:rPr>
                <w:spacing w:val="-5"/>
                <w:sz w:val="20"/>
              </w:rPr>
              <w:t> </w:t>
            </w:r>
            <w:r>
              <w:rPr>
                <w:spacing w:val="-2"/>
                <w:sz w:val="20"/>
              </w:rPr>
              <w:t>R73.9,</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1,02</w:t>
            </w: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spacing w:line="226"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4913" w:type="dxa"/>
          </w:tcPr>
          <w:p>
            <w:pPr>
              <w:pStyle w:val="TableParagraph"/>
              <w:spacing w:line="226" w:lineRule="exact"/>
              <w:ind w:left="2122" w:right="2432"/>
              <w:jc w:val="center"/>
              <w:rPr>
                <w:sz w:val="20"/>
              </w:rPr>
            </w:pPr>
            <w:r>
              <w:rPr>
                <w:spacing w:val="-5"/>
                <w:sz w:val="20"/>
              </w:rPr>
              <w:t>R81</w:t>
            </w:r>
          </w:p>
        </w:tc>
        <w:tc>
          <w:tcPr>
            <w:tcW w:w="2785" w:type="dxa"/>
          </w:tcPr>
          <w:p>
            <w:pPr>
              <w:pStyle w:val="TableParagraph"/>
              <w:rPr>
                <w:sz w:val="18"/>
              </w:rPr>
            </w:pPr>
          </w:p>
        </w:tc>
        <w:tc>
          <w:tcPr>
            <w:tcW w:w="2640" w:type="dxa"/>
          </w:tcPr>
          <w:p>
            <w:pPr>
              <w:pStyle w:val="TableParagraph"/>
              <w:spacing w:line="226"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st35.002</w:t>
            </w:r>
          </w:p>
        </w:tc>
        <w:tc>
          <w:tcPr>
            <w:tcW w:w="707" w:type="dxa"/>
          </w:tcPr>
          <w:p>
            <w:pPr>
              <w:pStyle w:val="TableParagraph"/>
              <w:spacing w:line="214" w:lineRule="exact" w:before="46"/>
              <w:ind w:left="210"/>
              <w:rPr>
                <w:sz w:val="20"/>
              </w:rPr>
            </w:pPr>
            <w:r>
              <w:rPr>
                <w:spacing w:val="-5"/>
                <w:sz w:val="20"/>
              </w:rPr>
              <w:t>349</w:t>
            </w:r>
          </w:p>
        </w:tc>
        <w:tc>
          <w:tcPr>
            <w:tcW w:w="2420" w:type="dxa"/>
          </w:tcPr>
          <w:p>
            <w:pPr>
              <w:pStyle w:val="TableParagraph"/>
              <w:spacing w:line="214" w:lineRule="exact" w:before="46"/>
              <w:ind w:left="192"/>
              <w:rPr>
                <w:sz w:val="20"/>
              </w:rPr>
            </w:pPr>
            <w:r>
              <w:rPr>
                <w:sz w:val="20"/>
              </w:rPr>
              <w:t>Сахарный</w:t>
            </w:r>
            <w:r>
              <w:rPr>
                <w:spacing w:val="-11"/>
                <w:sz w:val="20"/>
              </w:rPr>
              <w:t> </w:t>
            </w:r>
            <w:r>
              <w:rPr>
                <w:spacing w:val="-2"/>
                <w:sz w:val="20"/>
              </w:rPr>
              <w:t>диабет,</w:t>
            </w:r>
          </w:p>
        </w:tc>
        <w:tc>
          <w:tcPr>
            <w:tcW w:w="4913" w:type="dxa"/>
          </w:tcPr>
          <w:p>
            <w:pPr>
              <w:pStyle w:val="TableParagraph"/>
              <w:spacing w:line="214" w:lineRule="exact" w:before="46"/>
              <w:ind w:left="321"/>
              <w:rPr>
                <w:sz w:val="20"/>
              </w:rPr>
            </w:pPr>
            <w:r>
              <w:rPr>
                <w:sz w:val="20"/>
              </w:rPr>
              <w:t>E10.0,</w:t>
            </w:r>
            <w:r>
              <w:rPr>
                <w:spacing w:val="-6"/>
                <w:sz w:val="20"/>
              </w:rPr>
              <w:t> </w:t>
            </w:r>
            <w:r>
              <w:rPr>
                <w:sz w:val="20"/>
              </w:rPr>
              <w:t>E10.1,</w:t>
            </w:r>
            <w:r>
              <w:rPr>
                <w:spacing w:val="-4"/>
                <w:sz w:val="20"/>
              </w:rPr>
              <w:t> </w:t>
            </w:r>
            <w:r>
              <w:rPr>
                <w:sz w:val="20"/>
              </w:rPr>
              <w:t>E10.2,</w:t>
            </w:r>
            <w:r>
              <w:rPr>
                <w:spacing w:val="-4"/>
                <w:sz w:val="20"/>
              </w:rPr>
              <w:t> </w:t>
            </w:r>
            <w:r>
              <w:rPr>
                <w:sz w:val="20"/>
              </w:rPr>
              <w:t>E10.3,</w:t>
            </w:r>
            <w:r>
              <w:rPr>
                <w:spacing w:val="-3"/>
                <w:sz w:val="20"/>
              </w:rPr>
              <w:t> </w:t>
            </w:r>
            <w:r>
              <w:rPr>
                <w:sz w:val="20"/>
              </w:rPr>
              <w:t>E10.4,</w:t>
            </w:r>
            <w:r>
              <w:rPr>
                <w:spacing w:val="-6"/>
                <w:sz w:val="20"/>
              </w:rPr>
              <w:t> </w:t>
            </w:r>
            <w:r>
              <w:rPr>
                <w:sz w:val="20"/>
              </w:rPr>
              <w:t>E10.5,</w:t>
            </w:r>
            <w:r>
              <w:rPr>
                <w:spacing w:val="-4"/>
                <w:sz w:val="20"/>
              </w:rPr>
              <w:t> </w:t>
            </w:r>
            <w:r>
              <w:rPr>
                <w:spacing w:val="-2"/>
                <w:sz w:val="20"/>
              </w:rPr>
              <w:t>E10.6,</w:t>
            </w:r>
          </w:p>
        </w:tc>
        <w:tc>
          <w:tcPr>
            <w:tcW w:w="2785" w:type="dxa"/>
          </w:tcPr>
          <w:p>
            <w:pPr>
              <w:pStyle w:val="TableParagraph"/>
              <w:spacing w:line="214" w:lineRule="exact" w:before="46"/>
              <w:ind w:right="248"/>
              <w:jc w:val="center"/>
              <w:rPr>
                <w:sz w:val="20"/>
              </w:rPr>
            </w:pPr>
            <w:r>
              <w:rPr>
                <w:w w:val="99"/>
                <w:sz w:val="20"/>
              </w:rPr>
              <w:t>-</w:t>
            </w:r>
          </w:p>
        </w:tc>
        <w:tc>
          <w:tcPr>
            <w:tcW w:w="2640" w:type="dxa"/>
          </w:tcPr>
          <w:p>
            <w:pPr>
              <w:pStyle w:val="TableParagraph"/>
              <w:spacing w:line="214" w:lineRule="exact" w:before="46"/>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1,49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4913" w:type="dxa"/>
          </w:tcPr>
          <w:p>
            <w:pPr>
              <w:pStyle w:val="TableParagraph"/>
              <w:spacing w:line="209" w:lineRule="exact"/>
              <w:ind w:left="321"/>
              <w:rPr>
                <w:sz w:val="20"/>
              </w:rPr>
            </w:pPr>
            <w:r>
              <w:rPr>
                <w:sz w:val="20"/>
              </w:rPr>
              <w:t>E10.7,</w:t>
            </w:r>
            <w:r>
              <w:rPr>
                <w:spacing w:val="-7"/>
                <w:sz w:val="20"/>
              </w:rPr>
              <w:t> </w:t>
            </w:r>
            <w:r>
              <w:rPr>
                <w:sz w:val="20"/>
              </w:rPr>
              <w:t>E10.8,</w:t>
            </w:r>
            <w:r>
              <w:rPr>
                <w:spacing w:val="-5"/>
                <w:sz w:val="20"/>
              </w:rPr>
              <w:t> </w:t>
            </w:r>
            <w:r>
              <w:rPr>
                <w:sz w:val="20"/>
              </w:rPr>
              <w:t>E11.0,</w:t>
            </w:r>
            <w:r>
              <w:rPr>
                <w:spacing w:val="-4"/>
                <w:sz w:val="20"/>
              </w:rPr>
              <w:t> </w:t>
            </w:r>
            <w:r>
              <w:rPr>
                <w:sz w:val="20"/>
              </w:rPr>
              <w:t>E11.1,</w:t>
            </w:r>
            <w:r>
              <w:rPr>
                <w:spacing w:val="-5"/>
                <w:sz w:val="20"/>
              </w:rPr>
              <w:t> </w:t>
            </w:r>
            <w:r>
              <w:rPr>
                <w:sz w:val="20"/>
              </w:rPr>
              <w:t>E11.2,</w:t>
            </w:r>
            <w:r>
              <w:rPr>
                <w:spacing w:val="-6"/>
                <w:sz w:val="20"/>
              </w:rPr>
              <w:t> </w:t>
            </w:r>
            <w:r>
              <w:rPr>
                <w:sz w:val="20"/>
              </w:rPr>
              <w:t>E11.3,</w:t>
            </w:r>
            <w:r>
              <w:rPr>
                <w:spacing w:val="-5"/>
                <w:sz w:val="20"/>
              </w:rPr>
              <w:t> </w:t>
            </w:r>
            <w:r>
              <w:rPr>
                <w:spacing w:val="-2"/>
                <w:sz w:val="20"/>
              </w:rPr>
              <w:t>E11.4,</w:t>
            </w:r>
          </w:p>
        </w:tc>
        <w:tc>
          <w:tcPr>
            <w:tcW w:w="2785" w:type="dxa"/>
          </w:tcPr>
          <w:p>
            <w:pPr>
              <w:pStyle w:val="TableParagraph"/>
              <w:rPr>
                <w:sz w:val="16"/>
              </w:rPr>
            </w:pPr>
          </w:p>
        </w:tc>
        <w:tc>
          <w:tcPr>
            <w:tcW w:w="2640" w:type="dxa"/>
          </w:tcPr>
          <w:p>
            <w:pPr>
              <w:pStyle w:val="TableParagraph"/>
              <w:spacing w:line="209"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21"/>
              <w:rPr>
                <w:sz w:val="20"/>
              </w:rPr>
            </w:pPr>
            <w:r>
              <w:rPr>
                <w:sz w:val="20"/>
              </w:rPr>
              <w:t>E11.5,</w:t>
            </w:r>
            <w:r>
              <w:rPr>
                <w:spacing w:val="-7"/>
                <w:sz w:val="20"/>
              </w:rPr>
              <w:t> </w:t>
            </w:r>
            <w:r>
              <w:rPr>
                <w:sz w:val="20"/>
              </w:rPr>
              <w:t>E11.6,</w:t>
            </w:r>
            <w:r>
              <w:rPr>
                <w:spacing w:val="-5"/>
                <w:sz w:val="20"/>
              </w:rPr>
              <w:t> </w:t>
            </w:r>
            <w:r>
              <w:rPr>
                <w:sz w:val="20"/>
              </w:rPr>
              <w:t>E11.7,</w:t>
            </w:r>
            <w:r>
              <w:rPr>
                <w:spacing w:val="-4"/>
                <w:sz w:val="20"/>
              </w:rPr>
              <w:t> </w:t>
            </w:r>
            <w:r>
              <w:rPr>
                <w:sz w:val="20"/>
              </w:rPr>
              <w:t>E11.8,</w:t>
            </w:r>
            <w:r>
              <w:rPr>
                <w:spacing w:val="-5"/>
                <w:sz w:val="20"/>
              </w:rPr>
              <w:t> </w:t>
            </w:r>
            <w:r>
              <w:rPr>
                <w:sz w:val="20"/>
              </w:rPr>
              <w:t>E12.0,</w:t>
            </w:r>
            <w:r>
              <w:rPr>
                <w:spacing w:val="-6"/>
                <w:sz w:val="20"/>
              </w:rPr>
              <w:t> </w:t>
            </w:r>
            <w:r>
              <w:rPr>
                <w:sz w:val="20"/>
              </w:rPr>
              <w:t>E12.1,</w:t>
            </w:r>
            <w:r>
              <w:rPr>
                <w:spacing w:val="-5"/>
                <w:sz w:val="20"/>
              </w:rPr>
              <w:t> </w:t>
            </w:r>
            <w:r>
              <w:rPr>
                <w:spacing w:val="-2"/>
                <w:sz w:val="20"/>
              </w:rPr>
              <w:t>E12.2,</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21"/>
              <w:rPr>
                <w:sz w:val="20"/>
              </w:rPr>
            </w:pPr>
            <w:r>
              <w:rPr>
                <w:sz w:val="20"/>
              </w:rPr>
              <w:t>E12.3,</w:t>
            </w:r>
            <w:r>
              <w:rPr>
                <w:spacing w:val="-7"/>
                <w:sz w:val="20"/>
              </w:rPr>
              <w:t> </w:t>
            </w:r>
            <w:r>
              <w:rPr>
                <w:sz w:val="20"/>
              </w:rPr>
              <w:t>E12.4,</w:t>
            </w:r>
            <w:r>
              <w:rPr>
                <w:spacing w:val="-5"/>
                <w:sz w:val="20"/>
              </w:rPr>
              <w:t> </w:t>
            </w:r>
            <w:r>
              <w:rPr>
                <w:sz w:val="20"/>
              </w:rPr>
              <w:t>E12.5,</w:t>
            </w:r>
            <w:r>
              <w:rPr>
                <w:spacing w:val="-4"/>
                <w:sz w:val="20"/>
              </w:rPr>
              <w:t> </w:t>
            </w:r>
            <w:r>
              <w:rPr>
                <w:sz w:val="20"/>
              </w:rPr>
              <w:t>E12.6,</w:t>
            </w:r>
            <w:r>
              <w:rPr>
                <w:spacing w:val="-5"/>
                <w:sz w:val="20"/>
              </w:rPr>
              <w:t> </w:t>
            </w:r>
            <w:r>
              <w:rPr>
                <w:sz w:val="20"/>
              </w:rPr>
              <w:t>E12.7,</w:t>
            </w:r>
            <w:r>
              <w:rPr>
                <w:spacing w:val="-6"/>
                <w:sz w:val="20"/>
              </w:rPr>
              <w:t> </w:t>
            </w:r>
            <w:r>
              <w:rPr>
                <w:sz w:val="20"/>
              </w:rPr>
              <w:t>E12.8,</w:t>
            </w:r>
            <w:r>
              <w:rPr>
                <w:spacing w:val="-5"/>
                <w:sz w:val="20"/>
              </w:rPr>
              <w:t> </w:t>
            </w:r>
            <w:r>
              <w:rPr>
                <w:spacing w:val="-2"/>
                <w:sz w:val="20"/>
              </w:rPr>
              <w:t>E12.9,</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21"/>
              <w:rPr>
                <w:sz w:val="20"/>
              </w:rPr>
            </w:pPr>
            <w:r>
              <w:rPr>
                <w:sz w:val="20"/>
              </w:rPr>
              <w:t>E13.0,</w:t>
            </w:r>
            <w:r>
              <w:rPr>
                <w:spacing w:val="-7"/>
                <w:sz w:val="20"/>
              </w:rPr>
              <w:t> </w:t>
            </w:r>
            <w:r>
              <w:rPr>
                <w:sz w:val="20"/>
              </w:rPr>
              <w:t>E13.1,</w:t>
            </w:r>
            <w:r>
              <w:rPr>
                <w:spacing w:val="-5"/>
                <w:sz w:val="20"/>
              </w:rPr>
              <w:t> </w:t>
            </w:r>
            <w:r>
              <w:rPr>
                <w:sz w:val="20"/>
              </w:rPr>
              <w:t>E13.2,</w:t>
            </w:r>
            <w:r>
              <w:rPr>
                <w:spacing w:val="-4"/>
                <w:sz w:val="20"/>
              </w:rPr>
              <w:t> </w:t>
            </w:r>
            <w:r>
              <w:rPr>
                <w:sz w:val="20"/>
              </w:rPr>
              <w:t>E13.3,</w:t>
            </w:r>
            <w:r>
              <w:rPr>
                <w:spacing w:val="-5"/>
                <w:sz w:val="20"/>
              </w:rPr>
              <w:t> </w:t>
            </w:r>
            <w:r>
              <w:rPr>
                <w:sz w:val="20"/>
              </w:rPr>
              <w:t>E13.4,</w:t>
            </w:r>
            <w:r>
              <w:rPr>
                <w:spacing w:val="-6"/>
                <w:sz w:val="20"/>
              </w:rPr>
              <w:t> </w:t>
            </w:r>
            <w:r>
              <w:rPr>
                <w:sz w:val="20"/>
              </w:rPr>
              <w:t>E13.5,</w:t>
            </w:r>
            <w:r>
              <w:rPr>
                <w:spacing w:val="-5"/>
                <w:sz w:val="20"/>
              </w:rPr>
              <w:t> </w:t>
            </w:r>
            <w:r>
              <w:rPr>
                <w:spacing w:val="-2"/>
                <w:sz w:val="20"/>
              </w:rPr>
              <w:t>E13.6,</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21"/>
              <w:rPr>
                <w:sz w:val="20"/>
              </w:rPr>
            </w:pPr>
            <w:r>
              <w:rPr>
                <w:sz w:val="20"/>
              </w:rPr>
              <w:t>E13.7,</w:t>
            </w:r>
            <w:r>
              <w:rPr>
                <w:spacing w:val="-7"/>
                <w:sz w:val="20"/>
              </w:rPr>
              <w:t> </w:t>
            </w:r>
            <w:r>
              <w:rPr>
                <w:sz w:val="20"/>
              </w:rPr>
              <w:t>E13.8,</w:t>
            </w:r>
            <w:r>
              <w:rPr>
                <w:spacing w:val="-4"/>
                <w:sz w:val="20"/>
              </w:rPr>
              <w:t> </w:t>
            </w:r>
            <w:r>
              <w:rPr>
                <w:sz w:val="20"/>
              </w:rPr>
              <w:t>E14.0,</w:t>
            </w:r>
            <w:r>
              <w:rPr>
                <w:spacing w:val="-5"/>
                <w:sz w:val="20"/>
              </w:rPr>
              <w:t> </w:t>
            </w:r>
            <w:r>
              <w:rPr>
                <w:sz w:val="20"/>
              </w:rPr>
              <w:t>E14.1,</w:t>
            </w:r>
            <w:r>
              <w:rPr>
                <w:spacing w:val="-4"/>
                <w:sz w:val="20"/>
              </w:rPr>
              <w:t> </w:t>
            </w:r>
            <w:r>
              <w:rPr>
                <w:sz w:val="20"/>
              </w:rPr>
              <w:t>E14.2,</w:t>
            </w:r>
            <w:r>
              <w:rPr>
                <w:spacing w:val="-7"/>
                <w:sz w:val="20"/>
              </w:rPr>
              <w:t> </w:t>
            </w:r>
            <w:r>
              <w:rPr>
                <w:sz w:val="20"/>
              </w:rPr>
              <w:t>E14.3,</w:t>
            </w:r>
            <w:r>
              <w:rPr>
                <w:spacing w:val="3"/>
                <w:sz w:val="20"/>
              </w:rPr>
              <w:t> </w:t>
            </w:r>
            <w:r>
              <w:rPr>
                <w:spacing w:val="-2"/>
                <w:sz w:val="20"/>
              </w:rPr>
              <w:t>E14.4,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26" w:lineRule="exact"/>
              <w:ind w:left="1205"/>
              <w:rPr>
                <w:sz w:val="20"/>
              </w:rPr>
            </w:pPr>
            <w:r>
              <w:rPr>
                <w:sz w:val="20"/>
              </w:rPr>
              <w:t>E14.5,</w:t>
            </w:r>
            <w:r>
              <w:rPr>
                <w:spacing w:val="-7"/>
                <w:sz w:val="20"/>
              </w:rPr>
              <w:t> </w:t>
            </w:r>
            <w:r>
              <w:rPr>
                <w:sz w:val="20"/>
              </w:rPr>
              <w:t>E14.6,</w:t>
            </w:r>
            <w:r>
              <w:rPr>
                <w:spacing w:val="-5"/>
                <w:sz w:val="20"/>
              </w:rPr>
              <w:t> </w:t>
            </w:r>
            <w:r>
              <w:rPr>
                <w:sz w:val="20"/>
              </w:rPr>
              <w:t>E14.7,</w:t>
            </w:r>
            <w:r>
              <w:rPr>
                <w:spacing w:val="-4"/>
                <w:sz w:val="20"/>
              </w:rPr>
              <w:t> E14.8</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st35.003</w:t>
            </w:r>
          </w:p>
        </w:tc>
        <w:tc>
          <w:tcPr>
            <w:tcW w:w="707" w:type="dxa"/>
          </w:tcPr>
          <w:p>
            <w:pPr>
              <w:pStyle w:val="TableParagraph"/>
              <w:spacing w:line="215" w:lineRule="exact" w:before="45"/>
              <w:ind w:left="210"/>
              <w:rPr>
                <w:sz w:val="20"/>
              </w:rPr>
            </w:pPr>
            <w:r>
              <w:rPr>
                <w:spacing w:val="-5"/>
                <w:sz w:val="20"/>
              </w:rPr>
              <w:t>350</w:t>
            </w:r>
          </w:p>
        </w:tc>
        <w:tc>
          <w:tcPr>
            <w:tcW w:w="2420" w:type="dxa"/>
          </w:tcPr>
          <w:p>
            <w:pPr>
              <w:pStyle w:val="TableParagraph"/>
              <w:spacing w:line="215" w:lineRule="exact" w:before="45"/>
              <w:ind w:left="192"/>
              <w:rPr>
                <w:sz w:val="20"/>
              </w:rPr>
            </w:pPr>
            <w:r>
              <w:rPr>
                <w:spacing w:val="-2"/>
                <w:sz w:val="20"/>
              </w:rPr>
              <w:t>Заболевания</w:t>
            </w:r>
            <w:r>
              <w:rPr>
                <w:spacing w:val="8"/>
                <w:sz w:val="20"/>
              </w:rPr>
              <w:t> </w:t>
            </w:r>
            <w:r>
              <w:rPr>
                <w:spacing w:val="-2"/>
                <w:sz w:val="20"/>
              </w:rPr>
              <w:t>гипофиза,</w:t>
            </w:r>
          </w:p>
        </w:tc>
        <w:tc>
          <w:tcPr>
            <w:tcW w:w="4913" w:type="dxa"/>
          </w:tcPr>
          <w:p>
            <w:pPr>
              <w:pStyle w:val="TableParagraph"/>
              <w:spacing w:line="215" w:lineRule="exact" w:before="45"/>
              <w:ind w:left="384"/>
              <w:rPr>
                <w:sz w:val="20"/>
              </w:rPr>
            </w:pPr>
            <w:r>
              <w:rPr>
                <w:sz w:val="20"/>
              </w:rPr>
              <w:t>D35.2,</w:t>
            </w:r>
            <w:r>
              <w:rPr>
                <w:spacing w:val="-6"/>
                <w:sz w:val="20"/>
              </w:rPr>
              <w:t> </w:t>
            </w:r>
            <w:r>
              <w:rPr>
                <w:sz w:val="20"/>
              </w:rPr>
              <w:t>E22,</w:t>
            </w:r>
            <w:r>
              <w:rPr>
                <w:spacing w:val="-5"/>
                <w:sz w:val="20"/>
              </w:rPr>
              <w:t> </w:t>
            </w:r>
            <w:r>
              <w:rPr>
                <w:sz w:val="20"/>
              </w:rPr>
              <w:t>E22.0,</w:t>
            </w:r>
            <w:r>
              <w:rPr>
                <w:spacing w:val="-5"/>
                <w:sz w:val="20"/>
              </w:rPr>
              <w:t> </w:t>
            </w:r>
            <w:r>
              <w:rPr>
                <w:sz w:val="20"/>
              </w:rPr>
              <w:t>E22.1,</w:t>
            </w:r>
            <w:r>
              <w:rPr>
                <w:spacing w:val="-6"/>
                <w:sz w:val="20"/>
              </w:rPr>
              <w:t> </w:t>
            </w:r>
            <w:r>
              <w:rPr>
                <w:sz w:val="20"/>
              </w:rPr>
              <w:t>E22.2,</w:t>
            </w:r>
            <w:r>
              <w:rPr>
                <w:spacing w:val="-6"/>
                <w:sz w:val="20"/>
              </w:rPr>
              <w:t> </w:t>
            </w:r>
            <w:r>
              <w:rPr>
                <w:sz w:val="20"/>
              </w:rPr>
              <w:t>E22.8,</w:t>
            </w:r>
            <w:r>
              <w:rPr>
                <w:spacing w:val="-5"/>
                <w:sz w:val="20"/>
              </w:rPr>
              <w:t> </w:t>
            </w:r>
            <w:r>
              <w:rPr>
                <w:spacing w:val="-2"/>
                <w:sz w:val="20"/>
              </w:rPr>
              <w:t>E22.9,</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2,14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0" w:lineRule="exact"/>
              <w:ind w:left="192"/>
              <w:rPr>
                <w:sz w:val="20"/>
              </w:rPr>
            </w:pPr>
            <w:r>
              <w:rPr>
                <w:spacing w:val="-2"/>
                <w:sz w:val="20"/>
              </w:rPr>
              <w:t>взрослые</w:t>
            </w:r>
          </w:p>
        </w:tc>
        <w:tc>
          <w:tcPr>
            <w:tcW w:w="4913" w:type="dxa"/>
          </w:tcPr>
          <w:p>
            <w:pPr>
              <w:pStyle w:val="TableParagraph"/>
              <w:spacing w:line="210" w:lineRule="exact"/>
              <w:ind w:left="396"/>
              <w:rPr>
                <w:sz w:val="20"/>
              </w:rPr>
            </w:pPr>
            <w:r>
              <w:rPr>
                <w:sz w:val="20"/>
              </w:rPr>
              <w:t>E23,</w:t>
            </w:r>
            <w:r>
              <w:rPr>
                <w:spacing w:val="-6"/>
                <w:sz w:val="20"/>
              </w:rPr>
              <w:t> </w:t>
            </w:r>
            <w:r>
              <w:rPr>
                <w:sz w:val="20"/>
              </w:rPr>
              <w:t>E23.0,</w:t>
            </w:r>
            <w:r>
              <w:rPr>
                <w:spacing w:val="-7"/>
                <w:sz w:val="20"/>
              </w:rPr>
              <w:t> </w:t>
            </w:r>
            <w:r>
              <w:rPr>
                <w:sz w:val="20"/>
              </w:rPr>
              <w:t>E23.1,</w:t>
            </w:r>
            <w:r>
              <w:rPr>
                <w:spacing w:val="-5"/>
                <w:sz w:val="20"/>
              </w:rPr>
              <w:t> </w:t>
            </w:r>
            <w:r>
              <w:rPr>
                <w:sz w:val="20"/>
              </w:rPr>
              <w:t>E23.2,</w:t>
            </w:r>
            <w:r>
              <w:rPr>
                <w:spacing w:val="-5"/>
                <w:sz w:val="20"/>
              </w:rPr>
              <w:t> </w:t>
            </w:r>
            <w:r>
              <w:rPr>
                <w:sz w:val="20"/>
              </w:rPr>
              <w:t>E23.3,</w:t>
            </w:r>
            <w:r>
              <w:rPr>
                <w:spacing w:val="-5"/>
                <w:sz w:val="20"/>
              </w:rPr>
              <w:t> </w:t>
            </w:r>
            <w:r>
              <w:rPr>
                <w:sz w:val="20"/>
              </w:rPr>
              <w:t>E23.6,</w:t>
            </w:r>
            <w:r>
              <w:rPr>
                <w:spacing w:val="-5"/>
                <w:sz w:val="20"/>
              </w:rPr>
              <w:t> </w:t>
            </w:r>
            <w:r>
              <w:rPr>
                <w:spacing w:val="-2"/>
                <w:sz w:val="20"/>
              </w:rPr>
              <w:t>E23.7,</w:t>
            </w:r>
          </w:p>
        </w:tc>
        <w:tc>
          <w:tcPr>
            <w:tcW w:w="2785" w:type="dxa"/>
          </w:tcPr>
          <w:p>
            <w:pPr>
              <w:pStyle w:val="TableParagraph"/>
              <w:rPr>
                <w:sz w:val="16"/>
              </w:rPr>
            </w:pPr>
          </w:p>
        </w:tc>
        <w:tc>
          <w:tcPr>
            <w:tcW w:w="2640" w:type="dxa"/>
          </w:tcPr>
          <w:p>
            <w:pPr>
              <w:pStyle w:val="TableParagraph"/>
              <w:spacing w:line="210"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26" w:lineRule="exact"/>
              <w:ind w:left="708"/>
              <w:rPr>
                <w:sz w:val="20"/>
              </w:rPr>
            </w:pPr>
            <w:r>
              <w:rPr>
                <w:sz w:val="20"/>
              </w:rPr>
              <w:t>E24,</w:t>
            </w:r>
            <w:r>
              <w:rPr>
                <w:spacing w:val="-5"/>
                <w:sz w:val="20"/>
              </w:rPr>
              <w:t> </w:t>
            </w:r>
            <w:r>
              <w:rPr>
                <w:sz w:val="20"/>
              </w:rPr>
              <w:t>E24.0,</w:t>
            </w:r>
            <w:r>
              <w:rPr>
                <w:spacing w:val="-7"/>
                <w:sz w:val="20"/>
              </w:rPr>
              <w:t> </w:t>
            </w:r>
            <w:r>
              <w:rPr>
                <w:sz w:val="20"/>
              </w:rPr>
              <w:t>E24.1,</w:t>
            </w:r>
            <w:r>
              <w:rPr>
                <w:spacing w:val="-5"/>
                <w:sz w:val="20"/>
              </w:rPr>
              <w:t> </w:t>
            </w:r>
            <w:r>
              <w:rPr>
                <w:sz w:val="20"/>
              </w:rPr>
              <w:t>E24.2,</w:t>
            </w:r>
            <w:r>
              <w:rPr>
                <w:spacing w:val="-4"/>
                <w:sz w:val="20"/>
              </w:rPr>
              <w:t> </w:t>
            </w:r>
            <w:r>
              <w:rPr>
                <w:sz w:val="20"/>
              </w:rPr>
              <w:t>E24.4,</w:t>
            </w:r>
            <w:r>
              <w:rPr>
                <w:spacing w:val="-5"/>
                <w:sz w:val="20"/>
              </w:rPr>
              <w:t> </w:t>
            </w:r>
            <w:r>
              <w:rPr>
                <w:spacing w:val="-4"/>
                <w:sz w:val="20"/>
              </w:rPr>
              <w:t>E24.8</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st35.004</w:t>
            </w:r>
          </w:p>
        </w:tc>
        <w:tc>
          <w:tcPr>
            <w:tcW w:w="707" w:type="dxa"/>
          </w:tcPr>
          <w:p>
            <w:pPr>
              <w:pStyle w:val="TableParagraph"/>
              <w:spacing w:line="215" w:lineRule="exact" w:before="45"/>
              <w:ind w:left="210"/>
              <w:rPr>
                <w:sz w:val="20"/>
              </w:rPr>
            </w:pPr>
            <w:r>
              <w:rPr>
                <w:spacing w:val="-5"/>
                <w:sz w:val="20"/>
              </w:rPr>
              <w:t>351</w:t>
            </w:r>
          </w:p>
        </w:tc>
        <w:tc>
          <w:tcPr>
            <w:tcW w:w="2420" w:type="dxa"/>
          </w:tcPr>
          <w:p>
            <w:pPr>
              <w:pStyle w:val="TableParagraph"/>
              <w:spacing w:line="215" w:lineRule="exact" w:before="45"/>
              <w:ind w:left="192"/>
              <w:rPr>
                <w:sz w:val="20"/>
              </w:rPr>
            </w:pPr>
            <w:r>
              <w:rPr>
                <w:sz w:val="20"/>
              </w:rPr>
              <w:t>Другие</w:t>
            </w:r>
            <w:r>
              <w:rPr>
                <w:spacing w:val="-10"/>
                <w:sz w:val="20"/>
              </w:rPr>
              <w:t> </w:t>
            </w:r>
            <w:r>
              <w:rPr>
                <w:spacing w:val="-2"/>
                <w:sz w:val="20"/>
              </w:rPr>
              <w:t>болезни</w:t>
            </w:r>
          </w:p>
        </w:tc>
        <w:tc>
          <w:tcPr>
            <w:tcW w:w="4913" w:type="dxa"/>
          </w:tcPr>
          <w:p>
            <w:pPr>
              <w:pStyle w:val="TableParagraph"/>
              <w:spacing w:line="215" w:lineRule="exact" w:before="45"/>
              <w:ind w:left="470"/>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1,25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0" w:lineRule="exact"/>
              <w:ind w:left="192"/>
              <w:rPr>
                <w:sz w:val="20"/>
              </w:rPr>
            </w:pPr>
            <w:r>
              <w:rPr>
                <w:spacing w:val="-2"/>
                <w:sz w:val="20"/>
              </w:rPr>
              <w:t>эндокринной</w:t>
            </w:r>
            <w:r>
              <w:rPr>
                <w:spacing w:val="7"/>
                <w:sz w:val="20"/>
              </w:rPr>
              <w:t> </w:t>
            </w:r>
            <w:r>
              <w:rPr>
                <w:spacing w:val="-2"/>
                <w:sz w:val="20"/>
              </w:rPr>
              <w:t>системы,</w:t>
            </w:r>
          </w:p>
        </w:tc>
        <w:tc>
          <w:tcPr>
            <w:tcW w:w="4913" w:type="dxa"/>
          </w:tcPr>
          <w:p>
            <w:pPr>
              <w:pStyle w:val="TableParagraph"/>
              <w:spacing w:line="210" w:lineRule="exact"/>
              <w:ind w:left="470"/>
              <w:rPr>
                <w:sz w:val="20"/>
              </w:rPr>
            </w:pPr>
            <w:r>
              <w:rPr>
                <w:sz w:val="20"/>
              </w:rPr>
              <w:t>E01.1,</w:t>
            </w:r>
            <w:r>
              <w:rPr>
                <w:spacing w:val="-7"/>
                <w:sz w:val="20"/>
              </w:rPr>
              <w:t> </w:t>
            </w:r>
            <w:r>
              <w:rPr>
                <w:sz w:val="20"/>
              </w:rPr>
              <w:t>E01.2,</w:t>
            </w:r>
            <w:r>
              <w:rPr>
                <w:spacing w:val="-5"/>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2785" w:type="dxa"/>
          </w:tcPr>
          <w:p>
            <w:pPr>
              <w:pStyle w:val="TableParagraph"/>
              <w:rPr>
                <w:sz w:val="16"/>
              </w:rPr>
            </w:pPr>
          </w:p>
        </w:tc>
        <w:tc>
          <w:tcPr>
            <w:tcW w:w="2640" w:type="dxa"/>
          </w:tcPr>
          <w:p>
            <w:pPr>
              <w:pStyle w:val="TableParagraph"/>
              <w:spacing w:line="210"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1"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4913" w:type="dxa"/>
          </w:tcPr>
          <w:p>
            <w:pPr>
              <w:pStyle w:val="TableParagraph"/>
              <w:spacing w:line="211" w:lineRule="exact"/>
              <w:ind w:left="396"/>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96"/>
              <w:rPr>
                <w:sz w:val="20"/>
              </w:rPr>
            </w:pPr>
            <w:r>
              <w:rPr>
                <w:sz w:val="20"/>
              </w:rPr>
              <w:t>E04.0,</w:t>
            </w:r>
            <w:r>
              <w:rPr>
                <w:spacing w:val="-6"/>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5"/>
                <w:sz w:val="20"/>
              </w:rPr>
              <w:t> </w:t>
            </w:r>
            <w:r>
              <w:rPr>
                <w:spacing w:val="-2"/>
                <w:sz w:val="20"/>
              </w:rPr>
              <w:t>E05.0,</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321"/>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396"/>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259"/>
              <w:rPr>
                <w:sz w:val="20"/>
              </w:rPr>
            </w:pPr>
            <w:r>
              <w:rPr>
                <w:sz w:val="20"/>
              </w:rPr>
              <w:t>E06.9,</w:t>
            </w:r>
            <w:r>
              <w:rPr>
                <w:spacing w:val="-7"/>
                <w:sz w:val="20"/>
              </w:rPr>
              <w:t> </w:t>
            </w:r>
            <w:r>
              <w:rPr>
                <w:sz w:val="20"/>
              </w:rPr>
              <w:t>E07,</w:t>
            </w:r>
            <w:r>
              <w:rPr>
                <w:spacing w:val="-7"/>
                <w:sz w:val="20"/>
              </w:rPr>
              <w:t> </w:t>
            </w:r>
            <w:r>
              <w:rPr>
                <w:sz w:val="20"/>
              </w:rPr>
              <w:t>E07.0,</w:t>
            </w:r>
            <w:r>
              <w:rPr>
                <w:spacing w:val="-5"/>
                <w:sz w:val="20"/>
              </w:rPr>
              <w:t> </w:t>
            </w:r>
            <w:r>
              <w:rPr>
                <w:sz w:val="20"/>
              </w:rPr>
              <w:t>E07.1,</w:t>
            </w:r>
            <w:r>
              <w:rPr>
                <w:spacing w:val="-4"/>
                <w:sz w:val="20"/>
              </w:rPr>
              <w:t> </w:t>
            </w:r>
            <w:r>
              <w:rPr>
                <w:sz w:val="20"/>
              </w:rPr>
              <w:t>E07.8,</w:t>
            </w:r>
            <w:r>
              <w:rPr>
                <w:spacing w:val="-5"/>
                <w:sz w:val="20"/>
              </w:rPr>
              <w:t> </w:t>
            </w:r>
            <w:r>
              <w:rPr>
                <w:sz w:val="20"/>
              </w:rPr>
              <w:t>E07.9,</w:t>
            </w:r>
            <w:r>
              <w:rPr>
                <w:spacing w:val="-5"/>
                <w:sz w:val="20"/>
              </w:rPr>
              <w:t> </w:t>
            </w:r>
            <w:r>
              <w:rPr>
                <w:sz w:val="20"/>
              </w:rPr>
              <w:t>E15,</w:t>
            </w:r>
            <w:r>
              <w:rPr>
                <w:spacing w:val="-5"/>
                <w:sz w:val="20"/>
              </w:rPr>
              <w:t> </w:t>
            </w:r>
            <w:r>
              <w:rPr>
                <w:spacing w:val="-4"/>
                <w:sz w:val="20"/>
              </w:rPr>
              <w:t>E16,</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21"/>
              <w:rPr>
                <w:sz w:val="20"/>
              </w:rPr>
            </w:pPr>
            <w:r>
              <w:rPr>
                <w:sz w:val="20"/>
              </w:rPr>
              <w:t>E16.0,</w:t>
            </w:r>
            <w:r>
              <w:rPr>
                <w:spacing w:val="-7"/>
                <w:sz w:val="20"/>
              </w:rPr>
              <w:t> </w:t>
            </w:r>
            <w:r>
              <w:rPr>
                <w:sz w:val="20"/>
              </w:rPr>
              <w:t>E16.3,</w:t>
            </w:r>
            <w:r>
              <w:rPr>
                <w:spacing w:val="-5"/>
                <w:sz w:val="20"/>
              </w:rPr>
              <w:t> </w:t>
            </w:r>
            <w:r>
              <w:rPr>
                <w:sz w:val="20"/>
              </w:rPr>
              <w:t>E16.4,</w:t>
            </w:r>
            <w:r>
              <w:rPr>
                <w:spacing w:val="-4"/>
                <w:sz w:val="20"/>
              </w:rPr>
              <w:t> </w:t>
            </w:r>
            <w:r>
              <w:rPr>
                <w:sz w:val="20"/>
              </w:rPr>
              <w:t>E20.0,</w:t>
            </w:r>
            <w:r>
              <w:rPr>
                <w:spacing w:val="-5"/>
                <w:sz w:val="20"/>
              </w:rPr>
              <w:t> </w:t>
            </w:r>
            <w:r>
              <w:rPr>
                <w:sz w:val="20"/>
              </w:rPr>
              <w:t>E20.1,</w:t>
            </w:r>
            <w:r>
              <w:rPr>
                <w:spacing w:val="-6"/>
                <w:sz w:val="20"/>
              </w:rPr>
              <w:t> </w:t>
            </w:r>
            <w:r>
              <w:rPr>
                <w:sz w:val="20"/>
              </w:rPr>
              <w:t>E20.8,</w:t>
            </w:r>
            <w:r>
              <w:rPr>
                <w:spacing w:val="-5"/>
                <w:sz w:val="20"/>
              </w:rPr>
              <w:t> </w:t>
            </w:r>
            <w:r>
              <w:rPr>
                <w:spacing w:val="-2"/>
                <w:sz w:val="20"/>
              </w:rPr>
              <w:t>E20.9,</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96"/>
              <w:rPr>
                <w:sz w:val="20"/>
              </w:rPr>
            </w:pPr>
            <w:r>
              <w:rPr>
                <w:sz w:val="20"/>
              </w:rPr>
              <w:t>E21,</w:t>
            </w:r>
            <w:r>
              <w:rPr>
                <w:spacing w:val="-6"/>
                <w:sz w:val="20"/>
              </w:rPr>
              <w:t> </w:t>
            </w:r>
            <w:r>
              <w:rPr>
                <w:sz w:val="20"/>
              </w:rPr>
              <w:t>E21.0,</w:t>
            </w:r>
            <w:r>
              <w:rPr>
                <w:spacing w:val="-6"/>
                <w:sz w:val="20"/>
              </w:rPr>
              <w:t> </w:t>
            </w:r>
            <w:r>
              <w:rPr>
                <w:sz w:val="20"/>
              </w:rPr>
              <w:t>E21.1,</w:t>
            </w:r>
            <w:r>
              <w:rPr>
                <w:spacing w:val="-6"/>
                <w:sz w:val="20"/>
              </w:rPr>
              <w:t> </w:t>
            </w:r>
            <w:r>
              <w:rPr>
                <w:sz w:val="20"/>
              </w:rPr>
              <w:t>E21.2, E21.3,</w:t>
            </w:r>
            <w:r>
              <w:rPr>
                <w:spacing w:val="-5"/>
                <w:sz w:val="20"/>
              </w:rPr>
              <w:t> </w:t>
            </w:r>
            <w:r>
              <w:rPr>
                <w:sz w:val="20"/>
              </w:rPr>
              <w:t>E21.4,</w:t>
            </w:r>
            <w:r>
              <w:rPr>
                <w:spacing w:val="-5"/>
                <w:sz w:val="20"/>
              </w:rPr>
              <w:t> </w:t>
            </w:r>
            <w:r>
              <w:rPr>
                <w:spacing w:val="-2"/>
                <w:sz w:val="20"/>
              </w:rPr>
              <w:t>E21.5,</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470"/>
              <w:rPr>
                <w:sz w:val="20"/>
              </w:rPr>
            </w:pPr>
            <w:r>
              <w:rPr>
                <w:sz w:val="20"/>
              </w:rPr>
              <w:t>E24.9,</w:t>
            </w:r>
            <w:r>
              <w:rPr>
                <w:spacing w:val="-7"/>
                <w:sz w:val="20"/>
              </w:rPr>
              <w:t> </w:t>
            </w:r>
            <w:r>
              <w:rPr>
                <w:sz w:val="20"/>
              </w:rPr>
              <w:t>E25,</w:t>
            </w:r>
            <w:r>
              <w:rPr>
                <w:spacing w:val="-6"/>
                <w:sz w:val="20"/>
              </w:rPr>
              <w:t> </w:t>
            </w:r>
            <w:r>
              <w:rPr>
                <w:sz w:val="20"/>
              </w:rPr>
              <w:t>E25.0,</w:t>
            </w:r>
            <w:r>
              <w:rPr>
                <w:spacing w:val="-4"/>
                <w:sz w:val="20"/>
              </w:rPr>
              <w:t> </w:t>
            </w:r>
            <w:r>
              <w:rPr>
                <w:sz w:val="20"/>
              </w:rPr>
              <w:t>E25.8,</w:t>
            </w:r>
            <w:r>
              <w:rPr>
                <w:spacing w:val="-4"/>
                <w:sz w:val="20"/>
              </w:rPr>
              <w:t> </w:t>
            </w:r>
            <w:r>
              <w:rPr>
                <w:sz w:val="20"/>
              </w:rPr>
              <w:t>E25.9,</w:t>
            </w:r>
            <w:r>
              <w:rPr>
                <w:spacing w:val="-5"/>
                <w:sz w:val="20"/>
              </w:rPr>
              <w:t> </w:t>
            </w:r>
            <w:r>
              <w:rPr>
                <w:sz w:val="20"/>
              </w:rPr>
              <w:t>E26,</w:t>
            </w:r>
            <w:r>
              <w:rPr>
                <w:spacing w:val="-4"/>
                <w:sz w:val="20"/>
              </w:rPr>
              <w:t> </w:t>
            </w:r>
            <w:r>
              <w:rPr>
                <w:spacing w:val="-2"/>
                <w:sz w:val="20"/>
              </w:rPr>
              <w:t>E26.0,</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396"/>
              <w:rPr>
                <w:sz w:val="20"/>
              </w:rPr>
            </w:pPr>
            <w:r>
              <w:rPr>
                <w:sz w:val="20"/>
              </w:rPr>
              <w:t>E26.9,</w:t>
            </w:r>
            <w:r>
              <w:rPr>
                <w:spacing w:val="-7"/>
                <w:sz w:val="20"/>
              </w:rPr>
              <w:t> </w:t>
            </w:r>
            <w:r>
              <w:rPr>
                <w:sz w:val="20"/>
              </w:rPr>
              <w:t>E27,</w:t>
            </w:r>
            <w:r>
              <w:rPr>
                <w:spacing w:val="-7"/>
                <w:sz w:val="20"/>
              </w:rPr>
              <w:t> </w:t>
            </w:r>
            <w:r>
              <w:rPr>
                <w:sz w:val="20"/>
              </w:rPr>
              <w:t>E27.0,</w:t>
            </w:r>
            <w:r>
              <w:rPr>
                <w:spacing w:val="-5"/>
                <w:sz w:val="20"/>
              </w:rPr>
              <w:t> </w:t>
            </w:r>
            <w:r>
              <w:rPr>
                <w:sz w:val="20"/>
              </w:rPr>
              <w:t>E27.1,</w:t>
            </w:r>
            <w:r>
              <w:rPr>
                <w:spacing w:val="-5"/>
                <w:sz w:val="20"/>
              </w:rPr>
              <w:t> </w:t>
            </w:r>
            <w:r>
              <w:rPr>
                <w:sz w:val="20"/>
              </w:rPr>
              <w:t>E27.2,</w:t>
            </w:r>
            <w:r>
              <w:rPr>
                <w:spacing w:val="-4"/>
                <w:sz w:val="20"/>
              </w:rPr>
              <w:t> </w:t>
            </w:r>
            <w:r>
              <w:rPr>
                <w:sz w:val="20"/>
              </w:rPr>
              <w:t>E27.3,</w:t>
            </w:r>
            <w:r>
              <w:rPr>
                <w:spacing w:val="-5"/>
                <w:sz w:val="20"/>
              </w:rPr>
              <w:t> </w:t>
            </w:r>
            <w:r>
              <w:rPr>
                <w:spacing w:val="-2"/>
                <w:sz w:val="20"/>
              </w:rPr>
              <w:t>E27.4,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96"/>
              <w:rPr>
                <w:sz w:val="20"/>
              </w:rPr>
            </w:pPr>
            <w:r>
              <w:rPr>
                <w:sz w:val="20"/>
              </w:rPr>
              <w:t>E27.5,</w:t>
            </w:r>
            <w:r>
              <w:rPr>
                <w:spacing w:val="-7"/>
                <w:sz w:val="20"/>
              </w:rPr>
              <w:t> </w:t>
            </w:r>
            <w:r>
              <w:rPr>
                <w:sz w:val="20"/>
              </w:rPr>
              <w:t>E27.8,</w:t>
            </w:r>
            <w:r>
              <w:rPr>
                <w:spacing w:val="-6"/>
                <w:sz w:val="20"/>
              </w:rPr>
              <w:t> </w:t>
            </w:r>
            <w:r>
              <w:rPr>
                <w:sz w:val="20"/>
              </w:rPr>
              <w:t>E27.9,</w:t>
            </w:r>
            <w:r>
              <w:rPr>
                <w:spacing w:val="-5"/>
                <w:sz w:val="20"/>
              </w:rPr>
              <w:t> </w:t>
            </w:r>
            <w:r>
              <w:rPr>
                <w:sz w:val="20"/>
              </w:rPr>
              <w:t>E29,</w:t>
            </w:r>
            <w:r>
              <w:rPr>
                <w:spacing w:val="-5"/>
                <w:sz w:val="20"/>
              </w:rPr>
              <w:t> </w:t>
            </w:r>
            <w:r>
              <w:rPr>
                <w:sz w:val="20"/>
              </w:rPr>
              <w:t>E29.0,</w:t>
            </w:r>
            <w:r>
              <w:rPr>
                <w:spacing w:val="-5"/>
                <w:sz w:val="20"/>
              </w:rPr>
              <w:t> </w:t>
            </w:r>
            <w:r>
              <w:rPr>
                <w:sz w:val="20"/>
              </w:rPr>
              <w:t>E29.1,</w:t>
            </w:r>
            <w:r>
              <w:rPr>
                <w:spacing w:val="-5"/>
                <w:sz w:val="20"/>
              </w:rPr>
              <w:t> </w:t>
            </w:r>
            <w:r>
              <w:rPr>
                <w:spacing w:val="-2"/>
                <w:sz w:val="20"/>
              </w:rPr>
              <w:t>E29.8,</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470"/>
              <w:rPr>
                <w:sz w:val="20"/>
              </w:rPr>
            </w:pPr>
            <w:r>
              <w:rPr>
                <w:sz w:val="20"/>
              </w:rPr>
              <w:t>E29.9,</w:t>
            </w:r>
            <w:r>
              <w:rPr>
                <w:spacing w:val="-7"/>
                <w:sz w:val="20"/>
              </w:rPr>
              <w:t> </w:t>
            </w:r>
            <w:r>
              <w:rPr>
                <w:sz w:val="20"/>
              </w:rPr>
              <w:t>E30,</w:t>
            </w:r>
            <w:r>
              <w:rPr>
                <w:spacing w:val="-7"/>
                <w:sz w:val="20"/>
              </w:rPr>
              <w:t> </w:t>
            </w:r>
            <w:r>
              <w:rPr>
                <w:sz w:val="20"/>
              </w:rPr>
              <w:t>E30.0,</w:t>
            </w:r>
            <w:r>
              <w:rPr>
                <w:spacing w:val="-5"/>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pacing w:val="-4"/>
                <w:sz w:val="20"/>
              </w:rPr>
              <w:t>E34,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96"/>
              <w:rPr>
                <w:sz w:val="20"/>
              </w:rPr>
            </w:pPr>
            <w:r>
              <w:rPr>
                <w:sz w:val="20"/>
              </w:rPr>
              <w:t>E34.3,</w:t>
            </w:r>
            <w:r>
              <w:rPr>
                <w:spacing w:val="-7"/>
                <w:sz w:val="20"/>
              </w:rPr>
              <w:t> </w:t>
            </w:r>
            <w:r>
              <w:rPr>
                <w:sz w:val="20"/>
              </w:rPr>
              <w:t>E34.4,</w:t>
            </w:r>
            <w:r>
              <w:rPr>
                <w:spacing w:val="-5"/>
                <w:sz w:val="20"/>
              </w:rPr>
              <w:t> </w:t>
            </w:r>
            <w:r>
              <w:rPr>
                <w:sz w:val="20"/>
              </w:rPr>
              <w:t>E34.5,</w:t>
            </w:r>
            <w:r>
              <w:rPr>
                <w:spacing w:val="-4"/>
                <w:sz w:val="20"/>
              </w:rPr>
              <w:t> </w:t>
            </w:r>
            <w:r>
              <w:rPr>
                <w:sz w:val="20"/>
              </w:rPr>
              <w:t>E34.9,</w:t>
            </w:r>
            <w:r>
              <w:rPr>
                <w:spacing w:val="-5"/>
                <w:sz w:val="20"/>
              </w:rPr>
              <w:t> </w:t>
            </w:r>
            <w:r>
              <w:rPr>
                <w:sz w:val="20"/>
              </w:rPr>
              <w:t>E35,</w:t>
            </w:r>
            <w:r>
              <w:rPr>
                <w:spacing w:val="-5"/>
                <w:sz w:val="20"/>
              </w:rPr>
              <w:t> </w:t>
            </w:r>
            <w:r>
              <w:rPr>
                <w:sz w:val="20"/>
              </w:rPr>
              <w:t>E35.0,</w:t>
            </w:r>
            <w:r>
              <w:rPr>
                <w:spacing w:val="-6"/>
                <w:sz w:val="20"/>
              </w:rPr>
              <w:t> </w:t>
            </w:r>
            <w:r>
              <w:rPr>
                <w:spacing w:val="-2"/>
                <w:sz w:val="20"/>
              </w:rPr>
              <w:t>E35.1,</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21"/>
              <w:rPr>
                <w:sz w:val="20"/>
              </w:rPr>
            </w:pPr>
            <w:r>
              <w:rPr>
                <w:sz w:val="20"/>
              </w:rPr>
              <w:t>E35.8,</w:t>
            </w:r>
            <w:r>
              <w:rPr>
                <w:spacing w:val="-7"/>
                <w:sz w:val="20"/>
              </w:rPr>
              <w:t> </w:t>
            </w:r>
            <w:r>
              <w:rPr>
                <w:sz w:val="20"/>
              </w:rPr>
              <w:t>E89.0,</w:t>
            </w:r>
            <w:r>
              <w:rPr>
                <w:spacing w:val="-4"/>
                <w:sz w:val="20"/>
              </w:rPr>
              <w:t> </w:t>
            </w:r>
            <w:r>
              <w:rPr>
                <w:sz w:val="20"/>
              </w:rPr>
              <w:t>E89.1,</w:t>
            </w:r>
            <w:r>
              <w:rPr>
                <w:spacing w:val="-5"/>
                <w:sz w:val="20"/>
              </w:rPr>
              <w:t> </w:t>
            </w:r>
            <w:r>
              <w:rPr>
                <w:sz w:val="20"/>
              </w:rPr>
              <w:t>E89.2,</w:t>
            </w:r>
            <w:r>
              <w:rPr>
                <w:spacing w:val="-4"/>
                <w:sz w:val="20"/>
              </w:rPr>
              <w:t> </w:t>
            </w:r>
            <w:r>
              <w:rPr>
                <w:sz w:val="20"/>
              </w:rPr>
              <w:t>E89.3,</w:t>
            </w:r>
            <w:r>
              <w:rPr>
                <w:spacing w:val="-6"/>
                <w:sz w:val="20"/>
              </w:rPr>
              <w:t> </w:t>
            </w:r>
            <w:r>
              <w:rPr>
                <w:sz w:val="20"/>
              </w:rPr>
              <w:t>E89.5,</w:t>
            </w:r>
            <w:r>
              <w:rPr>
                <w:spacing w:val="-5"/>
                <w:sz w:val="20"/>
              </w:rPr>
              <w:t> </w:t>
            </w:r>
            <w:r>
              <w:rPr>
                <w:spacing w:val="-2"/>
                <w:sz w:val="20"/>
              </w:rPr>
              <w:t>E89.6,</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26" w:lineRule="exact"/>
              <w:ind w:left="285"/>
              <w:rPr>
                <w:sz w:val="20"/>
              </w:rPr>
            </w:pPr>
            <w:r>
              <w:rPr>
                <w:sz w:val="20"/>
              </w:rPr>
              <w:t>E89.8,</w:t>
            </w:r>
            <w:r>
              <w:rPr>
                <w:spacing w:val="-6"/>
                <w:sz w:val="20"/>
              </w:rPr>
              <w:t> </w:t>
            </w:r>
            <w:r>
              <w:rPr>
                <w:sz w:val="20"/>
              </w:rPr>
              <w:t>E89.9,</w:t>
            </w:r>
            <w:r>
              <w:rPr>
                <w:spacing w:val="-5"/>
                <w:sz w:val="20"/>
              </w:rPr>
              <w:t> </w:t>
            </w:r>
            <w:r>
              <w:rPr>
                <w:sz w:val="20"/>
              </w:rPr>
              <w:t>M82.1,</w:t>
            </w:r>
            <w:r>
              <w:rPr>
                <w:spacing w:val="-6"/>
                <w:sz w:val="20"/>
              </w:rPr>
              <w:t> </w:t>
            </w:r>
            <w:r>
              <w:rPr>
                <w:sz w:val="20"/>
              </w:rPr>
              <w:t>Q89.1,</w:t>
            </w:r>
            <w:r>
              <w:rPr>
                <w:spacing w:val="-6"/>
                <w:sz w:val="20"/>
              </w:rPr>
              <w:t> </w:t>
            </w:r>
            <w:r>
              <w:rPr>
                <w:sz w:val="20"/>
              </w:rPr>
              <w:t>Q89.2,</w:t>
            </w:r>
            <w:r>
              <w:rPr>
                <w:spacing w:val="-4"/>
                <w:sz w:val="20"/>
              </w:rPr>
              <w:t> </w:t>
            </w:r>
            <w:r>
              <w:rPr>
                <w:sz w:val="20"/>
              </w:rPr>
              <w:t>R94.6,</w:t>
            </w:r>
            <w:r>
              <w:rPr>
                <w:spacing w:val="-4"/>
                <w:sz w:val="20"/>
              </w:rPr>
              <w:t> R94.7</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st35.005</w:t>
            </w:r>
          </w:p>
        </w:tc>
        <w:tc>
          <w:tcPr>
            <w:tcW w:w="707" w:type="dxa"/>
          </w:tcPr>
          <w:p>
            <w:pPr>
              <w:pStyle w:val="TableParagraph"/>
              <w:spacing w:line="215" w:lineRule="exact" w:before="45"/>
              <w:ind w:left="210"/>
              <w:rPr>
                <w:sz w:val="20"/>
              </w:rPr>
            </w:pPr>
            <w:r>
              <w:rPr>
                <w:spacing w:val="-5"/>
                <w:sz w:val="20"/>
              </w:rPr>
              <w:t>352</w:t>
            </w:r>
          </w:p>
        </w:tc>
        <w:tc>
          <w:tcPr>
            <w:tcW w:w="2420" w:type="dxa"/>
          </w:tcPr>
          <w:p>
            <w:pPr>
              <w:pStyle w:val="TableParagraph"/>
              <w:spacing w:line="215" w:lineRule="exact" w:before="45"/>
              <w:ind w:left="192"/>
              <w:rPr>
                <w:sz w:val="20"/>
              </w:rPr>
            </w:pPr>
            <w:r>
              <w:rPr>
                <w:sz w:val="20"/>
              </w:rPr>
              <w:t>Другие</w:t>
            </w:r>
            <w:r>
              <w:rPr>
                <w:spacing w:val="-10"/>
                <w:sz w:val="20"/>
              </w:rPr>
              <w:t> </w:t>
            </w:r>
            <w:r>
              <w:rPr>
                <w:spacing w:val="-2"/>
                <w:sz w:val="20"/>
              </w:rPr>
              <w:t>болезни</w:t>
            </w:r>
          </w:p>
        </w:tc>
        <w:tc>
          <w:tcPr>
            <w:tcW w:w="4913" w:type="dxa"/>
          </w:tcPr>
          <w:p>
            <w:pPr>
              <w:pStyle w:val="TableParagraph"/>
              <w:spacing w:line="215" w:lineRule="exact" w:before="45"/>
              <w:ind w:left="288"/>
              <w:rPr>
                <w:sz w:val="20"/>
              </w:rPr>
            </w:pPr>
            <w:r>
              <w:rPr>
                <w:sz w:val="20"/>
              </w:rPr>
              <w:t>D13.6,</w:t>
            </w:r>
            <w:r>
              <w:rPr>
                <w:spacing w:val="-4"/>
                <w:sz w:val="20"/>
              </w:rPr>
              <w:t> </w:t>
            </w:r>
            <w:r>
              <w:rPr>
                <w:sz w:val="20"/>
              </w:rPr>
              <w:t>D13.7,</w:t>
            </w:r>
            <w:r>
              <w:rPr>
                <w:spacing w:val="-6"/>
                <w:sz w:val="20"/>
              </w:rPr>
              <w:t> </w:t>
            </w:r>
            <w:r>
              <w:rPr>
                <w:sz w:val="20"/>
              </w:rPr>
              <w:t>D35.8,</w:t>
            </w:r>
            <w:r>
              <w:rPr>
                <w:spacing w:val="-4"/>
                <w:sz w:val="20"/>
              </w:rPr>
              <w:t> </w:t>
            </w:r>
            <w:r>
              <w:rPr>
                <w:sz w:val="20"/>
              </w:rPr>
              <w:t>E16.1,</w:t>
            </w:r>
            <w:r>
              <w:rPr>
                <w:spacing w:val="-6"/>
                <w:sz w:val="20"/>
              </w:rPr>
              <w:t> </w:t>
            </w:r>
            <w:r>
              <w:rPr>
                <w:sz w:val="20"/>
              </w:rPr>
              <w:t>E16.2,</w:t>
            </w:r>
            <w:r>
              <w:rPr>
                <w:spacing w:val="-6"/>
                <w:sz w:val="20"/>
              </w:rPr>
              <w:t> </w:t>
            </w:r>
            <w:r>
              <w:rPr>
                <w:sz w:val="20"/>
              </w:rPr>
              <w:t>E16.8,</w:t>
            </w:r>
            <w:r>
              <w:rPr>
                <w:spacing w:val="-3"/>
                <w:sz w:val="20"/>
              </w:rPr>
              <w:t> </w:t>
            </w:r>
            <w:r>
              <w:rPr>
                <w:spacing w:val="-2"/>
                <w:sz w:val="20"/>
              </w:rPr>
              <w:t>E16.9,</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2,76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0" w:lineRule="exact"/>
              <w:ind w:left="192"/>
              <w:rPr>
                <w:sz w:val="20"/>
              </w:rPr>
            </w:pPr>
            <w:r>
              <w:rPr>
                <w:spacing w:val="-2"/>
                <w:sz w:val="20"/>
              </w:rPr>
              <w:t>эндокринной</w:t>
            </w:r>
            <w:r>
              <w:rPr>
                <w:spacing w:val="7"/>
                <w:sz w:val="20"/>
              </w:rPr>
              <w:t> </w:t>
            </w:r>
            <w:r>
              <w:rPr>
                <w:spacing w:val="-2"/>
                <w:sz w:val="20"/>
              </w:rPr>
              <w:t>системы,</w:t>
            </w:r>
          </w:p>
        </w:tc>
        <w:tc>
          <w:tcPr>
            <w:tcW w:w="4913" w:type="dxa"/>
          </w:tcPr>
          <w:p>
            <w:pPr>
              <w:pStyle w:val="TableParagraph"/>
              <w:spacing w:line="210" w:lineRule="exact"/>
              <w:ind w:left="396"/>
              <w:rPr>
                <w:sz w:val="20"/>
              </w:rPr>
            </w:pPr>
            <w:r>
              <w:rPr>
                <w:sz w:val="20"/>
              </w:rPr>
              <w:t>E24.3,</w:t>
            </w:r>
            <w:r>
              <w:rPr>
                <w:spacing w:val="-7"/>
                <w:sz w:val="20"/>
              </w:rPr>
              <w:t> </w:t>
            </w:r>
            <w:r>
              <w:rPr>
                <w:sz w:val="20"/>
              </w:rPr>
              <w:t>E31,</w:t>
            </w:r>
            <w:r>
              <w:rPr>
                <w:spacing w:val="-7"/>
                <w:sz w:val="20"/>
              </w:rPr>
              <w:t> </w:t>
            </w:r>
            <w:r>
              <w:rPr>
                <w:sz w:val="20"/>
              </w:rPr>
              <w:t>E31.0,</w:t>
            </w:r>
            <w:r>
              <w:rPr>
                <w:spacing w:val="-5"/>
                <w:sz w:val="20"/>
              </w:rPr>
              <w:t> </w:t>
            </w:r>
            <w:r>
              <w:rPr>
                <w:sz w:val="20"/>
              </w:rPr>
              <w:t>E31.1,</w:t>
            </w:r>
            <w:r>
              <w:rPr>
                <w:spacing w:val="-5"/>
                <w:sz w:val="20"/>
              </w:rPr>
              <w:t> </w:t>
            </w:r>
            <w:r>
              <w:rPr>
                <w:sz w:val="20"/>
              </w:rPr>
              <w:t>E31.8,</w:t>
            </w:r>
            <w:r>
              <w:rPr>
                <w:spacing w:val="-4"/>
                <w:sz w:val="20"/>
              </w:rPr>
              <w:t> </w:t>
            </w:r>
            <w:r>
              <w:rPr>
                <w:sz w:val="20"/>
              </w:rPr>
              <w:t>E31.9,</w:t>
            </w:r>
            <w:r>
              <w:rPr>
                <w:spacing w:val="-5"/>
                <w:sz w:val="20"/>
              </w:rPr>
              <w:t> </w:t>
            </w:r>
            <w:r>
              <w:rPr>
                <w:spacing w:val="-2"/>
                <w:sz w:val="20"/>
              </w:rPr>
              <w:t>E34.0,</w:t>
            </w:r>
          </w:p>
        </w:tc>
        <w:tc>
          <w:tcPr>
            <w:tcW w:w="2785" w:type="dxa"/>
          </w:tcPr>
          <w:p>
            <w:pPr>
              <w:pStyle w:val="TableParagraph"/>
              <w:rPr>
                <w:sz w:val="16"/>
              </w:rPr>
            </w:pPr>
          </w:p>
        </w:tc>
        <w:tc>
          <w:tcPr>
            <w:tcW w:w="2640" w:type="dxa"/>
          </w:tcPr>
          <w:p>
            <w:pPr>
              <w:pStyle w:val="TableParagraph"/>
              <w:spacing w:line="210"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spacing w:line="226"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4913" w:type="dxa"/>
          </w:tcPr>
          <w:p>
            <w:pPr>
              <w:pStyle w:val="TableParagraph"/>
              <w:spacing w:line="226" w:lineRule="exact"/>
              <w:ind w:left="1490"/>
              <w:rPr>
                <w:sz w:val="20"/>
              </w:rPr>
            </w:pPr>
            <w:r>
              <w:rPr>
                <w:sz w:val="20"/>
              </w:rPr>
              <w:t>E34.1,</w:t>
            </w:r>
            <w:r>
              <w:rPr>
                <w:spacing w:val="-6"/>
                <w:sz w:val="20"/>
              </w:rPr>
              <w:t> </w:t>
            </w:r>
            <w:r>
              <w:rPr>
                <w:sz w:val="20"/>
              </w:rPr>
              <w:t>E34.2,</w:t>
            </w:r>
            <w:r>
              <w:rPr>
                <w:spacing w:val="-3"/>
                <w:sz w:val="20"/>
              </w:rPr>
              <w:t> </w:t>
            </w:r>
            <w:r>
              <w:rPr>
                <w:spacing w:val="-2"/>
                <w:sz w:val="20"/>
              </w:rPr>
              <w:t>E34.8</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4"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10" w:lineRule="exact" w:before="45"/>
              <w:ind w:right="312"/>
              <w:jc w:val="center"/>
              <w:rPr>
                <w:sz w:val="20"/>
              </w:rPr>
            </w:pPr>
            <w:r>
              <w:rPr>
                <w:w w:val="99"/>
                <w:sz w:val="20"/>
              </w:rPr>
              <w:t>-</w:t>
            </w:r>
          </w:p>
        </w:tc>
        <w:tc>
          <w:tcPr>
            <w:tcW w:w="2785" w:type="dxa"/>
          </w:tcPr>
          <w:p>
            <w:pPr>
              <w:pStyle w:val="TableParagraph"/>
              <w:spacing w:line="210" w:lineRule="exact" w:before="45"/>
              <w:ind w:left="267" w:right="518"/>
              <w:jc w:val="center"/>
              <w:rPr>
                <w:sz w:val="20"/>
              </w:rPr>
            </w:pPr>
            <w:r>
              <w:rPr>
                <w:sz w:val="20"/>
              </w:rPr>
              <w:t>A06.12.032,</w:t>
            </w:r>
            <w:r>
              <w:rPr>
                <w:spacing w:val="-9"/>
                <w:sz w:val="20"/>
              </w:rPr>
              <w:t> </w:t>
            </w:r>
            <w:r>
              <w:rPr>
                <w:spacing w:val="-2"/>
                <w:sz w:val="20"/>
              </w:rPr>
              <w:t>A06.12.033</w:t>
            </w:r>
          </w:p>
        </w:tc>
        <w:tc>
          <w:tcPr>
            <w:tcW w:w="2640" w:type="dxa"/>
          </w:tcPr>
          <w:p>
            <w:pPr>
              <w:pStyle w:val="TableParagraph"/>
              <w:spacing w:line="210" w:lineRule="exact" w:before="45"/>
              <w:ind w:left="57"/>
              <w:jc w:val="center"/>
              <w:rPr>
                <w:sz w:val="20"/>
              </w:rPr>
            </w:pPr>
            <w:r>
              <w:rPr>
                <w:w w:val="99"/>
                <w:sz w:val="20"/>
              </w:rPr>
              <w:t>-</w:t>
            </w:r>
          </w:p>
        </w:tc>
        <w:tc>
          <w:tcPr>
            <w:tcW w:w="864"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45"/>
        <w:gridCol w:w="5214"/>
        <w:gridCol w:w="2374"/>
        <w:gridCol w:w="2325"/>
        <w:gridCol w:w="1260"/>
      </w:tblGrid>
      <w:tr>
        <w:trPr>
          <w:trHeight w:val="1195" w:hRule="atLeast"/>
        </w:trPr>
        <w:tc>
          <w:tcPr>
            <w:tcW w:w="946" w:type="dxa"/>
          </w:tcPr>
          <w:p>
            <w:pPr>
              <w:pStyle w:val="TableParagraph"/>
              <w:spacing w:line="221" w:lineRule="exact"/>
              <w:ind w:left="50"/>
              <w:rPr>
                <w:sz w:val="20"/>
              </w:rPr>
            </w:pPr>
            <w:r>
              <w:rPr>
                <w:spacing w:val="-2"/>
                <w:sz w:val="20"/>
              </w:rPr>
              <w:t>st35.006</w:t>
            </w:r>
          </w:p>
        </w:tc>
        <w:tc>
          <w:tcPr>
            <w:tcW w:w="707" w:type="dxa"/>
          </w:tcPr>
          <w:p>
            <w:pPr>
              <w:pStyle w:val="TableParagraph"/>
              <w:spacing w:line="221" w:lineRule="exact"/>
              <w:ind w:left="210"/>
              <w:rPr>
                <w:sz w:val="20"/>
              </w:rPr>
            </w:pPr>
            <w:r>
              <w:rPr>
                <w:spacing w:val="-5"/>
                <w:sz w:val="20"/>
              </w:rPr>
              <w:t>353</w:t>
            </w:r>
          </w:p>
        </w:tc>
        <w:tc>
          <w:tcPr>
            <w:tcW w:w="2445" w:type="dxa"/>
          </w:tcPr>
          <w:p>
            <w:pPr>
              <w:pStyle w:val="TableParagraph"/>
              <w:ind w:left="192" w:right="3"/>
              <w:rPr>
                <w:sz w:val="20"/>
              </w:rPr>
            </w:pPr>
            <w:r>
              <w:rPr>
                <w:spacing w:val="-2"/>
                <w:sz w:val="20"/>
              </w:rPr>
              <w:t>Новообразования </w:t>
            </w:r>
            <w:r>
              <w:rPr>
                <w:sz w:val="20"/>
              </w:rPr>
              <w:t>эндокринных желез доброкачественные, in situ,</w:t>
            </w:r>
            <w:r>
              <w:rPr>
                <w:spacing w:val="-13"/>
                <w:sz w:val="20"/>
              </w:rPr>
              <w:t> </w:t>
            </w:r>
            <w:r>
              <w:rPr>
                <w:sz w:val="20"/>
              </w:rPr>
              <w:t>неопределенного</w:t>
            </w:r>
            <w:r>
              <w:rPr>
                <w:spacing w:val="-12"/>
                <w:sz w:val="20"/>
              </w:rPr>
              <w:t> </w:t>
            </w:r>
            <w:r>
              <w:rPr>
                <w:sz w:val="20"/>
              </w:rPr>
              <w:t>и </w:t>
            </w:r>
            <w:r>
              <w:rPr>
                <w:spacing w:val="-2"/>
                <w:sz w:val="20"/>
              </w:rPr>
              <w:t>неизвестного</w:t>
            </w:r>
            <w:r>
              <w:rPr>
                <w:spacing w:val="9"/>
                <w:sz w:val="20"/>
              </w:rPr>
              <w:t> </w:t>
            </w:r>
            <w:r>
              <w:rPr>
                <w:spacing w:val="-2"/>
                <w:sz w:val="20"/>
              </w:rPr>
              <w:t>характера</w:t>
            </w:r>
          </w:p>
        </w:tc>
        <w:tc>
          <w:tcPr>
            <w:tcW w:w="5214" w:type="dxa"/>
          </w:tcPr>
          <w:p>
            <w:pPr>
              <w:pStyle w:val="TableParagraph"/>
              <w:spacing w:line="221" w:lineRule="exact"/>
              <w:ind w:left="294"/>
              <w:rPr>
                <w:sz w:val="20"/>
              </w:rPr>
            </w:pPr>
            <w:r>
              <w:rPr>
                <w:sz w:val="20"/>
              </w:rPr>
              <w:t>D09.3,</w:t>
            </w:r>
            <w:r>
              <w:rPr>
                <w:spacing w:val="-6"/>
                <w:sz w:val="20"/>
              </w:rPr>
              <w:t> </w:t>
            </w:r>
            <w:r>
              <w:rPr>
                <w:sz w:val="20"/>
              </w:rPr>
              <w:t>D15.0,</w:t>
            </w:r>
            <w:r>
              <w:rPr>
                <w:spacing w:val="-7"/>
                <w:sz w:val="20"/>
              </w:rPr>
              <w:t> </w:t>
            </w:r>
            <w:r>
              <w:rPr>
                <w:sz w:val="20"/>
              </w:rPr>
              <w:t>D34,</w:t>
            </w:r>
            <w:r>
              <w:rPr>
                <w:spacing w:val="-5"/>
                <w:sz w:val="20"/>
              </w:rPr>
              <w:t> </w:t>
            </w:r>
            <w:r>
              <w:rPr>
                <w:sz w:val="20"/>
              </w:rPr>
              <w:t>D35.0,</w:t>
            </w:r>
            <w:r>
              <w:rPr>
                <w:spacing w:val="-5"/>
                <w:sz w:val="20"/>
              </w:rPr>
              <w:t> </w:t>
            </w:r>
            <w:r>
              <w:rPr>
                <w:sz w:val="20"/>
              </w:rPr>
              <w:t>D35.1,</w:t>
            </w:r>
            <w:r>
              <w:rPr>
                <w:spacing w:val="-5"/>
                <w:sz w:val="20"/>
              </w:rPr>
              <w:t> </w:t>
            </w:r>
            <w:r>
              <w:rPr>
                <w:sz w:val="20"/>
              </w:rPr>
              <w:t>D35.3,</w:t>
            </w:r>
            <w:r>
              <w:rPr>
                <w:spacing w:val="-6"/>
                <w:sz w:val="20"/>
              </w:rPr>
              <w:t> </w:t>
            </w:r>
            <w:r>
              <w:rPr>
                <w:spacing w:val="-2"/>
                <w:sz w:val="20"/>
              </w:rPr>
              <w:t>D35.7,</w:t>
            </w:r>
          </w:p>
          <w:p>
            <w:pPr>
              <w:pStyle w:val="TableParagraph"/>
              <w:ind w:left="839" w:right="482" w:hanging="545"/>
              <w:rPr>
                <w:sz w:val="20"/>
              </w:rPr>
            </w:pPr>
            <w:r>
              <w:rPr>
                <w:sz w:val="20"/>
              </w:rPr>
              <w:t>D35.9,</w:t>
            </w:r>
            <w:r>
              <w:rPr>
                <w:spacing w:val="-8"/>
                <w:sz w:val="20"/>
              </w:rPr>
              <w:t> </w:t>
            </w:r>
            <w:r>
              <w:rPr>
                <w:sz w:val="20"/>
              </w:rPr>
              <w:t>D44,</w:t>
            </w:r>
            <w:r>
              <w:rPr>
                <w:spacing w:val="-8"/>
                <w:sz w:val="20"/>
              </w:rPr>
              <w:t> </w:t>
            </w:r>
            <w:r>
              <w:rPr>
                <w:sz w:val="20"/>
              </w:rPr>
              <w:t>D44.0,</w:t>
            </w:r>
            <w:r>
              <w:rPr>
                <w:spacing w:val="-8"/>
                <w:sz w:val="20"/>
              </w:rPr>
              <w:t> </w:t>
            </w:r>
            <w:r>
              <w:rPr>
                <w:sz w:val="20"/>
              </w:rPr>
              <w:t>D44.1,</w:t>
            </w:r>
            <w:r>
              <w:rPr>
                <w:spacing w:val="-8"/>
                <w:sz w:val="20"/>
              </w:rPr>
              <w:t> </w:t>
            </w:r>
            <w:r>
              <w:rPr>
                <w:sz w:val="20"/>
              </w:rPr>
              <w:t>D44.2,</w:t>
            </w:r>
            <w:r>
              <w:rPr>
                <w:spacing w:val="-8"/>
                <w:sz w:val="20"/>
              </w:rPr>
              <w:t> </w:t>
            </w:r>
            <w:r>
              <w:rPr>
                <w:sz w:val="20"/>
              </w:rPr>
              <w:t>D44.3,</w:t>
            </w:r>
            <w:r>
              <w:rPr>
                <w:spacing w:val="-8"/>
                <w:sz w:val="20"/>
              </w:rPr>
              <w:t> </w:t>
            </w:r>
            <w:r>
              <w:rPr>
                <w:sz w:val="20"/>
              </w:rPr>
              <w:t>D44.4, D44.5, D44.6, D44.7, D44.8, D44.9</w:t>
            </w:r>
          </w:p>
        </w:tc>
        <w:tc>
          <w:tcPr>
            <w:tcW w:w="2374" w:type="dxa"/>
          </w:tcPr>
          <w:p>
            <w:pPr>
              <w:pStyle w:val="TableParagraph"/>
              <w:spacing w:line="221" w:lineRule="exact"/>
              <w:ind w:left="908"/>
              <w:rPr>
                <w:sz w:val="20"/>
              </w:rPr>
            </w:pPr>
            <w:r>
              <w:rPr>
                <w:w w:val="99"/>
                <w:sz w:val="20"/>
              </w:rPr>
              <w:t>-</w:t>
            </w:r>
          </w:p>
        </w:tc>
        <w:tc>
          <w:tcPr>
            <w:tcW w:w="2325" w:type="dxa"/>
          </w:tcPr>
          <w:p>
            <w:pPr>
              <w:pStyle w:val="TableParagraph"/>
              <w:spacing w:line="221" w:lineRule="exact"/>
              <w:ind w:right="856"/>
              <w:jc w:val="right"/>
              <w:rPr>
                <w:sz w:val="20"/>
              </w:rPr>
            </w:pPr>
            <w:r>
              <w:rPr>
                <w:w w:val="99"/>
                <w:sz w:val="20"/>
              </w:rPr>
              <w:t>-</w:t>
            </w:r>
          </w:p>
        </w:tc>
        <w:tc>
          <w:tcPr>
            <w:tcW w:w="1260" w:type="dxa"/>
          </w:tcPr>
          <w:p>
            <w:pPr>
              <w:pStyle w:val="TableParagraph"/>
              <w:spacing w:line="221" w:lineRule="exact"/>
              <w:ind w:right="45"/>
              <w:jc w:val="right"/>
              <w:rPr>
                <w:sz w:val="20"/>
              </w:rPr>
            </w:pPr>
            <w:r>
              <w:rPr>
                <w:spacing w:val="-4"/>
                <w:sz w:val="20"/>
              </w:rPr>
              <w:t>0,76</w:t>
            </w:r>
          </w:p>
        </w:tc>
      </w:tr>
      <w:tr>
        <w:trPr>
          <w:trHeight w:val="3320" w:hRule="atLeast"/>
        </w:trPr>
        <w:tc>
          <w:tcPr>
            <w:tcW w:w="946" w:type="dxa"/>
          </w:tcPr>
          <w:p>
            <w:pPr>
              <w:pStyle w:val="TableParagraph"/>
              <w:spacing w:before="46"/>
              <w:ind w:left="50"/>
              <w:rPr>
                <w:sz w:val="20"/>
              </w:rPr>
            </w:pPr>
            <w:r>
              <w:rPr>
                <w:spacing w:val="-2"/>
                <w:sz w:val="20"/>
              </w:rPr>
              <w:t>st35.007</w:t>
            </w:r>
          </w:p>
        </w:tc>
        <w:tc>
          <w:tcPr>
            <w:tcW w:w="707" w:type="dxa"/>
          </w:tcPr>
          <w:p>
            <w:pPr>
              <w:pStyle w:val="TableParagraph"/>
              <w:spacing w:before="46"/>
              <w:ind w:left="210"/>
              <w:rPr>
                <w:sz w:val="20"/>
              </w:rPr>
            </w:pPr>
            <w:r>
              <w:rPr>
                <w:spacing w:val="-5"/>
                <w:sz w:val="20"/>
              </w:rPr>
              <w:t>354</w:t>
            </w:r>
          </w:p>
        </w:tc>
        <w:tc>
          <w:tcPr>
            <w:tcW w:w="2445" w:type="dxa"/>
          </w:tcPr>
          <w:p>
            <w:pPr>
              <w:pStyle w:val="TableParagraph"/>
              <w:spacing w:before="46"/>
              <w:ind w:left="192"/>
              <w:rPr>
                <w:sz w:val="20"/>
              </w:rPr>
            </w:pPr>
            <w:r>
              <w:rPr>
                <w:sz w:val="20"/>
              </w:rPr>
              <w:t>Расстройства</w:t>
            </w:r>
            <w:r>
              <w:rPr>
                <w:spacing w:val="-13"/>
                <w:sz w:val="20"/>
              </w:rPr>
              <w:t> </w:t>
            </w:r>
            <w:r>
              <w:rPr>
                <w:spacing w:val="-2"/>
                <w:sz w:val="20"/>
              </w:rPr>
              <w:t>питания</w:t>
            </w:r>
          </w:p>
        </w:tc>
        <w:tc>
          <w:tcPr>
            <w:tcW w:w="5214" w:type="dxa"/>
          </w:tcPr>
          <w:p>
            <w:pPr>
              <w:pStyle w:val="TableParagraph"/>
              <w:spacing w:before="46"/>
              <w:ind w:left="234" w:right="904"/>
              <w:jc w:val="center"/>
              <w:rPr>
                <w:sz w:val="20"/>
              </w:rPr>
            </w:pPr>
            <w:r>
              <w:rPr>
                <w:sz w:val="20"/>
              </w:rPr>
              <w:t>E40,</w:t>
            </w:r>
            <w:r>
              <w:rPr>
                <w:spacing w:val="-5"/>
                <w:sz w:val="20"/>
              </w:rPr>
              <w:t> </w:t>
            </w:r>
            <w:r>
              <w:rPr>
                <w:sz w:val="20"/>
              </w:rPr>
              <w:t>E41,</w:t>
            </w:r>
            <w:r>
              <w:rPr>
                <w:spacing w:val="-5"/>
                <w:sz w:val="20"/>
              </w:rPr>
              <w:t> </w:t>
            </w:r>
            <w:r>
              <w:rPr>
                <w:sz w:val="20"/>
              </w:rPr>
              <w:t>E42,</w:t>
            </w:r>
            <w:r>
              <w:rPr>
                <w:spacing w:val="-5"/>
                <w:sz w:val="20"/>
              </w:rPr>
              <w:t> </w:t>
            </w:r>
            <w:r>
              <w:rPr>
                <w:sz w:val="20"/>
              </w:rPr>
              <w:t>E43,</w:t>
            </w:r>
            <w:r>
              <w:rPr>
                <w:spacing w:val="-5"/>
                <w:sz w:val="20"/>
              </w:rPr>
              <w:t> </w:t>
            </w:r>
            <w:r>
              <w:rPr>
                <w:sz w:val="20"/>
              </w:rPr>
              <w:t>E44,</w:t>
            </w:r>
            <w:r>
              <w:rPr>
                <w:spacing w:val="-7"/>
                <w:sz w:val="20"/>
              </w:rPr>
              <w:t> </w:t>
            </w:r>
            <w:r>
              <w:rPr>
                <w:sz w:val="20"/>
              </w:rPr>
              <w:t>E44.0,</w:t>
            </w:r>
            <w:r>
              <w:rPr>
                <w:spacing w:val="-5"/>
                <w:sz w:val="20"/>
              </w:rPr>
              <w:t> </w:t>
            </w:r>
            <w:r>
              <w:rPr>
                <w:sz w:val="20"/>
              </w:rPr>
              <w:t>E44.1,</w:t>
            </w:r>
            <w:r>
              <w:rPr>
                <w:spacing w:val="-5"/>
                <w:sz w:val="20"/>
              </w:rPr>
              <w:t> </w:t>
            </w:r>
            <w:r>
              <w:rPr>
                <w:sz w:val="20"/>
              </w:rPr>
              <w:t>E45,</w:t>
            </w:r>
            <w:r>
              <w:rPr>
                <w:spacing w:val="-7"/>
                <w:sz w:val="20"/>
              </w:rPr>
              <w:t> </w:t>
            </w:r>
            <w:r>
              <w:rPr>
                <w:sz w:val="20"/>
              </w:rPr>
              <w:t>E46, E50, E50.0, E50.1, E50.2, E50.3, E50.4, E50.5,</w:t>
            </w:r>
          </w:p>
          <w:p>
            <w:pPr>
              <w:pStyle w:val="TableParagraph"/>
              <w:spacing w:line="229" w:lineRule="exact"/>
              <w:ind w:left="234" w:right="902"/>
              <w:jc w:val="center"/>
              <w:rPr>
                <w:sz w:val="20"/>
              </w:rPr>
            </w:pPr>
            <w:r>
              <w:rPr>
                <w:sz w:val="20"/>
              </w:rPr>
              <w:t>E50.6,</w:t>
            </w:r>
            <w:r>
              <w:rPr>
                <w:spacing w:val="-7"/>
                <w:sz w:val="20"/>
              </w:rPr>
              <w:t> </w:t>
            </w:r>
            <w:r>
              <w:rPr>
                <w:sz w:val="20"/>
              </w:rPr>
              <w:t>E50.7,</w:t>
            </w:r>
            <w:r>
              <w:rPr>
                <w:spacing w:val="-5"/>
                <w:sz w:val="20"/>
              </w:rPr>
              <w:t> </w:t>
            </w:r>
            <w:r>
              <w:rPr>
                <w:sz w:val="20"/>
              </w:rPr>
              <w:t>E50.8,</w:t>
            </w:r>
            <w:r>
              <w:rPr>
                <w:spacing w:val="-4"/>
                <w:sz w:val="20"/>
              </w:rPr>
              <w:t> </w:t>
            </w:r>
            <w:r>
              <w:rPr>
                <w:sz w:val="20"/>
              </w:rPr>
              <w:t>E50.9,</w:t>
            </w:r>
            <w:r>
              <w:rPr>
                <w:spacing w:val="-5"/>
                <w:sz w:val="20"/>
              </w:rPr>
              <w:t> </w:t>
            </w:r>
            <w:r>
              <w:rPr>
                <w:sz w:val="20"/>
              </w:rPr>
              <w:t>E51,</w:t>
            </w:r>
            <w:r>
              <w:rPr>
                <w:spacing w:val="-5"/>
                <w:sz w:val="20"/>
              </w:rPr>
              <w:t> </w:t>
            </w:r>
            <w:r>
              <w:rPr>
                <w:sz w:val="20"/>
              </w:rPr>
              <w:t>E51.1,</w:t>
            </w:r>
            <w:r>
              <w:rPr>
                <w:spacing w:val="-6"/>
                <w:sz w:val="20"/>
              </w:rPr>
              <w:t> </w:t>
            </w:r>
            <w:r>
              <w:rPr>
                <w:spacing w:val="-2"/>
                <w:sz w:val="20"/>
              </w:rPr>
              <w:t>E51.2,</w:t>
            </w:r>
          </w:p>
          <w:p>
            <w:pPr>
              <w:pStyle w:val="TableParagraph"/>
              <w:ind w:left="234" w:right="904"/>
              <w:jc w:val="center"/>
              <w:rPr>
                <w:sz w:val="20"/>
              </w:rPr>
            </w:pPr>
            <w:r>
              <w:rPr>
                <w:sz w:val="20"/>
              </w:rPr>
              <w:t>E51.8,</w:t>
            </w:r>
            <w:r>
              <w:rPr>
                <w:spacing w:val="-7"/>
                <w:sz w:val="20"/>
              </w:rPr>
              <w:t> </w:t>
            </w:r>
            <w:r>
              <w:rPr>
                <w:sz w:val="20"/>
              </w:rPr>
              <w:t>E51.9,</w:t>
            </w:r>
            <w:r>
              <w:rPr>
                <w:spacing w:val="-4"/>
                <w:sz w:val="20"/>
              </w:rPr>
              <w:t> </w:t>
            </w:r>
            <w:r>
              <w:rPr>
                <w:sz w:val="20"/>
              </w:rPr>
              <w:t>E52,</w:t>
            </w:r>
            <w:r>
              <w:rPr>
                <w:spacing w:val="-4"/>
                <w:sz w:val="20"/>
              </w:rPr>
              <w:t> </w:t>
            </w:r>
            <w:r>
              <w:rPr>
                <w:sz w:val="20"/>
              </w:rPr>
              <w:t>E53,</w:t>
            </w:r>
            <w:r>
              <w:rPr>
                <w:spacing w:val="-4"/>
                <w:sz w:val="20"/>
              </w:rPr>
              <w:t> </w:t>
            </w:r>
            <w:r>
              <w:rPr>
                <w:sz w:val="20"/>
              </w:rPr>
              <w:t>E53.0,</w:t>
            </w:r>
            <w:r>
              <w:rPr>
                <w:spacing w:val="-5"/>
                <w:sz w:val="20"/>
              </w:rPr>
              <w:t> </w:t>
            </w:r>
            <w:r>
              <w:rPr>
                <w:sz w:val="20"/>
              </w:rPr>
              <w:t>E53.1,</w:t>
            </w:r>
            <w:r>
              <w:rPr>
                <w:spacing w:val="-4"/>
                <w:sz w:val="20"/>
              </w:rPr>
              <w:t> </w:t>
            </w:r>
            <w:r>
              <w:rPr>
                <w:spacing w:val="-2"/>
                <w:sz w:val="20"/>
              </w:rPr>
              <w:t>E53.8,</w:t>
            </w:r>
          </w:p>
          <w:p>
            <w:pPr>
              <w:pStyle w:val="TableParagraph"/>
              <w:spacing w:before="1"/>
              <w:ind w:left="297" w:right="963" w:hanging="4"/>
              <w:jc w:val="center"/>
              <w:rPr>
                <w:sz w:val="20"/>
              </w:rPr>
            </w:pPr>
            <w:r>
              <w:rPr>
                <w:sz w:val="20"/>
              </w:rPr>
              <w:t>E53.9, E54, E55.9, E56, E56.0, E56.1, E56.8, E56.9,</w:t>
            </w:r>
            <w:r>
              <w:rPr>
                <w:spacing w:val="-4"/>
                <w:sz w:val="20"/>
              </w:rPr>
              <w:t> </w:t>
            </w:r>
            <w:r>
              <w:rPr>
                <w:sz w:val="20"/>
              </w:rPr>
              <w:t>E58,</w:t>
            </w:r>
            <w:r>
              <w:rPr>
                <w:spacing w:val="-4"/>
                <w:sz w:val="20"/>
              </w:rPr>
              <w:t> </w:t>
            </w:r>
            <w:r>
              <w:rPr>
                <w:sz w:val="20"/>
              </w:rPr>
              <w:t>E59,</w:t>
            </w:r>
            <w:r>
              <w:rPr>
                <w:spacing w:val="-2"/>
                <w:sz w:val="20"/>
              </w:rPr>
              <w:t> </w:t>
            </w:r>
            <w:r>
              <w:rPr>
                <w:sz w:val="20"/>
              </w:rPr>
              <w:t>E60,</w:t>
            </w:r>
            <w:r>
              <w:rPr>
                <w:spacing w:val="-2"/>
                <w:sz w:val="20"/>
              </w:rPr>
              <w:t> </w:t>
            </w:r>
            <w:r>
              <w:rPr>
                <w:sz w:val="20"/>
              </w:rPr>
              <w:t>E61,</w:t>
            </w:r>
            <w:r>
              <w:rPr>
                <w:spacing w:val="-2"/>
                <w:sz w:val="20"/>
              </w:rPr>
              <w:t> </w:t>
            </w:r>
            <w:r>
              <w:rPr>
                <w:sz w:val="20"/>
              </w:rPr>
              <w:t>E61.0,</w:t>
            </w:r>
            <w:r>
              <w:rPr>
                <w:spacing w:val="-4"/>
                <w:sz w:val="20"/>
              </w:rPr>
              <w:t> </w:t>
            </w:r>
            <w:r>
              <w:rPr>
                <w:sz w:val="20"/>
              </w:rPr>
              <w:t>E61.1,</w:t>
            </w:r>
            <w:r>
              <w:rPr>
                <w:spacing w:val="-2"/>
                <w:sz w:val="20"/>
              </w:rPr>
              <w:t> </w:t>
            </w:r>
            <w:r>
              <w:rPr>
                <w:sz w:val="20"/>
              </w:rPr>
              <w:t>E61.2, E61.3,</w:t>
            </w:r>
            <w:r>
              <w:rPr>
                <w:spacing w:val="-7"/>
                <w:sz w:val="20"/>
              </w:rPr>
              <w:t> </w:t>
            </w:r>
            <w:r>
              <w:rPr>
                <w:sz w:val="20"/>
              </w:rPr>
              <w:t>E61.4,</w:t>
            </w:r>
            <w:r>
              <w:rPr>
                <w:spacing w:val="-5"/>
                <w:sz w:val="20"/>
              </w:rPr>
              <w:t> </w:t>
            </w:r>
            <w:r>
              <w:rPr>
                <w:sz w:val="20"/>
              </w:rPr>
              <w:t>E61.5,</w:t>
            </w:r>
            <w:r>
              <w:rPr>
                <w:spacing w:val="-4"/>
                <w:sz w:val="20"/>
              </w:rPr>
              <w:t> </w:t>
            </w:r>
            <w:r>
              <w:rPr>
                <w:sz w:val="20"/>
              </w:rPr>
              <w:t>E61.6,</w:t>
            </w:r>
            <w:r>
              <w:rPr>
                <w:spacing w:val="-5"/>
                <w:sz w:val="20"/>
              </w:rPr>
              <w:t> </w:t>
            </w:r>
            <w:r>
              <w:rPr>
                <w:sz w:val="20"/>
              </w:rPr>
              <w:t>E61.7,</w:t>
            </w:r>
            <w:r>
              <w:rPr>
                <w:spacing w:val="-6"/>
                <w:sz w:val="20"/>
              </w:rPr>
              <w:t> </w:t>
            </w:r>
            <w:r>
              <w:rPr>
                <w:sz w:val="20"/>
              </w:rPr>
              <w:t>E61.8,</w:t>
            </w:r>
            <w:r>
              <w:rPr>
                <w:spacing w:val="-5"/>
                <w:sz w:val="20"/>
              </w:rPr>
              <w:t> </w:t>
            </w:r>
            <w:r>
              <w:rPr>
                <w:spacing w:val="-2"/>
                <w:sz w:val="20"/>
              </w:rPr>
              <w:t>E61.9,</w:t>
            </w:r>
          </w:p>
          <w:p>
            <w:pPr>
              <w:pStyle w:val="TableParagraph"/>
              <w:spacing w:line="229" w:lineRule="exact"/>
              <w:ind w:left="234" w:right="900"/>
              <w:jc w:val="center"/>
              <w:rPr>
                <w:sz w:val="20"/>
              </w:rPr>
            </w:pPr>
            <w:r>
              <w:rPr>
                <w:sz w:val="20"/>
              </w:rPr>
              <w:t>E63,</w:t>
            </w:r>
            <w:r>
              <w:rPr>
                <w:spacing w:val="-6"/>
                <w:sz w:val="20"/>
              </w:rPr>
              <w:t> </w:t>
            </w:r>
            <w:r>
              <w:rPr>
                <w:sz w:val="20"/>
              </w:rPr>
              <w:t>E63.0,</w:t>
            </w:r>
            <w:r>
              <w:rPr>
                <w:spacing w:val="-5"/>
                <w:sz w:val="20"/>
              </w:rPr>
              <w:t> </w:t>
            </w:r>
            <w:r>
              <w:rPr>
                <w:sz w:val="20"/>
              </w:rPr>
              <w:t>E63.1,</w:t>
            </w:r>
            <w:r>
              <w:rPr>
                <w:spacing w:val="-5"/>
                <w:sz w:val="20"/>
              </w:rPr>
              <w:t> </w:t>
            </w:r>
            <w:r>
              <w:rPr>
                <w:sz w:val="20"/>
              </w:rPr>
              <w:t>E63.8,</w:t>
            </w:r>
            <w:r>
              <w:rPr>
                <w:spacing w:val="-5"/>
                <w:sz w:val="20"/>
              </w:rPr>
              <w:t> </w:t>
            </w:r>
            <w:r>
              <w:rPr>
                <w:sz w:val="20"/>
              </w:rPr>
              <w:t>E63.9,</w:t>
            </w:r>
            <w:r>
              <w:rPr>
                <w:spacing w:val="-5"/>
                <w:sz w:val="20"/>
              </w:rPr>
              <w:t> </w:t>
            </w:r>
            <w:r>
              <w:rPr>
                <w:sz w:val="20"/>
              </w:rPr>
              <w:t>E64.0,</w:t>
            </w:r>
            <w:r>
              <w:rPr>
                <w:spacing w:val="-5"/>
                <w:sz w:val="20"/>
              </w:rPr>
              <w:t> </w:t>
            </w:r>
            <w:r>
              <w:rPr>
                <w:spacing w:val="-2"/>
                <w:sz w:val="20"/>
              </w:rPr>
              <w:t>E64.1,</w:t>
            </w:r>
          </w:p>
          <w:p>
            <w:pPr>
              <w:pStyle w:val="TableParagraph"/>
              <w:ind w:left="234" w:right="904"/>
              <w:jc w:val="center"/>
              <w:rPr>
                <w:sz w:val="20"/>
              </w:rPr>
            </w:pPr>
            <w:r>
              <w:rPr>
                <w:sz w:val="20"/>
              </w:rPr>
              <w:t>E64.2,</w:t>
            </w:r>
            <w:r>
              <w:rPr>
                <w:spacing w:val="-7"/>
                <w:sz w:val="20"/>
              </w:rPr>
              <w:t> </w:t>
            </w:r>
            <w:r>
              <w:rPr>
                <w:sz w:val="20"/>
              </w:rPr>
              <w:t>E64.8,</w:t>
            </w:r>
            <w:r>
              <w:rPr>
                <w:spacing w:val="-5"/>
                <w:sz w:val="20"/>
              </w:rPr>
              <w:t> </w:t>
            </w:r>
            <w:r>
              <w:rPr>
                <w:sz w:val="20"/>
              </w:rPr>
              <w:t>E64.9,</w:t>
            </w:r>
            <w:r>
              <w:rPr>
                <w:spacing w:val="-5"/>
                <w:sz w:val="20"/>
              </w:rPr>
              <w:t> </w:t>
            </w:r>
            <w:r>
              <w:rPr>
                <w:sz w:val="20"/>
              </w:rPr>
              <w:t>E65,</w:t>
            </w:r>
            <w:r>
              <w:rPr>
                <w:spacing w:val="-4"/>
                <w:sz w:val="20"/>
              </w:rPr>
              <w:t> </w:t>
            </w:r>
            <w:r>
              <w:rPr>
                <w:sz w:val="20"/>
              </w:rPr>
              <w:t>E66,</w:t>
            </w:r>
            <w:r>
              <w:rPr>
                <w:spacing w:val="-5"/>
                <w:sz w:val="20"/>
              </w:rPr>
              <w:t> </w:t>
            </w:r>
            <w:r>
              <w:rPr>
                <w:sz w:val="20"/>
              </w:rPr>
              <w:t>E66.0,</w:t>
            </w:r>
            <w:r>
              <w:rPr>
                <w:spacing w:val="-5"/>
                <w:sz w:val="20"/>
              </w:rPr>
              <w:t> </w:t>
            </w:r>
            <w:r>
              <w:rPr>
                <w:spacing w:val="-2"/>
                <w:sz w:val="20"/>
              </w:rPr>
              <w:t>E66.1,</w:t>
            </w:r>
          </w:p>
          <w:p>
            <w:pPr>
              <w:pStyle w:val="TableParagraph"/>
              <w:ind w:left="234" w:right="902"/>
              <w:jc w:val="center"/>
              <w:rPr>
                <w:sz w:val="20"/>
              </w:rPr>
            </w:pPr>
            <w:r>
              <w:rPr>
                <w:sz w:val="20"/>
              </w:rPr>
              <w:t>E66.2,</w:t>
            </w:r>
            <w:r>
              <w:rPr>
                <w:spacing w:val="-7"/>
                <w:sz w:val="20"/>
              </w:rPr>
              <w:t> </w:t>
            </w:r>
            <w:r>
              <w:rPr>
                <w:sz w:val="20"/>
              </w:rPr>
              <w:t>E66.8,</w:t>
            </w:r>
            <w:r>
              <w:rPr>
                <w:spacing w:val="-6"/>
                <w:sz w:val="20"/>
              </w:rPr>
              <w:t> </w:t>
            </w:r>
            <w:r>
              <w:rPr>
                <w:sz w:val="20"/>
              </w:rPr>
              <w:t>E66.9,</w:t>
            </w:r>
            <w:r>
              <w:rPr>
                <w:spacing w:val="-5"/>
                <w:sz w:val="20"/>
              </w:rPr>
              <w:t> </w:t>
            </w:r>
            <w:r>
              <w:rPr>
                <w:sz w:val="20"/>
              </w:rPr>
              <w:t>E67,</w:t>
            </w:r>
            <w:r>
              <w:rPr>
                <w:spacing w:val="-5"/>
                <w:sz w:val="20"/>
              </w:rPr>
              <w:t> </w:t>
            </w:r>
            <w:r>
              <w:rPr>
                <w:sz w:val="20"/>
              </w:rPr>
              <w:t>E67.0,</w:t>
            </w:r>
            <w:r>
              <w:rPr>
                <w:spacing w:val="-5"/>
                <w:sz w:val="20"/>
              </w:rPr>
              <w:t> </w:t>
            </w:r>
            <w:r>
              <w:rPr>
                <w:sz w:val="20"/>
              </w:rPr>
              <w:t>E67.1,</w:t>
            </w:r>
            <w:r>
              <w:rPr>
                <w:spacing w:val="-5"/>
                <w:sz w:val="20"/>
              </w:rPr>
              <w:t> </w:t>
            </w:r>
            <w:r>
              <w:rPr>
                <w:spacing w:val="-2"/>
                <w:sz w:val="20"/>
              </w:rPr>
              <w:t>E67.2,</w:t>
            </w:r>
          </w:p>
          <w:p>
            <w:pPr>
              <w:pStyle w:val="TableParagraph"/>
              <w:spacing w:before="1"/>
              <w:ind w:left="234" w:right="905"/>
              <w:jc w:val="center"/>
              <w:rPr>
                <w:sz w:val="20"/>
              </w:rPr>
            </w:pPr>
            <w:r>
              <w:rPr>
                <w:sz w:val="20"/>
              </w:rPr>
              <w:t>E67.3,</w:t>
            </w:r>
            <w:r>
              <w:rPr>
                <w:spacing w:val="-6"/>
                <w:sz w:val="20"/>
              </w:rPr>
              <w:t> </w:t>
            </w:r>
            <w:r>
              <w:rPr>
                <w:sz w:val="20"/>
              </w:rPr>
              <w:t>E67.8,</w:t>
            </w:r>
            <w:r>
              <w:rPr>
                <w:spacing w:val="-3"/>
                <w:sz w:val="20"/>
              </w:rPr>
              <w:t> </w:t>
            </w:r>
            <w:r>
              <w:rPr>
                <w:sz w:val="20"/>
              </w:rPr>
              <w:t>E68,</w:t>
            </w:r>
            <w:r>
              <w:rPr>
                <w:spacing w:val="-4"/>
                <w:sz w:val="20"/>
              </w:rPr>
              <w:t> </w:t>
            </w:r>
            <w:r>
              <w:rPr>
                <w:sz w:val="20"/>
              </w:rPr>
              <w:t>E86,</w:t>
            </w:r>
            <w:r>
              <w:rPr>
                <w:spacing w:val="-3"/>
                <w:sz w:val="20"/>
              </w:rPr>
              <w:t> </w:t>
            </w:r>
            <w:r>
              <w:rPr>
                <w:sz w:val="20"/>
              </w:rPr>
              <w:t>E87,</w:t>
            </w:r>
            <w:r>
              <w:rPr>
                <w:spacing w:val="-6"/>
                <w:sz w:val="20"/>
              </w:rPr>
              <w:t> </w:t>
            </w:r>
            <w:r>
              <w:rPr>
                <w:sz w:val="20"/>
              </w:rPr>
              <w:t>E87.0,</w:t>
            </w:r>
            <w:r>
              <w:rPr>
                <w:spacing w:val="-5"/>
                <w:sz w:val="20"/>
              </w:rPr>
              <w:t> </w:t>
            </w:r>
            <w:r>
              <w:rPr>
                <w:sz w:val="20"/>
              </w:rPr>
              <w:t>E87.1,</w:t>
            </w:r>
            <w:r>
              <w:rPr>
                <w:spacing w:val="-4"/>
                <w:sz w:val="20"/>
              </w:rPr>
              <w:t> </w:t>
            </w:r>
            <w:r>
              <w:rPr>
                <w:spacing w:val="-2"/>
                <w:sz w:val="20"/>
              </w:rPr>
              <w:t>E87.2,</w:t>
            </w:r>
          </w:p>
          <w:p>
            <w:pPr>
              <w:pStyle w:val="TableParagraph"/>
              <w:ind w:left="234" w:right="905"/>
              <w:jc w:val="center"/>
              <w:rPr>
                <w:sz w:val="20"/>
              </w:rPr>
            </w:pPr>
            <w:r>
              <w:rPr>
                <w:sz w:val="20"/>
              </w:rPr>
              <w:t>E87.3,</w:t>
            </w:r>
            <w:r>
              <w:rPr>
                <w:spacing w:val="-7"/>
                <w:sz w:val="20"/>
              </w:rPr>
              <w:t> </w:t>
            </w:r>
            <w:r>
              <w:rPr>
                <w:sz w:val="20"/>
              </w:rPr>
              <w:t>E87.4,</w:t>
            </w:r>
            <w:r>
              <w:rPr>
                <w:spacing w:val="-5"/>
                <w:sz w:val="20"/>
              </w:rPr>
              <w:t> </w:t>
            </w:r>
            <w:r>
              <w:rPr>
                <w:sz w:val="20"/>
              </w:rPr>
              <w:t>E87.5,</w:t>
            </w:r>
            <w:r>
              <w:rPr>
                <w:spacing w:val="-4"/>
                <w:sz w:val="20"/>
              </w:rPr>
              <w:t> </w:t>
            </w:r>
            <w:r>
              <w:rPr>
                <w:sz w:val="20"/>
              </w:rPr>
              <w:t>E87.6,</w:t>
            </w:r>
            <w:r>
              <w:rPr>
                <w:spacing w:val="-5"/>
                <w:sz w:val="20"/>
              </w:rPr>
              <w:t> </w:t>
            </w:r>
            <w:r>
              <w:rPr>
                <w:sz w:val="20"/>
              </w:rPr>
              <w:t>E87.7,</w:t>
            </w:r>
            <w:r>
              <w:rPr>
                <w:spacing w:val="-6"/>
                <w:sz w:val="20"/>
              </w:rPr>
              <w:t> </w:t>
            </w:r>
            <w:r>
              <w:rPr>
                <w:sz w:val="20"/>
              </w:rPr>
              <w:t>E87.8,</w:t>
            </w:r>
            <w:r>
              <w:rPr>
                <w:spacing w:val="-5"/>
                <w:sz w:val="20"/>
              </w:rPr>
              <w:t> </w:t>
            </w:r>
            <w:r>
              <w:rPr>
                <w:spacing w:val="-4"/>
                <w:sz w:val="20"/>
              </w:rPr>
              <w:t>R62,</w:t>
            </w:r>
          </w:p>
          <w:p>
            <w:pPr>
              <w:pStyle w:val="TableParagraph"/>
              <w:spacing w:before="1"/>
              <w:ind w:left="234" w:right="896"/>
              <w:jc w:val="center"/>
              <w:rPr>
                <w:sz w:val="20"/>
              </w:rPr>
            </w:pPr>
            <w:r>
              <w:rPr>
                <w:sz w:val="20"/>
              </w:rPr>
              <w:t>R62.0,</w:t>
            </w:r>
            <w:r>
              <w:rPr>
                <w:spacing w:val="-8"/>
                <w:sz w:val="20"/>
              </w:rPr>
              <w:t> </w:t>
            </w:r>
            <w:r>
              <w:rPr>
                <w:sz w:val="20"/>
              </w:rPr>
              <w:t>R62.8,</w:t>
            </w:r>
            <w:r>
              <w:rPr>
                <w:spacing w:val="-8"/>
                <w:sz w:val="20"/>
              </w:rPr>
              <w:t> </w:t>
            </w:r>
            <w:r>
              <w:rPr>
                <w:sz w:val="20"/>
              </w:rPr>
              <w:t>R62.9,</w:t>
            </w:r>
            <w:r>
              <w:rPr>
                <w:spacing w:val="-8"/>
                <w:sz w:val="20"/>
              </w:rPr>
              <w:t> </w:t>
            </w:r>
            <w:r>
              <w:rPr>
                <w:sz w:val="20"/>
              </w:rPr>
              <w:t>R63,</w:t>
            </w:r>
            <w:r>
              <w:rPr>
                <w:spacing w:val="-8"/>
                <w:sz w:val="20"/>
              </w:rPr>
              <w:t> </w:t>
            </w:r>
            <w:r>
              <w:rPr>
                <w:sz w:val="20"/>
              </w:rPr>
              <w:t>R63.0,</w:t>
            </w:r>
            <w:r>
              <w:rPr>
                <w:spacing w:val="-3"/>
                <w:sz w:val="20"/>
              </w:rPr>
              <w:t> </w:t>
            </w:r>
            <w:r>
              <w:rPr>
                <w:sz w:val="20"/>
              </w:rPr>
              <w:t>R63.1,</w:t>
            </w:r>
            <w:r>
              <w:rPr>
                <w:spacing w:val="-8"/>
                <w:sz w:val="20"/>
              </w:rPr>
              <w:t> </w:t>
            </w:r>
            <w:r>
              <w:rPr>
                <w:sz w:val="20"/>
              </w:rPr>
              <w:t>R63.2, R63.3, R63.4, R63.5, R63.8</w:t>
            </w:r>
          </w:p>
        </w:tc>
        <w:tc>
          <w:tcPr>
            <w:tcW w:w="2374" w:type="dxa"/>
          </w:tcPr>
          <w:p>
            <w:pPr>
              <w:pStyle w:val="TableParagraph"/>
              <w:spacing w:before="46"/>
              <w:ind w:left="908"/>
              <w:rPr>
                <w:sz w:val="20"/>
              </w:rPr>
            </w:pPr>
            <w:r>
              <w:rPr>
                <w:w w:val="99"/>
                <w:sz w:val="20"/>
              </w:rPr>
              <w:t>-</w:t>
            </w:r>
          </w:p>
        </w:tc>
        <w:tc>
          <w:tcPr>
            <w:tcW w:w="2325" w:type="dxa"/>
          </w:tcPr>
          <w:p>
            <w:pPr>
              <w:pStyle w:val="TableParagraph"/>
              <w:spacing w:before="46"/>
              <w:ind w:right="856"/>
              <w:jc w:val="right"/>
              <w:rPr>
                <w:sz w:val="20"/>
              </w:rPr>
            </w:pPr>
            <w:r>
              <w:rPr>
                <w:w w:val="99"/>
                <w:sz w:val="20"/>
              </w:rPr>
              <w:t>-</w:t>
            </w:r>
          </w:p>
        </w:tc>
        <w:tc>
          <w:tcPr>
            <w:tcW w:w="1260" w:type="dxa"/>
          </w:tcPr>
          <w:p>
            <w:pPr>
              <w:pStyle w:val="TableParagraph"/>
              <w:spacing w:before="46"/>
              <w:ind w:right="45"/>
              <w:jc w:val="right"/>
              <w:rPr>
                <w:sz w:val="20"/>
              </w:rPr>
            </w:pPr>
            <w:r>
              <w:rPr>
                <w:spacing w:val="-4"/>
                <w:sz w:val="20"/>
              </w:rPr>
              <w:t>1,06</w:t>
            </w:r>
          </w:p>
        </w:tc>
      </w:tr>
      <w:tr>
        <w:trPr>
          <w:trHeight w:val="2860" w:hRule="atLeast"/>
        </w:trPr>
        <w:tc>
          <w:tcPr>
            <w:tcW w:w="946" w:type="dxa"/>
          </w:tcPr>
          <w:p>
            <w:pPr>
              <w:pStyle w:val="TableParagraph"/>
              <w:spacing w:before="46"/>
              <w:ind w:left="50"/>
              <w:rPr>
                <w:sz w:val="20"/>
              </w:rPr>
            </w:pPr>
            <w:r>
              <w:rPr>
                <w:spacing w:val="-2"/>
                <w:sz w:val="20"/>
              </w:rPr>
              <w:t>st35.008</w:t>
            </w:r>
          </w:p>
        </w:tc>
        <w:tc>
          <w:tcPr>
            <w:tcW w:w="707" w:type="dxa"/>
          </w:tcPr>
          <w:p>
            <w:pPr>
              <w:pStyle w:val="TableParagraph"/>
              <w:spacing w:before="46"/>
              <w:ind w:left="210"/>
              <w:rPr>
                <w:sz w:val="20"/>
              </w:rPr>
            </w:pPr>
            <w:r>
              <w:rPr>
                <w:spacing w:val="-5"/>
                <w:sz w:val="20"/>
              </w:rPr>
              <w:t>355</w:t>
            </w:r>
          </w:p>
        </w:tc>
        <w:tc>
          <w:tcPr>
            <w:tcW w:w="2445" w:type="dxa"/>
          </w:tcPr>
          <w:p>
            <w:pPr>
              <w:pStyle w:val="TableParagraph"/>
              <w:spacing w:before="46"/>
              <w:ind w:left="192" w:right="637"/>
              <w:rPr>
                <w:sz w:val="20"/>
              </w:rPr>
            </w:pPr>
            <w:r>
              <w:rPr>
                <w:sz w:val="20"/>
              </w:rPr>
              <w:t>Другие</w:t>
            </w:r>
            <w:r>
              <w:rPr>
                <w:spacing w:val="-13"/>
                <w:sz w:val="20"/>
              </w:rPr>
              <w:t> </w:t>
            </w:r>
            <w:r>
              <w:rPr>
                <w:sz w:val="20"/>
              </w:rPr>
              <w:t>нарушения обмена веществ</w:t>
            </w:r>
          </w:p>
        </w:tc>
        <w:tc>
          <w:tcPr>
            <w:tcW w:w="5214" w:type="dxa"/>
          </w:tcPr>
          <w:p>
            <w:pPr>
              <w:pStyle w:val="TableParagraph"/>
              <w:spacing w:before="46"/>
              <w:ind w:left="234" w:right="901"/>
              <w:jc w:val="center"/>
              <w:rPr>
                <w:sz w:val="20"/>
              </w:rPr>
            </w:pPr>
            <w:r>
              <w:rPr>
                <w:sz w:val="20"/>
              </w:rPr>
              <w:t>D76,</w:t>
            </w:r>
            <w:r>
              <w:rPr>
                <w:spacing w:val="-5"/>
                <w:sz w:val="20"/>
              </w:rPr>
              <w:t> </w:t>
            </w:r>
            <w:r>
              <w:rPr>
                <w:sz w:val="20"/>
              </w:rPr>
              <w:t>D76.1,</w:t>
            </w:r>
            <w:r>
              <w:rPr>
                <w:spacing w:val="-5"/>
                <w:sz w:val="20"/>
              </w:rPr>
              <w:t> </w:t>
            </w:r>
            <w:r>
              <w:rPr>
                <w:sz w:val="20"/>
              </w:rPr>
              <w:t>D76.2,</w:t>
            </w:r>
            <w:r>
              <w:rPr>
                <w:spacing w:val="-5"/>
                <w:sz w:val="20"/>
              </w:rPr>
              <w:t> </w:t>
            </w:r>
            <w:r>
              <w:rPr>
                <w:sz w:val="20"/>
              </w:rPr>
              <w:t>D76.3,</w:t>
            </w:r>
            <w:r>
              <w:rPr>
                <w:spacing w:val="-5"/>
                <w:sz w:val="20"/>
              </w:rPr>
              <w:t> </w:t>
            </w:r>
            <w:r>
              <w:rPr>
                <w:sz w:val="20"/>
              </w:rPr>
              <w:t>E70,</w:t>
            </w:r>
            <w:r>
              <w:rPr>
                <w:spacing w:val="-5"/>
                <w:sz w:val="20"/>
              </w:rPr>
              <w:t> </w:t>
            </w:r>
            <w:r>
              <w:rPr>
                <w:sz w:val="20"/>
              </w:rPr>
              <w:t>E70.3,</w:t>
            </w:r>
            <w:r>
              <w:rPr>
                <w:spacing w:val="-5"/>
                <w:sz w:val="20"/>
              </w:rPr>
              <w:t> </w:t>
            </w:r>
            <w:r>
              <w:rPr>
                <w:spacing w:val="-2"/>
                <w:sz w:val="20"/>
              </w:rPr>
              <w:t>E70.8,</w:t>
            </w:r>
          </w:p>
          <w:p>
            <w:pPr>
              <w:pStyle w:val="TableParagraph"/>
              <w:spacing w:line="229" w:lineRule="exact"/>
              <w:ind w:left="234" w:right="905"/>
              <w:jc w:val="center"/>
              <w:rPr>
                <w:sz w:val="20"/>
              </w:rPr>
            </w:pPr>
            <w:r>
              <w:rPr>
                <w:sz w:val="20"/>
              </w:rPr>
              <w:t>E70.9,</w:t>
            </w:r>
            <w:r>
              <w:rPr>
                <w:spacing w:val="-7"/>
                <w:sz w:val="20"/>
              </w:rPr>
              <w:t> </w:t>
            </w:r>
            <w:r>
              <w:rPr>
                <w:sz w:val="20"/>
              </w:rPr>
              <w:t>E71,</w:t>
            </w:r>
            <w:r>
              <w:rPr>
                <w:spacing w:val="-6"/>
                <w:sz w:val="20"/>
              </w:rPr>
              <w:t> </w:t>
            </w:r>
            <w:r>
              <w:rPr>
                <w:sz w:val="20"/>
              </w:rPr>
              <w:t>E71.2,</w:t>
            </w:r>
            <w:r>
              <w:rPr>
                <w:spacing w:val="-5"/>
                <w:sz w:val="20"/>
              </w:rPr>
              <w:t> </w:t>
            </w:r>
            <w:r>
              <w:rPr>
                <w:sz w:val="20"/>
              </w:rPr>
              <w:t>E72,</w:t>
            </w:r>
            <w:r>
              <w:rPr>
                <w:spacing w:val="-4"/>
                <w:sz w:val="20"/>
              </w:rPr>
              <w:t> </w:t>
            </w:r>
            <w:r>
              <w:rPr>
                <w:sz w:val="20"/>
              </w:rPr>
              <w:t>E72.4,</w:t>
            </w:r>
            <w:r>
              <w:rPr>
                <w:spacing w:val="-5"/>
                <w:sz w:val="20"/>
              </w:rPr>
              <w:t> </w:t>
            </w:r>
            <w:r>
              <w:rPr>
                <w:sz w:val="20"/>
              </w:rPr>
              <w:t>E72.5,</w:t>
            </w:r>
            <w:r>
              <w:rPr>
                <w:spacing w:val="-4"/>
                <w:sz w:val="20"/>
              </w:rPr>
              <w:t> </w:t>
            </w:r>
            <w:r>
              <w:rPr>
                <w:sz w:val="20"/>
              </w:rPr>
              <w:t>E72.9,</w:t>
            </w:r>
            <w:r>
              <w:rPr>
                <w:spacing w:val="-5"/>
                <w:sz w:val="20"/>
              </w:rPr>
              <w:t> </w:t>
            </w:r>
            <w:r>
              <w:rPr>
                <w:spacing w:val="-4"/>
                <w:sz w:val="20"/>
              </w:rPr>
              <w:t>E73,</w:t>
            </w:r>
          </w:p>
          <w:p>
            <w:pPr>
              <w:pStyle w:val="TableParagraph"/>
              <w:spacing w:line="229" w:lineRule="exact"/>
              <w:ind w:left="234" w:right="902"/>
              <w:jc w:val="center"/>
              <w:rPr>
                <w:sz w:val="20"/>
              </w:rPr>
            </w:pPr>
            <w:r>
              <w:rPr>
                <w:sz w:val="20"/>
              </w:rPr>
              <w:t>E73.0,</w:t>
            </w:r>
            <w:r>
              <w:rPr>
                <w:spacing w:val="-7"/>
                <w:sz w:val="20"/>
              </w:rPr>
              <w:t> </w:t>
            </w:r>
            <w:r>
              <w:rPr>
                <w:sz w:val="20"/>
              </w:rPr>
              <w:t>E73.1,</w:t>
            </w:r>
            <w:r>
              <w:rPr>
                <w:spacing w:val="-5"/>
                <w:sz w:val="20"/>
              </w:rPr>
              <w:t> </w:t>
            </w:r>
            <w:r>
              <w:rPr>
                <w:sz w:val="20"/>
              </w:rPr>
              <w:t>E73.8,</w:t>
            </w:r>
            <w:r>
              <w:rPr>
                <w:spacing w:val="-4"/>
                <w:sz w:val="20"/>
              </w:rPr>
              <w:t> </w:t>
            </w:r>
            <w:r>
              <w:rPr>
                <w:sz w:val="20"/>
              </w:rPr>
              <w:t>E73.9,</w:t>
            </w:r>
            <w:r>
              <w:rPr>
                <w:spacing w:val="-5"/>
                <w:sz w:val="20"/>
              </w:rPr>
              <w:t> </w:t>
            </w:r>
            <w:r>
              <w:rPr>
                <w:sz w:val="20"/>
              </w:rPr>
              <w:t>E74,</w:t>
            </w:r>
            <w:r>
              <w:rPr>
                <w:spacing w:val="-5"/>
                <w:sz w:val="20"/>
              </w:rPr>
              <w:t> </w:t>
            </w:r>
            <w:r>
              <w:rPr>
                <w:sz w:val="20"/>
              </w:rPr>
              <w:t>E74.0,</w:t>
            </w:r>
            <w:r>
              <w:rPr>
                <w:spacing w:val="-6"/>
                <w:sz w:val="20"/>
              </w:rPr>
              <w:t> </w:t>
            </w:r>
            <w:r>
              <w:rPr>
                <w:spacing w:val="-2"/>
                <w:sz w:val="20"/>
              </w:rPr>
              <w:t>E74.1,</w:t>
            </w:r>
          </w:p>
          <w:p>
            <w:pPr>
              <w:pStyle w:val="TableParagraph"/>
              <w:spacing w:before="1"/>
              <w:ind w:left="234" w:right="897"/>
              <w:jc w:val="center"/>
              <w:rPr>
                <w:sz w:val="20"/>
              </w:rPr>
            </w:pPr>
            <w:r>
              <w:rPr>
                <w:sz w:val="20"/>
              </w:rPr>
              <w:t>E74.2,</w:t>
            </w:r>
            <w:r>
              <w:rPr>
                <w:spacing w:val="-6"/>
                <w:sz w:val="20"/>
              </w:rPr>
              <w:t> </w:t>
            </w:r>
            <w:r>
              <w:rPr>
                <w:sz w:val="20"/>
              </w:rPr>
              <w:t>E74.3,</w:t>
            </w:r>
            <w:r>
              <w:rPr>
                <w:spacing w:val="-5"/>
                <w:sz w:val="20"/>
              </w:rPr>
              <w:t> </w:t>
            </w:r>
            <w:r>
              <w:rPr>
                <w:sz w:val="20"/>
              </w:rPr>
              <w:t>E74.9,</w:t>
            </w:r>
            <w:r>
              <w:rPr>
                <w:spacing w:val="-4"/>
                <w:sz w:val="20"/>
              </w:rPr>
              <w:t> </w:t>
            </w:r>
            <w:r>
              <w:rPr>
                <w:sz w:val="20"/>
              </w:rPr>
              <w:t>E75.0,</w:t>
            </w:r>
            <w:r>
              <w:rPr>
                <w:spacing w:val="-4"/>
                <w:sz w:val="20"/>
              </w:rPr>
              <w:t> </w:t>
            </w:r>
            <w:r>
              <w:rPr>
                <w:sz w:val="20"/>
              </w:rPr>
              <w:t>E75.1,</w:t>
            </w:r>
            <w:r>
              <w:rPr>
                <w:spacing w:val="-6"/>
                <w:sz w:val="20"/>
              </w:rPr>
              <w:t> </w:t>
            </w:r>
            <w:r>
              <w:rPr>
                <w:sz w:val="20"/>
              </w:rPr>
              <w:t>E75.5,</w:t>
            </w:r>
            <w:r>
              <w:rPr>
                <w:spacing w:val="-4"/>
                <w:sz w:val="20"/>
              </w:rPr>
              <w:t> </w:t>
            </w:r>
            <w:r>
              <w:rPr>
                <w:spacing w:val="-2"/>
                <w:sz w:val="20"/>
              </w:rPr>
              <w:t>E75.6,</w:t>
            </w:r>
          </w:p>
          <w:p>
            <w:pPr>
              <w:pStyle w:val="TableParagraph"/>
              <w:ind w:left="234" w:right="904"/>
              <w:jc w:val="center"/>
              <w:rPr>
                <w:sz w:val="20"/>
              </w:rPr>
            </w:pPr>
            <w:r>
              <w:rPr>
                <w:sz w:val="20"/>
              </w:rPr>
              <w:t>E76,</w:t>
            </w:r>
            <w:r>
              <w:rPr>
                <w:spacing w:val="-5"/>
                <w:sz w:val="20"/>
              </w:rPr>
              <w:t> </w:t>
            </w:r>
            <w:r>
              <w:rPr>
                <w:sz w:val="20"/>
              </w:rPr>
              <w:t>E76.3,</w:t>
            </w:r>
            <w:r>
              <w:rPr>
                <w:spacing w:val="-7"/>
                <w:sz w:val="20"/>
              </w:rPr>
              <w:t> </w:t>
            </w:r>
            <w:r>
              <w:rPr>
                <w:sz w:val="20"/>
              </w:rPr>
              <w:t>E76.8,</w:t>
            </w:r>
            <w:r>
              <w:rPr>
                <w:spacing w:val="-5"/>
                <w:sz w:val="20"/>
              </w:rPr>
              <w:t> </w:t>
            </w:r>
            <w:r>
              <w:rPr>
                <w:sz w:val="20"/>
              </w:rPr>
              <w:t>E76.9,</w:t>
            </w:r>
            <w:r>
              <w:rPr>
                <w:spacing w:val="-4"/>
                <w:sz w:val="20"/>
              </w:rPr>
              <w:t> </w:t>
            </w:r>
            <w:r>
              <w:rPr>
                <w:sz w:val="20"/>
              </w:rPr>
              <w:t>E77,</w:t>
            </w:r>
            <w:r>
              <w:rPr>
                <w:spacing w:val="-5"/>
                <w:sz w:val="20"/>
              </w:rPr>
              <w:t> </w:t>
            </w:r>
            <w:r>
              <w:rPr>
                <w:sz w:val="20"/>
              </w:rPr>
              <w:t>E77.0,</w:t>
            </w:r>
            <w:r>
              <w:rPr>
                <w:spacing w:val="-5"/>
                <w:sz w:val="20"/>
              </w:rPr>
              <w:t> </w:t>
            </w:r>
            <w:r>
              <w:rPr>
                <w:spacing w:val="-2"/>
                <w:sz w:val="20"/>
              </w:rPr>
              <w:t>E77.1,</w:t>
            </w:r>
          </w:p>
          <w:p>
            <w:pPr>
              <w:pStyle w:val="TableParagraph"/>
              <w:ind w:left="234" w:right="902"/>
              <w:jc w:val="center"/>
              <w:rPr>
                <w:sz w:val="20"/>
              </w:rPr>
            </w:pPr>
            <w:r>
              <w:rPr>
                <w:sz w:val="20"/>
              </w:rPr>
              <w:t>E77.8,</w:t>
            </w:r>
            <w:r>
              <w:rPr>
                <w:spacing w:val="-7"/>
                <w:sz w:val="20"/>
              </w:rPr>
              <w:t> </w:t>
            </w:r>
            <w:r>
              <w:rPr>
                <w:sz w:val="20"/>
              </w:rPr>
              <w:t>E77.9,</w:t>
            </w:r>
            <w:r>
              <w:rPr>
                <w:spacing w:val="-5"/>
                <w:sz w:val="20"/>
              </w:rPr>
              <w:t> </w:t>
            </w:r>
            <w:r>
              <w:rPr>
                <w:sz w:val="20"/>
              </w:rPr>
              <w:t>E78,</w:t>
            </w:r>
            <w:r>
              <w:rPr>
                <w:spacing w:val="-5"/>
                <w:sz w:val="20"/>
              </w:rPr>
              <w:t> </w:t>
            </w:r>
            <w:r>
              <w:rPr>
                <w:sz w:val="20"/>
              </w:rPr>
              <w:t>E78.0,</w:t>
            </w:r>
            <w:r>
              <w:rPr>
                <w:spacing w:val="-5"/>
                <w:sz w:val="20"/>
              </w:rPr>
              <w:t> </w:t>
            </w:r>
            <w:r>
              <w:rPr>
                <w:sz w:val="20"/>
              </w:rPr>
              <w:t>E78.1,</w:t>
            </w:r>
            <w:r>
              <w:rPr>
                <w:spacing w:val="-5"/>
                <w:sz w:val="20"/>
              </w:rPr>
              <w:t> </w:t>
            </w:r>
            <w:r>
              <w:rPr>
                <w:sz w:val="20"/>
              </w:rPr>
              <w:t>E78.2,</w:t>
            </w:r>
            <w:r>
              <w:rPr>
                <w:spacing w:val="-5"/>
                <w:sz w:val="20"/>
              </w:rPr>
              <w:t> </w:t>
            </w:r>
            <w:r>
              <w:rPr>
                <w:spacing w:val="-2"/>
                <w:sz w:val="20"/>
              </w:rPr>
              <w:t>E78.3,</w:t>
            </w:r>
          </w:p>
          <w:p>
            <w:pPr>
              <w:pStyle w:val="TableParagraph"/>
              <w:spacing w:before="1"/>
              <w:ind w:left="234" w:right="902"/>
              <w:jc w:val="center"/>
              <w:rPr>
                <w:sz w:val="20"/>
              </w:rPr>
            </w:pPr>
            <w:r>
              <w:rPr>
                <w:sz w:val="20"/>
              </w:rPr>
              <w:t>E78.4,</w:t>
            </w:r>
            <w:r>
              <w:rPr>
                <w:spacing w:val="-7"/>
                <w:sz w:val="20"/>
              </w:rPr>
              <w:t> </w:t>
            </w:r>
            <w:r>
              <w:rPr>
                <w:sz w:val="20"/>
              </w:rPr>
              <w:t>E78.5,</w:t>
            </w:r>
            <w:r>
              <w:rPr>
                <w:spacing w:val="-4"/>
                <w:sz w:val="20"/>
              </w:rPr>
              <w:t> </w:t>
            </w:r>
            <w:r>
              <w:rPr>
                <w:sz w:val="20"/>
              </w:rPr>
              <w:t>E78.6,</w:t>
            </w:r>
            <w:r>
              <w:rPr>
                <w:spacing w:val="-4"/>
                <w:sz w:val="20"/>
              </w:rPr>
              <w:t> </w:t>
            </w:r>
            <w:r>
              <w:rPr>
                <w:sz w:val="20"/>
              </w:rPr>
              <w:t>E78.8,</w:t>
            </w:r>
            <w:r>
              <w:rPr>
                <w:spacing w:val="-4"/>
                <w:sz w:val="20"/>
              </w:rPr>
              <w:t> </w:t>
            </w:r>
            <w:r>
              <w:rPr>
                <w:sz w:val="20"/>
              </w:rPr>
              <w:t>E78.9,</w:t>
            </w:r>
            <w:r>
              <w:rPr>
                <w:spacing w:val="-6"/>
                <w:sz w:val="20"/>
              </w:rPr>
              <w:t> </w:t>
            </w:r>
            <w:r>
              <w:rPr>
                <w:sz w:val="20"/>
              </w:rPr>
              <w:t>E79,</w:t>
            </w:r>
            <w:r>
              <w:rPr>
                <w:spacing w:val="-6"/>
                <w:sz w:val="20"/>
              </w:rPr>
              <w:t> </w:t>
            </w:r>
            <w:r>
              <w:rPr>
                <w:spacing w:val="-2"/>
                <w:sz w:val="20"/>
              </w:rPr>
              <w:t>E79.0,</w:t>
            </w:r>
          </w:p>
          <w:p>
            <w:pPr>
              <w:pStyle w:val="TableParagraph"/>
              <w:spacing w:line="229" w:lineRule="exact"/>
              <w:ind w:left="234" w:right="902"/>
              <w:jc w:val="center"/>
              <w:rPr>
                <w:sz w:val="20"/>
              </w:rPr>
            </w:pPr>
            <w:r>
              <w:rPr>
                <w:sz w:val="20"/>
              </w:rPr>
              <w:t>E79.9,</w:t>
            </w:r>
            <w:r>
              <w:rPr>
                <w:spacing w:val="-7"/>
                <w:sz w:val="20"/>
              </w:rPr>
              <w:t> </w:t>
            </w:r>
            <w:r>
              <w:rPr>
                <w:sz w:val="20"/>
              </w:rPr>
              <w:t>E80,</w:t>
            </w:r>
            <w:r>
              <w:rPr>
                <w:spacing w:val="-7"/>
                <w:sz w:val="20"/>
              </w:rPr>
              <w:t> </w:t>
            </w:r>
            <w:r>
              <w:rPr>
                <w:sz w:val="20"/>
              </w:rPr>
              <w:t>E80.0,</w:t>
            </w:r>
            <w:r>
              <w:rPr>
                <w:spacing w:val="-5"/>
                <w:sz w:val="20"/>
              </w:rPr>
              <w:t> </w:t>
            </w:r>
            <w:r>
              <w:rPr>
                <w:sz w:val="20"/>
              </w:rPr>
              <w:t>E80.1,</w:t>
            </w:r>
            <w:r>
              <w:rPr>
                <w:spacing w:val="-5"/>
                <w:sz w:val="20"/>
              </w:rPr>
              <w:t> </w:t>
            </w:r>
            <w:r>
              <w:rPr>
                <w:sz w:val="20"/>
              </w:rPr>
              <w:t>E80.2,</w:t>
            </w:r>
            <w:r>
              <w:rPr>
                <w:spacing w:val="-4"/>
                <w:sz w:val="20"/>
              </w:rPr>
              <w:t> </w:t>
            </w:r>
            <w:r>
              <w:rPr>
                <w:sz w:val="20"/>
              </w:rPr>
              <w:t>E80.3,</w:t>
            </w:r>
            <w:r>
              <w:rPr>
                <w:spacing w:val="-5"/>
                <w:sz w:val="20"/>
              </w:rPr>
              <w:t> </w:t>
            </w:r>
            <w:r>
              <w:rPr>
                <w:spacing w:val="-2"/>
                <w:sz w:val="20"/>
              </w:rPr>
              <w:t>E80.4,</w:t>
            </w:r>
          </w:p>
          <w:p>
            <w:pPr>
              <w:pStyle w:val="TableParagraph"/>
              <w:spacing w:line="229" w:lineRule="exact"/>
              <w:ind w:left="234" w:right="895"/>
              <w:jc w:val="center"/>
              <w:rPr>
                <w:sz w:val="20"/>
              </w:rPr>
            </w:pPr>
            <w:r>
              <w:rPr>
                <w:sz w:val="20"/>
              </w:rPr>
              <w:t>E80.5,</w:t>
            </w:r>
            <w:r>
              <w:rPr>
                <w:spacing w:val="-6"/>
                <w:sz w:val="20"/>
              </w:rPr>
              <w:t> </w:t>
            </w:r>
            <w:r>
              <w:rPr>
                <w:sz w:val="20"/>
              </w:rPr>
              <w:t>E80.6,</w:t>
            </w:r>
            <w:r>
              <w:rPr>
                <w:spacing w:val="-4"/>
                <w:sz w:val="20"/>
              </w:rPr>
              <w:t> </w:t>
            </w:r>
            <w:r>
              <w:rPr>
                <w:sz w:val="20"/>
              </w:rPr>
              <w:t>E80.7,</w:t>
            </w:r>
            <w:r>
              <w:rPr>
                <w:spacing w:val="-4"/>
                <w:sz w:val="20"/>
              </w:rPr>
              <w:t> </w:t>
            </w:r>
            <w:r>
              <w:rPr>
                <w:sz w:val="20"/>
              </w:rPr>
              <w:t>E83,</w:t>
            </w:r>
            <w:r>
              <w:rPr>
                <w:spacing w:val="-4"/>
                <w:sz w:val="20"/>
              </w:rPr>
              <w:t> </w:t>
            </w:r>
            <w:r>
              <w:rPr>
                <w:sz w:val="20"/>
              </w:rPr>
              <w:t>E83.1,</w:t>
            </w:r>
            <w:r>
              <w:rPr>
                <w:spacing w:val="-4"/>
                <w:sz w:val="20"/>
              </w:rPr>
              <w:t> </w:t>
            </w:r>
            <w:r>
              <w:rPr>
                <w:sz w:val="20"/>
              </w:rPr>
              <w:t>E83.2,</w:t>
            </w:r>
            <w:r>
              <w:rPr>
                <w:spacing w:val="-4"/>
                <w:sz w:val="20"/>
              </w:rPr>
              <w:t> </w:t>
            </w:r>
            <w:r>
              <w:rPr>
                <w:spacing w:val="-2"/>
                <w:sz w:val="20"/>
              </w:rPr>
              <w:t>E83.5,</w:t>
            </w:r>
          </w:p>
          <w:p>
            <w:pPr>
              <w:pStyle w:val="TableParagraph"/>
              <w:spacing w:before="1"/>
              <w:ind w:left="234" w:right="902"/>
              <w:jc w:val="center"/>
              <w:rPr>
                <w:sz w:val="20"/>
              </w:rPr>
            </w:pPr>
            <w:r>
              <w:rPr>
                <w:sz w:val="20"/>
              </w:rPr>
              <w:t>E83.8,</w:t>
            </w:r>
            <w:r>
              <w:rPr>
                <w:spacing w:val="-7"/>
                <w:sz w:val="20"/>
              </w:rPr>
              <w:t> </w:t>
            </w:r>
            <w:r>
              <w:rPr>
                <w:sz w:val="20"/>
              </w:rPr>
              <w:t>E83.9,</w:t>
            </w:r>
            <w:r>
              <w:rPr>
                <w:spacing w:val="-5"/>
                <w:sz w:val="20"/>
              </w:rPr>
              <w:t> </w:t>
            </w:r>
            <w:r>
              <w:rPr>
                <w:sz w:val="20"/>
              </w:rPr>
              <w:t>E85,</w:t>
            </w:r>
            <w:r>
              <w:rPr>
                <w:spacing w:val="-5"/>
                <w:sz w:val="20"/>
              </w:rPr>
              <w:t> </w:t>
            </w:r>
            <w:r>
              <w:rPr>
                <w:sz w:val="20"/>
              </w:rPr>
              <w:t>E85.0,</w:t>
            </w:r>
            <w:r>
              <w:rPr>
                <w:spacing w:val="-5"/>
                <w:sz w:val="20"/>
              </w:rPr>
              <w:t> </w:t>
            </w:r>
            <w:r>
              <w:rPr>
                <w:sz w:val="20"/>
              </w:rPr>
              <w:t>E85.1,</w:t>
            </w:r>
            <w:r>
              <w:rPr>
                <w:spacing w:val="-5"/>
                <w:sz w:val="20"/>
              </w:rPr>
              <w:t> </w:t>
            </w:r>
            <w:r>
              <w:rPr>
                <w:sz w:val="20"/>
              </w:rPr>
              <w:t>E85.2,</w:t>
            </w:r>
            <w:r>
              <w:rPr>
                <w:spacing w:val="-5"/>
                <w:sz w:val="20"/>
              </w:rPr>
              <w:t> </w:t>
            </w:r>
            <w:r>
              <w:rPr>
                <w:spacing w:val="-2"/>
                <w:sz w:val="20"/>
              </w:rPr>
              <w:t>E85.3,</w:t>
            </w:r>
          </w:p>
          <w:p>
            <w:pPr>
              <w:pStyle w:val="TableParagraph"/>
              <w:spacing w:before="1"/>
              <w:ind w:left="234" w:right="900"/>
              <w:jc w:val="center"/>
              <w:rPr>
                <w:sz w:val="20"/>
              </w:rPr>
            </w:pPr>
            <w:r>
              <w:rPr>
                <w:sz w:val="20"/>
              </w:rPr>
              <w:t>E85.4,</w:t>
            </w:r>
            <w:r>
              <w:rPr>
                <w:spacing w:val="-9"/>
                <w:sz w:val="20"/>
              </w:rPr>
              <w:t> </w:t>
            </w:r>
            <w:r>
              <w:rPr>
                <w:sz w:val="20"/>
              </w:rPr>
              <w:t>E85.8,</w:t>
            </w:r>
            <w:r>
              <w:rPr>
                <w:spacing w:val="-7"/>
                <w:sz w:val="20"/>
              </w:rPr>
              <w:t> </w:t>
            </w:r>
            <w:r>
              <w:rPr>
                <w:sz w:val="20"/>
              </w:rPr>
              <w:t>E85.9,</w:t>
            </w:r>
            <w:r>
              <w:rPr>
                <w:spacing w:val="-7"/>
                <w:sz w:val="20"/>
              </w:rPr>
              <w:t> </w:t>
            </w:r>
            <w:r>
              <w:rPr>
                <w:sz w:val="20"/>
              </w:rPr>
              <w:t>E88.1,</w:t>
            </w:r>
            <w:r>
              <w:rPr>
                <w:spacing w:val="-7"/>
                <w:sz w:val="20"/>
              </w:rPr>
              <w:t> </w:t>
            </w:r>
            <w:r>
              <w:rPr>
                <w:sz w:val="20"/>
              </w:rPr>
              <w:t>E88.2,</w:t>
            </w:r>
            <w:r>
              <w:rPr>
                <w:spacing w:val="-9"/>
                <w:sz w:val="20"/>
              </w:rPr>
              <w:t> </w:t>
            </w:r>
            <w:r>
              <w:rPr>
                <w:sz w:val="20"/>
              </w:rPr>
              <w:t>E88.8,</w:t>
            </w:r>
            <w:r>
              <w:rPr>
                <w:spacing w:val="-7"/>
                <w:sz w:val="20"/>
              </w:rPr>
              <w:t> </w:t>
            </w:r>
            <w:r>
              <w:rPr>
                <w:sz w:val="20"/>
              </w:rPr>
              <w:t>E88.9, </w:t>
            </w:r>
            <w:r>
              <w:rPr>
                <w:spacing w:val="-4"/>
                <w:sz w:val="20"/>
              </w:rPr>
              <w:t>E90</w:t>
            </w:r>
          </w:p>
        </w:tc>
        <w:tc>
          <w:tcPr>
            <w:tcW w:w="2374" w:type="dxa"/>
          </w:tcPr>
          <w:p>
            <w:pPr>
              <w:pStyle w:val="TableParagraph"/>
              <w:spacing w:before="46"/>
              <w:ind w:left="908"/>
              <w:rPr>
                <w:sz w:val="20"/>
              </w:rPr>
            </w:pPr>
            <w:r>
              <w:rPr>
                <w:w w:val="99"/>
                <w:sz w:val="20"/>
              </w:rPr>
              <w:t>-</w:t>
            </w:r>
          </w:p>
        </w:tc>
        <w:tc>
          <w:tcPr>
            <w:tcW w:w="2325" w:type="dxa"/>
          </w:tcPr>
          <w:p>
            <w:pPr>
              <w:pStyle w:val="TableParagraph"/>
              <w:spacing w:before="46"/>
              <w:ind w:right="856"/>
              <w:jc w:val="right"/>
              <w:rPr>
                <w:sz w:val="20"/>
              </w:rPr>
            </w:pPr>
            <w:r>
              <w:rPr>
                <w:w w:val="99"/>
                <w:sz w:val="20"/>
              </w:rPr>
              <w:t>-</w:t>
            </w:r>
          </w:p>
        </w:tc>
        <w:tc>
          <w:tcPr>
            <w:tcW w:w="1260" w:type="dxa"/>
          </w:tcPr>
          <w:p>
            <w:pPr>
              <w:pStyle w:val="TableParagraph"/>
              <w:spacing w:before="46"/>
              <w:ind w:right="45"/>
              <w:jc w:val="right"/>
              <w:rPr>
                <w:sz w:val="20"/>
              </w:rPr>
            </w:pPr>
            <w:r>
              <w:rPr>
                <w:spacing w:val="-4"/>
                <w:sz w:val="20"/>
              </w:rPr>
              <w:t>1,16</w:t>
            </w:r>
          </w:p>
        </w:tc>
      </w:tr>
      <w:tr>
        <w:trPr>
          <w:trHeight w:val="274" w:hRule="atLeast"/>
        </w:trPr>
        <w:tc>
          <w:tcPr>
            <w:tcW w:w="946" w:type="dxa"/>
          </w:tcPr>
          <w:p>
            <w:pPr>
              <w:pStyle w:val="TableParagraph"/>
              <w:spacing w:line="210" w:lineRule="exact" w:before="45"/>
              <w:ind w:left="50"/>
              <w:rPr>
                <w:sz w:val="20"/>
              </w:rPr>
            </w:pPr>
            <w:r>
              <w:rPr>
                <w:spacing w:val="-2"/>
                <w:sz w:val="20"/>
              </w:rPr>
              <w:t>st35.009</w:t>
            </w:r>
          </w:p>
        </w:tc>
        <w:tc>
          <w:tcPr>
            <w:tcW w:w="707" w:type="dxa"/>
          </w:tcPr>
          <w:p>
            <w:pPr>
              <w:pStyle w:val="TableParagraph"/>
              <w:spacing w:line="210" w:lineRule="exact" w:before="45"/>
              <w:ind w:left="210"/>
              <w:rPr>
                <w:sz w:val="20"/>
              </w:rPr>
            </w:pPr>
            <w:r>
              <w:rPr>
                <w:spacing w:val="-5"/>
                <w:sz w:val="20"/>
              </w:rPr>
              <w:t>356</w:t>
            </w:r>
          </w:p>
        </w:tc>
        <w:tc>
          <w:tcPr>
            <w:tcW w:w="2445" w:type="dxa"/>
          </w:tcPr>
          <w:p>
            <w:pPr>
              <w:pStyle w:val="TableParagraph"/>
              <w:spacing w:line="210" w:lineRule="exact" w:before="45"/>
              <w:ind w:left="192"/>
              <w:rPr>
                <w:sz w:val="20"/>
              </w:rPr>
            </w:pPr>
            <w:r>
              <w:rPr>
                <w:sz w:val="20"/>
              </w:rPr>
              <w:t>Кистозный</w:t>
            </w:r>
            <w:r>
              <w:rPr>
                <w:spacing w:val="-12"/>
                <w:sz w:val="20"/>
              </w:rPr>
              <w:t> </w:t>
            </w:r>
            <w:r>
              <w:rPr>
                <w:spacing w:val="-2"/>
                <w:sz w:val="20"/>
              </w:rPr>
              <w:t>фиброз</w:t>
            </w:r>
          </w:p>
        </w:tc>
        <w:tc>
          <w:tcPr>
            <w:tcW w:w="5214" w:type="dxa"/>
          </w:tcPr>
          <w:p>
            <w:pPr>
              <w:pStyle w:val="TableParagraph"/>
              <w:spacing w:line="210" w:lineRule="exact" w:before="45"/>
              <w:ind w:left="969"/>
              <w:rPr>
                <w:sz w:val="20"/>
              </w:rPr>
            </w:pPr>
            <w:r>
              <w:rPr>
                <w:sz w:val="20"/>
              </w:rPr>
              <w:t>E84,</w:t>
            </w:r>
            <w:r>
              <w:rPr>
                <w:spacing w:val="-5"/>
                <w:sz w:val="20"/>
              </w:rPr>
              <w:t> </w:t>
            </w:r>
            <w:r>
              <w:rPr>
                <w:sz w:val="20"/>
              </w:rPr>
              <w:t>E84.0,</w:t>
            </w:r>
            <w:r>
              <w:rPr>
                <w:spacing w:val="-7"/>
                <w:sz w:val="20"/>
              </w:rPr>
              <w:t> </w:t>
            </w:r>
            <w:r>
              <w:rPr>
                <w:sz w:val="20"/>
              </w:rPr>
              <w:t>E84.1,</w:t>
            </w:r>
            <w:r>
              <w:rPr>
                <w:spacing w:val="-4"/>
                <w:sz w:val="20"/>
              </w:rPr>
              <w:t> </w:t>
            </w:r>
            <w:r>
              <w:rPr>
                <w:sz w:val="20"/>
              </w:rPr>
              <w:t>E84.8,</w:t>
            </w:r>
            <w:r>
              <w:rPr>
                <w:spacing w:val="-5"/>
                <w:sz w:val="20"/>
              </w:rPr>
              <w:t> </w:t>
            </w:r>
            <w:r>
              <w:rPr>
                <w:spacing w:val="-2"/>
                <w:sz w:val="20"/>
              </w:rPr>
              <w:t>E84.9</w:t>
            </w:r>
          </w:p>
        </w:tc>
        <w:tc>
          <w:tcPr>
            <w:tcW w:w="2374" w:type="dxa"/>
          </w:tcPr>
          <w:p>
            <w:pPr>
              <w:pStyle w:val="TableParagraph"/>
              <w:spacing w:line="210" w:lineRule="exact" w:before="45"/>
              <w:ind w:left="908"/>
              <w:rPr>
                <w:sz w:val="20"/>
              </w:rPr>
            </w:pPr>
            <w:r>
              <w:rPr>
                <w:w w:val="99"/>
                <w:sz w:val="20"/>
              </w:rPr>
              <w:t>-</w:t>
            </w:r>
          </w:p>
        </w:tc>
        <w:tc>
          <w:tcPr>
            <w:tcW w:w="2325" w:type="dxa"/>
          </w:tcPr>
          <w:p>
            <w:pPr>
              <w:pStyle w:val="TableParagraph"/>
              <w:spacing w:line="210" w:lineRule="exact" w:before="45"/>
              <w:ind w:right="856"/>
              <w:jc w:val="right"/>
              <w:rPr>
                <w:sz w:val="20"/>
              </w:rPr>
            </w:pPr>
            <w:r>
              <w:rPr>
                <w:w w:val="99"/>
                <w:sz w:val="20"/>
              </w:rPr>
              <w:t>-</w:t>
            </w:r>
          </w:p>
        </w:tc>
        <w:tc>
          <w:tcPr>
            <w:tcW w:w="1260" w:type="dxa"/>
          </w:tcPr>
          <w:p>
            <w:pPr>
              <w:pStyle w:val="TableParagraph"/>
              <w:spacing w:line="210" w:lineRule="exact" w:before="45"/>
              <w:ind w:right="45"/>
              <w:jc w:val="right"/>
              <w:rPr>
                <w:sz w:val="20"/>
              </w:rPr>
            </w:pPr>
            <w:r>
              <w:rPr>
                <w:spacing w:val="-4"/>
                <w:sz w:val="20"/>
              </w:rPr>
              <w:t>3,32</w:t>
            </w:r>
          </w:p>
        </w:tc>
      </w:tr>
    </w:tbl>
    <w:p>
      <w:pPr>
        <w:spacing w:after="0" w:line="210"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8"/>
        <w:gridCol w:w="4418"/>
        <w:gridCol w:w="3736"/>
        <w:gridCol w:w="1660"/>
        <w:gridCol w:w="1261"/>
      </w:tblGrid>
      <w:tr>
        <w:trPr>
          <w:trHeight w:val="274" w:hRule="atLeast"/>
        </w:trPr>
        <w:tc>
          <w:tcPr>
            <w:tcW w:w="946" w:type="dxa"/>
          </w:tcPr>
          <w:p>
            <w:pPr>
              <w:pStyle w:val="TableParagraph"/>
              <w:spacing w:line="221" w:lineRule="exact"/>
              <w:ind w:left="37" w:right="198"/>
              <w:jc w:val="center"/>
              <w:rPr>
                <w:sz w:val="20"/>
              </w:rPr>
            </w:pPr>
            <w:r>
              <w:rPr>
                <w:spacing w:val="-4"/>
                <w:sz w:val="20"/>
              </w:rPr>
              <w:t>st36</w:t>
            </w:r>
          </w:p>
        </w:tc>
        <w:tc>
          <w:tcPr>
            <w:tcW w:w="707" w:type="dxa"/>
          </w:tcPr>
          <w:p>
            <w:pPr>
              <w:pStyle w:val="TableParagraph"/>
              <w:spacing w:line="221" w:lineRule="exact"/>
              <w:ind w:left="261"/>
              <w:rPr>
                <w:sz w:val="20"/>
              </w:rPr>
            </w:pPr>
            <w:r>
              <w:rPr>
                <w:spacing w:val="-5"/>
                <w:sz w:val="20"/>
              </w:rPr>
              <w:t>36</w:t>
            </w:r>
          </w:p>
        </w:tc>
        <w:tc>
          <w:tcPr>
            <w:tcW w:w="2548" w:type="dxa"/>
          </w:tcPr>
          <w:p>
            <w:pPr>
              <w:pStyle w:val="TableParagraph"/>
              <w:rPr>
                <w:sz w:val="18"/>
              </w:rPr>
            </w:pPr>
          </w:p>
        </w:tc>
        <w:tc>
          <w:tcPr>
            <w:tcW w:w="4418" w:type="dxa"/>
          </w:tcPr>
          <w:p>
            <w:pPr>
              <w:pStyle w:val="TableParagraph"/>
              <w:spacing w:line="221" w:lineRule="exact"/>
              <w:ind w:right="306"/>
              <w:jc w:val="right"/>
              <w:rPr>
                <w:sz w:val="20"/>
              </w:rPr>
            </w:pPr>
            <w:r>
              <w:rPr>
                <w:spacing w:val="-2"/>
                <w:sz w:val="20"/>
              </w:rPr>
              <w:t>Прочее</w:t>
            </w:r>
          </w:p>
        </w:tc>
        <w:tc>
          <w:tcPr>
            <w:tcW w:w="3736" w:type="dxa"/>
          </w:tcPr>
          <w:p>
            <w:pPr>
              <w:pStyle w:val="TableParagraph"/>
              <w:rPr>
                <w:sz w:val="18"/>
              </w:rPr>
            </w:pPr>
          </w:p>
        </w:tc>
        <w:tc>
          <w:tcPr>
            <w:tcW w:w="1660" w:type="dxa"/>
          </w:tcPr>
          <w:p>
            <w:pPr>
              <w:pStyle w:val="TableParagraph"/>
              <w:rPr>
                <w:sz w:val="18"/>
              </w:rPr>
            </w:pPr>
          </w:p>
        </w:tc>
        <w:tc>
          <w:tcPr>
            <w:tcW w:w="1261" w:type="dxa"/>
          </w:tcPr>
          <w:p>
            <w:pPr>
              <w:pStyle w:val="TableParagraph"/>
              <w:spacing w:line="221" w:lineRule="exact"/>
              <w:ind w:left="803"/>
              <w:jc w:val="center"/>
              <w:rPr>
                <w:sz w:val="20"/>
              </w:rPr>
            </w:pPr>
            <w:r>
              <w:rPr>
                <w:w w:val="99"/>
                <w:sz w:val="20"/>
              </w:rPr>
              <w:t>-</w:t>
            </w:r>
          </w:p>
        </w:tc>
      </w:tr>
      <w:tr>
        <w:trPr>
          <w:trHeight w:val="1020" w:hRule="atLeast"/>
        </w:trPr>
        <w:tc>
          <w:tcPr>
            <w:tcW w:w="946" w:type="dxa"/>
          </w:tcPr>
          <w:p>
            <w:pPr>
              <w:pStyle w:val="TableParagraph"/>
              <w:spacing w:before="45"/>
              <w:ind w:left="39" w:right="198"/>
              <w:jc w:val="center"/>
              <w:rPr>
                <w:sz w:val="20"/>
              </w:rPr>
            </w:pPr>
            <w:r>
              <w:rPr>
                <w:spacing w:val="-2"/>
                <w:sz w:val="20"/>
              </w:rPr>
              <w:t>st36.001</w:t>
            </w:r>
          </w:p>
        </w:tc>
        <w:tc>
          <w:tcPr>
            <w:tcW w:w="707" w:type="dxa"/>
          </w:tcPr>
          <w:p>
            <w:pPr>
              <w:pStyle w:val="TableParagraph"/>
              <w:spacing w:before="45"/>
              <w:ind w:left="210"/>
              <w:rPr>
                <w:sz w:val="20"/>
              </w:rPr>
            </w:pPr>
            <w:r>
              <w:rPr>
                <w:spacing w:val="-5"/>
                <w:sz w:val="20"/>
              </w:rPr>
              <w:t>357</w:t>
            </w:r>
          </w:p>
        </w:tc>
        <w:tc>
          <w:tcPr>
            <w:tcW w:w="2548" w:type="dxa"/>
          </w:tcPr>
          <w:p>
            <w:pPr>
              <w:pStyle w:val="TableParagraph"/>
              <w:spacing w:before="45"/>
              <w:ind w:left="192" w:right="182"/>
              <w:rPr>
                <w:sz w:val="20"/>
              </w:rPr>
            </w:pPr>
            <w:r>
              <w:rPr>
                <w:sz w:val="20"/>
              </w:rPr>
              <w:t>Комплексное лечение с применением</w:t>
            </w:r>
            <w:r>
              <w:rPr>
                <w:spacing w:val="-13"/>
                <w:sz w:val="20"/>
              </w:rPr>
              <w:t> </w:t>
            </w:r>
            <w:r>
              <w:rPr>
                <w:sz w:val="20"/>
              </w:rPr>
              <w:t>препаратов </w:t>
            </w:r>
            <w:r>
              <w:rPr>
                <w:spacing w:val="-2"/>
                <w:sz w:val="20"/>
              </w:rPr>
              <w:t>иммуноглобулина</w:t>
            </w:r>
          </w:p>
        </w:tc>
        <w:tc>
          <w:tcPr>
            <w:tcW w:w="4418" w:type="dxa"/>
          </w:tcPr>
          <w:p>
            <w:pPr>
              <w:pStyle w:val="TableParagraph"/>
              <w:spacing w:before="45"/>
              <w:ind w:left="192" w:right="269"/>
              <w:jc w:val="center"/>
              <w:rPr>
                <w:sz w:val="20"/>
              </w:rPr>
            </w:pPr>
            <w:r>
              <w:rPr>
                <w:sz w:val="20"/>
              </w:rPr>
              <w:t>D69.3,</w:t>
            </w:r>
            <w:r>
              <w:rPr>
                <w:spacing w:val="-6"/>
                <w:sz w:val="20"/>
              </w:rPr>
              <w:t> </w:t>
            </w:r>
            <w:r>
              <w:rPr>
                <w:sz w:val="20"/>
              </w:rPr>
              <w:t>D84.8,</w:t>
            </w:r>
            <w:r>
              <w:rPr>
                <w:spacing w:val="-6"/>
                <w:sz w:val="20"/>
              </w:rPr>
              <w:t> </w:t>
            </w:r>
            <w:r>
              <w:rPr>
                <w:sz w:val="20"/>
              </w:rPr>
              <w:t>G11.3,</w:t>
            </w:r>
            <w:r>
              <w:rPr>
                <w:spacing w:val="-5"/>
                <w:sz w:val="20"/>
              </w:rPr>
              <w:t> </w:t>
            </w:r>
            <w:r>
              <w:rPr>
                <w:sz w:val="20"/>
              </w:rPr>
              <w:t>G35,</w:t>
            </w:r>
            <w:r>
              <w:rPr>
                <w:spacing w:val="-6"/>
                <w:sz w:val="20"/>
              </w:rPr>
              <w:t> </w:t>
            </w:r>
            <w:r>
              <w:rPr>
                <w:sz w:val="20"/>
              </w:rPr>
              <w:t>G36.0,</w:t>
            </w:r>
            <w:r>
              <w:rPr>
                <w:spacing w:val="-5"/>
                <w:sz w:val="20"/>
              </w:rPr>
              <w:t> </w:t>
            </w:r>
            <w:r>
              <w:rPr>
                <w:sz w:val="20"/>
              </w:rPr>
              <w:t>G36.1,</w:t>
            </w:r>
            <w:r>
              <w:rPr>
                <w:spacing w:val="-5"/>
                <w:sz w:val="20"/>
              </w:rPr>
              <w:t> </w:t>
            </w:r>
            <w:r>
              <w:rPr>
                <w:spacing w:val="-2"/>
                <w:sz w:val="20"/>
              </w:rPr>
              <w:t>G36.8,</w:t>
            </w:r>
          </w:p>
          <w:p>
            <w:pPr>
              <w:pStyle w:val="TableParagraph"/>
              <w:ind w:left="192" w:right="269"/>
              <w:jc w:val="center"/>
              <w:rPr>
                <w:sz w:val="20"/>
              </w:rPr>
            </w:pPr>
            <w:r>
              <w:rPr>
                <w:sz w:val="20"/>
              </w:rPr>
              <w:t>G36.9,</w:t>
            </w:r>
            <w:r>
              <w:rPr>
                <w:spacing w:val="-6"/>
                <w:sz w:val="20"/>
              </w:rPr>
              <w:t> </w:t>
            </w:r>
            <w:r>
              <w:rPr>
                <w:sz w:val="20"/>
              </w:rPr>
              <w:t>G37,</w:t>
            </w:r>
            <w:r>
              <w:rPr>
                <w:spacing w:val="-6"/>
                <w:sz w:val="20"/>
              </w:rPr>
              <w:t> </w:t>
            </w:r>
            <w:r>
              <w:rPr>
                <w:sz w:val="20"/>
              </w:rPr>
              <w:t>G37.0,</w:t>
            </w:r>
            <w:r>
              <w:rPr>
                <w:spacing w:val="-5"/>
                <w:sz w:val="20"/>
              </w:rPr>
              <w:t> </w:t>
            </w:r>
            <w:r>
              <w:rPr>
                <w:sz w:val="20"/>
              </w:rPr>
              <w:t>G37.1,</w:t>
            </w:r>
            <w:r>
              <w:rPr>
                <w:spacing w:val="-6"/>
                <w:sz w:val="20"/>
              </w:rPr>
              <w:t> </w:t>
            </w:r>
            <w:r>
              <w:rPr>
                <w:sz w:val="20"/>
              </w:rPr>
              <w:t>G37.2,</w:t>
            </w:r>
            <w:r>
              <w:rPr>
                <w:spacing w:val="-5"/>
                <w:sz w:val="20"/>
              </w:rPr>
              <w:t> </w:t>
            </w:r>
            <w:r>
              <w:rPr>
                <w:sz w:val="20"/>
              </w:rPr>
              <w:t>G37.3,</w:t>
            </w:r>
            <w:r>
              <w:rPr>
                <w:spacing w:val="-6"/>
                <w:sz w:val="20"/>
              </w:rPr>
              <w:t> </w:t>
            </w:r>
            <w:r>
              <w:rPr>
                <w:spacing w:val="-2"/>
                <w:sz w:val="20"/>
              </w:rPr>
              <w:t>G37.4,</w:t>
            </w:r>
          </w:p>
          <w:p>
            <w:pPr>
              <w:pStyle w:val="TableParagraph"/>
              <w:ind w:left="192" w:right="268"/>
              <w:jc w:val="center"/>
              <w:rPr>
                <w:sz w:val="20"/>
              </w:rPr>
            </w:pPr>
            <w:r>
              <w:rPr>
                <w:sz w:val="20"/>
              </w:rPr>
              <w:t>G37.5,</w:t>
            </w:r>
            <w:r>
              <w:rPr>
                <w:spacing w:val="-4"/>
                <w:sz w:val="20"/>
              </w:rPr>
              <w:t> </w:t>
            </w:r>
            <w:r>
              <w:rPr>
                <w:sz w:val="20"/>
              </w:rPr>
              <w:t>G37.8,</w:t>
            </w:r>
            <w:r>
              <w:rPr>
                <w:spacing w:val="-6"/>
                <w:sz w:val="20"/>
              </w:rPr>
              <w:t> </w:t>
            </w:r>
            <w:r>
              <w:rPr>
                <w:sz w:val="20"/>
              </w:rPr>
              <w:t>G37.9,</w:t>
            </w:r>
            <w:r>
              <w:rPr>
                <w:spacing w:val="-4"/>
                <w:sz w:val="20"/>
              </w:rPr>
              <w:t> </w:t>
            </w:r>
            <w:r>
              <w:rPr>
                <w:sz w:val="20"/>
              </w:rPr>
              <w:t>G51.0,</w:t>
            </w:r>
            <w:r>
              <w:rPr>
                <w:spacing w:val="-6"/>
                <w:sz w:val="20"/>
              </w:rPr>
              <w:t> </w:t>
            </w:r>
            <w:r>
              <w:rPr>
                <w:sz w:val="20"/>
              </w:rPr>
              <w:t>G58.7,</w:t>
            </w:r>
            <w:r>
              <w:rPr>
                <w:spacing w:val="-4"/>
                <w:sz w:val="20"/>
              </w:rPr>
              <w:t> </w:t>
            </w:r>
            <w:r>
              <w:rPr>
                <w:spacing w:val="-2"/>
                <w:sz w:val="20"/>
              </w:rPr>
              <w:t>G61.0,</w:t>
            </w:r>
          </w:p>
          <w:p>
            <w:pPr>
              <w:pStyle w:val="TableParagraph"/>
              <w:spacing w:before="1"/>
              <w:ind w:left="192" w:right="265"/>
              <w:jc w:val="center"/>
              <w:rPr>
                <w:sz w:val="20"/>
              </w:rPr>
            </w:pPr>
            <w:r>
              <w:rPr>
                <w:sz w:val="20"/>
              </w:rPr>
              <w:t>G61.8,</w:t>
            </w:r>
            <w:r>
              <w:rPr>
                <w:spacing w:val="-5"/>
                <w:sz w:val="20"/>
              </w:rPr>
              <w:t> </w:t>
            </w:r>
            <w:r>
              <w:rPr>
                <w:sz w:val="20"/>
              </w:rPr>
              <w:t>G62.8,</w:t>
            </w:r>
            <w:r>
              <w:rPr>
                <w:spacing w:val="-6"/>
                <w:sz w:val="20"/>
              </w:rPr>
              <w:t> </w:t>
            </w:r>
            <w:r>
              <w:rPr>
                <w:sz w:val="20"/>
              </w:rPr>
              <w:t>G70.0,</w:t>
            </w:r>
            <w:r>
              <w:rPr>
                <w:spacing w:val="-4"/>
                <w:sz w:val="20"/>
              </w:rPr>
              <w:t> </w:t>
            </w:r>
            <w:r>
              <w:rPr>
                <w:sz w:val="20"/>
              </w:rPr>
              <w:t>G70.2,</w:t>
            </w:r>
            <w:r>
              <w:rPr>
                <w:spacing w:val="-6"/>
                <w:sz w:val="20"/>
              </w:rPr>
              <w:t> </w:t>
            </w:r>
            <w:r>
              <w:rPr>
                <w:spacing w:val="-4"/>
                <w:sz w:val="20"/>
              </w:rPr>
              <w:t>M33.0</w:t>
            </w:r>
          </w:p>
        </w:tc>
        <w:tc>
          <w:tcPr>
            <w:tcW w:w="3736" w:type="dxa"/>
          </w:tcPr>
          <w:p>
            <w:pPr>
              <w:pStyle w:val="TableParagraph"/>
              <w:spacing w:before="45"/>
              <w:ind w:left="986" w:right="727" w:hanging="723"/>
              <w:rPr>
                <w:sz w:val="20"/>
              </w:rPr>
            </w:pPr>
            <w:r>
              <w:rPr>
                <w:sz w:val="20"/>
              </w:rPr>
              <w:t>A25.05.001.001,</w:t>
            </w:r>
            <w:r>
              <w:rPr>
                <w:spacing w:val="-13"/>
                <w:sz w:val="20"/>
              </w:rPr>
              <w:t> </w:t>
            </w:r>
            <w:r>
              <w:rPr>
                <w:sz w:val="20"/>
              </w:rPr>
              <w:t>A25.23.001.001, </w:t>
            </w:r>
            <w:r>
              <w:rPr>
                <w:spacing w:val="-2"/>
                <w:sz w:val="20"/>
              </w:rPr>
              <w:t>A25.24.001.001</w:t>
            </w:r>
          </w:p>
        </w:tc>
        <w:tc>
          <w:tcPr>
            <w:tcW w:w="1660" w:type="dxa"/>
          </w:tcPr>
          <w:p>
            <w:pPr>
              <w:pStyle w:val="TableParagraph"/>
              <w:spacing w:before="45"/>
              <w:ind w:left="731"/>
              <w:rPr>
                <w:sz w:val="20"/>
              </w:rPr>
            </w:pPr>
            <w:r>
              <w:rPr>
                <w:w w:val="99"/>
                <w:sz w:val="20"/>
              </w:rPr>
              <w:t>-</w:t>
            </w:r>
          </w:p>
        </w:tc>
        <w:tc>
          <w:tcPr>
            <w:tcW w:w="1261" w:type="dxa"/>
          </w:tcPr>
          <w:p>
            <w:pPr>
              <w:pStyle w:val="TableParagraph"/>
              <w:spacing w:before="45"/>
              <w:ind w:left="845" w:right="41"/>
              <w:jc w:val="center"/>
              <w:rPr>
                <w:sz w:val="20"/>
              </w:rPr>
            </w:pPr>
            <w:r>
              <w:rPr>
                <w:spacing w:val="-4"/>
                <w:sz w:val="20"/>
              </w:rPr>
              <w:t>4,32</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st36.002</w:t>
            </w:r>
          </w:p>
        </w:tc>
        <w:tc>
          <w:tcPr>
            <w:tcW w:w="707" w:type="dxa"/>
          </w:tcPr>
          <w:p>
            <w:pPr>
              <w:pStyle w:val="TableParagraph"/>
              <w:spacing w:line="215" w:lineRule="exact" w:before="45"/>
              <w:ind w:left="210"/>
              <w:rPr>
                <w:sz w:val="20"/>
              </w:rPr>
            </w:pPr>
            <w:r>
              <w:rPr>
                <w:spacing w:val="-5"/>
                <w:sz w:val="20"/>
              </w:rPr>
              <w:t>358</w:t>
            </w:r>
          </w:p>
        </w:tc>
        <w:tc>
          <w:tcPr>
            <w:tcW w:w="2548" w:type="dxa"/>
          </w:tcPr>
          <w:p>
            <w:pPr>
              <w:pStyle w:val="TableParagraph"/>
              <w:spacing w:line="215" w:lineRule="exact" w:before="45"/>
              <w:ind w:left="192"/>
              <w:rPr>
                <w:sz w:val="20"/>
              </w:rPr>
            </w:pPr>
            <w:r>
              <w:rPr>
                <w:sz w:val="20"/>
              </w:rPr>
              <w:t>Редкие</w:t>
            </w:r>
            <w:r>
              <w:rPr>
                <w:spacing w:val="-8"/>
                <w:sz w:val="20"/>
              </w:rPr>
              <w:t> </w:t>
            </w:r>
            <w:r>
              <w:rPr>
                <w:spacing w:val="-2"/>
                <w:sz w:val="20"/>
              </w:rPr>
              <w:t>генетические</w:t>
            </w:r>
          </w:p>
        </w:tc>
        <w:tc>
          <w:tcPr>
            <w:tcW w:w="4418" w:type="dxa"/>
          </w:tcPr>
          <w:p>
            <w:pPr>
              <w:pStyle w:val="TableParagraph"/>
              <w:spacing w:line="215" w:lineRule="exact" w:before="45"/>
              <w:ind w:left="193"/>
              <w:rPr>
                <w:sz w:val="20"/>
              </w:rPr>
            </w:pPr>
            <w:r>
              <w:rPr>
                <w:sz w:val="20"/>
              </w:rPr>
              <w:t>E26.1,</w:t>
            </w:r>
            <w:r>
              <w:rPr>
                <w:spacing w:val="-7"/>
                <w:sz w:val="20"/>
              </w:rPr>
              <w:t> </w:t>
            </w:r>
            <w:r>
              <w:rPr>
                <w:sz w:val="20"/>
              </w:rPr>
              <w:t>E26.8,</w:t>
            </w:r>
            <w:r>
              <w:rPr>
                <w:spacing w:val="-5"/>
                <w:sz w:val="20"/>
              </w:rPr>
              <w:t> </w:t>
            </w:r>
            <w:r>
              <w:rPr>
                <w:sz w:val="20"/>
              </w:rPr>
              <w:t>E70.0,</w:t>
            </w:r>
            <w:r>
              <w:rPr>
                <w:spacing w:val="-4"/>
                <w:sz w:val="20"/>
              </w:rPr>
              <w:t> </w:t>
            </w:r>
            <w:r>
              <w:rPr>
                <w:sz w:val="20"/>
              </w:rPr>
              <w:t>E70.1,</w:t>
            </w:r>
            <w:r>
              <w:rPr>
                <w:spacing w:val="-5"/>
                <w:sz w:val="20"/>
              </w:rPr>
              <w:t> </w:t>
            </w:r>
            <w:r>
              <w:rPr>
                <w:sz w:val="20"/>
              </w:rPr>
              <w:t>E70.2,</w:t>
            </w:r>
            <w:r>
              <w:rPr>
                <w:spacing w:val="-6"/>
                <w:sz w:val="20"/>
              </w:rPr>
              <w:t> </w:t>
            </w:r>
            <w:r>
              <w:rPr>
                <w:sz w:val="20"/>
              </w:rPr>
              <w:t>E71.0,</w:t>
            </w:r>
            <w:r>
              <w:rPr>
                <w:spacing w:val="-5"/>
                <w:sz w:val="20"/>
              </w:rPr>
              <w:t> </w:t>
            </w:r>
            <w:r>
              <w:rPr>
                <w:spacing w:val="-2"/>
                <w:sz w:val="20"/>
              </w:rPr>
              <w:t>E71.1,</w:t>
            </w:r>
          </w:p>
        </w:tc>
        <w:tc>
          <w:tcPr>
            <w:tcW w:w="3736" w:type="dxa"/>
          </w:tcPr>
          <w:p>
            <w:pPr>
              <w:pStyle w:val="TableParagraph"/>
              <w:spacing w:line="215" w:lineRule="exact" w:before="45"/>
              <w:ind w:left="1601"/>
              <w:rPr>
                <w:sz w:val="20"/>
              </w:rPr>
            </w:pPr>
            <w:r>
              <w:rPr>
                <w:w w:val="99"/>
                <w:sz w:val="20"/>
              </w:rPr>
              <w:t>-</w:t>
            </w:r>
          </w:p>
        </w:tc>
        <w:tc>
          <w:tcPr>
            <w:tcW w:w="1660" w:type="dxa"/>
          </w:tcPr>
          <w:p>
            <w:pPr>
              <w:pStyle w:val="TableParagraph"/>
              <w:spacing w:line="215" w:lineRule="exact" w:before="45"/>
              <w:ind w:left="731"/>
              <w:rPr>
                <w:sz w:val="20"/>
              </w:rPr>
            </w:pPr>
            <w:r>
              <w:rPr>
                <w:w w:val="99"/>
                <w:sz w:val="20"/>
              </w:rPr>
              <w:t>-</w:t>
            </w:r>
          </w:p>
        </w:tc>
        <w:tc>
          <w:tcPr>
            <w:tcW w:w="1261" w:type="dxa"/>
          </w:tcPr>
          <w:p>
            <w:pPr>
              <w:pStyle w:val="TableParagraph"/>
              <w:spacing w:line="215" w:lineRule="exact" w:before="45"/>
              <w:ind w:left="845" w:right="41"/>
              <w:jc w:val="center"/>
              <w:rPr>
                <w:sz w:val="20"/>
              </w:rPr>
            </w:pPr>
            <w:r>
              <w:rPr>
                <w:spacing w:val="-4"/>
                <w:sz w:val="20"/>
              </w:rPr>
              <w:t>3,50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1" w:lineRule="exact"/>
              <w:ind w:left="192"/>
              <w:rPr>
                <w:sz w:val="20"/>
              </w:rPr>
            </w:pPr>
            <w:r>
              <w:rPr>
                <w:spacing w:val="-2"/>
                <w:sz w:val="20"/>
              </w:rPr>
              <w:t>заболевания</w:t>
            </w:r>
          </w:p>
        </w:tc>
        <w:tc>
          <w:tcPr>
            <w:tcW w:w="4418" w:type="dxa"/>
          </w:tcPr>
          <w:p>
            <w:pPr>
              <w:pStyle w:val="TableParagraph"/>
              <w:spacing w:line="211" w:lineRule="exact"/>
              <w:ind w:left="193"/>
              <w:rPr>
                <w:sz w:val="20"/>
              </w:rPr>
            </w:pPr>
            <w:r>
              <w:rPr>
                <w:sz w:val="20"/>
              </w:rPr>
              <w:t>E71.3,</w:t>
            </w:r>
            <w:r>
              <w:rPr>
                <w:spacing w:val="-7"/>
                <w:sz w:val="20"/>
              </w:rPr>
              <w:t> </w:t>
            </w:r>
            <w:r>
              <w:rPr>
                <w:sz w:val="20"/>
              </w:rPr>
              <w:t>E72.0,</w:t>
            </w:r>
            <w:r>
              <w:rPr>
                <w:spacing w:val="-5"/>
                <w:sz w:val="20"/>
              </w:rPr>
              <w:t> </w:t>
            </w:r>
            <w:r>
              <w:rPr>
                <w:sz w:val="20"/>
              </w:rPr>
              <w:t>E72.1,</w:t>
            </w:r>
            <w:r>
              <w:rPr>
                <w:spacing w:val="-4"/>
                <w:sz w:val="20"/>
              </w:rPr>
              <w:t> </w:t>
            </w:r>
            <w:r>
              <w:rPr>
                <w:sz w:val="20"/>
              </w:rPr>
              <w:t>E72.2,</w:t>
            </w:r>
            <w:r>
              <w:rPr>
                <w:spacing w:val="-5"/>
                <w:sz w:val="20"/>
              </w:rPr>
              <w:t> </w:t>
            </w:r>
            <w:r>
              <w:rPr>
                <w:sz w:val="20"/>
              </w:rPr>
              <w:t>E72.3,</w:t>
            </w:r>
            <w:r>
              <w:rPr>
                <w:spacing w:val="-6"/>
                <w:sz w:val="20"/>
              </w:rPr>
              <w:t> </w:t>
            </w:r>
            <w:r>
              <w:rPr>
                <w:sz w:val="20"/>
              </w:rPr>
              <w:t>E72.8,</w:t>
            </w:r>
            <w:r>
              <w:rPr>
                <w:spacing w:val="-5"/>
                <w:sz w:val="20"/>
              </w:rPr>
              <w:t> </w:t>
            </w:r>
            <w:r>
              <w:rPr>
                <w:spacing w:val="-2"/>
                <w:sz w:val="20"/>
              </w:rPr>
              <w:t>E74.4,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3"/>
              <w:rPr>
                <w:sz w:val="20"/>
              </w:rPr>
            </w:pPr>
            <w:r>
              <w:rPr>
                <w:sz w:val="20"/>
              </w:rPr>
              <w:t>E74.8,</w:t>
            </w:r>
            <w:r>
              <w:rPr>
                <w:spacing w:val="-7"/>
                <w:sz w:val="20"/>
              </w:rPr>
              <w:t> </w:t>
            </w:r>
            <w:r>
              <w:rPr>
                <w:sz w:val="20"/>
              </w:rPr>
              <w:t>E76.0,</w:t>
            </w:r>
            <w:r>
              <w:rPr>
                <w:spacing w:val="-5"/>
                <w:sz w:val="20"/>
              </w:rPr>
              <w:t> </w:t>
            </w:r>
            <w:r>
              <w:rPr>
                <w:sz w:val="20"/>
              </w:rPr>
              <w:t>E76.1,</w:t>
            </w:r>
            <w:r>
              <w:rPr>
                <w:spacing w:val="-4"/>
                <w:sz w:val="20"/>
              </w:rPr>
              <w:t> </w:t>
            </w:r>
            <w:r>
              <w:rPr>
                <w:sz w:val="20"/>
              </w:rPr>
              <w:t>E76.2,</w:t>
            </w:r>
            <w:r>
              <w:rPr>
                <w:spacing w:val="-5"/>
                <w:sz w:val="20"/>
              </w:rPr>
              <w:t> </w:t>
            </w:r>
            <w:r>
              <w:rPr>
                <w:sz w:val="20"/>
              </w:rPr>
              <w:t>E79.1,</w:t>
            </w:r>
            <w:r>
              <w:rPr>
                <w:spacing w:val="-6"/>
                <w:sz w:val="20"/>
              </w:rPr>
              <w:t> </w:t>
            </w:r>
            <w:r>
              <w:rPr>
                <w:sz w:val="20"/>
              </w:rPr>
              <w:t>E79.8,</w:t>
            </w:r>
            <w:r>
              <w:rPr>
                <w:spacing w:val="-5"/>
                <w:sz w:val="20"/>
              </w:rPr>
              <w:t> </w:t>
            </w:r>
            <w:r>
              <w:rPr>
                <w:spacing w:val="-2"/>
                <w:sz w:val="20"/>
              </w:rPr>
              <w:t>E83.0,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287"/>
              <w:rPr>
                <w:sz w:val="20"/>
              </w:rPr>
            </w:pPr>
            <w:r>
              <w:rPr>
                <w:sz w:val="20"/>
              </w:rPr>
              <w:t>E83.3,</w:t>
            </w:r>
            <w:r>
              <w:rPr>
                <w:spacing w:val="-6"/>
                <w:sz w:val="20"/>
              </w:rPr>
              <w:t> </w:t>
            </w:r>
            <w:r>
              <w:rPr>
                <w:sz w:val="20"/>
              </w:rPr>
              <w:t>E83.4,</w:t>
            </w:r>
            <w:r>
              <w:rPr>
                <w:spacing w:val="-4"/>
                <w:sz w:val="20"/>
              </w:rPr>
              <w:t> </w:t>
            </w:r>
            <w:r>
              <w:rPr>
                <w:sz w:val="20"/>
              </w:rPr>
              <w:t>G10,</w:t>
            </w:r>
            <w:r>
              <w:rPr>
                <w:spacing w:val="-5"/>
                <w:sz w:val="20"/>
              </w:rPr>
              <w:t> </w:t>
            </w:r>
            <w:r>
              <w:rPr>
                <w:sz w:val="20"/>
              </w:rPr>
              <w:t>G11,</w:t>
            </w:r>
            <w:r>
              <w:rPr>
                <w:spacing w:val="-4"/>
                <w:sz w:val="20"/>
              </w:rPr>
              <w:t> </w:t>
            </w:r>
            <w:r>
              <w:rPr>
                <w:sz w:val="20"/>
              </w:rPr>
              <w:t>G11.0,</w:t>
            </w:r>
            <w:r>
              <w:rPr>
                <w:spacing w:val="-4"/>
                <w:sz w:val="20"/>
              </w:rPr>
              <w:t> </w:t>
            </w:r>
            <w:r>
              <w:rPr>
                <w:sz w:val="20"/>
              </w:rPr>
              <w:t>G11.1,</w:t>
            </w:r>
            <w:r>
              <w:rPr>
                <w:spacing w:val="-4"/>
                <w:sz w:val="20"/>
              </w:rPr>
              <w:t> </w:t>
            </w:r>
            <w:r>
              <w:rPr>
                <w:spacing w:val="-2"/>
                <w:sz w:val="20"/>
              </w:rPr>
              <w:t>G11.2,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89"/>
              <w:rPr>
                <w:sz w:val="20"/>
              </w:rPr>
            </w:pPr>
            <w:r>
              <w:rPr>
                <w:sz w:val="20"/>
              </w:rPr>
              <w:t>G11.3,</w:t>
            </w:r>
            <w:r>
              <w:rPr>
                <w:spacing w:val="-4"/>
                <w:sz w:val="20"/>
              </w:rPr>
              <w:t> </w:t>
            </w:r>
            <w:r>
              <w:rPr>
                <w:sz w:val="20"/>
              </w:rPr>
              <w:t>G11.4,</w:t>
            </w:r>
            <w:r>
              <w:rPr>
                <w:spacing w:val="-6"/>
                <w:sz w:val="20"/>
              </w:rPr>
              <w:t> </w:t>
            </w:r>
            <w:r>
              <w:rPr>
                <w:sz w:val="20"/>
              </w:rPr>
              <w:t>G11.8,</w:t>
            </w:r>
            <w:r>
              <w:rPr>
                <w:spacing w:val="-1"/>
                <w:sz w:val="20"/>
              </w:rPr>
              <w:t> </w:t>
            </w:r>
            <w:r>
              <w:rPr>
                <w:sz w:val="20"/>
              </w:rPr>
              <w:t>G11.9,</w:t>
            </w:r>
            <w:r>
              <w:rPr>
                <w:spacing w:val="-6"/>
                <w:sz w:val="20"/>
              </w:rPr>
              <w:t> </w:t>
            </w:r>
            <w:r>
              <w:rPr>
                <w:sz w:val="20"/>
              </w:rPr>
              <w:t>G12,</w:t>
            </w:r>
            <w:r>
              <w:rPr>
                <w:spacing w:val="-4"/>
                <w:sz w:val="20"/>
              </w:rPr>
              <w:t> </w:t>
            </w:r>
            <w:r>
              <w:rPr>
                <w:sz w:val="20"/>
              </w:rPr>
              <w:t>G12.0,</w:t>
            </w:r>
            <w:r>
              <w:rPr>
                <w:spacing w:val="-4"/>
                <w:sz w:val="20"/>
              </w:rPr>
              <w:t> </w:t>
            </w:r>
            <w:r>
              <w:rPr>
                <w:spacing w:val="-2"/>
                <w:sz w:val="20"/>
              </w:rPr>
              <w:t>G12.1,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91"/>
              <w:rPr>
                <w:sz w:val="20"/>
              </w:rPr>
            </w:pPr>
            <w:r>
              <w:rPr>
                <w:sz w:val="20"/>
              </w:rPr>
              <w:t>G12.2,</w:t>
            </w:r>
            <w:r>
              <w:rPr>
                <w:spacing w:val="-6"/>
                <w:sz w:val="20"/>
              </w:rPr>
              <w:t> </w:t>
            </w:r>
            <w:r>
              <w:rPr>
                <w:sz w:val="20"/>
              </w:rPr>
              <w:t>G12.8,</w:t>
            </w:r>
            <w:r>
              <w:rPr>
                <w:spacing w:val="-6"/>
                <w:sz w:val="20"/>
              </w:rPr>
              <w:t> </w:t>
            </w:r>
            <w:r>
              <w:rPr>
                <w:sz w:val="20"/>
              </w:rPr>
              <w:t>G12.9,</w:t>
            </w:r>
            <w:r>
              <w:rPr>
                <w:spacing w:val="-5"/>
                <w:sz w:val="20"/>
              </w:rPr>
              <w:t> </w:t>
            </w:r>
            <w:r>
              <w:rPr>
                <w:sz w:val="20"/>
              </w:rPr>
              <w:t>G13,</w:t>
            </w:r>
            <w:r>
              <w:rPr>
                <w:spacing w:val="-6"/>
                <w:sz w:val="20"/>
              </w:rPr>
              <w:t> </w:t>
            </w:r>
            <w:r>
              <w:rPr>
                <w:sz w:val="20"/>
              </w:rPr>
              <w:t>G13.0,</w:t>
            </w:r>
            <w:r>
              <w:rPr>
                <w:spacing w:val="-5"/>
                <w:sz w:val="20"/>
              </w:rPr>
              <w:t> </w:t>
            </w:r>
            <w:r>
              <w:rPr>
                <w:sz w:val="20"/>
              </w:rPr>
              <w:t>G13.1,</w:t>
            </w:r>
            <w:r>
              <w:rPr>
                <w:spacing w:val="-5"/>
                <w:sz w:val="20"/>
              </w:rPr>
              <w:t> </w:t>
            </w:r>
            <w:r>
              <w:rPr>
                <w:spacing w:val="-2"/>
                <w:sz w:val="20"/>
              </w:rPr>
              <w:t>G13.2,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1"/>
              <w:rPr>
                <w:sz w:val="20"/>
              </w:rPr>
            </w:pPr>
            <w:r>
              <w:rPr>
                <w:sz w:val="20"/>
              </w:rPr>
              <w:t>G13.8,</w:t>
            </w:r>
            <w:r>
              <w:rPr>
                <w:spacing w:val="-6"/>
                <w:sz w:val="20"/>
              </w:rPr>
              <w:t> </w:t>
            </w:r>
            <w:r>
              <w:rPr>
                <w:sz w:val="20"/>
              </w:rPr>
              <w:t>G23,</w:t>
            </w:r>
            <w:r>
              <w:rPr>
                <w:spacing w:val="-6"/>
                <w:sz w:val="20"/>
              </w:rPr>
              <w:t> </w:t>
            </w:r>
            <w:r>
              <w:rPr>
                <w:sz w:val="20"/>
              </w:rPr>
              <w:t>G23.0,</w:t>
            </w:r>
            <w:r>
              <w:rPr>
                <w:spacing w:val="-5"/>
                <w:sz w:val="20"/>
              </w:rPr>
              <w:t> </w:t>
            </w:r>
            <w:r>
              <w:rPr>
                <w:sz w:val="20"/>
              </w:rPr>
              <w:t>G23.1,</w:t>
            </w:r>
            <w:r>
              <w:rPr>
                <w:spacing w:val="-6"/>
                <w:sz w:val="20"/>
              </w:rPr>
              <w:t> </w:t>
            </w:r>
            <w:r>
              <w:rPr>
                <w:sz w:val="20"/>
              </w:rPr>
              <w:t>G23.2,</w:t>
            </w:r>
            <w:r>
              <w:rPr>
                <w:spacing w:val="-5"/>
                <w:sz w:val="20"/>
              </w:rPr>
              <w:t> </w:t>
            </w:r>
            <w:r>
              <w:rPr>
                <w:sz w:val="20"/>
              </w:rPr>
              <w:t>G23.3,</w:t>
            </w:r>
            <w:r>
              <w:rPr>
                <w:spacing w:val="-6"/>
                <w:sz w:val="20"/>
              </w:rPr>
              <w:t> </w:t>
            </w:r>
            <w:r>
              <w:rPr>
                <w:spacing w:val="-2"/>
                <w:sz w:val="20"/>
              </w:rPr>
              <w:t>G23.8,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G23.9,</w:t>
            </w:r>
            <w:r>
              <w:rPr>
                <w:spacing w:val="-4"/>
                <w:sz w:val="20"/>
              </w:rPr>
              <w:t> </w:t>
            </w:r>
            <w:r>
              <w:rPr>
                <w:sz w:val="20"/>
              </w:rPr>
              <w:t>G24.1,</w:t>
            </w:r>
            <w:r>
              <w:rPr>
                <w:spacing w:val="-6"/>
                <w:sz w:val="20"/>
              </w:rPr>
              <w:t> </w:t>
            </w:r>
            <w:r>
              <w:rPr>
                <w:sz w:val="20"/>
              </w:rPr>
              <w:t>G24.2,</w:t>
            </w:r>
            <w:r>
              <w:rPr>
                <w:spacing w:val="-4"/>
                <w:sz w:val="20"/>
              </w:rPr>
              <w:t> </w:t>
            </w:r>
            <w:r>
              <w:rPr>
                <w:sz w:val="20"/>
              </w:rPr>
              <w:t>G24.5,</w:t>
            </w:r>
            <w:r>
              <w:rPr>
                <w:spacing w:val="-6"/>
                <w:sz w:val="20"/>
              </w:rPr>
              <w:t> </w:t>
            </w:r>
            <w:r>
              <w:rPr>
                <w:sz w:val="20"/>
              </w:rPr>
              <w:t>G31.8,</w:t>
            </w:r>
            <w:r>
              <w:rPr>
                <w:spacing w:val="-4"/>
                <w:sz w:val="20"/>
              </w:rPr>
              <w:t> </w:t>
            </w:r>
            <w:r>
              <w:rPr>
                <w:spacing w:val="-2"/>
                <w:sz w:val="20"/>
              </w:rPr>
              <w:t>G31.9,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1"/>
              <w:rPr>
                <w:sz w:val="20"/>
              </w:rPr>
            </w:pPr>
            <w:r>
              <w:rPr>
                <w:sz w:val="20"/>
              </w:rPr>
              <w:t>G40.5,</w:t>
            </w:r>
            <w:r>
              <w:rPr>
                <w:spacing w:val="-6"/>
                <w:sz w:val="20"/>
              </w:rPr>
              <w:t> </w:t>
            </w:r>
            <w:r>
              <w:rPr>
                <w:sz w:val="20"/>
              </w:rPr>
              <w:t>G60,</w:t>
            </w:r>
            <w:r>
              <w:rPr>
                <w:spacing w:val="-6"/>
                <w:sz w:val="20"/>
              </w:rPr>
              <w:t> </w:t>
            </w:r>
            <w:r>
              <w:rPr>
                <w:sz w:val="20"/>
              </w:rPr>
              <w:t>G60.0,</w:t>
            </w:r>
            <w:r>
              <w:rPr>
                <w:spacing w:val="-5"/>
                <w:sz w:val="20"/>
              </w:rPr>
              <w:t> </w:t>
            </w:r>
            <w:r>
              <w:rPr>
                <w:sz w:val="20"/>
              </w:rPr>
              <w:t>G60.1,</w:t>
            </w:r>
            <w:r>
              <w:rPr>
                <w:spacing w:val="-6"/>
                <w:sz w:val="20"/>
              </w:rPr>
              <w:t> </w:t>
            </w:r>
            <w:r>
              <w:rPr>
                <w:sz w:val="20"/>
              </w:rPr>
              <w:t>G60.2,</w:t>
            </w:r>
            <w:r>
              <w:rPr>
                <w:spacing w:val="-5"/>
                <w:sz w:val="20"/>
              </w:rPr>
              <w:t> </w:t>
            </w:r>
            <w:r>
              <w:rPr>
                <w:sz w:val="20"/>
              </w:rPr>
              <w:t>G60.3,</w:t>
            </w:r>
            <w:r>
              <w:rPr>
                <w:spacing w:val="-6"/>
                <w:sz w:val="20"/>
              </w:rPr>
              <w:t> </w:t>
            </w:r>
            <w:r>
              <w:rPr>
                <w:spacing w:val="-2"/>
                <w:sz w:val="20"/>
              </w:rPr>
              <w:t>G60.8,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1"/>
              <w:rPr>
                <w:sz w:val="20"/>
              </w:rPr>
            </w:pPr>
            <w:r>
              <w:rPr>
                <w:sz w:val="20"/>
              </w:rPr>
              <w:t>G60.9,</w:t>
            </w:r>
            <w:r>
              <w:rPr>
                <w:spacing w:val="-6"/>
                <w:sz w:val="20"/>
              </w:rPr>
              <w:t> </w:t>
            </w:r>
            <w:r>
              <w:rPr>
                <w:sz w:val="20"/>
              </w:rPr>
              <w:t>G71,</w:t>
            </w:r>
            <w:r>
              <w:rPr>
                <w:spacing w:val="-6"/>
                <w:sz w:val="20"/>
              </w:rPr>
              <w:t> </w:t>
            </w:r>
            <w:r>
              <w:rPr>
                <w:sz w:val="20"/>
              </w:rPr>
              <w:t>G71.0,</w:t>
            </w:r>
            <w:r>
              <w:rPr>
                <w:spacing w:val="-5"/>
                <w:sz w:val="20"/>
              </w:rPr>
              <w:t> </w:t>
            </w:r>
            <w:r>
              <w:rPr>
                <w:sz w:val="20"/>
              </w:rPr>
              <w:t>G71.1,</w:t>
            </w:r>
            <w:r>
              <w:rPr>
                <w:spacing w:val="-6"/>
                <w:sz w:val="20"/>
              </w:rPr>
              <w:t> </w:t>
            </w:r>
            <w:r>
              <w:rPr>
                <w:sz w:val="20"/>
              </w:rPr>
              <w:t>G71.2,</w:t>
            </w:r>
            <w:r>
              <w:rPr>
                <w:spacing w:val="-5"/>
                <w:sz w:val="20"/>
              </w:rPr>
              <w:t> </w:t>
            </w:r>
            <w:r>
              <w:rPr>
                <w:sz w:val="20"/>
              </w:rPr>
              <w:t>G71.3,</w:t>
            </w:r>
            <w:r>
              <w:rPr>
                <w:spacing w:val="-6"/>
                <w:sz w:val="20"/>
              </w:rPr>
              <w:t> </w:t>
            </w:r>
            <w:r>
              <w:rPr>
                <w:spacing w:val="-2"/>
                <w:sz w:val="20"/>
              </w:rPr>
              <w:t>G71.8,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91"/>
              <w:rPr>
                <w:sz w:val="20"/>
              </w:rPr>
            </w:pPr>
            <w:r>
              <w:rPr>
                <w:sz w:val="20"/>
              </w:rPr>
              <w:t>G71.9,</w:t>
            </w:r>
            <w:r>
              <w:rPr>
                <w:spacing w:val="-6"/>
                <w:sz w:val="20"/>
              </w:rPr>
              <w:t> </w:t>
            </w:r>
            <w:r>
              <w:rPr>
                <w:sz w:val="20"/>
              </w:rPr>
              <w:t>G72,</w:t>
            </w:r>
            <w:r>
              <w:rPr>
                <w:spacing w:val="-6"/>
                <w:sz w:val="20"/>
              </w:rPr>
              <w:t> </w:t>
            </w:r>
            <w:r>
              <w:rPr>
                <w:sz w:val="20"/>
              </w:rPr>
              <w:t>G72.0,</w:t>
            </w:r>
            <w:r>
              <w:rPr>
                <w:spacing w:val="-5"/>
                <w:sz w:val="20"/>
              </w:rPr>
              <w:t> </w:t>
            </w:r>
            <w:r>
              <w:rPr>
                <w:sz w:val="20"/>
              </w:rPr>
              <w:t>G72.1,</w:t>
            </w:r>
            <w:r>
              <w:rPr>
                <w:spacing w:val="-6"/>
                <w:sz w:val="20"/>
              </w:rPr>
              <w:t> </w:t>
            </w:r>
            <w:r>
              <w:rPr>
                <w:sz w:val="20"/>
              </w:rPr>
              <w:t>G72.2,</w:t>
            </w:r>
            <w:r>
              <w:rPr>
                <w:spacing w:val="-5"/>
                <w:sz w:val="20"/>
              </w:rPr>
              <w:t> </w:t>
            </w:r>
            <w:r>
              <w:rPr>
                <w:sz w:val="20"/>
              </w:rPr>
              <w:t>G72.3,</w:t>
            </w:r>
            <w:r>
              <w:rPr>
                <w:spacing w:val="-6"/>
                <w:sz w:val="20"/>
              </w:rPr>
              <w:t> </w:t>
            </w:r>
            <w:r>
              <w:rPr>
                <w:spacing w:val="-2"/>
                <w:sz w:val="20"/>
              </w:rPr>
              <w:t>G72.4,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412"/>
              <w:rPr>
                <w:sz w:val="20"/>
              </w:rPr>
            </w:pPr>
            <w:r>
              <w:rPr>
                <w:sz w:val="20"/>
              </w:rPr>
              <w:t>G72.8,</w:t>
            </w:r>
            <w:r>
              <w:rPr>
                <w:spacing w:val="-4"/>
                <w:sz w:val="20"/>
              </w:rPr>
              <w:t> </w:t>
            </w:r>
            <w:r>
              <w:rPr>
                <w:sz w:val="20"/>
              </w:rPr>
              <w:t>G72.9,</w:t>
            </w:r>
            <w:r>
              <w:rPr>
                <w:spacing w:val="-6"/>
                <w:sz w:val="20"/>
              </w:rPr>
              <w:t> </w:t>
            </w:r>
            <w:r>
              <w:rPr>
                <w:sz w:val="20"/>
              </w:rPr>
              <w:t>N07.1,</w:t>
            </w:r>
            <w:r>
              <w:rPr>
                <w:spacing w:val="-4"/>
                <w:sz w:val="20"/>
              </w:rPr>
              <w:t> </w:t>
            </w:r>
            <w:r>
              <w:rPr>
                <w:sz w:val="20"/>
              </w:rPr>
              <w:t>N07.5,</w:t>
            </w:r>
            <w:r>
              <w:rPr>
                <w:spacing w:val="-6"/>
                <w:sz w:val="20"/>
              </w:rPr>
              <w:t> </w:t>
            </w:r>
            <w:r>
              <w:rPr>
                <w:sz w:val="20"/>
              </w:rPr>
              <w:t>N07.8,</w:t>
            </w:r>
            <w:r>
              <w:rPr>
                <w:spacing w:val="-4"/>
                <w:sz w:val="20"/>
              </w:rPr>
              <w:t> </w:t>
            </w:r>
            <w:r>
              <w:rPr>
                <w:spacing w:val="-2"/>
                <w:sz w:val="20"/>
              </w:rPr>
              <w:t>N07.9,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1" w:lineRule="exact"/>
              <w:ind w:left="412"/>
              <w:rPr>
                <w:sz w:val="20"/>
              </w:rPr>
            </w:pPr>
            <w:r>
              <w:rPr>
                <w:sz w:val="20"/>
              </w:rPr>
              <w:t>N25.1,</w:t>
            </w:r>
            <w:r>
              <w:rPr>
                <w:spacing w:val="-4"/>
                <w:sz w:val="20"/>
              </w:rPr>
              <w:t> </w:t>
            </w:r>
            <w:r>
              <w:rPr>
                <w:sz w:val="20"/>
              </w:rPr>
              <w:t>N25.8,</w:t>
            </w:r>
            <w:r>
              <w:rPr>
                <w:spacing w:val="-6"/>
                <w:sz w:val="20"/>
              </w:rPr>
              <w:t> </w:t>
            </w:r>
            <w:r>
              <w:rPr>
                <w:sz w:val="20"/>
              </w:rPr>
              <w:t>Q61.1,</w:t>
            </w:r>
            <w:r>
              <w:rPr>
                <w:spacing w:val="-4"/>
                <w:sz w:val="20"/>
              </w:rPr>
              <w:t> </w:t>
            </w:r>
            <w:r>
              <w:rPr>
                <w:sz w:val="20"/>
              </w:rPr>
              <w:t>Q61.2,</w:t>
            </w:r>
            <w:r>
              <w:rPr>
                <w:spacing w:val="-6"/>
                <w:sz w:val="20"/>
              </w:rPr>
              <w:t> </w:t>
            </w:r>
            <w:r>
              <w:rPr>
                <w:sz w:val="20"/>
              </w:rPr>
              <w:t>Q61.3,</w:t>
            </w:r>
            <w:r>
              <w:rPr>
                <w:spacing w:val="-4"/>
                <w:sz w:val="20"/>
              </w:rPr>
              <w:t> </w:t>
            </w:r>
            <w:r>
              <w:rPr>
                <w:spacing w:val="-2"/>
                <w:sz w:val="20"/>
              </w:rPr>
              <w:t>Q77.4,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Q78.0,</w:t>
            </w:r>
            <w:r>
              <w:rPr>
                <w:spacing w:val="-4"/>
                <w:sz w:val="20"/>
              </w:rPr>
              <w:t> </w:t>
            </w:r>
            <w:r>
              <w:rPr>
                <w:sz w:val="20"/>
              </w:rPr>
              <w:t>Q79.6,</w:t>
            </w:r>
            <w:r>
              <w:rPr>
                <w:spacing w:val="-6"/>
                <w:sz w:val="20"/>
              </w:rPr>
              <w:t> </w:t>
            </w:r>
            <w:r>
              <w:rPr>
                <w:sz w:val="20"/>
              </w:rPr>
              <w:t>Q85.0,</w:t>
            </w:r>
            <w:r>
              <w:rPr>
                <w:spacing w:val="-4"/>
                <w:sz w:val="20"/>
              </w:rPr>
              <w:t> </w:t>
            </w:r>
            <w:r>
              <w:rPr>
                <w:sz w:val="20"/>
              </w:rPr>
              <w:t>Q85.1,</w:t>
            </w:r>
            <w:r>
              <w:rPr>
                <w:spacing w:val="-6"/>
                <w:sz w:val="20"/>
              </w:rPr>
              <w:t> </w:t>
            </w:r>
            <w:r>
              <w:rPr>
                <w:sz w:val="20"/>
              </w:rPr>
              <w:t>Q85.8,</w:t>
            </w:r>
            <w:r>
              <w:rPr>
                <w:spacing w:val="-4"/>
                <w:sz w:val="20"/>
              </w:rPr>
              <w:t> </w:t>
            </w:r>
            <w:r>
              <w:rPr>
                <w:spacing w:val="-2"/>
                <w:sz w:val="20"/>
              </w:rPr>
              <w:t>Q85.9,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Q87.1,</w:t>
            </w:r>
            <w:r>
              <w:rPr>
                <w:spacing w:val="-4"/>
                <w:sz w:val="20"/>
              </w:rPr>
              <w:t> </w:t>
            </w:r>
            <w:r>
              <w:rPr>
                <w:sz w:val="20"/>
              </w:rPr>
              <w:t>Q87.2,</w:t>
            </w:r>
            <w:r>
              <w:rPr>
                <w:spacing w:val="-6"/>
                <w:sz w:val="20"/>
              </w:rPr>
              <w:t> </w:t>
            </w:r>
            <w:r>
              <w:rPr>
                <w:sz w:val="20"/>
              </w:rPr>
              <w:t>Q87.3,</w:t>
            </w:r>
            <w:r>
              <w:rPr>
                <w:spacing w:val="-4"/>
                <w:sz w:val="20"/>
              </w:rPr>
              <w:t> </w:t>
            </w:r>
            <w:r>
              <w:rPr>
                <w:sz w:val="20"/>
              </w:rPr>
              <w:t>Q87.4,</w:t>
            </w:r>
            <w:r>
              <w:rPr>
                <w:spacing w:val="-6"/>
                <w:sz w:val="20"/>
              </w:rPr>
              <w:t> </w:t>
            </w:r>
            <w:r>
              <w:rPr>
                <w:sz w:val="20"/>
              </w:rPr>
              <w:t>Q87.8,</w:t>
            </w:r>
            <w:r>
              <w:rPr>
                <w:spacing w:val="-4"/>
                <w:sz w:val="20"/>
              </w:rPr>
              <w:t> </w:t>
            </w:r>
            <w:r>
              <w:rPr>
                <w:spacing w:val="-2"/>
                <w:sz w:val="20"/>
              </w:rPr>
              <w:t>Q89.7,</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412"/>
              <w:rPr>
                <w:sz w:val="20"/>
              </w:rPr>
            </w:pPr>
            <w:r>
              <w:rPr>
                <w:sz w:val="20"/>
              </w:rPr>
              <w:t>Q89.8,</w:t>
            </w:r>
            <w:r>
              <w:rPr>
                <w:spacing w:val="-4"/>
                <w:sz w:val="20"/>
              </w:rPr>
              <w:t> </w:t>
            </w:r>
            <w:r>
              <w:rPr>
                <w:sz w:val="20"/>
              </w:rPr>
              <w:t>Q90.0,</w:t>
            </w:r>
            <w:r>
              <w:rPr>
                <w:spacing w:val="-6"/>
                <w:sz w:val="20"/>
              </w:rPr>
              <w:t> </w:t>
            </w:r>
            <w:r>
              <w:rPr>
                <w:sz w:val="20"/>
              </w:rPr>
              <w:t>Q90.1,</w:t>
            </w:r>
            <w:r>
              <w:rPr>
                <w:spacing w:val="-4"/>
                <w:sz w:val="20"/>
              </w:rPr>
              <w:t> </w:t>
            </w:r>
            <w:r>
              <w:rPr>
                <w:sz w:val="20"/>
              </w:rPr>
              <w:t>Q90.2,</w:t>
            </w:r>
            <w:r>
              <w:rPr>
                <w:spacing w:val="-6"/>
                <w:sz w:val="20"/>
              </w:rPr>
              <w:t> </w:t>
            </w:r>
            <w:r>
              <w:rPr>
                <w:sz w:val="20"/>
              </w:rPr>
              <w:t>Q90.9,</w:t>
            </w:r>
            <w:r>
              <w:rPr>
                <w:spacing w:val="-4"/>
                <w:sz w:val="20"/>
              </w:rPr>
              <w:t> </w:t>
            </w:r>
            <w:r>
              <w:rPr>
                <w:spacing w:val="-2"/>
                <w:sz w:val="20"/>
              </w:rPr>
              <w:t>Q91.3,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91"/>
              <w:rPr>
                <w:sz w:val="20"/>
              </w:rPr>
            </w:pPr>
            <w:r>
              <w:rPr>
                <w:sz w:val="20"/>
              </w:rPr>
              <w:t>Q91.7,</w:t>
            </w:r>
            <w:r>
              <w:rPr>
                <w:spacing w:val="-6"/>
                <w:sz w:val="20"/>
              </w:rPr>
              <w:t> </w:t>
            </w:r>
            <w:r>
              <w:rPr>
                <w:sz w:val="20"/>
              </w:rPr>
              <w:t>Q92.8,</w:t>
            </w:r>
            <w:r>
              <w:rPr>
                <w:spacing w:val="-7"/>
                <w:sz w:val="20"/>
              </w:rPr>
              <w:t> </w:t>
            </w:r>
            <w:r>
              <w:rPr>
                <w:sz w:val="20"/>
              </w:rPr>
              <w:t>Q96,</w:t>
            </w:r>
            <w:r>
              <w:rPr>
                <w:spacing w:val="-5"/>
                <w:sz w:val="20"/>
              </w:rPr>
              <w:t> </w:t>
            </w:r>
            <w:r>
              <w:rPr>
                <w:sz w:val="20"/>
              </w:rPr>
              <w:t>Q96.0,</w:t>
            </w:r>
            <w:r>
              <w:rPr>
                <w:spacing w:val="-5"/>
                <w:sz w:val="20"/>
              </w:rPr>
              <w:t> </w:t>
            </w:r>
            <w:r>
              <w:rPr>
                <w:sz w:val="20"/>
              </w:rPr>
              <w:t>Q96.1,</w:t>
            </w:r>
            <w:r>
              <w:rPr>
                <w:spacing w:val="-5"/>
                <w:sz w:val="20"/>
              </w:rPr>
              <w:t> </w:t>
            </w:r>
            <w:r>
              <w:rPr>
                <w:sz w:val="20"/>
              </w:rPr>
              <w:t>Q96.2,</w:t>
            </w:r>
            <w:r>
              <w:rPr>
                <w:spacing w:val="-6"/>
                <w:sz w:val="20"/>
              </w:rPr>
              <w:t> </w:t>
            </w:r>
            <w:r>
              <w:rPr>
                <w:spacing w:val="-2"/>
                <w:sz w:val="20"/>
              </w:rPr>
              <w:t>Q96.3,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Q96.4,</w:t>
            </w:r>
            <w:r>
              <w:rPr>
                <w:spacing w:val="-4"/>
                <w:sz w:val="20"/>
              </w:rPr>
              <w:t> </w:t>
            </w:r>
            <w:r>
              <w:rPr>
                <w:sz w:val="20"/>
              </w:rPr>
              <w:t>Q96.8,</w:t>
            </w:r>
            <w:r>
              <w:rPr>
                <w:spacing w:val="-6"/>
                <w:sz w:val="20"/>
              </w:rPr>
              <w:t> </w:t>
            </w:r>
            <w:r>
              <w:rPr>
                <w:sz w:val="20"/>
              </w:rPr>
              <w:t>Q96.9,</w:t>
            </w:r>
            <w:r>
              <w:rPr>
                <w:spacing w:val="-4"/>
                <w:sz w:val="20"/>
              </w:rPr>
              <w:t> </w:t>
            </w:r>
            <w:r>
              <w:rPr>
                <w:sz w:val="20"/>
              </w:rPr>
              <w:t>Q97.0,</w:t>
            </w:r>
            <w:r>
              <w:rPr>
                <w:spacing w:val="-6"/>
                <w:sz w:val="20"/>
              </w:rPr>
              <w:t> </w:t>
            </w:r>
            <w:r>
              <w:rPr>
                <w:sz w:val="20"/>
              </w:rPr>
              <w:t>Q97.1,</w:t>
            </w:r>
            <w:r>
              <w:rPr>
                <w:spacing w:val="-4"/>
                <w:sz w:val="20"/>
              </w:rPr>
              <w:t> </w:t>
            </w:r>
            <w:r>
              <w:rPr>
                <w:spacing w:val="-2"/>
                <w:sz w:val="20"/>
              </w:rPr>
              <w:t>Q97.2,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Q97.3,</w:t>
            </w:r>
            <w:r>
              <w:rPr>
                <w:spacing w:val="-4"/>
                <w:sz w:val="20"/>
              </w:rPr>
              <w:t> </w:t>
            </w:r>
            <w:r>
              <w:rPr>
                <w:sz w:val="20"/>
              </w:rPr>
              <w:t>Q97.8,</w:t>
            </w:r>
            <w:r>
              <w:rPr>
                <w:spacing w:val="-6"/>
                <w:sz w:val="20"/>
              </w:rPr>
              <w:t> </w:t>
            </w:r>
            <w:r>
              <w:rPr>
                <w:sz w:val="20"/>
              </w:rPr>
              <w:t>Q97.9,</w:t>
            </w:r>
            <w:r>
              <w:rPr>
                <w:spacing w:val="-4"/>
                <w:sz w:val="20"/>
              </w:rPr>
              <w:t> </w:t>
            </w:r>
            <w:r>
              <w:rPr>
                <w:sz w:val="20"/>
              </w:rPr>
              <w:t>Q98.0,</w:t>
            </w:r>
            <w:r>
              <w:rPr>
                <w:spacing w:val="-6"/>
                <w:sz w:val="20"/>
              </w:rPr>
              <w:t> </w:t>
            </w:r>
            <w:r>
              <w:rPr>
                <w:sz w:val="20"/>
              </w:rPr>
              <w:t>Q98.1,</w:t>
            </w:r>
            <w:r>
              <w:rPr>
                <w:spacing w:val="-4"/>
                <w:sz w:val="20"/>
              </w:rPr>
              <w:t> </w:t>
            </w:r>
            <w:r>
              <w:rPr>
                <w:spacing w:val="-2"/>
                <w:sz w:val="20"/>
              </w:rPr>
              <w:t>Q98.2,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Q98.3,</w:t>
            </w:r>
            <w:r>
              <w:rPr>
                <w:spacing w:val="-4"/>
                <w:sz w:val="20"/>
              </w:rPr>
              <w:t> </w:t>
            </w:r>
            <w:r>
              <w:rPr>
                <w:sz w:val="20"/>
              </w:rPr>
              <w:t>Q98.4,</w:t>
            </w:r>
            <w:r>
              <w:rPr>
                <w:spacing w:val="-6"/>
                <w:sz w:val="20"/>
              </w:rPr>
              <w:t> </w:t>
            </w:r>
            <w:r>
              <w:rPr>
                <w:sz w:val="20"/>
              </w:rPr>
              <w:t>Q98.5,</w:t>
            </w:r>
            <w:r>
              <w:rPr>
                <w:spacing w:val="-4"/>
                <w:sz w:val="20"/>
              </w:rPr>
              <w:t> </w:t>
            </w:r>
            <w:r>
              <w:rPr>
                <w:sz w:val="20"/>
              </w:rPr>
              <w:t>Q98.6,</w:t>
            </w:r>
            <w:r>
              <w:rPr>
                <w:spacing w:val="-6"/>
                <w:sz w:val="20"/>
              </w:rPr>
              <w:t> </w:t>
            </w:r>
            <w:r>
              <w:rPr>
                <w:sz w:val="20"/>
              </w:rPr>
              <w:t>Q98.7,</w:t>
            </w:r>
            <w:r>
              <w:rPr>
                <w:spacing w:val="-4"/>
                <w:sz w:val="20"/>
              </w:rPr>
              <w:t> </w:t>
            </w:r>
            <w:r>
              <w:rPr>
                <w:spacing w:val="-2"/>
                <w:sz w:val="20"/>
              </w:rPr>
              <w:t>Q98.8,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48" w:type="dxa"/>
          </w:tcPr>
          <w:p>
            <w:pPr>
              <w:pStyle w:val="TableParagraph"/>
              <w:rPr>
                <w:sz w:val="18"/>
              </w:rPr>
            </w:pPr>
          </w:p>
        </w:tc>
        <w:tc>
          <w:tcPr>
            <w:tcW w:w="4418" w:type="dxa"/>
          </w:tcPr>
          <w:p>
            <w:pPr>
              <w:pStyle w:val="TableParagraph"/>
              <w:spacing w:line="226" w:lineRule="exact"/>
              <w:ind w:left="217"/>
              <w:rPr>
                <w:sz w:val="20"/>
              </w:rPr>
            </w:pPr>
            <w:r>
              <w:rPr>
                <w:sz w:val="20"/>
              </w:rPr>
              <w:t>Q98.9,</w:t>
            </w:r>
            <w:r>
              <w:rPr>
                <w:spacing w:val="-6"/>
                <w:sz w:val="20"/>
              </w:rPr>
              <w:t> </w:t>
            </w:r>
            <w:r>
              <w:rPr>
                <w:sz w:val="20"/>
              </w:rPr>
              <w:t>Q99,</w:t>
            </w:r>
            <w:r>
              <w:rPr>
                <w:spacing w:val="-6"/>
                <w:sz w:val="20"/>
              </w:rPr>
              <w:t> </w:t>
            </w:r>
            <w:r>
              <w:rPr>
                <w:sz w:val="20"/>
              </w:rPr>
              <w:t>Q99.0,</w:t>
            </w:r>
            <w:r>
              <w:rPr>
                <w:spacing w:val="-5"/>
                <w:sz w:val="20"/>
              </w:rPr>
              <w:t> </w:t>
            </w:r>
            <w:r>
              <w:rPr>
                <w:sz w:val="20"/>
              </w:rPr>
              <w:t>Q99.1,</w:t>
            </w:r>
            <w:r>
              <w:rPr>
                <w:spacing w:val="-6"/>
                <w:sz w:val="20"/>
              </w:rPr>
              <w:t> </w:t>
            </w:r>
            <w:r>
              <w:rPr>
                <w:sz w:val="20"/>
              </w:rPr>
              <w:t>Q99.2,</w:t>
            </w:r>
            <w:r>
              <w:rPr>
                <w:spacing w:val="-5"/>
                <w:sz w:val="20"/>
              </w:rPr>
              <w:t> </w:t>
            </w:r>
            <w:r>
              <w:rPr>
                <w:sz w:val="20"/>
              </w:rPr>
              <w:t>Q99.8,</w:t>
            </w:r>
            <w:r>
              <w:rPr>
                <w:spacing w:val="-6"/>
                <w:sz w:val="20"/>
              </w:rPr>
              <w:t> </w:t>
            </w:r>
            <w:r>
              <w:rPr>
                <w:spacing w:val="-4"/>
                <w:sz w:val="20"/>
              </w:rPr>
              <w:t>Q99.9</w:t>
            </w:r>
          </w:p>
        </w:tc>
        <w:tc>
          <w:tcPr>
            <w:tcW w:w="3736"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st36.004</w:t>
            </w:r>
          </w:p>
        </w:tc>
        <w:tc>
          <w:tcPr>
            <w:tcW w:w="707" w:type="dxa"/>
          </w:tcPr>
          <w:p>
            <w:pPr>
              <w:pStyle w:val="TableParagraph"/>
              <w:spacing w:line="215" w:lineRule="exact" w:before="45"/>
              <w:ind w:left="210"/>
              <w:rPr>
                <w:sz w:val="20"/>
              </w:rPr>
            </w:pPr>
            <w:r>
              <w:rPr>
                <w:spacing w:val="-5"/>
                <w:sz w:val="20"/>
              </w:rPr>
              <w:t>359</w:t>
            </w:r>
          </w:p>
        </w:tc>
        <w:tc>
          <w:tcPr>
            <w:tcW w:w="2548" w:type="dxa"/>
          </w:tcPr>
          <w:p>
            <w:pPr>
              <w:pStyle w:val="TableParagraph"/>
              <w:spacing w:line="215" w:lineRule="exact" w:before="45"/>
              <w:ind w:left="192"/>
              <w:rPr>
                <w:sz w:val="20"/>
              </w:rPr>
            </w:pPr>
            <w:r>
              <w:rPr>
                <w:sz w:val="20"/>
              </w:rPr>
              <w:t>Факторы,</w:t>
            </w:r>
            <w:r>
              <w:rPr>
                <w:spacing w:val="-9"/>
                <w:sz w:val="20"/>
              </w:rPr>
              <w:t> </w:t>
            </w:r>
            <w:r>
              <w:rPr>
                <w:sz w:val="20"/>
              </w:rPr>
              <w:t>влияющие</w:t>
            </w:r>
            <w:r>
              <w:rPr>
                <w:spacing w:val="-9"/>
                <w:sz w:val="20"/>
              </w:rPr>
              <w:t> </w:t>
            </w:r>
            <w:r>
              <w:rPr>
                <w:spacing w:val="-5"/>
                <w:sz w:val="20"/>
              </w:rPr>
              <w:t>на</w:t>
            </w:r>
          </w:p>
        </w:tc>
        <w:tc>
          <w:tcPr>
            <w:tcW w:w="4418" w:type="dxa"/>
          </w:tcPr>
          <w:p>
            <w:pPr>
              <w:pStyle w:val="TableParagraph"/>
              <w:spacing w:line="215" w:lineRule="exact" w:before="45"/>
              <w:ind w:left="297"/>
              <w:rPr>
                <w:sz w:val="20"/>
              </w:rPr>
            </w:pPr>
            <w:r>
              <w:rPr>
                <w:sz w:val="20"/>
              </w:rPr>
              <w:t>D89.3,</w:t>
            </w:r>
            <w:r>
              <w:rPr>
                <w:spacing w:val="-5"/>
                <w:sz w:val="20"/>
              </w:rPr>
              <w:t> </w:t>
            </w:r>
            <w:r>
              <w:rPr>
                <w:sz w:val="20"/>
              </w:rPr>
              <w:t>R52,</w:t>
            </w:r>
            <w:r>
              <w:rPr>
                <w:spacing w:val="-4"/>
                <w:sz w:val="20"/>
              </w:rPr>
              <w:t> </w:t>
            </w:r>
            <w:r>
              <w:rPr>
                <w:sz w:val="20"/>
              </w:rPr>
              <w:t>R52.0,</w:t>
            </w:r>
            <w:r>
              <w:rPr>
                <w:spacing w:val="-7"/>
                <w:sz w:val="20"/>
              </w:rPr>
              <w:t> </w:t>
            </w:r>
            <w:r>
              <w:rPr>
                <w:sz w:val="20"/>
              </w:rPr>
              <w:t>R52.1,</w:t>
            </w:r>
            <w:r>
              <w:rPr>
                <w:spacing w:val="-4"/>
                <w:sz w:val="20"/>
              </w:rPr>
              <w:t> </w:t>
            </w:r>
            <w:r>
              <w:rPr>
                <w:sz w:val="20"/>
              </w:rPr>
              <w:t>R52.2,</w:t>
            </w:r>
            <w:r>
              <w:rPr>
                <w:spacing w:val="-5"/>
                <w:sz w:val="20"/>
              </w:rPr>
              <w:t> </w:t>
            </w:r>
            <w:r>
              <w:rPr>
                <w:sz w:val="20"/>
              </w:rPr>
              <w:t>R52.9,</w:t>
            </w:r>
            <w:r>
              <w:rPr>
                <w:spacing w:val="-4"/>
                <w:sz w:val="20"/>
              </w:rPr>
              <w:t> R53,</w:t>
            </w:r>
          </w:p>
        </w:tc>
        <w:tc>
          <w:tcPr>
            <w:tcW w:w="3736" w:type="dxa"/>
          </w:tcPr>
          <w:p>
            <w:pPr>
              <w:pStyle w:val="TableParagraph"/>
              <w:spacing w:line="215" w:lineRule="exact" w:before="45"/>
              <w:ind w:left="1601"/>
              <w:rPr>
                <w:sz w:val="20"/>
              </w:rPr>
            </w:pPr>
            <w:r>
              <w:rPr>
                <w:w w:val="99"/>
                <w:sz w:val="20"/>
              </w:rPr>
              <w:t>-</w:t>
            </w:r>
          </w:p>
        </w:tc>
        <w:tc>
          <w:tcPr>
            <w:tcW w:w="1660" w:type="dxa"/>
          </w:tcPr>
          <w:p>
            <w:pPr>
              <w:pStyle w:val="TableParagraph"/>
              <w:spacing w:line="215" w:lineRule="exact" w:before="45"/>
              <w:ind w:left="731"/>
              <w:rPr>
                <w:sz w:val="20"/>
              </w:rPr>
            </w:pPr>
            <w:r>
              <w:rPr>
                <w:w w:val="99"/>
                <w:sz w:val="20"/>
              </w:rPr>
              <w:t>-</w:t>
            </w:r>
          </w:p>
        </w:tc>
        <w:tc>
          <w:tcPr>
            <w:tcW w:w="1261" w:type="dxa"/>
          </w:tcPr>
          <w:p>
            <w:pPr>
              <w:pStyle w:val="TableParagraph"/>
              <w:spacing w:line="215" w:lineRule="exact" w:before="45"/>
              <w:ind w:left="845" w:right="41"/>
              <w:jc w:val="center"/>
              <w:rPr>
                <w:sz w:val="20"/>
              </w:rPr>
            </w:pPr>
            <w:r>
              <w:rPr>
                <w:spacing w:val="-4"/>
                <w:sz w:val="20"/>
              </w:rPr>
              <w:t>0,32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1" w:lineRule="exact"/>
              <w:ind w:left="192"/>
              <w:rPr>
                <w:sz w:val="20"/>
              </w:rPr>
            </w:pPr>
            <w:r>
              <w:rPr>
                <w:sz w:val="20"/>
              </w:rPr>
              <w:t>состояние</w:t>
            </w:r>
            <w:r>
              <w:rPr>
                <w:spacing w:val="-12"/>
                <w:sz w:val="20"/>
              </w:rPr>
              <w:t> </w:t>
            </w:r>
            <w:r>
              <w:rPr>
                <w:spacing w:val="-2"/>
                <w:sz w:val="20"/>
              </w:rPr>
              <w:t>здоровья</w:t>
            </w:r>
          </w:p>
        </w:tc>
        <w:tc>
          <w:tcPr>
            <w:tcW w:w="4418" w:type="dxa"/>
          </w:tcPr>
          <w:p>
            <w:pPr>
              <w:pStyle w:val="TableParagraph"/>
              <w:spacing w:line="211" w:lineRule="exact"/>
              <w:ind w:left="378"/>
              <w:rPr>
                <w:sz w:val="20"/>
              </w:rPr>
            </w:pPr>
            <w:r>
              <w:rPr>
                <w:sz w:val="20"/>
              </w:rPr>
              <w:t>R60,</w:t>
            </w:r>
            <w:r>
              <w:rPr>
                <w:spacing w:val="-5"/>
                <w:sz w:val="20"/>
              </w:rPr>
              <w:t> </w:t>
            </w:r>
            <w:r>
              <w:rPr>
                <w:sz w:val="20"/>
              </w:rPr>
              <w:t>R60.0,</w:t>
            </w:r>
            <w:r>
              <w:rPr>
                <w:spacing w:val="-4"/>
                <w:sz w:val="20"/>
              </w:rPr>
              <w:t> </w:t>
            </w:r>
            <w:r>
              <w:rPr>
                <w:sz w:val="20"/>
              </w:rPr>
              <w:t>R60.1,</w:t>
            </w:r>
            <w:r>
              <w:rPr>
                <w:spacing w:val="-5"/>
                <w:sz w:val="20"/>
              </w:rPr>
              <w:t> </w:t>
            </w:r>
            <w:r>
              <w:rPr>
                <w:sz w:val="20"/>
              </w:rPr>
              <w:t>R60.9,</w:t>
            </w:r>
            <w:r>
              <w:rPr>
                <w:spacing w:val="-4"/>
                <w:sz w:val="20"/>
              </w:rPr>
              <w:t> </w:t>
            </w:r>
            <w:r>
              <w:rPr>
                <w:sz w:val="20"/>
              </w:rPr>
              <w:t>R64,</w:t>
            </w:r>
            <w:r>
              <w:rPr>
                <w:spacing w:val="-5"/>
                <w:sz w:val="20"/>
              </w:rPr>
              <w:t> </w:t>
            </w:r>
            <w:r>
              <w:rPr>
                <w:sz w:val="20"/>
              </w:rPr>
              <w:t>R65,</w:t>
            </w:r>
            <w:r>
              <w:rPr>
                <w:spacing w:val="-4"/>
                <w:sz w:val="20"/>
              </w:rPr>
              <w:t> </w:t>
            </w:r>
            <w:r>
              <w:rPr>
                <w:spacing w:val="-2"/>
                <w:sz w:val="20"/>
              </w:rPr>
              <w:t>R65.0,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1" w:lineRule="exact"/>
              <w:ind w:left="192"/>
              <w:rPr>
                <w:sz w:val="20"/>
              </w:rPr>
            </w:pPr>
            <w:r>
              <w:rPr>
                <w:sz w:val="20"/>
              </w:rPr>
              <w:t>населения</w:t>
            </w:r>
            <w:r>
              <w:rPr>
                <w:spacing w:val="-8"/>
                <w:sz w:val="20"/>
              </w:rPr>
              <w:t> </w:t>
            </w:r>
            <w:r>
              <w:rPr>
                <w:sz w:val="20"/>
              </w:rPr>
              <w:t>и</w:t>
            </w:r>
            <w:r>
              <w:rPr>
                <w:spacing w:val="-8"/>
                <w:sz w:val="20"/>
              </w:rPr>
              <w:t> </w:t>
            </w:r>
            <w:r>
              <w:rPr>
                <w:sz w:val="20"/>
              </w:rPr>
              <w:t>обращения</w:t>
            </w:r>
            <w:r>
              <w:rPr>
                <w:spacing w:val="-6"/>
                <w:sz w:val="20"/>
              </w:rPr>
              <w:t> </w:t>
            </w:r>
            <w:r>
              <w:rPr>
                <w:spacing w:val="-10"/>
                <w:sz w:val="20"/>
              </w:rPr>
              <w:t>в</w:t>
            </w:r>
          </w:p>
        </w:tc>
        <w:tc>
          <w:tcPr>
            <w:tcW w:w="4418" w:type="dxa"/>
          </w:tcPr>
          <w:p>
            <w:pPr>
              <w:pStyle w:val="TableParagraph"/>
              <w:spacing w:line="211" w:lineRule="exact"/>
              <w:ind w:left="229"/>
              <w:rPr>
                <w:sz w:val="20"/>
              </w:rPr>
            </w:pPr>
            <w:r>
              <w:rPr>
                <w:sz w:val="20"/>
              </w:rPr>
              <w:t>R65.1,</w:t>
            </w:r>
            <w:r>
              <w:rPr>
                <w:spacing w:val="-5"/>
                <w:sz w:val="20"/>
              </w:rPr>
              <w:t> </w:t>
            </w:r>
            <w:r>
              <w:rPr>
                <w:sz w:val="20"/>
              </w:rPr>
              <w:t>R65.2,</w:t>
            </w:r>
            <w:r>
              <w:rPr>
                <w:spacing w:val="-4"/>
                <w:sz w:val="20"/>
              </w:rPr>
              <w:t> </w:t>
            </w:r>
            <w:r>
              <w:rPr>
                <w:sz w:val="20"/>
              </w:rPr>
              <w:t>R65.3,</w:t>
            </w:r>
            <w:r>
              <w:rPr>
                <w:spacing w:val="-4"/>
                <w:sz w:val="20"/>
              </w:rPr>
              <w:t> </w:t>
            </w:r>
            <w:r>
              <w:rPr>
                <w:sz w:val="20"/>
              </w:rPr>
              <w:t>R65.9,</w:t>
            </w:r>
            <w:r>
              <w:rPr>
                <w:spacing w:val="-8"/>
                <w:sz w:val="20"/>
              </w:rPr>
              <w:t> </w:t>
            </w:r>
            <w:r>
              <w:rPr>
                <w:sz w:val="20"/>
              </w:rPr>
              <w:t>R68,</w:t>
            </w:r>
            <w:r>
              <w:rPr>
                <w:spacing w:val="-5"/>
                <w:sz w:val="20"/>
              </w:rPr>
              <w:t> </w:t>
            </w:r>
            <w:r>
              <w:rPr>
                <w:sz w:val="20"/>
              </w:rPr>
              <w:t>R68.0,</w:t>
            </w:r>
            <w:r>
              <w:rPr>
                <w:spacing w:val="-4"/>
                <w:sz w:val="20"/>
              </w:rPr>
              <w:t> </w:t>
            </w:r>
            <w:r>
              <w:rPr>
                <w:spacing w:val="-2"/>
                <w:sz w:val="20"/>
              </w:rPr>
              <w:t>R68.2,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0" w:lineRule="exact"/>
              <w:ind w:left="192"/>
              <w:rPr>
                <w:sz w:val="20"/>
              </w:rPr>
            </w:pPr>
            <w:r>
              <w:rPr>
                <w:spacing w:val="-2"/>
                <w:sz w:val="20"/>
              </w:rPr>
              <w:t>учреждения</w:t>
            </w:r>
          </w:p>
        </w:tc>
        <w:tc>
          <w:tcPr>
            <w:tcW w:w="4418" w:type="dxa"/>
          </w:tcPr>
          <w:p>
            <w:pPr>
              <w:pStyle w:val="TableParagraph"/>
              <w:spacing w:line="210" w:lineRule="exact"/>
              <w:ind w:left="378"/>
              <w:rPr>
                <w:sz w:val="20"/>
              </w:rPr>
            </w:pPr>
            <w:r>
              <w:rPr>
                <w:sz w:val="20"/>
              </w:rPr>
              <w:t>R68.8,</w:t>
            </w:r>
            <w:r>
              <w:rPr>
                <w:spacing w:val="-4"/>
                <w:sz w:val="20"/>
              </w:rPr>
              <w:t> </w:t>
            </w:r>
            <w:r>
              <w:rPr>
                <w:sz w:val="20"/>
              </w:rPr>
              <w:t>R69,</w:t>
            </w:r>
            <w:r>
              <w:rPr>
                <w:spacing w:val="-4"/>
                <w:sz w:val="20"/>
              </w:rPr>
              <w:t> </w:t>
            </w:r>
            <w:r>
              <w:rPr>
                <w:sz w:val="20"/>
              </w:rPr>
              <w:t>R70,</w:t>
            </w:r>
            <w:r>
              <w:rPr>
                <w:spacing w:val="-4"/>
                <w:sz w:val="20"/>
              </w:rPr>
              <w:t> </w:t>
            </w:r>
            <w:r>
              <w:rPr>
                <w:sz w:val="20"/>
              </w:rPr>
              <w:t>R70.0,</w:t>
            </w:r>
            <w:r>
              <w:rPr>
                <w:spacing w:val="-6"/>
                <w:sz w:val="20"/>
              </w:rPr>
              <w:t> </w:t>
            </w:r>
            <w:r>
              <w:rPr>
                <w:sz w:val="20"/>
              </w:rPr>
              <w:t>R70.1,</w:t>
            </w:r>
            <w:r>
              <w:rPr>
                <w:spacing w:val="-4"/>
                <w:sz w:val="20"/>
              </w:rPr>
              <w:t> </w:t>
            </w:r>
            <w:r>
              <w:rPr>
                <w:sz w:val="20"/>
              </w:rPr>
              <w:t>R74,</w:t>
            </w:r>
            <w:r>
              <w:rPr>
                <w:spacing w:val="-4"/>
                <w:sz w:val="20"/>
              </w:rPr>
              <w:t> </w:t>
            </w:r>
            <w:r>
              <w:rPr>
                <w:spacing w:val="-2"/>
                <w:sz w:val="20"/>
              </w:rPr>
              <w:t>R74.0,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09" w:lineRule="exact"/>
              <w:ind w:left="192"/>
              <w:rPr>
                <w:sz w:val="20"/>
              </w:rPr>
            </w:pPr>
            <w:r>
              <w:rPr>
                <w:spacing w:val="-2"/>
                <w:sz w:val="20"/>
              </w:rPr>
              <w:t>здравоохранения</w:t>
            </w:r>
          </w:p>
        </w:tc>
        <w:tc>
          <w:tcPr>
            <w:tcW w:w="4418" w:type="dxa"/>
          </w:tcPr>
          <w:p>
            <w:pPr>
              <w:pStyle w:val="TableParagraph"/>
              <w:spacing w:line="209" w:lineRule="exact"/>
              <w:ind w:left="229"/>
              <w:rPr>
                <w:sz w:val="20"/>
              </w:rPr>
            </w:pPr>
            <w:r>
              <w:rPr>
                <w:sz w:val="20"/>
              </w:rPr>
              <w:t>R74.8,</w:t>
            </w:r>
            <w:r>
              <w:rPr>
                <w:spacing w:val="-5"/>
                <w:sz w:val="20"/>
              </w:rPr>
              <w:t> </w:t>
            </w:r>
            <w:r>
              <w:rPr>
                <w:sz w:val="20"/>
              </w:rPr>
              <w:t>R74.9,</w:t>
            </w:r>
            <w:r>
              <w:rPr>
                <w:spacing w:val="-5"/>
                <w:sz w:val="20"/>
              </w:rPr>
              <w:t> </w:t>
            </w:r>
            <w:r>
              <w:rPr>
                <w:sz w:val="20"/>
              </w:rPr>
              <w:t>R76,</w:t>
            </w:r>
            <w:r>
              <w:rPr>
                <w:spacing w:val="-5"/>
                <w:sz w:val="20"/>
              </w:rPr>
              <w:t> </w:t>
            </w:r>
            <w:r>
              <w:rPr>
                <w:sz w:val="20"/>
              </w:rPr>
              <w:t>R76.0,</w:t>
            </w:r>
            <w:r>
              <w:rPr>
                <w:spacing w:val="-5"/>
                <w:sz w:val="20"/>
              </w:rPr>
              <w:t> </w:t>
            </w:r>
            <w:r>
              <w:rPr>
                <w:sz w:val="20"/>
              </w:rPr>
              <w:t>R76.1,</w:t>
            </w:r>
            <w:r>
              <w:rPr>
                <w:spacing w:val="-5"/>
                <w:sz w:val="20"/>
              </w:rPr>
              <w:t> </w:t>
            </w:r>
            <w:r>
              <w:rPr>
                <w:sz w:val="20"/>
              </w:rPr>
              <w:t>R76.2,</w:t>
            </w:r>
            <w:r>
              <w:rPr>
                <w:spacing w:val="-5"/>
                <w:sz w:val="20"/>
              </w:rPr>
              <w:t> </w:t>
            </w:r>
            <w:r>
              <w:rPr>
                <w:spacing w:val="-2"/>
                <w:sz w:val="20"/>
              </w:rPr>
              <w:t>R76.8,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229"/>
              <w:rPr>
                <w:sz w:val="20"/>
              </w:rPr>
            </w:pPr>
            <w:r>
              <w:rPr>
                <w:sz w:val="20"/>
              </w:rPr>
              <w:t>R76.9,</w:t>
            </w:r>
            <w:r>
              <w:rPr>
                <w:spacing w:val="-5"/>
                <w:sz w:val="20"/>
              </w:rPr>
              <w:t> </w:t>
            </w:r>
            <w:r>
              <w:rPr>
                <w:sz w:val="20"/>
              </w:rPr>
              <w:t>R77,</w:t>
            </w:r>
            <w:r>
              <w:rPr>
                <w:spacing w:val="-5"/>
                <w:sz w:val="20"/>
              </w:rPr>
              <w:t> </w:t>
            </w:r>
            <w:r>
              <w:rPr>
                <w:sz w:val="20"/>
              </w:rPr>
              <w:t>R77.0,</w:t>
            </w:r>
            <w:r>
              <w:rPr>
                <w:spacing w:val="-5"/>
                <w:sz w:val="20"/>
              </w:rPr>
              <w:t> </w:t>
            </w:r>
            <w:r>
              <w:rPr>
                <w:sz w:val="20"/>
              </w:rPr>
              <w:t>R77.1,</w:t>
            </w:r>
            <w:r>
              <w:rPr>
                <w:spacing w:val="-5"/>
                <w:sz w:val="20"/>
              </w:rPr>
              <w:t> </w:t>
            </w:r>
            <w:r>
              <w:rPr>
                <w:sz w:val="20"/>
              </w:rPr>
              <w:t>R77.2,</w:t>
            </w:r>
            <w:r>
              <w:rPr>
                <w:spacing w:val="-5"/>
                <w:sz w:val="20"/>
              </w:rPr>
              <w:t> </w:t>
            </w:r>
            <w:r>
              <w:rPr>
                <w:sz w:val="20"/>
              </w:rPr>
              <w:t>R77.8,</w:t>
            </w:r>
            <w:r>
              <w:rPr>
                <w:spacing w:val="-5"/>
                <w:sz w:val="20"/>
              </w:rPr>
              <w:t> </w:t>
            </w:r>
            <w:r>
              <w:rPr>
                <w:spacing w:val="-2"/>
                <w:sz w:val="20"/>
              </w:rPr>
              <w:t>R77.9,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390"/>
              <w:rPr>
                <w:sz w:val="20"/>
              </w:rPr>
            </w:pPr>
            <w:r>
              <w:rPr>
                <w:sz w:val="20"/>
              </w:rPr>
              <w:t>R79,</w:t>
            </w:r>
            <w:r>
              <w:rPr>
                <w:spacing w:val="-5"/>
                <w:sz w:val="20"/>
              </w:rPr>
              <w:t> </w:t>
            </w:r>
            <w:r>
              <w:rPr>
                <w:sz w:val="20"/>
              </w:rPr>
              <w:t>R79.0,</w:t>
            </w:r>
            <w:r>
              <w:rPr>
                <w:spacing w:val="-5"/>
                <w:sz w:val="20"/>
              </w:rPr>
              <w:t> </w:t>
            </w:r>
            <w:r>
              <w:rPr>
                <w:sz w:val="20"/>
              </w:rPr>
              <w:t>R79.8,</w:t>
            </w:r>
            <w:r>
              <w:rPr>
                <w:spacing w:val="-4"/>
                <w:sz w:val="20"/>
              </w:rPr>
              <w:t> </w:t>
            </w:r>
            <w:r>
              <w:rPr>
                <w:sz w:val="20"/>
              </w:rPr>
              <w:t>R79.9,</w:t>
            </w:r>
            <w:r>
              <w:rPr>
                <w:spacing w:val="-5"/>
                <w:sz w:val="20"/>
              </w:rPr>
              <w:t> </w:t>
            </w:r>
            <w:r>
              <w:rPr>
                <w:sz w:val="20"/>
              </w:rPr>
              <w:t>R99,</w:t>
            </w:r>
            <w:r>
              <w:rPr>
                <w:spacing w:val="-4"/>
                <w:sz w:val="20"/>
              </w:rPr>
              <w:t> </w:t>
            </w:r>
            <w:r>
              <w:rPr>
                <w:sz w:val="20"/>
              </w:rPr>
              <w:t>Z00,</w:t>
            </w:r>
            <w:r>
              <w:rPr>
                <w:spacing w:val="-5"/>
                <w:sz w:val="20"/>
              </w:rPr>
              <w:t> </w:t>
            </w:r>
            <w:r>
              <w:rPr>
                <w:spacing w:val="-2"/>
                <w:sz w:val="20"/>
              </w:rPr>
              <w:t>Z00.0,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3"/>
              <w:rPr>
                <w:sz w:val="20"/>
              </w:rPr>
            </w:pPr>
            <w:r>
              <w:rPr>
                <w:sz w:val="20"/>
              </w:rPr>
              <w:t>Z00.1,</w:t>
            </w:r>
            <w:r>
              <w:rPr>
                <w:spacing w:val="-6"/>
                <w:sz w:val="20"/>
              </w:rPr>
              <w:t> </w:t>
            </w:r>
            <w:r>
              <w:rPr>
                <w:sz w:val="20"/>
              </w:rPr>
              <w:t>Z00.2,</w:t>
            </w:r>
            <w:r>
              <w:rPr>
                <w:spacing w:val="-5"/>
                <w:sz w:val="20"/>
              </w:rPr>
              <w:t> </w:t>
            </w:r>
            <w:r>
              <w:rPr>
                <w:sz w:val="20"/>
              </w:rPr>
              <w:t>Z00.3,</w:t>
            </w:r>
            <w:r>
              <w:rPr>
                <w:spacing w:val="-5"/>
                <w:sz w:val="20"/>
              </w:rPr>
              <w:t> </w:t>
            </w:r>
            <w:r>
              <w:rPr>
                <w:sz w:val="20"/>
              </w:rPr>
              <w:t>Z00.4,</w:t>
            </w:r>
            <w:r>
              <w:rPr>
                <w:spacing w:val="-5"/>
                <w:sz w:val="20"/>
              </w:rPr>
              <w:t> </w:t>
            </w:r>
            <w:r>
              <w:rPr>
                <w:sz w:val="20"/>
              </w:rPr>
              <w:t>Z00.5,</w:t>
            </w:r>
            <w:r>
              <w:rPr>
                <w:spacing w:val="-5"/>
                <w:sz w:val="20"/>
              </w:rPr>
              <w:t> </w:t>
            </w:r>
            <w:r>
              <w:rPr>
                <w:sz w:val="20"/>
              </w:rPr>
              <w:t>Z00.6,</w:t>
            </w:r>
            <w:r>
              <w:rPr>
                <w:spacing w:val="-5"/>
                <w:sz w:val="20"/>
              </w:rPr>
              <w:t> </w:t>
            </w:r>
            <w:r>
              <w:rPr>
                <w:spacing w:val="-2"/>
                <w:sz w:val="20"/>
              </w:rPr>
              <w:t>Z00.8,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268"/>
              <w:rPr>
                <w:sz w:val="20"/>
              </w:rPr>
            </w:pPr>
            <w:r>
              <w:rPr>
                <w:sz w:val="20"/>
              </w:rPr>
              <w:t>Z01,</w:t>
            </w:r>
            <w:r>
              <w:rPr>
                <w:spacing w:val="-6"/>
                <w:sz w:val="20"/>
              </w:rPr>
              <w:t> </w:t>
            </w:r>
            <w:r>
              <w:rPr>
                <w:sz w:val="20"/>
              </w:rPr>
              <w:t>Z01.0,</w:t>
            </w:r>
            <w:r>
              <w:rPr>
                <w:spacing w:val="-5"/>
                <w:sz w:val="20"/>
              </w:rPr>
              <w:t> </w:t>
            </w:r>
            <w:r>
              <w:rPr>
                <w:sz w:val="20"/>
              </w:rPr>
              <w:t>Z01.1,</w:t>
            </w:r>
            <w:r>
              <w:rPr>
                <w:spacing w:val="-5"/>
                <w:sz w:val="20"/>
              </w:rPr>
              <w:t> </w:t>
            </w:r>
            <w:r>
              <w:rPr>
                <w:sz w:val="20"/>
              </w:rPr>
              <w:t>Z01.2,</w:t>
            </w:r>
            <w:r>
              <w:rPr>
                <w:spacing w:val="-5"/>
                <w:sz w:val="20"/>
              </w:rPr>
              <w:t> </w:t>
            </w:r>
            <w:r>
              <w:rPr>
                <w:sz w:val="20"/>
              </w:rPr>
              <w:t>Z01.3,</w:t>
            </w:r>
            <w:r>
              <w:rPr>
                <w:spacing w:val="-5"/>
                <w:sz w:val="20"/>
              </w:rPr>
              <w:t> </w:t>
            </w:r>
            <w:r>
              <w:rPr>
                <w:sz w:val="20"/>
              </w:rPr>
              <w:t>Z01.4,</w:t>
            </w:r>
            <w:r>
              <w:rPr>
                <w:spacing w:val="-5"/>
                <w:sz w:val="20"/>
              </w:rPr>
              <w:t> </w:t>
            </w:r>
            <w:r>
              <w:rPr>
                <w:spacing w:val="-2"/>
                <w:sz w:val="20"/>
              </w:rPr>
              <w:t>Z01.5,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5" w:lineRule="exact"/>
              <w:ind w:left="268"/>
              <w:rPr>
                <w:sz w:val="20"/>
              </w:rPr>
            </w:pPr>
            <w:r>
              <w:rPr>
                <w:sz w:val="20"/>
              </w:rPr>
              <w:t>Z01.6,</w:t>
            </w:r>
            <w:r>
              <w:rPr>
                <w:spacing w:val="-4"/>
                <w:sz w:val="20"/>
              </w:rPr>
              <w:t> </w:t>
            </w:r>
            <w:r>
              <w:rPr>
                <w:sz w:val="20"/>
              </w:rPr>
              <w:t>Z01.7,</w:t>
            </w:r>
            <w:r>
              <w:rPr>
                <w:spacing w:val="-4"/>
                <w:sz w:val="20"/>
              </w:rPr>
              <w:t> </w:t>
            </w:r>
            <w:r>
              <w:rPr>
                <w:sz w:val="20"/>
              </w:rPr>
              <w:t>Z01.8,</w:t>
            </w:r>
            <w:r>
              <w:rPr>
                <w:spacing w:val="-4"/>
                <w:sz w:val="20"/>
              </w:rPr>
              <w:t> </w:t>
            </w:r>
            <w:r>
              <w:rPr>
                <w:sz w:val="20"/>
              </w:rPr>
              <w:t>Z01.9,</w:t>
            </w:r>
            <w:r>
              <w:rPr>
                <w:spacing w:val="-4"/>
                <w:sz w:val="20"/>
              </w:rPr>
              <w:t> </w:t>
            </w:r>
            <w:r>
              <w:rPr>
                <w:sz w:val="20"/>
              </w:rPr>
              <w:t>Z02,</w:t>
            </w:r>
            <w:r>
              <w:rPr>
                <w:spacing w:val="-4"/>
                <w:sz w:val="20"/>
              </w:rPr>
              <w:t> </w:t>
            </w:r>
            <w:r>
              <w:rPr>
                <w:sz w:val="20"/>
              </w:rPr>
              <w:t>Z02.0,</w:t>
            </w:r>
            <w:r>
              <w:rPr>
                <w:spacing w:val="-6"/>
                <w:sz w:val="20"/>
              </w:rPr>
              <w:t> </w:t>
            </w:r>
            <w:r>
              <w:rPr>
                <w:spacing w:val="-2"/>
                <w:sz w:val="20"/>
              </w:rPr>
              <w:t>Z02.1,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7" w:right="0" w:firstLine="0"/>
        <w:jc w:val="left"/>
        <w:rPr>
          <w:sz w:val="20"/>
        </w:rPr>
      </w:pPr>
      <w:r>
        <w:rPr>
          <w:sz w:val="20"/>
        </w:rPr>
        <w:t>Z02.2,</w:t>
      </w:r>
      <w:r>
        <w:rPr>
          <w:spacing w:val="-6"/>
          <w:sz w:val="20"/>
        </w:rPr>
        <w:t> </w:t>
      </w:r>
      <w:r>
        <w:rPr>
          <w:sz w:val="20"/>
        </w:rPr>
        <w:t>Z02.3,</w:t>
      </w:r>
      <w:r>
        <w:rPr>
          <w:spacing w:val="-5"/>
          <w:sz w:val="20"/>
        </w:rPr>
        <w:t> </w:t>
      </w:r>
      <w:r>
        <w:rPr>
          <w:sz w:val="20"/>
        </w:rPr>
        <w:t>Z02.4,</w:t>
      </w:r>
      <w:r>
        <w:rPr>
          <w:spacing w:val="-5"/>
          <w:sz w:val="20"/>
        </w:rPr>
        <w:t> </w:t>
      </w:r>
      <w:r>
        <w:rPr>
          <w:sz w:val="20"/>
        </w:rPr>
        <w:t>Z02.5,</w:t>
      </w:r>
      <w:r>
        <w:rPr>
          <w:spacing w:val="-5"/>
          <w:sz w:val="20"/>
        </w:rPr>
        <w:t> </w:t>
      </w:r>
      <w:r>
        <w:rPr>
          <w:sz w:val="20"/>
        </w:rPr>
        <w:t>Z02.6,</w:t>
      </w:r>
      <w:r>
        <w:rPr>
          <w:spacing w:val="-5"/>
          <w:sz w:val="20"/>
        </w:rPr>
        <w:t> </w:t>
      </w:r>
      <w:r>
        <w:rPr>
          <w:sz w:val="20"/>
        </w:rPr>
        <w:t>Z02.7,</w:t>
      </w:r>
      <w:r>
        <w:rPr>
          <w:spacing w:val="-5"/>
          <w:sz w:val="20"/>
        </w:rPr>
        <w:t> </w:t>
      </w:r>
      <w:r>
        <w:rPr>
          <w:spacing w:val="-2"/>
          <w:sz w:val="20"/>
        </w:rPr>
        <w:t>Z02.8,</w:t>
      </w:r>
    </w:p>
    <w:p>
      <w:pPr>
        <w:spacing w:line="229" w:lineRule="exact" w:before="1"/>
        <w:ind w:left="4681" w:right="0" w:firstLine="0"/>
        <w:jc w:val="left"/>
        <w:rPr>
          <w:sz w:val="20"/>
        </w:rPr>
      </w:pPr>
      <w:r>
        <w:rPr>
          <w:sz w:val="20"/>
        </w:rPr>
        <w:t>Z02.9,</w:t>
      </w:r>
      <w:r>
        <w:rPr>
          <w:spacing w:val="-6"/>
          <w:sz w:val="20"/>
        </w:rPr>
        <w:t> </w:t>
      </w:r>
      <w:r>
        <w:rPr>
          <w:sz w:val="20"/>
        </w:rPr>
        <w:t>Z03,</w:t>
      </w:r>
      <w:r>
        <w:rPr>
          <w:spacing w:val="-5"/>
          <w:sz w:val="20"/>
        </w:rPr>
        <w:t> </w:t>
      </w:r>
      <w:r>
        <w:rPr>
          <w:sz w:val="20"/>
        </w:rPr>
        <w:t>Z03.0,</w:t>
      </w:r>
      <w:r>
        <w:rPr>
          <w:spacing w:val="-5"/>
          <w:sz w:val="20"/>
        </w:rPr>
        <w:t> </w:t>
      </w:r>
      <w:r>
        <w:rPr>
          <w:sz w:val="20"/>
        </w:rPr>
        <w:t>Z03.1,</w:t>
      </w:r>
      <w:r>
        <w:rPr>
          <w:spacing w:val="-5"/>
          <w:sz w:val="20"/>
        </w:rPr>
        <w:t> </w:t>
      </w:r>
      <w:r>
        <w:rPr>
          <w:sz w:val="20"/>
        </w:rPr>
        <w:t>Z03.2,</w:t>
      </w:r>
      <w:r>
        <w:rPr>
          <w:spacing w:val="-5"/>
          <w:sz w:val="20"/>
        </w:rPr>
        <w:t> </w:t>
      </w:r>
      <w:r>
        <w:rPr>
          <w:sz w:val="20"/>
        </w:rPr>
        <w:t>Z03.3,</w:t>
      </w:r>
      <w:r>
        <w:rPr>
          <w:spacing w:val="-5"/>
          <w:sz w:val="20"/>
        </w:rPr>
        <w:t> </w:t>
      </w:r>
      <w:r>
        <w:rPr>
          <w:spacing w:val="-2"/>
          <w:sz w:val="20"/>
        </w:rPr>
        <w:t>Z03.4,</w:t>
      </w:r>
    </w:p>
    <w:p>
      <w:pPr>
        <w:spacing w:line="229" w:lineRule="exact" w:before="0"/>
        <w:ind w:left="4681" w:right="0" w:firstLine="0"/>
        <w:jc w:val="left"/>
        <w:rPr>
          <w:sz w:val="20"/>
        </w:rPr>
      </w:pPr>
      <w:r>
        <w:rPr>
          <w:sz w:val="20"/>
        </w:rPr>
        <w:t>Z03.5,</w:t>
      </w:r>
      <w:r>
        <w:rPr>
          <w:spacing w:val="-5"/>
          <w:sz w:val="20"/>
        </w:rPr>
        <w:t> </w:t>
      </w:r>
      <w:r>
        <w:rPr>
          <w:sz w:val="20"/>
        </w:rPr>
        <w:t>Z03.6,</w:t>
      </w:r>
      <w:r>
        <w:rPr>
          <w:spacing w:val="-5"/>
          <w:sz w:val="20"/>
        </w:rPr>
        <w:t> </w:t>
      </w:r>
      <w:r>
        <w:rPr>
          <w:sz w:val="20"/>
        </w:rPr>
        <w:t>Z03.8,</w:t>
      </w:r>
      <w:r>
        <w:rPr>
          <w:spacing w:val="-4"/>
          <w:sz w:val="20"/>
        </w:rPr>
        <w:t> </w:t>
      </w:r>
      <w:r>
        <w:rPr>
          <w:sz w:val="20"/>
        </w:rPr>
        <w:t>Z03.9,</w:t>
      </w:r>
      <w:r>
        <w:rPr>
          <w:spacing w:val="-5"/>
          <w:sz w:val="20"/>
        </w:rPr>
        <w:t> </w:t>
      </w:r>
      <w:r>
        <w:rPr>
          <w:sz w:val="20"/>
        </w:rPr>
        <w:t>Z04,</w:t>
      </w:r>
      <w:r>
        <w:rPr>
          <w:spacing w:val="-5"/>
          <w:sz w:val="20"/>
        </w:rPr>
        <w:t> </w:t>
      </w:r>
      <w:r>
        <w:rPr>
          <w:sz w:val="20"/>
        </w:rPr>
        <w:t>Z04.0,</w:t>
      </w:r>
      <w:r>
        <w:rPr>
          <w:spacing w:val="-6"/>
          <w:sz w:val="20"/>
        </w:rPr>
        <w:t> </w:t>
      </w:r>
      <w:r>
        <w:rPr>
          <w:spacing w:val="-2"/>
          <w:sz w:val="20"/>
        </w:rPr>
        <w:t>Z04.1,</w:t>
      </w:r>
    </w:p>
    <w:p>
      <w:pPr>
        <w:spacing w:before="0"/>
        <w:ind w:left="4607" w:right="0" w:firstLine="0"/>
        <w:jc w:val="left"/>
        <w:rPr>
          <w:sz w:val="20"/>
        </w:rPr>
      </w:pPr>
      <w:r>
        <w:rPr>
          <w:sz w:val="20"/>
        </w:rPr>
        <w:t>Z04.2,</w:t>
      </w:r>
      <w:r>
        <w:rPr>
          <w:spacing w:val="-6"/>
          <w:sz w:val="20"/>
        </w:rPr>
        <w:t> </w:t>
      </w:r>
      <w:r>
        <w:rPr>
          <w:sz w:val="20"/>
        </w:rPr>
        <w:t>Z04.3,</w:t>
      </w:r>
      <w:r>
        <w:rPr>
          <w:spacing w:val="-5"/>
          <w:sz w:val="20"/>
        </w:rPr>
        <w:t> </w:t>
      </w:r>
      <w:r>
        <w:rPr>
          <w:sz w:val="20"/>
        </w:rPr>
        <w:t>Z04.4,</w:t>
      </w:r>
      <w:r>
        <w:rPr>
          <w:spacing w:val="-5"/>
          <w:sz w:val="20"/>
        </w:rPr>
        <w:t> </w:t>
      </w:r>
      <w:r>
        <w:rPr>
          <w:sz w:val="20"/>
        </w:rPr>
        <w:t>Z04.5,</w:t>
      </w:r>
      <w:r>
        <w:rPr>
          <w:spacing w:val="-5"/>
          <w:sz w:val="20"/>
        </w:rPr>
        <w:t> </w:t>
      </w:r>
      <w:r>
        <w:rPr>
          <w:sz w:val="20"/>
        </w:rPr>
        <w:t>Z04.6,</w:t>
      </w:r>
      <w:r>
        <w:rPr>
          <w:spacing w:val="-5"/>
          <w:sz w:val="20"/>
        </w:rPr>
        <w:t> </w:t>
      </w:r>
      <w:r>
        <w:rPr>
          <w:sz w:val="20"/>
        </w:rPr>
        <w:t>Z04.8,</w:t>
      </w:r>
      <w:r>
        <w:rPr>
          <w:spacing w:val="-5"/>
          <w:sz w:val="20"/>
        </w:rPr>
        <w:t> </w:t>
      </w:r>
      <w:r>
        <w:rPr>
          <w:spacing w:val="-2"/>
          <w:sz w:val="20"/>
        </w:rPr>
        <w:t>Z04.9,</w:t>
      </w:r>
    </w:p>
    <w:p>
      <w:pPr>
        <w:spacing w:before="1"/>
        <w:ind w:left="4681" w:right="0" w:firstLine="0"/>
        <w:jc w:val="left"/>
        <w:rPr>
          <w:sz w:val="20"/>
        </w:rPr>
      </w:pPr>
      <w:r>
        <w:rPr>
          <w:sz w:val="20"/>
        </w:rPr>
        <w:t>Z08,</w:t>
      </w:r>
      <w:r>
        <w:rPr>
          <w:spacing w:val="-5"/>
          <w:sz w:val="20"/>
        </w:rPr>
        <w:t> </w:t>
      </w:r>
      <w:r>
        <w:rPr>
          <w:sz w:val="20"/>
        </w:rPr>
        <w:t>Z08.0,</w:t>
      </w:r>
      <w:r>
        <w:rPr>
          <w:spacing w:val="-5"/>
          <w:sz w:val="20"/>
        </w:rPr>
        <w:t> </w:t>
      </w:r>
      <w:r>
        <w:rPr>
          <w:sz w:val="20"/>
        </w:rPr>
        <w:t>Z08.1,</w:t>
      </w:r>
      <w:r>
        <w:rPr>
          <w:spacing w:val="-6"/>
          <w:sz w:val="20"/>
        </w:rPr>
        <w:t> </w:t>
      </w:r>
      <w:r>
        <w:rPr>
          <w:sz w:val="20"/>
        </w:rPr>
        <w:t>Z08.2,</w:t>
      </w:r>
      <w:r>
        <w:rPr>
          <w:spacing w:val="-5"/>
          <w:sz w:val="20"/>
        </w:rPr>
        <w:t> </w:t>
      </w:r>
      <w:r>
        <w:rPr>
          <w:sz w:val="20"/>
        </w:rPr>
        <w:t>Z08.7,</w:t>
      </w:r>
      <w:r>
        <w:rPr>
          <w:spacing w:val="-5"/>
          <w:sz w:val="20"/>
        </w:rPr>
        <w:t> </w:t>
      </w:r>
      <w:r>
        <w:rPr>
          <w:sz w:val="20"/>
        </w:rPr>
        <w:t>Z08.8,</w:t>
      </w:r>
      <w:r>
        <w:rPr>
          <w:spacing w:val="3"/>
          <w:sz w:val="20"/>
        </w:rPr>
        <w:t> </w:t>
      </w:r>
      <w:r>
        <w:rPr>
          <w:spacing w:val="-2"/>
          <w:sz w:val="20"/>
        </w:rPr>
        <w:t>Z08.9,</w:t>
      </w:r>
    </w:p>
    <w:p>
      <w:pPr>
        <w:spacing w:before="0"/>
        <w:ind w:left="4681" w:right="0" w:firstLine="0"/>
        <w:jc w:val="left"/>
        <w:rPr>
          <w:sz w:val="20"/>
        </w:rPr>
      </w:pPr>
      <w:r>
        <w:rPr>
          <w:sz w:val="20"/>
        </w:rPr>
        <w:t>Z09,</w:t>
      </w:r>
      <w:r>
        <w:rPr>
          <w:spacing w:val="-6"/>
          <w:sz w:val="20"/>
        </w:rPr>
        <w:t> </w:t>
      </w:r>
      <w:r>
        <w:rPr>
          <w:sz w:val="20"/>
        </w:rPr>
        <w:t>Z09.0,</w:t>
      </w:r>
      <w:r>
        <w:rPr>
          <w:spacing w:val="-5"/>
          <w:sz w:val="20"/>
        </w:rPr>
        <w:t> </w:t>
      </w:r>
      <w:r>
        <w:rPr>
          <w:sz w:val="20"/>
        </w:rPr>
        <w:t>Z09.1,</w:t>
      </w:r>
      <w:r>
        <w:rPr>
          <w:spacing w:val="-5"/>
          <w:sz w:val="20"/>
        </w:rPr>
        <w:t> </w:t>
      </w:r>
      <w:r>
        <w:rPr>
          <w:sz w:val="20"/>
        </w:rPr>
        <w:t>Z09.2,</w:t>
      </w:r>
      <w:r>
        <w:rPr>
          <w:spacing w:val="-5"/>
          <w:sz w:val="20"/>
        </w:rPr>
        <w:t> </w:t>
      </w:r>
      <w:r>
        <w:rPr>
          <w:sz w:val="20"/>
        </w:rPr>
        <w:t>Z09.3,</w:t>
      </w:r>
      <w:r>
        <w:rPr>
          <w:spacing w:val="-5"/>
          <w:sz w:val="20"/>
        </w:rPr>
        <w:t> </w:t>
      </w:r>
      <w:r>
        <w:rPr>
          <w:sz w:val="20"/>
        </w:rPr>
        <w:t>Z09.4,</w:t>
      </w:r>
      <w:r>
        <w:rPr>
          <w:spacing w:val="-5"/>
          <w:sz w:val="20"/>
        </w:rPr>
        <w:t> </w:t>
      </w:r>
      <w:r>
        <w:rPr>
          <w:spacing w:val="-2"/>
          <w:sz w:val="20"/>
        </w:rPr>
        <w:t>Z09.7,</w:t>
      </w:r>
    </w:p>
    <w:p>
      <w:pPr>
        <w:spacing w:before="0"/>
        <w:ind w:left="4681" w:right="0" w:firstLine="0"/>
        <w:jc w:val="left"/>
        <w:rPr>
          <w:sz w:val="20"/>
        </w:rPr>
      </w:pPr>
      <w:r>
        <w:rPr>
          <w:sz w:val="20"/>
        </w:rPr>
        <w:t>Z09.8,</w:t>
      </w:r>
      <w:r>
        <w:rPr>
          <w:spacing w:val="-6"/>
          <w:sz w:val="20"/>
        </w:rPr>
        <w:t> </w:t>
      </w:r>
      <w:r>
        <w:rPr>
          <w:sz w:val="20"/>
        </w:rPr>
        <w:t>Z09.9,</w:t>
      </w:r>
      <w:r>
        <w:rPr>
          <w:spacing w:val="-5"/>
          <w:sz w:val="20"/>
        </w:rPr>
        <w:t> </w:t>
      </w:r>
      <w:r>
        <w:rPr>
          <w:sz w:val="20"/>
        </w:rPr>
        <w:t>Z10,</w:t>
      </w:r>
      <w:r>
        <w:rPr>
          <w:spacing w:val="-5"/>
          <w:sz w:val="20"/>
        </w:rPr>
        <w:t> </w:t>
      </w:r>
      <w:r>
        <w:rPr>
          <w:sz w:val="20"/>
        </w:rPr>
        <w:t>Z10.0,</w:t>
      </w:r>
      <w:r>
        <w:rPr>
          <w:spacing w:val="-5"/>
          <w:sz w:val="20"/>
        </w:rPr>
        <w:t> </w:t>
      </w:r>
      <w:r>
        <w:rPr>
          <w:sz w:val="20"/>
        </w:rPr>
        <w:t>Z10.1,</w:t>
      </w:r>
      <w:r>
        <w:rPr>
          <w:spacing w:val="-5"/>
          <w:sz w:val="20"/>
        </w:rPr>
        <w:t> </w:t>
      </w:r>
      <w:r>
        <w:rPr>
          <w:sz w:val="20"/>
        </w:rPr>
        <w:t>Z10.2,</w:t>
      </w:r>
      <w:r>
        <w:rPr>
          <w:spacing w:val="-5"/>
          <w:sz w:val="20"/>
        </w:rPr>
        <w:t> </w:t>
      </w:r>
      <w:r>
        <w:rPr>
          <w:spacing w:val="-2"/>
          <w:sz w:val="20"/>
        </w:rPr>
        <w:t>Z10.3,</w:t>
      </w:r>
    </w:p>
    <w:p>
      <w:pPr>
        <w:spacing w:line="229" w:lineRule="exact" w:before="1"/>
        <w:ind w:left="4681" w:right="0" w:firstLine="0"/>
        <w:jc w:val="left"/>
        <w:rPr>
          <w:sz w:val="20"/>
        </w:rPr>
      </w:pPr>
      <w:r>
        <w:rPr>
          <w:sz w:val="20"/>
        </w:rPr>
        <w:t>Z10.8,</w:t>
      </w:r>
      <w:r>
        <w:rPr>
          <w:spacing w:val="-6"/>
          <w:sz w:val="20"/>
        </w:rPr>
        <w:t> </w:t>
      </w:r>
      <w:r>
        <w:rPr>
          <w:sz w:val="20"/>
        </w:rPr>
        <w:t>Z11,</w:t>
      </w:r>
      <w:r>
        <w:rPr>
          <w:spacing w:val="-5"/>
          <w:sz w:val="20"/>
        </w:rPr>
        <w:t> </w:t>
      </w:r>
      <w:r>
        <w:rPr>
          <w:sz w:val="20"/>
        </w:rPr>
        <w:t>Z11.0,</w:t>
      </w:r>
      <w:r>
        <w:rPr>
          <w:spacing w:val="-5"/>
          <w:sz w:val="20"/>
        </w:rPr>
        <w:t> </w:t>
      </w:r>
      <w:r>
        <w:rPr>
          <w:sz w:val="20"/>
        </w:rPr>
        <w:t>Z11.1,</w:t>
      </w:r>
      <w:r>
        <w:rPr>
          <w:spacing w:val="-5"/>
          <w:sz w:val="20"/>
        </w:rPr>
        <w:t> </w:t>
      </w:r>
      <w:r>
        <w:rPr>
          <w:sz w:val="20"/>
        </w:rPr>
        <w:t>Z11.2,</w:t>
      </w:r>
      <w:r>
        <w:rPr>
          <w:spacing w:val="-5"/>
          <w:sz w:val="20"/>
        </w:rPr>
        <w:t> </w:t>
      </w:r>
      <w:r>
        <w:rPr>
          <w:sz w:val="20"/>
        </w:rPr>
        <w:t>Z11.3,</w:t>
      </w:r>
      <w:r>
        <w:rPr>
          <w:spacing w:val="-5"/>
          <w:sz w:val="20"/>
        </w:rPr>
        <w:t> </w:t>
      </w:r>
      <w:r>
        <w:rPr>
          <w:spacing w:val="-2"/>
          <w:sz w:val="20"/>
        </w:rPr>
        <w:t>Z11.4,</w:t>
      </w:r>
    </w:p>
    <w:p>
      <w:pPr>
        <w:spacing w:line="229" w:lineRule="exact" w:before="0"/>
        <w:ind w:left="4681" w:right="0" w:firstLine="0"/>
        <w:jc w:val="left"/>
        <w:rPr>
          <w:sz w:val="20"/>
        </w:rPr>
      </w:pPr>
      <w:r>
        <w:rPr>
          <w:sz w:val="20"/>
        </w:rPr>
        <w:t>Z11.5,</w:t>
      </w:r>
      <w:r>
        <w:rPr>
          <w:spacing w:val="-5"/>
          <w:sz w:val="20"/>
        </w:rPr>
        <w:t> </w:t>
      </w:r>
      <w:r>
        <w:rPr>
          <w:sz w:val="20"/>
        </w:rPr>
        <w:t>Z11.6,</w:t>
      </w:r>
      <w:r>
        <w:rPr>
          <w:spacing w:val="-5"/>
          <w:sz w:val="20"/>
        </w:rPr>
        <w:t> </w:t>
      </w:r>
      <w:r>
        <w:rPr>
          <w:sz w:val="20"/>
        </w:rPr>
        <w:t>Z11.8,</w:t>
      </w:r>
      <w:r>
        <w:rPr>
          <w:spacing w:val="-4"/>
          <w:sz w:val="20"/>
        </w:rPr>
        <w:t> </w:t>
      </w:r>
      <w:r>
        <w:rPr>
          <w:sz w:val="20"/>
        </w:rPr>
        <w:t>Z11.9,</w:t>
      </w:r>
      <w:r>
        <w:rPr>
          <w:spacing w:val="-5"/>
          <w:sz w:val="20"/>
        </w:rPr>
        <w:t> </w:t>
      </w:r>
      <w:r>
        <w:rPr>
          <w:sz w:val="20"/>
        </w:rPr>
        <w:t>Z12,</w:t>
      </w:r>
      <w:r>
        <w:rPr>
          <w:spacing w:val="-5"/>
          <w:sz w:val="20"/>
        </w:rPr>
        <w:t> </w:t>
      </w:r>
      <w:r>
        <w:rPr>
          <w:sz w:val="20"/>
        </w:rPr>
        <w:t>Z12.0,</w:t>
      </w:r>
      <w:r>
        <w:rPr>
          <w:spacing w:val="-6"/>
          <w:sz w:val="20"/>
        </w:rPr>
        <w:t> </w:t>
      </w:r>
      <w:r>
        <w:rPr>
          <w:spacing w:val="-2"/>
          <w:sz w:val="20"/>
        </w:rPr>
        <w:t>Z12.1,</w:t>
      </w:r>
    </w:p>
    <w:p>
      <w:pPr>
        <w:spacing w:before="1"/>
        <w:ind w:left="4607" w:right="0" w:firstLine="0"/>
        <w:jc w:val="left"/>
        <w:rPr>
          <w:sz w:val="20"/>
        </w:rPr>
      </w:pPr>
      <w:r>
        <w:rPr>
          <w:sz w:val="20"/>
        </w:rPr>
        <w:t>Z12.2,</w:t>
      </w:r>
      <w:r>
        <w:rPr>
          <w:spacing w:val="-6"/>
          <w:sz w:val="20"/>
        </w:rPr>
        <w:t> </w:t>
      </w:r>
      <w:r>
        <w:rPr>
          <w:sz w:val="20"/>
        </w:rPr>
        <w:t>Z12.3,</w:t>
      </w:r>
      <w:r>
        <w:rPr>
          <w:spacing w:val="-5"/>
          <w:sz w:val="20"/>
        </w:rPr>
        <w:t> </w:t>
      </w:r>
      <w:r>
        <w:rPr>
          <w:sz w:val="20"/>
        </w:rPr>
        <w:t>Z12.4,</w:t>
      </w:r>
      <w:r>
        <w:rPr>
          <w:spacing w:val="-5"/>
          <w:sz w:val="20"/>
        </w:rPr>
        <w:t> </w:t>
      </w:r>
      <w:r>
        <w:rPr>
          <w:sz w:val="20"/>
        </w:rPr>
        <w:t>Z12.5,</w:t>
      </w:r>
      <w:r>
        <w:rPr>
          <w:spacing w:val="-5"/>
          <w:sz w:val="20"/>
        </w:rPr>
        <w:t> </w:t>
      </w:r>
      <w:r>
        <w:rPr>
          <w:sz w:val="20"/>
        </w:rPr>
        <w:t>Z12.6,</w:t>
      </w:r>
      <w:r>
        <w:rPr>
          <w:spacing w:val="-5"/>
          <w:sz w:val="20"/>
        </w:rPr>
        <w:t> </w:t>
      </w:r>
      <w:r>
        <w:rPr>
          <w:sz w:val="20"/>
        </w:rPr>
        <w:t>Z12.8,</w:t>
      </w:r>
      <w:r>
        <w:rPr>
          <w:spacing w:val="-5"/>
          <w:sz w:val="20"/>
        </w:rPr>
        <w:t> </w:t>
      </w:r>
      <w:r>
        <w:rPr>
          <w:spacing w:val="-2"/>
          <w:sz w:val="20"/>
        </w:rPr>
        <w:t>Z12.9,</w:t>
      </w:r>
    </w:p>
    <w:p>
      <w:pPr>
        <w:spacing w:before="0"/>
        <w:ind w:left="4681" w:right="0" w:firstLine="0"/>
        <w:jc w:val="left"/>
        <w:rPr>
          <w:sz w:val="20"/>
        </w:rPr>
      </w:pPr>
      <w:r>
        <w:rPr>
          <w:sz w:val="20"/>
        </w:rPr>
        <w:t>Z13,</w:t>
      </w:r>
      <w:r>
        <w:rPr>
          <w:spacing w:val="-6"/>
          <w:sz w:val="20"/>
        </w:rPr>
        <w:t> </w:t>
      </w:r>
      <w:r>
        <w:rPr>
          <w:sz w:val="20"/>
        </w:rPr>
        <w:t>Z13.0,</w:t>
      </w:r>
      <w:r>
        <w:rPr>
          <w:spacing w:val="-3"/>
          <w:sz w:val="20"/>
        </w:rPr>
        <w:t> </w:t>
      </w:r>
      <w:r>
        <w:rPr>
          <w:sz w:val="20"/>
        </w:rPr>
        <w:t>Z13.1,</w:t>
      </w:r>
      <w:r>
        <w:rPr>
          <w:spacing w:val="-5"/>
          <w:sz w:val="20"/>
        </w:rPr>
        <w:t> </w:t>
      </w:r>
      <w:r>
        <w:rPr>
          <w:sz w:val="20"/>
        </w:rPr>
        <w:t>Z13.2,</w:t>
      </w:r>
      <w:r>
        <w:rPr>
          <w:spacing w:val="-5"/>
          <w:sz w:val="20"/>
        </w:rPr>
        <w:t> </w:t>
      </w:r>
      <w:r>
        <w:rPr>
          <w:sz w:val="20"/>
        </w:rPr>
        <w:t>Z13.3,</w:t>
      </w:r>
      <w:r>
        <w:rPr>
          <w:spacing w:val="-5"/>
          <w:sz w:val="20"/>
        </w:rPr>
        <w:t> </w:t>
      </w:r>
      <w:r>
        <w:rPr>
          <w:sz w:val="20"/>
        </w:rPr>
        <w:t>Z13.4,</w:t>
      </w:r>
      <w:r>
        <w:rPr>
          <w:spacing w:val="-5"/>
          <w:sz w:val="20"/>
        </w:rPr>
        <w:t> </w:t>
      </w:r>
      <w:r>
        <w:rPr>
          <w:spacing w:val="-2"/>
          <w:sz w:val="20"/>
        </w:rPr>
        <w:t>Z13.5,</w:t>
      </w:r>
    </w:p>
    <w:p>
      <w:pPr>
        <w:spacing w:before="1"/>
        <w:ind w:left="4681" w:right="0" w:firstLine="0"/>
        <w:jc w:val="left"/>
        <w:rPr>
          <w:sz w:val="20"/>
        </w:rPr>
      </w:pPr>
      <w:r>
        <w:rPr>
          <w:sz w:val="20"/>
        </w:rPr>
        <w:t>Z13.6,</w:t>
      </w:r>
      <w:r>
        <w:rPr>
          <w:spacing w:val="-5"/>
          <w:sz w:val="20"/>
        </w:rPr>
        <w:t> </w:t>
      </w:r>
      <w:r>
        <w:rPr>
          <w:sz w:val="20"/>
        </w:rPr>
        <w:t>Z13.7,</w:t>
      </w:r>
      <w:r>
        <w:rPr>
          <w:spacing w:val="-5"/>
          <w:sz w:val="20"/>
        </w:rPr>
        <w:t> </w:t>
      </w:r>
      <w:r>
        <w:rPr>
          <w:sz w:val="20"/>
        </w:rPr>
        <w:t>Z13.8,</w:t>
      </w:r>
      <w:r>
        <w:rPr>
          <w:spacing w:val="-4"/>
          <w:sz w:val="20"/>
        </w:rPr>
        <w:t> </w:t>
      </w:r>
      <w:r>
        <w:rPr>
          <w:sz w:val="20"/>
        </w:rPr>
        <w:t>Z13.9,</w:t>
      </w:r>
      <w:r>
        <w:rPr>
          <w:spacing w:val="-5"/>
          <w:sz w:val="20"/>
        </w:rPr>
        <w:t> </w:t>
      </w:r>
      <w:r>
        <w:rPr>
          <w:sz w:val="20"/>
        </w:rPr>
        <w:t>Z20,</w:t>
      </w:r>
      <w:r>
        <w:rPr>
          <w:spacing w:val="-5"/>
          <w:sz w:val="20"/>
        </w:rPr>
        <w:t> </w:t>
      </w:r>
      <w:r>
        <w:rPr>
          <w:sz w:val="20"/>
        </w:rPr>
        <w:t>Z20.0,</w:t>
      </w:r>
      <w:r>
        <w:rPr>
          <w:spacing w:val="-6"/>
          <w:sz w:val="20"/>
        </w:rPr>
        <w:t> </w:t>
      </w:r>
      <w:r>
        <w:rPr>
          <w:spacing w:val="-2"/>
          <w:sz w:val="20"/>
        </w:rPr>
        <w:t>Z20.1,</w:t>
      </w:r>
    </w:p>
    <w:p>
      <w:pPr>
        <w:spacing w:before="0"/>
        <w:ind w:left="4607" w:right="0" w:firstLine="0"/>
        <w:jc w:val="left"/>
        <w:rPr>
          <w:sz w:val="20"/>
        </w:rPr>
      </w:pPr>
      <w:r>
        <w:rPr>
          <w:sz w:val="20"/>
        </w:rPr>
        <w:t>Z20.2,</w:t>
      </w:r>
      <w:r>
        <w:rPr>
          <w:spacing w:val="-6"/>
          <w:sz w:val="20"/>
        </w:rPr>
        <w:t> </w:t>
      </w:r>
      <w:r>
        <w:rPr>
          <w:sz w:val="20"/>
        </w:rPr>
        <w:t>Z20.3,</w:t>
      </w:r>
      <w:r>
        <w:rPr>
          <w:spacing w:val="-5"/>
          <w:sz w:val="20"/>
        </w:rPr>
        <w:t> </w:t>
      </w:r>
      <w:r>
        <w:rPr>
          <w:sz w:val="20"/>
        </w:rPr>
        <w:t>Z20.4,</w:t>
      </w:r>
      <w:r>
        <w:rPr>
          <w:spacing w:val="-5"/>
          <w:sz w:val="20"/>
        </w:rPr>
        <w:t> </w:t>
      </w:r>
      <w:r>
        <w:rPr>
          <w:sz w:val="20"/>
        </w:rPr>
        <w:t>Z20.5,</w:t>
      </w:r>
      <w:r>
        <w:rPr>
          <w:spacing w:val="-5"/>
          <w:sz w:val="20"/>
        </w:rPr>
        <w:t> </w:t>
      </w:r>
      <w:r>
        <w:rPr>
          <w:sz w:val="20"/>
        </w:rPr>
        <w:t>Z20.6,</w:t>
      </w:r>
      <w:r>
        <w:rPr>
          <w:spacing w:val="-5"/>
          <w:sz w:val="20"/>
        </w:rPr>
        <w:t> </w:t>
      </w:r>
      <w:r>
        <w:rPr>
          <w:sz w:val="20"/>
        </w:rPr>
        <w:t>Z20.7,</w:t>
      </w:r>
      <w:r>
        <w:rPr>
          <w:spacing w:val="-5"/>
          <w:sz w:val="20"/>
        </w:rPr>
        <w:t> </w:t>
      </w:r>
      <w:r>
        <w:rPr>
          <w:spacing w:val="-2"/>
          <w:sz w:val="20"/>
        </w:rPr>
        <w:t>Z20.8,</w:t>
      </w:r>
    </w:p>
    <w:p>
      <w:pPr>
        <w:spacing w:line="229" w:lineRule="exact" w:before="1"/>
        <w:ind w:left="1158" w:right="4154" w:firstLine="0"/>
        <w:jc w:val="center"/>
        <w:rPr>
          <w:sz w:val="20"/>
        </w:rPr>
      </w:pPr>
      <w:r>
        <w:rPr>
          <w:sz w:val="20"/>
        </w:rPr>
        <w:t>Z20.9,</w:t>
      </w:r>
      <w:r>
        <w:rPr>
          <w:spacing w:val="-5"/>
          <w:sz w:val="20"/>
        </w:rPr>
        <w:t> </w:t>
      </w:r>
      <w:r>
        <w:rPr>
          <w:sz w:val="20"/>
        </w:rPr>
        <w:t>Z21,</w:t>
      </w:r>
      <w:r>
        <w:rPr>
          <w:spacing w:val="-4"/>
          <w:sz w:val="20"/>
        </w:rPr>
        <w:t> </w:t>
      </w:r>
      <w:r>
        <w:rPr>
          <w:sz w:val="20"/>
        </w:rPr>
        <w:t>Z22,</w:t>
      </w:r>
      <w:r>
        <w:rPr>
          <w:spacing w:val="-5"/>
          <w:sz w:val="20"/>
        </w:rPr>
        <w:t> </w:t>
      </w:r>
      <w:r>
        <w:rPr>
          <w:sz w:val="20"/>
        </w:rPr>
        <w:t>Z22.0,</w:t>
      </w:r>
      <w:r>
        <w:rPr>
          <w:spacing w:val="-4"/>
          <w:sz w:val="20"/>
        </w:rPr>
        <w:t> </w:t>
      </w:r>
      <w:r>
        <w:rPr>
          <w:sz w:val="20"/>
        </w:rPr>
        <w:t>Z22.1,</w:t>
      </w:r>
      <w:r>
        <w:rPr>
          <w:spacing w:val="-4"/>
          <w:sz w:val="20"/>
        </w:rPr>
        <w:t> </w:t>
      </w:r>
      <w:r>
        <w:rPr>
          <w:sz w:val="20"/>
        </w:rPr>
        <w:t>Z22.2,</w:t>
      </w:r>
      <w:r>
        <w:rPr>
          <w:spacing w:val="-5"/>
          <w:sz w:val="20"/>
        </w:rPr>
        <w:t> </w:t>
      </w:r>
      <w:r>
        <w:rPr>
          <w:spacing w:val="-2"/>
          <w:sz w:val="20"/>
        </w:rPr>
        <w:t>Z22.3,</w:t>
      </w:r>
    </w:p>
    <w:p>
      <w:pPr>
        <w:spacing w:line="229" w:lineRule="exact" w:before="0"/>
        <w:ind w:left="1160" w:right="4154" w:firstLine="0"/>
        <w:jc w:val="center"/>
        <w:rPr>
          <w:sz w:val="20"/>
        </w:rPr>
      </w:pPr>
      <w:r>
        <w:rPr>
          <w:sz w:val="20"/>
        </w:rPr>
        <w:t>Z22.4,</w:t>
      </w:r>
      <w:r>
        <w:rPr>
          <w:spacing w:val="-5"/>
          <w:sz w:val="20"/>
        </w:rPr>
        <w:t> </w:t>
      </w:r>
      <w:r>
        <w:rPr>
          <w:sz w:val="20"/>
        </w:rPr>
        <w:t>Z22.6,</w:t>
      </w:r>
      <w:r>
        <w:rPr>
          <w:spacing w:val="-5"/>
          <w:sz w:val="20"/>
        </w:rPr>
        <w:t> </w:t>
      </w:r>
      <w:r>
        <w:rPr>
          <w:sz w:val="20"/>
        </w:rPr>
        <w:t>Z22.8,</w:t>
      </w:r>
      <w:r>
        <w:rPr>
          <w:spacing w:val="-4"/>
          <w:sz w:val="20"/>
        </w:rPr>
        <w:t> </w:t>
      </w:r>
      <w:r>
        <w:rPr>
          <w:sz w:val="20"/>
        </w:rPr>
        <w:t>Z22.9,</w:t>
      </w:r>
      <w:r>
        <w:rPr>
          <w:spacing w:val="-5"/>
          <w:sz w:val="20"/>
        </w:rPr>
        <w:t> </w:t>
      </w:r>
      <w:r>
        <w:rPr>
          <w:sz w:val="20"/>
        </w:rPr>
        <w:t>Z23,</w:t>
      </w:r>
      <w:r>
        <w:rPr>
          <w:spacing w:val="-5"/>
          <w:sz w:val="20"/>
        </w:rPr>
        <w:t> </w:t>
      </w:r>
      <w:r>
        <w:rPr>
          <w:sz w:val="20"/>
        </w:rPr>
        <w:t>Z23.0,</w:t>
      </w:r>
      <w:r>
        <w:rPr>
          <w:spacing w:val="-6"/>
          <w:sz w:val="20"/>
        </w:rPr>
        <w:t> </w:t>
      </w:r>
      <w:r>
        <w:rPr>
          <w:spacing w:val="-2"/>
          <w:sz w:val="20"/>
        </w:rPr>
        <w:t>Z23.1,</w:t>
      </w:r>
    </w:p>
    <w:p>
      <w:pPr>
        <w:spacing w:before="0"/>
        <w:ind w:left="1167" w:right="4154" w:firstLine="0"/>
        <w:jc w:val="center"/>
        <w:rPr>
          <w:sz w:val="20"/>
        </w:rPr>
      </w:pPr>
      <w:r>
        <w:rPr>
          <w:sz w:val="20"/>
        </w:rPr>
        <w:t>Z23.2,</w:t>
      </w:r>
      <w:r>
        <w:rPr>
          <w:spacing w:val="-5"/>
          <w:sz w:val="20"/>
        </w:rPr>
        <w:t> </w:t>
      </w:r>
      <w:r>
        <w:rPr>
          <w:sz w:val="20"/>
        </w:rPr>
        <w:t>Z23.3,</w:t>
      </w:r>
      <w:r>
        <w:rPr>
          <w:spacing w:val="-4"/>
          <w:sz w:val="20"/>
        </w:rPr>
        <w:t> </w:t>
      </w:r>
      <w:r>
        <w:rPr>
          <w:sz w:val="20"/>
        </w:rPr>
        <w:t>Z23.4,</w:t>
      </w:r>
      <w:r>
        <w:rPr>
          <w:spacing w:val="-4"/>
          <w:sz w:val="20"/>
        </w:rPr>
        <w:t> </w:t>
      </w:r>
      <w:r>
        <w:rPr>
          <w:sz w:val="20"/>
        </w:rPr>
        <w:t>Z23.5,</w:t>
      </w:r>
      <w:r>
        <w:rPr>
          <w:spacing w:val="-4"/>
          <w:sz w:val="20"/>
        </w:rPr>
        <w:t> </w:t>
      </w:r>
      <w:r>
        <w:rPr>
          <w:sz w:val="20"/>
        </w:rPr>
        <w:t>Z23.6,</w:t>
      </w:r>
      <w:r>
        <w:rPr>
          <w:spacing w:val="-4"/>
          <w:sz w:val="20"/>
        </w:rPr>
        <w:t> </w:t>
      </w:r>
      <w:r>
        <w:rPr>
          <w:sz w:val="20"/>
        </w:rPr>
        <w:t>Z23.7,</w:t>
      </w:r>
      <w:r>
        <w:rPr>
          <w:spacing w:val="-4"/>
          <w:sz w:val="20"/>
        </w:rPr>
        <w:t> </w:t>
      </w:r>
      <w:r>
        <w:rPr>
          <w:spacing w:val="-2"/>
          <w:sz w:val="20"/>
        </w:rPr>
        <w:t>Z23.8,</w:t>
      </w:r>
    </w:p>
    <w:p>
      <w:pPr>
        <w:spacing w:before="0"/>
        <w:ind w:left="1160" w:right="4154" w:firstLine="0"/>
        <w:jc w:val="center"/>
        <w:rPr>
          <w:sz w:val="20"/>
        </w:rPr>
      </w:pPr>
      <w:r>
        <w:rPr>
          <w:sz w:val="20"/>
        </w:rPr>
        <w:t>Z24,</w:t>
      </w:r>
      <w:r>
        <w:rPr>
          <w:spacing w:val="-6"/>
          <w:sz w:val="20"/>
        </w:rPr>
        <w:t> </w:t>
      </w:r>
      <w:r>
        <w:rPr>
          <w:sz w:val="20"/>
        </w:rPr>
        <w:t>Z24.0,</w:t>
      </w:r>
      <w:r>
        <w:rPr>
          <w:spacing w:val="-5"/>
          <w:sz w:val="20"/>
        </w:rPr>
        <w:t> </w:t>
      </w:r>
      <w:r>
        <w:rPr>
          <w:sz w:val="20"/>
        </w:rPr>
        <w:t>Z24.1,</w:t>
      </w:r>
      <w:r>
        <w:rPr>
          <w:spacing w:val="-5"/>
          <w:sz w:val="20"/>
        </w:rPr>
        <w:t> </w:t>
      </w:r>
      <w:r>
        <w:rPr>
          <w:sz w:val="20"/>
        </w:rPr>
        <w:t>Z24.2,</w:t>
      </w:r>
      <w:r>
        <w:rPr>
          <w:spacing w:val="-5"/>
          <w:sz w:val="20"/>
        </w:rPr>
        <w:t> </w:t>
      </w:r>
      <w:r>
        <w:rPr>
          <w:sz w:val="20"/>
        </w:rPr>
        <w:t>Z24.3,</w:t>
      </w:r>
      <w:r>
        <w:rPr>
          <w:spacing w:val="-5"/>
          <w:sz w:val="20"/>
        </w:rPr>
        <w:t> </w:t>
      </w:r>
      <w:r>
        <w:rPr>
          <w:sz w:val="20"/>
        </w:rPr>
        <w:t>Z24.4,</w:t>
      </w:r>
      <w:r>
        <w:rPr>
          <w:spacing w:val="-5"/>
          <w:sz w:val="20"/>
        </w:rPr>
        <w:t> </w:t>
      </w:r>
      <w:r>
        <w:rPr>
          <w:spacing w:val="-2"/>
          <w:sz w:val="20"/>
        </w:rPr>
        <w:t>Z24.5,</w:t>
      </w:r>
    </w:p>
    <w:p>
      <w:pPr>
        <w:spacing w:before="1"/>
        <w:ind w:left="1158" w:right="4154" w:firstLine="0"/>
        <w:jc w:val="center"/>
        <w:rPr>
          <w:sz w:val="20"/>
        </w:rPr>
      </w:pPr>
      <w:r>
        <w:rPr>
          <w:sz w:val="20"/>
        </w:rPr>
        <w:t>Z24.6,</w:t>
      </w:r>
      <w:r>
        <w:rPr>
          <w:spacing w:val="-5"/>
          <w:sz w:val="20"/>
        </w:rPr>
        <w:t> </w:t>
      </w:r>
      <w:r>
        <w:rPr>
          <w:sz w:val="20"/>
        </w:rPr>
        <w:t>Z25,</w:t>
      </w:r>
      <w:r>
        <w:rPr>
          <w:spacing w:val="-5"/>
          <w:sz w:val="20"/>
        </w:rPr>
        <w:t> </w:t>
      </w:r>
      <w:r>
        <w:rPr>
          <w:sz w:val="20"/>
        </w:rPr>
        <w:t>Z25.0,</w:t>
      </w:r>
      <w:r>
        <w:rPr>
          <w:spacing w:val="-4"/>
          <w:sz w:val="20"/>
        </w:rPr>
        <w:t> </w:t>
      </w:r>
      <w:r>
        <w:rPr>
          <w:sz w:val="20"/>
        </w:rPr>
        <w:t>Z25.1,</w:t>
      </w:r>
      <w:r>
        <w:rPr>
          <w:spacing w:val="-5"/>
          <w:sz w:val="20"/>
        </w:rPr>
        <w:t> </w:t>
      </w:r>
      <w:r>
        <w:rPr>
          <w:sz w:val="20"/>
        </w:rPr>
        <w:t>Z25.8,</w:t>
      </w:r>
      <w:r>
        <w:rPr>
          <w:spacing w:val="-4"/>
          <w:sz w:val="20"/>
        </w:rPr>
        <w:t> </w:t>
      </w:r>
      <w:r>
        <w:rPr>
          <w:sz w:val="20"/>
        </w:rPr>
        <w:t>Z26,</w:t>
      </w:r>
      <w:r>
        <w:rPr>
          <w:spacing w:val="-5"/>
          <w:sz w:val="20"/>
        </w:rPr>
        <w:t> </w:t>
      </w:r>
      <w:r>
        <w:rPr>
          <w:spacing w:val="-2"/>
          <w:sz w:val="20"/>
        </w:rPr>
        <w:t>Z26.0,</w:t>
      </w:r>
    </w:p>
    <w:p>
      <w:pPr>
        <w:spacing w:before="1"/>
        <w:ind w:left="1160" w:right="4154" w:firstLine="0"/>
        <w:jc w:val="center"/>
        <w:rPr>
          <w:sz w:val="20"/>
        </w:rPr>
      </w:pPr>
      <w:r>
        <w:rPr>
          <w:sz w:val="20"/>
        </w:rPr>
        <w:t>Z26.8,</w:t>
      </w:r>
      <w:r>
        <w:rPr>
          <w:spacing w:val="-6"/>
          <w:sz w:val="20"/>
        </w:rPr>
        <w:t> </w:t>
      </w:r>
      <w:r>
        <w:rPr>
          <w:sz w:val="20"/>
        </w:rPr>
        <w:t>Z26.9,</w:t>
      </w:r>
      <w:r>
        <w:rPr>
          <w:spacing w:val="-5"/>
          <w:sz w:val="20"/>
        </w:rPr>
        <w:t> </w:t>
      </w:r>
      <w:r>
        <w:rPr>
          <w:sz w:val="20"/>
        </w:rPr>
        <w:t>Z27,</w:t>
      </w:r>
      <w:r>
        <w:rPr>
          <w:spacing w:val="-5"/>
          <w:sz w:val="20"/>
        </w:rPr>
        <w:t> </w:t>
      </w:r>
      <w:r>
        <w:rPr>
          <w:sz w:val="20"/>
        </w:rPr>
        <w:t>Z27.0,</w:t>
      </w:r>
      <w:r>
        <w:rPr>
          <w:spacing w:val="-5"/>
          <w:sz w:val="20"/>
        </w:rPr>
        <w:t> </w:t>
      </w:r>
      <w:r>
        <w:rPr>
          <w:sz w:val="20"/>
        </w:rPr>
        <w:t>Z27.1,</w:t>
      </w:r>
      <w:r>
        <w:rPr>
          <w:spacing w:val="-5"/>
          <w:sz w:val="20"/>
        </w:rPr>
        <w:t> </w:t>
      </w:r>
      <w:r>
        <w:rPr>
          <w:sz w:val="20"/>
        </w:rPr>
        <w:t>Z27.2,</w:t>
      </w:r>
      <w:r>
        <w:rPr>
          <w:spacing w:val="-5"/>
          <w:sz w:val="20"/>
        </w:rPr>
        <w:t> </w:t>
      </w:r>
      <w:r>
        <w:rPr>
          <w:spacing w:val="-2"/>
          <w:sz w:val="20"/>
        </w:rPr>
        <w:t>Z27.3,</w:t>
      </w:r>
    </w:p>
    <w:p>
      <w:pPr>
        <w:spacing w:line="229" w:lineRule="exact" w:before="0"/>
        <w:ind w:left="1160" w:right="4154" w:firstLine="0"/>
        <w:jc w:val="center"/>
        <w:rPr>
          <w:sz w:val="20"/>
        </w:rPr>
      </w:pPr>
      <w:r>
        <w:rPr>
          <w:sz w:val="20"/>
        </w:rPr>
        <w:t>Z27.4,</w:t>
      </w:r>
      <w:r>
        <w:rPr>
          <w:spacing w:val="-6"/>
          <w:sz w:val="20"/>
        </w:rPr>
        <w:t> </w:t>
      </w:r>
      <w:r>
        <w:rPr>
          <w:sz w:val="20"/>
        </w:rPr>
        <w:t>Z27.8,</w:t>
      </w:r>
      <w:r>
        <w:rPr>
          <w:spacing w:val="-5"/>
          <w:sz w:val="20"/>
        </w:rPr>
        <w:t> </w:t>
      </w:r>
      <w:r>
        <w:rPr>
          <w:sz w:val="20"/>
        </w:rPr>
        <w:t>Z27.9,</w:t>
      </w:r>
      <w:r>
        <w:rPr>
          <w:spacing w:val="-5"/>
          <w:sz w:val="20"/>
        </w:rPr>
        <w:t> </w:t>
      </w:r>
      <w:r>
        <w:rPr>
          <w:sz w:val="20"/>
        </w:rPr>
        <w:t>Z28,</w:t>
      </w:r>
      <w:r>
        <w:rPr>
          <w:spacing w:val="-5"/>
          <w:sz w:val="20"/>
        </w:rPr>
        <w:t> </w:t>
      </w:r>
      <w:r>
        <w:rPr>
          <w:sz w:val="20"/>
        </w:rPr>
        <w:t>Z28.0,</w:t>
      </w:r>
      <w:r>
        <w:rPr>
          <w:spacing w:val="-5"/>
          <w:sz w:val="20"/>
        </w:rPr>
        <w:t> </w:t>
      </w:r>
      <w:r>
        <w:rPr>
          <w:sz w:val="20"/>
        </w:rPr>
        <w:t>Z28.1,</w:t>
      </w:r>
      <w:r>
        <w:rPr>
          <w:spacing w:val="-5"/>
          <w:sz w:val="20"/>
        </w:rPr>
        <w:t> </w:t>
      </w:r>
      <w:r>
        <w:rPr>
          <w:spacing w:val="-2"/>
          <w:sz w:val="20"/>
        </w:rPr>
        <w:t>Z28.2,</w:t>
      </w:r>
    </w:p>
    <w:p>
      <w:pPr>
        <w:spacing w:line="229" w:lineRule="exact" w:before="0"/>
        <w:ind w:left="1160" w:right="4154" w:firstLine="0"/>
        <w:jc w:val="center"/>
        <w:rPr>
          <w:sz w:val="20"/>
        </w:rPr>
      </w:pPr>
      <w:r>
        <w:rPr>
          <w:sz w:val="20"/>
        </w:rPr>
        <w:t>Z28.8,</w:t>
      </w:r>
      <w:r>
        <w:rPr>
          <w:spacing w:val="-6"/>
          <w:sz w:val="20"/>
        </w:rPr>
        <w:t> </w:t>
      </w:r>
      <w:r>
        <w:rPr>
          <w:sz w:val="20"/>
        </w:rPr>
        <w:t>Z28.9,</w:t>
      </w:r>
      <w:r>
        <w:rPr>
          <w:spacing w:val="-5"/>
          <w:sz w:val="20"/>
        </w:rPr>
        <w:t> </w:t>
      </w:r>
      <w:r>
        <w:rPr>
          <w:sz w:val="20"/>
        </w:rPr>
        <w:t>Z29,</w:t>
      </w:r>
      <w:r>
        <w:rPr>
          <w:spacing w:val="-5"/>
          <w:sz w:val="20"/>
        </w:rPr>
        <w:t> </w:t>
      </w:r>
      <w:r>
        <w:rPr>
          <w:sz w:val="20"/>
        </w:rPr>
        <w:t>Z29.0,</w:t>
      </w:r>
      <w:r>
        <w:rPr>
          <w:spacing w:val="-5"/>
          <w:sz w:val="20"/>
        </w:rPr>
        <w:t> </w:t>
      </w:r>
      <w:r>
        <w:rPr>
          <w:sz w:val="20"/>
        </w:rPr>
        <w:t>Z29.1,</w:t>
      </w:r>
      <w:r>
        <w:rPr>
          <w:spacing w:val="-5"/>
          <w:sz w:val="20"/>
        </w:rPr>
        <w:t> </w:t>
      </w:r>
      <w:r>
        <w:rPr>
          <w:sz w:val="20"/>
        </w:rPr>
        <w:t>Z29.2,</w:t>
      </w:r>
      <w:r>
        <w:rPr>
          <w:spacing w:val="-5"/>
          <w:sz w:val="20"/>
        </w:rPr>
        <w:t> </w:t>
      </w:r>
      <w:r>
        <w:rPr>
          <w:spacing w:val="-2"/>
          <w:sz w:val="20"/>
        </w:rPr>
        <w:t>Z29.8,</w:t>
      </w:r>
    </w:p>
    <w:p>
      <w:pPr>
        <w:spacing w:before="0"/>
        <w:ind w:left="4681" w:right="0" w:firstLine="0"/>
        <w:jc w:val="left"/>
        <w:rPr>
          <w:sz w:val="20"/>
        </w:rPr>
      </w:pPr>
      <w:r>
        <w:rPr>
          <w:sz w:val="20"/>
        </w:rPr>
        <w:t>Z29.9,</w:t>
      </w:r>
      <w:r>
        <w:rPr>
          <w:spacing w:val="-5"/>
          <w:sz w:val="20"/>
        </w:rPr>
        <w:t> </w:t>
      </w:r>
      <w:r>
        <w:rPr>
          <w:sz w:val="20"/>
        </w:rPr>
        <w:t>Z30,</w:t>
      </w:r>
      <w:r>
        <w:rPr>
          <w:spacing w:val="-5"/>
          <w:sz w:val="20"/>
        </w:rPr>
        <w:t> </w:t>
      </w:r>
      <w:r>
        <w:rPr>
          <w:sz w:val="20"/>
        </w:rPr>
        <w:t>Z30.0,</w:t>
      </w:r>
      <w:r>
        <w:rPr>
          <w:spacing w:val="-5"/>
          <w:sz w:val="20"/>
        </w:rPr>
        <w:t> </w:t>
      </w:r>
      <w:r>
        <w:rPr>
          <w:sz w:val="20"/>
        </w:rPr>
        <w:t>Z30.1,</w:t>
      </w:r>
      <w:r>
        <w:rPr>
          <w:spacing w:val="-5"/>
          <w:sz w:val="20"/>
        </w:rPr>
        <w:t> </w:t>
      </w:r>
      <w:r>
        <w:rPr>
          <w:sz w:val="20"/>
        </w:rPr>
        <w:t>Z30.2,</w:t>
      </w:r>
      <w:r>
        <w:rPr>
          <w:spacing w:val="-5"/>
          <w:sz w:val="20"/>
        </w:rPr>
        <w:t> </w:t>
      </w:r>
      <w:r>
        <w:rPr>
          <w:sz w:val="20"/>
        </w:rPr>
        <w:t>Z30.3,</w:t>
      </w:r>
      <w:r>
        <w:rPr>
          <w:spacing w:val="-5"/>
          <w:sz w:val="20"/>
        </w:rPr>
        <w:t> </w:t>
      </w:r>
      <w:r>
        <w:rPr>
          <w:spacing w:val="-2"/>
          <w:sz w:val="20"/>
        </w:rPr>
        <w:t>Z30.4,</w:t>
      </w:r>
    </w:p>
    <w:p>
      <w:pPr>
        <w:spacing w:before="1"/>
        <w:ind w:left="4681" w:right="0" w:firstLine="0"/>
        <w:jc w:val="left"/>
        <w:rPr>
          <w:sz w:val="20"/>
        </w:rPr>
      </w:pPr>
      <w:r>
        <w:rPr>
          <w:sz w:val="20"/>
        </w:rPr>
        <w:t>Z30.5,</w:t>
      </w:r>
      <w:r>
        <w:rPr>
          <w:spacing w:val="-6"/>
          <w:sz w:val="20"/>
        </w:rPr>
        <w:t> </w:t>
      </w:r>
      <w:r>
        <w:rPr>
          <w:sz w:val="20"/>
        </w:rPr>
        <w:t>Z30.8,</w:t>
      </w:r>
      <w:r>
        <w:rPr>
          <w:spacing w:val="-5"/>
          <w:sz w:val="20"/>
        </w:rPr>
        <w:t> </w:t>
      </w:r>
      <w:r>
        <w:rPr>
          <w:sz w:val="20"/>
        </w:rPr>
        <w:t>Z30.9,</w:t>
      </w:r>
      <w:r>
        <w:rPr>
          <w:spacing w:val="-5"/>
          <w:sz w:val="20"/>
        </w:rPr>
        <w:t> </w:t>
      </w:r>
      <w:r>
        <w:rPr>
          <w:sz w:val="20"/>
        </w:rPr>
        <w:t>Z31,</w:t>
      </w:r>
      <w:r>
        <w:rPr>
          <w:spacing w:val="-5"/>
          <w:sz w:val="20"/>
        </w:rPr>
        <w:t> </w:t>
      </w:r>
      <w:r>
        <w:rPr>
          <w:sz w:val="20"/>
        </w:rPr>
        <w:t>Z31.0,</w:t>
      </w:r>
      <w:r>
        <w:rPr>
          <w:spacing w:val="-5"/>
          <w:sz w:val="20"/>
        </w:rPr>
        <w:t> </w:t>
      </w:r>
      <w:r>
        <w:rPr>
          <w:sz w:val="20"/>
        </w:rPr>
        <w:t>Z31.1,</w:t>
      </w:r>
      <w:r>
        <w:rPr>
          <w:spacing w:val="-5"/>
          <w:sz w:val="20"/>
        </w:rPr>
        <w:t> </w:t>
      </w:r>
      <w:r>
        <w:rPr>
          <w:spacing w:val="-2"/>
          <w:sz w:val="20"/>
        </w:rPr>
        <w:t>Z31.2,</w:t>
      </w:r>
    </w:p>
    <w:p>
      <w:pPr>
        <w:spacing w:before="0"/>
        <w:ind w:left="4681" w:right="0" w:firstLine="0"/>
        <w:jc w:val="left"/>
        <w:rPr>
          <w:sz w:val="20"/>
        </w:rPr>
      </w:pPr>
      <w:r>
        <w:rPr>
          <w:sz w:val="20"/>
        </w:rPr>
        <w:t>Z31.3,</w:t>
      </w:r>
      <w:r>
        <w:rPr>
          <w:spacing w:val="-6"/>
          <w:sz w:val="20"/>
        </w:rPr>
        <w:t> </w:t>
      </w:r>
      <w:r>
        <w:rPr>
          <w:sz w:val="20"/>
        </w:rPr>
        <w:t>Z31.4,</w:t>
      </w:r>
      <w:r>
        <w:rPr>
          <w:spacing w:val="-5"/>
          <w:sz w:val="20"/>
        </w:rPr>
        <w:t> </w:t>
      </w:r>
      <w:r>
        <w:rPr>
          <w:sz w:val="20"/>
        </w:rPr>
        <w:t>Z31.5,</w:t>
      </w:r>
      <w:r>
        <w:rPr>
          <w:spacing w:val="-5"/>
          <w:sz w:val="20"/>
        </w:rPr>
        <w:t> </w:t>
      </w:r>
      <w:r>
        <w:rPr>
          <w:sz w:val="20"/>
        </w:rPr>
        <w:t>Z31.6,</w:t>
      </w:r>
      <w:r>
        <w:rPr>
          <w:spacing w:val="-5"/>
          <w:sz w:val="20"/>
        </w:rPr>
        <w:t> </w:t>
      </w:r>
      <w:r>
        <w:rPr>
          <w:sz w:val="20"/>
        </w:rPr>
        <w:t>Z31.8,</w:t>
      </w:r>
      <w:r>
        <w:rPr>
          <w:spacing w:val="-5"/>
          <w:sz w:val="20"/>
        </w:rPr>
        <w:t> </w:t>
      </w:r>
      <w:r>
        <w:rPr>
          <w:sz w:val="20"/>
        </w:rPr>
        <w:t>Z31.9,</w:t>
      </w:r>
      <w:r>
        <w:rPr>
          <w:spacing w:val="-5"/>
          <w:sz w:val="20"/>
        </w:rPr>
        <w:t> </w:t>
      </w:r>
      <w:r>
        <w:rPr>
          <w:spacing w:val="-4"/>
          <w:sz w:val="20"/>
        </w:rPr>
        <w:t>Z32,</w:t>
      </w:r>
    </w:p>
    <w:p>
      <w:pPr>
        <w:spacing w:line="229" w:lineRule="exact" w:before="1"/>
        <w:ind w:left="4756" w:right="0" w:firstLine="0"/>
        <w:jc w:val="left"/>
        <w:rPr>
          <w:sz w:val="20"/>
        </w:rPr>
      </w:pPr>
      <w:r>
        <w:rPr>
          <w:sz w:val="20"/>
        </w:rPr>
        <w:t>Z32.0,</w:t>
      </w:r>
      <w:r>
        <w:rPr>
          <w:spacing w:val="-5"/>
          <w:sz w:val="20"/>
        </w:rPr>
        <w:t> </w:t>
      </w:r>
      <w:r>
        <w:rPr>
          <w:sz w:val="20"/>
        </w:rPr>
        <w:t>Z32.1,</w:t>
      </w:r>
      <w:r>
        <w:rPr>
          <w:spacing w:val="-4"/>
          <w:sz w:val="20"/>
        </w:rPr>
        <w:t> </w:t>
      </w:r>
      <w:r>
        <w:rPr>
          <w:sz w:val="20"/>
        </w:rPr>
        <w:t>Z33,</w:t>
      </w:r>
      <w:r>
        <w:rPr>
          <w:spacing w:val="-5"/>
          <w:sz w:val="20"/>
        </w:rPr>
        <w:t> </w:t>
      </w:r>
      <w:r>
        <w:rPr>
          <w:sz w:val="20"/>
        </w:rPr>
        <w:t>Z36,</w:t>
      </w:r>
      <w:r>
        <w:rPr>
          <w:spacing w:val="-4"/>
          <w:sz w:val="20"/>
        </w:rPr>
        <w:t> </w:t>
      </w:r>
      <w:r>
        <w:rPr>
          <w:sz w:val="20"/>
        </w:rPr>
        <w:t>Z36.0,</w:t>
      </w:r>
      <w:r>
        <w:rPr>
          <w:spacing w:val="-4"/>
          <w:sz w:val="20"/>
        </w:rPr>
        <w:t> </w:t>
      </w:r>
      <w:r>
        <w:rPr>
          <w:sz w:val="20"/>
        </w:rPr>
        <w:t>Z36.1,</w:t>
      </w:r>
      <w:r>
        <w:rPr>
          <w:spacing w:val="-5"/>
          <w:sz w:val="20"/>
        </w:rPr>
        <w:t> </w:t>
      </w:r>
      <w:r>
        <w:rPr>
          <w:spacing w:val="-2"/>
          <w:sz w:val="20"/>
        </w:rPr>
        <w:t>Z36.2,</w:t>
      </w:r>
    </w:p>
    <w:p>
      <w:pPr>
        <w:spacing w:line="229" w:lineRule="exact" w:before="0"/>
        <w:ind w:left="4681" w:right="0" w:firstLine="0"/>
        <w:jc w:val="left"/>
        <w:rPr>
          <w:sz w:val="20"/>
        </w:rPr>
      </w:pPr>
      <w:r>
        <w:rPr>
          <w:sz w:val="20"/>
        </w:rPr>
        <w:t>Z36.3,</w:t>
      </w:r>
      <w:r>
        <w:rPr>
          <w:spacing w:val="-5"/>
          <w:sz w:val="20"/>
        </w:rPr>
        <w:t> </w:t>
      </w:r>
      <w:r>
        <w:rPr>
          <w:sz w:val="20"/>
        </w:rPr>
        <w:t>Z36.4,</w:t>
      </w:r>
      <w:r>
        <w:rPr>
          <w:spacing w:val="-5"/>
          <w:sz w:val="20"/>
        </w:rPr>
        <w:t> </w:t>
      </w:r>
      <w:r>
        <w:rPr>
          <w:sz w:val="20"/>
        </w:rPr>
        <w:t>Z36.5,</w:t>
      </w:r>
      <w:r>
        <w:rPr>
          <w:spacing w:val="-4"/>
          <w:sz w:val="20"/>
        </w:rPr>
        <w:t> </w:t>
      </w:r>
      <w:r>
        <w:rPr>
          <w:sz w:val="20"/>
        </w:rPr>
        <w:t>Z36.8,</w:t>
      </w:r>
      <w:r>
        <w:rPr>
          <w:spacing w:val="-5"/>
          <w:sz w:val="20"/>
        </w:rPr>
        <w:t> </w:t>
      </w:r>
      <w:r>
        <w:rPr>
          <w:sz w:val="20"/>
        </w:rPr>
        <w:t>Z36.9,</w:t>
      </w:r>
      <w:r>
        <w:rPr>
          <w:spacing w:val="-5"/>
          <w:sz w:val="20"/>
        </w:rPr>
        <w:t> </w:t>
      </w:r>
      <w:r>
        <w:rPr>
          <w:sz w:val="20"/>
        </w:rPr>
        <w:t>Z37,</w:t>
      </w:r>
      <w:r>
        <w:rPr>
          <w:spacing w:val="-6"/>
          <w:sz w:val="20"/>
        </w:rPr>
        <w:t> </w:t>
      </w:r>
      <w:r>
        <w:rPr>
          <w:spacing w:val="-2"/>
          <w:sz w:val="20"/>
        </w:rPr>
        <w:t>Z37.0,</w:t>
      </w:r>
    </w:p>
    <w:p>
      <w:pPr>
        <w:spacing w:before="0"/>
        <w:ind w:left="1167" w:right="4154" w:firstLine="0"/>
        <w:jc w:val="center"/>
        <w:rPr>
          <w:sz w:val="20"/>
        </w:rPr>
      </w:pPr>
      <w:r>
        <w:rPr>
          <w:sz w:val="20"/>
        </w:rPr>
        <w:t>Z37.1,</w:t>
      </w:r>
      <w:r>
        <w:rPr>
          <w:spacing w:val="-5"/>
          <w:sz w:val="20"/>
        </w:rPr>
        <w:t> </w:t>
      </w:r>
      <w:r>
        <w:rPr>
          <w:sz w:val="20"/>
        </w:rPr>
        <w:t>Z37.2,</w:t>
      </w:r>
      <w:r>
        <w:rPr>
          <w:spacing w:val="-4"/>
          <w:sz w:val="20"/>
        </w:rPr>
        <w:t> </w:t>
      </w:r>
      <w:r>
        <w:rPr>
          <w:sz w:val="20"/>
        </w:rPr>
        <w:t>Z37.3,</w:t>
      </w:r>
      <w:r>
        <w:rPr>
          <w:spacing w:val="-4"/>
          <w:sz w:val="20"/>
        </w:rPr>
        <w:t> </w:t>
      </w:r>
      <w:r>
        <w:rPr>
          <w:sz w:val="20"/>
        </w:rPr>
        <w:t>Z37.4,</w:t>
      </w:r>
      <w:r>
        <w:rPr>
          <w:spacing w:val="-4"/>
          <w:sz w:val="20"/>
        </w:rPr>
        <w:t> </w:t>
      </w:r>
      <w:r>
        <w:rPr>
          <w:sz w:val="20"/>
        </w:rPr>
        <w:t>Z37.5,</w:t>
      </w:r>
      <w:r>
        <w:rPr>
          <w:spacing w:val="-5"/>
          <w:sz w:val="20"/>
        </w:rPr>
        <w:t> </w:t>
      </w:r>
      <w:r>
        <w:rPr>
          <w:sz w:val="20"/>
        </w:rPr>
        <w:t>Z37.6,</w:t>
      </w:r>
      <w:r>
        <w:rPr>
          <w:spacing w:val="-4"/>
          <w:sz w:val="20"/>
        </w:rPr>
        <w:t> </w:t>
      </w:r>
      <w:r>
        <w:rPr>
          <w:spacing w:val="-2"/>
          <w:sz w:val="20"/>
        </w:rPr>
        <w:t>Z37.7,</w:t>
      </w:r>
    </w:p>
    <w:p>
      <w:pPr>
        <w:spacing w:before="1"/>
        <w:ind w:left="1160" w:right="4154" w:firstLine="0"/>
        <w:jc w:val="center"/>
        <w:rPr>
          <w:sz w:val="20"/>
        </w:rPr>
      </w:pPr>
      <w:r>
        <w:rPr>
          <w:sz w:val="20"/>
        </w:rPr>
        <w:t>Z37.9,</w:t>
      </w:r>
      <w:r>
        <w:rPr>
          <w:spacing w:val="-6"/>
          <w:sz w:val="20"/>
        </w:rPr>
        <w:t> </w:t>
      </w:r>
      <w:r>
        <w:rPr>
          <w:sz w:val="20"/>
        </w:rPr>
        <w:t>Z38,</w:t>
      </w:r>
      <w:r>
        <w:rPr>
          <w:spacing w:val="-5"/>
          <w:sz w:val="20"/>
        </w:rPr>
        <w:t> </w:t>
      </w:r>
      <w:r>
        <w:rPr>
          <w:sz w:val="20"/>
        </w:rPr>
        <w:t>Z38.0,</w:t>
      </w:r>
      <w:r>
        <w:rPr>
          <w:spacing w:val="-5"/>
          <w:sz w:val="20"/>
        </w:rPr>
        <w:t> </w:t>
      </w:r>
      <w:r>
        <w:rPr>
          <w:sz w:val="20"/>
        </w:rPr>
        <w:t>Z38.1,</w:t>
      </w:r>
      <w:r>
        <w:rPr>
          <w:spacing w:val="-5"/>
          <w:sz w:val="20"/>
        </w:rPr>
        <w:t> </w:t>
      </w:r>
      <w:r>
        <w:rPr>
          <w:sz w:val="20"/>
        </w:rPr>
        <w:t>Z38.2,</w:t>
      </w:r>
      <w:r>
        <w:rPr>
          <w:spacing w:val="-5"/>
          <w:sz w:val="20"/>
        </w:rPr>
        <w:t> </w:t>
      </w:r>
      <w:r>
        <w:rPr>
          <w:sz w:val="20"/>
        </w:rPr>
        <w:t>Z38.3,</w:t>
      </w:r>
      <w:r>
        <w:rPr>
          <w:spacing w:val="-5"/>
          <w:sz w:val="20"/>
        </w:rPr>
        <w:t> </w:t>
      </w:r>
      <w:r>
        <w:rPr>
          <w:spacing w:val="-2"/>
          <w:sz w:val="20"/>
        </w:rPr>
        <w:t>Z38.4,</w:t>
      </w:r>
    </w:p>
    <w:p>
      <w:pPr>
        <w:spacing w:before="0"/>
        <w:ind w:left="1160" w:right="4154" w:firstLine="0"/>
        <w:jc w:val="center"/>
        <w:rPr>
          <w:sz w:val="20"/>
        </w:rPr>
      </w:pPr>
      <w:r>
        <w:rPr>
          <w:sz w:val="20"/>
        </w:rPr>
        <w:t>Z38.5,</w:t>
      </w:r>
      <w:r>
        <w:rPr>
          <w:spacing w:val="-5"/>
          <w:sz w:val="20"/>
        </w:rPr>
        <w:t> </w:t>
      </w:r>
      <w:r>
        <w:rPr>
          <w:sz w:val="20"/>
        </w:rPr>
        <w:t>Z38.6,</w:t>
      </w:r>
      <w:r>
        <w:rPr>
          <w:spacing w:val="-5"/>
          <w:sz w:val="20"/>
        </w:rPr>
        <w:t> </w:t>
      </w:r>
      <w:r>
        <w:rPr>
          <w:sz w:val="20"/>
        </w:rPr>
        <w:t>Z38.7,</w:t>
      </w:r>
      <w:r>
        <w:rPr>
          <w:spacing w:val="-4"/>
          <w:sz w:val="20"/>
        </w:rPr>
        <w:t> </w:t>
      </w:r>
      <w:r>
        <w:rPr>
          <w:sz w:val="20"/>
        </w:rPr>
        <w:t>Z38.8,</w:t>
      </w:r>
      <w:r>
        <w:rPr>
          <w:spacing w:val="-5"/>
          <w:sz w:val="20"/>
        </w:rPr>
        <w:t> </w:t>
      </w:r>
      <w:r>
        <w:rPr>
          <w:sz w:val="20"/>
        </w:rPr>
        <w:t>Z39,</w:t>
      </w:r>
      <w:r>
        <w:rPr>
          <w:spacing w:val="-5"/>
          <w:sz w:val="20"/>
        </w:rPr>
        <w:t> </w:t>
      </w:r>
      <w:r>
        <w:rPr>
          <w:sz w:val="20"/>
        </w:rPr>
        <w:t>Z39.0,</w:t>
      </w:r>
      <w:r>
        <w:rPr>
          <w:spacing w:val="-6"/>
          <w:sz w:val="20"/>
        </w:rPr>
        <w:t> </w:t>
      </w:r>
      <w:r>
        <w:rPr>
          <w:spacing w:val="-2"/>
          <w:sz w:val="20"/>
        </w:rPr>
        <w:t>Z39.1,</w:t>
      </w:r>
    </w:p>
    <w:p>
      <w:pPr>
        <w:spacing w:before="1"/>
        <w:ind w:left="1158" w:right="4154" w:firstLine="0"/>
        <w:jc w:val="center"/>
        <w:rPr>
          <w:sz w:val="20"/>
        </w:rPr>
      </w:pPr>
      <w:r>
        <w:rPr>
          <w:sz w:val="20"/>
        </w:rPr>
        <w:t>Z39.2,</w:t>
      </w:r>
      <w:r>
        <w:rPr>
          <w:spacing w:val="-5"/>
          <w:sz w:val="20"/>
        </w:rPr>
        <w:t> </w:t>
      </w:r>
      <w:r>
        <w:rPr>
          <w:sz w:val="20"/>
        </w:rPr>
        <w:t>Z40,</w:t>
      </w:r>
      <w:r>
        <w:rPr>
          <w:spacing w:val="-5"/>
          <w:sz w:val="20"/>
        </w:rPr>
        <w:t> </w:t>
      </w:r>
      <w:r>
        <w:rPr>
          <w:sz w:val="20"/>
        </w:rPr>
        <w:t>Z40.0,</w:t>
      </w:r>
      <w:r>
        <w:rPr>
          <w:spacing w:val="-4"/>
          <w:sz w:val="20"/>
        </w:rPr>
        <w:t> </w:t>
      </w:r>
      <w:r>
        <w:rPr>
          <w:sz w:val="20"/>
        </w:rPr>
        <w:t>Z40.8,</w:t>
      </w:r>
      <w:r>
        <w:rPr>
          <w:spacing w:val="-5"/>
          <w:sz w:val="20"/>
        </w:rPr>
        <w:t> </w:t>
      </w:r>
      <w:r>
        <w:rPr>
          <w:sz w:val="20"/>
        </w:rPr>
        <w:t>Z40.9,</w:t>
      </w:r>
      <w:r>
        <w:rPr>
          <w:spacing w:val="-4"/>
          <w:sz w:val="20"/>
        </w:rPr>
        <w:t> </w:t>
      </w:r>
      <w:r>
        <w:rPr>
          <w:sz w:val="20"/>
        </w:rPr>
        <w:t>Z41,</w:t>
      </w:r>
      <w:r>
        <w:rPr>
          <w:spacing w:val="-5"/>
          <w:sz w:val="20"/>
        </w:rPr>
        <w:t> </w:t>
      </w:r>
      <w:r>
        <w:rPr>
          <w:spacing w:val="-2"/>
          <w:sz w:val="20"/>
        </w:rPr>
        <w:t>Z41.0,</w:t>
      </w:r>
    </w:p>
    <w:p>
      <w:pPr>
        <w:spacing w:line="229" w:lineRule="exact" w:before="0"/>
        <w:ind w:left="1160" w:right="4154" w:firstLine="0"/>
        <w:jc w:val="center"/>
        <w:rPr>
          <w:sz w:val="20"/>
        </w:rPr>
      </w:pPr>
      <w:r>
        <w:rPr>
          <w:sz w:val="20"/>
        </w:rPr>
        <w:t>Z41.1,</w:t>
      </w:r>
      <w:r>
        <w:rPr>
          <w:spacing w:val="-5"/>
          <w:sz w:val="20"/>
        </w:rPr>
        <w:t> </w:t>
      </w:r>
      <w:r>
        <w:rPr>
          <w:sz w:val="20"/>
        </w:rPr>
        <w:t>Z41.2,</w:t>
      </w:r>
      <w:r>
        <w:rPr>
          <w:spacing w:val="-5"/>
          <w:sz w:val="20"/>
        </w:rPr>
        <w:t> </w:t>
      </w:r>
      <w:r>
        <w:rPr>
          <w:sz w:val="20"/>
        </w:rPr>
        <w:t>Z41.3,</w:t>
      </w:r>
      <w:r>
        <w:rPr>
          <w:spacing w:val="-4"/>
          <w:sz w:val="20"/>
        </w:rPr>
        <w:t> </w:t>
      </w:r>
      <w:r>
        <w:rPr>
          <w:sz w:val="20"/>
        </w:rPr>
        <w:t>Z41.8,</w:t>
      </w:r>
      <w:r>
        <w:rPr>
          <w:spacing w:val="-5"/>
          <w:sz w:val="20"/>
        </w:rPr>
        <w:t> </w:t>
      </w:r>
      <w:r>
        <w:rPr>
          <w:sz w:val="20"/>
        </w:rPr>
        <w:t>Z41.9,</w:t>
      </w:r>
      <w:r>
        <w:rPr>
          <w:spacing w:val="-5"/>
          <w:sz w:val="20"/>
        </w:rPr>
        <w:t> </w:t>
      </w:r>
      <w:r>
        <w:rPr>
          <w:sz w:val="20"/>
        </w:rPr>
        <w:t>Z42,</w:t>
      </w:r>
      <w:r>
        <w:rPr>
          <w:spacing w:val="-6"/>
          <w:sz w:val="20"/>
        </w:rPr>
        <w:t> </w:t>
      </w:r>
      <w:r>
        <w:rPr>
          <w:spacing w:val="-2"/>
          <w:sz w:val="20"/>
        </w:rPr>
        <w:t>Z42.0,</w:t>
      </w:r>
    </w:p>
    <w:p>
      <w:pPr>
        <w:spacing w:line="229" w:lineRule="exact" w:before="0"/>
        <w:ind w:left="1160" w:right="4154" w:firstLine="0"/>
        <w:jc w:val="center"/>
        <w:rPr>
          <w:sz w:val="20"/>
        </w:rPr>
      </w:pPr>
      <w:r>
        <w:rPr>
          <w:sz w:val="20"/>
        </w:rPr>
        <w:t>Z42.1,</w:t>
      </w:r>
      <w:r>
        <w:rPr>
          <w:spacing w:val="-6"/>
          <w:sz w:val="20"/>
        </w:rPr>
        <w:t> </w:t>
      </w:r>
      <w:r>
        <w:rPr>
          <w:sz w:val="20"/>
        </w:rPr>
        <w:t>Z42.2,</w:t>
      </w:r>
      <w:r>
        <w:rPr>
          <w:spacing w:val="-5"/>
          <w:sz w:val="20"/>
        </w:rPr>
        <w:t> </w:t>
      </w:r>
      <w:r>
        <w:rPr>
          <w:sz w:val="20"/>
        </w:rPr>
        <w:t>Z42.3,</w:t>
      </w:r>
      <w:r>
        <w:rPr>
          <w:spacing w:val="-5"/>
          <w:sz w:val="20"/>
        </w:rPr>
        <w:t> </w:t>
      </w:r>
      <w:r>
        <w:rPr>
          <w:sz w:val="20"/>
        </w:rPr>
        <w:t>Z42.4,</w:t>
      </w:r>
      <w:r>
        <w:rPr>
          <w:spacing w:val="-5"/>
          <w:sz w:val="20"/>
        </w:rPr>
        <w:t> </w:t>
      </w:r>
      <w:r>
        <w:rPr>
          <w:sz w:val="20"/>
        </w:rPr>
        <w:t>Z42.8,</w:t>
      </w:r>
      <w:r>
        <w:rPr>
          <w:spacing w:val="-5"/>
          <w:sz w:val="20"/>
        </w:rPr>
        <w:t> </w:t>
      </w:r>
      <w:r>
        <w:rPr>
          <w:sz w:val="20"/>
        </w:rPr>
        <w:t>Z42.9,</w:t>
      </w:r>
      <w:r>
        <w:rPr>
          <w:spacing w:val="-5"/>
          <w:sz w:val="20"/>
        </w:rPr>
        <w:t> </w:t>
      </w:r>
      <w:r>
        <w:rPr>
          <w:spacing w:val="-4"/>
          <w:sz w:val="20"/>
        </w:rPr>
        <w:t>Z43,</w:t>
      </w:r>
    </w:p>
    <w:p>
      <w:pPr>
        <w:spacing w:before="1"/>
        <w:ind w:left="4607" w:right="0" w:firstLine="0"/>
        <w:jc w:val="left"/>
        <w:rPr>
          <w:sz w:val="20"/>
        </w:rPr>
      </w:pPr>
      <w:r>
        <w:rPr>
          <w:sz w:val="20"/>
        </w:rPr>
        <w:t>Z43.0,</w:t>
      </w:r>
      <w:r>
        <w:rPr>
          <w:spacing w:val="-6"/>
          <w:sz w:val="20"/>
        </w:rPr>
        <w:t> </w:t>
      </w:r>
      <w:r>
        <w:rPr>
          <w:sz w:val="20"/>
        </w:rPr>
        <w:t>Z43.1,</w:t>
      </w:r>
      <w:r>
        <w:rPr>
          <w:spacing w:val="-5"/>
          <w:sz w:val="20"/>
        </w:rPr>
        <w:t> </w:t>
      </w:r>
      <w:r>
        <w:rPr>
          <w:sz w:val="20"/>
        </w:rPr>
        <w:t>Z43.2,</w:t>
      </w:r>
      <w:r>
        <w:rPr>
          <w:spacing w:val="-5"/>
          <w:sz w:val="20"/>
        </w:rPr>
        <w:t> </w:t>
      </w:r>
      <w:r>
        <w:rPr>
          <w:sz w:val="20"/>
        </w:rPr>
        <w:t>Z43.3,</w:t>
      </w:r>
      <w:r>
        <w:rPr>
          <w:spacing w:val="-5"/>
          <w:sz w:val="20"/>
        </w:rPr>
        <w:t> </w:t>
      </w:r>
      <w:r>
        <w:rPr>
          <w:sz w:val="20"/>
        </w:rPr>
        <w:t>Z43.4,</w:t>
      </w:r>
      <w:r>
        <w:rPr>
          <w:spacing w:val="-5"/>
          <w:sz w:val="20"/>
        </w:rPr>
        <w:t> </w:t>
      </w:r>
      <w:r>
        <w:rPr>
          <w:sz w:val="20"/>
        </w:rPr>
        <w:t>Z43.5,</w:t>
      </w:r>
      <w:r>
        <w:rPr>
          <w:spacing w:val="-5"/>
          <w:sz w:val="20"/>
        </w:rPr>
        <w:t> </w:t>
      </w:r>
      <w:r>
        <w:rPr>
          <w:spacing w:val="-2"/>
          <w:sz w:val="20"/>
        </w:rPr>
        <w:t>Z43.6,</w:t>
      </w:r>
    </w:p>
    <w:p>
      <w:pPr>
        <w:spacing w:before="0"/>
        <w:ind w:left="4681" w:right="0" w:firstLine="0"/>
        <w:jc w:val="left"/>
        <w:rPr>
          <w:sz w:val="20"/>
        </w:rPr>
      </w:pPr>
      <w:r>
        <w:rPr>
          <w:sz w:val="20"/>
        </w:rPr>
        <w:t>Z43.7,</w:t>
      </w:r>
      <w:r>
        <w:rPr>
          <w:spacing w:val="-6"/>
          <w:sz w:val="20"/>
        </w:rPr>
        <w:t> </w:t>
      </w:r>
      <w:r>
        <w:rPr>
          <w:sz w:val="20"/>
        </w:rPr>
        <w:t>Z43.8,</w:t>
      </w:r>
      <w:r>
        <w:rPr>
          <w:spacing w:val="-5"/>
          <w:sz w:val="20"/>
        </w:rPr>
        <w:t> </w:t>
      </w:r>
      <w:r>
        <w:rPr>
          <w:sz w:val="20"/>
        </w:rPr>
        <w:t>Z43.9,</w:t>
      </w:r>
      <w:r>
        <w:rPr>
          <w:spacing w:val="-5"/>
          <w:sz w:val="20"/>
        </w:rPr>
        <w:t> </w:t>
      </w:r>
      <w:r>
        <w:rPr>
          <w:sz w:val="20"/>
        </w:rPr>
        <w:t>Z44,</w:t>
      </w:r>
      <w:r>
        <w:rPr>
          <w:spacing w:val="-5"/>
          <w:sz w:val="20"/>
        </w:rPr>
        <w:t> </w:t>
      </w:r>
      <w:r>
        <w:rPr>
          <w:sz w:val="20"/>
        </w:rPr>
        <w:t>Z44.0,</w:t>
      </w:r>
      <w:r>
        <w:rPr>
          <w:spacing w:val="-5"/>
          <w:sz w:val="20"/>
        </w:rPr>
        <w:t> </w:t>
      </w:r>
      <w:r>
        <w:rPr>
          <w:sz w:val="20"/>
        </w:rPr>
        <w:t>Z44.1,</w:t>
      </w:r>
      <w:r>
        <w:rPr>
          <w:spacing w:val="-5"/>
          <w:sz w:val="20"/>
        </w:rPr>
        <w:t> </w:t>
      </w:r>
      <w:r>
        <w:rPr>
          <w:spacing w:val="-2"/>
          <w:sz w:val="20"/>
        </w:rPr>
        <w:t>Z44.2,</w:t>
      </w:r>
    </w:p>
    <w:p>
      <w:pPr>
        <w:spacing w:before="1"/>
        <w:ind w:left="4681" w:right="0" w:firstLine="0"/>
        <w:jc w:val="left"/>
        <w:rPr>
          <w:sz w:val="20"/>
        </w:rPr>
      </w:pPr>
      <w:r>
        <w:rPr>
          <w:sz w:val="20"/>
        </w:rPr>
        <w:t>Z44.3,</w:t>
      </w:r>
      <w:r>
        <w:rPr>
          <w:spacing w:val="-6"/>
          <w:sz w:val="20"/>
        </w:rPr>
        <w:t> </w:t>
      </w:r>
      <w:r>
        <w:rPr>
          <w:sz w:val="20"/>
        </w:rPr>
        <w:t>Z44.8,</w:t>
      </w:r>
      <w:r>
        <w:rPr>
          <w:spacing w:val="-5"/>
          <w:sz w:val="20"/>
        </w:rPr>
        <w:t> </w:t>
      </w:r>
      <w:r>
        <w:rPr>
          <w:sz w:val="20"/>
        </w:rPr>
        <w:t>Z44.9,</w:t>
      </w:r>
      <w:r>
        <w:rPr>
          <w:spacing w:val="-5"/>
          <w:sz w:val="20"/>
        </w:rPr>
        <w:t> </w:t>
      </w:r>
      <w:r>
        <w:rPr>
          <w:sz w:val="20"/>
        </w:rPr>
        <w:t>Z45,</w:t>
      </w:r>
      <w:r>
        <w:rPr>
          <w:spacing w:val="-5"/>
          <w:sz w:val="20"/>
        </w:rPr>
        <w:t> </w:t>
      </w:r>
      <w:r>
        <w:rPr>
          <w:sz w:val="20"/>
        </w:rPr>
        <w:t>Z45.0,</w:t>
      </w:r>
      <w:r>
        <w:rPr>
          <w:spacing w:val="-5"/>
          <w:sz w:val="20"/>
        </w:rPr>
        <w:t> </w:t>
      </w:r>
      <w:r>
        <w:rPr>
          <w:sz w:val="20"/>
        </w:rPr>
        <w:t>Z45.1,</w:t>
      </w:r>
      <w:r>
        <w:rPr>
          <w:spacing w:val="-5"/>
          <w:sz w:val="20"/>
        </w:rPr>
        <w:t> </w:t>
      </w:r>
      <w:r>
        <w:rPr>
          <w:spacing w:val="-2"/>
          <w:sz w:val="20"/>
        </w:rPr>
        <w:t>Z45.2,</w:t>
      </w:r>
    </w:p>
    <w:p>
      <w:pPr>
        <w:spacing w:before="0"/>
        <w:ind w:left="4681" w:right="0" w:firstLine="0"/>
        <w:jc w:val="left"/>
        <w:rPr>
          <w:sz w:val="20"/>
        </w:rPr>
      </w:pPr>
      <w:r>
        <w:rPr>
          <w:sz w:val="20"/>
        </w:rPr>
        <w:t>Z45.3,</w:t>
      </w:r>
      <w:r>
        <w:rPr>
          <w:spacing w:val="-6"/>
          <w:sz w:val="20"/>
        </w:rPr>
        <w:t> </w:t>
      </w:r>
      <w:r>
        <w:rPr>
          <w:sz w:val="20"/>
        </w:rPr>
        <w:t>Z45.8,</w:t>
      </w:r>
      <w:r>
        <w:rPr>
          <w:spacing w:val="-5"/>
          <w:sz w:val="20"/>
        </w:rPr>
        <w:t> </w:t>
      </w:r>
      <w:r>
        <w:rPr>
          <w:sz w:val="20"/>
        </w:rPr>
        <w:t>Z45.9,</w:t>
      </w:r>
      <w:r>
        <w:rPr>
          <w:spacing w:val="-5"/>
          <w:sz w:val="20"/>
        </w:rPr>
        <w:t> </w:t>
      </w:r>
      <w:r>
        <w:rPr>
          <w:sz w:val="20"/>
        </w:rPr>
        <w:t>Z46,</w:t>
      </w:r>
      <w:r>
        <w:rPr>
          <w:spacing w:val="-5"/>
          <w:sz w:val="20"/>
        </w:rPr>
        <w:t> </w:t>
      </w:r>
      <w:r>
        <w:rPr>
          <w:sz w:val="20"/>
        </w:rPr>
        <w:t>Z46.0,</w:t>
      </w:r>
      <w:r>
        <w:rPr>
          <w:spacing w:val="-5"/>
          <w:sz w:val="20"/>
        </w:rPr>
        <w:t> </w:t>
      </w:r>
      <w:r>
        <w:rPr>
          <w:sz w:val="20"/>
        </w:rPr>
        <w:t>Z46.1,</w:t>
      </w:r>
      <w:r>
        <w:rPr>
          <w:spacing w:val="-5"/>
          <w:sz w:val="20"/>
        </w:rPr>
        <w:t> </w:t>
      </w:r>
      <w:r>
        <w:rPr>
          <w:spacing w:val="-2"/>
          <w:sz w:val="20"/>
        </w:rPr>
        <w:t>Z46.2,</w:t>
      </w:r>
    </w:p>
    <w:p>
      <w:pPr>
        <w:spacing w:before="0"/>
        <w:ind w:left="4607" w:right="0" w:firstLine="0"/>
        <w:jc w:val="left"/>
        <w:rPr>
          <w:sz w:val="20"/>
        </w:rPr>
      </w:pPr>
      <w:r>
        <w:rPr>
          <w:sz w:val="20"/>
        </w:rPr>
        <w:t>Z46.3,</w:t>
      </w:r>
      <w:r>
        <w:rPr>
          <w:spacing w:val="-6"/>
          <w:sz w:val="20"/>
        </w:rPr>
        <w:t> </w:t>
      </w:r>
      <w:r>
        <w:rPr>
          <w:sz w:val="20"/>
        </w:rPr>
        <w:t>Z46.4,</w:t>
      </w:r>
      <w:r>
        <w:rPr>
          <w:spacing w:val="-5"/>
          <w:sz w:val="20"/>
        </w:rPr>
        <w:t> </w:t>
      </w:r>
      <w:r>
        <w:rPr>
          <w:sz w:val="20"/>
        </w:rPr>
        <w:t>Z46.5,</w:t>
      </w:r>
      <w:r>
        <w:rPr>
          <w:spacing w:val="-5"/>
          <w:sz w:val="20"/>
        </w:rPr>
        <w:t> </w:t>
      </w:r>
      <w:r>
        <w:rPr>
          <w:sz w:val="20"/>
        </w:rPr>
        <w:t>Z46.6,</w:t>
      </w:r>
      <w:r>
        <w:rPr>
          <w:spacing w:val="-5"/>
          <w:sz w:val="20"/>
        </w:rPr>
        <w:t> </w:t>
      </w:r>
      <w:r>
        <w:rPr>
          <w:sz w:val="20"/>
        </w:rPr>
        <w:t>Z46.7,</w:t>
      </w:r>
      <w:r>
        <w:rPr>
          <w:spacing w:val="-5"/>
          <w:sz w:val="20"/>
        </w:rPr>
        <w:t> </w:t>
      </w:r>
      <w:r>
        <w:rPr>
          <w:sz w:val="20"/>
        </w:rPr>
        <w:t>Z46.8,</w:t>
      </w:r>
      <w:r>
        <w:rPr>
          <w:spacing w:val="-5"/>
          <w:sz w:val="20"/>
        </w:rPr>
        <w:t> </w:t>
      </w:r>
      <w:r>
        <w:rPr>
          <w:spacing w:val="-2"/>
          <w:sz w:val="20"/>
        </w:rPr>
        <w:t>Z46.9,</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1" w:right="4154" w:firstLine="0"/>
        <w:jc w:val="center"/>
        <w:rPr>
          <w:sz w:val="20"/>
        </w:rPr>
      </w:pPr>
      <w:r>
        <w:rPr>
          <w:sz w:val="20"/>
        </w:rPr>
        <w:t>Z47,</w:t>
      </w:r>
      <w:r>
        <w:rPr>
          <w:spacing w:val="-5"/>
          <w:sz w:val="20"/>
        </w:rPr>
        <w:t> </w:t>
      </w:r>
      <w:r>
        <w:rPr>
          <w:sz w:val="20"/>
        </w:rPr>
        <w:t>Z47.0,</w:t>
      </w:r>
      <w:r>
        <w:rPr>
          <w:spacing w:val="-4"/>
          <w:sz w:val="20"/>
        </w:rPr>
        <w:t> </w:t>
      </w:r>
      <w:r>
        <w:rPr>
          <w:sz w:val="20"/>
        </w:rPr>
        <w:t>Z47.8,</w:t>
      </w:r>
      <w:r>
        <w:rPr>
          <w:spacing w:val="-4"/>
          <w:sz w:val="20"/>
        </w:rPr>
        <w:t> </w:t>
      </w:r>
      <w:r>
        <w:rPr>
          <w:sz w:val="20"/>
        </w:rPr>
        <w:t>Z47.9,</w:t>
      </w:r>
      <w:r>
        <w:rPr>
          <w:spacing w:val="-4"/>
          <w:sz w:val="20"/>
        </w:rPr>
        <w:t> </w:t>
      </w:r>
      <w:r>
        <w:rPr>
          <w:sz w:val="20"/>
        </w:rPr>
        <w:t>Z48,</w:t>
      </w:r>
      <w:r>
        <w:rPr>
          <w:spacing w:val="-4"/>
          <w:sz w:val="20"/>
        </w:rPr>
        <w:t> </w:t>
      </w:r>
      <w:r>
        <w:rPr>
          <w:sz w:val="20"/>
        </w:rPr>
        <w:t>Z48.0,</w:t>
      </w:r>
      <w:r>
        <w:rPr>
          <w:spacing w:val="-4"/>
          <w:sz w:val="20"/>
        </w:rPr>
        <w:t> </w:t>
      </w:r>
      <w:r>
        <w:rPr>
          <w:spacing w:val="-2"/>
          <w:sz w:val="20"/>
        </w:rPr>
        <w:t>Z48.8,</w:t>
      </w:r>
    </w:p>
    <w:p>
      <w:pPr>
        <w:spacing w:line="229" w:lineRule="exact" w:before="1"/>
        <w:ind w:left="1158" w:right="4154" w:firstLine="0"/>
        <w:jc w:val="center"/>
        <w:rPr>
          <w:sz w:val="20"/>
        </w:rPr>
      </w:pPr>
      <w:r>
        <w:rPr>
          <w:sz w:val="20"/>
        </w:rPr>
        <w:t>Z48.9,</w:t>
      </w:r>
      <w:r>
        <w:rPr>
          <w:spacing w:val="-5"/>
          <w:sz w:val="20"/>
        </w:rPr>
        <w:t> </w:t>
      </w:r>
      <w:r>
        <w:rPr>
          <w:sz w:val="20"/>
        </w:rPr>
        <w:t>Z49,</w:t>
      </w:r>
      <w:r>
        <w:rPr>
          <w:spacing w:val="-5"/>
          <w:sz w:val="20"/>
        </w:rPr>
        <w:t> </w:t>
      </w:r>
      <w:r>
        <w:rPr>
          <w:sz w:val="20"/>
        </w:rPr>
        <w:t>Z49.0,</w:t>
      </w:r>
      <w:r>
        <w:rPr>
          <w:spacing w:val="-4"/>
          <w:sz w:val="20"/>
        </w:rPr>
        <w:t> </w:t>
      </w:r>
      <w:r>
        <w:rPr>
          <w:sz w:val="20"/>
        </w:rPr>
        <w:t>Z49.1,</w:t>
      </w:r>
      <w:r>
        <w:rPr>
          <w:spacing w:val="-5"/>
          <w:sz w:val="20"/>
        </w:rPr>
        <w:t> </w:t>
      </w:r>
      <w:r>
        <w:rPr>
          <w:sz w:val="20"/>
        </w:rPr>
        <w:t>Z49.2,</w:t>
      </w:r>
      <w:r>
        <w:rPr>
          <w:spacing w:val="-4"/>
          <w:sz w:val="20"/>
        </w:rPr>
        <w:t> </w:t>
      </w:r>
      <w:r>
        <w:rPr>
          <w:sz w:val="20"/>
        </w:rPr>
        <w:t>Z50,</w:t>
      </w:r>
      <w:r>
        <w:rPr>
          <w:spacing w:val="-5"/>
          <w:sz w:val="20"/>
        </w:rPr>
        <w:t> </w:t>
      </w:r>
      <w:r>
        <w:rPr>
          <w:spacing w:val="-2"/>
          <w:sz w:val="20"/>
        </w:rPr>
        <w:t>Z50.0,</w:t>
      </w:r>
    </w:p>
    <w:p>
      <w:pPr>
        <w:spacing w:line="229" w:lineRule="exact" w:before="0"/>
        <w:ind w:left="1162" w:right="4154" w:firstLine="0"/>
        <w:jc w:val="center"/>
        <w:rPr>
          <w:sz w:val="20"/>
        </w:rPr>
      </w:pPr>
      <w:r>
        <w:rPr>
          <w:sz w:val="20"/>
        </w:rPr>
        <w:t>Z50.1,</w:t>
      </w:r>
      <w:r>
        <w:rPr>
          <w:spacing w:val="-6"/>
          <w:sz w:val="20"/>
        </w:rPr>
        <w:t> </w:t>
      </w:r>
      <w:r>
        <w:rPr>
          <w:sz w:val="20"/>
        </w:rPr>
        <w:t>Z50.2,</w:t>
      </w:r>
      <w:r>
        <w:rPr>
          <w:spacing w:val="-5"/>
          <w:sz w:val="20"/>
        </w:rPr>
        <w:t> </w:t>
      </w:r>
      <w:r>
        <w:rPr>
          <w:sz w:val="20"/>
        </w:rPr>
        <w:t>Z50.3,</w:t>
      </w:r>
      <w:r>
        <w:rPr>
          <w:spacing w:val="-5"/>
          <w:sz w:val="20"/>
        </w:rPr>
        <w:t> </w:t>
      </w:r>
      <w:r>
        <w:rPr>
          <w:sz w:val="20"/>
        </w:rPr>
        <w:t>Z50.4,</w:t>
      </w:r>
      <w:r>
        <w:rPr>
          <w:spacing w:val="-5"/>
          <w:sz w:val="20"/>
        </w:rPr>
        <w:t> </w:t>
      </w:r>
      <w:r>
        <w:rPr>
          <w:sz w:val="20"/>
        </w:rPr>
        <w:t>Z50.5,</w:t>
      </w:r>
      <w:r>
        <w:rPr>
          <w:spacing w:val="-5"/>
          <w:sz w:val="20"/>
        </w:rPr>
        <w:t> </w:t>
      </w:r>
      <w:r>
        <w:rPr>
          <w:sz w:val="20"/>
        </w:rPr>
        <w:t>Z50.6,</w:t>
      </w:r>
      <w:r>
        <w:rPr>
          <w:spacing w:val="-5"/>
          <w:sz w:val="20"/>
        </w:rPr>
        <w:t> </w:t>
      </w:r>
      <w:r>
        <w:rPr>
          <w:spacing w:val="-2"/>
          <w:sz w:val="20"/>
        </w:rPr>
        <w:t>Z50.7,</w:t>
      </w:r>
    </w:p>
    <w:p>
      <w:pPr>
        <w:spacing w:before="0"/>
        <w:ind w:left="4681" w:right="0" w:firstLine="0"/>
        <w:jc w:val="left"/>
        <w:rPr>
          <w:sz w:val="20"/>
        </w:rPr>
      </w:pPr>
      <w:r>
        <w:rPr>
          <w:sz w:val="20"/>
        </w:rPr>
        <w:t>Z50.8,</w:t>
      </w:r>
      <w:r>
        <w:rPr>
          <w:spacing w:val="-6"/>
          <w:sz w:val="20"/>
        </w:rPr>
        <w:t> </w:t>
      </w:r>
      <w:r>
        <w:rPr>
          <w:sz w:val="20"/>
        </w:rPr>
        <w:t>Z50.9,</w:t>
      </w:r>
      <w:r>
        <w:rPr>
          <w:spacing w:val="-5"/>
          <w:sz w:val="20"/>
        </w:rPr>
        <w:t> </w:t>
      </w:r>
      <w:r>
        <w:rPr>
          <w:sz w:val="20"/>
        </w:rPr>
        <w:t>Z51,</w:t>
      </w:r>
      <w:r>
        <w:rPr>
          <w:spacing w:val="-5"/>
          <w:sz w:val="20"/>
        </w:rPr>
        <w:t> </w:t>
      </w:r>
      <w:r>
        <w:rPr>
          <w:sz w:val="20"/>
        </w:rPr>
        <w:t>Z51.0,</w:t>
      </w:r>
      <w:r>
        <w:rPr>
          <w:spacing w:val="-5"/>
          <w:sz w:val="20"/>
        </w:rPr>
        <w:t> </w:t>
      </w:r>
      <w:r>
        <w:rPr>
          <w:sz w:val="20"/>
        </w:rPr>
        <w:t>Z51.1,</w:t>
      </w:r>
      <w:r>
        <w:rPr>
          <w:spacing w:val="-5"/>
          <w:sz w:val="20"/>
        </w:rPr>
        <w:t> </w:t>
      </w:r>
      <w:r>
        <w:rPr>
          <w:sz w:val="20"/>
        </w:rPr>
        <w:t>Z51.2,</w:t>
      </w:r>
      <w:r>
        <w:rPr>
          <w:spacing w:val="-5"/>
          <w:sz w:val="20"/>
        </w:rPr>
        <w:t> </w:t>
      </w:r>
      <w:r>
        <w:rPr>
          <w:spacing w:val="-2"/>
          <w:sz w:val="20"/>
        </w:rPr>
        <w:t>Z51.3,</w:t>
      </w:r>
    </w:p>
    <w:p>
      <w:pPr>
        <w:spacing w:before="1"/>
        <w:ind w:left="4681" w:right="0" w:firstLine="0"/>
        <w:jc w:val="left"/>
        <w:rPr>
          <w:sz w:val="20"/>
        </w:rPr>
      </w:pPr>
      <w:r>
        <w:rPr>
          <w:sz w:val="20"/>
        </w:rPr>
        <w:t>Z51.4,</w:t>
      </w:r>
      <w:r>
        <w:rPr>
          <w:spacing w:val="-5"/>
          <w:sz w:val="20"/>
        </w:rPr>
        <w:t> </w:t>
      </w:r>
      <w:r>
        <w:rPr>
          <w:sz w:val="20"/>
        </w:rPr>
        <w:t>Z51.5,</w:t>
      </w:r>
      <w:r>
        <w:rPr>
          <w:spacing w:val="-5"/>
          <w:sz w:val="20"/>
        </w:rPr>
        <w:t> </w:t>
      </w:r>
      <w:r>
        <w:rPr>
          <w:sz w:val="20"/>
        </w:rPr>
        <w:t>Z51.6,</w:t>
      </w:r>
      <w:r>
        <w:rPr>
          <w:spacing w:val="-4"/>
          <w:sz w:val="20"/>
        </w:rPr>
        <w:t> </w:t>
      </w:r>
      <w:r>
        <w:rPr>
          <w:sz w:val="20"/>
        </w:rPr>
        <w:t>Z51.8,</w:t>
      </w:r>
      <w:r>
        <w:rPr>
          <w:spacing w:val="-5"/>
          <w:sz w:val="20"/>
        </w:rPr>
        <w:t> </w:t>
      </w:r>
      <w:r>
        <w:rPr>
          <w:sz w:val="20"/>
        </w:rPr>
        <w:t>Z51.9,</w:t>
      </w:r>
      <w:r>
        <w:rPr>
          <w:spacing w:val="-5"/>
          <w:sz w:val="20"/>
        </w:rPr>
        <w:t> </w:t>
      </w:r>
      <w:r>
        <w:rPr>
          <w:sz w:val="20"/>
        </w:rPr>
        <w:t>Z52,</w:t>
      </w:r>
      <w:r>
        <w:rPr>
          <w:spacing w:val="-6"/>
          <w:sz w:val="20"/>
        </w:rPr>
        <w:t> </w:t>
      </w:r>
      <w:r>
        <w:rPr>
          <w:spacing w:val="-2"/>
          <w:sz w:val="20"/>
        </w:rPr>
        <w:t>Z52.0,</w:t>
      </w:r>
    </w:p>
    <w:p>
      <w:pPr>
        <w:spacing w:before="0"/>
        <w:ind w:left="4607" w:right="0" w:firstLine="0"/>
        <w:jc w:val="left"/>
        <w:rPr>
          <w:sz w:val="20"/>
        </w:rPr>
      </w:pPr>
      <w:r>
        <w:rPr>
          <w:sz w:val="20"/>
        </w:rPr>
        <w:t>Z52.1,</w:t>
      </w:r>
      <w:r>
        <w:rPr>
          <w:spacing w:val="-6"/>
          <w:sz w:val="20"/>
        </w:rPr>
        <w:t> </w:t>
      </w:r>
      <w:r>
        <w:rPr>
          <w:sz w:val="20"/>
        </w:rPr>
        <w:t>Z52.2,</w:t>
      </w:r>
      <w:r>
        <w:rPr>
          <w:spacing w:val="-5"/>
          <w:sz w:val="20"/>
        </w:rPr>
        <w:t> </w:t>
      </w:r>
      <w:r>
        <w:rPr>
          <w:sz w:val="20"/>
        </w:rPr>
        <w:t>Z52.3,</w:t>
      </w:r>
      <w:r>
        <w:rPr>
          <w:spacing w:val="-5"/>
          <w:sz w:val="20"/>
        </w:rPr>
        <w:t> </w:t>
      </w:r>
      <w:r>
        <w:rPr>
          <w:sz w:val="20"/>
        </w:rPr>
        <w:t>Z52.4,</w:t>
      </w:r>
      <w:r>
        <w:rPr>
          <w:spacing w:val="-5"/>
          <w:sz w:val="20"/>
        </w:rPr>
        <w:t> </w:t>
      </w:r>
      <w:r>
        <w:rPr>
          <w:sz w:val="20"/>
        </w:rPr>
        <w:t>Z52.5,</w:t>
      </w:r>
      <w:r>
        <w:rPr>
          <w:spacing w:val="-5"/>
          <w:sz w:val="20"/>
        </w:rPr>
        <w:t> </w:t>
      </w:r>
      <w:r>
        <w:rPr>
          <w:sz w:val="20"/>
        </w:rPr>
        <w:t>Z52.8,</w:t>
      </w:r>
      <w:r>
        <w:rPr>
          <w:spacing w:val="-5"/>
          <w:sz w:val="20"/>
        </w:rPr>
        <w:t> </w:t>
      </w:r>
      <w:r>
        <w:rPr>
          <w:spacing w:val="-2"/>
          <w:sz w:val="20"/>
        </w:rPr>
        <w:t>Z52.9,</w:t>
      </w:r>
    </w:p>
    <w:p>
      <w:pPr>
        <w:spacing w:before="0"/>
        <w:ind w:left="4756" w:right="0" w:firstLine="0"/>
        <w:jc w:val="left"/>
        <w:rPr>
          <w:sz w:val="20"/>
        </w:rPr>
      </w:pPr>
      <w:r>
        <w:rPr>
          <w:sz w:val="20"/>
        </w:rPr>
        <w:t>Z53,</w:t>
      </w:r>
      <w:r>
        <w:rPr>
          <w:spacing w:val="-6"/>
          <w:sz w:val="20"/>
        </w:rPr>
        <w:t> </w:t>
      </w:r>
      <w:r>
        <w:rPr>
          <w:sz w:val="20"/>
        </w:rPr>
        <w:t>Z53.0,</w:t>
      </w:r>
      <w:r>
        <w:rPr>
          <w:spacing w:val="-5"/>
          <w:sz w:val="20"/>
        </w:rPr>
        <w:t> </w:t>
      </w:r>
      <w:r>
        <w:rPr>
          <w:sz w:val="20"/>
        </w:rPr>
        <w:t>Z53.1,</w:t>
      </w:r>
      <w:r>
        <w:rPr>
          <w:spacing w:val="-5"/>
          <w:sz w:val="20"/>
        </w:rPr>
        <w:t> </w:t>
      </w:r>
      <w:r>
        <w:rPr>
          <w:sz w:val="20"/>
        </w:rPr>
        <w:t>Z53.2,</w:t>
      </w:r>
      <w:r>
        <w:rPr>
          <w:spacing w:val="-5"/>
          <w:sz w:val="20"/>
        </w:rPr>
        <w:t> </w:t>
      </w:r>
      <w:r>
        <w:rPr>
          <w:sz w:val="20"/>
        </w:rPr>
        <w:t>Z53.8,</w:t>
      </w:r>
      <w:r>
        <w:rPr>
          <w:spacing w:val="-5"/>
          <w:sz w:val="20"/>
        </w:rPr>
        <w:t> </w:t>
      </w:r>
      <w:r>
        <w:rPr>
          <w:sz w:val="20"/>
        </w:rPr>
        <w:t>Z53.9,</w:t>
      </w:r>
      <w:r>
        <w:rPr>
          <w:spacing w:val="-5"/>
          <w:sz w:val="20"/>
        </w:rPr>
        <w:t> </w:t>
      </w:r>
      <w:r>
        <w:rPr>
          <w:spacing w:val="-4"/>
          <w:sz w:val="20"/>
        </w:rPr>
        <w:t>Z54,</w:t>
      </w:r>
    </w:p>
    <w:p>
      <w:pPr>
        <w:spacing w:line="229" w:lineRule="exact" w:before="1"/>
        <w:ind w:left="4607" w:right="0" w:firstLine="0"/>
        <w:jc w:val="left"/>
        <w:rPr>
          <w:sz w:val="20"/>
        </w:rPr>
      </w:pPr>
      <w:r>
        <w:rPr>
          <w:sz w:val="20"/>
        </w:rPr>
        <w:t>Z54.0,</w:t>
      </w:r>
      <w:r>
        <w:rPr>
          <w:spacing w:val="-6"/>
          <w:sz w:val="20"/>
        </w:rPr>
        <w:t> </w:t>
      </w:r>
      <w:r>
        <w:rPr>
          <w:sz w:val="20"/>
        </w:rPr>
        <w:t>Z54.1,</w:t>
      </w:r>
      <w:r>
        <w:rPr>
          <w:spacing w:val="-5"/>
          <w:sz w:val="20"/>
        </w:rPr>
        <w:t> </w:t>
      </w:r>
      <w:r>
        <w:rPr>
          <w:sz w:val="20"/>
        </w:rPr>
        <w:t>Z54.2,</w:t>
      </w:r>
      <w:r>
        <w:rPr>
          <w:spacing w:val="-5"/>
          <w:sz w:val="20"/>
        </w:rPr>
        <w:t> </w:t>
      </w:r>
      <w:r>
        <w:rPr>
          <w:sz w:val="20"/>
        </w:rPr>
        <w:t>Z54.3,</w:t>
      </w:r>
      <w:r>
        <w:rPr>
          <w:spacing w:val="-5"/>
          <w:sz w:val="20"/>
        </w:rPr>
        <w:t> </w:t>
      </w:r>
      <w:r>
        <w:rPr>
          <w:sz w:val="20"/>
        </w:rPr>
        <w:t>Z54.4,</w:t>
      </w:r>
      <w:r>
        <w:rPr>
          <w:spacing w:val="-5"/>
          <w:sz w:val="20"/>
        </w:rPr>
        <w:t> </w:t>
      </w:r>
      <w:r>
        <w:rPr>
          <w:sz w:val="20"/>
        </w:rPr>
        <w:t>Z54.7,</w:t>
      </w:r>
      <w:r>
        <w:rPr>
          <w:spacing w:val="-5"/>
          <w:sz w:val="20"/>
        </w:rPr>
        <w:t> </w:t>
      </w:r>
      <w:r>
        <w:rPr>
          <w:spacing w:val="-2"/>
          <w:sz w:val="20"/>
        </w:rPr>
        <w:t>Z54.8,</w:t>
      </w:r>
    </w:p>
    <w:p>
      <w:pPr>
        <w:spacing w:line="229" w:lineRule="exact" w:before="0"/>
        <w:ind w:left="4681" w:right="0" w:firstLine="0"/>
        <w:jc w:val="left"/>
        <w:rPr>
          <w:sz w:val="20"/>
        </w:rPr>
      </w:pPr>
      <w:r>
        <w:rPr>
          <w:sz w:val="20"/>
        </w:rPr>
        <w:t>Z54.9,</w:t>
      </w:r>
      <w:r>
        <w:rPr>
          <w:spacing w:val="-6"/>
          <w:sz w:val="20"/>
        </w:rPr>
        <w:t> </w:t>
      </w:r>
      <w:r>
        <w:rPr>
          <w:sz w:val="20"/>
        </w:rPr>
        <w:t>Z57,</w:t>
      </w:r>
      <w:r>
        <w:rPr>
          <w:spacing w:val="-5"/>
          <w:sz w:val="20"/>
        </w:rPr>
        <w:t> </w:t>
      </w:r>
      <w:r>
        <w:rPr>
          <w:sz w:val="20"/>
        </w:rPr>
        <w:t>Z57.0,</w:t>
      </w:r>
      <w:r>
        <w:rPr>
          <w:spacing w:val="-5"/>
          <w:sz w:val="20"/>
        </w:rPr>
        <w:t> </w:t>
      </w:r>
      <w:r>
        <w:rPr>
          <w:sz w:val="20"/>
        </w:rPr>
        <w:t>Z57.1,</w:t>
      </w:r>
      <w:r>
        <w:rPr>
          <w:spacing w:val="-5"/>
          <w:sz w:val="20"/>
        </w:rPr>
        <w:t> </w:t>
      </w:r>
      <w:r>
        <w:rPr>
          <w:sz w:val="20"/>
        </w:rPr>
        <w:t>Z57.2,</w:t>
      </w:r>
      <w:r>
        <w:rPr>
          <w:spacing w:val="-5"/>
          <w:sz w:val="20"/>
        </w:rPr>
        <w:t> </w:t>
      </w:r>
      <w:r>
        <w:rPr>
          <w:sz w:val="20"/>
        </w:rPr>
        <w:t>Z57.3,</w:t>
      </w:r>
      <w:r>
        <w:rPr>
          <w:spacing w:val="-5"/>
          <w:sz w:val="20"/>
        </w:rPr>
        <w:t> </w:t>
      </w:r>
      <w:r>
        <w:rPr>
          <w:spacing w:val="-2"/>
          <w:sz w:val="20"/>
        </w:rPr>
        <w:t>Z57.4,</w:t>
      </w:r>
    </w:p>
    <w:p>
      <w:pPr>
        <w:spacing w:before="1"/>
        <w:ind w:left="4681" w:right="0" w:firstLine="0"/>
        <w:jc w:val="left"/>
        <w:rPr>
          <w:sz w:val="20"/>
        </w:rPr>
      </w:pPr>
      <w:r>
        <w:rPr>
          <w:sz w:val="20"/>
        </w:rPr>
        <w:t>Z57.5,</w:t>
      </w:r>
      <w:r>
        <w:rPr>
          <w:spacing w:val="-5"/>
          <w:sz w:val="20"/>
        </w:rPr>
        <w:t> </w:t>
      </w:r>
      <w:r>
        <w:rPr>
          <w:sz w:val="20"/>
        </w:rPr>
        <w:t>Z57.6,</w:t>
      </w:r>
      <w:r>
        <w:rPr>
          <w:spacing w:val="-5"/>
          <w:sz w:val="20"/>
        </w:rPr>
        <w:t> </w:t>
      </w:r>
      <w:r>
        <w:rPr>
          <w:sz w:val="20"/>
        </w:rPr>
        <w:t>Z57.7,</w:t>
      </w:r>
      <w:r>
        <w:rPr>
          <w:spacing w:val="-4"/>
          <w:sz w:val="20"/>
        </w:rPr>
        <w:t> </w:t>
      </w:r>
      <w:r>
        <w:rPr>
          <w:sz w:val="20"/>
        </w:rPr>
        <w:t>Z57.8,</w:t>
      </w:r>
      <w:r>
        <w:rPr>
          <w:spacing w:val="-5"/>
          <w:sz w:val="20"/>
        </w:rPr>
        <w:t> </w:t>
      </w:r>
      <w:r>
        <w:rPr>
          <w:sz w:val="20"/>
        </w:rPr>
        <w:t>Z57.9,</w:t>
      </w:r>
      <w:r>
        <w:rPr>
          <w:spacing w:val="-5"/>
          <w:sz w:val="20"/>
        </w:rPr>
        <w:t> </w:t>
      </w:r>
      <w:r>
        <w:rPr>
          <w:sz w:val="20"/>
        </w:rPr>
        <w:t>Z58,</w:t>
      </w:r>
      <w:r>
        <w:rPr>
          <w:spacing w:val="-6"/>
          <w:sz w:val="20"/>
        </w:rPr>
        <w:t> </w:t>
      </w:r>
      <w:r>
        <w:rPr>
          <w:spacing w:val="-2"/>
          <w:sz w:val="20"/>
        </w:rPr>
        <w:t>Z58.0,</w:t>
      </w:r>
    </w:p>
    <w:p>
      <w:pPr>
        <w:spacing w:before="0"/>
        <w:ind w:left="4607" w:right="0" w:firstLine="0"/>
        <w:jc w:val="left"/>
        <w:rPr>
          <w:sz w:val="20"/>
        </w:rPr>
      </w:pPr>
      <w:r>
        <w:rPr>
          <w:sz w:val="20"/>
        </w:rPr>
        <w:t>Z58.1,</w:t>
      </w:r>
      <w:r>
        <w:rPr>
          <w:spacing w:val="-6"/>
          <w:sz w:val="20"/>
        </w:rPr>
        <w:t> </w:t>
      </w:r>
      <w:r>
        <w:rPr>
          <w:sz w:val="20"/>
        </w:rPr>
        <w:t>Z58.2,</w:t>
      </w:r>
      <w:r>
        <w:rPr>
          <w:spacing w:val="-5"/>
          <w:sz w:val="20"/>
        </w:rPr>
        <w:t> </w:t>
      </w:r>
      <w:r>
        <w:rPr>
          <w:sz w:val="20"/>
        </w:rPr>
        <w:t>Z58.3,</w:t>
      </w:r>
      <w:r>
        <w:rPr>
          <w:spacing w:val="-5"/>
          <w:sz w:val="20"/>
        </w:rPr>
        <w:t> </w:t>
      </w:r>
      <w:r>
        <w:rPr>
          <w:sz w:val="20"/>
        </w:rPr>
        <w:t>Z58.4,</w:t>
      </w:r>
      <w:r>
        <w:rPr>
          <w:spacing w:val="-5"/>
          <w:sz w:val="20"/>
        </w:rPr>
        <w:t> </w:t>
      </w:r>
      <w:r>
        <w:rPr>
          <w:sz w:val="20"/>
        </w:rPr>
        <w:t>Z58.5,</w:t>
      </w:r>
      <w:r>
        <w:rPr>
          <w:spacing w:val="-5"/>
          <w:sz w:val="20"/>
        </w:rPr>
        <w:t> </w:t>
      </w:r>
      <w:r>
        <w:rPr>
          <w:sz w:val="20"/>
        </w:rPr>
        <w:t>Z58.6,</w:t>
      </w:r>
      <w:r>
        <w:rPr>
          <w:spacing w:val="-5"/>
          <w:sz w:val="20"/>
        </w:rPr>
        <w:t> </w:t>
      </w:r>
      <w:r>
        <w:rPr>
          <w:spacing w:val="-2"/>
          <w:sz w:val="20"/>
        </w:rPr>
        <w:t>Z58.8,</w:t>
      </w:r>
    </w:p>
    <w:p>
      <w:pPr>
        <w:spacing w:before="1"/>
        <w:ind w:left="4681" w:right="0" w:firstLine="0"/>
        <w:jc w:val="left"/>
        <w:rPr>
          <w:sz w:val="20"/>
        </w:rPr>
      </w:pPr>
      <w:r>
        <w:rPr>
          <w:sz w:val="20"/>
        </w:rPr>
        <w:t>Z58.9,</w:t>
      </w:r>
      <w:r>
        <w:rPr>
          <w:spacing w:val="-5"/>
          <w:sz w:val="20"/>
        </w:rPr>
        <w:t> </w:t>
      </w:r>
      <w:r>
        <w:rPr>
          <w:sz w:val="20"/>
        </w:rPr>
        <w:t>Z59,</w:t>
      </w:r>
      <w:r>
        <w:rPr>
          <w:spacing w:val="-5"/>
          <w:sz w:val="20"/>
        </w:rPr>
        <w:t> </w:t>
      </w:r>
      <w:r>
        <w:rPr>
          <w:sz w:val="20"/>
        </w:rPr>
        <w:t>Z59.0,</w:t>
      </w:r>
      <w:r>
        <w:rPr>
          <w:spacing w:val="-5"/>
          <w:sz w:val="20"/>
        </w:rPr>
        <w:t> </w:t>
      </w:r>
      <w:r>
        <w:rPr>
          <w:sz w:val="20"/>
        </w:rPr>
        <w:t>Z59.1,</w:t>
      </w:r>
      <w:r>
        <w:rPr>
          <w:spacing w:val="-5"/>
          <w:sz w:val="20"/>
        </w:rPr>
        <w:t> </w:t>
      </w:r>
      <w:r>
        <w:rPr>
          <w:sz w:val="20"/>
        </w:rPr>
        <w:t>Z59.2,</w:t>
      </w:r>
      <w:r>
        <w:rPr>
          <w:spacing w:val="-5"/>
          <w:sz w:val="20"/>
        </w:rPr>
        <w:t> </w:t>
      </w:r>
      <w:r>
        <w:rPr>
          <w:sz w:val="20"/>
        </w:rPr>
        <w:t>Z59.3,</w:t>
      </w:r>
      <w:r>
        <w:rPr>
          <w:spacing w:val="-4"/>
          <w:sz w:val="20"/>
        </w:rPr>
        <w:t> </w:t>
      </w:r>
      <w:r>
        <w:rPr>
          <w:spacing w:val="-2"/>
          <w:sz w:val="20"/>
        </w:rPr>
        <w:t>Z59.4,</w:t>
      </w:r>
    </w:p>
    <w:p>
      <w:pPr>
        <w:spacing w:before="0"/>
        <w:ind w:left="4681" w:right="0" w:firstLine="0"/>
        <w:jc w:val="left"/>
        <w:rPr>
          <w:sz w:val="20"/>
        </w:rPr>
      </w:pPr>
      <w:r>
        <w:rPr>
          <w:sz w:val="20"/>
        </w:rPr>
        <w:t>Z59.5,</w:t>
      </w:r>
      <w:r>
        <w:rPr>
          <w:spacing w:val="-5"/>
          <w:sz w:val="20"/>
        </w:rPr>
        <w:t> </w:t>
      </w:r>
      <w:r>
        <w:rPr>
          <w:sz w:val="20"/>
        </w:rPr>
        <w:t>Z59.6,</w:t>
      </w:r>
      <w:r>
        <w:rPr>
          <w:spacing w:val="-5"/>
          <w:sz w:val="20"/>
        </w:rPr>
        <w:t> </w:t>
      </w:r>
      <w:r>
        <w:rPr>
          <w:sz w:val="20"/>
        </w:rPr>
        <w:t>Z59.7,</w:t>
      </w:r>
      <w:r>
        <w:rPr>
          <w:spacing w:val="-4"/>
          <w:sz w:val="20"/>
        </w:rPr>
        <w:t> </w:t>
      </w:r>
      <w:r>
        <w:rPr>
          <w:sz w:val="20"/>
        </w:rPr>
        <w:t>Z59.8,</w:t>
      </w:r>
      <w:r>
        <w:rPr>
          <w:spacing w:val="-5"/>
          <w:sz w:val="20"/>
        </w:rPr>
        <w:t> </w:t>
      </w:r>
      <w:r>
        <w:rPr>
          <w:sz w:val="20"/>
        </w:rPr>
        <w:t>Z59.9,</w:t>
      </w:r>
      <w:r>
        <w:rPr>
          <w:spacing w:val="-5"/>
          <w:sz w:val="20"/>
        </w:rPr>
        <w:t> </w:t>
      </w:r>
      <w:r>
        <w:rPr>
          <w:sz w:val="20"/>
        </w:rPr>
        <w:t>Z60,</w:t>
      </w:r>
      <w:r>
        <w:rPr>
          <w:spacing w:val="-6"/>
          <w:sz w:val="20"/>
        </w:rPr>
        <w:t> </w:t>
      </w:r>
      <w:r>
        <w:rPr>
          <w:spacing w:val="-2"/>
          <w:sz w:val="20"/>
        </w:rPr>
        <w:t>Z60.0,</w:t>
      </w:r>
    </w:p>
    <w:p>
      <w:pPr>
        <w:spacing w:line="229" w:lineRule="exact" w:before="1"/>
        <w:ind w:left="4607" w:right="0" w:firstLine="0"/>
        <w:jc w:val="left"/>
        <w:rPr>
          <w:sz w:val="20"/>
        </w:rPr>
      </w:pPr>
      <w:r>
        <w:rPr>
          <w:sz w:val="20"/>
        </w:rPr>
        <w:t>Z60.1,</w:t>
      </w:r>
      <w:r>
        <w:rPr>
          <w:spacing w:val="-6"/>
          <w:sz w:val="20"/>
        </w:rPr>
        <w:t> </w:t>
      </w:r>
      <w:r>
        <w:rPr>
          <w:sz w:val="20"/>
        </w:rPr>
        <w:t>Z60.2,</w:t>
      </w:r>
      <w:r>
        <w:rPr>
          <w:spacing w:val="-5"/>
          <w:sz w:val="20"/>
        </w:rPr>
        <w:t> </w:t>
      </w:r>
      <w:r>
        <w:rPr>
          <w:sz w:val="20"/>
        </w:rPr>
        <w:t>Z60.3,</w:t>
      </w:r>
      <w:r>
        <w:rPr>
          <w:spacing w:val="-5"/>
          <w:sz w:val="20"/>
        </w:rPr>
        <w:t> </w:t>
      </w:r>
      <w:r>
        <w:rPr>
          <w:sz w:val="20"/>
        </w:rPr>
        <w:t>Z60.4,</w:t>
      </w:r>
      <w:r>
        <w:rPr>
          <w:spacing w:val="-5"/>
          <w:sz w:val="20"/>
        </w:rPr>
        <w:t> </w:t>
      </w:r>
      <w:r>
        <w:rPr>
          <w:sz w:val="20"/>
        </w:rPr>
        <w:t>Z60.5,</w:t>
      </w:r>
      <w:r>
        <w:rPr>
          <w:spacing w:val="-5"/>
          <w:sz w:val="20"/>
        </w:rPr>
        <w:t> </w:t>
      </w:r>
      <w:r>
        <w:rPr>
          <w:sz w:val="20"/>
        </w:rPr>
        <w:t>Z60.8,</w:t>
      </w:r>
      <w:r>
        <w:rPr>
          <w:spacing w:val="-5"/>
          <w:sz w:val="20"/>
        </w:rPr>
        <w:t> </w:t>
      </w:r>
      <w:r>
        <w:rPr>
          <w:spacing w:val="-2"/>
          <w:sz w:val="20"/>
        </w:rPr>
        <w:t>Z60.9,</w:t>
      </w:r>
    </w:p>
    <w:p>
      <w:pPr>
        <w:spacing w:line="229" w:lineRule="exact" w:before="0"/>
        <w:ind w:left="4681" w:right="0" w:firstLine="0"/>
        <w:jc w:val="left"/>
        <w:rPr>
          <w:sz w:val="20"/>
        </w:rPr>
      </w:pPr>
      <w:r>
        <w:rPr>
          <w:sz w:val="20"/>
        </w:rPr>
        <w:t>Z61,</w:t>
      </w:r>
      <w:r>
        <w:rPr>
          <w:spacing w:val="-6"/>
          <w:sz w:val="20"/>
        </w:rPr>
        <w:t> </w:t>
      </w:r>
      <w:r>
        <w:rPr>
          <w:sz w:val="20"/>
        </w:rPr>
        <w:t>Z61.0,</w:t>
      </w:r>
      <w:r>
        <w:rPr>
          <w:spacing w:val="-5"/>
          <w:sz w:val="20"/>
        </w:rPr>
        <w:t> </w:t>
      </w:r>
      <w:r>
        <w:rPr>
          <w:sz w:val="20"/>
        </w:rPr>
        <w:t>Z61.1,</w:t>
      </w:r>
      <w:r>
        <w:rPr>
          <w:spacing w:val="-5"/>
          <w:sz w:val="20"/>
        </w:rPr>
        <w:t> </w:t>
      </w:r>
      <w:r>
        <w:rPr>
          <w:sz w:val="20"/>
        </w:rPr>
        <w:t>Z61.2,</w:t>
      </w:r>
      <w:r>
        <w:rPr>
          <w:spacing w:val="-5"/>
          <w:sz w:val="20"/>
        </w:rPr>
        <w:t> </w:t>
      </w:r>
      <w:r>
        <w:rPr>
          <w:sz w:val="20"/>
        </w:rPr>
        <w:t>Z61.3,</w:t>
      </w:r>
      <w:r>
        <w:rPr>
          <w:spacing w:val="-5"/>
          <w:sz w:val="20"/>
        </w:rPr>
        <w:t> </w:t>
      </w:r>
      <w:r>
        <w:rPr>
          <w:sz w:val="20"/>
        </w:rPr>
        <w:t>Z61.4,</w:t>
      </w:r>
      <w:r>
        <w:rPr>
          <w:spacing w:val="-5"/>
          <w:sz w:val="20"/>
        </w:rPr>
        <w:t> </w:t>
      </w:r>
      <w:r>
        <w:rPr>
          <w:spacing w:val="-2"/>
          <w:sz w:val="20"/>
        </w:rPr>
        <w:t>Z61.5,</w:t>
      </w:r>
    </w:p>
    <w:p>
      <w:pPr>
        <w:spacing w:before="0"/>
        <w:ind w:left="4681" w:right="0" w:firstLine="0"/>
        <w:jc w:val="left"/>
        <w:rPr>
          <w:sz w:val="20"/>
        </w:rPr>
      </w:pPr>
      <w:r>
        <w:rPr>
          <w:sz w:val="20"/>
        </w:rPr>
        <w:t>Z61.6,</w:t>
      </w:r>
      <w:r>
        <w:rPr>
          <w:spacing w:val="-5"/>
          <w:sz w:val="20"/>
        </w:rPr>
        <w:t> </w:t>
      </w:r>
      <w:r>
        <w:rPr>
          <w:sz w:val="20"/>
        </w:rPr>
        <w:t>Z61.7,</w:t>
      </w:r>
      <w:r>
        <w:rPr>
          <w:spacing w:val="-5"/>
          <w:sz w:val="20"/>
        </w:rPr>
        <w:t> </w:t>
      </w:r>
      <w:r>
        <w:rPr>
          <w:sz w:val="20"/>
        </w:rPr>
        <w:t>Z61.8,</w:t>
      </w:r>
      <w:r>
        <w:rPr>
          <w:spacing w:val="-4"/>
          <w:sz w:val="20"/>
        </w:rPr>
        <w:t> </w:t>
      </w:r>
      <w:r>
        <w:rPr>
          <w:sz w:val="20"/>
        </w:rPr>
        <w:t>Z61.9,</w:t>
      </w:r>
      <w:r>
        <w:rPr>
          <w:spacing w:val="-5"/>
          <w:sz w:val="20"/>
        </w:rPr>
        <w:t> </w:t>
      </w:r>
      <w:r>
        <w:rPr>
          <w:sz w:val="20"/>
        </w:rPr>
        <w:t>Z62,</w:t>
      </w:r>
      <w:r>
        <w:rPr>
          <w:spacing w:val="-5"/>
          <w:sz w:val="20"/>
        </w:rPr>
        <w:t> </w:t>
      </w:r>
      <w:r>
        <w:rPr>
          <w:sz w:val="20"/>
        </w:rPr>
        <w:t>Z62.0,</w:t>
      </w:r>
      <w:r>
        <w:rPr>
          <w:spacing w:val="-6"/>
          <w:sz w:val="20"/>
        </w:rPr>
        <w:t> </w:t>
      </w:r>
      <w:r>
        <w:rPr>
          <w:spacing w:val="-2"/>
          <w:sz w:val="20"/>
        </w:rPr>
        <w:t>Z62.1,</w:t>
      </w:r>
    </w:p>
    <w:p>
      <w:pPr>
        <w:spacing w:before="0"/>
        <w:ind w:left="4607" w:right="0" w:firstLine="0"/>
        <w:jc w:val="left"/>
        <w:rPr>
          <w:sz w:val="20"/>
        </w:rPr>
      </w:pPr>
      <w:r>
        <w:rPr>
          <w:sz w:val="20"/>
        </w:rPr>
        <w:t>Z62.2,</w:t>
      </w:r>
      <w:r>
        <w:rPr>
          <w:spacing w:val="-5"/>
          <w:sz w:val="20"/>
        </w:rPr>
        <w:t> </w:t>
      </w:r>
      <w:r>
        <w:rPr>
          <w:sz w:val="20"/>
        </w:rPr>
        <w:t>Z62.3,</w:t>
      </w:r>
      <w:r>
        <w:rPr>
          <w:spacing w:val="-4"/>
          <w:sz w:val="20"/>
        </w:rPr>
        <w:t> </w:t>
      </w:r>
      <w:r>
        <w:rPr>
          <w:sz w:val="20"/>
        </w:rPr>
        <w:t>Z62.4,</w:t>
      </w:r>
      <w:r>
        <w:rPr>
          <w:spacing w:val="-4"/>
          <w:sz w:val="20"/>
        </w:rPr>
        <w:t> </w:t>
      </w:r>
      <w:r>
        <w:rPr>
          <w:sz w:val="20"/>
        </w:rPr>
        <w:t>Z62.5,</w:t>
      </w:r>
      <w:r>
        <w:rPr>
          <w:spacing w:val="-4"/>
          <w:sz w:val="20"/>
        </w:rPr>
        <w:t> </w:t>
      </w:r>
      <w:r>
        <w:rPr>
          <w:sz w:val="20"/>
        </w:rPr>
        <w:t>Z62.6,</w:t>
      </w:r>
      <w:r>
        <w:rPr>
          <w:spacing w:val="-4"/>
          <w:sz w:val="20"/>
        </w:rPr>
        <w:t> </w:t>
      </w:r>
      <w:r>
        <w:rPr>
          <w:sz w:val="20"/>
        </w:rPr>
        <w:t>Z62.8,</w:t>
      </w:r>
      <w:r>
        <w:rPr>
          <w:spacing w:val="-4"/>
          <w:sz w:val="20"/>
        </w:rPr>
        <w:t> </w:t>
      </w:r>
      <w:r>
        <w:rPr>
          <w:spacing w:val="-2"/>
          <w:sz w:val="20"/>
        </w:rPr>
        <w:t>Z62.9,</w:t>
      </w:r>
    </w:p>
    <w:p>
      <w:pPr>
        <w:spacing w:before="1"/>
        <w:ind w:left="4681" w:right="0" w:firstLine="0"/>
        <w:jc w:val="left"/>
        <w:rPr>
          <w:sz w:val="20"/>
        </w:rPr>
      </w:pPr>
      <w:r>
        <w:rPr>
          <w:sz w:val="20"/>
        </w:rPr>
        <w:t>Z63,</w:t>
      </w:r>
      <w:r>
        <w:rPr>
          <w:spacing w:val="-6"/>
          <w:sz w:val="20"/>
        </w:rPr>
        <w:t> </w:t>
      </w:r>
      <w:r>
        <w:rPr>
          <w:sz w:val="20"/>
        </w:rPr>
        <w:t>Z63.0,</w:t>
      </w:r>
      <w:r>
        <w:rPr>
          <w:spacing w:val="-5"/>
          <w:sz w:val="20"/>
        </w:rPr>
        <w:t> </w:t>
      </w:r>
      <w:r>
        <w:rPr>
          <w:sz w:val="20"/>
        </w:rPr>
        <w:t>Z63.1,</w:t>
      </w:r>
      <w:r>
        <w:rPr>
          <w:spacing w:val="-5"/>
          <w:sz w:val="20"/>
        </w:rPr>
        <w:t> </w:t>
      </w:r>
      <w:r>
        <w:rPr>
          <w:sz w:val="20"/>
        </w:rPr>
        <w:t>Z63.2,</w:t>
      </w:r>
      <w:r>
        <w:rPr>
          <w:spacing w:val="-5"/>
          <w:sz w:val="20"/>
        </w:rPr>
        <w:t> </w:t>
      </w:r>
      <w:r>
        <w:rPr>
          <w:sz w:val="20"/>
        </w:rPr>
        <w:t>Z63.3,</w:t>
      </w:r>
      <w:r>
        <w:rPr>
          <w:spacing w:val="-5"/>
          <w:sz w:val="20"/>
        </w:rPr>
        <w:t> </w:t>
      </w:r>
      <w:r>
        <w:rPr>
          <w:sz w:val="20"/>
        </w:rPr>
        <w:t>Z63.4,</w:t>
      </w:r>
      <w:r>
        <w:rPr>
          <w:spacing w:val="-5"/>
          <w:sz w:val="20"/>
        </w:rPr>
        <w:t> </w:t>
      </w:r>
      <w:r>
        <w:rPr>
          <w:spacing w:val="-2"/>
          <w:sz w:val="20"/>
        </w:rPr>
        <w:t>Z63.5,</w:t>
      </w:r>
    </w:p>
    <w:p>
      <w:pPr>
        <w:spacing w:before="1"/>
        <w:ind w:left="4681" w:right="0" w:firstLine="0"/>
        <w:jc w:val="left"/>
        <w:rPr>
          <w:sz w:val="20"/>
        </w:rPr>
      </w:pPr>
      <w:r>
        <w:rPr>
          <w:sz w:val="20"/>
        </w:rPr>
        <w:t>Z63.6,</w:t>
      </w:r>
      <w:r>
        <w:rPr>
          <w:spacing w:val="-5"/>
          <w:sz w:val="20"/>
        </w:rPr>
        <w:t> </w:t>
      </w:r>
      <w:r>
        <w:rPr>
          <w:sz w:val="20"/>
        </w:rPr>
        <w:t>Z63.7,</w:t>
      </w:r>
      <w:r>
        <w:rPr>
          <w:spacing w:val="-5"/>
          <w:sz w:val="20"/>
        </w:rPr>
        <w:t> </w:t>
      </w:r>
      <w:r>
        <w:rPr>
          <w:sz w:val="20"/>
        </w:rPr>
        <w:t>Z63.8,</w:t>
      </w:r>
      <w:r>
        <w:rPr>
          <w:spacing w:val="-4"/>
          <w:sz w:val="20"/>
        </w:rPr>
        <w:t> </w:t>
      </w:r>
      <w:r>
        <w:rPr>
          <w:sz w:val="20"/>
        </w:rPr>
        <w:t>Z63.9,</w:t>
      </w:r>
      <w:r>
        <w:rPr>
          <w:spacing w:val="-5"/>
          <w:sz w:val="20"/>
        </w:rPr>
        <w:t> </w:t>
      </w:r>
      <w:r>
        <w:rPr>
          <w:sz w:val="20"/>
        </w:rPr>
        <w:t>Z64,</w:t>
      </w:r>
      <w:r>
        <w:rPr>
          <w:spacing w:val="-5"/>
          <w:sz w:val="20"/>
        </w:rPr>
        <w:t> </w:t>
      </w:r>
      <w:r>
        <w:rPr>
          <w:sz w:val="20"/>
        </w:rPr>
        <w:t>Z64.0,</w:t>
      </w:r>
      <w:r>
        <w:rPr>
          <w:spacing w:val="-6"/>
          <w:sz w:val="20"/>
        </w:rPr>
        <w:t> </w:t>
      </w:r>
      <w:r>
        <w:rPr>
          <w:spacing w:val="-2"/>
          <w:sz w:val="20"/>
        </w:rPr>
        <w:t>Z64.1,</w:t>
      </w:r>
    </w:p>
    <w:p>
      <w:pPr>
        <w:spacing w:line="229" w:lineRule="exact" w:before="0"/>
        <w:ind w:left="4681" w:right="0" w:firstLine="0"/>
        <w:jc w:val="left"/>
        <w:rPr>
          <w:sz w:val="20"/>
        </w:rPr>
      </w:pPr>
      <w:r>
        <w:rPr>
          <w:sz w:val="20"/>
        </w:rPr>
        <w:t>Z64.2,</w:t>
      </w:r>
      <w:r>
        <w:rPr>
          <w:spacing w:val="-6"/>
          <w:sz w:val="20"/>
        </w:rPr>
        <w:t> </w:t>
      </w:r>
      <w:r>
        <w:rPr>
          <w:sz w:val="20"/>
        </w:rPr>
        <w:t>Z64.3,</w:t>
      </w:r>
      <w:r>
        <w:rPr>
          <w:spacing w:val="-5"/>
          <w:sz w:val="20"/>
        </w:rPr>
        <w:t> </w:t>
      </w:r>
      <w:r>
        <w:rPr>
          <w:sz w:val="20"/>
        </w:rPr>
        <w:t>Z64.4,</w:t>
      </w:r>
      <w:r>
        <w:rPr>
          <w:spacing w:val="-5"/>
          <w:sz w:val="20"/>
        </w:rPr>
        <w:t> </w:t>
      </w:r>
      <w:r>
        <w:rPr>
          <w:sz w:val="20"/>
        </w:rPr>
        <w:t>Z65,</w:t>
      </w:r>
      <w:r>
        <w:rPr>
          <w:spacing w:val="-5"/>
          <w:sz w:val="20"/>
        </w:rPr>
        <w:t> </w:t>
      </w:r>
      <w:r>
        <w:rPr>
          <w:sz w:val="20"/>
        </w:rPr>
        <w:t>Z65.0,</w:t>
      </w:r>
      <w:r>
        <w:rPr>
          <w:spacing w:val="-5"/>
          <w:sz w:val="20"/>
        </w:rPr>
        <w:t> </w:t>
      </w:r>
      <w:r>
        <w:rPr>
          <w:sz w:val="20"/>
        </w:rPr>
        <w:t>Z65.1,</w:t>
      </w:r>
      <w:r>
        <w:rPr>
          <w:spacing w:val="-5"/>
          <w:sz w:val="20"/>
        </w:rPr>
        <w:t> </w:t>
      </w:r>
      <w:r>
        <w:rPr>
          <w:spacing w:val="-2"/>
          <w:sz w:val="20"/>
        </w:rPr>
        <w:t>Z65.2,</w:t>
      </w:r>
    </w:p>
    <w:p>
      <w:pPr>
        <w:spacing w:line="229" w:lineRule="exact" w:before="0"/>
        <w:ind w:left="4681" w:right="0" w:firstLine="0"/>
        <w:jc w:val="left"/>
        <w:rPr>
          <w:sz w:val="20"/>
        </w:rPr>
      </w:pPr>
      <w:r>
        <w:rPr>
          <w:sz w:val="20"/>
        </w:rPr>
        <w:t>Z65.3,</w:t>
      </w:r>
      <w:r>
        <w:rPr>
          <w:spacing w:val="-5"/>
          <w:sz w:val="20"/>
        </w:rPr>
        <w:t> </w:t>
      </w:r>
      <w:r>
        <w:rPr>
          <w:sz w:val="20"/>
        </w:rPr>
        <w:t>Z65.4,</w:t>
      </w:r>
      <w:r>
        <w:rPr>
          <w:spacing w:val="-5"/>
          <w:sz w:val="20"/>
        </w:rPr>
        <w:t> </w:t>
      </w:r>
      <w:r>
        <w:rPr>
          <w:sz w:val="20"/>
        </w:rPr>
        <w:t>Z65.5,</w:t>
      </w:r>
      <w:r>
        <w:rPr>
          <w:spacing w:val="-4"/>
          <w:sz w:val="20"/>
        </w:rPr>
        <w:t> </w:t>
      </w:r>
      <w:r>
        <w:rPr>
          <w:sz w:val="20"/>
        </w:rPr>
        <w:t>Z65.8,</w:t>
      </w:r>
      <w:r>
        <w:rPr>
          <w:spacing w:val="-5"/>
          <w:sz w:val="20"/>
        </w:rPr>
        <w:t> </w:t>
      </w:r>
      <w:r>
        <w:rPr>
          <w:sz w:val="20"/>
        </w:rPr>
        <w:t>Z65.9,</w:t>
      </w:r>
      <w:r>
        <w:rPr>
          <w:spacing w:val="-5"/>
          <w:sz w:val="20"/>
        </w:rPr>
        <w:t> </w:t>
      </w:r>
      <w:r>
        <w:rPr>
          <w:sz w:val="20"/>
        </w:rPr>
        <w:t>Z70,</w:t>
      </w:r>
      <w:r>
        <w:rPr>
          <w:spacing w:val="-6"/>
          <w:sz w:val="20"/>
        </w:rPr>
        <w:t> </w:t>
      </w:r>
      <w:r>
        <w:rPr>
          <w:spacing w:val="-2"/>
          <w:sz w:val="20"/>
        </w:rPr>
        <w:t>Z70.0,</w:t>
      </w:r>
    </w:p>
    <w:p>
      <w:pPr>
        <w:spacing w:before="0"/>
        <w:ind w:left="4681" w:right="0" w:firstLine="0"/>
        <w:jc w:val="left"/>
        <w:rPr>
          <w:sz w:val="20"/>
        </w:rPr>
      </w:pPr>
      <w:r>
        <w:rPr>
          <w:sz w:val="20"/>
        </w:rPr>
        <w:t>Z70.1,</w:t>
      </w:r>
      <w:r>
        <w:rPr>
          <w:spacing w:val="-5"/>
          <w:sz w:val="20"/>
        </w:rPr>
        <w:t> </w:t>
      </w:r>
      <w:r>
        <w:rPr>
          <w:sz w:val="20"/>
        </w:rPr>
        <w:t>Z70.2,</w:t>
      </w:r>
      <w:r>
        <w:rPr>
          <w:spacing w:val="-5"/>
          <w:sz w:val="20"/>
        </w:rPr>
        <w:t> </w:t>
      </w:r>
      <w:r>
        <w:rPr>
          <w:sz w:val="20"/>
        </w:rPr>
        <w:t>Z70.3,</w:t>
      </w:r>
      <w:r>
        <w:rPr>
          <w:spacing w:val="-4"/>
          <w:sz w:val="20"/>
        </w:rPr>
        <w:t> </w:t>
      </w:r>
      <w:r>
        <w:rPr>
          <w:sz w:val="20"/>
        </w:rPr>
        <w:t>Z70.8,</w:t>
      </w:r>
      <w:r>
        <w:rPr>
          <w:spacing w:val="-5"/>
          <w:sz w:val="20"/>
        </w:rPr>
        <w:t> </w:t>
      </w:r>
      <w:r>
        <w:rPr>
          <w:sz w:val="20"/>
        </w:rPr>
        <w:t>Z70.9,</w:t>
      </w:r>
      <w:r>
        <w:rPr>
          <w:spacing w:val="-5"/>
          <w:sz w:val="20"/>
        </w:rPr>
        <w:t> </w:t>
      </w:r>
      <w:r>
        <w:rPr>
          <w:sz w:val="20"/>
        </w:rPr>
        <w:t>Z71,</w:t>
      </w:r>
      <w:r>
        <w:rPr>
          <w:spacing w:val="-6"/>
          <w:sz w:val="20"/>
        </w:rPr>
        <w:t> </w:t>
      </w:r>
      <w:r>
        <w:rPr>
          <w:spacing w:val="-2"/>
          <w:sz w:val="20"/>
        </w:rPr>
        <w:t>Z71.0,</w:t>
      </w:r>
    </w:p>
    <w:p>
      <w:pPr>
        <w:spacing w:before="1"/>
        <w:ind w:left="4607" w:right="0" w:firstLine="0"/>
        <w:jc w:val="left"/>
        <w:rPr>
          <w:sz w:val="20"/>
        </w:rPr>
      </w:pPr>
      <w:r>
        <w:rPr>
          <w:sz w:val="20"/>
        </w:rPr>
        <w:t>Z71.1,</w:t>
      </w:r>
      <w:r>
        <w:rPr>
          <w:spacing w:val="-5"/>
          <w:sz w:val="20"/>
        </w:rPr>
        <w:t> </w:t>
      </w:r>
      <w:r>
        <w:rPr>
          <w:sz w:val="20"/>
        </w:rPr>
        <w:t>Z71.2,</w:t>
      </w:r>
      <w:r>
        <w:rPr>
          <w:spacing w:val="-5"/>
          <w:sz w:val="20"/>
        </w:rPr>
        <w:t> </w:t>
      </w:r>
      <w:r>
        <w:rPr>
          <w:sz w:val="20"/>
        </w:rPr>
        <w:t>Z71.3,</w:t>
      </w:r>
      <w:r>
        <w:rPr>
          <w:spacing w:val="-5"/>
          <w:sz w:val="20"/>
        </w:rPr>
        <w:t> </w:t>
      </w:r>
      <w:r>
        <w:rPr>
          <w:sz w:val="20"/>
        </w:rPr>
        <w:t>Z71.4,</w:t>
      </w:r>
      <w:r>
        <w:rPr>
          <w:spacing w:val="-5"/>
          <w:sz w:val="20"/>
        </w:rPr>
        <w:t> </w:t>
      </w:r>
      <w:r>
        <w:rPr>
          <w:sz w:val="20"/>
        </w:rPr>
        <w:t>Z71.5,</w:t>
      </w:r>
      <w:r>
        <w:rPr>
          <w:spacing w:val="-5"/>
          <w:sz w:val="20"/>
        </w:rPr>
        <w:t> </w:t>
      </w:r>
      <w:r>
        <w:rPr>
          <w:sz w:val="20"/>
        </w:rPr>
        <w:t>Z71.6,</w:t>
      </w:r>
      <w:r>
        <w:rPr>
          <w:spacing w:val="-5"/>
          <w:sz w:val="20"/>
        </w:rPr>
        <w:t> </w:t>
      </w:r>
      <w:r>
        <w:rPr>
          <w:spacing w:val="-2"/>
          <w:sz w:val="20"/>
        </w:rPr>
        <w:t>Z71.7,</w:t>
      </w:r>
    </w:p>
    <w:p>
      <w:pPr>
        <w:spacing w:before="0"/>
        <w:ind w:left="4681" w:right="0" w:firstLine="0"/>
        <w:jc w:val="left"/>
        <w:rPr>
          <w:sz w:val="20"/>
        </w:rPr>
      </w:pPr>
      <w:r>
        <w:rPr>
          <w:sz w:val="20"/>
        </w:rPr>
        <w:t>Z71.8,</w:t>
      </w:r>
      <w:r>
        <w:rPr>
          <w:spacing w:val="-6"/>
          <w:sz w:val="20"/>
        </w:rPr>
        <w:t> </w:t>
      </w:r>
      <w:r>
        <w:rPr>
          <w:sz w:val="20"/>
        </w:rPr>
        <w:t>Z71.9,</w:t>
      </w:r>
      <w:r>
        <w:rPr>
          <w:spacing w:val="-5"/>
          <w:sz w:val="20"/>
        </w:rPr>
        <w:t> </w:t>
      </w:r>
      <w:r>
        <w:rPr>
          <w:sz w:val="20"/>
        </w:rPr>
        <w:t>Z72,</w:t>
      </w:r>
      <w:r>
        <w:rPr>
          <w:spacing w:val="-5"/>
          <w:sz w:val="20"/>
        </w:rPr>
        <w:t> </w:t>
      </w:r>
      <w:r>
        <w:rPr>
          <w:sz w:val="20"/>
        </w:rPr>
        <w:t>Z72.0,</w:t>
      </w:r>
      <w:r>
        <w:rPr>
          <w:spacing w:val="-5"/>
          <w:sz w:val="20"/>
        </w:rPr>
        <w:t> </w:t>
      </w:r>
      <w:r>
        <w:rPr>
          <w:sz w:val="20"/>
        </w:rPr>
        <w:t>Z72.1,</w:t>
      </w:r>
      <w:r>
        <w:rPr>
          <w:spacing w:val="-5"/>
          <w:sz w:val="20"/>
        </w:rPr>
        <w:t> </w:t>
      </w:r>
      <w:r>
        <w:rPr>
          <w:sz w:val="20"/>
        </w:rPr>
        <w:t>Z72.2,</w:t>
      </w:r>
      <w:r>
        <w:rPr>
          <w:spacing w:val="-5"/>
          <w:sz w:val="20"/>
        </w:rPr>
        <w:t> </w:t>
      </w:r>
      <w:r>
        <w:rPr>
          <w:spacing w:val="-2"/>
          <w:sz w:val="20"/>
        </w:rPr>
        <w:t>Z72.3,</w:t>
      </w:r>
    </w:p>
    <w:p>
      <w:pPr>
        <w:spacing w:line="229" w:lineRule="exact" w:before="1"/>
        <w:ind w:left="4681" w:right="0" w:firstLine="0"/>
        <w:jc w:val="left"/>
        <w:rPr>
          <w:sz w:val="20"/>
        </w:rPr>
      </w:pPr>
      <w:r>
        <w:rPr>
          <w:sz w:val="20"/>
        </w:rPr>
        <w:t>Z72.4,</w:t>
      </w:r>
      <w:r>
        <w:rPr>
          <w:spacing w:val="-5"/>
          <w:sz w:val="20"/>
        </w:rPr>
        <w:t> </w:t>
      </w:r>
      <w:r>
        <w:rPr>
          <w:sz w:val="20"/>
        </w:rPr>
        <w:t>Z72.5,</w:t>
      </w:r>
      <w:r>
        <w:rPr>
          <w:spacing w:val="-5"/>
          <w:sz w:val="20"/>
        </w:rPr>
        <w:t> </w:t>
      </w:r>
      <w:r>
        <w:rPr>
          <w:sz w:val="20"/>
        </w:rPr>
        <w:t>Z72.6,</w:t>
      </w:r>
      <w:r>
        <w:rPr>
          <w:spacing w:val="-4"/>
          <w:sz w:val="20"/>
        </w:rPr>
        <w:t> </w:t>
      </w:r>
      <w:r>
        <w:rPr>
          <w:sz w:val="20"/>
        </w:rPr>
        <w:t>Z72.8,</w:t>
      </w:r>
      <w:r>
        <w:rPr>
          <w:spacing w:val="-5"/>
          <w:sz w:val="20"/>
        </w:rPr>
        <w:t> </w:t>
      </w:r>
      <w:r>
        <w:rPr>
          <w:sz w:val="20"/>
        </w:rPr>
        <w:t>Z72.9,</w:t>
      </w:r>
      <w:r>
        <w:rPr>
          <w:spacing w:val="-5"/>
          <w:sz w:val="20"/>
        </w:rPr>
        <w:t> </w:t>
      </w:r>
      <w:r>
        <w:rPr>
          <w:sz w:val="20"/>
        </w:rPr>
        <w:t>Z73,</w:t>
      </w:r>
      <w:r>
        <w:rPr>
          <w:spacing w:val="-6"/>
          <w:sz w:val="20"/>
        </w:rPr>
        <w:t> </w:t>
      </w:r>
      <w:r>
        <w:rPr>
          <w:spacing w:val="-2"/>
          <w:sz w:val="20"/>
        </w:rPr>
        <w:t>Z73.0,</w:t>
      </w:r>
    </w:p>
    <w:p>
      <w:pPr>
        <w:spacing w:line="229" w:lineRule="exact" w:before="0"/>
        <w:ind w:left="4607" w:right="0" w:firstLine="0"/>
        <w:jc w:val="left"/>
        <w:rPr>
          <w:sz w:val="20"/>
        </w:rPr>
      </w:pPr>
      <w:r>
        <w:rPr>
          <w:sz w:val="20"/>
        </w:rPr>
        <w:t>Z73.1,</w:t>
      </w:r>
      <w:r>
        <w:rPr>
          <w:spacing w:val="-6"/>
          <w:sz w:val="20"/>
        </w:rPr>
        <w:t> </w:t>
      </w:r>
      <w:r>
        <w:rPr>
          <w:sz w:val="20"/>
        </w:rPr>
        <w:t>Z73.2,</w:t>
      </w:r>
      <w:r>
        <w:rPr>
          <w:spacing w:val="-5"/>
          <w:sz w:val="20"/>
        </w:rPr>
        <w:t> </w:t>
      </w:r>
      <w:r>
        <w:rPr>
          <w:sz w:val="20"/>
        </w:rPr>
        <w:t>Z73.3,</w:t>
      </w:r>
      <w:r>
        <w:rPr>
          <w:spacing w:val="-5"/>
          <w:sz w:val="20"/>
        </w:rPr>
        <w:t> </w:t>
      </w:r>
      <w:r>
        <w:rPr>
          <w:sz w:val="20"/>
        </w:rPr>
        <w:t>Z73.4,</w:t>
      </w:r>
      <w:r>
        <w:rPr>
          <w:spacing w:val="-5"/>
          <w:sz w:val="20"/>
        </w:rPr>
        <w:t> </w:t>
      </w:r>
      <w:r>
        <w:rPr>
          <w:sz w:val="20"/>
        </w:rPr>
        <w:t>Z73.5,</w:t>
      </w:r>
      <w:r>
        <w:rPr>
          <w:spacing w:val="-5"/>
          <w:sz w:val="20"/>
        </w:rPr>
        <w:t> </w:t>
      </w:r>
      <w:r>
        <w:rPr>
          <w:sz w:val="20"/>
        </w:rPr>
        <w:t>Z73.6,</w:t>
      </w:r>
      <w:r>
        <w:rPr>
          <w:spacing w:val="-5"/>
          <w:sz w:val="20"/>
        </w:rPr>
        <w:t> </w:t>
      </w:r>
      <w:r>
        <w:rPr>
          <w:spacing w:val="-2"/>
          <w:sz w:val="20"/>
        </w:rPr>
        <w:t>Z73.8,</w:t>
      </w:r>
    </w:p>
    <w:p>
      <w:pPr>
        <w:spacing w:before="0"/>
        <w:ind w:left="4681" w:right="0" w:firstLine="0"/>
        <w:jc w:val="left"/>
        <w:rPr>
          <w:sz w:val="20"/>
        </w:rPr>
      </w:pPr>
      <w:r>
        <w:rPr>
          <w:sz w:val="20"/>
        </w:rPr>
        <w:t>Z73.9,</w:t>
      </w:r>
      <w:r>
        <w:rPr>
          <w:spacing w:val="-6"/>
          <w:sz w:val="20"/>
        </w:rPr>
        <w:t> </w:t>
      </w:r>
      <w:r>
        <w:rPr>
          <w:sz w:val="20"/>
        </w:rPr>
        <w:t>Z74,</w:t>
      </w:r>
      <w:r>
        <w:rPr>
          <w:spacing w:val="-5"/>
          <w:sz w:val="20"/>
        </w:rPr>
        <w:t> </w:t>
      </w:r>
      <w:r>
        <w:rPr>
          <w:sz w:val="20"/>
        </w:rPr>
        <w:t>Z74.0,</w:t>
      </w:r>
      <w:r>
        <w:rPr>
          <w:spacing w:val="-5"/>
          <w:sz w:val="20"/>
        </w:rPr>
        <w:t> </w:t>
      </w:r>
      <w:r>
        <w:rPr>
          <w:sz w:val="20"/>
        </w:rPr>
        <w:t>Z74.1,</w:t>
      </w:r>
      <w:r>
        <w:rPr>
          <w:spacing w:val="-5"/>
          <w:sz w:val="20"/>
        </w:rPr>
        <w:t> </w:t>
      </w:r>
      <w:r>
        <w:rPr>
          <w:sz w:val="20"/>
        </w:rPr>
        <w:t>Z74.2,</w:t>
      </w:r>
      <w:r>
        <w:rPr>
          <w:spacing w:val="-5"/>
          <w:sz w:val="20"/>
        </w:rPr>
        <w:t> </w:t>
      </w:r>
      <w:r>
        <w:rPr>
          <w:sz w:val="20"/>
        </w:rPr>
        <w:t>Z74.3,</w:t>
      </w:r>
      <w:r>
        <w:rPr>
          <w:spacing w:val="-5"/>
          <w:sz w:val="20"/>
        </w:rPr>
        <w:t> </w:t>
      </w:r>
      <w:r>
        <w:rPr>
          <w:spacing w:val="-2"/>
          <w:sz w:val="20"/>
        </w:rPr>
        <w:t>Z74.8,</w:t>
      </w:r>
    </w:p>
    <w:p>
      <w:pPr>
        <w:spacing w:before="1"/>
        <w:ind w:left="4681" w:right="0" w:firstLine="0"/>
        <w:jc w:val="left"/>
        <w:rPr>
          <w:sz w:val="20"/>
        </w:rPr>
      </w:pPr>
      <w:r>
        <w:rPr>
          <w:sz w:val="20"/>
        </w:rPr>
        <w:t>Z74.9,</w:t>
      </w:r>
      <w:r>
        <w:rPr>
          <w:spacing w:val="-5"/>
          <w:sz w:val="20"/>
        </w:rPr>
        <w:t> </w:t>
      </w:r>
      <w:r>
        <w:rPr>
          <w:sz w:val="20"/>
        </w:rPr>
        <w:t>Z75,</w:t>
      </w:r>
      <w:r>
        <w:rPr>
          <w:spacing w:val="-5"/>
          <w:sz w:val="20"/>
        </w:rPr>
        <w:t> </w:t>
      </w:r>
      <w:r>
        <w:rPr>
          <w:sz w:val="20"/>
        </w:rPr>
        <w:t>Z75.0,</w:t>
      </w:r>
      <w:r>
        <w:rPr>
          <w:spacing w:val="-4"/>
          <w:sz w:val="20"/>
        </w:rPr>
        <w:t> </w:t>
      </w:r>
      <w:r>
        <w:rPr>
          <w:sz w:val="20"/>
        </w:rPr>
        <w:t>Z75.1,</w:t>
      </w:r>
      <w:r>
        <w:rPr>
          <w:spacing w:val="-5"/>
          <w:sz w:val="20"/>
        </w:rPr>
        <w:t> </w:t>
      </w:r>
      <w:r>
        <w:rPr>
          <w:sz w:val="20"/>
        </w:rPr>
        <w:t>Z75.2,</w:t>
      </w:r>
      <w:r>
        <w:rPr>
          <w:spacing w:val="-5"/>
          <w:sz w:val="20"/>
        </w:rPr>
        <w:t> </w:t>
      </w:r>
      <w:r>
        <w:rPr>
          <w:sz w:val="20"/>
        </w:rPr>
        <w:t>Z75.3,</w:t>
      </w:r>
      <w:r>
        <w:rPr>
          <w:spacing w:val="-4"/>
          <w:sz w:val="20"/>
        </w:rPr>
        <w:t> </w:t>
      </w:r>
      <w:r>
        <w:rPr>
          <w:spacing w:val="-2"/>
          <w:sz w:val="20"/>
        </w:rPr>
        <w:t>Z75.4,</w:t>
      </w:r>
    </w:p>
    <w:p>
      <w:pPr>
        <w:spacing w:before="0"/>
        <w:ind w:left="4681" w:right="0" w:firstLine="0"/>
        <w:jc w:val="left"/>
        <w:rPr>
          <w:sz w:val="20"/>
        </w:rPr>
      </w:pPr>
      <w:r>
        <w:rPr>
          <w:sz w:val="20"/>
        </w:rPr>
        <w:t>Z75.5,</w:t>
      </w:r>
      <w:r>
        <w:rPr>
          <w:spacing w:val="-6"/>
          <w:sz w:val="20"/>
        </w:rPr>
        <w:t> </w:t>
      </w:r>
      <w:r>
        <w:rPr>
          <w:sz w:val="20"/>
        </w:rPr>
        <w:t>Z75.8,</w:t>
      </w:r>
      <w:r>
        <w:rPr>
          <w:spacing w:val="-5"/>
          <w:sz w:val="20"/>
        </w:rPr>
        <w:t> </w:t>
      </w:r>
      <w:r>
        <w:rPr>
          <w:sz w:val="20"/>
        </w:rPr>
        <w:t>Z75.9,</w:t>
      </w:r>
      <w:r>
        <w:rPr>
          <w:spacing w:val="-5"/>
          <w:sz w:val="20"/>
        </w:rPr>
        <w:t> </w:t>
      </w:r>
      <w:r>
        <w:rPr>
          <w:sz w:val="20"/>
        </w:rPr>
        <w:t>Z76,</w:t>
      </w:r>
      <w:r>
        <w:rPr>
          <w:spacing w:val="-5"/>
          <w:sz w:val="20"/>
        </w:rPr>
        <w:t> </w:t>
      </w:r>
      <w:r>
        <w:rPr>
          <w:sz w:val="20"/>
        </w:rPr>
        <w:t>Z76.0,</w:t>
      </w:r>
      <w:r>
        <w:rPr>
          <w:spacing w:val="-5"/>
          <w:sz w:val="20"/>
        </w:rPr>
        <w:t> </w:t>
      </w:r>
      <w:r>
        <w:rPr>
          <w:sz w:val="20"/>
        </w:rPr>
        <w:t>Z76.1,</w:t>
      </w:r>
      <w:r>
        <w:rPr>
          <w:spacing w:val="-5"/>
          <w:sz w:val="20"/>
        </w:rPr>
        <w:t> </w:t>
      </w:r>
      <w:r>
        <w:rPr>
          <w:spacing w:val="-2"/>
          <w:sz w:val="20"/>
        </w:rPr>
        <w:t>Z76.2,</w:t>
      </w:r>
    </w:p>
    <w:p>
      <w:pPr>
        <w:spacing w:before="1"/>
        <w:ind w:left="4681" w:right="0" w:firstLine="0"/>
        <w:jc w:val="left"/>
        <w:rPr>
          <w:sz w:val="20"/>
        </w:rPr>
      </w:pPr>
      <w:r>
        <w:rPr>
          <w:sz w:val="20"/>
        </w:rPr>
        <w:t>Z76.3,</w:t>
      </w:r>
      <w:r>
        <w:rPr>
          <w:spacing w:val="-5"/>
          <w:sz w:val="20"/>
        </w:rPr>
        <w:t> </w:t>
      </w:r>
      <w:r>
        <w:rPr>
          <w:sz w:val="20"/>
        </w:rPr>
        <w:t>Z76.4,</w:t>
      </w:r>
      <w:r>
        <w:rPr>
          <w:spacing w:val="-5"/>
          <w:sz w:val="20"/>
        </w:rPr>
        <w:t> </w:t>
      </w:r>
      <w:r>
        <w:rPr>
          <w:sz w:val="20"/>
        </w:rPr>
        <w:t>Z76.5,</w:t>
      </w:r>
      <w:r>
        <w:rPr>
          <w:spacing w:val="-4"/>
          <w:sz w:val="20"/>
        </w:rPr>
        <w:t> </w:t>
      </w:r>
      <w:r>
        <w:rPr>
          <w:sz w:val="20"/>
        </w:rPr>
        <w:t>Z76.8,</w:t>
      </w:r>
      <w:r>
        <w:rPr>
          <w:spacing w:val="-5"/>
          <w:sz w:val="20"/>
        </w:rPr>
        <w:t> </w:t>
      </w:r>
      <w:r>
        <w:rPr>
          <w:sz w:val="20"/>
        </w:rPr>
        <w:t>Z76.9,</w:t>
      </w:r>
      <w:r>
        <w:rPr>
          <w:spacing w:val="-5"/>
          <w:sz w:val="20"/>
        </w:rPr>
        <w:t> </w:t>
      </w:r>
      <w:r>
        <w:rPr>
          <w:sz w:val="20"/>
        </w:rPr>
        <w:t>Z80,</w:t>
      </w:r>
      <w:r>
        <w:rPr>
          <w:spacing w:val="-6"/>
          <w:sz w:val="20"/>
        </w:rPr>
        <w:t> </w:t>
      </w:r>
      <w:r>
        <w:rPr>
          <w:spacing w:val="-2"/>
          <w:sz w:val="20"/>
        </w:rPr>
        <w:t>Z80.0,</w:t>
      </w:r>
    </w:p>
    <w:p>
      <w:pPr>
        <w:spacing w:line="229" w:lineRule="exact" w:before="0"/>
        <w:ind w:left="4607" w:right="0" w:firstLine="0"/>
        <w:jc w:val="left"/>
        <w:rPr>
          <w:sz w:val="20"/>
        </w:rPr>
      </w:pPr>
      <w:r>
        <w:rPr>
          <w:sz w:val="20"/>
        </w:rPr>
        <w:t>Z80.1,</w:t>
      </w:r>
      <w:r>
        <w:rPr>
          <w:spacing w:val="-6"/>
          <w:sz w:val="20"/>
        </w:rPr>
        <w:t> </w:t>
      </w:r>
      <w:r>
        <w:rPr>
          <w:sz w:val="20"/>
        </w:rPr>
        <w:t>Z80.2,</w:t>
      </w:r>
      <w:r>
        <w:rPr>
          <w:spacing w:val="-5"/>
          <w:sz w:val="20"/>
        </w:rPr>
        <w:t> </w:t>
      </w:r>
      <w:r>
        <w:rPr>
          <w:sz w:val="20"/>
        </w:rPr>
        <w:t>Z80.3,</w:t>
      </w:r>
      <w:r>
        <w:rPr>
          <w:spacing w:val="-5"/>
          <w:sz w:val="20"/>
        </w:rPr>
        <w:t> </w:t>
      </w:r>
      <w:r>
        <w:rPr>
          <w:sz w:val="20"/>
        </w:rPr>
        <w:t>Z80.4,</w:t>
      </w:r>
      <w:r>
        <w:rPr>
          <w:spacing w:val="-5"/>
          <w:sz w:val="20"/>
        </w:rPr>
        <w:t> </w:t>
      </w:r>
      <w:r>
        <w:rPr>
          <w:sz w:val="20"/>
        </w:rPr>
        <w:t>Z80.5,</w:t>
      </w:r>
      <w:r>
        <w:rPr>
          <w:spacing w:val="-5"/>
          <w:sz w:val="20"/>
        </w:rPr>
        <w:t> </w:t>
      </w:r>
      <w:r>
        <w:rPr>
          <w:sz w:val="20"/>
        </w:rPr>
        <w:t>Z80.6,</w:t>
      </w:r>
      <w:r>
        <w:rPr>
          <w:spacing w:val="-5"/>
          <w:sz w:val="20"/>
        </w:rPr>
        <w:t> </w:t>
      </w:r>
      <w:r>
        <w:rPr>
          <w:spacing w:val="-2"/>
          <w:sz w:val="20"/>
        </w:rPr>
        <w:t>Z80.7,</w:t>
      </w:r>
    </w:p>
    <w:p>
      <w:pPr>
        <w:spacing w:line="229" w:lineRule="exact" w:before="0"/>
        <w:ind w:left="4681" w:right="0" w:firstLine="0"/>
        <w:jc w:val="left"/>
        <w:rPr>
          <w:sz w:val="20"/>
        </w:rPr>
      </w:pPr>
      <w:r>
        <w:rPr>
          <w:sz w:val="20"/>
        </w:rPr>
        <w:t>Z80.8,</w:t>
      </w:r>
      <w:r>
        <w:rPr>
          <w:spacing w:val="-6"/>
          <w:sz w:val="20"/>
        </w:rPr>
        <w:t> </w:t>
      </w:r>
      <w:r>
        <w:rPr>
          <w:sz w:val="20"/>
        </w:rPr>
        <w:t>Z80.9,</w:t>
      </w:r>
      <w:r>
        <w:rPr>
          <w:spacing w:val="-5"/>
          <w:sz w:val="20"/>
        </w:rPr>
        <w:t> </w:t>
      </w:r>
      <w:r>
        <w:rPr>
          <w:sz w:val="20"/>
        </w:rPr>
        <w:t>Z81,</w:t>
      </w:r>
      <w:r>
        <w:rPr>
          <w:spacing w:val="-5"/>
          <w:sz w:val="20"/>
        </w:rPr>
        <w:t> </w:t>
      </w:r>
      <w:r>
        <w:rPr>
          <w:sz w:val="20"/>
        </w:rPr>
        <w:t>Z81.0,</w:t>
      </w:r>
      <w:r>
        <w:rPr>
          <w:spacing w:val="-5"/>
          <w:sz w:val="20"/>
        </w:rPr>
        <w:t> </w:t>
      </w:r>
      <w:r>
        <w:rPr>
          <w:sz w:val="20"/>
        </w:rPr>
        <w:t>Z81.1,</w:t>
      </w:r>
      <w:r>
        <w:rPr>
          <w:spacing w:val="-5"/>
          <w:sz w:val="20"/>
        </w:rPr>
        <w:t> </w:t>
      </w:r>
      <w:r>
        <w:rPr>
          <w:sz w:val="20"/>
        </w:rPr>
        <w:t>Z81.2,</w:t>
      </w:r>
      <w:r>
        <w:rPr>
          <w:spacing w:val="-5"/>
          <w:sz w:val="20"/>
        </w:rPr>
        <w:t> </w:t>
      </w:r>
      <w:r>
        <w:rPr>
          <w:spacing w:val="-2"/>
          <w:sz w:val="20"/>
        </w:rPr>
        <w:t>Z81.3,</w:t>
      </w:r>
    </w:p>
    <w:p>
      <w:pPr>
        <w:spacing w:before="1"/>
        <w:ind w:left="4681" w:right="0" w:firstLine="0"/>
        <w:jc w:val="left"/>
        <w:rPr>
          <w:sz w:val="20"/>
        </w:rPr>
      </w:pPr>
      <w:r>
        <w:rPr>
          <w:sz w:val="20"/>
        </w:rPr>
        <w:t>Z81.4,</w:t>
      </w:r>
      <w:r>
        <w:rPr>
          <w:spacing w:val="-5"/>
          <w:sz w:val="20"/>
        </w:rPr>
        <w:t> </w:t>
      </w:r>
      <w:r>
        <w:rPr>
          <w:sz w:val="20"/>
        </w:rPr>
        <w:t>Z81.8,</w:t>
      </w:r>
      <w:r>
        <w:rPr>
          <w:spacing w:val="-5"/>
          <w:sz w:val="20"/>
        </w:rPr>
        <w:t> </w:t>
      </w:r>
      <w:r>
        <w:rPr>
          <w:sz w:val="20"/>
        </w:rPr>
        <w:t>Z82,</w:t>
      </w:r>
      <w:r>
        <w:rPr>
          <w:spacing w:val="-6"/>
          <w:sz w:val="20"/>
        </w:rPr>
        <w:t> </w:t>
      </w:r>
      <w:r>
        <w:rPr>
          <w:sz w:val="20"/>
        </w:rPr>
        <w:t>Z82.0,</w:t>
      </w:r>
      <w:r>
        <w:rPr>
          <w:spacing w:val="-5"/>
          <w:sz w:val="20"/>
        </w:rPr>
        <w:t> </w:t>
      </w:r>
      <w:r>
        <w:rPr>
          <w:sz w:val="20"/>
        </w:rPr>
        <w:t>Z82.1,</w:t>
      </w:r>
      <w:r>
        <w:rPr>
          <w:spacing w:val="-5"/>
          <w:sz w:val="20"/>
        </w:rPr>
        <w:t> </w:t>
      </w:r>
      <w:r>
        <w:rPr>
          <w:sz w:val="20"/>
        </w:rPr>
        <w:t>Z82.2,</w:t>
      </w:r>
      <w:r>
        <w:rPr>
          <w:spacing w:val="3"/>
          <w:sz w:val="20"/>
        </w:rPr>
        <w:t> </w:t>
      </w:r>
      <w:r>
        <w:rPr>
          <w:spacing w:val="-2"/>
          <w:sz w:val="20"/>
        </w:rPr>
        <w:t>Z82.3,</w:t>
      </w:r>
    </w:p>
    <w:p>
      <w:pPr>
        <w:spacing w:before="0"/>
        <w:ind w:left="4681" w:right="0" w:firstLine="0"/>
        <w:jc w:val="left"/>
        <w:rPr>
          <w:sz w:val="20"/>
        </w:rPr>
      </w:pPr>
      <w:r>
        <w:rPr>
          <w:sz w:val="20"/>
        </w:rPr>
        <w:t>Z82.4,</w:t>
      </w:r>
      <w:r>
        <w:rPr>
          <w:spacing w:val="-5"/>
          <w:sz w:val="20"/>
        </w:rPr>
        <w:t> </w:t>
      </w:r>
      <w:r>
        <w:rPr>
          <w:sz w:val="20"/>
        </w:rPr>
        <w:t>Z82.5,</w:t>
      </w:r>
      <w:r>
        <w:rPr>
          <w:spacing w:val="-5"/>
          <w:sz w:val="20"/>
        </w:rPr>
        <w:t> </w:t>
      </w:r>
      <w:r>
        <w:rPr>
          <w:sz w:val="20"/>
        </w:rPr>
        <w:t>Z82.6,</w:t>
      </w:r>
      <w:r>
        <w:rPr>
          <w:spacing w:val="-4"/>
          <w:sz w:val="20"/>
        </w:rPr>
        <w:t> </w:t>
      </w:r>
      <w:r>
        <w:rPr>
          <w:sz w:val="20"/>
        </w:rPr>
        <w:t>Z82.7,</w:t>
      </w:r>
      <w:r>
        <w:rPr>
          <w:spacing w:val="-5"/>
          <w:sz w:val="20"/>
        </w:rPr>
        <w:t> </w:t>
      </w:r>
      <w:r>
        <w:rPr>
          <w:sz w:val="20"/>
        </w:rPr>
        <w:t>Z82.8,</w:t>
      </w:r>
      <w:r>
        <w:rPr>
          <w:spacing w:val="-5"/>
          <w:sz w:val="20"/>
        </w:rPr>
        <w:t> </w:t>
      </w:r>
      <w:r>
        <w:rPr>
          <w:sz w:val="20"/>
        </w:rPr>
        <w:t>Z83,</w:t>
      </w:r>
      <w:r>
        <w:rPr>
          <w:spacing w:val="-6"/>
          <w:sz w:val="20"/>
        </w:rPr>
        <w:t> </w:t>
      </w:r>
      <w:r>
        <w:rPr>
          <w:spacing w:val="-2"/>
          <w:sz w:val="20"/>
        </w:rPr>
        <w:t>Z83.0,</w:t>
      </w:r>
    </w:p>
    <w:p>
      <w:pPr>
        <w:spacing w:before="1"/>
        <w:ind w:left="4607" w:right="0" w:firstLine="0"/>
        <w:jc w:val="left"/>
        <w:rPr>
          <w:sz w:val="20"/>
        </w:rPr>
      </w:pPr>
      <w:r>
        <w:rPr>
          <w:sz w:val="20"/>
        </w:rPr>
        <w:t>Z83.1,</w:t>
      </w:r>
      <w:r>
        <w:rPr>
          <w:spacing w:val="-6"/>
          <w:sz w:val="20"/>
        </w:rPr>
        <w:t> </w:t>
      </w:r>
      <w:r>
        <w:rPr>
          <w:sz w:val="20"/>
        </w:rPr>
        <w:t>Z83.2,</w:t>
      </w:r>
      <w:r>
        <w:rPr>
          <w:spacing w:val="-5"/>
          <w:sz w:val="20"/>
        </w:rPr>
        <w:t> </w:t>
      </w:r>
      <w:r>
        <w:rPr>
          <w:sz w:val="20"/>
        </w:rPr>
        <w:t>Z83.3,</w:t>
      </w:r>
      <w:r>
        <w:rPr>
          <w:spacing w:val="-5"/>
          <w:sz w:val="20"/>
        </w:rPr>
        <w:t> </w:t>
      </w:r>
      <w:r>
        <w:rPr>
          <w:sz w:val="20"/>
        </w:rPr>
        <w:t>Z83.4,</w:t>
      </w:r>
      <w:r>
        <w:rPr>
          <w:spacing w:val="-5"/>
          <w:sz w:val="20"/>
        </w:rPr>
        <w:t> </w:t>
      </w:r>
      <w:r>
        <w:rPr>
          <w:sz w:val="20"/>
        </w:rPr>
        <w:t>Z83.5,</w:t>
      </w:r>
      <w:r>
        <w:rPr>
          <w:spacing w:val="-5"/>
          <w:sz w:val="20"/>
        </w:rPr>
        <w:t> </w:t>
      </w:r>
      <w:r>
        <w:rPr>
          <w:sz w:val="20"/>
        </w:rPr>
        <w:t>Z83.6,</w:t>
      </w:r>
      <w:r>
        <w:rPr>
          <w:spacing w:val="-5"/>
          <w:sz w:val="20"/>
        </w:rPr>
        <w:t> </w:t>
      </w:r>
      <w:r>
        <w:rPr>
          <w:spacing w:val="-2"/>
          <w:sz w:val="20"/>
        </w:rPr>
        <w:t>Z83.7,</w:t>
      </w:r>
    </w:p>
    <w:p>
      <w:pPr>
        <w:spacing w:before="0"/>
        <w:ind w:left="4756" w:right="0" w:firstLine="0"/>
        <w:jc w:val="left"/>
        <w:rPr>
          <w:sz w:val="20"/>
        </w:rPr>
      </w:pPr>
      <w:r>
        <w:rPr>
          <w:sz w:val="20"/>
        </w:rPr>
        <w:t>Z84,</w:t>
      </w:r>
      <w:r>
        <w:rPr>
          <w:spacing w:val="-6"/>
          <w:sz w:val="20"/>
        </w:rPr>
        <w:t> </w:t>
      </w:r>
      <w:r>
        <w:rPr>
          <w:sz w:val="20"/>
        </w:rPr>
        <w:t>Z84.0,</w:t>
      </w:r>
      <w:r>
        <w:rPr>
          <w:spacing w:val="-5"/>
          <w:sz w:val="20"/>
        </w:rPr>
        <w:t> </w:t>
      </w:r>
      <w:r>
        <w:rPr>
          <w:sz w:val="20"/>
        </w:rPr>
        <w:t>Z84.1,</w:t>
      </w:r>
      <w:r>
        <w:rPr>
          <w:spacing w:val="-5"/>
          <w:sz w:val="20"/>
        </w:rPr>
        <w:t> </w:t>
      </w:r>
      <w:r>
        <w:rPr>
          <w:sz w:val="20"/>
        </w:rPr>
        <w:t>Z84.2,</w:t>
      </w:r>
      <w:r>
        <w:rPr>
          <w:spacing w:val="-5"/>
          <w:sz w:val="20"/>
        </w:rPr>
        <w:t> </w:t>
      </w:r>
      <w:r>
        <w:rPr>
          <w:sz w:val="20"/>
        </w:rPr>
        <w:t>Z84.3,</w:t>
      </w:r>
      <w:r>
        <w:rPr>
          <w:spacing w:val="-5"/>
          <w:sz w:val="20"/>
        </w:rPr>
        <w:t> </w:t>
      </w:r>
      <w:r>
        <w:rPr>
          <w:sz w:val="20"/>
        </w:rPr>
        <w:t>Z84.8,</w:t>
      </w:r>
      <w:r>
        <w:rPr>
          <w:spacing w:val="-5"/>
          <w:sz w:val="20"/>
        </w:rPr>
        <w:t> </w:t>
      </w:r>
      <w:r>
        <w:rPr>
          <w:spacing w:val="-4"/>
          <w:sz w:val="20"/>
        </w:rPr>
        <w:t>Z85,</w:t>
      </w:r>
    </w:p>
    <w:p>
      <w:pPr>
        <w:spacing w:before="0"/>
        <w:ind w:left="4607" w:right="0" w:firstLine="0"/>
        <w:jc w:val="left"/>
        <w:rPr>
          <w:sz w:val="20"/>
        </w:rPr>
      </w:pPr>
      <w:r>
        <w:rPr>
          <w:sz w:val="20"/>
        </w:rPr>
        <w:t>Z85.0,</w:t>
      </w:r>
      <w:r>
        <w:rPr>
          <w:spacing w:val="-6"/>
          <w:sz w:val="20"/>
        </w:rPr>
        <w:t> </w:t>
      </w:r>
      <w:r>
        <w:rPr>
          <w:sz w:val="20"/>
        </w:rPr>
        <w:t>Z85.1,</w:t>
      </w:r>
      <w:r>
        <w:rPr>
          <w:spacing w:val="-5"/>
          <w:sz w:val="20"/>
        </w:rPr>
        <w:t> </w:t>
      </w:r>
      <w:r>
        <w:rPr>
          <w:sz w:val="20"/>
        </w:rPr>
        <w:t>Z85.2,</w:t>
      </w:r>
      <w:r>
        <w:rPr>
          <w:spacing w:val="-5"/>
          <w:sz w:val="20"/>
        </w:rPr>
        <w:t> </w:t>
      </w:r>
      <w:r>
        <w:rPr>
          <w:sz w:val="20"/>
        </w:rPr>
        <w:t>Z85.3,</w:t>
      </w:r>
      <w:r>
        <w:rPr>
          <w:spacing w:val="-5"/>
          <w:sz w:val="20"/>
        </w:rPr>
        <w:t> </w:t>
      </w:r>
      <w:r>
        <w:rPr>
          <w:sz w:val="20"/>
        </w:rPr>
        <w:t>Z85.4,</w:t>
      </w:r>
      <w:r>
        <w:rPr>
          <w:spacing w:val="-5"/>
          <w:sz w:val="20"/>
        </w:rPr>
        <w:t> </w:t>
      </w:r>
      <w:r>
        <w:rPr>
          <w:sz w:val="20"/>
        </w:rPr>
        <w:t>Z85.5,</w:t>
      </w:r>
      <w:r>
        <w:rPr>
          <w:spacing w:val="-5"/>
          <w:sz w:val="20"/>
        </w:rPr>
        <w:t> </w:t>
      </w:r>
      <w:r>
        <w:rPr>
          <w:spacing w:val="-2"/>
          <w:sz w:val="20"/>
        </w:rPr>
        <w:t>Z85.6,</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8"/>
        <w:gridCol w:w="4478"/>
        <w:gridCol w:w="3705"/>
        <w:gridCol w:w="1660"/>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18" w:type="dxa"/>
            <w:vMerge w:val="restart"/>
          </w:tcPr>
          <w:p>
            <w:pPr>
              <w:pStyle w:val="TableParagraph"/>
              <w:rPr>
                <w:sz w:val="18"/>
              </w:rPr>
            </w:pPr>
          </w:p>
        </w:tc>
        <w:tc>
          <w:tcPr>
            <w:tcW w:w="4478" w:type="dxa"/>
          </w:tcPr>
          <w:p>
            <w:pPr>
              <w:pStyle w:val="TableParagraph"/>
              <w:spacing w:line="205" w:lineRule="exact"/>
              <w:ind w:left="298"/>
              <w:rPr>
                <w:sz w:val="20"/>
              </w:rPr>
            </w:pPr>
            <w:r>
              <w:rPr>
                <w:sz w:val="20"/>
              </w:rPr>
              <w:t>Z85.7,</w:t>
            </w:r>
            <w:r>
              <w:rPr>
                <w:spacing w:val="-6"/>
                <w:sz w:val="20"/>
              </w:rPr>
              <w:t> </w:t>
            </w:r>
            <w:r>
              <w:rPr>
                <w:sz w:val="20"/>
              </w:rPr>
              <w:t>Z85.8,</w:t>
            </w:r>
            <w:r>
              <w:rPr>
                <w:spacing w:val="-5"/>
                <w:sz w:val="20"/>
              </w:rPr>
              <w:t> </w:t>
            </w:r>
            <w:r>
              <w:rPr>
                <w:sz w:val="20"/>
              </w:rPr>
              <w:t>Z85.9,</w:t>
            </w:r>
            <w:r>
              <w:rPr>
                <w:spacing w:val="-5"/>
                <w:sz w:val="20"/>
              </w:rPr>
              <w:t> </w:t>
            </w:r>
            <w:r>
              <w:rPr>
                <w:sz w:val="20"/>
              </w:rPr>
              <w:t>Z86,</w:t>
            </w:r>
            <w:r>
              <w:rPr>
                <w:spacing w:val="-5"/>
                <w:sz w:val="20"/>
              </w:rPr>
              <w:t> </w:t>
            </w:r>
            <w:r>
              <w:rPr>
                <w:sz w:val="20"/>
              </w:rPr>
              <w:t>Z86.0,</w:t>
            </w:r>
            <w:r>
              <w:rPr>
                <w:spacing w:val="-5"/>
                <w:sz w:val="20"/>
              </w:rPr>
              <w:t> </w:t>
            </w:r>
            <w:r>
              <w:rPr>
                <w:sz w:val="20"/>
              </w:rPr>
              <w:t>Z86.1,</w:t>
            </w:r>
            <w:r>
              <w:rPr>
                <w:spacing w:val="-5"/>
                <w:sz w:val="20"/>
              </w:rPr>
              <w:t> </w:t>
            </w:r>
            <w:r>
              <w:rPr>
                <w:spacing w:val="-2"/>
                <w:sz w:val="20"/>
              </w:rPr>
              <w:t>Z86.2,</w:t>
            </w:r>
          </w:p>
        </w:tc>
        <w:tc>
          <w:tcPr>
            <w:tcW w:w="3705" w:type="dxa"/>
            <w:vMerge w:val="restart"/>
          </w:tcPr>
          <w:p>
            <w:pPr>
              <w:pStyle w:val="TableParagraph"/>
              <w:rPr>
                <w:sz w:val="18"/>
              </w:rPr>
            </w:pPr>
          </w:p>
        </w:tc>
        <w:tc>
          <w:tcPr>
            <w:tcW w:w="1660"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98"/>
              <w:rPr>
                <w:sz w:val="20"/>
              </w:rPr>
            </w:pPr>
            <w:r>
              <w:rPr>
                <w:sz w:val="20"/>
              </w:rPr>
              <w:t>Z86.3,</w:t>
            </w:r>
            <w:r>
              <w:rPr>
                <w:spacing w:val="-5"/>
                <w:sz w:val="20"/>
              </w:rPr>
              <w:t> </w:t>
            </w:r>
            <w:r>
              <w:rPr>
                <w:sz w:val="20"/>
              </w:rPr>
              <w:t>Z86.4,</w:t>
            </w:r>
            <w:r>
              <w:rPr>
                <w:spacing w:val="-4"/>
                <w:sz w:val="20"/>
              </w:rPr>
              <w:t> </w:t>
            </w:r>
            <w:r>
              <w:rPr>
                <w:sz w:val="20"/>
              </w:rPr>
              <w:t>Z86.5,</w:t>
            </w:r>
            <w:r>
              <w:rPr>
                <w:spacing w:val="-4"/>
                <w:sz w:val="20"/>
              </w:rPr>
              <w:t> </w:t>
            </w:r>
            <w:r>
              <w:rPr>
                <w:sz w:val="20"/>
              </w:rPr>
              <w:t>Z86.6,</w:t>
            </w:r>
            <w:r>
              <w:rPr>
                <w:spacing w:val="-5"/>
                <w:sz w:val="20"/>
              </w:rPr>
              <w:t> </w:t>
            </w:r>
            <w:r>
              <w:rPr>
                <w:sz w:val="20"/>
              </w:rPr>
              <w:t>Z86.7,</w:t>
            </w:r>
            <w:r>
              <w:rPr>
                <w:spacing w:val="-4"/>
                <w:sz w:val="20"/>
              </w:rPr>
              <w:t> </w:t>
            </w:r>
            <w:r>
              <w:rPr>
                <w:sz w:val="20"/>
              </w:rPr>
              <w:t>Z87,</w:t>
            </w:r>
            <w:r>
              <w:rPr>
                <w:spacing w:val="-6"/>
                <w:sz w:val="20"/>
              </w:rPr>
              <w:t> </w:t>
            </w:r>
            <w:r>
              <w:rPr>
                <w:spacing w:val="-2"/>
                <w:sz w:val="20"/>
              </w:rPr>
              <w:t>Z87.0,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23"/>
              <w:rPr>
                <w:sz w:val="20"/>
              </w:rPr>
            </w:pPr>
            <w:r>
              <w:rPr>
                <w:sz w:val="20"/>
              </w:rPr>
              <w:t>Z87.1,</w:t>
            </w:r>
            <w:r>
              <w:rPr>
                <w:spacing w:val="-6"/>
                <w:sz w:val="20"/>
              </w:rPr>
              <w:t> </w:t>
            </w:r>
            <w:r>
              <w:rPr>
                <w:sz w:val="20"/>
              </w:rPr>
              <w:t>Z87.2,</w:t>
            </w:r>
            <w:r>
              <w:rPr>
                <w:spacing w:val="-5"/>
                <w:sz w:val="20"/>
              </w:rPr>
              <w:t> </w:t>
            </w:r>
            <w:r>
              <w:rPr>
                <w:sz w:val="20"/>
              </w:rPr>
              <w:t>Z87.3,</w:t>
            </w:r>
            <w:r>
              <w:rPr>
                <w:spacing w:val="-5"/>
                <w:sz w:val="20"/>
              </w:rPr>
              <w:t> </w:t>
            </w:r>
            <w:r>
              <w:rPr>
                <w:sz w:val="20"/>
              </w:rPr>
              <w:t>Z87.4,</w:t>
            </w:r>
            <w:r>
              <w:rPr>
                <w:spacing w:val="-5"/>
                <w:sz w:val="20"/>
              </w:rPr>
              <w:t> </w:t>
            </w:r>
            <w:r>
              <w:rPr>
                <w:sz w:val="20"/>
              </w:rPr>
              <w:t>Z87.5,</w:t>
            </w:r>
            <w:r>
              <w:rPr>
                <w:spacing w:val="-5"/>
                <w:sz w:val="20"/>
              </w:rPr>
              <w:t> </w:t>
            </w:r>
            <w:r>
              <w:rPr>
                <w:sz w:val="20"/>
              </w:rPr>
              <w:t>Z87.6,</w:t>
            </w:r>
            <w:r>
              <w:rPr>
                <w:spacing w:val="-5"/>
                <w:sz w:val="20"/>
              </w:rPr>
              <w:t> </w:t>
            </w:r>
            <w:r>
              <w:rPr>
                <w:spacing w:val="-2"/>
                <w:sz w:val="20"/>
              </w:rPr>
              <w:t>Z87.7,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Z87.8,</w:t>
            </w:r>
            <w:r>
              <w:rPr>
                <w:spacing w:val="-6"/>
                <w:sz w:val="20"/>
              </w:rPr>
              <w:t> </w:t>
            </w:r>
            <w:r>
              <w:rPr>
                <w:sz w:val="20"/>
              </w:rPr>
              <w:t>Z88,</w:t>
            </w:r>
            <w:r>
              <w:rPr>
                <w:spacing w:val="-5"/>
                <w:sz w:val="20"/>
              </w:rPr>
              <w:t> </w:t>
            </w:r>
            <w:r>
              <w:rPr>
                <w:sz w:val="20"/>
              </w:rPr>
              <w:t>Z88.0,</w:t>
            </w:r>
            <w:r>
              <w:rPr>
                <w:spacing w:val="-5"/>
                <w:sz w:val="20"/>
              </w:rPr>
              <w:t> </w:t>
            </w:r>
            <w:r>
              <w:rPr>
                <w:sz w:val="20"/>
              </w:rPr>
              <w:t>Z88.1,</w:t>
            </w:r>
            <w:r>
              <w:rPr>
                <w:spacing w:val="-5"/>
                <w:sz w:val="20"/>
              </w:rPr>
              <w:t> </w:t>
            </w:r>
            <w:r>
              <w:rPr>
                <w:sz w:val="20"/>
              </w:rPr>
              <w:t>Z88.2,</w:t>
            </w:r>
            <w:r>
              <w:rPr>
                <w:spacing w:val="-5"/>
                <w:sz w:val="20"/>
              </w:rPr>
              <w:t> </w:t>
            </w:r>
            <w:r>
              <w:rPr>
                <w:sz w:val="20"/>
              </w:rPr>
              <w:t>Z88.3,</w:t>
            </w:r>
            <w:r>
              <w:rPr>
                <w:spacing w:val="-5"/>
                <w:sz w:val="20"/>
              </w:rPr>
              <w:t> </w:t>
            </w:r>
            <w:r>
              <w:rPr>
                <w:spacing w:val="-2"/>
                <w:sz w:val="20"/>
              </w:rPr>
              <w:t>Z88.4,</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Z88.5,</w:t>
            </w:r>
            <w:r>
              <w:rPr>
                <w:spacing w:val="-5"/>
                <w:sz w:val="20"/>
              </w:rPr>
              <w:t> </w:t>
            </w:r>
            <w:r>
              <w:rPr>
                <w:sz w:val="20"/>
              </w:rPr>
              <w:t>Z88.6,</w:t>
            </w:r>
            <w:r>
              <w:rPr>
                <w:spacing w:val="-5"/>
                <w:sz w:val="20"/>
              </w:rPr>
              <w:t> </w:t>
            </w:r>
            <w:r>
              <w:rPr>
                <w:sz w:val="20"/>
              </w:rPr>
              <w:t>Z88.7,</w:t>
            </w:r>
            <w:r>
              <w:rPr>
                <w:spacing w:val="-4"/>
                <w:sz w:val="20"/>
              </w:rPr>
              <w:t> </w:t>
            </w:r>
            <w:r>
              <w:rPr>
                <w:sz w:val="20"/>
              </w:rPr>
              <w:t>Z88.8,</w:t>
            </w:r>
            <w:r>
              <w:rPr>
                <w:spacing w:val="-5"/>
                <w:sz w:val="20"/>
              </w:rPr>
              <w:t> </w:t>
            </w:r>
            <w:r>
              <w:rPr>
                <w:sz w:val="20"/>
              </w:rPr>
              <w:t>Z88.9,</w:t>
            </w:r>
            <w:r>
              <w:rPr>
                <w:spacing w:val="-5"/>
                <w:sz w:val="20"/>
              </w:rPr>
              <w:t> </w:t>
            </w:r>
            <w:r>
              <w:rPr>
                <w:sz w:val="20"/>
              </w:rPr>
              <w:t>Z89,</w:t>
            </w:r>
            <w:r>
              <w:rPr>
                <w:spacing w:val="-6"/>
                <w:sz w:val="20"/>
              </w:rPr>
              <w:t> </w:t>
            </w:r>
            <w:r>
              <w:rPr>
                <w:spacing w:val="-2"/>
                <w:sz w:val="20"/>
              </w:rPr>
              <w:t>Z89.0,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23"/>
              <w:rPr>
                <w:sz w:val="20"/>
              </w:rPr>
            </w:pPr>
            <w:r>
              <w:rPr>
                <w:sz w:val="20"/>
              </w:rPr>
              <w:t>Z89.1,</w:t>
            </w:r>
            <w:r>
              <w:rPr>
                <w:spacing w:val="-6"/>
                <w:sz w:val="20"/>
              </w:rPr>
              <w:t> </w:t>
            </w:r>
            <w:r>
              <w:rPr>
                <w:sz w:val="20"/>
              </w:rPr>
              <w:t>Z89.2,</w:t>
            </w:r>
            <w:r>
              <w:rPr>
                <w:spacing w:val="-5"/>
                <w:sz w:val="20"/>
              </w:rPr>
              <w:t> </w:t>
            </w:r>
            <w:r>
              <w:rPr>
                <w:sz w:val="20"/>
              </w:rPr>
              <w:t>Z89.3,</w:t>
            </w:r>
            <w:r>
              <w:rPr>
                <w:spacing w:val="-5"/>
                <w:sz w:val="20"/>
              </w:rPr>
              <w:t> </w:t>
            </w:r>
            <w:r>
              <w:rPr>
                <w:sz w:val="20"/>
              </w:rPr>
              <w:t>Z89.4,</w:t>
            </w:r>
            <w:r>
              <w:rPr>
                <w:spacing w:val="-5"/>
                <w:sz w:val="20"/>
              </w:rPr>
              <w:t> </w:t>
            </w:r>
            <w:r>
              <w:rPr>
                <w:sz w:val="20"/>
              </w:rPr>
              <w:t>Z89.5,</w:t>
            </w:r>
            <w:r>
              <w:rPr>
                <w:spacing w:val="-5"/>
                <w:sz w:val="20"/>
              </w:rPr>
              <w:t> </w:t>
            </w:r>
            <w:r>
              <w:rPr>
                <w:sz w:val="20"/>
              </w:rPr>
              <w:t>Z89.6,</w:t>
            </w:r>
            <w:r>
              <w:rPr>
                <w:spacing w:val="-5"/>
                <w:sz w:val="20"/>
              </w:rPr>
              <w:t> </w:t>
            </w:r>
            <w:r>
              <w:rPr>
                <w:spacing w:val="-2"/>
                <w:sz w:val="20"/>
              </w:rPr>
              <w:t>Z89.7,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1" w:lineRule="exact"/>
              <w:ind w:left="298"/>
              <w:rPr>
                <w:sz w:val="20"/>
              </w:rPr>
            </w:pPr>
            <w:r>
              <w:rPr>
                <w:sz w:val="20"/>
              </w:rPr>
              <w:t>Z89.8,</w:t>
            </w:r>
            <w:r>
              <w:rPr>
                <w:spacing w:val="-5"/>
                <w:sz w:val="20"/>
              </w:rPr>
              <w:t> </w:t>
            </w:r>
            <w:r>
              <w:rPr>
                <w:sz w:val="20"/>
              </w:rPr>
              <w:t>Z89.9,</w:t>
            </w:r>
            <w:r>
              <w:rPr>
                <w:spacing w:val="-4"/>
                <w:sz w:val="20"/>
              </w:rPr>
              <w:t> </w:t>
            </w:r>
            <w:r>
              <w:rPr>
                <w:sz w:val="20"/>
              </w:rPr>
              <w:t>Z90,</w:t>
            </w:r>
            <w:r>
              <w:rPr>
                <w:spacing w:val="-4"/>
                <w:sz w:val="20"/>
              </w:rPr>
              <w:t> </w:t>
            </w:r>
            <w:r>
              <w:rPr>
                <w:sz w:val="20"/>
              </w:rPr>
              <w:t>Z90.0,</w:t>
            </w:r>
            <w:r>
              <w:rPr>
                <w:spacing w:val="-5"/>
                <w:sz w:val="20"/>
              </w:rPr>
              <w:t> </w:t>
            </w:r>
            <w:r>
              <w:rPr>
                <w:sz w:val="20"/>
              </w:rPr>
              <w:t>Z90.1,</w:t>
            </w:r>
            <w:r>
              <w:rPr>
                <w:spacing w:val="-4"/>
                <w:sz w:val="20"/>
              </w:rPr>
              <w:t> </w:t>
            </w:r>
            <w:r>
              <w:rPr>
                <w:sz w:val="20"/>
              </w:rPr>
              <w:t>Z90.2,</w:t>
            </w:r>
            <w:r>
              <w:rPr>
                <w:spacing w:val="-4"/>
                <w:sz w:val="20"/>
              </w:rPr>
              <w:t> </w:t>
            </w:r>
            <w:r>
              <w:rPr>
                <w:spacing w:val="-2"/>
                <w:sz w:val="20"/>
              </w:rPr>
              <w:t>Z90.3,</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Z90.4,</w:t>
            </w:r>
            <w:r>
              <w:rPr>
                <w:spacing w:val="-5"/>
                <w:sz w:val="20"/>
              </w:rPr>
              <w:t> </w:t>
            </w:r>
            <w:r>
              <w:rPr>
                <w:sz w:val="20"/>
              </w:rPr>
              <w:t>Z90.5,</w:t>
            </w:r>
            <w:r>
              <w:rPr>
                <w:spacing w:val="-5"/>
                <w:sz w:val="20"/>
              </w:rPr>
              <w:t> </w:t>
            </w:r>
            <w:r>
              <w:rPr>
                <w:sz w:val="20"/>
              </w:rPr>
              <w:t>Z90.6,</w:t>
            </w:r>
            <w:r>
              <w:rPr>
                <w:spacing w:val="-4"/>
                <w:sz w:val="20"/>
              </w:rPr>
              <w:t> </w:t>
            </w:r>
            <w:r>
              <w:rPr>
                <w:sz w:val="20"/>
              </w:rPr>
              <w:t>Z90.7,</w:t>
            </w:r>
            <w:r>
              <w:rPr>
                <w:spacing w:val="-5"/>
                <w:sz w:val="20"/>
              </w:rPr>
              <w:t> </w:t>
            </w:r>
            <w:r>
              <w:rPr>
                <w:sz w:val="20"/>
              </w:rPr>
              <w:t>Z90.8,</w:t>
            </w:r>
            <w:r>
              <w:rPr>
                <w:spacing w:val="-5"/>
                <w:sz w:val="20"/>
              </w:rPr>
              <w:t> </w:t>
            </w:r>
            <w:r>
              <w:rPr>
                <w:sz w:val="20"/>
              </w:rPr>
              <w:t>Z91,</w:t>
            </w:r>
            <w:r>
              <w:rPr>
                <w:spacing w:val="-6"/>
                <w:sz w:val="20"/>
              </w:rPr>
              <w:t> </w:t>
            </w:r>
            <w:r>
              <w:rPr>
                <w:spacing w:val="-2"/>
                <w:sz w:val="20"/>
              </w:rPr>
              <w:t>Z91.0,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23"/>
              <w:rPr>
                <w:sz w:val="20"/>
              </w:rPr>
            </w:pPr>
            <w:r>
              <w:rPr>
                <w:sz w:val="20"/>
              </w:rPr>
              <w:t>Z91.1,</w:t>
            </w:r>
            <w:r>
              <w:rPr>
                <w:spacing w:val="-6"/>
                <w:sz w:val="20"/>
              </w:rPr>
              <w:t> </w:t>
            </w:r>
            <w:r>
              <w:rPr>
                <w:sz w:val="20"/>
              </w:rPr>
              <w:t>Z91.2,</w:t>
            </w:r>
            <w:r>
              <w:rPr>
                <w:spacing w:val="-5"/>
                <w:sz w:val="20"/>
              </w:rPr>
              <w:t> </w:t>
            </w:r>
            <w:r>
              <w:rPr>
                <w:sz w:val="20"/>
              </w:rPr>
              <w:t>Z91.3,</w:t>
            </w:r>
            <w:r>
              <w:rPr>
                <w:spacing w:val="-5"/>
                <w:sz w:val="20"/>
              </w:rPr>
              <w:t> </w:t>
            </w:r>
            <w:r>
              <w:rPr>
                <w:sz w:val="20"/>
              </w:rPr>
              <w:t>Z91.4,</w:t>
            </w:r>
            <w:r>
              <w:rPr>
                <w:spacing w:val="-5"/>
                <w:sz w:val="20"/>
              </w:rPr>
              <w:t> </w:t>
            </w:r>
            <w:r>
              <w:rPr>
                <w:sz w:val="20"/>
              </w:rPr>
              <w:t>Z91.5,</w:t>
            </w:r>
            <w:r>
              <w:rPr>
                <w:spacing w:val="-5"/>
                <w:sz w:val="20"/>
              </w:rPr>
              <w:t> </w:t>
            </w:r>
            <w:r>
              <w:rPr>
                <w:sz w:val="20"/>
              </w:rPr>
              <w:t>Z91.6,</w:t>
            </w:r>
            <w:r>
              <w:rPr>
                <w:spacing w:val="-5"/>
                <w:sz w:val="20"/>
              </w:rPr>
              <w:t> </w:t>
            </w:r>
            <w:r>
              <w:rPr>
                <w:spacing w:val="-2"/>
                <w:sz w:val="20"/>
              </w:rPr>
              <w:t>Z91.7,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Z91.8,</w:t>
            </w:r>
            <w:r>
              <w:rPr>
                <w:spacing w:val="-6"/>
                <w:sz w:val="20"/>
              </w:rPr>
              <w:t> </w:t>
            </w:r>
            <w:r>
              <w:rPr>
                <w:sz w:val="20"/>
              </w:rPr>
              <w:t>Z92,</w:t>
            </w:r>
            <w:r>
              <w:rPr>
                <w:spacing w:val="-5"/>
                <w:sz w:val="20"/>
              </w:rPr>
              <w:t> </w:t>
            </w:r>
            <w:r>
              <w:rPr>
                <w:sz w:val="20"/>
              </w:rPr>
              <w:t>Z92.0,</w:t>
            </w:r>
            <w:r>
              <w:rPr>
                <w:spacing w:val="-5"/>
                <w:sz w:val="20"/>
              </w:rPr>
              <w:t> </w:t>
            </w:r>
            <w:r>
              <w:rPr>
                <w:sz w:val="20"/>
              </w:rPr>
              <w:t>Z92.1,</w:t>
            </w:r>
            <w:r>
              <w:rPr>
                <w:spacing w:val="-5"/>
                <w:sz w:val="20"/>
              </w:rPr>
              <w:t> </w:t>
            </w:r>
            <w:r>
              <w:rPr>
                <w:sz w:val="20"/>
              </w:rPr>
              <w:t>Z92.2,</w:t>
            </w:r>
            <w:r>
              <w:rPr>
                <w:spacing w:val="-5"/>
                <w:sz w:val="20"/>
              </w:rPr>
              <w:t> </w:t>
            </w:r>
            <w:r>
              <w:rPr>
                <w:sz w:val="20"/>
              </w:rPr>
              <w:t>Z92.3,</w:t>
            </w:r>
            <w:r>
              <w:rPr>
                <w:spacing w:val="-5"/>
                <w:sz w:val="20"/>
              </w:rPr>
              <w:t> </w:t>
            </w:r>
            <w:r>
              <w:rPr>
                <w:spacing w:val="-2"/>
                <w:sz w:val="20"/>
              </w:rPr>
              <w:t>Z92.4,</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Z92.5,</w:t>
            </w:r>
            <w:r>
              <w:rPr>
                <w:spacing w:val="-6"/>
                <w:sz w:val="20"/>
              </w:rPr>
              <w:t> </w:t>
            </w:r>
            <w:r>
              <w:rPr>
                <w:sz w:val="20"/>
              </w:rPr>
              <w:t>Z92.8,</w:t>
            </w:r>
            <w:r>
              <w:rPr>
                <w:spacing w:val="-5"/>
                <w:sz w:val="20"/>
              </w:rPr>
              <w:t> </w:t>
            </w:r>
            <w:r>
              <w:rPr>
                <w:sz w:val="20"/>
              </w:rPr>
              <w:t>Z92.9,</w:t>
            </w:r>
            <w:r>
              <w:rPr>
                <w:spacing w:val="-5"/>
                <w:sz w:val="20"/>
              </w:rPr>
              <w:t> </w:t>
            </w:r>
            <w:r>
              <w:rPr>
                <w:sz w:val="20"/>
              </w:rPr>
              <w:t>Z93,</w:t>
            </w:r>
            <w:r>
              <w:rPr>
                <w:spacing w:val="-5"/>
                <w:sz w:val="20"/>
              </w:rPr>
              <w:t> </w:t>
            </w:r>
            <w:r>
              <w:rPr>
                <w:sz w:val="20"/>
              </w:rPr>
              <w:t>Z93.0,</w:t>
            </w:r>
            <w:r>
              <w:rPr>
                <w:spacing w:val="-5"/>
                <w:sz w:val="20"/>
              </w:rPr>
              <w:t> </w:t>
            </w:r>
            <w:r>
              <w:rPr>
                <w:sz w:val="20"/>
              </w:rPr>
              <w:t>Z93.1,</w:t>
            </w:r>
            <w:r>
              <w:rPr>
                <w:spacing w:val="-5"/>
                <w:sz w:val="20"/>
              </w:rPr>
              <w:t> </w:t>
            </w:r>
            <w:r>
              <w:rPr>
                <w:spacing w:val="-2"/>
                <w:sz w:val="20"/>
              </w:rPr>
              <w:t>Z93.2,</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Z93.3,</w:t>
            </w:r>
            <w:r>
              <w:rPr>
                <w:spacing w:val="-6"/>
                <w:sz w:val="20"/>
              </w:rPr>
              <w:t> </w:t>
            </w:r>
            <w:r>
              <w:rPr>
                <w:sz w:val="20"/>
              </w:rPr>
              <w:t>Z93.4,</w:t>
            </w:r>
            <w:r>
              <w:rPr>
                <w:spacing w:val="-5"/>
                <w:sz w:val="20"/>
              </w:rPr>
              <w:t> </w:t>
            </w:r>
            <w:r>
              <w:rPr>
                <w:sz w:val="20"/>
              </w:rPr>
              <w:t>Z93.5,</w:t>
            </w:r>
            <w:r>
              <w:rPr>
                <w:spacing w:val="-5"/>
                <w:sz w:val="20"/>
              </w:rPr>
              <w:t> </w:t>
            </w:r>
            <w:r>
              <w:rPr>
                <w:sz w:val="20"/>
              </w:rPr>
              <w:t>Z93.6,</w:t>
            </w:r>
            <w:r>
              <w:rPr>
                <w:spacing w:val="-5"/>
                <w:sz w:val="20"/>
              </w:rPr>
              <w:t> </w:t>
            </w:r>
            <w:r>
              <w:rPr>
                <w:sz w:val="20"/>
              </w:rPr>
              <w:t>Z93.8,</w:t>
            </w:r>
            <w:r>
              <w:rPr>
                <w:spacing w:val="-5"/>
                <w:sz w:val="20"/>
              </w:rPr>
              <w:t> </w:t>
            </w:r>
            <w:r>
              <w:rPr>
                <w:sz w:val="20"/>
              </w:rPr>
              <w:t>Z93.9,</w:t>
            </w:r>
            <w:r>
              <w:rPr>
                <w:spacing w:val="-5"/>
                <w:sz w:val="20"/>
              </w:rPr>
              <w:t> </w:t>
            </w:r>
            <w:r>
              <w:rPr>
                <w:spacing w:val="-4"/>
                <w:sz w:val="20"/>
              </w:rPr>
              <w:t>Z94,</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23"/>
              <w:rPr>
                <w:sz w:val="20"/>
              </w:rPr>
            </w:pPr>
            <w:r>
              <w:rPr>
                <w:sz w:val="20"/>
              </w:rPr>
              <w:t>Z94.0,</w:t>
            </w:r>
            <w:r>
              <w:rPr>
                <w:spacing w:val="-6"/>
                <w:sz w:val="20"/>
              </w:rPr>
              <w:t> </w:t>
            </w:r>
            <w:r>
              <w:rPr>
                <w:sz w:val="20"/>
              </w:rPr>
              <w:t>Z94.1,</w:t>
            </w:r>
            <w:r>
              <w:rPr>
                <w:spacing w:val="-5"/>
                <w:sz w:val="20"/>
              </w:rPr>
              <w:t> </w:t>
            </w:r>
            <w:r>
              <w:rPr>
                <w:sz w:val="20"/>
              </w:rPr>
              <w:t>Z94.2,</w:t>
            </w:r>
            <w:r>
              <w:rPr>
                <w:spacing w:val="-5"/>
                <w:sz w:val="20"/>
              </w:rPr>
              <w:t> </w:t>
            </w:r>
            <w:r>
              <w:rPr>
                <w:sz w:val="20"/>
              </w:rPr>
              <w:t>Z94.3,</w:t>
            </w:r>
            <w:r>
              <w:rPr>
                <w:spacing w:val="-5"/>
                <w:sz w:val="20"/>
              </w:rPr>
              <w:t> </w:t>
            </w:r>
            <w:r>
              <w:rPr>
                <w:sz w:val="20"/>
              </w:rPr>
              <w:t>Z94.4,</w:t>
            </w:r>
            <w:r>
              <w:rPr>
                <w:spacing w:val="-5"/>
                <w:sz w:val="20"/>
              </w:rPr>
              <w:t> </w:t>
            </w:r>
            <w:r>
              <w:rPr>
                <w:sz w:val="20"/>
              </w:rPr>
              <w:t>Z94.5,</w:t>
            </w:r>
            <w:r>
              <w:rPr>
                <w:spacing w:val="-5"/>
                <w:sz w:val="20"/>
              </w:rPr>
              <w:t> </w:t>
            </w:r>
            <w:r>
              <w:rPr>
                <w:spacing w:val="-2"/>
                <w:sz w:val="20"/>
              </w:rPr>
              <w:t>Z94.6,</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98"/>
              <w:rPr>
                <w:sz w:val="20"/>
              </w:rPr>
            </w:pPr>
            <w:r>
              <w:rPr>
                <w:sz w:val="20"/>
              </w:rPr>
              <w:t>Z94.7,</w:t>
            </w:r>
            <w:r>
              <w:rPr>
                <w:spacing w:val="-6"/>
                <w:sz w:val="20"/>
              </w:rPr>
              <w:t> </w:t>
            </w:r>
            <w:r>
              <w:rPr>
                <w:sz w:val="20"/>
              </w:rPr>
              <w:t>Z94.8,</w:t>
            </w:r>
            <w:r>
              <w:rPr>
                <w:spacing w:val="-5"/>
                <w:sz w:val="20"/>
              </w:rPr>
              <w:t> </w:t>
            </w:r>
            <w:r>
              <w:rPr>
                <w:sz w:val="20"/>
              </w:rPr>
              <w:t>Z94.9,</w:t>
            </w:r>
            <w:r>
              <w:rPr>
                <w:spacing w:val="-5"/>
                <w:sz w:val="20"/>
              </w:rPr>
              <w:t> </w:t>
            </w:r>
            <w:r>
              <w:rPr>
                <w:sz w:val="20"/>
              </w:rPr>
              <w:t>Z95,</w:t>
            </w:r>
            <w:r>
              <w:rPr>
                <w:spacing w:val="-5"/>
                <w:sz w:val="20"/>
              </w:rPr>
              <w:t> </w:t>
            </w:r>
            <w:r>
              <w:rPr>
                <w:sz w:val="20"/>
              </w:rPr>
              <w:t>Z95.0,</w:t>
            </w:r>
            <w:r>
              <w:rPr>
                <w:spacing w:val="-5"/>
                <w:sz w:val="20"/>
              </w:rPr>
              <w:t> </w:t>
            </w:r>
            <w:r>
              <w:rPr>
                <w:sz w:val="20"/>
              </w:rPr>
              <w:t>Z95.1,</w:t>
            </w:r>
            <w:r>
              <w:rPr>
                <w:spacing w:val="-5"/>
                <w:sz w:val="20"/>
              </w:rPr>
              <w:t> </w:t>
            </w:r>
            <w:r>
              <w:rPr>
                <w:spacing w:val="-2"/>
                <w:sz w:val="20"/>
              </w:rPr>
              <w:t>Z95.2,</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98"/>
              <w:rPr>
                <w:sz w:val="20"/>
              </w:rPr>
            </w:pPr>
            <w:r>
              <w:rPr>
                <w:sz w:val="20"/>
              </w:rPr>
              <w:t>Z95.3,</w:t>
            </w:r>
            <w:r>
              <w:rPr>
                <w:spacing w:val="-5"/>
                <w:sz w:val="20"/>
              </w:rPr>
              <w:t> </w:t>
            </w:r>
            <w:r>
              <w:rPr>
                <w:sz w:val="20"/>
              </w:rPr>
              <w:t>Z95.4,</w:t>
            </w:r>
            <w:r>
              <w:rPr>
                <w:spacing w:val="-5"/>
                <w:sz w:val="20"/>
              </w:rPr>
              <w:t> </w:t>
            </w:r>
            <w:r>
              <w:rPr>
                <w:sz w:val="20"/>
              </w:rPr>
              <w:t>Z95.5,</w:t>
            </w:r>
            <w:r>
              <w:rPr>
                <w:spacing w:val="-4"/>
                <w:sz w:val="20"/>
              </w:rPr>
              <w:t> </w:t>
            </w:r>
            <w:r>
              <w:rPr>
                <w:sz w:val="20"/>
              </w:rPr>
              <w:t>Z95.8,</w:t>
            </w:r>
            <w:r>
              <w:rPr>
                <w:spacing w:val="-5"/>
                <w:sz w:val="20"/>
              </w:rPr>
              <w:t> </w:t>
            </w:r>
            <w:r>
              <w:rPr>
                <w:sz w:val="20"/>
              </w:rPr>
              <w:t>Z95.9,</w:t>
            </w:r>
            <w:r>
              <w:rPr>
                <w:spacing w:val="-5"/>
                <w:sz w:val="20"/>
              </w:rPr>
              <w:t> </w:t>
            </w:r>
            <w:r>
              <w:rPr>
                <w:sz w:val="20"/>
              </w:rPr>
              <w:t>Z96,</w:t>
            </w:r>
            <w:r>
              <w:rPr>
                <w:spacing w:val="-6"/>
                <w:sz w:val="20"/>
              </w:rPr>
              <w:t> </w:t>
            </w:r>
            <w:r>
              <w:rPr>
                <w:spacing w:val="-2"/>
                <w:sz w:val="20"/>
              </w:rPr>
              <w:t>Z96.0,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23"/>
              <w:rPr>
                <w:sz w:val="20"/>
              </w:rPr>
            </w:pPr>
            <w:r>
              <w:rPr>
                <w:sz w:val="20"/>
              </w:rPr>
              <w:t>Z96.1,</w:t>
            </w:r>
            <w:r>
              <w:rPr>
                <w:spacing w:val="-6"/>
                <w:sz w:val="20"/>
              </w:rPr>
              <w:t> </w:t>
            </w:r>
            <w:r>
              <w:rPr>
                <w:sz w:val="20"/>
              </w:rPr>
              <w:t>Z96.2,</w:t>
            </w:r>
            <w:r>
              <w:rPr>
                <w:spacing w:val="-5"/>
                <w:sz w:val="20"/>
              </w:rPr>
              <w:t> </w:t>
            </w:r>
            <w:r>
              <w:rPr>
                <w:sz w:val="20"/>
              </w:rPr>
              <w:t>Z96.3,</w:t>
            </w:r>
            <w:r>
              <w:rPr>
                <w:spacing w:val="-5"/>
                <w:sz w:val="20"/>
              </w:rPr>
              <w:t> </w:t>
            </w:r>
            <w:r>
              <w:rPr>
                <w:sz w:val="20"/>
              </w:rPr>
              <w:t>Z96.4,</w:t>
            </w:r>
            <w:r>
              <w:rPr>
                <w:spacing w:val="-5"/>
                <w:sz w:val="20"/>
              </w:rPr>
              <w:t> </w:t>
            </w:r>
            <w:r>
              <w:rPr>
                <w:sz w:val="20"/>
              </w:rPr>
              <w:t>Z96.5,</w:t>
            </w:r>
            <w:r>
              <w:rPr>
                <w:spacing w:val="-5"/>
                <w:sz w:val="20"/>
              </w:rPr>
              <w:t> </w:t>
            </w:r>
            <w:r>
              <w:rPr>
                <w:sz w:val="20"/>
              </w:rPr>
              <w:t>Z96.6,</w:t>
            </w:r>
            <w:r>
              <w:rPr>
                <w:spacing w:val="-5"/>
                <w:sz w:val="20"/>
              </w:rPr>
              <w:t> </w:t>
            </w:r>
            <w:r>
              <w:rPr>
                <w:spacing w:val="-2"/>
                <w:sz w:val="20"/>
              </w:rPr>
              <w:t>Z96.7,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Z96.8,</w:t>
            </w:r>
            <w:r>
              <w:rPr>
                <w:spacing w:val="-6"/>
                <w:sz w:val="20"/>
              </w:rPr>
              <w:t> </w:t>
            </w:r>
            <w:r>
              <w:rPr>
                <w:sz w:val="20"/>
              </w:rPr>
              <w:t>Z96.9,</w:t>
            </w:r>
            <w:r>
              <w:rPr>
                <w:spacing w:val="-5"/>
                <w:sz w:val="20"/>
              </w:rPr>
              <w:t> </w:t>
            </w:r>
            <w:r>
              <w:rPr>
                <w:sz w:val="20"/>
              </w:rPr>
              <w:t>Z97,</w:t>
            </w:r>
            <w:r>
              <w:rPr>
                <w:spacing w:val="-5"/>
                <w:sz w:val="20"/>
              </w:rPr>
              <w:t> </w:t>
            </w:r>
            <w:r>
              <w:rPr>
                <w:sz w:val="20"/>
              </w:rPr>
              <w:t>Z97.0,</w:t>
            </w:r>
            <w:r>
              <w:rPr>
                <w:spacing w:val="-5"/>
                <w:sz w:val="20"/>
              </w:rPr>
              <w:t> </w:t>
            </w:r>
            <w:r>
              <w:rPr>
                <w:sz w:val="20"/>
              </w:rPr>
              <w:t>Z97.1,</w:t>
            </w:r>
            <w:r>
              <w:rPr>
                <w:spacing w:val="-5"/>
                <w:sz w:val="20"/>
              </w:rPr>
              <w:t> </w:t>
            </w:r>
            <w:r>
              <w:rPr>
                <w:sz w:val="20"/>
              </w:rPr>
              <w:t>Z97.2,</w:t>
            </w:r>
            <w:r>
              <w:rPr>
                <w:spacing w:val="-5"/>
                <w:sz w:val="20"/>
              </w:rPr>
              <w:t> </w:t>
            </w:r>
            <w:r>
              <w:rPr>
                <w:spacing w:val="-2"/>
                <w:sz w:val="20"/>
              </w:rPr>
              <w:t>Z97.3,</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1" w:lineRule="exact"/>
              <w:ind w:left="298"/>
              <w:rPr>
                <w:sz w:val="20"/>
              </w:rPr>
            </w:pPr>
            <w:r>
              <w:rPr>
                <w:sz w:val="20"/>
              </w:rPr>
              <w:t>Z97.4,</w:t>
            </w:r>
            <w:r>
              <w:rPr>
                <w:spacing w:val="-5"/>
                <w:sz w:val="20"/>
              </w:rPr>
              <w:t> </w:t>
            </w:r>
            <w:r>
              <w:rPr>
                <w:sz w:val="20"/>
              </w:rPr>
              <w:t>Z97.5,</w:t>
            </w:r>
            <w:r>
              <w:rPr>
                <w:spacing w:val="-5"/>
                <w:sz w:val="20"/>
              </w:rPr>
              <w:t> </w:t>
            </w:r>
            <w:r>
              <w:rPr>
                <w:sz w:val="20"/>
              </w:rPr>
              <w:t>Z97.8,</w:t>
            </w:r>
            <w:r>
              <w:rPr>
                <w:spacing w:val="-4"/>
                <w:sz w:val="20"/>
              </w:rPr>
              <w:t> </w:t>
            </w:r>
            <w:r>
              <w:rPr>
                <w:sz w:val="20"/>
              </w:rPr>
              <w:t>Z98,</w:t>
            </w:r>
            <w:r>
              <w:rPr>
                <w:spacing w:val="-5"/>
                <w:sz w:val="20"/>
              </w:rPr>
              <w:t> </w:t>
            </w:r>
            <w:r>
              <w:rPr>
                <w:sz w:val="20"/>
              </w:rPr>
              <w:t>Z98.0,</w:t>
            </w:r>
            <w:r>
              <w:rPr>
                <w:spacing w:val="-5"/>
                <w:sz w:val="20"/>
              </w:rPr>
              <w:t> </w:t>
            </w:r>
            <w:r>
              <w:rPr>
                <w:sz w:val="20"/>
              </w:rPr>
              <w:t>Z98.1,</w:t>
            </w:r>
            <w:r>
              <w:rPr>
                <w:spacing w:val="-4"/>
                <w:sz w:val="20"/>
              </w:rPr>
              <w:t> </w:t>
            </w:r>
            <w:r>
              <w:rPr>
                <w:spacing w:val="-2"/>
                <w:sz w:val="20"/>
              </w:rPr>
              <w:t>Z98.2,</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1" w:lineRule="exact"/>
              <w:ind w:left="298"/>
              <w:rPr>
                <w:sz w:val="20"/>
              </w:rPr>
            </w:pPr>
            <w:r>
              <w:rPr>
                <w:sz w:val="20"/>
              </w:rPr>
              <w:t>Z98.8,</w:t>
            </w:r>
            <w:r>
              <w:rPr>
                <w:spacing w:val="-6"/>
                <w:sz w:val="20"/>
              </w:rPr>
              <w:t> </w:t>
            </w:r>
            <w:r>
              <w:rPr>
                <w:sz w:val="20"/>
              </w:rPr>
              <w:t>Z99,</w:t>
            </w:r>
            <w:r>
              <w:rPr>
                <w:spacing w:val="-5"/>
                <w:sz w:val="20"/>
              </w:rPr>
              <w:t> </w:t>
            </w:r>
            <w:r>
              <w:rPr>
                <w:sz w:val="20"/>
              </w:rPr>
              <w:t>Z99.0,</w:t>
            </w:r>
            <w:r>
              <w:rPr>
                <w:spacing w:val="-5"/>
                <w:sz w:val="20"/>
              </w:rPr>
              <w:t> </w:t>
            </w:r>
            <w:r>
              <w:rPr>
                <w:sz w:val="20"/>
              </w:rPr>
              <w:t>Z99.1,</w:t>
            </w:r>
            <w:r>
              <w:rPr>
                <w:spacing w:val="-5"/>
                <w:sz w:val="20"/>
              </w:rPr>
              <w:t> </w:t>
            </w:r>
            <w:r>
              <w:rPr>
                <w:sz w:val="20"/>
              </w:rPr>
              <w:t>Z99.2,</w:t>
            </w:r>
            <w:r>
              <w:rPr>
                <w:spacing w:val="-5"/>
                <w:sz w:val="20"/>
              </w:rPr>
              <w:t> </w:t>
            </w:r>
            <w:r>
              <w:rPr>
                <w:sz w:val="20"/>
              </w:rPr>
              <w:t>Z99.3,</w:t>
            </w:r>
            <w:r>
              <w:rPr>
                <w:spacing w:val="-5"/>
                <w:sz w:val="20"/>
              </w:rPr>
              <w:t> </w:t>
            </w:r>
            <w:r>
              <w:rPr>
                <w:spacing w:val="-2"/>
                <w:sz w:val="20"/>
              </w:rPr>
              <w:t>Z99.8,</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26" w:lineRule="exact"/>
              <w:ind w:left="1951" w:right="2023"/>
              <w:jc w:val="center"/>
              <w:rPr>
                <w:sz w:val="20"/>
              </w:rPr>
            </w:pPr>
            <w:r>
              <w:rPr>
                <w:spacing w:val="-2"/>
                <w:sz w:val="20"/>
              </w:rPr>
              <w:t>Z99.9</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4" w:lineRule="exact" w:before="47"/>
              <w:ind w:left="50"/>
              <w:rPr>
                <w:sz w:val="20"/>
              </w:rPr>
            </w:pPr>
            <w:r>
              <w:rPr>
                <w:spacing w:val="-2"/>
                <w:sz w:val="20"/>
              </w:rPr>
              <w:t>st36.020</w:t>
            </w:r>
          </w:p>
        </w:tc>
        <w:tc>
          <w:tcPr>
            <w:tcW w:w="707" w:type="dxa"/>
          </w:tcPr>
          <w:p>
            <w:pPr>
              <w:pStyle w:val="TableParagraph"/>
              <w:spacing w:line="214" w:lineRule="exact" w:before="47"/>
              <w:ind w:left="210"/>
              <w:rPr>
                <w:sz w:val="20"/>
              </w:rPr>
            </w:pPr>
            <w:r>
              <w:rPr>
                <w:spacing w:val="-5"/>
                <w:sz w:val="20"/>
              </w:rPr>
              <w:t>360</w:t>
            </w:r>
          </w:p>
        </w:tc>
        <w:tc>
          <w:tcPr>
            <w:tcW w:w="2518" w:type="dxa"/>
          </w:tcPr>
          <w:p>
            <w:pPr>
              <w:pStyle w:val="TableParagraph"/>
              <w:spacing w:line="216" w:lineRule="exact" w:before="45"/>
              <w:ind w:left="192"/>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478" w:type="dxa"/>
          </w:tcPr>
          <w:p>
            <w:pPr>
              <w:pStyle w:val="TableParagraph"/>
              <w:spacing w:line="214" w:lineRule="exact" w:before="47"/>
              <w:ind w:right="73"/>
              <w:jc w:val="center"/>
              <w:rPr>
                <w:sz w:val="20"/>
              </w:rPr>
            </w:pPr>
            <w:r>
              <w:rPr>
                <w:w w:val="99"/>
                <w:sz w:val="20"/>
              </w:rPr>
              <w:t>-</w:t>
            </w:r>
          </w:p>
        </w:tc>
        <w:tc>
          <w:tcPr>
            <w:tcW w:w="3705" w:type="dxa"/>
          </w:tcPr>
          <w:p>
            <w:pPr>
              <w:pStyle w:val="TableParagraph"/>
              <w:spacing w:line="216" w:lineRule="exact" w:before="45"/>
              <w:ind w:left="235" w:right="732"/>
              <w:jc w:val="center"/>
              <w:rPr>
                <w:sz w:val="20"/>
              </w:rPr>
            </w:pPr>
            <w:r>
              <w:rPr>
                <w:sz w:val="20"/>
              </w:rPr>
              <w:t>A18.05.002,</w:t>
            </w:r>
            <w:r>
              <w:rPr>
                <w:spacing w:val="-9"/>
                <w:sz w:val="20"/>
              </w:rPr>
              <w:t> </w:t>
            </w:r>
            <w:r>
              <w:rPr>
                <w:spacing w:val="-2"/>
                <w:sz w:val="20"/>
              </w:rPr>
              <w:t>A18.05.002.001,</w:t>
            </w:r>
          </w:p>
        </w:tc>
        <w:tc>
          <w:tcPr>
            <w:tcW w:w="1660" w:type="dxa"/>
          </w:tcPr>
          <w:p>
            <w:pPr>
              <w:pStyle w:val="TableParagraph"/>
              <w:spacing w:line="214" w:lineRule="exact" w:before="47"/>
              <w:ind w:left="732"/>
              <w:rPr>
                <w:sz w:val="20"/>
              </w:rPr>
            </w:pPr>
            <w:r>
              <w:rPr>
                <w:w w:val="99"/>
                <w:sz w:val="20"/>
              </w:rPr>
              <w:t>-</w:t>
            </w:r>
          </w:p>
        </w:tc>
        <w:tc>
          <w:tcPr>
            <w:tcW w:w="1261" w:type="dxa"/>
          </w:tcPr>
          <w:p>
            <w:pPr>
              <w:pStyle w:val="TableParagraph"/>
              <w:spacing w:line="214" w:lineRule="exact" w:before="47"/>
              <w:ind w:right="49"/>
              <w:jc w:val="right"/>
              <w:rPr>
                <w:sz w:val="20"/>
              </w:rPr>
            </w:pPr>
            <w:r>
              <w:rPr>
                <w:spacing w:val="-4"/>
                <w:sz w:val="20"/>
              </w:rPr>
              <w:t>0,26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9"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rPr>
                <w:sz w:val="16"/>
              </w:rPr>
            </w:pPr>
          </w:p>
        </w:tc>
        <w:tc>
          <w:tcPr>
            <w:tcW w:w="3705" w:type="dxa"/>
          </w:tcPr>
          <w:p>
            <w:pPr>
              <w:pStyle w:val="TableParagraph"/>
              <w:spacing w:line="209" w:lineRule="exact"/>
              <w:ind w:left="235" w:right="732"/>
              <w:jc w:val="center"/>
              <w:rPr>
                <w:sz w:val="20"/>
              </w:rPr>
            </w:pPr>
            <w:r>
              <w:rPr>
                <w:w w:val="95"/>
                <w:sz w:val="20"/>
              </w:rPr>
              <w:t>A18.05.002.002,</w:t>
            </w:r>
            <w:r>
              <w:rPr>
                <w:spacing w:val="54"/>
                <w:sz w:val="20"/>
              </w:rPr>
              <w:t> </w:t>
            </w:r>
            <w:r>
              <w:rPr>
                <w:spacing w:val="-2"/>
                <w:sz w:val="20"/>
              </w:rPr>
              <w:t>A18.05.011,</w:t>
            </w: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pacing w:val="-2"/>
                <w:sz w:val="20"/>
              </w:rPr>
              <w:t>медицинских</w:t>
            </w:r>
          </w:p>
        </w:tc>
        <w:tc>
          <w:tcPr>
            <w:tcW w:w="4478" w:type="dxa"/>
          </w:tcPr>
          <w:p>
            <w:pPr>
              <w:pStyle w:val="TableParagraph"/>
              <w:rPr>
                <w:sz w:val="16"/>
              </w:rPr>
            </w:pPr>
          </w:p>
        </w:tc>
        <w:tc>
          <w:tcPr>
            <w:tcW w:w="3705" w:type="dxa"/>
          </w:tcPr>
          <w:p>
            <w:pPr>
              <w:pStyle w:val="TableParagraph"/>
              <w:spacing w:line="210" w:lineRule="exact"/>
              <w:ind w:left="235" w:right="728"/>
              <w:jc w:val="center"/>
              <w:rPr>
                <w:sz w:val="20"/>
              </w:rPr>
            </w:pPr>
            <w:r>
              <w:rPr>
                <w:sz w:val="20"/>
              </w:rPr>
              <w:t>A18.05.004,</w:t>
            </w:r>
            <w:r>
              <w:rPr>
                <w:spacing w:val="-8"/>
                <w:sz w:val="20"/>
              </w:rPr>
              <w:t> </w:t>
            </w:r>
            <w:r>
              <w:rPr>
                <w:spacing w:val="-2"/>
                <w:sz w:val="20"/>
              </w:rPr>
              <w:t>A18.30.001,</w:t>
            </w:r>
          </w:p>
        </w:tc>
        <w:tc>
          <w:tcPr>
            <w:tcW w:w="1660" w:type="dxa"/>
          </w:tcPr>
          <w:p>
            <w:pPr>
              <w:pStyle w:val="TableParagraph"/>
              <w:rPr>
                <w:sz w:val="16"/>
              </w:rPr>
            </w:pPr>
          </w:p>
        </w:tc>
        <w:tc>
          <w:tcPr>
            <w:tcW w:w="1261"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6"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1)</w:t>
            </w:r>
          </w:p>
        </w:tc>
        <w:tc>
          <w:tcPr>
            <w:tcW w:w="4478" w:type="dxa"/>
          </w:tcPr>
          <w:p>
            <w:pPr>
              <w:pStyle w:val="TableParagraph"/>
              <w:rPr>
                <w:sz w:val="18"/>
              </w:rPr>
            </w:pPr>
          </w:p>
        </w:tc>
        <w:tc>
          <w:tcPr>
            <w:tcW w:w="3705" w:type="dxa"/>
          </w:tcPr>
          <w:p>
            <w:pPr>
              <w:pStyle w:val="TableParagraph"/>
              <w:spacing w:line="226" w:lineRule="exact"/>
              <w:ind w:left="235" w:right="731"/>
              <w:jc w:val="center"/>
              <w:rPr>
                <w:sz w:val="20"/>
              </w:rPr>
            </w:pPr>
            <w:r>
              <w:rPr>
                <w:w w:val="95"/>
                <w:sz w:val="20"/>
              </w:rPr>
              <w:t>A18.30.001.002,</w:t>
            </w:r>
            <w:r>
              <w:rPr>
                <w:spacing w:val="54"/>
                <w:sz w:val="20"/>
              </w:rPr>
              <w:t> </w:t>
            </w:r>
            <w:r>
              <w:rPr>
                <w:spacing w:val="-2"/>
                <w:sz w:val="20"/>
              </w:rPr>
              <w:t>A18.30.001.003</w:t>
            </w:r>
          </w:p>
        </w:tc>
        <w:tc>
          <w:tcPr>
            <w:tcW w:w="1660" w:type="dxa"/>
          </w:tcPr>
          <w:p>
            <w:pPr>
              <w:pStyle w:val="TableParagraph"/>
              <w:rPr>
                <w:sz w:val="18"/>
              </w:rPr>
            </w:pPr>
          </w:p>
        </w:tc>
        <w:tc>
          <w:tcPr>
            <w:tcW w:w="1261" w:type="dxa"/>
          </w:tcPr>
          <w:p>
            <w:pPr>
              <w:pStyle w:val="TableParagraph"/>
              <w:rPr>
                <w:sz w:val="18"/>
              </w:rPr>
            </w:pPr>
          </w:p>
        </w:tc>
      </w:tr>
      <w:tr>
        <w:trPr>
          <w:trHeight w:val="270" w:hRule="atLeast"/>
        </w:trPr>
        <w:tc>
          <w:tcPr>
            <w:tcW w:w="946" w:type="dxa"/>
          </w:tcPr>
          <w:p>
            <w:pPr>
              <w:pStyle w:val="TableParagraph"/>
              <w:spacing w:line="212" w:lineRule="exact" w:before="37"/>
              <w:ind w:left="50"/>
              <w:rPr>
                <w:sz w:val="20"/>
              </w:rPr>
            </w:pPr>
            <w:r>
              <w:rPr>
                <w:spacing w:val="-2"/>
                <w:sz w:val="20"/>
              </w:rPr>
              <w:t>st36.021</w:t>
            </w:r>
          </w:p>
        </w:tc>
        <w:tc>
          <w:tcPr>
            <w:tcW w:w="707" w:type="dxa"/>
          </w:tcPr>
          <w:p>
            <w:pPr>
              <w:pStyle w:val="TableParagraph"/>
              <w:spacing w:line="212" w:lineRule="exact" w:before="37"/>
              <w:ind w:left="210"/>
              <w:rPr>
                <w:sz w:val="20"/>
              </w:rPr>
            </w:pPr>
            <w:r>
              <w:rPr>
                <w:spacing w:val="-5"/>
                <w:sz w:val="20"/>
              </w:rPr>
              <w:t>361</w:t>
            </w:r>
          </w:p>
        </w:tc>
        <w:tc>
          <w:tcPr>
            <w:tcW w:w="2518" w:type="dxa"/>
          </w:tcPr>
          <w:p>
            <w:pPr>
              <w:pStyle w:val="TableParagraph"/>
              <w:spacing w:line="215" w:lineRule="exact" w:before="35"/>
              <w:ind w:left="192"/>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478" w:type="dxa"/>
          </w:tcPr>
          <w:p>
            <w:pPr>
              <w:pStyle w:val="TableParagraph"/>
              <w:spacing w:line="212" w:lineRule="exact" w:before="37"/>
              <w:ind w:right="73"/>
              <w:jc w:val="center"/>
              <w:rPr>
                <w:sz w:val="20"/>
              </w:rPr>
            </w:pPr>
            <w:r>
              <w:rPr>
                <w:w w:val="99"/>
                <w:sz w:val="20"/>
              </w:rPr>
              <w:t>-</w:t>
            </w:r>
          </w:p>
        </w:tc>
        <w:tc>
          <w:tcPr>
            <w:tcW w:w="3705" w:type="dxa"/>
          </w:tcPr>
          <w:p>
            <w:pPr>
              <w:pStyle w:val="TableParagraph"/>
              <w:spacing w:line="215" w:lineRule="exact" w:before="35"/>
              <w:ind w:left="235" w:right="732"/>
              <w:jc w:val="center"/>
              <w:rPr>
                <w:sz w:val="20"/>
              </w:rPr>
            </w:pPr>
            <w:r>
              <w:rPr>
                <w:w w:val="95"/>
                <w:sz w:val="20"/>
              </w:rPr>
              <w:t>A18.05.002.003,</w:t>
            </w:r>
            <w:r>
              <w:rPr>
                <w:spacing w:val="54"/>
                <w:sz w:val="20"/>
              </w:rPr>
              <w:t> </w:t>
            </w:r>
            <w:r>
              <w:rPr>
                <w:spacing w:val="-2"/>
                <w:sz w:val="20"/>
              </w:rPr>
              <w:t>A18.05.003,</w:t>
            </w:r>
          </w:p>
        </w:tc>
        <w:tc>
          <w:tcPr>
            <w:tcW w:w="1660" w:type="dxa"/>
          </w:tcPr>
          <w:p>
            <w:pPr>
              <w:pStyle w:val="TableParagraph"/>
              <w:spacing w:line="212" w:lineRule="exact" w:before="37"/>
              <w:ind w:left="732"/>
              <w:rPr>
                <w:sz w:val="20"/>
              </w:rPr>
            </w:pPr>
            <w:r>
              <w:rPr>
                <w:w w:val="99"/>
                <w:sz w:val="20"/>
              </w:rPr>
              <w:t>-</w:t>
            </w:r>
          </w:p>
        </w:tc>
        <w:tc>
          <w:tcPr>
            <w:tcW w:w="1261" w:type="dxa"/>
          </w:tcPr>
          <w:p>
            <w:pPr>
              <w:pStyle w:val="TableParagraph"/>
              <w:spacing w:line="212" w:lineRule="exact" w:before="37"/>
              <w:ind w:right="49"/>
              <w:jc w:val="right"/>
              <w:rPr>
                <w:sz w:val="20"/>
              </w:rPr>
            </w:pPr>
            <w:r>
              <w:rPr>
                <w:spacing w:val="-4"/>
                <w:sz w:val="20"/>
              </w:rPr>
              <w:t>0,76</w:t>
            </w:r>
          </w:p>
        </w:tc>
      </w:tr>
      <w:tr>
        <w:trPr>
          <w:trHeight w:val="227"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8"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rPr>
                <w:sz w:val="16"/>
              </w:rPr>
            </w:pPr>
          </w:p>
        </w:tc>
        <w:tc>
          <w:tcPr>
            <w:tcW w:w="3705" w:type="dxa"/>
          </w:tcPr>
          <w:p>
            <w:pPr>
              <w:pStyle w:val="TableParagraph"/>
              <w:spacing w:line="208" w:lineRule="exact"/>
              <w:ind w:left="235" w:right="733"/>
              <w:jc w:val="center"/>
              <w:rPr>
                <w:sz w:val="20"/>
              </w:rPr>
            </w:pPr>
            <w:r>
              <w:rPr>
                <w:w w:val="95"/>
                <w:sz w:val="20"/>
              </w:rPr>
              <w:t>А18.05.003.001,</w:t>
            </w:r>
            <w:r>
              <w:rPr>
                <w:spacing w:val="54"/>
                <w:sz w:val="20"/>
              </w:rPr>
              <w:t> </w:t>
            </w:r>
            <w:r>
              <w:rPr>
                <w:spacing w:val="-2"/>
                <w:sz w:val="20"/>
              </w:rPr>
              <w:t>A18.05.004.001,</w:t>
            </w:r>
          </w:p>
        </w:tc>
        <w:tc>
          <w:tcPr>
            <w:tcW w:w="1660" w:type="dxa"/>
          </w:tcPr>
          <w:p>
            <w:pPr>
              <w:pStyle w:val="TableParagraph"/>
              <w:rPr>
                <w:sz w:val="16"/>
              </w:rPr>
            </w:pPr>
          </w:p>
        </w:tc>
        <w:tc>
          <w:tcPr>
            <w:tcW w:w="1261" w:type="dxa"/>
          </w:tcPr>
          <w:p>
            <w:pPr>
              <w:pStyle w:val="TableParagraph"/>
              <w:rPr>
                <w:sz w:val="16"/>
              </w:rPr>
            </w:pPr>
          </w:p>
        </w:tc>
      </w:tr>
      <w:tr>
        <w:trPr>
          <w:trHeight w:val="232"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3" w:lineRule="exact"/>
              <w:ind w:left="192"/>
              <w:rPr>
                <w:sz w:val="20"/>
              </w:rPr>
            </w:pPr>
            <w:r>
              <w:rPr>
                <w:spacing w:val="-2"/>
                <w:sz w:val="20"/>
              </w:rPr>
              <w:t>медицинских</w:t>
            </w:r>
          </w:p>
        </w:tc>
        <w:tc>
          <w:tcPr>
            <w:tcW w:w="4478" w:type="dxa"/>
          </w:tcPr>
          <w:p>
            <w:pPr>
              <w:pStyle w:val="TableParagraph"/>
              <w:rPr>
                <w:sz w:val="16"/>
              </w:rPr>
            </w:pPr>
          </w:p>
        </w:tc>
        <w:tc>
          <w:tcPr>
            <w:tcW w:w="3705" w:type="dxa"/>
          </w:tcPr>
          <w:p>
            <w:pPr>
              <w:pStyle w:val="TableParagraph"/>
              <w:spacing w:line="213" w:lineRule="exact"/>
              <w:ind w:left="235" w:right="731"/>
              <w:jc w:val="center"/>
              <w:rPr>
                <w:sz w:val="20"/>
              </w:rPr>
            </w:pPr>
            <w:r>
              <w:rPr>
                <w:spacing w:val="-2"/>
                <w:sz w:val="20"/>
              </w:rPr>
              <w:t>A18.05.011.001</w:t>
            </w:r>
          </w:p>
        </w:tc>
        <w:tc>
          <w:tcPr>
            <w:tcW w:w="1660" w:type="dxa"/>
          </w:tcPr>
          <w:p>
            <w:pPr>
              <w:pStyle w:val="TableParagraph"/>
              <w:rPr>
                <w:sz w:val="16"/>
              </w:rPr>
            </w:pPr>
          </w:p>
        </w:tc>
        <w:tc>
          <w:tcPr>
            <w:tcW w:w="1261" w:type="dxa"/>
          </w:tcPr>
          <w:p>
            <w:pPr>
              <w:pStyle w:val="TableParagraph"/>
              <w:rPr>
                <w:sz w:val="16"/>
              </w:rPr>
            </w:pPr>
          </w:p>
        </w:tc>
      </w:tr>
      <w:tr>
        <w:trPr>
          <w:trHeight w:val="269"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6"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2)</w:t>
            </w:r>
          </w:p>
        </w:tc>
        <w:tc>
          <w:tcPr>
            <w:tcW w:w="4478" w:type="dxa"/>
          </w:tcPr>
          <w:p>
            <w:pPr>
              <w:pStyle w:val="TableParagraph"/>
              <w:rPr>
                <w:sz w:val="18"/>
              </w:rPr>
            </w:pPr>
          </w:p>
        </w:tc>
        <w:tc>
          <w:tcPr>
            <w:tcW w:w="3705"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st36.022</w:t>
            </w:r>
          </w:p>
        </w:tc>
        <w:tc>
          <w:tcPr>
            <w:tcW w:w="707" w:type="dxa"/>
          </w:tcPr>
          <w:p>
            <w:pPr>
              <w:pStyle w:val="TableParagraph"/>
              <w:spacing w:line="214" w:lineRule="exact" w:before="36"/>
              <w:ind w:left="210"/>
              <w:rPr>
                <w:sz w:val="20"/>
              </w:rPr>
            </w:pPr>
            <w:r>
              <w:rPr>
                <w:spacing w:val="-5"/>
                <w:sz w:val="20"/>
              </w:rPr>
              <w:t>362</w:t>
            </w:r>
          </w:p>
        </w:tc>
        <w:tc>
          <w:tcPr>
            <w:tcW w:w="2518" w:type="dxa"/>
          </w:tcPr>
          <w:p>
            <w:pPr>
              <w:pStyle w:val="TableParagraph"/>
              <w:spacing w:line="216" w:lineRule="exact" w:before="34"/>
              <w:ind w:left="192"/>
              <w:rPr>
                <w:sz w:val="20"/>
              </w:rPr>
            </w:pPr>
            <w:r>
              <w:rPr>
                <w:sz w:val="20"/>
              </w:rPr>
              <w:t>Оказание</w:t>
            </w:r>
            <w:r>
              <w:rPr>
                <w:spacing w:val="-7"/>
                <w:sz w:val="20"/>
              </w:rPr>
              <w:t> </w:t>
            </w:r>
            <w:r>
              <w:rPr>
                <w:sz w:val="20"/>
              </w:rPr>
              <w:t>услуг</w:t>
            </w:r>
            <w:r>
              <w:rPr>
                <w:spacing w:val="-9"/>
                <w:sz w:val="20"/>
              </w:rPr>
              <w:t> </w:t>
            </w:r>
            <w:r>
              <w:rPr>
                <w:spacing w:val="-2"/>
                <w:sz w:val="20"/>
              </w:rPr>
              <w:t>диализа</w:t>
            </w:r>
          </w:p>
        </w:tc>
        <w:tc>
          <w:tcPr>
            <w:tcW w:w="4478" w:type="dxa"/>
          </w:tcPr>
          <w:p>
            <w:pPr>
              <w:pStyle w:val="TableParagraph"/>
              <w:spacing w:line="214" w:lineRule="exact" w:before="36"/>
              <w:ind w:right="73"/>
              <w:jc w:val="center"/>
              <w:rPr>
                <w:sz w:val="20"/>
              </w:rPr>
            </w:pPr>
            <w:r>
              <w:rPr>
                <w:w w:val="99"/>
                <w:sz w:val="20"/>
              </w:rPr>
              <w:t>-</w:t>
            </w:r>
          </w:p>
        </w:tc>
        <w:tc>
          <w:tcPr>
            <w:tcW w:w="3705" w:type="dxa"/>
          </w:tcPr>
          <w:p>
            <w:pPr>
              <w:pStyle w:val="TableParagraph"/>
              <w:spacing w:line="216" w:lineRule="exact" w:before="34"/>
              <w:ind w:left="235" w:right="733"/>
              <w:jc w:val="center"/>
              <w:rPr>
                <w:sz w:val="20"/>
              </w:rPr>
            </w:pPr>
            <w:r>
              <w:rPr>
                <w:w w:val="95"/>
                <w:sz w:val="20"/>
              </w:rPr>
              <w:t>A18.05.002.005,</w:t>
            </w:r>
            <w:r>
              <w:rPr>
                <w:spacing w:val="54"/>
                <w:sz w:val="20"/>
              </w:rPr>
              <w:t> </w:t>
            </w:r>
            <w:r>
              <w:rPr>
                <w:spacing w:val="-2"/>
                <w:sz w:val="20"/>
              </w:rPr>
              <w:t>A18.05.003.002,</w:t>
            </w:r>
          </w:p>
        </w:tc>
        <w:tc>
          <w:tcPr>
            <w:tcW w:w="1660" w:type="dxa"/>
          </w:tcPr>
          <w:p>
            <w:pPr>
              <w:pStyle w:val="TableParagraph"/>
              <w:spacing w:line="214" w:lineRule="exact" w:before="36"/>
              <w:ind w:left="732"/>
              <w:rPr>
                <w:sz w:val="20"/>
              </w:rPr>
            </w:pPr>
            <w:r>
              <w:rPr>
                <w:w w:val="99"/>
                <w:sz w:val="20"/>
              </w:rPr>
              <w:t>-</w:t>
            </w:r>
          </w:p>
        </w:tc>
        <w:tc>
          <w:tcPr>
            <w:tcW w:w="1261" w:type="dxa"/>
          </w:tcPr>
          <w:p>
            <w:pPr>
              <w:pStyle w:val="TableParagraph"/>
              <w:spacing w:line="214" w:lineRule="exact" w:before="36"/>
              <w:ind w:right="49"/>
              <w:jc w:val="right"/>
              <w:rPr>
                <w:sz w:val="20"/>
              </w:rPr>
            </w:pPr>
            <w:r>
              <w:rPr>
                <w:spacing w:val="-4"/>
                <w:sz w:val="20"/>
              </w:rPr>
              <w:t>1,38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rPr>
                <w:sz w:val="16"/>
              </w:rPr>
            </w:pPr>
          </w:p>
        </w:tc>
        <w:tc>
          <w:tcPr>
            <w:tcW w:w="3705" w:type="dxa"/>
          </w:tcPr>
          <w:p>
            <w:pPr>
              <w:pStyle w:val="TableParagraph"/>
              <w:spacing w:line="210" w:lineRule="exact"/>
              <w:ind w:left="235" w:right="731"/>
              <w:jc w:val="center"/>
              <w:rPr>
                <w:sz w:val="20"/>
              </w:rPr>
            </w:pPr>
            <w:r>
              <w:rPr>
                <w:w w:val="95"/>
                <w:sz w:val="20"/>
              </w:rPr>
              <w:t>A18.05.011.002,</w:t>
            </w:r>
            <w:r>
              <w:rPr>
                <w:spacing w:val="54"/>
                <w:sz w:val="20"/>
              </w:rPr>
              <w:t> </w:t>
            </w:r>
            <w:r>
              <w:rPr>
                <w:spacing w:val="-2"/>
                <w:sz w:val="20"/>
              </w:rPr>
              <w:t>A18.30.001.001</w:t>
            </w: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pacing w:val="-2"/>
                <w:sz w:val="20"/>
              </w:rPr>
              <w:t>медицинских</w:t>
            </w:r>
          </w:p>
        </w:tc>
        <w:tc>
          <w:tcPr>
            <w:tcW w:w="4478" w:type="dxa"/>
          </w:tcPr>
          <w:p>
            <w:pPr>
              <w:pStyle w:val="TableParagraph"/>
              <w:rPr>
                <w:sz w:val="16"/>
              </w:rPr>
            </w:pPr>
          </w:p>
        </w:tc>
        <w:tc>
          <w:tcPr>
            <w:tcW w:w="3705"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69"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7"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3)</w:t>
            </w:r>
          </w:p>
        </w:tc>
        <w:tc>
          <w:tcPr>
            <w:tcW w:w="4478" w:type="dxa"/>
          </w:tcPr>
          <w:p>
            <w:pPr>
              <w:pStyle w:val="TableParagraph"/>
              <w:rPr>
                <w:sz w:val="18"/>
              </w:rPr>
            </w:pPr>
          </w:p>
        </w:tc>
        <w:tc>
          <w:tcPr>
            <w:tcW w:w="3705"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68" w:hRule="atLeast"/>
        </w:trPr>
        <w:tc>
          <w:tcPr>
            <w:tcW w:w="946" w:type="dxa"/>
          </w:tcPr>
          <w:p>
            <w:pPr>
              <w:pStyle w:val="TableParagraph"/>
              <w:spacing w:line="215" w:lineRule="exact" w:before="34"/>
              <w:ind w:left="50"/>
              <w:rPr>
                <w:sz w:val="20"/>
              </w:rPr>
            </w:pPr>
            <w:r>
              <w:rPr>
                <w:spacing w:val="-2"/>
                <w:sz w:val="20"/>
              </w:rPr>
              <w:t>st36.023</w:t>
            </w:r>
          </w:p>
        </w:tc>
        <w:tc>
          <w:tcPr>
            <w:tcW w:w="707" w:type="dxa"/>
          </w:tcPr>
          <w:p>
            <w:pPr>
              <w:pStyle w:val="TableParagraph"/>
              <w:spacing w:line="215" w:lineRule="exact" w:before="34"/>
              <w:ind w:left="210"/>
              <w:rPr>
                <w:sz w:val="20"/>
              </w:rPr>
            </w:pPr>
            <w:r>
              <w:rPr>
                <w:spacing w:val="-5"/>
                <w:sz w:val="20"/>
              </w:rPr>
              <w:t>363</w:t>
            </w:r>
          </w:p>
        </w:tc>
        <w:tc>
          <w:tcPr>
            <w:tcW w:w="2518" w:type="dxa"/>
          </w:tcPr>
          <w:p>
            <w:pPr>
              <w:pStyle w:val="TableParagraph"/>
              <w:spacing w:line="215" w:lineRule="exact" w:before="34"/>
              <w:ind w:left="192"/>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478" w:type="dxa"/>
          </w:tcPr>
          <w:p>
            <w:pPr>
              <w:pStyle w:val="TableParagraph"/>
              <w:spacing w:line="215" w:lineRule="exact" w:before="34"/>
              <w:ind w:left="442"/>
              <w:rPr>
                <w:sz w:val="20"/>
              </w:rPr>
            </w:pPr>
            <w:r>
              <w:rPr>
                <w:sz w:val="20"/>
              </w:rPr>
              <w:t>A27.8,</w:t>
            </w:r>
            <w:r>
              <w:rPr>
                <w:spacing w:val="-5"/>
                <w:sz w:val="20"/>
              </w:rPr>
              <w:t> </w:t>
            </w:r>
            <w:r>
              <w:rPr>
                <w:sz w:val="20"/>
              </w:rPr>
              <w:t>A27.9,</w:t>
            </w:r>
            <w:r>
              <w:rPr>
                <w:spacing w:val="-4"/>
                <w:sz w:val="20"/>
              </w:rPr>
              <w:t> </w:t>
            </w:r>
            <w:r>
              <w:rPr>
                <w:sz w:val="20"/>
              </w:rPr>
              <w:t>A40.0,</w:t>
            </w:r>
            <w:r>
              <w:rPr>
                <w:spacing w:val="-5"/>
                <w:sz w:val="20"/>
              </w:rPr>
              <w:t> </w:t>
            </w:r>
            <w:r>
              <w:rPr>
                <w:sz w:val="20"/>
              </w:rPr>
              <w:t>A40.1,</w:t>
            </w:r>
            <w:r>
              <w:rPr>
                <w:spacing w:val="-6"/>
                <w:sz w:val="20"/>
              </w:rPr>
              <w:t> </w:t>
            </w:r>
            <w:r>
              <w:rPr>
                <w:sz w:val="20"/>
              </w:rPr>
              <w:t>A40.2,</w:t>
            </w:r>
            <w:r>
              <w:rPr>
                <w:spacing w:val="-4"/>
                <w:sz w:val="20"/>
              </w:rPr>
              <w:t> </w:t>
            </w:r>
            <w:r>
              <w:rPr>
                <w:spacing w:val="-2"/>
                <w:sz w:val="20"/>
              </w:rPr>
              <w:t>A40.3,</w:t>
            </w:r>
          </w:p>
        </w:tc>
        <w:tc>
          <w:tcPr>
            <w:tcW w:w="3705" w:type="dxa"/>
          </w:tcPr>
          <w:p>
            <w:pPr>
              <w:pStyle w:val="TableParagraph"/>
              <w:spacing w:line="215" w:lineRule="exact" w:before="34"/>
              <w:ind w:left="235" w:right="733"/>
              <w:jc w:val="center"/>
              <w:rPr>
                <w:sz w:val="20"/>
              </w:rPr>
            </w:pPr>
            <w:r>
              <w:rPr>
                <w:w w:val="95"/>
                <w:sz w:val="20"/>
              </w:rPr>
              <w:t>А18.05.001.003,</w:t>
            </w:r>
            <w:r>
              <w:rPr>
                <w:spacing w:val="54"/>
                <w:sz w:val="20"/>
              </w:rPr>
              <w:t> </w:t>
            </w:r>
            <w:r>
              <w:rPr>
                <w:spacing w:val="-2"/>
                <w:sz w:val="20"/>
              </w:rPr>
              <w:t>А18.05.001.004,</w:t>
            </w:r>
          </w:p>
        </w:tc>
        <w:tc>
          <w:tcPr>
            <w:tcW w:w="1660" w:type="dxa"/>
          </w:tcPr>
          <w:p>
            <w:pPr>
              <w:pStyle w:val="TableParagraph"/>
              <w:spacing w:line="215" w:lineRule="exact" w:before="34"/>
              <w:ind w:left="732"/>
              <w:rPr>
                <w:sz w:val="20"/>
              </w:rPr>
            </w:pPr>
            <w:r>
              <w:rPr>
                <w:w w:val="99"/>
                <w:sz w:val="20"/>
              </w:rPr>
              <w:t>-</w:t>
            </w:r>
          </w:p>
        </w:tc>
        <w:tc>
          <w:tcPr>
            <w:tcW w:w="1261" w:type="dxa"/>
          </w:tcPr>
          <w:p>
            <w:pPr>
              <w:pStyle w:val="TableParagraph"/>
              <w:spacing w:line="215" w:lineRule="exact" w:before="34"/>
              <w:ind w:right="49"/>
              <w:jc w:val="right"/>
              <w:rPr>
                <w:sz w:val="20"/>
              </w:rPr>
            </w:pPr>
            <w:r>
              <w:rPr>
                <w:spacing w:val="-4"/>
                <w:sz w:val="20"/>
              </w:rPr>
              <w:t>2,91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spacing w:line="210" w:lineRule="exact"/>
              <w:ind w:left="442"/>
              <w:rPr>
                <w:sz w:val="20"/>
              </w:rPr>
            </w:pPr>
            <w:r>
              <w:rPr>
                <w:sz w:val="20"/>
              </w:rPr>
              <w:t>A40.8,</w:t>
            </w:r>
            <w:r>
              <w:rPr>
                <w:spacing w:val="-5"/>
                <w:sz w:val="20"/>
              </w:rPr>
              <w:t> </w:t>
            </w:r>
            <w:r>
              <w:rPr>
                <w:sz w:val="20"/>
              </w:rPr>
              <w:t>A40.9,</w:t>
            </w:r>
            <w:r>
              <w:rPr>
                <w:spacing w:val="-4"/>
                <w:sz w:val="20"/>
              </w:rPr>
              <w:t> </w:t>
            </w:r>
            <w:r>
              <w:rPr>
                <w:sz w:val="20"/>
              </w:rPr>
              <w:t>A41.0,</w:t>
            </w:r>
            <w:r>
              <w:rPr>
                <w:spacing w:val="-5"/>
                <w:sz w:val="20"/>
              </w:rPr>
              <w:t> </w:t>
            </w:r>
            <w:r>
              <w:rPr>
                <w:sz w:val="20"/>
              </w:rPr>
              <w:t>A41.1,</w:t>
            </w:r>
            <w:r>
              <w:rPr>
                <w:spacing w:val="-6"/>
                <w:sz w:val="20"/>
              </w:rPr>
              <w:t> </w:t>
            </w:r>
            <w:r>
              <w:rPr>
                <w:sz w:val="20"/>
              </w:rPr>
              <w:t>A41.2,</w:t>
            </w:r>
            <w:r>
              <w:rPr>
                <w:spacing w:val="-4"/>
                <w:sz w:val="20"/>
              </w:rPr>
              <w:t> </w:t>
            </w:r>
            <w:r>
              <w:rPr>
                <w:spacing w:val="-2"/>
                <w:sz w:val="20"/>
              </w:rPr>
              <w:t>A41.3,</w:t>
            </w:r>
          </w:p>
        </w:tc>
        <w:tc>
          <w:tcPr>
            <w:tcW w:w="3705" w:type="dxa"/>
          </w:tcPr>
          <w:p>
            <w:pPr>
              <w:pStyle w:val="TableParagraph"/>
              <w:spacing w:line="210" w:lineRule="exact"/>
              <w:ind w:left="235" w:right="733"/>
              <w:jc w:val="center"/>
              <w:rPr>
                <w:sz w:val="20"/>
              </w:rPr>
            </w:pPr>
            <w:r>
              <w:rPr>
                <w:w w:val="95"/>
                <w:sz w:val="20"/>
              </w:rPr>
              <w:t>А18.05.001.005,</w:t>
            </w:r>
            <w:r>
              <w:rPr>
                <w:spacing w:val="54"/>
                <w:sz w:val="20"/>
              </w:rPr>
              <w:t> </w:t>
            </w:r>
            <w:r>
              <w:rPr>
                <w:spacing w:val="-2"/>
                <w:sz w:val="20"/>
              </w:rPr>
              <w:t>А18.05.007</w:t>
            </w: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9" w:lineRule="exact"/>
              <w:ind w:left="192"/>
              <w:rPr>
                <w:sz w:val="20"/>
              </w:rPr>
            </w:pPr>
            <w:r>
              <w:rPr>
                <w:spacing w:val="-2"/>
                <w:sz w:val="20"/>
              </w:rPr>
              <w:t>медицинских</w:t>
            </w:r>
          </w:p>
        </w:tc>
        <w:tc>
          <w:tcPr>
            <w:tcW w:w="4478" w:type="dxa"/>
          </w:tcPr>
          <w:p>
            <w:pPr>
              <w:pStyle w:val="TableParagraph"/>
              <w:spacing w:line="209" w:lineRule="exact"/>
              <w:ind w:left="161"/>
              <w:rPr>
                <w:sz w:val="20"/>
              </w:rPr>
            </w:pPr>
            <w:r>
              <w:rPr>
                <w:sz w:val="20"/>
              </w:rPr>
              <w:t>A41.4,</w:t>
            </w:r>
            <w:r>
              <w:rPr>
                <w:spacing w:val="-5"/>
                <w:sz w:val="20"/>
              </w:rPr>
              <w:t> </w:t>
            </w:r>
            <w:r>
              <w:rPr>
                <w:sz w:val="20"/>
              </w:rPr>
              <w:t>A41.5,</w:t>
            </w:r>
            <w:r>
              <w:rPr>
                <w:spacing w:val="-4"/>
                <w:sz w:val="20"/>
              </w:rPr>
              <w:t> </w:t>
            </w:r>
            <w:r>
              <w:rPr>
                <w:sz w:val="20"/>
              </w:rPr>
              <w:t>A41.8,</w:t>
            </w:r>
            <w:r>
              <w:rPr>
                <w:spacing w:val="-4"/>
                <w:sz w:val="20"/>
              </w:rPr>
              <w:t> </w:t>
            </w:r>
            <w:r>
              <w:rPr>
                <w:sz w:val="20"/>
              </w:rPr>
              <w:t>A41.9,</w:t>
            </w:r>
            <w:r>
              <w:rPr>
                <w:spacing w:val="-6"/>
                <w:sz w:val="20"/>
              </w:rPr>
              <w:t> </w:t>
            </w:r>
            <w:r>
              <w:rPr>
                <w:sz w:val="20"/>
              </w:rPr>
              <w:t>B15.0,</w:t>
            </w:r>
            <w:r>
              <w:rPr>
                <w:spacing w:val="-4"/>
                <w:sz w:val="20"/>
              </w:rPr>
              <w:t> </w:t>
            </w:r>
            <w:r>
              <w:rPr>
                <w:sz w:val="20"/>
              </w:rPr>
              <w:t>B16.0,</w:t>
            </w:r>
            <w:r>
              <w:rPr>
                <w:spacing w:val="-4"/>
                <w:sz w:val="20"/>
              </w:rPr>
              <w:t> </w:t>
            </w:r>
            <w:r>
              <w:rPr>
                <w:spacing w:val="-2"/>
                <w:sz w:val="20"/>
              </w:rPr>
              <w:t>B16.2,</w:t>
            </w:r>
          </w:p>
        </w:tc>
        <w:tc>
          <w:tcPr>
            <w:tcW w:w="3705"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4"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4)</w:t>
            </w:r>
          </w:p>
        </w:tc>
        <w:tc>
          <w:tcPr>
            <w:tcW w:w="4478" w:type="dxa"/>
          </w:tcPr>
          <w:p>
            <w:pPr>
              <w:pStyle w:val="TableParagraph"/>
              <w:spacing w:line="204" w:lineRule="exact"/>
              <w:ind w:left="185"/>
              <w:rPr>
                <w:sz w:val="20"/>
              </w:rPr>
            </w:pPr>
            <w:r>
              <w:rPr>
                <w:sz w:val="20"/>
              </w:rPr>
              <w:t>B19.0,</w:t>
            </w:r>
            <w:r>
              <w:rPr>
                <w:spacing w:val="-6"/>
                <w:sz w:val="20"/>
              </w:rPr>
              <w:t> </w:t>
            </w:r>
            <w:r>
              <w:rPr>
                <w:sz w:val="20"/>
              </w:rPr>
              <w:t>B37.7,</w:t>
            </w:r>
            <w:r>
              <w:rPr>
                <w:spacing w:val="-4"/>
                <w:sz w:val="20"/>
              </w:rPr>
              <w:t> </w:t>
            </w:r>
            <w:r>
              <w:rPr>
                <w:sz w:val="20"/>
              </w:rPr>
              <w:t>C88.0,</w:t>
            </w:r>
            <w:r>
              <w:rPr>
                <w:spacing w:val="-4"/>
                <w:sz w:val="20"/>
              </w:rPr>
              <w:t> </w:t>
            </w:r>
            <w:r>
              <w:rPr>
                <w:sz w:val="20"/>
              </w:rPr>
              <w:t>C88.1,</w:t>
            </w:r>
            <w:r>
              <w:rPr>
                <w:spacing w:val="-8"/>
                <w:sz w:val="20"/>
              </w:rPr>
              <w:t> </w:t>
            </w:r>
            <w:r>
              <w:rPr>
                <w:sz w:val="20"/>
              </w:rPr>
              <w:t>C88.2,</w:t>
            </w:r>
            <w:r>
              <w:rPr>
                <w:spacing w:val="-3"/>
                <w:sz w:val="20"/>
              </w:rPr>
              <w:t> </w:t>
            </w:r>
            <w:r>
              <w:rPr>
                <w:sz w:val="20"/>
              </w:rPr>
              <w:t>C90.0,</w:t>
            </w:r>
            <w:r>
              <w:rPr>
                <w:spacing w:val="-3"/>
                <w:sz w:val="20"/>
              </w:rPr>
              <w:t> </w:t>
            </w:r>
            <w:r>
              <w:rPr>
                <w:spacing w:val="-2"/>
                <w:sz w:val="20"/>
              </w:rPr>
              <w:t>C90.1,</w:t>
            </w:r>
          </w:p>
        </w:tc>
        <w:tc>
          <w:tcPr>
            <w:tcW w:w="3705"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5"/>
        <w:gridCol w:w="5071"/>
        <w:gridCol w:w="2420"/>
        <w:gridCol w:w="2327"/>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45" w:type="dxa"/>
            <w:vMerge w:val="restart"/>
          </w:tcPr>
          <w:p>
            <w:pPr>
              <w:pStyle w:val="TableParagraph"/>
              <w:rPr>
                <w:sz w:val="18"/>
              </w:rPr>
            </w:pPr>
          </w:p>
        </w:tc>
        <w:tc>
          <w:tcPr>
            <w:tcW w:w="5071" w:type="dxa"/>
          </w:tcPr>
          <w:p>
            <w:pPr>
              <w:pStyle w:val="TableParagraph"/>
              <w:spacing w:line="205" w:lineRule="exact"/>
              <w:ind w:left="129"/>
              <w:rPr>
                <w:sz w:val="20"/>
              </w:rPr>
            </w:pPr>
            <w:r>
              <w:rPr>
                <w:sz w:val="20"/>
              </w:rPr>
              <w:t>C90.2,</w:t>
            </w:r>
            <w:r>
              <w:rPr>
                <w:spacing w:val="-4"/>
                <w:sz w:val="20"/>
              </w:rPr>
              <w:t> </w:t>
            </w:r>
            <w:r>
              <w:rPr>
                <w:sz w:val="20"/>
              </w:rPr>
              <w:t>C90.3,</w:t>
            </w:r>
            <w:r>
              <w:rPr>
                <w:spacing w:val="-4"/>
                <w:sz w:val="20"/>
              </w:rPr>
              <w:t> </w:t>
            </w:r>
            <w:r>
              <w:rPr>
                <w:sz w:val="20"/>
              </w:rPr>
              <w:t>D59.3,</w:t>
            </w:r>
            <w:r>
              <w:rPr>
                <w:spacing w:val="-3"/>
                <w:sz w:val="20"/>
              </w:rPr>
              <w:t> </w:t>
            </w:r>
            <w:r>
              <w:rPr>
                <w:sz w:val="20"/>
              </w:rPr>
              <w:t>D59.8,</w:t>
            </w:r>
            <w:r>
              <w:rPr>
                <w:spacing w:val="-6"/>
                <w:sz w:val="20"/>
              </w:rPr>
              <w:t> </w:t>
            </w:r>
            <w:r>
              <w:rPr>
                <w:sz w:val="20"/>
              </w:rPr>
              <w:t>D68.8,</w:t>
            </w:r>
            <w:r>
              <w:rPr>
                <w:spacing w:val="-2"/>
                <w:sz w:val="20"/>
              </w:rPr>
              <w:t> </w:t>
            </w:r>
            <w:r>
              <w:rPr>
                <w:sz w:val="20"/>
              </w:rPr>
              <w:t>D69.0,</w:t>
            </w:r>
            <w:r>
              <w:rPr>
                <w:spacing w:val="-6"/>
                <w:sz w:val="20"/>
              </w:rPr>
              <w:t> </w:t>
            </w:r>
            <w:r>
              <w:rPr>
                <w:spacing w:val="-2"/>
                <w:sz w:val="20"/>
              </w:rPr>
              <w:t>D69.3,</w:t>
            </w:r>
          </w:p>
        </w:tc>
        <w:tc>
          <w:tcPr>
            <w:tcW w:w="2420" w:type="dxa"/>
            <w:vMerge w:val="restart"/>
          </w:tcPr>
          <w:p>
            <w:pPr>
              <w:pStyle w:val="TableParagraph"/>
              <w:rPr>
                <w:sz w:val="18"/>
              </w:rPr>
            </w:pPr>
          </w:p>
        </w:tc>
        <w:tc>
          <w:tcPr>
            <w:tcW w:w="232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194"/>
              <w:rPr>
                <w:sz w:val="20"/>
              </w:rPr>
            </w:pPr>
            <w:r>
              <w:rPr>
                <w:sz w:val="20"/>
              </w:rPr>
              <w:t>D89.1,</w:t>
            </w:r>
            <w:r>
              <w:rPr>
                <w:spacing w:val="-5"/>
                <w:sz w:val="20"/>
              </w:rPr>
              <w:t> </w:t>
            </w:r>
            <w:r>
              <w:rPr>
                <w:sz w:val="20"/>
              </w:rPr>
              <w:t>G04.0,</w:t>
            </w:r>
            <w:r>
              <w:rPr>
                <w:spacing w:val="-6"/>
                <w:sz w:val="20"/>
              </w:rPr>
              <w:t> </w:t>
            </w:r>
            <w:r>
              <w:rPr>
                <w:sz w:val="20"/>
              </w:rPr>
              <w:t>G25.8,</w:t>
            </w:r>
            <w:r>
              <w:rPr>
                <w:spacing w:val="-4"/>
                <w:sz w:val="20"/>
              </w:rPr>
              <w:t> </w:t>
            </w:r>
            <w:r>
              <w:rPr>
                <w:sz w:val="20"/>
              </w:rPr>
              <w:t>G35,</w:t>
            </w:r>
            <w:r>
              <w:rPr>
                <w:spacing w:val="-4"/>
                <w:sz w:val="20"/>
              </w:rPr>
              <w:t> </w:t>
            </w:r>
            <w:r>
              <w:rPr>
                <w:sz w:val="20"/>
              </w:rPr>
              <w:t>G36.0,</w:t>
            </w:r>
            <w:r>
              <w:rPr>
                <w:spacing w:val="-3"/>
                <w:sz w:val="20"/>
              </w:rPr>
              <w:t> </w:t>
            </w:r>
            <w:r>
              <w:rPr>
                <w:sz w:val="20"/>
              </w:rPr>
              <w:t>G36.8,</w:t>
            </w:r>
            <w:r>
              <w:rPr>
                <w:spacing w:val="-5"/>
                <w:sz w:val="20"/>
              </w:rPr>
              <w:t> </w:t>
            </w:r>
            <w:r>
              <w:rPr>
                <w:spacing w:val="-2"/>
                <w:sz w:val="20"/>
              </w:rPr>
              <w:t>G36.9,</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415"/>
              <w:rPr>
                <w:sz w:val="20"/>
              </w:rPr>
            </w:pPr>
            <w:r>
              <w:rPr>
                <w:sz w:val="20"/>
              </w:rPr>
              <w:t>G37.3,</w:t>
            </w:r>
            <w:r>
              <w:rPr>
                <w:spacing w:val="-4"/>
                <w:sz w:val="20"/>
              </w:rPr>
              <w:t> </w:t>
            </w:r>
            <w:r>
              <w:rPr>
                <w:sz w:val="20"/>
              </w:rPr>
              <w:t>G61.0,</w:t>
            </w:r>
            <w:r>
              <w:rPr>
                <w:spacing w:val="-5"/>
                <w:sz w:val="20"/>
              </w:rPr>
              <w:t> </w:t>
            </w:r>
            <w:r>
              <w:rPr>
                <w:sz w:val="20"/>
              </w:rPr>
              <w:t>G61.1,</w:t>
            </w:r>
            <w:r>
              <w:rPr>
                <w:spacing w:val="-3"/>
                <w:sz w:val="20"/>
              </w:rPr>
              <w:t> </w:t>
            </w:r>
            <w:r>
              <w:rPr>
                <w:sz w:val="20"/>
              </w:rPr>
              <w:t>G61.8,</w:t>
            </w:r>
            <w:r>
              <w:rPr>
                <w:spacing w:val="-5"/>
                <w:sz w:val="20"/>
              </w:rPr>
              <w:t> </w:t>
            </w:r>
            <w:r>
              <w:rPr>
                <w:sz w:val="20"/>
              </w:rPr>
              <w:t>G61.9,</w:t>
            </w:r>
            <w:r>
              <w:rPr>
                <w:spacing w:val="-2"/>
                <w:sz w:val="20"/>
              </w:rPr>
              <w:t> G70.0,</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235"/>
              <w:rPr>
                <w:sz w:val="20"/>
              </w:rPr>
            </w:pPr>
            <w:r>
              <w:rPr>
                <w:sz w:val="20"/>
              </w:rPr>
              <w:t>G70.2,</w:t>
            </w:r>
            <w:r>
              <w:rPr>
                <w:spacing w:val="-4"/>
                <w:sz w:val="20"/>
              </w:rPr>
              <w:t> </w:t>
            </w:r>
            <w:r>
              <w:rPr>
                <w:sz w:val="20"/>
              </w:rPr>
              <w:t>G70.8,</w:t>
            </w:r>
            <w:r>
              <w:rPr>
                <w:spacing w:val="-5"/>
                <w:sz w:val="20"/>
              </w:rPr>
              <w:t> </w:t>
            </w:r>
            <w:r>
              <w:rPr>
                <w:sz w:val="20"/>
              </w:rPr>
              <w:t>G71.1,</w:t>
            </w:r>
            <w:r>
              <w:rPr>
                <w:spacing w:val="-4"/>
                <w:sz w:val="20"/>
              </w:rPr>
              <w:t> </w:t>
            </w:r>
            <w:r>
              <w:rPr>
                <w:sz w:val="20"/>
              </w:rPr>
              <w:t>G73.1,</w:t>
            </w:r>
            <w:r>
              <w:rPr>
                <w:spacing w:val="-3"/>
                <w:sz w:val="20"/>
              </w:rPr>
              <w:t> </w:t>
            </w:r>
            <w:r>
              <w:rPr>
                <w:sz w:val="20"/>
              </w:rPr>
              <w:t>I42.0,</w:t>
            </w:r>
            <w:r>
              <w:rPr>
                <w:spacing w:val="-5"/>
                <w:sz w:val="20"/>
              </w:rPr>
              <w:t> </w:t>
            </w:r>
            <w:r>
              <w:rPr>
                <w:sz w:val="20"/>
              </w:rPr>
              <w:t>I73.0,</w:t>
            </w:r>
            <w:r>
              <w:rPr>
                <w:spacing w:val="-4"/>
                <w:sz w:val="20"/>
              </w:rPr>
              <w:t> </w:t>
            </w:r>
            <w:r>
              <w:rPr>
                <w:spacing w:val="-2"/>
                <w:sz w:val="20"/>
              </w:rPr>
              <w:t>I73.1,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415"/>
              <w:rPr>
                <w:sz w:val="20"/>
              </w:rPr>
            </w:pPr>
            <w:r>
              <w:rPr>
                <w:sz w:val="20"/>
              </w:rPr>
              <w:t>K70.3,</w:t>
            </w:r>
            <w:r>
              <w:rPr>
                <w:spacing w:val="-4"/>
                <w:sz w:val="20"/>
              </w:rPr>
              <w:t> </w:t>
            </w:r>
            <w:r>
              <w:rPr>
                <w:sz w:val="20"/>
              </w:rPr>
              <w:t>K71.0,</w:t>
            </w:r>
            <w:r>
              <w:rPr>
                <w:spacing w:val="-5"/>
                <w:sz w:val="20"/>
              </w:rPr>
              <w:t> </w:t>
            </w:r>
            <w:r>
              <w:rPr>
                <w:sz w:val="20"/>
              </w:rPr>
              <w:t>K71.1,</w:t>
            </w:r>
            <w:r>
              <w:rPr>
                <w:spacing w:val="-3"/>
                <w:sz w:val="20"/>
              </w:rPr>
              <w:t> </w:t>
            </w:r>
            <w:r>
              <w:rPr>
                <w:sz w:val="20"/>
              </w:rPr>
              <w:t>K71.2,</w:t>
            </w:r>
            <w:r>
              <w:rPr>
                <w:spacing w:val="-5"/>
                <w:sz w:val="20"/>
              </w:rPr>
              <w:t> </w:t>
            </w:r>
            <w:r>
              <w:rPr>
                <w:sz w:val="20"/>
              </w:rPr>
              <w:t>K71.4,</w:t>
            </w:r>
            <w:r>
              <w:rPr>
                <w:spacing w:val="-2"/>
                <w:sz w:val="20"/>
              </w:rPr>
              <w:t> K71.5,</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415"/>
              <w:rPr>
                <w:sz w:val="20"/>
              </w:rPr>
            </w:pPr>
            <w:r>
              <w:rPr>
                <w:sz w:val="20"/>
              </w:rPr>
              <w:t>K71.6,</w:t>
            </w:r>
            <w:r>
              <w:rPr>
                <w:spacing w:val="-4"/>
                <w:sz w:val="20"/>
              </w:rPr>
              <w:t> </w:t>
            </w:r>
            <w:r>
              <w:rPr>
                <w:sz w:val="20"/>
              </w:rPr>
              <w:t>K71.7,</w:t>
            </w:r>
            <w:r>
              <w:rPr>
                <w:spacing w:val="-5"/>
                <w:sz w:val="20"/>
              </w:rPr>
              <w:t> </w:t>
            </w:r>
            <w:r>
              <w:rPr>
                <w:sz w:val="20"/>
              </w:rPr>
              <w:t>K71.8,</w:t>
            </w:r>
            <w:r>
              <w:rPr>
                <w:spacing w:val="-3"/>
                <w:sz w:val="20"/>
              </w:rPr>
              <w:t> </w:t>
            </w:r>
            <w:r>
              <w:rPr>
                <w:sz w:val="20"/>
              </w:rPr>
              <w:t>K71.9,</w:t>
            </w:r>
            <w:r>
              <w:rPr>
                <w:spacing w:val="-5"/>
                <w:sz w:val="20"/>
              </w:rPr>
              <w:t> </w:t>
            </w:r>
            <w:r>
              <w:rPr>
                <w:sz w:val="20"/>
              </w:rPr>
              <w:t>K72.0,</w:t>
            </w:r>
            <w:r>
              <w:rPr>
                <w:spacing w:val="-2"/>
                <w:sz w:val="20"/>
              </w:rPr>
              <w:t> K72.1,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1" w:lineRule="exact"/>
              <w:ind w:left="415"/>
              <w:rPr>
                <w:sz w:val="20"/>
              </w:rPr>
            </w:pPr>
            <w:r>
              <w:rPr>
                <w:sz w:val="20"/>
              </w:rPr>
              <w:t>K72.9,</w:t>
            </w:r>
            <w:r>
              <w:rPr>
                <w:spacing w:val="-4"/>
                <w:sz w:val="20"/>
              </w:rPr>
              <w:t> </w:t>
            </w:r>
            <w:r>
              <w:rPr>
                <w:sz w:val="20"/>
              </w:rPr>
              <w:t>K73.1,</w:t>
            </w:r>
            <w:r>
              <w:rPr>
                <w:spacing w:val="-6"/>
                <w:sz w:val="20"/>
              </w:rPr>
              <w:t> </w:t>
            </w:r>
            <w:r>
              <w:rPr>
                <w:sz w:val="20"/>
              </w:rPr>
              <w:t>K73.2,</w:t>
            </w:r>
            <w:r>
              <w:rPr>
                <w:spacing w:val="-4"/>
                <w:sz w:val="20"/>
              </w:rPr>
              <w:t> </w:t>
            </w:r>
            <w:r>
              <w:rPr>
                <w:sz w:val="20"/>
              </w:rPr>
              <w:t>K73.9,</w:t>
            </w:r>
            <w:r>
              <w:rPr>
                <w:spacing w:val="-6"/>
                <w:sz w:val="20"/>
              </w:rPr>
              <w:t> </w:t>
            </w:r>
            <w:r>
              <w:rPr>
                <w:sz w:val="20"/>
              </w:rPr>
              <w:t>K74.0,</w:t>
            </w:r>
            <w:r>
              <w:rPr>
                <w:spacing w:val="-4"/>
                <w:sz w:val="20"/>
              </w:rPr>
              <w:t> </w:t>
            </w:r>
            <w:r>
              <w:rPr>
                <w:spacing w:val="-2"/>
                <w:sz w:val="20"/>
              </w:rPr>
              <w:t>K74.1,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415"/>
              <w:rPr>
                <w:sz w:val="20"/>
              </w:rPr>
            </w:pPr>
            <w:r>
              <w:rPr>
                <w:sz w:val="20"/>
              </w:rPr>
              <w:t>K74.2,</w:t>
            </w:r>
            <w:r>
              <w:rPr>
                <w:spacing w:val="-4"/>
                <w:sz w:val="20"/>
              </w:rPr>
              <w:t> </w:t>
            </w:r>
            <w:r>
              <w:rPr>
                <w:sz w:val="20"/>
              </w:rPr>
              <w:t>K74.3,</w:t>
            </w:r>
            <w:r>
              <w:rPr>
                <w:spacing w:val="-5"/>
                <w:sz w:val="20"/>
              </w:rPr>
              <w:t> </w:t>
            </w:r>
            <w:r>
              <w:rPr>
                <w:sz w:val="20"/>
              </w:rPr>
              <w:t>K74.4,</w:t>
            </w:r>
            <w:r>
              <w:rPr>
                <w:spacing w:val="-3"/>
                <w:sz w:val="20"/>
              </w:rPr>
              <w:t> </w:t>
            </w:r>
            <w:r>
              <w:rPr>
                <w:sz w:val="20"/>
              </w:rPr>
              <w:t>K74.5,</w:t>
            </w:r>
            <w:r>
              <w:rPr>
                <w:spacing w:val="-5"/>
                <w:sz w:val="20"/>
              </w:rPr>
              <w:t> </w:t>
            </w:r>
            <w:r>
              <w:rPr>
                <w:sz w:val="20"/>
              </w:rPr>
              <w:t>K74.6,</w:t>
            </w:r>
            <w:r>
              <w:rPr>
                <w:spacing w:val="-4"/>
                <w:sz w:val="20"/>
              </w:rPr>
              <w:t> </w:t>
            </w:r>
            <w:r>
              <w:rPr>
                <w:spacing w:val="-2"/>
                <w:sz w:val="20"/>
              </w:rPr>
              <w:t>K75.4,</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415"/>
              <w:rPr>
                <w:sz w:val="20"/>
              </w:rPr>
            </w:pPr>
            <w:r>
              <w:rPr>
                <w:sz w:val="20"/>
              </w:rPr>
              <w:t>K76.7,</w:t>
            </w:r>
            <w:r>
              <w:rPr>
                <w:spacing w:val="-4"/>
                <w:sz w:val="20"/>
              </w:rPr>
              <w:t> </w:t>
            </w:r>
            <w:r>
              <w:rPr>
                <w:sz w:val="20"/>
              </w:rPr>
              <w:t>K85.0,</w:t>
            </w:r>
            <w:r>
              <w:rPr>
                <w:spacing w:val="-6"/>
                <w:sz w:val="20"/>
              </w:rPr>
              <w:t> </w:t>
            </w:r>
            <w:r>
              <w:rPr>
                <w:sz w:val="20"/>
              </w:rPr>
              <w:t>K85.1,</w:t>
            </w:r>
            <w:r>
              <w:rPr>
                <w:spacing w:val="-4"/>
                <w:sz w:val="20"/>
              </w:rPr>
              <w:t> </w:t>
            </w:r>
            <w:r>
              <w:rPr>
                <w:sz w:val="20"/>
              </w:rPr>
              <w:t>K85.2,</w:t>
            </w:r>
            <w:r>
              <w:rPr>
                <w:spacing w:val="-6"/>
                <w:sz w:val="20"/>
              </w:rPr>
              <w:t> </w:t>
            </w:r>
            <w:r>
              <w:rPr>
                <w:sz w:val="20"/>
              </w:rPr>
              <w:t>K85.3,</w:t>
            </w:r>
            <w:r>
              <w:rPr>
                <w:spacing w:val="-4"/>
                <w:sz w:val="20"/>
              </w:rPr>
              <w:t> </w:t>
            </w:r>
            <w:r>
              <w:rPr>
                <w:spacing w:val="-2"/>
                <w:sz w:val="20"/>
              </w:rPr>
              <w:t>K85.8,</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185"/>
              <w:rPr>
                <w:sz w:val="20"/>
              </w:rPr>
            </w:pPr>
            <w:r>
              <w:rPr>
                <w:sz w:val="20"/>
              </w:rPr>
              <w:t>K85.9,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z w:val="20"/>
              </w:rPr>
              <w:t>L10.4,</w:t>
            </w:r>
            <w:r>
              <w:rPr>
                <w:spacing w:val="-5"/>
                <w:sz w:val="20"/>
              </w:rPr>
              <w:t> </w:t>
            </w:r>
            <w:r>
              <w:rPr>
                <w:sz w:val="20"/>
              </w:rPr>
              <w:t>L10.8,</w:t>
            </w:r>
            <w:r>
              <w:rPr>
                <w:spacing w:val="-5"/>
                <w:sz w:val="20"/>
              </w:rPr>
              <w:t> </w:t>
            </w:r>
            <w:r>
              <w:rPr>
                <w:spacing w:val="-2"/>
                <w:sz w:val="20"/>
              </w:rPr>
              <w:t>L10.9,</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398"/>
              <w:rPr>
                <w:sz w:val="20"/>
              </w:rPr>
            </w:pPr>
            <w:r>
              <w:rPr>
                <w:sz w:val="20"/>
              </w:rPr>
              <w:t>L12.0,</w:t>
            </w:r>
            <w:r>
              <w:rPr>
                <w:spacing w:val="-5"/>
                <w:sz w:val="20"/>
              </w:rPr>
              <w:t> </w:t>
            </w:r>
            <w:r>
              <w:rPr>
                <w:sz w:val="20"/>
              </w:rPr>
              <w:t>L51.1,</w:t>
            </w:r>
            <w:r>
              <w:rPr>
                <w:spacing w:val="-5"/>
                <w:sz w:val="20"/>
              </w:rPr>
              <w:t> </w:t>
            </w:r>
            <w:r>
              <w:rPr>
                <w:sz w:val="20"/>
              </w:rPr>
              <w:t>L51.2,</w:t>
            </w:r>
            <w:r>
              <w:rPr>
                <w:spacing w:val="-5"/>
                <w:sz w:val="20"/>
              </w:rPr>
              <w:t> </w:t>
            </w:r>
            <w:r>
              <w:rPr>
                <w:sz w:val="20"/>
              </w:rPr>
              <w:t>M30.0,</w:t>
            </w:r>
            <w:r>
              <w:rPr>
                <w:spacing w:val="-6"/>
                <w:sz w:val="20"/>
              </w:rPr>
              <w:t> </w:t>
            </w:r>
            <w:r>
              <w:rPr>
                <w:sz w:val="20"/>
              </w:rPr>
              <w:t>M30.1,</w:t>
            </w:r>
            <w:r>
              <w:rPr>
                <w:spacing w:val="-5"/>
                <w:sz w:val="20"/>
              </w:rPr>
              <w:t> </w:t>
            </w:r>
            <w:r>
              <w:rPr>
                <w:spacing w:val="-2"/>
                <w:sz w:val="20"/>
              </w:rPr>
              <w:t>M30.2,</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314"/>
              <w:rPr>
                <w:sz w:val="20"/>
              </w:rPr>
            </w:pPr>
            <w:r>
              <w:rPr>
                <w:sz w:val="20"/>
              </w:rPr>
              <w:t>M30.3,</w:t>
            </w:r>
            <w:r>
              <w:rPr>
                <w:spacing w:val="-6"/>
                <w:sz w:val="20"/>
              </w:rPr>
              <w:t> </w:t>
            </w:r>
            <w:r>
              <w:rPr>
                <w:sz w:val="20"/>
              </w:rPr>
              <w:t>M30.8,</w:t>
            </w:r>
            <w:r>
              <w:rPr>
                <w:spacing w:val="-6"/>
                <w:sz w:val="20"/>
              </w:rPr>
              <w:t> </w:t>
            </w:r>
            <w:r>
              <w:rPr>
                <w:sz w:val="20"/>
              </w:rPr>
              <w:t>M31.0,</w:t>
            </w:r>
            <w:r>
              <w:rPr>
                <w:spacing w:val="-6"/>
                <w:sz w:val="20"/>
              </w:rPr>
              <w:t> </w:t>
            </w:r>
            <w:r>
              <w:rPr>
                <w:sz w:val="20"/>
              </w:rPr>
              <w:t>M31.1,</w:t>
            </w:r>
            <w:r>
              <w:rPr>
                <w:spacing w:val="-6"/>
                <w:sz w:val="20"/>
              </w:rPr>
              <w:t> </w:t>
            </w:r>
            <w:r>
              <w:rPr>
                <w:sz w:val="20"/>
              </w:rPr>
              <w:t>M31.3,</w:t>
            </w:r>
            <w:r>
              <w:rPr>
                <w:spacing w:val="-5"/>
                <w:sz w:val="20"/>
              </w:rPr>
              <w:t> </w:t>
            </w:r>
            <w:r>
              <w:rPr>
                <w:spacing w:val="-2"/>
                <w:sz w:val="20"/>
              </w:rPr>
              <w:t>M31.4,</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314"/>
              <w:rPr>
                <w:sz w:val="20"/>
              </w:rPr>
            </w:pPr>
            <w:r>
              <w:rPr>
                <w:sz w:val="20"/>
              </w:rPr>
              <w:t>M31.5,</w:t>
            </w:r>
            <w:r>
              <w:rPr>
                <w:spacing w:val="-6"/>
                <w:sz w:val="20"/>
              </w:rPr>
              <w:t> </w:t>
            </w:r>
            <w:r>
              <w:rPr>
                <w:sz w:val="20"/>
              </w:rPr>
              <w:t>M31.6,</w:t>
            </w:r>
            <w:r>
              <w:rPr>
                <w:spacing w:val="-6"/>
                <w:sz w:val="20"/>
              </w:rPr>
              <w:t> </w:t>
            </w:r>
            <w:r>
              <w:rPr>
                <w:sz w:val="20"/>
              </w:rPr>
              <w:t>M31.7,</w:t>
            </w:r>
            <w:r>
              <w:rPr>
                <w:spacing w:val="-6"/>
                <w:sz w:val="20"/>
              </w:rPr>
              <w:t> </w:t>
            </w:r>
            <w:r>
              <w:rPr>
                <w:sz w:val="20"/>
              </w:rPr>
              <w:t>M31.8,</w:t>
            </w:r>
            <w:r>
              <w:rPr>
                <w:spacing w:val="-6"/>
                <w:sz w:val="20"/>
              </w:rPr>
              <w:t> </w:t>
            </w:r>
            <w:r>
              <w:rPr>
                <w:sz w:val="20"/>
              </w:rPr>
              <w:t>M31.9,</w:t>
            </w:r>
            <w:r>
              <w:rPr>
                <w:spacing w:val="-5"/>
                <w:sz w:val="20"/>
              </w:rPr>
              <w:t> </w:t>
            </w:r>
            <w:r>
              <w:rPr>
                <w:spacing w:val="-2"/>
                <w:sz w:val="20"/>
              </w:rPr>
              <w:t>M32.1,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381"/>
              <w:rPr>
                <w:sz w:val="20"/>
              </w:rPr>
            </w:pPr>
            <w:r>
              <w:rPr>
                <w:sz w:val="20"/>
              </w:rPr>
              <w:t>M34.0,</w:t>
            </w:r>
            <w:r>
              <w:rPr>
                <w:spacing w:val="-4"/>
                <w:sz w:val="20"/>
              </w:rPr>
              <w:t> </w:t>
            </w:r>
            <w:r>
              <w:rPr>
                <w:sz w:val="20"/>
              </w:rPr>
              <w:t>M34.1,</w:t>
            </w:r>
            <w:r>
              <w:rPr>
                <w:spacing w:val="-4"/>
                <w:sz w:val="20"/>
              </w:rPr>
              <w:t> </w:t>
            </w:r>
            <w:r>
              <w:rPr>
                <w:sz w:val="20"/>
              </w:rPr>
              <w:t>N01.0,</w:t>
            </w:r>
            <w:r>
              <w:rPr>
                <w:spacing w:val="-4"/>
                <w:sz w:val="20"/>
              </w:rPr>
              <w:t> </w:t>
            </w:r>
            <w:r>
              <w:rPr>
                <w:sz w:val="20"/>
              </w:rPr>
              <w:t>N01.1,</w:t>
            </w:r>
            <w:r>
              <w:rPr>
                <w:spacing w:val="-6"/>
                <w:sz w:val="20"/>
              </w:rPr>
              <w:t> </w:t>
            </w:r>
            <w:r>
              <w:rPr>
                <w:sz w:val="20"/>
              </w:rPr>
              <w:t>N01.2,</w:t>
            </w:r>
            <w:r>
              <w:rPr>
                <w:spacing w:val="-3"/>
                <w:sz w:val="20"/>
              </w:rPr>
              <w:t> </w:t>
            </w:r>
            <w:r>
              <w:rPr>
                <w:spacing w:val="-2"/>
                <w:sz w:val="20"/>
              </w:rPr>
              <w:t>N01.3,</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415"/>
              <w:rPr>
                <w:sz w:val="20"/>
              </w:rPr>
            </w:pPr>
            <w:r>
              <w:rPr>
                <w:sz w:val="20"/>
              </w:rPr>
              <w:t>N01.4,</w:t>
            </w:r>
            <w:r>
              <w:rPr>
                <w:spacing w:val="-4"/>
                <w:sz w:val="20"/>
              </w:rPr>
              <w:t> </w:t>
            </w:r>
            <w:r>
              <w:rPr>
                <w:sz w:val="20"/>
              </w:rPr>
              <w:t>N01.5,</w:t>
            </w:r>
            <w:r>
              <w:rPr>
                <w:spacing w:val="-6"/>
                <w:sz w:val="20"/>
              </w:rPr>
              <w:t> </w:t>
            </w:r>
            <w:r>
              <w:rPr>
                <w:sz w:val="20"/>
              </w:rPr>
              <w:t>N01.6,</w:t>
            </w:r>
            <w:r>
              <w:rPr>
                <w:spacing w:val="-4"/>
                <w:sz w:val="20"/>
              </w:rPr>
              <w:t> </w:t>
            </w:r>
            <w:r>
              <w:rPr>
                <w:sz w:val="20"/>
              </w:rPr>
              <w:t>N01.7,</w:t>
            </w:r>
            <w:r>
              <w:rPr>
                <w:spacing w:val="-6"/>
                <w:sz w:val="20"/>
              </w:rPr>
              <w:t> </w:t>
            </w:r>
            <w:r>
              <w:rPr>
                <w:sz w:val="20"/>
              </w:rPr>
              <w:t>N01.8,</w:t>
            </w:r>
            <w:r>
              <w:rPr>
                <w:spacing w:val="-4"/>
                <w:sz w:val="20"/>
              </w:rPr>
              <w:t> </w:t>
            </w:r>
            <w:r>
              <w:rPr>
                <w:spacing w:val="-2"/>
                <w:sz w:val="20"/>
              </w:rPr>
              <w:t>N01.9,</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26" w:lineRule="exact"/>
              <w:ind w:left="1063"/>
              <w:rPr>
                <w:sz w:val="20"/>
              </w:rPr>
            </w:pPr>
            <w:r>
              <w:rPr>
                <w:sz w:val="20"/>
              </w:rPr>
              <w:t>N04.1,</w:t>
            </w:r>
            <w:r>
              <w:rPr>
                <w:spacing w:val="-7"/>
                <w:sz w:val="20"/>
              </w:rPr>
              <w:t> </w:t>
            </w:r>
            <w:r>
              <w:rPr>
                <w:sz w:val="20"/>
              </w:rPr>
              <w:t>R82.1,</w:t>
            </w:r>
            <w:r>
              <w:rPr>
                <w:spacing w:val="-7"/>
                <w:sz w:val="20"/>
              </w:rPr>
              <w:t> </w:t>
            </w:r>
            <w:r>
              <w:rPr>
                <w:sz w:val="20"/>
              </w:rPr>
              <w:t>T79.5,</w:t>
            </w:r>
            <w:r>
              <w:rPr>
                <w:spacing w:val="-6"/>
                <w:sz w:val="20"/>
              </w:rPr>
              <w:t> </w:t>
            </w:r>
            <w:r>
              <w:rPr>
                <w:spacing w:val="-4"/>
                <w:sz w:val="20"/>
              </w:rPr>
              <w:t>T79.6</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st36.005</w:t>
            </w:r>
          </w:p>
        </w:tc>
        <w:tc>
          <w:tcPr>
            <w:tcW w:w="707" w:type="dxa"/>
          </w:tcPr>
          <w:p>
            <w:pPr>
              <w:pStyle w:val="TableParagraph"/>
              <w:spacing w:line="215" w:lineRule="exact" w:before="46"/>
              <w:ind w:left="210"/>
              <w:rPr>
                <w:sz w:val="20"/>
              </w:rPr>
            </w:pPr>
            <w:r>
              <w:rPr>
                <w:spacing w:val="-5"/>
                <w:sz w:val="20"/>
              </w:rPr>
              <w:t>364</w:t>
            </w:r>
          </w:p>
        </w:tc>
        <w:tc>
          <w:tcPr>
            <w:tcW w:w="2545" w:type="dxa"/>
          </w:tcPr>
          <w:p>
            <w:pPr>
              <w:pStyle w:val="TableParagraph"/>
              <w:spacing w:line="215" w:lineRule="exact" w:before="46"/>
              <w:ind w:left="192"/>
              <w:rPr>
                <w:sz w:val="20"/>
              </w:rPr>
            </w:pPr>
            <w:r>
              <w:rPr>
                <w:w w:val="95"/>
                <w:sz w:val="20"/>
              </w:rPr>
              <w:t>Госпитализация</w:t>
            </w:r>
            <w:r>
              <w:rPr>
                <w:spacing w:val="49"/>
                <w:sz w:val="20"/>
              </w:rPr>
              <w:t> </w:t>
            </w:r>
            <w:r>
              <w:rPr>
                <w:spacing w:val="-10"/>
                <w:sz w:val="20"/>
              </w:rPr>
              <w:t>в</w:t>
            </w:r>
          </w:p>
        </w:tc>
        <w:tc>
          <w:tcPr>
            <w:tcW w:w="5071" w:type="dxa"/>
          </w:tcPr>
          <w:p>
            <w:pPr>
              <w:pStyle w:val="TableParagraph"/>
              <w:spacing w:line="215" w:lineRule="exact" w:before="46"/>
              <w:ind w:left="415"/>
              <w:rPr>
                <w:sz w:val="20"/>
              </w:rPr>
            </w:pPr>
            <w:r>
              <w:rPr>
                <w:sz w:val="20"/>
              </w:rPr>
              <w:t>A15.0,</w:t>
            </w:r>
            <w:r>
              <w:rPr>
                <w:spacing w:val="-6"/>
                <w:sz w:val="20"/>
              </w:rPr>
              <w:t> </w:t>
            </w:r>
            <w:r>
              <w:rPr>
                <w:sz w:val="20"/>
              </w:rPr>
              <w:t>A15.1,</w:t>
            </w:r>
            <w:r>
              <w:rPr>
                <w:spacing w:val="-5"/>
                <w:sz w:val="20"/>
              </w:rPr>
              <w:t> </w:t>
            </w:r>
            <w:r>
              <w:rPr>
                <w:sz w:val="20"/>
              </w:rPr>
              <w:t>A15.2,</w:t>
            </w:r>
            <w:r>
              <w:rPr>
                <w:spacing w:val="-6"/>
                <w:sz w:val="20"/>
              </w:rPr>
              <w:t> </w:t>
            </w:r>
            <w:r>
              <w:rPr>
                <w:sz w:val="20"/>
              </w:rPr>
              <w:t>A15.3,</w:t>
            </w:r>
            <w:r>
              <w:rPr>
                <w:spacing w:val="-7"/>
                <w:sz w:val="20"/>
              </w:rPr>
              <w:t> </w:t>
            </w:r>
            <w:r>
              <w:rPr>
                <w:sz w:val="20"/>
              </w:rPr>
              <w:t>A15.4,</w:t>
            </w:r>
            <w:r>
              <w:rPr>
                <w:spacing w:val="-6"/>
                <w:sz w:val="20"/>
              </w:rPr>
              <w:t> </w:t>
            </w:r>
            <w:r>
              <w:rPr>
                <w:spacing w:val="-2"/>
                <w:sz w:val="20"/>
              </w:rPr>
              <w:t>A15.5,</w:t>
            </w:r>
          </w:p>
        </w:tc>
        <w:tc>
          <w:tcPr>
            <w:tcW w:w="2420" w:type="dxa"/>
          </w:tcPr>
          <w:p>
            <w:pPr>
              <w:pStyle w:val="TableParagraph"/>
              <w:spacing w:line="215" w:lineRule="exact" w:before="46"/>
              <w:ind w:right="449"/>
              <w:jc w:val="center"/>
              <w:rPr>
                <w:sz w:val="20"/>
              </w:rPr>
            </w:pPr>
            <w:r>
              <w:rPr>
                <w:w w:val="99"/>
                <w:sz w:val="20"/>
              </w:rPr>
              <w:t>-</w:t>
            </w:r>
          </w:p>
        </w:tc>
        <w:tc>
          <w:tcPr>
            <w:tcW w:w="2327" w:type="dxa"/>
          </w:tcPr>
          <w:p>
            <w:pPr>
              <w:pStyle w:val="TableParagraph"/>
              <w:spacing w:line="215" w:lineRule="exact" w:before="46"/>
              <w:ind w:left="534"/>
              <w:jc w:val="center"/>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0,46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09" w:lineRule="exact"/>
              <w:ind w:left="192"/>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5071" w:type="dxa"/>
          </w:tcPr>
          <w:p>
            <w:pPr>
              <w:pStyle w:val="TableParagraph"/>
              <w:spacing w:line="209" w:lineRule="exact"/>
              <w:ind w:left="415"/>
              <w:rPr>
                <w:sz w:val="20"/>
              </w:rPr>
            </w:pPr>
            <w:r>
              <w:rPr>
                <w:sz w:val="20"/>
              </w:rPr>
              <w:t>A15.6,</w:t>
            </w:r>
            <w:r>
              <w:rPr>
                <w:spacing w:val="-6"/>
                <w:sz w:val="20"/>
              </w:rPr>
              <w:t> </w:t>
            </w:r>
            <w:r>
              <w:rPr>
                <w:sz w:val="20"/>
              </w:rPr>
              <w:t>A15.7,</w:t>
            </w:r>
            <w:r>
              <w:rPr>
                <w:spacing w:val="-5"/>
                <w:sz w:val="20"/>
              </w:rPr>
              <w:t> </w:t>
            </w:r>
            <w:r>
              <w:rPr>
                <w:sz w:val="20"/>
              </w:rPr>
              <w:t>A15.8,</w:t>
            </w:r>
            <w:r>
              <w:rPr>
                <w:spacing w:val="-6"/>
                <w:sz w:val="20"/>
              </w:rPr>
              <w:t> </w:t>
            </w:r>
            <w:r>
              <w:rPr>
                <w:sz w:val="20"/>
              </w:rPr>
              <w:t>A15.9,</w:t>
            </w:r>
            <w:r>
              <w:rPr>
                <w:spacing w:val="-7"/>
                <w:sz w:val="20"/>
              </w:rPr>
              <w:t> </w:t>
            </w:r>
            <w:r>
              <w:rPr>
                <w:sz w:val="20"/>
              </w:rPr>
              <w:t>A16.0,</w:t>
            </w:r>
            <w:r>
              <w:rPr>
                <w:spacing w:val="-6"/>
                <w:sz w:val="20"/>
              </w:rPr>
              <w:t> </w:t>
            </w:r>
            <w:r>
              <w:rPr>
                <w:spacing w:val="-2"/>
                <w:sz w:val="20"/>
              </w:rPr>
              <w:t>A16.1,</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09" w:lineRule="exact"/>
              <w:ind w:left="192"/>
              <w:rPr>
                <w:sz w:val="20"/>
              </w:rPr>
            </w:pPr>
            <w:r>
              <w:rPr>
                <w:sz w:val="20"/>
              </w:rPr>
              <w:t>постановкой</w:t>
            </w:r>
            <w:r>
              <w:rPr>
                <w:spacing w:val="-12"/>
                <w:sz w:val="20"/>
              </w:rPr>
              <w:t> </w:t>
            </w:r>
            <w:r>
              <w:rPr>
                <w:spacing w:val="-2"/>
                <w:sz w:val="20"/>
              </w:rPr>
              <w:t>диагноза</w:t>
            </w:r>
          </w:p>
        </w:tc>
        <w:tc>
          <w:tcPr>
            <w:tcW w:w="5071" w:type="dxa"/>
          </w:tcPr>
          <w:p>
            <w:pPr>
              <w:pStyle w:val="TableParagraph"/>
              <w:spacing w:line="209" w:lineRule="exact"/>
              <w:ind w:left="415"/>
              <w:rPr>
                <w:sz w:val="20"/>
              </w:rPr>
            </w:pPr>
            <w:r>
              <w:rPr>
                <w:sz w:val="20"/>
              </w:rPr>
              <w:t>A16.2,</w:t>
            </w:r>
            <w:r>
              <w:rPr>
                <w:spacing w:val="-6"/>
                <w:sz w:val="20"/>
              </w:rPr>
              <w:t> </w:t>
            </w:r>
            <w:r>
              <w:rPr>
                <w:sz w:val="20"/>
              </w:rPr>
              <w:t>A16.3,</w:t>
            </w:r>
            <w:r>
              <w:rPr>
                <w:spacing w:val="-5"/>
                <w:sz w:val="20"/>
              </w:rPr>
              <w:t> </w:t>
            </w:r>
            <w:r>
              <w:rPr>
                <w:sz w:val="20"/>
              </w:rPr>
              <w:t>A16.4,</w:t>
            </w:r>
            <w:r>
              <w:rPr>
                <w:spacing w:val="-6"/>
                <w:sz w:val="20"/>
              </w:rPr>
              <w:t> </w:t>
            </w:r>
            <w:r>
              <w:rPr>
                <w:sz w:val="20"/>
              </w:rPr>
              <w:t>A16.5,</w:t>
            </w:r>
            <w:r>
              <w:rPr>
                <w:spacing w:val="-7"/>
                <w:sz w:val="20"/>
              </w:rPr>
              <w:t> </w:t>
            </w:r>
            <w:r>
              <w:rPr>
                <w:sz w:val="20"/>
              </w:rPr>
              <w:t>A16.7,</w:t>
            </w:r>
            <w:r>
              <w:rPr>
                <w:spacing w:val="-6"/>
                <w:sz w:val="20"/>
              </w:rPr>
              <w:t> </w:t>
            </w:r>
            <w:r>
              <w:rPr>
                <w:spacing w:val="-2"/>
                <w:sz w:val="20"/>
              </w:rPr>
              <w:t>A16.8,</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10" w:lineRule="exact"/>
              <w:ind w:left="192"/>
              <w:rPr>
                <w:sz w:val="20"/>
              </w:rPr>
            </w:pPr>
            <w:r>
              <w:rPr>
                <w:sz w:val="20"/>
              </w:rPr>
              <w:t>туберкулеза,</w:t>
            </w:r>
            <w:r>
              <w:rPr>
                <w:spacing w:val="-12"/>
                <w:sz w:val="20"/>
              </w:rPr>
              <w:t> </w:t>
            </w:r>
            <w:r>
              <w:rPr>
                <w:spacing w:val="-4"/>
                <w:sz w:val="20"/>
              </w:rPr>
              <w:t>ВИЧ-</w:t>
            </w:r>
          </w:p>
        </w:tc>
        <w:tc>
          <w:tcPr>
            <w:tcW w:w="5071" w:type="dxa"/>
          </w:tcPr>
          <w:p>
            <w:pPr>
              <w:pStyle w:val="TableParagraph"/>
              <w:spacing w:line="210" w:lineRule="exact"/>
              <w:ind w:left="415"/>
              <w:rPr>
                <w:sz w:val="20"/>
              </w:rPr>
            </w:pPr>
            <w:r>
              <w:rPr>
                <w:sz w:val="20"/>
              </w:rPr>
              <w:t>A16.9,</w:t>
            </w:r>
            <w:r>
              <w:rPr>
                <w:spacing w:val="-6"/>
                <w:sz w:val="20"/>
              </w:rPr>
              <w:t> </w:t>
            </w:r>
            <w:r>
              <w:rPr>
                <w:sz w:val="20"/>
              </w:rPr>
              <w:t>A17.0,</w:t>
            </w:r>
            <w:r>
              <w:rPr>
                <w:spacing w:val="-5"/>
                <w:sz w:val="20"/>
              </w:rPr>
              <w:t> </w:t>
            </w:r>
            <w:r>
              <w:rPr>
                <w:sz w:val="20"/>
              </w:rPr>
              <w:t>A17.1,</w:t>
            </w:r>
            <w:r>
              <w:rPr>
                <w:spacing w:val="-6"/>
                <w:sz w:val="20"/>
              </w:rPr>
              <w:t> </w:t>
            </w:r>
            <w:r>
              <w:rPr>
                <w:sz w:val="20"/>
              </w:rPr>
              <w:t>A17.8,</w:t>
            </w:r>
            <w:r>
              <w:rPr>
                <w:spacing w:val="-7"/>
                <w:sz w:val="20"/>
              </w:rPr>
              <w:t> </w:t>
            </w:r>
            <w:r>
              <w:rPr>
                <w:sz w:val="20"/>
              </w:rPr>
              <w:t>A17.9,</w:t>
            </w:r>
            <w:r>
              <w:rPr>
                <w:spacing w:val="-6"/>
                <w:sz w:val="20"/>
              </w:rPr>
              <w:t> </w:t>
            </w:r>
            <w:r>
              <w:rPr>
                <w:spacing w:val="-2"/>
                <w:sz w:val="20"/>
              </w:rPr>
              <w:t>A18.0,</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10" w:lineRule="exact"/>
              <w:ind w:left="192"/>
              <w:rPr>
                <w:sz w:val="20"/>
              </w:rPr>
            </w:pPr>
            <w:r>
              <w:rPr>
                <w:sz w:val="20"/>
              </w:rPr>
              <w:t>инфекции,</w:t>
            </w:r>
            <w:r>
              <w:rPr>
                <w:spacing w:val="-12"/>
                <w:sz w:val="20"/>
              </w:rPr>
              <w:t> </w:t>
            </w:r>
            <w:r>
              <w:rPr>
                <w:spacing w:val="-2"/>
                <w:sz w:val="20"/>
              </w:rPr>
              <w:t>психического</w:t>
            </w:r>
          </w:p>
        </w:tc>
        <w:tc>
          <w:tcPr>
            <w:tcW w:w="5071" w:type="dxa"/>
          </w:tcPr>
          <w:p>
            <w:pPr>
              <w:pStyle w:val="TableParagraph"/>
              <w:spacing w:line="210" w:lineRule="exact"/>
              <w:ind w:left="415"/>
              <w:rPr>
                <w:sz w:val="20"/>
              </w:rPr>
            </w:pPr>
            <w:r>
              <w:rPr>
                <w:sz w:val="20"/>
              </w:rPr>
              <w:t>A18.1,</w:t>
            </w:r>
            <w:r>
              <w:rPr>
                <w:spacing w:val="-6"/>
                <w:sz w:val="20"/>
              </w:rPr>
              <w:t> </w:t>
            </w:r>
            <w:r>
              <w:rPr>
                <w:sz w:val="20"/>
              </w:rPr>
              <w:t>A18.2,</w:t>
            </w:r>
            <w:r>
              <w:rPr>
                <w:spacing w:val="-5"/>
                <w:sz w:val="20"/>
              </w:rPr>
              <w:t> </w:t>
            </w:r>
            <w:r>
              <w:rPr>
                <w:sz w:val="20"/>
              </w:rPr>
              <w:t>A18.3,</w:t>
            </w:r>
            <w:r>
              <w:rPr>
                <w:spacing w:val="-6"/>
                <w:sz w:val="20"/>
              </w:rPr>
              <w:t> </w:t>
            </w:r>
            <w:r>
              <w:rPr>
                <w:sz w:val="20"/>
              </w:rPr>
              <w:t>A18.4,</w:t>
            </w:r>
            <w:r>
              <w:rPr>
                <w:spacing w:val="-7"/>
                <w:sz w:val="20"/>
              </w:rPr>
              <w:t> </w:t>
            </w:r>
            <w:r>
              <w:rPr>
                <w:sz w:val="20"/>
              </w:rPr>
              <w:t>A18.5,</w:t>
            </w:r>
            <w:r>
              <w:rPr>
                <w:spacing w:val="-6"/>
                <w:sz w:val="20"/>
              </w:rPr>
              <w:t> </w:t>
            </w:r>
            <w:r>
              <w:rPr>
                <w:spacing w:val="-2"/>
                <w:sz w:val="20"/>
              </w:rPr>
              <w:t>A18.6,</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10" w:lineRule="exact"/>
              <w:ind w:left="192"/>
              <w:rPr>
                <w:sz w:val="20"/>
              </w:rPr>
            </w:pPr>
            <w:r>
              <w:rPr>
                <w:spacing w:val="-2"/>
                <w:sz w:val="20"/>
              </w:rPr>
              <w:t>заболевания</w:t>
            </w:r>
          </w:p>
        </w:tc>
        <w:tc>
          <w:tcPr>
            <w:tcW w:w="5071" w:type="dxa"/>
          </w:tcPr>
          <w:p>
            <w:pPr>
              <w:pStyle w:val="TableParagraph"/>
              <w:spacing w:line="210" w:lineRule="exact"/>
              <w:ind w:left="415"/>
              <w:rPr>
                <w:sz w:val="20"/>
              </w:rPr>
            </w:pPr>
            <w:r>
              <w:rPr>
                <w:sz w:val="20"/>
              </w:rPr>
              <w:t>A18.7,</w:t>
            </w:r>
            <w:r>
              <w:rPr>
                <w:spacing w:val="-6"/>
                <w:sz w:val="20"/>
              </w:rPr>
              <w:t> </w:t>
            </w:r>
            <w:r>
              <w:rPr>
                <w:sz w:val="20"/>
              </w:rPr>
              <w:t>A18.8,</w:t>
            </w:r>
            <w:r>
              <w:rPr>
                <w:spacing w:val="-5"/>
                <w:sz w:val="20"/>
              </w:rPr>
              <w:t> </w:t>
            </w:r>
            <w:r>
              <w:rPr>
                <w:sz w:val="20"/>
              </w:rPr>
              <w:t>A19.0,</w:t>
            </w:r>
            <w:r>
              <w:rPr>
                <w:spacing w:val="-2"/>
                <w:sz w:val="20"/>
              </w:rPr>
              <w:t> </w:t>
            </w:r>
            <w:r>
              <w:rPr>
                <w:sz w:val="20"/>
              </w:rPr>
              <w:t>A19.1,</w:t>
            </w:r>
            <w:r>
              <w:rPr>
                <w:spacing w:val="-7"/>
                <w:sz w:val="20"/>
              </w:rPr>
              <w:t> </w:t>
            </w:r>
            <w:r>
              <w:rPr>
                <w:sz w:val="20"/>
              </w:rPr>
              <w:t>A19.2,</w:t>
            </w:r>
            <w:r>
              <w:rPr>
                <w:spacing w:val="-6"/>
                <w:sz w:val="20"/>
              </w:rPr>
              <w:t> </w:t>
            </w:r>
            <w:r>
              <w:rPr>
                <w:spacing w:val="-2"/>
                <w:sz w:val="20"/>
              </w:rPr>
              <w:t>A19.8,</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225"/>
              <w:rPr>
                <w:sz w:val="20"/>
              </w:rPr>
            </w:pPr>
            <w:r>
              <w:rPr>
                <w:sz w:val="20"/>
              </w:rPr>
              <w:t>A19.9,</w:t>
            </w:r>
            <w:r>
              <w:rPr>
                <w:spacing w:val="-5"/>
                <w:sz w:val="20"/>
              </w:rPr>
              <w:t> </w:t>
            </w:r>
            <w:r>
              <w:rPr>
                <w:sz w:val="20"/>
              </w:rPr>
              <w:t>B20,</w:t>
            </w:r>
            <w:r>
              <w:rPr>
                <w:spacing w:val="-4"/>
                <w:sz w:val="20"/>
              </w:rPr>
              <w:t> </w:t>
            </w:r>
            <w:r>
              <w:rPr>
                <w:sz w:val="20"/>
              </w:rPr>
              <w:t>B20.0,</w:t>
            </w:r>
            <w:r>
              <w:rPr>
                <w:spacing w:val="-6"/>
                <w:sz w:val="20"/>
              </w:rPr>
              <w:t> </w:t>
            </w:r>
            <w:r>
              <w:rPr>
                <w:sz w:val="20"/>
              </w:rPr>
              <w:t>B20.1,</w:t>
            </w:r>
            <w:r>
              <w:rPr>
                <w:spacing w:val="-7"/>
                <w:sz w:val="20"/>
              </w:rPr>
              <w:t> </w:t>
            </w:r>
            <w:r>
              <w:rPr>
                <w:sz w:val="20"/>
              </w:rPr>
              <w:t>B20.2,</w:t>
            </w:r>
            <w:r>
              <w:rPr>
                <w:spacing w:val="-6"/>
                <w:sz w:val="20"/>
              </w:rPr>
              <w:t> </w:t>
            </w:r>
            <w:r>
              <w:rPr>
                <w:sz w:val="20"/>
              </w:rPr>
              <w:t>B20.3,</w:t>
            </w:r>
            <w:r>
              <w:rPr>
                <w:spacing w:val="-4"/>
                <w:sz w:val="20"/>
              </w:rPr>
              <w:t> </w:t>
            </w:r>
            <w:r>
              <w:rPr>
                <w:spacing w:val="-2"/>
                <w:sz w:val="20"/>
              </w:rPr>
              <w:t>B20.4,</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232"/>
              <w:rPr>
                <w:sz w:val="20"/>
              </w:rPr>
            </w:pPr>
            <w:r>
              <w:rPr>
                <w:sz w:val="20"/>
              </w:rPr>
              <w:t>B20.5,</w:t>
            </w:r>
            <w:r>
              <w:rPr>
                <w:spacing w:val="-5"/>
                <w:sz w:val="20"/>
              </w:rPr>
              <w:t> </w:t>
            </w:r>
            <w:r>
              <w:rPr>
                <w:sz w:val="20"/>
              </w:rPr>
              <w:t>B20.6,</w:t>
            </w:r>
            <w:r>
              <w:rPr>
                <w:spacing w:val="-5"/>
                <w:sz w:val="20"/>
              </w:rPr>
              <w:t> </w:t>
            </w:r>
            <w:r>
              <w:rPr>
                <w:sz w:val="20"/>
              </w:rPr>
              <w:t>B20.7,</w:t>
            </w:r>
            <w:r>
              <w:rPr>
                <w:spacing w:val="-4"/>
                <w:sz w:val="20"/>
              </w:rPr>
              <w:t> </w:t>
            </w:r>
            <w:r>
              <w:rPr>
                <w:sz w:val="20"/>
              </w:rPr>
              <w:t>B20.8,</w:t>
            </w:r>
            <w:r>
              <w:rPr>
                <w:spacing w:val="-8"/>
                <w:sz w:val="20"/>
              </w:rPr>
              <w:t> </w:t>
            </w:r>
            <w:r>
              <w:rPr>
                <w:sz w:val="20"/>
              </w:rPr>
              <w:t>B20.9,</w:t>
            </w:r>
            <w:r>
              <w:rPr>
                <w:spacing w:val="-5"/>
                <w:sz w:val="20"/>
              </w:rPr>
              <w:t> </w:t>
            </w:r>
            <w:r>
              <w:rPr>
                <w:sz w:val="20"/>
              </w:rPr>
              <w:t>B21,</w:t>
            </w:r>
            <w:r>
              <w:rPr>
                <w:spacing w:val="-6"/>
                <w:sz w:val="20"/>
              </w:rPr>
              <w:t> </w:t>
            </w:r>
            <w:r>
              <w:rPr>
                <w:spacing w:val="-2"/>
                <w:sz w:val="20"/>
              </w:rPr>
              <w:t>B21.0,</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32"/>
              <w:rPr>
                <w:sz w:val="20"/>
              </w:rPr>
            </w:pPr>
            <w:r>
              <w:rPr>
                <w:sz w:val="20"/>
              </w:rPr>
              <w:t>B21.1,</w:t>
            </w:r>
            <w:r>
              <w:rPr>
                <w:spacing w:val="-8"/>
                <w:sz w:val="20"/>
              </w:rPr>
              <w:t> </w:t>
            </w:r>
            <w:r>
              <w:rPr>
                <w:sz w:val="20"/>
              </w:rPr>
              <w:t>B21.2,</w:t>
            </w:r>
            <w:r>
              <w:rPr>
                <w:spacing w:val="-5"/>
                <w:sz w:val="20"/>
              </w:rPr>
              <w:t> </w:t>
            </w:r>
            <w:r>
              <w:rPr>
                <w:sz w:val="20"/>
              </w:rPr>
              <w:t>B21.3,</w:t>
            </w:r>
            <w:r>
              <w:rPr>
                <w:spacing w:val="-5"/>
                <w:sz w:val="20"/>
              </w:rPr>
              <w:t> </w:t>
            </w:r>
            <w:r>
              <w:rPr>
                <w:sz w:val="20"/>
              </w:rPr>
              <w:t>B21.7,</w:t>
            </w:r>
            <w:r>
              <w:rPr>
                <w:spacing w:val="-8"/>
                <w:sz w:val="20"/>
              </w:rPr>
              <w:t> </w:t>
            </w:r>
            <w:r>
              <w:rPr>
                <w:sz w:val="20"/>
              </w:rPr>
              <w:t>B21.8,</w:t>
            </w:r>
            <w:r>
              <w:rPr>
                <w:spacing w:val="-5"/>
                <w:sz w:val="20"/>
              </w:rPr>
              <w:t> </w:t>
            </w:r>
            <w:r>
              <w:rPr>
                <w:sz w:val="20"/>
              </w:rPr>
              <w:t>B21.9,</w:t>
            </w:r>
            <w:r>
              <w:rPr>
                <w:spacing w:val="-5"/>
                <w:sz w:val="20"/>
              </w:rPr>
              <w:t> </w:t>
            </w:r>
            <w:r>
              <w:rPr>
                <w:spacing w:val="-4"/>
                <w:sz w:val="20"/>
              </w:rPr>
              <w:t>B22,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32"/>
              <w:rPr>
                <w:sz w:val="20"/>
              </w:rPr>
            </w:pPr>
            <w:r>
              <w:rPr>
                <w:sz w:val="20"/>
              </w:rPr>
              <w:t>B22.0,</w:t>
            </w:r>
            <w:r>
              <w:rPr>
                <w:spacing w:val="-5"/>
                <w:sz w:val="20"/>
              </w:rPr>
              <w:t> </w:t>
            </w:r>
            <w:r>
              <w:rPr>
                <w:sz w:val="20"/>
              </w:rPr>
              <w:t>B22.1,</w:t>
            </w:r>
            <w:r>
              <w:rPr>
                <w:spacing w:val="-4"/>
                <w:sz w:val="20"/>
              </w:rPr>
              <w:t> </w:t>
            </w:r>
            <w:r>
              <w:rPr>
                <w:sz w:val="20"/>
              </w:rPr>
              <w:t>B22.2,</w:t>
            </w:r>
            <w:r>
              <w:rPr>
                <w:spacing w:val="-5"/>
                <w:sz w:val="20"/>
              </w:rPr>
              <w:t> </w:t>
            </w:r>
            <w:r>
              <w:rPr>
                <w:sz w:val="20"/>
              </w:rPr>
              <w:t>B22.7,</w:t>
            </w:r>
            <w:r>
              <w:rPr>
                <w:spacing w:val="-8"/>
                <w:sz w:val="20"/>
              </w:rPr>
              <w:t> </w:t>
            </w:r>
            <w:r>
              <w:rPr>
                <w:sz w:val="20"/>
              </w:rPr>
              <w:t>B23,</w:t>
            </w:r>
            <w:r>
              <w:rPr>
                <w:spacing w:val="-6"/>
                <w:sz w:val="20"/>
              </w:rPr>
              <w:t> </w:t>
            </w:r>
            <w:r>
              <w:rPr>
                <w:sz w:val="20"/>
              </w:rPr>
              <w:t>B23.0,</w:t>
            </w:r>
            <w:r>
              <w:rPr>
                <w:spacing w:val="-6"/>
                <w:sz w:val="20"/>
              </w:rPr>
              <w:t> </w:t>
            </w:r>
            <w:r>
              <w:rPr>
                <w:spacing w:val="-2"/>
                <w:sz w:val="20"/>
              </w:rPr>
              <w:t>B23.1,</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07"/>
              <w:rPr>
                <w:sz w:val="20"/>
              </w:rPr>
            </w:pPr>
            <w:r>
              <w:rPr>
                <w:sz w:val="20"/>
              </w:rPr>
              <w:t>B23.2,</w:t>
            </w:r>
            <w:r>
              <w:rPr>
                <w:spacing w:val="-7"/>
                <w:sz w:val="20"/>
              </w:rPr>
              <w:t> </w:t>
            </w:r>
            <w:r>
              <w:rPr>
                <w:sz w:val="20"/>
              </w:rPr>
              <w:t>B23.8,</w:t>
            </w:r>
            <w:r>
              <w:rPr>
                <w:spacing w:val="-4"/>
                <w:sz w:val="20"/>
              </w:rPr>
              <w:t> </w:t>
            </w:r>
            <w:r>
              <w:rPr>
                <w:sz w:val="20"/>
              </w:rPr>
              <w:t>B24,</w:t>
            </w:r>
            <w:r>
              <w:rPr>
                <w:spacing w:val="-6"/>
                <w:sz w:val="20"/>
              </w:rPr>
              <w:t> </w:t>
            </w:r>
            <w:r>
              <w:rPr>
                <w:sz w:val="20"/>
              </w:rPr>
              <w:t>B90,</w:t>
            </w:r>
            <w:r>
              <w:rPr>
                <w:spacing w:val="-5"/>
                <w:sz w:val="20"/>
              </w:rPr>
              <w:t> </w:t>
            </w:r>
            <w:r>
              <w:rPr>
                <w:sz w:val="20"/>
              </w:rPr>
              <w:t>B90.0,</w:t>
            </w:r>
            <w:r>
              <w:rPr>
                <w:spacing w:val="-5"/>
                <w:sz w:val="20"/>
              </w:rPr>
              <w:t> </w:t>
            </w:r>
            <w:r>
              <w:rPr>
                <w:sz w:val="20"/>
              </w:rPr>
              <w:t>B90.1,</w:t>
            </w:r>
            <w:r>
              <w:rPr>
                <w:spacing w:val="-5"/>
                <w:sz w:val="20"/>
              </w:rPr>
              <w:t> </w:t>
            </w:r>
            <w:r>
              <w:rPr>
                <w:spacing w:val="-2"/>
                <w:sz w:val="20"/>
              </w:rPr>
              <w:t>B90.2,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88"/>
              <w:rPr>
                <w:sz w:val="20"/>
              </w:rPr>
            </w:pPr>
            <w:r>
              <w:rPr>
                <w:sz w:val="20"/>
              </w:rPr>
              <w:t>B90.8,</w:t>
            </w:r>
            <w:r>
              <w:rPr>
                <w:spacing w:val="-5"/>
                <w:sz w:val="20"/>
              </w:rPr>
              <w:t> </w:t>
            </w:r>
            <w:r>
              <w:rPr>
                <w:sz w:val="20"/>
              </w:rPr>
              <w:t>B90.9,</w:t>
            </w:r>
            <w:r>
              <w:rPr>
                <w:spacing w:val="-5"/>
                <w:sz w:val="20"/>
              </w:rPr>
              <w:t> </w:t>
            </w:r>
            <w:r>
              <w:rPr>
                <w:sz w:val="20"/>
              </w:rPr>
              <w:t>F00,</w:t>
            </w:r>
            <w:r>
              <w:rPr>
                <w:spacing w:val="-5"/>
                <w:sz w:val="20"/>
              </w:rPr>
              <w:t> </w:t>
            </w:r>
            <w:r>
              <w:rPr>
                <w:sz w:val="20"/>
              </w:rPr>
              <w:t>F00.0,</w:t>
            </w:r>
            <w:r>
              <w:rPr>
                <w:spacing w:val="-7"/>
                <w:sz w:val="20"/>
              </w:rPr>
              <w:t> </w:t>
            </w:r>
            <w:r>
              <w:rPr>
                <w:sz w:val="20"/>
              </w:rPr>
              <w:t>F00.1,</w:t>
            </w:r>
            <w:r>
              <w:rPr>
                <w:spacing w:val="-4"/>
                <w:sz w:val="20"/>
              </w:rPr>
              <w:t> </w:t>
            </w:r>
            <w:r>
              <w:rPr>
                <w:sz w:val="20"/>
              </w:rPr>
              <w:t>F00.2,</w:t>
            </w:r>
            <w:r>
              <w:rPr>
                <w:spacing w:val="-5"/>
                <w:sz w:val="20"/>
              </w:rPr>
              <w:t> </w:t>
            </w:r>
            <w:r>
              <w:rPr>
                <w:spacing w:val="-2"/>
                <w:sz w:val="20"/>
              </w:rPr>
              <w:t>F00.9,</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09"/>
              <w:rPr>
                <w:sz w:val="20"/>
              </w:rPr>
            </w:pPr>
            <w:r>
              <w:rPr>
                <w:sz w:val="20"/>
              </w:rPr>
              <w:t>F01,</w:t>
            </w:r>
            <w:r>
              <w:rPr>
                <w:spacing w:val="-6"/>
                <w:sz w:val="20"/>
              </w:rPr>
              <w:t> </w:t>
            </w:r>
            <w:r>
              <w:rPr>
                <w:sz w:val="20"/>
              </w:rPr>
              <w:t>F01.0,</w:t>
            </w:r>
            <w:r>
              <w:rPr>
                <w:spacing w:val="-6"/>
                <w:sz w:val="20"/>
              </w:rPr>
              <w:t> </w:t>
            </w:r>
            <w:r>
              <w:rPr>
                <w:sz w:val="20"/>
              </w:rPr>
              <w:t>F01.1,</w:t>
            </w:r>
            <w:r>
              <w:rPr>
                <w:spacing w:val="-5"/>
                <w:sz w:val="20"/>
              </w:rPr>
              <w:t> </w:t>
            </w:r>
            <w:r>
              <w:rPr>
                <w:sz w:val="20"/>
              </w:rPr>
              <w:t>F01.2,</w:t>
            </w:r>
            <w:r>
              <w:rPr>
                <w:spacing w:val="-6"/>
                <w:sz w:val="20"/>
              </w:rPr>
              <w:t> </w:t>
            </w:r>
            <w:r>
              <w:rPr>
                <w:sz w:val="20"/>
              </w:rPr>
              <w:t>F01.3,</w:t>
            </w:r>
            <w:r>
              <w:rPr>
                <w:spacing w:val="-5"/>
                <w:sz w:val="20"/>
              </w:rPr>
              <w:t> </w:t>
            </w:r>
            <w:r>
              <w:rPr>
                <w:sz w:val="20"/>
              </w:rPr>
              <w:t>F01.8,</w:t>
            </w:r>
            <w:r>
              <w:rPr>
                <w:spacing w:val="-6"/>
                <w:sz w:val="20"/>
              </w:rPr>
              <w:t> </w:t>
            </w:r>
            <w:r>
              <w:rPr>
                <w:spacing w:val="-2"/>
                <w:sz w:val="20"/>
              </w:rPr>
              <w:t>F01.9,</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309"/>
              <w:rPr>
                <w:sz w:val="20"/>
              </w:rPr>
            </w:pPr>
            <w:r>
              <w:rPr>
                <w:sz w:val="20"/>
              </w:rPr>
              <w:t>F02,</w:t>
            </w:r>
            <w:r>
              <w:rPr>
                <w:spacing w:val="-6"/>
                <w:sz w:val="20"/>
              </w:rPr>
              <w:t> </w:t>
            </w:r>
            <w:r>
              <w:rPr>
                <w:sz w:val="20"/>
              </w:rPr>
              <w:t>F02.0,</w:t>
            </w:r>
            <w:r>
              <w:rPr>
                <w:spacing w:val="-6"/>
                <w:sz w:val="20"/>
              </w:rPr>
              <w:t> </w:t>
            </w:r>
            <w:r>
              <w:rPr>
                <w:sz w:val="20"/>
              </w:rPr>
              <w:t>F02.1,</w:t>
            </w:r>
            <w:r>
              <w:rPr>
                <w:spacing w:val="-5"/>
                <w:sz w:val="20"/>
              </w:rPr>
              <w:t> </w:t>
            </w:r>
            <w:r>
              <w:rPr>
                <w:sz w:val="20"/>
              </w:rPr>
              <w:t>F02.2,</w:t>
            </w:r>
            <w:r>
              <w:rPr>
                <w:spacing w:val="-6"/>
                <w:sz w:val="20"/>
              </w:rPr>
              <w:t> </w:t>
            </w:r>
            <w:r>
              <w:rPr>
                <w:sz w:val="20"/>
              </w:rPr>
              <w:t>F02.3,</w:t>
            </w:r>
            <w:r>
              <w:rPr>
                <w:spacing w:val="-5"/>
                <w:sz w:val="20"/>
              </w:rPr>
              <w:t> </w:t>
            </w:r>
            <w:r>
              <w:rPr>
                <w:sz w:val="20"/>
              </w:rPr>
              <w:t>F02.4,</w:t>
            </w:r>
            <w:r>
              <w:rPr>
                <w:spacing w:val="-6"/>
                <w:sz w:val="20"/>
              </w:rPr>
              <w:t> </w:t>
            </w:r>
            <w:r>
              <w:rPr>
                <w:spacing w:val="-2"/>
                <w:sz w:val="20"/>
              </w:rPr>
              <w:t>F02.8,</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54"/>
              <w:rPr>
                <w:sz w:val="20"/>
              </w:rPr>
            </w:pPr>
            <w:r>
              <w:rPr>
                <w:sz w:val="20"/>
              </w:rPr>
              <w:t>F03,</w:t>
            </w:r>
            <w:r>
              <w:rPr>
                <w:spacing w:val="-5"/>
                <w:sz w:val="20"/>
              </w:rPr>
              <w:t> </w:t>
            </w:r>
            <w:r>
              <w:rPr>
                <w:sz w:val="20"/>
              </w:rPr>
              <w:t>F04,</w:t>
            </w:r>
            <w:r>
              <w:rPr>
                <w:spacing w:val="-4"/>
                <w:sz w:val="20"/>
              </w:rPr>
              <w:t> </w:t>
            </w:r>
            <w:r>
              <w:rPr>
                <w:sz w:val="20"/>
              </w:rPr>
              <w:t>F05,</w:t>
            </w:r>
            <w:r>
              <w:rPr>
                <w:spacing w:val="-5"/>
                <w:sz w:val="20"/>
              </w:rPr>
              <w:t> </w:t>
            </w:r>
            <w:r>
              <w:rPr>
                <w:sz w:val="20"/>
              </w:rPr>
              <w:t>F05.0,</w:t>
            </w:r>
            <w:r>
              <w:rPr>
                <w:spacing w:val="-4"/>
                <w:sz w:val="20"/>
              </w:rPr>
              <w:t> </w:t>
            </w:r>
            <w:r>
              <w:rPr>
                <w:sz w:val="20"/>
              </w:rPr>
              <w:t>F05.1,</w:t>
            </w:r>
            <w:r>
              <w:rPr>
                <w:spacing w:val="-6"/>
                <w:sz w:val="20"/>
              </w:rPr>
              <w:t> </w:t>
            </w:r>
            <w:r>
              <w:rPr>
                <w:sz w:val="20"/>
              </w:rPr>
              <w:t>F05.8,</w:t>
            </w:r>
            <w:r>
              <w:rPr>
                <w:spacing w:val="-4"/>
                <w:sz w:val="20"/>
              </w:rPr>
              <w:t> </w:t>
            </w:r>
            <w:r>
              <w:rPr>
                <w:sz w:val="20"/>
              </w:rPr>
              <w:t>F05.9,</w:t>
            </w:r>
            <w:r>
              <w:rPr>
                <w:spacing w:val="-5"/>
                <w:sz w:val="20"/>
              </w:rPr>
              <w:t> </w:t>
            </w:r>
            <w:r>
              <w:rPr>
                <w:spacing w:val="-4"/>
                <w:sz w:val="20"/>
              </w:rPr>
              <w:t>F06,</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35"/>
              <w:rPr>
                <w:sz w:val="20"/>
              </w:rPr>
            </w:pPr>
            <w:r>
              <w:rPr>
                <w:sz w:val="20"/>
              </w:rPr>
              <w:t>F06.0,</w:t>
            </w:r>
            <w:r>
              <w:rPr>
                <w:spacing w:val="-6"/>
                <w:sz w:val="20"/>
              </w:rPr>
              <w:t> </w:t>
            </w:r>
            <w:r>
              <w:rPr>
                <w:sz w:val="20"/>
              </w:rPr>
              <w:t>F06.1,</w:t>
            </w:r>
            <w:r>
              <w:rPr>
                <w:spacing w:val="-5"/>
                <w:sz w:val="20"/>
              </w:rPr>
              <w:t> </w:t>
            </w:r>
            <w:r>
              <w:rPr>
                <w:sz w:val="20"/>
              </w:rPr>
              <w:t>F06.2,</w:t>
            </w:r>
            <w:r>
              <w:rPr>
                <w:spacing w:val="-5"/>
                <w:sz w:val="20"/>
              </w:rPr>
              <w:t> </w:t>
            </w:r>
            <w:r>
              <w:rPr>
                <w:sz w:val="20"/>
              </w:rPr>
              <w:t>F06.3,</w:t>
            </w:r>
            <w:r>
              <w:rPr>
                <w:spacing w:val="-7"/>
                <w:sz w:val="20"/>
              </w:rPr>
              <w:t> </w:t>
            </w:r>
            <w:r>
              <w:rPr>
                <w:sz w:val="20"/>
              </w:rPr>
              <w:t>F06.4,</w:t>
            </w:r>
            <w:r>
              <w:rPr>
                <w:spacing w:val="-5"/>
                <w:sz w:val="20"/>
              </w:rPr>
              <w:t> </w:t>
            </w:r>
            <w:r>
              <w:rPr>
                <w:sz w:val="20"/>
              </w:rPr>
              <w:t>F06.5,</w:t>
            </w:r>
            <w:r>
              <w:rPr>
                <w:spacing w:val="-5"/>
                <w:sz w:val="20"/>
              </w:rPr>
              <w:t> </w:t>
            </w:r>
            <w:r>
              <w:rPr>
                <w:spacing w:val="-2"/>
                <w:sz w:val="20"/>
              </w:rPr>
              <w:t>F06.6,</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09"/>
              <w:rPr>
                <w:sz w:val="20"/>
              </w:rPr>
            </w:pPr>
            <w:r>
              <w:rPr>
                <w:sz w:val="20"/>
              </w:rPr>
              <w:t>F06.7,</w:t>
            </w:r>
            <w:r>
              <w:rPr>
                <w:spacing w:val="-6"/>
                <w:sz w:val="20"/>
              </w:rPr>
              <w:t> </w:t>
            </w:r>
            <w:r>
              <w:rPr>
                <w:sz w:val="20"/>
              </w:rPr>
              <w:t>F06.8,</w:t>
            </w:r>
            <w:r>
              <w:rPr>
                <w:spacing w:val="-5"/>
                <w:sz w:val="20"/>
              </w:rPr>
              <w:t> </w:t>
            </w:r>
            <w:r>
              <w:rPr>
                <w:sz w:val="20"/>
              </w:rPr>
              <w:t>F06.9,</w:t>
            </w:r>
            <w:r>
              <w:rPr>
                <w:spacing w:val="-5"/>
                <w:sz w:val="20"/>
              </w:rPr>
              <w:t> </w:t>
            </w:r>
            <w:r>
              <w:rPr>
                <w:sz w:val="20"/>
              </w:rPr>
              <w:t>F07,</w:t>
            </w:r>
            <w:r>
              <w:rPr>
                <w:spacing w:val="-5"/>
                <w:sz w:val="20"/>
              </w:rPr>
              <w:t> </w:t>
            </w:r>
            <w:r>
              <w:rPr>
                <w:sz w:val="20"/>
              </w:rPr>
              <w:t>F07.0,</w:t>
            </w:r>
            <w:r>
              <w:rPr>
                <w:spacing w:val="-5"/>
                <w:sz w:val="20"/>
              </w:rPr>
              <w:t> </w:t>
            </w:r>
            <w:r>
              <w:rPr>
                <w:sz w:val="20"/>
              </w:rPr>
              <w:t>F07.1,</w:t>
            </w:r>
            <w:r>
              <w:rPr>
                <w:spacing w:val="-6"/>
                <w:sz w:val="20"/>
              </w:rPr>
              <w:t> </w:t>
            </w:r>
            <w:r>
              <w:rPr>
                <w:spacing w:val="-2"/>
                <w:sz w:val="20"/>
              </w:rPr>
              <w:t>F07.2,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84"/>
              <w:rPr>
                <w:sz w:val="20"/>
              </w:rPr>
            </w:pPr>
            <w:r>
              <w:rPr>
                <w:sz w:val="20"/>
              </w:rPr>
              <w:t>F07.8,</w:t>
            </w:r>
            <w:r>
              <w:rPr>
                <w:spacing w:val="-5"/>
                <w:sz w:val="20"/>
              </w:rPr>
              <w:t> </w:t>
            </w:r>
            <w:r>
              <w:rPr>
                <w:sz w:val="20"/>
              </w:rPr>
              <w:t>F07.9,</w:t>
            </w:r>
            <w:r>
              <w:rPr>
                <w:spacing w:val="-4"/>
                <w:sz w:val="20"/>
              </w:rPr>
              <w:t> </w:t>
            </w:r>
            <w:r>
              <w:rPr>
                <w:sz w:val="20"/>
              </w:rPr>
              <w:t>F09,</w:t>
            </w:r>
            <w:r>
              <w:rPr>
                <w:spacing w:val="-5"/>
                <w:sz w:val="20"/>
              </w:rPr>
              <w:t> </w:t>
            </w:r>
            <w:r>
              <w:rPr>
                <w:sz w:val="20"/>
              </w:rPr>
              <w:t>F10,</w:t>
            </w:r>
            <w:r>
              <w:rPr>
                <w:spacing w:val="-6"/>
                <w:sz w:val="20"/>
              </w:rPr>
              <w:t> </w:t>
            </w:r>
            <w:r>
              <w:rPr>
                <w:sz w:val="20"/>
              </w:rPr>
              <w:t>F10.0,</w:t>
            </w:r>
            <w:r>
              <w:rPr>
                <w:spacing w:val="-6"/>
                <w:sz w:val="20"/>
              </w:rPr>
              <w:t> </w:t>
            </w:r>
            <w:r>
              <w:rPr>
                <w:sz w:val="20"/>
              </w:rPr>
              <w:t>F10.1,</w:t>
            </w:r>
            <w:r>
              <w:rPr>
                <w:spacing w:val="-4"/>
                <w:sz w:val="20"/>
              </w:rPr>
              <w:t> </w:t>
            </w:r>
            <w:r>
              <w:rPr>
                <w:spacing w:val="-2"/>
                <w:sz w:val="20"/>
              </w:rPr>
              <w:t>F10.2,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235"/>
              <w:rPr>
                <w:sz w:val="20"/>
              </w:rPr>
            </w:pPr>
            <w:r>
              <w:rPr>
                <w:sz w:val="20"/>
              </w:rPr>
              <w:t>F10.3,</w:t>
            </w:r>
            <w:r>
              <w:rPr>
                <w:spacing w:val="-6"/>
                <w:sz w:val="20"/>
              </w:rPr>
              <w:t> </w:t>
            </w:r>
            <w:r>
              <w:rPr>
                <w:sz w:val="20"/>
              </w:rPr>
              <w:t>F10.4,</w:t>
            </w:r>
            <w:r>
              <w:rPr>
                <w:spacing w:val="-5"/>
                <w:sz w:val="20"/>
              </w:rPr>
              <w:t> </w:t>
            </w:r>
            <w:r>
              <w:rPr>
                <w:sz w:val="20"/>
              </w:rPr>
              <w:t>F10.5,</w:t>
            </w:r>
            <w:r>
              <w:rPr>
                <w:spacing w:val="-5"/>
                <w:sz w:val="20"/>
              </w:rPr>
              <w:t> </w:t>
            </w:r>
            <w:r>
              <w:rPr>
                <w:sz w:val="20"/>
              </w:rPr>
              <w:t>F10.6,</w:t>
            </w:r>
            <w:r>
              <w:rPr>
                <w:spacing w:val="-7"/>
                <w:sz w:val="20"/>
              </w:rPr>
              <w:t> </w:t>
            </w:r>
            <w:r>
              <w:rPr>
                <w:sz w:val="20"/>
              </w:rPr>
              <w:t>F10.7,</w:t>
            </w:r>
            <w:r>
              <w:rPr>
                <w:spacing w:val="-5"/>
                <w:sz w:val="20"/>
              </w:rPr>
              <w:t> </w:t>
            </w:r>
            <w:r>
              <w:rPr>
                <w:sz w:val="20"/>
              </w:rPr>
              <w:t>F10.8,</w:t>
            </w:r>
            <w:r>
              <w:rPr>
                <w:spacing w:val="-5"/>
                <w:sz w:val="20"/>
              </w:rPr>
              <w:t> </w:t>
            </w:r>
            <w:r>
              <w:rPr>
                <w:spacing w:val="-2"/>
                <w:sz w:val="20"/>
              </w:rPr>
              <w:t>F10.9,</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309"/>
              <w:rPr>
                <w:sz w:val="20"/>
              </w:rPr>
            </w:pPr>
            <w:r>
              <w:rPr>
                <w:sz w:val="20"/>
              </w:rPr>
              <w:t>F11,</w:t>
            </w:r>
            <w:r>
              <w:rPr>
                <w:spacing w:val="-6"/>
                <w:sz w:val="20"/>
              </w:rPr>
              <w:t> </w:t>
            </w:r>
            <w:r>
              <w:rPr>
                <w:sz w:val="20"/>
              </w:rPr>
              <w:t>F11.0,</w:t>
            </w:r>
            <w:r>
              <w:rPr>
                <w:spacing w:val="-6"/>
                <w:sz w:val="20"/>
              </w:rPr>
              <w:t> </w:t>
            </w:r>
            <w:r>
              <w:rPr>
                <w:sz w:val="20"/>
              </w:rPr>
              <w:t>F11.1,</w:t>
            </w:r>
            <w:r>
              <w:rPr>
                <w:spacing w:val="-5"/>
                <w:sz w:val="20"/>
              </w:rPr>
              <w:t> </w:t>
            </w:r>
            <w:r>
              <w:rPr>
                <w:sz w:val="20"/>
              </w:rPr>
              <w:t>F11.2,</w:t>
            </w:r>
            <w:r>
              <w:rPr>
                <w:spacing w:val="-6"/>
                <w:sz w:val="20"/>
              </w:rPr>
              <w:t> </w:t>
            </w:r>
            <w:r>
              <w:rPr>
                <w:sz w:val="20"/>
              </w:rPr>
              <w:t>F11.3,</w:t>
            </w:r>
            <w:r>
              <w:rPr>
                <w:spacing w:val="-5"/>
                <w:sz w:val="20"/>
              </w:rPr>
              <w:t> </w:t>
            </w:r>
            <w:r>
              <w:rPr>
                <w:sz w:val="20"/>
              </w:rPr>
              <w:t>F11.4,</w:t>
            </w:r>
            <w:r>
              <w:rPr>
                <w:spacing w:val="-6"/>
                <w:sz w:val="20"/>
              </w:rPr>
              <w:t> </w:t>
            </w:r>
            <w:r>
              <w:rPr>
                <w:spacing w:val="-2"/>
                <w:sz w:val="20"/>
              </w:rPr>
              <w:t>F11.5,</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5" w:lineRule="exact"/>
              <w:ind w:left="309"/>
              <w:rPr>
                <w:sz w:val="20"/>
              </w:rPr>
            </w:pPr>
            <w:r>
              <w:rPr>
                <w:sz w:val="20"/>
              </w:rPr>
              <w:t>F11.6,</w:t>
            </w:r>
            <w:r>
              <w:rPr>
                <w:spacing w:val="-6"/>
                <w:sz w:val="20"/>
              </w:rPr>
              <w:t> </w:t>
            </w:r>
            <w:r>
              <w:rPr>
                <w:sz w:val="20"/>
              </w:rPr>
              <w:t>F11.7,</w:t>
            </w:r>
            <w:r>
              <w:rPr>
                <w:spacing w:val="-5"/>
                <w:sz w:val="20"/>
              </w:rPr>
              <w:t> </w:t>
            </w:r>
            <w:r>
              <w:rPr>
                <w:sz w:val="20"/>
              </w:rPr>
              <w:t>F11.8,</w:t>
            </w:r>
            <w:r>
              <w:rPr>
                <w:spacing w:val="-5"/>
                <w:sz w:val="20"/>
              </w:rPr>
              <w:t> </w:t>
            </w:r>
            <w:r>
              <w:rPr>
                <w:sz w:val="20"/>
              </w:rPr>
              <w:t>F11.9,</w:t>
            </w:r>
            <w:r>
              <w:rPr>
                <w:spacing w:val="-7"/>
                <w:sz w:val="20"/>
              </w:rPr>
              <w:t> </w:t>
            </w:r>
            <w:r>
              <w:rPr>
                <w:sz w:val="20"/>
              </w:rPr>
              <w:t>F12,</w:t>
            </w:r>
            <w:r>
              <w:rPr>
                <w:spacing w:val="-5"/>
                <w:sz w:val="20"/>
              </w:rPr>
              <w:t> </w:t>
            </w:r>
            <w:r>
              <w:rPr>
                <w:sz w:val="20"/>
              </w:rPr>
              <w:t>F12.0,</w:t>
            </w:r>
            <w:r>
              <w:rPr>
                <w:spacing w:val="-5"/>
                <w:sz w:val="20"/>
              </w:rPr>
              <w:t> </w:t>
            </w:r>
            <w:r>
              <w:rPr>
                <w:spacing w:val="-2"/>
                <w:sz w:val="20"/>
              </w:rPr>
              <w:t>F12.1,</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5" w:right="0" w:firstLine="0"/>
        <w:jc w:val="left"/>
        <w:rPr>
          <w:sz w:val="20"/>
        </w:rPr>
      </w:pPr>
      <w:r>
        <w:rPr>
          <w:sz w:val="20"/>
        </w:rPr>
        <w:t>F12.2,</w:t>
      </w:r>
      <w:r>
        <w:rPr>
          <w:spacing w:val="-5"/>
          <w:sz w:val="20"/>
        </w:rPr>
        <w:t> </w:t>
      </w:r>
      <w:r>
        <w:rPr>
          <w:sz w:val="20"/>
        </w:rPr>
        <w:t>F12.3,</w:t>
      </w:r>
      <w:r>
        <w:rPr>
          <w:spacing w:val="-4"/>
          <w:sz w:val="20"/>
        </w:rPr>
        <w:t> </w:t>
      </w:r>
      <w:r>
        <w:rPr>
          <w:sz w:val="20"/>
        </w:rPr>
        <w:t>F12.4,</w:t>
      </w:r>
      <w:r>
        <w:rPr>
          <w:spacing w:val="-4"/>
          <w:sz w:val="20"/>
        </w:rPr>
        <w:t> </w:t>
      </w:r>
      <w:r>
        <w:rPr>
          <w:sz w:val="20"/>
        </w:rPr>
        <w:t>F12.5,</w:t>
      </w:r>
      <w:r>
        <w:rPr>
          <w:spacing w:val="-6"/>
          <w:sz w:val="20"/>
        </w:rPr>
        <w:t> </w:t>
      </w:r>
      <w:r>
        <w:rPr>
          <w:sz w:val="20"/>
        </w:rPr>
        <w:t>F12.6,</w:t>
      </w:r>
      <w:r>
        <w:rPr>
          <w:spacing w:val="-4"/>
          <w:sz w:val="20"/>
        </w:rPr>
        <w:t> </w:t>
      </w:r>
      <w:r>
        <w:rPr>
          <w:sz w:val="20"/>
        </w:rPr>
        <w:t>F12.7,</w:t>
      </w:r>
      <w:r>
        <w:rPr>
          <w:spacing w:val="-4"/>
          <w:sz w:val="20"/>
        </w:rPr>
        <w:t> </w:t>
      </w:r>
      <w:r>
        <w:rPr>
          <w:spacing w:val="-2"/>
          <w:sz w:val="20"/>
        </w:rPr>
        <w:t>F12.8,</w:t>
      </w:r>
    </w:p>
    <w:p>
      <w:pPr>
        <w:spacing w:line="229" w:lineRule="exact" w:before="1"/>
        <w:ind w:left="4720" w:right="0" w:firstLine="0"/>
        <w:jc w:val="left"/>
        <w:rPr>
          <w:sz w:val="20"/>
        </w:rPr>
      </w:pPr>
      <w:r>
        <w:rPr>
          <w:sz w:val="20"/>
        </w:rPr>
        <w:t>F12.9,</w:t>
      </w:r>
      <w:r>
        <w:rPr>
          <w:spacing w:val="-6"/>
          <w:sz w:val="20"/>
        </w:rPr>
        <w:t> </w:t>
      </w:r>
      <w:r>
        <w:rPr>
          <w:sz w:val="20"/>
        </w:rPr>
        <w:t>F13,</w:t>
      </w:r>
      <w:r>
        <w:rPr>
          <w:spacing w:val="-6"/>
          <w:sz w:val="20"/>
        </w:rPr>
        <w:t> </w:t>
      </w:r>
      <w:r>
        <w:rPr>
          <w:sz w:val="20"/>
        </w:rPr>
        <w:t>F13.0,</w:t>
      </w:r>
      <w:r>
        <w:rPr>
          <w:spacing w:val="-5"/>
          <w:sz w:val="20"/>
        </w:rPr>
        <w:t> </w:t>
      </w:r>
      <w:r>
        <w:rPr>
          <w:sz w:val="20"/>
        </w:rPr>
        <w:t>F13.1,</w:t>
      </w:r>
      <w:r>
        <w:rPr>
          <w:spacing w:val="-6"/>
          <w:sz w:val="20"/>
        </w:rPr>
        <w:t> </w:t>
      </w:r>
      <w:r>
        <w:rPr>
          <w:sz w:val="20"/>
        </w:rPr>
        <w:t>F13.2,</w:t>
      </w:r>
      <w:r>
        <w:rPr>
          <w:spacing w:val="-5"/>
          <w:sz w:val="20"/>
        </w:rPr>
        <w:t> </w:t>
      </w:r>
      <w:r>
        <w:rPr>
          <w:sz w:val="20"/>
        </w:rPr>
        <w:t>F13.3,</w:t>
      </w:r>
      <w:r>
        <w:rPr>
          <w:spacing w:val="-6"/>
          <w:sz w:val="20"/>
        </w:rPr>
        <w:t> </w:t>
      </w:r>
      <w:r>
        <w:rPr>
          <w:spacing w:val="-2"/>
          <w:sz w:val="20"/>
        </w:rPr>
        <w:t>F13.4,</w:t>
      </w:r>
    </w:p>
    <w:p>
      <w:pPr>
        <w:spacing w:line="229" w:lineRule="exact" w:before="0"/>
        <w:ind w:left="4720" w:right="0" w:firstLine="0"/>
        <w:jc w:val="left"/>
        <w:rPr>
          <w:sz w:val="20"/>
        </w:rPr>
      </w:pPr>
      <w:r>
        <w:rPr>
          <w:sz w:val="20"/>
        </w:rPr>
        <w:t>F13.5,</w:t>
      </w:r>
      <w:r>
        <w:rPr>
          <w:spacing w:val="-6"/>
          <w:sz w:val="20"/>
        </w:rPr>
        <w:t> </w:t>
      </w:r>
      <w:r>
        <w:rPr>
          <w:sz w:val="20"/>
        </w:rPr>
        <w:t>F13.6,</w:t>
      </w:r>
      <w:r>
        <w:rPr>
          <w:spacing w:val="-5"/>
          <w:sz w:val="20"/>
        </w:rPr>
        <w:t> </w:t>
      </w:r>
      <w:r>
        <w:rPr>
          <w:sz w:val="20"/>
        </w:rPr>
        <w:t>F13.7,</w:t>
      </w:r>
      <w:r>
        <w:rPr>
          <w:spacing w:val="-5"/>
          <w:sz w:val="20"/>
        </w:rPr>
        <w:t> </w:t>
      </w:r>
      <w:r>
        <w:rPr>
          <w:sz w:val="20"/>
        </w:rPr>
        <w:t>F13.8,</w:t>
      </w:r>
      <w:r>
        <w:rPr>
          <w:spacing w:val="-7"/>
          <w:sz w:val="20"/>
        </w:rPr>
        <w:t> </w:t>
      </w:r>
      <w:r>
        <w:rPr>
          <w:sz w:val="20"/>
        </w:rPr>
        <w:t>F13.9,</w:t>
      </w:r>
      <w:r>
        <w:rPr>
          <w:spacing w:val="-5"/>
          <w:sz w:val="20"/>
        </w:rPr>
        <w:t> </w:t>
      </w:r>
      <w:r>
        <w:rPr>
          <w:sz w:val="20"/>
        </w:rPr>
        <w:t>F14,</w:t>
      </w:r>
      <w:r>
        <w:rPr>
          <w:spacing w:val="-5"/>
          <w:sz w:val="20"/>
        </w:rPr>
        <w:t> </w:t>
      </w:r>
      <w:r>
        <w:rPr>
          <w:spacing w:val="-2"/>
          <w:sz w:val="20"/>
        </w:rPr>
        <w:t>F14.0,</w:t>
      </w:r>
    </w:p>
    <w:p>
      <w:pPr>
        <w:spacing w:before="0"/>
        <w:ind w:left="4645" w:right="0" w:firstLine="0"/>
        <w:jc w:val="left"/>
        <w:rPr>
          <w:sz w:val="20"/>
        </w:rPr>
      </w:pPr>
      <w:r>
        <w:rPr>
          <w:sz w:val="20"/>
        </w:rPr>
        <w:t>F14.1,</w:t>
      </w:r>
      <w:r>
        <w:rPr>
          <w:spacing w:val="-6"/>
          <w:sz w:val="20"/>
        </w:rPr>
        <w:t> </w:t>
      </w:r>
      <w:r>
        <w:rPr>
          <w:sz w:val="20"/>
        </w:rPr>
        <w:t>F14.2,</w:t>
      </w:r>
      <w:r>
        <w:rPr>
          <w:spacing w:val="-5"/>
          <w:sz w:val="20"/>
        </w:rPr>
        <w:t> </w:t>
      </w:r>
      <w:r>
        <w:rPr>
          <w:sz w:val="20"/>
        </w:rPr>
        <w:t>F14.3,</w:t>
      </w:r>
      <w:r>
        <w:rPr>
          <w:spacing w:val="-5"/>
          <w:sz w:val="20"/>
        </w:rPr>
        <w:t> </w:t>
      </w:r>
      <w:r>
        <w:rPr>
          <w:sz w:val="20"/>
        </w:rPr>
        <w:t>F14.4,</w:t>
      </w:r>
      <w:r>
        <w:rPr>
          <w:spacing w:val="-7"/>
          <w:sz w:val="20"/>
        </w:rPr>
        <w:t> </w:t>
      </w:r>
      <w:r>
        <w:rPr>
          <w:sz w:val="20"/>
        </w:rPr>
        <w:t>F14.5,</w:t>
      </w:r>
      <w:r>
        <w:rPr>
          <w:spacing w:val="-5"/>
          <w:sz w:val="20"/>
        </w:rPr>
        <w:t> </w:t>
      </w:r>
      <w:r>
        <w:rPr>
          <w:sz w:val="20"/>
        </w:rPr>
        <w:t>F14.6,</w:t>
      </w:r>
      <w:r>
        <w:rPr>
          <w:spacing w:val="-5"/>
          <w:sz w:val="20"/>
        </w:rPr>
        <w:t> </w:t>
      </w:r>
      <w:r>
        <w:rPr>
          <w:spacing w:val="-2"/>
          <w:sz w:val="20"/>
        </w:rPr>
        <w:t>F14.7,</w:t>
      </w:r>
    </w:p>
    <w:p>
      <w:pPr>
        <w:spacing w:before="1"/>
        <w:ind w:left="4720" w:right="0" w:firstLine="0"/>
        <w:jc w:val="left"/>
        <w:rPr>
          <w:sz w:val="20"/>
        </w:rPr>
      </w:pPr>
      <w:r>
        <w:rPr>
          <w:sz w:val="20"/>
        </w:rPr>
        <w:t>F14.8,</w:t>
      </w:r>
      <w:r>
        <w:rPr>
          <w:spacing w:val="-6"/>
          <w:sz w:val="20"/>
        </w:rPr>
        <w:t> </w:t>
      </w:r>
      <w:r>
        <w:rPr>
          <w:sz w:val="20"/>
        </w:rPr>
        <w:t>F14.9,</w:t>
      </w:r>
      <w:r>
        <w:rPr>
          <w:spacing w:val="-6"/>
          <w:sz w:val="20"/>
        </w:rPr>
        <w:t> </w:t>
      </w:r>
      <w:r>
        <w:rPr>
          <w:sz w:val="20"/>
        </w:rPr>
        <w:t>F15,</w:t>
      </w:r>
      <w:r>
        <w:rPr>
          <w:spacing w:val="-5"/>
          <w:sz w:val="20"/>
        </w:rPr>
        <w:t> </w:t>
      </w:r>
      <w:r>
        <w:rPr>
          <w:sz w:val="20"/>
        </w:rPr>
        <w:t>F15.0,</w:t>
      </w:r>
      <w:r>
        <w:rPr>
          <w:spacing w:val="-6"/>
          <w:sz w:val="20"/>
        </w:rPr>
        <w:t> </w:t>
      </w:r>
      <w:r>
        <w:rPr>
          <w:sz w:val="20"/>
        </w:rPr>
        <w:t>F15.1,</w:t>
      </w:r>
      <w:r>
        <w:rPr>
          <w:spacing w:val="-5"/>
          <w:sz w:val="20"/>
        </w:rPr>
        <w:t> </w:t>
      </w:r>
      <w:r>
        <w:rPr>
          <w:sz w:val="20"/>
        </w:rPr>
        <w:t>F15.2,</w:t>
      </w:r>
      <w:r>
        <w:rPr>
          <w:spacing w:val="-6"/>
          <w:sz w:val="20"/>
        </w:rPr>
        <w:t> </w:t>
      </w:r>
      <w:r>
        <w:rPr>
          <w:spacing w:val="-2"/>
          <w:sz w:val="20"/>
        </w:rPr>
        <w:t>F15.3,</w:t>
      </w:r>
    </w:p>
    <w:p>
      <w:pPr>
        <w:spacing w:before="0"/>
        <w:ind w:left="4720" w:right="0" w:firstLine="0"/>
        <w:jc w:val="left"/>
        <w:rPr>
          <w:sz w:val="20"/>
        </w:rPr>
      </w:pPr>
      <w:r>
        <w:rPr>
          <w:sz w:val="20"/>
        </w:rPr>
        <w:t>F15.4,</w:t>
      </w:r>
      <w:r>
        <w:rPr>
          <w:spacing w:val="-6"/>
          <w:sz w:val="20"/>
        </w:rPr>
        <w:t> </w:t>
      </w:r>
      <w:r>
        <w:rPr>
          <w:sz w:val="20"/>
        </w:rPr>
        <w:t>F15.5,</w:t>
      </w:r>
      <w:r>
        <w:rPr>
          <w:spacing w:val="-5"/>
          <w:sz w:val="20"/>
        </w:rPr>
        <w:t> </w:t>
      </w:r>
      <w:r>
        <w:rPr>
          <w:sz w:val="20"/>
        </w:rPr>
        <w:t>F15.6,</w:t>
      </w:r>
      <w:r>
        <w:rPr>
          <w:spacing w:val="-5"/>
          <w:sz w:val="20"/>
        </w:rPr>
        <w:t> </w:t>
      </w:r>
      <w:r>
        <w:rPr>
          <w:sz w:val="20"/>
        </w:rPr>
        <w:t>F15.7,</w:t>
      </w:r>
      <w:r>
        <w:rPr>
          <w:spacing w:val="-7"/>
          <w:sz w:val="20"/>
        </w:rPr>
        <w:t> </w:t>
      </w:r>
      <w:r>
        <w:rPr>
          <w:sz w:val="20"/>
        </w:rPr>
        <w:t>F15.8,</w:t>
      </w:r>
      <w:r>
        <w:rPr>
          <w:spacing w:val="-5"/>
          <w:sz w:val="20"/>
        </w:rPr>
        <w:t> </w:t>
      </w:r>
      <w:r>
        <w:rPr>
          <w:sz w:val="20"/>
        </w:rPr>
        <w:t>F15.9,</w:t>
      </w:r>
      <w:r>
        <w:rPr>
          <w:spacing w:val="-5"/>
          <w:sz w:val="20"/>
        </w:rPr>
        <w:t> </w:t>
      </w:r>
      <w:r>
        <w:rPr>
          <w:spacing w:val="-4"/>
          <w:sz w:val="20"/>
        </w:rPr>
        <w:t>F16,</w:t>
      </w:r>
    </w:p>
    <w:p>
      <w:pPr>
        <w:spacing w:before="0"/>
        <w:ind w:left="4645" w:right="0" w:firstLine="0"/>
        <w:jc w:val="left"/>
        <w:rPr>
          <w:sz w:val="20"/>
        </w:rPr>
      </w:pPr>
      <w:r>
        <w:rPr>
          <w:sz w:val="20"/>
        </w:rPr>
        <w:t>F16.0,</w:t>
      </w:r>
      <w:r>
        <w:rPr>
          <w:spacing w:val="-5"/>
          <w:sz w:val="20"/>
        </w:rPr>
        <w:t> </w:t>
      </w:r>
      <w:r>
        <w:rPr>
          <w:sz w:val="20"/>
        </w:rPr>
        <w:t>F16.1,</w:t>
      </w:r>
      <w:r>
        <w:rPr>
          <w:spacing w:val="-5"/>
          <w:sz w:val="20"/>
        </w:rPr>
        <w:t> </w:t>
      </w:r>
      <w:r>
        <w:rPr>
          <w:sz w:val="20"/>
        </w:rPr>
        <w:t>F16.2,</w:t>
      </w:r>
      <w:r>
        <w:rPr>
          <w:spacing w:val="-5"/>
          <w:sz w:val="20"/>
        </w:rPr>
        <w:t> </w:t>
      </w:r>
      <w:r>
        <w:rPr>
          <w:sz w:val="20"/>
        </w:rPr>
        <w:t>F16.3,</w:t>
      </w:r>
      <w:r>
        <w:rPr>
          <w:spacing w:val="-7"/>
          <w:sz w:val="20"/>
        </w:rPr>
        <w:t> </w:t>
      </w:r>
      <w:r>
        <w:rPr>
          <w:sz w:val="20"/>
        </w:rPr>
        <w:t>F16.4,</w:t>
      </w:r>
      <w:r>
        <w:rPr>
          <w:spacing w:val="-4"/>
          <w:sz w:val="20"/>
        </w:rPr>
        <w:t> </w:t>
      </w:r>
      <w:r>
        <w:rPr>
          <w:sz w:val="20"/>
        </w:rPr>
        <w:t>F16.5,</w:t>
      </w:r>
      <w:r>
        <w:rPr>
          <w:spacing w:val="-5"/>
          <w:sz w:val="20"/>
        </w:rPr>
        <w:t> </w:t>
      </w:r>
      <w:r>
        <w:rPr>
          <w:spacing w:val="-2"/>
          <w:sz w:val="20"/>
        </w:rPr>
        <w:t>F16.6,</w:t>
      </w:r>
    </w:p>
    <w:p>
      <w:pPr>
        <w:spacing w:line="229" w:lineRule="exact" w:before="1"/>
        <w:ind w:left="4720" w:right="0" w:firstLine="0"/>
        <w:jc w:val="left"/>
        <w:rPr>
          <w:sz w:val="20"/>
        </w:rPr>
      </w:pPr>
      <w:r>
        <w:rPr>
          <w:sz w:val="20"/>
        </w:rPr>
        <w:t>F16.7,</w:t>
      </w:r>
      <w:r>
        <w:rPr>
          <w:spacing w:val="-6"/>
          <w:sz w:val="20"/>
        </w:rPr>
        <w:t> </w:t>
      </w:r>
      <w:r>
        <w:rPr>
          <w:sz w:val="20"/>
        </w:rPr>
        <w:t>F16.8,</w:t>
      </w:r>
      <w:r>
        <w:rPr>
          <w:spacing w:val="-6"/>
          <w:sz w:val="20"/>
        </w:rPr>
        <w:t> </w:t>
      </w:r>
      <w:r>
        <w:rPr>
          <w:sz w:val="20"/>
        </w:rPr>
        <w:t>F16.9,</w:t>
      </w:r>
      <w:r>
        <w:rPr>
          <w:spacing w:val="-5"/>
          <w:sz w:val="20"/>
        </w:rPr>
        <w:t> </w:t>
      </w:r>
      <w:r>
        <w:rPr>
          <w:sz w:val="20"/>
        </w:rPr>
        <w:t>F17,</w:t>
      </w:r>
      <w:r>
        <w:rPr>
          <w:spacing w:val="-6"/>
          <w:sz w:val="20"/>
        </w:rPr>
        <w:t> </w:t>
      </w:r>
      <w:r>
        <w:rPr>
          <w:sz w:val="20"/>
        </w:rPr>
        <w:t>F17.0,</w:t>
      </w:r>
      <w:r>
        <w:rPr>
          <w:spacing w:val="-5"/>
          <w:sz w:val="20"/>
        </w:rPr>
        <w:t> </w:t>
      </w:r>
      <w:r>
        <w:rPr>
          <w:sz w:val="20"/>
        </w:rPr>
        <w:t>F17.1,</w:t>
      </w:r>
      <w:r>
        <w:rPr>
          <w:spacing w:val="-6"/>
          <w:sz w:val="20"/>
        </w:rPr>
        <w:t> </w:t>
      </w:r>
      <w:r>
        <w:rPr>
          <w:spacing w:val="-2"/>
          <w:sz w:val="20"/>
        </w:rPr>
        <w:t>F17.2,</w:t>
      </w:r>
    </w:p>
    <w:p>
      <w:pPr>
        <w:spacing w:line="229" w:lineRule="exact" w:before="0"/>
        <w:ind w:left="4645" w:right="0" w:firstLine="0"/>
        <w:jc w:val="left"/>
        <w:rPr>
          <w:sz w:val="20"/>
        </w:rPr>
      </w:pPr>
      <w:r>
        <w:rPr>
          <w:sz w:val="20"/>
        </w:rPr>
        <w:t>F17.3,</w:t>
      </w:r>
      <w:r>
        <w:rPr>
          <w:spacing w:val="-6"/>
          <w:sz w:val="20"/>
        </w:rPr>
        <w:t> </w:t>
      </w:r>
      <w:r>
        <w:rPr>
          <w:sz w:val="20"/>
        </w:rPr>
        <w:t>F17.4,</w:t>
      </w:r>
      <w:r>
        <w:rPr>
          <w:spacing w:val="-5"/>
          <w:sz w:val="20"/>
        </w:rPr>
        <w:t> </w:t>
      </w:r>
      <w:r>
        <w:rPr>
          <w:sz w:val="20"/>
        </w:rPr>
        <w:t>F17.5,</w:t>
      </w:r>
      <w:r>
        <w:rPr>
          <w:spacing w:val="-5"/>
          <w:sz w:val="20"/>
        </w:rPr>
        <w:t> </w:t>
      </w:r>
      <w:r>
        <w:rPr>
          <w:sz w:val="20"/>
        </w:rPr>
        <w:t>F17.6,</w:t>
      </w:r>
      <w:r>
        <w:rPr>
          <w:spacing w:val="-7"/>
          <w:sz w:val="20"/>
        </w:rPr>
        <w:t> </w:t>
      </w:r>
      <w:r>
        <w:rPr>
          <w:sz w:val="20"/>
        </w:rPr>
        <w:t>F17.7,</w:t>
      </w:r>
      <w:r>
        <w:rPr>
          <w:spacing w:val="-5"/>
          <w:sz w:val="20"/>
        </w:rPr>
        <w:t> </w:t>
      </w:r>
      <w:r>
        <w:rPr>
          <w:sz w:val="20"/>
        </w:rPr>
        <w:t>F17.8,</w:t>
      </w:r>
      <w:r>
        <w:rPr>
          <w:spacing w:val="-5"/>
          <w:sz w:val="20"/>
        </w:rPr>
        <w:t> </w:t>
      </w:r>
      <w:r>
        <w:rPr>
          <w:spacing w:val="-2"/>
          <w:sz w:val="20"/>
        </w:rPr>
        <w:t>F17.9,</w:t>
      </w:r>
    </w:p>
    <w:p>
      <w:pPr>
        <w:spacing w:before="1"/>
        <w:ind w:left="4720" w:right="0" w:firstLine="0"/>
        <w:jc w:val="left"/>
        <w:rPr>
          <w:sz w:val="20"/>
        </w:rPr>
      </w:pPr>
      <w:r>
        <w:rPr>
          <w:sz w:val="20"/>
        </w:rPr>
        <w:t>F18,</w:t>
      </w:r>
      <w:r>
        <w:rPr>
          <w:spacing w:val="-6"/>
          <w:sz w:val="20"/>
        </w:rPr>
        <w:t> </w:t>
      </w:r>
      <w:r>
        <w:rPr>
          <w:sz w:val="20"/>
        </w:rPr>
        <w:t>F18.0,</w:t>
      </w:r>
      <w:r>
        <w:rPr>
          <w:spacing w:val="-6"/>
          <w:sz w:val="20"/>
        </w:rPr>
        <w:t> </w:t>
      </w:r>
      <w:r>
        <w:rPr>
          <w:sz w:val="20"/>
        </w:rPr>
        <w:t>F18.1,</w:t>
      </w:r>
      <w:r>
        <w:rPr>
          <w:spacing w:val="-5"/>
          <w:sz w:val="20"/>
        </w:rPr>
        <w:t> </w:t>
      </w:r>
      <w:r>
        <w:rPr>
          <w:sz w:val="20"/>
        </w:rPr>
        <w:t>F18.2,</w:t>
      </w:r>
      <w:r>
        <w:rPr>
          <w:spacing w:val="-6"/>
          <w:sz w:val="20"/>
        </w:rPr>
        <w:t> </w:t>
      </w:r>
      <w:r>
        <w:rPr>
          <w:sz w:val="20"/>
        </w:rPr>
        <w:t>F18.3,</w:t>
      </w:r>
      <w:r>
        <w:rPr>
          <w:spacing w:val="-5"/>
          <w:sz w:val="20"/>
        </w:rPr>
        <w:t> </w:t>
      </w:r>
      <w:r>
        <w:rPr>
          <w:sz w:val="20"/>
        </w:rPr>
        <w:t>F18.4,</w:t>
      </w:r>
      <w:r>
        <w:rPr>
          <w:spacing w:val="-6"/>
          <w:sz w:val="20"/>
        </w:rPr>
        <w:t> </w:t>
      </w:r>
      <w:r>
        <w:rPr>
          <w:spacing w:val="-2"/>
          <w:sz w:val="20"/>
        </w:rPr>
        <w:t>F18.5,</w:t>
      </w:r>
    </w:p>
    <w:p>
      <w:pPr>
        <w:spacing w:before="0"/>
        <w:ind w:left="4720" w:right="0" w:firstLine="0"/>
        <w:jc w:val="left"/>
        <w:rPr>
          <w:sz w:val="20"/>
        </w:rPr>
      </w:pPr>
      <w:r>
        <w:rPr>
          <w:sz w:val="20"/>
        </w:rPr>
        <w:t>F18.6,</w:t>
      </w:r>
      <w:r>
        <w:rPr>
          <w:spacing w:val="-6"/>
          <w:sz w:val="20"/>
        </w:rPr>
        <w:t> </w:t>
      </w:r>
      <w:r>
        <w:rPr>
          <w:sz w:val="20"/>
        </w:rPr>
        <w:t>F18.7,</w:t>
      </w:r>
      <w:r>
        <w:rPr>
          <w:spacing w:val="-5"/>
          <w:sz w:val="20"/>
        </w:rPr>
        <w:t> </w:t>
      </w:r>
      <w:r>
        <w:rPr>
          <w:sz w:val="20"/>
        </w:rPr>
        <w:t>F18.8,</w:t>
      </w:r>
      <w:r>
        <w:rPr>
          <w:spacing w:val="-5"/>
          <w:sz w:val="20"/>
        </w:rPr>
        <w:t> </w:t>
      </w:r>
      <w:r>
        <w:rPr>
          <w:sz w:val="20"/>
        </w:rPr>
        <w:t>F18.9,</w:t>
      </w:r>
      <w:r>
        <w:rPr>
          <w:spacing w:val="-7"/>
          <w:sz w:val="20"/>
        </w:rPr>
        <w:t> </w:t>
      </w:r>
      <w:r>
        <w:rPr>
          <w:sz w:val="20"/>
        </w:rPr>
        <w:t>F19,</w:t>
      </w:r>
      <w:r>
        <w:rPr>
          <w:spacing w:val="-5"/>
          <w:sz w:val="20"/>
        </w:rPr>
        <w:t> </w:t>
      </w:r>
      <w:r>
        <w:rPr>
          <w:sz w:val="20"/>
        </w:rPr>
        <w:t>F19.0,</w:t>
      </w:r>
      <w:r>
        <w:rPr>
          <w:spacing w:val="-5"/>
          <w:sz w:val="20"/>
        </w:rPr>
        <w:t> </w:t>
      </w:r>
      <w:r>
        <w:rPr>
          <w:spacing w:val="-2"/>
          <w:sz w:val="20"/>
        </w:rPr>
        <w:t>F19.1,</w:t>
      </w:r>
    </w:p>
    <w:p>
      <w:pPr>
        <w:spacing w:before="1"/>
        <w:ind w:left="4645" w:right="0" w:firstLine="0"/>
        <w:jc w:val="left"/>
        <w:rPr>
          <w:sz w:val="20"/>
        </w:rPr>
      </w:pPr>
      <w:r>
        <w:rPr>
          <w:sz w:val="20"/>
        </w:rPr>
        <w:t>F19.2,</w:t>
      </w:r>
      <w:r>
        <w:rPr>
          <w:spacing w:val="-6"/>
          <w:sz w:val="20"/>
        </w:rPr>
        <w:t> </w:t>
      </w:r>
      <w:r>
        <w:rPr>
          <w:sz w:val="20"/>
        </w:rPr>
        <w:t>F19.3,</w:t>
      </w:r>
      <w:r>
        <w:rPr>
          <w:spacing w:val="-5"/>
          <w:sz w:val="20"/>
        </w:rPr>
        <w:t> </w:t>
      </w:r>
      <w:r>
        <w:rPr>
          <w:sz w:val="20"/>
        </w:rPr>
        <w:t>F19.4,</w:t>
      </w:r>
      <w:r>
        <w:rPr>
          <w:spacing w:val="-5"/>
          <w:sz w:val="20"/>
        </w:rPr>
        <w:t> </w:t>
      </w:r>
      <w:r>
        <w:rPr>
          <w:sz w:val="20"/>
        </w:rPr>
        <w:t>F19.5,</w:t>
      </w:r>
      <w:r>
        <w:rPr>
          <w:spacing w:val="-3"/>
          <w:sz w:val="20"/>
        </w:rPr>
        <w:t> </w:t>
      </w:r>
      <w:r>
        <w:rPr>
          <w:sz w:val="20"/>
        </w:rPr>
        <w:t>F19.6,</w:t>
      </w:r>
      <w:r>
        <w:rPr>
          <w:spacing w:val="-5"/>
          <w:sz w:val="20"/>
        </w:rPr>
        <w:t> </w:t>
      </w:r>
      <w:r>
        <w:rPr>
          <w:sz w:val="20"/>
        </w:rPr>
        <w:t>F19.7,</w:t>
      </w:r>
      <w:r>
        <w:rPr>
          <w:spacing w:val="-5"/>
          <w:sz w:val="20"/>
        </w:rPr>
        <w:t> </w:t>
      </w:r>
      <w:r>
        <w:rPr>
          <w:spacing w:val="-2"/>
          <w:sz w:val="20"/>
        </w:rPr>
        <w:t>F19.8,</w:t>
      </w:r>
    </w:p>
    <w:p>
      <w:pPr>
        <w:spacing w:before="0"/>
        <w:ind w:left="4720" w:right="0" w:firstLine="0"/>
        <w:jc w:val="left"/>
        <w:rPr>
          <w:sz w:val="20"/>
        </w:rPr>
      </w:pPr>
      <w:r>
        <w:rPr>
          <w:sz w:val="20"/>
        </w:rPr>
        <w:t>F19.9,</w:t>
      </w:r>
      <w:r>
        <w:rPr>
          <w:spacing w:val="-6"/>
          <w:sz w:val="20"/>
        </w:rPr>
        <w:t> </w:t>
      </w:r>
      <w:r>
        <w:rPr>
          <w:sz w:val="20"/>
        </w:rPr>
        <w:t>F20,</w:t>
      </w:r>
      <w:r>
        <w:rPr>
          <w:spacing w:val="-6"/>
          <w:sz w:val="20"/>
        </w:rPr>
        <w:t> </w:t>
      </w:r>
      <w:r>
        <w:rPr>
          <w:sz w:val="20"/>
        </w:rPr>
        <w:t>F20.0,</w:t>
      </w:r>
      <w:r>
        <w:rPr>
          <w:spacing w:val="-5"/>
          <w:sz w:val="20"/>
        </w:rPr>
        <w:t> </w:t>
      </w:r>
      <w:r>
        <w:rPr>
          <w:sz w:val="20"/>
        </w:rPr>
        <w:t>F20.1,</w:t>
      </w:r>
      <w:r>
        <w:rPr>
          <w:spacing w:val="-6"/>
          <w:sz w:val="20"/>
        </w:rPr>
        <w:t> </w:t>
      </w:r>
      <w:r>
        <w:rPr>
          <w:sz w:val="20"/>
        </w:rPr>
        <w:t>F20.2,</w:t>
      </w:r>
      <w:r>
        <w:rPr>
          <w:spacing w:val="-5"/>
          <w:sz w:val="20"/>
        </w:rPr>
        <w:t> </w:t>
      </w:r>
      <w:r>
        <w:rPr>
          <w:sz w:val="20"/>
        </w:rPr>
        <w:t>F20.3,</w:t>
      </w:r>
      <w:r>
        <w:rPr>
          <w:spacing w:val="-6"/>
          <w:sz w:val="20"/>
        </w:rPr>
        <w:t> </w:t>
      </w:r>
      <w:r>
        <w:rPr>
          <w:spacing w:val="-2"/>
          <w:sz w:val="20"/>
        </w:rPr>
        <w:t>F20.4,</w:t>
      </w:r>
    </w:p>
    <w:p>
      <w:pPr>
        <w:spacing w:line="229" w:lineRule="exact" w:before="1"/>
        <w:ind w:left="1159" w:right="4154" w:firstLine="0"/>
        <w:jc w:val="center"/>
        <w:rPr>
          <w:sz w:val="20"/>
        </w:rPr>
      </w:pPr>
      <w:r>
        <w:rPr>
          <w:sz w:val="20"/>
        </w:rPr>
        <w:t>F20.5,</w:t>
      </w:r>
      <w:r>
        <w:rPr>
          <w:spacing w:val="-5"/>
          <w:sz w:val="20"/>
        </w:rPr>
        <w:t> </w:t>
      </w:r>
      <w:r>
        <w:rPr>
          <w:sz w:val="20"/>
        </w:rPr>
        <w:t>F20.6,</w:t>
      </w:r>
      <w:r>
        <w:rPr>
          <w:spacing w:val="-4"/>
          <w:sz w:val="20"/>
        </w:rPr>
        <w:t> </w:t>
      </w:r>
      <w:r>
        <w:rPr>
          <w:sz w:val="20"/>
        </w:rPr>
        <w:t>F20.8,</w:t>
      </w:r>
      <w:r>
        <w:rPr>
          <w:spacing w:val="-5"/>
          <w:sz w:val="20"/>
        </w:rPr>
        <w:t> </w:t>
      </w:r>
      <w:r>
        <w:rPr>
          <w:sz w:val="20"/>
        </w:rPr>
        <w:t>F20.9,</w:t>
      </w:r>
      <w:r>
        <w:rPr>
          <w:spacing w:val="-6"/>
          <w:sz w:val="20"/>
        </w:rPr>
        <w:t> </w:t>
      </w:r>
      <w:r>
        <w:rPr>
          <w:sz w:val="20"/>
        </w:rPr>
        <w:t>F21,</w:t>
      </w:r>
      <w:r>
        <w:rPr>
          <w:spacing w:val="-5"/>
          <w:sz w:val="20"/>
        </w:rPr>
        <w:t> </w:t>
      </w:r>
      <w:r>
        <w:rPr>
          <w:sz w:val="20"/>
        </w:rPr>
        <w:t>F22,</w:t>
      </w:r>
      <w:r>
        <w:rPr>
          <w:spacing w:val="-4"/>
          <w:sz w:val="20"/>
        </w:rPr>
        <w:t> </w:t>
      </w:r>
      <w:r>
        <w:rPr>
          <w:spacing w:val="-2"/>
          <w:sz w:val="20"/>
        </w:rPr>
        <w:t>F22.0,</w:t>
      </w:r>
    </w:p>
    <w:p>
      <w:pPr>
        <w:spacing w:line="229" w:lineRule="exact" w:before="0"/>
        <w:ind w:left="1159" w:right="4154" w:firstLine="0"/>
        <w:jc w:val="center"/>
        <w:rPr>
          <w:sz w:val="20"/>
        </w:rPr>
      </w:pPr>
      <w:r>
        <w:rPr>
          <w:sz w:val="20"/>
        </w:rPr>
        <w:t>F22.8,</w:t>
      </w:r>
      <w:r>
        <w:rPr>
          <w:spacing w:val="-6"/>
          <w:sz w:val="20"/>
        </w:rPr>
        <w:t> </w:t>
      </w:r>
      <w:r>
        <w:rPr>
          <w:sz w:val="20"/>
        </w:rPr>
        <w:t>F22.9,</w:t>
      </w:r>
      <w:r>
        <w:rPr>
          <w:spacing w:val="-6"/>
          <w:sz w:val="20"/>
        </w:rPr>
        <w:t> </w:t>
      </w:r>
      <w:r>
        <w:rPr>
          <w:sz w:val="20"/>
        </w:rPr>
        <w:t>F23,</w:t>
      </w:r>
      <w:r>
        <w:rPr>
          <w:spacing w:val="-5"/>
          <w:sz w:val="20"/>
        </w:rPr>
        <w:t> </w:t>
      </w:r>
      <w:r>
        <w:rPr>
          <w:sz w:val="20"/>
        </w:rPr>
        <w:t>F23.0,</w:t>
      </w:r>
      <w:r>
        <w:rPr>
          <w:spacing w:val="-6"/>
          <w:sz w:val="20"/>
        </w:rPr>
        <w:t> </w:t>
      </w:r>
      <w:r>
        <w:rPr>
          <w:sz w:val="20"/>
        </w:rPr>
        <w:t>F23.1,</w:t>
      </w:r>
      <w:r>
        <w:rPr>
          <w:spacing w:val="-5"/>
          <w:sz w:val="20"/>
        </w:rPr>
        <w:t> </w:t>
      </w:r>
      <w:r>
        <w:rPr>
          <w:sz w:val="20"/>
        </w:rPr>
        <w:t>F23.2,</w:t>
      </w:r>
      <w:r>
        <w:rPr>
          <w:spacing w:val="-6"/>
          <w:sz w:val="20"/>
        </w:rPr>
        <w:t> </w:t>
      </w:r>
      <w:r>
        <w:rPr>
          <w:spacing w:val="-2"/>
          <w:sz w:val="20"/>
        </w:rPr>
        <w:t>F23.3,</w:t>
      </w:r>
    </w:p>
    <w:p>
      <w:pPr>
        <w:spacing w:before="0"/>
        <w:ind w:left="1159" w:right="4154" w:firstLine="0"/>
        <w:jc w:val="center"/>
        <w:rPr>
          <w:sz w:val="20"/>
        </w:rPr>
      </w:pPr>
      <w:r>
        <w:rPr>
          <w:sz w:val="20"/>
        </w:rPr>
        <w:t>F23.8,</w:t>
      </w:r>
      <w:r>
        <w:rPr>
          <w:spacing w:val="-5"/>
          <w:sz w:val="20"/>
        </w:rPr>
        <w:t> </w:t>
      </w:r>
      <w:r>
        <w:rPr>
          <w:sz w:val="20"/>
        </w:rPr>
        <w:t>F23.9,</w:t>
      </w:r>
      <w:r>
        <w:rPr>
          <w:spacing w:val="-4"/>
          <w:sz w:val="20"/>
        </w:rPr>
        <w:t> </w:t>
      </w:r>
      <w:r>
        <w:rPr>
          <w:sz w:val="20"/>
        </w:rPr>
        <w:t>F24,</w:t>
      </w:r>
      <w:r>
        <w:rPr>
          <w:spacing w:val="-5"/>
          <w:sz w:val="20"/>
        </w:rPr>
        <w:t> </w:t>
      </w:r>
      <w:r>
        <w:rPr>
          <w:sz w:val="20"/>
        </w:rPr>
        <w:t>F25,</w:t>
      </w:r>
      <w:r>
        <w:rPr>
          <w:spacing w:val="-6"/>
          <w:sz w:val="20"/>
        </w:rPr>
        <w:t> </w:t>
      </w:r>
      <w:r>
        <w:rPr>
          <w:sz w:val="20"/>
        </w:rPr>
        <w:t>F25.0,</w:t>
      </w:r>
      <w:r>
        <w:rPr>
          <w:spacing w:val="-6"/>
          <w:sz w:val="20"/>
        </w:rPr>
        <w:t> </w:t>
      </w:r>
      <w:r>
        <w:rPr>
          <w:sz w:val="20"/>
        </w:rPr>
        <w:t>F25.1,</w:t>
      </w:r>
      <w:r>
        <w:rPr>
          <w:spacing w:val="-4"/>
          <w:sz w:val="20"/>
        </w:rPr>
        <w:t> </w:t>
      </w:r>
      <w:r>
        <w:rPr>
          <w:spacing w:val="-2"/>
          <w:sz w:val="20"/>
        </w:rPr>
        <w:t>F25.2,</w:t>
      </w:r>
    </w:p>
    <w:p>
      <w:pPr>
        <w:spacing w:before="0"/>
        <w:ind w:left="1158" w:right="4154" w:firstLine="0"/>
        <w:jc w:val="center"/>
        <w:rPr>
          <w:sz w:val="20"/>
        </w:rPr>
      </w:pPr>
      <w:r>
        <w:rPr>
          <w:sz w:val="20"/>
        </w:rPr>
        <w:t>F25.8,</w:t>
      </w:r>
      <w:r>
        <w:rPr>
          <w:spacing w:val="-5"/>
          <w:sz w:val="20"/>
        </w:rPr>
        <w:t> </w:t>
      </w:r>
      <w:r>
        <w:rPr>
          <w:sz w:val="20"/>
        </w:rPr>
        <w:t>F25.9,</w:t>
      </w:r>
      <w:r>
        <w:rPr>
          <w:spacing w:val="-4"/>
          <w:sz w:val="20"/>
        </w:rPr>
        <w:t> </w:t>
      </w:r>
      <w:r>
        <w:rPr>
          <w:sz w:val="20"/>
        </w:rPr>
        <w:t>F28,</w:t>
      </w:r>
      <w:r>
        <w:rPr>
          <w:spacing w:val="-4"/>
          <w:sz w:val="20"/>
        </w:rPr>
        <w:t> </w:t>
      </w:r>
      <w:r>
        <w:rPr>
          <w:sz w:val="20"/>
        </w:rPr>
        <w:t>F29,</w:t>
      </w:r>
      <w:r>
        <w:rPr>
          <w:spacing w:val="-6"/>
          <w:sz w:val="20"/>
        </w:rPr>
        <w:t> </w:t>
      </w:r>
      <w:r>
        <w:rPr>
          <w:sz w:val="20"/>
        </w:rPr>
        <w:t>F30,</w:t>
      </w:r>
      <w:r>
        <w:rPr>
          <w:spacing w:val="-6"/>
          <w:sz w:val="20"/>
        </w:rPr>
        <w:t> </w:t>
      </w:r>
      <w:r>
        <w:rPr>
          <w:sz w:val="20"/>
        </w:rPr>
        <w:t>F30.0,</w:t>
      </w:r>
      <w:r>
        <w:rPr>
          <w:spacing w:val="-4"/>
          <w:sz w:val="20"/>
        </w:rPr>
        <w:t> </w:t>
      </w:r>
      <w:r>
        <w:rPr>
          <w:sz w:val="20"/>
        </w:rPr>
        <w:t>F30.1,</w:t>
      </w:r>
      <w:r>
        <w:rPr>
          <w:spacing w:val="-4"/>
          <w:sz w:val="20"/>
        </w:rPr>
        <w:t> </w:t>
      </w:r>
      <w:r>
        <w:rPr>
          <w:spacing w:val="-2"/>
          <w:sz w:val="20"/>
        </w:rPr>
        <w:t>F30.2,</w:t>
      </w:r>
    </w:p>
    <w:p>
      <w:pPr>
        <w:spacing w:before="1"/>
        <w:ind w:left="1159" w:right="4154" w:firstLine="0"/>
        <w:jc w:val="center"/>
        <w:rPr>
          <w:sz w:val="20"/>
        </w:rPr>
      </w:pPr>
      <w:r>
        <w:rPr>
          <w:sz w:val="20"/>
        </w:rPr>
        <w:t>F30.8,</w:t>
      </w:r>
      <w:r>
        <w:rPr>
          <w:spacing w:val="-6"/>
          <w:sz w:val="20"/>
        </w:rPr>
        <w:t> </w:t>
      </w:r>
      <w:r>
        <w:rPr>
          <w:sz w:val="20"/>
        </w:rPr>
        <w:t>F30.9,</w:t>
      </w:r>
      <w:r>
        <w:rPr>
          <w:spacing w:val="-6"/>
          <w:sz w:val="20"/>
        </w:rPr>
        <w:t> </w:t>
      </w:r>
      <w:r>
        <w:rPr>
          <w:sz w:val="20"/>
        </w:rPr>
        <w:t>F31,</w:t>
      </w:r>
      <w:r>
        <w:rPr>
          <w:spacing w:val="-5"/>
          <w:sz w:val="20"/>
        </w:rPr>
        <w:t> </w:t>
      </w:r>
      <w:r>
        <w:rPr>
          <w:sz w:val="20"/>
        </w:rPr>
        <w:t>F31.0,</w:t>
      </w:r>
      <w:r>
        <w:rPr>
          <w:spacing w:val="-6"/>
          <w:sz w:val="20"/>
        </w:rPr>
        <w:t> </w:t>
      </w:r>
      <w:r>
        <w:rPr>
          <w:sz w:val="20"/>
        </w:rPr>
        <w:t>F31.1,</w:t>
      </w:r>
      <w:r>
        <w:rPr>
          <w:spacing w:val="-5"/>
          <w:sz w:val="20"/>
        </w:rPr>
        <w:t> </w:t>
      </w:r>
      <w:r>
        <w:rPr>
          <w:sz w:val="20"/>
        </w:rPr>
        <w:t>F31.2,</w:t>
      </w:r>
      <w:r>
        <w:rPr>
          <w:spacing w:val="-6"/>
          <w:sz w:val="20"/>
        </w:rPr>
        <w:t> </w:t>
      </w:r>
      <w:r>
        <w:rPr>
          <w:spacing w:val="-2"/>
          <w:sz w:val="20"/>
        </w:rPr>
        <w:t>F31.3,</w:t>
      </w:r>
    </w:p>
    <w:p>
      <w:pPr>
        <w:spacing w:before="1"/>
        <w:ind w:left="1159" w:right="4154" w:firstLine="0"/>
        <w:jc w:val="center"/>
        <w:rPr>
          <w:sz w:val="20"/>
        </w:rPr>
      </w:pPr>
      <w:r>
        <w:rPr>
          <w:sz w:val="20"/>
        </w:rPr>
        <w:t>F31.4,</w:t>
      </w:r>
      <w:r>
        <w:rPr>
          <w:spacing w:val="-6"/>
          <w:sz w:val="20"/>
        </w:rPr>
        <w:t> </w:t>
      </w:r>
      <w:r>
        <w:rPr>
          <w:sz w:val="20"/>
        </w:rPr>
        <w:t>F31.5,</w:t>
      </w:r>
      <w:r>
        <w:rPr>
          <w:spacing w:val="-5"/>
          <w:sz w:val="20"/>
        </w:rPr>
        <w:t> </w:t>
      </w:r>
      <w:r>
        <w:rPr>
          <w:sz w:val="20"/>
        </w:rPr>
        <w:t>F31.6,</w:t>
      </w:r>
      <w:r>
        <w:rPr>
          <w:spacing w:val="-5"/>
          <w:sz w:val="20"/>
        </w:rPr>
        <w:t> </w:t>
      </w:r>
      <w:r>
        <w:rPr>
          <w:sz w:val="20"/>
        </w:rPr>
        <w:t>F31.7,</w:t>
      </w:r>
      <w:r>
        <w:rPr>
          <w:spacing w:val="-7"/>
          <w:sz w:val="20"/>
        </w:rPr>
        <w:t> </w:t>
      </w:r>
      <w:r>
        <w:rPr>
          <w:sz w:val="20"/>
        </w:rPr>
        <w:t>F31.8,</w:t>
      </w:r>
      <w:r>
        <w:rPr>
          <w:spacing w:val="-5"/>
          <w:sz w:val="20"/>
        </w:rPr>
        <w:t> </w:t>
      </w:r>
      <w:r>
        <w:rPr>
          <w:sz w:val="20"/>
        </w:rPr>
        <w:t>F31.9,</w:t>
      </w:r>
      <w:r>
        <w:rPr>
          <w:spacing w:val="-5"/>
          <w:sz w:val="20"/>
        </w:rPr>
        <w:t> </w:t>
      </w:r>
      <w:r>
        <w:rPr>
          <w:spacing w:val="-4"/>
          <w:sz w:val="20"/>
        </w:rPr>
        <w:t>F32,</w:t>
      </w:r>
    </w:p>
    <w:p>
      <w:pPr>
        <w:spacing w:line="229" w:lineRule="exact" w:before="0"/>
        <w:ind w:left="1159" w:right="4154" w:firstLine="0"/>
        <w:jc w:val="center"/>
        <w:rPr>
          <w:sz w:val="20"/>
        </w:rPr>
      </w:pPr>
      <w:r>
        <w:rPr>
          <w:sz w:val="20"/>
        </w:rPr>
        <w:t>F32.0,</w:t>
      </w:r>
      <w:r>
        <w:rPr>
          <w:spacing w:val="-6"/>
          <w:sz w:val="20"/>
        </w:rPr>
        <w:t> </w:t>
      </w:r>
      <w:r>
        <w:rPr>
          <w:sz w:val="20"/>
        </w:rPr>
        <w:t>F32.1,</w:t>
      </w:r>
      <w:r>
        <w:rPr>
          <w:spacing w:val="-5"/>
          <w:sz w:val="20"/>
        </w:rPr>
        <w:t> </w:t>
      </w:r>
      <w:r>
        <w:rPr>
          <w:sz w:val="20"/>
        </w:rPr>
        <w:t>F32.2,</w:t>
      </w:r>
      <w:r>
        <w:rPr>
          <w:spacing w:val="-5"/>
          <w:sz w:val="20"/>
        </w:rPr>
        <w:t> </w:t>
      </w:r>
      <w:r>
        <w:rPr>
          <w:sz w:val="20"/>
        </w:rPr>
        <w:t>F32.3,</w:t>
      </w:r>
      <w:r>
        <w:rPr>
          <w:spacing w:val="-7"/>
          <w:sz w:val="20"/>
        </w:rPr>
        <w:t> </w:t>
      </w:r>
      <w:r>
        <w:rPr>
          <w:sz w:val="20"/>
        </w:rPr>
        <w:t>F32.8,</w:t>
      </w:r>
      <w:r>
        <w:rPr>
          <w:spacing w:val="-5"/>
          <w:sz w:val="20"/>
        </w:rPr>
        <w:t> </w:t>
      </w:r>
      <w:r>
        <w:rPr>
          <w:sz w:val="20"/>
        </w:rPr>
        <w:t>F32.9,</w:t>
      </w:r>
      <w:r>
        <w:rPr>
          <w:spacing w:val="-5"/>
          <w:sz w:val="20"/>
        </w:rPr>
        <w:t> </w:t>
      </w:r>
      <w:r>
        <w:rPr>
          <w:spacing w:val="-4"/>
          <w:sz w:val="20"/>
        </w:rPr>
        <w:t>F33,</w:t>
      </w:r>
    </w:p>
    <w:p>
      <w:pPr>
        <w:spacing w:line="229" w:lineRule="exact" w:before="0"/>
        <w:ind w:left="1161" w:right="4154" w:firstLine="0"/>
        <w:jc w:val="center"/>
        <w:rPr>
          <w:sz w:val="20"/>
        </w:rPr>
      </w:pPr>
      <w:r>
        <w:rPr>
          <w:sz w:val="20"/>
        </w:rPr>
        <w:t>F33.0,</w:t>
      </w:r>
      <w:r>
        <w:rPr>
          <w:spacing w:val="-6"/>
          <w:sz w:val="20"/>
        </w:rPr>
        <w:t> </w:t>
      </w:r>
      <w:r>
        <w:rPr>
          <w:sz w:val="20"/>
        </w:rPr>
        <w:t>F33.1,</w:t>
      </w:r>
      <w:r>
        <w:rPr>
          <w:spacing w:val="-5"/>
          <w:sz w:val="20"/>
        </w:rPr>
        <w:t> </w:t>
      </w:r>
      <w:r>
        <w:rPr>
          <w:sz w:val="20"/>
        </w:rPr>
        <w:t>F33.2,</w:t>
      </w:r>
      <w:r>
        <w:rPr>
          <w:spacing w:val="-5"/>
          <w:sz w:val="20"/>
        </w:rPr>
        <w:t> </w:t>
      </w:r>
      <w:r>
        <w:rPr>
          <w:sz w:val="20"/>
        </w:rPr>
        <w:t>F33.3,</w:t>
      </w:r>
      <w:r>
        <w:rPr>
          <w:spacing w:val="-7"/>
          <w:sz w:val="20"/>
        </w:rPr>
        <w:t> </w:t>
      </w:r>
      <w:r>
        <w:rPr>
          <w:sz w:val="20"/>
        </w:rPr>
        <w:t>F33.4,</w:t>
      </w:r>
      <w:r>
        <w:rPr>
          <w:spacing w:val="-5"/>
          <w:sz w:val="20"/>
        </w:rPr>
        <w:t> </w:t>
      </w:r>
      <w:r>
        <w:rPr>
          <w:sz w:val="20"/>
        </w:rPr>
        <w:t>F33.8,</w:t>
      </w:r>
      <w:r>
        <w:rPr>
          <w:spacing w:val="-5"/>
          <w:sz w:val="20"/>
        </w:rPr>
        <w:t> </w:t>
      </w:r>
      <w:r>
        <w:rPr>
          <w:spacing w:val="-2"/>
          <w:sz w:val="20"/>
        </w:rPr>
        <w:t>F33.9,</w:t>
      </w:r>
    </w:p>
    <w:p>
      <w:pPr>
        <w:spacing w:before="0"/>
        <w:ind w:left="4794" w:right="0" w:firstLine="0"/>
        <w:jc w:val="left"/>
        <w:rPr>
          <w:sz w:val="20"/>
        </w:rPr>
      </w:pPr>
      <w:r>
        <w:rPr>
          <w:sz w:val="20"/>
        </w:rPr>
        <w:t>F34,</w:t>
      </w:r>
      <w:r>
        <w:rPr>
          <w:spacing w:val="-5"/>
          <w:sz w:val="20"/>
        </w:rPr>
        <w:t> </w:t>
      </w:r>
      <w:r>
        <w:rPr>
          <w:sz w:val="20"/>
        </w:rPr>
        <w:t>F34.0,</w:t>
      </w:r>
      <w:r>
        <w:rPr>
          <w:spacing w:val="-5"/>
          <w:sz w:val="20"/>
        </w:rPr>
        <w:t> </w:t>
      </w:r>
      <w:r>
        <w:rPr>
          <w:sz w:val="20"/>
        </w:rPr>
        <w:t>F34.1,</w:t>
      </w:r>
      <w:r>
        <w:rPr>
          <w:spacing w:val="-5"/>
          <w:sz w:val="20"/>
        </w:rPr>
        <w:t> </w:t>
      </w:r>
      <w:r>
        <w:rPr>
          <w:sz w:val="20"/>
        </w:rPr>
        <w:t>F34.8,</w:t>
      </w:r>
      <w:r>
        <w:rPr>
          <w:spacing w:val="-5"/>
          <w:sz w:val="20"/>
        </w:rPr>
        <w:t> </w:t>
      </w:r>
      <w:r>
        <w:rPr>
          <w:sz w:val="20"/>
        </w:rPr>
        <w:t>F34.9,</w:t>
      </w:r>
      <w:r>
        <w:rPr>
          <w:spacing w:val="-5"/>
          <w:sz w:val="20"/>
        </w:rPr>
        <w:t> </w:t>
      </w:r>
      <w:r>
        <w:rPr>
          <w:sz w:val="20"/>
        </w:rPr>
        <w:t>F38,</w:t>
      </w:r>
      <w:r>
        <w:rPr>
          <w:spacing w:val="-5"/>
          <w:sz w:val="20"/>
        </w:rPr>
        <w:t> </w:t>
      </w:r>
      <w:r>
        <w:rPr>
          <w:spacing w:val="-2"/>
          <w:sz w:val="20"/>
        </w:rPr>
        <w:t>F38.0,</w:t>
      </w:r>
    </w:p>
    <w:p>
      <w:pPr>
        <w:spacing w:before="1"/>
        <w:ind w:left="4794" w:right="0" w:firstLine="0"/>
        <w:jc w:val="left"/>
        <w:rPr>
          <w:sz w:val="20"/>
        </w:rPr>
      </w:pPr>
      <w:r>
        <w:rPr>
          <w:sz w:val="20"/>
        </w:rPr>
        <w:t>F38.1,</w:t>
      </w:r>
      <w:r>
        <w:rPr>
          <w:spacing w:val="-4"/>
          <w:sz w:val="20"/>
        </w:rPr>
        <w:t> </w:t>
      </w:r>
      <w:r>
        <w:rPr>
          <w:sz w:val="20"/>
        </w:rPr>
        <w:t>F38.8,</w:t>
      </w:r>
      <w:r>
        <w:rPr>
          <w:spacing w:val="-4"/>
          <w:sz w:val="20"/>
        </w:rPr>
        <w:t> </w:t>
      </w:r>
      <w:r>
        <w:rPr>
          <w:sz w:val="20"/>
        </w:rPr>
        <w:t>F39,</w:t>
      </w:r>
      <w:r>
        <w:rPr>
          <w:spacing w:val="-4"/>
          <w:sz w:val="20"/>
        </w:rPr>
        <w:t> </w:t>
      </w:r>
      <w:r>
        <w:rPr>
          <w:sz w:val="20"/>
        </w:rPr>
        <w:t>F40,</w:t>
      </w:r>
      <w:r>
        <w:rPr>
          <w:spacing w:val="-6"/>
          <w:sz w:val="20"/>
        </w:rPr>
        <w:t> </w:t>
      </w:r>
      <w:r>
        <w:rPr>
          <w:sz w:val="20"/>
        </w:rPr>
        <w:t>F40.0,</w:t>
      </w:r>
      <w:r>
        <w:rPr>
          <w:spacing w:val="-5"/>
          <w:sz w:val="20"/>
        </w:rPr>
        <w:t> </w:t>
      </w:r>
      <w:r>
        <w:rPr>
          <w:sz w:val="20"/>
        </w:rPr>
        <w:t>F40.1,</w:t>
      </w:r>
      <w:r>
        <w:rPr>
          <w:spacing w:val="-4"/>
          <w:sz w:val="20"/>
        </w:rPr>
        <w:t> </w:t>
      </w:r>
      <w:r>
        <w:rPr>
          <w:spacing w:val="-2"/>
          <w:sz w:val="20"/>
        </w:rPr>
        <w:t>F40.2,</w:t>
      </w:r>
    </w:p>
    <w:p>
      <w:pPr>
        <w:spacing w:before="0"/>
        <w:ind w:left="4720" w:right="0" w:firstLine="0"/>
        <w:jc w:val="left"/>
        <w:rPr>
          <w:sz w:val="20"/>
        </w:rPr>
      </w:pPr>
      <w:r>
        <w:rPr>
          <w:sz w:val="20"/>
        </w:rPr>
        <w:t>F40.8,</w:t>
      </w:r>
      <w:r>
        <w:rPr>
          <w:spacing w:val="-6"/>
          <w:sz w:val="20"/>
        </w:rPr>
        <w:t> </w:t>
      </w:r>
      <w:r>
        <w:rPr>
          <w:sz w:val="20"/>
        </w:rPr>
        <w:t>F40.9,</w:t>
      </w:r>
      <w:r>
        <w:rPr>
          <w:spacing w:val="-6"/>
          <w:sz w:val="20"/>
        </w:rPr>
        <w:t> </w:t>
      </w:r>
      <w:r>
        <w:rPr>
          <w:sz w:val="20"/>
        </w:rPr>
        <w:t>F41,</w:t>
      </w:r>
      <w:r>
        <w:rPr>
          <w:spacing w:val="-5"/>
          <w:sz w:val="20"/>
        </w:rPr>
        <w:t> </w:t>
      </w:r>
      <w:r>
        <w:rPr>
          <w:sz w:val="20"/>
        </w:rPr>
        <w:t>F41.0,</w:t>
      </w:r>
      <w:r>
        <w:rPr>
          <w:spacing w:val="-6"/>
          <w:sz w:val="20"/>
        </w:rPr>
        <w:t> </w:t>
      </w:r>
      <w:r>
        <w:rPr>
          <w:sz w:val="20"/>
        </w:rPr>
        <w:t>F41.1,</w:t>
      </w:r>
      <w:r>
        <w:rPr>
          <w:spacing w:val="-5"/>
          <w:sz w:val="20"/>
        </w:rPr>
        <w:t> </w:t>
      </w:r>
      <w:r>
        <w:rPr>
          <w:sz w:val="20"/>
        </w:rPr>
        <w:t>F41.2,</w:t>
      </w:r>
      <w:r>
        <w:rPr>
          <w:spacing w:val="-6"/>
          <w:sz w:val="20"/>
        </w:rPr>
        <w:t> </w:t>
      </w:r>
      <w:r>
        <w:rPr>
          <w:spacing w:val="-2"/>
          <w:sz w:val="20"/>
        </w:rPr>
        <w:t>F41.3,</w:t>
      </w:r>
    </w:p>
    <w:p>
      <w:pPr>
        <w:spacing w:line="229" w:lineRule="exact" w:before="1"/>
        <w:ind w:left="4720" w:right="0" w:firstLine="0"/>
        <w:jc w:val="left"/>
        <w:rPr>
          <w:sz w:val="20"/>
        </w:rPr>
      </w:pPr>
      <w:r>
        <w:rPr>
          <w:sz w:val="20"/>
        </w:rPr>
        <w:t>F41.8,</w:t>
      </w:r>
      <w:r>
        <w:rPr>
          <w:spacing w:val="-6"/>
          <w:sz w:val="20"/>
        </w:rPr>
        <w:t> </w:t>
      </w:r>
      <w:r>
        <w:rPr>
          <w:sz w:val="20"/>
        </w:rPr>
        <w:t>F41.9,</w:t>
      </w:r>
      <w:r>
        <w:rPr>
          <w:spacing w:val="-6"/>
          <w:sz w:val="20"/>
        </w:rPr>
        <w:t> </w:t>
      </w:r>
      <w:r>
        <w:rPr>
          <w:sz w:val="20"/>
        </w:rPr>
        <w:t>F42,</w:t>
      </w:r>
      <w:r>
        <w:rPr>
          <w:spacing w:val="-5"/>
          <w:sz w:val="20"/>
        </w:rPr>
        <w:t> </w:t>
      </w:r>
      <w:r>
        <w:rPr>
          <w:sz w:val="20"/>
        </w:rPr>
        <w:t>F42.0,</w:t>
      </w:r>
      <w:r>
        <w:rPr>
          <w:spacing w:val="-6"/>
          <w:sz w:val="20"/>
        </w:rPr>
        <w:t> </w:t>
      </w:r>
      <w:r>
        <w:rPr>
          <w:sz w:val="20"/>
        </w:rPr>
        <w:t>F42.1,</w:t>
      </w:r>
      <w:r>
        <w:rPr>
          <w:spacing w:val="-5"/>
          <w:sz w:val="20"/>
        </w:rPr>
        <w:t> </w:t>
      </w:r>
      <w:r>
        <w:rPr>
          <w:sz w:val="20"/>
        </w:rPr>
        <w:t>F42.2,</w:t>
      </w:r>
      <w:r>
        <w:rPr>
          <w:spacing w:val="-6"/>
          <w:sz w:val="20"/>
        </w:rPr>
        <w:t> </w:t>
      </w:r>
      <w:r>
        <w:rPr>
          <w:spacing w:val="-2"/>
          <w:sz w:val="20"/>
        </w:rPr>
        <w:t>F42.8,</w:t>
      </w:r>
    </w:p>
    <w:p>
      <w:pPr>
        <w:spacing w:line="229" w:lineRule="exact" w:before="0"/>
        <w:ind w:left="4720" w:right="0" w:firstLine="0"/>
        <w:jc w:val="left"/>
        <w:rPr>
          <w:sz w:val="20"/>
        </w:rPr>
      </w:pPr>
      <w:r>
        <w:rPr>
          <w:sz w:val="20"/>
        </w:rPr>
        <w:t>F42.9,</w:t>
      </w:r>
      <w:r>
        <w:rPr>
          <w:spacing w:val="-6"/>
          <w:sz w:val="20"/>
        </w:rPr>
        <w:t> </w:t>
      </w:r>
      <w:r>
        <w:rPr>
          <w:sz w:val="20"/>
        </w:rPr>
        <w:t>F43,</w:t>
      </w:r>
      <w:r>
        <w:rPr>
          <w:spacing w:val="-6"/>
          <w:sz w:val="20"/>
        </w:rPr>
        <w:t> </w:t>
      </w:r>
      <w:r>
        <w:rPr>
          <w:sz w:val="20"/>
        </w:rPr>
        <w:t>F43.0,</w:t>
      </w:r>
      <w:r>
        <w:rPr>
          <w:spacing w:val="-5"/>
          <w:sz w:val="20"/>
        </w:rPr>
        <w:t> </w:t>
      </w:r>
      <w:r>
        <w:rPr>
          <w:sz w:val="20"/>
        </w:rPr>
        <w:t>F43.1,</w:t>
      </w:r>
      <w:r>
        <w:rPr>
          <w:spacing w:val="-6"/>
          <w:sz w:val="20"/>
        </w:rPr>
        <w:t> </w:t>
      </w:r>
      <w:r>
        <w:rPr>
          <w:sz w:val="20"/>
        </w:rPr>
        <w:t>F43.2,</w:t>
      </w:r>
      <w:r>
        <w:rPr>
          <w:spacing w:val="-5"/>
          <w:sz w:val="20"/>
        </w:rPr>
        <w:t> </w:t>
      </w:r>
      <w:r>
        <w:rPr>
          <w:sz w:val="20"/>
        </w:rPr>
        <w:t>F43.8,</w:t>
      </w:r>
      <w:r>
        <w:rPr>
          <w:spacing w:val="-6"/>
          <w:sz w:val="20"/>
        </w:rPr>
        <w:t> </w:t>
      </w:r>
      <w:r>
        <w:rPr>
          <w:spacing w:val="-2"/>
          <w:sz w:val="20"/>
        </w:rPr>
        <w:t>F43.9,</w:t>
      </w:r>
    </w:p>
    <w:p>
      <w:pPr>
        <w:spacing w:before="0"/>
        <w:ind w:left="4720" w:right="0" w:firstLine="0"/>
        <w:jc w:val="left"/>
        <w:rPr>
          <w:sz w:val="20"/>
        </w:rPr>
      </w:pPr>
      <w:r>
        <w:rPr>
          <w:sz w:val="20"/>
        </w:rPr>
        <w:t>F44,</w:t>
      </w:r>
      <w:r>
        <w:rPr>
          <w:spacing w:val="-6"/>
          <w:sz w:val="20"/>
        </w:rPr>
        <w:t> </w:t>
      </w:r>
      <w:r>
        <w:rPr>
          <w:sz w:val="20"/>
        </w:rPr>
        <w:t>F44.0,</w:t>
      </w:r>
      <w:r>
        <w:rPr>
          <w:spacing w:val="-6"/>
          <w:sz w:val="20"/>
        </w:rPr>
        <w:t> </w:t>
      </w:r>
      <w:r>
        <w:rPr>
          <w:sz w:val="20"/>
        </w:rPr>
        <w:t>F44.1,</w:t>
      </w:r>
      <w:r>
        <w:rPr>
          <w:spacing w:val="-5"/>
          <w:sz w:val="20"/>
        </w:rPr>
        <w:t> </w:t>
      </w:r>
      <w:r>
        <w:rPr>
          <w:sz w:val="20"/>
        </w:rPr>
        <w:t>F44.2,</w:t>
      </w:r>
      <w:r>
        <w:rPr>
          <w:spacing w:val="-6"/>
          <w:sz w:val="20"/>
        </w:rPr>
        <w:t> </w:t>
      </w:r>
      <w:r>
        <w:rPr>
          <w:sz w:val="20"/>
        </w:rPr>
        <w:t>F44.3,</w:t>
      </w:r>
      <w:r>
        <w:rPr>
          <w:spacing w:val="-5"/>
          <w:sz w:val="20"/>
        </w:rPr>
        <w:t> </w:t>
      </w:r>
      <w:r>
        <w:rPr>
          <w:sz w:val="20"/>
        </w:rPr>
        <w:t>F44.4,</w:t>
      </w:r>
      <w:r>
        <w:rPr>
          <w:spacing w:val="-6"/>
          <w:sz w:val="20"/>
        </w:rPr>
        <w:t> </w:t>
      </w:r>
      <w:r>
        <w:rPr>
          <w:spacing w:val="-2"/>
          <w:sz w:val="20"/>
        </w:rPr>
        <w:t>F44.5,</w:t>
      </w:r>
    </w:p>
    <w:p>
      <w:pPr>
        <w:spacing w:before="1"/>
        <w:ind w:left="4720" w:right="0" w:firstLine="0"/>
        <w:jc w:val="left"/>
        <w:rPr>
          <w:sz w:val="20"/>
        </w:rPr>
      </w:pPr>
      <w:r>
        <w:rPr>
          <w:sz w:val="20"/>
        </w:rPr>
        <w:t>F44.6,</w:t>
      </w:r>
      <w:r>
        <w:rPr>
          <w:spacing w:val="-6"/>
          <w:sz w:val="20"/>
        </w:rPr>
        <w:t> </w:t>
      </w:r>
      <w:r>
        <w:rPr>
          <w:sz w:val="20"/>
        </w:rPr>
        <w:t>F44.7,</w:t>
      </w:r>
      <w:r>
        <w:rPr>
          <w:spacing w:val="-5"/>
          <w:sz w:val="20"/>
        </w:rPr>
        <w:t> </w:t>
      </w:r>
      <w:r>
        <w:rPr>
          <w:sz w:val="20"/>
        </w:rPr>
        <w:t>F44.8,</w:t>
      </w:r>
      <w:r>
        <w:rPr>
          <w:spacing w:val="-5"/>
          <w:sz w:val="20"/>
        </w:rPr>
        <w:t> </w:t>
      </w:r>
      <w:r>
        <w:rPr>
          <w:sz w:val="20"/>
        </w:rPr>
        <w:t>F44.9,</w:t>
      </w:r>
      <w:r>
        <w:rPr>
          <w:spacing w:val="-7"/>
          <w:sz w:val="20"/>
        </w:rPr>
        <w:t> </w:t>
      </w:r>
      <w:r>
        <w:rPr>
          <w:sz w:val="20"/>
        </w:rPr>
        <w:t>F45,</w:t>
      </w:r>
      <w:r>
        <w:rPr>
          <w:spacing w:val="-5"/>
          <w:sz w:val="20"/>
        </w:rPr>
        <w:t> </w:t>
      </w:r>
      <w:r>
        <w:rPr>
          <w:sz w:val="20"/>
        </w:rPr>
        <w:t>F45.0,</w:t>
      </w:r>
      <w:r>
        <w:rPr>
          <w:spacing w:val="-5"/>
          <w:sz w:val="20"/>
        </w:rPr>
        <w:t> </w:t>
      </w:r>
      <w:r>
        <w:rPr>
          <w:spacing w:val="-2"/>
          <w:sz w:val="20"/>
        </w:rPr>
        <w:t>F45.1,</w:t>
      </w:r>
    </w:p>
    <w:p>
      <w:pPr>
        <w:spacing w:before="0"/>
        <w:ind w:left="4720" w:right="0" w:firstLine="0"/>
        <w:jc w:val="left"/>
        <w:rPr>
          <w:sz w:val="20"/>
        </w:rPr>
      </w:pPr>
      <w:r>
        <w:rPr>
          <w:sz w:val="20"/>
        </w:rPr>
        <w:t>F45.2,</w:t>
      </w:r>
      <w:r>
        <w:rPr>
          <w:spacing w:val="-6"/>
          <w:sz w:val="20"/>
        </w:rPr>
        <w:t> </w:t>
      </w:r>
      <w:r>
        <w:rPr>
          <w:sz w:val="20"/>
        </w:rPr>
        <w:t>F45.3,</w:t>
      </w:r>
      <w:r>
        <w:rPr>
          <w:spacing w:val="-5"/>
          <w:sz w:val="20"/>
        </w:rPr>
        <w:t> </w:t>
      </w:r>
      <w:r>
        <w:rPr>
          <w:sz w:val="20"/>
        </w:rPr>
        <w:t>F45.4,</w:t>
      </w:r>
      <w:r>
        <w:rPr>
          <w:spacing w:val="-5"/>
          <w:sz w:val="20"/>
        </w:rPr>
        <w:t> </w:t>
      </w:r>
      <w:r>
        <w:rPr>
          <w:sz w:val="20"/>
        </w:rPr>
        <w:t>F45.8,</w:t>
      </w:r>
      <w:r>
        <w:rPr>
          <w:spacing w:val="-7"/>
          <w:sz w:val="20"/>
        </w:rPr>
        <w:t> </w:t>
      </w:r>
      <w:r>
        <w:rPr>
          <w:sz w:val="20"/>
        </w:rPr>
        <w:t>F45.9,</w:t>
      </w:r>
      <w:r>
        <w:rPr>
          <w:spacing w:val="-5"/>
          <w:sz w:val="20"/>
        </w:rPr>
        <w:t> </w:t>
      </w:r>
      <w:r>
        <w:rPr>
          <w:sz w:val="20"/>
        </w:rPr>
        <w:t>F48,</w:t>
      </w:r>
      <w:r>
        <w:rPr>
          <w:spacing w:val="-5"/>
          <w:sz w:val="20"/>
        </w:rPr>
        <w:t> </w:t>
      </w:r>
      <w:r>
        <w:rPr>
          <w:spacing w:val="-2"/>
          <w:sz w:val="20"/>
        </w:rPr>
        <w:t>F48.0,</w:t>
      </w:r>
    </w:p>
    <w:p>
      <w:pPr>
        <w:spacing w:before="1"/>
        <w:ind w:left="4720" w:right="0" w:firstLine="0"/>
        <w:jc w:val="left"/>
        <w:rPr>
          <w:sz w:val="20"/>
        </w:rPr>
      </w:pPr>
      <w:r>
        <w:rPr>
          <w:sz w:val="20"/>
        </w:rPr>
        <w:t>F48.1,</w:t>
      </w:r>
      <w:r>
        <w:rPr>
          <w:spacing w:val="-6"/>
          <w:sz w:val="20"/>
        </w:rPr>
        <w:t> </w:t>
      </w:r>
      <w:r>
        <w:rPr>
          <w:sz w:val="20"/>
        </w:rPr>
        <w:t>F48.8,</w:t>
      </w:r>
      <w:r>
        <w:rPr>
          <w:spacing w:val="-6"/>
          <w:sz w:val="20"/>
        </w:rPr>
        <w:t> </w:t>
      </w:r>
      <w:r>
        <w:rPr>
          <w:sz w:val="20"/>
        </w:rPr>
        <w:t>F48.9,</w:t>
      </w:r>
      <w:r>
        <w:rPr>
          <w:spacing w:val="-5"/>
          <w:sz w:val="20"/>
        </w:rPr>
        <w:t> </w:t>
      </w:r>
      <w:r>
        <w:rPr>
          <w:sz w:val="20"/>
        </w:rPr>
        <w:t>F50,</w:t>
      </w:r>
      <w:r>
        <w:rPr>
          <w:spacing w:val="-6"/>
          <w:sz w:val="20"/>
        </w:rPr>
        <w:t> </w:t>
      </w:r>
      <w:r>
        <w:rPr>
          <w:sz w:val="20"/>
        </w:rPr>
        <w:t>F50.0,</w:t>
      </w:r>
      <w:r>
        <w:rPr>
          <w:spacing w:val="-5"/>
          <w:sz w:val="20"/>
        </w:rPr>
        <w:t> </w:t>
      </w:r>
      <w:r>
        <w:rPr>
          <w:sz w:val="20"/>
        </w:rPr>
        <w:t>F50.1,</w:t>
      </w:r>
      <w:r>
        <w:rPr>
          <w:spacing w:val="-6"/>
          <w:sz w:val="20"/>
        </w:rPr>
        <w:t> </w:t>
      </w:r>
      <w:r>
        <w:rPr>
          <w:spacing w:val="-2"/>
          <w:sz w:val="20"/>
        </w:rPr>
        <w:t>F50.2,</w:t>
      </w:r>
    </w:p>
    <w:p>
      <w:pPr>
        <w:spacing w:line="229" w:lineRule="exact" w:before="0"/>
        <w:ind w:left="4720" w:right="0" w:firstLine="0"/>
        <w:jc w:val="left"/>
        <w:rPr>
          <w:sz w:val="20"/>
        </w:rPr>
      </w:pPr>
      <w:r>
        <w:rPr>
          <w:sz w:val="20"/>
        </w:rPr>
        <w:t>F50.3,</w:t>
      </w:r>
      <w:r>
        <w:rPr>
          <w:spacing w:val="-6"/>
          <w:sz w:val="20"/>
        </w:rPr>
        <w:t> </w:t>
      </w:r>
      <w:r>
        <w:rPr>
          <w:sz w:val="20"/>
        </w:rPr>
        <w:t>F50.4,</w:t>
      </w:r>
      <w:r>
        <w:rPr>
          <w:spacing w:val="-5"/>
          <w:sz w:val="20"/>
        </w:rPr>
        <w:t> </w:t>
      </w:r>
      <w:r>
        <w:rPr>
          <w:sz w:val="20"/>
        </w:rPr>
        <w:t>F50.5,</w:t>
      </w:r>
      <w:r>
        <w:rPr>
          <w:spacing w:val="-5"/>
          <w:sz w:val="20"/>
        </w:rPr>
        <w:t> </w:t>
      </w:r>
      <w:r>
        <w:rPr>
          <w:sz w:val="20"/>
        </w:rPr>
        <w:t>F50.8,</w:t>
      </w:r>
      <w:r>
        <w:rPr>
          <w:spacing w:val="-7"/>
          <w:sz w:val="20"/>
        </w:rPr>
        <w:t> </w:t>
      </w:r>
      <w:r>
        <w:rPr>
          <w:sz w:val="20"/>
        </w:rPr>
        <w:t>F50.9,</w:t>
      </w:r>
      <w:r>
        <w:rPr>
          <w:spacing w:val="-5"/>
          <w:sz w:val="20"/>
        </w:rPr>
        <w:t> </w:t>
      </w:r>
      <w:r>
        <w:rPr>
          <w:sz w:val="20"/>
        </w:rPr>
        <w:t>F51,</w:t>
      </w:r>
      <w:r>
        <w:rPr>
          <w:spacing w:val="-5"/>
          <w:sz w:val="20"/>
        </w:rPr>
        <w:t> </w:t>
      </w:r>
      <w:r>
        <w:rPr>
          <w:spacing w:val="-2"/>
          <w:sz w:val="20"/>
        </w:rPr>
        <w:t>F51.0,</w:t>
      </w:r>
    </w:p>
    <w:p>
      <w:pPr>
        <w:spacing w:line="229" w:lineRule="exact" w:before="0"/>
        <w:ind w:left="4645" w:right="0" w:firstLine="0"/>
        <w:jc w:val="both"/>
        <w:rPr>
          <w:sz w:val="20"/>
        </w:rPr>
      </w:pPr>
      <w:r>
        <w:rPr>
          <w:sz w:val="20"/>
        </w:rPr>
        <w:t>F51.1,</w:t>
      </w:r>
      <w:r>
        <w:rPr>
          <w:spacing w:val="-6"/>
          <w:sz w:val="20"/>
        </w:rPr>
        <w:t> </w:t>
      </w:r>
      <w:r>
        <w:rPr>
          <w:sz w:val="20"/>
        </w:rPr>
        <w:t>F51.2,</w:t>
      </w:r>
      <w:r>
        <w:rPr>
          <w:spacing w:val="-5"/>
          <w:sz w:val="20"/>
        </w:rPr>
        <w:t> </w:t>
      </w:r>
      <w:r>
        <w:rPr>
          <w:sz w:val="20"/>
        </w:rPr>
        <w:t>F51.3,</w:t>
      </w:r>
      <w:r>
        <w:rPr>
          <w:spacing w:val="-5"/>
          <w:sz w:val="20"/>
        </w:rPr>
        <w:t> </w:t>
      </w:r>
      <w:r>
        <w:rPr>
          <w:sz w:val="20"/>
        </w:rPr>
        <w:t>F51.4,</w:t>
      </w:r>
      <w:r>
        <w:rPr>
          <w:spacing w:val="-7"/>
          <w:sz w:val="20"/>
        </w:rPr>
        <w:t> </w:t>
      </w:r>
      <w:r>
        <w:rPr>
          <w:sz w:val="20"/>
        </w:rPr>
        <w:t>F51.5,</w:t>
      </w:r>
      <w:r>
        <w:rPr>
          <w:spacing w:val="-5"/>
          <w:sz w:val="20"/>
        </w:rPr>
        <w:t> </w:t>
      </w:r>
      <w:r>
        <w:rPr>
          <w:sz w:val="20"/>
        </w:rPr>
        <w:t>F51.8,</w:t>
      </w:r>
      <w:r>
        <w:rPr>
          <w:spacing w:val="-5"/>
          <w:sz w:val="20"/>
        </w:rPr>
        <w:t> </w:t>
      </w:r>
      <w:r>
        <w:rPr>
          <w:spacing w:val="-2"/>
          <w:sz w:val="20"/>
        </w:rPr>
        <w:t>F51.9,</w:t>
      </w:r>
    </w:p>
    <w:p>
      <w:pPr>
        <w:spacing w:before="1"/>
        <w:ind w:left="4720" w:right="0" w:firstLine="0"/>
        <w:jc w:val="both"/>
        <w:rPr>
          <w:sz w:val="20"/>
        </w:rPr>
      </w:pPr>
      <w:r>
        <w:rPr>
          <w:sz w:val="20"/>
        </w:rPr>
        <w:t>F52,</w:t>
      </w:r>
      <w:r>
        <w:rPr>
          <w:spacing w:val="-6"/>
          <w:sz w:val="20"/>
        </w:rPr>
        <w:t> </w:t>
      </w:r>
      <w:r>
        <w:rPr>
          <w:sz w:val="20"/>
        </w:rPr>
        <w:t>F52.0,</w:t>
      </w:r>
      <w:r>
        <w:rPr>
          <w:spacing w:val="-6"/>
          <w:sz w:val="20"/>
        </w:rPr>
        <w:t> </w:t>
      </w:r>
      <w:r>
        <w:rPr>
          <w:sz w:val="20"/>
        </w:rPr>
        <w:t>F52.1,</w:t>
      </w:r>
      <w:r>
        <w:rPr>
          <w:spacing w:val="-5"/>
          <w:sz w:val="20"/>
        </w:rPr>
        <w:t> </w:t>
      </w:r>
      <w:r>
        <w:rPr>
          <w:sz w:val="20"/>
        </w:rPr>
        <w:t>F52.2,</w:t>
      </w:r>
      <w:r>
        <w:rPr>
          <w:spacing w:val="-6"/>
          <w:sz w:val="20"/>
        </w:rPr>
        <w:t> </w:t>
      </w:r>
      <w:r>
        <w:rPr>
          <w:sz w:val="20"/>
        </w:rPr>
        <w:t>F52.3,</w:t>
      </w:r>
      <w:r>
        <w:rPr>
          <w:spacing w:val="-5"/>
          <w:sz w:val="20"/>
        </w:rPr>
        <w:t> </w:t>
      </w:r>
      <w:r>
        <w:rPr>
          <w:sz w:val="20"/>
        </w:rPr>
        <w:t>F52.4,</w:t>
      </w:r>
      <w:r>
        <w:rPr>
          <w:spacing w:val="-6"/>
          <w:sz w:val="20"/>
        </w:rPr>
        <w:t> </w:t>
      </w:r>
      <w:r>
        <w:rPr>
          <w:spacing w:val="-2"/>
          <w:sz w:val="20"/>
        </w:rPr>
        <w:t>F52.5,</w:t>
      </w:r>
    </w:p>
    <w:p>
      <w:pPr>
        <w:spacing w:before="0"/>
        <w:ind w:left="4645" w:right="7639" w:firstLine="74"/>
        <w:jc w:val="both"/>
        <w:rPr>
          <w:sz w:val="20"/>
        </w:rPr>
      </w:pPr>
      <w:r>
        <w:rPr>
          <w:sz w:val="20"/>
        </w:rPr>
        <w:t>F52.6, F52.7, F52.8, F52.9, F53, F53.0, F53.1, F53.8, F53.9, F54, F55,</w:t>
      </w:r>
      <w:r>
        <w:rPr>
          <w:spacing w:val="-1"/>
          <w:sz w:val="20"/>
        </w:rPr>
        <w:t> </w:t>
      </w:r>
      <w:r>
        <w:rPr>
          <w:sz w:val="20"/>
        </w:rPr>
        <w:t>F59,</w:t>
      </w:r>
      <w:r>
        <w:rPr>
          <w:spacing w:val="-1"/>
          <w:sz w:val="20"/>
        </w:rPr>
        <w:t> </w:t>
      </w:r>
      <w:r>
        <w:rPr>
          <w:sz w:val="20"/>
        </w:rPr>
        <w:t>F60, F60.0, F60.1, F60.2,</w:t>
      </w:r>
      <w:r>
        <w:rPr>
          <w:spacing w:val="-6"/>
          <w:sz w:val="20"/>
        </w:rPr>
        <w:t> </w:t>
      </w:r>
      <w:r>
        <w:rPr>
          <w:sz w:val="20"/>
        </w:rPr>
        <w:t>F60.3,</w:t>
      </w:r>
      <w:r>
        <w:rPr>
          <w:spacing w:val="-5"/>
          <w:sz w:val="20"/>
        </w:rPr>
        <w:t> </w:t>
      </w:r>
      <w:r>
        <w:rPr>
          <w:sz w:val="20"/>
        </w:rPr>
        <w:t>F60.4,</w:t>
      </w:r>
      <w:r>
        <w:rPr>
          <w:spacing w:val="-5"/>
          <w:sz w:val="20"/>
        </w:rPr>
        <w:t> </w:t>
      </w:r>
      <w:r>
        <w:rPr>
          <w:sz w:val="20"/>
        </w:rPr>
        <w:t>F60.5,</w:t>
      </w:r>
      <w:r>
        <w:rPr>
          <w:spacing w:val="-7"/>
          <w:sz w:val="20"/>
        </w:rPr>
        <w:t> </w:t>
      </w:r>
      <w:r>
        <w:rPr>
          <w:sz w:val="20"/>
        </w:rPr>
        <w:t>F60.6,</w:t>
      </w:r>
      <w:r>
        <w:rPr>
          <w:spacing w:val="-5"/>
          <w:sz w:val="20"/>
        </w:rPr>
        <w:t> </w:t>
      </w:r>
      <w:r>
        <w:rPr>
          <w:sz w:val="20"/>
        </w:rPr>
        <w:t>F60.7,</w:t>
      </w:r>
      <w:r>
        <w:rPr>
          <w:spacing w:val="-5"/>
          <w:sz w:val="20"/>
        </w:rPr>
        <w:t> </w:t>
      </w:r>
      <w:r>
        <w:rPr>
          <w:spacing w:val="-2"/>
          <w:sz w:val="20"/>
        </w:rPr>
        <w:t>F60.8,</w:t>
      </w:r>
    </w:p>
    <w:p>
      <w:pPr>
        <w:spacing w:before="1"/>
        <w:ind w:left="4590" w:right="0" w:firstLine="0"/>
        <w:jc w:val="both"/>
        <w:rPr>
          <w:sz w:val="20"/>
        </w:rPr>
      </w:pPr>
      <w:r>
        <w:rPr>
          <w:sz w:val="20"/>
        </w:rPr>
        <w:t>F60.9,</w:t>
      </w:r>
      <w:r>
        <w:rPr>
          <w:spacing w:val="-5"/>
          <w:sz w:val="20"/>
        </w:rPr>
        <w:t> </w:t>
      </w:r>
      <w:r>
        <w:rPr>
          <w:sz w:val="20"/>
        </w:rPr>
        <w:t>F61,</w:t>
      </w:r>
      <w:r>
        <w:rPr>
          <w:spacing w:val="-4"/>
          <w:sz w:val="20"/>
        </w:rPr>
        <w:t> </w:t>
      </w:r>
      <w:r>
        <w:rPr>
          <w:sz w:val="20"/>
        </w:rPr>
        <w:t>F62,</w:t>
      </w:r>
      <w:r>
        <w:rPr>
          <w:spacing w:val="-5"/>
          <w:sz w:val="20"/>
        </w:rPr>
        <w:t> </w:t>
      </w:r>
      <w:r>
        <w:rPr>
          <w:sz w:val="20"/>
        </w:rPr>
        <w:t>F62.0,</w:t>
      </w:r>
      <w:r>
        <w:rPr>
          <w:spacing w:val="-6"/>
          <w:sz w:val="20"/>
        </w:rPr>
        <w:t> </w:t>
      </w:r>
      <w:r>
        <w:rPr>
          <w:sz w:val="20"/>
        </w:rPr>
        <w:t>F62.1,</w:t>
      </w:r>
      <w:r>
        <w:rPr>
          <w:spacing w:val="-6"/>
          <w:sz w:val="20"/>
        </w:rPr>
        <w:t> </w:t>
      </w:r>
      <w:r>
        <w:rPr>
          <w:sz w:val="20"/>
        </w:rPr>
        <w:t>F62.8,</w:t>
      </w:r>
      <w:r>
        <w:rPr>
          <w:spacing w:val="-5"/>
          <w:sz w:val="20"/>
        </w:rPr>
        <w:t> </w:t>
      </w:r>
      <w:r>
        <w:rPr>
          <w:sz w:val="20"/>
        </w:rPr>
        <w:t>F62.9,</w:t>
      </w:r>
      <w:r>
        <w:rPr>
          <w:spacing w:val="-4"/>
          <w:sz w:val="20"/>
        </w:rPr>
        <w:t> F63,</w:t>
      </w:r>
    </w:p>
    <w:p>
      <w:pPr>
        <w:spacing w:after="0"/>
        <w:jc w:val="both"/>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8"/>
        <w:gridCol w:w="4536"/>
        <w:gridCol w:w="3136"/>
        <w:gridCol w:w="2568"/>
        <w:gridCol w:w="91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18" w:type="dxa"/>
            <w:vMerge w:val="restart"/>
          </w:tcPr>
          <w:p>
            <w:pPr>
              <w:pStyle w:val="TableParagraph"/>
              <w:rPr>
                <w:sz w:val="18"/>
              </w:rPr>
            </w:pPr>
          </w:p>
        </w:tc>
        <w:tc>
          <w:tcPr>
            <w:tcW w:w="4536" w:type="dxa"/>
          </w:tcPr>
          <w:p>
            <w:pPr>
              <w:pStyle w:val="TableParagraph"/>
              <w:spacing w:line="205" w:lineRule="exact"/>
              <w:ind w:left="336"/>
              <w:rPr>
                <w:sz w:val="20"/>
              </w:rPr>
            </w:pPr>
            <w:r>
              <w:rPr>
                <w:sz w:val="20"/>
              </w:rPr>
              <w:t>F63.0,</w:t>
            </w:r>
            <w:r>
              <w:rPr>
                <w:spacing w:val="-6"/>
                <w:sz w:val="20"/>
              </w:rPr>
              <w:t> </w:t>
            </w:r>
            <w:r>
              <w:rPr>
                <w:sz w:val="20"/>
              </w:rPr>
              <w:t>F63.1,</w:t>
            </w:r>
            <w:r>
              <w:rPr>
                <w:spacing w:val="-5"/>
                <w:sz w:val="20"/>
              </w:rPr>
              <w:t> </w:t>
            </w:r>
            <w:r>
              <w:rPr>
                <w:sz w:val="20"/>
              </w:rPr>
              <w:t>F63.2,</w:t>
            </w:r>
            <w:r>
              <w:rPr>
                <w:spacing w:val="-5"/>
                <w:sz w:val="20"/>
              </w:rPr>
              <w:t> </w:t>
            </w:r>
            <w:r>
              <w:rPr>
                <w:sz w:val="20"/>
              </w:rPr>
              <w:t>F63.3,</w:t>
            </w:r>
            <w:r>
              <w:rPr>
                <w:spacing w:val="-7"/>
                <w:sz w:val="20"/>
              </w:rPr>
              <w:t> </w:t>
            </w:r>
            <w:r>
              <w:rPr>
                <w:sz w:val="20"/>
              </w:rPr>
              <w:t>F63.8,</w:t>
            </w:r>
            <w:r>
              <w:rPr>
                <w:spacing w:val="-5"/>
                <w:sz w:val="20"/>
              </w:rPr>
              <w:t> </w:t>
            </w:r>
            <w:r>
              <w:rPr>
                <w:sz w:val="20"/>
              </w:rPr>
              <w:t>F63.9,</w:t>
            </w:r>
            <w:r>
              <w:rPr>
                <w:spacing w:val="-5"/>
                <w:sz w:val="20"/>
              </w:rPr>
              <w:t> </w:t>
            </w:r>
            <w:r>
              <w:rPr>
                <w:spacing w:val="-4"/>
                <w:sz w:val="20"/>
              </w:rPr>
              <w:t>F64,</w:t>
            </w:r>
          </w:p>
        </w:tc>
        <w:tc>
          <w:tcPr>
            <w:tcW w:w="3136" w:type="dxa"/>
            <w:vMerge w:val="restart"/>
          </w:tcPr>
          <w:p>
            <w:pPr>
              <w:pStyle w:val="TableParagraph"/>
              <w:rPr>
                <w:sz w:val="18"/>
              </w:rPr>
            </w:pPr>
          </w:p>
        </w:tc>
        <w:tc>
          <w:tcPr>
            <w:tcW w:w="2568" w:type="dxa"/>
            <w:vMerge w:val="restart"/>
          </w:tcPr>
          <w:p>
            <w:pPr>
              <w:pStyle w:val="TableParagraph"/>
              <w:rPr>
                <w:sz w:val="18"/>
              </w:rPr>
            </w:pPr>
          </w:p>
        </w:tc>
        <w:tc>
          <w:tcPr>
            <w:tcW w:w="91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336"/>
              <w:rPr>
                <w:sz w:val="20"/>
              </w:rPr>
            </w:pPr>
            <w:r>
              <w:rPr>
                <w:sz w:val="20"/>
              </w:rPr>
              <w:t>F64.0,</w:t>
            </w:r>
            <w:r>
              <w:rPr>
                <w:spacing w:val="-5"/>
                <w:sz w:val="20"/>
              </w:rPr>
              <w:t> </w:t>
            </w:r>
            <w:r>
              <w:rPr>
                <w:sz w:val="20"/>
              </w:rPr>
              <w:t>F64.1,</w:t>
            </w:r>
            <w:r>
              <w:rPr>
                <w:spacing w:val="-4"/>
                <w:sz w:val="20"/>
              </w:rPr>
              <w:t> </w:t>
            </w:r>
            <w:r>
              <w:rPr>
                <w:sz w:val="20"/>
              </w:rPr>
              <w:t>F64.2,</w:t>
            </w:r>
            <w:r>
              <w:rPr>
                <w:spacing w:val="-5"/>
                <w:sz w:val="20"/>
              </w:rPr>
              <w:t> </w:t>
            </w:r>
            <w:r>
              <w:rPr>
                <w:sz w:val="20"/>
              </w:rPr>
              <w:t>F64.8,</w:t>
            </w:r>
            <w:r>
              <w:rPr>
                <w:spacing w:val="-6"/>
                <w:sz w:val="20"/>
              </w:rPr>
              <w:t> </w:t>
            </w:r>
            <w:r>
              <w:rPr>
                <w:sz w:val="20"/>
              </w:rPr>
              <w:t>F64.9,</w:t>
            </w:r>
            <w:r>
              <w:rPr>
                <w:spacing w:val="-4"/>
                <w:sz w:val="20"/>
              </w:rPr>
              <w:t> </w:t>
            </w:r>
            <w:r>
              <w:rPr>
                <w:sz w:val="20"/>
              </w:rPr>
              <w:t>F65,</w:t>
            </w:r>
            <w:r>
              <w:rPr>
                <w:spacing w:val="-5"/>
                <w:sz w:val="20"/>
              </w:rPr>
              <w:t> </w:t>
            </w:r>
            <w:r>
              <w:rPr>
                <w:spacing w:val="-2"/>
                <w:sz w:val="20"/>
              </w:rPr>
              <w:t>F65.0,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right="398"/>
              <w:jc w:val="right"/>
              <w:rPr>
                <w:sz w:val="20"/>
              </w:rPr>
            </w:pPr>
            <w:r>
              <w:rPr>
                <w:sz w:val="20"/>
              </w:rPr>
              <w:t>F65.1,</w:t>
            </w:r>
            <w:r>
              <w:rPr>
                <w:spacing w:val="-6"/>
                <w:sz w:val="20"/>
              </w:rPr>
              <w:t> </w:t>
            </w:r>
            <w:r>
              <w:rPr>
                <w:sz w:val="20"/>
              </w:rPr>
              <w:t>F65.2,</w:t>
            </w:r>
            <w:r>
              <w:rPr>
                <w:spacing w:val="-5"/>
                <w:sz w:val="20"/>
              </w:rPr>
              <w:t> </w:t>
            </w:r>
            <w:r>
              <w:rPr>
                <w:sz w:val="20"/>
              </w:rPr>
              <w:t>F65.3,</w:t>
            </w:r>
            <w:r>
              <w:rPr>
                <w:spacing w:val="-5"/>
                <w:sz w:val="20"/>
              </w:rPr>
              <w:t> </w:t>
            </w:r>
            <w:r>
              <w:rPr>
                <w:sz w:val="20"/>
              </w:rPr>
              <w:t>F65.4,</w:t>
            </w:r>
            <w:r>
              <w:rPr>
                <w:spacing w:val="-7"/>
                <w:sz w:val="20"/>
              </w:rPr>
              <w:t> </w:t>
            </w:r>
            <w:r>
              <w:rPr>
                <w:sz w:val="20"/>
              </w:rPr>
              <w:t>F65.5,</w:t>
            </w:r>
            <w:r>
              <w:rPr>
                <w:spacing w:val="-5"/>
                <w:sz w:val="20"/>
              </w:rPr>
              <w:t> </w:t>
            </w:r>
            <w:r>
              <w:rPr>
                <w:sz w:val="20"/>
              </w:rPr>
              <w:t>F65.6,</w:t>
            </w:r>
            <w:r>
              <w:rPr>
                <w:spacing w:val="-5"/>
                <w:sz w:val="20"/>
              </w:rPr>
              <w:t> </w:t>
            </w:r>
            <w:r>
              <w:rPr>
                <w:spacing w:val="-2"/>
                <w:sz w:val="20"/>
              </w:rPr>
              <w:t>F65.8,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F65.9,</w:t>
            </w:r>
            <w:r>
              <w:rPr>
                <w:spacing w:val="-6"/>
                <w:sz w:val="20"/>
              </w:rPr>
              <w:t> </w:t>
            </w:r>
            <w:r>
              <w:rPr>
                <w:sz w:val="20"/>
              </w:rPr>
              <w:t>F66,</w:t>
            </w:r>
            <w:r>
              <w:rPr>
                <w:spacing w:val="-6"/>
                <w:sz w:val="20"/>
              </w:rPr>
              <w:t> </w:t>
            </w:r>
            <w:r>
              <w:rPr>
                <w:sz w:val="20"/>
              </w:rPr>
              <w:t>F66.0,</w:t>
            </w:r>
            <w:r>
              <w:rPr>
                <w:spacing w:val="-5"/>
                <w:sz w:val="20"/>
              </w:rPr>
              <w:t> </w:t>
            </w:r>
            <w:r>
              <w:rPr>
                <w:sz w:val="20"/>
              </w:rPr>
              <w:t>F66.1,</w:t>
            </w:r>
            <w:r>
              <w:rPr>
                <w:spacing w:val="-6"/>
                <w:sz w:val="20"/>
              </w:rPr>
              <w:t> </w:t>
            </w:r>
            <w:r>
              <w:rPr>
                <w:sz w:val="20"/>
              </w:rPr>
              <w:t>F66.2,</w:t>
            </w:r>
            <w:r>
              <w:rPr>
                <w:spacing w:val="-5"/>
                <w:sz w:val="20"/>
              </w:rPr>
              <w:t> </w:t>
            </w:r>
            <w:r>
              <w:rPr>
                <w:sz w:val="20"/>
              </w:rPr>
              <w:t>F66.8,</w:t>
            </w:r>
            <w:r>
              <w:rPr>
                <w:spacing w:val="-6"/>
                <w:sz w:val="20"/>
              </w:rPr>
              <w:t> </w:t>
            </w:r>
            <w:r>
              <w:rPr>
                <w:spacing w:val="-2"/>
                <w:sz w:val="20"/>
              </w:rPr>
              <w:t>F66.9,</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43"/>
              <w:jc w:val="right"/>
              <w:rPr>
                <w:sz w:val="20"/>
              </w:rPr>
            </w:pPr>
            <w:r>
              <w:rPr>
                <w:sz w:val="20"/>
              </w:rPr>
              <w:t>F68,</w:t>
            </w:r>
            <w:r>
              <w:rPr>
                <w:spacing w:val="-5"/>
                <w:sz w:val="20"/>
              </w:rPr>
              <w:t> </w:t>
            </w:r>
            <w:r>
              <w:rPr>
                <w:sz w:val="20"/>
              </w:rPr>
              <w:t>F68.0,</w:t>
            </w:r>
            <w:r>
              <w:rPr>
                <w:spacing w:val="-5"/>
                <w:sz w:val="20"/>
              </w:rPr>
              <w:t> </w:t>
            </w:r>
            <w:r>
              <w:rPr>
                <w:sz w:val="20"/>
              </w:rPr>
              <w:t>F68.1,</w:t>
            </w:r>
            <w:r>
              <w:rPr>
                <w:spacing w:val="-4"/>
                <w:sz w:val="20"/>
              </w:rPr>
              <w:t> </w:t>
            </w:r>
            <w:r>
              <w:rPr>
                <w:sz w:val="20"/>
              </w:rPr>
              <w:t>F68.8,</w:t>
            </w:r>
            <w:r>
              <w:rPr>
                <w:spacing w:val="-5"/>
                <w:sz w:val="20"/>
              </w:rPr>
              <w:t> </w:t>
            </w:r>
            <w:r>
              <w:rPr>
                <w:sz w:val="20"/>
              </w:rPr>
              <w:t>F69,</w:t>
            </w:r>
            <w:r>
              <w:rPr>
                <w:spacing w:val="-6"/>
                <w:sz w:val="20"/>
              </w:rPr>
              <w:t> </w:t>
            </w:r>
            <w:r>
              <w:rPr>
                <w:sz w:val="20"/>
              </w:rPr>
              <w:t>F70,</w:t>
            </w:r>
            <w:r>
              <w:rPr>
                <w:spacing w:val="-5"/>
                <w:sz w:val="20"/>
              </w:rPr>
              <w:t> </w:t>
            </w:r>
            <w:r>
              <w:rPr>
                <w:sz w:val="20"/>
              </w:rPr>
              <w:t>F70.0,</w:t>
            </w:r>
            <w:r>
              <w:rPr>
                <w:spacing w:val="-5"/>
                <w:sz w:val="20"/>
              </w:rPr>
              <w:t> </w:t>
            </w:r>
            <w:r>
              <w:rPr>
                <w:spacing w:val="-2"/>
                <w:sz w:val="20"/>
              </w:rPr>
              <w:t>F70.1,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F70.8,</w:t>
            </w:r>
            <w:r>
              <w:rPr>
                <w:spacing w:val="-6"/>
                <w:sz w:val="20"/>
              </w:rPr>
              <w:t> </w:t>
            </w:r>
            <w:r>
              <w:rPr>
                <w:sz w:val="20"/>
              </w:rPr>
              <w:t>F70.9,</w:t>
            </w:r>
            <w:r>
              <w:rPr>
                <w:spacing w:val="-6"/>
                <w:sz w:val="20"/>
              </w:rPr>
              <w:t> </w:t>
            </w:r>
            <w:r>
              <w:rPr>
                <w:sz w:val="20"/>
              </w:rPr>
              <w:t>F71,</w:t>
            </w:r>
            <w:r>
              <w:rPr>
                <w:spacing w:val="-5"/>
                <w:sz w:val="20"/>
              </w:rPr>
              <w:t> </w:t>
            </w:r>
            <w:r>
              <w:rPr>
                <w:sz w:val="20"/>
              </w:rPr>
              <w:t>F71.0,</w:t>
            </w:r>
            <w:r>
              <w:rPr>
                <w:spacing w:val="-6"/>
                <w:sz w:val="20"/>
              </w:rPr>
              <w:t> </w:t>
            </w:r>
            <w:r>
              <w:rPr>
                <w:sz w:val="20"/>
              </w:rPr>
              <w:t>F71.1,</w:t>
            </w:r>
            <w:r>
              <w:rPr>
                <w:spacing w:val="-5"/>
                <w:sz w:val="20"/>
              </w:rPr>
              <w:t> </w:t>
            </w:r>
            <w:r>
              <w:rPr>
                <w:sz w:val="20"/>
              </w:rPr>
              <w:t>F71.8,</w:t>
            </w:r>
            <w:r>
              <w:rPr>
                <w:spacing w:val="-6"/>
                <w:sz w:val="20"/>
              </w:rPr>
              <w:t> </w:t>
            </w:r>
            <w:r>
              <w:rPr>
                <w:spacing w:val="-2"/>
                <w:sz w:val="20"/>
              </w:rPr>
              <w:t>F71.9,</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1" w:lineRule="exact"/>
              <w:ind w:left="411"/>
              <w:rPr>
                <w:sz w:val="20"/>
              </w:rPr>
            </w:pPr>
            <w:r>
              <w:rPr>
                <w:sz w:val="20"/>
              </w:rPr>
              <w:t>F72,</w:t>
            </w:r>
            <w:r>
              <w:rPr>
                <w:spacing w:val="-5"/>
                <w:sz w:val="20"/>
              </w:rPr>
              <w:t> </w:t>
            </w:r>
            <w:r>
              <w:rPr>
                <w:sz w:val="20"/>
              </w:rPr>
              <w:t>F72.0,</w:t>
            </w:r>
            <w:r>
              <w:rPr>
                <w:spacing w:val="-5"/>
                <w:sz w:val="20"/>
              </w:rPr>
              <w:t> </w:t>
            </w:r>
            <w:r>
              <w:rPr>
                <w:sz w:val="20"/>
              </w:rPr>
              <w:t>F72.1,</w:t>
            </w:r>
            <w:r>
              <w:rPr>
                <w:spacing w:val="-5"/>
                <w:sz w:val="20"/>
              </w:rPr>
              <w:t> </w:t>
            </w:r>
            <w:r>
              <w:rPr>
                <w:sz w:val="20"/>
              </w:rPr>
              <w:t>F72.8,</w:t>
            </w:r>
            <w:r>
              <w:rPr>
                <w:spacing w:val="-5"/>
                <w:sz w:val="20"/>
              </w:rPr>
              <w:t> </w:t>
            </w:r>
            <w:r>
              <w:rPr>
                <w:sz w:val="20"/>
              </w:rPr>
              <w:t>F72.9,</w:t>
            </w:r>
            <w:r>
              <w:rPr>
                <w:spacing w:val="-5"/>
                <w:sz w:val="20"/>
              </w:rPr>
              <w:t> </w:t>
            </w:r>
            <w:r>
              <w:rPr>
                <w:sz w:val="20"/>
              </w:rPr>
              <w:t>F73,</w:t>
            </w:r>
            <w:r>
              <w:rPr>
                <w:spacing w:val="-5"/>
                <w:sz w:val="20"/>
              </w:rPr>
              <w:t> </w:t>
            </w:r>
            <w:r>
              <w:rPr>
                <w:spacing w:val="-2"/>
                <w:sz w:val="20"/>
              </w:rPr>
              <w:t>F73.0,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F73.1,</w:t>
            </w:r>
            <w:r>
              <w:rPr>
                <w:spacing w:val="-6"/>
                <w:sz w:val="20"/>
              </w:rPr>
              <w:t> </w:t>
            </w:r>
            <w:r>
              <w:rPr>
                <w:sz w:val="20"/>
              </w:rPr>
              <w:t>F73.8,</w:t>
            </w:r>
            <w:r>
              <w:rPr>
                <w:spacing w:val="-6"/>
                <w:sz w:val="20"/>
              </w:rPr>
              <w:t> </w:t>
            </w:r>
            <w:r>
              <w:rPr>
                <w:sz w:val="20"/>
              </w:rPr>
              <w:t>F73.9,</w:t>
            </w:r>
            <w:r>
              <w:rPr>
                <w:spacing w:val="-5"/>
                <w:sz w:val="20"/>
              </w:rPr>
              <w:t> </w:t>
            </w:r>
            <w:r>
              <w:rPr>
                <w:sz w:val="20"/>
              </w:rPr>
              <w:t>F78,</w:t>
            </w:r>
            <w:r>
              <w:rPr>
                <w:spacing w:val="-6"/>
                <w:sz w:val="20"/>
              </w:rPr>
              <w:t> </w:t>
            </w:r>
            <w:r>
              <w:rPr>
                <w:sz w:val="20"/>
              </w:rPr>
              <w:t>F78.0,</w:t>
            </w:r>
            <w:r>
              <w:rPr>
                <w:spacing w:val="-5"/>
                <w:sz w:val="20"/>
              </w:rPr>
              <w:t> </w:t>
            </w:r>
            <w:r>
              <w:rPr>
                <w:sz w:val="20"/>
              </w:rPr>
              <w:t>F78.1,</w:t>
            </w:r>
            <w:r>
              <w:rPr>
                <w:spacing w:val="-6"/>
                <w:sz w:val="20"/>
              </w:rPr>
              <w:t> </w:t>
            </w:r>
            <w:r>
              <w:rPr>
                <w:spacing w:val="-2"/>
                <w:sz w:val="20"/>
              </w:rPr>
              <w:t>F78.8,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411"/>
              <w:rPr>
                <w:sz w:val="20"/>
              </w:rPr>
            </w:pPr>
            <w:r>
              <w:rPr>
                <w:sz w:val="20"/>
              </w:rPr>
              <w:t>F78.9,</w:t>
            </w:r>
            <w:r>
              <w:rPr>
                <w:spacing w:val="-6"/>
                <w:sz w:val="20"/>
              </w:rPr>
              <w:t> </w:t>
            </w:r>
            <w:r>
              <w:rPr>
                <w:sz w:val="20"/>
              </w:rPr>
              <w:t>F79,</w:t>
            </w:r>
            <w:r>
              <w:rPr>
                <w:spacing w:val="-6"/>
                <w:sz w:val="20"/>
              </w:rPr>
              <w:t> </w:t>
            </w:r>
            <w:r>
              <w:rPr>
                <w:sz w:val="20"/>
              </w:rPr>
              <w:t>F79.0,</w:t>
            </w:r>
            <w:r>
              <w:rPr>
                <w:spacing w:val="-5"/>
                <w:sz w:val="20"/>
              </w:rPr>
              <w:t> </w:t>
            </w:r>
            <w:r>
              <w:rPr>
                <w:sz w:val="20"/>
              </w:rPr>
              <w:t>F79.1,</w:t>
            </w:r>
            <w:r>
              <w:rPr>
                <w:spacing w:val="-6"/>
                <w:sz w:val="20"/>
              </w:rPr>
              <w:t> </w:t>
            </w:r>
            <w:r>
              <w:rPr>
                <w:sz w:val="20"/>
              </w:rPr>
              <w:t>F79.8,</w:t>
            </w:r>
            <w:r>
              <w:rPr>
                <w:spacing w:val="-5"/>
                <w:sz w:val="20"/>
              </w:rPr>
              <w:t> </w:t>
            </w:r>
            <w:r>
              <w:rPr>
                <w:sz w:val="20"/>
              </w:rPr>
              <w:t>F79.9,</w:t>
            </w:r>
            <w:r>
              <w:rPr>
                <w:spacing w:val="-6"/>
                <w:sz w:val="20"/>
              </w:rPr>
              <w:t> </w:t>
            </w:r>
            <w:r>
              <w:rPr>
                <w:spacing w:val="-4"/>
                <w:sz w:val="20"/>
              </w:rPr>
              <w:t>F80,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F80.0,</w:t>
            </w:r>
            <w:r>
              <w:rPr>
                <w:spacing w:val="-6"/>
                <w:sz w:val="20"/>
              </w:rPr>
              <w:t> </w:t>
            </w:r>
            <w:r>
              <w:rPr>
                <w:sz w:val="20"/>
              </w:rPr>
              <w:t>F80.1,</w:t>
            </w:r>
            <w:r>
              <w:rPr>
                <w:spacing w:val="-5"/>
                <w:sz w:val="20"/>
              </w:rPr>
              <w:t> </w:t>
            </w:r>
            <w:r>
              <w:rPr>
                <w:sz w:val="20"/>
              </w:rPr>
              <w:t>F80.2,</w:t>
            </w:r>
            <w:r>
              <w:rPr>
                <w:spacing w:val="-5"/>
                <w:sz w:val="20"/>
              </w:rPr>
              <w:t> </w:t>
            </w:r>
            <w:r>
              <w:rPr>
                <w:sz w:val="20"/>
              </w:rPr>
              <w:t>F80.3,</w:t>
            </w:r>
            <w:r>
              <w:rPr>
                <w:spacing w:val="-7"/>
                <w:sz w:val="20"/>
              </w:rPr>
              <w:t> </w:t>
            </w:r>
            <w:r>
              <w:rPr>
                <w:sz w:val="20"/>
              </w:rPr>
              <w:t>F80.8,</w:t>
            </w:r>
            <w:r>
              <w:rPr>
                <w:spacing w:val="-5"/>
                <w:sz w:val="20"/>
              </w:rPr>
              <w:t> </w:t>
            </w:r>
            <w:r>
              <w:rPr>
                <w:sz w:val="20"/>
              </w:rPr>
              <w:t>F80.9,</w:t>
            </w:r>
            <w:r>
              <w:rPr>
                <w:spacing w:val="-5"/>
                <w:sz w:val="20"/>
              </w:rPr>
              <w:t> </w:t>
            </w:r>
            <w:r>
              <w:rPr>
                <w:spacing w:val="-4"/>
                <w:sz w:val="20"/>
              </w:rPr>
              <w:t>F81,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F81.0,</w:t>
            </w:r>
            <w:r>
              <w:rPr>
                <w:spacing w:val="-6"/>
                <w:sz w:val="20"/>
              </w:rPr>
              <w:t> </w:t>
            </w:r>
            <w:r>
              <w:rPr>
                <w:sz w:val="20"/>
              </w:rPr>
              <w:t>F81.1,</w:t>
            </w:r>
            <w:r>
              <w:rPr>
                <w:spacing w:val="-5"/>
                <w:sz w:val="20"/>
              </w:rPr>
              <w:t> </w:t>
            </w:r>
            <w:r>
              <w:rPr>
                <w:sz w:val="20"/>
              </w:rPr>
              <w:t>F81.2,</w:t>
            </w:r>
            <w:r>
              <w:rPr>
                <w:spacing w:val="-5"/>
                <w:sz w:val="20"/>
              </w:rPr>
              <w:t> </w:t>
            </w:r>
            <w:r>
              <w:rPr>
                <w:sz w:val="20"/>
              </w:rPr>
              <w:t>F81.3,</w:t>
            </w:r>
            <w:r>
              <w:rPr>
                <w:spacing w:val="-7"/>
                <w:sz w:val="20"/>
              </w:rPr>
              <w:t> </w:t>
            </w:r>
            <w:r>
              <w:rPr>
                <w:sz w:val="20"/>
              </w:rPr>
              <w:t>F81.8,</w:t>
            </w:r>
            <w:r>
              <w:rPr>
                <w:spacing w:val="-5"/>
                <w:sz w:val="20"/>
              </w:rPr>
              <w:t> </w:t>
            </w:r>
            <w:r>
              <w:rPr>
                <w:sz w:val="20"/>
              </w:rPr>
              <w:t>F81.9,</w:t>
            </w:r>
            <w:r>
              <w:rPr>
                <w:spacing w:val="-5"/>
                <w:sz w:val="20"/>
              </w:rPr>
              <w:t> </w:t>
            </w:r>
            <w:r>
              <w:rPr>
                <w:spacing w:val="-4"/>
                <w:sz w:val="20"/>
              </w:rPr>
              <w:t>F82,</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411"/>
              <w:rPr>
                <w:sz w:val="20"/>
              </w:rPr>
            </w:pPr>
            <w:r>
              <w:rPr>
                <w:sz w:val="20"/>
              </w:rPr>
              <w:t>F83,</w:t>
            </w:r>
            <w:r>
              <w:rPr>
                <w:spacing w:val="-5"/>
                <w:sz w:val="20"/>
              </w:rPr>
              <w:t> </w:t>
            </w:r>
            <w:r>
              <w:rPr>
                <w:sz w:val="20"/>
              </w:rPr>
              <w:t>F84,</w:t>
            </w:r>
            <w:r>
              <w:rPr>
                <w:spacing w:val="-4"/>
                <w:sz w:val="20"/>
              </w:rPr>
              <w:t> </w:t>
            </w:r>
            <w:r>
              <w:rPr>
                <w:sz w:val="20"/>
              </w:rPr>
              <w:t>F84.0,</w:t>
            </w:r>
            <w:r>
              <w:rPr>
                <w:spacing w:val="-4"/>
                <w:sz w:val="20"/>
              </w:rPr>
              <w:t> </w:t>
            </w:r>
            <w:r>
              <w:rPr>
                <w:sz w:val="20"/>
              </w:rPr>
              <w:t>F84.1,</w:t>
            </w:r>
            <w:r>
              <w:rPr>
                <w:spacing w:val="-6"/>
                <w:sz w:val="20"/>
              </w:rPr>
              <w:t> </w:t>
            </w:r>
            <w:r>
              <w:rPr>
                <w:sz w:val="20"/>
              </w:rPr>
              <w:t>F84.2,</w:t>
            </w:r>
            <w:r>
              <w:rPr>
                <w:spacing w:val="-6"/>
                <w:sz w:val="20"/>
              </w:rPr>
              <w:t> </w:t>
            </w:r>
            <w:r>
              <w:rPr>
                <w:sz w:val="20"/>
              </w:rPr>
              <w:t>F84.3,</w:t>
            </w:r>
            <w:r>
              <w:rPr>
                <w:spacing w:val="-4"/>
                <w:sz w:val="20"/>
              </w:rPr>
              <w:t> </w:t>
            </w:r>
            <w:r>
              <w:rPr>
                <w:spacing w:val="-2"/>
                <w:sz w:val="20"/>
              </w:rPr>
              <w:t>F84.4,</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39"/>
              <w:jc w:val="right"/>
              <w:rPr>
                <w:sz w:val="20"/>
              </w:rPr>
            </w:pPr>
            <w:r>
              <w:rPr>
                <w:sz w:val="20"/>
              </w:rPr>
              <w:t>F84.5,</w:t>
            </w:r>
            <w:r>
              <w:rPr>
                <w:spacing w:val="-5"/>
                <w:sz w:val="20"/>
              </w:rPr>
              <w:t> </w:t>
            </w:r>
            <w:r>
              <w:rPr>
                <w:sz w:val="20"/>
              </w:rPr>
              <w:t>F84.8,</w:t>
            </w:r>
            <w:r>
              <w:rPr>
                <w:spacing w:val="-4"/>
                <w:sz w:val="20"/>
              </w:rPr>
              <w:t> </w:t>
            </w:r>
            <w:r>
              <w:rPr>
                <w:sz w:val="20"/>
              </w:rPr>
              <w:t>F84.9,</w:t>
            </w:r>
            <w:r>
              <w:rPr>
                <w:spacing w:val="-4"/>
                <w:sz w:val="20"/>
              </w:rPr>
              <w:t> </w:t>
            </w:r>
            <w:r>
              <w:rPr>
                <w:sz w:val="20"/>
              </w:rPr>
              <w:t>F88,</w:t>
            </w:r>
            <w:r>
              <w:rPr>
                <w:spacing w:val="-4"/>
                <w:sz w:val="20"/>
              </w:rPr>
              <w:t> </w:t>
            </w:r>
            <w:r>
              <w:rPr>
                <w:sz w:val="20"/>
              </w:rPr>
              <w:t>F89,</w:t>
            </w:r>
            <w:r>
              <w:rPr>
                <w:spacing w:val="-6"/>
                <w:sz w:val="20"/>
              </w:rPr>
              <w:t> </w:t>
            </w:r>
            <w:r>
              <w:rPr>
                <w:sz w:val="20"/>
              </w:rPr>
              <w:t>F90,</w:t>
            </w:r>
            <w:r>
              <w:rPr>
                <w:spacing w:val="-4"/>
                <w:sz w:val="20"/>
              </w:rPr>
              <w:t> </w:t>
            </w:r>
            <w:r>
              <w:rPr>
                <w:sz w:val="20"/>
              </w:rPr>
              <w:t>F90.0,</w:t>
            </w:r>
            <w:r>
              <w:rPr>
                <w:spacing w:val="-4"/>
                <w:sz w:val="20"/>
              </w:rPr>
              <w:t> </w:t>
            </w:r>
            <w:r>
              <w:rPr>
                <w:spacing w:val="-2"/>
                <w:sz w:val="20"/>
              </w:rPr>
              <w:t>F90.1,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336"/>
              <w:rPr>
                <w:sz w:val="20"/>
              </w:rPr>
            </w:pPr>
            <w:r>
              <w:rPr>
                <w:sz w:val="20"/>
              </w:rPr>
              <w:t>F90.8,</w:t>
            </w:r>
            <w:r>
              <w:rPr>
                <w:spacing w:val="-6"/>
                <w:sz w:val="20"/>
              </w:rPr>
              <w:t> </w:t>
            </w:r>
            <w:r>
              <w:rPr>
                <w:sz w:val="20"/>
              </w:rPr>
              <w:t>F90.9,</w:t>
            </w:r>
            <w:r>
              <w:rPr>
                <w:spacing w:val="-6"/>
                <w:sz w:val="20"/>
              </w:rPr>
              <w:t> </w:t>
            </w:r>
            <w:r>
              <w:rPr>
                <w:sz w:val="20"/>
              </w:rPr>
              <w:t>F91,</w:t>
            </w:r>
            <w:r>
              <w:rPr>
                <w:spacing w:val="-5"/>
                <w:sz w:val="20"/>
              </w:rPr>
              <w:t> </w:t>
            </w:r>
            <w:r>
              <w:rPr>
                <w:sz w:val="20"/>
              </w:rPr>
              <w:t>F91.0,</w:t>
            </w:r>
            <w:r>
              <w:rPr>
                <w:spacing w:val="-6"/>
                <w:sz w:val="20"/>
              </w:rPr>
              <w:t> </w:t>
            </w:r>
            <w:r>
              <w:rPr>
                <w:sz w:val="20"/>
              </w:rPr>
              <w:t>F91.1,</w:t>
            </w:r>
            <w:r>
              <w:rPr>
                <w:spacing w:val="-5"/>
                <w:sz w:val="20"/>
              </w:rPr>
              <w:t> </w:t>
            </w:r>
            <w:r>
              <w:rPr>
                <w:sz w:val="20"/>
              </w:rPr>
              <w:t>F91.2,</w:t>
            </w:r>
            <w:r>
              <w:rPr>
                <w:spacing w:val="-6"/>
                <w:sz w:val="20"/>
              </w:rPr>
              <w:t> </w:t>
            </w:r>
            <w:r>
              <w:rPr>
                <w:spacing w:val="-2"/>
                <w:sz w:val="20"/>
              </w:rPr>
              <w:t>F91.3,</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411"/>
              <w:rPr>
                <w:sz w:val="20"/>
              </w:rPr>
            </w:pPr>
            <w:r>
              <w:rPr>
                <w:sz w:val="20"/>
              </w:rPr>
              <w:t>F91.8,</w:t>
            </w:r>
            <w:r>
              <w:rPr>
                <w:spacing w:val="-6"/>
                <w:sz w:val="20"/>
              </w:rPr>
              <w:t> </w:t>
            </w:r>
            <w:r>
              <w:rPr>
                <w:sz w:val="20"/>
              </w:rPr>
              <w:t>F91.9,</w:t>
            </w:r>
            <w:r>
              <w:rPr>
                <w:spacing w:val="-6"/>
                <w:sz w:val="20"/>
              </w:rPr>
              <w:t> </w:t>
            </w:r>
            <w:r>
              <w:rPr>
                <w:sz w:val="20"/>
              </w:rPr>
              <w:t>F92,</w:t>
            </w:r>
            <w:r>
              <w:rPr>
                <w:spacing w:val="-5"/>
                <w:sz w:val="20"/>
              </w:rPr>
              <w:t> </w:t>
            </w:r>
            <w:r>
              <w:rPr>
                <w:sz w:val="20"/>
              </w:rPr>
              <w:t>F92.0,</w:t>
            </w:r>
            <w:r>
              <w:rPr>
                <w:spacing w:val="-6"/>
                <w:sz w:val="20"/>
              </w:rPr>
              <w:t> </w:t>
            </w:r>
            <w:r>
              <w:rPr>
                <w:sz w:val="20"/>
              </w:rPr>
              <w:t>F92.8,</w:t>
            </w:r>
            <w:r>
              <w:rPr>
                <w:spacing w:val="-5"/>
                <w:sz w:val="20"/>
              </w:rPr>
              <w:t> </w:t>
            </w:r>
            <w:r>
              <w:rPr>
                <w:sz w:val="20"/>
              </w:rPr>
              <w:t>F92.9,</w:t>
            </w:r>
            <w:r>
              <w:rPr>
                <w:spacing w:val="-6"/>
                <w:sz w:val="20"/>
              </w:rPr>
              <w:t> </w:t>
            </w:r>
            <w:r>
              <w:rPr>
                <w:spacing w:val="-4"/>
                <w:sz w:val="20"/>
              </w:rPr>
              <w:t>F93,</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F93.0,</w:t>
            </w:r>
            <w:r>
              <w:rPr>
                <w:spacing w:val="-6"/>
                <w:sz w:val="20"/>
              </w:rPr>
              <w:t> </w:t>
            </w:r>
            <w:r>
              <w:rPr>
                <w:sz w:val="20"/>
              </w:rPr>
              <w:t>F93.1,</w:t>
            </w:r>
            <w:r>
              <w:rPr>
                <w:spacing w:val="-5"/>
                <w:sz w:val="20"/>
              </w:rPr>
              <w:t> </w:t>
            </w:r>
            <w:r>
              <w:rPr>
                <w:sz w:val="20"/>
              </w:rPr>
              <w:t>F93.2,</w:t>
            </w:r>
            <w:r>
              <w:rPr>
                <w:spacing w:val="-5"/>
                <w:sz w:val="20"/>
              </w:rPr>
              <w:t> </w:t>
            </w:r>
            <w:r>
              <w:rPr>
                <w:sz w:val="20"/>
              </w:rPr>
              <w:t>F93.3,</w:t>
            </w:r>
            <w:r>
              <w:rPr>
                <w:spacing w:val="-7"/>
                <w:sz w:val="20"/>
              </w:rPr>
              <w:t> </w:t>
            </w:r>
            <w:r>
              <w:rPr>
                <w:sz w:val="20"/>
              </w:rPr>
              <w:t>F93.8,</w:t>
            </w:r>
            <w:r>
              <w:rPr>
                <w:spacing w:val="-5"/>
                <w:sz w:val="20"/>
              </w:rPr>
              <w:t> </w:t>
            </w:r>
            <w:r>
              <w:rPr>
                <w:sz w:val="20"/>
              </w:rPr>
              <w:t>F93.9,</w:t>
            </w:r>
            <w:r>
              <w:rPr>
                <w:spacing w:val="-5"/>
                <w:sz w:val="20"/>
              </w:rPr>
              <w:t> </w:t>
            </w:r>
            <w:r>
              <w:rPr>
                <w:spacing w:val="-4"/>
                <w:sz w:val="20"/>
              </w:rPr>
              <w:t>F94,</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F94.0,</w:t>
            </w:r>
            <w:r>
              <w:rPr>
                <w:spacing w:val="-6"/>
                <w:sz w:val="20"/>
              </w:rPr>
              <w:t> </w:t>
            </w:r>
            <w:r>
              <w:rPr>
                <w:sz w:val="20"/>
              </w:rPr>
              <w:t>F94.1,</w:t>
            </w:r>
            <w:r>
              <w:rPr>
                <w:spacing w:val="-5"/>
                <w:sz w:val="20"/>
              </w:rPr>
              <w:t> </w:t>
            </w:r>
            <w:r>
              <w:rPr>
                <w:sz w:val="20"/>
              </w:rPr>
              <w:t>F94.2,</w:t>
            </w:r>
            <w:r>
              <w:rPr>
                <w:spacing w:val="-5"/>
                <w:sz w:val="20"/>
              </w:rPr>
              <w:t> </w:t>
            </w:r>
            <w:r>
              <w:rPr>
                <w:sz w:val="20"/>
              </w:rPr>
              <w:t>F94.8,</w:t>
            </w:r>
            <w:r>
              <w:rPr>
                <w:spacing w:val="-7"/>
                <w:sz w:val="20"/>
              </w:rPr>
              <w:t> </w:t>
            </w:r>
            <w:r>
              <w:rPr>
                <w:sz w:val="20"/>
              </w:rPr>
              <w:t>F94.9,</w:t>
            </w:r>
            <w:r>
              <w:rPr>
                <w:spacing w:val="-5"/>
                <w:sz w:val="20"/>
              </w:rPr>
              <w:t> </w:t>
            </w:r>
            <w:r>
              <w:rPr>
                <w:sz w:val="20"/>
              </w:rPr>
              <w:t>F95,</w:t>
            </w:r>
            <w:r>
              <w:rPr>
                <w:spacing w:val="-5"/>
                <w:sz w:val="20"/>
              </w:rPr>
              <w:t> </w:t>
            </w:r>
            <w:r>
              <w:rPr>
                <w:spacing w:val="-2"/>
                <w:sz w:val="20"/>
              </w:rPr>
              <w:t>F95.0,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1" w:lineRule="exact"/>
              <w:ind w:left="336"/>
              <w:rPr>
                <w:sz w:val="20"/>
              </w:rPr>
            </w:pPr>
            <w:r>
              <w:rPr>
                <w:sz w:val="20"/>
              </w:rPr>
              <w:t>F95.1,</w:t>
            </w:r>
            <w:r>
              <w:rPr>
                <w:spacing w:val="-6"/>
                <w:sz w:val="20"/>
              </w:rPr>
              <w:t> </w:t>
            </w:r>
            <w:r>
              <w:rPr>
                <w:sz w:val="20"/>
              </w:rPr>
              <w:t>F95.2,</w:t>
            </w:r>
            <w:r>
              <w:rPr>
                <w:spacing w:val="-5"/>
                <w:sz w:val="20"/>
              </w:rPr>
              <w:t> </w:t>
            </w:r>
            <w:r>
              <w:rPr>
                <w:sz w:val="20"/>
              </w:rPr>
              <w:t>F95.8,</w:t>
            </w:r>
            <w:r>
              <w:rPr>
                <w:spacing w:val="-5"/>
                <w:sz w:val="20"/>
              </w:rPr>
              <w:t> </w:t>
            </w:r>
            <w:r>
              <w:rPr>
                <w:sz w:val="20"/>
              </w:rPr>
              <w:t>F95.9,</w:t>
            </w:r>
            <w:r>
              <w:rPr>
                <w:spacing w:val="-7"/>
                <w:sz w:val="20"/>
              </w:rPr>
              <w:t> </w:t>
            </w:r>
            <w:r>
              <w:rPr>
                <w:sz w:val="20"/>
              </w:rPr>
              <w:t>F98,</w:t>
            </w:r>
            <w:r>
              <w:rPr>
                <w:spacing w:val="-5"/>
                <w:sz w:val="20"/>
              </w:rPr>
              <w:t> </w:t>
            </w:r>
            <w:r>
              <w:rPr>
                <w:sz w:val="20"/>
              </w:rPr>
              <w:t>F98.0,</w:t>
            </w:r>
            <w:r>
              <w:rPr>
                <w:spacing w:val="-5"/>
                <w:sz w:val="20"/>
              </w:rPr>
              <w:t> </w:t>
            </w:r>
            <w:r>
              <w:rPr>
                <w:spacing w:val="-2"/>
                <w:sz w:val="20"/>
              </w:rPr>
              <w:t>F98.1,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1" w:lineRule="exact"/>
              <w:ind w:right="398"/>
              <w:jc w:val="right"/>
              <w:rPr>
                <w:sz w:val="20"/>
              </w:rPr>
            </w:pPr>
            <w:r>
              <w:rPr>
                <w:sz w:val="20"/>
              </w:rPr>
              <w:t>F98.2,</w:t>
            </w:r>
            <w:r>
              <w:rPr>
                <w:spacing w:val="-6"/>
                <w:sz w:val="20"/>
              </w:rPr>
              <w:t> </w:t>
            </w:r>
            <w:r>
              <w:rPr>
                <w:sz w:val="20"/>
              </w:rPr>
              <w:t>F98.3,</w:t>
            </w:r>
            <w:r>
              <w:rPr>
                <w:spacing w:val="-5"/>
                <w:sz w:val="20"/>
              </w:rPr>
              <w:t> </w:t>
            </w:r>
            <w:r>
              <w:rPr>
                <w:sz w:val="20"/>
              </w:rPr>
              <w:t>F98.4,</w:t>
            </w:r>
            <w:r>
              <w:rPr>
                <w:spacing w:val="-5"/>
                <w:sz w:val="20"/>
              </w:rPr>
              <w:t> </w:t>
            </w:r>
            <w:r>
              <w:rPr>
                <w:sz w:val="20"/>
              </w:rPr>
              <w:t>F98.5,</w:t>
            </w:r>
            <w:r>
              <w:rPr>
                <w:spacing w:val="-7"/>
                <w:sz w:val="20"/>
              </w:rPr>
              <w:t> </w:t>
            </w:r>
            <w:r>
              <w:rPr>
                <w:sz w:val="20"/>
              </w:rPr>
              <w:t>F98.6,</w:t>
            </w:r>
            <w:r>
              <w:rPr>
                <w:spacing w:val="-5"/>
                <w:sz w:val="20"/>
              </w:rPr>
              <w:t> </w:t>
            </w:r>
            <w:r>
              <w:rPr>
                <w:sz w:val="20"/>
              </w:rPr>
              <w:t>F98.8,</w:t>
            </w:r>
            <w:r>
              <w:rPr>
                <w:spacing w:val="-5"/>
                <w:sz w:val="20"/>
              </w:rPr>
              <w:t> </w:t>
            </w:r>
            <w:r>
              <w:rPr>
                <w:spacing w:val="-2"/>
                <w:sz w:val="20"/>
              </w:rPr>
              <w:t>F98.9,</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283"/>
              <w:rPr>
                <w:sz w:val="20"/>
              </w:rPr>
            </w:pPr>
            <w:r>
              <w:rPr>
                <w:sz w:val="20"/>
              </w:rPr>
              <w:t>F99,</w:t>
            </w:r>
            <w:r>
              <w:rPr>
                <w:spacing w:val="-6"/>
                <w:sz w:val="20"/>
              </w:rPr>
              <w:t> </w:t>
            </w:r>
            <w:r>
              <w:rPr>
                <w:sz w:val="20"/>
              </w:rPr>
              <w:t>K23.0,</w:t>
            </w:r>
            <w:r>
              <w:rPr>
                <w:spacing w:val="-6"/>
                <w:sz w:val="20"/>
              </w:rPr>
              <w:t> </w:t>
            </w:r>
            <w:r>
              <w:rPr>
                <w:sz w:val="20"/>
              </w:rPr>
              <w:t>M49.0,</w:t>
            </w:r>
            <w:r>
              <w:rPr>
                <w:spacing w:val="-6"/>
                <w:sz w:val="20"/>
              </w:rPr>
              <w:t> </w:t>
            </w:r>
            <w:r>
              <w:rPr>
                <w:sz w:val="20"/>
              </w:rPr>
              <w:t>M90.0,</w:t>
            </w:r>
            <w:r>
              <w:rPr>
                <w:spacing w:val="-5"/>
                <w:sz w:val="20"/>
              </w:rPr>
              <w:t> </w:t>
            </w:r>
            <w:r>
              <w:rPr>
                <w:sz w:val="20"/>
              </w:rPr>
              <w:t>N74.0,</w:t>
            </w:r>
            <w:r>
              <w:rPr>
                <w:spacing w:val="-6"/>
                <w:sz w:val="20"/>
              </w:rPr>
              <w:t> </w:t>
            </w:r>
            <w:r>
              <w:rPr>
                <w:sz w:val="20"/>
              </w:rPr>
              <w:t>N74.1,</w:t>
            </w:r>
            <w:r>
              <w:rPr>
                <w:spacing w:val="-6"/>
                <w:sz w:val="20"/>
              </w:rPr>
              <w:t> </w:t>
            </w:r>
            <w:r>
              <w:rPr>
                <w:spacing w:val="-4"/>
                <w:sz w:val="20"/>
              </w:rPr>
              <w:t>R41,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right="395"/>
              <w:jc w:val="right"/>
              <w:rPr>
                <w:sz w:val="20"/>
              </w:rPr>
            </w:pPr>
            <w:r>
              <w:rPr>
                <w:sz w:val="20"/>
              </w:rPr>
              <w:t>R41.0,</w:t>
            </w:r>
            <w:r>
              <w:rPr>
                <w:spacing w:val="-5"/>
                <w:sz w:val="20"/>
              </w:rPr>
              <w:t> </w:t>
            </w:r>
            <w:r>
              <w:rPr>
                <w:sz w:val="20"/>
              </w:rPr>
              <w:t>R41.1,</w:t>
            </w:r>
            <w:r>
              <w:rPr>
                <w:spacing w:val="-4"/>
                <w:sz w:val="20"/>
              </w:rPr>
              <w:t> </w:t>
            </w:r>
            <w:r>
              <w:rPr>
                <w:sz w:val="20"/>
              </w:rPr>
              <w:t>R41.2,</w:t>
            </w:r>
            <w:r>
              <w:rPr>
                <w:spacing w:val="-4"/>
                <w:sz w:val="20"/>
              </w:rPr>
              <w:t> </w:t>
            </w:r>
            <w:r>
              <w:rPr>
                <w:sz w:val="20"/>
              </w:rPr>
              <w:t>R41.3,</w:t>
            </w:r>
            <w:r>
              <w:rPr>
                <w:spacing w:val="-8"/>
                <w:sz w:val="20"/>
              </w:rPr>
              <w:t> </w:t>
            </w:r>
            <w:r>
              <w:rPr>
                <w:sz w:val="20"/>
              </w:rPr>
              <w:t>R41.8,</w:t>
            </w:r>
            <w:r>
              <w:rPr>
                <w:spacing w:val="-5"/>
                <w:sz w:val="20"/>
              </w:rPr>
              <w:t> </w:t>
            </w:r>
            <w:r>
              <w:rPr>
                <w:sz w:val="20"/>
              </w:rPr>
              <w:t>R44,</w:t>
            </w:r>
            <w:r>
              <w:rPr>
                <w:spacing w:val="-4"/>
                <w:sz w:val="20"/>
              </w:rPr>
              <w:t> </w:t>
            </w:r>
            <w:r>
              <w:rPr>
                <w:spacing w:val="-2"/>
                <w:sz w:val="20"/>
              </w:rPr>
              <w:t>R44.0,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95"/>
              <w:jc w:val="right"/>
              <w:rPr>
                <w:sz w:val="20"/>
              </w:rPr>
            </w:pPr>
            <w:r>
              <w:rPr>
                <w:sz w:val="20"/>
              </w:rPr>
              <w:t>R44.1,</w:t>
            </w:r>
            <w:r>
              <w:rPr>
                <w:spacing w:val="-5"/>
                <w:sz w:val="20"/>
              </w:rPr>
              <w:t> </w:t>
            </w:r>
            <w:r>
              <w:rPr>
                <w:sz w:val="20"/>
              </w:rPr>
              <w:t>R44.2,</w:t>
            </w:r>
            <w:r>
              <w:rPr>
                <w:spacing w:val="-4"/>
                <w:sz w:val="20"/>
              </w:rPr>
              <w:t> </w:t>
            </w:r>
            <w:r>
              <w:rPr>
                <w:sz w:val="20"/>
              </w:rPr>
              <w:t>R44.3,</w:t>
            </w:r>
            <w:r>
              <w:rPr>
                <w:spacing w:val="-4"/>
                <w:sz w:val="20"/>
              </w:rPr>
              <w:t> </w:t>
            </w:r>
            <w:r>
              <w:rPr>
                <w:sz w:val="20"/>
              </w:rPr>
              <w:t>R44.8,</w:t>
            </w:r>
            <w:r>
              <w:rPr>
                <w:spacing w:val="-8"/>
                <w:sz w:val="20"/>
              </w:rPr>
              <w:t> </w:t>
            </w:r>
            <w:r>
              <w:rPr>
                <w:sz w:val="20"/>
              </w:rPr>
              <w:t>R45,</w:t>
            </w:r>
            <w:r>
              <w:rPr>
                <w:spacing w:val="-5"/>
                <w:sz w:val="20"/>
              </w:rPr>
              <w:t> </w:t>
            </w:r>
            <w:r>
              <w:rPr>
                <w:sz w:val="20"/>
              </w:rPr>
              <w:t>R45.0,</w:t>
            </w:r>
            <w:r>
              <w:rPr>
                <w:spacing w:val="-4"/>
                <w:sz w:val="20"/>
              </w:rPr>
              <w:t> </w:t>
            </w:r>
            <w:r>
              <w:rPr>
                <w:spacing w:val="-2"/>
                <w:sz w:val="20"/>
              </w:rPr>
              <w:t>R45.1,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20"/>
              <w:jc w:val="right"/>
              <w:rPr>
                <w:sz w:val="20"/>
              </w:rPr>
            </w:pPr>
            <w:r>
              <w:rPr>
                <w:sz w:val="20"/>
              </w:rPr>
              <w:t>R45.2,</w:t>
            </w:r>
            <w:r>
              <w:rPr>
                <w:spacing w:val="-7"/>
                <w:sz w:val="20"/>
              </w:rPr>
              <w:t> </w:t>
            </w:r>
            <w:r>
              <w:rPr>
                <w:sz w:val="20"/>
              </w:rPr>
              <w:t>R45.3,</w:t>
            </w:r>
            <w:r>
              <w:rPr>
                <w:spacing w:val="-5"/>
                <w:sz w:val="20"/>
              </w:rPr>
              <w:t> </w:t>
            </w:r>
            <w:r>
              <w:rPr>
                <w:sz w:val="20"/>
              </w:rPr>
              <w:t>R45.4,</w:t>
            </w:r>
            <w:r>
              <w:rPr>
                <w:spacing w:val="-5"/>
                <w:sz w:val="20"/>
              </w:rPr>
              <w:t> </w:t>
            </w:r>
            <w:r>
              <w:rPr>
                <w:sz w:val="20"/>
              </w:rPr>
              <w:t>R45.5,</w:t>
            </w:r>
            <w:r>
              <w:rPr>
                <w:spacing w:val="-9"/>
                <w:sz w:val="20"/>
              </w:rPr>
              <w:t> </w:t>
            </w:r>
            <w:r>
              <w:rPr>
                <w:sz w:val="20"/>
              </w:rPr>
              <w:t>R45.6,</w:t>
            </w:r>
            <w:r>
              <w:rPr>
                <w:spacing w:val="-5"/>
                <w:sz w:val="20"/>
              </w:rPr>
              <w:t> </w:t>
            </w:r>
            <w:r>
              <w:rPr>
                <w:sz w:val="20"/>
              </w:rPr>
              <w:t>R45.7,</w:t>
            </w:r>
            <w:r>
              <w:rPr>
                <w:spacing w:val="-4"/>
                <w:sz w:val="20"/>
              </w:rPr>
              <w:t> </w:t>
            </w:r>
            <w:r>
              <w:rPr>
                <w:spacing w:val="-2"/>
                <w:sz w:val="20"/>
              </w:rPr>
              <w:t>R45.8,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92"/>
              <w:jc w:val="right"/>
              <w:rPr>
                <w:sz w:val="20"/>
              </w:rPr>
            </w:pPr>
            <w:r>
              <w:rPr>
                <w:sz w:val="20"/>
              </w:rPr>
              <w:t>R46,</w:t>
            </w:r>
            <w:r>
              <w:rPr>
                <w:spacing w:val="-5"/>
                <w:sz w:val="20"/>
              </w:rPr>
              <w:t> </w:t>
            </w:r>
            <w:r>
              <w:rPr>
                <w:sz w:val="20"/>
              </w:rPr>
              <w:t>R46.0,</w:t>
            </w:r>
            <w:r>
              <w:rPr>
                <w:spacing w:val="-5"/>
                <w:sz w:val="20"/>
              </w:rPr>
              <w:t> </w:t>
            </w:r>
            <w:r>
              <w:rPr>
                <w:sz w:val="20"/>
              </w:rPr>
              <w:t>R46.1,</w:t>
            </w:r>
            <w:r>
              <w:rPr>
                <w:spacing w:val="-2"/>
                <w:sz w:val="20"/>
              </w:rPr>
              <w:t> </w:t>
            </w:r>
            <w:r>
              <w:rPr>
                <w:sz w:val="20"/>
              </w:rPr>
              <w:t>R46.2,</w:t>
            </w:r>
            <w:r>
              <w:rPr>
                <w:spacing w:val="-5"/>
                <w:sz w:val="20"/>
              </w:rPr>
              <w:t> </w:t>
            </w:r>
            <w:r>
              <w:rPr>
                <w:sz w:val="20"/>
              </w:rPr>
              <w:t>R46.3,</w:t>
            </w:r>
            <w:r>
              <w:rPr>
                <w:spacing w:val="-5"/>
                <w:sz w:val="20"/>
              </w:rPr>
              <w:t> </w:t>
            </w:r>
            <w:r>
              <w:rPr>
                <w:sz w:val="20"/>
              </w:rPr>
              <w:t>R46.4,</w:t>
            </w:r>
            <w:r>
              <w:rPr>
                <w:spacing w:val="-5"/>
                <w:sz w:val="20"/>
              </w:rPr>
              <w:t> </w:t>
            </w:r>
            <w:r>
              <w:rPr>
                <w:spacing w:val="-2"/>
                <w:sz w:val="20"/>
              </w:rPr>
              <w:t>R46.5,</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right="395"/>
              <w:jc w:val="right"/>
              <w:rPr>
                <w:sz w:val="20"/>
              </w:rPr>
            </w:pPr>
            <w:r>
              <w:rPr>
                <w:sz w:val="20"/>
              </w:rPr>
              <w:t>R46.6,</w:t>
            </w:r>
            <w:r>
              <w:rPr>
                <w:spacing w:val="-6"/>
                <w:sz w:val="20"/>
              </w:rPr>
              <w:t> </w:t>
            </w:r>
            <w:r>
              <w:rPr>
                <w:sz w:val="20"/>
              </w:rPr>
              <w:t>R46.7,</w:t>
            </w:r>
            <w:r>
              <w:rPr>
                <w:spacing w:val="-5"/>
                <w:sz w:val="20"/>
              </w:rPr>
              <w:t> </w:t>
            </w:r>
            <w:r>
              <w:rPr>
                <w:sz w:val="20"/>
              </w:rPr>
              <w:t>R46.8,</w:t>
            </w:r>
            <w:r>
              <w:rPr>
                <w:spacing w:val="-5"/>
                <w:sz w:val="20"/>
              </w:rPr>
              <w:t> </w:t>
            </w:r>
            <w:r>
              <w:rPr>
                <w:sz w:val="20"/>
              </w:rPr>
              <w:t>R48,</w:t>
            </w:r>
            <w:r>
              <w:rPr>
                <w:spacing w:val="-5"/>
                <w:sz w:val="20"/>
              </w:rPr>
              <w:t> </w:t>
            </w:r>
            <w:r>
              <w:rPr>
                <w:sz w:val="20"/>
              </w:rPr>
              <w:t>R48.0,</w:t>
            </w:r>
            <w:r>
              <w:rPr>
                <w:spacing w:val="-5"/>
                <w:sz w:val="20"/>
              </w:rPr>
              <w:t> </w:t>
            </w:r>
            <w:r>
              <w:rPr>
                <w:sz w:val="20"/>
              </w:rPr>
              <w:t>R48.1,</w:t>
            </w:r>
            <w:r>
              <w:rPr>
                <w:spacing w:val="-5"/>
                <w:sz w:val="20"/>
              </w:rPr>
              <w:t> </w:t>
            </w:r>
            <w:r>
              <w:rPr>
                <w:spacing w:val="-2"/>
                <w:sz w:val="20"/>
              </w:rPr>
              <w:t>R48.2,</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24" w:lineRule="exact"/>
              <w:ind w:left="1952" w:right="2079"/>
              <w:jc w:val="center"/>
              <w:rPr>
                <w:sz w:val="20"/>
              </w:rPr>
            </w:pPr>
            <w:r>
              <w:rPr>
                <w:spacing w:val="-4"/>
                <w:sz w:val="20"/>
              </w:rPr>
              <w:t>R48.8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791" w:hRule="atLeast"/>
        </w:trPr>
        <w:tc>
          <w:tcPr>
            <w:tcW w:w="946" w:type="dxa"/>
          </w:tcPr>
          <w:p>
            <w:pPr>
              <w:pStyle w:val="TableParagraph"/>
              <w:spacing w:before="46"/>
              <w:ind w:left="50"/>
              <w:rPr>
                <w:sz w:val="20"/>
              </w:rPr>
            </w:pPr>
            <w:r>
              <w:rPr>
                <w:spacing w:val="-2"/>
                <w:sz w:val="20"/>
              </w:rPr>
              <w:t>st36.006</w:t>
            </w:r>
          </w:p>
        </w:tc>
        <w:tc>
          <w:tcPr>
            <w:tcW w:w="707" w:type="dxa"/>
          </w:tcPr>
          <w:p>
            <w:pPr>
              <w:pStyle w:val="TableParagraph"/>
              <w:spacing w:before="46"/>
              <w:ind w:left="210"/>
              <w:rPr>
                <w:sz w:val="20"/>
              </w:rPr>
            </w:pPr>
            <w:r>
              <w:rPr>
                <w:spacing w:val="-5"/>
                <w:sz w:val="20"/>
              </w:rPr>
              <w:t>365</w:t>
            </w:r>
          </w:p>
        </w:tc>
        <w:tc>
          <w:tcPr>
            <w:tcW w:w="2518" w:type="dxa"/>
          </w:tcPr>
          <w:p>
            <w:pPr>
              <w:pStyle w:val="TableParagraph"/>
              <w:spacing w:before="46"/>
              <w:ind w:left="192" w:right="218"/>
              <w:jc w:val="both"/>
              <w:rPr>
                <w:sz w:val="20"/>
              </w:rPr>
            </w:pPr>
            <w:r>
              <w:rPr>
                <w:sz w:val="20"/>
              </w:rPr>
              <w:t>Отторжение, отмирание трансплантата</w:t>
            </w:r>
            <w:r>
              <w:rPr>
                <w:spacing w:val="-13"/>
                <w:sz w:val="20"/>
              </w:rPr>
              <w:t> </w:t>
            </w:r>
            <w:r>
              <w:rPr>
                <w:sz w:val="20"/>
              </w:rPr>
              <w:t>органов</w:t>
            </w:r>
            <w:r>
              <w:rPr>
                <w:spacing w:val="-12"/>
                <w:sz w:val="20"/>
              </w:rPr>
              <w:t> </w:t>
            </w:r>
            <w:r>
              <w:rPr>
                <w:sz w:val="20"/>
              </w:rPr>
              <w:t>и </w:t>
            </w:r>
            <w:r>
              <w:rPr>
                <w:spacing w:val="-2"/>
                <w:sz w:val="20"/>
              </w:rPr>
              <w:t>тканей</w:t>
            </w:r>
          </w:p>
        </w:tc>
        <w:tc>
          <w:tcPr>
            <w:tcW w:w="4536" w:type="dxa"/>
          </w:tcPr>
          <w:p>
            <w:pPr>
              <w:pStyle w:val="TableParagraph"/>
              <w:spacing w:before="46"/>
              <w:ind w:right="384"/>
              <w:jc w:val="right"/>
              <w:rPr>
                <w:sz w:val="20"/>
              </w:rPr>
            </w:pPr>
            <w:r>
              <w:rPr>
                <w:sz w:val="20"/>
              </w:rPr>
              <w:t>T86.0,</w:t>
            </w:r>
            <w:r>
              <w:rPr>
                <w:spacing w:val="-7"/>
                <w:sz w:val="20"/>
              </w:rPr>
              <w:t> </w:t>
            </w:r>
            <w:r>
              <w:rPr>
                <w:sz w:val="20"/>
              </w:rPr>
              <w:t>T86.1,</w:t>
            </w:r>
            <w:r>
              <w:rPr>
                <w:spacing w:val="-5"/>
                <w:sz w:val="20"/>
              </w:rPr>
              <w:t> </w:t>
            </w:r>
            <w:r>
              <w:rPr>
                <w:sz w:val="20"/>
              </w:rPr>
              <w:t>T86.2,</w:t>
            </w:r>
            <w:r>
              <w:rPr>
                <w:spacing w:val="-5"/>
                <w:sz w:val="20"/>
              </w:rPr>
              <w:t> </w:t>
            </w:r>
            <w:r>
              <w:rPr>
                <w:sz w:val="20"/>
              </w:rPr>
              <w:t>T86.3,</w:t>
            </w:r>
            <w:r>
              <w:rPr>
                <w:spacing w:val="-5"/>
                <w:sz w:val="20"/>
              </w:rPr>
              <w:t> </w:t>
            </w:r>
            <w:r>
              <w:rPr>
                <w:sz w:val="20"/>
              </w:rPr>
              <w:t>T86.4,</w:t>
            </w:r>
            <w:r>
              <w:rPr>
                <w:spacing w:val="-5"/>
                <w:sz w:val="20"/>
              </w:rPr>
              <w:t> </w:t>
            </w:r>
            <w:r>
              <w:rPr>
                <w:sz w:val="20"/>
              </w:rPr>
              <w:t>T86.8,</w:t>
            </w:r>
            <w:r>
              <w:rPr>
                <w:spacing w:val="-5"/>
                <w:sz w:val="20"/>
              </w:rPr>
              <w:t> </w:t>
            </w:r>
            <w:r>
              <w:rPr>
                <w:spacing w:val="-4"/>
                <w:sz w:val="20"/>
              </w:rPr>
              <w:t>T86.9</w:t>
            </w:r>
          </w:p>
        </w:tc>
        <w:tc>
          <w:tcPr>
            <w:tcW w:w="3136" w:type="dxa"/>
          </w:tcPr>
          <w:p>
            <w:pPr>
              <w:pStyle w:val="TableParagraph"/>
              <w:spacing w:before="46"/>
              <w:ind w:right="41"/>
              <w:jc w:val="center"/>
              <w:rPr>
                <w:sz w:val="20"/>
              </w:rPr>
            </w:pPr>
            <w:r>
              <w:rPr>
                <w:w w:val="99"/>
                <w:sz w:val="20"/>
              </w:rPr>
              <w:t>-</w:t>
            </w:r>
          </w:p>
        </w:tc>
        <w:tc>
          <w:tcPr>
            <w:tcW w:w="2568" w:type="dxa"/>
          </w:tcPr>
          <w:p>
            <w:pPr>
              <w:pStyle w:val="TableParagraph"/>
              <w:spacing w:before="46"/>
              <w:ind w:right="12"/>
              <w:jc w:val="center"/>
              <w:rPr>
                <w:sz w:val="20"/>
              </w:rPr>
            </w:pPr>
            <w:r>
              <w:rPr>
                <w:w w:val="99"/>
                <w:sz w:val="20"/>
              </w:rPr>
              <w:t>-</w:t>
            </w:r>
          </w:p>
        </w:tc>
        <w:tc>
          <w:tcPr>
            <w:tcW w:w="912" w:type="dxa"/>
          </w:tcPr>
          <w:p>
            <w:pPr>
              <w:pStyle w:val="TableParagraph"/>
              <w:spacing w:before="46"/>
              <w:ind w:right="97"/>
              <w:jc w:val="right"/>
              <w:rPr>
                <w:sz w:val="20"/>
              </w:rPr>
            </w:pPr>
            <w:r>
              <w:rPr>
                <w:spacing w:val="-4"/>
                <w:sz w:val="20"/>
              </w:rPr>
              <w:t>8,40</w:t>
            </w:r>
          </w:p>
        </w:tc>
      </w:tr>
      <w:tr>
        <w:trPr>
          <w:trHeight w:val="279" w:hRule="atLeast"/>
        </w:trPr>
        <w:tc>
          <w:tcPr>
            <w:tcW w:w="946" w:type="dxa"/>
          </w:tcPr>
          <w:p>
            <w:pPr>
              <w:pStyle w:val="TableParagraph"/>
              <w:spacing w:line="215" w:lineRule="exact" w:before="45"/>
              <w:ind w:left="50"/>
              <w:rPr>
                <w:sz w:val="20"/>
              </w:rPr>
            </w:pPr>
            <w:r>
              <w:rPr>
                <w:spacing w:val="-2"/>
                <w:sz w:val="20"/>
              </w:rPr>
              <w:t>st36.007</w:t>
            </w:r>
          </w:p>
        </w:tc>
        <w:tc>
          <w:tcPr>
            <w:tcW w:w="707" w:type="dxa"/>
          </w:tcPr>
          <w:p>
            <w:pPr>
              <w:pStyle w:val="TableParagraph"/>
              <w:spacing w:line="215" w:lineRule="exact" w:before="45"/>
              <w:ind w:left="210"/>
              <w:rPr>
                <w:sz w:val="20"/>
              </w:rPr>
            </w:pPr>
            <w:r>
              <w:rPr>
                <w:spacing w:val="-5"/>
                <w:sz w:val="20"/>
              </w:rPr>
              <w:t>366</w:t>
            </w:r>
          </w:p>
        </w:tc>
        <w:tc>
          <w:tcPr>
            <w:tcW w:w="2518" w:type="dxa"/>
          </w:tcPr>
          <w:p>
            <w:pPr>
              <w:pStyle w:val="TableParagraph"/>
              <w:spacing w:line="215" w:lineRule="exact" w:before="45"/>
              <w:ind w:left="192"/>
              <w:rPr>
                <w:sz w:val="20"/>
              </w:rPr>
            </w:pPr>
            <w:r>
              <w:rPr>
                <w:sz w:val="20"/>
              </w:rPr>
              <w:t>Установка,</w:t>
            </w:r>
            <w:r>
              <w:rPr>
                <w:spacing w:val="-10"/>
                <w:sz w:val="20"/>
              </w:rPr>
              <w:t> </w:t>
            </w:r>
            <w:r>
              <w:rPr>
                <w:spacing w:val="-2"/>
                <w:sz w:val="20"/>
              </w:rPr>
              <w:t>замена,</w:t>
            </w:r>
          </w:p>
        </w:tc>
        <w:tc>
          <w:tcPr>
            <w:tcW w:w="4536" w:type="dxa"/>
          </w:tcPr>
          <w:p>
            <w:pPr>
              <w:pStyle w:val="TableParagraph"/>
              <w:spacing w:line="215" w:lineRule="exact" w:before="45"/>
              <w:ind w:right="131"/>
              <w:jc w:val="center"/>
              <w:rPr>
                <w:sz w:val="20"/>
              </w:rPr>
            </w:pPr>
            <w:r>
              <w:rPr>
                <w:w w:val="99"/>
                <w:sz w:val="20"/>
              </w:rPr>
              <w:t>-</w:t>
            </w:r>
          </w:p>
        </w:tc>
        <w:tc>
          <w:tcPr>
            <w:tcW w:w="3136" w:type="dxa"/>
          </w:tcPr>
          <w:p>
            <w:pPr>
              <w:pStyle w:val="TableParagraph"/>
              <w:spacing w:line="215" w:lineRule="exact" w:before="45"/>
              <w:ind w:left="351" w:right="395"/>
              <w:jc w:val="center"/>
              <w:rPr>
                <w:sz w:val="20"/>
              </w:rPr>
            </w:pPr>
            <w:r>
              <w:rPr>
                <w:sz w:val="20"/>
              </w:rPr>
              <w:t>A11.17.003,</w:t>
            </w:r>
            <w:r>
              <w:rPr>
                <w:spacing w:val="-9"/>
                <w:sz w:val="20"/>
              </w:rPr>
              <w:t> </w:t>
            </w:r>
            <w:r>
              <w:rPr>
                <w:spacing w:val="-2"/>
                <w:sz w:val="20"/>
              </w:rPr>
              <w:t>A11.17.003.001,</w:t>
            </w:r>
          </w:p>
        </w:tc>
        <w:tc>
          <w:tcPr>
            <w:tcW w:w="2568" w:type="dxa"/>
          </w:tcPr>
          <w:p>
            <w:pPr>
              <w:pStyle w:val="TableParagraph"/>
              <w:spacing w:line="215" w:lineRule="exact" w:before="45"/>
              <w:ind w:right="12"/>
              <w:jc w:val="center"/>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2,32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заправка</w:t>
            </w:r>
            <w:r>
              <w:rPr>
                <w:spacing w:val="-6"/>
                <w:sz w:val="20"/>
              </w:rPr>
              <w:t> </w:t>
            </w:r>
            <w:r>
              <w:rPr>
                <w:sz w:val="20"/>
              </w:rPr>
              <w:t>помп</w:t>
            </w:r>
            <w:r>
              <w:rPr>
                <w:spacing w:val="-6"/>
                <w:sz w:val="20"/>
              </w:rPr>
              <w:t> </w:t>
            </w:r>
            <w:r>
              <w:rPr>
                <w:spacing w:val="-5"/>
                <w:sz w:val="20"/>
              </w:rPr>
              <w:t>для</w:t>
            </w:r>
          </w:p>
        </w:tc>
        <w:tc>
          <w:tcPr>
            <w:tcW w:w="4536" w:type="dxa"/>
          </w:tcPr>
          <w:p>
            <w:pPr>
              <w:pStyle w:val="TableParagraph"/>
              <w:rPr>
                <w:sz w:val="16"/>
              </w:rPr>
            </w:pPr>
          </w:p>
        </w:tc>
        <w:tc>
          <w:tcPr>
            <w:tcW w:w="3136" w:type="dxa"/>
          </w:tcPr>
          <w:p>
            <w:pPr>
              <w:pStyle w:val="TableParagraph"/>
              <w:spacing w:line="210" w:lineRule="exact"/>
              <w:ind w:left="351" w:right="394"/>
              <w:jc w:val="center"/>
              <w:rPr>
                <w:sz w:val="20"/>
              </w:rPr>
            </w:pPr>
            <w:r>
              <w:rPr>
                <w:spacing w:val="-2"/>
                <w:sz w:val="20"/>
              </w:rPr>
              <w:t>A11.23.007.001</w:t>
            </w:r>
          </w:p>
        </w:tc>
        <w:tc>
          <w:tcPr>
            <w:tcW w:w="2568"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pacing w:val="-2"/>
                <w:sz w:val="20"/>
              </w:rPr>
              <w:t>лекарственных</w:t>
            </w:r>
          </w:p>
        </w:tc>
        <w:tc>
          <w:tcPr>
            <w:tcW w:w="4536" w:type="dxa"/>
          </w:tcPr>
          <w:p>
            <w:pPr>
              <w:pStyle w:val="TableParagraph"/>
              <w:rPr>
                <w:sz w:val="16"/>
              </w:rPr>
            </w:pPr>
          </w:p>
        </w:tc>
        <w:tc>
          <w:tcPr>
            <w:tcW w:w="3136" w:type="dxa"/>
          </w:tcPr>
          <w:p>
            <w:pPr>
              <w:pStyle w:val="TableParagraph"/>
              <w:rPr>
                <w:sz w:val="16"/>
              </w:rPr>
            </w:pPr>
          </w:p>
        </w:tc>
        <w:tc>
          <w:tcPr>
            <w:tcW w:w="2568" w:type="dxa"/>
          </w:tcPr>
          <w:p>
            <w:pPr>
              <w:pStyle w:val="TableParagraph"/>
              <w:rPr>
                <w:sz w:val="16"/>
              </w:rPr>
            </w:pPr>
          </w:p>
        </w:tc>
        <w:tc>
          <w:tcPr>
            <w:tcW w:w="91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6" w:lineRule="exact"/>
              <w:ind w:left="192"/>
              <w:rPr>
                <w:sz w:val="20"/>
              </w:rPr>
            </w:pPr>
            <w:r>
              <w:rPr>
                <w:spacing w:val="-2"/>
                <w:sz w:val="20"/>
              </w:rPr>
              <w:t>препаратов</w:t>
            </w:r>
          </w:p>
        </w:tc>
        <w:tc>
          <w:tcPr>
            <w:tcW w:w="4536" w:type="dxa"/>
          </w:tcPr>
          <w:p>
            <w:pPr>
              <w:pStyle w:val="TableParagraph"/>
              <w:rPr>
                <w:sz w:val="18"/>
              </w:rPr>
            </w:pPr>
          </w:p>
        </w:tc>
        <w:tc>
          <w:tcPr>
            <w:tcW w:w="3136" w:type="dxa"/>
          </w:tcPr>
          <w:p>
            <w:pPr>
              <w:pStyle w:val="TableParagraph"/>
              <w:rPr>
                <w:sz w:val="18"/>
              </w:rPr>
            </w:pPr>
          </w:p>
        </w:tc>
        <w:tc>
          <w:tcPr>
            <w:tcW w:w="2568" w:type="dxa"/>
          </w:tcPr>
          <w:p>
            <w:pPr>
              <w:pStyle w:val="TableParagraph"/>
              <w:rPr>
                <w:sz w:val="18"/>
              </w:rPr>
            </w:pPr>
          </w:p>
        </w:tc>
        <w:tc>
          <w:tcPr>
            <w:tcW w:w="91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st36.008</w:t>
            </w:r>
          </w:p>
        </w:tc>
        <w:tc>
          <w:tcPr>
            <w:tcW w:w="707" w:type="dxa"/>
          </w:tcPr>
          <w:p>
            <w:pPr>
              <w:pStyle w:val="TableParagraph"/>
              <w:spacing w:line="215" w:lineRule="exact" w:before="45"/>
              <w:ind w:left="210"/>
              <w:rPr>
                <w:sz w:val="20"/>
              </w:rPr>
            </w:pPr>
            <w:r>
              <w:rPr>
                <w:spacing w:val="-5"/>
                <w:sz w:val="20"/>
              </w:rPr>
              <w:t>367</w:t>
            </w:r>
          </w:p>
        </w:tc>
        <w:tc>
          <w:tcPr>
            <w:tcW w:w="2518" w:type="dxa"/>
          </w:tcPr>
          <w:p>
            <w:pPr>
              <w:pStyle w:val="TableParagraph"/>
              <w:spacing w:line="215" w:lineRule="exact" w:before="45"/>
              <w:ind w:left="192"/>
              <w:rPr>
                <w:sz w:val="20"/>
              </w:rPr>
            </w:pPr>
            <w:r>
              <w:rPr>
                <w:spacing w:val="-2"/>
                <w:sz w:val="20"/>
              </w:rPr>
              <w:t>Интенсивная</w:t>
            </w:r>
            <w:r>
              <w:rPr>
                <w:spacing w:val="6"/>
                <w:sz w:val="20"/>
              </w:rPr>
              <w:t> </w:t>
            </w:r>
            <w:r>
              <w:rPr>
                <w:spacing w:val="-2"/>
                <w:sz w:val="20"/>
              </w:rPr>
              <w:t>терапия</w:t>
            </w:r>
          </w:p>
        </w:tc>
        <w:tc>
          <w:tcPr>
            <w:tcW w:w="4536" w:type="dxa"/>
          </w:tcPr>
          <w:p>
            <w:pPr>
              <w:pStyle w:val="TableParagraph"/>
              <w:spacing w:line="215" w:lineRule="exact" w:before="45"/>
              <w:ind w:left="295"/>
              <w:rPr>
                <w:sz w:val="20"/>
              </w:rPr>
            </w:pPr>
            <w:r>
              <w:rPr>
                <w:sz w:val="20"/>
              </w:rPr>
              <w:t>A05.1,</w:t>
            </w:r>
            <w:r>
              <w:rPr>
                <w:spacing w:val="-5"/>
                <w:sz w:val="20"/>
              </w:rPr>
              <w:t> </w:t>
            </w:r>
            <w:r>
              <w:rPr>
                <w:sz w:val="20"/>
              </w:rPr>
              <w:t>D32,</w:t>
            </w:r>
            <w:r>
              <w:rPr>
                <w:spacing w:val="-4"/>
                <w:sz w:val="20"/>
              </w:rPr>
              <w:t> </w:t>
            </w:r>
            <w:r>
              <w:rPr>
                <w:sz w:val="20"/>
              </w:rPr>
              <w:t>D32.0,</w:t>
            </w:r>
            <w:r>
              <w:rPr>
                <w:spacing w:val="-4"/>
                <w:sz w:val="20"/>
              </w:rPr>
              <w:t> </w:t>
            </w:r>
            <w:r>
              <w:rPr>
                <w:sz w:val="20"/>
              </w:rPr>
              <w:t>D32.1,</w:t>
            </w:r>
            <w:r>
              <w:rPr>
                <w:spacing w:val="-5"/>
                <w:sz w:val="20"/>
              </w:rPr>
              <w:t> </w:t>
            </w:r>
            <w:r>
              <w:rPr>
                <w:sz w:val="20"/>
              </w:rPr>
              <w:t>D32.9,</w:t>
            </w:r>
            <w:r>
              <w:rPr>
                <w:spacing w:val="-3"/>
                <w:sz w:val="20"/>
              </w:rPr>
              <w:t> </w:t>
            </w:r>
            <w:r>
              <w:rPr>
                <w:sz w:val="20"/>
              </w:rPr>
              <w:t>D33,</w:t>
            </w:r>
            <w:r>
              <w:rPr>
                <w:spacing w:val="-4"/>
                <w:sz w:val="20"/>
              </w:rPr>
              <w:t> </w:t>
            </w:r>
            <w:r>
              <w:rPr>
                <w:spacing w:val="-2"/>
                <w:sz w:val="20"/>
              </w:rPr>
              <w:t>D33.0,</w:t>
            </w:r>
          </w:p>
        </w:tc>
        <w:tc>
          <w:tcPr>
            <w:tcW w:w="3136" w:type="dxa"/>
          </w:tcPr>
          <w:p>
            <w:pPr>
              <w:pStyle w:val="TableParagraph"/>
              <w:spacing w:line="215" w:lineRule="exact" w:before="45"/>
              <w:ind w:right="41"/>
              <w:jc w:val="center"/>
              <w:rPr>
                <w:sz w:val="20"/>
              </w:rPr>
            </w:pPr>
            <w:r>
              <w:rPr>
                <w:w w:val="99"/>
                <w:sz w:val="20"/>
              </w:rPr>
              <w:t>-</w:t>
            </w:r>
          </w:p>
        </w:tc>
        <w:tc>
          <w:tcPr>
            <w:tcW w:w="2568" w:type="dxa"/>
          </w:tcPr>
          <w:p>
            <w:pPr>
              <w:pStyle w:val="TableParagraph"/>
              <w:spacing w:line="215" w:lineRule="exact" w:before="45"/>
              <w:ind w:left="393" w:right="404"/>
              <w:jc w:val="center"/>
              <w:rPr>
                <w:sz w:val="20"/>
              </w:rPr>
            </w:pPr>
            <w:r>
              <w:rPr>
                <w:spacing w:val="-4"/>
                <w:sz w:val="20"/>
              </w:rPr>
              <w:t>Иной</w:t>
            </w:r>
          </w:p>
        </w:tc>
        <w:tc>
          <w:tcPr>
            <w:tcW w:w="912" w:type="dxa"/>
          </w:tcPr>
          <w:p>
            <w:pPr>
              <w:pStyle w:val="TableParagraph"/>
              <w:spacing w:line="215" w:lineRule="exact" w:before="45"/>
              <w:ind w:right="47"/>
              <w:jc w:val="right"/>
              <w:rPr>
                <w:sz w:val="20"/>
              </w:rPr>
            </w:pPr>
            <w:r>
              <w:rPr>
                <w:spacing w:val="-2"/>
                <w:sz w:val="20"/>
              </w:rPr>
              <w:t>18,15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пациентов</w:t>
            </w:r>
            <w:r>
              <w:rPr>
                <w:spacing w:val="-12"/>
                <w:sz w:val="20"/>
              </w:rPr>
              <w:t> </w:t>
            </w:r>
            <w:r>
              <w:rPr>
                <w:spacing w:val="-10"/>
                <w:sz w:val="20"/>
              </w:rPr>
              <w:t>с</w:t>
            </w:r>
          </w:p>
        </w:tc>
        <w:tc>
          <w:tcPr>
            <w:tcW w:w="4536" w:type="dxa"/>
          </w:tcPr>
          <w:p>
            <w:pPr>
              <w:pStyle w:val="TableParagraph"/>
              <w:spacing w:line="210" w:lineRule="exact"/>
              <w:ind w:right="350"/>
              <w:jc w:val="right"/>
              <w:rPr>
                <w:sz w:val="20"/>
              </w:rPr>
            </w:pPr>
            <w:r>
              <w:rPr>
                <w:sz w:val="20"/>
              </w:rPr>
              <w:t>D33.1,</w:t>
            </w:r>
            <w:r>
              <w:rPr>
                <w:spacing w:val="-4"/>
                <w:sz w:val="20"/>
              </w:rPr>
              <w:t> </w:t>
            </w:r>
            <w:r>
              <w:rPr>
                <w:sz w:val="20"/>
              </w:rPr>
              <w:t>D33.2,</w:t>
            </w:r>
            <w:r>
              <w:rPr>
                <w:spacing w:val="-5"/>
                <w:sz w:val="20"/>
              </w:rPr>
              <w:t> </w:t>
            </w:r>
            <w:r>
              <w:rPr>
                <w:sz w:val="20"/>
              </w:rPr>
              <w:t>D33.3,</w:t>
            </w:r>
            <w:r>
              <w:rPr>
                <w:spacing w:val="-3"/>
                <w:sz w:val="20"/>
              </w:rPr>
              <w:t> </w:t>
            </w:r>
            <w:r>
              <w:rPr>
                <w:sz w:val="20"/>
              </w:rPr>
              <w:t>D35.2,</w:t>
            </w:r>
            <w:r>
              <w:rPr>
                <w:spacing w:val="-5"/>
                <w:sz w:val="20"/>
              </w:rPr>
              <w:t> </w:t>
            </w:r>
            <w:r>
              <w:rPr>
                <w:sz w:val="20"/>
              </w:rPr>
              <w:t>D35.3,</w:t>
            </w:r>
            <w:r>
              <w:rPr>
                <w:spacing w:val="-2"/>
                <w:sz w:val="20"/>
              </w:rPr>
              <w:t> </w:t>
            </w:r>
            <w:r>
              <w:rPr>
                <w:sz w:val="20"/>
              </w:rPr>
              <w:t>G04,</w:t>
            </w:r>
            <w:r>
              <w:rPr>
                <w:spacing w:val="-4"/>
                <w:sz w:val="20"/>
              </w:rPr>
              <w:t> </w:t>
            </w:r>
            <w:r>
              <w:rPr>
                <w:spacing w:val="-2"/>
                <w:sz w:val="20"/>
              </w:rPr>
              <w:t>G04.0,</w:t>
            </w:r>
          </w:p>
        </w:tc>
        <w:tc>
          <w:tcPr>
            <w:tcW w:w="3136" w:type="dxa"/>
          </w:tcPr>
          <w:p>
            <w:pPr>
              <w:pStyle w:val="TableParagraph"/>
              <w:rPr>
                <w:sz w:val="16"/>
              </w:rPr>
            </w:pPr>
          </w:p>
        </w:tc>
        <w:tc>
          <w:tcPr>
            <w:tcW w:w="2568" w:type="dxa"/>
          </w:tcPr>
          <w:p>
            <w:pPr>
              <w:pStyle w:val="TableParagraph"/>
              <w:spacing w:line="210" w:lineRule="exact"/>
              <w:ind w:left="394" w:right="404"/>
              <w:jc w:val="center"/>
              <w:rPr>
                <w:sz w:val="20"/>
              </w:rPr>
            </w:pPr>
            <w:r>
              <w:rPr>
                <w:spacing w:val="-2"/>
                <w:sz w:val="20"/>
              </w:rPr>
              <w:t>классификационный</w:t>
            </w:r>
          </w:p>
        </w:tc>
        <w:tc>
          <w:tcPr>
            <w:tcW w:w="91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5" w:lineRule="exact"/>
              <w:ind w:left="192"/>
              <w:rPr>
                <w:sz w:val="20"/>
              </w:rPr>
            </w:pPr>
            <w:r>
              <w:rPr>
                <w:spacing w:val="-2"/>
                <w:sz w:val="20"/>
              </w:rPr>
              <w:t>нейрогенными</w:t>
            </w:r>
          </w:p>
        </w:tc>
        <w:tc>
          <w:tcPr>
            <w:tcW w:w="4536" w:type="dxa"/>
          </w:tcPr>
          <w:p>
            <w:pPr>
              <w:pStyle w:val="TableParagraph"/>
              <w:spacing w:line="205" w:lineRule="exact"/>
              <w:ind w:right="350"/>
              <w:jc w:val="right"/>
              <w:rPr>
                <w:sz w:val="20"/>
              </w:rPr>
            </w:pPr>
            <w:r>
              <w:rPr>
                <w:sz w:val="20"/>
              </w:rPr>
              <w:t>G04.1,</w:t>
            </w:r>
            <w:r>
              <w:rPr>
                <w:spacing w:val="-5"/>
                <w:sz w:val="20"/>
              </w:rPr>
              <w:t> </w:t>
            </w:r>
            <w:r>
              <w:rPr>
                <w:sz w:val="20"/>
              </w:rPr>
              <w:t>G04.2,</w:t>
            </w:r>
            <w:r>
              <w:rPr>
                <w:spacing w:val="-6"/>
                <w:sz w:val="20"/>
              </w:rPr>
              <w:t> </w:t>
            </w:r>
            <w:r>
              <w:rPr>
                <w:sz w:val="20"/>
              </w:rPr>
              <w:t>G04.8,</w:t>
            </w:r>
            <w:r>
              <w:rPr>
                <w:spacing w:val="-4"/>
                <w:sz w:val="20"/>
              </w:rPr>
              <w:t> </w:t>
            </w:r>
            <w:r>
              <w:rPr>
                <w:sz w:val="20"/>
              </w:rPr>
              <w:t>G05,</w:t>
            </w:r>
            <w:r>
              <w:rPr>
                <w:spacing w:val="-4"/>
                <w:sz w:val="20"/>
              </w:rPr>
              <w:t> </w:t>
            </w:r>
            <w:r>
              <w:rPr>
                <w:sz w:val="20"/>
              </w:rPr>
              <w:t>G05.0,</w:t>
            </w:r>
            <w:r>
              <w:rPr>
                <w:spacing w:val="-3"/>
                <w:sz w:val="20"/>
              </w:rPr>
              <w:t> </w:t>
            </w:r>
            <w:r>
              <w:rPr>
                <w:sz w:val="20"/>
              </w:rPr>
              <w:t>G05.1,</w:t>
            </w:r>
            <w:r>
              <w:rPr>
                <w:spacing w:val="-5"/>
                <w:sz w:val="20"/>
              </w:rPr>
              <w:t> </w:t>
            </w:r>
            <w:r>
              <w:rPr>
                <w:spacing w:val="-2"/>
                <w:sz w:val="20"/>
              </w:rPr>
              <w:t>G05.2,</w:t>
            </w:r>
          </w:p>
        </w:tc>
        <w:tc>
          <w:tcPr>
            <w:tcW w:w="3136" w:type="dxa"/>
          </w:tcPr>
          <w:p>
            <w:pPr>
              <w:pStyle w:val="TableParagraph"/>
              <w:rPr>
                <w:sz w:val="16"/>
              </w:rPr>
            </w:pPr>
          </w:p>
        </w:tc>
        <w:tc>
          <w:tcPr>
            <w:tcW w:w="2568" w:type="dxa"/>
          </w:tcPr>
          <w:p>
            <w:pPr>
              <w:pStyle w:val="TableParagraph"/>
              <w:spacing w:line="205" w:lineRule="exact"/>
              <w:ind w:left="391" w:right="404"/>
              <w:jc w:val="center"/>
              <w:rPr>
                <w:sz w:val="20"/>
              </w:rPr>
            </w:pPr>
            <w:r>
              <w:rPr>
                <w:sz w:val="20"/>
              </w:rPr>
              <w:t>критерий:</w:t>
            </w:r>
            <w:r>
              <w:rPr>
                <w:spacing w:val="-13"/>
                <w:sz w:val="20"/>
              </w:rPr>
              <w:t> </w:t>
            </w:r>
            <w:r>
              <w:rPr>
                <w:spacing w:val="-5"/>
                <w:sz w:val="20"/>
              </w:rPr>
              <w:t>it2</w:t>
            </w:r>
          </w:p>
        </w:tc>
        <w:tc>
          <w:tcPr>
            <w:tcW w:w="91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3"/>
        <w:gridCol w:w="4774"/>
        <w:gridCol w:w="2528"/>
        <w:gridCol w:w="2985"/>
        <w:gridCol w:w="84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43" w:type="dxa"/>
          </w:tcPr>
          <w:p>
            <w:pPr>
              <w:pStyle w:val="TableParagraph"/>
              <w:spacing w:line="205" w:lineRule="exact"/>
              <w:ind w:left="192"/>
              <w:rPr>
                <w:sz w:val="20"/>
              </w:rPr>
            </w:pPr>
            <w:r>
              <w:rPr>
                <w:w w:val="95"/>
                <w:sz w:val="20"/>
              </w:rPr>
              <w:t>нарушениями</w:t>
            </w:r>
            <w:r>
              <w:rPr>
                <w:spacing w:val="44"/>
                <w:sz w:val="20"/>
              </w:rPr>
              <w:t> </w:t>
            </w:r>
            <w:r>
              <w:rPr>
                <w:spacing w:val="-2"/>
                <w:sz w:val="20"/>
              </w:rPr>
              <w:t>жизненно</w:t>
            </w:r>
          </w:p>
        </w:tc>
        <w:tc>
          <w:tcPr>
            <w:tcW w:w="4774" w:type="dxa"/>
          </w:tcPr>
          <w:p>
            <w:pPr>
              <w:pStyle w:val="TableParagraph"/>
              <w:spacing w:line="205" w:lineRule="exact"/>
              <w:ind w:left="270"/>
              <w:rPr>
                <w:sz w:val="20"/>
              </w:rPr>
            </w:pPr>
            <w:r>
              <w:rPr>
                <w:sz w:val="20"/>
              </w:rPr>
              <w:t>G05.8,</w:t>
            </w:r>
            <w:r>
              <w:rPr>
                <w:spacing w:val="-5"/>
                <w:sz w:val="20"/>
              </w:rPr>
              <w:t> </w:t>
            </w:r>
            <w:r>
              <w:rPr>
                <w:sz w:val="20"/>
              </w:rPr>
              <w:t>G09,</w:t>
            </w:r>
            <w:r>
              <w:rPr>
                <w:spacing w:val="-4"/>
                <w:sz w:val="20"/>
              </w:rPr>
              <w:t> </w:t>
            </w:r>
            <w:r>
              <w:rPr>
                <w:sz w:val="20"/>
              </w:rPr>
              <w:t>G12.2,</w:t>
            </w:r>
            <w:r>
              <w:rPr>
                <w:spacing w:val="-4"/>
                <w:sz w:val="20"/>
              </w:rPr>
              <w:t> </w:t>
            </w:r>
            <w:r>
              <w:rPr>
                <w:sz w:val="20"/>
              </w:rPr>
              <w:t>G61,</w:t>
            </w:r>
            <w:r>
              <w:rPr>
                <w:spacing w:val="-4"/>
                <w:sz w:val="20"/>
              </w:rPr>
              <w:t> </w:t>
            </w:r>
            <w:r>
              <w:rPr>
                <w:sz w:val="20"/>
              </w:rPr>
              <w:t>G61.0,</w:t>
            </w:r>
            <w:r>
              <w:rPr>
                <w:spacing w:val="-4"/>
                <w:sz w:val="20"/>
              </w:rPr>
              <w:t> </w:t>
            </w:r>
            <w:r>
              <w:rPr>
                <w:sz w:val="20"/>
              </w:rPr>
              <w:t>G61.1,</w:t>
            </w:r>
            <w:r>
              <w:rPr>
                <w:spacing w:val="-4"/>
                <w:sz w:val="20"/>
              </w:rPr>
              <w:t> </w:t>
            </w:r>
            <w:r>
              <w:rPr>
                <w:spacing w:val="-2"/>
                <w:sz w:val="20"/>
              </w:rPr>
              <w:t>G61.8,</w:t>
            </w:r>
          </w:p>
        </w:tc>
        <w:tc>
          <w:tcPr>
            <w:tcW w:w="2528" w:type="dxa"/>
            <w:vMerge w:val="restart"/>
          </w:tcPr>
          <w:p>
            <w:pPr>
              <w:pStyle w:val="TableParagraph"/>
              <w:rPr>
                <w:sz w:val="18"/>
              </w:rPr>
            </w:pPr>
          </w:p>
        </w:tc>
        <w:tc>
          <w:tcPr>
            <w:tcW w:w="2985" w:type="dxa"/>
            <w:vMerge w:val="restart"/>
          </w:tcPr>
          <w:p>
            <w:pPr>
              <w:pStyle w:val="TableParagraph"/>
              <w:rPr>
                <w:sz w:val="18"/>
              </w:rPr>
            </w:pPr>
          </w:p>
        </w:tc>
        <w:tc>
          <w:tcPr>
            <w:tcW w:w="84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09" w:lineRule="exact"/>
              <w:ind w:left="192"/>
              <w:rPr>
                <w:sz w:val="20"/>
              </w:rPr>
            </w:pPr>
            <w:r>
              <w:rPr>
                <w:sz w:val="20"/>
              </w:rPr>
              <w:t>важных</w:t>
            </w:r>
            <w:r>
              <w:rPr>
                <w:spacing w:val="-11"/>
                <w:sz w:val="20"/>
              </w:rPr>
              <w:t> </w:t>
            </w:r>
            <w:r>
              <w:rPr>
                <w:spacing w:val="-2"/>
                <w:sz w:val="20"/>
              </w:rPr>
              <w:t>функций,</w:t>
            </w:r>
          </w:p>
        </w:tc>
        <w:tc>
          <w:tcPr>
            <w:tcW w:w="4774" w:type="dxa"/>
          </w:tcPr>
          <w:p>
            <w:pPr>
              <w:pStyle w:val="TableParagraph"/>
              <w:spacing w:line="209" w:lineRule="exact"/>
              <w:ind w:left="270"/>
              <w:rPr>
                <w:sz w:val="20"/>
              </w:rPr>
            </w:pPr>
            <w:r>
              <w:rPr>
                <w:sz w:val="20"/>
              </w:rPr>
              <w:t>G70,</w:t>
            </w:r>
            <w:r>
              <w:rPr>
                <w:spacing w:val="-4"/>
                <w:sz w:val="20"/>
              </w:rPr>
              <w:t> </w:t>
            </w:r>
            <w:r>
              <w:rPr>
                <w:sz w:val="20"/>
              </w:rPr>
              <w:t>G70.0,</w:t>
            </w:r>
            <w:r>
              <w:rPr>
                <w:spacing w:val="-5"/>
                <w:sz w:val="20"/>
              </w:rPr>
              <w:t> </w:t>
            </w:r>
            <w:r>
              <w:rPr>
                <w:sz w:val="20"/>
              </w:rPr>
              <w:t>G70.1,</w:t>
            </w:r>
            <w:r>
              <w:rPr>
                <w:spacing w:val="-4"/>
                <w:sz w:val="20"/>
              </w:rPr>
              <w:t> </w:t>
            </w:r>
            <w:r>
              <w:rPr>
                <w:sz w:val="20"/>
              </w:rPr>
              <w:t>G70.2,</w:t>
            </w:r>
            <w:r>
              <w:rPr>
                <w:spacing w:val="-5"/>
                <w:sz w:val="20"/>
              </w:rPr>
              <w:t> </w:t>
            </w:r>
            <w:r>
              <w:rPr>
                <w:sz w:val="20"/>
              </w:rPr>
              <w:t>G70.8,</w:t>
            </w:r>
            <w:r>
              <w:rPr>
                <w:spacing w:val="-5"/>
                <w:sz w:val="20"/>
              </w:rPr>
              <w:t> </w:t>
            </w:r>
            <w:r>
              <w:rPr>
                <w:sz w:val="20"/>
              </w:rPr>
              <w:t>G91,</w:t>
            </w:r>
            <w:r>
              <w:rPr>
                <w:spacing w:val="-5"/>
                <w:sz w:val="20"/>
              </w:rPr>
              <w:t> </w:t>
            </w:r>
            <w:r>
              <w:rPr>
                <w:spacing w:val="-2"/>
                <w:sz w:val="20"/>
              </w:rPr>
              <w:t>G91.0,</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09" w:lineRule="exact"/>
              <w:ind w:left="192"/>
              <w:rPr>
                <w:sz w:val="20"/>
              </w:rPr>
            </w:pPr>
            <w:r>
              <w:rPr>
                <w:sz w:val="20"/>
              </w:rPr>
              <w:t>нуждающихся</w:t>
            </w:r>
            <w:r>
              <w:rPr>
                <w:spacing w:val="-9"/>
                <w:sz w:val="20"/>
              </w:rPr>
              <w:t> </w:t>
            </w:r>
            <w:r>
              <w:rPr>
                <w:sz w:val="20"/>
              </w:rPr>
              <w:t>в</w:t>
            </w:r>
            <w:r>
              <w:rPr>
                <w:spacing w:val="-7"/>
                <w:sz w:val="20"/>
              </w:rPr>
              <w:t> </w:t>
            </w:r>
            <w:r>
              <w:rPr>
                <w:spacing w:val="-5"/>
                <w:sz w:val="20"/>
              </w:rPr>
              <w:t>их</w:t>
            </w:r>
          </w:p>
        </w:tc>
        <w:tc>
          <w:tcPr>
            <w:tcW w:w="4774" w:type="dxa"/>
          </w:tcPr>
          <w:p>
            <w:pPr>
              <w:pStyle w:val="TableParagraph"/>
              <w:spacing w:line="209" w:lineRule="exact"/>
              <w:ind w:left="311"/>
              <w:rPr>
                <w:sz w:val="20"/>
              </w:rPr>
            </w:pPr>
            <w:r>
              <w:rPr>
                <w:sz w:val="20"/>
              </w:rPr>
              <w:t>G91.1,</w:t>
            </w:r>
            <w:r>
              <w:rPr>
                <w:spacing w:val="-5"/>
                <w:sz w:val="20"/>
              </w:rPr>
              <w:t> </w:t>
            </w:r>
            <w:r>
              <w:rPr>
                <w:sz w:val="20"/>
              </w:rPr>
              <w:t>G91.3,</w:t>
            </w:r>
            <w:r>
              <w:rPr>
                <w:spacing w:val="-6"/>
                <w:sz w:val="20"/>
              </w:rPr>
              <w:t> </w:t>
            </w:r>
            <w:r>
              <w:rPr>
                <w:sz w:val="20"/>
              </w:rPr>
              <w:t>G93.0,</w:t>
            </w:r>
            <w:r>
              <w:rPr>
                <w:spacing w:val="-5"/>
                <w:sz w:val="20"/>
              </w:rPr>
              <w:t> </w:t>
            </w:r>
            <w:r>
              <w:rPr>
                <w:sz w:val="20"/>
              </w:rPr>
              <w:t>G93.1,</w:t>
            </w:r>
            <w:r>
              <w:rPr>
                <w:spacing w:val="-4"/>
                <w:sz w:val="20"/>
              </w:rPr>
              <w:t> </w:t>
            </w:r>
            <w:r>
              <w:rPr>
                <w:sz w:val="20"/>
              </w:rPr>
              <w:t>I61,</w:t>
            </w:r>
            <w:r>
              <w:rPr>
                <w:spacing w:val="-5"/>
                <w:sz w:val="20"/>
              </w:rPr>
              <w:t> </w:t>
            </w:r>
            <w:r>
              <w:rPr>
                <w:sz w:val="20"/>
              </w:rPr>
              <w:t>I61.0,</w:t>
            </w:r>
            <w:r>
              <w:rPr>
                <w:spacing w:val="-4"/>
                <w:sz w:val="20"/>
              </w:rPr>
              <w:t> </w:t>
            </w:r>
            <w:r>
              <w:rPr>
                <w:spacing w:val="-2"/>
                <w:sz w:val="20"/>
              </w:rPr>
              <w:t>I61.1,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10" w:lineRule="exact"/>
              <w:ind w:left="192"/>
              <w:rPr>
                <w:sz w:val="20"/>
              </w:rPr>
            </w:pPr>
            <w:r>
              <w:rPr>
                <w:spacing w:val="-2"/>
                <w:sz w:val="20"/>
              </w:rPr>
              <w:t>длительном</w:t>
            </w:r>
          </w:p>
        </w:tc>
        <w:tc>
          <w:tcPr>
            <w:tcW w:w="4774" w:type="dxa"/>
          </w:tcPr>
          <w:p>
            <w:pPr>
              <w:pStyle w:val="TableParagraph"/>
              <w:spacing w:line="210" w:lineRule="exact"/>
              <w:ind w:left="208"/>
              <w:rPr>
                <w:sz w:val="20"/>
              </w:rPr>
            </w:pPr>
            <w:r>
              <w:rPr>
                <w:sz w:val="20"/>
              </w:rPr>
              <w:t>I61.2,</w:t>
            </w:r>
            <w:r>
              <w:rPr>
                <w:spacing w:val="-5"/>
                <w:sz w:val="20"/>
              </w:rPr>
              <w:t> </w:t>
            </w:r>
            <w:r>
              <w:rPr>
                <w:sz w:val="20"/>
              </w:rPr>
              <w:t>I61.3,</w:t>
            </w:r>
            <w:r>
              <w:rPr>
                <w:spacing w:val="-7"/>
                <w:sz w:val="20"/>
              </w:rPr>
              <w:t> </w:t>
            </w:r>
            <w:r>
              <w:rPr>
                <w:sz w:val="20"/>
              </w:rPr>
              <w:t>I61.4,</w:t>
            </w:r>
            <w:r>
              <w:rPr>
                <w:spacing w:val="-5"/>
                <w:sz w:val="20"/>
              </w:rPr>
              <w:t> </w:t>
            </w:r>
            <w:r>
              <w:rPr>
                <w:sz w:val="20"/>
              </w:rPr>
              <w:t>I61.5,</w:t>
            </w:r>
            <w:r>
              <w:rPr>
                <w:spacing w:val="-5"/>
                <w:sz w:val="20"/>
              </w:rPr>
              <w:t> </w:t>
            </w:r>
            <w:r>
              <w:rPr>
                <w:sz w:val="20"/>
              </w:rPr>
              <w:t>I61.6,</w:t>
            </w:r>
            <w:r>
              <w:rPr>
                <w:spacing w:val="-5"/>
                <w:sz w:val="20"/>
              </w:rPr>
              <w:t> </w:t>
            </w:r>
            <w:r>
              <w:rPr>
                <w:sz w:val="20"/>
              </w:rPr>
              <w:t>I62,</w:t>
            </w:r>
            <w:r>
              <w:rPr>
                <w:spacing w:val="-5"/>
                <w:sz w:val="20"/>
              </w:rPr>
              <w:t> </w:t>
            </w:r>
            <w:r>
              <w:rPr>
                <w:sz w:val="20"/>
              </w:rPr>
              <w:t>I62.0,</w:t>
            </w:r>
            <w:r>
              <w:rPr>
                <w:spacing w:val="-7"/>
                <w:sz w:val="20"/>
              </w:rPr>
              <w:t> </w:t>
            </w:r>
            <w:r>
              <w:rPr>
                <w:spacing w:val="-2"/>
                <w:sz w:val="20"/>
              </w:rPr>
              <w:t>I62.1,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10" w:lineRule="exact"/>
              <w:ind w:left="192"/>
              <w:rPr>
                <w:sz w:val="20"/>
              </w:rPr>
            </w:pPr>
            <w:r>
              <w:rPr>
                <w:spacing w:val="-2"/>
                <w:sz w:val="20"/>
              </w:rPr>
              <w:t>искусственном</w:t>
            </w:r>
          </w:p>
        </w:tc>
        <w:tc>
          <w:tcPr>
            <w:tcW w:w="4774" w:type="dxa"/>
          </w:tcPr>
          <w:p>
            <w:pPr>
              <w:pStyle w:val="TableParagraph"/>
              <w:spacing w:line="210" w:lineRule="exact"/>
              <w:ind w:left="208"/>
              <w:rPr>
                <w:sz w:val="20"/>
              </w:rPr>
            </w:pPr>
            <w:r>
              <w:rPr>
                <w:sz w:val="20"/>
              </w:rPr>
              <w:t>I63,</w:t>
            </w:r>
            <w:r>
              <w:rPr>
                <w:spacing w:val="-5"/>
                <w:sz w:val="20"/>
              </w:rPr>
              <w:t> </w:t>
            </w:r>
            <w:r>
              <w:rPr>
                <w:sz w:val="20"/>
              </w:rPr>
              <w:t>I63.0,</w:t>
            </w:r>
            <w:r>
              <w:rPr>
                <w:spacing w:val="-5"/>
                <w:sz w:val="20"/>
              </w:rPr>
              <w:t> </w:t>
            </w:r>
            <w:r>
              <w:rPr>
                <w:sz w:val="20"/>
              </w:rPr>
              <w:t>I63.1,</w:t>
            </w:r>
            <w:r>
              <w:rPr>
                <w:spacing w:val="-5"/>
                <w:sz w:val="20"/>
              </w:rPr>
              <w:t> </w:t>
            </w:r>
            <w:r>
              <w:rPr>
                <w:sz w:val="20"/>
              </w:rPr>
              <w:t>I63.2,</w:t>
            </w:r>
            <w:r>
              <w:rPr>
                <w:spacing w:val="-6"/>
                <w:sz w:val="20"/>
              </w:rPr>
              <w:t> </w:t>
            </w:r>
            <w:r>
              <w:rPr>
                <w:sz w:val="20"/>
              </w:rPr>
              <w:t>I63.3,</w:t>
            </w:r>
            <w:r>
              <w:rPr>
                <w:spacing w:val="-6"/>
                <w:sz w:val="20"/>
              </w:rPr>
              <w:t> </w:t>
            </w:r>
            <w:r>
              <w:rPr>
                <w:sz w:val="20"/>
              </w:rPr>
              <w:t>I63.4,</w:t>
            </w:r>
            <w:r>
              <w:rPr>
                <w:spacing w:val="-5"/>
                <w:sz w:val="20"/>
              </w:rPr>
              <w:t> </w:t>
            </w:r>
            <w:r>
              <w:rPr>
                <w:sz w:val="20"/>
              </w:rPr>
              <w:t>I63.5,</w:t>
            </w:r>
            <w:r>
              <w:rPr>
                <w:spacing w:val="-7"/>
                <w:sz w:val="20"/>
              </w:rPr>
              <w:t> </w:t>
            </w:r>
            <w:r>
              <w:rPr>
                <w:spacing w:val="-2"/>
                <w:sz w:val="20"/>
              </w:rPr>
              <w:t>I63.6,</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10" w:lineRule="exact"/>
              <w:ind w:left="192"/>
              <w:rPr>
                <w:sz w:val="20"/>
              </w:rPr>
            </w:pPr>
            <w:r>
              <w:rPr>
                <w:spacing w:val="-2"/>
                <w:sz w:val="20"/>
              </w:rPr>
              <w:t>замещении</w:t>
            </w:r>
          </w:p>
        </w:tc>
        <w:tc>
          <w:tcPr>
            <w:tcW w:w="4774" w:type="dxa"/>
          </w:tcPr>
          <w:p>
            <w:pPr>
              <w:pStyle w:val="TableParagraph"/>
              <w:spacing w:line="210" w:lineRule="exact"/>
              <w:ind w:left="314"/>
              <w:rPr>
                <w:sz w:val="20"/>
              </w:rPr>
            </w:pPr>
            <w:r>
              <w:rPr>
                <w:sz w:val="20"/>
              </w:rPr>
              <w:t>I69.0,</w:t>
            </w:r>
            <w:r>
              <w:rPr>
                <w:spacing w:val="-5"/>
                <w:sz w:val="20"/>
              </w:rPr>
              <w:t> </w:t>
            </w:r>
            <w:r>
              <w:rPr>
                <w:sz w:val="20"/>
              </w:rPr>
              <w:t>I69.1,</w:t>
            </w:r>
            <w:r>
              <w:rPr>
                <w:spacing w:val="-7"/>
                <w:sz w:val="20"/>
              </w:rPr>
              <w:t> </w:t>
            </w:r>
            <w:r>
              <w:rPr>
                <w:sz w:val="20"/>
              </w:rPr>
              <w:t>I69.2,</w:t>
            </w:r>
            <w:r>
              <w:rPr>
                <w:spacing w:val="-5"/>
                <w:sz w:val="20"/>
              </w:rPr>
              <w:t> </w:t>
            </w:r>
            <w:r>
              <w:rPr>
                <w:sz w:val="20"/>
              </w:rPr>
              <w:t>I69.3,</w:t>
            </w:r>
            <w:r>
              <w:rPr>
                <w:spacing w:val="-5"/>
                <w:sz w:val="20"/>
              </w:rPr>
              <w:t> </w:t>
            </w:r>
            <w:r>
              <w:rPr>
                <w:sz w:val="20"/>
              </w:rPr>
              <w:t>I69.8,</w:t>
            </w:r>
            <w:r>
              <w:rPr>
                <w:spacing w:val="-5"/>
                <w:sz w:val="20"/>
              </w:rPr>
              <w:t> </w:t>
            </w:r>
            <w:r>
              <w:rPr>
                <w:sz w:val="20"/>
              </w:rPr>
              <w:t>Q03.0,</w:t>
            </w:r>
            <w:r>
              <w:rPr>
                <w:spacing w:val="-5"/>
                <w:sz w:val="20"/>
              </w:rPr>
              <w:t> </w:t>
            </w:r>
            <w:r>
              <w:rPr>
                <w:spacing w:val="-2"/>
                <w:sz w:val="20"/>
              </w:rPr>
              <w:t>Q03.1,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rPr>
                <w:sz w:val="16"/>
              </w:rPr>
            </w:pPr>
          </w:p>
        </w:tc>
        <w:tc>
          <w:tcPr>
            <w:tcW w:w="4774" w:type="dxa"/>
          </w:tcPr>
          <w:p>
            <w:pPr>
              <w:pStyle w:val="TableParagraph"/>
              <w:spacing w:line="211" w:lineRule="exact"/>
              <w:ind w:left="366"/>
              <w:rPr>
                <w:sz w:val="20"/>
              </w:rPr>
            </w:pPr>
            <w:r>
              <w:rPr>
                <w:sz w:val="20"/>
              </w:rPr>
              <w:t>Q03.8,</w:t>
            </w:r>
            <w:r>
              <w:rPr>
                <w:spacing w:val="-5"/>
                <w:sz w:val="20"/>
              </w:rPr>
              <w:t> </w:t>
            </w:r>
            <w:r>
              <w:rPr>
                <w:sz w:val="20"/>
              </w:rPr>
              <w:t>Q03.9,</w:t>
            </w:r>
            <w:r>
              <w:rPr>
                <w:spacing w:val="-7"/>
                <w:sz w:val="20"/>
              </w:rPr>
              <w:t> </w:t>
            </w:r>
            <w:r>
              <w:rPr>
                <w:sz w:val="20"/>
              </w:rPr>
              <w:t>Q04.6,</w:t>
            </w:r>
            <w:r>
              <w:rPr>
                <w:spacing w:val="-5"/>
                <w:sz w:val="20"/>
              </w:rPr>
              <w:t> </w:t>
            </w:r>
            <w:r>
              <w:rPr>
                <w:sz w:val="20"/>
              </w:rPr>
              <w:t>S06.7,</w:t>
            </w:r>
            <w:r>
              <w:rPr>
                <w:spacing w:val="-5"/>
                <w:sz w:val="20"/>
              </w:rPr>
              <w:t> </w:t>
            </w:r>
            <w:r>
              <w:rPr>
                <w:sz w:val="20"/>
              </w:rPr>
              <w:t>S06.70,</w:t>
            </w:r>
            <w:r>
              <w:rPr>
                <w:spacing w:val="-5"/>
                <w:sz w:val="20"/>
              </w:rPr>
              <w:t> </w:t>
            </w:r>
            <w:r>
              <w:rPr>
                <w:spacing w:val="-2"/>
                <w:sz w:val="20"/>
              </w:rPr>
              <w:t>S06.71,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81"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rPr>
                <w:sz w:val="18"/>
              </w:rPr>
            </w:pPr>
          </w:p>
        </w:tc>
        <w:tc>
          <w:tcPr>
            <w:tcW w:w="4774" w:type="dxa"/>
          </w:tcPr>
          <w:p>
            <w:pPr>
              <w:pStyle w:val="TableParagraph"/>
              <w:spacing w:line="226" w:lineRule="exact"/>
              <w:ind w:left="1645" w:right="2061"/>
              <w:jc w:val="center"/>
              <w:rPr>
                <w:sz w:val="20"/>
              </w:rPr>
            </w:pPr>
            <w:r>
              <w:rPr>
                <w:sz w:val="20"/>
              </w:rPr>
              <w:t>T90.5,</w:t>
            </w:r>
            <w:r>
              <w:rPr>
                <w:spacing w:val="-7"/>
                <w:sz w:val="20"/>
              </w:rPr>
              <w:t> </w:t>
            </w:r>
            <w:r>
              <w:rPr>
                <w:spacing w:val="-2"/>
                <w:sz w:val="20"/>
              </w:rPr>
              <w:t>T90.8</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319" w:hRule="atLeast"/>
        </w:trPr>
        <w:tc>
          <w:tcPr>
            <w:tcW w:w="946" w:type="dxa"/>
          </w:tcPr>
          <w:p>
            <w:pPr>
              <w:pStyle w:val="TableParagraph"/>
              <w:spacing w:before="46"/>
              <w:ind w:left="50"/>
              <w:rPr>
                <w:sz w:val="20"/>
              </w:rPr>
            </w:pPr>
            <w:r>
              <w:rPr>
                <w:spacing w:val="-2"/>
                <w:sz w:val="20"/>
              </w:rPr>
              <w:t>st36.009</w:t>
            </w:r>
          </w:p>
        </w:tc>
        <w:tc>
          <w:tcPr>
            <w:tcW w:w="707" w:type="dxa"/>
          </w:tcPr>
          <w:p>
            <w:pPr>
              <w:pStyle w:val="TableParagraph"/>
              <w:spacing w:before="46"/>
              <w:ind w:left="210"/>
              <w:rPr>
                <w:sz w:val="20"/>
              </w:rPr>
            </w:pPr>
            <w:r>
              <w:rPr>
                <w:spacing w:val="-5"/>
                <w:sz w:val="20"/>
              </w:rPr>
              <w:t>368</w:t>
            </w:r>
          </w:p>
        </w:tc>
        <w:tc>
          <w:tcPr>
            <w:tcW w:w="2543" w:type="dxa"/>
          </w:tcPr>
          <w:p>
            <w:pPr>
              <w:pStyle w:val="TableParagraph"/>
              <w:spacing w:before="46"/>
              <w:ind w:left="192"/>
              <w:rPr>
                <w:sz w:val="20"/>
              </w:rPr>
            </w:pPr>
            <w:r>
              <w:rPr>
                <w:spacing w:val="-2"/>
                <w:sz w:val="20"/>
              </w:rPr>
              <w:t>Реинфузия</w:t>
            </w:r>
            <w:r>
              <w:rPr>
                <w:spacing w:val="3"/>
                <w:sz w:val="20"/>
              </w:rPr>
              <w:t> </w:t>
            </w:r>
            <w:r>
              <w:rPr>
                <w:spacing w:val="-2"/>
                <w:sz w:val="20"/>
              </w:rPr>
              <w:t>аутокрови</w:t>
            </w:r>
          </w:p>
        </w:tc>
        <w:tc>
          <w:tcPr>
            <w:tcW w:w="4774" w:type="dxa"/>
          </w:tcPr>
          <w:p>
            <w:pPr>
              <w:pStyle w:val="TableParagraph"/>
              <w:spacing w:before="46"/>
              <w:ind w:right="419"/>
              <w:jc w:val="center"/>
              <w:rPr>
                <w:sz w:val="20"/>
              </w:rPr>
            </w:pPr>
            <w:r>
              <w:rPr>
                <w:w w:val="99"/>
                <w:sz w:val="20"/>
              </w:rPr>
              <w:t>-</w:t>
            </w:r>
          </w:p>
        </w:tc>
        <w:tc>
          <w:tcPr>
            <w:tcW w:w="2528" w:type="dxa"/>
          </w:tcPr>
          <w:p>
            <w:pPr>
              <w:pStyle w:val="TableParagraph"/>
              <w:spacing w:before="46"/>
              <w:ind w:left="628" w:right="589"/>
              <w:jc w:val="center"/>
              <w:rPr>
                <w:sz w:val="20"/>
              </w:rPr>
            </w:pPr>
            <w:r>
              <w:rPr>
                <w:spacing w:val="-2"/>
                <w:sz w:val="20"/>
              </w:rPr>
              <w:t>A16.20.078</w:t>
            </w:r>
          </w:p>
        </w:tc>
        <w:tc>
          <w:tcPr>
            <w:tcW w:w="2985" w:type="dxa"/>
          </w:tcPr>
          <w:p>
            <w:pPr>
              <w:pStyle w:val="TableParagraph"/>
              <w:spacing w:before="46"/>
              <w:ind w:left="258"/>
              <w:jc w:val="center"/>
              <w:rPr>
                <w:sz w:val="20"/>
              </w:rPr>
            </w:pPr>
            <w:r>
              <w:rPr>
                <w:w w:val="99"/>
                <w:sz w:val="20"/>
              </w:rPr>
              <w:t>-</w:t>
            </w:r>
          </w:p>
        </w:tc>
        <w:tc>
          <w:tcPr>
            <w:tcW w:w="841" w:type="dxa"/>
          </w:tcPr>
          <w:p>
            <w:pPr>
              <w:pStyle w:val="TableParagraph"/>
              <w:spacing w:before="46"/>
              <w:ind w:right="98"/>
              <w:jc w:val="right"/>
              <w:rPr>
                <w:sz w:val="20"/>
              </w:rPr>
            </w:pPr>
            <w:r>
              <w:rPr>
                <w:spacing w:val="-4"/>
                <w:sz w:val="20"/>
              </w:rPr>
              <w:t>2,05</w:t>
            </w:r>
          </w:p>
        </w:tc>
      </w:tr>
      <w:tr>
        <w:trPr>
          <w:trHeight w:val="770" w:hRule="atLeast"/>
        </w:trPr>
        <w:tc>
          <w:tcPr>
            <w:tcW w:w="946" w:type="dxa"/>
          </w:tcPr>
          <w:p>
            <w:pPr>
              <w:pStyle w:val="TableParagraph"/>
              <w:spacing w:before="36"/>
              <w:ind w:left="50"/>
              <w:rPr>
                <w:sz w:val="20"/>
              </w:rPr>
            </w:pPr>
            <w:r>
              <w:rPr>
                <w:spacing w:val="-2"/>
                <w:sz w:val="20"/>
              </w:rPr>
              <w:t>st36.010</w:t>
            </w:r>
          </w:p>
        </w:tc>
        <w:tc>
          <w:tcPr>
            <w:tcW w:w="707" w:type="dxa"/>
          </w:tcPr>
          <w:p>
            <w:pPr>
              <w:pStyle w:val="TableParagraph"/>
              <w:spacing w:before="36"/>
              <w:ind w:left="210"/>
              <w:rPr>
                <w:sz w:val="20"/>
              </w:rPr>
            </w:pPr>
            <w:r>
              <w:rPr>
                <w:spacing w:val="-5"/>
                <w:sz w:val="20"/>
              </w:rPr>
              <w:t>369</w:t>
            </w:r>
          </w:p>
        </w:tc>
        <w:tc>
          <w:tcPr>
            <w:tcW w:w="2543" w:type="dxa"/>
          </w:tcPr>
          <w:p>
            <w:pPr>
              <w:pStyle w:val="TableParagraph"/>
              <w:spacing w:line="242" w:lineRule="auto" w:before="34"/>
              <w:ind w:left="192"/>
              <w:rPr>
                <w:sz w:val="20"/>
              </w:rPr>
            </w:pPr>
            <w:r>
              <w:rPr>
                <w:spacing w:val="-2"/>
                <w:sz w:val="20"/>
              </w:rPr>
              <w:t>Баллонная внутриаортальная контрпульсация</w:t>
            </w:r>
          </w:p>
        </w:tc>
        <w:tc>
          <w:tcPr>
            <w:tcW w:w="4774" w:type="dxa"/>
          </w:tcPr>
          <w:p>
            <w:pPr>
              <w:pStyle w:val="TableParagraph"/>
              <w:spacing w:before="36"/>
              <w:ind w:right="419"/>
              <w:jc w:val="center"/>
              <w:rPr>
                <w:sz w:val="20"/>
              </w:rPr>
            </w:pPr>
            <w:r>
              <w:rPr>
                <w:w w:val="99"/>
                <w:sz w:val="20"/>
              </w:rPr>
              <w:t>-</w:t>
            </w:r>
          </w:p>
        </w:tc>
        <w:tc>
          <w:tcPr>
            <w:tcW w:w="2528" w:type="dxa"/>
          </w:tcPr>
          <w:p>
            <w:pPr>
              <w:pStyle w:val="TableParagraph"/>
              <w:spacing w:before="36"/>
              <w:ind w:left="628" w:right="589"/>
              <w:jc w:val="center"/>
              <w:rPr>
                <w:sz w:val="20"/>
              </w:rPr>
            </w:pPr>
            <w:r>
              <w:rPr>
                <w:spacing w:val="-2"/>
                <w:sz w:val="20"/>
              </w:rPr>
              <w:t>A16.12.030</w:t>
            </w:r>
          </w:p>
        </w:tc>
        <w:tc>
          <w:tcPr>
            <w:tcW w:w="2985" w:type="dxa"/>
          </w:tcPr>
          <w:p>
            <w:pPr>
              <w:pStyle w:val="TableParagraph"/>
              <w:spacing w:before="36"/>
              <w:ind w:left="258"/>
              <w:jc w:val="center"/>
              <w:rPr>
                <w:sz w:val="20"/>
              </w:rPr>
            </w:pPr>
            <w:r>
              <w:rPr>
                <w:w w:val="99"/>
                <w:sz w:val="20"/>
              </w:rPr>
              <w:t>-</w:t>
            </w:r>
          </w:p>
        </w:tc>
        <w:tc>
          <w:tcPr>
            <w:tcW w:w="841" w:type="dxa"/>
          </w:tcPr>
          <w:p>
            <w:pPr>
              <w:pStyle w:val="TableParagraph"/>
              <w:spacing w:before="36"/>
              <w:ind w:right="98"/>
              <w:jc w:val="right"/>
              <w:rPr>
                <w:sz w:val="20"/>
              </w:rPr>
            </w:pPr>
            <w:r>
              <w:rPr>
                <w:spacing w:val="-4"/>
                <w:sz w:val="20"/>
              </w:rPr>
              <w:t>7,81</w:t>
            </w:r>
          </w:p>
        </w:tc>
      </w:tr>
      <w:tr>
        <w:trPr>
          <w:trHeight w:val="540" w:hRule="atLeast"/>
        </w:trPr>
        <w:tc>
          <w:tcPr>
            <w:tcW w:w="946" w:type="dxa"/>
          </w:tcPr>
          <w:p>
            <w:pPr>
              <w:pStyle w:val="TableParagraph"/>
              <w:spacing w:before="36"/>
              <w:ind w:left="50"/>
              <w:rPr>
                <w:sz w:val="20"/>
              </w:rPr>
            </w:pPr>
            <w:r>
              <w:rPr>
                <w:spacing w:val="-2"/>
                <w:sz w:val="20"/>
              </w:rPr>
              <w:t>st36.011</w:t>
            </w:r>
          </w:p>
        </w:tc>
        <w:tc>
          <w:tcPr>
            <w:tcW w:w="707" w:type="dxa"/>
          </w:tcPr>
          <w:p>
            <w:pPr>
              <w:pStyle w:val="TableParagraph"/>
              <w:spacing w:before="36"/>
              <w:ind w:left="210"/>
              <w:rPr>
                <w:sz w:val="20"/>
              </w:rPr>
            </w:pPr>
            <w:r>
              <w:rPr>
                <w:spacing w:val="-5"/>
                <w:sz w:val="20"/>
              </w:rPr>
              <w:t>370</w:t>
            </w:r>
          </w:p>
        </w:tc>
        <w:tc>
          <w:tcPr>
            <w:tcW w:w="2543" w:type="dxa"/>
          </w:tcPr>
          <w:p>
            <w:pPr>
              <w:pStyle w:val="TableParagraph"/>
              <w:spacing w:line="242" w:lineRule="auto" w:before="34"/>
              <w:ind w:left="192" w:right="201"/>
              <w:rPr>
                <w:sz w:val="20"/>
              </w:rPr>
            </w:pPr>
            <w:r>
              <w:rPr>
                <w:spacing w:val="-2"/>
                <w:sz w:val="20"/>
              </w:rPr>
              <w:t>Экстракорпоральная </w:t>
            </w:r>
            <w:r>
              <w:rPr>
                <w:sz w:val="20"/>
              </w:rPr>
              <w:t>мембранная</w:t>
            </w:r>
            <w:r>
              <w:rPr>
                <w:spacing w:val="-13"/>
                <w:sz w:val="20"/>
              </w:rPr>
              <w:t> </w:t>
            </w:r>
            <w:r>
              <w:rPr>
                <w:sz w:val="20"/>
              </w:rPr>
              <w:t>оксигенация</w:t>
            </w:r>
          </w:p>
        </w:tc>
        <w:tc>
          <w:tcPr>
            <w:tcW w:w="4774" w:type="dxa"/>
          </w:tcPr>
          <w:p>
            <w:pPr>
              <w:pStyle w:val="TableParagraph"/>
              <w:spacing w:before="36"/>
              <w:ind w:right="419"/>
              <w:jc w:val="center"/>
              <w:rPr>
                <w:sz w:val="20"/>
              </w:rPr>
            </w:pPr>
            <w:r>
              <w:rPr>
                <w:w w:val="99"/>
                <w:sz w:val="20"/>
              </w:rPr>
              <w:t>-</w:t>
            </w:r>
          </w:p>
        </w:tc>
        <w:tc>
          <w:tcPr>
            <w:tcW w:w="2528" w:type="dxa"/>
          </w:tcPr>
          <w:p>
            <w:pPr>
              <w:pStyle w:val="TableParagraph"/>
              <w:spacing w:before="36"/>
              <w:ind w:left="628" w:right="592"/>
              <w:jc w:val="center"/>
              <w:rPr>
                <w:sz w:val="20"/>
              </w:rPr>
            </w:pPr>
            <w:r>
              <w:rPr>
                <w:spacing w:val="-2"/>
                <w:sz w:val="20"/>
              </w:rPr>
              <w:t>A16.10.021.001</w:t>
            </w:r>
          </w:p>
        </w:tc>
        <w:tc>
          <w:tcPr>
            <w:tcW w:w="2985" w:type="dxa"/>
          </w:tcPr>
          <w:p>
            <w:pPr>
              <w:pStyle w:val="TableParagraph"/>
              <w:spacing w:before="36"/>
              <w:ind w:left="258"/>
              <w:jc w:val="center"/>
              <w:rPr>
                <w:sz w:val="20"/>
              </w:rPr>
            </w:pPr>
            <w:r>
              <w:rPr>
                <w:w w:val="99"/>
                <w:sz w:val="20"/>
              </w:rPr>
              <w:t>-</w:t>
            </w:r>
          </w:p>
        </w:tc>
        <w:tc>
          <w:tcPr>
            <w:tcW w:w="841" w:type="dxa"/>
          </w:tcPr>
          <w:p>
            <w:pPr>
              <w:pStyle w:val="TableParagraph"/>
              <w:spacing w:before="36"/>
              <w:ind w:right="48"/>
              <w:jc w:val="right"/>
              <w:rPr>
                <w:sz w:val="20"/>
              </w:rPr>
            </w:pPr>
            <w:r>
              <w:rPr>
                <w:spacing w:val="-2"/>
                <w:sz w:val="20"/>
              </w:rPr>
              <w:t>15,57</w:t>
            </w:r>
          </w:p>
        </w:tc>
      </w:tr>
      <w:tr>
        <w:trPr>
          <w:trHeight w:val="1230" w:hRule="atLeast"/>
        </w:trPr>
        <w:tc>
          <w:tcPr>
            <w:tcW w:w="946" w:type="dxa"/>
          </w:tcPr>
          <w:p>
            <w:pPr>
              <w:pStyle w:val="TableParagraph"/>
              <w:spacing w:before="36"/>
              <w:ind w:left="50"/>
              <w:rPr>
                <w:sz w:val="20"/>
              </w:rPr>
            </w:pPr>
            <w:r>
              <w:rPr>
                <w:spacing w:val="-2"/>
                <w:sz w:val="20"/>
              </w:rPr>
              <w:t>st36.012</w:t>
            </w:r>
          </w:p>
        </w:tc>
        <w:tc>
          <w:tcPr>
            <w:tcW w:w="707" w:type="dxa"/>
          </w:tcPr>
          <w:p>
            <w:pPr>
              <w:pStyle w:val="TableParagraph"/>
              <w:spacing w:before="36"/>
              <w:ind w:left="210"/>
              <w:rPr>
                <w:sz w:val="20"/>
              </w:rPr>
            </w:pPr>
            <w:r>
              <w:rPr>
                <w:spacing w:val="-5"/>
                <w:sz w:val="20"/>
              </w:rPr>
              <w:t>371</w:t>
            </w:r>
          </w:p>
        </w:tc>
        <w:tc>
          <w:tcPr>
            <w:tcW w:w="2543" w:type="dxa"/>
          </w:tcPr>
          <w:p>
            <w:pPr>
              <w:pStyle w:val="TableParagraph"/>
              <w:spacing w:before="34"/>
              <w:ind w:left="192" w:right="567"/>
              <w:rPr>
                <w:sz w:val="20"/>
              </w:rPr>
            </w:pPr>
            <w:r>
              <w:rPr>
                <w:spacing w:val="-2"/>
                <w:sz w:val="20"/>
              </w:rPr>
              <w:t>Злокачественное </w:t>
            </w:r>
            <w:r>
              <w:rPr>
                <w:sz w:val="20"/>
              </w:rPr>
              <w:t>новообразование</w:t>
            </w:r>
            <w:r>
              <w:rPr>
                <w:spacing w:val="-13"/>
                <w:sz w:val="20"/>
              </w:rPr>
              <w:t> </w:t>
            </w:r>
            <w:r>
              <w:rPr>
                <w:sz w:val="20"/>
              </w:rPr>
              <w:t>без </w:t>
            </w:r>
            <w:r>
              <w:rPr>
                <w:spacing w:val="-2"/>
                <w:sz w:val="20"/>
              </w:rPr>
              <w:t>специального противоопухолевого лечения</w:t>
            </w:r>
            <w:r>
              <w:rPr>
                <w:spacing w:val="-2"/>
                <w:sz w:val="20"/>
                <w:vertAlign w:val="superscript"/>
              </w:rPr>
              <w:t>***</w:t>
            </w:r>
          </w:p>
        </w:tc>
        <w:tc>
          <w:tcPr>
            <w:tcW w:w="4774" w:type="dxa"/>
          </w:tcPr>
          <w:p>
            <w:pPr>
              <w:pStyle w:val="TableParagraph"/>
              <w:spacing w:before="36"/>
              <w:ind w:left="1065"/>
              <w:rPr>
                <w:sz w:val="20"/>
              </w:rPr>
            </w:pPr>
            <w:r>
              <w:rPr>
                <w:sz w:val="20"/>
              </w:rPr>
              <w:t>C00</w:t>
            </w:r>
            <w:r>
              <w:rPr>
                <w:spacing w:val="-2"/>
                <w:sz w:val="20"/>
              </w:rPr>
              <w:t> </w:t>
            </w:r>
            <w:r>
              <w:rPr>
                <w:sz w:val="20"/>
              </w:rPr>
              <w:t>-</w:t>
            </w:r>
            <w:r>
              <w:rPr>
                <w:spacing w:val="-4"/>
                <w:sz w:val="20"/>
              </w:rPr>
              <w:t> </w:t>
            </w:r>
            <w:r>
              <w:rPr>
                <w:sz w:val="20"/>
              </w:rPr>
              <w:t>C80,</w:t>
            </w:r>
            <w:r>
              <w:rPr>
                <w:spacing w:val="-2"/>
                <w:sz w:val="20"/>
              </w:rPr>
              <w:t> </w:t>
            </w:r>
            <w:r>
              <w:rPr>
                <w:sz w:val="20"/>
              </w:rPr>
              <w:t>C97,</w:t>
            </w:r>
            <w:r>
              <w:rPr>
                <w:spacing w:val="-2"/>
                <w:sz w:val="20"/>
              </w:rPr>
              <w:t> </w:t>
            </w:r>
            <w:r>
              <w:rPr>
                <w:sz w:val="20"/>
              </w:rPr>
              <w:t>D00</w:t>
            </w:r>
            <w:r>
              <w:rPr>
                <w:spacing w:val="1"/>
                <w:sz w:val="20"/>
              </w:rPr>
              <w:t> </w:t>
            </w:r>
            <w:r>
              <w:rPr>
                <w:sz w:val="20"/>
              </w:rPr>
              <w:t>-</w:t>
            </w:r>
            <w:r>
              <w:rPr>
                <w:spacing w:val="-4"/>
                <w:sz w:val="20"/>
              </w:rPr>
              <w:t> </w:t>
            </w:r>
            <w:r>
              <w:rPr>
                <w:spacing w:val="-5"/>
                <w:sz w:val="20"/>
              </w:rPr>
              <w:t>D09</w:t>
            </w:r>
          </w:p>
        </w:tc>
        <w:tc>
          <w:tcPr>
            <w:tcW w:w="2528" w:type="dxa"/>
          </w:tcPr>
          <w:p>
            <w:pPr>
              <w:pStyle w:val="TableParagraph"/>
              <w:spacing w:before="36"/>
              <w:ind w:left="38"/>
              <w:jc w:val="center"/>
              <w:rPr>
                <w:sz w:val="20"/>
              </w:rPr>
            </w:pPr>
            <w:r>
              <w:rPr>
                <w:w w:val="99"/>
                <w:sz w:val="20"/>
              </w:rPr>
              <w:t>-</w:t>
            </w:r>
          </w:p>
        </w:tc>
        <w:tc>
          <w:tcPr>
            <w:tcW w:w="2985" w:type="dxa"/>
          </w:tcPr>
          <w:p>
            <w:pPr>
              <w:pStyle w:val="TableParagraph"/>
              <w:spacing w:before="36"/>
              <w:ind w:left="258"/>
              <w:jc w:val="center"/>
              <w:rPr>
                <w:sz w:val="20"/>
              </w:rPr>
            </w:pPr>
            <w:r>
              <w:rPr>
                <w:w w:val="99"/>
                <w:sz w:val="20"/>
              </w:rPr>
              <w:t>-</w:t>
            </w:r>
          </w:p>
        </w:tc>
        <w:tc>
          <w:tcPr>
            <w:tcW w:w="841" w:type="dxa"/>
          </w:tcPr>
          <w:p>
            <w:pPr>
              <w:pStyle w:val="TableParagraph"/>
              <w:spacing w:before="36"/>
              <w:ind w:right="98"/>
              <w:jc w:val="right"/>
              <w:rPr>
                <w:sz w:val="20"/>
              </w:rPr>
            </w:pPr>
            <w:r>
              <w:rPr>
                <w:spacing w:val="-4"/>
                <w:sz w:val="20"/>
              </w:rPr>
              <w:t>0,50</w:t>
            </w:r>
          </w:p>
        </w:tc>
      </w:tr>
      <w:tr>
        <w:trPr>
          <w:trHeight w:val="270" w:hRule="atLeast"/>
        </w:trPr>
        <w:tc>
          <w:tcPr>
            <w:tcW w:w="946" w:type="dxa"/>
          </w:tcPr>
          <w:p>
            <w:pPr>
              <w:pStyle w:val="TableParagraph"/>
              <w:spacing w:line="212" w:lineRule="exact" w:before="37"/>
              <w:ind w:left="50"/>
              <w:rPr>
                <w:sz w:val="20"/>
              </w:rPr>
            </w:pPr>
            <w:r>
              <w:rPr>
                <w:spacing w:val="-2"/>
                <w:sz w:val="20"/>
              </w:rPr>
              <w:t>st36.013</w:t>
            </w:r>
          </w:p>
        </w:tc>
        <w:tc>
          <w:tcPr>
            <w:tcW w:w="707" w:type="dxa"/>
          </w:tcPr>
          <w:p>
            <w:pPr>
              <w:pStyle w:val="TableParagraph"/>
              <w:spacing w:line="212" w:lineRule="exact" w:before="37"/>
              <w:ind w:left="210"/>
              <w:rPr>
                <w:sz w:val="20"/>
              </w:rPr>
            </w:pPr>
            <w:r>
              <w:rPr>
                <w:spacing w:val="-5"/>
                <w:sz w:val="20"/>
              </w:rPr>
              <w:t>372</w:t>
            </w:r>
          </w:p>
        </w:tc>
        <w:tc>
          <w:tcPr>
            <w:tcW w:w="2543" w:type="dxa"/>
          </w:tcPr>
          <w:p>
            <w:pPr>
              <w:pStyle w:val="TableParagraph"/>
              <w:spacing w:line="215" w:lineRule="exact" w:before="35"/>
              <w:ind w:left="192"/>
              <w:rPr>
                <w:sz w:val="20"/>
              </w:rPr>
            </w:pPr>
            <w:r>
              <w:rPr>
                <w:spacing w:val="-2"/>
                <w:sz w:val="20"/>
              </w:rPr>
              <w:t>Проведение</w:t>
            </w:r>
          </w:p>
        </w:tc>
        <w:tc>
          <w:tcPr>
            <w:tcW w:w="4774" w:type="dxa"/>
          </w:tcPr>
          <w:p>
            <w:pPr>
              <w:pStyle w:val="TableParagraph"/>
              <w:spacing w:line="212" w:lineRule="exact" w:before="37"/>
              <w:ind w:right="419"/>
              <w:jc w:val="center"/>
              <w:rPr>
                <w:sz w:val="20"/>
              </w:rPr>
            </w:pPr>
            <w:r>
              <w:rPr>
                <w:w w:val="99"/>
                <w:sz w:val="20"/>
              </w:rPr>
              <w:t>-</w:t>
            </w:r>
          </w:p>
        </w:tc>
        <w:tc>
          <w:tcPr>
            <w:tcW w:w="2528" w:type="dxa"/>
          </w:tcPr>
          <w:p>
            <w:pPr>
              <w:pStyle w:val="TableParagraph"/>
              <w:spacing w:line="212" w:lineRule="exact" w:before="37"/>
              <w:ind w:left="38"/>
              <w:jc w:val="center"/>
              <w:rPr>
                <w:sz w:val="20"/>
              </w:rPr>
            </w:pPr>
            <w:r>
              <w:rPr>
                <w:w w:val="99"/>
                <w:sz w:val="20"/>
              </w:rPr>
              <w:t>-</w:t>
            </w:r>
          </w:p>
        </w:tc>
        <w:tc>
          <w:tcPr>
            <w:tcW w:w="2985" w:type="dxa"/>
          </w:tcPr>
          <w:p>
            <w:pPr>
              <w:pStyle w:val="TableParagraph"/>
              <w:spacing w:line="215" w:lineRule="exact" w:before="35"/>
              <w:ind w:left="589" w:right="330"/>
              <w:jc w:val="center"/>
              <w:rPr>
                <w:sz w:val="20"/>
              </w:rPr>
            </w:pPr>
            <w:r>
              <w:rPr>
                <w:spacing w:val="-4"/>
                <w:sz w:val="20"/>
              </w:rPr>
              <w:t>Иной</w:t>
            </w:r>
          </w:p>
        </w:tc>
        <w:tc>
          <w:tcPr>
            <w:tcW w:w="841" w:type="dxa"/>
          </w:tcPr>
          <w:p>
            <w:pPr>
              <w:pStyle w:val="TableParagraph"/>
              <w:spacing w:line="212" w:lineRule="exact" w:before="37"/>
              <w:ind w:right="98"/>
              <w:jc w:val="right"/>
              <w:rPr>
                <w:sz w:val="20"/>
              </w:rPr>
            </w:pPr>
            <w:r>
              <w:rPr>
                <w:spacing w:val="-4"/>
                <w:sz w:val="20"/>
              </w:rPr>
              <w:t>1,61</w:t>
            </w:r>
          </w:p>
        </w:tc>
      </w:tr>
      <w:tr>
        <w:trPr>
          <w:trHeight w:val="227"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08" w:lineRule="exact"/>
              <w:ind w:left="192"/>
              <w:rPr>
                <w:sz w:val="20"/>
              </w:rPr>
            </w:pPr>
            <w:r>
              <w:rPr>
                <w:w w:val="95"/>
                <w:sz w:val="20"/>
              </w:rPr>
              <w:t>антимикробной</w:t>
            </w:r>
            <w:r>
              <w:rPr>
                <w:spacing w:val="50"/>
                <w:sz w:val="20"/>
              </w:rPr>
              <w:t> </w:t>
            </w:r>
            <w:r>
              <w:rPr>
                <w:spacing w:val="-2"/>
                <w:sz w:val="20"/>
              </w:rPr>
              <w:t>терапии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08" w:lineRule="exact"/>
              <w:ind w:left="589" w:right="329"/>
              <w:jc w:val="center"/>
              <w:rPr>
                <w:sz w:val="20"/>
              </w:rPr>
            </w:pPr>
            <w:r>
              <w:rPr>
                <w:spacing w:val="-2"/>
                <w:sz w:val="20"/>
              </w:rPr>
              <w:t>классификационный</w:t>
            </w:r>
          </w:p>
        </w:tc>
        <w:tc>
          <w:tcPr>
            <w:tcW w:w="84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0" w:lineRule="exact"/>
              <w:ind w:left="192"/>
              <w:rPr>
                <w:sz w:val="20"/>
              </w:rPr>
            </w:pPr>
            <w:r>
              <w:rPr>
                <w:spacing w:val="-2"/>
                <w:sz w:val="20"/>
              </w:rPr>
              <w:t>инфекций,</w:t>
            </w:r>
            <w:r>
              <w:rPr>
                <w:spacing w:val="2"/>
                <w:sz w:val="20"/>
              </w:rPr>
              <w:t> </w:t>
            </w:r>
            <w:r>
              <w:rPr>
                <w:spacing w:val="-2"/>
                <w:sz w:val="20"/>
              </w:rPr>
              <w:t>вызванных</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0" w:lineRule="exact"/>
              <w:ind w:left="589" w:right="333"/>
              <w:jc w:val="center"/>
              <w:rPr>
                <w:sz w:val="20"/>
              </w:rPr>
            </w:pPr>
            <w:r>
              <w:rPr>
                <w:sz w:val="20"/>
              </w:rPr>
              <w:t>критерий:</w:t>
            </w:r>
            <w:r>
              <w:rPr>
                <w:spacing w:val="-9"/>
                <w:sz w:val="20"/>
              </w:rPr>
              <w:t> </w:t>
            </w:r>
            <w:r>
              <w:rPr>
                <w:sz w:val="20"/>
              </w:rPr>
              <w:t>amt02,</w:t>
            </w:r>
            <w:r>
              <w:rPr>
                <w:spacing w:val="-7"/>
                <w:sz w:val="20"/>
              </w:rPr>
              <w:t> </w:t>
            </w:r>
            <w:r>
              <w:rPr>
                <w:spacing w:val="-2"/>
                <w:sz w:val="20"/>
              </w:rPr>
              <w:t>amt04,</w:t>
            </w:r>
          </w:p>
        </w:tc>
        <w:tc>
          <w:tcPr>
            <w:tcW w:w="84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0" w:lineRule="exact"/>
              <w:ind w:left="192"/>
              <w:rPr>
                <w:sz w:val="20"/>
              </w:rPr>
            </w:pPr>
            <w:r>
              <w:rPr>
                <w:spacing w:val="-2"/>
                <w:sz w:val="20"/>
              </w:rPr>
              <w:t>полирезистентными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0" w:lineRule="exact"/>
              <w:ind w:left="589" w:right="330"/>
              <w:jc w:val="center"/>
              <w:rPr>
                <w:sz w:val="20"/>
              </w:rPr>
            </w:pPr>
            <w:r>
              <w:rPr>
                <w:sz w:val="20"/>
              </w:rPr>
              <w:t>amt05,</w:t>
            </w:r>
            <w:r>
              <w:rPr>
                <w:spacing w:val="-6"/>
                <w:sz w:val="20"/>
              </w:rPr>
              <w:t> </w:t>
            </w:r>
            <w:r>
              <w:rPr>
                <w:sz w:val="20"/>
              </w:rPr>
              <w:t>amt08,</w:t>
            </w:r>
            <w:r>
              <w:rPr>
                <w:spacing w:val="-6"/>
                <w:sz w:val="20"/>
              </w:rPr>
              <w:t> </w:t>
            </w:r>
            <w:r>
              <w:rPr>
                <w:spacing w:val="-2"/>
                <w:sz w:val="20"/>
              </w:rPr>
              <w:t>amt10,</w:t>
            </w:r>
          </w:p>
        </w:tc>
        <w:tc>
          <w:tcPr>
            <w:tcW w:w="841" w:type="dxa"/>
          </w:tcPr>
          <w:p>
            <w:pPr>
              <w:pStyle w:val="TableParagraph"/>
              <w:rPr>
                <w:sz w:val="16"/>
              </w:rPr>
            </w:pPr>
          </w:p>
        </w:tc>
      </w:tr>
      <w:tr>
        <w:trPr>
          <w:trHeight w:val="232"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3" w:lineRule="exact"/>
              <w:ind w:left="192"/>
              <w:rPr>
                <w:sz w:val="20"/>
              </w:rPr>
            </w:pPr>
            <w:r>
              <w:rPr>
                <w:spacing w:val="-2"/>
                <w:sz w:val="20"/>
              </w:rPr>
              <w:t>микроорганизмами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3" w:lineRule="exact"/>
              <w:ind w:left="589" w:right="333"/>
              <w:jc w:val="center"/>
              <w:rPr>
                <w:sz w:val="20"/>
              </w:rPr>
            </w:pPr>
            <w:r>
              <w:rPr>
                <w:sz w:val="20"/>
              </w:rPr>
              <w:t>amt11,</w:t>
            </w:r>
            <w:r>
              <w:rPr>
                <w:spacing w:val="-7"/>
                <w:sz w:val="20"/>
              </w:rPr>
              <w:t> </w:t>
            </w:r>
            <w:r>
              <w:rPr>
                <w:spacing w:val="-2"/>
                <w:sz w:val="20"/>
              </w:rPr>
              <w:t>amt14</w:t>
            </w:r>
          </w:p>
        </w:tc>
        <w:tc>
          <w:tcPr>
            <w:tcW w:w="841" w:type="dxa"/>
          </w:tcPr>
          <w:p>
            <w:pPr>
              <w:pStyle w:val="TableParagraph"/>
              <w:rPr>
                <w:sz w:val="16"/>
              </w:rPr>
            </w:pPr>
          </w:p>
        </w:tc>
      </w:tr>
      <w:tr>
        <w:trPr>
          <w:trHeight w:val="268" w:hRule="atLeast"/>
        </w:trPr>
        <w:tc>
          <w:tcPr>
            <w:tcW w:w="946" w:type="dxa"/>
          </w:tcPr>
          <w:p>
            <w:pPr>
              <w:pStyle w:val="TableParagraph"/>
              <w:rPr>
                <w:sz w:val="18"/>
              </w:rPr>
            </w:pPr>
          </w:p>
        </w:tc>
        <w:tc>
          <w:tcPr>
            <w:tcW w:w="707" w:type="dxa"/>
          </w:tcPr>
          <w:p>
            <w:pPr>
              <w:pStyle w:val="TableParagraph"/>
              <w:rPr>
                <w:sz w:val="18"/>
              </w:rPr>
            </w:pPr>
          </w:p>
        </w:tc>
        <w:tc>
          <w:tcPr>
            <w:tcW w:w="2543"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4774" w:type="dxa"/>
          </w:tcPr>
          <w:p>
            <w:pPr>
              <w:pStyle w:val="TableParagraph"/>
              <w:rPr>
                <w:sz w:val="18"/>
              </w:rPr>
            </w:pPr>
          </w:p>
        </w:tc>
        <w:tc>
          <w:tcPr>
            <w:tcW w:w="2528" w:type="dxa"/>
          </w:tcPr>
          <w:p>
            <w:pPr>
              <w:pStyle w:val="TableParagraph"/>
              <w:rPr>
                <w:sz w:val="18"/>
              </w:rPr>
            </w:pPr>
          </w:p>
        </w:tc>
        <w:tc>
          <w:tcPr>
            <w:tcW w:w="2985" w:type="dxa"/>
          </w:tcPr>
          <w:p>
            <w:pPr>
              <w:pStyle w:val="TableParagraph"/>
              <w:rPr>
                <w:sz w:val="18"/>
              </w:rPr>
            </w:pPr>
          </w:p>
        </w:tc>
        <w:tc>
          <w:tcPr>
            <w:tcW w:w="841"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st36.014</w:t>
            </w:r>
          </w:p>
        </w:tc>
        <w:tc>
          <w:tcPr>
            <w:tcW w:w="707" w:type="dxa"/>
          </w:tcPr>
          <w:p>
            <w:pPr>
              <w:pStyle w:val="TableParagraph"/>
              <w:spacing w:line="214" w:lineRule="exact" w:before="36"/>
              <w:ind w:left="210"/>
              <w:rPr>
                <w:sz w:val="20"/>
              </w:rPr>
            </w:pPr>
            <w:r>
              <w:rPr>
                <w:spacing w:val="-5"/>
                <w:sz w:val="20"/>
              </w:rPr>
              <w:t>373</w:t>
            </w:r>
          </w:p>
        </w:tc>
        <w:tc>
          <w:tcPr>
            <w:tcW w:w="2543" w:type="dxa"/>
          </w:tcPr>
          <w:p>
            <w:pPr>
              <w:pStyle w:val="TableParagraph"/>
              <w:spacing w:line="216" w:lineRule="exact" w:before="34"/>
              <w:ind w:left="192"/>
              <w:rPr>
                <w:sz w:val="20"/>
              </w:rPr>
            </w:pPr>
            <w:r>
              <w:rPr>
                <w:spacing w:val="-2"/>
                <w:sz w:val="20"/>
              </w:rPr>
              <w:t>Проведение</w:t>
            </w:r>
          </w:p>
        </w:tc>
        <w:tc>
          <w:tcPr>
            <w:tcW w:w="4774" w:type="dxa"/>
          </w:tcPr>
          <w:p>
            <w:pPr>
              <w:pStyle w:val="TableParagraph"/>
              <w:spacing w:line="214" w:lineRule="exact" w:before="36"/>
              <w:ind w:right="419"/>
              <w:jc w:val="center"/>
              <w:rPr>
                <w:sz w:val="20"/>
              </w:rPr>
            </w:pPr>
            <w:r>
              <w:rPr>
                <w:w w:val="99"/>
                <w:sz w:val="20"/>
              </w:rPr>
              <w:t>-</w:t>
            </w:r>
          </w:p>
        </w:tc>
        <w:tc>
          <w:tcPr>
            <w:tcW w:w="2528" w:type="dxa"/>
          </w:tcPr>
          <w:p>
            <w:pPr>
              <w:pStyle w:val="TableParagraph"/>
              <w:spacing w:line="214" w:lineRule="exact" w:before="36"/>
              <w:ind w:left="38"/>
              <w:jc w:val="center"/>
              <w:rPr>
                <w:sz w:val="20"/>
              </w:rPr>
            </w:pPr>
            <w:r>
              <w:rPr>
                <w:w w:val="99"/>
                <w:sz w:val="20"/>
              </w:rPr>
              <w:t>-</w:t>
            </w:r>
          </w:p>
        </w:tc>
        <w:tc>
          <w:tcPr>
            <w:tcW w:w="2985" w:type="dxa"/>
          </w:tcPr>
          <w:p>
            <w:pPr>
              <w:pStyle w:val="TableParagraph"/>
              <w:spacing w:line="216" w:lineRule="exact" w:before="34"/>
              <w:ind w:left="589" w:right="330"/>
              <w:jc w:val="center"/>
              <w:rPr>
                <w:sz w:val="20"/>
              </w:rPr>
            </w:pPr>
            <w:r>
              <w:rPr>
                <w:spacing w:val="-4"/>
                <w:sz w:val="20"/>
              </w:rPr>
              <w:t>Иной</w:t>
            </w:r>
          </w:p>
        </w:tc>
        <w:tc>
          <w:tcPr>
            <w:tcW w:w="841" w:type="dxa"/>
          </w:tcPr>
          <w:p>
            <w:pPr>
              <w:pStyle w:val="TableParagraph"/>
              <w:spacing w:line="214" w:lineRule="exact" w:before="36"/>
              <w:ind w:right="98"/>
              <w:jc w:val="right"/>
              <w:rPr>
                <w:sz w:val="20"/>
              </w:rPr>
            </w:pPr>
            <w:r>
              <w:rPr>
                <w:spacing w:val="-4"/>
                <w:sz w:val="20"/>
              </w:rPr>
              <w:t>3,89</w:t>
            </w:r>
          </w:p>
        </w:tc>
      </w:tr>
      <w:tr>
        <w:trPr>
          <w:trHeight w:val="228"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08" w:lineRule="exact"/>
              <w:ind w:left="192"/>
              <w:rPr>
                <w:sz w:val="20"/>
              </w:rPr>
            </w:pPr>
            <w:r>
              <w:rPr>
                <w:w w:val="95"/>
                <w:sz w:val="20"/>
              </w:rPr>
              <w:t>антимикробной</w:t>
            </w:r>
            <w:r>
              <w:rPr>
                <w:spacing w:val="50"/>
                <w:sz w:val="20"/>
              </w:rPr>
              <w:t> </w:t>
            </w:r>
            <w:r>
              <w:rPr>
                <w:spacing w:val="-2"/>
                <w:sz w:val="20"/>
              </w:rPr>
              <w:t>терапии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08" w:lineRule="exact"/>
              <w:ind w:left="589" w:right="329"/>
              <w:jc w:val="center"/>
              <w:rPr>
                <w:sz w:val="20"/>
              </w:rPr>
            </w:pPr>
            <w:r>
              <w:rPr>
                <w:spacing w:val="-2"/>
                <w:sz w:val="20"/>
              </w:rPr>
              <w:t>классификационный</w:t>
            </w:r>
          </w:p>
        </w:tc>
        <w:tc>
          <w:tcPr>
            <w:tcW w:w="84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09" w:lineRule="exact"/>
              <w:ind w:left="192"/>
              <w:rPr>
                <w:sz w:val="20"/>
              </w:rPr>
            </w:pPr>
            <w:r>
              <w:rPr>
                <w:spacing w:val="-2"/>
                <w:sz w:val="20"/>
              </w:rPr>
              <w:t>инфекций,</w:t>
            </w:r>
            <w:r>
              <w:rPr>
                <w:spacing w:val="2"/>
                <w:sz w:val="20"/>
              </w:rPr>
              <w:t> </w:t>
            </w:r>
            <w:r>
              <w:rPr>
                <w:spacing w:val="-2"/>
                <w:sz w:val="20"/>
              </w:rPr>
              <w:t>вызванных</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09" w:lineRule="exact"/>
              <w:ind w:left="589" w:right="333"/>
              <w:jc w:val="center"/>
              <w:rPr>
                <w:sz w:val="20"/>
              </w:rPr>
            </w:pPr>
            <w:r>
              <w:rPr>
                <w:sz w:val="20"/>
              </w:rPr>
              <w:t>критерий:</w:t>
            </w:r>
            <w:r>
              <w:rPr>
                <w:spacing w:val="-9"/>
                <w:sz w:val="20"/>
              </w:rPr>
              <w:t> </w:t>
            </w:r>
            <w:r>
              <w:rPr>
                <w:sz w:val="20"/>
              </w:rPr>
              <w:t>amt06,</w:t>
            </w:r>
            <w:r>
              <w:rPr>
                <w:spacing w:val="-7"/>
                <w:sz w:val="20"/>
              </w:rPr>
              <w:t> </w:t>
            </w:r>
            <w:r>
              <w:rPr>
                <w:spacing w:val="-2"/>
                <w:sz w:val="20"/>
              </w:rPr>
              <w:t>amt07,</w:t>
            </w:r>
          </w:p>
        </w:tc>
        <w:tc>
          <w:tcPr>
            <w:tcW w:w="841"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2" w:lineRule="exact"/>
              <w:ind w:left="192"/>
              <w:rPr>
                <w:sz w:val="20"/>
              </w:rPr>
            </w:pPr>
            <w:r>
              <w:rPr>
                <w:spacing w:val="-2"/>
                <w:sz w:val="20"/>
              </w:rPr>
              <w:t>полирезистентными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2" w:lineRule="exact"/>
              <w:ind w:left="589" w:right="333"/>
              <w:jc w:val="center"/>
              <w:rPr>
                <w:sz w:val="20"/>
              </w:rPr>
            </w:pPr>
            <w:r>
              <w:rPr>
                <w:sz w:val="20"/>
              </w:rPr>
              <w:t>amt09,</w:t>
            </w:r>
            <w:r>
              <w:rPr>
                <w:spacing w:val="-7"/>
                <w:sz w:val="20"/>
              </w:rPr>
              <w:t> </w:t>
            </w:r>
            <w:r>
              <w:rPr>
                <w:spacing w:val="-2"/>
                <w:sz w:val="20"/>
              </w:rPr>
              <w:t>amt12</w:t>
            </w:r>
          </w:p>
        </w:tc>
        <w:tc>
          <w:tcPr>
            <w:tcW w:w="84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0" w:lineRule="exact"/>
              <w:ind w:left="192"/>
              <w:rPr>
                <w:sz w:val="20"/>
              </w:rPr>
            </w:pPr>
            <w:r>
              <w:rPr>
                <w:spacing w:val="-2"/>
                <w:sz w:val="20"/>
              </w:rPr>
              <w:t>микроорганизмами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rPr>
                <w:sz w:val="16"/>
              </w:rPr>
            </w:pPr>
          </w:p>
        </w:tc>
        <w:tc>
          <w:tcPr>
            <w:tcW w:w="841" w:type="dxa"/>
          </w:tcPr>
          <w:p>
            <w:pPr>
              <w:pStyle w:val="TableParagraph"/>
              <w:rPr>
                <w:sz w:val="16"/>
              </w:rPr>
            </w:pPr>
          </w:p>
        </w:tc>
      </w:tr>
      <w:tr>
        <w:trPr>
          <w:trHeight w:val="269" w:hRule="atLeast"/>
        </w:trPr>
        <w:tc>
          <w:tcPr>
            <w:tcW w:w="946" w:type="dxa"/>
          </w:tcPr>
          <w:p>
            <w:pPr>
              <w:pStyle w:val="TableParagraph"/>
              <w:rPr>
                <w:sz w:val="18"/>
              </w:rPr>
            </w:pPr>
          </w:p>
        </w:tc>
        <w:tc>
          <w:tcPr>
            <w:tcW w:w="707" w:type="dxa"/>
          </w:tcPr>
          <w:p>
            <w:pPr>
              <w:pStyle w:val="TableParagraph"/>
              <w:rPr>
                <w:sz w:val="18"/>
              </w:rPr>
            </w:pPr>
          </w:p>
        </w:tc>
        <w:tc>
          <w:tcPr>
            <w:tcW w:w="2543" w:type="dxa"/>
          </w:tcPr>
          <w:p>
            <w:pPr>
              <w:pStyle w:val="TableParagraph"/>
              <w:spacing w:line="227" w:lineRule="exact"/>
              <w:ind w:left="192"/>
              <w:rPr>
                <w:sz w:val="20"/>
              </w:rPr>
            </w:pPr>
            <w:r>
              <w:rPr>
                <w:sz w:val="20"/>
              </w:rPr>
              <w:t>(уровень</w:t>
            </w:r>
            <w:r>
              <w:rPr>
                <w:spacing w:val="-11"/>
                <w:sz w:val="20"/>
              </w:rPr>
              <w:t> </w:t>
            </w:r>
            <w:r>
              <w:rPr>
                <w:spacing w:val="-5"/>
                <w:sz w:val="20"/>
              </w:rPr>
              <w:t>2)</w:t>
            </w:r>
          </w:p>
        </w:tc>
        <w:tc>
          <w:tcPr>
            <w:tcW w:w="4774" w:type="dxa"/>
          </w:tcPr>
          <w:p>
            <w:pPr>
              <w:pStyle w:val="TableParagraph"/>
              <w:rPr>
                <w:sz w:val="18"/>
              </w:rPr>
            </w:pPr>
          </w:p>
        </w:tc>
        <w:tc>
          <w:tcPr>
            <w:tcW w:w="2528" w:type="dxa"/>
          </w:tcPr>
          <w:p>
            <w:pPr>
              <w:pStyle w:val="TableParagraph"/>
              <w:rPr>
                <w:sz w:val="18"/>
              </w:rPr>
            </w:pPr>
          </w:p>
        </w:tc>
        <w:tc>
          <w:tcPr>
            <w:tcW w:w="2985" w:type="dxa"/>
          </w:tcPr>
          <w:p>
            <w:pPr>
              <w:pStyle w:val="TableParagraph"/>
              <w:rPr>
                <w:sz w:val="18"/>
              </w:rPr>
            </w:pPr>
          </w:p>
        </w:tc>
        <w:tc>
          <w:tcPr>
            <w:tcW w:w="841" w:type="dxa"/>
          </w:tcPr>
          <w:p>
            <w:pPr>
              <w:pStyle w:val="TableParagraph"/>
              <w:rPr>
                <w:sz w:val="18"/>
              </w:rPr>
            </w:pPr>
          </w:p>
        </w:tc>
      </w:tr>
      <w:tr>
        <w:trPr>
          <w:trHeight w:val="955" w:hRule="atLeast"/>
        </w:trPr>
        <w:tc>
          <w:tcPr>
            <w:tcW w:w="946" w:type="dxa"/>
          </w:tcPr>
          <w:p>
            <w:pPr>
              <w:pStyle w:val="TableParagraph"/>
              <w:spacing w:before="34"/>
              <w:ind w:left="50"/>
              <w:rPr>
                <w:sz w:val="20"/>
              </w:rPr>
            </w:pPr>
            <w:r>
              <w:rPr>
                <w:spacing w:val="-2"/>
                <w:sz w:val="20"/>
              </w:rPr>
              <w:t>st36.015</w:t>
            </w:r>
          </w:p>
        </w:tc>
        <w:tc>
          <w:tcPr>
            <w:tcW w:w="707" w:type="dxa"/>
          </w:tcPr>
          <w:p>
            <w:pPr>
              <w:pStyle w:val="TableParagraph"/>
              <w:spacing w:before="34"/>
              <w:ind w:left="210"/>
              <w:rPr>
                <w:sz w:val="20"/>
              </w:rPr>
            </w:pPr>
            <w:r>
              <w:rPr>
                <w:spacing w:val="-5"/>
                <w:sz w:val="20"/>
              </w:rPr>
              <w:t>374</w:t>
            </w:r>
          </w:p>
        </w:tc>
        <w:tc>
          <w:tcPr>
            <w:tcW w:w="2543" w:type="dxa"/>
          </w:tcPr>
          <w:p>
            <w:pPr>
              <w:pStyle w:val="TableParagraph"/>
              <w:spacing w:line="230" w:lineRule="atLeast" w:before="15"/>
              <w:ind w:left="192" w:right="271"/>
              <w:rPr>
                <w:sz w:val="20"/>
              </w:rPr>
            </w:pPr>
            <w:r>
              <w:rPr>
                <w:spacing w:val="-2"/>
                <w:sz w:val="20"/>
              </w:rPr>
              <w:t>Проведение </w:t>
            </w:r>
            <w:r>
              <w:rPr>
                <w:sz w:val="20"/>
              </w:rPr>
              <w:t>антимикробной</w:t>
            </w:r>
            <w:r>
              <w:rPr>
                <w:spacing w:val="-13"/>
                <w:sz w:val="20"/>
              </w:rPr>
              <w:t> </w:t>
            </w:r>
            <w:r>
              <w:rPr>
                <w:sz w:val="20"/>
              </w:rPr>
              <w:t>терапии инфекций, вызванных </w:t>
            </w:r>
            <w:r>
              <w:rPr>
                <w:spacing w:val="-2"/>
                <w:sz w:val="20"/>
              </w:rPr>
              <w:t>полирезистентными</w:t>
            </w:r>
          </w:p>
        </w:tc>
        <w:tc>
          <w:tcPr>
            <w:tcW w:w="4774" w:type="dxa"/>
          </w:tcPr>
          <w:p>
            <w:pPr>
              <w:pStyle w:val="TableParagraph"/>
              <w:spacing w:before="34"/>
              <w:ind w:right="419"/>
              <w:jc w:val="center"/>
              <w:rPr>
                <w:sz w:val="20"/>
              </w:rPr>
            </w:pPr>
            <w:r>
              <w:rPr>
                <w:w w:val="99"/>
                <w:sz w:val="20"/>
              </w:rPr>
              <w:t>-</w:t>
            </w:r>
          </w:p>
        </w:tc>
        <w:tc>
          <w:tcPr>
            <w:tcW w:w="2528" w:type="dxa"/>
          </w:tcPr>
          <w:p>
            <w:pPr>
              <w:pStyle w:val="TableParagraph"/>
              <w:spacing w:before="34"/>
              <w:ind w:left="38"/>
              <w:jc w:val="center"/>
              <w:rPr>
                <w:sz w:val="20"/>
              </w:rPr>
            </w:pPr>
            <w:r>
              <w:rPr>
                <w:w w:val="99"/>
                <w:sz w:val="20"/>
              </w:rPr>
              <w:t>-</w:t>
            </w:r>
          </w:p>
        </w:tc>
        <w:tc>
          <w:tcPr>
            <w:tcW w:w="2985" w:type="dxa"/>
          </w:tcPr>
          <w:p>
            <w:pPr>
              <w:pStyle w:val="TableParagraph"/>
              <w:spacing w:line="230" w:lineRule="atLeast" w:before="15"/>
              <w:ind w:left="597" w:right="338" w:firstLine="3"/>
              <w:jc w:val="center"/>
              <w:rPr>
                <w:sz w:val="20"/>
              </w:rPr>
            </w:pPr>
            <w:r>
              <w:rPr>
                <w:spacing w:val="-4"/>
                <w:sz w:val="20"/>
              </w:rPr>
              <w:t>Иной </w:t>
            </w:r>
            <w:r>
              <w:rPr>
                <w:spacing w:val="-2"/>
                <w:sz w:val="20"/>
              </w:rPr>
              <w:t>классификационный </w:t>
            </w:r>
            <w:r>
              <w:rPr>
                <w:sz w:val="20"/>
              </w:rPr>
              <w:t>критерий:</w:t>
            </w:r>
            <w:r>
              <w:rPr>
                <w:spacing w:val="-13"/>
                <w:sz w:val="20"/>
              </w:rPr>
              <w:t> </w:t>
            </w:r>
            <w:r>
              <w:rPr>
                <w:sz w:val="20"/>
              </w:rPr>
              <w:t>amt01,</w:t>
            </w:r>
            <w:r>
              <w:rPr>
                <w:spacing w:val="-12"/>
                <w:sz w:val="20"/>
              </w:rPr>
              <w:t> </w:t>
            </w:r>
            <w:r>
              <w:rPr>
                <w:sz w:val="20"/>
              </w:rPr>
              <w:t>amt03, amt13, amt15</w:t>
            </w:r>
          </w:p>
        </w:tc>
        <w:tc>
          <w:tcPr>
            <w:tcW w:w="841" w:type="dxa"/>
          </w:tcPr>
          <w:p>
            <w:pPr>
              <w:pStyle w:val="TableParagraph"/>
              <w:spacing w:before="34"/>
              <w:ind w:right="48"/>
              <w:jc w:val="right"/>
              <w:rPr>
                <w:sz w:val="20"/>
              </w:rPr>
            </w:pPr>
            <w:r>
              <w:rPr>
                <w:spacing w:val="-2"/>
                <w:sz w:val="20"/>
              </w:rPr>
              <w:t>10,54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70"/>
        <w:gridCol w:w="3293"/>
        <w:gridCol w:w="2798"/>
        <w:gridCol w:w="3277"/>
        <w:gridCol w:w="787"/>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470" w:type="dxa"/>
          </w:tcPr>
          <w:p>
            <w:pPr>
              <w:pStyle w:val="TableParagraph"/>
              <w:ind w:left="192" w:right="1036"/>
              <w:rPr>
                <w:sz w:val="20"/>
              </w:rPr>
            </w:pPr>
            <w:r>
              <w:rPr>
                <w:spacing w:val="-2"/>
                <w:sz w:val="20"/>
              </w:rPr>
              <w:t>микроорганизмами </w:t>
            </w:r>
            <w:r>
              <w:rPr>
                <w:sz w:val="20"/>
              </w:rPr>
              <w:t>(уровень 3)</w:t>
            </w:r>
          </w:p>
        </w:tc>
        <w:tc>
          <w:tcPr>
            <w:tcW w:w="3293" w:type="dxa"/>
          </w:tcPr>
          <w:p>
            <w:pPr>
              <w:pStyle w:val="TableParagraph"/>
              <w:rPr>
                <w:sz w:val="18"/>
              </w:rPr>
            </w:pPr>
          </w:p>
        </w:tc>
        <w:tc>
          <w:tcPr>
            <w:tcW w:w="2798" w:type="dxa"/>
          </w:tcPr>
          <w:p>
            <w:pPr>
              <w:pStyle w:val="TableParagraph"/>
              <w:rPr>
                <w:sz w:val="18"/>
              </w:rPr>
            </w:pPr>
          </w:p>
        </w:tc>
        <w:tc>
          <w:tcPr>
            <w:tcW w:w="3277" w:type="dxa"/>
          </w:tcPr>
          <w:p>
            <w:pPr>
              <w:pStyle w:val="TableParagraph"/>
              <w:rPr>
                <w:sz w:val="18"/>
              </w:rPr>
            </w:pPr>
          </w:p>
        </w:tc>
        <w:tc>
          <w:tcPr>
            <w:tcW w:w="787" w:type="dxa"/>
          </w:tcPr>
          <w:p>
            <w:pPr>
              <w:pStyle w:val="TableParagraph"/>
              <w:rPr>
                <w:sz w:val="18"/>
              </w:rPr>
            </w:pPr>
          </w:p>
        </w:tc>
      </w:tr>
      <w:tr>
        <w:trPr>
          <w:trHeight w:val="1249" w:hRule="atLeast"/>
        </w:trPr>
        <w:tc>
          <w:tcPr>
            <w:tcW w:w="946" w:type="dxa"/>
          </w:tcPr>
          <w:p>
            <w:pPr>
              <w:pStyle w:val="TableParagraph"/>
              <w:spacing w:before="45"/>
              <w:ind w:left="50"/>
              <w:rPr>
                <w:sz w:val="20"/>
              </w:rPr>
            </w:pPr>
            <w:r>
              <w:rPr>
                <w:spacing w:val="-2"/>
                <w:sz w:val="20"/>
              </w:rPr>
              <w:t>st36.016</w:t>
            </w:r>
          </w:p>
        </w:tc>
        <w:tc>
          <w:tcPr>
            <w:tcW w:w="707" w:type="dxa"/>
          </w:tcPr>
          <w:p>
            <w:pPr>
              <w:pStyle w:val="TableParagraph"/>
              <w:spacing w:before="45"/>
              <w:ind w:left="210"/>
              <w:rPr>
                <w:sz w:val="20"/>
              </w:rPr>
            </w:pPr>
            <w:r>
              <w:rPr>
                <w:spacing w:val="-5"/>
                <w:sz w:val="20"/>
              </w:rPr>
              <w:t>375</w:t>
            </w:r>
          </w:p>
        </w:tc>
        <w:tc>
          <w:tcPr>
            <w:tcW w:w="3470" w:type="dxa"/>
          </w:tcPr>
          <w:p>
            <w:pPr>
              <w:pStyle w:val="TableParagraph"/>
              <w:spacing w:before="45"/>
              <w:ind w:left="192" w:right="1036"/>
              <w:rPr>
                <w:sz w:val="20"/>
              </w:rPr>
            </w:pPr>
            <w:r>
              <w:rPr>
                <w:sz w:val="20"/>
              </w:rPr>
              <w:t>Проведение</w:t>
            </w:r>
            <w:r>
              <w:rPr>
                <w:spacing w:val="-13"/>
                <w:sz w:val="20"/>
              </w:rPr>
              <w:t> </w:t>
            </w:r>
            <w:r>
              <w:rPr>
                <w:sz w:val="20"/>
              </w:rPr>
              <w:t>иммунизации против респираторно- синцитиальной вирусной </w:t>
            </w:r>
            <w:r>
              <w:rPr>
                <w:spacing w:val="-2"/>
                <w:sz w:val="20"/>
              </w:rPr>
              <w:t>инфекции</w:t>
            </w:r>
          </w:p>
        </w:tc>
        <w:tc>
          <w:tcPr>
            <w:tcW w:w="3293" w:type="dxa"/>
          </w:tcPr>
          <w:p>
            <w:pPr>
              <w:pStyle w:val="TableParagraph"/>
              <w:spacing w:before="45"/>
              <w:ind w:left="999" w:right="1790"/>
              <w:jc w:val="center"/>
              <w:rPr>
                <w:sz w:val="20"/>
              </w:rPr>
            </w:pPr>
            <w:r>
              <w:rPr>
                <w:spacing w:val="-2"/>
                <w:sz w:val="20"/>
              </w:rPr>
              <w:t>Z25.8</w:t>
            </w:r>
          </w:p>
        </w:tc>
        <w:tc>
          <w:tcPr>
            <w:tcW w:w="2798" w:type="dxa"/>
          </w:tcPr>
          <w:p>
            <w:pPr>
              <w:pStyle w:val="TableParagraph"/>
              <w:spacing w:before="45"/>
              <w:ind w:right="925"/>
              <w:jc w:val="right"/>
              <w:rPr>
                <w:sz w:val="20"/>
              </w:rPr>
            </w:pPr>
            <w:r>
              <w:rPr>
                <w:w w:val="99"/>
                <w:sz w:val="20"/>
              </w:rPr>
              <w:t>-</w:t>
            </w:r>
          </w:p>
        </w:tc>
        <w:tc>
          <w:tcPr>
            <w:tcW w:w="3277" w:type="dxa"/>
          </w:tcPr>
          <w:p>
            <w:pPr>
              <w:pStyle w:val="TableParagraph"/>
              <w:spacing w:before="45"/>
              <w:ind w:left="1027" w:right="488" w:hanging="2"/>
              <w:jc w:val="center"/>
              <w:rPr>
                <w:sz w:val="20"/>
              </w:rPr>
            </w:pPr>
            <w:r>
              <w:rPr>
                <w:spacing w:val="-4"/>
                <w:sz w:val="20"/>
              </w:rPr>
              <w:t>Иной </w:t>
            </w:r>
            <w:r>
              <w:rPr>
                <w:spacing w:val="-2"/>
                <w:sz w:val="20"/>
              </w:rPr>
              <w:t>классификационный </w:t>
            </w:r>
            <w:r>
              <w:rPr>
                <w:sz w:val="20"/>
              </w:rPr>
              <w:t>критерий: irs Возрастная группа: от 0 дней до 2 лет</w:t>
            </w:r>
          </w:p>
        </w:tc>
        <w:tc>
          <w:tcPr>
            <w:tcW w:w="787" w:type="dxa"/>
          </w:tcPr>
          <w:p>
            <w:pPr>
              <w:pStyle w:val="TableParagraph"/>
              <w:spacing w:before="45"/>
              <w:ind w:right="52"/>
              <w:jc w:val="right"/>
              <w:rPr>
                <w:sz w:val="20"/>
              </w:rPr>
            </w:pPr>
            <w:r>
              <w:rPr>
                <w:spacing w:val="-4"/>
                <w:sz w:val="20"/>
              </w:rPr>
              <w:t>2,61</w:t>
            </w:r>
          </w:p>
        </w:tc>
      </w:tr>
      <w:tr>
        <w:trPr>
          <w:trHeight w:val="1250" w:hRule="atLeast"/>
        </w:trPr>
        <w:tc>
          <w:tcPr>
            <w:tcW w:w="946" w:type="dxa"/>
          </w:tcPr>
          <w:p>
            <w:pPr>
              <w:pStyle w:val="TableParagraph"/>
              <w:spacing w:before="46"/>
              <w:ind w:left="50"/>
              <w:rPr>
                <w:sz w:val="20"/>
              </w:rPr>
            </w:pPr>
            <w:r>
              <w:rPr>
                <w:spacing w:val="-2"/>
                <w:sz w:val="20"/>
              </w:rPr>
              <w:t>st36.017</w:t>
            </w:r>
          </w:p>
        </w:tc>
        <w:tc>
          <w:tcPr>
            <w:tcW w:w="707" w:type="dxa"/>
          </w:tcPr>
          <w:p>
            <w:pPr>
              <w:pStyle w:val="TableParagraph"/>
              <w:spacing w:before="46"/>
              <w:ind w:left="210"/>
              <w:rPr>
                <w:sz w:val="20"/>
              </w:rPr>
            </w:pPr>
            <w:r>
              <w:rPr>
                <w:spacing w:val="-5"/>
                <w:sz w:val="20"/>
              </w:rPr>
              <w:t>376</w:t>
            </w:r>
          </w:p>
        </w:tc>
        <w:tc>
          <w:tcPr>
            <w:tcW w:w="3470" w:type="dxa"/>
            <w:vMerge w:val="restart"/>
          </w:tcPr>
          <w:p>
            <w:pPr>
              <w:pStyle w:val="TableParagraph"/>
              <w:spacing w:before="46"/>
              <w:ind w:left="192" w:right="1014"/>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1)</w:t>
            </w:r>
          </w:p>
        </w:tc>
        <w:tc>
          <w:tcPr>
            <w:tcW w:w="3293" w:type="dxa"/>
          </w:tcPr>
          <w:p>
            <w:pPr>
              <w:pStyle w:val="TableParagraph"/>
              <w:spacing w:before="46"/>
              <w:ind w:right="792"/>
              <w:jc w:val="center"/>
              <w:rPr>
                <w:sz w:val="20"/>
              </w:rPr>
            </w:pPr>
            <w:r>
              <w:rPr>
                <w:w w:val="99"/>
                <w:sz w:val="20"/>
              </w:rPr>
              <w:t>-</w:t>
            </w:r>
          </w:p>
        </w:tc>
        <w:tc>
          <w:tcPr>
            <w:tcW w:w="2798" w:type="dxa"/>
          </w:tcPr>
          <w:p>
            <w:pPr>
              <w:pStyle w:val="TableParagraph"/>
              <w:spacing w:before="46"/>
              <w:ind w:right="925"/>
              <w:jc w:val="right"/>
              <w:rPr>
                <w:sz w:val="20"/>
              </w:rPr>
            </w:pPr>
            <w:r>
              <w:rPr>
                <w:w w:val="99"/>
                <w:sz w:val="20"/>
              </w:rPr>
              <w:t>-</w:t>
            </w:r>
          </w:p>
        </w:tc>
        <w:tc>
          <w:tcPr>
            <w:tcW w:w="3277" w:type="dxa"/>
          </w:tcPr>
          <w:p>
            <w:pPr>
              <w:pStyle w:val="TableParagraph"/>
              <w:spacing w:before="46"/>
              <w:ind w:left="1027" w:right="488"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gibp31</w:t>
            </w:r>
          </w:p>
        </w:tc>
        <w:tc>
          <w:tcPr>
            <w:tcW w:w="787" w:type="dxa"/>
          </w:tcPr>
          <w:p>
            <w:pPr>
              <w:pStyle w:val="TableParagraph"/>
              <w:spacing w:before="46"/>
              <w:ind w:right="52"/>
              <w:jc w:val="right"/>
              <w:rPr>
                <w:sz w:val="20"/>
              </w:rPr>
            </w:pPr>
            <w:r>
              <w:rPr>
                <w:spacing w:val="-4"/>
                <w:sz w:val="20"/>
              </w:rPr>
              <w:t>1,04</w:t>
            </w:r>
          </w:p>
        </w:tc>
      </w:tr>
      <w:tr>
        <w:trPr>
          <w:trHeight w:val="1940" w:hRule="atLeast"/>
        </w:trPr>
        <w:tc>
          <w:tcPr>
            <w:tcW w:w="946" w:type="dxa"/>
          </w:tcPr>
          <w:p>
            <w:pPr>
              <w:pStyle w:val="TableParagraph"/>
              <w:rPr>
                <w:sz w:val="18"/>
              </w:rPr>
            </w:pPr>
          </w:p>
        </w:tc>
        <w:tc>
          <w:tcPr>
            <w:tcW w:w="707" w:type="dxa"/>
          </w:tcPr>
          <w:p>
            <w:pPr>
              <w:pStyle w:val="TableParagraph"/>
              <w:rPr>
                <w:sz w:val="18"/>
              </w:rPr>
            </w:pPr>
          </w:p>
        </w:tc>
        <w:tc>
          <w:tcPr>
            <w:tcW w:w="3470" w:type="dxa"/>
            <w:vMerge/>
            <w:tcBorders>
              <w:top w:val="nil"/>
            </w:tcBorders>
          </w:tcPr>
          <w:p>
            <w:pPr>
              <w:rPr>
                <w:sz w:val="2"/>
                <w:szCs w:val="2"/>
              </w:rPr>
            </w:pPr>
          </w:p>
        </w:tc>
        <w:tc>
          <w:tcPr>
            <w:tcW w:w="3293" w:type="dxa"/>
          </w:tcPr>
          <w:p>
            <w:pPr>
              <w:pStyle w:val="TableParagraph"/>
              <w:rPr>
                <w:sz w:val="18"/>
              </w:rPr>
            </w:pPr>
          </w:p>
        </w:tc>
        <w:tc>
          <w:tcPr>
            <w:tcW w:w="2798" w:type="dxa"/>
          </w:tcPr>
          <w:p>
            <w:pPr>
              <w:pStyle w:val="TableParagraph"/>
              <w:rPr>
                <w:sz w:val="18"/>
              </w:rPr>
            </w:pPr>
          </w:p>
        </w:tc>
        <w:tc>
          <w:tcPr>
            <w:tcW w:w="3277" w:type="dxa"/>
          </w:tcPr>
          <w:p>
            <w:pPr>
              <w:pStyle w:val="TableParagraph"/>
              <w:spacing w:before="46"/>
              <w:ind w:left="1086" w:right="548"/>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922" w:right="386" w:firstLine="3"/>
              <w:jc w:val="center"/>
              <w:rPr>
                <w:sz w:val="20"/>
              </w:rPr>
            </w:pPr>
            <w:r>
              <w:rPr>
                <w:spacing w:val="-2"/>
                <w:sz w:val="20"/>
              </w:rPr>
              <w:t>классификационный </w:t>
            </w:r>
            <w:r>
              <w:rPr>
                <w:sz w:val="20"/>
              </w:rPr>
              <w:t>критерий: gibp01, gibp02, gibp03, gibp12, gibp18,</w:t>
            </w:r>
            <w:r>
              <w:rPr>
                <w:spacing w:val="24"/>
                <w:sz w:val="20"/>
              </w:rPr>
              <w:t> </w:t>
            </w:r>
            <w:r>
              <w:rPr>
                <w:sz w:val="20"/>
              </w:rPr>
              <w:t>gibp26,</w:t>
            </w:r>
            <w:r>
              <w:rPr>
                <w:spacing w:val="-13"/>
                <w:sz w:val="20"/>
              </w:rPr>
              <w:t> </w:t>
            </w:r>
            <w:r>
              <w:rPr>
                <w:sz w:val="20"/>
              </w:rPr>
              <w:t>gibp30, </w:t>
            </w:r>
            <w:r>
              <w:rPr>
                <w:spacing w:val="-2"/>
                <w:sz w:val="20"/>
              </w:rPr>
              <w:t>gibp31</w:t>
            </w:r>
          </w:p>
        </w:tc>
        <w:tc>
          <w:tcPr>
            <w:tcW w:w="787" w:type="dxa"/>
          </w:tcPr>
          <w:p>
            <w:pPr>
              <w:pStyle w:val="TableParagraph"/>
              <w:rPr>
                <w:sz w:val="18"/>
              </w:rPr>
            </w:pPr>
          </w:p>
        </w:tc>
      </w:tr>
      <w:tr>
        <w:trPr>
          <w:trHeight w:val="1939" w:hRule="atLeast"/>
        </w:trPr>
        <w:tc>
          <w:tcPr>
            <w:tcW w:w="946" w:type="dxa"/>
          </w:tcPr>
          <w:p>
            <w:pPr>
              <w:pStyle w:val="TableParagraph"/>
              <w:spacing w:before="45"/>
              <w:ind w:left="50"/>
              <w:rPr>
                <w:sz w:val="20"/>
              </w:rPr>
            </w:pPr>
            <w:r>
              <w:rPr>
                <w:spacing w:val="-2"/>
                <w:sz w:val="20"/>
              </w:rPr>
              <w:t>st36.018</w:t>
            </w:r>
          </w:p>
        </w:tc>
        <w:tc>
          <w:tcPr>
            <w:tcW w:w="707" w:type="dxa"/>
          </w:tcPr>
          <w:p>
            <w:pPr>
              <w:pStyle w:val="TableParagraph"/>
              <w:spacing w:before="45"/>
              <w:ind w:left="210"/>
              <w:rPr>
                <w:sz w:val="20"/>
              </w:rPr>
            </w:pPr>
            <w:r>
              <w:rPr>
                <w:spacing w:val="-5"/>
                <w:sz w:val="20"/>
              </w:rPr>
              <w:t>377</w:t>
            </w:r>
          </w:p>
        </w:tc>
        <w:tc>
          <w:tcPr>
            <w:tcW w:w="3470" w:type="dxa"/>
          </w:tcPr>
          <w:p>
            <w:pPr>
              <w:pStyle w:val="TableParagraph"/>
              <w:spacing w:before="45"/>
              <w:ind w:left="192" w:right="1014"/>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2)</w:t>
            </w:r>
          </w:p>
        </w:tc>
        <w:tc>
          <w:tcPr>
            <w:tcW w:w="3293" w:type="dxa"/>
          </w:tcPr>
          <w:p>
            <w:pPr>
              <w:pStyle w:val="TableParagraph"/>
              <w:spacing w:before="45"/>
              <w:ind w:right="792"/>
              <w:jc w:val="center"/>
              <w:rPr>
                <w:sz w:val="20"/>
              </w:rPr>
            </w:pPr>
            <w:r>
              <w:rPr>
                <w:w w:val="99"/>
                <w:sz w:val="20"/>
              </w:rPr>
              <w:t>-</w:t>
            </w:r>
          </w:p>
        </w:tc>
        <w:tc>
          <w:tcPr>
            <w:tcW w:w="2798" w:type="dxa"/>
          </w:tcPr>
          <w:p>
            <w:pPr>
              <w:pStyle w:val="TableParagraph"/>
              <w:spacing w:before="45"/>
              <w:ind w:right="925"/>
              <w:jc w:val="right"/>
              <w:rPr>
                <w:sz w:val="20"/>
              </w:rPr>
            </w:pPr>
            <w:r>
              <w:rPr>
                <w:w w:val="99"/>
                <w:sz w:val="20"/>
              </w:rPr>
              <w:t>-</w:t>
            </w:r>
          </w:p>
        </w:tc>
        <w:tc>
          <w:tcPr>
            <w:tcW w:w="3277" w:type="dxa"/>
          </w:tcPr>
          <w:p>
            <w:pPr>
              <w:pStyle w:val="TableParagraph"/>
              <w:spacing w:before="45"/>
              <w:ind w:left="1027" w:right="488"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gibp01,</w:t>
            </w:r>
          </w:p>
          <w:p>
            <w:pPr>
              <w:pStyle w:val="TableParagraph"/>
              <w:ind w:left="922" w:right="386"/>
              <w:jc w:val="both"/>
              <w:rPr>
                <w:sz w:val="20"/>
              </w:rPr>
            </w:pPr>
            <w:r>
              <w:rPr>
                <w:sz w:val="20"/>
              </w:rPr>
              <w:t>gibp02,</w:t>
            </w:r>
            <w:r>
              <w:rPr>
                <w:spacing w:val="-13"/>
                <w:sz w:val="20"/>
              </w:rPr>
              <w:t> </w:t>
            </w:r>
            <w:r>
              <w:rPr>
                <w:sz w:val="20"/>
              </w:rPr>
              <w:t>gibp06,</w:t>
            </w:r>
            <w:r>
              <w:rPr>
                <w:spacing w:val="24"/>
                <w:sz w:val="20"/>
              </w:rPr>
              <w:t> </w:t>
            </w:r>
            <w:r>
              <w:rPr>
                <w:sz w:val="20"/>
              </w:rPr>
              <w:t>gibp09, gibp13, gibp15,</w:t>
            </w:r>
            <w:r>
              <w:rPr>
                <w:spacing w:val="-13"/>
                <w:sz w:val="20"/>
              </w:rPr>
              <w:t> </w:t>
            </w:r>
            <w:r>
              <w:rPr>
                <w:sz w:val="20"/>
              </w:rPr>
              <w:t>gibp17, gibp20, gibp24, gibp26</w:t>
            </w:r>
          </w:p>
        </w:tc>
        <w:tc>
          <w:tcPr>
            <w:tcW w:w="787" w:type="dxa"/>
          </w:tcPr>
          <w:p>
            <w:pPr>
              <w:pStyle w:val="TableParagraph"/>
              <w:spacing w:before="45"/>
              <w:ind w:right="52"/>
              <w:jc w:val="right"/>
              <w:rPr>
                <w:sz w:val="20"/>
              </w:rPr>
            </w:pPr>
            <w:r>
              <w:rPr>
                <w:spacing w:val="-4"/>
                <w:sz w:val="20"/>
              </w:rPr>
              <w:t>2,14</w:t>
            </w:r>
          </w:p>
        </w:tc>
      </w:tr>
      <w:tr>
        <w:trPr>
          <w:trHeight w:val="1424" w:hRule="atLeast"/>
        </w:trPr>
        <w:tc>
          <w:tcPr>
            <w:tcW w:w="946" w:type="dxa"/>
          </w:tcPr>
          <w:p>
            <w:pPr>
              <w:pStyle w:val="TableParagraph"/>
              <w:rPr>
                <w:sz w:val="18"/>
              </w:rPr>
            </w:pPr>
          </w:p>
        </w:tc>
        <w:tc>
          <w:tcPr>
            <w:tcW w:w="707" w:type="dxa"/>
          </w:tcPr>
          <w:p>
            <w:pPr>
              <w:pStyle w:val="TableParagraph"/>
              <w:rPr>
                <w:sz w:val="18"/>
              </w:rPr>
            </w:pPr>
          </w:p>
        </w:tc>
        <w:tc>
          <w:tcPr>
            <w:tcW w:w="3470" w:type="dxa"/>
          </w:tcPr>
          <w:p>
            <w:pPr>
              <w:pStyle w:val="TableParagraph"/>
              <w:rPr>
                <w:sz w:val="18"/>
              </w:rPr>
            </w:pPr>
          </w:p>
        </w:tc>
        <w:tc>
          <w:tcPr>
            <w:tcW w:w="3293" w:type="dxa"/>
          </w:tcPr>
          <w:p>
            <w:pPr>
              <w:pStyle w:val="TableParagraph"/>
              <w:rPr>
                <w:sz w:val="18"/>
              </w:rPr>
            </w:pPr>
          </w:p>
        </w:tc>
        <w:tc>
          <w:tcPr>
            <w:tcW w:w="2798" w:type="dxa"/>
          </w:tcPr>
          <w:p>
            <w:pPr>
              <w:pStyle w:val="TableParagraph"/>
              <w:rPr>
                <w:sz w:val="18"/>
              </w:rPr>
            </w:pPr>
          </w:p>
        </w:tc>
        <w:tc>
          <w:tcPr>
            <w:tcW w:w="3277" w:type="dxa"/>
          </w:tcPr>
          <w:p>
            <w:pPr>
              <w:pStyle w:val="TableParagraph"/>
              <w:spacing w:before="45"/>
              <w:ind w:left="1086" w:right="548"/>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spacing w:before="1"/>
              <w:ind w:left="1022" w:right="486"/>
              <w:jc w:val="center"/>
              <w:rPr>
                <w:sz w:val="20"/>
              </w:rPr>
            </w:pPr>
            <w:r>
              <w:rPr>
                <w:spacing w:val="-2"/>
                <w:sz w:val="20"/>
              </w:rPr>
              <w:t>классификационный</w:t>
            </w:r>
          </w:p>
          <w:p>
            <w:pPr>
              <w:pStyle w:val="TableParagraph"/>
              <w:spacing w:line="228" w:lineRule="exact"/>
              <w:ind w:left="946" w:right="412" w:firstLine="1"/>
              <w:jc w:val="center"/>
              <w:rPr>
                <w:sz w:val="20"/>
              </w:rPr>
            </w:pPr>
            <w:r>
              <w:rPr>
                <w:sz w:val="20"/>
              </w:rPr>
              <w:t>критерий: gibp06, gibp09,</w:t>
            </w:r>
            <w:r>
              <w:rPr>
                <w:spacing w:val="-13"/>
                <w:sz w:val="20"/>
              </w:rPr>
              <w:t> </w:t>
            </w:r>
            <w:r>
              <w:rPr>
                <w:sz w:val="20"/>
              </w:rPr>
              <w:t>gibp13,</w:t>
            </w:r>
            <w:r>
              <w:rPr>
                <w:spacing w:val="-12"/>
                <w:sz w:val="20"/>
              </w:rPr>
              <w:t> </w:t>
            </w:r>
            <w:r>
              <w:rPr>
                <w:sz w:val="20"/>
              </w:rPr>
              <w:t>gibp14,</w:t>
            </w:r>
          </w:p>
        </w:tc>
        <w:tc>
          <w:tcPr>
            <w:tcW w:w="787"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70"/>
        <w:gridCol w:w="3943"/>
        <w:gridCol w:w="2634"/>
        <w:gridCol w:w="2636"/>
        <w:gridCol w:w="837"/>
      </w:tblGrid>
      <w:tr>
        <w:trPr>
          <w:trHeight w:val="734" w:hRule="atLeast"/>
        </w:trPr>
        <w:tc>
          <w:tcPr>
            <w:tcW w:w="946" w:type="dxa"/>
          </w:tcPr>
          <w:p>
            <w:pPr>
              <w:pStyle w:val="TableParagraph"/>
              <w:rPr>
                <w:sz w:val="18"/>
              </w:rPr>
            </w:pPr>
          </w:p>
        </w:tc>
        <w:tc>
          <w:tcPr>
            <w:tcW w:w="707"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4" w:type="dxa"/>
          </w:tcPr>
          <w:p>
            <w:pPr>
              <w:pStyle w:val="TableParagraph"/>
              <w:rPr>
                <w:sz w:val="18"/>
              </w:rPr>
            </w:pPr>
          </w:p>
        </w:tc>
        <w:tc>
          <w:tcPr>
            <w:tcW w:w="2636" w:type="dxa"/>
          </w:tcPr>
          <w:p>
            <w:pPr>
              <w:pStyle w:val="TableParagraph"/>
              <w:ind w:left="360" w:right="357"/>
              <w:jc w:val="center"/>
              <w:rPr>
                <w:sz w:val="20"/>
              </w:rPr>
            </w:pPr>
            <w:r>
              <w:rPr>
                <w:sz w:val="20"/>
              </w:rPr>
              <w:t>gibp15,</w:t>
            </w:r>
            <w:r>
              <w:rPr>
                <w:spacing w:val="-13"/>
                <w:sz w:val="20"/>
              </w:rPr>
              <w:t> </w:t>
            </w:r>
            <w:r>
              <w:rPr>
                <w:sz w:val="20"/>
              </w:rPr>
              <w:t>gibp17,</w:t>
            </w:r>
            <w:r>
              <w:rPr>
                <w:spacing w:val="-12"/>
                <w:sz w:val="20"/>
              </w:rPr>
              <w:t> </w:t>
            </w:r>
            <w:r>
              <w:rPr>
                <w:sz w:val="20"/>
              </w:rPr>
              <w:t>gibp19, gibp20,</w:t>
            </w:r>
            <w:r>
              <w:rPr>
                <w:spacing w:val="-13"/>
                <w:sz w:val="20"/>
              </w:rPr>
              <w:t> </w:t>
            </w:r>
            <w:r>
              <w:rPr>
                <w:sz w:val="20"/>
              </w:rPr>
              <w:t>gibp21,</w:t>
            </w:r>
            <w:r>
              <w:rPr>
                <w:spacing w:val="-12"/>
                <w:sz w:val="20"/>
              </w:rPr>
              <w:t> </w:t>
            </w:r>
            <w:r>
              <w:rPr>
                <w:sz w:val="20"/>
              </w:rPr>
              <w:t>gibp23, gibp24, gibp29</w:t>
            </w:r>
          </w:p>
        </w:tc>
        <w:tc>
          <w:tcPr>
            <w:tcW w:w="837" w:type="dxa"/>
          </w:tcPr>
          <w:p>
            <w:pPr>
              <w:pStyle w:val="TableParagraph"/>
              <w:rPr>
                <w:sz w:val="18"/>
              </w:rPr>
            </w:pPr>
          </w:p>
        </w:tc>
      </w:tr>
      <w:tr>
        <w:trPr>
          <w:trHeight w:val="1481" w:hRule="atLeast"/>
        </w:trPr>
        <w:tc>
          <w:tcPr>
            <w:tcW w:w="946" w:type="dxa"/>
          </w:tcPr>
          <w:p>
            <w:pPr>
              <w:pStyle w:val="TableParagraph"/>
              <w:spacing w:before="46"/>
              <w:ind w:left="39" w:right="198"/>
              <w:jc w:val="center"/>
              <w:rPr>
                <w:sz w:val="20"/>
              </w:rPr>
            </w:pPr>
            <w:r>
              <w:rPr>
                <w:spacing w:val="-2"/>
                <w:sz w:val="20"/>
              </w:rPr>
              <w:t>st36.019</w:t>
            </w:r>
          </w:p>
        </w:tc>
        <w:tc>
          <w:tcPr>
            <w:tcW w:w="707" w:type="dxa"/>
          </w:tcPr>
          <w:p>
            <w:pPr>
              <w:pStyle w:val="TableParagraph"/>
              <w:spacing w:before="46"/>
              <w:ind w:left="210"/>
              <w:rPr>
                <w:sz w:val="20"/>
              </w:rPr>
            </w:pPr>
            <w:r>
              <w:rPr>
                <w:spacing w:val="-5"/>
                <w:sz w:val="20"/>
              </w:rPr>
              <w:t>378</w:t>
            </w:r>
          </w:p>
        </w:tc>
        <w:tc>
          <w:tcPr>
            <w:tcW w:w="3570" w:type="dxa"/>
          </w:tcPr>
          <w:p>
            <w:pPr>
              <w:pStyle w:val="TableParagraph"/>
              <w:spacing w:before="46"/>
              <w:ind w:left="192" w:right="1114"/>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3)</w:t>
            </w:r>
          </w:p>
        </w:tc>
        <w:tc>
          <w:tcPr>
            <w:tcW w:w="3943" w:type="dxa"/>
          </w:tcPr>
          <w:p>
            <w:pPr>
              <w:pStyle w:val="TableParagraph"/>
              <w:spacing w:before="46"/>
              <w:ind w:left="1116"/>
              <w:rPr>
                <w:sz w:val="20"/>
              </w:rPr>
            </w:pPr>
            <w:r>
              <w:rPr>
                <w:w w:val="99"/>
                <w:sz w:val="20"/>
              </w:rPr>
              <w:t>-</w:t>
            </w:r>
          </w:p>
        </w:tc>
        <w:tc>
          <w:tcPr>
            <w:tcW w:w="2634" w:type="dxa"/>
          </w:tcPr>
          <w:p>
            <w:pPr>
              <w:pStyle w:val="TableParagraph"/>
              <w:spacing w:before="46"/>
              <w:ind w:right="457"/>
              <w:jc w:val="center"/>
              <w:rPr>
                <w:sz w:val="20"/>
              </w:rPr>
            </w:pPr>
            <w:r>
              <w:rPr>
                <w:w w:val="99"/>
                <w:sz w:val="20"/>
              </w:rPr>
              <w:t>-</w:t>
            </w:r>
          </w:p>
        </w:tc>
        <w:tc>
          <w:tcPr>
            <w:tcW w:w="2636" w:type="dxa"/>
          </w:tcPr>
          <w:p>
            <w:pPr>
              <w:pStyle w:val="TableParagraph"/>
              <w:spacing w:before="46"/>
              <w:ind w:left="441" w:right="433"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gibp08, gibp16, gibp28</w:t>
            </w:r>
          </w:p>
        </w:tc>
        <w:tc>
          <w:tcPr>
            <w:tcW w:w="837" w:type="dxa"/>
          </w:tcPr>
          <w:p>
            <w:pPr>
              <w:pStyle w:val="TableParagraph"/>
              <w:spacing w:before="46"/>
              <w:ind w:right="47"/>
              <w:jc w:val="right"/>
              <w:rPr>
                <w:sz w:val="20"/>
              </w:rPr>
            </w:pPr>
            <w:r>
              <w:rPr>
                <w:spacing w:val="-4"/>
                <w:sz w:val="20"/>
              </w:rPr>
              <w:t>6,31</w:t>
            </w:r>
          </w:p>
        </w:tc>
      </w:tr>
      <w:tr>
        <w:trPr>
          <w:trHeight w:val="1710" w:hRule="atLeast"/>
        </w:trPr>
        <w:tc>
          <w:tcPr>
            <w:tcW w:w="946" w:type="dxa"/>
          </w:tcPr>
          <w:p>
            <w:pPr>
              <w:pStyle w:val="TableParagraph"/>
              <w:rPr>
                <w:sz w:val="18"/>
              </w:rPr>
            </w:pPr>
          </w:p>
        </w:tc>
        <w:tc>
          <w:tcPr>
            <w:tcW w:w="707"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4" w:type="dxa"/>
          </w:tcPr>
          <w:p>
            <w:pPr>
              <w:pStyle w:val="TableParagraph"/>
              <w:rPr>
                <w:sz w:val="18"/>
              </w:rPr>
            </w:pPr>
          </w:p>
        </w:tc>
        <w:tc>
          <w:tcPr>
            <w:tcW w:w="2636" w:type="dxa"/>
          </w:tcPr>
          <w:p>
            <w:pPr>
              <w:pStyle w:val="TableParagraph"/>
              <w:spacing w:before="46"/>
              <w:ind w:left="500" w:right="493"/>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360" w:right="357" w:firstLine="5"/>
              <w:jc w:val="center"/>
              <w:rPr>
                <w:sz w:val="20"/>
              </w:rPr>
            </w:pPr>
            <w:r>
              <w:rPr>
                <w:spacing w:val="-2"/>
                <w:sz w:val="20"/>
              </w:rPr>
              <w:t>классификационный </w:t>
            </w:r>
            <w:r>
              <w:rPr>
                <w:sz w:val="20"/>
              </w:rPr>
              <w:t>критерий: gibp07, gibp08,</w:t>
            </w:r>
            <w:r>
              <w:rPr>
                <w:spacing w:val="-13"/>
                <w:sz w:val="20"/>
              </w:rPr>
              <w:t> </w:t>
            </w:r>
            <w:r>
              <w:rPr>
                <w:sz w:val="20"/>
              </w:rPr>
              <w:t>gibp10,</w:t>
            </w:r>
            <w:r>
              <w:rPr>
                <w:spacing w:val="-12"/>
                <w:sz w:val="20"/>
              </w:rPr>
              <w:t> </w:t>
            </w:r>
            <w:r>
              <w:rPr>
                <w:sz w:val="20"/>
              </w:rPr>
              <w:t>gibp11, gibp16,</w:t>
            </w:r>
            <w:r>
              <w:rPr>
                <w:spacing w:val="-6"/>
                <w:sz w:val="20"/>
              </w:rPr>
              <w:t> </w:t>
            </w:r>
            <w:r>
              <w:rPr>
                <w:sz w:val="20"/>
              </w:rPr>
              <w:t>gibp22,</w:t>
            </w:r>
            <w:r>
              <w:rPr>
                <w:spacing w:val="-7"/>
                <w:sz w:val="20"/>
              </w:rPr>
              <w:t> </w:t>
            </w:r>
            <w:r>
              <w:rPr>
                <w:spacing w:val="-2"/>
                <w:sz w:val="20"/>
              </w:rPr>
              <w:t>gibp28</w:t>
            </w:r>
          </w:p>
        </w:tc>
        <w:tc>
          <w:tcPr>
            <w:tcW w:w="837"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st37</w:t>
            </w:r>
          </w:p>
        </w:tc>
        <w:tc>
          <w:tcPr>
            <w:tcW w:w="707" w:type="dxa"/>
          </w:tcPr>
          <w:p>
            <w:pPr>
              <w:pStyle w:val="TableParagraph"/>
              <w:spacing w:before="45"/>
              <w:ind w:left="261"/>
              <w:rPr>
                <w:sz w:val="20"/>
              </w:rPr>
            </w:pPr>
            <w:r>
              <w:rPr>
                <w:spacing w:val="-5"/>
                <w:sz w:val="20"/>
              </w:rPr>
              <w:t>37</w:t>
            </w:r>
          </w:p>
        </w:tc>
        <w:tc>
          <w:tcPr>
            <w:tcW w:w="3570" w:type="dxa"/>
          </w:tcPr>
          <w:p>
            <w:pPr>
              <w:pStyle w:val="TableParagraph"/>
              <w:rPr>
                <w:sz w:val="18"/>
              </w:rPr>
            </w:pPr>
          </w:p>
        </w:tc>
        <w:tc>
          <w:tcPr>
            <w:tcW w:w="3943" w:type="dxa"/>
          </w:tcPr>
          <w:p>
            <w:pPr>
              <w:pStyle w:val="TableParagraph"/>
              <w:spacing w:before="45"/>
              <w:ind w:left="1581" w:right="-29"/>
              <w:rPr>
                <w:sz w:val="20"/>
              </w:rPr>
            </w:pPr>
            <w:r>
              <w:rPr>
                <w:w w:val="95"/>
                <w:sz w:val="20"/>
              </w:rPr>
              <w:t>Медицинская</w:t>
            </w:r>
            <w:r>
              <w:rPr>
                <w:spacing w:val="43"/>
                <w:sz w:val="20"/>
              </w:rPr>
              <w:t> </w:t>
            </w:r>
            <w:r>
              <w:rPr>
                <w:spacing w:val="-2"/>
                <w:sz w:val="20"/>
              </w:rPr>
              <w:t>реабилитация</w:t>
            </w:r>
          </w:p>
        </w:tc>
        <w:tc>
          <w:tcPr>
            <w:tcW w:w="2634" w:type="dxa"/>
          </w:tcPr>
          <w:p>
            <w:pPr>
              <w:pStyle w:val="TableParagraph"/>
              <w:rPr>
                <w:sz w:val="18"/>
              </w:rPr>
            </w:pPr>
          </w:p>
        </w:tc>
        <w:tc>
          <w:tcPr>
            <w:tcW w:w="2636" w:type="dxa"/>
          </w:tcPr>
          <w:p>
            <w:pPr>
              <w:pStyle w:val="TableParagraph"/>
              <w:rPr>
                <w:sz w:val="18"/>
              </w:rPr>
            </w:pPr>
          </w:p>
        </w:tc>
        <w:tc>
          <w:tcPr>
            <w:tcW w:w="837" w:type="dxa"/>
          </w:tcPr>
          <w:p>
            <w:pPr>
              <w:pStyle w:val="TableParagraph"/>
              <w:spacing w:before="45"/>
              <w:ind w:right="47"/>
              <w:jc w:val="right"/>
              <w:rPr>
                <w:sz w:val="20"/>
              </w:rPr>
            </w:pPr>
            <w:r>
              <w:rPr>
                <w:spacing w:val="-4"/>
                <w:sz w:val="20"/>
              </w:rPr>
              <w:t>1,75</w:t>
            </w:r>
          </w:p>
        </w:tc>
      </w:tr>
      <w:tr>
        <w:trPr>
          <w:trHeight w:val="1479" w:hRule="atLeast"/>
        </w:trPr>
        <w:tc>
          <w:tcPr>
            <w:tcW w:w="946" w:type="dxa"/>
          </w:tcPr>
          <w:p>
            <w:pPr>
              <w:pStyle w:val="TableParagraph"/>
              <w:spacing w:before="46"/>
              <w:ind w:left="39" w:right="198"/>
              <w:jc w:val="center"/>
              <w:rPr>
                <w:sz w:val="20"/>
              </w:rPr>
            </w:pPr>
            <w:r>
              <w:rPr>
                <w:spacing w:val="-2"/>
                <w:sz w:val="20"/>
              </w:rPr>
              <w:t>st37.001</w:t>
            </w:r>
          </w:p>
        </w:tc>
        <w:tc>
          <w:tcPr>
            <w:tcW w:w="707" w:type="dxa"/>
          </w:tcPr>
          <w:p>
            <w:pPr>
              <w:pStyle w:val="TableParagraph"/>
              <w:spacing w:before="46"/>
              <w:ind w:left="210"/>
              <w:rPr>
                <w:sz w:val="20"/>
              </w:rPr>
            </w:pPr>
            <w:r>
              <w:rPr>
                <w:spacing w:val="-5"/>
                <w:sz w:val="20"/>
              </w:rPr>
              <w:t>379</w:t>
            </w:r>
          </w:p>
        </w:tc>
        <w:tc>
          <w:tcPr>
            <w:tcW w:w="3570" w:type="dxa"/>
          </w:tcPr>
          <w:p>
            <w:pPr>
              <w:pStyle w:val="TableParagraph"/>
              <w:spacing w:before="46"/>
              <w:ind w:left="192" w:right="1128"/>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(3 балла по </w:t>
            </w:r>
            <w:r>
              <w:rPr>
                <w:spacing w:val="-4"/>
                <w:sz w:val="20"/>
              </w:rPr>
              <w:t>ШРМ)</w:t>
            </w:r>
          </w:p>
        </w:tc>
        <w:tc>
          <w:tcPr>
            <w:tcW w:w="3943" w:type="dxa"/>
          </w:tcPr>
          <w:p>
            <w:pPr>
              <w:pStyle w:val="TableParagraph"/>
              <w:spacing w:before="46"/>
              <w:ind w:left="1116"/>
              <w:rPr>
                <w:sz w:val="20"/>
              </w:rPr>
            </w:pPr>
            <w:r>
              <w:rPr>
                <w:w w:val="99"/>
                <w:sz w:val="20"/>
              </w:rPr>
              <w:t>-</w:t>
            </w:r>
          </w:p>
        </w:tc>
        <w:tc>
          <w:tcPr>
            <w:tcW w:w="2634" w:type="dxa"/>
          </w:tcPr>
          <w:p>
            <w:pPr>
              <w:pStyle w:val="TableParagraph"/>
              <w:spacing w:before="46"/>
              <w:ind w:left="3" w:right="434"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36" w:type="dxa"/>
          </w:tcPr>
          <w:p>
            <w:pPr>
              <w:pStyle w:val="TableParagraph"/>
              <w:spacing w:before="46"/>
              <w:ind w:left="441" w:right="433" w:hanging="2"/>
              <w:jc w:val="center"/>
              <w:rPr>
                <w:sz w:val="20"/>
              </w:rPr>
            </w:pPr>
            <w:r>
              <w:rPr>
                <w:spacing w:val="-4"/>
                <w:sz w:val="20"/>
              </w:rPr>
              <w:t>Иной </w:t>
            </w:r>
            <w:r>
              <w:rPr>
                <w:spacing w:val="-2"/>
                <w:sz w:val="20"/>
              </w:rPr>
              <w:t>классификационный </w:t>
            </w:r>
            <w:r>
              <w:rPr>
                <w:sz w:val="20"/>
              </w:rPr>
              <w:t>критерий: rb3, rbb3</w:t>
            </w:r>
          </w:p>
        </w:tc>
        <w:tc>
          <w:tcPr>
            <w:tcW w:w="837" w:type="dxa"/>
          </w:tcPr>
          <w:p>
            <w:pPr>
              <w:pStyle w:val="TableParagraph"/>
              <w:spacing w:before="46"/>
              <w:ind w:right="47"/>
              <w:jc w:val="right"/>
              <w:rPr>
                <w:sz w:val="20"/>
              </w:rPr>
            </w:pPr>
            <w:r>
              <w:rPr>
                <w:spacing w:val="-4"/>
                <w:sz w:val="20"/>
              </w:rPr>
              <w:t>1,53</w:t>
            </w:r>
          </w:p>
        </w:tc>
      </w:tr>
      <w:tr>
        <w:trPr>
          <w:trHeight w:val="1480" w:hRule="atLeast"/>
        </w:trPr>
        <w:tc>
          <w:tcPr>
            <w:tcW w:w="946" w:type="dxa"/>
          </w:tcPr>
          <w:p>
            <w:pPr>
              <w:pStyle w:val="TableParagraph"/>
              <w:spacing w:before="45"/>
              <w:ind w:left="39" w:right="198"/>
              <w:jc w:val="center"/>
              <w:rPr>
                <w:sz w:val="20"/>
              </w:rPr>
            </w:pPr>
            <w:r>
              <w:rPr>
                <w:spacing w:val="-2"/>
                <w:sz w:val="20"/>
              </w:rPr>
              <w:t>st37.002</w:t>
            </w:r>
          </w:p>
        </w:tc>
        <w:tc>
          <w:tcPr>
            <w:tcW w:w="707" w:type="dxa"/>
          </w:tcPr>
          <w:p>
            <w:pPr>
              <w:pStyle w:val="TableParagraph"/>
              <w:spacing w:before="45"/>
              <w:ind w:left="210"/>
              <w:rPr>
                <w:sz w:val="20"/>
              </w:rPr>
            </w:pPr>
            <w:r>
              <w:rPr>
                <w:spacing w:val="-5"/>
                <w:sz w:val="20"/>
              </w:rPr>
              <w:t>380</w:t>
            </w:r>
          </w:p>
        </w:tc>
        <w:tc>
          <w:tcPr>
            <w:tcW w:w="3570" w:type="dxa"/>
          </w:tcPr>
          <w:p>
            <w:pPr>
              <w:pStyle w:val="TableParagraph"/>
              <w:spacing w:before="45"/>
              <w:ind w:left="192" w:right="1128"/>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(4 балла по </w:t>
            </w:r>
            <w:r>
              <w:rPr>
                <w:spacing w:val="-4"/>
                <w:sz w:val="20"/>
              </w:rPr>
              <w:t>ШРМ)</w:t>
            </w:r>
          </w:p>
        </w:tc>
        <w:tc>
          <w:tcPr>
            <w:tcW w:w="3943" w:type="dxa"/>
          </w:tcPr>
          <w:p>
            <w:pPr>
              <w:pStyle w:val="TableParagraph"/>
              <w:spacing w:before="45"/>
              <w:ind w:left="1116"/>
              <w:rPr>
                <w:sz w:val="20"/>
              </w:rPr>
            </w:pPr>
            <w:r>
              <w:rPr>
                <w:w w:val="99"/>
                <w:sz w:val="20"/>
              </w:rPr>
              <w:t>-</w:t>
            </w:r>
          </w:p>
        </w:tc>
        <w:tc>
          <w:tcPr>
            <w:tcW w:w="2634" w:type="dxa"/>
          </w:tcPr>
          <w:p>
            <w:pPr>
              <w:pStyle w:val="TableParagraph"/>
              <w:spacing w:before="45"/>
              <w:ind w:left="3" w:right="434"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36" w:type="dxa"/>
          </w:tcPr>
          <w:p>
            <w:pPr>
              <w:pStyle w:val="TableParagraph"/>
              <w:spacing w:before="45"/>
              <w:ind w:left="441" w:right="433" w:hanging="2"/>
              <w:jc w:val="center"/>
              <w:rPr>
                <w:sz w:val="20"/>
              </w:rPr>
            </w:pPr>
            <w:r>
              <w:rPr>
                <w:spacing w:val="-4"/>
                <w:sz w:val="20"/>
              </w:rPr>
              <w:t>Иной </w:t>
            </w:r>
            <w:r>
              <w:rPr>
                <w:spacing w:val="-2"/>
                <w:sz w:val="20"/>
              </w:rPr>
              <w:t>классификационный </w:t>
            </w:r>
            <w:r>
              <w:rPr>
                <w:sz w:val="20"/>
              </w:rPr>
              <w:t>критерий: rb4, rbb4</w:t>
            </w:r>
          </w:p>
        </w:tc>
        <w:tc>
          <w:tcPr>
            <w:tcW w:w="837" w:type="dxa"/>
          </w:tcPr>
          <w:p>
            <w:pPr>
              <w:pStyle w:val="TableParagraph"/>
              <w:spacing w:before="45"/>
              <w:ind w:right="47"/>
              <w:jc w:val="right"/>
              <w:rPr>
                <w:sz w:val="20"/>
              </w:rPr>
            </w:pPr>
            <w:r>
              <w:rPr>
                <w:spacing w:val="-4"/>
                <w:sz w:val="20"/>
              </w:rPr>
              <w:t>2,04</w:t>
            </w:r>
          </w:p>
        </w:tc>
      </w:tr>
      <w:tr>
        <w:trPr>
          <w:trHeight w:val="1425" w:hRule="atLeast"/>
        </w:trPr>
        <w:tc>
          <w:tcPr>
            <w:tcW w:w="946" w:type="dxa"/>
          </w:tcPr>
          <w:p>
            <w:pPr>
              <w:pStyle w:val="TableParagraph"/>
              <w:spacing w:before="46"/>
              <w:ind w:left="39" w:right="198"/>
              <w:jc w:val="center"/>
              <w:rPr>
                <w:sz w:val="20"/>
              </w:rPr>
            </w:pPr>
            <w:r>
              <w:rPr>
                <w:spacing w:val="-2"/>
                <w:sz w:val="20"/>
              </w:rPr>
              <w:t>st37.003</w:t>
            </w:r>
          </w:p>
        </w:tc>
        <w:tc>
          <w:tcPr>
            <w:tcW w:w="707" w:type="dxa"/>
          </w:tcPr>
          <w:p>
            <w:pPr>
              <w:pStyle w:val="TableParagraph"/>
              <w:spacing w:before="46"/>
              <w:ind w:left="210"/>
              <w:rPr>
                <w:sz w:val="20"/>
              </w:rPr>
            </w:pPr>
            <w:r>
              <w:rPr>
                <w:spacing w:val="-5"/>
                <w:sz w:val="20"/>
              </w:rPr>
              <w:t>381</w:t>
            </w:r>
          </w:p>
        </w:tc>
        <w:tc>
          <w:tcPr>
            <w:tcW w:w="3570" w:type="dxa"/>
          </w:tcPr>
          <w:p>
            <w:pPr>
              <w:pStyle w:val="TableParagraph"/>
              <w:spacing w:before="46"/>
              <w:ind w:left="192" w:right="1114"/>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(5 баллов по</w:t>
            </w:r>
          </w:p>
          <w:p>
            <w:pPr>
              <w:pStyle w:val="TableParagraph"/>
              <w:spacing w:line="209" w:lineRule="exact"/>
              <w:ind w:left="192"/>
              <w:rPr>
                <w:sz w:val="20"/>
              </w:rPr>
            </w:pPr>
            <w:r>
              <w:rPr>
                <w:spacing w:val="-4"/>
                <w:sz w:val="20"/>
              </w:rPr>
              <w:t>ШРМ)</w:t>
            </w:r>
          </w:p>
        </w:tc>
        <w:tc>
          <w:tcPr>
            <w:tcW w:w="3943" w:type="dxa"/>
          </w:tcPr>
          <w:p>
            <w:pPr>
              <w:pStyle w:val="TableParagraph"/>
              <w:spacing w:before="46"/>
              <w:ind w:left="1116"/>
              <w:rPr>
                <w:sz w:val="20"/>
              </w:rPr>
            </w:pPr>
            <w:r>
              <w:rPr>
                <w:w w:val="99"/>
                <w:sz w:val="20"/>
              </w:rPr>
              <w:t>-</w:t>
            </w:r>
          </w:p>
        </w:tc>
        <w:tc>
          <w:tcPr>
            <w:tcW w:w="2634" w:type="dxa"/>
          </w:tcPr>
          <w:p>
            <w:pPr>
              <w:pStyle w:val="TableParagraph"/>
              <w:spacing w:before="46"/>
              <w:ind w:left="3" w:right="434"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36" w:type="dxa"/>
          </w:tcPr>
          <w:p>
            <w:pPr>
              <w:pStyle w:val="TableParagraph"/>
              <w:spacing w:before="46"/>
              <w:ind w:left="441" w:right="433" w:hanging="2"/>
              <w:jc w:val="center"/>
              <w:rPr>
                <w:sz w:val="20"/>
              </w:rPr>
            </w:pPr>
            <w:r>
              <w:rPr>
                <w:spacing w:val="-4"/>
                <w:sz w:val="20"/>
              </w:rPr>
              <w:t>Иной </w:t>
            </w:r>
            <w:r>
              <w:rPr>
                <w:spacing w:val="-2"/>
                <w:sz w:val="20"/>
              </w:rPr>
              <w:t>классификационный </w:t>
            </w:r>
            <w:r>
              <w:rPr>
                <w:sz w:val="20"/>
              </w:rPr>
              <w:t>критерий: rb5, rbb5</w:t>
            </w:r>
          </w:p>
        </w:tc>
        <w:tc>
          <w:tcPr>
            <w:tcW w:w="837" w:type="dxa"/>
          </w:tcPr>
          <w:p>
            <w:pPr>
              <w:pStyle w:val="TableParagraph"/>
              <w:spacing w:before="46"/>
              <w:ind w:right="47"/>
              <w:jc w:val="right"/>
              <w:rPr>
                <w:sz w:val="20"/>
              </w:rPr>
            </w:pPr>
            <w:r>
              <w:rPr>
                <w:spacing w:val="-4"/>
                <w:sz w:val="20"/>
              </w:rPr>
              <w:t>3,34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63"/>
        <w:gridCol w:w="2472"/>
        <w:gridCol w:w="4200"/>
        <w:gridCol w:w="2549"/>
        <w:gridCol w:w="837"/>
      </w:tblGrid>
      <w:tr>
        <w:trPr>
          <w:trHeight w:val="1424" w:hRule="atLeast"/>
        </w:trPr>
        <w:tc>
          <w:tcPr>
            <w:tcW w:w="946" w:type="dxa"/>
          </w:tcPr>
          <w:p>
            <w:pPr>
              <w:pStyle w:val="TableParagraph"/>
              <w:spacing w:line="221" w:lineRule="exact"/>
              <w:ind w:left="50"/>
              <w:rPr>
                <w:sz w:val="20"/>
              </w:rPr>
            </w:pPr>
            <w:r>
              <w:rPr>
                <w:spacing w:val="-2"/>
                <w:sz w:val="20"/>
              </w:rPr>
              <w:t>st37.004</w:t>
            </w:r>
          </w:p>
        </w:tc>
        <w:tc>
          <w:tcPr>
            <w:tcW w:w="707" w:type="dxa"/>
          </w:tcPr>
          <w:p>
            <w:pPr>
              <w:pStyle w:val="TableParagraph"/>
              <w:spacing w:line="221" w:lineRule="exact"/>
              <w:ind w:left="210"/>
              <w:rPr>
                <w:sz w:val="20"/>
              </w:rPr>
            </w:pPr>
            <w:r>
              <w:rPr>
                <w:spacing w:val="-5"/>
                <w:sz w:val="20"/>
              </w:rPr>
              <w:t>382</w:t>
            </w:r>
          </w:p>
        </w:tc>
        <w:tc>
          <w:tcPr>
            <w:tcW w:w="3563" w:type="dxa"/>
          </w:tcPr>
          <w:p>
            <w:pPr>
              <w:pStyle w:val="TableParagraph"/>
              <w:ind w:left="192" w:right="1121"/>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(6 баллов по </w:t>
            </w:r>
            <w:r>
              <w:rPr>
                <w:spacing w:val="-4"/>
                <w:sz w:val="20"/>
              </w:rPr>
              <w:t>ШРМ)</w:t>
            </w:r>
          </w:p>
        </w:tc>
        <w:tc>
          <w:tcPr>
            <w:tcW w:w="2472" w:type="dxa"/>
          </w:tcPr>
          <w:p>
            <w:pPr>
              <w:pStyle w:val="TableParagraph"/>
              <w:spacing w:line="221" w:lineRule="exact"/>
              <w:ind w:left="1122"/>
              <w:rPr>
                <w:sz w:val="20"/>
              </w:rPr>
            </w:pPr>
            <w:r>
              <w:rPr>
                <w:w w:val="99"/>
                <w:sz w:val="20"/>
              </w:rPr>
              <w:t>-</w:t>
            </w:r>
          </w:p>
        </w:tc>
        <w:tc>
          <w:tcPr>
            <w:tcW w:w="4200" w:type="dxa"/>
          </w:tcPr>
          <w:p>
            <w:pPr>
              <w:pStyle w:val="TableParagraph"/>
              <w:ind w:left="1481" w:right="522" w:hanging="27"/>
              <w:rPr>
                <w:sz w:val="20"/>
              </w:rPr>
            </w:pPr>
            <w:r>
              <w:rPr>
                <w:sz w:val="20"/>
              </w:rPr>
              <w:t>B05.023.001,</w:t>
            </w:r>
            <w:r>
              <w:rPr>
                <w:spacing w:val="-13"/>
                <w:sz w:val="20"/>
              </w:rPr>
              <w:t> </w:t>
            </w:r>
            <w:r>
              <w:rPr>
                <w:sz w:val="20"/>
              </w:rPr>
              <w:t>B05.024.001, B05.024.002,</w:t>
            </w:r>
            <w:r>
              <w:rPr>
                <w:spacing w:val="-8"/>
                <w:sz w:val="20"/>
              </w:rPr>
              <w:t> </w:t>
            </w:r>
            <w:r>
              <w:rPr>
                <w:spacing w:val="-2"/>
                <w:sz w:val="20"/>
              </w:rPr>
              <w:t>B05.024.003</w:t>
            </w:r>
          </w:p>
        </w:tc>
        <w:tc>
          <w:tcPr>
            <w:tcW w:w="2549" w:type="dxa"/>
          </w:tcPr>
          <w:p>
            <w:pPr>
              <w:pStyle w:val="TableParagraph"/>
              <w:ind w:left="353" w:right="434" w:hanging="2"/>
              <w:jc w:val="center"/>
              <w:rPr>
                <w:sz w:val="20"/>
              </w:rPr>
            </w:pPr>
            <w:r>
              <w:rPr>
                <w:spacing w:val="-4"/>
                <w:sz w:val="20"/>
              </w:rPr>
              <w:t>Иной </w:t>
            </w:r>
            <w:r>
              <w:rPr>
                <w:spacing w:val="-2"/>
                <w:sz w:val="20"/>
              </w:rPr>
              <w:t>классификационный </w:t>
            </w:r>
            <w:r>
              <w:rPr>
                <w:sz w:val="20"/>
              </w:rPr>
              <w:t>критерий: rb6</w:t>
            </w:r>
          </w:p>
        </w:tc>
        <w:tc>
          <w:tcPr>
            <w:tcW w:w="837" w:type="dxa"/>
          </w:tcPr>
          <w:p>
            <w:pPr>
              <w:pStyle w:val="TableParagraph"/>
              <w:spacing w:line="221" w:lineRule="exact"/>
              <w:ind w:right="48"/>
              <w:jc w:val="right"/>
              <w:rPr>
                <w:sz w:val="20"/>
              </w:rPr>
            </w:pPr>
            <w:r>
              <w:rPr>
                <w:spacing w:val="-4"/>
                <w:sz w:val="20"/>
              </w:rPr>
              <w:t>8,60</w:t>
            </w:r>
          </w:p>
        </w:tc>
      </w:tr>
      <w:tr>
        <w:trPr>
          <w:trHeight w:val="1710" w:hRule="atLeast"/>
        </w:trPr>
        <w:tc>
          <w:tcPr>
            <w:tcW w:w="946" w:type="dxa"/>
          </w:tcPr>
          <w:p>
            <w:pPr>
              <w:pStyle w:val="TableParagraph"/>
              <w:spacing w:before="45"/>
              <w:ind w:left="50"/>
              <w:rPr>
                <w:sz w:val="20"/>
              </w:rPr>
            </w:pPr>
            <w:r>
              <w:rPr>
                <w:spacing w:val="-2"/>
                <w:sz w:val="20"/>
              </w:rPr>
              <w:t>st37.005</w:t>
            </w:r>
          </w:p>
        </w:tc>
        <w:tc>
          <w:tcPr>
            <w:tcW w:w="707" w:type="dxa"/>
          </w:tcPr>
          <w:p>
            <w:pPr>
              <w:pStyle w:val="TableParagraph"/>
              <w:spacing w:before="45"/>
              <w:ind w:left="210"/>
              <w:rPr>
                <w:sz w:val="20"/>
              </w:rPr>
            </w:pPr>
            <w:r>
              <w:rPr>
                <w:spacing w:val="-5"/>
                <w:sz w:val="20"/>
              </w:rPr>
              <w:t>383</w:t>
            </w:r>
          </w:p>
        </w:tc>
        <w:tc>
          <w:tcPr>
            <w:tcW w:w="3563" w:type="dxa"/>
          </w:tcPr>
          <w:p>
            <w:pPr>
              <w:pStyle w:val="TableParagraph"/>
              <w:spacing w:before="45"/>
              <w:ind w:left="192" w:right="1177"/>
              <w:rPr>
                <w:sz w:val="20"/>
              </w:rPr>
            </w:pPr>
            <w:r>
              <w:rPr>
                <w:spacing w:val="-2"/>
                <w:sz w:val="20"/>
              </w:rPr>
              <w:t>Медицинская </w:t>
            </w:r>
            <w:r>
              <w:rPr>
                <w:sz w:val="20"/>
              </w:rPr>
              <w:t>реабилитация пациентов с заболеваниями опорно- двигательного</w:t>
            </w:r>
            <w:r>
              <w:rPr>
                <w:spacing w:val="-13"/>
                <w:sz w:val="20"/>
              </w:rPr>
              <w:t> </w:t>
            </w:r>
            <w:r>
              <w:rPr>
                <w:sz w:val="20"/>
              </w:rPr>
              <w:t>аппарата</w:t>
            </w:r>
            <w:r>
              <w:rPr>
                <w:spacing w:val="-12"/>
                <w:sz w:val="20"/>
              </w:rPr>
              <w:t> </w:t>
            </w:r>
            <w:r>
              <w:rPr>
                <w:sz w:val="20"/>
              </w:rPr>
              <w:t>и периферической</w:t>
            </w:r>
            <w:r>
              <w:rPr>
                <w:spacing w:val="-12"/>
                <w:sz w:val="20"/>
              </w:rPr>
              <w:t> </w:t>
            </w:r>
            <w:r>
              <w:rPr>
                <w:sz w:val="20"/>
              </w:rPr>
              <w:t>нервной системы (3 балла по </w:t>
            </w:r>
            <w:r>
              <w:rPr>
                <w:spacing w:val="-4"/>
                <w:sz w:val="20"/>
              </w:rPr>
              <w:t>ШРМ)</w:t>
            </w:r>
          </w:p>
        </w:tc>
        <w:tc>
          <w:tcPr>
            <w:tcW w:w="2472" w:type="dxa"/>
          </w:tcPr>
          <w:p>
            <w:pPr>
              <w:pStyle w:val="TableParagraph"/>
              <w:spacing w:before="45"/>
              <w:ind w:left="1122"/>
              <w:rPr>
                <w:sz w:val="20"/>
              </w:rPr>
            </w:pPr>
            <w:r>
              <w:rPr>
                <w:w w:val="99"/>
                <w:sz w:val="20"/>
              </w:rPr>
              <w:t>-</w:t>
            </w:r>
          </w:p>
        </w:tc>
        <w:tc>
          <w:tcPr>
            <w:tcW w:w="4200" w:type="dxa"/>
          </w:tcPr>
          <w:p>
            <w:pPr>
              <w:pStyle w:val="TableParagraph"/>
              <w:spacing w:before="45"/>
              <w:ind w:left="2047" w:right="345" w:hanging="766"/>
              <w:rPr>
                <w:sz w:val="20"/>
              </w:rPr>
            </w:pPr>
            <w:r>
              <w:rPr>
                <w:sz w:val="20"/>
              </w:rPr>
              <w:t>B05.023.002.002,</w:t>
            </w:r>
            <w:r>
              <w:rPr>
                <w:spacing w:val="-13"/>
                <w:sz w:val="20"/>
              </w:rPr>
              <w:t> </w:t>
            </w:r>
            <w:r>
              <w:rPr>
                <w:sz w:val="20"/>
              </w:rPr>
              <w:t>B05.050.003, </w:t>
            </w:r>
            <w:r>
              <w:rPr>
                <w:spacing w:val="-2"/>
                <w:sz w:val="20"/>
              </w:rPr>
              <w:t>B05.050.005</w:t>
            </w:r>
          </w:p>
        </w:tc>
        <w:tc>
          <w:tcPr>
            <w:tcW w:w="2549" w:type="dxa"/>
          </w:tcPr>
          <w:p>
            <w:pPr>
              <w:pStyle w:val="TableParagraph"/>
              <w:spacing w:before="45"/>
              <w:ind w:left="353" w:right="434" w:hanging="2"/>
              <w:jc w:val="center"/>
              <w:rPr>
                <w:sz w:val="20"/>
              </w:rPr>
            </w:pPr>
            <w:r>
              <w:rPr>
                <w:spacing w:val="-4"/>
                <w:sz w:val="20"/>
              </w:rPr>
              <w:t>Иной </w:t>
            </w:r>
            <w:r>
              <w:rPr>
                <w:spacing w:val="-2"/>
                <w:sz w:val="20"/>
              </w:rPr>
              <w:t>классификационный </w:t>
            </w:r>
            <w:r>
              <w:rPr>
                <w:sz w:val="20"/>
              </w:rPr>
              <w:t>критерий: rb3</w:t>
            </w:r>
          </w:p>
        </w:tc>
        <w:tc>
          <w:tcPr>
            <w:tcW w:w="837" w:type="dxa"/>
          </w:tcPr>
          <w:p>
            <w:pPr>
              <w:pStyle w:val="TableParagraph"/>
              <w:spacing w:before="45"/>
              <w:ind w:right="48"/>
              <w:jc w:val="right"/>
              <w:rPr>
                <w:sz w:val="20"/>
              </w:rPr>
            </w:pPr>
            <w:r>
              <w:rPr>
                <w:spacing w:val="-4"/>
                <w:sz w:val="20"/>
              </w:rPr>
              <w:t>1,24</w:t>
            </w:r>
          </w:p>
        </w:tc>
      </w:tr>
      <w:tr>
        <w:trPr>
          <w:trHeight w:val="1710" w:hRule="atLeast"/>
        </w:trPr>
        <w:tc>
          <w:tcPr>
            <w:tcW w:w="946" w:type="dxa"/>
          </w:tcPr>
          <w:p>
            <w:pPr>
              <w:pStyle w:val="TableParagraph"/>
              <w:spacing w:before="46"/>
              <w:ind w:left="50"/>
              <w:rPr>
                <w:sz w:val="20"/>
              </w:rPr>
            </w:pPr>
            <w:r>
              <w:rPr>
                <w:spacing w:val="-2"/>
                <w:sz w:val="20"/>
              </w:rPr>
              <w:t>st37.006</w:t>
            </w:r>
          </w:p>
        </w:tc>
        <w:tc>
          <w:tcPr>
            <w:tcW w:w="707" w:type="dxa"/>
          </w:tcPr>
          <w:p>
            <w:pPr>
              <w:pStyle w:val="TableParagraph"/>
              <w:spacing w:before="46"/>
              <w:ind w:left="210"/>
              <w:rPr>
                <w:sz w:val="20"/>
              </w:rPr>
            </w:pPr>
            <w:r>
              <w:rPr>
                <w:spacing w:val="-5"/>
                <w:sz w:val="20"/>
              </w:rPr>
              <w:t>384</w:t>
            </w:r>
          </w:p>
        </w:tc>
        <w:tc>
          <w:tcPr>
            <w:tcW w:w="3563" w:type="dxa"/>
          </w:tcPr>
          <w:p>
            <w:pPr>
              <w:pStyle w:val="TableParagraph"/>
              <w:spacing w:before="46"/>
              <w:ind w:left="192" w:right="1121"/>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заболеваниями опорно- двигательного аппарата и периферической нервной системы (4 балла по </w:t>
            </w:r>
            <w:r>
              <w:rPr>
                <w:spacing w:val="-4"/>
                <w:sz w:val="20"/>
              </w:rPr>
              <w:t>ШРМ)</w:t>
            </w:r>
          </w:p>
        </w:tc>
        <w:tc>
          <w:tcPr>
            <w:tcW w:w="2472" w:type="dxa"/>
          </w:tcPr>
          <w:p>
            <w:pPr>
              <w:pStyle w:val="TableParagraph"/>
              <w:spacing w:before="46"/>
              <w:ind w:left="1122"/>
              <w:rPr>
                <w:sz w:val="20"/>
              </w:rPr>
            </w:pPr>
            <w:r>
              <w:rPr>
                <w:w w:val="99"/>
                <w:sz w:val="20"/>
              </w:rPr>
              <w:t>-</w:t>
            </w:r>
          </w:p>
        </w:tc>
        <w:tc>
          <w:tcPr>
            <w:tcW w:w="4200" w:type="dxa"/>
          </w:tcPr>
          <w:p>
            <w:pPr>
              <w:pStyle w:val="TableParagraph"/>
              <w:spacing w:before="46"/>
              <w:ind w:left="2047" w:right="345" w:hanging="766"/>
              <w:rPr>
                <w:sz w:val="20"/>
              </w:rPr>
            </w:pPr>
            <w:r>
              <w:rPr>
                <w:sz w:val="20"/>
              </w:rPr>
              <w:t>B05.023.002.002,</w:t>
            </w:r>
            <w:r>
              <w:rPr>
                <w:spacing w:val="-13"/>
                <w:sz w:val="20"/>
              </w:rPr>
              <w:t> </w:t>
            </w:r>
            <w:r>
              <w:rPr>
                <w:sz w:val="20"/>
              </w:rPr>
              <w:t>B05.050.003, </w:t>
            </w:r>
            <w:r>
              <w:rPr>
                <w:spacing w:val="-2"/>
                <w:sz w:val="20"/>
              </w:rPr>
              <w:t>B05.050.005</w:t>
            </w:r>
          </w:p>
        </w:tc>
        <w:tc>
          <w:tcPr>
            <w:tcW w:w="2549" w:type="dxa"/>
          </w:tcPr>
          <w:p>
            <w:pPr>
              <w:pStyle w:val="TableParagraph"/>
              <w:spacing w:before="46"/>
              <w:ind w:left="353" w:right="434" w:hanging="2"/>
              <w:jc w:val="center"/>
              <w:rPr>
                <w:sz w:val="20"/>
              </w:rPr>
            </w:pPr>
            <w:r>
              <w:rPr>
                <w:spacing w:val="-4"/>
                <w:sz w:val="20"/>
              </w:rPr>
              <w:t>Иной </w:t>
            </w:r>
            <w:r>
              <w:rPr>
                <w:spacing w:val="-2"/>
                <w:sz w:val="20"/>
              </w:rPr>
              <w:t>классификационный </w:t>
            </w:r>
            <w:r>
              <w:rPr>
                <w:sz w:val="20"/>
              </w:rPr>
              <w:t>критерий: rb4</w:t>
            </w:r>
          </w:p>
        </w:tc>
        <w:tc>
          <w:tcPr>
            <w:tcW w:w="837" w:type="dxa"/>
          </w:tcPr>
          <w:p>
            <w:pPr>
              <w:pStyle w:val="TableParagraph"/>
              <w:spacing w:before="46"/>
              <w:ind w:right="48"/>
              <w:jc w:val="right"/>
              <w:rPr>
                <w:sz w:val="20"/>
              </w:rPr>
            </w:pPr>
            <w:r>
              <w:rPr>
                <w:spacing w:val="-4"/>
                <w:sz w:val="20"/>
              </w:rPr>
              <w:t>1,67</w:t>
            </w:r>
          </w:p>
        </w:tc>
      </w:tr>
      <w:tr>
        <w:trPr>
          <w:trHeight w:val="1710" w:hRule="atLeast"/>
        </w:trPr>
        <w:tc>
          <w:tcPr>
            <w:tcW w:w="946" w:type="dxa"/>
          </w:tcPr>
          <w:p>
            <w:pPr>
              <w:pStyle w:val="TableParagraph"/>
              <w:spacing w:before="45"/>
              <w:ind w:left="50"/>
              <w:rPr>
                <w:sz w:val="20"/>
              </w:rPr>
            </w:pPr>
            <w:r>
              <w:rPr>
                <w:spacing w:val="-2"/>
                <w:sz w:val="20"/>
              </w:rPr>
              <w:t>st37.007</w:t>
            </w:r>
          </w:p>
        </w:tc>
        <w:tc>
          <w:tcPr>
            <w:tcW w:w="707" w:type="dxa"/>
          </w:tcPr>
          <w:p>
            <w:pPr>
              <w:pStyle w:val="TableParagraph"/>
              <w:spacing w:before="45"/>
              <w:ind w:left="210"/>
              <w:rPr>
                <w:sz w:val="20"/>
              </w:rPr>
            </w:pPr>
            <w:r>
              <w:rPr>
                <w:spacing w:val="-5"/>
                <w:sz w:val="20"/>
              </w:rPr>
              <w:t>385</w:t>
            </w:r>
          </w:p>
        </w:tc>
        <w:tc>
          <w:tcPr>
            <w:tcW w:w="3563" w:type="dxa"/>
          </w:tcPr>
          <w:p>
            <w:pPr>
              <w:pStyle w:val="TableParagraph"/>
              <w:spacing w:before="45"/>
              <w:ind w:left="192" w:right="1121"/>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заболеваниями опорно- двигательного аппарата и периферической нервной системы (5 баллов по </w:t>
            </w:r>
            <w:r>
              <w:rPr>
                <w:spacing w:val="-4"/>
                <w:sz w:val="20"/>
              </w:rPr>
              <w:t>ШРМ)</w:t>
            </w:r>
          </w:p>
        </w:tc>
        <w:tc>
          <w:tcPr>
            <w:tcW w:w="2472" w:type="dxa"/>
          </w:tcPr>
          <w:p>
            <w:pPr>
              <w:pStyle w:val="TableParagraph"/>
              <w:spacing w:before="45"/>
              <w:ind w:left="1122"/>
              <w:rPr>
                <w:sz w:val="20"/>
              </w:rPr>
            </w:pPr>
            <w:r>
              <w:rPr>
                <w:w w:val="99"/>
                <w:sz w:val="20"/>
              </w:rPr>
              <w:t>-</w:t>
            </w:r>
          </w:p>
        </w:tc>
        <w:tc>
          <w:tcPr>
            <w:tcW w:w="4200" w:type="dxa"/>
          </w:tcPr>
          <w:p>
            <w:pPr>
              <w:pStyle w:val="TableParagraph"/>
              <w:spacing w:before="45"/>
              <w:ind w:left="2047" w:right="345" w:hanging="766"/>
              <w:rPr>
                <w:sz w:val="20"/>
              </w:rPr>
            </w:pPr>
            <w:r>
              <w:rPr>
                <w:sz w:val="20"/>
              </w:rPr>
              <w:t>B05.023.002.002,</w:t>
            </w:r>
            <w:r>
              <w:rPr>
                <w:spacing w:val="-13"/>
                <w:sz w:val="20"/>
              </w:rPr>
              <w:t> </w:t>
            </w:r>
            <w:r>
              <w:rPr>
                <w:sz w:val="20"/>
              </w:rPr>
              <w:t>B05.050.003, </w:t>
            </w:r>
            <w:r>
              <w:rPr>
                <w:spacing w:val="-2"/>
                <w:sz w:val="20"/>
              </w:rPr>
              <w:t>B05.050.005</w:t>
            </w:r>
          </w:p>
        </w:tc>
        <w:tc>
          <w:tcPr>
            <w:tcW w:w="2549" w:type="dxa"/>
          </w:tcPr>
          <w:p>
            <w:pPr>
              <w:pStyle w:val="TableParagraph"/>
              <w:spacing w:before="45"/>
              <w:ind w:left="353" w:right="434" w:hanging="2"/>
              <w:jc w:val="center"/>
              <w:rPr>
                <w:sz w:val="20"/>
              </w:rPr>
            </w:pPr>
            <w:r>
              <w:rPr>
                <w:spacing w:val="-4"/>
                <w:sz w:val="20"/>
              </w:rPr>
              <w:t>Иной </w:t>
            </w:r>
            <w:r>
              <w:rPr>
                <w:spacing w:val="-2"/>
                <w:sz w:val="20"/>
              </w:rPr>
              <w:t>классификационный </w:t>
            </w:r>
            <w:r>
              <w:rPr>
                <w:sz w:val="20"/>
              </w:rPr>
              <w:t>критерий: rb5</w:t>
            </w:r>
          </w:p>
        </w:tc>
        <w:tc>
          <w:tcPr>
            <w:tcW w:w="837" w:type="dxa"/>
          </w:tcPr>
          <w:p>
            <w:pPr>
              <w:pStyle w:val="TableParagraph"/>
              <w:spacing w:before="45"/>
              <w:ind w:right="48"/>
              <w:jc w:val="right"/>
              <w:rPr>
                <w:sz w:val="20"/>
              </w:rPr>
            </w:pPr>
            <w:r>
              <w:rPr>
                <w:spacing w:val="-4"/>
                <w:sz w:val="20"/>
              </w:rPr>
              <w:t>3,03</w:t>
            </w:r>
          </w:p>
        </w:tc>
      </w:tr>
      <w:tr>
        <w:trPr>
          <w:trHeight w:val="789" w:hRule="atLeast"/>
        </w:trPr>
        <w:tc>
          <w:tcPr>
            <w:tcW w:w="946" w:type="dxa"/>
          </w:tcPr>
          <w:p>
            <w:pPr>
              <w:pStyle w:val="TableParagraph"/>
              <w:spacing w:before="46"/>
              <w:ind w:left="50"/>
              <w:rPr>
                <w:sz w:val="20"/>
              </w:rPr>
            </w:pPr>
            <w:r>
              <w:rPr>
                <w:spacing w:val="-2"/>
                <w:sz w:val="20"/>
              </w:rPr>
              <w:t>st37.008</w:t>
            </w:r>
          </w:p>
        </w:tc>
        <w:tc>
          <w:tcPr>
            <w:tcW w:w="707" w:type="dxa"/>
          </w:tcPr>
          <w:p>
            <w:pPr>
              <w:pStyle w:val="TableParagraph"/>
              <w:spacing w:before="46"/>
              <w:ind w:left="210"/>
              <w:rPr>
                <w:sz w:val="20"/>
              </w:rPr>
            </w:pPr>
            <w:r>
              <w:rPr>
                <w:spacing w:val="-5"/>
                <w:sz w:val="20"/>
              </w:rPr>
              <w:t>386</w:t>
            </w:r>
          </w:p>
        </w:tc>
        <w:tc>
          <w:tcPr>
            <w:tcW w:w="3563" w:type="dxa"/>
          </w:tcPr>
          <w:p>
            <w:pPr>
              <w:pStyle w:val="TableParagraph"/>
              <w:spacing w:before="46"/>
              <w:ind w:left="192" w:right="1490"/>
              <w:rPr>
                <w:sz w:val="20"/>
              </w:rPr>
            </w:pPr>
            <w:r>
              <w:rPr>
                <w:spacing w:val="-2"/>
                <w:sz w:val="20"/>
              </w:rPr>
              <w:t>Медицинская кардиореабилитация </w:t>
            </w:r>
            <w:r>
              <w:rPr>
                <w:sz w:val="20"/>
              </w:rPr>
              <w:t>(3 балла по ШРМ)</w:t>
            </w:r>
          </w:p>
        </w:tc>
        <w:tc>
          <w:tcPr>
            <w:tcW w:w="2472" w:type="dxa"/>
          </w:tcPr>
          <w:p>
            <w:pPr>
              <w:pStyle w:val="TableParagraph"/>
              <w:spacing w:before="46"/>
              <w:ind w:left="1122"/>
              <w:rPr>
                <w:sz w:val="20"/>
              </w:rPr>
            </w:pPr>
            <w:r>
              <w:rPr>
                <w:w w:val="99"/>
                <w:sz w:val="20"/>
              </w:rPr>
              <w:t>-</w:t>
            </w:r>
          </w:p>
        </w:tc>
        <w:tc>
          <w:tcPr>
            <w:tcW w:w="4200" w:type="dxa"/>
          </w:tcPr>
          <w:p>
            <w:pPr>
              <w:pStyle w:val="TableParagraph"/>
              <w:spacing w:before="46"/>
              <w:ind w:left="1481" w:right="522" w:hanging="27"/>
              <w:rPr>
                <w:sz w:val="20"/>
              </w:rPr>
            </w:pPr>
            <w:r>
              <w:rPr>
                <w:sz w:val="20"/>
              </w:rPr>
              <w:t>B05.015.001,</w:t>
            </w:r>
            <w:r>
              <w:rPr>
                <w:spacing w:val="-13"/>
                <w:sz w:val="20"/>
              </w:rPr>
              <w:t> </w:t>
            </w:r>
            <w:r>
              <w:rPr>
                <w:sz w:val="20"/>
              </w:rPr>
              <w:t>B05.043.001, B05.057.003,</w:t>
            </w:r>
            <w:r>
              <w:rPr>
                <w:spacing w:val="-9"/>
                <w:sz w:val="20"/>
              </w:rPr>
              <w:t> </w:t>
            </w:r>
            <w:r>
              <w:rPr>
                <w:spacing w:val="-2"/>
                <w:sz w:val="20"/>
              </w:rPr>
              <w:t>B05.057.007</w:t>
            </w:r>
          </w:p>
        </w:tc>
        <w:tc>
          <w:tcPr>
            <w:tcW w:w="2549" w:type="dxa"/>
          </w:tcPr>
          <w:p>
            <w:pPr>
              <w:pStyle w:val="TableParagraph"/>
              <w:spacing w:before="46"/>
              <w:ind w:left="353" w:right="434" w:hanging="2"/>
              <w:jc w:val="center"/>
              <w:rPr>
                <w:sz w:val="20"/>
              </w:rPr>
            </w:pPr>
            <w:r>
              <w:rPr>
                <w:spacing w:val="-4"/>
                <w:sz w:val="20"/>
              </w:rPr>
              <w:t>Иной </w:t>
            </w:r>
            <w:r>
              <w:rPr>
                <w:spacing w:val="-2"/>
                <w:sz w:val="20"/>
              </w:rPr>
              <w:t>классификационный </w:t>
            </w:r>
            <w:r>
              <w:rPr>
                <w:sz w:val="20"/>
              </w:rPr>
              <w:t>критерий: rb3</w:t>
            </w:r>
          </w:p>
        </w:tc>
        <w:tc>
          <w:tcPr>
            <w:tcW w:w="837" w:type="dxa"/>
          </w:tcPr>
          <w:p>
            <w:pPr>
              <w:pStyle w:val="TableParagraph"/>
              <w:spacing w:before="46"/>
              <w:ind w:right="48"/>
              <w:jc w:val="right"/>
              <w:rPr>
                <w:sz w:val="20"/>
              </w:rPr>
            </w:pPr>
            <w:r>
              <w:rPr>
                <w:spacing w:val="-4"/>
                <w:sz w:val="20"/>
              </w:rPr>
              <w:t>1,02</w:t>
            </w:r>
          </w:p>
        </w:tc>
      </w:tr>
      <w:tr>
        <w:trPr>
          <w:trHeight w:val="736" w:hRule="atLeast"/>
        </w:trPr>
        <w:tc>
          <w:tcPr>
            <w:tcW w:w="946" w:type="dxa"/>
          </w:tcPr>
          <w:p>
            <w:pPr>
              <w:pStyle w:val="TableParagraph"/>
              <w:spacing w:before="46"/>
              <w:ind w:left="50"/>
              <w:rPr>
                <w:sz w:val="20"/>
              </w:rPr>
            </w:pPr>
            <w:r>
              <w:rPr>
                <w:spacing w:val="-2"/>
                <w:sz w:val="20"/>
              </w:rPr>
              <w:t>st37.009</w:t>
            </w:r>
          </w:p>
        </w:tc>
        <w:tc>
          <w:tcPr>
            <w:tcW w:w="707" w:type="dxa"/>
          </w:tcPr>
          <w:p>
            <w:pPr>
              <w:pStyle w:val="TableParagraph"/>
              <w:spacing w:before="46"/>
              <w:ind w:left="210"/>
              <w:rPr>
                <w:sz w:val="20"/>
              </w:rPr>
            </w:pPr>
            <w:r>
              <w:rPr>
                <w:spacing w:val="-5"/>
                <w:sz w:val="20"/>
              </w:rPr>
              <w:t>387</w:t>
            </w:r>
          </w:p>
        </w:tc>
        <w:tc>
          <w:tcPr>
            <w:tcW w:w="3563" w:type="dxa"/>
          </w:tcPr>
          <w:p>
            <w:pPr>
              <w:pStyle w:val="TableParagraph"/>
              <w:spacing w:line="230" w:lineRule="atLeast" w:before="26"/>
              <w:ind w:left="192" w:right="1490"/>
              <w:rPr>
                <w:sz w:val="20"/>
              </w:rPr>
            </w:pPr>
            <w:r>
              <w:rPr>
                <w:spacing w:val="-2"/>
                <w:sz w:val="20"/>
              </w:rPr>
              <w:t>Медицинская кардиореабилитация </w:t>
            </w:r>
            <w:r>
              <w:rPr>
                <w:sz w:val="20"/>
              </w:rPr>
              <w:t>(4 балла по ШРМ)</w:t>
            </w:r>
          </w:p>
        </w:tc>
        <w:tc>
          <w:tcPr>
            <w:tcW w:w="2472" w:type="dxa"/>
          </w:tcPr>
          <w:p>
            <w:pPr>
              <w:pStyle w:val="TableParagraph"/>
              <w:spacing w:before="46"/>
              <w:ind w:left="1122"/>
              <w:rPr>
                <w:sz w:val="20"/>
              </w:rPr>
            </w:pPr>
            <w:r>
              <w:rPr>
                <w:w w:val="99"/>
                <w:sz w:val="20"/>
              </w:rPr>
              <w:t>-</w:t>
            </w:r>
          </w:p>
        </w:tc>
        <w:tc>
          <w:tcPr>
            <w:tcW w:w="4200" w:type="dxa"/>
          </w:tcPr>
          <w:p>
            <w:pPr>
              <w:pStyle w:val="TableParagraph"/>
              <w:spacing w:before="46"/>
              <w:ind w:left="1481" w:right="522" w:hanging="27"/>
              <w:rPr>
                <w:sz w:val="20"/>
              </w:rPr>
            </w:pPr>
            <w:r>
              <w:rPr>
                <w:sz w:val="20"/>
              </w:rPr>
              <w:t>B05.015.001,</w:t>
            </w:r>
            <w:r>
              <w:rPr>
                <w:spacing w:val="-13"/>
                <w:sz w:val="20"/>
              </w:rPr>
              <w:t> </w:t>
            </w:r>
            <w:r>
              <w:rPr>
                <w:sz w:val="20"/>
              </w:rPr>
              <w:t>B05.043.001, B05.057.003,</w:t>
            </w:r>
            <w:r>
              <w:rPr>
                <w:spacing w:val="-9"/>
                <w:sz w:val="20"/>
              </w:rPr>
              <w:t> </w:t>
            </w:r>
            <w:r>
              <w:rPr>
                <w:spacing w:val="-2"/>
                <w:sz w:val="20"/>
              </w:rPr>
              <w:t>B05.057.007</w:t>
            </w:r>
          </w:p>
        </w:tc>
        <w:tc>
          <w:tcPr>
            <w:tcW w:w="2549" w:type="dxa"/>
          </w:tcPr>
          <w:p>
            <w:pPr>
              <w:pStyle w:val="TableParagraph"/>
              <w:spacing w:line="230" w:lineRule="atLeast" w:before="26"/>
              <w:ind w:left="353" w:right="434" w:hanging="2"/>
              <w:jc w:val="center"/>
              <w:rPr>
                <w:sz w:val="20"/>
              </w:rPr>
            </w:pPr>
            <w:r>
              <w:rPr>
                <w:spacing w:val="-4"/>
                <w:sz w:val="20"/>
              </w:rPr>
              <w:t>Иной </w:t>
            </w:r>
            <w:r>
              <w:rPr>
                <w:spacing w:val="-2"/>
                <w:sz w:val="20"/>
              </w:rPr>
              <w:t>классификационный </w:t>
            </w:r>
            <w:r>
              <w:rPr>
                <w:sz w:val="20"/>
              </w:rPr>
              <w:t>критерий: rb4</w:t>
            </w:r>
          </w:p>
        </w:tc>
        <w:tc>
          <w:tcPr>
            <w:tcW w:w="837" w:type="dxa"/>
          </w:tcPr>
          <w:p>
            <w:pPr>
              <w:pStyle w:val="TableParagraph"/>
              <w:spacing w:before="46"/>
              <w:ind w:right="48"/>
              <w:jc w:val="right"/>
              <w:rPr>
                <w:sz w:val="20"/>
              </w:rPr>
            </w:pPr>
            <w:r>
              <w:rPr>
                <w:spacing w:val="-4"/>
                <w:sz w:val="20"/>
              </w:rPr>
              <w:t>1,38</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65"/>
        <w:gridCol w:w="2557"/>
        <w:gridCol w:w="4028"/>
        <w:gridCol w:w="2636"/>
        <w:gridCol w:w="838"/>
      </w:tblGrid>
      <w:tr>
        <w:trPr>
          <w:trHeight w:val="734" w:hRule="atLeast"/>
        </w:trPr>
        <w:tc>
          <w:tcPr>
            <w:tcW w:w="946" w:type="dxa"/>
          </w:tcPr>
          <w:p>
            <w:pPr>
              <w:pStyle w:val="TableParagraph"/>
              <w:spacing w:line="221" w:lineRule="exact"/>
              <w:ind w:left="50"/>
              <w:rPr>
                <w:sz w:val="20"/>
              </w:rPr>
            </w:pPr>
            <w:r>
              <w:rPr>
                <w:spacing w:val="-2"/>
                <w:sz w:val="20"/>
              </w:rPr>
              <w:t>st37.010</w:t>
            </w:r>
          </w:p>
        </w:tc>
        <w:tc>
          <w:tcPr>
            <w:tcW w:w="707" w:type="dxa"/>
          </w:tcPr>
          <w:p>
            <w:pPr>
              <w:pStyle w:val="TableParagraph"/>
              <w:spacing w:line="221" w:lineRule="exact"/>
              <w:ind w:left="210"/>
              <w:rPr>
                <w:sz w:val="20"/>
              </w:rPr>
            </w:pPr>
            <w:r>
              <w:rPr>
                <w:spacing w:val="-5"/>
                <w:sz w:val="20"/>
              </w:rPr>
              <w:t>388</w:t>
            </w:r>
          </w:p>
        </w:tc>
        <w:tc>
          <w:tcPr>
            <w:tcW w:w="3565" w:type="dxa"/>
          </w:tcPr>
          <w:p>
            <w:pPr>
              <w:pStyle w:val="TableParagraph"/>
              <w:ind w:left="192" w:right="1492"/>
              <w:rPr>
                <w:sz w:val="20"/>
              </w:rPr>
            </w:pPr>
            <w:r>
              <w:rPr>
                <w:spacing w:val="-2"/>
                <w:sz w:val="20"/>
              </w:rPr>
              <w:t>Медицинская кардиореабилитация </w:t>
            </w:r>
            <w:r>
              <w:rPr>
                <w:sz w:val="20"/>
              </w:rPr>
              <w:t>(5 баллов по ШРМ)</w:t>
            </w:r>
          </w:p>
        </w:tc>
        <w:tc>
          <w:tcPr>
            <w:tcW w:w="2557" w:type="dxa"/>
          </w:tcPr>
          <w:p>
            <w:pPr>
              <w:pStyle w:val="TableParagraph"/>
              <w:spacing w:line="221" w:lineRule="exact"/>
              <w:ind w:left="1121"/>
              <w:rPr>
                <w:sz w:val="20"/>
              </w:rPr>
            </w:pPr>
            <w:r>
              <w:rPr>
                <w:w w:val="99"/>
                <w:sz w:val="20"/>
              </w:rPr>
              <w:t>-</w:t>
            </w:r>
          </w:p>
        </w:tc>
        <w:tc>
          <w:tcPr>
            <w:tcW w:w="4028" w:type="dxa"/>
          </w:tcPr>
          <w:p>
            <w:pPr>
              <w:pStyle w:val="TableParagraph"/>
              <w:ind w:left="1393" w:right="438" w:hanging="27"/>
              <w:rPr>
                <w:sz w:val="20"/>
              </w:rPr>
            </w:pPr>
            <w:r>
              <w:rPr>
                <w:sz w:val="20"/>
              </w:rPr>
              <w:t>B05.015.001,</w:t>
            </w:r>
            <w:r>
              <w:rPr>
                <w:spacing w:val="-13"/>
                <w:sz w:val="20"/>
              </w:rPr>
              <w:t> </w:t>
            </w:r>
            <w:r>
              <w:rPr>
                <w:sz w:val="20"/>
              </w:rPr>
              <w:t>B05.043.001, B05.057.003,</w:t>
            </w:r>
            <w:r>
              <w:rPr>
                <w:spacing w:val="-9"/>
                <w:sz w:val="20"/>
              </w:rPr>
              <w:t> </w:t>
            </w:r>
            <w:r>
              <w:rPr>
                <w:spacing w:val="-2"/>
                <w:sz w:val="20"/>
              </w:rPr>
              <w:t>B05.057.007</w:t>
            </w:r>
          </w:p>
        </w:tc>
        <w:tc>
          <w:tcPr>
            <w:tcW w:w="2636" w:type="dxa"/>
          </w:tcPr>
          <w:p>
            <w:pPr>
              <w:pStyle w:val="TableParagraph"/>
              <w:ind w:left="438" w:right="436" w:hanging="2"/>
              <w:jc w:val="center"/>
              <w:rPr>
                <w:sz w:val="20"/>
              </w:rPr>
            </w:pPr>
            <w:r>
              <w:rPr>
                <w:spacing w:val="-4"/>
                <w:sz w:val="20"/>
              </w:rPr>
              <w:t>Иной </w:t>
            </w:r>
            <w:r>
              <w:rPr>
                <w:spacing w:val="-2"/>
                <w:sz w:val="20"/>
              </w:rPr>
              <w:t>классификационный </w:t>
            </w:r>
            <w:r>
              <w:rPr>
                <w:sz w:val="20"/>
              </w:rPr>
              <w:t>критерий: rb5</w:t>
            </w:r>
          </w:p>
        </w:tc>
        <w:tc>
          <w:tcPr>
            <w:tcW w:w="838" w:type="dxa"/>
          </w:tcPr>
          <w:p>
            <w:pPr>
              <w:pStyle w:val="TableParagraph"/>
              <w:spacing w:line="221" w:lineRule="exact"/>
              <w:ind w:right="51"/>
              <w:jc w:val="right"/>
              <w:rPr>
                <w:sz w:val="20"/>
              </w:rPr>
            </w:pPr>
            <w:r>
              <w:rPr>
                <w:spacing w:val="-4"/>
                <w:sz w:val="20"/>
              </w:rPr>
              <w:t>2,00</w:t>
            </w:r>
          </w:p>
        </w:tc>
      </w:tr>
      <w:tr>
        <w:trPr>
          <w:trHeight w:val="2400" w:hRule="atLeast"/>
        </w:trPr>
        <w:tc>
          <w:tcPr>
            <w:tcW w:w="946" w:type="dxa"/>
          </w:tcPr>
          <w:p>
            <w:pPr>
              <w:pStyle w:val="TableParagraph"/>
              <w:spacing w:before="46"/>
              <w:ind w:left="50"/>
              <w:rPr>
                <w:sz w:val="20"/>
              </w:rPr>
            </w:pPr>
            <w:r>
              <w:rPr>
                <w:spacing w:val="-2"/>
                <w:sz w:val="20"/>
              </w:rPr>
              <w:t>st37.011</w:t>
            </w:r>
          </w:p>
        </w:tc>
        <w:tc>
          <w:tcPr>
            <w:tcW w:w="707" w:type="dxa"/>
          </w:tcPr>
          <w:p>
            <w:pPr>
              <w:pStyle w:val="TableParagraph"/>
              <w:spacing w:before="46"/>
              <w:ind w:left="210"/>
              <w:rPr>
                <w:sz w:val="20"/>
              </w:rPr>
            </w:pPr>
            <w:r>
              <w:rPr>
                <w:spacing w:val="-5"/>
                <w:sz w:val="20"/>
              </w:rPr>
              <w:t>389</w:t>
            </w:r>
          </w:p>
        </w:tc>
        <w:tc>
          <w:tcPr>
            <w:tcW w:w="3565" w:type="dxa"/>
          </w:tcPr>
          <w:p>
            <w:pPr>
              <w:pStyle w:val="TableParagraph"/>
              <w:spacing w:before="46"/>
              <w:ind w:left="192" w:right="1088"/>
              <w:rPr>
                <w:sz w:val="20"/>
              </w:rPr>
            </w:pPr>
            <w:r>
              <w:rPr>
                <w:spacing w:val="-2"/>
                <w:sz w:val="20"/>
              </w:rPr>
              <w:t>Медицинская </w:t>
            </w:r>
            <w:r>
              <w:rPr>
                <w:sz w:val="20"/>
              </w:rPr>
              <w:t>реабилитация</w:t>
            </w:r>
            <w:r>
              <w:rPr>
                <w:spacing w:val="-13"/>
                <w:sz w:val="20"/>
              </w:rPr>
              <w:t> </w:t>
            </w:r>
            <w:r>
              <w:rPr>
                <w:sz w:val="20"/>
              </w:rPr>
              <w:t>при</w:t>
            </w:r>
            <w:r>
              <w:rPr>
                <w:spacing w:val="-12"/>
                <w:sz w:val="20"/>
              </w:rPr>
              <w:t> </w:t>
            </w:r>
            <w:r>
              <w:rPr>
                <w:sz w:val="20"/>
              </w:rPr>
              <w:t>других </w:t>
            </w:r>
            <w:r>
              <w:rPr>
                <w:spacing w:val="-2"/>
                <w:sz w:val="20"/>
              </w:rPr>
              <w:t>соматических </w:t>
            </w:r>
            <w:r>
              <w:rPr>
                <w:sz w:val="20"/>
              </w:rPr>
              <w:t>заболеваниях</w:t>
            </w:r>
            <w:r>
              <w:rPr>
                <w:spacing w:val="-4"/>
                <w:sz w:val="20"/>
              </w:rPr>
              <w:t> </w:t>
            </w:r>
            <w:r>
              <w:rPr>
                <w:sz w:val="20"/>
              </w:rPr>
              <w:t>(3</w:t>
            </w:r>
            <w:r>
              <w:rPr>
                <w:spacing w:val="-2"/>
                <w:sz w:val="20"/>
              </w:rPr>
              <w:t> </w:t>
            </w:r>
            <w:r>
              <w:rPr>
                <w:sz w:val="20"/>
              </w:rPr>
              <w:t>балла</w:t>
            </w:r>
            <w:r>
              <w:rPr>
                <w:spacing w:val="-3"/>
                <w:sz w:val="20"/>
              </w:rPr>
              <w:t> </w:t>
            </w:r>
            <w:r>
              <w:rPr>
                <w:sz w:val="20"/>
              </w:rPr>
              <w:t>по </w:t>
            </w:r>
            <w:r>
              <w:rPr>
                <w:spacing w:val="-4"/>
                <w:sz w:val="20"/>
              </w:rPr>
              <w:t>ШРМ)</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367" w:right="441" w:hanging="2"/>
              <w:jc w:val="center"/>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B05.069.002, </w:t>
            </w:r>
            <w:r>
              <w:rPr>
                <w:spacing w:val="-2"/>
                <w:sz w:val="20"/>
              </w:rPr>
              <w:t>B05.069.003</w:t>
            </w:r>
          </w:p>
        </w:tc>
        <w:tc>
          <w:tcPr>
            <w:tcW w:w="2636" w:type="dxa"/>
          </w:tcPr>
          <w:p>
            <w:pPr>
              <w:pStyle w:val="TableParagraph"/>
              <w:spacing w:before="46"/>
              <w:ind w:left="438" w:right="436" w:hanging="2"/>
              <w:jc w:val="center"/>
              <w:rPr>
                <w:sz w:val="20"/>
              </w:rPr>
            </w:pPr>
            <w:r>
              <w:rPr>
                <w:spacing w:val="-4"/>
                <w:sz w:val="20"/>
              </w:rPr>
              <w:t>Иной </w:t>
            </w:r>
            <w:r>
              <w:rPr>
                <w:spacing w:val="-2"/>
                <w:sz w:val="20"/>
              </w:rPr>
              <w:t>классификационный </w:t>
            </w:r>
            <w:r>
              <w:rPr>
                <w:sz w:val="20"/>
              </w:rPr>
              <w:t>критерий: rb3</w:t>
            </w:r>
          </w:p>
        </w:tc>
        <w:tc>
          <w:tcPr>
            <w:tcW w:w="838" w:type="dxa"/>
          </w:tcPr>
          <w:p>
            <w:pPr>
              <w:pStyle w:val="TableParagraph"/>
              <w:spacing w:before="46"/>
              <w:ind w:right="51"/>
              <w:jc w:val="right"/>
              <w:rPr>
                <w:sz w:val="20"/>
              </w:rPr>
            </w:pPr>
            <w:r>
              <w:rPr>
                <w:spacing w:val="-4"/>
                <w:sz w:val="20"/>
              </w:rPr>
              <w:t>0,59</w:t>
            </w:r>
          </w:p>
        </w:tc>
      </w:tr>
      <w:tr>
        <w:trPr>
          <w:trHeight w:val="2400" w:hRule="atLeast"/>
        </w:trPr>
        <w:tc>
          <w:tcPr>
            <w:tcW w:w="946" w:type="dxa"/>
          </w:tcPr>
          <w:p>
            <w:pPr>
              <w:pStyle w:val="TableParagraph"/>
              <w:spacing w:before="46"/>
              <w:ind w:left="50"/>
              <w:rPr>
                <w:sz w:val="20"/>
              </w:rPr>
            </w:pPr>
            <w:r>
              <w:rPr>
                <w:spacing w:val="-2"/>
                <w:sz w:val="20"/>
              </w:rPr>
              <w:t>st37.012</w:t>
            </w:r>
          </w:p>
        </w:tc>
        <w:tc>
          <w:tcPr>
            <w:tcW w:w="707" w:type="dxa"/>
          </w:tcPr>
          <w:p>
            <w:pPr>
              <w:pStyle w:val="TableParagraph"/>
              <w:spacing w:before="46"/>
              <w:ind w:left="210"/>
              <w:rPr>
                <w:sz w:val="20"/>
              </w:rPr>
            </w:pPr>
            <w:r>
              <w:rPr>
                <w:spacing w:val="-5"/>
                <w:sz w:val="20"/>
              </w:rPr>
              <w:t>390</w:t>
            </w:r>
          </w:p>
        </w:tc>
        <w:tc>
          <w:tcPr>
            <w:tcW w:w="3565" w:type="dxa"/>
          </w:tcPr>
          <w:p>
            <w:pPr>
              <w:pStyle w:val="TableParagraph"/>
              <w:spacing w:before="46"/>
              <w:ind w:left="192" w:right="1088"/>
              <w:rPr>
                <w:sz w:val="20"/>
              </w:rPr>
            </w:pPr>
            <w:r>
              <w:rPr>
                <w:spacing w:val="-2"/>
                <w:sz w:val="20"/>
              </w:rPr>
              <w:t>Медицинская </w:t>
            </w:r>
            <w:r>
              <w:rPr>
                <w:sz w:val="20"/>
              </w:rPr>
              <w:t>реабилитация</w:t>
            </w:r>
            <w:r>
              <w:rPr>
                <w:spacing w:val="-13"/>
                <w:sz w:val="20"/>
              </w:rPr>
              <w:t> </w:t>
            </w:r>
            <w:r>
              <w:rPr>
                <w:sz w:val="20"/>
              </w:rPr>
              <w:t>при</w:t>
            </w:r>
            <w:r>
              <w:rPr>
                <w:spacing w:val="-12"/>
                <w:sz w:val="20"/>
              </w:rPr>
              <w:t> </w:t>
            </w:r>
            <w:r>
              <w:rPr>
                <w:sz w:val="20"/>
              </w:rPr>
              <w:t>других </w:t>
            </w:r>
            <w:r>
              <w:rPr>
                <w:spacing w:val="-2"/>
                <w:sz w:val="20"/>
              </w:rPr>
              <w:t>соматических </w:t>
            </w:r>
            <w:r>
              <w:rPr>
                <w:sz w:val="20"/>
              </w:rPr>
              <w:t>заболеваниях</w:t>
            </w:r>
            <w:r>
              <w:rPr>
                <w:spacing w:val="-4"/>
                <w:sz w:val="20"/>
              </w:rPr>
              <w:t> </w:t>
            </w:r>
            <w:r>
              <w:rPr>
                <w:sz w:val="20"/>
              </w:rPr>
              <w:t>(4</w:t>
            </w:r>
            <w:r>
              <w:rPr>
                <w:spacing w:val="-2"/>
                <w:sz w:val="20"/>
              </w:rPr>
              <w:t> </w:t>
            </w:r>
            <w:r>
              <w:rPr>
                <w:sz w:val="20"/>
              </w:rPr>
              <w:t>балла</w:t>
            </w:r>
            <w:r>
              <w:rPr>
                <w:spacing w:val="-3"/>
                <w:sz w:val="20"/>
              </w:rPr>
              <w:t> </w:t>
            </w:r>
            <w:r>
              <w:rPr>
                <w:sz w:val="20"/>
              </w:rPr>
              <w:t>по </w:t>
            </w:r>
            <w:r>
              <w:rPr>
                <w:spacing w:val="-4"/>
                <w:sz w:val="20"/>
              </w:rPr>
              <w:t>ШРМ)</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367" w:right="440" w:hanging="2"/>
              <w:jc w:val="center"/>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B05.069.002, </w:t>
            </w:r>
            <w:r>
              <w:rPr>
                <w:spacing w:val="-2"/>
                <w:sz w:val="20"/>
              </w:rPr>
              <w:t>B05.069.003</w:t>
            </w:r>
          </w:p>
        </w:tc>
        <w:tc>
          <w:tcPr>
            <w:tcW w:w="2636" w:type="dxa"/>
          </w:tcPr>
          <w:p>
            <w:pPr>
              <w:pStyle w:val="TableParagraph"/>
              <w:spacing w:before="46"/>
              <w:ind w:left="438" w:right="436" w:hanging="2"/>
              <w:jc w:val="center"/>
              <w:rPr>
                <w:sz w:val="20"/>
              </w:rPr>
            </w:pPr>
            <w:r>
              <w:rPr>
                <w:spacing w:val="-4"/>
                <w:sz w:val="20"/>
              </w:rPr>
              <w:t>Иной </w:t>
            </w:r>
            <w:r>
              <w:rPr>
                <w:spacing w:val="-2"/>
                <w:sz w:val="20"/>
              </w:rPr>
              <w:t>классификационный </w:t>
            </w:r>
            <w:r>
              <w:rPr>
                <w:sz w:val="20"/>
              </w:rPr>
              <w:t>критерий: rb4</w:t>
            </w:r>
          </w:p>
        </w:tc>
        <w:tc>
          <w:tcPr>
            <w:tcW w:w="838" w:type="dxa"/>
          </w:tcPr>
          <w:p>
            <w:pPr>
              <w:pStyle w:val="TableParagraph"/>
              <w:spacing w:before="46"/>
              <w:ind w:right="51"/>
              <w:jc w:val="right"/>
              <w:rPr>
                <w:sz w:val="20"/>
              </w:rPr>
            </w:pPr>
            <w:r>
              <w:rPr>
                <w:spacing w:val="-4"/>
                <w:sz w:val="20"/>
              </w:rPr>
              <w:t>0,84</w:t>
            </w:r>
          </w:p>
        </w:tc>
      </w:tr>
      <w:tr>
        <w:trPr>
          <w:trHeight w:val="2400" w:hRule="atLeast"/>
        </w:trPr>
        <w:tc>
          <w:tcPr>
            <w:tcW w:w="946" w:type="dxa"/>
          </w:tcPr>
          <w:p>
            <w:pPr>
              <w:pStyle w:val="TableParagraph"/>
              <w:spacing w:before="46"/>
              <w:ind w:left="50"/>
              <w:rPr>
                <w:sz w:val="20"/>
              </w:rPr>
            </w:pPr>
            <w:r>
              <w:rPr>
                <w:spacing w:val="-2"/>
                <w:sz w:val="20"/>
              </w:rPr>
              <w:t>st37.013</w:t>
            </w:r>
          </w:p>
        </w:tc>
        <w:tc>
          <w:tcPr>
            <w:tcW w:w="707" w:type="dxa"/>
          </w:tcPr>
          <w:p>
            <w:pPr>
              <w:pStyle w:val="TableParagraph"/>
              <w:spacing w:before="46"/>
              <w:ind w:left="210"/>
              <w:rPr>
                <w:sz w:val="20"/>
              </w:rPr>
            </w:pPr>
            <w:r>
              <w:rPr>
                <w:spacing w:val="-5"/>
                <w:sz w:val="20"/>
              </w:rPr>
              <w:t>391</w:t>
            </w:r>
          </w:p>
        </w:tc>
        <w:tc>
          <w:tcPr>
            <w:tcW w:w="3565" w:type="dxa"/>
          </w:tcPr>
          <w:p>
            <w:pPr>
              <w:pStyle w:val="TableParagraph"/>
              <w:spacing w:before="46"/>
              <w:ind w:left="192" w:right="1088"/>
              <w:rPr>
                <w:sz w:val="20"/>
              </w:rPr>
            </w:pPr>
            <w:r>
              <w:rPr>
                <w:spacing w:val="-2"/>
                <w:sz w:val="20"/>
              </w:rPr>
              <w:t>Медицинская </w:t>
            </w:r>
            <w:r>
              <w:rPr>
                <w:sz w:val="20"/>
              </w:rPr>
              <w:t>реабилитация при других </w:t>
            </w:r>
            <w:r>
              <w:rPr>
                <w:spacing w:val="-2"/>
                <w:sz w:val="20"/>
              </w:rPr>
              <w:t>соматических </w:t>
            </w:r>
            <w:r>
              <w:rPr>
                <w:sz w:val="20"/>
              </w:rPr>
              <w:t>заболеваниях</w:t>
            </w:r>
            <w:r>
              <w:rPr>
                <w:spacing w:val="-13"/>
                <w:sz w:val="20"/>
              </w:rPr>
              <w:t> </w:t>
            </w:r>
            <w:r>
              <w:rPr>
                <w:sz w:val="20"/>
              </w:rPr>
              <w:t>(5</w:t>
            </w:r>
            <w:r>
              <w:rPr>
                <w:spacing w:val="-12"/>
                <w:sz w:val="20"/>
              </w:rPr>
              <w:t> </w:t>
            </w:r>
            <w:r>
              <w:rPr>
                <w:sz w:val="20"/>
              </w:rPr>
              <w:t>баллов</w:t>
            </w:r>
            <w:r>
              <w:rPr>
                <w:spacing w:val="-13"/>
                <w:sz w:val="20"/>
              </w:rPr>
              <w:t> </w:t>
            </w:r>
            <w:r>
              <w:rPr>
                <w:sz w:val="20"/>
              </w:rPr>
              <w:t>по </w:t>
            </w:r>
            <w:r>
              <w:rPr>
                <w:spacing w:val="-4"/>
                <w:sz w:val="20"/>
              </w:rPr>
              <w:t>ШРМ)</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367" w:right="440" w:hanging="2"/>
              <w:jc w:val="center"/>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B05.069.002, </w:t>
            </w:r>
            <w:r>
              <w:rPr>
                <w:spacing w:val="-2"/>
                <w:sz w:val="20"/>
              </w:rPr>
              <w:t>B05.069.003</w:t>
            </w:r>
          </w:p>
        </w:tc>
        <w:tc>
          <w:tcPr>
            <w:tcW w:w="2636" w:type="dxa"/>
          </w:tcPr>
          <w:p>
            <w:pPr>
              <w:pStyle w:val="TableParagraph"/>
              <w:spacing w:before="46"/>
              <w:ind w:left="438" w:right="436" w:hanging="2"/>
              <w:jc w:val="center"/>
              <w:rPr>
                <w:sz w:val="20"/>
              </w:rPr>
            </w:pPr>
            <w:r>
              <w:rPr>
                <w:spacing w:val="-4"/>
                <w:sz w:val="20"/>
              </w:rPr>
              <w:t>Иной </w:t>
            </w:r>
            <w:r>
              <w:rPr>
                <w:spacing w:val="-2"/>
                <w:sz w:val="20"/>
              </w:rPr>
              <w:t>классификационный </w:t>
            </w:r>
            <w:r>
              <w:rPr>
                <w:sz w:val="20"/>
              </w:rPr>
              <w:t>критерий: rb5</w:t>
            </w:r>
          </w:p>
        </w:tc>
        <w:tc>
          <w:tcPr>
            <w:tcW w:w="838" w:type="dxa"/>
          </w:tcPr>
          <w:p>
            <w:pPr>
              <w:pStyle w:val="TableParagraph"/>
              <w:spacing w:before="46"/>
              <w:ind w:right="51"/>
              <w:jc w:val="right"/>
              <w:rPr>
                <w:sz w:val="20"/>
              </w:rPr>
            </w:pPr>
            <w:r>
              <w:rPr>
                <w:spacing w:val="-4"/>
                <w:sz w:val="20"/>
              </w:rPr>
              <w:t>1,17</w:t>
            </w:r>
          </w:p>
        </w:tc>
      </w:tr>
      <w:tr>
        <w:trPr>
          <w:trHeight w:val="506" w:hRule="atLeast"/>
        </w:trPr>
        <w:tc>
          <w:tcPr>
            <w:tcW w:w="946" w:type="dxa"/>
          </w:tcPr>
          <w:p>
            <w:pPr>
              <w:pStyle w:val="TableParagraph"/>
              <w:spacing w:before="46"/>
              <w:ind w:left="50"/>
              <w:rPr>
                <w:sz w:val="20"/>
              </w:rPr>
            </w:pPr>
            <w:r>
              <w:rPr>
                <w:spacing w:val="-2"/>
                <w:sz w:val="20"/>
              </w:rPr>
              <w:t>st37.014</w:t>
            </w:r>
          </w:p>
        </w:tc>
        <w:tc>
          <w:tcPr>
            <w:tcW w:w="707" w:type="dxa"/>
          </w:tcPr>
          <w:p>
            <w:pPr>
              <w:pStyle w:val="TableParagraph"/>
              <w:spacing w:before="46"/>
              <w:ind w:left="210"/>
              <w:rPr>
                <w:sz w:val="20"/>
              </w:rPr>
            </w:pPr>
            <w:r>
              <w:rPr>
                <w:spacing w:val="-5"/>
                <w:sz w:val="20"/>
              </w:rPr>
              <w:t>392</w:t>
            </w:r>
          </w:p>
        </w:tc>
        <w:tc>
          <w:tcPr>
            <w:tcW w:w="3565" w:type="dxa"/>
          </w:tcPr>
          <w:p>
            <w:pPr>
              <w:pStyle w:val="TableParagraph"/>
              <w:spacing w:line="230" w:lineRule="atLeast" w:before="26"/>
              <w:ind w:left="192" w:right="1616"/>
              <w:rPr>
                <w:sz w:val="20"/>
              </w:rPr>
            </w:pPr>
            <w:r>
              <w:rPr>
                <w:spacing w:val="-2"/>
                <w:sz w:val="20"/>
              </w:rPr>
              <w:t>Медицинская </w:t>
            </w:r>
            <w:r>
              <w:rPr>
                <w:sz w:val="20"/>
              </w:rPr>
              <w:t>реабилитация</w:t>
            </w:r>
            <w:r>
              <w:rPr>
                <w:spacing w:val="-13"/>
                <w:sz w:val="20"/>
              </w:rPr>
              <w:t> </w:t>
            </w:r>
            <w:r>
              <w:rPr>
                <w:sz w:val="20"/>
              </w:rPr>
              <w:t>детей,</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960"/>
              <w:rPr>
                <w:sz w:val="20"/>
              </w:rPr>
            </w:pPr>
            <w:r>
              <w:rPr>
                <w:spacing w:val="-2"/>
                <w:sz w:val="20"/>
              </w:rPr>
              <w:t>B05.031.001</w:t>
            </w:r>
          </w:p>
        </w:tc>
        <w:tc>
          <w:tcPr>
            <w:tcW w:w="2636" w:type="dxa"/>
          </w:tcPr>
          <w:p>
            <w:pPr>
              <w:pStyle w:val="TableParagraph"/>
              <w:spacing w:line="230" w:lineRule="atLeast" w:before="26"/>
              <w:ind w:left="508" w:right="482"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8" w:type="dxa"/>
          </w:tcPr>
          <w:p>
            <w:pPr>
              <w:pStyle w:val="TableParagraph"/>
              <w:spacing w:before="46"/>
              <w:ind w:right="51"/>
              <w:jc w:val="right"/>
              <w:rPr>
                <w:sz w:val="20"/>
              </w:rPr>
            </w:pPr>
            <w:r>
              <w:rPr>
                <w:spacing w:val="-4"/>
                <w:sz w:val="20"/>
              </w:rPr>
              <w:t>1,50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98"/>
        <w:gridCol w:w="4402"/>
        <w:gridCol w:w="3222"/>
        <w:gridCol w:w="2562"/>
        <w:gridCol w:w="837"/>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98" w:type="dxa"/>
          </w:tcPr>
          <w:p>
            <w:pPr>
              <w:pStyle w:val="TableParagraph"/>
              <w:ind w:left="192" w:right="271"/>
              <w:rPr>
                <w:sz w:val="20"/>
              </w:rPr>
            </w:pPr>
            <w:r>
              <w:rPr>
                <w:sz w:val="20"/>
              </w:rPr>
              <w:t>перенесших</w:t>
            </w:r>
            <w:r>
              <w:rPr>
                <w:spacing w:val="-13"/>
                <w:sz w:val="20"/>
              </w:rPr>
              <w:t> </w:t>
            </w:r>
            <w:r>
              <w:rPr>
                <w:sz w:val="20"/>
              </w:rPr>
              <w:t>заболевания </w:t>
            </w:r>
            <w:r>
              <w:rPr>
                <w:w w:val="95"/>
                <w:sz w:val="20"/>
              </w:rPr>
              <w:t>перинатального</w:t>
            </w:r>
            <w:r>
              <w:rPr>
                <w:spacing w:val="50"/>
                <w:sz w:val="20"/>
              </w:rPr>
              <w:t> </w:t>
            </w:r>
            <w:r>
              <w:rPr>
                <w:spacing w:val="-2"/>
                <w:sz w:val="20"/>
              </w:rPr>
              <w:t>периода</w:t>
            </w:r>
          </w:p>
        </w:tc>
        <w:tc>
          <w:tcPr>
            <w:tcW w:w="4402" w:type="dxa"/>
          </w:tcPr>
          <w:p>
            <w:pPr>
              <w:pStyle w:val="TableParagraph"/>
              <w:rPr>
                <w:sz w:val="18"/>
              </w:rPr>
            </w:pPr>
          </w:p>
        </w:tc>
        <w:tc>
          <w:tcPr>
            <w:tcW w:w="3222" w:type="dxa"/>
          </w:tcPr>
          <w:p>
            <w:pPr>
              <w:pStyle w:val="TableParagraph"/>
              <w:rPr>
                <w:sz w:val="18"/>
              </w:rPr>
            </w:pPr>
          </w:p>
        </w:tc>
        <w:tc>
          <w:tcPr>
            <w:tcW w:w="2562" w:type="dxa"/>
          </w:tcPr>
          <w:p>
            <w:pPr>
              <w:pStyle w:val="TableParagraph"/>
              <w:rPr>
                <w:sz w:val="18"/>
              </w:rPr>
            </w:pPr>
          </w:p>
        </w:tc>
        <w:tc>
          <w:tcPr>
            <w:tcW w:w="837" w:type="dxa"/>
          </w:tcPr>
          <w:p>
            <w:pPr>
              <w:pStyle w:val="TableParagraph"/>
              <w:rPr>
                <w:sz w:val="18"/>
              </w:rPr>
            </w:pPr>
          </w:p>
        </w:tc>
      </w:tr>
      <w:tr>
        <w:trPr>
          <w:trHeight w:val="1480" w:hRule="atLeast"/>
        </w:trPr>
        <w:tc>
          <w:tcPr>
            <w:tcW w:w="946" w:type="dxa"/>
          </w:tcPr>
          <w:p>
            <w:pPr>
              <w:pStyle w:val="TableParagraph"/>
              <w:spacing w:before="45"/>
              <w:ind w:left="50"/>
              <w:rPr>
                <w:sz w:val="20"/>
              </w:rPr>
            </w:pPr>
            <w:r>
              <w:rPr>
                <w:spacing w:val="-2"/>
                <w:sz w:val="20"/>
              </w:rPr>
              <w:t>st37.015</w:t>
            </w:r>
          </w:p>
        </w:tc>
        <w:tc>
          <w:tcPr>
            <w:tcW w:w="707" w:type="dxa"/>
          </w:tcPr>
          <w:p>
            <w:pPr>
              <w:pStyle w:val="TableParagraph"/>
              <w:spacing w:before="45"/>
              <w:ind w:left="210"/>
              <w:rPr>
                <w:sz w:val="20"/>
              </w:rPr>
            </w:pPr>
            <w:r>
              <w:rPr>
                <w:spacing w:val="-5"/>
                <w:sz w:val="20"/>
              </w:rPr>
              <w:t>393</w:t>
            </w:r>
          </w:p>
        </w:tc>
        <w:tc>
          <w:tcPr>
            <w:tcW w:w="2598" w:type="dxa"/>
          </w:tcPr>
          <w:p>
            <w:pPr>
              <w:pStyle w:val="TableParagraph"/>
              <w:spacing w:before="45"/>
              <w:ind w:left="192" w:right="226"/>
              <w:rPr>
                <w:sz w:val="20"/>
              </w:rPr>
            </w:pPr>
            <w:r>
              <w:rPr>
                <w:spacing w:val="-2"/>
                <w:sz w:val="20"/>
              </w:rPr>
              <w:t>Медицинская </w:t>
            </w:r>
            <w:r>
              <w:rPr>
                <w:sz w:val="20"/>
              </w:rPr>
              <w:t>реабилитация детей с нарушениями слуха без замены речевого процессора системы кохлеарной</w:t>
            </w:r>
            <w:r>
              <w:rPr>
                <w:spacing w:val="-13"/>
                <w:sz w:val="20"/>
              </w:rPr>
              <w:t> </w:t>
            </w:r>
            <w:r>
              <w:rPr>
                <w:sz w:val="20"/>
              </w:rPr>
              <w:t>имплантации</w:t>
            </w:r>
          </w:p>
        </w:tc>
        <w:tc>
          <w:tcPr>
            <w:tcW w:w="4402" w:type="dxa"/>
          </w:tcPr>
          <w:p>
            <w:pPr>
              <w:pStyle w:val="TableParagraph"/>
              <w:spacing w:before="45"/>
              <w:ind w:left="2087"/>
              <w:rPr>
                <w:sz w:val="20"/>
              </w:rPr>
            </w:pPr>
            <w:r>
              <w:rPr>
                <w:w w:val="99"/>
                <w:sz w:val="20"/>
              </w:rPr>
              <w:t>-</w:t>
            </w:r>
          </w:p>
        </w:tc>
        <w:tc>
          <w:tcPr>
            <w:tcW w:w="3222" w:type="dxa"/>
          </w:tcPr>
          <w:p>
            <w:pPr>
              <w:pStyle w:val="TableParagraph"/>
              <w:spacing w:before="45"/>
              <w:ind w:left="219" w:right="241"/>
              <w:jc w:val="center"/>
              <w:rPr>
                <w:sz w:val="20"/>
              </w:rPr>
            </w:pPr>
            <w:r>
              <w:rPr>
                <w:sz w:val="20"/>
              </w:rPr>
              <w:t>B05.028.001,</w:t>
            </w:r>
            <w:r>
              <w:rPr>
                <w:spacing w:val="-9"/>
                <w:sz w:val="20"/>
              </w:rPr>
              <w:t> </w:t>
            </w:r>
            <w:r>
              <w:rPr>
                <w:spacing w:val="-2"/>
                <w:sz w:val="20"/>
              </w:rPr>
              <w:t>B05.046.001</w:t>
            </w:r>
          </w:p>
        </w:tc>
        <w:tc>
          <w:tcPr>
            <w:tcW w:w="2562" w:type="dxa"/>
          </w:tcPr>
          <w:p>
            <w:pPr>
              <w:pStyle w:val="TableParagraph"/>
              <w:spacing w:before="45"/>
              <w:ind w:left="417" w:right="486"/>
              <w:jc w:val="center"/>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p>
            <w:pPr>
              <w:pStyle w:val="TableParagraph"/>
              <w:spacing w:before="1"/>
              <w:rPr>
                <w:sz w:val="20"/>
              </w:rPr>
            </w:pPr>
          </w:p>
          <w:p>
            <w:pPr>
              <w:pStyle w:val="TableParagraph"/>
              <w:ind w:left="366" w:right="434" w:hanging="2"/>
              <w:jc w:val="center"/>
              <w:rPr>
                <w:sz w:val="20"/>
              </w:rPr>
            </w:pPr>
            <w:r>
              <w:rPr>
                <w:spacing w:val="-4"/>
                <w:sz w:val="20"/>
              </w:rPr>
              <w:t>Иной </w:t>
            </w:r>
            <w:r>
              <w:rPr>
                <w:spacing w:val="-2"/>
                <w:sz w:val="20"/>
              </w:rPr>
              <w:t>классификационный </w:t>
            </w:r>
            <w:r>
              <w:rPr>
                <w:sz w:val="20"/>
              </w:rPr>
              <w:t>критерий: rbs</w:t>
            </w:r>
          </w:p>
        </w:tc>
        <w:tc>
          <w:tcPr>
            <w:tcW w:w="837" w:type="dxa"/>
          </w:tcPr>
          <w:p>
            <w:pPr>
              <w:pStyle w:val="TableParagraph"/>
              <w:spacing w:before="45"/>
              <w:ind w:right="48"/>
              <w:jc w:val="right"/>
              <w:rPr>
                <w:sz w:val="20"/>
              </w:rPr>
            </w:pPr>
            <w:r>
              <w:rPr>
                <w:spacing w:val="-4"/>
                <w:sz w:val="20"/>
              </w:rPr>
              <w:t>1,80</w:t>
            </w:r>
          </w:p>
        </w:tc>
      </w:tr>
      <w:tr>
        <w:trPr>
          <w:trHeight w:val="2169" w:hRule="atLeast"/>
        </w:trPr>
        <w:tc>
          <w:tcPr>
            <w:tcW w:w="946" w:type="dxa"/>
          </w:tcPr>
          <w:p>
            <w:pPr>
              <w:pStyle w:val="TableParagraph"/>
              <w:spacing w:before="46"/>
              <w:ind w:left="50"/>
              <w:rPr>
                <w:sz w:val="20"/>
              </w:rPr>
            </w:pPr>
            <w:r>
              <w:rPr>
                <w:spacing w:val="-2"/>
                <w:sz w:val="20"/>
              </w:rPr>
              <w:t>st37.016</w:t>
            </w:r>
          </w:p>
        </w:tc>
        <w:tc>
          <w:tcPr>
            <w:tcW w:w="707" w:type="dxa"/>
          </w:tcPr>
          <w:p>
            <w:pPr>
              <w:pStyle w:val="TableParagraph"/>
              <w:spacing w:before="46"/>
              <w:ind w:left="210"/>
              <w:rPr>
                <w:sz w:val="20"/>
              </w:rPr>
            </w:pPr>
            <w:r>
              <w:rPr>
                <w:spacing w:val="-5"/>
                <w:sz w:val="20"/>
              </w:rPr>
              <w:t>394</w:t>
            </w:r>
          </w:p>
        </w:tc>
        <w:tc>
          <w:tcPr>
            <w:tcW w:w="2598" w:type="dxa"/>
          </w:tcPr>
          <w:p>
            <w:pPr>
              <w:pStyle w:val="TableParagraph"/>
              <w:spacing w:before="46"/>
              <w:ind w:left="192" w:right="191"/>
              <w:rPr>
                <w:sz w:val="20"/>
              </w:rPr>
            </w:pPr>
            <w:r>
              <w:rPr>
                <w:spacing w:val="-2"/>
                <w:sz w:val="20"/>
              </w:rPr>
              <w:t>Медицинская </w:t>
            </w:r>
            <w:r>
              <w:rPr>
                <w:sz w:val="20"/>
              </w:rPr>
              <w:t>реабилитация детей с </w:t>
            </w:r>
            <w:r>
              <w:rPr>
                <w:spacing w:val="-2"/>
                <w:sz w:val="20"/>
              </w:rPr>
              <w:t>онкологическими, </w:t>
            </w:r>
            <w:r>
              <w:rPr>
                <w:sz w:val="20"/>
              </w:rPr>
              <w:t>гематологическими и </w:t>
            </w:r>
            <w:r>
              <w:rPr>
                <w:spacing w:val="-2"/>
                <w:sz w:val="20"/>
              </w:rPr>
              <w:t>иммунологическими </w:t>
            </w:r>
            <w:r>
              <w:rPr>
                <w:sz w:val="20"/>
              </w:rPr>
              <w:t>заболеваниями</w:t>
            </w:r>
            <w:r>
              <w:rPr>
                <w:spacing w:val="-13"/>
                <w:sz w:val="20"/>
              </w:rPr>
              <w:t> </w:t>
            </w:r>
            <w:r>
              <w:rPr>
                <w:sz w:val="20"/>
              </w:rPr>
              <w:t>в</w:t>
            </w:r>
            <w:r>
              <w:rPr>
                <w:spacing w:val="-12"/>
                <w:sz w:val="20"/>
              </w:rPr>
              <w:t> </w:t>
            </w:r>
            <w:r>
              <w:rPr>
                <w:sz w:val="20"/>
              </w:rPr>
              <w:t>тяжелых </w:t>
            </w:r>
            <w:r>
              <w:rPr>
                <w:spacing w:val="-2"/>
                <w:sz w:val="20"/>
              </w:rPr>
              <w:t>формах продолжительного течения</w:t>
            </w:r>
          </w:p>
        </w:tc>
        <w:tc>
          <w:tcPr>
            <w:tcW w:w="4402" w:type="dxa"/>
          </w:tcPr>
          <w:p>
            <w:pPr>
              <w:pStyle w:val="TableParagraph"/>
              <w:spacing w:before="46"/>
              <w:ind w:left="2087"/>
              <w:rPr>
                <w:sz w:val="20"/>
              </w:rPr>
            </w:pPr>
            <w:r>
              <w:rPr>
                <w:w w:val="99"/>
                <w:sz w:val="20"/>
              </w:rPr>
              <w:t>-</w:t>
            </w:r>
          </w:p>
        </w:tc>
        <w:tc>
          <w:tcPr>
            <w:tcW w:w="3222" w:type="dxa"/>
          </w:tcPr>
          <w:p>
            <w:pPr>
              <w:pStyle w:val="TableParagraph"/>
              <w:spacing w:before="46"/>
              <w:ind w:left="1082" w:right="509" w:hanging="593"/>
              <w:rPr>
                <w:sz w:val="20"/>
              </w:rPr>
            </w:pPr>
            <w:r>
              <w:rPr>
                <w:sz w:val="20"/>
              </w:rPr>
              <w:t>B05.027.004,</w:t>
            </w:r>
            <w:r>
              <w:rPr>
                <w:spacing w:val="-13"/>
                <w:sz w:val="20"/>
              </w:rPr>
              <w:t> </w:t>
            </w:r>
            <w:r>
              <w:rPr>
                <w:sz w:val="20"/>
              </w:rPr>
              <w:t>B05.057.009, </w:t>
            </w:r>
            <w:r>
              <w:rPr>
                <w:spacing w:val="-2"/>
                <w:sz w:val="20"/>
              </w:rPr>
              <w:t>B05.057.010</w:t>
            </w:r>
          </w:p>
        </w:tc>
        <w:tc>
          <w:tcPr>
            <w:tcW w:w="2562" w:type="dxa"/>
          </w:tcPr>
          <w:p>
            <w:pPr>
              <w:pStyle w:val="TableParagraph"/>
              <w:spacing w:before="46"/>
              <w:ind w:left="436" w:right="48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6"/>
              <w:ind w:right="48"/>
              <w:jc w:val="right"/>
              <w:rPr>
                <w:sz w:val="20"/>
              </w:rPr>
            </w:pPr>
            <w:r>
              <w:rPr>
                <w:spacing w:val="-4"/>
                <w:sz w:val="20"/>
              </w:rPr>
              <w:t>4,81</w:t>
            </w:r>
          </w:p>
        </w:tc>
      </w:tr>
      <w:tr>
        <w:trPr>
          <w:trHeight w:val="1250" w:hRule="atLeast"/>
        </w:trPr>
        <w:tc>
          <w:tcPr>
            <w:tcW w:w="946" w:type="dxa"/>
          </w:tcPr>
          <w:p>
            <w:pPr>
              <w:pStyle w:val="TableParagraph"/>
              <w:spacing w:before="46"/>
              <w:ind w:left="50"/>
              <w:rPr>
                <w:sz w:val="20"/>
              </w:rPr>
            </w:pPr>
            <w:r>
              <w:rPr>
                <w:spacing w:val="-2"/>
                <w:sz w:val="20"/>
              </w:rPr>
              <w:t>st37.017</w:t>
            </w:r>
          </w:p>
        </w:tc>
        <w:tc>
          <w:tcPr>
            <w:tcW w:w="707" w:type="dxa"/>
          </w:tcPr>
          <w:p>
            <w:pPr>
              <w:pStyle w:val="TableParagraph"/>
              <w:spacing w:before="46"/>
              <w:ind w:left="210"/>
              <w:rPr>
                <w:sz w:val="20"/>
              </w:rPr>
            </w:pPr>
            <w:r>
              <w:rPr>
                <w:spacing w:val="-5"/>
                <w:sz w:val="20"/>
              </w:rPr>
              <w:t>395</w:t>
            </w:r>
          </w:p>
        </w:tc>
        <w:tc>
          <w:tcPr>
            <w:tcW w:w="2598" w:type="dxa"/>
          </w:tcPr>
          <w:p>
            <w:pPr>
              <w:pStyle w:val="TableParagraph"/>
              <w:spacing w:before="46"/>
              <w:ind w:left="192" w:right="560"/>
              <w:rPr>
                <w:sz w:val="20"/>
              </w:rPr>
            </w:pPr>
            <w:r>
              <w:rPr>
                <w:spacing w:val="-2"/>
                <w:sz w:val="20"/>
              </w:rPr>
              <w:t>Медицинская </w:t>
            </w:r>
            <w:r>
              <w:rPr>
                <w:sz w:val="20"/>
              </w:rPr>
              <w:t>реабилитация</w:t>
            </w:r>
            <w:r>
              <w:rPr>
                <w:spacing w:val="-13"/>
                <w:sz w:val="20"/>
              </w:rPr>
              <w:t> </w:t>
            </w:r>
            <w:r>
              <w:rPr>
                <w:sz w:val="20"/>
              </w:rPr>
              <w:t>детей</w:t>
            </w:r>
            <w:r>
              <w:rPr>
                <w:spacing w:val="-12"/>
                <w:sz w:val="20"/>
              </w:rPr>
              <w:t> </w:t>
            </w:r>
            <w:r>
              <w:rPr>
                <w:sz w:val="20"/>
              </w:rPr>
              <w:t>с </w:t>
            </w:r>
            <w:r>
              <w:rPr>
                <w:spacing w:val="-2"/>
                <w:sz w:val="20"/>
              </w:rPr>
              <w:t>поражениями </w:t>
            </w:r>
            <w:r>
              <w:rPr>
                <w:sz w:val="20"/>
              </w:rPr>
              <w:t>центральной</w:t>
            </w:r>
            <w:r>
              <w:rPr>
                <w:spacing w:val="-13"/>
                <w:sz w:val="20"/>
              </w:rPr>
              <w:t> </w:t>
            </w:r>
            <w:r>
              <w:rPr>
                <w:sz w:val="20"/>
              </w:rPr>
              <w:t>нервной </w:t>
            </w:r>
            <w:r>
              <w:rPr>
                <w:spacing w:val="-2"/>
                <w:sz w:val="20"/>
              </w:rPr>
              <w:t>системы</w:t>
            </w:r>
          </w:p>
        </w:tc>
        <w:tc>
          <w:tcPr>
            <w:tcW w:w="4402" w:type="dxa"/>
          </w:tcPr>
          <w:p>
            <w:pPr>
              <w:pStyle w:val="TableParagraph"/>
              <w:spacing w:before="46"/>
              <w:ind w:left="2087"/>
              <w:rPr>
                <w:sz w:val="20"/>
              </w:rPr>
            </w:pPr>
            <w:r>
              <w:rPr>
                <w:w w:val="99"/>
                <w:sz w:val="20"/>
              </w:rPr>
              <w:t>-</w:t>
            </w:r>
          </w:p>
        </w:tc>
        <w:tc>
          <w:tcPr>
            <w:tcW w:w="3222" w:type="dxa"/>
          </w:tcPr>
          <w:p>
            <w:pPr>
              <w:pStyle w:val="TableParagraph"/>
              <w:spacing w:before="46"/>
              <w:ind w:left="216" w:right="241"/>
              <w:jc w:val="center"/>
              <w:rPr>
                <w:sz w:val="20"/>
              </w:rPr>
            </w:pPr>
            <w:r>
              <w:rPr>
                <w:w w:val="95"/>
                <w:sz w:val="20"/>
              </w:rPr>
              <w:t>B05.023.002.001,</w:t>
            </w:r>
            <w:r>
              <w:rPr>
                <w:spacing w:val="59"/>
                <w:sz w:val="20"/>
              </w:rPr>
              <w:t> </w:t>
            </w:r>
            <w:r>
              <w:rPr>
                <w:spacing w:val="-2"/>
                <w:sz w:val="20"/>
              </w:rPr>
              <w:t>B05.023.003</w:t>
            </w:r>
          </w:p>
        </w:tc>
        <w:tc>
          <w:tcPr>
            <w:tcW w:w="2562" w:type="dxa"/>
          </w:tcPr>
          <w:p>
            <w:pPr>
              <w:pStyle w:val="TableParagraph"/>
              <w:spacing w:before="46"/>
              <w:ind w:left="436" w:right="48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6"/>
              <w:ind w:right="48"/>
              <w:jc w:val="right"/>
              <w:rPr>
                <w:sz w:val="20"/>
              </w:rPr>
            </w:pPr>
            <w:r>
              <w:rPr>
                <w:spacing w:val="-4"/>
                <w:sz w:val="20"/>
              </w:rPr>
              <w:t>2,75</w:t>
            </w:r>
          </w:p>
        </w:tc>
      </w:tr>
      <w:tr>
        <w:trPr>
          <w:trHeight w:val="1480" w:hRule="atLeast"/>
        </w:trPr>
        <w:tc>
          <w:tcPr>
            <w:tcW w:w="946" w:type="dxa"/>
          </w:tcPr>
          <w:p>
            <w:pPr>
              <w:pStyle w:val="TableParagraph"/>
              <w:spacing w:before="46"/>
              <w:ind w:left="50"/>
              <w:rPr>
                <w:sz w:val="20"/>
              </w:rPr>
            </w:pPr>
            <w:r>
              <w:rPr>
                <w:spacing w:val="-2"/>
                <w:sz w:val="20"/>
              </w:rPr>
              <w:t>st37.018</w:t>
            </w:r>
          </w:p>
        </w:tc>
        <w:tc>
          <w:tcPr>
            <w:tcW w:w="707" w:type="dxa"/>
          </w:tcPr>
          <w:p>
            <w:pPr>
              <w:pStyle w:val="TableParagraph"/>
              <w:spacing w:before="46"/>
              <w:ind w:left="210"/>
              <w:rPr>
                <w:sz w:val="20"/>
              </w:rPr>
            </w:pPr>
            <w:r>
              <w:rPr>
                <w:spacing w:val="-5"/>
                <w:sz w:val="20"/>
              </w:rPr>
              <w:t>396</w:t>
            </w:r>
          </w:p>
        </w:tc>
        <w:tc>
          <w:tcPr>
            <w:tcW w:w="2598" w:type="dxa"/>
          </w:tcPr>
          <w:p>
            <w:pPr>
              <w:pStyle w:val="TableParagraph"/>
              <w:spacing w:before="46"/>
              <w:ind w:left="192" w:right="180"/>
              <w:rPr>
                <w:sz w:val="20"/>
              </w:rPr>
            </w:pPr>
            <w:r>
              <w:rPr>
                <w:spacing w:val="-2"/>
                <w:sz w:val="20"/>
              </w:rPr>
              <w:t>Медицинская </w:t>
            </w:r>
            <w:r>
              <w:rPr>
                <w:sz w:val="20"/>
              </w:rPr>
              <w:t>реабилитация детей, после хирургической коррекции врожденных пороков</w:t>
            </w:r>
            <w:r>
              <w:rPr>
                <w:spacing w:val="-13"/>
                <w:sz w:val="20"/>
              </w:rPr>
              <w:t> </w:t>
            </w:r>
            <w:r>
              <w:rPr>
                <w:sz w:val="20"/>
              </w:rPr>
              <w:t>развития</w:t>
            </w:r>
            <w:r>
              <w:rPr>
                <w:spacing w:val="-12"/>
                <w:sz w:val="20"/>
              </w:rPr>
              <w:t> </w:t>
            </w:r>
            <w:r>
              <w:rPr>
                <w:sz w:val="20"/>
              </w:rPr>
              <w:t>органов и систем</w:t>
            </w:r>
          </w:p>
        </w:tc>
        <w:tc>
          <w:tcPr>
            <w:tcW w:w="4402" w:type="dxa"/>
          </w:tcPr>
          <w:p>
            <w:pPr>
              <w:pStyle w:val="TableParagraph"/>
              <w:spacing w:before="46"/>
              <w:ind w:left="2087"/>
              <w:rPr>
                <w:sz w:val="20"/>
              </w:rPr>
            </w:pPr>
            <w:r>
              <w:rPr>
                <w:w w:val="99"/>
                <w:sz w:val="20"/>
              </w:rPr>
              <w:t>-</w:t>
            </w:r>
          </w:p>
        </w:tc>
        <w:tc>
          <w:tcPr>
            <w:tcW w:w="3222" w:type="dxa"/>
          </w:tcPr>
          <w:p>
            <w:pPr>
              <w:pStyle w:val="TableParagraph"/>
              <w:spacing w:before="46"/>
              <w:ind w:left="220" w:right="241"/>
              <w:jc w:val="center"/>
              <w:rPr>
                <w:sz w:val="20"/>
              </w:rPr>
            </w:pPr>
            <w:r>
              <w:rPr>
                <w:spacing w:val="-2"/>
                <w:sz w:val="20"/>
              </w:rPr>
              <w:t>B05.057.011</w:t>
            </w:r>
          </w:p>
        </w:tc>
        <w:tc>
          <w:tcPr>
            <w:tcW w:w="2562" w:type="dxa"/>
          </w:tcPr>
          <w:p>
            <w:pPr>
              <w:pStyle w:val="TableParagraph"/>
              <w:spacing w:before="46"/>
              <w:ind w:left="436" w:right="48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6"/>
              <w:ind w:right="48"/>
              <w:jc w:val="right"/>
              <w:rPr>
                <w:sz w:val="20"/>
              </w:rPr>
            </w:pPr>
            <w:r>
              <w:rPr>
                <w:spacing w:val="-4"/>
                <w:sz w:val="20"/>
              </w:rPr>
              <w:t>2,35</w:t>
            </w:r>
          </w:p>
        </w:tc>
      </w:tr>
      <w:tr>
        <w:trPr>
          <w:trHeight w:val="965" w:hRule="atLeast"/>
        </w:trPr>
        <w:tc>
          <w:tcPr>
            <w:tcW w:w="946" w:type="dxa"/>
          </w:tcPr>
          <w:p>
            <w:pPr>
              <w:pStyle w:val="TableParagraph"/>
              <w:spacing w:before="45"/>
              <w:ind w:left="50"/>
              <w:rPr>
                <w:sz w:val="20"/>
              </w:rPr>
            </w:pPr>
            <w:r>
              <w:rPr>
                <w:spacing w:val="-2"/>
                <w:sz w:val="20"/>
              </w:rPr>
              <w:t>st37.019</w:t>
            </w:r>
          </w:p>
        </w:tc>
        <w:tc>
          <w:tcPr>
            <w:tcW w:w="707" w:type="dxa"/>
          </w:tcPr>
          <w:p>
            <w:pPr>
              <w:pStyle w:val="TableParagraph"/>
              <w:spacing w:before="45"/>
              <w:ind w:left="210"/>
              <w:rPr>
                <w:sz w:val="20"/>
              </w:rPr>
            </w:pPr>
            <w:r>
              <w:rPr>
                <w:spacing w:val="-5"/>
                <w:sz w:val="20"/>
              </w:rPr>
              <w:t>397</w:t>
            </w:r>
          </w:p>
        </w:tc>
        <w:tc>
          <w:tcPr>
            <w:tcW w:w="2598" w:type="dxa"/>
          </w:tcPr>
          <w:p>
            <w:pPr>
              <w:pStyle w:val="TableParagraph"/>
              <w:spacing w:line="230" w:lineRule="atLeast" w:before="26"/>
              <w:ind w:left="192" w:right="271"/>
              <w:rPr>
                <w:sz w:val="20"/>
              </w:rPr>
            </w:pPr>
            <w:r>
              <w:rPr>
                <w:spacing w:val="-2"/>
                <w:sz w:val="20"/>
              </w:rPr>
              <w:t>Медицинская </w:t>
            </w:r>
            <w:r>
              <w:rPr>
                <w:sz w:val="20"/>
              </w:rPr>
              <w:t>реабилитация после </w:t>
            </w:r>
            <w:r>
              <w:rPr>
                <w:spacing w:val="-2"/>
                <w:sz w:val="20"/>
              </w:rPr>
              <w:t>онкоортопедических операций</w:t>
            </w:r>
          </w:p>
        </w:tc>
        <w:tc>
          <w:tcPr>
            <w:tcW w:w="4402" w:type="dxa"/>
          </w:tcPr>
          <w:p>
            <w:pPr>
              <w:pStyle w:val="TableParagraph"/>
              <w:spacing w:before="45"/>
              <w:ind w:left="179"/>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1588" w:hanging="1409"/>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C41.9, C79.5</w:t>
            </w:r>
          </w:p>
        </w:tc>
        <w:tc>
          <w:tcPr>
            <w:tcW w:w="3222" w:type="dxa"/>
          </w:tcPr>
          <w:p>
            <w:pPr>
              <w:pStyle w:val="TableParagraph"/>
              <w:spacing w:before="45"/>
              <w:ind w:left="220" w:right="241"/>
              <w:jc w:val="center"/>
              <w:rPr>
                <w:sz w:val="20"/>
              </w:rPr>
            </w:pPr>
            <w:r>
              <w:rPr>
                <w:spacing w:val="-2"/>
                <w:sz w:val="20"/>
              </w:rPr>
              <w:t>B05.027.001</w:t>
            </w:r>
          </w:p>
        </w:tc>
        <w:tc>
          <w:tcPr>
            <w:tcW w:w="2562" w:type="dxa"/>
          </w:tcPr>
          <w:p>
            <w:pPr>
              <w:pStyle w:val="TableParagraph"/>
              <w:spacing w:before="45"/>
              <w:ind w:right="70"/>
              <w:jc w:val="center"/>
              <w:rPr>
                <w:sz w:val="20"/>
              </w:rPr>
            </w:pPr>
            <w:r>
              <w:rPr>
                <w:w w:val="99"/>
                <w:sz w:val="20"/>
              </w:rPr>
              <w:t>-</w:t>
            </w:r>
          </w:p>
        </w:tc>
        <w:tc>
          <w:tcPr>
            <w:tcW w:w="837" w:type="dxa"/>
          </w:tcPr>
          <w:p>
            <w:pPr>
              <w:pStyle w:val="TableParagraph"/>
              <w:spacing w:before="45"/>
              <w:ind w:right="48"/>
              <w:jc w:val="right"/>
              <w:rPr>
                <w:sz w:val="20"/>
              </w:rPr>
            </w:pPr>
            <w:r>
              <w:rPr>
                <w:spacing w:val="-4"/>
                <w:sz w:val="20"/>
              </w:rPr>
              <w:t>1,44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4"/>
        <w:gridCol w:w="4921"/>
        <w:gridCol w:w="2418"/>
        <w:gridCol w:w="2931"/>
        <w:gridCol w:w="837"/>
      </w:tblGrid>
      <w:tr>
        <w:trPr>
          <w:trHeight w:val="225" w:hRule="atLeast"/>
        </w:trPr>
        <w:tc>
          <w:tcPr>
            <w:tcW w:w="946" w:type="dxa"/>
          </w:tcPr>
          <w:p>
            <w:pPr>
              <w:pStyle w:val="TableParagraph"/>
              <w:spacing w:line="205" w:lineRule="exact"/>
              <w:ind w:left="39" w:right="198"/>
              <w:jc w:val="center"/>
              <w:rPr>
                <w:sz w:val="20"/>
              </w:rPr>
            </w:pPr>
            <w:r>
              <w:rPr>
                <w:spacing w:val="-2"/>
                <w:sz w:val="20"/>
              </w:rPr>
              <w:t>st37.020</w:t>
            </w:r>
          </w:p>
        </w:tc>
        <w:tc>
          <w:tcPr>
            <w:tcW w:w="707" w:type="dxa"/>
          </w:tcPr>
          <w:p>
            <w:pPr>
              <w:pStyle w:val="TableParagraph"/>
              <w:spacing w:line="205" w:lineRule="exact"/>
              <w:ind w:left="210"/>
              <w:rPr>
                <w:sz w:val="20"/>
              </w:rPr>
            </w:pPr>
            <w:r>
              <w:rPr>
                <w:spacing w:val="-5"/>
                <w:sz w:val="20"/>
              </w:rPr>
              <w:t>398</w:t>
            </w:r>
          </w:p>
        </w:tc>
        <w:tc>
          <w:tcPr>
            <w:tcW w:w="2514" w:type="dxa"/>
          </w:tcPr>
          <w:p>
            <w:pPr>
              <w:pStyle w:val="TableParagraph"/>
              <w:spacing w:line="205" w:lineRule="exact"/>
              <w:ind w:left="192"/>
              <w:rPr>
                <w:sz w:val="20"/>
              </w:rPr>
            </w:pPr>
            <w:r>
              <w:rPr>
                <w:spacing w:val="-2"/>
                <w:sz w:val="20"/>
              </w:rPr>
              <w:t>Медицинская</w:t>
            </w:r>
          </w:p>
        </w:tc>
        <w:tc>
          <w:tcPr>
            <w:tcW w:w="4921" w:type="dxa"/>
          </w:tcPr>
          <w:p>
            <w:pPr>
              <w:pStyle w:val="TableParagraph"/>
              <w:spacing w:line="205" w:lineRule="exact"/>
              <w:ind w:left="263"/>
              <w:rPr>
                <w:sz w:val="20"/>
              </w:rPr>
            </w:pPr>
            <w:r>
              <w:rPr>
                <w:sz w:val="20"/>
              </w:rPr>
              <w:t>C50,</w:t>
            </w:r>
            <w:r>
              <w:rPr>
                <w:spacing w:val="-5"/>
                <w:sz w:val="20"/>
              </w:rPr>
              <w:t> </w:t>
            </w:r>
            <w:r>
              <w:rPr>
                <w:sz w:val="20"/>
              </w:rPr>
              <w:t>C50.0,</w:t>
            </w:r>
            <w:r>
              <w:rPr>
                <w:spacing w:val="-5"/>
                <w:sz w:val="20"/>
              </w:rPr>
              <w:t> </w:t>
            </w:r>
            <w:r>
              <w:rPr>
                <w:sz w:val="20"/>
              </w:rPr>
              <w:t>C50.1,</w:t>
            </w:r>
            <w:r>
              <w:rPr>
                <w:spacing w:val="-5"/>
                <w:sz w:val="20"/>
              </w:rPr>
              <w:t> </w:t>
            </w:r>
            <w:r>
              <w:rPr>
                <w:sz w:val="20"/>
              </w:rPr>
              <w:t>C50.2,</w:t>
            </w:r>
            <w:r>
              <w:rPr>
                <w:spacing w:val="-5"/>
                <w:sz w:val="20"/>
              </w:rPr>
              <w:t> </w:t>
            </w:r>
            <w:r>
              <w:rPr>
                <w:sz w:val="20"/>
              </w:rPr>
              <w:t>C50.3,</w:t>
            </w:r>
            <w:r>
              <w:rPr>
                <w:spacing w:val="-5"/>
                <w:sz w:val="20"/>
              </w:rPr>
              <w:t> </w:t>
            </w:r>
            <w:r>
              <w:rPr>
                <w:sz w:val="20"/>
              </w:rPr>
              <w:t>C50.4,</w:t>
            </w:r>
            <w:r>
              <w:rPr>
                <w:spacing w:val="-5"/>
                <w:sz w:val="20"/>
              </w:rPr>
              <w:t> </w:t>
            </w:r>
            <w:r>
              <w:rPr>
                <w:spacing w:val="-2"/>
                <w:sz w:val="20"/>
              </w:rPr>
              <w:t>C50.5,</w:t>
            </w:r>
          </w:p>
        </w:tc>
        <w:tc>
          <w:tcPr>
            <w:tcW w:w="2418" w:type="dxa"/>
          </w:tcPr>
          <w:p>
            <w:pPr>
              <w:pStyle w:val="TableParagraph"/>
              <w:spacing w:line="205" w:lineRule="exact"/>
              <w:ind w:left="639" w:right="726"/>
              <w:jc w:val="center"/>
              <w:rPr>
                <w:sz w:val="20"/>
              </w:rPr>
            </w:pPr>
            <w:r>
              <w:rPr>
                <w:spacing w:val="-2"/>
                <w:sz w:val="20"/>
              </w:rPr>
              <w:t>B05.027.001</w:t>
            </w:r>
          </w:p>
        </w:tc>
        <w:tc>
          <w:tcPr>
            <w:tcW w:w="2931" w:type="dxa"/>
          </w:tcPr>
          <w:p>
            <w:pPr>
              <w:pStyle w:val="TableParagraph"/>
              <w:spacing w:line="205" w:lineRule="exact"/>
              <w:ind w:left="296"/>
              <w:jc w:val="center"/>
              <w:rPr>
                <w:sz w:val="20"/>
              </w:rPr>
            </w:pPr>
            <w:r>
              <w:rPr>
                <w:w w:val="99"/>
                <w:sz w:val="20"/>
              </w:rPr>
              <w:t>-</w:t>
            </w:r>
          </w:p>
        </w:tc>
        <w:tc>
          <w:tcPr>
            <w:tcW w:w="837" w:type="dxa"/>
          </w:tcPr>
          <w:p>
            <w:pPr>
              <w:pStyle w:val="TableParagraph"/>
              <w:spacing w:line="205" w:lineRule="exact"/>
              <w:ind w:right="48"/>
              <w:jc w:val="right"/>
              <w:rPr>
                <w:sz w:val="20"/>
              </w:rPr>
            </w:pPr>
            <w:r>
              <w:rPr>
                <w:spacing w:val="-4"/>
                <w:sz w:val="20"/>
              </w:rPr>
              <w:t>1,24</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z w:val="20"/>
              </w:rPr>
              <w:t>реабилитация</w:t>
            </w:r>
            <w:r>
              <w:rPr>
                <w:spacing w:val="-9"/>
                <w:sz w:val="20"/>
              </w:rPr>
              <w:t> </w:t>
            </w:r>
            <w:r>
              <w:rPr>
                <w:sz w:val="20"/>
              </w:rPr>
              <w:t>по</w:t>
            </w:r>
            <w:r>
              <w:rPr>
                <w:spacing w:val="-7"/>
                <w:sz w:val="20"/>
              </w:rPr>
              <w:t> </w:t>
            </w:r>
            <w:r>
              <w:rPr>
                <w:spacing w:val="-2"/>
                <w:sz w:val="20"/>
              </w:rPr>
              <w:t>поводу</w:t>
            </w:r>
          </w:p>
        </w:tc>
        <w:tc>
          <w:tcPr>
            <w:tcW w:w="4921" w:type="dxa"/>
          </w:tcPr>
          <w:p>
            <w:pPr>
              <w:pStyle w:val="TableParagraph"/>
              <w:spacing w:line="209" w:lineRule="exact"/>
              <w:ind w:left="1380"/>
              <w:rPr>
                <w:sz w:val="20"/>
              </w:rPr>
            </w:pPr>
            <w:r>
              <w:rPr>
                <w:sz w:val="20"/>
              </w:rPr>
              <w:t>C50.6,</w:t>
            </w:r>
            <w:r>
              <w:rPr>
                <w:spacing w:val="-5"/>
                <w:sz w:val="20"/>
              </w:rPr>
              <w:t> </w:t>
            </w:r>
            <w:r>
              <w:rPr>
                <w:sz w:val="20"/>
              </w:rPr>
              <w:t>C50.8,</w:t>
            </w:r>
            <w:r>
              <w:rPr>
                <w:spacing w:val="-5"/>
                <w:sz w:val="20"/>
              </w:rPr>
              <w:t> </w:t>
            </w:r>
            <w:r>
              <w:rPr>
                <w:spacing w:val="-2"/>
                <w:sz w:val="20"/>
              </w:rPr>
              <w:t>C50.9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pacing w:val="-2"/>
                <w:sz w:val="20"/>
              </w:rPr>
              <w:t>постмастэктомического</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синдрома</w:t>
            </w:r>
            <w:r>
              <w:rPr>
                <w:spacing w:val="-4"/>
                <w:sz w:val="20"/>
              </w:rPr>
              <w:t> </w:t>
            </w:r>
            <w:r>
              <w:rPr>
                <w:sz w:val="20"/>
              </w:rPr>
              <w:t>в</w:t>
            </w:r>
            <w:r>
              <w:rPr>
                <w:spacing w:val="-5"/>
                <w:sz w:val="20"/>
              </w:rPr>
              <w:t> </w:t>
            </w:r>
            <w:r>
              <w:rPr>
                <w:spacing w:val="-2"/>
                <w:sz w:val="20"/>
              </w:rPr>
              <w:t>онкологии</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st37.021</w:t>
            </w:r>
          </w:p>
        </w:tc>
        <w:tc>
          <w:tcPr>
            <w:tcW w:w="707" w:type="dxa"/>
          </w:tcPr>
          <w:p>
            <w:pPr>
              <w:pStyle w:val="TableParagraph"/>
              <w:spacing w:line="215" w:lineRule="exact" w:before="46"/>
              <w:ind w:left="210"/>
              <w:rPr>
                <w:sz w:val="20"/>
              </w:rPr>
            </w:pPr>
            <w:r>
              <w:rPr>
                <w:spacing w:val="-5"/>
                <w:sz w:val="20"/>
              </w:rPr>
              <w:t>399</w:t>
            </w:r>
          </w:p>
        </w:tc>
        <w:tc>
          <w:tcPr>
            <w:tcW w:w="2514" w:type="dxa"/>
          </w:tcPr>
          <w:p>
            <w:pPr>
              <w:pStyle w:val="TableParagraph"/>
              <w:spacing w:line="215" w:lineRule="exact" w:before="46"/>
              <w:ind w:left="192"/>
              <w:rPr>
                <w:sz w:val="20"/>
              </w:rPr>
            </w:pPr>
            <w:r>
              <w:rPr>
                <w:spacing w:val="-2"/>
                <w:sz w:val="20"/>
              </w:rPr>
              <w:t>Медицинская</w:t>
            </w:r>
          </w:p>
        </w:tc>
        <w:tc>
          <w:tcPr>
            <w:tcW w:w="4921" w:type="dxa"/>
          </w:tcPr>
          <w:p>
            <w:pPr>
              <w:pStyle w:val="TableParagraph"/>
              <w:spacing w:line="215" w:lineRule="exact" w:before="46"/>
              <w:ind w:right="508"/>
              <w:jc w:val="center"/>
              <w:rPr>
                <w:sz w:val="20"/>
              </w:rPr>
            </w:pPr>
            <w:r>
              <w:rPr>
                <w:w w:val="99"/>
                <w:sz w:val="20"/>
              </w:rPr>
              <w:t>-</w:t>
            </w:r>
          </w:p>
        </w:tc>
        <w:tc>
          <w:tcPr>
            <w:tcW w:w="2418" w:type="dxa"/>
          </w:tcPr>
          <w:p>
            <w:pPr>
              <w:pStyle w:val="TableParagraph"/>
              <w:spacing w:line="215" w:lineRule="exact" w:before="46"/>
              <w:ind w:right="85"/>
              <w:jc w:val="center"/>
              <w:rPr>
                <w:sz w:val="20"/>
              </w:rPr>
            </w:pPr>
            <w:r>
              <w:rPr>
                <w:w w:val="99"/>
                <w:sz w:val="20"/>
              </w:rPr>
              <w:t>-</w:t>
            </w:r>
          </w:p>
        </w:tc>
        <w:tc>
          <w:tcPr>
            <w:tcW w:w="2931" w:type="dxa"/>
          </w:tcPr>
          <w:p>
            <w:pPr>
              <w:pStyle w:val="TableParagraph"/>
              <w:spacing w:line="215" w:lineRule="exact" w:before="46"/>
              <w:ind w:left="729" w:right="432"/>
              <w:jc w:val="center"/>
              <w:rPr>
                <w:sz w:val="20"/>
              </w:rPr>
            </w:pPr>
            <w:r>
              <w:rPr>
                <w:spacing w:val="-4"/>
                <w:sz w:val="20"/>
              </w:rPr>
              <w:t>Иной</w:t>
            </w:r>
          </w:p>
        </w:tc>
        <w:tc>
          <w:tcPr>
            <w:tcW w:w="837" w:type="dxa"/>
          </w:tcPr>
          <w:p>
            <w:pPr>
              <w:pStyle w:val="TableParagraph"/>
              <w:spacing w:line="215" w:lineRule="exact" w:before="46"/>
              <w:ind w:right="48"/>
              <w:jc w:val="right"/>
              <w:rPr>
                <w:sz w:val="20"/>
              </w:rPr>
            </w:pPr>
            <w:r>
              <w:rPr>
                <w:spacing w:val="-4"/>
                <w:sz w:val="20"/>
              </w:rPr>
              <w:t>1,08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w w:val="95"/>
                <w:sz w:val="20"/>
              </w:rPr>
              <w:t>реабилитация</w:t>
            </w:r>
            <w:r>
              <w:rPr>
                <w:spacing w:val="44"/>
                <w:sz w:val="20"/>
              </w:rPr>
              <w:t> </w:t>
            </w:r>
            <w:r>
              <w:rPr>
                <w:spacing w:val="-4"/>
                <w:w w:val="95"/>
                <w:sz w:val="20"/>
              </w:rPr>
              <w:t>после</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09" w:lineRule="exact"/>
              <w:ind w:left="730" w:right="432"/>
              <w:jc w:val="center"/>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pacing w:val="-2"/>
                <w:sz w:val="20"/>
              </w:rPr>
              <w:t>перенесенной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09" w:lineRule="exact"/>
              <w:ind w:left="728" w:right="432"/>
              <w:jc w:val="center"/>
              <w:rPr>
                <w:sz w:val="20"/>
              </w:rPr>
            </w:pPr>
            <w:r>
              <w:rPr>
                <w:sz w:val="20"/>
              </w:rPr>
              <w:t>критерий:</w:t>
            </w:r>
            <w:r>
              <w:rPr>
                <w:spacing w:val="-13"/>
                <w:sz w:val="20"/>
              </w:rPr>
              <w:t> </w:t>
            </w:r>
            <w:r>
              <w:rPr>
                <w:spacing w:val="-2"/>
                <w:sz w:val="20"/>
              </w:rPr>
              <w:t>rb3cov</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1" w:lineRule="exact"/>
              <w:ind w:left="192"/>
              <w:rPr>
                <w:sz w:val="20"/>
              </w:rPr>
            </w:pPr>
            <w:r>
              <w:rPr>
                <w:spacing w:val="-2"/>
                <w:sz w:val="20"/>
              </w:rPr>
              <w:t>коронавирусной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w w:val="95"/>
                <w:sz w:val="20"/>
              </w:rPr>
              <w:t>инфекции</w:t>
            </w:r>
            <w:r>
              <w:rPr>
                <w:spacing w:val="58"/>
                <w:sz w:val="20"/>
              </w:rPr>
              <w:t> </w:t>
            </w:r>
            <w:r>
              <w:rPr>
                <w:w w:val="95"/>
                <w:sz w:val="20"/>
              </w:rPr>
              <w:t>COVID-</w:t>
            </w:r>
            <w:r>
              <w:rPr>
                <w:spacing w:val="-5"/>
                <w:w w:val="95"/>
                <w:sz w:val="20"/>
              </w:rPr>
              <w:t>19</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(3</w:t>
            </w:r>
            <w:r>
              <w:rPr>
                <w:spacing w:val="-4"/>
                <w:sz w:val="20"/>
              </w:rPr>
              <w:t> </w:t>
            </w:r>
            <w:r>
              <w:rPr>
                <w:sz w:val="20"/>
              </w:rPr>
              <w:t>балла</w:t>
            </w:r>
            <w:r>
              <w:rPr>
                <w:spacing w:val="-4"/>
                <w:sz w:val="20"/>
              </w:rPr>
              <w:t> </w:t>
            </w:r>
            <w:r>
              <w:rPr>
                <w:sz w:val="20"/>
              </w:rPr>
              <w:t>по</w:t>
            </w:r>
            <w:r>
              <w:rPr>
                <w:spacing w:val="-4"/>
                <w:sz w:val="20"/>
              </w:rPr>
              <w:t> ШРМ)</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st37.022</w:t>
            </w:r>
          </w:p>
        </w:tc>
        <w:tc>
          <w:tcPr>
            <w:tcW w:w="707" w:type="dxa"/>
          </w:tcPr>
          <w:p>
            <w:pPr>
              <w:pStyle w:val="TableParagraph"/>
              <w:spacing w:line="215" w:lineRule="exact" w:before="45"/>
              <w:ind w:left="210"/>
              <w:rPr>
                <w:sz w:val="20"/>
              </w:rPr>
            </w:pPr>
            <w:r>
              <w:rPr>
                <w:spacing w:val="-5"/>
                <w:sz w:val="20"/>
              </w:rPr>
              <w:t>400</w:t>
            </w:r>
          </w:p>
        </w:tc>
        <w:tc>
          <w:tcPr>
            <w:tcW w:w="2514" w:type="dxa"/>
          </w:tcPr>
          <w:p>
            <w:pPr>
              <w:pStyle w:val="TableParagraph"/>
              <w:spacing w:line="215" w:lineRule="exact" w:before="45"/>
              <w:ind w:left="192"/>
              <w:rPr>
                <w:sz w:val="20"/>
              </w:rPr>
            </w:pPr>
            <w:r>
              <w:rPr>
                <w:spacing w:val="-2"/>
                <w:sz w:val="20"/>
              </w:rPr>
              <w:t>Медицинская</w:t>
            </w:r>
          </w:p>
        </w:tc>
        <w:tc>
          <w:tcPr>
            <w:tcW w:w="4921" w:type="dxa"/>
          </w:tcPr>
          <w:p>
            <w:pPr>
              <w:pStyle w:val="TableParagraph"/>
              <w:spacing w:line="215" w:lineRule="exact" w:before="45"/>
              <w:ind w:right="508"/>
              <w:jc w:val="center"/>
              <w:rPr>
                <w:sz w:val="20"/>
              </w:rPr>
            </w:pPr>
            <w:r>
              <w:rPr>
                <w:w w:val="99"/>
                <w:sz w:val="20"/>
              </w:rPr>
              <w:t>-</w:t>
            </w:r>
          </w:p>
        </w:tc>
        <w:tc>
          <w:tcPr>
            <w:tcW w:w="2418" w:type="dxa"/>
          </w:tcPr>
          <w:p>
            <w:pPr>
              <w:pStyle w:val="TableParagraph"/>
              <w:spacing w:line="215" w:lineRule="exact" w:before="45"/>
              <w:ind w:right="85"/>
              <w:jc w:val="center"/>
              <w:rPr>
                <w:sz w:val="20"/>
              </w:rPr>
            </w:pPr>
            <w:r>
              <w:rPr>
                <w:w w:val="99"/>
                <w:sz w:val="20"/>
              </w:rPr>
              <w:t>-</w:t>
            </w:r>
          </w:p>
        </w:tc>
        <w:tc>
          <w:tcPr>
            <w:tcW w:w="2931" w:type="dxa"/>
          </w:tcPr>
          <w:p>
            <w:pPr>
              <w:pStyle w:val="TableParagraph"/>
              <w:spacing w:line="215" w:lineRule="exact" w:before="45"/>
              <w:ind w:left="729" w:right="432"/>
              <w:jc w:val="center"/>
              <w:rPr>
                <w:sz w:val="20"/>
              </w:rPr>
            </w:pPr>
            <w:r>
              <w:rPr>
                <w:spacing w:val="-4"/>
                <w:sz w:val="20"/>
              </w:rPr>
              <w:t>Иной</w:t>
            </w:r>
          </w:p>
        </w:tc>
        <w:tc>
          <w:tcPr>
            <w:tcW w:w="837" w:type="dxa"/>
          </w:tcPr>
          <w:p>
            <w:pPr>
              <w:pStyle w:val="TableParagraph"/>
              <w:spacing w:line="215" w:lineRule="exact" w:before="45"/>
              <w:ind w:right="48"/>
              <w:jc w:val="right"/>
              <w:rPr>
                <w:sz w:val="20"/>
              </w:rPr>
            </w:pPr>
            <w:r>
              <w:rPr>
                <w:spacing w:val="-4"/>
                <w:sz w:val="20"/>
              </w:rPr>
              <w:t>1,61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w w:val="95"/>
                <w:sz w:val="20"/>
              </w:rPr>
              <w:t>реабилитация</w:t>
            </w:r>
            <w:r>
              <w:rPr>
                <w:spacing w:val="44"/>
                <w:sz w:val="20"/>
              </w:rPr>
              <w:t> </w:t>
            </w:r>
            <w:r>
              <w:rPr>
                <w:spacing w:val="-4"/>
                <w:w w:val="95"/>
                <w:sz w:val="20"/>
              </w:rPr>
              <w:t>после</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0" w:lineRule="exact"/>
              <w:ind w:left="730" w:right="432"/>
              <w:jc w:val="center"/>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перенесенной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0" w:lineRule="exact"/>
              <w:ind w:left="728" w:right="432"/>
              <w:jc w:val="center"/>
              <w:rPr>
                <w:sz w:val="20"/>
              </w:rPr>
            </w:pPr>
            <w:r>
              <w:rPr>
                <w:sz w:val="20"/>
              </w:rPr>
              <w:t>критерий:</w:t>
            </w:r>
            <w:r>
              <w:rPr>
                <w:spacing w:val="-13"/>
                <w:sz w:val="20"/>
              </w:rPr>
              <w:t> </w:t>
            </w:r>
            <w:r>
              <w:rPr>
                <w:spacing w:val="-2"/>
                <w:sz w:val="20"/>
              </w:rPr>
              <w:t>rb4cov</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коронавирусной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w w:val="95"/>
                <w:sz w:val="20"/>
              </w:rPr>
              <w:t>инфекции</w:t>
            </w:r>
            <w:r>
              <w:rPr>
                <w:spacing w:val="58"/>
                <w:sz w:val="20"/>
              </w:rPr>
              <w:t> </w:t>
            </w:r>
            <w:r>
              <w:rPr>
                <w:w w:val="95"/>
                <w:sz w:val="20"/>
              </w:rPr>
              <w:t>COVID-</w:t>
            </w:r>
            <w:r>
              <w:rPr>
                <w:spacing w:val="-5"/>
                <w:w w:val="95"/>
                <w:sz w:val="20"/>
              </w:rPr>
              <w:t>19</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(4</w:t>
            </w:r>
            <w:r>
              <w:rPr>
                <w:spacing w:val="-4"/>
                <w:sz w:val="20"/>
              </w:rPr>
              <w:t> </w:t>
            </w:r>
            <w:r>
              <w:rPr>
                <w:sz w:val="20"/>
              </w:rPr>
              <w:t>балла</w:t>
            </w:r>
            <w:r>
              <w:rPr>
                <w:spacing w:val="-4"/>
                <w:sz w:val="20"/>
              </w:rPr>
              <w:t> </w:t>
            </w:r>
            <w:r>
              <w:rPr>
                <w:sz w:val="20"/>
              </w:rPr>
              <w:t>по</w:t>
            </w:r>
            <w:r>
              <w:rPr>
                <w:spacing w:val="-4"/>
                <w:sz w:val="20"/>
              </w:rPr>
              <w:t> ШРМ)</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st37.023</w:t>
            </w:r>
          </w:p>
        </w:tc>
        <w:tc>
          <w:tcPr>
            <w:tcW w:w="707" w:type="dxa"/>
          </w:tcPr>
          <w:p>
            <w:pPr>
              <w:pStyle w:val="TableParagraph"/>
              <w:spacing w:line="215" w:lineRule="exact" w:before="45"/>
              <w:ind w:left="210"/>
              <w:rPr>
                <w:sz w:val="20"/>
              </w:rPr>
            </w:pPr>
            <w:r>
              <w:rPr>
                <w:spacing w:val="-5"/>
                <w:sz w:val="20"/>
              </w:rPr>
              <w:t>401</w:t>
            </w:r>
          </w:p>
        </w:tc>
        <w:tc>
          <w:tcPr>
            <w:tcW w:w="2514" w:type="dxa"/>
          </w:tcPr>
          <w:p>
            <w:pPr>
              <w:pStyle w:val="TableParagraph"/>
              <w:spacing w:line="215" w:lineRule="exact" w:before="45"/>
              <w:ind w:left="192"/>
              <w:rPr>
                <w:sz w:val="20"/>
              </w:rPr>
            </w:pPr>
            <w:r>
              <w:rPr>
                <w:spacing w:val="-2"/>
                <w:sz w:val="20"/>
              </w:rPr>
              <w:t>Медицинская</w:t>
            </w:r>
          </w:p>
        </w:tc>
        <w:tc>
          <w:tcPr>
            <w:tcW w:w="4921" w:type="dxa"/>
          </w:tcPr>
          <w:p>
            <w:pPr>
              <w:pStyle w:val="TableParagraph"/>
              <w:spacing w:line="215" w:lineRule="exact" w:before="45"/>
              <w:ind w:right="508"/>
              <w:jc w:val="center"/>
              <w:rPr>
                <w:sz w:val="20"/>
              </w:rPr>
            </w:pPr>
            <w:r>
              <w:rPr>
                <w:w w:val="99"/>
                <w:sz w:val="20"/>
              </w:rPr>
              <w:t>-</w:t>
            </w:r>
          </w:p>
        </w:tc>
        <w:tc>
          <w:tcPr>
            <w:tcW w:w="2418" w:type="dxa"/>
          </w:tcPr>
          <w:p>
            <w:pPr>
              <w:pStyle w:val="TableParagraph"/>
              <w:spacing w:line="215" w:lineRule="exact" w:before="45"/>
              <w:ind w:right="85"/>
              <w:jc w:val="center"/>
              <w:rPr>
                <w:sz w:val="20"/>
              </w:rPr>
            </w:pPr>
            <w:r>
              <w:rPr>
                <w:w w:val="99"/>
                <w:sz w:val="20"/>
              </w:rPr>
              <w:t>-</w:t>
            </w:r>
          </w:p>
        </w:tc>
        <w:tc>
          <w:tcPr>
            <w:tcW w:w="2931" w:type="dxa"/>
          </w:tcPr>
          <w:p>
            <w:pPr>
              <w:pStyle w:val="TableParagraph"/>
              <w:spacing w:line="215" w:lineRule="exact" w:before="45"/>
              <w:ind w:left="729" w:right="432"/>
              <w:jc w:val="center"/>
              <w:rPr>
                <w:sz w:val="20"/>
              </w:rPr>
            </w:pPr>
            <w:r>
              <w:rPr>
                <w:spacing w:val="-4"/>
                <w:sz w:val="20"/>
              </w:rPr>
              <w:t>Иной</w:t>
            </w:r>
          </w:p>
        </w:tc>
        <w:tc>
          <w:tcPr>
            <w:tcW w:w="837" w:type="dxa"/>
          </w:tcPr>
          <w:p>
            <w:pPr>
              <w:pStyle w:val="TableParagraph"/>
              <w:spacing w:line="215" w:lineRule="exact" w:before="45"/>
              <w:ind w:right="48"/>
              <w:jc w:val="right"/>
              <w:rPr>
                <w:sz w:val="20"/>
              </w:rPr>
            </w:pPr>
            <w:r>
              <w:rPr>
                <w:spacing w:val="-4"/>
                <w:sz w:val="20"/>
              </w:rPr>
              <w:t>2,15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1" w:lineRule="exact"/>
              <w:ind w:left="192"/>
              <w:rPr>
                <w:sz w:val="20"/>
              </w:rPr>
            </w:pPr>
            <w:r>
              <w:rPr>
                <w:w w:val="95"/>
                <w:sz w:val="20"/>
              </w:rPr>
              <w:t>реабилитация</w:t>
            </w:r>
            <w:r>
              <w:rPr>
                <w:spacing w:val="44"/>
                <w:sz w:val="20"/>
              </w:rPr>
              <w:t> </w:t>
            </w:r>
            <w:r>
              <w:rPr>
                <w:spacing w:val="-4"/>
                <w:w w:val="95"/>
                <w:sz w:val="20"/>
              </w:rPr>
              <w:t>после</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1" w:lineRule="exact"/>
              <w:ind w:left="730" w:right="432"/>
              <w:jc w:val="center"/>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перенесенной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0" w:lineRule="exact"/>
              <w:ind w:left="728" w:right="432"/>
              <w:jc w:val="center"/>
              <w:rPr>
                <w:sz w:val="20"/>
              </w:rPr>
            </w:pPr>
            <w:r>
              <w:rPr>
                <w:sz w:val="20"/>
              </w:rPr>
              <w:t>критерий:</w:t>
            </w:r>
            <w:r>
              <w:rPr>
                <w:spacing w:val="-13"/>
                <w:sz w:val="20"/>
              </w:rPr>
              <w:t> </w:t>
            </w:r>
            <w:r>
              <w:rPr>
                <w:spacing w:val="-2"/>
                <w:sz w:val="20"/>
              </w:rPr>
              <w:t>rb5cov</w:t>
            </w: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pacing w:val="-2"/>
                <w:sz w:val="20"/>
              </w:rPr>
              <w:t>коронавирусной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w w:val="95"/>
                <w:sz w:val="20"/>
              </w:rPr>
              <w:t>инфекции</w:t>
            </w:r>
            <w:r>
              <w:rPr>
                <w:spacing w:val="58"/>
                <w:sz w:val="20"/>
              </w:rPr>
              <w:t> </w:t>
            </w:r>
            <w:r>
              <w:rPr>
                <w:w w:val="95"/>
                <w:sz w:val="20"/>
              </w:rPr>
              <w:t>COVID-</w:t>
            </w:r>
            <w:r>
              <w:rPr>
                <w:spacing w:val="-5"/>
                <w:w w:val="95"/>
                <w:sz w:val="20"/>
              </w:rPr>
              <w:t>19</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(5</w:t>
            </w:r>
            <w:r>
              <w:rPr>
                <w:spacing w:val="-4"/>
                <w:sz w:val="20"/>
              </w:rPr>
              <w:t> </w:t>
            </w:r>
            <w:r>
              <w:rPr>
                <w:sz w:val="20"/>
              </w:rPr>
              <w:t>баллов</w:t>
            </w:r>
            <w:r>
              <w:rPr>
                <w:spacing w:val="-5"/>
                <w:sz w:val="20"/>
              </w:rPr>
              <w:t> </w:t>
            </w:r>
            <w:r>
              <w:rPr>
                <w:sz w:val="20"/>
              </w:rPr>
              <w:t>по</w:t>
            </w:r>
            <w:r>
              <w:rPr>
                <w:spacing w:val="-3"/>
                <w:sz w:val="20"/>
              </w:rPr>
              <w:t> </w:t>
            </w:r>
            <w:r>
              <w:rPr>
                <w:spacing w:val="-4"/>
                <w:sz w:val="20"/>
              </w:rPr>
              <w:t>ШРМ)</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st38</w:t>
            </w:r>
          </w:p>
        </w:tc>
        <w:tc>
          <w:tcPr>
            <w:tcW w:w="707" w:type="dxa"/>
          </w:tcPr>
          <w:p>
            <w:pPr>
              <w:pStyle w:val="TableParagraph"/>
              <w:spacing w:before="46"/>
              <w:ind w:left="261"/>
              <w:rPr>
                <w:sz w:val="20"/>
              </w:rPr>
            </w:pPr>
            <w:r>
              <w:rPr>
                <w:spacing w:val="-5"/>
                <w:sz w:val="20"/>
              </w:rPr>
              <w:t>38</w:t>
            </w:r>
          </w:p>
        </w:tc>
        <w:tc>
          <w:tcPr>
            <w:tcW w:w="2514" w:type="dxa"/>
          </w:tcPr>
          <w:p>
            <w:pPr>
              <w:pStyle w:val="TableParagraph"/>
              <w:rPr>
                <w:sz w:val="18"/>
              </w:rPr>
            </w:pPr>
          </w:p>
        </w:tc>
        <w:tc>
          <w:tcPr>
            <w:tcW w:w="4921" w:type="dxa"/>
          </w:tcPr>
          <w:p>
            <w:pPr>
              <w:pStyle w:val="TableParagraph"/>
              <w:spacing w:before="46"/>
              <w:ind w:right="646"/>
              <w:jc w:val="right"/>
              <w:rPr>
                <w:sz w:val="20"/>
              </w:rPr>
            </w:pPr>
            <w:r>
              <w:rPr>
                <w:spacing w:val="-2"/>
                <w:sz w:val="20"/>
              </w:rPr>
              <w:t>Гериатрия</w:t>
            </w: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spacing w:before="46"/>
              <w:ind w:right="48"/>
              <w:jc w:val="right"/>
              <w:rPr>
                <w:sz w:val="20"/>
              </w:rPr>
            </w:pPr>
            <w:r>
              <w:rPr>
                <w:spacing w:val="-4"/>
                <w:sz w:val="20"/>
              </w:rPr>
              <w:t>1,50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st38.001</w:t>
            </w:r>
          </w:p>
        </w:tc>
        <w:tc>
          <w:tcPr>
            <w:tcW w:w="707" w:type="dxa"/>
          </w:tcPr>
          <w:p>
            <w:pPr>
              <w:pStyle w:val="TableParagraph"/>
              <w:spacing w:line="215" w:lineRule="exact" w:before="45"/>
              <w:ind w:left="210"/>
              <w:rPr>
                <w:sz w:val="20"/>
              </w:rPr>
            </w:pPr>
            <w:r>
              <w:rPr>
                <w:spacing w:val="-5"/>
                <w:sz w:val="20"/>
              </w:rPr>
              <w:t>402</w:t>
            </w:r>
          </w:p>
        </w:tc>
        <w:tc>
          <w:tcPr>
            <w:tcW w:w="2514" w:type="dxa"/>
          </w:tcPr>
          <w:p>
            <w:pPr>
              <w:pStyle w:val="TableParagraph"/>
              <w:spacing w:line="215" w:lineRule="exact" w:before="45"/>
              <w:ind w:left="192"/>
              <w:rPr>
                <w:sz w:val="20"/>
              </w:rPr>
            </w:pPr>
            <w:r>
              <w:rPr>
                <w:spacing w:val="-2"/>
                <w:sz w:val="20"/>
              </w:rPr>
              <w:t>Соматические</w:t>
            </w:r>
          </w:p>
        </w:tc>
        <w:tc>
          <w:tcPr>
            <w:tcW w:w="4921" w:type="dxa"/>
          </w:tcPr>
          <w:p>
            <w:pPr>
              <w:pStyle w:val="TableParagraph"/>
              <w:spacing w:line="215" w:lineRule="exact" w:before="45"/>
              <w:ind w:left="302"/>
              <w:rPr>
                <w:sz w:val="20"/>
              </w:rPr>
            </w:pPr>
            <w:r>
              <w:rPr>
                <w:sz w:val="20"/>
              </w:rPr>
              <w:t>E10,</w:t>
            </w:r>
            <w:r>
              <w:rPr>
                <w:spacing w:val="-6"/>
                <w:sz w:val="20"/>
              </w:rPr>
              <w:t> </w:t>
            </w:r>
            <w:r>
              <w:rPr>
                <w:sz w:val="20"/>
              </w:rPr>
              <w:t>E10.0,</w:t>
            </w:r>
            <w:r>
              <w:rPr>
                <w:spacing w:val="-7"/>
                <w:sz w:val="20"/>
              </w:rPr>
              <w:t> </w:t>
            </w:r>
            <w:r>
              <w:rPr>
                <w:sz w:val="20"/>
              </w:rPr>
              <w:t>E10.1,</w:t>
            </w:r>
            <w:r>
              <w:rPr>
                <w:spacing w:val="-5"/>
                <w:sz w:val="20"/>
              </w:rPr>
              <w:t> </w:t>
            </w:r>
            <w:r>
              <w:rPr>
                <w:sz w:val="20"/>
              </w:rPr>
              <w:t>E10.2,</w:t>
            </w:r>
            <w:r>
              <w:rPr>
                <w:spacing w:val="-5"/>
                <w:sz w:val="20"/>
              </w:rPr>
              <w:t> </w:t>
            </w:r>
            <w:r>
              <w:rPr>
                <w:sz w:val="20"/>
              </w:rPr>
              <w:t>E10.3,</w:t>
            </w:r>
            <w:r>
              <w:rPr>
                <w:spacing w:val="-5"/>
                <w:sz w:val="20"/>
              </w:rPr>
              <w:t> </w:t>
            </w:r>
            <w:r>
              <w:rPr>
                <w:sz w:val="20"/>
              </w:rPr>
              <w:t>E10.4,</w:t>
            </w:r>
            <w:r>
              <w:rPr>
                <w:spacing w:val="-5"/>
                <w:sz w:val="20"/>
              </w:rPr>
              <w:t> </w:t>
            </w:r>
            <w:r>
              <w:rPr>
                <w:spacing w:val="-2"/>
                <w:sz w:val="20"/>
              </w:rPr>
              <w:t>E10.5,</w:t>
            </w:r>
          </w:p>
        </w:tc>
        <w:tc>
          <w:tcPr>
            <w:tcW w:w="2418" w:type="dxa"/>
          </w:tcPr>
          <w:p>
            <w:pPr>
              <w:pStyle w:val="TableParagraph"/>
              <w:spacing w:line="215" w:lineRule="exact" w:before="45"/>
              <w:ind w:right="85"/>
              <w:jc w:val="center"/>
              <w:rPr>
                <w:sz w:val="20"/>
              </w:rPr>
            </w:pPr>
            <w:r>
              <w:rPr>
                <w:w w:val="99"/>
                <w:sz w:val="20"/>
              </w:rPr>
              <w:t>-</w:t>
            </w:r>
          </w:p>
        </w:tc>
        <w:tc>
          <w:tcPr>
            <w:tcW w:w="2931" w:type="dxa"/>
          </w:tcPr>
          <w:p>
            <w:pPr>
              <w:pStyle w:val="TableParagraph"/>
              <w:spacing w:line="215" w:lineRule="exact" w:before="45"/>
              <w:ind w:left="729" w:right="432"/>
              <w:jc w:val="center"/>
              <w:rPr>
                <w:sz w:val="20"/>
              </w:rPr>
            </w:pPr>
            <w:r>
              <w:rPr>
                <w:spacing w:val="-2"/>
                <w:sz w:val="20"/>
              </w:rPr>
              <w:t>Дополнительные</w:t>
            </w:r>
          </w:p>
        </w:tc>
        <w:tc>
          <w:tcPr>
            <w:tcW w:w="837" w:type="dxa"/>
          </w:tcPr>
          <w:p>
            <w:pPr>
              <w:pStyle w:val="TableParagraph"/>
              <w:spacing w:line="215" w:lineRule="exact" w:before="45"/>
              <w:ind w:right="48"/>
              <w:jc w:val="right"/>
              <w:rPr>
                <w:sz w:val="20"/>
              </w:rPr>
            </w:pPr>
            <w:r>
              <w:rPr>
                <w:spacing w:val="-4"/>
                <w:sz w:val="20"/>
              </w:rPr>
              <w:t>1,50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заболевания,</w:t>
            </w:r>
          </w:p>
        </w:tc>
        <w:tc>
          <w:tcPr>
            <w:tcW w:w="4921" w:type="dxa"/>
          </w:tcPr>
          <w:p>
            <w:pPr>
              <w:pStyle w:val="TableParagraph"/>
              <w:spacing w:line="210" w:lineRule="exact"/>
              <w:ind w:left="302"/>
              <w:rPr>
                <w:sz w:val="20"/>
              </w:rPr>
            </w:pPr>
            <w:r>
              <w:rPr>
                <w:sz w:val="20"/>
              </w:rPr>
              <w:t>E10.6,</w:t>
            </w:r>
            <w:r>
              <w:rPr>
                <w:spacing w:val="-7"/>
                <w:sz w:val="20"/>
              </w:rPr>
              <w:t> </w:t>
            </w:r>
            <w:r>
              <w:rPr>
                <w:sz w:val="20"/>
              </w:rPr>
              <w:t>E10.7,</w:t>
            </w:r>
            <w:r>
              <w:rPr>
                <w:spacing w:val="-4"/>
                <w:sz w:val="20"/>
              </w:rPr>
              <w:t> </w:t>
            </w:r>
            <w:r>
              <w:rPr>
                <w:sz w:val="20"/>
              </w:rPr>
              <w:t>E10.8,</w:t>
            </w:r>
            <w:r>
              <w:rPr>
                <w:spacing w:val="-4"/>
                <w:sz w:val="20"/>
              </w:rPr>
              <w:t> </w:t>
            </w:r>
            <w:r>
              <w:rPr>
                <w:sz w:val="20"/>
              </w:rPr>
              <w:t>E10.9,</w:t>
            </w:r>
            <w:r>
              <w:rPr>
                <w:spacing w:val="-5"/>
                <w:sz w:val="20"/>
              </w:rPr>
              <w:t> </w:t>
            </w:r>
            <w:r>
              <w:rPr>
                <w:sz w:val="20"/>
              </w:rPr>
              <w:t>E11,</w:t>
            </w:r>
            <w:r>
              <w:rPr>
                <w:spacing w:val="-4"/>
                <w:sz w:val="20"/>
              </w:rPr>
              <w:t> </w:t>
            </w:r>
            <w:r>
              <w:rPr>
                <w:sz w:val="20"/>
              </w:rPr>
              <w:t>E11.0,</w:t>
            </w:r>
            <w:r>
              <w:rPr>
                <w:spacing w:val="-6"/>
                <w:sz w:val="20"/>
              </w:rPr>
              <w:t> </w:t>
            </w:r>
            <w:r>
              <w:rPr>
                <w:spacing w:val="-2"/>
                <w:sz w:val="20"/>
              </w:rPr>
              <w:t>E11.1,</w:t>
            </w:r>
          </w:p>
        </w:tc>
        <w:tc>
          <w:tcPr>
            <w:tcW w:w="2418" w:type="dxa"/>
          </w:tcPr>
          <w:p>
            <w:pPr>
              <w:pStyle w:val="TableParagraph"/>
              <w:rPr>
                <w:sz w:val="16"/>
              </w:rPr>
            </w:pPr>
          </w:p>
        </w:tc>
        <w:tc>
          <w:tcPr>
            <w:tcW w:w="2931" w:type="dxa"/>
          </w:tcPr>
          <w:p>
            <w:pPr>
              <w:pStyle w:val="TableParagraph"/>
              <w:spacing w:line="210" w:lineRule="exact"/>
              <w:ind w:left="726" w:right="432"/>
              <w:jc w:val="center"/>
              <w:rPr>
                <w:sz w:val="20"/>
              </w:rPr>
            </w:pPr>
            <w:r>
              <w:rPr>
                <w:sz w:val="20"/>
              </w:rPr>
              <w:t>диагнозы:</w:t>
            </w:r>
            <w:r>
              <w:rPr>
                <w:spacing w:val="-11"/>
                <w:sz w:val="20"/>
              </w:rPr>
              <w:t> </w:t>
            </w:r>
            <w:r>
              <w:rPr>
                <w:spacing w:val="-5"/>
                <w:sz w:val="20"/>
              </w:rPr>
              <w:t>R54</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осложненные</w:t>
            </w:r>
            <w:r>
              <w:rPr>
                <w:spacing w:val="6"/>
                <w:sz w:val="20"/>
              </w:rPr>
              <w:t> </w:t>
            </w:r>
            <w:r>
              <w:rPr>
                <w:spacing w:val="-2"/>
                <w:sz w:val="20"/>
              </w:rPr>
              <w:t>старческой</w:t>
            </w:r>
          </w:p>
        </w:tc>
        <w:tc>
          <w:tcPr>
            <w:tcW w:w="4921" w:type="dxa"/>
          </w:tcPr>
          <w:p>
            <w:pPr>
              <w:pStyle w:val="TableParagraph"/>
              <w:spacing w:line="210" w:lineRule="exact"/>
              <w:ind w:left="227"/>
              <w:rPr>
                <w:sz w:val="20"/>
              </w:rPr>
            </w:pPr>
            <w:r>
              <w:rPr>
                <w:sz w:val="20"/>
              </w:rPr>
              <w:t>E11.2,</w:t>
            </w:r>
            <w:r>
              <w:rPr>
                <w:spacing w:val="-7"/>
                <w:sz w:val="20"/>
              </w:rPr>
              <w:t> </w:t>
            </w:r>
            <w:r>
              <w:rPr>
                <w:sz w:val="20"/>
              </w:rPr>
              <w:t>E11.3,</w:t>
            </w:r>
            <w:r>
              <w:rPr>
                <w:spacing w:val="-5"/>
                <w:sz w:val="20"/>
              </w:rPr>
              <w:t> </w:t>
            </w:r>
            <w:r>
              <w:rPr>
                <w:sz w:val="20"/>
              </w:rPr>
              <w:t>E11.4,</w:t>
            </w:r>
            <w:r>
              <w:rPr>
                <w:spacing w:val="-4"/>
                <w:sz w:val="20"/>
              </w:rPr>
              <w:t> </w:t>
            </w:r>
            <w:r>
              <w:rPr>
                <w:sz w:val="20"/>
              </w:rPr>
              <w:t>E11.5,</w:t>
            </w:r>
            <w:r>
              <w:rPr>
                <w:spacing w:val="-5"/>
                <w:sz w:val="20"/>
              </w:rPr>
              <w:t> </w:t>
            </w:r>
            <w:r>
              <w:rPr>
                <w:sz w:val="20"/>
              </w:rPr>
              <w:t>E11.6,</w:t>
            </w:r>
            <w:r>
              <w:rPr>
                <w:spacing w:val="-6"/>
                <w:sz w:val="20"/>
              </w:rPr>
              <w:t> </w:t>
            </w:r>
            <w:r>
              <w:rPr>
                <w:sz w:val="20"/>
              </w:rPr>
              <w:t>E11.7,</w:t>
            </w:r>
            <w:r>
              <w:rPr>
                <w:spacing w:val="-5"/>
                <w:sz w:val="20"/>
              </w:rPr>
              <w:t> </w:t>
            </w:r>
            <w:r>
              <w:rPr>
                <w:spacing w:val="-2"/>
                <w:sz w:val="20"/>
              </w:rPr>
              <w:t>E11.8,</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астенией</w:t>
            </w:r>
          </w:p>
        </w:tc>
        <w:tc>
          <w:tcPr>
            <w:tcW w:w="4921" w:type="dxa"/>
          </w:tcPr>
          <w:p>
            <w:pPr>
              <w:pStyle w:val="TableParagraph"/>
              <w:spacing w:line="210" w:lineRule="exact"/>
              <w:ind w:left="309"/>
              <w:rPr>
                <w:sz w:val="20"/>
              </w:rPr>
            </w:pPr>
            <w:r>
              <w:rPr>
                <w:sz w:val="20"/>
              </w:rPr>
              <w:t>E11.9,</w:t>
            </w:r>
            <w:r>
              <w:rPr>
                <w:spacing w:val="-7"/>
                <w:sz w:val="20"/>
              </w:rPr>
              <w:t> </w:t>
            </w:r>
            <w:r>
              <w:rPr>
                <w:sz w:val="20"/>
              </w:rPr>
              <w:t>G20,</w:t>
            </w:r>
            <w:r>
              <w:rPr>
                <w:spacing w:val="-4"/>
                <w:sz w:val="20"/>
              </w:rPr>
              <w:t> </w:t>
            </w:r>
            <w:r>
              <w:rPr>
                <w:sz w:val="20"/>
              </w:rPr>
              <w:t>G44,</w:t>
            </w:r>
            <w:r>
              <w:rPr>
                <w:spacing w:val="-4"/>
                <w:sz w:val="20"/>
              </w:rPr>
              <w:t> </w:t>
            </w:r>
            <w:r>
              <w:rPr>
                <w:sz w:val="20"/>
              </w:rPr>
              <w:t>G44.0,</w:t>
            </w:r>
            <w:r>
              <w:rPr>
                <w:spacing w:val="-4"/>
                <w:sz w:val="20"/>
              </w:rPr>
              <w:t> </w:t>
            </w:r>
            <w:r>
              <w:rPr>
                <w:sz w:val="20"/>
              </w:rPr>
              <w:t>G44.1,</w:t>
            </w:r>
            <w:r>
              <w:rPr>
                <w:spacing w:val="-5"/>
                <w:sz w:val="20"/>
              </w:rPr>
              <w:t> </w:t>
            </w:r>
            <w:r>
              <w:rPr>
                <w:sz w:val="20"/>
              </w:rPr>
              <w:t>G44.2,</w:t>
            </w:r>
            <w:r>
              <w:rPr>
                <w:spacing w:val="-4"/>
                <w:sz w:val="20"/>
              </w:rPr>
              <w:t> </w:t>
            </w:r>
            <w:r>
              <w:rPr>
                <w:spacing w:val="-2"/>
                <w:sz w:val="20"/>
              </w:rPr>
              <w:t>G44.3,</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9" w:lineRule="exact"/>
              <w:ind w:left="225"/>
              <w:rPr>
                <w:sz w:val="20"/>
              </w:rPr>
            </w:pPr>
            <w:r>
              <w:rPr>
                <w:sz w:val="20"/>
              </w:rPr>
              <w:t>G44.4,</w:t>
            </w:r>
            <w:r>
              <w:rPr>
                <w:spacing w:val="-6"/>
                <w:sz w:val="20"/>
              </w:rPr>
              <w:t> </w:t>
            </w:r>
            <w:r>
              <w:rPr>
                <w:sz w:val="20"/>
              </w:rPr>
              <w:t>G44.8,</w:t>
            </w:r>
            <w:r>
              <w:rPr>
                <w:spacing w:val="-7"/>
                <w:sz w:val="20"/>
              </w:rPr>
              <w:t> </w:t>
            </w:r>
            <w:r>
              <w:rPr>
                <w:sz w:val="20"/>
              </w:rPr>
              <w:t>G90,</w:t>
            </w:r>
            <w:r>
              <w:rPr>
                <w:spacing w:val="-5"/>
                <w:sz w:val="20"/>
              </w:rPr>
              <w:t> </w:t>
            </w:r>
            <w:r>
              <w:rPr>
                <w:sz w:val="20"/>
              </w:rPr>
              <w:t>G90.0,</w:t>
            </w:r>
            <w:r>
              <w:rPr>
                <w:spacing w:val="-5"/>
                <w:sz w:val="20"/>
              </w:rPr>
              <w:t> </w:t>
            </w:r>
            <w:r>
              <w:rPr>
                <w:sz w:val="20"/>
              </w:rPr>
              <w:t>G90.1,</w:t>
            </w:r>
            <w:r>
              <w:rPr>
                <w:spacing w:val="-5"/>
                <w:sz w:val="20"/>
              </w:rPr>
              <w:t> </w:t>
            </w:r>
            <w:r>
              <w:rPr>
                <w:sz w:val="20"/>
              </w:rPr>
              <w:t>G90.2,</w:t>
            </w:r>
            <w:r>
              <w:rPr>
                <w:spacing w:val="-6"/>
                <w:sz w:val="20"/>
              </w:rPr>
              <w:t> </w:t>
            </w:r>
            <w:r>
              <w:rPr>
                <w:spacing w:val="-2"/>
                <w:sz w:val="20"/>
              </w:rPr>
              <w:t>G90.4,</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225"/>
              <w:rPr>
                <w:sz w:val="20"/>
              </w:rPr>
            </w:pPr>
            <w:r>
              <w:rPr>
                <w:sz w:val="20"/>
              </w:rPr>
              <w:t>G90.8,</w:t>
            </w:r>
            <w:r>
              <w:rPr>
                <w:spacing w:val="-6"/>
                <w:sz w:val="20"/>
              </w:rPr>
              <w:t> </w:t>
            </w:r>
            <w:r>
              <w:rPr>
                <w:sz w:val="20"/>
              </w:rPr>
              <w:t>G90.9,</w:t>
            </w:r>
            <w:r>
              <w:rPr>
                <w:spacing w:val="-7"/>
                <w:sz w:val="20"/>
              </w:rPr>
              <w:t> </w:t>
            </w:r>
            <w:r>
              <w:rPr>
                <w:sz w:val="20"/>
              </w:rPr>
              <w:t>G93,</w:t>
            </w:r>
            <w:r>
              <w:rPr>
                <w:spacing w:val="-5"/>
                <w:sz w:val="20"/>
              </w:rPr>
              <w:t> </w:t>
            </w:r>
            <w:r>
              <w:rPr>
                <w:sz w:val="20"/>
              </w:rPr>
              <w:t>G93.0,</w:t>
            </w:r>
            <w:r>
              <w:rPr>
                <w:spacing w:val="-5"/>
                <w:sz w:val="20"/>
              </w:rPr>
              <w:t> </w:t>
            </w:r>
            <w:r>
              <w:rPr>
                <w:sz w:val="20"/>
              </w:rPr>
              <w:t>G93.1,</w:t>
            </w:r>
            <w:r>
              <w:rPr>
                <w:spacing w:val="-5"/>
                <w:sz w:val="20"/>
              </w:rPr>
              <w:t> </w:t>
            </w:r>
            <w:r>
              <w:rPr>
                <w:sz w:val="20"/>
              </w:rPr>
              <w:t>G93.2,</w:t>
            </w:r>
            <w:r>
              <w:rPr>
                <w:spacing w:val="-6"/>
                <w:sz w:val="20"/>
              </w:rPr>
              <w:t> </w:t>
            </w:r>
            <w:r>
              <w:rPr>
                <w:spacing w:val="-2"/>
                <w:sz w:val="20"/>
              </w:rPr>
              <w:t>G93.3,</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446"/>
              <w:rPr>
                <w:sz w:val="20"/>
              </w:rPr>
            </w:pPr>
            <w:r>
              <w:rPr>
                <w:sz w:val="20"/>
              </w:rPr>
              <w:t>G93.4,</w:t>
            </w:r>
            <w:r>
              <w:rPr>
                <w:spacing w:val="-4"/>
                <w:sz w:val="20"/>
              </w:rPr>
              <w:t> </w:t>
            </w:r>
            <w:r>
              <w:rPr>
                <w:sz w:val="20"/>
              </w:rPr>
              <w:t>G93.5,</w:t>
            </w:r>
            <w:r>
              <w:rPr>
                <w:spacing w:val="-5"/>
                <w:sz w:val="20"/>
              </w:rPr>
              <w:t> </w:t>
            </w:r>
            <w:r>
              <w:rPr>
                <w:sz w:val="20"/>
              </w:rPr>
              <w:t>G93.6,</w:t>
            </w:r>
            <w:r>
              <w:rPr>
                <w:spacing w:val="-3"/>
                <w:sz w:val="20"/>
              </w:rPr>
              <w:t> </w:t>
            </w:r>
            <w:r>
              <w:rPr>
                <w:sz w:val="20"/>
              </w:rPr>
              <w:t>G93.7,</w:t>
            </w:r>
            <w:r>
              <w:rPr>
                <w:spacing w:val="-5"/>
                <w:sz w:val="20"/>
              </w:rPr>
              <w:t> </w:t>
            </w:r>
            <w:r>
              <w:rPr>
                <w:sz w:val="20"/>
              </w:rPr>
              <w:t>G93.8,</w:t>
            </w:r>
            <w:r>
              <w:rPr>
                <w:spacing w:val="-3"/>
                <w:sz w:val="20"/>
              </w:rPr>
              <w:t> </w:t>
            </w:r>
            <w:r>
              <w:rPr>
                <w:spacing w:val="-2"/>
                <w:sz w:val="20"/>
              </w:rPr>
              <w:t>G93.9,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165"/>
              <w:rPr>
                <w:sz w:val="20"/>
              </w:rPr>
            </w:pPr>
            <w:r>
              <w:rPr>
                <w:sz w:val="20"/>
              </w:rPr>
              <w:t>G94.3,</w:t>
            </w:r>
            <w:r>
              <w:rPr>
                <w:spacing w:val="-6"/>
                <w:sz w:val="20"/>
              </w:rPr>
              <w:t> </w:t>
            </w:r>
            <w:r>
              <w:rPr>
                <w:sz w:val="20"/>
              </w:rPr>
              <w:t>I10,</w:t>
            </w:r>
            <w:r>
              <w:rPr>
                <w:spacing w:val="-6"/>
                <w:sz w:val="20"/>
              </w:rPr>
              <w:t> </w:t>
            </w:r>
            <w:r>
              <w:rPr>
                <w:sz w:val="20"/>
              </w:rPr>
              <w:t>I11,</w:t>
            </w:r>
            <w:r>
              <w:rPr>
                <w:spacing w:val="-4"/>
                <w:sz w:val="20"/>
              </w:rPr>
              <w:t> </w:t>
            </w:r>
            <w:r>
              <w:rPr>
                <w:sz w:val="20"/>
              </w:rPr>
              <w:t>I11.0,</w:t>
            </w:r>
            <w:r>
              <w:rPr>
                <w:spacing w:val="-6"/>
                <w:sz w:val="20"/>
              </w:rPr>
              <w:t> </w:t>
            </w:r>
            <w:r>
              <w:rPr>
                <w:sz w:val="20"/>
              </w:rPr>
              <w:t>I11.9,</w:t>
            </w:r>
            <w:r>
              <w:rPr>
                <w:spacing w:val="-4"/>
                <w:sz w:val="20"/>
              </w:rPr>
              <w:t> </w:t>
            </w:r>
            <w:r>
              <w:rPr>
                <w:sz w:val="20"/>
              </w:rPr>
              <w:t>I12,</w:t>
            </w:r>
            <w:r>
              <w:rPr>
                <w:spacing w:val="-4"/>
                <w:sz w:val="20"/>
              </w:rPr>
              <w:t> </w:t>
            </w:r>
            <w:r>
              <w:rPr>
                <w:sz w:val="20"/>
              </w:rPr>
              <w:t>I12.0,</w:t>
            </w:r>
            <w:r>
              <w:rPr>
                <w:spacing w:val="-4"/>
                <w:sz w:val="20"/>
              </w:rPr>
              <w:t> </w:t>
            </w:r>
            <w:r>
              <w:rPr>
                <w:sz w:val="20"/>
              </w:rPr>
              <w:t>I12.9,</w:t>
            </w:r>
            <w:r>
              <w:rPr>
                <w:spacing w:val="-6"/>
                <w:sz w:val="20"/>
              </w:rPr>
              <w:t> </w:t>
            </w:r>
            <w:r>
              <w:rPr>
                <w:spacing w:val="-4"/>
                <w:sz w:val="20"/>
              </w:rPr>
              <w:t>I13,</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237"/>
              <w:rPr>
                <w:sz w:val="20"/>
              </w:rPr>
            </w:pPr>
            <w:r>
              <w:rPr>
                <w:sz w:val="20"/>
              </w:rPr>
              <w:t>I13.0,</w:t>
            </w:r>
            <w:r>
              <w:rPr>
                <w:spacing w:val="-5"/>
                <w:sz w:val="20"/>
              </w:rPr>
              <w:t> </w:t>
            </w:r>
            <w:r>
              <w:rPr>
                <w:sz w:val="20"/>
              </w:rPr>
              <w:t>I13.1,</w:t>
            </w:r>
            <w:r>
              <w:rPr>
                <w:spacing w:val="-7"/>
                <w:sz w:val="20"/>
              </w:rPr>
              <w:t> </w:t>
            </w:r>
            <w:r>
              <w:rPr>
                <w:sz w:val="20"/>
              </w:rPr>
              <w:t>I13.2,</w:t>
            </w:r>
            <w:r>
              <w:rPr>
                <w:spacing w:val="-4"/>
                <w:sz w:val="20"/>
              </w:rPr>
              <w:t> </w:t>
            </w:r>
            <w:r>
              <w:rPr>
                <w:sz w:val="20"/>
              </w:rPr>
              <w:t>I13.9,</w:t>
            </w:r>
            <w:r>
              <w:rPr>
                <w:spacing w:val="-5"/>
                <w:sz w:val="20"/>
              </w:rPr>
              <w:t> </w:t>
            </w:r>
            <w:r>
              <w:rPr>
                <w:sz w:val="20"/>
              </w:rPr>
              <w:t>I20,</w:t>
            </w:r>
            <w:r>
              <w:rPr>
                <w:spacing w:val="-6"/>
                <w:sz w:val="20"/>
              </w:rPr>
              <w:t> </w:t>
            </w:r>
            <w:r>
              <w:rPr>
                <w:sz w:val="20"/>
              </w:rPr>
              <w:t>I20.0,</w:t>
            </w:r>
            <w:r>
              <w:rPr>
                <w:spacing w:val="-5"/>
                <w:sz w:val="20"/>
              </w:rPr>
              <w:t> </w:t>
            </w:r>
            <w:r>
              <w:rPr>
                <w:sz w:val="20"/>
              </w:rPr>
              <w:t>I20.1,</w:t>
            </w:r>
            <w:r>
              <w:rPr>
                <w:spacing w:val="-7"/>
                <w:sz w:val="20"/>
              </w:rPr>
              <w:t> </w:t>
            </w:r>
            <w:r>
              <w:rPr>
                <w:spacing w:val="-2"/>
                <w:sz w:val="20"/>
              </w:rPr>
              <w:t>I20.8,</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9" w:lineRule="exact"/>
              <w:ind w:left="237"/>
              <w:rPr>
                <w:sz w:val="20"/>
              </w:rPr>
            </w:pPr>
            <w:r>
              <w:rPr>
                <w:sz w:val="20"/>
              </w:rPr>
              <w:t>I20.9,</w:t>
            </w:r>
            <w:r>
              <w:rPr>
                <w:spacing w:val="-5"/>
                <w:sz w:val="20"/>
              </w:rPr>
              <w:t> </w:t>
            </w:r>
            <w:r>
              <w:rPr>
                <w:sz w:val="20"/>
              </w:rPr>
              <w:t>I25,</w:t>
            </w:r>
            <w:r>
              <w:rPr>
                <w:spacing w:val="-5"/>
                <w:sz w:val="20"/>
              </w:rPr>
              <w:t> </w:t>
            </w:r>
            <w:r>
              <w:rPr>
                <w:sz w:val="20"/>
              </w:rPr>
              <w:t>I25.0,</w:t>
            </w:r>
            <w:r>
              <w:rPr>
                <w:spacing w:val="-5"/>
                <w:sz w:val="20"/>
              </w:rPr>
              <w:t> </w:t>
            </w:r>
            <w:r>
              <w:rPr>
                <w:sz w:val="20"/>
              </w:rPr>
              <w:t>I25.1,</w:t>
            </w:r>
            <w:r>
              <w:rPr>
                <w:spacing w:val="-7"/>
                <w:sz w:val="20"/>
              </w:rPr>
              <w:t> </w:t>
            </w:r>
            <w:r>
              <w:rPr>
                <w:sz w:val="20"/>
              </w:rPr>
              <w:t>I25.2,</w:t>
            </w:r>
            <w:r>
              <w:rPr>
                <w:spacing w:val="-7"/>
                <w:sz w:val="20"/>
              </w:rPr>
              <w:t> </w:t>
            </w:r>
            <w:r>
              <w:rPr>
                <w:sz w:val="20"/>
              </w:rPr>
              <w:t>I25.3,</w:t>
            </w:r>
            <w:r>
              <w:rPr>
                <w:spacing w:val="-5"/>
                <w:sz w:val="20"/>
              </w:rPr>
              <w:t> </w:t>
            </w:r>
            <w:r>
              <w:rPr>
                <w:sz w:val="20"/>
              </w:rPr>
              <w:t>I25.4,</w:t>
            </w:r>
            <w:r>
              <w:rPr>
                <w:spacing w:val="-7"/>
                <w:sz w:val="20"/>
              </w:rPr>
              <w:t> </w:t>
            </w:r>
            <w:r>
              <w:rPr>
                <w:spacing w:val="-2"/>
                <w:sz w:val="20"/>
              </w:rPr>
              <w:t>I25.5,</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9" w:lineRule="exact"/>
              <w:ind w:left="237"/>
              <w:rPr>
                <w:sz w:val="20"/>
              </w:rPr>
            </w:pPr>
            <w:r>
              <w:rPr>
                <w:sz w:val="20"/>
              </w:rPr>
              <w:t>I25.6,</w:t>
            </w:r>
            <w:r>
              <w:rPr>
                <w:spacing w:val="-5"/>
                <w:sz w:val="20"/>
              </w:rPr>
              <w:t> </w:t>
            </w:r>
            <w:r>
              <w:rPr>
                <w:sz w:val="20"/>
              </w:rPr>
              <w:t>I25.8,</w:t>
            </w:r>
            <w:r>
              <w:rPr>
                <w:spacing w:val="-6"/>
                <w:sz w:val="20"/>
              </w:rPr>
              <w:t> </w:t>
            </w:r>
            <w:r>
              <w:rPr>
                <w:sz w:val="20"/>
              </w:rPr>
              <w:t>I25.9,</w:t>
            </w:r>
            <w:r>
              <w:rPr>
                <w:spacing w:val="-5"/>
                <w:sz w:val="20"/>
              </w:rPr>
              <w:t> </w:t>
            </w:r>
            <w:r>
              <w:rPr>
                <w:sz w:val="20"/>
              </w:rPr>
              <w:t>I47,</w:t>
            </w:r>
            <w:r>
              <w:rPr>
                <w:spacing w:val="-6"/>
                <w:sz w:val="20"/>
              </w:rPr>
              <w:t> </w:t>
            </w:r>
            <w:r>
              <w:rPr>
                <w:sz w:val="20"/>
              </w:rPr>
              <w:t>I47.0,</w:t>
            </w:r>
            <w:r>
              <w:rPr>
                <w:spacing w:val="-7"/>
                <w:sz w:val="20"/>
              </w:rPr>
              <w:t> </w:t>
            </w:r>
            <w:r>
              <w:rPr>
                <w:sz w:val="20"/>
              </w:rPr>
              <w:t>I47.1,</w:t>
            </w:r>
            <w:r>
              <w:rPr>
                <w:spacing w:val="-4"/>
                <w:sz w:val="20"/>
              </w:rPr>
              <w:t> </w:t>
            </w:r>
            <w:r>
              <w:rPr>
                <w:sz w:val="20"/>
              </w:rPr>
              <w:t>I47.2,</w:t>
            </w:r>
            <w:r>
              <w:rPr>
                <w:spacing w:val="-7"/>
                <w:sz w:val="20"/>
              </w:rPr>
              <w:t> </w:t>
            </w:r>
            <w:r>
              <w:rPr>
                <w:spacing w:val="-2"/>
                <w:sz w:val="20"/>
              </w:rPr>
              <w:t>I47.9,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5" w:lineRule="exact"/>
              <w:ind w:left="314"/>
              <w:rPr>
                <w:sz w:val="20"/>
              </w:rPr>
            </w:pPr>
            <w:r>
              <w:rPr>
                <w:sz w:val="20"/>
              </w:rPr>
              <w:t>I48,</w:t>
            </w:r>
            <w:r>
              <w:rPr>
                <w:spacing w:val="-5"/>
                <w:sz w:val="20"/>
              </w:rPr>
              <w:t> </w:t>
            </w:r>
            <w:r>
              <w:rPr>
                <w:sz w:val="20"/>
              </w:rPr>
              <w:t>I48.0,</w:t>
            </w:r>
            <w:r>
              <w:rPr>
                <w:spacing w:val="-4"/>
                <w:sz w:val="20"/>
              </w:rPr>
              <w:t> </w:t>
            </w:r>
            <w:r>
              <w:rPr>
                <w:sz w:val="20"/>
              </w:rPr>
              <w:t>I48.1,</w:t>
            </w:r>
            <w:r>
              <w:rPr>
                <w:spacing w:val="-4"/>
                <w:sz w:val="20"/>
              </w:rPr>
              <w:t> </w:t>
            </w:r>
            <w:r>
              <w:rPr>
                <w:sz w:val="20"/>
              </w:rPr>
              <w:t>I48.2,</w:t>
            </w:r>
            <w:r>
              <w:rPr>
                <w:spacing w:val="-6"/>
                <w:sz w:val="20"/>
              </w:rPr>
              <w:t> </w:t>
            </w:r>
            <w:r>
              <w:rPr>
                <w:sz w:val="20"/>
              </w:rPr>
              <w:t>I48.3,</w:t>
            </w:r>
            <w:r>
              <w:rPr>
                <w:spacing w:val="-6"/>
                <w:sz w:val="20"/>
              </w:rPr>
              <w:t> </w:t>
            </w:r>
            <w:r>
              <w:rPr>
                <w:sz w:val="20"/>
              </w:rPr>
              <w:t>I48.4,</w:t>
            </w:r>
            <w:r>
              <w:rPr>
                <w:spacing w:val="-4"/>
                <w:sz w:val="20"/>
              </w:rPr>
              <w:t> </w:t>
            </w:r>
            <w:r>
              <w:rPr>
                <w:sz w:val="20"/>
              </w:rPr>
              <w:t>I48.9,</w:t>
            </w:r>
            <w:r>
              <w:rPr>
                <w:spacing w:val="-6"/>
                <w:sz w:val="20"/>
              </w:rPr>
              <w:t> </w:t>
            </w:r>
            <w:r>
              <w:rPr>
                <w:spacing w:val="-4"/>
                <w:sz w:val="20"/>
              </w:rPr>
              <w:t>I49,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594"/>
        <w:gridCol w:w="2517"/>
        <w:gridCol w:w="5569"/>
        <w:gridCol w:w="1997"/>
        <w:gridCol w:w="2325"/>
        <w:gridCol w:w="1260"/>
      </w:tblGrid>
      <w:tr>
        <w:trPr>
          <w:trHeight w:val="225" w:hRule="atLeast"/>
        </w:trPr>
        <w:tc>
          <w:tcPr>
            <w:tcW w:w="1028" w:type="dxa"/>
            <w:vMerge w:val="restart"/>
          </w:tcPr>
          <w:p>
            <w:pPr>
              <w:pStyle w:val="TableParagraph"/>
              <w:rPr>
                <w:sz w:val="18"/>
              </w:rPr>
            </w:pPr>
          </w:p>
        </w:tc>
        <w:tc>
          <w:tcPr>
            <w:tcW w:w="594" w:type="dxa"/>
            <w:vMerge w:val="restart"/>
          </w:tcPr>
          <w:p>
            <w:pPr>
              <w:pStyle w:val="TableParagraph"/>
              <w:rPr>
                <w:sz w:val="18"/>
              </w:rPr>
            </w:pPr>
          </w:p>
        </w:tc>
        <w:tc>
          <w:tcPr>
            <w:tcW w:w="2517" w:type="dxa"/>
            <w:vMerge w:val="restart"/>
          </w:tcPr>
          <w:p>
            <w:pPr>
              <w:pStyle w:val="TableParagraph"/>
              <w:rPr>
                <w:sz w:val="18"/>
              </w:rPr>
            </w:pPr>
          </w:p>
        </w:tc>
        <w:tc>
          <w:tcPr>
            <w:tcW w:w="5569" w:type="dxa"/>
          </w:tcPr>
          <w:p>
            <w:pPr>
              <w:pStyle w:val="TableParagraph"/>
              <w:spacing w:line="205" w:lineRule="exact"/>
              <w:ind w:left="212"/>
              <w:rPr>
                <w:sz w:val="20"/>
              </w:rPr>
            </w:pPr>
            <w:r>
              <w:rPr>
                <w:sz w:val="20"/>
              </w:rPr>
              <w:t>I49.0,</w:t>
            </w:r>
            <w:r>
              <w:rPr>
                <w:spacing w:val="-5"/>
                <w:sz w:val="20"/>
              </w:rPr>
              <w:t> </w:t>
            </w:r>
            <w:r>
              <w:rPr>
                <w:sz w:val="20"/>
              </w:rPr>
              <w:t>I49.1,</w:t>
            </w:r>
            <w:r>
              <w:rPr>
                <w:spacing w:val="-7"/>
                <w:sz w:val="20"/>
              </w:rPr>
              <w:t> </w:t>
            </w:r>
            <w:r>
              <w:rPr>
                <w:sz w:val="20"/>
              </w:rPr>
              <w:t>I49.2,</w:t>
            </w:r>
            <w:r>
              <w:rPr>
                <w:spacing w:val="-5"/>
                <w:sz w:val="20"/>
              </w:rPr>
              <w:t> </w:t>
            </w:r>
            <w:r>
              <w:rPr>
                <w:sz w:val="20"/>
              </w:rPr>
              <w:t>I49.3,</w:t>
            </w:r>
            <w:r>
              <w:rPr>
                <w:spacing w:val="-5"/>
                <w:sz w:val="20"/>
              </w:rPr>
              <w:t> </w:t>
            </w:r>
            <w:r>
              <w:rPr>
                <w:sz w:val="20"/>
              </w:rPr>
              <w:t>I49.4,</w:t>
            </w:r>
            <w:r>
              <w:rPr>
                <w:spacing w:val="-5"/>
                <w:sz w:val="20"/>
              </w:rPr>
              <w:t> </w:t>
            </w:r>
            <w:r>
              <w:rPr>
                <w:sz w:val="20"/>
              </w:rPr>
              <w:t>I49.5,</w:t>
            </w:r>
            <w:r>
              <w:rPr>
                <w:spacing w:val="-6"/>
                <w:sz w:val="20"/>
              </w:rPr>
              <w:t> </w:t>
            </w:r>
            <w:r>
              <w:rPr>
                <w:sz w:val="20"/>
              </w:rPr>
              <w:t>I49.8,</w:t>
            </w:r>
            <w:r>
              <w:rPr>
                <w:spacing w:val="-5"/>
                <w:sz w:val="20"/>
              </w:rPr>
              <w:t> </w:t>
            </w:r>
            <w:r>
              <w:rPr>
                <w:spacing w:val="-2"/>
                <w:sz w:val="20"/>
              </w:rPr>
              <w:t>I49.9,</w:t>
            </w:r>
          </w:p>
        </w:tc>
        <w:tc>
          <w:tcPr>
            <w:tcW w:w="1997"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09" w:lineRule="exact"/>
              <w:ind w:left="363"/>
              <w:rPr>
                <w:sz w:val="20"/>
              </w:rPr>
            </w:pPr>
            <w:r>
              <w:rPr>
                <w:sz w:val="20"/>
              </w:rPr>
              <w:t>I50,</w:t>
            </w:r>
            <w:r>
              <w:rPr>
                <w:spacing w:val="-5"/>
                <w:sz w:val="20"/>
              </w:rPr>
              <w:t> </w:t>
            </w:r>
            <w:r>
              <w:rPr>
                <w:sz w:val="20"/>
              </w:rPr>
              <w:t>I50.0,</w:t>
            </w:r>
            <w:r>
              <w:rPr>
                <w:spacing w:val="-5"/>
                <w:sz w:val="20"/>
              </w:rPr>
              <w:t> </w:t>
            </w:r>
            <w:r>
              <w:rPr>
                <w:sz w:val="20"/>
              </w:rPr>
              <w:t>I50.1,</w:t>
            </w:r>
            <w:r>
              <w:rPr>
                <w:spacing w:val="-5"/>
                <w:sz w:val="20"/>
              </w:rPr>
              <w:t> </w:t>
            </w:r>
            <w:r>
              <w:rPr>
                <w:sz w:val="20"/>
              </w:rPr>
              <w:t>I50.9,</w:t>
            </w:r>
            <w:r>
              <w:rPr>
                <w:spacing w:val="-6"/>
                <w:sz w:val="20"/>
              </w:rPr>
              <w:t> </w:t>
            </w:r>
            <w:r>
              <w:rPr>
                <w:sz w:val="20"/>
              </w:rPr>
              <w:t>I67,</w:t>
            </w:r>
            <w:r>
              <w:rPr>
                <w:spacing w:val="-5"/>
                <w:sz w:val="20"/>
              </w:rPr>
              <w:t> </w:t>
            </w:r>
            <w:r>
              <w:rPr>
                <w:sz w:val="20"/>
              </w:rPr>
              <w:t>I67.0,</w:t>
            </w:r>
            <w:r>
              <w:rPr>
                <w:spacing w:val="-4"/>
                <w:sz w:val="20"/>
              </w:rPr>
              <w:t> </w:t>
            </w:r>
            <w:r>
              <w:rPr>
                <w:sz w:val="20"/>
              </w:rPr>
              <w:t>I67.1,</w:t>
            </w:r>
            <w:r>
              <w:rPr>
                <w:spacing w:val="-5"/>
                <w:sz w:val="20"/>
              </w:rPr>
              <w:t> </w:t>
            </w:r>
            <w:r>
              <w:rPr>
                <w:spacing w:val="-2"/>
                <w:sz w:val="20"/>
              </w:rPr>
              <w:t>I67.2,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09" w:lineRule="exact"/>
              <w:ind w:left="287"/>
              <w:rPr>
                <w:sz w:val="20"/>
              </w:rPr>
            </w:pPr>
            <w:r>
              <w:rPr>
                <w:sz w:val="20"/>
              </w:rPr>
              <w:t>I67.3,</w:t>
            </w:r>
            <w:r>
              <w:rPr>
                <w:spacing w:val="-5"/>
                <w:sz w:val="20"/>
              </w:rPr>
              <w:t> </w:t>
            </w:r>
            <w:r>
              <w:rPr>
                <w:sz w:val="20"/>
              </w:rPr>
              <w:t>I67.4,</w:t>
            </w:r>
            <w:r>
              <w:rPr>
                <w:spacing w:val="-7"/>
                <w:sz w:val="20"/>
              </w:rPr>
              <w:t> </w:t>
            </w:r>
            <w:r>
              <w:rPr>
                <w:sz w:val="20"/>
              </w:rPr>
              <w:t>I67.5,</w:t>
            </w:r>
            <w:r>
              <w:rPr>
                <w:spacing w:val="-5"/>
                <w:sz w:val="20"/>
              </w:rPr>
              <w:t> </w:t>
            </w:r>
            <w:r>
              <w:rPr>
                <w:sz w:val="20"/>
              </w:rPr>
              <w:t>I67.6,</w:t>
            </w:r>
            <w:r>
              <w:rPr>
                <w:spacing w:val="-5"/>
                <w:sz w:val="20"/>
              </w:rPr>
              <w:t> </w:t>
            </w:r>
            <w:r>
              <w:rPr>
                <w:sz w:val="20"/>
              </w:rPr>
              <w:t>I67.7,</w:t>
            </w:r>
            <w:r>
              <w:rPr>
                <w:spacing w:val="-5"/>
                <w:sz w:val="20"/>
              </w:rPr>
              <w:t> </w:t>
            </w:r>
            <w:r>
              <w:rPr>
                <w:sz w:val="20"/>
              </w:rPr>
              <w:t>I67.8,</w:t>
            </w:r>
            <w:r>
              <w:rPr>
                <w:spacing w:val="-6"/>
                <w:sz w:val="20"/>
              </w:rPr>
              <w:t> </w:t>
            </w:r>
            <w:r>
              <w:rPr>
                <w:sz w:val="20"/>
              </w:rPr>
              <w:t>I67.9,</w:t>
            </w:r>
            <w:r>
              <w:rPr>
                <w:spacing w:val="-5"/>
                <w:sz w:val="20"/>
              </w:rPr>
              <w:t> </w:t>
            </w:r>
            <w:r>
              <w:rPr>
                <w:spacing w:val="-4"/>
                <w:sz w:val="20"/>
              </w:rPr>
              <w:t>I69,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87"/>
              <w:rPr>
                <w:sz w:val="20"/>
              </w:rPr>
            </w:pPr>
            <w:r>
              <w:rPr>
                <w:sz w:val="20"/>
              </w:rPr>
              <w:t>I69.0,</w:t>
            </w:r>
            <w:r>
              <w:rPr>
                <w:spacing w:val="-5"/>
                <w:sz w:val="20"/>
              </w:rPr>
              <w:t> </w:t>
            </w:r>
            <w:r>
              <w:rPr>
                <w:sz w:val="20"/>
              </w:rPr>
              <w:t>I69.1,</w:t>
            </w:r>
            <w:r>
              <w:rPr>
                <w:spacing w:val="-6"/>
                <w:sz w:val="20"/>
              </w:rPr>
              <w:t> </w:t>
            </w:r>
            <w:r>
              <w:rPr>
                <w:sz w:val="20"/>
              </w:rPr>
              <w:t>I69.2,</w:t>
            </w:r>
            <w:r>
              <w:rPr>
                <w:spacing w:val="-5"/>
                <w:sz w:val="20"/>
              </w:rPr>
              <w:t> </w:t>
            </w:r>
            <w:r>
              <w:rPr>
                <w:sz w:val="20"/>
              </w:rPr>
              <w:t>I69.3,</w:t>
            </w:r>
            <w:r>
              <w:rPr>
                <w:spacing w:val="-4"/>
                <w:sz w:val="20"/>
              </w:rPr>
              <w:t> </w:t>
            </w:r>
            <w:r>
              <w:rPr>
                <w:sz w:val="20"/>
              </w:rPr>
              <w:t>I69.4,</w:t>
            </w:r>
            <w:r>
              <w:rPr>
                <w:spacing w:val="-5"/>
                <w:sz w:val="20"/>
              </w:rPr>
              <w:t> </w:t>
            </w:r>
            <w:r>
              <w:rPr>
                <w:sz w:val="20"/>
              </w:rPr>
              <w:t>I69.8,</w:t>
            </w:r>
            <w:r>
              <w:rPr>
                <w:spacing w:val="-6"/>
                <w:sz w:val="20"/>
              </w:rPr>
              <w:t> </w:t>
            </w:r>
            <w:r>
              <w:rPr>
                <w:sz w:val="20"/>
              </w:rPr>
              <w:t>I70,</w:t>
            </w:r>
            <w:r>
              <w:rPr>
                <w:spacing w:val="-7"/>
                <w:sz w:val="20"/>
              </w:rPr>
              <w:t> </w:t>
            </w:r>
            <w:r>
              <w:rPr>
                <w:spacing w:val="-2"/>
                <w:sz w:val="20"/>
              </w:rPr>
              <w:t>I70.0,</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87"/>
              <w:rPr>
                <w:sz w:val="20"/>
              </w:rPr>
            </w:pPr>
            <w:r>
              <w:rPr>
                <w:sz w:val="20"/>
              </w:rPr>
              <w:t>I70.1,</w:t>
            </w:r>
            <w:r>
              <w:rPr>
                <w:spacing w:val="-5"/>
                <w:sz w:val="20"/>
              </w:rPr>
              <w:t> </w:t>
            </w:r>
            <w:r>
              <w:rPr>
                <w:sz w:val="20"/>
              </w:rPr>
              <w:t>I70.2,</w:t>
            </w:r>
            <w:r>
              <w:rPr>
                <w:spacing w:val="-6"/>
                <w:sz w:val="20"/>
              </w:rPr>
              <w:t> </w:t>
            </w:r>
            <w:r>
              <w:rPr>
                <w:sz w:val="20"/>
              </w:rPr>
              <w:t>I70.8,</w:t>
            </w:r>
            <w:r>
              <w:rPr>
                <w:spacing w:val="-4"/>
                <w:sz w:val="20"/>
              </w:rPr>
              <w:t> </w:t>
            </w:r>
            <w:r>
              <w:rPr>
                <w:sz w:val="20"/>
              </w:rPr>
              <w:t>I70.9,</w:t>
            </w:r>
            <w:r>
              <w:rPr>
                <w:spacing w:val="-5"/>
                <w:sz w:val="20"/>
              </w:rPr>
              <w:t> </w:t>
            </w:r>
            <w:r>
              <w:rPr>
                <w:sz w:val="20"/>
              </w:rPr>
              <w:t>I95,</w:t>
            </w:r>
            <w:r>
              <w:rPr>
                <w:spacing w:val="-6"/>
                <w:sz w:val="20"/>
              </w:rPr>
              <w:t> </w:t>
            </w:r>
            <w:r>
              <w:rPr>
                <w:sz w:val="20"/>
              </w:rPr>
              <w:t>I95.0,</w:t>
            </w:r>
            <w:r>
              <w:rPr>
                <w:spacing w:val="-4"/>
                <w:sz w:val="20"/>
              </w:rPr>
              <w:t> </w:t>
            </w:r>
            <w:r>
              <w:rPr>
                <w:sz w:val="20"/>
              </w:rPr>
              <w:t>I95.1,</w:t>
            </w:r>
            <w:r>
              <w:rPr>
                <w:spacing w:val="-7"/>
                <w:sz w:val="20"/>
              </w:rPr>
              <w:t> </w:t>
            </w:r>
            <w:r>
              <w:rPr>
                <w:spacing w:val="-2"/>
                <w:sz w:val="20"/>
              </w:rPr>
              <w:t>I95.2,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53"/>
              <w:rPr>
                <w:sz w:val="20"/>
              </w:rPr>
            </w:pPr>
            <w:r>
              <w:rPr>
                <w:sz w:val="20"/>
              </w:rPr>
              <w:t>I95.8,</w:t>
            </w:r>
            <w:r>
              <w:rPr>
                <w:spacing w:val="-4"/>
                <w:sz w:val="20"/>
              </w:rPr>
              <w:t> </w:t>
            </w:r>
            <w:r>
              <w:rPr>
                <w:sz w:val="20"/>
              </w:rPr>
              <w:t>I95.9,</w:t>
            </w:r>
            <w:r>
              <w:rPr>
                <w:spacing w:val="-6"/>
                <w:sz w:val="20"/>
              </w:rPr>
              <w:t> </w:t>
            </w:r>
            <w:r>
              <w:rPr>
                <w:sz w:val="20"/>
              </w:rPr>
              <w:t>J17,</w:t>
            </w:r>
            <w:r>
              <w:rPr>
                <w:spacing w:val="-6"/>
                <w:sz w:val="20"/>
              </w:rPr>
              <w:t> </w:t>
            </w:r>
            <w:r>
              <w:rPr>
                <w:sz w:val="20"/>
              </w:rPr>
              <w:t>J17.0,</w:t>
            </w:r>
            <w:r>
              <w:rPr>
                <w:spacing w:val="-5"/>
                <w:sz w:val="20"/>
              </w:rPr>
              <w:t> </w:t>
            </w:r>
            <w:r>
              <w:rPr>
                <w:sz w:val="20"/>
              </w:rPr>
              <w:t>J17.1,</w:t>
            </w:r>
            <w:r>
              <w:rPr>
                <w:spacing w:val="-6"/>
                <w:sz w:val="20"/>
              </w:rPr>
              <w:t> </w:t>
            </w:r>
            <w:r>
              <w:rPr>
                <w:sz w:val="20"/>
              </w:rPr>
              <w:t>J17.2,</w:t>
            </w:r>
            <w:r>
              <w:rPr>
                <w:spacing w:val="-6"/>
                <w:sz w:val="20"/>
              </w:rPr>
              <w:t> </w:t>
            </w:r>
            <w:r>
              <w:rPr>
                <w:sz w:val="20"/>
              </w:rPr>
              <w:t>J17.3,</w:t>
            </w:r>
            <w:r>
              <w:rPr>
                <w:spacing w:val="-5"/>
                <w:sz w:val="20"/>
              </w:rPr>
              <w:t> </w:t>
            </w:r>
            <w:r>
              <w:rPr>
                <w:spacing w:val="-2"/>
                <w:sz w:val="20"/>
              </w:rPr>
              <w:t>J17.8,</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1" w:lineRule="exact"/>
              <w:ind w:left="318"/>
              <w:rPr>
                <w:sz w:val="20"/>
              </w:rPr>
            </w:pPr>
            <w:r>
              <w:rPr>
                <w:sz w:val="20"/>
              </w:rPr>
              <w:t>J18,</w:t>
            </w:r>
            <w:r>
              <w:rPr>
                <w:spacing w:val="-6"/>
                <w:sz w:val="20"/>
              </w:rPr>
              <w:t> </w:t>
            </w:r>
            <w:r>
              <w:rPr>
                <w:sz w:val="20"/>
              </w:rPr>
              <w:t>J18.0,</w:t>
            </w:r>
            <w:r>
              <w:rPr>
                <w:spacing w:val="-6"/>
                <w:sz w:val="20"/>
              </w:rPr>
              <w:t> </w:t>
            </w:r>
            <w:r>
              <w:rPr>
                <w:sz w:val="20"/>
              </w:rPr>
              <w:t>J18.1,</w:t>
            </w:r>
            <w:r>
              <w:rPr>
                <w:spacing w:val="-5"/>
                <w:sz w:val="20"/>
              </w:rPr>
              <w:t> </w:t>
            </w:r>
            <w:r>
              <w:rPr>
                <w:sz w:val="20"/>
              </w:rPr>
              <w:t>J18.2,</w:t>
            </w:r>
            <w:r>
              <w:rPr>
                <w:spacing w:val="-4"/>
                <w:sz w:val="20"/>
              </w:rPr>
              <w:t> </w:t>
            </w:r>
            <w:r>
              <w:rPr>
                <w:sz w:val="20"/>
              </w:rPr>
              <w:t>J18.8,</w:t>
            </w:r>
            <w:r>
              <w:rPr>
                <w:spacing w:val="-6"/>
                <w:sz w:val="20"/>
              </w:rPr>
              <w:t> </w:t>
            </w:r>
            <w:r>
              <w:rPr>
                <w:sz w:val="20"/>
              </w:rPr>
              <w:t>J18.9,</w:t>
            </w:r>
            <w:r>
              <w:rPr>
                <w:spacing w:val="-5"/>
                <w:sz w:val="20"/>
              </w:rPr>
              <w:t> </w:t>
            </w:r>
            <w:r>
              <w:rPr>
                <w:sz w:val="20"/>
              </w:rPr>
              <w:t>J44,</w:t>
            </w:r>
            <w:r>
              <w:rPr>
                <w:spacing w:val="-4"/>
                <w:sz w:val="20"/>
              </w:rPr>
              <w:t> </w:t>
            </w:r>
            <w:r>
              <w:rPr>
                <w:spacing w:val="-2"/>
                <w:sz w:val="20"/>
              </w:rPr>
              <w:t>J44.0,</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43"/>
              <w:rPr>
                <w:sz w:val="20"/>
              </w:rPr>
            </w:pPr>
            <w:r>
              <w:rPr>
                <w:sz w:val="20"/>
              </w:rPr>
              <w:t>J44.1,</w:t>
            </w:r>
            <w:r>
              <w:rPr>
                <w:spacing w:val="-6"/>
                <w:sz w:val="20"/>
              </w:rPr>
              <w:t> </w:t>
            </w:r>
            <w:r>
              <w:rPr>
                <w:sz w:val="20"/>
              </w:rPr>
              <w:t>J44.8,</w:t>
            </w:r>
            <w:r>
              <w:rPr>
                <w:spacing w:val="-6"/>
                <w:sz w:val="20"/>
              </w:rPr>
              <w:t> </w:t>
            </w:r>
            <w:r>
              <w:rPr>
                <w:sz w:val="20"/>
              </w:rPr>
              <w:t>J44.9,</w:t>
            </w:r>
            <w:r>
              <w:rPr>
                <w:spacing w:val="-5"/>
                <w:sz w:val="20"/>
              </w:rPr>
              <w:t> </w:t>
            </w:r>
            <w:r>
              <w:rPr>
                <w:sz w:val="20"/>
              </w:rPr>
              <w:t>J45,</w:t>
            </w:r>
            <w:r>
              <w:rPr>
                <w:spacing w:val="-4"/>
                <w:sz w:val="20"/>
              </w:rPr>
              <w:t> </w:t>
            </w:r>
            <w:r>
              <w:rPr>
                <w:sz w:val="20"/>
              </w:rPr>
              <w:t>J45.0,</w:t>
            </w:r>
            <w:r>
              <w:rPr>
                <w:spacing w:val="-5"/>
                <w:sz w:val="20"/>
              </w:rPr>
              <w:t> </w:t>
            </w:r>
            <w:r>
              <w:rPr>
                <w:sz w:val="20"/>
              </w:rPr>
              <w:t>J45.1,</w:t>
            </w:r>
            <w:r>
              <w:rPr>
                <w:spacing w:val="-6"/>
                <w:sz w:val="20"/>
              </w:rPr>
              <w:t> </w:t>
            </w:r>
            <w:r>
              <w:rPr>
                <w:sz w:val="20"/>
              </w:rPr>
              <w:t>J45.8,</w:t>
            </w:r>
            <w:r>
              <w:rPr>
                <w:spacing w:val="-5"/>
                <w:sz w:val="20"/>
              </w:rPr>
              <w:t> </w:t>
            </w:r>
            <w:r>
              <w:rPr>
                <w:spacing w:val="-2"/>
                <w:sz w:val="20"/>
              </w:rPr>
              <w:t>J45.9,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09" w:lineRule="exact"/>
              <w:ind w:left="282"/>
              <w:rPr>
                <w:sz w:val="20"/>
              </w:rPr>
            </w:pPr>
            <w:r>
              <w:rPr>
                <w:sz w:val="20"/>
              </w:rPr>
              <w:t>J46,</w:t>
            </w:r>
            <w:r>
              <w:rPr>
                <w:spacing w:val="-7"/>
                <w:sz w:val="20"/>
              </w:rPr>
              <w:t> </w:t>
            </w:r>
            <w:r>
              <w:rPr>
                <w:sz w:val="20"/>
              </w:rPr>
              <w:t>M15,</w:t>
            </w:r>
            <w:r>
              <w:rPr>
                <w:spacing w:val="-4"/>
                <w:sz w:val="20"/>
              </w:rPr>
              <w:t> </w:t>
            </w:r>
            <w:r>
              <w:rPr>
                <w:sz w:val="20"/>
              </w:rPr>
              <w:t>M15.0,</w:t>
            </w:r>
            <w:r>
              <w:rPr>
                <w:spacing w:val="-4"/>
                <w:sz w:val="20"/>
              </w:rPr>
              <w:t> </w:t>
            </w:r>
            <w:r>
              <w:rPr>
                <w:sz w:val="20"/>
              </w:rPr>
              <w:t>M15.1,</w:t>
            </w:r>
            <w:r>
              <w:rPr>
                <w:spacing w:val="-5"/>
                <w:sz w:val="20"/>
              </w:rPr>
              <w:t> </w:t>
            </w:r>
            <w:r>
              <w:rPr>
                <w:sz w:val="20"/>
              </w:rPr>
              <w:t>M15.2,</w:t>
            </w:r>
            <w:r>
              <w:rPr>
                <w:spacing w:val="-4"/>
                <w:sz w:val="20"/>
              </w:rPr>
              <w:t> </w:t>
            </w:r>
            <w:r>
              <w:rPr>
                <w:sz w:val="20"/>
              </w:rPr>
              <w:t>M15.3,</w:t>
            </w:r>
            <w:r>
              <w:rPr>
                <w:spacing w:val="-6"/>
                <w:sz w:val="20"/>
              </w:rPr>
              <w:t> </w:t>
            </w:r>
            <w:r>
              <w:rPr>
                <w:spacing w:val="-2"/>
                <w:sz w:val="20"/>
              </w:rPr>
              <w:t>M15.4,</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471"/>
              <w:rPr>
                <w:sz w:val="20"/>
              </w:rPr>
            </w:pPr>
            <w:r>
              <w:rPr>
                <w:sz w:val="20"/>
              </w:rPr>
              <w:t>M15.8,</w:t>
            </w:r>
            <w:r>
              <w:rPr>
                <w:spacing w:val="-5"/>
                <w:sz w:val="20"/>
              </w:rPr>
              <w:t> </w:t>
            </w:r>
            <w:r>
              <w:rPr>
                <w:sz w:val="20"/>
              </w:rPr>
              <w:t>M15.9,</w:t>
            </w:r>
            <w:r>
              <w:rPr>
                <w:spacing w:val="-2"/>
                <w:sz w:val="20"/>
              </w:rPr>
              <w:t> </w:t>
            </w:r>
            <w:r>
              <w:rPr>
                <w:sz w:val="20"/>
              </w:rPr>
              <w:t>M16,</w:t>
            </w:r>
            <w:r>
              <w:rPr>
                <w:spacing w:val="-6"/>
                <w:sz w:val="20"/>
              </w:rPr>
              <w:t> </w:t>
            </w:r>
            <w:r>
              <w:rPr>
                <w:sz w:val="20"/>
              </w:rPr>
              <w:t>M16.0,</w:t>
            </w:r>
            <w:r>
              <w:rPr>
                <w:spacing w:val="-6"/>
                <w:sz w:val="20"/>
              </w:rPr>
              <w:t> </w:t>
            </w:r>
            <w:r>
              <w:rPr>
                <w:sz w:val="20"/>
              </w:rPr>
              <w:t>M16.1,</w:t>
            </w:r>
            <w:r>
              <w:rPr>
                <w:spacing w:val="-4"/>
                <w:sz w:val="20"/>
              </w:rPr>
              <w:t> </w:t>
            </w:r>
            <w:r>
              <w:rPr>
                <w:spacing w:val="-2"/>
                <w:sz w:val="20"/>
              </w:rPr>
              <w:t>M16.2,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395"/>
              <w:rPr>
                <w:sz w:val="20"/>
              </w:rPr>
            </w:pPr>
            <w:r>
              <w:rPr>
                <w:sz w:val="20"/>
              </w:rPr>
              <w:t>M16.3,</w:t>
            </w:r>
            <w:r>
              <w:rPr>
                <w:spacing w:val="-6"/>
                <w:sz w:val="20"/>
              </w:rPr>
              <w:t> </w:t>
            </w:r>
            <w:r>
              <w:rPr>
                <w:sz w:val="20"/>
              </w:rPr>
              <w:t>M16.4,</w:t>
            </w:r>
            <w:r>
              <w:rPr>
                <w:spacing w:val="-6"/>
                <w:sz w:val="20"/>
              </w:rPr>
              <w:t> </w:t>
            </w:r>
            <w:r>
              <w:rPr>
                <w:sz w:val="20"/>
              </w:rPr>
              <w:t>M16.5,</w:t>
            </w:r>
            <w:r>
              <w:rPr>
                <w:spacing w:val="-6"/>
                <w:sz w:val="20"/>
              </w:rPr>
              <w:t> </w:t>
            </w:r>
            <w:r>
              <w:rPr>
                <w:sz w:val="20"/>
              </w:rPr>
              <w:t>M16.6,</w:t>
            </w:r>
            <w:r>
              <w:rPr>
                <w:spacing w:val="-6"/>
                <w:sz w:val="20"/>
              </w:rPr>
              <w:t> </w:t>
            </w:r>
            <w:r>
              <w:rPr>
                <w:sz w:val="20"/>
              </w:rPr>
              <w:t>M16.7,</w:t>
            </w:r>
            <w:r>
              <w:rPr>
                <w:spacing w:val="-5"/>
                <w:sz w:val="20"/>
              </w:rPr>
              <w:t> </w:t>
            </w:r>
            <w:r>
              <w:rPr>
                <w:spacing w:val="-2"/>
                <w:sz w:val="20"/>
              </w:rPr>
              <w:t>M16.9,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471"/>
              <w:rPr>
                <w:sz w:val="20"/>
              </w:rPr>
            </w:pPr>
            <w:r>
              <w:rPr>
                <w:sz w:val="20"/>
              </w:rPr>
              <w:t>M17,</w:t>
            </w:r>
            <w:r>
              <w:rPr>
                <w:spacing w:val="-5"/>
                <w:sz w:val="20"/>
              </w:rPr>
              <w:t> </w:t>
            </w:r>
            <w:r>
              <w:rPr>
                <w:sz w:val="20"/>
              </w:rPr>
              <w:t>M17.0,</w:t>
            </w:r>
            <w:r>
              <w:rPr>
                <w:spacing w:val="-4"/>
                <w:sz w:val="20"/>
              </w:rPr>
              <w:t> </w:t>
            </w:r>
            <w:r>
              <w:rPr>
                <w:sz w:val="20"/>
              </w:rPr>
              <w:t>M17.1,</w:t>
            </w:r>
            <w:r>
              <w:rPr>
                <w:spacing w:val="-6"/>
                <w:sz w:val="20"/>
              </w:rPr>
              <w:t> </w:t>
            </w:r>
            <w:r>
              <w:rPr>
                <w:sz w:val="20"/>
              </w:rPr>
              <w:t>M17.2,</w:t>
            </w:r>
            <w:r>
              <w:rPr>
                <w:spacing w:val="-6"/>
                <w:sz w:val="20"/>
              </w:rPr>
              <w:t> </w:t>
            </w:r>
            <w:r>
              <w:rPr>
                <w:sz w:val="20"/>
              </w:rPr>
              <w:t>M17.3,</w:t>
            </w:r>
            <w:r>
              <w:rPr>
                <w:spacing w:val="-4"/>
                <w:sz w:val="20"/>
              </w:rPr>
              <w:t> </w:t>
            </w:r>
            <w:r>
              <w:rPr>
                <w:spacing w:val="-2"/>
                <w:sz w:val="20"/>
              </w:rPr>
              <w:t>M17.4,</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471"/>
              <w:rPr>
                <w:sz w:val="20"/>
              </w:rPr>
            </w:pPr>
            <w:r>
              <w:rPr>
                <w:sz w:val="20"/>
              </w:rPr>
              <w:t>M17.5,</w:t>
            </w:r>
            <w:r>
              <w:rPr>
                <w:spacing w:val="-5"/>
                <w:sz w:val="20"/>
              </w:rPr>
              <w:t> </w:t>
            </w:r>
            <w:r>
              <w:rPr>
                <w:sz w:val="20"/>
              </w:rPr>
              <w:t>M17.9,</w:t>
            </w:r>
            <w:r>
              <w:rPr>
                <w:spacing w:val="-4"/>
                <w:sz w:val="20"/>
              </w:rPr>
              <w:t> </w:t>
            </w:r>
            <w:r>
              <w:rPr>
                <w:sz w:val="20"/>
              </w:rPr>
              <w:t>M19,</w:t>
            </w:r>
            <w:r>
              <w:rPr>
                <w:spacing w:val="-6"/>
                <w:sz w:val="20"/>
              </w:rPr>
              <w:t> </w:t>
            </w:r>
            <w:r>
              <w:rPr>
                <w:sz w:val="20"/>
              </w:rPr>
              <w:t>M19.0,</w:t>
            </w:r>
            <w:r>
              <w:rPr>
                <w:spacing w:val="-6"/>
                <w:sz w:val="20"/>
              </w:rPr>
              <w:t> </w:t>
            </w:r>
            <w:r>
              <w:rPr>
                <w:sz w:val="20"/>
              </w:rPr>
              <w:t>M19.1,</w:t>
            </w:r>
            <w:r>
              <w:rPr>
                <w:spacing w:val="-4"/>
                <w:sz w:val="20"/>
              </w:rPr>
              <w:t> </w:t>
            </w:r>
            <w:r>
              <w:rPr>
                <w:spacing w:val="-2"/>
                <w:sz w:val="20"/>
              </w:rPr>
              <w:t>M19.2,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26" w:lineRule="exact"/>
              <w:ind w:left="267"/>
              <w:rPr>
                <w:sz w:val="20"/>
              </w:rPr>
            </w:pPr>
            <w:r>
              <w:rPr>
                <w:sz w:val="20"/>
              </w:rPr>
              <w:t>M19.8,</w:t>
            </w:r>
            <w:r>
              <w:rPr>
                <w:spacing w:val="-6"/>
                <w:sz w:val="20"/>
              </w:rPr>
              <w:t> </w:t>
            </w:r>
            <w:r>
              <w:rPr>
                <w:sz w:val="20"/>
              </w:rPr>
              <w:t>M19.9,</w:t>
            </w:r>
            <w:r>
              <w:rPr>
                <w:spacing w:val="-5"/>
                <w:sz w:val="20"/>
              </w:rPr>
              <w:t> </w:t>
            </w:r>
            <w:r>
              <w:rPr>
                <w:sz w:val="20"/>
              </w:rPr>
              <w:t>N11,</w:t>
            </w:r>
            <w:r>
              <w:rPr>
                <w:spacing w:val="-7"/>
                <w:sz w:val="20"/>
              </w:rPr>
              <w:t> </w:t>
            </w:r>
            <w:r>
              <w:rPr>
                <w:sz w:val="20"/>
              </w:rPr>
              <w:t>N11.0,</w:t>
            </w:r>
            <w:r>
              <w:rPr>
                <w:spacing w:val="-5"/>
                <w:sz w:val="20"/>
              </w:rPr>
              <w:t> </w:t>
            </w:r>
            <w:r>
              <w:rPr>
                <w:sz w:val="20"/>
              </w:rPr>
              <w:t>N11.1,</w:t>
            </w:r>
            <w:r>
              <w:rPr>
                <w:spacing w:val="-5"/>
                <w:sz w:val="20"/>
              </w:rPr>
              <w:t> </w:t>
            </w:r>
            <w:r>
              <w:rPr>
                <w:sz w:val="20"/>
              </w:rPr>
              <w:t>N11.8,</w:t>
            </w:r>
            <w:r>
              <w:rPr>
                <w:spacing w:val="-5"/>
                <w:sz w:val="20"/>
              </w:rPr>
              <w:t> </w:t>
            </w:r>
            <w:r>
              <w:rPr>
                <w:spacing w:val="-4"/>
                <w:sz w:val="20"/>
              </w:rPr>
              <w:t>N11.9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330" w:hRule="atLeast"/>
        </w:trPr>
        <w:tc>
          <w:tcPr>
            <w:tcW w:w="1028" w:type="dxa"/>
          </w:tcPr>
          <w:p>
            <w:pPr>
              <w:pStyle w:val="TableParagraph"/>
              <w:rPr>
                <w:sz w:val="18"/>
              </w:rPr>
            </w:pPr>
          </w:p>
        </w:tc>
        <w:tc>
          <w:tcPr>
            <w:tcW w:w="594" w:type="dxa"/>
          </w:tcPr>
          <w:p>
            <w:pPr>
              <w:pStyle w:val="TableParagraph"/>
              <w:rPr>
                <w:sz w:val="18"/>
              </w:rPr>
            </w:pPr>
          </w:p>
        </w:tc>
        <w:tc>
          <w:tcPr>
            <w:tcW w:w="2517" w:type="dxa"/>
          </w:tcPr>
          <w:p>
            <w:pPr>
              <w:pStyle w:val="TableParagraph"/>
              <w:rPr>
                <w:sz w:val="18"/>
              </w:rPr>
            </w:pPr>
          </w:p>
        </w:tc>
        <w:tc>
          <w:tcPr>
            <w:tcW w:w="5569" w:type="dxa"/>
          </w:tcPr>
          <w:p>
            <w:pPr>
              <w:pStyle w:val="TableParagraph"/>
              <w:spacing w:before="45"/>
              <w:ind w:left="2343"/>
              <w:rPr>
                <w:sz w:val="20"/>
              </w:rPr>
            </w:pPr>
            <w:r>
              <w:rPr>
                <w:sz w:val="20"/>
              </w:rPr>
              <w:t>В</w:t>
            </w:r>
            <w:r>
              <w:rPr>
                <w:spacing w:val="-7"/>
                <w:sz w:val="20"/>
              </w:rPr>
              <w:t> </w:t>
            </w:r>
            <w:r>
              <w:rPr>
                <w:sz w:val="20"/>
              </w:rPr>
              <w:t>условиях</w:t>
            </w:r>
            <w:r>
              <w:rPr>
                <w:spacing w:val="-6"/>
                <w:sz w:val="20"/>
              </w:rPr>
              <w:t> </w:t>
            </w:r>
            <w:r>
              <w:rPr>
                <w:sz w:val="20"/>
              </w:rPr>
              <w:t>дневного</w:t>
            </w:r>
            <w:r>
              <w:rPr>
                <w:spacing w:val="-6"/>
                <w:sz w:val="20"/>
              </w:rPr>
              <w:t> </w:t>
            </w:r>
            <w:r>
              <w:rPr>
                <w:spacing w:val="-2"/>
                <w:sz w:val="20"/>
              </w:rPr>
              <w:t>стационара</w:t>
            </w:r>
          </w:p>
        </w:tc>
        <w:tc>
          <w:tcPr>
            <w:tcW w:w="1997" w:type="dxa"/>
          </w:tcPr>
          <w:p>
            <w:pPr>
              <w:pStyle w:val="TableParagraph"/>
              <w:rPr>
                <w:sz w:val="18"/>
              </w:rPr>
            </w:pPr>
          </w:p>
        </w:tc>
        <w:tc>
          <w:tcPr>
            <w:tcW w:w="2325" w:type="dxa"/>
          </w:tcPr>
          <w:p>
            <w:pPr>
              <w:pStyle w:val="TableParagraph"/>
              <w:rPr>
                <w:sz w:val="18"/>
              </w:rPr>
            </w:pPr>
          </w:p>
        </w:tc>
        <w:tc>
          <w:tcPr>
            <w:tcW w:w="1260" w:type="dxa"/>
          </w:tcPr>
          <w:p>
            <w:pPr>
              <w:pStyle w:val="TableParagraph"/>
              <w:rPr>
                <w:sz w:val="18"/>
              </w:rPr>
            </w:pPr>
          </w:p>
        </w:tc>
      </w:tr>
      <w:tr>
        <w:trPr>
          <w:trHeight w:val="330" w:hRule="atLeast"/>
        </w:trPr>
        <w:tc>
          <w:tcPr>
            <w:tcW w:w="1028" w:type="dxa"/>
          </w:tcPr>
          <w:p>
            <w:pPr>
              <w:pStyle w:val="TableParagraph"/>
              <w:spacing w:before="46"/>
              <w:ind w:left="39" w:right="236"/>
              <w:jc w:val="center"/>
              <w:rPr>
                <w:sz w:val="20"/>
              </w:rPr>
            </w:pPr>
            <w:r>
              <w:rPr>
                <w:spacing w:val="-4"/>
                <w:sz w:val="20"/>
              </w:rPr>
              <w:t>ds01</w:t>
            </w:r>
          </w:p>
        </w:tc>
        <w:tc>
          <w:tcPr>
            <w:tcW w:w="594" w:type="dxa"/>
          </w:tcPr>
          <w:p>
            <w:pPr>
              <w:pStyle w:val="TableParagraph"/>
              <w:spacing w:before="46"/>
              <w:ind w:right="241"/>
              <w:jc w:val="right"/>
              <w:rPr>
                <w:sz w:val="20"/>
              </w:rPr>
            </w:pPr>
            <w:r>
              <w:rPr>
                <w:w w:val="99"/>
                <w:sz w:val="20"/>
              </w:rPr>
              <w:t>1</w:t>
            </w:r>
          </w:p>
        </w:tc>
        <w:tc>
          <w:tcPr>
            <w:tcW w:w="2517" w:type="dxa"/>
          </w:tcPr>
          <w:p>
            <w:pPr>
              <w:pStyle w:val="TableParagraph"/>
              <w:rPr>
                <w:sz w:val="18"/>
              </w:rPr>
            </w:pPr>
          </w:p>
        </w:tc>
        <w:tc>
          <w:tcPr>
            <w:tcW w:w="5569" w:type="dxa"/>
          </w:tcPr>
          <w:p>
            <w:pPr>
              <w:pStyle w:val="TableParagraph"/>
              <w:spacing w:before="46"/>
              <w:ind w:left="3131"/>
              <w:rPr>
                <w:sz w:val="20"/>
              </w:rPr>
            </w:pPr>
            <w:r>
              <w:rPr>
                <w:sz w:val="20"/>
              </w:rPr>
              <w:t>Акушерское</w:t>
            </w:r>
            <w:r>
              <w:rPr>
                <w:spacing w:val="-12"/>
                <w:sz w:val="20"/>
              </w:rPr>
              <w:t> </w:t>
            </w:r>
            <w:r>
              <w:rPr>
                <w:spacing w:val="-4"/>
                <w:sz w:val="20"/>
              </w:rPr>
              <w:t>дело</w:t>
            </w:r>
          </w:p>
        </w:tc>
        <w:tc>
          <w:tcPr>
            <w:tcW w:w="1997" w:type="dxa"/>
          </w:tcPr>
          <w:p>
            <w:pPr>
              <w:pStyle w:val="TableParagraph"/>
              <w:rPr>
                <w:sz w:val="18"/>
              </w:rPr>
            </w:pPr>
          </w:p>
        </w:tc>
        <w:tc>
          <w:tcPr>
            <w:tcW w:w="2325" w:type="dxa"/>
          </w:tcPr>
          <w:p>
            <w:pPr>
              <w:pStyle w:val="TableParagraph"/>
              <w:rPr>
                <w:sz w:val="18"/>
              </w:rPr>
            </w:pPr>
          </w:p>
        </w:tc>
        <w:tc>
          <w:tcPr>
            <w:tcW w:w="1260" w:type="dxa"/>
          </w:tcPr>
          <w:p>
            <w:pPr>
              <w:pStyle w:val="TableParagraph"/>
              <w:spacing w:before="46"/>
              <w:ind w:right="43"/>
              <w:jc w:val="right"/>
              <w:rPr>
                <w:sz w:val="20"/>
              </w:rPr>
            </w:pPr>
            <w:r>
              <w:rPr>
                <w:spacing w:val="-4"/>
                <w:sz w:val="20"/>
              </w:rPr>
              <w:t>0,50</w:t>
            </w:r>
          </w:p>
        </w:tc>
      </w:tr>
      <w:tr>
        <w:trPr>
          <w:trHeight w:val="330" w:hRule="atLeast"/>
        </w:trPr>
        <w:tc>
          <w:tcPr>
            <w:tcW w:w="1028" w:type="dxa"/>
          </w:tcPr>
          <w:p>
            <w:pPr>
              <w:pStyle w:val="TableParagraph"/>
              <w:spacing w:before="45"/>
              <w:ind w:left="39" w:right="236"/>
              <w:jc w:val="center"/>
              <w:rPr>
                <w:sz w:val="20"/>
              </w:rPr>
            </w:pPr>
            <w:r>
              <w:rPr>
                <w:spacing w:val="-4"/>
                <w:sz w:val="20"/>
              </w:rPr>
              <w:t>ds02</w:t>
            </w:r>
          </w:p>
        </w:tc>
        <w:tc>
          <w:tcPr>
            <w:tcW w:w="594" w:type="dxa"/>
          </w:tcPr>
          <w:p>
            <w:pPr>
              <w:pStyle w:val="TableParagraph"/>
              <w:spacing w:before="45"/>
              <w:ind w:right="241"/>
              <w:jc w:val="right"/>
              <w:rPr>
                <w:sz w:val="20"/>
              </w:rPr>
            </w:pPr>
            <w:r>
              <w:rPr>
                <w:w w:val="99"/>
                <w:sz w:val="20"/>
              </w:rPr>
              <w:t>2</w:t>
            </w:r>
          </w:p>
        </w:tc>
        <w:tc>
          <w:tcPr>
            <w:tcW w:w="2517" w:type="dxa"/>
          </w:tcPr>
          <w:p>
            <w:pPr>
              <w:pStyle w:val="TableParagraph"/>
              <w:rPr>
                <w:sz w:val="18"/>
              </w:rPr>
            </w:pPr>
          </w:p>
        </w:tc>
        <w:tc>
          <w:tcPr>
            <w:tcW w:w="5569" w:type="dxa"/>
          </w:tcPr>
          <w:p>
            <w:pPr>
              <w:pStyle w:val="TableParagraph"/>
              <w:spacing w:before="45"/>
              <w:ind w:left="2718"/>
              <w:rPr>
                <w:sz w:val="20"/>
              </w:rPr>
            </w:pPr>
            <w:r>
              <w:rPr>
                <w:sz w:val="20"/>
              </w:rPr>
              <w:t>Акушерство</w:t>
            </w:r>
            <w:r>
              <w:rPr>
                <w:spacing w:val="-6"/>
                <w:sz w:val="20"/>
              </w:rPr>
              <w:t> </w:t>
            </w:r>
            <w:r>
              <w:rPr>
                <w:sz w:val="20"/>
              </w:rPr>
              <w:t>и</w:t>
            </w:r>
            <w:r>
              <w:rPr>
                <w:spacing w:val="-8"/>
                <w:sz w:val="20"/>
              </w:rPr>
              <w:t> </w:t>
            </w:r>
            <w:r>
              <w:rPr>
                <w:spacing w:val="-2"/>
                <w:sz w:val="20"/>
              </w:rPr>
              <w:t>гинекология</w:t>
            </w:r>
          </w:p>
        </w:tc>
        <w:tc>
          <w:tcPr>
            <w:tcW w:w="1997" w:type="dxa"/>
          </w:tcPr>
          <w:p>
            <w:pPr>
              <w:pStyle w:val="TableParagraph"/>
              <w:rPr>
                <w:sz w:val="18"/>
              </w:rPr>
            </w:pPr>
          </w:p>
        </w:tc>
        <w:tc>
          <w:tcPr>
            <w:tcW w:w="2325" w:type="dxa"/>
          </w:tcPr>
          <w:p>
            <w:pPr>
              <w:pStyle w:val="TableParagraph"/>
              <w:rPr>
                <w:sz w:val="18"/>
              </w:rPr>
            </w:pPr>
          </w:p>
        </w:tc>
        <w:tc>
          <w:tcPr>
            <w:tcW w:w="1260" w:type="dxa"/>
          </w:tcPr>
          <w:p>
            <w:pPr>
              <w:pStyle w:val="TableParagraph"/>
              <w:spacing w:before="45"/>
              <w:ind w:right="43"/>
              <w:jc w:val="right"/>
              <w:rPr>
                <w:sz w:val="20"/>
              </w:rPr>
            </w:pPr>
            <w:r>
              <w:rPr>
                <w:spacing w:val="-4"/>
                <w:sz w:val="20"/>
              </w:rPr>
              <w:t>0,80</w:t>
            </w:r>
          </w:p>
        </w:tc>
      </w:tr>
      <w:tr>
        <w:trPr>
          <w:trHeight w:val="279" w:hRule="atLeast"/>
        </w:trPr>
        <w:tc>
          <w:tcPr>
            <w:tcW w:w="1028" w:type="dxa"/>
          </w:tcPr>
          <w:p>
            <w:pPr>
              <w:pStyle w:val="TableParagraph"/>
              <w:spacing w:line="214" w:lineRule="exact" w:before="46"/>
              <w:ind w:left="39" w:right="237"/>
              <w:jc w:val="center"/>
              <w:rPr>
                <w:sz w:val="20"/>
              </w:rPr>
            </w:pPr>
            <w:r>
              <w:rPr>
                <w:spacing w:val="-2"/>
                <w:sz w:val="20"/>
              </w:rPr>
              <w:t>ds02.001</w:t>
            </w:r>
          </w:p>
        </w:tc>
        <w:tc>
          <w:tcPr>
            <w:tcW w:w="594" w:type="dxa"/>
          </w:tcPr>
          <w:p>
            <w:pPr>
              <w:pStyle w:val="TableParagraph"/>
              <w:spacing w:line="214" w:lineRule="exact" w:before="46"/>
              <w:ind w:right="241"/>
              <w:jc w:val="right"/>
              <w:rPr>
                <w:sz w:val="20"/>
              </w:rPr>
            </w:pPr>
            <w:r>
              <w:rPr>
                <w:w w:val="99"/>
                <w:sz w:val="20"/>
              </w:rPr>
              <w:t>1</w:t>
            </w:r>
          </w:p>
        </w:tc>
        <w:tc>
          <w:tcPr>
            <w:tcW w:w="2517" w:type="dxa"/>
          </w:tcPr>
          <w:p>
            <w:pPr>
              <w:pStyle w:val="TableParagraph"/>
              <w:spacing w:line="214" w:lineRule="exact" w:before="46"/>
              <w:ind w:left="245"/>
              <w:rPr>
                <w:sz w:val="20"/>
              </w:rPr>
            </w:pPr>
            <w:r>
              <w:rPr>
                <w:spacing w:val="-2"/>
                <w:sz w:val="20"/>
              </w:rPr>
              <w:t>Осложнения</w:t>
            </w:r>
          </w:p>
        </w:tc>
        <w:tc>
          <w:tcPr>
            <w:tcW w:w="5569" w:type="dxa"/>
          </w:tcPr>
          <w:p>
            <w:pPr>
              <w:pStyle w:val="TableParagraph"/>
              <w:spacing w:line="214" w:lineRule="exact" w:before="46"/>
              <w:ind w:left="349"/>
              <w:rPr>
                <w:sz w:val="20"/>
              </w:rPr>
            </w:pPr>
            <w:r>
              <w:rPr>
                <w:sz w:val="20"/>
              </w:rPr>
              <w:t>A34,</w:t>
            </w:r>
            <w:r>
              <w:rPr>
                <w:spacing w:val="-5"/>
                <w:sz w:val="20"/>
              </w:rPr>
              <w:t> </w:t>
            </w:r>
            <w:r>
              <w:rPr>
                <w:sz w:val="20"/>
              </w:rPr>
              <w:t>O00,</w:t>
            </w:r>
            <w:r>
              <w:rPr>
                <w:spacing w:val="-5"/>
                <w:sz w:val="20"/>
              </w:rPr>
              <w:t> </w:t>
            </w:r>
            <w:r>
              <w:rPr>
                <w:sz w:val="20"/>
              </w:rPr>
              <w:t>O00.0,</w:t>
            </w:r>
            <w:r>
              <w:rPr>
                <w:spacing w:val="-5"/>
                <w:sz w:val="20"/>
              </w:rPr>
              <w:t> </w:t>
            </w:r>
            <w:r>
              <w:rPr>
                <w:sz w:val="20"/>
              </w:rPr>
              <w:t>O00.1,</w:t>
            </w:r>
            <w:r>
              <w:rPr>
                <w:spacing w:val="-5"/>
                <w:sz w:val="20"/>
              </w:rPr>
              <w:t> </w:t>
            </w:r>
            <w:r>
              <w:rPr>
                <w:sz w:val="20"/>
              </w:rPr>
              <w:t>O00.2,</w:t>
            </w:r>
            <w:r>
              <w:rPr>
                <w:spacing w:val="-4"/>
                <w:sz w:val="20"/>
              </w:rPr>
              <w:t> </w:t>
            </w:r>
            <w:r>
              <w:rPr>
                <w:sz w:val="20"/>
              </w:rPr>
              <w:t>O00.8,</w:t>
            </w:r>
            <w:r>
              <w:rPr>
                <w:spacing w:val="-5"/>
                <w:sz w:val="20"/>
              </w:rPr>
              <w:t> </w:t>
            </w:r>
            <w:r>
              <w:rPr>
                <w:spacing w:val="-2"/>
                <w:sz w:val="20"/>
              </w:rPr>
              <w:t>O00.9,</w:t>
            </w:r>
          </w:p>
        </w:tc>
        <w:tc>
          <w:tcPr>
            <w:tcW w:w="1997" w:type="dxa"/>
          </w:tcPr>
          <w:p>
            <w:pPr>
              <w:pStyle w:val="TableParagraph"/>
              <w:spacing w:line="214" w:lineRule="exact" w:before="46"/>
              <w:ind w:left="533"/>
              <w:rPr>
                <w:sz w:val="20"/>
              </w:rPr>
            </w:pPr>
            <w:r>
              <w:rPr>
                <w:w w:val="99"/>
                <w:sz w:val="20"/>
              </w:rPr>
              <w:t>-</w:t>
            </w:r>
          </w:p>
        </w:tc>
        <w:tc>
          <w:tcPr>
            <w:tcW w:w="2325" w:type="dxa"/>
          </w:tcPr>
          <w:p>
            <w:pPr>
              <w:pStyle w:val="TableParagraph"/>
              <w:spacing w:line="214" w:lineRule="exact" w:before="46"/>
              <w:ind w:left="547"/>
              <w:jc w:val="center"/>
              <w:rPr>
                <w:sz w:val="20"/>
              </w:rPr>
            </w:pPr>
            <w:r>
              <w:rPr>
                <w:w w:val="99"/>
                <w:sz w:val="20"/>
              </w:rPr>
              <w:t>-</w:t>
            </w:r>
          </w:p>
        </w:tc>
        <w:tc>
          <w:tcPr>
            <w:tcW w:w="1260" w:type="dxa"/>
          </w:tcPr>
          <w:p>
            <w:pPr>
              <w:pStyle w:val="TableParagraph"/>
              <w:spacing w:line="214" w:lineRule="exact" w:before="46"/>
              <w:ind w:right="43"/>
              <w:jc w:val="right"/>
              <w:rPr>
                <w:sz w:val="20"/>
              </w:rPr>
            </w:pPr>
            <w:r>
              <w:rPr>
                <w:spacing w:val="-4"/>
                <w:sz w:val="20"/>
              </w:rPr>
              <w:t>0,83</w:t>
            </w: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spacing w:line="209" w:lineRule="exact"/>
              <w:ind w:left="245"/>
              <w:rPr>
                <w:sz w:val="20"/>
              </w:rPr>
            </w:pPr>
            <w:r>
              <w:rPr>
                <w:spacing w:val="-2"/>
                <w:sz w:val="20"/>
              </w:rPr>
              <w:t>беременности,</w:t>
            </w:r>
            <w:r>
              <w:rPr>
                <w:spacing w:val="12"/>
                <w:sz w:val="20"/>
              </w:rPr>
              <w:t> </w:t>
            </w:r>
            <w:r>
              <w:rPr>
                <w:spacing w:val="-2"/>
                <w:sz w:val="20"/>
              </w:rPr>
              <w:t>родов,</w:t>
            </w:r>
          </w:p>
        </w:tc>
        <w:tc>
          <w:tcPr>
            <w:tcW w:w="5569" w:type="dxa"/>
          </w:tcPr>
          <w:p>
            <w:pPr>
              <w:pStyle w:val="TableParagraph"/>
              <w:spacing w:line="209" w:lineRule="exact"/>
              <w:ind w:left="349"/>
              <w:rPr>
                <w:sz w:val="20"/>
              </w:rPr>
            </w:pPr>
            <w:r>
              <w:rPr>
                <w:sz w:val="20"/>
              </w:rPr>
              <w:t>O01,</w:t>
            </w:r>
            <w:r>
              <w:rPr>
                <w:spacing w:val="-5"/>
                <w:sz w:val="20"/>
              </w:rPr>
              <w:t> </w:t>
            </w:r>
            <w:r>
              <w:rPr>
                <w:sz w:val="20"/>
              </w:rPr>
              <w:t>O01.0,</w:t>
            </w:r>
            <w:r>
              <w:rPr>
                <w:spacing w:val="-5"/>
                <w:sz w:val="20"/>
              </w:rPr>
              <w:t> </w:t>
            </w:r>
            <w:r>
              <w:rPr>
                <w:sz w:val="20"/>
              </w:rPr>
              <w:t>O01.1,</w:t>
            </w:r>
            <w:r>
              <w:rPr>
                <w:spacing w:val="-5"/>
                <w:sz w:val="20"/>
              </w:rPr>
              <w:t> </w:t>
            </w:r>
            <w:r>
              <w:rPr>
                <w:sz w:val="20"/>
              </w:rPr>
              <w:t>O01.9,</w:t>
            </w:r>
            <w:r>
              <w:rPr>
                <w:spacing w:val="-5"/>
                <w:sz w:val="20"/>
              </w:rPr>
              <w:t> </w:t>
            </w:r>
            <w:r>
              <w:rPr>
                <w:sz w:val="20"/>
              </w:rPr>
              <w:t>O02,</w:t>
            </w:r>
            <w:r>
              <w:rPr>
                <w:spacing w:val="-5"/>
                <w:sz w:val="20"/>
              </w:rPr>
              <w:t> </w:t>
            </w:r>
            <w:r>
              <w:rPr>
                <w:sz w:val="20"/>
              </w:rPr>
              <w:t>O02.0,</w:t>
            </w:r>
            <w:r>
              <w:rPr>
                <w:spacing w:val="-5"/>
                <w:sz w:val="20"/>
              </w:rPr>
              <w:t> </w:t>
            </w:r>
            <w:r>
              <w:rPr>
                <w:spacing w:val="-2"/>
                <w:sz w:val="20"/>
              </w:rPr>
              <w:t>O02.1,</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spacing w:line="210" w:lineRule="exact"/>
              <w:ind w:left="245"/>
              <w:rPr>
                <w:sz w:val="20"/>
              </w:rPr>
            </w:pPr>
            <w:r>
              <w:rPr>
                <w:spacing w:val="-2"/>
                <w:sz w:val="20"/>
              </w:rPr>
              <w:t>послеродового</w:t>
            </w:r>
            <w:r>
              <w:rPr>
                <w:spacing w:val="12"/>
                <w:sz w:val="20"/>
              </w:rPr>
              <w:t> </w:t>
            </w:r>
            <w:r>
              <w:rPr>
                <w:spacing w:val="-2"/>
                <w:sz w:val="20"/>
              </w:rPr>
              <w:t>периода</w:t>
            </w:r>
          </w:p>
        </w:tc>
        <w:tc>
          <w:tcPr>
            <w:tcW w:w="5569" w:type="dxa"/>
          </w:tcPr>
          <w:p>
            <w:pPr>
              <w:pStyle w:val="TableParagraph"/>
              <w:spacing w:line="210" w:lineRule="exact"/>
              <w:ind w:left="275"/>
              <w:rPr>
                <w:sz w:val="20"/>
              </w:rPr>
            </w:pPr>
            <w:r>
              <w:rPr>
                <w:sz w:val="20"/>
              </w:rPr>
              <w:t>O02.8,</w:t>
            </w:r>
            <w:r>
              <w:rPr>
                <w:spacing w:val="-6"/>
                <w:sz w:val="20"/>
              </w:rPr>
              <w:t> </w:t>
            </w:r>
            <w:r>
              <w:rPr>
                <w:sz w:val="20"/>
              </w:rPr>
              <w:t>O02.9,</w:t>
            </w:r>
            <w:r>
              <w:rPr>
                <w:spacing w:val="-7"/>
                <w:sz w:val="20"/>
              </w:rPr>
              <w:t> </w:t>
            </w:r>
            <w:r>
              <w:rPr>
                <w:sz w:val="20"/>
              </w:rPr>
              <w:t>O03,</w:t>
            </w:r>
            <w:r>
              <w:rPr>
                <w:spacing w:val="-5"/>
                <w:sz w:val="20"/>
              </w:rPr>
              <w:t> </w:t>
            </w:r>
            <w:r>
              <w:rPr>
                <w:sz w:val="20"/>
              </w:rPr>
              <w:t>O03.0,</w:t>
            </w:r>
            <w:r>
              <w:rPr>
                <w:spacing w:val="-1"/>
                <w:sz w:val="20"/>
              </w:rPr>
              <w:t> </w:t>
            </w:r>
            <w:r>
              <w:rPr>
                <w:sz w:val="20"/>
              </w:rPr>
              <w:t>O03.1,</w:t>
            </w:r>
            <w:r>
              <w:rPr>
                <w:spacing w:val="-5"/>
                <w:sz w:val="20"/>
              </w:rPr>
              <w:t> </w:t>
            </w:r>
            <w:r>
              <w:rPr>
                <w:sz w:val="20"/>
              </w:rPr>
              <w:t>O03.2,</w:t>
            </w:r>
            <w:r>
              <w:rPr>
                <w:spacing w:val="-6"/>
                <w:sz w:val="20"/>
              </w:rPr>
              <w:t> </w:t>
            </w:r>
            <w:r>
              <w:rPr>
                <w:spacing w:val="-2"/>
                <w:sz w:val="20"/>
              </w:rPr>
              <w:t>O03.3,</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2"/>
              <w:rPr>
                <w:sz w:val="20"/>
              </w:rPr>
            </w:pPr>
            <w:r>
              <w:rPr>
                <w:sz w:val="20"/>
              </w:rPr>
              <w:t>O03.4,</w:t>
            </w:r>
            <w:r>
              <w:rPr>
                <w:spacing w:val="-5"/>
                <w:sz w:val="20"/>
              </w:rPr>
              <w:t> </w:t>
            </w:r>
            <w:r>
              <w:rPr>
                <w:sz w:val="20"/>
              </w:rPr>
              <w:t>O03.5,</w:t>
            </w:r>
            <w:r>
              <w:rPr>
                <w:spacing w:val="-5"/>
                <w:sz w:val="20"/>
              </w:rPr>
              <w:t> </w:t>
            </w:r>
            <w:r>
              <w:rPr>
                <w:sz w:val="20"/>
              </w:rPr>
              <w:t>O03.6,</w:t>
            </w:r>
            <w:r>
              <w:rPr>
                <w:spacing w:val="-4"/>
                <w:sz w:val="20"/>
              </w:rPr>
              <w:t> </w:t>
            </w:r>
            <w:r>
              <w:rPr>
                <w:sz w:val="20"/>
              </w:rPr>
              <w:t>O03.7,</w:t>
            </w:r>
            <w:r>
              <w:rPr>
                <w:spacing w:val="-6"/>
                <w:sz w:val="20"/>
              </w:rPr>
              <w:t> </w:t>
            </w:r>
            <w:r>
              <w:rPr>
                <w:sz w:val="20"/>
              </w:rPr>
              <w:t>O03.8,</w:t>
            </w:r>
            <w:r>
              <w:rPr>
                <w:spacing w:val="-4"/>
                <w:sz w:val="20"/>
              </w:rPr>
              <w:t> </w:t>
            </w:r>
            <w:r>
              <w:rPr>
                <w:sz w:val="20"/>
              </w:rPr>
              <w:t>O03.9,</w:t>
            </w:r>
            <w:r>
              <w:rPr>
                <w:spacing w:val="-6"/>
                <w:sz w:val="20"/>
              </w:rPr>
              <w:t> </w:t>
            </w:r>
            <w:r>
              <w:rPr>
                <w:spacing w:val="-4"/>
                <w:sz w:val="20"/>
              </w:rPr>
              <w:t>O04,</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496"/>
              <w:rPr>
                <w:sz w:val="20"/>
              </w:rPr>
            </w:pPr>
            <w:r>
              <w:rPr>
                <w:sz w:val="20"/>
              </w:rPr>
              <w:t>O04.0,</w:t>
            </w:r>
            <w:r>
              <w:rPr>
                <w:spacing w:val="-4"/>
                <w:sz w:val="20"/>
              </w:rPr>
              <w:t> </w:t>
            </w:r>
            <w:r>
              <w:rPr>
                <w:sz w:val="20"/>
              </w:rPr>
              <w:t>O04.1,</w:t>
            </w:r>
            <w:r>
              <w:rPr>
                <w:spacing w:val="-6"/>
                <w:sz w:val="20"/>
              </w:rPr>
              <w:t> </w:t>
            </w:r>
            <w:r>
              <w:rPr>
                <w:sz w:val="20"/>
              </w:rPr>
              <w:t>O04.2,</w:t>
            </w:r>
            <w:r>
              <w:rPr>
                <w:spacing w:val="-4"/>
                <w:sz w:val="20"/>
              </w:rPr>
              <w:t> </w:t>
            </w:r>
            <w:r>
              <w:rPr>
                <w:sz w:val="20"/>
              </w:rPr>
              <w:t>O04.3,</w:t>
            </w:r>
            <w:r>
              <w:rPr>
                <w:spacing w:val="-6"/>
                <w:sz w:val="20"/>
              </w:rPr>
              <w:t> </w:t>
            </w:r>
            <w:r>
              <w:rPr>
                <w:sz w:val="20"/>
              </w:rPr>
              <w:t>O04.4,</w:t>
            </w:r>
            <w:r>
              <w:rPr>
                <w:spacing w:val="-4"/>
                <w:sz w:val="20"/>
              </w:rPr>
              <w:t> </w:t>
            </w:r>
            <w:r>
              <w:rPr>
                <w:spacing w:val="-2"/>
                <w:sz w:val="20"/>
              </w:rPr>
              <w:t>O04.5,</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275"/>
              <w:rPr>
                <w:sz w:val="20"/>
              </w:rPr>
            </w:pPr>
            <w:r>
              <w:rPr>
                <w:sz w:val="20"/>
              </w:rPr>
              <w:t>O04.6,</w:t>
            </w:r>
            <w:r>
              <w:rPr>
                <w:spacing w:val="-6"/>
                <w:sz w:val="20"/>
              </w:rPr>
              <w:t> </w:t>
            </w:r>
            <w:r>
              <w:rPr>
                <w:sz w:val="20"/>
              </w:rPr>
              <w:t>O04.7,</w:t>
            </w:r>
            <w:r>
              <w:rPr>
                <w:spacing w:val="-6"/>
                <w:sz w:val="20"/>
              </w:rPr>
              <w:t> </w:t>
            </w:r>
            <w:r>
              <w:rPr>
                <w:sz w:val="20"/>
              </w:rPr>
              <w:t>O04.8,</w:t>
            </w:r>
            <w:r>
              <w:rPr>
                <w:spacing w:val="-5"/>
                <w:sz w:val="20"/>
              </w:rPr>
              <w:t> </w:t>
            </w:r>
            <w:r>
              <w:rPr>
                <w:sz w:val="20"/>
              </w:rPr>
              <w:t>O05,</w:t>
            </w:r>
            <w:r>
              <w:rPr>
                <w:spacing w:val="-6"/>
                <w:sz w:val="20"/>
              </w:rPr>
              <w:t> </w:t>
            </w:r>
            <w:r>
              <w:rPr>
                <w:sz w:val="20"/>
              </w:rPr>
              <w:t>O05.0,</w:t>
            </w:r>
            <w:r>
              <w:rPr>
                <w:spacing w:val="-5"/>
                <w:sz w:val="20"/>
              </w:rPr>
              <w:t> </w:t>
            </w:r>
            <w:r>
              <w:rPr>
                <w:sz w:val="20"/>
              </w:rPr>
              <w:t>O05.1,</w:t>
            </w:r>
            <w:r>
              <w:rPr>
                <w:spacing w:val="-5"/>
                <w:sz w:val="20"/>
              </w:rPr>
              <w:t> </w:t>
            </w:r>
            <w:r>
              <w:rPr>
                <w:spacing w:val="-2"/>
                <w:sz w:val="20"/>
              </w:rPr>
              <w:t>O05.2,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496"/>
              <w:rPr>
                <w:sz w:val="20"/>
              </w:rPr>
            </w:pPr>
            <w:r>
              <w:rPr>
                <w:sz w:val="20"/>
              </w:rPr>
              <w:t>O05.3,</w:t>
            </w:r>
            <w:r>
              <w:rPr>
                <w:spacing w:val="-4"/>
                <w:sz w:val="20"/>
              </w:rPr>
              <w:t> </w:t>
            </w:r>
            <w:r>
              <w:rPr>
                <w:sz w:val="20"/>
              </w:rPr>
              <w:t>O05.4,</w:t>
            </w:r>
            <w:r>
              <w:rPr>
                <w:spacing w:val="-6"/>
                <w:sz w:val="20"/>
              </w:rPr>
              <w:t> </w:t>
            </w:r>
            <w:r>
              <w:rPr>
                <w:sz w:val="20"/>
              </w:rPr>
              <w:t>O05.5,</w:t>
            </w:r>
            <w:r>
              <w:rPr>
                <w:spacing w:val="-4"/>
                <w:sz w:val="20"/>
              </w:rPr>
              <w:t> </w:t>
            </w:r>
            <w:r>
              <w:rPr>
                <w:sz w:val="20"/>
              </w:rPr>
              <w:t>O05.6,</w:t>
            </w:r>
            <w:r>
              <w:rPr>
                <w:spacing w:val="-6"/>
                <w:sz w:val="20"/>
              </w:rPr>
              <w:t> </w:t>
            </w:r>
            <w:r>
              <w:rPr>
                <w:sz w:val="20"/>
              </w:rPr>
              <w:t>O05.7,</w:t>
            </w:r>
            <w:r>
              <w:rPr>
                <w:spacing w:val="-4"/>
                <w:sz w:val="20"/>
              </w:rPr>
              <w:t> </w:t>
            </w:r>
            <w:r>
              <w:rPr>
                <w:spacing w:val="-2"/>
                <w:sz w:val="20"/>
              </w:rPr>
              <w:t>O05.8,</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5"/>
              <w:rPr>
                <w:sz w:val="20"/>
              </w:rPr>
            </w:pPr>
            <w:r>
              <w:rPr>
                <w:sz w:val="20"/>
              </w:rPr>
              <w:t>O05.9,</w:t>
            </w:r>
            <w:r>
              <w:rPr>
                <w:spacing w:val="-6"/>
                <w:sz w:val="20"/>
              </w:rPr>
              <w:t> </w:t>
            </w:r>
            <w:r>
              <w:rPr>
                <w:sz w:val="20"/>
              </w:rPr>
              <w:t>O06,</w:t>
            </w:r>
            <w:r>
              <w:rPr>
                <w:spacing w:val="-6"/>
                <w:sz w:val="20"/>
              </w:rPr>
              <w:t> </w:t>
            </w:r>
            <w:r>
              <w:rPr>
                <w:sz w:val="20"/>
              </w:rPr>
              <w:t>O06.0,</w:t>
            </w:r>
            <w:r>
              <w:rPr>
                <w:spacing w:val="-5"/>
                <w:sz w:val="20"/>
              </w:rPr>
              <w:t> </w:t>
            </w:r>
            <w:r>
              <w:rPr>
                <w:sz w:val="20"/>
              </w:rPr>
              <w:t>O06.1,</w:t>
            </w:r>
            <w:r>
              <w:rPr>
                <w:spacing w:val="-6"/>
                <w:sz w:val="20"/>
              </w:rPr>
              <w:t> </w:t>
            </w:r>
            <w:r>
              <w:rPr>
                <w:sz w:val="20"/>
              </w:rPr>
              <w:t>O06.2,</w:t>
            </w:r>
            <w:r>
              <w:rPr>
                <w:spacing w:val="-5"/>
                <w:sz w:val="20"/>
              </w:rPr>
              <w:t> </w:t>
            </w:r>
            <w:r>
              <w:rPr>
                <w:sz w:val="20"/>
              </w:rPr>
              <w:t>O06.3,</w:t>
            </w:r>
            <w:r>
              <w:rPr>
                <w:spacing w:val="-6"/>
                <w:sz w:val="20"/>
              </w:rPr>
              <w:t> </w:t>
            </w:r>
            <w:r>
              <w:rPr>
                <w:spacing w:val="-2"/>
                <w:sz w:val="20"/>
              </w:rPr>
              <w:t>O06.4,</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2"/>
              <w:rPr>
                <w:sz w:val="20"/>
              </w:rPr>
            </w:pPr>
            <w:r>
              <w:rPr>
                <w:sz w:val="20"/>
              </w:rPr>
              <w:t>O06.5,</w:t>
            </w:r>
            <w:r>
              <w:rPr>
                <w:spacing w:val="-4"/>
                <w:sz w:val="20"/>
              </w:rPr>
              <w:t> </w:t>
            </w:r>
            <w:r>
              <w:rPr>
                <w:sz w:val="20"/>
              </w:rPr>
              <w:t>O06.6,</w:t>
            </w:r>
            <w:r>
              <w:rPr>
                <w:spacing w:val="-6"/>
                <w:sz w:val="20"/>
              </w:rPr>
              <w:t> </w:t>
            </w:r>
            <w:r>
              <w:rPr>
                <w:sz w:val="20"/>
              </w:rPr>
              <w:t>O06.7,</w:t>
            </w:r>
            <w:r>
              <w:rPr>
                <w:spacing w:val="-4"/>
                <w:sz w:val="20"/>
              </w:rPr>
              <w:t> </w:t>
            </w:r>
            <w:r>
              <w:rPr>
                <w:sz w:val="20"/>
              </w:rPr>
              <w:t>O06.8,</w:t>
            </w:r>
            <w:r>
              <w:rPr>
                <w:spacing w:val="-5"/>
                <w:sz w:val="20"/>
              </w:rPr>
              <w:t> </w:t>
            </w:r>
            <w:r>
              <w:rPr>
                <w:sz w:val="20"/>
              </w:rPr>
              <w:t>O06.9,</w:t>
            </w:r>
            <w:r>
              <w:rPr>
                <w:spacing w:val="-4"/>
                <w:sz w:val="20"/>
              </w:rPr>
              <w:t> </w:t>
            </w:r>
            <w:r>
              <w:rPr>
                <w:sz w:val="20"/>
              </w:rPr>
              <w:t>O07,</w:t>
            </w:r>
            <w:r>
              <w:rPr>
                <w:spacing w:val="-4"/>
                <w:sz w:val="20"/>
              </w:rPr>
              <w:t> </w:t>
            </w:r>
            <w:r>
              <w:rPr>
                <w:spacing w:val="-2"/>
                <w:sz w:val="20"/>
              </w:rPr>
              <w:t>O07.0,</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1" w:lineRule="exact"/>
              <w:ind w:left="496"/>
              <w:rPr>
                <w:sz w:val="20"/>
              </w:rPr>
            </w:pPr>
            <w:r>
              <w:rPr>
                <w:sz w:val="20"/>
              </w:rPr>
              <w:t>O07.1,</w:t>
            </w:r>
            <w:r>
              <w:rPr>
                <w:spacing w:val="-4"/>
                <w:sz w:val="20"/>
              </w:rPr>
              <w:t> </w:t>
            </w:r>
            <w:r>
              <w:rPr>
                <w:sz w:val="20"/>
              </w:rPr>
              <w:t>O07.2,</w:t>
            </w:r>
            <w:r>
              <w:rPr>
                <w:spacing w:val="-6"/>
                <w:sz w:val="20"/>
              </w:rPr>
              <w:t> </w:t>
            </w:r>
            <w:r>
              <w:rPr>
                <w:sz w:val="20"/>
              </w:rPr>
              <w:t>O07.3,</w:t>
            </w:r>
            <w:r>
              <w:rPr>
                <w:spacing w:val="-4"/>
                <w:sz w:val="20"/>
              </w:rPr>
              <w:t> </w:t>
            </w:r>
            <w:r>
              <w:rPr>
                <w:sz w:val="20"/>
              </w:rPr>
              <w:t>O07.4,</w:t>
            </w:r>
            <w:r>
              <w:rPr>
                <w:spacing w:val="-6"/>
                <w:sz w:val="20"/>
              </w:rPr>
              <w:t> </w:t>
            </w:r>
            <w:r>
              <w:rPr>
                <w:sz w:val="20"/>
              </w:rPr>
              <w:t>O07.5,</w:t>
            </w:r>
            <w:r>
              <w:rPr>
                <w:spacing w:val="-4"/>
                <w:sz w:val="20"/>
              </w:rPr>
              <w:t> </w:t>
            </w:r>
            <w:r>
              <w:rPr>
                <w:spacing w:val="-2"/>
                <w:sz w:val="20"/>
              </w:rPr>
              <w:t>O07.6,</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1" w:lineRule="exact"/>
              <w:ind w:left="275"/>
              <w:rPr>
                <w:sz w:val="20"/>
              </w:rPr>
            </w:pPr>
            <w:r>
              <w:rPr>
                <w:sz w:val="20"/>
              </w:rPr>
              <w:t>O07.7,</w:t>
            </w:r>
            <w:r>
              <w:rPr>
                <w:spacing w:val="-6"/>
                <w:sz w:val="20"/>
              </w:rPr>
              <w:t> </w:t>
            </w:r>
            <w:r>
              <w:rPr>
                <w:sz w:val="20"/>
              </w:rPr>
              <w:t>O07.8,</w:t>
            </w:r>
            <w:r>
              <w:rPr>
                <w:spacing w:val="-6"/>
                <w:sz w:val="20"/>
              </w:rPr>
              <w:t> </w:t>
            </w:r>
            <w:r>
              <w:rPr>
                <w:sz w:val="20"/>
              </w:rPr>
              <w:t>O07.9,</w:t>
            </w:r>
            <w:r>
              <w:rPr>
                <w:spacing w:val="-5"/>
                <w:sz w:val="20"/>
              </w:rPr>
              <w:t> </w:t>
            </w:r>
            <w:r>
              <w:rPr>
                <w:sz w:val="20"/>
              </w:rPr>
              <w:t>O08,</w:t>
            </w:r>
            <w:r>
              <w:rPr>
                <w:spacing w:val="-6"/>
                <w:sz w:val="20"/>
              </w:rPr>
              <w:t> </w:t>
            </w:r>
            <w:r>
              <w:rPr>
                <w:sz w:val="20"/>
              </w:rPr>
              <w:t>O08.0,</w:t>
            </w:r>
            <w:r>
              <w:rPr>
                <w:spacing w:val="-5"/>
                <w:sz w:val="20"/>
              </w:rPr>
              <w:t> </w:t>
            </w:r>
            <w:r>
              <w:rPr>
                <w:sz w:val="20"/>
              </w:rPr>
              <w:t>O08.1,</w:t>
            </w:r>
            <w:r>
              <w:rPr>
                <w:spacing w:val="-5"/>
                <w:sz w:val="20"/>
              </w:rPr>
              <w:t> </w:t>
            </w:r>
            <w:r>
              <w:rPr>
                <w:spacing w:val="-2"/>
                <w:sz w:val="20"/>
              </w:rPr>
              <w:t>O08.2,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496"/>
              <w:rPr>
                <w:sz w:val="20"/>
              </w:rPr>
            </w:pPr>
            <w:r>
              <w:rPr>
                <w:sz w:val="20"/>
              </w:rPr>
              <w:t>O08.3,</w:t>
            </w:r>
            <w:r>
              <w:rPr>
                <w:spacing w:val="-4"/>
                <w:sz w:val="20"/>
              </w:rPr>
              <w:t> </w:t>
            </w:r>
            <w:r>
              <w:rPr>
                <w:sz w:val="20"/>
              </w:rPr>
              <w:t>O08.5,</w:t>
            </w:r>
            <w:r>
              <w:rPr>
                <w:spacing w:val="-6"/>
                <w:sz w:val="20"/>
              </w:rPr>
              <w:t> </w:t>
            </w:r>
            <w:r>
              <w:rPr>
                <w:sz w:val="20"/>
              </w:rPr>
              <w:t>O08.6,</w:t>
            </w:r>
            <w:r>
              <w:rPr>
                <w:spacing w:val="-4"/>
                <w:sz w:val="20"/>
              </w:rPr>
              <w:t> </w:t>
            </w:r>
            <w:r>
              <w:rPr>
                <w:sz w:val="20"/>
              </w:rPr>
              <w:t>O08.7,</w:t>
            </w:r>
            <w:r>
              <w:rPr>
                <w:spacing w:val="-6"/>
                <w:sz w:val="20"/>
              </w:rPr>
              <w:t> </w:t>
            </w:r>
            <w:r>
              <w:rPr>
                <w:sz w:val="20"/>
              </w:rPr>
              <w:t>O08.8,</w:t>
            </w:r>
            <w:r>
              <w:rPr>
                <w:spacing w:val="-4"/>
                <w:sz w:val="20"/>
              </w:rPr>
              <w:t> </w:t>
            </w:r>
            <w:r>
              <w:rPr>
                <w:spacing w:val="-2"/>
                <w:sz w:val="20"/>
              </w:rPr>
              <w:t>O08.9,</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272"/>
              <w:rPr>
                <w:sz w:val="20"/>
              </w:rPr>
            </w:pPr>
            <w:r>
              <w:rPr>
                <w:sz w:val="20"/>
              </w:rPr>
              <w:t>O10.0,</w:t>
            </w:r>
            <w:r>
              <w:rPr>
                <w:spacing w:val="-5"/>
                <w:sz w:val="20"/>
              </w:rPr>
              <w:t> </w:t>
            </w:r>
            <w:r>
              <w:rPr>
                <w:sz w:val="20"/>
              </w:rPr>
              <w:t>O10.1,</w:t>
            </w:r>
            <w:r>
              <w:rPr>
                <w:spacing w:val="-5"/>
                <w:sz w:val="20"/>
              </w:rPr>
              <w:t> </w:t>
            </w:r>
            <w:r>
              <w:rPr>
                <w:sz w:val="20"/>
              </w:rPr>
              <w:t>O10.2,</w:t>
            </w:r>
            <w:r>
              <w:rPr>
                <w:spacing w:val="-4"/>
                <w:sz w:val="20"/>
              </w:rPr>
              <w:t> </w:t>
            </w:r>
            <w:r>
              <w:rPr>
                <w:sz w:val="20"/>
              </w:rPr>
              <w:t>O10.3,</w:t>
            </w:r>
            <w:r>
              <w:rPr>
                <w:spacing w:val="-6"/>
                <w:sz w:val="20"/>
              </w:rPr>
              <w:t> </w:t>
            </w:r>
            <w:r>
              <w:rPr>
                <w:sz w:val="20"/>
              </w:rPr>
              <w:t>O10.4,</w:t>
            </w:r>
            <w:r>
              <w:rPr>
                <w:spacing w:val="-4"/>
                <w:sz w:val="20"/>
              </w:rPr>
              <w:t> </w:t>
            </w:r>
            <w:r>
              <w:rPr>
                <w:sz w:val="20"/>
              </w:rPr>
              <w:t>O10.9,</w:t>
            </w:r>
            <w:r>
              <w:rPr>
                <w:spacing w:val="-6"/>
                <w:sz w:val="20"/>
              </w:rPr>
              <w:t> </w:t>
            </w:r>
            <w:r>
              <w:rPr>
                <w:spacing w:val="-4"/>
                <w:sz w:val="20"/>
              </w:rPr>
              <w:t>O11,</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5"/>
              <w:rPr>
                <w:sz w:val="20"/>
              </w:rPr>
            </w:pPr>
            <w:r>
              <w:rPr>
                <w:sz w:val="20"/>
              </w:rPr>
              <w:t>O12.0,</w:t>
            </w:r>
            <w:r>
              <w:rPr>
                <w:spacing w:val="-6"/>
                <w:sz w:val="20"/>
              </w:rPr>
              <w:t> </w:t>
            </w:r>
            <w:r>
              <w:rPr>
                <w:sz w:val="20"/>
              </w:rPr>
              <w:t>O12.1,</w:t>
            </w:r>
            <w:r>
              <w:rPr>
                <w:spacing w:val="-6"/>
                <w:sz w:val="20"/>
              </w:rPr>
              <w:t> </w:t>
            </w:r>
            <w:r>
              <w:rPr>
                <w:sz w:val="20"/>
              </w:rPr>
              <w:t>O12.2,</w:t>
            </w:r>
            <w:r>
              <w:rPr>
                <w:spacing w:val="-5"/>
                <w:sz w:val="20"/>
              </w:rPr>
              <w:t> </w:t>
            </w:r>
            <w:r>
              <w:rPr>
                <w:sz w:val="20"/>
              </w:rPr>
              <w:t>O13,</w:t>
            </w:r>
            <w:r>
              <w:rPr>
                <w:spacing w:val="-6"/>
                <w:sz w:val="20"/>
              </w:rPr>
              <w:t> </w:t>
            </w:r>
            <w:r>
              <w:rPr>
                <w:sz w:val="20"/>
              </w:rPr>
              <w:t>O14.0,</w:t>
            </w:r>
            <w:r>
              <w:rPr>
                <w:spacing w:val="-5"/>
                <w:sz w:val="20"/>
              </w:rPr>
              <w:t> </w:t>
            </w:r>
            <w:r>
              <w:rPr>
                <w:sz w:val="20"/>
              </w:rPr>
              <w:t>O14.1,</w:t>
            </w:r>
            <w:r>
              <w:rPr>
                <w:spacing w:val="-5"/>
                <w:sz w:val="20"/>
              </w:rPr>
              <w:t> </w:t>
            </w:r>
            <w:r>
              <w:rPr>
                <w:spacing w:val="-2"/>
                <w:sz w:val="20"/>
              </w:rPr>
              <w:t>O14.2,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349"/>
              <w:rPr>
                <w:sz w:val="20"/>
              </w:rPr>
            </w:pPr>
            <w:r>
              <w:rPr>
                <w:sz w:val="20"/>
              </w:rPr>
              <w:t>O14.9,</w:t>
            </w:r>
            <w:r>
              <w:rPr>
                <w:spacing w:val="-4"/>
                <w:sz w:val="20"/>
              </w:rPr>
              <w:t> </w:t>
            </w:r>
            <w:r>
              <w:rPr>
                <w:sz w:val="20"/>
              </w:rPr>
              <w:t>O15.0,</w:t>
            </w:r>
            <w:r>
              <w:rPr>
                <w:spacing w:val="-5"/>
                <w:sz w:val="20"/>
              </w:rPr>
              <w:t> </w:t>
            </w:r>
            <w:r>
              <w:rPr>
                <w:sz w:val="20"/>
              </w:rPr>
              <w:t>O15.2,</w:t>
            </w:r>
            <w:r>
              <w:rPr>
                <w:spacing w:val="-4"/>
                <w:sz w:val="20"/>
              </w:rPr>
              <w:t> </w:t>
            </w:r>
            <w:r>
              <w:rPr>
                <w:sz w:val="20"/>
              </w:rPr>
              <w:t>O15.9,</w:t>
            </w:r>
            <w:r>
              <w:rPr>
                <w:spacing w:val="-5"/>
                <w:sz w:val="20"/>
              </w:rPr>
              <w:t> </w:t>
            </w:r>
            <w:r>
              <w:rPr>
                <w:sz w:val="20"/>
              </w:rPr>
              <w:t>O16,</w:t>
            </w:r>
            <w:r>
              <w:rPr>
                <w:spacing w:val="-4"/>
                <w:sz w:val="20"/>
              </w:rPr>
              <w:t> </w:t>
            </w:r>
            <w:r>
              <w:rPr>
                <w:sz w:val="20"/>
              </w:rPr>
              <w:t>O20,</w:t>
            </w:r>
            <w:r>
              <w:rPr>
                <w:spacing w:val="-5"/>
                <w:sz w:val="20"/>
              </w:rPr>
              <w:t> </w:t>
            </w:r>
            <w:r>
              <w:rPr>
                <w:spacing w:val="-2"/>
                <w:sz w:val="20"/>
              </w:rPr>
              <w:t>O20.0,</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496"/>
              <w:rPr>
                <w:sz w:val="20"/>
              </w:rPr>
            </w:pPr>
            <w:r>
              <w:rPr>
                <w:sz w:val="20"/>
              </w:rPr>
              <w:t>O20.8,</w:t>
            </w:r>
            <w:r>
              <w:rPr>
                <w:spacing w:val="-4"/>
                <w:sz w:val="20"/>
              </w:rPr>
              <w:t> </w:t>
            </w:r>
            <w:r>
              <w:rPr>
                <w:sz w:val="20"/>
              </w:rPr>
              <w:t>O20.9,</w:t>
            </w:r>
            <w:r>
              <w:rPr>
                <w:spacing w:val="-6"/>
                <w:sz w:val="20"/>
              </w:rPr>
              <w:t> </w:t>
            </w:r>
            <w:r>
              <w:rPr>
                <w:sz w:val="20"/>
              </w:rPr>
              <w:t>O21.0,</w:t>
            </w:r>
            <w:r>
              <w:rPr>
                <w:spacing w:val="-4"/>
                <w:sz w:val="20"/>
              </w:rPr>
              <w:t> </w:t>
            </w:r>
            <w:r>
              <w:rPr>
                <w:sz w:val="20"/>
              </w:rPr>
              <w:t>O21.1,</w:t>
            </w:r>
            <w:r>
              <w:rPr>
                <w:spacing w:val="-6"/>
                <w:sz w:val="20"/>
              </w:rPr>
              <w:t> </w:t>
            </w:r>
            <w:r>
              <w:rPr>
                <w:sz w:val="20"/>
              </w:rPr>
              <w:t>O21.2,</w:t>
            </w:r>
            <w:r>
              <w:rPr>
                <w:spacing w:val="-4"/>
                <w:sz w:val="20"/>
              </w:rPr>
              <w:t> </w:t>
            </w:r>
            <w:r>
              <w:rPr>
                <w:spacing w:val="-2"/>
                <w:sz w:val="20"/>
              </w:rPr>
              <w:t>O21.8,</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496"/>
              <w:rPr>
                <w:sz w:val="20"/>
              </w:rPr>
            </w:pPr>
            <w:r>
              <w:rPr>
                <w:sz w:val="20"/>
              </w:rPr>
              <w:t>O21.9,</w:t>
            </w:r>
            <w:r>
              <w:rPr>
                <w:spacing w:val="-4"/>
                <w:sz w:val="20"/>
              </w:rPr>
              <w:t> </w:t>
            </w:r>
            <w:r>
              <w:rPr>
                <w:sz w:val="20"/>
              </w:rPr>
              <w:t>O22.0,</w:t>
            </w:r>
            <w:r>
              <w:rPr>
                <w:spacing w:val="-6"/>
                <w:sz w:val="20"/>
              </w:rPr>
              <w:t> </w:t>
            </w:r>
            <w:r>
              <w:rPr>
                <w:sz w:val="20"/>
              </w:rPr>
              <w:t>O22.1,</w:t>
            </w:r>
            <w:r>
              <w:rPr>
                <w:spacing w:val="-4"/>
                <w:sz w:val="20"/>
              </w:rPr>
              <w:t> </w:t>
            </w:r>
            <w:r>
              <w:rPr>
                <w:sz w:val="20"/>
              </w:rPr>
              <w:t>O22.2,</w:t>
            </w:r>
            <w:r>
              <w:rPr>
                <w:spacing w:val="-6"/>
                <w:sz w:val="20"/>
              </w:rPr>
              <w:t> </w:t>
            </w:r>
            <w:r>
              <w:rPr>
                <w:sz w:val="20"/>
              </w:rPr>
              <w:t>O22.3,</w:t>
            </w:r>
            <w:r>
              <w:rPr>
                <w:spacing w:val="-4"/>
                <w:sz w:val="20"/>
              </w:rPr>
              <w:t> </w:t>
            </w:r>
            <w:r>
              <w:rPr>
                <w:spacing w:val="-2"/>
                <w:sz w:val="20"/>
              </w:rPr>
              <w:t>O22.4,</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5" w:lineRule="exact"/>
              <w:ind w:left="496"/>
              <w:rPr>
                <w:sz w:val="20"/>
              </w:rPr>
            </w:pPr>
            <w:r>
              <w:rPr>
                <w:sz w:val="20"/>
              </w:rPr>
              <w:t>O22.5,</w:t>
            </w:r>
            <w:r>
              <w:rPr>
                <w:spacing w:val="-4"/>
                <w:sz w:val="20"/>
              </w:rPr>
              <w:t> </w:t>
            </w:r>
            <w:r>
              <w:rPr>
                <w:sz w:val="20"/>
              </w:rPr>
              <w:t>O22.8,</w:t>
            </w:r>
            <w:r>
              <w:rPr>
                <w:spacing w:val="-6"/>
                <w:sz w:val="20"/>
              </w:rPr>
              <w:t> </w:t>
            </w:r>
            <w:r>
              <w:rPr>
                <w:sz w:val="20"/>
              </w:rPr>
              <w:t>O22.9,</w:t>
            </w:r>
            <w:r>
              <w:rPr>
                <w:spacing w:val="-4"/>
                <w:sz w:val="20"/>
              </w:rPr>
              <w:t> </w:t>
            </w:r>
            <w:r>
              <w:rPr>
                <w:sz w:val="20"/>
              </w:rPr>
              <w:t>O23.0,</w:t>
            </w:r>
            <w:r>
              <w:rPr>
                <w:spacing w:val="-6"/>
                <w:sz w:val="20"/>
              </w:rPr>
              <w:t> </w:t>
            </w:r>
            <w:r>
              <w:rPr>
                <w:sz w:val="20"/>
              </w:rPr>
              <w:t>O23.1,</w:t>
            </w:r>
            <w:r>
              <w:rPr>
                <w:spacing w:val="-4"/>
                <w:sz w:val="20"/>
              </w:rPr>
              <w:t> </w:t>
            </w:r>
            <w:r>
              <w:rPr>
                <w:spacing w:val="-2"/>
                <w:sz w:val="20"/>
              </w:rPr>
              <w:t>O23.2,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594"/>
        <w:gridCol w:w="2644"/>
        <w:gridCol w:w="5037"/>
        <w:gridCol w:w="2401"/>
        <w:gridCol w:w="2325"/>
        <w:gridCol w:w="1260"/>
      </w:tblGrid>
      <w:tr>
        <w:trPr>
          <w:trHeight w:val="225" w:hRule="atLeast"/>
        </w:trPr>
        <w:tc>
          <w:tcPr>
            <w:tcW w:w="1028" w:type="dxa"/>
            <w:vMerge w:val="restart"/>
          </w:tcPr>
          <w:p>
            <w:pPr>
              <w:pStyle w:val="TableParagraph"/>
              <w:rPr>
                <w:sz w:val="18"/>
              </w:rPr>
            </w:pPr>
          </w:p>
        </w:tc>
        <w:tc>
          <w:tcPr>
            <w:tcW w:w="594" w:type="dxa"/>
            <w:vMerge w:val="restart"/>
          </w:tcPr>
          <w:p>
            <w:pPr>
              <w:pStyle w:val="TableParagraph"/>
              <w:rPr>
                <w:sz w:val="18"/>
              </w:rPr>
            </w:pPr>
          </w:p>
        </w:tc>
        <w:tc>
          <w:tcPr>
            <w:tcW w:w="2644" w:type="dxa"/>
            <w:vMerge w:val="restart"/>
          </w:tcPr>
          <w:p>
            <w:pPr>
              <w:pStyle w:val="TableParagraph"/>
              <w:rPr>
                <w:sz w:val="18"/>
              </w:rPr>
            </w:pPr>
          </w:p>
        </w:tc>
        <w:tc>
          <w:tcPr>
            <w:tcW w:w="5037" w:type="dxa"/>
          </w:tcPr>
          <w:p>
            <w:pPr>
              <w:pStyle w:val="TableParagraph"/>
              <w:spacing w:line="205" w:lineRule="exact"/>
              <w:ind w:left="369"/>
              <w:rPr>
                <w:sz w:val="20"/>
              </w:rPr>
            </w:pPr>
            <w:r>
              <w:rPr>
                <w:sz w:val="20"/>
              </w:rPr>
              <w:t>O23.3,</w:t>
            </w:r>
            <w:r>
              <w:rPr>
                <w:spacing w:val="-4"/>
                <w:sz w:val="20"/>
              </w:rPr>
              <w:t> </w:t>
            </w:r>
            <w:r>
              <w:rPr>
                <w:sz w:val="20"/>
              </w:rPr>
              <w:t>O23.4,</w:t>
            </w:r>
            <w:r>
              <w:rPr>
                <w:spacing w:val="-6"/>
                <w:sz w:val="20"/>
              </w:rPr>
              <w:t> </w:t>
            </w:r>
            <w:r>
              <w:rPr>
                <w:sz w:val="20"/>
              </w:rPr>
              <w:t>O23.5,</w:t>
            </w:r>
            <w:r>
              <w:rPr>
                <w:spacing w:val="-4"/>
                <w:sz w:val="20"/>
              </w:rPr>
              <w:t> </w:t>
            </w:r>
            <w:r>
              <w:rPr>
                <w:sz w:val="20"/>
              </w:rPr>
              <w:t>O23.9,</w:t>
            </w:r>
            <w:r>
              <w:rPr>
                <w:spacing w:val="-6"/>
                <w:sz w:val="20"/>
              </w:rPr>
              <w:t> </w:t>
            </w:r>
            <w:r>
              <w:rPr>
                <w:sz w:val="20"/>
              </w:rPr>
              <w:t>O24.0,</w:t>
            </w:r>
            <w:r>
              <w:rPr>
                <w:spacing w:val="-4"/>
                <w:sz w:val="20"/>
              </w:rPr>
              <w:t> </w:t>
            </w:r>
            <w:r>
              <w:rPr>
                <w:spacing w:val="-2"/>
                <w:sz w:val="20"/>
              </w:rPr>
              <w:t>O24.1,</w:t>
            </w:r>
          </w:p>
        </w:tc>
        <w:tc>
          <w:tcPr>
            <w:tcW w:w="2401"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5"/>
              <w:rPr>
                <w:sz w:val="20"/>
              </w:rPr>
            </w:pPr>
            <w:r>
              <w:rPr>
                <w:sz w:val="20"/>
              </w:rPr>
              <w:t>O24.2,</w:t>
            </w:r>
            <w:r>
              <w:rPr>
                <w:spacing w:val="-4"/>
                <w:sz w:val="20"/>
              </w:rPr>
              <w:t> </w:t>
            </w:r>
            <w:r>
              <w:rPr>
                <w:sz w:val="20"/>
              </w:rPr>
              <w:t>O24.3,</w:t>
            </w:r>
            <w:r>
              <w:rPr>
                <w:spacing w:val="-5"/>
                <w:sz w:val="20"/>
              </w:rPr>
              <w:t> </w:t>
            </w:r>
            <w:r>
              <w:rPr>
                <w:sz w:val="20"/>
              </w:rPr>
              <w:t>O24.4,</w:t>
            </w:r>
            <w:r>
              <w:rPr>
                <w:spacing w:val="-3"/>
                <w:sz w:val="20"/>
              </w:rPr>
              <w:t> </w:t>
            </w:r>
            <w:r>
              <w:rPr>
                <w:sz w:val="20"/>
              </w:rPr>
              <w:t>O24.9,</w:t>
            </w:r>
            <w:r>
              <w:rPr>
                <w:spacing w:val="-5"/>
                <w:sz w:val="20"/>
              </w:rPr>
              <w:t> </w:t>
            </w:r>
            <w:r>
              <w:rPr>
                <w:sz w:val="20"/>
              </w:rPr>
              <w:t>O25,</w:t>
            </w:r>
            <w:r>
              <w:rPr>
                <w:spacing w:val="-3"/>
                <w:sz w:val="20"/>
              </w:rPr>
              <w:t> </w:t>
            </w:r>
            <w:r>
              <w:rPr>
                <w:sz w:val="20"/>
              </w:rPr>
              <w:t>O26.0,</w:t>
            </w:r>
            <w:r>
              <w:rPr>
                <w:spacing w:val="-3"/>
                <w:sz w:val="20"/>
              </w:rPr>
              <w:t> </w:t>
            </w:r>
            <w:r>
              <w:rPr>
                <w:spacing w:val="-2"/>
                <w:sz w:val="20"/>
              </w:rPr>
              <w:t>O26.1,</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O26.2,</w:t>
            </w:r>
            <w:r>
              <w:rPr>
                <w:spacing w:val="-4"/>
                <w:sz w:val="20"/>
              </w:rPr>
              <w:t> </w:t>
            </w:r>
            <w:r>
              <w:rPr>
                <w:sz w:val="20"/>
              </w:rPr>
              <w:t>O26.3,</w:t>
            </w:r>
            <w:r>
              <w:rPr>
                <w:spacing w:val="-6"/>
                <w:sz w:val="20"/>
              </w:rPr>
              <w:t> </w:t>
            </w:r>
            <w:r>
              <w:rPr>
                <w:sz w:val="20"/>
              </w:rPr>
              <w:t>O26.4,</w:t>
            </w:r>
            <w:r>
              <w:rPr>
                <w:spacing w:val="-4"/>
                <w:sz w:val="20"/>
              </w:rPr>
              <w:t> </w:t>
            </w:r>
            <w:r>
              <w:rPr>
                <w:sz w:val="20"/>
              </w:rPr>
              <w:t>O26.5,</w:t>
            </w:r>
            <w:r>
              <w:rPr>
                <w:spacing w:val="-6"/>
                <w:sz w:val="20"/>
              </w:rPr>
              <w:t> </w:t>
            </w:r>
            <w:r>
              <w:rPr>
                <w:sz w:val="20"/>
              </w:rPr>
              <w:t>O26.6,</w:t>
            </w:r>
            <w:r>
              <w:rPr>
                <w:spacing w:val="-4"/>
                <w:sz w:val="20"/>
              </w:rPr>
              <w:t> </w:t>
            </w:r>
            <w:r>
              <w:rPr>
                <w:spacing w:val="-2"/>
                <w:sz w:val="20"/>
              </w:rPr>
              <w:t>O26.7,</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O26.8,</w:t>
            </w:r>
            <w:r>
              <w:rPr>
                <w:spacing w:val="-4"/>
                <w:sz w:val="20"/>
              </w:rPr>
              <w:t> </w:t>
            </w:r>
            <w:r>
              <w:rPr>
                <w:sz w:val="20"/>
              </w:rPr>
              <w:t>O26.9,</w:t>
            </w:r>
            <w:r>
              <w:rPr>
                <w:spacing w:val="-6"/>
                <w:sz w:val="20"/>
              </w:rPr>
              <w:t> </w:t>
            </w:r>
            <w:r>
              <w:rPr>
                <w:sz w:val="20"/>
              </w:rPr>
              <w:t>O28.0,</w:t>
            </w:r>
            <w:r>
              <w:rPr>
                <w:spacing w:val="-4"/>
                <w:sz w:val="20"/>
              </w:rPr>
              <w:t> </w:t>
            </w:r>
            <w:r>
              <w:rPr>
                <w:sz w:val="20"/>
              </w:rPr>
              <w:t>O28.1,</w:t>
            </w:r>
            <w:r>
              <w:rPr>
                <w:spacing w:val="-6"/>
                <w:sz w:val="20"/>
              </w:rPr>
              <w:t> </w:t>
            </w:r>
            <w:r>
              <w:rPr>
                <w:sz w:val="20"/>
              </w:rPr>
              <w:t>O28.2,</w:t>
            </w:r>
            <w:r>
              <w:rPr>
                <w:spacing w:val="-4"/>
                <w:sz w:val="20"/>
              </w:rPr>
              <w:t> </w:t>
            </w:r>
            <w:r>
              <w:rPr>
                <w:spacing w:val="-2"/>
                <w:sz w:val="20"/>
              </w:rPr>
              <w:t>O28.3,</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O28.4,</w:t>
            </w:r>
            <w:r>
              <w:rPr>
                <w:spacing w:val="-4"/>
                <w:sz w:val="20"/>
              </w:rPr>
              <w:t> </w:t>
            </w:r>
            <w:r>
              <w:rPr>
                <w:sz w:val="20"/>
              </w:rPr>
              <w:t>O28.5,</w:t>
            </w:r>
            <w:r>
              <w:rPr>
                <w:spacing w:val="-6"/>
                <w:sz w:val="20"/>
              </w:rPr>
              <w:t> </w:t>
            </w:r>
            <w:r>
              <w:rPr>
                <w:sz w:val="20"/>
              </w:rPr>
              <w:t>O28.8,</w:t>
            </w:r>
            <w:r>
              <w:rPr>
                <w:spacing w:val="-4"/>
                <w:sz w:val="20"/>
              </w:rPr>
              <w:t> </w:t>
            </w:r>
            <w:r>
              <w:rPr>
                <w:sz w:val="20"/>
              </w:rPr>
              <w:t>O28.9,</w:t>
            </w:r>
            <w:r>
              <w:rPr>
                <w:spacing w:val="-6"/>
                <w:sz w:val="20"/>
              </w:rPr>
              <w:t> </w:t>
            </w:r>
            <w:r>
              <w:rPr>
                <w:sz w:val="20"/>
              </w:rPr>
              <w:t>O29.0,</w:t>
            </w:r>
            <w:r>
              <w:rPr>
                <w:spacing w:val="-4"/>
                <w:sz w:val="20"/>
              </w:rPr>
              <w:t> </w:t>
            </w:r>
            <w:r>
              <w:rPr>
                <w:spacing w:val="-2"/>
                <w:sz w:val="20"/>
              </w:rPr>
              <w:t>O29.1,</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O29.2,</w:t>
            </w:r>
            <w:r>
              <w:rPr>
                <w:spacing w:val="-4"/>
                <w:sz w:val="20"/>
              </w:rPr>
              <w:t> </w:t>
            </w:r>
            <w:r>
              <w:rPr>
                <w:sz w:val="20"/>
              </w:rPr>
              <w:t>O29.3,</w:t>
            </w:r>
            <w:r>
              <w:rPr>
                <w:spacing w:val="-6"/>
                <w:sz w:val="20"/>
              </w:rPr>
              <w:t> </w:t>
            </w:r>
            <w:r>
              <w:rPr>
                <w:sz w:val="20"/>
              </w:rPr>
              <w:t>O29.4,</w:t>
            </w:r>
            <w:r>
              <w:rPr>
                <w:spacing w:val="-4"/>
                <w:sz w:val="20"/>
              </w:rPr>
              <w:t> </w:t>
            </w:r>
            <w:r>
              <w:rPr>
                <w:sz w:val="20"/>
              </w:rPr>
              <w:t>O29.5,</w:t>
            </w:r>
            <w:r>
              <w:rPr>
                <w:spacing w:val="-6"/>
                <w:sz w:val="20"/>
              </w:rPr>
              <w:t> </w:t>
            </w:r>
            <w:r>
              <w:rPr>
                <w:sz w:val="20"/>
              </w:rPr>
              <w:t>O29.6,</w:t>
            </w:r>
            <w:r>
              <w:rPr>
                <w:spacing w:val="-4"/>
                <w:sz w:val="20"/>
              </w:rPr>
              <w:t> </w:t>
            </w:r>
            <w:r>
              <w:rPr>
                <w:spacing w:val="-2"/>
                <w:sz w:val="20"/>
              </w:rPr>
              <w:t>O29.8,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O29.9,</w:t>
            </w:r>
            <w:r>
              <w:rPr>
                <w:spacing w:val="-4"/>
                <w:sz w:val="20"/>
              </w:rPr>
              <w:t> </w:t>
            </w:r>
            <w:r>
              <w:rPr>
                <w:sz w:val="20"/>
              </w:rPr>
              <w:t>O30.0,</w:t>
            </w:r>
            <w:r>
              <w:rPr>
                <w:spacing w:val="-6"/>
                <w:sz w:val="20"/>
              </w:rPr>
              <w:t> </w:t>
            </w:r>
            <w:r>
              <w:rPr>
                <w:sz w:val="20"/>
              </w:rPr>
              <w:t>O30.1,</w:t>
            </w:r>
            <w:r>
              <w:rPr>
                <w:spacing w:val="-4"/>
                <w:sz w:val="20"/>
              </w:rPr>
              <w:t> </w:t>
            </w:r>
            <w:r>
              <w:rPr>
                <w:sz w:val="20"/>
              </w:rPr>
              <w:t>O30.2,</w:t>
            </w:r>
            <w:r>
              <w:rPr>
                <w:spacing w:val="-6"/>
                <w:sz w:val="20"/>
              </w:rPr>
              <w:t> </w:t>
            </w:r>
            <w:r>
              <w:rPr>
                <w:sz w:val="20"/>
              </w:rPr>
              <w:t>O30.8,</w:t>
            </w:r>
            <w:r>
              <w:rPr>
                <w:spacing w:val="-4"/>
                <w:sz w:val="20"/>
              </w:rPr>
              <w:t> </w:t>
            </w:r>
            <w:r>
              <w:rPr>
                <w:spacing w:val="-2"/>
                <w:sz w:val="20"/>
              </w:rPr>
              <w:t>O30.9,</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O31.0,</w:t>
            </w:r>
            <w:r>
              <w:rPr>
                <w:spacing w:val="-4"/>
                <w:sz w:val="20"/>
              </w:rPr>
              <w:t> </w:t>
            </w:r>
            <w:r>
              <w:rPr>
                <w:sz w:val="20"/>
              </w:rPr>
              <w:t>O31.1,</w:t>
            </w:r>
            <w:r>
              <w:rPr>
                <w:spacing w:val="-6"/>
                <w:sz w:val="20"/>
              </w:rPr>
              <w:t> </w:t>
            </w:r>
            <w:r>
              <w:rPr>
                <w:sz w:val="20"/>
              </w:rPr>
              <w:t>O31.2,</w:t>
            </w:r>
            <w:r>
              <w:rPr>
                <w:spacing w:val="-4"/>
                <w:sz w:val="20"/>
              </w:rPr>
              <w:t> </w:t>
            </w:r>
            <w:r>
              <w:rPr>
                <w:sz w:val="20"/>
              </w:rPr>
              <w:t>O31.8,</w:t>
            </w:r>
            <w:r>
              <w:rPr>
                <w:spacing w:val="-6"/>
                <w:sz w:val="20"/>
              </w:rPr>
              <w:t> </w:t>
            </w:r>
            <w:r>
              <w:rPr>
                <w:sz w:val="20"/>
              </w:rPr>
              <w:t>O32.0,</w:t>
            </w:r>
            <w:r>
              <w:rPr>
                <w:spacing w:val="-4"/>
                <w:sz w:val="20"/>
              </w:rPr>
              <w:t> </w:t>
            </w:r>
            <w:r>
              <w:rPr>
                <w:spacing w:val="-2"/>
                <w:sz w:val="20"/>
              </w:rPr>
              <w:t>O32.1,</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O32.2,</w:t>
            </w:r>
            <w:r>
              <w:rPr>
                <w:spacing w:val="-4"/>
                <w:sz w:val="20"/>
              </w:rPr>
              <w:t> </w:t>
            </w:r>
            <w:r>
              <w:rPr>
                <w:sz w:val="20"/>
              </w:rPr>
              <w:t>O32.3,</w:t>
            </w:r>
            <w:r>
              <w:rPr>
                <w:spacing w:val="-6"/>
                <w:sz w:val="20"/>
              </w:rPr>
              <w:t> </w:t>
            </w:r>
            <w:r>
              <w:rPr>
                <w:sz w:val="20"/>
              </w:rPr>
              <w:t>O32.4,</w:t>
            </w:r>
            <w:r>
              <w:rPr>
                <w:spacing w:val="-4"/>
                <w:sz w:val="20"/>
              </w:rPr>
              <w:t> </w:t>
            </w:r>
            <w:r>
              <w:rPr>
                <w:sz w:val="20"/>
              </w:rPr>
              <w:t>O32.5,</w:t>
            </w:r>
            <w:r>
              <w:rPr>
                <w:spacing w:val="-6"/>
                <w:sz w:val="20"/>
              </w:rPr>
              <w:t> </w:t>
            </w:r>
            <w:r>
              <w:rPr>
                <w:sz w:val="20"/>
              </w:rPr>
              <w:t>O32.6,</w:t>
            </w:r>
            <w:r>
              <w:rPr>
                <w:spacing w:val="-4"/>
                <w:sz w:val="20"/>
              </w:rPr>
              <w:t> </w:t>
            </w:r>
            <w:r>
              <w:rPr>
                <w:spacing w:val="-2"/>
                <w:sz w:val="20"/>
              </w:rPr>
              <w:t>O32.8,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O32.9,</w:t>
            </w:r>
            <w:r>
              <w:rPr>
                <w:spacing w:val="-4"/>
                <w:sz w:val="20"/>
              </w:rPr>
              <w:t> </w:t>
            </w:r>
            <w:r>
              <w:rPr>
                <w:sz w:val="20"/>
              </w:rPr>
              <w:t>O33.0,</w:t>
            </w:r>
            <w:r>
              <w:rPr>
                <w:spacing w:val="-6"/>
                <w:sz w:val="20"/>
              </w:rPr>
              <w:t> </w:t>
            </w:r>
            <w:r>
              <w:rPr>
                <w:sz w:val="20"/>
              </w:rPr>
              <w:t>O33.1,</w:t>
            </w:r>
            <w:r>
              <w:rPr>
                <w:spacing w:val="-4"/>
                <w:sz w:val="20"/>
              </w:rPr>
              <w:t> </w:t>
            </w:r>
            <w:r>
              <w:rPr>
                <w:sz w:val="20"/>
              </w:rPr>
              <w:t>O33.2,</w:t>
            </w:r>
            <w:r>
              <w:rPr>
                <w:spacing w:val="-6"/>
                <w:sz w:val="20"/>
              </w:rPr>
              <w:t> </w:t>
            </w:r>
            <w:r>
              <w:rPr>
                <w:sz w:val="20"/>
              </w:rPr>
              <w:t>O33.3,</w:t>
            </w:r>
            <w:r>
              <w:rPr>
                <w:spacing w:val="-4"/>
                <w:sz w:val="20"/>
              </w:rPr>
              <w:t> </w:t>
            </w:r>
            <w:r>
              <w:rPr>
                <w:spacing w:val="-2"/>
                <w:sz w:val="20"/>
              </w:rPr>
              <w:t>O33.4,</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O33.5,</w:t>
            </w:r>
            <w:r>
              <w:rPr>
                <w:spacing w:val="-4"/>
                <w:sz w:val="20"/>
              </w:rPr>
              <w:t> </w:t>
            </w:r>
            <w:r>
              <w:rPr>
                <w:sz w:val="20"/>
              </w:rPr>
              <w:t>O33.6,</w:t>
            </w:r>
            <w:r>
              <w:rPr>
                <w:spacing w:val="-6"/>
                <w:sz w:val="20"/>
              </w:rPr>
              <w:t> </w:t>
            </w:r>
            <w:r>
              <w:rPr>
                <w:sz w:val="20"/>
              </w:rPr>
              <w:t>O33.7,</w:t>
            </w:r>
            <w:r>
              <w:rPr>
                <w:spacing w:val="-4"/>
                <w:sz w:val="20"/>
              </w:rPr>
              <w:t> </w:t>
            </w:r>
            <w:r>
              <w:rPr>
                <w:sz w:val="20"/>
              </w:rPr>
              <w:t>O33.8,</w:t>
            </w:r>
            <w:r>
              <w:rPr>
                <w:spacing w:val="-6"/>
                <w:sz w:val="20"/>
              </w:rPr>
              <w:t> </w:t>
            </w:r>
            <w:r>
              <w:rPr>
                <w:sz w:val="20"/>
              </w:rPr>
              <w:t>O33.9,</w:t>
            </w:r>
            <w:r>
              <w:rPr>
                <w:spacing w:val="-4"/>
                <w:sz w:val="20"/>
              </w:rPr>
              <w:t> </w:t>
            </w:r>
            <w:r>
              <w:rPr>
                <w:spacing w:val="-2"/>
                <w:sz w:val="20"/>
              </w:rPr>
              <w:t>O34.0,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O34.1,</w:t>
            </w:r>
            <w:r>
              <w:rPr>
                <w:spacing w:val="-4"/>
                <w:sz w:val="20"/>
              </w:rPr>
              <w:t> </w:t>
            </w:r>
            <w:r>
              <w:rPr>
                <w:sz w:val="20"/>
              </w:rPr>
              <w:t>O34.2,</w:t>
            </w:r>
            <w:r>
              <w:rPr>
                <w:spacing w:val="-6"/>
                <w:sz w:val="20"/>
              </w:rPr>
              <w:t> </w:t>
            </w:r>
            <w:r>
              <w:rPr>
                <w:sz w:val="20"/>
              </w:rPr>
              <w:t>O34.3,</w:t>
            </w:r>
            <w:r>
              <w:rPr>
                <w:spacing w:val="-4"/>
                <w:sz w:val="20"/>
              </w:rPr>
              <w:t> </w:t>
            </w:r>
            <w:r>
              <w:rPr>
                <w:sz w:val="20"/>
              </w:rPr>
              <w:t>O34.4,</w:t>
            </w:r>
            <w:r>
              <w:rPr>
                <w:spacing w:val="-6"/>
                <w:sz w:val="20"/>
              </w:rPr>
              <w:t> </w:t>
            </w:r>
            <w:r>
              <w:rPr>
                <w:sz w:val="20"/>
              </w:rPr>
              <w:t>O34.5,</w:t>
            </w:r>
            <w:r>
              <w:rPr>
                <w:spacing w:val="-4"/>
                <w:sz w:val="20"/>
              </w:rPr>
              <w:t> </w:t>
            </w:r>
            <w:r>
              <w:rPr>
                <w:spacing w:val="-2"/>
                <w:sz w:val="20"/>
              </w:rPr>
              <w:t>O34.6,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O34.7,</w:t>
            </w:r>
            <w:r>
              <w:rPr>
                <w:spacing w:val="-4"/>
                <w:sz w:val="20"/>
              </w:rPr>
              <w:t> </w:t>
            </w:r>
            <w:r>
              <w:rPr>
                <w:sz w:val="20"/>
              </w:rPr>
              <w:t>O34.8,</w:t>
            </w:r>
            <w:r>
              <w:rPr>
                <w:spacing w:val="-6"/>
                <w:sz w:val="20"/>
              </w:rPr>
              <w:t> </w:t>
            </w:r>
            <w:r>
              <w:rPr>
                <w:sz w:val="20"/>
              </w:rPr>
              <w:t>O34.9,</w:t>
            </w:r>
            <w:r>
              <w:rPr>
                <w:spacing w:val="-4"/>
                <w:sz w:val="20"/>
              </w:rPr>
              <w:t> </w:t>
            </w:r>
            <w:r>
              <w:rPr>
                <w:sz w:val="20"/>
              </w:rPr>
              <w:t>O35.0,</w:t>
            </w:r>
            <w:r>
              <w:rPr>
                <w:spacing w:val="-6"/>
                <w:sz w:val="20"/>
              </w:rPr>
              <w:t> </w:t>
            </w:r>
            <w:r>
              <w:rPr>
                <w:sz w:val="20"/>
              </w:rPr>
              <w:t>O35.1,</w:t>
            </w:r>
            <w:r>
              <w:rPr>
                <w:spacing w:val="-4"/>
                <w:sz w:val="20"/>
              </w:rPr>
              <w:t> </w:t>
            </w:r>
            <w:r>
              <w:rPr>
                <w:spacing w:val="-2"/>
                <w:sz w:val="20"/>
              </w:rPr>
              <w:t>O35.2,</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O35.3,</w:t>
            </w:r>
            <w:r>
              <w:rPr>
                <w:spacing w:val="-4"/>
                <w:sz w:val="20"/>
              </w:rPr>
              <w:t> </w:t>
            </w:r>
            <w:r>
              <w:rPr>
                <w:sz w:val="20"/>
              </w:rPr>
              <w:t>O35.4,</w:t>
            </w:r>
            <w:r>
              <w:rPr>
                <w:spacing w:val="-6"/>
                <w:sz w:val="20"/>
              </w:rPr>
              <w:t> </w:t>
            </w:r>
            <w:r>
              <w:rPr>
                <w:sz w:val="20"/>
              </w:rPr>
              <w:t>O35.5,</w:t>
            </w:r>
            <w:r>
              <w:rPr>
                <w:spacing w:val="-4"/>
                <w:sz w:val="20"/>
              </w:rPr>
              <w:t> </w:t>
            </w:r>
            <w:r>
              <w:rPr>
                <w:sz w:val="20"/>
              </w:rPr>
              <w:t>O35.6,</w:t>
            </w:r>
            <w:r>
              <w:rPr>
                <w:spacing w:val="-6"/>
                <w:sz w:val="20"/>
              </w:rPr>
              <w:t> </w:t>
            </w:r>
            <w:r>
              <w:rPr>
                <w:sz w:val="20"/>
              </w:rPr>
              <w:t>O35.7,</w:t>
            </w:r>
            <w:r>
              <w:rPr>
                <w:spacing w:val="-4"/>
                <w:sz w:val="20"/>
              </w:rPr>
              <w:t> </w:t>
            </w:r>
            <w:r>
              <w:rPr>
                <w:spacing w:val="-2"/>
                <w:sz w:val="20"/>
              </w:rPr>
              <w:t>O35.8,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O35.9,</w:t>
            </w:r>
            <w:r>
              <w:rPr>
                <w:spacing w:val="-4"/>
                <w:sz w:val="20"/>
              </w:rPr>
              <w:t> </w:t>
            </w:r>
            <w:r>
              <w:rPr>
                <w:sz w:val="20"/>
              </w:rPr>
              <w:t>O36.0,</w:t>
            </w:r>
            <w:r>
              <w:rPr>
                <w:spacing w:val="-6"/>
                <w:sz w:val="20"/>
              </w:rPr>
              <w:t> </w:t>
            </w:r>
            <w:r>
              <w:rPr>
                <w:sz w:val="20"/>
              </w:rPr>
              <w:t>O36.1,</w:t>
            </w:r>
            <w:r>
              <w:rPr>
                <w:spacing w:val="-4"/>
                <w:sz w:val="20"/>
              </w:rPr>
              <w:t> </w:t>
            </w:r>
            <w:r>
              <w:rPr>
                <w:sz w:val="20"/>
              </w:rPr>
              <w:t>O36.2,</w:t>
            </w:r>
            <w:r>
              <w:rPr>
                <w:spacing w:val="-6"/>
                <w:sz w:val="20"/>
              </w:rPr>
              <w:t> </w:t>
            </w:r>
            <w:r>
              <w:rPr>
                <w:sz w:val="20"/>
              </w:rPr>
              <w:t>O36.3,</w:t>
            </w:r>
            <w:r>
              <w:rPr>
                <w:spacing w:val="-4"/>
                <w:sz w:val="20"/>
              </w:rPr>
              <w:t> </w:t>
            </w:r>
            <w:r>
              <w:rPr>
                <w:spacing w:val="-2"/>
                <w:sz w:val="20"/>
              </w:rPr>
              <w:t>O36.4,</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5"/>
              <w:rPr>
                <w:sz w:val="20"/>
              </w:rPr>
            </w:pPr>
            <w:r>
              <w:rPr>
                <w:sz w:val="20"/>
              </w:rPr>
              <w:t>O36.5,</w:t>
            </w:r>
            <w:r>
              <w:rPr>
                <w:spacing w:val="-4"/>
                <w:sz w:val="20"/>
              </w:rPr>
              <w:t> </w:t>
            </w:r>
            <w:r>
              <w:rPr>
                <w:sz w:val="20"/>
              </w:rPr>
              <w:t>O36.6,</w:t>
            </w:r>
            <w:r>
              <w:rPr>
                <w:spacing w:val="-6"/>
                <w:sz w:val="20"/>
              </w:rPr>
              <w:t> </w:t>
            </w:r>
            <w:r>
              <w:rPr>
                <w:sz w:val="20"/>
              </w:rPr>
              <w:t>O36.7,</w:t>
            </w:r>
            <w:r>
              <w:rPr>
                <w:spacing w:val="-4"/>
                <w:sz w:val="20"/>
              </w:rPr>
              <w:t> </w:t>
            </w:r>
            <w:r>
              <w:rPr>
                <w:sz w:val="20"/>
              </w:rPr>
              <w:t>O36.8,</w:t>
            </w:r>
            <w:r>
              <w:rPr>
                <w:spacing w:val="-6"/>
                <w:sz w:val="20"/>
              </w:rPr>
              <w:t> </w:t>
            </w:r>
            <w:r>
              <w:rPr>
                <w:sz w:val="20"/>
              </w:rPr>
              <w:t>O36.9,</w:t>
            </w:r>
            <w:r>
              <w:rPr>
                <w:spacing w:val="-4"/>
                <w:sz w:val="20"/>
              </w:rPr>
              <w:t> </w:t>
            </w:r>
            <w:r>
              <w:rPr>
                <w:sz w:val="20"/>
              </w:rPr>
              <w:t>O40,</w:t>
            </w:r>
            <w:r>
              <w:rPr>
                <w:spacing w:val="-4"/>
                <w:sz w:val="20"/>
              </w:rPr>
              <w:t> </w:t>
            </w:r>
            <w:r>
              <w:rPr>
                <w:spacing w:val="-2"/>
                <w:sz w:val="20"/>
              </w:rPr>
              <w:t>O41.0,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O41.1,</w:t>
            </w:r>
            <w:r>
              <w:rPr>
                <w:spacing w:val="-4"/>
                <w:sz w:val="20"/>
              </w:rPr>
              <w:t> </w:t>
            </w:r>
            <w:r>
              <w:rPr>
                <w:sz w:val="20"/>
              </w:rPr>
              <w:t>O41.8,</w:t>
            </w:r>
            <w:r>
              <w:rPr>
                <w:spacing w:val="-6"/>
                <w:sz w:val="20"/>
              </w:rPr>
              <w:t> </w:t>
            </w:r>
            <w:r>
              <w:rPr>
                <w:sz w:val="20"/>
              </w:rPr>
              <w:t>O41.9,</w:t>
            </w:r>
            <w:r>
              <w:rPr>
                <w:spacing w:val="-4"/>
                <w:sz w:val="20"/>
              </w:rPr>
              <w:t> </w:t>
            </w:r>
            <w:r>
              <w:rPr>
                <w:sz w:val="20"/>
              </w:rPr>
              <w:t>O42.0,</w:t>
            </w:r>
            <w:r>
              <w:rPr>
                <w:spacing w:val="-6"/>
                <w:sz w:val="20"/>
              </w:rPr>
              <w:t> </w:t>
            </w:r>
            <w:r>
              <w:rPr>
                <w:sz w:val="20"/>
              </w:rPr>
              <w:t>O42.1,</w:t>
            </w:r>
            <w:r>
              <w:rPr>
                <w:spacing w:val="-4"/>
                <w:sz w:val="20"/>
              </w:rPr>
              <w:t> </w:t>
            </w:r>
            <w:r>
              <w:rPr>
                <w:spacing w:val="-2"/>
                <w:sz w:val="20"/>
              </w:rPr>
              <w:t>O42.2,</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O42.9,</w:t>
            </w:r>
            <w:r>
              <w:rPr>
                <w:spacing w:val="-4"/>
                <w:sz w:val="20"/>
              </w:rPr>
              <w:t> </w:t>
            </w:r>
            <w:r>
              <w:rPr>
                <w:sz w:val="20"/>
              </w:rPr>
              <w:t>O43.0,</w:t>
            </w:r>
            <w:r>
              <w:rPr>
                <w:spacing w:val="-6"/>
                <w:sz w:val="20"/>
              </w:rPr>
              <w:t> </w:t>
            </w:r>
            <w:r>
              <w:rPr>
                <w:sz w:val="20"/>
              </w:rPr>
              <w:t>O43.1,</w:t>
            </w:r>
            <w:r>
              <w:rPr>
                <w:spacing w:val="-4"/>
                <w:sz w:val="20"/>
              </w:rPr>
              <w:t> </w:t>
            </w:r>
            <w:r>
              <w:rPr>
                <w:sz w:val="20"/>
              </w:rPr>
              <w:t>O43.2,</w:t>
            </w:r>
            <w:r>
              <w:rPr>
                <w:spacing w:val="-6"/>
                <w:sz w:val="20"/>
              </w:rPr>
              <w:t> </w:t>
            </w:r>
            <w:r>
              <w:rPr>
                <w:sz w:val="20"/>
              </w:rPr>
              <w:t>O43.8,</w:t>
            </w:r>
            <w:r>
              <w:rPr>
                <w:spacing w:val="-4"/>
                <w:sz w:val="20"/>
              </w:rPr>
              <w:t> </w:t>
            </w:r>
            <w:r>
              <w:rPr>
                <w:spacing w:val="-2"/>
                <w:sz w:val="20"/>
              </w:rPr>
              <w:t>O43.9,</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O44.0,</w:t>
            </w:r>
            <w:r>
              <w:rPr>
                <w:spacing w:val="-4"/>
                <w:sz w:val="20"/>
              </w:rPr>
              <w:t> </w:t>
            </w:r>
            <w:r>
              <w:rPr>
                <w:sz w:val="20"/>
              </w:rPr>
              <w:t>O44.1,</w:t>
            </w:r>
            <w:r>
              <w:rPr>
                <w:spacing w:val="-6"/>
                <w:sz w:val="20"/>
              </w:rPr>
              <w:t> </w:t>
            </w:r>
            <w:r>
              <w:rPr>
                <w:sz w:val="20"/>
              </w:rPr>
              <w:t>O45.0,</w:t>
            </w:r>
            <w:r>
              <w:rPr>
                <w:spacing w:val="-4"/>
                <w:sz w:val="20"/>
              </w:rPr>
              <w:t> </w:t>
            </w:r>
            <w:r>
              <w:rPr>
                <w:sz w:val="20"/>
              </w:rPr>
              <w:t>O45.8,</w:t>
            </w:r>
            <w:r>
              <w:rPr>
                <w:spacing w:val="-6"/>
                <w:sz w:val="20"/>
              </w:rPr>
              <w:t> </w:t>
            </w:r>
            <w:r>
              <w:rPr>
                <w:sz w:val="20"/>
              </w:rPr>
              <w:t>O45.9,</w:t>
            </w:r>
            <w:r>
              <w:rPr>
                <w:spacing w:val="-4"/>
                <w:sz w:val="20"/>
              </w:rPr>
              <w:t> </w:t>
            </w:r>
            <w:r>
              <w:rPr>
                <w:spacing w:val="-2"/>
                <w:sz w:val="20"/>
              </w:rPr>
              <w:t>O46.0,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222"/>
              <w:rPr>
                <w:sz w:val="20"/>
              </w:rPr>
            </w:pPr>
            <w:r>
              <w:rPr>
                <w:sz w:val="20"/>
              </w:rPr>
              <w:t>O46.8,</w:t>
            </w:r>
            <w:r>
              <w:rPr>
                <w:spacing w:val="-4"/>
                <w:sz w:val="20"/>
              </w:rPr>
              <w:t> </w:t>
            </w:r>
            <w:r>
              <w:rPr>
                <w:sz w:val="20"/>
              </w:rPr>
              <w:t>O46.9,</w:t>
            </w:r>
            <w:r>
              <w:rPr>
                <w:spacing w:val="-6"/>
                <w:sz w:val="20"/>
              </w:rPr>
              <w:t> </w:t>
            </w:r>
            <w:r>
              <w:rPr>
                <w:sz w:val="20"/>
              </w:rPr>
              <w:t>O47.0,</w:t>
            </w:r>
            <w:r>
              <w:rPr>
                <w:spacing w:val="-4"/>
                <w:sz w:val="20"/>
              </w:rPr>
              <w:t> </w:t>
            </w:r>
            <w:r>
              <w:rPr>
                <w:sz w:val="20"/>
              </w:rPr>
              <w:t>O47.1,</w:t>
            </w:r>
            <w:r>
              <w:rPr>
                <w:spacing w:val="-6"/>
                <w:sz w:val="20"/>
              </w:rPr>
              <w:t> </w:t>
            </w:r>
            <w:r>
              <w:rPr>
                <w:sz w:val="20"/>
              </w:rPr>
              <w:t>O47.9,</w:t>
            </w:r>
            <w:r>
              <w:rPr>
                <w:spacing w:val="-3"/>
                <w:sz w:val="20"/>
              </w:rPr>
              <w:t> </w:t>
            </w:r>
            <w:r>
              <w:rPr>
                <w:sz w:val="20"/>
              </w:rPr>
              <w:t>O48,</w:t>
            </w:r>
            <w:r>
              <w:rPr>
                <w:spacing w:val="1"/>
                <w:sz w:val="20"/>
              </w:rPr>
              <w:t> </w:t>
            </w:r>
            <w:r>
              <w:rPr>
                <w:spacing w:val="-4"/>
                <w:sz w:val="20"/>
              </w:rPr>
              <w:t>O86,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5"/>
              <w:rPr>
                <w:sz w:val="20"/>
              </w:rPr>
            </w:pPr>
            <w:r>
              <w:rPr>
                <w:sz w:val="20"/>
              </w:rPr>
              <w:t>O86.0,</w:t>
            </w:r>
            <w:r>
              <w:rPr>
                <w:spacing w:val="-5"/>
                <w:sz w:val="20"/>
              </w:rPr>
              <w:t> </w:t>
            </w:r>
            <w:r>
              <w:rPr>
                <w:sz w:val="20"/>
              </w:rPr>
              <w:t>O86.1,</w:t>
            </w:r>
            <w:r>
              <w:rPr>
                <w:spacing w:val="-5"/>
                <w:sz w:val="20"/>
              </w:rPr>
              <w:t> </w:t>
            </w:r>
            <w:r>
              <w:rPr>
                <w:sz w:val="20"/>
              </w:rPr>
              <w:t>O86.2,</w:t>
            </w:r>
            <w:r>
              <w:rPr>
                <w:spacing w:val="-4"/>
                <w:sz w:val="20"/>
              </w:rPr>
              <w:t> </w:t>
            </w:r>
            <w:r>
              <w:rPr>
                <w:sz w:val="20"/>
              </w:rPr>
              <w:t>O86.3,</w:t>
            </w:r>
            <w:r>
              <w:rPr>
                <w:spacing w:val="-6"/>
                <w:sz w:val="20"/>
              </w:rPr>
              <w:t> </w:t>
            </w:r>
            <w:r>
              <w:rPr>
                <w:sz w:val="20"/>
              </w:rPr>
              <w:t>O86.4,</w:t>
            </w:r>
            <w:r>
              <w:rPr>
                <w:spacing w:val="-4"/>
                <w:sz w:val="20"/>
              </w:rPr>
              <w:t> </w:t>
            </w:r>
            <w:r>
              <w:rPr>
                <w:sz w:val="20"/>
              </w:rPr>
              <w:t>O86.8,</w:t>
            </w:r>
            <w:r>
              <w:rPr>
                <w:spacing w:val="-6"/>
                <w:sz w:val="20"/>
              </w:rPr>
              <w:t> </w:t>
            </w:r>
            <w:r>
              <w:rPr>
                <w:spacing w:val="-4"/>
                <w:sz w:val="20"/>
              </w:rPr>
              <w:t>O87,</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5"/>
              <w:rPr>
                <w:sz w:val="20"/>
              </w:rPr>
            </w:pPr>
            <w:r>
              <w:rPr>
                <w:sz w:val="20"/>
              </w:rPr>
              <w:t>O87.0,</w:t>
            </w:r>
            <w:r>
              <w:rPr>
                <w:spacing w:val="-5"/>
                <w:sz w:val="20"/>
              </w:rPr>
              <w:t> </w:t>
            </w:r>
            <w:r>
              <w:rPr>
                <w:sz w:val="20"/>
              </w:rPr>
              <w:t>O87.1,</w:t>
            </w:r>
            <w:r>
              <w:rPr>
                <w:spacing w:val="-5"/>
                <w:sz w:val="20"/>
              </w:rPr>
              <w:t> </w:t>
            </w:r>
            <w:r>
              <w:rPr>
                <w:sz w:val="20"/>
              </w:rPr>
              <w:t>O87.2,</w:t>
            </w:r>
            <w:r>
              <w:rPr>
                <w:spacing w:val="-4"/>
                <w:sz w:val="20"/>
              </w:rPr>
              <w:t> </w:t>
            </w:r>
            <w:r>
              <w:rPr>
                <w:sz w:val="20"/>
              </w:rPr>
              <w:t>O87.3,</w:t>
            </w:r>
            <w:r>
              <w:rPr>
                <w:spacing w:val="-6"/>
                <w:sz w:val="20"/>
              </w:rPr>
              <w:t> </w:t>
            </w:r>
            <w:r>
              <w:rPr>
                <w:sz w:val="20"/>
              </w:rPr>
              <w:t>O87.8,</w:t>
            </w:r>
            <w:r>
              <w:rPr>
                <w:spacing w:val="-4"/>
                <w:sz w:val="20"/>
              </w:rPr>
              <w:t> </w:t>
            </w:r>
            <w:r>
              <w:rPr>
                <w:sz w:val="20"/>
              </w:rPr>
              <w:t>O87.9,</w:t>
            </w:r>
            <w:r>
              <w:rPr>
                <w:spacing w:val="-6"/>
                <w:sz w:val="20"/>
              </w:rPr>
              <w:t> </w:t>
            </w:r>
            <w:r>
              <w:rPr>
                <w:spacing w:val="-4"/>
                <w:sz w:val="20"/>
              </w:rPr>
              <w:t>O88,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5"/>
              <w:rPr>
                <w:sz w:val="20"/>
              </w:rPr>
            </w:pPr>
            <w:r>
              <w:rPr>
                <w:sz w:val="20"/>
              </w:rPr>
              <w:t>O88.0,</w:t>
            </w:r>
            <w:r>
              <w:rPr>
                <w:spacing w:val="-4"/>
                <w:sz w:val="20"/>
              </w:rPr>
              <w:t> </w:t>
            </w:r>
            <w:r>
              <w:rPr>
                <w:sz w:val="20"/>
              </w:rPr>
              <w:t>O88.1,</w:t>
            </w:r>
            <w:r>
              <w:rPr>
                <w:spacing w:val="-6"/>
                <w:sz w:val="20"/>
              </w:rPr>
              <w:t> </w:t>
            </w:r>
            <w:r>
              <w:rPr>
                <w:sz w:val="20"/>
              </w:rPr>
              <w:t>O88.2,</w:t>
            </w:r>
            <w:r>
              <w:rPr>
                <w:spacing w:val="-4"/>
                <w:sz w:val="20"/>
              </w:rPr>
              <w:t> </w:t>
            </w:r>
            <w:r>
              <w:rPr>
                <w:sz w:val="20"/>
              </w:rPr>
              <w:t>O88.3,</w:t>
            </w:r>
            <w:r>
              <w:rPr>
                <w:spacing w:val="-6"/>
                <w:sz w:val="20"/>
              </w:rPr>
              <w:t> </w:t>
            </w:r>
            <w:r>
              <w:rPr>
                <w:sz w:val="20"/>
              </w:rPr>
              <w:t>O88.8,</w:t>
            </w:r>
            <w:r>
              <w:rPr>
                <w:spacing w:val="-4"/>
                <w:sz w:val="20"/>
              </w:rPr>
              <w:t> </w:t>
            </w:r>
            <w:r>
              <w:rPr>
                <w:sz w:val="20"/>
              </w:rPr>
              <w:t>O89,</w:t>
            </w:r>
            <w:r>
              <w:rPr>
                <w:spacing w:val="-4"/>
                <w:sz w:val="20"/>
              </w:rPr>
              <w:t> </w:t>
            </w:r>
            <w:r>
              <w:rPr>
                <w:spacing w:val="-2"/>
                <w:sz w:val="20"/>
              </w:rPr>
              <w:t>O89.0,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O89.1,</w:t>
            </w:r>
            <w:r>
              <w:rPr>
                <w:spacing w:val="-4"/>
                <w:sz w:val="20"/>
              </w:rPr>
              <w:t> </w:t>
            </w:r>
            <w:r>
              <w:rPr>
                <w:sz w:val="20"/>
              </w:rPr>
              <w:t>O89.2,</w:t>
            </w:r>
            <w:r>
              <w:rPr>
                <w:spacing w:val="-6"/>
                <w:sz w:val="20"/>
              </w:rPr>
              <w:t> </w:t>
            </w:r>
            <w:r>
              <w:rPr>
                <w:sz w:val="20"/>
              </w:rPr>
              <w:t>O89.3,</w:t>
            </w:r>
            <w:r>
              <w:rPr>
                <w:spacing w:val="-4"/>
                <w:sz w:val="20"/>
              </w:rPr>
              <w:t> </w:t>
            </w:r>
            <w:r>
              <w:rPr>
                <w:sz w:val="20"/>
              </w:rPr>
              <w:t>O89.4,</w:t>
            </w:r>
            <w:r>
              <w:rPr>
                <w:spacing w:val="-6"/>
                <w:sz w:val="20"/>
              </w:rPr>
              <w:t> </w:t>
            </w:r>
            <w:r>
              <w:rPr>
                <w:sz w:val="20"/>
              </w:rPr>
              <w:t>O89.5,</w:t>
            </w:r>
            <w:r>
              <w:rPr>
                <w:spacing w:val="-4"/>
                <w:sz w:val="20"/>
              </w:rPr>
              <w:t> </w:t>
            </w:r>
            <w:r>
              <w:rPr>
                <w:spacing w:val="-2"/>
                <w:sz w:val="20"/>
              </w:rPr>
              <w:t>O89.6,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8"/>
              <w:rPr>
                <w:sz w:val="20"/>
              </w:rPr>
            </w:pPr>
            <w:r>
              <w:rPr>
                <w:sz w:val="20"/>
              </w:rPr>
              <w:t>O89.8,</w:t>
            </w:r>
            <w:r>
              <w:rPr>
                <w:spacing w:val="-6"/>
                <w:sz w:val="20"/>
              </w:rPr>
              <w:t> </w:t>
            </w:r>
            <w:r>
              <w:rPr>
                <w:sz w:val="20"/>
              </w:rPr>
              <w:t>O89.9,</w:t>
            </w:r>
            <w:r>
              <w:rPr>
                <w:spacing w:val="-7"/>
                <w:sz w:val="20"/>
              </w:rPr>
              <w:t> </w:t>
            </w:r>
            <w:r>
              <w:rPr>
                <w:sz w:val="20"/>
              </w:rPr>
              <w:t>O90,</w:t>
            </w:r>
            <w:r>
              <w:rPr>
                <w:spacing w:val="-5"/>
                <w:sz w:val="20"/>
              </w:rPr>
              <w:t> </w:t>
            </w:r>
            <w:r>
              <w:rPr>
                <w:sz w:val="20"/>
              </w:rPr>
              <w:t>O90.0,</w:t>
            </w:r>
            <w:r>
              <w:rPr>
                <w:spacing w:val="-5"/>
                <w:sz w:val="20"/>
              </w:rPr>
              <w:t> </w:t>
            </w:r>
            <w:r>
              <w:rPr>
                <w:sz w:val="20"/>
              </w:rPr>
              <w:t>O90.1,</w:t>
            </w:r>
            <w:r>
              <w:rPr>
                <w:spacing w:val="-5"/>
                <w:sz w:val="20"/>
              </w:rPr>
              <w:t> </w:t>
            </w:r>
            <w:r>
              <w:rPr>
                <w:sz w:val="20"/>
              </w:rPr>
              <w:t>O90.2,</w:t>
            </w:r>
            <w:r>
              <w:rPr>
                <w:spacing w:val="-6"/>
                <w:sz w:val="20"/>
              </w:rPr>
              <w:t> </w:t>
            </w:r>
            <w:r>
              <w:rPr>
                <w:spacing w:val="-2"/>
                <w:sz w:val="20"/>
              </w:rPr>
              <w:t>O90.3,</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8"/>
              <w:rPr>
                <w:sz w:val="20"/>
              </w:rPr>
            </w:pPr>
            <w:r>
              <w:rPr>
                <w:sz w:val="20"/>
              </w:rPr>
              <w:t>O90.5,</w:t>
            </w:r>
            <w:r>
              <w:rPr>
                <w:spacing w:val="-6"/>
                <w:sz w:val="20"/>
              </w:rPr>
              <w:t> </w:t>
            </w:r>
            <w:r>
              <w:rPr>
                <w:sz w:val="20"/>
              </w:rPr>
              <w:t>O90.8,</w:t>
            </w:r>
            <w:r>
              <w:rPr>
                <w:spacing w:val="-6"/>
                <w:sz w:val="20"/>
              </w:rPr>
              <w:t> </w:t>
            </w:r>
            <w:r>
              <w:rPr>
                <w:sz w:val="20"/>
              </w:rPr>
              <w:t>O90.9,</w:t>
            </w:r>
            <w:r>
              <w:rPr>
                <w:spacing w:val="-3"/>
                <w:sz w:val="20"/>
              </w:rPr>
              <w:t> </w:t>
            </w:r>
            <w:r>
              <w:rPr>
                <w:sz w:val="20"/>
              </w:rPr>
              <w:t>O91,</w:t>
            </w:r>
            <w:r>
              <w:rPr>
                <w:spacing w:val="-5"/>
                <w:sz w:val="20"/>
              </w:rPr>
              <w:t> </w:t>
            </w:r>
            <w:r>
              <w:rPr>
                <w:sz w:val="20"/>
              </w:rPr>
              <w:t>O91.0,</w:t>
            </w:r>
            <w:r>
              <w:rPr>
                <w:spacing w:val="-5"/>
                <w:sz w:val="20"/>
              </w:rPr>
              <w:t> </w:t>
            </w:r>
            <w:r>
              <w:rPr>
                <w:sz w:val="20"/>
              </w:rPr>
              <w:t>O91.1,</w:t>
            </w:r>
            <w:r>
              <w:rPr>
                <w:spacing w:val="-5"/>
                <w:sz w:val="20"/>
              </w:rPr>
              <w:t> </w:t>
            </w:r>
            <w:r>
              <w:rPr>
                <w:spacing w:val="-2"/>
                <w:sz w:val="20"/>
              </w:rPr>
              <w:t>O91.2,</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8"/>
              <w:rPr>
                <w:sz w:val="20"/>
              </w:rPr>
            </w:pPr>
            <w:r>
              <w:rPr>
                <w:sz w:val="20"/>
              </w:rPr>
              <w:t>O92,</w:t>
            </w:r>
            <w:r>
              <w:rPr>
                <w:spacing w:val="-6"/>
                <w:sz w:val="20"/>
              </w:rPr>
              <w:t> </w:t>
            </w:r>
            <w:r>
              <w:rPr>
                <w:sz w:val="20"/>
              </w:rPr>
              <w:t>O92.0,</w:t>
            </w:r>
            <w:r>
              <w:rPr>
                <w:spacing w:val="-6"/>
                <w:sz w:val="20"/>
              </w:rPr>
              <w:t> </w:t>
            </w:r>
            <w:r>
              <w:rPr>
                <w:sz w:val="20"/>
              </w:rPr>
              <w:t>O92.1,</w:t>
            </w:r>
            <w:r>
              <w:rPr>
                <w:spacing w:val="-5"/>
                <w:sz w:val="20"/>
              </w:rPr>
              <w:t> </w:t>
            </w:r>
            <w:r>
              <w:rPr>
                <w:sz w:val="20"/>
              </w:rPr>
              <w:t>O92.2,</w:t>
            </w:r>
            <w:r>
              <w:rPr>
                <w:spacing w:val="-6"/>
                <w:sz w:val="20"/>
              </w:rPr>
              <w:t> </w:t>
            </w:r>
            <w:r>
              <w:rPr>
                <w:sz w:val="20"/>
              </w:rPr>
              <w:t>O92.3,</w:t>
            </w:r>
            <w:r>
              <w:rPr>
                <w:spacing w:val="-5"/>
                <w:sz w:val="20"/>
              </w:rPr>
              <w:t> </w:t>
            </w:r>
            <w:r>
              <w:rPr>
                <w:sz w:val="20"/>
              </w:rPr>
              <w:t>O92.4,</w:t>
            </w:r>
            <w:r>
              <w:rPr>
                <w:spacing w:val="-6"/>
                <w:sz w:val="20"/>
              </w:rPr>
              <w:t> </w:t>
            </w:r>
            <w:r>
              <w:rPr>
                <w:spacing w:val="-2"/>
                <w:sz w:val="20"/>
              </w:rPr>
              <w:t>O92.5,</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8"/>
              <w:rPr>
                <w:sz w:val="20"/>
              </w:rPr>
            </w:pPr>
            <w:r>
              <w:rPr>
                <w:sz w:val="20"/>
              </w:rPr>
              <w:t>O92.6,</w:t>
            </w:r>
            <w:r>
              <w:rPr>
                <w:spacing w:val="-6"/>
                <w:sz w:val="20"/>
              </w:rPr>
              <w:t> </w:t>
            </w:r>
            <w:r>
              <w:rPr>
                <w:sz w:val="20"/>
              </w:rPr>
              <w:t>O92.7,</w:t>
            </w:r>
            <w:r>
              <w:rPr>
                <w:spacing w:val="-7"/>
                <w:sz w:val="20"/>
              </w:rPr>
              <w:t> </w:t>
            </w:r>
            <w:r>
              <w:rPr>
                <w:sz w:val="20"/>
              </w:rPr>
              <w:t>O94,</w:t>
            </w:r>
            <w:r>
              <w:rPr>
                <w:spacing w:val="-5"/>
                <w:sz w:val="20"/>
              </w:rPr>
              <w:t> </w:t>
            </w:r>
            <w:r>
              <w:rPr>
                <w:sz w:val="20"/>
              </w:rPr>
              <w:t>O98.0,</w:t>
            </w:r>
            <w:r>
              <w:rPr>
                <w:spacing w:val="-5"/>
                <w:sz w:val="20"/>
              </w:rPr>
              <w:t> </w:t>
            </w:r>
            <w:r>
              <w:rPr>
                <w:sz w:val="20"/>
              </w:rPr>
              <w:t>O98.1,</w:t>
            </w:r>
            <w:r>
              <w:rPr>
                <w:spacing w:val="-5"/>
                <w:sz w:val="20"/>
              </w:rPr>
              <w:t> </w:t>
            </w:r>
            <w:r>
              <w:rPr>
                <w:sz w:val="20"/>
              </w:rPr>
              <w:t>O98.2,</w:t>
            </w:r>
            <w:r>
              <w:rPr>
                <w:spacing w:val="-6"/>
                <w:sz w:val="20"/>
              </w:rPr>
              <w:t> </w:t>
            </w:r>
            <w:r>
              <w:rPr>
                <w:spacing w:val="-2"/>
                <w:sz w:val="20"/>
              </w:rPr>
              <w:t>O98.3,</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O98.4,</w:t>
            </w:r>
            <w:r>
              <w:rPr>
                <w:spacing w:val="-4"/>
                <w:sz w:val="20"/>
              </w:rPr>
              <w:t> </w:t>
            </w:r>
            <w:r>
              <w:rPr>
                <w:sz w:val="20"/>
              </w:rPr>
              <w:t>O98.5,</w:t>
            </w:r>
            <w:r>
              <w:rPr>
                <w:spacing w:val="-6"/>
                <w:sz w:val="20"/>
              </w:rPr>
              <w:t> </w:t>
            </w:r>
            <w:r>
              <w:rPr>
                <w:sz w:val="20"/>
              </w:rPr>
              <w:t>O98.6,</w:t>
            </w:r>
            <w:r>
              <w:rPr>
                <w:spacing w:val="-4"/>
                <w:sz w:val="20"/>
              </w:rPr>
              <w:t> </w:t>
            </w:r>
            <w:r>
              <w:rPr>
                <w:sz w:val="20"/>
              </w:rPr>
              <w:t>O98.8,</w:t>
            </w:r>
            <w:r>
              <w:rPr>
                <w:spacing w:val="-6"/>
                <w:sz w:val="20"/>
              </w:rPr>
              <w:t> </w:t>
            </w:r>
            <w:r>
              <w:rPr>
                <w:sz w:val="20"/>
              </w:rPr>
              <w:t>O98.9,</w:t>
            </w:r>
            <w:r>
              <w:rPr>
                <w:spacing w:val="-4"/>
                <w:sz w:val="20"/>
              </w:rPr>
              <w:t> </w:t>
            </w:r>
            <w:r>
              <w:rPr>
                <w:spacing w:val="-2"/>
                <w:sz w:val="20"/>
              </w:rPr>
              <w:t>O99.0,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O99.1,</w:t>
            </w:r>
            <w:r>
              <w:rPr>
                <w:spacing w:val="-4"/>
                <w:sz w:val="20"/>
              </w:rPr>
              <w:t> </w:t>
            </w:r>
            <w:r>
              <w:rPr>
                <w:sz w:val="20"/>
              </w:rPr>
              <w:t>O99.2,</w:t>
            </w:r>
            <w:r>
              <w:rPr>
                <w:spacing w:val="-6"/>
                <w:sz w:val="20"/>
              </w:rPr>
              <w:t> </w:t>
            </w:r>
            <w:r>
              <w:rPr>
                <w:sz w:val="20"/>
              </w:rPr>
              <w:t>O99.3,</w:t>
            </w:r>
            <w:r>
              <w:rPr>
                <w:spacing w:val="-4"/>
                <w:sz w:val="20"/>
              </w:rPr>
              <w:t> </w:t>
            </w:r>
            <w:r>
              <w:rPr>
                <w:sz w:val="20"/>
              </w:rPr>
              <w:t>O99.4,</w:t>
            </w:r>
            <w:r>
              <w:rPr>
                <w:spacing w:val="-6"/>
                <w:sz w:val="20"/>
              </w:rPr>
              <w:t> </w:t>
            </w:r>
            <w:r>
              <w:rPr>
                <w:sz w:val="20"/>
              </w:rPr>
              <w:t>O99.5,</w:t>
            </w:r>
            <w:r>
              <w:rPr>
                <w:spacing w:val="-4"/>
                <w:sz w:val="20"/>
              </w:rPr>
              <w:t> </w:t>
            </w:r>
            <w:r>
              <w:rPr>
                <w:spacing w:val="-2"/>
                <w:sz w:val="20"/>
              </w:rPr>
              <w:t>O99.6,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26" w:lineRule="exact"/>
              <w:ind w:left="1583"/>
              <w:rPr>
                <w:sz w:val="20"/>
              </w:rPr>
            </w:pPr>
            <w:r>
              <w:rPr>
                <w:sz w:val="20"/>
              </w:rPr>
              <w:t>O99.7,</w:t>
            </w:r>
            <w:r>
              <w:rPr>
                <w:spacing w:val="-3"/>
                <w:sz w:val="20"/>
              </w:rPr>
              <w:t> </w:t>
            </w:r>
            <w:r>
              <w:rPr>
                <w:spacing w:val="-2"/>
                <w:sz w:val="20"/>
              </w:rPr>
              <w:t>O99.8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28" w:type="dxa"/>
          </w:tcPr>
          <w:p>
            <w:pPr>
              <w:pStyle w:val="TableParagraph"/>
              <w:spacing w:line="215" w:lineRule="exact" w:before="45"/>
              <w:ind w:left="50"/>
              <w:rPr>
                <w:sz w:val="20"/>
              </w:rPr>
            </w:pPr>
            <w:r>
              <w:rPr>
                <w:spacing w:val="-2"/>
                <w:sz w:val="20"/>
              </w:rPr>
              <w:t>ds02.002</w:t>
            </w:r>
          </w:p>
        </w:tc>
        <w:tc>
          <w:tcPr>
            <w:tcW w:w="594" w:type="dxa"/>
          </w:tcPr>
          <w:p>
            <w:pPr>
              <w:pStyle w:val="TableParagraph"/>
              <w:spacing w:line="215" w:lineRule="exact" w:before="45"/>
              <w:ind w:left="8"/>
              <w:jc w:val="center"/>
              <w:rPr>
                <w:sz w:val="20"/>
              </w:rPr>
            </w:pPr>
            <w:r>
              <w:rPr>
                <w:w w:val="99"/>
                <w:sz w:val="20"/>
              </w:rPr>
              <w:t>2</w:t>
            </w:r>
          </w:p>
        </w:tc>
        <w:tc>
          <w:tcPr>
            <w:tcW w:w="2644" w:type="dxa"/>
          </w:tcPr>
          <w:p>
            <w:pPr>
              <w:pStyle w:val="TableParagraph"/>
              <w:spacing w:line="215" w:lineRule="exact" w:before="45"/>
              <w:ind w:left="245"/>
              <w:rPr>
                <w:sz w:val="20"/>
              </w:rPr>
            </w:pPr>
            <w:r>
              <w:rPr>
                <w:sz w:val="20"/>
              </w:rPr>
              <w:t>Болезни</w:t>
            </w:r>
            <w:r>
              <w:rPr>
                <w:spacing w:val="-8"/>
                <w:sz w:val="20"/>
              </w:rPr>
              <w:t> </w:t>
            </w:r>
            <w:r>
              <w:rPr>
                <w:sz w:val="20"/>
              </w:rPr>
              <w:t>женских</w:t>
            </w:r>
            <w:r>
              <w:rPr>
                <w:spacing w:val="-9"/>
                <w:sz w:val="20"/>
              </w:rPr>
              <w:t> </w:t>
            </w:r>
            <w:r>
              <w:rPr>
                <w:spacing w:val="-2"/>
                <w:sz w:val="20"/>
              </w:rPr>
              <w:t>половых</w:t>
            </w:r>
          </w:p>
        </w:tc>
        <w:tc>
          <w:tcPr>
            <w:tcW w:w="5037" w:type="dxa"/>
          </w:tcPr>
          <w:p>
            <w:pPr>
              <w:pStyle w:val="TableParagraph"/>
              <w:spacing w:line="215" w:lineRule="exact" w:before="45"/>
              <w:ind w:left="148"/>
              <w:rPr>
                <w:sz w:val="20"/>
              </w:rPr>
            </w:pPr>
            <w:r>
              <w:rPr>
                <w:sz w:val="20"/>
              </w:rPr>
              <w:t>D06,</w:t>
            </w:r>
            <w:r>
              <w:rPr>
                <w:spacing w:val="-6"/>
                <w:sz w:val="20"/>
              </w:rPr>
              <w:t> </w:t>
            </w:r>
            <w:r>
              <w:rPr>
                <w:sz w:val="20"/>
              </w:rPr>
              <w:t>D06.0,</w:t>
            </w:r>
            <w:r>
              <w:rPr>
                <w:spacing w:val="-6"/>
                <w:sz w:val="20"/>
              </w:rPr>
              <w:t> </w:t>
            </w:r>
            <w:r>
              <w:rPr>
                <w:sz w:val="20"/>
              </w:rPr>
              <w:t>D06.1,</w:t>
            </w:r>
            <w:r>
              <w:rPr>
                <w:spacing w:val="-5"/>
                <w:sz w:val="20"/>
              </w:rPr>
              <w:t> </w:t>
            </w:r>
            <w:r>
              <w:rPr>
                <w:sz w:val="20"/>
              </w:rPr>
              <w:t>D06.7,</w:t>
            </w:r>
            <w:r>
              <w:rPr>
                <w:spacing w:val="-6"/>
                <w:sz w:val="20"/>
              </w:rPr>
              <w:t> </w:t>
            </w:r>
            <w:r>
              <w:rPr>
                <w:sz w:val="20"/>
              </w:rPr>
              <w:t>D06.9,</w:t>
            </w:r>
            <w:r>
              <w:rPr>
                <w:spacing w:val="-5"/>
                <w:sz w:val="20"/>
              </w:rPr>
              <w:t> </w:t>
            </w:r>
            <w:r>
              <w:rPr>
                <w:sz w:val="20"/>
              </w:rPr>
              <w:t>D07.0,</w:t>
            </w:r>
            <w:r>
              <w:rPr>
                <w:spacing w:val="-6"/>
                <w:sz w:val="20"/>
              </w:rPr>
              <w:t> </w:t>
            </w:r>
            <w:r>
              <w:rPr>
                <w:spacing w:val="-2"/>
                <w:sz w:val="20"/>
              </w:rPr>
              <w:t>D07.1,</w:t>
            </w:r>
          </w:p>
        </w:tc>
        <w:tc>
          <w:tcPr>
            <w:tcW w:w="2401" w:type="dxa"/>
          </w:tcPr>
          <w:p>
            <w:pPr>
              <w:pStyle w:val="TableParagraph"/>
              <w:spacing w:line="215" w:lineRule="exact" w:before="45"/>
              <w:ind w:right="455"/>
              <w:jc w:val="center"/>
              <w:rPr>
                <w:sz w:val="20"/>
              </w:rPr>
            </w:pPr>
            <w:r>
              <w:rPr>
                <w:w w:val="99"/>
                <w:sz w:val="20"/>
              </w:rPr>
              <w:t>-</w:t>
            </w:r>
          </w:p>
        </w:tc>
        <w:tc>
          <w:tcPr>
            <w:tcW w:w="2325" w:type="dxa"/>
          </w:tcPr>
          <w:p>
            <w:pPr>
              <w:pStyle w:val="TableParagraph"/>
              <w:spacing w:line="215" w:lineRule="exact" w:before="45"/>
              <w:ind w:left="549"/>
              <w:jc w:val="center"/>
              <w:rPr>
                <w:sz w:val="20"/>
              </w:rPr>
            </w:pPr>
            <w:r>
              <w:rPr>
                <w:w w:val="99"/>
                <w:sz w:val="20"/>
              </w:rPr>
              <w:t>-</w:t>
            </w:r>
          </w:p>
        </w:tc>
        <w:tc>
          <w:tcPr>
            <w:tcW w:w="1260" w:type="dxa"/>
          </w:tcPr>
          <w:p>
            <w:pPr>
              <w:pStyle w:val="TableParagraph"/>
              <w:spacing w:line="215" w:lineRule="exact" w:before="45"/>
              <w:ind w:right="42"/>
              <w:jc w:val="right"/>
              <w:rPr>
                <w:sz w:val="20"/>
              </w:rPr>
            </w:pPr>
            <w:r>
              <w:rPr>
                <w:spacing w:val="-4"/>
                <w:sz w:val="20"/>
              </w:rPr>
              <w:t>0,66</w:t>
            </w: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spacing w:line="210" w:lineRule="exact"/>
              <w:ind w:left="245"/>
              <w:rPr>
                <w:sz w:val="20"/>
              </w:rPr>
            </w:pPr>
            <w:r>
              <w:rPr>
                <w:spacing w:val="-2"/>
                <w:sz w:val="20"/>
              </w:rPr>
              <w:t>органов</w:t>
            </w:r>
          </w:p>
        </w:tc>
        <w:tc>
          <w:tcPr>
            <w:tcW w:w="5037" w:type="dxa"/>
          </w:tcPr>
          <w:p>
            <w:pPr>
              <w:pStyle w:val="TableParagraph"/>
              <w:spacing w:line="210" w:lineRule="exact"/>
              <w:ind w:left="148"/>
              <w:rPr>
                <w:sz w:val="20"/>
              </w:rPr>
            </w:pPr>
            <w:r>
              <w:rPr>
                <w:sz w:val="20"/>
              </w:rPr>
              <w:t>D07.2,</w:t>
            </w:r>
            <w:r>
              <w:rPr>
                <w:spacing w:val="-6"/>
                <w:sz w:val="20"/>
              </w:rPr>
              <w:t> </w:t>
            </w:r>
            <w:r>
              <w:rPr>
                <w:sz w:val="20"/>
              </w:rPr>
              <w:t>D07.3,</w:t>
            </w:r>
            <w:r>
              <w:rPr>
                <w:spacing w:val="-7"/>
                <w:sz w:val="20"/>
              </w:rPr>
              <w:t> </w:t>
            </w:r>
            <w:r>
              <w:rPr>
                <w:sz w:val="20"/>
              </w:rPr>
              <w:t>D25,</w:t>
            </w:r>
            <w:r>
              <w:rPr>
                <w:spacing w:val="-5"/>
                <w:sz w:val="20"/>
              </w:rPr>
              <w:t> </w:t>
            </w:r>
            <w:r>
              <w:rPr>
                <w:sz w:val="20"/>
              </w:rPr>
              <w:t>D25.0,</w:t>
            </w:r>
            <w:r>
              <w:rPr>
                <w:spacing w:val="-5"/>
                <w:sz w:val="20"/>
              </w:rPr>
              <w:t> </w:t>
            </w:r>
            <w:r>
              <w:rPr>
                <w:sz w:val="20"/>
              </w:rPr>
              <w:t>D25.1,</w:t>
            </w:r>
            <w:r>
              <w:rPr>
                <w:spacing w:val="-5"/>
                <w:sz w:val="20"/>
              </w:rPr>
              <w:t> </w:t>
            </w:r>
            <w:r>
              <w:rPr>
                <w:sz w:val="20"/>
              </w:rPr>
              <w:t>D25.2,</w:t>
            </w:r>
            <w:r>
              <w:rPr>
                <w:spacing w:val="-6"/>
                <w:sz w:val="20"/>
              </w:rPr>
              <w:t> </w:t>
            </w:r>
            <w:r>
              <w:rPr>
                <w:spacing w:val="-2"/>
                <w:sz w:val="20"/>
              </w:rPr>
              <w:t>D25.9,</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10" w:lineRule="exact"/>
              <w:ind w:left="297"/>
              <w:rPr>
                <w:sz w:val="20"/>
              </w:rPr>
            </w:pPr>
            <w:r>
              <w:rPr>
                <w:sz w:val="20"/>
              </w:rPr>
              <w:t>D26,</w:t>
            </w:r>
            <w:r>
              <w:rPr>
                <w:spacing w:val="-5"/>
                <w:sz w:val="20"/>
              </w:rPr>
              <w:t> </w:t>
            </w:r>
            <w:r>
              <w:rPr>
                <w:sz w:val="20"/>
              </w:rPr>
              <w:t>D26.0,</w:t>
            </w:r>
            <w:r>
              <w:rPr>
                <w:spacing w:val="-5"/>
                <w:sz w:val="20"/>
              </w:rPr>
              <w:t> </w:t>
            </w:r>
            <w:r>
              <w:rPr>
                <w:sz w:val="20"/>
              </w:rPr>
              <w:t>D26.1,</w:t>
            </w:r>
            <w:r>
              <w:rPr>
                <w:spacing w:val="-5"/>
                <w:sz w:val="20"/>
              </w:rPr>
              <w:t> </w:t>
            </w:r>
            <w:r>
              <w:rPr>
                <w:sz w:val="20"/>
              </w:rPr>
              <w:t>D26.7,</w:t>
            </w:r>
            <w:r>
              <w:rPr>
                <w:spacing w:val="-5"/>
                <w:sz w:val="20"/>
              </w:rPr>
              <w:t> </w:t>
            </w:r>
            <w:r>
              <w:rPr>
                <w:sz w:val="20"/>
              </w:rPr>
              <w:t>D26.9,</w:t>
            </w:r>
            <w:r>
              <w:rPr>
                <w:spacing w:val="-5"/>
                <w:sz w:val="20"/>
              </w:rPr>
              <w:t> </w:t>
            </w:r>
            <w:r>
              <w:rPr>
                <w:sz w:val="20"/>
              </w:rPr>
              <w:t>D27,</w:t>
            </w:r>
            <w:r>
              <w:rPr>
                <w:spacing w:val="-5"/>
                <w:sz w:val="20"/>
              </w:rPr>
              <w:t> </w:t>
            </w:r>
            <w:r>
              <w:rPr>
                <w:spacing w:val="-4"/>
                <w:sz w:val="20"/>
              </w:rPr>
              <w:t>D28,</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09" w:lineRule="exact"/>
              <w:ind w:left="145"/>
              <w:rPr>
                <w:sz w:val="20"/>
              </w:rPr>
            </w:pPr>
            <w:r>
              <w:rPr>
                <w:sz w:val="20"/>
              </w:rPr>
              <w:t>D28.0,</w:t>
            </w:r>
            <w:r>
              <w:rPr>
                <w:spacing w:val="-4"/>
                <w:sz w:val="20"/>
              </w:rPr>
              <w:t> </w:t>
            </w:r>
            <w:r>
              <w:rPr>
                <w:sz w:val="20"/>
              </w:rPr>
              <w:t>D28.1,</w:t>
            </w:r>
            <w:r>
              <w:rPr>
                <w:spacing w:val="-6"/>
                <w:sz w:val="20"/>
              </w:rPr>
              <w:t> </w:t>
            </w:r>
            <w:r>
              <w:rPr>
                <w:sz w:val="20"/>
              </w:rPr>
              <w:t>D28.2,</w:t>
            </w:r>
            <w:r>
              <w:rPr>
                <w:spacing w:val="-4"/>
                <w:sz w:val="20"/>
              </w:rPr>
              <w:t> </w:t>
            </w:r>
            <w:r>
              <w:rPr>
                <w:sz w:val="20"/>
              </w:rPr>
              <w:t>D28.7,</w:t>
            </w:r>
            <w:r>
              <w:rPr>
                <w:spacing w:val="-6"/>
                <w:sz w:val="20"/>
              </w:rPr>
              <w:t> </w:t>
            </w:r>
            <w:r>
              <w:rPr>
                <w:sz w:val="20"/>
              </w:rPr>
              <w:t>D28.9,</w:t>
            </w:r>
            <w:r>
              <w:rPr>
                <w:spacing w:val="-4"/>
                <w:sz w:val="20"/>
              </w:rPr>
              <w:t> </w:t>
            </w:r>
            <w:r>
              <w:rPr>
                <w:sz w:val="20"/>
              </w:rPr>
              <w:t>D39,</w:t>
            </w:r>
            <w:r>
              <w:rPr>
                <w:spacing w:val="-4"/>
                <w:sz w:val="20"/>
              </w:rPr>
              <w:t> </w:t>
            </w:r>
            <w:r>
              <w:rPr>
                <w:spacing w:val="-2"/>
                <w:sz w:val="20"/>
              </w:rPr>
              <w:t>D39.0,</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09" w:lineRule="exact"/>
              <w:ind w:left="179"/>
              <w:rPr>
                <w:sz w:val="20"/>
              </w:rPr>
            </w:pPr>
            <w:r>
              <w:rPr>
                <w:sz w:val="20"/>
              </w:rPr>
              <w:t>D39.1,</w:t>
            </w:r>
            <w:r>
              <w:rPr>
                <w:spacing w:val="-4"/>
                <w:sz w:val="20"/>
              </w:rPr>
              <w:t> </w:t>
            </w:r>
            <w:r>
              <w:rPr>
                <w:sz w:val="20"/>
              </w:rPr>
              <w:t>D39.2,</w:t>
            </w:r>
            <w:r>
              <w:rPr>
                <w:spacing w:val="-6"/>
                <w:sz w:val="20"/>
              </w:rPr>
              <w:t> </w:t>
            </w:r>
            <w:r>
              <w:rPr>
                <w:sz w:val="20"/>
              </w:rPr>
              <w:t>D39.7,</w:t>
            </w:r>
            <w:r>
              <w:rPr>
                <w:spacing w:val="-4"/>
                <w:sz w:val="20"/>
              </w:rPr>
              <w:t> </w:t>
            </w:r>
            <w:r>
              <w:rPr>
                <w:sz w:val="20"/>
              </w:rPr>
              <w:t>D39.9,</w:t>
            </w:r>
            <w:r>
              <w:rPr>
                <w:spacing w:val="-6"/>
                <w:sz w:val="20"/>
              </w:rPr>
              <w:t> </w:t>
            </w:r>
            <w:r>
              <w:rPr>
                <w:sz w:val="20"/>
              </w:rPr>
              <w:t>E28,</w:t>
            </w:r>
            <w:r>
              <w:rPr>
                <w:spacing w:val="-4"/>
                <w:sz w:val="20"/>
              </w:rPr>
              <w:t> </w:t>
            </w:r>
            <w:r>
              <w:rPr>
                <w:sz w:val="20"/>
              </w:rPr>
              <w:t>E28.0,</w:t>
            </w:r>
            <w:r>
              <w:rPr>
                <w:spacing w:val="-5"/>
                <w:sz w:val="20"/>
              </w:rPr>
              <w:t> </w:t>
            </w:r>
            <w:r>
              <w:rPr>
                <w:spacing w:val="-2"/>
                <w:sz w:val="20"/>
              </w:rPr>
              <w:t>E28.1,</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05" w:lineRule="exact"/>
              <w:ind w:left="241"/>
              <w:rPr>
                <w:sz w:val="20"/>
              </w:rPr>
            </w:pPr>
            <w:r>
              <w:rPr>
                <w:sz w:val="20"/>
              </w:rPr>
              <w:t>E28.2,</w:t>
            </w:r>
            <w:r>
              <w:rPr>
                <w:spacing w:val="-7"/>
                <w:sz w:val="20"/>
              </w:rPr>
              <w:t> </w:t>
            </w:r>
            <w:r>
              <w:rPr>
                <w:sz w:val="20"/>
              </w:rPr>
              <w:t>E28.3,</w:t>
            </w:r>
            <w:r>
              <w:rPr>
                <w:spacing w:val="-4"/>
                <w:sz w:val="20"/>
              </w:rPr>
              <w:t> </w:t>
            </w:r>
            <w:r>
              <w:rPr>
                <w:sz w:val="20"/>
              </w:rPr>
              <w:t>E28.8,</w:t>
            </w:r>
            <w:r>
              <w:rPr>
                <w:spacing w:val="-4"/>
                <w:sz w:val="20"/>
              </w:rPr>
              <w:t> </w:t>
            </w:r>
            <w:r>
              <w:rPr>
                <w:sz w:val="20"/>
              </w:rPr>
              <w:t>E28.9,</w:t>
            </w:r>
            <w:r>
              <w:rPr>
                <w:spacing w:val="-5"/>
                <w:sz w:val="20"/>
              </w:rPr>
              <w:t> </w:t>
            </w:r>
            <w:r>
              <w:rPr>
                <w:sz w:val="20"/>
              </w:rPr>
              <w:t>E89.4,</w:t>
            </w:r>
            <w:r>
              <w:rPr>
                <w:spacing w:val="-6"/>
                <w:sz w:val="20"/>
              </w:rPr>
              <w:t> </w:t>
            </w:r>
            <w:r>
              <w:rPr>
                <w:sz w:val="20"/>
              </w:rPr>
              <w:t>I86.3,</w:t>
            </w:r>
            <w:r>
              <w:rPr>
                <w:spacing w:val="-4"/>
                <w:sz w:val="20"/>
              </w:rPr>
              <w:t> N70,</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5" w:right="0" w:firstLine="0"/>
        <w:jc w:val="left"/>
        <w:rPr>
          <w:sz w:val="20"/>
        </w:rPr>
      </w:pPr>
      <w:r>
        <w:rPr>
          <w:sz w:val="20"/>
        </w:rPr>
        <w:t>N70.0,</w:t>
      </w:r>
      <w:r>
        <w:rPr>
          <w:spacing w:val="-6"/>
          <w:sz w:val="20"/>
        </w:rPr>
        <w:t> </w:t>
      </w:r>
      <w:r>
        <w:rPr>
          <w:sz w:val="20"/>
        </w:rPr>
        <w:t>N70.1,</w:t>
      </w:r>
      <w:r>
        <w:rPr>
          <w:spacing w:val="-6"/>
          <w:sz w:val="20"/>
        </w:rPr>
        <w:t> </w:t>
      </w:r>
      <w:r>
        <w:rPr>
          <w:sz w:val="20"/>
        </w:rPr>
        <w:t>N70.9,</w:t>
      </w:r>
      <w:r>
        <w:rPr>
          <w:spacing w:val="-5"/>
          <w:sz w:val="20"/>
        </w:rPr>
        <w:t> </w:t>
      </w:r>
      <w:r>
        <w:rPr>
          <w:sz w:val="20"/>
        </w:rPr>
        <w:t>N71,</w:t>
      </w:r>
      <w:r>
        <w:rPr>
          <w:spacing w:val="-6"/>
          <w:sz w:val="20"/>
        </w:rPr>
        <w:t> </w:t>
      </w:r>
      <w:r>
        <w:rPr>
          <w:sz w:val="20"/>
        </w:rPr>
        <w:t>N71.0,</w:t>
      </w:r>
      <w:r>
        <w:rPr>
          <w:spacing w:val="-5"/>
          <w:sz w:val="20"/>
        </w:rPr>
        <w:t> </w:t>
      </w:r>
      <w:r>
        <w:rPr>
          <w:sz w:val="20"/>
        </w:rPr>
        <w:t>N71.1,</w:t>
      </w:r>
      <w:r>
        <w:rPr>
          <w:spacing w:val="-5"/>
          <w:sz w:val="20"/>
        </w:rPr>
        <w:t> </w:t>
      </w:r>
      <w:r>
        <w:rPr>
          <w:spacing w:val="-2"/>
          <w:sz w:val="20"/>
        </w:rPr>
        <w:t>N71.9,</w:t>
      </w:r>
    </w:p>
    <w:p>
      <w:pPr>
        <w:spacing w:line="229" w:lineRule="exact" w:before="1"/>
        <w:ind w:left="4679" w:right="0" w:firstLine="0"/>
        <w:jc w:val="left"/>
        <w:rPr>
          <w:sz w:val="20"/>
        </w:rPr>
      </w:pPr>
      <w:r>
        <w:rPr>
          <w:sz w:val="20"/>
        </w:rPr>
        <w:t>N72,</w:t>
      </w:r>
      <w:r>
        <w:rPr>
          <w:spacing w:val="-5"/>
          <w:sz w:val="20"/>
        </w:rPr>
        <w:t> </w:t>
      </w:r>
      <w:r>
        <w:rPr>
          <w:sz w:val="20"/>
        </w:rPr>
        <w:t>N73,</w:t>
      </w:r>
      <w:r>
        <w:rPr>
          <w:spacing w:val="-6"/>
          <w:sz w:val="20"/>
        </w:rPr>
        <w:t> </w:t>
      </w:r>
      <w:r>
        <w:rPr>
          <w:sz w:val="20"/>
        </w:rPr>
        <w:t>N73.0,</w:t>
      </w:r>
      <w:r>
        <w:rPr>
          <w:spacing w:val="-4"/>
          <w:sz w:val="20"/>
        </w:rPr>
        <w:t> </w:t>
      </w:r>
      <w:r>
        <w:rPr>
          <w:sz w:val="20"/>
        </w:rPr>
        <w:t>N73.1,</w:t>
      </w:r>
      <w:r>
        <w:rPr>
          <w:spacing w:val="-5"/>
          <w:sz w:val="20"/>
        </w:rPr>
        <w:t> </w:t>
      </w:r>
      <w:r>
        <w:rPr>
          <w:sz w:val="20"/>
        </w:rPr>
        <w:t>N73.2,</w:t>
      </w:r>
      <w:r>
        <w:rPr>
          <w:spacing w:val="-4"/>
          <w:sz w:val="20"/>
        </w:rPr>
        <w:t> </w:t>
      </w:r>
      <w:r>
        <w:rPr>
          <w:sz w:val="20"/>
        </w:rPr>
        <w:t>N73.3,</w:t>
      </w:r>
      <w:r>
        <w:rPr>
          <w:spacing w:val="-4"/>
          <w:sz w:val="20"/>
        </w:rPr>
        <w:t> </w:t>
      </w:r>
      <w:r>
        <w:rPr>
          <w:spacing w:val="-2"/>
          <w:sz w:val="20"/>
        </w:rPr>
        <w:t>N73.4,</w:t>
      </w:r>
    </w:p>
    <w:p>
      <w:pPr>
        <w:spacing w:line="229" w:lineRule="exact" w:before="0"/>
        <w:ind w:left="4602" w:right="0" w:firstLine="0"/>
        <w:jc w:val="left"/>
        <w:rPr>
          <w:sz w:val="20"/>
        </w:rPr>
      </w:pPr>
      <w:r>
        <w:rPr>
          <w:sz w:val="20"/>
        </w:rPr>
        <w:t>N73.5,</w:t>
      </w:r>
      <w:r>
        <w:rPr>
          <w:spacing w:val="-4"/>
          <w:sz w:val="20"/>
        </w:rPr>
        <w:t> </w:t>
      </w:r>
      <w:r>
        <w:rPr>
          <w:sz w:val="20"/>
        </w:rPr>
        <w:t>N73.6,</w:t>
      </w:r>
      <w:r>
        <w:rPr>
          <w:spacing w:val="-6"/>
          <w:sz w:val="20"/>
        </w:rPr>
        <w:t> </w:t>
      </w:r>
      <w:r>
        <w:rPr>
          <w:sz w:val="20"/>
        </w:rPr>
        <w:t>N73.8,</w:t>
      </w:r>
      <w:r>
        <w:rPr>
          <w:spacing w:val="-4"/>
          <w:sz w:val="20"/>
        </w:rPr>
        <w:t> </w:t>
      </w:r>
      <w:r>
        <w:rPr>
          <w:sz w:val="20"/>
        </w:rPr>
        <w:t>N73.9,</w:t>
      </w:r>
      <w:r>
        <w:rPr>
          <w:spacing w:val="-6"/>
          <w:sz w:val="20"/>
        </w:rPr>
        <w:t> </w:t>
      </w:r>
      <w:r>
        <w:rPr>
          <w:sz w:val="20"/>
        </w:rPr>
        <w:t>N74.8,</w:t>
      </w:r>
      <w:r>
        <w:rPr>
          <w:spacing w:val="-4"/>
          <w:sz w:val="20"/>
        </w:rPr>
        <w:t> </w:t>
      </w:r>
      <w:r>
        <w:rPr>
          <w:sz w:val="20"/>
        </w:rPr>
        <w:t>N75,</w:t>
      </w:r>
      <w:r>
        <w:rPr>
          <w:spacing w:val="-4"/>
          <w:sz w:val="20"/>
        </w:rPr>
        <w:t> </w:t>
      </w:r>
      <w:r>
        <w:rPr>
          <w:spacing w:val="-2"/>
          <w:sz w:val="20"/>
        </w:rPr>
        <w:t>N75.0,</w:t>
      </w:r>
    </w:p>
    <w:p>
      <w:pPr>
        <w:spacing w:before="0"/>
        <w:ind w:left="4605" w:right="0" w:firstLine="0"/>
        <w:jc w:val="left"/>
        <w:rPr>
          <w:sz w:val="20"/>
        </w:rPr>
      </w:pPr>
      <w:r>
        <w:rPr>
          <w:sz w:val="20"/>
        </w:rPr>
        <w:t>N75.1,</w:t>
      </w:r>
      <w:r>
        <w:rPr>
          <w:spacing w:val="-6"/>
          <w:sz w:val="20"/>
        </w:rPr>
        <w:t> </w:t>
      </w:r>
      <w:r>
        <w:rPr>
          <w:sz w:val="20"/>
        </w:rPr>
        <w:t>N75.8,</w:t>
      </w:r>
      <w:r>
        <w:rPr>
          <w:spacing w:val="-6"/>
          <w:sz w:val="20"/>
        </w:rPr>
        <w:t> </w:t>
      </w:r>
      <w:r>
        <w:rPr>
          <w:sz w:val="20"/>
        </w:rPr>
        <w:t>N75.9,</w:t>
      </w:r>
      <w:r>
        <w:rPr>
          <w:spacing w:val="-5"/>
          <w:sz w:val="20"/>
        </w:rPr>
        <w:t> </w:t>
      </w:r>
      <w:r>
        <w:rPr>
          <w:sz w:val="20"/>
        </w:rPr>
        <w:t>N76,</w:t>
      </w:r>
      <w:r>
        <w:rPr>
          <w:spacing w:val="-6"/>
          <w:sz w:val="20"/>
        </w:rPr>
        <w:t> </w:t>
      </w:r>
      <w:r>
        <w:rPr>
          <w:sz w:val="20"/>
        </w:rPr>
        <w:t>N76.0,</w:t>
      </w:r>
      <w:r>
        <w:rPr>
          <w:spacing w:val="-5"/>
          <w:sz w:val="20"/>
        </w:rPr>
        <w:t> </w:t>
      </w:r>
      <w:r>
        <w:rPr>
          <w:sz w:val="20"/>
        </w:rPr>
        <w:t>N76.1,</w:t>
      </w:r>
      <w:r>
        <w:rPr>
          <w:spacing w:val="-5"/>
          <w:sz w:val="20"/>
        </w:rPr>
        <w:t> </w:t>
      </w:r>
      <w:r>
        <w:rPr>
          <w:spacing w:val="-2"/>
          <w:sz w:val="20"/>
        </w:rPr>
        <w:t>N76.2,</w:t>
      </w:r>
    </w:p>
    <w:p>
      <w:pPr>
        <w:spacing w:before="1"/>
        <w:ind w:left="4602" w:right="0" w:firstLine="0"/>
        <w:jc w:val="left"/>
        <w:rPr>
          <w:sz w:val="20"/>
        </w:rPr>
      </w:pPr>
      <w:r>
        <w:rPr>
          <w:sz w:val="20"/>
        </w:rPr>
        <w:t>N76.3,</w:t>
      </w:r>
      <w:r>
        <w:rPr>
          <w:spacing w:val="-4"/>
          <w:sz w:val="20"/>
        </w:rPr>
        <w:t> </w:t>
      </w:r>
      <w:r>
        <w:rPr>
          <w:sz w:val="20"/>
        </w:rPr>
        <w:t>N76.4,</w:t>
      </w:r>
      <w:r>
        <w:rPr>
          <w:spacing w:val="-5"/>
          <w:sz w:val="20"/>
        </w:rPr>
        <w:t> </w:t>
      </w:r>
      <w:r>
        <w:rPr>
          <w:sz w:val="20"/>
        </w:rPr>
        <w:t>N76.5,</w:t>
      </w:r>
      <w:r>
        <w:rPr>
          <w:spacing w:val="-3"/>
          <w:sz w:val="20"/>
        </w:rPr>
        <w:t> </w:t>
      </w:r>
      <w:r>
        <w:rPr>
          <w:sz w:val="20"/>
        </w:rPr>
        <w:t>N76.6,</w:t>
      </w:r>
      <w:r>
        <w:rPr>
          <w:spacing w:val="-5"/>
          <w:sz w:val="20"/>
        </w:rPr>
        <w:t> </w:t>
      </w:r>
      <w:r>
        <w:rPr>
          <w:sz w:val="20"/>
        </w:rPr>
        <w:t>N76.8,</w:t>
      </w:r>
      <w:r>
        <w:rPr>
          <w:spacing w:val="-3"/>
          <w:sz w:val="20"/>
        </w:rPr>
        <w:t> </w:t>
      </w:r>
      <w:r>
        <w:rPr>
          <w:sz w:val="20"/>
        </w:rPr>
        <w:t>N77,</w:t>
      </w:r>
      <w:r>
        <w:rPr>
          <w:spacing w:val="-4"/>
          <w:sz w:val="20"/>
        </w:rPr>
        <w:t> </w:t>
      </w:r>
      <w:r>
        <w:rPr>
          <w:spacing w:val="-2"/>
          <w:sz w:val="20"/>
        </w:rPr>
        <w:t>N77.0,</w:t>
      </w:r>
    </w:p>
    <w:p>
      <w:pPr>
        <w:spacing w:before="0"/>
        <w:ind w:left="4605" w:right="0" w:firstLine="0"/>
        <w:jc w:val="left"/>
        <w:rPr>
          <w:sz w:val="20"/>
        </w:rPr>
      </w:pPr>
      <w:r>
        <w:rPr>
          <w:sz w:val="20"/>
        </w:rPr>
        <w:t>N77.1,</w:t>
      </w:r>
      <w:r>
        <w:rPr>
          <w:spacing w:val="-6"/>
          <w:sz w:val="20"/>
        </w:rPr>
        <w:t> </w:t>
      </w:r>
      <w:r>
        <w:rPr>
          <w:sz w:val="20"/>
        </w:rPr>
        <w:t>N77.8,</w:t>
      </w:r>
      <w:r>
        <w:rPr>
          <w:spacing w:val="-7"/>
          <w:sz w:val="20"/>
        </w:rPr>
        <w:t> </w:t>
      </w:r>
      <w:r>
        <w:rPr>
          <w:sz w:val="20"/>
        </w:rPr>
        <w:t>N80,</w:t>
      </w:r>
      <w:r>
        <w:rPr>
          <w:spacing w:val="-5"/>
          <w:sz w:val="20"/>
        </w:rPr>
        <w:t> </w:t>
      </w:r>
      <w:r>
        <w:rPr>
          <w:sz w:val="20"/>
        </w:rPr>
        <w:t>N80.0,</w:t>
      </w:r>
      <w:r>
        <w:rPr>
          <w:spacing w:val="-5"/>
          <w:sz w:val="20"/>
        </w:rPr>
        <w:t> </w:t>
      </w:r>
      <w:r>
        <w:rPr>
          <w:sz w:val="20"/>
        </w:rPr>
        <w:t>N80.1,</w:t>
      </w:r>
      <w:r>
        <w:rPr>
          <w:spacing w:val="-5"/>
          <w:sz w:val="20"/>
        </w:rPr>
        <w:t> </w:t>
      </w:r>
      <w:r>
        <w:rPr>
          <w:sz w:val="20"/>
        </w:rPr>
        <w:t>N80.2,</w:t>
      </w:r>
      <w:r>
        <w:rPr>
          <w:spacing w:val="-6"/>
          <w:sz w:val="20"/>
        </w:rPr>
        <w:t> </w:t>
      </w:r>
      <w:r>
        <w:rPr>
          <w:spacing w:val="-2"/>
          <w:sz w:val="20"/>
        </w:rPr>
        <w:t>N80.3,</w:t>
      </w:r>
    </w:p>
    <w:p>
      <w:pPr>
        <w:spacing w:before="0"/>
        <w:ind w:left="4602" w:right="0" w:firstLine="0"/>
        <w:jc w:val="left"/>
        <w:rPr>
          <w:sz w:val="20"/>
        </w:rPr>
      </w:pPr>
      <w:r>
        <w:rPr>
          <w:sz w:val="20"/>
        </w:rPr>
        <w:t>N80.4,</w:t>
      </w:r>
      <w:r>
        <w:rPr>
          <w:spacing w:val="-4"/>
          <w:sz w:val="20"/>
        </w:rPr>
        <w:t> </w:t>
      </w:r>
      <w:r>
        <w:rPr>
          <w:sz w:val="20"/>
        </w:rPr>
        <w:t>N80.5,</w:t>
      </w:r>
      <w:r>
        <w:rPr>
          <w:spacing w:val="-6"/>
          <w:sz w:val="20"/>
        </w:rPr>
        <w:t> </w:t>
      </w:r>
      <w:r>
        <w:rPr>
          <w:sz w:val="20"/>
        </w:rPr>
        <w:t>N80.6,</w:t>
      </w:r>
      <w:r>
        <w:rPr>
          <w:spacing w:val="-4"/>
          <w:sz w:val="20"/>
        </w:rPr>
        <w:t> </w:t>
      </w:r>
      <w:r>
        <w:rPr>
          <w:sz w:val="20"/>
        </w:rPr>
        <w:t>N80.8,</w:t>
      </w:r>
      <w:r>
        <w:rPr>
          <w:spacing w:val="-6"/>
          <w:sz w:val="20"/>
        </w:rPr>
        <w:t> </w:t>
      </w:r>
      <w:r>
        <w:rPr>
          <w:sz w:val="20"/>
        </w:rPr>
        <w:t>N80.9,</w:t>
      </w:r>
      <w:r>
        <w:rPr>
          <w:spacing w:val="-4"/>
          <w:sz w:val="20"/>
        </w:rPr>
        <w:t> </w:t>
      </w:r>
      <w:r>
        <w:rPr>
          <w:sz w:val="20"/>
        </w:rPr>
        <w:t>N81,</w:t>
      </w:r>
      <w:r>
        <w:rPr>
          <w:spacing w:val="-4"/>
          <w:sz w:val="20"/>
        </w:rPr>
        <w:t> </w:t>
      </w:r>
      <w:r>
        <w:rPr>
          <w:spacing w:val="-2"/>
          <w:sz w:val="20"/>
        </w:rPr>
        <w:t>N81.0,</w:t>
      </w:r>
    </w:p>
    <w:p>
      <w:pPr>
        <w:spacing w:line="229" w:lineRule="exact" w:before="1"/>
        <w:ind w:left="1162" w:right="4154" w:firstLine="0"/>
        <w:jc w:val="center"/>
        <w:rPr>
          <w:sz w:val="20"/>
        </w:rPr>
      </w:pPr>
      <w:r>
        <w:rPr>
          <w:sz w:val="20"/>
        </w:rPr>
        <w:t>N81.1,</w:t>
      </w:r>
      <w:r>
        <w:rPr>
          <w:spacing w:val="-4"/>
          <w:sz w:val="20"/>
        </w:rPr>
        <w:t> </w:t>
      </w:r>
      <w:r>
        <w:rPr>
          <w:sz w:val="20"/>
        </w:rPr>
        <w:t>N81.2,</w:t>
      </w:r>
      <w:r>
        <w:rPr>
          <w:spacing w:val="-6"/>
          <w:sz w:val="20"/>
        </w:rPr>
        <w:t> </w:t>
      </w:r>
      <w:r>
        <w:rPr>
          <w:sz w:val="20"/>
        </w:rPr>
        <w:t>N81.3,</w:t>
      </w:r>
      <w:r>
        <w:rPr>
          <w:spacing w:val="-4"/>
          <w:sz w:val="20"/>
        </w:rPr>
        <w:t> </w:t>
      </w:r>
      <w:r>
        <w:rPr>
          <w:sz w:val="20"/>
        </w:rPr>
        <w:t>N81.4,</w:t>
      </w:r>
      <w:r>
        <w:rPr>
          <w:spacing w:val="-6"/>
          <w:sz w:val="20"/>
        </w:rPr>
        <w:t> </w:t>
      </w:r>
      <w:r>
        <w:rPr>
          <w:sz w:val="20"/>
        </w:rPr>
        <w:t>N81.5,</w:t>
      </w:r>
      <w:r>
        <w:rPr>
          <w:spacing w:val="-4"/>
          <w:sz w:val="20"/>
        </w:rPr>
        <w:t> </w:t>
      </w:r>
      <w:r>
        <w:rPr>
          <w:spacing w:val="-2"/>
          <w:sz w:val="20"/>
        </w:rPr>
        <w:t>N81.6,</w:t>
      </w:r>
    </w:p>
    <w:p>
      <w:pPr>
        <w:spacing w:line="229" w:lineRule="exact" w:before="0"/>
        <w:ind w:left="1161" w:right="4154" w:firstLine="0"/>
        <w:jc w:val="center"/>
        <w:rPr>
          <w:sz w:val="20"/>
        </w:rPr>
      </w:pPr>
      <w:r>
        <w:rPr>
          <w:sz w:val="20"/>
        </w:rPr>
        <w:t>N81.8,</w:t>
      </w:r>
      <w:r>
        <w:rPr>
          <w:spacing w:val="-6"/>
          <w:sz w:val="20"/>
        </w:rPr>
        <w:t> </w:t>
      </w:r>
      <w:r>
        <w:rPr>
          <w:sz w:val="20"/>
        </w:rPr>
        <w:t>N81.9,</w:t>
      </w:r>
      <w:r>
        <w:rPr>
          <w:spacing w:val="-7"/>
          <w:sz w:val="20"/>
        </w:rPr>
        <w:t> </w:t>
      </w:r>
      <w:r>
        <w:rPr>
          <w:sz w:val="20"/>
        </w:rPr>
        <w:t>N82,</w:t>
      </w:r>
      <w:r>
        <w:rPr>
          <w:spacing w:val="-5"/>
          <w:sz w:val="20"/>
        </w:rPr>
        <w:t> </w:t>
      </w:r>
      <w:r>
        <w:rPr>
          <w:sz w:val="20"/>
        </w:rPr>
        <w:t>N82.0,</w:t>
      </w:r>
      <w:r>
        <w:rPr>
          <w:spacing w:val="-5"/>
          <w:sz w:val="20"/>
        </w:rPr>
        <w:t> </w:t>
      </w:r>
      <w:r>
        <w:rPr>
          <w:sz w:val="20"/>
        </w:rPr>
        <w:t>N82.1,</w:t>
      </w:r>
      <w:r>
        <w:rPr>
          <w:spacing w:val="-5"/>
          <w:sz w:val="20"/>
        </w:rPr>
        <w:t> </w:t>
      </w:r>
      <w:r>
        <w:rPr>
          <w:sz w:val="20"/>
        </w:rPr>
        <w:t>N82.2,</w:t>
      </w:r>
      <w:r>
        <w:rPr>
          <w:spacing w:val="-6"/>
          <w:sz w:val="20"/>
        </w:rPr>
        <w:t> </w:t>
      </w:r>
      <w:r>
        <w:rPr>
          <w:spacing w:val="-2"/>
          <w:sz w:val="20"/>
        </w:rPr>
        <w:t>N82.3,</w:t>
      </w:r>
    </w:p>
    <w:p>
      <w:pPr>
        <w:spacing w:before="1"/>
        <w:ind w:left="1159" w:right="4154" w:firstLine="0"/>
        <w:jc w:val="center"/>
        <w:rPr>
          <w:sz w:val="20"/>
        </w:rPr>
      </w:pPr>
      <w:r>
        <w:rPr>
          <w:sz w:val="20"/>
        </w:rPr>
        <w:t>N82.4,</w:t>
      </w:r>
      <w:r>
        <w:rPr>
          <w:spacing w:val="-4"/>
          <w:sz w:val="20"/>
        </w:rPr>
        <w:t> </w:t>
      </w:r>
      <w:r>
        <w:rPr>
          <w:sz w:val="20"/>
        </w:rPr>
        <w:t>N82.5,</w:t>
      </w:r>
      <w:r>
        <w:rPr>
          <w:spacing w:val="-6"/>
          <w:sz w:val="20"/>
        </w:rPr>
        <w:t> </w:t>
      </w:r>
      <w:r>
        <w:rPr>
          <w:sz w:val="20"/>
        </w:rPr>
        <w:t>N82.8,</w:t>
      </w:r>
      <w:r>
        <w:rPr>
          <w:spacing w:val="-4"/>
          <w:sz w:val="20"/>
        </w:rPr>
        <w:t> </w:t>
      </w:r>
      <w:r>
        <w:rPr>
          <w:sz w:val="20"/>
        </w:rPr>
        <w:t>N82.9,</w:t>
      </w:r>
      <w:r>
        <w:rPr>
          <w:spacing w:val="-6"/>
          <w:sz w:val="20"/>
        </w:rPr>
        <w:t> </w:t>
      </w:r>
      <w:r>
        <w:rPr>
          <w:sz w:val="20"/>
        </w:rPr>
        <w:t>N83,</w:t>
      </w:r>
      <w:r>
        <w:rPr>
          <w:spacing w:val="-4"/>
          <w:sz w:val="20"/>
        </w:rPr>
        <w:t> </w:t>
      </w:r>
      <w:r>
        <w:rPr>
          <w:sz w:val="20"/>
        </w:rPr>
        <w:t>N83.0,</w:t>
      </w:r>
      <w:r>
        <w:rPr>
          <w:spacing w:val="-4"/>
          <w:sz w:val="20"/>
        </w:rPr>
        <w:t> </w:t>
      </w:r>
      <w:r>
        <w:rPr>
          <w:spacing w:val="-2"/>
          <w:sz w:val="20"/>
        </w:rPr>
        <w:t>N83.1,</w:t>
      </w:r>
    </w:p>
    <w:p>
      <w:pPr>
        <w:spacing w:before="0"/>
        <w:ind w:left="1164" w:right="4154" w:firstLine="0"/>
        <w:jc w:val="center"/>
        <w:rPr>
          <w:sz w:val="20"/>
        </w:rPr>
      </w:pPr>
      <w:r>
        <w:rPr>
          <w:sz w:val="20"/>
        </w:rPr>
        <w:t>N83.2,</w:t>
      </w:r>
      <w:r>
        <w:rPr>
          <w:spacing w:val="-4"/>
          <w:sz w:val="20"/>
        </w:rPr>
        <w:t> </w:t>
      </w:r>
      <w:r>
        <w:rPr>
          <w:sz w:val="20"/>
        </w:rPr>
        <w:t>N83.3,</w:t>
      </w:r>
      <w:r>
        <w:rPr>
          <w:spacing w:val="-6"/>
          <w:sz w:val="20"/>
        </w:rPr>
        <w:t> </w:t>
      </w:r>
      <w:r>
        <w:rPr>
          <w:sz w:val="20"/>
        </w:rPr>
        <w:t>N83.4,</w:t>
      </w:r>
      <w:r>
        <w:rPr>
          <w:spacing w:val="-3"/>
          <w:sz w:val="20"/>
        </w:rPr>
        <w:t> </w:t>
      </w:r>
      <w:r>
        <w:rPr>
          <w:sz w:val="20"/>
        </w:rPr>
        <w:t>N83.5,</w:t>
      </w:r>
      <w:r>
        <w:rPr>
          <w:spacing w:val="-6"/>
          <w:sz w:val="20"/>
        </w:rPr>
        <w:t> </w:t>
      </w:r>
      <w:r>
        <w:rPr>
          <w:sz w:val="20"/>
        </w:rPr>
        <w:t>N83.6,</w:t>
      </w:r>
      <w:r>
        <w:rPr>
          <w:spacing w:val="-4"/>
          <w:sz w:val="20"/>
        </w:rPr>
        <w:t> </w:t>
      </w:r>
      <w:r>
        <w:rPr>
          <w:spacing w:val="-2"/>
          <w:sz w:val="20"/>
        </w:rPr>
        <w:t>N83.7,</w:t>
      </w:r>
    </w:p>
    <w:p>
      <w:pPr>
        <w:spacing w:before="1"/>
        <w:ind w:left="1161" w:right="4154" w:firstLine="0"/>
        <w:jc w:val="center"/>
        <w:rPr>
          <w:sz w:val="20"/>
        </w:rPr>
      </w:pPr>
      <w:r>
        <w:rPr>
          <w:sz w:val="20"/>
        </w:rPr>
        <w:t>N83.8,</w:t>
      </w:r>
      <w:r>
        <w:rPr>
          <w:spacing w:val="-6"/>
          <w:sz w:val="20"/>
        </w:rPr>
        <w:t> </w:t>
      </w:r>
      <w:r>
        <w:rPr>
          <w:sz w:val="20"/>
        </w:rPr>
        <w:t>N83.9,</w:t>
      </w:r>
      <w:r>
        <w:rPr>
          <w:spacing w:val="-7"/>
          <w:sz w:val="20"/>
        </w:rPr>
        <w:t> </w:t>
      </w:r>
      <w:r>
        <w:rPr>
          <w:sz w:val="20"/>
        </w:rPr>
        <w:t>N84,</w:t>
      </w:r>
      <w:r>
        <w:rPr>
          <w:spacing w:val="-5"/>
          <w:sz w:val="20"/>
        </w:rPr>
        <w:t> </w:t>
      </w:r>
      <w:r>
        <w:rPr>
          <w:sz w:val="20"/>
        </w:rPr>
        <w:t>N84.0,</w:t>
      </w:r>
      <w:r>
        <w:rPr>
          <w:spacing w:val="-5"/>
          <w:sz w:val="20"/>
        </w:rPr>
        <w:t> </w:t>
      </w:r>
      <w:r>
        <w:rPr>
          <w:sz w:val="20"/>
        </w:rPr>
        <w:t>N84.1,</w:t>
      </w:r>
      <w:r>
        <w:rPr>
          <w:spacing w:val="-5"/>
          <w:sz w:val="20"/>
        </w:rPr>
        <w:t> </w:t>
      </w:r>
      <w:r>
        <w:rPr>
          <w:sz w:val="20"/>
        </w:rPr>
        <w:t>N84.2,</w:t>
      </w:r>
      <w:r>
        <w:rPr>
          <w:spacing w:val="-6"/>
          <w:sz w:val="20"/>
        </w:rPr>
        <w:t> </w:t>
      </w:r>
      <w:r>
        <w:rPr>
          <w:spacing w:val="-2"/>
          <w:sz w:val="20"/>
        </w:rPr>
        <w:t>N84.3,</w:t>
      </w:r>
    </w:p>
    <w:p>
      <w:pPr>
        <w:spacing w:before="0"/>
        <w:ind w:left="1161" w:right="4154" w:firstLine="0"/>
        <w:jc w:val="center"/>
        <w:rPr>
          <w:sz w:val="20"/>
        </w:rPr>
      </w:pPr>
      <w:r>
        <w:rPr>
          <w:sz w:val="20"/>
        </w:rPr>
        <w:t>N84.8,</w:t>
      </w:r>
      <w:r>
        <w:rPr>
          <w:spacing w:val="-6"/>
          <w:sz w:val="20"/>
        </w:rPr>
        <w:t> </w:t>
      </w:r>
      <w:r>
        <w:rPr>
          <w:sz w:val="20"/>
        </w:rPr>
        <w:t>N84.9,</w:t>
      </w:r>
      <w:r>
        <w:rPr>
          <w:spacing w:val="-7"/>
          <w:sz w:val="20"/>
        </w:rPr>
        <w:t> </w:t>
      </w:r>
      <w:r>
        <w:rPr>
          <w:sz w:val="20"/>
        </w:rPr>
        <w:t>N85,</w:t>
      </w:r>
      <w:r>
        <w:rPr>
          <w:spacing w:val="-5"/>
          <w:sz w:val="20"/>
        </w:rPr>
        <w:t> </w:t>
      </w:r>
      <w:r>
        <w:rPr>
          <w:sz w:val="20"/>
        </w:rPr>
        <w:t>N85.0,</w:t>
      </w:r>
      <w:r>
        <w:rPr>
          <w:spacing w:val="-5"/>
          <w:sz w:val="20"/>
        </w:rPr>
        <w:t> </w:t>
      </w:r>
      <w:r>
        <w:rPr>
          <w:sz w:val="20"/>
        </w:rPr>
        <w:t>N85.1,</w:t>
      </w:r>
      <w:r>
        <w:rPr>
          <w:spacing w:val="-5"/>
          <w:sz w:val="20"/>
        </w:rPr>
        <w:t> </w:t>
      </w:r>
      <w:r>
        <w:rPr>
          <w:sz w:val="20"/>
        </w:rPr>
        <w:t>N85.2,</w:t>
      </w:r>
      <w:r>
        <w:rPr>
          <w:spacing w:val="-6"/>
          <w:sz w:val="20"/>
        </w:rPr>
        <w:t> </w:t>
      </w:r>
      <w:r>
        <w:rPr>
          <w:spacing w:val="-2"/>
          <w:sz w:val="20"/>
        </w:rPr>
        <w:t>N85.3,</w:t>
      </w:r>
    </w:p>
    <w:p>
      <w:pPr>
        <w:spacing w:line="229" w:lineRule="exact" w:before="1"/>
        <w:ind w:left="1159" w:right="4154" w:firstLine="0"/>
        <w:jc w:val="center"/>
        <w:rPr>
          <w:sz w:val="20"/>
        </w:rPr>
      </w:pPr>
      <w:r>
        <w:rPr>
          <w:sz w:val="20"/>
        </w:rPr>
        <w:t>N85.4,</w:t>
      </w:r>
      <w:r>
        <w:rPr>
          <w:spacing w:val="-5"/>
          <w:sz w:val="20"/>
        </w:rPr>
        <w:t> </w:t>
      </w:r>
      <w:r>
        <w:rPr>
          <w:sz w:val="20"/>
        </w:rPr>
        <w:t>N85.5,</w:t>
      </w:r>
      <w:r>
        <w:rPr>
          <w:spacing w:val="-5"/>
          <w:sz w:val="20"/>
        </w:rPr>
        <w:t> </w:t>
      </w:r>
      <w:r>
        <w:rPr>
          <w:sz w:val="20"/>
        </w:rPr>
        <w:t>N85.6,</w:t>
      </w:r>
      <w:r>
        <w:rPr>
          <w:spacing w:val="-4"/>
          <w:sz w:val="20"/>
        </w:rPr>
        <w:t> </w:t>
      </w:r>
      <w:r>
        <w:rPr>
          <w:sz w:val="20"/>
        </w:rPr>
        <w:t>N85.7,</w:t>
      </w:r>
      <w:r>
        <w:rPr>
          <w:spacing w:val="-6"/>
          <w:sz w:val="20"/>
        </w:rPr>
        <w:t> </w:t>
      </w:r>
      <w:r>
        <w:rPr>
          <w:sz w:val="20"/>
        </w:rPr>
        <w:t>N85.8,</w:t>
      </w:r>
      <w:r>
        <w:rPr>
          <w:spacing w:val="-4"/>
          <w:sz w:val="20"/>
        </w:rPr>
        <w:t> </w:t>
      </w:r>
      <w:r>
        <w:rPr>
          <w:sz w:val="20"/>
        </w:rPr>
        <w:t>N85.9,</w:t>
      </w:r>
      <w:r>
        <w:rPr>
          <w:spacing w:val="-6"/>
          <w:sz w:val="20"/>
        </w:rPr>
        <w:t> </w:t>
      </w:r>
      <w:r>
        <w:rPr>
          <w:spacing w:val="-4"/>
          <w:sz w:val="20"/>
        </w:rPr>
        <w:t>N86,</w:t>
      </w:r>
    </w:p>
    <w:p>
      <w:pPr>
        <w:spacing w:line="229" w:lineRule="exact" w:before="0"/>
        <w:ind w:left="1161" w:right="4154" w:firstLine="0"/>
        <w:jc w:val="center"/>
        <w:rPr>
          <w:sz w:val="20"/>
        </w:rPr>
      </w:pPr>
      <w:r>
        <w:rPr>
          <w:sz w:val="20"/>
        </w:rPr>
        <w:t>N87,</w:t>
      </w:r>
      <w:r>
        <w:rPr>
          <w:spacing w:val="-5"/>
          <w:sz w:val="20"/>
        </w:rPr>
        <w:t> </w:t>
      </w:r>
      <w:r>
        <w:rPr>
          <w:sz w:val="20"/>
        </w:rPr>
        <w:t>N87.0,</w:t>
      </w:r>
      <w:r>
        <w:rPr>
          <w:spacing w:val="-5"/>
          <w:sz w:val="20"/>
        </w:rPr>
        <w:t> </w:t>
      </w:r>
      <w:r>
        <w:rPr>
          <w:sz w:val="20"/>
        </w:rPr>
        <w:t>N87.1,</w:t>
      </w:r>
      <w:r>
        <w:rPr>
          <w:spacing w:val="-5"/>
          <w:sz w:val="20"/>
        </w:rPr>
        <w:t> </w:t>
      </w:r>
      <w:r>
        <w:rPr>
          <w:sz w:val="20"/>
        </w:rPr>
        <w:t>N87.2,</w:t>
      </w:r>
      <w:r>
        <w:rPr>
          <w:spacing w:val="-5"/>
          <w:sz w:val="20"/>
        </w:rPr>
        <w:t> </w:t>
      </w:r>
      <w:r>
        <w:rPr>
          <w:sz w:val="20"/>
        </w:rPr>
        <w:t>N87.9,</w:t>
      </w:r>
      <w:r>
        <w:rPr>
          <w:spacing w:val="-5"/>
          <w:sz w:val="20"/>
        </w:rPr>
        <w:t> </w:t>
      </w:r>
      <w:r>
        <w:rPr>
          <w:sz w:val="20"/>
        </w:rPr>
        <w:t>N88,</w:t>
      </w:r>
      <w:r>
        <w:rPr>
          <w:spacing w:val="-5"/>
          <w:sz w:val="20"/>
        </w:rPr>
        <w:t> </w:t>
      </w:r>
      <w:r>
        <w:rPr>
          <w:spacing w:val="-2"/>
          <w:sz w:val="20"/>
        </w:rPr>
        <w:t>N88.0,</w:t>
      </w:r>
    </w:p>
    <w:p>
      <w:pPr>
        <w:spacing w:before="0"/>
        <w:ind w:left="1165" w:right="4154" w:firstLine="0"/>
        <w:jc w:val="center"/>
        <w:rPr>
          <w:sz w:val="20"/>
        </w:rPr>
      </w:pPr>
      <w:r>
        <w:rPr>
          <w:sz w:val="20"/>
        </w:rPr>
        <w:t>N88.1,</w:t>
      </w:r>
      <w:r>
        <w:rPr>
          <w:spacing w:val="-4"/>
          <w:sz w:val="20"/>
        </w:rPr>
        <w:t> </w:t>
      </w:r>
      <w:r>
        <w:rPr>
          <w:sz w:val="20"/>
        </w:rPr>
        <w:t>N88.2,</w:t>
      </w:r>
      <w:r>
        <w:rPr>
          <w:spacing w:val="-5"/>
          <w:sz w:val="20"/>
        </w:rPr>
        <w:t> </w:t>
      </w:r>
      <w:r>
        <w:rPr>
          <w:sz w:val="20"/>
        </w:rPr>
        <w:t>N88.3,</w:t>
      </w:r>
      <w:r>
        <w:rPr>
          <w:spacing w:val="-3"/>
          <w:sz w:val="20"/>
        </w:rPr>
        <w:t> </w:t>
      </w:r>
      <w:r>
        <w:rPr>
          <w:sz w:val="20"/>
        </w:rPr>
        <w:t>N88.4,</w:t>
      </w:r>
      <w:r>
        <w:rPr>
          <w:spacing w:val="-5"/>
          <w:sz w:val="20"/>
        </w:rPr>
        <w:t> </w:t>
      </w:r>
      <w:r>
        <w:rPr>
          <w:sz w:val="20"/>
        </w:rPr>
        <w:t>N88.8,</w:t>
      </w:r>
      <w:r>
        <w:rPr>
          <w:spacing w:val="-3"/>
          <w:sz w:val="20"/>
        </w:rPr>
        <w:t> </w:t>
      </w:r>
      <w:r>
        <w:rPr>
          <w:sz w:val="20"/>
        </w:rPr>
        <w:t>N88.9,</w:t>
      </w:r>
      <w:r>
        <w:rPr>
          <w:spacing w:val="-5"/>
          <w:sz w:val="20"/>
        </w:rPr>
        <w:t> </w:t>
      </w:r>
      <w:r>
        <w:rPr>
          <w:spacing w:val="-4"/>
          <w:sz w:val="20"/>
        </w:rPr>
        <w:t>N89,</w:t>
      </w:r>
    </w:p>
    <w:p>
      <w:pPr>
        <w:spacing w:before="0"/>
        <w:ind w:left="1162" w:right="4154" w:firstLine="0"/>
        <w:jc w:val="center"/>
        <w:rPr>
          <w:sz w:val="20"/>
        </w:rPr>
      </w:pPr>
      <w:r>
        <w:rPr>
          <w:sz w:val="20"/>
        </w:rPr>
        <w:t>N89.0,</w:t>
      </w:r>
      <w:r>
        <w:rPr>
          <w:spacing w:val="-4"/>
          <w:sz w:val="20"/>
        </w:rPr>
        <w:t> </w:t>
      </w:r>
      <w:r>
        <w:rPr>
          <w:sz w:val="20"/>
        </w:rPr>
        <w:t>N89.1,</w:t>
      </w:r>
      <w:r>
        <w:rPr>
          <w:spacing w:val="-6"/>
          <w:sz w:val="20"/>
        </w:rPr>
        <w:t> </w:t>
      </w:r>
      <w:r>
        <w:rPr>
          <w:sz w:val="20"/>
        </w:rPr>
        <w:t>N89.2,</w:t>
      </w:r>
      <w:r>
        <w:rPr>
          <w:spacing w:val="-4"/>
          <w:sz w:val="20"/>
        </w:rPr>
        <w:t> </w:t>
      </w:r>
      <w:r>
        <w:rPr>
          <w:sz w:val="20"/>
        </w:rPr>
        <w:t>N89.3,</w:t>
      </w:r>
      <w:r>
        <w:rPr>
          <w:spacing w:val="-6"/>
          <w:sz w:val="20"/>
        </w:rPr>
        <w:t> </w:t>
      </w:r>
      <w:r>
        <w:rPr>
          <w:sz w:val="20"/>
        </w:rPr>
        <w:t>N89.4,</w:t>
      </w:r>
      <w:r>
        <w:rPr>
          <w:spacing w:val="-4"/>
          <w:sz w:val="20"/>
        </w:rPr>
        <w:t> </w:t>
      </w:r>
      <w:r>
        <w:rPr>
          <w:spacing w:val="-2"/>
          <w:sz w:val="20"/>
        </w:rPr>
        <w:t>N89.5,</w:t>
      </w:r>
    </w:p>
    <w:p>
      <w:pPr>
        <w:spacing w:before="1"/>
        <w:ind w:left="1159" w:right="4154" w:firstLine="0"/>
        <w:jc w:val="center"/>
        <w:rPr>
          <w:sz w:val="20"/>
        </w:rPr>
      </w:pPr>
      <w:r>
        <w:rPr>
          <w:sz w:val="20"/>
        </w:rPr>
        <w:t>N89.6,</w:t>
      </w:r>
      <w:r>
        <w:rPr>
          <w:spacing w:val="-4"/>
          <w:sz w:val="20"/>
        </w:rPr>
        <w:t> </w:t>
      </w:r>
      <w:r>
        <w:rPr>
          <w:sz w:val="20"/>
        </w:rPr>
        <w:t>N89.7,</w:t>
      </w:r>
      <w:r>
        <w:rPr>
          <w:spacing w:val="-6"/>
          <w:sz w:val="20"/>
        </w:rPr>
        <w:t> </w:t>
      </w:r>
      <w:r>
        <w:rPr>
          <w:sz w:val="20"/>
        </w:rPr>
        <w:t>N89.8,</w:t>
      </w:r>
      <w:r>
        <w:rPr>
          <w:spacing w:val="-4"/>
          <w:sz w:val="20"/>
        </w:rPr>
        <w:t> </w:t>
      </w:r>
      <w:r>
        <w:rPr>
          <w:sz w:val="20"/>
        </w:rPr>
        <w:t>N89.9,</w:t>
      </w:r>
      <w:r>
        <w:rPr>
          <w:spacing w:val="-6"/>
          <w:sz w:val="20"/>
        </w:rPr>
        <w:t> </w:t>
      </w:r>
      <w:r>
        <w:rPr>
          <w:sz w:val="20"/>
        </w:rPr>
        <w:t>N90,</w:t>
      </w:r>
      <w:r>
        <w:rPr>
          <w:spacing w:val="-4"/>
          <w:sz w:val="20"/>
        </w:rPr>
        <w:t> </w:t>
      </w:r>
      <w:r>
        <w:rPr>
          <w:sz w:val="20"/>
        </w:rPr>
        <w:t>N90.0,</w:t>
      </w:r>
      <w:r>
        <w:rPr>
          <w:spacing w:val="-4"/>
          <w:sz w:val="20"/>
        </w:rPr>
        <w:t> </w:t>
      </w:r>
      <w:r>
        <w:rPr>
          <w:spacing w:val="-2"/>
          <w:sz w:val="20"/>
        </w:rPr>
        <w:t>N90.1,</w:t>
      </w:r>
    </w:p>
    <w:p>
      <w:pPr>
        <w:spacing w:before="1"/>
        <w:ind w:left="1162" w:right="4154" w:firstLine="0"/>
        <w:jc w:val="center"/>
        <w:rPr>
          <w:sz w:val="20"/>
        </w:rPr>
      </w:pPr>
      <w:r>
        <w:rPr>
          <w:sz w:val="20"/>
        </w:rPr>
        <w:t>N90.2,</w:t>
      </w:r>
      <w:r>
        <w:rPr>
          <w:spacing w:val="-4"/>
          <w:sz w:val="20"/>
        </w:rPr>
        <w:t> </w:t>
      </w:r>
      <w:r>
        <w:rPr>
          <w:sz w:val="20"/>
        </w:rPr>
        <w:t>N90.3,</w:t>
      </w:r>
      <w:r>
        <w:rPr>
          <w:spacing w:val="-6"/>
          <w:sz w:val="20"/>
        </w:rPr>
        <w:t> </w:t>
      </w:r>
      <w:r>
        <w:rPr>
          <w:sz w:val="20"/>
        </w:rPr>
        <w:t>N90.4,</w:t>
      </w:r>
      <w:r>
        <w:rPr>
          <w:spacing w:val="-4"/>
          <w:sz w:val="20"/>
        </w:rPr>
        <w:t> </w:t>
      </w:r>
      <w:r>
        <w:rPr>
          <w:sz w:val="20"/>
        </w:rPr>
        <w:t>N90.5,</w:t>
      </w:r>
      <w:r>
        <w:rPr>
          <w:spacing w:val="-6"/>
          <w:sz w:val="20"/>
        </w:rPr>
        <w:t> </w:t>
      </w:r>
      <w:r>
        <w:rPr>
          <w:sz w:val="20"/>
        </w:rPr>
        <w:t>N90.6,</w:t>
      </w:r>
      <w:r>
        <w:rPr>
          <w:spacing w:val="-4"/>
          <w:sz w:val="20"/>
        </w:rPr>
        <w:t> </w:t>
      </w:r>
      <w:r>
        <w:rPr>
          <w:spacing w:val="-2"/>
          <w:sz w:val="20"/>
        </w:rPr>
        <w:t>N90.7,</w:t>
      </w:r>
    </w:p>
    <w:p>
      <w:pPr>
        <w:spacing w:line="229" w:lineRule="exact" w:before="0"/>
        <w:ind w:left="1161" w:right="4154" w:firstLine="0"/>
        <w:jc w:val="center"/>
        <w:rPr>
          <w:sz w:val="20"/>
        </w:rPr>
      </w:pPr>
      <w:r>
        <w:rPr>
          <w:sz w:val="20"/>
        </w:rPr>
        <w:t>N90.8,</w:t>
      </w:r>
      <w:r>
        <w:rPr>
          <w:spacing w:val="-6"/>
          <w:sz w:val="20"/>
        </w:rPr>
        <w:t> </w:t>
      </w:r>
      <w:r>
        <w:rPr>
          <w:sz w:val="20"/>
        </w:rPr>
        <w:t>N90.9,</w:t>
      </w:r>
      <w:r>
        <w:rPr>
          <w:spacing w:val="-7"/>
          <w:sz w:val="20"/>
        </w:rPr>
        <w:t> </w:t>
      </w:r>
      <w:r>
        <w:rPr>
          <w:sz w:val="20"/>
        </w:rPr>
        <w:t>N91,</w:t>
      </w:r>
      <w:r>
        <w:rPr>
          <w:spacing w:val="-5"/>
          <w:sz w:val="20"/>
        </w:rPr>
        <w:t> </w:t>
      </w:r>
      <w:r>
        <w:rPr>
          <w:sz w:val="20"/>
        </w:rPr>
        <w:t>N91.0,</w:t>
      </w:r>
      <w:r>
        <w:rPr>
          <w:spacing w:val="-5"/>
          <w:sz w:val="20"/>
        </w:rPr>
        <w:t> </w:t>
      </w:r>
      <w:r>
        <w:rPr>
          <w:sz w:val="20"/>
        </w:rPr>
        <w:t>N91.1,</w:t>
      </w:r>
      <w:r>
        <w:rPr>
          <w:spacing w:val="-5"/>
          <w:sz w:val="20"/>
        </w:rPr>
        <w:t> </w:t>
      </w:r>
      <w:r>
        <w:rPr>
          <w:sz w:val="20"/>
        </w:rPr>
        <w:t>N91.2,</w:t>
      </w:r>
      <w:r>
        <w:rPr>
          <w:spacing w:val="-6"/>
          <w:sz w:val="20"/>
        </w:rPr>
        <w:t> </w:t>
      </w:r>
      <w:r>
        <w:rPr>
          <w:spacing w:val="-2"/>
          <w:sz w:val="20"/>
        </w:rPr>
        <w:t>N91.3,</w:t>
      </w:r>
    </w:p>
    <w:p>
      <w:pPr>
        <w:spacing w:line="229" w:lineRule="exact" w:before="0"/>
        <w:ind w:left="1161" w:right="4154" w:firstLine="0"/>
        <w:jc w:val="center"/>
        <w:rPr>
          <w:sz w:val="20"/>
        </w:rPr>
      </w:pPr>
      <w:r>
        <w:rPr>
          <w:sz w:val="20"/>
        </w:rPr>
        <w:t>N91.4,</w:t>
      </w:r>
      <w:r>
        <w:rPr>
          <w:spacing w:val="-6"/>
          <w:sz w:val="20"/>
        </w:rPr>
        <w:t> </w:t>
      </w:r>
      <w:r>
        <w:rPr>
          <w:sz w:val="20"/>
        </w:rPr>
        <w:t>N91.5,</w:t>
      </w:r>
      <w:r>
        <w:rPr>
          <w:spacing w:val="-7"/>
          <w:sz w:val="20"/>
        </w:rPr>
        <w:t> </w:t>
      </w:r>
      <w:r>
        <w:rPr>
          <w:sz w:val="20"/>
        </w:rPr>
        <w:t>N92,</w:t>
      </w:r>
      <w:r>
        <w:rPr>
          <w:spacing w:val="-5"/>
          <w:sz w:val="20"/>
        </w:rPr>
        <w:t> </w:t>
      </w:r>
      <w:r>
        <w:rPr>
          <w:sz w:val="20"/>
        </w:rPr>
        <w:t>N92.0,</w:t>
      </w:r>
      <w:r>
        <w:rPr>
          <w:spacing w:val="-5"/>
          <w:sz w:val="20"/>
        </w:rPr>
        <w:t> </w:t>
      </w:r>
      <w:r>
        <w:rPr>
          <w:sz w:val="20"/>
        </w:rPr>
        <w:t>N92.1,</w:t>
      </w:r>
      <w:r>
        <w:rPr>
          <w:spacing w:val="-5"/>
          <w:sz w:val="20"/>
        </w:rPr>
        <w:t> </w:t>
      </w:r>
      <w:r>
        <w:rPr>
          <w:sz w:val="20"/>
        </w:rPr>
        <w:t>N92.2,</w:t>
      </w:r>
      <w:r>
        <w:rPr>
          <w:spacing w:val="-6"/>
          <w:sz w:val="20"/>
        </w:rPr>
        <w:t> </w:t>
      </w:r>
      <w:r>
        <w:rPr>
          <w:spacing w:val="-2"/>
          <w:sz w:val="20"/>
        </w:rPr>
        <w:t>N92.3,</w:t>
      </w:r>
    </w:p>
    <w:p>
      <w:pPr>
        <w:spacing w:before="0"/>
        <w:ind w:left="4605" w:right="0" w:firstLine="0"/>
        <w:jc w:val="left"/>
        <w:rPr>
          <w:sz w:val="20"/>
        </w:rPr>
      </w:pPr>
      <w:r>
        <w:rPr>
          <w:sz w:val="20"/>
        </w:rPr>
        <w:t>N92.4,</w:t>
      </w:r>
      <w:r>
        <w:rPr>
          <w:spacing w:val="-5"/>
          <w:sz w:val="20"/>
        </w:rPr>
        <w:t> </w:t>
      </w:r>
      <w:r>
        <w:rPr>
          <w:sz w:val="20"/>
        </w:rPr>
        <w:t>N92.5,</w:t>
      </w:r>
      <w:r>
        <w:rPr>
          <w:spacing w:val="-6"/>
          <w:sz w:val="20"/>
        </w:rPr>
        <w:t> </w:t>
      </w:r>
      <w:r>
        <w:rPr>
          <w:sz w:val="20"/>
        </w:rPr>
        <w:t>N92.6,</w:t>
      </w:r>
      <w:r>
        <w:rPr>
          <w:spacing w:val="-5"/>
          <w:sz w:val="20"/>
        </w:rPr>
        <w:t> </w:t>
      </w:r>
      <w:r>
        <w:rPr>
          <w:sz w:val="20"/>
        </w:rPr>
        <w:t>N93,</w:t>
      </w:r>
      <w:r>
        <w:rPr>
          <w:spacing w:val="-5"/>
          <w:sz w:val="20"/>
        </w:rPr>
        <w:t> </w:t>
      </w:r>
      <w:r>
        <w:rPr>
          <w:sz w:val="20"/>
        </w:rPr>
        <w:t>N93.0,</w:t>
      </w:r>
      <w:r>
        <w:rPr>
          <w:spacing w:val="-4"/>
          <w:sz w:val="20"/>
        </w:rPr>
        <w:t> </w:t>
      </w:r>
      <w:r>
        <w:rPr>
          <w:sz w:val="20"/>
        </w:rPr>
        <w:t>N93.8,</w:t>
      </w:r>
      <w:r>
        <w:rPr>
          <w:spacing w:val="-5"/>
          <w:sz w:val="20"/>
        </w:rPr>
        <w:t> </w:t>
      </w:r>
      <w:r>
        <w:rPr>
          <w:spacing w:val="-2"/>
          <w:sz w:val="20"/>
        </w:rPr>
        <w:t>N93.9,</w:t>
      </w:r>
    </w:p>
    <w:p>
      <w:pPr>
        <w:spacing w:before="1"/>
        <w:ind w:left="4605" w:right="0" w:firstLine="0"/>
        <w:jc w:val="left"/>
        <w:rPr>
          <w:sz w:val="20"/>
        </w:rPr>
      </w:pPr>
      <w:r>
        <w:rPr>
          <w:sz w:val="20"/>
        </w:rPr>
        <w:t>N94,</w:t>
      </w:r>
      <w:r>
        <w:rPr>
          <w:spacing w:val="-6"/>
          <w:sz w:val="20"/>
        </w:rPr>
        <w:t> </w:t>
      </w:r>
      <w:r>
        <w:rPr>
          <w:sz w:val="20"/>
        </w:rPr>
        <w:t>N94.0,</w:t>
      </w:r>
      <w:r>
        <w:rPr>
          <w:spacing w:val="-6"/>
          <w:sz w:val="20"/>
        </w:rPr>
        <w:t> </w:t>
      </w:r>
      <w:r>
        <w:rPr>
          <w:sz w:val="20"/>
        </w:rPr>
        <w:t>N94.1,</w:t>
      </w:r>
      <w:r>
        <w:rPr>
          <w:spacing w:val="-5"/>
          <w:sz w:val="20"/>
        </w:rPr>
        <w:t> </w:t>
      </w:r>
      <w:r>
        <w:rPr>
          <w:sz w:val="20"/>
        </w:rPr>
        <w:t>N94.2,</w:t>
      </w:r>
      <w:r>
        <w:rPr>
          <w:spacing w:val="-6"/>
          <w:sz w:val="20"/>
        </w:rPr>
        <w:t> </w:t>
      </w:r>
      <w:r>
        <w:rPr>
          <w:sz w:val="20"/>
        </w:rPr>
        <w:t>N94.3,</w:t>
      </w:r>
      <w:r>
        <w:rPr>
          <w:spacing w:val="-5"/>
          <w:sz w:val="20"/>
        </w:rPr>
        <w:t> </w:t>
      </w:r>
      <w:r>
        <w:rPr>
          <w:sz w:val="20"/>
        </w:rPr>
        <w:t>N94.4,</w:t>
      </w:r>
      <w:r>
        <w:rPr>
          <w:spacing w:val="-6"/>
          <w:sz w:val="20"/>
        </w:rPr>
        <w:t> </w:t>
      </w:r>
      <w:r>
        <w:rPr>
          <w:spacing w:val="-2"/>
          <w:sz w:val="20"/>
        </w:rPr>
        <w:t>N94.5,</w:t>
      </w:r>
    </w:p>
    <w:p>
      <w:pPr>
        <w:spacing w:before="0"/>
        <w:ind w:left="4605" w:right="0" w:firstLine="0"/>
        <w:jc w:val="left"/>
        <w:rPr>
          <w:sz w:val="20"/>
        </w:rPr>
      </w:pPr>
      <w:r>
        <w:rPr>
          <w:sz w:val="20"/>
        </w:rPr>
        <w:t>N94.6,</w:t>
      </w:r>
      <w:r>
        <w:rPr>
          <w:spacing w:val="-6"/>
          <w:sz w:val="20"/>
        </w:rPr>
        <w:t> </w:t>
      </w:r>
      <w:r>
        <w:rPr>
          <w:sz w:val="20"/>
        </w:rPr>
        <w:t>N94.8,</w:t>
      </w:r>
      <w:r>
        <w:rPr>
          <w:spacing w:val="-6"/>
          <w:sz w:val="20"/>
        </w:rPr>
        <w:t> </w:t>
      </w:r>
      <w:r>
        <w:rPr>
          <w:sz w:val="20"/>
        </w:rPr>
        <w:t>N94.9,</w:t>
      </w:r>
      <w:r>
        <w:rPr>
          <w:spacing w:val="-5"/>
          <w:sz w:val="20"/>
        </w:rPr>
        <w:t> </w:t>
      </w:r>
      <w:r>
        <w:rPr>
          <w:sz w:val="20"/>
        </w:rPr>
        <w:t>N95,</w:t>
      </w:r>
      <w:r>
        <w:rPr>
          <w:spacing w:val="-6"/>
          <w:sz w:val="20"/>
        </w:rPr>
        <w:t> </w:t>
      </w:r>
      <w:r>
        <w:rPr>
          <w:sz w:val="20"/>
        </w:rPr>
        <w:t>N95.0,</w:t>
      </w:r>
      <w:r>
        <w:rPr>
          <w:spacing w:val="-5"/>
          <w:sz w:val="20"/>
        </w:rPr>
        <w:t> </w:t>
      </w:r>
      <w:r>
        <w:rPr>
          <w:sz w:val="20"/>
        </w:rPr>
        <w:t>N95.1,</w:t>
      </w:r>
      <w:r>
        <w:rPr>
          <w:spacing w:val="-5"/>
          <w:sz w:val="20"/>
        </w:rPr>
        <w:t> </w:t>
      </w:r>
      <w:r>
        <w:rPr>
          <w:spacing w:val="-2"/>
          <w:sz w:val="20"/>
        </w:rPr>
        <w:t>N95.2,</w:t>
      </w:r>
    </w:p>
    <w:p>
      <w:pPr>
        <w:spacing w:line="229" w:lineRule="exact" w:before="1"/>
        <w:ind w:left="4679" w:right="0" w:firstLine="0"/>
        <w:jc w:val="left"/>
        <w:rPr>
          <w:sz w:val="20"/>
        </w:rPr>
      </w:pPr>
      <w:r>
        <w:rPr>
          <w:sz w:val="20"/>
        </w:rPr>
        <w:t>N95.3,</w:t>
      </w:r>
      <w:r>
        <w:rPr>
          <w:spacing w:val="-5"/>
          <w:sz w:val="20"/>
        </w:rPr>
        <w:t> </w:t>
      </w:r>
      <w:r>
        <w:rPr>
          <w:sz w:val="20"/>
        </w:rPr>
        <w:t>N95.8,</w:t>
      </w:r>
      <w:r>
        <w:rPr>
          <w:spacing w:val="-6"/>
          <w:sz w:val="20"/>
        </w:rPr>
        <w:t> </w:t>
      </w:r>
      <w:r>
        <w:rPr>
          <w:sz w:val="20"/>
        </w:rPr>
        <w:t>N95.9,</w:t>
      </w:r>
      <w:r>
        <w:rPr>
          <w:spacing w:val="-5"/>
          <w:sz w:val="20"/>
        </w:rPr>
        <w:t> </w:t>
      </w:r>
      <w:r>
        <w:rPr>
          <w:sz w:val="20"/>
        </w:rPr>
        <w:t>N96,</w:t>
      </w:r>
      <w:r>
        <w:rPr>
          <w:spacing w:val="-4"/>
          <w:sz w:val="20"/>
        </w:rPr>
        <w:t> </w:t>
      </w:r>
      <w:r>
        <w:rPr>
          <w:sz w:val="20"/>
        </w:rPr>
        <w:t>N97,</w:t>
      </w:r>
      <w:r>
        <w:rPr>
          <w:spacing w:val="-5"/>
          <w:sz w:val="20"/>
        </w:rPr>
        <w:t> </w:t>
      </w:r>
      <w:r>
        <w:rPr>
          <w:sz w:val="20"/>
        </w:rPr>
        <w:t>N97.0,</w:t>
      </w:r>
      <w:r>
        <w:rPr>
          <w:spacing w:val="-4"/>
          <w:sz w:val="20"/>
        </w:rPr>
        <w:t> </w:t>
      </w:r>
      <w:r>
        <w:rPr>
          <w:spacing w:val="-2"/>
          <w:sz w:val="20"/>
        </w:rPr>
        <w:t>N97.1,</w:t>
      </w:r>
    </w:p>
    <w:p>
      <w:pPr>
        <w:spacing w:line="229" w:lineRule="exact" w:before="0"/>
        <w:ind w:left="4602" w:right="0" w:firstLine="0"/>
        <w:jc w:val="left"/>
        <w:rPr>
          <w:sz w:val="20"/>
        </w:rPr>
      </w:pPr>
      <w:r>
        <w:rPr>
          <w:sz w:val="20"/>
        </w:rPr>
        <w:t>N97.2,</w:t>
      </w:r>
      <w:r>
        <w:rPr>
          <w:spacing w:val="-4"/>
          <w:sz w:val="20"/>
        </w:rPr>
        <w:t> </w:t>
      </w:r>
      <w:r>
        <w:rPr>
          <w:sz w:val="20"/>
        </w:rPr>
        <w:t>N97.3,</w:t>
      </w:r>
      <w:r>
        <w:rPr>
          <w:spacing w:val="-6"/>
          <w:sz w:val="20"/>
        </w:rPr>
        <w:t> </w:t>
      </w:r>
      <w:r>
        <w:rPr>
          <w:sz w:val="20"/>
        </w:rPr>
        <w:t>N97.4,</w:t>
      </w:r>
      <w:r>
        <w:rPr>
          <w:spacing w:val="-4"/>
          <w:sz w:val="20"/>
        </w:rPr>
        <w:t> </w:t>
      </w:r>
      <w:r>
        <w:rPr>
          <w:sz w:val="20"/>
        </w:rPr>
        <w:t>N97.8,</w:t>
      </w:r>
      <w:r>
        <w:rPr>
          <w:spacing w:val="-6"/>
          <w:sz w:val="20"/>
        </w:rPr>
        <w:t> </w:t>
      </w:r>
      <w:r>
        <w:rPr>
          <w:sz w:val="20"/>
        </w:rPr>
        <w:t>N97.9,</w:t>
      </w:r>
      <w:r>
        <w:rPr>
          <w:spacing w:val="-4"/>
          <w:sz w:val="20"/>
        </w:rPr>
        <w:t> </w:t>
      </w:r>
      <w:r>
        <w:rPr>
          <w:sz w:val="20"/>
        </w:rPr>
        <w:t>N98,</w:t>
      </w:r>
      <w:r>
        <w:rPr>
          <w:spacing w:val="-4"/>
          <w:sz w:val="20"/>
        </w:rPr>
        <w:t> </w:t>
      </w:r>
      <w:r>
        <w:rPr>
          <w:spacing w:val="-2"/>
          <w:sz w:val="20"/>
        </w:rPr>
        <w:t>N98.0,</w:t>
      </w:r>
    </w:p>
    <w:p>
      <w:pPr>
        <w:spacing w:before="0"/>
        <w:ind w:left="1162" w:right="4154" w:firstLine="0"/>
        <w:jc w:val="center"/>
        <w:rPr>
          <w:sz w:val="20"/>
        </w:rPr>
      </w:pPr>
      <w:r>
        <w:rPr>
          <w:sz w:val="20"/>
        </w:rPr>
        <w:t>N98.1,</w:t>
      </w:r>
      <w:r>
        <w:rPr>
          <w:spacing w:val="-4"/>
          <w:sz w:val="20"/>
        </w:rPr>
        <w:t> </w:t>
      </w:r>
      <w:r>
        <w:rPr>
          <w:sz w:val="20"/>
        </w:rPr>
        <w:t>N98.2,</w:t>
      </w:r>
      <w:r>
        <w:rPr>
          <w:spacing w:val="-6"/>
          <w:sz w:val="20"/>
        </w:rPr>
        <w:t> </w:t>
      </w:r>
      <w:r>
        <w:rPr>
          <w:sz w:val="20"/>
        </w:rPr>
        <w:t>N98.3,</w:t>
      </w:r>
      <w:r>
        <w:rPr>
          <w:spacing w:val="-4"/>
          <w:sz w:val="20"/>
        </w:rPr>
        <w:t> </w:t>
      </w:r>
      <w:r>
        <w:rPr>
          <w:sz w:val="20"/>
        </w:rPr>
        <w:t>N98.8,</w:t>
      </w:r>
      <w:r>
        <w:rPr>
          <w:spacing w:val="-6"/>
          <w:sz w:val="20"/>
        </w:rPr>
        <w:t> </w:t>
      </w:r>
      <w:r>
        <w:rPr>
          <w:sz w:val="20"/>
        </w:rPr>
        <w:t>N98.9,</w:t>
      </w:r>
      <w:r>
        <w:rPr>
          <w:spacing w:val="-4"/>
          <w:sz w:val="20"/>
        </w:rPr>
        <w:t> </w:t>
      </w:r>
      <w:r>
        <w:rPr>
          <w:spacing w:val="-2"/>
          <w:sz w:val="20"/>
        </w:rPr>
        <w:t>N99.2,</w:t>
      </w:r>
    </w:p>
    <w:p>
      <w:pPr>
        <w:spacing w:before="1"/>
        <w:ind w:left="1162" w:right="4154" w:firstLine="0"/>
        <w:jc w:val="center"/>
        <w:rPr>
          <w:sz w:val="20"/>
        </w:rPr>
      </w:pPr>
      <w:r>
        <w:rPr>
          <w:sz w:val="20"/>
        </w:rPr>
        <w:t>N99.3,</w:t>
      </w:r>
      <w:r>
        <w:rPr>
          <w:spacing w:val="-6"/>
          <w:sz w:val="20"/>
        </w:rPr>
        <w:t> </w:t>
      </w:r>
      <w:r>
        <w:rPr>
          <w:sz w:val="20"/>
        </w:rPr>
        <w:t>Q50,</w:t>
      </w:r>
      <w:r>
        <w:rPr>
          <w:spacing w:val="-6"/>
          <w:sz w:val="20"/>
        </w:rPr>
        <w:t> </w:t>
      </w:r>
      <w:r>
        <w:rPr>
          <w:sz w:val="20"/>
        </w:rPr>
        <w:t>Q50.0,</w:t>
      </w:r>
      <w:r>
        <w:rPr>
          <w:spacing w:val="-5"/>
          <w:sz w:val="20"/>
        </w:rPr>
        <w:t> </w:t>
      </w:r>
      <w:r>
        <w:rPr>
          <w:sz w:val="20"/>
        </w:rPr>
        <w:t>Q50.1,</w:t>
      </w:r>
      <w:r>
        <w:rPr>
          <w:spacing w:val="-6"/>
          <w:sz w:val="20"/>
        </w:rPr>
        <w:t> </w:t>
      </w:r>
      <w:r>
        <w:rPr>
          <w:sz w:val="20"/>
        </w:rPr>
        <w:t>Q50.2,</w:t>
      </w:r>
      <w:r>
        <w:rPr>
          <w:spacing w:val="-5"/>
          <w:sz w:val="20"/>
        </w:rPr>
        <w:t> </w:t>
      </w:r>
      <w:r>
        <w:rPr>
          <w:sz w:val="20"/>
        </w:rPr>
        <w:t>Q50.3,</w:t>
      </w:r>
      <w:r>
        <w:rPr>
          <w:spacing w:val="-6"/>
          <w:sz w:val="20"/>
        </w:rPr>
        <w:t> </w:t>
      </w:r>
      <w:r>
        <w:rPr>
          <w:spacing w:val="-2"/>
          <w:sz w:val="20"/>
        </w:rPr>
        <w:t>Q50.4,</w:t>
      </w:r>
    </w:p>
    <w:p>
      <w:pPr>
        <w:spacing w:before="0"/>
        <w:ind w:left="1161" w:right="4154" w:firstLine="0"/>
        <w:jc w:val="center"/>
        <w:rPr>
          <w:sz w:val="20"/>
        </w:rPr>
      </w:pPr>
      <w:r>
        <w:rPr>
          <w:sz w:val="20"/>
        </w:rPr>
        <w:t>Q50.5,</w:t>
      </w:r>
      <w:r>
        <w:rPr>
          <w:spacing w:val="-6"/>
          <w:sz w:val="20"/>
        </w:rPr>
        <w:t> </w:t>
      </w:r>
      <w:r>
        <w:rPr>
          <w:sz w:val="20"/>
        </w:rPr>
        <w:t>Q50.6,</w:t>
      </w:r>
      <w:r>
        <w:rPr>
          <w:spacing w:val="-7"/>
          <w:sz w:val="20"/>
        </w:rPr>
        <w:t> </w:t>
      </w:r>
      <w:r>
        <w:rPr>
          <w:sz w:val="20"/>
        </w:rPr>
        <w:t>Q51,</w:t>
      </w:r>
      <w:r>
        <w:rPr>
          <w:spacing w:val="-5"/>
          <w:sz w:val="20"/>
        </w:rPr>
        <w:t> </w:t>
      </w:r>
      <w:r>
        <w:rPr>
          <w:sz w:val="20"/>
        </w:rPr>
        <w:t>Q51.0,</w:t>
      </w:r>
      <w:r>
        <w:rPr>
          <w:spacing w:val="-5"/>
          <w:sz w:val="20"/>
        </w:rPr>
        <w:t> </w:t>
      </w:r>
      <w:r>
        <w:rPr>
          <w:sz w:val="20"/>
        </w:rPr>
        <w:t>Q51.1,</w:t>
      </w:r>
      <w:r>
        <w:rPr>
          <w:spacing w:val="-5"/>
          <w:sz w:val="20"/>
        </w:rPr>
        <w:t> </w:t>
      </w:r>
      <w:r>
        <w:rPr>
          <w:sz w:val="20"/>
        </w:rPr>
        <w:t>Q51.2,</w:t>
      </w:r>
      <w:r>
        <w:rPr>
          <w:spacing w:val="-6"/>
          <w:sz w:val="20"/>
        </w:rPr>
        <w:t> </w:t>
      </w:r>
      <w:r>
        <w:rPr>
          <w:spacing w:val="-2"/>
          <w:sz w:val="20"/>
        </w:rPr>
        <w:t>Q51.3,</w:t>
      </w:r>
    </w:p>
    <w:p>
      <w:pPr>
        <w:spacing w:before="1"/>
        <w:ind w:left="1159" w:right="4154" w:firstLine="0"/>
        <w:jc w:val="center"/>
        <w:rPr>
          <w:sz w:val="20"/>
        </w:rPr>
      </w:pPr>
      <w:r>
        <w:rPr>
          <w:sz w:val="20"/>
        </w:rPr>
        <w:t>Q51.4,</w:t>
      </w:r>
      <w:r>
        <w:rPr>
          <w:spacing w:val="-5"/>
          <w:sz w:val="20"/>
        </w:rPr>
        <w:t> </w:t>
      </w:r>
      <w:r>
        <w:rPr>
          <w:sz w:val="20"/>
        </w:rPr>
        <w:t>Q51.5,</w:t>
      </w:r>
      <w:r>
        <w:rPr>
          <w:spacing w:val="-5"/>
          <w:sz w:val="20"/>
        </w:rPr>
        <w:t> </w:t>
      </w:r>
      <w:r>
        <w:rPr>
          <w:sz w:val="20"/>
        </w:rPr>
        <w:t>Q51.6,</w:t>
      </w:r>
      <w:r>
        <w:rPr>
          <w:spacing w:val="-4"/>
          <w:sz w:val="20"/>
        </w:rPr>
        <w:t> </w:t>
      </w:r>
      <w:r>
        <w:rPr>
          <w:sz w:val="20"/>
        </w:rPr>
        <w:t>Q51.7,</w:t>
      </w:r>
      <w:r>
        <w:rPr>
          <w:spacing w:val="-6"/>
          <w:sz w:val="20"/>
        </w:rPr>
        <w:t> </w:t>
      </w:r>
      <w:r>
        <w:rPr>
          <w:sz w:val="20"/>
        </w:rPr>
        <w:t>Q51.8,</w:t>
      </w:r>
      <w:r>
        <w:rPr>
          <w:spacing w:val="-4"/>
          <w:sz w:val="20"/>
        </w:rPr>
        <w:t> </w:t>
      </w:r>
      <w:r>
        <w:rPr>
          <w:sz w:val="20"/>
        </w:rPr>
        <w:t>Q51.9,</w:t>
      </w:r>
      <w:r>
        <w:rPr>
          <w:spacing w:val="-6"/>
          <w:sz w:val="20"/>
        </w:rPr>
        <w:t> </w:t>
      </w:r>
      <w:r>
        <w:rPr>
          <w:spacing w:val="-4"/>
          <w:sz w:val="20"/>
        </w:rPr>
        <w:t>Q52,</w:t>
      </w:r>
    </w:p>
    <w:p>
      <w:pPr>
        <w:spacing w:line="229" w:lineRule="exact" w:before="0"/>
        <w:ind w:left="1162" w:right="4154" w:firstLine="0"/>
        <w:jc w:val="center"/>
        <w:rPr>
          <w:sz w:val="20"/>
        </w:rPr>
      </w:pPr>
      <w:r>
        <w:rPr>
          <w:sz w:val="20"/>
        </w:rPr>
        <w:t>Q52.0,</w:t>
      </w:r>
      <w:r>
        <w:rPr>
          <w:spacing w:val="-4"/>
          <w:sz w:val="20"/>
        </w:rPr>
        <w:t> </w:t>
      </w:r>
      <w:r>
        <w:rPr>
          <w:sz w:val="20"/>
        </w:rPr>
        <w:t>Q52.1,</w:t>
      </w:r>
      <w:r>
        <w:rPr>
          <w:spacing w:val="-6"/>
          <w:sz w:val="20"/>
        </w:rPr>
        <w:t> </w:t>
      </w:r>
      <w:r>
        <w:rPr>
          <w:sz w:val="20"/>
        </w:rPr>
        <w:t>Q52.2,</w:t>
      </w:r>
      <w:r>
        <w:rPr>
          <w:spacing w:val="-4"/>
          <w:sz w:val="20"/>
        </w:rPr>
        <w:t> </w:t>
      </w:r>
      <w:r>
        <w:rPr>
          <w:sz w:val="20"/>
        </w:rPr>
        <w:t>Q52.3,</w:t>
      </w:r>
      <w:r>
        <w:rPr>
          <w:spacing w:val="-6"/>
          <w:sz w:val="20"/>
        </w:rPr>
        <w:t> </w:t>
      </w:r>
      <w:r>
        <w:rPr>
          <w:sz w:val="20"/>
        </w:rPr>
        <w:t>Q52.4,</w:t>
      </w:r>
      <w:r>
        <w:rPr>
          <w:spacing w:val="-4"/>
          <w:sz w:val="20"/>
        </w:rPr>
        <w:t> </w:t>
      </w:r>
      <w:r>
        <w:rPr>
          <w:spacing w:val="-2"/>
          <w:sz w:val="20"/>
        </w:rPr>
        <w:t>Q52.5,</w:t>
      </w:r>
    </w:p>
    <w:p>
      <w:pPr>
        <w:spacing w:line="229" w:lineRule="exact" w:before="0"/>
        <w:ind w:left="1159" w:right="4154" w:firstLine="0"/>
        <w:jc w:val="center"/>
        <w:rPr>
          <w:sz w:val="20"/>
        </w:rPr>
      </w:pPr>
      <w:r>
        <w:rPr>
          <w:sz w:val="20"/>
        </w:rPr>
        <w:t>Q52.6,</w:t>
      </w:r>
      <w:r>
        <w:rPr>
          <w:spacing w:val="-4"/>
          <w:sz w:val="20"/>
        </w:rPr>
        <w:t> </w:t>
      </w:r>
      <w:r>
        <w:rPr>
          <w:sz w:val="20"/>
        </w:rPr>
        <w:t>Q52.7,</w:t>
      </w:r>
      <w:r>
        <w:rPr>
          <w:spacing w:val="-6"/>
          <w:sz w:val="20"/>
        </w:rPr>
        <w:t> </w:t>
      </w:r>
      <w:r>
        <w:rPr>
          <w:sz w:val="20"/>
        </w:rPr>
        <w:t>Q52.8,</w:t>
      </w:r>
      <w:r>
        <w:rPr>
          <w:spacing w:val="-4"/>
          <w:sz w:val="20"/>
        </w:rPr>
        <w:t> </w:t>
      </w:r>
      <w:r>
        <w:rPr>
          <w:sz w:val="20"/>
        </w:rPr>
        <w:t>Q52.9,</w:t>
      </w:r>
      <w:r>
        <w:rPr>
          <w:spacing w:val="-6"/>
          <w:sz w:val="20"/>
        </w:rPr>
        <w:t> </w:t>
      </w:r>
      <w:r>
        <w:rPr>
          <w:sz w:val="20"/>
        </w:rPr>
        <w:t>Q56,</w:t>
      </w:r>
      <w:r>
        <w:rPr>
          <w:spacing w:val="-4"/>
          <w:sz w:val="20"/>
        </w:rPr>
        <w:t> </w:t>
      </w:r>
      <w:r>
        <w:rPr>
          <w:sz w:val="20"/>
        </w:rPr>
        <w:t>Q56.0,</w:t>
      </w:r>
      <w:r>
        <w:rPr>
          <w:spacing w:val="-4"/>
          <w:sz w:val="20"/>
        </w:rPr>
        <w:t> </w:t>
      </w:r>
      <w:r>
        <w:rPr>
          <w:spacing w:val="-2"/>
          <w:sz w:val="20"/>
        </w:rPr>
        <w:t>Q56.1,</w:t>
      </w:r>
    </w:p>
    <w:p>
      <w:pPr>
        <w:spacing w:before="1"/>
        <w:ind w:left="1166" w:right="4154" w:firstLine="0"/>
        <w:jc w:val="center"/>
        <w:rPr>
          <w:sz w:val="20"/>
        </w:rPr>
      </w:pPr>
      <w:r>
        <w:rPr>
          <w:sz w:val="20"/>
        </w:rPr>
        <w:t>Q56.2,</w:t>
      </w:r>
      <w:r>
        <w:rPr>
          <w:spacing w:val="-5"/>
          <w:sz w:val="20"/>
        </w:rPr>
        <w:t> </w:t>
      </w:r>
      <w:r>
        <w:rPr>
          <w:sz w:val="20"/>
        </w:rPr>
        <w:t>Q56.3,</w:t>
      </w:r>
      <w:r>
        <w:rPr>
          <w:spacing w:val="-6"/>
          <w:sz w:val="20"/>
        </w:rPr>
        <w:t> </w:t>
      </w:r>
      <w:r>
        <w:rPr>
          <w:sz w:val="20"/>
        </w:rPr>
        <w:t>Q56.4,</w:t>
      </w:r>
      <w:r>
        <w:rPr>
          <w:spacing w:val="-4"/>
          <w:sz w:val="20"/>
        </w:rPr>
        <w:t> </w:t>
      </w:r>
      <w:r>
        <w:rPr>
          <w:sz w:val="20"/>
        </w:rPr>
        <w:t>Q99,</w:t>
      </w:r>
      <w:r>
        <w:rPr>
          <w:spacing w:val="-5"/>
          <w:sz w:val="20"/>
        </w:rPr>
        <w:t> </w:t>
      </w:r>
      <w:r>
        <w:rPr>
          <w:sz w:val="20"/>
        </w:rPr>
        <w:t>Q99.0,</w:t>
      </w:r>
      <w:r>
        <w:rPr>
          <w:spacing w:val="-4"/>
          <w:sz w:val="20"/>
        </w:rPr>
        <w:t> </w:t>
      </w:r>
      <w:r>
        <w:rPr>
          <w:sz w:val="20"/>
        </w:rPr>
        <w:t>Q99.1,</w:t>
      </w:r>
      <w:r>
        <w:rPr>
          <w:spacing w:val="-5"/>
          <w:sz w:val="20"/>
        </w:rPr>
        <w:t> </w:t>
      </w:r>
      <w:r>
        <w:rPr>
          <w:spacing w:val="-2"/>
          <w:sz w:val="20"/>
        </w:rPr>
        <w:t>Q99.2,</w:t>
      </w:r>
    </w:p>
    <w:p>
      <w:pPr>
        <w:spacing w:before="0"/>
        <w:ind w:left="1159" w:right="4154" w:firstLine="0"/>
        <w:jc w:val="center"/>
        <w:rPr>
          <w:sz w:val="20"/>
        </w:rPr>
      </w:pPr>
      <w:r>
        <w:rPr>
          <w:sz w:val="20"/>
        </w:rPr>
        <w:t>Q99.9,</w:t>
      </w:r>
      <w:r>
        <w:rPr>
          <w:spacing w:val="-5"/>
          <w:sz w:val="20"/>
        </w:rPr>
        <w:t> </w:t>
      </w:r>
      <w:r>
        <w:rPr>
          <w:sz w:val="20"/>
        </w:rPr>
        <w:t>R87,</w:t>
      </w:r>
      <w:r>
        <w:rPr>
          <w:spacing w:val="-4"/>
          <w:sz w:val="20"/>
        </w:rPr>
        <w:t> </w:t>
      </w:r>
      <w:r>
        <w:rPr>
          <w:sz w:val="20"/>
        </w:rPr>
        <w:t>R87.0,</w:t>
      </w:r>
      <w:r>
        <w:rPr>
          <w:spacing w:val="-7"/>
          <w:sz w:val="20"/>
        </w:rPr>
        <w:t> </w:t>
      </w:r>
      <w:r>
        <w:rPr>
          <w:sz w:val="20"/>
        </w:rPr>
        <w:t>R87.1,</w:t>
      </w:r>
      <w:r>
        <w:rPr>
          <w:spacing w:val="-4"/>
          <w:sz w:val="20"/>
        </w:rPr>
        <w:t> </w:t>
      </w:r>
      <w:r>
        <w:rPr>
          <w:sz w:val="20"/>
        </w:rPr>
        <w:t>R87.2,</w:t>
      </w:r>
      <w:r>
        <w:rPr>
          <w:spacing w:val="-5"/>
          <w:sz w:val="20"/>
        </w:rPr>
        <w:t> </w:t>
      </w:r>
      <w:r>
        <w:rPr>
          <w:sz w:val="20"/>
        </w:rPr>
        <w:t>R87.3,</w:t>
      </w:r>
      <w:r>
        <w:rPr>
          <w:spacing w:val="-4"/>
          <w:sz w:val="20"/>
        </w:rPr>
        <w:t> </w:t>
      </w:r>
      <w:r>
        <w:rPr>
          <w:spacing w:val="-2"/>
          <w:sz w:val="20"/>
        </w:rPr>
        <w:t>R87.4,</w:t>
      </w:r>
    </w:p>
    <w:p>
      <w:pPr>
        <w:spacing w:before="1"/>
        <w:ind w:left="4568" w:right="7562" w:firstLine="0"/>
        <w:jc w:val="center"/>
        <w:rPr>
          <w:sz w:val="20"/>
        </w:rPr>
      </w:pPr>
      <w:r>
        <w:rPr>
          <w:sz w:val="20"/>
        </w:rPr>
        <w:t>R87.5,</w:t>
      </w:r>
      <w:r>
        <w:rPr>
          <w:spacing w:val="-5"/>
          <w:sz w:val="20"/>
        </w:rPr>
        <w:t> </w:t>
      </w:r>
      <w:r>
        <w:rPr>
          <w:sz w:val="20"/>
        </w:rPr>
        <w:t>R87.6,</w:t>
      </w:r>
      <w:r>
        <w:rPr>
          <w:spacing w:val="-6"/>
          <w:sz w:val="20"/>
        </w:rPr>
        <w:t> </w:t>
      </w:r>
      <w:r>
        <w:rPr>
          <w:sz w:val="20"/>
        </w:rPr>
        <w:t>R87.7,</w:t>
      </w:r>
      <w:r>
        <w:rPr>
          <w:spacing w:val="-5"/>
          <w:sz w:val="20"/>
        </w:rPr>
        <w:t> </w:t>
      </w:r>
      <w:r>
        <w:rPr>
          <w:sz w:val="20"/>
        </w:rPr>
        <w:t>R87.8,</w:t>
      </w:r>
      <w:r>
        <w:rPr>
          <w:spacing w:val="-9"/>
          <w:sz w:val="20"/>
        </w:rPr>
        <w:t> </w:t>
      </w:r>
      <w:r>
        <w:rPr>
          <w:sz w:val="20"/>
        </w:rPr>
        <w:t>R87.9,</w:t>
      </w:r>
      <w:r>
        <w:rPr>
          <w:spacing w:val="-5"/>
          <w:sz w:val="20"/>
        </w:rPr>
        <w:t> </w:t>
      </w:r>
      <w:r>
        <w:rPr>
          <w:sz w:val="20"/>
        </w:rPr>
        <w:t>S30.2,</w:t>
      </w:r>
      <w:r>
        <w:rPr>
          <w:spacing w:val="-6"/>
          <w:sz w:val="20"/>
        </w:rPr>
        <w:t> </w:t>
      </w:r>
      <w:r>
        <w:rPr>
          <w:sz w:val="20"/>
        </w:rPr>
        <w:t>S31.4, S37.4, S37.40, S37.41, S37.5, S37.50, S37.51,</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594"/>
        <w:gridCol w:w="3511"/>
        <w:gridCol w:w="2526"/>
        <w:gridCol w:w="4323"/>
        <w:gridCol w:w="2545"/>
        <w:gridCol w:w="762"/>
      </w:tblGrid>
      <w:tr>
        <w:trPr>
          <w:trHeight w:val="505" w:hRule="atLeast"/>
        </w:trPr>
        <w:tc>
          <w:tcPr>
            <w:tcW w:w="15289" w:type="dxa"/>
            <w:gridSpan w:val="7"/>
          </w:tcPr>
          <w:p>
            <w:pPr>
              <w:pStyle w:val="TableParagraph"/>
              <w:spacing w:line="221" w:lineRule="exact"/>
              <w:ind w:left="4623" w:right="7129"/>
              <w:jc w:val="center"/>
              <w:rPr>
                <w:sz w:val="20"/>
              </w:rPr>
            </w:pPr>
            <w:r>
              <w:rPr>
                <w:sz w:val="20"/>
              </w:rPr>
              <w:t>S37.6,</w:t>
            </w:r>
            <w:r>
              <w:rPr>
                <w:spacing w:val="-5"/>
                <w:sz w:val="20"/>
              </w:rPr>
              <w:t> </w:t>
            </w:r>
            <w:r>
              <w:rPr>
                <w:sz w:val="20"/>
              </w:rPr>
              <w:t>S37.60,</w:t>
            </w:r>
            <w:r>
              <w:rPr>
                <w:spacing w:val="-7"/>
                <w:sz w:val="20"/>
              </w:rPr>
              <w:t> </w:t>
            </w:r>
            <w:r>
              <w:rPr>
                <w:sz w:val="20"/>
              </w:rPr>
              <w:t>S37.61,</w:t>
            </w:r>
            <w:r>
              <w:rPr>
                <w:spacing w:val="-5"/>
                <w:sz w:val="20"/>
              </w:rPr>
              <w:t> </w:t>
            </w:r>
            <w:r>
              <w:rPr>
                <w:sz w:val="20"/>
              </w:rPr>
              <w:t>S38.2,</w:t>
            </w:r>
            <w:r>
              <w:rPr>
                <w:spacing w:val="-7"/>
                <w:sz w:val="20"/>
              </w:rPr>
              <w:t> </w:t>
            </w:r>
            <w:r>
              <w:rPr>
                <w:sz w:val="20"/>
              </w:rPr>
              <w:t>T19.2,</w:t>
            </w:r>
            <w:r>
              <w:rPr>
                <w:spacing w:val="-8"/>
                <w:sz w:val="20"/>
              </w:rPr>
              <w:t> </w:t>
            </w:r>
            <w:r>
              <w:rPr>
                <w:spacing w:val="-2"/>
                <w:sz w:val="20"/>
              </w:rPr>
              <w:t>T19.3,</w:t>
            </w:r>
          </w:p>
          <w:p>
            <w:pPr>
              <w:pStyle w:val="TableParagraph"/>
              <w:ind w:left="4623" w:right="7123"/>
              <w:jc w:val="center"/>
              <w:rPr>
                <w:sz w:val="20"/>
              </w:rPr>
            </w:pPr>
            <w:r>
              <w:rPr>
                <w:sz w:val="20"/>
              </w:rPr>
              <w:t>T19.8,</w:t>
            </w:r>
            <w:r>
              <w:rPr>
                <w:spacing w:val="-7"/>
                <w:sz w:val="20"/>
              </w:rPr>
              <w:t> </w:t>
            </w:r>
            <w:r>
              <w:rPr>
                <w:sz w:val="20"/>
              </w:rPr>
              <w:t>T19.9,</w:t>
            </w:r>
            <w:r>
              <w:rPr>
                <w:spacing w:val="-5"/>
                <w:sz w:val="20"/>
              </w:rPr>
              <w:t> </w:t>
            </w:r>
            <w:r>
              <w:rPr>
                <w:sz w:val="20"/>
              </w:rPr>
              <w:t>T28.3,</w:t>
            </w:r>
            <w:r>
              <w:rPr>
                <w:spacing w:val="-5"/>
                <w:sz w:val="20"/>
              </w:rPr>
              <w:t> </w:t>
            </w:r>
            <w:r>
              <w:rPr>
                <w:sz w:val="20"/>
              </w:rPr>
              <w:t>T28.8,</w:t>
            </w:r>
            <w:r>
              <w:rPr>
                <w:spacing w:val="-4"/>
                <w:sz w:val="20"/>
              </w:rPr>
              <w:t> </w:t>
            </w:r>
            <w:r>
              <w:rPr>
                <w:spacing w:val="-2"/>
                <w:sz w:val="20"/>
              </w:rPr>
              <w:t>T83.3</w:t>
            </w:r>
          </w:p>
        </w:tc>
      </w:tr>
      <w:tr>
        <w:trPr>
          <w:trHeight w:val="279" w:hRule="atLeast"/>
        </w:trPr>
        <w:tc>
          <w:tcPr>
            <w:tcW w:w="1028" w:type="dxa"/>
          </w:tcPr>
          <w:p>
            <w:pPr>
              <w:pStyle w:val="TableParagraph"/>
              <w:spacing w:line="215" w:lineRule="exact" w:before="45"/>
              <w:ind w:left="50"/>
              <w:rPr>
                <w:sz w:val="20"/>
              </w:rPr>
            </w:pPr>
            <w:r>
              <w:rPr>
                <w:spacing w:val="-2"/>
                <w:sz w:val="20"/>
              </w:rPr>
              <w:t>ds02.003</w:t>
            </w:r>
          </w:p>
        </w:tc>
        <w:tc>
          <w:tcPr>
            <w:tcW w:w="594" w:type="dxa"/>
          </w:tcPr>
          <w:p>
            <w:pPr>
              <w:pStyle w:val="TableParagraph"/>
              <w:spacing w:line="215" w:lineRule="exact" w:before="45"/>
              <w:ind w:right="241"/>
              <w:jc w:val="right"/>
              <w:rPr>
                <w:sz w:val="20"/>
              </w:rPr>
            </w:pPr>
            <w:r>
              <w:rPr>
                <w:w w:val="99"/>
                <w:sz w:val="20"/>
              </w:rPr>
              <w:t>3</w:t>
            </w:r>
          </w:p>
        </w:tc>
        <w:tc>
          <w:tcPr>
            <w:tcW w:w="3511" w:type="dxa"/>
          </w:tcPr>
          <w:p>
            <w:pPr>
              <w:pStyle w:val="TableParagraph"/>
              <w:spacing w:line="215" w:lineRule="exact" w:before="45"/>
              <w:ind w:left="245"/>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26" w:type="dxa"/>
          </w:tcPr>
          <w:p>
            <w:pPr>
              <w:pStyle w:val="TableParagraph"/>
              <w:spacing w:line="215" w:lineRule="exact" w:before="45"/>
              <w:ind w:right="2"/>
              <w:jc w:val="center"/>
              <w:rPr>
                <w:sz w:val="20"/>
              </w:rPr>
            </w:pPr>
            <w:r>
              <w:rPr>
                <w:w w:val="99"/>
                <w:sz w:val="20"/>
              </w:rPr>
              <w:t>-</w:t>
            </w:r>
          </w:p>
        </w:tc>
        <w:tc>
          <w:tcPr>
            <w:tcW w:w="4323" w:type="dxa"/>
          </w:tcPr>
          <w:p>
            <w:pPr>
              <w:pStyle w:val="TableParagraph"/>
              <w:spacing w:line="215" w:lineRule="exact" w:before="45"/>
              <w:ind w:left="1021" w:right="113"/>
              <w:jc w:val="center"/>
              <w:rPr>
                <w:sz w:val="20"/>
              </w:rPr>
            </w:pPr>
            <w:r>
              <w:rPr>
                <w:sz w:val="20"/>
              </w:rPr>
              <w:t>A11.20.003,</w:t>
            </w:r>
            <w:r>
              <w:rPr>
                <w:spacing w:val="-7"/>
                <w:sz w:val="20"/>
              </w:rPr>
              <w:t> </w:t>
            </w:r>
            <w:r>
              <w:rPr>
                <w:sz w:val="20"/>
              </w:rPr>
              <w:t>A11.20.004,</w:t>
            </w:r>
            <w:r>
              <w:rPr>
                <w:spacing w:val="-8"/>
                <w:sz w:val="20"/>
              </w:rPr>
              <w:t> </w:t>
            </w:r>
            <w:r>
              <w:rPr>
                <w:spacing w:val="-2"/>
                <w:sz w:val="20"/>
              </w:rPr>
              <w:t>A11.20.006,</w:t>
            </w:r>
          </w:p>
        </w:tc>
        <w:tc>
          <w:tcPr>
            <w:tcW w:w="2545" w:type="dxa"/>
          </w:tcPr>
          <w:p>
            <w:pPr>
              <w:pStyle w:val="TableParagraph"/>
              <w:spacing w:line="215" w:lineRule="exact" w:before="45"/>
              <w:ind w:left="1126"/>
              <w:rPr>
                <w:sz w:val="20"/>
              </w:rPr>
            </w:pPr>
            <w:r>
              <w:rPr>
                <w:w w:val="99"/>
                <w:sz w:val="20"/>
              </w:rPr>
              <w:t>-</w:t>
            </w:r>
          </w:p>
        </w:tc>
        <w:tc>
          <w:tcPr>
            <w:tcW w:w="762" w:type="dxa"/>
          </w:tcPr>
          <w:p>
            <w:pPr>
              <w:pStyle w:val="TableParagraph"/>
              <w:spacing w:line="215" w:lineRule="exact" w:before="45"/>
              <w:ind w:right="42"/>
              <w:jc w:val="right"/>
              <w:rPr>
                <w:sz w:val="20"/>
              </w:rPr>
            </w:pPr>
            <w:r>
              <w:rPr>
                <w:spacing w:val="-4"/>
                <w:sz w:val="20"/>
              </w:rPr>
              <w:t>0,71</w:t>
            </w: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10" w:lineRule="exact"/>
              <w:ind w:left="245"/>
              <w:rPr>
                <w:sz w:val="20"/>
              </w:rPr>
            </w:pPr>
            <w:r>
              <w:rPr>
                <w:sz w:val="20"/>
              </w:rPr>
              <w:t>половых</w:t>
            </w:r>
            <w:r>
              <w:rPr>
                <w:spacing w:val="-9"/>
                <w:sz w:val="20"/>
              </w:rPr>
              <w:t> </w:t>
            </w:r>
            <w:r>
              <w:rPr>
                <w:spacing w:val="-2"/>
                <w:sz w:val="20"/>
              </w:rPr>
              <w:t>органах</w:t>
            </w:r>
          </w:p>
        </w:tc>
        <w:tc>
          <w:tcPr>
            <w:tcW w:w="2526" w:type="dxa"/>
          </w:tcPr>
          <w:p>
            <w:pPr>
              <w:pStyle w:val="TableParagraph"/>
              <w:rPr>
                <w:sz w:val="16"/>
              </w:rPr>
            </w:pPr>
          </w:p>
        </w:tc>
        <w:tc>
          <w:tcPr>
            <w:tcW w:w="4323" w:type="dxa"/>
          </w:tcPr>
          <w:p>
            <w:pPr>
              <w:pStyle w:val="TableParagraph"/>
              <w:spacing w:line="210" w:lineRule="exact"/>
              <w:ind w:left="1021" w:right="110"/>
              <w:jc w:val="center"/>
              <w:rPr>
                <w:sz w:val="20"/>
              </w:rPr>
            </w:pPr>
            <w:r>
              <w:rPr>
                <w:sz w:val="20"/>
              </w:rPr>
              <w:t>A11.20.008,</w:t>
            </w:r>
            <w:r>
              <w:rPr>
                <w:spacing w:val="-7"/>
                <w:sz w:val="20"/>
              </w:rPr>
              <w:t> </w:t>
            </w:r>
            <w:r>
              <w:rPr>
                <w:spacing w:val="-2"/>
                <w:sz w:val="20"/>
              </w:rPr>
              <w:t>A11.20.011,</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10" w:lineRule="exact"/>
              <w:ind w:left="245"/>
              <w:rPr>
                <w:sz w:val="20"/>
              </w:rPr>
            </w:pPr>
            <w:r>
              <w:rPr>
                <w:sz w:val="20"/>
              </w:rPr>
              <w:t>(уровень</w:t>
            </w:r>
            <w:r>
              <w:rPr>
                <w:spacing w:val="-10"/>
                <w:sz w:val="20"/>
              </w:rPr>
              <w:t> </w:t>
            </w:r>
            <w:r>
              <w:rPr>
                <w:spacing w:val="-5"/>
                <w:sz w:val="20"/>
              </w:rPr>
              <w:t>1)</w:t>
            </w: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w w:val="95"/>
                <w:sz w:val="20"/>
              </w:rPr>
              <w:t>A11.20.011.003,</w:t>
            </w:r>
            <w:r>
              <w:rPr>
                <w:spacing w:val="54"/>
                <w:sz w:val="20"/>
              </w:rPr>
              <w:t> </w:t>
            </w:r>
            <w:r>
              <w:rPr>
                <w:spacing w:val="-2"/>
                <w:sz w:val="20"/>
              </w:rPr>
              <w:t>A11.20.015,</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8"/>
              <w:jc w:val="center"/>
              <w:rPr>
                <w:sz w:val="20"/>
              </w:rPr>
            </w:pPr>
            <w:r>
              <w:rPr>
                <w:sz w:val="20"/>
              </w:rPr>
              <w:t>A11.30.002</w:t>
            </w:r>
            <w:r>
              <w:rPr>
                <w:spacing w:val="-5"/>
                <w:sz w:val="20"/>
              </w:rPr>
              <w:t> </w:t>
            </w:r>
            <w:r>
              <w:rPr>
                <w:sz w:val="20"/>
              </w:rPr>
              <w:t>,</w:t>
            </w:r>
            <w:r>
              <w:rPr>
                <w:spacing w:val="-4"/>
                <w:sz w:val="20"/>
              </w:rPr>
              <w:t> </w:t>
            </w:r>
            <w:r>
              <w:rPr>
                <w:sz w:val="20"/>
              </w:rPr>
              <w:t>A11.30.016</w:t>
            </w:r>
            <w:r>
              <w:rPr>
                <w:spacing w:val="-5"/>
                <w:sz w:val="20"/>
              </w:rPr>
              <w:t> </w:t>
            </w:r>
            <w:r>
              <w:rPr>
                <w:sz w:val="20"/>
              </w:rPr>
              <w:t>,</w:t>
            </w:r>
            <w:r>
              <w:rPr>
                <w:spacing w:val="-4"/>
                <w:sz w:val="20"/>
              </w:rPr>
              <w:t> </w:t>
            </w:r>
            <w:r>
              <w:rPr>
                <w:spacing w:val="-2"/>
                <w:sz w:val="20"/>
              </w:rPr>
              <w:t>A14.20.002,</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3"/>
              <w:jc w:val="center"/>
              <w:rPr>
                <w:sz w:val="20"/>
              </w:rPr>
            </w:pPr>
            <w:r>
              <w:rPr>
                <w:sz w:val="20"/>
              </w:rPr>
              <w:t>A16.20.021,</w:t>
            </w:r>
            <w:r>
              <w:rPr>
                <w:spacing w:val="-9"/>
                <w:sz w:val="20"/>
              </w:rPr>
              <w:t> </w:t>
            </w:r>
            <w:r>
              <w:rPr>
                <w:spacing w:val="-2"/>
                <w:sz w:val="20"/>
              </w:rPr>
              <w:t>A16.20.025,</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1" w:lineRule="exact"/>
              <w:ind w:left="1021" w:right="116"/>
              <w:jc w:val="center"/>
              <w:rPr>
                <w:sz w:val="20"/>
              </w:rPr>
            </w:pPr>
            <w:r>
              <w:rPr>
                <w:w w:val="95"/>
                <w:sz w:val="20"/>
              </w:rPr>
              <w:t>A16.20.025.001,</w:t>
            </w:r>
            <w:r>
              <w:rPr>
                <w:spacing w:val="54"/>
                <w:sz w:val="20"/>
              </w:rPr>
              <w:t> </w:t>
            </w:r>
            <w:r>
              <w:rPr>
                <w:spacing w:val="-2"/>
                <w:sz w:val="20"/>
              </w:rPr>
              <w:t>A16.20.036,</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245" w:right="336"/>
              <w:jc w:val="center"/>
              <w:rPr>
                <w:sz w:val="20"/>
              </w:rPr>
            </w:pPr>
            <w:r>
              <w:rPr>
                <w:w w:val="95"/>
                <w:sz w:val="20"/>
              </w:rPr>
              <w:t>A16.20.036.001,</w:t>
            </w:r>
            <w:r>
              <w:rPr>
                <w:spacing w:val="54"/>
                <w:sz w:val="20"/>
              </w:rPr>
              <w:t> </w:t>
            </w:r>
            <w:r>
              <w:rPr>
                <w:spacing w:val="-2"/>
                <w:w w:val="95"/>
                <w:sz w:val="20"/>
              </w:rPr>
              <w:t>A16.20.036.002,</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245" w:right="341"/>
              <w:jc w:val="center"/>
              <w:rPr>
                <w:sz w:val="20"/>
              </w:rPr>
            </w:pPr>
            <w:r>
              <w:rPr>
                <w:w w:val="95"/>
                <w:sz w:val="20"/>
              </w:rPr>
              <w:t>A16.20.036.003,</w:t>
            </w:r>
            <w:r>
              <w:rPr>
                <w:spacing w:val="54"/>
                <w:sz w:val="20"/>
              </w:rPr>
              <w:t> </w:t>
            </w:r>
            <w:r>
              <w:rPr>
                <w:spacing w:val="-2"/>
                <w:sz w:val="20"/>
              </w:rPr>
              <w:t>A16.20.036.004,</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w w:val="95"/>
                <w:sz w:val="20"/>
              </w:rPr>
              <w:t>A16.20.054.002,</w:t>
            </w:r>
            <w:r>
              <w:rPr>
                <w:spacing w:val="54"/>
                <w:sz w:val="20"/>
              </w:rPr>
              <w:t> </w:t>
            </w:r>
            <w:r>
              <w:rPr>
                <w:spacing w:val="-2"/>
                <w:sz w:val="20"/>
              </w:rPr>
              <w:t>A16.20.055,</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8"/>
              <w:jc w:val="center"/>
              <w:rPr>
                <w:sz w:val="20"/>
              </w:rPr>
            </w:pPr>
            <w:r>
              <w:rPr>
                <w:sz w:val="20"/>
              </w:rPr>
              <w:t>A16.20.059,</w:t>
            </w:r>
            <w:r>
              <w:rPr>
                <w:spacing w:val="-9"/>
                <w:sz w:val="20"/>
              </w:rPr>
              <w:t> </w:t>
            </w:r>
            <w:r>
              <w:rPr>
                <w:sz w:val="20"/>
              </w:rPr>
              <w:t>A16.20.066,</w:t>
            </w:r>
            <w:r>
              <w:rPr>
                <w:spacing w:val="-10"/>
                <w:sz w:val="20"/>
              </w:rPr>
              <w:t> </w:t>
            </w:r>
            <w:r>
              <w:rPr>
                <w:spacing w:val="-2"/>
                <w:sz w:val="20"/>
              </w:rPr>
              <w:t>A16.20.080,</w:t>
            </w:r>
          </w:p>
        </w:tc>
        <w:tc>
          <w:tcPr>
            <w:tcW w:w="2545" w:type="dxa"/>
          </w:tcPr>
          <w:p>
            <w:pPr>
              <w:pStyle w:val="TableParagraph"/>
              <w:rPr>
                <w:sz w:val="16"/>
              </w:rPr>
            </w:pPr>
          </w:p>
        </w:tc>
        <w:tc>
          <w:tcPr>
            <w:tcW w:w="762" w:type="dxa"/>
          </w:tcPr>
          <w:p>
            <w:pPr>
              <w:pStyle w:val="TableParagraph"/>
              <w:rPr>
                <w:sz w:val="16"/>
              </w:rPr>
            </w:pPr>
          </w:p>
        </w:tc>
      </w:tr>
      <w:tr>
        <w:trPr>
          <w:trHeight w:val="279" w:hRule="atLeast"/>
        </w:trPr>
        <w:tc>
          <w:tcPr>
            <w:tcW w:w="1028" w:type="dxa"/>
          </w:tcPr>
          <w:p>
            <w:pPr>
              <w:pStyle w:val="TableParagraph"/>
              <w:rPr>
                <w:sz w:val="18"/>
              </w:rPr>
            </w:pPr>
          </w:p>
        </w:tc>
        <w:tc>
          <w:tcPr>
            <w:tcW w:w="594" w:type="dxa"/>
          </w:tcPr>
          <w:p>
            <w:pPr>
              <w:pStyle w:val="TableParagraph"/>
              <w:rPr>
                <w:sz w:val="18"/>
              </w:rPr>
            </w:pPr>
          </w:p>
        </w:tc>
        <w:tc>
          <w:tcPr>
            <w:tcW w:w="3511" w:type="dxa"/>
          </w:tcPr>
          <w:p>
            <w:pPr>
              <w:pStyle w:val="TableParagraph"/>
              <w:rPr>
                <w:sz w:val="18"/>
              </w:rPr>
            </w:pPr>
          </w:p>
        </w:tc>
        <w:tc>
          <w:tcPr>
            <w:tcW w:w="2526" w:type="dxa"/>
          </w:tcPr>
          <w:p>
            <w:pPr>
              <w:pStyle w:val="TableParagraph"/>
              <w:rPr>
                <w:sz w:val="18"/>
              </w:rPr>
            </w:pPr>
          </w:p>
        </w:tc>
        <w:tc>
          <w:tcPr>
            <w:tcW w:w="4323" w:type="dxa"/>
          </w:tcPr>
          <w:p>
            <w:pPr>
              <w:pStyle w:val="TableParagraph"/>
              <w:spacing w:line="224" w:lineRule="exact"/>
              <w:ind w:left="1245" w:right="336"/>
              <w:jc w:val="center"/>
              <w:rPr>
                <w:sz w:val="20"/>
              </w:rPr>
            </w:pPr>
            <w:r>
              <w:rPr>
                <w:spacing w:val="-2"/>
                <w:sz w:val="20"/>
              </w:rPr>
              <w:t>A16.20.084</w:t>
            </w:r>
          </w:p>
        </w:tc>
        <w:tc>
          <w:tcPr>
            <w:tcW w:w="2545" w:type="dxa"/>
          </w:tcPr>
          <w:p>
            <w:pPr>
              <w:pStyle w:val="TableParagraph"/>
              <w:rPr>
                <w:sz w:val="18"/>
              </w:rPr>
            </w:pPr>
          </w:p>
        </w:tc>
        <w:tc>
          <w:tcPr>
            <w:tcW w:w="762" w:type="dxa"/>
          </w:tcPr>
          <w:p>
            <w:pPr>
              <w:pStyle w:val="TableParagraph"/>
              <w:rPr>
                <w:sz w:val="18"/>
              </w:rPr>
            </w:pPr>
          </w:p>
        </w:tc>
      </w:tr>
      <w:tr>
        <w:trPr>
          <w:trHeight w:val="280" w:hRule="atLeast"/>
        </w:trPr>
        <w:tc>
          <w:tcPr>
            <w:tcW w:w="1028" w:type="dxa"/>
          </w:tcPr>
          <w:p>
            <w:pPr>
              <w:pStyle w:val="TableParagraph"/>
              <w:spacing w:line="215" w:lineRule="exact" w:before="46"/>
              <w:ind w:left="50"/>
              <w:rPr>
                <w:sz w:val="20"/>
              </w:rPr>
            </w:pPr>
            <w:r>
              <w:rPr>
                <w:spacing w:val="-2"/>
                <w:sz w:val="20"/>
              </w:rPr>
              <w:t>ds02.004</w:t>
            </w:r>
          </w:p>
        </w:tc>
        <w:tc>
          <w:tcPr>
            <w:tcW w:w="594" w:type="dxa"/>
          </w:tcPr>
          <w:p>
            <w:pPr>
              <w:pStyle w:val="TableParagraph"/>
              <w:spacing w:line="215" w:lineRule="exact" w:before="46"/>
              <w:ind w:right="241"/>
              <w:jc w:val="right"/>
              <w:rPr>
                <w:sz w:val="20"/>
              </w:rPr>
            </w:pPr>
            <w:r>
              <w:rPr>
                <w:w w:val="99"/>
                <w:sz w:val="20"/>
              </w:rPr>
              <w:t>4</w:t>
            </w:r>
          </w:p>
        </w:tc>
        <w:tc>
          <w:tcPr>
            <w:tcW w:w="3511" w:type="dxa"/>
          </w:tcPr>
          <w:p>
            <w:pPr>
              <w:pStyle w:val="TableParagraph"/>
              <w:spacing w:line="215" w:lineRule="exact" w:before="46"/>
              <w:ind w:left="245"/>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26" w:type="dxa"/>
          </w:tcPr>
          <w:p>
            <w:pPr>
              <w:pStyle w:val="TableParagraph"/>
              <w:spacing w:line="215" w:lineRule="exact" w:before="46"/>
              <w:ind w:right="2"/>
              <w:jc w:val="center"/>
              <w:rPr>
                <w:sz w:val="20"/>
              </w:rPr>
            </w:pPr>
            <w:r>
              <w:rPr>
                <w:w w:val="99"/>
                <w:sz w:val="20"/>
              </w:rPr>
              <w:t>-</w:t>
            </w:r>
          </w:p>
        </w:tc>
        <w:tc>
          <w:tcPr>
            <w:tcW w:w="4323" w:type="dxa"/>
          </w:tcPr>
          <w:p>
            <w:pPr>
              <w:pStyle w:val="TableParagraph"/>
              <w:spacing w:line="215" w:lineRule="exact" w:before="46"/>
              <w:ind w:left="1021" w:right="116"/>
              <w:jc w:val="center"/>
              <w:rPr>
                <w:sz w:val="20"/>
              </w:rPr>
            </w:pPr>
            <w:r>
              <w:rPr>
                <w:sz w:val="20"/>
              </w:rPr>
              <w:t>A03.20.003,</w:t>
            </w:r>
            <w:r>
              <w:rPr>
                <w:spacing w:val="-9"/>
                <w:sz w:val="20"/>
              </w:rPr>
              <w:t> </w:t>
            </w:r>
            <w:r>
              <w:rPr>
                <w:spacing w:val="-2"/>
                <w:sz w:val="20"/>
              </w:rPr>
              <w:t>A03.20.003.001,</w:t>
            </w:r>
          </w:p>
        </w:tc>
        <w:tc>
          <w:tcPr>
            <w:tcW w:w="2545" w:type="dxa"/>
          </w:tcPr>
          <w:p>
            <w:pPr>
              <w:pStyle w:val="TableParagraph"/>
              <w:spacing w:line="215" w:lineRule="exact" w:before="46"/>
              <w:ind w:left="1126"/>
              <w:rPr>
                <w:sz w:val="20"/>
              </w:rPr>
            </w:pPr>
            <w:r>
              <w:rPr>
                <w:w w:val="99"/>
                <w:sz w:val="20"/>
              </w:rPr>
              <w:t>-</w:t>
            </w:r>
          </w:p>
        </w:tc>
        <w:tc>
          <w:tcPr>
            <w:tcW w:w="762" w:type="dxa"/>
          </w:tcPr>
          <w:p>
            <w:pPr>
              <w:pStyle w:val="TableParagraph"/>
              <w:spacing w:line="215" w:lineRule="exact" w:before="46"/>
              <w:ind w:right="42"/>
              <w:jc w:val="right"/>
              <w:rPr>
                <w:sz w:val="20"/>
              </w:rPr>
            </w:pPr>
            <w:r>
              <w:rPr>
                <w:spacing w:val="-4"/>
                <w:sz w:val="20"/>
              </w:rPr>
              <w:t>1,06</w:t>
            </w: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10" w:lineRule="exact"/>
              <w:ind w:left="245"/>
              <w:rPr>
                <w:sz w:val="20"/>
              </w:rPr>
            </w:pPr>
            <w:r>
              <w:rPr>
                <w:sz w:val="20"/>
              </w:rPr>
              <w:t>половых</w:t>
            </w:r>
            <w:r>
              <w:rPr>
                <w:spacing w:val="-9"/>
                <w:sz w:val="20"/>
              </w:rPr>
              <w:t> </w:t>
            </w:r>
            <w:r>
              <w:rPr>
                <w:spacing w:val="-2"/>
                <w:sz w:val="20"/>
              </w:rPr>
              <w:t>органах</w:t>
            </w: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sz w:val="20"/>
              </w:rPr>
              <w:t>A06.20.001,</w:t>
            </w:r>
            <w:r>
              <w:rPr>
                <w:spacing w:val="-9"/>
                <w:sz w:val="20"/>
              </w:rPr>
              <w:t> </w:t>
            </w:r>
            <w:r>
              <w:rPr>
                <w:spacing w:val="-2"/>
                <w:sz w:val="20"/>
              </w:rPr>
              <w:t>A11.20.011.001,</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09" w:lineRule="exact"/>
              <w:ind w:left="245"/>
              <w:rPr>
                <w:sz w:val="20"/>
              </w:rPr>
            </w:pPr>
            <w:r>
              <w:rPr>
                <w:sz w:val="20"/>
              </w:rPr>
              <w:t>(уровень</w:t>
            </w:r>
            <w:r>
              <w:rPr>
                <w:spacing w:val="-10"/>
                <w:sz w:val="20"/>
              </w:rPr>
              <w:t> </w:t>
            </w:r>
            <w:r>
              <w:rPr>
                <w:spacing w:val="-5"/>
                <w:sz w:val="20"/>
              </w:rPr>
              <w:t>2)</w:t>
            </w:r>
          </w:p>
        </w:tc>
        <w:tc>
          <w:tcPr>
            <w:tcW w:w="2526" w:type="dxa"/>
          </w:tcPr>
          <w:p>
            <w:pPr>
              <w:pStyle w:val="TableParagraph"/>
              <w:rPr>
                <w:sz w:val="16"/>
              </w:rPr>
            </w:pPr>
          </w:p>
        </w:tc>
        <w:tc>
          <w:tcPr>
            <w:tcW w:w="4323" w:type="dxa"/>
          </w:tcPr>
          <w:p>
            <w:pPr>
              <w:pStyle w:val="TableParagraph"/>
              <w:spacing w:line="209" w:lineRule="exact"/>
              <w:ind w:left="1021" w:right="113"/>
              <w:jc w:val="center"/>
              <w:rPr>
                <w:sz w:val="20"/>
              </w:rPr>
            </w:pPr>
            <w:r>
              <w:rPr>
                <w:w w:val="95"/>
                <w:sz w:val="20"/>
              </w:rPr>
              <w:t>A11.20.011.002,</w:t>
            </w:r>
            <w:r>
              <w:rPr>
                <w:spacing w:val="54"/>
                <w:sz w:val="20"/>
              </w:rPr>
              <w:t> </w:t>
            </w:r>
            <w:r>
              <w:rPr>
                <w:spacing w:val="-2"/>
                <w:sz w:val="20"/>
              </w:rPr>
              <w:t>A16.20.009,</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8"/>
              <w:jc w:val="center"/>
              <w:rPr>
                <w:sz w:val="20"/>
              </w:rPr>
            </w:pPr>
            <w:r>
              <w:rPr>
                <w:sz w:val="20"/>
              </w:rPr>
              <w:t>A16.20.018,</w:t>
            </w:r>
            <w:r>
              <w:rPr>
                <w:spacing w:val="-9"/>
                <w:sz w:val="20"/>
              </w:rPr>
              <w:t> </w:t>
            </w:r>
            <w:r>
              <w:rPr>
                <w:sz w:val="20"/>
              </w:rPr>
              <w:t>A16.20.022,</w:t>
            </w:r>
            <w:r>
              <w:rPr>
                <w:spacing w:val="-10"/>
                <w:sz w:val="20"/>
              </w:rPr>
              <w:t> </w:t>
            </w:r>
            <w:r>
              <w:rPr>
                <w:spacing w:val="-2"/>
                <w:sz w:val="20"/>
              </w:rPr>
              <w:t>A16.20.026,</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1" w:lineRule="exact"/>
              <w:ind w:left="1021" w:right="118"/>
              <w:jc w:val="center"/>
              <w:rPr>
                <w:sz w:val="20"/>
              </w:rPr>
            </w:pPr>
            <w:r>
              <w:rPr>
                <w:sz w:val="20"/>
              </w:rPr>
              <w:t>A16.20.027,</w:t>
            </w:r>
            <w:r>
              <w:rPr>
                <w:spacing w:val="-9"/>
                <w:sz w:val="20"/>
              </w:rPr>
              <w:t> </w:t>
            </w:r>
            <w:r>
              <w:rPr>
                <w:sz w:val="20"/>
              </w:rPr>
              <w:t>A16.20.067,</w:t>
            </w:r>
            <w:r>
              <w:rPr>
                <w:spacing w:val="-10"/>
                <w:sz w:val="20"/>
              </w:rPr>
              <w:t> </w:t>
            </w:r>
            <w:r>
              <w:rPr>
                <w:spacing w:val="-2"/>
                <w:sz w:val="20"/>
              </w:rPr>
              <w:t>A16.20.069,</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sz w:val="20"/>
              </w:rPr>
              <w:t>A16.20.097,</w:t>
            </w:r>
            <w:r>
              <w:rPr>
                <w:spacing w:val="-9"/>
                <w:sz w:val="20"/>
              </w:rPr>
              <w:t> </w:t>
            </w:r>
            <w:r>
              <w:rPr>
                <w:spacing w:val="-2"/>
                <w:sz w:val="20"/>
              </w:rPr>
              <w:t>A16.20.099.001,</w:t>
            </w:r>
          </w:p>
        </w:tc>
        <w:tc>
          <w:tcPr>
            <w:tcW w:w="2545" w:type="dxa"/>
          </w:tcPr>
          <w:p>
            <w:pPr>
              <w:pStyle w:val="TableParagraph"/>
              <w:rPr>
                <w:sz w:val="16"/>
              </w:rPr>
            </w:pPr>
          </w:p>
        </w:tc>
        <w:tc>
          <w:tcPr>
            <w:tcW w:w="762" w:type="dxa"/>
          </w:tcPr>
          <w:p>
            <w:pPr>
              <w:pStyle w:val="TableParagraph"/>
              <w:rPr>
                <w:sz w:val="16"/>
              </w:rPr>
            </w:pPr>
          </w:p>
        </w:tc>
      </w:tr>
      <w:tr>
        <w:trPr>
          <w:trHeight w:val="279" w:hRule="atLeast"/>
        </w:trPr>
        <w:tc>
          <w:tcPr>
            <w:tcW w:w="1028" w:type="dxa"/>
          </w:tcPr>
          <w:p>
            <w:pPr>
              <w:pStyle w:val="TableParagraph"/>
              <w:rPr>
                <w:sz w:val="18"/>
              </w:rPr>
            </w:pPr>
          </w:p>
        </w:tc>
        <w:tc>
          <w:tcPr>
            <w:tcW w:w="594" w:type="dxa"/>
          </w:tcPr>
          <w:p>
            <w:pPr>
              <w:pStyle w:val="TableParagraph"/>
              <w:rPr>
                <w:sz w:val="18"/>
              </w:rPr>
            </w:pPr>
          </w:p>
        </w:tc>
        <w:tc>
          <w:tcPr>
            <w:tcW w:w="3511" w:type="dxa"/>
          </w:tcPr>
          <w:p>
            <w:pPr>
              <w:pStyle w:val="TableParagraph"/>
              <w:rPr>
                <w:sz w:val="18"/>
              </w:rPr>
            </w:pPr>
          </w:p>
        </w:tc>
        <w:tc>
          <w:tcPr>
            <w:tcW w:w="2526" w:type="dxa"/>
          </w:tcPr>
          <w:p>
            <w:pPr>
              <w:pStyle w:val="TableParagraph"/>
              <w:rPr>
                <w:sz w:val="18"/>
              </w:rPr>
            </w:pPr>
          </w:p>
        </w:tc>
        <w:tc>
          <w:tcPr>
            <w:tcW w:w="4323" w:type="dxa"/>
          </w:tcPr>
          <w:p>
            <w:pPr>
              <w:pStyle w:val="TableParagraph"/>
              <w:spacing w:line="226" w:lineRule="exact"/>
              <w:ind w:left="1021" w:right="115"/>
              <w:jc w:val="center"/>
              <w:rPr>
                <w:sz w:val="20"/>
              </w:rPr>
            </w:pPr>
            <w:r>
              <w:rPr>
                <w:spacing w:val="-2"/>
                <w:sz w:val="20"/>
              </w:rPr>
              <w:t>A16.30.036.002</w:t>
            </w:r>
          </w:p>
        </w:tc>
        <w:tc>
          <w:tcPr>
            <w:tcW w:w="2545" w:type="dxa"/>
          </w:tcPr>
          <w:p>
            <w:pPr>
              <w:pStyle w:val="TableParagraph"/>
              <w:rPr>
                <w:sz w:val="18"/>
              </w:rPr>
            </w:pPr>
          </w:p>
        </w:tc>
        <w:tc>
          <w:tcPr>
            <w:tcW w:w="762" w:type="dxa"/>
          </w:tcPr>
          <w:p>
            <w:pPr>
              <w:pStyle w:val="TableParagraph"/>
              <w:rPr>
                <w:sz w:val="18"/>
              </w:rPr>
            </w:pPr>
          </w:p>
        </w:tc>
      </w:tr>
      <w:tr>
        <w:trPr>
          <w:trHeight w:val="789" w:hRule="atLeast"/>
        </w:trPr>
        <w:tc>
          <w:tcPr>
            <w:tcW w:w="1028" w:type="dxa"/>
          </w:tcPr>
          <w:p>
            <w:pPr>
              <w:pStyle w:val="TableParagraph"/>
              <w:spacing w:before="45"/>
              <w:ind w:left="50"/>
              <w:rPr>
                <w:sz w:val="20"/>
              </w:rPr>
            </w:pPr>
            <w:r>
              <w:rPr>
                <w:spacing w:val="-2"/>
                <w:sz w:val="20"/>
              </w:rPr>
              <w:t>ds02.006</w:t>
            </w:r>
          </w:p>
        </w:tc>
        <w:tc>
          <w:tcPr>
            <w:tcW w:w="594" w:type="dxa"/>
          </w:tcPr>
          <w:p>
            <w:pPr>
              <w:pStyle w:val="TableParagraph"/>
              <w:spacing w:before="45"/>
              <w:ind w:right="241"/>
              <w:jc w:val="right"/>
              <w:rPr>
                <w:sz w:val="20"/>
              </w:rPr>
            </w:pPr>
            <w:r>
              <w:rPr>
                <w:w w:val="99"/>
                <w:sz w:val="20"/>
              </w:rPr>
              <w:t>5</w:t>
            </w:r>
          </w:p>
        </w:tc>
        <w:tc>
          <w:tcPr>
            <w:tcW w:w="3511" w:type="dxa"/>
          </w:tcPr>
          <w:p>
            <w:pPr>
              <w:pStyle w:val="TableParagraph"/>
              <w:spacing w:before="45"/>
              <w:ind w:left="245" w:right="1000"/>
              <w:rPr>
                <w:sz w:val="20"/>
              </w:rPr>
            </w:pPr>
            <w:r>
              <w:rPr>
                <w:spacing w:val="-2"/>
                <w:sz w:val="20"/>
              </w:rPr>
              <w:t>Искусственное </w:t>
            </w:r>
            <w:r>
              <w:rPr>
                <w:sz w:val="20"/>
              </w:rPr>
              <w:t>прерывание</w:t>
            </w:r>
            <w:r>
              <w:rPr>
                <w:spacing w:val="-13"/>
                <w:sz w:val="20"/>
              </w:rPr>
              <w:t> </w:t>
            </w:r>
            <w:r>
              <w:rPr>
                <w:sz w:val="20"/>
              </w:rPr>
              <w:t>беременности </w:t>
            </w:r>
            <w:r>
              <w:rPr>
                <w:spacing w:val="-2"/>
                <w:sz w:val="20"/>
              </w:rPr>
              <w:t>(аборт)</w:t>
            </w:r>
          </w:p>
        </w:tc>
        <w:tc>
          <w:tcPr>
            <w:tcW w:w="2526" w:type="dxa"/>
          </w:tcPr>
          <w:p>
            <w:pPr>
              <w:pStyle w:val="TableParagraph"/>
              <w:spacing w:before="45"/>
              <w:ind w:left="172" w:right="172"/>
              <w:jc w:val="center"/>
              <w:rPr>
                <w:sz w:val="20"/>
              </w:rPr>
            </w:pPr>
            <w:r>
              <w:rPr>
                <w:spacing w:val="-4"/>
                <w:sz w:val="20"/>
              </w:rPr>
              <w:t>O04.9</w:t>
            </w:r>
          </w:p>
        </w:tc>
        <w:tc>
          <w:tcPr>
            <w:tcW w:w="4323" w:type="dxa"/>
          </w:tcPr>
          <w:p>
            <w:pPr>
              <w:pStyle w:val="TableParagraph"/>
              <w:spacing w:before="45"/>
              <w:ind w:left="1245" w:right="336"/>
              <w:jc w:val="center"/>
              <w:rPr>
                <w:sz w:val="20"/>
              </w:rPr>
            </w:pPr>
            <w:r>
              <w:rPr>
                <w:spacing w:val="-2"/>
                <w:sz w:val="20"/>
              </w:rPr>
              <w:t>A16.20.037</w:t>
            </w:r>
          </w:p>
        </w:tc>
        <w:tc>
          <w:tcPr>
            <w:tcW w:w="2545" w:type="dxa"/>
          </w:tcPr>
          <w:p>
            <w:pPr>
              <w:pStyle w:val="TableParagraph"/>
              <w:spacing w:before="45"/>
              <w:ind w:left="1126"/>
              <w:rPr>
                <w:sz w:val="20"/>
              </w:rPr>
            </w:pPr>
            <w:r>
              <w:rPr>
                <w:w w:val="99"/>
                <w:sz w:val="20"/>
              </w:rPr>
              <w:t>-</w:t>
            </w:r>
          </w:p>
        </w:tc>
        <w:tc>
          <w:tcPr>
            <w:tcW w:w="762" w:type="dxa"/>
          </w:tcPr>
          <w:p>
            <w:pPr>
              <w:pStyle w:val="TableParagraph"/>
              <w:spacing w:before="45"/>
              <w:ind w:right="42"/>
              <w:jc w:val="right"/>
              <w:rPr>
                <w:sz w:val="20"/>
              </w:rPr>
            </w:pPr>
            <w:r>
              <w:rPr>
                <w:spacing w:val="-4"/>
                <w:sz w:val="20"/>
              </w:rPr>
              <w:t>0,33</w:t>
            </w:r>
          </w:p>
        </w:tc>
      </w:tr>
      <w:tr>
        <w:trPr>
          <w:trHeight w:val="330" w:hRule="atLeast"/>
        </w:trPr>
        <w:tc>
          <w:tcPr>
            <w:tcW w:w="1028" w:type="dxa"/>
          </w:tcPr>
          <w:p>
            <w:pPr>
              <w:pStyle w:val="TableParagraph"/>
              <w:spacing w:before="45"/>
              <w:ind w:left="50"/>
              <w:rPr>
                <w:sz w:val="20"/>
              </w:rPr>
            </w:pPr>
            <w:r>
              <w:rPr>
                <w:spacing w:val="-2"/>
                <w:sz w:val="20"/>
              </w:rPr>
              <w:t>ds02.007</w:t>
            </w:r>
          </w:p>
        </w:tc>
        <w:tc>
          <w:tcPr>
            <w:tcW w:w="594" w:type="dxa"/>
          </w:tcPr>
          <w:p>
            <w:pPr>
              <w:pStyle w:val="TableParagraph"/>
              <w:spacing w:before="45"/>
              <w:ind w:right="241"/>
              <w:jc w:val="right"/>
              <w:rPr>
                <w:sz w:val="20"/>
              </w:rPr>
            </w:pPr>
            <w:r>
              <w:rPr>
                <w:w w:val="99"/>
                <w:sz w:val="20"/>
              </w:rPr>
              <w:t>6</w:t>
            </w:r>
          </w:p>
        </w:tc>
        <w:tc>
          <w:tcPr>
            <w:tcW w:w="3511" w:type="dxa"/>
          </w:tcPr>
          <w:p>
            <w:pPr>
              <w:pStyle w:val="TableParagraph"/>
              <w:spacing w:before="45"/>
              <w:ind w:left="245"/>
              <w:rPr>
                <w:sz w:val="20"/>
              </w:rPr>
            </w:pPr>
            <w:r>
              <w:rPr>
                <w:sz w:val="20"/>
              </w:rPr>
              <w:t>Аборт</w:t>
            </w:r>
            <w:r>
              <w:rPr>
                <w:spacing w:val="-8"/>
                <w:sz w:val="20"/>
              </w:rPr>
              <w:t> </w:t>
            </w:r>
            <w:r>
              <w:rPr>
                <w:spacing w:val="-2"/>
                <w:sz w:val="20"/>
              </w:rPr>
              <w:t>медикаментозный</w:t>
            </w:r>
          </w:p>
        </w:tc>
        <w:tc>
          <w:tcPr>
            <w:tcW w:w="2526" w:type="dxa"/>
          </w:tcPr>
          <w:p>
            <w:pPr>
              <w:pStyle w:val="TableParagraph"/>
              <w:spacing w:before="45"/>
              <w:ind w:right="2"/>
              <w:jc w:val="center"/>
              <w:rPr>
                <w:sz w:val="20"/>
              </w:rPr>
            </w:pPr>
            <w:r>
              <w:rPr>
                <w:w w:val="99"/>
                <w:sz w:val="20"/>
              </w:rPr>
              <w:t>-</w:t>
            </w:r>
          </w:p>
        </w:tc>
        <w:tc>
          <w:tcPr>
            <w:tcW w:w="4323" w:type="dxa"/>
          </w:tcPr>
          <w:p>
            <w:pPr>
              <w:pStyle w:val="TableParagraph"/>
              <w:spacing w:before="45"/>
              <w:ind w:left="1021" w:right="114"/>
              <w:jc w:val="center"/>
              <w:rPr>
                <w:sz w:val="20"/>
              </w:rPr>
            </w:pPr>
            <w:r>
              <w:rPr>
                <w:spacing w:val="-2"/>
                <w:sz w:val="20"/>
              </w:rPr>
              <w:t>B03.001.005</w:t>
            </w:r>
          </w:p>
        </w:tc>
        <w:tc>
          <w:tcPr>
            <w:tcW w:w="2545" w:type="dxa"/>
          </w:tcPr>
          <w:p>
            <w:pPr>
              <w:pStyle w:val="TableParagraph"/>
              <w:spacing w:before="45"/>
              <w:ind w:left="1126"/>
              <w:rPr>
                <w:sz w:val="20"/>
              </w:rPr>
            </w:pPr>
            <w:r>
              <w:rPr>
                <w:w w:val="99"/>
                <w:sz w:val="20"/>
              </w:rPr>
              <w:t>-</w:t>
            </w:r>
          </w:p>
        </w:tc>
        <w:tc>
          <w:tcPr>
            <w:tcW w:w="762" w:type="dxa"/>
          </w:tcPr>
          <w:p>
            <w:pPr>
              <w:pStyle w:val="TableParagraph"/>
              <w:spacing w:before="45"/>
              <w:ind w:right="42"/>
              <w:jc w:val="right"/>
              <w:rPr>
                <w:sz w:val="20"/>
              </w:rPr>
            </w:pPr>
            <w:r>
              <w:rPr>
                <w:spacing w:val="-4"/>
                <w:sz w:val="20"/>
              </w:rPr>
              <w:t>0,38</w:t>
            </w:r>
          </w:p>
        </w:tc>
      </w:tr>
      <w:tr>
        <w:trPr>
          <w:trHeight w:val="791" w:hRule="atLeast"/>
        </w:trPr>
        <w:tc>
          <w:tcPr>
            <w:tcW w:w="1028" w:type="dxa"/>
          </w:tcPr>
          <w:p>
            <w:pPr>
              <w:pStyle w:val="TableParagraph"/>
              <w:spacing w:before="46"/>
              <w:ind w:left="50"/>
              <w:rPr>
                <w:sz w:val="20"/>
              </w:rPr>
            </w:pPr>
            <w:r>
              <w:rPr>
                <w:spacing w:val="-2"/>
                <w:sz w:val="20"/>
              </w:rPr>
              <w:t>ds02.008</w:t>
            </w:r>
          </w:p>
        </w:tc>
        <w:tc>
          <w:tcPr>
            <w:tcW w:w="594" w:type="dxa"/>
          </w:tcPr>
          <w:p>
            <w:pPr>
              <w:pStyle w:val="TableParagraph"/>
              <w:spacing w:before="46"/>
              <w:ind w:right="241"/>
              <w:jc w:val="right"/>
              <w:rPr>
                <w:sz w:val="20"/>
              </w:rPr>
            </w:pPr>
            <w:r>
              <w:rPr>
                <w:w w:val="99"/>
                <w:sz w:val="20"/>
              </w:rPr>
              <w:t>7</w:t>
            </w:r>
          </w:p>
        </w:tc>
        <w:tc>
          <w:tcPr>
            <w:tcW w:w="3511" w:type="dxa"/>
          </w:tcPr>
          <w:p>
            <w:pPr>
              <w:pStyle w:val="TableParagraph"/>
              <w:spacing w:before="46"/>
              <w:ind w:left="245" w:right="1183"/>
              <w:rPr>
                <w:sz w:val="20"/>
              </w:rPr>
            </w:pPr>
            <w:r>
              <w:rPr>
                <w:spacing w:val="-2"/>
                <w:sz w:val="20"/>
              </w:rPr>
              <w:t>Экстракорпоральное оплодотворение </w:t>
            </w:r>
            <w:r>
              <w:rPr>
                <w:sz w:val="20"/>
              </w:rPr>
              <w:t>(уровень 1)</w:t>
            </w:r>
          </w:p>
        </w:tc>
        <w:tc>
          <w:tcPr>
            <w:tcW w:w="2526" w:type="dxa"/>
          </w:tcPr>
          <w:p>
            <w:pPr>
              <w:pStyle w:val="TableParagraph"/>
              <w:spacing w:before="46"/>
              <w:ind w:right="2"/>
              <w:jc w:val="center"/>
              <w:rPr>
                <w:sz w:val="20"/>
              </w:rPr>
            </w:pPr>
            <w:r>
              <w:rPr>
                <w:w w:val="99"/>
                <w:sz w:val="20"/>
              </w:rPr>
              <w:t>-</w:t>
            </w:r>
          </w:p>
        </w:tc>
        <w:tc>
          <w:tcPr>
            <w:tcW w:w="4323" w:type="dxa"/>
          </w:tcPr>
          <w:p>
            <w:pPr>
              <w:pStyle w:val="TableParagraph"/>
              <w:spacing w:before="46"/>
              <w:ind w:left="908"/>
              <w:jc w:val="center"/>
              <w:rPr>
                <w:sz w:val="20"/>
              </w:rPr>
            </w:pPr>
            <w:r>
              <w:rPr>
                <w:w w:val="99"/>
                <w:sz w:val="20"/>
              </w:rPr>
              <w:t>-</w:t>
            </w:r>
          </w:p>
        </w:tc>
        <w:tc>
          <w:tcPr>
            <w:tcW w:w="2545" w:type="dxa"/>
          </w:tcPr>
          <w:p>
            <w:pPr>
              <w:pStyle w:val="TableParagraph"/>
              <w:spacing w:before="46"/>
              <w:ind w:left="281" w:right="503" w:hanging="2"/>
              <w:jc w:val="center"/>
              <w:rPr>
                <w:sz w:val="20"/>
              </w:rPr>
            </w:pPr>
            <w:r>
              <w:rPr>
                <w:spacing w:val="-4"/>
                <w:sz w:val="20"/>
              </w:rPr>
              <w:t>Иной </w:t>
            </w:r>
            <w:r>
              <w:rPr>
                <w:spacing w:val="-2"/>
                <w:sz w:val="20"/>
              </w:rPr>
              <w:t>классификационный </w:t>
            </w:r>
            <w:r>
              <w:rPr>
                <w:sz w:val="20"/>
              </w:rPr>
              <w:t>критерий: ivf1</w:t>
            </w:r>
          </w:p>
        </w:tc>
        <w:tc>
          <w:tcPr>
            <w:tcW w:w="762" w:type="dxa"/>
          </w:tcPr>
          <w:p>
            <w:pPr>
              <w:pStyle w:val="TableParagraph"/>
              <w:spacing w:before="46"/>
              <w:ind w:right="42"/>
              <w:jc w:val="right"/>
              <w:rPr>
                <w:sz w:val="20"/>
              </w:rPr>
            </w:pPr>
            <w:r>
              <w:rPr>
                <w:spacing w:val="-4"/>
                <w:sz w:val="20"/>
              </w:rPr>
              <w:t>1,70</w:t>
            </w:r>
          </w:p>
        </w:tc>
      </w:tr>
      <w:tr>
        <w:trPr>
          <w:trHeight w:val="789" w:hRule="atLeast"/>
        </w:trPr>
        <w:tc>
          <w:tcPr>
            <w:tcW w:w="1028" w:type="dxa"/>
          </w:tcPr>
          <w:p>
            <w:pPr>
              <w:pStyle w:val="TableParagraph"/>
              <w:spacing w:before="45"/>
              <w:ind w:left="50"/>
              <w:rPr>
                <w:sz w:val="20"/>
              </w:rPr>
            </w:pPr>
            <w:r>
              <w:rPr>
                <w:spacing w:val="-2"/>
                <w:sz w:val="20"/>
              </w:rPr>
              <w:t>ds02.009</w:t>
            </w:r>
          </w:p>
        </w:tc>
        <w:tc>
          <w:tcPr>
            <w:tcW w:w="594" w:type="dxa"/>
          </w:tcPr>
          <w:p>
            <w:pPr>
              <w:pStyle w:val="TableParagraph"/>
              <w:spacing w:before="45"/>
              <w:ind w:right="241"/>
              <w:jc w:val="right"/>
              <w:rPr>
                <w:sz w:val="20"/>
              </w:rPr>
            </w:pPr>
            <w:r>
              <w:rPr>
                <w:w w:val="99"/>
                <w:sz w:val="20"/>
              </w:rPr>
              <w:t>8</w:t>
            </w:r>
          </w:p>
        </w:tc>
        <w:tc>
          <w:tcPr>
            <w:tcW w:w="3511" w:type="dxa"/>
          </w:tcPr>
          <w:p>
            <w:pPr>
              <w:pStyle w:val="TableParagraph"/>
              <w:spacing w:before="45"/>
              <w:ind w:left="245" w:right="1183"/>
              <w:rPr>
                <w:sz w:val="20"/>
              </w:rPr>
            </w:pPr>
            <w:r>
              <w:rPr>
                <w:spacing w:val="-2"/>
                <w:sz w:val="20"/>
              </w:rPr>
              <w:t>Экстракорпоральное оплодотворение </w:t>
            </w:r>
            <w:r>
              <w:rPr>
                <w:sz w:val="20"/>
              </w:rPr>
              <w:t>(уровень 2)</w:t>
            </w:r>
          </w:p>
        </w:tc>
        <w:tc>
          <w:tcPr>
            <w:tcW w:w="2526" w:type="dxa"/>
          </w:tcPr>
          <w:p>
            <w:pPr>
              <w:pStyle w:val="TableParagraph"/>
              <w:spacing w:before="45"/>
              <w:ind w:right="2"/>
              <w:jc w:val="center"/>
              <w:rPr>
                <w:sz w:val="20"/>
              </w:rPr>
            </w:pPr>
            <w:r>
              <w:rPr>
                <w:w w:val="99"/>
                <w:sz w:val="20"/>
              </w:rPr>
              <w:t>-</w:t>
            </w:r>
          </w:p>
        </w:tc>
        <w:tc>
          <w:tcPr>
            <w:tcW w:w="4323" w:type="dxa"/>
          </w:tcPr>
          <w:p>
            <w:pPr>
              <w:pStyle w:val="TableParagraph"/>
              <w:spacing w:before="45"/>
              <w:ind w:left="908"/>
              <w:jc w:val="center"/>
              <w:rPr>
                <w:sz w:val="20"/>
              </w:rPr>
            </w:pPr>
            <w:r>
              <w:rPr>
                <w:w w:val="99"/>
                <w:sz w:val="20"/>
              </w:rPr>
              <w:t>-</w:t>
            </w:r>
          </w:p>
        </w:tc>
        <w:tc>
          <w:tcPr>
            <w:tcW w:w="2545" w:type="dxa"/>
          </w:tcPr>
          <w:p>
            <w:pPr>
              <w:pStyle w:val="TableParagraph"/>
              <w:spacing w:before="45"/>
              <w:ind w:left="127" w:right="355" w:firstLine="4"/>
              <w:jc w:val="center"/>
              <w:rPr>
                <w:sz w:val="20"/>
              </w:rPr>
            </w:pPr>
            <w:r>
              <w:rPr>
                <w:spacing w:val="-4"/>
                <w:sz w:val="20"/>
              </w:rPr>
              <w:t>Иной </w:t>
            </w:r>
            <w:r>
              <w:rPr>
                <w:spacing w:val="-2"/>
                <w:sz w:val="20"/>
              </w:rPr>
              <w:t>классификационный </w:t>
            </w:r>
            <w:r>
              <w:rPr>
                <w:sz w:val="20"/>
              </w:rPr>
              <w:t>критерий:</w:t>
            </w:r>
            <w:r>
              <w:rPr>
                <w:spacing w:val="-13"/>
                <w:sz w:val="20"/>
              </w:rPr>
              <w:t> </w:t>
            </w:r>
            <w:r>
              <w:rPr>
                <w:sz w:val="20"/>
              </w:rPr>
              <w:t>ivf2,</w:t>
            </w:r>
            <w:r>
              <w:rPr>
                <w:spacing w:val="-12"/>
                <w:sz w:val="20"/>
              </w:rPr>
              <w:t> </w:t>
            </w:r>
            <w:r>
              <w:rPr>
                <w:sz w:val="20"/>
              </w:rPr>
              <w:t>ivf3,</w:t>
            </w:r>
            <w:r>
              <w:rPr>
                <w:spacing w:val="-13"/>
                <w:sz w:val="20"/>
              </w:rPr>
              <w:t> </w:t>
            </w:r>
            <w:r>
              <w:rPr>
                <w:sz w:val="20"/>
              </w:rPr>
              <w:t>ivf4</w:t>
            </w:r>
          </w:p>
        </w:tc>
        <w:tc>
          <w:tcPr>
            <w:tcW w:w="762" w:type="dxa"/>
          </w:tcPr>
          <w:p>
            <w:pPr>
              <w:pStyle w:val="TableParagraph"/>
              <w:spacing w:before="45"/>
              <w:ind w:right="42"/>
              <w:jc w:val="right"/>
              <w:rPr>
                <w:sz w:val="20"/>
              </w:rPr>
            </w:pPr>
            <w:r>
              <w:rPr>
                <w:spacing w:val="-4"/>
                <w:sz w:val="20"/>
              </w:rPr>
              <w:t>5,38</w:t>
            </w:r>
          </w:p>
        </w:tc>
      </w:tr>
      <w:tr>
        <w:trPr>
          <w:trHeight w:val="735" w:hRule="atLeast"/>
        </w:trPr>
        <w:tc>
          <w:tcPr>
            <w:tcW w:w="1028" w:type="dxa"/>
          </w:tcPr>
          <w:p>
            <w:pPr>
              <w:pStyle w:val="TableParagraph"/>
              <w:spacing w:before="45"/>
              <w:ind w:left="50"/>
              <w:rPr>
                <w:sz w:val="20"/>
              </w:rPr>
            </w:pPr>
            <w:r>
              <w:rPr>
                <w:spacing w:val="-2"/>
                <w:sz w:val="20"/>
              </w:rPr>
              <w:t>ds02.010</w:t>
            </w:r>
          </w:p>
        </w:tc>
        <w:tc>
          <w:tcPr>
            <w:tcW w:w="594" w:type="dxa"/>
          </w:tcPr>
          <w:p>
            <w:pPr>
              <w:pStyle w:val="TableParagraph"/>
              <w:spacing w:before="45"/>
              <w:ind w:right="241"/>
              <w:jc w:val="right"/>
              <w:rPr>
                <w:sz w:val="20"/>
              </w:rPr>
            </w:pPr>
            <w:r>
              <w:rPr>
                <w:w w:val="99"/>
                <w:sz w:val="20"/>
              </w:rPr>
              <w:t>9</w:t>
            </w:r>
          </w:p>
        </w:tc>
        <w:tc>
          <w:tcPr>
            <w:tcW w:w="3511" w:type="dxa"/>
          </w:tcPr>
          <w:p>
            <w:pPr>
              <w:pStyle w:val="TableParagraph"/>
              <w:spacing w:line="230" w:lineRule="atLeast" w:before="25"/>
              <w:ind w:left="245" w:right="1183"/>
              <w:rPr>
                <w:sz w:val="20"/>
              </w:rPr>
            </w:pPr>
            <w:r>
              <w:rPr>
                <w:spacing w:val="-2"/>
                <w:sz w:val="20"/>
              </w:rPr>
              <w:t>Экстракорпоральное оплодотворение </w:t>
            </w:r>
            <w:r>
              <w:rPr>
                <w:sz w:val="20"/>
              </w:rPr>
              <w:t>(уровень 3)</w:t>
            </w:r>
          </w:p>
        </w:tc>
        <w:tc>
          <w:tcPr>
            <w:tcW w:w="2526" w:type="dxa"/>
          </w:tcPr>
          <w:p>
            <w:pPr>
              <w:pStyle w:val="TableParagraph"/>
              <w:spacing w:before="45"/>
              <w:ind w:right="2"/>
              <w:jc w:val="center"/>
              <w:rPr>
                <w:sz w:val="20"/>
              </w:rPr>
            </w:pPr>
            <w:r>
              <w:rPr>
                <w:w w:val="99"/>
                <w:sz w:val="20"/>
              </w:rPr>
              <w:t>-</w:t>
            </w:r>
          </w:p>
        </w:tc>
        <w:tc>
          <w:tcPr>
            <w:tcW w:w="4323" w:type="dxa"/>
          </w:tcPr>
          <w:p>
            <w:pPr>
              <w:pStyle w:val="TableParagraph"/>
              <w:spacing w:before="45"/>
              <w:ind w:left="908"/>
              <w:jc w:val="center"/>
              <w:rPr>
                <w:sz w:val="20"/>
              </w:rPr>
            </w:pPr>
            <w:r>
              <w:rPr>
                <w:w w:val="99"/>
                <w:sz w:val="20"/>
              </w:rPr>
              <w:t>-</w:t>
            </w:r>
          </w:p>
        </w:tc>
        <w:tc>
          <w:tcPr>
            <w:tcW w:w="2545" w:type="dxa"/>
          </w:tcPr>
          <w:p>
            <w:pPr>
              <w:pStyle w:val="TableParagraph"/>
              <w:spacing w:line="230" w:lineRule="atLeast" w:before="25"/>
              <w:ind w:left="281" w:right="503" w:hanging="2"/>
              <w:jc w:val="center"/>
              <w:rPr>
                <w:sz w:val="20"/>
              </w:rPr>
            </w:pPr>
            <w:r>
              <w:rPr>
                <w:spacing w:val="-4"/>
                <w:sz w:val="20"/>
              </w:rPr>
              <w:t>Иной </w:t>
            </w:r>
            <w:r>
              <w:rPr>
                <w:spacing w:val="-2"/>
                <w:sz w:val="20"/>
              </w:rPr>
              <w:t>классификационный </w:t>
            </w:r>
            <w:r>
              <w:rPr>
                <w:sz w:val="20"/>
              </w:rPr>
              <w:t>критерий: ivf5, ivf6</w:t>
            </w:r>
          </w:p>
        </w:tc>
        <w:tc>
          <w:tcPr>
            <w:tcW w:w="762" w:type="dxa"/>
          </w:tcPr>
          <w:p>
            <w:pPr>
              <w:pStyle w:val="TableParagraph"/>
              <w:spacing w:before="45"/>
              <w:ind w:right="42"/>
              <w:jc w:val="right"/>
              <w:rPr>
                <w:sz w:val="20"/>
              </w:rPr>
            </w:pPr>
            <w:r>
              <w:rPr>
                <w:spacing w:val="-4"/>
                <w:sz w:val="20"/>
              </w:rPr>
              <w:t>8,96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40"/>
        <w:gridCol w:w="5577"/>
        <w:gridCol w:w="1518"/>
        <w:gridCol w:w="3172"/>
        <w:gridCol w:w="837"/>
      </w:tblGrid>
      <w:tr>
        <w:trPr>
          <w:trHeight w:val="734" w:hRule="atLeast"/>
        </w:trPr>
        <w:tc>
          <w:tcPr>
            <w:tcW w:w="1003" w:type="dxa"/>
          </w:tcPr>
          <w:p>
            <w:pPr>
              <w:pStyle w:val="TableParagraph"/>
              <w:spacing w:line="221" w:lineRule="exact"/>
              <w:ind w:left="39" w:right="212"/>
              <w:jc w:val="center"/>
              <w:rPr>
                <w:sz w:val="20"/>
              </w:rPr>
            </w:pPr>
            <w:r>
              <w:rPr>
                <w:spacing w:val="-2"/>
                <w:sz w:val="20"/>
              </w:rPr>
              <w:t>ds02.011</w:t>
            </w:r>
          </w:p>
        </w:tc>
        <w:tc>
          <w:tcPr>
            <w:tcW w:w="645" w:type="dxa"/>
          </w:tcPr>
          <w:p>
            <w:pPr>
              <w:pStyle w:val="TableParagraph"/>
              <w:spacing w:line="221" w:lineRule="exact"/>
              <w:ind w:left="211" w:right="203"/>
              <w:jc w:val="center"/>
              <w:rPr>
                <w:sz w:val="20"/>
              </w:rPr>
            </w:pPr>
            <w:r>
              <w:rPr>
                <w:spacing w:val="-5"/>
                <w:sz w:val="20"/>
              </w:rPr>
              <w:t>10</w:t>
            </w:r>
          </w:p>
        </w:tc>
        <w:tc>
          <w:tcPr>
            <w:tcW w:w="2540" w:type="dxa"/>
          </w:tcPr>
          <w:p>
            <w:pPr>
              <w:pStyle w:val="TableParagraph"/>
              <w:ind w:left="219" w:right="453"/>
              <w:rPr>
                <w:sz w:val="20"/>
              </w:rPr>
            </w:pPr>
            <w:r>
              <w:rPr>
                <w:spacing w:val="-2"/>
                <w:sz w:val="20"/>
              </w:rPr>
              <w:t>Экстракорпоральное оплодотворение </w:t>
            </w:r>
            <w:r>
              <w:rPr>
                <w:sz w:val="20"/>
              </w:rPr>
              <w:t>(уровень 4)</w:t>
            </w:r>
          </w:p>
        </w:tc>
        <w:tc>
          <w:tcPr>
            <w:tcW w:w="5577" w:type="dxa"/>
          </w:tcPr>
          <w:p>
            <w:pPr>
              <w:pStyle w:val="TableParagraph"/>
              <w:spacing w:line="221" w:lineRule="exact"/>
              <w:ind w:right="1163"/>
              <w:jc w:val="center"/>
              <w:rPr>
                <w:sz w:val="20"/>
              </w:rPr>
            </w:pPr>
            <w:r>
              <w:rPr>
                <w:w w:val="99"/>
                <w:sz w:val="20"/>
              </w:rPr>
              <w:t>-</w:t>
            </w:r>
          </w:p>
        </w:tc>
        <w:tc>
          <w:tcPr>
            <w:tcW w:w="1518" w:type="dxa"/>
          </w:tcPr>
          <w:p>
            <w:pPr>
              <w:pStyle w:val="TableParagraph"/>
              <w:spacing w:line="221" w:lineRule="exact"/>
              <w:ind w:left="476"/>
              <w:rPr>
                <w:sz w:val="20"/>
              </w:rPr>
            </w:pPr>
            <w:r>
              <w:rPr>
                <w:w w:val="99"/>
                <w:sz w:val="20"/>
              </w:rPr>
              <w:t>-</w:t>
            </w:r>
          </w:p>
        </w:tc>
        <w:tc>
          <w:tcPr>
            <w:tcW w:w="3172" w:type="dxa"/>
          </w:tcPr>
          <w:p>
            <w:pPr>
              <w:pStyle w:val="TableParagraph"/>
              <w:ind w:left="980" w:right="431" w:hanging="2"/>
              <w:jc w:val="center"/>
              <w:rPr>
                <w:sz w:val="20"/>
              </w:rPr>
            </w:pPr>
            <w:r>
              <w:rPr>
                <w:spacing w:val="-4"/>
                <w:sz w:val="20"/>
              </w:rPr>
              <w:t>Иной </w:t>
            </w:r>
            <w:r>
              <w:rPr>
                <w:spacing w:val="-2"/>
                <w:sz w:val="20"/>
              </w:rPr>
              <w:t>классификационный </w:t>
            </w:r>
            <w:r>
              <w:rPr>
                <w:sz w:val="20"/>
              </w:rPr>
              <w:t>критерий: ivf7</w:t>
            </w:r>
          </w:p>
        </w:tc>
        <w:tc>
          <w:tcPr>
            <w:tcW w:w="837" w:type="dxa"/>
          </w:tcPr>
          <w:p>
            <w:pPr>
              <w:pStyle w:val="TableParagraph"/>
              <w:spacing w:line="221" w:lineRule="exact"/>
              <w:ind w:right="45"/>
              <w:jc w:val="right"/>
              <w:rPr>
                <w:sz w:val="20"/>
              </w:rPr>
            </w:pPr>
            <w:r>
              <w:rPr>
                <w:spacing w:val="-4"/>
                <w:sz w:val="20"/>
              </w:rPr>
              <w:t>9,86</w:t>
            </w:r>
          </w:p>
        </w:tc>
      </w:tr>
      <w:tr>
        <w:trPr>
          <w:trHeight w:val="330" w:hRule="atLeast"/>
        </w:trPr>
        <w:tc>
          <w:tcPr>
            <w:tcW w:w="1003" w:type="dxa"/>
          </w:tcPr>
          <w:p>
            <w:pPr>
              <w:pStyle w:val="TableParagraph"/>
              <w:spacing w:before="46"/>
              <w:ind w:left="39" w:right="211"/>
              <w:jc w:val="center"/>
              <w:rPr>
                <w:sz w:val="20"/>
              </w:rPr>
            </w:pPr>
            <w:r>
              <w:rPr>
                <w:spacing w:val="-4"/>
                <w:sz w:val="20"/>
              </w:rPr>
              <w:t>ds03</w:t>
            </w:r>
          </w:p>
        </w:tc>
        <w:tc>
          <w:tcPr>
            <w:tcW w:w="645" w:type="dxa"/>
          </w:tcPr>
          <w:p>
            <w:pPr>
              <w:pStyle w:val="TableParagraph"/>
              <w:spacing w:before="46"/>
              <w:ind w:left="7"/>
              <w:jc w:val="center"/>
              <w:rPr>
                <w:sz w:val="20"/>
              </w:rPr>
            </w:pPr>
            <w:r>
              <w:rPr>
                <w:w w:val="99"/>
                <w:sz w:val="20"/>
              </w:rPr>
              <w:t>3</w:t>
            </w:r>
          </w:p>
        </w:tc>
        <w:tc>
          <w:tcPr>
            <w:tcW w:w="2540" w:type="dxa"/>
          </w:tcPr>
          <w:p>
            <w:pPr>
              <w:pStyle w:val="TableParagraph"/>
              <w:rPr>
                <w:sz w:val="18"/>
              </w:rPr>
            </w:pPr>
          </w:p>
        </w:tc>
        <w:tc>
          <w:tcPr>
            <w:tcW w:w="5577" w:type="dxa"/>
          </w:tcPr>
          <w:p>
            <w:pPr>
              <w:pStyle w:val="TableParagraph"/>
              <w:spacing w:before="46"/>
              <w:ind w:left="2556"/>
              <w:rPr>
                <w:sz w:val="20"/>
              </w:rPr>
            </w:pPr>
            <w:r>
              <w:rPr>
                <w:sz w:val="20"/>
              </w:rPr>
              <w:t>Аллергология</w:t>
            </w:r>
            <w:r>
              <w:rPr>
                <w:spacing w:val="-7"/>
                <w:sz w:val="20"/>
              </w:rPr>
              <w:t> </w:t>
            </w:r>
            <w:r>
              <w:rPr>
                <w:sz w:val="20"/>
              </w:rPr>
              <w:t>и</w:t>
            </w:r>
            <w:r>
              <w:rPr>
                <w:spacing w:val="-9"/>
                <w:sz w:val="20"/>
              </w:rPr>
              <w:t> </w:t>
            </w:r>
            <w:r>
              <w:rPr>
                <w:spacing w:val="-2"/>
                <w:sz w:val="20"/>
              </w:rPr>
              <w:t>иммунология</w:t>
            </w:r>
          </w:p>
        </w:tc>
        <w:tc>
          <w:tcPr>
            <w:tcW w:w="1518"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5"/>
              <w:jc w:val="right"/>
              <w:rPr>
                <w:sz w:val="20"/>
              </w:rPr>
            </w:pPr>
            <w:r>
              <w:rPr>
                <w:spacing w:val="-4"/>
                <w:sz w:val="20"/>
              </w:rPr>
              <w:t>0,98</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ds03.001</w:t>
            </w:r>
          </w:p>
        </w:tc>
        <w:tc>
          <w:tcPr>
            <w:tcW w:w="645" w:type="dxa"/>
          </w:tcPr>
          <w:p>
            <w:pPr>
              <w:pStyle w:val="TableParagraph"/>
              <w:spacing w:line="215" w:lineRule="exact" w:before="45"/>
              <w:ind w:left="211" w:right="203"/>
              <w:jc w:val="center"/>
              <w:rPr>
                <w:sz w:val="20"/>
              </w:rPr>
            </w:pPr>
            <w:r>
              <w:rPr>
                <w:spacing w:val="-5"/>
                <w:sz w:val="20"/>
              </w:rPr>
              <w:t>11</w:t>
            </w:r>
          </w:p>
        </w:tc>
        <w:tc>
          <w:tcPr>
            <w:tcW w:w="2540" w:type="dxa"/>
          </w:tcPr>
          <w:p>
            <w:pPr>
              <w:pStyle w:val="TableParagraph"/>
              <w:spacing w:line="215" w:lineRule="exact" w:before="45"/>
              <w:ind w:left="219"/>
              <w:rPr>
                <w:sz w:val="20"/>
              </w:rPr>
            </w:pPr>
            <w:r>
              <w:rPr>
                <w:spacing w:val="-2"/>
                <w:sz w:val="20"/>
              </w:rPr>
              <w:t>Нарушения</w:t>
            </w:r>
            <w:r>
              <w:rPr>
                <w:spacing w:val="3"/>
                <w:sz w:val="20"/>
              </w:rPr>
              <w:t> </w:t>
            </w:r>
            <w:r>
              <w:rPr>
                <w:spacing w:val="-10"/>
                <w:sz w:val="20"/>
              </w:rPr>
              <w:t>с</w:t>
            </w:r>
          </w:p>
        </w:tc>
        <w:tc>
          <w:tcPr>
            <w:tcW w:w="5577" w:type="dxa"/>
          </w:tcPr>
          <w:p>
            <w:pPr>
              <w:pStyle w:val="TableParagraph"/>
              <w:spacing w:line="215" w:lineRule="exact" w:before="45"/>
              <w:ind w:left="226"/>
              <w:rPr>
                <w:sz w:val="20"/>
              </w:rPr>
            </w:pPr>
            <w:r>
              <w:rPr>
                <w:sz w:val="20"/>
              </w:rPr>
              <w:t>D80,</w:t>
            </w:r>
            <w:r>
              <w:rPr>
                <w:spacing w:val="-6"/>
                <w:sz w:val="20"/>
              </w:rPr>
              <w:t> </w:t>
            </w:r>
            <w:r>
              <w:rPr>
                <w:sz w:val="20"/>
              </w:rPr>
              <w:t>D80.0,</w:t>
            </w:r>
            <w:r>
              <w:rPr>
                <w:spacing w:val="-6"/>
                <w:sz w:val="20"/>
              </w:rPr>
              <w:t> </w:t>
            </w:r>
            <w:r>
              <w:rPr>
                <w:sz w:val="20"/>
              </w:rPr>
              <w:t>D80.1,</w:t>
            </w:r>
            <w:r>
              <w:rPr>
                <w:spacing w:val="-5"/>
                <w:sz w:val="20"/>
              </w:rPr>
              <w:t> </w:t>
            </w:r>
            <w:r>
              <w:rPr>
                <w:sz w:val="20"/>
              </w:rPr>
              <w:t>D80.2,</w:t>
            </w:r>
            <w:r>
              <w:rPr>
                <w:spacing w:val="-6"/>
                <w:sz w:val="20"/>
              </w:rPr>
              <w:t> </w:t>
            </w:r>
            <w:r>
              <w:rPr>
                <w:sz w:val="20"/>
              </w:rPr>
              <w:t>D80.3,</w:t>
            </w:r>
            <w:r>
              <w:rPr>
                <w:spacing w:val="-5"/>
                <w:sz w:val="20"/>
              </w:rPr>
              <w:t> </w:t>
            </w:r>
            <w:r>
              <w:rPr>
                <w:sz w:val="20"/>
              </w:rPr>
              <w:t>D80.4,</w:t>
            </w:r>
            <w:r>
              <w:rPr>
                <w:spacing w:val="-6"/>
                <w:sz w:val="20"/>
              </w:rPr>
              <w:t> </w:t>
            </w:r>
            <w:r>
              <w:rPr>
                <w:spacing w:val="-2"/>
                <w:sz w:val="20"/>
              </w:rPr>
              <w:t>D80.5,</w:t>
            </w:r>
          </w:p>
        </w:tc>
        <w:tc>
          <w:tcPr>
            <w:tcW w:w="1518" w:type="dxa"/>
          </w:tcPr>
          <w:p>
            <w:pPr>
              <w:pStyle w:val="TableParagraph"/>
              <w:spacing w:line="215" w:lineRule="exact" w:before="45"/>
              <w:ind w:left="476"/>
              <w:rPr>
                <w:sz w:val="20"/>
              </w:rPr>
            </w:pPr>
            <w:r>
              <w:rPr>
                <w:w w:val="99"/>
                <w:sz w:val="20"/>
              </w:rPr>
              <w:t>-</w:t>
            </w:r>
          </w:p>
        </w:tc>
        <w:tc>
          <w:tcPr>
            <w:tcW w:w="3172" w:type="dxa"/>
          </w:tcPr>
          <w:p>
            <w:pPr>
              <w:pStyle w:val="TableParagraph"/>
              <w:spacing w:line="215" w:lineRule="exact" w:before="45"/>
              <w:ind w:left="544"/>
              <w:jc w:val="center"/>
              <w:rPr>
                <w:sz w:val="20"/>
              </w:rPr>
            </w:pPr>
            <w:r>
              <w:rPr>
                <w:w w:val="99"/>
                <w:sz w:val="20"/>
              </w:rPr>
              <w:t>-</w:t>
            </w:r>
          </w:p>
        </w:tc>
        <w:tc>
          <w:tcPr>
            <w:tcW w:w="837" w:type="dxa"/>
          </w:tcPr>
          <w:p>
            <w:pPr>
              <w:pStyle w:val="TableParagraph"/>
              <w:spacing w:line="215" w:lineRule="exact" w:before="45"/>
              <w:ind w:right="45"/>
              <w:jc w:val="right"/>
              <w:rPr>
                <w:sz w:val="20"/>
              </w:rPr>
            </w:pPr>
            <w:r>
              <w:rPr>
                <w:spacing w:val="-4"/>
                <w:sz w:val="20"/>
              </w:rPr>
              <w:t>0,98</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spacing w:line="211" w:lineRule="exact"/>
              <w:ind w:left="219"/>
              <w:rPr>
                <w:sz w:val="20"/>
              </w:rPr>
            </w:pPr>
            <w:r>
              <w:rPr>
                <w:spacing w:val="-2"/>
                <w:sz w:val="20"/>
              </w:rPr>
              <w:t>вовлечением</w:t>
            </w:r>
            <w:r>
              <w:rPr>
                <w:spacing w:val="7"/>
                <w:sz w:val="20"/>
              </w:rPr>
              <w:t> </w:t>
            </w:r>
            <w:r>
              <w:rPr>
                <w:spacing w:val="-2"/>
                <w:sz w:val="20"/>
              </w:rPr>
              <w:t>иммунного</w:t>
            </w:r>
          </w:p>
        </w:tc>
        <w:tc>
          <w:tcPr>
            <w:tcW w:w="5577" w:type="dxa"/>
          </w:tcPr>
          <w:p>
            <w:pPr>
              <w:pStyle w:val="TableParagraph"/>
              <w:spacing w:line="211" w:lineRule="exact"/>
              <w:ind w:left="223"/>
              <w:rPr>
                <w:sz w:val="20"/>
              </w:rPr>
            </w:pPr>
            <w:r>
              <w:rPr>
                <w:sz w:val="20"/>
              </w:rPr>
              <w:t>D80.6,</w:t>
            </w:r>
            <w:r>
              <w:rPr>
                <w:spacing w:val="-4"/>
                <w:sz w:val="20"/>
              </w:rPr>
              <w:t> </w:t>
            </w:r>
            <w:r>
              <w:rPr>
                <w:sz w:val="20"/>
              </w:rPr>
              <w:t>D80.7,</w:t>
            </w:r>
            <w:r>
              <w:rPr>
                <w:spacing w:val="-6"/>
                <w:sz w:val="20"/>
              </w:rPr>
              <w:t> </w:t>
            </w:r>
            <w:r>
              <w:rPr>
                <w:sz w:val="20"/>
              </w:rPr>
              <w:t>D80.8,</w:t>
            </w:r>
            <w:r>
              <w:rPr>
                <w:spacing w:val="-4"/>
                <w:sz w:val="20"/>
              </w:rPr>
              <w:t> </w:t>
            </w:r>
            <w:r>
              <w:rPr>
                <w:sz w:val="20"/>
              </w:rPr>
              <w:t>D80.9,</w:t>
            </w:r>
            <w:r>
              <w:rPr>
                <w:spacing w:val="-6"/>
                <w:sz w:val="20"/>
              </w:rPr>
              <w:t> </w:t>
            </w:r>
            <w:r>
              <w:rPr>
                <w:sz w:val="20"/>
              </w:rPr>
              <w:t>D81,</w:t>
            </w:r>
            <w:r>
              <w:rPr>
                <w:spacing w:val="-4"/>
                <w:sz w:val="20"/>
              </w:rPr>
              <w:t> </w:t>
            </w:r>
            <w:r>
              <w:rPr>
                <w:sz w:val="20"/>
              </w:rPr>
              <w:t>D81.0,</w:t>
            </w:r>
            <w:r>
              <w:rPr>
                <w:spacing w:val="-4"/>
                <w:sz w:val="20"/>
              </w:rPr>
              <w:t> </w:t>
            </w:r>
            <w:r>
              <w:rPr>
                <w:spacing w:val="-2"/>
                <w:sz w:val="20"/>
              </w:rPr>
              <w:t>D81.1,</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spacing w:line="211" w:lineRule="exact"/>
              <w:ind w:left="219"/>
              <w:rPr>
                <w:sz w:val="20"/>
              </w:rPr>
            </w:pPr>
            <w:r>
              <w:rPr>
                <w:spacing w:val="-2"/>
                <w:sz w:val="20"/>
              </w:rPr>
              <w:t>механизма</w:t>
            </w:r>
          </w:p>
        </w:tc>
        <w:tc>
          <w:tcPr>
            <w:tcW w:w="5577" w:type="dxa"/>
          </w:tcPr>
          <w:p>
            <w:pPr>
              <w:pStyle w:val="TableParagraph"/>
              <w:spacing w:line="211" w:lineRule="exact"/>
              <w:ind w:left="447"/>
              <w:rPr>
                <w:sz w:val="20"/>
              </w:rPr>
            </w:pPr>
            <w:r>
              <w:rPr>
                <w:sz w:val="20"/>
              </w:rPr>
              <w:t>D81.2,</w:t>
            </w:r>
            <w:r>
              <w:rPr>
                <w:spacing w:val="-4"/>
                <w:sz w:val="20"/>
              </w:rPr>
              <w:t> </w:t>
            </w:r>
            <w:r>
              <w:rPr>
                <w:sz w:val="20"/>
              </w:rPr>
              <w:t>D81.3,</w:t>
            </w:r>
            <w:r>
              <w:rPr>
                <w:spacing w:val="-6"/>
                <w:sz w:val="20"/>
              </w:rPr>
              <w:t> </w:t>
            </w:r>
            <w:r>
              <w:rPr>
                <w:sz w:val="20"/>
              </w:rPr>
              <w:t>D81.4,</w:t>
            </w:r>
            <w:r>
              <w:rPr>
                <w:spacing w:val="-4"/>
                <w:sz w:val="20"/>
              </w:rPr>
              <w:t> </w:t>
            </w:r>
            <w:r>
              <w:rPr>
                <w:sz w:val="20"/>
              </w:rPr>
              <w:t>D81.5,</w:t>
            </w:r>
            <w:r>
              <w:rPr>
                <w:spacing w:val="-6"/>
                <w:sz w:val="20"/>
              </w:rPr>
              <w:t> </w:t>
            </w:r>
            <w:r>
              <w:rPr>
                <w:sz w:val="20"/>
              </w:rPr>
              <w:t>D81.6,</w:t>
            </w:r>
            <w:r>
              <w:rPr>
                <w:spacing w:val="-4"/>
                <w:sz w:val="20"/>
              </w:rPr>
              <w:t> </w:t>
            </w:r>
            <w:r>
              <w:rPr>
                <w:spacing w:val="-2"/>
                <w:sz w:val="20"/>
              </w:rPr>
              <w:t>D81.7,</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D81.8,</w:t>
            </w:r>
            <w:r>
              <w:rPr>
                <w:spacing w:val="-6"/>
                <w:sz w:val="20"/>
              </w:rPr>
              <w:t> </w:t>
            </w:r>
            <w:r>
              <w:rPr>
                <w:sz w:val="20"/>
              </w:rPr>
              <w:t>D81.9,</w:t>
            </w:r>
            <w:r>
              <w:rPr>
                <w:spacing w:val="-7"/>
                <w:sz w:val="20"/>
              </w:rPr>
              <w:t> </w:t>
            </w:r>
            <w:r>
              <w:rPr>
                <w:sz w:val="20"/>
              </w:rPr>
              <w:t>D82,</w:t>
            </w:r>
            <w:r>
              <w:rPr>
                <w:spacing w:val="-5"/>
                <w:sz w:val="20"/>
              </w:rPr>
              <w:t> </w:t>
            </w:r>
            <w:r>
              <w:rPr>
                <w:sz w:val="20"/>
              </w:rPr>
              <w:t>D82.0,</w:t>
            </w:r>
            <w:r>
              <w:rPr>
                <w:spacing w:val="-5"/>
                <w:sz w:val="20"/>
              </w:rPr>
              <w:t> </w:t>
            </w:r>
            <w:r>
              <w:rPr>
                <w:sz w:val="20"/>
              </w:rPr>
              <w:t>D82.1,</w:t>
            </w:r>
            <w:r>
              <w:rPr>
                <w:spacing w:val="-5"/>
                <w:sz w:val="20"/>
              </w:rPr>
              <w:t> </w:t>
            </w:r>
            <w:r>
              <w:rPr>
                <w:sz w:val="20"/>
              </w:rPr>
              <w:t>D82.2,</w:t>
            </w:r>
            <w:r>
              <w:rPr>
                <w:spacing w:val="-6"/>
                <w:sz w:val="20"/>
              </w:rPr>
              <w:t> </w:t>
            </w:r>
            <w:r>
              <w:rPr>
                <w:spacing w:val="-2"/>
                <w:sz w:val="20"/>
              </w:rPr>
              <w:t>D82.3,</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D82.4,</w:t>
            </w:r>
            <w:r>
              <w:rPr>
                <w:spacing w:val="-5"/>
                <w:sz w:val="20"/>
              </w:rPr>
              <w:t> </w:t>
            </w:r>
            <w:r>
              <w:rPr>
                <w:sz w:val="20"/>
              </w:rPr>
              <w:t>D82.8,</w:t>
            </w:r>
            <w:r>
              <w:rPr>
                <w:spacing w:val="-6"/>
                <w:sz w:val="20"/>
              </w:rPr>
              <w:t> </w:t>
            </w:r>
            <w:r>
              <w:rPr>
                <w:sz w:val="20"/>
              </w:rPr>
              <w:t>D82.9,</w:t>
            </w:r>
            <w:r>
              <w:rPr>
                <w:spacing w:val="-4"/>
                <w:sz w:val="20"/>
              </w:rPr>
              <w:t> </w:t>
            </w:r>
            <w:r>
              <w:rPr>
                <w:sz w:val="20"/>
              </w:rPr>
              <w:t>D83,</w:t>
            </w:r>
            <w:r>
              <w:rPr>
                <w:spacing w:val="-4"/>
                <w:sz w:val="20"/>
              </w:rPr>
              <w:t> </w:t>
            </w:r>
            <w:r>
              <w:rPr>
                <w:sz w:val="20"/>
              </w:rPr>
              <w:t>D83.0,</w:t>
            </w:r>
            <w:r>
              <w:rPr>
                <w:spacing w:val="-4"/>
                <w:sz w:val="20"/>
              </w:rPr>
              <w:t> </w:t>
            </w:r>
            <w:r>
              <w:rPr>
                <w:sz w:val="20"/>
              </w:rPr>
              <w:t>D83.1,</w:t>
            </w:r>
            <w:r>
              <w:rPr>
                <w:spacing w:val="-5"/>
                <w:sz w:val="20"/>
              </w:rPr>
              <w:t> </w:t>
            </w:r>
            <w:r>
              <w:rPr>
                <w:spacing w:val="-2"/>
                <w:sz w:val="20"/>
              </w:rPr>
              <w:t>D83.2,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D83.8,</w:t>
            </w:r>
            <w:r>
              <w:rPr>
                <w:spacing w:val="-6"/>
                <w:sz w:val="20"/>
              </w:rPr>
              <w:t> </w:t>
            </w:r>
            <w:r>
              <w:rPr>
                <w:sz w:val="20"/>
              </w:rPr>
              <w:t>D83.9,</w:t>
            </w:r>
            <w:r>
              <w:rPr>
                <w:spacing w:val="-7"/>
                <w:sz w:val="20"/>
              </w:rPr>
              <w:t> </w:t>
            </w:r>
            <w:r>
              <w:rPr>
                <w:sz w:val="20"/>
              </w:rPr>
              <w:t>D84,</w:t>
            </w:r>
            <w:r>
              <w:rPr>
                <w:spacing w:val="-5"/>
                <w:sz w:val="20"/>
              </w:rPr>
              <w:t> </w:t>
            </w:r>
            <w:r>
              <w:rPr>
                <w:sz w:val="20"/>
              </w:rPr>
              <w:t>D84.0,</w:t>
            </w:r>
            <w:r>
              <w:rPr>
                <w:spacing w:val="-5"/>
                <w:sz w:val="20"/>
              </w:rPr>
              <w:t> </w:t>
            </w:r>
            <w:r>
              <w:rPr>
                <w:sz w:val="20"/>
              </w:rPr>
              <w:t>D84.1,</w:t>
            </w:r>
            <w:r>
              <w:rPr>
                <w:spacing w:val="-5"/>
                <w:sz w:val="20"/>
              </w:rPr>
              <w:t> </w:t>
            </w:r>
            <w:r>
              <w:rPr>
                <w:sz w:val="20"/>
              </w:rPr>
              <w:t>D84.8,</w:t>
            </w:r>
            <w:r>
              <w:rPr>
                <w:spacing w:val="-6"/>
                <w:sz w:val="20"/>
              </w:rPr>
              <w:t> </w:t>
            </w:r>
            <w:r>
              <w:rPr>
                <w:spacing w:val="-2"/>
                <w:sz w:val="20"/>
              </w:rPr>
              <w:t>D84.9,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D89,</w:t>
            </w:r>
            <w:r>
              <w:rPr>
                <w:spacing w:val="-6"/>
                <w:sz w:val="20"/>
              </w:rPr>
              <w:t> </w:t>
            </w:r>
            <w:r>
              <w:rPr>
                <w:sz w:val="20"/>
              </w:rPr>
              <w:t>D89.0,</w:t>
            </w:r>
            <w:r>
              <w:rPr>
                <w:spacing w:val="-6"/>
                <w:sz w:val="20"/>
              </w:rPr>
              <w:t> </w:t>
            </w:r>
            <w:r>
              <w:rPr>
                <w:sz w:val="20"/>
              </w:rPr>
              <w:t>D89.1,</w:t>
            </w:r>
            <w:r>
              <w:rPr>
                <w:spacing w:val="-5"/>
                <w:sz w:val="20"/>
              </w:rPr>
              <w:t> </w:t>
            </w:r>
            <w:r>
              <w:rPr>
                <w:sz w:val="20"/>
              </w:rPr>
              <w:t>D89.2,</w:t>
            </w:r>
            <w:r>
              <w:rPr>
                <w:spacing w:val="-6"/>
                <w:sz w:val="20"/>
              </w:rPr>
              <w:t> </w:t>
            </w:r>
            <w:r>
              <w:rPr>
                <w:sz w:val="20"/>
              </w:rPr>
              <w:t>D89.3,</w:t>
            </w:r>
            <w:r>
              <w:rPr>
                <w:spacing w:val="-5"/>
                <w:sz w:val="20"/>
              </w:rPr>
              <w:t> </w:t>
            </w:r>
            <w:r>
              <w:rPr>
                <w:sz w:val="20"/>
              </w:rPr>
              <w:t>D89.8,</w:t>
            </w:r>
            <w:r>
              <w:rPr>
                <w:spacing w:val="-6"/>
                <w:sz w:val="20"/>
              </w:rPr>
              <w:t> </w:t>
            </w:r>
            <w:r>
              <w:rPr>
                <w:spacing w:val="-2"/>
                <w:sz w:val="20"/>
              </w:rPr>
              <w:t>D89.9,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69"/>
              <w:rPr>
                <w:sz w:val="20"/>
              </w:rPr>
            </w:pPr>
            <w:r>
              <w:rPr>
                <w:sz w:val="20"/>
              </w:rPr>
              <w:t>R65,</w:t>
            </w:r>
            <w:r>
              <w:rPr>
                <w:spacing w:val="-5"/>
                <w:sz w:val="20"/>
              </w:rPr>
              <w:t> </w:t>
            </w:r>
            <w:r>
              <w:rPr>
                <w:sz w:val="20"/>
              </w:rPr>
              <w:t>R65.0,</w:t>
            </w:r>
            <w:r>
              <w:rPr>
                <w:spacing w:val="-5"/>
                <w:sz w:val="20"/>
              </w:rPr>
              <w:t> </w:t>
            </w:r>
            <w:r>
              <w:rPr>
                <w:sz w:val="20"/>
              </w:rPr>
              <w:t>R65.1,</w:t>
            </w:r>
            <w:r>
              <w:rPr>
                <w:spacing w:val="-5"/>
                <w:sz w:val="20"/>
              </w:rPr>
              <w:t> </w:t>
            </w:r>
            <w:r>
              <w:rPr>
                <w:sz w:val="20"/>
              </w:rPr>
              <w:t>R65.2,</w:t>
            </w:r>
            <w:r>
              <w:rPr>
                <w:spacing w:val="-5"/>
                <w:sz w:val="20"/>
              </w:rPr>
              <w:t> </w:t>
            </w:r>
            <w:r>
              <w:rPr>
                <w:sz w:val="20"/>
              </w:rPr>
              <w:t>R65.3,</w:t>
            </w:r>
            <w:r>
              <w:rPr>
                <w:spacing w:val="-5"/>
                <w:sz w:val="20"/>
              </w:rPr>
              <w:t> </w:t>
            </w:r>
            <w:r>
              <w:rPr>
                <w:sz w:val="20"/>
              </w:rPr>
              <w:t>R65.9,</w:t>
            </w:r>
            <w:r>
              <w:rPr>
                <w:spacing w:val="-7"/>
                <w:sz w:val="20"/>
              </w:rPr>
              <w:t> </w:t>
            </w:r>
            <w:r>
              <w:rPr>
                <w:spacing w:val="-2"/>
                <w:sz w:val="20"/>
              </w:rPr>
              <w:t>T78.0,</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540" w:type="dxa"/>
          </w:tcPr>
          <w:p>
            <w:pPr>
              <w:pStyle w:val="TableParagraph"/>
              <w:rPr>
                <w:sz w:val="18"/>
              </w:rPr>
            </w:pPr>
          </w:p>
        </w:tc>
        <w:tc>
          <w:tcPr>
            <w:tcW w:w="5577" w:type="dxa"/>
          </w:tcPr>
          <w:p>
            <w:pPr>
              <w:pStyle w:val="TableParagraph"/>
              <w:spacing w:line="226" w:lineRule="exact"/>
              <w:ind w:left="826"/>
              <w:rPr>
                <w:sz w:val="20"/>
              </w:rPr>
            </w:pPr>
            <w:r>
              <w:rPr>
                <w:sz w:val="20"/>
              </w:rPr>
              <w:t>T78.2,</w:t>
            </w:r>
            <w:r>
              <w:rPr>
                <w:spacing w:val="-7"/>
                <w:sz w:val="20"/>
              </w:rPr>
              <w:t> </w:t>
            </w:r>
            <w:r>
              <w:rPr>
                <w:sz w:val="20"/>
              </w:rPr>
              <w:t>T78.3,</w:t>
            </w:r>
            <w:r>
              <w:rPr>
                <w:spacing w:val="-5"/>
                <w:sz w:val="20"/>
              </w:rPr>
              <w:t> </w:t>
            </w:r>
            <w:r>
              <w:rPr>
                <w:sz w:val="20"/>
              </w:rPr>
              <w:t>T78.4,</w:t>
            </w:r>
            <w:r>
              <w:rPr>
                <w:spacing w:val="-5"/>
                <w:sz w:val="20"/>
              </w:rPr>
              <w:t> </w:t>
            </w:r>
            <w:r>
              <w:rPr>
                <w:sz w:val="20"/>
              </w:rPr>
              <w:t>T80.5,</w:t>
            </w:r>
            <w:r>
              <w:rPr>
                <w:spacing w:val="-4"/>
                <w:sz w:val="20"/>
              </w:rPr>
              <w:t> </w:t>
            </w:r>
            <w:r>
              <w:rPr>
                <w:spacing w:val="-2"/>
                <w:sz w:val="20"/>
              </w:rPr>
              <w:t>T88.6</w:t>
            </w:r>
          </w:p>
        </w:tc>
        <w:tc>
          <w:tcPr>
            <w:tcW w:w="1518"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330" w:hRule="atLeast"/>
        </w:trPr>
        <w:tc>
          <w:tcPr>
            <w:tcW w:w="1003" w:type="dxa"/>
          </w:tcPr>
          <w:p>
            <w:pPr>
              <w:pStyle w:val="TableParagraph"/>
              <w:spacing w:before="46"/>
              <w:ind w:left="39" w:right="211"/>
              <w:jc w:val="center"/>
              <w:rPr>
                <w:sz w:val="20"/>
              </w:rPr>
            </w:pPr>
            <w:r>
              <w:rPr>
                <w:spacing w:val="-4"/>
                <w:sz w:val="20"/>
              </w:rPr>
              <w:t>ds04</w:t>
            </w:r>
          </w:p>
        </w:tc>
        <w:tc>
          <w:tcPr>
            <w:tcW w:w="645" w:type="dxa"/>
          </w:tcPr>
          <w:p>
            <w:pPr>
              <w:pStyle w:val="TableParagraph"/>
              <w:spacing w:before="46"/>
              <w:ind w:left="7"/>
              <w:jc w:val="center"/>
              <w:rPr>
                <w:sz w:val="20"/>
              </w:rPr>
            </w:pPr>
            <w:r>
              <w:rPr>
                <w:w w:val="99"/>
                <w:sz w:val="20"/>
              </w:rPr>
              <w:t>4</w:t>
            </w:r>
          </w:p>
        </w:tc>
        <w:tc>
          <w:tcPr>
            <w:tcW w:w="2540" w:type="dxa"/>
          </w:tcPr>
          <w:p>
            <w:pPr>
              <w:pStyle w:val="TableParagraph"/>
              <w:rPr>
                <w:sz w:val="18"/>
              </w:rPr>
            </w:pPr>
          </w:p>
        </w:tc>
        <w:tc>
          <w:tcPr>
            <w:tcW w:w="5577" w:type="dxa"/>
          </w:tcPr>
          <w:p>
            <w:pPr>
              <w:pStyle w:val="TableParagraph"/>
              <w:spacing w:before="46"/>
              <w:ind w:left="3017"/>
              <w:rPr>
                <w:sz w:val="20"/>
              </w:rPr>
            </w:pPr>
            <w:r>
              <w:rPr>
                <w:spacing w:val="-2"/>
                <w:sz w:val="20"/>
              </w:rPr>
              <w:t>Гастроэнтерология</w:t>
            </w:r>
          </w:p>
        </w:tc>
        <w:tc>
          <w:tcPr>
            <w:tcW w:w="1518"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5"/>
              <w:jc w:val="right"/>
              <w:rPr>
                <w:sz w:val="20"/>
              </w:rPr>
            </w:pPr>
            <w:r>
              <w:rPr>
                <w:spacing w:val="-4"/>
                <w:sz w:val="20"/>
              </w:rPr>
              <w:t>0,89</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ds04.001</w:t>
            </w:r>
          </w:p>
        </w:tc>
        <w:tc>
          <w:tcPr>
            <w:tcW w:w="645" w:type="dxa"/>
          </w:tcPr>
          <w:p>
            <w:pPr>
              <w:pStyle w:val="TableParagraph"/>
              <w:spacing w:line="215" w:lineRule="exact" w:before="45"/>
              <w:ind w:left="211" w:right="203"/>
              <w:jc w:val="center"/>
              <w:rPr>
                <w:sz w:val="20"/>
              </w:rPr>
            </w:pPr>
            <w:r>
              <w:rPr>
                <w:spacing w:val="-5"/>
                <w:sz w:val="20"/>
              </w:rPr>
              <w:t>12</w:t>
            </w:r>
          </w:p>
        </w:tc>
        <w:tc>
          <w:tcPr>
            <w:tcW w:w="2540" w:type="dxa"/>
          </w:tcPr>
          <w:p>
            <w:pPr>
              <w:pStyle w:val="TableParagraph"/>
              <w:spacing w:line="215" w:lineRule="exact" w:before="45"/>
              <w:ind w:left="219"/>
              <w:rPr>
                <w:sz w:val="20"/>
              </w:rPr>
            </w:pPr>
            <w:r>
              <w:rPr>
                <w:sz w:val="20"/>
              </w:rPr>
              <w:t>Болезни</w:t>
            </w:r>
            <w:r>
              <w:rPr>
                <w:spacing w:val="-10"/>
                <w:sz w:val="20"/>
              </w:rPr>
              <w:t> </w:t>
            </w:r>
            <w:r>
              <w:rPr>
                <w:spacing w:val="-2"/>
                <w:sz w:val="20"/>
              </w:rPr>
              <w:t>органов</w:t>
            </w:r>
          </w:p>
        </w:tc>
        <w:tc>
          <w:tcPr>
            <w:tcW w:w="5577" w:type="dxa"/>
          </w:tcPr>
          <w:p>
            <w:pPr>
              <w:pStyle w:val="TableParagraph"/>
              <w:spacing w:line="215" w:lineRule="exact" w:before="45"/>
              <w:ind w:left="226"/>
              <w:rPr>
                <w:sz w:val="20"/>
              </w:rPr>
            </w:pPr>
            <w:r>
              <w:rPr>
                <w:sz w:val="20"/>
              </w:rPr>
              <w:t>D01,</w:t>
            </w:r>
            <w:r>
              <w:rPr>
                <w:spacing w:val="-6"/>
                <w:sz w:val="20"/>
              </w:rPr>
              <w:t> </w:t>
            </w:r>
            <w:r>
              <w:rPr>
                <w:sz w:val="20"/>
              </w:rPr>
              <w:t>D01.0,</w:t>
            </w:r>
            <w:r>
              <w:rPr>
                <w:spacing w:val="-6"/>
                <w:sz w:val="20"/>
              </w:rPr>
              <w:t> </w:t>
            </w:r>
            <w:r>
              <w:rPr>
                <w:sz w:val="20"/>
              </w:rPr>
              <w:t>D01.1,</w:t>
            </w:r>
            <w:r>
              <w:rPr>
                <w:spacing w:val="-5"/>
                <w:sz w:val="20"/>
              </w:rPr>
              <w:t> </w:t>
            </w:r>
            <w:r>
              <w:rPr>
                <w:sz w:val="20"/>
              </w:rPr>
              <w:t>D01.2,</w:t>
            </w:r>
            <w:r>
              <w:rPr>
                <w:spacing w:val="-6"/>
                <w:sz w:val="20"/>
              </w:rPr>
              <w:t> </w:t>
            </w:r>
            <w:r>
              <w:rPr>
                <w:sz w:val="20"/>
              </w:rPr>
              <w:t>D01.3,</w:t>
            </w:r>
            <w:r>
              <w:rPr>
                <w:spacing w:val="-5"/>
                <w:sz w:val="20"/>
              </w:rPr>
              <w:t> </w:t>
            </w:r>
            <w:r>
              <w:rPr>
                <w:sz w:val="20"/>
              </w:rPr>
              <w:t>D01.4,</w:t>
            </w:r>
            <w:r>
              <w:rPr>
                <w:spacing w:val="-6"/>
                <w:sz w:val="20"/>
              </w:rPr>
              <w:t> </w:t>
            </w:r>
            <w:r>
              <w:rPr>
                <w:spacing w:val="-2"/>
                <w:sz w:val="20"/>
              </w:rPr>
              <w:t>D01.5,</w:t>
            </w:r>
          </w:p>
        </w:tc>
        <w:tc>
          <w:tcPr>
            <w:tcW w:w="1518" w:type="dxa"/>
          </w:tcPr>
          <w:p>
            <w:pPr>
              <w:pStyle w:val="TableParagraph"/>
              <w:spacing w:line="215" w:lineRule="exact" w:before="45"/>
              <w:ind w:left="476"/>
              <w:rPr>
                <w:sz w:val="20"/>
              </w:rPr>
            </w:pPr>
            <w:r>
              <w:rPr>
                <w:w w:val="99"/>
                <w:sz w:val="20"/>
              </w:rPr>
              <w:t>-</w:t>
            </w:r>
          </w:p>
        </w:tc>
        <w:tc>
          <w:tcPr>
            <w:tcW w:w="3172" w:type="dxa"/>
          </w:tcPr>
          <w:p>
            <w:pPr>
              <w:pStyle w:val="TableParagraph"/>
              <w:spacing w:line="215" w:lineRule="exact" w:before="45"/>
              <w:ind w:left="970" w:right="424"/>
              <w:jc w:val="center"/>
              <w:rPr>
                <w:sz w:val="20"/>
              </w:rPr>
            </w:pPr>
            <w:r>
              <w:rPr>
                <w:sz w:val="20"/>
              </w:rPr>
              <w:t>Возрастная</w:t>
            </w:r>
            <w:r>
              <w:rPr>
                <w:spacing w:val="-11"/>
                <w:sz w:val="20"/>
              </w:rPr>
              <w:t> </w:t>
            </w:r>
            <w:r>
              <w:rPr>
                <w:spacing w:val="-2"/>
                <w:sz w:val="20"/>
              </w:rPr>
              <w:t>группа:</w:t>
            </w:r>
          </w:p>
        </w:tc>
        <w:tc>
          <w:tcPr>
            <w:tcW w:w="837" w:type="dxa"/>
          </w:tcPr>
          <w:p>
            <w:pPr>
              <w:pStyle w:val="TableParagraph"/>
              <w:spacing w:line="215" w:lineRule="exact" w:before="45"/>
              <w:ind w:right="45"/>
              <w:jc w:val="right"/>
              <w:rPr>
                <w:sz w:val="20"/>
              </w:rPr>
            </w:pPr>
            <w:r>
              <w:rPr>
                <w:spacing w:val="-4"/>
                <w:sz w:val="20"/>
              </w:rPr>
              <w:t>0,89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spacing w:line="211" w:lineRule="exact"/>
              <w:ind w:left="219"/>
              <w:rPr>
                <w:sz w:val="20"/>
              </w:rPr>
            </w:pPr>
            <w:r>
              <w:rPr>
                <w:spacing w:val="-2"/>
                <w:sz w:val="20"/>
              </w:rPr>
              <w:t>пищеварения,</w:t>
            </w:r>
            <w:r>
              <w:rPr>
                <w:spacing w:val="7"/>
                <w:sz w:val="20"/>
              </w:rPr>
              <w:t> </w:t>
            </w:r>
            <w:r>
              <w:rPr>
                <w:spacing w:val="-2"/>
                <w:sz w:val="20"/>
              </w:rPr>
              <w:t>взрослые</w:t>
            </w:r>
          </w:p>
        </w:tc>
        <w:tc>
          <w:tcPr>
            <w:tcW w:w="5577" w:type="dxa"/>
          </w:tcPr>
          <w:p>
            <w:pPr>
              <w:pStyle w:val="TableParagraph"/>
              <w:spacing w:line="211" w:lineRule="exact"/>
              <w:ind w:left="226"/>
              <w:rPr>
                <w:sz w:val="20"/>
              </w:rPr>
            </w:pPr>
            <w:r>
              <w:rPr>
                <w:sz w:val="20"/>
              </w:rPr>
              <w:t>D01.7,</w:t>
            </w:r>
            <w:r>
              <w:rPr>
                <w:spacing w:val="-6"/>
                <w:sz w:val="20"/>
              </w:rPr>
              <w:t> </w:t>
            </w:r>
            <w:r>
              <w:rPr>
                <w:sz w:val="20"/>
              </w:rPr>
              <w:t>D01.9,</w:t>
            </w:r>
            <w:r>
              <w:rPr>
                <w:spacing w:val="-7"/>
                <w:sz w:val="20"/>
              </w:rPr>
              <w:t> </w:t>
            </w:r>
            <w:r>
              <w:rPr>
                <w:sz w:val="20"/>
              </w:rPr>
              <w:t>D12,</w:t>
            </w:r>
            <w:r>
              <w:rPr>
                <w:spacing w:val="-5"/>
                <w:sz w:val="20"/>
              </w:rPr>
              <w:t> </w:t>
            </w:r>
            <w:r>
              <w:rPr>
                <w:sz w:val="20"/>
              </w:rPr>
              <w:t>D12.0,</w:t>
            </w:r>
            <w:r>
              <w:rPr>
                <w:spacing w:val="-5"/>
                <w:sz w:val="20"/>
              </w:rPr>
              <w:t> </w:t>
            </w:r>
            <w:r>
              <w:rPr>
                <w:sz w:val="20"/>
              </w:rPr>
              <w:t>D12.1,</w:t>
            </w:r>
            <w:r>
              <w:rPr>
                <w:spacing w:val="-5"/>
                <w:sz w:val="20"/>
              </w:rPr>
              <w:t> </w:t>
            </w:r>
            <w:r>
              <w:rPr>
                <w:sz w:val="20"/>
              </w:rPr>
              <w:t>D12.2,</w:t>
            </w:r>
            <w:r>
              <w:rPr>
                <w:spacing w:val="-6"/>
                <w:sz w:val="20"/>
              </w:rPr>
              <w:t> </w:t>
            </w:r>
            <w:r>
              <w:rPr>
                <w:spacing w:val="-2"/>
                <w:sz w:val="20"/>
              </w:rPr>
              <w:t>D12.3,</w:t>
            </w:r>
          </w:p>
        </w:tc>
        <w:tc>
          <w:tcPr>
            <w:tcW w:w="1518" w:type="dxa"/>
          </w:tcPr>
          <w:p>
            <w:pPr>
              <w:pStyle w:val="TableParagraph"/>
              <w:rPr>
                <w:sz w:val="16"/>
              </w:rPr>
            </w:pPr>
          </w:p>
        </w:tc>
        <w:tc>
          <w:tcPr>
            <w:tcW w:w="3172" w:type="dxa"/>
          </w:tcPr>
          <w:p>
            <w:pPr>
              <w:pStyle w:val="TableParagraph"/>
              <w:spacing w:line="211" w:lineRule="exact"/>
              <w:ind w:left="970" w:right="42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1" w:lineRule="exact"/>
              <w:ind w:left="223"/>
              <w:rPr>
                <w:sz w:val="20"/>
              </w:rPr>
            </w:pPr>
            <w:r>
              <w:rPr>
                <w:sz w:val="20"/>
              </w:rPr>
              <w:t>D12.4,</w:t>
            </w:r>
            <w:r>
              <w:rPr>
                <w:spacing w:val="-5"/>
                <w:sz w:val="20"/>
              </w:rPr>
              <w:t> </w:t>
            </w:r>
            <w:r>
              <w:rPr>
                <w:sz w:val="20"/>
              </w:rPr>
              <w:t>D12.5,</w:t>
            </w:r>
            <w:r>
              <w:rPr>
                <w:spacing w:val="-5"/>
                <w:sz w:val="20"/>
              </w:rPr>
              <w:t> </w:t>
            </w:r>
            <w:r>
              <w:rPr>
                <w:sz w:val="20"/>
              </w:rPr>
              <w:t>D12.6,</w:t>
            </w:r>
            <w:r>
              <w:rPr>
                <w:spacing w:val="-4"/>
                <w:sz w:val="20"/>
              </w:rPr>
              <w:t> </w:t>
            </w:r>
            <w:r>
              <w:rPr>
                <w:sz w:val="20"/>
              </w:rPr>
              <w:t>D12.7,</w:t>
            </w:r>
            <w:r>
              <w:rPr>
                <w:spacing w:val="-6"/>
                <w:sz w:val="20"/>
              </w:rPr>
              <w:t> </w:t>
            </w:r>
            <w:r>
              <w:rPr>
                <w:sz w:val="20"/>
              </w:rPr>
              <w:t>D12.8,</w:t>
            </w:r>
            <w:r>
              <w:rPr>
                <w:spacing w:val="-4"/>
                <w:sz w:val="20"/>
              </w:rPr>
              <w:t> </w:t>
            </w:r>
            <w:r>
              <w:rPr>
                <w:sz w:val="20"/>
              </w:rPr>
              <w:t>D12.9,</w:t>
            </w:r>
            <w:r>
              <w:rPr>
                <w:spacing w:val="-6"/>
                <w:sz w:val="20"/>
              </w:rPr>
              <w:t> </w:t>
            </w:r>
            <w:r>
              <w:rPr>
                <w:spacing w:val="-4"/>
                <w:sz w:val="20"/>
              </w:rPr>
              <w:t>D13,</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447"/>
              <w:rPr>
                <w:sz w:val="20"/>
              </w:rPr>
            </w:pPr>
            <w:r>
              <w:rPr>
                <w:sz w:val="20"/>
              </w:rPr>
              <w:t>D13.0,</w:t>
            </w:r>
            <w:r>
              <w:rPr>
                <w:spacing w:val="-4"/>
                <w:sz w:val="20"/>
              </w:rPr>
              <w:t> </w:t>
            </w:r>
            <w:r>
              <w:rPr>
                <w:sz w:val="20"/>
              </w:rPr>
              <w:t>D13.1,</w:t>
            </w:r>
            <w:r>
              <w:rPr>
                <w:spacing w:val="-6"/>
                <w:sz w:val="20"/>
              </w:rPr>
              <w:t> </w:t>
            </w:r>
            <w:r>
              <w:rPr>
                <w:sz w:val="20"/>
              </w:rPr>
              <w:t>D13.2,</w:t>
            </w:r>
            <w:r>
              <w:rPr>
                <w:spacing w:val="-4"/>
                <w:sz w:val="20"/>
              </w:rPr>
              <w:t> </w:t>
            </w:r>
            <w:r>
              <w:rPr>
                <w:sz w:val="20"/>
              </w:rPr>
              <w:t>D13.3,</w:t>
            </w:r>
            <w:r>
              <w:rPr>
                <w:spacing w:val="-6"/>
                <w:sz w:val="20"/>
              </w:rPr>
              <w:t> </w:t>
            </w:r>
            <w:r>
              <w:rPr>
                <w:sz w:val="20"/>
              </w:rPr>
              <w:t>D13.4,</w:t>
            </w:r>
            <w:r>
              <w:rPr>
                <w:spacing w:val="-4"/>
                <w:sz w:val="20"/>
              </w:rPr>
              <w:t> </w:t>
            </w:r>
            <w:r>
              <w:rPr>
                <w:spacing w:val="-2"/>
                <w:sz w:val="20"/>
              </w:rPr>
              <w:t>D13.5,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D13.9,</w:t>
            </w:r>
            <w:r>
              <w:rPr>
                <w:spacing w:val="-6"/>
                <w:sz w:val="20"/>
              </w:rPr>
              <w:t> </w:t>
            </w:r>
            <w:r>
              <w:rPr>
                <w:sz w:val="20"/>
              </w:rPr>
              <w:t>D19.1,</w:t>
            </w:r>
            <w:r>
              <w:rPr>
                <w:spacing w:val="-7"/>
                <w:sz w:val="20"/>
              </w:rPr>
              <w:t> </w:t>
            </w:r>
            <w:r>
              <w:rPr>
                <w:sz w:val="20"/>
              </w:rPr>
              <w:t>D20,</w:t>
            </w:r>
            <w:r>
              <w:rPr>
                <w:spacing w:val="-5"/>
                <w:sz w:val="20"/>
              </w:rPr>
              <w:t> </w:t>
            </w:r>
            <w:r>
              <w:rPr>
                <w:sz w:val="20"/>
              </w:rPr>
              <w:t>D20.0,</w:t>
            </w:r>
            <w:r>
              <w:rPr>
                <w:spacing w:val="-5"/>
                <w:sz w:val="20"/>
              </w:rPr>
              <w:t> </w:t>
            </w:r>
            <w:r>
              <w:rPr>
                <w:sz w:val="20"/>
              </w:rPr>
              <w:t>D20.1,</w:t>
            </w:r>
            <w:r>
              <w:rPr>
                <w:spacing w:val="-5"/>
                <w:sz w:val="20"/>
              </w:rPr>
              <w:t> </w:t>
            </w:r>
            <w:r>
              <w:rPr>
                <w:sz w:val="20"/>
              </w:rPr>
              <w:t>D37.1,</w:t>
            </w:r>
            <w:r>
              <w:rPr>
                <w:spacing w:val="-6"/>
                <w:sz w:val="20"/>
              </w:rPr>
              <w:t> </w:t>
            </w:r>
            <w:r>
              <w:rPr>
                <w:spacing w:val="-2"/>
                <w:sz w:val="20"/>
              </w:rPr>
              <w:t>D37.2,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D37.3,</w:t>
            </w:r>
            <w:r>
              <w:rPr>
                <w:spacing w:val="-4"/>
                <w:sz w:val="20"/>
              </w:rPr>
              <w:t> </w:t>
            </w:r>
            <w:r>
              <w:rPr>
                <w:sz w:val="20"/>
              </w:rPr>
              <w:t>D37.4,</w:t>
            </w:r>
            <w:r>
              <w:rPr>
                <w:spacing w:val="-6"/>
                <w:sz w:val="20"/>
              </w:rPr>
              <w:t> </w:t>
            </w:r>
            <w:r>
              <w:rPr>
                <w:sz w:val="20"/>
              </w:rPr>
              <w:t>D37.5,</w:t>
            </w:r>
            <w:r>
              <w:rPr>
                <w:spacing w:val="-4"/>
                <w:sz w:val="20"/>
              </w:rPr>
              <w:t> </w:t>
            </w:r>
            <w:r>
              <w:rPr>
                <w:sz w:val="20"/>
              </w:rPr>
              <w:t>D37.6,</w:t>
            </w:r>
            <w:r>
              <w:rPr>
                <w:spacing w:val="-6"/>
                <w:sz w:val="20"/>
              </w:rPr>
              <w:t> </w:t>
            </w:r>
            <w:r>
              <w:rPr>
                <w:sz w:val="20"/>
              </w:rPr>
              <w:t>D37.7,</w:t>
            </w:r>
            <w:r>
              <w:rPr>
                <w:spacing w:val="-4"/>
                <w:sz w:val="20"/>
              </w:rPr>
              <w:t> </w:t>
            </w:r>
            <w:r>
              <w:rPr>
                <w:spacing w:val="-2"/>
                <w:sz w:val="20"/>
              </w:rPr>
              <w:t>D37.9,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35"/>
              <w:rPr>
                <w:sz w:val="20"/>
              </w:rPr>
            </w:pPr>
            <w:r>
              <w:rPr>
                <w:sz w:val="20"/>
              </w:rPr>
              <w:t>D48.3,</w:t>
            </w:r>
            <w:r>
              <w:rPr>
                <w:spacing w:val="-5"/>
                <w:sz w:val="20"/>
              </w:rPr>
              <w:t> </w:t>
            </w:r>
            <w:r>
              <w:rPr>
                <w:sz w:val="20"/>
              </w:rPr>
              <w:t>D48.4,</w:t>
            </w:r>
            <w:r>
              <w:rPr>
                <w:spacing w:val="-6"/>
                <w:sz w:val="20"/>
              </w:rPr>
              <w:t> </w:t>
            </w:r>
            <w:r>
              <w:rPr>
                <w:sz w:val="20"/>
              </w:rPr>
              <w:t>I81,</w:t>
            </w:r>
            <w:r>
              <w:rPr>
                <w:spacing w:val="-5"/>
                <w:sz w:val="20"/>
              </w:rPr>
              <w:t> </w:t>
            </w:r>
            <w:r>
              <w:rPr>
                <w:sz w:val="20"/>
              </w:rPr>
              <w:t>I85,</w:t>
            </w:r>
            <w:r>
              <w:rPr>
                <w:spacing w:val="-4"/>
                <w:sz w:val="20"/>
              </w:rPr>
              <w:t> </w:t>
            </w:r>
            <w:r>
              <w:rPr>
                <w:sz w:val="20"/>
              </w:rPr>
              <w:t>I85.0,</w:t>
            </w:r>
            <w:r>
              <w:rPr>
                <w:spacing w:val="-7"/>
                <w:sz w:val="20"/>
              </w:rPr>
              <w:t> </w:t>
            </w:r>
            <w:r>
              <w:rPr>
                <w:sz w:val="20"/>
              </w:rPr>
              <w:t>I85.9,</w:t>
            </w:r>
            <w:r>
              <w:rPr>
                <w:spacing w:val="-4"/>
                <w:sz w:val="20"/>
              </w:rPr>
              <w:t> </w:t>
            </w:r>
            <w:r>
              <w:rPr>
                <w:sz w:val="20"/>
              </w:rPr>
              <w:t>I86.4,</w:t>
            </w:r>
            <w:r>
              <w:rPr>
                <w:spacing w:val="-7"/>
                <w:sz w:val="20"/>
              </w:rPr>
              <w:t> </w:t>
            </w:r>
            <w:r>
              <w:rPr>
                <w:spacing w:val="-2"/>
                <w:sz w:val="20"/>
              </w:rPr>
              <w:t>I98.2,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13"/>
              <w:rPr>
                <w:sz w:val="20"/>
              </w:rPr>
            </w:pPr>
            <w:r>
              <w:rPr>
                <w:sz w:val="20"/>
              </w:rPr>
              <w:t>I98.3,</w:t>
            </w:r>
            <w:r>
              <w:rPr>
                <w:spacing w:val="-4"/>
                <w:sz w:val="20"/>
              </w:rPr>
              <w:t> </w:t>
            </w:r>
            <w:r>
              <w:rPr>
                <w:sz w:val="20"/>
              </w:rPr>
              <w:t>K20,</w:t>
            </w:r>
            <w:r>
              <w:rPr>
                <w:spacing w:val="-5"/>
                <w:sz w:val="20"/>
              </w:rPr>
              <w:t> </w:t>
            </w:r>
            <w:r>
              <w:rPr>
                <w:sz w:val="20"/>
              </w:rPr>
              <w:t>K21,</w:t>
            </w:r>
            <w:r>
              <w:rPr>
                <w:spacing w:val="-3"/>
                <w:sz w:val="20"/>
              </w:rPr>
              <w:t> </w:t>
            </w:r>
            <w:r>
              <w:rPr>
                <w:sz w:val="20"/>
              </w:rPr>
              <w:t>K21.0,</w:t>
            </w:r>
            <w:r>
              <w:rPr>
                <w:spacing w:val="-5"/>
                <w:sz w:val="20"/>
              </w:rPr>
              <w:t> </w:t>
            </w:r>
            <w:r>
              <w:rPr>
                <w:sz w:val="20"/>
              </w:rPr>
              <w:t>K21.9,</w:t>
            </w:r>
            <w:r>
              <w:rPr>
                <w:spacing w:val="-4"/>
                <w:sz w:val="20"/>
              </w:rPr>
              <w:t> </w:t>
            </w:r>
            <w:r>
              <w:rPr>
                <w:sz w:val="20"/>
              </w:rPr>
              <w:t>K22,</w:t>
            </w:r>
            <w:r>
              <w:rPr>
                <w:spacing w:val="-3"/>
                <w:sz w:val="20"/>
              </w:rPr>
              <w:t> </w:t>
            </w:r>
            <w:r>
              <w:rPr>
                <w:spacing w:val="-2"/>
                <w:sz w:val="20"/>
              </w:rPr>
              <w:t>K22.0,</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447"/>
              <w:rPr>
                <w:sz w:val="20"/>
              </w:rPr>
            </w:pPr>
            <w:r>
              <w:rPr>
                <w:sz w:val="20"/>
              </w:rPr>
              <w:t>K22.1,</w:t>
            </w:r>
            <w:r>
              <w:rPr>
                <w:spacing w:val="-4"/>
                <w:sz w:val="20"/>
              </w:rPr>
              <w:t> </w:t>
            </w:r>
            <w:r>
              <w:rPr>
                <w:sz w:val="20"/>
              </w:rPr>
              <w:t>K22.2,</w:t>
            </w:r>
            <w:r>
              <w:rPr>
                <w:spacing w:val="-6"/>
                <w:sz w:val="20"/>
              </w:rPr>
              <w:t> </w:t>
            </w:r>
            <w:r>
              <w:rPr>
                <w:sz w:val="20"/>
              </w:rPr>
              <w:t>K22.3,</w:t>
            </w:r>
            <w:r>
              <w:rPr>
                <w:spacing w:val="-4"/>
                <w:sz w:val="20"/>
              </w:rPr>
              <w:t> </w:t>
            </w:r>
            <w:r>
              <w:rPr>
                <w:sz w:val="20"/>
              </w:rPr>
              <w:t>K22.4,</w:t>
            </w:r>
            <w:r>
              <w:rPr>
                <w:spacing w:val="-6"/>
                <w:sz w:val="20"/>
              </w:rPr>
              <w:t> </w:t>
            </w:r>
            <w:r>
              <w:rPr>
                <w:sz w:val="20"/>
              </w:rPr>
              <w:t>K22.5,</w:t>
            </w:r>
            <w:r>
              <w:rPr>
                <w:spacing w:val="-4"/>
                <w:sz w:val="20"/>
              </w:rPr>
              <w:t> </w:t>
            </w:r>
            <w:r>
              <w:rPr>
                <w:spacing w:val="-2"/>
                <w:sz w:val="20"/>
              </w:rPr>
              <w:t>K22.6,</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300"/>
              <w:rPr>
                <w:sz w:val="20"/>
              </w:rPr>
            </w:pPr>
            <w:r>
              <w:rPr>
                <w:sz w:val="20"/>
              </w:rPr>
              <w:t>K22.7,</w:t>
            </w:r>
            <w:r>
              <w:rPr>
                <w:spacing w:val="-6"/>
                <w:sz w:val="20"/>
              </w:rPr>
              <w:t> </w:t>
            </w:r>
            <w:r>
              <w:rPr>
                <w:sz w:val="20"/>
              </w:rPr>
              <w:t>K22.8,</w:t>
            </w:r>
            <w:r>
              <w:rPr>
                <w:spacing w:val="-6"/>
                <w:sz w:val="20"/>
              </w:rPr>
              <w:t> </w:t>
            </w:r>
            <w:r>
              <w:rPr>
                <w:sz w:val="20"/>
              </w:rPr>
              <w:t>K22.9,</w:t>
            </w:r>
            <w:r>
              <w:rPr>
                <w:spacing w:val="-5"/>
                <w:sz w:val="20"/>
              </w:rPr>
              <w:t> </w:t>
            </w:r>
            <w:r>
              <w:rPr>
                <w:sz w:val="20"/>
              </w:rPr>
              <w:t>K23,</w:t>
            </w:r>
            <w:r>
              <w:rPr>
                <w:spacing w:val="-6"/>
                <w:sz w:val="20"/>
              </w:rPr>
              <w:t> </w:t>
            </w:r>
            <w:r>
              <w:rPr>
                <w:sz w:val="20"/>
              </w:rPr>
              <w:t>K23.1,</w:t>
            </w:r>
            <w:r>
              <w:rPr>
                <w:spacing w:val="-5"/>
                <w:sz w:val="20"/>
              </w:rPr>
              <w:t> </w:t>
            </w:r>
            <w:r>
              <w:rPr>
                <w:sz w:val="20"/>
              </w:rPr>
              <w:t>K23.8,</w:t>
            </w:r>
            <w:r>
              <w:rPr>
                <w:spacing w:val="-5"/>
                <w:sz w:val="20"/>
              </w:rPr>
              <w:t> </w:t>
            </w:r>
            <w:r>
              <w:rPr>
                <w:spacing w:val="-4"/>
                <w:sz w:val="20"/>
              </w:rPr>
              <w:t>K25,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K25.0,</w:t>
            </w:r>
            <w:r>
              <w:rPr>
                <w:spacing w:val="-4"/>
                <w:sz w:val="20"/>
              </w:rPr>
              <w:t> </w:t>
            </w:r>
            <w:r>
              <w:rPr>
                <w:sz w:val="20"/>
              </w:rPr>
              <w:t>K25.1,</w:t>
            </w:r>
            <w:r>
              <w:rPr>
                <w:spacing w:val="-6"/>
                <w:sz w:val="20"/>
              </w:rPr>
              <w:t> </w:t>
            </w:r>
            <w:r>
              <w:rPr>
                <w:sz w:val="20"/>
              </w:rPr>
              <w:t>K25.2,</w:t>
            </w:r>
            <w:r>
              <w:rPr>
                <w:spacing w:val="-4"/>
                <w:sz w:val="20"/>
              </w:rPr>
              <w:t> </w:t>
            </w:r>
            <w:r>
              <w:rPr>
                <w:sz w:val="20"/>
              </w:rPr>
              <w:t>K25.3,</w:t>
            </w:r>
            <w:r>
              <w:rPr>
                <w:spacing w:val="-6"/>
                <w:sz w:val="20"/>
              </w:rPr>
              <w:t> </w:t>
            </w:r>
            <w:r>
              <w:rPr>
                <w:sz w:val="20"/>
              </w:rPr>
              <w:t>K25.4,</w:t>
            </w:r>
            <w:r>
              <w:rPr>
                <w:spacing w:val="-4"/>
                <w:sz w:val="20"/>
              </w:rPr>
              <w:t> </w:t>
            </w:r>
            <w:r>
              <w:rPr>
                <w:spacing w:val="-2"/>
                <w:sz w:val="20"/>
              </w:rPr>
              <w:t>K25.5,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K25.6,</w:t>
            </w:r>
            <w:r>
              <w:rPr>
                <w:spacing w:val="-6"/>
                <w:sz w:val="20"/>
              </w:rPr>
              <w:t> </w:t>
            </w:r>
            <w:r>
              <w:rPr>
                <w:sz w:val="20"/>
              </w:rPr>
              <w:t>K25.7,</w:t>
            </w:r>
            <w:r>
              <w:rPr>
                <w:spacing w:val="-6"/>
                <w:sz w:val="20"/>
              </w:rPr>
              <w:t> </w:t>
            </w:r>
            <w:r>
              <w:rPr>
                <w:sz w:val="20"/>
              </w:rPr>
              <w:t>K25.9,</w:t>
            </w:r>
            <w:r>
              <w:rPr>
                <w:spacing w:val="-5"/>
                <w:sz w:val="20"/>
              </w:rPr>
              <w:t> </w:t>
            </w:r>
            <w:r>
              <w:rPr>
                <w:sz w:val="20"/>
              </w:rPr>
              <w:t>K26,</w:t>
            </w:r>
            <w:r>
              <w:rPr>
                <w:spacing w:val="-6"/>
                <w:sz w:val="20"/>
              </w:rPr>
              <w:t> </w:t>
            </w:r>
            <w:r>
              <w:rPr>
                <w:sz w:val="20"/>
              </w:rPr>
              <w:t>K26.0,</w:t>
            </w:r>
            <w:r>
              <w:rPr>
                <w:spacing w:val="-5"/>
                <w:sz w:val="20"/>
              </w:rPr>
              <w:t> </w:t>
            </w:r>
            <w:r>
              <w:rPr>
                <w:sz w:val="20"/>
              </w:rPr>
              <w:t>K26.1,</w:t>
            </w:r>
            <w:r>
              <w:rPr>
                <w:spacing w:val="-5"/>
                <w:sz w:val="20"/>
              </w:rPr>
              <w:t> </w:t>
            </w:r>
            <w:r>
              <w:rPr>
                <w:spacing w:val="-2"/>
                <w:sz w:val="20"/>
              </w:rPr>
              <w:t>K26.2,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1" w:lineRule="exact"/>
              <w:ind w:left="223"/>
              <w:rPr>
                <w:sz w:val="20"/>
              </w:rPr>
            </w:pPr>
            <w:r>
              <w:rPr>
                <w:sz w:val="20"/>
              </w:rPr>
              <w:t>K26.3,</w:t>
            </w:r>
            <w:r>
              <w:rPr>
                <w:spacing w:val="-5"/>
                <w:sz w:val="20"/>
              </w:rPr>
              <w:t> </w:t>
            </w:r>
            <w:r>
              <w:rPr>
                <w:sz w:val="20"/>
              </w:rPr>
              <w:t>K26.4,</w:t>
            </w:r>
            <w:r>
              <w:rPr>
                <w:spacing w:val="-5"/>
                <w:sz w:val="20"/>
              </w:rPr>
              <w:t> </w:t>
            </w:r>
            <w:r>
              <w:rPr>
                <w:sz w:val="20"/>
              </w:rPr>
              <w:t>K26.5,</w:t>
            </w:r>
            <w:r>
              <w:rPr>
                <w:spacing w:val="-4"/>
                <w:sz w:val="20"/>
              </w:rPr>
              <w:t> </w:t>
            </w:r>
            <w:r>
              <w:rPr>
                <w:sz w:val="20"/>
              </w:rPr>
              <w:t>K26.6,</w:t>
            </w:r>
            <w:r>
              <w:rPr>
                <w:spacing w:val="-6"/>
                <w:sz w:val="20"/>
              </w:rPr>
              <w:t> </w:t>
            </w:r>
            <w:r>
              <w:rPr>
                <w:sz w:val="20"/>
              </w:rPr>
              <w:t>K26.7,</w:t>
            </w:r>
            <w:r>
              <w:rPr>
                <w:spacing w:val="-4"/>
                <w:sz w:val="20"/>
              </w:rPr>
              <w:t> </w:t>
            </w:r>
            <w:r>
              <w:rPr>
                <w:sz w:val="20"/>
              </w:rPr>
              <w:t>K26.9,</w:t>
            </w:r>
            <w:r>
              <w:rPr>
                <w:spacing w:val="-6"/>
                <w:sz w:val="20"/>
              </w:rPr>
              <w:t> </w:t>
            </w:r>
            <w:r>
              <w:rPr>
                <w:spacing w:val="-4"/>
                <w:sz w:val="20"/>
              </w:rPr>
              <w:t>K27,</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1" w:lineRule="exact"/>
              <w:ind w:left="447"/>
              <w:rPr>
                <w:sz w:val="20"/>
              </w:rPr>
            </w:pPr>
            <w:r>
              <w:rPr>
                <w:sz w:val="20"/>
              </w:rPr>
              <w:t>K27.0,</w:t>
            </w:r>
            <w:r>
              <w:rPr>
                <w:spacing w:val="-4"/>
                <w:sz w:val="20"/>
              </w:rPr>
              <w:t> </w:t>
            </w:r>
            <w:r>
              <w:rPr>
                <w:sz w:val="20"/>
              </w:rPr>
              <w:t>K27.1,</w:t>
            </w:r>
            <w:r>
              <w:rPr>
                <w:spacing w:val="-6"/>
                <w:sz w:val="20"/>
              </w:rPr>
              <w:t> </w:t>
            </w:r>
            <w:r>
              <w:rPr>
                <w:sz w:val="20"/>
              </w:rPr>
              <w:t>K27.2,</w:t>
            </w:r>
            <w:r>
              <w:rPr>
                <w:spacing w:val="-4"/>
                <w:sz w:val="20"/>
              </w:rPr>
              <w:t> </w:t>
            </w:r>
            <w:r>
              <w:rPr>
                <w:sz w:val="20"/>
              </w:rPr>
              <w:t>K27.3,</w:t>
            </w:r>
            <w:r>
              <w:rPr>
                <w:spacing w:val="-6"/>
                <w:sz w:val="20"/>
              </w:rPr>
              <w:t> </w:t>
            </w:r>
            <w:r>
              <w:rPr>
                <w:sz w:val="20"/>
              </w:rPr>
              <w:t>K27.4,</w:t>
            </w:r>
            <w:r>
              <w:rPr>
                <w:spacing w:val="-4"/>
                <w:sz w:val="20"/>
              </w:rPr>
              <w:t> </w:t>
            </w:r>
            <w:r>
              <w:rPr>
                <w:spacing w:val="-2"/>
                <w:sz w:val="20"/>
              </w:rPr>
              <w:t>K27.5,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K27.6,</w:t>
            </w:r>
            <w:r>
              <w:rPr>
                <w:spacing w:val="-6"/>
                <w:sz w:val="20"/>
              </w:rPr>
              <w:t> </w:t>
            </w:r>
            <w:r>
              <w:rPr>
                <w:sz w:val="20"/>
              </w:rPr>
              <w:t>K27.7,</w:t>
            </w:r>
            <w:r>
              <w:rPr>
                <w:spacing w:val="-6"/>
                <w:sz w:val="20"/>
              </w:rPr>
              <w:t> </w:t>
            </w:r>
            <w:r>
              <w:rPr>
                <w:sz w:val="20"/>
              </w:rPr>
              <w:t>K27.9,</w:t>
            </w:r>
            <w:r>
              <w:rPr>
                <w:spacing w:val="-5"/>
                <w:sz w:val="20"/>
              </w:rPr>
              <w:t> </w:t>
            </w:r>
            <w:r>
              <w:rPr>
                <w:sz w:val="20"/>
              </w:rPr>
              <w:t>K28,</w:t>
            </w:r>
            <w:r>
              <w:rPr>
                <w:spacing w:val="-6"/>
                <w:sz w:val="20"/>
              </w:rPr>
              <w:t> </w:t>
            </w:r>
            <w:r>
              <w:rPr>
                <w:sz w:val="20"/>
              </w:rPr>
              <w:t>K28.0,</w:t>
            </w:r>
            <w:r>
              <w:rPr>
                <w:spacing w:val="-5"/>
                <w:sz w:val="20"/>
              </w:rPr>
              <w:t> </w:t>
            </w:r>
            <w:r>
              <w:rPr>
                <w:sz w:val="20"/>
              </w:rPr>
              <w:t>K28.1,</w:t>
            </w:r>
            <w:r>
              <w:rPr>
                <w:spacing w:val="-5"/>
                <w:sz w:val="20"/>
              </w:rPr>
              <w:t> </w:t>
            </w:r>
            <w:r>
              <w:rPr>
                <w:spacing w:val="-2"/>
                <w:sz w:val="20"/>
              </w:rPr>
              <w:t>K28.2,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3"/>
              <w:rPr>
                <w:sz w:val="20"/>
              </w:rPr>
            </w:pPr>
            <w:r>
              <w:rPr>
                <w:sz w:val="20"/>
              </w:rPr>
              <w:t>K28.3,</w:t>
            </w:r>
            <w:r>
              <w:rPr>
                <w:spacing w:val="-5"/>
                <w:sz w:val="20"/>
              </w:rPr>
              <w:t> </w:t>
            </w:r>
            <w:r>
              <w:rPr>
                <w:sz w:val="20"/>
              </w:rPr>
              <w:t>K28.4,</w:t>
            </w:r>
            <w:r>
              <w:rPr>
                <w:spacing w:val="-5"/>
                <w:sz w:val="20"/>
              </w:rPr>
              <w:t> </w:t>
            </w:r>
            <w:r>
              <w:rPr>
                <w:sz w:val="20"/>
              </w:rPr>
              <w:t>K28.5,</w:t>
            </w:r>
            <w:r>
              <w:rPr>
                <w:spacing w:val="-4"/>
                <w:sz w:val="20"/>
              </w:rPr>
              <w:t> </w:t>
            </w:r>
            <w:r>
              <w:rPr>
                <w:sz w:val="20"/>
              </w:rPr>
              <w:t>K28.6,</w:t>
            </w:r>
            <w:r>
              <w:rPr>
                <w:spacing w:val="-6"/>
                <w:sz w:val="20"/>
              </w:rPr>
              <w:t> </w:t>
            </w:r>
            <w:r>
              <w:rPr>
                <w:sz w:val="20"/>
              </w:rPr>
              <w:t>K28.7,</w:t>
            </w:r>
            <w:r>
              <w:rPr>
                <w:spacing w:val="-4"/>
                <w:sz w:val="20"/>
              </w:rPr>
              <w:t> </w:t>
            </w:r>
            <w:r>
              <w:rPr>
                <w:sz w:val="20"/>
              </w:rPr>
              <w:t>K28.9,</w:t>
            </w:r>
            <w:r>
              <w:rPr>
                <w:spacing w:val="-6"/>
                <w:sz w:val="20"/>
              </w:rPr>
              <w:t> </w:t>
            </w:r>
            <w:r>
              <w:rPr>
                <w:spacing w:val="-4"/>
                <w:sz w:val="20"/>
              </w:rPr>
              <w:t>K29,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K29.0,</w:t>
            </w:r>
            <w:r>
              <w:rPr>
                <w:spacing w:val="-4"/>
                <w:sz w:val="20"/>
              </w:rPr>
              <w:t> </w:t>
            </w:r>
            <w:r>
              <w:rPr>
                <w:sz w:val="20"/>
              </w:rPr>
              <w:t>K29.1,</w:t>
            </w:r>
            <w:r>
              <w:rPr>
                <w:spacing w:val="-6"/>
                <w:sz w:val="20"/>
              </w:rPr>
              <w:t> </w:t>
            </w:r>
            <w:r>
              <w:rPr>
                <w:sz w:val="20"/>
              </w:rPr>
              <w:t>K29.2,</w:t>
            </w:r>
            <w:r>
              <w:rPr>
                <w:spacing w:val="-1"/>
                <w:sz w:val="20"/>
              </w:rPr>
              <w:t> </w:t>
            </w:r>
            <w:r>
              <w:rPr>
                <w:sz w:val="20"/>
              </w:rPr>
              <w:t>K29.3,</w:t>
            </w:r>
            <w:r>
              <w:rPr>
                <w:spacing w:val="-6"/>
                <w:sz w:val="20"/>
              </w:rPr>
              <w:t> </w:t>
            </w:r>
            <w:r>
              <w:rPr>
                <w:sz w:val="20"/>
              </w:rPr>
              <w:t>K29.4,</w:t>
            </w:r>
            <w:r>
              <w:rPr>
                <w:spacing w:val="-4"/>
                <w:sz w:val="20"/>
              </w:rPr>
              <w:t> </w:t>
            </w:r>
            <w:r>
              <w:rPr>
                <w:spacing w:val="-2"/>
                <w:sz w:val="20"/>
              </w:rPr>
              <w:t>K29.5,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300"/>
              <w:rPr>
                <w:sz w:val="20"/>
              </w:rPr>
            </w:pPr>
            <w:r>
              <w:rPr>
                <w:sz w:val="20"/>
              </w:rPr>
              <w:t>K29.6,</w:t>
            </w:r>
            <w:r>
              <w:rPr>
                <w:spacing w:val="-4"/>
                <w:sz w:val="20"/>
              </w:rPr>
              <w:t> </w:t>
            </w:r>
            <w:r>
              <w:rPr>
                <w:sz w:val="20"/>
              </w:rPr>
              <w:t>K29.7,</w:t>
            </w:r>
            <w:r>
              <w:rPr>
                <w:spacing w:val="-5"/>
                <w:sz w:val="20"/>
              </w:rPr>
              <w:t> </w:t>
            </w:r>
            <w:r>
              <w:rPr>
                <w:sz w:val="20"/>
              </w:rPr>
              <w:t>K29.8,</w:t>
            </w:r>
            <w:r>
              <w:rPr>
                <w:spacing w:val="-4"/>
                <w:sz w:val="20"/>
              </w:rPr>
              <w:t> </w:t>
            </w:r>
            <w:r>
              <w:rPr>
                <w:sz w:val="20"/>
              </w:rPr>
              <w:t>K29.9,</w:t>
            </w:r>
            <w:r>
              <w:rPr>
                <w:spacing w:val="-5"/>
                <w:sz w:val="20"/>
              </w:rPr>
              <w:t> </w:t>
            </w:r>
            <w:r>
              <w:rPr>
                <w:sz w:val="20"/>
              </w:rPr>
              <w:t>K30,</w:t>
            </w:r>
            <w:r>
              <w:rPr>
                <w:spacing w:val="-4"/>
                <w:sz w:val="20"/>
              </w:rPr>
              <w:t> </w:t>
            </w:r>
            <w:r>
              <w:rPr>
                <w:sz w:val="20"/>
              </w:rPr>
              <w:t>K31,</w:t>
            </w:r>
            <w:r>
              <w:rPr>
                <w:spacing w:val="-5"/>
                <w:sz w:val="20"/>
              </w:rPr>
              <w:t> </w:t>
            </w:r>
            <w:r>
              <w:rPr>
                <w:spacing w:val="-2"/>
                <w:sz w:val="20"/>
              </w:rPr>
              <w:t>K31.0,</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K31.1,</w:t>
            </w:r>
            <w:r>
              <w:rPr>
                <w:spacing w:val="-4"/>
                <w:sz w:val="20"/>
              </w:rPr>
              <w:t> </w:t>
            </w:r>
            <w:r>
              <w:rPr>
                <w:sz w:val="20"/>
              </w:rPr>
              <w:t>K31.2,</w:t>
            </w:r>
            <w:r>
              <w:rPr>
                <w:spacing w:val="-6"/>
                <w:sz w:val="20"/>
              </w:rPr>
              <w:t> </w:t>
            </w:r>
            <w:r>
              <w:rPr>
                <w:sz w:val="20"/>
              </w:rPr>
              <w:t>K31.3,</w:t>
            </w:r>
            <w:r>
              <w:rPr>
                <w:spacing w:val="-4"/>
                <w:sz w:val="20"/>
              </w:rPr>
              <w:t> </w:t>
            </w:r>
            <w:r>
              <w:rPr>
                <w:sz w:val="20"/>
              </w:rPr>
              <w:t>K31.4,</w:t>
            </w:r>
            <w:r>
              <w:rPr>
                <w:spacing w:val="-6"/>
                <w:sz w:val="20"/>
              </w:rPr>
              <w:t> </w:t>
            </w:r>
            <w:r>
              <w:rPr>
                <w:sz w:val="20"/>
              </w:rPr>
              <w:t>K31.5,</w:t>
            </w:r>
            <w:r>
              <w:rPr>
                <w:spacing w:val="-4"/>
                <w:sz w:val="20"/>
              </w:rPr>
              <w:t> </w:t>
            </w:r>
            <w:r>
              <w:rPr>
                <w:spacing w:val="-2"/>
                <w:sz w:val="20"/>
              </w:rPr>
              <w:t>K31.6,</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K31.7,</w:t>
            </w:r>
            <w:r>
              <w:rPr>
                <w:spacing w:val="-6"/>
                <w:sz w:val="20"/>
              </w:rPr>
              <w:t> </w:t>
            </w:r>
            <w:r>
              <w:rPr>
                <w:sz w:val="20"/>
              </w:rPr>
              <w:t>K31.8,</w:t>
            </w:r>
            <w:r>
              <w:rPr>
                <w:spacing w:val="-6"/>
                <w:sz w:val="20"/>
              </w:rPr>
              <w:t> </w:t>
            </w:r>
            <w:r>
              <w:rPr>
                <w:sz w:val="20"/>
              </w:rPr>
              <w:t>K31.9,</w:t>
            </w:r>
            <w:r>
              <w:rPr>
                <w:spacing w:val="-5"/>
                <w:sz w:val="20"/>
              </w:rPr>
              <w:t> </w:t>
            </w:r>
            <w:r>
              <w:rPr>
                <w:sz w:val="20"/>
              </w:rPr>
              <w:t>K35,</w:t>
            </w:r>
            <w:r>
              <w:rPr>
                <w:spacing w:val="-6"/>
                <w:sz w:val="20"/>
              </w:rPr>
              <w:t> </w:t>
            </w:r>
            <w:r>
              <w:rPr>
                <w:sz w:val="20"/>
              </w:rPr>
              <w:t>K35.2,</w:t>
            </w:r>
            <w:r>
              <w:rPr>
                <w:spacing w:val="-5"/>
                <w:sz w:val="20"/>
              </w:rPr>
              <w:t> </w:t>
            </w:r>
            <w:r>
              <w:rPr>
                <w:sz w:val="20"/>
              </w:rPr>
              <w:t>K35.3,</w:t>
            </w:r>
            <w:r>
              <w:rPr>
                <w:spacing w:val="-5"/>
                <w:sz w:val="20"/>
              </w:rPr>
              <w:t> </w:t>
            </w:r>
            <w:r>
              <w:rPr>
                <w:spacing w:val="-2"/>
                <w:sz w:val="20"/>
              </w:rPr>
              <w:t>K35.8,</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5" w:lineRule="exact"/>
              <w:ind w:left="375"/>
              <w:rPr>
                <w:sz w:val="20"/>
              </w:rPr>
            </w:pPr>
            <w:r>
              <w:rPr>
                <w:sz w:val="20"/>
              </w:rPr>
              <w:t>K36,</w:t>
            </w:r>
            <w:r>
              <w:rPr>
                <w:spacing w:val="-5"/>
                <w:sz w:val="20"/>
              </w:rPr>
              <w:t> </w:t>
            </w:r>
            <w:r>
              <w:rPr>
                <w:sz w:val="20"/>
              </w:rPr>
              <w:t>K37,</w:t>
            </w:r>
            <w:r>
              <w:rPr>
                <w:spacing w:val="-5"/>
                <w:sz w:val="20"/>
              </w:rPr>
              <w:t> </w:t>
            </w:r>
            <w:r>
              <w:rPr>
                <w:sz w:val="20"/>
              </w:rPr>
              <w:t>K38,</w:t>
            </w:r>
            <w:r>
              <w:rPr>
                <w:spacing w:val="-5"/>
                <w:sz w:val="20"/>
              </w:rPr>
              <w:t> </w:t>
            </w:r>
            <w:r>
              <w:rPr>
                <w:sz w:val="20"/>
              </w:rPr>
              <w:t>K38.0,</w:t>
            </w:r>
            <w:r>
              <w:rPr>
                <w:spacing w:val="-4"/>
                <w:sz w:val="20"/>
              </w:rPr>
              <w:t> </w:t>
            </w:r>
            <w:r>
              <w:rPr>
                <w:sz w:val="20"/>
              </w:rPr>
              <w:t>K38.1,</w:t>
            </w:r>
            <w:r>
              <w:rPr>
                <w:spacing w:val="-4"/>
                <w:sz w:val="20"/>
              </w:rPr>
              <w:t> </w:t>
            </w:r>
            <w:r>
              <w:rPr>
                <w:sz w:val="20"/>
              </w:rPr>
              <w:t>K38.2,</w:t>
            </w:r>
            <w:r>
              <w:rPr>
                <w:spacing w:val="-6"/>
                <w:sz w:val="20"/>
              </w:rPr>
              <w:t> </w:t>
            </w:r>
            <w:r>
              <w:rPr>
                <w:spacing w:val="-2"/>
                <w:sz w:val="20"/>
              </w:rPr>
              <w:t>K38.3,</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1" w:right="4154" w:firstLine="0"/>
        <w:jc w:val="center"/>
        <w:rPr>
          <w:sz w:val="20"/>
        </w:rPr>
      </w:pPr>
      <w:r>
        <w:rPr>
          <w:sz w:val="20"/>
        </w:rPr>
        <w:t>K38.8,</w:t>
      </w:r>
      <w:r>
        <w:rPr>
          <w:spacing w:val="-6"/>
          <w:sz w:val="20"/>
        </w:rPr>
        <w:t> </w:t>
      </w:r>
      <w:r>
        <w:rPr>
          <w:sz w:val="20"/>
        </w:rPr>
        <w:t>K38.9,</w:t>
      </w:r>
      <w:r>
        <w:rPr>
          <w:spacing w:val="-7"/>
          <w:sz w:val="20"/>
        </w:rPr>
        <w:t> </w:t>
      </w:r>
      <w:r>
        <w:rPr>
          <w:sz w:val="20"/>
        </w:rPr>
        <w:t>K40,</w:t>
      </w:r>
      <w:r>
        <w:rPr>
          <w:spacing w:val="-5"/>
          <w:sz w:val="20"/>
        </w:rPr>
        <w:t> </w:t>
      </w:r>
      <w:r>
        <w:rPr>
          <w:sz w:val="20"/>
        </w:rPr>
        <w:t>K40.0,</w:t>
      </w:r>
      <w:r>
        <w:rPr>
          <w:spacing w:val="-5"/>
          <w:sz w:val="20"/>
        </w:rPr>
        <w:t> </w:t>
      </w:r>
      <w:r>
        <w:rPr>
          <w:sz w:val="20"/>
        </w:rPr>
        <w:t>K40.1,</w:t>
      </w:r>
      <w:r>
        <w:rPr>
          <w:spacing w:val="-5"/>
          <w:sz w:val="20"/>
        </w:rPr>
        <w:t> </w:t>
      </w:r>
      <w:r>
        <w:rPr>
          <w:sz w:val="20"/>
        </w:rPr>
        <w:t>K40.2,</w:t>
      </w:r>
      <w:r>
        <w:rPr>
          <w:spacing w:val="-6"/>
          <w:sz w:val="20"/>
        </w:rPr>
        <w:t> </w:t>
      </w:r>
      <w:r>
        <w:rPr>
          <w:spacing w:val="-2"/>
          <w:sz w:val="20"/>
        </w:rPr>
        <w:t>K40.3,</w:t>
      </w:r>
    </w:p>
    <w:p>
      <w:pPr>
        <w:spacing w:line="229" w:lineRule="exact" w:before="1"/>
        <w:ind w:left="1162" w:right="4154" w:firstLine="0"/>
        <w:jc w:val="center"/>
        <w:rPr>
          <w:sz w:val="20"/>
        </w:rPr>
      </w:pPr>
      <w:r>
        <w:rPr>
          <w:sz w:val="20"/>
        </w:rPr>
        <w:t>K40.4,</w:t>
      </w:r>
      <w:r>
        <w:rPr>
          <w:spacing w:val="-6"/>
          <w:sz w:val="20"/>
        </w:rPr>
        <w:t> </w:t>
      </w:r>
      <w:r>
        <w:rPr>
          <w:sz w:val="20"/>
        </w:rPr>
        <w:t>K40.9,</w:t>
      </w:r>
      <w:r>
        <w:rPr>
          <w:spacing w:val="-6"/>
          <w:sz w:val="20"/>
        </w:rPr>
        <w:t> </w:t>
      </w:r>
      <w:r>
        <w:rPr>
          <w:sz w:val="20"/>
        </w:rPr>
        <w:t>K41,</w:t>
      </w:r>
      <w:r>
        <w:rPr>
          <w:spacing w:val="-5"/>
          <w:sz w:val="20"/>
        </w:rPr>
        <w:t> </w:t>
      </w:r>
      <w:r>
        <w:rPr>
          <w:sz w:val="20"/>
        </w:rPr>
        <w:t>K41.0,</w:t>
      </w:r>
      <w:r>
        <w:rPr>
          <w:spacing w:val="-6"/>
          <w:sz w:val="20"/>
        </w:rPr>
        <w:t> </w:t>
      </w:r>
      <w:r>
        <w:rPr>
          <w:sz w:val="20"/>
        </w:rPr>
        <w:t>K41.1,</w:t>
      </w:r>
      <w:r>
        <w:rPr>
          <w:spacing w:val="-5"/>
          <w:sz w:val="20"/>
        </w:rPr>
        <w:t> </w:t>
      </w:r>
      <w:r>
        <w:rPr>
          <w:sz w:val="20"/>
        </w:rPr>
        <w:t>K41.2,</w:t>
      </w:r>
      <w:r>
        <w:rPr>
          <w:spacing w:val="-5"/>
          <w:sz w:val="20"/>
        </w:rPr>
        <w:t> </w:t>
      </w:r>
      <w:r>
        <w:rPr>
          <w:spacing w:val="-2"/>
          <w:sz w:val="20"/>
        </w:rPr>
        <w:t>K41.3,</w:t>
      </w:r>
    </w:p>
    <w:p>
      <w:pPr>
        <w:spacing w:line="229" w:lineRule="exact" w:before="0"/>
        <w:ind w:left="1161" w:right="4154" w:firstLine="0"/>
        <w:jc w:val="center"/>
        <w:rPr>
          <w:sz w:val="20"/>
        </w:rPr>
      </w:pPr>
      <w:r>
        <w:rPr>
          <w:sz w:val="20"/>
        </w:rPr>
        <w:t>K41.4,</w:t>
      </w:r>
      <w:r>
        <w:rPr>
          <w:spacing w:val="-6"/>
          <w:sz w:val="20"/>
        </w:rPr>
        <w:t> </w:t>
      </w:r>
      <w:r>
        <w:rPr>
          <w:sz w:val="20"/>
        </w:rPr>
        <w:t>K41.9,</w:t>
      </w:r>
      <w:r>
        <w:rPr>
          <w:spacing w:val="-7"/>
          <w:sz w:val="20"/>
        </w:rPr>
        <w:t> </w:t>
      </w:r>
      <w:r>
        <w:rPr>
          <w:sz w:val="20"/>
        </w:rPr>
        <w:t>K42,</w:t>
      </w:r>
      <w:r>
        <w:rPr>
          <w:spacing w:val="-5"/>
          <w:sz w:val="20"/>
        </w:rPr>
        <w:t> </w:t>
      </w:r>
      <w:r>
        <w:rPr>
          <w:sz w:val="20"/>
        </w:rPr>
        <w:t>K42.0,</w:t>
      </w:r>
      <w:r>
        <w:rPr>
          <w:spacing w:val="-5"/>
          <w:sz w:val="20"/>
        </w:rPr>
        <w:t> </w:t>
      </w:r>
      <w:r>
        <w:rPr>
          <w:sz w:val="20"/>
        </w:rPr>
        <w:t>K42.1,</w:t>
      </w:r>
      <w:r>
        <w:rPr>
          <w:spacing w:val="-5"/>
          <w:sz w:val="20"/>
        </w:rPr>
        <w:t> </w:t>
      </w:r>
      <w:r>
        <w:rPr>
          <w:sz w:val="20"/>
        </w:rPr>
        <w:t>K42.9,</w:t>
      </w:r>
      <w:r>
        <w:rPr>
          <w:spacing w:val="-6"/>
          <w:sz w:val="20"/>
        </w:rPr>
        <w:t> </w:t>
      </w:r>
      <w:r>
        <w:rPr>
          <w:spacing w:val="-4"/>
          <w:sz w:val="20"/>
        </w:rPr>
        <w:t>K43,</w:t>
      </w:r>
    </w:p>
    <w:p>
      <w:pPr>
        <w:spacing w:before="0"/>
        <w:ind w:left="1162" w:right="4154" w:firstLine="0"/>
        <w:jc w:val="center"/>
        <w:rPr>
          <w:sz w:val="20"/>
        </w:rPr>
      </w:pPr>
      <w:r>
        <w:rPr>
          <w:sz w:val="20"/>
        </w:rPr>
        <w:t>K43.0,</w:t>
      </w:r>
      <w:r>
        <w:rPr>
          <w:spacing w:val="-4"/>
          <w:sz w:val="20"/>
        </w:rPr>
        <w:t> </w:t>
      </w:r>
      <w:r>
        <w:rPr>
          <w:sz w:val="20"/>
        </w:rPr>
        <w:t>K43.1,</w:t>
      </w:r>
      <w:r>
        <w:rPr>
          <w:spacing w:val="-6"/>
          <w:sz w:val="20"/>
        </w:rPr>
        <w:t> </w:t>
      </w:r>
      <w:r>
        <w:rPr>
          <w:sz w:val="20"/>
        </w:rPr>
        <w:t>K43.2,</w:t>
      </w:r>
      <w:r>
        <w:rPr>
          <w:spacing w:val="-4"/>
          <w:sz w:val="20"/>
        </w:rPr>
        <w:t> </w:t>
      </w:r>
      <w:r>
        <w:rPr>
          <w:sz w:val="20"/>
        </w:rPr>
        <w:t>K43.3,</w:t>
      </w:r>
      <w:r>
        <w:rPr>
          <w:spacing w:val="-6"/>
          <w:sz w:val="20"/>
        </w:rPr>
        <w:t> </w:t>
      </w:r>
      <w:r>
        <w:rPr>
          <w:sz w:val="20"/>
        </w:rPr>
        <w:t>K43.4,</w:t>
      </w:r>
      <w:r>
        <w:rPr>
          <w:spacing w:val="-4"/>
          <w:sz w:val="20"/>
        </w:rPr>
        <w:t> </w:t>
      </w:r>
      <w:r>
        <w:rPr>
          <w:spacing w:val="-2"/>
          <w:sz w:val="20"/>
        </w:rPr>
        <w:t>K43.5,</w:t>
      </w:r>
    </w:p>
    <w:p>
      <w:pPr>
        <w:spacing w:before="1"/>
        <w:ind w:left="1161" w:right="4154" w:firstLine="0"/>
        <w:jc w:val="center"/>
        <w:rPr>
          <w:sz w:val="20"/>
        </w:rPr>
      </w:pPr>
      <w:r>
        <w:rPr>
          <w:sz w:val="20"/>
        </w:rPr>
        <w:t>K43.6,</w:t>
      </w:r>
      <w:r>
        <w:rPr>
          <w:spacing w:val="-6"/>
          <w:sz w:val="20"/>
        </w:rPr>
        <w:t> </w:t>
      </w:r>
      <w:r>
        <w:rPr>
          <w:sz w:val="20"/>
        </w:rPr>
        <w:t>K43.7,</w:t>
      </w:r>
      <w:r>
        <w:rPr>
          <w:spacing w:val="-6"/>
          <w:sz w:val="20"/>
        </w:rPr>
        <w:t> </w:t>
      </w:r>
      <w:r>
        <w:rPr>
          <w:sz w:val="20"/>
        </w:rPr>
        <w:t>K43.9,</w:t>
      </w:r>
      <w:r>
        <w:rPr>
          <w:spacing w:val="-5"/>
          <w:sz w:val="20"/>
        </w:rPr>
        <w:t> </w:t>
      </w:r>
      <w:r>
        <w:rPr>
          <w:sz w:val="20"/>
        </w:rPr>
        <w:t>K44,</w:t>
      </w:r>
      <w:r>
        <w:rPr>
          <w:spacing w:val="-6"/>
          <w:sz w:val="20"/>
        </w:rPr>
        <w:t> </w:t>
      </w:r>
      <w:r>
        <w:rPr>
          <w:sz w:val="20"/>
        </w:rPr>
        <w:t>K44.0,</w:t>
      </w:r>
      <w:r>
        <w:rPr>
          <w:spacing w:val="-5"/>
          <w:sz w:val="20"/>
        </w:rPr>
        <w:t> </w:t>
      </w:r>
      <w:r>
        <w:rPr>
          <w:sz w:val="20"/>
        </w:rPr>
        <w:t>K44.1,</w:t>
      </w:r>
      <w:r>
        <w:rPr>
          <w:spacing w:val="-5"/>
          <w:sz w:val="20"/>
        </w:rPr>
        <w:t> </w:t>
      </w:r>
      <w:r>
        <w:rPr>
          <w:spacing w:val="-2"/>
          <w:sz w:val="20"/>
        </w:rPr>
        <w:t>K44.9,</w:t>
      </w:r>
    </w:p>
    <w:p>
      <w:pPr>
        <w:spacing w:before="0"/>
        <w:ind w:left="1161" w:right="4154" w:firstLine="0"/>
        <w:jc w:val="center"/>
        <w:rPr>
          <w:sz w:val="20"/>
        </w:rPr>
      </w:pPr>
      <w:r>
        <w:rPr>
          <w:sz w:val="20"/>
        </w:rPr>
        <w:t>K45,</w:t>
      </w:r>
      <w:r>
        <w:rPr>
          <w:spacing w:val="-5"/>
          <w:sz w:val="20"/>
        </w:rPr>
        <w:t> </w:t>
      </w:r>
      <w:r>
        <w:rPr>
          <w:sz w:val="20"/>
        </w:rPr>
        <w:t>K45.0,</w:t>
      </w:r>
      <w:r>
        <w:rPr>
          <w:spacing w:val="-5"/>
          <w:sz w:val="20"/>
        </w:rPr>
        <w:t> </w:t>
      </w:r>
      <w:r>
        <w:rPr>
          <w:sz w:val="20"/>
        </w:rPr>
        <w:t>K45.1,</w:t>
      </w:r>
      <w:r>
        <w:rPr>
          <w:spacing w:val="-5"/>
          <w:sz w:val="20"/>
        </w:rPr>
        <w:t> </w:t>
      </w:r>
      <w:r>
        <w:rPr>
          <w:sz w:val="20"/>
        </w:rPr>
        <w:t>K45.8,</w:t>
      </w:r>
      <w:r>
        <w:rPr>
          <w:spacing w:val="-5"/>
          <w:sz w:val="20"/>
        </w:rPr>
        <w:t> </w:t>
      </w:r>
      <w:r>
        <w:rPr>
          <w:sz w:val="20"/>
        </w:rPr>
        <w:t>K46,</w:t>
      </w:r>
      <w:r>
        <w:rPr>
          <w:spacing w:val="-5"/>
          <w:sz w:val="20"/>
        </w:rPr>
        <w:t> </w:t>
      </w:r>
      <w:r>
        <w:rPr>
          <w:sz w:val="20"/>
        </w:rPr>
        <w:t>K46.0,</w:t>
      </w:r>
      <w:r>
        <w:rPr>
          <w:spacing w:val="-5"/>
          <w:sz w:val="20"/>
        </w:rPr>
        <w:t> </w:t>
      </w:r>
      <w:r>
        <w:rPr>
          <w:spacing w:val="-2"/>
          <w:sz w:val="20"/>
        </w:rPr>
        <w:t>K46.1,</w:t>
      </w:r>
    </w:p>
    <w:p>
      <w:pPr>
        <w:spacing w:before="0"/>
        <w:ind w:left="1168" w:right="4154" w:firstLine="0"/>
        <w:jc w:val="center"/>
        <w:rPr>
          <w:sz w:val="20"/>
        </w:rPr>
      </w:pPr>
      <w:r>
        <w:rPr>
          <w:sz w:val="20"/>
        </w:rPr>
        <w:t>K46.9,</w:t>
      </w:r>
      <w:r>
        <w:rPr>
          <w:spacing w:val="-6"/>
          <w:sz w:val="20"/>
        </w:rPr>
        <w:t> </w:t>
      </w:r>
      <w:r>
        <w:rPr>
          <w:sz w:val="20"/>
        </w:rPr>
        <w:t>K50,</w:t>
      </w:r>
      <w:r>
        <w:rPr>
          <w:spacing w:val="-5"/>
          <w:sz w:val="20"/>
        </w:rPr>
        <w:t> </w:t>
      </w:r>
      <w:r>
        <w:rPr>
          <w:sz w:val="20"/>
        </w:rPr>
        <w:t>K50.0,</w:t>
      </w:r>
      <w:r>
        <w:rPr>
          <w:spacing w:val="-6"/>
          <w:sz w:val="20"/>
        </w:rPr>
        <w:t> </w:t>
      </w:r>
      <w:r>
        <w:rPr>
          <w:sz w:val="20"/>
        </w:rPr>
        <w:t>K50.1,</w:t>
      </w:r>
      <w:r>
        <w:rPr>
          <w:spacing w:val="-5"/>
          <w:sz w:val="20"/>
        </w:rPr>
        <w:t> </w:t>
      </w:r>
      <w:r>
        <w:rPr>
          <w:sz w:val="20"/>
        </w:rPr>
        <w:t>K50.8,</w:t>
      </w:r>
      <w:r>
        <w:rPr>
          <w:spacing w:val="-6"/>
          <w:sz w:val="20"/>
        </w:rPr>
        <w:t> </w:t>
      </w:r>
      <w:r>
        <w:rPr>
          <w:sz w:val="20"/>
        </w:rPr>
        <w:t>K50.9, </w:t>
      </w:r>
      <w:r>
        <w:rPr>
          <w:spacing w:val="-4"/>
          <w:sz w:val="20"/>
        </w:rPr>
        <w:t>K51,</w:t>
      </w:r>
    </w:p>
    <w:p>
      <w:pPr>
        <w:spacing w:line="229" w:lineRule="exact" w:before="1"/>
        <w:ind w:left="1162" w:right="4154" w:firstLine="0"/>
        <w:jc w:val="center"/>
        <w:rPr>
          <w:sz w:val="20"/>
        </w:rPr>
      </w:pPr>
      <w:r>
        <w:rPr>
          <w:sz w:val="20"/>
        </w:rPr>
        <w:t>K51.0,</w:t>
      </w:r>
      <w:r>
        <w:rPr>
          <w:spacing w:val="-4"/>
          <w:sz w:val="20"/>
        </w:rPr>
        <w:t> </w:t>
      </w:r>
      <w:r>
        <w:rPr>
          <w:sz w:val="20"/>
        </w:rPr>
        <w:t>K51.2,</w:t>
      </w:r>
      <w:r>
        <w:rPr>
          <w:spacing w:val="-6"/>
          <w:sz w:val="20"/>
        </w:rPr>
        <w:t> </w:t>
      </w:r>
      <w:r>
        <w:rPr>
          <w:sz w:val="20"/>
        </w:rPr>
        <w:t>K51.3,</w:t>
      </w:r>
      <w:r>
        <w:rPr>
          <w:spacing w:val="-4"/>
          <w:sz w:val="20"/>
        </w:rPr>
        <w:t> </w:t>
      </w:r>
      <w:r>
        <w:rPr>
          <w:sz w:val="20"/>
        </w:rPr>
        <w:t>K51.4,</w:t>
      </w:r>
      <w:r>
        <w:rPr>
          <w:spacing w:val="-6"/>
          <w:sz w:val="20"/>
        </w:rPr>
        <w:t> </w:t>
      </w:r>
      <w:r>
        <w:rPr>
          <w:sz w:val="20"/>
        </w:rPr>
        <w:t>K51.5,</w:t>
      </w:r>
      <w:r>
        <w:rPr>
          <w:spacing w:val="-4"/>
          <w:sz w:val="20"/>
        </w:rPr>
        <w:t> </w:t>
      </w:r>
      <w:r>
        <w:rPr>
          <w:spacing w:val="-2"/>
          <w:sz w:val="20"/>
        </w:rPr>
        <w:t>K51.8,</w:t>
      </w:r>
    </w:p>
    <w:p>
      <w:pPr>
        <w:spacing w:line="229" w:lineRule="exact" w:before="0"/>
        <w:ind w:left="1161" w:right="4154" w:firstLine="0"/>
        <w:jc w:val="center"/>
        <w:rPr>
          <w:sz w:val="20"/>
        </w:rPr>
      </w:pPr>
      <w:r>
        <w:rPr>
          <w:sz w:val="20"/>
        </w:rPr>
        <w:t>K51.9,</w:t>
      </w:r>
      <w:r>
        <w:rPr>
          <w:spacing w:val="-6"/>
          <w:sz w:val="20"/>
        </w:rPr>
        <w:t> </w:t>
      </w:r>
      <w:r>
        <w:rPr>
          <w:sz w:val="20"/>
        </w:rPr>
        <w:t>K52,</w:t>
      </w:r>
      <w:r>
        <w:rPr>
          <w:spacing w:val="-6"/>
          <w:sz w:val="20"/>
        </w:rPr>
        <w:t> </w:t>
      </w:r>
      <w:r>
        <w:rPr>
          <w:sz w:val="20"/>
        </w:rPr>
        <w:t>K52.0,</w:t>
      </w:r>
      <w:r>
        <w:rPr>
          <w:spacing w:val="-5"/>
          <w:sz w:val="20"/>
        </w:rPr>
        <w:t> </w:t>
      </w:r>
      <w:r>
        <w:rPr>
          <w:sz w:val="20"/>
        </w:rPr>
        <w:t>K52.1,</w:t>
      </w:r>
      <w:r>
        <w:rPr>
          <w:spacing w:val="-6"/>
          <w:sz w:val="20"/>
        </w:rPr>
        <w:t> </w:t>
      </w:r>
      <w:r>
        <w:rPr>
          <w:sz w:val="20"/>
        </w:rPr>
        <w:t>K52.2,</w:t>
      </w:r>
      <w:r>
        <w:rPr>
          <w:spacing w:val="-5"/>
          <w:sz w:val="20"/>
        </w:rPr>
        <w:t> </w:t>
      </w:r>
      <w:r>
        <w:rPr>
          <w:sz w:val="20"/>
        </w:rPr>
        <w:t>K52.3,</w:t>
      </w:r>
      <w:r>
        <w:rPr>
          <w:spacing w:val="-6"/>
          <w:sz w:val="20"/>
        </w:rPr>
        <w:t> </w:t>
      </w:r>
      <w:r>
        <w:rPr>
          <w:spacing w:val="-2"/>
          <w:sz w:val="20"/>
        </w:rPr>
        <w:t>K52.8,</w:t>
      </w:r>
    </w:p>
    <w:p>
      <w:pPr>
        <w:spacing w:before="1"/>
        <w:ind w:left="4605" w:right="0" w:firstLine="0"/>
        <w:jc w:val="left"/>
        <w:rPr>
          <w:sz w:val="20"/>
        </w:rPr>
      </w:pPr>
      <w:r>
        <w:rPr>
          <w:sz w:val="20"/>
        </w:rPr>
        <w:t>K52.9,</w:t>
      </w:r>
      <w:r>
        <w:rPr>
          <w:spacing w:val="-6"/>
          <w:sz w:val="20"/>
        </w:rPr>
        <w:t> </w:t>
      </w:r>
      <w:r>
        <w:rPr>
          <w:sz w:val="20"/>
        </w:rPr>
        <w:t>K55,</w:t>
      </w:r>
      <w:r>
        <w:rPr>
          <w:spacing w:val="-6"/>
          <w:sz w:val="20"/>
        </w:rPr>
        <w:t> </w:t>
      </w:r>
      <w:r>
        <w:rPr>
          <w:sz w:val="20"/>
        </w:rPr>
        <w:t>K55.0,</w:t>
      </w:r>
      <w:r>
        <w:rPr>
          <w:spacing w:val="-5"/>
          <w:sz w:val="20"/>
        </w:rPr>
        <w:t> </w:t>
      </w:r>
      <w:r>
        <w:rPr>
          <w:sz w:val="20"/>
        </w:rPr>
        <w:t>K55.1,</w:t>
      </w:r>
      <w:r>
        <w:rPr>
          <w:spacing w:val="-6"/>
          <w:sz w:val="20"/>
        </w:rPr>
        <w:t> </w:t>
      </w:r>
      <w:r>
        <w:rPr>
          <w:sz w:val="20"/>
        </w:rPr>
        <w:t>K55.2,</w:t>
      </w:r>
      <w:r>
        <w:rPr>
          <w:spacing w:val="-5"/>
          <w:sz w:val="20"/>
        </w:rPr>
        <w:t> </w:t>
      </w:r>
      <w:r>
        <w:rPr>
          <w:sz w:val="20"/>
        </w:rPr>
        <w:t>K55.3,</w:t>
      </w:r>
      <w:r>
        <w:rPr>
          <w:spacing w:val="-6"/>
          <w:sz w:val="20"/>
        </w:rPr>
        <w:t> </w:t>
      </w:r>
      <w:r>
        <w:rPr>
          <w:spacing w:val="-2"/>
          <w:sz w:val="20"/>
        </w:rPr>
        <w:t>K55.8,</w:t>
      </w:r>
    </w:p>
    <w:p>
      <w:pPr>
        <w:spacing w:before="0"/>
        <w:ind w:left="4605" w:right="0" w:firstLine="0"/>
        <w:jc w:val="left"/>
        <w:rPr>
          <w:sz w:val="20"/>
        </w:rPr>
      </w:pPr>
      <w:r>
        <w:rPr>
          <w:sz w:val="20"/>
        </w:rPr>
        <w:t>K55.9,</w:t>
      </w:r>
      <w:r>
        <w:rPr>
          <w:spacing w:val="-6"/>
          <w:sz w:val="20"/>
        </w:rPr>
        <w:t> </w:t>
      </w:r>
      <w:r>
        <w:rPr>
          <w:sz w:val="20"/>
        </w:rPr>
        <w:t>K56,</w:t>
      </w:r>
      <w:r>
        <w:rPr>
          <w:spacing w:val="-6"/>
          <w:sz w:val="20"/>
        </w:rPr>
        <w:t> </w:t>
      </w:r>
      <w:r>
        <w:rPr>
          <w:sz w:val="20"/>
        </w:rPr>
        <w:t>K56.0,</w:t>
      </w:r>
      <w:r>
        <w:rPr>
          <w:spacing w:val="-5"/>
          <w:sz w:val="20"/>
        </w:rPr>
        <w:t> </w:t>
      </w:r>
      <w:r>
        <w:rPr>
          <w:sz w:val="20"/>
        </w:rPr>
        <w:t>K56.1,</w:t>
      </w:r>
      <w:r>
        <w:rPr>
          <w:spacing w:val="-6"/>
          <w:sz w:val="20"/>
        </w:rPr>
        <w:t> </w:t>
      </w:r>
      <w:r>
        <w:rPr>
          <w:sz w:val="20"/>
        </w:rPr>
        <w:t>K56.2,</w:t>
      </w:r>
      <w:r>
        <w:rPr>
          <w:spacing w:val="-5"/>
          <w:sz w:val="20"/>
        </w:rPr>
        <w:t> </w:t>
      </w:r>
      <w:r>
        <w:rPr>
          <w:sz w:val="20"/>
        </w:rPr>
        <w:t>K56.3,</w:t>
      </w:r>
      <w:r>
        <w:rPr>
          <w:spacing w:val="-6"/>
          <w:sz w:val="20"/>
        </w:rPr>
        <w:t> </w:t>
      </w:r>
      <w:r>
        <w:rPr>
          <w:spacing w:val="-2"/>
          <w:sz w:val="20"/>
        </w:rPr>
        <w:t>K56.4,</w:t>
      </w:r>
    </w:p>
    <w:p>
      <w:pPr>
        <w:spacing w:before="1"/>
        <w:ind w:left="4605" w:right="0" w:firstLine="0"/>
        <w:jc w:val="left"/>
        <w:rPr>
          <w:sz w:val="20"/>
        </w:rPr>
      </w:pPr>
      <w:r>
        <w:rPr>
          <w:sz w:val="20"/>
        </w:rPr>
        <w:t>K56.5,</w:t>
      </w:r>
      <w:r>
        <w:rPr>
          <w:spacing w:val="-6"/>
          <w:sz w:val="20"/>
        </w:rPr>
        <w:t> </w:t>
      </w:r>
      <w:r>
        <w:rPr>
          <w:sz w:val="20"/>
        </w:rPr>
        <w:t>K56.6,</w:t>
      </w:r>
      <w:r>
        <w:rPr>
          <w:spacing w:val="-6"/>
          <w:sz w:val="20"/>
        </w:rPr>
        <w:t> </w:t>
      </w:r>
      <w:r>
        <w:rPr>
          <w:sz w:val="20"/>
        </w:rPr>
        <w:t>K56.7,</w:t>
      </w:r>
      <w:r>
        <w:rPr>
          <w:spacing w:val="-5"/>
          <w:sz w:val="20"/>
        </w:rPr>
        <w:t> </w:t>
      </w:r>
      <w:r>
        <w:rPr>
          <w:sz w:val="20"/>
        </w:rPr>
        <w:t>K57,</w:t>
      </w:r>
      <w:r>
        <w:rPr>
          <w:spacing w:val="-6"/>
          <w:sz w:val="20"/>
        </w:rPr>
        <w:t> </w:t>
      </w:r>
      <w:r>
        <w:rPr>
          <w:sz w:val="20"/>
        </w:rPr>
        <w:t>K57.0,</w:t>
      </w:r>
      <w:r>
        <w:rPr>
          <w:spacing w:val="-5"/>
          <w:sz w:val="20"/>
        </w:rPr>
        <w:t> </w:t>
      </w:r>
      <w:r>
        <w:rPr>
          <w:sz w:val="20"/>
        </w:rPr>
        <w:t>K57.1,</w:t>
      </w:r>
      <w:r>
        <w:rPr>
          <w:spacing w:val="-5"/>
          <w:sz w:val="20"/>
        </w:rPr>
        <w:t> </w:t>
      </w:r>
      <w:r>
        <w:rPr>
          <w:spacing w:val="-2"/>
          <w:sz w:val="20"/>
        </w:rPr>
        <w:t>K57.2,</w:t>
      </w:r>
    </w:p>
    <w:p>
      <w:pPr>
        <w:spacing w:before="0"/>
        <w:ind w:left="4602" w:right="0" w:firstLine="0"/>
        <w:jc w:val="left"/>
        <w:rPr>
          <w:sz w:val="20"/>
        </w:rPr>
      </w:pPr>
      <w:r>
        <w:rPr>
          <w:sz w:val="20"/>
        </w:rPr>
        <w:t>K57.3,</w:t>
      </w:r>
      <w:r>
        <w:rPr>
          <w:spacing w:val="-4"/>
          <w:sz w:val="20"/>
        </w:rPr>
        <w:t> </w:t>
      </w:r>
      <w:r>
        <w:rPr>
          <w:sz w:val="20"/>
        </w:rPr>
        <w:t>K57.4,</w:t>
      </w:r>
      <w:r>
        <w:rPr>
          <w:spacing w:val="-6"/>
          <w:sz w:val="20"/>
        </w:rPr>
        <w:t> </w:t>
      </w:r>
      <w:r>
        <w:rPr>
          <w:sz w:val="20"/>
        </w:rPr>
        <w:t>K57.5,</w:t>
      </w:r>
      <w:r>
        <w:rPr>
          <w:spacing w:val="-1"/>
          <w:sz w:val="20"/>
        </w:rPr>
        <w:t> </w:t>
      </w:r>
      <w:r>
        <w:rPr>
          <w:sz w:val="20"/>
        </w:rPr>
        <w:t>K57.8,</w:t>
      </w:r>
      <w:r>
        <w:rPr>
          <w:spacing w:val="-6"/>
          <w:sz w:val="20"/>
        </w:rPr>
        <w:t> </w:t>
      </w:r>
      <w:r>
        <w:rPr>
          <w:sz w:val="20"/>
        </w:rPr>
        <w:t>K57.9,</w:t>
      </w:r>
      <w:r>
        <w:rPr>
          <w:spacing w:val="-4"/>
          <w:sz w:val="20"/>
        </w:rPr>
        <w:t> </w:t>
      </w:r>
      <w:r>
        <w:rPr>
          <w:sz w:val="20"/>
        </w:rPr>
        <w:t>K58,</w:t>
      </w:r>
      <w:r>
        <w:rPr>
          <w:spacing w:val="-4"/>
          <w:sz w:val="20"/>
        </w:rPr>
        <w:t> </w:t>
      </w:r>
      <w:r>
        <w:rPr>
          <w:spacing w:val="-2"/>
          <w:sz w:val="20"/>
        </w:rPr>
        <w:t>K58.1,</w:t>
      </w:r>
    </w:p>
    <w:p>
      <w:pPr>
        <w:spacing w:line="229" w:lineRule="exact" w:before="1"/>
        <w:ind w:left="4605" w:right="0" w:firstLine="0"/>
        <w:jc w:val="left"/>
        <w:rPr>
          <w:sz w:val="20"/>
        </w:rPr>
      </w:pPr>
      <w:r>
        <w:rPr>
          <w:sz w:val="20"/>
        </w:rPr>
        <w:t>K58.2,</w:t>
      </w:r>
      <w:r>
        <w:rPr>
          <w:spacing w:val="-6"/>
          <w:sz w:val="20"/>
        </w:rPr>
        <w:t> </w:t>
      </w:r>
      <w:r>
        <w:rPr>
          <w:sz w:val="20"/>
        </w:rPr>
        <w:t>K58.3,</w:t>
      </w:r>
      <w:r>
        <w:rPr>
          <w:spacing w:val="-6"/>
          <w:sz w:val="20"/>
        </w:rPr>
        <w:t> </w:t>
      </w:r>
      <w:r>
        <w:rPr>
          <w:sz w:val="20"/>
        </w:rPr>
        <w:t>K58.8,</w:t>
      </w:r>
      <w:r>
        <w:rPr>
          <w:spacing w:val="-5"/>
          <w:sz w:val="20"/>
        </w:rPr>
        <w:t> </w:t>
      </w:r>
      <w:r>
        <w:rPr>
          <w:sz w:val="20"/>
        </w:rPr>
        <w:t>K59,</w:t>
      </w:r>
      <w:r>
        <w:rPr>
          <w:spacing w:val="-6"/>
          <w:sz w:val="20"/>
        </w:rPr>
        <w:t> </w:t>
      </w:r>
      <w:r>
        <w:rPr>
          <w:sz w:val="20"/>
        </w:rPr>
        <w:t>K59.0,</w:t>
      </w:r>
      <w:r>
        <w:rPr>
          <w:spacing w:val="-5"/>
          <w:sz w:val="20"/>
        </w:rPr>
        <w:t> </w:t>
      </w:r>
      <w:r>
        <w:rPr>
          <w:sz w:val="20"/>
        </w:rPr>
        <w:t>K59.1,</w:t>
      </w:r>
      <w:r>
        <w:rPr>
          <w:spacing w:val="-5"/>
          <w:sz w:val="20"/>
        </w:rPr>
        <w:t> </w:t>
      </w:r>
      <w:r>
        <w:rPr>
          <w:spacing w:val="-2"/>
          <w:sz w:val="20"/>
        </w:rPr>
        <w:t>K59.2,</w:t>
      </w:r>
    </w:p>
    <w:p>
      <w:pPr>
        <w:spacing w:line="229" w:lineRule="exact" w:before="0"/>
        <w:ind w:left="4602" w:right="0" w:firstLine="0"/>
        <w:jc w:val="left"/>
        <w:rPr>
          <w:sz w:val="20"/>
        </w:rPr>
      </w:pPr>
      <w:r>
        <w:rPr>
          <w:sz w:val="20"/>
        </w:rPr>
        <w:t>K59.3,</w:t>
      </w:r>
      <w:r>
        <w:rPr>
          <w:spacing w:val="-4"/>
          <w:sz w:val="20"/>
        </w:rPr>
        <w:t> </w:t>
      </w:r>
      <w:r>
        <w:rPr>
          <w:sz w:val="20"/>
        </w:rPr>
        <w:t>K59.4,</w:t>
      </w:r>
      <w:r>
        <w:rPr>
          <w:spacing w:val="-6"/>
          <w:sz w:val="20"/>
        </w:rPr>
        <w:t> </w:t>
      </w:r>
      <w:r>
        <w:rPr>
          <w:sz w:val="20"/>
        </w:rPr>
        <w:t>K59.8,</w:t>
      </w:r>
      <w:r>
        <w:rPr>
          <w:spacing w:val="-4"/>
          <w:sz w:val="20"/>
        </w:rPr>
        <w:t> </w:t>
      </w:r>
      <w:r>
        <w:rPr>
          <w:sz w:val="20"/>
        </w:rPr>
        <w:t>K59.9,</w:t>
      </w:r>
      <w:r>
        <w:rPr>
          <w:spacing w:val="-6"/>
          <w:sz w:val="20"/>
        </w:rPr>
        <w:t> </w:t>
      </w:r>
      <w:r>
        <w:rPr>
          <w:sz w:val="20"/>
        </w:rPr>
        <w:t>K60,</w:t>
      </w:r>
      <w:r>
        <w:rPr>
          <w:spacing w:val="-4"/>
          <w:sz w:val="20"/>
        </w:rPr>
        <w:t> </w:t>
      </w:r>
      <w:r>
        <w:rPr>
          <w:sz w:val="20"/>
        </w:rPr>
        <w:t>K60.0,</w:t>
      </w:r>
      <w:r>
        <w:rPr>
          <w:spacing w:val="-4"/>
          <w:sz w:val="20"/>
        </w:rPr>
        <w:t> </w:t>
      </w:r>
      <w:r>
        <w:rPr>
          <w:spacing w:val="-2"/>
          <w:sz w:val="20"/>
        </w:rPr>
        <w:t>K60.1,</w:t>
      </w:r>
    </w:p>
    <w:p>
      <w:pPr>
        <w:spacing w:before="0"/>
        <w:ind w:left="1159" w:right="4154" w:firstLine="0"/>
        <w:jc w:val="center"/>
        <w:rPr>
          <w:sz w:val="20"/>
        </w:rPr>
      </w:pPr>
      <w:r>
        <w:rPr>
          <w:sz w:val="20"/>
        </w:rPr>
        <w:t>K60.2,</w:t>
      </w:r>
      <w:r>
        <w:rPr>
          <w:spacing w:val="-4"/>
          <w:sz w:val="20"/>
        </w:rPr>
        <w:t> </w:t>
      </w:r>
      <w:r>
        <w:rPr>
          <w:sz w:val="20"/>
        </w:rPr>
        <w:t>K60.3,</w:t>
      </w:r>
      <w:r>
        <w:rPr>
          <w:spacing w:val="-6"/>
          <w:sz w:val="20"/>
        </w:rPr>
        <w:t> </w:t>
      </w:r>
      <w:r>
        <w:rPr>
          <w:sz w:val="20"/>
        </w:rPr>
        <w:t>K60.4,</w:t>
      </w:r>
      <w:r>
        <w:rPr>
          <w:spacing w:val="-4"/>
          <w:sz w:val="20"/>
        </w:rPr>
        <w:t> </w:t>
      </w:r>
      <w:r>
        <w:rPr>
          <w:sz w:val="20"/>
        </w:rPr>
        <w:t>K60.5,</w:t>
      </w:r>
      <w:r>
        <w:rPr>
          <w:spacing w:val="-6"/>
          <w:sz w:val="20"/>
        </w:rPr>
        <w:t> </w:t>
      </w:r>
      <w:r>
        <w:rPr>
          <w:sz w:val="20"/>
        </w:rPr>
        <w:t>K61,</w:t>
      </w:r>
      <w:r>
        <w:rPr>
          <w:spacing w:val="-4"/>
          <w:sz w:val="20"/>
        </w:rPr>
        <w:t> </w:t>
      </w:r>
      <w:r>
        <w:rPr>
          <w:sz w:val="20"/>
        </w:rPr>
        <w:t>K61.0,</w:t>
      </w:r>
      <w:r>
        <w:rPr>
          <w:spacing w:val="-4"/>
          <w:sz w:val="20"/>
        </w:rPr>
        <w:t> </w:t>
      </w:r>
      <w:r>
        <w:rPr>
          <w:spacing w:val="-2"/>
          <w:sz w:val="20"/>
        </w:rPr>
        <w:t>K61.1,</w:t>
      </w:r>
    </w:p>
    <w:p>
      <w:pPr>
        <w:spacing w:before="0"/>
        <w:ind w:left="1161" w:right="4154" w:firstLine="0"/>
        <w:jc w:val="center"/>
        <w:rPr>
          <w:sz w:val="20"/>
        </w:rPr>
      </w:pPr>
      <w:r>
        <w:rPr>
          <w:sz w:val="20"/>
        </w:rPr>
        <w:t>K61.2,</w:t>
      </w:r>
      <w:r>
        <w:rPr>
          <w:spacing w:val="-6"/>
          <w:sz w:val="20"/>
        </w:rPr>
        <w:t> </w:t>
      </w:r>
      <w:r>
        <w:rPr>
          <w:sz w:val="20"/>
        </w:rPr>
        <w:t>K61.3,</w:t>
      </w:r>
      <w:r>
        <w:rPr>
          <w:spacing w:val="-6"/>
          <w:sz w:val="20"/>
        </w:rPr>
        <w:t> </w:t>
      </w:r>
      <w:r>
        <w:rPr>
          <w:sz w:val="20"/>
        </w:rPr>
        <w:t>K61.4,</w:t>
      </w:r>
      <w:r>
        <w:rPr>
          <w:spacing w:val="-5"/>
          <w:sz w:val="20"/>
        </w:rPr>
        <w:t> </w:t>
      </w:r>
      <w:r>
        <w:rPr>
          <w:sz w:val="20"/>
        </w:rPr>
        <w:t>K62,</w:t>
      </w:r>
      <w:r>
        <w:rPr>
          <w:spacing w:val="-6"/>
          <w:sz w:val="20"/>
        </w:rPr>
        <w:t> </w:t>
      </w:r>
      <w:r>
        <w:rPr>
          <w:sz w:val="20"/>
        </w:rPr>
        <w:t>K62.0,</w:t>
      </w:r>
      <w:r>
        <w:rPr>
          <w:spacing w:val="-5"/>
          <w:sz w:val="20"/>
        </w:rPr>
        <w:t> </w:t>
      </w:r>
      <w:r>
        <w:rPr>
          <w:sz w:val="20"/>
        </w:rPr>
        <w:t>K62.1,</w:t>
      </w:r>
      <w:r>
        <w:rPr>
          <w:spacing w:val="-5"/>
          <w:sz w:val="20"/>
        </w:rPr>
        <w:t> </w:t>
      </w:r>
      <w:r>
        <w:rPr>
          <w:spacing w:val="-2"/>
          <w:sz w:val="20"/>
        </w:rPr>
        <w:t>K62.2,</w:t>
      </w:r>
    </w:p>
    <w:p>
      <w:pPr>
        <w:spacing w:before="1"/>
        <w:ind w:left="1162" w:right="4154" w:firstLine="0"/>
        <w:jc w:val="center"/>
        <w:rPr>
          <w:sz w:val="20"/>
        </w:rPr>
      </w:pPr>
      <w:r>
        <w:rPr>
          <w:sz w:val="20"/>
        </w:rPr>
        <w:t>K62.3,</w:t>
      </w:r>
      <w:r>
        <w:rPr>
          <w:spacing w:val="-4"/>
          <w:sz w:val="20"/>
        </w:rPr>
        <w:t> </w:t>
      </w:r>
      <w:r>
        <w:rPr>
          <w:sz w:val="20"/>
        </w:rPr>
        <w:t>K62.4,</w:t>
      </w:r>
      <w:r>
        <w:rPr>
          <w:spacing w:val="-6"/>
          <w:sz w:val="20"/>
        </w:rPr>
        <w:t> </w:t>
      </w:r>
      <w:r>
        <w:rPr>
          <w:sz w:val="20"/>
        </w:rPr>
        <w:t>K62.5,</w:t>
      </w:r>
      <w:r>
        <w:rPr>
          <w:spacing w:val="-4"/>
          <w:sz w:val="20"/>
        </w:rPr>
        <w:t> </w:t>
      </w:r>
      <w:r>
        <w:rPr>
          <w:sz w:val="20"/>
        </w:rPr>
        <w:t>K62.6,</w:t>
      </w:r>
      <w:r>
        <w:rPr>
          <w:spacing w:val="-6"/>
          <w:sz w:val="20"/>
        </w:rPr>
        <w:t> </w:t>
      </w:r>
      <w:r>
        <w:rPr>
          <w:sz w:val="20"/>
        </w:rPr>
        <w:t>K62.7,</w:t>
      </w:r>
      <w:r>
        <w:rPr>
          <w:spacing w:val="-4"/>
          <w:sz w:val="20"/>
        </w:rPr>
        <w:t> </w:t>
      </w:r>
      <w:r>
        <w:rPr>
          <w:spacing w:val="-2"/>
          <w:sz w:val="20"/>
        </w:rPr>
        <w:t>K62.8,</w:t>
      </w:r>
    </w:p>
    <w:p>
      <w:pPr>
        <w:spacing w:before="1"/>
        <w:ind w:left="1161" w:right="4154" w:firstLine="0"/>
        <w:jc w:val="center"/>
        <w:rPr>
          <w:sz w:val="20"/>
        </w:rPr>
      </w:pPr>
      <w:r>
        <w:rPr>
          <w:sz w:val="20"/>
        </w:rPr>
        <w:t>K62.9,</w:t>
      </w:r>
      <w:r>
        <w:rPr>
          <w:spacing w:val="-6"/>
          <w:sz w:val="20"/>
        </w:rPr>
        <w:t> </w:t>
      </w:r>
      <w:r>
        <w:rPr>
          <w:sz w:val="20"/>
        </w:rPr>
        <w:t>K63,</w:t>
      </w:r>
      <w:r>
        <w:rPr>
          <w:spacing w:val="-6"/>
          <w:sz w:val="20"/>
        </w:rPr>
        <w:t> </w:t>
      </w:r>
      <w:r>
        <w:rPr>
          <w:sz w:val="20"/>
        </w:rPr>
        <w:t>K63.0,</w:t>
      </w:r>
      <w:r>
        <w:rPr>
          <w:spacing w:val="-5"/>
          <w:sz w:val="20"/>
        </w:rPr>
        <w:t> </w:t>
      </w:r>
      <w:r>
        <w:rPr>
          <w:sz w:val="20"/>
        </w:rPr>
        <w:t>K63.1,</w:t>
      </w:r>
      <w:r>
        <w:rPr>
          <w:spacing w:val="-6"/>
          <w:sz w:val="20"/>
        </w:rPr>
        <w:t> </w:t>
      </w:r>
      <w:r>
        <w:rPr>
          <w:sz w:val="20"/>
        </w:rPr>
        <w:t>K63.2,</w:t>
      </w:r>
      <w:r>
        <w:rPr>
          <w:spacing w:val="-5"/>
          <w:sz w:val="20"/>
        </w:rPr>
        <w:t> </w:t>
      </w:r>
      <w:r>
        <w:rPr>
          <w:sz w:val="20"/>
        </w:rPr>
        <w:t>K63.3,</w:t>
      </w:r>
      <w:r>
        <w:rPr>
          <w:spacing w:val="-6"/>
          <w:sz w:val="20"/>
        </w:rPr>
        <w:t> </w:t>
      </w:r>
      <w:r>
        <w:rPr>
          <w:spacing w:val="-2"/>
          <w:sz w:val="20"/>
        </w:rPr>
        <w:t>K63.4,</w:t>
      </w:r>
    </w:p>
    <w:p>
      <w:pPr>
        <w:spacing w:line="229" w:lineRule="exact" w:before="0"/>
        <w:ind w:left="1161" w:right="4154" w:firstLine="0"/>
        <w:jc w:val="center"/>
        <w:rPr>
          <w:sz w:val="20"/>
        </w:rPr>
      </w:pPr>
      <w:r>
        <w:rPr>
          <w:sz w:val="20"/>
        </w:rPr>
        <w:t>K63.5,</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p>
      <w:pPr>
        <w:spacing w:line="229" w:lineRule="exact" w:before="0"/>
        <w:ind w:left="1159" w:right="4154" w:firstLine="0"/>
        <w:jc w:val="center"/>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p>
      <w:pPr>
        <w:spacing w:before="0"/>
        <w:ind w:left="4605" w:right="0" w:firstLine="0"/>
        <w:jc w:val="left"/>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p>
      <w:pPr>
        <w:spacing w:before="1"/>
        <w:ind w:left="4605" w:right="0" w:firstLine="0"/>
        <w:jc w:val="left"/>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p>
      <w:pPr>
        <w:spacing w:before="0"/>
        <w:ind w:left="4602" w:right="0" w:firstLine="0"/>
        <w:jc w:val="left"/>
        <w:rPr>
          <w:sz w:val="20"/>
        </w:rPr>
      </w:pPr>
      <w:r>
        <w:rPr>
          <w:sz w:val="20"/>
        </w:rPr>
        <w:t>K70.0,</w:t>
      </w:r>
      <w:r>
        <w:rPr>
          <w:spacing w:val="-4"/>
          <w:sz w:val="20"/>
        </w:rPr>
        <w:t> </w:t>
      </w:r>
      <w:r>
        <w:rPr>
          <w:sz w:val="20"/>
        </w:rPr>
        <w:t>K70.1,</w:t>
      </w:r>
      <w:r>
        <w:rPr>
          <w:spacing w:val="-6"/>
          <w:sz w:val="20"/>
        </w:rPr>
        <w:t> </w:t>
      </w:r>
      <w:r>
        <w:rPr>
          <w:sz w:val="20"/>
        </w:rPr>
        <w:t>K70.2,</w:t>
      </w:r>
      <w:r>
        <w:rPr>
          <w:spacing w:val="-2"/>
          <w:sz w:val="20"/>
        </w:rPr>
        <w:t> </w:t>
      </w:r>
      <w:r>
        <w:rPr>
          <w:sz w:val="20"/>
        </w:rPr>
        <w:t>K70.3,</w:t>
      </w:r>
      <w:r>
        <w:rPr>
          <w:spacing w:val="-5"/>
          <w:sz w:val="20"/>
        </w:rPr>
        <w:t> </w:t>
      </w:r>
      <w:r>
        <w:rPr>
          <w:sz w:val="20"/>
        </w:rPr>
        <w:t>K70.4,</w:t>
      </w:r>
      <w:r>
        <w:rPr>
          <w:spacing w:val="-4"/>
          <w:sz w:val="20"/>
        </w:rPr>
        <w:t> </w:t>
      </w:r>
      <w:r>
        <w:rPr>
          <w:sz w:val="20"/>
        </w:rPr>
        <w:t>K70.9,</w:t>
      </w:r>
      <w:r>
        <w:rPr>
          <w:spacing w:val="-6"/>
          <w:sz w:val="20"/>
        </w:rPr>
        <w:t> </w:t>
      </w:r>
      <w:r>
        <w:rPr>
          <w:spacing w:val="-4"/>
          <w:sz w:val="20"/>
        </w:rPr>
        <w:t>K71,</w:t>
      </w:r>
    </w:p>
    <w:p>
      <w:pPr>
        <w:spacing w:line="229" w:lineRule="exact" w:before="1"/>
        <w:ind w:left="4825" w:right="0" w:firstLine="0"/>
        <w:jc w:val="left"/>
        <w:rPr>
          <w:sz w:val="20"/>
        </w:rPr>
      </w:pPr>
      <w:r>
        <w:rPr>
          <w:sz w:val="20"/>
        </w:rPr>
        <w:t>K71.0,</w:t>
      </w:r>
      <w:r>
        <w:rPr>
          <w:spacing w:val="-4"/>
          <w:sz w:val="20"/>
        </w:rPr>
        <w:t> </w:t>
      </w:r>
      <w:r>
        <w:rPr>
          <w:sz w:val="20"/>
        </w:rPr>
        <w:t>K71.1,</w:t>
      </w:r>
      <w:r>
        <w:rPr>
          <w:spacing w:val="-6"/>
          <w:sz w:val="20"/>
        </w:rPr>
        <w:t> </w:t>
      </w:r>
      <w:r>
        <w:rPr>
          <w:sz w:val="20"/>
        </w:rPr>
        <w:t>K71.2,</w:t>
      </w:r>
      <w:r>
        <w:rPr>
          <w:spacing w:val="-4"/>
          <w:sz w:val="20"/>
        </w:rPr>
        <w:t> </w:t>
      </w:r>
      <w:r>
        <w:rPr>
          <w:sz w:val="20"/>
        </w:rPr>
        <w:t>K71.3,</w:t>
      </w:r>
      <w:r>
        <w:rPr>
          <w:spacing w:val="-6"/>
          <w:sz w:val="20"/>
        </w:rPr>
        <w:t> </w:t>
      </w:r>
      <w:r>
        <w:rPr>
          <w:sz w:val="20"/>
        </w:rPr>
        <w:t>K71.4,</w:t>
      </w:r>
      <w:r>
        <w:rPr>
          <w:spacing w:val="-4"/>
          <w:sz w:val="20"/>
        </w:rPr>
        <w:t> </w:t>
      </w:r>
      <w:r>
        <w:rPr>
          <w:spacing w:val="-2"/>
          <w:sz w:val="20"/>
        </w:rPr>
        <w:t>K71.5,</w:t>
      </w:r>
    </w:p>
    <w:p>
      <w:pPr>
        <w:spacing w:line="229" w:lineRule="exact" w:before="0"/>
        <w:ind w:left="4825" w:right="0" w:firstLine="0"/>
        <w:jc w:val="left"/>
        <w:rPr>
          <w:sz w:val="20"/>
        </w:rPr>
      </w:pPr>
      <w:r>
        <w:rPr>
          <w:sz w:val="20"/>
        </w:rPr>
        <w:t>K71.6,</w:t>
      </w:r>
      <w:r>
        <w:rPr>
          <w:spacing w:val="-4"/>
          <w:sz w:val="20"/>
        </w:rPr>
        <w:t> </w:t>
      </w:r>
      <w:r>
        <w:rPr>
          <w:sz w:val="20"/>
        </w:rPr>
        <w:t>K71.7,</w:t>
      </w:r>
      <w:r>
        <w:rPr>
          <w:spacing w:val="-6"/>
          <w:sz w:val="20"/>
        </w:rPr>
        <w:t> </w:t>
      </w:r>
      <w:r>
        <w:rPr>
          <w:sz w:val="20"/>
        </w:rPr>
        <w:t>K71.8,</w:t>
      </w:r>
      <w:r>
        <w:rPr>
          <w:spacing w:val="-4"/>
          <w:sz w:val="20"/>
        </w:rPr>
        <w:t> </w:t>
      </w:r>
      <w:r>
        <w:rPr>
          <w:sz w:val="20"/>
        </w:rPr>
        <w:t>K71.9,</w:t>
      </w:r>
      <w:r>
        <w:rPr>
          <w:spacing w:val="-6"/>
          <w:sz w:val="20"/>
        </w:rPr>
        <w:t> </w:t>
      </w:r>
      <w:r>
        <w:rPr>
          <w:sz w:val="20"/>
        </w:rPr>
        <w:t>K72.0,</w:t>
      </w:r>
      <w:r>
        <w:rPr>
          <w:spacing w:val="-4"/>
          <w:sz w:val="20"/>
        </w:rPr>
        <w:t> </w:t>
      </w:r>
      <w:r>
        <w:rPr>
          <w:spacing w:val="-2"/>
          <w:sz w:val="20"/>
        </w:rPr>
        <w:t>K72.1,</w:t>
      </w:r>
    </w:p>
    <w:p>
      <w:pPr>
        <w:spacing w:before="0"/>
        <w:ind w:left="4825" w:right="0" w:firstLine="0"/>
        <w:jc w:val="left"/>
        <w:rPr>
          <w:sz w:val="20"/>
        </w:rPr>
      </w:pPr>
      <w:r>
        <w:rPr>
          <w:sz w:val="20"/>
        </w:rPr>
        <w:t>K72.9,</w:t>
      </w:r>
      <w:r>
        <w:rPr>
          <w:spacing w:val="-4"/>
          <w:sz w:val="20"/>
        </w:rPr>
        <w:t> </w:t>
      </w:r>
      <w:r>
        <w:rPr>
          <w:sz w:val="20"/>
        </w:rPr>
        <w:t>K73.0,</w:t>
      </w:r>
      <w:r>
        <w:rPr>
          <w:spacing w:val="-6"/>
          <w:sz w:val="20"/>
        </w:rPr>
        <w:t> </w:t>
      </w:r>
      <w:r>
        <w:rPr>
          <w:sz w:val="20"/>
        </w:rPr>
        <w:t>K73.1,</w:t>
      </w:r>
      <w:r>
        <w:rPr>
          <w:spacing w:val="-4"/>
          <w:sz w:val="20"/>
        </w:rPr>
        <w:t> </w:t>
      </w:r>
      <w:r>
        <w:rPr>
          <w:sz w:val="20"/>
        </w:rPr>
        <w:t>K73.2,</w:t>
      </w:r>
      <w:r>
        <w:rPr>
          <w:spacing w:val="-6"/>
          <w:sz w:val="20"/>
        </w:rPr>
        <w:t> </w:t>
      </w:r>
      <w:r>
        <w:rPr>
          <w:sz w:val="20"/>
        </w:rPr>
        <w:t>K73.8,</w:t>
      </w:r>
      <w:r>
        <w:rPr>
          <w:spacing w:val="-4"/>
          <w:sz w:val="20"/>
        </w:rPr>
        <w:t> </w:t>
      </w:r>
      <w:r>
        <w:rPr>
          <w:spacing w:val="-2"/>
          <w:sz w:val="20"/>
        </w:rPr>
        <w:t>K73.9,</w:t>
      </w:r>
    </w:p>
    <w:p>
      <w:pPr>
        <w:spacing w:before="1"/>
        <w:ind w:left="4825" w:right="0" w:firstLine="0"/>
        <w:jc w:val="left"/>
        <w:rPr>
          <w:sz w:val="20"/>
        </w:rPr>
      </w:pPr>
      <w:r>
        <w:rPr>
          <w:sz w:val="20"/>
        </w:rPr>
        <w:t>K74.0,</w:t>
      </w:r>
      <w:r>
        <w:rPr>
          <w:spacing w:val="-4"/>
          <w:sz w:val="20"/>
        </w:rPr>
        <w:t> </w:t>
      </w:r>
      <w:r>
        <w:rPr>
          <w:sz w:val="20"/>
        </w:rPr>
        <w:t>K74.1,</w:t>
      </w:r>
      <w:r>
        <w:rPr>
          <w:spacing w:val="-6"/>
          <w:sz w:val="20"/>
        </w:rPr>
        <w:t> </w:t>
      </w:r>
      <w:r>
        <w:rPr>
          <w:sz w:val="20"/>
        </w:rPr>
        <w:t>K74.2,</w:t>
      </w:r>
      <w:r>
        <w:rPr>
          <w:spacing w:val="-4"/>
          <w:sz w:val="20"/>
        </w:rPr>
        <w:t> </w:t>
      </w:r>
      <w:r>
        <w:rPr>
          <w:sz w:val="20"/>
        </w:rPr>
        <w:t>K74.3,</w:t>
      </w:r>
      <w:r>
        <w:rPr>
          <w:spacing w:val="-6"/>
          <w:sz w:val="20"/>
        </w:rPr>
        <w:t> </w:t>
      </w:r>
      <w:r>
        <w:rPr>
          <w:sz w:val="20"/>
        </w:rPr>
        <w:t>K74.4,</w:t>
      </w:r>
      <w:r>
        <w:rPr>
          <w:spacing w:val="-4"/>
          <w:sz w:val="20"/>
        </w:rPr>
        <w:t> </w:t>
      </w:r>
      <w:r>
        <w:rPr>
          <w:spacing w:val="-2"/>
          <w:sz w:val="20"/>
        </w:rPr>
        <w:t>K74.5,</w:t>
      </w:r>
    </w:p>
    <w:p>
      <w:pPr>
        <w:spacing w:before="0"/>
        <w:ind w:left="4825" w:right="0" w:firstLine="0"/>
        <w:jc w:val="left"/>
        <w:rPr>
          <w:sz w:val="20"/>
        </w:rPr>
      </w:pPr>
      <w:r>
        <w:rPr>
          <w:sz w:val="20"/>
        </w:rPr>
        <w:t>K74.6,</w:t>
      </w:r>
      <w:r>
        <w:rPr>
          <w:spacing w:val="-4"/>
          <w:sz w:val="20"/>
        </w:rPr>
        <w:t> </w:t>
      </w:r>
      <w:r>
        <w:rPr>
          <w:sz w:val="20"/>
        </w:rPr>
        <w:t>K75.0,</w:t>
      </w:r>
      <w:r>
        <w:rPr>
          <w:spacing w:val="-6"/>
          <w:sz w:val="20"/>
        </w:rPr>
        <w:t> </w:t>
      </w:r>
      <w:r>
        <w:rPr>
          <w:sz w:val="20"/>
        </w:rPr>
        <w:t>K75.1,</w:t>
      </w:r>
      <w:r>
        <w:rPr>
          <w:spacing w:val="-4"/>
          <w:sz w:val="20"/>
        </w:rPr>
        <w:t> </w:t>
      </w:r>
      <w:r>
        <w:rPr>
          <w:sz w:val="20"/>
        </w:rPr>
        <w:t>K75.2,</w:t>
      </w:r>
      <w:r>
        <w:rPr>
          <w:spacing w:val="-6"/>
          <w:sz w:val="20"/>
        </w:rPr>
        <w:t> </w:t>
      </w:r>
      <w:r>
        <w:rPr>
          <w:sz w:val="20"/>
        </w:rPr>
        <w:t>K75.3,</w:t>
      </w:r>
      <w:r>
        <w:rPr>
          <w:spacing w:val="-4"/>
          <w:sz w:val="20"/>
        </w:rPr>
        <w:t> </w:t>
      </w:r>
      <w:r>
        <w:rPr>
          <w:spacing w:val="-2"/>
          <w:sz w:val="20"/>
        </w:rPr>
        <w:t>K75.4,</w:t>
      </w:r>
    </w:p>
    <w:p>
      <w:pPr>
        <w:spacing w:before="1"/>
        <w:ind w:left="4825" w:right="0" w:firstLine="0"/>
        <w:jc w:val="left"/>
        <w:rPr>
          <w:sz w:val="20"/>
        </w:rPr>
      </w:pPr>
      <w:r>
        <w:rPr>
          <w:sz w:val="20"/>
        </w:rPr>
        <w:t>K75.8,</w:t>
      </w:r>
      <w:r>
        <w:rPr>
          <w:spacing w:val="-4"/>
          <w:sz w:val="20"/>
        </w:rPr>
        <w:t> </w:t>
      </w:r>
      <w:r>
        <w:rPr>
          <w:sz w:val="20"/>
        </w:rPr>
        <w:t>K75.9,</w:t>
      </w:r>
      <w:r>
        <w:rPr>
          <w:spacing w:val="-6"/>
          <w:sz w:val="20"/>
        </w:rPr>
        <w:t> </w:t>
      </w:r>
      <w:r>
        <w:rPr>
          <w:sz w:val="20"/>
        </w:rPr>
        <w:t>K76.0,</w:t>
      </w:r>
      <w:r>
        <w:rPr>
          <w:spacing w:val="-1"/>
          <w:sz w:val="20"/>
        </w:rPr>
        <w:t> </w:t>
      </w:r>
      <w:r>
        <w:rPr>
          <w:sz w:val="20"/>
        </w:rPr>
        <w:t>K76.1,</w:t>
      </w:r>
      <w:r>
        <w:rPr>
          <w:spacing w:val="-6"/>
          <w:sz w:val="20"/>
        </w:rPr>
        <w:t> </w:t>
      </w:r>
      <w:r>
        <w:rPr>
          <w:sz w:val="20"/>
        </w:rPr>
        <w:t>K76.2,</w:t>
      </w:r>
      <w:r>
        <w:rPr>
          <w:spacing w:val="-4"/>
          <w:sz w:val="20"/>
        </w:rPr>
        <w:t> </w:t>
      </w:r>
      <w:r>
        <w:rPr>
          <w:spacing w:val="-2"/>
          <w:sz w:val="20"/>
        </w:rPr>
        <w:t>K76.3,</w:t>
      </w:r>
    </w:p>
    <w:p>
      <w:pPr>
        <w:spacing w:line="229" w:lineRule="exact" w:before="0"/>
        <w:ind w:left="1162" w:right="4154" w:firstLine="0"/>
        <w:jc w:val="center"/>
        <w:rPr>
          <w:sz w:val="20"/>
        </w:rPr>
      </w:pPr>
      <w:r>
        <w:rPr>
          <w:sz w:val="20"/>
        </w:rPr>
        <w:t>K76.4,</w:t>
      </w:r>
      <w:r>
        <w:rPr>
          <w:spacing w:val="-4"/>
          <w:sz w:val="20"/>
        </w:rPr>
        <w:t> </w:t>
      </w:r>
      <w:r>
        <w:rPr>
          <w:sz w:val="20"/>
        </w:rPr>
        <w:t>K76.5,</w:t>
      </w:r>
      <w:r>
        <w:rPr>
          <w:spacing w:val="-6"/>
          <w:sz w:val="20"/>
        </w:rPr>
        <w:t> </w:t>
      </w:r>
      <w:r>
        <w:rPr>
          <w:sz w:val="20"/>
        </w:rPr>
        <w:t>K76.6,</w:t>
      </w:r>
      <w:r>
        <w:rPr>
          <w:spacing w:val="-4"/>
          <w:sz w:val="20"/>
        </w:rPr>
        <w:t> </w:t>
      </w:r>
      <w:r>
        <w:rPr>
          <w:sz w:val="20"/>
        </w:rPr>
        <w:t>K76.7,</w:t>
      </w:r>
      <w:r>
        <w:rPr>
          <w:spacing w:val="-6"/>
          <w:sz w:val="20"/>
        </w:rPr>
        <w:t> </w:t>
      </w:r>
      <w:r>
        <w:rPr>
          <w:sz w:val="20"/>
        </w:rPr>
        <w:t>K76.8,</w:t>
      </w:r>
      <w:r>
        <w:rPr>
          <w:spacing w:val="-4"/>
          <w:sz w:val="20"/>
        </w:rPr>
        <w:t> </w:t>
      </w:r>
      <w:r>
        <w:rPr>
          <w:spacing w:val="-2"/>
          <w:sz w:val="20"/>
        </w:rPr>
        <w:t>K76.9,</w:t>
      </w:r>
    </w:p>
    <w:p>
      <w:pPr>
        <w:spacing w:line="229" w:lineRule="exact" w:before="0"/>
        <w:ind w:left="1161" w:right="4154" w:firstLine="0"/>
        <w:jc w:val="center"/>
        <w:rPr>
          <w:sz w:val="20"/>
        </w:rPr>
      </w:pPr>
      <w:r>
        <w:rPr>
          <w:sz w:val="20"/>
        </w:rPr>
        <w:t>K77.0,</w:t>
      </w:r>
      <w:r>
        <w:rPr>
          <w:spacing w:val="-6"/>
          <w:sz w:val="20"/>
        </w:rPr>
        <w:t> </w:t>
      </w:r>
      <w:r>
        <w:rPr>
          <w:sz w:val="20"/>
        </w:rPr>
        <w:t>K77.8,</w:t>
      </w:r>
      <w:r>
        <w:rPr>
          <w:spacing w:val="-7"/>
          <w:sz w:val="20"/>
        </w:rPr>
        <w:t> </w:t>
      </w:r>
      <w:r>
        <w:rPr>
          <w:sz w:val="20"/>
        </w:rPr>
        <w:t>K80,</w:t>
      </w:r>
      <w:r>
        <w:rPr>
          <w:spacing w:val="-5"/>
          <w:sz w:val="20"/>
        </w:rPr>
        <w:t> </w:t>
      </w:r>
      <w:r>
        <w:rPr>
          <w:sz w:val="20"/>
        </w:rPr>
        <w:t>K80.0,</w:t>
      </w:r>
      <w:r>
        <w:rPr>
          <w:spacing w:val="-5"/>
          <w:sz w:val="20"/>
        </w:rPr>
        <w:t> </w:t>
      </w:r>
      <w:r>
        <w:rPr>
          <w:sz w:val="20"/>
        </w:rPr>
        <w:t>K80.1,</w:t>
      </w:r>
      <w:r>
        <w:rPr>
          <w:spacing w:val="-5"/>
          <w:sz w:val="20"/>
        </w:rPr>
        <w:t> </w:t>
      </w:r>
      <w:r>
        <w:rPr>
          <w:sz w:val="20"/>
        </w:rPr>
        <w:t>K80.2,</w:t>
      </w:r>
      <w:r>
        <w:rPr>
          <w:spacing w:val="-6"/>
          <w:sz w:val="20"/>
        </w:rPr>
        <w:t> </w:t>
      </w:r>
      <w:r>
        <w:rPr>
          <w:spacing w:val="-2"/>
          <w:sz w:val="20"/>
        </w:rPr>
        <w:t>K80.3,</w:t>
      </w:r>
    </w:p>
    <w:p>
      <w:pPr>
        <w:spacing w:before="1"/>
        <w:ind w:left="4605" w:right="0" w:firstLine="0"/>
        <w:jc w:val="left"/>
        <w:rPr>
          <w:sz w:val="20"/>
        </w:rPr>
      </w:pPr>
      <w:r>
        <w:rPr>
          <w:sz w:val="20"/>
        </w:rPr>
        <w:t>K80.4,</w:t>
      </w:r>
      <w:r>
        <w:rPr>
          <w:spacing w:val="-6"/>
          <w:sz w:val="20"/>
        </w:rPr>
        <w:t> </w:t>
      </w:r>
      <w:r>
        <w:rPr>
          <w:sz w:val="20"/>
        </w:rPr>
        <w:t>K80.5,</w:t>
      </w:r>
      <w:r>
        <w:rPr>
          <w:spacing w:val="-6"/>
          <w:sz w:val="20"/>
        </w:rPr>
        <w:t> </w:t>
      </w:r>
      <w:r>
        <w:rPr>
          <w:sz w:val="20"/>
        </w:rPr>
        <w:t>K80.8,</w:t>
      </w:r>
      <w:r>
        <w:rPr>
          <w:spacing w:val="-5"/>
          <w:sz w:val="20"/>
        </w:rPr>
        <w:t> </w:t>
      </w:r>
      <w:r>
        <w:rPr>
          <w:sz w:val="20"/>
        </w:rPr>
        <w:t>K81,</w:t>
      </w:r>
      <w:r>
        <w:rPr>
          <w:spacing w:val="-6"/>
          <w:sz w:val="20"/>
        </w:rPr>
        <w:t> </w:t>
      </w:r>
      <w:r>
        <w:rPr>
          <w:sz w:val="20"/>
        </w:rPr>
        <w:t>K81.0,</w:t>
      </w:r>
      <w:r>
        <w:rPr>
          <w:spacing w:val="-5"/>
          <w:sz w:val="20"/>
        </w:rPr>
        <w:t> </w:t>
      </w:r>
      <w:r>
        <w:rPr>
          <w:sz w:val="20"/>
        </w:rPr>
        <w:t>K81.1,</w:t>
      </w:r>
      <w:r>
        <w:rPr>
          <w:spacing w:val="-5"/>
          <w:sz w:val="20"/>
        </w:rPr>
        <w:t> </w:t>
      </w:r>
      <w:r>
        <w:rPr>
          <w:spacing w:val="-2"/>
          <w:sz w:val="20"/>
        </w:rPr>
        <w:t>K81.8,</w:t>
      </w:r>
    </w:p>
    <w:p>
      <w:pPr>
        <w:spacing w:before="0"/>
        <w:ind w:left="4605" w:right="0" w:firstLine="0"/>
        <w:jc w:val="left"/>
        <w:rPr>
          <w:sz w:val="20"/>
        </w:rPr>
      </w:pPr>
      <w:r>
        <w:rPr>
          <w:sz w:val="20"/>
        </w:rPr>
        <w:t>K81.9,</w:t>
      </w:r>
      <w:r>
        <w:rPr>
          <w:spacing w:val="-6"/>
          <w:sz w:val="20"/>
        </w:rPr>
        <w:t> </w:t>
      </w:r>
      <w:r>
        <w:rPr>
          <w:sz w:val="20"/>
        </w:rPr>
        <w:t>K82,</w:t>
      </w:r>
      <w:r>
        <w:rPr>
          <w:spacing w:val="-6"/>
          <w:sz w:val="20"/>
        </w:rPr>
        <w:t> </w:t>
      </w:r>
      <w:r>
        <w:rPr>
          <w:sz w:val="20"/>
        </w:rPr>
        <w:t>K82.0,</w:t>
      </w:r>
      <w:r>
        <w:rPr>
          <w:spacing w:val="-5"/>
          <w:sz w:val="20"/>
        </w:rPr>
        <w:t> </w:t>
      </w:r>
      <w:r>
        <w:rPr>
          <w:sz w:val="20"/>
        </w:rPr>
        <w:t>K82.1,</w:t>
      </w:r>
      <w:r>
        <w:rPr>
          <w:spacing w:val="-6"/>
          <w:sz w:val="20"/>
        </w:rPr>
        <w:t> </w:t>
      </w:r>
      <w:r>
        <w:rPr>
          <w:sz w:val="20"/>
        </w:rPr>
        <w:t>K82.2,</w:t>
      </w:r>
      <w:r>
        <w:rPr>
          <w:spacing w:val="-5"/>
          <w:sz w:val="20"/>
        </w:rPr>
        <w:t> </w:t>
      </w:r>
      <w:r>
        <w:rPr>
          <w:sz w:val="20"/>
        </w:rPr>
        <w:t>K82.3,</w:t>
      </w:r>
      <w:r>
        <w:rPr>
          <w:spacing w:val="-6"/>
          <w:sz w:val="20"/>
        </w:rPr>
        <w:t> </w:t>
      </w:r>
      <w:r>
        <w:rPr>
          <w:spacing w:val="-2"/>
          <w:sz w:val="20"/>
        </w:rPr>
        <w:t>K82.4,</w:t>
      </w:r>
    </w:p>
    <w:p>
      <w:pPr>
        <w:spacing w:before="1"/>
        <w:ind w:left="4605" w:right="0" w:firstLine="0"/>
        <w:jc w:val="left"/>
        <w:rPr>
          <w:sz w:val="20"/>
        </w:rPr>
      </w:pPr>
      <w:r>
        <w:rPr>
          <w:sz w:val="20"/>
        </w:rPr>
        <w:t>K82.8,</w:t>
      </w:r>
      <w:r>
        <w:rPr>
          <w:spacing w:val="-6"/>
          <w:sz w:val="20"/>
        </w:rPr>
        <w:t> </w:t>
      </w:r>
      <w:r>
        <w:rPr>
          <w:sz w:val="20"/>
        </w:rPr>
        <w:t>K82.9,</w:t>
      </w:r>
      <w:r>
        <w:rPr>
          <w:spacing w:val="-7"/>
          <w:sz w:val="20"/>
        </w:rPr>
        <w:t> </w:t>
      </w:r>
      <w:r>
        <w:rPr>
          <w:sz w:val="20"/>
        </w:rPr>
        <w:t>K83,</w:t>
      </w:r>
      <w:r>
        <w:rPr>
          <w:spacing w:val="-5"/>
          <w:sz w:val="20"/>
        </w:rPr>
        <w:t> </w:t>
      </w:r>
      <w:r>
        <w:rPr>
          <w:sz w:val="20"/>
        </w:rPr>
        <w:t>K83.0,</w:t>
      </w:r>
      <w:r>
        <w:rPr>
          <w:spacing w:val="-5"/>
          <w:sz w:val="20"/>
        </w:rPr>
        <w:t> </w:t>
      </w:r>
      <w:r>
        <w:rPr>
          <w:sz w:val="20"/>
        </w:rPr>
        <w:t>K83.1,</w:t>
      </w:r>
      <w:r>
        <w:rPr>
          <w:spacing w:val="-5"/>
          <w:sz w:val="20"/>
        </w:rPr>
        <w:t> </w:t>
      </w:r>
      <w:r>
        <w:rPr>
          <w:sz w:val="20"/>
        </w:rPr>
        <w:t>K83.2,</w:t>
      </w:r>
      <w:r>
        <w:rPr>
          <w:spacing w:val="-6"/>
          <w:sz w:val="20"/>
        </w:rPr>
        <w:t> </w:t>
      </w:r>
      <w:r>
        <w:rPr>
          <w:spacing w:val="-2"/>
          <w:sz w:val="20"/>
        </w:rPr>
        <w:t>K83.3,</w:t>
      </w:r>
    </w:p>
    <w:p>
      <w:pPr>
        <w:spacing w:before="0"/>
        <w:ind w:left="4602" w:right="0" w:firstLine="0"/>
        <w:jc w:val="left"/>
        <w:rPr>
          <w:sz w:val="20"/>
        </w:rPr>
      </w:pPr>
      <w:r>
        <w:rPr>
          <w:sz w:val="20"/>
        </w:rPr>
        <w:t>K83.4,</w:t>
      </w:r>
      <w:r>
        <w:rPr>
          <w:spacing w:val="-4"/>
          <w:sz w:val="20"/>
        </w:rPr>
        <w:t> </w:t>
      </w:r>
      <w:r>
        <w:rPr>
          <w:sz w:val="20"/>
        </w:rPr>
        <w:t>K83.5,</w:t>
      </w:r>
      <w:r>
        <w:rPr>
          <w:spacing w:val="-6"/>
          <w:sz w:val="20"/>
        </w:rPr>
        <w:t> </w:t>
      </w:r>
      <w:r>
        <w:rPr>
          <w:sz w:val="20"/>
        </w:rPr>
        <w:t>K83.8,</w:t>
      </w:r>
      <w:r>
        <w:rPr>
          <w:spacing w:val="-4"/>
          <w:sz w:val="20"/>
        </w:rPr>
        <w:t> </w:t>
      </w:r>
      <w:r>
        <w:rPr>
          <w:sz w:val="20"/>
        </w:rPr>
        <w:t>K83.9,</w:t>
      </w:r>
      <w:r>
        <w:rPr>
          <w:spacing w:val="-6"/>
          <w:sz w:val="20"/>
        </w:rPr>
        <w:t> </w:t>
      </w:r>
      <w:r>
        <w:rPr>
          <w:sz w:val="20"/>
        </w:rPr>
        <w:t>K85,</w:t>
      </w:r>
      <w:r>
        <w:rPr>
          <w:spacing w:val="-4"/>
          <w:sz w:val="20"/>
        </w:rPr>
        <w:t> </w:t>
      </w:r>
      <w:r>
        <w:rPr>
          <w:sz w:val="20"/>
        </w:rPr>
        <w:t>K85.0,</w:t>
      </w:r>
      <w:r>
        <w:rPr>
          <w:spacing w:val="-4"/>
          <w:sz w:val="20"/>
        </w:rPr>
        <w:t> </w:t>
      </w:r>
      <w:r>
        <w:rPr>
          <w:spacing w:val="-2"/>
          <w:sz w:val="20"/>
        </w:rPr>
        <w:t>K85.1,</w:t>
      </w:r>
    </w:p>
    <w:p>
      <w:pPr>
        <w:spacing w:before="0"/>
        <w:ind w:left="4602" w:right="0" w:firstLine="0"/>
        <w:jc w:val="left"/>
        <w:rPr>
          <w:sz w:val="20"/>
        </w:rPr>
      </w:pPr>
      <w:r>
        <w:rPr>
          <w:sz w:val="20"/>
        </w:rPr>
        <w:t>K85.2,</w:t>
      </w:r>
      <w:r>
        <w:rPr>
          <w:spacing w:val="-4"/>
          <w:sz w:val="20"/>
        </w:rPr>
        <w:t> </w:t>
      </w:r>
      <w:r>
        <w:rPr>
          <w:sz w:val="20"/>
        </w:rPr>
        <w:t>K85.3,</w:t>
      </w:r>
      <w:r>
        <w:rPr>
          <w:spacing w:val="-6"/>
          <w:sz w:val="20"/>
        </w:rPr>
        <w:t> </w:t>
      </w:r>
      <w:r>
        <w:rPr>
          <w:sz w:val="20"/>
        </w:rPr>
        <w:t>K85.8,</w:t>
      </w:r>
      <w:r>
        <w:rPr>
          <w:spacing w:val="-4"/>
          <w:sz w:val="20"/>
        </w:rPr>
        <w:t> </w:t>
      </w:r>
      <w:r>
        <w:rPr>
          <w:sz w:val="20"/>
        </w:rPr>
        <w:t>K85.9,</w:t>
      </w:r>
      <w:r>
        <w:rPr>
          <w:spacing w:val="-6"/>
          <w:sz w:val="20"/>
        </w:rPr>
        <w:t> </w:t>
      </w:r>
      <w:r>
        <w:rPr>
          <w:sz w:val="20"/>
        </w:rPr>
        <w:t>K86,</w:t>
      </w:r>
      <w:r>
        <w:rPr>
          <w:spacing w:val="-4"/>
          <w:sz w:val="20"/>
        </w:rPr>
        <w:t> </w:t>
      </w:r>
      <w:r>
        <w:rPr>
          <w:sz w:val="20"/>
        </w:rPr>
        <w:t>K86.0,</w:t>
      </w:r>
      <w:r>
        <w:rPr>
          <w:spacing w:val="-4"/>
          <w:sz w:val="20"/>
        </w:rPr>
        <w:t> </w:t>
      </w:r>
      <w:r>
        <w:rPr>
          <w:spacing w:val="-2"/>
          <w:sz w:val="20"/>
        </w:rPr>
        <w:t>K86.1,</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617"/>
        <w:gridCol w:w="5134"/>
        <w:gridCol w:w="2305"/>
        <w:gridCol w:w="2325"/>
        <w:gridCol w:w="126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617" w:type="dxa"/>
            <w:vMerge w:val="restart"/>
          </w:tcPr>
          <w:p>
            <w:pPr>
              <w:pStyle w:val="TableParagraph"/>
              <w:rPr>
                <w:sz w:val="18"/>
              </w:rPr>
            </w:pPr>
          </w:p>
        </w:tc>
        <w:tc>
          <w:tcPr>
            <w:tcW w:w="5134" w:type="dxa"/>
          </w:tcPr>
          <w:p>
            <w:pPr>
              <w:pStyle w:val="TableParagraph"/>
              <w:spacing w:line="205" w:lineRule="exact"/>
              <w:ind w:left="146"/>
              <w:rPr>
                <w:sz w:val="20"/>
              </w:rPr>
            </w:pPr>
            <w:r>
              <w:rPr>
                <w:sz w:val="20"/>
              </w:rPr>
              <w:t>K86.2,</w:t>
            </w:r>
            <w:r>
              <w:rPr>
                <w:spacing w:val="-5"/>
                <w:sz w:val="20"/>
              </w:rPr>
              <w:t> </w:t>
            </w:r>
            <w:r>
              <w:rPr>
                <w:sz w:val="20"/>
              </w:rPr>
              <w:t>K86.3,</w:t>
            </w:r>
            <w:r>
              <w:rPr>
                <w:spacing w:val="-5"/>
                <w:sz w:val="20"/>
              </w:rPr>
              <w:t> </w:t>
            </w:r>
            <w:r>
              <w:rPr>
                <w:sz w:val="20"/>
              </w:rPr>
              <w:t>K86.8,</w:t>
            </w:r>
            <w:r>
              <w:rPr>
                <w:spacing w:val="-4"/>
                <w:sz w:val="20"/>
              </w:rPr>
              <w:t> </w:t>
            </w:r>
            <w:r>
              <w:rPr>
                <w:sz w:val="20"/>
              </w:rPr>
              <w:t>K86.9,</w:t>
            </w:r>
            <w:r>
              <w:rPr>
                <w:spacing w:val="-6"/>
                <w:sz w:val="20"/>
              </w:rPr>
              <w:t> </w:t>
            </w:r>
            <w:r>
              <w:rPr>
                <w:sz w:val="20"/>
              </w:rPr>
              <w:t>K87.0,</w:t>
            </w:r>
            <w:r>
              <w:rPr>
                <w:spacing w:val="-4"/>
                <w:sz w:val="20"/>
              </w:rPr>
              <w:t> </w:t>
            </w:r>
            <w:r>
              <w:rPr>
                <w:sz w:val="20"/>
              </w:rPr>
              <w:t>K87.1,</w:t>
            </w:r>
            <w:r>
              <w:rPr>
                <w:spacing w:val="-6"/>
                <w:sz w:val="20"/>
              </w:rPr>
              <w:t> </w:t>
            </w:r>
            <w:r>
              <w:rPr>
                <w:spacing w:val="-4"/>
                <w:sz w:val="20"/>
              </w:rPr>
              <w:t>K90,</w:t>
            </w:r>
          </w:p>
        </w:tc>
        <w:tc>
          <w:tcPr>
            <w:tcW w:w="2305"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370"/>
              <w:rPr>
                <w:sz w:val="20"/>
              </w:rPr>
            </w:pPr>
            <w:r>
              <w:rPr>
                <w:sz w:val="20"/>
              </w:rPr>
              <w:t>K90.0,</w:t>
            </w:r>
            <w:r>
              <w:rPr>
                <w:spacing w:val="-4"/>
                <w:sz w:val="20"/>
              </w:rPr>
              <w:t> </w:t>
            </w:r>
            <w:r>
              <w:rPr>
                <w:sz w:val="20"/>
              </w:rPr>
              <w:t>K90.1,</w:t>
            </w:r>
            <w:r>
              <w:rPr>
                <w:spacing w:val="-6"/>
                <w:sz w:val="20"/>
              </w:rPr>
              <w:t> </w:t>
            </w:r>
            <w:r>
              <w:rPr>
                <w:sz w:val="20"/>
              </w:rPr>
              <w:t>K90.2,</w:t>
            </w:r>
            <w:r>
              <w:rPr>
                <w:spacing w:val="-4"/>
                <w:sz w:val="20"/>
              </w:rPr>
              <w:t> </w:t>
            </w:r>
            <w:r>
              <w:rPr>
                <w:sz w:val="20"/>
              </w:rPr>
              <w:t>K90.3,</w:t>
            </w:r>
            <w:r>
              <w:rPr>
                <w:spacing w:val="-6"/>
                <w:sz w:val="20"/>
              </w:rPr>
              <w:t> </w:t>
            </w:r>
            <w:r>
              <w:rPr>
                <w:sz w:val="20"/>
              </w:rPr>
              <w:t>K90.4,</w:t>
            </w:r>
            <w:r>
              <w:rPr>
                <w:spacing w:val="-4"/>
                <w:sz w:val="20"/>
              </w:rPr>
              <w:t> </w:t>
            </w:r>
            <w:r>
              <w:rPr>
                <w:spacing w:val="-2"/>
                <w:sz w:val="20"/>
              </w:rPr>
              <w:t>K90.8,</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49"/>
              <w:rPr>
                <w:sz w:val="20"/>
              </w:rPr>
            </w:pPr>
            <w:r>
              <w:rPr>
                <w:sz w:val="20"/>
              </w:rPr>
              <w:t>K90.9,</w:t>
            </w:r>
            <w:r>
              <w:rPr>
                <w:spacing w:val="-6"/>
                <w:sz w:val="20"/>
              </w:rPr>
              <w:t> </w:t>
            </w:r>
            <w:r>
              <w:rPr>
                <w:sz w:val="20"/>
              </w:rPr>
              <w:t>K91,</w:t>
            </w:r>
            <w:r>
              <w:rPr>
                <w:spacing w:val="-6"/>
                <w:sz w:val="20"/>
              </w:rPr>
              <w:t> </w:t>
            </w:r>
            <w:r>
              <w:rPr>
                <w:sz w:val="20"/>
              </w:rPr>
              <w:t>K91.0,</w:t>
            </w:r>
            <w:r>
              <w:rPr>
                <w:spacing w:val="-5"/>
                <w:sz w:val="20"/>
              </w:rPr>
              <w:t> </w:t>
            </w:r>
            <w:r>
              <w:rPr>
                <w:sz w:val="20"/>
              </w:rPr>
              <w:t>K91.1,</w:t>
            </w:r>
            <w:r>
              <w:rPr>
                <w:spacing w:val="-6"/>
                <w:sz w:val="20"/>
              </w:rPr>
              <w:t> </w:t>
            </w:r>
            <w:r>
              <w:rPr>
                <w:sz w:val="20"/>
              </w:rPr>
              <w:t>K91.2,</w:t>
            </w:r>
            <w:r>
              <w:rPr>
                <w:spacing w:val="-5"/>
                <w:sz w:val="20"/>
              </w:rPr>
              <w:t> </w:t>
            </w:r>
            <w:r>
              <w:rPr>
                <w:sz w:val="20"/>
              </w:rPr>
              <w:t>K91.3,</w:t>
            </w:r>
            <w:r>
              <w:rPr>
                <w:spacing w:val="-6"/>
                <w:sz w:val="20"/>
              </w:rPr>
              <w:t> </w:t>
            </w:r>
            <w:r>
              <w:rPr>
                <w:spacing w:val="-2"/>
                <w:sz w:val="20"/>
              </w:rPr>
              <w:t>K91.4,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9"/>
              <w:rPr>
                <w:sz w:val="20"/>
              </w:rPr>
            </w:pPr>
            <w:r>
              <w:rPr>
                <w:sz w:val="20"/>
              </w:rPr>
              <w:t>K91.5,</w:t>
            </w:r>
            <w:r>
              <w:rPr>
                <w:spacing w:val="-5"/>
                <w:sz w:val="20"/>
              </w:rPr>
              <w:t> </w:t>
            </w:r>
            <w:r>
              <w:rPr>
                <w:sz w:val="20"/>
              </w:rPr>
              <w:t>K91.8,</w:t>
            </w:r>
            <w:r>
              <w:rPr>
                <w:spacing w:val="-6"/>
                <w:sz w:val="20"/>
              </w:rPr>
              <w:t> </w:t>
            </w:r>
            <w:r>
              <w:rPr>
                <w:sz w:val="20"/>
              </w:rPr>
              <w:t>K91.9,</w:t>
            </w:r>
            <w:r>
              <w:rPr>
                <w:spacing w:val="-4"/>
                <w:sz w:val="20"/>
              </w:rPr>
              <w:t> </w:t>
            </w:r>
            <w:r>
              <w:rPr>
                <w:sz w:val="20"/>
              </w:rPr>
              <w:t>K92,</w:t>
            </w:r>
            <w:r>
              <w:rPr>
                <w:spacing w:val="-5"/>
                <w:sz w:val="20"/>
              </w:rPr>
              <w:t> </w:t>
            </w:r>
            <w:r>
              <w:rPr>
                <w:sz w:val="20"/>
              </w:rPr>
              <w:t>K92.0,</w:t>
            </w:r>
            <w:r>
              <w:rPr>
                <w:spacing w:val="-4"/>
                <w:sz w:val="20"/>
              </w:rPr>
              <w:t> </w:t>
            </w:r>
            <w:r>
              <w:rPr>
                <w:sz w:val="20"/>
              </w:rPr>
              <w:t>K92.1,</w:t>
            </w:r>
            <w:r>
              <w:rPr>
                <w:spacing w:val="-5"/>
                <w:sz w:val="20"/>
              </w:rPr>
              <w:t> </w:t>
            </w:r>
            <w:r>
              <w:rPr>
                <w:spacing w:val="-2"/>
                <w:sz w:val="20"/>
              </w:rPr>
              <w:t>K92.2,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23"/>
              <w:rPr>
                <w:sz w:val="20"/>
              </w:rPr>
            </w:pPr>
            <w:r>
              <w:rPr>
                <w:sz w:val="20"/>
              </w:rPr>
              <w:t>K92.8,</w:t>
            </w:r>
            <w:r>
              <w:rPr>
                <w:spacing w:val="-6"/>
                <w:sz w:val="20"/>
              </w:rPr>
              <w:t> </w:t>
            </w:r>
            <w:r>
              <w:rPr>
                <w:sz w:val="20"/>
              </w:rPr>
              <w:t>K92.9,</w:t>
            </w:r>
            <w:r>
              <w:rPr>
                <w:spacing w:val="-7"/>
                <w:sz w:val="20"/>
              </w:rPr>
              <w:t> </w:t>
            </w:r>
            <w:r>
              <w:rPr>
                <w:sz w:val="20"/>
              </w:rPr>
              <w:t>K93,</w:t>
            </w:r>
            <w:r>
              <w:rPr>
                <w:spacing w:val="-5"/>
                <w:sz w:val="20"/>
              </w:rPr>
              <w:t> </w:t>
            </w:r>
            <w:r>
              <w:rPr>
                <w:sz w:val="20"/>
              </w:rPr>
              <w:t>K93.0,</w:t>
            </w:r>
            <w:r>
              <w:rPr>
                <w:spacing w:val="-5"/>
                <w:sz w:val="20"/>
              </w:rPr>
              <w:t> </w:t>
            </w:r>
            <w:r>
              <w:rPr>
                <w:sz w:val="20"/>
              </w:rPr>
              <w:t>K93.1,</w:t>
            </w:r>
            <w:r>
              <w:rPr>
                <w:spacing w:val="-5"/>
                <w:sz w:val="20"/>
              </w:rPr>
              <w:t> </w:t>
            </w:r>
            <w:r>
              <w:rPr>
                <w:sz w:val="20"/>
              </w:rPr>
              <w:t>K93.8,</w:t>
            </w:r>
            <w:r>
              <w:rPr>
                <w:spacing w:val="-6"/>
                <w:sz w:val="20"/>
              </w:rPr>
              <w:t> </w:t>
            </w:r>
            <w:r>
              <w:rPr>
                <w:spacing w:val="-4"/>
                <w:sz w:val="20"/>
              </w:rPr>
              <w:t>Q39,</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70"/>
              <w:rPr>
                <w:sz w:val="20"/>
              </w:rPr>
            </w:pPr>
            <w:r>
              <w:rPr>
                <w:sz w:val="20"/>
              </w:rPr>
              <w:t>Q39.0,</w:t>
            </w:r>
            <w:r>
              <w:rPr>
                <w:spacing w:val="-4"/>
                <w:sz w:val="20"/>
              </w:rPr>
              <w:t> </w:t>
            </w:r>
            <w:r>
              <w:rPr>
                <w:sz w:val="20"/>
              </w:rPr>
              <w:t>Q39.1,</w:t>
            </w:r>
            <w:r>
              <w:rPr>
                <w:spacing w:val="-6"/>
                <w:sz w:val="20"/>
              </w:rPr>
              <w:t> </w:t>
            </w:r>
            <w:r>
              <w:rPr>
                <w:sz w:val="20"/>
              </w:rPr>
              <w:t>Q39.2,</w:t>
            </w:r>
            <w:r>
              <w:rPr>
                <w:spacing w:val="-4"/>
                <w:sz w:val="20"/>
              </w:rPr>
              <w:t> </w:t>
            </w:r>
            <w:r>
              <w:rPr>
                <w:sz w:val="20"/>
              </w:rPr>
              <w:t>Q39.3,</w:t>
            </w:r>
            <w:r>
              <w:rPr>
                <w:spacing w:val="-6"/>
                <w:sz w:val="20"/>
              </w:rPr>
              <w:t> </w:t>
            </w:r>
            <w:r>
              <w:rPr>
                <w:sz w:val="20"/>
              </w:rPr>
              <w:t>Q39.4,</w:t>
            </w:r>
            <w:r>
              <w:rPr>
                <w:spacing w:val="-4"/>
                <w:sz w:val="20"/>
              </w:rPr>
              <w:t> </w:t>
            </w:r>
            <w:r>
              <w:rPr>
                <w:spacing w:val="-2"/>
                <w:sz w:val="20"/>
              </w:rPr>
              <w:t>Q39.5,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1" w:lineRule="exact"/>
              <w:ind w:left="149"/>
              <w:rPr>
                <w:sz w:val="20"/>
              </w:rPr>
            </w:pPr>
            <w:r>
              <w:rPr>
                <w:sz w:val="20"/>
              </w:rPr>
              <w:t>Q39.6,</w:t>
            </w:r>
            <w:r>
              <w:rPr>
                <w:spacing w:val="-6"/>
                <w:sz w:val="20"/>
              </w:rPr>
              <w:t> </w:t>
            </w:r>
            <w:r>
              <w:rPr>
                <w:sz w:val="20"/>
              </w:rPr>
              <w:t>Q39.8,</w:t>
            </w:r>
            <w:r>
              <w:rPr>
                <w:spacing w:val="-6"/>
                <w:sz w:val="20"/>
              </w:rPr>
              <w:t> </w:t>
            </w:r>
            <w:r>
              <w:rPr>
                <w:sz w:val="20"/>
              </w:rPr>
              <w:t>Q39.9,</w:t>
            </w:r>
            <w:r>
              <w:rPr>
                <w:spacing w:val="-5"/>
                <w:sz w:val="20"/>
              </w:rPr>
              <w:t> </w:t>
            </w:r>
            <w:r>
              <w:rPr>
                <w:sz w:val="20"/>
              </w:rPr>
              <w:t>Q40,</w:t>
            </w:r>
            <w:r>
              <w:rPr>
                <w:spacing w:val="-6"/>
                <w:sz w:val="20"/>
              </w:rPr>
              <w:t> </w:t>
            </w:r>
            <w:r>
              <w:rPr>
                <w:sz w:val="20"/>
              </w:rPr>
              <w:t>Q40.0,</w:t>
            </w:r>
            <w:r>
              <w:rPr>
                <w:spacing w:val="-5"/>
                <w:sz w:val="20"/>
              </w:rPr>
              <w:t> </w:t>
            </w:r>
            <w:r>
              <w:rPr>
                <w:sz w:val="20"/>
              </w:rPr>
              <w:t>Q40.1,</w:t>
            </w:r>
            <w:r>
              <w:rPr>
                <w:spacing w:val="-5"/>
                <w:sz w:val="20"/>
              </w:rPr>
              <w:t> </w:t>
            </w:r>
            <w:r>
              <w:rPr>
                <w:spacing w:val="-2"/>
                <w:sz w:val="20"/>
              </w:rPr>
              <w:t>Q40.2,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9"/>
              <w:rPr>
                <w:sz w:val="20"/>
              </w:rPr>
            </w:pPr>
            <w:r>
              <w:rPr>
                <w:sz w:val="20"/>
              </w:rPr>
              <w:t>Q40.3,</w:t>
            </w:r>
            <w:r>
              <w:rPr>
                <w:spacing w:val="-6"/>
                <w:sz w:val="20"/>
              </w:rPr>
              <w:t> </w:t>
            </w:r>
            <w:r>
              <w:rPr>
                <w:sz w:val="20"/>
              </w:rPr>
              <w:t>Q40.8,</w:t>
            </w:r>
            <w:r>
              <w:rPr>
                <w:spacing w:val="-6"/>
                <w:sz w:val="20"/>
              </w:rPr>
              <w:t> </w:t>
            </w:r>
            <w:r>
              <w:rPr>
                <w:sz w:val="20"/>
              </w:rPr>
              <w:t>Q40.9,</w:t>
            </w:r>
            <w:r>
              <w:rPr>
                <w:spacing w:val="-5"/>
                <w:sz w:val="20"/>
              </w:rPr>
              <w:t> </w:t>
            </w:r>
            <w:r>
              <w:rPr>
                <w:sz w:val="20"/>
              </w:rPr>
              <w:t>Q41,</w:t>
            </w:r>
            <w:r>
              <w:rPr>
                <w:spacing w:val="-6"/>
                <w:sz w:val="20"/>
              </w:rPr>
              <w:t> </w:t>
            </w:r>
            <w:r>
              <w:rPr>
                <w:sz w:val="20"/>
              </w:rPr>
              <w:t>Q41.0,</w:t>
            </w:r>
            <w:r>
              <w:rPr>
                <w:spacing w:val="-5"/>
                <w:sz w:val="20"/>
              </w:rPr>
              <w:t> </w:t>
            </w:r>
            <w:r>
              <w:rPr>
                <w:sz w:val="20"/>
              </w:rPr>
              <w:t>Q41.1,</w:t>
            </w:r>
            <w:r>
              <w:rPr>
                <w:spacing w:val="-5"/>
                <w:sz w:val="20"/>
              </w:rPr>
              <w:t> </w:t>
            </w:r>
            <w:r>
              <w:rPr>
                <w:spacing w:val="-2"/>
                <w:sz w:val="20"/>
              </w:rPr>
              <w:t>Q41.2,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49"/>
              <w:rPr>
                <w:sz w:val="20"/>
              </w:rPr>
            </w:pPr>
            <w:r>
              <w:rPr>
                <w:sz w:val="20"/>
              </w:rPr>
              <w:t>Q41.8,</w:t>
            </w:r>
            <w:r>
              <w:rPr>
                <w:spacing w:val="-6"/>
                <w:sz w:val="20"/>
              </w:rPr>
              <w:t> </w:t>
            </w:r>
            <w:r>
              <w:rPr>
                <w:sz w:val="20"/>
              </w:rPr>
              <w:t>Q41.9,</w:t>
            </w:r>
            <w:r>
              <w:rPr>
                <w:spacing w:val="-7"/>
                <w:sz w:val="20"/>
              </w:rPr>
              <w:t> </w:t>
            </w:r>
            <w:r>
              <w:rPr>
                <w:sz w:val="20"/>
              </w:rPr>
              <w:t>Q42,</w:t>
            </w:r>
            <w:r>
              <w:rPr>
                <w:spacing w:val="-5"/>
                <w:sz w:val="20"/>
              </w:rPr>
              <w:t> </w:t>
            </w:r>
            <w:r>
              <w:rPr>
                <w:sz w:val="20"/>
              </w:rPr>
              <w:t>Q42.0,</w:t>
            </w:r>
            <w:r>
              <w:rPr>
                <w:spacing w:val="-5"/>
                <w:sz w:val="20"/>
              </w:rPr>
              <w:t> </w:t>
            </w:r>
            <w:r>
              <w:rPr>
                <w:sz w:val="20"/>
              </w:rPr>
              <w:t>Q42.1,</w:t>
            </w:r>
            <w:r>
              <w:rPr>
                <w:spacing w:val="-5"/>
                <w:sz w:val="20"/>
              </w:rPr>
              <w:t> </w:t>
            </w:r>
            <w:r>
              <w:rPr>
                <w:sz w:val="20"/>
              </w:rPr>
              <w:t>Q42.2,</w:t>
            </w:r>
            <w:r>
              <w:rPr>
                <w:spacing w:val="-6"/>
                <w:sz w:val="20"/>
              </w:rPr>
              <w:t> </w:t>
            </w:r>
            <w:r>
              <w:rPr>
                <w:spacing w:val="-2"/>
                <w:sz w:val="20"/>
              </w:rPr>
              <w:t>Q42.3,</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9"/>
              <w:rPr>
                <w:sz w:val="20"/>
              </w:rPr>
            </w:pPr>
            <w:r>
              <w:rPr>
                <w:sz w:val="20"/>
              </w:rPr>
              <w:t>Q42.8,</w:t>
            </w:r>
            <w:r>
              <w:rPr>
                <w:spacing w:val="-6"/>
                <w:sz w:val="20"/>
              </w:rPr>
              <w:t> </w:t>
            </w:r>
            <w:r>
              <w:rPr>
                <w:sz w:val="20"/>
              </w:rPr>
              <w:t>Q42.9,</w:t>
            </w:r>
            <w:r>
              <w:rPr>
                <w:spacing w:val="-6"/>
                <w:sz w:val="20"/>
              </w:rPr>
              <w:t> </w:t>
            </w:r>
            <w:r>
              <w:rPr>
                <w:sz w:val="20"/>
              </w:rPr>
              <w:t>Q43,</w:t>
            </w:r>
            <w:r>
              <w:rPr>
                <w:spacing w:val="-5"/>
                <w:sz w:val="20"/>
              </w:rPr>
              <w:t> </w:t>
            </w:r>
            <w:r>
              <w:rPr>
                <w:sz w:val="20"/>
              </w:rPr>
              <w:t>Q43.0,</w:t>
            </w:r>
            <w:r>
              <w:rPr>
                <w:spacing w:val="-6"/>
                <w:sz w:val="20"/>
              </w:rPr>
              <w:t> </w:t>
            </w:r>
            <w:r>
              <w:rPr>
                <w:sz w:val="20"/>
              </w:rPr>
              <w:t>Q43.1,</w:t>
            </w:r>
            <w:r>
              <w:rPr>
                <w:spacing w:val="-5"/>
                <w:sz w:val="20"/>
              </w:rPr>
              <w:t> </w:t>
            </w:r>
            <w:r>
              <w:rPr>
                <w:sz w:val="20"/>
              </w:rPr>
              <w:t>Q43.2,</w:t>
            </w:r>
            <w:r>
              <w:rPr>
                <w:spacing w:val="-5"/>
                <w:sz w:val="20"/>
              </w:rPr>
              <w:t> </w:t>
            </w:r>
            <w:r>
              <w:rPr>
                <w:spacing w:val="-2"/>
                <w:sz w:val="20"/>
              </w:rPr>
              <w:t>Q43.3,</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6"/>
              <w:rPr>
                <w:sz w:val="20"/>
              </w:rPr>
            </w:pPr>
            <w:r>
              <w:rPr>
                <w:sz w:val="20"/>
              </w:rPr>
              <w:t>Q43.4,</w:t>
            </w:r>
            <w:r>
              <w:rPr>
                <w:spacing w:val="-5"/>
                <w:sz w:val="20"/>
              </w:rPr>
              <w:t> </w:t>
            </w:r>
            <w:r>
              <w:rPr>
                <w:sz w:val="20"/>
              </w:rPr>
              <w:t>Q43.5,</w:t>
            </w:r>
            <w:r>
              <w:rPr>
                <w:spacing w:val="-5"/>
                <w:sz w:val="20"/>
              </w:rPr>
              <w:t> </w:t>
            </w:r>
            <w:r>
              <w:rPr>
                <w:sz w:val="20"/>
              </w:rPr>
              <w:t>Q43.6,</w:t>
            </w:r>
            <w:r>
              <w:rPr>
                <w:spacing w:val="-4"/>
                <w:sz w:val="20"/>
              </w:rPr>
              <w:t> </w:t>
            </w:r>
            <w:r>
              <w:rPr>
                <w:sz w:val="20"/>
              </w:rPr>
              <w:t>Q43.7,</w:t>
            </w:r>
            <w:r>
              <w:rPr>
                <w:spacing w:val="-6"/>
                <w:sz w:val="20"/>
              </w:rPr>
              <w:t> </w:t>
            </w:r>
            <w:r>
              <w:rPr>
                <w:sz w:val="20"/>
              </w:rPr>
              <w:t>Q43.8,</w:t>
            </w:r>
            <w:r>
              <w:rPr>
                <w:spacing w:val="-4"/>
                <w:sz w:val="20"/>
              </w:rPr>
              <w:t> </w:t>
            </w:r>
            <w:r>
              <w:rPr>
                <w:sz w:val="20"/>
              </w:rPr>
              <w:t>Q43.9,</w:t>
            </w:r>
            <w:r>
              <w:rPr>
                <w:spacing w:val="-6"/>
                <w:sz w:val="20"/>
              </w:rPr>
              <w:t> </w:t>
            </w:r>
            <w:r>
              <w:rPr>
                <w:spacing w:val="-4"/>
                <w:sz w:val="20"/>
              </w:rPr>
              <w:t>Q44,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70"/>
              <w:rPr>
                <w:sz w:val="20"/>
              </w:rPr>
            </w:pPr>
            <w:r>
              <w:rPr>
                <w:sz w:val="20"/>
              </w:rPr>
              <w:t>Q44.0,</w:t>
            </w:r>
            <w:r>
              <w:rPr>
                <w:spacing w:val="-4"/>
                <w:sz w:val="20"/>
              </w:rPr>
              <w:t> </w:t>
            </w:r>
            <w:r>
              <w:rPr>
                <w:sz w:val="20"/>
              </w:rPr>
              <w:t>Q44.1,</w:t>
            </w:r>
            <w:r>
              <w:rPr>
                <w:spacing w:val="-6"/>
                <w:sz w:val="20"/>
              </w:rPr>
              <w:t> </w:t>
            </w:r>
            <w:r>
              <w:rPr>
                <w:sz w:val="20"/>
              </w:rPr>
              <w:t>Q44.2,</w:t>
            </w:r>
            <w:r>
              <w:rPr>
                <w:spacing w:val="-4"/>
                <w:sz w:val="20"/>
              </w:rPr>
              <w:t> </w:t>
            </w:r>
            <w:r>
              <w:rPr>
                <w:sz w:val="20"/>
              </w:rPr>
              <w:t>Q44.3,</w:t>
            </w:r>
            <w:r>
              <w:rPr>
                <w:spacing w:val="-6"/>
                <w:sz w:val="20"/>
              </w:rPr>
              <w:t> </w:t>
            </w:r>
            <w:r>
              <w:rPr>
                <w:sz w:val="20"/>
              </w:rPr>
              <w:t>Q44.4,</w:t>
            </w:r>
            <w:r>
              <w:rPr>
                <w:spacing w:val="-4"/>
                <w:sz w:val="20"/>
              </w:rPr>
              <w:t> </w:t>
            </w:r>
            <w:r>
              <w:rPr>
                <w:spacing w:val="-2"/>
                <w:sz w:val="20"/>
              </w:rPr>
              <w:t>Q44.5,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70"/>
              <w:rPr>
                <w:sz w:val="20"/>
              </w:rPr>
            </w:pPr>
            <w:r>
              <w:rPr>
                <w:sz w:val="20"/>
              </w:rPr>
              <w:t>Q44.6,</w:t>
            </w:r>
            <w:r>
              <w:rPr>
                <w:spacing w:val="-4"/>
                <w:sz w:val="20"/>
              </w:rPr>
              <w:t> </w:t>
            </w:r>
            <w:r>
              <w:rPr>
                <w:sz w:val="20"/>
              </w:rPr>
              <w:t>Q44.7,</w:t>
            </w:r>
            <w:r>
              <w:rPr>
                <w:spacing w:val="-6"/>
                <w:sz w:val="20"/>
              </w:rPr>
              <w:t> </w:t>
            </w:r>
            <w:r>
              <w:rPr>
                <w:sz w:val="20"/>
              </w:rPr>
              <w:t>Q45.0,</w:t>
            </w:r>
            <w:r>
              <w:rPr>
                <w:spacing w:val="-4"/>
                <w:sz w:val="20"/>
              </w:rPr>
              <w:t> </w:t>
            </w:r>
            <w:r>
              <w:rPr>
                <w:sz w:val="20"/>
              </w:rPr>
              <w:t>Q45.1,</w:t>
            </w:r>
            <w:r>
              <w:rPr>
                <w:spacing w:val="-6"/>
                <w:sz w:val="20"/>
              </w:rPr>
              <w:t> </w:t>
            </w:r>
            <w:r>
              <w:rPr>
                <w:sz w:val="20"/>
              </w:rPr>
              <w:t>Q45.2,</w:t>
            </w:r>
            <w:r>
              <w:rPr>
                <w:spacing w:val="-4"/>
                <w:sz w:val="20"/>
              </w:rPr>
              <w:t> </w:t>
            </w:r>
            <w:r>
              <w:rPr>
                <w:spacing w:val="-2"/>
                <w:sz w:val="20"/>
              </w:rPr>
              <w:t>Q45.3,</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70"/>
              <w:rPr>
                <w:sz w:val="20"/>
              </w:rPr>
            </w:pPr>
            <w:r>
              <w:rPr>
                <w:sz w:val="20"/>
              </w:rPr>
              <w:t>Q45.8,</w:t>
            </w:r>
            <w:r>
              <w:rPr>
                <w:spacing w:val="-5"/>
                <w:sz w:val="20"/>
              </w:rPr>
              <w:t> </w:t>
            </w:r>
            <w:r>
              <w:rPr>
                <w:sz w:val="20"/>
              </w:rPr>
              <w:t>Q45.9,</w:t>
            </w:r>
            <w:r>
              <w:rPr>
                <w:spacing w:val="-6"/>
                <w:sz w:val="20"/>
              </w:rPr>
              <w:t> </w:t>
            </w:r>
            <w:r>
              <w:rPr>
                <w:sz w:val="20"/>
              </w:rPr>
              <w:t>Q89.3,</w:t>
            </w:r>
            <w:r>
              <w:rPr>
                <w:spacing w:val="-4"/>
                <w:sz w:val="20"/>
              </w:rPr>
              <w:t> </w:t>
            </w:r>
            <w:r>
              <w:rPr>
                <w:sz w:val="20"/>
              </w:rPr>
              <w:t>R10,</w:t>
            </w:r>
            <w:r>
              <w:rPr>
                <w:spacing w:val="-5"/>
                <w:sz w:val="20"/>
              </w:rPr>
              <w:t> </w:t>
            </w:r>
            <w:r>
              <w:rPr>
                <w:sz w:val="20"/>
              </w:rPr>
              <w:t>R10.0,</w:t>
            </w:r>
            <w:r>
              <w:rPr>
                <w:spacing w:val="-4"/>
                <w:sz w:val="20"/>
              </w:rPr>
              <w:t> </w:t>
            </w:r>
            <w:r>
              <w:rPr>
                <w:sz w:val="20"/>
              </w:rPr>
              <w:t>R10.1,</w:t>
            </w:r>
            <w:r>
              <w:rPr>
                <w:spacing w:val="-4"/>
                <w:sz w:val="20"/>
              </w:rPr>
              <w:t> </w:t>
            </w:r>
            <w:r>
              <w:rPr>
                <w:spacing w:val="-2"/>
                <w:sz w:val="20"/>
              </w:rPr>
              <w:t>R10.2,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94"/>
              <w:rPr>
                <w:sz w:val="20"/>
              </w:rPr>
            </w:pPr>
            <w:r>
              <w:rPr>
                <w:sz w:val="20"/>
              </w:rPr>
              <w:t>R10.3,</w:t>
            </w:r>
            <w:r>
              <w:rPr>
                <w:spacing w:val="-4"/>
                <w:sz w:val="20"/>
              </w:rPr>
              <w:t> </w:t>
            </w:r>
            <w:r>
              <w:rPr>
                <w:sz w:val="20"/>
              </w:rPr>
              <w:t>R10.4,</w:t>
            </w:r>
            <w:r>
              <w:rPr>
                <w:spacing w:val="-3"/>
                <w:sz w:val="20"/>
              </w:rPr>
              <w:t> </w:t>
            </w:r>
            <w:r>
              <w:rPr>
                <w:sz w:val="20"/>
              </w:rPr>
              <w:t>R11,</w:t>
            </w:r>
            <w:r>
              <w:rPr>
                <w:spacing w:val="-4"/>
                <w:sz w:val="20"/>
              </w:rPr>
              <w:t> </w:t>
            </w:r>
            <w:r>
              <w:rPr>
                <w:sz w:val="20"/>
              </w:rPr>
              <w:t>R12,</w:t>
            </w:r>
            <w:r>
              <w:rPr>
                <w:spacing w:val="-5"/>
                <w:sz w:val="20"/>
              </w:rPr>
              <w:t> </w:t>
            </w:r>
            <w:r>
              <w:rPr>
                <w:sz w:val="20"/>
              </w:rPr>
              <w:t>R13,</w:t>
            </w:r>
            <w:r>
              <w:rPr>
                <w:spacing w:val="-5"/>
                <w:sz w:val="20"/>
              </w:rPr>
              <w:t> </w:t>
            </w:r>
            <w:r>
              <w:rPr>
                <w:sz w:val="20"/>
              </w:rPr>
              <w:t>R14,</w:t>
            </w:r>
            <w:r>
              <w:rPr>
                <w:spacing w:val="-4"/>
                <w:sz w:val="20"/>
              </w:rPr>
              <w:t> </w:t>
            </w:r>
            <w:r>
              <w:rPr>
                <w:sz w:val="20"/>
              </w:rPr>
              <w:t>R15,</w:t>
            </w:r>
            <w:r>
              <w:rPr>
                <w:spacing w:val="-3"/>
                <w:sz w:val="20"/>
              </w:rPr>
              <w:t> </w:t>
            </w:r>
            <w:r>
              <w:rPr>
                <w:spacing w:val="-2"/>
                <w:sz w:val="20"/>
              </w:rPr>
              <w:t>R16.0,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36"/>
              <w:rPr>
                <w:sz w:val="20"/>
              </w:rPr>
            </w:pPr>
            <w:r>
              <w:rPr>
                <w:sz w:val="20"/>
              </w:rPr>
              <w:t>R16.2,</w:t>
            </w:r>
            <w:r>
              <w:rPr>
                <w:spacing w:val="-5"/>
                <w:sz w:val="20"/>
              </w:rPr>
              <w:t> </w:t>
            </w:r>
            <w:r>
              <w:rPr>
                <w:sz w:val="20"/>
              </w:rPr>
              <w:t>R17,</w:t>
            </w:r>
            <w:r>
              <w:rPr>
                <w:spacing w:val="-4"/>
                <w:sz w:val="20"/>
              </w:rPr>
              <w:t> </w:t>
            </w:r>
            <w:r>
              <w:rPr>
                <w:sz w:val="20"/>
              </w:rPr>
              <w:t>R17.0,</w:t>
            </w:r>
            <w:r>
              <w:rPr>
                <w:spacing w:val="-5"/>
                <w:sz w:val="20"/>
              </w:rPr>
              <w:t> </w:t>
            </w:r>
            <w:r>
              <w:rPr>
                <w:sz w:val="20"/>
              </w:rPr>
              <w:t>R17.9,</w:t>
            </w:r>
            <w:r>
              <w:rPr>
                <w:spacing w:val="-4"/>
                <w:sz w:val="20"/>
              </w:rPr>
              <w:t> </w:t>
            </w:r>
            <w:r>
              <w:rPr>
                <w:sz w:val="20"/>
              </w:rPr>
              <w:t>R18,</w:t>
            </w:r>
            <w:r>
              <w:rPr>
                <w:spacing w:val="-5"/>
                <w:sz w:val="20"/>
              </w:rPr>
              <w:t> </w:t>
            </w:r>
            <w:r>
              <w:rPr>
                <w:sz w:val="20"/>
              </w:rPr>
              <w:t>R19,</w:t>
            </w:r>
            <w:r>
              <w:rPr>
                <w:spacing w:val="-4"/>
                <w:sz w:val="20"/>
              </w:rPr>
              <w:t> </w:t>
            </w:r>
            <w:r>
              <w:rPr>
                <w:spacing w:val="-2"/>
                <w:sz w:val="20"/>
              </w:rPr>
              <w:t>R19.0,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13"/>
              <w:rPr>
                <w:sz w:val="20"/>
              </w:rPr>
            </w:pPr>
            <w:r>
              <w:rPr>
                <w:sz w:val="20"/>
              </w:rPr>
              <w:t>R19.1,</w:t>
            </w:r>
            <w:r>
              <w:rPr>
                <w:spacing w:val="-7"/>
                <w:sz w:val="20"/>
              </w:rPr>
              <w:t> </w:t>
            </w:r>
            <w:r>
              <w:rPr>
                <w:sz w:val="20"/>
              </w:rPr>
              <w:t>R19.2,</w:t>
            </w:r>
            <w:r>
              <w:rPr>
                <w:spacing w:val="-5"/>
                <w:sz w:val="20"/>
              </w:rPr>
              <w:t> </w:t>
            </w:r>
            <w:r>
              <w:rPr>
                <w:sz w:val="20"/>
              </w:rPr>
              <w:t>R19.3,</w:t>
            </w:r>
            <w:r>
              <w:rPr>
                <w:spacing w:val="-5"/>
                <w:sz w:val="20"/>
              </w:rPr>
              <w:t> </w:t>
            </w:r>
            <w:r>
              <w:rPr>
                <w:sz w:val="20"/>
              </w:rPr>
              <w:t>R19.4,</w:t>
            </w:r>
            <w:r>
              <w:rPr>
                <w:spacing w:val="-9"/>
                <w:sz w:val="20"/>
              </w:rPr>
              <w:t> </w:t>
            </w:r>
            <w:r>
              <w:rPr>
                <w:sz w:val="20"/>
              </w:rPr>
              <w:t>R19.5,</w:t>
            </w:r>
            <w:r>
              <w:rPr>
                <w:spacing w:val="-5"/>
                <w:sz w:val="20"/>
              </w:rPr>
              <w:t> </w:t>
            </w:r>
            <w:r>
              <w:rPr>
                <w:sz w:val="20"/>
              </w:rPr>
              <w:t>R19.6,</w:t>
            </w:r>
            <w:r>
              <w:rPr>
                <w:spacing w:val="-4"/>
                <w:sz w:val="20"/>
              </w:rPr>
              <w:t> </w:t>
            </w:r>
            <w:r>
              <w:rPr>
                <w:spacing w:val="-2"/>
                <w:sz w:val="20"/>
              </w:rPr>
              <w:t>R19.8,</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1" w:lineRule="exact"/>
              <w:ind w:left="187"/>
              <w:rPr>
                <w:sz w:val="20"/>
              </w:rPr>
            </w:pPr>
            <w:r>
              <w:rPr>
                <w:sz w:val="20"/>
              </w:rPr>
              <w:t>R85,</w:t>
            </w:r>
            <w:r>
              <w:rPr>
                <w:spacing w:val="-5"/>
                <w:sz w:val="20"/>
              </w:rPr>
              <w:t> </w:t>
            </w:r>
            <w:r>
              <w:rPr>
                <w:sz w:val="20"/>
              </w:rPr>
              <w:t>R85.0,</w:t>
            </w:r>
            <w:r>
              <w:rPr>
                <w:spacing w:val="-5"/>
                <w:sz w:val="20"/>
              </w:rPr>
              <w:t> </w:t>
            </w:r>
            <w:r>
              <w:rPr>
                <w:sz w:val="20"/>
              </w:rPr>
              <w:t>R85.1,</w:t>
            </w:r>
            <w:r>
              <w:rPr>
                <w:spacing w:val="-5"/>
                <w:sz w:val="20"/>
              </w:rPr>
              <w:t> </w:t>
            </w:r>
            <w:r>
              <w:rPr>
                <w:sz w:val="20"/>
              </w:rPr>
              <w:t>R85.2,</w:t>
            </w:r>
            <w:r>
              <w:rPr>
                <w:spacing w:val="-5"/>
                <w:sz w:val="20"/>
              </w:rPr>
              <w:t> </w:t>
            </w:r>
            <w:r>
              <w:rPr>
                <w:sz w:val="20"/>
              </w:rPr>
              <w:t>R85.3,</w:t>
            </w:r>
            <w:r>
              <w:rPr>
                <w:spacing w:val="-5"/>
                <w:sz w:val="20"/>
              </w:rPr>
              <w:t> </w:t>
            </w:r>
            <w:r>
              <w:rPr>
                <w:sz w:val="20"/>
              </w:rPr>
              <w:t>R85.4,</w:t>
            </w:r>
            <w:r>
              <w:rPr>
                <w:spacing w:val="-5"/>
                <w:sz w:val="20"/>
              </w:rPr>
              <w:t> </w:t>
            </w:r>
            <w:r>
              <w:rPr>
                <w:spacing w:val="-2"/>
                <w:sz w:val="20"/>
              </w:rPr>
              <w:t>R85.5,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1" w:lineRule="exact"/>
              <w:ind w:left="113"/>
              <w:rPr>
                <w:sz w:val="20"/>
              </w:rPr>
            </w:pPr>
            <w:r>
              <w:rPr>
                <w:sz w:val="20"/>
              </w:rPr>
              <w:t>R85.6,</w:t>
            </w:r>
            <w:r>
              <w:rPr>
                <w:spacing w:val="-7"/>
                <w:sz w:val="20"/>
              </w:rPr>
              <w:t> </w:t>
            </w:r>
            <w:r>
              <w:rPr>
                <w:sz w:val="20"/>
              </w:rPr>
              <w:t>R85.7,</w:t>
            </w:r>
            <w:r>
              <w:rPr>
                <w:spacing w:val="-5"/>
                <w:sz w:val="20"/>
              </w:rPr>
              <w:t> </w:t>
            </w:r>
            <w:r>
              <w:rPr>
                <w:sz w:val="20"/>
              </w:rPr>
              <w:t>R85.8,</w:t>
            </w:r>
            <w:r>
              <w:rPr>
                <w:spacing w:val="-5"/>
                <w:sz w:val="20"/>
              </w:rPr>
              <w:t> </w:t>
            </w:r>
            <w:r>
              <w:rPr>
                <w:sz w:val="20"/>
              </w:rPr>
              <w:t>R85.9,</w:t>
            </w:r>
            <w:r>
              <w:rPr>
                <w:spacing w:val="-9"/>
                <w:sz w:val="20"/>
              </w:rPr>
              <w:t> </w:t>
            </w:r>
            <w:r>
              <w:rPr>
                <w:sz w:val="20"/>
              </w:rPr>
              <w:t>R93.2,</w:t>
            </w:r>
            <w:r>
              <w:rPr>
                <w:spacing w:val="-5"/>
                <w:sz w:val="20"/>
              </w:rPr>
              <w:t> </w:t>
            </w:r>
            <w:r>
              <w:rPr>
                <w:sz w:val="20"/>
              </w:rPr>
              <w:t>R93.3,</w:t>
            </w:r>
            <w:r>
              <w:rPr>
                <w:spacing w:val="-4"/>
                <w:sz w:val="20"/>
              </w:rPr>
              <w:t> </w:t>
            </w:r>
            <w:r>
              <w:rPr>
                <w:spacing w:val="-2"/>
                <w:sz w:val="20"/>
              </w:rPr>
              <w:t>R93.5,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03"/>
              <w:rPr>
                <w:sz w:val="20"/>
              </w:rPr>
            </w:pPr>
            <w:r>
              <w:rPr>
                <w:sz w:val="20"/>
              </w:rPr>
              <w:t>R94.5,</w:t>
            </w:r>
            <w:r>
              <w:rPr>
                <w:spacing w:val="-5"/>
                <w:sz w:val="20"/>
              </w:rPr>
              <w:t> </w:t>
            </w:r>
            <w:r>
              <w:rPr>
                <w:sz w:val="20"/>
              </w:rPr>
              <w:t>S36,</w:t>
            </w:r>
            <w:r>
              <w:rPr>
                <w:spacing w:val="-7"/>
                <w:sz w:val="20"/>
              </w:rPr>
              <w:t> </w:t>
            </w:r>
            <w:r>
              <w:rPr>
                <w:sz w:val="20"/>
              </w:rPr>
              <w:t>S36.0,</w:t>
            </w:r>
            <w:r>
              <w:rPr>
                <w:spacing w:val="-5"/>
                <w:sz w:val="20"/>
              </w:rPr>
              <w:t> </w:t>
            </w:r>
            <w:r>
              <w:rPr>
                <w:sz w:val="20"/>
              </w:rPr>
              <w:t>S36.00,</w:t>
            </w:r>
            <w:r>
              <w:rPr>
                <w:spacing w:val="-4"/>
                <w:sz w:val="20"/>
              </w:rPr>
              <w:t> </w:t>
            </w:r>
            <w:r>
              <w:rPr>
                <w:sz w:val="20"/>
              </w:rPr>
              <w:t>S36.01,</w:t>
            </w:r>
            <w:r>
              <w:rPr>
                <w:spacing w:val="-5"/>
                <w:sz w:val="20"/>
              </w:rPr>
              <w:t> </w:t>
            </w:r>
            <w:r>
              <w:rPr>
                <w:sz w:val="20"/>
              </w:rPr>
              <w:t>S36.1,</w:t>
            </w:r>
            <w:r>
              <w:rPr>
                <w:spacing w:val="-7"/>
                <w:sz w:val="20"/>
              </w:rPr>
              <w:t> </w:t>
            </w:r>
            <w:r>
              <w:rPr>
                <w:spacing w:val="-2"/>
                <w:sz w:val="20"/>
              </w:rPr>
              <w:t>S36.10,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269"/>
              <w:rPr>
                <w:sz w:val="20"/>
              </w:rPr>
            </w:pPr>
            <w:r>
              <w:rPr>
                <w:sz w:val="20"/>
              </w:rPr>
              <w:t>S36.11,</w:t>
            </w:r>
            <w:r>
              <w:rPr>
                <w:spacing w:val="-6"/>
                <w:sz w:val="20"/>
              </w:rPr>
              <w:t> </w:t>
            </w:r>
            <w:r>
              <w:rPr>
                <w:sz w:val="20"/>
              </w:rPr>
              <w:t>S36.2,</w:t>
            </w:r>
            <w:r>
              <w:rPr>
                <w:spacing w:val="-5"/>
                <w:sz w:val="20"/>
              </w:rPr>
              <w:t> </w:t>
            </w:r>
            <w:r>
              <w:rPr>
                <w:sz w:val="20"/>
              </w:rPr>
              <w:t>S36.20,</w:t>
            </w:r>
            <w:r>
              <w:rPr>
                <w:spacing w:val="-5"/>
                <w:sz w:val="20"/>
              </w:rPr>
              <w:t> </w:t>
            </w:r>
            <w:r>
              <w:rPr>
                <w:sz w:val="20"/>
              </w:rPr>
              <w:t>S36.21,</w:t>
            </w:r>
            <w:r>
              <w:rPr>
                <w:spacing w:val="-6"/>
                <w:sz w:val="20"/>
              </w:rPr>
              <w:t> </w:t>
            </w:r>
            <w:r>
              <w:rPr>
                <w:sz w:val="20"/>
              </w:rPr>
              <w:t>S36.3,</w:t>
            </w:r>
            <w:r>
              <w:rPr>
                <w:spacing w:val="-5"/>
                <w:sz w:val="20"/>
              </w:rPr>
              <w:t> </w:t>
            </w:r>
            <w:r>
              <w:rPr>
                <w:spacing w:val="-2"/>
                <w:sz w:val="20"/>
              </w:rPr>
              <w:t>S36.30,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69"/>
              <w:rPr>
                <w:sz w:val="20"/>
              </w:rPr>
            </w:pPr>
            <w:r>
              <w:rPr>
                <w:sz w:val="20"/>
              </w:rPr>
              <w:t>S36.31,</w:t>
            </w:r>
            <w:r>
              <w:rPr>
                <w:spacing w:val="-6"/>
                <w:sz w:val="20"/>
              </w:rPr>
              <w:t> </w:t>
            </w:r>
            <w:r>
              <w:rPr>
                <w:sz w:val="20"/>
              </w:rPr>
              <w:t>S36.4,</w:t>
            </w:r>
            <w:r>
              <w:rPr>
                <w:spacing w:val="-7"/>
                <w:sz w:val="20"/>
              </w:rPr>
              <w:t> </w:t>
            </w:r>
            <w:r>
              <w:rPr>
                <w:sz w:val="20"/>
              </w:rPr>
              <w:t>S36.40,</w:t>
            </w:r>
            <w:r>
              <w:rPr>
                <w:spacing w:val="-5"/>
                <w:sz w:val="20"/>
              </w:rPr>
              <w:t> </w:t>
            </w:r>
            <w:r>
              <w:rPr>
                <w:sz w:val="20"/>
              </w:rPr>
              <w:t>S36.41,</w:t>
            </w:r>
            <w:r>
              <w:rPr>
                <w:spacing w:val="-6"/>
                <w:sz w:val="20"/>
              </w:rPr>
              <w:t> </w:t>
            </w:r>
            <w:r>
              <w:rPr>
                <w:sz w:val="20"/>
              </w:rPr>
              <w:t>S36.5,</w:t>
            </w:r>
            <w:r>
              <w:rPr>
                <w:spacing w:val="-5"/>
                <w:sz w:val="20"/>
              </w:rPr>
              <w:t> </w:t>
            </w:r>
            <w:r>
              <w:rPr>
                <w:spacing w:val="-2"/>
                <w:sz w:val="20"/>
              </w:rPr>
              <w:t>S36.50,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69"/>
              <w:rPr>
                <w:sz w:val="20"/>
              </w:rPr>
            </w:pPr>
            <w:r>
              <w:rPr>
                <w:sz w:val="20"/>
              </w:rPr>
              <w:t>S36.51,</w:t>
            </w:r>
            <w:r>
              <w:rPr>
                <w:spacing w:val="-6"/>
                <w:sz w:val="20"/>
              </w:rPr>
              <w:t> </w:t>
            </w:r>
            <w:r>
              <w:rPr>
                <w:sz w:val="20"/>
              </w:rPr>
              <w:t>S36.6,</w:t>
            </w:r>
            <w:r>
              <w:rPr>
                <w:spacing w:val="-7"/>
                <w:sz w:val="20"/>
              </w:rPr>
              <w:t> </w:t>
            </w:r>
            <w:r>
              <w:rPr>
                <w:sz w:val="20"/>
              </w:rPr>
              <w:t>S36.60,</w:t>
            </w:r>
            <w:r>
              <w:rPr>
                <w:spacing w:val="-5"/>
                <w:sz w:val="20"/>
              </w:rPr>
              <w:t> </w:t>
            </w:r>
            <w:r>
              <w:rPr>
                <w:sz w:val="20"/>
              </w:rPr>
              <w:t>S36.61,</w:t>
            </w:r>
            <w:r>
              <w:rPr>
                <w:spacing w:val="-6"/>
                <w:sz w:val="20"/>
              </w:rPr>
              <w:t> </w:t>
            </w:r>
            <w:r>
              <w:rPr>
                <w:sz w:val="20"/>
              </w:rPr>
              <w:t>S36.7,</w:t>
            </w:r>
            <w:r>
              <w:rPr>
                <w:spacing w:val="-5"/>
                <w:sz w:val="20"/>
              </w:rPr>
              <w:t> </w:t>
            </w:r>
            <w:r>
              <w:rPr>
                <w:spacing w:val="-2"/>
                <w:sz w:val="20"/>
              </w:rPr>
              <w:t>S36.70,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69"/>
              <w:rPr>
                <w:sz w:val="20"/>
              </w:rPr>
            </w:pPr>
            <w:r>
              <w:rPr>
                <w:sz w:val="20"/>
              </w:rPr>
              <w:t>S36.71,</w:t>
            </w:r>
            <w:r>
              <w:rPr>
                <w:spacing w:val="-6"/>
                <w:sz w:val="20"/>
              </w:rPr>
              <w:t> </w:t>
            </w:r>
            <w:r>
              <w:rPr>
                <w:sz w:val="20"/>
              </w:rPr>
              <w:t>S36.8,</w:t>
            </w:r>
            <w:r>
              <w:rPr>
                <w:spacing w:val="-7"/>
                <w:sz w:val="20"/>
              </w:rPr>
              <w:t> </w:t>
            </w:r>
            <w:r>
              <w:rPr>
                <w:sz w:val="20"/>
              </w:rPr>
              <w:t>S36.80,</w:t>
            </w:r>
            <w:r>
              <w:rPr>
                <w:spacing w:val="-5"/>
                <w:sz w:val="20"/>
              </w:rPr>
              <w:t> </w:t>
            </w:r>
            <w:r>
              <w:rPr>
                <w:sz w:val="20"/>
              </w:rPr>
              <w:t>S36.81,</w:t>
            </w:r>
            <w:r>
              <w:rPr>
                <w:spacing w:val="-6"/>
                <w:sz w:val="20"/>
              </w:rPr>
              <w:t> </w:t>
            </w:r>
            <w:r>
              <w:rPr>
                <w:sz w:val="20"/>
              </w:rPr>
              <w:t>S36.9,</w:t>
            </w:r>
            <w:r>
              <w:rPr>
                <w:spacing w:val="-5"/>
                <w:sz w:val="20"/>
              </w:rPr>
              <w:t> </w:t>
            </w:r>
            <w:r>
              <w:rPr>
                <w:spacing w:val="-2"/>
                <w:sz w:val="20"/>
              </w:rPr>
              <w:t>S36.90,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80"/>
              <w:rPr>
                <w:sz w:val="20"/>
              </w:rPr>
            </w:pPr>
            <w:r>
              <w:rPr>
                <w:sz w:val="20"/>
              </w:rPr>
              <w:t>S36.91,</w:t>
            </w:r>
            <w:r>
              <w:rPr>
                <w:spacing w:val="-6"/>
                <w:sz w:val="20"/>
              </w:rPr>
              <w:t> </w:t>
            </w:r>
            <w:r>
              <w:rPr>
                <w:sz w:val="20"/>
              </w:rPr>
              <w:t>T18,</w:t>
            </w:r>
            <w:r>
              <w:rPr>
                <w:spacing w:val="-7"/>
                <w:sz w:val="20"/>
              </w:rPr>
              <w:t> </w:t>
            </w:r>
            <w:r>
              <w:rPr>
                <w:sz w:val="20"/>
              </w:rPr>
              <w:t>T18.0,</w:t>
            </w:r>
            <w:r>
              <w:rPr>
                <w:spacing w:val="-5"/>
                <w:sz w:val="20"/>
              </w:rPr>
              <w:t> </w:t>
            </w:r>
            <w:r>
              <w:rPr>
                <w:sz w:val="20"/>
              </w:rPr>
              <w:t>T18.1,</w:t>
            </w:r>
            <w:r>
              <w:rPr>
                <w:spacing w:val="-5"/>
                <w:sz w:val="20"/>
              </w:rPr>
              <w:t> </w:t>
            </w:r>
            <w:r>
              <w:rPr>
                <w:sz w:val="20"/>
              </w:rPr>
              <w:t>T18.2,</w:t>
            </w:r>
            <w:r>
              <w:rPr>
                <w:spacing w:val="-5"/>
                <w:sz w:val="20"/>
              </w:rPr>
              <w:t> </w:t>
            </w:r>
            <w:r>
              <w:rPr>
                <w:sz w:val="20"/>
              </w:rPr>
              <w:t>T18.3,</w:t>
            </w:r>
            <w:r>
              <w:rPr>
                <w:spacing w:val="-5"/>
                <w:sz w:val="20"/>
              </w:rPr>
              <w:t> </w:t>
            </w:r>
            <w:r>
              <w:rPr>
                <w:spacing w:val="-2"/>
                <w:sz w:val="20"/>
              </w:rPr>
              <w:t>T18.4,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51"/>
              <w:rPr>
                <w:sz w:val="20"/>
              </w:rPr>
            </w:pPr>
            <w:r>
              <w:rPr>
                <w:sz w:val="20"/>
              </w:rPr>
              <w:t>T18.5,</w:t>
            </w:r>
            <w:r>
              <w:rPr>
                <w:spacing w:val="-6"/>
                <w:sz w:val="20"/>
              </w:rPr>
              <w:t> </w:t>
            </w:r>
            <w:r>
              <w:rPr>
                <w:sz w:val="20"/>
              </w:rPr>
              <w:t>T18.8,</w:t>
            </w:r>
            <w:r>
              <w:rPr>
                <w:spacing w:val="-4"/>
                <w:sz w:val="20"/>
              </w:rPr>
              <w:t> </w:t>
            </w:r>
            <w:r>
              <w:rPr>
                <w:sz w:val="20"/>
              </w:rPr>
              <w:t>T18.9,</w:t>
            </w:r>
            <w:r>
              <w:rPr>
                <w:spacing w:val="-4"/>
                <w:sz w:val="20"/>
              </w:rPr>
              <w:t> </w:t>
            </w:r>
            <w:r>
              <w:rPr>
                <w:sz w:val="20"/>
              </w:rPr>
              <w:t>T28.0,</w:t>
            </w:r>
            <w:r>
              <w:rPr>
                <w:spacing w:val="-4"/>
                <w:sz w:val="20"/>
              </w:rPr>
              <w:t> </w:t>
            </w:r>
            <w:r>
              <w:rPr>
                <w:sz w:val="20"/>
              </w:rPr>
              <w:t>T28.1,</w:t>
            </w:r>
            <w:r>
              <w:rPr>
                <w:spacing w:val="-4"/>
                <w:sz w:val="20"/>
              </w:rPr>
              <w:t> </w:t>
            </w:r>
            <w:r>
              <w:rPr>
                <w:sz w:val="20"/>
              </w:rPr>
              <w:t>T28.2,</w:t>
            </w:r>
            <w:r>
              <w:rPr>
                <w:spacing w:val="-4"/>
                <w:sz w:val="20"/>
              </w:rPr>
              <w:t> </w:t>
            </w:r>
            <w:r>
              <w:rPr>
                <w:spacing w:val="-2"/>
                <w:sz w:val="20"/>
              </w:rPr>
              <w:t>T28.4,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26" w:lineRule="exact"/>
              <w:ind w:left="175"/>
              <w:rPr>
                <w:sz w:val="20"/>
              </w:rPr>
            </w:pPr>
            <w:r>
              <w:rPr>
                <w:sz w:val="20"/>
              </w:rPr>
              <w:t>T28.5,</w:t>
            </w:r>
            <w:r>
              <w:rPr>
                <w:spacing w:val="-7"/>
                <w:sz w:val="20"/>
              </w:rPr>
              <w:t> </w:t>
            </w:r>
            <w:r>
              <w:rPr>
                <w:sz w:val="20"/>
              </w:rPr>
              <w:t>T28.6,</w:t>
            </w:r>
            <w:r>
              <w:rPr>
                <w:spacing w:val="-5"/>
                <w:sz w:val="20"/>
              </w:rPr>
              <w:t> </w:t>
            </w:r>
            <w:r>
              <w:rPr>
                <w:sz w:val="20"/>
              </w:rPr>
              <w:t>T28.7,</w:t>
            </w:r>
            <w:r>
              <w:rPr>
                <w:spacing w:val="-5"/>
                <w:sz w:val="20"/>
              </w:rPr>
              <w:t> </w:t>
            </w:r>
            <w:r>
              <w:rPr>
                <w:sz w:val="20"/>
              </w:rPr>
              <w:t>T28.9,</w:t>
            </w:r>
            <w:r>
              <w:rPr>
                <w:spacing w:val="-5"/>
                <w:sz w:val="20"/>
              </w:rPr>
              <w:t> </w:t>
            </w:r>
            <w:r>
              <w:rPr>
                <w:sz w:val="20"/>
              </w:rPr>
              <w:t>T85.5,</w:t>
            </w:r>
            <w:r>
              <w:rPr>
                <w:spacing w:val="-5"/>
                <w:sz w:val="20"/>
              </w:rPr>
              <w:t> </w:t>
            </w:r>
            <w:r>
              <w:rPr>
                <w:sz w:val="20"/>
              </w:rPr>
              <w:t>T85.6,</w:t>
            </w:r>
            <w:r>
              <w:rPr>
                <w:spacing w:val="-5"/>
                <w:sz w:val="20"/>
              </w:rPr>
              <w:t> </w:t>
            </w:r>
            <w:r>
              <w:rPr>
                <w:spacing w:val="-4"/>
                <w:sz w:val="20"/>
              </w:rPr>
              <w:t>T91.5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330" w:hRule="atLeast"/>
        </w:trPr>
        <w:tc>
          <w:tcPr>
            <w:tcW w:w="1003" w:type="dxa"/>
          </w:tcPr>
          <w:p>
            <w:pPr>
              <w:pStyle w:val="TableParagraph"/>
              <w:spacing w:before="46"/>
              <w:ind w:left="39" w:right="211"/>
              <w:jc w:val="center"/>
              <w:rPr>
                <w:sz w:val="20"/>
              </w:rPr>
            </w:pPr>
            <w:r>
              <w:rPr>
                <w:spacing w:val="-4"/>
                <w:sz w:val="20"/>
              </w:rPr>
              <w:t>ds05</w:t>
            </w:r>
          </w:p>
        </w:tc>
        <w:tc>
          <w:tcPr>
            <w:tcW w:w="645" w:type="dxa"/>
          </w:tcPr>
          <w:p>
            <w:pPr>
              <w:pStyle w:val="TableParagraph"/>
              <w:spacing w:before="46"/>
              <w:ind w:left="7"/>
              <w:jc w:val="center"/>
              <w:rPr>
                <w:sz w:val="20"/>
              </w:rPr>
            </w:pPr>
            <w:r>
              <w:rPr>
                <w:w w:val="99"/>
                <w:sz w:val="20"/>
              </w:rPr>
              <w:t>5</w:t>
            </w:r>
          </w:p>
        </w:tc>
        <w:tc>
          <w:tcPr>
            <w:tcW w:w="2617" w:type="dxa"/>
          </w:tcPr>
          <w:p>
            <w:pPr>
              <w:pStyle w:val="TableParagraph"/>
              <w:rPr>
                <w:sz w:val="18"/>
              </w:rPr>
            </w:pPr>
          </w:p>
        </w:tc>
        <w:tc>
          <w:tcPr>
            <w:tcW w:w="5134" w:type="dxa"/>
          </w:tcPr>
          <w:p>
            <w:pPr>
              <w:pStyle w:val="TableParagraph"/>
              <w:spacing w:before="46"/>
              <w:ind w:left="3212"/>
              <w:rPr>
                <w:sz w:val="20"/>
              </w:rPr>
            </w:pPr>
            <w:r>
              <w:rPr>
                <w:spacing w:val="-2"/>
                <w:sz w:val="20"/>
              </w:rPr>
              <w:t>Гематология</w:t>
            </w:r>
          </w:p>
        </w:tc>
        <w:tc>
          <w:tcPr>
            <w:tcW w:w="2305" w:type="dxa"/>
          </w:tcPr>
          <w:p>
            <w:pPr>
              <w:pStyle w:val="TableParagraph"/>
              <w:rPr>
                <w:sz w:val="18"/>
              </w:rPr>
            </w:pPr>
          </w:p>
        </w:tc>
        <w:tc>
          <w:tcPr>
            <w:tcW w:w="2325" w:type="dxa"/>
          </w:tcPr>
          <w:p>
            <w:pPr>
              <w:pStyle w:val="TableParagraph"/>
              <w:rPr>
                <w:sz w:val="18"/>
              </w:rPr>
            </w:pPr>
          </w:p>
        </w:tc>
        <w:tc>
          <w:tcPr>
            <w:tcW w:w="1260" w:type="dxa"/>
          </w:tcPr>
          <w:p>
            <w:pPr>
              <w:pStyle w:val="TableParagraph"/>
              <w:spacing w:before="46"/>
              <w:ind w:right="42"/>
              <w:jc w:val="right"/>
              <w:rPr>
                <w:sz w:val="20"/>
              </w:rPr>
            </w:pPr>
            <w:r>
              <w:rPr>
                <w:spacing w:val="-4"/>
                <w:sz w:val="20"/>
              </w:rPr>
              <w:t>1,09</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ds05.001</w:t>
            </w:r>
          </w:p>
        </w:tc>
        <w:tc>
          <w:tcPr>
            <w:tcW w:w="645" w:type="dxa"/>
          </w:tcPr>
          <w:p>
            <w:pPr>
              <w:pStyle w:val="TableParagraph"/>
              <w:spacing w:line="215" w:lineRule="exact" w:before="45"/>
              <w:ind w:left="211" w:right="203"/>
              <w:jc w:val="center"/>
              <w:rPr>
                <w:sz w:val="20"/>
              </w:rPr>
            </w:pPr>
            <w:r>
              <w:rPr>
                <w:spacing w:val="-5"/>
                <w:sz w:val="20"/>
              </w:rPr>
              <w:t>13</w:t>
            </w:r>
          </w:p>
        </w:tc>
        <w:tc>
          <w:tcPr>
            <w:tcW w:w="2617" w:type="dxa"/>
          </w:tcPr>
          <w:p>
            <w:pPr>
              <w:pStyle w:val="TableParagraph"/>
              <w:spacing w:line="215" w:lineRule="exact" w:before="45"/>
              <w:ind w:left="219"/>
              <w:rPr>
                <w:sz w:val="20"/>
              </w:rPr>
            </w:pPr>
            <w:r>
              <w:rPr>
                <w:sz w:val="20"/>
              </w:rPr>
              <w:t>Болезни</w:t>
            </w:r>
            <w:r>
              <w:rPr>
                <w:spacing w:val="-8"/>
                <w:sz w:val="20"/>
              </w:rPr>
              <w:t> </w:t>
            </w:r>
            <w:r>
              <w:rPr>
                <w:sz w:val="20"/>
              </w:rPr>
              <w:t>крови</w:t>
            </w:r>
            <w:r>
              <w:rPr>
                <w:spacing w:val="-10"/>
                <w:sz w:val="20"/>
              </w:rPr>
              <w:t> </w:t>
            </w:r>
            <w:r>
              <w:rPr>
                <w:sz w:val="20"/>
              </w:rPr>
              <w:t>(уровень</w:t>
            </w:r>
            <w:r>
              <w:rPr>
                <w:spacing w:val="-9"/>
                <w:sz w:val="20"/>
              </w:rPr>
              <w:t> </w:t>
            </w:r>
            <w:r>
              <w:rPr>
                <w:spacing w:val="-5"/>
                <w:sz w:val="20"/>
              </w:rPr>
              <w:t>1)</w:t>
            </w:r>
          </w:p>
        </w:tc>
        <w:tc>
          <w:tcPr>
            <w:tcW w:w="5134" w:type="dxa"/>
          </w:tcPr>
          <w:p>
            <w:pPr>
              <w:pStyle w:val="TableParagraph"/>
              <w:spacing w:line="215" w:lineRule="exact" w:before="45"/>
              <w:ind w:left="223"/>
              <w:rPr>
                <w:sz w:val="20"/>
              </w:rPr>
            </w:pPr>
            <w:r>
              <w:rPr>
                <w:sz w:val="20"/>
              </w:rPr>
              <w:t>D50,</w:t>
            </w:r>
            <w:r>
              <w:rPr>
                <w:spacing w:val="-5"/>
                <w:sz w:val="20"/>
              </w:rPr>
              <w:t> </w:t>
            </w:r>
            <w:r>
              <w:rPr>
                <w:sz w:val="20"/>
              </w:rPr>
              <w:t>D50.0,</w:t>
            </w:r>
            <w:r>
              <w:rPr>
                <w:spacing w:val="-4"/>
                <w:sz w:val="20"/>
              </w:rPr>
              <w:t> </w:t>
            </w:r>
            <w:r>
              <w:rPr>
                <w:sz w:val="20"/>
              </w:rPr>
              <w:t>D50.1,</w:t>
            </w:r>
            <w:r>
              <w:rPr>
                <w:spacing w:val="-4"/>
                <w:sz w:val="20"/>
              </w:rPr>
              <w:t> </w:t>
            </w:r>
            <w:r>
              <w:rPr>
                <w:sz w:val="20"/>
              </w:rPr>
              <w:t>D50.8,</w:t>
            </w:r>
            <w:r>
              <w:rPr>
                <w:spacing w:val="-4"/>
                <w:sz w:val="20"/>
              </w:rPr>
              <w:t> </w:t>
            </w:r>
            <w:r>
              <w:rPr>
                <w:sz w:val="20"/>
              </w:rPr>
              <w:t>D50.9,</w:t>
            </w:r>
            <w:r>
              <w:rPr>
                <w:spacing w:val="-3"/>
                <w:sz w:val="20"/>
              </w:rPr>
              <w:t> </w:t>
            </w:r>
            <w:r>
              <w:rPr>
                <w:sz w:val="20"/>
              </w:rPr>
              <w:t>D51,</w:t>
            </w:r>
            <w:r>
              <w:rPr>
                <w:spacing w:val="-4"/>
                <w:sz w:val="20"/>
              </w:rPr>
              <w:t> </w:t>
            </w:r>
            <w:r>
              <w:rPr>
                <w:spacing w:val="-2"/>
                <w:sz w:val="20"/>
              </w:rPr>
              <w:t>D51.0,</w:t>
            </w:r>
          </w:p>
        </w:tc>
        <w:tc>
          <w:tcPr>
            <w:tcW w:w="2305" w:type="dxa"/>
          </w:tcPr>
          <w:p>
            <w:pPr>
              <w:pStyle w:val="TableParagraph"/>
              <w:spacing w:line="215" w:lineRule="exact" w:before="45"/>
              <w:ind w:right="551"/>
              <w:jc w:val="center"/>
              <w:rPr>
                <w:sz w:val="20"/>
              </w:rPr>
            </w:pPr>
            <w:r>
              <w:rPr>
                <w:w w:val="99"/>
                <w:sz w:val="20"/>
              </w:rPr>
              <w:t>-</w:t>
            </w:r>
          </w:p>
        </w:tc>
        <w:tc>
          <w:tcPr>
            <w:tcW w:w="2325" w:type="dxa"/>
          </w:tcPr>
          <w:p>
            <w:pPr>
              <w:pStyle w:val="TableParagraph"/>
              <w:spacing w:line="215" w:lineRule="exact" w:before="45"/>
              <w:ind w:left="549"/>
              <w:jc w:val="center"/>
              <w:rPr>
                <w:sz w:val="20"/>
              </w:rPr>
            </w:pPr>
            <w:r>
              <w:rPr>
                <w:w w:val="99"/>
                <w:sz w:val="20"/>
              </w:rPr>
              <w:t>-</w:t>
            </w:r>
          </w:p>
        </w:tc>
        <w:tc>
          <w:tcPr>
            <w:tcW w:w="1260" w:type="dxa"/>
          </w:tcPr>
          <w:p>
            <w:pPr>
              <w:pStyle w:val="TableParagraph"/>
              <w:spacing w:line="215" w:lineRule="exact" w:before="45"/>
              <w:ind w:right="42"/>
              <w:jc w:val="right"/>
              <w:rPr>
                <w:sz w:val="20"/>
              </w:rPr>
            </w:pPr>
            <w:r>
              <w:rPr>
                <w:spacing w:val="-4"/>
                <w:sz w:val="20"/>
              </w:rPr>
              <w:t>0,91</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10" w:lineRule="exact"/>
              <w:ind w:left="146"/>
              <w:rPr>
                <w:sz w:val="20"/>
              </w:rPr>
            </w:pPr>
            <w:r>
              <w:rPr>
                <w:sz w:val="20"/>
              </w:rPr>
              <w:t>D51.1,</w:t>
            </w:r>
            <w:r>
              <w:rPr>
                <w:spacing w:val="-4"/>
                <w:sz w:val="20"/>
              </w:rPr>
              <w:t> </w:t>
            </w:r>
            <w:r>
              <w:rPr>
                <w:sz w:val="20"/>
              </w:rPr>
              <w:t>D51.2,</w:t>
            </w:r>
            <w:r>
              <w:rPr>
                <w:spacing w:val="-5"/>
                <w:sz w:val="20"/>
              </w:rPr>
              <w:t> </w:t>
            </w:r>
            <w:r>
              <w:rPr>
                <w:sz w:val="20"/>
              </w:rPr>
              <w:t>D51.3,</w:t>
            </w:r>
            <w:r>
              <w:rPr>
                <w:spacing w:val="-3"/>
                <w:sz w:val="20"/>
              </w:rPr>
              <w:t> </w:t>
            </w:r>
            <w:r>
              <w:rPr>
                <w:sz w:val="20"/>
              </w:rPr>
              <w:t>D51.8,</w:t>
            </w:r>
            <w:r>
              <w:rPr>
                <w:spacing w:val="-5"/>
                <w:sz w:val="20"/>
              </w:rPr>
              <w:t> </w:t>
            </w:r>
            <w:r>
              <w:rPr>
                <w:sz w:val="20"/>
              </w:rPr>
              <w:t>D51.9,</w:t>
            </w:r>
            <w:r>
              <w:rPr>
                <w:spacing w:val="-2"/>
                <w:sz w:val="20"/>
              </w:rPr>
              <w:t> </w:t>
            </w:r>
            <w:r>
              <w:rPr>
                <w:sz w:val="20"/>
              </w:rPr>
              <w:t>D52,</w:t>
            </w:r>
            <w:r>
              <w:rPr>
                <w:spacing w:val="-4"/>
                <w:sz w:val="20"/>
              </w:rPr>
              <w:t> </w:t>
            </w:r>
            <w:r>
              <w:rPr>
                <w:spacing w:val="-2"/>
                <w:sz w:val="20"/>
              </w:rPr>
              <w:t>D52.0,</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10" w:lineRule="exact"/>
              <w:ind w:left="149"/>
              <w:rPr>
                <w:sz w:val="20"/>
              </w:rPr>
            </w:pPr>
            <w:r>
              <w:rPr>
                <w:sz w:val="20"/>
              </w:rPr>
              <w:t>D52.1,</w:t>
            </w:r>
            <w:r>
              <w:rPr>
                <w:spacing w:val="-5"/>
                <w:sz w:val="20"/>
              </w:rPr>
              <w:t> </w:t>
            </w:r>
            <w:r>
              <w:rPr>
                <w:sz w:val="20"/>
              </w:rPr>
              <w:t>D52.8,</w:t>
            </w:r>
            <w:r>
              <w:rPr>
                <w:spacing w:val="-6"/>
                <w:sz w:val="20"/>
              </w:rPr>
              <w:t> </w:t>
            </w:r>
            <w:r>
              <w:rPr>
                <w:sz w:val="20"/>
              </w:rPr>
              <w:t>D52.9,</w:t>
            </w:r>
            <w:r>
              <w:rPr>
                <w:spacing w:val="-4"/>
                <w:sz w:val="20"/>
              </w:rPr>
              <w:t> </w:t>
            </w:r>
            <w:r>
              <w:rPr>
                <w:sz w:val="20"/>
              </w:rPr>
              <w:t>D53,</w:t>
            </w:r>
            <w:r>
              <w:rPr>
                <w:spacing w:val="-4"/>
                <w:sz w:val="20"/>
              </w:rPr>
              <w:t> </w:t>
            </w:r>
            <w:r>
              <w:rPr>
                <w:sz w:val="20"/>
              </w:rPr>
              <w:t>D53.0,</w:t>
            </w:r>
            <w:r>
              <w:rPr>
                <w:spacing w:val="-3"/>
                <w:sz w:val="20"/>
              </w:rPr>
              <w:t> </w:t>
            </w:r>
            <w:r>
              <w:rPr>
                <w:sz w:val="20"/>
              </w:rPr>
              <w:t>D53.1,</w:t>
            </w:r>
            <w:r>
              <w:rPr>
                <w:spacing w:val="-5"/>
                <w:sz w:val="20"/>
              </w:rPr>
              <w:t> </w:t>
            </w:r>
            <w:r>
              <w:rPr>
                <w:spacing w:val="-2"/>
                <w:sz w:val="20"/>
              </w:rPr>
              <w:t>D53.2,</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10" w:lineRule="exact"/>
              <w:ind w:left="370"/>
              <w:rPr>
                <w:sz w:val="20"/>
              </w:rPr>
            </w:pPr>
            <w:r>
              <w:rPr>
                <w:sz w:val="20"/>
              </w:rPr>
              <w:t>D53.8,</w:t>
            </w:r>
            <w:r>
              <w:rPr>
                <w:spacing w:val="-4"/>
                <w:sz w:val="20"/>
              </w:rPr>
              <w:t> </w:t>
            </w:r>
            <w:r>
              <w:rPr>
                <w:sz w:val="20"/>
              </w:rPr>
              <w:t>D53.9,</w:t>
            </w:r>
            <w:r>
              <w:rPr>
                <w:spacing w:val="-5"/>
                <w:sz w:val="20"/>
              </w:rPr>
              <w:t> </w:t>
            </w:r>
            <w:r>
              <w:rPr>
                <w:sz w:val="20"/>
              </w:rPr>
              <w:t>D57.1,</w:t>
            </w:r>
            <w:r>
              <w:rPr>
                <w:spacing w:val="-3"/>
                <w:sz w:val="20"/>
              </w:rPr>
              <w:t> </w:t>
            </w:r>
            <w:r>
              <w:rPr>
                <w:sz w:val="20"/>
              </w:rPr>
              <w:t>D57.3,</w:t>
            </w:r>
            <w:r>
              <w:rPr>
                <w:spacing w:val="-5"/>
                <w:sz w:val="20"/>
              </w:rPr>
              <w:t> </w:t>
            </w:r>
            <w:r>
              <w:rPr>
                <w:sz w:val="20"/>
              </w:rPr>
              <w:t>D63.0,</w:t>
            </w:r>
            <w:r>
              <w:rPr>
                <w:spacing w:val="-2"/>
                <w:sz w:val="20"/>
              </w:rPr>
              <w:t> D63.8,</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09" w:lineRule="exact"/>
              <w:ind w:left="298"/>
              <w:rPr>
                <w:sz w:val="20"/>
              </w:rPr>
            </w:pPr>
            <w:r>
              <w:rPr>
                <w:sz w:val="20"/>
              </w:rPr>
              <w:t>D64.8,</w:t>
            </w:r>
            <w:r>
              <w:rPr>
                <w:spacing w:val="-4"/>
                <w:sz w:val="20"/>
              </w:rPr>
              <w:t> </w:t>
            </w:r>
            <w:r>
              <w:rPr>
                <w:sz w:val="20"/>
              </w:rPr>
              <w:t>D64.9,</w:t>
            </w:r>
            <w:r>
              <w:rPr>
                <w:spacing w:val="-6"/>
                <w:sz w:val="20"/>
              </w:rPr>
              <w:t> </w:t>
            </w:r>
            <w:r>
              <w:rPr>
                <w:sz w:val="20"/>
              </w:rPr>
              <w:t>D65,</w:t>
            </w:r>
            <w:r>
              <w:rPr>
                <w:spacing w:val="-3"/>
                <w:sz w:val="20"/>
              </w:rPr>
              <w:t> </w:t>
            </w:r>
            <w:r>
              <w:rPr>
                <w:sz w:val="20"/>
              </w:rPr>
              <w:t>D68,</w:t>
            </w:r>
            <w:r>
              <w:rPr>
                <w:spacing w:val="-4"/>
                <w:sz w:val="20"/>
              </w:rPr>
              <w:t> </w:t>
            </w:r>
            <w:r>
              <w:rPr>
                <w:sz w:val="20"/>
              </w:rPr>
              <w:t>D68.5,</w:t>
            </w:r>
            <w:r>
              <w:rPr>
                <w:spacing w:val="-4"/>
                <w:sz w:val="20"/>
              </w:rPr>
              <w:t> </w:t>
            </w:r>
            <w:r>
              <w:rPr>
                <w:sz w:val="20"/>
              </w:rPr>
              <w:t>D68.6,</w:t>
            </w:r>
            <w:r>
              <w:rPr>
                <w:spacing w:val="-3"/>
                <w:sz w:val="20"/>
              </w:rPr>
              <w:t> </w:t>
            </w:r>
            <w:r>
              <w:rPr>
                <w:spacing w:val="-4"/>
                <w:sz w:val="20"/>
              </w:rPr>
              <w:t>D70,</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09" w:lineRule="exact"/>
              <w:ind w:left="298"/>
              <w:rPr>
                <w:sz w:val="20"/>
              </w:rPr>
            </w:pPr>
            <w:r>
              <w:rPr>
                <w:sz w:val="20"/>
              </w:rPr>
              <w:t>D71,</w:t>
            </w:r>
            <w:r>
              <w:rPr>
                <w:spacing w:val="-4"/>
                <w:sz w:val="20"/>
              </w:rPr>
              <w:t> </w:t>
            </w:r>
            <w:r>
              <w:rPr>
                <w:sz w:val="20"/>
              </w:rPr>
              <w:t>D72,</w:t>
            </w:r>
            <w:r>
              <w:rPr>
                <w:spacing w:val="-5"/>
                <w:sz w:val="20"/>
              </w:rPr>
              <w:t> </w:t>
            </w:r>
            <w:r>
              <w:rPr>
                <w:sz w:val="20"/>
              </w:rPr>
              <w:t>D72.0,</w:t>
            </w:r>
            <w:r>
              <w:rPr>
                <w:spacing w:val="-4"/>
                <w:sz w:val="20"/>
              </w:rPr>
              <w:t> </w:t>
            </w:r>
            <w:r>
              <w:rPr>
                <w:sz w:val="20"/>
              </w:rPr>
              <w:t>D72.1,</w:t>
            </w:r>
            <w:r>
              <w:rPr>
                <w:spacing w:val="-3"/>
                <w:sz w:val="20"/>
              </w:rPr>
              <w:t> </w:t>
            </w:r>
            <w:r>
              <w:rPr>
                <w:sz w:val="20"/>
              </w:rPr>
              <w:t>D72.8,</w:t>
            </w:r>
            <w:r>
              <w:rPr>
                <w:spacing w:val="-4"/>
                <w:sz w:val="20"/>
              </w:rPr>
              <w:t> </w:t>
            </w:r>
            <w:r>
              <w:rPr>
                <w:sz w:val="20"/>
              </w:rPr>
              <w:t>D72.9,</w:t>
            </w:r>
            <w:r>
              <w:rPr>
                <w:spacing w:val="-3"/>
                <w:sz w:val="20"/>
              </w:rPr>
              <w:t> </w:t>
            </w:r>
            <w:r>
              <w:rPr>
                <w:spacing w:val="-4"/>
                <w:sz w:val="20"/>
              </w:rPr>
              <w:t>D73,</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05" w:lineRule="exact"/>
              <w:ind w:left="370"/>
              <w:rPr>
                <w:sz w:val="20"/>
              </w:rPr>
            </w:pPr>
            <w:r>
              <w:rPr>
                <w:sz w:val="20"/>
              </w:rPr>
              <w:t>D73.0,</w:t>
            </w:r>
            <w:r>
              <w:rPr>
                <w:spacing w:val="-4"/>
                <w:sz w:val="20"/>
              </w:rPr>
              <w:t> </w:t>
            </w:r>
            <w:r>
              <w:rPr>
                <w:sz w:val="20"/>
              </w:rPr>
              <w:t>D73.1,</w:t>
            </w:r>
            <w:r>
              <w:rPr>
                <w:spacing w:val="-5"/>
                <w:sz w:val="20"/>
              </w:rPr>
              <w:t> </w:t>
            </w:r>
            <w:r>
              <w:rPr>
                <w:sz w:val="20"/>
              </w:rPr>
              <w:t>D73.2,</w:t>
            </w:r>
            <w:r>
              <w:rPr>
                <w:spacing w:val="-3"/>
                <w:sz w:val="20"/>
              </w:rPr>
              <w:t> </w:t>
            </w:r>
            <w:r>
              <w:rPr>
                <w:sz w:val="20"/>
              </w:rPr>
              <w:t>D73.3,</w:t>
            </w:r>
            <w:r>
              <w:rPr>
                <w:spacing w:val="-5"/>
                <w:sz w:val="20"/>
              </w:rPr>
              <w:t> </w:t>
            </w:r>
            <w:r>
              <w:rPr>
                <w:sz w:val="20"/>
              </w:rPr>
              <w:t>D73.4,</w:t>
            </w:r>
            <w:r>
              <w:rPr>
                <w:spacing w:val="-2"/>
                <w:sz w:val="20"/>
              </w:rPr>
              <w:t> D73.5,</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5"/>
        <w:gridCol w:w="4346"/>
        <w:gridCol w:w="3857"/>
        <w:gridCol w:w="1586"/>
        <w:gridCol w:w="1261"/>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rPr>
                <w:sz w:val="18"/>
              </w:rPr>
            </w:pPr>
          </w:p>
        </w:tc>
        <w:tc>
          <w:tcPr>
            <w:tcW w:w="4346" w:type="dxa"/>
          </w:tcPr>
          <w:p>
            <w:pPr>
              <w:pStyle w:val="TableParagraph"/>
              <w:ind w:left="624" w:hanging="281"/>
              <w:rPr>
                <w:sz w:val="20"/>
              </w:rPr>
            </w:pPr>
            <w:r>
              <w:rPr>
                <w:sz w:val="20"/>
              </w:rPr>
              <w:t>D73.8,</w:t>
            </w:r>
            <w:r>
              <w:rPr>
                <w:spacing w:val="-6"/>
                <w:sz w:val="20"/>
              </w:rPr>
              <w:t> </w:t>
            </w:r>
            <w:r>
              <w:rPr>
                <w:sz w:val="20"/>
              </w:rPr>
              <w:t>D73.9,</w:t>
            </w:r>
            <w:r>
              <w:rPr>
                <w:spacing w:val="-8"/>
                <w:sz w:val="20"/>
              </w:rPr>
              <w:t> </w:t>
            </w:r>
            <w:r>
              <w:rPr>
                <w:sz w:val="20"/>
              </w:rPr>
              <w:t>D75,</w:t>
            </w:r>
            <w:r>
              <w:rPr>
                <w:spacing w:val="-6"/>
                <w:sz w:val="20"/>
              </w:rPr>
              <w:t> </w:t>
            </w:r>
            <w:r>
              <w:rPr>
                <w:sz w:val="20"/>
              </w:rPr>
              <w:t>D75.9,</w:t>
            </w:r>
            <w:r>
              <w:rPr>
                <w:spacing w:val="-6"/>
                <w:sz w:val="20"/>
              </w:rPr>
              <w:t> </w:t>
            </w:r>
            <w:r>
              <w:rPr>
                <w:sz w:val="20"/>
              </w:rPr>
              <w:t>D77,</w:t>
            </w:r>
            <w:r>
              <w:rPr>
                <w:spacing w:val="-6"/>
                <w:sz w:val="20"/>
              </w:rPr>
              <w:t> </w:t>
            </w:r>
            <w:r>
              <w:rPr>
                <w:sz w:val="20"/>
              </w:rPr>
              <w:t>E32,</w:t>
            </w:r>
            <w:r>
              <w:rPr>
                <w:spacing w:val="-6"/>
                <w:sz w:val="20"/>
              </w:rPr>
              <w:t> </w:t>
            </w:r>
            <w:r>
              <w:rPr>
                <w:sz w:val="20"/>
              </w:rPr>
              <w:t>E32.0, E32.1, E32.8, E32.9, E88.0, R71, R72</w:t>
            </w:r>
          </w:p>
        </w:tc>
        <w:tc>
          <w:tcPr>
            <w:tcW w:w="3857" w:type="dxa"/>
          </w:tcPr>
          <w:p>
            <w:pPr>
              <w:pStyle w:val="TableParagraph"/>
              <w:rPr>
                <w:sz w:val="18"/>
              </w:rPr>
            </w:pPr>
          </w:p>
        </w:tc>
        <w:tc>
          <w:tcPr>
            <w:tcW w:w="1586" w:type="dxa"/>
          </w:tcPr>
          <w:p>
            <w:pPr>
              <w:pStyle w:val="TableParagraph"/>
              <w:rPr>
                <w:sz w:val="18"/>
              </w:rPr>
            </w:pPr>
          </w:p>
        </w:tc>
        <w:tc>
          <w:tcPr>
            <w:tcW w:w="1261" w:type="dxa"/>
          </w:tcPr>
          <w:p>
            <w:pPr>
              <w:pStyle w:val="TableParagraph"/>
              <w:rPr>
                <w:sz w:val="18"/>
              </w:rPr>
            </w:pP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ds05.002</w:t>
            </w:r>
          </w:p>
        </w:tc>
        <w:tc>
          <w:tcPr>
            <w:tcW w:w="645" w:type="dxa"/>
          </w:tcPr>
          <w:p>
            <w:pPr>
              <w:pStyle w:val="TableParagraph"/>
              <w:spacing w:line="215" w:lineRule="exact" w:before="45"/>
              <w:ind w:left="211" w:right="203"/>
              <w:jc w:val="center"/>
              <w:rPr>
                <w:sz w:val="20"/>
              </w:rPr>
            </w:pPr>
            <w:r>
              <w:rPr>
                <w:spacing w:val="-5"/>
                <w:sz w:val="20"/>
              </w:rPr>
              <w:t>14</w:t>
            </w:r>
          </w:p>
        </w:tc>
        <w:tc>
          <w:tcPr>
            <w:tcW w:w="2595" w:type="dxa"/>
          </w:tcPr>
          <w:p>
            <w:pPr>
              <w:pStyle w:val="TableParagraph"/>
              <w:spacing w:line="215" w:lineRule="exact" w:before="45"/>
              <w:ind w:left="219"/>
              <w:rPr>
                <w:sz w:val="20"/>
              </w:rPr>
            </w:pPr>
            <w:r>
              <w:rPr>
                <w:sz w:val="20"/>
              </w:rPr>
              <w:t>Болезни</w:t>
            </w:r>
            <w:r>
              <w:rPr>
                <w:spacing w:val="-8"/>
                <w:sz w:val="20"/>
              </w:rPr>
              <w:t> </w:t>
            </w:r>
            <w:r>
              <w:rPr>
                <w:sz w:val="20"/>
              </w:rPr>
              <w:t>крови</w:t>
            </w:r>
            <w:r>
              <w:rPr>
                <w:spacing w:val="-10"/>
                <w:sz w:val="20"/>
              </w:rPr>
              <w:t> </w:t>
            </w:r>
            <w:r>
              <w:rPr>
                <w:sz w:val="20"/>
              </w:rPr>
              <w:t>(уровень</w:t>
            </w:r>
            <w:r>
              <w:rPr>
                <w:spacing w:val="-9"/>
                <w:sz w:val="20"/>
              </w:rPr>
              <w:t> </w:t>
            </w:r>
            <w:r>
              <w:rPr>
                <w:spacing w:val="-5"/>
                <w:sz w:val="20"/>
              </w:rPr>
              <w:t>2)</w:t>
            </w:r>
          </w:p>
        </w:tc>
        <w:tc>
          <w:tcPr>
            <w:tcW w:w="4346" w:type="dxa"/>
          </w:tcPr>
          <w:p>
            <w:pPr>
              <w:pStyle w:val="TableParagraph"/>
              <w:spacing w:line="215" w:lineRule="exact" w:before="45"/>
              <w:ind w:right="217"/>
              <w:jc w:val="right"/>
              <w:rPr>
                <w:sz w:val="20"/>
              </w:rPr>
            </w:pPr>
            <w:r>
              <w:rPr>
                <w:sz w:val="20"/>
              </w:rPr>
              <w:t>D55,</w:t>
            </w:r>
            <w:r>
              <w:rPr>
                <w:spacing w:val="-6"/>
                <w:sz w:val="20"/>
              </w:rPr>
              <w:t> </w:t>
            </w:r>
            <w:r>
              <w:rPr>
                <w:sz w:val="20"/>
              </w:rPr>
              <w:t>D55.0,</w:t>
            </w:r>
            <w:r>
              <w:rPr>
                <w:spacing w:val="-6"/>
                <w:sz w:val="20"/>
              </w:rPr>
              <w:t> </w:t>
            </w:r>
            <w:r>
              <w:rPr>
                <w:sz w:val="20"/>
              </w:rPr>
              <w:t>D55.1,</w:t>
            </w:r>
            <w:r>
              <w:rPr>
                <w:spacing w:val="-5"/>
                <w:sz w:val="20"/>
              </w:rPr>
              <w:t> </w:t>
            </w:r>
            <w:r>
              <w:rPr>
                <w:sz w:val="20"/>
              </w:rPr>
              <w:t>D55.2,</w:t>
            </w:r>
            <w:r>
              <w:rPr>
                <w:spacing w:val="-6"/>
                <w:sz w:val="20"/>
              </w:rPr>
              <w:t> </w:t>
            </w:r>
            <w:r>
              <w:rPr>
                <w:sz w:val="20"/>
              </w:rPr>
              <w:t>D55.3,</w:t>
            </w:r>
            <w:r>
              <w:rPr>
                <w:spacing w:val="-5"/>
                <w:sz w:val="20"/>
              </w:rPr>
              <w:t> </w:t>
            </w:r>
            <w:r>
              <w:rPr>
                <w:sz w:val="20"/>
              </w:rPr>
              <w:t>D55.8,</w:t>
            </w:r>
            <w:r>
              <w:rPr>
                <w:spacing w:val="-6"/>
                <w:sz w:val="20"/>
              </w:rPr>
              <w:t> </w:t>
            </w:r>
            <w:r>
              <w:rPr>
                <w:spacing w:val="-2"/>
                <w:sz w:val="20"/>
              </w:rPr>
              <w:t>D55.9,</w:t>
            </w:r>
          </w:p>
        </w:tc>
        <w:tc>
          <w:tcPr>
            <w:tcW w:w="3857" w:type="dxa"/>
          </w:tcPr>
          <w:p>
            <w:pPr>
              <w:pStyle w:val="TableParagraph"/>
              <w:spacing w:line="215" w:lineRule="exact" w:before="45"/>
              <w:ind w:right="483"/>
              <w:jc w:val="center"/>
              <w:rPr>
                <w:sz w:val="20"/>
              </w:rPr>
            </w:pPr>
            <w:r>
              <w:rPr>
                <w:w w:val="99"/>
                <w:sz w:val="20"/>
              </w:rPr>
              <w:t>-</w:t>
            </w:r>
          </w:p>
        </w:tc>
        <w:tc>
          <w:tcPr>
            <w:tcW w:w="1586" w:type="dxa"/>
          </w:tcPr>
          <w:p>
            <w:pPr>
              <w:pStyle w:val="TableParagraph"/>
              <w:spacing w:line="215" w:lineRule="exact" w:before="45"/>
              <w:ind w:left="662"/>
              <w:rPr>
                <w:sz w:val="20"/>
              </w:rPr>
            </w:pPr>
            <w:r>
              <w:rPr>
                <w:w w:val="99"/>
                <w:sz w:val="20"/>
              </w:rPr>
              <w:t>-</w:t>
            </w:r>
          </w:p>
        </w:tc>
        <w:tc>
          <w:tcPr>
            <w:tcW w:w="1261" w:type="dxa"/>
          </w:tcPr>
          <w:p>
            <w:pPr>
              <w:pStyle w:val="TableParagraph"/>
              <w:spacing w:line="215" w:lineRule="exact" w:before="45"/>
              <w:ind w:right="46"/>
              <w:jc w:val="right"/>
              <w:rPr>
                <w:sz w:val="20"/>
              </w:rPr>
            </w:pPr>
            <w:r>
              <w:rPr>
                <w:spacing w:val="-4"/>
                <w:sz w:val="20"/>
              </w:rPr>
              <w:t>2,41</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7"/>
              <w:jc w:val="right"/>
              <w:rPr>
                <w:sz w:val="20"/>
              </w:rPr>
            </w:pPr>
            <w:r>
              <w:rPr>
                <w:sz w:val="20"/>
              </w:rPr>
              <w:t>D56,</w:t>
            </w:r>
            <w:r>
              <w:rPr>
                <w:spacing w:val="-6"/>
                <w:sz w:val="20"/>
              </w:rPr>
              <w:t> </w:t>
            </w:r>
            <w:r>
              <w:rPr>
                <w:sz w:val="20"/>
              </w:rPr>
              <w:t>D56.0,</w:t>
            </w:r>
            <w:r>
              <w:rPr>
                <w:spacing w:val="-6"/>
                <w:sz w:val="20"/>
              </w:rPr>
              <w:t> </w:t>
            </w:r>
            <w:r>
              <w:rPr>
                <w:sz w:val="20"/>
              </w:rPr>
              <w:t>D56.1,</w:t>
            </w:r>
            <w:r>
              <w:rPr>
                <w:spacing w:val="-5"/>
                <w:sz w:val="20"/>
              </w:rPr>
              <w:t> </w:t>
            </w:r>
            <w:r>
              <w:rPr>
                <w:sz w:val="20"/>
              </w:rPr>
              <w:t>D56.2,</w:t>
            </w:r>
            <w:r>
              <w:rPr>
                <w:spacing w:val="-6"/>
                <w:sz w:val="20"/>
              </w:rPr>
              <w:t> </w:t>
            </w:r>
            <w:r>
              <w:rPr>
                <w:sz w:val="20"/>
              </w:rPr>
              <w:t>D56.3,</w:t>
            </w:r>
            <w:r>
              <w:rPr>
                <w:spacing w:val="-5"/>
                <w:sz w:val="20"/>
              </w:rPr>
              <w:t> </w:t>
            </w:r>
            <w:r>
              <w:rPr>
                <w:sz w:val="20"/>
              </w:rPr>
              <w:t>D56.4,</w:t>
            </w:r>
            <w:r>
              <w:rPr>
                <w:spacing w:val="-6"/>
                <w:sz w:val="20"/>
              </w:rPr>
              <w:t> </w:t>
            </w:r>
            <w:r>
              <w:rPr>
                <w:spacing w:val="-2"/>
                <w:sz w:val="20"/>
              </w:rPr>
              <w:t>D56.8,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5"/>
              <w:rPr>
                <w:sz w:val="20"/>
              </w:rPr>
            </w:pPr>
            <w:r>
              <w:rPr>
                <w:sz w:val="20"/>
              </w:rPr>
              <w:t>D56.9,</w:t>
            </w:r>
            <w:r>
              <w:rPr>
                <w:spacing w:val="-5"/>
                <w:sz w:val="20"/>
              </w:rPr>
              <w:t> </w:t>
            </w:r>
            <w:r>
              <w:rPr>
                <w:sz w:val="20"/>
              </w:rPr>
              <w:t>D57,</w:t>
            </w:r>
            <w:r>
              <w:rPr>
                <w:spacing w:val="-5"/>
                <w:sz w:val="20"/>
              </w:rPr>
              <w:t> </w:t>
            </w:r>
            <w:r>
              <w:rPr>
                <w:sz w:val="20"/>
              </w:rPr>
              <w:t>D57.0,</w:t>
            </w:r>
            <w:r>
              <w:rPr>
                <w:spacing w:val="-5"/>
                <w:sz w:val="20"/>
              </w:rPr>
              <w:t> </w:t>
            </w:r>
            <w:r>
              <w:rPr>
                <w:sz w:val="20"/>
              </w:rPr>
              <w:t>D57.2,</w:t>
            </w:r>
            <w:r>
              <w:rPr>
                <w:spacing w:val="-5"/>
                <w:sz w:val="20"/>
              </w:rPr>
              <w:t> </w:t>
            </w:r>
            <w:r>
              <w:rPr>
                <w:sz w:val="20"/>
              </w:rPr>
              <w:t>D57.8,</w:t>
            </w:r>
            <w:r>
              <w:rPr>
                <w:spacing w:val="-5"/>
                <w:sz w:val="20"/>
              </w:rPr>
              <w:t> </w:t>
            </w:r>
            <w:r>
              <w:rPr>
                <w:sz w:val="20"/>
              </w:rPr>
              <w:t>D58,</w:t>
            </w:r>
            <w:r>
              <w:rPr>
                <w:spacing w:val="-5"/>
                <w:sz w:val="20"/>
              </w:rPr>
              <w:t> </w:t>
            </w:r>
            <w:r>
              <w:rPr>
                <w:spacing w:val="-2"/>
                <w:sz w:val="20"/>
              </w:rPr>
              <w:t>D58.0,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left="392"/>
              <w:rPr>
                <w:sz w:val="20"/>
              </w:rPr>
            </w:pPr>
            <w:r>
              <w:rPr>
                <w:sz w:val="20"/>
              </w:rPr>
              <w:t>D58.1,</w:t>
            </w:r>
            <w:r>
              <w:rPr>
                <w:spacing w:val="-4"/>
                <w:sz w:val="20"/>
              </w:rPr>
              <w:t> </w:t>
            </w:r>
            <w:r>
              <w:rPr>
                <w:sz w:val="20"/>
              </w:rPr>
              <w:t>D58.2,</w:t>
            </w:r>
            <w:r>
              <w:rPr>
                <w:spacing w:val="-6"/>
                <w:sz w:val="20"/>
              </w:rPr>
              <w:t> </w:t>
            </w:r>
            <w:r>
              <w:rPr>
                <w:sz w:val="20"/>
              </w:rPr>
              <w:t>D58.8,</w:t>
            </w:r>
            <w:r>
              <w:rPr>
                <w:spacing w:val="-4"/>
                <w:sz w:val="20"/>
              </w:rPr>
              <w:t> </w:t>
            </w:r>
            <w:r>
              <w:rPr>
                <w:sz w:val="20"/>
              </w:rPr>
              <w:t>D58.9,</w:t>
            </w:r>
            <w:r>
              <w:rPr>
                <w:spacing w:val="-2"/>
                <w:sz w:val="20"/>
              </w:rPr>
              <w:t> </w:t>
            </w:r>
            <w:r>
              <w:rPr>
                <w:sz w:val="20"/>
              </w:rPr>
              <w:t>D59.0,</w:t>
            </w:r>
            <w:r>
              <w:rPr>
                <w:spacing w:val="-4"/>
                <w:sz w:val="20"/>
              </w:rPr>
              <w:t> </w:t>
            </w:r>
            <w:r>
              <w:rPr>
                <w:spacing w:val="-2"/>
                <w:sz w:val="20"/>
              </w:rPr>
              <w:t>D59.1,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left="392"/>
              <w:rPr>
                <w:sz w:val="20"/>
              </w:rPr>
            </w:pPr>
            <w:r>
              <w:rPr>
                <w:sz w:val="20"/>
              </w:rPr>
              <w:t>D59.2,</w:t>
            </w:r>
            <w:r>
              <w:rPr>
                <w:spacing w:val="-4"/>
                <w:sz w:val="20"/>
              </w:rPr>
              <w:t> </w:t>
            </w:r>
            <w:r>
              <w:rPr>
                <w:sz w:val="20"/>
              </w:rPr>
              <w:t>D59.3,</w:t>
            </w:r>
            <w:r>
              <w:rPr>
                <w:spacing w:val="-6"/>
                <w:sz w:val="20"/>
              </w:rPr>
              <w:t> </w:t>
            </w:r>
            <w:r>
              <w:rPr>
                <w:sz w:val="20"/>
              </w:rPr>
              <w:t>D59.4,</w:t>
            </w:r>
            <w:r>
              <w:rPr>
                <w:spacing w:val="-4"/>
                <w:sz w:val="20"/>
              </w:rPr>
              <w:t> </w:t>
            </w:r>
            <w:r>
              <w:rPr>
                <w:sz w:val="20"/>
              </w:rPr>
              <w:t>D59.5,</w:t>
            </w:r>
            <w:r>
              <w:rPr>
                <w:spacing w:val="-6"/>
                <w:sz w:val="20"/>
              </w:rPr>
              <w:t> </w:t>
            </w:r>
            <w:r>
              <w:rPr>
                <w:sz w:val="20"/>
              </w:rPr>
              <w:t>D59.6,</w:t>
            </w:r>
            <w:r>
              <w:rPr>
                <w:spacing w:val="-4"/>
                <w:sz w:val="20"/>
              </w:rPr>
              <w:t> </w:t>
            </w:r>
            <w:r>
              <w:rPr>
                <w:spacing w:val="-2"/>
                <w:sz w:val="20"/>
              </w:rPr>
              <w:t>D59.8,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1" w:lineRule="exact"/>
              <w:ind w:left="245"/>
              <w:rPr>
                <w:sz w:val="20"/>
              </w:rPr>
            </w:pPr>
            <w:r>
              <w:rPr>
                <w:sz w:val="20"/>
              </w:rPr>
              <w:t>D59.9,</w:t>
            </w:r>
            <w:r>
              <w:rPr>
                <w:spacing w:val="-6"/>
                <w:sz w:val="20"/>
              </w:rPr>
              <w:t> </w:t>
            </w:r>
            <w:r>
              <w:rPr>
                <w:sz w:val="20"/>
              </w:rPr>
              <w:t>D60,</w:t>
            </w:r>
            <w:r>
              <w:rPr>
                <w:spacing w:val="-6"/>
                <w:sz w:val="20"/>
              </w:rPr>
              <w:t> </w:t>
            </w:r>
            <w:r>
              <w:rPr>
                <w:sz w:val="20"/>
              </w:rPr>
              <w:t>D60.0,</w:t>
            </w:r>
            <w:r>
              <w:rPr>
                <w:spacing w:val="-5"/>
                <w:sz w:val="20"/>
              </w:rPr>
              <w:t> </w:t>
            </w:r>
            <w:r>
              <w:rPr>
                <w:sz w:val="20"/>
              </w:rPr>
              <w:t>D60.1,</w:t>
            </w:r>
            <w:r>
              <w:rPr>
                <w:spacing w:val="-6"/>
                <w:sz w:val="20"/>
              </w:rPr>
              <w:t> </w:t>
            </w:r>
            <w:r>
              <w:rPr>
                <w:sz w:val="20"/>
              </w:rPr>
              <w:t>D60.8,</w:t>
            </w:r>
            <w:r>
              <w:rPr>
                <w:spacing w:val="-5"/>
                <w:sz w:val="20"/>
              </w:rPr>
              <w:t> </w:t>
            </w:r>
            <w:r>
              <w:rPr>
                <w:sz w:val="20"/>
              </w:rPr>
              <w:t>D60.9,</w:t>
            </w:r>
            <w:r>
              <w:rPr>
                <w:spacing w:val="-6"/>
                <w:sz w:val="20"/>
              </w:rPr>
              <w:t> </w:t>
            </w:r>
            <w:r>
              <w:rPr>
                <w:spacing w:val="-4"/>
                <w:sz w:val="20"/>
              </w:rPr>
              <w:t>D61,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7"/>
              <w:jc w:val="right"/>
              <w:rPr>
                <w:sz w:val="20"/>
              </w:rPr>
            </w:pPr>
            <w:r>
              <w:rPr>
                <w:sz w:val="20"/>
              </w:rPr>
              <w:t>D61.0,</w:t>
            </w:r>
            <w:r>
              <w:rPr>
                <w:spacing w:val="-5"/>
                <w:sz w:val="20"/>
              </w:rPr>
              <w:t> </w:t>
            </w:r>
            <w:r>
              <w:rPr>
                <w:sz w:val="20"/>
              </w:rPr>
              <w:t>D61.1,</w:t>
            </w:r>
            <w:r>
              <w:rPr>
                <w:spacing w:val="-5"/>
                <w:sz w:val="20"/>
              </w:rPr>
              <w:t> </w:t>
            </w:r>
            <w:r>
              <w:rPr>
                <w:sz w:val="20"/>
              </w:rPr>
              <w:t>D61.2,</w:t>
            </w:r>
            <w:r>
              <w:rPr>
                <w:spacing w:val="-4"/>
                <w:sz w:val="20"/>
              </w:rPr>
              <w:t> </w:t>
            </w:r>
            <w:r>
              <w:rPr>
                <w:sz w:val="20"/>
              </w:rPr>
              <w:t>D61.3,</w:t>
            </w:r>
            <w:r>
              <w:rPr>
                <w:spacing w:val="-6"/>
                <w:sz w:val="20"/>
              </w:rPr>
              <w:t> </w:t>
            </w:r>
            <w:r>
              <w:rPr>
                <w:sz w:val="20"/>
              </w:rPr>
              <w:t>D61.8,</w:t>
            </w:r>
            <w:r>
              <w:rPr>
                <w:spacing w:val="-4"/>
                <w:sz w:val="20"/>
              </w:rPr>
              <w:t> </w:t>
            </w:r>
            <w:r>
              <w:rPr>
                <w:sz w:val="20"/>
              </w:rPr>
              <w:t>D61.9,</w:t>
            </w:r>
            <w:r>
              <w:rPr>
                <w:spacing w:val="-6"/>
                <w:sz w:val="20"/>
              </w:rPr>
              <w:t> </w:t>
            </w:r>
            <w:r>
              <w:rPr>
                <w:spacing w:val="-4"/>
                <w:sz w:val="20"/>
              </w:rPr>
              <w:t>D62,</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5"/>
              <w:rPr>
                <w:sz w:val="20"/>
              </w:rPr>
            </w:pPr>
            <w:r>
              <w:rPr>
                <w:sz w:val="20"/>
              </w:rPr>
              <w:t>D63,</w:t>
            </w:r>
            <w:r>
              <w:rPr>
                <w:spacing w:val="-5"/>
                <w:sz w:val="20"/>
              </w:rPr>
              <w:t> </w:t>
            </w:r>
            <w:r>
              <w:rPr>
                <w:sz w:val="20"/>
              </w:rPr>
              <w:t>D64,</w:t>
            </w:r>
            <w:r>
              <w:rPr>
                <w:spacing w:val="-6"/>
                <w:sz w:val="20"/>
              </w:rPr>
              <w:t> </w:t>
            </w:r>
            <w:r>
              <w:rPr>
                <w:sz w:val="20"/>
              </w:rPr>
              <w:t>D64.0,</w:t>
            </w:r>
            <w:r>
              <w:rPr>
                <w:spacing w:val="-4"/>
                <w:sz w:val="20"/>
              </w:rPr>
              <w:t> </w:t>
            </w:r>
            <w:r>
              <w:rPr>
                <w:sz w:val="20"/>
              </w:rPr>
              <w:t>D64.1,</w:t>
            </w:r>
            <w:r>
              <w:rPr>
                <w:spacing w:val="-5"/>
                <w:sz w:val="20"/>
              </w:rPr>
              <w:t> </w:t>
            </w:r>
            <w:r>
              <w:rPr>
                <w:sz w:val="20"/>
              </w:rPr>
              <w:t>D64.2,</w:t>
            </w:r>
            <w:r>
              <w:rPr>
                <w:spacing w:val="-4"/>
                <w:sz w:val="20"/>
              </w:rPr>
              <w:t> </w:t>
            </w:r>
            <w:r>
              <w:rPr>
                <w:sz w:val="20"/>
              </w:rPr>
              <w:t>D64.3,</w:t>
            </w:r>
            <w:r>
              <w:rPr>
                <w:spacing w:val="-4"/>
                <w:sz w:val="20"/>
              </w:rPr>
              <w:t> </w:t>
            </w:r>
            <w:r>
              <w:rPr>
                <w:spacing w:val="-2"/>
                <w:sz w:val="20"/>
              </w:rPr>
              <w:t>D64.4,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5"/>
              <w:rPr>
                <w:sz w:val="20"/>
              </w:rPr>
            </w:pPr>
            <w:r>
              <w:rPr>
                <w:sz w:val="20"/>
              </w:rPr>
              <w:t>D66,</w:t>
            </w:r>
            <w:r>
              <w:rPr>
                <w:spacing w:val="-5"/>
                <w:sz w:val="20"/>
              </w:rPr>
              <w:t> </w:t>
            </w:r>
            <w:r>
              <w:rPr>
                <w:sz w:val="20"/>
              </w:rPr>
              <w:t>D67,</w:t>
            </w:r>
            <w:r>
              <w:rPr>
                <w:spacing w:val="-6"/>
                <w:sz w:val="20"/>
              </w:rPr>
              <w:t> </w:t>
            </w:r>
            <w:r>
              <w:rPr>
                <w:sz w:val="20"/>
              </w:rPr>
              <w:t>D68.0,</w:t>
            </w:r>
            <w:r>
              <w:rPr>
                <w:spacing w:val="-4"/>
                <w:sz w:val="20"/>
              </w:rPr>
              <w:t> </w:t>
            </w:r>
            <w:r>
              <w:rPr>
                <w:sz w:val="20"/>
              </w:rPr>
              <w:t>D68.1,</w:t>
            </w:r>
            <w:r>
              <w:rPr>
                <w:spacing w:val="-5"/>
                <w:sz w:val="20"/>
              </w:rPr>
              <w:t> </w:t>
            </w:r>
            <w:r>
              <w:rPr>
                <w:sz w:val="20"/>
              </w:rPr>
              <w:t>D68.2,</w:t>
            </w:r>
            <w:r>
              <w:rPr>
                <w:spacing w:val="-4"/>
                <w:sz w:val="20"/>
              </w:rPr>
              <w:t> </w:t>
            </w:r>
            <w:r>
              <w:rPr>
                <w:sz w:val="20"/>
              </w:rPr>
              <w:t>D68.3,</w:t>
            </w:r>
            <w:r>
              <w:rPr>
                <w:spacing w:val="-4"/>
                <w:sz w:val="20"/>
              </w:rPr>
              <w:t> </w:t>
            </w:r>
            <w:r>
              <w:rPr>
                <w:spacing w:val="-2"/>
                <w:sz w:val="20"/>
              </w:rPr>
              <w:t>D68.4,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5"/>
              <w:jc w:val="right"/>
              <w:rPr>
                <w:sz w:val="20"/>
              </w:rPr>
            </w:pPr>
            <w:r>
              <w:rPr>
                <w:sz w:val="20"/>
              </w:rPr>
              <w:t>D68.8,</w:t>
            </w:r>
            <w:r>
              <w:rPr>
                <w:spacing w:val="-5"/>
                <w:sz w:val="20"/>
              </w:rPr>
              <w:t> </w:t>
            </w:r>
            <w:r>
              <w:rPr>
                <w:sz w:val="20"/>
              </w:rPr>
              <w:t>D68.9,</w:t>
            </w:r>
            <w:r>
              <w:rPr>
                <w:spacing w:val="-7"/>
                <w:sz w:val="20"/>
              </w:rPr>
              <w:t> </w:t>
            </w:r>
            <w:r>
              <w:rPr>
                <w:sz w:val="20"/>
              </w:rPr>
              <w:t>D69,</w:t>
            </w:r>
            <w:r>
              <w:rPr>
                <w:spacing w:val="-5"/>
                <w:sz w:val="20"/>
              </w:rPr>
              <w:t> </w:t>
            </w:r>
            <w:r>
              <w:rPr>
                <w:sz w:val="20"/>
              </w:rPr>
              <w:t>D69.0,</w:t>
            </w:r>
            <w:r>
              <w:rPr>
                <w:spacing w:val="-5"/>
                <w:sz w:val="20"/>
              </w:rPr>
              <w:t> </w:t>
            </w:r>
            <w:r>
              <w:rPr>
                <w:sz w:val="20"/>
              </w:rPr>
              <w:t>D69.1,</w:t>
            </w:r>
            <w:r>
              <w:rPr>
                <w:spacing w:val="-5"/>
                <w:sz w:val="20"/>
              </w:rPr>
              <w:t> </w:t>
            </w:r>
            <w:r>
              <w:rPr>
                <w:sz w:val="20"/>
              </w:rPr>
              <w:t>D69.2,</w:t>
            </w:r>
            <w:r>
              <w:rPr>
                <w:spacing w:val="-5"/>
                <w:sz w:val="20"/>
              </w:rPr>
              <w:t> </w:t>
            </w:r>
            <w:r>
              <w:rPr>
                <w:spacing w:val="-2"/>
                <w:sz w:val="20"/>
              </w:rPr>
              <w:t>D69.3,</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7"/>
              <w:jc w:val="right"/>
              <w:rPr>
                <w:sz w:val="20"/>
              </w:rPr>
            </w:pPr>
            <w:r>
              <w:rPr>
                <w:sz w:val="20"/>
              </w:rPr>
              <w:t>D69.4,</w:t>
            </w:r>
            <w:r>
              <w:rPr>
                <w:spacing w:val="-4"/>
                <w:sz w:val="20"/>
              </w:rPr>
              <w:t> </w:t>
            </w:r>
            <w:r>
              <w:rPr>
                <w:sz w:val="20"/>
              </w:rPr>
              <w:t>D69.5,</w:t>
            </w:r>
            <w:r>
              <w:rPr>
                <w:spacing w:val="-6"/>
                <w:sz w:val="20"/>
              </w:rPr>
              <w:t> </w:t>
            </w:r>
            <w:r>
              <w:rPr>
                <w:sz w:val="20"/>
              </w:rPr>
              <w:t>D69.6,</w:t>
            </w:r>
            <w:r>
              <w:rPr>
                <w:spacing w:val="-4"/>
                <w:sz w:val="20"/>
              </w:rPr>
              <w:t> </w:t>
            </w:r>
            <w:r>
              <w:rPr>
                <w:sz w:val="20"/>
              </w:rPr>
              <w:t>D69.8,</w:t>
            </w:r>
            <w:r>
              <w:rPr>
                <w:spacing w:val="-6"/>
                <w:sz w:val="20"/>
              </w:rPr>
              <w:t> </w:t>
            </w:r>
            <w:r>
              <w:rPr>
                <w:sz w:val="20"/>
              </w:rPr>
              <w:t>D69.9,</w:t>
            </w:r>
            <w:r>
              <w:rPr>
                <w:spacing w:val="-4"/>
                <w:sz w:val="20"/>
              </w:rPr>
              <w:t> </w:t>
            </w:r>
            <w:r>
              <w:rPr>
                <w:sz w:val="20"/>
              </w:rPr>
              <w:t>D74,</w:t>
            </w:r>
            <w:r>
              <w:rPr>
                <w:spacing w:val="-4"/>
                <w:sz w:val="20"/>
              </w:rPr>
              <w:t> </w:t>
            </w:r>
            <w:r>
              <w:rPr>
                <w:spacing w:val="-2"/>
                <w:sz w:val="20"/>
              </w:rPr>
              <w:t>D74.0,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rPr>
                <w:sz w:val="18"/>
              </w:rPr>
            </w:pPr>
          </w:p>
        </w:tc>
        <w:tc>
          <w:tcPr>
            <w:tcW w:w="4346" w:type="dxa"/>
          </w:tcPr>
          <w:p>
            <w:pPr>
              <w:pStyle w:val="TableParagraph"/>
              <w:spacing w:line="226" w:lineRule="exact"/>
              <w:ind w:left="716"/>
              <w:rPr>
                <w:sz w:val="20"/>
              </w:rPr>
            </w:pPr>
            <w:r>
              <w:rPr>
                <w:sz w:val="20"/>
              </w:rPr>
              <w:t>D74.8,</w:t>
            </w:r>
            <w:r>
              <w:rPr>
                <w:spacing w:val="-5"/>
                <w:sz w:val="20"/>
              </w:rPr>
              <w:t> </w:t>
            </w:r>
            <w:r>
              <w:rPr>
                <w:sz w:val="20"/>
              </w:rPr>
              <w:t>D74.9,</w:t>
            </w:r>
            <w:r>
              <w:rPr>
                <w:spacing w:val="-6"/>
                <w:sz w:val="20"/>
              </w:rPr>
              <w:t> </w:t>
            </w:r>
            <w:r>
              <w:rPr>
                <w:sz w:val="20"/>
              </w:rPr>
              <w:t>D75.0,</w:t>
            </w:r>
            <w:r>
              <w:rPr>
                <w:spacing w:val="-4"/>
                <w:sz w:val="20"/>
              </w:rPr>
              <w:t> </w:t>
            </w:r>
            <w:r>
              <w:rPr>
                <w:sz w:val="20"/>
              </w:rPr>
              <w:t>D75.1,</w:t>
            </w:r>
            <w:r>
              <w:rPr>
                <w:spacing w:val="-6"/>
                <w:sz w:val="20"/>
              </w:rPr>
              <w:t> </w:t>
            </w:r>
            <w:r>
              <w:rPr>
                <w:spacing w:val="-4"/>
                <w:sz w:val="20"/>
              </w:rPr>
              <w:t>D75.8</w:t>
            </w:r>
          </w:p>
        </w:tc>
        <w:tc>
          <w:tcPr>
            <w:tcW w:w="3857" w:type="dxa"/>
          </w:tcPr>
          <w:p>
            <w:pPr>
              <w:pStyle w:val="TableParagraph"/>
              <w:rPr>
                <w:sz w:val="18"/>
              </w:rPr>
            </w:pPr>
          </w:p>
        </w:tc>
        <w:tc>
          <w:tcPr>
            <w:tcW w:w="1586" w:type="dxa"/>
          </w:tcPr>
          <w:p>
            <w:pPr>
              <w:pStyle w:val="TableParagraph"/>
              <w:rPr>
                <w:sz w:val="18"/>
              </w:rPr>
            </w:pPr>
          </w:p>
        </w:tc>
        <w:tc>
          <w:tcPr>
            <w:tcW w:w="1261" w:type="dxa"/>
          </w:tcPr>
          <w:p>
            <w:pPr>
              <w:pStyle w:val="TableParagraph"/>
              <w:rPr>
                <w:sz w:val="18"/>
              </w:rPr>
            </w:pPr>
          </w:p>
        </w:tc>
      </w:tr>
      <w:tr>
        <w:trPr>
          <w:trHeight w:val="330" w:hRule="atLeast"/>
        </w:trPr>
        <w:tc>
          <w:tcPr>
            <w:tcW w:w="1003" w:type="dxa"/>
          </w:tcPr>
          <w:p>
            <w:pPr>
              <w:pStyle w:val="TableParagraph"/>
              <w:spacing w:before="46"/>
              <w:ind w:left="39" w:right="212"/>
              <w:jc w:val="center"/>
              <w:rPr>
                <w:sz w:val="20"/>
              </w:rPr>
            </w:pPr>
            <w:r>
              <w:rPr>
                <w:spacing w:val="-2"/>
                <w:sz w:val="20"/>
              </w:rPr>
              <w:t>ds05.005</w:t>
            </w:r>
          </w:p>
        </w:tc>
        <w:tc>
          <w:tcPr>
            <w:tcW w:w="645" w:type="dxa"/>
          </w:tcPr>
          <w:p>
            <w:pPr>
              <w:pStyle w:val="TableParagraph"/>
              <w:spacing w:before="46"/>
              <w:ind w:left="211" w:right="203"/>
              <w:jc w:val="center"/>
              <w:rPr>
                <w:sz w:val="20"/>
              </w:rPr>
            </w:pPr>
            <w:r>
              <w:rPr>
                <w:spacing w:val="-5"/>
                <w:sz w:val="20"/>
              </w:rPr>
              <w:t>15</w:t>
            </w:r>
          </w:p>
        </w:tc>
        <w:tc>
          <w:tcPr>
            <w:tcW w:w="2595" w:type="dxa"/>
          </w:tcPr>
          <w:p>
            <w:pPr>
              <w:pStyle w:val="TableParagraph"/>
              <w:spacing w:line="215" w:lineRule="exact" w:before="46"/>
              <w:ind w:left="219"/>
              <w:rPr>
                <w:sz w:val="20"/>
              </w:rPr>
            </w:pPr>
            <w:r>
              <w:rPr>
                <w:w w:val="95"/>
                <w:sz w:val="20"/>
              </w:rPr>
              <w:t>Лекарственная</w:t>
            </w:r>
            <w:r>
              <w:rPr>
                <w:spacing w:val="49"/>
                <w:sz w:val="20"/>
              </w:rPr>
              <w:t> </w:t>
            </w:r>
            <w:r>
              <w:rPr>
                <w:spacing w:val="-2"/>
                <w:sz w:val="20"/>
              </w:rPr>
              <w:t>терапия</w:t>
            </w:r>
          </w:p>
        </w:tc>
        <w:tc>
          <w:tcPr>
            <w:tcW w:w="4346" w:type="dxa"/>
          </w:tcPr>
          <w:p>
            <w:pPr>
              <w:pStyle w:val="TableParagraph"/>
              <w:spacing w:before="46"/>
              <w:ind w:left="245" w:right="285"/>
              <w:jc w:val="center"/>
              <w:rPr>
                <w:sz w:val="20"/>
              </w:rPr>
            </w:pPr>
            <w:r>
              <w:rPr>
                <w:spacing w:val="-4"/>
                <w:sz w:val="20"/>
              </w:rPr>
              <w:t>D61.9</w:t>
            </w:r>
          </w:p>
        </w:tc>
        <w:tc>
          <w:tcPr>
            <w:tcW w:w="3857" w:type="dxa"/>
          </w:tcPr>
          <w:p>
            <w:pPr>
              <w:pStyle w:val="TableParagraph"/>
              <w:spacing w:before="46"/>
              <w:ind w:left="168" w:right="650"/>
              <w:jc w:val="center"/>
              <w:rPr>
                <w:sz w:val="20"/>
              </w:rPr>
            </w:pPr>
            <w:r>
              <w:rPr>
                <w:spacing w:val="-2"/>
                <w:sz w:val="20"/>
              </w:rPr>
              <w:t>A25.05.001</w:t>
            </w:r>
          </w:p>
        </w:tc>
        <w:tc>
          <w:tcPr>
            <w:tcW w:w="1586" w:type="dxa"/>
          </w:tcPr>
          <w:p>
            <w:pPr>
              <w:pStyle w:val="TableParagraph"/>
              <w:spacing w:before="46"/>
              <w:ind w:left="662"/>
              <w:rPr>
                <w:sz w:val="20"/>
              </w:rPr>
            </w:pPr>
            <w:r>
              <w:rPr>
                <w:w w:val="99"/>
                <w:sz w:val="20"/>
              </w:rPr>
              <w:t>-</w:t>
            </w:r>
          </w:p>
        </w:tc>
        <w:tc>
          <w:tcPr>
            <w:tcW w:w="1261" w:type="dxa"/>
          </w:tcPr>
          <w:p>
            <w:pPr>
              <w:pStyle w:val="TableParagraph"/>
              <w:spacing w:before="46"/>
              <w:ind w:right="46"/>
              <w:jc w:val="right"/>
              <w:rPr>
                <w:sz w:val="20"/>
              </w:rPr>
            </w:pPr>
            <w:r>
              <w:rPr>
                <w:spacing w:val="-4"/>
                <w:sz w:val="20"/>
              </w:rPr>
              <w:t>3,73</w:t>
            </w:r>
          </w:p>
        </w:tc>
      </w:tr>
      <w:tr>
        <w:trPr>
          <w:trHeight w:val="790"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ind w:left="219" w:right="318"/>
              <w:rPr>
                <w:sz w:val="20"/>
              </w:rPr>
            </w:pPr>
            <w:r>
              <w:rPr>
                <w:sz w:val="20"/>
              </w:rPr>
              <w:t>при</w:t>
            </w:r>
            <w:r>
              <w:rPr>
                <w:spacing w:val="-13"/>
                <w:sz w:val="20"/>
              </w:rPr>
              <w:t> </w:t>
            </w:r>
            <w:r>
              <w:rPr>
                <w:sz w:val="20"/>
              </w:rPr>
              <w:t>доброкачественных заболеваниях крови и пузырном заносе</w:t>
            </w:r>
          </w:p>
        </w:tc>
        <w:tc>
          <w:tcPr>
            <w:tcW w:w="4346" w:type="dxa"/>
          </w:tcPr>
          <w:p>
            <w:pPr>
              <w:pStyle w:val="TableParagraph"/>
              <w:spacing w:before="45"/>
              <w:ind w:left="245" w:right="288"/>
              <w:jc w:val="center"/>
              <w:rPr>
                <w:sz w:val="20"/>
              </w:rPr>
            </w:pPr>
            <w:r>
              <w:rPr>
                <w:sz w:val="20"/>
              </w:rPr>
              <w:t>D70,</w:t>
            </w:r>
            <w:r>
              <w:rPr>
                <w:spacing w:val="-5"/>
                <w:sz w:val="20"/>
              </w:rPr>
              <w:t> </w:t>
            </w:r>
            <w:r>
              <w:rPr>
                <w:sz w:val="20"/>
              </w:rPr>
              <w:t>D71,</w:t>
            </w:r>
            <w:r>
              <w:rPr>
                <w:spacing w:val="-6"/>
                <w:sz w:val="20"/>
              </w:rPr>
              <w:t> </w:t>
            </w:r>
            <w:r>
              <w:rPr>
                <w:sz w:val="20"/>
              </w:rPr>
              <w:t>D72.0,</w:t>
            </w:r>
            <w:r>
              <w:rPr>
                <w:spacing w:val="-4"/>
                <w:sz w:val="20"/>
              </w:rPr>
              <w:t> </w:t>
            </w:r>
            <w:r>
              <w:rPr>
                <w:sz w:val="20"/>
              </w:rPr>
              <w:t>D72.8,</w:t>
            </w:r>
            <w:r>
              <w:rPr>
                <w:spacing w:val="-4"/>
                <w:sz w:val="20"/>
              </w:rPr>
              <w:t> </w:t>
            </w:r>
            <w:r>
              <w:rPr>
                <w:sz w:val="20"/>
              </w:rPr>
              <w:t>D72.9,</w:t>
            </w:r>
            <w:r>
              <w:rPr>
                <w:spacing w:val="-4"/>
                <w:sz w:val="20"/>
              </w:rPr>
              <w:t> </w:t>
            </w:r>
            <w:r>
              <w:rPr>
                <w:sz w:val="20"/>
              </w:rPr>
              <w:t>D75.0,</w:t>
            </w:r>
            <w:r>
              <w:rPr>
                <w:spacing w:val="-4"/>
                <w:sz w:val="20"/>
              </w:rPr>
              <w:t> </w:t>
            </w:r>
            <w:r>
              <w:rPr>
                <w:spacing w:val="-2"/>
                <w:sz w:val="20"/>
              </w:rPr>
              <w:t>D75.1,</w:t>
            </w:r>
          </w:p>
          <w:p>
            <w:pPr>
              <w:pStyle w:val="TableParagraph"/>
              <w:ind w:left="243" w:right="288"/>
              <w:jc w:val="center"/>
              <w:rPr>
                <w:sz w:val="20"/>
              </w:rPr>
            </w:pPr>
            <w:r>
              <w:rPr>
                <w:sz w:val="20"/>
              </w:rPr>
              <w:t>D75.8,</w:t>
            </w:r>
            <w:r>
              <w:rPr>
                <w:spacing w:val="-8"/>
                <w:sz w:val="20"/>
              </w:rPr>
              <w:t> </w:t>
            </w:r>
            <w:r>
              <w:rPr>
                <w:sz w:val="20"/>
              </w:rPr>
              <w:t>D75.9,</w:t>
            </w:r>
            <w:r>
              <w:rPr>
                <w:spacing w:val="-9"/>
                <w:sz w:val="20"/>
              </w:rPr>
              <w:t> </w:t>
            </w:r>
            <w:r>
              <w:rPr>
                <w:sz w:val="20"/>
              </w:rPr>
              <w:t>D76.1,</w:t>
            </w:r>
            <w:r>
              <w:rPr>
                <w:spacing w:val="-8"/>
                <w:sz w:val="20"/>
              </w:rPr>
              <w:t> </w:t>
            </w:r>
            <w:r>
              <w:rPr>
                <w:sz w:val="20"/>
              </w:rPr>
              <w:t>D76.2,</w:t>
            </w:r>
            <w:r>
              <w:rPr>
                <w:spacing w:val="-9"/>
                <w:sz w:val="20"/>
              </w:rPr>
              <w:t> </w:t>
            </w:r>
            <w:r>
              <w:rPr>
                <w:sz w:val="20"/>
              </w:rPr>
              <w:t>D76.3,</w:t>
            </w:r>
            <w:r>
              <w:rPr>
                <w:spacing w:val="-8"/>
                <w:sz w:val="20"/>
              </w:rPr>
              <w:t> </w:t>
            </w:r>
            <w:r>
              <w:rPr>
                <w:sz w:val="20"/>
              </w:rPr>
              <w:t>O01.0, O01.1, O01.9</w:t>
            </w:r>
          </w:p>
        </w:tc>
        <w:tc>
          <w:tcPr>
            <w:tcW w:w="3857" w:type="dxa"/>
          </w:tcPr>
          <w:p>
            <w:pPr>
              <w:pStyle w:val="TableParagraph"/>
              <w:spacing w:before="45"/>
              <w:ind w:left="168" w:right="654"/>
              <w:jc w:val="center"/>
              <w:rPr>
                <w:sz w:val="20"/>
              </w:rPr>
            </w:pPr>
            <w:r>
              <w:rPr>
                <w:sz w:val="20"/>
              </w:rPr>
              <w:t>A25.05.001,</w:t>
            </w:r>
            <w:r>
              <w:rPr>
                <w:spacing w:val="-9"/>
                <w:sz w:val="20"/>
              </w:rPr>
              <w:t> </w:t>
            </w:r>
            <w:r>
              <w:rPr>
                <w:sz w:val="20"/>
              </w:rPr>
              <w:t>A25.05.005,</w:t>
            </w:r>
            <w:r>
              <w:rPr>
                <w:spacing w:val="-10"/>
                <w:sz w:val="20"/>
              </w:rPr>
              <w:t> </w:t>
            </w:r>
            <w:r>
              <w:rPr>
                <w:spacing w:val="-2"/>
                <w:sz w:val="20"/>
              </w:rPr>
              <w:t>A25.30.038</w:t>
            </w:r>
          </w:p>
        </w:tc>
        <w:tc>
          <w:tcPr>
            <w:tcW w:w="1586" w:type="dxa"/>
          </w:tcPr>
          <w:p>
            <w:pPr>
              <w:pStyle w:val="TableParagraph"/>
              <w:spacing w:before="45"/>
              <w:ind w:left="662"/>
              <w:rPr>
                <w:sz w:val="20"/>
              </w:rPr>
            </w:pPr>
            <w:r>
              <w:rPr>
                <w:w w:val="99"/>
                <w:sz w:val="20"/>
              </w:rPr>
              <w:t>-</w:t>
            </w:r>
          </w:p>
        </w:tc>
        <w:tc>
          <w:tcPr>
            <w:tcW w:w="1261" w:type="dxa"/>
          </w:tcPr>
          <w:p>
            <w:pPr>
              <w:pStyle w:val="TableParagraph"/>
              <w:rPr>
                <w:sz w:val="18"/>
              </w:rPr>
            </w:pPr>
          </w:p>
        </w:tc>
      </w:tr>
      <w:tr>
        <w:trPr>
          <w:trHeight w:val="329" w:hRule="atLeast"/>
        </w:trPr>
        <w:tc>
          <w:tcPr>
            <w:tcW w:w="1003" w:type="dxa"/>
          </w:tcPr>
          <w:p>
            <w:pPr>
              <w:pStyle w:val="TableParagraph"/>
              <w:spacing w:before="45"/>
              <w:ind w:left="39" w:right="211"/>
              <w:jc w:val="center"/>
              <w:rPr>
                <w:sz w:val="20"/>
              </w:rPr>
            </w:pPr>
            <w:r>
              <w:rPr>
                <w:spacing w:val="-4"/>
                <w:sz w:val="20"/>
              </w:rPr>
              <w:t>ds06</w:t>
            </w:r>
          </w:p>
        </w:tc>
        <w:tc>
          <w:tcPr>
            <w:tcW w:w="645" w:type="dxa"/>
          </w:tcPr>
          <w:p>
            <w:pPr>
              <w:pStyle w:val="TableParagraph"/>
              <w:spacing w:before="45"/>
              <w:ind w:left="7"/>
              <w:jc w:val="center"/>
              <w:rPr>
                <w:sz w:val="20"/>
              </w:rPr>
            </w:pPr>
            <w:r>
              <w:rPr>
                <w:w w:val="99"/>
                <w:sz w:val="20"/>
              </w:rPr>
              <w:t>6</w:t>
            </w:r>
          </w:p>
        </w:tc>
        <w:tc>
          <w:tcPr>
            <w:tcW w:w="2595" w:type="dxa"/>
          </w:tcPr>
          <w:p>
            <w:pPr>
              <w:pStyle w:val="TableParagraph"/>
              <w:rPr>
                <w:sz w:val="18"/>
              </w:rPr>
            </w:pPr>
          </w:p>
        </w:tc>
        <w:tc>
          <w:tcPr>
            <w:tcW w:w="8203" w:type="dxa"/>
            <w:gridSpan w:val="2"/>
          </w:tcPr>
          <w:p>
            <w:pPr>
              <w:pStyle w:val="TableParagraph"/>
              <w:spacing w:before="45"/>
              <w:ind w:left="2881" w:right="3530"/>
              <w:jc w:val="center"/>
              <w:rPr>
                <w:sz w:val="20"/>
              </w:rPr>
            </w:pPr>
            <w:r>
              <w:rPr>
                <w:spacing w:val="-2"/>
                <w:sz w:val="20"/>
              </w:rPr>
              <w:t>Дерматовенерология</w:t>
            </w:r>
          </w:p>
        </w:tc>
        <w:tc>
          <w:tcPr>
            <w:tcW w:w="1586" w:type="dxa"/>
          </w:tcPr>
          <w:p>
            <w:pPr>
              <w:pStyle w:val="TableParagraph"/>
              <w:rPr>
                <w:sz w:val="18"/>
              </w:rPr>
            </w:pPr>
          </w:p>
        </w:tc>
        <w:tc>
          <w:tcPr>
            <w:tcW w:w="1261" w:type="dxa"/>
          </w:tcPr>
          <w:p>
            <w:pPr>
              <w:pStyle w:val="TableParagraph"/>
              <w:spacing w:before="45"/>
              <w:ind w:right="46"/>
              <w:jc w:val="right"/>
              <w:rPr>
                <w:sz w:val="20"/>
              </w:rPr>
            </w:pPr>
            <w:r>
              <w:rPr>
                <w:spacing w:val="-4"/>
                <w:sz w:val="20"/>
              </w:rPr>
              <w:t>1,54</w:t>
            </w:r>
          </w:p>
        </w:tc>
      </w:tr>
      <w:tr>
        <w:trPr>
          <w:trHeight w:val="280" w:hRule="atLeast"/>
        </w:trPr>
        <w:tc>
          <w:tcPr>
            <w:tcW w:w="1003" w:type="dxa"/>
          </w:tcPr>
          <w:p>
            <w:pPr>
              <w:pStyle w:val="TableParagraph"/>
              <w:spacing w:line="215" w:lineRule="exact" w:before="46"/>
              <w:ind w:left="39" w:right="212"/>
              <w:jc w:val="center"/>
              <w:rPr>
                <w:sz w:val="20"/>
              </w:rPr>
            </w:pPr>
            <w:r>
              <w:rPr>
                <w:spacing w:val="-2"/>
                <w:sz w:val="20"/>
              </w:rPr>
              <w:t>ds06.002</w:t>
            </w:r>
          </w:p>
        </w:tc>
        <w:tc>
          <w:tcPr>
            <w:tcW w:w="645" w:type="dxa"/>
          </w:tcPr>
          <w:p>
            <w:pPr>
              <w:pStyle w:val="TableParagraph"/>
              <w:spacing w:line="215" w:lineRule="exact" w:before="46"/>
              <w:ind w:left="211" w:right="203"/>
              <w:jc w:val="center"/>
              <w:rPr>
                <w:sz w:val="20"/>
              </w:rPr>
            </w:pPr>
            <w:r>
              <w:rPr>
                <w:spacing w:val="-5"/>
                <w:sz w:val="20"/>
              </w:rPr>
              <w:t>16</w:t>
            </w:r>
          </w:p>
        </w:tc>
        <w:tc>
          <w:tcPr>
            <w:tcW w:w="2595" w:type="dxa"/>
          </w:tcPr>
          <w:p>
            <w:pPr>
              <w:pStyle w:val="TableParagraph"/>
              <w:spacing w:line="215" w:lineRule="exact" w:before="46"/>
              <w:ind w:left="219"/>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4346" w:type="dxa"/>
          </w:tcPr>
          <w:p>
            <w:pPr>
              <w:pStyle w:val="TableParagraph"/>
              <w:spacing w:line="215" w:lineRule="exact" w:before="46"/>
              <w:ind w:right="163"/>
              <w:jc w:val="right"/>
              <w:rPr>
                <w:sz w:val="20"/>
              </w:rPr>
            </w:pPr>
            <w:r>
              <w:rPr>
                <w:sz w:val="20"/>
              </w:rPr>
              <w:t>A26.0,</w:t>
            </w:r>
            <w:r>
              <w:rPr>
                <w:spacing w:val="-5"/>
                <w:sz w:val="20"/>
              </w:rPr>
              <w:t> </w:t>
            </w:r>
            <w:r>
              <w:rPr>
                <w:sz w:val="20"/>
              </w:rPr>
              <w:t>A26.8,</w:t>
            </w:r>
            <w:r>
              <w:rPr>
                <w:spacing w:val="-4"/>
                <w:sz w:val="20"/>
              </w:rPr>
              <w:t> </w:t>
            </w:r>
            <w:r>
              <w:rPr>
                <w:sz w:val="20"/>
              </w:rPr>
              <w:t>B35.0,</w:t>
            </w:r>
            <w:r>
              <w:rPr>
                <w:spacing w:val="-6"/>
                <w:sz w:val="20"/>
              </w:rPr>
              <w:t> </w:t>
            </w:r>
            <w:r>
              <w:rPr>
                <w:sz w:val="20"/>
              </w:rPr>
              <w:t>В35.2,</w:t>
            </w:r>
            <w:r>
              <w:rPr>
                <w:spacing w:val="-6"/>
                <w:sz w:val="20"/>
              </w:rPr>
              <w:t> </w:t>
            </w:r>
            <w:r>
              <w:rPr>
                <w:sz w:val="20"/>
              </w:rPr>
              <w:t>B35.3,</w:t>
            </w:r>
            <w:r>
              <w:rPr>
                <w:spacing w:val="-4"/>
                <w:sz w:val="20"/>
              </w:rPr>
              <w:t> </w:t>
            </w:r>
            <w:r>
              <w:rPr>
                <w:sz w:val="20"/>
              </w:rPr>
              <w:t>B35.4,</w:t>
            </w:r>
            <w:r>
              <w:rPr>
                <w:spacing w:val="-4"/>
                <w:sz w:val="20"/>
              </w:rPr>
              <w:t> </w:t>
            </w:r>
            <w:r>
              <w:rPr>
                <w:spacing w:val="-2"/>
                <w:sz w:val="20"/>
              </w:rPr>
              <w:t>B35.6,</w:t>
            </w:r>
          </w:p>
        </w:tc>
        <w:tc>
          <w:tcPr>
            <w:tcW w:w="3857" w:type="dxa"/>
          </w:tcPr>
          <w:p>
            <w:pPr>
              <w:pStyle w:val="TableParagraph"/>
              <w:spacing w:line="215" w:lineRule="exact" w:before="46"/>
              <w:ind w:right="483"/>
              <w:jc w:val="center"/>
              <w:rPr>
                <w:sz w:val="20"/>
              </w:rPr>
            </w:pPr>
            <w:r>
              <w:rPr>
                <w:w w:val="99"/>
                <w:sz w:val="20"/>
              </w:rPr>
              <w:t>-</w:t>
            </w:r>
          </w:p>
        </w:tc>
        <w:tc>
          <w:tcPr>
            <w:tcW w:w="1586" w:type="dxa"/>
          </w:tcPr>
          <w:p>
            <w:pPr>
              <w:pStyle w:val="TableParagraph"/>
              <w:spacing w:line="215" w:lineRule="exact" w:before="46"/>
              <w:ind w:left="662"/>
              <w:rPr>
                <w:sz w:val="20"/>
              </w:rPr>
            </w:pPr>
            <w:r>
              <w:rPr>
                <w:w w:val="99"/>
                <w:sz w:val="20"/>
              </w:rPr>
              <w:t>-</w:t>
            </w:r>
          </w:p>
        </w:tc>
        <w:tc>
          <w:tcPr>
            <w:tcW w:w="1261" w:type="dxa"/>
          </w:tcPr>
          <w:p>
            <w:pPr>
              <w:pStyle w:val="TableParagraph"/>
              <w:spacing w:line="215" w:lineRule="exact" w:before="46"/>
              <w:ind w:right="46"/>
              <w:jc w:val="right"/>
              <w:rPr>
                <w:sz w:val="20"/>
              </w:rPr>
            </w:pPr>
            <w:r>
              <w:rPr>
                <w:spacing w:val="-4"/>
                <w:sz w:val="20"/>
              </w:rPr>
              <w:t>0,35</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spacing w:line="209" w:lineRule="exact"/>
              <w:ind w:left="219"/>
              <w:rPr>
                <w:sz w:val="20"/>
              </w:rPr>
            </w:pPr>
            <w:r>
              <w:rPr>
                <w:spacing w:val="-2"/>
                <w:sz w:val="20"/>
              </w:rPr>
              <w:t>применением</w:t>
            </w:r>
            <w:r>
              <w:rPr>
                <w:spacing w:val="8"/>
                <w:sz w:val="20"/>
              </w:rPr>
              <w:t> </w:t>
            </w:r>
            <w:r>
              <w:rPr>
                <w:spacing w:val="-2"/>
                <w:sz w:val="20"/>
              </w:rPr>
              <w:t>наружной</w:t>
            </w:r>
          </w:p>
        </w:tc>
        <w:tc>
          <w:tcPr>
            <w:tcW w:w="4346" w:type="dxa"/>
          </w:tcPr>
          <w:p>
            <w:pPr>
              <w:pStyle w:val="TableParagraph"/>
              <w:spacing w:line="209" w:lineRule="exact"/>
              <w:ind w:right="255"/>
              <w:jc w:val="right"/>
              <w:rPr>
                <w:sz w:val="20"/>
              </w:rPr>
            </w:pPr>
            <w:r>
              <w:rPr>
                <w:sz w:val="20"/>
              </w:rPr>
              <w:t>B35.8,</w:t>
            </w:r>
            <w:r>
              <w:rPr>
                <w:spacing w:val="-4"/>
                <w:sz w:val="20"/>
              </w:rPr>
              <w:t> </w:t>
            </w:r>
            <w:r>
              <w:rPr>
                <w:sz w:val="20"/>
              </w:rPr>
              <w:t>B35.9,</w:t>
            </w:r>
            <w:r>
              <w:rPr>
                <w:spacing w:val="-4"/>
                <w:sz w:val="20"/>
              </w:rPr>
              <w:t> </w:t>
            </w:r>
            <w:r>
              <w:rPr>
                <w:sz w:val="20"/>
              </w:rPr>
              <w:t>B36,</w:t>
            </w:r>
            <w:r>
              <w:rPr>
                <w:spacing w:val="-6"/>
                <w:sz w:val="20"/>
              </w:rPr>
              <w:t> </w:t>
            </w:r>
            <w:r>
              <w:rPr>
                <w:sz w:val="20"/>
              </w:rPr>
              <w:t>B36.0,</w:t>
            </w:r>
            <w:r>
              <w:rPr>
                <w:spacing w:val="-6"/>
                <w:sz w:val="20"/>
              </w:rPr>
              <w:t> </w:t>
            </w:r>
            <w:r>
              <w:rPr>
                <w:sz w:val="20"/>
              </w:rPr>
              <w:t>B36.8,</w:t>
            </w:r>
            <w:r>
              <w:rPr>
                <w:spacing w:val="-6"/>
                <w:sz w:val="20"/>
              </w:rPr>
              <w:t> </w:t>
            </w:r>
            <w:r>
              <w:rPr>
                <w:sz w:val="20"/>
              </w:rPr>
              <w:t>B36.9,</w:t>
            </w:r>
            <w:r>
              <w:rPr>
                <w:spacing w:val="-4"/>
                <w:sz w:val="20"/>
              </w:rPr>
              <w:t> </w:t>
            </w:r>
            <w:r>
              <w:rPr>
                <w:spacing w:val="-2"/>
                <w:sz w:val="20"/>
              </w:rPr>
              <w:t>B85.0,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spacing w:line="209" w:lineRule="exact"/>
              <w:ind w:left="219"/>
              <w:rPr>
                <w:sz w:val="20"/>
              </w:rPr>
            </w:pPr>
            <w:r>
              <w:rPr>
                <w:spacing w:val="-2"/>
                <w:sz w:val="20"/>
              </w:rPr>
              <w:t>терапии</w:t>
            </w:r>
          </w:p>
        </w:tc>
        <w:tc>
          <w:tcPr>
            <w:tcW w:w="4346" w:type="dxa"/>
          </w:tcPr>
          <w:p>
            <w:pPr>
              <w:pStyle w:val="TableParagraph"/>
              <w:spacing w:line="209" w:lineRule="exact"/>
              <w:ind w:left="305"/>
              <w:rPr>
                <w:sz w:val="20"/>
              </w:rPr>
            </w:pPr>
            <w:r>
              <w:rPr>
                <w:sz w:val="20"/>
              </w:rPr>
              <w:t>B85.1,</w:t>
            </w:r>
            <w:r>
              <w:rPr>
                <w:spacing w:val="-5"/>
                <w:sz w:val="20"/>
              </w:rPr>
              <w:t> </w:t>
            </w:r>
            <w:r>
              <w:rPr>
                <w:sz w:val="20"/>
              </w:rPr>
              <w:t>B85.4,</w:t>
            </w:r>
            <w:r>
              <w:rPr>
                <w:spacing w:val="-4"/>
                <w:sz w:val="20"/>
              </w:rPr>
              <w:t> </w:t>
            </w:r>
            <w:r>
              <w:rPr>
                <w:sz w:val="20"/>
              </w:rPr>
              <w:t>B86,</w:t>
            </w:r>
            <w:r>
              <w:rPr>
                <w:spacing w:val="-5"/>
                <w:sz w:val="20"/>
              </w:rPr>
              <w:t> </w:t>
            </w:r>
            <w:r>
              <w:rPr>
                <w:sz w:val="20"/>
              </w:rPr>
              <w:t>L00,</w:t>
            </w:r>
            <w:r>
              <w:rPr>
                <w:spacing w:val="-4"/>
                <w:sz w:val="20"/>
              </w:rPr>
              <w:t> </w:t>
            </w:r>
            <w:r>
              <w:rPr>
                <w:sz w:val="20"/>
              </w:rPr>
              <w:t>L01.0,</w:t>
            </w:r>
            <w:r>
              <w:rPr>
                <w:spacing w:val="-5"/>
                <w:sz w:val="20"/>
              </w:rPr>
              <w:t> </w:t>
            </w:r>
            <w:r>
              <w:rPr>
                <w:sz w:val="20"/>
              </w:rPr>
              <w:t>L01.1,</w:t>
            </w:r>
            <w:r>
              <w:rPr>
                <w:spacing w:val="-4"/>
                <w:sz w:val="20"/>
              </w:rPr>
              <w:t> </w:t>
            </w:r>
            <w:r>
              <w:rPr>
                <w:spacing w:val="-2"/>
                <w:sz w:val="20"/>
              </w:rPr>
              <w:t>L08.0,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L08.1,</w:t>
            </w:r>
            <w:r>
              <w:rPr>
                <w:spacing w:val="-6"/>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L11.9,</w:t>
            </w:r>
            <w:r>
              <w:rPr>
                <w:spacing w:val="-6"/>
                <w:sz w:val="20"/>
              </w:rPr>
              <w:t> </w:t>
            </w:r>
            <w:r>
              <w:rPr>
                <w:sz w:val="20"/>
              </w:rPr>
              <w:t>L12.0,</w:t>
            </w:r>
            <w:r>
              <w:rPr>
                <w:spacing w:val="-5"/>
                <w:sz w:val="20"/>
              </w:rPr>
              <w:t> </w:t>
            </w:r>
            <w:r>
              <w:rPr>
                <w:sz w:val="20"/>
              </w:rPr>
              <w:t>L12.1,</w:t>
            </w:r>
            <w:r>
              <w:rPr>
                <w:spacing w:val="-5"/>
                <w:sz w:val="20"/>
              </w:rPr>
              <w:t> </w:t>
            </w:r>
            <w:r>
              <w:rPr>
                <w:sz w:val="20"/>
              </w:rPr>
              <w:t>L12.2,</w:t>
            </w:r>
            <w:r>
              <w:rPr>
                <w:spacing w:val="-5"/>
                <w:sz w:val="20"/>
              </w:rPr>
              <w:t> </w:t>
            </w:r>
            <w:r>
              <w:rPr>
                <w:sz w:val="20"/>
              </w:rPr>
              <w:t>L12.3,</w:t>
            </w:r>
            <w:r>
              <w:rPr>
                <w:spacing w:val="-5"/>
                <w:sz w:val="20"/>
              </w:rPr>
              <w:t> </w:t>
            </w:r>
            <w:r>
              <w:rPr>
                <w:sz w:val="20"/>
              </w:rPr>
              <w:t>L12.8,</w:t>
            </w:r>
            <w:r>
              <w:rPr>
                <w:spacing w:val="-5"/>
                <w:sz w:val="20"/>
              </w:rPr>
              <w:t> </w:t>
            </w:r>
            <w:r>
              <w:rPr>
                <w:spacing w:val="-2"/>
                <w:sz w:val="20"/>
              </w:rPr>
              <w:t>L12.9,</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8"/>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L20.0,</w:t>
            </w:r>
            <w:r>
              <w:rPr>
                <w:spacing w:val="-6"/>
                <w:sz w:val="20"/>
              </w:rPr>
              <w:t> </w:t>
            </w:r>
            <w:r>
              <w:rPr>
                <w:spacing w:val="-2"/>
                <w:sz w:val="20"/>
              </w:rPr>
              <w:t>L20.8,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8"/>
              <w:rPr>
                <w:sz w:val="20"/>
              </w:rPr>
            </w:pPr>
            <w:r>
              <w:rPr>
                <w:sz w:val="20"/>
              </w:rPr>
              <w:t>L20.9,</w:t>
            </w:r>
            <w:r>
              <w:rPr>
                <w:spacing w:val="-5"/>
                <w:sz w:val="20"/>
              </w:rPr>
              <w:t> </w:t>
            </w:r>
            <w:r>
              <w:rPr>
                <w:sz w:val="20"/>
              </w:rPr>
              <w:t>L21.0,</w:t>
            </w:r>
            <w:r>
              <w:rPr>
                <w:spacing w:val="-5"/>
                <w:sz w:val="20"/>
              </w:rPr>
              <w:t> </w:t>
            </w:r>
            <w:r>
              <w:rPr>
                <w:sz w:val="20"/>
              </w:rPr>
              <w:t>L21.1,</w:t>
            </w:r>
            <w:r>
              <w:rPr>
                <w:spacing w:val="-4"/>
                <w:sz w:val="20"/>
              </w:rPr>
              <w:t> </w:t>
            </w:r>
            <w:r>
              <w:rPr>
                <w:sz w:val="20"/>
              </w:rPr>
              <w:t>L21.8,</w:t>
            </w:r>
            <w:r>
              <w:rPr>
                <w:spacing w:val="-5"/>
                <w:sz w:val="20"/>
              </w:rPr>
              <w:t> </w:t>
            </w:r>
            <w:r>
              <w:rPr>
                <w:sz w:val="20"/>
              </w:rPr>
              <w:t>L21.9,</w:t>
            </w:r>
            <w:r>
              <w:rPr>
                <w:spacing w:val="-5"/>
                <w:sz w:val="20"/>
              </w:rPr>
              <w:t> </w:t>
            </w:r>
            <w:r>
              <w:rPr>
                <w:sz w:val="20"/>
              </w:rPr>
              <w:t>L22,</w:t>
            </w:r>
            <w:r>
              <w:rPr>
                <w:spacing w:val="-6"/>
                <w:sz w:val="20"/>
              </w:rPr>
              <w:t> </w:t>
            </w:r>
            <w:r>
              <w:rPr>
                <w:spacing w:val="-2"/>
                <w:sz w:val="20"/>
              </w:rPr>
              <w:t>L23.0,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9"/>
              <w:jc w:val="right"/>
              <w:rPr>
                <w:sz w:val="20"/>
              </w:rPr>
            </w:pPr>
            <w:r>
              <w:rPr>
                <w:sz w:val="20"/>
              </w:rPr>
              <w:t>L23.1,</w:t>
            </w:r>
            <w:r>
              <w:rPr>
                <w:spacing w:val="-6"/>
                <w:sz w:val="20"/>
              </w:rPr>
              <w:t> </w:t>
            </w:r>
            <w:r>
              <w:rPr>
                <w:sz w:val="20"/>
              </w:rPr>
              <w:t>L23.2,</w:t>
            </w:r>
            <w:r>
              <w:rPr>
                <w:spacing w:val="-5"/>
                <w:sz w:val="20"/>
              </w:rPr>
              <w:t> </w:t>
            </w:r>
            <w:r>
              <w:rPr>
                <w:sz w:val="20"/>
              </w:rPr>
              <w:t>L23.3,</w:t>
            </w:r>
            <w:r>
              <w:rPr>
                <w:spacing w:val="-5"/>
                <w:sz w:val="20"/>
              </w:rPr>
              <w:t> </w:t>
            </w:r>
            <w:r>
              <w:rPr>
                <w:sz w:val="20"/>
              </w:rPr>
              <w:t>L23.4,</w:t>
            </w:r>
            <w:r>
              <w:rPr>
                <w:spacing w:val="-5"/>
                <w:sz w:val="20"/>
              </w:rPr>
              <w:t> </w:t>
            </w:r>
            <w:r>
              <w:rPr>
                <w:sz w:val="20"/>
              </w:rPr>
              <w:t>L23.5,</w:t>
            </w:r>
            <w:r>
              <w:rPr>
                <w:spacing w:val="-5"/>
                <w:sz w:val="20"/>
              </w:rPr>
              <w:t> </w:t>
            </w:r>
            <w:r>
              <w:rPr>
                <w:sz w:val="20"/>
              </w:rPr>
              <w:t>L23.6,</w:t>
            </w:r>
            <w:r>
              <w:rPr>
                <w:spacing w:val="-5"/>
                <w:sz w:val="20"/>
              </w:rPr>
              <w:t> </w:t>
            </w:r>
            <w:r>
              <w:rPr>
                <w:spacing w:val="-2"/>
                <w:sz w:val="20"/>
              </w:rPr>
              <w:t>L23.7,</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L23.8,</w:t>
            </w:r>
            <w:r>
              <w:rPr>
                <w:spacing w:val="-6"/>
                <w:sz w:val="20"/>
              </w:rPr>
              <w:t> </w:t>
            </w:r>
            <w:r>
              <w:rPr>
                <w:sz w:val="20"/>
              </w:rPr>
              <w:t>L23.9,</w:t>
            </w:r>
            <w:r>
              <w:rPr>
                <w:spacing w:val="-5"/>
                <w:sz w:val="20"/>
              </w:rPr>
              <w:t> </w:t>
            </w:r>
            <w:r>
              <w:rPr>
                <w:sz w:val="20"/>
              </w:rPr>
              <w:t>L24.0,</w:t>
            </w:r>
            <w:r>
              <w:rPr>
                <w:spacing w:val="-5"/>
                <w:sz w:val="20"/>
              </w:rPr>
              <w:t> </w:t>
            </w:r>
            <w:r>
              <w:rPr>
                <w:sz w:val="20"/>
              </w:rPr>
              <w:t>L24.1,</w:t>
            </w:r>
            <w:r>
              <w:rPr>
                <w:spacing w:val="-5"/>
                <w:sz w:val="20"/>
              </w:rPr>
              <w:t> </w:t>
            </w:r>
            <w:r>
              <w:rPr>
                <w:sz w:val="20"/>
              </w:rPr>
              <w:t>L24.2,</w:t>
            </w:r>
            <w:r>
              <w:rPr>
                <w:spacing w:val="-5"/>
                <w:sz w:val="20"/>
              </w:rPr>
              <w:t> </w:t>
            </w:r>
            <w:r>
              <w:rPr>
                <w:sz w:val="20"/>
              </w:rPr>
              <w:t>L24.3,</w:t>
            </w:r>
            <w:r>
              <w:rPr>
                <w:spacing w:val="-5"/>
                <w:sz w:val="20"/>
              </w:rPr>
              <w:t> </w:t>
            </w:r>
            <w:r>
              <w:rPr>
                <w:spacing w:val="-2"/>
                <w:sz w:val="20"/>
              </w:rPr>
              <w:t>L24.4,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L24.5,</w:t>
            </w:r>
            <w:r>
              <w:rPr>
                <w:spacing w:val="-6"/>
                <w:sz w:val="20"/>
              </w:rPr>
              <w:t> </w:t>
            </w:r>
            <w:r>
              <w:rPr>
                <w:sz w:val="20"/>
              </w:rPr>
              <w:t>L24.6,</w:t>
            </w:r>
            <w:r>
              <w:rPr>
                <w:spacing w:val="-5"/>
                <w:sz w:val="20"/>
              </w:rPr>
              <w:t> </w:t>
            </w:r>
            <w:r>
              <w:rPr>
                <w:sz w:val="20"/>
              </w:rPr>
              <w:t>L24.7,</w:t>
            </w:r>
            <w:r>
              <w:rPr>
                <w:spacing w:val="-5"/>
                <w:sz w:val="20"/>
              </w:rPr>
              <w:t> </w:t>
            </w:r>
            <w:r>
              <w:rPr>
                <w:sz w:val="20"/>
              </w:rPr>
              <w:t>L24.8,</w:t>
            </w:r>
            <w:r>
              <w:rPr>
                <w:spacing w:val="-5"/>
                <w:sz w:val="20"/>
              </w:rPr>
              <w:t> </w:t>
            </w:r>
            <w:r>
              <w:rPr>
                <w:sz w:val="20"/>
              </w:rPr>
              <w:t>L24.9,</w:t>
            </w:r>
            <w:r>
              <w:rPr>
                <w:spacing w:val="-5"/>
                <w:sz w:val="20"/>
              </w:rPr>
              <w:t> </w:t>
            </w:r>
            <w:r>
              <w:rPr>
                <w:sz w:val="20"/>
              </w:rPr>
              <w:t>L25.0,</w:t>
            </w:r>
            <w:r>
              <w:rPr>
                <w:spacing w:val="-5"/>
                <w:sz w:val="20"/>
              </w:rPr>
              <w:t> </w:t>
            </w:r>
            <w:r>
              <w:rPr>
                <w:spacing w:val="-2"/>
                <w:sz w:val="20"/>
              </w:rPr>
              <w:t>L25.1,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8"/>
              <w:rPr>
                <w:sz w:val="20"/>
              </w:rPr>
            </w:pPr>
            <w:r>
              <w:rPr>
                <w:sz w:val="20"/>
              </w:rPr>
              <w:t>L25.2,</w:t>
            </w:r>
            <w:r>
              <w:rPr>
                <w:spacing w:val="-5"/>
                <w:sz w:val="20"/>
              </w:rPr>
              <w:t> </w:t>
            </w:r>
            <w:r>
              <w:rPr>
                <w:sz w:val="20"/>
              </w:rPr>
              <w:t>L25.3,</w:t>
            </w:r>
            <w:r>
              <w:rPr>
                <w:spacing w:val="-5"/>
                <w:sz w:val="20"/>
              </w:rPr>
              <w:t> </w:t>
            </w:r>
            <w:r>
              <w:rPr>
                <w:sz w:val="20"/>
              </w:rPr>
              <w:t>L25.4,</w:t>
            </w:r>
            <w:r>
              <w:rPr>
                <w:spacing w:val="-2"/>
                <w:sz w:val="20"/>
              </w:rPr>
              <w:t> </w:t>
            </w:r>
            <w:r>
              <w:rPr>
                <w:sz w:val="20"/>
              </w:rPr>
              <w:t>L25.5,</w:t>
            </w:r>
            <w:r>
              <w:rPr>
                <w:spacing w:val="-5"/>
                <w:sz w:val="20"/>
              </w:rPr>
              <w:t> </w:t>
            </w:r>
            <w:r>
              <w:rPr>
                <w:sz w:val="20"/>
              </w:rPr>
              <w:t>L25.8,</w:t>
            </w:r>
            <w:r>
              <w:rPr>
                <w:spacing w:val="-5"/>
                <w:sz w:val="20"/>
              </w:rPr>
              <w:t> </w:t>
            </w:r>
            <w:r>
              <w:rPr>
                <w:sz w:val="20"/>
              </w:rPr>
              <w:t>L25.9,</w:t>
            </w:r>
            <w:r>
              <w:rPr>
                <w:spacing w:val="-5"/>
                <w:sz w:val="20"/>
              </w:rPr>
              <w:t> </w:t>
            </w:r>
            <w:r>
              <w:rPr>
                <w:spacing w:val="-4"/>
                <w:sz w:val="20"/>
              </w:rPr>
              <w:t>L26,</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L27.0,</w:t>
            </w:r>
            <w:r>
              <w:rPr>
                <w:spacing w:val="-6"/>
                <w:sz w:val="20"/>
              </w:rPr>
              <w:t> </w:t>
            </w:r>
            <w:r>
              <w:rPr>
                <w:sz w:val="20"/>
              </w:rPr>
              <w:t>L27.1,</w:t>
            </w:r>
            <w:r>
              <w:rPr>
                <w:spacing w:val="-5"/>
                <w:sz w:val="20"/>
              </w:rPr>
              <w:t> </w:t>
            </w:r>
            <w:r>
              <w:rPr>
                <w:sz w:val="20"/>
              </w:rPr>
              <w:t>L27.2,</w:t>
            </w:r>
            <w:r>
              <w:rPr>
                <w:spacing w:val="-5"/>
                <w:sz w:val="20"/>
              </w:rPr>
              <w:t> </w:t>
            </w:r>
            <w:r>
              <w:rPr>
                <w:sz w:val="20"/>
              </w:rPr>
              <w:t>L27.8,</w:t>
            </w:r>
            <w:r>
              <w:rPr>
                <w:spacing w:val="-5"/>
                <w:sz w:val="20"/>
              </w:rPr>
              <w:t> </w:t>
            </w:r>
            <w:r>
              <w:rPr>
                <w:sz w:val="20"/>
              </w:rPr>
              <w:t>L27.9,</w:t>
            </w:r>
            <w:r>
              <w:rPr>
                <w:spacing w:val="-5"/>
                <w:sz w:val="20"/>
              </w:rPr>
              <w:t> </w:t>
            </w:r>
            <w:r>
              <w:rPr>
                <w:sz w:val="20"/>
              </w:rPr>
              <w:t>L28.0,</w:t>
            </w:r>
            <w:r>
              <w:rPr>
                <w:spacing w:val="-5"/>
                <w:sz w:val="20"/>
              </w:rPr>
              <w:t> </w:t>
            </w:r>
            <w:r>
              <w:rPr>
                <w:spacing w:val="-2"/>
                <w:sz w:val="20"/>
              </w:rPr>
              <w:t>L28.1,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9"/>
              <w:jc w:val="right"/>
              <w:rPr>
                <w:sz w:val="20"/>
              </w:rPr>
            </w:pPr>
            <w:r>
              <w:rPr>
                <w:sz w:val="20"/>
              </w:rPr>
              <w:t>L28.2,</w:t>
            </w:r>
            <w:r>
              <w:rPr>
                <w:spacing w:val="-6"/>
                <w:sz w:val="20"/>
              </w:rPr>
              <w:t> </w:t>
            </w:r>
            <w:r>
              <w:rPr>
                <w:sz w:val="20"/>
              </w:rPr>
              <w:t>L30.0,</w:t>
            </w:r>
            <w:r>
              <w:rPr>
                <w:spacing w:val="-5"/>
                <w:sz w:val="20"/>
              </w:rPr>
              <w:t> </w:t>
            </w:r>
            <w:r>
              <w:rPr>
                <w:sz w:val="20"/>
              </w:rPr>
              <w:t>L30.1,</w:t>
            </w:r>
            <w:r>
              <w:rPr>
                <w:spacing w:val="-5"/>
                <w:sz w:val="20"/>
              </w:rPr>
              <w:t> </w:t>
            </w:r>
            <w:r>
              <w:rPr>
                <w:sz w:val="20"/>
              </w:rPr>
              <w:t>L30.2,</w:t>
            </w:r>
            <w:r>
              <w:rPr>
                <w:spacing w:val="-5"/>
                <w:sz w:val="20"/>
              </w:rPr>
              <w:t> </w:t>
            </w:r>
            <w:r>
              <w:rPr>
                <w:sz w:val="20"/>
              </w:rPr>
              <w:t>L30.3,</w:t>
            </w:r>
            <w:r>
              <w:rPr>
                <w:spacing w:val="-5"/>
                <w:sz w:val="20"/>
              </w:rPr>
              <w:t> </w:t>
            </w:r>
            <w:r>
              <w:rPr>
                <w:sz w:val="20"/>
              </w:rPr>
              <w:t>L30.4,</w:t>
            </w:r>
            <w:r>
              <w:rPr>
                <w:spacing w:val="-5"/>
                <w:sz w:val="20"/>
              </w:rPr>
              <w:t> </w:t>
            </w:r>
            <w:r>
              <w:rPr>
                <w:spacing w:val="-2"/>
                <w:sz w:val="20"/>
              </w:rPr>
              <w:t>L30.5,</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9"/>
              <w:jc w:val="right"/>
              <w:rPr>
                <w:sz w:val="20"/>
              </w:rPr>
            </w:pPr>
            <w:r>
              <w:rPr>
                <w:sz w:val="20"/>
              </w:rPr>
              <w:t>L30.8,</w:t>
            </w:r>
            <w:r>
              <w:rPr>
                <w:spacing w:val="-6"/>
                <w:sz w:val="20"/>
              </w:rPr>
              <w:t> </w:t>
            </w:r>
            <w:r>
              <w:rPr>
                <w:sz w:val="20"/>
              </w:rPr>
              <w:t>L30.9,</w:t>
            </w:r>
            <w:r>
              <w:rPr>
                <w:spacing w:val="-5"/>
                <w:sz w:val="20"/>
              </w:rPr>
              <w:t> </w:t>
            </w:r>
            <w:r>
              <w:rPr>
                <w:sz w:val="20"/>
              </w:rPr>
              <w:t>L40.0,</w:t>
            </w:r>
            <w:r>
              <w:rPr>
                <w:spacing w:val="-5"/>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pacing w:val="-2"/>
                <w:sz w:val="20"/>
              </w:rPr>
              <w:t>L40.4,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5" w:lineRule="exact"/>
              <w:ind w:right="219"/>
              <w:jc w:val="right"/>
              <w:rPr>
                <w:sz w:val="20"/>
              </w:rPr>
            </w:pPr>
            <w:r>
              <w:rPr>
                <w:sz w:val="20"/>
              </w:rPr>
              <w:t>L40.5,</w:t>
            </w:r>
            <w:r>
              <w:rPr>
                <w:spacing w:val="-6"/>
                <w:sz w:val="20"/>
              </w:rPr>
              <w:t> </w:t>
            </w:r>
            <w:r>
              <w:rPr>
                <w:sz w:val="20"/>
              </w:rPr>
              <w:t>L40.8,</w:t>
            </w:r>
            <w:r>
              <w:rPr>
                <w:spacing w:val="-5"/>
                <w:sz w:val="20"/>
              </w:rPr>
              <w:t> </w:t>
            </w:r>
            <w:r>
              <w:rPr>
                <w:sz w:val="20"/>
              </w:rPr>
              <w:t>L40.9,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71"/>
        <w:gridCol w:w="5108"/>
        <w:gridCol w:w="1955"/>
        <w:gridCol w:w="3171"/>
        <w:gridCol w:w="835"/>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71" w:type="dxa"/>
            <w:vMerge w:val="restart"/>
          </w:tcPr>
          <w:p>
            <w:pPr>
              <w:pStyle w:val="TableParagraph"/>
              <w:rPr>
                <w:sz w:val="18"/>
              </w:rPr>
            </w:pPr>
          </w:p>
        </w:tc>
        <w:tc>
          <w:tcPr>
            <w:tcW w:w="5108" w:type="dxa"/>
          </w:tcPr>
          <w:p>
            <w:pPr>
              <w:pStyle w:val="TableParagraph"/>
              <w:spacing w:line="205" w:lineRule="exact"/>
              <w:ind w:left="127" w:right="882"/>
              <w:jc w:val="center"/>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L42,</w:t>
            </w:r>
            <w:r>
              <w:rPr>
                <w:spacing w:val="-5"/>
                <w:sz w:val="20"/>
              </w:rPr>
              <w:t> </w:t>
            </w:r>
            <w:r>
              <w:rPr>
                <w:sz w:val="20"/>
              </w:rPr>
              <w:t>L43.0,</w:t>
            </w:r>
            <w:r>
              <w:rPr>
                <w:spacing w:val="1"/>
                <w:sz w:val="20"/>
              </w:rPr>
              <w:t> </w:t>
            </w:r>
            <w:r>
              <w:rPr>
                <w:sz w:val="20"/>
              </w:rPr>
              <w:t>L43.1,</w:t>
            </w:r>
            <w:r>
              <w:rPr>
                <w:spacing w:val="-5"/>
                <w:sz w:val="20"/>
              </w:rPr>
              <w:t> </w:t>
            </w:r>
            <w:r>
              <w:rPr>
                <w:spacing w:val="-2"/>
                <w:sz w:val="20"/>
              </w:rPr>
              <w:t>L43.2,</w:t>
            </w:r>
          </w:p>
        </w:tc>
        <w:tc>
          <w:tcPr>
            <w:tcW w:w="1955" w:type="dxa"/>
            <w:vMerge w:val="restart"/>
          </w:tcPr>
          <w:p>
            <w:pPr>
              <w:pStyle w:val="TableParagraph"/>
              <w:rPr>
                <w:sz w:val="18"/>
              </w:rPr>
            </w:pPr>
          </w:p>
        </w:tc>
        <w:tc>
          <w:tcPr>
            <w:tcW w:w="3171" w:type="dxa"/>
            <w:vMerge w:val="restart"/>
          </w:tcPr>
          <w:p>
            <w:pPr>
              <w:pStyle w:val="TableParagraph"/>
              <w:rPr>
                <w:sz w:val="18"/>
              </w:rPr>
            </w:pPr>
          </w:p>
        </w:tc>
        <w:tc>
          <w:tcPr>
            <w:tcW w:w="835"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L43.3,</w:t>
            </w:r>
            <w:r>
              <w:rPr>
                <w:spacing w:val="-6"/>
                <w:sz w:val="20"/>
              </w:rPr>
              <w:t> </w:t>
            </w:r>
            <w:r>
              <w:rPr>
                <w:sz w:val="20"/>
              </w:rPr>
              <w:t>L43.8,</w:t>
            </w:r>
            <w:r>
              <w:rPr>
                <w:spacing w:val="-5"/>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pacing w:val="-2"/>
                <w:sz w:val="20"/>
              </w:rPr>
              <w:t>L44.4,</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27" w:right="888"/>
              <w:jc w:val="center"/>
              <w:rPr>
                <w:sz w:val="20"/>
              </w:rPr>
            </w:pPr>
            <w:r>
              <w:rPr>
                <w:sz w:val="20"/>
              </w:rPr>
              <w:t>L44.8,</w:t>
            </w:r>
            <w:r>
              <w:rPr>
                <w:spacing w:val="-6"/>
                <w:sz w:val="20"/>
              </w:rPr>
              <w:t> </w:t>
            </w:r>
            <w:r>
              <w:rPr>
                <w:sz w:val="20"/>
              </w:rPr>
              <w:t>L44.9,</w:t>
            </w:r>
            <w:r>
              <w:rPr>
                <w:spacing w:val="-5"/>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pacing w:val="-2"/>
                <w:sz w:val="20"/>
              </w:rPr>
              <w:t>L50.3,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L50.4,</w:t>
            </w:r>
            <w:r>
              <w:rPr>
                <w:spacing w:val="-6"/>
                <w:sz w:val="20"/>
              </w:rPr>
              <w:t> </w:t>
            </w:r>
            <w:r>
              <w:rPr>
                <w:sz w:val="20"/>
              </w:rPr>
              <w:t>L50.5,</w:t>
            </w:r>
            <w:r>
              <w:rPr>
                <w:spacing w:val="-5"/>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pacing w:val="-2"/>
                <w:sz w:val="20"/>
              </w:rPr>
              <w:t>L51.1,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8"/>
              <w:jc w:val="center"/>
              <w:rPr>
                <w:sz w:val="20"/>
              </w:rPr>
            </w:pPr>
            <w:r>
              <w:rPr>
                <w:sz w:val="20"/>
              </w:rPr>
              <w:t>L51.2,</w:t>
            </w:r>
            <w:r>
              <w:rPr>
                <w:spacing w:val="-6"/>
                <w:sz w:val="20"/>
              </w:rPr>
              <w:t> </w:t>
            </w:r>
            <w:r>
              <w:rPr>
                <w:sz w:val="20"/>
              </w:rPr>
              <w:t>L51.8,</w:t>
            </w:r>
            <w:r>
              <w:rPr>
                <w:spacing w:val="-5"/>
                <w:sz w:val="20"/>
              </w:rPr>
              <w:t> </w:t>
            </w:r>
            <w:r>
              <w:rPr>
                <w:sz w:val="20"/>
              </w:rPr>
              <w:t>L51.9,</w:t>
            </w:r>
            <w:r>
              <w:rPr>
                <w:spacing w:val="-5"/>
                <w:sz w:val="20"/>
              </w:rPr>
              <w:t> </w:t>
            </w:r>
            <w:r>
              <w:rPr>
                <w:sz w:val="20"/>
              </w:rPr>
              <w:t>L52,</w:t>
            </w:r>
            <w:r>
              <w:rPr>
                <w:spacing w:val="-5"/>
                <w:sz w:val="20"/>
              </w:rPr>
              <w:t> </w:t>
            </w:r>
            <w:r>
              <w:rPr>
                <w:sz w:val="20"/>
              </w:rPr>
              <w:t>L53.0,</w:t>
            </w:r>
            <w:r>
              <w:rPr>
                <w:spacing w:val="-5"/>
                <w:sz w:val="20"/>
              </w:rPr>
              <w:t> </w:t>
            </w:r>
            <w:r>
              <w:rPr>
                <w:sz w:val="20"/>
              </w:rPr>
              <w:t>L53.1,</w:t>
            </w:r>
            <w:r>
              <w:rPr>
                <w:spacing w:val="-5"/>
                <w:sz w:val="20"/>
              </w:rPr>
              <w:t> </w:t>
            </w:r>
            <w:r>
              <w:rPr>
                <w:spacing w:val="-2"/>
                <w:sz w:val="20"/>
              </w:rPr>
              <w:t>L53.2,</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L53.3,</w:t>
            </w:r>
            <w:r>
              <w:rPr>
                <w:spacing w:val="-6"/>
                <w:sz w:val="20"/>
              </w:rPr>
              <w:t> </w:t>
            </w:r>
            <w:r>
              <w:rPr>
                <w:sz w:val="20"/>
              </w:rPr>
              <w:t>L53.8,</w:t>
            </w:r>
            <w:r>
              <w:rPr>
                <w:spacing w:val="-5"/>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pacing w:val="-2"/>
                <w:sz w:val="20"/>
              </w:rPr>
              <w:t>L55.1,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1" w:lineRule="exact"/>
              <w:ind w:left="190" w:right="949"/>
              <w:jc w:val="center"/>
              <w:rPr>
                <w:sz w:val="20"/>
              </w:rPr>
            </w:pPr>
            <w:r>
              <w:rPr>
                <w:sz w:val="20"/>
              </w:rPr>
              <w:t>L55.2,</w:t>
            </w:r>
            <w:r>
              <w:rPr>
                <w:spacing w:val="-6"/>
                <w:sz w:val="20"/>
              </w:rPr>
              <w:t> </w:t>
            </w:r>
            <w:r>
              <w:rPr>
                <w:sz w:val="20"/>
              </w:rPr>
              <w:t>L55.8,</w:t>
            </w:r>
            <w:r>
              <w:rPr>
                <w:spacing w:val="-5"/>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pacing w:val="-2"/>
                <w:sz w:val="20"/>
              </w:rPr>
              <w:t>L56.3,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L56.4,</w:t>
            </w:r>
            <w:r>
              <w:rPr>
                <w:spacing w:val="-6"/>
                <w:sz w:val="20"/>
              </w:rPr>
              <w:t> </w:t>
            </w:r>
            <w:r>
              <w:rPr>
                <w:sz w:val="20"/>
              </w:rPr>
              <w:t>L56.8,</w:t>
            </w:r>
            <w:r>
              <w:rPr>
                <w:spacing w:val="-5"/>
                <w:sz w:val="20"/>
              </w:rPr>
              <w:t> </w:t>
            </w:r>
            <w:r>
              <w:rPr>
                <w:sz w:val="20"/>
              </w:rPr>
              <w:t>L56.9,</w:t>
            </w:r>
            <w:r>
              <w:rPr>
                <w:spacing w:val="-5"/>
                <w:sz w:val="20"/>
              </w:rPr>
              <w:t> </w:t>
            </w:r>
            <w:r>
              <w:rPr>
                <w:sz w:val="20"/>
              </w:rPr>
              <w:t>L57.0,</w:t>
            </w:r>
            <w:r>
              <w:rPr>
                <w:spacing w:val="-5"/>
                <w:sz w:val="20"/>
              </w:rPr>
              <w:t> </w:t>
            </w:r>
            <w:r>
              <w:rPr>
                <w:sz w:val="20"/>
              </w:rPr>
              <w:t>L57.1,</w:t>
            </w:r>
            <w:r>
              <w:rPr>
                <w:spacing w:val="-5"/>
                <w:sz w:val="20"/>
              </w:rPr>
              <w:t> </w:t>
            </w:r>
            <w:r>
              <w:rPr>
                <w:sz w:val="20"/>
              </w:rPr>
              <w:t>L57.5,</w:t>
            </w:r>
            <w:r>
              <w:rPr>
                <w:spacing w:val="-5"/>
                <w:sz w:val="20"/>
              </w:rPr>
              <w:t> </w:t>
            </w:r>
            <w:r>
              <w:rPr>
                <w:spacing w:val="-2"/>
                <w:sz w:val="20"/>
              </w:rPr>
              <w:t>L57.8,</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L57.9,</w:t>
            </w:r>
            <w:r>
              <w:rPr>
                <w:spacing w:val="-6"/>
                <w:sz w:val="20"/>
              </w:rPr>
              <w:t> </w:t>
            </w:r>
            <w:r>
              <w:rPr>
                <w:sz w:val="20"/>
              </w:rPr>
              <w:t>L58.0,</w:t>
            </w:r>
            <w:r>
              <w:rPr>
                <w:spacing w:val="-5"/>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pacing w:val="-2"/>
                <w:sz w:val="20"/>
              </w:rPr>
              <w:t>L59.9,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L63.0,</w:t>
            </w:r>
            <w:r>
              <w:rPr>
                <w:spacing w:val="-6"/>
                <w:sz w:val="20"/>
              </w:rPr>
              <w:t> </w:t>
            </w:r>
            <w:r>
              <w:rPr>
                <w:sz w:val="20"/>
              </w:rPr>
              <w:t>L63.1,</w:t>
            </w:r>
            <w:r>
              <w:rPr>
                <w:spacing w:val="-5"/>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5"/>
                <w:sz w:val="20"/>
              </w:rPr>
              <w:t> </w:t>
            </w:r>
            <w:r>
              <w:rPr>
                <w:spacing w:val="-2"/>
                <w:sz w:val="20"/>
              </w:rPr>
              <w:t>L65.0,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L65.1,</w:t>
            </w:r>
            <w:r>
              <w:rPr>
                <w:spacing w:val="-6"/>
                <w:sz w:val="20"/>
              </w:rPr>
              <w:t> </w:t>
            </w:r>
            <w:r>
              <w:rPr>
                <w:sz w:val="20"/>
              </w:rPr>
              <w:t>L65.2,</w:t>
            </w:r>
            <w:r>
              <w:rPr>
                <w:spacing w:val="-5"/>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pacing w:val="-2"/>
                <w:sz w:val="20"/>
              </w:rPr>
              <w:t>L66.3,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4"/>
              <w:jc w:val="center"/>
              <w:rPr>
                <w:sz w:val="20"/>
              </w:rPr>
            </w:pPr>
            <w:r>
              <w:rPr>
                <w:sz w:val="20"/>
              </w:rPr>
              <w:t>L66.4,</w:t>
            </w:r>
            <w:r>
              <w:rPr>
                <w:spacing w:val="-5"/>
                <w:sz w:val="20"/>
              </w:rPr>
              <w:t> </w:t>
            </w:r>
            <w:r>
              <w:rPr>
                <w:sz w:val="20"/>
              </w:rPr>
              <w:t>L66.9,</w:t>
            </w:r>
            <w:r>
              <w:rPr>
                <w:spacing w:val="-5"/>
                <w:sz w:val="20"/>
              </w:rPr>
              <w:t> </w:t>
            </w:r>
            <w:r>
              <w:rPr>
                <w:sz w:val="20"/>
              </w:rPr>
              <w:t>L67.0,</w:t>
            </w:r>
            <w:r>
              <w:rPr>
                <w:spacing w:val="-5"/>
                <w:sz w:val="20"/>
              </w:rPr>
              <w:t> </w:t>
            </w:r>
            <w:r>
              <w:rPr>
                <w:sz w:val="20"/>
              </w:rPr>
              <w:t>L70.0,</w:t>
            </w:r>
            <w:r>
              <w:rPr>
                <w:spacing w:val="-4"/>
                <w:sz w:val="20"/>
              </w:rPr>
              <w:t> </w:t>
            </w:r>
            <w:r>
              <w:rPr>
                <w:sz w:val="20"/>
              </w:rPr>
              <w:t>L70.1,</w:t>
            </w:r>
            <w:r>
              <w:rPr>
                <w:spacing w:val="-5"/>
                <w:sz w:val="20"/>
              </w:rPr>
              <w:t> </w:t>
            </w:r>
            <w:r>
              <w:rPr>
                <w:sz w:val="20"/>
              </w:rPr>
              <w:t>L70.2,</w:t>
            </w:r>
            <w:r>
              <w:rPr>
                <w:spacing w:val="-5"/>
                <w:sz w:val="20"/>
              </w:rPr>
              <w:t> </w:t>
            </w:r>
            <w:r>
              <w:rPr>
                <w:spacing w:val="-2"/>
                <w:sz w:val="20"/>
              </w:rPr>
              <w:t>L70.3,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L70.4,</w:t>
            </w:r>
            <w:r>
              <w:rPr>
                <w:spacing w:val="-6"/>
                <w:sz w:val="20"/>
              </w:rPr>
              <w:t> </w:t>
            </w:r>
            <w:r>
              <w:rPr>
                <w:sz w:val="20"/>
              </w:rPr>
              <w:t>L70.5,</w:t>
            </w:r>
            <w:r>
              <w:rPr>
                <w:spacing w:val="-5"/>
                <w:sz w:val="20"/>
              </w:rPr>
              <w:t> </w:t>
            </w:r>
            <w:r>
              <w:rPr>
                <w:sz w:val="20"/>
              </w:rPr>
              <w:t>L70.9,</w:t>
            </w:r>
            <w:r>
              <w:rPr>
                <w:spacing w:val="-5"/>
                <w:sz w:val="20"/>
              </w:rPr>
              <w:t> </w:t>
            </w:r>
            <w:r>
              <w:rPr>
                <w:sz w:val="20"/>
              </w:rPr>
              <w:t>L71.0,</w:t>
            </w:r>
            <w:r>
              <w:rPr>
                <w:spacing w:val="-5"/>
                <w:sz w:val="20"/>
              </w:rPr>
              <w:t> </w:t>
            </w:r>
            <w:r>
              <w:rPr>
                <w:sz w:val="20"/>
              </w:rPr>
              <w:t>L71.1,</w:t>
            </w:r>
            <w:r>
              <w:rPr>
                <w:spacing w:val="-5"/>
                <w:sz w:val="20"/>
              </w:rPr>
              <w:t> </w:t>
            </w:r>
            <w:r>
              <w:rPr>
                <w:sz w:val="20"/>
              </w:rPr>
              <w:t>L71.8,</w:t>
            </w:r>
            <w:r>
              <w:rPr>
                <w:spacing w:val="-5"/>
                <w:sz w:val="20"/>
              </w:rPr>
              <w:t> </w:t>
            </w:r>
            <w:r>
              <w:rPr>
                <w:spacing w:val="-2"/>
                <w:sz w:val="20"/>
              </w:rPr>
              <w:t>L71.9,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L73.0,</w:t>
            </w:r>
            <w:r>
              <w:rPr>
                <w:spacing w:val="-6"/>
                <w:sz w:val="20"/>
              </w:rPr>
              <w:t> </w:t>
            </w:r>
            <w:r>
              <w:rPr>
                <w:sz w:val="20"/>
              </w:rPr>
              <w:t>L73.1,</w:t>
            </w:r>
            <w:r>
              <w:rPr>
                <w:spacing w:val="-5"/>
                <w:sz w:val="20"/>
              </w:rPr>
              <w:t> </w:t>
            </w:r>
            <w:r>
              <w:rPr>
                <w:sz w:val="20"/>
              </w:rPr>
              <w:t>L73.9,</w:t>
            </w:r>
            <w:r>
              <w:rPr>
                <w:spacing w:val="-5"/>
                <w:sz w:val="20"/>
              </w:rPr>
              <w:t> </w:t>
            </w:r>
            <w:r>
              <w:rPr>
                <w:sz w:val="20"/>
              </w:rPr>
              <w:t>L74.0,</w:t>
            </w:r>
            <w:r>
              <w:rPr>
                <w:spacing w:val="-5"/>
                <w:sz w:val="20"/>
              </w:rPr>
              <w:t> </w:t>
            </w:r>
            <w:r>
              <w:rPr>
                <w:sz w:val="20"/>
              </w:rPr>
              <w:t>L74.2,</w:t>
            </w:r>
            <w:r>
              <w:rPr>
                <w:spacing w:val="-5"/>
                <w:sz w:val="20"/>
              </w:rPr>
              <w:t> </w:t>
            </w:r>
            <w:r>
              <w:rPr>
                <w:sz w:val="20"/>
              </w:rPr>
              <w:t>L74.3,</w:t>
            </w:r>
            <w:r>
              <w:rPr>
                <w:spacing w:val="-5"/>
                <w:sz w:val="20"/>
              </w:rPr>
              <w:t> </w:t>
            </w:r>
            <w:r>
              <w:rPr>
                <w:spacing w:val="-2"/>
                <w:sz w:val="20"/>
              </w:rPr>
              <w:t>L74.9,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27" w:right="890"/>
              <w:jc w:val="center"/>
              <w:rPr>
                <w:sz w:val="20"/>
              </w:rPr>
            </w:pPr>
            <w:r>
              <w:rPr>
                <w:sz w:val="20"/>
              </w:rPr>
              <w:t>L75.2,</w:t>
            </w:r>
            <w:r>
              <w:rPr>
                <w:spacing w:val="-6"/>
                <w:sz w:val="20"/>
              </w:rPr>
              <w:t> </w:t>
            </w:r>
            <w:r>
              <w:rPr>
                <w:sz w:val="20"/>
              </w:rPr>
              <w:t>L75.9,</w:t>
            </w:r>
            <w:r>
              <w:rPr>
                <w:spacing w:val="-5"/>
                <w:sz w:val="20"/>
              </w:rPr>
              <w:t> </w:t>
            </w:r>
            <w:r>
              <w:rPr>
                <w:sz w:val="20"/>
              </w:rPr>
              <w:t>L80,</w:t>
            </w:r>
            <w:r>
              <w:rPr>
                <w:spacing w:val="-5"/>
                <w:sz w:val="20"/>
              </w:rPr>
              <w:t> </w:t>
            </w:r>
            <w:r>
              <w:rPr>
                <w:sz w:val="20"/>
              </w:rPr>
              <w:t>L81.3,</w:t>
            </w:r>
            <w:r>
              <w:rPr>
                <w:spacing w:val="-5"/>
                <w:sz w:val="20"/>
              </w:rPr>
              <w:t> </w:t>
            </w:r>
            <w:r>
              <w:rPr>
                <w:sz w:val="20"/>
              </w:rPr>
              <w:t>L81.5,</w:t>
            </w:r>
            <w:r>
              <w:rPr>
                <w:spacing w:val="-5"/>
                <w:sz w:val="20"/>
              </w:rPr>
              <w:t> </w:t>
            </w:r>
            <w:r>
              <w:rPr>
                <w:sz w:val="20"/>
              </w:rPr>
              <w:t>L81.7,</w:t>
            </w:r>
            <w:r>
              <w:rPr>
                <w:spacing w:val="-5"/>
                <w:sz w:val="20"/>
              </w:rPr>
              <w:t> </w:t>
            </w:r>
            <w:r>
              <w:rPr>
                <w:spacing w:val="-4"/>
                <w:sz w:val="20"/>
              </w:rPr>
              <w:t>L83,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8"/>
              <w:jc w:val="center"/>
              <w:rPr>
                <w:sz w:val="20"/>
              </w:rPr>
            </w:pPr>
            <w:r>
              <w:rPr>
                <w:sz w:val="20"/>
              </w:rPr>
              <w:t>L85.0,</w:t>
            </w:r>
            <w:r>
              <w:rPr>
                <w:spacing w:val="-5"/>
                <w:sz w:val="20"/>
              </w:rPr>
              <w:t> </w:t>
            </w:r>
            <w:r>
              <w:rPr>
                <w:sz w:val="20"/>
              </w:rPr>
              <w:t>L85.1,</w:t>
            </w:r>
            <w:r>
              <w:rPr>
                <w:spacing w:val="-5"/>
                <w:sz w:val="20"/>
              </w:rPr>
              <w:t> </w:t>
            </w:r>
            <w:r>
              <w:rPr>
                <w:sz w:val="20"/>
              </w:rPr>
              <w:t>L85.2,</w:t>
            </w:r>
            <w:r>
              <w:rPr>
                <w:spacing w:val="-4"/>
                <w:sz w:val="20"/>
              </w:rPr>
              <w:t> </w:t>
            </w:r>
            <w:r>
              <w:rPr>
                <w:sz w:val="20"/>
              </w:rPr>
              <w:t>L85.3,</w:t>
            </w:r>
            <w:r>
              <w:rPr>
                <w:spacing w:val="-5"/>
                <w:sz w:val="20"/>
              </w:rPr>
              <w:t> </w:t>
            </w:r>
            <w:r>
              <w:rPr>
                <w:sz w:val="20"/>
              </w:rPr>
              <w:t>L86,</w:t>
            </w:r>
            <w:r>
              <w:rPr>
                <w:spacing w:val="-5"/>
                <w:sz w:val="20"/>
              </w:rPr>
              <w:t> </w:t>
            </w:r>
            <w:r>
              <w:rPr>
                <w:sz w:val="20"/>
              </w:rPr>
              <w:t>L87.0,</w:t>
            </w:r>
            <w:r>
              <w:rPr>
                <w:spacing w:val="-6"/>
                <w:sz w:val="20"/>
              </w:rPr>
              <w:t> </w:t>
            </w:r>
            <w:r>
              <w:rPr>
                <w:spacing w:val="-2"/>
                <w:sz w:val="20"/>
              </w:rPr>
              <w:t>L87.1,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3"/>
              <w:jc w:val="center"/>
              <w:rPr>
                <w:sz w:val="20"/>
              </w:rPr>
            </w:pPr>
            <w:r>
              <w:rPr>
                <w:sz w:val="20"/>
              </w:rPr>
              <w:t>L87.2,</w:t>
            </w:r>
            <w:r>
              <w:rPr>
                <w:spacing w:val="-5"/>
                <w:sz w:val="20"/>
              </w:rPr>
              <w:t> </w:t>
            </w:r>
            <w:r>
              <w:rPr>
                <w:sz w:val="20"/>
              </w:rPr>
              <w:t>L87.9,</w:t>
            </w:r>
            <w:r>
              <w:rPr>
                <w:spacing w:val="-4"/>
                <w:sz w:val="20"/>
              </w:rPr>
              <w:t> </w:t>
            </w:r>
            <w:r>
              <w:rPr>
                <w:sz w:val="20"/>
              </w:rPr>
              <w:t>L88,</w:t>
            </w:r>
            <w:r>
              <w:rPr>
                <w:spacing w:val="-4"/>
                <w:sz w:val="20"/>
              </w:rPr>
              <w:t> </w:t>
            </w:r>
            <w:r>
              <w:rPr>
                <w:sz w:val="20"/>
              </w:rPr>
              <w:t>L90.0,</w:t>
            </w:r>
            <w:r>
              <w:rPr>
                <w:spacing w:val="-5"/>
                <w:sz w:val="20"/>
              </w:rPr>
              <w:t> </w:t>
            </w:r>
            <w:r>
              <w:rPr>
                <w:sz w:val="20"/>
              </w:rPr>
              <w:t>L90.1,</w:t>
            </w:r>
            <w:r>
              <w:rPr>
                <w:spacing w:val="-4"/>
                <w:sz w:val="20"/>
              </w:rPr>
              <w:t> </w:t>
            </w:r>
            <w:r>
              <w:rPr>
                <w:sz w:val="20"/>
              </w:rPr>
              <w:t>L90.2,</w:t>
            </w:r>
            <w:r>
              <w:rPr>
                <w:spacing w:val="-4"/>
                <w:sz w:val="20"/>
              </w:rPr>
              <w:t> </w:t>
            </w:r>
            <w:r>
              <w:rPr>
                <w:spacing w:val="-2"/>
                <w:sz w:val="20"/>
              </w:rPr>
              <w:t>L90.3,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1" w:lineRule="exact"/>
              <w:ind w:left="190" w:right="949"/>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1" w:lineRule="exact"/>
              <w:ind w:left="190" w:right="949"/>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L93.2,</w:t>
            </w:r>
            <w:r>
              <w:rPr>
                <w:spacing w:val="-6"/>
                <w:sz w:val="20"/>
              </w:rPr>
              <w:t> </w:t>
            </w:r>
            <w:r>
              <w:rPr>
                <w:sz w:val="20"/>
              </w:rPr>
              <w:t>L94.0,</w:t>
            </w:r>
            <w:r>
              <w:rPr>
                <w:spacing w:val="-5"/>
                <w:sz w:val="20"/>
              </w:rPr>
              <w:t> </w:t>
            </w:r>
            <w:r>
              <w:rPr>
                <w:sz w:val="20"/>
              </w:rPr>
              <w:t>L94.1,</w:t>
            </w:r>
            <w:r>
              <w:rPr>
                <w:spacing w:val="-5"/>
                <w:sz w:val="20"/>
              </w:rPr>
              <w:t> </w:t>
            </w:r>
            <w:r>
              <w:rPr>
                <w:sz w:val="20"/>
              </w:rPr>
              <w:t>L94.5,</w:t>
            </w:r>
            <w:r>
              <w:rPr>
                <w:spacing w:val="-5"/>
                <w:sz w:val="20"/>
              </w:rPr>
              <w:t> </w:t>
            </w:r>
            <w:r>
              <w:rPr>
                <w:sz w:val="20"/>
              </w:rPr>
              <w:t>L94.6,</w:t>
            </w:r>
            <w:r>
              <w:rPr>
                <w:spacing w:val="-5"/>
                <w:sz w:val="20"/>
              </w:rPr>
              <w:t> </w:t>
            </w:r>
            <w:r>
              <w:rPr>
                <w:sz w:val="20"/>
              </w:rPr>
              <w:t>L94.8,</w:t>
            </w:r>
            <w:r>
              <w:rPr>
                <w:spacing w:val="-5"/>
                <w:sz w:val="20"/>
              </w:rPr>
              <w:t> </w:t>
            </w:r>
            <w:r>
              <w:rPr>
                <w:spacing w:val="-2"/>
                <w:sz w:val="20"/>
              </w:rPr>
              <w:t>L94.9,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L95.0,</w:t>
            </w:r>
            <w:r>
              <w:rPr>
                <w:spacing w:val="-6"/>
                <w:sz w:val="20"/>
              </w:rPr>
              <w:t> </w:t>
            </w:r>
            <w:r>
              <w:rPr>
                <w:sz w:val="20"/>
              </w:rPr>
              <w:t>L95.1,</w:t>
            </w:r>
            <w:r>
              <w:rPr>
                <w:spacing w:val="-5"/>
                <w:sz w:val="20"/>
              </w:rPr>
              <w:t> </w:t>
            </w:r>
            <w:r>
              <w:rPr>
                <w:sz w:val="20"/>
              </w:rPr>
              <w:t>L95.8,</w:t>
            </w:r>
            <w:r>
              <w:rPr>
                <w:spacing w:val="-5"/>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pacing w:val="-2"/>
                <w:sz w:val="20"/>
              </w:rPr>
              <w:t>L98.2,</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0"/>
              <w:jc w:val="center"/>
              <w:rPr>
                <w:sz w:val="20"/>
              </w:rPr>
            </w:pPr>
            <w:r>
              <w:rPr>
                <w:sz w:val="20"/>
              </w:rPr>
              <w:t>L98.3,</w:t>
            </w:r>
            <w:r>
              <w:rPr>
                <w:spacing w:val="-5"/>
                <w:sz w:val="20"/>
              </w:rPr>
              <w:t> </w:t>
            </w:r>
            <w:r>
              <w:rPr>
                <w:sz w:val="20"/>
              </w:rPr>
              <w:t>L98.5,</w:t>
            </w:r>
            <w:r>
              <w:rPr>
                <w:spacing w:val="-5"/>
                <w:sz w:val="20"/>
              </w:rPr>
              <w:t> </w:t>
            </w:r>
            <w:r>
              <w:rPr>
                <w:sz w:val="20"/>
              </w:rPr>
              <w:t>L98.6,</w:t>
            </w:r>
            <w:r>
              <w:rPr>
                <w:spacing w:val="-5"/>
                <w:sz w:val="20"/>
              </w:rPr>
              <w:t> </w:t>
            </w:r>
            <w:r>
              <w:rPr>
                <w:sz w:val="20"/>
              </w:rPr>
              <w:t>L98.8,</w:t>
            </w:r>
            <w:r>
              <w:rPr>
                <w:spacing w:val="-5"/>
                <w:sz w:val="20"/>
              </w:rPr>
              <w:t> </w:t>
            </w:r>
            <w:r>
              <w:rPr>
                <w:sz w:val="20"/>
              </w:rPr>
              <w:t>L98.9,</w:t>
            </w:r>
            <w:r>
              <w:rPr>
                <w:spacing w:val="-5"/>
                <w:sz w:val="20"/>
              </w:rPr>
              <w:t> </w:t>
            </w:r>
            <w:r>
              <w:rPr>
                <w:sz w:val="20"/>
              </w:rPr>
              <w:t>L99.0,</w:t>
            </w:r>
            <w:r>
              <w:rPr>
                <w:spacing w:val="2"/>
                <w:sz w:val="20"/>
              </w:rPr>
              <w:t> </w:t>
            </w:r>
            <w:r>
              <w:rPr>
                <w:spacing w:val="-2"/>
                <w:sz w:val="20"/>
              </w:rPr>
              <w:t>Q80.0,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Q80.1,</w:t>
            </w:r>
            <w:r>
              <w:rPr>
                <w:spacing w:val="-4"/>
                <w:sz w:val="20"/>
              </w:rPr>
              <w:t> </w:t>
            </w:r>
            <w:r>
              <w:rPr>
                <w:sz w:val="20"/>
              </w:rPr>
              <w:t>Q80.2,</w:t>
            </w:r>
            <w:r>
              <w:rPr>
                <w:spacing w:val="-6"/>
                <w:sz w:val="20"/>
              </w:rPr>
              <w:t> </w:t>
            </w:r>
            <w:r>
              <w:rPr>
                <w:sz w:val="20"/>
              </w:rPr>
              <w:t>Q80.3,</w:t>
            </w:r>
            <w:r>
              <w:rPr>
                <w:spacing w:val="-4"/>
                <w:sz w:val="20"/>
              </w:rPr>
              <w:t> </w:t>
            </w:r>
            <w:r>
              <w:rPr>
                <w:sz w:val="20"/>
              </w:rPr>
              <w:t>Q80.4,</w:t>
            </w:r>
            <w:r>
              <w:rPr>
                <w:spacing w:val="-6"/>
                <w:sz w:val="20"/>
              </w:rPr>
              <w:t> </w:t>
            </w:r>
            <w:r>
              <w:rPr>
                <w:sz w:val="20"/>
              </w:rPr>
              <w:t>Q80.8,</w:t>
            </w:r>
            <w:r>
              <w:rPr>
                <w:spacing w:val="-4"/>
                <w:sz w:val="20"/>
              </w:rPr>
              <w:t> </w:t>
            </w:r>
            <w:r>
              <w:rPr>
                <w:spacing w:val="-2"/>
                <w:sz w:val="20"/>
              </w:rPr>
              <w:t>Q80.9,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Q81.0,</w:t>
            </w:r>
            <w:r>
              <w:rPr>
                <w:spacing w:val="-4"/>
                <w:sz w:val="20"/>
              </w:rPr>
              <w:t> </w:t>
            </w:r>
            <w:r>
              <w:rPr>
                <w:sz w:val="20"/>
              </w:rPr>
              <w:t>Q81.1,</w:t>
            </w:r>
            <w:r>
              <w:rPr>
                <w:spacing w:val="-6"/>
                <w:sz w:val="20"/>
              </w:rPr>
              <w:t> </w:t>
            </w:r>
            <w:r>
              <w:rPr>
                <w:sz w:val="20"/>
              </w:rPr>
              <w:t>Q81.2,</w:t>
            </w:r>
            <w:r>
              <w:rPr>
                <w:spacing w:val="-4"/>
                <w:sz w:val="20"/>
              </w:rPr>
              <w:t> </w:t>
            </w:r>
            <w:r>
              <w:rPr>
                <w:sz w:val="20"/>
              </w:rPr>
              <w:t>Q81.8,</w:t>
            </w:r>
            <w:r>
              <w:rPr>
                <w:spacing w:val="-6"/>
                <w:sz w:val="20"/>
              </w:rPr>
              <w:t> </w:t>
            </w:r>
            <w:r>
              <w:rPr>
                <w:sz w:val="20"/>
              </w:rPr>
              <w:t>Q81.9,</w:t>
            </w:r>
            <w:r>
              <w:rPr>
                <w:spacing w:val="-4"/>
                <w:sz w:val="20"/>
              </w:rPr>
              <w:t> </w:t>
            </w:r>
            <w:r>
              <w:rPr>
                <w:spacing w:val="-2"/>
                <w:sz w:val="20"/>
              </w:rPr>
              <w:t>Q82.0,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26" w:lineRule="exact"/>
              <w:ind w:left="127" w:right="887"/>
              <w:jc w:val="center"/>
              <w:rPr>
                <w:sz w:val="20"/>
              </w:rPr>
            </w:pPr>
            <w:r>
              <w:rPr>
                <w:sz w:val="20"/>
              </w:rPr>
              <w:t>Q82.1,</w:t>
            </w:r>
            <w:r>
              <w:rPr>
                <w:spacing w:val="-5"/>
                <w:sz w:val="20"/>
              </w:rPr>
              <w:t> </w:t>
            </w:r>
            <w:r>
              <w:rPr>
                <w:sz w:val="20"/>
              </w:rPr>
              <w:t>Q82.2,</w:t>
            </w:r>
            <w:r>
              <w:rPr>
                <w:spacing w:val="-5"/>
                <w:sz w:val="20"/>
              </w:rPr>
              <w:t> </w:t>
            </w:r>
            <w:r>
              <w:rPr>
                <w:sz w:val="20"/>
              </w:rPr>
              <w:t>Q82.9,</w:t>
            </w:r>
            <w:r>
              <w:rPr>
                <w:spacing w:val="-4"/>
                <w:sz w:val="20"/>
              </w:rPr>
              <w:t> </w:t>
            </w:r>
            <w:r>
              <w:rPr>
                <w:sz w:val="20"/>
              </w:rPr>
              <w:t>Q84.0,</w:t>
            </w:r>
            <w:r>
              <w:rPr>
                <w:spacing w:val="-6"/>
                <w:sz w:val="20"/>
              </w:rPr>
              <w:t> </w:t>
            </w:r>
            <w:r>
              <w:rPr>
                <w:sz w:val="20"/>
              </w:rPr>
              <w:t>Q84.3,</w:t>
            </w:r>
            <w:r>
              <w:rPr>
                <w:spacing w:val="-4"/>
                <w:sz w:val="20"/>
              </w:rPr>
              <w:t> </w:t>
            </w:r>
            <w:r>
              <w:rPr>
                <w:sz w:val="20"/>
              </w:rPr>
              <w:t>Q84.8,</w:t>
            </w:r>
            <w:r>
              <w:rPr>
                <w:spacing w:val="-6"/>
                <w:sz w:val="20"/>
              </w:rPr>
              <w:t> </w:t>
            </w:r>
            <w:r>
              <w:rPr>
                <w:spacing w:val="-4"/>
                <w:sz w:val="20"/>
              </w:rPr>
              <w:t>Q84.9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79" w:hRule="atLeast"/>
        </w:trPr>
        <w:tc>
          <w:tcPr>
            <w:tcW w:w="1003" w:type="dxa"/>
          </w:tcPr>
          <w:p>
            <w:pPr>
              <w:pStyle w:val="TableParagraph"/>
              <w:spacing w:line="215" w:lineRule="exact" w:before="45"/>
              <w:ind w:left="50"/>
              <w:rPr>
                <w:sz w:val="20"/>
              </w:rPr>
            </w:pPr>
            <w:r>
              <w:rPr>
                <w:spacing w:val="-2"/>
                <w:sz w:val="20"/>
              </w:rPr>
              <w:t>ds06.003</w:t>
            </w:r>
          </w:p>
        </w:tc>
        <w:tc>
          <w:tcPr>
            <w:tcW w:w="645" w:type="dxa"/>
          </w:tcPr>
          <w:p>
            <w:pPr>
              <w:pStyle w:val="TableParagraph"/>
              <w:spacing w:line="215" w:lineRule="exact" w:before="45"/>
              <w:ind w:right="215"/>
              <w:jc w:val="right"/>
              <w:rPr>
                <w:sz w:val="20"/>
              </w:rPr>
            </w:pPr>
            <w:r>
              <w:rPr>
                <w:spacing w:val="-5"/>
                <w:sz w:val="20"/>
              </w:rPr>
              <w:t>17</w:t>
            </w:r>
          </w:p>
        </w:tc>
        <w:tc>
          <w:tcPr>
            <w:tcW w:w="2571" w:type="dxa"/>
          </w:tcPr>
          <w:p>
            <w:pPr>
              <w:pStyle w:val="TableParagraph"/>
              <w:spacing w:line="215" w:lineRule="exact" w:before="45"/>
              <w:ind w:left="219"/>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08" w:type="dxa"/>
          </w:tcPr>
          <w:p>
            <w:pPr>
              <w:pStyle w:val="TableParagraph"/>
              <w:spacing w:line="215" w:lineRule="exact" w:before="45"/>
              <w:ind w:left="127" w:right="885"/>
              <w:jc w:val="center"/>
              <w:rPr>
                <w:sz w:val="20"/>
              </w:rPr>
            </w:pPr>
            <w:r>
              <w:rPr>
                <w:sz w:val="20"/>
              </w:rPr>
              <w:t>L10.5,</w:t>
            </w:r>
            <w:r>
              <w:rPr>
                <w:spacing w:val="-5"/>
                <w:sz w:val="20"/>
              </w:rPr>
              <w:t> </w:t>
            </w:r>
            <w:r>
              <w:rPr>
                <w:sz w:val="20"/>
              </w:rPr>
              <w:t>L26,</w:t>
            </w:r>
            <w:r>
              <w:rPr>
                <w:spacing w:val="-5"/>
                <w:sz w:val="20"/>
              </w:rPr>
              <w:t> </w:t>
            </w:r>
            <w:r>
              <w:rPr>
                <w:sz w:val="20"/>
              </w:rPr>
              <w:t>L30.8,</w:t>
            </w:r>
            <w:r>
              <w:rPr>
                <w:spacing w:val="-4"/>
                <w:sz w:val="20"/>
              </w:rPr>
              <w:t> </w:t>
            </w:r>
            <w:r>
              <w:rPr>
                <w:sz w:val="20"/>
              </w:rPr>
              <w:t>L30.9,</w:t>
            </w:r>
            <w:r>
              <w:rPr>
                <w:spacing w:val="-5"/>
                <w:sz w:val="20"/>
              </w:rPr>
              <w:t> </w:t>
            </w:r>
            <w:r>
              <w:rPr>
                <w:sz w:val="20"/>
              </w:rPr>
              <w:t>L40.5,</w:t>
            </w:r>
            <w:r>
              <w:rPr>
                <w:spacing w:val="-5"/>
                <w:sz w:val="20"/>
              </w:rPr>
              <w:t> </w:t>
            </w:r>
            <w:r>
              <w:rPr>
                <w:sz w:val="20"/>
              </w:rPr>
              <w:t>L53.1,</w:t>
            </w:r>
            <w:r>
              <w:rPr>
                <w:spacing w:val="-4"/>
                <w:sz w:val="20"/>
              </w:rPr>
              <w:t> </w:t>
            </w:r>
            <w:r>
              <w:rPr>
                <w:spacing w:val="-2"/>
                <w:sz w:val="20"/>
              </w:rPr>
              <w:t>L53.3,</w:t>
            </w:r>
          </w:p>
        </w:tc>
        <w:tc>
          <w:tcPr>
            <w:tcW w:w="1955" w:type="dxa"/>
          </w:tcPr>
          <w:p>
            <w:pPr>
              <w:pStyle w:val="TableParagraph"/>
              <w:spacing w:line="215" w:lineRule="exact" w:before="45"/>
              <w:ind w:left="914"/>
              <w:rPr>
                <w:sz w:val="20"/>
              </w:rPr>
            </w:pPr>
            <w:r>
              <w:rPr>
                <w:w w:val="99"/>
                <w:sz w:val="20"/>
              </w:rPr>
              <w:t>-</w:t>
            </w:r>
          </w:p>
        </w:tc>
        <w:tc>
          <w:tcPr>
            <w:tcW w:w="3171" w:type="dxa"/>
          </w:tcPr>
          <w:p>
            <w:pPr>
              <w:pStyle w:val="TableParagraph"/>
              <w:spacing w:line="215" w:lineRule="exact" w:before="45"/>
              <w:ind w:left="974" w:right="426"/>
              <w:jc w:val="center"/>
              <w:rPr>
                <w:sz w:val="20"/>
              </w:rPr>
            </w:pPr>
            <w:r>
              <w:rPr>
                <w:spacing w:val="-4"/>
                <w:sz w:val="20"/>
              </w:rPr>
              <w:t>Иной</w:t>
            </w:r>
          </w:p>
        </w:tc>
        <w:tc>
          <w:tcPr>
            <w:tcW w:w="835" w:type="dxa"/>
          </w:tcPr>
          <w:p>
            <w:pPr>
              <w:pStyle w:val="TableParagraph"/>
              <w:spacing w:line="215" w:lineRule="exact" w:before="45"/>
              <w:ind w:right="41"/>
              <w:jc w:val="right"/>
              <w:rPr>
                <w:sz w:val="20"/>
              </w:rPr>
            </w:pPr>
            <w:r>
              <w:rPr>
                <w:spacing w:val="-4"/>
                <w:sz w:val="20"/>
              </w:rPr>
              <w:t>0,97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pacing w:val="-2"/>
                <w:sz w:val="20"/>
              </w:rPr>
              <w:t>применением</w:t>
            </w:r>
            <w:r>
              <w:rPr>
                <w:spacing w:val="8"/>
                <w:sz w:val="20"/>
              </w:rPr>
              <w:t> </w:t>
            </w:r>
            <w:r>
              <w:rPr>
                <w:spacing w:val="-2"/>
                <w:sz w:val="20"/>
              </w:rPr>
              <w:t>наружной</w:t>
            </w:r>
          </w:p>
        </w:tc>
        <w:tc>
          <w:tcPr>
            <w:tcW w:w="5108" w:type="dxa"/>
          </w:tcPr>
          <w:p>
            <w:pPr>
              <w:pStyle w:val="TableParagraph"/>
              <w:spacing w:line="210" w:lineRule="exact"/>
              <w:ind w:left="190" w:right="949"/>
              <w:jc w:val="center"/>
              <w:rPr>
                <w:sz w:val="20"/>
              </w:rPr>
            </w:pPr>
            <w:r>
              <w:rPr>
                <w:sz w:val="20"/>
              </w:rPr>
              <w:t>L53.8,</w:t>
            </w:r>
            <w:r>
              <w:rPr>
                <w:spacing w:val="-6"/>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pacing w:val="-2"/>
                <w:sz w:val="20"/>
              </w:rPr>
              <w:t>L91.9,</w:t>
            </w:r>
          </w:p>
        </w:tc>
        <w:tc>
          <w:tcPr>
            <w:tcW w:w="1955" w:type="dxa"/>
          </w:tcPr>
          <w:p>
            <w:pPr>
              <w:pStyle w:val="TableParagraph"/>
              <w:rPr>
                <w:sz w:val="16"/>
              </w:rPr>
            </w:pPr>
          </w:p>
        </w:tc>
        <w:tc>
          <w:tcPr>
            <w:tcW w:w="3171" w:type="dxa"/>
          </w:tcPr>
          <w:p>
            <w:pPr>
              <w:pStyle w:val="TableParagraph"/>
              <w:spacing w:line="210" w:lineRule="exact"/>
              <w:ind w:left="976" w:right="426"/>
              <w:jc w:val="center"/>
              <w:rPr>
                <w:sz w:val="20"/>
              </w:rPr>
            </w:pPr>
            <w:r>
              <w:rPr>
                <w:spacing w:val="-2"/>
                <w:sz w:val="20"/>
              </w:rPr>
              <w:t>классификационный</w:t>
            </w:r>
          </w:p>
        </w:tc>
        <w:tc>
          <w:tcPr>
            <w:tcW w:w="835"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z w:val="20"/>
              </w:rPr>
              <w:t>терапии,</w:t>
            </w:r>
            <w:r>
              <w:rPr>
                <w:spacing w:val="-10"/>
                <w:sz w:val="20"/>
              </w:rPr>
              <w:t> </w:t>
            </w:r>
            <w:r>
              <w:rPr>
                <w:spacing w:val="-2"/>
                <w:sz w:val="20"/>
              </w:rPr>
              <w:t>физиотерапии,</w:t>
            </w:r>
          </w:p>
        </w:tc>
        <w:tc>
          <w:tcPr>
            <w:tcW w:w="5108" w:type="dxa"/>
          </w:tcPr>
          <w:p>
            <w:pPr>
              <w:pStyle w:val="TableParagraph"/>
              <w:spacing w:line="210" w:lineRule="exact"/>
              <w:ind w:left="190" w:right="949"/>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L94.5,</w:t>
            </w:r>
            <w:r>
              <w:rPr>
                <w:spacing w:val="-5"/>
                <w:sz w:val="20"/>
              </w:rPr>
              <w:t> </w:t>
            </w:r>
            <w:r>
              <w:rPr>
                <w:sz w:val="20"/>
              </w:rPr>
              <w:t>L94.8,</w:t>
            </w:r>
            <w:r>
              <w:rPr>
                <w:spacing w:val="-5"/>
                <w:sz w:val="20"/>
              </w:rPr>
              <w:t> </w:t>
            </w:r>
            <w:r>
              <w:rPr>
                <w:spacing w:val="-2"/>
                <w:sz w:val="20"/>
              </w:rPr>
              <w:t>L94.9,</w:t>
            </w:r>
          </w:p>
        </w:tc>
        <w:tc>
          <w:tcPr>
            <w:tcW w:w="1955" w:type="dxa"/>
          </w:tcPr>
          <w:p>
            <w:pPr>
              <w:pStyle w:val="TableParagraph"/>
              <w:rPr>
                <w:sz w:val="16"/>
              </w:rPr>
            </w:pPr>
          </w:p>
        </w:tc>
        <w:tc>
          <w:tcPr>
            <w:tcW w:w="3171" w:type="dxa"/>
          </w:tcPr>
          <w:p>
            <w:pPr>
              <w:pStyle w:val="TableParagraph"/>
              <w:spacing w:line="210" w:lineRule="exact"/>
              <w:ind w:left="969" w:right="426"/>
              <w:jc w:val="center"/>
              <w:rPr>
                <w:sz w:val="20"/>
              </w:rPr>
            </w:pPr>
            <w:r>
              <w:rPr>
                <w:sz w:val="20"/>
              </w:rPr>
              <w:t>критерий:</w:t>
            </w:r>
            <w:r>
              <w:rPr>
                <w:spacing w:val="-13"/>
                <w:sz w:val="20"/>
              </w:rPr>
              <w:t> </w:t>
            </w:r>
            <w:r>
              <w:rPr>
                <w:spacing w:val="-2"/>
                <w:sz w:val="20"/>
              </w:rPr>
              <w:t>derm1</w:t>
            </w:r>
          </w:p>
        </w:tc>
        <w:tc>
          <w:tcPr>
            <w:tcW w:w="835"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71" w:type="dxa"/>
          </w:tcPr>
          <w:p>
            <w:pPr>
              <w:pStyle w:val="TableParagraph"/>
              <w:spacing w:line="226" w:lineRule="exact"/>
              <w:ind w:left="219"/>
              <w:rPr>
                <w:sz w:val="20"/>
              </w:rPr>
            </w:pPr>
            <w:r>
              <w:rPr>
                <w:spacing w:val="-2"/>
                <w:sz w:val="20"/>
              </w:rPr>
              <w:t>плазмафереза</w:t>
            </w:r>
          </w:p>
        </w:tc>
        <w:tc>
          <w:tcPr>
            <w:tcW w:w="5108" w:type="dxa"/>
          </w:tcPr>
          <w:p>
            <w:pPr>
              <w:pStyle w:val="TableParagraph"/>
              <w:spacing w:line="226" w:lineRule="exact"/>
              <w:ind w:left="127" w:right="885"/>
              <w:jc w:val="center"/>
              <w:rPr>
                <w:sz w:val="20"/>
              </w:rPr>
            </w:pPr>
            <w:r>
              <w:rPr>
                <w:sz w:val="20"/>
              </w:rPr>
              <w:t>L95.0,</w:t>
            </w:r>
            <w:r>
              <w:rPr>
                <w:spacing w:val="-6"/>
                <w:sz w:val="20"/>
              </w:rPr>
              <w:t> </w:t>
            </w:r>
            <w:r>
              <w:rPr>
                <w:sz w:val="20"/>
              </w:rPr>
              <w:t>L98.1,</w:t>
            </w:r>
            <w:r>
              <w:rPr>
                <w:spacing w:val="-5"/>
                <w:sz w:val="20"/>
              </w:rPr>
              <w:t> </w:t>
            </w:r>
            <w:r>
              <w:rPr>
                <w:sz w:val="20"/>
              </w:rPr>
              <w:t>L98.5,</w:t>
            </w:r>
            <w:r>
              <w:rPr>
                <w:spacing w:val="-5"/>
                <w:sz w:val="20"/>
              </w:rPr>
              <w:t> </w:t>
            </w:r>
            <w:r>
              <w:rPr>
                <w:sz w:val="20"/>
              </w:rPr>
              <w:t>Q81.0,</w:t>
            </w:r>
            <w:r>
              <w:rPr>
                <w:spacing w:val="-5"/>
                <w:sz w:val="20"/>
              </w:rPr>
              <w:t> </w:t>
            </w:r>
            <w:r>
              <w:rPr>
                <w:sz w:val="20"/>
              </w:rPr>
              <w:t>Q81.1,</w:t>
            </w:r>
            <w:r>
              <w:rPr>
                <w:spacing w:val="-5"/>
                <w:sz w:val="20"/>
              </w:rPr>
              <w:t> </w:t>
            </w:r>
            <w:r>
              <w:rPr>
                <w:spacing w:val="-4"/>
                <w:sz w:val="20"/>
              </w:rPr>
              <w:t>Q81.2</w:t>
            </w:r>
          </w:p>
        </w:tc>
        <w:tc>
          <w:tcPr>
            <w:tcW w:w="1955" w:type="dxa"/>
          </w:tcPr>
          <w:p>
            <w:pPr>
              <w:pStyle w:val="TableParagraph"/>
              <w:rPr>
                <w:sz w:val="18"/>
              </w:rPr>
            </w:pPr>
          </w:p>
        </w:tc>
        <w:tc>
          <w:tcPr>
            <w:tcW w:w="3171" w:type="dxa"/>
          </w:tcPr>
          <w:p>
            <w:pPr>
              <w:pStyle w:val="TableParagraph"/>
              <w:rPr>
                <w:sz w:val="18"/>
              </w:rPr>
            </w:pPr>
          </w:p>
        </w:tc>
        <w:tc>
          <w:tcPr>
            <w:tcW w:w="835"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ds06.004</w:t>
            </w:r>
          </w:p>
        </w:tc>
        <w:tc>
          <w:tcPr>
            <w:tcW w:w="645" w:type="dxa"/>
          </w:tcPr>
          <w:p>
            <w:pPr>
              <w:pStyle w:val="TableParagraph"/>
              <w:spacing w:line="215" w:lineRule="exact" w:before="45"/>
              <w:ind w:right="215"/>
              <w:jc w:val="right"/>
              <w:rPr>
                <w:sz w:val="20"/>
              </w:rPr>
            </w:pPr>
            <w:r>
              <w:rPr>
                <w:spacing w:val="-5"/>
                <w:sz w:val="20"/>
              </w:rPr>
              <w:t>18</w:t>
            </w:r>
          </w:p>
        </w:tc>
        <w:tc>
          <w:tcPr>
            <w:tcW w:w="2571" w:type="dxa"/>
          </w:tcPr>
          <w:p>
            <w:pPr>
              <w:pStyle w:val="TableParagraph"/>
              <w:spacing w:line="215" w:lineRule="exact" w:before="45"/>
              <w:ind w:left="219"/>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08" w:type="dxa"/>
          </w:tcPr>
          <w:p>
            <w:pPr>
              <w:pStyle w:val="TableParagraph"/>
              <w:spacing w:line="215" w:lineRule="exact" w:before="45"/>
              <w:ind w:left="127" w:right="887"/>
              <w:jc w:val="center"/>
              <w:rPr>
                <w:sz w:val="20"/>
              </w:rPr>
            </w:pPr>
            <w:r>
              <w:rPr>
                <w:sz w:val="20"/>
              </w:rPr>
              <w:t>A26.0,</w:t>
            </w:r>
            <w:r>
              <w:rPr>
                <w:spacing w:val="-5"/>
                <w:sz w:val="20"/>
              </w:rPr>
              <w:t> </w:t>
            </w:r>
            <w:r>
              <w:rPr>
                <w:sz w:val="20"/>
              </w:rPr>
              <w:t>A26.8,</w:t>
            </w:r>
            <w:r>
              <w:rPr>
                <w:spacing w:val="-5"/>
                <w:sz w:val="20"/>
              </w:rPr>
              <w:t> </w:t>
            </w:r>
            <w:r>
              <w:rPr>
                <w:sz w:val="20"/>
              </w:rPr>
              <w:t>B35.0,</w:t>
            </w:r>
            <w:r>
              <w:rPr>
                <w:spacing w:val="-7"/>
                <w:sz w:val="20"/>
              </w:rPr>
              <w:t> </w:t>
            </w:r>
            <w:r>
              <w:rPr>
                <w:sz w:val="20"/>
              </w:rPr>
              <w:t>В35.2,</w:t>
            </w:r>
            <w:r>
              <w:rPr>
                <w:spacing w:val="-7"/>
                <w:sz w:val="20"/>
              </w:rPr>
              <w:t> </w:t>
            </w:r>
            <w:r>
              <w:rPr>
                <w:sz w:val="20"/>
              </w:rPr>
              <w:t>B35.3,</w:t>
            </w:r>
            <w:r>
              <w:rPr>
                <w:spacing w:val="-5"/>
                <w:sz w:val="20"/>
              </w:rPr>
              <w:t> </w:t>
            </w:r>
            <w:r>
              <w:rPr>
                <w:sz w:val="20"/>
              </w:rPr>
              <w:t>B35.4,</w:t>
            </w:r>
            <w:r>
              <w:rPr>
                <w:spacing w:val="-5"/>
                <w:sz w:val="20"/>
              </w:rPr>
              <w:t> </w:t>
            </w:r>
            <w:r>
              <w:rPr>
                <w:spacing w:val="-2"/>
                <w:sz w:val="20"/>
              </w:rPr>
              <w:t>B35.8,</w:t>
            </w:r>
          </w:p>
        </w:tc>
        <w:tc>
          <w:tcPr>
            <w:tcW w:w="1955" w:type="dxa"/>
          </w:tcPr>
          <w:p>
            <w:pPr>
              <w:pStyle w:val="TableParagraph"/>
              <w:spacing w:line="215" w:lineRule="exact" w:before="45"/>
              <w:ind w:left="914"/>
              <w:rPr>
                <w:sz w:val="20"/>
              </w:rPr>
            </w:pPr>
            <w:r>
              <w:rPr>
                <w:w w:val="99"/>
                <w:sz w:val="20"/>
              </w:rPr>
              <w:t>-</w:t>
            </w:r>
          </w:p>
        </w:tc>
        <w:tc>
          <w:tcPr>
            <w:tcW w:w="3171" w:type="dxa"/>
          </w:tcPr>
          <w:p>
            <w:pPr>
              <w:pStyle w:val="TableParagraph"/>
              <w:spacing w:line="215" w:lineRule="exact" w:before="45"/>
              <w:ind w:left="974" w:right="426"/>
              <w:jc w:val="center"/>
              <w:rPr>
                <w:sz w:val="20"/>
              </w:rPr>
            </w:pPr>
            <w:r>
              <w:rPr>
                <w:spacing w:val="-4"/>
                <w:sz w:val="20"/>
              </w:rPr>
              <w:t>Иной</w:t>
            </w:r>
          </w:p>
        </w:tc>
        <w:tc>
          <w:tcPr>
            <w:tcW w:w="835" w:type="dxa"/>
          </w:tcPr>
          <w:p>
            <w:pPr>
              <w:pStyle w:val="TableParagraph"/>
              <w:spacing w:line="215" w:lineRule="exact" w:before="45"/>
              <w:ind w:right="41"/>
              <w:jc w:val="right"/>
              <w:rPr>
                <w:sz w:val="20"/>
              </w:rPr>
            </w:pPr>
            <w:r>
              <w:rPr>
                <w:spacing w:val="-4"/>
                <w:sz w:val="20"/>
              </w:rPr>
              <w:t>0,97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z w:val="20"/>
              </w:rPr>
              <w:t>применением</w:t>
            </w:r>
            <w:r>
              <w:rPr>
                <w:spacing w:val="-11"/>
                <w:sz w:val="20"/>
              </w:rPr>
              <w:t> </w:t>
            </w:r>
            <w:r>
              <w:rPr>
                <w:sz w:val="20"/>
              </w:rPr>
              <w:t>наружной</w:t>
            </w:r>
            <w:r>
              <w:rPr>
                <w:spacing w:val="-13"/>
                <w:sz w:val="20"/>
              </w:rPr>
              <w:t> </w:t>
            </w:r>
            <w:r>
              <w:rPr>
                <w:spacing w:val="-10"/>
                <w:sz w:val="20"/>
              </w:rPr>
              <w:t>и</w:t>
            </w:r>
          </w:p>
        </w:tc>
        <w:tc>
          <w:tcPr>
            <w:tcW w:w="5108" w:type="dxa"/>
          </w:tcPr>
          <w:p>
            <w:pPr>
              <w:pStyle w:val="TableParagraph"/>
              <w:spacing w:line="210" w:lineRule="exact"/>
              <w:ind w:left="127" w:right="890"/>
              <w:jc w:val="center"/>
              <w:rPr>
                <w:sz w:val="20"/>
              </w:rPr>
            </w:pPr>
            <w:r>
              <w:rPr>
                <w:sz w:val="20"/>
              </w:rPr>
              <w:t>B35.9,</w:t>
            </w:r>
            <w:r>
              <w:rPr>
                <w:spacing w:val="-5"/>
                <w:sz w:val="20"/>
              </w:rPr>
              <w:t> </w:t>
            </w:r>
            <w:r>
              <w:rPr>
                <w:sz w:val="20"/>
              </w:rPr>
              <w:t>B36,</w:t>
            </w:r>
            <w:r>
              <w:rPr>
                <w:spacing w:val="-6"/>
                <w:sz w:val="20"/>
              </w:rPr>
              <w:t> </w:t>
            </w:r>
            <w:r>
              <w:rPr>
                <w:sz w:val="20"/>
              </w:rPr>
              <w:t>B36.8,</w:t>
            </w:r>
            <w:r>
              <w:rPr>
                <w:spacing w:val="-4"/>
                <w:sz w:val="20"/>
              </w:rPr>
              <w:t> </w:t>
            </w:r>
            <w:r>
              <w:rPr>
                <w:sz w:val="20"/>
              </w:rPr>
              <w:t>L00,</w:t>
            </w:r>
            <w:r>
              <w:rPr>
                <w:spacing w:val="-4"/>
                <w:sz w:val="20"/>
              </w:rPr>
              <w:t> </w:t>
            </w:r>
            <w:r>
              <w:rPr>
                <w:sz w:val="20"/>
              </w:rPr>
              <w:t>L01.0,</w:t>
            </w:r>
            <w:r>
              <w:rPr>
                <w:spacing w:val="-4"/>
                <w:sz w:val="20"/>
              </w:rPr>
              <w:t> </w:t>
            </w:r>
            <w:r>
              <w:rPr>
                <w:sz w:val="20"/>
              </w:rPr>
              <w:t>L01.1,</w:t>
            </w:r>
            <w:r>
              <w:rPr>
                <w:spacing w:val="-4"/>
                <w:sz w:val="20"/>
              </w:rPr>
              <w:t> </w:t>
            </w:r>
            <w:r>
              <w:rPr>
                <w:spacing w:val="-2"/>
                <w:sz w:val="20"/>
              </w:rPr>
              <w:t>L08.0,</w:t>
            </w:r>
          </w:p>
        </w:tc>
        <w:tc>
          <w:tcPr>
            <w:tcW w:w="1955" w:type="dxa"/>
          </w:tcPr>
          <w:p>
            <w:pPr>
              <w:pStyle w:val="TableParagraph"/>
              <w:rPr>
                <w:sz w:val="16"/>
              </w:rPr>
            </w:pPr>
          </w:p>
        </w:tc>
        <w:tc>
          <w:tcPr>
            <w:tcW w:w="3171" w:type="dxa"/>
          </w:tcPr>
          <w:p>
            <w:pPr>
              <w:pStyle w:val="TableParagraph"/>
              <w:spacing w:line="210" w:lineRule="exact"/>
              <w:ind w:left="976" w:right="426"/>
              <w:jc w:val="center"/>
              <w:rPr>
                <w:sz w:val="20"/>
              </w:rPr>
            </w:pPr>
            <w:r>
              <w:rPr>
                <w:spacing w:val="-2"/>
                <w:sz w:val="20"/>
              </w:rPr>
              <w:t>классификационный</w:t>
            </w:r>
          </w:p>
        </w:tc>
        <w:tc>
          <w:tcPr>
            <w:tcW w:w="835"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z w:val="20"/>
              </w:rPr>
              <w:t>системной</w:t>
            </w:r>
            <w:r>
              <w:rPr>
                <w:spacing w:val="-10"/>
                <w:sz w:val="20"/>
              </w:rPr>
              <w:t> </w:t>
            </w:r>
            <w:r>
              <w:rPr>
                <w:spacing w:val="-2"/>
                <w:sz w:val="20"/>
              </w:rPr>
              <w:t>терапии</w:t>
            </w:r>
          </w:p>
        </w:tc>
        <w:tc>
          <w:tcPr>
            <w:tcW w:w="5108" w:type="dxa"/>
          </w:tcPr>
          <w:p>
            <w:pPr>
              <w:pStyle w:val="TableParagraph"/>
              <w:spacing w:line="210" w:lineRule="exact"/>
              <w:ind w:left="190" w:right="949"/>
              <w:jc w:val="center"/>
              <w:rPr>
                <w:sz w:val="20"/>
              </w:rPr>
            </w:pPr>
            <w:r>
              <w:rPr>
                <w:sz w:val="20"/>
              </w:rPr>
              <w:t>L08.1,</w:t>
            </w:r>
            <w:r>
              <w:rPr>
                <w:spacing w:val="-6"/>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1955" w:type="dxa"/>
          </w:tcPr>
          <w:p>
            <w:pPr>
              <w:pStyle w:val="TableParagraph"/>
              <w:rPr>
                <w:sz w:val="16"/>
              </w:rPr>
            </w:pPr>
          </w:p>
        </w:tc>
        <w:tc>
          <w:tcPr>
            <w:tcW w:w="3171" w:type="dxa"/>
          </w:tcPr>
          <w:p>
            <w:pPr>
              <w:pStyle w:val="TableParagraph"/>
              <w:spacing w:line="210" w:lineRule="exact"/>
              <w:ind w:left="969" w:right="426"/>
              <w:jc w:val="center"/>
              <w:rPr>
                <w:sz w:val="20"/>
              </w:rPr>
            </w:pPr>
            <w:r>
              <w:rPr>
                <w:sz w:val="20"/>
              </w:rPr>
              <w:t>критерий:</w:t>
            </w:r>
            <w:r>
              <w:rPr>
                <w:spacing w:val="-13"/>
                <w:sz w:val="20"/>
              </w:rPr>
              <w:t> </w:t>
            </w:r>
            <w:r>
              <w:rPr>
                <w:spacing w:val="-2"/>
                <w:sz w:val="20"/>
              </w:rPr>
              <w:t>derm2</w:t>
            </w:r>
          </w:p>
        </w:tc>
        <w:tc>
          <w:tcPr>
            <w:tcW w:w="835"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09" w:lineRule="exact"/>
              <w:ind w:left="190" w:right="949"/>
              <w:jc w:val="center"/>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09" w:lineRule="exact"/>
              <w:ind w:left="190" w:right="944"/>
              <w:jc w:val="center"/>
              <w:rPr>
                <w:sz w:val="20"/>
              </w:rPr>
            </w:pPr>
            <w:r>
              <w:rPr>
                <w:sz w:val="20"/>
              </w:rPr>
              <w:t>L11.9,</w:t>
            </w:r>
            <w:r>
              <w:rPr>
                <w:spacing w:val="-5"/>
                <w:sz w:val="20"/>
              </w:rPr>
              <w:t> </w:t>
            </w:r>
            <w:r>
              <w:rPr>
                <w:sz w:val="20"/>
              </w:rPr>
              <w:t>L12.0,</w:t>
            </w:r>
            <w:r>
              <w:rPr>
                <w:spacing w:val="-4"/>
                <w:sz w:val="20"/>
              </w:rPr>
              <w:t> </w:t>
            </w:r>
            <w:r>
              <w:rPr>
                <w:sz w:val="20"/>
              </w:rPr>
              <w:t>L12.1,</w:t>
            </w:r>
            <w:r>
              <w:rPr>
                <w:spacing w:val="-4"/>
                <w:sz w:val="20"/>
              </w:rPr>
              <w:t> </w:t>
            </w:r>
            <w:r>
              <w:rPr>
                <w:sz w:val="20"/>
              </w:rPr>
              <w:t>L12.2,</w:t>
            </w:r>
            <w:r>
              <w:rPr>
                <w:spacing w:val="-4"/>
                <w:sz w:val="20"/>
              </w:rPr>
              <w:t> </w:t>
            </w:r>
            <w:r>
              <w:rPr>
                <w:sz w:val="20"/>
              </w:rPr>
              <w:t>L12.3,</w:t>
            </w:r>
            <w:r>
              <w:rPr>
                <w:spacing w:val="-5"/>
                <w:sz w:val="20"/>
              </w:rPr>
              <w:t> </w:t>
            </w:r>
            <w:r>
              <w:rPr>
                <w:sz w:val="20"/>
              </w:rPr>
              <w:t>L12.8,</w:t>
            </w:r>
            <w:r>
              <w:rPr>
                <w:spacing w:val="-4"/>
                <w:sz w:val="20"/>
              </w:rPr>
              <w:t> </w:t>
            </w:r>
            <w:r>
              <w:rPr>
                <w:spacing w:val="-2"/>
                <w:sz w:val="20"/>
              </w:rPr>
              <w:t>L12.9,</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10" w:lineRule="exact"/>
              <w:ind w:left="127" w:right="888"/>
              <w:jc w:val="center"/>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L20.8,</w:t>
            </w:r>
            <w:r>
              <w:rPr>
                <w:spacing w:val="-6"/>
                <w:sz w:val="20"/>
              </w:rPr>
              <w:t> </w:t>
            </w:r>
            <w:r>
              <w:rPr>
                <w:spacing w:val="-2"/>
                <w:sz w:val="20"/>
              </w:rPr>
              <w:t>L20.9,</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05" w:lineRule="exact"/>
              <w:ind w:left="190" w:right="949"/>
              <w:jc w:val="center"/>
              <w:rPr>
                <w:sz w:val="20"/>
              </w:rPr>
            </w:pPr>
            <w:r>
              <w:rPr>
                <w:sz w:val="20"/>
              </w:rPr>
              <w:t>L21.8,</w:t>
            </w:r>
            <w:r>
              <w:rPr>
                <w:spacing w:val="-6"/>
                <w:sz w:val="20"/>
              </w:rPr>
              <w:t> </w:t>
            </w:r>
            <w:r>
              <w:rPr>
                <w:sz w:val="20"/>
              </w:rPr>
              <w:t>L21.9,</w:t>
            </w:r>
            <w:r>
              <w:rPr>
                <w:spacing w:val="-5"/>
                <w:sz w:val="20"/>
              </w:rPr>
              <w:t> </w:t>
            </w:r>
            <w:r>
              <w:rPr>
                <w:sz w:val="20"/>
              </w:rPr>
              <w:t>L23.0,</w:t>
            </w:r>
            <w:r>
              <w:rPr>
                <w:spacing w:val="-5"/>
                <w:sz w:val="20"/>
              </w:rPr>
              <w:t> </w:t>
            </w:r>
            <w:r>
              <w:rPr>
                <w:sz w:val="20"/>
              </w:rPr>
              <w:t>L23.1,</w:t>
            </w:r>
            <w:r>
              <w:rPr>
                <w:spacing w:val="-5"/>
                <w:sz w:val="20"/>
              </w:rPr>
              <w:t> </w:t>
            </w:r>
            <w:r>
              <w:rPr>
                <w:sz w:val="20"/>
              </w:rPr>
              <w:t>L23.2,</w:t>
            </w:r>
            <w:r>
              <w:rPr>
                <w:spacing w:val="-5"/>
                <w:sz w:val="20"/>
              </w:rPr>
              <w:t> </w:t>
            </w:r>
            <w:r>
              <w:rPr>
                <w:sz w:val="20"/>
              </w:rPr>
              <w:t>L23.3,</w:t>
            </w:r>
            <w:r>
              <w:rPr>
                <w:spacing w:val="-5"/>
                <w:sz w:val="20"/>
              </w:rPr>
              <w:t> </w:t>
            </w:r>
            <w:r>
              <w:rPr>
                <w:spacing w:val="-2"/>
                <w:sz w:val="20"/>
              </w:rPr>
              <w:t>L23.4,</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4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1"/>
        <w:gridCol w:w="1981"/>
        <w:gridCol w:w="2786"/>
      </w:tblGrid>
      <w:tr>
        <w:trPr>
          <w:trHeight w:val="225" w:hRule="atLeast"/>
        </w:trPr>
        <w:tc>
          <w:tcPr>
            <w:tcW w:w="4991" w:type="dxa"/>
          </w:tcPr>
          <w:p>
            <w:pPr>
              <w:pStyle w:val="TableParagraph"/>
              <w:spacing w:line="205" w:lineRule="exact"/>
              <w:ind w:left="53" w:right="885"/>
              <w:jc w:val="center"/>
              <w:rPr>
                <w:sz w:val="20"/>
              </w:rPr>
            </w:pPr>
            <w:r>
              <w:rPr>
                <w:sz w:val="20"/>
              </w:rPr>
              <w:t>L23.5,</w:t>
            </w:r>
            <w:r>
              <w:rPr>
                <w:spacing w:val="-6"/>
                <w:sz w:val="20"/>
              </w:rPr>
              <w:t> </w:t>
            </w:r>
            <w:r>
              <w:rPr>
                <w:sz w:val="20"/>
              </w:rPr>
              <w:t>L23.6,</w:t>
            </w:r>
            <w:r>
              <w:rPr>
                <w:spacing w:val="-5"/>
                <w:sz w:val="20"/>
              </w:rPr>
              <w:t> </w:t>
            </w:r>
            <w:r>
              <w:rPr>
                <w:sz w:val="20"/>
              </w:rPr>
              <w:t>L23.7,</w:t>
            </w:r>
            <w:r>
              <w:rPr>
                <w:spacing w:val="-5"/>
                <w:sz w:val="20"/>
              </w:rPr>
              <w:t> </w:t>
            </w:r>
            <w:r>
              <w:rPr>
                <w:sz w:val="20"/>
              </w:rPr>
              <w:t>L23.8,</w:t>
            </w:r>
            <w:r>
              <w:rPr>
                <w:spacing w:val="-5"/>
                <w:sz w:val="20"/>
              </w:rPr>
              <w:t> </w:t>
            </w:r>
            <w:r>
              <w:rPr>
                <w:sz w:val="20"/>
              </w:rPr>
              <w:t>L23.9,</w:t>
            </w:r>
            <w:r>
              <w:rPr>
                <w:spacing w:val="-5"/>
                <w:sz w:val="20"/>
              </w:rPr>
              <w:t> </w:t>
            </w:r>
            <w:r>
              <w:rPr>
                <w:sz w:val="20"/>
              </w:rPr>
              <w:t>L24.0,</w:t>
            </w:r>
            <w:r>
              <w:rPr>
                <w:spacing w:val="-5"/>
                <w:sz w:val="20"/>
              </w:rPr>
              <w:t> </w:t>
            </w:r>
            <w:r>
              <w:rPr>
                <w:spacing w:val="-2"/>
                <w:sz w:val="20"/>
              </w:rPr>
              <w:t>L24.1,</w:t>
            </w:r>
          </w:p>
        </w:tc>
        <w:tc>
          <w:tcPr>
            <w:tcW w:w="1981" w:type="dxa"/>
            <w:vMerge w:val="restart"/>
          </w:tcPr>
          <w:p>
            <w:pPr>
              <w:pStyle w:val="TableParagraph"/>
              <w:rPr>
                <w:sz w:val="18"/>
              </w:rPr>
            </w:pPr>
          </w:p>
        </w:tc>
        <w:tc>
          <w:tcPr>
            <w:tcW w:w="2786" w:type="dxa"/>
            <w:vMerge w:val="restart"/>
          </w:tcPr>
          <w:p>
            <w:pPr>
              <w:pStyle w:val="TableParagraph"/>
              <w:rPr>
                <w:sz w:val="18"/>
              </w:rPr>
            </w:pPr>
          </w:p>
        </w:tc>
      </w:tr>
      <w:tr>
        <w:trPr>
          <w:trHeight w:val="229" w:hRule="atLeast"/>
        </w:trPr>
        <w:tc>
          <w:tcPr>
            <w:tcW w:w="4991" w:type="dxa"/>
          </w:tcPr>
          <w:p>
            <w:pPr>
              <w:pStyle w:val="TableParagraph"/>
              <w:spacing w:line="209" w:lineRule="exact"/>
              <w:ind w:left="53" w:right="885"/>
              <w:jc w:val="center"/>
              <w:rPr>
                <w:sz w:val="20"/>
              </w:rPr>
            </w:pPr>
            <w:r>
              <w:rPr>
                <w:sz w:val="20"/>
              </w:rPr>
              <w:t>L24.2,</w:t>
            </w:r>
            <w:r>
              <w:rPr>
                <w:spacing w:val="-6"/>
                <w:sz w:val="20"/>
              </w:rPr>
              <w:t> </w:t>
            </w:r>
            <w:r>
              <w:rPr>
                <w:sz w:val="20"/>
              </w:rPr>
              <w:t>L24.3,</w:t>
            </w:r>
            <w:r>
              <w:rPr>
                <w:spacing w:val="-5"/>
                <w:sz w:val="20"/>
              </w:rPr>
              <w:t> </w:t>
            </w:r>
            <w:r>
              <w:rPr>
                <w:sz w:val="20"/>
              </w:rPr>
              <w:t>L24.4,</w:t>
            </w:r>
            <w:r>
              <w:rPr>
                <w:spacing w:val="-5"/>
                <w:sz w:val="20"/>
              </w:rPr>
              <w:t> </w:t>
            </w:r>
            <w:r>
              <w:rPr>
                <w:sz w:val="20"/>
              </w:rPr>
              <w:t>L24.5,</w:t>
            </w:r>
            <w:r>
              <w:rPr>
                <w:spacing w:val="-5"/>
                <w:sz w:val="20"/>
              </w:rPr>
              <w:t> </w:t>
            </w:r>
            <w:r>
              <w:rPr>
                <w:sz w:val="20"/>
              </w:rPr>
              <w:t>L24.6,</w:t>
            </w:r>
            <w:r>
              <w:rPr>
                <w:spacing w:val="-5"/>
                <w:sz w:val="20"/>
              </w:rPr>
              <w:t> </w:t>
            </w:r>
            <w:r>
              <w:rPr>
                <w:sz w:val="20"/>
              </w:rPr>
              <w:t>L24.7,</w:t>
            </w:r>
            <w:r>
              <w:rPr>
                <w:spacing w:val="-5"/>
                <w:sz w:val="20"/>
              </w:rPr>
              <w:t> </w:t>
            </w:r>
            <w:r>
              <w:rPr>
                <w:spacing w:val="-2"/>
                <w:sz w:val="20"/>
              </w:rPr>
              <w:t>L24.8,</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77"/>
              <w:jc w:val="center"/>
              <w:rPr>
                <w:sz w:val="20"/>
              </w:rPr>
            </w:pPr>
            <w:r>
              <w:rPr>
                <w:sz w:val="20"/>
              </w:rPr>
              <w:t>L24.9,</w:t>
            </w:r>
            <w:r>
              <w:rPr>
                <w:spacing w:val="-6"/>
                <w:sz w:val="20"/>
              </w:rPr>
              <w:t> </w:t>
            </w:r>
            <w:r>
              <w:rPr>
                <w:sz w:val="20"/>
              </w:rPr>
              <w:t>L25.0,</w:t>
            </w:r>
            <w:r>
              <w:rPr>
                <w:spacing w:val="-5"/>
                <w:sz w:val="20"/>
              </w:rPr>
              <w:t> </w:t>
            </w:r>
            <w:r>
              <w:rPr>
                <w:sz w:val="20"/>
              </w:rPr>
              <w:t>L25.1,</w:t>
            </w:r>
            <w:r>
              <w:rPr>
                <w:spacing w:val="-5"/>
                <w:sz w:val="20"/>
              </w:rPr>
              <w:t> </w:t>
            </w:r>
            <w:r>
              <w:rPr>
                <w:sz w:val="20"/>
              </w:rPr>
              <w:t>L25.2,</w:t>
            </w:r>
            <w:r>
              <w:rPr>
                <w:spacing w:val="-5"/>
                <w:sz w:val="20"/>
              </w:rPr>
              <w:t> </w:t>
            </w:r>
            <w:r>
              <w:rPr>
                <w:sz w:val="20"/>
              </w:rPr>
              <w:t>L25.3,</w:t>
            </w:r>
            <w:r>
              <w:rPr>
                <w:spacing w:val="-5"/>
                <w:sz w:val="20"/>
              </w:rPr>
              <w:t> </w:t>
            </w:r>
            <w:r>
              <w:rPr>
                <w:sz w:val="20"/>
              </w:rPr>
              <w:t>L25.4,</w:t>
            </w:r>
            <w:r>
              <w:rPr>
                <w:spacing w:val="-5"/>
                <w:sz w:val="20"/>
              </w:rPr>
              <w:t> </w:t>
            </w:r>
            <w:r>
              <w:rPr>
                <w:spacing w:val="-2"/>
                <w:sz w:val="20"/>
              </w:rPr>
              <w:t>L25.5,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L25.8,</w:t>
            </w:r>
            <w:r>
              <w:rPr>
                <w:spacing w:val="-6"/>
                <w:sz w:val="20"/>
              </w:rPr>
              <w:t> </w:t>
            </w:r>
            <w:r>
              <w:rPr>
                <w:sz w:val="20"/>
              </w:rPr>
              <w:t>L25.9,</w:t>
            </w:r>
            <w:r>
              <w:rPr>
                <w:spacing w:val="-5"/>
                <w:sz w:val="20"/>
              </w:rPr>
              <w:t> </w:t>
            </w:r>
            <w:r>
              <w:rPr>
                <w:sz w:val="20"/>
              </w:rPr>
              <w:t>L26,</w:t>
            </w:r>
            <w:r>
              <w:rPr>
                <w:spacing w:val="-5"/>
                <w:sz w:val="20"/>
              </w:rPr>
              <w:t> </w:t>
            </w:r>
            <w:r>
              <w:rPr>
                <w:sz w:val="20"/>
              </w:rPr>
              <w:t>L27.0,</w:t>
            </w:r>
            <w:r>
              <w:rPr>
                <w:spacing w:val="-5"/>
                <w:sz w:val="20"/>
              </w:rPr>
              <w:t> </w:t>
            </w:r>
            <w:r>
              <w:rPr>
                <w:sz w:val="20"/>
              </w:rPr>
              <w:t>L27.1,</w:t>
            </w:r>
            <w:r>
              <w:rPr>
                <w:spacing w:val="-5"/>
                <w:sz w:val="20"/>
              </w:rPr>
              <w:t> </w:t>
            </w:r>
            <w:r>
              <w:rPr>
                <w:sz w:val="20"/>
              </w:rPr>
              <w:t>L27.2,</w:t>
            </w:r>
            <w:r>
              <w:rPr>
                <w:spacing w:val="-5"/>
                <w:sz w:val="20"/>
              </w:rPr>
              <w:t> </w:t>
            </w:r>
            <w:r>
              <w:rPr>
                <w:spacing w:val="-2"/>
                <w:sz w:val="20"/>
              </w:rPr>
              <w:t>L27.8,</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L27.9,</w:t>
            </w:r>
            <w:r>
              <w:rPr>
                <w:spacing w:val="-6"/>
                <w:sz w:val="20"/>
              </w:rPr>
              <w:t> </w:t>
            </w:r>
            <w:r>
              <w:rPr>
                <w:sz w:val="20"/>
              </w:rPr>
              <w:t>L28.0,</w:t>
            </w:r>
            <w:r>
              <w:rPr>
                <w:spacing w:val="-5"/>
                <w:sz w:val="20"/>
              </w:rPr>
              <w:t> </w:t>
            </w:r>
            <w:r>
              <w:rPr>
                <w:sz w:val="20"/>
              </w:rPr>
              <w:t>L28.1,</w:t>
            </w:r>
            <w:r>
              <w:rPr>
                <w:spacing w:val="-5"/>
                <w:sz w:val="20"/>
              </w:rPr>
              <w:t> </w:t>
            </w:r>
            <w:r>
              <w:rPr>
                <w:sz w:val="20"/>
              </w:rPr>
              <w:t>L28.2,</w:t>
            </w:r>
            <w:r>
              <w:rPr>
                <w:spacing w:val="-5"/>
                <w:sz w:val="20"/>
              </w:rPr>
              <w:t> </w:t>
            </w:r>
            <w:r>
              <w:rPr>
                <w:sz w:val="20"/>
              </w:rPr>
              <w:t>L30.0,</w:t>
            </w:r>
            <w:r>
              <w:rPr>
                <w:spacing w:val="-5"/>
                <w:sz w:val="20"/>
              </w:rPr>
              <w:t> </w:t>
            </w:r>
            <w:r>
              <w:rPr>
                <w:sz w:val="20"/>
              </w:rPr>
              <w:t>L30.1,</w:t>
            </w:r>
            <w:r>
              <w:rPr>
                <w:spacing w:val="-5"/>
                <w:sz w:val="20"/>
              </w:rPr>
              <w:t> </w:t>
            </w:r>
            <w:r>
              <w:rPr>
                <w:spacing w:val="-2"/>
                <w:sz w:val="20"/>
              </w:rPr>
              <w:t>L30.2,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L30.3,</w:t>
            </w:r>
            <w:r>
              <w:rPr>
                <w:spacing w:val="-6"/>
                <w:sz w:val="20"/>
              </w:rPr>
              <w:t> </w:t>
            </w:r>
            <w:r>
              <w:rPr>
                <w:sz w:val="20"/>
              </w:rPr>
              <w:t>L30.8,</w:t>
            </w:r>
            <w:r>
              <w:rPr>
                <w:spacing w:val="-5"/>
                <w:sz w:val="20"/>
              </w:rPr>
              <w:t> </w:t>
            </w:r>
            <w:r>
              <w:rPr>
                <w:sz w:val="20"/>
              </w:rPr>
              <w:t>L30.9,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1" w:lineRule="exact"/>
              <w:ind w:left="53" w:right="885"/>
              <w:jc w:val="center"/>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L43.0,</w:t>
            </w:r>
            <w:r>
              <w:rPr>
                <w:spacing w:val="-5"/>
                <w:sz w:val="20"/>
              </w:rPr>
              <w:t> </w:t>
            </w:r>
            <w:r>
              <w:rPr>
                <w:sz w:val="20"/>
              </w:rPr>
              <w:t>L43.1,</w:t>
            </w:r>
            <w:r>
              <w:rPr>
                <w:spacing w:val="-5"/>
                <w:sz w:val="20"/>
              </w:rPr>
              <w:t> </w:t>
            </w:r>
            <w:r>
              <w:rPr>
                <w:sz w:val="20"/>
              </w:rPr>
              <w:t>L43.2,</w:t>
            </w:r>
            <w:r>
              <w:rPr>
                <w:spacing w:val="-5"/>
                <w:sz w:val="20"/>
              </w:rPr>
              <w:t> </w:t>
            </w:r>
            <w:r>
              <w:rPr>
                <w:spacing w:val="-2"/>
                <w:sz w:val="20"/>
              </w:rPr>
              <w:t>L43.3,</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10" w:lineRule="exact"/>
              <w:ind w:left="53" w:right="885"/>
              <w:jc w:val="center"/>
              <w:rPr>
                <w:sz w:val="20"/>
              </w:rPr>
            </w:pPr>
            <w:r>
              <w:rPr>
                <w:sz w:val="20"/>
              </w:rPr>
              <w:t>L43.8,</w:t>
            </w:r>
            <w:r>
              <w:rPr>
                <w:spacing w:val="-6"/>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z w:val="20"/>
              </w:rPr>
              <w:t>L44.4,</w:t>
            </w:r>
            <w:r>
              <w:rPr>
                <w:spacing w:val="-5"/>
                <w:sz w:val="20"/>
              </w:rPr>
              <w:t> </w:t>
            </w:r>
            <w:r>
              <w:rPr>
                <w:spacing w:val="-2"/>
                <w:sz w:val="20"/>
              </w:rPr>
              <w:t>L44.8,</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6"/>
              <w:jc w:val="center"/>
              <w:rPr>
                <w:sz w:val="20"/>
              </w:rPr>
            </w:pPr>
            <w:r>
              <w:rPr>
                <w:sz w:val="20"/>
              </w:rPr>
              <w:t>L44.9,</w:t>
            </w:r>
            <w:r>
              <w:rPr>
                <w:spacing w:val="-5"/>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z w:val="20"/>
              </w:rPr>
              <w:t>L50.3,</w:t>
            </w:r>
            <w:r>
              <w:rPr>
                <w:spacing w:val="-5"/>
                <w:sz w:val="20"/>
              </w:rPr>
              <w:t> </w:t>
            </w:r>
            <w:r>
              <w:rPr>
                <w:spacing w:val="-2"/>
                <w:sz w:val="20"/>
              </w:rPr>
              <w:t>L50.4,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L50.5,</w:t>
            </w:r>
            <w:r>
              <w:rPr>
                <w:spacing w:val="-6"/>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z w:val="20"/>
              </w:rPr>
              <w:t>L51.1,</w:t>
            </w:r>
            <w:r>
              <w:rPr>
                <w:spacing w:val="-5"/>
                <w:sz w:val="20"/>
              </w:rPr>
              <w:t> </w:t>
            </w:r>
            <w:r>
              <w:rPr>
                <w:spacing w:val="-2"/>
                <w:sz w:val="20"/>
              </w:rPr>
              <w:t>L51.2,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L51.8,</w:t>
            </w:r>
            <w:r>
              <w:rPr>
                <w:spacing w:val="-6"/>
                <w:sz w:val="20"/>
              </w:rPr>
              <w:t> </w:t>
            </w:r>
            <w:r>
              <w:rPr>
                <w:sz w:val="20"/>
              </w:rPr>
              <w:t>L51.9,</w:t>
            </w:r>
            <w:r>
              <w:rPr>
                <w:spacing w:val="-5"/>
                <w:sz w:val="20"/>
              </w:rPr>
              <w:t> </w:t>
            </w:r>
            <w:r>
              <w:rPr>
                <w:sz w:val="20"/>
              </w:rPr>
              <w:t>L52,</w:t>
            </w:r>
            <w:r>
              <w:rPr>
                <w:spacing w:val="-5"/>
                <w:sz w:val="20"/>
              </w:rPr>
              <w:t> </w:t>
            </w:r>
            <w:r>
              <w:rPr>
                <w:sz w:val="20"/>
              </w:rPr>
              <w:t>L53.0,</w:t>
            </w:r>
            <w:r>
              <w:rPr>
                <w:spacing w:val="-5"/>
                <w:sz w:val="20"/>
              </w:rPr>
              <w:t> </w:t>
            </w:r>
            <w:r>
              <w:rPr>
                <w:sz w:val="20"/>
              </w:rPr>
              <w:t>L53.1,</w:t>
            </w:r>
            <w:r>
              <w:rPr>
                <w:spacing w:val="-5"/>
                <w:sz w:val="20"/>
              </w:rPr>
              <w:t> </w:t>
            </w:r>
            <w:r>
              <w:rPr>
                <w:sz w:val="20"/>
              </w:rPr>
              <w:t>L53.2,</w:t>
            </w:r>
            <w:r>
              <w:rPr>
                <w:spacing w:val="-5"/>
                <w:sz w:val="20"/>
              </w:rPr>
              <w:t> </w:t>
            </w:r>
            <w:r>
              <w:rPr>
                <w:spacing w:val="-2"/>
                <w:sz w:val="20"/>
              </w:rPr>
              <w:t>L53.3,</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L53.8,</w:t>
            </w:r>
            <w:r>
              <w:rPr>
                <w:spacing w:val="-6"/>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z w:val="20"/>
              </w:rPr>
              <w:t>L55.1,</w:t>
            </w:r>
            <w:r>
              <w:rPr>
                <w:spacing w:val="-5"/>
                <w:sz w:val="20"/>
              </w:rPr>
              <w:t> </w:t>
            </w:r>
            <w:r>
              <w:rPr>
                <w:spacing w:val="-2"/>
                <w:sz w:val="20"/>
              </w:rPr>
              <w:t>L55.2,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L55.8,</w:t>
            </w:r>
            <w:r>
              <w:rPr>
                <w:spacing w:val="-6"/>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z w:val="20"/>
              </w:rPr>
              <w:t>L56.3,</w:t>
            </w:r>
            <w:r>
              <w:rPr>
                <w:spacing w:val="-5"/>
                <w:sz w:val="20"/>
              </w:rPr>
              <w:t> </w:t>
            </w:r>
            <w:r>
              <w:rPr>
                <w:spacing w:val="-2"/>
                <w:sz w:val="20"/>
              </w:rPr>
              <w:t>L56.4,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1"/>
              <w:jc w:val="center"/>
              <w:rPr>
                <w:sz w:val="20"/>
              </w:rPr>
            </w:pPr>
            <w:r>
              <w:rPr>
                <w:sz w:val="20"/>
              </w:rPr>
              <w:t>L56.8,</w:t>
            </w:r>
            <w:r>
              <w:rPr>
                <w:spacing w:val="-5"/>
                <w:sz w:val="20"/>
              </w:rPr>
              <w:t> </w:t>
            </w:r>
            <w:r>
              <w:rPr>
                <w:sz w:val="20"/>
              </w:rPr>
              <w:t>L56.9,</w:t>
            </w:r>
            <w:r>
              <w:rPr>
                <w:spacing w:val="-4"/>
                <w:sz w:val="20"/>
              </w:rPr>
              <w:t> </w:t>
            </w:r>
            <w:r>
              <w:rPr>
                <w:sz w:val="20"/>
              </w:rPr>
              <w:t>L57.0,</w:t>
            </w:r>
            <w:r>
              <w:rPr>
                <w:spacing w:val="-5"/>
                <w:sz w:val="20"/>
              </w:rPr>
              <w:t> </w:t>
            </w:r>
            <w:r>
              <w:rPr>
                <w:sz w:val="20"/>
              </w:rPr>
              <w:t>L57.1,</w:t>
            </w:r>
            <w:r>
              <w:rPr>
                <w:spacing w:val="-4"/>
                <w:sz w:val="20"/>
              </w:rPr>
              <w:t> </w:t>
            </w:r>
            <w:r>
              <w:rPr>
                <w:sz w:val="20"/>
              </w:rPr>
              <w:t>L57.5,</w:t>
            </w:r>
            <w:r>
              <w:rPr>
                <w:spacing w:val="-4"/>
                <w:sz w:val="20"/>
              </w:rPr>
              <w:t> </w:t>
            </w:r>
            <w:r>
              <w:rPr>
                <w:sz w:val="20"/>
              </w:rPr>
              <w:t>L57.8,</w:t>
            </w:r>
            <w:r>
              <w:rPr>
                <w:spacing w:val="-5"/>
                <w:sz w:val="20"/>
              </w:rPr>
              <w:t> </w:t>
            </w:r>
            <w:r>
              <w:rPr>
                <w:spacing w:val="-2"/>
                <w:sz w:val="20"/>
              </w:rPr>
              <w:t>L57.9,</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L58.0,</w:t>
            </w:r>
            <w:r>
              <w:rPr>
                <w:spacing w:val="-6"/>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z w:val="20"/>
              </w:rPr>
              <w:t>L59.9,</w:t>
            </w:r>
            <w:r>
              <w:rPr>
                <w:spacing w:val="-5"/>
                <w:sz w:val="20"/>
              </w:rPr>
              <w:t> </w:t>
            </w:r>
            <w:r>
              <w:rPr>
                <w:spacing w:val="-2"/>
                <w:sz w:val="20"/>
              </w:rPr>
              <w:t>L63.0,</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L63.1,</w:t>
            </w:r>
            <w:r>
              <w:rPr>
                <w:spacing w:val="-6"/>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5"/>
                <w:sz w:val="20"/>
              </w:rPr>
              <w:t> </w:t>
            </w:r>
            <w:r>
              <w:rPr>
                <w:sz w:val="20"/>
              </w:rPr>
              <w:t>L65.0,</w:t>
            </w:r>
            <w:r>
              <w:rPr>
                <w:spacing w:val="-5"/>
                <w:sz w:val="20"/>
              </w:rPr>
              <w:t> </w:t>
            </w:r>
            <w:r>
              <w:rPr>
                <w:spacing w:val="-2"/>
                <w:sz w:val="20"/>
              </w:rPr>
              <w:t>L65.1,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L65.2,</w:t>
            </w:r>
            <w:r>
              <w:rPr>
                <w:spacing w:val="-6"/>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z w:val="20"/>
              </w:rPr>
              <w:t>L66.3,</w:t>
            </w:r>
            <w:r>
              <w:rPr>
                <w:spacing w:val="-5"/>
                <w:sz w:val="20"/>
              </w:rPr>
              <w:t> </w:t>
            </w:r>
            <w:r>
              <w:rPr>
                <w:spacing w:val="-2"/>
                <w:sz w:val="20"/>
              </w:rPr>
              <w:t>L66.4,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1" w:lineRule="exact"/>
              <w:ind w:left="53" w:right="885"/>
              <w:jc w:val="center"/>
              <w:rPr>
                <w:sz w:val="20"/>
              </w:rPr>
            </w:pPr>
            <w:r>
              <w:rPr>
                <w:sz w:val="20"/>
              </w:rPr>
              <w:t>L66.9,</w:t>
            </w:r>
            <w:r>
              <w:rPr>
                <w:spacing w:val="-6"/>
                <w:sz w:val="20"/>
              </w:rPr>
              <w:t> </w:t>
            </w:r>
            <w:r>
              <w:rPr>
                <w:sz w:val="20"/>
              </w:rPr>
              <w:t>L67.0,</w:t>
            </w:r>
            <w:r>
              <w:rPr>
                <w:spacing w:val="-5"/>
                <w:sz w:val="20"/>
              </w:rPr>
              <w:t> </w:t>
            </w:r>
            <w:r>
              <w:rPr>
                <w:sz w:val="20"/>
              </w:rPr>
              <w:t>L70.0,</w:t>
            </w:r>
            <w:r>
              <w:rPr>
                <w:spacing w:val="-5"/>
                <w:sz w:val="20"/>
              </w:rPr>
              <w:t> </w:t>
            </w:r>
            <w:r>
              <w:rPr>
                <w:sz w:val="20"/>
              </w:rPr>
              <w:t>L70.1,</w:t>
            </w:r>
            <w:r>
              <w:rPr>
                <w:spacing w:val="-5"/>
                <w:sz w:val="20"/>
              </w:rPr>
              <w:t> </w:t>
            </w:r>
            <w:r>
              <w:rPr>
                <w:sz w:val="20"/>
              </w:rPr>
              <w:t>L70.2,</w:t>
            </w:r>
            <w:r>
              <w:rPr>
                <w:spacing w:val="-5"/>
                <w:sz w:val="20"/>
              </w:rPr>
              <w:t> </w:t>
            </w:r>
            <w:r>
              <w:rPr>
                <w:sz w:val="20"/>
              </w:rPr>
              <w:t>L70.3,</w:t>
            </w:r>
            <w:r>
              <w:rPr>
                <w:spacing w:val="-5"/>
                <w:sz w:val="20"/>
              </w:rPr>
              <w:t> </w:t>
            </w:r>
            <w:r>
              <w:rPr>
                <w:spacing w:val="-2"/>
                <w:sz w:val="20"/>
              </w:rPr>
              <w:t>L70.5,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1" w:lineRule="exact"/>
              <w:ind w:left="53" w:right="879"/>
              <w:jc w:val="center"/>
              <w:rPr>
                <w:sz w:val="20"/>
              </w:rPr>
            </w:pPr>
            <w:r>
              <w:rPr>
                <w:sz w:val="20"/>
              </w:rPr>
              <w:t>L70.9,</w:t>
            </w:r>
            <w:r>
              <w:rPr>
                <w:spacing w:val="-5"/>
                <w:sz w:val="20"/>
              </w:rPr>
              <w:t> </w:t>
            </w:r>
            <w:r>
              <w:rPr>
                <w:sz w:val="20"/>
              </w:rPr>
              <w:t>L71.1,</w:t>
            </w:r>
            <w:r>
              <w:rPr>
                <w:spacing w:val="-4"/>
                <w:sz w:val="20"/>
              </w:rPr>
              <w:t> </w:t>
            </w:r>
            <w:r>
              <w:rPr>
                <w:sz w:val="20"/>
              </w:rPr>
              <w:t>L71.8,</w:t>
            </w:r>
            <w:r>
              <w:rPr>
                <w:spacing w:val="-4"/>
                <w:sz w:val="20"/>
              </w:rPr>
              <w:t> </w:t>
            </w:r>
            <w:r>
              <w:rPr>
                <w:sz w:val="20"/>
              </w:rPr>
              <w:t>L71.9,</w:t>
            </w:r>
            <w:r>
              <w:rPr>
                <w:spacing w:val="-4"/>
                <w:sz w:val="20"/>
              </w:rPr>
              <w:t> </w:t>
            </w:r>
            <w:r>
              <w:rPr>
                <w:sz w:val="20"/>
              </w:rPr>
              <w:t>L73.0,</w:t>
            </w:r>
            <w:r>
              <w:rPr>
                <w:spacing w:val="-5"/>
                <w:sz w:val="20"/>
              </w:rPr>
              <w:t> </w:t>
            </w:r>
            <w:r>
              <w:rPr>
                <w:sz w:val="20"/>
              </w:rPr>
              <w:t>L73.1,</w:t>
            </w:r>
            <w:r>
              <w:rPr>
                <w:spacing w:val="-4"/>
                <w:sz w:val="20"/>
              </w:rPr>
              <w:t> </w:t>
            </w:r>
            <w:r>
              <w:rPr>
                <w:spacing w:val="-2"/>
                <w:sz w:val="20"/>
              </w:rPr>
              <w:t>L73.9,</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L74.2,</w:t>
            </w:r>
            <w:r>
              <w:rPr>
                <w:spacing w:val="-6"/>
                <w:sz w:val="20"/>
              </w:rPr>
              <w:t> </w:t>
            </w:r>
            <w:r>
              <w:rPr>
                <w:sz w:val="20"/>
              </w:rPr>
              <w:t>L74.3,</w:t>
            </w:r>
            <w:r>
              <w:rPr>
                <w:spacing w:val="-5"/>
                <w:sz w:val="20"/>
              </w:rPr>
              <w:t> </w:t>
            </w:r>
            <w:r>
              <w:rPr>
                <w:sz w:val="20"/>
              </w:rPr>
              <w:t>L74.9,</w:t>
            </w:r>
            <w:r>
              <w:rPr>
                <w:spacing w:val="-5"/>
                <w:sz w:val="20"/>
              </w:rPr>
              <w:t> </w:t>
            </w:r>
            <w:r>
              <w:rPr>
                <w:sz w:val="20"/>
              </w:rPr>
              <w:t>L75.2,</w:t>
            </w:r>
            <w:r>
              <w:rPr>
                <w:spacing w:val="-5"/>
                <w:sz w:val="20"/>
              </w:rPr>
              <w:t> </w:t>
            </w:r>
            <w:r>
              <w:rPr>
                <w:sz w:val="20"/>
              </w:rPr>
              <w:t>L75.9,</w:t>
            </w:r>
            <w:r>
              <w:rPr>
                <w:spacing w:val="-5"/>
                <w:sz w:val="20"/>
              </w:rPr>
              <w:t> </w:t>
            </w:r>
            <w:r>
              <w:rPr>
                <w:sz w:val="20"/>
              </w:rPr>
              <w:t>L81.3,</w:t>
            </w:r>
            <w:r>
              <w:rPr>
                <w:spacing w:val="-5"/>
                <w:sz w:val="20"/>
              </w:rPr>
              <w:t> </w:t>
            </w:r>
            <w:r>
              <w:rPr>
                <w:spacing w:val="-2"/>
                <w:sz w:val="20"/>
              </w:rPr>
              <w:t>L81.5,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0" w:right="886"/>
              <w:jc w:val="center"/>
              <w:rPr>
                <w:sz w:val="20"/>
              </w:rPr>
            </w:pPr>
            <w:r>
              <w:rPr>
                <w:sz w:val="20"/>
              </w:rPr>
              <w:t>L83,</w:t>
            </w:r>
            <w:r>
              <w:rPr>
                <w:spacing w:val="-5"/>
                <w:sz w:val="20"/>
              </w:rPr>
              <w:t> </w:t>
            </w:r>
            <w:r>
              <w:rPr>
                <w:sz w:val="20"/>
              </w:rPr>
              <w:t>L85.0,</w:t>
            </w:r>
            <w:r>
              <w:rPr>
                <w:spacing w:val="-5"/>
                <w:sz w:val="20"/>
              </w:rPr>
              <w:t> </w:t>
            </w:r>
            <w:r>
              <w:rPr>
                <w:sz w:val="20"/>
              </w:rPr>
              <w:t>L85.1,</w:t>
            </w:r>
            <w:r>
              <w:rPr>
                <w:spacing w:val="-4"/>
                <w:sz w:val="20"/>
              </w:rPr>
              <w:t> </w:t>
            </w:r>
            <w:r>
              <w:rPr>
                <w:sz w:val="20"/>
              </w:rPr>
              <w:t>L85.2,</w:t>
            </w:r>
            <w:r>
              <w:rPr>
                <w:spacing w:val="-5"/>
                <w:sz w:val="20"/>
              </w:rPr>
              <w:t> </w:t>
            </w:r>
            <w:r>
              <w:rPr>
                <w:sz w:val="20"/>
              </w:rPr>
              <w:t>L86,</w:t>
            </w:r>
            <w:r>
              <w:rPr>
                <w:spacing w:val="-4"/>
                <w:sz w:val="20"/>
              </w:rPr>
              <w:t> </w:t>
            </w:r>
            <w:r>
              <w:rPr>
                <w:sz w:val="20"/>
              </w:rPr>
              <w:t>L87.0,</w:t>
            </w:r>
            <w:r>
              <w:rPr>
                <w:spacing w:val="-5"/>
                <w:sz w:val="20"/>
              </w:rPr>
              <w:t> </w:t>
            </w:r>
            <w:r>
              <w:rPr>
                <w:spacing w:val="-2"/>
                <w:sz w:val="20"/>
              </w:rPr>
              <w:t>L87.1,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L87.2,</w:t>
            </w:r>
            <w:r>
              <w:rPr>
                <w:spacing w:val="-6"/>
                <w:sz w:val="20"/>
              </w:rPr>
              <w:t> </w:t>
            </w:r>
            <w:r>
              <w:rPr>
                <w:sz w:val="20"/>
              </w:rPr>
              <w:t>L87.9,</w:t>
            </w:r>
            <w:r>
              <w:rPr>
                <w:spacing w:val="-5"/>
                <w:sz w:val="20"/>
              </w:rPr>
              <w:t> </w:t>
            </w:r>
            <w:r>
              <w:rPr>
                <w:sz w:val="20"/>
              </w:rPr>
              <w:t>L88,</w:t>
            </w:r>
            <w:r>
              <w:rPr>
                <w:spacing w:val="-5"/>
                <w:sz w:val="20"/>
              </w:rPr>
              <w:t> </w:t>
            </w:r>
            <w:r>
              <w:rPr>
                <w:sz w:val="20"/>
              </w:rPr>
              <w:t>L90.0,</w:t>
            </w:r>
            <w:r>
              <w:rPr>
                <w:spacing w:val="-5"/>
                <w:sz w:val="20"/>
              </w:rPr>
              <w:t> </w:t>
            </w:r>
            <w:r>
              <w:rPr>
                <w:sz w:val="20"/>
              </w:rPr>
              <w:t>L90.1,</w:t>
            </w:r>
            <w:r>
              <w:rPr>
                <w:spacing w:val="-5"/>
                <w:sz w:val="20"/>
              </w:rPr>
              <w:t> </w:t>
            </w:r>
            <w:r>
              <w:rPr>
                <w:sz w:val="20"/>
              </w:rPr>
              <w:t>L90.2,</w:t>
            </w:r>
            <w:r>
              <w:rPr>
                <w:spacing w:val="-5"/>
                <w:sz w:val="20"/>
              </w:rPr>
              <w:t> </w:t>
            </w:r>
            <w:r>
              <w:rPr>
                <w:spacing w:val="-2"/>
                <w:sz w:val="20"/>
              </w:rPr>
              <w:t>L90.3,</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L94.0,</w:t>
            </w:r>
            <w:r>
              <w:rPr>
                <w:spacing w:val="-6"/>
                <w:sz w:val="20"/>
              </w:rPr>
              <w:t> </w:t>
            </w:r>
            <w:r>
              <w:rPr>
                <w:sz w:val="20"/>
              </w:rPr>
              <w:t>L94.1,</w:t>
            </w:r>
            <w:r>
              <w:rPr>
                <w:spacing w:val="-5"/>
                <w:sz w:val="20"/>
              </w:rPr>
              <w:t> </w:t>
            </w:r>
            <w:r>
              <w:rPr>
                <w:sz w:val="20"/>
              </w:rPr>
              <w:t>L94.6,</w:t>
            </w:r>
            <w:r>
              <w:rPr>
                <w:spacing w:val="-5"/>
                <w:sz w:val="20"/>
              </w:rPr>
              <w:t> </w:t>
            </w:r>
            <w:r>
              <w:rPr>
                <w:sz w:val="20"/>
              </w:rPr>
              <w:t>L94.8,</w:t>
            </w:r>
            <w:r>
              <w:rPr>
                <w:spacing w:val="-5"/>
                <w:sz w:val="20"/>
              </w:rPr>
              <w:t> </w:t>
            </w:r>
            <w:r>
              <w:rPr>
                <w:sz w:val="20"/>
              </w:rPr>
              <w:t>L94.9,</w:t>
            </w:r>
            <w:r>
              <w:rPr>
                <w:spacing w:val="-5"/>
                <w:sz w:val="20"/>
              </w:rPr>
              <w:t> </w:t>
            </w:r>
            <w:r>
              <w:rPr>
                <w:sz w:val="20"/>
              </w:rPr>
              <w:t>L95.0,</w:t>
            </w:r>
            <w:r>
              <w:rPr>
                <w:spacing w:val="-5"/>
                <w:sz w:val="20"/>
              </w:rPr>
              <w:t> </w:t>
            </w:r>
            <w:r>
              <w:rPr>
                <w:spacing w:val="-2"/>
                <w:sz w:val="20"/>
              </w:rPr>
              <w:t>L95.1,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L95.8,</w:t>
            </w:r>
            <w:r>
              <w:rPr>
                <w:spacing w:val="-6"/>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z w:val="20"/>
              </w:rPr>
              <w:t>L98.2,</w:t>
            </w:r>
            <w:r>
              <w:rPr>
                <w:spacing w:val="-5"/>
                <w:sz w:val="20"/>
              </w:rPr>
              <w:t> </w:t>
            </w:r>
            <w:r>
              <w:rPr>
                <w:sz w:val="20"/>
              </w:rPr>
              <w:t>L98.3,</w:t>
            </w:r>
            <w:r>
              <w:rPr>
                <w:spacing w:val="-5"/>
                <w:sz w:val="20"/>
              </w:rPr>
              <w:t> </w:t>
            </w:r>
            <w:r>
              <w:rPr>
                <w:spacing w:val="-2"/>
                <w:sz w:val="20"/>
              </w:rPr>
              <w:t>L98.5,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L98.6,</w:t>
            </w:r>
            <w:r>
              <w:rPr>
                <w:spacing w:val="-6"/>
                <w:sz w:val="20"/>
              </w:rPr>
              <w:t> </w:t>
            </w:r>
            <w:r>
              <w:rPr>
                <w:sz w:val="20"/>
              </w:rPr>
              <w:t>L98.8,</w:t>
            </w:r>
            <w:r>
              <w:rPr>
                <w:spacing w:val="-6"/>
                <w:sz w:val="20"/>
              </w:rPr>
              <w:t> </w:t>
            </w:r>
            <w:r>
              <w:rPr>
                <w:sz w:val="20"/>
              </w:rPr>
              <w:t>L98.9,</w:t>
            </w:r>
            <w:r>
              <w:rPr>
                <w:spacing w:val="-5"/>
                <w:sz w:val="20"/>
              </w:rPr>
              <w:t> </w:t>
            </w:r>
            <w:r>
              <w:rPr>
                <w:sz w:val="20"/>
              </w:rPr>
              <w:t>L99.0,</w:t>
            </w:r>
            <w:r>
              <w:rPr>
                <w:spacing w:val="-6"/>
                <w:sz w:val="20"/>
              </w:rPr>
              <w:t> </w:t>
            </w:r>
            <w:r>
              <w:rPr>
                <w:sz w:val="20"/>
              </w:rPr>
              <w:t>Q80.0,</w:t>
            </w:r>
            <w:r>
              <w:rPr>
                <w:spacing w:val="-6"/>
                <w:sz w:val="20"/>
              </w:rPr>
              <w:t> </w:t>
            </w:r>
            <w:r>
              <w:rPr>
                <w:sz w:val="20"/>
              </w:rPr>
              <w:t>Q80.1,</w:t>
            </w:r>
            <w:r>
              <w:rPr>
                <w:spacing w:val="-5"/>
                <w:sz w:val="20"/>
              </w:rPr>
              <w:t> </w:t>
            </w:r>
            <w:r>
              <w:rPr>
                <w:spacing w:val="-2"/>
                <w:sz w:val="20"/>
              </w:rPr>
              <w:t>Q80.2,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4"/>
              <w:jc w:val="center"/>
              <w:rPr>
                <w:sz w:val="20"/>
              </w:rPr>
            </w:pPr>
            <w:r>
              <w:rPr>
                <w:sz w:val="20"/>
              </w:rPr>
              <w:t>Q80.3,</w:t>
            </w:r>
            <w:r>
              <w:rPr>
                <w:spacing w:val="-4"/>
                <w:sz w:val="20"/>
              </w:rPr>
              <w:t> </w:t>
            </w:r>
            <w:r>
              <w:rPr>
                <w:sz w:val="20"/>
              </w:rPr>
              <w:t>Q80.4,</w:t>
            </w:r>
            <w:r>
              <w:rPr>
                <w:spacing w:val="-6"/>
                <w:sz w:val="20"/>
              </w:rPr>
              <w:t> </w:t>
            </w:r>
            <w:r>
              <w:rPr>
                <w:sz w:val="20"/>
              </w:rPr>
              <w:t>Q80.8,</w:t>
            </w:r>
            <w:r>
              <w:rPr>
                <w:spacing w:val="-4"/>
                <w:sz w:val="20"/>
              </w:rPr>
              <w:t> </w:t>
            </w:r>
            <w:r>
              <w:rPr>
                <w:sz w:val="20"/>
              </w:rPr>
              <w:t>Q80.9,</w:t>
            </w:r>
            <w:r>
              <w:rPr>
                <w:spacing w:val="-6"/>
                <w:sz w:val="20"/>
              </w:rPr>
              <w:t> </w:t>
            </w:r>
            <w:r>
              <w:rPr>
                <w:sz w:val="20"/>
              </w:rPr>
              <w:t>Q81.0,</w:t>
            </w:r>
            <w:r>
              <w:rPr>
                <w:spacing w:val="-4"/>
                <w:sz w:val="20"/>
              </w:rPr>
              <w:t> </w:t>
            </w:r>
            <w:r>
              <w:rPr>
                <w:spacing w:val="-2"/>
                <w:sz w:val="20"/>
              </w:rPr>
              <w:t>Q81.1,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445" w:hRule="atLeast"/>
        </w:trPr>
        <w:tc>
          <w:tcPr>
            <w:tcW w:w="4991" w:type="dxa"/>
          </w:tcPr>
          <w:p>
            <w:pPr>
              <w:pStyle w:val="TableParagraph"/>
              <w:spacing w:line="226" w:lineRule="exact"/>
              <w:ind w:left="53" w:right="886"/>
              <w:jc w:val="center"/>
              <w:rPr>
                <w:sz w:val="20"/>
              </w:rPr>
            </w:pPr>
            <w:r>
              <w:rPr>
                <w:sz w:val="20"/>
              </w:rPr>
              <w:t>Q81.2,</w:t>
            </w:r>
            <w:r>
              <w:rPr>
                <w:spacing w:val="-5"/>
                <w:sz w:val="20"/>
              </w:rPr>
              <w:t> </w:t>
            </w:r>
            <w:r>
              <w:rPr>
                <w:sz w:val="20"/>
              </w:rPr>
              <w:t>Q81.9,</w:t>
            </w:r>
            <w:r>
              <w:rPr>
                <w:spacing w:val="-5"/>
                <w:sz w:val="20"/>
              </w:rPr>
              <w:t> </w:t>
            </w:r>
            <w:r>
              <w:rPr>
                <w:sz w:val="20"/>
              </w:rPr>
              <w:t>Q82.0,</w:t>
            </w:r>
            <w:r>
              <w:rPr>
                <w:spacing w:val="-4"/>
                <w:sz w:val="20"/>
              </w:rPr>
              <w:t> </w:t>
            </w:r>
            <w:r>
              <w:rPr>
                <w:sz w:val="20"/>
              </w:rPr>
              <w:t>Q82.1,</w:t>
            </w:r>
            <w:r>
              <w:rPr>
                <w:spacing w:val="-6"/>
                <w:sz w:val="20"/>
              </w:rPr>
              <w:t> </w:t>
            </w:r>
            <w:r>
              <w:rPr>
                <w:sz w:val="20"/>
              </w:rPr>
              <w:t>Q82.2,</w:t>
            </w:r>
            <w:r>
              <w:rPr>
                <w:spacing w:val="-4"/>
                <w:sz w:val="20"/>
              </w:rPr>
              <w:t> </w:t>
            </w:r>
            <w:r>
              <w:rPr>
                <w:sz w:val="20"/>
              </w:rPr>
              <w:t>Q82.9,</w:t>
            </w:r>
            <w:r>
              <w:rPr>
                <w:spacing w:val="-6"/>
                <w:sz w:val="20"/>
              </w:rPr>
              <w:t> </w:t>
            </w:r>
            <w:r>
              <w:rPr>
                <w:spacing w:val="-4"/>
                <w:sz w:val="20"/>
              </w:rPr>
              <w:t>Q84.9</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445" w:hRule="atLeast"/>
        </w:trPr>
        <w:tc>
          <w:tcPr>
            <w:tcW w:w="4991" w:type="dxa"/>
          </w:tcPr>
          <w:p>
            <w:pPr>
              <w:pStyle w:val="TableParagraph"/>
              <w:spacing w:before="3"/>
              <w:rPr>
                <w:sz w:val="18"/>
              </w:rPr>
            </w:pPr>
          </w:p>
          <w:p>
            <w:pPr>
              <w:pStyle w:val="TableParagraph"/>
              <w:spacing w:line="215" w:lineRule="exact" w:before="1"/>
              <w:ind w:left="53" w:right="885"/>
              <w:jc w:val="center"/>
              <w:rPr>
                <w:sz w:val="20"/>
              </w:rPr>
            </w:pPr>
            <w:r>
              <w:rPr>
                <w:sz w:val="20"/>
              </w:rPr>
              <w:t>L40.0,</w:t>
            </w:r>
            <w:r>
              <w:rPr>
                <w:spacing w:val="-6"/>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2"/>
                <w:sz w:val="20"/>
              </w:rPr>
              <w:t>L40.8,</w:t>
            </w:r>
          </w:p>
        </w:tc>
        <w:tc>
          <w:tcPr>
            <w:tcW w:w="1981" w:type="dxa"/>
          </w:tcPr>
          <w:p>
            <w:pPr>
              <w:pStyle w:val="TableParagraph"/>
              <w:spacing w:before="3"/>
              <w:rPr>
                <w:sz w:val="18"/>
              </w:rPr>
            </w:pPr>
          </w:p>
          <w:p>
            <w:pPr>
              <w:pStyle w:val="TableParagraph"/>
              <w:spacing w:line="215" w:lineRule="exact" w:before="1"/>
              <w:ind w:left="937"/>
              <w:rPr>
                <w:sz w:val="20"/>
              </w:rPr>
            </w:pPr>
            <w:r>
              <w:rPr>
                <w:w w:val="99"/>
                <w:sz w:val="20"/>
              </w:rPr>
              <w:t>-</w:t>
            </w:r>
          </w:p>
        </w:tc>
        <w:tc>
          <w:tcPr>
            <w:tcW w:w="2786" w:type="dxa"/>
          </w:tcPr>
          <w:p>
            <w:pPr>
              <w:pStyle w:val="TableParagraph"/>
              <w:spacing w:before="3"/>
              <w:rPr>
                <w:sz w:val="18"/>
              </w:rPr>
            </w:pPr>
          </w:p>
          <w:p>
            <w:pPr>
              <w:pStyle w:val="TableParagraph"/>
              <w:spacing w:line="215" w:lineRule="exact" w:before="1"/>
              <w:ind w:left="971" w:right="45"/>
              <w:jc w:val="center"/>
              <w:rPr>
                <w:sz w:val="20"/>
              </w:rPr>
            </w:pPr>
            <w:r>
              <w:rPr>
                <w:spacing w:val="-4"/>
                <w:sz w:val="20"/>
              </w:rPr>
              <w:t>Иной</w:t>
            </w:r>
          </w:p>
        </w:tc>
      </w:tr>
      <w:tr>
        <w:trPr>
          <w:trHeight w:val="230" w:hRule="atLeast"/>
        </w:trPr>
        <w:tc>
          <w:tcPr>
            <w:tcW w:w="4991" w:type="dxa"/>
          </w:tcPr>
          <w:p>
            <w:pPr>
              <w:pStyle w:val="TableParagraph"/>
              <w:spacing w:line="210" w:lineRule="exact"/>
              <w:ind w:left="53" w:right="880"/>
              <w:jc w:val="center"/>
              <w:rPr>
                <w:sz w:val="20"/>
              </w:rPr>
            </w:pPr>
            <w:r>
              <w:rPr>
                <w:spacing w:val="-2"/>
                <w:sz w:val="20"/>
              </w:rPr>
              <w:t>L40.9</w:t>
            </w:r>
          </w:p>
        </w:tc>
        <w:tc>
          <w:tcPr>
            <w:tcW w:w="1981" w:type="dxa"/>
          </w:tcPr>
          <w:p>
            <w:pPr>
              <w:pStyle w:val="TableParagraph"/>
              <w:rPr>
                <w:sz w:val="16"/>
              </w:rPr>
            </w:pPr>
          </w:p>
        </w:tc>
        <w:tc>
          <w:tcPr>
            <w:tcW w:w="2786" w:type="dxa"/>
          </w:tcPr>
          <w:p>
            <w:pPr>
              <w:pStyle w:val="TableParagraph"/>
              <w:spacing w:line="210" w:lineRule="exact"/>
              <w:ind w:left="972" w:right="45"/>
              <w:jc w:val="center"/>
              <w:rPr>
                <w:sz w:val="20"/>
              </w:rPr>
            </w:pPr>
            <w:r>
              <w:rPr>
                <w:spacing w:val="-2"/>
                <w:sz w:val="20"/>
              </w:rPr>
              <w:t>классификационный</w:t>
            </w:r>
          </w:p>
        </w:tc>
      </w:tr>
      <w:tr>
        <w:trPr>
          <w:trHeight w:val="279" w:hRule="atLeast"/>
        </w:trPr>
        <w:tc>
          <w:tcPr>
            <w:tcW w:w="4991" w:type="dxa"/>
          </w:tcPr>
          <w:p>
            <w:pPr>
              <w:pStyle w:val="TableParagraph"/>
              <w:rPr>
                <w:sz w:val="18"/>
              </w:rPr>
            </w:pPr>
          </w:p>
        </w:tc>
        <w:tc>
          <w:tcPr>
            <w:tcW w:w="1981" w:type="dxa"/>
          </w:tcPr>
          <w:p>
            <w:pPr>
              <w:pStyle w:val="TableParagraph"/>
              <w:rPr>
                <w:sz w:val="18"/>
              </w:rPr>
            </w:pPr>
          </w:p>
        </w:tc>
        <w:tc>
          <w:tcPr>
            <w:tcW w:w="2786" w:type="dxa"/>
          </w:tcPr>
          <w:p>
            <w:pPr>
              <w:pStyle w:val="TableParagraph"/>
              <w:spacing w:line="226" w:lineRule="exact"/>
              <w:ind w:left="966" w:right="45"/>
              <w:jc w:val="center"/>
              <w:rPr>
                <w:sz w:val="20"/>
              </w:rPr>
            </w:pPr>
            <w:r>
              <w:rPr>
                <w:sz w:val="20"/>
              </w:rPr>
              <w:t>критерий:</w:t>
            </w:r>
            <w:r>
              <w:rPr>
                <w:spacing w:val="-13"/>
                <w:sz w:val="20"/>
              </w:rPr>
              <w:t> </w:t>
            </w:r>
            <w:r>
              <w:rPr>
                <w:spacing w:val="-2"/>
                <w:sz w:val="20"/>
              </w:rPr>
              <w:t>derm3</w:t>
            </w:r>
          </w:p>
        </w:tc>
      </w:tr>
      <w:tr>
        <w:trPr>
          <w:trHeight w:val="735" w:hRule="atLeast"/>
        </w:trPr>
        <w:tc>
          <w:tcPr>
            <w:tcW w:w="4991" w:type="dxa"/>
          </w:tcPr>
          <w:p>
            <w:pPr>
              <w:pStyle w:val="TableParagraph"/>
              <w:spacing w:before="45"/>
              <w:ind w:left="53" w:right="878"/>
              <w:jc w:val="center"/>
              <w:rPr>
                <w:sz w:val="20"/>
              </w:rPr>
            </w:pPr>
            <w:r>
              <w:rPr>
                <w:spacing w:val="-4"/>
                <w:sz w:val="20"/>
              </w:rPr>
              <w:t>C84.0</w:t>
            </w:r>
          </w:p>
        </w:tc>
        <w:tc>
          <w:tcPr>
            <w:tcW w:w="1981" w:type="dxa"/>
          </w:tcPr>
          <w:p>
            <w:pPr>
              <w:pStyle w:val="TableParagraph"/>
              <w:spacing w:before="45"/>
              <w:ind w:left="937"/>
              <w:rPr>
                <w:sz w:val="20"/>
              </w:rPr>
            </w:pPr>
            <w:r>
              <w:rPr>
                <w:w w:val="99"/>
                <w:sz w:val="20"/>
              </w:rPr>
              <w:t>-</w:t>
            </w:r>
          </w:p>
        </w:tc>
        <w:tc>
          <w:tcPr>
            <w:tcW w:w="2786" w:type="dxa"/>
          </w:tcPr>
          <w:p>
            <w:pPr>
              <w:pStyle w:val="TableParagraph"/>
              <w:spacing w:line="230" w:lineRule="atLeast" w:before="25"/>
              <w:ind w:left="977" w:right="47" w:hanging="2"/>
              <w:jc w:val="center"/>
              <w:rPr>
                <w:sz w:val="20"/>
              </w:rPr>
            </w:pPr>
            <w:r>
              <w:rPr>
                <w:spacing w:val="-4"/>
                <w:sz w:val="20"/>
              </w:rPr>
              <w:t>Иной </w:t>
            </w:r>
            <w:r>
              <w:rPr>
                <w:spacing w:val="-2"/>
                <w:sz w:val="20"/>
              </w:rPr>
              <w:t>классификационный </w:t>
            </w:r>
            <w:r>
              <w:rPr>
                <w:sz w:val="20"/>
              </w:rPr>
              <w:t>критерий: derm4</w:t>
            </w:r>
          </w:p>
        </w:tc>
      </w:tr>
    </w:tbl>
    <w:p>
      <w:pPr>
        <w:spacing w:after="0" w:line="230" w:lineRule="atLeast"/>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85"/>
        <w:gridCol w:w="5447"/>
        <w:gridCol w:w="1633"/>
        <w:gridCol w:w="3313"/>
        <w:gridCol w:w="766"/>
      </w:tblGrid>
      <w:tr>
        <w:trPr>
          <w:trHeight w:val="1195" w:hRule="atLeast"/>
        </w:trPr>
        <w:tc>
          <w:tcPr>
            <w:tcW w:w="1003" w:type="dxa"/>
          </w:tcPr>
          <w:p>
            <w:pPr>
              <w:pStyle w:val="TableParagraph"/>
              <w:spacing w:line="221" w:lineRule="exact"/>
              <w:ind w:left="39" w:right="212"/>
              <w:jc w:val="center"/>
              <w:rPr>
                <w:sz w:val="20"/>
              </w:rPr>
            </w:pPr>
            <w:r>
              <w:rPr>
                <w:spacing w:val="-2"/>
                <w:sz w:val="20"/>
              </w:rPr>
              <w:t>ds06.005</w:t>
            </w:r>
          </w:p>
        </w:tc>
        <w:tc>
          <w:tcPr>
            <w:tcW w:w="645" w:type="dxa"/>
          </w:tcPr>
          <w:p>
            <w:pPr>
              <w:pStyle w:val="TableParagraph"/>
              <w:spacing w:line="221" w:lineRule="exact"/>
              <w:ind w:left="211" w:right="203"/>
              <w:jc w:val="center"/>
              <w:rPr>
                <w:sz w:val="20"/>
              </w:rPr>
            </w:pPr>
            <w:r>
              <w:rPr>
                <w:spacing w:val="-5"/>
                <w:sz w:val="20"/>
              </w:rPr>
              <w:t>19</w:t>
            </w:r>
          </w:p>
        </w:tc>
        <w:tc>
          <w:tcPr>
            <w:tcW w:w="2485" w:type="dxa"/>
          </w:tcPr>
          <w:p>
            <w:pPr>
              <w:pStyle w:val="TableParagraph"/>
              <w:ind w:left="219" w:right="206"/>
              <w:rPr>
                <w:sz w:val="20"/>
              </w:rPr>
            </w:pPr>
            <w:r>
              <w:rPr>
                <w:sz w:val="20"/>
              </w:rPr>
              <w:t>Лечение дерматозов с применением</w:t>
            </w:r>
            <w:r>
              <w:rPr>
                <w:spacing w:val="-13"/>
                <w:sz w:val="20"/>
              </w:rPr>
              <w:t> </w:t>
            </w:r>
            <w:r>
              <w:rPr>
                <w:sz w:val="20"/>
              </w:rPr>
              <w:t>наружной терапии и фототерапии</w:t>
            </w:r>
          </w:p>
        </w:tc>
        <w:tc>
          <w:tcPr>
            <w:tcW w:w="5447" w:type="dxa"/>
          </w:tcPr>
          <w:p>
            <w:pPr>
              <w:pStyle w:val="TableParagraph"/>
              <w:spacing w:line="221" w:lineRule="exact"/>
              <w:ind w:left="283"/>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p>
            <w:pPr>
              <w:pStyle w:val="TableParagraph"/>
              <w:spacing w:line="229" w:lineRule="exact"/>
              <w:ind w:left="283"/>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p>
            <w:pPr>
              <w:pStyle w:val="TableParagraph"/>
              <w:spacing w:line="229" w:lineRule="exact"/>
              <w:ind w:left="283"/>
              <w:rPr>
                <w:sz w:val="20"/>
              </w:rPr>
            </w:pPr>
            <w:r>
              <w:rPr>
                <w:sz w:val="20"/>
              </w:rPr>
              <w:t>L43.2,</w:t>
            </w:r>
            <w:r>
              <w:rPr>
                <w:spacing w:val="-6"/>
                <w:sz w:val="20"/>
              </w:rPr>
              <w:t> </w:t>
            </w:r>
            <w:r>
              <w:rPr>
                <w:sz w:val="20"/>
              </w:rPr>
              <w:t>L43.3,</w:t>
            </w:r>
            <w:r>
              <w:rPr>
                <w:spacing w:val="-5"/>
                <w:sz w:val="20"/>
              </w:rPr>
              <w:t> </w:t>
            </w:r>
            <w:r>
              <w:rPr>
                <w:sz w:val="20"/>
              </w:rPr>
              <w:t>L43.8,</w:t>
            </w:r>
            <w:r>
              <w:rPr>
                <w:spacing w:val="-5"/>
                <w:sz w:val="20"/>
              </w:rPr>
              <w:t> </w:t>
            </w:r>
            <w:r>
              <w:rPr>
                <w:sz w:val="20"/>
              </w:rPr>
              <w:t>L44.0,</w:t>
            </w:r>
            <w:r>
              <w:rPr>
                <w:spacing w:val="-5"/>
                <w:sz w:val="20"/>
              </w:rPr>
              <w:t> </w:t>
            </w:r>
            <w:r>
              <w:rPr>
                <w:sz w:val="20"/>
              </w:rPr>
              <w:t>L44.8,</w:t>
            </w:r>
            <w:r>
              <w:rPr>
                <w:spacing w:val="-5"/>
                <w:sz w:val="20"/>
              </w:rPr>
              <w:t> </w:t>
            </w:r>
            <w:r>
              <w:rPr>
                <w:sz w:val="20"/>
              </w:rPr>
              <w:t>L63.0,</w:t>
            </w:r>
            <w:r>
              <w:rPr>
                <w:spacing w:val="-5"/>
                <w:sz w:val="20"/>
              </w:rPr>
              <w:t> </w:t>
            </w:r>
            <w:r>
              <w:rPr>
                <w:spacing w:val="-2"/>
                <w:sz w:val="20"/>
              </w:rPr>
              <w:t>L63.1,</w:t>
            </w:r>
          </w:p>
          <w:p>
            <w:pPr>
              <w:pStyle w:val="TableParagraph"/>
              <w:spacing w:before="1"/>
              <w:ind w:left="275" w:right="1203"/>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p>
            <w:pPr>
              <w:pStyle w:val="TableParagraph"/>
              <w:ind w:left="278" w:right="1203"/>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1633" w:type="dxa"/>
          </w:tcPr>
          <w:p>
            <w:pPr>
              <w:pStyle w:val="TableParagraph"/>
              <w:spacing w:line="221" w:lineRule="exact"/>
              <w:ind w:left="661"/>
              <w:rPr>
                <w:sz w:val="20"/>
              </w:rPr>
            </w:pPr>
            <w:r>
              <w:rPr>
                <w:w w:val="99"/>
                <w:sz w:val="20"/>
              </w:rPr>
              <w:t>-</w:t>
            </w:r>
          </w:p>
        </w:tc>
        <w:tc>
          <w:tcPr>
            <w:tcW w:w="3313" w:type="dxa"/>
          </w:tcPr>
          <w:p>
            <w:pPr>
              <w:pStyle w:val="TableParagraph"/>
              <w:ind w:left="1050" w:right="501" w:hanging="2"/>
              <w:jc w:val="center"/>
              <w:rPr>
                <w:sz w:val="20"/>
              </w:rPr>
            </w:pPr>
            <w:r>
              <w:rPr>
                <w:spacing w:val="-4"/>
                <w:sz w:val="20"/>
              </w:rPr>
              <w:t>Иной </w:t>
            </w:r>
            <w:r>
              <w:rPr>
                <w:spacing w:val="-2"/>
                <w:sz w:val="20"/>
              </w:rPr>
              <w:t>классификационный </w:t>
            </w:r>
            <w:r>
              <w:rPr>
                <w:sz w:val="20"/>
              </w:rPr>
              <w:t>критерий: derm8</w:t>
            </w:r>
          </w:p>
        </w:tc>
        <w:tc>
          <w:tcPr>
            <w:tcW w:w="766" w:type="dxa"/>
          </w:tcPr>
          <w:p>
            <w:pPr>
              <w:pStyle w:val="TableParagraph"/>
              <w:spacing w:line="221" w:lineRule="exact"/>
              <w:ind w:right="45"/>
              <w:jc w:val="right"/>
              <w:rPr>
                <w:sz w:val="20"/>
              </w:rPr>
            </w:pPr>
            <w:r>
              <w:rPr>
                <w:spacing w:val="-4"/>
                <w:sz w:val="20"/>
              </w:rPr>
              <w:t>1,95</w:t>
            </w:r>
          </w:p>
        </w:tc>
      </w:tr>
      <w:tr>
        <w:trPr>
          <w:trHeight w:val="790" w:hRule="atLeast"/>
        </w:trPr>
        <w:tc>
          <w:tcPr>
            <w:tcW w:w="1003" w:type="dxa"/>
          </w:tcPr>
          <w:p>
            <w:pPr>
              <w:pStyle w:val="TableParagraph"/>
              <w:rPr>
                <w:sz w:val="18"/>
              </w:rPr>
            </w:pPr>
          </w:p>
        </w:tc>
        <w:tc>
          <w:tcPr>
            <w:tcW w:w="645" w:type="dxa"/>
          </w:tcPr>
          <w:p>
            <w:pPr>
              <w:pStyle w:val="TableParagraph"/>
              <w:rPr>
                <w:sz w:val="18"/>
              </w:rPr>
            </w:pPr>
          </w:p>
        </w:tc>
        <w:tc>
          <w:tcPr>
            <w:tcW w:w="2485" w:type="dxa"/>
          </w:tcPr>
          <w:p>
            <w:pPr>
              <w:pStyle w:val="TableParagraph"/>
              <w:rPr>
                <w:sz w:val="18"/>
              </w:rPr>
            </w:pPr>
          </w:p>
        </w:tc>
        <w:tc>
          <w:tcPr>
            <w:tcW w:w="5447" w:type="dxa"/>
          </w:tcPr>
          <w:p>
            <w:pPr>
              <w:pStyle w:val="TableParagraph"/>
              <w:spacing w:before="46"/>
              <w:ind w:left="595"/>
              <w:rPr>
                <w:sz w:val="20"/>
              </w:rPr>
            </w:pPr>
            <w:r>
              <w:rPr>
                <w:sz w:val="20"/>
              </w:rPr>
              <w:t>L40.0,</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4"/>
                <w:sz w:val="20"/>
              </w:rPr>
              <w:t>L40.8</w:t>
            </w:r>
          </w:p>
        </w:tc>
        <w:tc>
          <w:tcPr>
            <w:tcW w:w="1633" w:type="dxa"/>
          </w:tcPr>
          <w:p>
            <w:pPr>
              <w:pStyle w:val="TableParagraph"/>
              <w:spacing w:before="46"/>
              <w:ind w:left="661"/>
              <w:rPr>
                <w:sz w:val="20"/>
              </w:rPr>
            </w:pPr>
            <w:r>
              <w:rPr>
                <w:w w:val="99"/>
                <w:sz w:val="20"/>
              </w:rPr>
              <w:t>-</w:t>
            </w:r>
          </w:p>
        </w:tc>
        <w:tc>
          <w:tcPr>
            <w:tcW w:w="3313" w:type="dxa"/>
          </w:tcPr>
          <w:p>
            <w:pPr>
              <w:pStyle w:val="TableParagraph"/>
              <w:spacing w:before="46"/>
              <w:ind w:left="1050" w:right="502" w:hanging="2"/>
              <w:jc w:val="center"/>
              <w:rPr>
                <w:sz w:val="20"/>
              </w:rPr>
            </w:pPr>
            <w:r>
              <w:rPr>
                <w:spacing w:val="-4"/>
                <w:sz w:val="20"/>
              </w:rPr>
              <w:t>Иной </w:t>
            </w:r>
            <w:r>
              <w:rPr>
                <w:spacing w:val="-2"/>
                <w:sz w:val="20"/>
              </w:rPr>
              <w:t>классификационный </w:t>
            </w:r>
            <w:r>
              <w:rPr>
                <w:sz w:val="20"/>
              </w:rPr>
              <w:t>критерий: derm9</w:t>
            </w:r>
          </w:p>
        </w:tc>
        <w:tc>
          <w:tcPr>
            <w:tcW w:w="766" w:type="dxa"/>
          </w:tcPr>
          <w:p>
            <w:pPr>
              <w:pStyle w:val="TableParagraph"/>
              <w:rPr>
                <w:sz w:val="18"/>
              </w:rPr>
            </w:pPr>
          </w:p>
        </w:tc>
      </w:tr>
      <w:tr>
        <w:trPr>
          <w:trHeight w:val="1250" w:hRule="atLeast"/>
        </w:trPr>
        <w:tc>
          <w:tcPr>
            <w:tcW w:w="1003" w:type="dxa"/>
          </w:tcPr>
          <w:p>
            <w:pPr>
              <w:pStyle w:val="TableParagraph"/>
              <w:rPr>
                <w:sz w:val="18"/>
              </w:rPr>
            </w:pPr>
          </w:p>
        </w:tc>
        <w:tc>
          <w:tcPr>
            <w:tcW w:w="645" w:type="dxa"/>
          </w:tcPr>
          <w:p>
            <w:pPr>
              <w:pStyle w:val="TableParagraph"/>
              <w:rPr>
                <w:sz w:val="18"/>
              </w:rPr>
            </w:pPr>
          </w:p>
        </w:tc>
        <w:tc>
          <w:tcPr>
            <w:tcW w:w="2485" w:type="dxa"/>
          </w:tcPr>
          <w:p>
            <w:pPr>
              <w:pStyle w:val="TableParagraph"/>
              <w:rPr>
                <w:sz w:val="18"/>
              </w:rPr>
            </w:pPr>
          </w:p>
        </w:tc>
        <w:tc>
          <w:tcPr>
            <w:tcW w:w="5447" w:type="dxa"/>
          </w:tcPr>
          <w:p>
            <w:pPr>
              <w:pStyle w:val="TableParagraph"/>
              <w:spacing w:before="46"/>
              <w:ind w:left="277" w:right="1203"/>
              <w:jc w:val="center"/>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p>
            <w:pPr>
              <w:pStyle w:val="TableParagraph"/>
              <w:spacing w:line="229" w:lineRule="exact"/>
              <w:ind w:left="277" w:right="1203"/>
              <w:jc w:val="center"/>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p>
            <w:pPr>
              <w:pStyle w:val="TableParagraph"/>
              <w:spacing w:line="229" w:lineRule="exact"/>
              <w:ind w:left="284" w:right="1203"/>
              <w:jc w:val="center"/>
              <w:rPr>
                <w:sz w:val="20"/>
              </w:rPr>
            </w:pPr>
            <w:r>
              <w:rPr>
                <w:sz w:val="20"/>
              </w:rPr>
              <w:t>L43.2,</w:t>
            </w:r>
            <w:r>
              <w:rPr>
                <w:spacing w:val="-4"/>
                <w:sz w:val="20"/>
              </w:rPr>
              <w:t> </w:t>
            </w:r>
            <w:r>
              <w:rPr>
                <w:sz w:val="20"/>
              </w:rPr>
              <w:t>L43.3,</w:t>
            </w:r>
            <w:r>
              <w:rPr>
                <w:spacing w:val="-4"/>
                <w:sz w:val="20"/>
              </w:rPr>
              <w:t> </w:t>
            </w:r>
            <w:r>
              <w:rPr>
                <w:sz w:val="20"/>
              </w:rPr>
              <w:t>L43.8,</w:t>
            </w:r>
            <w:r>
              <w:rPr>
                <w:spacing w:val="-4"/>
                <w:sz w:val="20"/>
              </w:rPr>
              <w:t> </w:t>
            </w:r>
            <w:r>
              <w:rPr>
                <w:sz w:val="20"/>
              </w:rPr>
              <w:t>L44.0,</w:t>
            </w:r>
            <w:r>
              <w:rPr>
                <w:spacing w:val="-4"/>
                <w:sz w:val="20"/>
              </w:rPr>
              <w:t> </w:t>
            </w:r>
            <w:r>
              <w:rPr>
                <w:sz w:val="20"/>
              </w:rPr>
              <w:t>L44.8,</w:t>
            </w:r>
            <w:r>
              <w:rPr>
                <w:spacing w:val="-4"/>
                <w:sz w:val="20"/>
              </w:rPr>
              <w:t> </w:t>
            </w:r>
            <w:r>
              <w:rPr>
                <w:sz w:val="20"/>
              </w:rPr>
              <w:t>L63.0,</w:t>
            </w:r>
            <w:r>
              <w:rPr>
                <w:spacing w:val="-4"/>
                <w:sz w:val="20"/>
              </w:rPr>
              <w:t> </w:t>
            </w:r>
            <w:r>
              <w:rPr>
                <w:spacing w:val="-2"/>
                <w:sz w:val="20"/>
              </w:rPr>
              <w:t>L63.1,</w:t>
            </w:r>
          </w:p>
          <w:p>
            <w:pPr>
              <w:pStyle w:val="TableParagraph"/>
              <w:spacing w:before="1"/>
              <w:ind w:left="275" w:right="1203"/>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p>
            <w:pPr>
              <w:pStyle w:val="TableParagraph"/>
              <w:ind w:left="278" w:right="1203"/>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1633" w:type="dxa"/>
          </w:tcPr>
          <w:p>
            <w:pPr>
              <w:pStyle w:val="TableParagraph"/>
              <w:spacing w:before="46"/>
              <w:ind w:left="661"/>
              <w:rPr>
                <w:sz w:val="20"/>
              </w:rPr>
            </w:pPr>
            <w:r>
              <w:rPr>
                <w:w w:val="99"/>
                <w:sz w:val="20"/>
              </w:rPr>
              <w:t>-</w:t>
            </w:r>
          </w:p>
        </w:tc>
        <w:tc>
          <w:tcPr>
            <w:tcW w:w="3313" w:type="dxa"/>
          </w:tcPr>
          <w:p>
            <w:pPr>
              <w:pStyle w:val="TableParagraph"/>
              <w:spacing w:before="46"/>
              <w:ind w:left="1050" w:right="502" w:hanging="2"/>
              <w:jc w:val="center"/>
              <w:rPr>
                <w:sz w:val="20"/>
              </w:rPr>
            </w:pPr>
            <w:r>
              <w:rPr>
                <w:spacing w:val="-4"/>
                <w:sz w:val="20"/>
              </w:rPr>
              <w:t>Иной </w:t>
            </w:r>
            <w:r>
              <w:rPr>
                <w:spacing w:val="-2"/>
                <w:sz w:val="20"/>
              </w:rPr>
              <w:t>классификационный </w:t>
            </w:r>
            <w:r>
              <w:rPr>
                <w:sz w:val="20"/>
              </w:rPr>
              <w:t>критерий: derm7</w:t>
            </w:r>
          </w:p>
        </w:tc>
        <w:tc>
          <w:tcPr>
            <w:tcW w:w="766" w:type="dxa"/>
          </w:tcPr>
          <w:p>
            <w:pPr>
              <w:pStyle w:val="TableParagraph"/>
              <w:rPr>
                <w:sz w:val="18"/>
              </w:rPr>
            </w:pPr>
          </w:p>
        </w:tc>
      </w:tr>
      <w:tr>
        <w:trPr>
          <w:trHeight w:val="330" w:hRule="atLeast"/>
        </w:trPr>
        <w:tc>
          <w:tcPr>
            <w:tcW w:w="1003" w:type="dxa"/>
          </w:tcPr>
          <w:p>
            <w:pPr>
              <w:pStyle w:val="TableParagraph"/>
              <w:spacing w:before="46"/>
              <w:ind w:left="39" w:right="211"/>
              <w:jc w:val="center"/>
              <w:rPr>
                <w:sz w:val="20"/>
              </w:rPr>
            </w:pPr>
            <w:r>
              <w:rPr>
                <w:spacing w:val="-4"/>
                <w:sz w:val="20"/>
              </w:rPr>
              <w:t>ds07</w:t>
            </w:r>
          </w:p>
        </w:tc>
        <w:tc>
          <w:tcPr>
            <w:tcW w:w="645" w:type="dxa"/>
          </w:tcPr>
          <w:p>
            <w:pPr>
              <w:pStyle w:val="TableParagraph"/>
              <w:spacing w:before="46"/>
              <w:ind w:left="7"/>
              <w:jc w:val="center"/>
              <w:rPr>
                <w:sz w:val="20"/>
              </w:rPr>
            </w:pPr>
            <w:r>
              <w:rPr>
                <w:w w:val="99"/>
                <w:sz w:val="20"/>
              </w:rPr>
              <w:t>7</w:t>
            </w:r>
          </w:p>
        </w:tc>
        <w:tc>
          <w:tcPr>
            <w:tcW w:w="2485" w:type="dxa"/>
          </w:tcPr>
          <w:p>
            <w:pPr>
              <w:pStyle w:val="TableParagraph"/>
              <w:rPr>
                <w:sz w:val="18"/>
              </w:rPr>
            </w:pPr>
          </w:p>
        </w:tc>
        <w:tc>
          <w:tcPr>
            <w:tcW w:w="5447" w:type="dxa"/>
          </w:tcPr>
          <w:p>
            <w:pPr>
              <w:pStyle w:val="TableParagraph"/>
              <w:spacing w:before="46"/>
              <w:ind w:left="2986"/>
              <w:rPr>
                <w:sz w:val="20"/>
              </w:rPr>
            </w:pPr>
            <w:r>
              <w:rPr>
                <w:sz w:val="20"/>
              </w:rPr>
              <w:t>Детская</w:t>
            </w:r>
            <w:r>
              <w:rPr>
                <w:spacing w:val="-9"/>
                <w:sz w:val="20"/>
              </w:rPr>
              <w:t> </w:t>
            </w:r>
            <w:r>
              <w:rPr>
                <w:spacing w:val="-2"/>
                <w:sz w:val="20"/>
              </w:rPr>
              <w:t>кардиология</w:t>
            </w:r>
          </w:p>
        </w:tc>
        <w:tc>
          <w:tcPr>
            <w:tcW w:w="1633" w:type="dxa"/>
          </w:tcPr>
          <w:p>
            <w:pPr>
              <w:pStyle w:val="TableParagraph"/>
              <w:rPr>
                <w:sz w:val="18"/>
              </w:rPr>
            </w:pPr>
          </w:p>
        </w:tc>
        <w:tc>
          <w:tcPr>
            <w:tcW w:w="3313" w:type="dxa"/>
          </w:tcPr>
          <w:p>
            <w:pPr>
              <w:pStyle w:val="TableParagraph"/>
              <w:rPr>
                <w:sz w:val="18"/>
              </w:rPr>
            </w:pPr>
          </w:p>
        </w:tc>
        <w:tc>
          <w:tcPr>
            <w:tcW w:w="766" w:type="dxa"/>
          </w:tcPr>
          <w:p>
            <w:pPr>
              <w:pStyle w:val="TableParagraph"/>
              <w:spacing w:before="46"/>
              <w:ind w:right="45"/>
              <w:jc w:val="right"/>
              <w:rPr>
                <w:sz w:val="20"/>
              </w:rPr>
            </w:pPr>
            <w:r>
              <w:rPr>
                <w:spacing w:val="-4"/>
                <w:sz w:val="20"/>
              </w:rPr>
              <w:t>0,98</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ds07.001</w:t>
            </w:r>
          </w:p>
        </w:tc>
        <w:tc>
          <w:tcPr>
            <w:tcW w:w="645" w:type="dxa"/>
          </w:tcPr>
          <w:p>
            <w:pPr>
              <w:pStyle w:val="TableParagraph"/>
              <w:spacing w:line="215" w:lineRule="exact" w:before="45"/>
              <w:ind w:left="211" w:right="203"/>
              <w:jc w:val="center"/>
              <w:rPr>
                <w:sz w:val="20"/>
              </w:rPr>
            </w:pPr>
            <w:r>
              <w:rPr>
                <w:spacing w:val="-5"/>
                <w:sz w:val="20"/>
              </w:rPr>
              <w:t>20</w:t>
            </w:r>
          </w:p>
        </w:tc>
        <w:tc>
          <w:tcPr>
            <w:tcW w:w="2485" w:type="dxa"/>
          </w:tcPr>
          <w:p>
            <w:pPr>
              <w:pStyle w:val="TableParagraph"/>
              <w:spacing w:line="215" w:lineRule="exact" w:before="45"/>
              <w:ind w:left="219"/>
              <w:rPr>
                <w:sz w:val="20"/>
              </w:rPr>
            </w:pPr>
            <w:r>
              <w:rPr>
                <w:sz w:val="20"/>
              </w:rPr>
              <w:t>Болезни</w:t>
            </w:r>
            <w:r>
              <w:rPr>
                <w:spacing w:val="-10"/>
                <w:sz w:val="20"/>
              </w:rPr>
              <w:t> </w:t>
            </w:r>
            <w:r>
              <w:rPr>
                <w:spacing w:val="-2"/>
                <w:sz w:val="20"/>
              </w:rPr>
              <w:t>системы</w:t>
            </w:r>
          </w:p>
        </w:tc>
        <w:tc>
          <w:tcPr>
            <w:tcW w:w="5447" w:type="dxa"/>
          </w:tcPr>
          <w:p>
            <w:pPr>
              <w:pStyle w:val="TableParagraph"/>
              <w:spacing w:line="215" w:lineRule="exact" w:before="45"/>
              <w:ind w:left="281"/>
              <w:rPr>
                <w:sz w:val="20"/>
              </w:rPr>
            </w:pPr>
            <w:r>
              <w:rPr>
                <w:sz w:val="20"/>
              </w:rPr>
              <w:t>G45,</w:t>
            </w:r>
            <w:r>
              <w:rPr>
                <w:spacing w:val="-6"/>
                <w:sz w:val="20"/>
              </w:rPr>
              <w:t> </w:t>
            </w:r>
            <w:r>
              <w:rPr>
                <w:sz w:val="20"/>
              </w:rPr>
              <w:t>G45.0,</w:t>
            </w:r>
            <w:r>
              <w:rPr>
                <w:spacing w:val="-5"/>
                <w:sz w:val="20"/>
              </w:rPr>
              <w:t> </w:t>
            </w:r>
            <w:r>
              <w:rPr>
                <w:sz w:val="20"/>
              </w:rPr>
              <w:t>G45.1,</w:t>
            </w:r>
            <w:r>
              <w:rPr>
                <w:spacing w:val="-6"/>
                <w:sz w:val="20"/>
              </w:rPr>
              <w:t> </w:t>
            </w:r>
            <w:r>
              <w:rPr>
                <w:sz w:val="20"/>
              </w:rPr>
              <w:t>G45.2,</w:t>
            </w:r>
            <w:r>
              <w:rPr>
                <w:spacing w:val="-5"/>
                <w:sz w:val="20"/>
              </w:rPr>
              <w:t> </w:t>
            </w:r>
            <w:r>
              <w:rPr>
                <w:sz w:val="20"/>
              </w:rPr>
              <w:t>G45.3,</w:t>
            </w:r>
            <w:r>
              <w:rPr>
                <w:spacing w:val="-1"/>
                <w:sz w:val="20"/>
              </w:rPr>
              <w:t> </w:t>
            </w:r>
            <w:r>
              <w:rPr>
                <w:sz w:val="20"/>
              </w:rPr>
              <w:t>G45.4,</w:t>
            </w:r>
            <w:r>
              <w:rPr>
                <w:spacing w:val="-6"/>
                <w:sz w:val="20"/>
              </w:rPr>
              <w:t> </w:t>
            </w:r>
            <w:r>
              <w:rPr>
                <w:spacing w:val="-2"/>
                <w:sz w:val="20"/>
              </w:rPr>
              <w:t>G45.8,</w:t>
            </w:r>
          </w:p>
        </w:tc>
        <w:tc>
          <w:tcPr>
            <w:tcW w:w="1633" w:type="dxa"/>
          </w:tcPr>
          <w:p>
            <w:pPr>
              <w:pStyle w:val="TableParagraph"/>
              <w:spacing w:line="215" w:lineRule="exact" w:before="45"/>
              <w:ind w:left="661"/>
              <w:rPr>
                <w:sz w:val="20"/>
              </w:rPr>
            </w:pPr>
            <w:r>
              <w:rPr>
                <w:w w:val="99"/>
                <w:sz w:val="20"/>
              </w:rPr>
              <w:t>-</w:t>
            </w:r>
          </w:p>
        </w:tc>
        <w:tc>
          <w:tcPr>
            <w:tcW w:w="3313" w:type="dxa"/>
          </w:tcPr>
          <w:p>
            <w:pPr>
              <w:pStyle w:val="TableParagraph"/>
              <w:spacing w:line="215" w:lineRule="exact" w:before="45"/>
              <w:ind w:left="883" w:right="338"/>
              <w:jc w:val="center"/>
              <w:rPr>
                <w:sz w:val="20"/>
              </w:rPr>
            </w:pPr>
            <w:r>
              <w:rPr>
                <w:sz w:val="20"/>
              </w:rPr>
              <w:t>Возрастная</w:t>
            </w:r>
            <w:r>
              <w:rPr>
                <w:spacing w:val="-7"/>
                <w:sz w:val="20"/>
              </w:rPr>
              <w:t> </w:t>
            </w:r>
            <w:r>
              <w:rPr>
                <w:sz w:val="20"/>
              </w:rPr>
              <w:t>группа:</w:t>
            </w:r>
            <w:r>
              <w:rPr>
                <w:spacing w:val="-6"/>
                <w:sz w:val="20"/>
              </w:rPr>
              <w:t> </w:t>
            </w:r>
            <w:r>
              <w:rPr>
                <w:sz w:val="20"/>
              </w:rPr>
              <w:t>от</w:t>
            </w:r>
            <w:r>
              <w:rPr>
                <w:spacing w:val="-7"/>
                <w:sz w:val="20"/>
              </w:rPr>
              <w:t> </w:t>
            </w:r>
            <w:r>
              <w:rPr>
                <w:spacing w:val="-10"/>
                <w:sz w:val="20"/>
              </w:rPr>
              <w:t>0</w:t>
            </w:r>
          </w:p>
        </w:tc>
        <w:tc>
          <w:tcPr>
            <w:tcW w:w="766" w:type="dxa"/>
          </w:tcPr>
          <w:p>
            <w:pPr>
              <w:pStyle w:val="TableParagraph"/>
              <w:spacing w:line="215" w:lineRule="exact" w:before="45"/>
              <w:ind w:right="45"/>
              <w:jc w:val="right"/>
              <w:rPr>
                <w:sz w:val="20"/>
              </w:rPr>
            </w:pPr>
            <w:r>
              <w:rPr>
                <w:spacing w:val="-4"/>
                <w:sz w:val="20"/>
              </w:rPr>
              <w:t>0,98</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spacing w:line="211" w:lineRule="exact"/>
              <w:ind w:left="219"/>
              <w:rPr>
                <w:sz w:val="20"/>
              </w:rPr>
            </w:pPr>
            <w:r>
              <w:rPr>
                <w:w w:val="95"/>
                <w:sz w:val="20"/>
              </w:rPr>
              <w:t>кровообращения,</w:t>
            </w:r>
            <w:r>
              <w:rPr>
                <w:spacing w:val="56"/>
                <w:sz w:val="20"/>
              </w:rPr>
              <w:t> </w:t>
            </w:r>
            <w:r>
              <w:rPr>
                <w:spacing w:val="-4"/>
                <w:sz w:val="20"/>
              </w:rPr>
              <w:t>дети</w:t>
            </w:r>
          </w:p>
        </w:tc>
        <w:tc>
          <w:tcPr>
            <w:tcW w:w="5447" w:type="dxa"/>
          </w:tcPr>
          <w:p>
            <w:pPr>
              <w:pStyle w:val="TableParagraph"/>
              <w:spacing w:line="211" w:lineRule="exact"/>
              <w:ind w:left="281"/>
              <w:rPr>
                <w:sz w:val="20"/>
              </w:rPr>
            </w:pPr>
            <w:r>
              <w:rPr>
                <w:sz w:val="20"/>
              </w:rPr>
              <w:t>G45.9,</w:t>
            </w:r>
            <w:r>
              <w:rPr>
                <w:spacing w:val="-6"/>
                <w:sz w:val="20"/>
              </w:rPr>
              <w:t> </w:t>
            </w:r>
            <w:r>
              <w:rPr>
                <w:sz w:val="20"/>
              </w:rPr>
              <w:t>G46,</w:t>
            </w:r>
            <w:r>
              <w:rPr>
                <w:spacing w:val="-6"/>
                <w:sz w:val="20"/>
              </w:rPr>
              <w:t> </w:t>
            </w:r>
            <w:r>
              <w:rPr>
                <w:sz w:val="20"/>
              </w:rPr>
              <w:t>G46.0,</w:t>
            </w:r>
            <w:r>
              <w:rPr>
                <w:spacing w:val="-5"/>
                <w:sz w:val="20"/>
              </w:rPr>
              <w:t> </w:t>
            </w:r>
            <w:r>
              <w:rPr>
                <w:sz w:val="20"/>
              </w:rPr>
              <w:t>G46.1,</w:t>
            </w:r>
            <w:r>
              <w:rPr>
                <w:spacing w:val="-6"/>
                <w:sz w:val="20"/>
              </w:rPr>
              <w:t> </w:t>
            </w:r>
            <w:r>
              <w:rPr>
                <w:sz w:val="20"/>
              </w:rPr>
              <w:t>G46.2,</w:t>
            </w:r>
            <w:r>
              <w:rPr>
                <w:spacing w:val="-5"/>
                <w:sz w:val="20"/>
              </w:rPr>
              <w:t> </w:t>
            </w:r>
            <w:r>
              <w:rPr>
                <w:sz w:val="20"/>
              </w:rPr>
              <w:t>G46.3,</w:t>
            </w:r>
            <w:r>
              <w:rPr>
                <w:spacing w:val="-6"/>
                <w:sz w:val="20"/>
              </w:rPr>
              <w:t> </w:t>
            </w:r>
            <w:r>
              <w:rPr>
                <w:spacing w:val="-2"/>
                <w:sz w:val="20"/>
              </w:rPr>
              <w:t>G46.4,</w:t>
            </w:r>
          </w:p>
        </w:tc>
        <w:tc>
          <w:tcPr>
            <w:tcW w:w="1633" w:type="dxa"/>
          </w:tcPr>
          <w:p>
            <w:pPr>
              <w:pStyle w:val="TableParagraph"/>
              <w:rPr>
                <w:sz w:val="16"/>
              </w:rPr>
            </w:pPr>
          </w:p>
        </w:tc>
        <w:tc>
          <w:tcPr>
            <w:tcW w:w="3313" w:type="dxa"/>
          </w:tcPr>
          <w:p>
            <w:pPr>
              <w:pStyle w:val="TableParagraph"/>
              <w:spacing w:line="211" w:lineRule="exact"/>
              <w:ind w:left="880" w:right="338"/>
              <w:jc w:val="center"/>
              <w:rPr>
                <w:sz w:val="20"/>
              </w:rPr>
            </w:pPr>
            <w:r>
              <w:rPr>
                <w:sz w:val="20"/>
              </w:rPr>
              <w:t>дней</w:t>
            </w:r>
            <w:r>
              <w:rPr>
                <w:spacing w:val="-4"/>
                <w:sz w:val="20"/>
              </w:rPr>
              <w:t> </w:t>
            </w:r>
            <w:r>
              <w:rPr>
                <w:sz w:val="20"/>
              </w:rPr>
              <w:t>до</w:t>
            </w:r>
            <w:r>
              <w:rPr>
                <w:spacing w:val="-2"/>
                <w:sz w:val="20"/>
              </w:rPr>
              <w:t> </w:t>
            </w:r>
            <w:r>
              <w:rPr>
                <w:sz w:val="20"/>
              </w:rPr>
              <w:t>18</w:t>
            </w:r>
            <w:r>
              <w:rPr>
                <w:spacing w:val="-1"/>
                <w:sz w:val="20"/>
              </w:rPr>
              <w:t> </w:t>
            </w:r>
            <w:r>
              <w:rPr>
                <w:spacing w:val="-5"/>
                <w:sz w:val="20"/>
              </w:rPr>
              <w:t>лет</w:t>
            </w: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1" w:lineRule="exact"/>
              <w:ind w:left="396"/>
              <w:rPr>
                <w:sz w:val="20"/>
              </w:rPr>
            </w:pPr>
            <w:r>
              <w:rPr>
                <w:sz w:val="20"/>
              </w:rPr>
              <w:t>G46.5,</w:t>
            </w:r>
            <w:r>
              <w:rPr>
                <w:spacing w:val="-5"/>
                <w:sz w:val="20"/>
              </w:rPr>
              <w:t> </w:t>
            </w:r>
            <w:r>
              <w:rPr>
                <w:sz w:val="20"/>
              </w:rPr>
              <w:t>G46.6,</w:t>
            </w:r>
            <w:r>
              <w:rPr>
                <w:spacing w:val="-6"/>
                <w:sz w:val="20"/>
              </w:rPr>
              <w:t> </w:t>
            </w:r>
            <w:r>
              <w:rPr>
                <w:sz w:val="20"/>
              </w:rPr>
              <w:t>G46.7,</w:t>
            </w:r>
            <w:r>
              <w:rPr>
                <w:spacing w:val="-5"/>
                <w:sz w:val="20"/>
              </w:rPr>
              <w:t> </w:t>
            </w:r>
            <w:r>
              <w:rPr>
                <w:sz w:val="20"/>
              </w:rPr>
              <w:t>G46.8,</w:t>
            </w:r>
            <w:r>
              <w:rPr>
                <w:spacing w:val="-4"/>
                <w:sz w:val="20"/>
              </w:rPr>
              <w:t> </w:t>
            </w:r>
            <w:r>
              <w:rPr>
                <w:sz w:val="20"/>
              </w:rPr>
              <w:t>I01,</w:t>
            </w:r>
            <w:r>
              <w:rPr>
                <w:spacing w:val="-5"/>
                <w:sz w:val="20"/>
              </w:rPr>
              <w:t> </w:t>
            </w:r>
            <w:r>
              <w:rPr>
                <w:sz w:val="20"/>
              </w:rPr>
              <w:t>I01.0,</w:t>
            </w:r>
            <w:r>
              <w:rPr>
                <w:spacing w:val="-4"/>
                <w:sz w:val="20"/>
              </w:rPr>
              <w:t> </w:t>
            </w:r>
            <w:r>
              <w:rPr>
                <w:spacing w:val="-2"/>
                <w:sz w:val="20"/>
              </w:rPr>
              <w:t>I01.1,</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370"/>
              <w:rPr>
                <w:sz w:val="20"/>
              </w:rPr>
            </w:pPr>
            <w:r>
              <w:rPr>
                <w:sz w:val="20"/>
              </w:rPr>
              <w:t>I01.2,</w:t>
            </w:r>
            <w:r>
              <w:rPr>
                <w:spacing w:val="-5"/>
                <w:sz w:val="20"/>
              </w:rPr>
              <w:t> </w:t>
            </w:r>
            <w:r>
              <w:rPr>
                <w:sz w:val="20"/>
              </w:rPr>
              <w:t>I01.8,</w:t>
            </w:r>
            <w:r>
              <w:rPr>
                <w:spacing w:val="-6"/>
                <w:sz w:val="20"/>
              </w:rPr>
              <w:t> </w:t>
            </w:r>
            <w:r>
              <w:rPr>
                <w:sz w:val="20"/>
              </w:rPr>
              <w:t>I01.9,</w:t>
            </w:r>
            <w:r>
              <w:rPr>
                <w:spacing w:val="-5"/>
                <w:sz w:val="20"/>
              </w:rPr>
              <w:t> </w:t>
            </w:r>
            <w:r>
              <w:rPr>
                <w:sz w:val="20"/>
              </w:rPr>
              <w:t>I02,</w:t>
            </w:r>
            <w:r>
              <w:rPr>
                <w:spacing w:val="-6"/>
                <w:sz w:val="20"/>
              </w:rPr>
              <w:t> </w:t>
            </w:r>
            <w:r>
              <w:rPr>
                <w:sz w:val="20"/>
              </w:rPr>
              <w:t>I02.0,</w:t>
            </w:r>
            <w:r>
              <w:rPr>
                <w:spacing w:val="-6"/>
                <w:sz w:val="20"/>
              </w:rPr>
              <w:t> </w:t>
            </w:r>
            <w:r>
              <w:rPr>
                <w:sz w:val="20"/>
              </w:rPr>
              <w:t>I02.9,</w:t>
            </w:r>
            <w:r>
              <w:rPr>
                <w:spacing w:val="-5"/>
                <w:sz w:val="20"/>
              </w:rPr>
              <w:t> </w:t>
            </w:r>
            <w:r>
              <w:rPr>
                <w:sz w:val="20"/>
              </w:rPr>
              <w:t>I05,</w:t>
            </w:r>
            <w:r>
              <w:rPr>
                <w:spacing w:val="-4"/>
                <w:sz w:val="20"/>
              </w:rPr>
              <w:t> </w:t>
            </w:r>
            <w:r>
              <w:rPr>
                <w:spacing w:val="-2"/>
                <w:sz w:val="20"/>
              </w:rPr>
              <w:t>I05.0,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293"/>
              <w:rPr>
                <w:sz w:val="20"/>
              </w:rPr>
            </w:pPr>
            <w:r>
              <w:rPr>
                <w:sz w:val="20"/>
              </w:rPr>
              <w:t>I05.1,</w:t>
            </w:r>
            <w:r>
              <w:rPr>
                <w:spacing w:val="-5"/>
                <w:sz w:val="20"/>
              </w:rPr>
              <w:t> </w:t>
            </w:r>
            <w:r>
              <w:rPr>
                <w:sz w:val="20"/>
              </w:rPr>
              <w:t>I05.2,</w:t>
            </w:r>
            <w:r>
              <w:rPr>
                <w:spacing w:val="-7"/>
                <w:sz w:val="20"/>
              </w:rPr>
              <w:t> </w:t>
            </w:r>
            <w:r>
              <w:rPr>
                <w:sz w:val="20"/>
              </w:rPr>
              <w:t>I05.8,</w:t>
            </w:r>
            <w:r>
              <w:rPr>
                <w:spacing w:val="-4"/>
                <w:sz w:val="20"/>
              </w:rPr>
              <w:t> </w:t>
            </w:r>
            <w:r>
              <w:rPr>
                <w:sz w:val="20"/>
              </w:rPr>
              <w:t>I05.9,</w:t>
            </w:r>
            <w:r>
              <w:rPr>
                <w:spacing w:val="-5"/>
                <w:sz w:val="20"/>
              </w:rPr>
              <w:t> </w:t>
            </w:r>
            <w:r>
              <w:rPr>
                <w:sz w:val="20"/>
              </w:rPr>
              <w:t>I06,</w:t>
            </w:r>
            <w:r>
              <w:rPr>
                <w:spacing w:val="-6"/>
                <w:sz w:val="20"/>
              </w:rPr>
              <w:t> </w:t>
            </w:r>
            <w:r>
              <w:rPr>
                <w:sz w:val="20"/>
              </w:rPr>
              <w:t>I06.0,</w:t>
            </w:r>
            <w:r>
              <w:rPr>
                <w:spacing w:val="-5"/>
                <w:sz w:val="20"/>
              </w:rPr>
              <w:t> </w:t>
            </w:r>
            <w:r>
              <w:rPr>
                <w:sz w:val="20"/>
              </w:rPr>
              <w:t>I06.1,</w:t>
            </w:r>
            <w:r>
              <w:rPr>
                <w:spacing w:val="-7"/>
                <w:sz w:val="20"/>
              </w:rPr>
              <w:t> </w:t>
            </w:r>
            <w:r>
              <w:rPr>
                <w:spacing w:val="-2"/>
                <w:sz w:val="20"/>
              </w:rPr>
              <w:t>I06.2,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I06.8,</w:t>
            </w:r>
            <w:r>
              <w:rPr>
                <w:spacing w:val="-4"/>
                <w:sz w:val="20"/>
              </w:rPr>
              <w:t> </w:t>
            </w:r>
            <w:r>
              <w:rPr>
                <w:sz w:val="20"/>
              </w:rPr>
              <w:t>I06.9,</w:t>
            </w:r>
            <w:r>
              <w:rPr>
                <w:spacing w:val="-6"/>
                <w:sz w:val="20"/>
              </w:rPr>
              <w:t> </w:t>
            </w:r>
            <w:r>
              <w:rPr>
                <w:sz w:val="20"/>
              </w:rPr>
              <w:t>I07,</w:t>
            </w:r>
            <w:r>
              <w:rPr>
                <w:spacing w:val="-3"/>
                <w:sz w:val="20"/>
              </w:rPr>
              <w:t> </w:t>
            </w:r>
            <w:r>
              <w:rPr>
                <w:sz w:val="20"/>
              </w:rPr>
              <w:t>I07.0,</w:t>
            </w:r>
            <w:r>
              <w:rPr>
                <w:spacing w:val="-6"/>
                <w:sz w:val="20"/>
              </w:rPr>
              <w:t> </w:t>
            </w:r>
            <w:r>
              <w:rPr>
                <w:sz w:val="20"/>
              </w:rPr>
              <w:t>I07.1,</w:t>
            </w:r>
            <w:r>
              <w:rPr>
                <w:spacing w:val="-5"/>
                <w:sz w:val="20"/>
              </w:rPr>
              <w:t> </w:t>
            </w:r>
            <w:r>
              <w:rPr>
                <w:sz w:val="20"/>
              </w:rPr>
              <w:t>I07.2,</w:t>
            </w:r>
            <w:r>
              <w:rPr>
                <w:spacing w:val="-4"/>
                <w:sz w:val="20"/>
              </w:rPr>
              <w:t> </w:t>
            </w:r>
            <w:r>
              <w:rPr>
                <w:sz w:val="20"/>
              </w:rPr>
              <w:t>I07.8,</w:t>
            </w:r>
            <w:r>
              <w:rPr>
                <w:spacing w:val="-6"/>
                <w:sz w:val="20"/>
              </w:rPr>
              <w:t> </w:t>
            </w:r>
            <w:r>
              <w:rPr>
                <w:spacing w:val="-2"/>
                <w:sz w:val="20"/>
              </w:rPr>
              <w:t>I07.9,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370"/>
              <w:rPr>
                <w:sz w:val="20"/>
              </w:rPr>
            </w:pPr>
            <w:r>
              <w:rPr>
                <w:sz w:val="20"/>
              </w:rPr>
              <w:t>I08,</w:t>
            </w:r>
            <w:r>
              <w:rPr>
                <w:spacing w:val="-5"/>
                <w:sz w:val="20"/>
              </w:rPr>
              <w:t> </w:t>
            </w:r>
            <w:r>
              <w:rPr>
                <w:sz w:val="20"/>
              </w:rPr>
              <w:t>I08.0,</w:t>
            </w:r>
            <w:r>
              <w:rPr>
                <w:spacing w:val="-5"/>
                <w:sz w:val="20"/>
              </w:rPr>
              <w:t> </w:t>
            </w:r>
            <w:r>
              <w:rPr>
                <w:sz w:val="20"/>
              </w:rPr>
              <w:t>I08.1,</w:t>
            </w:r>
            <w:r>
              <w:rPr>
                <w:spacing w:val="-5"/>
                <w:sz w:val="20"/>
              </w:rPr>
              <w:t> </w:t>
            </w:r>
            <w:r>
              <w:rPr>
                <w:sz w:val="20"/>
              </w:rPr>
              <w:t>I08.2,</w:t>
            </w:r>
            <w:r>
              <w:rPr>
                <w:spacing w:val="-6"/>
                <w:sz w:val="20"/>
              </w:rPr>
              <w:t> </w:t>
            </w:r>
            <w:r>
              <w:rPr>
                <w:sz w:val="20"/>
              </w:rPr>
              <w:t>I08.3,</w:t>
            </w:r>
            <w:r>
              <w:rPr>
                <w:spacing w:val="-6"/>
                <w:sz w:val="20"/>
              </w:rPr>
              <w:t> </w:t>
            </w:r>
            <w:r>
              <w:rPr>
                <w:sz w:val="20"/>
              </w:rPr>
              <w:t>I08.8,</w:t>
            </w:r>
            <w:r>
              <w:rPr>
                <w:spacing w:val="-5"/>
                <w:sz w:val="20"/>
              </w:rPr>
              <w:t> </w:t>
            </w:r>
            <w:r>
              <w:rPr>
                <w:sz w:val="20"/>
              </w:rPr>
              <w:t>I08.9,</w:t>
            </w:r>
            <w:r>
              <w:rPr>
                <w:spacing w:val="-7"/>
                <w:sz w:val="20"/>
              </w:rPr>
              <w:t> </w:t>
            </w:r>
            <w:r>
              <w:rPr>
                <w:spacing w:val="-4"/>
                <w:sz w:val="20"/>
              </w:rPr>
              <w:t>I09,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370"/>
              <w:rPr>
                <w:sz w:val="20"/>
              </w:rPr>
            </w:pPr>
            <w:r>
              <w:rPr>
                <w:sz w:val="20"/>
              </w:rPr>
              <w:t>I09.0,</w:t>
            </w:r>
            <w:r>
              <w:rPr>
                <w:spacing w:val="-5"/>
                <w:sz w:val="20"/>
              </w:rPr>
              <w:t> </w:t>
            </w:r>
            <w:r>
              <w:rPr>
                <w:sz w:val="20"/>
              </w:rPr>
              <w:t>I09.1,</w:t>
            </w:r>
            <w:r>
              <w:rPr>
                <w:spacing w:val="-7"/>
                <w:sz w:val="20"/>
              </w:rPr>
              <w:t> </w:t>
            </w:r>
            <w:r>
              <w:rPr>
                <w:sz w:val="20"/>
              </w:rPr>
              <w:t>I09.2,</w:t>
            </w:r>
            <w:r>
              <w:rPr>
                <w:spacing w:val="-5"/>
                <w:sz w:val="20"/>
              </w:rPr>
              <w:t> </w:t>
            </w:r>
            <w:r>
              <w:rPr>
                <w:sz w:val="20"/>
              </w:rPr>
              <w:t>I09.8,</w:t>
            </w:r>
            <w:r>
              <w:rPr>
                <w:spacing w:val="-5"/>
                <w:sz w:val="20"/>
              </w:rPr>
              <w:t> </w:t>
            </w:r>
            <w:r>
              <w:rPr>
                <w:sz w:val="20"/>
              </w:rPr>
              <w:t>I09.9,</w:t>
            </w:r>
            <w:r>
              <w:rPr>
                <w:spacing w:val="-4"/>
                <w:sz w:val="20"/>
              </w:rPr>
              <w:t> </w:t>
            </w:r>
            <w:r>
              <w:rPr>
                <w:sz w:val="20"/>
              </w:rPr>
              <w:t>I10,</w:t>
            </w:r>
            <w:r>
              <w:rPr>
                <w:spacing w:val="-5"/>
                <w:sz w:val="20"/>
              </w:rPr>
              <w:t> </w:t>
            </w:r>
            <w:r>
              <w:rPr>
                <w:sz w:val="20"/>
              </w:rPr>
              <w:t>I11,</w:t>
            </w:r>
            <w:r>
              <w:rPr>
                <w:spacing w:val="-5"/>
                <w:sz w:val="20"/>
              </w:rPr>
              <w:t> </w:t>
            </w:r>
            <w:r>
              <w:rPr>
                <w:spacing w:val="-2"/>
                <w:sz w:val="20"/>
              </w:rPr>
              <w:t>I11.0,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370"/>
              <w:rPr>
                <w:sz w:val="20"/>
              </w:rPr>
            </w:pPr>
            <w:r>
              <w:rPr>
                <w:sz w:val="20"/>
              </w:rPr>
              <w:t>I11.9,</w:t>
            </w:r>
            <w:r>
              <w:rPr>
                <w:spacing w:val="-5"/>
                <w:sz w:val="20"/>
              </w:rPr>
              <w:t> </w:t>
            </w:r>
            <w:r>
              <w:rPr>
                <w:sz w:val="20"/>
              </w:rPr>
              <w:t>I12,</w:t>
            </w:r>
            <w:r>
              <w:rPr>
                <w:spacing w:val="-5"/>
                <w:sz w:val="20"/>
              </w:rPr>
              <w:t> </w:t>
            </w:r>
            <w:r>
              <w:rPr>
                <w:sz w:val="20"/>
              </w:rPr>
              <w:t>I12.0,</w:t>
            </w:r>
            <w:r>
              <w:rPr>
                <w:spacing w:val="-5"/>
                <w:sz w:val="20"/>
              </w:rPr>
              <w:t> </w:t>
            </w:r>
            <w:r>
              <w:rPr>
                <w:sz w:val="20"/>
              </w:rPr>
              <w:t>I12.9,</w:t>
            </w:r>
            <w:r>
              <w:rPr>
                <w:spacing w:val="-7"/>
                <w:sz w:val="20"/>
              </w:rPr>
              <w:t> </w:t>
            </w:r>
            <w:r>
              <w:rPr>
                <w:sz w:val="20"/>
              </w:rPr>
              <w:t>I13,</w:t>
            </w:r>
            <w:r>
              <w:rPr>
                <w:spacing w:val="-5"/>
                <w:sz w:val="20"/>
              </w:rPr>
              <w:t> </w:t>
            </w:r>
            <w:r>
              <w:rPr>
                <w:sz w:val="20"/>
              </w:rPr>
              <w:t>I13.0,</w:t>
            </w:r>
            <w:r>
              <w:rPr>
                <w:spacing w:val="-5"/>
                <w:sz w:val="20"/>
              </w:rPr>
              <w:t> </w:t>
            </w:r>
            <w:r>
              <w:rPr>
                <w:sz w:val="20"/>
              </w:rPr>
              <w:t>I13.1,</w:t>
            </w:r>
            <w:r>
              <w:rPr>
                <w:spacing w:val="-5"/>
                <w:sz w:val="20"/>
              </w:rPr>
              <w:t> </w:t>
            </w:r>
            <w:r>
              <w:rPr>
                <w:spacing w:val="-2"/>
                <w:sz w:val="20"/>
              </w:rPr>
              <w:t>I13.2,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370"/>
              <w:rPr>
                <w:sz w:val="20"/>
              </w:rPr>
            </w:pPr>
            <w:r>
              <w:rPr>
                <w:sz w:val="20"/>
              </w:rPr>
              <w:t>I13.9,</w:t>
            </w:r>
            <w:r>
              <w:rPr>
                <w:spacing w:val="-5"/>
                <w:sz w:val="20"/>
              </w:rPr>
              <w:t> </w:t>
            </w:r>
            <w:r>
              <w:rPr>
                <w:sz w:val="20"/>
              </w:rPr>
              <w:t>I15,</w:t>
            </w:r>
            <w:r>
              <w:rPr>
                <w:spacing w:val="-5"/>
                <w:sz w:val="20"/>
              </w:rPr>
              <w:t> </w:t>
            </w:r>
            <w:r>
              <w:rPr>
                <w:sz w:val="20"/>
              </w:rPr>
              <w:t>I15.0,</w:t>
            </w:r>
            <w:r>
              <w:rPr>
                <w:spacing w:val="-5"/>
                <w:sz w:val="20"/>
              </w:rPr>
              <w:t> </w:t>
            </w:r>
            <w:r>
              <w:rPr>
                <w:sz w:val="20"/>
              </w:rPr>
              <w:t>I15.1,</w:t>
            </w:r>
            <w:r>
              <w:rPr>
                <w:spacing w:val="-7"/>
                <w:sz w:val="20"/>
              </w:rPr>
              <w:t> </w:t>
            </w:r>
            <w:r>
              <w:rPr>
                <w:sz w:val="20"/>
              </w:rPr>
              <w:t>I15.2,</w:t>
            </w:r>
            <w:r>
              <w:rPr>
                <w:spacing w:val="-7"/>
                <w:sz w:val="20"/>
              </w:rPr>
              <w:t> </w:t>
            </w:r>
            <w:r>
              <w:rPr>
                <w:sz w:val="20"/>
              </w:rPr>
              <w:t>I15.8,</w:t>
            </w:r>
            <w:r>
              <w:rPr>
                <w:spacing w:val="-5"/>
                <w:sz w:val="20"/>
              </w:rPr>
              <w:t> </w:t>
            </w:r>
            <w:r>
              <w:rPr>
                <w:sz w:val="20"/>
              </w:rPr>
              <w:t>I15.9,</w:t>
            </w:r>
            <w:r>
              <w:rPr>
                <w:spacing w:val="-7"/>
                <w:sz w:val="20"/>
              </w:rPr>
              <w:t> </w:t>
            </w:r>
            <w:r>
              <w:rPr>
                <w:spacing w:val="-4"/>
                <w:sz w:val="20"/>
              </w:rPr>
              <w:t>I20,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I20.0,</w:t>
            </w:r>
            <w:r>
              <w:rPr>
                <w:spacing w:val="-4"/>
                <w:sz w:val="20"/>
              </w:rPr>
              <w:t> </w:t>
            </w:r>
            <w:r>
              <w:rPr>
                <w:sz w:val="20"/>
              </w:rPr>
              <w:t>I20.1,</w:t>
            </w:r>
            <w:r>
              <w:rPr>
                <w:spacing w:val="-6"/>
                <w:sz w:val="20"/>
              </w:rPr>
              <w:t> </w:t>
            </w:r>
            <w:r>
              <w:rPr>
                <w:sz w:val="20"/>
              </w:rPr>
              <w:t>I20.8,</w:t>
            </w:r>
            <w:r>
              <w:rPr>
                <w:spacing w:val="-4"/>
                <w:sz w:val="20"/>
              </w:rPr>
              <w:t> </w:t>
            </w:r>
            <w:r>
              <w:rPr>
                <w:sz w:val="20"/>
              </w:rPr>
              <w:t>I20.9,</w:t>
            </w:r>
            <w:r>
              <w:rPr>
                <w:spacing w:val="-4"/>
                <w:sz w:val="20"/>
              </w:rPr>
              <w:t> </w:t>
            </w:r>
            <w:r>
              <w:rPr>
                <w:sz w:val="20"/>
              </w:rPr>
              <w:t>I21,</w:t>
            </w:r>
            <w:r>
              <w:rPr>
                <w:spacing w:val="-6"/>
                <w:sz w:val="20"/>
              </w:rPr>
              <w:t> </w:t>
            </w:r>
            <w:r>
              <w:rPr>
                <w:sz w:val="20"/>
              </w:rPr>
              <w:t>I21.0,</w:t>
            </w:r>
            <w:r>
              <w:rPr>
                <w:spacing w:val="-4"/>
                <w:sz w:val="20"/>
              </w:rPr>
              <w:t> </w:t>
            </w:r>
            <w:r>
              <w:rPr>
                <w:sz w:val="20"/>
              </w:rPr>
              <w:t>I21.1,</w:t>
            </w:r>
            <w:r>
              <w:rPr>
                <w:spacing w:val="-6"/>
                <w:sz w:val="20"/>
              </w:rPr>
              <w:t> </w:t>
            </w:r>
            <w:r>
              <w:rPr>
                <w:spacing w:val="-2"/>
                <w:sz w:val="20"/>
              </w:rPr>
              <w:t>I21.2,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I21.3,</w:t>
            </w:r>
            <w:r>
              <w:rPr>
                <w:spacing w:val="-5"/>
                <w:sz w:val="20"/>
              </w:rPr>
              <w:t> </w:t>
            </w:r>
            <w:r>
              <w:rPr>
                <w:sz w:val="20"/>
              </w:rPr>
              <w:t>I21.4,</w:t>
            </w:r>
            <w:r>
              <w:rPr>
                <w:spacing w:val="-6"/>
                <w:sz w:val="20"/>
              </w:rPr>
              <w:t> </w:t>
            </w:r>
            <w:r>
              <w:rPr>
                <w:sz w:val="20"/>
              </w:rPr>
              <w:t>I21.9,</w:t>
            </w:r>
            <w:r>
              <w:rPr>
                <w:spacing w:val="-5"/>
                <w:sz w:val="20"/>
              </w:rPr>
              <w:t> </w:t>
            </w:r>
            <w:r>
              <w:rPr>
                <w:sz w:val="20"/>
              </w:rPr>
              <w:t>I22,</w:t>
            </w:r>
            <w:r>
              <w:rPr>
                <w:spacing w:val="-6"/>
                <w:sz w:val="20"/>
              </w:rPr>
              <w:t> </w:t>
            </w:r>
            <w:r>
              <w:rPr>
                <w:sz w:val="20"/>
              </w:rPr>
              <w:t>I22.0,</w:t>
            </w:r>
            <w:r>
              <w:rPr>
                <w:spacing w:val="-7"/>
                <w:sz w:val="20"/>
              </w:rPr>
              <w:t> </w:t>
            </w:r>
            <w:r>
              <w:rPr>
                <w:sz w:val="20"/>
              </w:rPr>
              <w:t>I22.1,</w:t>
            </w:r>
            <w:r>
              <w:rPr>
                <w:spacing w:val="-4"/>
                <w:sz w:val="20"/>
              </w:rPr>
              <w:t> </w:t>
            </w:r>
            <w:r>
              <w:rPr>
                <w:sz w:val="20"/>
              </w:rPr>
              <w:t>I22.8,</w:t>
            </w:r>
            <w:r>
              <w:rPr>
                <w:spacing w:val="-7"/>
                <w:sz w:val="20"/>
              </w:rPr>
              <w:t> </w:t>
            </w:r>
            <w:r>
              <w:rPr>
                <w:spacing w:val="-2"/>
                <w:sz w:val="20"/>
              </w:rPr>
              <w:t>I22.9,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1" w:lineRule="exact"/>
              <w:ind w:left="293"/>
              <w:rPr>
                <w:sz w:val="20"/>
              </w:rPr>
            </w:pPr>
            <w:r>
              <w:rPr>
                <w:sz w:val="20"/>
              </w:rPr>
              <w:t>I23,</w:t>
            </w:r>
            <w:r>
              <w:rPr>
                <w:spacing w:val="-5"/>
                <w:sz w:val="20"/>
              </w:rPr>
              <w:t> </w:t>
            </w:r>
            <w:r>
              <w:rPr>
                <w:sz w:val="20"/>
              </w:rPr>
              <w:t>I23.0,</w:t>
            </w:r>
            <w:r>
              <w:rPr>
                <w:spacing w:val="-5"/>
                <w:sz w:val="20"/>
              </w:rPr>
              <w:t> </w:t>
            </w:r>
            <w:r>
              <w:rPr>
                <w:sz w:val="20"/>
              </w:rPr>
              <w:t>I23.1,</w:t>
            </w:r>
            <w:r>
              <w:rPr>
                <w:spacing w:val="-5"/>
                <w:sz w:val="20"/>
              </w:rPr>
              <w:t> </w:t>
            </w:r>
            <w:r>
              <w:rPr>
                <w:sz w:val="20"/>
              </w:rPr>
              <w:t>I23.2,</w:t>
            </w:r>
            <w:r>
              <w:rPr>
                <w:spacing w:val="-6"/>
                <w:sz w:val="20"/>
              </w:rPr>
              <w:t> </w:t>
            </w:r>
            <w:r>
              <w:rPr>
                <w:sz w:val="20"/>
              </w:rPr>
              <w:t>I23.3,</w:t>
            </w:r>
            <w:r>
              <w:rPr>
                <w:spacing w:val="-6"/>
                <w:sz w:val="20"/>
              </w:rPr>
              <w:t> </w:t>
            </w:r>
            <w:r>
              <w:rPr>
                <w:sz w:val="20"/>
              </w:rPr>
              <w:t>I23.4,</w:t>
            </w:r>
            <w:r>
              <w:rPr>
                <w:spacing w:val="-5"/>
                <w:sz w:val="20"/>
              </w:rPr>
              <w:t> </w:t>
            </w:r>
            <w:r>
              <w:rPr>
                <w:sz w:val="20"/>
              </w:rPr>
              <w:t>I23.5,</w:t>
            </w:r>
            <w:r>
              <w:rPr>
                <w:spacing w:val="-7"/>
                <w:sz w:val="20"/>
              </w:rPr>
              <w:t> </w:t>
            </w:r>
            <w:r>
              <w:rPr>
                <w:spacing w:val="-2"/>
                <w:sz w:val="20"/>
              </w:rPr>
              <w:t>I23.6,</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1" w:lineRule="exact"/>
              <w:ind w:left="370"/>
              <w:rPr>
                <w:sz w:val="20"/>
              </w:rPr>
            </w:pPr>
            <w:r>
              <w:rPr>
                <w:sz w:val="20"/>
              </w:rPr>
              <w:t>I23.8,</w:t>
            </w:r>
            <w:r>
              <w:rPr>
                <w:spacing w:val="-5"/>
                <w:sz w:val="20"/>
              </w:rPr>
              <w:t> </w:t>
            </w:r>
            <w:r>
              <w:rPr>
                <w:sz w:val="20"/>
              </w:rPr>
              <w:t>I24,</w:t>
            </w:r>
            <w:r>
              <w:rPr>
                <w:spacing w:val="-5"/>
                <w:sz w:val="20"/>
              </w:rPr>
              <w:t> </w:t>
            </w:r>
            <w:r>
              <w:rPr>
                <w:sz w:val="20"/>
              </w:rPr>
              <w:t>I24.0,</w:t>
            </w:r>
            <w:r>
              <w:rPr>
                <w:spacing w:val="-5"/>
                <w:sz w:val="20"/>
              </w:rPr>
              <w:t> </w:t>
            </w:r>
            <w:r>
              <w:rPr>
                <w:sz w:val="20"/>
              </w:rPr>
              <w:t>I24.1,</w:t>
            </w:r>
            <w:r>
              <w:rPr>
                <w:spacing w:val="-7"/>
                <w:sz w:val="20"/>
              </w:rPr>
              <w:t> </w:t>
            </w:r>
            <w:r>
              <w:rPr>
                <w:sz w:val="20"/>
              </w:rPr>
              <w:t>I24.8,</w:t>
            </w:r>
            <w:r>
              <w:rPr>
                <w:spacing w:val="-6"/>
                <w:sz w:val="20"/>
              </w:rPr>
              <w:t> </w:t>
            </w:r>
            <w:r>
              <w:rPr>
                <w:sz w:val="20"/>
              </w:rPr>
              <w:t>I24.9,</w:t>
            </w:r>
            <w:r>
              <w:rPr>
                <w:spacing w:val="-5"/>
                <w:sz w:val="20"/>
              </w:rPr>
              <w:t> </w:t>
            </w:r>
            <w:r>
              <w:rPr>
                <w:sz w:val="20"/>
              </w:rPr>
              <w:t>I25,</w:t>
            </w:r>
            <w:r>
              <w:rPr>
                <w:spacing w:val="-5"/>
                <w:sz w:val="20"/>
              </w:rPr>
              <w:t> </w:t>
            </w:r>
            <w:r>
              <w:rPr>
                <w:spacing w:val="-2"/>
                <w:sz w:val="20"/>
              </w:rPr>
              <w:t>I25.0,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218"/>
              <w:rPr>
                <w:sz w:val="20"/>
              </w:rPr>
            </w:pPr>
            <w:r>
              <w:rPr>
                <w:sz w:val="20"/>
              </w:rPr>
              <w:t>I25.1,</w:t>
            </w:r>
            <w:r>
              <w:rPr>
                <w:spacing w:val="-5"/>
                <w:sz w:val="20"/>
              </w:rPr>
              <w:t> </w:t>
            </w:r>
            <w:r>
              <w:rPr>
                <w:sz w:val="20"/>
              </w:rPr>
              <w:t>I25.2,</w:t>
            </w:r>
            <w:r>
              <w:rPr>
                <w:spacing w:val="-7"/>
                <w:sz w:val="20"/>
              </w:rPr>
              <w:t> </w:t>
            </w:r>
            <w:r>
              <w:rPr>
                <w:sz w:val="20"/>
              </w:rPr>
              <w:t>I25.3,</w:t>
            </w:r>
            <w:r>
              <w:rPr>
                <w:spacing w:val="-5"/>
                <w:sz w:val="20"/>
              </w:rPr>
              <w:t> </w:t>
            </w:r>
            <w:r>
              <w:rPr>
                <w:sz w:val="20"/>
              </w:rPr>
              <w:t>I25.4,</w:t>
            </w:r>
            <w:r>
              <w:rPr>
                <w:spacing w:val="-5"/>
                <w:sz w:val="20"/>
              </w:rPr>
              <w:t> </w:t>
            </w:r>
            <w:r>
              <w:rPr>
                <w:sz w:val="20"/>
              </w:rPr>
              <w:t>I25.5,</w:t>
            </w:r>
            <w:r>
              <w:rPr>
                <w:spacing w:val="-5"/>
                <w:sz w:val="20"/>
              </w:rPr>
              <w:t> </w:t>
            </w:r>
            <w:r>
              <w:rPr>
                <w:sz w:val="20"/>
              </w:rPr>
              <w:t>I25.6,</w:t>
            </w:r>
            <w:r>
              <w:rPr>
                <w:spacing w:val="-6"/>
                <w:sz w:val="20"/>
              </w:rPr>
              <w:t> </w:t>
            </w:r>
            <w:r>
              <w:rPr>
                <w:sz w:val="20"/>
              </w:rPr>
              <w:t>I25.8,</w:t>
            </w:r>
            <w:r>
              <w:rPr>
                <w:spacing w:val="-5"/>
                <w:sz w:val="20"/>
              </w:rPr>
              <w:t> </w:t>
            </w:r>
            <w:r>
              <w:rPr>
                <w:spacing w:val="-2"/>
                <w:sz w:val="20"/>
              </w:rPr>
              <w:t>I25.9,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293"/>
              <w:rPr>
                <w:sz w:val="20"/>
              </w:rPr>
            </w:pPr>
            <w:r>
              <w:rPr>
                <w:sz w:val="20"/>
              </w:rPr>
              <w:t>I26.0,</w:t>
            </w:r>
            <w:r>
              <w:rPr>
                <w:spacing w:val="-5"/>
                <w:sz w:val="20"/>
              </w:rPr>
              <w:t> </w:t>
            </w:r>
            <w:r>
              <w:rPr>
                <w:sz w:val="20"/>
              </w:rPr>
              <w:t>I26.9,</w:t>
            </w:r>
            <w:r>
              <w:rPr>
                <w:spacing w:val="-6"/>
                <w:sz w:val="20"/>
              </w:rPr>
              <w:t> </w:t>
            </w:r>
            <w:r>
              <w:rPr>
                <w:sz w:val="20"/>
              </w:rPr>
              <w:t>I27,</w:t>
            </w:r>
            <w:r>
              <w:rPr>
                <w:spacing w:val="-4"/>
                <w:sz w:val="20"/>
              </w:rPr>
              <w:t> </w:t>
            </w:r>
            <w:r>
              <w:rPr>
                <w:sz w:val="20"/>
              </w:rPr>
              <w:t>I27.0,</w:t>
            </w:r>
            <w:r>
              <w:rPr>
                <w:spacing w:val="-6"/>
                <w:sz w:val="20"/>
              </w:rPr>
              <w:t> </w:t>
            </w:r>
            <w:r>
              <w:rPr>
                <w:sz w:val="20"/>
              </w:rPr>
              <w:t>I27.1,</w:t>
            </w:r>
            <w:r>
              <w:rPr>
                <w:spacing w:val="-6"/>
                <w:sz w:val="20"/>
              </w:rPr>
              <w:t> </w:t>
            </w:r>
            <w:r>
              <w:rPr>
                <w:sz w:val="20"/>
              </w:rPr>
              <w:t>I27.2,</w:t>
            </w:r>
            <w:r>
              <w:rPr>
                <w:spacing w:val="-4"/>
                <w:sz w:val="20"/>
              </w:rPr>
              <w:t> </w:t>
            </w:r>
            <w:r>
              <w:rPr>
                <w:sz w:val="20"/>
              </w:rPr>
              <w:t>I27.8,</w:t>
            </w:r>
            <w:r>
              <w:rPr>
                <w:spacing w:val="-6"/>
                <w:sz w:val="20"/>
              </w:rPr>
              <w:t> </w:t>
            </w:r>
            <w:r>
              <w:rPr>
                <w:spacing w:val="-2"/>
                <w:sz w:val="20"/>
              </w:rPr>
              <w:t>I27.9,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370"/>
              <w:rPr>
                <w:sz w:val="20"/>
              </w:rPr>
            </w:pPr>
            <w:r>
              <w:rPr>
                <w:sz w:val="20"/>
              </w:rPr>
              <w:t>I28,</w:t>
            </w:r>
            <w:r>
              <w:rPr>
                <w:spacing w:val="-5"/>
                <w:sz w:val="20"/>
              </w:rPr>
              <w:t> </w:t>
            </w:r>
            <w:r>
              <w:rPr>
                <w:sz w:val="20"/>
              </w:rPr>
              <w:t>I28.0,</w:t>
            </w:r>
            <w:r>
              <w:rPr>
                <w:spacing w:val="-4"/>
                <w:sz w:val="20"/>
              </w:rPr>
              <w:t> </w:t>
            </w:r>
            <w:r>
              <w:rPr>
                <w:sz w:val="20"/>
              </w:rPr>
              <w:t>I28.1,</w:t>
            </w:r>
            <w:r>
              <w:rPr>
                <w:spacing w:val="-4"/>
                <w:sz w:val="20"/>
              </w:rPr>
              <w:t> </w:t>
            </w:r>
            <w:r>
              <w:rPr>
                <w:sz w:val="20"/>
              </w:rPr>
              <w:t>I28.8,</w:t>
            </w:r>
            <w:r>
              <w:rPr>
                <w:spacing w:val="-6"/>
                <w:sz w:val="20"/>
              </w:rPr>
              <w:t> </w:t>
            </w:r>
            <w:r>
              <w:rPr>
                <w:sz w:val="20"/>
              </w:rPr>
              <w:t>I28.9,</w:t>
            </w:r>
            <w:r>
              <w:rPr>
                <w:spacing w:val="-7"/>
                <w:sz w:val="20"/>
              </w:rPr>
              <w:t> </w:t>
            </w:r>
            <w:r>
              <w:rPr>
                <w:sz w:val="20"/>
              </w:rPr>
              <w:t>I30,</w:t>
            </w:r>
            <w:r>
              <w:rPr>
                <w:spacing w:val="-4"/>
                <w:sz w:val="20"/>
              </w:rPr>
              <w:t> </w:t>
            </w:r>
            <w:r>
              <w:rPr>
                <w:sz w:val="20"/>
              </w:rPr>
              <w:t>I30.0,</w:t>
            </w:r>
            <w:r>
              <w:rPr>
                <w:spacing w:val="-4"/>
                <w:sz w:val="20"/>
              </w:rPr>
              <w:t> </w:t>
            </w:r>
            <w:r>
              <w:rPr>
                <w:spacing w:val="-2"/>
                <w:sz w:val="20"/>
              </w:rPr>
              <w:t>I30.1,</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I30.8,</w:t>
            </w:r>
            <w:r>
              <w:rPr>
                <w:spacing w:val="-5"/>
                <w:sz w:val="20"/>
              </w:rPr>
              <w:t> </w:t>
            </w:r>
            <w:r>
              <w:rPr>
                <w:sz w:val="20"/>
              </w:rPr>
              <w:t>I30.9,</w:t>
            </w:r>
            <w:r>
              <w:rPr>
                <w:spacing w:val="-7"/>
                <w:sz w:val="20"/>
              </w:rPr>
              <w:t> </w:t>
            </w:r>
            <w:r>
              <w:rPr>
                <w:sz w:val="20"/>
              </w:rPr>
              <w:t>I31,</w:t>
            </w:r>
            <w:r>
              <w:rPr>
                <w:spacing w:val="-4"/>
                <w:sz w:val="20"/>
              </w:rPr>
              <w:t> </w:t>
            </w:r>
            <w:r>
              <w:rPr>
                <w:sz w:val="20"/>
              </w:rPr>
              <w:t>I31.0,</w:t>
            </w:r>
            <w:r>
              <w:rPr>
                <w:spacing w:val="-7"/>
                <w:sz w:val="20"/>
              </w:rPr>
              <w:t> </w:t>
            </w:r>
            <w:r>
              <w:rPr>
                <w:sz w:val="20"/>
              </w:rPr>
              <w:t>I31.1,</w:t>
            </w:r>
            <w:r>
              <w:rPr>
                <w:spacing w:val="-6"/>
                <w:sz w:val="20"/>
              </w:rPr>
              <w:t> </w:t>
            </w:r>
            <w:r>
              <w:rPr>
                <w:sz w:val="20"/>
              </w:rPr>
              <w:t>I31.2,</w:t>
            </w:r>
            <w:r>
              <w:rPr>
                <w:spacing w:val="-5"/>
                <w:sz w:val="20"/>
              </w:rPr>
              <w:t> </w:t>
            </w:r>
            <w:r>
              <w:rPr>
                <w:sz w:val="20"/>
              </w:rPr>
              <w:t>I31.3,</w:t>
            </w:r>
            <w:r>
              <w:rPr>
                <w:spacing w:val="-7"/>
                <w:sz w:val="20"/>
              </w:rPr>
              <w:t> </w:t>
            </w:r>
            <w:r>
              <w:rPr>
                <w:spacing w:val="-2"/>
                <w:sz w:val="20"/>
              </w:rPr>
              <w:t>I31.8,</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I31.9,</w:t>
            </w:r>
            <w:r>
              <w:rPr>
                <w:spacing w:val="-5"/>
                <w:sz w:val="20"/>
              </w:rPr>
              <w:t> </w:t>
            </w:r>
            <w:r>
              <w:rPr>
                <w:sz w:val="20"/>
              </w:rPr>
              <w:t>I32.0,</w:t>
            </w:r>
            <w:r>
              <w:rPr>
                <w:spacing w:val="-6"/>
                <w:sz w:val="20"/>
              </w:rPr>
              <w:t> </w:t>
            </w:r>
            <w:r>
              <w:rPr>
                <w:sz w:val="20"/>
              </w:rPr>
              <w:t>I32.1,</w:t>
            </w:r>
            <w:r>
              <w:rPr>
                <w:spacing w:val="-5"/>
                <w:sz w:val="20"/>
              </w:rPr>
              <w:t> </w:t>
            </w:r>
            <w:r>
              <w:rPr>
                <w:sz w:val="20"/>
              </w:rPr>
              <w:t>I32.8,</w:t>
            </w:r>
            <w:r>
              <w:rPr>
                <w:spacing w:val="-4"/>
                <w:sz w:val="20"/>
              </w:rPr>
              <w:t> </w:t>
            </w:r>
            <w:r>
              <w:rPr>
                <w:sz w:val="20"/>
              </w:rPr>
              <w:t>I33.0,</w:t>
            </w:r>
            <w:r>
              <w:rPr>
                <w:spacing w:val="-5"/>
                <w:sz w:val="20"/>
              </w:rPr>
              <w:t> </w:t>
            </w:r>
            <w:r>
              <w:rPr>
                <w:sz w:val="20"/>
              </w:rPr>
              <w:t>I33.9,</w:t>
            </w:r>
            <w:r>
              <w:rPr>
                <w:spacing w:val="-6"/>
                <w:sz w:val="20"/>
              </w:rPr>
              <w:t> </w:t>
            </w:r>
            <w:r>
              <w:rPr>
                <w:sz w:val="20"/>
              </w:rPr>
              <w:t>I34,</w:t>
            </w:r>
            <w:r>
              <w:rPr>
                <w:spacing w:val="-7"/>
                <w:sz w:val="20"/>
              </w:rPr>
              <w:t> </w:t>
            </w:r>
            <w:r>
              <w:rPr>
                <w:spacing w:val="-2"/>
                <w:sz w:val="20"/>
              </w:rPr>
              <w:t>I34.0,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I34.1,</w:t>
            </w:r>
            <w:r>
              <w:rPr>
                <w:spacing w:val="-5"/>
                <w:sz w:val="20"/>
              </w:rPr>
              <w:t> </w:t>
            </w:r>
            <w:r>
              <w:rPr>
                <w:sz w:val="20"/>
              </w:rPr>
              <w:t>I34.2,</w:t>
            </w:r>
            <w:r>
              <w:rPr>
                <w:spacing w:val="-7"/>
                <w:sz w:val="20"/>
              </w:rPr>
              <w:t> </w:t>
            </w:r>
            <w:r>
              <w:rPr>
                <w:sz w:val="20"/>
              </w:rPr>
              <w:t>I34.8,</w:t>
            </w:r>
            <w:r>
              <w:rPr>
                <w:spacing w:val="-4"/>
                <w:sz w:val="20"/>
              </w:rPr>
              <w:t> </w:t>
            </w:r>
            <w:r>
              <w:rPr>
                <w:sz w:val="20"/>
              </w:rPr>
              <w:t>I34.9,</w:t>
            </w:r>
            <w:r>
              <w:rPr>
                <w:spacing w:val="-5"/>
                <w:sz w:val="20"/>
              </w:rPr>
              <w:t> </w:t>
            </w:r>
            <w:r>
              <w:rPr>
                <w:sz w:val="20"/>
              </w:rPr>
              <w:t>I35,</w:t>
            </w:r>
            <w:r>
              <w:rPr>
                <w:spacing w:val="-6"/>
                <w:sz w:val="20"/>
              </w:rPr>
              <w:t> </w:t>
            </w:r>
            <w:r>
              <w:rPr>
                <w:sz w:val="20"/>
              </w:rPr>
              <w:t>I35.0,</w:t>
            </w:r>
            <w:r>
              <w:rPr>
                <w:spacing w:val="-5"/>
                <w:sz w:val="20"/>
              </w:rPr>
              <w:t> </w:t>
            </w:r>
            <w:r>
              <w:rPr>
                <w:sz w:val="20"/>
              </w:rPr>
              <w:t>I35.1,</w:t>
            </w:r>
            <w:r>
              <w:rPr>
                <w:spacing w:val="-7"/>
                <w:sz w:val="20"/>
              </w:rPr>
              <w:t> </w:t>
            </w:r>
            <w:r>
              <w:rPr>
                <w:spacing w:val="-2"/>
                <w:sz w:val="20"/>
              </w:rPr>
              <w:t>I35.2,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5" w:lineRule="exact"/>
              <w:ind w:left="293"/>
              <w:rPr>
                <w:sz w:val="20"/>
              </w:rPr>
            </w:pPr>
            <w:r>
              <w:rPr>
                <w:sz w:val="20"/>
              </w:rPr>
              <w:t>I35.8,</w:t>
            </w:r>
            <w:r>
              <w:rPr>
                <w:spacing w:val="-5"/>
                <w:sz w:val="20"/>
              </w:rPr>
              <w:t> </w:t>
            </w:r>
            <w:r>
              <w:rPr>
                <w:sz w:val="20"/>
              </w:rPr>
              <w:t>I35.9,</w:t>
            </w:r>
            <w:r>
              <w:rPr>
                <w:spacing w:val="-6"/>
                <w:sz w:val="20"/>
              </w:rPr>
              <w:t> </w:t>
            </w:r>
            <w:r>
              <w:rPr>
                <w:sz w:val="20"/>
              </w:rPr>
              <w:t>I36,</w:t>
            </w:r>
            <w:r>
              <w:rPr>
                <w:spacing w:val="-5"/>
                <w:sz w:val="20"/>
              </w:rPr>
              <w:t> </w:t>
            </w:r>
            <w:r>
              <w:rPr>
                <w:sz w:val="20"/>
              </w:rPr>
              <w:t>I36.0,</w:t>
            </w:r>
            <w:r>
              <w:rPr>
                <w:spacing w:val="-6"/>
                <w:sz w:val="20"/>
              </w:rPr>
              <w:t> </w:t>
            </w:r>
            <w:r>
              <w:rPr>
                <w:sz w:val="20"/>
              </w:rPr>
              <w:t>I36.1,</w:t>
            </w:r>
            <w:r>
              <w:rPr>
                <w:spacing w:val="-6"/>
                <w:sz w:val="20"/>
              </w:rPr>
              <w:t> </w:t>
            </w:r>
            <w:r>
              <w:rPr>
                <w:sz w:val="20"/>
              </w:rPr>
              <w:t>I36.2,</w:t>
            </w:r>
            <w:r>
              <w:rPr>
                <w:spacing w:val="-4"/>
                <w:sz w:val="20"/>
              </w:rPr>
              <w:t> </w:t>
            </w:r>
            <w:r>
              <w:rPr>
                <w:sz w:val="20"/>
              </w:rPr>
              <w:t>I36.8,</w:t>
            </w:r>
            <w:r>
              <w:rPr>
                <w:spacing w:val="-7"/>
                <w:sz w:val="20"/>
              </w:rPr>
              <w:t> </w:t>
            </w:r>
            <w:r>
              <w:rPr>
                <w:spacing w:val="-2"/>
                <w:sz w:val="20"/>
              </w:rPr>
              <w:t>I36.9,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I37,</w:t>
      </w:r>
      <w:r>
        <w:rPr>
          <w:spacing w:val="-5"/>
          <w:sz w:val="20"/>
        </w:rPr>
        <w:t> </w:t>
      </w:r>
      <w:r>
        <w:rPr>
          <w:sz w:val="20"/>
        </w:rPr>
        <w:t>I37.0,</w:t>
      </w:r>
      <w:r>
        <w:rPr>
          <w:spacing w:val="-5"/>
          <w:sz w:val="20"/>
        </w:rPr>
        <w:t> </w:t>
      </w:r>
      <w:r>
        <w:rPr>
          <w:sz w:val="20"/>
        </w:rPr>
        <w:t>I37.1,</w:t>
      </w:r>
      <w:r>
        <w:rPr>
          <w:spacing w:val="-4"/>
          <w:sz w:val="20"/>
        </w:rPr>
        <w:t> </w:t>
      </w:r>
      <w:r>
        <w:rPr>
          <w:sz w:val="20"/>
        </w:rPr>
        <w:t>I37.2,</w:t>
      </w:r>
      <w:r>
        <w:rPr>
          <w:spacing w:val="-7"/>
          <w:sz w:val="20"/>
        </w:rPr>
        <w:t> </w:t>
      </w:r>
      <w:r>
        <w:rPr>
          <w:sz w:val="20"/>
        </w:rPr>
        <w:t>I37.8,</w:t>
      </w:r>
      <w:r>
        <w:rPr>
          <w:spacing w:val="-6"/>
          <w:sz w:val="20"/>
        </w:rPr>
        <w:t> </w:t>
      </w:r>
      <w:r>
        <w:rPr>
          <w:sz w:val="20"/>
        </w:rPr>
        <w:t>I37.9,</w:t>
      </w:r>
      <w:r>
        <w:rPr>
          <w:spacing w:val="-5"/>
          <w:sz w:val="20"/>
        </w:rPr>
        <w:t> </w:t>
      </w:r>
      <w:r>
        <w:rPr>
          <w:sz w:val="20"/>
        </w:rPr>
        <w:t>I38,</w:t>
      </w:r>
      <w:r>
        <w:rPr>
          <w:spacing w:val="-4"/>
          <w:sz w:val="20"/>
        </w:rPr>
        <w:t> I39,</w:t>
      </w:r>
    </w:p>
    <w:p>
      <w:pPr>
        <w:spacing w:line="229" w:lineRule="exact" w:before="1"/>
        <w:ind w:left="1156" w:right="4154" w:firstLine="0"/>
        <w:jc w:val="center"/>
        <w:rPr>
          <w:sz w:val="20"/>
        </w:rPr>
      </w:pPr>
      <w:r>
        <w:rPr>
          <w:sz w:val="20"/>
        </w:rPr>
        <w:t>I39.0,</w:t>
      </w:r>
      <w:r>
        <w:rPr>
          <w:spacing w:val="-5"/>
          <w:sz w:val="20"/>
        </w:rPr>
        <w:t> </w:t>
      </w:r>
      <w:r>
        <w:rPr>
          <w:sz w:val="20"/>
        </w:rPr>
        <w:t>I39.1,</w:t>
      </w:r>
      <w:r>
        <w:rPr>
          <w:spacing w:val="-7"/>
          <w:sz w:val="20"/>
        </w:rPr>
        <w:t> </w:t>
      </w:r>
      <w:r>
        <w:rPr>
          <w:sz w:val="20"/>
        </w:rPr>
        <w:t>I39.2,</w:t>
      </w:r>
      <w:r>
        <w:rPr>
          <w:spacing w:val="-5"/>
          <w:sz w:val="20"/>
        </w:rPr>
        <w:t> </w:t>
      </w:r>
      <w:r>
        <w:rPr>
          <w:sz w:val="20"/>
        </w:rPr>
        <w:t>I39.3,</w:t>
      </w:r>
      <w:r>
        <w:rPr>
          <w:spacing w:val="-5"/>
          <w:sz w:val="20"/>
        </w:rPr>
        <w:t> </w:t>
      </w:r>
      <w:r>
        <w:rPr>
          <w:sz w:val="20"/>
        </w:rPr>
        <w:t>I39.4,</w:t>
      </w:r>
      <w:r>
        <w:rPr>
          <w:spacing w:val="-5"/>
          <w:sz w:val="20"/>
        </w:rPr>
        <w:t> </w:t>
      </w:r>
      <w:r>
        <w:rPr>
          <w:sz w:val="20"/>
        </w:rPr>
        <w:t>I39.8,</w:t>
      </w:r>
      <w:r>
        <w:rPr>
          <w:spacing w:val="-6"/>
          <w:sz w:val="20"/>
        </w:rPr>
        <w:t> </w:t>
      </w:r>
      <w:r>
        <w:rPr>
          <w:sz w:val="20"/>
        </w:rPr>
        <w:t>I40.0,</w:t>
      </w:r>
      <w:r>
        <w:rPr>
          <w:spacing w:val="-5"/>
          <w:sz w:val="20"/>
        </w:rPr>
        <w:t> </w:t>
      </w:r>
      <w:r>
        <w:rPr>
          <w:spacing w:val="-2"/>
          <w:sz w:val="20"/>
        </w:rPr>
        <w:t>I40.1,</w:t>
      </w:r>
    </w:p>
    <w:p>
      <w:pPr>
        <w:spacing w:line="229" w:lineRule="exact" w:before="0"/>
        <w:ind w:left="1157" w:right="4154" w:firstLine="0"/>
        <w:jc w:val="center"/>
        <w:rPr>
          <w:sz w:val="20"/>
        </w:rPr>
      </w:pPr>
      <w:r>
        <w:rPr>
          <w:sz w:val="20"/>
        </w:rPr>
        <w:t>I40.8,</w:t>
      </w:r>
      <w:r>
        <w:rPr>
          <w:spacing w:val="-5"/>
          <w:sz w:val="20"/>
        </w:rPr>
        <w:t> </w:t>
      </w:r>
      <w:r>
        <w:rPr>
          <w:sz w:val="20"/>
        </w:rPr>
        <w:t>I40.9,</w:t>
      </w:r>
      <w:r>
        <w:rPr>
          <w:spacing w:val="-6"/>
          <w:sz w:val="20"/>
        </w:rPr>
        <w:t> </w:t>
      </w:r>
      <w:r>
        <w:rPr>
          <w:sz w:val="20"/>
        </w:rPr>
        <w:t>I41.0,</w:t>
      </w:r>
      <w:r>
        <w:rPr>
          <w:spacing w:val="-5"/>
          <w:sz w:val="20"/>
        </w:rPr>
        <w:t> </w:t>
      </w:r>
      <w:r>
        <w:rPr>
          <w:sz w:val="20"/>
        </w:rPr>
        <w:t>I41.1,</w:t>
      </w:r>
      <w:r>
        <w:rPr>
          <w:spacing w:val="-4"/>
          <w:sz w:val="20"/>
        </w:rPr>
        <w:t> </w:t>
      </w:r>
      <w:r>
        <w:rPr>
          <w:sz w:val="20"/>
        </w:rPr>
        <w:t>I41.2,</w:t>
      </w:r>
      <w:r>
        <w:rPr>
          <w:spacing w:val="-5"/>
          <w:sz w:val="20"/>
        </w:rPr>
        <w:t> </w:t>
      </w:r>
      <w:r>
        <w:rPr>
          <w:sz w:val="20"/>
        </w:rPr>
        <w:t>I41.8,</w:t>
      </w:r>
      <w:r>
        <w:rPr>
          <w:spacing w:val="-6"/>
          <w:sz w:val="20"/>
        </w:rPr>
        <w:t> </w:t>
      </w:r>
      <w:r>
        <w:rPr>
          <w:sz w:val="20"/>
        </w:rPr>
        <w:t>I42,</w:t>
      </w:r>
      <w:r>
        <w:rPr>
          <w:spacing w:val="-7"/>
          <w:sz w:val="20"/>
        </w:rPr>
        <w:t> </w:t>
      </w:r>
      <w:r>
        <w:rPr>
          <w:spacing w:val="-2"/>
          <w:sz w:val="20"/>
        </w:rPr>
        <w:t>I42.0,</w:t>
      </w:r>
    </w:p>
    <w:p>
      <w:pPr>
        <w:spacing w:before="0"/>
        <w:ind w:left="1165" w:right="4154" w:firstLine="0"/>
        <w:jc w:val="center"/>
        <w:rPr>
          <w:sz w:val="20"/>
        </w:rPr>
      </w:pPr>
      <w:r>
        <w:rPr>
          <w:sz w:val="20"/>
        </w:rPr>
        <w:t>I42.1,</w:t>
      </w:r>
      <w:r>
        <w:rPr>
          <w:spacing w:val="-5"/>
          <w:sz w:val="20"/>
        </w:rPr>
        <w:t> </w:t>
      </w:r>
      <w:r>
        <w:rPr>
          <w:sz w:val="20"/>
        </w:rPr>
        <w:t>I42.2,</w:t>
      </w:r>
      <w:r>
        <w:rPr>
          <w:spacing w:val="-7"/>
          <w:sz w:val="20"/>
        </w:rPr>
        <w:t> </w:t>
      </w:r>
      <w:r>
        <w:rPr>
          <w:sz w:val="20"/>
        </w:rPr>
        <w:t>I42.3,</w:t>
      </w:r>
      <w:r>
        <w:rPr>
          <w:spacing w:val="-5"/>
          <w:sz w:val="20"/>
        </w:rPr>
        <w:t> </w:t>
      </w:r>
      <w:r>
        <w:rPr>
          <w:sz w:val="20"/>
        </w:rPr>
        <w:t>I42.4,</w:t>
      </w:r>
      <w:r>
        <w:rPr>
          <w:spacing w:val="-5"/>
          <w:sz w:val="20"/>
        </w:rPr>
        <w:t> </w:t>
      </w:r>
      <w:r>
        <w:rPr>
          <w:sz w:val="20"/>
        </w:rPr>
        <w:t>I42.5,</w:t>
      </w:r>
      <w:r>
        <w:rPr>
          <w:spacing w:val="-5"/>
          <w:sz w:val="20"/>
        </w:rPr>
        <w:t> </w:t>
      </w:r>
      <w:r>
        <w:rPr>
          <w:sz w:val="20"/>
        </w:rPr>
        <w:t>I42.6,</w:t>
      </w:r>
      <w:r>
        <w:rPr>
          <w:spacing w:val="-6"/>
          <w:sz w:val="20"/>
        </w:rPr>
        <w:t> </w:t>
      </w:r>
      <w:r>
        <w:rPr>
          <w:sz w:val="20"/>
        </w:rPr>
        <w:t>I42.7,</w:t>
      </w:r>
      <w:r>
        <w:rPr>
          <w:spacing w:val="-5"/>
          <w:sz w:val="20"/>
        </w:rPr>
        <w:t> </w:t>
      </w:r>
      <w:r>
        <w:rPr>
          <w:spacing w:val="-2"/>
          <w:sz w:val="20"/>
        </w:rPr>
        <w:t>I42.8,</w:t>
      </w:r>
    </w:p>
    <w:p>
      <w:pPr>
        <w:spacing w:before="1"/>
        <w:ind w:left="1159" w:right="4154" w:firstLine="0"/>
        <w:jc w:val="center"/>
        <w:rPr>
          <w:sz w:val="20"/>
        </w:rPr>
      </w:pPr>
      <w:r>
        <w:rPr>
          <w:sz w:val="20"/>
        </w:rPr>
        <w:t>I42.9,</w:t>
      </w:r>
      <w:r>
        <w:rPr>
          <w:spacing w:val="-5"/>
          <w:sz w:val="20"/>
        </w:rPr>
        <w:t> </w:t>
      </w:r>
      <w:r>
        <w:rPr>
          <w:sz w:val="20"/>
        </w:rPr>
        <w:t>I43,</w:t>
      </w:r>
      <w:r>
        <w:rPr>
          <w:spacing w:val="-5"/>
          <w:sz w:val="20"/>
        </w:rPr>
        <w:t> </w:t>
      </w:r>
      <w:r>
        <w:rPr>
          <w:sz w:val="20"/>
        </w:rPr>
        <w:t>I43.0,</w:t>
      </w:r>
      <w:r>
        <w:rPr>
          <w:spacing w:val="-5"/>
          <w:sz w:val="20"/>
        </w:rPr>
        <w:t> </w:t>
      </w:r>
      <w:r>
        <w:rPr>
          <w:sz w:val="20"/>
        </w:rPr>
        <w:t>I43.1,</w:t>
      </w:r>
      <w:r>
        <w:rPr>
          <w:spacing w:val="-7"/>
          <w:sz w:val="20"/>
        </w:rPr>
        <w:t> </w:t>
      </w:r>
      <w:r>
        <w:rPr>
          <w:sz w:val="20"/>
        </w:rPr>
        <w:t>I43.2,</w:t>
      </w:r>
      <w:r>
        <w:rPr>
          <w:spacing w:val="-6"/>
          <w:sz w:val="20"/>
        </w:rPr>
        <w:t> </w:t>
      </w:r>
      <w:r>
        <w:rPr>
          <w:sz w:val="20"/>
        </w:rPr>
        <w:t>I43.8,</w:t>
      </w:r>
      <w:r>
        <w:rPr>
          <w:spacing w:val="-5"/>
          <w:sz w:val="20"/>
        </w:rPr>
        <w:t> </w:t>
      </w:r>
      <w:r>
        <w:rPr>
          <w:sz w:val="20"/>
        </w:rPr>
        <w:t>I44,</w:t>
      </w:r>
      <w:r>
        <w:rPr>
          <w:spacing w:val="-5"/>
          <w:sz w:val="20"/>
        </w:rPr>
        <w:t> </w:t>
      </w:r>
      <w:r>
        <w:rPr>
          <w:spacing w:val="-2"/>
          <w:sz w:val="20"/>
        </w:rPr>
        <w:t>I44.0,</w:t>
      </w:r>
    </w:p>
    <w:p>
      <w:pPr>
        <w:spacing w:before="0"/>
        <w:ind w:left="1157" w:right="4154" w:firstLine="0"/>
        <w:jc w:val="center"/>
        <w:rPr>
          <w:sz w:val="20"/>
        </w:rPr>
      </w:pPr>
      <w:r>
        <w:rPr>
          <w:sz w:val="20"/>
        </w:rPr>
        <w:t>I44.1,</w:t>
      </w:r>
      <w:r>
        <w:rPr>
          <w:spacing w:val="-5"/>
          <w:sz w:val="20"/>
        </w:rPr>
        <w:t> </w:t>
      </w:r>
      <w:r>
        <w:rPr>
          <w:sz w:val="20"/>
        </w:rPr>
        <w:t>I44.2,</w:t>
      </w:r>
      <w:r>
        <w:rPr>
          <w:spacing w:val="-7"/>
          <w:sz w:val="20"/>
        </w:rPr>
        <w:t> </w:t>
      </w:r>
      <w:r>
        <w:rPr>
          <w:sz w:val="20"/>
        </w:rPr>
        <w:t>I44.3,</w:t>
      </w:r>
      <w:r>
        <w:rPr>
          <w:spacing w:val="-5"/>
          <w:sz w:val="20"/>
        </w:rPr>
        <w:t> </w:t>
      </w:r>
      <w:r>
        <w:rPr>
          <w:sz w:val="20"/>
        </w:rPr>
        <w:t>I44.4,</w:t>
      </w:r>
      <w:r>
        <w:rPr>
          <w:spacing w:val="-5"/>
          <w:sz w:val="20"/>
        </w:rPr>
        <w:t> </w:t>
      </w:r>
      <w:r>
        <w:rPr>
          <w:sz w:val="20"/>
        </w:rPr>
        <w:t>I44.5,</w:t>
      </w:r>
      <w:r>
        <w:rPr>
          <w:spacing w:val="-5"/>
          <w:sz w:val="20"/>
        </w:rPr>
        <w:t> </w:t>
      </w:r>
      <w:r>
        <w:rPr>
          <w:sz w:val="20"/>
        </w:rPr>
        <w:t>I44.6,</w:t>
      </w:r>
      <w:r>
        <w:rPr>
          <w:spacing w:val="-6"/>
          <w:sz w:val="20"/>
        </w:rPr>
        <w:t> </w:t>
      </w:r>
      <w:r>
        <w:rPr>
          <w:sz w:val="20"/>
        </w:rPr>
        <w:t>I44.7,</w:t>
      </w:r>
      <w:r>
        <w:rPr>
          <w:spacing w:val="-5"/>
          <w:sz w:val="20"/>
        </w:rPr>
        <w:t> </w:t>
      </w:r>
      <w:r>
        <w:rPr>
          <w:spacing w:val="-4"/>
          <w:sz w:val="20"/>
        </w:rPr>
        <w:t>I45,</w:t>
      </w:r>
    </w:p>
    <w:p>
      <w:pPr>
        <w:spacing w:before="0"/>
        <w:ind w:left="1156" w:right="4154" w:firstLine="0"/>
        <w:jc w:val="center"/>
        <w:rPr>
          <w:sz w:val="20"/>
        </w:rPr>
      </w:pPr>
      <w:r>
        <w:rPr>
          <w:sz w:val="20"/>
        </w:rPr>
        <w:t>I45.0,</w:t>
      </w:r>
      <w:r>
        <w:rPr>
          <w:spacing w:val="-5"/>
          <w:sz w:val="20"/>
        </w:rPr>
        <w:t> </w:t>
      </w:r>
      <w:r>
        <w:rPr>
          <w:sz w:val="20"/>
        </w:rPr>
        <w:t>I45.1,</w:t>
      </w:r>
      <w:r>
        <w:rPr>
          <w:spacing w:val="-7"/>
          <w:sz w:val="20"/>
        </w:rPr>
        <w:t> </w:t>
      </w:r>
      <w:r>
        <w:rPr>
          <w:sz w:val="20"/>
        </w:rPr>
        <w:t>I45.2,</w:t>
      </w:r>
      <w:r>
        <w:rPr>
          <w:spacing w:val="-5"/>
          <w:sz w:val="20"/>
        </w:rPr>
        <w:t> </w:t>
      </w:r>
      <w:r>
        <w:rPr>
          <w:sz w:val="20"/>
        </w:rPr>
        <w:t>I45.3,</w:t>
      </w:r>
      <w:r>
        <w:rPr>
          <w:spacing w:val="-5"/>
          <w:sz w:val="20"/>
        </w:rPr>
        <w:t> </w:t>
      </w:r>
      <w:r>
        <w:rPr>
          <w:sz w:val="20"/>
        </w:rPr>
        <w:t>I45.4,</w:t>
      </w:r>
      <w:r>
        <w:rPr>
          <w:spacing w:val="-5"/>
          <w:sz w:val="20"/>
        </w:rPr>
        <w:t> </w:t>
      </w:r>
      <w:r>
        <w:rPr>
          <w:sz w:val="20"/>
        </w:rPr>
        <w:t>I45.5,</w:t>
      </w:r>
      <w:r>
        <w:rPr>
          <w:spacing w:val="-6"/>
          <w:sz w:val="20"/>
        </w:rPr>
        <w:t> </w:t>
      </w:r>
      <w:r>
        <w:rPr>
          <w:sz w:val="20"/>
        </w:rPr>
        <w:t>I45.6,</w:t>
      </w:r>
      <w:r>
        <w:rPr>
          <w:spacing w:val="-5"/>
          <w:sz w:val="20"/>
        </w:rPr>
        <w:t> </w:t>
      </w:r>
      <w:r>
        <w:rPr>
          <w:spacing w:val="-2"/>
          <w:sz w:val="20"/>
        </w:rPr>
        <w:t>I45.8,</w:t>
      </w:r>
    </w:p>
    <w:p>
      <w:pPr>
        <w:spacing w:line="229" w:lineRule="exact" w:before="1"/>
        <w:ind w:left="1159" w:right="4154" w:firstLine="0"/>
        <w:jc w:val="center"/>
        <w:rPr>
          <w:sz w:val="20"/>
        </w:rPr>
      </w:pPr>
      <w:r>
        <w:rPr>
          <w:sz w:val="20"/>
        </w:rPr>
        <w:t>I45.9,</w:t>
      </w:r>
      <w:r>
        <w:rPr>
          <w:spacing w:val="-5"/>
          <w:sz w:val="20"/>
        </w:rPr>
        <w:t> </w:t>
      </w:r>
      <w:r>
        <w:rPr>
          <w:sz w:val="20"/>
        </w:rPr>
        <w:t>I46,</w:t>
      </w:r>
      <w:r>
        <w:rPr>
          <w:spacing w:val="-5"/>
          <w:sz w:val="20"/>
        </w:rPr>
        <w:t> </w:t>
      </w:r>
      <w:r>
        <w:rPr>
          <w:sz w:val="20"/>
        </w:rPr>
        <w:t>I46.0,</w:t>
      </w:r>
      <w:r>
        <w:rPr>
          <w:spacing w:val="-4"/>
          <w:sz w:val="20"/>
        </w:rPr>
        <w:t> </w:t>
      </w:r>
      <w:r>
        <w:rPr>
          <w:sz w:val="20"/>
        </w:rPr>
        <w:t>I46.1,</w:t>
      </w:r>
      <w:r>
        <w:rPr>
          <w:spacing w:val="-7"/>
          <w:sz w:val="20"/>
        </w:rPr>
        <w:t> </w:t>
      </w:r>
      <w:r>
        <w:rPr>
          <w:sz w:val="20"/>
        </w:rPr>
        <w:t>I46.9,</w:t>
      </w:r>
      <w:r>
        <w:rPr>
          <w:spacing w:val="-6"/>
          <w:sz w:val="20"/>
        </w:rPr>
        <w:t> </w:t>
      </w:r>
      <w:r>
        <w:rPr>
          <w:sz w:val="20"/>
        </w:rPr>
        <w:t>I47,</w:t>
      </w:r>
      <w:r>
        <w:rPr>
          <w:spacing w:val="-5"/>
          <w:sz w:val="20"/>
        </w:rPr>
        <w:t> </w:t>
      </w:r>
      <w:r>
        <w:rPr>
          <w:sz w:val="20"/>
        </w:rPr>
        <w:t>I47.0,</w:t>
      </w:r>
      <w:r>
        <w:rPr>
          <w:spacing w:val="-4"/>
          <w:sz w:val="20"/>
        </w:rPr>
        <w:t> </w:t>
      </w:r>
      <w:r>
        <w:rPr>
          <w:spacing w:val="-2"/>
          <w:sz w:val="20"/>
        </w:rPr>
        <w:t>I47.1,</w:t>
      </w:r>
    </w:p>
    <w:p>
      <w:pPr>
        <w:spacing w:line="229" w:lineRule="exact" w:before="0"/>
        <w:ind w:left="1163" w:right="4154" w:firstLine="0"/>
        <w:jc w:val="center"/>
        <w:rPr>
          <w:sz w:val="20"/>
        </w:rPr>
      </w:pPr>
      <w:r>
        <w:rPr>
          <w:sz w:val="20"/>
        </w:rPr>
        <w:t>I47.2,</w:t>
      </w:r>
      <w:r>
        <w:rPr>
          <w:spacing w:val="-4"/>
          <w:sz w:val="20"/>
        </w:rPr>
        <w:t> </w:t>
      </w:r>
      <w:r>
        <w:rPr>
          <w:sz w:val="20"/>
        </w:rPr>
        <w:t>I47.9,</w:t>
      </w:r>
      <w:r>
        <w:rPr>
          <w:spacing w:val="-6"/>
          <w:sz w:val="20"/>
        </w:rPr>
        <w:t> </w:t>
      </w:r>
      <w:r>
        <w:rPr>
          <w:sz w:val="20"/>
        </w:rPr>
        <w:t>I48,</w:t>
      </w:r>
      <w:r>
        <w:rPr>
          <w:spacing w:val="-4"/>
          <w:sz w:val="20"/>
        </w:rPr>
        <w:t> </w:t>
      </w:r>
      <w:r>
        <w:rPr>
          <w:sz w:val="20"/>
        </w:rPr>
        <w:t>I48.0,</w:t>
      </w:r>
      <w:r>
        <w:rPr>
          <w:spacing w:val="-5"/>
          <w:sz w:val="20"/>
        </w:rPr>
        <w:t> </w:t>
      </w:r>
      <w:r>
        <w:rPr>
          <w:sz w:val="20"/>
        </w:rPr>
        <w:t>I48.1,</w:t>
      </w:r>
      <w:r>
        <w:rPr>
          <w:spacing w:val="-6"/>
          <w:sz w:val="20"/>
        </w:rPr>
        <w:t> </w:t>
      </w:r>
      <w:r>
        <w:rPr>
          <w:sz w:val="20"/>
        </w:rPr>
        <w:t>I48.2,</w:t>
      </w:r>
      <w:r>
        <w:rPr>
          <w:spacing w:val="-4"/>
          <w:sz w:val="20"/>
        </w:rPr>
        <w:t> </w:t>
      </w:r>
      <w:r>
        <w:rPr>
          <w:sz w:val="20"/>
        </w:rPr>
        <w:t>I48.3,</w:t>
      </w:r>
      <w:r>
        <w:rPr>
          <w:spacing w:val="-6"/>
          <w:sz w:val="20"/>
        </w:rPr>
        <w:t> </w:t>
      </w:r>
      <w:r>
        <w:rPr>
          <w:spacing w:val="-2"/>
          <w:sz w:val="20"/>
        </w:rPr>
        <w:t>I48.4,</w:t>
      </w:r>
    </w:p>
    <w:p>
      <w:pPr>
        <w:spacing w:before="1"/>
        <w:ind w:left="4617" w:right="0" w:firstLine="0"/>
        <w:jc w:val="left"/>
        <w:rPr>
          <w:sz w:val="20"/>
        </w:rPr>
      </w:pPr>
      <w:r>
        <w:rPr>
          <w:sz w:val="20"/>
        </w:rPr>
        <w:t>I48.9,</w:t>
      </w:r>
      <w:r>
        <w:rPr>
          <w:spacing w:val="-5"/>
          <w:sz w:val="20"/>
        </w:rPr>
        <w:t> </w:t>
      </w:r>
      <w:r>
        <w:rPr>
          <w:sz w:val="20"/>
        </w:rPr>
        <w:t>I49,</w:t>
      </w:r>
      <w:r>
        <w:rPr>
          <w:spacing w:val="-5"/>
          <w:sz w:val="20"/>
        </w:rPr>
        <w:t> </w:t>
      </w:r>
      <w:r>
        <w:rPr>
          <w:sz w:val="20"/>
        </w:rPr>
        <w:t>I49.0,</w:t>
      </w:r>
      <w:r>
        <w:rPr>
          <w:spacing w:val="-5"/>
          <w:sz w:val="20"/>
        </w:rPr>
        <w:t> </w:t>
      </w:r>
      <w:r>
        <w:rPr>
          <w:sz w:val="20"/>
        </w:rPr>
        <w:t>I49.1,</w:t>
      </w:r>
      <w:r>
        <w:rPr>
          <w:spacing w:val="-7"/>
          <w:sz w:val="20"/>
        </w:rPr>
        <w:t> </w:t>
      </w:r>
      <w:r>
        <w:rPr>
          <w:sz w:val="20"/>
        </w:rPr>
        <w:t>I49.2,</w:t>
      </w:r>
      <w:r>
        <w:rPr>
          <w:spacing w:val="-7"/>
          <w:sz w:val="20"/>
        </w:rPr>
        <w:t> </w:t>
      </w:r>
      <w:r>
        <w:rPr>
          <w:sz w:val="20"/>
        </w:rPr>
        <w:t>I49.3,</w:t>
      </w:r>
      <w:r>
        <w:rPr>
          <w:spacing w:val="-5"/>
          <w:sz w:val="20"/>
        </w:rPr>
        <w:t> </w:t>
      </w:r>
      <w:r>
        <w:rPr>
          <w:sz w:val="20"/>
        </w:rPr>
        <w:t>I49.4,</w:t>
      </w:r>
      <w:r>
        <w:rPr>
          <w:spacing w:val="-7"/>
          <w:sz w:val="20"/>
        </w:rPr>
        <w:t> </w:t>
      </w:r>
      <w:r>
        <w:rPr>
          <w:spacing w:val="-2"/>
          <w:sz w:val="20"/>
        </w:rPr>
        <w:t>I49.5,</w:t>
      </w:r>
    </w:p>
    <w:p>
      <w:pPr>
        <w:spacing w:before="0"/>
        <w:ind w:left="4693" w:right="0" w:firstLine="0"/>
        <w:jc w:val="left"/>
        <w:rPr>
          <w:sz w:val="20"/>
        </w:rPr>
      </w:pPr>
      <w:r>
        <w:rPr>
          <w:sz w:val="20"/>
        </w:rPr>
        <w:t>I49.8,</w:t>
      </w:r>
      <w:r>
        <w:rPr>
          <w:spacing w:val="-5"/>
          <w:sz w:val="20"/>
        </w:rPr>
        <w:t> </w:t>
      </w:r>
      <w:r>
        <w:rPr>
          <w:sz w:val="20"/>
        </w:rPr>
        <w:t>I49.9,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p>
      <w:pPr>
        <w:spacing w:before="1"/>
        <w:ind w:left="4542" w:right="0" w:firstLine="0"/>
        <w:jc w:val="left"/>
        <w:rPr>
          <w:sz w:val="20"/>
        </w:rPr>
      </w:pPr>
      <w:r>
        <w:rPr>
          <w:sz w:val="20"/>
        </w:rPr>
        <w:t>I51.1,</w:t>
      </w:r>
      <w:r>
        <w:rPr>
          <w:spacing w:val="-5"/>
          <w:sz w:val="20"/>
        </w:rPr>
        <w:t> </w:t>
      </w:r>
      <w:r>
        <w:rPr>
          <w:sz w:val="20"/>
        </w:rPr>
        <w:t>I51.2,</w:t>
      </w:r>
      <w:r>
        <w:rPr>
          <w:spacing w:val="-7"/>
          <w:sz w:val="20"/>
        </w:rPr>
        <w:t> </w:t>
      </w:r>
      <w:r>
        <w:rPr>
          <w:sz w:val="20"/>
        </w:rPr>
        <w:t>I51.3,</w:t>
      </w:r>
      <w:r>
        <w:rPr>
          <w:spacing w:val="-5"/>
          <w:sz w:val="20"/>
        </w:rPr>
        <w:t> </w:t>
      </w:r>
      <w:r>
        <w:rPr>
          <w:sz w:val="20"/>
        </w:rPr>
        <w:t>I51.4,</w:t>
      </w:r>
      <w:r>
        <w:rPr>
          <w:spacing w:val="-5"/>
          <w:sz w:val="20"/>
        </w:rPr>
        <w:t> </w:t>
      </w:r>
      <w:r>
        <w:rPr>
          <w:sz w:val="20"/>
        </w:rPr>
        <w:t>I51.5,</w:t>
      </w:r>
      <w:r>
        <w:rPr>
          <w:spacing w:val="-5"/>
          <w:sz w:val="20"/>
        </w:rPr>
        <w:t> </w:t>
      </w:r>
      <w:r>
        <w:rPr>
          <w:sz w:val="20"/>
        </w:rPr>
        <w:t>I51.6,</w:t>
      </w:r>
      <w:r>
        <w:rPr>
          <w:spacing w:val="-6"/>
          <w:sz w:val="20"/>
        </w:rPr>
        <w:t> </w:t>
      </w:r>
      <w:r>
        <w:rPr>
          <w:sz w:val="20"/>
        </w:rPr>
        <w:t>I51.7,</w:t>
      </w:r>
      <w:r>
        <w:rPr>
          <w:spacing w:val="-5"/>
          <w:sz w:val="20"/>
        </w:rPr>
        <w:t> </w:t>
      </w:r>
      <w:r>
        <w:rPr>
          <w:spacing w:val="-2"/>
          <w:sz w:val="20"/>
        </w:rPr>
        <w:t>I51.8,</w:t>
      </w:r>
    </w:p>
    <w:p>
      <w:pPr>
        <w:spacing w:before="0"/>
        <w:ind w:left="4693" w:right="0" w:firstLine="0"/>
        <w:jc w:val="left"/>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I60,</w:t>
      </w:r>
      <w:r>
        <w:rPr>
          <w:spacing w:val="-5"/>
          <w:sz w:val="20"/>
        </w:rPr>
        <w:t> </w:t>
      </w:r>
      <w:r>
        <w:rPr>
          <w:sz w:val="20"/>
        </w:rPr>
        <w:t>I60.0,</w:t>
      </w:r>
      <w:r>
        <w:rPr>
          <w:spacing w:val="-4"/>
          <w:sz w:val="20"/>
        </w:rPr>
        <w:t> </w:t>
      </w:r>
      <w:r>
        <w:rPr>
          <w:spacing w:val="-2"/>
          <w:sz w:val="20"/>
        </w:rPr>
        <w:t>I60.1,</w:t>
      </w:r>
    </w:p>
    <w:p>
      <w:pPr>
        <w:spacing w:line="229" w:lineRule="exact" w:before="1"/>
        <w:ind w:left="4542" w:right="0" w:firstLine="0"/>
        <w:jc w:val="left"/>
        <w:rPr>
          <w:sz w:val="20"/>
        </w:rPr>
      </w:pPr>
      <w:r>
        <w:rPr>
          <w:sz w:val="20"/>
        </w:rPr>
        <w:t>I60.2,</w:t>
      </w:r>
      <w:r>
        <w:rPr>
          <w:spacing w:val="-5"/>
          <w:sz w:val="20"/>
        </w:rPr>
        <w:t> </w:t>
      </w:r>
      <w:r>
        <w:rPr>
          <w:sz w:val="20"/>
        </w:rPr>
        <w:t>I60.3,</w:t>
      </w:r>
      <w:r>
        <w:rPr>
          <w:spacing w:val="-6"/>
          <w:sz w:val="20"/>
        </w:rPr>
        <w:t> </w:t>
      </w:r>
      <w:r>
        <w:rPr>
          <w:sz w:val="20"/>
        </w:rPr>
        <w:t>I60.4,</w:t>
      </w:r>
      <w:r>
        <w:rPr>
          <w:spacing w:val="-4"/>
          <w:sz w:val="20"/>
        </w:rPr>
        <w:t> </w:t>
      </w:r>
      <w:r>
        <w:rPr>
          <w:sz w:val="20"/>
        </w:rPr>
        <w:t>I60.5,</w:t>
      </w:r>
      <w:r>
        <w:rPr>
          <w:spacing w:val="-4"/>
          <w:sz w:val="20"/>
        </w:rPr>
        <w:t> </w:t>
      </w:r>
      <w:r>
        <w:rPr>
          <w:sz w:val="20"/>
        </w:rPr>
        <w:t>I60.6,</w:t>
      </w:r>
      <w:r>
        <w:rPr>
          <w:spacing w:val="-5"/>
          <w:sz w:val="20"/>
        </w:rPr>
        <w:t> </w:t>
      </w:r>
      <w:r>
        <w:rPr>
          <w:sz w:val="20"/>
        </w:rPr>
        <w:t>I60.7,</w:t>
      </w:r>
      <w:r>
        <w:rPr>
          <w:spacing w:val="-6"/>
          <w:sz w:val="20"/>
        </w:rPr>
        <w:t> </w:t>
      </w:r>
      <w:r>
        <w:rPr>
          <w:sz w:val="20"/>
        </w:rPr>
        <w:t>I60.8,</w:t>
      </w:r>
      <w:r>
        <w:rPr>
          <w:spacing w:val="-4"/>
          <w:sz w:val="20"/>
        </w:rPr>
        <w:t> </w:t>
      </w:r>
      <w:r>
        <w:rPr>
          <w:spacing w:val="-2"/>
          <w:sz w:val="20"/>
        </w:rPr>
        <w:t>I60.9,</w:t>
      </w:r>
    </w:p>
    <w:p>
      <w:pPr>
        <w:spacing w:line="229" w:lineRule="exact" w:before="0"/>
        <w:ind w:left="4617" w:right="0" w:firstLine="0"/>
        <w:jc w:val="left"/>
        <w:rPr>
          <w:sz w:val="20"/>
        </w:rPr>
      </w:pPr>
      <w:r>
        <w:rPr>
          <w:sz w:val="20"/>
        </w:rPr>
        <w:t>I61,</w:t>
      </w:r>
      <w:r>
        <w:rPr>
          <w:spacing w:val="-5"/>
          <w:sz w:val="20"/>
        </w:rPr>
        <w:t> </w:t>
      </w:r>
      <w:r>
        <w:rPr>
          <w:sz w:val="20"/>
        </w:rPr>
        <w:t>I61.0,</w:t>
      </w:r>
      <w:r>
        <w:rPr>
          <w:spacing w:val="-5"/>
          <w:sz w:val="20"/>
        </w:rPr>
        <w:t> </w:t>
      </w:r>
      <w:r>
        <w:rPr>
          <w:sz w:val="20"/>
        </w:rPr>
        <w:t>I61.1,</w:t>
      </w:r>
      <w:r>
        <w:rPr>
          <w:spacing w:val="-5"/>
          <w:sz w:val="20"/>
        </w:rPr>
        <w:t> </w:t>
      </w:r>
      <w:r>
        <w:rPr>
          <w:sz w:val="20"/>
        </w:rPr>
        <w:t>I61.2,</w:t>
      </w:r>
      <w:r>
        <w:rPr>
          <w:spacing w:val="-6"/>
          <w:sz w:val="20"/>
        </w:rPr>
        <w:t> </w:t>
      </w:r>
      <w:r>
        <w:rPr>
          <w:sz w:val="20"/>
        </w:rPr>
        <w:t>I61.3,</w:t>
      </w:r>
      <w:r>
        <w:rPr>
          <w:spacing w:val="-6"/>
          <w:sz w:val="20"/>
        </w:rPr>
        <w:t> </w:t>
      </w:r>
      <w:r>
        <w:rPr>
          <w:sz w:val="20"/>
        </w:rPr>
        <w:t>I61.4,</w:t>
      </w:r>
      <w:r>
        <w:rPr>
          <w:spacing w:val="-5"/>
          <w:sz w:val="20"/>
        </w:rPr>
        <w:t> </w:t>
      </w:r>
      <w:r>
        <w:rPr>
          <w:sz w:val="20"/>
        </w:rPr>
        <w:t>I61.5,</w:t>
      </w:r>
      <w:r>
        <w:rPr>
          <w:spacing w:val="-7"/>
          <w:sz w:val="20"/>
        </w:rPr>
        <w:t> </w:t>
      </w:r>
      <w:r>
        <w:rPr>
          <w:spacing w:val="-2"/>
          <w:sz w:val="20"/>
        </w:rPr>
        <w:t>I61.6,</w:t>
      </w:r>
    </w:p>
    <w:p>
      <w:pPr>
        <w:spacing w:before="0"/>
        <w:ind w:left="4617" w:right="0" w:firstLine="0"/>
        <w:jc w:val="left"/>
        <w:rPr>
          <w:sz w:val="20"/>
        </w:rPr>
      </w:pPr>
      <w:r>
        <w:rPr>
          <w:sz w:val="20"/>
        </w:rPr>
        <w:t>I61.8,</w:t>
      </w:r>
      <w:r>
        <w:rPr>
          <w:spacing w:val="-5"/>
          <w:sz w:val="20"/>
        </w:rPr>
        <w:t> </w:t>
      </w:r>
      <w:r>
        <w:rPr>
          <w:sz w:val="20"/>
        </w:rPr>
        <w:t>I61.9,</w:t>
      </w:r>
      <w:r>
        <w:rPr>
          <w:spacing w:val="-7"/>
          <w:sz w:val="20"/>
        </w:rPr>
        <w:t> </w:t>
      </w:r>
      <w:r>
        <w:rPr>
          <w:sz w:val="20"/>
        </w:rPr>
        <w:t>I62,</w:t>
      </w:r>
      <w:r>
        <w:rPr>
          <w:spacing w:val="-4"/>
          <w:sz w:val="20"/>
        </w:rPr>
        <w:t> </w:t>
      </w:r>
      <w:r>
        <w:rPr>
          <w:sz w:val="20"/>
        </w:rPr>
        <w:t>I62.0,</w:t>
      </w:r>
      <w:r>
        <w:rPr>
          <w:spacing w:val="-7"/>
          <w:sz w:val="20"/>
        </w:rPr>
        <w:t> </w:t>
      </w:r>
      <w:r>
        <w:rPr>
          <w:sz w:val="20"/>
        </w:rPr>
        <w:t>I62.1,</w:t>
      </w:r>
      <w:r>
        <w:rPr>
          <w:spacing w:val="-6"/>
          <w:sz w:val="20"/>
        </w:rPr>
        <w:t> </w:t>
      </w:r>
      <w:r>
        <w:rPr>
          <w:sz w:val="20"/>
        </w:rPr>
        <w:t>I62.9,</w:t>
      </w:r>
      <w:r>
        <w:rPr>
          <w:spacing w:val="-5"/>
          <w:sz w:val="20"/>
        </w:rPr>
        <w:t> </w:t>
      </w:r>
      <w:r>
        <w:rPr>
          <w:sz w:val="20"/>
        </w:rPr>
        <w:t>I63.0,</w:t>
      </w:r>
      <w:r>
        <w:rPr>
          <w:spacing w:val="-7"/>
          <w:sz w:val="20"/>
        </w:rPr>
        <w:t> </w:t>
      </w:r>
      <w:r>
        <w:rPr>
          <w:spacing w:val="-2"/>
          <w:sz w:val="20"/>
        </w:rPr>
        <w:t>I63.1,</w:t>
      </w:r>
    </w:p>
    <w:p>
      <w:pPr>
        <w:spacing w:before="0"/>
        <w:ind w:left="4617" w:right="0" w:firstLine="0"/>
        <w:jc w:val="left"/>
        <w:rPr>
          <w:sz w:val="20"/>
        </w:rPr>
      </w:pPr>
      <w:r>
        <w:rPr>
          <w:sz w:val="20"/>
        </w:rPr>
        <w:t>I63.2,</w:t>
      </w:r>
      <w:r>
        <w:rPr>
          <w:spacing w:val="-5"/>
          <w:sz w:val="20"/>
        </w:rPr>
        <w:t> </w:t>
      </w:r>
      <w:r>
        <w:rPr>
          <w:sz w:val="20"/>
        </w:rPr>
        <w:t>I63.3,</w:t>
      </w:r>
      <w:r>
        <w:rPr>
          <w:spacing w:val="-7"/>
          <w:sz w:val="20"/>
        </w:rPr>
        <w:t> </w:t>
      </w:r>
      <w:r>
        <w:rPr>
          <w:sz w:val="20"/>
        </w:rPr>
        <w:t>I63.4,</w:t>
      </w:r>
      <w:r>
        <w:rPr>
          <w:spacing w:val="-5"/>
          <w:sz w:val="20"/>
        </w:rPr>
        <w:t> </w:t>
      </w:r>
      <w:r>
        <w:rPr>
          <w:sz w:val="20"/>
        </w:rPr>
        <w:t>I63.5,</w:t>
      </w:r>
      <w:r>
        <w:rPr>
          <w:spacing w:val="-5"/>
          <w:sz w:val="20"/>
        </w:rPr>
        <w:t> </w:t>
      </w:r>
      <w:r>
        <w:rPr>
          <w:sz w:val="20"/>
        </w:rPr>
        <w:t>I63.6,</w:t>
      </w:r>
      <w:r>
        <w:rPr>
          <w:spacing w:val="-5"/>
          <w:sz w:val="20"/>
        </w:rPr>
        <w:t> </w:t>
      </w:r>
      <w:r>
        <w:rPr>
          <w:sz w:val="20"/>
        </w:rPr>
        <w:t>I63.8,</w:t>
      </w:r>
      <w:r>
        <w:rPr>
          <w:spacing w:val="-6"/>
          <w:sz w:val="20"/>
        </w:rPr>
        <w:t> </w:t>
      </w:r>
      <w:r>
        <w:rPr>
          <w:sz w:val="20"/>
        </w:rPr>
        <w:t>I63.9,</w:t>
      </w:r>
      <w:r>
        <w:rPr>
          <w:spacing w:val="-5"/>
          <w:sz w:val="20"/>
        </w:rPr>
        <w:t> </w:t>
      </w:r>
      <w:r>
        <w:rPr>
          <w:spacing w:val="-4"/>
          <w:sz w:val="20"/>
        </w:rPr>
        <w:t>I64,</w:t>
      </w:r>
    </w:p>
    <w:p>
      <w:pPr>
        <w:spacing w:before="1"/>
        <w:ind w:left="4693" w:right="0" w:firstLine="0"/>
        <w:jc w:val="left"/>
        <w:rPr>
          <w:sz w:val="20"/>
        </w:rPr>
      </w:pPr>
      <w:r>
        <w:rPr>
          <w:sz w:val="20"/>
        </w:rPr>
        <w:t>I65,</w:t>
      </w:r>
      <w:r>
        <w:rPr>
          <w:spacing w:val="-5"/>
          <w:sz w:val="20"/>
        </w:rPr>
        <w:t> </w:t>
      </w:r>
      <w:r>
        <w:rPr>
          <w:sz w:val="20"/>
        </w:rPr>
        <w:t>I65.0,</w:t>
      </w:r>
      <w:r>
        <w:rPr>
          <w:spacing w:val="-5"/>
          <w:sz w:val="20"/>
        </w:rPr>
        <w:t> </w:t>
      </w:r>
      <w:r>
        <w:rPr>
          <w:sz w:val="20"/>
        </w:rPr>
        <w:t>I65.1,</w:t>
      </w:r>
      <w:r>
        <w:rPr>
          <w:spacing w:val="-5"/>
          <w:sz w:val="20"/>
        </w:rPr>
        <w:t> </w:t>
      </w:r>
      <w:r>
        <w:rPr>
          <w:sz w:val="20"/>
        </w:rPr>
        <w:t>I65.2,</w:t>
      </w:r>
      <w:r>
        <w:rPr>
          <w:spacing w:val="-6"/>
          <w:sz w:val="20"/>
        </w:rPr>
        <w:t> </w:t>
      </w:r>
      <w:r>
        <w:rPr>
          <w:sz w:val="20"/>
        </w:rPr>
        <w:t>I65.3,</w:t>
      </w:r>
      <w:r>
        <w:rPr>
          <w:spacing w:val="-6"/>
          <w:sz w:val="20"/>
        </w:rPr>
        <w:t> </w:t>
      </w:r>
      <w:r>
        <w:rPr>
          <w:sz w:val="20"/>
        </w:rPr>
        <w:t>I65.8,</w:t>
      </w:r>
      <w:r>
        <w:rPr>
          <w:spacing w:val="-5"/>
          <w:sz w:val="20"/>
        </w:rPr>
        <w:t> </w:t>
      </w:r>
      <w:r>
        <w:rPr>
          <w:sz w:val="20"/>
        </w:rPr>
        <w:t>I65.9,</w:t>
      </w:r>
      <w:r>
        <w:rPr>
          <w:spacing w:val="-7"/>
          <w:sz w:val="20"/>
        </w:rPr>
        <w:t> </w:t>
      </w:r>
      <w:r>
        <w:rPr>
          <w:spacing w:val="-4"/>
          <w:sz w:val="20"/>
        </w:rPr>
        <w:t>I66,</w:t>
      </w:r>
    </w:p>
    <w:p>
      <w:pPr>
        <w:spacing w:before="1"/>
        <w:ind w:left="4617" w:right="0" w:firstLine="0"/>
        <w:jc w:val="left"/>
        <w:rPr>
          <w:sz w:val="20"/>
        </w:rPr>
      </w:pPr>
      <w:r>
        <w:rPr>
          <w:sz w:val="20"/>
        </w:rPr>
        <w:t>I66.0,</w:t>
      </w:r>
      <w:r>
        <w:rPr>
          <w:spacing w:val="-5"/>
          <w:sz w:val="20"/>
        </w:rPr>
        <w:t> </w:t>
      </w:r>
      <w:r>
        <w:rPr>
          <w:sz w:val="20"/>
        </w:rPr>
        <w:t>I66.1,</w:t>
      </w:r>
      <w:r>
        <w:rPr>
          <w:spacing w:val="-6"/>
          <w:sz w:val="20"/>
        </w:rPr>
        <w:t> </w:t>
      </w:r>
      <w:r>
        <w:rPr>
          <w:sz w:val="20"/>
        </w:rPr>
        <w:t>I66.2,</w:t>
      </w:r>
      <w:r>
        <w:rPr>
          <w:spacing w:val="-5"/>
          <w:sz w:val="20"/>
        </w:rPr>
        <w:t> </w:t>
      </w:r>
      <w:r>
        <w:rPr>
          <w:sz w:val="20"/>
        </w:rPr>
        <w:t>I66.3,</w:t>
      </w:r>
      <w:r>
        <w:rPr>
          <w:spacing w:val="-5"/>
          <w:sz w:val="20"/>
        </w:rPr>
        <w:t> </w:t>
      </w:r>
      <w:r>
        <w:rPr>
          <w:sz w:val="20"/>
        </w:rPr>
        <w:t>I66.4,</w:t>
      </w:r>
      <w:r>
        <w:rPr>
          <w:spacing w:val="-4"/>
          <w:sz w:val="20"/>
        </w:rPr>
        <w:t> </w:t>
      </w:r>
      <w:r>
        <w:rPr>
          <w:sz w:val="20"/>
        </w:rPr>
        <w:t>I66.8,</w:t>
      </w:r>
      <w:r>
        <w:rPr>
          <w:spacing w:val="-7"/>
          <w:sz w:val="20"/>
        </w:rPr>
        <w:t> </w:t>
      </w:r>
      <w:r>
        <w:rPr>
          <w:sz w:val="20"/>
        </w:rPr>
        <w:t>I66.9,</w:t>
      </w:r>
      <w:r>
        <w:rPr>
          <w:spacing w:val="-4"/>
          <w:sz w:val="20"/>
        </w:rPr>
        <w:t> I67,</w:t>
      </w:r>
    </w:p>
    <w:p>
      <w:pPr>
        <w:spacing w:line="229" w:lineRule="exact" w:before="0"/>
        <w:ind w:left="1156" w:right="4154" w:firstLine="0"/>
        <w:jc w:val="center"/>
        <w:rPr>
          <w:sz w:val="20"/>
        </w:rPr>
      </w:pPr>
      <w:r>
        <w:rPr>
          <w:sz w:val="20"/>
        </w:rPr>
        <w:t>I67.0,</w:t>
      </w:r>
      <w:r>
        <w:rPr>
          <w:spacing w:val="-5"/>
          <w:sz w:val="20"/>
        </w:rPr>
        <w:t> </w:t>
      </w:r>
      <w:r>
        <w:rPr>
          <w:sz w:val="20"/>
        </w:rPr>
        <w:t>I67.1,</w:t>
      </w:r>
      <w:r>
        <w:rPr>
          <w:spacing w:val="-7"/>
          <w:sz w:val="20"/>
        </w:rPr>
        <w:t> </w:t>
      </w:r>
      <w:r>
        <w:rPr>
          <w:sz w:val="20"/>
        </w:rPr>
        <w:t>I67.2,</w:t>
      </w:r>
      <w:r>
        <w:rPr>
          <w:spacing w:val="-5"/>
          <w:sz w:val="20"/>
        </w:rPr>
        <w:t> </w:t>
      </w:r>
      <w:r>
        <w:rPr>
          <w:sz w:val="20"/>
        </w:rPr>
        <w:t>I67.3,</w:t>
      </w:r>
      <w:r>
        <w:rPr>
          <w:spacing w:val="-5"/>
          <w:sz w:val="20"/>
        </w:rPr>
        <w:t> </w:t>
      </w:r>
      <w:r>
        <w:rPr>
          <w:sz w:val="20"/>
        </w:rPr>
        <w:t>I67.4,</w:t>
      </w:r>
      <w:r>
        <w:rPr>
          <w:spacing w:val="-5"/>
          <w:sz w:val="20"/>
        </w:rPr>
        <w:t> </w:t>
      </w:r>
      <w:r>
        <w:rPr>
          <w:sz w:val="20"/>
        </w:rPr>
        <w:t>I67.5,</w:t>
      </w:r>
      <w:r>
        <w:rPr>
          <w:spacing w:val="-6"/>
          <w:sz w:val="20"/>
        </w:rPr>
        <w:t> </w:t>
      </w:r>
      <w:r>
        <w:rPr>
          <w:sz w:val="20"/>
        </w:rPr>
        <w:t>I67.6,</w:t>
      </w:r>
      <w:r>
        <w:rPr>
          <w:spacing w:val="-5"/>
          <w:sz w:val="20"/>
        </w:rPr>
        <w:t> </w:t>
      </w:r>
      <w:r>
        <w:rPr>
          <w:spacing w:val="-2"/>
          <w:sz w:val="20"/>
        </w:rPr>
        <w:t>I67.7,</w:t>
      </w:r>
    </w:p>
    <w:p>
      <w:pPr>
        <w:spacing w:line="229" w:lineRule="exact" w:before="0"/>
        <w:ind w:left="1159" w:right="4154" w:firstLine="0"/>
        <w:jc w:val="center"/>
        <w:rPr>
          <w:sz w:val="20"/>
        </w:rPr>
      </w:pPr>
      <w:r>
        <w:rPr>
          <w:sz w:val="20"/>
        </w:rPr>
        <w:t>I67.8,</w:t>
      </w:r>
      <w:r>
        <w:rPr>
          <w:spacing w:val="-5"/>
          <w:sz w:val="20"/>
        </w:rPr>
        <w:t> </w:t>
      </w:r>
      <w:r>
        <w:rPr>
          <w:sz w:val="20"/>
        </w:rPr>
        <w:t>I67.9,</w:t>
      </w:r>
      <w:r>
        <w:rPr>
          <w:spacing w:val="-7"/>
          <w:sz w:val="20"/>
        </w:rPr>
        <w:t> </w:t>
      </w:r>
      <w:r>
        <w:rPr>
          <w:sz w:val="20"/>
        </w:rPr>
        <w:t>I68,</w:t>
      </w:r>
      <w:r>
        <w:rPr>
          <w:spacing w:val="-4"/>
          <w:sz w:val="20"/>
        </w:rPr>
        <w:t> </w:t>
      </w:r>
      <w:r>
        <w:rPr>
          <w:sz w:val="20"/>
        </w:rPr>
        <w:t>I68.0,</w:t>
      </w:r>
      <w:r>
        <w:rPr>
          <w:spacing w:val="-7"/>
          <w:sz w:val="20"/>
        </w:rPr>
        <w:t> </w:t>
      </w:r>
      <w:r>
        <w:rPr>
          <w:sz w:val="20"/>
        </w:rPr>
        <w:t>I68.1,</w:t>
      </w:r>
      <w:r>
        <w:rPr>
          <w:spacing w:val="-6"/>
          <w:sz w:val="20"/>
        </w:rPr>
        <w:t> </w:t>
      </w:r>
      <w:r>
        <w:rPr>
          <w:sz w:val="20"/>
        </w:rPr>
        <w:t>I68.2,</w:t>
      </w:r>
      <w:r>
        <w:rPr>
          <w:spacing w:val="-5"/>
          <w:sz w:val="20"/>
        </w:rPr>
        <w:t> </w:t>
      </w:r>
      <w:r>
        <w:rPr>
          <w:sz w:val="20"/>
        </w:rPr>
        <w:t>I68.8,</w:t>
      </w:r>
      <w:r>
        <w:rPr>
          <w:spacing w:val="-7"/>
          <w:sz w:val="20"/>
        </w:rPr>
        <w:t> </w:t>
      </w:r>
      <w:r>
        <w:rPr>
          <w:spacing w:val="-4"/>
          <w:sz w:val="20"/>
        </w:rPr>
        <w:t>I69,</w:t>
      </w:r>
    </w:p>
    <w:p>
      <w:pPr>
        <w:spacing w:before="0"/>
        <w:ind w:left="4617" w:right="0" w:firstLine="0"/>
        <w:jc w:val="left"/>
        <w:rPr>
          <w:sz w:val="20"/>
        </w:rPr>
      </w:pPr>
      <w:r>
        <w:rPr>
          <w:sz w:val="20"/>
        </w:rPr>
        <w:t>I69.0,</w:t>
      </w:r>
      <w:r>
        <w:rPr>
          <w:spacing w:val="-5"/>
          <w:sz w:val="20"/>
        </w:rPr>
        <w:t> </w:t>
      </w:r>
      <w:r>
        <w:rPr>
          <w:sz w:val="20"/>
        </w:rPr>
        <w:t>I69.1,</w:t>
      </w:r>
      <w:r>
        <w:rPr>
          <w:spacing w:val="-6"/>
          <w:sz w:val="20"/>
        </w:rPr>
        <w:t> </w:t>
      </w:r>
      <w:r>
        <w:rPr>
          <w:sz w:val="20"/>
        </w:rPr>
        <w:t>I69.2,</w:t>
      </w:r>
      <w:r>
        <w:rPr>
          <w:spacing w:val="-5"/>
          <w:sz w:val="20"/>
        </w:rPr>
        <w:t> </w:t>
      </w:r>
      <w:r>
        <w:rPr>
          <w:sz w:val="20"/>
        </w:rPr>
        <w:t>I69.3,</w:t>
      </w:r>
      <w:r>
        <w:rPr>
          <w:spacing w:val="-4"/>
          <w:sz w:val="20"/>
        </w:rPr>
        <w:t> </w:t>
      </w:r>
      <w:r>
        <w:rPr>
          <w:sz w:val="20"/>
        </w:rPr>
        <w:t>I69.4,</w:t>
      </w:r>
      <w:r>
        <w:rPr>
          <w:spacing w:val="-5"/>
          <w:sz w:val="20"/>
        </w:rPr>
        <w:t> </w:t>
      </w:r>
      <w:r>
        <w:rPr>
          <w:sz w:val="20"/>
        </w:rPr>
        <w:t>I69.8,</w:t>
      </w:r>
      <w:r>
        <w:rPr>
          <w:spacing w:val="-6"/>
          <w:sz w:val="20"/>
        </w:rPr>
        <w:t> </w:t>
      </w:r>
      <w:r>
        <w:rPr>
          <w:sz w:val="20"/>
        </w:rPr>
        <w:t>I70,</w:t>
      </w:r>
      <w:r>
        <w:rPr>
          <w:spacing w:val="-7"/>
          <w:sz w:val="20"/>
        </w:rPr>
        <w:t> </w:t>
      </w:r>
      <w:r>
        <w:rPr>
          <w:spacing w:val="-2"/>
          <w:sz w:val="20"/>
        </w:rPr>
        <w:t>I70.0,</w:t>
      </w:r>
    </w:p>
    <w:p>
      <w:pPr>
        <w:spacing w:before="1"/>
        <w:ind w:left="4617" w:right="0" w:firstLine="0"/>
        <w:jc w:val="left"/>
        <w:rPr>
          <w:sz w:val="20"/>
        </w:rPr>
      </w:pPr>
      <w:r>
        <w:rPr>
          <w:sz w:val="20"/>
        </w:rPr>
        <w:t>I70.1,</w:t>
      </w:r>
      <w:r>
        <w:rPr>
          <w:spacing w:val="-5"/>
          <w:sz w:val="20"/>
        </w:rPr>
        <w:t> </w:t>
      </w:r>
      <w:r>
        <w:rPr>
          <w:sz w:val="20"/>
        </w:rPr>
        <w:t>I70.2,</w:t>
      </w:r>
      <w:r>
        <w:rPr>
          <w:spacing w:val="-7"/>
          <w:sz w:val="20"/>
        </w:rPr>
        <w:t> </w:t>
      </w:r>
      <w:r>
        <w:rPr>
          <w:sz w:val="20"/>
        </w:rPr>
        <w:t>I70.8,</w:t>
      </w:r>
      <w:r>
        <w:rPr>
          <w:spacing w:val="-4"/>
          <w:sz w:val="20"/>
        </w:rPr>
        <w:t> </w:t>
      </w:r>
      <w:r>
        <w:rPr>
          <w:sz w:val="20"/>
        </w:rPr>
        <w:t>I70.9,</w:t>
      </w:r>
      <w:r>
        <w:rPr>
          <w:spacing w:val="-5"/>
          <w:sz w:val="20"/>
        </w:rPr>
        <w:t> </w:t>
      </w:r>
      <w:r>
        <w:rPr>
          <w:sz w:val="20"/>
        </w:rPr>
        <w:t>I71,</w:t>
      </w:r>
      <w:r>
        <w:rPr>
          <w:spacing w:val="-6"/>
          <w:sz w:val="20"/>
        </w:rPr>
        <w:t> </w:t>
      </w:r>
      <w:r>
        <w:rPr>
          <w:sz w:val="20"/>
        </w:rPr>
        <w:t>I71.0,</w:t>
      </w:r>
      <w:r>
        <w:rPr>
          <w:spacing w:val="-5"/>
          <w:sz w:val="20"/>
        </w:rPr>
        <w:t> </w:t>
      </w:r>
      <w:r>
        <w:rPr>
          <w:sz w:val="20"/>
        </w:rPr>
        <w:t>I71.1,</w:t>
      </w:r>
      <w:r>
        <w:rPr>
          <w:spacing w:val="-7"/>
          <w:sz w:val="20"/>
        </w:rPr>
        <w:t> </w:t>
      </w:r>
      <w:r>
        <w:rPr>
          <w:spacing w:val="-2"/>
          <w:sz w:val="20"/>
        </w:rPr>
        <w:t>I71.2,</w:t>
      </w:r>
    </w:p>
    <w:p>
      <w:pPr>
        <w:spacing w:before="0"/>
        <w:ind w:left="4617" w:right="0" w:firstLine="0"/>
        <w:jc w:val="left"/>
        <w:rPr>
          <w:sz w:val="20"/>
        </w:rPr>
      </w:pPr>
      <w:r>
        <w:rPr>
          <w:sz w:val="20"/>
        </w:rPr>
        <w:t>I71.3,</w:t>
      </w:r>
      <w:r>
        <w:rPr>
          <w:spacing w:val="-5"/>
          <w:sz w:val="20"/>
        </w:rPr>
        <w:t> </w:t>
      </w:r>
      <w:r>
        <w:rPr>
          <w:sz w:val="20"/>
        </w:rPr>
        <w:t>I71.4,</w:t>
      </w:r>
      <w:r>
        <w:rPr>
          <w:spacing w:val="-6"/>
          <w:sz w:val="20"/>
        </w:rPr>
        <w:t> </w:t>
      </w:r>
      <w:r>
        <w:rPr>
          <w:sz w:val="20"/>
        </w:rPr>
        <w:t>I71.5,</w:t>
      </w:r>
      <w:r>
        <w:rPr>
          <w:spacing w:val="-5"/>
          <w:sz w:val="20"/>
        </w:rPr>
        <w:t> </w:t>
      </w:r>
      <w:r>
        <w:rPr>
          <w:sz w:val="20"/>
        </w:rPr>
        <w:t>I71.6,</w:t>
      </w:r>
      <w:r>
        <w:rPr>
          <w:spacing w:val="-4"/>
          <w:sz w:val="20"/>
        </w:rPr>
        <w:t> </w:t>
      </w:r>
      <w:r>
        <w:rPr>
          <w:sz w:val="20"/>
        </w:rPr>
        <w:t>I71.8,</w:t>
      </w:r>
      <w:r>
        <w:rPr>
          <w:spacing w:val="-5"/>
          <w:sz w:val="20"/>
        </w:rPr>
        <w:t> </w:t>
      </w:r>
      <w:r>
        <w:rPr>
          <w:sz w:val="20"/>
        </w:rPr>
        <w:t>I71.9,</w:t>
      </w:r>
      <w:r>
        <w:rPr>
          <w:spacing w:val="-6"/>
          <w:sz w:val="20"/>
        </w:rPr>
        <w:t> </w:t>
      </w:r>
      <w:r>
        <w:rPr>
          <w:sz w:val="20"/>
        </w:rPr>
        <w:t>I72,</w:t>
      </w:r>
      <w:r>
        <w:rPr>
          <w:spacing w:val="-7"/>
          <w:sz w:val="20"/>
        </w:rPr>
        <w:t> </w:t>
      </w:r>
      <w:r>
        <w:rPr>
          <w:spacing w:val="-2"/>
          <w:sz w:val="20"/>
        </w:rPr>
        <w:t>I72.0,</w:t>
      </w:r>
    </w:p>
    <w:p>
      <w:pPr>
        <w:spacing w:line="229" w:lineRule="exact" w:before="1"/>
        <w:ind w:left="1156" w:right="4154" w:firstLine="0"/>
        <w:jc w:val="center"/>
        <w:rPr>
          <w:sz w:val="20"/>
        </w:rPr>
      </w:pPr>
      <w:r>
        <w:rPr>
          <w:sz w:val="20"/>
        </w:rPr>
        <w:t>I72.1,</w:t>
      </w:r>
      <w:r>
        <w:rPr>
          <w:spacing w:val="-5"/>
          <w:sz w:val="20"/>
        </w:rPr>
        <w:t> </w:t>
      </w:r>
      <w:r>
        <w:rPr>
          <w:sz w:val="20"/>
        </w:rPr>
        <w:t>I72.2,</w:t>
      </w:r>
      <w:r>
        <w:rPr>
          <w:spacing w:val="-7"/>
          <w:sz w:val="20"/>
        </w:rPr>
        <w:t> </w:t>
      </w:r>
      <w:r>
        <w:rPr>
          <w:sz w:val="20"/>
        </w:rPr>
        <w:t>I72.3,</w:t>
      </w:r>
      <w:r>
        <w:rPr>
          <w:spacing w:val="-5"/>
          <w:sz w:val="20"/>
        </w:rPr>
        <w:t> </w:t>
      </w:r>
      <w:r>
        <w:rPr>
          <w:sz w:val="20"/>
        </w:rPr>
        <w:t>I72.4,</w:t>
      </w:r>
      <w:r>
        <w:rPr>
          <w:spacing w:val="-5"/>
          <w:sz w:val="20"/>
        </w:rPr>
        <w:t> </w:t>
      </w:r>
      <w:r>
        <w:rPr>
          <w:sz w:val="20"/>
        </w:rPr>
        <w:t>I72.5,</w:t>
      </w:r>
      <w:r>
        <w:rPr>
          <w:spacing w:val="-5"/>
          <w:sz w:val="20"/>
        </w:rPr>
        <w:t> </w:t>
      </w:r>
      <w:r>
        <w:rPr>
          <w:sz w:val="20"/>
        </w:rPr>
        <w:t>I72.6,</w:t>
      </w:r>
      <w:r>
        <w:rPr>
          <w:spacing w:val="-6"/>
          <w:sz w:val="20"/>
        </w:rPr>
        <w:t> </w:t>
      </w:r>
      <w:r>
        <w:rPr>
          <w:sz w:val="20"/>
        </w:rPr>
        <w:t>I72.8,</w:t>
      </w:r>
      <w:r>
        <w:rPr>
          <w:spacing w:val="-5"/>
          <w:sz w:val="20"/>
        </w:rPr>
        <w:t> </w:t>
      </w:r>
      <w:r>
        <w:rPr>
          <w:spacing w:val="-2"/>
          <w:sz w:val="20"/>
        </w:rPr>
        <w:t>I72.9,</w:t>
      </w:r>
    </w:p>
    <w:p>
      <w:pPr>
        <w:spacing w:line="229" w:lineRule="exact" w:before="0"/>
        <w:ind w:left="1159" w:right="4154" w:firstLine="0"/>
        <w:jc w:val="center"/>
        <w:rPr>
          <w:sz w:val="20"/>
        </w:rPr>
      </w:pPr>
      <w:r>
        <w:rPr>
          <w:sz w:val="20"/>
        </w:rPr>
        <w:t>I73,</w:t>
      </w:r>
      <w:r>
        <w:rPr>
          <w:spacing w:val="-5"/>
          <w:sz w:val="20"/>
        </w:rPr>
        <w:t> </w:t>
      </w:r>
      <w:r>
        <w:rPr>
          <w:sz w:val="20"/>
        </w:rPr>
        <w:t>I73.0,</w:t>
      </w:r>
      <w:r>
        <w:rPr>
          <w:spacing w:val="-4"/>
          <w:sz w:val="20"/>
        </w:rPr>
        <w:t> </w:t>
      </w:r>
      <w:r>
        <w:rPr>
          <w:sz w:val="20"/>
        </w:rPr>
        <w:t>I73.1,</w:t>
      </w:r>
      <w:r>
        <w:rPr>
          <w:spacing w:val="-4"/>
          <w:sz w:val="20"/>
        </w:rPr>
        <w:t> </w:t>
      </w:r>
      <w:r>
        <w:rPr>
          <w:sz w:val="20"/>
        </w:rPr>
        <w:t>I73.8,</w:t>
      </w:r>
      <w:r>
        <w:rPr>
          <w:spacing w:val="-6"/>
          <w:sz w:val="20"/>
        </w:rPr>
        <w:t> </w:t>
      </w:r>
      <w:r>
        <w:rPr>
          <w:sz w:val="20"/>
        </w:rPr>
        <w:t>I73.9,</w:t>
      </w:r>
      <w:r>
        <w:rPr>
          <w:spacing w:val="-7"/>
          <w:sz w:val="20"/>
        </w:rPr>
        <w:t> </w:t>
      </w:r>
      <w:r>
        <w:rPr>
          <w:sz w:val="20"/>
        </w:rPr>
        <w:t>I74,</w:t>
      </w:r>
      <w:r>
        <w:rPr>
          <w:spacing w:val="-4"/>
          <w:sz w:val="20"/>
        </w:rPr>
        <w:t> </w:t>
      </w:r>
      <w:r>
        <w:rPr>
          <w:sz w:val="20"/>
        </w:rPr>
        <w:t>I74.0,</w:t>
      </w:r>
      <w:r>
        <w:rPr>
          <w:spacing w:val="-4"/>
          <w:sz w:val="20"/>
        </w:rPr>
        <w:t> </w:t>
      </w:r>
      <w:r>
        <w:rPr>
          <w:spacing w:val="-2"/>
          <w:sz w:val="20"/>
        </w:rPr>
        <w:t>I74.1,</w:t>
      </w:r>
    </w:p>
    <w:p>
      <w:pPr>
        <w:spacing w:before="0"/>
        <w:ind w:left="4617" w:right="0" w:firstLine="0"/>
        <w:jc w:val="left"/>
        <w:rPr>
          <w:sz w:val="20"/>
        </w:rPr>
      </w:pPr>
      <w:r>
        <w:rPr>
          <w:sz w:val="20"/>
        </w:rPr>
        <w:t>I74.2,</w:t>
      </w:r>
      <w:r>
        <w:rPr>
          <w:spacing w:val="-5"/>
          <w:sz w:val="20"/>
        </w:rPr>
        <w:t> </w:t>
      </w:r>
      <w:r>
        <w:rPr>
          <w:sz w:val="20"/>
        </w:rPr>
        <w:t>I74.3,</w:t>
      </w:r>
      <w:r>
        <w:rPr>
          <w:spacing w:val="-6"/>
          <w:sz w:val="20"/>
        </w:rPr>
        <w:t> </w:t>
      </w:r>
      <w:r>
        <w:rPr>
          <w:sz w:val="20"/>
        </w:rPr>
        <w:t>I74.4,</w:t>
      </w:r>
      <w:r>
        <w:rPr>
          <w:spacing w:val="-5"/>
          <w:sz w:val="20"/>
        </w:rPr>
        <w:t> </w:t>
      </w:r>
      <w:r>
        <w:rPr>
          <w:sz w:val="20"/>
        </w:rPr>
        <w:t>I74.5,</w:t>
      </w:r>
      <w:r>
        <w:rPr>
          <w:spacing w:val="-4"/>
          <w:sz w:val="20"/>
        </w:rPr>
        <w:t> </w:t>
      </w:r>
      <w:r>
        <w:rPr>
          <w:sz w:val="20"/>
        </w:rPr>
        <w:t>I74.8,</w:t>
      </w:r>
      <w:r>
        <w:rPr>
          <w:spacing w:val="-5"/>
          <w:sz w:val="20"/>
        </w:rPr>
        <w:t> </w:t>
      </w:r>
      <w:r>
        <w:rPr>
          <w:sz w:val="20"/>
        </w:rPr>
        <w:t>I74.9,</w:t>
      </w:r>
      <w:r>
        <w:rPr>
          <w:spacing w:val="-6"/>
          <w:sz w:val="20"/>
        </w:rPr>
        <w:t> </w:t>
      </w:r>
      <w:r>
        <w:rPr>
          <w:sz w:val="20"/>
        </w:rPr>
        <w:t>I77,</w:t>
      </w:r>
      <w:r>
        <w:rPr>
          <w:spacing w:val="-7"/>
          <w:sz w:val="20"/>
        </w:rPr>
        <w:t> </w:t>
      </w:r>
      <w:r>
        <w:rPr>
          <w:spacing w:val="-2"/>
          <w:sz w:val="20"/>
        </w:rPr>
        <w:t>I77.0,</w:t>
      </w:r>
    </w:p>
    <w:p>
      <w:pPr>
        <w:spacing w:before="1"/>
        <w:ind w:left="4542" w:right="0" w:firstLine="0"/>
        <w:jc w:val="left"/>
        <w:rPr>
          <w:sz w:val="20"/>
        </w:rPr>
      </w:pPr>
      <w:r>
        <w:rPr>
          <w:sz w:val="20"/>
        </w:rPr>
        <w:t>I77.1,</w:t>
      </w:r>
      <w:r>
        <w:rPr>
          <w:spacing w:val="-4"/>
          <w:sz w:val="20"/>
        </w:rPr>
        <w:t> </w:t>
      </w:r>
      <w:r>
        <w:rPr>
          <w:sz w:val="20"/>
        </w:rPr>
        <w:t>I77.2,</w:t>
      </w:r>
      <w:r>
        <w:rPr>
          <w:spacing w:val="-6"/>
          <w:sz w:val="20"/>
        </w:rPr>
        <w:t> </w:t>
      </w:r>
      <w:r>
        <w:rPr>
          <w:sz w:val="20"/>
        </w:rPr>
        <w:t>I77.3,</w:t>
      </w:r>
      <w:r>
        <w:rPr>
          <w:spacing w:val="-4"/>
          <w:sz w:val="20"/>
        </w:rPr>
        <w:t> </w:t>
      </w:r>
      <w:r>
        <w:rPr>
          <w:sz w:val="20"/>
        </w:rPr>
        <w:t>I77.4,</w:t>
      </w:r>
      <w:r>
        <w:rPr>
          <w:spacing w:val="-4"/>
          <w:sz w:val="20"/>
        </w:rPr>
        <w:t> </w:t>
      </w:r>
      <w:r>
        <w:rPr>
          <w:sz w:val="20"/>
        </w:rPr>
        <w:t>I77.5,</w:t>
      </w:r>
      <w:r>
        <w:rPr>
          <w:spacing w:val="-4"/>
          <w:sz w:val="20"/>
        </w:rPr>
        <w:t> </w:t>
      </w:r>
      <w:r>
        <w:rPr>
          <w:sz w:val="20"/>
        </w:rPr>
        <w:t>I77.6,</w:t>
      </w:r>
      <w:r>
        <w:rPr>
          <w:spacing w:val="-6"/>
          <w:sz w:val="20"/>
        </w:rPr>
        <w:t> </w:t>
      </w:r>
      <w:r>
        <w:rPr>
          <w:sz w:val="20"/>
        </w:rPr>
        <w:t>I77.8,</w:t>
      </w:r>
      <w:r>
        <w:rPr>
          <w:spacing w:val="-4"/>
          <w:sz w:val="20"/>
        </w:rPr>
        <w:t> </w:t>
      </w:r>
      <w:r>
        <w:rPr>
          <w:spacing w:val="-2"/>
          <w:sz w:val="20"/>
        </w:rPr>
        <w:t>I77.9,</w:t>
      </w:r>
    </w:p>
    <w:p>
      <w:pPr>
        <w:spacing w:before="0"/>
        <w:ind w:left="4693" w:right="0" w:firstLine="0"/>
        <w:jc w:val="left"/>
        <w:rPr>
          <w:sz w:val="20"/>
        </w:rPr>
      </w:pPr>
      <w:r>
        <w:rPr>
          <w:sz w:val="20"/>
        </w:rPr>
        <w:t>I78,</w:t>
      </w:r>
      <w:r>
        <w:rPr>
          <w:spacing w:val="-5"/>
          <w:sz w:val="20"/>
        </w:rPr>
        <w:t> </w:t>
      </w:r>
      <w:r>
        <w:rPr>
          <w:sz w:val="20"/>
        </w:rPr>
        <w:t>I78.0,</w:t>
      </w:r>
      <w:r>
        <w:rPr>
          <w:spacing w:val="-4"/>
          <w:sz w:val="20"/>
        </w:rPr>
        <w:t> </w:t>
      </w:r>
      <w:r>
        <w:rPr>
          <w:sz w:val="20"/>
        </w:rPr>
        <w:t>I78.1,</w:t>
      </w:r>
      <w:r>
        <w:rPr>
          <w:spacing w:val="-4"/>
          <w:sz w:val="20"/>
        </w:rPr>
        <w:t> </w:t>
      </w:r>
      <w:r>
        <w:rPr>
          <w:sz w:val="20"/>
        </w:rPr>
        <w:t>I78.8,</w:t>
      </w:r>
      <w:r>
        <w:rPr>
          <w:spacing w:val="-6"/>
          <w:sz w:val="20"/>
        </w:rPr>
        <w:t> </w:t>
      </w:r>
      <w:r>
        <w:rPr>
          <w:sz w:val="20"/>
        </w:rPr>
        <w:t>I78.9,</w:t>
      </w:r>
      <w:r>
        <w:rPr>
          <w:spacing w:val="-7"/>
          <w:sz w:val="20"/>
        </w:rPr>
        <w:t> </w:t>
      </w:r>
      <w:r>
        <w:rPr>
          <w:sz w:val="20"/>
        </w:rPr>
        <w:t>I79,</w:t>
      </w:r>
      <w:r>
        <w:rPr>
          <w:spacing w:val="-4"/>
          <w:sz w:val="20"/>
        </w:rPr>
        <w:t> </w:t>
      </w:r>
      <w:r>
        <w:rPr>
          <w:sz w:val="20"/>
        </w:rPr>
        <w:t>I79.0,</w:t>
      </w:r>
      <w:r>
        <w:rPr>
          <w:spacing w:val="-4"/>
          <w:sz w:val="20"/>
        </w:rPr>
        <w:t> </w:t>
      </w:r>
      <w:r>
        <w:rPr>
          <w:spacing w:val="-2"/>
          <w:sz w:val="20"/>
        </w:rPr>
        <w:t>I79.1,</w:t>
      </w:r>
    </w:p>
    <w:p>
      <w:pPr>
        <w:spacing w:before="1"/>
        <w:ind w:left="4617" w:right="0" w:firstLine="0"/>
        <w:jc w:val="left"/>
        <w:rPr>
          <w:sz w:val="20"/>
        </w:rPr>
      </w:pPr>
      <w:r>
        <w:rPr>
          <w:sz w:val="20"/>
        </w:rPr>
        <w:t>I79.2,</w:t>
      </w:r>
      <w:r>
        <w:rPr>
          <w:spacing w:val="-5"/>
          <w:sz w:val="20"/>
        </w:rPr>
        <w:t> </w:t>
      </w:r>
      <w:r>
        <w:rPr>
          <w:sz w:val="20"/>
        </w:rPr>
        <w:t>I79.8,</w:t>
      </w:r>
      <w:r>
        <w:rPr>
          <w:spacing w:val="-7"/>
          <w:sz w:val="20"/>
        </w:rPr>
        <w:t> </w:t>
      </w:r>
      <w:r>
        <w:rPr>
          <w:sz w:val="20"/>
        </w:rPr>
        <w:t>I80,</w:t>
      </w:r>
      <w:r>
        <w:rPr>
          <w:spacing w:val="-4"/>
          <w:sz w:val="20"/>
        </w:rPr>
        <w:t> </w:t>
      </w:r>
      <w:r>
        <w:rPr>
          <w:sz w:val="20"/>
        </w:rPr>
        <w:t>I80.0,</w:t>
      </w:r>
      <w:r>
        <w:rPr>
          <w:spacing w:val="-7"/>
          <w:sz w:val="20"/>
        </w:rPr>
        <w:t> </w:t>
      </w:r>
      <w:r>
        <w:rPr>
          <w:sz w:val="20"/>
        </w:rPr>
        <w:t>I80.1,</w:t>
      </w:r>
      <w:r>
        <w:rPr>
          <w:spacing w:val="-6"/>
          <w:sz w:val="20"/>
        </w:rPr>
        <w:t> </w:t>
      </w:r>
      <w:r>
        <w:rPr>
          <w:sz w:val="20"/>
        </w:rPr>
        <w:t>I80.2,</w:t>
      </w:r>
      <w:r>
        <w:rPr>
          <w:spacing w:val="-5"/>
          <w:sz w:val="20"/>
        </w:rPr>
        <w:t> </w:t>
      </w:r>
      <w:r>
        <w:rPr>
          <w:sz w:val="20"/>
        </w:rPr>
        <w:t>I80.3,</w:t>
      </w:r>
      <w:r>
        <w:rPr>
          <w:spacing w:val="-7"/>
          <w:sz w:val="20"/>
        </w:rPr>
        <w:t> </w:t>
      </w:r>
      <w:r>
        <w:rPr>
          <w:spacing w:val="-2"/>
          <w:sz w:val="20"/>
        </w:rPr>
        <w:t>I80.8,</w:t>
      </w:r>
    </w:p>
    <w:p>
      <w:pPr>
        <w:spacing w:line="229" w:lineRule="exact" w:before="0"/>
        <w:ind w:left="4617" w:right="0" w:firstLine="0"/>
        <w:jc w:val="left"/>
        <w:rPr>
          <w:sz w:val="20"/>
        </w:rPr>
      </w:pPr>
      <w:r>
        <w:rPr>
          <w:sz w:val="20"/>
        </w:rPr>
        <w:t>I80.9,</w:t>
      </w:r>
      <w:r>
        <w:rPr>
          <w:spacing w:val="-5"/>
          <w:sz w:val="20"/>
        </w:rPr>
        <w:t> </w:t>
      </w:r>
      <w:r>
        <w:rPr>
          <w:sz w:val="20"/>
        </w:rPr>
        <w:t>I82,</w:t>
      </w:r>
      <w:r>
        <w:rPr>
          <w:spacing w:val="-5"/>
          <w:sz w:val="20"/>
        </w:rPr>
        <w:t> </w:t>
      </w:r>
      <w:r>
        <w:rPr>
          <w:sz w:val="20"/>
        </w:rPr>
        <w:t>I82.0,</w:t>
      </w:r>
      <w:r>
        <w:rPr>
          <w:spacing w:val="-5"/>
          <w:sz w:val="20"/>
        </w:rPr>
        <w:t> </w:t>
      </w:r>
      <w:r>
        <w:rPr>
          <w:sz w:val="20"/>
        </w:rPr>
        <w:t>I82.1,</w:t>
      </w:r>
      <w:r>
        <w:rPr>
          <w:spacing w:val="-7"/>
          <w:sz w:val="20"/>
        </w:rPr>
        <w:t> </w:t>
      </w:r>
      <w:r>
        <w:rPr>
          <w:sz w:val="20"/>
        </w:rPr>
        <w:t>I82.2,</w:t>
      </w:r>
      <w:r>
        <w:rPr>
          <w:spacing w:val="-7"/>
          <w:sz w:val="20"/>
        </w:rPr>
        <w:t> </w:t>
      </w:r>
      <w:r>
        <w:rPr>
          <w:sz w:val="20"/>
        </w:rPr>
        <w:t>I82.3,</w:t>
      </w:r>
      <w:r>
        <w:rPr>
          <w:spacing w:val="-5"/>
          <w:sz w:val="20"/>
        </w:rPr>
        <w:t> </w:t>
      </w:r>
      <w:r>
        <w:rPr>
          <w:sz w:val="20"/>
        </w:rPr>
        <w:t>I82.8,</w:t>
      </w:r>
      <w:r>
        <w:rPr>
          <w:spacing w:val="-7"/>
          <w:sz w:val="20"/>
        </w:rPr>
        <w:t> </w:t>
      </w:r>
      <w:r>
        <w:rPr>
          <w:spacing w:val="-2"/>
          <w:sz w:val="20"/>
        </w:rPr>
        <w:t>I82.9,</w:t>
      </w:r>
    </w:p>
    <w:p>
      <w:pPr>
        <w:spacing w:line="229" w:lineRule="exact" w:before="0"/>
        <w:ind w:left="4693" w:right="0" w:firstLine="0"/>
        <w:jc w:val="left"/>
        <w:rPr>
          <w:sz w:val="20"/>
        </w:rPr>
      </w:pPr>
      <w:r>
        <w:rPr>
          <w:sz w:val="20"/>
        </w:rPr>
        <w:t>I83,</w:t>
      </w:r>
      <w:r>
        <w:rPr>
          <w:spacing w:val="-5"/>
          <w:sz w:val="20"/>
        </w:rPr>
        <w:t> </w:t>
      </w:r>
      <w:r>
        <w:rPr>
          <w:sz w:val="20"/>
        </w:rPr>
        <w:t>I83.0,</w:t>
      </w:r>
      <w:r>
        <w:rPr>
          <w:spacing w:val="-5"/>
          <w:sz w:val="20"/>
        </w:rPr>
        <w:t> </w:t>
      </w:r>
      <w:r>
        <w:rPr>
          <w:sz w:val="20"/>
        </w:rPr>
        <w:t>I83.1,</w:t>
      </w:r>
      <w:r>
        <w:rPr>
          <w:spacing w:val="-4"/>
          <w:sz w:val="20"/>
        </w:rPr>
        <w:t> </w:t>
      </w:r>
      <w:r>
        <w:rPr>
          <w:sz w:val="20"/>
        </w:rPr>
        <w:t>I83.2,</w:t>
      </w:r>
      <w:r>
        <w:rPr>
          <w:spacing w:val="-7"/>
          <w:sz w:val="20"/>
        </w:rPr>
        <w:t> </w:t>
      </w:r>
      <w:r>
        <w:rPr>
          <w:sz w:val="20"/>
        </w:rPr>
        <w:t>I83.9,</w:t>
      </w:r>
      <w:r>
        <w:rPr>
          <w:spacing w:val="-6"/>
          <w:sz w:val="20"/>
        </w:rPr>
        <w:t> </w:t>
      </w:r>
      <w:r>
        <w:rPr>
          <w:sz w:val="20"/>
        </w:rPr>
        <w:t>I86.8,</w:t>
      </w:r>
      <w:r>
        <w:rPr>
          <w:spacing w:val="-5"/>
          <w:sz w:val="20"/>
        </w:rPr>
        <w:t> </w:t>
      </w:r>
      <w:r>
        <w:rPr>
          <w:sz w:val="20"/>
        </w:rPr>
        <w:t>I87,</w:t>
      </w:r>
      <w:r>
        <w:rPr>
          <w:spacing w:val="-4"/>
          <w:sz w:val="20"/>
        </w:rPr>
        <w:t> </w:t>
      </w:r>
      <w:r>
        <w:rPr>
          <w:spacing w:val="-2"/>
          <w:sz w:val="20"/>
        </w:rPr>
        <w:t>I87.0,</w:t>
      </w:r>
    </w:p>
    <w:p>
      <w:pPr>
        <w:spacing w:before="1"/>
        <w:ind w:left="1160" w:right="4154" w:firstLine="0"/>
        <w:jc w:val="center"/>
        <w:rPr>
          <w:sz w:val="20"/>
        </w:rPr>
      </w:pPr>
      <w:r>
        <w:rPr>
          <w:sz w:val="20"/>
        </w:rPr>
        <w:t>I87.1,</w:t>
      </w:r>
      <w:r>
        <w:rPr>
          <w:spacing w:val="-5"/>
          <w:sz w:val="20"/>
        </w:rPr>
        <w:t> </w:t>
      </w:r>
      <w:r>
        <w:rPr>
          <w:sz w:val="20"/>
        </w:rPr>
        <w:t>I87.2,</w:t>
      </w:r>
      <w:r>
        <w:rPr>
          <w:spacing w:val="-6"/>
          <w:sz w:val="20"/>
        </w:rPr>
        <w:t> </w:t>
      </w:r>
      <w:r>
        <w:rPr>
          <w:sz w:val="20"/>
        </w:rPr>
        <w:t>I87.8,</w:t>
      </w:r>
      <w:r>
        <w:rPr>
          <w:spacing w:val="-4"/>
          <w:sz w:val="20"/>
        </w:rPr>
        <w:t> </w:t>
      </w:r>
      <w:r>
        <w:rPr>
          <w:sz w:val="20"/>
        </w:rPr>
        <w:t>I87.9,</w:t>
      </w:r>
      <w:r>
        <w:rPr>
          <w:spacing w:val="-4"/>
          <w:sz w:val="20"/>
        </w:rPr>
        <w:t> </w:t>
      </w:r>
      <w:r>
        <w:rPr>
          <w:sz w:val="20"/>
        </w:rPr>
        <w:t>I88.0,</w:t>
      </w:r>
      <w:r>
        <w:rPr>
          <w:spacing w:val="-5"/>
          <w:sz w:val="20"/>
        </w:rPr>
        <w:t> </w:t>
      </w:r>
      <w:r>
        <w:rPr>
          <w:sz w:val="20"/>
        </w:rPr>
        <w:t>I88.1,</w:t>
      </w:r>
      <w:r>
        <w:rPr>
          <w:spacing w:val="-6"/>
          <w:sz w:val="20"/>
        </w:rPr>
        <w:t> </w:t>
      </w:r>
      <w:r>
        <w:rPr>
          <w:sz w:val="20"/>
        </w:rPr>
        <w:t>I88.8,</w:t>
      </w:r>
      <w:r>
        <w:rPr>
          <w:spacing w:val="-4"/>
          <w:sz w:val="20"/>
        </w:rPr>
        <w:t> </w:t>
      </w:r>
      <w:r>
        <w:rPr>
          <w:spacing w:val="-2"/>
          <w:sz w:val="20"/>
        </w:rPr>
        <w:t>I88.9,</w:t>
      </w:r>
    </w:p>
    <w:p>
      <w:pPr>
        <w:spacing w:before="0"/>
        <w:ind w:left="1157" w:right="4154" w:firstLine="0"/>
        <w:jc w:val="center"/>
        <w:rPr>
          <w:sz w:val="20"/>
        </w:rPr>
      </w:pPr>
      <w:r>
        <w:rPr>
          <w:sz w:val="20"/>
        </w:rPr>
        <w:t>I89.0,</w:t>
      </w:r>
      <w:r>
        <w:rPr>
          <w:spacing w:val="-5"/>
          <w:sz w:val="20"/>
        </w:rPr>
        <w:t> </w:t>
      </w:r>
      <w:r>
        <w:rPr>
          <w:sz w:val="20"/>
        </w:rPr>
        <w:t>I89.1,</w:t>
      </w:r>
      <w:r>
        <w:rPr>
          <w:spacing w:val="-7"/>
          <w:sz w:val="20"/>
        </w:rPr>
        <w:t> </w:t>
      </w:r>
      <w:r>
        <w:rPr>
          <w:sz w:val="20"/>
        </w:rPr>
        <w:t>I89.8,</w:t>
      </w:r>
      <w:r>
        <w:rPr>
          <w:spacing w:val="-4"/>
          <w:sz w:val="20"/>
        </w:rPr>
        <w:t> </w:t>
      </w:r>
      <w:r>
        <w:rPr>
          <w:sz w:val="20"/>
        </w:rPr>
        <w:t>I89.9,</w:t>
      </w:r>
      <w:r>
        <w:rPr>
          <w:spacing w:val="-5"/>
          <w:sz w:val="20"/>
        </w:rPr>
        <w:t> </w:t>
      </w:r>
      <w:r>
        <w:rPr>
          <w:sz w:val="20"/>
        </w:rPr>
        <w:t>I95,</w:t>
      </w:r>
      <w:r>
        <w:rPr>
          <w:spacing w:val="-6"/>
          <w:sz w:val="20"/>
        </w:rPr>
        <w:t> </w:t>
      </w:r>
      <w:r>
        <w:rPr>
          <w:sz w:val="20"/>
        </w:rPr>
        <w:t>I95.0,</w:t>
      </w:r>
      <w:r>
        <w:rPr>
          <w:spacing w:val="-5"/>
          <w:sz w:val="20"/>
        </w:rPr>
        <w:t> </w:t>
      </w:r>
      <w:r>
        <w:rPr>
          <w:sz w:val="20"/>
        </w:rPr>
        <w:t>I95.1,</w:t>
      </w:r>
      <w:r>
        <w:rPr>
          <w:spacing w:val="-7"/>
          <w:sz w:val="20"/>
        </w:rPr>
        <w:t> </w:t>
      </w:r>
      <w:r>
        <w:rPr>
          <w:spacing w:val="-2"/>
          <w:sz w:val="20"/>
        </w:rPr>
        <w:t>I95.2,</w:t>
      </w:r>
    </w:p>
    <w:p>
      <w:pPr>
        <w:spacing w:before="1"/>
        <w:ind w:left="1157" w:right="4154" w:firstLine="0"/>
        <w:jc w:val="center"/>
        <w:rPr>
          <w:sz w:val="20"/>
        </w:rPr>
      </w:pPr>
      <w:r>
        <w:rPr>
          <w:sz w:val="20"/>
        </w:rPr>
        <w:t>I95.8,</w:t>
      </w:r>
      <w:r>
        <w:rPr>
          <w:spacing w:val="-5"/>
          <w:sz w:val="20"/>
        </w:rPr>
        <w:t> </w:t>
      </w:r>
      <w:r>
        <w:rPr>
          <w:sz w:val="20"/>
        </w:rPr>
        <w:t>I95.9,</w:t>
      </w:r>
      <w:r>
        <w:rPr>
          <w:spacing w:val="-7"/>
          <w:sz w:val="20"/>
        </w:rPr>
        <w:t> </w:t>
      </w:r>
      <w:r>
        <w:rPr>
          <w:sz w:val="20"/>
        </w:rPr>
        <w:t>I97,</w:t>
      </w:r>
      <w:r>
        <w:rPr>
          <w:spacing w:val="-4"/>
          <w:sz w:val="20"/>
        </w:rPr>
        <w:t> </w:t>
      </w:r>
      <w:r>
        <w:rPr>
          <w:sz w:val="20"/>
        </w:rPr>
        <w:t>I97.0,</w:t>
      </w:r>
      <w:r>
        <w:rPr>
          <w:spacing w:val="-7"/>
          <w:sz w:val="20"/>
        </w:rPr>
        <w:t> </w:t>
      </w:r>
      <w:r>
        <w:rPr>
          <w:sz w:val="20"/>
        </w:rPr>
        <w:t>I97.1,</w:t>
      </w:r>
      <w:r>
        <w:rPr>
          <w:spacing w:val="-6"/>
          <w:sz w:val="20"/>
        </w:rPr>
        <w:t> </w:t>
      </w:r>
      <w:r>
        <w:rPr>
          <w:sz w:val="20"/>
        </w:rPr>
        <w:t>I97.8,</w:t>
      </w:r>
      <w:r>
        <w:rPr>
          <w:spacing w:val="-5"/>
          <w:sz w:val="20"/>
        </w:rPr>
        <w:t> </w:t>
      </w:r>
      <w:r>
        <w:rPr>
          <w:sz w:val="20"/>
        </w:rPr>
        <w:t>I97.9,</w:t>
      </w:r>
      <w:r>
        <w:rPr>
          <w:spacing w:val="-7"/>
          <w:sz w:val="20"/>
        </w:rPr>
        <w:t> </w:t>
      </w:r>
      <w:r>
        <w:rPr>
          <w:spacing w:val="-2"/>
          <w:sz w:val="20"/>
        </w:rPr>
        <w:t>I98.1,</w:t>
      </w:r>
    </w:p>
    <w:p>
      <w:pPr>
        <w:spacing w:before="0"/>
        <w:ind w:left="1159" w:right="4154" w:firstLine="0"/>
        <w:jc w:val="center"/>
        <w:rPr>
          <w:sz w:val="20"/>
        </w:rPr>
      </w:pPr>
      <w:r>
        <w:rPr>
          <w:sz w:val="20"/>
        </w:rPr>
        <w:t>I98.8,</w:t>
      </w:r>
      <w:r>
        <w:rPr>
          <w:spacing w:val="-5"/>
          <w:sz w:val="20"/>
        </w:rPr>
        <w:t> </w:t>
      </w:r>
      <w:r>
        <w:rPr>
          <w:sz w:val="20"/>
        </w:rPr>
        <w:t>I99,</w:t>
      </w:r>
      <w:r>
        <w:rPr>
          <w:spacing w:val="-5"/>
          <w:sz w:val="20"/>
        </w:rPr>
        <w:t> </w:t>
      </w:r>
      <w:r>
        <w:rPr>
          <w:sz w:val="20"/>
        </w:rPr>
        <w:t>Q20,</w:t>
      </w:r>
      <w:r>
        <w:rPr>
          <w:spacing w:val="-5"/>
          <w:sz w:val="20"/>
        </w:rPr>
        <w:t> </w:t>
      </w:r>
      <w:r>
        <w:rPr>
          <w:sz w:val="20"/>
        </w:rPr>
        <w:t>Q20.0,</w:t>
      </w:r>
      <w:r>
        <w:rPr>
          <w:spacing w:val="-4"/>
          <w:sz w:val="20"/>
        </w:rPr>
        <w:t> </w:t>
      </w:r>
      <w:r>
        <w:rPr>
          <w:sz w:val="20"/>
        </w:rPr>
        <w:t>Q20.1,</w:t>
      </w:r>
      <w:r>
        <w:rPr>
          <w:spacing w:val="-5"/>
          <w:sz w:val="20"/>
        </w:rPr>
        <w:t> </w:t>
      </w:r>
      <w:r>
        <w:rPr>
          <w:sz w:val="20"/>
        </w:rPr>
        <w:t>Q20.2,</w:t>
      </w:r>
      <w:r>
        <w:rPr>
          <w:spacing w:val="-7"/>
          <w:sz w:val="20"/>
        </w:rPr>
        <w:t> </w:t>
      </w:r>
      <w:r>
        <w:rPr>
          <w:spacing w:val="-2"/>
          <w:sz w:val="20"/>
        </w:rPr>
        <w:t>Q20.3,</w:t>
      </w:r>
    </w:p>
    <w:p>
      <w:pPr>
        <w:spacing w:before="0"/>
        <w:ind w:left="1159" w:right="4154" w:firstLine="0"/>
        <w:jc w:val="center"/>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73"/>
        <w:gridCol w:w="5091"/>
        <w:gridCol w:w="2217"/>
        <w:gridCol w:w="2899"/>
        <w:gridCol w:w="912"/>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73" w:type="dxa"/>
            <w:vMerge w:val="restart"/>
          </w:tcPr>
          <w:p>
            <w:pPr>
              <w:pStyle w:val="TableParagraph"/>
              <w:rPr>
                <w:sz w:val="18"/>
              </w:rPr>
            </w:pPr>
          </w:p>
        </w:tc>
        <w:tc>
          <w:tcPr>
            <w:tcW w:w="5091" w:type="dxa"/>
          </w:tcPr>
          <w:p>
            <w:pPr>
              <w:pStyle w:val="TableParagraph"/>
              <w:spacing w:line="205" w:lineRule="exact"/>
              <w:ind w:left="190"/>
              <w:rPr>
                <w:sz w:val="20"/>
              </w:rPr>
            </w:pPr>
            <w:r>
              <w:rPr>
                <w:sz w:val="20"/>
              </w:rPr>
              <w:t>Q21.1,</w:t>
            </w:r>
            <w:r>
              <w:rPr>
                <w:spacing w:val="-4"/>
                <w:sz w:val="20"/>
              </w:rPr>
              <w:t> </w:t>
            </w:r>
            <w:r>
              <w:rPr>
                <w:sz w:val="20"/>
              </w:rPr>
              <w:t>Q21.2,</w:t>
            </w:r>
            <w:r>
              <w:rPr>
                <w:spacing w:val="-5"/>
                <w:sz w:val="20"/>
              </w:rPr>
              <w:t> </w:t>
            </w:r>
            <w:r>
              <w:rPr>
                <w:sz w:val="20"/>
              </w:rPr>
              <w:t>Q21.3,</w:t>
            </w:r>
            <w:r>
              <w:rPr>
                <w:spacing w:val="-4"/>
                <w:sz w:val="20"/>
              </w:rPr>
              <w:t> </w:t>
            </w:r>
            <w:r>
              <w:rPr>
                <w:sz w:val="20"/>
              </w:rPr>
              <w:t>Q21.4,</w:t>
            </w:r>
            <w:r>
              <w:rPr>
                <w:spacing w:val="-5"/>
                <w:sz w:val="20"/>
              </w:rPr>
              <w:t> </w:t>
            </w:r>
            <w:r>
              <w:rPr>
                <w:sz w:val="20"/>
              </w:rPr>
              <w:t>Q21.8,</w:t>
            </w:r>
            <w:r>
              <w:rPr>
                <w:spacing w:val="-4"/>
                <w:sz w:val="20"/>
              </w:rPr>
              <w:t> </w:t>
            </w:r>
            <w:r>
              <w:rPr>
                <w:sz w:val="20"/>
              </w:rPr>
              <w:t>Q21.9,</w:t>
            </w:r>
            <w:r>
              <w:rPr>
                <w:spacing w:val="-5"/>
                <w:sz w:val="20"/>
              </w:rPr>
              <w:t> </w:t>
            </w:r>
            <w:r>
              <w:rPr>
                <w:spacing w:val="-4"/>
                <w:sz w:val="20"/>
              </w:rPr>
              <w:t>Q22,</w:t>
            </w:r>
          </w:p>
        </w:tc>
        <w:tc>
          <w:tcPr>
            <w:tcW w:w="2217" w:type="dxa"/>
            <w:vMerge w:val="restart"/>
          </w:tcPr>
          <w:p>
            <w:pPr>
              <w:pStyle w:val="TableParagraph"/>
              <w:rPr>
                <w:sz w:val="18"/>
              </w:rPr>
            </w:pPr>
          </w:p>
        </w:tc>
        <w:tc>
          <w:tcPr>
            <w:tcW w:w="2899" w:type="dxa"/>
            <w:vMerge w:val="restart"/>
          </w:tcPr>
          <w:p>
            <w:pPr>
              <w:pStyle w:val="TableParagraph"/>
              <w:rPr>
                <w:sz w:val="18"/>
              </w:rPr>
            </w:pPr>
          </w:p>
        </w:tc>
        <w:tc>
          <w:tcPr>
            <w:tcW w:w="912"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414"/>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193"/>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90"/>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414"/>
              <w:rPr>
                <w:sz w:val="20"/>
              </w:rPr>
            </w:pPr>
            <w:r>
              <w:rPr>
                <w:sz w:val="20"/>
              </w:rPr>
              <w:t>Q24.2,</w:t>
            </w:r>
            <w:r>
              <w:rPr>
                <w:spacing w:val="-4"/>
                <w:sz w:val="20"/>
              </w:rPr>
              <w:t> </w:t>
            </w:r>
            <w:r>
              <w:rPr>
                <w:sz w:val="20"/>
              </w:rPr>
              <w:t>Q24.3,</w:t>
            </w:r>
            <w:r>
              <w:rPr>
                <w:spacing w:val="-6"/>
                <w:sz w:val="20"/>
              </w:rPr>
              <w:t> </w:t>
            </w:r>
            <w:r>
              <w:rPr>
                <w:sz w:val="20"/>
              </w:rPr>
              <w:t>Q24.4,</w:t>
            </w:r>
            <w:r>
              <w:rPr>
                <w:spacing w:val="-4"/>
                <w:sz w:val="20"/>
              </w:rPr>
              <w:t> </w:t>
            </w:r>
            <w:r>
              <w:rPr>
                <w:sz w:val="20"/>
              </w:rPr>
              <w:t>Q24.5,</w:t>
            </w:r>
            <w:r>
              <w:rPr>
                <w:spacing w:val="-6"/>
                <w:sz w:val="20"/>
              </w:rPr>
              <w:t> </w:t>
            </w:r>
            <w:r>
              <w:rPr>
                <w:sz w:val="20"/>
              </w:rPr>
              <w:t>Q24.6,</w:t>
            </w:r>
            <w:r>
              <w:rPr>
                <w:spacing w:val="-4"/>
                <w:sz w:val="20"/>
              </w:rPr>
              <w:t> </w:t>
            </w:r>
            <w:r>
              <w:rPr>
                <w:spacing w:val="-2"/>
                <w:sz w:val="20"/>
              </w:rPr>
              <w:t>Q24.8,</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93"/>
              <w:rPr>
                <w:sz w:val="20"/>
              </w:rPr>
            </w:pPr>
            <w:r>
              <w:rPr>
                <w:sz w:val="20"/>
              </w:rPr>
              <w:t>Q24.9,</w:t>
            </w:r>
            <w:r>
              <w:rPr>
                <w:spacing w:val="-6"/>
                <w:sz w:val="20"/>
              </w:rPr>
              <w:t> </w:t>
            </w:r>
            <w:r>
              <w:rPr>
                <w:sz w:val="20"/>
              </w:rPr>
              <w:t>Q25,</w:t>
            </w:r>
            <w:r>
              <w:rPr>
                <w:spacing w:val="-6"/>
                <w:sz w:val="20"/>
              </w:rPr>
              <w:t> </w:t>
            </w:r>
            <w:r>
              <w:rPr>
                <w:sz w:val="20"/>
              </w:rPr>
              <w:t>Q25.0,</w:t>
            </w:r>
            <w:r>
              <w:rPr>
                <w:spacing w:val="-5"/>
                <w:sz w:val="20"/>
              </w:rPr>
              <w:t> </w:t>
            </w:r>
            <w:r>
              <w:rPr>
                <w:sz w:val="20"/>
              </w:rPr>
              <w:t>Q25.1,</w:t>
            </w:r>
            <w:r>
              <w:rPr>
                <w:spacing w:val="-6"/>
                <w:sz w:val="20"/>
              </w:rPr>
              <w:t> </w:t>
            </w:r>
            <w:r>
              <w:rPr>
                <w:sz w:val="20"/>
              </w:rPr>
              <w:t>Q25.2,</w:t>
            </w:r>
            <w:r>
              <w:rPr>
                <w:spacing w:val="-5"/>
                <w:sz w:val="20"/>
              </w:rPr>
              <w:t> </w:t>
            </w:r>
            <w:r>
              <w:rPr>
                <w:sz w:val="20"/>
              </w:rPr>
              <w:t>Q25.3,</w:t>
            </w:r>
            <w:r>
              <w:rPr>
                <w:spacing w:val="-6"/>
                <w:sz w:val="20"/>
              </w:rPr>
              <w:t> </w:t>
            </w:r>
            <w:r>
              <w:rPr>
                <w:spacing w:val="-2"/>
                <w:sz w:val="20"/>
              </w:rPr>
              <w:t>Q25.4,</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1" w:lineRule="exact"/>
              <w:ind w:left="190"/>
              <w:rPr>
                <w:sz w:val="20"/>
              </w:rPr>
            </w:pPr>
            <w:r>
              <w:rPr>
                <w:sz w:val="20"/>
              </w:rPr>
              <w:t>Q25.5,</w:t>
            </w:r>
            <w:r>
              <w:rPr>
                <w:spacing w:val="-4"/>
                <w:sz w:val="20"/>
              </w:rPr>
              <w:t> </w:t>
            </w:r>
            <w:r>
              <w:rPr>
                <w:sz w:val="20"/>
              </w:rPr>
              <w:t>Q25.6,</w:t>
            </w:r>
            <w:r>
              <w:rPr>
                <w:spacing w:val="-6"/>
                <w:sz w:val="20"/>
              </w:rPr>
              <w:t> </w:t>
            </w:r>
            <w:r>
              <w:rPr>
                <w:sz w:val="20"/>
              </w:rPr>
              <w:t>Q25.7,</w:t>
            </w:r>
            <w:r>
              <w:rPr>
                <w:spacing w:val="-4"/>
                <w:sz w:val="20"/>
              </w:rPr>
              <w:t> </w:t>
            </w:r>
            <w:r>
              <w:rPr>
                <w:sz w:val="20"/>
              </w:rPr>
              <w:t>Q25.8,</w:t>
            </w:r>
            <w:r>
              <w:rPr>
                <w:spacing w:val="-5"/>
                <w:sz w:val="20"/>
              </w:rPr>
              <w:t> </w:t>
            </w:r>
            <w:r>
              <w:rPr>
                <w:sz w:val="20"/>
              </w:rPr>
              <w:t>Q25.9,</w:t>
            </w:r>
            <w:r>
              <w:rPr>
                <w:spacing w:val="-4"/>
                <w:sz w:val="20"/>
              </w:rPr>
              <w:t> </w:t>
            </w:r>
            <w:r>
              <w:rPr>
                <w:sz w:val="20"/>
              </w:rPr>
              <w:t>Q26,</w:t>
            </w:r>
            <w:r>
              <w:rPr>
                <w:spacing w:val="-4"/>
                <w:sz w:val="20"/>
              </w:rPr>
              <w:t> </w:t>
            </w:r>
            <w:r>
              <w:rPr>
                <w:spacing w:val="-2"/>
                <w:sz w:val="20"/>
              </w:rPr>
              <w:t>Q26.0,</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414"/>
              <w:rPr>
                <w:sz w:val="20"/>
              </w:rPr>
            </w:pPr>
            <w:r>
              <w:rPr>
                <w:sz w:val="20"/>
              </w:rPr>
              <w:t>Q26.1,</w:t>
            </w:r>
            <w:r>
              <w:rPr>
                <w:spacing w:val="-4"/>
                <w:sz w:val="20"/>
              </w:rPr>
              <w:t> </w:t>
            </w:r>
            <w:r>
              <w:rPr>
                <w:sz w:val="20"/>
              </w:rPr>
              <w:t>Q26.2,</w:t>
            </w:r>
            <w:r>
              <w:rPr>
                <w:spacing w:val="-6"/>
                <w:sz w:val="20"/>
              </w:rPr>
              <w:t> </w:t>
            </w:r>
            <w:r>
              <w:rPr>
                <w:sz w:val="20"/>
              </w:rPr>
              <w:t>Q26.3,</w:t>
            </w:r>
            <w:r>
              <w:rPr>
                <w:spacing w:val="-4"/>
                <w:sz w:val="20"/>
              </w:rPr>
              <w:t> </w:t>
            </w:r>
            <w:r>
              <w:rPr>
                <w:sz w:val="20"/>
              </w:rPr>
              <w:t>Q26.4,</w:t>
            </w:r>
            <w:r>
              <w:rPr>
                <w:spacing w:val="-6"/>
                <w:sz w:val="20"/>
              </w:rPr>
              <w:t> </w:t>
            </w:r>
            <w:r>
              <w:rPr>
                <w:sz w:val="20"/>
              </w:rPr>
              <w:t>Q26.5,</w:t>
            </w:r>
            <w:r>
              <w:rPr>
                <w:spacing w:val="-4"/>
                <w:sz w:val="20"/>
              </w:rPr>
              <w:t> </w:t>
            </w:r>
            <w:r>
              <w:rPr>
                <w:spacing w:val="-2"/>
                <w:sz w:val="20"/>
              </w:rPr>
              <w:t>Q26.6,</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193"/>
              <w:rPr>
                <w:sz w:val="20"/>
              </w:rPr>
            </w:pPr>
            <w:r>
              <w:rPr>
                <w:sz w:val="20"/>
              </w:rPr>
              <w:t>Q26.8,</w:t>
            </w:r>
            <w:r>
              <w:rPr>
                <w:spacing w:val="-6"/>
                <w:sz w:val="20"/>
              </w:rPr>
              <w:t> </w:t>
            </w:r>
            <w:r>
              <w:rPr>
                <w:sz w:val="20"/>
              </w:rPr>
              <w:t>Q26.9,</w:t>
            </w:r>
            <w:r>
              <w:rPr>
                <w:spacing w:val="-7"/>
                <w:sz w:val="20"/>
              </w:rPr>
              <w:t> </w:t>
            </w:r>
            <w:r>
              <w:rPr>
                <w:sz w:val="20"/>
              </w:rPr>
              <w:t>Q27,</w:t>
            </w:r>
            <w:r>
              <w:rPr>
                <w:spacing w:val="-5"/>
                <w:sz w:val="20"/>
              </w:rPr>
              <w:t> </w:t>
            </w:r>
            <w:r>
              <w:rPr>
                <w:sz w:val="20"/>
              </w:rPr>
              <w:t>Q27.0,</w:t>
            </w:r>
            <w:r>
              <w:rPr>
                <w:spacing w:val="-5"/>
                <w:sz w:val="20"/>
              </w:rPr>
              <w:t> </w:t>
            </w:r>
            <w:r>
              <w:rPr>
                <w:sz w:val="20"/>
              </w:rPr>
              <w:t>Q27.1,</w:t>
            </w:r>
            <w:r>
              <w:rPr>
                <w:spacing w:val="-5"/>
                <w:sz w:val="20"/>
              </w:rPr>
              <w:t> </w:t>
            </w:r>
            <w:r>
              <w:rPr>
                <w:sz w:val="20"/>
              </w:rPr>
              <w:t>Q27.2,</w:t>
            </w:r>
            <w:r>
              <w:rPr>
                <w:spacing w:val="-6"/>
                <w:sz w:val="20"/>
              </w:rPr>
              <w:t> </w:t>
            </w:r>
            <w:r>
              <w:rPr>
                <w:spacing w:val="-2"/>
                <w:sz w:val="20"/>
              </w:rPr>
              <w:t>Q27.3,</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93"/>
              <w:rPr>
                <w:sz w:val="20"/>
              </w:rPr>
            </w:pPr>
            <w:r>
              <w:rPr>
                <w:sz w:val="20"/>
              </w:rPr>
              <w:t>Q27.4,</w:t>
            </w:r>
            <w:r>
              <w:rPr>
                <w:spacing w:val="-6"/>
                <w:sz w:val="20"/>
              </w:rPr>
              <w:t> </w:t>
            </w:r>
            <w:r>
              <w:rPr>
                <w:sz w:val="20"/>
              </w:rPr>
              <w:t>Q27.8,</w:t>
            </w:r>
            <w:r>
              <w:rPr>
                <w:spacing w:val="-6"/>
                <w:sz w:val="20"/>
              </w:rPr>
              <w:t> </w:t>
            </w:r>
            <w:r>
              <w:rPr>
                <w:sz w:val="20"/>
              </w:rPr>
              <w:t>Q27.9,</w:t>
            </w:r>
            <w:r>
              <w:rPr>
                <w:spacing w:val="-5"/>
                <w:sz w:val="20"/>
              </w:rPr>
              <w:t> </w:t>
            </w:r>
            <w:r>
              <w:rPr>
                <w:sz w:val="20"/>
              </w:rPr>
              <w:t>Q28,</w:t>
            </w:r>
            <w:r>
              <w:rPr>
                <w:spacing w:val="-6"/>
                <w:sz w:val="20"/>
              </w:rPr>
              <w:t> </w:t>
            </w:r>
            <w:r>
              <w:rPr>
                <w:sz w:val="20"/>
              </w:rPr>
              <w:t>Q28.0,</w:t>
            </w:r>
            <w:r>
              <w:rPr>
                <w:spacing w:val="-5"/>
                <w:sz w:val="20"/>
              </w:rPr>
              <w:t> </w:t>
            </w:r>
            <w:r>
              <w:rPr>
                <w:sz w:val="20"/>
              </w:rPr>
              <w:t>Q28.1,</w:t>
            </w:r>
            <w:r>
              <w:rPr>
                <w:spacing w:val="-5"/>
                <w:sz w:val="20"/>
              </w:rPr>
              <w:t> </w:t>
            </w:r>
            <w:r>
              <w:rPr>
                <w:spacing w:val="-2"/>
                <w:sz w:val="20"/>
              </w:rPr>
              <w:t>Q28.2,</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214"/>
              <w:rPr>
                <w:sz w:val="20"/>
              </w:rPr>
            </w:pPr>
            <w:r>
              <w:rPr>
                <w:sz w:val="20"/>
              </w:rPr>
              <w:t>Q28.3,</w:t>
            </w:r>
            <w:r>
              <w:rPr>
                <w:spacing w:val="-5"/>
                <w:sz w:val="20"/>
              </w:rPr>
              <w:t> </w:t>
            </w:r>
            <w:r>
              <w:rPr>
                <w:sz w:val="20"/>
              </w:rPr>
              <w:t>Q28.8,</w:t>
            </w:r>
            <w:r>
              <w:rPr>
                <w:spacing w:val="-6"/>
                <w:sz w:val="20"/>
              </w:rPr>
              <w:t> </w:t>
            </w:r>
            <w:r>
              <w:rPr>
                <w:sz w:val="20"/>
              </w:rPr>
              <w:t>Q28.9,</w:t>
            </w:r>
            <w:r>
              <w:rPr>
                <w:spacing w:val="-4"/>
                <w:sz w:val="20"/>
              </w:rPr>
              <w:t> </w:t>
            </w:r>
            <w:r>
              <w:rPr>
                <w:sz w:val="20"/>
              </w:rPr>
              <w:t>R00,</w:t>
            </w:r>
            <w:r>
              <w:rPr>
                <w:spacing w:val="-5"/>
                <w:sz w:val="20"/>
              </w:rPr>
              <w:t> </w:t>
            </w:r>
            <w:r>
              <w:rPr>
                <w:sz w:val="20"/>
              </w:rPr>
              <w:t>R00.0,</w:t>
            </w:r>
            <w:r>
              <w:rPr>
                <w:spacing w:val="-4"/>
                <w:sz w:val="20"/>
              </w:rPr>
              <w:t> </w:t>
            </w:r>
            <w:r>
              <w:rPr>
                <w:sz w:val="20"/>
              </w:rPr>
              <w:t>R00.1,</w:t>
            </w:r>
            <w:r>
              <w:rPr>
                <w:spacing w:val="-4"/>
                <w:sz w:val="20"/>
              </w:rPr>
              <w:t> </w:t>
            </w:r>
            <w:r>
              <w:rPr>
                <w:spacing w:val="-2"/>
                <w:sz w:val="20"/>
              </w:rPr>
              <w:t>R00.2,</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305"/>
              <w:rPr>
                <w:sz w:val="20"/>
              </w:rPr>
            </w:pPr>
            <w:r>
              <w:rPr>
                <w:sz w:val="20"/>
              </w:rPr>
              <w:t>R00.8,</w:t>
            </w:r>
            <w:r>
              <w:rPr>
                <w:spacing w:val="-6"/>
                <w:sz w:val="20"/>
              </w:rPr>
              <w:t> </w:t>
            </w:r>
            <w:r>
              <w:rPr>
                <w:sz w:val="20"/>
              </w:rPr>
              <w:t>R01,</w:t>
            </w:r>
            <w:r>
              <w:rPr>
                <w:spacing w:val="-4"/>
                <w:sz w:val="20"/>
              </w:rPr>
              <w:t> </w:t>
            </w:r>
            <w:r>
              <w:rPr>
                <w:sz w:val="20"/>
              </w:rPr>
              <w:t>R01.0,</w:t>
            </w:r>
            <w:r>
              <w:rPr>
                <w:spacing w:val="-4"/>
                <w:sz w:val="20"/>
              </w:rPr>
              <w:t> </w:t>
            </w:r>
            <w:r>
              <w:rPr>
                <w:sz w:val="20"/>
              </w:rPr>
              <w:t>R01.1,</w:t>
            </w:r>
            <w:r>
              <w:rPr>
                <w:spacing w:val="-3"/>
                <w:sz w:val="20"/>
              </w:rPr>
              <w:t> </w:t>
            </w:r>
            <w:r>
              <w:rPr>
                <w:sz w:val="20"/>
              </w:rPr>
              <w:t>R01.2,</w:t>
            </w:r>
            <w:r>
              <w:rPr>
                <w:spacing w:val="-4"/>
                <w:sz w:val="20"/>
              </w:rPr>
              <w:t> </w:t>
            </w:r>
            <w:r>
              <w:rPr>
                <w:sz w:val="20"/>
              </w:rPr>
              <w:t>R03,</w:t>
            </w:r>
            <w:r>
              <w:rPr>
                <w:spacing w:val="-5"/>
                <w:sz w:val="20"/>
              </w:rPr>
              <w:t> </w:t>
            </w:r>
            <w:r>
              <w:rPr>
                <w:spacing w:val="-2"/>
                <w:sz w:val="20"/>
              </w:rPr>
              <w:t>R03.0,</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305"/>
              <w:rPr>
                <w:sz w:val="20"/>
              </w:rPr>
            </w:pPr>
            <w:r>
              <w:rPr>
                <w:sz w:val="20"/>
              </w:rPr>
              <w:t>R03.1,</w:t>
            </w:r>
            <w:r>
              <w:rPr>
                <w:spacing w:val="-5"/>
                <w:sz w:val="20"/>
              </w:rPr>
              <w:t> </w:t>
            </w:r>
            <w:r>
              <w:rPr>
                <w:sz w:val="20"/>
              </w:rPr>
              <w:t>R07.2,</w:t>
            </w:r>
            <w:r>
              <w:rPr>
                <w:spacing w:val="-4"/>
                <w:sz w:val="20"/>
              </w:rPr>
              <w:t> </w:t>
            </w:r>
            <w:r>
              <w:rPr>
                <w:sz w:val="20"/>
              </w:rPr>
              <w:t>R07.4,</w:t>
            </w:r>
            <w:r>
              <w:rPr>
                <w:spacing w:val="-4"/>
                <w:sz w:val="20"/>
              </w:rPr>
              <w:t> </w:t>
            </w:r>
            <w:r>
              <w:rPr>
                <w:sz w:val="20"/>
              </w:rPr>
              <w:t>R09.8,</w:t>
            </w:r>
            <w:r>
              <w:rPr>
                <w:spacing w:val="-8"/>
                <w:sz w:val="20"/>
              </w:rPr>
              <w:t> </w:t>
            </w:r>
            <w:r>
              <w:rPr>
                <w:sz w:val="20"/>
              </w:rPr>
              <w:t>R55,</w:t>
            </w:r>
            <w:r>
              <w:rPr>
                <w:spacing w:val="-5"/>
                <w:sz w:val="20"/>
              </w:rPr>
              <w:t> </w:t>
            </w:r>
            <w:r>
              <w:rPr>
                <w:sz w:val="20"/>
              </w:rPr>
              <w:t>R57.0,</w:t>
            </w:r>
            <w:r>
              <w:rPr>
                <w:spacing w:val="-4"/>
                <w:sz w:val="20"/>
              </w:rPr>
              <w:t> R58,</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401"/>
              <w:rPr>
                <w:sz w:val="20"/>
              </w:rPr>
            </w:pPr>
            <w:r>
              <w:rPr>
                <w:sz w:val="20"/>
              </w:rPr>
              <w:t>R73,</w:t>
            </w:r>
            <w:r>
              <w:rPr>
                <w:spacing w:val="-4"/>
                <w:sz w:val="20"/>
              </w:rPr>
              <w:t> </w:t>
            </w:r>
            <w:r>
              <w:rPr>
                <w:sz w:val="20"/>
              </w:rPr>
              <w:t>R73.9,</w:t>
            </w:r>
            <w:r>
              <w:rPr>
                <w:spacing w:val="-4"/>
                <w:sz w:val="20"/>
              </w:rPr>
              <w:t> </w:t>
            </w:r>
            <w:r>
              <w:rPr>
                <w:sz w:val="20"/>
              </w:rPr>
              <w:t>R81,</w:t>
            </w:r>
            <w:r>
              <w:rPr>
                <w:spacing w:val="-4"/>
                <w:sz w:val="20"/>
              </w:rPr>
              <w:t> </w:t>
            </w:r>
            <w:r>
              <w:rPr>
                <w:sz w:val="20"/>
              </w:rPr>
              <w:t>R93.1,</w:t>
            </w:r>
            <w:r>
              <w:rPr>
                <w:spacing w:val="-6"/>
                <w:sz w:val="20"/>
              </w:rPr>
              <w:t> </w:t>
            </w:r>
            <w:r>
              <w:rPr>
                <w:sz w:val="20"/>
              </w:rPr>
              <w:t>R94.3,</w:t>
            </w:r>
            <w:r>
              <w:rPr>
                <w:spacing w:val="-4"/>
                <w:sz w:val="20"/>
              </w:rPr>
              <w:t> </w:t>
            </w:r>
            <w:r>
              <w:rPr>
                <w:sz w:val="20"/>
              </w:rPr>
              <w:t>S26,</w:t>
            </w:r>
            <w:r>
              <w:rPr>
                <w:spacing w:val="-4"/>
                <w:sz w:val="20"/>
              </w:rPr>
              <w:t> </w:t>
            </w:r>
            <w:r>
              <w:rPr>
                <w:spacing w:val="-2"/>
                <w:sz w:val="20"/>
              </w:rPr>
              <w:t>S26.0,</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313"/>
              <w:rPr>
                <w:sz w:val="20"/>
              </w:rPr>
            </w:pPr>
            <w:r>
              <w:rPr>
                <w:sz w:val="20"/>
              </w:rPr>
              <w:t>S26.00,</w:t>
            </w:r>
            <w:r>
              <w:rPr>
                <w:spacing w:val="-7"/>
                <w:sz w:val="20"/>
              </w:rPr>
              <w:t> </w:t>
            </w:r>
            <w:r>
              <w:rPr>
                <w:sz w:val="20"/>
              </w:rPr>
              <w:t>S26.01,</w:t>
            </w:r>
            <w:r>
              <w:rPr>
                <w:spacing w:val="-6"/>
                <w:sz w:val="20"/>
              </w:rPr>
              <w:t> </w:t>
            </w:r>
            <w:r>
              <w:rPr>
                <w:sz w:val="20"/>
              </w:rPr>
              <w:t>S26.8,</w:t>
            </w:r>
            <w:r>
              <w:rPr>
                <w:spacing w:val="-6"/>
                <w:sz w:val="20"/>
              </w:rPr>
              <w:t> </w:t>
            </w:r>
            <w:r>
              <w:rPr>
                <w:sz w:val="20"/>
              </w:rPr>
              <w:t>S26.80,</w:t>
            </w:r>
            <w:r>
              <w:rPr>
                <w:spacing w:val="-7"/>
                <w:sz w:val="20"/>
              </w:rPr>
              <w:t> </w:t>
            </w:r>
            <w:r>
              <w:rPr>
                <w:sz w:val="20"/>
              </w:rPr>
              <w:t>S26.81,</w:t>
            </w:r>
            <w:r>
              <w:rPr>
                <w:spacing w:val="-6"/>
                <w:sz w:val="20"/>
              </w:rPr>
              <w:t> </w:t>
            </w:r>
            <w:r>
              <w:rPr>
                <w:spacing w:val="-2"/>
                <w:sz w:val="20"/>
              </w:rPr>
              <w:t>S26.9,</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81"/>
              <w:rPr>
                <w:sz w:val="20"/>
              </w:rPr>
            </w:pPr>
            <w:r>
              <w:rPr>
                <w:sz w:val="20"/>
              </w:rPr>
              <w:t>S26.90,</w:t>
            </w:r>
            <w:r>
              <w:rPr>
                <w:spacing w:val="-4"/>
                <w:sz w:val="20"/>
              </w:rPr>
              <w:t> </w:t>
            </w:r>
            <w:r>
              <w:rPr>
                <w:sz w:val="20"/>
              </w:rPr>
              <w:t>S26.91,</w:t>
            </w:r>
            <w:r>
              <w:rPr>
                <w:spacing w:val="-6"/>
                <w:sz w:val="20"/>
              </w:rPr>
              <w:t> </w:t>
            </w:r>
            <w:r>
              <w:rPr>
                <w:sz w:val="20"/>
              </w:rPr>
              <w:t>T82,</w:t>
            </w:r>
            <w:r>
              <w:rPr>
                <w:spacing w:val="-5"/>
                <w:sz w:val="20"/>
              </w:rPr>
              <w:t> </w:t>
            </w:r>
            <w:r>
              <w:rPr>
                <w:sz w:val="20"/>
              </w:rPr>
              <w:t>T82.0,</w:t>
            </w:r>
            <w:r>
              <w:rPr>
                <w:spacing w:val="-8"/>
                <w:sz w:val="20"/>
              </w:rPr>
              <w:t> </w:t>
            </w:r>
            <w:r>
              <w:rPr>
                <w:sz w:val="20"/>
              </w:rPr>
              <w:t>T82.1,</w:t>
            </w:r>
            <w:r>
              <w:rPr>
                <w:spacing w:val="-5"/>
                <w:sz w:val="20"/>
              </w:rPr>
              <w:t> </w:t>
            </w:r>
            <w:r>
              <w:rPr>
                <w:sz w:val="20"/>
              </w:rPr>
              <w:t>T82.2,</w:t>
            </w:r>
            <w:r>
              <w:rPr>
                <w:spacing w:val="-6"/>
                <w:sz w:val="20"/>
              </w:rPr>
              <w:t> </w:t>
            </w:r>
            <w:r>
              <w:rPr>
                <w:spacing w:val="-2"/>
                <w:sz w:val="20"/>
              </w:rPr>
              <w:t>T82.3,</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26" w:lineRule="exact"/>
              <w:ind w:left="793"/>
              <w:rPr>
                <w:sz w:val="20"/>
              </w:rPr>
            </w:pPr>
            <w:r>
              <w:rPr>
                <w:sz w:val="20"/>
              </w:rPr>
              <w:t>T82.4,</w:t>
            </w:r>
            <w:r>
              <w:rPr>
                <w:spacing w:val="-7"/>
                <w:sz w:val="20"/>
              </w:rPr>
              <w:t> </w:t>
            </w:r>
            <w:r>
              <w:rPr>
                <w:sz w:val="20"/>
              </w:rPr>
              <w:t>T82.7,</w:t>
            </w:r>
            <w:r>
              <w:rPr>
                <w:spacing w:val="-5"/>
                <w:sz w:val="20"/>
              </w:rPr>
              <w:t> </w:t>
            </w:r>
            <w:r>
              <w:rPr>
                <w:sz w:val="20"/>
              </w:rPr>
              <w:t>T82.8,</w:t>
            </w:r>
            <w:r>
              <w:rPr>
                <w:spacing w:val="-5"/>
                <w:sz w:val="20"/>
              </w:rPr>
              <w:t> </w:t>
            </w:r>
            <w:r>
              <w:rPr>
                <w:sz w:val="20"/>
              </w:rPr>
              <w:t>T82.9,</w:t>
            </w:r>
            <w:r>
              <w:rPr>
                <w:spacing w:val="-4"/>
                <w:sz w:val="20"/>
              </w:rPr>
              <w:t> </w:t>
            </w:r>
            <w:r>
              <w:rPr>
                <w:spacing w:val="-2"/>
                <w:sz w:val="20"/>
              </w:rPr>
              <w:t>T85.8</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330" w:hRule="atLeast"/>
        </w:trPr>
        <w:tc>
          <w:tcPr>
            <w:tcW w:w="1003" w:type="dxa"/>
          </w:tcPr>
          <w:p>
            <w:pPr>
              <w:pStyle w:val="TableParagraph"/>
              <w:spacing w:before="46"/>
              <w:ind w:left="39" w:right="211"/>
              <w:jc w:val="center"/>
              <w:rPr>
                <w:sz w:val="20"/>
              </w:rPr>
            </w:pPr>
            <w:r>
              <w:rPr>
                <w:spacing w:val="-4"/>
                <w:sz w:val="20"/>
              </w:rPr>
              <w:t>ds08</w:t>
            </w:r>
          </w:p>
        </w:tc>
        <w:tc>
          <w:tcPr>
            <w:tcW w:w="645" w:type="dxa"/>
          </w:tcPr>
          <w:p>
            <w:pPr>
              <w:pStyle w:val="TableParagraph"/>
              <w:spacing w:before="46"/>
              <w:ind w:left="7"/>
              <w:jc w:val="center"/>
              <w:rPr>
                <w:sz w:val="20"/>
              </w:rPr>
            </w:pPr>
            <w:r>
              <w:rPr>
                <w:w w:val="99"/>
                <w:sz w:val="20"/>
              </w:rPr>
              <w:t>8</w:t>
            </w:r>
          </w:p>
        </w:tc>
        <w:tc>
          <w:tcPr>
            <w:tcW w:w="2573" w:type="dxa"/>
          </w:tcPr>
          <w:p>
            <w:pPr>
              <w:pStyle w:val="TableParagraph"/>
              <w:rPr>
                <w:sz w:val="18"/>
              </w:rPr>
            </w:pPr>
          </w:p>
        </w:tc>
        <w:tc>
          <w:tcPr>
            <w:tcW w:w="5091" w:type="dxa"/>
          </w:tcPr>
          <w:p>
            <w:pPr>
              <w:pStyle w:val="TableParagraph"/>
              <w:spacing w:before="46"/>
              <w:ind w:left="2992"/>
              <w:rPr>
                <w:sz w:val="20"/>
              </w:rPr>
            </w:pPr>
            <w:r>
              <w:rPr>
                <w:sz w:val="20"/>
              </w:rPr>
              <w:t>Детская</w:t>
            </w:r>
            <w:r>
              <w:rPr>
                <w:spacing w:val="-8"/>
                <w:sz w:val="20"/>
              </w:rPr>
              <w:t> </w:t>
            </w:r>
            <w:r>
              <w:rPr>
                <w:spacing w:val="-2"/>
                <w:sz w:val="20"/>
              </w:rPr>
              <w:t>онкология</w:t>
            </w:r>
          </w:p>
        </w:tc>
        <w:tc>
          <w:tcPr>
            <w:tcW w:w="2217" w:type="dxa"/>
          </w:tcPr>
          <w:p>
            <w:pPr>
              <w:pStyle w:val="TableParagraph"/>
              <w:rPr>
                <w:sz w:val="18"/>
              </w:rPr>
            </w:pPr>
          </w:p>
        </w:tc>
        <w:tc>
          <w:tcPr>
            <w:tcW w:w="2899" w:type="dxa"/>
          </w:tcPr>
          <w:p>
            <w:pPr>
              <w:pStyle w:val="TableParagraph"/>
              <w:rPr>
                <w:sz w:val="18"/>
              </w:rPr>
            </w:pPr>
          </w:p>
        </w:tc>
        <w:tc>
          <w:tcPr>
            <w:tcW w:w="912" w:type="dxa"/>
          </w:tcPr>
          <w:p>
            <w:pPr>
              <w:pStyle w:val="TableParagraph"/>
              <w:spacing w:before="46"/>
              <w:ind w:right="42"/>
              <w:jc w:val="right"/>
              <w:rPr>
                <w:sz w:val="20"/>
              </w:rPr>
            </w:pPr>
            <w:r>
              <w:rPr>
                <w:spacing w:val="-2"/>
                <w:sz w:val="20"/>
              </w:rPr>
              <w:t>12,80</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ds08.001</w:t>
            </w:r>
          </w:p>
        </w:tc>
        <w:tc>
          <w:tcPr>
            <w:tcW w:w="645" w:type="dxa"/>
          </w:tcPr>
          <w:p>
            <w:pPr>
              <w:pStyle w:val="TableParagraph"/>
              <w:spacing w:line="215" w:lineRule="exact" w:before="45"/>
              <w:ind w:left="211" w:right="203"/>
              <w:jc w:val="center"/>
              <w:rPr>
                <w:sz w:val="20"/>
              </w:rPr>
            </w:pPr>
            <w:r>
              <w:rPr>
                <w:spacing w:val="-5"/>
                <w:sz w:val="20"/>
              </w:rPr>
              <w:t>21</w:t>
            </w:r>
          </w:p>
        </w:tc>
        <w:tc>
          <w:tcPr>
            <w:tcW w:w="2573" w:type="dxa"/>
          </w:tcPr>
          <w:p>
            <w:pPr>
              <w:pStyle w:val="TableParagraph"/>
              <w:spacing w:line="215" w:lineRule="exact" w:before="45"/>
              <w:ind w:left="219"/>
              <w:rPr>
                <w:sz w:val="20"/>
              </w:rPr>
            </w:pPr>
            <w:r>
              <w:rPr>
                <w:w w:val="95"/>
                <w:sz w:val="20"/>
              </w:rPr>
              <w:t>Лекарственная</w:t>
            </w:r>
            <w:r>
              <w:rPr>
                <w:spacing w:val="50"/>
                <w:sz w:val="20"/>
              </w:rPr>
              <w:t> </w:t>
            </w:r>
            <w:r>
              <w:rPr>
                <w:spacing w:val="-2"/>
                <w:sz w:val="20"/>
              </w:rPr>
              <w:t>терапия</w:t>
            </w:r>
          </w:p>
        </w:tc>
        <w:tc>
          <w:tcPr>
            <w:tcW w:w="5091" w:type="dxa"/>
          </w:tcPr>
          <w:p>
            <w:pPr>
              <w:pStyle w:val="TableParagraph"/>
              <w:spacing w:line="215" w:lineRule="exact" w:before="45"/>
              <w:ind w:left="231"/>
              <w:rPr>
                <w:sz w:val="20"/>
              </w:rPr>
            </w:pPr>
            <w:r>
              <w:rPr>
                <w:sz w:val="20"/>
              </w:rPr>
              <w:t>C00,</w:t>
            </w:r>
            <w:r>
              <w:rPr>
                <w:spacing w:val="-4"/>
                <w:sz w:val="20"/>
              </w:rPr>
              <w:t> </w:t>
            </w:r>
            <w:r>
              <w:rPr>
                <w:sz w:val="20"/>
              </w:rPr>
              <w:t>C00.0,</w:t>
            </w:r>
            <w:r>
              <w:rPr>
                <w:spacing w:val="-4"/>
                <w:sz w:val="20"/>
              </w:rPr>
              <w:t> </w:t>
            </w:r>
            <w:r>
              <w:rPr>
                <w:sz w:val="20"/>
              </w:rPr>
              <w:t>C00.1,</w:t>
            </w:r>
            <w:r>
              <w:rPr>
                <w:spacing w:val="-4"/>
                <w:sz w:val="20"/>
              </w:rPr>
              <w:t> </w:t>
            </w:r>
            <w:r>
              <w:rPr>
                <w:sz w:val="20"/>
              </w:rPr>
              <w:t>C00.2,</w:t>
            </w:r>
            <w:r>
              <w:rPr>
                <w:spacing w:val="-4"/>
                <w:sz w:val="20"/>
              </w:rPr>
              <w:t> </w:t>
            </w:r>
            <w:r>
              <w:rPr>
                <w:sz w:val="20"/>
              </w:rPr>
              <w:t>C00.3,</w:t>
            </w:r>
            <w:r>
              <w:rPr>
                <w:spacing w:val="-3"/>
                <w:sz w:val="20"/>
              </w:rPr>
              <w:t> </w:t>
            </w:r>
            <w:r>
              <w:rPr>
                <w:sz w:val="20"/>
              </w:rPr>
              <w:t>C00.4,</w:t>
            </w:r>
            <w:r>
              <w:rPr>
                <w:spacing w:val="-4"/>
                <w:sz w:val="20"/>
              </w:rPr>
              <w:t> </w:t>
            </w:r>
            <w:r>
              <w:rPr>
                <w:spacing w:val="-2"/>
                <w:sz w:val="20"/>
              </w:rPr>
              <w:t>C00.5,</w:t>
            </w:r>
          </w:p>
        </w:tc>
        <w:tc>
          <w:tcPr>
            <w:tcW w:w="2217" w:type="dxa"/>
          </w:tcPr>
          <w:p>
            <w:pPr>
              <w:pStyle w:val="TableParagraph"/>
              <w:spacing w:line="215" w:lineRule="exact" w:before="45"/>
              <w:ind w:left="490"/>
              <w:rPr>
                <w:sz w:val="20"/>
              </w:rPr>
            </w:pPr>
            <w:r>
              <w:rPr>
                <w:spacing w:val="-2"/>
                <w:sz w:val="20"/>
              </w:rPr>
              <w:t>A25.30.014</w:t>
            </w:r>
          </w:p>
        </w:tc>
        <w:tc>
          <w:tcPr>
            <w:tcW w:w="2899" w:type="dxa"/>
          </w:tcPr>
          <w:p>
            <w:pPr>
              <w:pStyle w:val="TableParagraph"/>
              <w:spacing w:line="215" w:lineRule="exact" w:before="45"/>
              <w:ind w:right="456"/>
              <w:jc w:val="right"/>
              <w:rPr>
                <w:sz w:val="20"/>
              </w:rPr>
            </w:pPr>
            <w:r>
              <w:rPr>
                <w:sz w:val="20"/>
              </w:rPr>
              <w:t>Возрастная</w:t>
            </w:r>
            <w:r>
              <w:rPr>
                <w:spacing w:val="-11"/>
                <w:sz w:val="20"/>
              </w:rPr>
              <w:t> </w:t>
            </w:r>
            <w:r>
              <w:rPr>
                <w:spacing w:val="-2"/>
                <w:sz w:val="20"/>
              </w:rPr>
              <w:t>группа:</w:t>
            </w:r>
          </w:p>
        </w:tc>
        <w:tc>
          <w:tcPr>
            <w:tcW w:w="912" w:type="dxa"/>
          </w:tcPr>
          <w:p>
            <w:pPr>
              <w:pStyle w:val="TableParagraph"/>
              <w:spacing w:line="215" w:lineRule="exact" w:before="45"/>
              <w:ind w:right="93"/>
              <w:jc w:val="right"/>
              <w:rPr>
                <w:sz w:val="20"/>
              </w:rPr>
            </w:pPr>
            <w:r>
              <w:rPr>
                <w:spacing w:val="-4"/>
                <w:sz w:val="20"/>
              </w:rPr>
              <w:t>7,95</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5091" w:type="dxa"/>
          </w:tcPr>
          <w:p>
            <w:pPr>
              <w:pStyle w:val="TableParagraph"/>
              <w:spacing w:line="210" w:lineRule="exact"/>
              <w:ind w:left="305"/>
              <w:rPr>
                <w:sz w:val="20"/>
              </w:rPr>
            </w:pPr>
            <w:r>
              <w:rPr>
                <w:sz w:val="20"/>
              </w:rPr>
              <w:t>C00.6,</w:t>
            </w:r>
            <w:r>
              <w:rPr>
                <w:spacing w:val="-6"/>
                <w:sz w:val="20"/>
              </w:rPr>
              <w:t> </w:t>
            </w:r>
            <w:r>
              <w:rPr>
                <w:sz w:val="20"/>
              </w:rPr>
              <w:t>C00.8,</w:t>
            </w:r>
            <w:r>
              <w:rPr>
                <w:spacing w:val="-4"/>
                <w:sz w:val="20"/>
              </w:rPr>
              <w:t> </w:t>
            </w:r>
            <w:r>
              <w:rPr>
                <w:sz w:val="20"/>
              </w:rPr>
              <w:t>C00.9,</w:t>
            </w:r>
            <w:r>
              <w:rPr>
                <w:spacing w:val="-4"/>
                <w:sz w:val="20"/>
              </w:rPr>
              <w:t> </w:t>
            </w:r>
            <w:r>
              <w:rPr>
                <w:sz w:val="20"/>
              </w:rPr>
              <w:t>C01,</w:t>
            </w:r>
            <w:r>
              <w:rPr>
                <w:spacing w:val="-3"/>
                <w:sz w:val="20"/>
              </w:rPr>
              <w:t> </w:t>
            </w:r>
            <w:r>
              <w:rPr>
                <w:sz w:val="20"/>
              </w:rPr>
              <w:t>C02,</w:t>
            </w:r>
            <w:r>
              <w:rPr>
                <w:spacing w:val="-4"/>
                <w:sz w:val="20"/>
              </w:rPr>
              <w:t> </w:t>
            </w:r>
            <w:r>
              <w:rPr>
                <w:sz w:val="20"/>
              </w:rPr>
              <w:t>C02.0,</w:t>
            </w:r>
            <w:r>
              <w:rPr>
                <w:spacing w:val="-5"/>
                <w:sz w:val="20"/>
              </w:rPr>
              <w:t> </w:t>
            </w:r>
            <w:r>
              <w:rPr>
                <w:spacing w:val="-2"/>
                <w:sz w:val="20"/>
              </w:rPr>
              <w:t>C02.1,</w:t>
            </w:r>
          </w:p>
        </w:tc>
        <w:tc>
          <w:tcPr>
            <w:tcW w:w="2217" w:type="dxa"/>
          </w:tcPr>
          <w:p>
            <w:pPr>
              <w:pStyle w:val="TableParagraph"/>
              <w:rPr>
                <w:sz w:val="16"/>
              </w:rPr>
            </w:pPr>
          </w:p>
        </w:tc>
        <w:tc>
          <w:tcPr>
            <w:tcW w:w="2899" w:type="dxa"/>
          </w:tcPr>
          <w:p>
            <w:pPr>
              <w:pStyle w:val="TableParagraph"/>
              <w:spacing w:line="210" w:lineRule="exact"/>
              <w:ind w:right="477"/>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09" w:lineRule="exact"/>
              <w:ind w:left="219"/>
              <w:rPr>
                <w:sz w:val="20"/>
              </w:rPr>
            </w:pPr>
            <w:r>
              <w:rPr>
                <w:w w:val="95"/>
                <w:sz w:val="20"/>
              </w:rPr>
              <w:t>новообразованиях</w:t>
            </w:r>
            <w:r>
              <w:rPr>
                <w:spacing w:val="57"/>
                <w:sz w:val="20"/>
              </w:rPr>
              <w:t> </w:t>
            </w:r>
            <w:r>
              <w:rPr>
                <w:spacing w:val="-2"/>
                <w:sz w:val="20"/>
              </w:rPr>
              <w:t>других</w:t>
            </w:r>
          </w:p>
        </w:tc>
        <w:tc>
          <w:tcPr>
            <w:tcW w:w="5091" w:type="dxa"/>
          </w:tcPr>
          <w:p>
            <w:pPr>
              <w:pStyle w:val="TableParagraph"/>
              <w:spacing w:line="209" w:lineRule="exact"/>
              <w:ind w:left="231"/>
              <w:rPr>
                <w:sz w:val="20"/>
              </w:rPr>
            </w:pPr>
            <w:r>
              <w:rPr>
                <w:sz w:val="20"/>
              </w:rPr>
              <w:t>C02.2,</w:t>
            </w:r>
            <w:r>
              <w:rPr>
                <w:spacing w:val="-4"/>
                <w:sz w:val="20"/>
              </w:rPr>
              <w:t> </w:t>
            </w:r>
            <w:r>
              <w:rPr>
                <w:sz w:val="20"/>
              </w:rPr>
              <w:t>C02.3,</w:t>
            </w:r>
            <w:r>
              <w:rPr>
                <w:spacing w:val="-3"/>
                <w:sz w:val="20"/>
              </w:rPr>
              <w:t> </w:t>
            </w:r>
            <w:r>
              <w:rPr>
                <w:sz w:val="20"/>
              </w:rPr>
              <w:t>C02.4,</w:t>
            </w:r>
            <w:r>
              <w:rPr>
                <w:spacing w:val="-3"/>
                <w:sz w:val="20"/>
              </w:rPr>
              <w:t> </w:t>
            </w:r>
            <w:r>
              <w:rPr>
                <w:sz w:val="20"/>
              </w:rPr>
              <w:t>C02.8,</w:t>
            </w:r>
            <w:r>
              <w:rPr>
                <w:spacing w:val="-7"/>
                <w:sz w:val="20"/>
              </w:rPr>
              <w:t> </w:t>
            </w:r>
            <w:r>
              <w:rPr>
                <w:sz w:val="20"/>
              </w:rPr>
              <w:t>C02.9,</w:t>
            </w:r>
            <w:r>
              <w:rPr>
                <w:spacing w:val="-3"/>
                <w:sz w:val="20"/>
              </w:rPr>
              <w:t> </w:t>
            </w:r>
            <w:r>
              <w:rPr>
                <w:sz w:val="20"/>
              </w:rPr>
              <w:t>C03,</w:t>
            </w:r>
            <w:r>
              <w:rPr>
                <w:spacing w:val="-3"/>
                <w:sz w:val="20"/>
              </w:rPr>
              <w:t> </w:t>
            </w:r>
            <w:r>
              <w:rPr>
                <w:spacing w:val="-2"/>
                <w:sz w:val="20"/>
              </w:rPr>
              <w:t>C03.0,</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09" w:lineRule="exact"/>
              <w:ind w:left="219"/>
              <w:rPr>
                <w:sz w:val="20"/>
              </w:rPr>
            </w:pPr>
            <w:r>
              <w:rPr>
                <w:sz w:val="20"/>
              </w:rPr>
              <w:t>локализаций</w:t>
            </w:r>
            <w:r>
              <w:rPr>
                <w:spacing w:val="-11"/>
                <w:sz w:val="20"/>
              </w:rPr>
              <w:t> </w:t>
            </w:r>
            <w:r>
              <w:rPr>
                <w:spacing w:val="-2"/>
                <w:sz w:val="20"/>
              </w:rPr>
              <w:t>(кроме</w:t>
            </w:r>
          </w:p>
        </w:tc>
        <w:tc>
          <w:tcPr>
            <w:tcW w:w="5091" w:type="dxa"/>
          </w:tcPr>
          <w:p>
            <w:pPr>
              <w:pStyle w:val="TableParagraph"/>
              <w:spacing w:line="209" w:lineRule="exact"/>
              <w:ind w:left="231"/>
              <w:rPr>
                <w:sz w:val="20"/>
              </w:rPr>
            </w:pPr>
            <w:r>
              <w:rPr>
                <w:sz w:val="20"/>
              </w:rPr>
              <w:t>C03.1,</w:t>
            </w:r>
            <w:r>
              <w:rPr>
                <w:spacing w:val="-4"/>
                <w:sz w:val="20"/>
              </w:rPr>
              <w:t> </w:t>
            </w:r>
            <w:r>
              <w:rPr>
                <w:sz w:val="20"/>
              </w:rPr>
              <w:t>C03.9,</w:t>
            </w:r>
            <w:r>
              <w:rPr>
                <w:spacing w:val="-4"/>
                <w:sz w:val="20"/>
              </w:rPr>
              <w:t> </w:t>
            </w:r>
            <w:r>
              <w:rPr>
                <w:sz w:val="20"/>
              </w:rPr>
              <w:t>C04,</w:t>
            </w:r>
            <w:r>
              <w:rPr>
                <w:spacing w:val="-4"/>
                <w:sz w:val="20"/>
              </w:rPr>
              <w:t> </w:t>
            </w:r>
            <w:r>
              <w:rPr>
                <w:sz w:val="20"/>
              </w:rPr>
              <w:t>C04.0,</w:t>
            </w:r>
            <w:r>
              <w:rPr>
                <w:spacing w:val="-4"/>
                <w:sz w:val="20"/>
              </w:rPr>
              <w:t> </w:t>
            </w:r>
            <w:r>
              <w:rPr>
                <w:sz w:val="20"/>
              </w:rPr>
              <w:t>C04.1,</w:t>
            </w:r>
            <w:r>
              <w:rPr>
                <w:spacing w:val="-3"/>
                <w:sz w:val="20"/>
              </w:rPr>
              <w:t> </w:t>
            </w:r>
            <w:r>
              <w:rPr>
                <w:sz w:val="20"/>
              </w:rPr>
              <w:t>C04.8,</w:t>
            </w:r>
            <w:r>
              <w:rPr>
                <w:spacing w:val="-4"/>
                <w:sz w:val="20"/>
              </w:rPr>
              <w:t> </w:t>
            </w:r>
            <w:r>
              <w:rPr>
                <w:spacing w:val="-2"/>
                <w:sz w:val="20"/>
              </w:rPr>
              <w:t>C04.9,</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z w:val="20"/>
              </w:rPr>
              <w:t>лимфоидной</w:t>
            </w:r>
            <w:r>
              <w:rPr>
                <w:spacing w:val="-10"/>
                <w:sz w:val="20"/>
              </w:rPr>
              <w:t> и</w:t>
            </w:r>
          </w:p>
        </w:tc>
        <w:tc>
          <w:tcPr>
            <w:tcW w:w="5091" w:type="dxa"/>
          </w:tcPr>
          <w:p>
            <w:pPr>
              <w:pStyle w:val="TableParagraph"/>
              <w:spacing w:line="210" w:lineRule="exact"/>
              <w:ind w:left="305"/>
              <w:rPr>
                <w:sz w:val="20"/>
              </w:rPr>
            </w:pPr>
            <w:r>
              <w:rPr>
                <w:sz w:val="20"/>
              </w:rPr>
              <w:t>C05,</w:t>
            </w:r>
            <w:r>
              <w:rPr>
                <w:spacing w:val="-4"/>
                <w:sz w:val="20"/>
              </w:rPr>
              <w:t> </w:t>
            </w:r>
            <w:r>
              <w:rPr>
                <w:sz w:val="20"/>
              </w:rPr>
              <w:t>C05.0,</w:t>
            </w:r>
            <w:r>
              <w:rPr>
                <w:spacing w:val="-4"/>
                <w:sz w:val="20"/>
              </w:rPr>
              <w:t> </w:t>
            </w:r>
            <w:r>
              <w:rPr>
                <w:sz w:val="20"/>
              </w:rPr>
              <w:t>C05.1,</w:t>
            </w:r>
            <w:r>
              <w:rPr>
                <w:spacing w:val="-4"/>
                <w:sz w:val="20"/>
              </w:rPr>
              <w:t> </w:t>
            </w:r>
            <w:r>
              <w:rPr>
                <w:sz w:val="20"/>
              </w:rPr>
              <w:t>C05.2,</w:t>
            </w:r>
            <w:r>
              <w:rPr>
                <w:spacing w:val="-4"/>
                <w:sz w:val="20"/>
              </w:rPr>
              <w:t> </w:t>
            </w:r>
            <w:r>
              <w:rPr>
                <w:sz w:val="20"/>
              </w:rPr>
              <w:t>C05.8,</w:t>
            </w:r>
            <w:r>
              <w:rPr>
                <w:spacing w:val="-3"/>
                <w:sz w:val="20"/>
              </w:rPr>
              <w:t> </w:t>
            </w:r>
            <w:r>
              <w:rPr>
                <w:sz w:val="20"/>
              </w:rPr>
              <w:t>C05.9,</w:t>
            </w:r>
            <w:r>
              <w:rPr>
                <w:spacing w:val="-4"/>
                <w:sz w:val="20"/>
              </w:rPr>
              <w:t> C06,</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pacing w:val="-2"/>
                <w:sz w:val="20"/>
              </w:rPr>
              <w:t>кроветворной</w:t>
            </w:r>
            <w:r>
              <w:rPr>
                <w:spacing w:val="9"/>
                <w:sz w:val="20"/>
              </w:rPr>
              <w:t> </w:t>
            </w:r>
            <w:r>
              <w:rPr>
                <w:spacing w:val="-2"/>
                <w:sz w:val="20"/>
              </w:rPr>
              <w:t>тканей),</w:t>
            </w:r>
          </w:p>
        </w:tc>
        <w:tc>
          <w:tcPr>
            <w:tcW w:w="5091" w:type="dxa"/>
          </w:tcPr>
          <w:p>
            <w:pPr>
              <w:pStyle w:val="TableParagraph"/>
              <w:spacing w:line="210" w:lineRule="exact"/>
              <w:ind w:left="305"/>
              <w:rPr>
                <w:sz w:val="20"/>
              </w:rPr>
            </w:pPr>
            <w:r>
              <w:rPr>
                <w:sz w:val="20"/>
              </w:rPr>
              <w:t>C06.0,</w:t>
            </w:r>
            <w:r>
              <w:rPr>
                <w:spacing w:val="-4"/>
                <w:sz w:val="20"/>
              </w:rPr>
              <w:t> </w:t>
            </w:r>
            <w:r>
              <w:rPr>
                <w:sz w:val="20"/>
              </w:rPr>
              <w:t>C06.1,</w:t>
            </w:r>
            <w:r>
              <w:rPr>
                <w:spacing w:val="-3"/>
                <w:sz w:val="20"/>
              </w:rPr>
              <w:t> </w:t>
            </w:r>
            <w:r>
              <w:rPr>
                <w:sz w:val="20"/>
              </w:rPr>
              <w:t>C06.2,</w:t>
            </w:r>
            <w:r>
              <w:rPr>
                <w:spacing w:val="-3"/>
                <w:sz w:val="20"/>
              </w:rPr>
              <w:t> </w:t>
            </w:r>
            <w:r>
              <w:rPr>
                <w:sz w:val="20"/>
              </w:rPr>
              <w:t>C06.8,</w:t>
            </w:r>
            <w:r>
              <w:rPr>
                <w:spacing w:val="-7"/>
                <w:sz w:val="20"/>
              </w:rPr>
              <w:t> </w:t>
            </w:r>
            <w:r>
              <w:rPr>
                <w:sz w:val="20"/>
              </w:rPr>
              <w:t>C06.9,</w:t>
            </w:r>
            <w:r>
              <w:rPr>
                <w:spacing w:val="-3"/>
                <w:sz w:val="20"/>
              </w:rPr>
              <w:t> </w:t>
            </w:r>
            <w:r>
              <w:rPr>
                <w:sz w:val="20"/>
              </w:rPr>
              <w:t>C07,</w:t>
            </w:r>
            <w:r>
              <w:rPr>
                <w:spacing w:val="-3"/>
                <w:sz w:val="20"/>
              </w:rPr>
              <w:t> </w:t>
            </w:r>
            <w:r>
              <w:rPr>
                <w:spacing w:val="-4"/>
                <w:sz w:val="20"/>
              </w:rPr>
              <w:t>C08,</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pacing w:val="-4"/>
                <w:sz w:val="20"/>
              </w:rPr>
              <w:t>дети</w:t>
            </w:r>
          </w:p>
        </w:tc>
        <w:tc>
          <w:tcPr>
            <w:tcW w:w="5091" w:type="dxa"/>
          </w:tcPr>
          <w:p>
            <w:pPr>
              <w:pStyle w:val="TableParagraph"/>
              <w:spacing w:line="210" w:lineRule="exact"/>
              <w:ind w:left="231"/>
              <w:rPr>
                <w:sz w:val="20"/>
              </w:rPr>
            </w:pPr>
            <w:r>
              <w:rPr>
                <w:sz w:val="20"/>
              </w:rPr>
              <w:t>C08.0,</w:t>
            </w:r>
            <w:r>
              <w:rPr>
                <w:spacing w:val="-4"/>
                <w:sz w:val="20"/>
              </w:rPr>
              <w:t> </w:t>
            </w:r>
            <w:r>
              <w:rPr>
                <w:sz w:val="20"/>
              </w:rPr>
              <w:t>C08.1,</w:t>
            </w:r>
            <w:r>
              <w:rPr>
                <w:spacing w:val="-3"/>
                <w:sz w:val="20"/>
              </w:rPr>
              <w:t> </w:t>
            </w:r>
            <w:r>
              <w:rPr>
                <w:sz w:val="20"/>
              </w:rPr>
              <w:t>C08.8,</w:t>
            </w:r>
            <w:r>
              <w:rPr>
                <w:spacing w:val="-3"/>
                <w:sz w:val="20"/>
              </w:rPr>
              <w:t> </w:t>
            </w:r>
            <w:r>
              <w:rPr>
                <w:sz w:val="20"/>
              </w:rPr>
              <w:t>C08.9,</w:t>
            </w:r>
            <w:r>
              <w:rPr>
                <w:spacing w:val="-7"/>
                <w:sz w:val="20"/>
              </w:rPr>
              <w:t> </w:t>
            </w:r>
            <w:r>
              <w:rPr>
                <w:sz w:val="20"/>
              </w:rPr>
              <w:t>C09,</w:t>
            </w:r>
            <w:r>
              <w:rPr>
                <w:spacing w:val="-4"/>
                <w:sz w:val="20"/>
              </w:rPr>
              <w:t> </w:t>
            </w:r>
            <w:r>
              <w:rPr>
                <w:sz w:val="20"/>
              </w:rPr>
              <w:t>C09.0,</w:t>
            </w:r>
            <w:r>
              <w:rPr>
                <w:spacing w:val="-3"/>
                <w:sz w:val="20"/>
              </w:rPr>
              <w:t> </w:t>
            </w:r>
            <w:r>
              <w:rPr>
                <w:spacing w:val="-2"/>
                <w:sz w:val="20"/>
              </w:rPr>
              <w:t>C09.1,</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C09.8,</w:t>
            </w:r>
            <w:r>
              <w:rPr>
                <w:spacing w:val="-4"/>
                <w:sz w:val="20"/>
              </w:rPr>
              <w:t> </w:t>
            </w:r>
            <w:r>
              <w:rPr>
                <w:sz w:val="20"/>
              </w:rPr>
              <w:t>C09.9,</w:t>
            </w:r>
            <w:r>
              <w:rPr>
                <w:spacing w:val="-4"/>
                <w:sz w:val="20"/>
              </w:rPr>
              <w:t> </w:t>
            </w:r>
            <w:r>
              <w:rPr>
                <w:sz w:val="20"/>
              </w:rPr>
              <w:t>C10,</w:t>
            </w:r>
            <w:r>
              <w:rPr>
                <w:spacing w:val="-4"/>
                <w:sz w:val="20"/>
              </w:rPr>
              <w:t> </w:t>
            </w:r>
            <w:r>
              <w:rPr>
                <w:sz w:val="20"/>
              </w:rPr>
              <w:t>C10.0,</w:t>
            </w:r>
            <w:r>
              <w:rPr>
                <w:spacing w:val="-4"/>
                <w:sz w:val="20"/>
              </w:rPr>
              <w:t> </w:t>
            </w:r>
            <w:r>
              <w:rPr>
                <w:sz w:val="20"/>
              </w:rPr>
              <w:t>C10.1,</w:t>
            </w:r>
            <w:r>
              <w:rPr>
                <w:spacing w:val="-3"/>
                <w:sz w:val="20"/>
              </w:rPr>
              <w:t> </w:t>
            </w:r>
            <w:r>
              <w:rPr>
                <w:sz w:val="20"/>
              </w:rPr>
              <w:t>C10.2,</w:t>
            </w:r>
            <w:r>
              <w:rPr>
                <w:spacing w:val="-4"/>
                <w:sz w:val="20"/>
              </w:rPr>
              <w:t> </w:t>
            </w:r>
            <w:r>
              <w:rPr>
                <w:spacing w:val="-2"/>
                <w:sz w:val="20"/>
              </w:rPr>
              <w:t>C10.3,</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231"/>
              <w:rPr>
                <w:sz w:val="20"/>
              </w:rPr>
            </w:pPr>
            <w:r>
              <w:rPr>
                <w:sz w:val="20"/>
              </w:rPr>
              <w:t>C10.4,</w:t>
            </w:r>
            <w:r>
              <w:rPr>
                <w:spacing w:val="-5"/>
                <w:sz w:val="20"/>
              </w:rPr>
              <w:t> </w:t>
            </w:r>
            <w:r>
              <w:rPr>
                <w:sz w:val="20"/>
              </w:rPr>
              <w:t>C10.8,</w:t>
            </w:r>
            <w:r>
              <w:rPr>
                <w:spacing w:val="-4"/>
                <w:sz w:val="20"/>
              </w:rPr>
              <w:t> </w:t>
            </w:r>
            <w:r>
              <w:rPr>
                <w:sz w:val="20"/>
              </w:rPr>
              <w:t>C10.9,</w:t>
            </w:r>
            <w:r>
              <w:rPr>
                <w:spacing w:val="-4"/>
                <w:sz w:val="20"/>
              </w:rPr>
              <w:t> </w:t>
            </w:r>
            <w:r>
              <w:rPr>
                <w:sz w:val="20"/>
              </w:rPr>
              <w:t>C11,</w:t>
            </w:r>
            <w:r>
              <w:rPr>
                <w:spacing w:val="-4"/>
                <w:sz w:val="20"/>
              </w:rPr>
              <w:t> </w:t>
            </w:r>
            <w:r>
              <w:rPr>
                <w:sz w:val="20"/>
              </w:rPr>
              <w:t>C11.0,</w:t>
            </w:r>
            <w:r>
              <w:rPr>
                <w:spacing w:val="-3"/>
                <w:sz w:val="20"/>
              </w:rPr>
              <w:t> </w:t>
            </w:r>
            <w:r>
              <w:rPr>
                <w:sz w:val="20"/>
              </w:rPr>
              <w:t>C11.1,</w:t>
            </w:r>
            <w:r>
              <w:rPr>
                <w:spacing w:val="-4"/>
                <w:sz w:val="20"/>
              </w:rPr>
              <w:t> </w:t>
            </w:r>
            <w:r>
              <w:rPr>
                <w:spacing w:val="-2"/>
                <w:sz w:val="20"/>
              </w:rPr>
              <w:t>C11.2,</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305"/>
              <w:rPr>
                <w:sz w:val="20"/>
              </w:rPr>
            </w:pPr>
            <w:r>
              <w:rPr>
                <w:sz w:val="20"/>
              </w:rPr>
              <w:t>C11.3,</w:t>
            </w:r>
            <w:r>
              <w:rPr>
                <w:spacing w:val="-6"/>
                <w:sz w:val="20"/>
              </w:rPr>
              <w:t> </w:t>
            </w:r>
            <w:r>
              <w:rPr>
                <w:sz w:val="20"/>
              </w:rPr>
              <w:t>C11.8,</w:t>
            </w:r>
            <w:r>
              <w:rPr>
                <w:spacing w:val="-4"/>
                <w:sz w:val="20"/>
              </w:rPr>
              <w:t> </w:t>
            </w:r>
            <w:r>
              <w:rPr>
                <w:sz w:val="20"/>
              </w:rPr>
              <w:t>C11.9,</w:t>
            </w:r>
            <w:r>
              <w:rPr>
                <w:spacing w:val="-4"/>
                <w:sz w:val="20"/>
              </w:rPr>
              <w:t> </w:t>
            </w:r>
            <w:r>
              <w:rPr>
                <w:sz w:val="20"/>
              </w:rPr>
              <w:t>C12,</w:t>
            </w:r>
            <w:r>
              <w:rPr>
                <w:spacing w:val="-3"/>
                <w:sz w:val="20"/>
              </w:rPr>
              <w:t> </w:t>
            </w:r>
            <w:r>
              <w:rPr>
                <w:sz w:val="20"/>
              </w:rPr>
              <w:t>C13,</w:t>
            </w:r>
            <w:r>
              <w:rPr>
                <w:spacing w:val="-4"/>
                <w:sz w:val="20"/>
              </w:rPr>
              <w:t> </w:t>
            </w:r>
            <w:r>
              <w:rPr>
                <w:sz w:val="20"/>
              </w:rPr>
              <w:t>C13.0,</w:t>
            </w:r>
            <w:r>
              <w:rPr>
                <w:spacing w:val="-5"/>
                <w:sz w:val="20"/>
              </w:rPr>
              <w:t> </w:t>
            </w:r>
            <w:r>
              <w:rPr>
                <w:spacing w:val="-2"/>
                <w:sz w:val="20"/>
              </w:rPr>
              <w:t>C13.1,</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1" w:lineRule="exact"/>
              <w:ind w:left="231"/>
              <w:rPr>
                <w:sz w:val="20"/>
              </w:rPr>
            </w:pPr>
            <w:r>
              <w:rPr>
                <w:sz w:val="20"/>
              </w:rPr>
              <w:t>C13.2,</w:t>
            </w:r>
            <w:r>
              <w:rPr>
                <w:spacing w:val="-5"/>
                <w:sz w:val="20"/>
              </w:rPr>
              <w:t> </w:t>
            </w:r>
            <w:r>
              <w:rPr>
                <w:sz w:val="20"/>
              </w:rPr>
              <w:t>C13.8,</w:t>
            </w:r>
            <w:r>
              <w:rPr>
                <w:spacing w:val="-4"/>
                <w:sz w:val="20"/>
              </w:rPr>
              <w:t> </w:t>
            </w:r>
            <w:r>
              <w:rPr>
                <w:sz w:val="20"/>
              </w:rPr>
              <w:t>C13.9,</w:t>
            </w:r>
            <w:r>
              <w:rPr>
                <w:spacing w:val="-4"/>
                <w:sz w:val="20"/>
              </w:rPr>
              <w:t> </w:t>
            </w:r>
            <w:r>
              <w:rPr>
                <w:sz w:val="20"/>
              </w:rPr>
              <w:t>C14,</w:t>
            </w:r>
            <w:r>
              <w:rPr>
                <w:spacing w:val="-4"/>
                <w:sz w:val="20"/>
              </w:rPr>
              <w:t> </w:t>
            </w:r>
            <w:r>
              <w:rPr>
                <w:sz w:val="20"/>
              </w:rPr>
              <w:t>C14.0,</w:t>
            </w:r>
            <w:r>
              <w:rPr>
                <w:spacing w:val="-3"/>
                <w:sz w:val="20"/>
              </w:rPr>
              <w:t> </w:t>
            </w:r>
            <w:r>
              <w:rPr>
                <w:sz w:val="20"/>
              </w:rPr>
              <w:t>C14.2,</w:t>
            </w:r>
            <w:r>
              <w:rPr>
                <w:spacing w:val="-4"/>
                <w:sz w:val="20"/>
              </w:rPr>
              <w:t> </w:t>
            </w:r>
            <w:r>
              <w:rPr>
                <w:spacing w:val="-2"/>
                <w:sz w:val="20"/>
              </w:rPr>
              <w:t>C14.8,</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C15,</w:t>
            </w:r>
            <w:r>
              <w:rPr>
                <w:spacing w:val="-4"/>
                <w:sz w:val="20"/>
              </w:rPr>
              <w:t> </w:t>
            </w:r>
            <w:r>
              <w:rPr>
                <w:sz w:val="20"/>
              </w:rPr>
              <w:t>C15.0,</w:t>
            </w:r>
            <w:r>
              <w:rPr>
                <w:spacing w:val="-4"/>
                <w:sz w:val="20"/>
              </w:rPr>
              <w:t> </w:t>
            </w:r>
            <w:r>
              <w:rPr>
                <w:sz w:val="20"/>
              </w:rPr>
              <w:t>C15.1,</w:t>
            </w:r>
            <w:r>
              <w:rPr>
                <w:spacing w:val="-4"/>
                <w:sz w:val="20"/>
              </w:rPr>
              <w:t> </w:t>
            </w:r>
            <w:r>
              <w:rPr>
                <w:sz w:val="20"/>
              </w:rPr>
              <w:t>C15.2,</w:t>
            </w:r>
            <w:r>
              <w:rPr>
                <w:spacing w:val="-4"/>
                <w:sz w:val="20"/>
              </w:rPr>
              <w:t> </w:t>
            </w:r>
            <w:r>
              <w:rPr>
                <w:sz w:val="20"/>
              </w:rPr>
              <w:t>C15.3,</w:t>
            </w:r>
            <w:r>
              <w:rPr>
                <w:spacing w:val="-3"/>
                <w:sz w:val="20"/>
              </w:rPr>
              <w:t> </w:t>
            </w:r>
            <w:r>
              <w:rPr>
                <w:sz w:val="20"/>
              </w:rPr>
              <w:t>C15.4,</w:t>
            </w:r>
            <w:r>
              <w:rPr>
                <w:spacing w:val="-4"/>
                <w:sz w:val="20"/>
              </w:rPr>
              <w:t> </w:t>
            </w:r>
            <w:r>
              <w:rPr>
                <w:spacing w:val="-2"/>
                <w:sz w:val="20"/>
              </w:rPr>
              <w:t>C15.5,</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C15.8,</w:t>
            </w:r>
            <w:r>
              <w:rPr>
                <w:spacing w:val="-4"/>
                <w:sz w:val="20"/>
              </w:rPr>
              <w:t> </w:t>
            </w:r>
            <w:r>
              <w:rPr>
                <w:sz w:val="20"/>
              </w:rPr>
              <w:t>C15.9,</w:t>
            </w:r>
            <w:r>
              <w:rPr>
                <w:spacing w:val="-4"/>
                <w:sz w:val="20"/>
              </w:rPr>
              <w:t> </w:t>
            </w:r>
            <w:r>
              <w:rPr>
                <w:sz w:val="20"/>
              </w:rPr>
              <w:t>C16,</w:t>
            </w:r>
            <w:r>
              <w:rPr>
                <w:spacing w:val="-4"/>
                <w:sz w:val="20"/>
              </w:rPr>
              <w:t> </w:t>
            </w:r>
            <w:r>
              <w:rPr>
                <w:sz w:val="20"/>
              </w:rPr>
              <w:t>C16.0,</w:t>
            </w:r>
            <w:r>
              <w:rPr>
                <w:spacing w:val="-4"/>
                <w:sz w:val="20"/>
              </w:rPr>
              <w:t> </w:t>
            </w:r>
            <w:r>
              <w:rPr>
                <w:sz w:val="20"/>
              </w:rPr>
              <w:t>C16.1,</w:t>
            </w:r>
            <w:r>
              <w:rPr>
                <w:spacing w:val="-3"/>
                <w:sz w:val="20"/>
              </w:rPr>
              <w:t> </w:t>
            </w:r>
            <w:r>
              <w:rPr>
                <w:sz w:val="20"/>
              </w:rPr>
              <w:t>C16.2,</w:t>
            </w:r>
            <w:r>
              <w:rPr>
                <w:spacing w:val="-4"/>
                <w:sz w:val="20"/>
              </w:rPr>
              <w:t> </w:t>
            </w:r>
            <w:r>
              <w:rPr>
                <w:spacing w:val="-2"/>
                <w:sz w:val="20"/>
              </w:rPr>
              <w:t>C16.3,</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C16.4,</w:t>
            </w:r>
            <w:r>
              <w:rPr>
                <w:spacing w:val="-4"/>
                <w:sz w:val="20"/>
              </w:rPr>
              <w:t> </w:t>
            </w:r>
            <w:r>
              <w:rPr>
                <w:sz w:val="20"/>
              </w:rPr>
              <w:t>C16.5,</w:t>
            </w:r>
            <w:r>
              <w:rPr>
                <w:spacing w:val="-3"/>
                <w:sz w:val="20"/>
              </w:rPr>
              <w:t> </w:t>
            </w:r>
            <w:r>
              <w:rPr>
                <w:sz w:val="20"/>
              </w:rPr>
              <w:t>C16.6,</w:t>
            </w:r>
            <w:r>
              <w:rPr>
                <w:spacing w:val="-3"/>
                <w:sz w:val="20"/>
              </w:rPr>
              <w:t> </w:t>
            </w:r>
            <w:r>
              <w:rPr>
                <w:sz w:val="20"/>
              </w:rPr>
              <w:t>C16.8,</w:t>
            </w:r>
            <w:r>
              <w:rPr>
                <w:spacing w:val="-7"/>
                <w:sz w:val="20"/>
              </w:rPr>
              <w:t> </w:t>
            </w:r>
            <w:r>
              <w:rPr>
                <w:sz w:val="20"/>
              </w:rPr>
              <w:t>C16.9,</w:t>
            </w:r>
            <w:r>
              <w:rPr>
                <w:spacing w:val="-3"/>
                <w:sz w:val="20"/>
              </w:rPr>
              <w:t> </w:t>
            </w:r>
            <w:r>
              <w:rPr>
                <w:sz w:val="20"/>
              </w:rPr>
              <w:t>C17,</w:t>
            </w:r>
            <w:r>
              <w:rPr>
                <w:spacing w:val="-3"/>
                <w:sz w:val="20"/>
              </w:rPr>
              <w:t> </w:t>
            </w:r>
            <w:r>
              <w:rPr>
                <w:spacing w:val="-2"/>
                <w:sz w:val="20"/>
              </w:rPr>
              <w:t>C17.0,</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231"/>
              <w:rPr>
                <w:sz w:val="20"/>
              </w:rPr>
            </w:pPr>
            <w:r>
              <w:rPr>
                <w:sz w:val="20"/>
              </w:rPr>
              <w:t>C17.1,</w:t>
            </w:r>
            <w:r>
              <w:rPr>
                <w:spacing w:val="-4"/>
                <w:sz w:val="20"/>
              </w:rPr>
              <w:t> </w:t>
            </w:r>
            <w:r>
              <w:rPr>
                <w:sz w:val="20"/>
              </w:rPr>
              <w:t>C17.2,</w:t>
            </w:r>
            <w:r>
              <w:rPr>
                <w:spacing w:val="-3"/>
                <w:sz w:val="20"/>
              </w:rPr>
              <w:t> </w:t>
            </w:r>
            <w:r>
              <w:rPr>
                <w:sz w:val="20"/>
              </w:rPr>
              <w:t>C17.3,</w:t>
            </w:r>
            <w:r>
              <w:rPr>
                <w:spacing w:val="-3"/>
                <w:sz w:val="20"/>
              </w:rPr>
              <w:t> </w:t>
            </w:r>
            <w:r>
              <w:rPr>
                <w:sz w:val="20"/>
              </w:rPr>
              <w:t>C17.8,</w:t>
            </w:r>
            <w:r>
              <w:rPr>
                <w:spacing w:val="-7"/>
                <w:sz w:val="20"/>
              </w:rPr>
              <w:t> </w:t>
            </w:r>
            <w:r>
              <w:rPr>
                <w:sz w:val="20"/>
              </w:rPr>
              <w:t>C17.9,</w:t>
            </w:r>
            <w:r>
              <w:rPr>
                <w:spacing w:val="-3"/>
                <w:sz w:val="20"/>
              </w:rPr>
              <w:t> </w:t>
            </w:r>
            <w:r>
              <w:rPr>
                <w:sz w:val="20"/>
              </w:rPr>
              <w:t>C18,</w:t>
            </w:r>
            <w:r>
              <w:rPr>
                <w:spacing w:val="-3"/>
                <w:sz w:val="20"/>
              </w:rPr>
              <w:t> </w:t>
            </w:r>
            <w:r>
              <w:rPr>
                <w:spacing w:val="-2"/>
                <w:sz w:val="20"/>
              </w:rPr>
              <w:t>C18.0,</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157"/>
              <w:rPr>
                <w:sz w:val="20"/>
              </w:rPr>
            </w:pPr>
            <w:r>
              <w:rPr>
                <w:sz w:val="20"/>
              </w:rPr>
              <w:t>C18.1,</w:t>
            </w:r>
            <w:r>
              <w:rPr>
                <w:spacing w:val="-6"/>
                <w:sz w:val="20"/>
              </w:rPr>
              <w:t> </w:t>
            </w:r>
            <w:r>
              <w:rPr>
                <w:sz w:val="20"/>
              </w:rPr>
              <w:t>C18.2,</w:t>
            </w:r>
            <w:r>
              <w:rPr>
                <w:spacing w:val="-4"/>
                <w:sz w:val="20"/>
              </w:rPr>
              <w:t> </w:t>
            </w:r>
            <w:r>
              <w:rPr>
                <w:sz w:val="20"/>
              </w:rPr>
              <w:t>C18.3,</w:t>
            </w:r>
            <w:r>
              <w:rPr>
                <w:spacing w:val="-4"/>
                <w:sz w:val="20"/>
              </w:rPr>
              <w:t> </w:t>
            </w:r>
            <w:r>
              <w:rPr>
                <w:sz w:val="20"/>
              </w:rPr>
              <w:t>C18.4,</w:t>
            </w:r>
            <w:r>
              <w:rPr>
                <w:spacing w:val="-8"/>
                <w:sz w:val="20"/>
              </w:rPr>
              <w:t> </w:t>
            </w:r>
            <w:r>
              <w:rPr>
                <w:sz w:val="20"/>
              </w:rPr>
              <w:t>C18.5,</w:t>
            </w:r>
            <w:r>
              <w:rPr>
                <w:spacing w:val="-3"/>
                <w:sz w:val="20"/>
              </w:rPr>
              <w:t> </w:t>
            </w:r>
            <w:r>
              <w:rPr>
                <w:sz w:val="20"/>
              </w:rPr>
              <w:t>C18.6,</w:t>
            </w:r>
            <w:r>
              <w:rPr>
                <w:spacing w:val="-3"/>
                <w:sz w:val="20"/>
              </w:rPr>
              <w:t> </w:t>
            </w:r>
            <w:r>
              <w:rPr>
                <w:spacing w:val="-2"/>
                <w:sz w:val="20"/>
              </w:rPr>
              <w:t>C18.7,</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380"/>
              <w:rPr>
                <w:sz w:val="20"/>
              </w:rPr>
            </w:pPr>
            <w:r>
              <w:rPr>
                <w:sz w:val="20"/>
              </w:rPr>
              <w:t>C18.8,</w:t>
            </w:r>
            <w:r>
              <w:rPr>
                <w:spacing w:val="-3"/>
                <w:sz w:val="20"/>
              </w:rPr>
              <w:t> </w:t>
            </w:r>
            <w:r>
              <w:rPr>
                <w:sz w:val="20"/>
              </w:rPr>
              <w:t>C18.9,</w:t>
            </w:r>
            <w:r>
              <w:rPr>
                <w:spacing w:val="-3"/>
                <w:sz w:val="20"/>
              </w:rPr>
              <w:t> </w:t>
            </w:r>
            <w:r>
              <w:rPr>
                <w:sz w:val="20"/>
              </w:rPr>
              <w:t>C19,</w:t>
            </w:r>
            <w:r>
              <w:rPr>
                <w:spacing w:val="-2"/>
                <w:sz w:val="20"/>
              </w:rPr>
              <w:t> </w:t>
            </w:r>
            <w:r>
              <w:rPr>
                <w:sz w:val="20"/>
              </w:rPr>
              <w:t>C20,</w:t>
            </w:r>
            <w:r>
              <w:rPr>
                <w:spacing w:val="-5"/>
                <w:sz w:val="20"/>
              </w:rPr>
              <w:t> </w:t>
            </w:r>
            <w:r>
              <w:rPr>
                <w:sz w:val="20"/>
              </w:rPr>
              <w:t>C21,</w:t>
            </w:r>
            <w:r>
              <w:rPr>
                <w:spacing w:val="-4"/>
                <w:sz w:val="20"/>
              </w:rPr>
              <w:t> </w:t>
            </w:r>
            <w:r>
              <w:rPr>
                <w:sz w:val="20"/>
              </w:rPr>
              <w:t>C21.0,</w:t>
            </w:r>
            <w:r>
              <w:rPr>
                <w:spacing w:val="-2"/>
                <w:sz w:val="20"/>
              </w:rPr>
              <w:t> C21.1,</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5" w:lineRule="exact"/>
              <w:ind w:left="231"/>
              <w:rPr>
                <w:sz w:val="20"/>
              </w:rPr>
            </w:pPr>
            <w:r>
              <w:rPr>
                <w:sz w:val="20"/>
              </w:rPr>
              <w:t>C21.2,</w:t>
            </w:r>
            <w:r>
              <w:rPr>
                <w:spacing w:val="-4"/>
                <w:sz w:val="20"/>
              </w:rPr>
              <w:t> </w:t>
            </w:r>
            <w:r>
              <w:rPr>
                <w:sz w:val="20"/>
              </w:rPr>
              <w:t>C21.8,</w:t>
            </w:r>
            <w:r>
              <w:rPr>
                <w:spacing w:val="-4"/>
                <w:sz w:val="20"/>
              </w:rPr>
              <w:t> </w:t>
            </w:r>
            <w:r>
              <w:rPr>
                <w:sz w:val="20"/>
              </w:rPr>
              <w:t>C22,</w:t>
            </w:r>
            <w:r>
              <w:rPr>
                <w:spacing w:val="-4"/>
                <w:sz w:val="20"/>
              </w:rPr>
              <w:t> </w:t>
            </w:r>
            <w:r>
              <w:rPr>
                <w:sz w:val="20"/>
              </w:rPr>
              <w:t>C22.0,</w:t>
            </w:r>
            <w:r>
              <w:rPr>
                <w:spacing w:val="-4"/>
                <w:sz w:val="20"/>
              </w:rPr>
              <w:t> </w:t>
            </w:r>
            <w:r>
              <w:rPr>
                <w:sz w:val="20"/>
              </w:rPr>
              <w:t>C22.1,</w:t>
            </w:r>
            <w:r>
              <w:rPr>
                <w:spacing w:val="-3"/>
                <w:sz w:val="20"/>
              </w:rPr>
              <w:t> </w:t>
            </w:r>
            <w:r>
              <w:rPr>
                <w:sz w:val="20"/>
              </w:rPr>
              <w:t>C22.2,</w:t>
            </w:r>
            <w:r>
              <w:rPr>
                <w:spacing w:val="-4"/>
                <w:sz w:val="20"/>
              </w:rPr>
              <w:t> </w:t>
            </w:r>
            <w:r>
              <w:rPr>
                <w:spacing w:val="-2"/>
                <w:sz w:val="20"/>
              </w:rPr>
              <w:t>C22.3,</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717" w:right="0" w:firstLine="0"/>
        <w:jc w:val="left"/>
        <w:rPr>
          <w:sz w:val="20"/>
        </w:rPr>
      </w:pPr>
      <w:r>
        <w:rPr>
          <w:sz w:val="20"/>
        </w:rPr>
        <w:t>C22.4,</w:t>
      </w:r>
      <w:r>
        <w:rPr>
          <w:spacing w:val="-6"/>
          <w:sz w:val="20"/>
        </w:rPr>
        <w:t> </w:t>
      </w:r>
      <w:r>
        <w:rPr>
          <w:sz w:val="20"/>
        </w:rPr>
        <w:t>C22.7,</w:t>
      </w:r>
      <w:r>
        <w:rPr>
          <w:spacing w:val="-4"/>
          <w:sz w:val="20"/>
        </w:rPr>
        <w:t> </w:t>
      </w:r>
      <w:r>
        <w:rPr>
          <w:sz w:val="20"/>
        </w:rPr>
        <w:t>C22.9,</w:t>
      </w:r>
      <w:r>
        <w:rPr>
          <w:spacing w:val="-4"/>
          <w:sz w:val="20"/>
        </w:rPr>
        <w:t> </w:t>
      </w:r>
      <w:r>
        <w:rPr>
          <w:sz w:val="20"/>
        </w:rPr>
        <w:t>C23,</w:t>
      </w:r>
      <w:r>
        <w:rPr>
          <w:spacing w:val="-3"/>
          <w:sz w:val="20"/>
        </w:rPr>
        <w:t> </w:t>
      </w:r>
      <w:r>
        <w:rPr>
          <w:sz w:val="20"/>
        </w:rPr>
        <w:t>C24,</w:t>
      </w:r>
      <w:r>
        <w:rPr>
          <w:spacing w:val="-4"/>
          <w:sz w:val="20"/>
        </w:rPr>
        <w:t> </w:t>
      </w:r>
      <w:r>
        <w:rPr>
          <w:sz w:val="20"/>
        </w:rPr>
        <w:t>C24.0,</w:t>
      </w:r>
      <w:r>
        <w:rPr>
          <w:spacing w:val="-5"/>
          <w:sz w:val="20"/>
        </w:rPr>
        <w:t> </w:t>
      </w:r>
      <w:r>
        <w:rPr>
          <w:spacing w:val="-2"/>
          <w:sz w:val="20"/>
        </w:rPr>
        <w:t>C24.1,</w:t>
      </w:r>
    </w:p>
    <w:p>
      <w:pPr>
        <w:spacing w:line="229" w:lineRule="exact" w:before="1"/>
        <w:ind w:left="4643" w:right="0" w:firstLine="0"/>
        <w:jc w:val="left"/>
        <w:rPr>
          <w:sz w:val="20"/>
        </w:rPr>
      </w:pPr>
      <w:r>
        <w:rPr>
          <w:sz w:val="20"/>
        </w:rPr>
        <w:t>C24.8,</w:t>
      </w:r>
      <w:r>
        <w:rPr>
          <w:spacing w:val="-4"/>
          <w:sz w:val="20"/>
        </w:rPr>
        <w:t> </w:t>
      </w:r>
      <w:r>
        <w:rPr>
          <w:sz w:val="20"/>
        </w:rPr>
        <w:t>C24.9,</w:t>
      </w:r>
      <w:r>
        <w:rPr>
          <w:spacing w:val="-4"/>
          <w:sz w:val="20"/>
        </w:rPr>
        <w:t> </w:t>
      </w:r>
      <w:r>
        <w:rPr>
          <w:sz w:val="20"/>
        </w:rPr>
        <w:t>C25,</w:t>
      </w:r>
      <w:r>
        <w:rPr>
          <w:spacing w:val="-4"/>
          <w:sz w:val="20"/>
        </w:rPr>
        <w:t> </w:t>
      </w:r>
      <w:r>
        <w:rPr>
          <w:sz w:val="20"/>
        </w:rPr>
        <w:t>C25.0,</w:t>
      </w:r>
      <w:r>
        <w:rPr>
          <w:spacing w:val="-4"/>
          <w:sz w:val="20"/>
        </w:rPr>
        <w:t> </w:t>
      </w:r>
      <w:r>
        <w:rPr>
          <w:sz w:val="20"/>
        </w:rPr>
        <w:t>C25.1,</w:t>
      </w:r>
      <w:r>
        <w:rPr>
          <w:spacing w:val="-3"/>
          <w:sz w:val="20"/>
        </w:rPr>
        <w:t> </w:t>
      </w:r>
      <w:r>
        <w:rPr>
          <w:sz w:val="20"/>
        </w:rPr>
        <w:t>C25.2,</w:t>
      </w:r>
      <w:r>
        <w:rPr>
          <w:spacing w:val="-4"/>
          <w:sz w:val="20"/>
        </w:rPr>
        <w:t> </w:t>
      </w:r>
      <w:r>
        <w:rPr>
          <w:spacing w:val="-2"/>
          <w:sz w:val="20"/>
        </w:rPr>
        <w:t>C25.3,</w:t>
      </w:r>
    </w:p>
    <w:p>
      <w:pPr>
        <w:spacing w:line="229" w:lineRule="exact" w:before="0"/>
        <w:ind w:left="4643" w:right="0" w:firstLine="0"/>
        <w:jc w:val="left"/>
        <w:rPr>
          <w:sz w:val="20"/>
        </w:rPr>
      </w:pPr>
      <w:r>
        <w:rPr>
          <w:sz w:val="20"/>
        </w:rPr>
        <w:t>C25.4,</w:t>
      </w:r>
      <w:r>
        <w:rPr>
          <w:spacing w:val="-4"/>
          <w:sz w:val="20"/>
        </w:rPr>
        <w:t> </w:t>
      </w:r>
      <w:r>
        <w:rPr>
          <w:sz w:val="20"/>
        </w:rPr>
        <w:t>C25.7,</w:t>
      </w:r>
      <w:r>
        <w:rPr>
          <w:spacing w:val="-3"/>
          <w:sz w:val="20"/>
        </w:rPr>
        <w:t> </w:t>
      </w:r>
      <w:r>
        <w:rPr>
          <w:sz w:val="20"/>
        </w:rPr>
        <w:t>C25.8,</w:t>
      </w:r>
      <w:r>
        <w:rPr>
          <w:spacing w:val="-3"/>
          <w:sz w:val="20"/>
        </w:rPr>
        <w:t> </w:t>
      </w:r>
      <w:r>
        <w:rPr>
          <w:sz w:val="20"/>
        </w:rPr>
        <w:t>C25.9,</w:t>
      </w:r>
      <w:r>
        <w:rPr>
          <w:spacing w:val="-7"/>
          <w:sz w:val="20"/>
        </w:rPr>
        <w:t> </w:t>
      </w:r>
      <w:r>
        <w:rPr>
          <w:sz w:val="20"/>
        </w:rPr>
        <w:t>C26,</w:t>
      </w:r>
      <w:r>
        <w:rPr>
          <w:spacing w:val="-4"/>
          <w:sz w:val="20"/>
        </w:rPr>
        <w:t> </w:t>
      </w:r>
      <w:r>
        <w:rPr>
          <w:sz w:val="20"/>
        </w:rPr>
        <w:t>C26.0,</w:t>
      </w:r>
      <w:r>
        <w:rPr>
          <w:spacing w:val="-3"/>
          <w:sz w:val="20"/>
        </w:rPr>
        <w:t> </w:t>
      </w:r>
      <w:r>
        <w:rPr>
          <w:spacing w:val="-2"/>
          <w:sz w:val="20"/>
        </w:rPr>
        <w:t>C26.1,</w:t>
      </w:r>
    </w:p>
    <w:p>
      <w:pPr>
        <w:spacing w:before="0"/>
        <w:ind w:left="4717" w:right="0" w:firstLine="0"/>
        <w:jc w:val="left"/>
        <w:rPr>
          <w:sz w:val="20"/>
        </w:rPr>
      </w:pPr>
      <w:r>
        <w:rPr>
          <w:sz w:val="20"/>
        </w:rPr>
        <w:t>C26.8,</w:t>
      </w:r>
      <w:r>
        <w:rPr>
          <w:spacing w:val="-6"/>
          <w:sz w:val="20"/>
        </w:rPr>
        <w:t> </w:t>
      </w:r>
      <w:r>
        <w:rPr>
          <w:sz w:val="20"/>
        </w:rPr>
        <w:t>C26.9,</w:t>
      </w:r>
      <w:r>
        <w:rPr>
          <w:spacing w:val="-4"/>
          <w:sz w:val="20"/>
        </w:rPr>
        <w:t> </w:t>
      </w:r>
      <w:r>
        <w:rPr>
          <w:sz w:val="20"/>
        </w:rPr>
        <w:t>C30,</w:t>
      </w:r>
      <w:r>
        <w:rPr>
          <w:spacing w:val="-3"/>
          <w:sz w:val="20"/>
        </w:rPr>
        <w:t> </w:t>
      </w:r>
      <w:r>
        <w:rPr>
          <w:sz w:val="20"/>
        </w:rPr>
        <w:t>C30.0,</w:t>
      </w:r>
      <w:r>
        <w:rPr>
          <w:spacing w:val="-4"/>
          <w:sz w:val="20"/>
        </w:rPr>
        <w:t> </w:t>
      </w:r>
      <w:r>
        <w:rPr>
          <w:sz w:val="20"/>
        </w:rPr>
        <w:t>C30.1,</w:t>
      </w:r>
      <w:r>
        <w:rPr>
          <w:spacing w:val="-2"/>
          <w:sz w:val="20"/>
        </w:rPr>
        <w:t> </w:t>
      </w:r>
      <w:r>
        <w:rPr>
          <w:sz w:val="20"/>
        </w:rPr>
        <w:t>C31,</w:t>
      </w:r>
      <w:r>
        <w:rPr>
          <w:spacing w:val="-5"/>
          <w:sz w:val="20"/>
        </w:rPr>
        <w:t> </w:t>
      </w:r>
      <w:r>
        <w:rPr>
          <w:spacing w:val="-2"/>
          <w:sz w:val="20"/>
        </w:rPr>
        <w:t>C31.0,</w:t>
      </w:r>
    </w:p>
    <w:p>
      <w:pPr>
        <w:spacing w:before="1"/>
        <w:ind w:left="4643" w:right="0" w:firstLine="0"/>
        <w:jc w:val="left"/>
        <w:rPr>
          <w:sz w:val="20"/>
        </w:rPr>
      </w:pPr>
      <w:r>
        <w:rPr>
          <w:sz w:val="20"/>
        </w:rPr>
        <w:t>C31.1,</w:t>
      </w:r>
      <w:r>
        <w:rPr>
          <w:spacing w:val="-4"/>
          <w:sz w:val="20"/>
        </w:rPr>
        <w:t> </w:t>
      </w:r>
      <w:r>
        <w:rPr>
          <w:sz w:val="20"/>
        </w:rPr>
        <w:t>C31.2,</w:t>
      </w:r>
      <w:r>
        <w:rPr>
          <w:spacing w:val="-3"/>
          <w:sz w:val="20"/>
        </w:rPr>
        <w:t> </w:t>
      </w:r>
      <w:r>
        <w:rPr>
          <w:sz w:val="20"/>
        </w:rPr>
        <w:t>C31.3,</w:t>
      </w:r>
      <w:r>
        <w:rPr>
          <w:spacing w:val="-3"/>
          <w:sz w:val="20"/>
        </w:rPr>
        <w:t> </w:t>
      </w:r>
      <w:r>
        <w:rPr>
          <w:sz w:val="20"/>
        </w:rPr>
        <w:t>C31.8,</w:t>
      </w:r>
      <w:r>
        <w:rPr>
          <w:spacing w:val="-7"/>
          <w:sz w:val="20"/>
        </w:rPr>
        <w:t> </w:t>
      </w:r>
      <w:r>
        <w:rPr>
          <w:sz w:val="20"/>
        </w:rPr>
        <w:t>C31.9,</w:t>
      </w:r>
      <w:r>
        <w:rPr>
          <w:spacing w:val="-3"/>
          <w:sz w:val="20"/>
        </w:rPr>
        <w:t> </w:t>
      </w:r>
      <w:r>
        <w:rPr>
          <w:sz w:val="20"/>
        </w:rPr>
        <w:t>C32,</w:t>
      </w:r>
      <w:r>
        <w:rPr>
          <w:spacing w:val="-3"/>
          <w:sz w:val="20"/>
        </w:rPr>
        <w:t> </w:t>
      </w:r>
      <w:r>
        <w:rPr>
          <w:spacing w:val="-2"/>
          <w:sz w:val="20"/>
        </w:rPr>
        <w:t>C32.0,</w:t>
      </w:r>
    </w:p>
    <w:p>
      <w:pPr>
        <w:spacing w:before="0"/>
        <w:ind w:left="4717" w:right="0" w:firstLine="0"/>
        <w:jc w:val="left"/>
        <w:rPr>
          <w:sz w:val="20"/>
        </w:rPr>
      </w:pPr>
      <w:r>
        <w:rPr>
          <w:sz w:val="20"/>
        </w:rPr>
        <w:t>C32.1,</w:t>
      </w:r>
      <w:r>
        <w:rPr>
          <w:spacing w:val="-4"/>
          <w:sz w:val="20"/>
        </w:rPr>
        <w:t> </w:t>
      </w:r>
      <w:r>
        <w:rPr>
          <w:sz w:val="20"/>
        </w:rPr>
        <w:t>C32.2,</w:t>
      </w:r>
      <w:r>
        <w:rPr>
          <w:spacing w:val="-3"/>
          <w:sz w:val="20"/>
        </w:rPr>
        <w:t> </w:t>
      </w:r>
      <w:r>
        <w:rPr>
          <w:sz w:val="20"/>
        </w:rPr>
        <w:t>C32.3,</w:t>
      </w:r>
      <w:r>
        <w:rPr>
          <w:spacing w:val="-3"/>
          <w:sz w:val="20"/>
        </w:rPr>
        <w:t> </w:t>
      </w:r>
      <w:r>
        <w:rPr>
          <w:sz w:val="20"/>
        </w:rPr>
        <w:t>C32.8,</w:t>
      </w:r>
      <w:r>
        <w:rPr>
          <w:spacing w:val="-8"/>
          <w:sz w:val="20"/>
        </w:rPr>
        <w:t> </w:t>
      </w:r>
      <w:r>
        <w:rPr>
          <w:sz w:val="20"/>
        </w:rPr>
        <w:t>C32.9,</w:t>
      </w:r>
      <w:r>
        <w:rPr>
          <w:spacing w:val="-3"/>
          <w:sz w:val="20"/>
        </w:rPr>
        <w:t> </w:t>
      </w:r>
      <w:r>
        <w:rPr>
          <w:sz w:val="20"/>
        </w:rPr>
        <w:t>C33,</w:t>
      </w:r>
      <w:r>
        <w:rPr>
          <w:spacing w:val="-3"/>
          <w:sz w:val="20"/>
        </w:rPr>
        <w:t> </w:t>
      </w:r>
      <w:r>
        <w:rPr>
          <w:spacing w:val="-4"/>
          <w:sz w:val="20"/>
        </w:rPr>
        <w:t>C34,</w:t>
      </w:r>
    </w:p>
    <w:p>
      <w:pPr>
        <w:spacing w:before="0"/>
        <w:ind w:left="4643" w:right="0" w:firstLine="0"/>
        <w:jc w:val="left"/>
        <w:rPr>
          <w:sz w:val="20"/>
        </w:rPr>
      </w:pPr>
      <w:r>
        <w:rPr>
          <w:sz w:val="20"/>
        </w:rPr>
        <w:t>C34.0,</w:t>
      </w:r>
      <w:r>
        <w:rPr>
          <w:spacing w:val="-6"/>
          <w:sz w:val="20"/>
        </w:rPr>
        <w:t> </w:t>
      </w:r>
      <w:r>
        <w:rPr>
          <w:sz w:val="20"/>
        </w:rPr>
        <w:t>C34.1,</w:t>
      </w:r>
      <w:r>
        <w:rPr>
          <w:spacing w:val="-4"/>
          <w:sz w:val="20"/>
        </w:rPr>
        <w:t> </w:t>
      </w:r>
      <w:r>
        <w:rPr>
          <w:sz w:val="20"/>
        </w:rPr>
        <w:t>C34.2,</w:t>
      </w:r>
      <w:r>
        <w:rPr>
          <w:spacing w:val="-4"/>
          <w:sz w:val="20"/>
        </w:rPr>
        <w:t> </w:t>
      </w:r>
      <w:r>
        <w:rPr>
          <w:sz w:val="20"/>
        </w:rPr>
        <w:t>C34.3,</w:t>
      </w:r>
      <w:r>
        <w:rPr>
          <w:spacing w:val="-8"/>
          <w:sz w:val="20"/>
        </w:rPr>
        <w:t> </w:t>
      </w:r>
      <w:r>
        <w:rPr>
          <w:sz w:val="20"/>
        </w:rPr>
        <w:t>C34.8,</w:t>
      </w:r>
      <w:r>
        <w:rPr>
          <w:spacing w:val="-3"/>
          <w:sz w:val="20"/>
        </w:rPr>
        <w:t> </w:t>
      </w:r>
      <w:r>
        <w:rPr>
          <w:sz w:val="20"/>
        </w:rPr>
        <w:t>C34.9,</w:t>
      </w:r>
      <w:r>
        <w:rPr>
          <w:spacing w:val="-3"/>
          <w:sz w:val="20"/>
        </w:rPr>
        <w:t> </w:t>
      </w:r>
      <w:r>
        <w:rPr>
          <w:spacing w:val="-4"/>
          <w:sz w:val="20"/>
        </w:rPr>
        <w:t>C37,</w:t>
      </w:r>
    </w:p>
    <w:p>
      <w:pPr>
        <w:spacing w:line="229" w:lineRule="exact" w:before="1"/>
        <w:ind w:left="4643" w:right="0" w:firstLine="0"/>
        <w:jc w:val="left"/>
        <w:rPr>
          <w:sz w:val="20"/>
        </w:rPr>
      </w:pPr>
      <w:r>
        <w:rPr>
          <w:sz w:val="20"/>
        </w:rPr>
        <w:t>C38,</w:t>
      </w:r>
      <w:r>
        <w:rPr>
          <w:spacing w:val="-4"/>
          <w:sz w:val="20"/>
        </w:rPr>
        <w:t> </w:t>
      </w:r>
      <w:r>
        <w:rPr>
          <w:sz w:val="20"/>
        </w:rPr>
        <w:t>C38.0,</w:t>
      </w:r>
      <w:r>
        <w:rPr>
          <w:spacing w:val="-4"/>
          <w:sz w:val="20"/>
        </w:rPr>
        <w:t> </w:t>
      </w:r>
      <w:r>
        <w:rPr>
          <w:sz w:val="20"/>
        </w:rPr>
        <w:t>C38.1,</w:t>
      </w:r>
      <w:r>
        <w:rPr>
          <w:spacing w:val="-4"/>
          <w:sz w:val="20"/>
        </w:rPr>
        <w:t> </w:t>
      </w:r>
      <w:r>
        <w:rPr>
          <w:sz w:val="20"/>
        </w:rPr>
        <w:t>C38.2,</w:t>
      </w:r>
      <w:r>
        <w:rPr>
          <w:spacing w:val="-4"/>
          <w:sz w:val="20"/>
        </w:rPr>
        <w:t> </w:t>
      </w:r>
      <w:r>
        <w:rPr>
          <w:sz w:val="20"/>
        </w:rPr>
        <w:t>C38.3,</w:t>
      </w:r>
      <w:r>
        <w:rPr>
          <w:spacing w:val="-3"/>
          <w:sz w:val="20"/>
        </w:rPr>
        <w:t> </w:t>
      </w:r>
      <w:r>
        <w:rPr>
          <w:sz w:val="20"/>
        </w:rPr>
        <w:t>C38.4,</w:t>
      </w:r>
      <w:r>
        <w:rPr>
          <w:spacing w:val="-4"/>
          <w:sz w:val="20"/>
        </w:rPr>
        <w:t> </w:t>
      </w:r>
      <w:r>
        <w:rPr>
          <w:spacing w:val="-2"/>
          <w:sz w:val="20"/>
        </w:rPr>
        <w:t>C38.8,</w:t>
      </w:r>
    </w:p>
    <w:p>
      <w:pPr>
        <w:spacing w:line="229" w:lineRule="exact" w:before="0"/>
        <w:ind w:left="4717" w:right="0" w:firstLine="0"/>
        <w:jc w:val="left"/>
        <w:rPr>
          <w:sz w:val="20"/>
        </w:rPr>
      </w:pPr>
      <w:r>
        <w:rPr>
          <w:sz w:val="20"/>
        </w:rPr>
        <w:t>C39,</w:t>
      </w:r>
      <w:r>
        <w:rPr>
          <w:spacing w:val="-6"/>
          <w:sz w:val="20"/>
        </w:rPr>
        <w:t> </w:t>
      </w:r>
      <w:r>
        <w:rPr>
          <w:sz w:val="20"/>
        </w:rPr>
        <w:t>C39.0,</w:t>
      </w:r>
      <w:r>
        <w:rPr>
          <w:spacing w:val="-4"/>
          <w:sz w:val="20"/>
        </w:rPr>
        <w:t> </w:t>
      </w:r>
      <w:r>
        <w:rPr>
          <w:sz w:val="20"/>
        </w:rPr>
        <w:t>C39.8,</w:t>
      </w:r>
      <w:r>
        <w:rPr>
          <w:spacing w:val="-3"/>
          <w:sz w:val="20"/>
        </w:rPr>
        <w:t> </w:t>
      </w:r>
      <w:r>
        <w:rPr>
          <w:sz w:val="20"/>
        </w:rPr>
        <w:t>C39.9,</w:t>
      </w:r>
      <w:r>
        <w:rPr>
          <w:spacing w:val="-4"/>
          <w:sz w:val="20"/>
        </w:rPr>
        <w:t> </w:t>
      </w:r>
      <w:r>
        <w:rPr>
          <w:sz w:val="20"/>
        </w:rPr>
        <w:t>C40,</w:t>
      </w:r>
      <w:r>
        <w:rPr>
          <w:spacing w:val="-3"/>
          <w:sz w:val="20"/>
        </w:rPr>
        <w:t> </w:t>
      </w:r>
      <w:r>
        <w:rPr>
          <w:sz w:val="20"/>
        </w:rPr>
        <w:t>C40.0,</w:t>
      </w:r>
      <w:r>
        <w:rPr>
          <w:spacing w:val="-5"/>
          <w:sz w:val="20"/>
        </w:rPr>
        <w:t> </w:t>
      </w:r>
      <w:r>
        <w:rPr>
          <w:spacing w:val="-2"/>
          <w:sz w:val="20"/>
        </w:rPr>
        <w:t>C40.1,</w:t>
      </w:r>
    </w:p>
    <w:p>
      <w:pPr>
        <w:spacing w:before="1"/>
        <w:ind w:left="4643" w:right="0" w:firstLine="0"/>
        <w:jc w:val="left"/>
        <w:rPr>
          <w:sz w:val="20"/>
        </w:rPr>
      </w:pPr>
      <w:r>
        <w:rPr>
          <w:sz w:val="20"/>
        </w:rPr>
        <w:t>C40.2,</w:t>
      </w:r>
      <w:r>
        <w:rPr>
          <w:spacing w:val="-4"/>
          <w:sz w:val="20"/>
        </w:rPr>
        <w:t> </w:t>
      </w:r>
      <w:r>
        <w:rPr>
          <w:sz w:val="20"/>
        </w:rPr>
        <w:t>C40.3,</w:t>
      </w:r>
      <w:r>
        <w:rPr>
          <w:spacing w:val="-3"/>
          <w:sz w:val="20"/>
        </w:rPr>
        <w:t> </w:t>
      </w:r>
      <w:r>
        <w:rPr>
          <w:sz w:val="20"/>
        </w:rPr>
        <w:t>C40.8,</w:t>
      </w:r>
      <w:r>
        <w:rPr>
          <w:spacing w:val="-3"/>
          <w:sz w:val="20"/>
        </w:rPr>
        <w:t> </w:t>
      </w:r>
      <w:r>
        <w:rPr>
          <w:sz w:val="20"/>
        </w:rPr>
        <w:t>C40.9,</w:t>
      </w:r>
      <w:r>
        <w:rPr>
          <w:spacing w:val="-7"/>
          <w:sz w:val="20"/>
        </w:rPr>
        <w:t> </w:t>
      </w:r>
      <w:r>
        <w:rPr>
          <w:sz w:val="20"/>
        </w:rPr>
        <w:t>C41,</w:t>
      </w:r>
      <w:r>
        <w:rPr>
          <w:spacing w:val="-4"/>
          <w:sz w:val="20"/>
        </w:rPr>
        <w:t> </w:t>
      </w:r>
      <w:r>
        <w:rPr>
          <w:sz w:val="20"/>
        </w:rPr>
        <w:t>C41.0,</w:t>
      </w:r>
      <w:r>
        <w:rPr>
          <w:spacing w:val="-3"/>
          <w:sz w:val="20"/>
        </w:rPr>
        <w:t> </w:t>
      </w:r>
      <w:r>
        <w:rPr>
          <w:spacing w:val="-2"/>
          <w:sz w:val="20"/>
        </w:rPr>
        <w:t>C41.1,</w:t>
      </w:r>
    </w:p>
    <w:p>
      <w:pPr>
        <w:spacing w:before="0"/>
        <w:ind w:left="4643" w:right="0" w:firstLine="0"/>
        <w:jc w:val="left"/>
        <w:rPr>
          <w:sz w:val="20"/>
        </w:rPr>
      </w:pPr>
      <w:r>
        <w:rPr>
          <w:sz w:val="20"/>
        </w:rPr>
        <w:t>C41.2,</w:t>
      </w:r>
      <w:r>
        <w:rPr>
          <w:spacing w:val="-4"/>
          <w:sz w:val="20"/>
        </w:rPr>
        <w:t> </w:t>
      </w:r>
      <w:r>
        <w:rPr>
          <w:sz w:val="20"/>
        </w:rPr>
        <w:t>C41.3,</w:t>
      </w:r>
      <w:r>
        <w:rPr>
          <w:spacing w:val="-3"/>
          <w:sz w:val="20"/>
        </w:rPr>
        <w:t> </w:t>
      </w:r>
      <w:r>
        <w:rPr>
          <w:sz w:val="20"/>
        </w:rPr>
        <w:t>C41.4,</w:t>
      </w:r>
      <w:r>
        <w:rPr>
          <w:spacing w:val="-3"/>
          <w:sz w:val="20"/>
        </w:rPr>
        <w:t> </w:t>
      </w:r>
      <w:r>
        <w:rPr>
          <w:sz w:val="20"/>
        </w:rPr>
        <w:t>C41.8,</w:t>
      </w:r>
      <w:r>
        <w:rPr>
          <w:spacing w:val="-7"/>
          <w:sz w:val="20"/>
        </w:rPr>
        <w:t> </w:t>
      </w:r>
      <w:r>
        <w:rPr>
          <w:sz w:val="20"/>
        </w:rPr>
        <w:t>C41.9,</w:t>
      </w:r>
      <w:r>
        <w:rPr>
          <w:spacing w:val="-3"/>
          <w:sz w:val="20"/>
        </w:rPr>
        <w:t> </w:t>
      </w:r>
      <w:r>
        <w:rPr>
          <w:sz w:val="20"/>
        </w:rPr>
        <w:t>C43,</w:t>
      </w:r>
      <w:r>
        <w:rPr>
          <w:spacing w:val="-3"/>
          <w:sz w:val="20"/>
        </w:rPr>
        <w:t> </w:t>
      </w:r>
      <w:r>
        <w:rPr>
          <w:spacing w:val="-2"/>
          <w:sz w:val="20"/>
        </w:rPr>
        <w:t>C43.0,</w:t>
      </w:r>
    </w:p>
    <w:p>
      <w:pPr>
        <w:spacing w:before="1"/>
        <w:ind w:left="4569" w:right="0" w:firstLine="0"/>
        <w:jc w:val="left"/>
        <w:rPr>
          <w:sz w:val="20"/>
        </w:rPr>
      </w:pPr>
      <w:r>
        <w:rPr>
          <w:sz w:val="20"/>
        </w:rPr>
        <w:t>C43.1,</w:t>
      </w:r>
      <w:r>
        <w:rPr>
          <w:spacing w:val="-6"/>
          <w:sz w:val="20"/>
        </w:rPr>
        <w:t> </w:t>
      </w:r>
      <w:r>
        <w:rPr>
          <w:sz w:val="20"/>
        </w:rPr>
        <w:t>C43.2,</w:t>
      </w:r>
      <w:r>
        <w:rPr>
          <w:spacing w:val="-4"/>
          <w:sz w:val="20"/>
        </w:rPr>
        <w:t> </w:t>
      </w:r>
      <w:r>
        <w:rPr>
          <w:sz w:val="20"/>
        </w:rPr>
        <w:t>C43.3,</w:t>
      </w:r>
      <w:r>
        <w:rPr>
          <w:spacing w:val="-4"/>
          <w:sz w:val="20"/>
        </w:rPr>
        <w:t> </w:t>
      </w:r>
      <w:r>
        <w:rPr>
          <w:sz w:val="20"/>
        </w:rPr>
        <w:t>C43.4,</w:t>
      </w:r>
      <w:r>
        <w:rPr>
          <w:spacing w:val="-8"/>
          <w:sz w:val="20"/>
        </w:rPr>
        <w:t> </w:t>
      </w:r>
      <w:r>
        <w:rPr>
          <w:sz w:val="20"/>
        </w:rPr>
        <w:t>C43.5,</w:t>
      </w:r>
      <w:r>
        <w:rPr>
          <w:spacing w:val="-3"/>
          <w:sz w:val="20"/>
        </w:rPr>
        <w:t> </w:t>
      </w:r>
      <w:r>
        <w:rPr>
          <w:sz w:val="20"/>
        </w:rPr>
        <w:t>C43.6,</w:t>
      </w:r>
      <w:r>
        <w:rPr>
          <w:spacing w:val="-3"/>
          <w:sz w:val="20"/>
        </w:rPr>
        <w:t> </w:t>
      </w:r>
      <w:r>
        <w:rPr>
          <w:spacing w:val="-2"/>
          <w:sz w:val="20"/>
        </w:rPr>
        <w:t>C43.7,</w:t>
      </w:r>
    </w:p>
    <w:p>
      <w:pPr>
        <w:spacing w:before="0"/>
        <w:ind w:left="4643" w:right="0" w:firstLine="0"/>
        <w:jc w:val="left"/>
        <w:rPr>
          <w:sz w:val="20"/>
        </w:rPr>
      </w:pPr>
      <w:r>
        <w:rPr>
          <w:sz w:val="20"/>
        </w:rPr>
        <w:t>C43.8,</w:t>
      </w:r>
      <w:r>
        <w:rPr>
          <w:spacing w:val="-4"/>
          <w:sz w:val="20"/>
        </w:rPr>
        <w:t> </w:t>
      </w:r>
      <w:r>
        <w:rPr>
          <w:sz w:val="20"/>
        </w:rPr>
        <w:t>C43.9,</w:t>
      </w:r>
      <w:r>
        <w:rPr>
          <w:spacing w:val="-4"/>
          <w:sz w:val="20"/>
        </w:rPr>
        <w:t> </w:t>
      </w:r>
      <w:r>
        <w:rPr>
          <w:sz w:val="20"/>
        </w:rPr>
        <w:t>C44,</w:t>
      </w:r>
      <w:r>
        <w:rPr>
          <w:spacing w:val="-4"/>
          <w:sz w:val="20"/>
        </w:rPr>
        <w:t> </w:t>
      </w:r>
      <w:r>
        <w:rPr>
          <w:sz w:val="20"/>
        </w:rPr>
        <w:t>C44.0,</w:t>
      </w:r>
      <w:r>
        <w:rPr>
          <w:spacing w:val="-4"/>
          <w:sz w:val="20"/>
        </w:rPr>
        <w:t> </w:t>
      </w:r>
      <w:r>
        <w:rPr>
          <w:sz w:val="20"/>
        </w:rPr>
        <w:t>C44.1,</w:t>
      </w:r>
      <w:r>
        <w:rPr>
          <w:spacing w:val="-3"/>
          <w:sz w:val="20"/>
        </w:rPr>
        <w:t> </w:t>
      </w:r>
      <w:r>
        <w:rPr>
          <w:sz w:val="20"/>
        </w:rPr>
        <w:t>C44.2,</w:t>
      </w:r>
      <w:r>
        <w:rPr>
          <w:spacing w:val="-4"/>
          <w:sz w:val="20"/>
        </w:rPr>
        <w:t> </w:t>
      </w:r>
      <w:r>
        <w:rPr>
          <w:spacing w:val="-2"/>
          <w:sz w:val="20"/>
        </w:rPr>
        <w:t>C44.3,</w:t>
      </w:r>
    </w:p>
    <w:p>
      <w:pPr>
        <w:spacing w:line="229" w:lineRule="exact" w:before="1"/>
        <w:ind w:left="4643" w:right="0" w:firstLine="0"/>
        <w:jc w:val="left"/>
        <w:rPr>
          <w:sz w:val="20"/>
        </w:rPr>
      </w:pPr>
      <w:r>
        <w:rPr>
          <w:sz w:val="20"/>
        </w:rPr>
        <w:t>C44.4,</w:t>
      </w:r>
      <w:r>
        <w:rPr>
          <w:spacing w:val="-6"/>
          <w:sz w:val="20"/>
        </w:rPr>
        <w:t> </w:t>
      </w:r>
      <w:r>
        <w:rPr>
          <w:sz w:val="20"/>
        </w:rPr>
        <w:t>C44.5,</w:t>
      </w:r>
      <w:r>
        <w:rPr>
          <w:spacing w:val="-4"/>
          <w:sz w:val="20"/>
        </w:rPr>
        <w:t> </w:t>
      </w:r>
      <w:r>
        <w:rPr>
          <w:sz w:val="20"/>
        </w:rPr>
        <w:t>C44.6,</w:t>
      </w:r>
      <w:r>
        <w:rPr>
          <w:spacing w:val="-4"/>
          <w:sz w:val="20"/>
        </w:rPr>
        <w:t> </w:t>
      </w:r>
      <w:r>
        <w:rPr>
          <w:sz w:val="20"/>
        </w:rPr>
        <w:t>C44.7,</w:t>
      </w:r>
      <w:r>
        <w:rPr>
          <w:spacing w:val="-8"/>
          <w:sz w:val="20"/>
        </w:rPr>
        <w:t> </w:t>
      </w:r>
      <w:r>
        <w:rPr>
          <w:sz w:val="20"/>
        </w:rPr>
        <w:t>C44.8,</w:t>
      </w:r>
      <w:r>
        <w:rPr>
          <w:spacing w:val="-3"/>
          <w:sz w:val="20"/>
        </w:rPr>
        <w:t> </w:t>
      </w:r>
      <w:r>
        <w:rPr>
          <w:sz w:val="20"/>
        </w:rPr>
        <w:t>C44.9,</w:t>
      </w:r>
      <w:r>
        <w:rPr>
          <w:spacing w:val="-3"/>
          <w:sz w:val="20"/>
        </w:rPr>
        <w:t> </w:t>
      </w:r>
      <w:r>
        <w:rPr>
          <w:spacing w:val="-4"/>
          <w:sz w:val="20"/>
        </w:rPr>
        <w:t>C45,</w:t>
      </w:r>
    </w:p>
    <w:p>
      <w:pPr>
        <w:spacing w:line="229" w:lineRule="exact" w:before="0"/>
        <w:ind w:left="4643" w:right="0" w:firstLine="0"/>
        <w:jc w:val="left"/>
        <w:rPr>
          <w:sz w:val="20"/>
        </w:rPr>
      </w:pPr>
      <w:r>
        <w:rPr>
          <w:sz w:val="20"/>
        </w:rPr>
        <w:t>C45.0,</w:t>
      </w:r>
      <w:r>
        <w:rPr>
          <w:spacing w:val="-4"/>
          <w:sz w:val="20"/>
        </w:rPr>
        <w:t> </w:t>
      </w:r>
      <w:r>
        <w:rPr>
          <w:sz w:val="20"/>
        </w:rPr>
        <w:t>C45.1,</w:t>
      </w:r>
      <w:r>
        <w:rPr>
          <w:spacing w:val="-3"/>
          <w:sz w:val="20"/>
        </w:rPr>
        <w:t> </w:t>
      </w:r>
      <w:r>
        <w:rPr>
          <w:sz w:val="20"/>
        </w:rPr>
        <w:t>C45.2,</w:t>
      </w:r>
      <w:r>
        <w:rPr>
          <w:spacing w:val="-3"/>
          <w:sz w:val="20"/>
        </w:rPr>
        <w:t> </w:t>
      </w:r>
      <w:r>
        <w:rPr>
          <w:sz w:val="20"/>
        </w:rPr>
        <w:t>C45.7,</w:t>
      </w:r>
      <w:r>
        <w:rPr>
          <w:spacing w:val="-7"/>
          <w:sz w:val="20"/>
        </w:rPr>
        <w:t> </w:t>
      </w:r>
      <w:r>
        <w:rPr>
          <w:sz w:val="20"/>
        </w:rPr>
        <w:t>C45.9,</w:t>
      </w:r>
      <w:r>
        <w:rPr>
          <w:spacing w:val="-3"/>
          <w:sz w:val="20"/>
        </w:rPr>
        <w:t> </w:t>
      </w:r>
      <w:r>
        <w:rPr>
          <w:sz w:val="20"/>
        </w:rPr>
        <w:t>C46,</w:t>
      </w:r>
      <w:r>
        <w:rPr>
          <w:spacing w:val="-3"/>
          <w:sz w:val="20"/>
        </w:rPr>
        <w:t> </w:t>
      </w:r>
      <w:r>
        <w:rPr>
          <w:spacing w:val="-2"/>
          <w:sz w:val="20"/>
        </w:rPr>
        <w:t>C46.0,</w:t>
      </w:r>
    </w:p>
    <w:p>
      <w:pPr>
        <w:spacing w:before="0"/>
        <w:ind w:left="4643" w:right="0" w:firstLine="0"/>
        <w:jc w:val="left"/>
        <w:rPr>
          <w:sz w:val="20"/>
        </w:rPr>
      </w:pPr>
      <w:r>
        <w:rPr>
          <w:sz w:val="20"/>
        </w:rPr>
        <w:t>C46.1,</w:t>
      </w:r>
      <w:r>
        <w:rPr>
          <w:spacing w:val="-6"/>
          <w:sz w:val="20"/>
        </w:rPr>
        <w:t> </w:t>
      </w:r>
      <w:r>
        <w:rPr>
          <w:sz w:val="20"/>
        </w:rPr>
        <w:t>C46.2,</w:t>
      </w:r>
      <w:r>
        <w:rPr>
          <w:spacing w:val="-4"/>
          <w:sz w:val="20"/>
        </w:rPr>
        <w:t> </w:t>
      </w:r>
      <w:r>
        <w:rPr>
          <w:sz w:val="20"/>
        </w:rPr>
        <w:t>C46.3,</w:t>
      </w:r>
      <w:r>
        <w:rPr>
          <w:spacing w:val="-4"/>
          <w:sz w:val="20"/>
        </w:rPr>
        <w:t> </w:t>
      </w:r>
      <w:r>
        <w:rPr>
          <w:sz w:val="20"/>
        </w:rPr>
        <w:t>C46.7,</w:t>
      </w:r>
      <w:r>
        <w:rPr>
          <w:spacing w:val="-8"/>
          <w:sz w:val="20"/>
        </w:rPr>
        <w:t> </w:t>
      </w:r>
      <w:r>
        <w:rPr>
          <w:sz w:val="20"/>
        </w:rPr>
        <w:t>C46.8,</w:t>
      </w:r>
      <w:r>
        <w:rPr>
          <w:spacing w:val="-3"/>
          <w:sz w:val="20"/>
        </w:rPr>
        <w:t> </w:t>
      </w:r>
      <w:r>
        <w:rPr>
          <w:sz w:val="20"/>
        </w:rPr>
        <w:t>C46.9,</w:t>
      </w:r>
      <w:r>
        <w:rPr>
          <w:spacing w:val="-3"/>
          <w:sz w:val="20"/>
        </w:rPr>
        <w:t> </w:t>
      </w:r>
      <w:r>
        <w:rPr>
          <w:spacing w:val="-4"/>
          <w:sz w:val="20"/>
        </w:rPr>
        <w:t>C47,</w:t>
      </w:r>
    </w:p>
    <w:p>
      <w:pPr>
        <w:spacing w:before="0"/>
        <w:ind w:left="4569" w:right="0" w:firstLine="0"/>
        <w:jc w:val="left"/>
        <w:rPr>
          <w:sz w:val="20"/>
        </w:rPr>
      </w:pPr>
      <w:r>
        <w:rPr>
          <w:sz w:val="20"/>
        </w:rPr>
        <w:t>C47.0,</w:t>
      </w:r>
      <w:r>
        <w:rPr>
          <w:spacing w:val="-6"/>
          <w:sz w:val="20"/>
        </w:rPr>
        <w:t> </w:t>
      </w:r>
      <w:r>
        <w:rPr>
          <w:sz w:val="20"/>
        </w:rPr>
        <w:t>C47.1,</w:t>
      </w:r>
      <w:r>
        <w:rPr>
          <w:spacing w:val="-4"/>
          <w:sz w:val="20"/>
        </w:rPr>
        <w:t> </w:t>
      </w:r>
      <w:r>
        <w:rPr>
          <w:sz w:val="20"/>
        </w:rPr>
        <w:t>C47.2,</w:t>
      </w:r>
      <w:r>
        <w:rPr>
          <w:spacing w:val="-4"/>
          <w:sz w:val="20"/>
        </w:rPr>
        <w:t> </w:t>
      </w:r>
      <w:r>
        <w:rPr>
          <w:sz w:val="20"/>
        </w:rPr>
        <w:t>C47.3,</w:t>
      </w:r>
      <w:r>
        <w:rPr>
          <w:spacing w:val="-9"/>
          <w:sz w:val="20"/>
        </w:rPr>
        <w:t> </w:t>
      </w:r>
      <w:r>
        <w:rPr>
          <w:sz w:val="20"/>
        </w:rPr>
        <w:t>C47.4,</w:t>
      </w:r>
      <w:r>
        <w:rPr>
          <w:spacing w:val="-3"/>
          <w:sz w:val="20"/>
        </w:rPr>
        <w:t> </w:t>
      </w:r>
      <w:r>
        <w:rPr>
          <w:sz w:val="20"/>
        </w:rPr>
        <w:t>C47.5,</w:t>
      </w:r>
      <w:r>
        <w:rPr>
          <w:spacing w:val="-3"/>
          <w:sz w:val="20"/>
        </w:rPr>
        <w:t> </w:t>
      </w:r>
      <w:r>
        <w:rPr>
          <w:spacing w:val="-2"/>
          <w:sz w:val="20"/>
        </w:rPr>
        <w:t>C47.6,</w:t>
      </w:r>
    </w:p>
    <w:p>
      <w:pPr>
        <w:spacing w:before="1"/>
        <w:ind w:left="4643" w:right="0" w:firstLine="0"/>
        <w:jc w:val="left"/>
        <w:rPr>
          <w:sz w:val="20"/>
        </w:rPr>
      </w:pPr>
      <w:r>
        <w:rPr>
          <w:sz w:val="20"/>
        </w:rPr>
        <w:t>C47.8,</w:t>
      </w:r>
      <w:r>
        <w:rPr>
          <w:spacing w:val="-4"/>
          <w:sz w:val="20"/>
        </w:rPr>
        <w:t> </w:t>
      </w:r>
      <w:r>
        <w:rPr>
          <w:sz w:val="20"/>
        </w:rPr>
        <w:t>C47.9,</w:t>
      </w:r>
      <w:r>
        <w:rPr>
          <w:spacing w:val="-4"/>
          <w:sz w:val="20"/>
        </w:rPr>
        <w:t> </w:t>
      </w:r>
      <w:r>
        <w:rPr>
          <w:sz w:val="20"/>
        </w:rPr>
        <w:t>C48,</w:t>
      </w:r>
      <w:r>
        <w:rPr>
          <w:spacing w:val="-4"/>
          <w:sz w:val="20"/>
        </w:rPr>
        <w:t> </w:t>
      </w:r>
      <w:r>
        <w:rPr>
          <w:sz w:val="20"/>
        </w:rPr>
        <w:t>C48.0,</w:t>
      </w:r>
      <w:r>
        <w:rPr>
          <w:spacing w:val="-4"/>
          <w:sz w:val="20"/>
        </w:rPr>
        <w:t> </w:t>
      </w:r>
      <w:r>
        <w:rPr>
          <w:sz w:val="20"/>
        </w:rPr>
        <w:t>C48.1,</w:t>
      </w:r>
      <w:r>
        <w:rPr>
          <w:spacing w:val="-3"/>
          <w:sz w:val="20"/>
        </w:rPr>
        <w:t> </w:t>
      </w:r>
      <w:r>
        <w:rPr>
          <w:sz w:val="20"/>
        </w:rPr>
        <w:t>C48.2,</w:t>
      </w:r>
      <w:r>
        <w:rPr>
          <w:spacing w:val="-4"/>
          <w:sz w:val="20"/>
        </w:rPr>
        <w:t> </w:t>
      </w:r>
      <w:r>
        <w:rPr>
          <w:spacing w:val="-2"/>
          <w:sz w:val="20"/>
        </w:rPr>
        <w:t>C48.8,</w:t>
      </w:r>
    </w:p>
    <w:p>
      <w:pPr>
        <w:spacing w:before="1"/>
        <w:ind w:left="4643" w:right="0" w:firstLine="0"/>
        <w:jc w:val="left"/>
        <w:rPr>
          <w:sz w:val="20"/>
        </w:rPr>
      </w:pPr>
      <w:r>
        <w:rPr>
          <w:sz w:val="20"/>
        </w:rPr>
        <w:t>C49,</w:t>
      </w:r>
      <w:r>
        <w:rPr>
          <w:spacing w:val="-4"/>
          <w:sz w:val="20"/>
        </w:rPr>
        <w:t> </w:t>
      </w:r>
      <w:r>
        <w:rPr>
          <w:sz w:val="20"/>
        </w:rPr>
        <w:t>C49.0,</w:t>
      </w:r>
      <w:r>
        <w:rPr>
          <w:spacing w:val="-4"/>
          <w:sz w:val="20"/>
        </w:rPr>
        <w:t> </w:t>
      </w:r>
      <w:r>
        <w:rPr>
          <w:sz w:val="20"/>
        </w:rPr>
        <w:t>C49.1,</w:t>
      </w:r>
      <w:r>
        <w:rPr>
          <w:spacing w:val="-4"/>
          <w:sz w:val="20"/>
        </w:rPr>
        <w:t> </w:t>
      </w:r>
      <w:r>
        <w:rPr>
          <w:sz w:val="20"/>
        </w:rPr>
        <w:t>C49.2,</w:t>
      </w:r>
      <w:r>
        <w:rPr>
          <w:spacing w:val="-4"/>
          <w:sz w:val="20"/>
        </w:rPr>
        <w:t> </w:t>
      </w:r>
      <w:r>
        <w:rPr>
          <w:sz w:val="20"/>
        </w:rPr>
        <w:t>C49.3,</w:t>
      </w:r>
      <w:r>
        <w:rPr>
          <w:spacing w:val="-3"/>
          <w:sz w:val="20"/>
        </w:rPr>
        <w:t> </w:t>
      </w:r>
      <w:r>
        <w:rPr>
          <w:sz w:val="20"/>
        </w:rPr>
        <w:t>C49.4,</w:t>
      </w:r>
      <w:r>
        <w:rPr>
          <w:spacing w:val="-4"/>
          <w:sz w:val="20"/>
        </w:rPr>
        <w:t> </w:t>
      </w:r>
      <w:r>
        <w:rPr>
          <w:spacing w:val="-2"/>
          <w:sz w:val="20"/>
        </w:rPr>
        <w:t>C49.5,</w:t>
      </w:r>
    </w:p>
    <w:p>
      <w:pPr>
        <w:spacing w:line="229" w:lineRule="exact" w:before="0"/>
        <w:ind w:left="4643" w:right="0" w:firstLine="0"/>
        <w:jc w:val="left"/>
        <w:rPr>
          <w:sz w:val="20"/>
        </w:rPr>
      </w:pPr>
      <w:r>
        <w:rPr>
          <w:sz w:val="20"/>
        </w:rPr>
        <w:t>C49.6,</w:t>
      </w:r>
      <w:r>
        <w:rPr>
          <w:spacing w:val="-5"/>
          <w:sz w:val="20"/>
        </w:rPr>
        <w:t> </w:t>
      </w:r>
      <w:r>
        <w:rPr>
          <w:sz w:val="20"/>
        </w:rPr>
        <w:t>C49.8,</w:t>
      </w:r>
      <w:r>
        <w:rPr>
          <w:spacing w:val="-4"/>
          <w:sz w:val="20"/>
        </w:rPr>
        <w:t> </w:t>
      </w:r>
      <w:r>
        <w:rPr>
          <w:sz w:val="20"/>
        </w:rPr>
        <w:t>C49.9,</w:t>
      </w:r>
      <w:r>
        <w:rPr>
          <w:spacing w:val="-4"/>
          <w:sz w:val="20"/>
        </w:rPr>
        <w:t> </w:t>
      </w:r>
      <w:r>
        <w:rPr>
          <w:sz w:val="20"/>
        </w:rPr>
        <w:t>C50,</w:t>
      </w:r>
      <w:r>
        <w:rPr>
          <w:spacing w:val="-4"/>
          <w:sz w:val="20"/>
        </w:rPr>
        <w:t> </w:t>
      </w:r>
      <w:r>
        <w:rPr>
          <w:sz w:val="20"/>
        </w:rPr>
        <w:t>C50.0,</w:t>
      </w:r>
      <w:r>
        <w:rPr>
          <w:spacing w:val="-3"/>
          <w:sz w:val="20"/>
        </w:rPr>
        <w:t> </w:t>
      </w:r>
      <w:r>
        <w:rPr>
          <w:sz w:val="20"/>
        </w:rPr>
        <w:t>C50.1,</w:t>
      </w:r>
      <w:r>
        <w:rPr>
          <w:spacing w:val="-4"/>
          <w:sz w:val="20"/>
        </w:rPr>
        <w:t> </w:t>
      </w:r>
      <w:r>
        <w:rPr>
          <w:spacing w:val="-2"/>
          <w:sz w:val="20"/>
        </w:rPr>
        <w:t>C50.2,</w:t>
      </w:r>
    </w:p>
    <w:p>
      <w:pPr>
        <w:spacing w:line="229" w:lineRule="exact" w:before="0"/>
        <w:ind w:left="4643" w:right="0" w:firstLine="0"/>
        <w:jc w:val="left"/>
        <w:rPr>
          <w:sz w:val="20"/>
        </w:rPr>
      </w:pPr>
      <w:r>
        <w:rPr>
          <w:sz w:val="20"/>
        </w:rPr>
        <w:t>C50.3,</w:t>
      </w:r>
      <w:r>
        <w:rPr>
          <w:spacing w:val="-6"/>
          <w:sz w:val="20"/>
        </w:rPr>
        <w:t> </w:t>
      </w:r>
      <w:r>
        <w:rPr>
          <w:sz w:val="20"/>
        </w:rPr>
        <w:t>C50.4,</w:t>
      </w:r>
      <w:r>
        <w:rPr>
          <w:spacing w:val="-4"/>
          <w:sz w:val="20"/>
        </w:rPr>
        <w:t> </w:t>
      </w:r>
      <w:r>
        <w:rPr>
          <w:sz w:val="20"/>
        </w:rPr>
        <w:t>C50.5,</w:t>
      </w:r>
      <w:r>
        <w:rPr>
          <w:spacing w:val="-4"/>
          <w:sz w:val="20"/>
        </w:rPr>
        <w:t> </w:t>
      </w:r>
      <w:r>
        <w:rPr>
          <w:sz w:val="20"/>
        </w:rPr>
        <w:t>C50.6,</w:t>
      </w:r>
      <w:r>
        <w:rPr>
          <w:spacing w:val="-8"/>
          <w:sz w:val="20"/>
        </w:rPr>
        <w:t> </w:t>
      </w:r>
      <w:r>
        <w:rPr>
          <w:sz w:val="20"/>
        </w:rPr>
        <w:t>C50.8,</w:t>
      </w:r>
      <w:r>
        <w:rPr>
          <w:spacing w:val="-3"/>
          <w:sz w:val="20"/>
        </w:rPr>
        <w:t> </w:t>
      </w:r>
      <w:r>
        <w:rPr>
          <w:sz w:val="20"/>
        </w:rPr>
        <w:t>C50.9,</w:t>
      </w:r>
      <w:r>
        <w:rPr>
          <w:spacing w:val="-3"/>
          <w:sz w:val="20"/>
        </w:rPr>
        <w:t> </w:t>
      </w:r>
      <w:r>
        <w:rPr>
          <w:spacing w:val="-4"/>
          <w:sz w:val="20"/>
        </w:rPr>
        <w:t>C51,</w:t>
      </w:r>
    </w:p>
    <w:p>
      <w:pPr>
        <w:spacing w:before="0"/>
        <w:ind w:left="4717" w:right="0" w:firstLine="0"/>
        <w:jc w:val="left"/>
        <w:rPr>
          <w:sz w:val="20"/>
        </w:rPr>
      </w:pPr>
      <w:r>
        <w:rPr>
          <w:sz w:val="20"/>
        </w:rPr>
        <w:t>C51.0,</w:t>
      </w:r>
      <w:r>
        <w:rPr>
          <w:spacing w:val="-4"/>
          <w:sz w:val="20"/>
        </w:rPr>
        <w:t> </w:t>
      </w:r>
      <w:r>
        <w:rPr>
          <w:sz w:val="20"/>
        </w:rPr>
        <w:t>C51.1,</w:t>
      </w:r>
      <w:r>
        <w:rPr>
          <w:spacing w:val="-3"/>
          <w:sz w:val="20"/>
        </w:rPr>
        <w:t> </w:t>
      </w:r>
      <w:r>
        <w:rPr>
          <w:sz w:val="20"/>
        </w:rPr>
        <w:t>C51.2,</w:t>
      </w:r>
      <w:r>
        <w:rPr>
          <w:spacing w:val="-3"/>
          <w:sz w:val="20"/>
        </w:rPr>
        <w:t> </w:t>
      </w:r>
      <w:r>
        <w:rPr>
          <w:sz w:val="20"/>
        </w:rPr>
        <w:t>C51.8,</w:t>
      </w:r>
      <w:r>
        <w:rPr>
          <w:spacing w:val="-7"/>
          <w:sz w:val="20"/>
        </w:rPr>
        <w:t> </w:t>
      </w:r>
      <w:r>
        <w:rPr>
          <w:sz w:val="20"/>
        </w:rPr>
        <w:t>C51.9,</w:t>
      </w:r>
      <w:r>
        <w:rPr>
          <w:spacing w:val="-3"/>
          <w:sz w:val="20"/>
        </w:rPr>
        <w:t> </w:t>
      </w:r>
      <w:r>
        <w:rPr>
          <w:sz w:val="20"/>
        </w:rPr>
        <w:t>C52,</w:t>
      </w:r>
      <w:r>
        <w:rPr>
          <w:spacing w:val="-3"/>
          <w:sz w:val="20"/>
        </w:rPr>
        <w:t> </w:t>
      </w:r>
      <w:r>
        <w:rPr>
          <w:spacing w:val="-4"/>
          <w:sz w:val="20"/>
        </w:rPr>
        <w:t>C53,</w:t>
      </w:r>
    </w:p>
    <w:p>
      <w:pPr>
        <w:spacing w:before="1"/>
        <w:ind w:left="4643" w:right="0" w:firstLine="0"/>
        <w:jc w:val="left"/>
        <w:rPr>
          <w:sz w:val="20"/>
        </w:rPr>
      </w:pPr>
      <w:r>
        <w:rPr>
          <w:sz w:val="20"/>
        </w:rPr>
        <w:t>C53.0,</w:t>
      </w:r>
      <w:r>
        <w:rPr>
          <w:spacing w:val="-4"/>
          <w:sz w:val="20"/>
        </w:rPr>
        <w:t> </w:t>
      </w:r>
      <w:r>
        <w:rPr>
          <w:sz w:val="20"/>
        </w:rPr>
        <w:t>C53.1,</w:t>
      </w:r>
      <w:r>
        <w:rPr>
          <w:spacing w:val="-3"/>
          <w:sz w:val="20"/>
        </w:rPr>
        <w:t> </w:t>
      </w:r>
      <w:r>
        <w:rPr>
          <w:sz w:val="20"/>
        </w:rPr>
        <w:t>C53.8,</w:t>
      </w:r>
      <w:r>
        <w:rPr>
          <w:spacing w:val="-3"/>
          <w:sz w:val="20"/>
        </w:rPr>
        <w:t> </w:t>
      </w:r>
      <w:r>
        <w:rPr>
          <w:sz w:val="20"/>
        </w:rPr>
        <w:t>C53.9,</w:t>
      </w:r>
      <w:r>
        <w:rPr>
          <w:spacing w:val="-7"/>
          <w:sz w:val="20"/>
        </w:rPr>
        <w:t> </w:t>
      </w:r>
      <w:r>
        <w:rPr>
          <w:sz w:val="20"/>
        </w:rPr>
        <w:t>C54,</w:t>
      </w:r>
      <w:r>
        <w:rPr>
          <w:spacing w:val="-4"/>
          <w:sz w:val="20"/>
        </w:rPr>
        <w:t> </w:t>
      </w:r>
      <w:r>
        <w:rPr>
          <w:sz w:val="20"/>
        </w:rPr>
        <w:t>C54.0,</w:t>
      </w:r>
      <w:r>
        <w:rPr>
          <w:spacing w:val="-3"/>
          <w:sz w:val="20"/>
        </w:rPr>
        <w:t> </w:t>
      </w:r>
      <w:r>
        <w:rPr>
          <w:spacing w:val="-2"/>
          <w:sz w:val="20"/>
        </w:rPr>
        <w:t>C54.1,</w:t>
      </w:r>
    </w:p>
    <w:p>
      <w:pPr>
        <w:spacing w:before="0"/>
        <w:ind w:left="4792" w:right="0" w:firstLine="0"/>
        <w:jc w:val="left"/>
        <w:rPr>
          <w:sz w:val="20"/>
        </w:rPr>
      </w:pPr>
      <w:r>
        <w:rPr>
          <w:sz w:val="20"/>
        </w:rPr>
        <w:t>C54.2,</w:t>
      </w:r>
      <w:r>
        <w:rPr>
          <w:spacing w:val="-6"/>
          <w:sz w:val="20"/>
        </w:rPr>
        <w:t> </w:t>
      </w:r>
      <w:r>
        <w:rPr>
          <w:sz w:val="20"/>
        </w:rPr>
        <w:t>C54.3,</w:t>
      </w:r>
      <w:r>
        <w:rPr>
          <w:spacing w:val="-3"/>
          <w:sz w:val="20"/>
        </w:rPr>
        <w:t> </w:t>
      </w:r>
      <w:r>
        <w:rPr>
          <w:sz w:val="20"/>
        </w:rPr>
        <w:t>C54.8,</w:t>
      </w:r>
      <w:r>
        <w:rPr>
          <w:spacing w:val="-3"/>
          <w:sz w:val="20"/>
        </w:rPr>
        <w:t> </w:t>
      </w:r>
      <w:r>
        <w:rPr>
          <w:sz w:val="20"/>
        </w:rPr>
        <w:t>C54.9,</w:t>
      </w:r>
      <w:r>
        <w:rPr>
          <w:spacing w:val="-7"/>
          <w:sz w:val="20"/>
        </w:rPr>
        <w:t> </w:t>
      </w:r>
      <w:r>
        <w:rPr>
          <w:sz w:val="20"/>
        </w:rPr>
        <w:t>C55,</w:t>
      </w:r>
      <w:r>
        <w:rPr>
          <w:spacing w:val="-3"/>
          <w:sz w:val="20"/>
        </w:rPr>
        <w:t> </w:t>
      </w:r>
      <w:r>
        <w:rPr>
          <w:sz w:val="20"/>
        </w:rPr>
        <w:t>C56,</w:t>
      </w:r>
      <w:r>
        <w:rPr>
          <w:spacing w:val="-3"/>
          <w:sz w:val="20"/>
        </w:rPr>
        <w:t> </w:t>
      </w:r>
      <w:r>
        <w:rPr>
          <w:spacing w:val="-4"/>
          <w:sz w:val="20"/>
        </w:rPr>
        <w:t>C57,</w:t>
      </w:r>
    </w:p>
    <w:p>
      <w:pPr>
        <w:spacing w:line="229" w:lineRule="exact" w:before="1"/>
        <w:ind w:left="1167" w:right="4154" w:firstLine="0"/>
        <w:jc w:val="center"/>
        <w:rPr>
          <w:sz w:val="20"/>
        </w:rPr>
      </w:pPr>
      <w:r>
        <w:rPr>
          <w:sz w:val="20"/>
        </w:rPr>
        <w:t>C57.0,</w:t>
      </w:r>
      <w:r>
        <w:rPr>
          <w:spacing w:val="-6"/>
          <w:sz w:val="20"/>
        </w:rPr>
        <w:t> </w:t>
      </w:r>
      <w:r>
        <w:rPr>
          <w:sz w:val="20"/>
        </w:rPr>
        <w:t>C57.1,</w:t>
      </w:r>
      <w:r>
        <w:rPr>
          <w:spacing w:val="-4"/>
          <w:sz w:val="20"/>
        </w:rPr>
        <w:t> </w:t>
      </w:r>
      <w:r>
        <w:rPr>
          <w:sz w:val="20"/>
        </w:rPr>
        <w:t>C57.2,</w:t>
      </w:r>
      <w:r>
        <w:rPr>
          <w:spacing w:val="-4"/>
          <w:sz w:val="20"/>
        </w:rPr>
        <w:t> </w:t>
      </w:r>
      <w:r>
        <w:rPr>
          <w:sz w:val="20"/>
        </w:rPr>
        <w:t>C57.3,</w:t>
      </w:r>
      <w:r>
        <w:rPr>
          <w:spacing w:val="-8"/>
          <w:sz w:val="20"/>
        </w:rPr>
        <w:t> </w:t>
      </w:r>
      <w:r>
        <w:rPr>
          <w:sz w:val="20"/>
        </w:rPr>
        <w:t>C57.4,</w:t>
      </w:r>
      <w:r>
        <w:rPr>
          <w:spacing w:val="-3"/>
          <w:sz w:val="20"/>
        </w:rPr>
        <w:t> </w:t>
      </w:r>
      <w:r>
        <w:rPr>
          <w:sz w:val="20"/>
        </w:rPr>
        <w:t>C57.7,</w:t>
      </w:r>
      <w:r>
        <w:rPr>
          <w:spacing w:val="-3"/>
          <w:sz w:val="20"/>
        </w:rPr>
        <w:t> </w:t>
      </w:r>
      <w:r>
        <w:rPr>
          <w:spacing w:val="-2"/>
          <w:sz w:val="20"/>
        </w:rPr>
        <w:t>C57.8,</w:t>
      </w:r>
    </w:p>
    <w:p>
      <w:pPr>
        <w:spacing w:line="229" w:lineRule="exact" w:before="0"/>
        <w:ind w:left="1167" w:right="4154" w:firstLine="0"/>
        <w:jc w:val="center"/>
        <w:rPr>
          <w:sz w:val="20"/>
        </w:rPr>
      </w:pPr>
      <w:r>
        <w:rPr>
          <w:sz w:val="20"/>
        </w:rPr>
        <w:t>C57.9,</w:t>
      </w:r>
      <w:r>
        <w:rPr>
          <w:spacing w:val="-6"/>
          <w:sz w:val="20"/>
        </w:rPr>
        <w:t> </w:t>
      </w:r>
      <w:r>
        <w:rPr>
          <w:sz w:val="20"/>
        </w:rPr>
        <w:t>C58,</w:t>
      </w:r>
      <w:r>
        <w:rPr>
          <w:spacing w:val="-3"/>
          <w:sz w:val="20"/>
        </w:rPr>
        <w:t> </w:t>
      </w:r>
      <w:r>
        <w:rPr>
          <w:sz w:val="20"/>
        </w:rPr>
        <w:t>C60,</w:t>
      </w:r>
      <w:r>
        <w:rPr>
          <w:spacing w:val="-3"/>
          <w:sz w:val="20"/>
        </w:rPr>
        <w:t> </w:t>
      </w:r>
      <w:r>
        <w:rPr>
          <w:sz w:val="20"/>
        </w:rPr>
        <w:t>C60.0,</w:t>
      </w:r>
      <w:r>
        <w:rPr>
          <w:spacing w:val="-5"/>
          <w:sz w:val="20"/>
        </w:rPr>
        <w:t> </w:t>
      </w:r>
      <w:r>
        <w:rPr>
          <w:sz w:val="20"/>
        </w:rPr>
        <w:t>C60.1,</w:t>
      </w:r>
      <w:r>
        <w:rPr>
          <w:spacing w:val="-3"/>
          <w:sz w:val="20"/>
        </w:rPr>
        <w:t> </w:t>
      </w:r>
      <w:r>
        <w:rPr>
          <w:sz w:val="20"/>
        </w:rPr>
        <w:t>C60.2,</w:t>
      </w:r>
      <w:r>
        <w:rPr>
          <w:spacing w:val="-4"/>
          <w:sz w:val="20"/>
        </w:rPr>
        <w:t> </w:t>
      </w:r>
      <w:r>
        <w:rPr>
          <w:spacing w:val="-2"/>
          <w:sz w:val="20"/>
        </w:rPr>
        <w:t>C60.8,</w:t>
      </w:r>
    </w:p>
    <w:p>
      <w:pPr>
        <w:spacing w:before="0"/>
        <w:ind w:left="1165" w:right="4154" w:firstLine="0"/>
        <w:jc w:val="center"/>
        <w:rPr>
          <w:sz w:val="20"/>
        </w:rPr>
      </w:pPr>
      <w:r>
        <w:rPr>
          <w:sz w:val="20"/>
        </w:rPr>
        <w:t>C60.9,</w:t>
      </w:r>
      <w:r>
        <w:rPr>
          <w:spacing w:val="-6"/>
          <w:sz w:val="20"/>
        </w:rPr>
        <w:t> </w:t>
      </w:r>
      <w:r>
        <w:rPr>
          <w:sz w:val="20"/>
        </w:rPr>
        <w:t>C61,</w:t>
      </w:r>
      <w:r>
        <w:rPr>
          <w:spacing w:val="-3"/>
          <w:sz w:val="20"/>
        </w:rPr>
        <w:t> </w:t>
      </w:r>
      <w:r>
        <w:rPr>
          <w:sz w:val="20"/>
        </w:rPr>
        <w:t>C62,</w:t>
      </w:r>
      <w:r>
        <w:rPr>
          <w:spacing w:val="-3"/>
          <w:sz w:val="20"/>
        </w:rPr>
        <w:t> </w:t>
      </w:r>
      <w:r>
        <w:rPr>
          <w:sz w:val="20"/>
        </w:rPr>
        <w:t>C62.0,</w:t>
      </w:r>
      <w:r>
        <w:rPr>
          <w:spacing w:val="-4"/>
          <w:sz w:val="20"/>
        </w:rPr>
        <w:t> </w:t>
      </w:r>
      <w:r>
        <w:rPr>
          <w:sz w:val="20"/>
        </w:rPr>
        <w:t>C62.1,</w:t>
      </w:r>
      <w:r>
        <w:rPr>
          <w:spacing w:val="-3"/>
          <w:sz w:val="20"/>
        </w:rPr>
        <w:t> </w:t>
      </w:r>
      <w:r>
        <w:rPr>
          <w:sz w:val="20"/>
        </w:rPr>
        <w:t>C62.9,</w:t>
      </w:r>
      <w:r>
        <w:rPr>
          <w:spacing w:val="-4"/>
          <w:sz w:val="20"/>
        </w:rPr>
        <w:t> C63,</w:t>
      </w:r>
    </w:p>
    <w:p>
      <w:pPr>
        <w:spacing w:before="1"/>
        <w:ind w:left="1167" w:right="4154" w:firstLine="0"/>
        <w:jc w:val="center"/>
        <w:rPr>
          <w:sz w:val="20"/>
        </w:rPr>
      </w:pPr>
      <w:r>
        <w:rPr>
          <w:sz w:val="20"/>
        </w:rPr>
        <w:t>C63.0,</w:t>
      </w:r>
      <w:r>
        <w:rPr>
          <w:spacing w:val="-6"/>
          <w:sz w:val="20"/>
        </w:rPr>
        <w:t> </w:t>
      </w:r>
      <w:r>
        <w:rPr>
          <w:sz w:val="20"/>
        </w:rPr>
        <w:t>C63.1,</w:t>
      </w:r>
      <w:r>
        <w:rPr>
          <w:spacing w:val="-4"/>
          <w:sz w:val="20"/>
        </w:rPr>
        <w:t> </w:t>
      </w:r>
      <w:r>
        <w:rPr>
          <w:sz w:val="20"/>
        </w:rPr>
        <w:t>C63.2,</w:t>
      </w:r>
      <w:r>
        <w:rPr>
          <w:spacing w:val="-4"/>
          <w:sz w:val="20"/>
        </w:rPr>
        <w:t> </w:t>
      </w:r>
      <w:r>
        <w:rPr>
          <w:sz w:val="20"/>
        </w:rPr>
        <w:t>C63.7,</w:t>
      </w:r>
      <w:r>
        <w:rPr>
          <w:spacing w:val="-9"/>
          <w:sz w:val="20"/>
        </w:rPr>
        <w:t> </w:t>
      </w:r>
      <w:r>
        <w:rPr>
          <w:sz w:val="20"/>
        </w:rPr>
        <w:t>C63.8,</w:t>
      </w:r>
      <w:r>
        <w:rPr>
          <w:spacing w:val="-3"/>
          <w:sz w:val="20"/>
        </w:rPr>
        <w:t> </w:t>
      </w:r>
      <w:r>
        <w:rPr>
          <w:sz w:val="20"/>
        </w:rPr>
        <w:t>C63.9,</w:t>
      </w:r>
      <w:r>
        <w:rPr>
          <w:spacing w:val="-3"/>
          <w:sz w:val="20"/>
        </w:rPr>
        <w:t> </w:t>
      </w:r>
      <w:r>
        <w:rPr>
          <w:spacing w:val="-4"/>
          <w:sz w:val="20"/>
        </w:rPr>
        <w:t>C64,</w:t>
      </w:r>
    </w:p>
    <w:p>
      <w:pPr>
        <w:spacing w:before="0"/>
        <w:ind w:left="1165" w:right="4154" w:firstLine="0"/>
        <w:jc w:val="center"/>
        <w:rPr>
          <w:sz w:val="20"/>
        </w:rPr>
      </w:pPr>
      <w:r>
        <w:rPr>
          <w:sz w:val="20"/>
        </w:rPr>
        <w:t>C65,</w:t>
      </w:r>
      <w:r>
        <w:rPr>
          <w:spacing w:val="-3"/>
          <w:sz w:val="20"/>
        </w:rPr>
        <w:t> </w:t>
      </w:r>
      <w:r>
        <w:rPr>
          <w:sz w:val="20"/>
        </w:rPr>
        <w:t>C66,</w:t>
      </w:r>
      <w:r>
        <w:rPr>
          <w:spacing w:val="-3"/>
          <w:sz w:val="20"/>
        </w:rPr>
        <w:t> </w:t>
      </w:r>
      <w:r>
        <w:rPr>
          <w:sz w:val="20"/>
        </w:rPr>
        <w:t>C67,</w:t>
      </w:r>
      <w:r>
        <w:rPr>
          <w:spacing w:val="-3"/>
          <w:sz w:val="20"/>
        </w:rPr>
        <w:t> </w:t>
      </w:r>
      <w:r>
        <w:rPr>
          <w:sz w:val="20"/>
        </w:rPr>
        <w:t>C67.0,</w:t>
      </w:r>
      <w:r>
        <w:rPr>
          <w:spacing w:val="-3"/>
          <w:sz w:val="20"/>
        </w:rPr>
        <w:t> </w:t>
      </w:r>
      <w:r>
        <w:rPr>
          <w:sz w:val="20"/>
        </w:rPr>
        <w:t>C67.1,</w:t>
      </w:r>
      <w:r>
        <w:rPr>
          <w:spacing w:val="-4"/>
          <w:sz w:val="20"/>
        </w:rPr>
        <w:t> </w:t>
      </w:r>
      <w:r>
        <w:rPr>
          <w:sz w:val="20"/>
        </w:rPr>
        <w:t>C67.2,</w:t>
      </w:r>
      <w:r>
        <w:rPr>
          <w:spacing w:val="-2"/>
          <w:sz w:val="20"/>
        </w:rPr>
        <w:t> C67.3,</w:t>
      </w:r>
    </w:p>
    <w:p>
      <w:pPr>
        <w:spacing w:before="1"/>
        <w:ind w:left="1167" w:right="4154" w:firstLine="0"/>
        <w:jc w:val="center"/>
        <w:rPr>
          <w:sz w:val="20"/>
        </w:rPr>
      </w:pPr>
      <w:r>
        <w:rPr>
          <w:sz w:val="20"/>
        </w:rPr>
        <w:t>C67.4,</w:t>
      </w:r>
      <w:r>
        <w:rPr>
          <w:spacing w:val="-6"/>
          <w:sz w:val="20"/>
        </w:rPr>
        <w:t> </w:t>
      </w:r>
      <w:r>
        <w:rPr>
          <w:sz w:val="20"/>
        </w:rPr>
        <w:t>C67.5,</w:t>
      </w:r>
      <w:r>
        <w:rPr>
          <w:spacing w:val="-4"/>
          <w:sz w:val="20"/>
        </w:rPr>
        <w:t> </w:t>
      </w:r>
      <w:r>
        <w:rPr>
          <w:sz w:val="20"/>
        </w:rPr>
        <w:t>C67.6,</w:t>
      </w:r>
      <w:r>
        <w:rPr>
          <w:spacing w:val="-4"/>
          <w:sz w:val="20"/>
        </w:rPr>
        <w:t> </w:t>
      </w:r>
      <w:r>
        <w:rPr>
          <w:sz w:val="20"/>
        </w:rPr>
        <w:t>C67.7,</w:t>
      </w:r>
      <w:r>
        <w:rPr>
          <w:spacing w:val="-8"/>
          <w:sz w:val="20"/>
        </w:rPr>
        <w:t> </w:t>
      </w:r>
      <w:r>
        <w:rPr>
          <w:sz w:val="20"/>
        </w:rPr>
        <w:t>C67.8,</w:t>
      </w:r>
      <w:r>
        <w:rPr>
          <w:spacing w:val="-3"/>
          <w:sz w:val="20"/>
        </w:rPr>
        <w:t> </w:t>
      </w:r>
      <w:r>
        <w:rPr>
          <w:sz w:val="20"/>
        </w:rPr>
        <w:t>C67.9,</w:t>
      </w:r>
      <w:r>
        <w:rPr>
          <w:spacing w:val="-3"/>
          <w:sz w:val="20"/>
        </w:rPr>
        <w:t> </w:t>
      </w:r>
      <w:r>
        <w:rPr>
          <w:spacing w:val="-4"/>
          <w:sz w:val="20"/>
        </w:rPr>
        <w:t>C68,</w:t>
      </w:r>
    </w:p>
    <w:p>
      <w:pPr>
        <w:spacing w:line="229" w:lineRule="exact" w:before="0"/>
        <w:ind w:left="1167" w:right="4154" w:firstLine="0"/>
        <w:jc w:val="center"/>
        <w:rPr>
          <w:sz w:val="20"/>
        </w:rPr>
      </w:pPr>
      <w:r>
        <w:rPr>
          <w:sz w:val="20"/>
        </w:rPr>
        <w:t>C68.0,</w:t>
      </w:r>
      <w:r>
        <w:rPr>
          <w:spacing w:val="-4"/>
          <w:sz w:val="20"/>
        </w:rPr>
        <w:t> </w:t>
      </w:r>
      <w:r>
        <w:rPr>
          <w:sz w:val="20"/>
        </w:rPr>
        <w:t>C68.1,</w:t>
      </w:r>
      <w:r>
        <w:rPr>
          <w:spacing w:val="-3"/>
          <w:sz w:val="20"/>
        </w:rPr>
        <w:t> </w:t>
      </w:r>
      <w:r>
        <w:rPr>
          <w:sz w:val="20"/>
        </w:rPr>
        <w:t>C68.8,</w:t>
      </w:r>
      <w:r>
        <w:rPr>
          <w:spacing w:val="-3"/>
          <w:sz w:val="20"/>
        </w:rPr>
        <w:t> </w:t>
      </w:r>
      <w:r>
        <w:rPr>
          <w:sz w:val="20"/>
        </w:rPr>
        <w:t>C68.9,</w:t>
      </w:r>
      <w:r>
        <w:rPr>
          <w:spacing w:val="-7"/>
          <w:sz w:val="20"/>
        </w:rPr>
        <w:t> </w:t>
      </w:r>
      <w:r>
        <w:rPr>
          <w:sz w:val="20"/>
        </w:rPr>
        <w:t>C69,</w:t>
      </w:r>
      <w:r>
        <w:rPr>
          <w:spacing w:val="-4"/>
          <w:sz w:val="20"/>
        </w:rPr>
        <w:t> </w:t>
      </w:r>
      <w:r>
        <w:rPr>
          <w:sz w:val="20"/>
        </w:rPr>
        <w:t>C69.0,</w:t>
      </w:r>
      <w:r>
        <w:rPr>
          <w:spacing w:val="-3"/>
          <w:sz w:val="20"/>
        </w:rPr>
        <w:t> </w:t>
      </w:r>
      <w:r>
        <w:rPr>
          <w:spacing w:val="-2"/>
          <w:sz w:val="20"/>
        </w:rPr>
        <w:t>C69.1,</w:t>
      </w:r>
    </w:p>
    <w:p>
      <w:pPr>
        <w:spacing w:line="229" w:lineRule="exact" w:before="0"/>
        <w:ind w:left="1167" w:right="4154" w:firstLine="0"/>
        <w:jc w:val="center"/>
        <w:rPr>
          <w:sz w:val="20"/>
        </w:rPr>
      </w:pPr>
      <w:r>
        <w:rPr>
          <w:sz w:val="20"/>
        </w:rPr>
        <w:t>C69.2,</w:t>
      </w:r>
      <w:r>
        <w:rPr>
          <w:spacing w:val="-6"/>
          <w:sz w:val="20"/>
        </w:rPr>
        <w:t> </w:t>
      </w:r>
      <w:r>
        <w:rPr>
          <w:sz w:val="20"/>
        </w:rPr>
        <w:t>C69.3,</w:t>
      </w:r>
      <w:r>
        <w:rPr>
          <w:spacing w:val="-4"/>
          <w:sz w:val="20"/>
        </w:rPr>
        <w:t> </w:t>
      </w:r>
      <w:r>
        <w:rPr>
          <w:sz w:val="20"/>
        </w:rPr>
        <w:t>C69.4,</w:t>
      </w:r>
      <w:r>
        <w:rPr>
          <w:spacing w:val="-4"/>
          <w:sz w:val="20"/>
        </w:rPr>
        <w:t> </w:t>
      </w:r>
      <w:r>
        <w:rPr>
          <w:sz w:val="20"/>
        </w:rPr>
        <w:t>C69.5,</w:t>
      </w:r>
      <w:r>
        <w:rPr>
          <w:spacing w:val="-8"/>
          <w:sz w:val="20"/>
        </w:rPr>
        <w:t> </w:t>
      </w:r>
      <w:r>
        <w:rPr>
          <w:sz w:val="20"/>
        </w:rPr>
        <w:t>C69.6,</w:t>
      </w:r>
      <w:r>
        <w:rPr>
          <w:spacing w:val="-3"/>
          <w:sz w:val="20"/>
        </w:rPr>
        <w:t> </w:t>
      </w:r>
      <w:r>
        <w:rPr>
          <w:sz w:val="20"/>
        </w:rPr>
        <w:t>C69.8,</w:t>
      </w:r>
      <w:r>
        <w:rPr>
          <w:spacing w:val="-3"/>
          <w:sz w:val="20"/>
        </w:rPr>
        <w:t> </w:t>
      </w:r>
      <w:r>
        <w:rPr>
          <w:spacing w:val="-2"/>
          <w:sz w:val="20"/>
        </w:rPr>
        <w:t>C69.9,</w:t>
      </w:r>
    </w:p>
    <w:p>
      <w:pPr>
        <w:spacing w:before="1"/>
        <w:ind w:left="1167" w:right="4154" w:firstLine="0"/>
        <w:jc w:val="center"/>
        <w:rPr>
          <w:sz w:val="20"/>
        </w:rPr>
      </w:pPr>
      <w:r>
        <w:rPr>
          <w:sz w:val="20"/>
        </w:rPr>
        <w:t>C70,</w:t>
      </w:r>
      <w:r>
        <w:rPr>
          <w:spacing w:val="-6"/>
          <w:sz w:val="20"/>
        </w:rPr>
        <w:t> </w:t>
      </w:r>
      <w:r>
        <w:rPr>
          <w:sz w:val="20"/>
        </w:rPr>
        <w:t>C70.0,</w:t>
      </w:r>
      <w:r>
        <w:rPr>
          <w:spacing w:val="-4"/>
          <w:sz w:val="20"/>
        </w:rPr>
        <w:t> </w:t>
      </w:r>
      <w:r>
        <w:rPr>
          <w:sz w:val="20"/>
        </w:rPr>
        <w:t>C70.1,</w:t>
      </w:r>
      <w:r>
        <w:rPr>
          <w:spacing w:val="-3"/>
          <w:sz w:val="20"/>
        </w:rPr>
        <w:t> </w:t>
      </w:r>
      <w:r>
        <w:rPr>
          <w:sz w:val="20"/>
        </w:rPr>
        <w:t>C70.9,</w:t>
      </w:r>
      <w:r>
        <w:rPr>
          <w:spacing w:val="-4"/>
          <w:sz w:val="20"/>
        </w:rPr>
        <w:t> </w:t>
      </w:r>
      <w:r>
        <w:rPr>
          <w:sz w:val="20"/>
        </w:rPr>
        <w:t>C71,</w:t>
      </w:r>
      <w:r>
        <w:rPr>
          <w:spacing w:val="-3"/>
          <w:sz w:val="20"/>
        </w:rPr>
        <w:t> </w:t>
      </w:r>
      <w:r>
        <w:rPr>
          <w:sz w:val="20"/>
        </w:rPr>
        <w:t>C71.0,</w:t>
      </w:r>
      <w:r>
        <w:rPr>
          <w:spacing w:val="-5"/>
          <w:sz w:val="20"/>
        </w:rPr>
        <w:t> </w:t>
      </w:r>
      <w:r>
        <w:rPr>
          <w:spacing w:val="-2"/>
          <w:sz w:val="20"/>
        </w:rPr>
        <w:t>C71.1,</w:t>
      </w:r>
    </w:p>
    <w:p>
      <w:pPr>
        <w:spacing w:before="0"/>
        <w:ind w:left="1167" w:right="4154" w:firstLine="0"/>
        <w:jc w:val="center"/>
        <w:rPr>
          <w:sz w:val="20"/>
        </w:rPr>
      </w:pPr>
      <w:r>
        <w:rPr>
          <w:sz w:val="20"/>
        </w:rPr>
        <w:t>C71.2,</w:t>
      </w:r>
      <w:r>
        <w:rPr>
          <w:spacing w:val="-6"/>
          <w:sz w:val="20"/>
        </w:rPr>
        <w:t> </w:t>
      </w:r>
      <w:r>
        <w:rPr>
          <w:sz w:val="20"/>
        </w:rPr>
        <w:t>C71.3,</w:t>
      </w:r>
      <w:r>
        <w:rPr>
          <w:spacing w:val="-4"/>
          <w:sz w:val="20"/>
        </w:rPr>
        <w:t> </w:t>
      </w:r>
      <w:r>
        <w:rPr>
          <w:sz w:val="20"/>
        </w:rPr>
        <w:t>C71.4,</w:t>
      </w:r>
      <w:r>
        <w:rPr>
          <w:spacing w:val="-4"/>
          <w:sz w:val="20"/>
        </w:rPr>
        <w:t> </w:t>
      </w:r>
      <w:r>
        <w:rPr>
          <w:sz w:val="20"/>
        </w:rPr>
        <w:t>C71.5,</w:t>
      </w:r>
      <w:r>
        <w:rPr>
          <w:spacing w:val="-8"/>
          <w:sz w:val="20"/>
        </w:rPr>
        <w:t> </w:t>
      </w:r>
      <w:r>
        <w:rPr>
          <w:sz w:val="20"/>
        </w:rPr>
        <w:t>C71.6,</w:t>
      </w:r>
      <w:r>
        <w:rPr>
          <w:spacing w:val="-3"/>
          <w:sz w:val="20"/>
        </w:rPr>
        <w:t> </w:t>
      </w:r>
      <w:r>
        <w:rPr>
          <w:sz w:val="20"/>
        </w:rPr>
        <w:t>C71.7,</w:t>
      </w:r>
      <w:r>
        <w:rPr>
          <w:spacing w:val="-3"/>
          <w:sz w:val="20"/>
        </w:rPr>
        <w:t> </w:t>
      </w:r>
      <w:r>
        <w:rPr>
          <w:spacing w:val="-2"/>
          <w:sz w:val="20"/>
        </w:rPr>
        <w:t>C71.8,</w:t>
      </w:r>
    </w:p>
    <w:p>
      <w:pPr>
        <w:spacing w:before="1"/>
        <w:ind w:left="1167" w:right="4154" w:firstLine="0"/>
        <w:jc w:val="center"/>
        <w:rPr>
          <w:sz w:val="20"/>
        </w:rPr>
      </w:pPr>
      <w:r>
        <w:rPr>
          <w:sz w:val="20"/>
        </w:rPr>
        <w:t>C71.9,</w:t>
      </w:r>
      <w:r>
        <w:rPr>
          <w:spacing w:val="-4"/>
          <w:sz w:val="20"/>
        </w:rPr>
        <w:t> </w:t>
      </w:r>
      <w:r>
        <w:rPr>
          <w:sz w:val="20"/>
        </w:rPr>
        <w:t>C72,</w:t>
      </w:r>
      <w:r>
        <w:rPr>
          <w:spacing w:val="-4"/>
          <w:sz w:val="20"/>
        </w:rPr>
        <w:t> </w:t>
      </w:r>
      <w:r>
        <w:rPr>
          <w:sz w:val="20"/>
        </w:rPr>
        <w:t>C72.0,</w:t>
      </w:r>
      <w:r>
        <w:rPr>
          <w:spacing w:val="-4"/>
          <w:sz w:val="20"/>
        </w:rPr>
        <w:t> </w:t>
      </w:r>
      <w:r>
        <w:rPr>
          <w:sz w:val="20"/>
        </w:rPr>
        <w:t>C72.1,</w:t>
      </w:r>
      <w:r>
        <w:rPr>
          <w:spacing w:val="-4"/>
          <w:sz w:val="20"/>
        </w:rPr>
        <w:t> </w:t>
      </w:r>
      <w:r>
        <w:rPr>
          <w:sz w:val="20"/>
        </w:rPr>
        <w:t>C72.2,</w:t>
      </w:r>
      <w:r>
        <w:rPr>
          <w:spacing w:val="-3"/>
          <w:sz w:val="20"/>
        </w:rPr>
        <w:t> </w:t>
      </w:r>
      <w:r>
        <w:rPr>
          <w:sz w:val="20"/>
        </w:rPr>
        <w:t>C72.3,</w:t>
      </w:r>
      <w:r>
        <w:rPr>
          <w:spacing w:val="-4"/>
          <w:sz w:val="20"/>
        </w:rPr>
        <w:t> </w:t>
      </w:r>
      <w:r>
        <w:rPr>
          <w:spacing w:val="-2"/>
          <w:sz w:val="20"/>
        </w:rPr>
        <w:t>C72.4,</w:t>
      </w:r>
    </w:p>
    <w:p>
      <w:pPr>
        <w:spacing w:before="0"/>
        <w:ind w:left="1167" w:right="4154" w:firstLine="0"/>
        <w:jc w:val="center"/>
        <w:rPr>
          <w:sz w:val="20"/>
        </w:rPr>
      </w:pPr>
      <w:r>
        <w:rPr>
          <w:sz w:val="20"/>
        </w:rPr>
        <w:t>C72.5,</w:t>
      </w:r>
      <w:r>
        <w:rPr>
          <w:spacing w:val="-6"/>
          <w:sz w:val="20"/>
        </w:rPr>
        <w:t> </w:t>
      </w:r>
      <w:r>
        <w:rPr>
          <w:sz w:val="20"/>
        </w:rPr>
        <w:t>C72.8,</w:t>
      </w:r>
      <w:r>
        <w:rPr>
          <w:spacing w:val="-4"/>
          <w:sz w:val="20"/>
        </w:rPr>
        <w:t> </w:t>
      </w:r>
      <w:r>
        <w:rPr>
          <w:sz w:val="20"/>
        </w:rPr>
        <w:t>C72.9,</w:t>
      </w:r>
      <w:r>
        <w:rPr>
          <w:spacing w:val="-4"/>
          <w:sz w:val="20"/>
        </w:rPr>
        <w:t> </w:t>
      </w:r>
      <w:r>
        <w:rPr>
          <w:sz w:val="20"/>
        </w:rPr>
        <w:t>C73,</w:t>
      </w:r>
      <w:r>
        <w:rPr>
          <w:spacing w:val="-3"/>
          <w:sz w:val="20"/>
        </w:rPr>
        <w:t> </w:t>
      </w:r>
      <w:r>
        <w:rPr>
          <w:sz w:val="20"/>
        </w:rPr>
        <w:t>C74,</w:t>
      </w:r>
      <w:r>
        <w:rPr>
          <w:spacing w:val="-4"/>
          <w:sz w:val="20"/>
        </w:rPr>
        <w:t> </w:t>
      </w:r>
      <w:r>
        <w:rPr>
          <w:sz w:val="20"/>
        </w:rPr>
        <w:t>C74.0,</w:t>
      </w:r>
      <w:r>
        <w:rPr>
          <w:spacing w:val="-5"/>
          <w:sz w:val="20"/>
        </w:rPr>
        <w:t> </w:t>
      </w:r>
      <w:r>
        <w:rPr>
          <w:spacing w:val="-2"/>
          <w:sz w:val="20"/>
        </w:rPr>
        <w:t>C74.1,</w:t>
      </w:r>
    </w:p>
    <w:p>
      <w:pPr>
        <w:spacing w:before="0"/>
        <w:ind w:left="1167" w:right="4154" w:firstLine="0"/>
        <w:jc w:val="center"/>
        <w:rPr>
          <w:sz w:val="20"/>
        </w:rPr>
      </w:pPr>
      <w:r>
        <w:rPr>
          <w:sz w:val="20"/>
        </w:rPr>
        <w:t>C74.9,</w:t>
      </w:r>
      <w:r>
        <w:rPr>
          <w:spacing w:val="-4"/>
          <w:sz w:val="20"/>
        </w:rPr>
        <w:t> </w:t>
      </w:r>
      <w:r>
        <w:rPr>
          <w:sz w:val="20"/>
        </w:rPr>
        <w:t>C75,</w:t>
      </w:r>
      <w:r>
        <w:rPr>
          <w:spacing w:val="-4"/>
          <w:sz w:val="20"/>
        </w:rPr>
        <w:t> </w:t>
      </w:r>
      <w:r>
        <w:rPr>
          <w:sz w:val="20"/>
        </w:rPr>
        <w:t>C75.0,</w:t>
      </w:r>
      <w:r>
        <w:rPr>
          <w:spacing w:val="-4"/>
          <w:sz w:val="20"/>
        </w:rPr>
        <w:t> </w:t>
      </w:r>
      <w:r>
        <w:rPr>
          <w:sz w:val="20"/>
        </w:rPr>
        <w:t>C75.1,</w:t>
      </w:r>
      <w:r>
        <w:rPr>
          <w:spacing w:val="-4"/>
          <w:sz w:val="20"/>
        </w:rPr>
        <w:t> </w:t>
      </w:r>
      <w:r>
        <w:rPr>
          <w:sz w:val="20"/>
        </w:rPr>
        <w:t>C75.2,</w:t>
      </w:r>
      <w:r>
        <w:rPr>
          <w:spacing w:val="-3"/>
          <w:sz w:val="20"/>
        </w:rPr>
        <w:t> </w:t>
      </w:r>
      <w:r>
        <w:rPr>
          <w:sz w:val="20"/>
        </w:rPr>
        <w:t>C75.3,</w:t>
      </w:r>
      <w:r>
        <w:rPr>
          <w:spacing w:val="-4"/>
          <w:sz w:val="20"/>
        </w:rPr>
        <w:t> </w:t>
      </w:r>
      <w:r>
        <w:rPr>
          <w:spacing w:val="-2"/>
          <w:sz w:val="20"/>
        </w:rPr>
        <w:t>C75.4,</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45"/>
        <w:gridCol w:w="4380"/>
        <w:gridCol w:w="3490"/>
        <w:gridCol w:w="2339"/>
        <w:gridCol w:w="939"/>
      </w:tblGrid>
      <w:tr>
        <w:trPr>
          <w:trHeight w:val="1654" w:hRule="atLeast"/>
        </w:trPr>
        <w:tc>
          <w:tcPr>
            <w:tcW w:w="1003" w:type="dxa"/>
          </w:tcPr>
          <w:p>
            <w:pPr>
              <w:pStyle w:val="TableParagraph"/>
              <w:rPr>
                <w:sz w:val="18"/>
              </w:rPr>
            </w:pPr>
          </w:p>
        </w:tc>
        <w:tc>
          <w:tcPr>
            <w:tcW w:w="645" w:type="dxa"/>
          </w:tcPr>
          <w:p>
            <w:pPr>
              <w:pStyle w:val="TableParagraph"/>
              <w:rPr>
                <w:sz w:val="18"/>
              </w:rPr>
            </w:pPr>
          </w:p>
        </w:tc>
        <w:tc>
          <w:tcPr>
            <w:tcW w:w="2545" w:type="dxa"/>
          </w:tcPr>
          <w:p>
            <w:pPr>
              <w:pStyle w:val="TableParagraph"/>
              <w:rPr>
                <w:sz w:val="18"/>
              </w:rPr>
            </w:pPr>
          </w:p>
        </w:tc>
        <w:tc>
          <w:tcPr>
            <w:tcW w:w="4380" w:type="dxa"/>
          </w:tcPr>
          <w:p>
            <w:pPr>
              <w:pStyle w:val="TableParagraph"/>
              <w:spacing w:line="221" w:lineRule="exact"/>
              <w:ind w:left="259"/>
              <w:rPr>
                <w:sz w:val="20"/>
              </w:rPr>
            </w:pPr>
            <w:r>
              <w:rPr>
                <w:sz w:val="20"/>
              </w:rPr>
              <w:t>C75.5,</w:t>
            </w:r>
            <w:r>
              <w:rPr>
                <w:spacing w:val="-5"/>
                <w:sz w:val="20"/>
              </w:rPr>
              <w:t> </w:t>
            </w:r>
            <w:r>
              <w:rPr>
                <w:sz w:val="20"/>
              </w:rPr>
              <w:t>C75.8,</w:t>
            </w:r>
            <w:r>
              <w:rPr>
                <w:spacing w:val="-4"/>
                <w:sz w:val="20"/>
              </w:rPr>
              <w:t> </w:t>
            </w:r>
            <w:r>
              <w:rPr>
                <w:sz w:val="20"/>
              </w:rPr>
              <w:t>C75.9,</w:t>
            </w:r>
            <w:r>
              <w:rPr>
                <w:spacing w:val="-4"/>
                <w:sz w:val="20"/>
              </w:rPr>
              <w:t> </w:t>
            </w:r>
            <w:r>
              <w:rPr>
                <w:sz w:val="20"/>
              </w:rPr>
              <w:t>C76,</w:t>
            </w:r>
            <w:r>
              <w:rPr>
                <w:spacing w:val="-4"/>
                <w:sz w:val="20"/>
              </w:rPr>
              <w:t> </w:t>
            </w:r>
            <w:r>
              <w:rPr>
                <w:sz w:val="20"/>
              </w:rPr>
              <w:t>C76.0,</w:t>
            </w:r>
            <w:r>
              <w:rPr>
                <w:spacing w:val="-3"/>
                <w:sz w:val="20"/>
              </w:rPr>
              <w:t> </w:t>
            </w:r>
            <w:r>
              <w:rPr>
                <w:sz w:val="20"/>
              </w:rPr>
              <w:t>C76.1,</w:t>
            </w:r>
            <w:r>
              <w:rPr>
                <w:spacing w:val="-4"/>
                <w:sz w:val="20"/>
              </w:rPr>
              <w:t> </w:t>
            </w:r>
            <w:r>
              <w:rPr>
                <w:spacing w:val="-2"/>
                <w:sz w:val="20"/>
              </w:rPr>
              <w:t>C76.2,</w:t>
            </w:r>
          </w:p>
          <w:p>
            <w:pPr>
              <w:pStyle w:val="TableParagraph"/>
              <w:spacing w:line="229" w:lineRule="exact"/>
              <w:ind w:left="259"/>
              <w:rPr>
                <w:sz w:val="20"/>
              </w:rPr>
            </w:pPr>
            <w:r>
              <w:rPr>
                <w:sz w:val="20"/>
              </w:rPr>
              <w:t>C76.3,</w:t>
            </w:r>
            <w:r>
              <w:rPr>
                <w:spacing w:val="-4"/>
                <w:sz w:val="20"/>
              </w:rPr>
              <w:t> </w:t>
            </w:r>
            <w:r>
              <w:rPr>
                <w:sz w:val="20"/>
              </w:rPr>
              <w:t>C76.4,</w:t>
            </w:r>
            <w:r>
              <w:rPr>
                <w:spacing w:val="-3"/>
                <w:sz w:val="20"/>
              </w:rPr>
              <w:t> </w:t>
            </w:r>
            <w:r>
              <w:rPr>
                <w:sz w:val="20"/>
              </w:rPr>
              <w:t>C76.5,</w:t>
            </w:r>
            <w:r>
              <w:rPr>
                <w:spacing w:val="-3"/>
                <w:sz w:val="20"/>
              </w:rPr>
              <w:t> </w:t>
            </w:r>
            <w:r>
              <w:rPr>
                <w:sz w:val="20"/>
              </w:rPr>
              <w:t>C76.7,</w:t>
            </w:r>
            <w:r>
              <w:rPr>
                <w:spacing w:val="-8"/>
                <w:sz w:val="20"/>
              </w:rPr>
              <w:t> </w:t>
            </w:r>
            <w:r>
              <w:rPr>
                <w:sz w:val="20"/>
              </w:rPr>
              <w:t>C76.8,</w:t>
            </w:r>
            <w:r>
              <w:rPr>
                <w:spacing w:val="-3"/>
                <w:sz w:val="20"/>
              </w:rPr>
              <w:t> </w:t>
            </w:r>
            <w:r>
              <w:rPr>
                <w:sz w:val="20"/>
              </w:rPr>
              <w:t>C77,</w:t>
            </w:r>
            <w:r>
              <w:rPr>
                <w:spacing w:val="-3"/>
                <w:sz w:val="20"/>
              </w:rPr>
              <w:t> </w:t>
            </w:r>
            <w:r>
              <w:rPr>
                <w:spacing w:val="-2"/>
                <w:sz w:val="20"/>
              </w:rPr>
              <w:t>C77.0,</w:t>
            </w:r>
          </w:p>
          <w:p>
            <w:pPr>
              <w:pStyle w:val="TableParagraph"/>
              <w:spacing w:line="229" w:lineRule="exact"/>
              <w:ind w:left="185"/>
              <w:rPr>
                <w:sz w:val="20"/>
              </w:rPr>
            </w:pPr>
            <w:r>
              <w:rPr>
                <w:sz w:val="20"/>
              </w:rPr>
              <w:t>C77.1,</w:t>
            </w:r>
            <w:r>
              <w:rPr>
                <w:spacing w:val="-6"/>
                <w:sz w:val="20"/>
              </w:rPr>
              <w:t> </w:t>
            </w:r>
            <w:r>
              <w:rPr>
                <w:sz w:val="20"/>
              </w:rPr>
              <w:t>C77.2,</w:t>
            </w:r>
            <w:r>
              <w:rPr>
                <w:spacing w:val="-4"/>
                <w:sz w:val="20"/>
              </w:rPr>
              <w:t> </w:t>
            </w:r>
            <w:r>
              <w:rPr>
                <w:sz w:val="20"/>
              </w:rPr>
              <w:t>C77.3,</w:t>
            </w:r>
            <w:r>
              <w:rPr>
                <w:spacing w:val="-4"/>
                <w:sz w:val="20"/>
              </w:rPr>
              <w:t> </w:t>
            </w:r>
            <w:r>
              <w:rPr>
                <w:sz w:val="20"/>
              </w:rPr>
              <w:t>C77.4,</w:t>
            </w:r>
            <w:r>
              <w:rPr>
                <w:spacing w:val="-8"/>
                <w:sz w:val="20"/>
              </w:rPr>
              <w:t> </w:t>
            </w:r>
            <w:r>
              <w:rPr>
                <w:sz w:val="20"/>
              </w:rPr>
              <w:t>C77.5,</w:t>
            </w:r>
            <w:r>
              <w:rPr>
                <w:spacing w:val="-3"/>
                <w:sz w:val="20"/>
              </w:rPr>
              <w:t> </w:t>
            </w:r>
            <w:r>
              <w:rPr>
                <w:sz w:val="20"/>
              </w:rPr>
              <w:t>C77.8,</w:t>
            </w:r>
            <w:r>
              <w:rPr>
                <w:spacing w:val="-3"/>
                <w:sz w:val="20"/>
              </w:rPr>
              <w:t> </w:t>
            </w:r>
            <w:r>
              <w:rPr>
                <w:spacing w:val="-2"/>
                <w:sz w:val="20"/>
              </w:rPr>
              <w:t>C77.9,</w:t>
            </w:r>
          </w:p>
          <w:p>
            <w:pPr>
              <w:pStyle w:val="TableParagraph"/>
              <w:spacing w:before="1"/>
              <w:ind w:left="257" w:right="234"/>
              <w:jc w:val="center"/>
              <w:rPr>
                <w:sz w:val="20"/>
              </w:rPr>
            </w:pPr>
            <w:r>
              <w:rPr>
                <w:sz w:val="20"/>
              </w:rPr>
              <w:t>C78,</w:t>
            </w:r>
            <w:r>
              <w:rPr>
                <w:spacing w:val="-4"/>
                <w:sz w:val="20"/>
              </w:rPr>
              <w:t> </w:t>
            </w:r>
            <w:r>
              <w:rPr>
                <w:sz w:val="20"/>
              </w:rPr>
              <w:t>C78.0,</w:t>
            </w:r>
            <w:r>
              <w:rPr>
                <w:spacing w:val="-4"/>
                <w:sz w:val="20"/>
              </w:rPr>
              <w:t> </w:t>
            </w:r>
            <w:r>
              <w:rPr>
                <w:sz w:val="20"/>
              </w:rPr>
              <w:t>C78.1,</w:t>
            </w:r>
            <w:r>
              <w:rPr>
                <w:spacing w:val="-4"/>
                <w:sz w:val="20"/>
              </w:rPr>
              <w:t> </w:t>
            </w:r>
            <w:r>
              <w:rPr>
                <w:sz w:val="20"/>
              </w:rPr>
              <w:t>C78.2,</w:t>
            </w:r>
            <w:r>
              <w:rPr>
                <w:spacing w:val="-4"/>
                <w:sz w:val="20"/>
              </w:rPr>
              <w:t> </w:t>
            </w:r>
            <w:r>
              <w:rPr>
                <w:sz w:val="20"/>
              </w:rPr>
              <w:t>C78.3,</w:t>
            </w:r>
            <w:r>
              <w:rPr>
                <w:spacing w:val="-3"/>
                <w:sz w:val="20"/>
              </w:rPr>
              <w:t> </w:t>
            </w:r>
            <w:r>
              <w:rPr>
                <w:sz w:val="20"/>
              </w:rPr>
              <w:t>C78.4,</w:t>
            </w:r>
            <w:r>
              <w:rPr>
                <w:spacing w:val="-4"/>
                <w:sz w:val="20"/>
              </w:rPr>
              <w:t> </w:t>
            </w:r>
            <w:r>
              <w:rPr>
                <w:spacing w:val="-2"/>
                <w:sz w:val="20"/>
              </w:rPr>
              <w:t>C78.5,</w:t>
            </w:r>
          </w:p>
          <w:p>
            <w:pPr>
              <w:pStyle w:val="TableParagraph"/>
              <w:ind w:left="257" w:right="234"/>
              <w:jc w:val="center"/>
              <w:rPr>
                <w:sz w:val="20"/>
              </w:rPr>
            </w:pPr>
            <w:r>
              <w:rPr>
                <w:sz w:val="20"/>
              </w:rPr>
              <w:t>C78.6,</w:t>
            </w:r>
            <w:r>
              <w:rPr>
                <w:spacing w:val="-5"/>
                <w:sz w:val="20"/>
              </w:rPr>
              <w:t> </w:t>
            </w:r>
            <w:r>
              <w:rPr>
                <w:sz w:val="20"/>
              </w:rPr>
              <w:t>C78.7,</w:t>
            </w:r>
            <w:r>
              <w:rPr>
                <w:spacing w:val="-4"/>
                <w:sz w:val="20"/>
              </w:rPr>
              <w:t> </w:t>
            </w:r>
            <w:r>
              <w:rPr>
                <w:sz w:val="20"/>
              </w:rPr>
              <w:t>C78.8,</w:t>
            </w:r>
            <w:r>
              <w:rPr>
                <w:spacing w:val="-4"/>
                <w:sz w:val="20"/>
              </w:rPr>
              <w:t> </w:t>
            </w:r>
            <w:r>
              <w:rPr>
                <w:sz w:val="20"/>
              </w:rPr>
              <w:t>C79,</w:t>
            </w:r>
            <w:r>
              <w:rPr>
                <w:spacing w:val="-4"/>
                <w:sz w:val="20"/>
              </w:rPr>
              <w:t> </w:t>
            </w:r>
            <w:r>
              <w:rPr>
                <w:sz w:val="20"/>
              </w:rPr>
              <w:t>C79.0,</w:t>
            </w:r>
            <w:r>
              <w:rPr>
                <w:spacing w:val="-3"/>
                <w:sz w:val="20"/>
              </w:rPr>
              <w:t> </w:t>
            </w:r>
            <w:r>
              <w:rPr>
                <w:sz w:val="20"/>
              </w:rPr>
              <w:t>C79.1,</w:t>
            </w:r>
            <w:r>
              <w:rPr>
                <w:spacing w:val="-4"/>
                <w:sz w:val="20"/>
              </w:rPr>
              <w:t> </w:t>
            </w:r>
            <w:r>
              <w:rPr>
                <w:spacing w:val="-2"/>
                <w:sz w:val="20"/>
              </w:rPr>
              <w:t>C79.2,</w:t>
            </w:r>
          </w:p>
          <w:p>
            <w:pPr>
              <w:pStyle w:val="TableParagraph"/>
              <w:ind w:left="257" w:right="231"/>
              <w:jc w:val="center"/>
              <w:rPr>
                <w:sz w:val="20"/>
              </w:rPr>
            </w:pPr>
            <w:r>
              <w:rPr>
                <w:sz w:val="20"/>
              </w:rPr>
              <w:t>C79.3,</w:t>
            </w:r>
            <w:r>
              <w:rPr>
                <w:spacing w:val="-6"/>
                <w:sz w:val="20"/>
              </w:rPr>
              <w:t> </w:t>
            </w:r>
            <w:r>
              <w:rPr>
                <w:sz w:val="20"/>
              </w:rPr>
              <w:t>C79.4,</w:t>
            </w:r>
            <w:r>
              <w:rPr>
                <w:spacing w:val="-6"/>
                <w:sz w:val="20"/>
              </w:rPr>
              <w:t> </w:t>
            </w:r>
            <w:r>
              <w:rPr>
                <w:sz w:val="20"/>
              </w:rPr>
              <w:t>C79.5,</w:t>
            </w:r>
            <w:r>
              <w:rPr>
                <w:spacing w:val="-6"/>
                <w:sz w:val="20"/>
              </w:rPr>
              <w:t> </w:t>
            </w:r>
            <w:r>
              <w:rPr>
                <w:sz w:val="20"/>
              </w:rPr>
              <w:t>C79.6,</w:t>
            </w:r>
            <w:r>
              <w:rPr>
                <w:spacing w:val="-10"/>
                <w:sz w:val="20"/>
              </w:rPr>
              <w:t> </w:t>
            </w:r>
            <w:r>
              <w:rPr>
                <w:sz w:val="20"/>
              </w:rPr>
              <w:t>C79.7,</w:t>
            </w:r>
            <w:r>
              <w:rPr>
                <w:spacing w:val="-5"/>
                <w:sz w:val="20"/>
              </w:rPr>
              <w:t> </w:t>
            </w:r>
            <w:r>
              <w:rPr>
                <w:sz w:val="20"/>
              </w:rPr>
              <w:t>C79.8,</w:t>
            </w:r>
            <w:r>
              <w:rPr>
                <w:spacing w:val="-6"/>
                <w:sz w:val="20"/>
              </w:rPr>
              <w:t> </w:t>
            </w:r>
            <w:r>
              <w:rPr>
                <w:sz w:val="20"/>
              </w:rPr>
              <w:t>C80, C80.0, C80.9, C97</w:t>
            </w:r>
          </w:p>
        </w:tc>
        <w:tc>
          <w:tcPr>
            <w:tcW w:w="3490" w:type="dxa"/>
          </w:tcPr>
          <w:p>
            <w:pPr>
              <w:pStyle w:val="TableParagraph"/>
              <w:rPr>
                <w:sz w:val="18"/>
              </w:rPr>
            </w:pPr>
          </w:p>
        </w:tc>
        <w:tc>
          <w:tcPr>
            <w:tcW w:w="2339" w:type="dxa"/>
          </w:tcPr>
          <w:p>
            <w:pPr>
              <w:pStyle w:val="TableParagraph"/>
              <w:rPr>
                <w:sz w:val="18"/>
              </w:rPr>
            </w:pPr>
          </w:p>
        </w:tc>
        <w:tc>
          <w:tcPr>
            <w:tcW w:w="939" w:type="dxa"/>
          </w:tcPr>
          <w:p>
            <w:pPr>
              <w:pStyle w:val="TableParagraph"/>
              <w:rPr>
                <w:sz w:val="18"/>
              </w:rPr>
            </w:pPr>
          </w:p>
        </w:tc>
      </w:tr>
      <w:tr>
        <w:trPr>
          <w:trHeight w:val="560" w:hRule="atLeast"/>
        </w:trPr>
        <w:tc>
          <w:tcPr>
            <w:tcW w:w="1003" w:type="dxa"/>
          </w:tcPr>
          <w:p>
            <w:pPr>
              <w:pStyle w:val="TableParagraph"/>
              <w:spacing w:before="45"/>
              <w:ind w:left="39" w:right="212"/>
              <w:jc w:val="center"/>
              <w:rPr>
                <w:sz w:val="20"/>
              </w:rPr>
            </w:pPr>
            <w:r>
              <w:rPr>
                <w:spacing w:val="-2"/>
                <w:sz w:val="20"/>
              </w:rPr>
              <w:t>ds08.002</w:t>
            </w:r>
          </w:p>
        </w:tc>
        <w:tc>
          <w:tcPr>
            <w:tcW w:w="645" w:type="dxa"/>
          </w:tcPr>
          <w:p>
            <w:pPr>
              <w:pStyle w:val="TableParagraph"/>
              <w:spacing w:before="45"/>
              <w:ind w:left="211" w:right="203"/>
              <w:jc w:val="center"/>
              <w:rPr>
                <w:sz w:val="20"/>
              </w:rPr>
            </w:pPr>
            <w:r>
              <w:rPr>
                <w:spacing w:val="-5"/>
                <w:sz w:val="20"/>
              </w:rPr>
              <w:t>22</w:t>
            </w:r>
          </w:p>
        </w:tc>
        <w:tc>
          <w:tcPr>
            <w:tcW w:w="2545" w:type="dxa"/>
          </w:tcPr>
          <w:p>
            <w:pPr>
              <w:pStyle w:val="TableParagraph"/>
              <w:spacing w:before="45"/>
              <w:ind w:left="219" w:right="46"/>
              <w:rPr>
                <w:sz w:val="20"/>
              </w:rPr>
            </w:pPr>
            <w:r>
              <w:rPr>
                <w:sz w:val="20"/>
              </w:rPr>
              <w:t>Лекарственная терапия при</w:t>
            </w:r>
            <w:r>
              <w:rPr>
                <w:spacing w:val="-13"/>
                <w:sz w:val="20"/>
              </w:rPr>
              <w:t> </w:t>
            </w:r>
            <w:r>
              <w:rPr>
                <w:sz w:val="20"/>
              </w:rPr>
              <w:t>остром</w:t>
            </w:r>
            <w:r>
              <w:rPr>
                <w:spacing w:val="-12"/>
                <w:sz w:val="20"/>
              </w:rPr>
              <w:t> </w:t>
            </w:r>
            <w:r>
              <w:rPr>
                <w:sz w:val="20"/>
              </w:rPr>
              <w:t>лейкозе,</w:t>
            </w:r>
            <w:r>
              <w:rPr>
                <w:spacing w:val="-13"/>
                <w:sz w:val="20"/>
              </w:rPr>
              <w:t> </w:t>
            </w:r>
            <w:r>
              <w:rPr>
                <w:sz w:val="20"/>
              </w:rPr>
              <w:t>дети</w:t>
            </w:r>
          </w:p>
        </w:tc>
        <w:tc>
          <w:tcPr>
            <w:tcW w:w="4380" w:type="dxa"/>
          </w:tcPr>
          <w:p>
            <w:pPr>
              <w:pStyle w:val="TableParagraph"/>
              <w:spacing w:before="45"/>
              <w:ind w:left="1085" w:hanging="900"/>
              <w:rPr>
                <w:sz w:val="20"/>
              </w:rPr>
            </w:pPr>
            <w:r>
              <w:rPr>
                <w:sz w:val="20"/>
              </w:rPr>
              <w:t>C91.0,</w:t>
            </w:r>
            <w:r>
              <w:rPr>
                <w:spacing w:val="-7"/>
                <w:sz w:val="20"/>
              </w:rPr>
              <w:t> </w:t>
            </w:r>
            <w:r>
              <w:rPr>
                <w:sz w:val="20"/>
              </w:rPr>
              <w:t>C92.0,</w:t>
            </w:r>
            <w:r>
              <w:rPr>
                <w:spacing w:val="-7"/>
                <w:sz w:val="20"/>
              </w:rPr>
              <w:t> </w:t>
            </w:r>
            <w:r>
              <w:rPr>
                <w:sz w:val="20"/>
              </w:rPr>
              <w:t>C92.4,</w:t>
            </w:r>
            <w:r>
              <w:rPr>
                <w:spacing w:val="-7"/>
                <w:sz w:val="20"/>
              </w:rPr>
              <w:t> </w:t>
            </w:r>
            <w:r>
              <w:rPr>
                <w:sz w:val="20"/>
              </w:rPr>
              <w:t>C92.5,</w:t>
            </w:r>
            <w:r>
              <w:rPr>
                <w:spacing w:val="-11"/>
                <w:sz w:val="20"/>
              </w:rPr>
              <w:t> </w:t>
            </w:r>
            <w:r>
              <w:rPr>
                <w:sz w:val="20"/>
              </w:rPr>
              <w:t>C92.6,</w:t>
            </w:r>
            <w:r>
              <w:rPr>
                <w:spacing w:val="-7"/>
                <w:sz w:val="20"/>
              </w:rPr>
              <w:t> </w:t>
            </w:r>
            <w:r>
              <w:rPr>
                <w:sz w:val="20"/>
              </w:rPr>
              <w:t>C92.8,</w:t>
            </w:r>
            <w:r>
              <w:rPr>
                <w:spacing w:val="-7"/>
                <w:sz w:val="20"/>
              </w:rPr>
              <w:t> </w:t>
            </w:r>
            <w:r>
              <w:rPr>
                <w:sz w:val="20"/>
              </w:rPr>
              <w:t>C93.0, C93.3, C94.0, C94.2, C95.0</w:t>
            </w:r>
          </w:p>
        </w:tc>
        <w:tc>
          <w:tcPr>
            <w:tcW w:w="3490" w:type="dxa"/>
          </w:tcPr>
          <w:p>
            <w:pPr>
              <w:pStyle w:val="TableParagraph"/>
              <w:spacing w:before="45"/>
              <w:ind w:left="159" w:right="242"/>
              <w:jc w:val="center"/>
              <w:rPr>
                <w:sz w:val="20"/>
              </w:rPr>
            </w:pPr>
            <w:r>
              <w:rPr>
                <w:spacing w:val="-2"/>
                <w:sz w:val="20"/>
              </w:rPr>
              <w:t>A25.30.014</w:t>
            </w:r>
          </w:p>
        </w:tc>
        <w:tc>
          <w:tcPr>
            <w:tcW w:w="2339" w:type="dxa"/>
          </w:tcPr>
          <w:p>
            <w:pPr>
              <w:pStyle w:val="TableParagraph"/>
              <w:spacing w:before="45"/>
              <w:ind w:left="269" w:right="42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spacing w:before="45"/>
              <w:ind w:right="43"/>
              <w:jc w:val="right"/>
              <w:rPr>
                <w:sz w:val="20"/>
              </w:rPr>
            </w:pPr>
            <w:r>
              <w:rPr>
                <w:spacing w:val="-2"/>
                <w:sz w:val="20"/>
              </w:rPr>
              <w:t>14,23</w:t>
            </w:r>
          </w:p>
        </w:tc>
      </w:tr>
      <w:tr>
        <w:trPr>
          <w:trHeight w:val="279" w:hRule="atLeast"/>
        </w:trPr>
        <w:tc>
          <w:tcPr>
            <w:tcW w:w="1003" w:type="dxa"/>
          </w:tcPr>
          <w:p>
            <w:pPr>
              <w:pStyle w:val="TableParagraph"/>
              <w:spacing w:line="214" w:lineRule="exact" w:before="46"/>
              <w:ind w:left="39" w:right="212"/>
              <w:jc w:val="center"/>
              <w:rPr>
                <w:sz w:val="20"/>
              </w:rPr>
            </w:pPr>
            <w:r>
              <w:rPr>
                <w:spacing w:val="-2"/>
                <w:sz w:val="20"/>
              </w:rPr>
              <w:t>ds08.003</w:t>
            </w:r>
          </w:p>
        </w:tc>
        <w:tc>
          <w:tcPr>
            <w:tcW w:w="645" w:type="dxa"/>
          </w:tcPr>
          <w:p>
            <w:pPr>
              <w:pStyle w:val="TableParagraph"/>
              <w:spacing w:line="214" w:lineRule="exact" w:before="46"/>
              <w:ind w:left="211" w:right="203"/>
              <w:jc w:val="center"/>
              <w:rPr>
                <w:sz w:val="20"/>
              </w:rPr>
            </w:pPr>
            <w:r>
              <w:rPr>
                <w:spacing w:val="-5"/>
                <w:sz w:val="20"/>
              </w:rPr>
              <w:t>23</w:t>
            </w:r>
          </w:p>
        </w:tc>
        <w:tc>
          <w:tcPr>
            <w:tcW w:w="2545" w:type="dxa"/>
          </w:tcPr>
          <w:p>
            <w:pPr>
              <w:pStyle w:val="TableParagraph"/>
              <w:spacing w:line="214" w:lineRule="exact" w:before="46"/>
              <w:ind w:left="219"/>
              <w:rPr>
                <w:sz w:val="20"/>
              </w:rPr>
            </w:pPr>
            <w:r>
              <w:rPr>
                <w:w w:val="95"/>
                <w:sz w:val="20"/>
              </w:rPr>
              <w:t>Лекарственная</w:t>
            </w:r>
            <w:r>
              <w:rPr>
                <w:spacing w:val="49"/>
                <w:sz w:val="20"/>
              </w:rPr>
              <w:t> </w:t>
            </w:r>
            <w:r>
              <w:rPr>
                <w:spacing w:val="-2"/>
                <w:sz w:val="20"/>
              </w:rPr>
              <w:t>терапия</w:t>
            </w:r>
          </w:p>
        </w:tc>
        <w:tc>
          <w:tcPr>
            <w:tcW w:w="4380" w:type="dxa"/>
          </w:tcPr>
          <w:p>
            <w:pPr>
              <w:pStyle w:val="TableParagraph"/>
              <w:spacing w:line="214" w:lineRule="exact" w:before="46"/>
              <w:ind w:right="239"/>
              <w:jc w:val="right"/>
              <w:rPr>
                <w:sz w:val="20"/>
              </w:rPr>
            </w:pPr>
            <w:r>
              <w:rPr>
                <w:sz w:val="20"/>
              </w:rPr>
              <w:t>C81,</w:t>
            </w:r>
            <w:r>
              <w:rPr>
                <w:spacing w:val="-5"/>
                <w:sz w:val="20"/>
              </w:rPr>
              <w:t> </w:t>
            </w:r>
            <w:r>
              <w:rPr>
                <w:sz w:val="20"/>
              </w:rPr>
              <w:t>C81.0,</w:t>
            </w:r>
            <w:r>
              <w:rPr>
                <w:spacing w:val="-5"/>
                <w:sz w:val="20"/>
              </w:rPr>
              <w:t> </w:t>
            </w:r>
            <w:r>
              <w:rPr>
                <w:sz w:val="20"/>
              </w:rPr>
              <w:t>C81.1,</w:t>
            </w:r>
            <w:r>
              <w:rPr>
                <w:spacing w:val="-5"/>
                <w:sz w:val="20"/>
              </w:rPr>
              <w:t> </w:t>
            </w:r>
            <w:r>
              <w:rPr>
                <w:sz w:val="20"/>
              </w:rPr>
              <w:t>C81.2,</w:t>
            </w:r>
            <w:r>
              <w:rPr>
                <w:spacing w:val="-5"/>
                <w:sz w:val="20"/>
              </w:rPr>
              <w:t> </w:t>
            </w:r>
            <w:r>
              <w:rPr>
                <w:sz w:val="20"/>
              </w:rPr>
              <w:t>C81.3,</w:t>
            </w:r>
            <w:r>
              <w:rPr>
                <w:spacing w:val="-5"/>
                <w:sz w:val="20"/>
              </w:rPr>
              <w:t> </w:t>
            </w:r>
            <w:r>
              <w:rPr>
                <w:sz w:val="20"/>
              </w:rPr>
              <w:t>C81.4,</w:t>
            </w:r>
            <w:r>
              <w:rPr>
                <w:spacing w:val="-5"/>
                <w:sz w:val="20"/>
              </w:rPr>
              <w:t> </w:t>
            </w:r>
            <w:r>
              <w:rPr>
                <w:spacing w:val="-2"/>
                <w:sz w:val="20"/>
              </w:rPr>
              <w:t>C81.7,</w:t>
            </w:r>
          </w:p>
        </w:tc>
        <w:tc>
          <w:tcPr>
            <w:tcW w:w="3490" w:type="dxa"/>
          </w:tcPr>
          <w:p>
            <w:pPr>
              <w:pStyle w:val="TableParagraph"/>
              <w:spacing w:line="214" w:lineRule="exact" w:before="46"/>
              <w:ind w:left="159" w:right="242"/>
              <w:jc w:val="center"/>
              <w:rPr>
                <w:sz w:val="20"/>
              </w:rPr>
            </w:pPr>
            <w:r>
              <w:rPr>
                <w:spacing w:val="-2"/>
                <w:sz w:val="20"/>
              </w:rPr>
              <w:t>A25.30.014</w:t>
            </w:r>
          </w:p>
        </w:tc>
        <w:tc>
          <w:tcPr>
            <w:tcW w:w="2339" w:type="dxa"/>
          </w:tcPr>
          <w:p>
            <w:pPr>
              <w:pStyle w:val="TableParagraph"/>
              <w:spacing w:line="214" w:lineRule="exact" w:before="46"/>
              <w:ind w:left="252"/>
              <w:rPr>
                <w:sz w:val="20"/>
              </w:rPr>
            </w:pPr>
            <w:r>
              <w:rPr>
                <w:sz w:val="20"/>
              </w:rPr>
              <w:t>Возрастная</w:t>
            </w:r>
            <w:r>
              <w:rPr>
                <w:spacing w:val="-11"/>
                <w:sz w:val="20"/>
              </w:rPr>
              <w:t> </w:t>
            </w:r>
            <w:r>
              <w:rPr>
                <w:spacing w:val="-2"/>
                <w:sz w:val="20"/>
              </w:rPr>
              <w:t>группа:</w:t>
            </w:r>
          </w:p>
        </w:tc>
        <w:tc>
          <w:tcPr>
            <w:tcW w:w="939" w:type="dxa"/>
          </w:tcPr>
          <w:p>
            <w:pPr>
              <w:pStyle w:val="TableParagraph"/>
              <w:spacing w:line="214" w:lineRule="exact" w:before="46"/>
              <w:ind w:right="43"/>
              <w:jc w:val="right"/>
              <w:rPr>
                <w:sz w:val="20"/>
              </w:rPr>
            </w:pPr>
            <w:r>
              <w:rPr>
                <w:spacing w:val="-2"/>
                <w:sz w:val="20"/>
              </w:rPr>
              <w:t>10,34</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09" w:lineRule="exact"/>
              <w:ind w:left="219"/>
              <w:rPr>
                <w:sz w:val="20"/>
              </w:rPr>
            </w:pPr>
            <w:r>
              <w:rPr>
                <w:sz w:val="20"/>
              </w:rPr>
              <w:t>при</w:t>
            </w:r>
            <w:r>
              <w:rPr>
                <w:spacing w:val="-6"/>
                <w:sz w:val="20"/>
              </w:rPr>
              <w:t> </w:t>
            </w:r>
            <w:r>
              <w:rPr>
                <w:spacing w:val="-2"/>
                <w:sz w:val="20"/>
              </w:rPr>
              <w:t>других</w:t>
            </w:r>
          </w:p>
        </w:tc>
        <w:tc>
          <w:tcPr>
            <w:tcW w:w="4380" w:type="dxa"/>
          </w:tcPr>
          <w:p>
            <w:pPr>
              <w:pStyle w:val="TableParagraph"/>
              <w:spacing w:line="209" w:lineRule="exact"/>
              <w:ind w:right="239"/>
              <w:jc w:val="right"/>
              <w:rPr>
                <w:sz w:val="20"/>
              </w:rPr>
            </w:pPr>
            <w:r>
              <w:rPr>
                <w:sz w:val="20"/>
              </w:rPr>
              <w:t>C81.9,</w:t>
            </w:r>
            <w:r>
              <w:rPr>
                <w:spacing w:val="-5"/>
                <w:sz w:val="20"/>
              </w:rPr>
              <w:t> </w:t>
            </w:r>
            <w:r>
              <w:rPr>
                <w:sz w:val="20"/>
              </w:rPr>
              <w:t>C82,</w:t>
            </w:r>
            <w:r>
              <w:rPr>
                <w:spacing w:val="-5"/>
                <w:sz w:val="20"/>
              </w:rPr>
              <w:t> </w:t>
            </w:r>
            <w:r>
              <w:rPr>
                <w:sz w:val="20"/>
              </w:rPr>
              <w:t>C82.0,</w:t>
            </w:r>
            <w:r>
              <w:rPr>
                <w:spacing w:val="-5"/>
                <w:sz w:val="20"/>
              </w:rPr>
              <w:t> </w:t>
            </w:r>
            <w:r>
              <w:rPr>
                <w:sz w:val="20"/>
              </w:rPr>
              <w:t>C82.1,</w:t>
            </w:r>
            <w:r>
              <w:rPr>
                <w:spacing w:val="-5"/>
                <w:sz w:val="20"/>
              </w:rPr>
              <w:t> </w:t>
            </w:r>
            <w:r>
              <w:rPr>
                <w:sz w:val="20"/>
              </w:rPr>
              <w:t>C82.2,</w:t>
            </w:r>
            <w:r>
              <w:rPr>
                <w:spacing w:val="-5"/>
                <w:sz w:val="20"/>
              </w:rPr>
              <w:t> </w:t>
            </w:r>
            <w:r>
              <w:rPr>
                <w:sz w:val="20"/>
              </w:rPr>
              <w:t>C82.3,</w:t>
            </w:r>
            <w:r>
              <w:rPr>
                <w:spacing w:val="-5"/>
                <w:sz w:val="20"/>
              </w:rPr>
              <w:t> </w:t>
            </w:r>
            <w:r>
              <w:rPr>
                <w:spacing w:val="-2"/>
                <w:sz w:val="20"/>
              </w:rPr>
              <w:t>C82.4,</w:t>
            </w:r>
          </w:p>
        </w:tc>
        <w:tc>
          <w:tcPr>
            <w:tcW w:w="3490" w:type="dxa"/>
          </w:tcPr>
          <w:p>
            <w:pPr>
              <w:pStyle w:val="TableParagraph"/>
              <w:rPr>
                <w:sz w:val="16"/>
              </w:rPr>
            </w:pPr>
          </w:p>
        </w:tc>
        <w:tc>
          <w:tcPr>
            <w:tcW w:w="2339" w:type="dxa"/>
          </w:tcPr>
          <w:p>
            <w:pPr>
              <w:pStyle w:val="TableParagraph"/>
              <w:spacing w:line="209" w:lineRule="exact"/>
              <w:ind w:left="26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pacing w:val="-2"/>
                <w:sz w:val="20"/>
              </w:rPr>
              <w:t>злокачественных</w:t>
            </w:r>
          </w:p>
        </w:tc>
        <w:tc>
          <w:tcPr>
            <w:tcW w:w="4380" w:type="dxa"/>
          </w:tcPr>
          <w:p>
            <w:pPr>
              <w:pStyle w:val="TableParagraph"/>
              <w:spacing w:line="210" w:lineRule="exact"/>
              <w:ind w:right="239"/>
              <w:jc w:val="right"/>
              <w:rPr>
                <w:sz w:val="20"/>
              </w:rPr>
            </w:pPr>
            <w:r>
              <w:rPr>
                <w:sz w:val="20"/>
              </w:rPr>
              <w:t>C82.5,</w:t>
            </w:r>
            <w:r>
              <w:rPr>
                <w:spacing w:val="-5"/>
                <w:sz w:val="20"/>
              </w:rPr>
              <w:t> </w:t>
            </w:r>
            <w:r>
              <w:rPr>
                <w:sz w:val="20"/>
              </w:rPr>
              <w:t>C82.6,</w:t>
            </w:r>
            <w:r>
              <w:rPr>
                <w:spacing w:val="-4"/>
                <w:sz w:val="20"/>
              </w:rPr>
              <w:t> </w:t>
            </w:r>
            <w:r>
              <w:rPr>
                <w:sz w:val="20"/>
              </w:rPr>
              <w:t>C82.7,</w:t>
            </w:r>
            <w:r>
              <w:rPr>
                <w:spacing w:val="-4"/>
                <w:sz w:val="20"/>
              </w:rPr>
              <w:t> </w:t>
            </w:r>
            <w:r>
              <w:rPr>
                <w:sz w:val="20"/>
              </w:rPr>
              <w:t>C82.9,</w:t>
            </w:r>
            <w:r>
              <w:rPr>
                <w:spacing w:val="-8"/>
                <w:sz w:val="20"/>
              </w:rPr>
              <w:t> </w:t>
            </w:r>
            <w:r>
              <w:rPr>
                <w:sz w:val="20"/>
              </w:rPr>
              <w:t>C83,</w:t>
            </w:r>
            <w:r>
              <w:rPr>
                <w:spacing w:val="-5"/>
                <w:sz w:val="20"/>
              </w:rPr>
              <w:t> </w:t>
            </w:r>
            <w:r>
              <w:rPr>
                <w:sz w:val="20"/>
              </w:rPr>
              <w:t>C83.0,</w:t>
            </w:r>
            <w:r>
              <w:rPr>
                <w:spacing w:val="-4"/>
                <w:sz w:val="20"/>
              </w:rPr>
              <w:t> </w:t>
            </w:r>
            <w:r>
              <w:rPr>
                <w:spacing w:val="-2"/>
                <w:sz w:val="20"/>
              </w:rPr>
              <w:t>C83.1,</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pacing w:val="-2"/>
                <w:sz w:val="20"/>
              </w:rPr>
              <w:t>новообразованиях</w:t>
            </w:r>
          </w:p>
        </w:tc>
        <w:tc>
          <w:tcPr>
            <w:tcW w:w="4380" w:type="dxa"/>
          </w:tcPr>
          <w:p>
            <w:pPr>
              <w:pStyle w:val="TableParagraph"/>
              <w:spacing w:line="210" w:lineRule="exact"/>
              <w:ind w:right="235"/>
              <w:jc w:val="right"/>
              <w:rPr>
                <w:sz w:val="20"/>
              </w:rPr>
            </w:pPr>
            <w:r>
              <w:rPr>
                <w:sz w:val="20"/>
              </w:rPr>
              <w:t>C83.3,</w:t>
            </w:r>
            <w:r>
              <w:rPr>
                <w:spacing w:val="-4"/>
                <w:sz w:val="20"/>
              </w:rPr>
              <w:t> </w:t>
            </w:r>
            <w:r>
              <w:rPr>
                <w:sz w:val="20"/>
              </w:rPr>
              <w:t>C83.5,</w:t>
            </w:r>
            <w:r>
              <w:rPr>
                <w:spacing w:val="-4"/>
                <w:sz w:val="20"/>
              </w:rPr>
              <w:t> </w:t>
            </w:r>
            <w:r>
              <w:rPr>
                <w:sz w:val="20"/>
              </w:rPr>
              <w:t>C83.7,</w:t>
            </w:r>
            <w:r>
              <w:rPr>
                <w:spacing w:val="-4"/>
                <w:sz w:val="20"/>
              </w:rPr>
              <w:t> </w:t>
            </w:r>
            <w:r>
              <w:rPr>
                <w:sz w:val="20"/>
              </w:rPr>
              <w:t>C83.8,</w:t>
            </w:r>
            <w:r>
              <w:rPr>
                <w:spacing w:val="-7"/>
                <w:sz w:val="20"/>
              </w:rPr>
              <w:t> </w:t>
            </w:r>
            <w:r>
              <w:rPr>
                <w:sz w:val="20"/>
              </w:rPr>
              <w:t>C83.9,</w:t>
            </w:r>
            <w:r>
              <w:rPr>
                <w:spacing w:val="-4"/>
                <w:sz w:val="20"/>
              </w:rPr>
              <w:t> </w:t>
            </w:r>
            <w:r>
              <w:rPr>
                <w:sz w:val="20"/>
              </w:rPr>
              <w:t>C84,</w:t>
            </w:r>
            <w:r>
              <w:rPr>
                <w:spacing w:val="-4"/>
                <w:sz w:val="20"/>
              </w:rPr>
              <w:t> </w:t>
            </w:r>
            <w:r>
              <w:rPr>
                <w:spacing w:val="-2"/>
                <w:sz w:val="20"/>
              </w:rPr>
              <w:t>C84.0,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4380" w:type="dxa"/>
          </w:tcPr>
          <w:p>
            <w:pPr>
              <w:pStyle w:val="TableParagraph"/>
              <w:spacing w:line="210" w:lineRule="exact"/>
              <w:ind w:right="165"/>
              <w:jc w:val="right"/>
              <w:rPr>
                <w:sz w:val="20"/>
              </w:rPr>
            </w:pPr>
            <w:r>
              <w:rPr>
                <w:sz w:val="20"/>
              </w:rPr>
              <w:t>C84.1,</w:t>
            </w:r>
            <w:r>
              <w:rPr>
                <w:spacing w:val="-7"/>
                <w:sz w:val="20"/>
              </w:rPr>
              <w:t> </w:t>
            </w:r>
            <w:r>
              <w:rPr>
                <w:sz w:val="20"/>
              </w:rPr>
              <w:t>C84.4,</w:t>
            </w:r>
            <w:r>
              <w:rPr>
                <w:spacing w:val="-5"/>
                <w:sz w:val="20"/>
              </w:rPr>
              <w:t> </w:t>
            </w:r>
            <w:r>
              <w:rPr>
                <w:sz w:val="20"/>
              </w:rPr>
              <w:t>C84.5,</w:t>
            </w:r>
            <w:r>
              <w:rPr>
                <w:spacing w:val="-5"/>
                <w:sz w:val="20"/>
              </w:rPr>
              <w:t> </w:t>
            </w:r>
            <w:r>
              <w:rPr>
                <w:sz w:val="20"/>
              </w:rPr>
              <w:t>C84.6,</w:t>
            </w:r>
            <w:r>
              <w:rPr>
                <w:spacing w:val="-9"/>
                <w:sz w:val="20"/>
              </w:rPr>
              <w:t> </w:t>
            </w:r>
            <w:r>
              <w:rPr>
                <w:sz w:val="20"/>
              </w:rPr>
              <w:t>C84.7,</w:t>
            </w:r>
            <w:r>
              <w:rPr>
                <w:spacing w:val="-5"/>
                <w:sz w:val="20"/>
              </w:rPr>
              <w:t> </w:t>
            </w:r>
            <w:r>
              <w:rPr>
                <w:sz w:val="20"/>
              </w:rPr>
              <w:t>C84.8,</w:t>
            </w:r>
            <w:r>
              <w:rPr>
                <w:spacing w:val="-4"/>
                <w:sz w:val="20"/>
              </w:rPr>
              <w:t> </w:t>
            </w:r>
            <w:r>
              <w:rPr>
                <w:spacing w:val="-2"/>
                <w:sz w:val="20"/>
              </w:rPr>
              <w:t>C84.9,</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w w:val="95"/>
                <w:sz w:val="20"/>
              </w:rPr>
              <w:t>кроветворной</w:t>
            </w:r>
            <w:r>
              <w:rPr>
                <w:spacing w:val="43"/>
                <w:sz w:val="20"/>
              </w:rPr>
              <w:t> </w:t>
            </w:r>
            <w:r>
              <w:rPr>
                <w:spacing w:val="-2"/>
                <w:sz w:val="20"/>
              </w:rPr>
              <w:t>тканей,</w:t>
            </w:r>
          </w:p>
        </w:tc>
        <w:tc>
          <w:tcPr>
            <w:tcW w:w="4380" w:type="dxa"/>
          </w:tcPr>
          <w:p>
            <w:pPr>
              <w:pStyle w:val="TableParagraph"/>
              <w:spacing w:line="210" w:lineRule="exact"/>
              <w:ind w:left="333"/>
              <w:rPr>
                <w:sz w:val="20"/>
              </w:rPr>
            </w:pPr>
            <w:r>
              <w:rPr>
                <w:sz w:val="20"/>
              </w:rPr>
              <w:t>C85,</w:t>
            </w:r>
            <w:r>
              <w:rPr>
                <w:spacing w:val="-7"/>
                <w:sz w:val="20"/>
              </w:rPr>
              <w:t> </w:t>
            </w:r>
            <w:r>
              <w:rPr>
                <w:sz w:val="20"/>
              </w:rPr>
              <w:t>C85.1,</w:t>
            </w:r>
            <w:r>
              <w:rPr>
                <w:spacing w:val="-5"/>
                <w:sz w:val="20"/>
              </w:rPr>
              <w:t> </w:t>
            </w:r>
            <w:r>
              <w:rPr>
                <w:sz w:val="20"/>
              </w:rPr>
              <w:t>C85.2,</w:t>
            </w:r>
            <w:r>
              <w:rPr>
                <w:spacing w:val="-4"/>
                <w:sz w:val="20"/>
              </w:rPr>
              <w:t> </w:t>
            </w:r>
            <w:r>
              <w:rPr>
                <w:sz w:val="20"/>
              </w:rPr>
              <w:t>C85.7,</w:t>
            </w:r>
            <w:r>
              <w:rPr>
                <w:spacing w:val="-5"/>
                <w:sz w:val="20"/>
              </w:rPr>
              <w:t> </w:t>
            </w:r>
            <w:r>
              <w:rPr>
                <w:sz w:val="20"/>
              </w:rPr>
              <w:t>C85.9,</w:t>
            </w:r>
            <w:r>
              <w:rPr>
                <w:spacing w:val="-4"/>
                <w:sz w:val="20"/>
              </w:rPr>
              <w:t> </w:t>
            </w:r>
            <w:r>
              <w:rPr>
                <w:sz w:val="20"/>
              </w:rPr>
              <w:t>C86,</w:t>
            </w:r>
            <w:r>
              <w:rPr>
                <w:spacing w:val="-6"/>
                <w:sz w:val="20"/>
              </w:rPr>
              <w:t> </w:t>
            </w:r>
            <w:r>
              <w:rPr>
                <w:spacing w:val="-2"/>
                <w:sz w:val="20"/>
              </w:rPr>
              <w:t>C86.0,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09" w:lineRule="exact"/>
              <w:ind w:left="219"/>
              <w:rPr>
                <w:sz w:val="20"/>
              </w:rPr>
            </w:pPr>
            <w:r>
              <w:rPr>
                <w:spacing w:val="-4"/>
                <w:sz w:val="20"/>
              </w:rPr>
              <w:t>дети</w:t>
            </w:r>
          </w:p>
        </w:tc>
        <w:tc>
          <w:tcPr>
            <w:tcW w:w="4380" w:type="dxa"/>
          </w:tcPr>
          <w:p>
            <w:pPr>
              <w:pStyle w:val="TableParagraph"/>
              <w:spacing w:line="209" w:lineRule="exact"/>
              <w:ind w:right="239"/>
              <w:jc w:val="right"/>
              <w:rPr>
                <w:sz w:val="20"/>
              </w:rPr>
            </w:pPr>
            <w:r>
              <w:rPr>
                <w:sz w:val="20"/>
              </w:rPr>
              <w:t>C86.1,</w:t>
            </w:r>
            <w:r>
              <w:rPr>
                <w:spacing w:val="-7"/>
                <w:sz w:val="20"/>
              </w:rPr>
              <w:t> </w:t>
            </w:r>
            <w:r>
              <w:rPr>
                <w:sz w:val="20"/>
              </w:rPr>
              <w:t>C86.2,</w:t>
            </w:r>
            <w:r>
              <w:rPr>
                <w:spacing w:val="-5"/>
                <w:sz w:val="20"/>
              </w:rPr>
              <w:t> </w:t>
            </w:r>
            <w:r>
              <w:rPr>
                <w:sz w:val="20"/>
              </w:rPr>
              <w:t>C86.3,</w:t>
            </w:r>
            <w:r>
              <w:rPr>
                <w:spacing w:val="-5"/>
                <w:sz w:val="20"/>
              </w:rPr>
              <w:t> </w:t>
            </w:r>
            <w:r>
              <w:rPr>
                <w:sz w:val="20"/>
              </w:rPr>
              <w:t>C86.4,</w:t>
            </w:r>
            <w:r>
              <w:rPr>
                <w:spacing w:val="-9"/>
                <w:sz w:val="20"/>
              </w:rPr>
              <w:t> </w:t>
            </w:r>
            <w:r>
              <w:rPr>
                <w:sz w:val="20"/>
              </w:rPr>
              <w:t>C86.5,</w:t>
            </w:r>
            <w:r>
              <w:rPr>
                <w:spacing w:val="-5"/>
                <w:sz w:val="20"/>
              </w:rPr>
              <w:t> </w:t>
            </w:r>
            <w:r>
              <w:rPr>
                <w:sz w:val="20"/>
              </w:rPr>
              <w:t>C86.6,</w:t>
            </w:r>
            <w:r>
              <w:rPr>
                <w:spacing w:val="-4"/>
                <w:sz w:val="20"/>
              </w:rPr>
              <w:t> C88,</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09" w:lineRule="exact"/>
              <w:ind w:right="239"/>
              <w:jc w:val="right"/>
              <w:rPr>
                <w:sz w:val="20"/>
              </w:rPr>
            </w:pPr>
            <w:r>
              <w:rPr>
                <w:sz w:val="20"/>
              </w:rPr>
              <w:t>C88.0,</w:t>
            </w:r>
            <w:r>
              <w:rPr>
                <w:spacing w:val="-7"/>
                <w:sz w:val="20"/>
              </w:rPr>
              <w:t> </w:t>
            </w:r>
            <w:r>
              <w:rPr>
                <w:sz w:val="20"/>
              </w:rPr>
              <w:t>C88.2,</w:t>
            </w:r>
            <w:r>
              <w:rPr>
                <w:spacing w:val="-5"/>
                <w:sz w:val="20"/>
              </w:rPr>
              <w:t> </w:t>
            </w:r>
            <w:r>
              <w:rPr>
                <w:sz w:val="20"/>
              </w:rPr>
              <w:t>C88.3,</w:t>
            </w:r>
            <w:r>
              <w:rPr>
                <w:spacing w:val="-5"/>
                <w:sz w:val="20"/>
              </w:rPr>
              <w:t> </w:t>
            </w:r>
            <w:r>
              <w:rPr>
                <w:sz w:val="20"/>
              </w:rPr>
              <w:t>C88.4,</w:t>
            </w:r>
            <w:r>
              <w:rPr>
                <w:spacing w:val="-9"/>
                <w:sz w:val="20"/>
              </w:rPr>
              <w:t> </w:t>
            </w:r>
            <w:r>
              <w:rPr>
                <w:sz w:val="20"/>
              </w:rPr>
              <w:t>C88.7,</w:t>
            </w:r>
            <w:r>
              <w:rPr>
                <w:spacing w:val="-5"/>
                <w:sz w:val="20"/>
              </w:rPr>
              <w:t> </w:t>
            </w:r>
            <w:r>
              <w:rPr>
                <w:sz w:val="20"/>
              </w:rPr>
              <w:t>C88.9,</w:t>
            </w:r>
            <w:r>
              <w:rPr>
                <w:spacing w:val="-4"/>
                <w:sz w:val="20"/>
              </w:rPr>
              <w:t> C90,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1" w:lineRule="exact"/>
              <w:ind w:right="165"/>
              <w:jc w:val="right"/>
              <w:rPr>
                <w:sz w:val="20"/>
              </w:rPr>
            </w:pPr>
            <w:r>
              <w:rPr>
                <w:sz w:val="20"/>
              </w:rPr>
              <w:t>C90.0,</w:t>
            </w:r>
            <w:r>
              <w:rPr>
                <w:spacing w:val="-7"/>
                <w:sz w:val="20"/>
              </w:rPr>
              <w:t> </w:t>
            </w:r>
            <w:r>
              <w:rPr>
                <w:sz w:val="20"/>
              </w:rPr>
              <w:t>C90.1,</w:t>
            </w:r>
            <w:r>
              <w:rPr>
                <w:spacing w:val="-5"/>
                <w:sz w:val="20"/>
              </w:rPr>
              <w:t> </w:t>
            </w:r>
            <w:r>
              <w:rPr>
                <w:sz w:val="20"/>
              </w:rPr>
              <w:t>C90.2,</w:t>
            </w:r>
            <w:r>
              <w:rPr>
                <w:spacing w:val="-5"/>
                <w:sz w:val="20"/>
              </w:rPr>
              <w:t> </w:t>
            </w:r>
            <w:r>
              <w:rPr>
                <w:sz w:val="20"/>
              </w:rPr>
              <w:t>C90.3,</w:t>
            </w:r>
            <w:r>
              <w:rPr>
                <w:spacing w:val="-9"/>
                <w:sz w:val="20"/>
              </w:rPr>
              <w:t> </w:t>
            </w:r>
            <w:r>
              <w:rPr>
                <w:sz w:val="20"/>
              </w:rPr>
              <w:t>C91.1,</w:t>
            </w:r>
            <w:r>
              <w:rPr>
                <w:spacing w:val="-5"/>
                <w:sz w:val="20"/>
              </w:rPr>
              <w:t> </w:t>
            </w:r>
            <w:r>
              <w:rPr>
                <w:sz w:val="20"/>
              </w:rPr>
              <w:t>C91.3,</w:t>
            </w:r>
            <w:r>
              <w:rPr>
                <w:spacing w:val="-4"/>
                <w:sz w:val="20"/>
              </w:rPr>
              <w:t> </w:t>
            </w:r>
            <w:r>
              <w:rPr>
                <w:spacing w:val="-2"/>
                <w:sz w:val="20"/>
              </w:rPr>
              <w:t>C91.4,</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right="165"/>
              <w:jc w:val="right"/>
              <w:rPr>
                <w:sz w:val="20"/>
              </w:rPr>
            </w:pPr>
            <w:r>
              <w:rPr>
                <w:sz w:val="20"/>
              </w:rPr>
              <w:t>C91.5,</w:t>
            </w:r>
            <w:r>
              <w:rPr>
                <w:spacing w:val="-7"/>
                <w:sz w:val="20"/>
              </w:rPr>
              <w:t> </w:t>
            </w:r>
            <w:r>
              <w:rPr>
                <w:sz w:val="20"/>
              </w:rPr>
              <w:t>C91.6,</w:t>
            </w:r>
            <w:r>
              <w:rPr>
                <w:spacing w:val="-5"/>
                <w:sz w:val="20"/>
              </w:rPr>
              <w:t> </w:t>
            </w:r>
            <w:r>
              <w:rPr>
                <w:sz w:val="20"/>
              </w:rPr>
              <w:t>C91.7,</w:t>
            </w:r>
            <w:r>
              <w:rPr>
                <w:spacing w:val="-5"/>
                <w:sz w:val="20"/>
              </w:rPr>
              <w:t> </w:t>
            </w:r>
            <w:r>
              <w:rPr>
                <w:sz w:val="20"/>
              </w:rPr>
              <w:t>C91.8,</w:t>
            </w:r>
            <w:r>
              <w:rPr>
                <w:spacing w:val="-9"/>
                <w:sz w:val="20"/>
              </w:rPr>
              <w:t> </w:t>
            </w:r>
            <w:r>
              <w:rPr>
                <w:sz w:val="20"/>
              </w:rPr>
              <w:t>C91.9,</w:t>
            </w:r>
            <w:r>
              <w:rPr>
                <w:spacing w:val="-5"/>
                <w:sz w:val="20"/>
              </w:rPr>
              <w:t> </w:t>
            </w:r>
            <w:r>
              <w:rPr>
                <w:sz w:val="20"/>
              </w:rPr>
              <w:t>C92.1,</w:t>
            </w:r>
            <w:r>
              <w:rPr>
                <w:spacing w:val="-4"/>
                <w:sz w:val="20"/>
              </w:rPr>
              <w:t> </w:t>
            </w:r>
            <w:r>
              <w:rPr>
                <w:spacing w:val="-2"/>
                <w:sz w:val="20"/>
              </w:rPr>
              <w:t>C92.2,</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right="165"/>
              <w:jc w:val="right"/>
              <w:rPr>
                <w:sz w:val="20"/>
              </w:rPr>
            </w:pPr>
            <w:r>
              <w:rPr>
                <w:sz w:val="20"/>
              </w:rPr>
              <w:t>C92.3,</w:t>
            </w:r>
            <w:r>
              <w:rPr>
                <w:spacing w:val="-7"/>
                <w:sz w:val="20"/>
              </w:rPr>
              <w:t> </w:t>
            </w:r>
            <w:r>
              <w:rPr>
                <w:sz w:val="20"/>
              </w:rPr>
              <w:t>C92.7,</w:t>
            </w:r>
            <w:r>
              <w:rPr>
                <w:spacing w:val="-5"/>
                <w:sz w:val="20"/>
              </w:rPr>
              <w:t> </w:t>
            </w:r>
            <w:r>
              <w:rPr>
                <w:sz w:val="20"/>
              </w:rPr>
              <w:t>C92.9,</w:t>
            </w:r>
            <w:r>
              <w:rPr>
                <w:spacing w:val="-5"/>
                <w:sz w:val="20"/>
              </w:rPr>
              <w:t> </w:t>
            </w:r>
            <w:r>
              <w:rPr>
                <w:sz w:val="20"/>
              </w:rPr>
              <w:t>C93.1,</w:t>
            </w:r>
            <w:r>
              <w:rPr>
                <w:spacing w:val="-9"/>
                <w:sz w:val="20"/>
              </w:rPr>
              <w:t> </w:t>
            </w:r>
            <w:r>
              <w:rPr>
                <w:sz w:val="20"/>
              </w:rPr>
              <w:t>C93.7,</w:t>
            </w:r>
            <w:r>
              <w:rPr>
                <w:spacing w:val="-5"/>
                <w:sz w:val="20"/>
              </w:rPr>
              <w:t> </w:t>
            </w:r>
            <w:r>
              <w:rPr>
                <w:sz w:val="20"/>
              </w:rPr>
              <w:t>C93.9,</w:t>
            </w:r>
            <w:r>
              <w:rPr>
                <w:spacing w:val="-4"/>
                <w:sz w:val="20"/>
              </w:rPr>
              <w:t> </w:t>
            </w:r>
            <w:r>
              <w:rPr>
                <w:spacing w:val="-2"/>
                <w:sz w:val="20"/>
              </w:rPr>
              <w:t>C94.3,</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09" w:lineRule="exact"/>
              <w:ind w:right="239"/>
              <w:jc w:val="right"/>
              <w:rPr>
                <w:sz w:val="20"/>
              </w:rPr>
            </w:pPr>
            <w:r>
              <w:rPr>
                <w:sz w:val="20"/>
              </w:rPr>
              <w:t>C94.4,</w:t>
            </w:r>
            <w:r>
              <w:rPr>
                <w:spacing w:val="-6"/>
                <w:sz w:val="20"/>
              </w:rPr>
              <w:t> </w:t>
            </w:r>
            <w:r>
              <w:rPr>
                <w:sz w:val="20"/>
              </w:rPr>
              <w:t>C94.6,</w:t>
            </w:r>
            <w:r>
              <w:rPr>
                <w:spacing w:val="-5"/>
                <w:sz w:val="20"/>
              </w:rPr>
              <w:t> </w:t>
            </w:r>
            <w:r>
              <w:rPr>
                <w:sz w:val="20"/>
              </w:rPr>
              <w:t>C94.7,</w:t>
            </w:r>
            <w:r>
              <w:rPr>
                <w:spacing w:val="-5"/>
                <w:sz w:val="20"/>
              </w:rPr>
              <w:t> </w:t>
            </w:r>
            <w:r>
              <w:rPr>
                <w:sz w:val="20"/>
              </w:rPr>
              <w:t>C95,</w:t>
            </w:r>
            <w:r>
              <w:rPr>
                <w:spacing w:val="-5"/>
                <w:sz w:val="20"/>
              </w:rPr>
              <w:t> </w:t>
            </w:r>
            <w:r>
              <w:rPr>
                <w:sz w:val="20"/>
              </w:rPr>
              <w:t>C95.1,</w:t>
            </w:r>
            <w:r>
              <w:rPr>
                <w:spacing w:val="-5"/>
                <w:sz w:val="20"/>
              </w:rPr>
              <w:t> </w:t>
            </w:r>
            <w:r>
              <w:rPr>
                <w:sz w:val="20"/>
              </w:rPr>
              <w:t>C95.7,</w:t>
            </w:r>
            <w:r>
              <w:rPr>
                <w:spacing w:val="-5"/>
                <w:sz w:val="20"/>
              </w:rPr>
              <w:t> </w:t>
            </w:r>
            <w:r>
              <w:rPr>
                <w:spacing w:val="-2"/>
                <w:sz w:val="20"/>
              </w:rPr>
              <w:t>C95.9,</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09" w:lineRule="exact"/>
              <w:ind w:right="239"/>
              <w:jc w:val="right"/>
              <w:rPr>
                <w:sz w:val="20"/>
              </w:rPr>
            </w:pPr>
            <w:r>
              <w:rPr>
                <w:sz w:val="20"/>
              </w:rPr>
              <w:t>C96,</w:t>
            </w:r>
            <w:r>
              <w:rPr>
                <w:spacing w:val="-5"/>
                <w:sz w:val="20"/>
              </w:rPr>
              <w:t> </w:t>
            </w:r>
            <w:r>
              <w:rPr>
                <w:sz w:val="20"/>
              </w:rPr>
              <w:t>C96.0,</w:t>
            </w:r>
            <w:r>
              <w:rPr>
                <w:spacing w:val="-5"/>
                <w:sz w:val="20"/>
              </w:rPr>
              <w:t> </w:t>
            </w:r>
            <w:r>
              <w:rPr>
                <w:sz w:val="20"/>
              </w:rPr>
              <w:t>C96.2,</w:t>
            </w:r>
            <w:r>
              <w:rPr>
                <w:spacing w:val="-5"/>
                <w:sz w:val="20"/>
              </w:rPr>
              <w:t> </w:t>
            </w:r>
            <w:r>
              <w:rPr>
                <w:sz w:val="20"/>
              </w:rPr>
              <w:t>C96.4,</w:t>
            </w:r>
            <w:r>
              <w:rPr>
                <w:spacing w:val="-5"/>
                <w:sz w:val="20"/>
              </w:rPr>
              <w:t> </w:t>
            </w:r>
            <w:r>
              <w:rPr>
                <w:sz w:val="20"/>
              </w:rPr>
              <w:t>C96.5,</w:t>
            </w:r>
            <w:r>
              <w:rPr>
                <w:spacing w:val="-5"/>
                <w:sz w:val="20"/>
              </w:rPr>
              <w:t> </w:t>
            </w:r>
            <w:r>
              <w:rPr>
                <w:sz w:val="20"/>
              </w:rPr>
              <w:t>C96.6,</w:t>
            </w:r>
            <w:r>
              <w:rPr>
                <w:spacing w:val="-5"/>
                <w:sz w:val="20"/>
              </w:rPr>
              <w:t> </w:t>
            </w:r>
            <w:r>
              <w:rPr>
                <w:spacing w:val="-2"/>
                <w:sz w:val="20"/>
              </w:rPr>
              <w:t>C96.7,</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left="305"/>
              <w:rPr>
                <w:sz w:val="20"/>
              </w:rPr>
            </w:pPr>
            <w:r>
              <w:rPr>
                <w:sz w:val="20"/>
              </w:rPr>
              <w:t>C96.8,</w:t>
            </w:r>
            <w:r>
              <w:rPr>
                <w:spacing w:val="-5"/>
                <w:sz w:val="20"/>
              </w:rPr>
              <w:t> </w:t>
            </w:r>
            <w:r>
              <w:rPr>
                <w:sz w:val="20"/>
              </w:rPr>
              <w:t>C96.9,</w:t>
            </w:r>
            <w:r>
              <w:rPr>
                <w:spacing w:val="-4"/>
                <w:sz w:val="20"/>
              </w:rPr>
              <w:t> </w:t>
            </w:r>
            <w:r>
              <w:rPr>
                <w:sz w:val="20"/>
              </w:rPr>
              <w:t>D45,</w:t>
            </w:r>
            <w:r>
              <w:rPr>
                <w:spacing w:val="-6"/>
                <w:sz w:val="20"/>
              </w:rPr>
              <w:t> </w:t>
            </w:r>
            <w:r>
              <w:rPr>
                <w:sz w:val="20"/>
              </w:rPr>
              <w:t>D46,</w:t>
            </w:r>
            <w:r>
              <w:rPr>
                <w:spacing w:val="-4"/>
                <w:sz w:val="20"/>
              </w:rPr>
              <w:t> </w:t>
            </w:r>
            <w:r>
              <w:rPr>
                <w:sz w:val="20"/>
              </w:rPr>
              <w:t>D46.0,</w:t>
            </w:r>
            <w:r>
              <w:rPr>
                <w:spacing w:val="-5"/>
                <w:sz w:val="20"/>
              </w:rPr>
              <w:t> </w:t>
            </w:r>
            <w:r>
              <w:rPr>
                <w:sz w:val="20"/>
              </w:rPr>
              <w:t>D46.1,</w:t>
            </w:r>
            <w:r>
              <w:rPr>
                <w:spacing w:val="-4"/>
                <w:sz w:val="20"/>
              </w:rPr>
              <w:t> </w:t>
            </w:r>
            <w:r>
              <w:rPr>
                <w:spacing w:val="-2"/>
                <w:sz w:val="20"/>
              </w:rPr>
              <w:t>D46.2,</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right="198"/>
              <w:jc w:val="right"/>
              <w:rPr>
                <w:sz w:val="20"/>
              </w:rPr>
            </w:pPr>
            <w:r>
              <w:rPr>
                <w:sz w:val="20"/>
              </w:rPr>
              <w:t>D46.4,</w:t>
            </w:r>
            <w:r>
              <w:rPr>
                <w:spacing w:val="-4"/>
                <w:sz w:val="20"/>
              </w:rPr>
              <w:t> </w:t>
            </w:r>
            <w:r>
              <w:rPr>
                <w:sz w:val="20"/>
              </w:rPr>
              <w:t>D46.5,</w:t>
            </w:r>
            <w:r>
              <w:rPr>
                <w:spacing w:val="-6"/>
                <w:sz w:val="20"/>
              </w:rPr>
              <w:t> </w:t>
            </w:r>
            <w:r>
              <w:rPr>
                <w:sz w:val="20"/>
              </w:rPr>
              <w:t>D46.6,</w:t>
            </w:r>
            <w:r>
              <w:rPr>
                <w:spacing w:val="-1"/>
                <w:sz w:val="20"/>
              </w:rPr>
              <w:t> </w:t>
            </w:r>
            <w:r>
              <w:rPr>
                <w:sz w:val="20"/>
              </w:rPr>
              <w:t>D46.7,</w:t>
            </w:r>
            <w:r>
              <w:rPr>
                <w:spacing w:val="-6"/>
                <w:sz w:val="20"/>
              </w:rPr>
              <w:t> </w:t>
            </w:r>
            <w:r>
              <w:rPr>
                <w:sz w:val="20"/>
              </w:rPr>
              <w:t>D46.9,</w:t>
            </w:r>
            <w:r>
              <w:rPr>
                <w:spacing w:val="-4"/>
                <w:sz w:val="20"/>
              </w:rPr>
              <w:t> </w:t>
            </w:r>
            <w:r>
              <w:rPr>
                <w:sz w:val="20"/>
              </w:rPr>
              <w:t>D47,</w:t>
            </w:r>
            <w:r>
              <w:rPr>
                <w:spacing w:val="-4"/>
                <w:sz w:val="20"/>
              </w:rPr>
              <w:t> </w:t>
            </w:r>
            <w:r>
              <w:rPr>
                <w:spacing w:val="-2"/>
                <w:sz w:val="20"/>
              </w:rPr>
              <w:t>D47.0,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45" w:type="dxa"/>
          </w:tcPr>
          <w:p>
            <w:pPr>
              <w:pStyle w:val="TableParagraph"/>
              <w:rPr>
                <w:sz w:val="18"/>
              </w:rPr>
            </w:pPr>
          </w:p>
        </w:tc>
        <w:tc>
          <w:tcPr>
            <w:tcW w:w="4380" w:type="dxa"/>
          </w:tcPr>
          <w:p>
            <w:pPr>
              <w:pStyle w:val="TableParagraph"/>
              <w:spacing w:line="226" w:lineRule="exact"/>
              <w:ind w:right="151"/>
              <w:jc w:val="right"/>
              <w:rPr>
                <w:sz w:val="20"/>
              </w:rPr>
            </w:pPr>
            <w:r>
              <w:rPr>
                <w:sz w:val="20"/>
              </w:rPr>
              <w:t>D47.1,</w:t>
            </w:r>
            <w:r>
              <w:rPr>
                <w:spacing w:val="-5"/>
                <w:sz w:val="20"/>
              </w:rPr>
              <w:t> </w:t>
            </w:r>
            <w:r>
              <w:rPr>
                <w:sz w:val="20"/>
              </w:rPr>
              <w:t>D47.2,</w:t>
            </w:r>
            <w:r>
              <w:rPr>
                <w:spacing w:val="-5"/>
                <w:sz w:val="20"/>
              </w:rPr>
              <w:t> </w:t>
            </w:r>
            <w:r>
              <w:rPr>
                <w:sz w:val="20"/>
              </w:rPr>
              <w:t>D47.3,</w:t>
            </w:r>
            <w:r>
              <w:rPr>
                <w:spacing w:val="-4"/>
                <w:sz w:val="20"/>
              </w:rPr>
              <w:t> </w:t>
            </w:r>
            <w:r>
              <w:rPr>
                <w:sz w:val="20"/>
              </w:rPr>
              <w:t>D47.4,</w:t>
            </w:r>
            <w:r>
              <w:rPr>
                <w:spacing w:val="-6"/>
                <w:sz w:val="20"/>
              </w:rPr>
              <w:t> </w:t>
            </w:r>
            <w:r>
              <w:rPr>
                <w:sz w:val="20"/>
              </w:rPr>
              <w:t>D47.5,</w:t>
            </w:r>
            <w:r>
              <w:rPr>
                <w:spacing w:val="-4"/>
                <w:sz w:val="20"/>
              </w:rPr>
              <w:t> </w:t>
            </w:r>
            <w:r>
              <w:rPr>
                <w:sz w:val="20"/>
              </w:rPr>
              <w:t>D47.7,</w:t>
            </w:r>
            <w:r>
              <w:rPr>
                <w:spacing w:val="-6"/>
                <w:sz w:val="20"/>
              </w:rPr>
              <w:t> </w:t>
            </w:r>
            <w:r>
              <w:rPr>
                <w:spacing w:val="-4"/>
                <w:sz w:val="20"/>
              </w:rPr>
              <w:t>D47.9</w:t>
            </w:r>
          </w:p>
        </w:tc>
        <w:tc>
          <w:tcPr>
            <w:tcW w:w="3490" w:type="dxa"/>
          </w:tcPr>
          <w:p>
            <w:pPr>
              <w:pStyle w:val="TableParagraph"/>
              <w:rPr>
                <w:sz w:val="18"/>
              </w:rPr>
            </w:pPr>
          </w:p>
        </w:tc>
        <w:tc>
          <w:tcPr>
            <w:tcW w:w="2339" w:type="dxa"/>
          </w:tcPr>
          <w:p>
            <w:pPr>
              <w:pStyle w:val="TableParagraph"/>
              <w:rPr>
                <w:sz w:val="18"/>
              </w:rPr>
            </w:pPr>
          </w:p>
        </w:tc>
        <w:tc>
          <w:tcPr>
            <w:tcW w:w="939" w:type="dxa"/>
          </w:tcPr>
          <w:p>
            <w:pPr>
              <w:pStyle w:val="TableParagraph"/>
              <w:rPr>
                <w:sz w:val="18"/>
              </w:rPr>
            </w:pPr>
          </w:p>
        </w:tc>
      </w:tr>
      <w:tr>
        <w:trPr>
          <w:trHeight w:val="330" w:hRule="atLeast"/>
        </w:trPr>
        <w:tc>
          <w:tcPr>
            <w:tcW w:w="1003" w:type="dxa"/>
          </w:tcPr>
          <w:p>
            <w:pPr>
              <w:pStyle w:val="TableParagraph"/>
              <w:spacing w:before="45"/>
              <w:ind w:left="39" w:right="211"/>
              <w:jc w:val="center"/>
              <w:rPr>
                <w:sz w:val="20"/>
              </w:rPr>
            </w:pPr>
            <w:r>
              <w:rPr>
                <w:spacing w:val="-4"/>
                <w:sz w:val="20"/>
              </w:rPr>
              <w:t>ds09</w:t>
            </w:r>
          </w:p>
        </w:tc>
        <w:tc>
          <w:tcPr>
            <w:tcW w:w="645" w:type="dxa"/>
          </w:tcPr>
          <w:p>
            <w:pPr>
              <w:pStyle w:val="TableParagraph"/>
              <w:spacing w:before="45"/>
              <w:ind w:left="7"/>
              <w:jc w:val="center"/>
              <w:rPr>
                <w:sz w:val="20"/>
              </w:rPr>
            </w:pPr>
            <w:r>
              <w:rPr>
                <w:w w:val="99"/>
                <w:sz w:val="20"/>
              </w:rPr>
              <w:t>9</w:t>
            </w:r>
          </w:p>
        </w:tc>
        <w:tc>
          <w:tcPr>
            <w:tcW w:w="2545" w:type="dxa"/>
          </w:tcPr>
          <w:p>
            <w:pPr>
              <w:pStyle w:val="TableParagraph"/>
              <w:rPr>
                <w:sz w:val="18"/>
              </w:rPr>
            </w:pPr>
          </w:p>
        </w:tc>
        <w:tc>
          <w:tcPr>
            <w:tcW w:w="7870" w:type="dxa"/>
            <w:gridSpan w:val="2"/>
          </w:tcPr>
          <w:p>
            <w:pPr>
              <w:pStyle w:val="TableParagraph"/>
              <w:spacing w:before="45"/>
              <w:ind w:left="2571" w:right="2787"/>
              <w:jc w:val="center"/>
              <w:rPr>
                <w:sz w:val="20"/>
              </w:rPr>
            </w:pPr>
            <w:r>
              <w:rPr>
                <w:w w:val="95"/>
                <w:sz w:val="20"/>
              </w:rPr>
              <w:t>Детская</w:t>
            </w:r>
            <w:r>
              <w:rPr>
                <w:spacing w:val="61"/>
                <w:sz w:val="20"/>
              </w:rPr>
              <w:t> </w:t>
            </w:r>
            <w:r>
              <w:rPr>
                <w:w w:val="95"/>
                <w:sz w:val="20"/>
              </w:rPr>
              <w:t>урология-</w:t>
            </w:r>
            <w:r>
              <w:rPr>
                <w:spacing w:val="-2"/>
                <w:w w:val="95"/>
                <w:sz w:val="20"/>
              </w:rPr>
              <w:t>андрология</w:t>
            </w:r>
          </w:p>
        </w:tc>
        <w:tc>
          <w:tcPr>
            <w:tcW w:w="2339" w:type="dxa"/>
          </w:tcPr>
          <w:p>
            <w:pPr>
              <w:pStyle w:val="TableParagraph"/>
              <w:rPr>
                <w:sz w:val="18"/>
              </w:rPr>
            </w:pPr>
          </w:p>
        </w:tc>
        <w:tc>
          <w:tcPr>
            <w:tcW w:w="939" w:type="dxa"/>
          </w:tcPr>
          <w:p>
            <w:pPr>
              <w:pStyle w:val="TableParagraph"/>
              <w:spacing w:before="45"/>
              <w:ind w:right="94"/>
              <w:jc w:val="right"/>
              <w:rPr>
                <w:sz w:val="20"/>
              </w:rPr>
            </w:pPr>
            <w:r>
              <w:rPr>
                <w:spacing w:val="-4"/>
                <w:sz w:val="20"/>
              </w:rPr>
              <w:t>1,42</w:t>
            </w:r>
          </w:p>
        </w:tc>
      </w:tr>
      <w:tr>
        <w:trPr>
          <w:trHeight w:val="281" w:hRule="atLeast"/>
        </w:trPr>
        <w:tc>
          <w:tcPr>
            <w:tcW w:w="1003" w:type="dxa"/>
          </w:tcPr>
          <w:p>
            <w:pPr>
              <w:pStyle w:val="TableParagraph"/>
              <w:spacing w:line="215" w:lineRule="exact" w:before="46"/>
              <w:ind w:left="39" w:right="212"/>
              <w:jc w:val="center"/>
              <w:rPr>
                <w:sz w:val="20"/>
              </w:rPr>
            </w:pPr>
            <w:r>
              <w:rPr>
                <w:spacing w:val="-2"/>
                <w:sz w:val="20"/>
              </w:rPr>
              <w:t>ds09.001</w:t>
            </w:r>
          </w:p>
        </w:tc>
        <w:tc>
          <w:tcPr>
            <w:tcW w:w="645" w:type="dxa"/>
          </w:tcPr>
          <w:p>
            <w:pPr>
              <w:pStyle w:val="TableParagraph"/>
              <w:spacing w:line="215" w:lineRule="exact" w:before="46"/>
              <w:ind w:left="211" w:right="203"/>
              <w:jc w:val="center"/>
              <w:rPr>
                <w:sz w:val="20"/>
              </w:rPr>
            </w:pPr>
            <w:r>
              <w:rPr>
                <w:spacing w:val="-5"/>
                <w:sz w:val="20"/>
              </w:rPr>
              <w:t>24</w:t>
            </w:r>
          </w:p>
        </w:tc>
        <w:tc>
          <w:tcPr>
            <w:tcW w:w="2545" w:type="dxa"/>
          </w:tcPr>
          <w:p>
            <w:pPr>
              <w:pStyle w:val="TableParagraph"/>
              <w:spacing w:line="215" w:lineRule="exact" w:before="46"/>
              <w:ind w:left="219"/>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4380" w:type="dxa"/>
          </w:tcPr>
          <w:p>
            <w:pPr>
              <w:pStyle w:val="TableParagraph"/>
              <w:spacing w:line="215" w:lineRule="exact" w:before="46"/>
              <w:ind w:left="21"/>
              <w:jc w:val="center"/>
              <w:rPr>
                <w:sz w:val="20"/>
              </w:rPr>
            </w:pPr>
            <w:r>
              <w:rPr>
                <w:w w:val="99"/>
                <w:sz w:val="20"/>
              </w:rPr>
              <w:t>-</w:t>
            </w:r>
          </w:p>
        </w:tc>
        <w:tc>
          <w:tcPr>
            <w:tcW w:w="3490" w:type="dxa"/>
          </w:tcPr>
          <w:p>
            <w:pPr>
              <w:pStyle w:val="TableParagraph"/>
              <w:spacing w:line="215" w:lineRule="exact" w:before="46"/>
              <w:ind w:left="159" w:right="243"/>
              <w:jc w:val="center"/>
              <w:rPr>
                <w:sz w:val="20"/>
              </w:rPr>
            </w:pPr>
            <w:r>
              <w:rPr>
                <w:sz w:val="20"/>
              </w:rPr>
              <w:t>A11.21.002,</w:t>
            </w:r>
            <w:r>
              <w:rPr>
                <w:spacing w:val="-9"/>
                <w:sz w:val="20"/>
              </w:rPr>
              <w:t> </w:t>
            </w:r>
            <w:r>
              <w:rPr>
                <w:sz w:val="20"/>
              </w:rPr>
              <w:t>A11.21.003,</w:t>
            </w:r>
            <w:r>
              <w:rPr>
                <w:spacing w:val="-10"/>
                <w:sz w:val="20"/>
              </w:rPr>
              <w:t> </w:t>
            </w:r>
            <w:r>
              <w:rPr>
                <w:spacing w:val="-2"/>
                <w:sz w:val="20"/>
              </w:rPr>
              <w:t>A16.21.013,</w:t>
            </w:r>
          </w:p>
        </w:tc>
        <w:tc>
          <w:tcPr>
            <w:tcW w:w="2339" w:type="dxa"/>
          </w:tcPr>
          <w:p>
            <w:pPr>
              <w:pStyle w:val="TableParagraph"/>
              <w:spacing w:line="215" w:lineRule="exact" w:before="46"/>
              <w:ind w:left="252"/>
              <w:rPr>
                <w:sz w:val="20"/>
              </w:rPr>
            </w:pPr>
            <w:r>
              <w:rPr>
                <w:sz w:val="20"/>
              </w:rPr>
              <w:t>Возрастная</w:t>
            </w:r>
            <w:r>
              <w:rPr>
                <w:spacing w:val="-11"/>
                <w:sz w:val="20"/>
              </w:rPr>
              <w:t> </w:t>
            </w:r>
            <w:r>
              <w:rPr>
                <w:spacing w:val="-2"/>
                <w:sz w:val="20"/>
              </w:rPr>
              <w:t>группа:</w:t>
            </w:r>
          </w:p>
        </w:tc>
        <w:tc>
          <w:tcPr>
            <w:tcW w:w="939" w:type="dxa"/>
          </w:tcPr>
          <w:p>
            <w:pPr>
              <w:pStyle w:val="TableParagraph"/>
              <w:spacing w:line="215" w:lineRule="exact" w:before="46"/>
              <w:ind w:right="94"/>
              <w:jc w:val="right"/>
              <w:rPr>
                <w:sz w:val="20"/>
              </w:rPr>
            </w:pPr>
            <w:r>
              <w:rPr>
                <w:spacing w:val="-4"/>
                <w:sz w:val="20"/>
              </w:rPr>
              <w:t>1,38</w:t>
            </w: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45" w:type="dxa"/>
          </w:tcPr>
          <w:p>
            <w:pPr>
              <w:pStyle w:val="TableParagraph"/>
              <w:spacing w:line="226" w:lineRule="exact"/>
              <w:ind w:left="219"/>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4380" w:type="dxa"/>
          </w:tcPr>
          <w:p>
            <w:pPr>
              <w:pStyle w:val="TableParagraph"/>
              <w:rPr>
                <w:sz w:val="18"/>
              </w:rPr>
            </w:pPr>
          </w:p>
        </w:tc>
        <w:tc>
          <w:tcPr>
            <w:tcW w:w="3490" w:type="dxa"/>
          </w:tcPr>
          <w:p>
            <w:pPr>
              <w:pStyle w:val="TableParagraph"/>
              <w:spacing w:line="226" w:lineRule="exact"/>
              <w:ind w:left="156" w:right="243"/>
              <w:jc w:val="center"/>
              <w:rPr>
                <w:sz w:val="20"/>
              </w:rPr>
            </w:pPr>
            <w:r>
              <w:rPr>
                <w:sz w:val="20"/>
              </w:rPr>
              <w:t>A16.21.038,</w:t>
            </w:r>
            <w:r>
              <w:rPr>
                <w:spacing w:val="-9"/>
                <w:sz w:val="20"/>
              </w:rPr>
              <w:t> </w:t>
            </w:r>
            <w:r>
              <w:rPr>
                <w:spacing w:val="-2"/>
                <w:sz w:val="20"/>
              </w:rPr>
              <w:t>A16.21.039</w:t>
            </w:r>
          </w:p>
        </w:tc>
        <w:tc>
          <w:tcPr>
            <w:tcW w:w="2339" w:type="dxa"/>
          </w:tcPr>
          <w:p>
            <w:pPr>
              <w:pStyle w:val="TableParagraph"/>
              <w:spacing w:line="226" w:lineRule="exact"/>
              <w:ind w:left="26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rPr>
                <w:sz w:val="18"/>
              </w:rPr>
            </w:pP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ds09.002</w:t>
            </w:r>
          </w:p>
        </w:tc>
        <w:tc>
          <w:tcPr>
            <w:tcW w:w="645" w:type="dxa"/>
          </w:tcPr>
          <w:p>
            <w:pPr>
              <w:pStyle w:val="TableParagraph"/>
              <w:spacing w:line="215" w:lineRule="exact" w:before="45"/>
              <w:ind w:left="211" w:right="203"/>
              <w:jc w:val="center"/>
              <w:rPr>
                <w:sz w:val="20"/>
              </w:rPr>
            </w:pPr>
            <w:r>
              <w:rPr>
                <w:spacing w:val="-5"/>
                <w:sz w:val="20"/>
              </w:rPr>
              <w:t>25</w:t>
            </w:r>
          </w:p>
        </w:tc>
        <w:tc>
          <w:tcPr>
            <w:tcW w:w="2545" w:type="dxa"/>
          </w:tcPr>
          <w:p>
            <w:pPr>
              <w:pStyle w:val="TableParagraph"/>
              <w:spacing w:line="215" w:lineRule="exact" w:before="45"/>
              <w:ind w:left="219"/>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4380" w:type="dxa"/>
          </w:tcPr>
          <w:p>
            <w:pPr>
              <w:pStyle w:val="TableParagraph"/>
              <w:spacing w:line="215" w:lineRule="exact" w:before="45"/>
              <w:ind w:left="21"/>
              <w:jc w:val="center"/>
              <w:rPr>
                <w:sz w:val="20"/>
              </w:rPr>
            </w:pPr>
            <w:r>
              <w:rPr>
                <w:w w:val="99"/>
                <w:sz w:val="20"/>
              </w:rPr>
              <w:t>-</w:t>
            </w:r>
          </w:p>
        </w:tc>
        <w:tc>
          <w:tcPr>
            <w:tcW w:w="3490" w:type="dxa"/>
          </w:tcPr>
          <w:p>
            <w:pPr>
              <w:pStyle w:val="TableParagraph"/>
              <w:spacing w:line="215" w:lineRule="exact" w:before="45"/>
              <w:ind w:left="159" w:right="243"/>
              <w:jc w:val="center"/>
              <w:rPr>
                <w:sz w:val="20"/>
              </w:rPr>
            </w:pPr>
            <w:r>
              <w:rPr>
                <w:sz w:val="20"/>
              </w:rPr>
              <w:t>A03.28.001,</w:t>
            </w:r>
            <w:r>
              <w:rPr>
                <w:spacing w:val="-7"/>
                <w:sz w:val="20"/>
              </w:rPr>
              <w:t> </w:t>
            </w:r>
            <w:r>
              <w:rPr>
                <w:sz w:val="20"/>
              </w:rPr>
              <w:t>A03.28.002,</w:t>
            </w:r>
            <w:r>
              <w:rPr>
                <w:spacing w:val="-8"/>
                <w:sz w:val="20"/>
              </w:rPr>
              <w:t> </w:t>
            </w:r>
            <w:r>
              <w:rPr>
                <w:spacing w:val="-2"/>
                <w:sz w:val="20"/>
              </w:rPr>
              <w:t>A03.28.003,</w:t>
            </w:r>
          </w:p>
        </w:tc>
        <w:tc>
          <w:tcPr>
            <w:tcW w:w="2339" w:type="dxa"/>
          </w:tcPr>
          <w:p>
            <w:pPr>
              <w:pStyle w:val="TableParagraph"/>
              <w:spacing w:line="215" w:lineRule="exact" w:before="45"/>
              <w:ind w:left="252"/>
              <w:rPr>
                <w:sz w:val="20"/>
              </w:rPr>
            </w:pPr>
            <w:r>
              <w:rPr>
                <w:sz w:val="20"/>
              </w:rPr>
              <w:t>Возрастная</w:t>
            </w:r>
            <w:r>
              <w:rPr>
                <w:spacing w:val="-11"/>
                <w:sz w:val="20"/>
              </w:rPr>
              <w:t> </w:t>
            </w:r>
            <w:r>
              <w:rPr>
                <w:spacing w:val="-2"/>
                <w:sz w:val="20"/>
              </w:rPr>
              <w:t>группа:</w:t>
            </w:r>
          </w:p>
        </w:tc>
        <w:tc>
          <w:tcPr>
            <w:tcW w:w="939" w:type="dxa"/>
          </w:tcPr>
          <w:p>
            <w:pPr>
              <w:pStyle w:val="TableParagraph"/>
              <w:spacing w:line="215" w:lineRule="exact" w:before="45"/>
              <w:ind w:right="94"/>
              <w:jc w:val="right"/>
              <w:rPr>
                <w:sz w:val="20"/>
              </w:rPr>
            </w:pPr>
            <w:r>
              <w:rPr>
                <w:spacing w:val="-4"/>
                <w:sz w:val="20"/>
              </w:rPr>
              <w:t>2,09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pacing w:val="-2"/>
                <w:sz w:val="20"/>
              </w:rPr>
              <w:t>мочевыделительной</w:t>
            </w:r>
          </w:p>
        </w:tc>
        <w:tc>
          <w:tcPr>
            <w:tcW w:w="4380" w:type="dxa"/>
          </w:tcPr>
          <w:p>
            <w:pPr>
              <w:pStyle w:val="TableParagraph"/>
              <w:rPr>
                <w:sz w:val="16"/>
              </w:rPr>
            </w:pPr>
          </w:p>
        </w:tc>
        <w:tc>
          <w:tcPr>
            <w:tcW w:w="3490" w:type="dxa"/>
          </w:tcPr>
          <w:p>
            <w:pPr>
              <w:pStyle w:val="TableParagraph"/>
              <w:spacing w:line="210" w:lineRule="exact"/>
              <w:ind w:left="158" w:right="243"/>
              <w:jc w:val="center"/>
              <w:rPr>
                <w:sz w:val="20"/>
              </w:rPr>
            </w:pPr>
            <w:r>
              <w:rPr>
                <w:sz w:val="20"/>
              </w:rPr>
              <w:t>A03.28.004,</w:t>
            </w:r>
            <w:r>
              <w:rPr>
                <w:spacing w:val="-7"/>
                <w:sz w:val="20"/>
              </w:rPr>
              <w:t> </w:t>
            </w:r>
            <w:r>
              <w:rPr>
                <w:sz w:val="20"/>
              </w:rPr>
              <w:t>A11.28.001,</w:t>
            </w:r>
            <w:r>
              <w:rPr>
                <w:spacing w:val="-9"/>
                <w:sz w:val="20"/>
              </w:rPr>
              <w:t> </w:t>
            </w:r>
            <w:r>
              <w:rPr>
                <w:spacing w:val="-2"/>
                <w:sz w:val="20"/>
              </w:rPr>
              <w:t>A11.28.002,</w:t>
            </w:r>
          </w:p>
        </w:tc>
        <w:tc>
          <w:tcPr>
            <w:tcW w:w="2339" w:type="dxa"/>
          </w:tcPr>
          <w:p>
            <w:pPr>
              <w:pStyle w:val="TableParagraph"/>
              <w:spacing w:line="210" w:lineRule="exact"/>
              <w:ind w:left="26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z w:val="20"/>
              </w:rPr>
              <w:t>системе,</w:t>
            </w:r>
            <w:r>
              <w:rPr>
                <w:spacing w:val="-7"/>
                <w:sz w:val="20"/>
              </w:rPr>
              <w:t> </w:t>
            </w:r>
            <w:r>
              <w:rPr>
                <w:spacing w:val="-4"/>
                <w:sz w:val="20"/>
              </w:rPr>
              <w:t>дети</w:t>
            </w:r>
          </w:p>
        </w:tc>
        <w:tc>
          <w:tcPr>
            <w:tcW w:w="4380" w:type="dxa"/>
          </w:tcPr>
          <w:p>
            <w:pPr>
              <w:pStyle w:val="TableParagraph"/>
              <w:rPr>
                <w:sz w:val="16"/>
              </w:rPr>
            </w:pPr>
          </w:p>
        </w:tc>
        <w:tc>
          <w:tcPr>
            <w:tcW w:w="3490" w:type="dxa"/>
          </w:tcPr>
          <w:p>
            <w:pPr>
              <w:pStyle w:val="TableParagraph"/>
              <w:spacing w:line="210" w:lineRule="exact"/>
              <w:ind w:left="159" w:right="243"/>
              <w:jc w:val="center"/>
              <w:rPr>
                <w:sz w:val="20"/>
              </w:rPr>
            </w:pPr>
            <w:r>
              <w:rPr>
                <w:sz w:val="20"/>
              </w:rPr>
              <w:t>A11.28.012,</w:t>
            </w:r>
            <w:r>
              <w:rPr>
                <w:spacing w:val="-9"/>
                <w:sz w:val="20"/>
              </w:rPr>
              <w:t> </w:t>
            </w:r>
            <w:r>
              <w:rPr>
                <w:spacing w:val="-2"/>
                <w:sz w:val="20"/>
              </w:rPr>
              <w:t>A11.28.013,</w:t>
            </w: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10" w:lineRule="exact"/>
              <w:ind w:left="159" w:right="243"/>
              <w:jc w:val="center"/>
              <w:rPr>
                <w:sz w:val="20"/>
              </w:rPr>
            </w:pPr>
            <w:r>
              <w:rPr>
                <w:sz w:val="20"/>
              </w:rPr>
              <w:t>A16.28.035.001,</w:t>
            </w:r>
            <w:r>
              <w:rPr>
                <w:spacing w:val="-10"/>
                <w:sz w:val="20"/>
              </w:rPr>
              <w:t> </w:t>
            </w:r>
            <w:r>
              <w:rPr>
                <w:spacing w:val="-2"/>
                <w:sz w:val="20"/>
              </w:rPr>
              <w:t>A16.28.040,</w:t>
            </w: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09" w:lineRule="exact"/>
              <w:ind w:left="159" w:right="243"/>
              <w:jc w:val="center"/>
              <w:rPr>
                <w:sz w:val="20"/>
              </w:rPr>
            </w:pPr>
            <w:r>
              <w:rPr>
                <w:sz w:val="20"/>
              </w:rPr>
              <w:t>A16.28.043,</w:t>
            </w:r>
            <w:r>
              <w:rPr>
                <w:spacing w:val="-9"/>
                <w:sz w:val="20"/>
              </w:rPr>
              <w:t> </w:t>
            </w:r>
            <w:r>
              <w:rPr>
                <w:spacing w:val="-2"/>
                <w:sz w:val="20"/>
              </w:rPr>
              <w:t>A16.28.051,</w:t>
            </w: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09" w:lineRule="exact"/>
              <w:ind w:left="155" w:right="243"/>
              <w:jc w:val="center"/>
              <w:rPr>
                <w:sz w:val="20"/>
              </w:rPr>
            </w:pPr>
            <w:r>
              <w:rPr>
                <w:w w:val="95"/>
                <w:sz w:val="20"/>
              </w:rPr>
              <w:t>A16.28.052.001,</w:t>
            </w:r>
            <w:r>
              <w:rPr>
                <w:spacing w:val="54"/>
                <w:sz w:val="20"/>
              </w:rPr>
              <w:t> </w:t>
            </w:r>
            <w:r>
              <w:rPr>
                <w:spacing w:val="-2"/>
                <w:sz w:val="20"/>
              </w:rPr>
              <w:t>A16.28.072.001,</w:t>
            </w:r>
          </w:p>
        </w:tc>
        <w:tc>
          <w:tcPr>
            <w:tcW w:w="2339" w:type="dxa"/>
          </w:tcPr>
          <w:p>
            <w:pPr>
              <w:pStyle w:val="TableParagraph"/>
              <w:rPr>
                <w:sz w:val="16"/>
              </w:rPr>
            </w:pPr>
          </w:p>
        </w:tc>
        <w:tc>
          <w:tcPr>
            <w:tcW w:w="939"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05" w:lineRule="exact"/>
              <w:ind w:left="156" w:right="243"/>
              <w:jc w:val="center"/>
              <w:rPr>
                <w:sz w:val="20"/>
              </w:rPr>
            </w:pPr>
            <w:r>
              <w:rPr>
                <w:sz w:val="20"/>
              </w:rPr>
              <w:t>A16.28.077,</w:t>
            </w:r>
            <w:r>
              <w:rPr>
                <w:spacing w:val="-9"/>
                <w:sz w:val="20"/>
              </w:rPr>
              <w:t> </w:t>
            </w:r>
            <w:r>
              <w:rPr>
                <w:spacing w:val="-2"/>
                <w:sz w:val="20"/>
              </w:rPr>
              <w:t>A16.28.086</w:t>
            </w:r>
          </w:p>
        </w:tc>
        <w:tc>
          <w:tcPr>
            <w:tcW w:w="2339" w:type="dxa"/>
          </w:tcPr>
          <w:p>
            <w:pPr>
              <w:pStyle w:val="TableParagraph"/>
              <w:rPr>
                <w:sz w:val="16"/>
              </w:rPr>
            </w:pPr>
          </w:p>
        </w:tc>
        <w:tc>
          <w:tcPr>
            <w:tcW w:w="93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45"/>
        <w:gridCol w:w="4659"/>
        <w:gridCol w:w="3309"/>
        <w:gridCol w:w="2367"/>
        <w:gridCol w:w="863"/>
      </w:tblGrid>
      <w:tr>
        <w:trPr>
          <w:trHeight w:val="274" w:hRule="atLeast"/>
        </w:trPr>
        <w:tc>
          <w:tcPr>
            <w:tcW w:w="1003" w:type="dxa"/>
          </w:tcPr>
          <w:p>
            <w:pPr>
              <w:pStyle w:val="TableParagraph"/>
              <w:spacing w:line="221" w:lineRule="exact"/>
              <w:ind w:left="39" w:right="211"/>
              <w:jc w:val="center"/>
              <w:rPr>
                <w:sz w:val="20"/>
              </w:rPr>
            </w:pPr>
            <w:r>
              <w:rPr>
                <w:spacing w:val="-4"/>
                <w:sz w:val="20"/>
              </w:rPr>
              <w:t>ds10</w:t>
            </w:r>
          </w:p>
        </w:tc>
        <w:tc>
          <w:tcPr>
            <w:tcW w:w="645" w:type="dxa"/>
          </w:tcPr>
          <w:p>
            <w:pPr>
              <w:pStyle w:val="TableParagraph"/>
              <w:spacing w:line="221" w:lineRule="exact"/>
              <w:ind w:right="215"/>
              <w:jc w:val="right"/>
              <w:rPr>
                <w:sz w:val="20"/>
              </w:rPr>
            </w:pPr>
            <w:r>
              <w:rPr>
                <w:spacing w:val="-5"/>
                <w:sz w:val="20"/>
              </w:rPr>
              <w:t>10</w:t>
            </w:r>
          </w:p>
        </w:tc>
        <w:tc>
          <w:tcPr>
            <w:tcW w:w="2445" w:type="dxa"/>
          </w:tcPr>
          <w:p>
            <w:pPr>
              <w:pStyle w:val="TableParagraph"/>
              <w:rPr>
                <w:sz w:val="18"/>
              </w:rPr>
            </w:pPr>
          </w:p>
        </w:tc>
        <w:tc>
          <w:tcPr>
            <w:tcW w:w="4659" w:type="dxa"/>
          </w:tcPr>
          <w:p>
            <w:pPr>
              <w:pStyle w:val="TableParagraph"/>
              <w:spacing w:line="221" w:lineRule="exact"/>
              <w:ind w:right="-29"/>
              <w:jc w:val="right"/>
              <w:rPr>
                <w:sz w:val="20"/>
              </w:rPr>
            </w:pPr>
            <w:r>
              <w:rPr>
                <w:sz w:val="20"/>
              </w:rPr>
              <w:t>Детская</w:t>
            </w:r>
            <w:r>
              <w:rPr>
                <w:spacing w:val="-6"/>
                <w:sz w:val="20"/>
              </w:rPr>
              <w:t> </w:t>
            </w:r>
            <w:r>
              <w:rPr>
                <w:spacing w:val="-2"/>
                <w:sz w:val="20"/>
              </w:rPr>
              <w:t>хирургия</w:t>
            </w:r>
          </w:p>
        </w:tc>
        <w:tc>
          <w:tcPr>
            <w:tcW w:w="3309" w:type="dxa"/>
          </w:tcPr>
          <w:p>
            <w:pPr>
              <w:pStyle w:val="TableParagraph"/>
              <w:rPr>
                <w:sz w:val="18"/>
              </w:rPr>
            </w:pPr>
          </w:p>
        </w:tc>
        <w:tc>
          <w:tcPr>
            <w:tcW w:w="2367" w:type="dxa"/>
          </w:tcPr>
          <w:p>
            <w:pPr>
              <w:pStyle w:val="TableParagraph"/>
              <w:rPr>
                <w:sz w:val="18"/>
              </w:rPr>
            </w:pPr>
          </w:p>
        </w:tc>
        <w:tc>
          <w:tcPr>
            <w:tcW w:w="863" w:type="dxa"/>
          </w:tcPr>
          <w:p>
            <w:pPr>
              <w:pStyle w:val="TableParagraph"/>
              <w:spacing w:line="221" w:lineRule="exact"/>
              <w:ind w:right="44"/>
              <w:jc w:val="right"/>
              <w:rPr>
                <w:sz w:val="20"/>
              </w:rPr>
            </w:pPr>
            <w:r>
              <w:rPr>
                <w:spacing w:val="-4"/>
                <w:sz w:val="20"/>
              </w:rPr>
              <w:t>1,60</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ds10.001</w:t>
            </w:r>
          </w:p>
        </w:tc>
        <w:tc>
          <w:tcPr>
            <w:tcW w:w="645" w:type="dxa"/>
          </w:tcPr>
          <w:p>
            <w:pPr>
              <w:pStyle w:val="TableParagraph"/>
              <w:spacing w:line="215" w:lineRule="exact" w:before="45"/>
              <w:ind w:right="215"/>
              <w:jc w:val="right"/>
              <w:rPr>
                <w:sz w:val="20"/>
              </w:rPr>
            </w:pPr>
            <w:r>
              <w:rPr>
                <w:spacing w:val="-5"/>
                <w:sz w:val="20"/>
              </w:rPr>
              <w:t>26</w:t>
            </w:r>
          </w:p>
        </w:tc>
        <w:tc>
          <w:tcPr>
            <w:tcW w:w="2445" w:type="dxa"/>
          </w:tcPr>
          <w:p>
            <w:pPr>
              <w:pStyle w:val="TableParagraph"/>
              <w:spacing w:line="215" w:lineRule="exact" w:before="45"/>
              <w:ind w:left="219"/>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4659" w:type="dxa"/>
          </w:tcPr>
          <w:p>
            <w:pPr>
              <w:pStyle w:val="TableParagraph"/>
              <w:spacing w:line="215" w:lineRule="exact" w:before="45"/>
              <w:ind w:right="55"/>
              <w:jc w:val="center"/>
              <w:rPr>
                <w:sz w:val="20"/>
              </w:rPr>
            </w:pPr>
            <w:r>
              <w:rPr>
                <w:w w:val="99"/>
                <w:sz w:val="20"/>
              </w:rPr>
              <w:t>-</w:t>
            </w:r>
          </w:p>
        </w:tc>
        <w:tc>
          <w:tcPr>
            <w:tcW w:w="3309" w:type="dxa"/>
          </w:tcPr>
          <w:p>
            <w:pPr>
              <w:pStyle w:val="TableParagraph"/>
              <w:spacing w:line="215" w:lineRule="exact" w:before="45"/>
              <w:ind w:left="-20" w:right="246"/>
              <w:jc w:val="center"/>
              <w:rPr>
                <w:sz w:val="20"/>
              </w:rPr>
            </w:pPr>
            <w:r>
              <w:rPr>
                <w:sz w:val="20"/>
              </w:rPr>
              <w:t>A16.30.001,</w:t>
            </w:r>
            <w:r>
              <w:rPr>
                <w:spacing w:val="-9"/>
                <w:sz w:val="20"/>
              </w:rPr>
              <w:t> </w:t>
            </w:r>
            <w:r>
              <w:rPr>
                <w:sz w:val="20"/>
              </w:rPr>
              <w:t>A16.30.002,</w:t>
            </w:r>
            <w:r>
              <w:rPr>
                <w:spacing w:val="-10"/>
                <w:sz w:val="20"/>
              </w:rPr>
              <w:t> </w:t>
            </w:r>
            <w:r>
              <w:rPr>
                <w:spacing w:val="-2"/>
                <w:sz w:val="20"/>
              </w:rPr>
              <w:t>A16.30.003,</w:t>
            </w:r>
          </w:p>
        </w:tc>
        <w:tc>
          <w:tcPr>
            <w:tcW w:w="2367" w:type="dxa"/>
          </w:tcPr>
          <w:p>
            <w:pPr>
              <w:pStyle w:val="TableParagraph"/>
              <w:spacing w:line="215" w:lineRule="exact" w:before="45"/>
              <w:ind w:left="255"/>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5"/>
              <w:ind w:right="44"/>
              <w:jc w:val="right"/>
              <w:rPr>
                <w:sz w:val="20"/>
              </w:rPr>
            </w:pPr>
            <w:r>
              <w:rPr>
                <w:spacing w:val="-4"/>
                <w:sz w:val="20"/>
              </w:rPr>
              <w:t>1,60</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spacing w:line="210" w:lineRule="exact"/>
              <w:ind w:left="219"/>
              <w:rPr>
                <w:sz w:val="20"/>
              </w:rPr>
            </w:pPr>
            <w:r>
              <w:rPr>
                <w:sz w:val="20"/>
              </w:rPr>
              <w:t>грыж,</w:t>
            </w:r>
            <w:r>
              <w:rPr>
                <w:spacing w:val="-7"/>
                <w:sz w:val="20"/>
              </w:rPr>
              <w:t> </w:t>
            </w:r>
            <w:r>
              <w:rPr>
                <w:spacing w:val="-4"/>
                <w:sz w:val="20"/>
              </w:rPr>
              <w:t>дети</w:t>
            </w:r>
          </w:p>
        </w:tc>
        <w:tc>
          <w:tcPr>
            <w:tcW w:w="4659" w:type="dxa"/>
          </w:tcPr>
          <w:p>
            <w:pPr>
              <w:pStyle w:val="TableParagraph"/>
              <w:rPr>
                <w:sz w:val="16"/>
              </w:rPr>
            </w:pPr>
          </w:p>
        </w:tc>
        <w:tc>
          <w:tcPr>
            <w:tcW w:w="3309" w:type="dxa"/>
          </w:tcPr>
          <w:p>
            <w:pPr>
              <w:pStyle w:val="TableParagraph"/>
              <w:spacing w:line="210" w:lineRule="exact"/>
              <w:ind w:left="327" w:right="590"/>
              <w:jc w:val="center"/>
              <w:rPr>
                <w:sz w:val="20"/>
              </w:rPr>
            </w:pPr>
            <w:r>
              <w:rPr>
                <w:sz w:val="20"/>
              </w:rPr>
              <w:t>A16.30.004,</w:t>
            </w:r>
            <w:r>
              <w:rPr>
                <w:spacing w:val="-8"/>
                <w:sz w:val="20"/>
              </w:rPr>
              <w:t> </w:t>
            </w:r>
            <w:r>
              <w:rPr>
                <w:spacing w:val="-2"/>
                <w:sz w:val="20"/>
              </w:rPr>
              <w:t>A16.30.004.001,</w:t>
            </w:r>
          </w:p>
        </w:tc>
        <w:tc>
          <w:tcPr>
            <w:tcW w:w="2367" w:type="dxa"/>
          </w:tcPr>
          <w:p>
            <w:pPr>
              <w:pStyle w:val="TableParagraph"/>
              <w:spacing w:line="210" w:lineRule="exact"/>
              <w:ind w:left="271"/>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445" w:type="dxa"/>
          </w:tcPr>
          <w:p>
            <w:pPr>
              <w:pStyle w:val="TableParagraph"/>
              <w:rPr>
                <w:sz w:val="18"/>
              </w:rPr>
            </w:pPr>
          </w:p>
        </w:tc>
        <w:tc>
          <w:tcPr>
            <w:tcW w:w="4659" w:type="dxa"/>
          </w:tcPr>
          <w:p>
            <w:pPr>
              <w:pStyle w:val="TableParagraph"/>
              <w:rPr>
                <w:sz w:val="18"/>
              </w:rPr>
            </w:pPr>
          </w:p>
        </w:tc>
        <w:tc>
          <w:tcPr>
            <w:tcW w:w="3309" w:type="dxa"/>
          </w:tcPr>
          <w:p>
            <w:pPr>
              <w:pStyle w:val="TableParagraph"/>
              <w:spacing w:line="226" w:lineRule="exact"/>
              <w:ind w:left="327" w:right="590"/>
              <w:jc w:val="center"/>
              <w:rPr>
                <w:sz w:val="20"/>
              </w:rPr>
            </w:pPr>
            <w:r>
              <w:rPr>
                <w:spacing w:val="-2"/>
                <w:sz w:val="20"/>
              </w:rPr>
              <w:t>A16.30.004.002</w:t>
            </w:r>
          </w:p>
        </w:tc>
        <w:tc>
          <w:tcPr>
            <w:tcW w:w="2367" w:type="dxa"/>
          </w:tcPr>
          <w:p>
            <w:pPr>
              <w:pStyle w:val="TableParagraph"/>
              <w:rPr>
                <w:sz w:val="18"/>
              </w:rPr>
            </w:pPr>
          </w:p>
        </w:tc>
        <w:tc>
          <w:tcPr>
            <w:tcW w:w="863" w:type="dxa"/>
          </w:tcPr>
          <w:p>
            <w:pPr>
              <w:pStyle w:val="TableParagraph"/>
              <w:rPr>
                <w:sz w:val="18"/>
              </w:rPr>
            </w:pPr>
          </w:p>
        </w:tc>
      </w:tr>
      <w:tr>
        <w:trPr>
          <w:trHeight w:val="330" w:hRule="atLeast"/>
        </w:trPr>
        <w:tc>
          <w:tcPr>
            <w:tcW w:w="1003" w:type="dxa"/>
          </w:tcPr>
          <w:p>
            <w:pPr>
              <w:pStyle w:val="TableParagraph"/>
              <w:spacing w:before="45"/>
              <w:ind w:left="39" w:right="211"/>
              <w:jc w:val="center"/>
              <w:rPr>
                <w:sz w:val="20"/>
              </w:rPr>
            </w:pPr>
            <w:r>
              <w:rPr>
                <w:spacing w:val="-4"/>
                <w:sz w:val="20"/>
              </w:rPr>
              <w:t>ds11</w:t>
            </w:r>
          </w:p>
        </w:tc>
        <w:tc>
          <w:tcPr>
            <w:tcW w:w="645" w:type="dxa"/>
          </w:tcPr>
          <w:p>
            <w:pPr>
              <w:pStyle w:val="TableParagraph"/>
              <w:spacing w:before="45"/>
              <w:ind w:right="215"/>
              <w:jc w:val="right"/>
              <w:rPr>
                <w:sz w:val="20"/>
              </w:rPr>
            </w:pPr>
            <w:r>
              <w:rPr>
                <w:spacing w:val="-5"/>
                <w:sz w:val="20"/>
              </w:rPr>
              <w:t>11</w:t>
            </w:r>
          </w:p>
        </w:tc>
        <w:tc>
          <w:tcPr>
            <w:tcW w:w="2445" w:type="dxa"/>
          </w:tcPr>
          <w:p>
            <w:pPr>
              <w:pStyle w:val="TableParagraph"/>
              <w:rPr>
                <w:sz w:val="18"/>
              </w:rPr>
            </w:pPr>
          </w:p>
        </w:tc>
        <w:tc>
          <w:tcPr>
            <w:tcW w:w="7968" w:type="dxa"/>
            <w:gridSpan w:val="2"/>
          </w:tcPr>
          <w:p>
            <w:pPr>
              <w:pStyle w:val="TableParagraph"/>
              <w:spacing w:before="45"/>
              <w:ind w:left="2868" w:right="2980"/>
              <w:jc w:val="center"/>
              <w:rPr>
                <w:sz w:val="20"/>
              </w:rPr>
            </w:pPr>
            <w:r>
              <w:rPr>
                <w:sz w:val="20"/>
              </w:rPr>
              <w:t>Детская</w:t>
            </w:r>
            <w:r>
              <w:rPr>
                <w:spacing w:val="-9"/>
                <w:sz w:val="20"/>
              </w:rPr>
              <w:t> </w:t>
            </w:r>
            <w:r>
              <w:rPr>
                <w:spacing w:val="-2"/>
                <w:sz w:val="20"/>
              </w:rPr>
              <w:t>эндокринология</w:t>
            </w:r>
          </w:p>
        </w:tc>
        <w:tc>
          <w:tcPr>
            <w:tcW w:w="2367" w:type="dxa"/>
          </w:tcPr>
          <w:p>
            <w:pPr>
              <w:pStyle w:val="TableParagraph"/>
              <w:rPr>
                <w:sz w:val="18"/>
              </w:rPr>
            </w:pPr>
          </w:p>
        </w:tc>
        <w:tc>
          <w:tcPr>
            <w:tcW w:w="863" w:type="dxa"/>
          </w:tcPr>
          <w:p>
            <w:pPr>
              <w:pStyle w:val="TableParagraph"/>
              <w:spacing w:before="45"/>
              <w:ind w:right="44"/>
              <w:jc w:val="right"/>
              <w:rPr>
                <w:sz w:val="20"/>
              </w:rPr>
            </w:pPr>
            <w:r>
              <w:rPr>
                <w:spacing w:val="-4"/>
                <w:sz w:val="20"/>
              </w:rPr>
              <w:t>1,39</w:t>
            </w:r>
          </w:p>
        </w:tc>
      </w:tr>
      <w:tr>
        <w:trPr>
          <w:trHeight w:val="281" w:hRule="atLeast"/>
        </w:trPr>
        <w:tc>
          <w:tcPr>
            <w:tcW w:w="1003" w:type="dxa"/>
          </w:tcPr>
          <w:p>
            <w:pPr>
              <w:pStyle w:val="TableParagraph"/>
              <w:spacing w:line="215" w:lineRule="exact" w:before="46"/>
              <w:ind w:left="39" w:right="212"/>
              <w:jc w:val="center"/>
              <w:rPr>
                <w:sz w:val="20"/>
              </w:rPr>
            </w:pPr>
            <w:r>
              <w:rPr>
                <w:spacing w:val="-2"/>
                <w:sz w:val="20"/>
              </w:rPr>
              <w:t>ds11.001</w:t>
            </w:r>
          </w:p>
        </w:tc>
        <w:tc>
          <w:tcPr>
            <w:tcW w:w="645" w:type="dxa"/>
          </w:tcPr>
          <w:p>
            <w:pPr>
              <w:pStyle w:val="TableParagraph"/>
              <w:spacing w:line="215" w:lineRule="exact" w:before="46"/>
              <w:ind w:right="215"/>
              <w:jc w:val="right"/>
              <w:rPr>
                <w:sz w:val="20"/>
              </w:rPr>
            </w:pPr>
            <w:r>
              <w:rPr>
                <w:spacing w:val="-5"/>
                <w:sz w:val="20"/>
              </w:rPr>
              <w:t>27</w:t>
            </w:r>
          </w:p>
        </w:tc>
        <w:tc>
          <w:tcPr>
            <w:tcW w:w="2445" w:type="dxa"/>
          </w:tcPr>
          <w:p>
            <w:pPr>
              <w:pStyle w:val="TableParagraph"/>
              <w:spacing w:line="215" w:lineRule="exact" w:before="46"/>
              <w:ind w:left="219"/>
              <w:rPr>
                <w:sz w:val="20"/>
              </w:rPr>
            </w:pPr>
            <w:r>
              <w:rPr>
                <w:sz w:val="20"/>
              </w:rPr>
              <w:t>Сахарный</w:t>
            </w:r>
            <w:r>
              <w:rPr>
                <w:spacing w:val="-9"/>
                <w:sz w:val="20"/>
              </w:rPr>
              <w:t> </w:t>
            </w:r>
            <w:r>
              <w:rPr>
                <w:sz w:val="20"/>
              </w:rPr>
              <w:t>диабет,</w:t>
            </w:r>
            <w:r>
              <w:rPr>
                <w:spacing w:val="-8"/>
                <w:sz w:val="20"/>
              </w:rPr>
              <w:t> </w:t>
            </w:r>
            <w:r>
              <w:rPr>
                <w:spacing w:val="-4"/>
                <w:sz w:val="20"/>
              </w:rPr>
              <w:t>дети</w:t>
            </w:r>
          </w:p>
        </w:tc>
        <w:tc>
          <w:tcPr>
            <w:tcW w:w="4659" w:type="dxa"/>
          </w:tcPr>
          <w:p>
            <w:pPr>
              <w:pStyle w:val="TableParagraph"/>
              <w:spacing w:line="215" w:lineRule="exact" w:before="46"/>
              <w:ind w:left="323"/>
              <w:rPr>
                <w:sz w:val="20"/>
              </w:rPr>
            </w:pPr>
            <w:r>
              <w:rPr>
                <w:sz w:val="20"/>
              </w:rPr>
              <w:t>E10.0,</w:t>
            </w:r>
            <w:r>
              <w:rPr>
                <w:spacing w:val="-7"/>
                <w:sz w:val="20"/>
              </w:rPr>
              <w:t> </w:t>
            </w:r>
            <w:r>
              <w:rPr>
                <w:sz w:val="20"/>
              </w:rPr>
              <w:t>E10.1,</w:t>
            </w:r>
            <w:r>
              <w:rPr>
                <w:spacing w:val="-5"/>
                <w:sz w:val="20"/>
              </w:rPr>
              <w:t> </w:t>
            </w:r>
            <w:r>
              <w:rPr>
                <w:sz w:val="20"/>
              </w:rPr>
              <w:t>E10.2,</w:t>
            </w:r>
            <w:r>
              <w:rPr>
                <w:spacing w:val="-4"/>
                <w:sz w:val="20"/>
              </w:rPr>
              <w:t> </w:t>
            </w:r>
            <w:r>
              <w:rPr>
                <w:sz w:val="20"/>
              </w:rPr>
              <w:t>E10.3,</w:t>
            </w:r>
            <w:r>
              <w:rPr>
                <w:spacing w:val="-5"/>
                <w:sz w:val="20"/>
              </w:rPr>
              <w:t> </w:t>
            </w:r>
            <w:r>
              <w:rPr>
                <w:sz w:val="20"/>
              </w:rPr>
              <w:t>E10.4,</w:t>
            </w:r>
            <w:r>
              <w:rPr>
                <w:spacing w:val="-6"/>
                <w:sz w:val="20"/>
              </w:rPr>
              <w:t> </w:t>
            </w:r>
            <w:r>
              <w:rPr>
                <w:sz w:val="20"/>
              </w:rPr>
              <w:t>E10.5,</w:t>
            </w:r>
            <w:r>
              <w:rPr>
                <w:spacing w:val="-5"/>
                <w:sz w:val="20"/>
              </w:rPr>
              <w:t> </w:t>
            </w:r>
            <w:r>
              <w:rPr>
                <w:spacing w:val="-2"/>
                <w:sz w:val="20"/>
              </w:rPr>
              <w:t>E10.6,</w:t>
            </w:r>
          </w:p>
        </w:tc>
        <w:tc>
          <w:tcPr>
            <w:tcW w:w="3309" w:type="dxa"/>
          </w:tcPr>
          <w:p>
            <w:pPr>
              <w:pStyle w:val="TableParagraph"/>
              <w:spacing w:line="215" w:lineRule="exact" w:before="46"/>
              <w:ind w:right="261"/>
              <w:jc w:val="center"/>
              <w:rPr>
                <w:sz w:val="20"/>
              </w:rPr>
            </w:pPr>
            <w:r>
              <w:rPr>
                <w:w w:val="99"/>
                <w:sz w:val="20"/>
              </w:rPr>
              <w:t>-</w:t>
            </w:r>
          </w:p>
        </w:tc>
        <w:tc>
          <w:tcPr>
            <w:tcW w:w="2367" w:type="dxa"/>
          </w:tcPr>
          <w:p>
            <w:pPr>
              <w:pStyle w:val="TableParagraph"/>
              <w:spacing w:line="215" w:lineRule="exact" w:before="46"/>
              <w:ind w:left="255"/>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4"/>
              <w:jc w:val="right"/>
              <w:rPr>
                <w:sz w:val="20"/>
              </w:rPr>
            </w:pPr>
            <w:r>
              <w:rPr>
                <w:spacing w:val="-4"/>
                <w:sz w:val="20"/>
              </w:rPr>
              <w:t>1,49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23"/>
              <w:rPr>
                <w:sz w:val="20"/>
              </w:rPr>
            </w:pPr>
            <w:r>
              <w:rPr>
                <w:sz w:val="20"/>
              </w:rPr>
              <w:t>E10.7,</w:t>
            </w:r>
            <w:r>
              <w:rPr>
                <w:spacing w:val="-7"/>
                <w:sz w:val="20"/>
              </w:rPr>
              <w:t> </w:t>
            </w:r>
            <w:r>
              <w:rPr>
                <w:sz w:val="20"/>
              </w:rPr>
              <w:t>E10.8,</w:t>
            </w:r>
            <w:r>
              <w:rPr>
                <w:spacing w:val="-5"/>
                <w:sz w:val="20"/>
              </w:rPr>
              <w:t> </w:t>
            </w:r>
            <w:r>
              <w:rPr>
                <w:sz w:val="20"/>
              </w:rPr>
              <w:t>E10.9,</w:t>
            </w:r>
            <w:r>
              <w:rPr>
                <w:spacing w:val="-4"/>
                <w:sz w:val="20"/>
              </w:rPr>
              <w:t> </w:t>
            </w:r>
            <w:r>
              <w:rPr>
                <w:sz w:val="20"/>
              </w:rPr>
              <w:t>E11.0,</w:t>
            </w:r>
            <w:r>
              <w:rPr>
                <w:spacing w:val="-5"/>
                <w:sz w:val="20"/>
              </w:rPr>
              <w:t> </w:t>
            </w:r>
            <w:r>
              <w:rPr>
                <w:sz w:val="20"/>
              </w:rPr>
              <w:t>E11.1,</w:t>
            </w:r>
            <w:r>
              <w:rPr>
                <w:spacing w:val="-6"/>
                <w:sz w:val="20"/>
              </w:rPr>
              <w:t> </w:t>
            </w:r>
            <w:r>
              <w:rPr>
                <w:sz w:val="20"/>
              </w:rPr>
              <w:t>E11.2,</w:t>
            </w:r>
            <w:r>
              <w:rPr>
                <w:spacing w:val="-5"/>
                <w:sz w:val="20"/>
              </w:rPr>
              <w:t> </w:t>
            </w:r>
            <w:r>
              <w:rPr>
                <w:spacing w:val="-2"/>
                <w:sz w:val="20"/>
              </w:rPr>
              <w:t>E11.3,</w:t>
            </w:r>
          </w:p>
        </w:tc>
        <w:tc>
          <w:tcPr>
            <w:tcW w:w="3309" w:type="dxa"/>
          </w:tcPr>
          <w:p>
            <w:pPr>
              <w:pStyle w:val="TableParagraph"/>
              <w:rPr>
                <w:sz w:val="16"/>
              </w:rPr>
            </w:pPr>
          </w:p>
        </w:tc>
        <w:tc>
          <w:tcPr>
            <w:tcW w:w="2367" w:type="dxa"/>
          </w:tcPr>
          <w:p>
            <w:pPr>
              <w:pStyle w:val="TableParagraph"/>
              <w:spacing w:line="211" w:lineRule="exact"/>
              <w:ind w:left="271"/>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23"/>
              <w:rPr>
                <w:sz w:val="20"/>
              </w:rPr>
            </w:pPr>
            <w:r>
              <w:rPr>
                <w:sz w:val="20"/>
              </w:rPr>
              <w:t>E11.4,</w:t>
            </w:r>
            <w:r>
              <w:rPr>
                <w:spacing w:val="-6"/>
                <w:sz w:val="20"/>
              </w:rPr>
              <w:t> </w:t>
            </w:r>
            <w:r>
              <w:rPr>
                <w:sz w:val="20"/>
              </w:rPr>
              <w:t>E11.5,</w:t>
            </w:r>
            <w:r>
              <w:rPr>
                <w:spacing w:val="-5"/>
                <w:sz w:val="20"/>
              </w:rPr>
              <w:t> </w:t>
            </w:r>
            <w:r>
              <w:rPr>
                <w:sz w:val="20"/>
              </w:rPr>
              <w:t>E11.6,</w:t>
            </w:r>
            <w:r>
              <w:rPr>
                <w:spacing w:val="-4"/>
                <w:sz w:val="20"/>
              </w:rPr>
              <w:t> </w:t>
            </w:r>
            <w:r>
              <w:rPr>
                <w:sz w:val="20"/>
              </w:rPr>
              <w:t>E11.7,</w:t>
            </w:r>
            <w:r>
              <w:rPr>
                <w:spacing w:val="-5"/>
                <w:sz w:val="20"/>
              </w:rPr>
              <w:t> </w:t>
            </w:r>
            <w:r>
              <w:rPr>
                <w:sz w:val="20"/>
              </w:rPr>
              <w:t>E11.8,</w:t>
            </w:r>
            <w:r>
              <w:rPr>
                <w:spacing w:val="-6"/>
                <w:sz w:val="20"/>
              </w:rPr>
              <w:t> </w:t>
            </w:r>
            <w:r>
              <w:rPr>
                <w:sz w:val="20"/>
              </w:rPr>
              <w:t>E11.9,</w:t>
            </w:r>
            <w:r>
              <w:rPr>
                <w:spacing w:val="-5"/>
                <w:sz w:val="20"/>
              </w:rPr>
              <w:t> </w:t>
            </w:r>
            <w:r>
              <w:rPr>
                <w:spacing w:val="-2"/>
                <w:sz w:val="20"/>
              </w:rPr>
              <w:t>E12.0,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23"/>
              <w:rPr>
                <w:sz w:val="20"/>
              </w:rPr>
            </w:pPr>
            <w:r>
              <w:rPr>
                <w:sz w:val="20"/>
              </w:rPr>
              <w:t>E12.1,</w:t>
            </w:r>
            <w:r>
              <w:rPr>
                <w:spacing w:val="-7"/>
                <w:sz w:val="20"/>
              </w:rPr>
              <w:t> </w:t>
            </w:r>
            <w:r>
              <w:rPr>
                <w:sz w:val="20"/>
              </w:rPr>
              <w:t>E12.2,</w:t>
            </w:r>
            <w:r>
              <w:rPr>
                <w:spacing w:val="-5"/>
                <w:sz w:val="20"/>
              </w:rPr>
              <w:t> </w:t>
            </w:r>
            <w:r>
              <w:rPr>
                <w:sz w:val="20"/>
              </w:rPr>
              <w:t>E12.3,</w:t>
            </w:r>
            <w:r>
              <w:rPr>
                <w:spacing w:val="-4"/>
                <w:sz w:val="20"/>
              </w:rPr>
              <w:t> </w:t>
            </w:r>
            <w:r>
              <w:rPr>
                <w:sz w:val="20"/>
              </w:rPr>
              <w:t>E12.4,</w:t>
            </w:r>
            <w:r>
              <w:rPr>
                <w:spacing w:val="-5"/>
                <w:sz w:val="20"/>
              </w:rPr>
              <w:t> </w:t>
            </w:r>
            <w:r>
              <w:rPr>
                <w:sz w:val="20"/>
              </w:rPr>
              <w:t>E12.5,</w:t>
            </w:r>
            <w:r>
              <w:rPr>
                <w:spacing w:val="-6"/>
                <w:sz w:val="20"/>
              </w:rPr>
              <w:t> </w:t>
            </w:r>
            <w:r>
              <w:rPr>
                <w:sz w:val="20"/>
              </w:rPr>
              <w:t>E12.6,</w:t>
            </w:r>
            <w:r>
              <w:rPr>
                <w:spacing w:val="-5"/>
                <w:sz w:val="20"/>
              </w:rPr>
              <w:t> </w:t>
            </w:r>
            <w:r>
              <w:rPr>
                <w:spacing w:val="-2"/>
                <w:sz w:val="20"/>
              </w:rPr>
              <w:t>E12.7,</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E12.8,</w:t>
            </w:r>
            <w:r>
              <w:rPr>
                <w:spacing w:val="-7"/>
                <w:sz w:val="20"/>
              </w:rPr>
              <w:t> </w:t>
            </w:r>
            <w:r>
              <w:rPr>
                <w:sz w:val="20"/>
              </w:rPr>
              <w:t>E12.9,</w:t>
            </w:r>
            <w:r>
              <w:rPr>
                <w:spacing w:val="-5"/>
                <w:sz w:val="20"/>
              </w:rPr>
              <w:t> </w:t>
            </w:r>
            <w:r>
              <w:rPr>
                <w:sz w:val="20"/>
              </w:rPr>
              <w:t>E13.0,</w:t>
            </w:r>
            <w:r>
              <w:rPr>
                <w:spacing w:val="-4"/>
                <w:sz w:val="20"/>
              </w:rPr>
              <w:t> </w:t>
            </w:r>
            <w:r>
              <w:rPr>
                <w:sz w:val="20"/>
              </w:rPr>
              <w:t>E13.1,</w:t>
            </w:r>
            <w:r>
              <w:rPr>
                <w:spacing w:val="-5"/>
                <w:sz w:val="20"/>
              </w:rPr>
              <w:t> </w:t>
            </w:r>
            <w:r>
              <w:rPr>
                <w:sz w:val="20"/>
              </w:rPr>
              <w:t>E13.2,</w:t>
            </w:r>
            <w:r>
              <w:rPr>
                <w:spacing w:val="-6"/>
                <w:sz w:val="20"/>
              </w:rPr>
              <w:t> </w:t>
            </w:r>
            <w:r>
              <w:rPr>
                <w:sz w:val="20"/>
              </w:rPr>
              <w:t>E13.3,</w:t>
            </w:r>
            <w:r>
              <w:rPr>
                <w:spacing w:val="-5"/>
                <w:sz w:val="20"/>
              </w:rPr>
              <w:t> </w:t>
            </w:r>
            <w:r>
              <w:rPr>
                <w:spacing w:val="-2"/>
                <w:sz w:val="20"/>
              </w:rPr>
              <w:t>E13.4,</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E13.5,</w:t>
            </w:r>
            <w:r>
              <w:rPr>
                <w:spacing w:val="-7"/>
                <w:sz w:val="20"/>
              </w:rPr>
              <w:t> </w:t>
            </w:r>
            <w:r>
              <w:rPr>
                <w:sz w:val="20"/>
              </w:rPr>
              <w:t>E13.6,</w:t>
            </w:r>
            <w:r>
              <w:rPr>
                <w:spacing w:val="-5"/>
                <w:sz w:val="20"/>
              </w:rPr>
              <w:t> </w:t>
            </w:r>
            <w:r>
              <w:rPr>
                <w:sz w:val="20"/>
              </w:rPr>
              <w:t>E13.7,</w:t>
            </w:r>
            <w:r>
              <w:rPr>
                <w:spacing w:val="-4"/>
                <w:sz w:val="20"/>
              </w:rPr>
              <w:t> </w:t>
            </w:r>
            <w:r>
              <w:rPr>
                <w:sz w:val="20"/>
              </w:rPr>
              <w:t>E13.8,</w:t>
            </w:r>
            <w:r>
              <w:rPr>
                <w:spacing w:val="-5"/>
                <w:sz w:val="20"/>
              </w:rPr>
              <w:t> </w:t>
            </w:r>
            <w:r>
              <w:rPr>
                <w:sz w:val="20"/>
              </w:rPr>
              <w:t>E13.9,</w:t>
            </w:r>
            <w:r>
              <w:rPr>
                <w:spacing w:val="-6"/>
                <w:sz w:val="20"/>
              </w:rPr>
              <w:t> </w:t>
            </w:r>
            <w:r>
              <w:rPr>
                <w:sz w:val="20"/>
              </w:rPr>
              <w:t>E14.0,</w:t>
            </w:r>
            <w:r>
              <w:rPr>
                <w:spacing w:val="-5"/>
                <w:sz w:val="20"/>
              </w:rPr>
              <w:t> </w:t>
            </w:r>
            <w:r>
              <w:rPr>
                <w:spacing w:val="-2"/>
                <w:sz w:val="20"/>
              </w:rPr>
              <w:t>E14.1,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E14.2,</w:t>
            </w:r>
            <w:r>
              <w:rPr>
                <w:spacing w:val="-7"/>
                <w:sz w:val="20"/>
              </w:rPr>
              <w:t> </w:t>
            </w:r>
            <w:r>
              <w:rPr>
                <w:sz w:val="20"/>
              </w:rPr>
              <w:t>E14.3,</w:t>
            </w:r>
            <w:r>
              <w:rPr>
                <w:spacing w:val="-5"/>
                <w:sz w:val="20"/>
              </w:rPr>
              <w:t> </w:t>
            </w:r>
            <w:r>
              <w:rPr>
                <w:sz w:val="20"/>
              </w:rPr>
              <w:t>E14.4,</w:t>
            </w:r>
            <w:r>
              <w:rPr>
                <w:spacing w:val="-4"/>
                <w:sz w:val="20"/>
              </w:rPr>
              <w:t> </w:t>
            </w:r>
            <w:r>
              <w:rPr>
                <w:sz w:val="20"/>
              </w:rPr>
              <w:t>E14.5,</w:t>
            </w:r>
            <w:r>
              <w:rPr>
                <w:spacing w:val="-5"/>
                <w:sz w:val="20"/>
              </w:rPr>
              <w:t> </w:t>
            </w:r>
            <w:r>
              <w:rPr>
                <w:sz w:val="20"/>
              </w:rPr>
              <w:t>E14.6,</w:t>
            </w:r>
            <w:r>
              <w:rPr>
                <w:spacing w:val="-6"/>
                <w:sz w:val="20"/>
              </w:rPr>
              <w:t> </w:t>
            </w:r>
            <w:r>
              <w:rPr>
                <w:sz w:val="20"/>
              </w:rPr>
              <w:t>E14.7,</w:t>
            </w:r>
            <w:r>
              <w:rPr>
                <w:spacing w:val="-5"/>
                <w:sz w:val="20"/>
              </w:rPr>
              <w:t> </w:t>
            </w:r>
            <w:r>
              <w:rPr>
                <w:spacing w:val="-2"/>
                <w:sz w:val="20"/>
              </w:rPr>
              <w:t>E14.8,</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445" w:type="dxa"/>
          </w:tcPr>
          <w:p>
            <w:pPr>
              <w:pStyle w:val="TableParagraph"/>
              <w:rPr>
                <w:sz w:val="18"/>
              </w:rPr>
            </w:pPr>
          </w:p>
        </w:tc>
        <w:tc>
          <w:tcPr>
            <w:tcW w:w="4659" w:type="dxa"/>
          </w:tcPr>
          <w:p>
            <w:pPr>
              <w:pStyle w:val="TableParagraph"/>
              <w:spacing w:line="226" w:lineRule="exact"/>
              <w:ind w:left="1766" w:right="1821"/>
              <w:jc w:val="center"/>
              <w:rPr>
                <w:sz w:val="20"/>
              </w:rPr>
            </w:pPr>
            <w:r>
              <w:rPr>
                <w:sz w:val="20"/>
              </w:rPr>
              <w:t>E14.9,</w:t>
            </w:r>
            <w:r>
              <w:rPr>
                <w:spacing w:val="-5"/>
                <w:sz w:val="20"/>
              </w:rPr>
              <w:t> </w:t>
            </w:r>
            <w:r>
              <w:rPr>
                <w:spacing w:val="-4"/>
                <w:sz w:val="20"/>
              </w:rPr>
              <w:t>R73.0</w:t>
            </w:r>
          </w:p>
        </w:tc>
        <w:tc>
          <w:tcPr>
            <w:tcW w:w="3309" w:type="dxa"/>
          </w:tcPr>
          <w:p>
            <w:pPr>
              <w:pStyle w:val="TableParagraph"/>
              <w:rPr>
                <w:sz w:val="18"/>
              </w:rPr>
            </w:pPr>
          </w:p>
        </w:tc>
        <w:tc>
          <w:tcPr>
            <w:tcW w:w="2367" w:type="dxa"/>
          </w:tcPr>
          <w:p>
            <w:pPr>
              <w:pStyle w:val="TableParagraph"/>
              <w:rPr>
                <w:sz w:val="18"/>
              </w:rPr>
            </w:pPr>
          </w:p>
        </w:tc>
        <w:tc>
          <w:tcPr>
            <w:tcW w:w="863" w:type="dxa"/>
          </w:tcPr>
          <w:p>
            <w:pPr>
              <w:pStyle w:val="TableParagraph"/>
              <w:rPr>
                <w:sz w:val="18"/>
              </w:rPr>
            </w:pP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ds11.002</w:t>
            </w:r>
          </w:p>
        </w:tc>
        <w:tc>
          <w:tcPr>
            <w:tcW w:w="645" w:type="dxa"/>
          </w:tcPr>
          <w:p>
            <w:pPr>
              <w:pStyle w:val="TableParagraph"/>
              <w:spacing w:line="215" w:lineRule="exact" w:before="45"/>
              <w:ind w:right="215"/>
              <w:jc w:val="right"/>
              <w:rPr>
                <w:sz w:val="20"/>
              </w:rPr>
            </w:pPr>
            <w:r>
              <w:rPr>
                <w:spacing w:val="-5"/>
                <w:sz w:val="20"/>
              </w:rPr>
              <w:t>28</w:t>
            </w:r>
          </w:p>
        </w:tc>
        <w:tc>
          <w:tcPr>
            <w:tcW w:w="2445" w:type="dxa"/>
          </w:tcPr>
          <w:p>
            <w:pPr>
              <w:pStyle w:val="TableParagraph"/>
              <w:spacing w:line="215" w:lineRule="exact" w:before="45"/>
              <w:ind w:left="219"/>
              <w:rPr>
                <w:sz w:val="20"/>
              </w:rPr>
            </w:pPr>
            <w:r>
              <w:rPr>
                <w:sz w:val="20"/>
              </w:rPr>
              <w:t>Другие</w:t>
            </w:r>
            <w:r>
              <w:rPr>
                <w:spacing w:val="-10"/>
                <w:sz w:val="20"/>
              </w:rPr>
              <w:t> </w:t>
            </w:r>
            <w:r>
              <w:rPr>
                <w:spacing w:val="-2"/>
                <w:sz w:val="20"/>
              </w:rPr>
              <w:t>болезни</w:t>
            </w:r>
          </w:p>
        </w:tc>
        <w:tc>
          <w:tcPr>
            <w:tcW w:w="4659" w:type="dxa"/>
          </w:tcPr>
          <w:p>
            <w:pPr>
              <w:pStyle w:val="TableParagraph"/>
              <w:spacing w:line="215" w:lineRule="exact" w:before="45"/>
              <w:ind w:left="318"/>
              <w:rPr>
                <w:sz w:val="20"/>
              </w:rPr>
            </w:pPr>
            <w:r>
              <w:rPr>
                <w:sz w:val="20"/>
              </w:rPr>
              <w:t>D09.3,</w:t>
            </w:r>
            <w:r>
              <w:rPr>
                <w:spacing w:val="-4"/>
                <w:sz w:val="20"/>
              </w:rPr>
              <w:t> </w:t>
            </w:r>
            <w:r>
              <w:rPr>
                <w:sz w:val="20"/>
              </w:rPr>
              <w:t>D13.6,</w:t>
            </w:r>
            <w:r>
              <w:rPr>
                <w:spacing w:val="-6"/>
                <w:sz w:val="20"/>
              </w:rPr>
              <w:t> </w:t>
            </w:r>
            <w:r>
              <w:rPr>
                <w:sz w:val="20"/>
              </w:rPr>
              <w:t>D13.7,</w:t>
            </w:r>
            <w:r>
              <w:rPr>
                <w:spacing w:val="-4"/>
                <w:sz w:val="20"/>
              </w:rPr>
              <w:t> </w:t>
            </w:r>
            <w:r>
              <w:rPr>
                <w:sz w:val="20"/>
              </w:rPr>
              <w:t>D15.0,</w:t>
            </w:r>
            <w:r>
              <w:rPr>
                <w:spacing w:val="-6"/>
                <w:sz w:val="20"/>
              </w:rPr>
              <w:t> </w:t>
            </w:r>
            <w:r>
              <w:rPr>
                <w:sz w:val="20"/>
              </w:rPr>
              <w:t>D34,</w:t>
            </w:r>
            <w:r>
              <w:rPr>
                <w:spacing w:val="-4"/>
                <w:sz w:val="20"/>
              </w:rPr>
              <w:t> </w:t>
            </w:r>
            <w:r>
              <w:rPr>
                <w:sz w:val="20"/>
              </w:rPr>
              <w:t>D35.0,</w:t>
            </w:r>
            <w:r>
              <w:rPr>
                <w:spacing w:val="-4"/>
                <w:sz w:val="20"/>
              </w:rPr>
              <w:t> </w:t>
            </w:r>
            <w:r>
              <w:rPr>
                <w:spacing w:val="-2"/>
                <w:sz w:val="20"/>
              </w:rPr>
              <w:t>D35.1,</w:t>
            </w:r>
          </w:p>
        </w:tc>
        <w:tc>
          <w:tcPr>
            <w:tcW w:w="3309" w:type="dxa"/>
          </w:tcPr>
          <w:p>
            <w:pPr>
              <w:pStyle w:val="TableParagraph"/>
              <w:spacing w:line="215" w:lineRule="exact" w:before="45"/>
              <w:ind w:right="261"/>
              <w:jc w:val="center"/>
              <w:rPr>
                <w:sz w:val="20"/>
              </w:rPr>
            </w:pPr>
            <w:r>
              <w:rPr>
                <w:w w:val="99"/>
                <w:sz w:val="20"/>
              </w:rPr>
              <w:t>-</w:t>
            </w:r>
          </w:p>
        </w:tc>
        <w:tc>
          <w:tcPr>
            <w:tcW w:w="2367" w:type="dxa"/>
          </w:tcPr>
          <w:p>
            <w:pPr>
              <w:pStyle w:val="TableParagraph"/>
              <w:spacing w:line="215" w:lineRule="exact" w:before="45"/>
              <w:ind w:left="255"/>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5"/>
              <w:ind w:right="44"/>
              <w:jc w:val="right"/>
              <w:rPr>
                <w:sz w:val="20"/>
              </w:rPr>
            </w:pPr>
            <w:r>
              <w:rPr>
                <w:spacing w:val="-4"/>
                <w:sz w:val="20"/>
              </w:rPr>
              <w:t>1,36</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spacing w:line="210" w:lineRule="exact"/>
              <w:ind w:left="219"/>
              <w:rPr>
                <w:sz w:val="20"/>
              </w:rPr>
            </w:pPr>
            <w:r>
              <w:rPr>
                <w:spacing w:val="-2"/>
                <w:sz w:val="20"/>
              </w:rPr>
              <w:t>эндокринной</w:t>
            </w:r>
            <w:r>
              <w:rPr>
                <w:spacing w:val="7"/>
                <w:sz w:val="20"/>
              </w:rPr>
              <w:t> </w:t>
            </w:r>
            <w:r>
              <w:rPr>
                <w:spacing w:val="-2"/>
                <w:sz w:val="20"/>
              </w:rPr>
              <w:t>системы,</w:t>
            </w:r>
          </w:p>
        </w:tc>
        <w:tc>
          <w:tcPr>
            <w:tcW w:w="4659" w:type="dxa"/>
          </w:tcPr>
          <w:p>
            <w:pPr>
              <w:pStyle w:val="TableParagraph"/>
              <w:spacing w:line="210" w:lineRule="exact"/>
              <w:ind w:left="318"/>
              <w:rPr>
                <w:sz w:val="20"/>
              </w:rPr>
            </w:pPr>
            <w:r>
              <w:rPr>
                <w:sz w:val="20"/>
              </w:rPr>
              <w:t>D35.2,</w:t>
            </w:r>
            <w:r>
              <w:rPr>
                <w:spacing w:val="-4"/>
                <w:sz w:val="20"/>
              </w:rPr>
              <w:t> </w:t>
            </w:r>
            <w:r>
              <w:rPr>
                <w:sz w:val="20"/>
              </w:rPr>
              <w:t>D35.3,</w:t>
            </w:r>
            <w:r>
              <w:rPr>
                <w:spacing w:val="-6"/>
                <w:sz w:val="20"/>
              </w:rPr>
              <w:t> </w:t>
            </w:r>
            <w:r>
              <w:rPr>
                <w:sz w:val="20"/>
              </w:rPr>
              <w:t>D35.7,</w:t>
            </w:r>
            <w:r>
              <w:rPr>
                <w:spacing w:val="-4"/>
                <w:sz w:val="20"/>
              </w:rPr>
              <w:t> </w:t>
            </w:r>
            <w:r>
              <w:rPr>
                <w:sz w:val="20"/>
              </w:rPr>
              <w:t>D35.8,</w:t>
            </w:r>
            <w:r>
              <w:rPr>
                <w:spacing w:val="-6"/>
                <w:sz w:val="20"/>
              </w:rPr>
              <w:t> </w:t>
            </w:r>
            <w:r>
              <w:rPr>
                <w:sz w:val="20"/>
              </w:rPr>
              <w:t>D35.9,</w:t>
            </w:r>
            <w:r>
              <w:rPr>
                <w:spacing w:val="-4"/>
                <w:sz w:val="20"/>
              </w:rPr>
              <w:t> </w:t>
            </w:r>
            <w:r>
              <w:rPr>
                <w:sz w:val="20"/>
              </w:rPr>
              <w:t>D44,</w:t>
            </w:r>
            <w:r>
              <w:rPr>
                <w:spacing w:val="-4"/>
                <w:sz w:val="20"/>
              </w:rPr>
              <w:t> </w:t>
            </w:r>
            <w:r>
              <w:rPr>
                <w:spacing w:val="-2"/>
                <w:sz w:val="20"/>
              </w:rPr>
              <w:t>D44.0,</w:t>
            </w:r>
          </w:p>
        </w:tc>
        <w:tc>
          <w:tcPr>
            <w:tcW w:w="3309" w:type="dxa"/>
          </w:tcPr>
          <w:p>
            <w:pPr>
              <w:pStyle w:val="TableParagraph"/>
              <w:rPr>
                <w:sz w:val="16"/>
              </w:rPr>
            </w:pPr>
          </w:p>
        </w:tc>
        <w:tc>
          <w:tcPr>
            <w:tcW w:w="2367" w:type="dxa"/>
          </w:tcPr>
          <w:p>
            <w:pPr>
              <w:pStyle w:val="TableParagraph"/>
              <w:spacing w:line="210" w:lineRule="exact"/>
              <w:ind w:left="271"/>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spacing w:line="211" w:lineRule="exact"/>
              <w:ind w:left="219"/>
              <w:rPr>
                <w:sz w:val="20"/>
              </w:rPr>
            </w:pPr>
            <w:r>
              <w:rPr>
                <w:spacing w:val="-4"/>
                <w:sz w:val="20"/>
              </w:rPr>
              <w:t>дети</w:t>
            </w:r>
          </w:p>
        </w:tc>
        <w:tc>
          <w:tcPr>
            <w:tcW w:w="4659" w:type="dxa"/>
          </w:tcPr>
          <w:p>
            <w:pPr>
              <w:pStyle w:val="TableParagraph"/>
              <w:spacing w:line="211" w:lineRule="exact"/>
              <w:ind w:left="542"/>
              <w:rPr>
                <w:sz w:val="20"/>
              </w:rPr>
            </w:pPr>
            <w:r>
              <w:rPr>
                <w:sz w:val="20"/>
              </w:rPr>
              <w:t>D44.1,</w:t>
            </w:r>
            <w:r>
              <w:rPr>
                <w:spacing w:val="-4"/>
                <w:sz w:val="20"/>
              </w:rPr>
              <w:t> </w:t>
            </w:r>
            <w:r>
              <w:rPr>
                <w:sz w:val="20"/>
              </w:rPr>
              <w:t>D44.2,</w:t>
            </w:r>
            <w:r>
              <w:rPr>
                <w:spacing w:val="-6"/>
                <w:sz w:val="20"/>
              </w:rPr>
              <w:t> </w:t>
            </w:r>
            <w:r>
              <w:rPr>
                <w:sz w:val="20"/>
              </w:rPr>
              <w:t>D44.3,</w:t>
            </w:r>
            <w:r>
              <w:rPr>
                <w:spacing w:val="-4"/>
                <w:sz w:val="20"/>
              </w:rPr>
              <w:t> </w:t>
            </w:r>
            <w:r>
              <w:rPr>
                <w:sz w:val="20"/>
              </w:rPr>
              <w:t>D44.4,</w:t>
            </w:r>
            <w:r>
              <w:rPr>
                <w:spacing w:val="-6"/>
                <w:sz w:val="20"/>
              </w:rPr>
              <w:t> </w:t>
            </w:r>
            <w:r>
              <w:rPr>
                <w:sz w:val="20"/>
              </w:rPr>
              <w:t>D44.5,</w:t>
            </w:r>
            <w:r>
              <w:rPr>
                <w:spacing w:val="-4"/>
                <w:sz w:val="20"/>
              </w:rPr>
              <w:t> </w:t>
            </w:r>
            <w:r>
              <w:rPr>
                <w:spacing w:val="-2"/>
                <w:sz w:val="20"/>
              </w:rPr>
              <w:t>D44.6,</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21"/>
              <w:rPr>
                <w:sz w:val="20"/>
              </w:rPr>
            </w:pPr>
            <w:r>
              <w:rPr>
                <w:sz w:val="20"/>
              </w:rPr>
              <w:t>D44.7,</w:t>
            </w:r>
            <w:r>
              <w:rPr>
                <w:spacing w:val="-5"/>
                <w:sz w:val="20"/>
              </w:rPr>
              <w:t> </w:t>
            </w:r>
            <w:r>
              <w:rPr>
                <w:sz w:val="20"/>
              </w:rPr>
              <w:t>D44.8,</w:t>
            </w:r>
            <w:r>
              <w:rPr>
                <w:spacing w:val="-6"/>
                <w:sz w:val="20"/>
              </w:rPr>
              <w:t> </w:t>
            </w:r>
            <w:r>
              <w:rPr>
                <w:sz w:val="20"/>
              </w:rPr>
              <w:t>D44.9,</w:t>
            </w:r>
            <w:r>
              <w:rPr>
                <w:spacing w:val="-5"/>
                <w:sz w:val="20"/>
              </w:rPr>
              <w:t> </w:t>
            </w:r>
            <w:r>
              <w:rPr>
                <w:sz w:val="20"/>
              </w:rPr>
              <w:t>D76,</w:t>
            </w:r>
            <w:r>
              <w:rPr>
                <w:spacing w:val="-5"/>
                <w:sz w:val="20"/>
              </w:rPr>
              <w:t> </w:t>
            </w:r>
            <w:r>
              <w:rPr>
                <w:sz w:val="20"/>
              </w:rPr>
              <w:t>D76.1,</w:t>
            </w:r>
            <w:r>
              <w:rPr>
                <w:spacing w:val="-4"/>
                <w:sz w:val="20"/>
              </w:rPr>
              <w:t> </w:t>
            </w:r>
            <w:r>
              <w:rPr>
                <w:sz w:val="20"/>
              </w:rPr>
              <w:t>D76.2,</w:t>
            </w:r>
            <w:r>
              <w:rPr>
                <w:spacing w:val="-5"/>
                <w:sz w:val="20"/>
              </w:rPr>
              <w:t> </w:t>
            </w:r>
            <w:r>
              <w:rPr>
                <w:spacing w:val="-2"/>
                <w:sz w:val="20"/>
              </w:rPr>
              <w:t>D76.3,</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472"/>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472"/>
              <w:rPr>
                <w:sz w:val="20"/>
              </w:rPr>
            </w:pPr>
            <w:r>
              <w:rPr>
                <w:sz w:val="20"/>
              </w:rPr>
              <w:t>E01.1,</w:t>
            </w:r>
            <w:r>
              <w:rPr>
                <w:spacing w:val="-7"/>
                <w:sz w:val="20"/>
              </w:rPr>
              <w:t> </w:t>
            </w:r>
            <w:r>
              <w:rPr>
                <w:sz w:val="20"/>
              </w:rPr>
              <w:t>E01.2,</w:t>
            </w:r>
            <w:r>
              <w:rPr>
                <w:spacing w:val="-5"/>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E04.0,</w:t>
            </w:r>
            <w:r>
              <w:rPr>
                <w:spacing w:val="-7"/>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6"/>
                <w:sz w:val="20"/>
              </w:rPr>
              <w:t> </w:t>
            </w:r>
            <w:r>
              <w:rPr>
                <w:spacing w:val="-2"/>
                <w:sz w:val="20"/>
              </w:rPr>
              <w:t>E05.0,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98"/>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261"/>
              <w:rPr>
                <w:sz w:val="20"/>
              </w:rPr>
            </w:pPr>
            <w:r>
              <w:rPr>
                <w:sz w:val="20"/>
              </w:rPr>
              <w:t>E06.9,</w:t>
            </w:r>
            <w:r>
              <w:rPr>
                <w:spacing w:val="-7"/>
                <w:sz w:val="20"/>
              </w:rPr>
              <w:t> </w:t>
            </w:r>
            <w:r>
              <w:rPr>
                <w:sz w:val="20"/>
              </w:rPr>
              <w:t>E07,</w:t>
            </w:r>
            <w:r>
              <w:rPr>
                <w:spacing w:val="-7"/>
                <w:sz w:val="20"/>
              </w:rPr>
              <w:t> </w:t>
            </w:r>
            <w:r>
              <w:rPr>
                <w:sz w:val="20"/>
              </w:rPr>
              <w:t>E07.0,</w:t>
            </w:r>
            <w:r>
              <w:rPr>
                <w:spacing w:val="-5"/>
                <w:sz w:val="20"/>
              </w:rPr>
              <w:t> </w:t>
            </w:r>
            <w:r>
              <w:rPr>
                <w:sz w:val="20"/>
              </w:rPr>
              <w:t>E07.1,</w:t>
            </w:r>
            <w:r>
              <w:rPr>
                <w:spacing w:val="-4"/>
                <w:sz w:val="20"/>
              </w:rPr>
              <w:t> </w:t>
            </w:r>
            <w:r>
              <w:rPr>
                <w:sz w:val="20"/>
              </w:rPr>
              <w:t>E07.8,</w:t>
            </w:r>
            <w:r>
              <w:rPr>
                <w:spacing w:val="-5"/>
                <w:sz w:val="20"/>
              </w:rPr>
              <w:t> </w:t>
            </w:r>
            <w:r>
              <w:rPr>
                <w:sz w:val="20"/>
              </w:rPr>
              <w:t>E07.9,</w:t>
            </w:r>
            <w:r>
              <w:rPr>
                <w:spacing w:val="-5"/>
                <w:sz w:val="20"/>
              </w:rPr>
              <w:t> </w:t>
            </w:r>
            <w:r>
              <w:rPr>
                <w:sz w:val="20"/>
              </w:rPr>
              <w:t>E15,</w:t>
            </w:r>
            <w:r>
              <w:rPr>
                <w:spacing w:val="-5"/>
                <w:sz w:val="20"/>
              </w:rPr>
              <w:t> </w:t>
            </w:r>
            <w:r>
              <w:rPr>
                <w:spacing w:val="-4"/>
                <w:sz w:val="20"/>
              </w:rPr>
              <w:t>E16,</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E16.0,</w:t>
            </w:r>
            <w:r>
              <w:rPr>
                <w:spacing w:val="-7"/>
                <w:sz w:val="20"/>
              </w:rPr>
              <w:t> </w:t>
            </w:r>
            <w:r>
              <w:rPr>
                <w:sz w:val="20"/>
              </w:rPr>
              <w:t>E16.1,</w:t>
            </w:r>
            <w:r>
              <w:rPr>
                <w:spacing w:val="-5"/>
                <w:sz w:val="20"/>
              </w:rPr>
              <w:t> </w:t>
            </w:r>
            <w:r>
              <w:rPr>
                <w:sz w:val="20"/>
              </w:rPr>
              <w:t>E16.2,</w:t>
            </w:r>
            <w:r>
              <w:rPr>
                <w:spacing w:val="-4"/>
                <w:sz w:val="20"/>
              </w:rPr>
              <w:t> </w:t>
            </w:r>
            <w:r>
              <w:rPr>
                <w:sz w:val="20"/>
              </w:rPr>
              <w:t>E16.3,</w:t>
            </w:r>
            <w:r>
              <w:rPr>
                <w:spacing w:val="-5"/>
                <w:sz w:val="20"/>
              </w:rPr>
              <w:t> </w:t>
            </w:r>
            <w:r>
              <w:rPr>
                <w:sz w:val="20"/>
              </w:rPr>
              <w:t>E16.4,</w:t>
            </w:r>
            <w:r>
              <w:rPr>
                <w:spacing w:val="-6"/>
                <w:sz w:val="20"/>
              </w:rPr>
              <w:t> </w:t>
            </w:r>
            <w:r>
              <w:rPr>
                <w:sz w:val="20"/>
              </w:rPr>
              <w:t>E16.8,</w:t>
            </w:r>
            <w:r>
              <w:rPr>
                <w:spacing w:val="-5"/>
                <w:sz w:val="20"/>
              </w:rPr>
              <w:t> </w:t>
            </w:r>
            <w:r>
              <w:rPr>
                <w:spacing w:val="-2"/>
                <w:sz w:val="20"/>
              </w:rPr>
              <w:t>E16.9,</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E20.0,</w:t>
            </w:r>
            <w:r>
              <w:rPr>
                <w:spacing w:val="-7"/>
                <w:sz w:val="20"/>
              </w:rPr>
              <w:t> </w:t>
            </w:r>
            <w:r>
              <w:rPr>
                <w:sz w:val="20"/>
              </w:rPr>
              <w:t>E20.1,</w:t>
            </w:r>
            <w:r>
              <w:rPr>
                <w:spacing w:val="-5"/>
                <w:sz w:val="20"/>
              </w:rPr>
              <w:t> </w:t>
            </w:r>
            <w:r>
              <w:rPr>
                <w:sz w:val="20"/>
              </w:rPr>
              <w:t>E20.8,</w:t>
            </w:r>
            <w:r>
              <w:rPr>
                <w:spacing w:val="-4"/>
                <w:sz w:val="20"/>
              </w:rPr>
              <w:t> </w:t>
            </w:r>
            <w:r>
              <w:rPr>
                <w:sz w:val="20"/>
              </w:rPr>
              <w:t>E20.9,</w:t>
            </w:r>
            <w:r>
              <w:rPr>
                <w:spacing w:val="-5"/>
                <w:sz w:val="20"/>
              </w:rPr>
              <w:t> </w:t>
            </w:r>
            <w:r>
              <w:rPr>
                <w:sz w:val="20"/>
              </w:rPr>
              <w:t>E21,</w:t>
            </w:r>
            <w:r>
              <w:rPr>
                <w:spacing w:val="-5"/>
                <w:sz w:val="20"/>
              </w:rPr>
              <w:t> </w:t>
            </w:r>
            <w:r>
              <w:rPr>
                <w:sz w:val="20"/>
              </w:rPr>
              <w:t>E21.0,</w:t>
            </w:r>
            <w:r>
              <w:rPr>
                <w:spacing w:val="-6"/>
                <w:sz w:val="20"/>
              </w:rPr>
              <w:t> </w:t>
            </w:r>
            <w:r>
              <w:rPr>
                <w:spacing w:val="-2"/>
                <w:sz w:val="20"/>
              </w:rPr>
              <w:t>E21.1,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98"/>
              <w:rPr>
                <w:sz w:val="20"/>
              </w:rPr>
            </w:pPr>
            <w:r>
              <w:rPr>
                <w:sz w:val="20"/>
              </w:rPr>
              <w:t>E21.2,</w:t>
            </w:r>
            <w:r>
              <w:rPr>
                <w:spacing w:val="-7"/>
                <w:sz w:val="20"/>
              </w:rPr>
              <w:t> </w:t>
            </w:r>
            <w:r>
              <w:rPr>
                <w:sz w:val="20"/>
              </w:rPr>
              <w:t>E21.3,</w:t>
            </w:r>
            <w:r>
              <w:rPr>
                <w:spacing w:val="-5"/>
                <w:sz w:val="20"/>
              </w:rPr>
              <w:t> </w:t>
            </w:r>
            <w:r>
              <w:rPr>
                <w:sz w:val="20"/>
              </w:rPr>
              <w:t>E21.4,</w:t>
            </w:r>
            <w:r>
              <w:rPr>
                <w:spacing w:val="-4"/>
                <w:sz w:val="20"/>
              </w:rPr>
              <w:t> </w:t>
            </w:r>
            <w:r>
              <w:rPr>
                <w:sz w:val="20"/>
              </w:rPr>
              <w:t>E21.5,</w:t>
            </w:r>
            <w:r>
              <w:rPr>
                <w:spacing w:val="-5"/>
                <w:sz w:val="20"/>
              </w:rPr>
              <w:t> </w:t>
            </w:r>
            <w:r>
              <w:rPr>
                <w:sz w:val="20"/>
              </w:rPr>
              <w:t>E22,</w:t>
            </w:r>
            <w:r>
              <w:rPr>
                <w:spacing w:val="-5"/>
                <w:sz w:val="20"/>
              </w:rPr>
              <w:t> </w:t>
            </w:r>
            <w:r>
              <w:rPr>
                <w:sz w:val="20"/>
              </w:rPr>
              <w:t>E22.0,</w:t>
            </w:r>
            <w:r>
              <w:rPr>
                <w:spacing w:val="-6"/>
                <w:sz w:val="20"/>
              </w:rPr>
              <w:t> </w:t>
            </w:r>
            <w:r>
              <w:rPr>
                <w:spacing w:val="-2"/>
                <w:sz w:val="20"/>
              </w:rPr>
              <w:t>E22.1,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98"/>
              <w:rPr>
                <w:sz w:val="20"/>
              </w:rPr>
            </w:pPr>
            <w:r>
              <w:rPr>
                <w:sz w:val="20"/>
              </w:rPr>
              <w:t>E22.2,</w:t>
            </w:r>
            <w:r>
              <w:rPr>
                <w:spacing w:val="-7"/>
                <w:sz w:val="20"/>
              </w:rPr>
              <w:t> </w:t>
            </w:r>
            <w:r>
              <w:rPr>
                <w:sz w:val="20"/>
              </w:rPr>
              <w:t>E22.8,</w:t>
            </w:r>
            <w:r>
              <w:rPr>
                <w:spacing w:val="-5"/>
                <w:sz w:val="20"/>
              </w:rPr>
              <w:t> </w:t>
            </w:r>
            <w:r>
              <w:rPr>
                <w:sz w:val="20"/>
              </w:rPr>
              <w:t>E22.9,</w:t>
            </w:r>
            <w:r>
              <w:rPr>
                <w:spacing w:val="-5"/>
                <w:sz w:val="20"/>
              </w:rPr>
              <w:t> </w:t>
            </w:r>
            <w:r>
              <w:rPr>
                <w:sz w:val="20"/>
              </w:rPr>
              <w:t>E23,</w:t>
            </w:r>
            <w:r>
              <w:rPr>
                <w:spacing w:val="-5"/>
                <w:sz w:val="20"/>
              </w:rPr>
              <w:t> </w:t>
            </w:r>
            <w:r>
              <w:rPr>
                <w:sz w:val="20"/>
              </w:rPr>
              <w:t>E23.0,</w:t>
            </w:r>
            <w:r>
              <w:rPr>
                <w:spacing w:val="-4"/>
                <w:sz w:val="20"/>
              </w:rPr>
              <w:t> </w:t>
            </w:r>
            <w:r>
              <w:rPr>
                <w:sz w:val="20"/>
              </w:rPr>
              <w:t>E23.1,</w:t>
            </w:r>
            <w:r>
              <w:rPr>
                <w:spacing w:val="-5"/>
                <w:sz w:val="20"/>
              </w:rPr>
              <w:t> </w:t>
            </w:r>
            <w:r>
              <w:rPr>
                <w:spacing w:val="-2"/>
                <w:sz w:val="20"/>
              </w:rPr>
              <w:t>E23.2,</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98"/>
              <w:rPr>
                <w:sz w:val="20"/>
              </w:rPr>
            </w:pPr>
            <w:r>
              <w:rPr>
                <w:sz w:val="20"/>
              </w:rPr>
              <w:t>E23.3,</w:t>
            </w:r>
            <w:r>
              <w:rPr>
                <w:spacing w:val="-7"/>
                <w:sz w:val="20"/>
              </w:rPr>
              <w:t> </w:t>
            </w:r>
            <w:r>
              <w:rPr>
                <w:sz w:val="20"/>
              </w:rPr>
              <w:t>E23.6,</w:t>
            </w:r>
            <w:r>
              <w:rPr>
                <w:spacing w:val="-6"/>
                <w:sz w:val="20"/>
              </w:rPr>
              <w:t> </w:t>
            </w:r>
            <w:r>
              <w:rPr>
                <w:sz w:val="20"/>
              </w:rPr>
              <w:t>E23.7,</w:t>
            </w:r>
            <w:r>
              <w:rPr>
                <w:spacing w:val="-5"/>
                <w:sz w:val="20"/>
              </w:rPr>
              <w:t> </w:t>
            </w:r>
            <w:r>
              <w:rPr>
                <w:sz w:val="20"/>
              </w:rPr>
              <w:t>E24,</w:t>
            </w:r>
            <w:r>
              <w:rPr>
                <w:spacing w:val="-5"/>
                <w:sz w:val="20"/>
              </w:rPr>
              <w:t> </w:t>
            </w:r>
            <w:r>
              <w:rPr>
                <w:sz w:val="20"/>
              </w:rPr>
              <w:t>E24.0,</w:t>
            </w:r>
            <w:r>
              <w:rPr>
                <w:spacing w:val="-5"/>
                <w:sz w:val="20"/>
              </w:rPr>
              <w:t> </w:t>
            </w:r>
            <w:r>
              <w:rPr>
                <w:sz w:val="20"/>
              </w:rPr>
              <w:t>E24.1,</w:t>
            </w:r>
            <w:r>
              <w:rPr>
                <w:spacing w:val="-5"/>
                <w:sz w:val="20"/>
              </w:rPr>
              <w:t> </w:t>
            </w:r>
            <w:r>
              <w:rPr>
                <w:spacing w:val="-2"/>
                <w:sz w:val="20"/>
              </w:rPr>
              <w:t>E24.2,</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98"/>
              <w:rPr>
                <w:sz w:val="20"/>
              </w:rPr>
            </w:pPr>
            <w:r>
              <w:rPr>
                <w:sz w:val="20"/>
              </w:rPr>
              <w:t>E24.3,</w:t>
            </w:r>
            <w:r>
              <w:rPr>
                <w:spacing w:val="-7"/>
                <w:sz w:val="20"/>
              </w:rPr>
              <w:t> </w:t>
            </w:r>
            <w:r>
              <w:rPr>
                <w:sz w:val="20"/>
              </w:rPr>
              <w:t>E24.4,</w:t>
            </w:r>
            <w:r>
              <w:rPr>
                <w:spacing w:val="-5"/>
                <w:sz w:val="20"/>
              </w:rPr>
              <w:t> </w:t>
            </w:r>
            <w:r>
              <w:rPr>
                <w:sz w:val="20"/>
              </w:rPr>
              <w:t>E24.8,</w:t>
            </w:r>
            <w:r>
              <w:rPr>
                <w:spacing w:val="-4"/>
                <w:sz w:val="20"/>
              </w:rPr>
              <w:t> </w:t>
            </w:r>
            <w:r>
              <w:rPr>
                <w:sz w:val="20"/>
              </w:rPr>
              <w:t>E24.9,</w:t>
            </w:r>
            <w:r>
              <w:rPr>
                <w:spacing w:val="-5"/>
                <w:sz w:val="20"/>
              </w:rPr>
              <w:t> </w:t>
            </w:r>
            <w:r>
              <w:rPr>
                <w:sz w:val="20"/>
              </w:rPr>
              <w:t>E25,</w:t>
            </w:r>
            <w:r>
              <w:rPr>
                <w:spacing w:val="-5"/>
                <w:sz w:val="20"/>
              </w:rPr>
              <w:t> </w:t>
            </w:r>
            <w:r>
              <w:rPr>
                <w:sz w:val="20"/>
              </w:rPr>
              <w:t>E25.0,</w:t>
            </w:r>
            <w:r>
              <w:rPr>
                <w:spacing w:val="-6"/>
                <w:sz w:val="20"/>
              </w:rPr>
              <w:t> </w:t>
            </w:r>
            <w:r>
              <w:rPr>
                <w:spacing w:val="-2"/>
                <w:sz w:val="20"/>
              </w:rPr>
              <w:t>E25.8,</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472"/>
              <w:rPr>
                <w:sz w:val="20"/>
              </w:rPr>
            </w:pPr>
            <w:r>
              <w:rPr>
                <w:sz w:val="20"/>
              </w:rPr>
              <w:t>E25.9,</w:t>
            </w:r>
            <w:r>
              <w:rPr>
                <w:spacing w:val="-7"/>
                <w:sz w:val="20"/>
              </w:rPr>
              <w:t> </w:t>
            </w:r>
            <w:r>
              <w:rPr>
                <w:sz w:val="20"/>
              </w:rPr>
              <w:t>E26,</w:t>
            </w:r>
            <w:r>
              <w:rPr>
                <w:spacing w:val="-7"/>
                <w:sz w:val="20"/>
              </w:rPr>
              <w:t> </w:t>
            </w:r>
            <w:r>
              <w:rPr>
                <w:sz w:val="20"/>
              </w:rPr>
              <w:t>E26.0,</w:t>
            </w:r>
            <w:r>
              <w:rPr>
                <w:spacing w:val="-5"/>
                <w:sz w:val="20"/>
              </w:rPr>
              <w:t> </w:t>
            </w:r>
            <w:r>
              <w:rPr>
                <w:sz w:val="20"/>
              </w:rPr>
              <w:t>E26.1,</w:t>
            </w:r>
            <w:r>
              <w:rPr>
                <w:spacing w:val="-5"/>
                <w:sz w:val="20"/>
              </w:rPr>
              <w:t> </w:t>
            </w:r>
            <w:r>
              <w:rPr>
                <w:sz w:val="20"/>
              </w:rPr>
              <w:t>E26.8,</w:t>
            </w:r>
            <w:r>
              <w:rPr>
                <w:spacing w:val="-4"/>
                <w:sz w:val="20"/>
              </w:rPr>
              <w:t> </w:t>
            </w:r>
            <w:r>
              <w:rPr>
                <w:sz w:val="20"/>
              </w:rPr>
              <w:t>E26.9,</w:t>
            </w:r>
            <w:r>
              <w:rPr>
                <w:spacing w:val="-5"/>
                <w:sz w:val="20"/>
              </w:rPr>
              <w:t> </w:t>
            </w:r>
            <w:r>
              <w:rPr>
                <w:spacing w:val="-4"/>
                <w:sz w:val="20"/>
              </w:rPr>
              <w:t>E27,</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E27.0,</w:t>
            </w:r>
            <w:r>
              <w:rPr>
                <w:spacing w:val="-7"/>
                <w:sz w:val="20"/>
              </w:rPr>
              <w:t> </w:t>
            </w:r>
            <w:r>
              <w:rPr>
                <w:sz w:val="20"/>
              </w:rPr>
              <w:t>E27.1,</w:t>
            </w:r>
            <w:r>
              <w:rPr>
                <w:spacing w:val="-5"/>
                <w:sz w:val="20"/>
              </w:rPr>
              <w:t> </w:t>
            </w:r>
            <w:r>
              <w:rPr>
                <w:sz w:val="20"/>
              </w:rPr>
              <w:t>E27.2,</w:t>
            </w:r>
            <w:r>
              <w:rPr>
                <w:spacing w:val="-4"/>
                <w:sz w:val="20"/>
              </w:rPr>
              <w:t> </w:t>
            </w:r>
            <w:r>
              <w:rPr>
                <w:sz w:val="20"/>
              </w:rPr>
              <w:t>E27.3,</w:t>
            </w:r>
            <w:r>
              <w:rPr>
                <w:spacing w:val="-5"/>
                <w:sz w:val="20"/>
              </w:rPr>
              <w:t> </w:t>
            </w:r>
            <w:r>
              <w:rPr>
                <w:sz w:val="20"/>
              </w:rPr>
              <w:t>E27.4,</w:t>
            </w:r>
            <w:r>
              <w:rPr>
                <w:spacing w:val="-6"/>
                <w:sz w:val="20"/>
              </w:rPr>
              <w:t> </w:t>
            </w:r>
            <w:r>
              <w:rPr>
                <w:sz w:val="20"/>
              </w:rPr>
              <w:t>E27.5,</w:t>
            </w:r>
            <w:r>
              <w:rPr>
                <w:spacing w:val="-5"/>
                <w:sz w:val="20"/>
              </w:rPr>
              <w:t> </w:t>
            </w:r>
            <w:r>
              <w:rPr>
                <w:spacing w:val="-2"/>
                <w:sz w:val="20"/>
              </w:rPr>
              <w:t>E27.8,</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472"/>
              <w:rPr>
                <w:sz w:val="20"/>
              </w:rPr>
            </w:pPr>
            <w:r>
              <w:rPr>
                <w:sz w:val="20"/>
              </w:rPr>
              <w:t>E27.9,</w:t>
            </w:r>
            <w:r>
              <w:rPr>
                <w:spacing w:val="-6"/>
                <w:sz w:val="20"/>
              </w:rPr>
              <w:t> </w:t>
            </w:r>
            <w:r>
              <w:rPr>
                <w:sz w:val="20"/>
              </w:rPr>
              <w:t>E29,</w:t>
            </w:r>
            <w:r>
              <w:rPr>
                <w:spacing w:val="-6"/>
                <w:sz w:val="20"/>
              </w:rPr>
              <w:t> </w:t>
            </w:r>
            <w:r>
              <w:rPr>
                <w:sz w:val="20"/>
              </w:rPr>
              <w:t>E29.0,</w:t>
            </w:r>
            <w:r>
              <w:rPr>
                <w:spacing w:val="-4"/>
                <w:sz w:val="20"/>
              </w:rPr>
              <w:t> </w:t>
            </w:r>
            <w:r>
              <w:rPr>
                <w:sz w:val="20"/>
              </w:rPr>
              <w:t>E29.1,</w:t>
            </w:r>
            <w:r>
              <w:rPr>
                <w:spacing w:val="-4"/>
                <w:sz w:val="20"/>
              </w:rPr>
              <w:t> </w:t>
            </w:r>
            <w:r>
              <w:rPr>
                <w:sz w:val="20"/>
              </w:rPr>
              <w:t>E29.8,</w:t>
            </w:r>
            <w:r>
              <w:rPr>
                <w:spacing w:val="-3"/>
                <w:sz w:val="20"/>
              </w:rPr>
              <w:t> </w:t>
            </w:r>
            <w:r>
              <w:rPr>
                <w:sz w:val="20"/>
              </w:rPr>
              <w:t>E29.9,</w:t>
            </w:r>
            <w:r>
              <w:rPr>
                <w:spacing w:val="-4"/>
                <w:sz w:val="20"/>
              </w:rPr>
              <w:t> E30,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E30.0,</w:t>
            </w:r>
            <w:r>
              <w:rPr>
                <w:spacing w:val="-7"/>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z w:val="20"/>
              </w:rPr>
              <w:t>E31,</w:t>
            </w:r>
            <w:r>
              <w:rPr>
                <w:spacing w:val="-5"/>
                <w:sz w:val="20"/>
              </w:rPr>
              <w:t> </w:t>
            </w:r>
            <w:r>
              <w:rPr>
                <w:sz w:val="20"/>
              </w:rPr>
              <w:t>E31.0,</w:t>
            </w:r>
            <w:r>
              <w:rPr>
                <w:spacing w:val="-6"/>
                <w:sz w:val="20"/>
              </w:rPr>
              <w:t> </w:t>
            </w:r>
            <w:r>
              <w:rPr>
                <w:spacing w:val="-2"/>
                <w:sz w:val="20"/>
              </w:rPr>
              <w:t>E31.1,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5" w:lineRule="exact"/>
              <w:ind w:left="398"/>
              <w:rPr>
                <w:sz w:val="20"/>
              </w:rPr>
            </w:pPr>
            <w:r>
              <w:rPr>
                <w:sz w:val="20"/>
              </w:rPr>
              <w:t>E31.8,</w:t>
            </w:r>
            <w:r>
              <w:rPr>
                <w:spacing w:val="-7"/>
                <w:sz w:val="20"/>
              </w:rPr>
              <w:t> </w:t>
            </w:r>
            <w:r>
              <w:rPr>
                <w:sz w:val="20"/>
              </w:rPr>
              <w:t>E31.9,</w:t>
            </w:r>
            <w:r>
              <w:rPr>
                <w:spacing w:val="-5"/>
                <w:sz w:val="20"/>
              </w:rPr>
              <w:t> </w:t>
            </w:r>
            <w:r>
              <w:rPr>
                <w:sz w:val="20"/>
              </w:rPr>
              <w:t>E34,</w:t>
            </w:r>
            <w:r>
              <w:rPr>
                <w:spacing w:val="-5"/>
                <w:sz w:val="20"/>
              </w:rPr>
              <w:t> </w:t>
            </w:r>
            <w:r>
              <w:rPr>
                <w:sz w:val="20"/>
              </w:rPr>
              <w:t>E34.0,</w:t>
            </w:r>
            <w:r>
              <w:rPr>
                <w:spacing w:val="-5"/>
                <w:sz w:val="20"/>
              </w:rPr>
              <w:t> </w:t>
            </w:r>
            <w:r>
              <w:rPr>
                <w:sz w:val="20"/>
              </w:rPr>
              <w:t>E34.1,</w:t>
            </w:r>
            <w:r>
              <w:rPr>
                <w:spacing w:val="-5"/>
                <w:sz w:val="20"/>
              </w:rPr>
              <w:t> </w:t>
            </w:r>
            <w:r>
              <w:rPr>
                <w:sz w:val="20"/>
              </w:rPr>
              <w:t>E34.2,</w:t>
            </w:r>
            <w:r>
              <w:rPr>
                <w:spacing w:val="-5"/>
                <w:sz w:val="20"/>
              </w:rPr>
              <w:t> </w:t>
            </w:r>
            <w:r>
              <w:rPr>
                <w:spacing w:val="-2"/>
                <w:sz w:val="20"/>
              </w:rPr>
              <w:t>E34.3,</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88"/>
        <w:gridCol w:w="3092"/>
        <w:gridCol w:w="4431"/>
        <w:gridCol w:w="1671"/>
        <w:gridCol w:w="1260"/>
      </w:tblGrid>
      <w:tr>
        <w:trPr>
          <w:trHeight w:val="7176" w:hRule="atLeast"/>
        </w:trPr>
        <w:tc>
          <w:tcPr>
            <w:tcW w:w="15290" w:type="dxa"/>
            <w:gridSpan w:val="7"/>
          </w:tcPr>
          <w:p>
            <w:pPr>
              <w:pStyle w:val="TableParagraph"/>
              <w:ind w:left="4354" w:right="6862" w:firstLine="2"/>
              <w:jc w:val="center"/>
              <w:rPr>
                <w:sz w:val="20"/>
              </w:rPr>
            </w:pPr>
            <w:r>
              <w:rPr>
                <w:sz w:val="20"/>
              </w:rPr>
              <w:t>E34.4, E34.5, E34.8, E34.9, E35, E35.0, E35.1, E35.8, E40, E41, E42, E43, E44, E44.0, E44.1, E45,</w:t>
            </w:r>
            <w:r>
              <w:rPr>
                <w:spacing w:val="-6"/>
                <w:sz w:val="20"/>
              </w:rPr>
              <w:t> </w:t>
            </w:r>
            <w:r>
              <w:rPr>
                <w:sz w:val="20"/>
              </w:rPr>
              <w:t>E46,</w:t>
            </w:r>
            <w:r>
              <w:rPr>
                <w:spacing w:val="-6"/>
                <w:sz w:val="20"/>
              </w:rPr>
              <w:t> </w:t>
            </w:r>
            <w:r>
              <w:rPr>
                <w:sz w:val="20"/>
              </w:rPr>
              <w:t>E50,</w:t>
            </w:r>
            <w:r>
              <w:rPr>
                <w:spacing w:val="-6"/>
                <w:sz w:val="20"/>
              </w:rPr>
              <w:t> </w:t>
            </w:r>
            <w:r>
              <w:rPr>
                <w:sz w:val="20"/>
              </w:rPr>
              <w:t>E50.0,</w:t>
            </w:r>
            <w:r>
              <w:rPr>
                <w:spacing w:val="-6"/>
                <w:sz w:val="20"/>
              </w:rPr>
              <w:t> </w:t>
            </w:r>
            <w:r>
              <w:rPr>
                <w:sz w:val="20"/>
              </w:rPr>
              <w:t>E50.1,</w:t>
            </w:r>
            <w:r>
              <w:rPr>
                <w:spacing w:val="-8"/>
                <w:sz w:val="20"/>
              </w:rPr>
              <w:t> </w:t>
            </w:r>
            <w:r>
              <w:rPr>
                <w:sz w:val="20"/>
              </w:rPr>
              <w:t>E50.2,</w:t>
            </w:r>
            <w:r>
              <w:rPr>
                <w:spacing w:val="-8"/>
                <w:sz w:val="20"/>
              </w:rPr>
              <w:t> </w:t>
            </w:r>
            <w:r>
              <w:rPr>
                <w:sz w:val="20"/>
              </w:rPr>
              <w:t>E50.3,</w:t>
            </w:r>
            <w:r>
              <w:rPr>
                <w:spacing w:val="-6"/>
                <w:sz w:val="20"/>
              </w:rPr>
              <w:t> </w:t>
            </w:r>
            <w:r>
              <w:rPr>
                <w:sz w:val="20"/>
              </w:rPr>
              <w:t>E50.4,</w:t>
            </w:r>
          </w:p>
          <w:p>
            <w:pPr>
              <w:pStyle w:val="TableParagraph"/>
              <w:spacing w:line="229" w:lineRule="exact"/>
              <w:ind w:left="4412" w:right="6916"/>
              <w:jc w:val="center"/>
              <w:rPr>
                <w:sz w:val="20"/>
              </w:rPr>
            </w:pPr>
            <w:r>
              <w:rPr>
                <w:sz w:val="20"/>
              </w:rPr>
              <w:t>E50.5,</w:t>
            </w:r>
            <w:r>
              <w:rPr>
                <w:spacing w:val="-6"/>
                <w:sz w:val="20"/>
              </w:rPr>
              <w:t> </w:t>
            </w:r>
            <w:r>
              <w:rPr>
                <w:sz w:val="20"/>
              </w:rPr>
              <w:t>E50.6,</w:t>
            </w:r>
            <w:r>
              <w:rPr>
                <w:spacing w:val="-4"/>
                <w:sz w:val="20"/>
              </w:rPr>
              <w:t> </w:t>
            </w:r>
            <w:r>
              <w:rPr>
                <w:sz w:val="20"/>
              </w:rPr>
              <w:t>E50.7,</w:t>
            </w:r>
            <w:r>
              <w:rPr>
                <w:spacing w:val="-4"/>
                <w:sz w:val="20"/>
              </w:rPr>
              <w:t> </w:t>
            </w:r>
            <w:r>
              <w:rPr>
                <w:sz w:val="20"/>
              </w:rPr>
              <w:t>E50.8,</w:t>
            </w:r>
            <w:r>
              <w:rPr>
                <w:spacing w:val="-4"/>
                <w:sz w:val="20"/>
              </w:rPr>
              <w:t> </w:t>
            </w:r>
            <w:r>
              <w:rPr>
                <w:sz w:val="20"/>
              </w:rPr>
              <w:t>E50.9,</w:t>
            </w:r>
            <w:r>
              <w:rPr>
                <w:spacing w:val="-6"/>
                <w:sz w:val="20"/>
              </w:rPr>
              <w:t> </w:t>
            </w:r>
            <w:r>
              <w:rPr>
                <w:sz w:val="20"/>
              </w:rPr>
              <w:t>E51,</w:t>
            </w:r>
            <w:r>
              <w:rPr>
                <w:spacing w:val="-5"/>
                <w:sz w:val="20"/>
              </w:rPr>
              <w:t> </w:t>
            </w:r>
            <w:r>
              <w:rPr>
                <w:spacing w:val="-2"/>
                <w:sz w:val="20"/>
              </w:rPr>
              <w:t>E51.1,</w:t>
            </w:r>
          </w:p>
          <w:p>
            <w:pPr>
              <w:pStyle w:val="TableParagraph"/>
              <w:ind w:left="4408" w:right="6916"/>
              <w:jc w:val="center"/>
              <w:rPr>
                <w:sz w:val="20"/>
              </w:rPr>
            </w:pPr>
            <w:r>
              <w:rPr>
                <w:sz w:val="20"/>
              </w:rPr>
              <w:t>E51.2,</w:t>
            </w:r>
            <w:r>
              <w:rPr>
                <w:spacing w:val="-7"/>
                <w:sz w:val="20"/>
              </w:rPr>
              <w:t> </w:t>
            </w:r>
            <w:r>
              <w:rPr>
                <w:sz w:val="20"/>
              </w:rPr>
              <w:t>E51.8,</w:t>
            </w:r>
            <w:r>
              <w:rPr>
                <w:spacing w:val="-5"/>
                <w:sz w:val="20"/>
              </w:rPr>
              <w:t> </w:t>
            </w:r>
            <w:r>
              <w:rPr>
                <w:sz w:val="20"/>
              </w:rPr>
              <w:t>E51.9,</w:t>
            </w:r>
            <w:r>
              <w:rPr>
                <w:spacing w:val="-5"/>
                <w:sz w:val="20"/>
              </w:rPr>
              <w:t> </w:t>
            </w:r>
            <w:r>
              <w:rPr>
                <w:sz w:val="20"/>
              </w:rPr>
              <w:t>E52,</w:t>
            </w:r>
            <w:r>
              <w:rPr>
                <w:spacing w:val="-4"/>
                <w:sz w:val="20"/>
              </w:rPr>
              <w:t> </w:t>
            </w:r>
            <w:r>
              <w:rPr>
                <w:sz w:val="20"/>
              </w:rPr>
              <w:t>E53,</w:t>
            </w:r>
            <w:r>
              <w:rPr>
                <w:spacing w:val="-5"/>
                <w:sz w:val="20"/>
              </w:rPr>
              <w:t> </w:t>
            </w:r>
            <w:r>
              <w:rPr>
                <w:sz w:val="20"/>
              </w:rPr>
              <w:t>E53.0,</w:t>
            </w:r>
            <w:r>
              <w:rPr>
                <w:spacing w:val="-5"/>
                <w:sz w:val="20"/>
              </w:rPr>
              <w:t> </w:t>
            </w:r>
            <w:r>
              <w:rPr>
                <w:spacing w:val="-2"/>
                <w:sz w:val="20"/>
              </w:rPr>
              <w:t>E53.1,</w:t>
            </w:r>
          </w:p>
          <w:p>
            <w:pPr>
              <w:pStyle w:val="TableParagraph"/>
              <w:ind w:left="4416" w:right="6920" w:hanging="4"/>
              <w:jc w:val="center"/>
              <w:rPr>
                <w:sz w:val="20"/>
              </w:rPr>
            </w:pPr>
            <w:r>
              <w:rPr>
                <w:sz w:val="20"/>
              </w:rPr>
              <w:t>E53.8, E53.9, E54, E55.9, E56, E56.0, E56.1, E56.8,</w:t>
            </w:r>
            <w:r>
              <w:rPr>
                <w:spacing w:val="-4"/>
                <w:sz w:val="20"/>
              </w:rPr>
              <w:t> </w:t>
            </w:r>
            <w:r>
              <w:rPr>
                <w:sz w:val="20"/>
              </w:rPr>
              <w:t>E56.9,</w:t>
            </w:r>
            <w:r>
              <w:rPr>
                <w:spacing w:val="-2"/>
                <w:sz w:val="20"/>
              </w:rPr>
              <w:t> </w:t>
            </w:r>
            <w:r>
              <w:rPr>
                <w:sz w:val="20"/>
              </w:rPr>
              <w:t>E58,</w:t>
            </w:r>
            <w:r>
              <w:rPr>
                <w:spacing w:val="-2"/>
                <w:sz w:val="20"/>
              </w:rPr>
              <w:t> </w:t>
            </w:r>
            <w:r>
              <w:rPr>
                <w:sz w:val="20"/>
              </w:rPr>
              <w:t>E59,</w:t>
            </w:r>
            <w:r>
              <w:rPr>
                <w:spacing w:val="-2"/>
                <w:sz w:val="20"/>
              </w:rPr>
              <w:t> </w:t>
            </w:r>
            <w:r>
              <w:rPr>
                <w:sz w:val="20"/>
              </w:rPr>
              <w:t>E60,</w:t>
            </w:r>
            <w:r>
              <w:rPr>
                <w:spacing w:val="-4"/>
                <w:sz w:val="20"/>
              </w:rPr>
              <w:t> </w:t>
            </w:r>
            <w:r>
              <w:rPr>
                <w:sz w:val="20"/>
              </w:rPr>
              <w:t>E61,</w:t>
            </w:r>
            <w:r>
              <w:rPr>
                <w:spacing w:val="-2"/>
                <w:sz w:val="20"/>
              </w:rPr>
              <w:t> </w:t>
            </w:r>
            <w:r>
              <w:rPr>
                <w:sz w:val="20"/>
              </w:rPr>
              <w:t>E61.0,</w:t>
            </w:r>
            <w:r>
              <w:rPr>
                <w:spacing w:val="-4"/>
                <w:sz w:val="20"/>
              </w:rPr>
              <w:t> </w:t>
            </w:r>
            <w:r>
              <w:rPr>
                <w:sz w:val="20"/>
              </w:rPr>
              <w:t>E61.1, E61.2,</w:t>
            </w:r>
            <w:r>
              <w:rPr>
                <w:spacing w:val="-7"/>
                <w:sz w:val="20"/>
              </w:rPr>
              <w:t> </w:t>
            </w:r>
            <w:r>
              <w:rPr>
                <w:sz w:val="20"/>
              </w:rPr>
              <w:t>E61.3,</w:t>
            </w:r>
            <w:r>
              <w:rPr>
                <w:spacing w:val="-5"/>
                <w:sz w:val="20"/>
              </w:rPr>
              <w:t> </w:t>
            </w:r>
            <w:r>
              <w:rPr>
                <w:sz w:val="20"/>
              </w:rPr>
              <w:t>E61.4,</w:t>
            </w:r>
            <w:r>
              <w:rPr>
                <w:spacing w:val="-4"/>
                <w:sz w:val="20"/>
              </w:rPr>
              <w:t> </w:t>
            </w:r>
            <w:r>
              <w:rPr>
                <w:sz w:val="20"/>
              </w:rPr>
              <w:t>E61.5,</w:t>
            </w:r>
            <w:r>
              <w:rPr>
                <w:spacing w:val="-5"/>
                <w:sz w:val="20"/>
              </w:rPr>
              <w:t> </w:t>
            </w:r>
            <w:r>
              <w:rPr>
                <w:sz w:val="20"/>
              </w:rPr>
              <w:t>E61.6,</w:t>
            </w:r>
            <w:r>
              <w:rPr>
                <w:spacing w:val="-6"/>
                <w:sz w:val="20"/>
              </w:rPr>
              <w:t> </w:t>
            </w:r>
            <w:r>
              <w:rPr>
                <w:sz w:val="20"/>
              </w:rPr>
              <w:t>E61.7,</w:t>
            </w:r>
            <w:r>
              <w:rPr>
                <w:spacing w:val="-5"/>
                <w:sz w:val="20"/>
              </w:rPr>
              <w:t> </w:t>
            </w:r>
            <w:r>
              <w:rPr>
                <w:spacing w:val="-2"/>
                <w:sz w:val="20"/>
              </w:rPr>
              <w:t>E61.8,</w:t>
            </w:r>
          </w:p>
          <w:p>
            <w:pPr>
              <w:pStyle w:val="TableParagraph"/>
              <w:spacing w:line="229" w:lineRule="exact"/>
              <w:ind w:left="4416" w:right="6916"/>
              <w:jc w:val="center"/>
              <w:rPr>
                <w:sz w:val="20"/>
              </w:rPr>
            </w:pPr>
            <w:r>
              <w:rPr>
                <w:sz w:val="20"/>
              </w:rPr>
              <w:t>E61.9,</w:t>
            </w:r>
            <w:r>
              <w:rPr>
                <w:spacing w:val="-7"/>
                <w:sz w:val="20"/>
              </w:rPr>
              <w:t> </w:t>
            </w:r>
            <w:r>
              <w:rPr>
                <w:sz w:val="20"/>
              </w:rPr>
              <w:t>E63,</w:t>
            </w:r>
            <w:r>
              <w:rPr>
                <w:spacing w:val="-7"/>
                <w:sz w:val="20"/>
              </w:rPr>
              <w:t> </w:t>
            </w:r>
            <w:r>
              <w:rPr>
                <w:sz w:val="20"/>
              </w:rPr>
              <w:t>E63.0,</w:t>
            </w:r>
            <w:r>
              <w:rPr>
                <w:spacing w:val="-4"/>
                <w:sz w:val="20"/>
              </w:rPr>
              <w:t> </w:t>
            </w:r>
            <w:r>
              <w:rPr>
                <w:sz w:val="20"/>
              </w:rPr>
              <w:t>E63.1,</w:t>
            </w:r>
            <w:r>
              <w:rPr>
                <w:spacing w:val="-5"/>
                <w:sz w:val="20"/>
              </w:rPr>
              <w:t> </w:t>
            </w:r>
            <w:r>
              <w:rPr>
                <w:sz w:val="20"/>
              </w:rPr>
              <w:t>E63.8, E63.9,</w:t>
            </w:r>
            <w:r>
              <w:rPr>
                <w:spacing w:val="-4"/>
                <w:sz w:val="20"/>
              </w:rPr>
              <w:t> </w:t>
            </w:r>
            <w:r>
              <w:rPr>
                <w:spacing w:val="-2"/>
                <w:sz w:val="20"/>
              </w:rPr>
              <w:t>E64.0,</w:t>
            </w:r>
          </w:p>
          <w:p>
            <w:pPr>
              <w:pStyle w:val="TableParagraph"/>
              <w:ind w:left="4565"/>
              <w:rPr>
                <w:sz w:val="20"/>
              </w:rPr>
            </w:pPr>
            <w:r>
              <w:rPr>
                <w:sz w:val="20"/>
              </w:rPr>
              <w:t>E64.1,</w:t>
            </w:r>
            <w:r>
              <w:rPr>
                <w:spacing w:val="-7"/>
                <w:sz w:val="20"/>
              </w:rPr>
              <w:t> </w:t>
            </w:r>
            <w:r>
              <w:rPr>
                <w:sz w:val="20"/>
              </w:rPr>
              <w:t>E64.2,</w:t>
            </w:r>
            <w:r>
              <w:rPr>
                <w:spacing w:val="-4"/>
                <w:sz w:val="20"/>
              </w:rPr>
              <w:t> </w:t>
            </w:r>
            <w:r>
              <w:rPr>
                <w:sz w:val="20"/>
              </w:rPr>
              <w:t>E64.8,</w:t>
            </w:r>
            <w:r>
              <w:rPr>
                <w:spacing w:val="-5"/>
                <w:sz w:val="20"/>
              </w:rPr>
              <w:t> </w:t>
            </w:r>
            <w:r>
              <w:rPr>
                <w:sz w:val="20"/>
              </w:rPr>
              <w:t>E64.9,</w:t>
            </w:r>
            <w:r>
              <w:rPr>
                <w:spacing w:val="-5"/>
                <w:sz w:val="20"/>
              </w:rPr>
              <w:t> </w:t>
            </w:r>
            <w:r>
              <w:rPr>
                <w:sz w:val="20"/>
              </w:rPr>
              <w:t>E65,</w:t>
            </w:r>
            <w:r>
              <w:rPr>
                <w:spacing w:val="-4"/>
                <w:sz w:val="20"/>
              </w:rPr>
              <w:t> </w:t>
            </w:r>
            <w:r>
              <w:rPr>
                <w:sz w:val="20"/>
              </w:rPr>
              <w:t>E66,</w:t>
            </w:r>
            <w:r>
              <w:rPr>
                <w:spacing w:val="-5"/>
                <w:sz w:val="20"/>
              </w:rPr>
              <w:t> </w:t>
            </w:r>
            <w:r>
              <w:rPr>
                <w:spacing w:val="-2"/>
                <w:sz w:val="20"/>
              </w:rPr>
              <w:t>E66.0,</w:t>
            </w:r>
          </w:p>
          <w:p>
            <w:pPr>
              <w:pStyle w:val="TableParagraph"/>
              <w:ind w:left="4491"/>
              <w:rPr>
                <w:sz w:val="20"/>
              </w:rPr>
            </w:pPr>
            <w:r>
              <w:rPr>
                <w:sz w:val="20"/>
              </w:rPr>
              <w:t>E66.1,</w:t>
            </w:r>
            <w:r>
              <w:rPr>
                <w:spacing w:val="-7"/>
                <w:sz w:val="20"/>
              </w:rPr>
              <w:t> </w:t>
            </w:r>
            <w:r>
              <w:rPr>
                <w:sz w:val="20"/>
              </w:rPr>
              <w:t>E66.2,</w:t>
            </w:r>
            <w:r>
              <w:rPr>
                <w:spacing w:val="-5"/>
                <w:sz w:val="20"/>
              </w:rPr>
              <w:t> </w:t>
            </w:r>
            <w:r>
              <w:rPr>
                <w:sz w:val="20"/>
              </w:rPr>
              <w:t>E66.8,</w:t>
            </w:r>
            <w:r>
              <w:rPr>
                <w:spacing w:val="-4"/>
                <w:sz w:val="20"/>
              </w:rPr>
              <w:t> </w:t>
            </w:r>
            <w:r>
              <w:rPr>
                <w:sz w:val="20"/>
              </w:rPr>
              <w:t>E66.9,</w:t>
            </w:r>
            <w:r>
              <w:rPr>
                <w:spacing w:val="-5"/>
                <w:sz w:val="20"/>
              </w:rPr>
              <w:t> </w:t>
            </w:r>
            <w:r>
              <w:rPr>
                <w:sz w:val="20"/>
              </w:rPr>
              <w:t>E67,</w:t>
            </w:r>
            <w:r>
              <w:rPr>
                <w:spacing w:val="-5"/>
                <w:sz w:val="20"/>
              </w:rPr>
              <w:t> </w:t>
            </w:r>
            <w:r>
              <w:rPr>
                <w:sz w:val="20"/>
              </w:rPr>
              <w:t>E67.0,</w:t>
            </w:r>
            <w:r>
              <w:rPr>
                <w:spacing w:val="-6"/>
                <w:sz w:val="20"/>
              </w:rPr>
              <w:t> </w:t>
            </w:r>
            <w:r>
              <w:rPr>
                <w:spacing w:val="-2"/>
                <w:sz w:val="20"/>
              </w:rPr>
              <w:t>E67.1,</w:t>
            </w:r>
          </w:p>
          <w:p>
            <w:pPr>
              <w:pStyle w:val="TableParagraph"/>
              <w:ind w:left="4565"/>
              <w:rPr>
                <w:sz w:val="20"/>
              </w:rPr>
            </w:pPr>
            <w:r>
              <w:rPr>
                <w:sz w:val="20"/>
              </w:rPr>
              <w:t>E67.2,</w:t>
            </w:r>
            <w:r>
              <w:rPr>
                <w:spacing w:val="-7"/>
                <w:sz w:val="20"/>
              </w:rPr>
              <w:t> </w:t>
            </w:r>
            <w:r>
              <w:rPr>
                <w:sz w:val="20"/>
              </w:rPr>
              <w:t>E67.3,</w:t>
            </w:r>
            <w:r>
              <w:rPr>
                <w:spacing w:val="-5"/>
                <w:sz w:val="20"/>
              </w:rPr>
              <w:t> </w:t>
            </w:r>
            <w:r>
              <w:rPr>
                <w:sz w:val="20"/>
              </w:rPr>
              <w:t>E67.8,</w:t>
            </w:r>
            <w:r>
              <w:rPr>
                <w:spacing w:val="-5"/>
                <w:sz w:val="20"/>
              </w:rPr>
              <w:t> </w:t>
            </w:r>
            <w:r>
              <w:rPr>
                <w:sz w:val="20"/>
              </w:rPr>
              <w:t>E68,</w:t>
            </w:r>
            <w:r>
              <w:rPr>
                <w:spacing w:val="-4"/>
                <w:sz w:val="20"/>
              </w:rPr>
              <w:t> </w:t>
            </w:r>
            <w:r>
              <w:rPr>
                <w:sz w:val="20"/>
              </w:rPr>
              <w:t>E70,</w:t>
            </w:r>
            <w:r>
              <w:rPr>
                <w:spacing w:val="-5"/>
                <w:sz w:val="20"/>
              </w:rPr>
              <w:t> </w:t>
            </w:r>
            <w:r>
              <w:rPr>
                <w:sz w:val="20"/>
              </w:rPr>
              <w:t>E70.0,</w:t>
            </w:r>
            <w:r>
              <w:rPr>
                <w:spacing w:val="-5"/>
                <w:sz w:val="20"/>
              </w:rPr>
              <w:t> </w:t>
            </w:r>
            <w:r>
              <w:rPr>
                <w:spacing w:val="-2"/>
                <w:sz w:val="20"/>
              </w:rPr>
              <w:t>E70.1,</w:t>
            </w:r>
          </w:p>
          <w:p>
            <w:pPr>
              <w:pStyle w:val="TableParagraph"/>
              <w:ind w:left="4491"/>
              <w:rPr>
                <w:sz w:val="20"/>
              </w:rPr>
            </w:pPr>
            <w:r>
              <w:rPr>
                <w:sz w:val="20"/>
              </w:rPr>
              <w:t>E70.2,</w:t>
            </w:r>
            <w:r>
              <w:rPr>
                <w:spacing w:val="-7"/>
                <w:sz w:val="20"/>
              </w:rPr>
              <w:t> </w:t>
            </w:r>
            <w:r>
              <w:rPr>
                <w:sz w:val="20"/>
              </w:rPr>
              <w:t>E70.3,</w:t>
            </w:r>
            <w:r>
              <w:rPr>
                <w:spacing w:val="-5"/>
                <w:sz w:val="20"/>
              </w:rPr>
              <w:t> </w:t>
            </w:r>
            <w:r>
              <w:rPr>
                <w:sz w:val="20"/>
              </w:rPr>
              <w:t>E70.8,</w:t>
            </w:r>
            <w:r>
              <w:rPr>
                <w:spacing w:val="-4"/>
                <w:sz w:val="20"/>
              </w:rPr>
              <w:t> </w:t>
            </w:r>
            <w:r>
              <w:rPr>
                <w:sz w:val="20"/>
              </w:rPr>
              <w:t>E70.9,</w:t>
            </w:r>
            <w:r>
              <w:rPr>
                <w:spacing w:val="-5"/>
                <w:sz w:val="20"/>
              </w:rPr>
              <w:t> </w:t>
            </w:r>
            <w:r>
              <w:rPr>
                <w:sz w:val="20"/>
              </w:rPr>
              <w:t>E71,</w:t>
            </w:r>
            <w:r>
              <w:rPr>
                <w:spacing w:val="-5"/>
                <w:sz w:val="20"/>
              </w:rPr>
              <w:t> </w:t>
            </w:r>
            <w:r>
              <w:rPr>
                <w:sz w:val="20"/>
              </w:rPr>
              <w:t>E71.0,</w:t>
            </w:r>
            <w:r>
              <w:rPr>
                <w:spacing w:val="-6"/>
                <w:sz w:val="20"/>
              </w:rPr>
              <w:t> </w:t>
            </w:r>
            <w:r>
              <w:rPr>
                <w:spacing w:val="-2"/>
                <w:sz w:val="20"/>
              </w:rPr>
              <w:t>E71.1,</w:t>
            </w:r>
          </w:p>
          <w:p>
            <w:pPr>
              <w:pStyle w:val="TableParagraph"/>
              <w:spacing w:line="229" w:lineRule="exact"/>
              <w:ind w:left="4491"/>
              <w:rPr>
                <w:sz w:val="20"/>
              </w:rPr>
            </w:pPr>
            <w:r>
              <w:rPr>
                <w:sz w:val="20"/>
              </w:rPr>
              <w:t>E71.2,</w:t>
            </w:r>
            <w:r>
              <w:rPr>
                <w:spacing w:val="-7"/>
                <w:sz w:val="20"/>
              </w:rPr>
              <w:t> </w:t>
            </w:r>
            <w:r>
              <w:rPr>
                <w:sz w:val="20"/>
              </w:rPr>
              <w:t>E71.3,</w:t>
            </w:r>
            <w:r>
              <w:rPr>
                <w:spacing w:val="-5"/>
                <w:sz w:val="20"/>
              </w:rPr>
              <w:t> </w:t>
            </w:r>
            <w:r>
              <w:rPr>
                <w:sz w:val="20"/>
              </w:rPr>
              <w:t>E72,</w:t>
            </w:r>
            <w:r>
              <w:rPr>
                <w:spacing w:val="-5"/>
                <w:sz w:val="20"/>
              </w:rPr>
              <w:t> </w:t>
            </w:r>
            <w:r>
              <w:rPr>
                <w:sz w:val="20"/>
              </w:rPr>
              <w:t>E72.0,</w:t>
            </w:r>
            <w:r>
              <w:rPr>
                <w:spacing w:val="-5"/>
                <w:sz w:val="20"/>
              </w:rPr>
              <w:t> </w:t>
            </w:r>
            <w:r>
              <w:rPr>
                <w:sz w:val="20"/>
              </w:rPr>
              <w:t>E72.1,</w:t>
            </w:r>
            <w:r>
              <w:rPr>
                <w:spacing w:val="-5"/>
                <w:sz w:val="20"/>
              </w:rPr>
              <w:t> </w:t>
            </w:r>
            <w:r>
              <w:rPr>
                <w:sz w:val="20"/>
              </w:rPr>
              <w:t>E72.2,</w:t>
            </w:r>
            <w:r>
              <w:rPr>
                <w:spacing w:val="-5"/>
                <w:sz w:val="20"/>
              </w:rPr>
              <w:t> </w:t>
            </w:r>
            <w:r>
              <w:rPr>
                <w:spacing w:val="-2"/>
                <w:sz w:val="20"/>
              </w:rPr>
              <w:t>E72.3,</w:t>
            </w:r>
          </w:p>
          <w:p>
            <w:pPr>
              <w:pStyle w:val="TableParagraph"/>
              <w:spacing w:line="229" w:lineRule="exact"/>
              <w:ind w:left="4491"/>
              <w:rPr>
                <w:sz w:val="20"/>
              </w:rPr>
            </w:pPr>
            <w:r>
              <w:rPr>
                <w:sz w:val="20"/>
              </w:rPr>
              <w:t>E72.4,</w:t>
            </w:r>
            <w:r>
              <w:rPr>
                <w:spacing w:val="-7"/>
                <w:sz w:val="20"/>
              </w:rPr>
              <w:t> </w:t>
            </w:r>
            <w:r>
              <w:rPr>
                <w:sz w:val="20"/>
              </w:rPr>
              <w:t>E72.5,</w:t>
            </w:r>
            <w:r>
              <w:rPr>
                <w:spacing w:val="-4"/>
                <w:sz w:val="20"/>
              </w:rPr>
              <w:t> </w:t>
            </w:r>
            <w:r>
              <w:rPr>
                <w:sz w:val="20"/>
              </w:rPr>
              <w:t>E72.8,</w:t>
            </w:r>
            <w:r>
              <w:rPr>
                <w:spacing w:val="-4"/>
                <w:sz w:val="20"/>
              </w:rPr>
              <w:t> </w:t>
            </w:r>
            <w:r>
              <w:rPr>
                <w:sz w:val="20"/>
              </w:rPr>
              <w:t>E72.9,</w:t>
            </w:r>
            <w:r>
              <w:rPr>
                <w:spacing w:val="-5"/>
                <w:sz w:val="20"/>
              </w:rPr>
              <w:t> </w:t>
            </w:r>
            <w:r>
              <w:rPr>
                <w:sz w:val="20"/>
              </w:rPr>
              <w:t>E73,</w:t>
            </w:r>
            <w:r>
              <w:rPr>
                <w:spacing w:val="-4"/>
                <w:sz w:val="20"/>
              </w:rPr>
              <w:t> </w:t>
            </w:r>
            <w:r>
              <w:rPr>
                <w:sz w:val="20"/>
              </w:rPr>
              <w:t>E73.0,</w:t>
            </w:r>
            <w:r>
              <w:rPr>
                <w:spacing w:val="-6"/>
                <w:sz w:val="20"/>
              </w:rPr>
              <w:t> </w:t>
            </w:r>
            <w:r>
              <w:rPr>
                <w:spacing w:val="-2"/>
                <w:sz w:val="20"/>
              </w:rPr>
              <w:t>E73.1,</w:t>
            </w:r>
          </w:p>
          <w:p>
            <w:pPr>
              <w:pStyle w:val="TableParagraph"/>
              <w:ind w:left="4491"/>
              <w:rPr>
                <w:sz w:val="20"/>
              </w:rPr>
            </w:pPr>
            <w:r>
              <w:rPr>
                <w:sz w:val="20"/>
              </w:rPr>
              <w:t>E73.8,</w:t>
            </w:r>
            <w:r>
              <w:rPr>
                <w:spacing w:val="-7"/>
                <w:sz w:val="20"/>
              </w:rPr>
              <w:t> </w:t>
            </w:r>
            <w:r>
              <w:rPr>
                <w:sz w:val="20"/>
              </w:rPr>
              <w:t>E73.9,</w:t>
            </w:r>
            <w:r>
              <w:rPr>
                <w:spacing w:val="-5"/>
                <w:sz w:val="20"/>
              </w:rPr>
              <w:t> </w:t>
            </w:r>
            <w:r>
              <w:rPr>
                <w:sz w:val="20"/>
              </w:rPr>
              <w:t>E74,</w:t>
            </w:r>
            <w:r>
              <w:rPr>
                <w:spacing w:val="-5"/>
                <w:sz w:val="20"/>
              </w:rPr>
              <w:t> </w:t>
            </w:r>
            <w:r>
              <w:rPr>
                <w:sz w:val="20"/>
              </w:rPr>
              <w:t>E74.0,</w:t>
            </w:r>
            <w:r>
              <w:rPr>
                <w:spacing w:val="-5"/>
                <w:sz w:val="20"/>
              </w:rPr>
              <w:t> </w:t>
            </w:r>
            <w:r>
              <w:rPr>
                <w:sz w:val="20"/>
              </w:rPr>
              <w:t>E74.1,</w:t>
            </w:r>
            <w:r>
              <w:rPr>
                <w:spacing w:val="-5"/>
                <w:sz w:val="20"/>
              </w:rPr>
              <w:t> </w:t>
            </w:r>
            <w:r>
              <w:rPr>
                <w:sz w:val="20"/>
              </w:rPr>
              <w:t>E74.2,</w:t>
            </w:r>
            <w:r>
              <w:rPr>
                <w:spacing w:val="-5"/>
                <w:sz w:val="20"/>
              </w:rPr>
              <w:t> </w:t>
            </w:r>
            <w:r>
              <w:rPr>
                <w:spacing w:val="-2"/>
                <w:sz w:val="20"/>
              </w:rPr>
              <w:t>E74.3,</w:t>
            </w:r>
          </w:p>
          <w:p>
            <w:pPr>
              <w:pStyle w:val="TableParagraph"/>
              <w:ind w:left="4416"/>
              <w:rPr>
                <w:sz w:val="20"/>
              </w:rPr>
            </w:pPr>
            <w:r>
              <w:rPr>
                <w:sz w:val="20"/>
              </w:rPr>
              <w:t>E74.4,</w:t>
            </w:r>
            <w:r>
              <w:rPr>
                <w:spacing w:val="-7"/>
                <w:sz w:val="20"/>
              </w:rPr>
              <w:t> </w:t>
            </w:r>
            <w:r>
              <w:rPr>
                <w:sz w:val="20"/>
              </w:rPr>
              <w:t>E74.8,</w:t>
            </w:r>
            <w:r>
              <w:rPr>
                <w:spacing w:val="-5"/>
                <w:sz w:val="20"/>
              </w:rPr>
              <w:t> </w:t>
            </w:r>
            <w:r>
              <w:rPr>
                <w:sz w:val="20"/>
              </w:rPr>
              <w:t>E74.9,</w:t>
            </w:r>
            <w:r>
              <w:rPr>
                <w:spacing w:val="-4"/>
                <w:sz w:val="20"/>
              </w:rPr>
              <w:t> </w:t>
            </w:r>
            <w:r>
              <w:rPr>
                <w:sz w:val="20"/>
              </w:rPr>
              <w:t>E75.0,</w:t>
            </w:r>
            <w:r>
              <w:rPr>
                <w:spacing w:val="-5"/>
                <w:sz w:val="20"/>
              </w:rPr>
              <w:t> </w:t>
            </w:r>
            <w:r>
              <w:rPr>
                <w:sz w:val="20"/>
              </w:rPr>
              <w:t>E75.1,</w:t>
            </w:r>
            <w:r>
              <w:rPr>
                <w:spacing w:val="-6"/>
                <w:sz w:val="20"/>
              </w:rPr>
              <w:t> </w:t>
            </w:r>
            <w:r>
              <w:rPr>
                <w:sz w:val="20"/>
              </w:rPr>
              <w:t>E75.5,</w:t>
            </w:r>
            <w:r>
              <w:rPr>
                <w:spacing w:val="-5"/>
                <w:sz w:val="20"/>
              </w:rPr>
              <w:t> </w:t>
            </w:r>
            <w:r>
              <w:rPr>
                <w:spacing w:val="-2"/>
                <w:sz w:val="20"/>
              </w:rPr>
              <w:t>E75.6,</w:t>
            </w:r>
          </w:p>
          <w:p>
            <w:pPr>
              <w:pStyle w:val="TableParagraph"/>
              <w:ind w:left="4491"/>
              <w:rPr>
                <w:sz w:val="20"/>
              </w:rPr>
            </w:pPr>
            <w:r>
              <w:rPr>
                <w:sz w:val="20"/>
              </w:rPr>
              <w:t>E76,</w:t>
            </w:r>
            <w:r>
              <w:rPr>
                <w:spacing w:val="-6"/>
                <w:sz w:val="20"/>
              </w:rPr>
              <w:t> </w:t>
            </w:r>
            <w:r>
              <w:rPr>
                <w:sz w:val="20"/>
              </w:rPr>
              <w:t>E76.0,</w:t>
            </w:r>
            <w:r>
              <w:rPr>
                <w:spacing w:val="-7"/>
                <w:sz w:val="20"/>
              </w:rPr>
              <w:t> </w:t>
            </w:r>
            <w:r>
              <w:rPr>
                <w:sz w:val="20"/>
              </w:rPr>
              <w:t>E76.1,</w:t>
            </w:r>
            <w:r>
              <w:rPr>
                <w:spacing w:val="-5"/>
                <w:sz w:val="20"/>
              </w:rPr>
              <w:t> </w:t>
            </w:r>
            <w:r>
              <w:rPr>
                <w:sz w:val="20"/>
              </w:rPr>
              <w:t>E76.2,</w:t>
            </w:r>
            <w:r>
              <w:rPr>
                <w:spacing w:val="-5"/>
                <w:sz w:val="20"/>
              </w:rPr>
              <w:t> </w:t>
            </w:r>
            <w:r>
              <w:rPr>
                <w:sz w:val="20"/>
              </w:rPr>
              <w:t>E76.3,</w:t>
            </w:r>
            <w:r>
              <w:rPr>
                <w:spacing w:val="-5"/>
                <w:sz w:val="20"/>
              </w:rPr>
              <w:t> </w:t>
            </w:r>
            <w:r>
              <w:rPr>
                <w:sz w:val="20"/>
              </w:rPr>
              <w:t>E76.8,</w:t>
            </w:r>
            <w:r>
              <w:rPr>
                <w:spacing w:val="-5"/>
                <w:sz w:val="20"/>
              </w:rPr>
              <w:t> </w:t>
            </w:r>
            <w:r>
              <w:rPr>
                <w:spacing w:val="-2"/>
                <w:sz w:val="20"/>
              </w:rPr>
              <w:t>E76.9,</w:t>
            </w:r>
          </w:p>
          <w:p>
            <w:pPr>
              <w:pStyle w:val="TableParagraph"/>
              <w:ind w:left="4565"/>
              <w:rPr>
                <w:sz w:val="20"/>
              </w:rPr>
            </w:pPr>
            <w:r>
              <w:rPr>
                <w:sz w:val="20"/>
              </w:rPr>
              <w:t>E77,</w:t>
            </w:r>
            <w:r>
              <w:rPr>
                <w:spacing w:val="-5"/>
                <w:sz w:val="20"/>
              </w:rPr>
              <w:t> </w:t>
            </w:r>
            <w:r>
              <w:rPr>
                <w:sz w:val="20"/>
              </w:rPr>
              <w:t>E77.0,</w:t>
            </w:r>
            <w:r>
              <w:rPr>
                <w:spacing w:val="-6"/>
                <w:sz w:val="20"/>
              </w:rPr>
              <w:t> </w:t>
            </w:r>
            <w:r>
              <w:rPr>
                <w:sz w:val="20"/>
              </w:rPr>
              <w:t>E77.1,</w:t>
            </w:r>
            <w:r>
              <w:rPr>
                <w:spacing w:val="-5"/>
                <w:sz w:val="20"/>
              </w:rPr>
              <w:t> </w:t>
            </w:r>
            <w:r>
              <w:rPr>
                <w:sz w:val="20"/>
              </w:rPr>
              <w:t>E77.8,</w:t>
            </w:r>
            <w:r>
              <w:rPr>
                <w:spacing w:val="-5"/>
                <w:sz w:val="20"/>
              </w:rPr>
              <w:t> </w:t>
            </w:r>
            <w:r>
              <w:rPr>
                <w:sz w:val="20"/>
              </w:rPr>
              <w:t>E77.9,</w:t>
            </w:r>
            <w:r>
              <w:rPr>
                <w:spacing w:val="-4"/>
                <w:sz w:val="20"/>
              </w:rPr>
              <w:t> </w:t>
            </w:r>
            <w:r>
              <w:rPr>
                <w:sz w:val="20"/>
              </w:rPr>
              <w:t>E78,</w:t>
            </w:r>
            <w:r>
              <w:rPr>
                <w:spacing w:val="-5"/>
                <w:sz w:val="20"/>
              </w:rPr>
              <w:t> </w:t>
            </w:r>
            <w:r>
              <w:rPr>
                <w:spacing w:val="-2"/>
                <w:sz w:val="20"/>
              </w:rPr>
              <w:t>E78.0,</w:t>
            </w:r>
          </w:p>
          <w:p>
            <w:pPr>
              <w:pStyle w:val="TableParagraph"/>
              <w:spacing w:line="229" w:lineRule="exact"/>
              <w:ind w:left="4417" w:right="6916"/>
              <w:jc w:val="center"/>
              <w:rPr>
                <w:sz w:val="20"/>
              </w:rPr>
            </w:pPr>
            <w:r>
              <w:rPr>
                <w:sz w:val="20"/>
              </w:rPr>
              <w:t>E78.1,</w:t>
            </w:r>
            <w:r>
              <w:rPr>
                <w:spacing w:val="-6"/>
                <w:sz w:val="20"/>
              </w:rPr>
              <w:t> </w:t>
            </w:r>
            <w:r>
              <w:rPr>
                <w:sz w:val="20"/>
              </w:rPr>
              <w:t>E78.2,</w:t>
            </w:r>
            <w:r>
              <w:rPr>
                <w:spacing w:val="-4"/>
                <w:sz w:val="20"/>
              </w:rPr>
              <w:t> </w:t>
            </w:r>
            <w:r>
              <w:rPr>
                <w:sz w:val="20"/>
              </w:rPr>
              <w:t>E78.3,</w:t>
            </w:r>
            <w:r>
              <w:rPr>
                <w:spacing w:val="-4"/>
                <w:sz w:val="20"/>
              </w:rPr>
              <w:t> </w:t>
            </w:r>
            <w:r>
              <w:rPr>
                <w:sz w:val="20"/>
              </w:rPr>
              <w:t>E78.4,</w:t>
            </w:r>
            <w:r>
              <w:rPr>
                <w:spacing w:val="-3"/>
                <w:sz w:val="20"/>
              </w:rPr>
              <w:t> </w:t>
            </w:r>
            <w:r>
              <w:rPr>
                <w:sz w:val="20"/>
              </w:rPr>
              <w:t>E78.5,</w:t>
            </w:r>
            <w:r>
              <w:rPr>
                <w:spacing w:val="-6"/>
                <w:sz w:val="20"/>
              </w:rPr>
              <w:t> </w:t>
            </w:r>
            <w:r>
              <w:rPr>
                <w:sz w:val="20"/>
              </w:rPr>
              <w:t>E78.6,</w:t>
            </w:r>
            <w:r>
              <w:rPr>
                <w:spacing w:val="-4"/>
                <w:sz w:val="20"/>
              </w:rPr>
              <w:t> </w:t>
            </w:r>
            <w:r>
              <w:rPr>
                <w:spacing w:val="-2"/>
                <w:sz w:val="20"/>
              </w:rPr>
              <w:t>E78.8,</w:t>
            </w:r>
          </w:p>
          <w:p>
            <w:pPr>
              <w:pStyle w:val="TableParagraph"/>
              <w:spacing w:line="229" w:lineRule="exact"/>
              <w:ind w:left="4408" w:right="6916"/>
              <w:jc w:val="center"/>
              <w:rPr>
                <w:sz w:val="20"/>
              </w:rPr>
            </w:pPr>
            <w:r>
              <w:rPr>
                <w:sz w:val="20"/>
              </w:rPr>
              <w:t>E78.9,</w:t>
            </w:r>
            <w:r>
              <w:rPr>
                <w:spacing w:val="-7"/>
                <w:sz w:val="20"/>
              </w:rPr>
              <w:t> </w:t>
            </w:r>
            <w:r>
              <w:rPr>
                <w:sz w:val="20"/>
              </w:rPr>
              <w:t>E79,</w:t>
            </w:r>
            <w:r>
              <w:rPr>
                <w:spacing w:val="-7"/>
                <w:sz w:val="20"/>
              </w:rPr>
              <w:t> </w:t>
            </w:r>
            <w:r>
              <w:rPr>
                <w:sz w:val="20"/>
              </w:rPr>
              <w:t>E79.0,</w:t>
            </w:r>
            <w:r>
              <w:rPr>
                <w:spacing w:val="-5"/>
                <w:sz w:val="20"/>
              </w:rPr>
              <w:t> </w:t>
            </w:r>
            <w:r>
              <w:rPr>
                <w:sz w:val="20"/>
              </w:rPr>
              <w:t>E79.1,</w:t>
            </w:r>
            <w:r>
              <w:rPr>
                <w:spacing w:val="-5"/>
                <w:sz w:val="20"/>
              </w:rPr>
              <w:t> </w:t>
            </w:r>
            <w:r>
              <w:rPr>
                <w:sz w:val="20"/>
              </w:rPr>
              <w:t>E79.8,</w:t>
            </w:r>
            <w:r>
              <w:rPr>
                <w:spacing w:val="-4"/>
                <w:sz w:val="20"/>
              </w:rPr>
              <w:t> </w:t>
            </w:r>
            <w:r>
              <w:rPr>
                <w:sz w:val="20"/>
              </w:rPr>
              <w:t>E79.9,</w:t>
            </w:r>
            <w:r>
              <w:rPr>
                <w:spacing w:val="-5"/>
                <w:sz w:val="20"/>
              </w:rPr>
              <w:t> </w:t>
            </w:r>
            <w:r>
              <w:rPr>
                <w:spacing w:val="-4"/>
                <w:sz w:val="20"/>
              </w:rPr>
              <w:t>E80,</w:t>
            </w:r>
          </w:p>
          <w:p>
            <w:pPr>
              <w:pStyle w:val="TableParagraph"/>
              <w:ind w:left="4416"/>
              <w:rPr>
                <w:sz w:val="20"/>
              </w:rPr>
            </w:pPr>
            <w:r>
              <w:rPr>
                <w:sz w:val="20"/>
              </w:rPr>
              <w:t>E80.0,</w:t>
            </w:r>
            <w:r>
              <w:rPr>
                <w:spacing w:val="-7"/>
                <w:sz w:val="20"/>
              </w:rPr>
              <w:t> </w:t>
            </w:r>
            <w:r>
              <w:rPr>
                <w:sz w:val="20"/>
              </w:rPr>
              <w:t>E80.1,</w:t>
            </w:r>
            <w:r>
              <w:rPr>
                <w:spacing w:val="-5"/>
                <w:sz w:val="20"/>
              </w:rPr>
              <w:t> </w:t>
            </w:r>
            <w:r>
              <w:rPr>
                <w:sz w:val="20"/>
              </w:rPr>
              <w:t>E80.2,</w:t>
            </w:r>
            <w:r>
              <w:rPr>
                <w:spacing w:val="-4"/>
                <w:sz w:val="20"/>
              </w:rPr>
              <w:t> </w:t>
            </w:r>
            <w:r>
              <w:rPr>
                <w:sz w:val="20"/>
              </w:rPr>
              <w:t>E80.3,</w:t>
            </w:r>
            <w:r>
              <w:rPr>
                <w:spacing w:val="-5"/>
                <w:sz w:val="20"/>
              </w:rPr>
              <w:t> </w:t>
            </w:r>
            <w:r>
              <w:rPr>
                <w:sz w:val="20"/>
              </w:rPr>
              <w:t>E80.4,</w:t>
            </w:r>
            <w:r>
              <w:rPr>
                <w:spacing w:val="-6"/>
                <w:sz w:val="20"/>
              </w:rPr>
              <w:t> </w:t>
            </w:r>
            <w:r>
              <w:rPr>
                <w:sz w:val="20"/>
              </w:rPr>
              <w:t>E80.5,</w:t>
            </w:r>
            <w:r>
              <w:rPr>
                <w:spacing w:val="-5"/>
                <w:sz w:val="20"/>
              </w:rPr>
              <w:t> </w:t>
            </w:r>
            <w:r>
              <w:rPr>
                <w:spacing w:val="-2"/>
                <w:sz w:val="20"/>
              </w:rPr>
              <w:t>E80.6,</w:t>
            </w:r>
          </w:p>
          <w:p>
            <w:pPr>
              <w:pStyle w:val="TableParagraph"/>
              <w:ind w:left="4491"/>
              <w:rPr>
                <w:sz w:val="20"/>
              </w:rPr>
            </w:pPr>
            <w:r>
              <w:rPr>
                <w:sz w:val="20"/>
              </w:rPr>
              <w:t>E80.7,</w:t>
            </w:r>
            <w:r>
              <w:rPr>
                <w:spacing w:val="-7"/>
                <w:sz w:val="20"/>
              </w:rPr>
              <w:t> </w:t>
            </w:r>
            <w:r>
              <w:rPr>
                <w:sz w:val="20"/>
              </w:rPr>
              <w:t>E83,</w:t>
            </w:r>
            <w:r>
              <w:rPr>
                <w:spacing w:val="-7"/>
                <w:sz w:val="20"/>
              </w:rPr>
              <w:t> </w:t>
            </w:r>
            <w:r>
              <w:rPr>
                <w:sz w:val="20"/>
              </w:rPr>
              <w:t>E83.0,</w:t>
            </w:r>
            <w:r>
              <w:rPr>
                <w:spacing w:val="-5"/>
                <w:sz w:val="20"/>
              </w:rPr>
              <w:t> </w:t>
            </w:r>
            <w:r>
              <w:rPr>
                <w:sz w:val="20"/>
              </w:rPr>
              <w:t>E83.1,</w:t>
            </w:r>
            <w:r>
              <w:rPr>
                <w:spacing w:val="-5"/>
                <w:sz w:val="20"/>
              </w:rPr>
              <w:t> </w:t>
            </w:r>
            <w:r>
              <w:rPr>
                <w:sz w:val="20"/>
              </w:rPr>
              <w:t>E83.2,</w:t>
            </w:r>
            <w:r>
              <w:rPr>
                <w:spacing w:val="-4"/>
                <w:sz w:val="20"/>
              </w:rPr>
              <w:t> </w:t>
            </w:r>
            <w:r>
              <w:rPr>
                <w:sz w:val="20"/>
              </w:rPr>
              <w:t>E83.3,</w:t>
            </w:r>
            <w:r>
              <w:rPr>
                <w:spacing w:val="-5"/>
                <w:sz w:val="20"/>
              </w:rPr>
              <w:t> </w:t>
            </w:r>
            <w:r>
              <w:rPr>
                <w:spacing w:val="-2"/>
                <w:sz w:val="20"/>
              </w:rPr>
              <w:t>E83.4,</w:t>
            </w:r>
          </w:p>
          <w:p>
            <w:pPr>
              <w:pStyle w:val="TableParagraph"/>
              <w:ind w:left="4491"/>
              <w:rPr>
                <w:sz w:val="20"/>
              </w:rPr>
            </w:pPr>
            <w:r>
              <w:rPr>
                <w:sz w:val="20"/>
              </w:rPr>
              <w:t>E83.5,</w:t>
            </w:r>
            <w:r>
              <w:rPr>
                <w:spacing w:val="-7"/>
                <w:sz w:val="20"/>
              </w:rPr>
              <w:t> </w:t>
            </w:r>
            <w:r>
              <w:rPr>
                <w:sz w:val="20"/>
              </w:rPr>
              <w:t>E83.8,</w:t>
            </w:r>
            <w:r>
              <w:rPr>
                <w:spacing w:val="-6"/>
                <w:sz w:val="20"/>
              </w:rPr>
              <w:t> </w:t>
            </w:r>
            <w:r>
              <w:rPr>
                <w:sz w:val="20"/>
              </w:rPr>
              <w:t>E83.9,</w:t>
            </w:r>
            <w:r>
              <w:rPr>
                <w:spacing w:val="-5"/>
                <w:sz w:val="20"/>
              </w:rPr>
              <w:t> </w:t>
            </w:r>
            <w:r>
              <w:rPr>
                <w:sz w:val="20"/>
              </w:rPr>
              <w:t>E85,</w:t>
            </w:r>
            <w:r>
              <w:rPr>
                <w:spacing w:val="-5"/>
                <w:sz w:val="20"/>
              </w:rPr>
              <w:t> </w:t>
            </w:r>
            <w:r>
              <w:rPr>
                <w:sz w:val="20"/>
              </w:rPr>
              <w:t>E85.0,</w:t>
            </w:r>
            <w:r>
              <w:rPr>
                <w:spacing w:val="-5"/>
                <w:sz w:val="20"/>
              </w:rPr>
              <w:t> </w:t>
            </w:r>
            <w:r>
              <w:rPr>
                <w:sz w:val="20"/>
              </w:rPr>
              <w:t>E85.1,</w:t>
            </w:r>
            <w:r>
              <w:rPr>
                <w:spacing w:val="-5"/>
                <w:sz w:val="20"/>
              </w:rPr>
              <w:t> </w:t>
            </w:r>
            <w:r>
              <w:rPr>
                <w:spacing w:val="-2"/>
                <w:sz w:val="20"/>
              </w:rPr>
              <w:t>E85.2,</w:t>
            </w:r>
          </w:p>
          <w:p>
            <w:pPr>
              <w:pStyle w:val="TableParagraph"/>
              <w:spacing w:line="229" w:lineRule="exact"/>
              <w:ind w:left="4410" w:right="6916"/>
              <w:jc w:val="center"/>
              <w:rPr>
                <w:sz w:val="20"/>
              </w:rPr>
            </w:pPr>
            <w:r>
              <w:rPr>
                <w:sz w:val="20"/>
              </w:rPr>
              <w:t>E85.3,</w:t>
            </w:r>
            <w:r>
              <w:rPr>
                <w:spacing w:val="-7"/>
                <w:sz w:val="20"/>
              </w:rPr>
              <w:t> </w:t>
            </w:r>
            <w:r>
              <w:rPr>
                <w:sz w:val="20"/>
              </w:rPr>
              <w:t>E85.4,</w:t>
            </w:r>
            <w:r>
              <w:rPr>
                <w:spacing w:val="-4"/>
                <w:sz w:val="20"/>
              </w:rPr>
              <w:t> </w:t>
            </w:r>
            <w:r>
              <w:rPr>
                <w:sz w:val="20"/>
              </w:rPr>
              <w:t>E85.8,</w:t>
            </w:r>
            <w:r>
              <w:rPr>
                <w:spacing w:val="-5"/>
                <w:sz w:val="20"/>
              </w:rPr>
              <w:t> </w:t>
            </w:r>
            <w:r>
              <w:rPr>
                <w:sz w:val="20"/>
              </w:rPr>
              <w:t>E85.9,</w:t>
            </w:r>
            <w:r>
              <w:rPr>
                <w:spacing w:val="-5"/>
                <w:sz w:val="20"/>
              </w:rPr>
              <w:t> </w:t>
            </w:r>
            <w:r>
              <w:rPr>
                <w:sz w:val="20"/>
              </w:rPr>
              <w:t>E86,</w:t>
            </w:r>
            <w:r>
              <w:rPr>
                <w:spacing w:val="-4"/>
                <w:sz w:val="20"/>
              </w:rPr>
              <w:t> </w:t>
            </w:r>
            <w:r>
              <w:rPr>
                <w:sz w:val="20"/>
              </w:rPr>
              <w:t>E87,</w:t>
            </w:r>
            <w:r>
              <w:rPr>
                <w:spacing w:val="-5"/>
                <w:sz w:val="20"/>
              </w:rPr>
              <w:t> </w:t>
            </w:r>
            <w:r>
              <w:rPr>
                <w:spacing w:val="-2"/>
                <w:sz w:val="20"/>
              </w:rPr>
              <w:t>E87.0,</w:t>
            </w:r>
          </w:p>
          <w:p>
            <w:pPr>
              <w:pStyle w:val="TableParagraph"/>
              <w:spacing w:line="229" w:lineRule="exact"/>
              <w:ind w:left="4413" w:right="6916"/>
              <w:jc w:val="center"/>
              <w:rPr>
                <w:sz w:val="20"/>
              </w:rPr>
            </w:pPr>
            <w:r>
              <w:rPr>
                <w:sz w:val="20"/>
              </w:rPr>
              <w:t>E87.1,</w:t>
            </w:r>
            <w:r>
              <w:rPr>
                <w:spacing w:val="-7"/>
                <w:sz w:val="20"/>
              </w:rPr>
              <w:t> </w:t>
            </w:r>
            <w:r>
              <w:rPr>
                <w:sz w:val="20"/>
              </w:rPr>
              <w:t>E87.2,</w:t>
            </w:r>
            <w:r>
              <w:rPr>
                <w:spacing w:val="-4"/>
                <w:sz w:val="20"/>
              </w:rPr>
              <w:t> </w:t>
            </w:r>
            <w:r>
              <w:rPr>
                <w:sz w:val="20"/>
              </w:rPr>
              <w:t>E87.3,</w:t>
            </w:r>
            <w:r>
              <w:rPr>
                <w:spacing w:val="-5"/>
                <w:sz w:val="20"/>
              </w:rPr>
              <w:t> </w:t>
            </w:r>
            <w:r>
              <w:rPr>
                <w:sz w:val="20"/>
              </w:rPr>
              <w:t>E87.4,</w:t>
            </w:r>
            <w:r>
              <w:rPr>
                <w:spacing w:val="-4"/>
                <w:sz w:val="20"/>
              </w:rPr>
              <w:t> </w:t>
            </w:r>
            <w:r>
              <w:rPr>
                <w:sz w:val="20"/>
              </w:rPr>
              <w:t>E87.5,</w:t>
            </w:r>
            <w:r>
              <w:rPr>
                <w:spacing w:val="-6"/>
                <w:sz w:val="20"/>
              </w:rPr>
              <w:t> </w:t>
            </w:r>
            <w:r>
              <w:rPr>
                <w:sz w:val="20"/>
              </w:rPr>
              <w:t>E87.6,</w:t>
            </w:r>
            <w:r>
              <w:rPr>
                <w:spacing w:val="-5"/>
                <w:sz w:val="20"/>
              </w:rPr>
              <w:t> </w:t>
            </w:r>
            <w:r>
              <w:rPr>
                <w:spacing w:val="-2"/>
                <w:sz w:val="20"/>
              </w:rPr>
              <w:t>E87.7,</w:t>
            </w:r>
          </w:p>
          <w:p>
            <w:pPr>
              <w:pStyle w:val="TableParagraph"/>
              <w:ind w:left="4412" w:right="6916"/>
              <w:jc w:val="center"/>
              <w:rPr>
                <w:sz w:val="20"/>
              </w:rPr>
            </w:pPr>
            <w:r>
              <w:rPr>
                <w:sz w:val="20"/>
              </w:rPr>
              <w:t>E87.8,</w:t>
            </w:r>
            <w:r>
              <w:rPr>
                <w:spacing w:val="-7"/>
                <w:sz w:val="20"/>
              </w:rPr>
              <w:t> </w:t>
            </w:r>
            <w:r>
              <w:rPr>
                <w:sz w:val="20"/>
              </w:rPr>
              <w:t>E88.1,</w:t>
            </w:r>
            <w:r>
              <w:rPr>
                <w:spacing w:val="-5"/>
                <w:sz w:val="20"/>
              </w:rPr>
              <w:t> </w:t>
            </w:r>
            <w:r>
              <w:rPr>
                <w:sz w:val="20"/>
              </w:rPr>
              <w:t>E88.2,</w:t>
            </w:r>
            <w:r>
              <w:rPr>
                <w:spacing w:val="-4"/>
                <w:sz w:val="20"/>
              </w:rPr>
              <w:t> </w:t>
            </w:r>
            <w:r>
              <w:rPr>
                <w:sz w:val="20"/>
              </w:rPr>
              <w:t>E88.8,</w:t>
            </w:r>
            <w:r>
              <w:rPr>
                <w:spacing w:val="-5"/>
                <w:sz w:val="20"/>
              </w:rPr>
              <w:t> </w:t>
            </w:r>
            <w:r>
              <w:rPr>
                <w:sz w:val="20"/>
              </w:rPr>
              <w:t>E88.9,</w:t>
            </w:r>
            <w:r>
              <w:rPr>
                <w:spacing w:val="-6"/>
                <w:sz w:val="20"/>
              </w:rPr>
              <w:t> </w:t>
            </w:r>
            <w:r>
              <w:rPr>
                <w:sz w:val="20"/>
              </w:rPr>
              <w:t>E89.0,</w:t>
            </w:r>
            <w:r>
              <w:rPr>
                <w:spacing w:val="-5"/>
                <w:sz w:val="20"/>
              </w:rPr>
              <w:t> </w:t>
            </w:r>
            <w:r>
              <w:rPr>
                <w:spacing w:val="-2"/>
                <w:sz w:val="20"/>
              </w:rPr>
              <w:t>E89.1,</w:t>
            </w:r>
          </w:p>
          <w:p>
            <w:pPr>
              <w:pStyle w:val="TableParagraph"/>
              <w:ind w:left="4410" w:right="6916"/>
              <w:jc w:val="center"/>
              <w:rPr>
                <w:sz w:val="20"/>
              </w:rPr>
            </w:pPr>
            <w:r>
              <w:rPr>
                <w:sz w:val="20"/>
              </w:rPr>
              <w:t>E89.2,</w:t>
            </w:r>
            <w:r>
              <w:rPr>
                <w:spacing w:val="-7"/>
                <w:sz w:val="20"/>
              </w:rPr>
              <w:t> </w:t>
            </w:r>
            <w:r>
              <w:rPr>
                <w:sz w:val="20"/>
              </w:rPr>
              <w:t>E89.3,</w:t>
            </w:r>
            <w:r>
              <w:rPr>
                <w:spacing w:val="-5"/>
                <w:sz w:val="20"/>
              </w:rPr>
              <w:t> </w:t>
            </w:r>
            <w:r>
              <w:rPr>
                <w:sz w:val="20"/>
              </w:rPr>
              <w:t>E89.5,</w:t>
            </w:r>
            <w:r>
              <w:rPr>
                <w:spacing w:val="-4"/>
                <w:sz w:val="20"/>
              </w:rPr>
              <w:t> </w:t>
            </w:r>
            <w:r>
              <w:rPr>
                <w:sz w:val="20"/>
              </w:rPr>
              <w:t>E89.6,</w:t>
            </w:r>
            <w:r>
              <w:rPr>
                <w:spacing w:val="-5"/>
                <w:sz w:val="20"/>
              </w:rPr>
              <w:t> </w:t>
            </w:r>
            <w:r>
              <w:rPr>
                <w:sz w:val="20"/>
              </w:rPr>
              <w:t>E89.8,</w:t>
            </w:r>
            <w:r>
              <w:rPr>
                <w:spacing w:val="-6"/>
                <w:sz w:val="20"/>
              </w:rPr>
              <w:t> </w:t>
            </w:r>
            <w:r>
              <w:rPr>
                <w:sz w:val="20"/>
              </w:rPr>
              <w:t>E89.9,</w:t>
            </w:r>
            <w:r>
              <w:rPr>
                <w:spacing w:val="-5"/>
                <w:sz w:val="20"/>
              </w:rPr>
              <w:t> </w:t>
            </w:r>
            <w:r>
              <w:rPr>
                <w:spacing w:val="-4"/>
                <w:sz w:val="20"/>
              </w:rPr>
              <w:t>E90,</w:t>
            </w:r>
          </w:p>
          <w:p>
            <w:pPr>
              <w:pStyle w:val="TableParagraph"/>
              <w:ind w:left="4411" w:right="6916"/>
              <w:jc w:val="center"/>
              <w:rPr>
                <w:sz w:val="20"/>
              </w:rPr>
            </w:pPr>
            <w:r>
              <w:rPr>
                <w:sz w:val="20"/>
              </w:rPr>
              <w:t>M82.1,</w:t>
            </w:r>
            <w:r>
              <w:rPr>
                <w:spacing w:val="-6"/>
                <w:sz w:val="20"/>
              </w:rPr>
              <w:t> </w:t>
            </w:r>
            <w:r>
              <w:rPr>
                <w:sz w:val="20"/>
              </w:rPr>
              <w:t>Q89.1,</w:t>
            </w:r>
            <w:r>
              <w:rPr>
                <w:spacing w:val="-5"/>
                <w:sz w:val="20"/>
              </w:rPr>
              <w:t> </w:t>
            </w:r>
            <w:r>
              <w:rPr>
                <w:sz w:val="20"/>
              </w:rPr>
              <w:t>Q89.2,</w:t>
            </w:r>
            <w:r>
              <w:rPr>
                <w:spacing w:val="-5"/>
                <w:sz w:val="20"/>
              </w:rPr>
              <w:t> </w:t>
            </w:r>
            <w:r>
              <w:rPr>
                <w:sz w:val="20"/>
              </w:rPr>
              <w:t>R62,</w:t>
            </w:r>
            <w:r>
              <w:rPr>
                <w:spacing w:val="-5"/>
                <w:sz w:val="20"/>
              </w:rPr>
              <w:t> </w:t>
            </w:r>
            <w:r>
              <w:rPr>
                <w:sz w:val="20"/>
              </w:rPr>
              <w:t>R62.0,</w:t>
            </w:r>
            <w:r>
              <w:rPr>
                <w:spacing w:val="-5"/>
                <w:sz w:val="20"/>
              </w:rPr>
              <w:t> </w:t>
            </w:r>
            <w:r>
              <w:rPr>
                <w:sz w:val="20"/>
              </w:rPr>
              <w:t>R62.8,</w:t>
            </w:r>
            <w:r>
              <w:rPr>
                <w:spacing w:val="-6"/>
                <w:sz w:val="20"/>
              </w:rPr>
              <w:t> </w:t>
            </w:r>
            <w:r>
              <w:rPr>
                <w:spacing w:val="-2"/>
                <w:sz w:val="20"/>
              </w:rPr>
              <w:t>R62.9,</w:t>
            </w:r>
          </w:p>
          <w:p>
            <w:pPr>
              <w:pStyle w:val="TableParagraph"/>
              <w:ind w:left="4412" w:right="6916"/>
              <w:jc w:val="center"/>
              <w:rPr>
                <w:sz w:val="20"/>
              </w:rPr>
            </w:pPr>
            <w:r>
              <w:rPr>
                <w:sz w:val="20"/>
              </w:rPr>
              <w:t>R63,</w:t>
            </w:r>
            <w:r>
              <w:rPr>
                <w:spacing w:val="-7"/>
                <w:sz w:val="20"/>
              </w:rPr>
              <w:t> </w:t>
            </w:r>
            <w:r>
              <w:rPr>
                <w:sz w:val="20"/>
              </w:rPr>
              <w:t>R63.0,</w:t>
            </w:r>
            <w:r>
              <w:rPr>
                <w:spacing w:val="-7"/>
                <w:sz w:val="20"/>
              </w:rPr>
              <w:t> </w:t>
            </w:r>
            <w:r>
              <w:rPr>
                <w:sz w:val="20"/>
              </w:rPr>
              <w:t>R63.1,</w:t>
            </w:r>
            <w:r>
              <w:rPr>
                <w:spacing w:val="-7"/>
                <w:sz w:val="20"/>
              </w:rPr>
              <w:t> </w:t>
            </w:r>
            <w:r>
              <w:rPr>
                <w:sz w:val="20"/>
              </w:rPr>
              <w:t>R63.2,</w:t>
            </w:r>
            <w:r>
              <w:rPr>
                <w:spacing w:val="-7"/>
                <w:sz w:val="20"/>
              </w:rPr>
              <w:t> </w:t>
            </w:r>
            <w:r>
              <w:rPr>
                <w:sz w:val="20"/>
              </w:rPr>
              <w:t>R63.3,</w:t>
            </w:r>
            <w:r>
              <w:rPr>
                <w:spacing w:val="-7"/>
                <w:sz w:val="20"/>
              </w:rPr>
              <w:t> </w:t>
            </w:r>
            <w:r>
              <w:rPr>
                <w:sz w:val="20"/>
              </w:rPr>
              <w:t>R63.4,</w:t>
            </w:r>
            <w:r>
              <w:rPr>
                <w:spacing w:val="-7"/>
                <w:sz w:val="20"/>
              </w:rPr>
              <w:t> </w:t>
            </w:r>
            <w:r>
              <w:rPr>
                <w:sz w:val="20"/>
              </w:rPr>
              <w:t>R63.5, R63.8, R94.6, R94.7</w:t>
            </w:r>
          </w:p>
        </w:tc>
      </w:tr>
      <w:tr>
        <w:trPr>
          <w:trHeight w:val="330" w:hRule="atLeast"/>
        </w:trPr>
        <w:tc>
          <w:tcPr>
            <w:tcW w:w="1003" w:type="dxa"/>
          </w:tcPr>
          <w:p>
            <w:pPr>
              <w:pStyle w:val="TableParagraph"/>
              <w:spacing w:before="45"/>
              <w:ind w:left="39" w:right="211"/>
              <w:jc w:val="center"/>
              <w:rPr>
                <w:sz w:val="20"/>
              </w:rPr>
            </w:pPr>
            <w:r>
              <w:rPr>
                <w:spacing w:val="-4"/>
                <w:sz w:val="20"/>
              </w:rPr>
              <w:t>ds12</w:t>
            </w:r>
          </w:p>
        </w:tc>
        <w:tc>
          <w:tcPr>
            <w:tcW w:w="645" w:type="dxa"/>
          </w:tcPr>
          <w:p>
            <w:pPr>
              <w:pStyle w:val="TableParagraph"/>
              <w:spacing w:before="45"/>
              <w:ind w:right="215"/>
              <w:jc w:val="right"/>
              <w:rPr>
                <w:sz w:val="20"/>
              </w:rPr>
            </w:pPr>
            <w:r>
              <w:rPr>
                <w:spacing w:val="-5"/>
                <w:sz w:val="20"/>
              </w:rPr>
              <w:t>12</w:t>
            </w:r>
          </w:p>
        </w:tc>
        <w:tc>
          <w:tcPr>
            <w:tcW w:w="3188" w:type="dxa"/>
          </w:tcPr>
          <w:p>
            <w:pPr>
              <w:pStyle w:val="TableParagraph"/>
              <w:rPr>
                <w:sz w:val="18"/>
              </w:rPr>
            </w:pPr>
          </w:p>
        </w:tc>
        <w:tc>
          <w:tcPr>
            <w:tcW w:w="7523" w:type="dxa"/>
            <w:gridSpan w:val="2"/>
          </w:tcPr>
          <w:p>
            <w:pPr>
              <w:pStyle w:val="TableParagraph"/>
              <w:spacing w:before="45"/>
              <w:ind w:left="2158"/>
              <w:rPr>
                <w:sz w:val="20"/>
              </w:rPr>
            </w:pPr>
            <w:r>
              <w:rPr>
                <w:spacing w:val="-2"/>
                <w:sz w:val="20"/>
              </w:rPr>
              <w:t>Инфекционные</w:t>
            </w:r>
            <w:r>
              <w:rPr>
                <w:spacing w:val="7"/>
                <w:sz w:val="20"/>
              </w:rPr>
              <w:t> </w:t>
            </w:r>
            <w:r>
              <w:rPr>
                <w:spacing w:val="-2"/>
                <w:sz w:val="20"/>
              </w:rPr>
              <w:t>болезни</w:t>
            </w:r>
          </w:p>
        </w:tc>
        <w:tc>
          <w:tcPr>
            <w:tcW w:w="1671" w:type="dxa"/>
          </w:tcPr>
          <w:p>
            <w:pPr>
              <w:pStyle w:val="TableParagraph"/>
              <w:rPr>
                <w:sz w:val="18"/>
              </w:rPr>
            </w:pPr>
          </w:p>
        </w:tc>
        <w:tc>
          <w:tcPr>
            <w:tcW w:w="1260" w:type="dxa"/>
          </w:tcPr>
          <w:p>
            <w:pPr>
              <w:pStyle w:val="TableParagraph"/>
              <w:spacing w:before="45"/>
              <w:ind w:right="43"/>
              <w:jc w:val="right"/>
              <w:rPr>
                <w:sz w:val="20"/>
              </w:rPr>
            </w:pPr>
            <w:r>
              <w:rPr>
                <w:spacing w:val="-4"/>
                <w:sz w:val="20"/>
              </w:rPr>
              <w:t>0,92</w:t>
            </w:r>
          </w:p>
        </w:tc>
      </w:tr>
      <w:tr>
        <w:trPr>
          <w:trHeight w:val="734" w:hRule="atLeast"/>
        </w:trPr>
        <w:tc>
          <w:tcPr>
            <w:tcW w:w="1003" w:type="dxa"/>
          </w:tcPr>
          <w:p>
            <w:pPr>
              <w:pStyle w:val="TableParagraph"/>
              <w:spacing w:before="46"/>
              <w:ind w:left="39" w:right="212"/>
              <w:jc w:val="center"/>
              <w:rPr>
                <w:sz w:val="20"/>
              </w:rPr>
            </w:pPr>
            <w:r>
              <w:rPr>
                <w:spacing w:val="-2"/>
                <w:sz w:val="20"/>
              </w:rPr>
              <w:t>ds12.001</w:t>
            </w:r>
          </w:p>
        </w:tc>
        <w:tc>
          <w:tcPr>
            <w:tcW w:w="645" w:type="dxa"/>
          </w:tcPr>
          <w:p>
            <w:pPr>
              <w:pStyle w:val="TableParagraph"/>
              <w:spacing w:before="46"/>
              <w:ind w:right="215"/>
              <w:jc w:val="right"/>
              <w:rPr>
                <w:sz w:val="20"/>
              </w:rPr>
            </w:pPr>
            <w:r>
              <w:rPr>
                <w:spacing w:val="-5"/>
                <w:sz w:val="20"/>
              </w:rPr>
              <w:t>29</w:t>
            </w:r>
          </w:p>
        </w:tc>
        <w:tc>
          <w:tcPr>
            <w:tcW w:w="3188" w:type="dxa"/>
          </w:tcPr>
          <w:p>
            <w:pPr>
              <w:pStyle w:val="TableParagraph"/>
              <w:spacing w:line="237" w:lineRule="auto" w:before="48"/>
              <w:ind w:left="219" w:right="125"/>
              <w:rPr>
                <w:sz w:val="20"/>
              </w:rPr>
            </w:pPr>
            <w:r>
              <w:rPr>
                <w:sz w:val="20"/>
              </w:rPr>
              <w:t>Вирусный</w:t>
            </w:r>
            <w:r>
              <w:rPr>
                <w:spacing w:val="-13"/>
                <w:sz w:val="20"/>
              </w:rPr>
              <w:t> </w:t>
            </w:r>
            <w:r>
              <w:rPr>
                <w:sz w:val="20"/>
              </w:rPr>
              <w:t>гепатит</w:t>
            </w:r>
            <w:r>
              <w:rPr>
                <w:spacing w:val="-12"/>
                <w:sz w:val="20"/>
              </w:rPr>
              <w:t> </w:t>
            </w:r>
            <w:r>
              <w:rPr>
                <w:sz w:val="20"/>
              </w:rPr>
              <w:t>B </w:t>
            </w:r>
            <w:r>
              <w:rPr>
                <w:spacing w:val="-2"/>
                <w:sz w:val="20"/>
              </w:rPr>
              <w:t>хронический,</w:t>
            </w:r>
          </w:p>
          <w:p>
            <w:pPr>
              <w:pStyle w:val="TableParagraph"/>
              <w:spacing w:line="210" w:lineRule="exact" w:before="1"/>
              <w:ind w:left="219"/>
              <w:rPr>
                <w:sz w:val="20"/>
              </w:rPr>
            </w:pPr>
            <w:r>
              <w:rPr>
                <w:w w:val="95"/>
                <w:sz w:val="20"/>
              </w:rPr>
              <w:t>лекарственная</w:t>
            </w:r>
            <w:r>
              <w:rPr>
                <w:spacing w:val="48"/>
                <w:sz w:val="20"/>
              </w:rPr>
              <w:t> </w:t>
            </w:r>
            <w:r>
              <w:rPr>
                <w:spacing w:val="-2"/>
                <w:sz w:val="20"/>
              </w:rPr>
              <w:t>терапия</w:t>
            </w:r>
          </w:p>
        </w:tc>
        <w:tc>
          <w:tcPr>
            <w:tcW w:w="3092" w:type="dxa"/>
          </w:tcPr>
          <w:p>
            <w:pPr>
              <w:pStyle w:val="TableParagraph"/>
              <w:spacing w:before="46"/>
              <w:ind w:left="1025"/>
              <w:rPr>
                <w:sz w:val="20"/>
              </w:rPr>
            </w:pPr>
            <w:r>
              <w:rPr>
                <w:sz w:val="20"/>
              </w:rPr>
              <w:t>B18.0,</w:t>
            </w:r>
            <w:r>
              <w:rPr>
                <w:spacing w:val="-4"/>
                <w:sz w:val="20"/>
              </w:rPr>
              <w:t> </w:t>
            </w:r>
            <w:r>
              <w:rPr>
                <w:spacing w:val="-2"/>
                <w:sz w:val="20"/>
              </w:rPr>
              <w:t>B18.1</w:t>
            </w:r>
          </w:p>
        </w:tc>
        <w:tc>
          <w:tcPr>
            <w:tcW w:w="4431" w:type="dxa"/>
          </w:tcPr>
          <w:p>
            <w:pPr>
              <w:pStyle w:val="TableParagraph"/>
              <w:spacing w:before="46"/>
              <w:ind w:left="1003"/>
              <w:rPr>
                <w:sz w:val="20"/>
              </w:rPr>
            </w:pPr>
            <w:r>
              <w:rPr>
                <w:w w:val="95"/>
                <w:sz w:val="20"/>
              </w:rPr>
              <w:t>A25.14.008.001,</w:t>
            </w:r>
            <w:r>
              <w:rPr>
                <w:spacing w:val="54"/>
                <w:sz w:val="20"/>
              </w:rPr>
              <w:t> </w:t>
            </w:r>
            <w:r>
              <w:rPr>
                <w:spacing w:val="-2"/>
                <w:sz w:val="20"/>
              </w:rPr>
              <w:t>A25.14.008.002</w:t>
            </w:r>
          </w:p>
        </w:tc>
        <w:tc>
          <w:tcPr>
            <w:tcW w:w="1671" w:type="dxa"/>
          </w:tcPr>
          <w:p>
            <w:pPr>
              <w:pStyle w:val="TableParagraph"/>
              <w:spacing w:before="46"/>
              <w:ind w:right="104"/>
              <w:jc w:val="center"/>
              <w:rPr>
                <w:sz w:val="20"/>
              </w:rPr>
            </w:pPr>
            <w:r>
              <w:rPr>
                <w:w w:val="99"/>
                <w:sz w:val="20"/>
              </w:rPr>
              <w:t>-</w:t>
            </w:r>
          </w:p>
        </w:tc>
        <w:tc>
          <w:tcPr>
            <w:tcW w:w="1260" w:type="dxa"/>
          </w:tcPr>
          <w:p>
            <w:pPr>
              <w:pStyle w:val="TableParagraph"/>
              <w:spacing w:before="46"/>
              <w:ind w:right="43"/>
              <w:jc w:val="right"/>
              <w:rPr>
                <w:sz w:val="20"/>
              </w:rPr>
            </w:pPr>
            <w:r>
              <w:rPr>
                <w:spacing w:val="-4"/>
                <w:sz w:val="20"/>
              </w:rPr>
              <w:t>2,75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51"/>
        <w:gridCol w:w="5224"/>
        <w:gridCol w:w="1986"/>
        <w:gridCol w:w="3119"/>
        <w:gridCol w:w="862"/>
      </w:tblGrid>
      <w:tr>
        <w:trPr>
          <w:trHeight w:val="734" w:hRule="atLeast"/>
        </w:trPr>
        <w:tc>
          <w:tcPr>
            <w:tcW w:w="1003" w:type="dxa"/>
          </w:tcPr>
          <w:p>
            <w:pPr>
              <w:pStyle w:val="TableParagraph"/>
              <w:spacing w:line="221" w:lineRule="exact"/>
              <w:ind w:left="50"/>
              <w:rPr>
                <w:sz w:val="20"/>
              </w:rPr>
            </w:pPr>
            <w:r>
              <w:rPr>
                <w:spacing w:val="-2"/>
                <w:sz w:val="20"/>
              </w:rPr>
              <w:t>ds12.005</w:t>
            </w:r>
          </w:p>
        </w:tc>
        <w:tc>
          <w:tcPr>
            <w:tcW w:w="645" w:type="dxa"/>
          </w:tcPr>
          <w:p>
            <w:pPr>
              <w:pStyle w:val="TableParagraph"/>
              <w:spacing w:line="221" w:lineRule="exact"/>
              <w:ind w:right="215"/>
              <w:jc w:val="right"/>
              <w:rPr>
                <w:sz w:val="20"/>
              </w:rPr>
            </w:pPr>
            <w:r>
              <w:rPr>
                <w:spacing w:val="-5"/>
                <w:sz w:val="20"/>
              </w:rPr>
              <w:t>30</w:t>
            </w:r>
          </w:p>
        </w:tc>
        <w:tc>
          <w:tcPr>
            <w:tcW w:w="2451" w:type="dxa"/>
          </w:tcPr>
          <w:p>
            <w:pPr>
              <w:pStyle w:val="TableParagraph"/>
              <w:ind w:left="219" w:right="740"/>
              <w:rPr>
                <w:sz w:val="20"/>
              </w:rPr>
            </w:pPr>
            <w:r>
              <w:rPr>
                <w:sz w:val="20"/>
              </w:rPr>
              <w:t>Другие</w:t>
            </w:r>
            <w:r>
              <w:rPr>
                <w:spacing w:val="-13"/>
                <w:sz w:val="20"/>
              </w:rPr>
              <w:t> </w:t>
            </w:r>
            <w:r>
              <w:rPr>
                <w:sz w:val="20"/>
              </w:rPr>
              <w:t>вирусные </w:t>
            </w:r>
            <w:r>
              <w:rPr>
                <w:spacing w:val="-2"/>
                <w:sz w:val="20"/>
              </w:rPr>
              <w:t>гепатиты</w:t>
            </w:r>
          </w:p>
        </w:tc>
        <w:tc>
          <w:tcPr>
            <w:tcW w:w="5224" w:type="dxa"/>
          </w:tcPr>
          <w:p>
            <w:pPr>
              <w:pStyle w:val="TableParagraph"/>
              <w:spacing w:line="221" w:lineRule="exact"/>
              <w:ind w:left="279"/>
              <w:rPr>
                <w:sz w:val="20"/>
              </w:rPr>
            </w:pPr>
            <w:r>
              <w:rPr>
                <w:sz w:val="20"/>
              </w:rPr>
              <w:t>B15.0,</w:t>
            </w:r>
            <w:r>
              <w:rPr>
                <w:spacing w:val="-8"/>
                <w:sz w:val="20"/>
              </w:rPr>
              <w:t> </w:t>
            </w:r>
            <w:r>
              <w:rPr>
                <w:sz w:val="20"/>
              </w:rPr>
              <w:t>B15.9,</w:t>
            </w:r>
            <w:r>
              <w:rPr>
                <w:spacing w:val="-5"/>
                <w:sz w:val="20"/>
              </w:rPr>
              <w:t> </w:t>
            </w:r>
            <w:r>
              <w:rPr>
                <w:sz w:val="20"/>
              </w:rPr>
              <w:t>B16.0,</w:t>
            </w:r>
            <w:r>
              <w:rPr>
                <w:spacing w:val="-2"/>
                <w:sz w:val="20"/>
              </w:rPr>
              <w:t> </w:t>
            </w:r>
            <w:r>
              <w:rPr>
                <w:sz w:val="20"/>
              </w:rPr>
              <w:t>B16.1,</w:t>
            </w:r>
            <w:r>
              <w:rPr>
                <w:spacing w:val="-8"/>
                <w:sz w:val="20"/>
              </w:rPr>
              <w:t> </w:t>
            </w:r>
            <w:r>
              <w:rPr>
                <w:sz w:val="20"/>
              </w:rPr>
              <w:t>B16.2,</w:t>
            </w:r>
            <w:r>
              <w:rPr>
                <w:spacing w:val="-5"/>
                <w:sz w:val="20"/>
              </w:rPr>
              <w:t> </w:t>
            </w:r>
            <w:r>
              <w:rPr>
                <w:sz w:val="20"/>
              </w:rPr>
              <w:t>B16.9,</w:t>
            </w:r>
            <w:r>
              <w:rPr>
                <w:spacing w:val="-5"/>
                <w:sz w:val="20"/>
              </w:rPr>
              <w:t> </w:t>
            </w:r>
            <w:r>
              <w:rPr>
                <w:spacing w:val="-2"/>
                <w:sz w:val="20"/>
              </w:rPr>
              <w:t>B17.0,</w:t>
            </w:r>
          </w:p>
          <w:p>
            <w:pPr>
              <w:pStyle w:val="TableParagraph"/>
              <w:ind w:left="888" w:right="444" w:hanging="610"/>
              <w:rPr>
                <w:sz w:val="20"/>
              </w:rPr>
            </w:pPr>
            <w:r>
              <w:rPr>
                <w:sz w:val="20"/>
              </w:rPr>
              <w:t>B17.1,</w:t>
            </w:r>
            <w:r>
              <w:rPr>
                <w:spacing w:val="-7"/>
                <w:sz w:val="20"/>
              </w:rPr>
              <w:t> </w:t>
            </w:r>
            <w:r>
              <w:rPr>
                <w:sz w:val="20"/>
              </w:rPr>
              <w:t>B17.2,</w:t>
            </w:r>
            <w:r>
              <w:rPr>
                <w:spacing w:val="-7"/>
                <w:sz w:val="20"/>
              </w:rPr>
              <w:t> </w:t>
            </w:r>
            <w:r>
              <w:rPr>
                <w:sz w:val="20"/>
              </w:rPr>
              <w:t>B17.8,</w:t>
            </w:r>
            <w:r>
              <w:rPr>
                <w:spacing w:val="-7"/>
                <w:sz w:val="20"/>
              </w:rPr>
              <w:t> </w:t>
            </w:r>
            <w:r>
              <w:rPr>
                <w:sz w:val="20"/>
              </w:rPr>
              <w:t>B17.9,</w:t>
            </w:r>
            <w:r>
              <w:rPr>
                <w:spacing w:val="-11"/>
                <w:sz w:val="20"/>
              </w:rPr>
              <w:t> </w:t>
            </w:r>
            <w:r>
              <w:rPr>
                <w:sz w:val="20"/>
              </w:rPr>
              <w:t>B18.0,</w:t>
            </w:r>
            <w:r>
              <w:rPr>
                <w:spacing w:val="-7"/>
                <w:sz w:val="20"/>
              </w:rPr>
              <w:t> </w:t>
            </w:r>
            <w:r>
              <w:rPr>
                <w:sz w:val="20"/>
              </w:rPr>
              <w:t>B18.1,</w:t>
            </w:r>
            <w:r>
              <w:rPr>
                <w:spacing w:val="-7"/>
                <w:sz w:val="20"/>
              </w:rPr>
              <w:t> </w:t>
            </w:r>
            <w:r>
              <w:rPr>
                <w:sz w:val="20"/>
              </w:rPr>
              <w:t>B18.2, B18.8, B18.9, B19.0, B19.9, B94.2</w:t>
            </w:r>
          </w:p>
        </w:tc>
        <w:tc>
          <w:tcPr>
            <w:tcW w:w="1986" w:type="dxa"/>
          </w:tcPr>
          <w:p>
            <w:pPr>
              <w:pStyle w:val="TableParagraph"/>
              <w:spacing w:line="221" w:lineRule="exact"/>
              <w:ind w:left="918"/>
              <w:rPr>
                <w:sz w:val="20"/>
              </w:rPr>
            </w:pPr>
            <w:r>
              <w:rPr>
                <w:w w:val="99"/>
                <w:sz w:val="20"/>
              </w:rPr>
              <w:t>-</w:t>
            </w:r>
          </w:p>
        </w:tc>
        <w:tc>
          <w:tcPr>
            <w:tcW w:w="3119" w:type="dxa"/>
          </w:tcPr>
          <w:p>
            <w:pPr>
              <w:pStyle w:val="TableParagraph"/>
              <w:spacing w:line="221" w:lineRule="exact"/>
              <w:ind w:left="545"/>
              <w:jc w:val="center"/>
              <w:rPr>
                <w:sz w:val="20"/>
              </w:rPr>
            </w:pPr>
            <w:r>
              <w:rPr>
                <w:w w:val="99"/>
                <w:sz w:val="20"/>
              </w:rPr>
              <w:t>-</w:t>
            </w:r>
          </w:p>
        </w:tc>
        <w:tc>
          <w:tcPr>
            <w:tcW w:w="862" w:type="dxa"/>
          </w:tcPr>
          <w:p>
            <w:pPr>
              <w:pStyle w:val="TableParagraph"/>
              <w:spacing w:line="221" w:lineRule="exact"/>
              <w:ind w:right="43"/>
              <w:jc w:val="right"/>
              <w:rPr>
                <w:sz w:val="20"/>
              </w:rPr>
            </w:pPr>
            <w:r>
              <w:rPr>
                <w:spacing w:val="-4"/>
                <w:sz w:val="20"/>
              </w:rPr>
              <w:t>0,97</w:t>
            </w:r>
          </w:p>
        </w:tc>
      </w:tr>
      <w:tr>
        <w:trPr>
          <w:trHeight w:val="7866" w:hRule="atLeast"/>
        </w:trPr>
        <w:tc>
          <w:tcPr>
            <w:tcW w:w="1003" w:type="dxa"/>
          </w:tcPr>
          <w:p>
            <w:pPr>
              <w:pStyle w:val="TableParagraph"/>
              <w:spacing w:before="46"/>
              <w:ind w:left="50"/>
              <w:rPr>
                <w:sz w:val="20"/>
              </w:rPr>
            </w:pPr>
            <w:r>
              <w:rPr>
                <w:spacing w:val="-2"/>
                <w:sz w:val="20"/>
              </w:rPr>
              <w:t>ds12.006</w:t>
            </w:r>
          </w:p>
        </w:tc>
        <w:tc>
          <w:tcPr>
            <w:tcW w:w="645" w:type="dxa"/>
          </w:tcPr>
          <w:p>
            <w:pPr>
              <w:pStyle w:val="TableParagraph"/>
              <w:spacing w:before="46"/>
              <w:ind w:right="215"/>
              <w:jc w:val="right"/>
              <w:rPr>
                <w:sz w:val="20"/>
              </w:rPr>
            </w:pPr>
            <w:r>
              <w:rPr>
                <w:spacing w:val="-5"/>
                <w:sz w:val="20"/>
              </w:rPr>
              <w:t>31</w:t>
            </w:r>
          </w:p>
        </w:tc>
        <w:tc>
          <w:tcPr>
            <w:tcW w:w="2451" w:type="dxa"/>
          </w:tcPr>
          <w:p>
            <w:pPr>
              <w:pStyle w:val="TableParagraph"/>
              <w:spacing w:before="46"/>
              <w:ind w:left="219" w:right="264"/>
              <w:rPr>
                <w:sz w:val="20"/>
              </w:rPr>
            </w:pPr>
            <w:r>
              <w:rPr>
                <w:sz w:val="20"/>
              </w:rPr>
              <w:t>Инфекционные и паразитарные</w:t>
            </w:r>
            <w:r>
              <w:rPr>
                <w:spacing w:val="-13"/>
                <w:sz w:val="20"/>
              </w:rPr>
              <w:t> </w:t>
            </w:r>
            <w:r>
              <w:rPr>
                <w:sz w:val="20"/>
              </w:rPr>
              <w:t>болезни, </w:t>
            </w:r>
            <w:r>
              <w:rPr>
                <w:spacing w:val="-2"/>
                <w:sz w:val="20"/>
              </w:rPr>
              <w:t>взрослые</w:t>
            </w:r>
          </w:p>
        </w:tc>
        <w:tc>
          <w:tcPr>
            <w:tcW w:w="5224" w:type="dxa"/>
          </w:tcPr>
          <w:p>
            <w:pPr>
              <w:pStyle w:val="TableParagraph"/>
              <w:spacing w:before="46"/>
              <w:ind w:left="536"/>
              <w:rPr>
                <w:sz w:val="20"/>
              </w:rPr>
            </w:pPr>
            <w:r>
              <w:rPr>
                <w:sz w:val="20"/>
              </w:rPr>
              <w:t>A00.0,</w:t>
            </w:r>
            <w:r>
              <w:rPr>
                <w:spacing w:val="-6"/>
                <w:sz w:val="20"/>
              </w:rPr>
              <w:t> </w:t>
            </w:r>
            <w:r>
              <w:rPr>
                <w:sz w:val="20"/>
              </w:rPr>
              <w:t>A00.1,</w:t>
            </w:r>
            <w:r>
              <w:rPr>
                <w:spacing w:val="-5"/>
                <w:sz w:val="20"/>
              </w:rPr>
              <w:t> </w:t>
            </w:r>
            <w:r>
              <w:rPr>
                <w:sz w:val="20"/>
              </w:rPr>
              <w:t>A00.9,</w:t>
            </w:r>
            <w:r>
              <w:rPr>
                <w:spacing w:val="-6"/>
                <w:sz w:val="20"/>
              </w:rPr>
              <w:t> </w:t>
            </w:r>
            <w:r>
              <w:rPr>
                <w:sz w:val="20"/>
              </w:rPr>
              <w:t>A01.0,</w:t>
            </w:r>
            <w:r>
              <w:rPr>
                <w:spacing w:val="-7"/>
                <w:sz w:val="20"/>
              </w:rPr>
              <w:t> </w:t>
            </w:r>
            <w:r>
              <w:rPr>
                <w:sz w:val="20"/>
              </w:rPr>
              <w:t>A01.1,</w:t>
            </w:r>
            <w:r>
              <w:rPr>
                <w:spacing w:val="-6"/>
                <w:sz w:val="20"/>
              </w:rPr>
              <w:t> </w:t>
            </w:r>
            <w:r>
              <w:rPr>
                <w:spacing w:val="-2"/>
                <w:sz w:val="20"/>
              </w:rPr>
              <w:t>A01.2,</w:t>
            </w:r>
          </w:p>
          <w:p>
            <w:pPr>
              <w:pStyle w:val="TableParagraph"/>
              <w:ind w:left="536"/>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A02.1,</w:t>
            </w:r>
            <w:r>
              <w:rPr>
                <w:spacing w:val="-7"/>
                <w:sz w:val="20"/>
              </w:rPr>
              <w:t> </w:t>
            </w:r>
            <w:r>
              <w:rPr>
                <w:sz w:val="20"/>
              </w:rPr>
              <w:t>A02.2, </w:t>
            </w:r>
            <w:r>
              <w:rPr>
                <w:spacing w:val="-2"/>
                <w:sz w:val="20"/>
              </w:rPr>
              <w:t>A02.8,</w:t>
            </w:r>
          </w:p>
          <w:p>
            <w:pPr>
              <w:pStyle w:val="TableParagraph"/>
              <w:spacing w:line="229" w:lineRule="exact" w:before="1"/>
              <w:ind w:left="536"/>
              <w:rPr>
                <w:sz w:val="20"/>
              </w:rPr>
            </w:pPr>
            <w:r>
              <w:rPr>
                <w:sz w:val="20"/>
              </w:rPr>
              <w:t>A02.9,</w:t>
            </w:r>
            <w:r>
              <w:rPr>
                <w:spacing w:val="-6"/>
                <w:sz w:val="20"/>
              </w:rPr>
              <w:t> </w:t>
            </w:r>
            <w:r>
              <w:rPr>
                <w:sz w:val="20"/>
              </w:rPr>
              <w:t>A03.0,</w:t>
            </w:r>
            <w:r>
              <w:rPr>
                <w:spacing w:val="-5"/>
                <w:sz w:val="20"/>
              </w:rPr>
              <w:t> </w:t>
            </w:r>
            <w:r>
              <w:rPr>
                <w:sz w:val="20"/>
              </w:rPr>
              <w:t>A03.1,</w:t>
            </w:r>
            <w:r>
              <w:rPr>
                <w:spacing w:val="-6"/>
                <w:sz w:val="20"/>
              </w:rPr>
              <w:t> </w:t>
            </w:r>
            <w:r>
              <w:rPr>
                <w:sz w:val="20"/>
              </w:rPr>
              <w:t>A03.2,</w:t>
            </w:r>
            <w:r>
              <w:rPr>
                <w:spacing w:val="-7"/>
                <w:sz w:val="20"/>
              </w:rPr>
              <w:t> </w:t>
            </w:r>
            <w:r>
              <w:rPr>
                <w:sz w:val="20"/>
              </w:rPr>
              <w:t>A03.3,</w:t>
            </w:r>
            <w:r>
              <w:rPr>
                <w:spacing w:val="-6"/>
                <w:sz w:val="20"/>
              </w:rPr>
              <w:t> </w:t>
            </w:r>
            <w:r>
              <w:rPr>
                <w:spacing w:val="-2"/>
                <w:sz w:val="20"/>
              </w:rPr>
              <w:t>A03.8,</w:t>
            </w:r>
          </w:p>
          <w:p>
            <w:pPr>
              <w:pStyle w:val="TableParagraph"/>
              <w:spacing w:line="229" w:lineRule="exact"/>
              <w:ind w:left="536"/>
              <w:rPr>
                <w:sz w:val="20"/>
              </w:rPr>
            </w:pPr>
            <w:r>
              <w:rPr>
                <w:sz w:val="20"/>
              </w:rPr>
              <w:t>A03.9,</w:t>
            </w:r>
            <w:r>
              <w:rPr>
                <w:spacing w:val="-6"/>
                <w:sz w:val="20"/>
              </w:rPr>
              <w:t> </w:t>
            </w:r>
            <w:r>
              <w:rPr>
                <w:sz w:val="20"/>
              </w:rPr>
              <w:t>A04.0,</w:t>
            </w:r>
            <w:r>
              <w:rPr>
                <w:spacing w:val="-5"/>
                <w:sz w:val="20"/>
              </w:rPr>
              <w:t> </w:t>
            </w:r>
            <w:r>
              <w:rPr>
                <w:sz w:val="20"/>
              </w:rPr>
              <w:t>A04.1,</w:t>
            </w:r>
            <w:r>
              <w:rPr>
                <w:spacing w:val="-6"/>
                <w:sz w:val="20"/>
              </w:rPr>
              <w:t> </w:t>
            </w:r>
            <w:r>
              <w:rPr>
                <w:sz w:val="20"/>
              </w:rPr>
              <w:t>A04.2,</w:t>
            </w:r>
            <w:r>
              <w:rPr>
                <w:spacing w:val="-7"/>
                <w:sz w:val="20"/>
              </w:rPr>
              <w:t> </w:t>
            </w:r>
            <w:r>
              <w:rPr>
                <w:sz w:val="20"/>
              </w:rPr>
              <w:t>A04.3,</w:t>
            </w:r>
            <w:r>
              <w:rPr>
                <w:spacing w:val="-6"/>
                <w:sz w:val="20"/>
              </w:rPr>
              <w:t> </w:t>
            </w:r>
            <w:r>
              <w:rPr>
                <w:spacing w:val="-2"/>
                <w:sz w:val="20"/>
              </w:rPr>
              <w:t>A04.4,</w:t>
            </w:r>
          </w:p>
          <w:p>
            <w:pPr>
              <w:pStyle w:val="TableParagraph"/>
              <w:spacing w:before="1"/>
              <w:ind w:left="536"/>
              <w:rPr>
                <w:sz w:val="20"/>
              </w:rPr>
            </w:pPr>
            <w:r>
              <w:rPr>
                <w:sz w:val="20"/>
              </w:rPr>
              <w:t>A04.5,</w:t>
            </w:r>
            <w:r>
              <w:rPr>
                <w:spacing w:val="-6"/>
                <w:sz w:val="20"/>
              </w:rPr>
              <w:t> </w:t>
            </w:r>
            <w:r>
              <w:rPr>
                <w:sz w:val="20"/>
              </w:rPr>
              <w:t>A04.6,</w:t>
            </w:r>
            <w:r>
              <w:rPr>
                <w:spacing w:val="-5"/>
                <w:sz w:val="20"/>
              </w:rPr>
              <w:t> </w:t>
            </w:r>
            <w:r>
              <w:rPr>
                <w:sz w:val="20"/>
              </w:rPr>
              <w:t>A04.7,</w:t>
            </w:r>
            <w:r>
              <w:rPr>
                <w:spacing w:val="-6"/>
                <w:sz w:val="20"/>
              </w:rPr>
              <w:t> </w:t>
            </w:r>
            <w:r>
              <w:rPr>
                <w:sz w:val="20"/>
              </w:rPr>
              <w:t>A04.8,</w:t>
            </w:r>
            <w:r>
              <w:rPr>
                <w:spacing w:val="-7"/>
                <w:sz w:val="20"/>
              </w:rPr>
              <w:t> </w:t>
            </w:r>
            <w:r>
              <w:rPr>
                <w:sz w:val="20"/>
              </w:rPr>
              <w:t>A04.9,</w:t>
            </w:r>
            <w:r>
              <w:rPr>
                <w:spacing w:val="-6"/>
                <w:sz w:val="20"/>
              </w:rPr>
              <w:t> </w:t>
            </w:r>
            <w:r>
              <w:rPr>
                <w:spacing w:val="-2"/>
                <w:sz w:val="20"/>
              </w:rPr>
              <w:t>A05.0,</w:t>
            </w:r>
          </w:p>
          <w:p>
            <w:pPr>
              <w:pStyle w:val="TableParagraph"/>
              <w:ind w:left="536"/>
              <w:rPr>
                <w:sz w:val="20"/>
              </w:rPr>
            </w:pPr>
            <w:r>
              <w:rPr>
                <w:sz w:val="20"/>
              </w:rPr>
              <w:t>A05.1,</w:t>
            </w:r>
            <w:r>
              <w:rPr>
                <w:spacing w:val="-6"/>
                <w:sz w:val="20"/>
              </w:rPr>
              <w:t> </w:t>
            </w:r>
            <w:r>
              <w:rPr>
                <w:sz w:val="20"/>
              </w:rPr>
              <w:t>A05.2,</w:t>
            </w:r>
            <w:r>
              <w:rPr>
                <w:spacing w:val="-5"/>
                <w:sz w:val="20"/>
              </w:rPr>
              <w:t> </w:t>
            </w:r>
            <w:r>
              <w:rPr>
                <w:sz w:val="20"/>
              </w:rPr>
              <w:t>A05.3,</w:t>
            </w:r>
            <w:r>
              <w:rPr>
                <w:spacing w:val="-6"/>
                <w:sz w:val="20"/>
              </w:rPr>
              <w:t> </w:t>
            </w:r>
            <w:r>
              <w:rPr>
                <w:sz w:val="20"/>
              </w:rPr>
              <w:t>A05.4,</w:t>
            </w:r>
            <w:r>
              <w:rPr>
                <w:spacing w:val="-7"/>
                <w:sz w:val="20"/>
              </w:rPr>
              <w:t> </w:t>
            </w:r>
            <w:r>
              <w:rPr>
                <w:sz w:val="20"/>
              </w:rPr>
              <w:t>A05.8,</w:t>
            </w:r>
            <w:r>
              <w:rPr>
                <w:spacing w:val="-6"/>
                <w:sz w:val="20"/>
              </w:rPr>
              <w:t> </w:t>
            </w:r>
            <w:r>
              <w:rPr>
                <w:spacing w:val="-2"/>
                <w:sz w:val="20"/>
              </w:rPr>
              <w:t>A05.9,</w:t>
            </w:r>
          </w:p>
          <w:p>
            <w:pPr>
              <w:pStyle w:val="TableParagraph"/>
              <w:ind w:left="536"/>
              <w:rPr>
                <w:sz w:val="20"/>
              </w:rPr>
            </w:pPr>
            <w:r>
              <w:rPr>
                <w:sz w:val="20"/>
              </w:rPr>
              <w:t>A06.0,</w:t>
            </w:r>
            <w:r>
              <w:rPr>
                <w:spacing w:val="-6"/>
                <w:sz w:val="20"/>
              </w:rPr>
              <w:t> </w:t>
            </w:r>
            <w:r>
              <w:rPr>
                <w:sz w:val="20"/>
              </w:rPr>
              <w:t>A06.1,</w:t>
            </w:r>
            <w:r>
              <w:rPr>
                <w:spacing w:val="-5"/>
                <w:sz w:val="20"/>
              </w:rPr>
              <w:t> </w:t>
            </w:r>
            <w:r>
              <w:rPr>
                <w:sz w:val="20"/>
              </w:rPr>
              <w:t>A06.2,</w:t>
            </w:r>
            <w:r>
              <w:rPr>
                <w:spacing w:val="-6"/>
                <w:sz w:val="20"/>
              </w:rPr>
              <w:t> </w:t>
            </w:r>
            <w:r>
              <w:rPr>
                <w:sz w:val="20"/>
              </w:rPr>
              <w:t>A06.3,</w:t>
            </w:r>
            <w:r>
              <w:rPr>
                <w:spacing w:val="-7"/>
                <w:sz w:val="20"/>
              </w:rPr>
              <w:t> </w:t>
            </w:r>
            <w:r>
              <w:rPr>
                <w:sz w:val="20"/>
              </w:rPr>
              <w:t>A06.4,</w:t>
            </w:r>
            <w:r>
              <w:rPr>
                <w:spacing w:val="-6"/>
                <w:sz w:val="20"/>
              </w:rPr>
              <w:t> </w:t>
            </w:r>
            <w:r>
              <w:rPr>
                <w:spacing w:val="-2"/>
                <w:sz w:val="20"/>
              </w:rPr>
              <w:t>A06.5,</w:t>
            </w:r>
          </w:p>
          <w:p>
            <w:pPr>
              <w:pStyle w:val="TableParagraph"/>
              <w:spacing w:before="1"/>
              <w:ind w:left="536"/>
              <w:rPr>
                <w:sz w:val="20"/>
              </w:rPr>
            </w:pPr>
            <w:r>
              <w:rPr>
                <w:sz w:val="20"/>
              </w:rPr>
              <w:t>A06.6,</w:t>
            </w:r>
            <w:r>
              <w:rPr>
                <w:spacing w:val="-6"/>
                <w:sz w:val="20"/>
              </w:rPr>
              <w:t> </w:t>
            </w:r>
            <w:r>
              <w:rPr>
                <w:sz w:val="20"/>
              </w:rPr>
              <w:t>A06.7,</w:t>
            </w:r>
            <w:r>
              <w:rPr>
                <w:spacing w:val="-5"/>
                <w:sz w:val="20"/>
              </w:rPr>
              <w:t> </w:t>
            </w:r>
            <w:r>
              <w:rPr>
                <w:sz w:val="20"/>
              </w:rPr>
              <w:t>A06.8,</w:t>
            </w:r>
            <w:r>
              <w:rPr>
                <w:spacing w:val="-6"/>
                <w:sz w:val="20"/>
              </w:rPr>
              <w:t> </w:t>
            </w:r>
            <w:r>
              <w:rPr>
                <w:sz w:val="20"/>
              </w:rPr>
              <w:t>A06.9,</w:t>
            </w:r>
            <w:r>
              <w:rPr>
                <w:spacing w:val="-7"/>
                <w:sz w:val="20"/>
              </w:rPr>
              <w:t> </w:t>
            </w:r>
            <w:r>
              <w:rPr>
                <w:sz w:val="20"/>
              </w:rPr>
              <w:t>A07.0,</w:t>
            </w:r>
            <w:r>
              <w:rPr>
                <w:spacing w:val="-6"/>
                <w:sz w:val="20"/>
              </w:rPr>
              <w:t> </w:t>
            </w:r>
            <w:r>
              <w:rPr>
                <w:spacing w:val="-2"/>
                <w:sz w:val="20"/>
              </w:rPr>
              <w:t>A07.1,</w:t>
            </w:r>
          </w:p>
          <w:p>
            <w:pPr>
              <w:pStyle w:val="TableParagraph"/>
              <w:spacing w:line="229" w:lineRule="exact"/>
              <w:ind w:left="309" w:right="947"/>
              <w:jc w:val="center"/>
              <w:rPr>
                <w:sz w:val="20"/>
              </w:rPr>
            </w:pPr>
            <w:r>
              <w:rPr>
                <w:sz w:val="20"/>
              </w:rPr>
              <w:t>A07.2,</w:t>
            </w:r>
            <w:r>
              <w:rPr>
                <w:spacing w:val="-6"/>
                <w:sz w:val="20"/>
              </w:rPr>
              <w:t> </w:t>
            </w:r>
            <w:r>
              <w:rPr>
                <w:sz w:val="20"/>
              </w:rPr>
              <w:t>A07.3,</w:t>
            </w:r>
            <w:r>
              <w:rPr>
                <w:spacing w:val="-5"/>
                <w:sz w:val="20"/>
              </w:rPr>
              <w:t> </w:t>
            </w:r>
            <w:r>
              <w:rPr>
                <w:sz w:val="20"/>
              </w:rPr>
              <w:t>A07.8,</w:t>
            </w:r>
            <w:r>
              <w:rPr>
                <w:spacing w:val="-6"/>
                <w:sz w:val="20"/>
              </w:rPr>
              <w:t> </w:t>
            </w:r>
            <w:r>
              <w:rPr>
                <w:sz w:val="20"/>
              </w:rPr>
              <w:t>A07.9,</w:t>
            </w:r>
            <w:r>
              <w:rPr>
                <w:spacing w:val="-7"/>
                <w:sz w:val="20"/>
              </w:rPr>
              <w:t> </w:t>
            </w:r>
            <w:r>
              <w:rPr>
                <w:sz w:val="20"/>
              </w:rPr>
              <w:t>A08.0,</w:t>
            </w:r>
            <w:r>
              <w:rPr>
                <w:spacing w:val="-6"/>
                <w:sz w:val="20"/>
              </w:rPr>
              <w:t> </w:t>
            </w:r>
            <w:r>
              <w:rPr>
                <w:spacing w:val="-2"/>
                <w:sz w:val="20"/>
              </w:rPr>
              <w:t>A08.1,</w:t>
            </w:r>
          </w:p>
          <w:p>
            <w:pPr>
              <w:pStyle w:val="TableParagraph"/>
              <w:spacing w:line="229" w:lineRule="exact"/>
              <w:ind w:left="310" w:right="947"/>
              <w:jc w:val="center"/>
              <w:rPr>
                <w:sz w:val="20"/>
              </w:rPr>
            </w:pPr>
            <w:r>
              <w:rPr>
                <w:sz w:val="20"/>
              </w:rPr>
              <w:t>A08.2,</w:t>
            </w:r>
            <w:r>
              <w:rPr>
                <w:spacing w:val="-6"/>
                <w:sz w:val="20"/>
              </w:rPr>
              <w:t> </w:t>
            </w:r>
            <w:r>
              <w:rPr>
                <w:sz w:val="20"/>
              </w:rPr>
              <w:t>A08.3,</w:t>
            </w:r>
            <w:r>
              <w:rPr>
                <w:spacing w:val="-5"/>
                <w:sz w:val="20"/>
              </w:rPr>
              <w:t> </w:t>
            </w:r>
            <w:r>
              <w:rPr>
                <w:sz w:val="20"/>
              </w:rPr>
              <w:t>A08.4,</w:t>
            </w:r>
            <w:r>
              <w:rPr>
                <w:spacing w:val="-6"/>
                <w:sz w:val="20"/>
              </w:rPr>
              <w:t> </w:t>
            </w:r>
            <w:r>
              <w:rPr>
                <w:sz w:val="20"/>
              </w:rPr>
              <w:t>A08.5,</w:t>
            </w:r>
            <w:r>
              <w:rPr>
                <w:spacing w:val="-7"/>
                <w:sz w:val="20"/>
              </w:rPr>
              <w:t> </w:t>
            </w:r>
            <w:r>
              <w:rPr>
                <w:sz w:val="20"/>
              </w:rPr>
              <w:t>A09,</w:t>
            </w:r>
            <w:r>
              <w:rPr>
                <w:spacing w:val="-5"/>
                <w:sz w:val="20"/>
              </w:rPr>
              <w:t> </w:t>
            </w:r>
            <w:r>
              <w:rPr>
                <w:sz w:val="20"/>
              </w:rPr>
              <w:t>A09.0,</w:t>
            </w:r>
            <w:r>
              <w:rPr>
                <w:spacing w:val="-6"/>
                <w:sz w:val="20"/>
              </w:rPr>
              <w:t> </w:t>
            </w:r>
            <w:r>
              <w:rPr>
                <w:spacing w:val="-2"/>
                <w:sz w:val="20"/>
              </w:rPr>
              <w:t>A09.9,</w:t>
            </w:r>
          </w:p>
          <w:p>
            <w:pPr>
              <w:pStyle w:val="TableParagraph"/>
              <w:spacing w:before="1"/>
              <w:ind w:left="536"/>
              <w:rPr>
                <w:sz w:val="20"/>
              </w:rPr>
            </w:pPr>
            <w:r>
              <w:rPr>
                <w:sz w:val="20"/>
              </w:rPr>
              <w:t>A20.0,</w:t>
            </w:r>
            <w:r>
              <w:rPr>
                <w:spacing w:val="-6"/>
                <w:sz w:val="20"/>
              </w:rPr>
              <w:t> </w:t>
            </w:r>
            <w:r>
              <w:rPr>
                <w:sz w:val="20"/>
              </w:rPr>
              <w:t>A20.1,</w:t>
            </w:r>
            <w:r>
              <w:rPr>
                <w:spacing w:val="-5"/>
                <w:sz w:val="20"/>
              </w:rPr>
              <w:t> </w:t>
            </w:r>
            <w:r>
              <w:rPr>
                <w:sz w:val="20"/>
              </w:rPr>
              <w:t>A20.2,</w:t>
            </w:r>
            <w:r>
              <w:rPr>
                <w:spacing w:val="-6"/>
                <w:sz w:val="20"/>
              </w:rPr>
              <w:t> </w:t>
            </w:r>
            <w:r>
              <w:rPr>
                <w:sz w:val="20"/>
              </w:rPr>
              <w:t>A20.3,</w:t>
            </w:r>
            <w:r>
              <w:rPr>
                <w:spacing w:val="-7"/>
                <w:sz w:val="20"/>
              </w:rPr>
              <w:t> </w:t>
            </w:r>
            <w:r>
              <w:rPr>
                <w:sz w:val="20"/>
              </w:rPr>
              <w:t>A20.7,</w:t>
            </w:r>
            <w:r>
              <w:rPr>
                <w:spacing w:val="-6"/>
                <w:sz w:val="20"/>
              </w:rPr>
              <w:t> </w:t>
            </w:r>
            <w:r>
              <w:rPr>
                <w:spacing w:val="-2"/>
                <w:sz w:val="20"/>
              </w:rPr>
              <w:t>A20.8,</w:t>
            </w:r>
          </w:p>
          <w:p>
            <w:pPr>
              <w:pStyle w:val="TableParagraph"/>
              <w:ind w:left="536"/>
              <w:rPr>
                <w:sz w:val="20"/>
              </w:rPr>
            </w:pPr>
            <w:r>
              <w:rPr>
                <w:sz w:val="20"/>
              </w:rPr>
              <w:t>A20.9,</w:t>
            </w:r>
            <w:r>
              <w:rPr>
                <w:spacing w:val="-6"/>
                <w:sz w:val="20"/>
              </w:rPr>
              <w:t> </w:t>
            </w:r>
            <w:r>
              <w:rPr>
                <w:sz w:val="20"/>
              </w:rPr>
              <w:t>A21.0,</w:t>
            </w:r>
            <w:r>
              <w:rPr>
                <w:spacing w:val="-5"/>
                <w:sz w:val="20"/>
              </w:rPr>
              <w:t> </w:t>
            </w:r>
            <w:r>
              <w:rPr>
                <w:sz w:val="20"/>
              </w:rPr>
              <w:t>A21.1,</w:t>
            </w:r>
            <w:r>
              <w:rPr>
                <w:spacing w:val="-6"/>
                <w:sz w:val="20"/>
              </w:rPr>
              <w:t> </w:t>
            </w:r>
            <w:r>
              <w:rPr>
                <w:sz w:val="20"/>
              </w:rPr>
              <w:t>A21.2,</w:t>
            </w:r>
            <w:r>
              <w:rPr>
                <w:spacing w:val="-7"/>
                <w:sz w:val="20"/>
              </w:rPr>
              <w:t> </w:t>
            </w:r>
            <w:r>
              <w:rPr>
                <w:sz w:val="20"/>
              </w:rPr>
              <w:t>A21.3,</w:t>
            </w:r>
            <w:r>
              <w:rPr>
                <w:spacing w:val="-6"/>
                <w:sz w:val="20"/>
              </w:rPr>
              <w:t> </w:t>
            </w:r>
            <w:r>
              <w:rPr>
                <w:spacing w:val="-2"/>
                <w:sz w:val="20"/>
              </w:rPr>
              <w:t>A21.7,</w:t>
            </w:r>
          </w:p>
          <w:p>
            <w:pPr>
              <w:pStyle w:val="TableParagraph"/>
              <w:spacing w:before="1"/>
              <w:ind w:left="536"/>
              <w:rPr>
                <w:sz w:val="20"/>
              </w:rPr>
            </w:pPr>
            <w:r>
              <w:rPr>
                <w:sz w:val="20"/>
              </w:rPr>
              <w:t>A21.8,</w:t>
            </w:r>
            <w:r>
              <w:rPr>
                <w:spacing w:val="-6"/>
                <w:sz w:val="20"/>
              </w:rPr>
              <w:t> </w:t>
            </w:r>
            <w:r>
              <w:rPr>
                <w:sz w:val="20"/>
              </w:rPr>
              <w:t>A21.9,</w:t>
            </w:r>
            <w:r>
              <w:rPr>
                <w:spacing w:val="-5"/>
                <w:sz w:val="20"/>
              </w:rPr>
              <w:t> </w:t>
            </w:r>
            <w:r>
              <w:rPr>
                <w:sz w:val="20"/>
              </w:rPr>
              <w:t>A22.0,</w:t>
            </w:r>
            <w:r>
              <w:rPr>
                <w:spacing w:val="-6"/>
                <w:sz w:val="20"/>
              </w:rPr>
              <w:t> </w:t>
            </w:r>
            <w:r>
              <w:rPr>
                <w:sz w:val="20"/>
              </w:rPr>
              <w:t>A22.1,</w:t>
            </w:r>
            <w:r>
              <w:rPr>
                <w:spacing w:val="-7"/>
                <w:sz w:val="20"/>
              </w:rPr>
              <w:t> </w:t>
            </w:r>
            <w:r>
              <w:rPr>
                <w:sz w:val="20"/>
              </w:rPr>
              <w:t>A22.2,</w:t>
            </w:r>
            <w:r>
              <w:rPr>
                <w:spacing w:val="-6"/>
                <w:sz w:val="20"/>
              </w:rPr>
              <w:t> </w:t>
            </w:r>
            <w:r>
              <w:rPr>
                <w:spacing w:val="-2"/>
                <w:sz w:val="20"/>
              </w:rPr>
              <w:t>A22.7,</w:t>
            </w:r>
          </w:p>
          <w:p>
            <w:pPr>
              <w:pStyle w:val="TableParagraph"/>
              <w:ind w:left="536"/>
              <w:rPr>
                <w:sz w:val="20"/>
              </w:rPr>
            </w:pPr>
            <w:r>
              <w:rPr>
                <w:sz w:val="20"/>
              </w:rPr>
              <w:t>A22.8,</w:t>
            </w:r>
            <w:r>
              <w:rPr>
                <w:spacing w:val="-6"/>
                <w:sz w:val="20"/>
              </w:rPr>
              <w:t> </w:t>
            </w:r>
            <w:r>
              <w:rPr>
                <w:sz w:val="20"/>
              </w:rPr>
              <w:t>A22.9,</w:t>
            </w:r>
            <w:r>
              <w:rPr>
                <w:spacing w:val="-5"/>
                <w:sz w:val="20"/>
              </w:rPr>
              <w:t> </w:t>
            </w:r>
            <w:r>
              <w:rPr>
                <w:sz w:val="20"/>
              </w:rPr>
              <w:t>A23.0,</w:t>
            </w:r>
            <w:r>
              <w:rPr>
                <w:spacing w:val="-6"/>
                <w:sz w:val="20"/>
              </w:rPr>
              <w:t> </w:t>
            </w:r>
            <w:r>
              <w:rPr>
                <w:sz w:val="20"/>
              </w:rPr>
              <w:t>A23.1,</w:t>
            </w:r>
            <w:r>
              <w:rPr>
                <w:spacing w:val="-7"/>
                <w:sz w:val="20"/>
              </w:rPr>
              <w:t> </w:t>
            </w:r>
            <w:r>
              <w:rPr>
                <w:sz w:val="20"/>
              </w:rPr>
              <w:t>A23.2,</w:t>
            </w:r>
            <w:r>
              <w:rPr>
                <w:spacing w:val="-6"/>
                <w:sz w:val="20"/>
              </w:rPr>
              <w:t> </w:t>
            </w:r>
            <w:r>
              <w:rPr>
                <w:spacing w:val="-2"/>
                <w:sz w:val="20"/>
              </w:rPr>
              <w:t>A23.3,</w:t>
            </w:r>
          </w:p>
          <w:p>
            <w:pPr>
              <w:pStyle w:val="TableParagraph"/>
              <w:spacing w:line="229" w:lineRule="exact"/>
              <w:ind w:left="536"/>
              <w:rPr>
                <w:sz w:val="20"/>
              </w:rPr>
            </w:pPr>
            <w:r>
              <w:rPr>
                <w:sz w:val="20"/>
              </w:rPr>
              <w:t>A23.8,</w:t>
            </w:r>
            <w:r>
              <w:rPr>
                <w:spacing w:val="-6"/>
                <w:sz w:val="20"/>
              </w:rPr>
              <w:t> </w:t>
            </w:r>
            <w:r>
              <w:rPr>
                <w:sz w:val="20"/>
              </w:rPr>
              <w:t>A23.9,</w:t>
            </w:r>
            <w:r>
              <w:rPr>
                <w:spacing w:val="-5"/>
                <w:sz w:val="20"/>
              </w:rPr>
              <w:t> </w:t>
            </w:r>
            <w:r>
              <w:rPr>
                <w:sz w:val="20"/>
              </w:rPr>
              <w:t>A24.0,</w:t>
            </w:r>
            <w:r>
              <w:rPr>
                <w:spacing w:val="-6"/>
                <w:sz w:val="20"/>
              </w:rPr>
              <w:t> </w:t>
            </w:r>
            <w:r>
              <w:rPr>
                <w:sz w:val="20"/>
              </w:rPr>
              <w:t>A24.1,</w:t>
            </w:r>
            <w:r>
              <w:rPr>
                <w:spacing w:val="-7"/>
                <w:sz w:val="20"/>
              </w:rPr>
              <w:t> </w:t>
            </w:r>
            <w:r>
              <w:rPr>
                <w:sz w:val="20"/>
              </w:rPr>
              <w:t>A24.2,</w:t>
            </w:r>
            <w:r>
              <w:rPr>
                <w:spacing w:val="-6"/>
                <w:sz w:val="20"/>
              </w:rPr>
              <w:t> </w:t>
            </w:r>
            <w:r>
              <w:rPr>
                <w:spacing w:val="-2"/>
                <w:sz w:val="20"/>
              </w:rPr>
              <w:t>A24.3,</w:t>
            </w:r>
          </w:p>
          <w:p>
            <w:pPr>
              <w:pStyle w:val="TableParagraph"/>
              <w:spacing w:line="229" w:lineRule="exact"/>
              <w:ind w:left="536"/>
              <w:rPr>
                <w:sz w:val="20"/>
              </w:rPr>
            </w:pPr>
            <w:r>
              <w:rPr>
                <w:sz w:val="20"/>
              </w:rPr>
              <w:t>A24.4,</w:t>
            </w:r>
            <w:r>
              <w:rPr>
                <w:spacing w:val="-6"/>
                <w:sz w:val="20"/>
              </w:rPr>
              <w:t> </w:t>
            </w:r>
            <w:r>
              <w:rPr>
                <w:sz w:val="20"/>
              </w:rPr>
              <w:t>A25.0,</w:t>
            </w:r>
            <w:r>
              <w:rPr>
                <w:spacing w:val="-5"/>
                <w:sz w:val="20"/>
              </w:rPr>
              <w:t> </w:t>
            </w:r>
            <w:r>
              <w:rPr>
                <w:sz w:val="20"/>
              </w:rPr>
              <w:t>A25.1,</w:t>
            </w:r>
            <w:r>
              <w:rPr>
                <w:spacing w:val="-6"/>
                <w:sz w:val="20"/>
              </w:rPr>
              <w:t> </w:t>
            </w:r>
            <w:r>
              <w:rPr>
                <w:sz w:val="20"/>
              </w:rPr>
              <w:t>A25.9,</w:t>
            </w:r>
            <w:r>
              <w:rPr>
                <w:spacing w:val="-7"/>
                <w:sz w:val="20"/>
              </w:rPr>
              <w:t> </w:t>
            </w:r>
            <w:r>
              <w:rPr>
                <w:sz w:val="20"/>
              </w:rPr>
              <w:t>A27.0,</w:t>
            </w:r>
            <w:r>
              <w:rPr>
                <w:spacing w:val="-6"/>
                <w:sz w:val="20"/>
              </w:rPr>
              <w:t> </w:t>
            </w:r>
            <w:r>
              <w:rPr>
                <w:spacing w:val="-2"/>
                <w:sz w:val="20"/>
              </w:rPr>
              <w:t>A27.8,</w:t>
            </w:r>
          </w:p>
          <w:p>
            <w:pPr>
              <w:pStyle w:val="TableParagraph"/>
              <w:spacing w:before="1"/>
              <w:ind w:left="310" w:right="947"/>
              <w:jc w:val="center"/>
              <w:rPr>
                <w:sz w:val="20"/>
              </w:rPr>
            </w:pPr>
            <w:r>
              <w:rPr>
                <w:sz w:val="20"/>
              </w:rPr>
              <w:t>A27.9,</w:t>
            </w:r>
            <w:r>
              <w:rPr>
                <w:spacing w:val="-6"/>
                <w:sz w:val="20"/>
              </w:rPr>
              <w:t> </w:t>
            </w:r>
            <w:r>
              <w:rPr>
                <w:sz w:val="20"/>
              </w:rPr>
              <w:t>A28,</w:t>
            </w:r>
            <w:r>
              <w:rPr>
                <w:spacing w:val="-6"/>
                <w:sz w:val="20"/>
              </w:rPr>
              <w:t> </w:t>
            </w:r>
            <w:r>
              <w:rPr>
                <w:sz w:val="20"/>
              </w:rPr>
              <w:t>A28.0,</w:t>
            </w:r>
            <w:r>
              <w:rPr>
                <w:spacing w:val="-6"/>
                <w:sz w:val="20"/>
              </w:rPr>
              <w:t> </w:t>
            </w:r>
            <w:r>
              <w:rPr>
                <w:sz w:val="20"/>
              </w:rPr>
              <w:t>A28.1,</w:t>
            </w:r>
            <w:r>
              <w:rPr>
                <w:spacing w:val="-6"/>
                <w:sz w:val="20"/>
              </w:rPr>
              <w:t> </w:t>
            </w:r>
            <w:r>
              <w:rPr>
                <w:sz w:val="20"/>
              </w:rPr>
              <w:t>A28.2,</w:t>
            </w:r>
            <w:r>
              <w:rPr>
                <w:spacing w:val="-6"/>
                <w:sz w:val="20"/>
              </w:rPr>
              <w:t> </w:t>
            </w:r>
            <w:r>
              <w:rPr>
                <w:sz w:val="20"/>
              </w:rPr>
              <w:t>A28.8,</w:t>
            </w:r>
            <w:r>
              <w:rPr>
                <w:spacing w:val="-6"/>
                <w:sz w:val="20"/>
              </w:rPr>
              <w:t> </w:t>
            </w:r>
            <w:r>
              <w:rPr>
                <w:spacing w:val="-2"/>
                <w:sz w:val="20"/>
              </w:rPr>
              <w:t>A28.9,</w:t>
            </w:r>
          </w:p>
          <w:p>
            <w:pPr>
              <w:pStyle w:val="TableParagraph"/>
              <w:ind w:left="309" w:right="947"/>
              <w:jc w:val="center"/>
              <w:rPr>
                <w:sz w:val="20"/>
              </w:rPr>
            </w:pPr>
            <w:r>
              <w:rPr>
                <w:sz w:val="20"/>
              </w:rPr>
              <w:t>A30.0,</w:t>
            </w:r>
            <w:r>
              <w:rPr>
                <w:spacing w:val="-6"/>
                <w:sz w:val="20"/>
              </w:rPr>
              <w:t> </w:t>
            </w:r>
            <w:r>
              <w:rPr>
                <w:sz w:val="20"/>
              </w:rPr>
              <w:t>A30.1,</w:t>
            </w:r>
            <w:r>
              <w:rPr>
                <w:spacing w:val="-5"/>
                <w:sz w:val="20"/>
              </w:rPr>
              <w:t> </w:t>
            </w:r>
            <w:r>
              <w:rPr>
                <w:sz w:val="20"/>
              </w:rPr>
              <w:t>A30.2,</w:t>
            </w:r>
            <w:r>
              <w:rPr>
                <w:spacing w:val="-6"/>
                <w:sz w:val="20"/>
              </w:rPr>
              <w:t> </w:t>
            </w:r>
            <w:r>
              <w:rPr>
                <w:sz w:val="20"/>
              </w:rPr>
              <w:t>A30.3,</w:t>
            </w:r>
            <w:r>
              <w:rPr>
                <w:spacing w:val="-7"/>
                <w:sz w:val="20"/>
              </w:rPr>
              <w:t> </w:t>
            </w:r>
            <w:r>
              <w:rPr>
                <w:sz w:val="20"/>
              </w:rPr>
              <w:t>A30.4,</w:t>
            </w:r>
            <w:r>
              <w:rPr>
                <w:spacing w:val="-6"/>
                <w:sz w:val="20"/>
              </w:rPr>
              <w:t> </w:t>
            </w:r>
            <w:r>
              <w:rPr>
                <w:spacing w:val="-2"/>
                <w:sz w:val="20"/>
              </w:rPr>
              <w:t>A30.5,</w:t>
            </w:r>
          </w:p>
          <w:p>
            <w:pPr>
              <w:pStyle w:val="TableParagraph"/>
              <w:spacing w:before="1"/>
              <w:ind w:left="309" w:right="947"/>
              <w:jc w:val="center"/>
              <w:rPr>
                <w:sz w:val="20"/>
              </w:rPr>
            </w:pPr>
            <w:r>
              <w:rPr>
                <w:sz w:val="20"/>
              </w:rPr>
              <w:t>A30.8,</w:t>
            </w:r>
            <w:r>
              <w:rPr>
                <w:spacing w:val="-6"/>
                <w:sz w:val="20"/>
              </w:rPr>
              <w:t> </w:t>
            </w:r>
            <w:r>
              <w:rPr>
                <w:sz w:val="20"/>
              </w:rPr>
              <w:t>A30.9,</w:t>
            </w:r>
            <w:r>
              <w:rPr>
                <w:spacing w:val="-5"/>
                <w:sz w:val="20"/>
              </w:rPr>
              <w:t> </w:t>
            </w:r>
            <w:r>
              <w:rPr>
                <w:sz w:val="20"/>
              </w:rPr>
              <w:t>A31.0,</w:t>
            </w:r>
            <w:r>
              <w:rPr>
                <w:spacing w:val="-6"/>
                <w:sz w:val="20"/>
              </w:rPr>
              <w:t> </w:t>
            </w:r>
            <w:r>
              <w:rPr>
                <w:sz w:val="20"/>
              </w:rPr>
              <w:t>A31.1,</w:t>
            </w:r>
            <w:r>
              <w:rPr>
                <w:spacing w:val="-7"/>
                <w:sz w:val="20"/>
              </w:rPr>
              <w:t> </w:t>
            </w:r>
            <w:r>
              <w:rPr>
                <w:sz w:val="20"/>
              </w:rPr>
              <w:t>A31.8,</w:t>
            </w:r>
            <w:r>
              <w:rPr>
                <w:spacing w:val="-6"/>
                <w:sz w:val="20"/>
              </w:rPr>
              <w:t> </w:t>
            </w:r>
            <w:r>
              <w:rPr>
                <w:spacing w:val="-2"/>
                <w:sz w:val="20"/>
              </w:rPr>
              <w:t>A31.9,</w:t>
            </w:r>
          </w:p>
          <w:p>
            <w:pPr>
              <w:pStyle w:val="TableParagraph"/>
              <w:spacing w:line="229" w:lineRule="exact"/>
              <w:ind w:left="315" w:right="947"/>
              <w:jc w:val="center"/>
              <w:rPr>
                <w:sz w:val="20"/>
              </w:rPr>
            </w:pPr>
            <w:r>
              <w:rPr>
                <w:sz w:val="20"/>
              </w:rPr>
              <w:t>A32.0,</w:t>
            </w:r>
            <w:r>
              <w:rPr>
                <w:spacing w:val="-5"/>
                <w:sz w:val="20"/>
              </w:rPr>
              <w:t> </w:t>
            </w:r>
            <w:r>
              <w:rPr>
                <w:sz w:val="20"/>
              </w:rPr>
              <w:t>A32.1,</w:t>
            </w:r>
            <w:r>
              <w:rPr>
                <w:spacing w:val="-4"/>
                <w:sz w:val="20"/>
              </w:rPr>
              <w:t> </w:t>
            </w:r>
            <w:r>
              <w:rPr>
                <w:sz w:val="20"/>
              </w:rPr>
              <w:t>A32.7,</w:t>
            </w:r>
            <w:r>
              <w:rPr>
                <w:spacing w:val="-5"/>
                <w:sz w:val="20"/>
              </w:rPr>
              <w:t> </w:t>
            </w:r>
            <w:r>
              <w:rPr>
                <w:sz w:val="20"/>
              </w:rPr>
              <w:t>A32.8,</w:t>
            </w:r>
            <w:r>
              <w:rPr>
                <w:spacing w:val="-6"/>
                <w:sz w:val="20"/>
              </w:rPr>
              <w:t> </w:t>
            </w:r>
            <w:r>
              <w:rPr>
                <w:sz w:val="20"/>
              </w:rPr>
              <w:t>A32.9,</w:t>
            </w:r>
            <w:r>
              <w:rPr>
                <w:spacing w:val="-4"/>
                <w:sz w:val="20"/>
              </w:rPr>
              <w:t> </w:t>
            </w:r>
            <w:r>
              <w:rPr>
                <w:sz w:val="20"/>
              </w:rPr>
              <w:t>A35,</w:t>
            </w:r>
            <w:r>
              <w:rPr>
                <w:spacing w:val="-5"/>
                <w:sz w:val="20"/>
              </w:rPr>
              <w:t> </w:t>
            </w:r>
            <w:r>
              <w:rPr>
                <w:spacing w:val="-2"/>
                <w:sz w:val="20"/>
              </w:rPr>
              <w:t>A36.0,</w:t>
            </w:r>
          </w:p>
          <w:p>
            <w:pPr>
              <w:pStyle w:val="TableParagraph"/>
              <w:spacing w:line="229" w:lineRule="exact"/>
              <w:ind w:left="309" w:right="947"/>
              <w:jc w:val="center"/>
              <w:rPr>
                <w:sz w:val="20"/>
              </w:rPr>
            </w:pPr>
            <w:r>
              <w:rPr>
                <w:sz w:val="20"/>
              </w:rPr>
              <w:t>A36.1,</w:t>
            </w:r>
            <w:r>
              <w:rPr>
                <w:spacing w:val="-6"/>
                <w:sz w:val="20"/>
              </w:rPr>
              <w:t> </w:t>
            </w:r>
            <w:r>
              <w:rPr>
                <w:sz w:val="20"/>
              </w:rPr>
              <w:t>A36.2,</w:t>
            </w:r>
            <w:r>
              <w:rPr>
                <w:spacing w:val="-5"/>
                <w:sz w:val="20"/>
              </w:rPr>
              <w:t> </w:t>
            </w:r>
            <w:r>
              <w:rPr>
                <w:sz w:val="20"/>
              </w:rPr>
              <w:t>A36.3,</w:t>
            </w:r>
            <w:r>
              <w:rPr>
                <w:spacing w:val="-6"/>
                <w:sz w:val="20"/>
              </w:rPr>
              <w:t> </w:t>
            </w:r>
            <w:r>
              <w:rPr>
                <w:sz w:val="20"/>
              </w:rPr>
              <w:t>A36.8,</w:t>
            </w:r>
            <w:r>
              <w:rPr>
                <w:spacing w:val="-7"/>
                <w:sz w:val="20"/>
              </w:rPr>
              <w:t> </w:t>
            </w:r>
            <w:r>
              <w:rPr>
                <w:sz w:val="20"/>
              </w:rPr>
              <w:t>A36.9,</w:t>
            </w:r>
            <w:r>
              <w:rPr>
                <w:spacing w:val="-6"/>
                <w:sz w:val="20"/>
              </w:rPr>
              <w:t> </w:t>
            </w:r>
            <w:r>
              <w:rPr>
                <w:spacing w:val="-2"/>
                <w:sz w:val="20"/>
              </w:rPr>
              <w:t>A37.0,</w:t>
            </w:r>
          </w:p>
          <w:p>
            <w:pPr>
              <w:pStyle w:val="TableParagraph"/>
              <w:spacing w:before="1"/>
              <w:ind w:left="310" w:right="947"/>
              <w:jc w:val="center"/>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A39.1,</w:t>
            </w:r>
            <w:r>
              <w:rPr>
                <w:spacing w:val="-6"/>
                <w:sz w:val="20"/>
              </w:rPr>
              <w:t> </w:t>
            </w:r>
            <w:r>
              <w:rPr>
                <w:spacing w:val="-2"/>
                <w:sz w:val="20"/>
              </w:rPr>
              <w:t>A39.2,</w:t>
            </w:r>
          </w:p>
          <w:p>
            <w:pPr>
              <w:pStyle w:val="TableParagraph"/>
              <w:ind w:left="309" w:right="947"/>
              <w:jc w:val="center"/>
              <w:rPr>
                <w:sz w:val="20"/>
              </w:rPr>
            </w:pPr>
            <w:r>
              <w:rPr>
                <w:sz w:val="20"/>
              </w:rPr>
              <w:t>A39.3,</w:t>
            </w:r>
            <w:r>
              <w:rPr>
                <w:spacing w:val="-6"/>
                <w:sz w:val="20"/>
              </w:rPr>
              <w:t> </w:t>
            </w:r>
            <w:r>
              <w:rPr>
                <w:sz w:val="20"/>
              </w:rPr>
              <w:t>A39.4,</w:t>
            </w:r>
            <w:r>
              <w:rPr>
                <w:spacing w:val="-5"/>
                <w:sz w:val="20"/>
              </w:rPr>
              <w:t> </w:t>
            </w:r>
            <w:r>
              <w:rPr>
                <w:sz w:val="20"/>
              </w:rPr>
              <w:t>A39.5,</w:t>
            </w:r>
            <w:r>
              <w:rPr>
                <w:spacing w:val="-6"/>
                <w:sz w:val="20"/>
              </w:rPr>
              <w:t> </w:t>
            </w:r>
            <w:r>
              <w:rPr>
                <w:sz w:val="20"/>
              </w:rPr>
              <w:t>A39.8,</w:t>
            </w:r>
            <w:r>
              <w:rPr>
                <w:spacing w:val="-7"/>
                <w:sz w:val="20"/>
              </w:rPr>
              <w:t> </w:t>
            </w:r>
            <w:r>
              <w:rPr>
                <w:sz w:val="20"/>
              </w:rPr>
              <w:t>A39.9,</w:t>
            </w:r>
            <w:r>
              <w:rPr>
                <w:spacing w:val="-6"/>
                <w:sz w:val="20"/>
              </w:rPr>
              <w:t> </w:t>
            </w:r>
            <w:r>
              <w:rPr>
                <w:spacing w:val="-2"/>
                <w:sz w:val="20"/>
              </w:rPr>
              <w:t>A40.0,</w:t>
            </w:r>
          </w:p>
          <w:p>
            <w:pPr>
              <w:pStyle w:val="TableParagraph"/>
              <w:ind w:left="309" w:right="947"/>
              <w:jc w:val="center"/>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p>
            <w:pPr>
              <w:pStyle w:val="TableParagraph"/>
              <w:spacing w:before="1"/>
              <w:ind w:left="309" w:right="947"/>
              <w:jc w:val="center"/>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p>
            <w:pPr>
              <w:pStyle w:val="TableParagraph"/>
              <w:spacing w:line="229" w:lineRule="exact"/>
              <w:ind w:left="314" w:right="947"/>
              <w:jc w:val="center"/>
              <w:rPr>
                <w:sz w:val="20"/>
              </w:rPr>
            </w:pPr>
            <w:r>
              <w:rPr>
                <w:sz w:val="20"/>
              </w:rPr>
              <w:t>A41.9,</w:t>
            </w:r>
            <w:r>
              <w:rPr>
                <w:spacing w:val="-5"/>
                <w:sz w:val="20"/>
              </w:rPr>
              <w:t> </w:t>
            </w:r>
            <w:r>
              <w:rPr>
                <w:sz w:val="20"/>
              </w:rPr>
              <w:t>A42.0,</w:t>
            </w:r>
            <w:r>
              <w:rPr>
                <w:spacing w:val="-4"/>
                <w:sz w:val="20"/>
              </w:rPr>
              <w:t> </w:t>
            </w:r>
            <w:r>
              <w:rPr>
                <w:sz w:val="20"/>
              </w:rPr>
              <w:t>A42.1,</w:t>
            </w:r>
            <w:r>
              <w:rPr>
                <w:spacing w:val="-5"/>
                <w:sz w:val="20"/>
              </w:rPr>
              <w:t> </w:t>
            </w:r>
            <w:r>
              <w:rPr>
                <w:sz w:val="20"/>
              </w:rPr>
              <w:t>A42.2,</w:t>
            </w:r>
            <w:r>
              <w:rPr>
                <w:spacing w:val="-6"/>
                <w:sz w:val="20"/>
              </w:rPr>
              <w:t> </w:t>
            </w:r>
            <w:r>
              <w:rPr>
                <w:sz w:val="20"/>
              </w:rPr>
              <w:t>A42.7,</w:t>
            </w:r>
            <w:r>
              <w:rPr>
                <w:spacing w:val="-5"/>
                <w:sz w:val="20"/>
              </w:rPr>
              <w:t> </w:t>
            </w:r>
            <w:r>
              <w:rPr>
                <w:spacing w:val="-2"/>
                <w:sz w:val="20"/>
              </w:rPr>
              <w:t>A42.8,</w:t>
            </w:r>
          </w:p>
          <w:p>
            <w:pPr>
              <w:pStyle w:val="TableParagraph"/>
              <w:spacing w:line="229" w:lineRule="exact"/>
              <w:ind w:left="309" w:right="947"/>
              <w:jc w:val="center"/>
              <w:rPr>
                <w:sz w:val="20"/>
              </w:rPr>
            </w:pPr>
            <w:r>
              <w:rPr>
                <w:sz w:val="20"/>
              </w:rPr>
              <w:t>A42.9,</w:t>
            </w:r>
            <w:r>
              <w:rPr>
                <w:spacing w:val="-6"/>
                <w:sz w:val="20"/>
              </w:rPr>
              <w:t> </w:t>
            </w:r>
            <w:r>
              <w:rPr>
                <w:sz w:val="20"/>
              </w:rPr>
              <w:t>A43.0,</w:t>
            </w:r>
            <w:r>
              <w:rPr>
                <w:spacing w:val="-5"/>
                <w:sz w:val="20"/>
              </w:rPr>
              <w:t> </w:t>
            </w:r>
            <w:r>
              <w:rPr>
                <w:sz w:val="20"/>
              </w:rPr>
              <w:t>A43.1,</w:t>
            </w:r>
            <w:r>
              <w:rPr>
                <w:spacing w:val="-6"/>
                <w:sz w:val="20"/>
              </w:rPr>
              <w:t> </w:t>
            </w:r>
            <w:r>
              <w:rPr>
                <w:sz w:val="20"/>
              </w:rPr>
              <w:t>A43.8,</w:t>
            </w:r>
            <w:r>
              <w:rPr>
                <w:spacing w:val="-7"/>
                <w:sz w:val="20"/>
              </w:rPr>
              <w:t> </w:t>
            </w:r>
            <w:r>
              <w:rPr>
                <w:sz w:val="20"/>
              </w:rPr>
              <w:t>A43.9,</w:t>
            </w:r>
            <w:r>
              <w:rPr>
                <w:spacing w:val="-6"/>
                <w:sz w:val="20"/>
              </w:rPr>
              <w:t> </w:t>
            </w:r>
            <w:r>
              <w:rPr>
                <w:spacing w:val="-2"/>
                <w:sz w:val="20"/>
              </w:rPr>
              <w:t>A44.0,</w:t>
            </w:r>
          </w:p>
          <w:p>
            <w:pPr>
              <w:pStyle w:val="TableParagraph"/>
              <w:spacing w:before="1"/>
              <w:ind w:left="310" w:right="947"/>
              <w:jc w:val="center"/>
              <w:rPr>
                <w:sz w:val="20"/>
              </w:rPr>
            </w:pPr>
            <w:r>
              <w:rPr>
                <w:sz w:val="20"/>
              </w:rPr>
              <w:t>A44.1,</w:t>
            </w:r>
            <w:r>
              <w:rPr>
                <w:spacing w:val="-6"/>
                <w:sz w:val="20"/>
              </w:rPr>
              <w:t> </w:t>
            </w:r>
            <w:r>
              <w:rPr>
                <w:sz w:val="20"/>
              </w:rPr>
              <w:t>A44.8,</w:t>
            </w:r>
            <w:r>
              <w:rPr>
                <w:spacing w:val="-6"/>
                <w:sz w:val="20"/>
              </w:rPr>
              <w:t> </w:t>
            </w:r>
            <w:r>
              <w:rPr>
                <w:sz w:val="20"/>
              </w:rPr>
              <w:t>A44.9,</w:t>
            </w:r>
            <w:r>
              <w:rPr>
                <w:spacing w:val="-6"/>
                <w:sz w:val="20"/>
              </w:rPr>
              <w:t> </w:t>
            </w:r>
            <w:r>
              <w:rPr>
                <w:sz w:val="20"/>
              </w:rPr>
              <w:t>A46,</w:t>
            </w:r>
            <w:r>
              <w:rPr>
                <w:spacing w:val="-6"/>
                <w:sz w:val="20"/>
              </w:rPr>
              <w:t> </w:t>
            </w:r>
            <w:r>
              <w:rPr>
                <w:sz w:val="20"/>
              </w:rPr>
              <w:t>A48.1,</w:t>
            </w:r>
            <w:r>
              <w:rPr>
                <w:spacing w:val="-6"/>
                <w:sz w:val="20"/>
              </w:rPr>
              <w:t> </w:t>
            </w:r>
            <w:r>
              <w:rPr>
                <w:sz w:val="20"/>
              </w:rPr>
              <w:t>A48.2,</w:t>
            </w:r>
            <w:r>
              <w:rPr>
                <w:spacing w:val="-6"/>
                <w:sz w:val="20"/>
              </w:rPr>
              <w:t> </w:t>
            </w:r>
            <w:r>
              <w:rPr>
                <w:spacing w:val="-2"/>
                <w:sz w:val="20"/>
              </w:rPr>
              <w:t>A48.3,</w:t>
            </w:r>
          </w:p>
          <w:p>
            <w:pPr>
              <w:pStyle w:val="TableParagraph"/>
              <w:ind w:left="309" w:right="947"/>
              <w:jc w:val="center"/>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p>
            <w:pPr>
              <w:pStyle w:val="TableParagraph"/>
              <w:ind w:left="310" w:right="947"/>
              <w:jc w:val="center"/>
              <w:rPr>
                <w:sz w:val="20"/>
              </w:rPr>
            </w:pPr>
            <w:r>
              <w:rPr>
                <w:sz w:val="20"/>
              </w:rPr>
              <w:t>A49.8,</w:t>
            </w:r>
            <w:r>
              <w:rPr>
                <w:spacing w:val="-6"/>
                <w:sz w:val="20"/>
              </w:rPr>
              <w:t> </w:t>
            </w:r>
            <w:r>
              <w:rPr>
                <w:sz w:val="20"/>
              </w:rPr>
              <w:t>A49.9,</w:t>
            </w:r>
            <w:r>
              <w:rPr>
                <w:spacing w:val="-5"/>
                <w:sz w:val="20"/>
              </w:rPr>
              <w:t> </w:t>
            </w:r>
            <w:r>
              <w:rPr>
                <w:sz w:val="20"/>
              </w:rPr>
              <w:t>A68.0,</w:t>
            </w:r>
            <w:r>
              <w:rPr>
                <w:spacing w:val="-6"/>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p>
            <w:pPr>
              <w:pStyle w:val="TableParagraph"/>
              <w:spacing w:before="1"/>
              <w:ind w:left="310" w:right="947"/>
              <w:jc w:val="center"/>
              <w:rPr>
                <w:sz w:val="20"/>
              </w:rPr>
            </w:pPr>
            <w:r>
              <w:rPr>
                <w:sz w:val="20"/>
              </w:rPr>
              <w:t>A74.8,</w:t>
            </w:r>
            <w:r>
              <w:rPr>
                <w:spacing w:val="-6"/>
                <w:sz w:val="20"/>
              </w:rPr>
              <w:t> </w:t>
            </w:r>
            <w:r>
              <w:rPr>
                <w:sz w:val="20"/>
              </w:rPr>
              <w:t>A74.9,</w:t>
            </w:r>
            <w:r>
              <w:rPr>
                <w:spacing w:val="-6"/>
                <w:sz w:val="20"/>
              </w:rPr>
              <w:t> </w:t>
            </w:r>
            <w:r>
              <w:rPr>
                <w:sz w:val="20"/>
              </w:rPr>
              <w:t>A75,</w:t>
            </w:r>
            <w:r>
              <w:rPr>
                <w:spacing w:val="-6"/>
                <w:sz w:val="20"/>
              </w:rPr>
              <w:t> </w:t>
            </w:r>
            <w:r>
              <w:rPr>
                <w:sz w:val="20"/>
              </w:rPr>
              <w:t>A75.0,</w:t>
            </w:r>
            <w:r>
              <w:rPr>
                <w:spacing w:val="-6"/>
                <w:sz w:val="20"/>
              </w:rPr>
              <w:t> </w:t>
            </w:r>
            <w:r>
              <w:rPr>
                <w:sz w:val="20"/>
              </w:rPr>
              <w:t>A75.1,</w:t>
            </w:r>
            <w:r>
              <w:rPr>
                <w:spacing w:val="-6"/>
                <w:sz w:val="20"/>
              </w:rPr>
              <w:t> </w:t>
            </w:r>
            <w:r>
              <w:rPr>
                <w:sz w:val="20"/>
              </w:rPr>
              <w:t>A75.2,</w:t>
            </w:r>
            <w:r>
              <w:rPr>
                <w:spacing w:val="-6"/>
                <w:sz w:val="20"/>
              </w:rPr>
              <w:t> </w:t>
            </w:r>
            <w:r>
              <w:rPr>
                <w:spacing w:val="-2"/>
                <w:sz w:val="20"/>
              </w:rPr>
              <w:t>A75.3,</w:t>
            </w:r>
          </w:p>
          <w:p>
            <w:pPr>
              <w:pStyle w:val="TableParagraph"/>
              <w:spacing w:line="229" w:lineRule="exact"/>
              <w:ind w:left="315"/>
              <w:rPr>
                <w:sz w:val="20"/>
              </w:rPr>
            </w:pPr>
            <w:r>
              <w:rPr>
                <w:sz w:val="20"/>
              </w:rPr>
              <w:t>A75.9,</w:t>
            </w:r>
            <w:r>
              <w:rPr>
                <w:spacing w:val="-6"/>
                <w:sz w:val="20"/>
              </w:rPr>
              <w:t> </w:t>
            </w:r>
            <w:r>
              <w:rPr>
                <w:sz w:val="20"/>
              </w:rPr>
              <w:t>A77,</w:t>
            </w:r>
            <w:r>
              <w:rPr>
                <w:spacing w:val="-6"/>
                <w:sz w:val="20"/>
              </w:rPr>
              <w:t> </w:t>
            </w:r>
            <w:r>
              <w:rPr>
                <w:sz w:val="20"/>
              </w:rPr>
              <w:t>A77.0,</w:t>
            </w:r>
            <w:r>
              <w:rPr>
                <w:spacing w:val="-3"/>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p>
            <w:pPr>
              <w:pStyle w:val="TableParagraph"/>
              <w:spacing w:line="229" w:lineRule="exact"/>
              <w:ind w:left="389"/>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p>
            <w:pPr>
              <w:pStyle w:val="TableParagraph"/>
              <w:spacing w:line="210" w:lineRule="exact" w:before="1"/>
              <w:ind w:left="315"/>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tc>
        <w:tc>
          <w:tcPr>
            <w:tcW w:w="1986" w:type="dxa"/>
          </w:tcPr>
          <w:p>
            <w:pPr>
              <w:pStyle w:val="TableParagraph"/>
              <w:spacing w:before="46"/>
              <w:ind w:left="918"/>
              <w:rPr>
                <w:sz w:val="20"/>
              </w:rPr>
            </w:pPr>
            <w:r>
              <w:rPr>
                <w:w w:val="99"/>
                <w:sz w:val="20"/>
              </w:rPr>
              <w:t>-</w:t>
            </w:r>
          </w:p>
        </w:tc>
        <w:tc>
          <w:tcPr>
            <w:tcW w:w="3119" w:type="dxa"/>
          </w:tcPr>
          <w:p>
            <w:pPr>
              <w:pStyle w:val="TableParagraph"/>
              <w:spacing w:before="46"/>
              <w:ind w:left="1242" w:right="450" w:hanging="236"/>
              <w:rPr>
                <w:sz w:val="20"/>
              </w:rPr>
            </w:pPr>
            <w:r>
              <w:rPr>
                <w:sz w:val="20"/>
              </w:rPr>
              <w:t>Возрастная</w:t>
            </w:r>
            <w:r>
              <w:rPr>
                <w:spacing w:val="-13"/>
                <w:sz w:val="20"/>
              </w:rPr>
              <w:t> </w:t>
            </w:r>
            <w:r>
              <w:rPr>
                <w:sz w:val="20"/>
              </w:rPr>
              <w:t>группа: старше 18 лет</w:t>
            </w:r>
          </w:p>
        </w:tc>
        <w:tc>
          <w:tcPr>
            <w:tcW w:w="862" w:type="dxa"/>
          </w:tcPr>
          <w:p>
            <w:pPr>
              <w:pStyle w:val="TableParagraph"/>
              <w:spacing w:before="46"/>
              <w:ind w:right="43"/>
              <w:jc w:val="right"/>
              <w:rPr>
                <w:sz w:val="20"/>
              </w:rPr>
            </w:pPr>
            <w:r>
              <w:rPr>
                <w:spacing w:val="-4"/>
                <w:sz w:val="20"/>
              </w:rPr>
              <w:t>1,16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79" w:right="0" w:firstLine="0"/>
        <w:jc w:val="left"/>
        <w:rPr>
          <w:sz w:val="20"/>
        </w:rPr>
      </w:pPr>
      <w:r>
        <w:rPr>
          <w:sz w:val="20"/>
        </w:rPr>
        <w:t>A81,</w:t>
      </w:r>
      <w:r>
        <w:rPr>
          <w:spacing w:val="-6"/>
          <w:sz w:val="20"/>
        </w:rPr>
        <w:t> </w:t>
      </w:r>
      <w:r>
        <w:rPr>
          <w:sz w:val="20"/>
        </w:rPr>
        <w:t>A81.0,</w:t>
      </w:r>
      <w:r>
        <w:rPr>
          <w:spacing w:val="-6"/>
          <w:sz w:val="20"/>
        </w:rPr>
        <w:t> </w:t>
      </w:r>
      <w:r>
        <w:rPr>
          <w:sz w:val="20"/>
        </w:rPr>
        <w:t>A81.1,</w:t>
      </w:r>
      <w:r>
        <w:rPr>
          <w:spacing w:val="-6"/>
          <w:sz w:val="20"/>
        </w:rPr>
        <w:t> </w:t>
      </w:r>
      <w:r>
        <w:rPr>
          <w:sz w:val="20"/>
        </w:rPr>
        <w:t>A81.2,</w:t>
      </w:r>
      <w:r>
        <w:rPr>
          <w:spacing w:val="-6"/>
          <w:sz w:val="20"/>
        </w:rPr>
        <w:t> </w:t>
      </w:r>
      <w:r>
        <w:rPr>
          <w:sz w:val="20"/>
        </w:rPr>
        <w:t>A81.8,</w:t>
      </w:r>
      <w:r>
        <w:rPr>
          <w:spacing w:val="-6"/>
          <w:sz w:val="20"/>
        </w:rPr>
        <w:t> </w:t>
      </w:r>
      <w:r>
        <w:rPr>
          <w:sz w:val="20"/>
        </w:rPr>
        <w:t>A81.9,</w:t>
      </w:r>
      <w:r>
        <w:rPr>
          <w:spacing w:val="-6"/>
          <w:sz w:val="20"/>
        </w:rPr>
        <w:t> </w:t>
      </w:r>
      <w:r>
        <w:rPr>
          <w:spacing w:val="-4"/>
          <w:sz w:val="20"/>
        </w:rPr>
        <w:t>A82,</w:t>
      </w:r>
    </w:p>
    <w:p>
      <w:pPr>
        <w:spacing w:line="229" w:lineRule="exact" w:before="1"/>
        <w:ind w:left="4605" w:right="0" w:firstLine="0"/>
        <w:jc w:val="left"/>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p>
      <w:pPr>
        <w:spacing w:line="229" w:lineRule="exact" w:before="0"/>
        <w:ind w:left="4605" w:right="0" w:firstLine="0"/>
        <w:jc w:val="left"/>
        <w:rPr>
          <w:sz w:val="20"/>
        </w:rPr>
      </w:pPr>
      <w:r>
        <w:rPr>
          <w:sz w:val="20"/>
        </w:rPr>
        <w:t>A83.3,</w:t>
      </w:r>
      <w:r>
        <w:rPr>
          <w:spacing w:val="-6"/>
          <w:sz w:val="20"/>
        </w:rPr>
        <w:t> </w:t>
      </w:r>
      <w:r>
        <w:rPr>
          <w:sz w:val="20"/>
        </w:rPr>
        <w:t>A83.4,</w:t>
      </w:r>
      <w:r>
        <w:rPr>
          <w:spacing w:val="-5"/>
          <w:sz w:val="20"/>
        </w:rPr>
        <w:t> </w:t>
      </w:r>
      <w:r>
        <w:rPr>
          <w:sz w:val="20"/>
        </w:rPr>
        <w:t>A83.5,</w:t>
      </w:r>
      <w:r>
        <w:rPr>
          <w:spacing w:val="-6"/>
          <w:sz w:val="20"/>
        </w:rPr>
        <w:t> </w:t>
      </w:r>
      <w:r>
        <w:rPr>
          <w:sz w:val="20"/>
        </w:rPr>
        <w:t>A83.6,</w:t>
      </w:r>
      <w:r>
        <w:rPr>
          <w:spacing w:val="-7"/>
          <w:sz w:val="20"/>
        </w:rPr>
        <w:t> </w:t>
      </w:r>
      <w:r>
        <w:rPr>
          <w:sz w:val="20"/>
        </w:rPr>
        <w:t>A83.8,</w:t>
      </w:r>
      <w:r>
        <w:rPr>
          <w:spacing w:val="-6"/>
          <w:sz w:val="20"/>
        </w:rPr>
        <w:t> </w:t>
      </w:r>
      <w:r>
        <w:rPr>
          <w:sz w:val="20"/>
        </w:rPr>
        <w:t>A83.9,</w:t>
      </w:r>
      <w:r>
        <w:rPr>
          <w:spacing w:val="-5"/>
          <w:sz w:val="20"/>
        </w:rPr>
        <w:t> </w:t>
      </w:r>
      <w:r>
        <w:rPr>
          <w:spacing w:val="-4"/>
          <w:sz w:val="20"/>
        </w:rPr>
        <w:t>A84,</w:t>
      </w:r>
    </w:p>
    <w:p>
      <w:pPr>
        <w:spacing w:before="0"/>
        <w:ind w:left="4605" w:right="0" w:firstLine="0"/>
        <w:jc w:val="left"/>
        <w:rPr>
          <w:sz w:val="20"/>
        </w:rPr>
      </w:pPr>
      <w:r>
        <w:rPr>
          <w:sz w:val="20"/>
        </w:rPr>
        <w:t>A84.0,</w:t>
      </w:r>
      <w:r>
        <w:rPr>
          <w:spacing w:val="-6"/>
          <w:sz w:val="20"/>
        </w:rPr>
        <w:t> </w:t>
      </w:r>
      <w:r>
        <w:rPr>
          <w:sz w:val="20"/>
        </w:rPr>
        <w:t>A84.1,</w:t>
      </w:r>
      <w:r>
        <w:rPr>
          <w:spacing w:val="-5"/>
          <w:sz w:val="20"/>
        </w:rPr>
        <w:t> </w:t>
      </w:r>
      <w:r>
        <w:rPr>
          <w:sz w:val="20"/>
        </w:rPr>
        <w:t>A84.8,</w:t>
      </w:r>
      <w:r>
        <w:rPr>
          <w:spacing w:val="-6"/>
          <w:sz w:val="20"/>
        </w:rPr>
        <w:t> </w:t>
      </w:r>
      <w:r>
        <w:rPr>
          <w:sz w:val="20"/>
        </w:rPr>
        <w:t>A84.9,</w:t>
      </w:r>
      <w:r>
        <w:rPr>
          <w:spacing w:val="-7"/>
          <w:sz w:val="20"/>
        </w:rPr>
        <w:t> </w:t>
      </w:r>
      <w:r>
        <w:rPr>
          <w:sz w:val="20"/>
        </w:rPr>
        <w:t>A85,</w:t>
      </w:r>
      <w:r>
        <w:rPr>
          <w:spacing w:val="-5"/>
          <w:sz w:val="20"/>
        </w:rPr>
        <w:t> </w:t>
      </w:r>
      <w:r>
        <w:rPr>
          <w:sz w:val="20"/>
        </w:rPr>
        <w:t>A85.0,</w:t>
      </w:r>
      <w:r>
        <w:rPr>
          <w:spacing w:val="-6"/>
          <w:sz w:val="20"/>
        </w:rPr>
        <w:t> </w:t>
      </w:r>
      <w:r>
        <w:rPr>
          <w:spacing w:val="-2"/>
          <w:sz w:val="20"/>
        </w:rPr>
        <w:t>A85.1,</w:t>
      </w:r>
    </w:p>
    <w:p>
      <w:pPr>
        <w:spacing w:before="1"/>
        <w:ind w:left="4679" w:right="0" w:firstLine="0"/>
        <w:jc w:val="left"/>
        <w:rPr>
          <w:sz w:val="20"/>
        </w:rPr>
      </w:pPr>
      <w:r>
        <w:rPr>
          <w:sz w:val="20"/>
        </w:rPr>
        <w:t>A85.2,</w:t>
      </w:r>
      <w:r>
        <w:rPr>
          <w:spacing w:val="-6"/>
          <w:sz w:val="20"/>
        </w:rPr>
        <w:t> </w:t>
      </w:r>
      <w:r>
        <w:rPr>
          <w:sz w:val="20"/>
        </w:rPr>
        <w:t>A85.8,</w:t>
      </w:r>
      <w:r>
        <w:rPr>
          <w:spacing w:val="-5"/>
          <w:sz w:val="20"/>
        </w:rPr>
        <w:t> </w:t>
      </w:r>
      <w:r>
        <w:rPr>
          <w:sz w:val="20"/>
        </w:rPr>
        <w:t>A86,</w:t>
      </w:r>
      <w:r>
        <w:rPr>
          <w:spacing w:val="-5"/>
          <w:sz w:val="20"/>
        </w:rPr>
        <w:t> </w:t>
      </w:r>
      <w:r>
        <w:rPr>
          <w:sz w:val="20"/>
        </w:rPr>
        <w:t>A87,</w:t>
      </w:r>
      <w:r>
        <w:rPr>
          <w:spacing w:val="-6"/>
          <w:sz w:val="20"/>
        </w:rPr>
        <w:t> </w:t>
      </w:r>
      <w:r>
        <w:rPr>
          <w:sz w:val="20"/>
        </w:rPr>
        <w:t>A87.0,</w:t>
      </w:r>
      <w:r>
        <w:rPr>
          <w:spacing w:val="-5"/>
          <w:sz w:val="20"/>
        </w:rPr>
        <w:t> </w:t>
      </w:r>
      <w:r>
        <w:rPr>
          <w:sz w:val="20"/>
        </w:rPr>
        <w:t>A87.1,</w:t>
      </w:r>
      <w:r>
        <w:rPr>
          <w:spacing w:val="-5"/>
          <w:sz w:val="20"/>
        </w:rPr>
        <w:t> </w:t>
      </w:r>
      <w:r>
        <w:rPr>
          <w:spacing w:val="-2"/>
          <w:sz w:val="20"/>
        </w:rPr>
        <w:t>A87.2,</w:t>
      </w:r>
    </w:p>
    <w:p>
      <w:pPr>
        <w:spacing w:before="0"/>
        <w:ind w:left="4679" w:right="0" w:firstLine="0"/>
        <w:jc w:val="left"/>
        <w:rPr>
          <w:sz w:val="20"/>
        </w:rPr>
      </w:pPr>
      <w:r>
        <w:rPr>
          <w:sz w:val="20"/>
        </w:rPr>
        <w:t>A87.8,</w:t>
      </w:r>
      <w:r>
        <w:rPr>
          <w:spacing w:val="-6"/>
          <w:sz w:val="20"/>
        </w:rPr>
        <w:t> </w:t>
      </w:r>
      <w:r>
        <w:rPr>
          <w:sz w:val="20"/>
        </w:rPr>
        <w:t>A87.9,</w:t>
      </w:r>
      <w:r>
        <w:rPr>
          <w:spacing w:val="-6"/>
          <w:sz w:val="20"/>
        </w:rPr>
        <w:t> </w:t>
      </w:r>
      <w:r>
        <w:rPr>
          <w:sz w:val="20"/>
        </w:rPr>
        <w:t>A88,</w:t>
      </w:r>
      <w:r>
        <w:rPr>
          <w:spacing w:val="-6"/>
          <w:sz w:val="20"/>
        </w:rPr>
        <w:t> </w:t>
      </w:r>
      <w:r>
        <w:rPr>
          <w:sz w:val="20"/>
        </w:rPr>
        <w:t>A88.0,</w:t>
      </w:r>
      <w:r>
        <w:rPr>
          <w:spacing w:val="-6"/>
          <w:sz w:val="20"/>
        </w:rPr>
        <w:t> </w:t>
      </w:r>
      <w:r>
        <w:rPr>
          <w:sz w:val="20"/>
        </w:rPr>
        <w:t>A88.1,</w:t>
      </w:r>
      <w:r>
        <w:rPr>
          <w:spacing w:val="-6"/>
          <w:sz w:val="20"/>
        </w:rPr>
        <w:t> </w:t>
      </w:r>
      <w:r>
        <w:rPr>
          <w:sz w:val="20"/>
        </w:rPr>
        <w:t>A88.8,</w:t>
      </w:r>
      <w:r>
        <w:rPr>
          <w:spacing w:val="-6"/>
          <w:sz w:val="20"/>
        </w:rPr>
        <w:t> </w:t>
      </w:r>
      <w:r>
        <w:rPr>
          <w:spacing w:val="-4"/>
          <w:sz w:val="20"/>
        </w:rPr>
        <w:t>A89,</w:t>
      </w:r>
    </w:p>
    <w:p>
      <w:pPr>
        <w:spacing w:before="0"/>
        <w:ind w:left="4605" w:right="0" w:firstLine="0"/>
        <w:jc w:val="left"/>
        <w:rPr>
          <w:sz w:val="20"/>
        </w:rPr>
      </w:pPr>
      <w:r>
        <w:rPr>
          <w:sz w:val="20"/>
        </w:rPr>
        <w:t>A92,</w:t>
      </w:r>
      <w:r>
        <w:rPr>
          <w:spacing w:val="-6"/>
          <w:sz w:val="20"/>
        </w:rPr>
        <w:t> </w:t>
      </w:r>
      <w:r>
        <w:rPr>
          <w:sz w:val="20"/>
        </w:rPr>
        <w:t>A92.0,</w:t>
      </w:r>
      <w:r>
        <w:rPr>
          <w:spacing w:val="-6"/>
          <w:sz w:val="20"/>
        </w:rPr>
        <w:t> </w:t>
      </w:r>
      <w:r>
        <w:rPr>
          <w:sz w:val="20"/>
        </w:rPr>
        <w:t>A92.1,</w:t>
      </w:r>
      <w:r>
        <w:rPr>
          <w:spacing w:val="-6"/>
          <w:sz w:val="20"/>
        </w:rPr>
        <w:t> </w:t>
      </w:r>
      <w:r>
        <w:rPr>
          <w:sz w:val="20"/>
        </w:rPr>
        <w:t>A92.2,</w:t>
      </w:r>
      <w:r>
        <w:rPr>
          <w:spacing w:val="-6"/>
          <w:sz w:val="20"/>
        </w:rPr>
        <w:t> </w:t>
      </w:r>
      <w:r>
        <w:rPr>
          <w:sz w:val="20"/>
        </w:rPr>
        <w:t>A92.3,</w:t>
      </w:r>
      <w:r>
        <w:rPr>
          <w:spacing w:val="-6"/>
          <w:sz w:val="20"/>
        </w:rPr>
        <w:t> </w:t>
      </w:r>
      <w:r>
        <w:rPr>
          <w:sz w:val="20"/>
        </w:rPr>
        <w:t>A92.4,</w:t>
      </w:r>
      <w:r>
        <w:rPr>
          <w:spacing w:val="-6"/>
          <w:sz w:val="20"/>
        </w:rPr>
        <w:t> </w:t>
      </w:r>
      <w:r>
        <w:rPr>
          <w:spacing w:val="-2"/>
          <w:sz w:val="20"/>
        </w:rPr>
        <w:t>A92.5,</w:t>
      </w:r>
    </w:p>
    <w:p>
      <w:pPr>
        <w:spacing w:line="229" w:lineRule="exact" w:before="1"/>
        <w:ind w:left="1160" w:right="4154" w:firstLine="0"/>
        <w:jc w:val="center"/>
        <w:rPr>
          <w:sz w:val="20"/>
        </w:rPr>
      </w:pPr>
      <w:r>
        <w:rPr>
          <w:sz w:val="20"/>
        </w:rPr>
        <w:t>A92.8,</w:t>
      </w:r>
      <w:r>
        <w:rPr>
          <w:spacing w:val="-6"/>
          <w:sz w:val="20"/>
        </w:rPr>
        <w:t> </w:t>
      </w:r>
      <w:r>
        <w:rPr>
          <w:sz w:val="20"/>
        </w:rPr>
        <w:t>A92.9,</w:t>
      </w:r>
      <w:r>
        <w:rPr>
          <w:spacing w:val="-6"/>
          <w:sz w:val="20"/>
        </w:rPr>
        <w:t> </w:t>
      </w:r>
      <w:r>
        <w:rPr>
          <w:sz w:val="20"/>
        </w:rPr>
        <w:t>A93,</w:t>
      </w:r>
      <w:r>
        <w:rPr>
          <w:spacing w:val="-6"/>
          <w:sz w:val="20"/>
        </w:rPr>
        <w:t> </w:t>
      </w:r>
      <w:r>
        <w:rPr>
          <w:sz w:val="20"/>
        </w:rPr>
        <w:t>A93.0,</w:t>
      </w:r>
      <w:r>
        <w:rPr>
          <w:spacing w:val="-6"/>
          <w:sz w:val="20"/>
        </w:rPr>
        <w:t> </w:t>
      </w:r>
      <w:r>
        <w:rPr>
          <w:sz w:val="20"/>
        </w:rPr>
        <w:t>A93.1,</w:t>
      </w:r>
      <w:r>
        <w:rPr>
          <w:spacing w:val="-6"/>
          <w:sz w:val="20"/>
        </w:rPr>
        <w:t> </w:t>
      </w:r>
      <w:r>
        <w:rPr>
          <w:sz w:val="20"/>
        </w:rPr>
        <w:t>A93.2,</w:t>
      </w:r>
      <w:r>
        <w:rPr>
          <w:spacing w:val="-6"/>
          <w:sz w:val="20"/>
        </w:rPr>
        <w:t> </w:t>
      </w:r>
      <w:r>
        <w:rPr>
          <w:spacing w:val="-2"/>
          <w:sz w:val="20"/>
        </w:rPr>
        <w:t>A93.8,</w:t>
      </w:r>
    </w:p>
    <w:p>
      <w:pPr>
        <w:spacing w:line="229" w:lineRule="exact" w:before="0"/>
        <w:ind w:left="1162" w:right="4154" w:firstLine="0"/>
        <w:jc w:val="center"/>
        <w:rPr>
          <w:sz w:val="20"/>
        </w:rPr>
      </w:pPr>
      <w:r>
        <w:rPr>
          <w:sz w:val="20"/>
        </w:rPr>
        <w:t>A94,</w:t>
      </w:r>
      <w:r>
        <w:rPr>
          <w:spacing w:val="-6"/>
          <w:sz w:val="20"/>
        </w:rPr>
        <w:t> </w:t>
      </w:r>
      <w:r>
        <w:rPr>
          <w:sz w:val="20"/>
        </w:rPr>
        <w:t>A95,</w:t>
      </w:r>
      <w:r>
        <w:rPr>
          <w:spacing w:val="-3"/>
          <w:sz w:val="20"/>
        </w:rPr>
        <w:t> </w:t>
      </w:r>
      <w:r>
        <w:rPr>
          <w:sz w:val="20"/>
        </w:rPr>
        <w:t>A95.0,</w:t>
      </w:r>
      <w:r>
        <w:rPr>
          <w:spacing w:val="-5"/>
          <w:sz w:val="20"/>
        </w:rPr>
        <w:t> </w:t>
      </w:r>
      <w:r>
        <w:rPr>
          <w:sz w:val="20"/>
        </w:rPr>
        <w:t>A95.1,</w:t>
      </w:r>
      <w:r>
        <w:rPr>
          <w:spacing w:val="-5"/>
          <w:sz w:val="20"/>
        </w:rPr>
        <w:t> </w:t>
      </w:r>
      <w:r>
        <w:rPr>
          <w:sz w:val="20"/>
        </w:rPr>
        <w:t>A95.9,</w:t>
      </w:r>
      <w:r>
        <w:rPr>
          <w:spacing w:val="-5"/>
          <w:sz w:val="20"/>
        </w:rPr>
        <w:t> </w:t>
      </w:r>
      <w:r>
        <w:rPr>
          <w:sz w:val="20"/>
        </w:rPr>
        <w:t>A96,</w:t>
      </w:r>
      <w:r>
        <w:rPr>
          <w:spacing w:val="-6"/>
          <w:sz w:val="20"/>
        </w:rPr>
        <w:t> </w:t>
      </w:r>
      <w:r>
        <w:rPr>
          <w:spacing w:val="-2"/>
          <w:sz w:val="20"/>
        </w:rPr>
        <w:t>A96.0,</w:t>
      </w:r>
    </w:p>
    <w:p>
      <w:pPr>
        <w:spacing w:before="1"/>
        <w:ind w:left="4605" w:right="0" w:firstLine="0"/>
        <w:jc w:val="left"/>
        <w:rPr>
          <w:sz w:val="20"/>
        </w:rPr>
      </w:pPr>
      <w:r>
        <w:rPr>
          <w:sz w:val="20"/>
        </w:rPr>
        <w:t>A96.1,</w:t>
      </w:r>
      <w:r>
        <w:rPr>
          <w:spacing w:val="-6"/>
          <w:sz w:val="20"/>
        </w:rPr>
        <w:t> </w:t>
      </w:r>
      <w:r>
        <w:rPr>
          <w:sz w:val="20"/>
        </w:rPr>
        <w:t>A96.2,</w:t>
      </w:r>
      <w:r>
        <w:rPr>
          <w:spacing w:val="-5"/>
          <w:sz w:val="20"/>
        </w:rPr>
        <w:t> </w:t>
      </w:r>
      <w:r>
        <w:rPr>
          <w:sz w:val="20"/>
        </w:rPr>
        <w:t>A96.8,</w:t>
      </w:r>
      <w:r>
        <w:rPr>
          <w:spacing w:val="-6"/>
          <w:sz w:val="20"/>
        </w:rPr>
        <w:t> </w:t>
      </w:r>
      <w:r>
        <w:rPr>
          <w:sz w:val="20"/>
        </w:rPr>
        <w:t>A96.9,</w:t>
      </w:r>
      <w:r>
        <w:rPr>
          <w:spacing w:val="-7"/>
          <w:sz w:val="20"/>
        </w:rPr>
        <w:t> </w:t>
      </w:r>
      <w:r>
        <w:rPr>
          <w:sz w:val="20"/>
        </w:rPr>
        <w:t>A97,</w:t>
      </w:r>
      <w:r>
        <w:rPr>
          <w:spacing w:val="-5"/>
          <w:sz w:val="20"/>
        </w:rPr>
        <w:t> </w:t>
      </w:r>
      <w:r>
        <w:rPr>
          <w:sz w:val="20"/>
        </w:rPr>
        <w:t>A97.0,</w:t>
      </w:r>
      <w:r>
        <w:rPr>
          <w:spacing w:val="-6"/>
          <w:sz w:val="20"/>
        </w:rPr>
        <w:t> </w:t>
      </w:r>
      <w:r>
        <w:rPr>
          <w:spacing w:val="-2"/>
          <w:sz w:val="20"/>
        </w:rPr>
        <w:t>A97.1,</w:t>
      </w:r>
    </w:p>
    <w:p>
      <w:pPr>
        <w:spacing w:before="0"/>
        <w:ind w:left="4605" w:right="0" w:firstLine="0"/>
        <w:jc w:val="left"/>
        <w:rPr>
          <w:sz w:val="20"/>
        </w:rPr>
      </w:pPr>
      <w:r>
        <w:rPr>
          <w:sz w:val="20"/>
        </w:rPr>
        <w:t>A97.2,</w:t>
      </w:r>
      <w:r>
        <w:rPr>
          <w:spacing w:val="-6"/>
          <w:sz w:val="20"/>
        </w:rPr>
        <w:t> </w:t>
      </w:r>
      <w:r>
        <w:rPr>
          <w:sz w:val="20"/>
        </w:rPr>
        <w:t>A97.9,</w:t>
      </w:r>
      <w:r>
        <w:rPr>
          <w:spacing w:val="-6"/>
          <w:sz w:val="20"/>
        </w:rPr>
        <w:t> </w:t>
      </w:r>
      <w:r>
        <w:rPr>
          <w:sz w:val="20"/>
        </w:rPr>
        <w:t>A98,</w:t>
      </w:r>
      <w:r>
        <w:rPr>
          <w:spacing w:val="-6"/>
          <w:sz w:val="20"/>
        </w:rPr>
        <w:t> </w:t>
      </w:r>
      <w:r>
        <w:rPr>
          <w:sz w:val="20"/>
        </w:rPr>
        <w:t>A98.0,</w:t>
      </w:r>
      <w:r>
        <w:rPr>
          <w:spacing w:val="-6"/>
          <w:sz w:val="20"/>
        </w:rPr>
        <w:t> </w:t>
      </w:r>
      <w:r>
        <w:rPr>
          <w:sz w:val="20"/>
        </w:rPr>
        <w:t>A98.1,</w:t>
      </w:r>
      <w:r>
        <w:rPr>
          <w:spacing w:val="-6"/>
          <w:sz w:val="20"/>
        </w:rPr>
        <w:t> </w:t>
      </w:r>
      <w:r>
        <w:rPr>
          <w:sz w:val="20"/>
        </w:rPr>
        <w:t>A98.2,</w:t>
      </w:r>
      <w:r>
        <w:rPr>
          <w:spacing w:val="-6"/>
          <w:sz w:val="20"/>
        </w:rPr>
        <w:t> </w:t>
      </w:r>
      <w:r>
        <w:rPr>
          <w:spacing w:val="-2"/>
          <w:sz w:val="20"/>
        </w:rPr>
        <w:t>A98.3,</w:t>
      </w:r>
    </w:p>
    <w:p>
      <w:pPr>
        <w:spacing w:before="1"/>
        <w:ind w:left="4696" w:right="0" w:firstLine="0"/>
        <w:jc w:val="left"/>
        <w:rPr>
          <w:sz w:val="20"/>
        </w:rPr>
      </w:pPr>
      <w:r>
        <w:rPr>
          <w:sz w:val="20"/>
        </w:rPr>
        <w:t>A98.4,</w:t>
      </w:r>
      <w:r>
        <w:rPr>
          <w:spacing w:val="-5"/>
          <w:sz w:val="20"/>
        </w:rPr>
        <w:t> </w:t>
      </w:r>
      <w:r>
        <w:rPr>
          <w:sz w:val="20"/>
        </w:rPr>
        <w:t>A98.5,</w:t>
      </w:r>
      <w:r>
        <w:rPr>
          <w:spacing w:val="-5"/>
          <w:sz w:val="20"/>
        </w:rPr>
        <w:t> </w:t>
      </w:r>
      <w:r>
        <w:rPr>
          <w:sz w:val="20"/>
        </w:rPr>
        <w:t>A98.8,</w:t>
      </w:r>
      <w:r>
        <w:rPr>
          <w:spacing w:val="-5"/>
          <w:sz w:val="20"/>
        </w:rPr>
        <w:t> </w:t>
      </w:r>
      <w:r>
        <w:rPr>
          <w:sz w:val="20"/>
        </w:rPr>
        <w:t>A99,</w:t>
      </w:r>
      <w:r>
        <w:rPr>
          <w:spacing w:val="-5"/>
          <w:sz w:val="20"/>
        </w:rPr>
        <w:t> </w:t>
      </w:r>
      <w:r>
        <w:rPr>
          <w:sz w:val="20"/>
        </w:rPr>
        <w:t>B00,</w:t>
      </w:r>
      <w:r>
        <w:rPr>
          <w:spacing w:val="-5"/>
          <w:sz w:val="20"/>
        </w:rPr>
        <w:t> </w:t>
      </w:r>
      <w:r>
        <w:rPr>
          <w:sz w:val="20"/>
        </w:rPr>
        <w:t>B00.0,</w:t>
      </w:r>
      <w:r>
        <w:rPr>
          <w:spacing w:val="-5"/>
          <w:sz w:val="20"/>
        </w:rPr>
        <w:t> </w:t>
      </w:r>
      <w:r>
        <w:rPr>
          <w:spacing w:val="-2"/>
          <w:sz w:val="20"/>
        </w:rPr>
        <w:t>B00.1,</w:t>
      </w:r>
    </w:p>
    <w:p>
      <w:pPr>
        <w:spacing w:before="0"/>
        <w:ind w:left="4569" w:right="0" w:firstLine="0"/>
        <w:jc w:val="left"/>
        <w:rPr>
          <w:sz w:val="20"/>
        </w:rPr>
      </w:pPr>
      <w:r>
        <w:rPr>
          <w:sz w:val="20"/>
        </w:rPr>
        <w:t>B00.2,</w:t>
      </w:r>
      <w:r>
        <w:rPr>
          <w:spacing w:val="-8"/>
          <w:sz w:val="20"/>
        </w:rPr>
        <w:t> </w:t>
      </w:r>
      <w:r>
        <w:rPr>
          <w:sz w:val="20"/>
        </w:rPr>
        <w:t>B00.3,</w:t>
      </w:r>
      <w:r>
        <w:rPr>
          <w:spacing w:val="-5"/>
          <w:sz w:val="20"/>
        </w:rPr>
        <w:t> </w:t>
      </w:r>
      <w:r>
        <w:rPr>
          <w:sz w:val="20"/>
        </w:rPr>
        <w:t>B00.4,</w:t>
      </w:r>
      <w:r>
        <w:rPr>
          <w:spacing w:val="-5"/>
          <w:sz w:val="20"/>
        </w:rPr>
        <w:t> </w:t>
      </w:r>
      <w:r>
        <w:rPr>
          <w:sz w:val="20"/>
        </w:rPr>
        <w:t>B00.5,</w:t>
      </w:r>
      <w:r>
        <w:rPr>
          <w:spacing w:val="-8"/>
          <w:sz w:val="20"/>
        </w:rPr>
        <w:t> </w:t>
      </w:r>
      <w:r>
        <w:rPr>
          <w:sz w:val="20"/>
        </w:rPr>
        <w:t>B00.7,</w:t>
      </w:r>
      <w:r>
        <w:rPr>
          <w:spacing w:val="-5"/>
          <w:sz w:val="20"/>
        </w:rPr>
        <w:t> </w:t>
      </w:r>
      <w:r>
        <w:rPr>
          <w:sz w:val="20"/>
        </w:rPr>
        <w:t>B00.8,</w:t>
      </w:r>
      <w:r>
        <w:rPr>
          <w:spacing w:val="-5"/>
          <w:sz w:val="20"/>
        </w:rPr>
        <w:t> </w:t>
      </w:r>
      <w:r>
        <w:rPr>
          <w:spacing w:val="-2"/>
          <w:sz w:val="20"/>
        </w:rPr>
        <w:t>B00.9,</w:t>
      </w:r>
    </w:p>
    <w:p>
      <w:pPr>
        <w:spacing w:line="229" w:lineRule="exact" w:before="1"/>
        <w:ind w:left="1162" w:right="4154" w:firstLine="0"/>
        <w:jc w:val="center"/>
        <w:rPr>
          <w:sz w:val="20"/>
        </w:rPr>
      </w:pPr>
      <w:r>
        <w:rPr>
          <w:sz w:val="20"/>
        </w:rPr>
        <w:t>B01,</w:t>
      </w:r>
      <w:r>
        <w:rPr>
          <w:spacing w:val="-6"/>
          <w:sz w:val="20"/>
        </w:rPr>
        <w:t> </w:t>
      </w:r>
      <w:r>
        <w:rPr>
          <w:sz w:val="20"/>
        </w:rPr>
        <w:t>B01.0,</w:t>
      </w:r>
      <w:r>
        <w:rPr>
          <w:spacing w:val="-5"/>
          <w:sz w:val="20"/>
        </w:rPr>
        <w:t> </w:t>
      </w:r>
      <w:r>
        <w:rPr>
          <w:sz w:val="20"/>
        </w:rPr>
        <w:t>B01.1,</w:t>
      </w:r>
      <w:r>
        <w:rPr>
          <w:spacing w:val="-6"/>
          <w:sz w:val="20"/>
        </w:rPr>
        <w:t> </w:t>
      </w:r>
      <w:r>
        <w:rPr>
          <w:sz w:val="20"/>
        </w:rPr>
        <w:t>B01.2,</w:t>
      </w:r>
      <w:r>
        <w:rPr>
          <w:spacing w:val="-5"/>
          <w:sz w:val="20"/>
        </w:rPr>
        <w:t> </w:t>
      </w:r>
      <w:r>
        <w:rPr>
          <w:sz w:val="20"/>
        </w:rPr>
        <w:t>B01.8,</w:t>
      </w:r>
      <w:r>
        <w:rPr>
          <w:spacing w:val="-5"/>
          <w:sz w:val="20"/>
        </w:rPr>
        <w:t> </w:t>
      </w:r>
      <w:r>
        <w:rPr>
          <w:sz w:val="20"/>
        </w:rPr>
        <w:t>B01.9,</w:t>
      </w:r>
      <w:r>
        <w:rPr>
          <w:spacing w:val="-4"/>
          <w:sz w:val="20"/>
        </w:rPr>
        <w:t> B02,</w:t>
      </w:r>
    </w:p>
    <w:p>
      <w:pPr>
        <w:spacing w:line="229" w:lineRule="exact" w:before="0"/>
        <w:ind w:left="1161" w:right="4154" w:firstLine="0"/>
        <w:jc w:val="center"/>
        <w:rPr>
          <w:sz w:val="20"/>
        </w:rPr>
      </w:pPr>
      <w:r>
        <w:rPr>
          <w:sz w:val="20"/>
        </w:rPr>
        <w:t>B02.0,</w:t>
      </w:r>
      <w:r>
        <w:rPr>
          <w:spacing w:val="-8"/>
          <w:sz w:val="20"/>
        </w:rPr>
        <w:t> </w:t>
      </w:r>
      <w:r>
        <w:rPr>
          <w:sz w:val="20"/>
        </w:rPr>
        <w:t>B02.1,</w:t>
      </w:r>
      <w:r>
        <w:rPr>
          <w:spacing w:val="-5"/>
          <w:sz w:val="20"/>
        </w:rPr>
        <w:t> </w:t>
      </w:r>
      <w:r>
        <w:rPr>
          <w:sz w:val="20"/>
        </w:rPr>
        <w:t>B02.2,</w:t>
      </w:r>
      <w:r>
        <w:rPr>
          <w:spacing w:val="-5"/>
          <w:sz w:val="20"/>
        </w:rPr>
        <w:t> </w:t>
      </w:r>
      <w:r>
        <w:rPr>
          <w:sz w:val="20"/>
        </w:rPr>
        <w:t>B02.3,</w:t>
      </w:r>
      <w:r>
        <w:rPr>
          <w:spacing w:val="-8"/>
          <w:sz w:val="20"/>
        </w:rPr>
        <w:t> </w:t>
      </w:r>
      <w:r>
        <w:rPr>
          <w:sz w:val="20"/>
        </w:rPr>
        <w:t>B02.7,</w:t>
      </w:r>
      <w:r>
        <w:rPr>
          <w:spacing w:val="-5"/>
          <w:sz w:val="20"/>
        </w:rPr>
        <w:t> </w:t>
      </w:r>
      <w:r>
        <w:rPr>
          <w:sz w:val="20"/>
        </w:rPr>
        <w:t>B02.8,</w:t>
      </w:r>
      <w:r>
        <w:rPr>
          <w:spacing w:val="-5"/>
          <w:sz w:val="20"/>
        </w:rPr>
        <w:t> </w:t>
      </w:r>
      <w:r>
        <w:rPr>
          <w:spacing w:val="-2"/>
          <w:sz w:val="20"/>
        </w:rPr>
        <w:t>B02.9,</w:t>
      </w:r>
    </w:p>
    <w:p>
      <w:pPr>
        <w:spacing w:before="0"/>
        <w:ind w:left="1160" w:right="4154" w:firstLine="0"/>
        <w:jc w:val="center"/>
        <w:rPr>
          <w:sz w:val="20"/>
        </w:rPr>
      </w:pPr>
      <w:r>
        <w:rPr>
          <w:sz w:val="20"/>
        </w:rPr>
        <w:t>B03,</w:t>
      </w:r>
      <w:r>
        <w:rPr>
          <w:spacing w:val="-5"/>
          <w:sz w:val="20"/>
        </w:rPr>
        <w:t> </w:t>
      </w:r>
      <w:r>
        <w:rPr>
          <w:sz w:val="20"/>
        </w:rPr>
        <w:t>B04,</w:t>
      </w:r>
      <w:r>
        <w:rPr>
          <w:spacing w:val="-3"/>
          <w:sz w:val="20"/>
        </w:rPr>
        <w:t> </w:t>
      </w:r>
      <w:r>
        <w:rPr>
          <w:sz w:val="20"/>
        </w:rPr>
        <w:t>B05,</w:t>
      </w:r>
      <w:r>
        <w:rPr>
          <w:spacing w:val="-5"/>
          <w:sz w:val="20"/>
        </w:rPr>
        <w:t> </w:t>
      </w:r>
      <w:r>
        <w:rPr>
          <w:sz w:val="20"/>
        </w:rPr>
        <w:t>B05.0,</w:t>
      </w:r>
      <w:r>
        <w:rPr>
          <w:spacing w:val="-5"/>
          <w:sz w:val="20"/>
        </w:rPr>
        <w:t> </w:t>
      </w:r>
      <w:r>
        <w:rPr>
          <w:sz w:val="20"/>
        </w:rPr>
        <w:t>B05.1,</w:t>
      </w:r>
      <w:r>
        <w:rPr>
          <w:spacing w:val="-5"/>
          <w:sz w:val="20"/>
        </w:rPr>
        <w:t> </w:t>
      </w:r>
      <w:r>
        <w:rPr>
          <w:sz w:val="20"/>
        </w:rPr>
        <w:t>B05.2,</w:t>
      </w:r>
      <w:r>
        <w:rPr>
          <w:spacing w:val="-3"/>
          <w:sz w:val="20"/>
        </w:rPr>
        <w:t> </w:t>
      </w:r>
      <w:r>
        <w:rPr>
          <w:spacing w:val="-2"/>
          <w:sz w:val="20"/>
        </w:rPr>
        <w:t>B05.3,</w:t>
      </w:r>
    </w:p>
    <w:p>
      <w:pPr>
        <w:spacing w:before="0"/>
        <w:ind w:left="1161" w:right="4154" w:firstLine="0"/>
        <w:jc w:val="center"/>
        <w:rPr>
          <w:sz w:val="20"/>
        </w:rPr>
      </w:pPr>
      <w:r>
        <w:rPr>
          <w:sz w:val="20"/>
        </w:rPr>
        <w:t>B05.4,</w:t>
      </w:r>
      <w:r>
        <w:rPr>
          <w:spacing w:val="-5"/>
          <w:sz w:val="20"/>
        </w:rPr>
        <w:t> </w:t>
      </w:r>
      <w:r>
        <w:rPr>
          <w:sz w:val="20"/>
        </w:rPr>
        <w:t>B05.8,</w:t>
      </w:r>
      <w:r>
        <w:rPr>
          <w:spacing w:val="-5"/>
          <w:sz w:val="20"/>
        </w:rPr>
        <w:t> </w:t>
      </w:r>
      <w:r>
        <w:rPr>
          <w:sz w:val="20"/>
        </w:rPr>
        <w:t>B05.9,</w:t>
      </w:r>
      <w:r>
        <w:rPr>
          <w:spacing w:val="-4"/>
          <w:sz w:val="20"/>
        </w:rPr>
        <w:t> </w:t>
      </w:r>
      <w:r>
        <w:rPr>
          <w:sz w:val="20"/>
        </w:rPr>
        <w:t>B06,</w:t>
      </w:r>
      <w:r>
        <w:rPr>
          <w:spacing w:val="-7"/>
          <w:sz w:val="20"/>
        </w:rPr>
        <w:t> </w:t>
      </w:r>
      <w:r>
        <w:rPr>
          <w:sz w:val="20"/>
        </w:rPr>
        <w:t>B06.0,</w:t>
      </w:r>
      <w:r>
        <w:rPr>
          <w:spacing w:val="-6"/>
          <w:sz w:val="20"/>
        </w:rPr>
        <w:t> </w:t>
      </w:r>
      <w:r>
        <w:rPr>
          <w:sz w:val="20"/>
        </w:rPr>
        <w:t>B06.8,</w:t>
      </w:r>
      <w:r>
        <w:rPr>
          <w:spacing w:val="-5"/>
          <w:sz w:val="20"/>
        </w:rPr>
        <w:t> </w:t>
      </w:r>
      <w:r>
        <w:rPr>
          <w:spacing w:val="-2"/>
          <w:sz w:val="20"/>
        </w:rPr>
        <w:t>B06.9,</w:t>
      </w:r>
    </w:p>
    <w:p>
      <w:pPr>
        <w:spacing w:before="1"/>
        <w:ind w:left="1161" w:right="4154" w:firstLine="0"/>
        <w:jc w:val="center"/>
        <w:rPr>
          <w:sz w:val="20"/>
        </w:rPr>
      </w:pP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5"/>
          <w:sz w:val="20"/>
        </w:rPr>
        <w:t> </w:t>
      </w:r>
      <w:r>
        <w:rPr>
          <w:sz w:val="20"/>
        </w:rPr>
        <w:t>B08.5,</w:t>
      </w:r>
      <w:r>
        <w:rPr>
          <w:spacing w:val="-4"/>
          <w:sz w:val="20"/>
        </w:rPr>
        <w:t> </w:t>
      </w:r>
      <w:r>
        <w:rPr>
          <w:spacing w:val="-2"/>
          <w:sz w:val="20"/>
        </w:rPr>
        <w:t>B08.8,</w:t>
      </w:r>
    </w:p>
    <w:p>
      <w:pPr>
        <w:spacing w:before="1"/>
        <w:ind w:left="1162" w:right="4154" w:firstLine="0"/>
        <w:jc w:val="center"/>
        <w:rPr>
          <w:sz w:val="20"/>
        </w:rPr>
      </w:pPr>
      <w:r>
        <w:rPr>
          <w:sz w:val="20"/>
        </w:rPr>
        <w:t>B09,</w:t>
      </w:r>
      <w:r>
        <w:rPr>
          <w:spacing w:val="-9"/>
          <w:sz w:val="20"/>
        </w:rPr>
        <w:t> </w:t>
      </w:r>
      <w:r>
        <w:rPr>
          <w:sz w:val="20"/>
        </w:rPr>
        <w:t>B25,</w:t>
      </w:r>
      <w:r>
        <w:rPr>
          <w:spacing w:val="-4"/>
          <w:sz w:val="20"/>
        </w:rPr>
        <w:t> </w:t>
      </w:r>
      <w:r>
        <w:rPr>
          <w:sz w:val="20"/>
        </w:rPr>
        <w:t>B25.0,</w:t>
      </w:r>
      <w:r>
        <w:rPr>
          <w:spacing w:val="-5"/>
          <w:sz w:val="20"/>
        </w:rPr>
        <w:t> </w:t>
      </w:r>
      <w:r>
        <w:rPr>
          <w:sz w:val="20"/>
        </w:rPr>
        <w:t>B25.1,</w:t>
      </w:r>
      <w:r>
        <w:rPr>
          <w:spacing w:val="-6"/>
          <w:sz w:val="20"/>
        </w:rPr>
        <w:t> </w:t>
      </w:r>
      <w:r>
        <w:rPr>
          <w:sz w:val="20"/>
        </w:rPr>
        <w:t>B25.2,</w:t>
      </w:r>
      <w:r>
        <w:rPr>
          <w:spacing w:val="-4"/>
          <w:sz w:val="20"/>
        </w:rPr>
        <w:t> </w:t>
      </w:r>
      <w:r>
        <w:rPr>
          <w:sz w:val="20"/>
        </w:rPr>
        <w:t>B25.8,</w:t>
      </w:r>
      <w:r>
        <w:rPr>
          <w:spacing w:val="-6"/>
          <w:sz w:val="20"/>
        </w:rPr>
        <w:t> </w:t>
      </w:r>
      <w:r>
        <w:rPr>
          <w:spacing w:val="-2"/>
          <w:sz w:val="20"/>
        </w:rPr>
        <w:t>B25.9,</w:t>
      </w:r>
    </w:p>
    <w:p>
      <w:pPr>
        <w:spacing w:line="229" w:lineRule="exact" w:before="0"/>
        <w:ind w:left="1165" w:right="4154" w:firstLine="0"/>
        <w:jc w:val="center"/>
        <w:rPr>
          <w:sz w:val="20"/>
        </w:rPr>
      </w:pPr>
      <w:r>
        <w:rPr>
          <w:sz w:val="20"/>
        </w:rPr>
        <w:t>B26,</w:t>
      </w:r>
      <w:r>
        <w:rPr>
          <w:spacing w:val="-5"/>
          <w:sz w:val="20"/>
        </w:rPr>
        <w:t> </w:t>
      </w:r>
      <w:r>
        <w:rPr>
          <w:sz w:val="20"/>
        </w:rPr>
        <w:t>B26.0,</w:t>
      </w:r>
      <w:r>
        <w:rPr>
          <w:spacing w:val="-5"/>
          <w:sz w:val="20"/>
        </w:rPr>
        <w:t> </w:t>
      </w:r>
      <w:r>
        <w:rPr>
          <w:sz w:val="20"/>
        </w:rPr>
        <w:t>B26.1,</w:t>
      </w:r>
      <w:r>
        <w:rPr>
          <w:spacing w:val="-5"/>
          <w:sz w:val="20"/>
        </w:rPr>
        <w:t> </w:t>
      </w:r>
      <w:r>
        <w:rPr>
          <w:sz w:val="20"/>
        </w:rPr>
        <w:t>B26.2,</w:t>
      </w:r>
      <w:r>
        <w:rPr>
          <w:spacing w:val="-4"/>
          <w:sz w:val="20"/>
        </w:rPr>
        <w:t> </w:t>
      </w:r>
      <w:r>
        <w:rPr>
          <w:sz w:val="20"/>
        </w:rPr>
        <w:t>B26.3,</w:t>
      </w:r>
      <w:r>
        <w:rPr>
          <w:spacing w:val="-5"/>
          <w:sz w:val="20"/>
        </w:rPr>
        <w:t> </w:t>
      </w:r>
      <w:r>
        <w:rPr>
          <w:sz w:val="20"/>
        </w:rPr>
        <w:t>B26.8,</w:t>
      </w:r>
      <w:r>
        <w:rPr>
          <w:spacing w:val="-3"/>
          <w:sz w:val="20"/>
        </w:rPr>
        <w:t> </w:t>
      </w:r>
      <w:r>
        <w:rPr>
          <w:spacing w:val="-2"/>
          <w:sz w:val="20"/>
        </w:rPr>
        <w:t>B26.9,</w:t>
      </w:r>
    </w:p>
    <w:p>
      <w:pPr>
        <w:spacing w:line="229" w:lineRule="exact" w:before="0"/>
        <w:ind w:left="1162" w:right="4154" w:firstLine="0"/>
        <w:jc w:val="center"/>
        <w:rPr>
          <w:sz w:val="20"/>
        </w:rPr>
      </w:pPr>
      <w:r>
        <w:rPr>
          <w:sz w:val="20"/>
        </w:rPr>
        <w:t>B27,</w:t>
      </w:r>
      <w:r>
        <w:rPr>
          <w:spacing w:val="-7"/>
          <w:sz w:val="20"/>
        </w:rPr>
        <w:t> </w:t>
      </w:r>
      <w:r>
        <w:rPr>
          <w:sz w:val="20"/>
        </w:rPr>
        <w:t>B27.0,</w:t>
      </w:r>
      <w:r>
        <w:rPr>
          <w:spacing w:val="-5"/>
          <w:sz w:val="20"/>
        </w:rPr>
        <w:t> </w:t>
      </w:r>
      <w:r>
        <w:rPr>
          <w:sz w:val="20"/>
        </w:rPr>
        <w:t>B27.1,</w:t>
      </w:r>
      <w:r>
        <w:rPr>
          <w:spacing w:val="-5"/>
          <w:sz w:val="20"/>
        </w:rPr>
        <w:t> </w:t>
      </w:r>
      <w:r>
        <w:rPr>
          <w:sz w:val="20"/>
        </w:rPr>
        <w:t>B27.8,</w:t>
      </w:r>
      <w:r>
        <w:rPr>
          <w:spacing w:val="-5"/>
          <w:sz w:val="20"/>
        </w:rPr>
        <w:t> </w:t>
      </w:r>
      <w:r>
        <w:rPr>
          <w:sz w:val="20"/>
        </w:rPr>
        <w:t>B27.9,</w:t>
      </w:r>
      <w:r>
        <w:rPr>
          <w:spacing w:val="-5"/>
          <w:sz w:val="20"/>
        </w:rPr>
        <w:t> </w:t>
      </w:r>
      <w:r>
        <w:rPr>
          <w:sz w:val="20"/>
        </w:rPr>
        <w:t>B33,</w:t>
      </w:r>
      <w:r>
        <w:rPr>
          <w:spacing w:val="-5"/>
          <w:sz w:val="20"/>
        </w:rPr>
        <w:t> </w:t>
      </w:r>
      <w:r>
        <w:rPr>
          <w:spacing w:val="-2"/>
          <w:sz w:val="20"/>
        </w:rPr>
        <w:t>B33.0,</w:t>
      </w:r>
    </w:p>
    <w:p>
      <w:pPr>
        <w:spacing w:before="0"/>
        <w:ind w:left="4643" w:right="0" w:firstLine="0"/>
        <w:jc w:val="left"/>
        <w:rPr>
          <w:sz w:val="20"/>
        </w:rPr>
      </w:pPr>
      <w:r>
        <w:rPr>
          <w:sz w:val="20"/>
        </w:rPr>
        <w:t>B33.1,</w:t>
      </w:r>
      <w:r>
        <w:rPr>
          <w:spacing w:val="-5"/>
          <w:sz w:val="20"/>
        </w:rPr>
        <w:t> </w:t>
      </w:r>
      <w:r>
        <w:rPr>
          <w:sz w:val="20"/>
        </w:rPr>
        <w:t>B33.2,</w:t>
      </w:r>
      <w:r>
        <w:rPr>
          <w:spacing w:val="-5"/>
          <w:sz w:val="20"/>
        </w:rPr>
        <w:t> </w:t>
      </w:r>
      <w:r>
        <w:rPr>
          <w:sz w:val="20"/>
        </w:rPr>
        <w:t>B33.3,</w:t>
      </w:r>
      <w:r>
        <w:rPr>
          <w:spacing w:val="-4"/>
          <w:sz w:val="20"/>
        </w:rPr>
        <w:t> </w:t>
      </w:r>
      <w:r>
        <w:rPr>
          <w:sz w:val="20"/>
        </w:rPr>
        <w:t>B33.4,</w:t>
      </w:r>
      <w:r>
        <w:rPr>
          <w:spacing w:val="-8"/>
          <w:sz w:val="20"/>
        </w:rPr>
        <w:t> </w:t>
      </w:r>
      <w:r>
        <w:rPr>
          <w:sz w:val="20"/>
        </w:rPr>
        <w:t>B33.8,</w:t>
      </w:r>
      <w:r>
        <w:rPr>
          <w:spacing w:val="-5"/>
          <w:sz w:val="20"/>
        </w:rPr>
        <w:t> </w:t>
      </w:r>
      <w:r>
        <w:rPr>
          <w:sz w:val="20"/>
        </w:rPr>
        <w:t>B34,</w:t>
      </w:r>
      <w:r>
        <w:rPr>
          <w:spacing w:val="-6"/>
          <w:sz w:val="20"/>
        </w:rPr>
        <w:t> </w:t>
      </w:r>
      <w:r>
        <w:rPr>
          <w:spacing w:val="-2"/>
          <w:sz w:val="20"/>
        </w:rPr>
        <w:t>B34.0,</w:t>
      </w:r>
    </w:p>
    <w:p>
      <w:pPr>
        <w:spacing w:before="1"/>
        <w:ind w:left="4643" w:right="0" w:firstLine="0"/>
        <w:jc w:val="left"/>
        <w:rPr>
          <w:sz w:val="20"/>
        </w:rPr>
      </w:pPr>
      <w:r>
        <w:rPr>
          <w:sz w:val="20"/>
        </w:rPr>
        <w:t>B34.1,</w:t>
      </w:r>
      <w:r>
        <w:rPr>
          <w:spacing w:val="-8"/>
          <w:sz w:val="20"/>
        </w:rPr>
        <w:t> </w:t>
      </w:r>
      <w:r>
        <w:rPr>
          <w:sz w:val="20"/>
        </w:rPr>
        <w:t>B34.2,</w:t>
      </w:r>
      <w:r>
        <w:rPr>
          <w:spacing w:val="-5"/>
          <w:sz w:val="20"/>
        </w:rPr>
        <w:t> </w:t>
      </w:r>
      <w:r>
        <w:rPr>
          <w:sz w:val="20"/>
        </w:rPr>
        <w:t>B34.3,</w:t>
      </w:r>
      <w:r>
        <w:rPr>
          <w:spacing w:val="-5"/>
          <w:sz w:val="20"/>
        </w:rPr>
        <w:t> </w:t>
      </w:r>
      <w:r>
        <w:rPr>
          <w:sz w:val="20"/>
        </w:rPr>
        <w:t>B34.4,</w:t>
      </w:r>
      <w:r>
        <w:rPr>
          <w:spacing w:val="-8"/>
          <w:sz w:val="20"/>
        </w:rPr>
        <w:t> </w:t>
      </w:r>
      <w:r>
        <w:rPr>
          <w:sz w:val="20"/>
        </w:rPr>
        <w:t>B34.8,</w:t>
      </w:r>
      <w:r>
        <w:rPr>
          <w:spacing w:val="-5"/>
          <w:sz w:val="20"/>
        </w:rPr>
        <w:t> </w:t>
      </w:r>
      <w:r>
        <w:rPr>
          <w:sz w:val="20"/>
        </w:rPr>
        <w:t>B34.9,</w:t>
      </w:r>
      <w:r>
        <w:rPr>
          <w:spacing w:val="-5"/>
          <w:sz w:val="20"/>
        </w:rPr>
        <w:t> </w:t>
      </w:r>
      <w:r>
        <w:rPr>
          <w:spacing w:val="-4"/>
          <w:sz w:val="20"/>
        </w:rPr>
        <w:t>B37,</w:t>
      </w:r>
    </w:p>
    <w:p>
      <w:pPr>
        <w:spacing w:before="0"/>
        <w:ind w:left="4569" w:right="0" w:firstLine="0"/>
        <w:jc w:val="left"/>
        <w:rPr>
          <w:sz w:val="20"/>
        </w:rPr>
      </w:pPr>
      <w:r>
        <w:rPr>
          <w:sz w:val="20"/>
        </w:rPr>
        <w:t>B37.0,</w:t>
      </w:r>
      <w:r>
        <w:rPr>
          <w:spacing w:val="-8"/>
          <w:sz w:val="20"/>
        </w:rPr>
        <w:t> </w:t>
      </w:r>
      <w:r>
        <w:rPr>
          <w:sz w:val="20"/>
        </w:rPr>
        <w:t>B37.1,</w:t>
      </w:r>
      <w:r>
        <w:rPr>
          <w:spacing w:val="-5"/>
          <w:sz w:val="20"/>
        </w:rPr>
        <w:t> </w:t>
      </w:r>
      <w:r>
        <w:rPr>
          <w:sz w:val="20"/>
        </w:rPr>
        <w:t>B37.2,</w:t>
      </w:r>
      <w:r>
        <w:rPr>
          <w:spacing w:val="-5"/>
          <w:sz w:val="20"/>
        </w:rPr>
        <w:t> </w:t>
      </w:r>
      <w:r>
        <w:rPr>
          <w:sz w:val="20"/>
        </w:rPr>
        <w:t>B37.3,</w:t>
      </w:r>
      <w:r>
        <w:rPr>
          <w:spacing w:val="-8"/>
          <w:sz w:val="20"/>
        </w:rPr>
        <w:t> </w:t>
      </w:r>
      <w:r>
        <w:rPr>
          <w:sz w:val="20"/>
        </w:rPr>
        <w:t>B37.4,</w:t>
      </w:r>
      <w:r>
        <w:rPr>
          <w:spacing w:val="-5"/>
          <w:sz w:val="20"/>
        </w:rPr>
        <w:t> </w:t>
      </w:r>
      <w:r>
        <w:rPr>
          <w:sz w:val="20"/>
        </w:rPr>
        <w:t>B37.5,</w:t>
      </w:r>
      <w:r>
        <w:rPr>
          <w:spacing w:val="-5"/>
          <w:sz w:val="20"/>
        </w:rPr>
        <w:t> </w:t>
      </w:r>
      <w:r>
        <w:rPr>
          <w:spacing w:val="-2"/>
          <w:sz w:val="20"/>
        </w:rPr>
        <w:t>B37.6,</w:t>
      </w:r>
    </w:p>
    <w:p>
      <w:pPr>
        <w:spacing w:line="229" w:lineRule="exact" w:before="1"/>
        <w:ind w:left="4643" w:right="0" w:firstLine="0"/>
        <w:jc w:val="left"/>
        <w:rPr>
          <w:sz w:val="20"/>
        </w:rPr>
      </w:pPr>
      <w:r>
        <w:rPr>
          <w:sz w:val="20"/>
        </w:rPr>
        <w:t>B37.7,</w:t>
      </w:r>
      <w:r>
        <w:rPr>
          <w:spacing w:val="-5"/>
          <w:sz w:val="20"/>
        </w:rPr>
        <w:t> </w:t>
      </w:r>
      <w:r>
        <w:rPr>
          <w:sz w:val="20"/>
        </w:rPr>
        <w:t>B37.8,</w:t>
      </w:r>
      <w:r>
        <w:rPr>
          <w:spacing w:val="-5"/>
          <w:sz w:val="20"/>
        </w:rPr>
        <w:t> </w:t>
      </w:r>
      <w:r>
        <w:rPr>
          <w:sz w:val="20"/>
        </w:rPr>
        <w:t>B37.9,</w:t>
      </w:r>
      <w:r>
        <w:rPr>
          <w:spacing w:val="-4"/>
          <w:sz w:val="20"/>
        </w:rPr>
        <w:t> </w:t>
      </w:r>
      <w:r>
        <w:rPr>
          <w:sz w:val="20"/>
        </w:rPr>
        <w:t>B38,</w:t>
      </w:r>
      <w:r>
        <w:rPr>
          <w:spacing w:val="-7"/>
          <w:sz w:val="20"/>
        </w:rPr>
        <w:t> </w:t>
      </w:r>
      <w:r>
        <w:rPr>
          <w:sz w:val="20"/>
        </w:rPr>
        <w:t>B38.0,</w:t>
      </w:r>
      <w:r>
        <w:rPr>
          <w:spacing w:val="-6"/>
          <w:sz w:val="20"/>
        </w:rPr>
        <w:t> </w:t>
      </w:r>
      <w:r>
        <w:rPr>
          <w:sz w:val="20"/>
        </w:rPr>
        <w:t>B38.1,</w:t>
      </w:r>
      <w:r>
        <w:rPr>
          <w:spacing w:val="-5"/>
          <w:sz w:val="20"/>
        </w:rPr>
        <w:t> </w:t>
      </w:r>
      <w:r>
        <w:rPr>
          <w:spacing w:val="-2"/>
          <w:sz w:val="20"/>
        </w:rPr>
        <w:t>B38.2,</w:t>
      </w:r>
    </w:p>
    <w:p>
      <w:pPr>
        <w:spacing w:line="229" w:lineRule="exact" w:before="0"/>
        <w:ind w:left="4643" w:right="0" w:firstLine="0"/>
        <w:jc w:val="left"/>
        <w:rPr>
          <w:sz w:val="20"/>
        </w:rPr>
      </w:pPr>
      <w:r>
        <w:rPr>
          <w:sz w:val="20"/>
        </w:rPr>
        <w:t>B38.3,</w:t>
      </w:r>
      <w:r>
        <w:rPr>
          <w:spacing w:val="-5"/>
          <w:sz w:val="20"/>
        </w:rPr>
        <w:t> </w:t>
      </w:r>
      <w:r>
        <w:rPr>
          <w:sz w:val="20"/>
        </w:rPr>
        <w:t>B38.4,</w:t>
      </w:r>
      <w:r>
        <w:rPr>
          <w:spacing w:val="-5"/>
          <w:sz w:val="20"/>
        </w:rPr>
        <w:t> </w:t>
      </w:r>
      <w:r>
        <w:rPr>
          <w:sz w:val="20"/>
        </w:rPr>
        <w:t>B38.7,</w:t>
      </w:r>
      <w:r>
        <w:rPr>
          <w:spacing w:val="-4"/>
          <w:sz w:val="20"/>
        </w:rPr>
        <w:t> </w:t>
      </w:r>
      <w:r>
        <w:rPr>
          <w:sz w:val="20"/>
        </w:rPr>
        <w:t>B38.8,</w:t>
      </w:r>
      <w:r>
        <w:rPr>
          <w:spacing w:val="-8"/>
          <w:sz w:val="20"/>
        </w:rPr>
        <w:t> </w:t>
      </w:r>
      <w:r>
        <w:rPr>
          <w:sz w:val="20"/>
        </w:rPr>
        <w:t>B38.9,</w:t>
      </w:r>
      <w:r>
        <w:rPr>
          <w:spacing w:val="-5"/>
          <w:sz w:val="20"/>
        </w:rPr>
        <w:t> </w:t>
      </w:r>
      <w:r>
        <w:rPr>
          <w:sz w:val="20"/>
        </w:rPr>
        <w:t>B39,</w:t>
      </w:r>
      <w:r>
        <w:rPr>
          <w:spacing w:val="-6"/>
          <w:sz w:val="20"/>
        </w:rPr>
        <w:t> </w:t>
      </w:r>
      <w:r>
        <w:rPr>
          <w:spacing w:val="-2"/>
          <w:sz w:val="20"/>
        </w:rPr>
        <w:t>B39.0,</w:t>
      </w:r>
    </w:p>
    <w:p>
      <w:pPr>
        <w:spacing w:before="0"/>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1"/>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before="0"/>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before="1"/>
        <w:ind w:left="4643" w:right="0" w:firstLine="0"/>
        <w:jc w:val="left"/>
        <w:rPr>
          <w:sz w:val="20"/>
        </w:rPr>
      </w:pPr>
      <w:r>
        <w:rPr>
          <w:sz w:val="20"/>
        </w:rPr>
        <w:t>B42.1,</w:t>
      </w:r>
      <w:r>
        <w:rPr>
          <w:spacing w:val="-5"/>
          <w:sz w:val="20"/>
        </w:rPr>
        <w:t> </w:t>
      </w:r>
      <w:r>
        <w:rPr>
          <w:sz w:val="20"/>
        </w:rPr>
        <w:t>B42.7,</w:t>
      </w:r>
      <w:r>
        <w:rPr>
          <w:spacing w:val="-4"/>
          <w:sz w:val="20"/>
        </w:rPr>
        <w:t> </w:t>
      </w:r>
      <w:r>
        <w:rPr>
          <w:sz w:val="20"/>
        </w:rPr>
        <w:t>B42.8,</w:t>
      </w:r>
      <w:r>
        <w:rPr>
          <w:spacing w:val="-5"/>
          <w:sz w:val="20"/>
        </w:rPr>
        <w:t> </w:t>
      </w:r>
      <w:r>
        <w:rPr>
          <w:sz w:val="20"/>
        </w:rPr>
        <w:t>B42.9,</w:t>
      </w:r>
      <w:r>
        <w:rPr>
          <w:spacing w:val="-8"/>
          <w:sz w:val="20"/>
        </w:rPr>
        <w:t> </w:t>
      </w:r>
      <w:r>
        <w:rPr>
          <w:sz w:val="20"/>
        </w:rPr>
        <w:t>B43,</w:t>
      </w:r>
      <w:r>
        <w:rPr>
          <w:spacing w:val="-6"/>
          <w:sz w:val="20"/>
        </w:rPr>
        <w:t> </w:t>
      </w:r>
      <w:r>
        <w:rPr>
          <w:sz w:val="20"/>
        </w:rPr>
        <w:t>B43.0,</w:t>
      </w:r>
      <w:r>
        <w:rPr>
          <w:spacing w:val="-6"/>
          <w:sz w:val="20"/>
        </w:rPr>
        <w:t> </w:t>
      </w:r>
      <w:r>
        <w:rPr>
          <w:spacing w:val="-2"/>
          <w:sz w:val="20"/>
        </w:rPr>
        <w:t>B43.1,</w:t>
      </w:r>
    </w:p>
    <w:p>
      <w:pPr>
        <w:spacing w:line="229" w:lineRule="exact" w:before="0"/>
        <w:ind w:left="4643" w:right="0" w:firstLine="0"/>
        <w:jc w:val="left"/>
        <w:rPr>
          <w:sz w:val="20"/>
        </w:rPr>
      </w:pPr>
      <w:r>
        <w:rPr>
          <w:sz w:val="20"/>
        </w:rPr>
        <w:t>B43.2,</w:t>
      </w:r>
      <w:r>
        <w:rPr>
          <w:spacing w:val="-5"/>
          <w:sz w:val="20"/>
        </w:rPr>
        <w:t> </w:t>
      </w:r>
      <w:r>
        <w:rPr>
          <w:sz w:val="20"/>
        </w:rPr>
        <w:t>B43.8,</w:t>
      </w:r>
      <w:r>
        <w:rPr>
          <w:spacing w:val="-4"/>
          <w:sz w:val="20"/>
        </w:rPr>
        <w:t> </w:t>
      </w:r>
      <w:r>
        <w:rPr>
          <w:sz w:val="20"/>
        </w:rPr>
        <w:t>B43.9,</w:t>
      </w:r>
      <w:r>
        <w:rPr>
          <w:spacing w:val="-4"/>
          <w:sz w:val="20"/>
        </w:rPr>
        <w:t> </w:t>
      </w:r>
      <w:r>
        <w:rPr>
          <w:sz w:val="20"/>
        </w:rPr>
        <w:t>B44,</w:t>
      </w:r>
      <w:r>
        <w:rPr>
          <w:spacing w:val="-6"/>
          <w:sz w:val="20"/>
        </w:rPr>
        <w:t> </w:t>
      </w:r>
      <w:r>
        <w:rPr>
          <w:sz w:val="20"/>
        </w:rPr>
        <w:t>B44.0,</w:t>
      </w:r>
      <w:r>
        <w:rPr>
          <w:spacing w:val="-6"/>
          <w:sz w:val="20"/>
        </w:rPr>
        <w:t> </w:t>
      </w:r>
      <w:r>
        <w:rPr>
          <w:sz w:val="20"/>
        </w:rPr>
        <w:t>B44.1,</w:t>
      </w:r>
      <w:r>
        <w:rPr>
          <w:spacing w:val="-4"/>
          <w:sz w:val="20"/>
        </w:rPr>
        <w:t> </w:t>
      </w:r>
      <w:r>
        <w:rPr>
          <w:spacing w:val="-2"/>
          <w:sz w:val="20"/>
        </w:rPr>
        <w:t>B44.2,</w:t>
      </w:r>
    </w:p>
    <w:p>
      <w:pPr>
        <w:spacing w:line="229" w:lineRule="exact" w:before="0"/>
        <w:ind w:left="4643" w:right="0" w:firstLine="0"/>
        <w:jc w:val="left"/>
        <w:rPr>
          <w:sz w:val="20"/>
        </w:rPr>
      </w:pPr>
      <w:r>
        <w:rPr>
          <w:sz w:val="20"/>
        </w:rPr>
        <w:t>B44.7,</w:t>
      </w:r>
      <w:r>
        <w:rPr>
          <w:spacing w:val="-5"/>
          <w:sz w:val="20"/>
        </w:rPr>
        <w:t> </w:t>
      </w:r>
      <w:r>
        <w:rPr>
          <w:sz w:val="20"/>
        </w:rPr>
        <w:t>B44.8,</w:t>
      </w:r>
      <w:r>
        <w:rPr>
          <w:spacing w:val="-5"/>
          <w:sz w:val="20"/>
        </w:rPr>
        <w:t> </w:t>
      </w:r>
      <w:r>
        <w:rPr>
          <w:sz w:val="20"/>
        </w:rPr>
        <w:t>B44.9,</w:t>
      </w:r>
      <w:r>
        <w:rPr>
          <w:spacing w:val="-4"/>
          <w:sz w:val="20"/>
        </w:rPr>
        <w:t> </w:t>
      </w:r>
      <w:r>
        <w:rPr>
          <w:sz w:val="20"/>
        </w:rPr>
        <w:t>B45,</w:t>
      </w:r>
      <w:r>
        <w:rPr>
          <w:spacing w:val="-7"/>
          <w:sz w:val="20"/>
        </w:rPr>
        <w:t> </w:t>
      </w:r>
      <w:r>
        <w:rPr>
          <w:sz w:val="20"/>
        </w:rPr>
        <w:t>B45.0,</w:t>
      </w:r>
      <w:r>
        <w:rPr>
          <w:spacing w:val="-6"/>
          <w:sz w:val="20"/>
        </w:rPr>
        <w:t> </w:t>
      </w:r>
      <w:r>
        <w:rPr>
          <w:sz w:val="20"/>
        </w:rPr>
        <w:t>B45.1,</w:t>
      </w:r>
      <w:r>
        <w:rPr>
          <w:spacing w:val="-5"/>
          <w:sz w:val="20"/>
        </w:rPr>
        <w:t> </w:t>
      </w:r>
      <w:r>
        <w:rPr>
          <w:spacing w:val="-2"/>
          <w:sz w:val="20"/>
        </w:rPr>
        <w:t>B45.2,</w:t>
      </w:r>
    </w:p>
    <w:p>
      <w:pPr>
        <w:spacing w:before="1"/>
        <w:ind w:left="4643" w:right="0" w:firstLine="0"/>
        <w:jc w:val="left"/>
        <w:rPr>
          <w:sz w:val="20"/>
        </w:rPr>
      </w:pPr>
      <w:r>
        <w:rPr>
          <w:sz w:val="20"/>
        </w:rPr>
        <w:t>B45.3,</w:t>
      </w:r>
      <w:r>
        <w:rPr>
          <w:spacing w:val="-5"/>
          <w:sz w:val="20"/>
        </w:rPr>
        <w:t> </w:t>
      </w:r>
      <w:r>
        <w:rPr>
          <w:sz w:val="20"/>
        </w:rPr>
        <w:t>B45.7,</w:t>
      </w:r>
      <w:r>
        <w:rPr>
          <w:spacing w:val="-4"/>
          <w:sz w:val="20"/>
        </w:rPr>
        <w:t> </w:t>
      </w:r>
      <w:r>
        <w:rPr>
          <w:sz w:val="20"/>
        </w:rPr>
        <w:t>B45.8,</w:t>
      </w:r>
      <w:r>
        <w:rPr>
          <w:spacing w:val="-5"/>
          <w:sz w:val="20"/>
        </w:rPr>
        <w:t> </w:t>
      </w:r>
      <w:r>
        <w:rPr>
          <w:sz w:val="20"/>
        </w:rPr>
        <w:t>B45.9,</w:t>
      </w:r>
      <w:r>
        <w:rPr>
          <w:spacing w:val="-8"/>
          <w:sz w:val="20"/>
        </w:rPr>
        <w:t> </w:t>
      </w:r>
      <w:r>
        <w:rPr>
          <w:sz w:val="20"/>
        </w:rPr>
        <w:t>B46,</w:t>
      </w:r>
      <w:r>
        <w:rPr>
          <w:spacing w:val="-6"/>
          <w:sz w:val="20"/>
        </w:rPr>
        <w:t> </w:t>
      </w:r>
      <w:r>
        <w:rPr>
          <w:sz w:val="20"/>
        </w:rPr>
        <w:t>B46.0,</w:t>
      </w:r>
      <w:r>
        <w:rPr>
          <w:spacing w:val="-6"/>
          <w:sz w:val="20"/>
        </w:rPr>
        <w:t> </w:t>
      </w:r>
      <w:r>
        <w:rPr>
          <w:spacing w:val="-2"/>
          <w:sz w:val="20"/>
        </w:rPr>
        <w:t>B46.1,</w:t>
      </w:r>
    </w:p>
    <w:p>
      <w:pPr>
        <w:spacing w:before="0"/>
        <w:ind w:left="4643" w:right="0" w:firstLine="0"/>
        <w:jc w:val="left"/>
        <w:rPr>
          <w:sz w:val="20"/>
        </w:rPr>
      </w:pPr>
      <w:r>
        <w:rPr>
          <w:sz w:val="20"/>
        </w:rPr>
        <w:t>B46.2,</w:t>
      </w:r>
      <w:r>
        <w:rPr>
          <w:spacing w:val="-8"/>
          <w:sz w:val="20"/>
        </w:rPr>
        <w:t> </w:t>
      </w:r>
      <w:r>
        <w:rPr>
          <w:sz w:val="20"/>
        </w:rPr>
        <w:t>B46.3,</w:t>
      </w:r>
      <w:r>
        <w:rPr>
          <w:spacing w:val="-5"/>
          <w:sz w:val="20"/>
        </w:rPr>
        <w:t> </w:t>
      </w:r>
      <w:r>
        <w:rPr>
          <w:sz w:val="20"/>
        </w:rPr>
        <w:t>B46.4,</w:t>
      </w:r>
      <w:r>
        <w:rPr>
          <w:spacing w:val="-5"/>
          <w:sz w:val="20"/>
        </w:rPr>
        <w:t> </w:t>
      </w:r>
      <w:r>
        <w:rPr>
          <w:sz w:val="20"/>
        </w:rPr>
        <w:t>B46.5,</w:t>
      </w:r>
      <w:r>
        <w:rPr>
          <w:spacing w:val="-8"/>
          <w:sz w:val="20"/>
        </w:rPr>
        <w:t> </w:t>
      </w:r>
      <w:r>
        <w:rPr>
          <w:sz w:val="20"/>
        </w:rPr>
        <w:t>B46.8,</w:t>
      </w:r>
      <w:r>
        <w:rPr>
          <w:spacing w:val="-5"/>
          <w:sz w:val="20"/>
        </w:rPr>
        <w:t> </w:t>
      </w:r>
      <w:r>
        <w:rPr>
          <w:sz w:val="20"/>
        </w:rPr>
        <w:t>B46.9,</w:t>
      </w:r>
      <w:r>
        <w:rPr>
          <w:spacing w:val="-5"/>
          <w:sz w:val="20"/>
        </w:rPr>
        <w:t> </w:t>
      </w:r>
      <w:r>
        <w:rPr>
          <w:spacing w:val="-4"/>
          <w:sz w:val="20"/>
        </w:rPr>
        <w:t>B47,</w:t>
      </w:r>
    </w:p>
    <w:p>
      <w:pPr>
        <w:spacing w:before="1"/>
        <w:ind w:left="4643" w:right="0" w:firstLine="0"/>
        <w:jc w:val="left"/>
        <w:rPr>
          <w:sz w:val="20"/>
        </w:rPr>
      </w:pPr>
      <w:r>
        <w:rPr>
          <w:sz w:val="20"/>
        </w:rPr>
        <w:t>B47.0,</w:t>
      </w:r>
      <w:r>
        <w:rPr>
          <w:spacing w:val="-5"/>
          <w:sz w:val="20"/>
        </w:rPr>
        <w:t> </w:t>
      </w:r>
      <w:r>
        <w:rPr>
          <w:sz w:val="20"/>
        </w:rPr>
        <w:t>B47.1,</w:t>
      </w:r>
      <w:r>
        <w:rPr>
          <w:spacing w:val="-5"/>
          <w:sz w:val="20"/>
        </w:rPr>
        <w:t> </w:t>
      </w:r>
      <w:r>
        <w:rPr>
          <w:sz w:val="20"/>
        </w:rPr>
        <w:t>B47.9,</w:t>
      </w:r>
      <w:r>
        <w:rPr>
          <w:spacing w:val="-4"/>
          <w:sz w:val="20"/>
        </w:rPr>
        <w:t> </w:t>
      </w:r>
      <w:r>
        <w:rPr>
          <w:sz w:val="20"/>
        </w:rPr>
        <w:t>B48,</w:t>
      </w:r>
      <w:r>
        <w:rPr>
          <w:spacing w:val="-7"/>
          <w:sz w:val="20"/>
        </w:rPr>
        <w:t> </w:t>
      </w:r>
      <w:r>
        <w:rPr>
          <w:sz w:val="20"/>
        </w:rPr>
        <w:t>B48.0,</w:t>
      </w:r>
      <w:r>
        <w:rPr>
          <w:spacing w:val="-6"/>
          <w:sz w:val="20"/>
        </w:rPr>
        <w:t> </w:t>
      </w:r>
      <w:r>
        <w:rPr>
          <w:sz w:val="20"/>
        </w:rPr>
        <w:t>B48.1,</w:t>
      </w:r>
      <w:r>
        <w:rPr>
          <w:spacing w:val="-5"/>
          <w:sz w:val="20"/>
        </w:rPr>
        <w:t> </w:t>
      </w:r>
      <w:r>
        <w:rPr>
          <w:spacing w:val="-2"/>
          <w:sz w:val="20"/>
        </w:rPr>
        <w:t>B48.2,</w:t>
      </w:r>
    </w:p>
    <w:p>
      <w:pPr>
        <w:spacing w:before="0"/>
        <w:ind w:left="4717" w:right="0" w:firstLine="0"/>
        <w:jc w:val="left"/>
        <w:rPr>
          <w:sz w:val="20"/>
        </w:rPr>
      </w:pPr>
      <w:r>
        <w:rPr>
          <w:sz w:val="20"/>
        </w:rPr>
        <w:t>B48.3,</w:t>
      </w:r>
      <w:r>
        <w:rPr>
          <w:spacing w:val="-5"/>
          <w:sz w:val="20"/>
        </w:rPr>
        <w:t> </w:t>
      </w:r>
      <w:r>
        <w:rPr>
          <w:sz w:val="20"/>
        </w:rPr>
        <w:t>B48.4,</w:t>
      </w:r>
      <w:r>
        <w:rPr>
          <w:spacing w:val="-5"/>
          <w:sz w:val="20"/>
        </w:rPr>
        <w:t> </w:t>
      </w:r>
      <w:r>
        <w:rPr>
          <w:sz w:val="20"/>
        </w:rPr>
        <w:t>B48.5,</w:t>
      </w:r>
      <w:r>
        <w:rPr>
          <w:spacing w:val="-4"/>
          <w:sz w:val="20"/>
        </w:rPr>
        <w:t> </w:t>
      </w:r>
      <w:r>
        <w:rPr>
          <w:sz w:val="20"/>
        </w:rPr>
        <w:t>B48.7,</w:t>
      </w:r>
      <w:r>
        <w:rPr>
          <w:spacing w:val="-8"/>
          <w:sz w:val="20"/>
        </w:rPr>
        <w:t> </w:t>
      </w:r>
      <w:r>
        <w:rPr>
          <w:sz w:val="20"/>
        </w:rPr>
        <w:t>B48.8,</w:t>
      </w:r>
      <w:r>
        <w:rPr>
          <w:spacing w:val="-5"/>
          <w:sz w:val="20"/>
        </w:rPr>
        <w:t> </w:t>
      </w:r>
      <w:r>
        <w:rPr>
          <w:sz w:val="20"/>
        </w:rPr>
        <w:t>B49,</w:t>
      </w:r>
      <w:r>
        <w:rPr>
          <w:spacing w:val="-6"/>
          <w:sz w:val="20"/>
        </w:rPr>
        <w:t> </w:t>
      </w:r>
      <w:r>
        <w:rPr>
          <w:spacing w:val="-4"/>
          <w:sz w:val="20"/>
        </w:rPr>
        <w:t>B50,</w:t>
      </w:r>
    </w:p>
    <w:p>
      <w:pPr>
        <w:spacing w:before="0"/>
        <w:ind w:left="4643" w:right="0" w:firstLine="0"/>
        <w:jc w:val="left"/>
        <w:rPr>
          <w:sz w:val="20"/>
        </w:rPr>
      </w:pPr>
      <w:r>
        <w:rPr>
          <w:sz w:val="20"/>
        </w:rPr>
        <w:t>B50.0,</w:t>
      </w:r>
      <w:r>
        <w:rPr>
          <w:spacing w:val="-5"/>
          <w:sz w:val="20"/>
        </w:rPr>
        <w:t> </w:t>
      </w:r>
      <w:r>
        <w:rPr>
          <w:sz w:val="20"/>
        </w:rPr>
        <w:t>B50.8,</w:t>
      </w:r>
      <w:r>
        <w:rPr>
          <w:spacing w:val="-5"/>
          <w:sz w:val="20"/>
        </w:rPr>
        <w:t> </w:t>
      </w:r>
      <w:r>
        <w:rPr>
          <w:sz w:val="20"/>
        </w:rPr>
        <w:t>B50.9,</w:t>
      </w:r>
      <w:r>
        <w:rPr>
          <w:spacing w:val="-4"/>
          <w:sz w:val="20"/>
        </w:rPr>
        <w:t> </w:t>
      </w:r>
      <w:r>
        <w:rPr>
          <w:sz w:val="20"/>
        </w:rPr>
        <w:t>B51,</w:t>
      </w:r>
      <w:r>
        <w:rPr>
          <w:spacing w:val="-7"/>
          <w:sz w:val="20"/>
        </w:rPr>
        <w:t> </w:t>
      </w:r>
      <w:r>
        <w:rPr>
          <w:sz w:val="20"/>
        </w:rPr>
        <w:t>B51.0,</w:t>
      </w:r>
      <w:r>
        <w:rPr>
          <w:spacing w:val="-6"/>
          <w:sz w:val="20"/>
        </w:rPr>
        <w:t> </w:t>
      </w:r>
      <w:r>
        <w:rPr>
          <w:sz w:val="20"/>
        </w:rPr>
        <w:t>B51.8,</w:t>
      </w:r>
      <w:r>
        <w:rPr>
          <w:spacing w:val="-5"/>
          <w:sz w:val="20"/>
        </w:rPr>
        <w:t> </w:t>
      </w:r>
      <w:r>
        <w:rPr>
          <w:spacing w:val="-2"/>
          <w:sz w:val="20"/>
        </w:rPr>
        <w:t>B51.9,</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70"/>
        <w:gridCol w:w="5185"/>
        <w:gridCol w:w="2006"/>
        <w:gridCol w:w="3119"/>
        <w:gridCol w:w="862"/>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470" w:type="dxa"/>
            <w:vMerge w:val="restart"/>
          </w:tcPr>
          <w:p>
            <w:pPr>
              <w:pStyle w:val="TableParagraph"/>
              <w:rPr>
                <w:sz w:val="18"/>
              </w:rPr>
            </w:pPr>
          </w:p>
        </w:tc>
        <w:tc>
          <w:tcPr>
            <w:tcW w:w="5185" w:type="dxa"/>
          </w:tcPr>
          <w:p>
            <w:pPr>
              <w:pStyle w:val="TableParagraph"/>
              <w:spacing w:line="205" w:lineRule="exact"/>
              <w:ind w:left="262" w:right="896"/>
              <w:jc w:val="center"/>
              <w:rPr>
                <w:sz w:val="20"/>
              </w:rPr>
            </w:pPr>
            <w:r>
              <w:rPr>
                <w:sz w:val="20"/>
              </w:rPr>
              <w:t>B52,</w:t>
            </w:r>
            <w:r>
              <w:rPr>
                <w:spacing w:val="-8"/>
                <w:sz w:val="20"/>
              </w:rPr>
              <w:t> </w:t>
            </w:r>
            <w:r>
              <w:rPr>
                <w:sz w:val="20"/>
              </w:rPr>
              <w:t>B52.0,</w:t>
            </w:r>
            <w:r>
              <w:rPr>
                <w:spacing w:val="-5"/>
                <w:sz w:val="20"/>
              </w:rPr>
              <w:t> </w:t>
            </w:r>
            <w:r>
              <w:rPr>
                <w:sz w:val="20"/>
              </w:rPr>
              <w:t>B52.8,</w:t>
            </w:r>
            <w:r>
              <w:rPr>
                <w:spacing w:val="-6"/>
                <w:sz w:val="20"/>
              </w:rPr>
              <w:t> </w:t>
            </w:r>
            <w:r>
              <w:rPr>
                <w:sz w:val="20"/>
              </w:rPr>
              <w:t>B52.9,</w:t>
            </w:r>
            <w:r>
              <w:rPr>
                <w:spacing w:val="-5"/>
                <w:sz w:val="20"/>
              </w:rPr>
              <w:t> </w:t>
            </w:r>
            <w:r>
              <w:rPr>
                <w:sz w:val="20"/>
              </w:rPr>
              <w:t>B53,</w:t>
            </w:r>
            <w:r>
              <w:rPr>
                <w:spacing w:val="-4"/>
                <w:sz w:val="20"/>
              </w:rPr>
              <w:t> </w:t>
            </w:r>
            <w:r>
              <w:rPr>
                <w:sz w:val="20"/>
              </w:rPr>
              <w:t>B53.0,</w:t>
            </w:r>
            <w:r>
              <w:rPr>
                <w:spacing w:val="-5"/>
                <w:sz w:val="20"/>
              </w:rPr>
              <w:t> </w:t>
            </w:r>
            <w:r>
              <w:rPr>
                <w:spacing w:val="-2"/>
                <w:sz w:val="20"/>
              </w:rPr>
              <w:t>B53.1,</w:t>
            </w:r>
          </w:p>
        </w:tc>
        <w:tc>
          <w:tcPr>
            <w:tcW w:w="2006" w:type="dxa"/>
            <w:vMerge w:val="restart"/>
          </w:tcPr>
          <w:p>
            <w:pPr>
              <w:pStyle w:val="TableParagraph"/>
              <w:rPr>
                <w:sz w:val="18"/>
              </w:rPr>
            </w:pPr>
          </w:p>
        </w:tc>
        <w:tc>
          <w:tcPr>
            <w:tcW w:w="3119" w:type="dxa"/>
            <w:vMerge w:val="restart"/>
          </w:tcPr>
          <w:p>
            <w:pPr>
              <w:pStyle w:val="TableParagraph"/>
              <w:rPr>
                <w:sz w:val="18"/>
              </w:rPr>
            </w:pPr>
          </w:p>
        </w:tc>
        <w:tc>
          <w:tcPr>
            <w:tcW w:w="862"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B53.8,</w:t>
            </w:r>
            <w:r>
              <w:rPr>
                <w:spacing w:val="-7"/>
                <w:sz w:val="20"/>
              </w:rPr>
              <w:t> </w:t>
            </w:r>
            <w:r>
              <w:rPr>
                <w:sz w:val="20"/>
              </w:rPr>
              <w:t>B54,</w:t>
            </w:r>
            <w:r>
              <w:rPr>
                <w:spacing w:val="-6"/>
                <w:sz w:val="20"/>
              </w:rPr>
              <w:t> </w:t>
            </w:r>
            <w:r>
              <w:rPr>
                <w:sz w:val="20"/>
              </w:rPr>
              <w:t>B55,</w:t>
            </w:r>
            <w:r>
              <w:rPr>
                <w:spacing w:val="-4"/>
                <w:sz w:val="20"/>
              </w:rPr>
              <w:t> </w:t>
            </w:r>
            <w:r>
              <w:rPr>
                <w:sz w:val="20"/>
              </w:rPr>
              <w:t>B55.0,</w:t>
            </w:r>
            <w:r>
              <w:rPr>
                <w:spacing w:val="-6"/>
                <w:sz w:val="20"/>
              </w:rPr>
              <w:t> </w:t>
            </w:r>
            <w:r>
              <w:rPr>
                <w:sz w:val="20"/>
              </w:rPr>
              <w:t>B55.1,</w:t>
            </w:r>
            <w:r>
              <w:rPr>
                <w:spacing w:val="-4"/>
                <w:sz w:val="20"/>
              </w:rPr>
              <w:t> </w:t>
            </w:r>
            <w:r>
              <w:rPr>
                <w:sz w:val="20"/>
              </w:rPr>
              <w:t>B55.2,</w:t>
            </w:r>
            <w:r>
              <w:rPr>
                <w:spacing w:val="-6"/>
                <w:sz w:val="20"/>
              </w:rPr>
              <w:t> </w:t>
            </w:r>
            <w:r>
              <w:rPr>
                <w:spacing w:val="-2"/>
                <w:sz w:val="20"/>
              </w:rPr>
              <w:t>B55.9,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B56,</w:t>
            </w:r>
            <w:r>
              <w:rPr>
                <w:spacing w:val="-8"/>
                <w:sz w:val="20"/>
              </w:rPr>
              <w:t> </w:t>
            </w:r>
            <w:r>
              <w:rPr>
                <w:sz w:val="20"/>
              </w:rPr>
              <w:t>B56.0,</w:t>
            </w:r>
            <w:r>
              <w:rPr>
                <w:spacing w:val="-5"/>
                <w:sz w:val="20"/>
              </w:rPr>
              <w:t> </w:t>
            </w:r>
            <w:r>
              <w:rPr>
                <w:sz w:val="20"/>
              </w:rPr>
              <w:t>B56.1,</w:t>
            </w:r>
            <w:r>
              <w:rPr>
                <w:spacing w:val="-6"/>
                <w:sz w:val="20"/>
              </w:rPr>
              <w:t> </w:t>
            </w:r>
            <w:r>
              <w:rPr>
                <w:sz w:val="20"/>
              </w:rPr>
              <w:t>B56.9,</w:t>
            </w:r>
            <w:r>
              <w:rPr>
                <w:spacing w:val="-5"/>
                <w:sz w:val="20"/>
              </w:rPr>
              <w:t> </w:t>
            </w:r>
            <w:r>
              <w:rPr>
                <w:sz w:val="20"/>
              </w:rPr>
              <w:t>B57,</w:t>
            </w:r>
            <w:r>
              <w:rPr>
                <w:spacing w:val="-4"/>
                <w:sz w:val="20"/>
              </w:rPr>
              <w:t> </w:t>
            </w:r>
            <w:r>
              <w:rPr>
                <w:sz w:val="20"/>
              </w:rPr>
              <w:t>B57.0,</w:t>
            </w:r>
            <w:r>
              <w:rPr>
                <w:spacing w:val="-5"/>
                <w:sz w:val="20"/>
              </w:rPr>
              <w:t> </w:t>
            </w:r>
            <w:r>
              <w:rPr>
                <w:spacing w:val="-2"/>
                <w:sz w:val="20"/>
              </w:rPr>
              <w:t>B57.1,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B57.2,</w:t>
            </w:r>
            <w:r>
              <w:rPr>
                <w:spacing w:val="-5"/>
                <w:sz w:val="20"/>
              </w:rPr>
              <w:t> </w:t>
            </w:r>
            <w:r>
              <w:rPr>
                <w:sz w:val="20"/>
              </w:rPr>
              <w:t>B57.3,</w:t>
            </w:r>
            <w:r>
              <w:rPr>
                <w:spacing w:val="-4"/>
                <w:sz w:val="20"/>
              </w:rPr>
              <w:t> </w:t>
            </w:r>
            <w:r>
              <w:rPr>
                <w:sz w:val="20"/>
              </w:rPr>
              <w:t>B57.4,</w:t>
            </w:r>
            <w:r>
              <w:rPr>
                <w:spacing w:val="-5"/>
                <w:sz w:val="20"/>
              </w:rPr>
              <w:t> </w:t>
            </w:r>
            <w:r>
              <w:rPr>
                <w:sz w:val="20"/>
              </w:rPr>
              <w:t>B57.5,</w:t>
            </w:r>
            <w:r>
              <w:rPr>
                <w:spacing w:val="-8"/>
                <w:sz w:val="20"/>
              </w:rPr>
              <w:t> </w:t>
            </w:r>
            <w:r>
              <w:rPr>
                <w:sz w:val="20"/>
              </w:rPr>
              <w:t>B58,</w:t>
            </w:r>
            <w:r>
              <w:rPr>
                <w:spacing w:val="-6"/>
                <w:sz w:val="20"/>
              </w:rPr>
              <w:t> </w:t>
            </w:r>
            <w:r>
              <w:rPr>
                <w:sz w:val="20"/>
              </w:rPr>
              <w:t>B58.0,</w:t>
            </w:r>
            <w:r>
              <w:rPr>
                <w:spacing w:val="-6"/>
                <w:sz w:val="20"/>
              </w:rPr>
              <w:t> </w:t>
            </w:r>
            <w:r>
              <w:rPr>
                <w:spacing w:val="-2"/>
                <w:sz w:val="20"/>
              </w:rPr>
              <w:t>B58.1,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3"/>
              <w:jc w:val="center"/>
              <w:rPr>
                <w:sz w:val="20"/>
              </w:rPr>
            </w:pPr>
            <w:r>
              <w:rPr>
                <w:sz w:val="20"/>
              </w:rPr>
              <w:t>B58.2,</w:t>
            </w:r>
            <w:r>
              <w:rPr>
                <w:spacing w:val="-4"/>
                <w:sz w:val="20"/>
              </w:rPr>
              <w:t> </w:t>
            </w:r>
            <w:r>
              <w:rPr>
                <w:sz w:val="20"/>
              </w:rPr>
              <w:t>B58.3,</w:t>
            </w:r>
            <w:r>
              <w:rPr>
                <w:spacing w:val="-4"/>
                <w:sz w:val="20"/>
              </w:rPr>
              <w:t> </w:t>
            </w:r>
            <w:r>
              <w:rPr>
                <w:sz w:val="20"/>
              </w:rPr>
              <w:t>B58.8,</w:t>
            </w:r>
            <w:r>
              <w:rPr>
                <w:spacing w:val="-4"/>
                <w:sz w:val="20"/>
              </w:rPr>
              <w:t> </w:t>
            </w:r>
            <w:r>
              <w:rPr>
                <w:sz w:val="20"/>
              </w:rPr>
              <w:t>B58.9,</w:t>
            </w:r>
            <w:r>
              <w:rPr>
                <w:spacing w:val="-8"/>
                <w:sz w:val="20"/>
              </w:rPr>
              <w:t> </w:t>
            </w:r>
            <w:r>
              <w:rPr>
                <w:sz w:val="20"/>
              </w:rPr>
              <w:t>B60,</w:t>
            </w:r>
            <w:r>
              <w:rPr>
                <w:spacing w:val="-5"/>
                <w:sz w:val="20"/>
              </w:rPr>
              <w:t> </w:t>
            </w:r>
            <w:r>
              <w:rPr>
                <w:sz w:val="20"/>
              </w:rPr>
              <w:t>B60.0,</w:t>
            </w:r>
            <w:r>
              <w:rPr>
                <w:spacing w:val="-6"/>
                <w:sz w:val="20"/>
              </w:rPr>
              <w:t> </w:t>
            </w:r>
            <w:r>
              <w:rPr>
                <w:spacing w:val="-2"/>
                <w:sz w:val="20"/>
              </w:rPr>
              <w:t>B60.1,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B60.2,</w:t>
            </w:r>
            <w:r>
              <w:rPr>
                <w:spacing w:val="-7"/>
                <w:sz w:val="20"/>
              </w:rPr>
              <w:t> </w:t>
            </w:r>
            <w:r>
              <w:rPr>
                <w:sz w:val="20"/>
              </w:rPr>
              <w:t>B60.8,</w:t>
            </w:r>
            <w:r>
              <w:rPr>
                <w:spacing w:val="-4"/>
                <w:sz w:val="20"/>
              </w:rPr>
              <w:t> </w:t>
            </w:r>
            <w:r>
              <w:rPr>
                <w:sz w:val="20"/>
              </w:rPr>
              <w:t>B64,</w:t>
            </w:r>
            <w:r>
              <w:rPr>
                <w:spacing w:val="-6"/>
                <w:sz w:val="20"/>
              </w:rPr>
              <w:t> </w:t>
            </w:r>
            <w:r>
              <w:rPr>
                <w:sz w:val="20"/>
              </w:rPr>
              <w:t>B65,</w:t>
            </w:r>
            <w:r>
              <w:rPr>
                <w:spacing w:val="-5"/>
                <w:sz w:val="20"/>
              </w:rPr>
              <w:t> </w:t>
            </w:r>
            <w:r>
              <w:rPr>
                <w:sz w:val="20"/>
              </w:rPr>
              <w:t>B65.0,</w:t>
            </w:r>
            <w:r>
              <w:rPr>
                <w:spacing w:val="-5"/>
                <w:sz w:val="20"/>
              </w:rPr>
              <w:t> </w:t>
            </w:r>
            <w:r>
              <w:rPr>
                <w:sz w:val="20"/>
              </w:rPr>
              <w:t>B65.1,</w:t>
            </w:r>
            <w:r>
              <w:rPr>
                <w:spacing w:val="-5"/>
                <w:sz w:val="20"/>
              </w:rPr>
              <w:t> </w:t>
            </w:r>
            <w:r>
              <w:rPr>
                <w:spacing w:val="-2"/>
                <w:sz w:val="20"/>
              </w:rPr>
              <w:t>B65.2,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1" w:lineRule="exact"/>
              <w:ind w:left="262" w:right="896"/>
              <w:jc w:val="center"/>
              <w:rPr>
                <w:sz w:val="20"/>
              </w:rPr>
            </w:pPr>
            <w:r>
              <w:rPr>
                <w:sz w:val="20"/>
              </w:rPr>
              <w:t>B65.3,</w:t>
            </w:r>
            <w:r>
              <w:rPr>
                <w:spacing w:val="-5"/>
                <w:sz w:val="20"/>
              </w:rPr>
              <w:t> </w:t>
            </w:r>
            <w:r>
              <w:rPr>
                <w:sz w:val="20"/>
              </w:rPr>
              <w:t>B65.8,</w:t>
            </w:r>
            <w:r>
              <w:rPr>
                <w:spacing w:val="-5"/>
                <w:sz w:val="20"/>
              </w:rPr>
              <w:t> </w:t>
            </w:r>
            <w:r>
              <w:rPr>
                <w:sz w:val="20"/>
              </w:rPr>
              <w:t>B65.9,</w:t>
            </w:r>
            <w:r>
              <w:rPr>
                <w:spacing w:val="-4"/>
                <w:sz w:val="20"/>
              </w:rPr>
              <w:t> </w:t>
            </w:r>
            <w:r>
              <w:rPr>
                <w:sz w:val="20"/>
              </w:rPr>
              <w:t>B66,</w:t>
            </w:r>
            <w:r>
              <w:rPr>
                <w:spacing w:val="-7"/>
                <w:sz w:val="20"/>
              </w:rPr>
              <w:t> </w:t>
            </w:r>
            <w:r>
              <w:rPr>
                <w:sz w:val="20"/>
              </w:rPr>
              <w:t>B66.0,</w:t>
            </w:r>
            <w:r>
              <w:rPr>
                <w:spacing w:val="-6"/>
                <w:sz w:val="20"/>
              </w:rPr>
              <w:t> </w:t>
            </w:r>
            <w:r>
              <w:rPr>
                <w:sz w:val="20"/>
              </w:rPr>
              <w:t>B66.1,</w:t>
            </w:r>
            <w:r>
              <w:rPr>
                <w:spacing w:val="-5"/>
                <w:sz w:val="20"/>
              </w:rPr>
              <w:t> </w:t>
            </w:r>
            <w:r>
              <w:rPr>
                <w:spacing w:val="-2"/>
                <w:sz w:val="20"/>
              </w:rPr>
              <w:t>B66.2,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B66.3,</w:t>
            </w:r>
            <w:r>
              <w:rPr>
                <w:spacing w:val="-5"/>
                <w:sz w:val="20"/>
              </w:rPr>
              <w:t> </w:t>
            </w:r>
            <w:r>
              <w:rPr>
                <w:sz w:val="20"/>
              </w:rPr>
              <w:t>B66.4,</w:t>
            </w:r>
            <w:r>
              <w:rPr>
                <w:spacing w:val="-5"/>
                <w:sz w:val="20"/>
              </w:rPr>
              <w:t> </w:t>
            </w:r>
            <w:r>
              <w:rPr>
                <w:sz w:val="20"/>
              </w:rPr>
              <w:t>B66.5,</w:t>
            </w:r>
            <w:r>
              <w:rPr>
                <w:spacing w:val="-4"/>
                <w:sz w:val="20"/>
              </w:rPr>
              <w:t> </w:t>
            </w:r>
            <w:r>
              <w:rPr>
                <w:sz w:val="20"/>
              </w:rPr>
              <w:t>B66.8,</w:t>
            </w:r>
            <w:r>
              <w:rPr>
                <w:spacing w:val="-8"/>
                <w:sz w:val="20"/>
              </w:rPr>
              <w:t> </w:t>
            </w:r>
            <w:r>
              <w:rPr>
                <w:sz w:val="20"/>
              </w:rPr>
              <w:t>B66.9,</w:t>
            </w:r>
            <w:r>
              <w:rPr>
                <w:spacing w:val="-5"/>
                <w:sz w:val="20"/>
              </w:rPr>
              <w:t> </w:t>
            </w:r>
            <w:r>
              <w:rPr>
                <w:sz w:val="20"/>
              </w:rPr>
              <w:t>B67,</w:t>
            </w:r>
            <w:r>
              <w:rPr>
                <w:spacing w:val="-6"/>
                <w:sz w:val="20"/>
              </w:rPr>
              <w:t> </w:t>
            </w:r>
            <w:r>
              <w:rPr>
                <w:spacing w:val="-2"/>
                <w:sz w:val="20"/>
              </w:rPr>
              <w:t>B67.0,</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7"/>
              <w:jc w:val="center"/>
              <w:rPr>
                <w:sz w:val="20"/>
              </w:rPr>
            </w:pPr>
            <w:r>
              <w:rPr>
                <w:sz w:val="20"/>
              </w:rPr>
              <w:t>B67.1,</w:t>
            </w:r>
            <w:r>
              <w:rPr>
                <w:spacing w:val="-8"/>
                <w:sz w:val="20"/>
              </w:rPr>
              <w:t> </w:t>
            </w:r>
            <w:r>
              <w:rPr>
                <w:sz w:val="20"/>
              </w:rPr>
              <w:t>B67.2,</w:t>
            </w:r>
            <w:r>
              <w:rPr>
                <w:spacing w:val="-5"/>
                <w:sz w:val="20"/>
              </w:rPr>
              <w:t> </w:t>
            </w:r>
            <w:r>
              <w:rPr>
                <w:sz w:val="20"/>
              </w:rPr>
              <w:t>B67.3,</w:t>
            </w:r>
            <w:r>
              <w:rPr>
                <w:spacing w:val="-5"/>
                <w:sz w:val="20"/>
              </w:rPr>
              <w:t> </w:t>
            </w:r>
            <w:r>
              <w:rPr>
                <w:sz w:val="20"/>
              </w:rPr>
              <w:t>B67.4,</w:t>
            </w:r>
            <w:r>
              <w:rPr>
                <w:spacing w:val="-8"/>
                <w:sz w:val="20"/>
              </w:rPr>
              <w:t> </w:t>
            </w:r>
            <w:r>
              <w:rPr>
                <w:sz w:val="20"/>
              </w:rPr>
              <w:t>B67.5,</w:t>
            </w:r>
            <w:r>
              <w:rPr>
                <w:spacing w:val="-5"/>
                <w:sz w:val="20"/>
              </w:rPr>
              <w:t> </w:t>
            </w:r>
            <w:r>
              <w:rPr>
                <w:sz w:val="20"/>
              </w:rPr>
              <w:t>B67.6,</w:t>
            </w:r>
            <w:r>
              <w:rPr>
                <w:spacing w:val="-5"/>
                <w:sz w:val="20"/>
              </w:rPr>
              <w:t> </w:t>
            </w:r>
            <w:r>
              <w:rPr>
                <w:spacing w:val="-2"/>
                <w:sz w:val="20"/>
              </w:rPr>
              <w:t>B67.7,</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B67.8,</w:t>
            </w:r>
            <w:r>
              <w:rPr>
                <w:spacing w:val="-4"/>
                <w:sz w:val="20"/>
              </w:rPr>
              <w:t> </w:t>
            </w:r>
            <w:r>
              <w:rPr>
                <w:sz w:val="20"/>
              </w:rPr>
              <w:t>B67.9,</w:t>
            </w:r>
            <w:r>
              <w:rPr>
                <w:spacing w:val="-4"/>
                <w:sz w:val="20"/>
              </w:rPr>
              <w:t> </w:t>
            </w:r>
            <w:r>
              <w:rPr>
                <w:sz w:val="20"/>
              </w:rPr>
              <w:t>B68,</w:t>
            </w:r>
            <w:r>
              <w:rPr>
                <w:spacing w:val="-6"/>
                <w:sz w:val="20"/>
              </w:rPr>
              <w:t> </w:t>
            </w:r>
            <w:r>
              <w:rPr>
                <w:sz w:val="20"/>
              </w:rPr>
              <w:t>B68.0,</w:t>
            </w:r>
            <w:r>
              <w:rPr>
                <w:spacing w:val="-6"/>
                <w:sz w:val="20"/>
              </w:rPr>
              <w:t> </w:t>
            </w:r>
            <w:r>
              <w:rPr>
                <w:sz w:val="20"/>
              </w:rPr>
              <w:t>B68.1,</w:t>
            </w:r>
            <w:r>
              <w:rPr>
                <w:spacing w:val="-6"/>
                <w:sz w:val="20"/>
              </w:rPr>
              <w:t> </w:t>
            </w:r>
            <w:r>
              <w:rPr>
                <w:sz w:val="20"/>
              </w:rPr>
              <w:t>B68.9,</w:t>
            </w:r>
            <w:r>
              <w:rPr>
                <w:spacing w:val="-4"/>
                <w:sz w:val="20"/>
              </w:rPr>
              <w:t> B69,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B69.0,</w:t>
            </w:r>
            <w:r>
              <w:rPr>
                <w:spacing w:val="-5"/>
                <w:sz w:val="20"/>
              </w:rPr>
              <w:t> </w:t>
            </w:r>
            <w:r>
              <w:rPr>
                <w:sz w:val="20"/>
              </w:rPr>
              <w:t>B69.1,</w:t>
            </w:r>
            <w:r>
              <w:rPr>
                <w:spacing w:val="-4"/>
                <w:sz w:val="20"/>
              </w:rPr>
              <w:t> </w:t>
            </w:r>
            <w:r>
              <w:rPr>
                <w:sz w:val="20"/>
              </w:rPr>
              <w:t>B69.8,</w:t>
            </w:r>
            <w:r>
              <w:rPr>
                <w:spacing w:val="-5"/>
                <w:sz w:val="20"/>
              </w:rPr>
              <w:t> </w:t>
            </w:r>
            <w:r>
              <w:rPr>
                <w:sz w:val="20"/>
              </w:rPr>
              <w:t>B69.9,</w:t>
            </w:r>
            <w:r>
              <w:rPr>
                <w:spacing w:val="-8"/>
                <w:sz w:val="20"/>
              </w:rPr>
              <w:t> </w:t>
            </w:r>
            <w:r>
              <w:rPr>
                <w:sz w:val="20"/>
              </w:rPr>
              <w:t>B70,</w:t>
            </w:r>
            <w:r>
              <w:rPr>
                <w:spacing w:val="-6"/>
                <w:sz w:val="20"/>
              </w:rPr>
              <w:t> </w:t>
            </w:r>
            <w:r>
              <w:rPr>
                <w:sz w:val="20"/>
              </w:rPr>
              <w:t>B70.0,</w:t>
            </w:r>
            <w:r>
              <w:rPr>
                <w:spacing w:val="-6"/>
                <w:sz w:val="20"/>
              </w:rPr>
              <w:t> </w:t>
            </w:r>
            <w:r>
              <w:rPr>
                <w:spacing w:val="-2"/>
                <w:sz w:val="20"/>
              </w:rPr>
              <w:t>B70.1,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7"/>
              <w:jc w:val="center"/>
              <w:rPr>
                <w:sz w:val="20"/>
              </w:rPr>
            </w:pPr>
            <w:r>
              <w:rPr>
                <w:sz w:val="20"/>
              </w:rPr>
              <w:t>B71,</w:t>
            </w:r>
            <w:r>
              <w:rPr>
                <w:spacing w:val="-6"/>
                <w:sz w:val="20"/>
              </w:rPr>
              <w:t> </w:t>
            </w:r>
            <w:r>
              <w:rPr>
                <w:sz w:val="20"/>
              </w:rPr>
              <w:t>B71.0,</w:t>
            </w:r>
            <w:r>
              <w:rPr>
                <w:spacing w:val="-5"/>
                <w:sz w:val="20"/>
              </w:rPr>
              <w:t> </w:t>
            </w:r>
            <w:r>
              <w:rPr>
                <w:sz w:val="20"/>
              </w:rPr>
              <w:t>B71.1,</w:t>
            </w:r>
            <w:r>
              <w:rPr>
                <w:spacing w:val="-5"/>
                <w:sz w:val="20"/>
              </w:rPr>
              <w:t> </w:t>
            </w:r>
            <w:r>
              <w:rPr>
                <w:sz w:val="20"/>
              </w:rPr>
              <w:t>B71.8,</w:t>
            </w:r>
            <w:r>
              <w:rPr>
                <w:spacing w:val="-5"/>
                <w:sz w:val="20"/>
              </w:rPr>
              <w:t> </w:t>
            </w:r>
            <w:r>
              <w:rPr>
                <w:sz w:val="20"/>
              </w:rPr>
              <w:t>B71.9,</w:t>
            </w:r>
            <w:r>
              <w:rPr>
                <w:spacing w:val="-5"/>
                <w:sz w:val="20"/>
              </w:rPr>
              <w:t> </w:t>
            </w:r>
            <w:r>
              <w:rPr>
                <w:sz w:val="20"/>
              </w:rPr>
              <w:t>B72,</w:t>
            </w:r>
            <w:r>
              <w:rPr>
                <w:spacing w:val="-5"/>
                <w:sz w:val="20"/>
              </w:rPr>
              <w:t> </w:t>
            </w:r>
            <w:r>
              <w:rPr>
                <w:sz w:val="20"/>
              </w:rPr>
              <w:t>B73,</w:t>
            </w:r>
            <w:r>
              <w:rPr>
                <w:spacing w:val="-3"/>
                <w:sz w:val="20"/>
              </w:rPr>
              <w:t> </w:t>
            </w:r>
            <w:r>
              <w:rPr>
                <w:spacing w:val="-4"/>
                <w:sz w:val="20"/>
              </w:rPr>
              <w:t>B74,</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7"/>
              <w:jc w:val="center"/>
              <w:rPr>
                <w:sz w:val="20"/>
              </w:rPr>
            </w:pPr>
            <w:r>
              <w:rPr>
                <w:sz w:val="20"/>
              </w:rPr>
              <w:t>B74.0,</w:t>
            </w:r>
            <w:r>
              <w:rPr>
                <w:spacing w:val="-8"/>
                <w:sz w:val="20"/>
              </w:rPr>
              <w:t> </w:t>
            </w:r>
            <w:r>
              <w:rPr>
                <w:sz w:val="20"/>
              </w:rPr>
              <w:t>B74.1,</w:t>
            </w:r>
            <w:r>
              <w:rPr>
                <w:spacing w:val="-5"/>
                <w:sz w:val="20"/>
              </w:rPr>
              <w:t> </w:t>
            </w:r>
            <w:r>
              <w:rPr>
                <w:sz w:val="20"/>
              </w:rPr>
              <w:t>B74.2,</w:t>
            </w:r>
            <w:r>
              <w:rPr>
                <w:spacing w:val="-5"/>
                <w:sz w:val="20"/>
              </w:rPr>
              <w:t> </w:t>
            </w:r>
            <w:r>
              <w:rPr>
                <w:sz w:val="20"/>
              </w:rPr>
              <w:t>B74.3,</w:t>
            </w:r>
            <w:r>
              <w:rPr>
                <w:spacing w:val="-8"/>
                <w:sz w:val="20"/>
              </w:rPr>
              <w:t> </w:t>
            </w:r>
            <w:r>
              <w:rPr>
                <w:sz w:val="20"/>
              </w:rPr>
              <w:t>B74.4,</w:t>
            </w:r>
            <w:r>
              <w:rPr>
                <w:spacing w:val="-5"/>
                <w:sz w:val="20"/>
              </w:rPr>
              <w:t> </w:t>
            </w:r>
            <w:r>
              <w:rPr>
                <w:sz w:val="20"/>
              </w:rPr>
              <w:t>B74.8,</w:t>
            </w:r>
            <w:r>
              <w:rPr>
                <w:spacing w:val="-5"/>
                <w:sz w:val="20"/>
              </w:rPr>
              <w:t> </w:t>
            </w:r>
            <w:r>
              <w:rPr>
                <w:spacing w:val="-2"/>
                <w:sz w:val="20"/>
              </w:rPr>
              <w:t>B74.9,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1" w:right="897"/>
              <w:jc w:val="center"/>
              <w:rPr>
                <w:sz w:val="20"/>
              </w:rPr>
            </w:pPr>
            <w:r>
              <w:rPr>
                <w:sz w:val="20"/>
              </w:rPr>
              <w:t>B75,</w:t>
            </w:r>
            <w:r>
              <w:rPr>
                <w:spacing w:val="-9"/>
                <w:sz w:val="20"/>
              </w:rPr>
              <w:t> </w:t>
            </w:r>
            <w:r>
              <w:rPr>
                <w:sz w:val="20"/>
              </w:rPr>
              <w:t>B76,</w:t>
            </w:r>
            <w:r>
              <w:rPr>
                <w:spacing w:val="-4"/>
                <w:sz w:val="20"/>
              </w:rPr>
              <w:t> </w:t>
            </w:r>
            <w:r>
              <w:rPr>
                <w:sz w:val="20"/>
              </w:rPr>
              <w:t>B76.0,</w:t>
            </w:r>
            <w:r>
              <w:rPr>
                <w:spacing w:val="-5"/>
                <w:sz w:val="20"/>
              </w:rPr>
              <w:t> </w:t>
            </w:r>
            <w:r>
              <w:rPr>
                <w:sz w:val="20"/>
              </w:rPr>
              <w:t>B76.1,</w:t>
            </w:r>
            <w:r>
              <w:rPr>
                <w:spacing w:val="-6"/>
                <w:sz w:val="20"/>
              </w:rPr>
              <w:t> </w:t>
            </w:r>
            <w:r>
              <w:rPr>
                <w:sz w:val="20"/>
              </w:rPr>
              <w:t>B76.8,</w:t>
            </w:r>
            <w:r>
              <w:rPr>
                <w:spacing w:val="-4"/>
                <w:sz w:val="20"/>
              </w:rPr>
              <w:t> </w:t>
            </w:r>
            <w:r>
              <w:rPr>
                <w:sz w:val="20"/>
              </w:rPr>
              <w:t>B76.9,</w:t>
            </w:r>
            <w:r>
              <w:rPr>
                <w:spacing w:val="-6"/>
                <w:sz w:val="20"/>
              </w:rPr>
              <w:t> </w:t>
            </w:r>
            <w:r>
              <w:rPr>
                <w:spacing w:val="-4"/>
                <w:sz w:val="20"/>
              </w:rPr>
              <w:t>B77,</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B77.0,</w:t>
            </w:r>
            <w:r>
              <w:rPr>
                <w:spacing w:val="-5"/>
                <w:sz w:val="20"/>
              </w:rPr>
              <w:t> </w:t>
            </w:r>
            <w:r>
              <w:rPr>
                <w:sz w:val="20"/>
              </w:rPr>
              <w:t>B77.8,</w:t>
            </w:r>
            <w:r>
              <w:rPr>
                <w:spacing w:val="-5"/>
                <w:sz w:val="20"/>
              </w:rPr>
              <w:t> </w:t>
            </w:r>
            <w:r>
              <w:rPr>
                <w:sz w:val="20"/>
              </w:rPr>
              <w:t>B77.9,</w:t>
            </w:r>
            <w:r>
              <w:rPr>
                <w:spacing w:val="-4"/>
                <w:sz w:val="20"/>
              </w:rPr>
              <w:t> </w:t>
            </w:r>
            <w:r>
              <w:rPr>
                <w:sz w:val="20"/>
              </w:rPr>
              <w:t>B78,</w:t>
            </w:r>
            <w:r>
              <w:rPr>
                <w:spacing w:val="-7"/>
                <w:sz w:val="20"/>
              </w:rPr>
              <w:t> </w:t>
            </w:r>
            <w:r>
              <w:rPr>
                <w:sz w:val="20"/>
              </w:rPr>
              <w:t>B78.0,</w:t>
            </w:r>
            <w:r>
              <w:rPr>
                <w:spacing w:val="-6"/>
                <w:sz w:val="20"/>
              </w:rPr>
              <w:t> </w:t>
            </w:r>
            <w:r>
              <w:rPr>
                <w:sz w:val="20"/>
              </w:rPr>
              <w:t>B78.1,</w:t>
            </w:r>
            <w:r>
              <w:rPr>
                <w:spacing w:val="-5"/>
                <w:sz w:val="20"/>
              </w:rPr>
              <w:t> </w:t>
            </w:r>
            <w:r>
              <w:rPr>
                <w:spacing w:val="-2"/>
                <w:sz w:val="20"/>
              </w:rPr>
              <w:t>B78.7,</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5"/>
              <w:jc w:val="center"/>
              <w:rPr>
                <w:sz w:val="20"/>
              </w:rPr>
            </w:pPr>
            <w:r>
              <w:rPr>
                <w:sz w:val="20"/>
              </w:rPr>
              <w:t>B78.9,</w:t>
            </w:r>
            <w:r>
              <w:rPr>
                <w:spacing w:val="-3"/>
                <w:sz w:val="20"/>
              </w:rPr>
              <w:t> </w:t>
            </w:r>
            <w:r>
              <w:rPr>
                <w:sz w:val="20"/>
              </w:rPr>
              <w:t>B79,</w:t>
            </w:r>
            <w:r>
              <w:rPr>
                <w:spacing w:val="-5"/>
                <w:sz w:val="20"/>
              </w:rPr>
              <w:t> </w:t>
            </w:r>
            <w:r>
              <w:rPr>
                <w:sz w:val="20"/>
              </w:rPr>
              <w:t>B80,</w:t>
            </w:r>
            <w:r>
              <w:rPr>
                <w:spacing w:val="-3"/>
                <w:sz w:val="20"/>
              </w:rPr>
              <w:t> </w:t>
            </w:r>
            <w:r>
              <w:rPr>
                <w:sz w:val="20"/>
              </w:rPr>
              <w:t>B81,</w:t>
            </w:r>
            <w:r>
              <w:rPr>
                <w:spacing w:val="-5"/>
                <w:sz w:val="20"/>
              </w:rPr>
              <w:t> </w:t>
            </w:r>
            <w:r>
              <w:rPr>
                <w:sz w:val="20"/>
              </w:rPr>
              <w:t>B81.0,</w:t>
            </w:r>
            <w:r>
              <w:rPr>
                <w:spacing w:val="-5"/>
                <w:sz w:val="20"/>
              </w:rPr>
              <w:t> </w:t>
            </w:r>
            <w:r>
              <w:rPr>
                <w:sz w:val="20"/>
              </w:rPr>
              <w:t>B81.1,</w:t>
            </w:r>
            <w:r>
              <w:rPr>
                <w:spacing w:val="-3"/>
                <w:sz w:val="20"/>
              </w:rPr>
              <w:t> </w:t>
            </w:r>
            <w:r>
              <w:rPr>
                <w:spacing w:val="-2"/>
                <w:sz w:val="20"/>
              </w:rPr>
              <w:t>B81.2,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B81.3,</w:t>
            </w:r>
            <w:r>
              <w:rPr>
                <w:spacing w:val="-5"/>
                <w:sz w:val="20"/>
              </w:rPr>
              <w:t> </w:t>
            </w:r>
            <w:r>
              <w:rPr>
                <w:sz w:val="20"/>
              </w:rPr>
              <w:t>B81.4,</w:t>
            </w:r>
            <w:r>
              <w:rPr>
                <w:spacing w:val="-5"/>
                <w:sz w:val="20"/>
              </w:rPr>
              <w:t> </w:t>
            </w:r>
            <w:r>
              <w:rPr>
                <w:sz w:val="20"/>
              </w:rPr>
              <w:t>B81.8,</w:t>
            </w:r>
            <w:r>
              <w:rPr>
                <w:spacing w:val="-4"/>
                <w:sz w:val="20"/>
              </w:rPr>
              <w:t> </w:t>
            </w:r>
            <w:r>
              <w:rPr>
                <w:sz w:val="20"/>
              </w:rPr>
              <w:t>B82,</w:t>
            </w:r>
            <w:r>
              <w:rPr>
                <w:spacing w:val="-7"/>
                <w:sz w:val="20"/>
              </w:rPr>
              <w:t> </w:t>
            </w:r>
            <w:r>
              <w:rPr>
                <w:sz w:val="20"/>
              </w:rPr>
              <w:t>B82.0,</w:t>
            </w:r>
            <w:r>
              <w:rPr>
                <w:spacing w:val="-6"/>
                <w:sz w:val="20"/>
              </w:rPr>
              <w:t> </w:t>
            </w:r>
            <w:r>
              <w:rPr>
                <w:sz w:val="20"/>
              </w:rPr>
              <w:t>B82.9,</w:t>
            </w:r>
            <w:r>
              <w:rPr>
                <w:spacing w:val="-5"/>
                <w:sz w:val="20"/>
              </w:rPr>
              <w:t> </w:t>
            </w:r>
            <w:r>
              <w:rPr>
                <w:spacing w:val="-4"/>
                <w:sz w:val="20"/>
              </w:rPr>
              <w:t>B83,</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1" w:lineRule="exact"/>
              <w:ind w:left="262" w:right="897"/>
              <w:jc w:val="center"/>
              <w:rPr>
                <w:sz w:val="20"/>
              </w:rPr>
            </w:pPr>
            <w:r>
              <w:rPr>
                <w:sz w:val="20"/>
              </w:rPr>
              <w:t>B83.0,</w:t>
            </w:r>
            <w:r>
              <w:rPr>
                <w:spacing w:val="-8"/>
                <w:sz w:val="20"/>
              </w:rPr>
              <w:t> </w:t>
            </w:r>
            <w:r>
              <w:rPr>
                <w:sz w:val="20"/>
              </w:rPr>
              <w:t>B83.1,</w:t>
            </w:r>
            <w:r>
              <w:rPr>
                <w:spacing w:val="-5"/>
                <w:sz w:val="20"/>
              </w:rPr>
              <w:t> </w:t>
            </w:r>
            <w:r>
              <w:rPr>
                <w:sz w:val="20"/>
              </w:rPr>
              <w:t>B83.2,</w:t>
            </w:r>
            <w:r>
              <w:rPr>
                <w:spacing w:val="-5"/>
                <w:sz w:val="20"/>
              </w:rPr>
              <w:t> </w:t>
            </w:r>
            <w:r>
              <w:rPr>
                <w:sz w:val="20"/>
              </w:rPr>
              <w:t>B83.3,</w:t>
            </w:r>
            <w:r>
              <w:rPr>
                <w:spacing w:val="-8"/>
                <w:sz w:val="20"/>
              </w:rPr>
              <w:t> </w:t>
            </w:r>
            <w:r>
              <w:rPr>
                <w:sz w:val="20"/>
              </w:rPr>
              <w:t>B83.4,</w:t>
            </w:r>
            <w:r>
              <w:rPr>
                <w:spacing w:val="-5"/>
                <w:sz w:val="20"/>
              </w:rPr>
              <w:t> </w:t>
            </w:r>
            <w:r>
              <w:rPr>
                <w:sz w:val="20"/>
              </w:rPr>
              <w:t>B83.8,</w:t>
            </w:r>
            <w:r>
              <w:rPr>
                <w:spacing w:val="-5"/>
                <w:sz w:val="20"/>
              </w:rPr>
              <w:t> </w:t>
            </w:r>
            <w:r>
              <w:rPr>
                <w:spacing w:val="-2"/>
                <w:sz w:val="20"/>
              </w:rPr>
              <w:t>B83.9,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1" w:lineRule="exact"/>
              <w:ind w:left="261" w:right="897"/>
              <w:jc w:val="center"/>
              <w:rPr>
                <w:sz w:val="20"/>
              </w:rPr>
            </w:pPr>
            <w:r>
              <w:rPr>
                <w:sz w:val="20"/>
              </w:rPr>
              <w:t>B89,</w:t>
            </w:r>
            <w:r>
              <w:rPr>
                <w:spacing w:val="-6"/>
                <w:sz w:val="20"/>
              </w:rPr>
              <w:t> </w:t>
            </w:r>
            <w:r>
              <w:rPr>
                <w:sz w:val="20"/>
              </w:rPr>
              <w:t>B92,</w:t>
            </w:r>
            <w:r>
              <w:rPr>
                <w:spacing w:val="-4"/>
                <w:sz w:val="20"/>
              </w:rPr>
              <w:t> </w:t>
            </w:r>
            <w:r>
              <w:rPr>
                <w:sz w:val="20"/>
              </w:rPr>
              <w:t>B94.8,</w:t>
            </w:r>
            <w:r>
              <w:rPr>
                <w:spacing w:val="-4"/>
                <w:sz w:val="20"/>
              </w:rPr>
              <w:t> </w:t>
            </w:r>
            <w:r>
              <w:rPr>
                <w:sz w:val="20"/>
              </w:rPr>
              <w:t>B94.9,</w:t>
            </w:r>
            <w:r>
              <w:rPr>
                <w:spacing w:val="-5"/>
                <w:sz w:val="20"/>
              </w:rPr>
              <w:t> </w:t>
            </w:r>
            <w:r>
              <w:rPr>
                <w:sz w:val="20"/>
              </w:rPr>
              <w:t>B95,</w:t>
            </w:r>
            <w:r>
              <w:rPr>
                <w:spacing w:val="-6"/>
                <w:sz w:val="20"/>
              </w:rPr>
              <w:t> </w:t>
            </w:r>
            <w:r>
              <w:rPr>
                <w:sz w:val="20"/>
              </w:rPr>
              <w:t>B95.0,</w:t>
            </w:r>
            <w:r>
              <w:rPr>
                <w:spacing w:val="-4"/>
                <w:sz w:val="20"/>
              </w:rPr>
              <w:t> </w:t>
            </w:r>
            <w:r>
              <w:rPr>
                <w:spacing w:val="-2"/>
                <w:sz w:val="20"/>
              </w:rPr>
              <w:t>B95.1,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7"/>
              <w:jc w:val="center"/>
              <w:rPr>
                <w:sz w:val="20"/>
              </w:rPr>
            </w:pPr>
            <w:r>
              <w:rPr>
                <w:sz w:val="20"/>
              </w:rPr>
              <w:t>B95.2,</w:t>
            </w:r>
            <w:r>
              <w:rPr>
                <w:spacing w:val="-8"/>
                <w:sz w:val="20"/>
              </w:rPr>
              <w:t> </w:t>
            </w:r>
            <w:r>
              <w:rPr>
                <w:sz w:val="20"/>
              </w:rPr>
              <w:t>B95.3,</w:t>
            </w:r>
            <w:r>
              <w:rPr>
                <w:spacing w:val="-5"/>
                <w:sz w:val="20"/>
              </w:rPr>
              <w:t> </w:t>
            </w:r>
            <w:r>
              <w:rPr>
                <w:sz w:val="20"/>
              </w:rPr>
              <w:t>B95.4,</w:t>
            </w:r>
            <w:r>
              <w:rPr>
                <w:spacing w:val="-5"/>
                <w:sz w:val="20"/>
              </w:rPr>
              <w:t> </w:t>
            </w:r>
            <w:r>
              <w:rPr>
                <w:sz w:val="20"/>
              </w:rPr>
              <w:t>B95.5,</w:t>
            </w:r>
            <w:r>
              <w:rPr>
                <w:spacing w:val="-8"/>
                <w:sz w:val="20"/>
              </w:rPr>
              <w:t> </w:t>
            </w:r>
            <w:r>
              <w:rPr>
                <w:sz w:val="20"/>
              </w:rPr>
              <w:t>B95.6,</w:t>
            </w:r>
            <w:r>
              <w:rPr>
                <w:spacing w:val="-5"/>
                <w:sz w:val="20"/>
              </w:rPr>
              <w:t> </w:t>
            </w:r>
            <w:r>
              <w:rPr>
                <w:sz w:val="20"/>
              </w:rPr>
              <w:t>B95.7,</w:t>
            </w:r>
            <w:r>
              <w:rPr>
                <w:spacing w:val="-5"/>
                <w:sz w:val="20"/>
              </w:rPr>
              <w:t> </w:t>
            </w:r>
            <w:r>
              <w:rPr>
                <w:spacing w:val="-2"/>
                <w:sz w:val="20"/>
              </w:rPr>
              <w:t>B95.8,</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B96,</w:t>
            </w:r>
            <w:r>
              <w:rPr>
                <w:spacing w:val="-6"/>
                <w:sz w:val="20"/>
              </w:rPr>
              <w:t> </w:t>
            </w:r>
            <w:r>
              <w:rPr>
                <w:sz w:val="20"/>
              </w:rPr>
              <w:t>B96.0,</w:t>
            </w:r>
            <w:r>
              <w:rPr>
                <w:spacing w:val="-5"/>
                <w:sz w:val="20"/>
              </w:rPr>
              <w:t> </w:t>
            </w:r>
            <w:r>
              <w:rPr>
                <w:sz w:val="20"/>
              </w:rPr>
              <w:t>B96.1,</w:t>
            </w:r>
            <w:r>
              <w:rPr>
                <w:spacing w:val="-6"/>
                <w:sz w:val="20"/>
              </w:rPr>
              <w:t> </w:t>
            </w:r>
            <w:r>
              <w:rPr>
                <w:sz w:val="20"/>
              </w:rPr>
              <w:t>B96.2,</w:t>
            </w:r>
            <w:r>
              <w:rPr>
                <w:spacing w:val="-5"/>
                <w:sz w:val="20"/>
              </w:rPr>
              <w:t> </w:t>
            </w:r>
            <w:r>
              <w:rPr>
                <w:sz w:val="20"/>
              </w:rPr>
              <w:t>B96.3,</w:t>
            </w:r>
            <w:r>
              <w:rPr>
                <w:spacing w:val="-5"/>
                <w:sz w:val="20"/>
              </w:rPr>
              <w:t> </w:t>
            </w:r>
            <w:r>
              <w:rPr>
                <w:sz w:val="20"/>
              </w:rPr>
              <w:t>B96.4,</w:t>
            </w:r>
            <w:r>
              <w:rPr>
                <w:spacing w:val="-4"/>
                <w:sz w:val="20"/>
              </w:rPr>
              <w:t> </w:t>
            </w:r>
            <w:r>
              <w:rPr>
                <w:spacing w:val="-2"/>
                <w:sz w:val="20"/>
              </w:rPr>
              <w:t>B96.5,</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B96.6,</w:t>
            </w:r>
            <w:r>
              <w:rPr>
                <w:spacing w:val="-5"/>
                <w:sz w:val="20"/>
              </w:rPr>
              <w:t> </w:t>
            </w:r>
            <w:r>
              <w:rPr>
                <w:sz w:val="20"/>
              </w:rPr>
              <w:t>B96.7,</w:t>
            </w:r>
            <w:r>
              <w:rPr>
                <w:spacing w:val="-5"/>
                <w:sz w:val="20"/>
              </w:rPr>
              <w:t> </w:t>
            </w:r>
            <w:r>
              <w:rPr>
                <w:sz w:val="20"/>
              </w:rPr>
              <w:t>B96.8,</w:t>
            </w:r>
            <w:r>
              <w:rPr>
                <w:spacing w:val="-4"/>
                <w:sz w:val="20"/>
              </w:rPr>
              <w:t> </w:t>
            </w:r>
            <w:r>
              <w:rPr>
                <w:sz w:val="20"/>
              </w:rPr>
              <w:t>B97,</w:t>
            </w:r>
            <w:r>
              <w:rPr>
                <w:spacing w:val="-7"/>
                <w:sz w:val="20"/>
              </w:rPr>
              <w:t> </w:t>
            </w:r>
            <w:r>
              <w:rPr>
                <w:sz w:val="20"/>
              </w:rPr>
              <w:t>B97.0,</w:t>
            </w:r>
            <w:r>
              <w:rPr>
                <w:spacing w:val="-6"/>
                <w:sz w:val="20"/>
              </w:rPr>
              <w:t> </w:t>
            </w:r>
            <w:r>
              <w:rPr>
                <w:sz w:val="20"/>
              </w:rPr>
              <w:t>B97.1,</w:t>
            </w:r>
            <w:r>
              <w:rPr>
                <w:spacing w:val="-5"/>
                <w:sz w:val="20"/>
              </w:rPr>
              <w:t> </w:t>
            </w:r>
            <w:r>
              <w:rPr>
                <w:spacing w:val="-2"/>
                <w:sz w:val="20"/>
              </w:rPr>
              <w:t>B97.2,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B97.3,</w:t>
            </w:r>
            <w:r>
              <w:rPr>
                <w:spacing w:val="-8"/>
                <w:sz w:val="20"/>
              </w:rPr>
              <w:t> </w:t>
            </w:r>
            <w:r>
              <w:rPr>
                <w:sz w:val="20"/>
              </w:rPr>
              <w:t>B97.4,</w:t>
            </w:r>
            <w:r>
              <w:rPr>
                <w:spacing w:val="-5"/>
                <w:sz w:val="20"/>
              </w:rPr>
              <w:t> </w:t>
            </w:r>
            <w:r>
              <w:rPr>
                <w:sz w:val="20"/>
              </w:rPr>
              <w:t>B97.5,</w:t>
            </w:r>
            <w:r>
              <w:rPr>
                <w:spacing w:val="-5"/>
                <w:sz w:val="20"/>
              </w:rPr>
              <w:t> </w:t>
            </w:r>
            <w:r>
              <w:rPr>
                <w:sz w:val="20"/>
              </w:rPr>
              <w:t>B97.6,</w:t>
            </w:r>
            <w:r>
              <w:rPr>
                <w:spacing w:val="-8"/>
                <w:sz w:val="20"/>
              </w:rPr>
              <w:t> </w:t>
            </w:r>
            <w:r>
              <w:rPr>
                <w:sz w:val="20"/>
              </w:rPr>
              <w:t>B97.7,</w:t>
            </w:r>
            <w:r>
              <w:rPr>
                <w:spacing w:val="-5"/>
                <w:sz w:val="20"/>
              </w:rPr>
              <w:t> </w:t>
            </w:r>
            <w:r>
              <w:rPr>
                <w:sz w:val="20"/>
              </w:rPr>
              <w:t>B97.8,</w:t>
            </w:r>
            <w:r>
              <w:rPr>
                <w:spacing w:val="-5"/>
                <w:sz w:val="20"/>
              </w:rPr>
              <w:t> </w:t>
            </w:r>
            <w:r>
              <w:rPr>
                <w:spacing w:val="-4"/>
                <w:sz w:val="20"/>
              </w:rPr>
              <w:t>B99,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26" w:lineRule="exact"/>
              <w:ind w:left="262" w:right="895"/>
              <w:jc w:val="center"/>
              <w:rPr>
                <w:sz w:val="20"/>
              </w:rPr>
            </w:pPr>
            <w:r>
              <w:rPr>
                <w:sz w:val="20"/>
              </w:rPr>
              <w:t>M49.1,</w:t>
            </w:r>
            <w:r>
              <w:rPr>
                <w:spacing w:val="-5"/>
                <w:sz w:val="20"/>
              </w:rPr>
              <w:t> </w:t>
            </w:r>
            <w:r>
              <w:rPr>
                <w:sz w:val="20"/>
              </w:rPr>
              <w:t>R50,</w:t>
            </w:r>
            <w:r>
              <w:rPr>
                <w:spacing w:val="-5"/>
                <w:sz w:val="20"/>
              </w:rPr>
              <w:t> </w:t>
            </w:r>
            <w:r>
              <w:rPr>
                <w:sz w:val="20"/>
              </w:rPr>
              <w:t>R50.8,</w:t>
            </w:r>
            <w:r>
              <w:rPr>
                <w:spacing w:val="-4"/>
                <w:sz w:val="20"/>
              </w:rPr>
              <w:t> </w:t>
            </w:r>
            <w:r>
              <w:rPr>
                <w:sz w:val="20"/>
              </w:rPr>
              <w:t>R50.9,</w:t>
            </w:r>
            <w:r>
              <w:rPr>
                <w:spacing w:val="-7"/>
                <w:sz w:val="20"/>
              </w:rPr>
              <w:t> </w:t>
            </w:r>
            <w:r>
              <w:rPr>
                <w:spacing w:val="-2"/>
                <w:sz w:val="20"/>
              </w:rPr>
              <w:t>R57.2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79" w:hRule="atLeast"/>
        </w:trPr>
        <w:tc>
          <w:tcPr>
            <w:tcW w:w="1003" w:type="dxa"/>
          </w:tcPr>
          <w:p>
            <w:pPr>
              <w:pStyle w:val="TableParagraph"/>
              <w:spacing w:line="215" w:lineRule="exact" w:before="45"/>
              <w:ind w:left="50"/>
              <w:rPr>
                <w:sz w:val="20"/>
              </w:rPr>
            </w:pPr>
            <w:r>
              <w:rPr>
                <w:spacing w:val="-2"/>
                <w:sz w:val="20"/>
              </w:rPr>
              <w:t>ds12.007</w:t>
            </w:r>
          </w:p>
        </w:tc>
        <w:tc>
          <w:tcPr>
            <w:tcW w:w="645" w:type="dxa"/>
          </w:tcPr>
          <w:p>
            <w:pPr>
              <w:pStyle w:val="TableParagraph"/>
              <w:spacing w:line="215" w:lineRule="exact" w:before="45"/>
              <w:ind w:left="211" w:right="203"/>
              <w:jc w:val="center"/>
              <w:rPr>
                <w:sz w:val="20"/>
              </w:rPr>
            </w:pPr>
            <w:r>
              <w:rPr>
                <w:spacing w:val="-5"/>
                <w:sz w:val="20"/>
              </w:rPr>
              <w:t>32</w:t>
            </w:r>
          </w:p>
        </w:tc>
        <w:tc>
          <w:tcPr>
            <w:tcW w:w="2470" w:type="dxa"/>
          </w:tcPr>
          <w:p>
            <w:pPr>
              <w:pStyle w:val="TableParagraph"/>
              <w:spacing w:line="215" w:lineRule="exact" w:before="45"/>
              <w:ind w:left="219"/>
              <w:rPr>
                <w:sz w:val="20"/>
              </w:rPr>
            </w:pPr>
            <w:r>
              <w:rPr>
                <w:spacing w:val="-2"/>
                <w:sz w:val="20"/>
              </w:rPr>
              <w:t>Инфекционные</w:t>
            </w:r>
            <w:r>
              <w:rPr>
                <w:spacing w:val="8"/>
                <w:sz w:val="20"/>
              </w:rPr>
              <w:t> </w:t>
            </w:r>
            <w:r>
              <w:rPr>
                <w:spacing w:val="-10"/>
                <w:sz w:val="20"/>
              </w:rPr>
              <w:t>и</w:t>
            </w:r>
          </w:p>
        </w:tc>
        <w:tc>
          <w:tcPr>
            <w:tcW w:w="5185" w:type="dxa"/>
          </w:tcPr>
          <w:p>
            <w:pPr>
              <w:pStyle w:val="TableParagraph"/>
              <w:spacing w:line="215" w:lineRule="exact" w:before="45"/>
              <w:ind w:left="262" w:right="893"/>
              <w:jc w:val="center"/>
              <w:rPr>
                <w:sz w:val="20"/>
              </w:rPr>
            </w:pPr>
            <w:r>
              <w:rPr>
                <w:sz w:val="20"/>
              </w:rPr>
              <w:t>A00.0,</w:t>
            </w:r>
            <w:r>
              <w:rPr>
                <w:spacing w:val="-6"/>
                <w:sz w:val="20"/>
              </w:rPr>
              <w:t> </w:t>
            </w:r>
            <w:r>
              <w:rPr>
                <w:sz w:val="20"/>
              </w:rPr>
              <w:t>A00.1,</w:t>
            </w:r>
            <w:r>
              <w:rPr>
                <w:spacing w:val="-5"/>
                <w:sz w:val="20"/>
              </w:rPr>
              <w:t> </w:t>
            </w:r>
            <w:r>
              <w:rPr>
                <w:sz w:val="20"/>
              </w:rPr>
              <w:t>A00.9,</w:t>
            </w:r>
            <w:r>
              <w:rPr>
                <w:spacing w:val="-6"/>
                <w:sz w:val="20"/>
              </w:rPr>
              <w:t> </w:t>
            </w:r>
            <w:r>
              <w:rPr>
                <w:sz w:val="20"/>
              </w:rPr>
              <w:t>A01.0,</w:t>
            </w:r>
            <w:r>
              <w:rPr>
                <w:spacing w:val="-7"/>
                <w:sz w:val="20"/>
              </w:rPr>
              <w:t> </w:t>
            </w:r>
            <w:r>
              <w:rPr>
                <w:sz w:val="20"/>
              </w:rPr>
              <w:t>A01.1,</w:t>
            </w:r>
            <w:r>
              <w:rPr>
                <w:spacing w:val="-6"/>
                <w:sz w:val="20"/>
              </w:rPr>
              <w:t> </w:t>
            </w:r>
            <w:r>
              <w:rPr>
                <w:spacing w:val="-2"/>
                <w:sz w:val="20"/>
              </w:rPr>
              <w:t>A01.2,</w:t>
            </w:r>
          </w:p>
        </w:tc>
        <w:tc>
          <w:tcPr>
            <w:tcW w:w="2006" w:type="dxa"/>
          </w:tcPr>
          <w:p>
            <w:pPr>
              <w:pStyle w:val="TableParagraph"/>
              <w:spacing w:line="215" w:lineRule="exact" w:before="45"/>
              <w:ind w:right="60"/>
              <w:jc w:val="center"/>
              <w:rPr>
                <w:sz w:val="20"/>
              </w:rPr>
            </w:pPr>
            <w:r>
              <w:rPr>
                <w:w w:val="99"/>
                <w:sz w:val="20"/>
              </w:rPr>
              <w:t>-</w:t>
            </w:r>
          </w:p>
        </w:tc>
        <w:tc>
          <w:tcPr>
            <w:tcW w:w="3119" w:type="dxa"/>
          </w:tcPr>
          <w:p>
            <w:pPr>
              <w:pStyle w:val="TableParagraph"/>
              <w:spacing w:line="215" w:lineRule="exact" w:before="45"/>
              <w:ind w:right="455"/>
              <w:jc w:val="right"/>
              <w:rPr>
                <w:sz w:val="20"/>
              </w:rPr>
            </w:pPr>
            <w:r>
              <w:rPr>
                <w:sz w:val="20"/>
              </w:rPr>
              <w:t>Возрастная</w:t>
            </w:r>
            <w:r>
              <w:rPr>
                <w:spacing w:val="-10"/>
                <w:sz w:val="20"/>
              </w:rPr>
              <w:t> </w:t>
            </w:r>
            <w:r>
              <w:rPr>
                <w:spacing w:val="-2"/>
                <w:sz w:val="20"/>
              </w:rPr>
              <w:t>группа:</w:t>
            </w:r>
          </w:p>
        </w:tc>
        <w:tc>
          <w:tcPr>
            <w:tcW w:w="862" w:type="dxa"/>
          </w:tcPr>
          <w:p>
            <w:pPr>
              <w:pStyle w:val="TableParagraph"/>
              <w:spacing w:line="215" w:lineRule="exact" w:before="45"/>
              <w:ind w:left="465"/>
              <w:rPr>
                <w:sz w:val="20"/>
              </w:rPr>
            </w:pPr>
            <w:r>
              <w:rPr>
                <w:spacing w:val="-4"/>
                <w:sz w:val="20"/>
              </w:rPr>
              <w:t>0,97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spacing w:line="210" w:lineRule="exact"/>
              <w:ind w:left="219"/>
              <w:rPr>
                <w:sz w:val="20"/>
              </w:rPr>
            </w:pPr>
            <w:r>
              <w:rPr>
                <w:spacing w:val="-2"/>
                <w:sz w:val="20"/>
              </w:rPr>
              <w:t>паразитарные</w:t>
            </w:r>
            <w:r>
              <w:rPr>
                <w:spacing w:val="11"/>
                <w:sz w:val="20"/>
              </w:rPr>
              <w:t> </w:t>
            </w:r>
            <w:r>
              <w:rPr>
                <w:spacing w:val="-2"/>
                <w:sz w:val="20"/>
              </w:rPr>
              <w:t>болезни,</w:t>
            </w:r>
          </w:p>
        </w:tc>
        <w:tc>
          <w:tcPr>
            <w:tcW w:w="5185" w:type="dxa"/>
          </w:tcPr>
          <w:p>
            <w:pPr>
              <w:pStyle w:val="TableParagraph"/>
              <w:spacing w:line="210" w:lineRule="exact"/>
              <w:ind w:left="260" w:right="897"/>
              <w:jc w:val="center"/>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A02.1,</w:t>
            </w:r>
            <w:r>
              <w:rPr>
                <w:spacing w:val="-7"/>
                <w:sz w:val="20"/>
              </w:rPr>
              <w:t> </w:t>
            </w:r>
            <w:r>
              <w:rPr>
                <w:sz w:val="20"/>
              </w:rPr>
              <w:t>A02.2,</w:t>
            </w:r>
            <w:r>
              <w:rPr>
                <w:spacing w:val="-6"/>
                <w:sz w:val="20"/>
              </w:rPr>
              <w:t> </w:t>
            </w:r>
            <w:r>
              <w:rPr>
                <w:spacing w:val="-2"/>
                <w:sz w:val="20"/>
              </w:rPr>
              <w:t>A02.8,</w:t>
            </w:r>
          </w:p>
        </w:tc>
        <w:tc>
          <w:tcPr>
            <w:tcW w:w="2006" w:type="dxa"/>
          </w:tcPr>
          <w:p>
            <w:pPr>
              <w:pStyle w:val="TableParagraph"/>
              <w:rPr>
                <w:sz w:val="16"/>
              </w:rPr>
            </w:pPr>
          </w:p>
        </w:tc>
        <w:tc>
          <w:tcPr>
            <w:tcW w:w="3119" w:type="dxa"/>
          </w:tcPr>
          <w:p>
            <w:pPr>
              <w:pStyle w:val="TableParagraph"/>
              <w:spacing w:line="210" w:lineRule="exact"/>
              <w:ind w:right="474"/>
              <w:jc w:val="right"/>
              <w:rPr>
                <w:sz w:val="20"/>
              </w:rPr>
            </w:pPr>
            <w:r>
              <w:rPr>
                <w:sz w:val="20"/>
              </w:rPr>
              <w:t>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spacing w:line="210" w:lineRule="exact"/>
              <w:ind w:left="219"/>
              <w:rPr>
                <w:sz w:val="20"/>
              </w:rPr>
            </w:pPr>
            <w:r>
              <w:rPr>
                <w:spacing w:val="-4"/>
                <w:sz w:val="20"/>
              </w:rPr>
              <w:t>дети</w:t>
            </w:r>
          </w:p>
        </w:tc>
        <w:tc>
          <w:tcPr>
            <w:tcW w:w="5185" w:type="dxa"/>
          </w:tcPr>
          <w:p>
            <w:pPr>
              <w:pStyle w:val="TableParagraph"/>
              <w:spacing w:line="210" w:lineRule="exact"/>
              <w:ind w:left="260" w:right="897"/>
              <w:jc w:val="center"/>
              <w:rPr>
                <w:sz w:val="20"/>
              </w:rPr>
            </w:pPr>
            <w:r>
              <w:rPr>
                <w:sz w:val="20"/>
              </w:rPr>
              <w:t>A02.9,</w:t>
            </w:r>
            <w:r>
              <w:rPr>
                <w:spacing w:val="-6"/>
                <w:sz w:val="20"/>
              </w:rPr>
              <w:t> </w:t>
            </w:r>
            <w:r>
              <w:rPr>
                <w:sz w:val="20"/>
              </w:rPr>
              <w:t>A03.0,</w:t>
            </w:r>
            <w:r>
              <w:rPr>
                <w:spacing w:val="-5"/>
                <w:sz w:val="20"/>
              </w:rPr>
              <w:t> </w:t>
            </w:r>
            <w:r>
              <w:rPr>
                <w:sz w:val="20"/>
              </w:rPr>
              <w:t>A03.1,</w:t>
            </w:r>
            <w:r>
              <w:rPr>
                <w:spacing w:val="-6"/>
                <w:sz w:val="20"/>
              </w:rPr>
              <w:t> </w:t>
            </w:r>
            <w:r>
              <w:rPr>
                <w:sz w:val="20"/>
              </w:rPr>
              <w:t>A03.2,</w:t>
            </w:r>
            <w:r>
              <w:rPr>
                <w:spacing w:val="-7"/>
                <w:sz w:val="20"/>
              </w:rPr>
              <w:t> </w:t>
            </w:r>
            <w:r>
              <w:rPr>
                <w:sz w:val="20"/>
              </w:rPr>
              <w:t>A03.3,</w:t>
            </w:r>
            <w:r>
              <w:rPr>
                <w:spacing w:val="-6"/>
                <w:sz w:val="20"/>
              </w:rPr>
              <w:t> </w:t>
            </w:r>
            <w:r>
              <w:rPr>
                <w:spacing w:val="-2"/>
                <w:sz w:val="20"/>
              </w:rPr>
              <w:t>A03.8,</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A03.9,</w:t>
            </w:r>
            <w:r>
              <w:rPr>
                <w:spacing w:val="-6"/>
                <w:sz w:val="20"/>
              </w:rPr>
              <w:t> </w:t>
            </w:r>
            <w:r>
              <w:rPr>
                <w:sz w:val="20"/>
              </w:rPr>
              <w:t>A04.0,</w:t>
            </w:r>
            <w:r>
              <w:rPr>
                <w:spacing w:val="-5"/>
                <w:sz w:val="20"/>
              </w:rPr>
              <w:t> </w:t>
            </w:r>
            <w:r>
              <w:rPr>
                <w:sz w:val="20"/>
              </w:rPr>
              <w:t>A04.1,</w:t>
            </w:r>
            <w:r>
              <w:rPr>
                <w:spacing w:val="-6"/>
                <w:sz w:val="20"/>
              </w:rPr>
              <w:t> </w:t>
            </w:r>
            <w:r>
              <w:rPr>
                <w:sz w:val="20"/>
              </w:rPr>
              <w:t>A04.2,</w:t>
            </w:r>
            <w:r>
              <w:rPr>
                <w:spacing w:val="-7"/>
                <w:sz w:val="20"/>
              </w:rPr>
              <w:t> </w:t>
            </w:r>
            <w:r>
              <w:rPr>
                <w:sz w:val="20"/>
              </w:rPr>
              <w:t>A04.3,</w:t>
            </w:r>
            <w:r>
              <w:rPr>
                <w:spacing w:val="-6"/>
                <w:sz w:val="20"/>
              </w:rPr>
              <w:t> </w:t>
            </w:r>
            <w:r>
              <w:rPr>
                <w:spacing w:val="-2"/>
                <w:sz w:val="20"/>
              </w:rPr>
              <w:t>A04.4,</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A04.5,</w:t>
            </w:r>
            <w:r>
              <w:rPr>
                <w:spacing w:val="-6"/>
                <w:sz w:val="20"/>
              </w:rPr>
              <w:t> </w:t>
            </w:r>
            <w:r>
              <w:rPr>
                <w:sz w:val="20"/>
              </w:rPr>
              <w:t>A04.6,</w:t>
            </w:r>
            <w:r>
              <w:rPr>
                <w:spacing w:val="-5"/>
                <w:sz w:val="20"/>
              </w:rPr>
              <w:t> </w:t>
            </w:r>
            <w:r>
              <w:rPr>
                <w:sz w:val="20"/>
              </w:rPr>
              <w:t>A04.7,</w:t>
            </w:r>
            <w:r>
              <w:rPr>
                <w:spacing w:val="-6"/>
                <w:sz w:val="20"/>
              </w:rPr>
              <w:t> </w:t>
            </w:r>
            <w:r>
              <w:rPr>
                <w:sz w:val="20"/>
              </w:rPr>
              <w:t>A04.8,</w:t>
            </w:r>
            <w:r>
              <w:rPr>
                <w:spacing w:val="-7"/>
                <w:sz w:val="20"/>
              </w:rPr>
              <w:t> </w:t>
            </w:r>
            <w:r>
              <w:rPr>
                <w:sz w:val="20"/>
              </w:rPr>
              <w:t>A04.9,</w:t>
            </w:r>
            <w:r>
              <w:rPr>
                <w:spacing w:val="-6"/>
                <w:sz w:val="20"/>
              </w:rPr>
              <w:t> </w:t>
            </w:r>
            <w:r>
              <w:rPr>
                <w:spacing w:val="-2"/>
                <w:sz w:val="20"/>
              </w:rPr>
              <w:t>A05.0,</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9" w:lineRule="exact"/>
              <w:ind w:left="260" w:right="897"/>
              <w:jc w:val="center"/>
              <w:rPr>
                <w:sz w:val="20"/>
              </w:rPr>
            </w:pPr>
            <w:r>
              <w:rPr>
                <w:sz w:val="20"/>
              </w:rPr>
              <w:t>A05.1,</w:t>
            </w:r>
            <w:r>
              <w:rPr>
                <w:spacing w:val="-6"/>
                <w:sz w:val="20"/>
              </w:rPr>
              <w:t> </w:t>
            </w:r>
            <w:r>
              <w:rPr>
                <w:sz w:val="20"/>
              </w:rPr>
              <w:t>A05.2,</w:t>
            </w:r>
            <w:r>
              <w:rPr>
                <w:spacing w:val="-5"/>
                <w:sz w:val="20"/>
              </w:rPr>
              <w:t> </w:t>
            </w:r>
            <w:r>
              <w:rPr>
                <w:sz w:val="20"/>
              </w:rPr>
              <w:t>A05.3,</w:t>
            </w:r>
            <w:r>
              <w:rPr>
                <w:spacing w:val="-6"/>
                <w:sz w:val="20"/>
              </w:rPr>
              <w:t> </w:t>
            </w:r>
            <w:r>
              <w:rPr>
                <w:sz w:val="20"/>
              </w:rPr>
              <w:t>A05.4,</w:t>
            </w:r>
            <w:r>
              <w:rPr>
                <w:spacing w:val="-7"/>
                <w:sz w:val="20"/>
              </w:rPr>
              <w:t> </w:t>
            </w:r>
            <w:r>
              <w:rPr>
                <w:sz w:val="20"/>
              </w:rPr>
              <w:t>A05.8,</w:t>
            </w:r>
            <w:r>
              <w:rPr>
                <w:spacing w:val="-6"/>
                <w:sz w:val="20"/>
              </w:rPr>
              <w:t> </w:t>
            </w:r>
            <w:r>
              <w:rPr>
                <w:spacing w:val="-2"/>
                <w:sz w:val="20"/>
              </w:rPr>
              <w:t>A05.9,</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A06.0,</w:t>
            </w:r>
            <w:r>
              <w:rPr>
                <w:spacing w:val="-6"/>
                <w:sz w:val="20"/>
              </w:rPr>
              <w:t> </w:t>
            </w:r>
            <w:r>
              <w:rPr>
                <w:sz w:val="20"/>
              </w:rPr>
              <w:t>A06.1,</w:t>
            </w:r>
            <w:r>
              <w:rPr>
                <w:spacing w:val="-5"/>
                <w:sz w:val="20"/>
              </w:rPr>
              <w:t> </w:t>
            </w:r>
            <w:r>
              <w:rPr>
                <w:sz w:val="20"/>
              </w:rPr>
              <w:t>A06.2,</w:t>
            </w:r>
            <w:r>
              <w:rPr>
                <w:spacing w:val="-6"/>
                <w:sz w:val="20"/>
              </w:rPr>
              <w:t> </w:t>
            </w:r>
            <w:r>
              <w:rPr>
                <w:sz w:val="20"/>
              </w:rPr>
              <w:t>A06.3,</w:t>
            </w:r>
            <w:r>
              <w:rPr>
                <w:spacing w:val="-7"/>
                <w:sz w:val="20"/>
              </w:rPr>
              <w:t> </w:t>
            </w:r>
            <w:r>
              <w:rPr>
                <w:sz w:val="20"/>
              </w:rPr>
              <w:t>A06.4,</w:t>
            </w:r>
            <w:r>
              <w:rPr>
                <w:spacing w:val="-6"/>
                <w:sz w:val="20"/>
              </w:rPr>
              <w:t> </w:t>
            </w:r>
            <w:r>
              <w:rPr>
                <w:spacing w:val="-2"/>
                <w:sz w:val="20"/>
              </w:rPr>
              <w:t>A06.5,</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A06.6,</w:t>
            </w:r>
            <w:r>
              <w:rPr>
                <w:spacing w:val="-6"/>
                <w:sz w:val="20"/>
              </w:rPr>
              <w:t> </w:t>
            </w:r>
            <w:r>
              <w:rPr>
                <w:sz w:val="20"/>
              </w:rPr>
              <w:t>A06.7,</w:t>
            </w:r>
            <w:r>
              <w:rPr>
                <w:spacing w:val="-5"/>
                <w:sz w:val="20"/>
              </w:rPr>
              <w:t> </w:t>
            </w:r>
            <w:r>
              <w:rPr>
                <w:sz w:val="20"/>
              </w:rPr>
              <w:t>A06.8,</w:t>
            </w:r>
            <w:r>
              <w:rPr>
                <w:spacing w:val="-6"/>
                <w:sz w:val="20"/>
              </w:rPr>
              <w:t> </w:t>
            </w:r>
            <w:r>
              <w:rPr>
                <w:sz w:val="20"/>
              </w:rPr>
              <w:t>A06.9,</w:t>
            </w:r>
            <w:r>
              <w:rPr>
                <w:spacing w:val="-7"/>
                <w:sz w:val="20"/>
              </w:rPr>
              <w:t> </w:t>
            </w:r>
            <w:r>
              <w:rPr>
                <w:sz w:val="20"/>
              </w:rPr>
              <w:t>A07.0,</w:t>
            </w:r>
            <w:r>
              <w:rPr>
                <w:spacing w:val="-6"/>
                <w:sz w:val="20"/>
              </w:rPr>
              <w:t> </w:t>
            </w:r>
            <w:r>
              <w:rPr>
                <w:spacing w:val="-2"/>
                <w:sz w:val="20"/>
              </w:rPr>
              <w:t>A07.1,</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A07.2,</w:t>
            </w:r>
            <w:r>
              <w:rPr>
                <w:spacing w:val="-6"/>
                <w:sz w:val="20"/>
              </w:rPr>
              <w:t> </w:t>
            </w:r>
            <w:r>
              <w:rPr>
                <w:sz w:val="20"/>
              </w:rPr>
              <w:t>A07.3,</w:t>
            </w:r>
            <w:r>
              <w:rPr>
                <w:spacing w:val="-5"/>
                <w:sz w:val="20"/>
              </w:rPr>
              <w:t> </w:t>
            </w:r>
            <w:r>
              <w:rPr>
                <w:sz w:val="20"/>
              </w:rPr>
              <w:t>A07.8,</w:t>
            </w:r>
            <w:r>
              <w:rPr>
                <w:spacing w:val="-6"/>
                <w:sz w:val="20"/>
              </w:rPr>
              <w:t> </w:t>
            </w:r>
            <w:r>
              <w:rPr>
                <w:sz w:val="20"/>
              </w:rPr>
              <w:t>A07.9,</w:t>
            </w:r>
            <w:r>
              <w:rPr>
                <w:spacing w:val="-7"/>
                <w:sz w:val="20"/>
              </w:rPr>
              <w:t> </w:t>
            </w:r>
            <w:r>
              <w:rPr>
                <w:sz w:val="20"/>
              </w:rPr>
              <w:t>A08.0,</w:t>
            </w:r>
            <w:r>
              <w:rPr>
                <w:spacing w:val="-6"/>
                <w:sz w:val="20"/>
              </w:rPr>
              <w:t> </w:t>
            </w:r>
            <w:r>
              <w:rPr>
                <w:spacing w:val="-2"/>
                <w:sz w:val="20"/>
              </w:rPr>
              <w:t>A08.1,</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1" w:right="897"/>
              <w:jc w:val="center"/>
              <w:rPr>
                <w:sz w:val="20"/>
              </w:rPr>
            </w:pPr>
            <w:r>
              <w:rPr>
                <w:sz w:val="20"/>
              </w:rPr>
              <w:t>A08.2,</w:t>
            </w:r>
            <w:r>
              <w:rPr>
                <w:spacing w:val="-6"/>
                <w:sz w:val="20"/>
              </w:rPr>
              <w:t> </w:t>
            </w:r>
            <w:r>
              <w:rPr>
                <w:sz w:val="20"/>
              </w:rPr>
              <w:t>A08.3,</w:t>
            </w:r>
            <w:r>
              <w:rPr>
                <w:spacing w:val="-5"/>
                <w:sz w:val="20"/>
              </w:rPr>
              <w:t> </w:t>
            </w:r>
            <w:r>
              <w:rPr>
                <w:sz w:val="20"/>
              </w:rPr>
              <w:t>A08.4,</w:t>
            </w:r>
            <w:r>
              <w:rPr>
                <w:spacing w:val="-6"/>
                <w:sz w:val="20"/>
              </w:rPr>
              <w:t> </w:t>
            </w:r>
            <w:r>
              <w:rPr>
                <w:sz w:val="20"/>
              </w:rPr>
              <w:t>A08.5,</w:t>
            </w:r>
            <w:r>
              <w:rPr>
                <w:spacing w:val="-7"/>
                <w:sz w:val="20"/>
              </w:rPr>
              <w:t> </w:t>
            </w:r>
            <w:r>
              <w:rPr>
                <w:sz w:val="20"/>
              </w:rPr>
              <w:t>A09,</w:t>
            </w:r>
            <w:r>
              <w:rPr>
                <w:spacing w:val="-5"/>
                <w:sz w:val="20"/>
              </w:rPr>
              <w:t> </w:t>
            </w:r>
            <w:r>
              <w:rPr>
                <w:sz w:val="20"/>
              </w:rPr>
              <w:t>A09.0,</w:t>
            </w:r>
            <w:r>
              <w:rPr>
                <w:spacing w:val="-6"/>
                <w:sz w:val="20"/>
              </w:rPr>
              <w:t> </w:t>
            </w:r>
            <w:r>
              <w:rPr>
                <w:spacing w:val="-2"/>
                <w:sz w:val="20"/>
              </w:rPr>
              <w:t>A09.9,</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9" w:lineRule="exact"/>
              <w:ind w:left="260" w:right="897"/>
              <w:jc w:val="center"/>
              <w:rPr>
                <w:sz w:val="20"/>
              </w:rPr>
            </w:pPr>
            <w:r>
              <w:rPr>
                <w:sz w:val="20"/>
              </w:rPr>
              <w:t>A20.0,</w:t>
            </w:r>
            <w:r>
              <w:rPr>
                <w:spacing w:val="-6"/>
                <w:sz w:val="20"/>
              </w:rPr>
              <w:t> </w:t>
            </w:r>
            <w:r>
              <w:rPr>
                <w:sz w:val="20"/>
              </w:rPr>
              <w:t>A20.1,</w:t>
            </w:r>
            <w:r>
              <w:rPr>
                <w:spacing w:val="-5"/>
                <w:sz w:val="20"/>
              </w:rPr>
              <w:t> </w:t>
            </w:r>
            <w:r>
              <w:rPr>
                <w:sz w:val="20"/>
              </w:rPr>
              <w:t>A20.2,</w:t>
            </w:r>
            <w:r>
              <w:rPr>
                <w:spacing w:val="-6"/>
                <w:sz w:val="20"/>
              </w:rPr>
              <w:t> </w:t>
            </w:r>
            <w:r>
              <w:rPr>
                <w:sz w:val="20"/>
              </w:rPr>
              <w:t>A20.3,</w:t>
            </w:r>
            <w:r>
              <w:rPr>
                <w:spacing w:val="-7"/>
                <w:sz w:val="20"/>
              </w:rPr>
              <w:t> </w:t>
            </w:r>
            <w:r>
              <w:rPr>
                <w:sz w:val="20"/>
              </w:rPr>
              <w:t>A20.7,</w:t>
            </w:r>
            <w:r>
              <w:rPr>
                <w:spacing w:val="-6"/>
                <w:sz w:val="20"/>
              </w:rPr>
              <w:t> </w:t>
            </w:r>
            <w:r>
              <w:rPr>
                <w:spacing w:val="-2"/>
                <w:sz w:val="20"/>
              </w:rPr>
              <w:t>A20.8,</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9" w:lineRule="exact"/>
              <w:ind w:left="260" w:right="897"/>
              <w:jc w:val="center"/>
              <w:rPr>
                <w:sz w:val="20"/>
              </w:rPr>
            </w:pPr>
            <w:r>
              <w:rPr>
                <w:sz w:val="20"/>
              </w:rPr>
              <w:t>A20.9,</w:t>
            </w:r>
            <w:r>
              <w:rPr>
                <w:spacing w:val="-6"/>
                <w:sz w:val="20"/>
              </w:rPr>
              <w:t> </w:t>
            </w:r>
            <w:r>
              <w:rPr>
                <w:sz w:val="20"/>
              </w:rPr>
              <w:t>A21.0,</w:t>
            </w:r>
            <w:r>
              <w:rPr>
                <w:spacing w:val="-5"/>
                <w:sz w:val="20"/>
              </w:rPr>
              <w:t> </w:t>
            </w:r>
            <w:r>
              <w:rPr>
                <w:sz w:val="20"/>
              </w:rPr>
              <w:t>A21.1,</w:t>
            </w:r>
            <w:r>
              <w:rPr>
                <w:spacing w:val="-6"/>
                <w:sz w:val="20"/>
              </w:rPr>
              <w:t> </w:t>
            </w:r>
            <w:r>
              <w:rPr>
                <w:sz w:val="20"/>
              </w:rPr>
              <w:t>A21.2,</w:t>
            </w:r>
            <w:r>
              <w:rPr>
                <w:spacing w:val="-7"/>
                <w:sz w:val="20"/>
              </w:rPr>
              <w:t> </w:t>
            </w:r>
            <w:r>
              <w:rPr>
                <w:sz w:val="20"/>
              </w:rPr>
              <w:t>A21.3,</w:t>
            </w:r>
            <w:r>
              <w:rPr>
                <w:spacing w:val="-6"/>
                <w:sz w:val="20"/>
              </w:rPr>
              <w:t> </w:t>
            </w:r>
            <w:r>
              <w:rPr>
                <w:spacing w:val="-2"/>
                <w:sz w:val="20"/>
              </w:rPr>
              <w:t>A21.7,</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5" w:lineRule="exact"/>
              <w:ind w:left="260" w:right="897"/>
              <w:jc w:val="center"/>
              <w:rPr>
                <w:sz w:val="20"/>
              </w:rPr>
            </w:pPr>
            <w:r>
              <w:rPr>
                <w:sz w:val="20"/>
              </w:rPr>
              <w:t>A21.8,</w:t>
            </w:r>
            <w:r>
              <w:rPr>
                <w:spacing w:val="-6"/>
                <w:sz w:val="20"/>
              </w:rPr>
              <w:t> </w:t>
            </w:r>
            <w:r>
              <w:rPr>
                <w:sz w:val="20"/>
              </w:rPr>
              <w:t>A21.9,</w:t>
            </w:r>
            <w:r>
              <w:rPr>
                <w:spacing w:val="-5"/>
                <w:sz w:val="20"/>
              </w:rPr>
              <w:t> </w:t>
            </w:r>
            <w:r>
              <w:rPr>
                <w:sz w:val="20"/>
              </w:rPr>
              <w:t>A22.0,</w:t>
            </w:r>
            <w:r>
              <w:rPr>
                <w:spacing w:val="-6"/>
                <w:sz w:val="20"/>
              </w:rPr>
              <w:t> </w:t>
            </w:r>
            <w:r>
              <w:rPr>
                <w:sz w:val="20"/>
              </w:rPr>
              <w:t>A22.1,</w:t>
            </w:r>
            <w:r>
              <w:rPr>
                <w:spacing w:val="-7"/>
                <w:sz w:val="20"/>
              </w:rPr>
              <w:t> </w:t>
            </w:r>
            <w:r>
              <w:rPr>
                <w:sz w:val="20"/>
              </w:rPr>
              <w:t>A22.2,</w:t>
            </w:r>
            <w:r>
              <w:rPr>
                <w:spacing w:val="-6"/>
                <w:sz w:val="20"/>
              </w:rPr>
              <w:t> </w:t>
            </w:r>
            <w:r>
              <w:rPr>
                <w:spacing w:val="-2"/>
                <w:sz w:val="20"/>
              </w:rPr>
              <w:t>A22.7,</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A22.8,</w:t>
      </w:r>
      <w:r>
        <w:rPr>
          <w:spacing w:val="-6"/>
          <w:sz w:val="20"/>
        </w:rPr>
        <w:t> </w:t>
      </w:r>
      <w:r>
        <w:rPr>
          <w:sz w:val="20"/>
        </w:rPr>
        <w:t>A22.9,</w:t>
      </w:r>
      <w:r>
        <w:rPr>
          <w:spacing w:val="-5"/>
          <w:sz w:val="20"/>
        </w:rPr>
        <w:t> </w:t>
      </w:r>
      <w:r>
        <w:rPr>
          <w:sz w:val="20"/>
        </w:rPr>
        <w:t>A23.0,</w:t>
      </w:r>
      <w:r>
        <w:rPr>
          <w:spacing w:val="-6"/>
          <w:sz w:val="20"/>
        </w:rPr>
        <w:t> </w:t>
      </w:r>
      <w:r>
        <w:rPr>
          <w:sz w:val="20"/>
        </w:rPr>
        <w:t>A23.1,</w:t>
      </w:r>
      <w:r>
        <w:rPr>
          <w:spacing w:val="-7"/>
          <w:sz w:val="20"/>
        </w:rPr>
        <w:t> </w:t>
      </w:r>
      <w:r>
        <w:rPr>
          <w:sz w:val="20"/>
        </w:rPr>
        <w:t>A23.2,</w:t>
      </w:r>
      <w:r>
        <w:rPr>
          <w:spacing w:val="-6"/>
          <w:sz w:val="20"/>
        </w:rPr>
        <w:t> </w:t>
      </w:r>
      <w:r>
        <w:rPr>
          <w:spacing w:val="-2"/>
          <w:sz w:val="20"/>
        </w:rPr>
        <w:t>A23.3,</w:t>
      </w:r>
    </w:p>
    <w:p>
      <w:pPr>
        <w:spacing w:line="229" w:lineRule="exact" w:before="1"/>
        <w:ind w:left="1159" w:right="4154" w:firstLine="0"/>
        <w:jc w:val="center"/>
        <w:rPr>
          <w:sz w:val="20"/>
        </w:rPr>
      </w:pPr>
      <w:r>
        <w:rPr>
          <w:sz w:val="20"/>
        </w:rPr>
        <w:t>A23.8,</w:t>
      </w:r>
      <w:r>
        <w:rPr>
          <w:spacing w:val="-6"/>
          <w:sz w:val="20"/>
        </w:rPr>
        <w:t> </w:t>
      </w:r>
      <w:r>
        <w:rPr>
          <w:sz w:val="20"/>
        </w:rPr>
        <w:t>A23.9,</w:t>
      </w:r>
      <w:r>
        <w:rPr>
          <w:spacing w:val="-5"/>
          <w:sz w:val="20"/>
        </w:rPr>
        <w:t> </w:t>
      </w:r>
      <w:r>
        <w:rPr>
          <w:sz w:val="20"/>
        </w:rPr>
        <w:t>A24.0,</w:t>
      </w:r>
      <w:r>
        <w:rPr>
          <w:spacing w:val="-6"/>
          <w:sz w:val="20"/>
        </w:rPr>
        <w:t> </w:t>
      </w:r>
      <w:r>
        <w:rPr>
          <w:sz w:val="20"/>
        </w:rPr>
        <w:t>A24.1,</w:t>
      </w:r>
      <w:r>
        <w:rPr>
          <w:spacing w:val="-7"/>
          <w:sz w:val="20"/>
        </w:rPr>
        <w:t> </w:t>
      </w:r>
      <w:r>
        <w:rPr>
          <w:sz w:val="20"/>
        </w:rPr>
        <w:t>A24.2,</w:t>
      </w:r>
      <w:r>
        <w:rPr>
          <w:spacing w:val="-6"/>
          <w:sz w:val="20"/>
        </w:rPr>
        <w:t> </w:t>
      </w:r>
      <w:r>
        <w:rPr>
          <w:spacing w:val="-2"/>
          <w:sz w:val="20"/>
        </w:rPr>
        <w:t>A24.3,</w:t>
      </w:r>
    </w:p>
    <w:p>
      <w:pPr>
        <w:spacing w:line="229" w:lineRule="exact" w:before="0"/>
        <w:ind w:left="1159" w:right="4154" w:firstLine="0"/>
        <w:jc w:val="center"/>
        <w:rPr>
          <w:sz w:val="20"/>
        </w:rPr>
      </w:pPr>
      <w:r>
        <w:rPr>
          <w:sz w:val="20"/>
        </w:rPr>
        <w:t>A24.4,</w:t>
      </w:r>
      <w:r>
        <w:rPr>
          <w:spacing w:val="-6"/>
          <w:sz w:val="20"/>
        </w:rPr>
        <w:t> </w:t>
      </w:r>
      <w:r>
        <w:rPr>
          <w:sz w:val="20"/>
        </w:rPr>
        <w:t>A25.0,</w:t>
      </w:r>
      <w:r>
        <w:rPr>
          <w:spacing w:val="-5"/>
          <w:sz w:val="20"/>
        </w:rPr>
        <w:t> </w:t>
      </w:r>
      <w:r>
        <w:rPr>
          <w:sz w:val="20"/>
        </w:rPr>
        <w:t>A25.1,</w:t>
      </w:r>
      <w:r>
        <w:rPr>
          <w:spacing w:val="-6"/>
          <w:sz w:val="20"/>
        </w:rPr>
        <w:t> </w:t>
      </w:r>
      <w:r>
        <w:rPr>
          <w:sz w:val="20"/>
        </w:rPr>
        <w:t>A25.9,</w:t>
      </w:r>
      <w:r>
        <w:rPr>
          <w:spacing w:val="-7"/>
          <w:sz w:val="20"/>
        </w:rPr>
        <w:t> </w:t>
      </w:r>
      <w:r>
        <w:rPr>
          <w:sz w:val="20"/>
        </w:rPr>
        <w:t>A27.0,</w:t>
      </w:r>
      <w:r>
        <w:rPr>
          <w:spacing w:val="-6"/>
          <w:sz w:val="20"/>
        </w:rPr>
        <w:t> </w:t>
      </w:r>
      <w:r>
        <w:rPr>
          <w:spacing w:val="-2"/>
          <w:sz w:val="20"/>
        </w:rPr>
        <w:t>A27.8,</w:t>
      </w:r>
    </w:p>
    <w:p>
      <w:pPr>
        <w:spacing w:before="0"/>
        <w:ind w:left="1160" w:right="4154" w:firstLine="0"/>
        <w:jc w:val="center"/>
        <w:rPr>
          <w:sz w:val="20"/>
        </w:rPr>
      </w:pPr>
      <w:r>
        <w:rPr>
          <w:sz w:val="20"/>
        </w:rPr>
        <w:t>A27.9,</w:t>
      </w:r>
      <w:r>
        <w:rPr>
          <w:spacing w:val="-6"/>
          <w:sz w:val="20"/>
        </w:rPr>
        <w:t> </w:t>
      </w:r>
      <w:r>
        <w:rPr>
          <w:sz w:val="20"/>
        </w:rPr>
        <w:t>A28,</w:t>
      </w:r>
      <w:r>
        <w:rPr>
          <w:spacing w:val="-6"/>
          <w:sz w:val="20"/>
        </w:rPr>
        <w:t> </w:t>
      </w:r>
      <w:r>
        <w:rPr>
          <w:sz w:val="20"/>
        </w:rPr>
        <w:t>A28.0,</w:t>
      </w:r>
      <w:r>
        <w:rPr>
          <w:spacing w:val="-6"/>
          <w:sz w:val="20"/>
        </w:rPr>
        <w:t> </w:t>
      </w:r>
      <w:r>
        <w:rPr>
          <w:sz w:val="20"/>
        </w:rPr>
        <w:t>A28.1,</w:t>
      </w:r>
      <w:r>
        <w:rPr>
          <w:spacing w:val="-6"/>
          <w:sz w:val="20"/>
        </w:rPr>
        <w:t> </w:t>
      </w:r>
      <w:r>
        <w:rPr>
          <w:sz w:val="20"/>
        </w:rPr>
        <w:t>A28.2,</w:t>
      </w:r>
      <w:r>
        <w:rPr>
          <w:spacing w:val="-6"/>
          <w:sz w:val="20"/>
        </w:rPr>
        <w:t> </w:t>
      </w:r>
      <w:r>
        <w:rPr>
          <w:sz w:val="20"/>
        </w:rPr>
        <w:t>A28.8,</w:t>
      </w:r>
      <w:r>
        <w:rPr>
          <w:spacing w:val="-6"/>
          <w:sz w:val="20"/>
        </w:rPr>
        <w:t> </w:t>
      </w:r>
      <w:r>
        <w:rPr>
          <w:spacing w:val="-2"/>
          <w:sz w:val="20"/>
        </w:rPr>
        <w:t>A28.9,</w:t>
      </w:r>
    </w:p>
    <w:p>
      <w:pPr>
        <w:spacing w:before="1"/>
        <w:ind w:left="1159" w:right="4154" w:firstLine="0"/>
        <w:jc w:val="center"/>
        <w:rPr>
          <w:sz w:val="20"/>
        </w:rPr>
      </w:pPr>
      <w:r>
        <w:rPr>
          <w:sz w:val="20"/>
        </w:rPr>
        <w:t>A30.0,</w:t>
      </w:r>
      <w:r>
        <w:rPr>
          <w:spacing w:val="-6"/>
          <w:sz w:val="20"/>
        </w:rPr>
        <w:t> </w:t>
      </w:r>
      <w:r>
        <w:rPr>
          <w:sz w:val="20"/>
        </w:rPr>
        <w:t>A30.1,</w:t>
      </w:r>
      <w:r>
        <w:rPr>
          <w:spacing w:val="-5"/>
          <w:sz w:val="20"/>
        </w:rPr>
        <w:t> </w:t>
      </w:r>
      <w:r>
        <w:rPr>
          <w:sz w:val="20"/>
        </w:rPr>
        <w:t>A30.2,</w:t>
      </w:r>
      <w:r>
        <w:rPr>
          <w:spacing w:val="-6"/>
          <w:sz w:val="20"/>
        </w:rPr>
        <w:t> </w:t>
      </w:r>
      <w:r>
        <w:rPr>
          <w:sz w:val="20"/>
        </w:rPr>
        <w:t>A30.3,</w:t>
      </w:r>
      <w:r>
        <w:rPr>
          <w:spacing w:val="-7"/>
          <w:sz w:val="20"/>
        </w:rPr>
        <w:t> </w:t>
      </w:r>
      <w:r>
        <w:rPr>
          <w:sz w:val="20"/>
        </w:rPr>
        <w:t>A30.4,</w:t>
      </w:r>
      <w:r>
        <w:rPr>
          <w:spacing w:val="-6"/>
          <w:sz w:val="20"/>
        </w:rPr>
        <w:t> </w:t>
      </w:r>
      <w:r>
        <w:rPr>
          <w:spacing w:val="-2"/>
          <w:sz w:val="20"/>
        </w:rPr>
        <w:t>A30.5,</w:t>
      </w:r>
    </w:p>
    <w:p>
      <w:pPr>
        <w:spacing w:before="0"/>
        <w:ind w:left="1164" w:right="4154" w:firstLine="0"/>
        <w:jc w:val="center"/>
        <w:rPr>
          <w:sz w:val="20"/>
        </w:rPr>
      </w:pPr>
      <w:r>
        <w:rPr>
          <w:sz w:val="20"/>
        </w:rPr>
        <w:t>A30.8,</w:t>
      </w:r>
      <w:r>
        <w:rPr>
          <w:spacing w:val="-6"/>
          <w:sz w:val="20"/>
        </w:rPr>
        <w:t> </w:t>
      </w:r>
      <w:r>
        <w:rPr>
          <w:sz w:val="20"/>
        </w:rPr>
        <w:t>A30.9,</w:t>
      </w:r>
      <w:r>
        <w:rPr>
          <w:spacing w:val="-5"/>
          <w:sz w:val="20"/>
        </w:rPr>
        <w:t> </w:t>
      </w:r>
      <w:r>
        <w:rPr>
          <w:sz w:val="20"/>
        </w:rPr>
        <w:t>A31.0,</w:t>
      </w:r>
      <w:r>
        <w:rPr>
          <w:spacing w:val="-6"/>
          <w:sz w:val="20"/>
        </w:rPr>
        <w:t> </w:t>
      </w:r>
      <w:r>
        <w:rPr>
          <w:sz w:val="20"/>
        </w:rPr>
        <w:t>A31.1,</w:t>
      </w:r>
      <w:r>
        <w:rPr>
          <w:spacing w:val="-7"/>
          <w:sz w:val="20"/>
        </w:rPr>
        <w:t> </w:t>
      </w:r>
      <w:r>
        <w:rPr>
          <w:sz w:val="20"/>
        </w:rPr>
        <w:t>A31.8,</w:t>
      </w:r>
      <w:r>
        <w:rPr>
          <w:spacing w:val="-6"/>
          <w:sz w:val="20"/>
        </w:rPr>
        <w:t> </w:t>
      </w:r>
      <w:r>
        <w:rPr>
          <w:spacing w:val="-2"/>
          <w:sz w:val="20"/>
        </w:rPr>
        <w:t>A31.9,</w:t>
      </w:r>
    </w:p>
    <w:p>
      <w:pPr>
        <w:spacing w:before="0"/>
        <w:ind w:left="1160" w:right="4154" w:firstLine="0"/>
        <w:jc w:val="center"/>
        <w:rPr>
          <w:sz w:val="20"/>
        </w:rPr>
      </w:pPr>
      <w:r>
        <w:rPr>
          <w:sz w:val="20"/>
        </w:rPr>
        <w:t>A32.0,</w:t>
      </w:r>
      <w:r>
        <w:rPr>
          <w:spacing w:val="-6"/>
          <w:sz w:val="20"/>
        </w:rPr>
        <w:t> </w:t>
      </w:r>
      <w:r>
        <w:rPr>
          <w:sz w:val="20"/>
        </w:rPr>
        <w:t>A32.1,</w:t>
      </w:r>
      <w:r>
        <w:rPr>
          <w:spacing w:val="-5"/>
          <w:sz w:val="20"/>
        </w:rPr>
        <w:t> </w:t>
      </w:r>
      <w:r>
        <w:rPr>
          <w:sz w:val="20"/>
        </w:rPr>
        <w:t>A32.7,</w:t>
      </w:r>
      <w:r>
        <w:rPr>
          <w:spacing w:val="-6"/>
          <w:sz w:val="20"/>
        </w:rPr>
        <w:t> </w:t>
      </w:r>
      <w:r>
        <w:rPr>
          <w:sz w:val="20"/>
        </w:rPr>
        <w:t>A32.8,</w:t>
      </w:r>
      <w:r>
        <w:rPr>
          <w:spacing w:val="-7"/>
          <w:sz w:val="20"/>
        </w:rPr>
        <w:t> </w:t>
      </w:r>
      <w:r>
        <w:rPr>
          <w:sz w:val="20"/>
        </w:rPr>
        <w:t>A32.9,</w:t>
      </w:r>
      <w:r>
        <w:rPr>
          <w:spacing w:val="-5"/>
          <w:sz w:val="20"/>
        </w:rPr>
        <w:t> </w:t>
      </w:r>
      <w:r>
        <w:rPr>
          <w:sz w:val="20"/>
        </w:rPr>
        <w:t>A35,</w:t>
      </w:r>
      <w:r>
        <w:rPr>
          <w:spacing w:val="-6"/>
          <w:sz w:val="20"/>
        </w:rPr>
        <w:t> </w:t>
      </w:r>
      <w:r>
        <w:rPr>
          <w:spacing w:val="-2"/>
          <w:sz w:val="20"/>
        </w:rPr>
        <w:t>A36.0,</w:t>
      </w:r>
    </w:p>
    <w:p>
      <w:pPr>
        <w:spacing w:line="229" w:lineRule="exact" w:before="1"/>
        <w:ind w:left="1159" w:right="4154" w:firstLine="0"/>
        <w:jc w:val="center"/>
        <w:rPr>
          <w:sz w:val="20"/>
        </w:rPr>
      </w:pPr>
      <w:r>
        <w:rPr>
          <w:sz w:val="20"/>
        </w:rPr>
        <w:t>A36.1,</w:t>
      </w:r>
      <w:r>
        <w:rPr>
          <w:spacing w:val="-6"/>
          <w:sz w:val="20"/>
        </w:rPr>
        <w:t> </w:t>
      </w:r>
      <w:r>
        <w:rPr>
          <w:sz w:val="20"/>
        </w:rPr>
        <w:t>A36.2,</w:t>
      </w:r>
      <w:r>
        <w:rPr>
          <w:spacing w:val="-5"/>
          <w:sz w:val="20"/>
        </w:rPr>
        <w:t> </w:t>
      </w:r>
      <w:r>
        <w:rPr>
          <w:sz w:val="20"/>
        </w:rPr>
        <w:t>A36.3,</w:t>
      </w:r>
      <w:r>
        <w:rPr>
          <w:spacing w:val="-6"/>
          <w:sz w:val="20"/>
        </w:rPr>
        <w:t> </w:t>
      </w:r>
      <w:r>
        <w:rPr>
          <w:sz w:val="20"/>
        </w:rPr>
        <w:t>A36.8,</w:t>
      </w:r>
      <w:r>
        <w:rPr>
          <w:spacing w:val="-7"/>
          <w:sz w:val="20"/>
        </w:rPr>
        <w:t> </w:t>
      </w:r>
      <w:r>
        <w:rPr>
          <w:sz w:val="20"/>
        </w:rPr>
        <w:t>A36.9,</w:t>
      </w:r>
      <w:r>
        <w:rPr>
          <w:spacing w:val="-6"/>
          <w:sz w:val="20"/>
        </w:rPr>
        <w:t> </w:t>
      </w:r>
      <w:r>
        <w:rPr>
          <w:spacing w:val="-2"/>
          <w:sz w:val="20"/>
        </w:rPr>
        <w:t>A37.0,</w:t>
      </w:r>
    </w:p>
    <w:p>
      <w:pPr>
        <w:spacing w:line="229" w:lineRule="exact" w:before="0"/>
        <w:ind w:left="1160" w:right="4154" w:firstLine="0"/>
        <w:jc w:val="center"/>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A39.1,</w:t>
      </w:r>
      <w:r>
        <w:rPr>
          <w:spacing w:val="-6"/>
          <w:sz w:val="20"/>
        </w:rPr>
        <w:t> </w:t>
      </w:r>
      <w:r>
        <w:rPr>
          <w:spacing w:val="-2"/>
          <w:sz w:val="20"/>
        </w:rPr>
        <w:t>A39.2,</w:t>
      </w:r>
    </w:p>
    <w:p>
      <w:pPr>
        <w:spacing w:before="1"/>
        <w:ind w:left="4825" w:right="0" w:firstLine="0"/>
        <w:jc w:val="left"/>
        <w:rPr>
          <w:sz w:val="20"/>
        </w:rPr>
      </w:pPr>
      <w:r>
        <w:rPr>
          <w:sz w:val="20"/>
        </w:rPr>
        <w:t>A39.3,</w:t>
      </w:r>
      <w:r>
        <w:rPr>
          <w:spacing w:val="-6"/>
          <w:sz w:val="20"/>
        </w:rPr>
        <w:t> </w:t>
      </w:r>
      <w:r>
        <w:rPr>
          <w:sz w:val="20"/>
        </w:rPr>
        <w:t>A39.4,</w:t>
      </w:r>
      <w:r>
        <w:rPr>
          <w:spacing w:val="-5"/>
          <w:sz w:val="20"/>
        </w:rPr>
        <w:t> </w:t>
      </w:r>
      <w:r>
        <w:rPr>
          <w:sz w:val="20"/>
        </w:rPr>
        <w:t>A39.5,</w:t>
      </w:r>
      <w:r>
        <w:rPr>
          <w:spacing w:val="-6"/>
          <w:sz w:val="20"/>
        </w:rPr>
        <w:t> </w:t>
      </w:r>
      <w:r>
        <w:rPr>
          <w:sz w:val="20"/>
        </w:rPr>
        <w:t>A39.8,</w:t>
      </w:r>
      <w:r>
        <w:rPr>
          <w:spacing w:val="-7"/>
          <w:sz w:val="20"/>
        </w:rPr>
        <w:t> </w:t>
      </w:r>
      <w:r>
        <w:rPr>
          <w:sz w:val="20"/>
        </w:rPr>
        <w:t>A39.9,</w:t>
      </w:r>
      <w:r>
        <w:rPr>
          <w:spacing w:val="-6"/>
          <w:sz w:val="20"/>
        </w:rPr>
        <w:t> </w:t>
      </w:r>
      <w:r>
        <w:rPr>
          <w:spacing w:val="-2"/>
          <w:sz w:val="20"/>
        </w:rPr>
        <w:t>A40.0,</w:t>
      </w:r>
    </w:p>
    <w:p>
      <w:pPr>
        <w:spacing w:before="0"/>
        <w:ind w:left="4825" w:right="0" w:firstLine="0"/>
        <w:jc w:val="left"/>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p>
      <w:pPr>
        <w:spacing w:before="1"/>
        <w:ind w:left="4825" w:right="0" w:firstLine="0"/>
        <w:jc w:val="left"/>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 </w:t>
      </w:r>
      <w:r>
        <w:rPr>
          <w:spacing w:val="-2"/>
          <w:sz w:val="20"/>
        </w:rPr>
        <w:t>A41.8,</w:t>
      </w:r>
    </w:p>
    <w:p>
      <w:pPr>
        <w:spacing w:before="0"/>
        <w:ind w:left="4825" w:right="0" w:firstLine="0"/>
        <w:jc w:val="left"/>
        <w:rPr>
          <w:sz w:val="20"/>
        </w:rPr>
      </w:pPr>
      <w:r>
        <w:rPr>
          <w:sz w:val="20"/>
        </w:rPr>
        <w:t>A41.9,</w:t>
      </w:r>
      <w:r>
        <w:rPr>
          <w:spacing w:val="-6"/>
          <w:sz w:val="20"/>
        </w:rPr>
        <w:t> </w:t>
      </w:r>
      <w:r>
        <w:rPr>
          <w:sz w:val="20"/>
        </w:rPr>
        <w:t>A42.0,</w:t>
      </w:r>
      <w:r>
        <w:rPr>
          <w:spacing w:val="-5"/>
          <w:sz w:val="20"/>
        </w:rPr>
        <w:t> </w:t>
      </w:r>
      <w:r>
        <w:rPr>
          <w:sz w:val="20"/>
        </w:rPr>
        <w:t>A42.1,</w:t>
      </w:r>
      <w:r>
        <w:rPr>
          <w:spacing w:val="-6"/>
          <w:sz w:val="20"/>
        </w:rPr>
        <w:t> </w:t>
      </w:r>
      <w:r>
        <w:rPr>
          <w:sz w:val="20"/>
        </w:rPr>
        <w:t>A42.2,</w:t>
      </w:r>
      <w:r>
        <w:rPr>
          <w:spacing w:val="-7"/>
          <w:sz w:val="20"/>
        </w:rPr>
        <w:t> </w:t>
      </w:r>
      <w:r>
        <w:rPr>
          <w:sz w:val="20"/>
        </w:rPr>
        <w:t>A42.7,</w:t>
      </w:r>
      <w:r>
        <w:rPr>
          <w:spacing w:val="-6"/>
          <w:sz w:val="20"/>
        </w:rPr>
        <w:t> </w:t>
      </w:r>
      <w:r>
        <w:rPr>
          <w:spacing w:val="-2"/>
          <w:sz w:val="20"/>
        </w:rPr>
        <w:t>A42.8,</w:t>
      </w:r>
    </w:p>
    <w:p>
      <w:pPr>
        <w:spacing w:line="229" w:lineRule="exact" w:before="1"/>
        <w:ind w:left="1159" w:right="4154" w:firstLine="0"/>
        <w:jc w:val="center"/>
        <w:rPr>
          <w:sz w:val="20"/>
        </w:rPr>
      </w:pPr>
      <w:r>
        <w:rPr>
          <w:sz w:val="20"/>
        </w:rPr>
        <w:t>A42.9,</w:t>
      </w:r>
      <w:r>
        <w:rPr>
          <w:spacing w:val="-6"/>
          <w:sz w:val="20"/>
        </w:rPr>
        <w:t> </w:t>
      </w:r>
      <w:r>
        <w:rPr>
          <w:sz w:val="20"/>
        </w:rPr>
        <w:t>A43.0,</w:t>
      </w:r>
      <w:r>
        <w:rPr>
          <w:spacing w:val="-5"/>
          <w:sz w:val="20"/>
        </w:rPr>
        <w:t> </w:t>
      </w:r>
      <w:r>
        <w:rPr>
          <w:sz w:val="20"/>
        </w:rPr>
        <w:t>A43.1,</w:t>
      </w:r>
      <w:r>
        <w:rPr>
          <w:spacing w:val="-6"/>
          <w:sz w:val="20"/>
        </w:rPr>
        <w:t> </w:t>
      </w:r>
      <w:r>
        <w:rPr>
          <w:sz w:val="20"/>
        </w:rPr>
        <w:t>A43.8,</w:t>
      </w:r>
      <w:r>
        <w:rPr>
          <w:spacing w:val="-7"/>
          <w:sz w:val="20"/>
        </w:rPr>
        <w:t> </w:t>
      </w:r>
      <w:r>
        <w:rPr>
          <w:sz w:val="20"/>
        </w:rPr>
        <w:t>A43.9,</w:t>
      </w:r>
      <w:r>
        <w:rPr>
          <w:spacing w:val="-6"/>
          <w:sz w:val="20"/>
        </w:rPr>
        <w:t> </w:t>
      </w:r>
      <w:r>
        <w:rPr>
          <w:spacing w:val="-2"/>
          <w:sz w:val="20"/>
        </w:rPr>
        <w:t>A44.0,</w:t>
      </w:r>
    </w:p>
    <w:p>
      <w:pPr>
        <w:spacing w:line="229" w:lineRule="exact" w:before="0"/>
        <w:ind w:left="1160" w:right="4154" w:firstLine="0"/>
        <w:jc w:val="center"/>
        <w:rPr>
          <w:sz w:val="20"/>
        </w:rPr>
      </w:pPr>
      <w:r>
        <w:rPr>
          <w:sz w:val="20"/>
        </w:rPr>
        <w:t>A44.1,</w:t>
      </w:r>
      <w:r>
        <w:rPr>
          <w:spacing w:val="-6"/>
          <w:sz w:val="20"/>
        </w:rPr>
        <w:t> </w:t>
      </w:r>
      <w:r>
        <w:rPr>
          <w:sz w:val="20"/>
        </w:rPr>
        <w:t>A44.8,</w:t>
      </w:r>
      <w:r>
        <w:rPr>
          <w:spacing w:val="-6"/>
          <w:sz w:val="20"/>
        </w:rPr>
        <w:t> </w:t>
      </w:r>
      <w:r>
        <w:rPr>
          <w:sz w:val="20"/>
        </w:rPr>
        <w:t>A44.9,</w:t>
      </w:r>
      <w:r>
        <w:rPr>
          <w:spacing w:val="-6"/>
          <w:sz w:val="20"/>
        </w:rPr>
        <w:t> </w:t>
      </w:r>
      <w:r>
        <w:rPr>
          <w:sz w:val="20"/>
        </w:rPr>
        <w:t>A46,</w:t>
      </w:r>
      <w:r>
        <w:rPr>
          <w:spacing w:val="-6"/>
          <w:sz w:val="20"/>
        </w:rPr>
        <w:t> </w:t>
      </w:r>
      <w:r>
        <w:rPr>
          <w:sz w:val="20"/>
        </w:rPr>
        <w:t>A48.1,</w:t>
      </w:r>
      <w:r>
        <w:rPr>
          <w:spacing w:val="-6"/>
          <w:sz w:val="20"/>
        </w:rPr>
        <w:t> </w:t>
      </w:r>
      <w:r>
        <w:rPr>
          <w:sz w:val="20"/>
        </w:rPr>
        <w:t>A48.2,</w:t>
      </w:r>
      <w:r>
        <w:rPr>
          <w:spacing w:val="-6"/>
          <w:sz w:val="20"/>
        </w:rPr>
        <w:t> </w:t>
      </w:r>
      <w:r>
        <w:rPr>
          <w:spacing w:val="-2"/>
          <w:sz w:val="20"/>
        </w:rPr>
        <w:t>A48.3,</w:t>
      </w:r>
    </w:p>
    <w:p>
      <w:pPr>
        <w:spacing w:before="0"/>
        <w:ind w:left="1159" w:right="4154" w:firstLine="0"/>
        <w:jc w:val="center"/>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p>
      <w:pPr>
        <w:spacing w:before="0"/>
        <w:ind w:left="1160" w:right="4154" w:firstLine="0"/>
        <w:jc w:val="center"/>
        <w:rPr>
          <w:sz w:val="20"/>
        </w:rPr>
      </w:pPr>
      <w:r>
        <w:rPr>
          <w:sz w:val="20"/>
        </w:rPr>
        <w:t>A49.8,</w:t>
      </w:r>
      <w:r>
        <w:rPr>
          <w:spacing w:val="-6"/>
          <w:sz w:val="20"/>
        </w:rPr>
        <w:t> </w:t>
      </w:r>
      <w:r>
        <w:rPr>
          <w:sz w:val="20"/>
        </w:rPr>
        <w:t>A49.9,</w:t>
      </w:r>
      <w:r>
        <w:rPr>
          <w:spacing w:val="-5"/>
          <w:sz w:val="20"/>
        </w:rPr>
        <w:t> </w:t>
      </w:r>
      <w:r>
        <w:rPr>
          <w:sz w:val="20"/>
        </w:rPr>
        <w:t>A68.0,</w:t>
      </w:r>
      <w:r>
        <w:rPr>
          <w:spacing w:val="-6"/>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p>
      <w:pPr>
        <w:spacing w:before="1"/>
        <w:ind w:left="1165" w:right="4154" w:firstLine="0"/>
        <w:jc w:val="center"/>
        <w:rPr>
          <w:sz w:val="20"/>
        </w:rPr>
      </w:pPr>
      <w:r>
        <w:rPr>
          <w:sz w:val="20"/>
        </w:rPr>
        <w:t>A74.8,</w:t>
      </w:r>
      <w:r>
        <w:rPr>
          <w:spacing w:val="-6"/>
          <w:sz w:val="20"/>
        </w:rPr>
        <w:t> </w:t>
      </w:r>
      <w:r>
        <w:rPr>
          <w:sz w:val="20"/>
        </w:rPr>
        <w:t>A74.9,</w:t>
      </w:r>
      <w:r>
        <w:rPr>
          <w:spacing w:val="-5"/>
          <w:sz w:val="20"/>
        </w:rPr>
        <w:t> </w:t>
      </w:r>
      <w:r>
        <w:rPr>
          <w:sz w:val="20"/>
        </w:rPr>
        <w:t>A75,</w:t>
      </w:r>
      <w:r>
        <w:rPr>
          <w:spacing w:val="-5"/>
          <w:sz w:val="20"/>
        </w:rPr>
        <w:t> </w:t>
      </w:r>
      <w:r>
        <w:rPr>
          <w:sz w:val="20"/>
        </w:rPr>
        <w:t>A75.0,</w:t>
      </w:r>
      <w:r>
        <w:rPr>
          <w:spacing w:val="-5"/>
          <w:sz w:val="20"/>
        </w:rPr>
        <w:t> </w:t>
      </w:r>
      <w:r>
        <w:rPr>
          <w:sz w:val="20"/>
        </w:rPr>
        <w:t>A75.1,</w:t>
      </w:r>
      <w:r>
        <w:rPr>
          <w:spacing w:val="-5"/>
          <w:sz w:val="20"/>
        </w:rPr>
        <w:t> </w:t>
      </w:r>
      <w:r>
        <w:rPr>
          <w:sz w:val="20"/>
        </w:rPr>
        <w:t>A75.2,</w:t>
      </w:r>
      <w:r>
        <w:rPr>
          <w:spacing w:val="-6"/>
          <w:sz w:val="20"/>
        </w:rPr>
        <w:t> </w:t>
      </w:r>
      <w:r>
        <w:rPr>
          <w:spacing w:val="-2"/>
          <w:sz w:val="20"/>
        </w:rPr>
        <w:t>A75.3,</w:t>
      </w:r>
    </w:p>
    <w:p>
      <w:pPr>
        <w:spacing w:before="1"/>
        <w:ind w:left="1160" w:right="4154" w:firstLine="0"/>
        <w:jc w:val="center"/>
        <w:rPr>
          <w:sz w:val="20"/>
        </w:rPr>
      </w:pPr>
      <w:r>
        <w:rPr>
          <w:sz w:val="20"/>
        </w:rPr>
        <w:t>A75.9,</w:t>
      </w:r>
      <w:r>
        <w:rPr>
          <w:spacing w:val="-6"/>
          <w:sz w:val="20"/>
        </w:rPr>
        <w:t> </w:t>
      </w:r>
      <w:r>
        <w:rPr>
          <w:sz w:val="20"/>
        </w:rPr>
        <w:t>A77,</w:t>
      </w:r>
      <w:r>
        <w:rPr>
          <w:spacing w:val="-6"/>
          <w:sz w:val="20"/>
        </w:rPr>
        <w:t> </w:t>
      </w:r>
      <w:r>
        <w:rPr>
          <w:sz w:val="20"/>
        </w:rPr>
        <w:t>A77.0,</w:t>
      </w:r>
      <w:r>
        <w:rPr>
          <w:spacing w:val="-6"/>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p>
      <w:pPr>
        <w:spacing w:line="229" w:lineRule="exact" w:before="0"/>
        <w:ind w:left="1160" w:right="4154" w:firstLine="0"/>
        <w:jc w:val="center"/>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p>
      <w:pPr>
        <w:spacing w:line="229" w:lineRule="exact" w:before="0"/>
        <w:ind w:left="1160" w:right="4154" w:firstLine="0"/>
        <w:jc w:val="center"/>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p>
      <w:pPr>
        <w:spacing w:before="0"/>
        <w:ind w:left="4679" w:right="0" w:firstLine="0"/>
        <w:jc w:val="left"/>
        <w:rPr>
          <w:sz w:val="20"/>
        </w:rPr>
      </w:pPr>
      <w:r>
        <w:rPr>
          <w:sz w:val="20"/>
        </w:rPr>
        <w:t>A81,</w:t>
      </w:r>
      <w:r>
        <w:rPr>
          <w:spacing w:val="-6"/>
          <w:sz w:val="20"/>
        </w:rPr>
        <w:t> </w:t>
      </w:r>
      <w:r>
        <w:rPr>
          <w:sz w:val="20"/>
        </w:rPr>
        <w:t>A81.0,</w:t>
      </w:r>
      <w:r>
        <w:rPr>
          <w:spacing w:val="-6"/>
          <w:sz w:val="20"/>
        </w:rPr>
        <w:t> </w:t>
      </w:r>
      <w:r>
        <w:rPr>
          <w:sz w:val="20"/>
        </w:rPr>
        <w:t>A81.1,</w:t>
      </w:r>
      <w:r>
        <w:rPr>
          <w:spacing w:val="-6"/>
          <w:sz w:val="20"/>
        </w:rPr>
        <w:t> </w:t>
      </w:r>
      <w:r>
        <w:rPr>
          <w:sz w:val="20"/>
        </w:rPr>
        <w:t>A81.2,</w:t>
      </w:r>
      <w:r>
        <w:rPr>
          <w:spacing w:val="-6"/>
          <w:sz w:val="20"/>
        </w:rPr>
        <w:t> </w:t>
      </w:r>
      <w:r>
        <w:rPr>
          <w:sz w:val="20"/>
        </w:rPr>
        <w:t>A81.8,</w:t>
      </w:r>
      <w:r>
        <w:rPr>
          <w:spacing w:val="-6"/>
          <w:sz w:val="20"/>
        </w:rPr>
        <w:t> </w:t>
      </w:r>
      <w:r>
        <w:rPr>
          <w:sz w:val="20"/>
        </w:rPr>
        <w:t>A81.9,</w:t>
      </w:r>
      <w:r>
        <w:rPr>
          <w:spacing w:val="-6"/>
          <w:sz w:val="20"/>
        </w:rPr>
        <w:t> </w:t>
      </w:r>
      <w:r>
        <w:rPr>
          <w:spacing w:val="-4"/>
          <w:sz w:val="20"/>
        </w:rPr>
        <w:t>A82,</w:t>
      </w:r>
    </w:p>
    <w:p>
      <w:pPr>
        <w:spacing w:before="1"/>
        <w:ind w:left="4605" w:right="0" w:firstLine="0"/>
        <w:jc w:val="left"/>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p>
      <w:pPr>
        <w:spacing w:before="0"/>
        <w:ind w:left="4605" w:right="0" w:firstLine="0"/>
        <w:jc w:val="left"/>
        <w:rPr>
          <w:sz w:val="20"/>
        </w:rPr>
      </w:pPr>
      <w:r>
        <w:rPr>
          <w:sz w:val="20"/>
        </w:rPr>
        <w:t>A83.3,</w:t>
      </w:r>
      <w:r>
        <w:rPr>
          <w:spacing w:val="-5"/>
          <w:sz w:val="20"/>
        </w:rPr>
        <w:t> </w:t>
      </w:r>
      <w:r>
        <w:rPr>
          <w:sz w:val="20"/>
        </w:rPr>
        <w:t>A83.4,</w:t>
      </w:r>
      <w:r>
        <w:rPr>
          <w:spacing w:val="-6"/>
          <w:sz w:val="20"/>
        </w:rPr>
        <w:t> </w:t>
      </w:r>
      <w:r>
        <w:rPr>
          <w:sz w:val="20"/>
        </w:rPr>
        <w:t>A83.5,</w:t>
      </w:r>
      <w:r>
        <w:rPr>
          <w:spacing w:val="-5"/>
          <w:sz w:val="20"/>
        </w:rPr>
        <w:t> </w:t>
      </w:r>
      <w:r>
        <w:rPr>
          <w:sz w:val="20"/>
        </w:rPr>
        <w:t>A83.6,</w:t>
      </w:r>
      <w:r>
        <w:rPr>
          <w:spacing w:val="-7"/>
          <w:sz w:val="20"/>
        </w:rPr>
        <w:t> </w:t>
      </w:r>
      <w:r>
        <w:rPr>
          <w:sz w:val="20"/>
        </w:rPr>
        <w:t>A83.8,</w:t>
      </w:r>
      <w:r>
        <w:rPr>
          <w:spacing w:val="-6"/>
          <w:sz w:val="20"/>
        </w:rPr>
        <w:t> </w:t>
      </w:r>
      <w:r>
        <w:rPr>
          <w:sz w:val="20"/>
        </w:rPr>
        <w:t>A83.9,</w:t>
      </w:r>
      <w:r>
        <w:rPr>
          <w:spacing w:val="-5"/>
          <w:sz w:val="20"/>
        </w:rPr>
        <w:t> </w:t>
      </w:r>
      <w:r>
        <w:rPr>
          <w:spacing w:val="-4"/>
          <w:sz w:val="20"/>
        </w:rPr>
        <w:t>A84,</w:t>
      </w:r>
    </w:p>
    <w:p>
      <w:pPr>
        <w:spacing w:line="229" w:lineRule="exact" w:before="1"/>
        <w:ind w:left="4605" w:right="0" w:firstLine="0"/>
        <w:jc w:val="left"/>
        <w:rPr>
          <w:sz w:val="20"/>
        </w:rPr>
      </w:pPr>
      <w:r>
        <w:rPr>
          <w:sz w:val="20"/>
        </w:rPr>
        <w:t>A84.0,</w:t>
      </w:r>
      <w:r>
        <w:rPr>
          <w:spacing w:val="-6"/>
          <w:sz w:val="20"/>
        </w:rPr>
        <w:t> </w:t>
      </w:r>
      <w:r>
        <w:rPr>
          <w:sz w:val="20"/>
        </w:rPr>
        <w:t>A84.1,</w:t>
      </w:r>
      <w:r>
        <w:rPr>
          <w:spacing w:val="-5"/>
          <w:sz w:val="20"/>
        </w:rPr>
        <w:t> </w:t>
      </w:r>
      <w:r>
        <w:rPr>
          <w:sz w:val="20"/>
        </w:rPr>
        <w:t>A84.8,</w:t>
      </w:r>
      <w:r>
        <w:rPr>
          <w:spacing w:val="-6"/>
          <w:sz w:val="20"/>
        </w:rPr>
        <w:t> </w:t>
      </w:r>
      <w:r>
        <w:rPr>
          <w:sz w:val="20"/>
        </w:rPr>
        <w:t>A84.9,</w:t>
      </w:r>
      <w:r>
        <w:rPr>
          <w:spacing w:val="-7"/>
          <w:sz w:val="20"/>
        </w:rPr>
        <w:t> </w:t>
      </w:r>
      <w:r>
        <w:rPr>
          <w:sz w:val="20"/>
        </w:rPr>
        <w:t>A85,</w:t>
      </w:r>
      <w:r>
        <w:rPr>
          <w:spacing w:val="-5"/>
          <w:sz w:val="20"/>
        </w:rPr>
        <w:t> </w:t>
      </w:r>
      <w:r>
        <w:rPr>
          <w:sz w:val="20"/>
        </w:rPr>
        <w:t>A85.0,</w:t>
      </w:r>
      <w:r>
        <w:rPr>
          <w:spacing w:val="-6"/>
          <w:sz w:val="20"/>
        </w:rPr>
        <w:t> </w:t>
      </w:r>
      <w:r>
        <w:rPr>
          <w:spacing w:val="-2"/>
          <w:sz w:val="20"/>
        </w:rPr>
        <w:t>A85.1,</w:t>
      </w:r>
    </w:p>
    <w:p>
      <w:pPr>
        <w:spacing w:line="229" w:lineRule="exact" w:before="0"/>
        <w:ind w:left="4679" w:right="0" w:firstLine="0"/>
        <w:jc w:val="left"/>
        <w:rPr>
          <w:sz w:val="20"/>
        </w:rPr>
      </w:pPr>
      <w:r>
        <w:rPr>
          <w:sz w:val="20"/>
        </w:rPr>
        <w:t>A85.2,</w:t>
      </w:r>
      <w:r>
        <w:rPr>
          <w:spacing w:val="-6"/>
          <w:sz w:val="20"/>
        </w:rPr>
        <w:t> </w:t>
      </w:r>
      <w:r>
        <w:rPr>
          <w:sz w:val="20"/>
        </w:rPr>
        <w:t>A85.8,</w:t>
      </w:r>
      <w:r>
        <w:rPr>
          <w:spacing w:val="-5"/>
          <w:sz w:val="20"/>
        </w:rPr>
        <w:t> </w:t>
      </w:r>
      <w:r>
        <w:rPr>
          <w:sz w:val="20"/>
        </w:rPr>
        <w:t>A86,</w:t>
      </w:r>
      <w:r>
        <w:rPr>
          <w:spacing w:val="-5"/>
          <w:sz w:val="20"/>
        </w:rPr>
        <w:t> </w:t>
      </w:r>
      <w:r>
        <w:rPr>
          <w:sz w:val="20"/>
        </w:rPr>
        <w:t>A87,</w:t>
      </w:r>
      <w:r>
        <w:rPr>
          <w:spacing w:val="-6"/>
          <w:sz w:val="20"/>
        </w:rPr>
        <w:t> </w:t>
      </w:r>
      <w:r>
        <w:rPr>
          <w:sz w:val="20"/>
        </w:rPr>
        <w:t>A87.0,</w:t>
      </w:r>
      <w:r>
        <w:rPr>
          <w:spacing w:val="-5"/>
          <w:sz w:val="20"/>
        </w:rPr>
        <w:t> </w:t>
      </w:r>
      <w:r>
        <w:rPr>
          <w:sz w:val="20"/>
        </w:rPr>
        <w:t>A87.1,</w:t>
      </w:r>
      <w:r>
        <w:rPr>
          <w:spacing w:val="-5"/>
          <w:sz w:val="20"/>
        </w:rPr>
        <w:t> </w:t>
      </w:r>
      <w:r>
        <w:rPr>
          <w:spacing w:val="-2"/>
          <w:sz w:val="20"/>
        </w:rPr>
        <w:t>A87.2,</w:t>
      </w:r>
    </w:p>
    <w:p>
      <w:pPr>
        <w:spacing w:before="0"/>
        <w:ind w:left="4679" w:right="0" w:firstLine="0"/>
        <w:jc w:val="left"/>
        <w:rPr>
          <w:sz w:val="20"/>
        </w:rPr>
      </w:pPr>
      <w:r>
        <w:rPr>
          <w:sz w:val="20"/>
        </w:rPr>
        <w:t>A87.8,</w:t>
      </w:r>
      <w:r>
        <w:rPr>
          <w:spacing w:val="-6"/>
          <w:sz w:val="20"/>
        </w:rPr>
        <w:t> </w:t>
      </w:r>
      <w:r>
        <w:rPr>
          <w:sz w:val="20"/>
        </w:rPr>
        <w:t>A87.9,</w:t>
      </w:r>
      <w:r>
        <w:rPr>
          <w:spacing w:val="-6"/>
          <w:sz w:val="20"/>
        </w:rPr>
        <w:t> </w:t>
      </w:r>
      <w:r>
        <w:rPr>
          <w:sz w:val="20"/>
        </w:rPr>
        <w:t>A88,</w:t>
      </w:r>
      <w:r>
        <w:rPr>
          <w:spacing w:val="-6"/>
          <w:sz w:val="20"/>
        </w:rPr>
        <w:t> </w:t>
      </w:r>
      <w:r>
        <w:rPr>
          <w:sz w:val="20"/>
        </w:rPr>
        <w:t>A88.0,</w:t>
      </w:r>
      <w:r>
        <w:rPr>
          <w:spacing w:val="-6"/>
          <w:sz w:val="20"/>
        </w:rPr>
        <w:t> </w:t>
      </w:r>
      <w:r>
        <w:rPr>
          <w:sz w:val="20"/>
        </w:rPr>
        <w:t>A88.1,</w:t>
      </w:r>
      <w:r>
        <w:rPr>
          <w:spacing w:val="-6"/>
          <w:sz w:val="20"/>
        </w:rPr>
        <w:t> </w:t>
      </w:r>
      <w:r>
        <w:rPr>
          <w:sz w:val="20"/>
        </w:rPr>
        <w:t>A88.8,</w:t>
      </w:r>
      <w:r>
        <w:rPr>
          <w:spacing w:val="-6"/>
          <w:sz w:val="20"/>
        </w:rPr>
        <w:t> </w:t>
      </w:r>
      <w:r>
        <w:rPr>
          <w:spacing w:val="-4"/>
          <w:sz w:val="20"/>
        </w:rPr>
        <w:t>A89,</w:t>
      </w:r>
    </w:p>
    <w:p>
      <w:pPr>
        <w:spacing w:before="1"/>
        <w:ind w:left="4605" w:right="0" w:firstLine="0"/>
        <w:jc w:val="left"/>
        <w:rPr>
          <w:sz w:val="20"/>
        </w:rPr>
      </w:pPr>
      <w:r>
        <w:rPr>
          <w:sz w:val="20"/>
        </w:rPr>
        <w:t>A92,</w:t>
      </w:r>
      <w:r>
        <w:rPr>
          <w:spacing w:val="-6"/>
          <w:sz w:val="20"/>
        </w:rPr>
        <w:t> </w:t>
      </w:r>
      <w:r>
        <w:rPr>
          <w:sz w:val="20"/>
        </w:rPr>
        <w:t>A92.0,</w:t>
      </w:r>
      <w:r>
        <w:rPr>
          <w:spacing w:val="-6"/>
          <w:sz w:val="20"/>
        </w:rPr>
        <w:t> </w:t>
      </w:r>
      <w:r>
        <w:rPr>
          <w:sz w:val="20"/>
        </w:rPr>
        <w:t>A92.1,</w:t>
      </w:r>
      <w:r>
        <w:rPr>
          <w:spacing w:val="-6"/>
          <w:sz w:val="20"/>
        </w:rPr>
        <w:t> </w:t>
      </w:r>
      <w:r>
        <w:rPr>
          <w:sz w:val="20"/>
        </w:rPr>
        <w:t>A92.2,</w:t>
      </w:r>
      <w:r>
        <w:rPr>
          <w:spacing w:val="-6"/>
          <w:sz w:val="20"/>
        </w:rPr>
        <w:t> </w:t>
      </w:r>
      <w:r>
        <w:rPr>
          <w:sz w:val="20"/>
        </w:rPr>
        <w:t>A92.3,</w:t>
      </w:r>
      <w:r>
        <w:rPr>
          <w:spacing w:val="-6"/>
          <w:sz w:val="20"/>
        </w:rPr>
        <w:t> </w:t>
      </w:r>
      <w:r>
        <w:rPr>
          <w:sz w:val="20"/>
        </w:rPr>
        <w:t>A92.4,</w:t>
      </w:r>
      <w:r>
        <w:rPr>
          <w:spacing w:val="-6"/>
          <w:sz w:val="20"/>
        </w:rPr>
        <w:t> </w:t>
      </w:r>
      <w:r>
        <w:rPr>
          <w:spacing w:val="-2"/>
          <w:sz w:val="20"/>
        </w:rPr>
        <w:t>A92.5,</w:t>
      </w:r>
    </w:p>
    <w:p>
      <w:pPr>
        <w:spacing w:before="0"/>
        <w:ind w:left="4605" w:right="0" w:firstLine="0"/>
        <w:jc w:val="left"/>
        <w:rPr>
          <w:sz w:val="20"/>
        </w:rPr>
      </w:pPr>
      <w:r>
        <w:rPr>
          <w:sz w:val="20"/>
        </w:rPr>
        <w:t>A92.8,</w:t>
      </w:r>
      <w:r>
        <w:rPr>
          <w:spacing w:val="-6"/>
          <w:sz w:val="20"/>
        </w:rPr>
        <w:t> </w:t>
      </w:r>
      <w:r>
        <w:rPr>
          <w:sz w:val="20"/>
        </w:rPr>
        <w:t>A92.9,</w:t>
      </w:r>
      <w:r>
        <w:rPr>
          <w:spacing w:val="-5"/>
          <w:sz w:val="20"/>
        </w:rPr>
        <w:t> </w:t>
      </w:r>
      <w:r>
        <w:rPr>
          <w:sz w:val="20"/>
        </w:rPr>
        <w:t>A93,</w:t>
      </w:r>
      <w:r>
        <w:rPr>
          <w:spacing w:val="-5"/>
          <w:sz w:val="20"/>
        </w:rPr>
        <w:t> </w:t>
      </w:r>
      <w:r>
        <w:rPr>
          <w:sz w:val="20"/>
        </w:rPr>
        <w:t>A93.0,</w:t>
      </w:r>
      <w:r>
        <w:rPr>
          <w:spacing w:val="-5"/>
          <w:sz w:val="20"/>
        </w:rPr>
        <w:t> </w:t>
      </w:r>
      <w:r>
        <w:rPr>
          <w:sz w:val="20"/>
        </w:rPr>
        <w:t>A93.1,</w:t>
      </w:r>
      <w:r>
        <w:rPr>
          <w:spacing w:val="-5"/>
          <w:sz w:val="20"/>
        </w:rPr>
        <w:t> </w:t>
      </w:r>
      <w:r>
        <w:rPr>
          <w:sz w:val="20"/>
        </w:rPr>
        <w:t>A93.2,</w:t>
      </w:r>
      <w:r>
        <w:rPr>
          <w:spacing w:val="-5"/>
          <w:sz w:val="20"/>
        </w:rPr>
        <w:t> </w:t>
      </w:r>
      <w:r>
        <w:rPr>
          <w:spacing w:val="-2"/>
          <w:sz w:val="20"/>
        </w:rPr>
        <w:t>A93.8,</w:t>
      </w:r>
    </w:p>
    <w:p>
      <w:pPr>
        <w:spacing w:before="1"/>
        <w:ind w:left="4753" w:right="0" w:firstLine="0"/>
        <w:jc w:val="left"/>
        <w:rPr>
          <w:sz w:val="20"/>
        </w:rPr>
      </w:pPr>
      <w:r>
        <w:rPr>
          <w:sz w:val="20"/>
        </w:rPr>
        <w:t>A94,</w:t>
      </w:r>
      <w:r>
        <w:rPr>
          <w:spacing w:val="-6"/>
          <w:sz w:val="20"/>
        </w:rPr>
        <w:t> </w:t>
      </w:r>
      <w:r>
        <w:rPr>
          <w:sz w:val="20"/>
        </w:rPr>
        <w:t>A95,</w:t>
      </w:r>
      <w:r>
        <w:rPr>
          <w:spacing w:val="-4"/>
          <w:sz w:val="20"/>
        </w:rPr>
        <w:t> </w:t>
      </w:r>
      <w:r>
        <w:rPr>
          <w:sz w:val="20"/>
        </w:rPr>
        <w:t>A95.0,</w:t>
      </w:r>
      <w:r>
        <w:rPr>
          <w:spacing w:val="-6"/>
          <w:sz w:val="20"/>
        </w:rPr>
        <w:t> </w:t>
      </w:r>
      <w:r>
        <w:rPr>
          <w:sz w:val="20"/>
        </w:rPr>
        <w:t>A95.1,</w:t>
      </w:r>
      <w:r>
        <w:rPr>
          <w:spacing w:val="-5"/>
          <w:sz w:val="20"/>
        </w:rPr>
        <w:t> </w:t>
      </w:r>
      <w:r>
        <w:rPr>
          <w:sz w:val="20"/>
        </w:rPr>
        <w:t>A95.9,</w:t>
      </w:r>
      <w:r>
        <w:rPr>
          <w:spacing w:val="-6"/>
          <w:sz w:val="20"/>
        </w:rPr>
        <w:t> </w:t>
      </w:r>
      <w:r>
        <w:rPr>
          <w:sz w:val="20"/>
        </w:rPr>
        <w:t>A96,</w:t>
      </w:r>
      <w:r>
        <w:rPr>
          <w:spacing w:val="-6"/>
          <w:sz w:val="20"/>
        </w:rPr>
        <w:t> </w:t>
      </w:r>
      <w:r>
        <w:rPr>
          <w:spacing w:val="-2"/>
          <w:sz w:val="20"/>
        </w:rPr>
        <w:t>A96.0,</w:t>
      </w:r>
    </w:p>
    <w:p>
      <w:pPr>
        <w:spacing w:line="229" w:lineRule="exact" w:before="0"/>
        <w:ind w:left="4605" w:right="0" w:firstLine="0"/>
        <w:jc w:val="left"/>
        <w:rPr>
          <w:sz w:val="20"/>
        </w:rPr>
      </w:pPr>
      <w:r>
        <w:rPr>
          <w:sz w:val="20"/>
        </w:rPr>
        <w:t>A96.1,</w:t>
      </w:r>
      <w:r>
        <w:rPr>
          <w:spacing w:val="-6"/>
          <w:sz w:val="20"/>
        </w:rPr>
        <w:t> </w:t>
      </w:r>
      <w:r>
        <w:rPr>
          <w:sz w:val="20"/>
        </w:rPr>
        <w:t>A96.2,</w:t>
      </w:r>
      <w:r>
        <w:rPr>
          <w:spacing w:val="-5"/>
          <w:sz w:val="20"/>
        </w:rPr>
        <w:t> </w:t>
      </w:r>
      <w:r>
        <w:rPr>
          <w:sz w:val="20"/>
        </w:rPr>
        <w:t>A96.8,</w:t>
      </w:r>
      <w:r>
        <w:rPr>
          <w:spacing w:val="-6"/>
          <w:sz w:val="20"/>
        </w:rPr>
        <w:t> </w:t>
      </w:r>
      <w:r>
        <w:rPr>
          <w:sz w:val="20"/>
        </w:rPr>
        <w:t>A96.9,</w:t>
      </w:r>
      <w:r>
        <w:rPr>
          <w:spacing w:val="-7"/>
          <w:sz w:val="20"/>
        </w:rPr>
        <w:t> </w:t>
      </w:r>
      <w:r>
        <w:rPr>
          <w:sz w:val="20"/>
        </w:rPr>
        <w:t>A97,</w:t>
      </w:r>
      <w:r>
        <w:rPr>
          <w:spacing w:val="-5"/>
          <w:sz w:val="20"/>
        </w:rPr>
        <w:t> </w:t>
      </w:r>
      <w:r>
        <w:rPr>
          <w:sz w:val="20"/>
        </w:rPr>
        <w:t>A97.0,</w:t>
      </w:r>
      <w:r>
        <w:rPr>
          <w:spacing w:val="-6"/>
          <w:sz w:val="20"/>
        </w:rPr>
        <w:t> </w:t>
      </w:r>
      <w:r>
        <w:rPr>
          <w:spacing w:val="-2"/>
          <w:sz w:val="20"/>
        </w:rPr>
        <w:t>A97.1,</w:t>
      </w:r>
    </w:p>
    <w:p>
      <w:pPr>
        <w:spacing w:line="229" w:lineRule="exact" w:before="0"/>
        <w:ind w:left="4605" w:right="0" w:firstLine="0"/>
        <w:jc w:val="left"/>
        <w:rPr>
          <w:sz w:val="20"/>
        </w:rPr>
      </w:pPr>
      <w:r>
        <w:rPr>
          <w:sz w:val="20"/>
        </w:rPr>
        <w:t>A97.2,</w:t>
      </w:r>
      <w:r>
        <w:rPr>
          <w:spacing w:val="-6"/>
          <w:sz w:val="20"/>
        </w:rPr>
        <w:t> </w:t>
      </w:r>
      <w:r>
        <w:rPr>
          <w:sz w:val="20"/>
        </w:rPr>
        <w:t>A97.9,</w:t>
      </w:r>
      <w:r>
        <w:rPr>
          <w:spacing w:val="-6"/>
          <w:sz w:val="20"/>
        </w:rPr>
        <w:t> </w:t>
      </w:r>
      <w:r>
        <w:rPr>
          <w:sz w:val="20"/>
        </w:rPr>
        <w:t>A98,</w:t>
      </w:r>
      <w:r>
        <w:rPr>
          <w:spacing w:val="-6"/>
          <w:sz w:val="20"/>
        </w:rPr>
        <w:t> </w:t>
      </w:r>
      <w:r>
        <w:rPr>
          <w:sz w:val="20"/>
        </w:rPr>
        <w:t>A98.0,</w:t>
      </w:r>
      <w:r>
        <w:rPr>
          <w:spacing w:val="-6"/>
          <w:sz w:val="20"/>
        </w:rPr>
        <w:t> </w:t>
      </w:r>
      <w:r>
        <w:rPr>
          <w:sz w:val="20"/>
        </w:rPr>
        <w:t>A98.1,</w:t>
      </w:r>
      <w:r>
        <w:rPr>
          <w:spacing w:val="-6"/>
          <w:sz w:val="20"/>
        </w:rPr>
        <w:t> </w:t>
      </w:r>
      <w:r>
        <w:rPr>
          <w:sz w:val="20"/>
        </w:rPr>
        <w:t>A98.2,</w:t>
      </w:r>
      <w:r>
        <w:rPr>
          <w:spacing w:val="-6"/>
          <w:sz w:val="20"/>
        </w:rPr>
        <w:t> </w:t>
      </w:r>
      <w:r>
        <w:rPr>
          <w:spacing w:val="-2"/>
          <w:sz w:val="20"/>
        </w:rPr>
        <w:t>A98.3,</w:t>
      </w:r>
    </w:p>
    <w:p>
      <w:pPr>
        <w:spacing w:before="1"/>
        <w:ind w:left="1161" w:right="4154" w:firstLine="0"/>
        <w:jc w:val="center"/>
        <w:rPr>
          <w:sz w:val="20"/>
        </w:rPr>
      </w:pPr>
      <w:r>
        <w:rPr>
          <w:sz w:val="20"/>
        </w:rPr>
        <w:t>A98.4,</w:t>
      </w:r>
      <w:r>
        <w:rPr>
          <w:spacing w:val="-5"/>
          <w:sz w:val="20"/>
        </w:rPr>
        <w:t> </w:t>
      </w:r>
      <w:r>
        <w:rPr>
          <w:sz w:val="20"/>
        </w:rPr>
        <w:t>A98.5,</w:t>
      </w:r>
      <w:r>
        <w:rPr>
          <w:spacing w:val="-5"/>
          <w:sz w:val="20"/>
        </w:rPr>
        <w:t> </w:t>
      </w:r>
      <w:r>
        <w:rPr>
          <w:sz w:val="20"/>
        </w:rPr>
        <w:t>A98.8,</w:t>
      </w:r>
      <w:r>
        <w:rPr>
          <w:spacing w:val="-5"/>
          <w:sz w:val="20"/>
        </w:rPr>
        <w:t> </w:t>
      </w:r>
      <w:r>
        <w:rPr>
          <w:sz w:val="20"/>
        </w:rPr>
        <w:t>A99,</w:t>
      </w:r>
      <w:r>
        <w:rPr>
          <w:spacing w:val="-5"/>
          <w:sz w:val="20"/>
        </w:rPr>
        <w:t> </w:t>
      </w:r>
      <w:r>
        <w:rPr>
          <w:sz w:val="20"/>
        </w:rPr>
        <w:t>B00,</w:t>
      </w:r>
      <w:r>
        <w:rPr>
          <w:spacing w:val="-5"/>
          <w:sz w:val="20"/>
        </w:rPr>
        <w:t> </w:t>
      </w:r>
      <w:r>
        <w:rPr>
          <w:sz w:val="20"/>
        </w:rPr>
        <w:t>B00.0,</w:t>
      </w:r>
      <w:r>
        <w:rPr>
          <w:spacing w:val="-5"/>
          <w:sz w:val="20"/>
        </w:rPr>
        <w:t> </w:t>
      </w:r>
      <w:r>
        <w:rPr>
          <w:spacing w:val="-2"/>
          <w:sz w:val="20"/>
        </w:rPr>
        <w:t>B00.1,</w:t>
      </w:r>
    </w:p>
    <w:p>
      <w:pPr>
        <w:spacing w:before="0"/>
        <w:ind w:left="1161" w:right="4154" w:firstLine="0"/>
        <w:jc w:val="center"/>
        <w:rPr>
          <w:sz w:val="20"/>
        </w:rPr>
      </w:pPr>
      <w:r>
        <w:rPr>
          <w:sz w:val="20"/>
        </w:rPr>
        <w:t>B00.2,</w:t>
      </w:r>
      <w:r>
        <w:rPr>
          <w:spacing w:val="-8"/>
          <w:sz w:val="20"/>
        </w:rPr>
        <w:t> </w:t>
      </w:r>
      <w:r>
        <w:rPr>
          <w:sz w:val="20"/>
        </w:rPr>
        <w:t>B00.3,</w:t>
      </w:r>
      <w:r>
        <w:rPr>
          <w:spacing w:val="-5"/>
          <w:sz w:val="20"/>
        </w:rPr>
        <w:t> </w:t>
      </w:r>
      <w:r>
        <w:rPr>
          <w:sz w:val="20"/>
        </w:rPr>
        <w:t>B00.4,</w:t>
      </w:r>
      <w:r>
        <w:rPr>
          <w:spacing w:val="-5"/>
          <w:sz w:val="20"/>
        </w:rPr>
        <w:t> </w:t>
      </w:r>
      <w:r>
        <w:rPr>
          <w:sz w:val="20"/>
        </w:rPr>
        <w:t>B00.5,</w:t>
      </w:r>
      <w:r>
        <w:rPr>
          <w:spacing w:val="-8"/>
          <w:sz w:val="20"/>
        </w:rPr>
        <w:t> </w:t>
      </w:r>
      <w:r>
        <w:rPr>
          <w:sz w:val="20"/>
        </w:rPr>
        <w:t>B00.7,</w:t>
      </w:r>
      <w:r>
        <w:rPr>
          <w:spacing w:val="-5"/>
          <w:sz w:val="20"/>
        </w:rPr>
        <w:t> </w:t>
      </w:r>
      <w:r>
        <w:rPr>
          <w:sz w:val="20"/>
        </w:rPr>
        <w:t>B00.8,</w:t>
      </w:r>
      <w:r>
        <w:rPr>
          <w:spacing w:val="-5"/>
          <w:sz w:val="20"/>
        </w:rPr>
        <w:t> </w:t>
      </w:r>
      <w:r>
        <w:rPr>
          <w:spacing w:val="-2"/>
          <w:sz w:val="20"/>
        </w:rPr>
        <w:t>B00.9,</w:t>
      </w:r>
    </w:p>
    <w:p>
      <w:pPr>
        <w:spacing w:before="1"/>
        <w:ind w:left="1163" w:right="4154" w:firstLine="0"/>
        <w:jc w:val="center"/>
        <w:rPr>
          <w:sz w:val="20"/>
        </w:rPr>
      </w:pPr>
      <w:r>
        <w:rPr>
          <w:sz w:val="20"/>
        </w:rPr>
        <w:t>B01,</w:t>
      </w:r>
      <w:r>
        <w:rPr>
          <w:spacing w:val="-6"/>
          <w:sz w:val="20"/>
        </w:rPr>
        <w:t> </w:t>
      </w:r>
      <w:r>
        <w:rPr>
          <w:sz w:val="20"/>
        </w:rPr>
        <w:t>B01.0,</w:t>
      </w:r>
      <w:r>
        <w:rPr>
          <w:spacing w:val="-5"/>
          <w:sz w:val="20"/>
        </w:rPr>
        <w:t> </w:t>
      </w:r>
      <w:r>
        <w:rPr>
          <w:sz w:val="20"/>
        </w:rPr>
        <w:t>B01.1,</w:t>
      </w:r>
      <w:r>
        <w:rPr>
          <w:spacing w:val="-5"/>
          <w:sz w:val="20"/>
        </w:rPr>
        <w:t> </w:t>
      </w:r>
      <w:r>
        <w:rPr>
          <w:sz w:val="20"/>
        </w:rPr>
        <w:t>B01.2,</w:t>
      </w:r>
      <w:r>
        <w:rPr>
          <w:spacing w:val="-5"/>
          <w:sz w:val="20"/>
        </w:rPr>
        <w:t> </w:t>
      </w:r>
      <w:r>
        <w:rPr>
          <w:sz w:val="20"/>
        </w:rPr>
        <w:t>B01.8,</w:t>
      </w:r>
      <w:r>
        <w:rPr>
          <w:spacing w:val="-6"/>
          <w:sz w:val="20"/>
        </w:rPr>
        <w:t> </w:t>
      </w:r>
      <w:r>
        <w:rPr>
          <w:sz w:val="20"/>
        </w:rPr>
        <w:t>B01.9,</w:t>
      </w:r>
      <w:r>
        <w:rPr>
          <w:spacing w:val="-3"/>
          <w:sz w:val="20"/>
        </w:rPr>
        <w:t> </w:t>
      </w:r>
      <w:r>
        <w:rPr>
          <w:spacing w:val="-4"/>
          <w:sz w:val="20"/>
        </w:rPr>
        <w:t>B02,</w:t>
      </w:r>
    </w:p>
    <w:p>
      <w:pPr>
        <w:spacing w:before="0"/>
        <w:ind w:left="1161" w:right="4154" w:firstLine="0"/>
        <w:jc w:val="center"/>
        <w:rPr>
          <w:sz w:val="20"/>
        </w:rPr>
      </w:pPr>
      <w:r>
        <w:rPr>
          <w:sz w:val="20"/>
        </w:rPr>
        <w:t>B02.0,</w:t>
      </w:r>
      <w:r>
        <w:rPr>
          <w:spacing w:val="-8"/>
          <w:sz w:val="20"/>
        </w:rPr>
        <w:t> </w:t>
      </w:r>
      <w:r>
        <w:rPr>
          <w:sz w:val="20"/>
        </w:rPr>
        <w:t>B02.1,</w:t>
      </w:r>
      <w:r>
        <w:rPr>
          <w:spacing w:val="-5"/>
          <w:sz w:val="20"/>
        </w:rPr>
        <w:t> </w:t>
      </w:r>
      <w:r>
        <w:rPr>
          <w:sz w:val="20"/>
        </w:rPr>
        <w:t>B02.2,</w:t>
      </w:r>
      <w:r>
        <w:rPr>
          <w:spacing w:val="-5"/>
          <w:sz w:val="20"/>
        </w:rPr>
        <w:t> </w:t>
      </w:r>
      <w:r>
        <w:rPr>
          <w:sz w:val="20"/>
        </w:rPr>
        <w:t>B02.3,</w:t>
      </w:r>
      <w:r>
        <w:rPr>
          <w:spacing w:val="-8"/>
          <w:sz w:val="20"/>
        </w:rPr>
        <w:t> </w:t>
      </w:r>
      <w:r>
        <w:rPr>
          <w:sz w:val="20"/>
        </w:rPr>
        <w:t>B02.7,</w:t>
      </w:r>
      <w:r>
        <w:rPr>
          <w:spacing w:val="-5"/>
          <w:sz w:val="20"/>
        </w:rPr>
        <w:t> </w:t>
      </w:r>
      <w:r>
        <w:rPr>
          <w:sz w:val="20"/>
        </w:rPr>
        <w:t>B02.8,</w:t>
      </w:r>
      <w:r>
        <w:rPr>
          <w:spacing w:val="-5"/>
          <w:sz w:val="20"/>
        </w:rPr>
        <w:t> </w:t>
      </w:r>
      <w:r>
        <w:rPr>
          <w:spacing w:val="-2"/>
          <w:sz w:val="20"/>
        </w:rPr>
        <w:t>B02.9,</w:t>
      </w:r>
    </w:p>
    <w:p>
      <w:pPr>
        <w:spacing w:before="0"/>
        <w:ind w:left="1160" w:right="4154" w:firstLine="0"/>
        <w:jc w:val="center"/>
        <w:rPr>
          <w:sz w:val="20"/>
        </w:rPr>
      </w:pPr>
      <w:r>
        <w:rPr>
          <w:sz w:val="20"/>
        </w:rPr>
        <w:t>B03,</w:t>
      </w:r>
      <w:r>
        <w:rPr>
          <w:spacing w:val="-5"/>
          <w:sz w:val="20"/>
        </w:rPr>
        <w:t> </w:t>
      </w:r>
      <w:r>
        <w:rPr>
          <w:sz w:val="20"/>
        </w:rPr>
        <w:t>B04,</w:t>
      </w:r>
      <w:r>
        <w:rPr>
          <w:spacing w:val="-3"/>
          <w:sz w:val="20"/>
        </w:rPr>
        <w:t> </w:t>
      </w:r>
      <w:r>
        <w:rPr>
          <w:sz w:val="20"/>
        </w:rPr>
        <w:t>B05,</w:t>
      </w:r>
      <w:r>
        <w:rPr>
          <w:spacing w:val="-5"/>
          <w:sz w:val="20"/>
        </w:rPr>
        <w:t> </w:t>
      </w:r>
      <w:r>
        <w:rPr>
          <w:sz w:val="20"/>
        </w:rPr>
        <w:t>B05.0,</w:t>
      </w:r>
      <w:r>
        <w:rPr>
          <w:spacing w:val="-5"/>
          <w:sz w:val="20"/>
        </w:rPr>
        <w:t> </w:t>
      </w:r>
      <w:r>
        <w:rPr>
          <w:sz w:val="20"/>
        </w:rPr>
        <w:t>B05.1,</w:t>
      </w:r>
      <w:r>
        <w:rPr>
          <w:spacing w:val="-5"/>
          <w:sz w:val="20"/>
        </w:rPr>
        <w:t> </w:t>
      </w:r>
      <w:r>
        <w:rPr>
          <w:sz w:val="20"/>
        </w:rPr>
        <w:t>B05.2,</w:t>
      </w:r>
      <w:r>
        <w:rPr>
          <w:spacing w:val="-3"/>
          <w:sz w:val="20"/>
        </w:rPr>
        <w:t> </w:t>
      </w:r>
      <w:r>
        <w:rPr>
          <w:spacing w:val="-2"/>
          <w:sz w:val="20"/>
        </w:rPr>
        <w:t>B05.3,</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3" w:right="0" w:firstLine="0"/>
        <w:jc w:val="left"/>
        <w:rPr>
          <w:sz w:val="20"/>
        </w:rPr>
      </w:pPr>
      <w:r>
        <w:rPr>
          <w:sz w:val="20"/>
        </w:rPr>
        <w:t>B05.4,</w:t>
      </w:r>
      <w:r>
        <w:rPr>
          <w:spacing w:val="-5"/>
          <w:sz w:val="20"/>
        </w:rPr>
        <w:t> </w:t>
      </w:r>
      <w:r>
        <w:rPr>
          <w:sz w:val="20"/>
        </w:rPr>
        <w:t>B05.8,</w:t>
      </w:r>
      <w:r>
        <w:rPr>
          <w:spacing w:val="-5"/>
          <w:sz w:val="20"/>
        </w:rPr>
        <w:t> </w:t>
      </w:r>
      <w:r>
        <w:rPr>
          <w:sz w:val="20"/>
        </w:rPr>
        <w:t>B05.9,</w:t>
      </w:r>
      <w:r>
        <w:rPr>
          <w:spacing w:val="-4"/>
          <w:sz w:val="20"/>
        </w:rPr>
        <w:t> </w:t>
      </w:r>
      <w:r>
        <w:rPr>
          <w:sz w:val="20"/>
        </w:rPr>
        <w:t>B06,</w:t>
      </w:r>
      <w:r>
        <w:rPr>
          <w:spacing w:val="-7"/>
          <w:sz w:val="20"/>
        </w:rPr>
        <w:t> </w:t>
      </w:r>
      <w:r>
        <w:rPr>
          <w:sz w:val="20"/>
        </w:rPr>
        <w:t>B06.0,</w:t>
      </w:r>
      <w:r>
        <w:rPr>
          <w:spacing w:val="-6"/>
          <w:sz w:val="20"/>
        </w:rPr>
        <w:t> </w:t>
      </w:r>
      <w:r>
        <w:rPr>
          <w:sz w:val="20"/>
        </w:rPr>
        <w:t>B06.8,</w:t>
      </w:r>
      <w:r>
        <w:rPr>
          <w:spacing w:val="-5"/>
          <w:sz w:val="20"/>
        </w:rPr>
        <w:t> </w:t>
      </w:r>
      <w:r>
        <w:rPr>
          <w:spacing w:val="-2"/>
          <w:sz w:val="20"/>
        </w:rPr>
        <w:t>B06.9,</w:t>
      </w:r>
    </w:p>
    <w:p>
      <w:pPr>
        <w:spacing w:line="229" w:lineRule="exact" w:before="1"/>
        <w:ind w:left="4643" w:right="0" w:firstLine="0"/>
        <w:jc w:val="left"/>
        <w:rPr>
          <w:sz w:val="20"/>
        </w:rPr>
      </w:pP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5"/>
          <w:sz w:val="20"/>
        </w:rPr>
        <w:t> </w:t>
      </w:r>
      <w:r>
        <w:rPr>
          <w:sz w:val="20"/>
        </w:rPr>
        <w:t>B08.5,</w:t>
      </w:r>
      <w:r>
        <w:rPr>
          <w:spacing w:val="-4"/>
          <w:sz w:val="20"/>
        </w:rPr>
        <w:t> </w:t>
      </w:r>
      <w:r>
        <w:rPr>
          <w:spacing w:val="-2"/>
          <w:sz w:val="20"/>
        </w:rPr>
        <w:t>B08.8,</w:t>
      </w:r>
    </w:p>
    <w:p>
      <w:pPr>
        <w:spacing w:line="229" w:lineRule="exact" w:before="0"/>
        <w:ind w:left="4717" w:right="0" w:firstLine="0"/>
        <w:jc w:val="left"/>
        <w:rPr>
          <w:sz w:val="20"/>
        </w:rPr>
      </w:pPr>
      <w:r>
        <w:rPr>
          <w:sz w:val="20"/>
        </w:rPr>
        <w:t>B09,</w:t>
      </w:r>
      <w:r>
        <w:rPr>
          <w:spacing w:val="-8"/>
          <w:sz w:val="20"/>
        </w:rPr>
        <w:t> </w:t>
      </w:r>
      <w:r>
        <w:rPr>
          <w:sz w:val="20"/>
        </w:rPr>
        <w:t>B25,</w:t>
      </w:r>
      <w:r>
        <w:rPr>
          <w:spacing w:val="-3"/>
          <w:sz w:val="20"/>
        </w:rPr>
        <w:t> </w:t>
      </w:r>
      <w:r>
        <w:rPr>
          <w:sz w:val="20"/>
        </w:rPr>
        <w:t>B25.0,</w:t>
      </w:r>
      <w:r>
        <w:rPr>
          <w:spacing w:val="-4"/>
          <w:sz w:val="20"/>
        </w:rPr>
        <w:t> </w:t>
      </w:r>
      <w:r>
        <w:rPr>
          <w:sz w:val="20"/>
        </w:rPr>
        <w:t>B25.1,</w:t>
      </w:r>
      <w:r>
        <w:rPr>
          <w:spacing w:val="-5"/>
          <w:sz w:val="20"/>
        </w:rPr>
        <w:t> </w:t>
      </w:r>
      <w:r>
        <w:rPr>
          <w:sz w:val="20"/>
        </w:rPr>
        <w:t>B25.2,</w:t>
      </w:r>
      <w:r>
        <w:rPr>
          <w:spacing w:val="-4"/>
          <w:sz w:val="20"/>
        </w:rPr>
        <w:t> </w:t>
      </w:r>
      <w:r>
        <w:rPr>
          <w:sz w:val="20"/>
        </w:rPr>
        <w:t>B25.8,</w:t>
      </w:r>
      <w:r>
        <w:rPr>
          <w:spacing w:val="-5"/>
          <w:sz w:val="20"/>
        </w:rPr>
        <w:t> </w:t>
      </w:r>
      <w:r>
        <w:rPr>
          <w:spacing w:val="-2"/>
          <w:sz w:val="20"/>
        </w:rPr>
        <w:t>B25.9,</w:t>
      </w:r>
    </w:p>
    <w:p>
      <w:pPr>
        <w:spacing w:before="0"/>
        <w:ind w:left="4643" w:right="0" w:firstLine="0"/>
        <w:jc w:val="left"/>
        <w:rPr>
          <w:sz w:val="20"/>
        </w:rPr>
      </w:pPr>
      <w:r>
        <w:rPr>
          <w:sz w:val="20"/>
        </w:rPr>
        <w:t>B26,</w:t>
      </w:r>
      <w:r>
        <w:rPr>
          <w:spacing w:val="-6"/>
          <w:sz w:val="20"/>
        </w:rPr>
        <w:t> </w:t>
      </w:r>
      <w:r>
        <w:rPr>
          <w:sz w:val="20"/>
        </w:rPr>
        <w:t>B26.0,</w:t>
      </w:r>
      <w:r>
        <w:rPr>
          <w:spacing w:val="-5"/>
          <w:sz w:val="20"/>
        </w:rPr>
        <w:t> </w:t>
      </w:r>
      <w:r>
        <w:rPr>
          <w:sz w:val="20"/>
        </w:rPr>
        <w:t>B26.1,</w:t>
      </w:r>
      <w:r>
        <w:rPr>
          <w:spacing w:val="-6"/>
          <w:sz w:val="20"/>
        </w:rPr>
        <w:t> </w:t>
      </w:r>
      <w:r>
        <w:rPr>
          <w:sz w:val="20"/>
        </w:rPr>
        <w:t>B26.2,</w:t>
      </w:r>
      <w:r>
        <w:rPr>
          <w:spacing w:val="-5"/>
          <w:sz w:val="20"/>
        </w:rPr>
        <w:t> </w:t>
      </w:r>
      <w:r>
        <w:rPr>
          <w:sz w:val="20"/>
        </w:rPr>
        <w:t>B26.3,</w:t>
      </w:r>
      <w:r>
        <w:rPr>
          <w:spacing w:val="-5"/>
          <w:sz w:val="20"/>
        </w:rPr>
        <w:t> </w:t>
      </w:r>
      <w:r>
        <w:rPr>
          <w:sz w:val="20"/>
        </w:rPr>
        <w:t>B26.8,</w:t>
      </w:r>
      <w:r>
        <w:rPr>
          <w:spacing w:val="-4"/>
          <w:sz w:val="20"/>
        </w:rPr>
        <w:t> </w:t>
      </w:r>
      <w:r>
        <w:rPr>
          <w:spacing w:val="-2"/>
          <w:sz w:val="20"/>
        </w:rPr>
        <w:t>B26.9,</w:t>
      </w:r>
    </w:p>
    <w:p>
      <w:pPr>
        <w:spacing w:before="1"/>
        <w:ind w:left="4717" w:right="0" w:firstLine="0"/>
        <w:jc w:val="left"/>
        <w:rPr>
          <w:sz w:val="20"/>
        </w:rPr>
      </w:pPr>
      <w:r>
        <w:rPr>
          <w:sz w:val="20"/>
        </w:rPr>
        <w:t>B27,</w:t>
      </w:r>
      <w:r>
        <w:rPr>
          <w:spacing w:val="-7"/>
          <w:sz w:val="20"/>
        </w:rPr>
        <w:t> </w:t>
      </w:r>
      <w:r>
        <w:rPr>
          <w:sz w:val="20"/>
        </w:rPr>
        <w:t>B27.0,</w:t>
      </w:r>
      <w:r>
        <w:rPr>
          <w:spacing w:val="-5"/>
          <w:sz w:val="20"/>
        </w:rPr>
        <w:t> </w:t>
      </w:r>
      <w:r>
        <w:rPr>
          <w:sz w:val="20"/>
        </w:rPr>
        <w:t>B27.1,</w:t>
      </w:r>
      <w:r>
        <w:rPr>
          <w:spacing w:val="-5"/>
          <w:sz w:val="20"/>
        </w:rPr>
        <w:t> </w:t>
      </w:r>
      <w:r>
        <w:rPr>
          <w:sz w:val="20"/>
        </w:rPr>
        <w:t>B27.8,</w:t>
      </w:r>
      <w:r>
        <w:rPr>
          <w:spacing w:val="-5"/>
          <w:sz w:val="20"/>
        </w:rPr>
        <w:t> </w:t>
      </w:r>
      <w:r>
        <w:rPr>
          <w:sz w:val="20"/>
        </w:rPr>
        <w:t>B27.9,</w:t>
      </w:r>
      <w:r>
        <w:rPr>
          <w:spacing w:val="-5"/>
          <w:sz w:val="20"/>
        </w:rPr>
        <w:t> </w:t>
      </w:r>
      <w:r>
        <w:rPr>
          <w:sz w:val="20"/>
        </w:rPr>
        <w:t>B33,</w:t>
      </w:r>
      <w:r>
        <w:rPr>
          <w:spacing w:val="-5"/>
          <w:sz w:val="20"/>
        </w:rPr>
        <w:t> </w:t>
      </w:r>
      <w:r>
        <w:rPr>
          <w:spacing w:val="-2"/>
          <w:sz w:val="20"/>
        </w:rPr>
        <w:t>B33.0,</w:t>
      </w:r>
    </w:p>
    <w:p>
      <w:pPr>
        <w:spacing w:before="0"/>
        <w:ind w:left="4643" w:right="0" w:firstLine="0"/>
        <w:jc w:val="left"/>
        <w:rPr>
          <w:sz w:val="20"/>
        </w:rPr>
      </w:pPr>
      <w:r>
        <w:rPr>
          <w:sz w:val="20"/>
        </w:rPr>
        <w:t>B33.1,</w:t>
      </w:r>
      <w:r>
        <w:rPr>
          <w:spacing w:val="-5"/>
          <w:sz w:val="20"/>
        </w:rPr>
        <w:t> </w:t>
      </w:r>
      <w:r>
        <w:rPr>
          <w:sz w:val="20"/>
        </w:rPr>
        <w:t>B33.2,</w:t>
      </w:r>
      <w:r>
        <w:rPr>
          <w:spacing w:val="-5"/>
          <w:sz w:val="20"/>
        </w:rPr>
        <w:t> </w:t>
      </w:r>
      <w:r>
        <w:rPr>
          <w:sz w:val="20"/>
        </w:rPr>
        <w:t>B33.3,</w:t>
      </w:r>
      <w:r>
        <w:rPr>
          <w:spacing w:val="-4"/>
          <w:sz w:val="20"/>
        </w:rPr>
        <w:t> </w:t>
      </w:r>
      <w:r>
        <w:rPr>
          <w:sz w:val="20"/>
        </w:rPr>
        <w:t>B33.4,</w:t>
      </w:r>
      <w:r>
        <w:rPr>
          <w:spacing w:val="-8"/>
          <w:sz w:val="20"/>
        </w:rPr>
        <w:t> </w:t>
      </w:r>
      <w:r>
        <w:rPr>
          <w:sz w:val="20"/>
        </w:rPr>
        <w:t>B33.8,</w:t>
      </w:r>
      <w:r>
        <w:rPr>
          <w:spacing w:val="-5"/>
          <w:sz w:val="20"/>
        </w:rPr>
        <w:t> </w:t>
      </w:r>
      <w:r>
        <w:rPr>
          <w:sz w:val="20"/>
        </w:rPr>
        <w:t>B34,</w:t>
      </w:r>
      <w:r>
        <w:rPr>
          <w:spacing w:val="-6"/>
          <w:sz w:val="20"/>
        </w:rPr>
        <w:t> </w:t>
      </w:r>
      <w:r>
        <w:rPr>
          <w:spacing w:val="-2"/>
          <w:sz w:val="20"/>
        </w:rPr>
        <w:t>B34.0,</w:t>
      </w:r>
    </w:p>
    <w:p>
      <w:pPr>
        <w:spacing w:before="0"/>
        <w:ind w:left="4643" w:right="0" w:firstLine="0"/>
        <w:jc w:val="left"/>
        <w:rPr>
          <w:sz w:val="20"/>
        </w:rPr>
      </w:pPr>
      <w:r>
        <w:rPr>
          <w:sz w:val="20"/>
        </w:rPr>
        <w:t>B34.1,</w:t>
      </w:r>
      <w:r>
        <w:rPr>
          <w:spacing w:val="-8"/>
          <w:sz w:val="20"/>
        </w:rPr>
        <w:t> </w:t>
      </w:r>
      <w:r>
        <w:rPr>
          <w:sz w:val="20"/>
        </w:rPr>
        <w:t>B34.2,</w:t>
      </w:r>
      <w:r>
        <w:rPr>
          <w:spacing w:val="-5"/>
          <w:sz w:val="20"/>
        </w:rPr>
        <w:t> </w:t>
      </w:r>
      <w:r>
        <w:rPr>
          <w:sz w:val="20"/>
        </w:rPr>
        <w:t>B34.3,</w:t>
      </w:r>
      <w:r>
        <w:rPr>
          <w:spacing w:val="-5"/>
          <w:sz w:val="20"/>
        </w:rPr>
        <w:t> </w:t>
      </w:r>
      <w:r>
        <w:rPr>
          <w:sz w:val="20"/>
        </w:rPr>
        <w:t>B34.4,</w:t>
      </w:r>
      <w:r>
        <w:rPr>
          <w:spacing w:val="-8"/>
          <w:sz w:val="20"/>
        </w:rPr>
        <w:t> </w:t>
      </w:r>
      <w:r>
        <w:rPr>
          <w:sz w:val="20"/>
        </w:rPr>
        <w:t>B34.8,</w:t>
      </w:r>
      <w:r>
        <w:rPr>
          <w:spacing w:val="-5"/>
          <w:sz w:val="20"/>
        </w:rPr>
        <w:t> </w:t>
      </w:r>
      <w:r>
        <w:rPr>
          <w:sz w:val="20"/>
        </w:rPr>
        <w:t>B34.9,</w:t>
      </w:r>
      <w:r>
        <w:rPr>
          <w:spacing w:val="-5"/>
          <w:sz w:val="20"/>
        </w:rPr>
        <w:t> </w:t>
      </w:r>
      <w:r>
        <w:rPr>
          <w:spacing w:val="-4"/>
          <w:sz w:val="20"/>
        </w:rPr>
        <w:t>B37,</w:t>
      </w:r>
    </w:p>
    <w:p>
      <w:pPr>
        <w:spacing w:line="229" w:lineRule="exact" w:before="1"/>
        <w:ind w:left="4569" w:right="0" w:firstLine="0"/>
        <w:jc w:val="left"/>
        <w:rPr>
          <w:sz w:val="20"/>
        </w:rPr>
      </w:pPr>
      <w:r>
        <w:rPr>
          <w:sz w:val="20"/>
        </w:rPr>
        <w:t>B37.0,</w:t>
      </w:r>
      <w:r>
        <w:rPr>
          <w:spacing w:val="-8"/>
          <w:sz w:val="20"/>
        </w:rPr>
        <w:t> </w:t>
      </w:r>
      <w:r>
        <w:rPr>
          <w:sz w:val="20"/>
        </w:rPr>
        <w:t>B37.1,</w:t>
      </w:r>
      <w:r>
        <w:rPr>
          <w:spacing w:val="-5"/>
          <w:sz w:val="20"/>
        </w:rPr>
        <w:t> </w:t>
      </w:r>
      <w:r>
        <w:rPr>
          <w:sz w:val="20"/>
        </w:rPr>
        <w:t>B37.2,</w:t>
      </w:r>
      <w:r>
        <w:rPr>
          <w:spacing w:val="-5"/>
          <w:sz w:val="20"/>
        </w:rPr>
        <w:t> </w:t>
      </w:r>
      <w:r>
        <w:rPr>
          <w:sz w:val="20"/>
        </w:rPr>
        <w:t>B37.3,</w:t>
      </w:r>
      <w:r>
        <w:rPr>
          <w:spacing w:val="-8"/>
          <w:sz w:val="20"/>
        </w:rPr>
        <w:t> </w:t>
      </w:r>
      <w:r>
        <w:rPr>
          <w:sz w:val="20"/>
        </w:rPr>
        <w:t>B37.4,</w:t>
      </w:r>
      <w:r>
        <w:rPr>
          <w:spacing w:val="-5"/>
          <w:sz w:val="20"/>
        </w:rPr>
        <w:t> </w:t>
      </w:r>
      <w:r>
        <w:rPr>
          <w:sz w:val="20"/>
        </w:rPr>
        <w:t>B37.5,</w:t>
      </w:r>
      <w:r>
        <w:rPr>
          <w:spacing w:val="-5"/>
          <w:sz w:val="20"/>
        </w:rPr>
        <w:t> </w:t>
      </w:r>
      <w:r>
        <w:rPr>
          <w:spacing w:val="-2"/>
          <w:sz w:val="20"/>
        </w:rPr>
        <w:t>B37.6,</w:t>
      </w:r>
    </w:p>
    <w:p>
      <w:pPr>
        <w:spacing w:line="229" w:lineRule="exact" w:before="0"/>
        <w:ind w:left="4643" w:right="0" w:firstLine="0"/>
        <w:jc w:val="left"/>
        <w:rPr>
          <w:sz w:val="20"/>
        </w:rPr>
      </w:pPr>
      <w:r>
        <w:rPr>
          <w:sz w:val="20"/>
        </w:rPr>
        <w:t>B37.7,</w:t>
      </w:r>
      <w:r>
        <w:rPr>
          <w:spacing w:val="-5"/>
          <w:sz w:val="20"/>
        </w:rPr>
        <w:t> </w:t>
      </w:r>
      <w:r>
        <w:rPr>
          <w:sz w:val="20"/>
        </w:rPr>
        <w:t>B37.8,</w:t>
      </w:r>
      <w:r>
        <w:rPr>
          <w:spacing w:val="-4"/>
          <w:sz w:val="20"/>
        </w:rPr>
        <w:t> </w:t>
      </w:r>
      <w:r>
        <w:rPr>
          <w:sz w:val="20"/>
        </w:rPr>
        <w:t>B37.9,</w:t>
      </w:r>
      <w:r>
        <w:rPr>
          <w:spacing w:val="-5"/>
          <w:sz w:val="20"/>
        </w:rPr>
        <w:t> </w:t>
      </w:r>
      <w:r>
        <w:rPr>
          <w:sz w:val="20"/>
        </w:rPr>
        <w:t>B38,</w:t>
      </w:r>
      <w:r>
        <w:rPr>
          <w:spacing w:val="-6"/>
          <w:sz w:val="20"/>
        </w:rPr>
        <w:t> </w:t>
      </w:r>
      <w:r>
        <w:rPr>
          <w:sz w:val="20"/>
        </w:rPr>
        <w:t>B38.0,</w:t>
      </w:r>
      <w:r>
        <w:rPr>
          <w:spacing w:val="-7"/>
          <w:sz w:val="20"/>
        </w:rPr>
        <w:t> </w:t>
      </w:r>
      <w:r>
        <w:rPr>
          <w:sz w:val="20"/>
        </w:rPr>
        <w:t>B38.1,</w:t>
      </w:r>
      <w:r>
        <w:rPr>
          <w:spacing w:val="-4"/>
          <w:sz w:val="20"/>
        </w:rPr>
        <w:t> </w:t>
      </w:r>
      <w:r>
        <w:rPr>
          <w:spacing w:val="-2"/>
          <w:sz w:val="20"/>
        </w:rPr>
        <w:t>B38.2,</w:t>
      </w:r>
    </w:p>
    <w:p>
      <w:pPr>
        <w:spacing w:before="1"/>
        <w:ind w:left="4643" w:right="0" w:firstLine="0"/>
        <w:jc w:val="left"/>
        <w:rPr>
          <w:sz w:val="20"/>
        </w:rPr>
      </w:pPr>
      <w:r>
        <w:rPr>
          <w:sz w:val="20"/>
        </w:rPr>
        <w:t>B38.3,</w:t>
      </w:r>
      <w:r>
        <w:rPr>
          <w:spacing w:val="-5"/>
          <w:sz w:val="20"/>
        </w:rPr>
        <w:t> </w:t>
      </w:r>
      <w:r>
        <w:rPr>
          <w:sz w:val="20"/>
        </w:rPr>
        <w:t>B38.4,</w:t>
      </w:r>
      <w:r>
        <w:rPr>
          <w:spacing w:val="-5"/>
          <w:sz w:val="20"/>
        </w:rPr>
        <w:t> </w:t>
      </w:r>
      <w:r>
        <w:rPr>
          <w:sz w:val="20"/>
        </w:rPr>
        <w:t>B38.7,</w:t>
      </w:r>
      <w:r>
        <w:rPr>
          <w:spacing w:val="-4"/>
          <w:sz w:val="20"/>
        </w:rPr>
        <w:t> </w:t>
      </w:r>
      <w:r>
        <w:rPr>
          <w:sz w:val="20"/>
        </w:rPr>
        <w:t>B38.8,</w:t>
      </w:r>
      <w:r>
        <w:rPr>
          <w:spacing w:val="-8"/>
          <w:sz w:val="20"/>
        </w:rPr>
        <w:t> </w:t>
      </w:r>
      <w:r>
        <w:rPr>
          <w:sz w:val="20"/>
        </w:rPr>
        <w:t>B38.9,</w:t>
      </w:r>
      <w:r>
        <w:rPr>
          <w:spacing w:val="-5"/>
          <w:sz w:val="20"/>
        </w:rPr>
        <w:t> </w:t>
      </w:r>
      <w:r>
        <w:rPr>
          <w:sz w:val="20"/>
        </w:rPr>
        <w:t>B39,</w:t>
      </w:r>
      <w:r>
        <w:rPr>
          <w:spacing w:val="-6"/>
          <w:sz w:val="20"/>
        </w:rPr>
        <w:t> </w:t>
      </w:r>
      <w:r>
        <w:rPr>
          <w:spacing w:val="-2"/>
          <w:sz w:val="20"/>
        </w:rPr>
        <w:t>B39.0,</w:t>
      </w:r>
    </w:p>
    <w:p>
      <w:pPr>
        <w:spacing w:before="0"/>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1"/>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before="0"/>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line="229" w:lineRule="exact" w:before="1"/>
        <w:ind w:left="4643" w:right="0" w:firstLine="0"/>
        <w:jc w:val="left"/>
        <w:rPr>
          <w:sz w:val="20"/>
        </w:rPr>
      </w:pPr>
      <w:r>
        <w:rPr>
          <w:sz w:val="20"/>
        </w:rPr>
        <w:t>B42.1,</w:t>
      </w:r>
      <w:r>
        <w:rPr>
          <w:spacing w:val="-4"/>
          <w:sz w:val="20"/>
        </w:rPr>
        <w:t> </w:t>
      </w:r>
      <w:r>
        <w:rPr>
          <w:sz w:val="20"/>
        </w:rPr>
        <w:t>B42.7,</w:t>
      </w:r>
      <w:r>
        <w:rPr>
          <w:spacing w:val="-4"/>
          <w:sz w:val="20"/>
        </w:rPr>
        <w:t> </w:t>
      </w:r>
      <w:r>
        <w:rPr>
          <w:sz w:val="20"/>
        </w:rPr>
        <w:t>B42.8,</w:t>
      </w:r>
      <w:r>
        <w:rPr>
          <w:spacing w:val="-4"/>
          <w:sz w:val="20"/>
        </w:rPr>
        <w:t> </w:t>
      </w:r>
      <w:r>
        <w:rPr>
          <w:sz w:val="20"/>
        </w:rPr>
        <w:t>B42.9,</w:t>
      </w:r>
      <w:r>
        <w:rPr>
          <w:spacing w:val="-7"/>
          <w:sz w:val="20"/>
        </w:rPr>
        <w:t> </w:t>
      </w:r>
      <w:r>
        <w:rPr>
          <w:sz w:val="20"/>
        </w:rPr>
        <w:t>B43,</w:t>
      </w:r>
      <w:r>
        <w:rPr>
          <w:spacing w:val="-5"/>
          <w:sz w:val="20"/>
        </w:rPr>
        <w:t> </w:t>
      </w:r>
      <w:r>
        <w:rPr>
          <w:sz w:val="20"/>
        </w:rPr>
        <w:t>B43.0,</w:t>
      </w:r>
      <w:r>
        <w:rPr>
          <w:spacing w:val="-6"/>
          <w:sz w:val="20"/>
        </w:rPr>
        <w:t> </w:t>
      </w:r>
      <w:r>
        <w:rPr>
          <w:spacing w:val="-2"/>
          <w:sz w:val="20"/>
        </w:rPr>
        <w:t>B43.1,</w:t>
      </w:r>
    </w:p>
    <w:p>
      <w:pPr>
        <w:spacing w:line="229" w:lineRule="exact" w:before="0"/>
        <w:ind w:left="4643" w:right="0" w:firstLine="0"/>
        <w:jc w:val="left"/>
        <w:rPr>
          <w:sz w:val="20"/>
        </w:rPr>
      </w:pPr>
      <w:r>
        <w:rPr>
          <w:sz w:val="20"/>
        </w:rPr>
        <w:t>B43.2,</w:t>
      </w:r>
      <w:r>
        <w:rPr>
          <w:spacing w:val="-5"/>
          <w:sz w:val="20"/>
        </w:rPr>
        <w:t> </w:t>
      </w:r>
      <w:r>
        <w:rPr>
          <w:sz w:val="20"/>
        </w:rPr>
        <w:t>B43.8,</w:t>
      </w:r>
      <w:r>
        <w:rPr>
          <w:spacing w:val="-5"/>
          <w:sz w:val="20"/>
        </w:rPr>
        <w:t> </w:t>
      </w:r>
      <w:r>
        <w:rPr>
          <w:sz w:val="20"/>
        </w:rPr>
        <w:t>B43.9,</w:t>
      </w:r>
      <w:r>
        <w:rPr>
          <w:spacing w:val="-4"/>
          <w:sz w:val="20"/>
        </w:rPr>
        <w:t> </w:t>
      </w:r>
      <w:r>
        <w:rPr>
          <w:sz w:val="20"/>
        </w:rPr>
        <w:t>B44,</w:t>
      </w:r>
      <w:r>
        <w:rPr>
          <w:spacing w:val="-7"/>
          <w:sz w:val="20"/>
        </w:rPr>
        <w:t> </w:t>
      </w:r>
      <w:r>
        <w:rPr>
          <w:sz w:val="20"/>
        </w:rPr>
        <w:t>B44.0,</w:t>
      </w:r>
      <w:r>
        <w:rPr>
          <w:spacing w:val="-6"/>
          <w:sz w:val="20"/>
        </w:rPr>
        <w:t> </w:t>
      </w:r>
      <w:r>
        <w:rPr>
          <w:sz w:val="20"/>
        </w:rPr>
        <w:t>B44.1,</w:t>
      </w:r>
      <w:r>
        <w:rPr>
          <w:spacing w:val="-5"/>
          <w:sz w:val="20"/>
        </w:rPr>
        <w:t> </w:t>
      </w:r>
      <w:r>
        <w:rPr>
          <w:spacing w:val="-2"/>
          <w:sz w:val="20"/>
        </w:rPr>
        <w:t>B44.2,</w:t>
      </w:r>
    </w:p>
    <w:p>
      <w:pPr>
        <w:spacing w:before="0"/>
        <w:ind w:left="4643" w:right="0" w:firstLine="0"/>
        <w:jc w:val="left"/>
        <w:rPr>
          <w:sz w:val="20"/>
        </w:rPr>
      </w:pPr>
      <w:r>
        <w:rPr>
          <w:sz w:val="20"/>
        </w:rPr>
        <w:t>B44.7,</w:t>
      </w:r>
      <w:r>
        <w:rPr>
          <w:spacing w:val="-5"/>
          <w:sz w:val="20"/>
        </w:rPr>
        <w:t> </w:t>
      </w:r>
      <w:r>
        <w:rPr>
          <w:sz w:val="20"/>
        </w:rPr>
        <w:t>B44.8,</w:t>
      </w:r>
      <w:r>
        <w:rPr>
          <w:spacing w:val="-5"/>
          <w:sz w:val="20"/>
        </w:rPr>
        <w:t> </w:t>
      </w:r>
      <w:r>
        <w:rPr>
          <w:sz w:val="20"/>
        </w:rPr>
        <w:t>B44.9,</w:t>
      </w:r>
      <w:r>
        <w:rPr>
          <w:spacing w:val="-4"/>
          <w:sz w:val="20"/>
        </w:rPr>
        <w:t> </w:t>
      </w:r>
      <w:r>
        <w:rPr>
          <w:sz w:val="20"/>
        </w:rPr>
        <w:t>B45,</w:t>
      </w:r>
      <w:r>
        <w:rPr>
          <w:spacing w:val="-7"/>
          <w:sz w:val="20"/>
        </w:rPr>
        <w:t> </w:t>
      </w:r>
      <w:r>
        <w:rPr>
          <w:sz w:val="20"/>
        </w:rPr>
        <w:t>B45.0,</w:t>
      </w:r>
      <w:r>
        <w:rPr>
          <w:spacing w:val="-6"/>
          <w:sz w:val="20"/>
        </w:rPr>
        <w:t> </w:t>
      </w:r>
      <w:r>
        <w:rPr>
          <w:sz w:val="20"/>
        </w:rPr>
        <w:t>B45.1,</w:t>
      </w:r>
      <w:r>
        <w:rPr>
          <w:spacing w:val="-5"/>
          <w:sz w:val="20"/>
        </w:rPr>
        <w:t> </w:t>
      </w:r>
      <w:r>
        <w:rPr>
          <w:spacing w:val="-2"/>
          <w:sz w:val="20"/>
        </w:rPr>
        <w:t>B45.2,</w:t>
      </w:r>
    </w:p>
    <w:p>
      <w:pPr>
        <w:spacing w:before="0"/>
        <w:ind w:left="4643" w:right="0" w:firstLine="0"/>
        <w:jc w:val="left"/>
        <w:rPr>
          <w:sz w:val="20"/>
        </w:rPr>
      </w:pPr>
      <w:r>
        <w:rPr>
          <w:sz w:val="20"/>
        </w:rPr>
        <w:t>B45.3,</w:t>
      </w:r>
      <w:r>
        <w:rPr>
          <w:spacing w:val="-5"/>
          <w:sz w:val="20"/>
        </w:rPr>
        <w:t> </w:t>
      </w:r>
      <w:r>
        <w:rPr>
          <w:sz w:val="20"/>
        </w:rPr>
        <w:t>B45.7,</w:t>
      </w:r>
      <w:r>
        <w:rPr>
          <w:spacing w:val="-4"/>
          <w:sz w:val="20"/>
        </w:rPr>
        <w:t> </w:t>
      </w:r>
      <w:r>
        <w:rPr>
          <w:sz w:val="20"/>
        </w:rPr>
        <w:t>B45.8,</w:t>
      </w:r>
      <w:r>
        <w:rPr>
          <w:spacing w:val="-5"/>
          <w:sz w:val="20"/>
        </w:rPr>
        <w:t> </w:t>
      </w:r>
      <w:r>
        <w:rPr>
          <w:sz w:val="20"/>
        </w:rPr>
        <w:t>B45.9,</w:t>
      </w:r>
      <w:r>
        <w:rPr>
          <w:spacing w:val="-8"/>
          <w:sz w:val="20"/>
        </w:rPr>
        <w:t> </w:t>
      </w:r>
      <w:r>
        <w:rPr>
          <w:sz w:val="20"/>
        </w:rPr>
        <w:t>B46,</w:t>
      </w:r>
      <w:r>
        <w:rPr>
          <w:spacing w:val="-6"/>
          <w:sz w:val="20"/>
        </w:rPr>
        <w:t> </w:t>
      </w:r>
      <w:r>
        <w:rPr>
          <w:sz w:val="20"/>
        </w:rPr>
        <w:t>B46.0,</w:t>
      </w:r>
      <w:r>
        <w:rPr>
          <w:spacing w:val="-6"/>
          <w:sz w:val="20"/>
        </w:rPr>
        <w:t> </w:t>
      </w:r>
      <w:r>
        <w:rPr>
          <w:spacing w:val="-2"/>
          <w:sz w:val="20"/>
        </w:rPr>
        <w:t>B46.1,</w:t>
      </w:r>
    </w:p>
    <w:p>
      <w:pPr>
        <w:spacing w:before="1"/>
        <w:ind w:left="4643" w:right="0" w:firstLine="0"/>
        <w:jc w:val="left"/>
        <w:rPr>
          <w:sz w:val="20"/>
        </w:rPr>
      </w:pPr>
      <w:r>
        <w:rPr>
          <w:sz w:val="20"/>
        </w:rPr>
        <w:t>B46.2,</w:t>
      </w:r>
      <w:r>
        <w:rPr>
          <w:spacing w:val="-8"/>
          <w:sz w:val="20"/>
        </w:rPr>
        <w:t> </w:t>
      </w:r>
      <w:r>
        <w:rPr>
          <w:sz w:val="20"/>
        </w:rPr>
        <w:t>B46.3,</w:t>
      </w:r>
      <w:r>
        <w:rPr>
          <w:spacing w:val="-5"/>
          <w:sz w:val="20"/>
        </w:rPr>
        <w:t> </w:t>
      </w:r>
      <w:r>
        <w:rPr>
          <w:sz w:val="20"/>
        </w:rPr>
        <w:t>B46.4,</w:t>
      </w:r>
      <w:r>
        <w:rPr>
          <w:spacing w:val="-5"/>
          <w:sz w:val="20"/>
        </w:rPr>
        <w:t> </w:t>
      </w:r>
      <w:r>
        <w:rPr>
          <w:sz w:val="20"/>
        </w:rPr>
        <w:t>B46.5,</w:t>
      </w:r>
      <w:r>
        <w:rPr>
          <w:spacing w:val="-8"/>
          <w:sz w:val="20"/>
        </w:rPr>
        <w:t> </w:t>
      </w:r>
      <w:r>
        <w:rPr>
          <w:sz w:val="20"/>
        </w:rPr>
        <w:t>B46.8,</w:t>
      </w:r>
      <w:r>
        <w:rPr>
          <w:spacing w:val="-5"/>
          <w:sz w:val="20"/>
        </w:rPr>
        <w:t> </w:t>
      </w:r>
      <w:r>
        <w:rPr>
          <w:sz w:val="20"/>
        </w:rPr>
        <w:t>B46.9,</w:t>
      </w:r>
      <w:r>
        <w:rPr>
          <w:spacing w:val="-5"/>
          <w:sz w:val="20"/>
        </w:rPr>
        <w:t> </w:t>
      </w:r>
      <w:r>
        <w:rPr>
          <w:spacing w:val="-4"/>
          <w:sz w:val="20"/>
        </w:rPr>
        <w:t>B47,</w:t>
      </w:r>
    </w:p>
    <w:p>
      <w:pPr>
        <w:spacing w:before="1"/>
        <w:ind w:left="4643" w:right="0" w:firstLine="0"/>
        <w:jc w:val="left"/>
        <w:rPr>
          <w:sz w:val="20"/>
        </w:rPr>
      </w:pPr>
      <w:r>
        <w:rPr>
          <w:sz w:val="20"/>
        </w:rPr>
        <w:t>B47.0,</w:t>
      </w:r>
      <w:r>
        <w:rPr>
          <w:spacing w:val="-5"/>
          <w:sz w:val="20"/>
        </w:rPr>
        <w:t> </w:t>
      </w:r>
      <w:r>
        <w:rPr>
          <w:sz w:val="20"/>
        </w:rPr>
        <w:t>B47.1,</w:t>
      </w:r>
      <w:r>
        <w:rPr>
          <w:spacing w:val="-5"/>
          <w:sz w:val="20"/>
        </w:rPr>
        <w:t> </w:t>
      </w:r>
      <w:r>
        <w:rPr>
          <w:sz w:val="20"/>
        </w:rPr>
        <w:t>B47.9,</w:t>
      </w:r>
      <w:r>
        <w:rPr>
          <w:spacing w:val="-4"/>
          <w:sz w:val="20"/>
        </w:rPr>
        <w:t> </w:t>
      </w:r>
      <w:r>
        <w:rPr>
          <w:sz w:val="20"/>
        </w:rPr>
        <w:t>B48,</w:t>
      </w:r>
      <w:r>
        <w:rPr>
          <w:spacing w:val="-7"/>
          <w:sz w:val="20"/>
        </w:rPr>
        <w:t> </w:t>
      </w:r>
      <w:r>
        <w:rPr>
          <w:sz w:val="20"/>
        </w:rPr>
        <w:t>B48.0,</w:t>
      </w:r>
      <w:r>
        <w:rPr>
          <w:spacing w:val="-6"/>
          <w:sz w:val="20"/>
        </w:rPr>
        <w:t> </w:t>
      </w:r>
      <w:r>
        <w:rPr>
          <w:sz w:val="20"/>
        </w:rPr>
        <w:t>B48.1,</w:t>
      </w:r>
      <w:r>
        <w:rPr>
          <w:spacing w:val="-5"/>
          <w:sz w:val="20"/>
        </w:rPr>
        <w:t> </w:t>
      </w:r>
      <w:r>
        <w:rPr>
          <w:spacing w:val="-2"/>
          <w:sz w:val="20"/>
        </w:rPr>
        <w:t>B48.2,</w:t>
      </w:r>
    </w:p>
    <w:p>
      <w:pPr>
        <w:spacing w:line="229" w:lineRule="exact" w:before="0"/>
        <w:ind w:left="4717" w:right="0" w:firstLine="0"/>
        <w:jc w:val="left"/>
        <w:rPr>
          <w:sz w:val="20"/>
        </w:rPr>
      </w:pPr>
      <w:r>
        <w:rPr>
          <w:sz w:val="20"/>
        </w:rPr>
        <w:t>B48.3,</w:t>
      </w:r>
      <w:r>
        <w:rPr>
          <w:spacing w:val="-5"/>
          <w:sz w:val="20"/>
        </w:rPr>
        <w:t> </w:t>
      </w:r>
      <w:r>
        <w:rPr>
          <w:sz w:val="20"/>
        </w:rPr>
        <w:t>B48.4,</w:t>
      </w:r>
      <w:r>
        <w:rPr>
          <w:spacing w:val="-5"/>
          <w:sz w:val="20"/>
        </w:rPr>
        <w:t> </w:t>
      </w:r>
      <w:r>
        <w:rPr>
          <w:sz w:val="20"/>
        </w:rPr>
        <w:t>B48.5,</w:t>
      </w:r>
      <w:r>
        <w:rPr>
          <w:spacing w:val="-4"/>
          <w:sz w:val="20"/>
        </w:rPr>
        <w:t> </w:t>
      </w:r>
      <w:r>
        <w:rPr>
          <w:sz w:val="20"/>
        </w:rPr>
        <w:t>B48.7,</w:t>
      </w:r>
      <w:r>
        <w:rPr>
          <w:spacing w:val="-8"/>
          <w:sz w:val="20"/>
        </w:rPr>
        <w:t> </w:t>
      </w:r>
      <w:r>
        <w:rPr>
          <w:sz w:val="20"/>
        </w:rPr>
        <w:t>B48.8,</w:t>
      </w:r>
      <w:r>
        <w:rPr>
          <w:spacing w:val="-5"/>
          <w:sz w:val="20"/>
        </w:rPr>
        <w:t> </w:t>
      </w:r>
      <w:r>
        <w:rPr>
          <w:sz w:val="20"/>
        </w:rPr>
        <w:t>B49,</w:t>
      </w:r>
      <w:r>
        <w:rPr>
          <w:spacing w:val="-6"/>
          <w:sz w:val="20"/>
        </w:rPr>
        <w:t> </w:t>
      </w:r>
      <w:r>
        <w:rPr>
          <w:spacing w:val="-4"/>
          <w:sz w:val="20"/>
        </w:rPr>
        <w:t>B50,</w:t>
      </w:r>
    </w:p>
    <w:p>
      <w:pPr>
        <w:spacing w:line="229" w:lineRule="exact" w:before="0"/>
        <w:ind w:left="4643" w:right="0" w:firstLine="0"/>
        <w:jc w:val="left"/>
        <w:rPr>
          <w:sz w:val="20"/>
        </w:rPr>
      </w:pPr>
      <w:r>
        <w:rPr>
          <w:sz w:val="20"/>
        </w:rPr>
        <w:t>B50.0,</w:t>
      </w:r>
      <w:r>
        <w:rPr>
          <w:spacing w:val="-5"/>
          <w:sz w:val="20"/>
        </w:rPr>
        <w:t> </w:t>
      </w:r>
      <w:r>
        <w:rPr>
          <w:sz w:val="20"/>
        </w:rPr>
        <w:t>B50.8,</w:t>
      </w:r>
      <w:r>
        <w:rPr>
          <w:spacing w:val="-5"/>
          <w:sz w:val="20"/>
        </w:rPr>
        <w:t> </w:t>
      </w:r>
      <w:r>
        <w:rPr>
          <w:sz w:val="20"/>
        </w:rPr>
        <w:t>B50.9,</w:t>
      </w:r>
      <w:r>
        <w:rPr>
          <w:spacing w:val="-4"/>
          <w:sz w:val="20"/>
        </w:rPr>
        <w:t> </w:t>
      </w:r>
      <w:r>
        <w:rPr>
          <w:sz w:val="20"/>
        </w:rPr>
        <w:t>B51,</w:t>
      </w:r>
      <w:r>
        <w:rPr>
          <w:spacing w:val="-7"/>
          <w:sz w:val="20"/>
        </w:rPr>
        <w:t> </w:t>
      </w:r>
      <w:r>
        <w:rPr>
          <w:sz w:val="20"/>
        </w:rPr>
        <w:t>B51.0,</w:t>
      </w:r>
      <w:r>
        <w:rPr>
          <w:spacing w:val="-6"/>
          <w:sz w:val="20"/>
        </w:rPr>
        <w:t> </w:t>
      </w:r>
      <w:r>
        <w:rPr>
          <w:sz w:val="20"/>
        </w:rPr>
        <w:t>B51.8,</w:t>
      </w:r>
      <w:r>
        <w:rPr>
          <w:spacing w:val="-5"/>
          <w:sz w:val="20"/>
        </w:rPr>
        <w:t> </w:t>
      </w:r>
      <w:r>
        <w:rPr>
          <w:spacing w:val="-2"/>
          <w:sz w:val="20"/>
        </w:rPr>
        <w:t>B51.9,</w:t>
      </w:r>
    </w:p>
    <w:p>
      <w:pPr>
        <w:spacing w:before="0"/>
        <w:ind w:left="4717" w:right="0" w:firstLine="0"/>
        <w:jc w:val="left"/>
        <w:rPr>
          <w:sz w:val="20"/>
        </w:rPr>
      </w:pPr>
      <w:r>
        <w:rPr>
          <w:sz w:val="20"/>
        </w:rPr>
        <w:t>B52,</w:t>
      </w:r>
      <w:r>
        <w:rPr>
          <w:spacing w:val="-8"/>
          <w:sz w:val="20"/>
        </w:rPr>
        <w:t> </w:t>
      </w:r>
      <w:r>
        <w:rPr>
          <w:sz w:val="20"/>
        </w:rPr>
        <w:t>B52.0,</w:t>
      </w:r>
      <w:r>
        <w:rPr>
          <w:spacing w:val="-5"/>
          <w:sz w:val="20"/>
        </w:rPr>
        <w:t> </w:t>
      </w:r>
      <w:r>
        <w:rPr>
          <w:sz w:val="20"/>
        </w:rPr>
        <w:t>B52.8,</w:t>
      </w:r>
      <w:r>
        <w:rPr>
          <w:spacing w:val="-6"/>
          <w:sz w:val="20"/>
        </w:rPr>
        <w:t> </w:t>
      </w:r>
      <w:r>
        <w:rPr>
          <w:sz w:val="20"/>
        </w:rPr>
        <w:t>B52.9,</w:t>
      </w:r>
      <w:r>
        <w:rPr>
          <w:spacing w:val="-5"/>
          <w:sz w:val="20"/>
        </w:rPr>
        <w:t> </w:t>
      </w:r>
      <w:r>
        <w:rPr>
          <w:sz w:val="20"/>
        </w:rPr>
        <w:t>B53,</w:t>
      </w:r>
      <w:r>
        <w:rPr>
          <w:spacing w:val="-4"/>
          <w:sz w:val="20"/>
        </w:rPr>
        <w:t> </w:t>
      </w:r>
      <w:r>
        <w:rPr>
          <w:sz w:val="20"/>
        </w:rPr>
        <w:t>B53.0,</w:t>
      </w:r>
      <w:r>
        <w:rPr>
          <w:spacing w:val="-5"/>
          <w:sz w:val="20"/>
        </w:rPr>
        <w:t> </w:t>
      </w:r>
      <w:r>
        <w:rPr>
          <w:spacing w:val="-2"/>
          <w:sz w:val="20"/>
        </w:rPr>
        <w:t>B53.1,</w:t>
      </w:r>
    </w:p>
    <w:p>
      <w:pPr>
        <w:spacing w:before="1"/>
        <w:ind w:left="4717" w:right="0" w:firstLine="0"/>
        <w:jc w:val="left"/>
        <w:rPr>
          <w:sz w:val="20"/>
        </w:rPr>
      </w:pPr>
      <w:r>
        <w:rPr>
          <w:sz w:val="20"/>
        </w:rPr>
        <w:t>B53.8,</w:t>
      </w:r>
      <w:r>
        <w:rPr>
          <w:spacing w:val="-7"/>
          <w:sz w:val="20"/>
        </w:rPr>
        <w:t> </w:t>
      </w:r>
      <w:r>
        <w:rPr>
          <w:sz w:val="20"/>
        </w:rPr>
        <w:t>B54,</w:t>
      </w:r>
      <w:r>
        <w:rPr>
          <w:spacing w:val="-6"/>
          <w:sz w:val="20"/>
        </w:rPr>
        <w:t> </w:t>
      </w:r>
      <w:r>
        <w:rPr>
          <w:sz w:val="20"/>
        </w:rPr>
        <w:t>B55,</w:t>
      </w:r>
      <w:r>
        <w:rPr>
          <w:spacing w:val="-4"/>
          <w:sz w:val="20"/>
        </w:rPr>
        <w:t> </w:t>
      </w:r>
      <w:r>
        <w:rPr>
          <w:sz w:val="20"/>
        </w:rPr>
        <w:t>B55.0,</w:t>
      </w:r>
      <w:r>
        <w:rPr>
          <w:spacing w:val="-6"/>
          <w:sz w:val="20"/>
        </w:rPr>
        <w:t> </w:t>
      </w:r>
      <w:r>
        <w:rPr>
          <w:sz w:val="20"/>
        </w:rPr>
        <w:t>B55.1,</w:t>
      </w:r>
      <w:r>
        <w:rPr>
          <w:spacing w:val="-4"/>
          <w:sz w:val="20"/>
        </w:rPr>
        <w:t> </w:t>
      </w:r>
      <w:r>
        <w:rPr>
          <w:sz w:val="20"/>
        </w:rPr>
        <w:t>B55.2,</w:t>
      </w:r>
      <w:r>
        <w:rPr>
          <w:spacing w:val="-6"/>
          <w:sz w:val="20"/>
        </w:rPr>
        <w:t> </w:t>
      </w:r>
      <w:r>
        <w:rPr>
          <w:spacing w:val="-2"/>
          <w:sz w:val="20"/>
        </w:rPr>
        <w:t>B55.9,</w:t>
      </w:r>
    </w:p>
    <w:p>
      <w:pPr>
        <w:spacing w:before="0"/>
        <w:ind w:left="4717" w:right="0" w:firstLine="0"/>
        <w:jc w:val="left"/>
        <w:rPr>
          <w:sz w:val="20"/>
        </w:rPr>
      </w:pPr>
      <w:r>
        <w:rPr>
          <w:sz w:val="20"/>
        </w:rPr>
        <w:t>B56,</w:t>
      </w:r>
      <w:r>
        <w:rPr>
          <w:spacing w:val="-8"/>
          <w:sz w:val="20"/>
        </w:rPr>
        <w:t> </w:t>
      </w:r>
      <w:r>
        <w:rPr>
          <w:sz w:val="20"/>
        </w:rPr>
        <w:t>B56.0,</w:t>
      </w:r>
      <w:r>
        <w:rPr>
          <w:spacing w:val="-5"/>
          <w:sz w:val="20"/>
        </w:rPr>
        <w:t> </w:t>
      </w:r>
      <w:r>
        <w:rPr>
          <w:sz w:val="20"/>
        </w:rPr>
        <w:t>B56.1,</w:t>
      </w:r>
      <w:r>
        <w:rPr>
          <w:spacing w:val="-6"/>
          <w:sz w:val="20"/>
        </w:rPr>
        <w:t> </w:t>
      </w:r>
      <w:r>
        <w:rPr>
          <w:sz w:val="20"/>
        </w:rPr>
        <w:t>B56.9,</w:t>
      </w:r>
      <w:r>
        <w:rPr>
          <w:spacing w:val="-5"/>
          <w:sz w:val="20"/>
        </w:rPr>
        <w:t> </w:t>
      </w:r>
      <w:r>
        <w:rPr>
          <w:sz w:val="20"/>
        </w:rPr>
        <w:t>B57,</w:t>
      </w:r>
      <w:r>
        <w:rPr>
          <w:spacing w:val="-4"/>
          <w:sz w:val="20"/>
        </w:rPr>
        <w:t> </w:t>
      </w:r>
      <w:r>
        <w:rPr>
          <w:sz w:val="20"/>
        </w:rPr>
        <w:t>B57.0,</w:t>
      </w:r>
      <w:r>
        <w:rPr>
          <w:spacing w:val="-5"/>
          <w:sz w:val="20"/>
        </w:rPr>
        <w:t> </w:t>
      </w:r>
      <w:r>
        <w:rPr>
          <w:spacing w:val="-2"/>
          <w:sz w:val="20"/>
        </w:rPr>
        <w:t>B57.1,</w:t>
      </w:r>
    </w:p>
    <w:p>
      <w:pPr>
        <w:spacing w:line="229" w:lineRule="exact" w:before="1"/>
        <w:ind w:left="4643" w:right="0" w:firstLine="0"/>
        <w:jc w:val="left"/>
        <w:rPr>
          <w:sz w:val="20"/>
        </w:rPr>
      </w:pPr>
      <w:r>
        <w:rPr>
          <w:sz w:val="20"/>
        </w:rPr>
        <w:t>B57.2,</w:t>
      </w:r>
      <w:r>
        <w:rPr>
          <w:spacing w:val="-4"/>
          <w:sz w:val="20"/>
        </w:rPr>
        <w:t> </w:t>
      </w:r>
      <w:r>
        <w:rPr>
          <w:sz w:val="20"/>
        </w:rPr>
        <w:t>B57.3,</w:t>
      </w:r>
      <w:r>
        <w:rPr>
          <w:spacing w:val="-4"/>
          <w:sz w:val="20"/>
        </w:rPr>
        <w:t> </w:t>
      </w:r>
      <w:r>
        <w:rPr>
          <w:sz w:val="20"/>
        </w:rPr>
        <w:t>B57.4,</w:t>
      </w:r>
      <w:r>
        <w:rPr>
          <w:spacing w:val="-3"/>
          <w:sz w:val="20"/>
        </w:rPr>
        <w:t> </w:t>
      </w:r>
      <w:r>
        <w:rPr>
          <w:sz w:val="20"/>
        </w:rPr>
        <w:t>B57.5,</w:t>
      </w:r>
      <w:r>
        <w:rPr>
          <w:spacing w:val="-7"/>
          <w:sz w:val="20"/>
        </w:rPr>
        <w:t> </w:t>
      </w:r>
      <w:r>
        <w:rPr>
          <w:sz w:val="20"/>
        </w:rPr>
        <w:t>B58,</w:t>
      </w:r>
      <w:r>
        <w:rPr>
          <w:spacing w:val="-6"/>
          <w:sz w:val="20"/>
        </w:rPr>
        <w:t> </w:t>
      </w:r>
      <w:r>
        <w:rPr>
          <w:sz w:val="20"/>
        </w:rPr>
        <w:t>B58.0,</w:t>
      </w:r>
      <w:r>
        <w:rPr>
          <w:spacing w:val="-5"/>
          <w:sz w:val="20"/>
        </w:rPr>
        <w:t> </w:t>
      </w:r>
      <w:r>
        <w:rPr>
          <w:spacing w:val="-2"/>
          <w:sz w:val="20"/>
        </w:rPr>
        <w:t>B58.1,</w:t>
      </w:r>
    </w:p>
    <w:p>
      <w:pPr>
        <w:spacing w:line="229" w:lineRule="exact" w:before="0"/>
        <w:ind w:left="4643" w:right="0" w:firstLine="0"/>
        <w:jc w:val="left"/>
        <w:rPr>
          <w:sz w:val="20"/>
        </w:rPr>
      </w:pPr>
      <w:r>
        <w:rPr>
          <w:sz w:val="20"/>
        </w:rPr>
        <w:t>B58.2,</w:t>
      </w:r>
      <w:r>
        <w:rPr>
          <w:spacing w:val="-5"/>
          <w:sz w:val="20"/>
        </w:rPr>
        <w:t> </w:t>
      </w:r>
      <w:r>
        <w:rPr>
          <w:sz w:val="20"/>
        </w:rPr>
        <w:t>B58.3,</w:t>
      </w:r>
      <w:r>
        <w:rPr>
          <w:spacing w:val="-4"/>
          <w:sz w:val="20"/>
        </w:rPr>
        <w:t> </w:t>
      </w:r>
      <w:r>
        <w:rPr>
          <w:sz w:val="20"/>
        </w:rPr>
        <w:t>B58.8,</w:t>
      </w:r>
      <w:r>
        <w:rPr>
          <w:spacing w:val="-5"/>
          <w:sz w:val="20"/>
        </w:rPr>
        <w:t> </w:t>
      </w:r>
      <w:r>
        <w:rPr>
          <w:sz w:val="20"/>
        </w:rPr>
        <w:t>B58.9,</w:t>
      </w:r>
      <w:r>
        <w:rPr>
          <w:spacing w:val="-8"/>
          <w:sz w:val="20"/>
        </w:rPr>
        <w:t> </w:t>
      </w:r>
      <w:r>
        <w:rPr>
          <w:sz w:val="20"/>
        </w:rPr>
        <w:t>B60,</w:t>
      </w:r>
      <w:r>
        <w:rPr>
          <w:spacing w:val="-6"/>
          <w:sz w:val="20"/>
        </w:rPr>
        <w:t> </w:t>
      </w:r>
      <w:r>
        <w:rPr>
          <w:sz w:val="20"/>
        </w:rPr>
        <w:t>B60.0,</w:t>
      </w:r>
      <w:r>
        <w:rPr>
          <w:spacing w:val="-6"/>
          <w:sz w:val="20"/>
        </w:rPr>
        <w:t> </w:t>
      </w:r>
      <w:r>
        <w:rPr>
          <w:spacing w:val="-2"/>
          <w:sz w:val="20"/>
        </w:rPr>
        <w:t>B60.1,</w:t>
      </w:r>
    </w:p>
    <w:p>
      <w:pPr>
        <w:spacing w:before="0"/>
        <w:ind w:left="0" w:right="7710" w:firstLine="0"/>
        <w:jc w:val="right"/>
        <w:rPr>
          <w:sz w:val="20"/>
        </w:rPr>
      </w:pPr>
      <w:r>
        <w:rPr>
          <w:sz w:val="20"/>
        </w:rPr>
        <w:t>B60.2,</w:t>
      </w:r>
      <w:r>
        <w:rPr>
          <w:spacing w:val="-7"/>
          <w:sz w:val="20"/>
        </w:rPr>
        <w:t> </w:t>
      </w:r>
      <w:r>
        <w:rPr>
          <w:sz w:val="20"/>
        </w:rPr>
        <w:t>B60.8,</w:t>
      </w:r>
      <w:r>
        <w:rPr>
          <w:spacing w:val="-4"/>
          <w:sz w:val="20"/>
        </w:rPr>
        <w:t> </w:t>
      </w:r>
      <w:r>
        <w:rPr>
          <w:sz w:val="20"/>
        </w:rPr>
        <w:t>B64,</w:t>
      </w:r>
      <w:r>
        <w:rPr>
          <w:spacing w:val="-6"/>
          <w:sz w:val="20"/>
        </w:rPr>
        <w:t> </w:t>
      </w:r>
      <w:r>
        <w:rPr>
          <w:sz w:val="20"/>
        </w:rPr>
        <w:t>B65,</w:t>
      </w:r>
      <w:r>
        <w:rPr>
          <w:spacing w:val="-5"/>
          <w:sz w:val="20"/>
        </w:rPr>
        <w:t> </w:t>
      </w:r>
      <w:r>
        <w:rPr>
          <w:sz w:val="20"/>
        </w:rPr>
        <w:t>B65.0,</w:t>
      </w:r>
      <w:r>
        <w:rPr>
          <w:spacing w:val="-5"/>
          <w:sz w:val="20"/>
        </w:rPr>
        <w:t> </w:t>
      </w:r>
      <w:r>
        <w:rPr>
          <w:sz w:val="20"/>
        </w:rPr>
        <w:t>B65.1,</w:t>
      </w:r>
      <w:r>
        <w:rPr>
          <w:spacing w:val="-5"/>
          <w:sz w:val="20"/>
        </w:rPr>
        <w:t> </w:t>
      </w:r>
      <w:r>
        <w:rPr>
          <w:spacing w:val="-2"/>
          <w:sz w:val="20"/>
        </w:rPr>
        <w:t>B65.2,</w:t>
      </w:r>
    </w:p>
    <w:p>
      <w:pPr>
        <w:spacing w:before="1"/>
        <w:ind w:left="0" w:right="7636" w:firstLine="0"/>
        <w:jc w:val="right"/>
        <w:rPr>
          <w:sz w:val="20"/>
        </w:rPr>
      </w:pPr>
      <w:r>
        <w:rPr>
          <w:sz w:val="20"/>
        </w:rPr>
        <w:t>B65.3,</w:t>
      </w:r>
      <w:r>
        <w:rPr>
          <w:spacing w:val="-5"/>
          <w:sz w:val="20"/>
        </w:rPr>
        <w:t> </w:t>
      </w:r>
      <w:r>
        <w:rPr>
          <w:sz w:val="20"/>
        </w:rPr>
        <w:t>B65.8,</w:t>
      </w:r>
      <w:r>
        <w:rPr>
          <w:spacing w:val="-5"/>
          <w:sz w:val="20"/>
        </w:rPr>
        <w:t> </w:t>
      </w:r>
      <w:r>
        <w:rPr>
          <w:sz w:val="20"/>
        </w:rPr>
        <w:t>B65.9,</w:t>
      </w:r>
      <w:r>
        <w:rPr>
          <w:spacing w:val="-4"/>
          <w:sz w:val="20"/>
        </w:rPr>
        <w:t> </w:t>
      </w:r>
      <w:r>
        <w:rPr>
          <w:sz w:val="20"/>
        </w:rPr>
        <w:t>B66,</w:t>
      </w:r>
      <w:r>
        <w:rPr>
          <w:spacing w:val="-7"/>
          <w:sz w:val="20"/>
        </w:rPr>
        <w:t> </w:t>
      </w:r>
      <w:r>
        <w:rPr>
          <w:sz w:val="20"/>
        </w:rPr>
        <w:t>B66.0,</w:t>
      </w:r>
      <w:r>
        <w:rPr>
          <w:spacing w:val="-6"/>
          <w:sz w:val="20"/>
        </w:rPr>
        <w:t> </w:t>
      </w:r>
      <w:r>
        <w:rPr>
          <w:sz w:val="20"/>
        </w:rPr>
        <w:t>B66.1,</w:t>
      </w:r>
      <w:r>
        <w:rPr>
          <w:spacing w:val="-5"/>
          <w:sz w:val="20"/>
        </w:rPr>
        <w:t> </w:t>
      </w:r>
      <w:r>
        <w:rPr>
          <w:spacing w:val="-2"/>
          <w:sz w:val="20"/>
        </w:rPr>
        <w:t>B66.2,</w:t>
      </w:r>
    </w:p>
    <w:p>
      <w:pPr>
        <w:spacing w:before="0"/>
        <w:ind w:left="0" w:right="7636" w:firstLine="0"/>
        <w:jc w:val="right"/>
        <w:rPr>
          <w:sz w:val="20"/>
        </w:rPr>
      </w:pPr>
      <w:r>
        <w:rPr>
          <w:sz w:val="20"/>
        </w:rPr>
        <w:t>B66.3,</w:t>
      </w:r>
      <w:r>
        <w:rPr>
          <w:spacing w:val="-5"/>
          <w:sz w:val="20"/>
        </w:rPr>
        <w:t> </w:t>
      </w:r>
      <w:r>
        <w:rPr>
          <w:sz w:val="20"/>
        </w:rPr>
        <w:t>B66.4,</w:t>
      </w:r>
      <w:r>
        <w:rPr>
          <w:spacing w:val="-5"/>
          <w:sz w:val="20"/>
        </w:rPr>
        <w:t> </w:t>
      </w:r>
      <w:r>
        <w:rPr>
          <w:sz w:val="20"/>
        </w:rPr>
        <w:t>B66.5,</w:t>
      </w:r>
      <w:r>
        <w:rPr>
          <w:spacing w:val="-4"/>
          <w:sz w:val="20"/>
        </w:rPr>
        <w:t> </w:t>
      </w:r>
      <w:r>
        <w:rPr>
          <w:sz w:val="20"/>
        </w:rPr>
        <w:t>B66.8,</w:t>
      </w:r>
      <w:r>
        <w:rPr>
          <w:spacing w:val="-8"/>
          <w:sz w:val="20"/>
        </w:rPr>
        <w:t> </w:t>
      </w:r>
      <w:r>
        <w:rPr>
          <w:sz w:val="20"/>
        </w:rPr>
        <w:t>B66.9,</w:t>
      </w:r>
      <w:r>
        <w:rPr>
          <w:spacing w:val="-5"/>
          <w:sz w:val="20"/>
        </w:rPr>
        <w:t> </w:t>
      </w:r>
      <w:r>
        <w:rPr>
          <w:sz w:val="20"/>
        </w:rPr>
        <w:t>B67,</w:t>
      </w:r>
      <w:r>
        <w:rPr>
          <w:spacing w:val="-6"/>
          <w:sz w:val="20"/>
        </w:rPr>
        <w:t> </w:t>
      </w:r>
      <w:r>
        <w:rPr>
          <w:spacing w:val="-2"/>
          <w:sz w:val="20"/>
        </w:rPr>
        <w:t>B67.0,</w:t>
      </w:r>
    </w:p>
    <w:p>
      <w:pPr>
        <w:spacing w:before="1"/>
        <w:ind w:left="0" w:right="7562" w:firstLine="0"/>
        <w:jc w:val="right"/>
        <w:rPr>
          <w:sz w:val="20"/>
        </w:rPr>
      </w:pPr>
      <w:r>
        <w:rPr>
          <w:sz w:val="20"/>
        </w:rPr>
        <w:t>B67.1,</w:t>
      </w:r>
      <w:r>
        <w:rPr>
          <w:spacing w:val="-8"/>
          <w:sz w:val="20"/>
        </w:rPr>
        <w:t> </w:t>
      </w:r>
      <w:r>
        <w:rPr>
          <w:sz w:val="20"/>
        </w:rPr>
        <w:t>B67.2,</w:t>
      </w:r>
      <w:r>
        <w:rPr>
          <w:spacing w:val="-5"/>
          <w:sz w:val="20"/>
        </w:rPr>
        <w:t> </w:t>
      </w:r>
      <w:r>
        <w:rPr>
          <w:sz w:val="20"/>
        </w:rPr>
        <w:t>B67.3,</w:t>
      </w:r>
      <w:r>
        <w:rPr>
          <w:spacing w:val="-5"/>
          <w:sz w:val="20"/>
        </w:rPr>
        <w:t> </w:t>
      </w:r>
      <w:r>
        <w:rPr>
          <w:sz w:val="20"/>
        </w:rPr>
        <w:t>B67.4,</w:t>
      </w:r>
      <w:r>
        <w:rPr>
          <w:spacing w:val="-8"/>
          <w:sz w:val="20"/>
        </w:rPr>
        <w:t> </w:t>
      </w:r>
      <w:r>
        <w:rPr>
          <w:sz w:val="20"/>
        </w:rPr>
        <w:t>B67.5,</w:t>
      </w:r>
      <w:r>
        <w:rPr>
          <w:spacing w:val="-5"/>
          <w:sz w:val="20"/>
        </w:rPr>
        <w:t> </w:t>
      </w:r>
      <w:r>
        <w:rPr>
          <w:sz w:val="20"/>
        </w:rPr>
        <w:t>B67.6,</w:t>
      </w:r>
      <w:r>
        <w:rPr>
          <w:spacing w:val="-5"/>
          <w:sz w:val="20"/>
        </w:rPr>
        <w:t> </w:t>
      </w:r>
      <w:r>
        <w:rPr>
          <w:spacing w:val="-2"/>
          <w:sz w:val="20"/>
        </w:rPr>
        <w:t>B67.7,</w:t>
      </w:r>
    </w:p>
    <w:p>
      <w:pPr>
        <w:spacing w:line="229" w:lineRule="exact" w:before="0"/>
        <w:ind w:left="1163" w:right="4154" w:firstLine="0"/>
        <w:jc w:val="center"/>
        <w:rPr>
          <w:sz w:val="20"/>
        </w:rPr>
      </w:pPr>
      <w:r>
        <w:rPr>
          <w:sz w:val="20"/>
        </w:rPr>
        <w:t>B67.8,</w:t>
      </w:r>
      <w:r>
        <w:rPr>
          <w:spacing w:val="-4"/>
          <w:sz w:val="20"/>
        </w:rPr>
        <w:t> </w:t>
      </w:r>
      <w:r>
        <w:rPr>
          <w:sz w:val="20"/>
        </w:rPr>
        <w:t>B67.9,</w:t>
      </w:r>
      <w:r>
        <w:rPr>
          <w:spacing w:val="-4"/>
          <w:sz w:val="20"/>
        </w:rPr>
        <w:t> </w:t>
      </w:r>
      <w:r>
        <w:rPr>
          <w:sz w:val="20"/>
        </w:rPr>
        <w:t>B68,</w:t>
      </w:r>
      <w:r>
        <w:rPr>
          <w:spacing w:val="-6"/>
          <w:sz w:val="20"/>
        </w:rPr>
        <w:t> </w:t>
      </w:r>
      <w:r>
        <w:rPr>
          <w:sz w:val="20"/>
        </w:rPr>
        <w:t>B68.0,</w:t>
      </w:r>
      <w:r>
        <w:rPr>
          <w:spacing w:val="-5"/>
          <w:sz w:val="20"/>
        </w:rPr>
        <w:t> </w:t>
      </w:r>
      <w:r>
        <w:rPr>
          <w:sz w:val="20"/>
        </w:rPr>
        <w:t>B68.1,</w:t>
      </w:r>
      <w:r>
        <w:rPr>
          <w:spacing w:val="-6"/>
          <w:sz w:val="20"/>
        </w:rPr>
        <w:t> </w:t>
      </w:r>
      <w:r>
        <w:rPr>
          <w:sz w:val="20"/>
        </w:rPr>
        <w:t>B68.9,</w:t>
      </w:r>
      <w:r>
        <w:rPr>
          <w:spacing w:val="-4"/>
          <w:sz w:val="20"/>
        </w:rPr>
        <w:t> B69,</w:t>
      </w:r>
    </w:p>
    <w:p>
      <w:pPr>
        <w:spacing w:before="0"/>
        <w:ind w:left="4569" w:right="7562" w:firstLine="0"/>
        <w:jc w:val="center"/>
        <w:rPr>
          <w:sz w:val="20"/>
        </w:rPr>
      </w:pPr>
      <w:r>
        <w:rPr>
          <w:sz w:val="20"/>
        </w:rPr>
        <w:t>B69.0, B69.1, B69.8, B69.9, B70, B70.0, B70.1, B71,</w:t>
      </w:r>
      <w:r>
        <w:rPr>
          <w:spacing w:val="-3"/>
          <w:sz w:val="20"/>
        </w:rPr>
        <w:t> </w:t>
      </w:r>
      <w:r>
        <w:rPr>
          <w:sz w:val="20"/>
        </w:rPr>
        <w:t>B71.0,</w:t>
      </w:r>
      <w:r>
        <w:rPr>
          <w:spacing w:val="-3"/>
          <w:sz w:val="20"/>
        </w:rPr>
        <w:t> </w:t>
      </w:r>
      <w:r>
        <w:rPr>
          <w:sz w:val="20"/>
        </w:rPr>
        <w:t>B71.1,</w:t>
      </w:r>
      <w:r>
        <w:rPr>
          <w:spacing w:val="-3"/>
          <w:sz w:val="20"/>
        </w:rPr>
        <w:t> </w:t>
      </w:r>
      <w:r>
        <w:rPr>
          <w:sz w:val="20"/>
        </w:rPr>
        <w:t>B71.8,</w:t>
      </w:r>
      <w:r>
        <w:rPr>
          <w:spacing w:val="-3"/>
          <w:sz w:val="20"/>
        </w:rPr>
        <w:t> </w:t>
      </w:r>
      <w:r>
        <w:rPr>
          <w:sz w:val="20"/>
        </w:rPr>
        <w:t>B71.9,</w:t>
      </w:r>
      <w:r>
        <w:rPr>
          <w:spacing w:val="-3"/>
          <w:sz w:val="20"/>
        </w:rPr>
        <w:t> </w:t>
      </w:r>
      <w:r>
        <w:rPr>
          <w:sz w:val="20"/>
        </w:rPr>
        <w:t>B72,</w:t>
      </w:r>
      <w:r>
        <w:rPr>
          <w:spacing w:val="-3"/>
          <w:sz w:val="20"/>
        </w:rPr>
        <w:t> </w:t>
      </w:r>
      <w:r>
        <w:rPr>
          <w:sz w:val="20"/>
        </w:rPr>
        <w:t>B73,</w:t>
      </w:r>
      <w:r>
        <w:rPr>
          <w:spacing w:val="-1"/>
          <w:sz w:val="20"/>
        </w:rPr>
        <w:t> </w:t>
      </w:r>
      <w:r>
        <w:rPr>
          <w:sz w:val="20"/>
        </w:rPr>
        <w:t>B74, B74.0,</w:t>
      </w:r>
      <w:r>
        <w:rPr>
          <w:spacing w:val="-8"/>
          <w:sz w:val="20"/>
        </w:rPr>
        <w:t> </w:t>
      </w:r>
      <w:r>
        <w:rPr>
          <w:sz w:val="20"/>
        </w:rPr>
        <w:t>B74.1,</w:t>
      </w:r>
      <w:r>
        <w:rPr>
          <w:spacing w:val="-5"/>
          <w:sz w:val="20"/>
        </w:rPr>
        <w:t> </w:t>
      </w:r>
      <w:r>
        <w:rPr>
          <w:sz w:val="20"/>
        </w:rPr>
        <w:t>B74.2,</w:t>
      </w:r>
      <w:r>
        <w:rPr>
          <w:spacing w:val="-5"/>
          <w:sz w:val="20"/>
        </w:rPr>
        <w:t> </w:t>
      </w:r>
      <w:r>
        <w:rPr>
          <w:sz w:val="20"/>
        </w:rPr>
        <w:t>B74.3,</w:t>
      </w:r>
      <w:r>
        <w:rPr>
          <w:spacing w:val="-8"/>
          <w:sz w:val="20"/>
        </w:rPr>
        <w:t> </w:t>
      </w:r>
      <w:r>
        <w:rPr>
          <w:sz w:val="20"/>
        </w:rPr>
        <w:t>B74.4,</w:t>
      </w:r>
      <w:r>
        <w:rPr>
          <w:spacing w:val="-5"/>
          <w:sz w:val="20"/>
        </w:rPr>
        <w:t> </w:t>
      </w:r>
      <w:r>
        <w:rPr>
          <w:sz w:val="20"/>
        </w:rPr>
        <w:t>B74.8,</w:t>
      </w:r>
      <w:r>
        <w:rPr>
          <w:spacing w:val="-5"/>
          <w:sz w:val="20"/>
        </w:rPr>
        <w:t> </w:t>
      </w:r>
      <w:r>
        <w:rPr>
          <w:spacing w:val="-2"/>
          <w:sz w:val="20"/>
        </w:rPr>
        <w:t>B74.9,</w:t>
      </w:r>
    </w:p>
    <w:p>
      <w:pPr>
        <w:spacing w:before="1"/>
        <w:ind w:left="1160" w:right="4154" w:firstLine="0"/>
        <w:jc w:val="center"/>
        <w:rPr>
          <w:sz w:val="20"/>
        </w:rPr>
      </w:pPr>
      <w:r>
        <w:rPr>
          <w:sz w:val="20"/>
        </w:rPr>
        <w:t>B75,</w:t>
      </w:r>
      <w:r>
        <w:rPr>
          <w:spacing w:val="-9"/>
          <w:sz w:val="20"/>
        </w:rPr>
        <w:t> </w:t>
      </w:r>
      <w:r>
        <w:rPr>
          <w:sz w:val="20"/>
        </w:rPr>
        <w:t>B76,</w:t>
      </w:r>
      <w:r>
        <w:rPr>
          <w:spacing w:val="-4"/>
          <w:sz w:val="20"/>
        </w:rPr>
        <w:t> </w:t>
      </w:r>
      <w:r>
        <w:rPr>
          <w:sz w:val="20"/>
        </w:rPr>
        <w:t>B76.0,</w:t>
      </w:r>
      <w:r>
        <w:rPr>
          <w:spacing w:val="-5"/>
          <w:sz w:val="20"/>
        </w:rPr>
        <w:t> </w:t>
      </w:r>
      <w:r>
        <w:rPr>
          <w:sz w:val="20"/>
        </w:rPr>
        <w:t>B76.1,</w:t>
      </w:r>
      <w:r>
        <w:rPr>
          <w:spacing w:val="-6"/>
          <w:sz w:val="20"/>
        </w:rPr>
        <w:t> </w:t>
      </w:r>
      <w:r>
        <w:rPr>
          <w:sz w:val="20"/>
        </w:rPr>
        <w:t>B76.8,</w:t>
      </w:r>
      <w:r>
        <w:rPr>
          <w:spacing w:val="-4"/>
          <w:sz w:val="20"/>
        </w:rPr>
        <w:t> </w:t>
      </w:r>
      <w:r>
        <w:rPr>
          <w:sz w:val="20"/>
        </w:rPr>
        <w:t>B76.9,</w:t>
      </w:r>
      <w:r>
        <w:rPr>
          <w:spacing w:val="-6"/>
          <w:sz w:val="20"/>
        </w:rPr>
        <w:t> </w:t>
      </w:r>
      <w:r>
        <w:rPr>
          <w:spacing w:val="-4"/>
          <w:sz w:val="20"/>
        </w:rPr>
        <w:t>B77,</w:t>
      </w:r>
    </w:p>
    <w:p>
      <w:pPr>
        <w:spacing w:before="0"/>
        <w:ind w:left="1166" w:right="4154" w:firstLine="0"/>
        <w:jc w:val="center"/>
        <w:rPr>
          <w:sz w:val="20"/>
        </w:rPr>
      </w:pPr>
      <w:r>
        <w:rPr>
          <w:sz w:val="20"/>
        </w:rPr>
        <w:t>B77.0,</w:t>
      </w:r>
      <w:r>
        <w:rPr>
          <w:spacing w:val="-5"/>
          <w:sz w:val="20"/>
        </w:rPr>
        <w:t> </w:t>
      </w:r>
      <w:r>
        <w:rPr>
          <w:sz w:val="20"/>
        </w:rPr>
        <w:t>B77.8,</w:t>
      </w:r>
      <w:r>
        <w:rPr>
          <w:spacing w:val="-5"/>
          <w:sz w:val="20"/>
        </w:rPr>
        <w:t> </w:t>
      </w:r>
      <w:r>
        <w:rPr>
          <w:sz w:val="20"/>
        </w:rPr>
        <w:t>B77.9,</w:t>
      </w:r>
      <w:r>
        <w:rPr>
          <w:spacing w:val="-4"/>
          <w:sz w:val="20"/>
        </w:rPr>
        <w:t> </w:t>
      </w:r>
      <w:r>
        <w:rPr>
          <w:sz w:val="20"/>
        </w:rPr>
        <w:t>B78,</w:t>
      </w:r>
      <w:r>
        <w:rPr>
          <w:spacing w:val="-7"/>
          <w:sz w:val="20"/>
        </w:rPr>
        <w:t> </w:t>
      </w:r>
      <w:r>
        <w:rPr>
          <w:sz w:val="20"/>
        </w:rPr>
        <w:t>B78.0,</w:t>
      </w:r>
      <w:r>
        <w:rPr>
          <w:spacing w:val="-1"/>
          <w:sz w:val="20"/>
        </w:rPr>
        <w:t> </w:t>
      </w:r>
      <w:r>
        <w:rPr>
          <w:sz w:val="20"/>
        </w:rPr>
        <w:t>B78.1,</w:t>
      </w:r>
      <w:r>
        <w:rPr>
          <w:spacing w:val="-5"/>
          <w:sz w:val="20"/>
        </w:rPr>
        <w:t> </w:t>
      </w:r>
      <w:r>
        <w:rPr>
          <w:spacing w:val="-2"/>
          <w:sz w:val="20"/>
        </w:rPr>
        <w:t>B78.7,</w:t>
      </w:r>
    </w:p>
    <w:p>
      <w:pPr>
        <w:spacing w:before="0"/>
        <w:ind w:left="1160" w:right="4154" w:firstLine="0"/>
        <w:jc w:val="center"/>
        <w:rPr>
          <w:sz w:val="20"/>
        </w:rPr>
      </w:pPr>
      <w:r>
        <w:rPr>
          <w:sz w:val="20"/>
        </w:rPr>
        <w:t>B78.9,</w:t>
      </w:r>
      <w:r>
        <w:rPr>
          <w:spacing w:val="-4"/>
          <w:sz w:val="20"/>
        </w:rPr>
        <w:t> </w:t>
      </w:r>
      <w:r>
        <w:rPr>
          <w:sz w:val="20"/>
        </w:rPr>
        <w:t>B79,</w:t>
      </w:r>
      <w:r>
        <w:rPr>
          <w:spacing w:val="-5"/>
          <w:sz w:val="20"/>
        </w:rPr>
        <w:t> </w:t>
      </w:r>
      <w:r>
        <w:rPr>
          <w:sz w:val="20"/>
        </w:rPr>
        <w:t>B80,</w:t>
      </w:r>
      <w:r>
        <w:rPr>
          <w:spacing w:val="-4"/>
          <w:sz w:val="20"/>
        </w:rPr>
        <w:t> </w:t>
      </w:r>
      <w:r>
        <w:rPr>
          <w:sz w:val="20"/>
        </w:rPr>
        <w:t>B81,</w:t>
      </w:r>
      <w:r>
        <w:rPr>
          <w:spacing w:val="-5"/>
          <w:sz w:val="20"/>
        </w:rPr>
        <w:t> </w:t>
      </w:r>
      <w:r>
        <w:rPr>
          <w:sz w:val="20"/>
        </w:rPr>
        <w:t>B81.0,</w:t>
      </w:r>
      <w:r>
        <w:rPr>
          <w:spacing w:val="-6"/>
          <w:sz w:val="20"/>
        </w:rPr>
        <w:t> </w:t>
      </w:r>
      <w:r>
        <w:rPr>
          <w:sz w:val="20"/>
        </w:rPr>
        <w:t>B81.1,</w:t>
      </w:r>
      <w:r>
        <w:rPr>
          <w:spacing w:val="-3"/>
          <w:sz w:val="20"/>
        </w:rPr>
        <w:t> </w:t>
      </w:r>
      <w:r>
        <w:rPr>
          <w:spacing w:val="-2"/>
          <w:sz w:val="20"/>
        </w:rPr>
        <w:t>B81.2,</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5"/>
        <w:gridCol w:w="5162"/>
        <w:gridCol w:w="1877"/>
        <w:gridCol w:w="3146"/>
        <w:gridCol w:w="911"/>
      </w:tblGrid>
      <w:tr>
        <w:trPr>
          <w:trHeight w:val="1885"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rPr>
                <w:sz w:val="18"/>
              </w:rPr>
            </w:pPr>
          </w:p>
        </w:tc>
        <w:tc>
          <w:tcPr>
            <w:tcW w:w="5162" w:type="dxa"/>
          </w:tcPr>
          <w:p>
            <w:pPr>
              <w:pStyle w:val="TableParagraph"/>
              <w:spacing w:line="221" w:lineRule="exact"/>
              <w:ind w:left="137" w:right="998"/>
              <w:jc w:val="center"/>
              <w:rPr>
                <w:sz w:val="20"/>
              </w:rPr>
            </w:pPr>
            <w:r>
              <w:rPr>
                <w:sz w:val="20"/>
              </w:rPr>
              <w:t>B81.3,</w:t>
            </w:r>
            <w:r>
              <w:rPr>
                <w:spacing w:val="-5"/>
                <w:sz w:val="20"/>
              </w:rPr>
              <w:t> </w:t>
            </w:r>
            <w:r>
              <w:rPr>
                <w:sz w:val="20"/>
              </w:rPr>
              <w:t>B81.4,</w:t>
            </w:r>
            <w:r>
              <w:rPr>
                <w:spacing w:val="-5"/>
                <w:sz w:val="20"/>
              </w:rPr>
              <w:t> </w:t>
            </w:r>
            <w:r>
              <w:rPr>
                <w:sz w:val="20"/>
              </w:rPr>
              <w:t>B81.8,</w:t>
            </w:r>
            <w:r>
              <w:rPr>
                <w:spacing w:val="-4"/>
                <w:sz w:val="20"/>
              </w:rPr>
              <w:t> </w:t>
            </w:r>
            <w:r>
              <w:rPr>
                <w:sz w:val="20"/>
              </w:rPr>
              <w:t>B82,</w:t>
            </w:r>
            <w:r>
              <w:rPr>
                <w:spacing w:val="-7"/>
                <w:sz w:val="20"/>
              </w:rPr>
              <w:t> </w:t>
            </w:r>
            <w:r>
              <w:rPr>
                <w:sz w:val="20"/>
              </w:rPr>
              <w:t>B82.0,</w:t>
            </w:r>
            <w:r>
              <w:rPr>
                <w:spacing w:val="-6"/>
                <w:sz w:val="20"/>
              </w:rPr>
              <w:t> </w:t>
            </w:r>
            <w:r>
              <w:rPr>
                <w:sz w:val="20"/>
              </w:rPr>
              <w:t>B82.9,</w:t>
            </w:r>
            <w:r>
              <w:rPr>
                <w:spacing w:val="-5"/>
                <w:sz w:val="20"/>
              </w:rPr>
              <w:t> </w:t>
            </w:r>
            <w:r>
              <w:rPr>
                <w:spacing w:val="-4"/>
                <w:sz w:val="20"/>
              </w:rPr>
              <w:t>B83,</w:t>
            </w:r>
          </w:p>
          <w:p>
            <w:pPr>
              <w:pStyle w:val="TableParagraph"/>
              <w:spacing w:line="229" w:lineRule="exact"/>
              <w:ind w:left="137" w:right="999"/>
              <w:jc w:val="center"/>
              <w:rPr>
                <w:sz w:val="20"/>
              </w:rPr>
            </w:pPr>
            <w:r>
              <w:rPr>
                <w:sz w:val="20"/>
              </w:rPr>
              <w:t>B83.0,</w:t>
            </w:r>
            <w:r>
              <w:rPr>
                <w:spacing w:val="-8"/>
                <w:sz w:val="20"/>
              </w:rPr>
              <w:t> </w:t>
            </w:r>
            <w:r>
              <w:rPr>
                <w:sz w:val="20"/>
              </w:rPr>
              <w:t>B83.1,</w:t>
            </w:r>
            <w:r>
              <w:rPr>
                <w:spacing w:val="-5"/>
                <w:sz w:val="20"/>
              </w:rPr>
              <w:t> </w:t>
            </w:r>
            <w:r>
              <w:rPr>
                <w:sz w:val="20"/>
              </w:rPr>
              <w:t>B83.2,</w:t>
            </w:r>
            <w:r>
              <w:rPr>
                <w:spacing w:val="-5"/>
                <w:sz w:val="20"/>
              </w:rPr>
              <w:t> </w:t>
            </w:r>
            <w:r>
              <w:rPr>
                <w:sz w:val="20"/>
              </w:rPr>
              <w:t>B83.3,</w:t>
            </w:r>
            <w:r>
              <w:rPr>
                <w:spacing w:val="-8"/>
                <w:sz w:val="20"/>
              </w:rPr>
              <w:t> </w:t>
            </w:r>
            <w:r>
              <w:rPr>
                <w:sz w:val="20"/>
              </w:rPr>
              <w:t>B83.4,</w:t>
            </w:r>
            <w:r>
              <w:rPr>
                <w:spacing w:val="-5"/>
                <w:sz w:val="20"/>
              </w:rPr>
              <w:t> </w:t>
            </w:r>
            <w:r>
              <w:rPr>
                <w:sz w:val="20"/>
              </w:rPr>
              <w:t>B83.8,</w:t>
            </w:r>
            <w:r>
              <w:rPr>
                <w:spacing w:val="-5"/>
                <w:sz w:val="20"/>
              </w:rPr>
              <w:t> </w:t>
            </w:r>
            <w:r>
              <w:rPr>
                <w:spacing w:val="-2"/>
                <w:sz w:val="20"/>
              </w:rPr>
              <w:t>B83.9,</w:t>
            </w:r>
          </w:p>
          <w:p>
            <w:pPr>
              <w:pStyle w:val="TableParagraph"/>
              <w:spacing w:line="229" w:lineRule="exact"/>
              <w:ind w:left="136" w:right="999"/>
              <w:jc w:val="center"/>
              <w:rPr>
                <w:sz w:val="20"/>
              </w:rPr>
            </w:pPr>
            <w:r>
              <w:rPr>
                <w:sz w:val="20"/>
              </w:rPr>
              <w:t>B89,</w:t>
            </w:r>
            <w:r>
              <w:rPr>
                <w:spacing w:val="-6"/>
                <w:sz w:val="20"/>
              </w:rPr>
              <w:t> </w:t>
            </w:r>
            <w:r>
              <w:rPr>
                <w:sz w:val="20"/>
              </w:rPr>
              <w:t>B92,</w:t>
            </w:r>
            <w:r>
              <w:rPr>
                <w:spacing w:val="-4"/>
                <w:sz w:val="20"/>
              </w:rPr>
              <w:t> </w:t>
            </w:r>
            <w:r>
              <w:rPr>
                <w:sz w:val="20"/>
              </w:rPr>
              <w:t>B94.8,</w:t>
            </w:r>
            <w:r>
              <w:rPr>
                <w:spacing w:val="-4"/>
                <w:sz w:val="20"/>
              </w:rPr>
              <w:t> </w:t>
            </w:r>
            <w:r>
              <w:rPr>
                <w:sz w:val="20"/>
              </w:rPr>
              <w:t>B94.9,</w:t>
            </w:r>
            <w:r>
              <w:rPr>
                <w:spacing w:val="-5"/>
                <w:sz w:val="20"/>
              </w:rPr>
              <w:t> </w:t>
            </w:r>
            <w:r>
              <w:rPr>
                <w:sz w:val="20"/>
              </w:rPr>
              <w:t>B95,</w:t>
            </w:r>
            <w:r>
              <w:rPr>
                <w:spacing w:val="-6"/>
                <w:sz w:val="20"/>
              </w:rPr>
              <w:t> </w:t>
            </w:r>
            <w:r>
              <w:rPr>
                <w:sz w:val="20"/>
              </w:rPr>
              <w:t>B95.0,</w:t>
            </w:r>
            <w:r>
              <w:rPr>
                <w:spacing w:val="-4"/>
                <w:sz w:val="20"/>
              </w:rPr>
              <w:t> </w:t>
            </w:r>
            <w:r>
              <w:rPr>
                <w:spacing w:val="-2"/>
                <w:sz w:val="20"/>
              </w:rPr>
              <w:t>B95.1,</w:t>
            </w:r>
          </w:p>
          <w:p>
            <w:pPr>
              <w:pStyle w:val="TableParagraph"/>
              <w:spacing w:before="1"/>
              <w:ind w:left="137" w:right="999"/>
              <w:jc w:val="center"/>
              <w:rPr>
                <w:sz w:val="20"/>
              </w:rPr>
            </w:pPr>
            <w:r>
              <w:rPr>
                <w:sz w:val="20"/>
              </w:rPr>
              <w:t>B95.2,</w:t>
            </w:r>
            <w:r>
              <w:rPr>
                <w:spacing w:val="-8"/>
                <w:sz w:val="20"/>
              </w:rPr>
              <w:t> </w:t>
            </w:r>
            <w:r>
              <w:rPr>
                <w:sz w:val="20"/>
              </w:rPr>
              <w:t>B95.3,</w:t>
            </w:r>
            <w:r>
              <w:rPr>
                <w:spacing w:val="-5"/>
                <w:sz w:val="20"/>
              </w:rPr>
              <w:t> </w:t>
            </w:r>
            <w:r>
              <w:rPr>
                <w:sz w:val="20"/>
              </w:rPr>
              <w:t>B95.4,</w:t>
            </w:r>
            <w:r>
              <w:rPr>
                <w:spacing w:val="-5"/>
                <w:sz w:val="20"/>
              </w:rPr>
              <w:t> </w:t>
            </w:r>
            <w:r>
              <w:rPr>
                <w:sz w:val="20"/>
              </w:rPr>
              <w:t>B95.5,</w:t>
            </w:r>
            <w:r>
              <w:rPr>
                <w:spacing w:val="-8"/>
                <w:sz w:val="20"/>
              </w:rPr>
              <w:t> </w:t>
            </w:r>
            <w:r>
              <w:rPr>
                <w:sz w:val="20"/>
              </w:rPr>
              <w:t>B95.6,</w:t>
            </w:r>
            <w:r>
              <w:rPr>
                <w:spacing w:val="-5"/>
                <w:sz w:val="20"/>
              </w:rPr>
              <w:t> </w:t>
            </w:r>
            <w:r>
              <w:rPr>
                <w:sz w:val="20"/>
              </w:rPr>
              <w:t>B95.7,</w:t>
            </w:r>
            <w:r>
              <w:rPr>
                <w:spacing w:val="-5"/>
                <w:sz w:val="20"/>
              </w:rPr>
              <w:t> </w:t>
            </w:r>
            <w:r>
              <w:rPr>
                <w:spacing w:val="-2"/>
                <w:sz w:val="20"/>
              </w:rPr>
              <w:t>B95.8,</w:t>
            </w:r>
          </w:p>
          <w:p>
            <w:pPr>
              <w:pStyle w:val="TableParagraph"/>
              <w:ind w:left="137" w:right="997"/>
              <w:jc w:val="center"/>
              <w:rPr>
                <w:sz w:val="20"/>
              </w:rPr>
            </w:pPr>
            <w:r>
              <w:rPr>
                <w:sz w:val="20"/>
              </w:rPr>
              <w:t>B96,</w:t>
            </w:r>
            <w:r>
              <w:rPr>
                <w:spacing w:val="-6"/>
                <w:sz w:val="20"/>
              </w:rPr>
              <w:t> </w:t>
            </w:r>
            <w:r>
              <w:rPr>
                <w:sz w:val="20"/>
              </w:rPr>
              <w:t>B96.0,</w:t>
            </w:r>
            <w:r>
              <w:rPr>
                <w:spacing w:val="-3"/>
                <w:sz w:val="20"/>
              </w:rPr>
              <w:t> </w:t>
            </w:r>
            <w:r>
              <w:rPr>
                <w:sz w:val="20"/>
              </w:rPr>
              <w:t>B96.1,</w:t>
            </w:r>
            <w:r>
              <w:rPr>
                <w:spacing w:val="-6"/>
                <w:sz w:val="20"/>
              </w:rPr>
              <w:t> </w:t>
            </w:r>
            <w:r>
              <w:rPr>
                <w:sz w:val="20"/>
              </w:rPr>
              <w:t>B96.2,</w:t>
            </w:r>
            <w:r>
              <w:rPr>
                <w:spacing w:val="-5"/>
                <w:sz w:val="20"/>
              </w:rPr>
              <w:t> </w:t>
            </w:r>
            <w:r>
              <w:rPr>
                <w:sz w:val="20"/>
              </w:rPr>
              <w:t>B96.3,</w:t>
            </w:r>
            <w:r>
              <w:rPr>
                <w:spacing w:val="-5"/>
                <w:sz w:val="20"/>
              </w:rPr>
              <w:t> </w:t>
            </w:r>
            <w:r>
              <w:rPr>
                <w:sz w:val="20"/>
              </w:rPr>
              <w:t>B96.4,</w:t>
            </w:r>
            <w:r>
              <w:rPr>
                <w:spacing w:val="-4"/>
                <w:sz w:val="20"/>
              </w:rPr>
              <w:t> </w:t>
            </w:r>
            <w:r>
              <w:rPr>
                <w:spacing w:val="-2"/>
                <w:sz w:val="20"/>
              </w:rPr>
              <w:t>B96.5,</w:t>
            </w:r>
          </w:p>
          <w:p>
            <w:pPr>
              <w:pStyle w:val="TableParagraph"/>
              <w:ind w:left="137" w:right="998"/>
              <w:jc w:val="center"/>
              <w:rPr>
                <w:sz w:val="20"/>
              </w:rPr>
            </w:pPr>
            <w:r>
              <w:rPr>
                <w:sz w:val="20"/>
              </w:rPr>
              <w:t>B96.6,</w:t>
            </w:r>
            <w:r>
              <w:rPr>
                <w:spacing w:val="-5"/>
                <w:sz w:val="20"/>
              </w:rPr>
              <w:t> </w:t>
            </w:r>
            <w:r>
              <w:rPr>
                <w:sz w:val="20"/>
              </w:rPr>
              <w:t>B96.7,</w:t>
            </w:r>
            <w:r>
              <w:rPr>
                <w:spacing w:val="-5"/>
                <w:sz w:val="20"/>
              </w:rPr>
              <w:t> </w:t>
            </w:r>
            <w:r>
              <w:rPr>
                <w:sz w:val="20"/>
              </w:rPr>
              <w:t>B96.8,</w:t>
            </w:r>
            <w:r>
              <w:rPr>
                <w:spacing w:val="-4"/>
                <w:sz w:val="20"/>
              </w:rPr>
              <w:t> </w:t>
            </w:r>
            <w:r>
              <w:rPr>
                <w:sz w:val="20"/>
              </w:rPr>
              <w:t>B97,</w:t>
            </w:r>
            <w:r>
              <w:rPr>
                <w:spacing w:val="-7"/>
                <w:sz w:val="20"/>
              </w:rPr>
              <w:t> </w:t>
            </w:r>
            <w:r>
              <w:rPr>
                <w:sz w:val="20"/>
              </w:rPr>
              <w:t>B97.0,</w:t>
            </w:r>
            <w:r>
              <w:rPr>
                <w:spacing w:val="-6"/>
                <w:sz w:val="20"/>
              </w:rPr>
              <w:t> </w:t>
            </w:r>
            <w:r>
              <w:rPr>
                <w:sz w:val="20"/>
              </w:rPr>
              <w:t>B97.1,</w:t>
            </w:r>
            <w:r>
              <w:rPr>
                <w:spacing w:val="-5"/>
                <w:sz w:val="20"/>
              </w:rPr>
              <w:t> </w:t>
            </w:r>
            <w:r>
              <w:rPr>
                <w:spacing w:val="-2"/>
                <w:sz w:val="20"/>
              </w:rPr>
              <w:t>B97.2,</w:t>
            </w:r>
          </w:p>
          <w:p>
            <w:pPr>
              <w:pStyle w:val="TableParagraph"/>
              <w:spacing w:before="1"/>
              <w:ind w:left="137" w:right="999"/>
              <w:jc w:val="center"/>
              <w:rPr>
                <w:sz w:val="20"/>
              </w:rPr>
            </w:pPr>
            <w:r>
              <w:rPr>
                <w:sz w:val="20"/>
              </w:rPr>
              <w:t>B97.3,</w:t>
            </w:r>
            <w:r>
              <w:rPr>
                <w:spacing w:val="-7"/>
                <w:sz w:val="20"/>
              </w:rPr>
              <w:t> </w:t>
            </w:r>
            <w:r>
              <w:rPr>
                <w:sz w:val="20"/>
              </w:rPr>
              <w:t>B97.4,</w:t>
            </w:r>
            <w:r>
              <w:rPr>
                <w:spacing w:val="-7"/>
                <w:sz w:val="20"/>
              </w:rPr>
              <w:t> </w:t>
            </w:r>
            <w:r>
              <w:rPr>
                <w:sz w:val="20"/>
              </w:rPr>
              <w:t>B97.5,</w:t>
            </w:r>
            <w:r>
              <w:rPr>
                <w:spacing w:val="-7"/>
                <w:sz w:val="20"/>
              </w:rPr>
              <w:t> </w:t>
            </w:r>
            <w:r>
              <w:rPr>
                <w:sz w:val="20"/>
              </w:rPr>
              <w:t>B97.6,</w:t>
            </w:r>
            <w:r>
              <w:rPr>
                <w:spacing w:val="-10"/>
                <w:sz w:val="20"/>
              </w:rPr>
              <w:t> </w:t>
            </w:r>
            <w:r>
              <w:rPr>
                <w:sz w:val="20"/>
              </w:rPr>
              <w:t>B97.7,</w:t>
            </w:r>
            <w:r>
              <w:rPr>
                <w:spacing w:val="-7"/>
                <w:sz w:val="20"/>
              </w:rPr>
              <w:t> </w:t>
            </w:r>
            <w:r>
              <w:rPr>
                <w:sz w:val="20"/>
              </w:rPr>
              <w:t>B97.8,</w:t>
            </w:r>
            <w:r>
              <w:rPr>
                <w:spacing w:val="-7"/>
                <w:sz w:val="20"/>
              </w:rPr>
              <w:t> </w:t>
            </w:r>
            <w:r>
              <w:rPr>
                <w:sz w:val="20"/>
              </w:rPr>
              <w:t>B99, M49.1, R50, R50.8, R50.9, R57.2</w:t>
            </w:r>
          </w:p>
        </w:tc>
        <w:tc>
          <w:tcPr>
            <w:tcW w:w="1877" w:type="dxa"/>
          </w:tcPr>
          <w:p>
            <w:pPr>
              <w:pStyle w:val="TableParagraph"/>
              <w:rPr>
                <w:sz w:val="18"/>
              </w:rPr>
            </w:pPr>
          </w:p>
        </w:tc>
        <w:tc>
          <w:tcPr>
            <w:tcW w:w="3146" w:type="dxa"/>
          </w:tcPr>
          <w:p>
            <w:pPr>
              <w:pStyle w:val="TableParagraph"/>
              <w:rPr>
                <w:sz w:val="18"/>
              </w:rPr>
            </w:pPr>
          </w:p>
        </w:tc>
        <w:tc>
          <w:tcPr>
            <w:tcW w:w="911" w:type="dxa"/>
          </w:tcPr>
          <w:p>
            <w:pPr>
              <w:pStyle w:val="TableParagraph"/>
              <w:rPr>
                <w:sz w:val="18"/>
              </w:rPr>
            </w:pPr>
          </w:p>
        </w:tc>
      </w:tr>
      <w:tr>
        <w:trPr>
          <w:trHeight w:val="1249" w:hRule="atLeast"/>
        </w:trPr>
        <w:tc>
          <w:tcPr>
            <w:tcW w:w="1003" w:type="dxa"/>
          </w:tcPr>
          <w:p>
            <w:pPr>
              <w:pStyle w:val="TableParagraph"/>
              <w:spacing w:before="45"/>
              <w:ind w:left="39" w:right="212"/>
              <w:jc w:val="center"/>
              <w:rPr>
                <w:sz w:val="20"/>
              </w:rPr>
            </w:pPr>
            <w:r>
              <w:rPr>
                <w:spacing w:val="-2"/>
                <w:sz w:val="20"/>
              </w:rPr>
              <w:t>ds12.008</w:t>
            </w:r>
          </w:p>
        </w:tc>
        <w:tc>
          <w:tcPr>
            <w:tcW w:w="645" w:type="dxa"/>
          </w:tcPr>
          <w:p>
            <w:pPr>
              <w:pStyle w:val="TableParagraph"/>
              <w:spacing w:before="45"/>
              <w:ind w:right="215"/>
              <w:jc w:val="right"/>
              <w:rPr>
                <w:sz w:val="20"/>
              </w:rPr>
            </w:pPr>
            <w:r>
              <w:rPr>
                <w:spacing w:val="-5"/>
                <w:sz w:val="20"/>
              </w:rPr>
              <w:t>33</w:t>
            </w:r>
          </w:p>
        </w:tc>
        <w:tc>
          <w:tcPr>
            <w:tcW w:w="2595" w:type="dxa"/>
          </w:tcPr>
          <w:p>
            <w:pPr>
              <w:pStyle w:val="TableParagraph"/>
              <w:spacing w:before="45"/>
              <w:ind w:left="219" w:right="159"/>
              <w:rPr>
                <w:sz w:val="20"/>
              </w:rPr>
            </w:pPr>
            <w:r>
              <w:rPr>
                <w:sz w:val="20"/>
              </w:rPr>
              <w:t>Респираторные</w:t>
            </w:r>
            <w:r>
              <w:rPr>
                <w:spacing w:val="-13"/>
                <w:sz w:val="20"/>
              </w:rPr>
              <w:t> </w:t>
            </w:r>
            <w:r>
              <w:rPr>
                <w:sz w:val="20"/>
              </w:rPr>
              <w:t>инфекции верхних дыхательных путей, взрослые</w:t>
            </w:r>
          </w:p>
        </w:tc>
        <w:tc>
          <w:tcPr>
            <w:tcW w:w="5162" w:type="dxa"/>
          </w:tcPr>
          <w:p>
            <w:pPr>
              <w:pStyle w:val="TableParagraph"/>
              <w:spacing w:before="45"/>
              <w:ind w:left="137" w:right="999"/>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p>
            <w:pPr>
              <w:pStyle w:val="TableParagraph"/>
              <w:ind w:left="135" w:right="999"/>
              <w:jc w:val="center"/>
              <w:rPr>
                <w:sz w:val="20"/>
              </w:rPr>
            </w:pPr>
            <w:r>
              <w:rPr>
                <w:sz w:val="20"/>
              </w:rPr>
              <w:t>J01.9,</w:t>
            </w:r>
            <w:r>
              <w:rPr>
                <w:spacing w:val="-6"/>
                <w:sz w:val="20"/>
              </w:rPr>
              <w:t> </w:t>
            </w:r>
            <w:r>
              <w:rPr>
                <w:sz w:val="20"/>
              </w:rPr>
              <w:t>J02,</w:t>
            </w:r>
            <w:r>
              <w:rPr>
                <w:spacing w:val="-6"/>
                <w:sz w:val="20"/>
              </w:rPr>
              <w:t> </w:t>
            </w:r>
            <w:r>
              <w:rPr>
                <w:sz w:val="20"/>
              </w:rPr>
              <w:t>J02.0,</w:t>
            </w:r>
            <w:r>
              <w:rPr>
                <w:spacing w:val="-6"/>
                <w:sz w:val="20"/>
              </w:rPr>
              <w:t> </w:t>
            </w:r>
            <w:r>
              <w:rPr>
                <w:sz w:val="20"/>
              </w:rPr>
              <w:t>J02.8,</w:t>
            </w:r>
            <w:r>
              <w:rPr>
                <w:spacing w:val="-3"/>
                <w:sz w:val="20"/>
              </w:rPr>
              <w:t> </w:t>
            </w:r>
            <w:r>
              <w:rPr>
                <w:sz w:val="20"/>
              </w:rPr>
              <w:t>J02.9,</w:t>
            </w:r>
            <w:r>
              <w:rPr>
                <w:spacing w:val="-6"/>
                <w:sz w:val="20"/>
              </w:rPr>
              <w:t> </w:t>
            </w:r>
            <w:r>
              <w:rPr>
                <w:sz w:val="20"/>
              </w:rPr>
              <w:t>J03,</w:t>
            </w:r>
            <w:r>
              <w:rPr>
                <w:spacing w:val="-4"/>
                <w:sz w:val="20"/>
              </w:rPr>
              <w:t> </w:t>
            </w:r>
            <w:r>
              <w:rPr>
                <w:sz w:val="20"/>
              </w:rPr>
              <w:t>J03.0,</w:t>
            </w:r>
            <w:r>
              <w:rPr>
                <w:spacing w:val="-4"/>
                <w:sz w:val="20"/>
              </w:rPr>
              <w:t> </w:t>
            </w:r>
            <w:r>
              <w:rPr>
                <w:spacing w:val="-2"/>
                <w:sz w:val="20"/>
              </w:rPr>
              <w:t>J03.8,</w:t>
            </w:r>
          </w:p>
          <w:p>
            <w:pPr>
              <w:pStyle w:val="TableParagraph"/>
              <w:ind w:left="135" w:right="999"/>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p>
            <w:pPr>
              <w:pStyle w:val="TableParagraph"/>
              <w:spacing w:before="1"/>
              <w:ind w:left="290" w:right="1155"/>
              <w:jc w:val="center"/>
              <w:rPr>
                <w:sz w:val="20"/>
              </w:rPr>
            </w:pPr>
            <w:r>
              <w:rPr>
                <w:sz w:val="20"/>
              </w:rPr>
              <w:t>J06,</w:t>
            </w:r>
            <w:r>
              <w:rPr>
                <w:spacing w:val="-7"/>
                <w:sz w:val="20"/>
              </w:rPr>
              <w:t> </w:t>
            </w:r>
            <w:r>
              <w:rPr>
                <w:sz w:val="20"/>
              </w:rPr>
              <w:t>J06.0,</w:t>
            </w:r>
            <w:r>
              <w:rPr>
                <w:spacing w:val="-7"/>
                <w:sz w:val="20"/>
              </w:rPr>
              <w:t> </w:t>
            </w:r>
            <w:r>
              <w:rPr>
                <w:sz w:val="20"/>
              </w:rPr>
              <w:t>J06.8,</w:t>
            </w:r>
            <w:r>
              <w:rPr>
                <w:spacing w:val="-7"/>
                <w:sz w:val="20"/>
              </w:rPr>
              <w:t> </w:t>
            </w:r>
            <w:r>
              <w:rPr>
                <w:sz w:val="20"/>
              </w:rPr>
              <w:t>J06.9,</w:t>
            </w:r>
            <w:r>
              <w:rPr>
                <w:spacing w:val="-5"/>
                <w:sz w:val="20"/>
              </w:rPr>
              <w:t> </w:t>
            </w:r>
            <w:r>
              <w:rPr>
                <w:sz w:val="20"/>
              </w:rPr>
              <w:t>J09,</w:t>
            </w:r>
            <w:r>
              <w:rPr>
                <w:spacing w:val="-7"/>
                <w:sz w:val="20"/>
              </w:rPr>
              <w:t> </w:t>
            </w:r>
            <w:r>
              <w:rPr>
                <w:sz w:val="20"/>
              </w:rPr>
              <w:t>J10,</w:t>
            </w:r>
            <w:r>
              <w:rPr>
                <w:spacing w:val="-7"/>
                <w:sz w:val="20"/>
              </w:rPr>
              <w:t> </w:t>
            </w:r>
            <w:r>
              <w:rPr>
                <w:sz w:val="20"/>
              </w:rPr>
              <w:t>J10.1,</w:t>
            </w:r>
            <w:r>
              <w:rPr>
                <w:spacing w:val="-7"/>
                <w:sz w:val="20"/>
              </w:rPr>
              <w:t> </w:t>
            </w:r>
            <w:r>
              <w:rPr>
                <w:sz w:val="20"/>
              </w:rPr>
              <w:t>J10.8, J11, J11.1, J11.8</w:t>
            </w:r>
          </w:p>
        </w:tc>
        <w:tc>
          <w:tcPr>
            <w:tcW w:w="1877" w:type="dxa"/>
          </w:tcPr>
          <w:p>
            <w:pPr>
              <w:pStyle w:val="TableParagraph"/>
              <w:spacing w:before="45"/>
              <w:ind w:left="836"/>
              <w:rPr>
                <w:sz w:val="20"/>
              </w:rPr>
            </w:pPr>
            <w:r>
              <w:rPr>
                <w:w w:val="99"/>
                <w:sz w:val="20"/>
              </w:rPr>
              <w:t>-</w:t>
            </w:r>
          </w:p>
        </w:tc>
        <w:tc>
          <w:tcPr>
            <w:tcW w:w="3146" w:type="dxa"/>
          </w:tcPr>
          <w:p>
            <w:pPr>
              <w:pStyle w:val="TableParagraph"/>
              <w:spacing w:before="45"/>
              <w:ind w:left="1269" w:right="450" w:hanging="236"/>
              <w:rPr>
                <w:sz w:val="20"/>
              </w:rPr>
            </w:pPr>
            <w:r>
              <w:rPr>
                <w:sz w:val="20"/>
              </w:rPr>
              <w:t>Возрастная</w:t>
            </w:r>
            <w:r>
              <w:rPr>
                <w:spacing w:val="-13"/>
                <w:sz w:val="20"/>
              </w:rPr>
              <w:t> </w:t>
            </w:r>
            <w:r>
              <w:rPr>
                <w:sz w:val="20"/>
              </w:rPr>
              <w:t>группа: старше 18 лет</w:t>
            </w:r>
          </w:p>
        </w:tc>
        <w:tc>
          <w:tcPr>
            <w:tcW w:w="911" w:type="dxa"/>
          </w:tcPr>
          <w:p>
            <w:pPr>
              <w:pStyle w:val="TableParagraph"/>
              <w:spacing w:before="45"/>
              <w:ind w:right="92"/>
              <w:jc w:val="right"/>
              <w:rPr>
                <w:sz w:val="20"/>
              </w:rPr>
            </w:pPr>
            <w:r>
              <w:rPr>
                <w:spacing w:val="-4"/>
                <w:sz w:val="20"/>
              </w:rPr>
              <w:t>0,52</w:t>
            </w:r>
          </w:p>
        </w:tc>
      </w:tr>
      <w:tr>
        <w:trPr>
          <w:trHeight w:val="1250" w:hRule="atLeast"/>
        </w:trPr>
        <w:tc>
          <w:tcPr>
            <w:tcW w:w="1003" w:type="dxa"/>
          </w:tcPr>
          <w:p>
            <w:pPr>
              <w:pStyle w:val="TableParagraph"/>
              <w:spacing w:before="46"/>
              <w:ind w:left="39" w:right="212"/>
              <w:jc w:val="center"/>
              <w:rPr>
                <w:sz w:val="20"/>
              </w:rPr>
            </w:pPr>
            <w:r>
              <w:rPr>
                <w:spacing w:val="-2"/>
                <w:sz w:val="20"/>
              </w:rPr>
              <w:t>ds12.009</w:t>
            </w:r>
          </w:p>
        </w:tc>
        <w:tc>
          <w:tcPr>
            <w:tcW w:w="645" w:type="dxa"/>
          </w:tcPr>
          <w:p>
            <w:pPr>
              <w:pStyle w:val="TableParagraph"/>
              <w:spacing w:before="46"/>
              <w:ind w:right="215"/>
              <w:jc w:val="right"/>
              <w:rPr>
                <w:sz w:val="20"/>
              </w:rPr>
            </w:pPr>
            <w:r>
              <w:rPr>
                <w:spacing w:val="-5"/>
                <w:sz w:val="20"/>
              </w:rPr>
              <w:t>34</w:t>
            </w:r>
          </w:p>
        </w:tc>
        <w:tc>
          <w:tcPr>
            <w:tcW w:w="2595" w:type="dxa"/>
          </w:tcPr>
          <w:p>
            <w:pPr>
              <w:pStyle w:val="TableParagraph"/>
              <w:spacing w:before="46"/>
              <w:ind w:left="219" w:right="159"/>
              <w:rPr>
                <w:sz w:val="20"/>
              </w:rPr>
            </w:pPr>
            <w:r>
              <w:rPr>
                <w:sz w:val="20"/>
              </w:rPr>
              <w:t>Респираторные</w:t>
            </w:r>
            <w:r>
              <w:rPr>
                <w:spacing w:val="-13"/>
                <w:sz w:val="20"/>
              </w:rPr>
              <w:t> </w:t>
            </w:r>
            <w:r>
              <w:rPr>
                <w:sz w:val="20"/>
              </w:rPr>
              <w:t>инфекции верхних дыхательных путей, дети</w:t>
            </w:r>
          </w:p>
        </w:tc>
        <w:tc>
          <w:tcPr>
            <w:tcW w:w="5162" w:type="dxa"/>
          </w:tcPr>
          <w:p>
            <w:pPr>
              <w:pStyle w:val="TableParagraph"/>
              <w:spacing w:before="46"/>
              <w:ind w:left="137" w:right="999"/>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p>
            <w:pPr>
              <w:pStyle w:val="TableParagraph"/>
              <w:ind w:left="135" w:right="999"/>
              <w:jc w:val="center"/>
              <w:rPr>
                <w:sz w:val="20"/>
              </w:rPr>
            </w:pPr>
            <w:r>
              <w:rPr>
                <w:sz w:val="20"/>
              </w:rPr>
              <w:t>J01.9,</w:t>
            </w:r>
            <w:r>
              <w:rPr>
                <w:spacing w:val="-6"/>
                <w:sz w:val="20"/>
              </w:rPr>
              <w:t> </w:t>
            </w:r>
            <w:r>
              <w:rPr>
                <w:sz w:val="20"/>
              </w:rPr>
              <w:t>J02,</w:t>
            </w:r>
            <w:r>
              <w:rPr>
                <w:spacing w:val="-6"/>
                <w:sz w:val="20"/>
              </w:rPr>
              <w:t> </w:t>
            </w:r>
            <w:r>
              <w:rPr>
                <w:sz w:val="20"/>
              </w:rPr>
              <w:t>J02.0,</w:t>
            </w:r>
            <w:r>
              <w:rPr>
                <w:spacing w:val="-6"/>
                <w:sz w:val="20"/>
              </w:rPr>
              <w:t> </w:t>
            </w:r>
            <w:r>
              <w:rPr>
                <w:sz w:val="20"/>
              </w:rPr>
              <w:t>J02.8,</w:t>
            </w:r>
            <w:r>
              <w:rPr>
                <w:spacing w:val="-3"/>
                <w:sz w:val="20"/>
              </w:rPr>
              <w:t> </w:t>
            </w:r>
            <w:r>
              <w:rPr>
                <w:sz w:val="20"/>
              </w:rPr>
              <w:t>J02.9,</w:t>
            </w:r>
            <w:r>
              <w:rPr>
                <w:spacing w:val="-6"/>
                <w:sz w:val="20"/>
              </w:rPr>
              <w:t> </w:t>
            </w:r>
            <w:r>
              <w:rPr>
                <w:sz w:val="20"/>
              </w:rPr>
              <w:t>J03,</w:t>
            </w:r>
            <w:r>
              <w:rPr>
                <w:spacing w:val="-4"/>
                <w:sz w:val="20"/>
              </w:rPr>
              <w:t> </w:t>
            </w:r>
            <w:r>
              <w:rPr>
                <w:sz w:val="20"/>
              </w:rPr>
              <w:t>J03.0,</w:t>
            </w:r>
            <w:r>
              <w:rPr>
                <w:spacing w:val="-4"/>
                <w:sz w:val="20"/>
              </w:rPr>
              <w:t> </w:t>
            </w:r>
            <w:r>
              <w:rPr>
                <w:spacing w:val="-2"/>
                <w:sz w:val="20"/>
              </w:rPr>
              <w:t>J03.8,</w:t>
            </w:r>
          </w:p>
          <w:p>
            <w:pPr>
              <w:pStyle w:val="TableParagraph"/>
              <w:spacing w:line="229" w:lineRule="exact" w:before="1"/>
              <w:ind w:left="135" w:right="999"/>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p>
            <w:pPr>
              <w:pStyle w:val="TableParagraph"/>
              <w:ind w:left="290" w:right="1155"/>
              <w:jc w:val="center"/>
              <w:rPr>
                <w:sz w:val="20"/>
              </w:rPr>
            </w:pPr>
            <w:r>
              <w:rPr>
                <w:sz w:val="20"/>
              </w:rPr>
              <w:t>J06,</w:t>
            </w:r>
            <w:r>
              <w:rPr>
                <w:spacing w:val="-7"/>
                <w:sz w:val="20"/>
              </w:rPr>
              <w:t> </w:t>
            </w:r>
            <w:r>
              <w:rPr>
                <w:sz w:val="20"/>
              </w:rPr>
              <w:t>J06.0,</w:t>
            </w:r>
            <w:r>
              <w:rPr>
                <w:spacing w:val="-7"/>
                <w:sz w:val="20"/>
              </w:rPr>
              <w:t> </w:t>
            </w:r>
            <w:r>
              <w:rPr>
                <w:sz w:val="20"/>
              </w:rPr>
              <w:t>J06.8,</w:t>
            </w:r>
            <w:r>
              <w:rPr>
                <w:spacing w:val="-7"/>
                <w:sz w:val="20"/>
              </w:rPr>
              <w:t> </w:t>
            </w:r>
            <w:r>
              <w:rPr>
                <w:sz w:val="20"/>
              </w:rPr>
              <w:t>J06.9,</w:t>
            </w:r>
            <w:r>
              <w:rPr>
                <w:spacing w:val="-5"/>
                <w:sz w:val="20"/>
              </w:rPr>
              <w:t> </w:t>
            </w:r>
            <w:r>
              <w:rPr>
                <w:sz w:val="20"/>
              </w:rPr>
              <w:t>J09,</w:t>
            </w:r>
            <w:r>
              <w:rPr>
                <w:spacing w:val="-7"/>
                <w:sz w:val="20"/>
              </w:rPr>
              <w:t> </w:t>
            </w:r>
            <w:r>
              <w:rPr>
                <w:sz w:val="20"/>
              </w:rPr>
              <w:t>J10,</w:t>
            </w:r>
            <w:r>
              <w:rPr>
                <w:spacing w:val="-7"/>
                <w:sz w:val="20"/>
              </w:rPr>
              <w:t> </w:t>
            </w:r>
            <w:r>
              <w:rPr>
                <w:sz w:val="20"/>
              </w:rPr>
              <w:t>J10.1,</w:t>
            </w:r>
            <w:r>
              <w:rPr>
                <w:spacing w:val="-7"/>
                <w:sz w:val="20"/>
              </w:rPr>
              <w:t> </w:t>
            </w:r>
            <w:r>
              <w:rPr>
                <w:sz w:val="20"/>
              </w:rPr>
              <w:t>J10.8, J11, J11.1, J11.8</w:t>
            </w:r>
          </w:p>
        </w:tc>
        <w:tc>
          <w:tcPr>
            <w:tcW w:w="1877" w:type="dxa"/>
          </w:tcPr>
          <w:p>
            <w:pPr>
              <w:pStyle w:val="TableParagraph"/>
              <w:spacing w:before="46"/>
              <w:ind w:left="836"/>
              <w:rPr>
                <w:sz w:val="20"/>
              </w:rPr>
            </w:pPr>
            <w:r>
              <w:rPr>
                <w:w w:val="99"/>
                <w:sz w:val="20"/>
              </w:rPr>
              <w:t>-</w:t>
            </w:r>
          </w:p>
        </w:tc>
        <w:tc>
          <w:tcPr>
            <w:tcW w:w="3146" w:type="dxa"/>
          </w:tcPr>
          <w:p>
            <w:pPr>
              <w:pStyle w:val="TableParagraph"/>
              <w:spacing w:before="46"/>
              <w:ind w:left="1050" w:right="45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11" w:type="dxa"/>
          </w:tcPr>
          <w:p>
            <w:pPr>
              <w:pStyle w:val="TableParagraph"/>
              <w:spacing w:before="46"/>
              <w:ind w:right="92"/>
              <w:jc w:val="right"/>
              <w:rPr>
                <w:sz w:val="20"/>
              </w:rPr>
            </w:pPr>
            <w:r>
              <w:rPr>
                <w:spacing w:val="-4"/>
                <w:sz w:val="20"/>
              </w:rPr>
              <w:t>0,65</w:t>
            </w:r>
          </w:p>
        </w:tc>
      </w:tr>
      <w:tr>
        <w:trPr>
          <w:trHeight w:val="789" w:hRule="atLeast"/>
        </w:trPr>
        <w:tc>
          <w:tcPr>
            <w:tcW w:w="1003" w:type="dxa"/>
          </w:tcPr>
          <w:p>
            <w:pPr>
              <w:pStyle w:val="TableParagraph"/>
              <w:spacing w:before="46"/>
              <w:ind w:left="39" w:right="212"/>
              <w:jc w:val="center"/>
              <w:rPr>
                <w:sz w:val="20"/>
              </w:rPr>
            </w:pPr>
            <w:r>
              <w:rPr>
                <w:spacing w:val="-2"/>
                <w:sz w:val="20"/>
              </w:rPr>
              <w:t>ds12.010</w:t>
            </w:r>
          </w:p>
        </w:tc>
        <w:tc>
          <w:tcPr>
            <w:tcW w:w="645" w:type="dxa"/>
          </w:tcPr>
          <w:p>
            <w:pPr>
              <w:pStyle w:val="TableParagraph"/>
              <w:spacing w:before="46"/>
              <w:ind w:right="215"/>
              <w:jc w:val="right"/>
              <w:rPr>
                <w:sz w:val="20"/>
              </w:rPr>
            </w:pPr>
            <w:r>
              <w:rPr>
                <w:spacing w:val="-5"/>
                <w:sz w:val="20"/>
              </w:rPr>
              <w:t>35</w:t>
            </w:r>
          </w:p>
        </w:tc>
        <w:tc>
          <w:tcPr>
            <w:tcW w:w="2595" w:type="dxa"/>
          </w:tcPr>
          <w:p>
            <w:pPr>
              <w:pStyle w:val="TableParagraph"/>
              <w:spacing w:before="46"/>
              <w:ind w:left="219" w:right="431"/>
              <w:rPr>
                <w:sz w:val="20"/>
              </w:rPr>
            </w:pPr>
            <w:r>
              <w:rPr>
                <w:sz w:val="20"/>
              </w:rPr>
              <w:t>Лечение</w:t>
            </w:r>
            <w:r>
              <w:rPr>
                <w:spacing w:val="-13"/>
                <w:sz w:val="20"/>
              </w:rPr>
              <w:t> </w:t>
            </w:r>
            <w:r>
              <w:rPr>
                <w:sz w:val="20"/>
              </w:rPr>
              <w:t>хронического вирусного гепатита C (уровень 1)</w:t>
            </w:r>
          </w:p>
        </w:tc>
        <w:tc>
          <w:tcPr>
            <w:tcW w:w="5162" w:type="dxa"/>
          </w:tcPr>
          <w:p>
            <w:pPr>
              <w:pStyle w:val="TableParagraph"/>
              <w:spacing w:before="46"/>
              <w:ind w:left="1911"/>
              <w:rPr>
                <w:sz w:val="20"/>
              </w:rPr>
            </w:pPr>
            <w:r>
              <w:rPr>
                <w:spacing w:val="-2"/>
                <w:sz w:val="20"/>
              </w:rPr>
              <w:t>B18.2</w:t>
            </w:r>
          </w:p>
        </w:tc>
        <w:tc>
          <w:tcPr>
            <w:tcW w:w="1877" w:type="dxa"/>
          </w:tcPr>
          <w:p>
            <w:pPr>
              <w:pStyle w:val="TableParagraph"/>
              <w:spacing w:before="46"/>
              <w:ind w:left="836"/>
              <w:rPr>
                <w:sz w:val="20"/>
              </w:rPr>
            </w:pPr>
            <w:r>
              <w:rPr>
                <w:w w:val="99"/>
                <w:sz w:val="20"/>
              </w:rPr>
              <w:t>-</w:t>
            </w:r>
          </w:p>
        </w:tc>
        <w:tc>
          <w:tcPr>
            <w:tcW w:w="3146" w:type="dxa"/>
          </w:tcPr>
          <w:p>
            <w:pPr>
              <w:pStyle w:val="TableParagraph"/>
              <w:spacing w:before="46"/>
              <w:ind w:left="981" w:right="404" w:hanging="2"/>
              <w:jc w:val="center"/>
              <w:rPr>
                <w:sz w:val="20"/>
              </w:rPr>
            </w:pPr>
            <w:r>
              <w:rPr>
                <w:spacing w:val="-4"/>
                <w:sz w:val="20"/>
              </w:rPr>
              <w:t>Иной </w:t>
            </w:r>
            <w:r>
              <w:rPr>
                <w:spacing w:val="-2"/>
                <w:sz w:val="20"/>
              </w:rPr>
              <w:t>классификационный </w:t>
            </w:r>
            <w:r>
              <w:rPr>
                <w:sz w:val="20"/>
              </w:rPr>
              <w:t>критерий: if</w:t>
            </w:r>
          </w:p>
        </w:tc>
        <w:tc>
          <w:tcPr>
            <w:tcW w:w="911" w:type="dxa"/>
          </w:tcPr>
          <w:p>
            <w:pPr>
              <w:pStyle w:val="TableParagraph"/>
              <w:spacing w:before="46"/>
              <w:ind w:right="92"/>
              <w:jc w:val="right"/>
              <w:rPr>
                <w:sz w:val="20"/>
              </w:rPr>
            </w:pPr>
            <w:r>
              <w:rPr>
                <w:spacing w:val="-4"/>
                <w:sz w:val="20"/>
              </w:rPr>
              <w:t>4,90</w:t>
            </w:r>
          </w:p>
        </w:tc>
      </w:tr>
      <w:tr>
        <w:trPr>
          <w:trHeight w:val="789" w:hRule="atLeast"/>
        </w:trPr>
        <w:tc>
          <w:tcPr>
            <w:tcW w:w="1003" w:type="dxa"/>
          </w:tcPr>
          <w:p>
            <w:pPr>
              <w:pStyle w:val="TableParagraph"/>
              <w:spacing w:before="46"/>
              <w:ind w:left="39" w:right="212"/>
              <w:jc w:val="center"/>
              <w:rPr>
                <w:sz w:val="20"/>
              </w:rPr>
            </w:pPr>
            <w:r>
              <w:rPr>
                <w:spacing w:val="-2"/>
                <w:sz w:val="20"/>
              </w:rPr>
              <w:t>ds12.011</w:t>
            </w:r>
          </w:p>
        </w:tc>
        <w:tc>
          <w:tcPr>
            <w:tcW w:w="645" w:type="dxa"/>
          </w:tcPr>
          <w:p>
            <w:pPr>
              <w:pStyle w:val="TableParagraph"/>
              <w:spacing w:before="46"/>
              <w:ind w:right="215"/>
              <w:jc w:val="right"/>
              <w:rPr>
                <w:sz w:val="20"/>
              </w:rPr>
            </w:pPr>
            <w:r>
              <w:rPr>
                <w:spacing w:val="-5"/>
                <w:sz w:val="20"/>
              </w:rPr>
              <w:t>36</w:t>
            </w:r>
          </w:p>
        </w:tc>
        <w:tc>
          <w:tcPr>
            <w:tcW w:w="2595" w:type="dxa"/>
          </w:tcPr>
          <w:p>
            <w:pPr>
              <w:pStyle w:val="TableParagraph"/>
              <w:spacing w:before="46"/>
              <w:ind w:left="219" w:right="431"/>
              <w:rPr>
                <w:sz w:val="20"/>
              </w:rPr>
            </w:pPr>
            <w:r>
              <w:rPr>
                <w:sz w:val="20"/>
              </w:rPr>
              <w:t>Лечение</w:t>
            </w:r>
            <w:r>
              <w:rPr>
                <w:spacing w:val="-13"/>
                <w:sz w:val="20"/>
              </w:rPr>
              <w:t> </w:t>
            </w:r>
            <w:r>
              <w:rPr>
                <w:sz w:val="20"/>
              </w:rPr>
              <w:t>хронического вирусного гепатита C (уровень 2)</w:t>
            </w:r>
          </w:p>
        </w:tc>
        <w:tc>
          <w:tcPr>
            <w:tcW w:w="5162" w:type="dxa"/>
          </w:tcPr>
          <w:p>
            <w:pPr>
              <w:pStyle w:val="TableParagraph"/>
              <w:spacing w:before="46"/>
              <w:ind w:left="1911"/>
              <w:rPr>
                <w:sz w:val="20"/>
              </w:rPr>
            </w:pPr>
            <w:r>
              <w:rPr>
                <w:spacing w:val="-2"/>
                <w:sz w:val="20"/>
              </w:rPr>
              <w:t>B18.2</w:t>
            </w:r>
          </w:p>
        </w:tc>
        <w:tc>
          <w:tcPr>
            <w:tcW w:w="1877" w:type="dxa"/>
          </w:tcPr>
          <w:p>
            <w:pPr>
              <w:pStyle w:val="TableParagraph"/>
              <w:spacing w:before="46"/>
              <w:ind w:left="836"/>
              <w:rPr>
                <w:sz w:val="20"/>
              </w:rPr>
            </w:pPr>
            <w:r>
              <w:rPr>
                <w:w w:val="99"/>
                <w:sz w:val="20"/>
              </w:rPr>
              <w:t>-</w:t>
            </w:r>
          </w:p>
        </w:tc>
        <w:tc>
          <w:tcPr>
            <w:tcW w:w="3146" w:type="dxa"/>
          </w:tcPr>
          <w:p>
            <w:pPr>
              <w:pStyle w:val="TableParagraph"/>
              <w:spacing w:before="46"/>
              <w:ind w:left="981" w:right="404" w:hanging="2"/>
              <w:jc w:val="center"/>
              <w:rPr>
                <w:sz w:val="20"/>
              </w:rPr>
            </w:pPr>
            <w:r>
              <w:rPr>
                <w:spacing w:val="-4"/>
                <w:sz w:val="20"/>
              </w:rPr>
              <w:t>Иной </w:t>
            </w:r>
            <w:r>
              <w:rPr>
                <w:spacing w:val="-2"/>
                <w:sz w:val="20"/>
              </w:rPr>
              <w:t>классификационный </w:t>
            </w:r>
            <w:r>
              <w:rPr>
                <w:sz w:val="20"/>
              </w:rPr>
              <w:t>критерий: nif</w:t>
            </w:r>
          </w:p>
        </w:tc>
        <w:tc>
          <w:tcPr>
            <w:tcW w:w="911" w:type="dxa"/>
          </w:tcPr>
          <w:p>
            <w:pPr>
              <w:pStyle w:val="TableParagraph"/>
              <w:spacing w:before="46"/>
              <w:ind w:right="41"/>
              <w:jc w:val="right"/>
              <w:rPr>
                <w:sz w:val="20"/>
              </w:rPr>
            </w:pPr>
            <w:r>
              <w:rPr>
                <w:spacing w:val="-2"/>
                <w:sz w:val="20"/>
              </w:rPr>
              <w:t>22,20</w:t>
            </w:r>
          </w:p>
        </w:tc>
      </w:tr>
      <w:tr>
        <w:trPr>
          <w:trHeight w:val="330" w:hRule="atLeast"/>
        </w:trPr>
        <w:tc>
          <w:tcPr>
            <w:tcW w:w="1003" w:type="dxa"/>
          </w:tcPr>
          <w:p>
            <w:pPr>
              <w:pStyle w:val="TableParagraph"/>
              <w:spacing w:before="46"/>
              <w:ind w:left="39" w:right="211"/>
              <w:jc w:val="center"/>
              <w:rPr>
                <w:sz w:val="20"/>
              </w:rPr>
            </w:pPr>
            <w:r>
              <w:rPr>
                <w:spacing w:val="-4"/>
                <w:sz w:val="20"/>
              </w:rPr>
              <w:t>ds13</w:t>
            </w:r>
          </w:p>
        </w:tc>
        <w:tc>
          <w:tcPr>
            <w:tcW w:w="645" w:type="dxa"/>
          </w:tcPr>
          <w:p>
            <w:pPr>
              <w:pStyle w:val="TableParagraph"/>
              <w:spacing w:before="46"/>
              <w:ind w:right="215"/>
              <w:jc w:val="right"/>
              <w:rPr>
                <w:sz w:val="20"/>
              </w:rPr>
            </w:pPr>
            <w:r>
              <w:rPr>
                <w:spacing w:val="-5"/>
                <w:sz w:val="20"/>
              </w:rPr>
              <w:t>13</w:t>
            </w:r>
          </w:p>
        </w:tc>
        <w:tc>
          <w:tcPr>
            <w:tcW w:w="2595" w:type="dxa"/>
          </w:tcPr>
          <w:p>
            <w:pPr>
              <w:pStyle w:val="TableParagraph"/>
              <w:rPr>
                <w:sz w:val="18"/>
              </w:rPr>
            </w:pPr>
          </w:p>
        </w:tc>
        <w:tc>
          <w:tcPr>
            <w:tcW w:w="5162" w:type="dxa"/>
          </w:tcPr>
          <w:p>
            <w:pPr>
              <w:pStyle w:val="TableParagraph"/>
              <w:spacing w:before="46"/>
              <w:ind w:left="3222"/>
              <w:rPr>
                <w:sz w:val="20"/>
              </w:rPr>
            </w:pPr>
            <w:r>
              <w:rPr>
                <w:spacing w:val="-2"/>
                <w:sz w:val="20"/>
              </w:rPr>
              <w:t>Кардиология</w:t>
            </w:r>
          </w:p>
        </w:tc>
        <w:tc>
          <w:tcPr>
            <w:tcW w:w="1877" w:type="dxa"/>
          </w:tcPr>
          <w:p>
            <w:pPr>
              <w:pStyle w:val="TableParagraph"/>
              <w:rPr>
                <w:sz w:val="18"/>
              </w:rPr>
            </w:pPr>
          </w:p>
        </w:tc>
        <w:tc>
          <w:tcPr>
            <w:tcW w:w="3146" w:type="dxa"/>
          </w:tcPr>
          <w:p>
            <w:pPr>
              <w:pStyle w:val="TableParagraph"/>
              <w:rPr>
                <w:sz w:val="18"/>
              </w:rPr>
            </w:pPr>
          </w:p>
        </w:tc>
        <w:tc>
          <w:tcPr>
            <w:tcW w:w="911" w:type="dxa"/>
          </w:tcPr>
          <w:p>
            <w:pPr>
              <w:pStyle w:val="TableParagraph"/>
              <w:spacing w:before="46"/>
              <w:ind w:right="92"/>
              <w:jc w:val="right"/>
              <w:rPr>
                <w:sz w:val="20"/>
              </w:rPr>
            </w:pPr>
            <w:r>
              <w:rPr>
                <w:spacing w:val="-4"/>
                <w:sz w:val="20"/>
              </w:rPr>
              <w:t>0,80</w:t>
            </w:r>
          </w:p>
        </w:tc>
      </w:tr>
      <w:tr>
        <w:trPr>
          <w:trHeight w:val="2346" w:hRule="atLeast"/>
        </w:trPr>
        <w:tc>
          <w:tcPr>
            <w:tcW w:w="1003" w:type="dxa"/>
          </w:tcPr>
          <w:p>
            <w:pPr>
              <w:pStyle w:val="TableParagraph"/>
              <w:spacing w:before="45"/>
              <w:ind w:left="39" w:right="212"/>
              <w:jc w:val="center"/>
              <w:rPr>
                <w:sz w:val="20"/>
              </w:rPr>
            </w:pPr>
            <w:r>
              <w:rPr>
                <w:spacing w:val="-2"/>
                <w:sz w:val="20"/>
              </w:rPr>
              <w:t>ds13.001</w:t>
            </w:r>
          </w:p>
        </w:tc>
        <w:tc>
          <w:tcPr>
            <w:tcW w:w="645" w:type="dxa"/>
          </w:tcPr>
          <w:p>
            <w:pPr>
              <w:pStyle w:val="TableParagraph"/>
              <w:spacing w:before="45"/>
              <w:ind w:right="215"/>
              <w:jc w:val="right"/>
              <w:rPr>
                <w:sz w:val="20"/>
              </w:rPr>
            </w:pPr>
            <w:r>
              <w:rPr>
                <w:spacing w:val="-5"/>
                <w:sz w:val="20"/>
              </w:rPr>
              <w:t>37</w:t>
            </w:r>
          </w:p>
        </w:tc>
        <w:tc>
          <w:tcPr>
            <w:tcW w:w="2595" w:type="dxa"/>
          </w:tcPr>
          <w:p>
            <w:pPr>
              <w:pStyle w:val="TableParagraph"/>
              <w:spacing w:before="45"/>
              <w:ind w:left="219" w:right="896"/>
              <w:jc w:val="both"/>
              <w:rPr>
                <w:sz w:val="20"/>
              </w:rPr>
            </w:pPr>
            <w:r>
              <w:rPr>
                <w:sz w:val="20"/>
              </w:rPr>
              <w:t>Болезни</w:t>
            </w:r>
            <w:r>
              <w:rPr>
                <w:spacing w:val="-13"/>
                <w:sz w:val="20"/>
              </w:rPr>
              <w:t> </w:t>
            </w:r>
            <w:r>
              <w:rPr>
                <w:sz w:val="20"/>
              </w:rPr>
              <w:t>системы </w:t>
            </w:r>
            <w:r>
              <w:rPr>
                <w:spacing w:val="-2"/>
                <w:sz w:val="20"/>
              </w:rPr>
              <w:t>кровообращения, взрослые</w:t>
            </w:r>
          </w:p>
        </w:tc>
        <w:tc>
          <w:tcPr>
            <w:tcW w:w="5162" w:type="dxa"/>
          </w:tcPr>
          <w:p>
            <w:pPr>
              <w:pStyle w:val="TableParagraph"/>
              <w:spacing w:before="45"/>
              <w:ind w:left="137" w:right="999"/>
              <w:jc w:val="center"/>
              <w:rPr>
                <w:sz w:val="20"/>
              </w:rPr>
            </w:pPr>
            <w:r>
              <w:rPr>
                <w:sz w:val="20"/>
              </w:rPr>
              <w:t>G45,</w:t>
            </w:r>
            <w:r>
              <w:rPr>
                <w:spacing w:val="-6"/>
                <w:sz w:val="20"/>
              </w:rPr>
              <w:t> </w:t>
            </w:r>
            <w:r>
              <w:rPr>
                <w:sz w:val="20"/>
              </w:rPr>
              <w:t>G45.0,</w:t>
            </w:r>
            <w:r>
              <w:rPr>
                <w:spacing w:val="-6"/>
                <w:sz w:val="20"/>
              </w:rPr>
              <w:t> </w:t>
            </w:r>
            <w:r>
              <w:rPr>
                <w:sz w:val="20"/>
              </w:rPr>
              <w:t>G45.1,</w:t>
            </w:r>
            <w:r>
              <w:rPr>
                <w:spacing w:val="-5"/>
                <w:sz w:val="20"/>
              </w:rPr>
              <w:t> </w:t>
            </w:r>
            <w:r>
              <w:rPr>
                <w:sz w:val="20"/>
              </w:rPr>
              <w:t>G45.2,</w:t>
            </w:r>
            <w:r>
              <w:rPr>
                <w:spacing w:val="-6"/>
                <w:sz w:val="20"/>
              </w:rPr>
              <w:t> </w:t>
            </w:r>
            <w:r>
              <w:rPr>
                <w:sz w:val="20"/>
              </w:rPr>
              <w:t>G45.3,</w:t>
            </w:r>
            <w:r>
              <w:rPr>
                <w:spacing w:val="-5"/>
                <w:sz w:val="20"/>
              </w:rPr>
              <w:t> </w:t>
            </w:r>
            <w:r>
              <w:rPr>
                <w:sz w:val="20"/>
              </w:rPr>
              <w:t>G45.4,</w:t>
            </w:r>
            <w:r>
              <w:rPr>
                <w:spacing w:val="-6"/>
                <w:sz w:val="20"/>
              </w:rPr>
              <w:t> </w:t>
            </w:r>
            <w:r>
              <w:rPr>
                <w:spacing w:val="-2"/>
                <w:sz w:val="20"/>
              </w:rPr>
              <w:t>G45.8,</w:t>
            </w:r>
          </w:p>
          <w:p>
            <w:pPr>
              <w:pStyle w:val="TableParagraph"/>
              <w:spacing w:before="1"/>
              <w:ind w:left="137" w:right="993"/>
              <w:jc w:val="center"/>
              <w:rPr>
                <w:sz w:val="20"/>
              </w:rPr>
            </w:pPr>
            <w:r>
              <w:rPr>
                <w:sz w:val="20"/>
              </w:rPr>
              <w:t>G45.9,</w:t>
            </w:r>
            <w:r>
              <w:rPr>
                <w:spacing w:val="-5"/>
                <w:sz w:val="20"/>
              </w:rPr>
              <w:t> </w:t>
            </w:r>
            <w:r>
              <w:rPr>
                <w:sz w:val="20"/>
              </w:rPr>
              <w:t>G46,</w:t>
            </w:r>
            <w:r>
              <w:rPr>
                <w:spacing w:val="-5"/>
                <w:sz w:val="20"/>
              </w:rPr>
              <w:t> </w:t>
            </w:r>
            <w:r>
              <w:rPr>
                <w:sz w:val="20"/>
              </w:rPr>
              <w:t>G46.0,</w:t>
            </w:r>
            <w:r>
              <w:rPr>
                <w:spacing w:val="-5"/>
                <w:sz w:val="20"/>
              </w:rPr>
              <w:t> </w:t>
            </w:r>
            <w:r>
              <w:rPr>
                <w:sz w:val="20"/>
              </w:rPr>
              <w:t>G46.1,</w:t>
            </w:r>
            <w:r>
              <w:rPr>
                <w:spacing w:val="-4"/>
                <w:sz w:val="20"/>
              </w:rPr>
              <w:t> </w:t>
            </w:r>
            <w:r>
              <w:rPr>
                <w:sz w:val="20"/>
              </w:rPr>
              <w:t>G46.2,</w:t>
            </w:r>
            <w:r>
              <w:rPr>
                <w:spacing w:val="-5"/>
                <w:sz w:val="20"/>
              </w:rPr>
              <w:t> </w:t>
            </w:r>
            <w:r>
              <w:rPr>
                <w:sz w:val="20"/>
              </w:rPr>
              <w:t>G46.3,</w:t>
            </w:r>
            <w:r>
              <w:rPr>
                <w:spacing w:val="-5"/>
                <w:sz w:val="20"/>
              </w:rPr>
              <w:t> </w:t>
            </w:r>
            <w:r>
              <w:rPr>
                <w:spacing w:val="-2"/>
                <w:sz w:val="20"/>
              </w:rPr>
              <w:t>G46.4,</w:t>
            </w:r>
          </w:p>
          <w:p>
            <w:pPr>
              <w:pStyle w:val="TableParagraph"/>
              <w:ind w:left="137" w:right="999"/>
              <w:jc w:val="center"/>
              <w:rPr>
                <w:sz w:val="20"/>
              </w:rPr>
            </w:pPr>
            <w:r>
              <w:rPr>
                <w:sz w:val="20"/>
              </w:rPr>
              <w:t>G46.5,</w:t>
            </w:r>
            <w:r>
              <w:rPr>
                <w:spacing w:val="-5"/>
                <w:sz w:val="20"/>
              </w:rPr>
              <w:t> </w:t>
            </w:r>
            <w:r>
              <w:rPr>
                <w:sz w:val="20"/>
              </w:rPr>
              <w:t>G46.6,</w:t>
            </w:r>
            <w:r>
              <w:rPr>
                <w:spacing w:val="-6"/>
                <w:sz w:val="20"/>
              </w:rPr>
              <w:t> </w:t>
            </w:r>
            <w:r>
              <w:rPr>
                <w:sz w:val="20"/>
              </w:rPr>
              <w:t>G46.7,</w:t>
            </w:r>
            <w:r>
              <w:rPr>
                <w:spacing w:val="-5"/>
                <w:sz w:val="20"/>
              </w:rPr>
              <w:t> </w:t>
            </w:r>
            <w:r>
              <w:rPr>
                <w:sz w:val="20"/>
              </w:rPr>
              <w:t>G46.8,</w:t>
            </w:r>
            <w:r>
              <w:rPr>
                <w:spacing w:val="-4"/>
                <w:sz w:val="20"/>
              </w:rPr>
              <w:t> </w:t>
            </w:r>
            <w:r>
              <w:rPr>
                <w:sz w:val="20"/>
              </w:rPr>
              <w:t>I01,</w:t>
            </w:r>
            <w:r>
              <w:rPr>
                <w:spacing w:val="-5"/>
                <w:sz w:val="20"/>
              </w:rPr>
              <w:t> </w:t>
            </w:r>
            <w:r>
              <w:rPr>
                <w:sz w:val="20"/>
              </w:rPr>
              <w:t>I01.0,</w:t>
            </w:r>
            <w:r>
              <w:rPr>
                <w:spacing w:val="-4"/>
                <w:sz w:val="20"/>
              </w:rPr>
              <w:t> </w:t>
            </w:r>
            <w:r>
              <w:rPr>
                <w:spacing w:val="-2"/>
                <w:sz w:val="20"/>
              </w:rPr>
              <w:t>I01.1,</w:t>
            </w:r>
          </w:p>
          <w:p>
            <w:pPr>
              <w:pStyle w:val="TableParagraph"/>
              <w:ind w:left="136" w:right="999"/>
              <w:jc w:val="center"/>
              <w:rPr>
                <w:sz w:val="20"/>
              </w:rPr>
            </w:pPr>
            <w:r>
              <w:rPr>
                <w:sz w:val="20"/>
              </w:rPr>
              <w:t>I01.2,</w:t>
            </w:r>
            <w:r>
              <w:rPr>
                <w:spacing w:val="-5"/>
                <w:sz w:val="20"/>
              </w:rPr>
              <w:t> </w:t>
            </w:r>
            <w:r>
              <w:rPr>
                <w:sz w:val="20"/>
              </w:rPr>
              <w:t>I01.8,</w:t>
            </w:r>
            <w:r>
              <w:rPr>
                <w:spacing w:val="-6"/>
                <w:sz w:val="20"/>
              </w:rPr>
              <w:t> </w:t>
            </w:r>
            <w:r>
              <w:rPr>
                <w:sz w:val="20"/>
              </w:rPr>
              <w:t>I01.9,</w:t>
            </w:r>
            <w:r>
              <w:rPr>
                <w:spacing w:val="-5"/>
                <w:sz w:val="20"/>
              </w:rPr>
              <w:t> </w:t>
            </w:r>
            <w:r>
              <w:rPr>
                <w:sz w:val="20"/>
              </w:rPr>
              <w:t>I02,</w:t>
            </w:r>
            <w:r>
              <w:rPr>
                <w:spacing w:val="-6"/>
                <w:sz w:val="20"/>
              </w:rPr>
              <w:t> </w:t>
            </w:r>
            <w:r>
              <w:rPr>
                <w:sz w:val="20"/>
              </w:rPr>
              <w:t>I02.0,</w:t>
            </w:r>
            <w:r>
              <w:rPr>
                <w:spacing w:val="-6"/>
                <w:sz w:val="20"/>
              </w:rPr>
              <w:t> </w:t>
            </w:r>
            <w:r>
              <w:rPr>
                <w:sz w:val="20"/>
              </w:rPr>
              <w:t>I02.9,</w:t>
            </w:r>
            <w:r>
              <w:rPr>
                <w:spacing w:val="-5"/>
                <w:sz w:val="20"/>
              </w:rPr>
              <w:t> </w:t>
            </w:r>
            <w:r>
              <w:rPr>
                <w:sz w:val="20"/>
              </w:rPr>
              <w:t>I05,</w:t>
            </w:r>
            <w:r>
              <w:rPr>
                <w:spacing w:val="-4"/>
                <w:sz w:val="20"/>
              </w:rPr>
              <w:t> </w:t>
            </w:r>
            <w:r>
              <w:rPr>
                <w:spacing w:val="-2"/>
                <w:sz w:val="20"/>
              </w:rPr>
              <w:t>I05.0,</w:t>
            </w:r>
          </w:p>
          <w:p>
            <w:pPr>
              <w:pStyle w:val="TableParagraph"/>
              <w:spacing w:before="1"/>
              <w:ind w:left="133" w:right="999"/>
              <w:jc w:val="center"/>
              <w:rPr>
                <w:sz w:val="20"/>
              </w:rPr>
            </w:pPr>
            <w:r>
              <w:rPr>
                <w:sz w:val="20"/>
              </w:rPr>
              <w:t>I05.1,</w:t>
            </w:r>
            <w:r>
              <w:rPr>
                <w:spacing w:val="-5"/>
                <w:sz w:val="20"/>
              </w:rPr>
              <w:t> </w:t>
            </w:r>
            <w:r>
              <w:rPr>
                <w:sz w:val="20"/>
              </w:rPr>
              <w:t>I05.2,</w:t>
            </w:r>
            <w:r>
              <w:rPr>
                <w:spacing w:val="-7"/>
                <w:sz w:val="20"/>
              </w:rPr>
              <w:t> </w:t>
            </w:r>
            <w:r>
              <w:rPr>
                <w:sz w:val="20"/>
              </w:rPr>
              <w:t>I05.8,</w:t>
            </w:r>
            <w:r>
              <w:rPr>
                <w:spacing w:val="-4"/>
                <w:sz w:val="20"/>
              </w:rPr>
              <w:t> </w:t>
            </w:r>
            <w:r>
              <w:rPr>
                <w:sz w:val="20"/>
              </w:rPr>
              <w:t>I05.9,</w:t>
            </w:r>
            <w:r>
              <w:rPr>
                <w:spacing w:val="-5"/>
                <w:sz w:val="20"/>
              </w:rPr>
              <w:t> </w:t>
            </w:r>
            <w:r>
              <w:rPr>
                <w:sz w:val="20"/>
              </w:rPr>
              <w:t>I06,</w:t>
            </w:r>
            <w:r>
              <w:rPr>
                <w:spacing w:val="-6"/>
                <w:sz w:val="20"/>
              </w:rPr>
              <w:t> </w:t>
            </w:r>
            <w:r>
              <w:rPr>
                <w:sz w:val="20"/>
              </w:rPr>
              <w:t>I06.0,</w:t>
            </w:r>
            <w:r>
              <w:rPr>
                <w:spacing w:val="-5"/>
                <w:sz w:val="20"/>
              </w:rPr>
              <w:t> </w:t>
            </w:r>
            <w:r>
              <w:rPr>
                <w:sz w:val="20"/>
              </w:rPr>
              <w:t>I06.1,</w:t>
            </w:r>
            <w:r>
              <w:rPr>
                <w:spacing w:val="-7"/>
                <w:sz w:val="20"/>
              </w:rPr>
              <w:t> </w:t>
            </w:r>
            <w:r>
              <w:rPr>
                <w:spacing w:val="-2"/>
                <w:sz w:val="20"/>
              </w:rPr>
              <w:t>I06.2,</w:t>
            </w:r>
          </w:p>
          <w:p>
            <w:pPr>
              <w:pStyle w:val="TableParagraph"/>
              <w:spacing w:line="229" w:lineRule="exact"/>
              <w:ind w:left="133" w:right="999"/>
              <w:jc w:val="center"/>
              <w:rPr>
                <w:sz w:val="20"/>
              </w:rPr>
            </w:pPr>
            <w:r>
              <w:rPr>
                <w:sz w:val="20"/>
              </w:rPr>
              <w:t>I06.8,</w:t>
            </w:r>
            <w:r>
              <w:rPr>
                <w:spacing w:val="-5"/>
                <w:sz w:val="20"/>
              </w:rPr>
              <w:t> </w:t>
            </w:r>
            <w:r>
              <w:rPr>
                <w:sz w:val="20"/>
              </w:rPr>
              <w:t>I06.9,</w:t>
            </w:r>
            <w:r>
              <w:rPr>
                <w:spacing w:val="-7"/>
                <w:sz w:val="20"/>
              </w:rPr>
              <w:t> </w:t>
            </w:r>
            <w:r>
              <w:rPr>
                <w:sz w:val="20"/>
              </w:rPr>
              <w:t>I07,</w:t>
            </w:r>
            <w:r>
              <w:rPr>
                <w:spacing w:val="-4"/>
                <w:sz w:val="20"/>
              </w:rPr>
              <w:t> </w:t>
            </w:r>
            <w:r>
              <w:rPr>
                <w:sz w:val="20"/>
              </w:rPr>
              <w:t>I07.0,</w:t>
            </w:r>
            <w:r>
              <w:rPr>
                <w:spacing w:val="-7"/>
                <w:sz w:val="20"/>
              </w:rPr>
              <w:t> </w:t>
            </w:r>
            <w:r>
              <w:rPr>
                <w:sz w:val="20"/>
              </w:rPr>
              <w:t>I07.1,</w:t>
            </w:r>
            <w:r>
              <w:rPr>
                <w:spacing w:val="-6"/>
                <w:sz w:val="20"/>
              </w:rPr>
              <w:t> </w:t>
            </w:r>
            <w:r>
              <w:rPr>
                <w:sz w:val="20"/>
              </w:rPr>
              <w:t>I07.2,</w:t>
            </w:r>
            <w:r>
              <w:rPr>
                <w:spacing w:val="-5"/>
                <w:sz w:val="20"/>
              </w:rPr>
              <w:t> </w:t>
            </w:r>
            <w:r>
              <w:rPr>
                <w:sz w:val="20"/>
              </w:rPr>
              <w:t>I07.8,</w:t>
            </w:r>
            <w:r>
              <w:rPr>
                <w:spacing w:val="-7"/>
                <w:sz w:val="20"/>
              </w:rPr>
              <w:t> </w:t>
            </w:r>
            <w:r>
              <w:rPr>
                <w:spacing w:val="-2"/>
                <w:sz w:val="20"/>
              </w:rPr>
              <w:t>I07.9,</w:t>
            </w:r>
          </w:p>
          <w:p>
            <w:pPr>
              <w:pStyle w:val="TableParagraph"/>
              <w:spacing w:line="229" w:lineRule="exact"/>
              <w:ind w:left="137" w:right="994"/>
              <w:jc w:val="center"/>
              <w:rPr>
                <w:sz w:val="20"/>
              </w:rPr>
            </w:pPr>
            <w:r>
              <w:rPr>
                <w:sz w:val="20"/>
              </w:rPr>
              <w:t>I08,</w:t>
            </w:r>
            <w:r>
              <w:rPr>
                <w:spacing w:val="-4"/>
                <w:sz w:val="20"/>
              </w:rPr>
              <w:t> </w:t>
            </w:r>
            <w:r>
              <w:rPr>
                <w:sz w:val="20"/>
              </w:rPr>
              <w:t>I08.0,</w:t>
            </w:r>
            <w:r>
              <w:rPr>
                <w:spacing w:val="-4"/>
                <w:sz w:val="20"/>
              </w:rPr>
              <w:t> </w:t>
            </w:r>
            <w:r>
              <w:rPr>
                <w:sz w:val="20"/>
              </w:rPr>
              <w:t>I08.1,</w:t>
            </w:r>
            <w:r>
              <w:rPr>
                <w:spacing w:val="-3"/>
                <w:sz w:val="20"/>
              </w:rPr>
              <w:t> </w:t>
            </w:r>
            <w:r>
              <w:rPr>
                <w:sz w:val="20"/>
              </w:rPr>
              <w:t>I08.2,</w:t>
            </w:r>
            <w:r>
              <w:rPr>
                <w:spacing w:val="-6"/>
                <w:sz w:val="20"/>
              </w:rPr>
              <w:t> </w:t>
            </w:r>
            <w:r>
              <w:rPr>
                <w:sz w:val="20"/>
              </w:rPr>
              <w:t>I08.3,</w:t>
            </w:r>
            <w:r>
              <w:rPr>
                <w:spacing w:val="-5"/>
                <w:sz w:val="20"/>
              </w:rPr>
              <w:t> </w:t>
            </w:r>
            <w:r>
              <w:rPr>
                <w:sz w:val="20"/>
              </w:rPr>
              <w:t>I08.8,</w:t>
            </w:r>
            <w:r>
              <w:rPr>
                <w:spacing w:val="-4"/>
                <w:sz w:val="20"/>
              </w:rPr>
              <w:t> </w:t>
            </w:r>
            <w:r>
              <w:rPr>
                <w:sz w:val="20"/>
              </w:rPr>
              <w:t>I08.9,</w:t>
            </w:r>
            <w:r>
              <w:rPr>
                <w:spacing w:val="-6"/>
                <w:sz w:val="20"/>
              </w:rPr>
              <w:t> </w:t>
            </w:r>
            <w:r>
              <w:rPr>
                <w:spacing w:val="-4"/>
                <w:sz w:val="20"/>
              </w:rPr>
              <w:t>I09,</w:t>
            </w:r>
          </w:p>
          <w:p>
            <w:pPr>
              <w:pStyle w:val="TableParagraph"/>
              <w:spacing w:before="1"/>
              <w:ind w:left="260"/>
              <w:rPr>
                <w:sz w:val="20"/>
              </w:rPr>
            </w:pPr>
            <w:r>
              <w:rPr>
                <w:sz w:val="20"/>
              </w:rPr>
              <w:t>I09.0,</w:t>
            </w:r>
            <w:r>
              <w:rPr>
                <w:spacing w:val="-5"/>
                <w:sz w:val="20"/>
              </w:rPr>
              <w:t> </w:t>
            </w:r>
            <w:r>
              <w:rPr>
                <w:sz w:val="20"/>
              </w:rPr>
              <w:t>I09.1,</w:t>
            </w:r>
            <w:r>
              <w:rPr>
                <w:spacing w:val="-7"/>
                <w:sz w:val="20"/>
              </w:rPr>
              <w:t> </w:t>
            </w:r>
            <w:r>
              <w:rPr>
                <w:sz w:val="20"/>
              </w:rPr>
              <w:t>I09.2,</w:t>
            </w:r>
            <w:r>
              <w:rPr>
                <w:spacing w:val="-5"/>
                <w:sz w:val="20"/>
              </w:rPr>
              <w:t> </w:t>
            </w:r>
            <w:r>
              <w:rPr>
                <w:sz w:val="20"/>
              </w:rPr>
              <w:t>I09.8,</w:t>
            </w:r>
            <w:r>
              <w:rPr>
                <w:spacing w:val="-5"/>
                <w:sz w:val="20"/>
              </w:rPr>
              <w:t> </w:t>
            </w:r>
            <w:r>
              <w:rPr>
                <w:sz w:val="20"/>
              </w:rPr>
              <w:t>I09.9,</w:t>
            </w:r>
            <w:r>
              <w:rPr>
                <w:spacing w:val="-4"/>
                <w:sz w:val="20"/>
              </w:rPr>
              <w:t> </w:t>
            </w:r>
            <w:r>
              <w:rPr>
                <w:sz w:val="20"/>
              </w:rPr>
              <w:t>I10,</w:t>
            </w:r>
            <w:r>
              <w:rPr>
                <w:spacing w:val="-5"/>
                <w:sz w:val="20"/>
              </w:rPr>
              <w:t> </w:t>
            </w:r>
            <w:r>
              <w:rPr>
                <w:sz w:val="20"/>
              </w:rPr>
              <w:t>I11,</w:t>
            </w:r>
            <w:r>
              <w:rPr>
                <w:spacing w:val="-5"/>
                <w:sz w:val="20"/>
              </w:rPr>
              <w:t> </w:t>
            </w:r>
            <w:r>
              <w:rPr>
                <w:spacing w:val="-2"/>
                <w:sz w:val="20"/>
              </w:rPr>
              <w:t>I11.0,</w:t>
            </w:r>
          </w:p>
          <w:p>
            <w:pPr>
              <w:pStyle w:val="TableParagraph"/>
              <w:ind w:left="260"/>
              <w:rPr>
                <w:sz w:val="20"/>
              </w:rPr>
            </w:pPr>
            <w:r>
              <w:rPr>
                <w:sz w:val="20"/>
              </w:rPr>
              <w:t>I11.9,</w:t>
            </w:r>
            <w:r>
              <w:rPr>
                <w:spacing w:val="-5"/>
                <w:sz w:val="20"/>
              </w:rPr>
              <w:t> </w:t>
            </w:r>
            <w:r>
              <w:rPr>
                <w:sz w:val="20"/>
              </w:rPr>
              <w:t>I12,</w:t>
            </w:r>
            <w:r>
              <w:rPr>
                <w:spacing w:val="-5"/>
                <w:sz w:val="20"/>
              </w:rPr>
              <w:t> </w:t>
            </w:r>
            <w:r>
              <w:rPr>
                <w:sz w:val="20"/>
              </w:rPr>
              <w:t>I12.0,</w:t>
            </w:r>
            <w:r>
              <w:rPr>
                <w:spacing w:val="-5"/>
                <w:sz w:val="20"/>
              </w:rPr>
              <w:t> </w:t>
            </w:r>
            <w:r>
              <w:rPr>
                <w:sz w:val="20"/>
              </w:rPr>
              <w:t>I12.9,</w:t>
            </w:r>
            <w:r>
              <w:rPr>
                <w:spacing w:val="-7"/>
                <w:sz w:val="20"/>
              </w:rPr>
              <w:t> </w:t>
            </w:r>
            <w:r>
              <w:rPr>
                <w:sz w:val="20"/>
              </w:rPr>
              <w:t>I13,</w:t>
            </w:r>
            <w:r>
              <w:rPr>
                <w:spacing w:val="-5"/>
                <w:sz w:val="20"/>
              </w:rPr>
              <w:t> </w:t>
            </w:r>
            <w:r>
              <w:rPr>
                <w:sz w:val="20"/>
              </w:rPr>
              <w:t>I13.0,</w:t>
            </w:r>
            <w:r>
              <w:rPr>
                <w:spacing w:val="-5"/>
                <w:sz w:val="20"/>
              </w:rPr>
              <w:t> </w:t>
            </w:r>
            <w:r>
              <w:rPr>
                <w:sz w:val="20"/>
              </w:rPr>
              <w:t>I13.1,</w:t>
            </w:r>
            <w:r>
              <w:rPr>
                <w:spacing w:val="-5"/>
                <w:sz w:val="20"/>
              </w:rPr>
              <w:t> </w:t>
            </w:r>
            <w:r>
              <w:rPr>
                <w:spacing w:val="-2"/>
                <w:sz w:val="20"/>
              </w:rPr>
              <w:t>I13.2,</w:t>
            </w:r>
          </w:p>
          <w:p>
            <w:pPr>
              <w:pStyle w:val="TableParagraph"/>
              <w:spacing w:line="210" w:lineRule="exact" w:before="1"/>
              <w:ind w:left="260"/>
              <w:rPr>
                <w:sz w:val="20"/>
              </w:rPr>
            </w:pPr>
            <w:r>
              <w:rPr>
                <w:sz w:val="20"/>
              </w:rPr>
              <w:t>I13.9,</w:t>
            </w:r>
            <w:r>
              <w:rPr>
                <w:spacing w:val="-5"/>
                <w:sz w:val="20"/>
              </w:rPr>
              <w:t> </w:t>
            </w:r>
            <w:r>
              <w:rPr>
                <w:sz w:val="20"/>
              </w:rPr>
              <w:t>I15,</w:t>
            </w:r>
            <w:r>
              <w:rPr>
                <w:spacing w:val="-5"/>
                <w:sz w:val="20"/>
              </w:rPr>
              <w:t> </w:t>
            </w:r>
            <w:r>
              <w:rPr>
                <w:sz w:val="20"/>
              </w:rPr>
              <w:t>I15.0,</w:t>
            </w:r>
            <w:r>
              <w:rPr>
                <w:spacing w:val="-5"/>
                <w:sz w:val="20"/>
              </w:rPr>
              <w:t> </w:t>
            </w:r>
            <w:r>
              <w:rPr>
                <w:sz w:val="20"/>
              </w:rPr>
              <w:t>I15.1,</w:t>
            </w:r>
            <w:r>
              <w:rPr>
                <w:spacing w:val="-7"/>
                <w:sz w:val="20"/>
              </w:rPr>
              <w:t> </w:t>
            </w:r>
            <w:r>
              <w:rPr>
                <w:sz w:val="20"/>
              </w:rPr>
              <w:t>I15.2,</w:t>
            </w:r>
            <w:r>
              <w:rPr>
                <w:spacing w:val="-7"/>
                <w:sz w:val="20"/>
              </w:rPr>
              <w:t> </w:t>
            </w:r>
            <w:r>
              <w:rPr>
                <w:sz w:val="20"/>
              </w:rPr>
              <w:t>I15.8,</w:t>
            </w:r>
            <w:r>
              <w:rPr>
                <w:spacing w:val="-5"/>
                <w:sz w:val="20"/>
              </w:rPr>
              <w:t> </w:t>
            </w:r>
            <w:r>
              <w:rPr>
                <w:sz w:val="20"/>
              </w:rPr>
              <w:t>I15.9,</w:t>
            </w:r>
            <w:r>
              <w:rPr>
                <w:spacing w:val="-7"/>
                <w:sz w:val="20"/>
              </w:rPr>
              <w:t> </w:t>
            </w:r>
            <w:r>
              <w:rPr>
                <w:spacing w:val="-4"/>
                <w:sz w:val="20"/>
              </w:rPr>
              <w:t>I20,</w:t>
            </w:r>
          </w:p>
        </w:tc>
        <w:tc>
          <w:tcPr>
            <w:tcW w:w="1877" w:type="dxa"/>
          </w:tcPr>
          <w:p>
            <w:pPr>
              <w:pStyle w:val="TableParagraph"/>
              <w:spacing w:before="45"/>
              <w:ind w:left="836"/>
              <w:rPr>
                <w:sz w:val="20"/>
              </w:rPr>
            </w:pPr>
            <w:r>
              <w:rPr>
                <w:w w:val="99"/>
                <w:sz w:val="20"/>
              </w:rPr>
              <w:t>-</w:t>
            </w:r>
          </w:p>
        </w:tc>
        <w:tc>
          <w:tcPr>
            <w:tcW w:w="3146" w:type="dxa"/>
          </w:tcPr>
          <w:p>
            <w:pPr>
              <w:pStyle w:val="TableParagraph"/>
              <w:spacing w:before="45"/>
              <w:ind w:left="1269" w:right="450" w:hanging="236"/>
              <w:rPr>
                <w:sz w:val="20"/>
              </w:rPr>
            </w:pPr>
            <w:r>
              <w:rPr>
                <w:sz w:val="20"/>
              </w:rPr>
              <w:t>Возрастная</w:t>
            </w:r>
            <w:r>
              <w:rPr>
                <w:spacing w:val="-13"/>
                <w:sz w:val="20"/>
              </w:rPr>
              <w:t> </w:t>
            </w:r>
            <w:r>
              <w:rPr>
                <w:sz w:val="20"/>
              </w:rPr>
              <w:t>группа: старше 18 лет</w:t>
            </w:r>
          </w:p>
        </w:tc>
        <w:tc>
          <w:tcPr>
            <w:tcW w:w="911" w:type="dxa"/>
          </w:tcPr>
          <w:p>
            <w:pPr>
              <w:pStyle w:val="TableParagraph"/>
              <w:spacing w:before="45"/>
              <w:ind w:right="92"/>
              <w:jc w:val="right"/>
              <w:rPr>
                <w:sz w:val="20"/>
              </w:rPr>
            </w:pPr>
            <w:r>
              <w:rPr>
                <w:spacing w:val="-4"/>
                <w:sz w:val="20"/>
              </w:rPr>
              <w:t>0,80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7" w:right="4154" w:firstLine="0"/>
        <w:jc w:val="center"/>
        <w:rPr>
          <w:sz w:val="20"/>
        </w:rPr>
      </w:pPr>
      <w:r>
        <w:rPr>
          <w:sz w:val="20"/>
        </w:rPr>
        <w:t>I20.0,</w:t>
      </w:r>
      <w:r>
        <w:rPr>
          <w:spacing w:val="-5"/>
          <w:sz w:val="20"/>
        </w:rPr>
        <w:t> </w:t>
      </w:r>
      <w:r>
        <w:rPr>
          <w:sz w:val="20"/>
        </w:rPr>
        <w:t>I20.1,</w:t>
      </w:r>
      <w:r>
        <w:rPr>
          <w:spacing w:val="-7"/>
          <w:sz w:val="20"/>
        </w:rPr>
        <w:t> </w:t>
      </w:r>
      <w:r>
        <w:rPr>
          <w:sz w:val="20"/>
        </w:rPr>
        <w:t>I20.8,</w:t>
      </w:r>
      <w:r>
        <w:rPr>
          <w:spacing w:val="-4"/>
          <w:sz w:val="20"/>
        </w:rPr>
        <w:t> </w:t>
      </w:r>
      <w:r>
        <w:rPr>
          <w:sz w:val="20"/>
        </w:rPr>
        <w:t>I20.9,</w:t>
      </w:r>
      <w:r>
        <w:rPr>
          <w:spacing w:val="-5"/>
          <w:sz w:val="20"/>
        </w:rPr>
        <w:t> </w:t>
      </w:r>
      <w:r>
        <w:rPr>
          <w:sz w:val="20"/>
        </w:rPr>
        <w:t>I21,</w:t>
      </w:r>
      <w:r>
        <w:rPr>
          <w:spacing w:val="-6"/>
          <w:sz w:val="20"/>
        </w:rPr>
        <w:t> </w:t>
      </w:r>
      <w:r>
        <w:rPr>
          <w:sz w:val="20"/>
        </w:rPr>
        <w:t>I21.0,</w:t>
      </w:r>
      <w:r>
        <w:rPr>
          <w:spacing w:val="-5"/>
          <w:sz w:val="20"/>
        </w:rPr>
        <w:t> </w:t>
      </w:r>
      <w:r>
        <w:rPr>
          <w:sz w:val="20"/>
        </w:rPr>
        <w:t>I21.1,</w:t>
      </w:r>
      <w:r>
        <w:rPr>
          <w:spacing w:val="-7"/>
          <w:sz w:val="20"/>
        </w:rPr>
        <w:t> </w:t>
      </w:r>
      <w:r>
        <w:rPr>
          <w:spacing w:val="-2"/>
          <w:sz w:val="20"/>
        </w:rPr>
        <w:t>I21.2,</w:t>
      </w:r>
    </w:p>
    <w:p>
      <w:pPr>
        <w:spacing w:line="229" w:lineRule="exact" w:before="1"/>
        <w:ind w:left="1162" w:right="4154" w:firstLine="0"/>
        <w:jc w:val="center"/>
        <w:rPr>
          <w:sz w:val="20"/>
        </w:rPr>
      </w:pPr>
      <w:r>
        <w:rPr>
          <w:sz w:val="20"/>
        </w:rPr>
        <w:t>I21.3,</w:t>
      </w:r>
      <w:r>
        <w:rPr>
          <w:spacing w:val="-5"/>
          <w:sz w:val="20"/>
        </w:rPr>
        <w:t> </w:t>
      </w:r>
      <w:r>
        <w:rPr>
          <w:sz w:val="20"/>
        </w:rPr>
        <w:t>I21.4,</w:t>
      </w:r>
      <w:r>
        <w:rPr>
          <w:spacing w:val="-6"/>
          <w:sz w:val="20"/>
        </w:rPr>
        <w:t> </w:t>
      </w:r>
      <w:r>
        <w:rPr>
          <w:sz w:val="20"/>
        </w:rPr>
        <w:t>I21.9,</w:t>
      </w:r>
      <w:r>
        <w:rPr>
          <w:spacing w:val="-5"/>
          <w:sz w:val="20"/>
        </w:rPr>
        <w:t> </w:t>
      </w:r>
      <w:r>
        <w:rPr>
          <w:sz w:val="20"/>
        </w:rPr>
        <w:t>I22,</w:t>
      </w:r>
      <w:r>
        <w:rPr>
          <w:spacing w:val="-6"/>
          <w:sz w:val="20"/>
        </w:rPr>
        <w:t> </w:t>
      </w:r>
      <w:r>
        <w:rPr>
          <w:sz w:val="20"/>
        </w:rPr>
        <w:t>I22.0,</w:t>
      </w:r>
      <w:r>
        <w:rPr>
          <w:spacing w:val="-2"/>
          <w:sz w:val="20"/>
        </w:rPr>
        <w:t> </w:t>
      </w:r>
      <w:r>
        <w:rPr>
          <w:sz w:val="20"/>
        </w:rPr>
        <w:t>I22.1,</w:t>
      </w:r>
      <w:r>
        <w:rPr>
          <w:spacing w:val="-4"/>
          <w:sz w:val="20"/>
        </w:rPr>
        <w:t> </w:t>
      </w:r>
      <w:r>
        <w:rPr>
          <w:sz w:val="20"/>
        </w:rPr>
        <w:t>I22.8,</w:t>
      </w:r>
      <w:r>
        <w:rPr>
          <w:spacing w:val="-7"/>
          <w:sz w:val="20"/>
        </w:rPr>
        <w:t> </w:t>
      </w:r>
      <w:r>
        <w:rPr>
          <w:spacing w:val="-2"/>
          <w:sz w:val="20"/>
        </w:rPr>
        <w:t>I22.9,</w:t>
      </w:r>
    </w:p>
    <w:p>
      <w:pPr>
        <w:spacing w:line="229" w:lineRule="exact" w:before="0"/>
        <w:ind w:left="1157" w:right="4154" w:firstLine="0"/>
        <w:jc w:val="center"/>
        <w:rPr>
          <w:sz w:val="20"/>
        </w:rPr>
      </w:pPr>
      <w:r>
        <w:rPr>
          <w:sz w:val="20"/>
        </w:rPr>
        <w:t>I23,</w:t>
      </w:r>
      <w:r>
        <w:rPr>
          <w:spacing w:val="-5"/>
          <w:sz w:val="20"/>
        </w:rPr>
        <w:t> </w:t>
      </w:r>
      <w:r>
        <w:rPr>
          <w:sz w:val="20"/>
        </w:rPr>
        <w:t>I23.0,</w:t>
      </w:r>
      <w:r>
        <w:rPr>
          <w:spacing w:val="-5"/>
          <w:sz w:val="20"/>
        </w:rPr>
        <w:t> </w:t>
      </w:r>
      <w:r>
        <w:rPr>
          <w:sz w:val="20"/>
        </w:rPr>
        <w:t>I23.1,</w:t>
      </w:r>
      <w:r>
        <w:rPr>
          <w:spacing w:val="-5"/>
          <w:sz w:val="20"/>
        </w:rPr>
        <w:t> </w:t>
      </w:r>
      <w:r>
        <w:rPr>
          <w:sz w:val="20"/>
        </w:rPr>
        <w:t>I23.2,</w:t>
      </w:r>
      <w:r>
        <w:rPr>
          <w:spacing w:val="-6"/>
          <w:sz w:val="20"/>
        </w:rPr>
        <w:t> </w:t>
      </w:r>
      <w:r>
        <w:rPr>
          <w:sz w:val="20"/>
        </w:rPr>
        <w:t>I23.3,</w:t>
      </w:r>
      <w:r>
        <w:rPr>
          <w:spacing w:val="-6"/>
          <w:sz w:val="20"/>
        </w:rPr>
        <w:t> </w:t>
      </w:r>
      <w:r>
        <w:rPr>
          <w:sz w:val="20"/>
        </w:rPr>
        <w:t>I23.4,</w:t>
      </w:r>
      <w:r>
        <w:rPr>
          <w:spacing w:val="-5"/>
          <w:sz w:val="20"/>
        </w:rPr>
        <w:t> </w:t>
      </w:r>
      <w:r>
        <w:rPr>
          <w:sz w:val="20"/>
        </w:rPr>
        <w:t>I23.5,</w:t>
      </w:r>
      <w:r>
        <w:rPr>
          <w:spacing w:val="-7"/>
          <w:sz w:val="20"/>
        </w:rPr>
        <w:t> </w:t>
      </w:r>
      <w:r>
        <w:rPr>
          <w:spacing w:val="-2"/>
          <w:sz w:val="20"/>
        </w:rPr>
        <w:t>I23.6,</w:t>
      </w:r>
    </w:p>
    <w:p>
      <w:pPr>
        <w:spacing w:before="0"/>
        <w:ind w:left="1159" w:right="4154" w:firstLine="0"/>
        <w:jc w:val="center"/>
        <w:rPr>
          <w:sz w:val="20"/>
        </w:rPr>
      </w:pPr>
      <w:r>
        <w:rPr>
          <w:sz w:val="20"/>
        </w:rPr>
        <w:t>I23.8,</w:t>
      </w:r>
      <w:r>
        <w:rPr>
          <w:spacing w:val="-5"/>
          <w:sz w:val="20"/>
        </w:rPr>
        <w:t> </w:t>
      </w:r>
      <w:r>
        <w:rPr>
          <w:sz w:val="20"/>
        </w:rPr>
        <w:t>I24,</w:t>
      </w:r>
      <w:r>
        <w:rPr>
          <w:spacing w:val="-5"/>
          <w:sz w:val="20"/>
        </w:rPr>
        <w:t> </w:t>
      </w:r>
      <w:r>
        <w:rPr>
          <w:sz w:val="20"/>
        </w:rPr>
        <w:t>I24.0,</w:t>
      </w:r>
      <w:r>
        <w:rPr>
          <w:spacing w:val="-5"/>
          <w:sz w:val="20"/>
        </w:rPr>
        <w:t> </w:t>
      </w:r>
      <w:r>
        <w:rPr>
          <w:sz w:val="20"/>
        </w:rPr>
        <w:t>I24.1,</w:t>
      </w:r>
      <w:r>
        <w:rPr>
          <w:spacing w:val="-7"/>
          <w:sz w:val="20"/>
        </w:rPr>
        <w:t> </w:t>
      </w:r>
      <w:r>
        <w:rPr>
          <w:sz w:val="20"/>
        </w:rPr>
        <w:t>I24.8,</w:t>
      </w:r>
      <w:r>
        <w:rPr>
          <w:spacing w:val="-6"/>
          <w:sz w:val="20"/>
        </w:rPr>
        <w:t> </w:t>
      </w:r>
      <w:r>
        <w:rPr>
          <w:sz w:val="20"/>
        </w:rPr>
        <w:t>I24.9,</w:t>
      </w:r>
      <w:r>
        <w:rPr>
          <w:spacing w:val="-5"/>
          <w:sz w:val="20"/>
        </w:rPr>
        <w:t> </w:t>
      </w:r>
      <w:r>
        <w:rPr>
          <w:sz w:val="20"/>
        </w:rPr>
        <w:t>I25,</w:t>
      </w:r>
      <w:r>
        <w:rPr>
          <w:spacing w:val="-5"/>
          <w:sz w:val="20"/>
        </w:rPr>
        <w:t> </w:t>
      </w:r>
      <w:r>
        <w:rPr>
          <w:spacing w:val="-2"/>
          <w:sz w:val="20"/>
        </w:rPr>
        <w:t>I25.0,</w:t>
      </w:r>
    </w:p>
    <w:p>
      <w:pPr>
        <w:spacing w:before="1"/>
        <w:ind w:left="1156" w:right="4154" w:firstLine="0"/>
        <w:jc w:val="center"/>
        <w:rPr>
          <w:sz w:val="20"/>
        </w:rPr>
      </w:pPr>
      <w:r>
        <w:rPr>
          <w:sz w:val="20"/>
        </w:rPr>
        <w:t>I25.1,</w:t>
      </w:r>
      <w:r>
        <w:rPr>
          <w:spacing w:val="-5"/>
          <w:sz w:val="20"/>
        </w:rPr>
        <w:t> </w:t>
      </w:r>
      <w:r>
        <w:rPr>
          <w:sz w:val="20"/>
        </w:rPr>
        <w:t>I25.2,</w:t>
      </w:r>
      <w:r>
        <w:rPr>
          <w:spacing w:val="-7"/>
          <w:sz w:val="20"/>
        </w:rPr>
        <w:t> </w:t>
      </w:r>
      <w:r>
        <w:rPr>
          <w:sz w:val="20"/>
        </w:rPr>
        <w:t>I25.3,</w:t>
      </w:r>
      <w:r>
        <w:rPr>
          <w:spacing w:val="-5"/>
          <w:sz w:val="20"/>
        </w:rPr>
        <w:t> </w:t>
      </w:r>
      <w:r>
        <w:rPr>
          <w:sz w:val="20"/>
        </w:rPr>
        <w:t>I25.4,</w:t>
      </w:r>
      <w:r>
        <w:rPr>
          <w:spacing w:val="-5"/>
          <w:sz w:val="20"/>
        </w:rPr>
        <w:t> </w:t>
      </w:r>
      <w:r>
        <w:rPr>
          <w:sz w:val="20"/>
        </w:rPr>
        <w:t>I25.5,</w:t>
      </w:r>
      <w:r>
        <w:rPr>
          <w:spacing w:val="-5"/>
          <w:sz w:val="20"/>
        </w:rPr>
        <w:t> </w:t>
      </w:r>
      <w:r>
        <w:rPr>
          <w:sz w:val="20"/>
        </w:rPr>
        <w:t>I25.6,</w:t>
      </w:r>
      <w:r>
        <w:rPr>
          <w:spacing w:val="-6"/>
          <w:sz w:val="20"/>
        </w:rPr>
        <w:t> </w:t>
      </w:r>
      <w:r>
        <w:rPr>
          <w:sz w:val="20"/>
        </w:rPr>
        <w:t>I25.8,</w:t>
      </w:r>
      <w:r>
        <w:rPr>
          <w:spacing w:val="-5"/>
          <w:sz w:val="20"/>
        </w:rPr>
        <w:t> </w:t>
      </w:r>
      <w:r>
        <w:rPr>
          <w:spacing w:val="-2"/>
          <w:sz w:val="20"/>
        </w:rPr>
        <w:t>I25.9,</w:t>
      </w:r>
    </w:p>
    <w:p>
      <w:pPr>
        <w:spacing w:before="0"/>
        <w:ind w:left="1157" w:right="4154" w:firstLine="0"/>
        <w:jc w:val="center"/>
        <w:rPr>
          <w:sz w:val="20"/>
        </w:rPr>
      </w:pPr>
      <w:r>
        <w:rPr>
          <w:sz w:val="20"/>
        </w:rPr>
        <w:t>I26.0,</w:t>
      </w:r>
      <w:r>
        <w:rPr>
          <w:spacing w:val="-5"/>
          <w:sz w:val="20"/>
        </w:rPr>
        <w:t> </w:t>
      </w:r>
      <w:r>
        <w:rPr>
          <w:sz w:val="20"/>
        </w:rPr>
        <w:t>I26.9,</w:t>
      </w:r>
      <w:r>
        <w:rPr>
          <w:spacing w:val="-7"/>
          <w:sz w:val="20"/>
        </w:rPr>
        <w:t> </w:t>
      </w:r>
      <w:r>
        <w:rPr>
          <w:sz w:val="20"/>
        </w:rPr>
        <w:t>I27,</w:t>
      </w:r>
      <w:r>
        <w:rPr>
          <w:spacing w:val="-4"/>
          <w:sz w:val="20"/>
        </w:rPr>
        <w:t> </w:t>
      </w:r>
      <w:r>
        <w:rPr>
          <w:sz w:val="20"/>
        </w:rPr>
        <w:t>I27.0,</w:t>
      </w:r>
      <w:r>
        <w:rPr>
          <w:spacing w:val="-7"/>
          <w:sz w:val="20"/>
        </w:rPr>
        <w:t> </w:t>
      </w:r>
      <w:r>
        <w:rPr>
          <w:sz w:val="20"/>
        </w:rPr>
        <w:t>I27.1,</w:t>
      </w:r>
      <w:r>
        <w:rPr>
          <w:spacing w:val="-6"/>
          <w:sz w:val="20"/>
        </w:rPr>
        <w:t> </w:t>
      </w:r>
      <w:r>
        <w:rPr>
          <w:sz w:val="20"/>
        </w:rPr>
        <w:t>I27.2,</w:t>
      </w:r>
      <w:r>
        <w:rPr>
          <w:spacing w:val="-5"/>
          <w:sz w:val="20"/>
        </w:rPr>
        <w:t> </w:t>
      </w:r>
      <w:r>
        <w:rPr>
          <w:sz w:val="20"/>
        </w:rPr>
        <w:t>I27.8,</w:t>
      </w:r>
      <w:r>
        <w:rPr>
          <w:spacing w:val="-7"/>
          <w:sz w:val="20"/>
        </w:rPr>
        <w:t> </w:t>
      </w:r>
      <w:r>
        <w:rPr>
          <w:spacing w:val="-2"/>
          <w:sz w:val="20"/>
        </w:rPr>
        <w:t>I27.9,</w:t>
      </w:r>
    </w:p>
    <w:p>
      <w:pPr>
        <w:spacing w:before="0"/>
        <w:ind w:left="1163" w:right="4154" w:firstLine="0"/>
        <w:jc w:val="center"/>
        <w:rPr>
          <w:sz w:val="20"/>
        </w:rPr>
      </w:pPr>
      <w:r>
        <w:rPr>
          <w:sz w:val="20"/>
        </w:rPr>
        <w:t>I28,</w:t>
      </w:r>
      <w:r>
        <w:rPr>
          <w:spacing w:val="-5"/>
          <w:sz w:val="20"/>
        </w:rPr>
        <w:t> </w:t>
      </w:r>
      <w:r>
        <w:rPr>
          <w:sz w:val="20"/>
        </w:rPr>
        <w:t>I28.0,</w:t>
      </w:r>
      <w:r>
        <w:rPr>
          <w:spacing w:val="-4"/>
          <w:sz w:val="20"/>
        </w:rPr>
        <w:t> </w:t>
      </w:r>
      <w:r>
        <w:rPr>
          <w:sz w:val="20"/>
        </w:rPr>
        <w:t>I28.1,</w:t>
      </w:r>
      <w:r>
        <w:rPr>
          <w:spacing w:val="-1"/>
          <w:sz w:val="20"/>
        </w:rPr>
        <w:t> </w:t>
      </w:r>
      <w:r>
        <w:rPr>
          <w:sz w:val="20"/>
        </w:rPr>
        <w:t>I28.8,</w:t>
      </w:r>
      <w:r>
        <w:rPr>
          <w:spacing w:val="-7"/>
          <w:sz w:val="20"/>
        </w:rPr>
        <w:t> </w:t>
      </w:r>
      <w:r>
        <w:rPr>
          <w:sz w:val="20"/>
        </w:rPr>
        <w:t>I28.9,</w:t>
      </w:r>
      <w:r>
        <w:rPr>
          <w:spacing w:val="-6"/>
          <w:sz w:val="20"/>
        </w:rPr>
        <w:t> </w:t>
      </w:r>
      <w:r>
        <w:rPr>
          <w:sz w:val="20"/>
        </w:rPr>
        <w:t>I30,</w:t>
      </w:r>
      <w:r>
        <w:rPr>
          <w:spacing w:val="-4"/>
          <w:sz w:val="20"/>
        </w:rPr>
        <w:t> </w:t>
      </w:r>
      <w:r>
        <w:rPr>
          <w:sz w:val="20"/>
        </w:rPr>
        <w:t>I30.0,</w:t>
      </w:r>
      <w:r>
        <w:rPr>
          <w:spacing w:val="-4"/>
          <w:sz w:val="20"/>
        </w:rPr>
        <w:t> </w:t>
      </w:r>
      <w:r>
        <w:rPr>
          <w:spacing w:val="-2"/>
          <w:sz w:val="20"/>
        </w:rPr>
        <w:t>I30.1,</w:t>
      </w:r>
    </w:p>
    <w:p>
      <w:pPr>
        <w:spacing w:line="229" w:lineRule="exact" w:before="1"/>
        <w:ind w:left="1157" w:right="4154" w:firstLine="0"/>
        <w:jc w:val="center"/>
        <w:rPr>
          <w:sz w:val="20"/>
        </w:rPr>
      </w:pPr>
      <w:r>
        <w:rPr>
          <w:sz w:val="20"/>
        </w:rPr>
        <w:t>I30.8,</w:t>
      </w:r>
      <w:r>
        <w:rPr>
          <w:spacing w:val="-5"/>
          <w:sz w:val="20"/>
        </w:rPr>
        <w:t> </w:t>
      </w:r>
      <w:r>
        <w:rPr>
          <w:sz w:val="20"/>
        </w:rPr>
        <w:t>I30.9,</w:t>
      </w:r>
      <w:r>
        <w:rPr>
          <w:spacing w:val="-7"/>
          <w:sz w:val="20"/>
        </w:rPr>
        <w:t> </w:t>
      </w:r>
      <w:r>
        <w:rPr>
          <w:sz w:val="20"/>
        </w:rPr>
        <w:t>I31,</w:t>
      </w:r>
      <w:r>
        <w:rPr>
          <w:spacing w:val="-4"/>
          <w:sz w:val="20"/>
        </w:rPr>
        <w:t> </w:t>
      </w:r>
      <w:r>
        <w:rPr>
          <w:sz w:val="20"/>
        </w:rPr>
        <w:t>I31.0,</w:t>
      </w:r>
      <w:r>
        <w:rPr>
          <w:spacing w:val="-7"/>
          <w:sz w:val="20"/>
        </w:rPr>
        <w:t> </w:t>
      </w:r>
      <w:r>
        <w:rPr>
          <w:sz w:val="20"/>
        </w:rPr>
        <w:t>I31.1,</w:t>
      </w:r>
      <w:r>
        <w:rPr>
          <w:spacing w:val="-6"/>
          <w:sz w:val="20"/>
        </w:rPr>
        <w:t> </w:t>
      </w:r>
      <w:r>
        <w:rPr>
          <w:sz w:val="20"/>
        </w:rPr>
        <w:t>I31.2,</w:t>
      </w:r>
      <w:r>
        <w:rPr>
          <w:spacing w:val="-5"/>
          <w:sz w:val="20"/>
        </w:rPr>
        <w:t> </w:t>
      </w:r>
      <w:r>
        <w:rPr>
          <w:sz w:val="20"/>
        </w:rPr>
        <w:t>I31.3,</w:t>
      </w:r>
      <w:r>
        <w:rPr>
          <w:spacing w:val="-7"/>
          <w:sz w:val="20"/>
        </w:rPr>
        <w:t> </w:t>
      </w:r>
      <w:r>
        <w:rPr>
          <w:spacing w:val="-2"/>
          <w:sz w:val="20"/>
        </w:rPr>
        <w:t>I31.8,</w:t>
      </w:r>
    </w:p>
    <w:p>
      <w:pPr>
        <w:spacing w:line="229" w:lineRule="exact" w:before="0"/>
        <w:ind w:left="1157" w:right="4154" w:firstLine="0"/>
        <w:jc w:val="center"/>
        <w:rPr>
          <w:sz w:val="20"/>
        </w:rPr>
      </w:pPr>
      <w:r>
        <w:rPr>
          <w:sz w:val="20"/>
        </w:rPr>
        <w:t>I31.9,</w:t>
      </w:r>
      <w:r>
        <w:rPr>
          <w:spacing w:val="-5"/>
          <w:sz w:val="20"/>
        </w:rPr>
        <w:t> </w:t>
      </w:r>
      <w:r>
        <w:rPr>
          <w:sz w:val="20"/>
        </w:rPr>
        <w:t>I32.0,</w:t>
      </w:r>
      <w:r>
        <w:rPr>
          <w:spacing w:val="-6"/>
          <w:sz w:val="20"/>
        </w:rPr>
        <w:t> </w:t>
      </w:r>
      <w:r>
        <w:rPr>
          <w:sz w:val="20"/>
        </w:rPr>
        <w:t>I32.1,</w:t>
      </w:r>
      <w:r>
        <w:rPr>
          <w:spacing w:val="-5"/>
          <w:sz w:val="20"/>
        </w:rPr>
        <w:t> </w:t>
      </w:r>
      <w:r>
        <w:rPr>
          <w:sz w:val="20"/>
        </w:rPr>
        <w:t>I32.8,</w:t>
      </w:r>
      <w:r>
        <w:rPr>
          <w:spacing w:val="-4"/>
          <w:sz w:val="20"/>
        </w:rPr>
        <w:t> </w:t>
      </w:r>
      <w:r>
        <w:rPr>
          <w:sz w:val="20"/>
        </w:rPr>
        <w:t>I33.0,</w:t>
      </w:r>
      <w:r>
        <w:rPr>
          <w:spacing w:val="-5"/>
          <w:sz w:val="20"/>
        </w:rPr>
        <w:t> </w:t>
      </w:r>
      <w:r>
        <w:rPr>
          <w:sz w:val="20"/>
        </w:rPr>
        <w:t>I33.9,</w:t>
      </w:r>
      <w:r>
        <w:rPr>
          <w:spacing w:val="-6"/>
          <w:sz w:val="20"/>
        </w:rPr>
        <w:t> </w:t>
      </w:r>
      <w:r>
        <w:rPr>
          <w:sz w:val="20"/>
        </w:rPr>
        <w:t>I34,</w:t>
      </w:r>
      <w:r>
        <w:rPr>
          <w:spacing w:val="-7"/>
          <w:sz w:val="20"/>
        </w:rPr>
        <w:t> </w:t>
      </w:r>
      <w:r>
        <w:rPr>
          <w:spacing w:val="-2"/>
          <w:sz w:val="20"/>
        </w:rPr>
        <w:t>I34.0,</w:t>
      </w:r>
    </w:p>
    <w:p>
      <w:pPr>
        <w:spacing w:before="1"/>
        <w:ind w:left="1157" w:right="4154" w:firstLine="0"/>
        <w:jc w:val="center"/>
        <w:rPr>
          <w:sz w:val="20"/>
        </w:rPr>
      </w:pPr>
      <w:r>
        <w:rPr>
          <w:sz w:val="20"/>
        </w:rPr>
        <w:t>I34.1,</w:t>
      </w:r>
      <w:r>
        <w:rPr>
          <w:spacing w:val="-5"/>
          <w:sz w:val="20"/>
        </w:rPr>
        <w:t> </w:t>
      </w:r>
      <w:r>
        <w:rPr>
          <w:sz w:val="20"/>
        </w:rPr>
        <w:t>I34.2,</w:t>
      </w:r>
      <w:r>
        <w:rPr>
          <w:spacing w:val="-7"/>
          <w:sz w:val="20"/>
        </w:rPr>
        <w:t> </w:t>
      </w:r>
      <w:r>
        <w:rPr>
          <w:sz w:val="20"/>
        </w:rPr>
        <w:t>I34.8,</w:t>
      </w:r>
      <w:r>
        <w:rPr>
          <w:spacing w:val="-4"/>
          <w:sz w:val="20"/>
        </w:rPr>
        <w:t> </w:t>
      </w:r>
      <w:r>
        <w:rPr>
          <w:sz w:val="20"/>
        </w:rPr>
        <w:t>I34.9,</w:t>
      </w:r>
      <w:r>
        <w:rPr>
          <w:spacing w:val="-5"/>
          <w:sz w:val="20"/>
        </w:rPr>
        <w:t> </w:t>
      </w:r>
      <w:r>
        <w:rPr>
          <w:sz w:val="20"/>
        </w:rPr>
        <w:t>I35,</w:t>
      </w:r>
      <w:r>
        <w:rPr>
          <w:spacing w:val="-6"/>
          <w:sz w:val="20"/>
        </w:rPr>
        <w:t> </w:t>
      </w:r>
      <w:r>
        <w:rPr>
          <w:sz w:val="20"/>
        </w:rPr>
        <w:t>I35.0,</w:t>
      </w:r>
      <w:r>
        <w:rPr>
          <w:spacing w:val="-5"/>
          <w:sz w:val="20"/>
        </w:rPr>
        <w:t> </w:t>
      </w:r>
      <w:r>
        <w:rPr>
          <w:sz w:val="20"/>
        </w:rPr>
        <w:t>I35.1,</w:t>
      </w:r>
      <w:r>
        <w:rPr>
          <w:spacing w:val="-7"/>
          <w:sz w:val="20"/>
        </w:rPr>
        <w:t> </w:t>
      </w:r>
      <w:r>
        <w:rPr>
          <w:spacing w:val="-2"/>
          <w:sz w:val="20"/>
        </w:rPr>
        <w:t>I35.2,</w:t>
      </w:r>
    </w:p>
    <w:p>
      <w:pPr>
        <w:spacing w:before="0"/>
        <w:ind w:left="1157" w:right="4154" w:firstLine="0"/>
        <w:jc w:val="center"/>
        <w:rPr>
          <w:sz w:val="20"/>
        </w:rPr>
      </w:pPr>
      <w:r>
        <w:rPr>
          <w:sz w:val="20"/>
        </w:rPr>
        <w:t>I35.8,</w:t>
      </w:r>
      <w:r>
        <w:rPr>
          <w:spacing w:val="-5"/>
          <w:sz w:val="20"/>
        </w:rPr>
        <w:t> </w:t>
      </w:r>
      <w:r>
        <w:rPr>
          <w:sz w:val="20"/>
        </w:rPr>
        <w:t>I35.9,</w:t>
      </w:r>
      <w:r>
        <w:rPr>
          <w:spacing w:val="-7"/>
          <w:sz w:val="20"/>
        </w:rPr>
        <w:t> </w:t>
      </w:r>
      <w:r>
        <w:rPr>
          <w:sz w:val="20"/>
        </w:rPr>
        <w:t>I36,</w:t>
      </w:r>
      <w:r>
        <w:rPr>
          <w:spacing w:val="-4"/>
          <w:sz w:val="20"/>
        </w:rPr>
        <w:t> </w:t>
      </w:r>
      <w:r>
        <w:rPr>
          <w:sz w:val="20"/>
        </w:rPr>
        <w:t>I36.0,</w:t>
      </w:r>
      <w:r>
        <w:rPr>
          <w:spacing w:val="-7"/>
          <w:sz w:val="20"/>
        </w:rPr>
        <w:t> </w:t>
      </w:r>
      <w:r>
        <w:rPr>
          <w:sz w:val="20"/>
        </w:rPr>
        <w:t>I36.1,</w:t>
      </w:r>
      <w:r>
        <w:rPr>
          <w:spacing w:val="-6"/>
          <w:sz w:val="20"/>
        </w:rPr>
        <w:t> </w:t>
      </w:r>
      <w:r>
        <w:rPr>
          <w:sz w:val="20"/>
        </w:rPr>
        <w:t>I36.2,</w:t>
      </w:r>
      <w:r>
        <w:rPr>
          <w:spacing w:val="-5"/>
          <w:sz w:val="20"/>
        </w:rPr>
        <w:t> </w:t>
      </w:r>
      <w:r>
        <w:rPr>
          <w:sz w:val="20"/>
        </w:rPr>
        <w:t>I36.8,</w:t>
      </w:r>
      <w:r>
        <w:rPr>
          <w:spacing w:val="-7"/>
          <w:sz w:val="20"/>
        </w:rPr>
        <w:t> </w:t>
      </w:r>
      <w:r>
        <w:rPr>
          <w:spacing w:val="-2"/>
          <w:sz w:val="20"/>
        </w:rPr>
        <w:t>I36.9,</w:t>
      </w:r>
    </w:p>
    <w:p>
      <w:pPr>
        <w:spacing w:before="1"/>
        <w:ind w:left="1161" w:right="4154" w:firstLine="0"/>
        <w:jc w:val="center"/>
        <w:rPr>
          <w:sz w:val="20"/>
        </w:rPr>
      </w:pPr>
      <w:r>
        <w:rPr>
          <w:sz w:val="20"/>
        </w:rPr>
        <w:t>I37,</w:t>
      </w:r>
      <w:r>
        <w:rPr>
          <w:spacing w:val="-5"/>
          <w:sz w:val="20"/>
        </w:rPr>
        <w:t> </w:t>
      </w:r>
      <w:r>
        <w:rPr>
          <w:sz w:val="20"/>
        </w:rPr>
        <w:t>I37.0,</w:t>
      </w:r>
      <w:r>
        <w:rPr>
          <w:spacing w:val="-4"/>
          <w:sz w:val="20"/>
        </w:rPr>
        <w:t> </w:t>
      </w:r>
      <w:r>
        <w:rPr>
          <w:sz w:val="20"/>
        </w:rPr>
        <w:t>I37.1,</w:t>
      </w:r>
      <w:r>
        <w:rPr>
          <w:spacing w:val="-5"/>
          <w:sz w:val="20"/>
        </w:rPr>
        <w:t> </w:t>
      </w:r>
      <w:r>
        <w:rPr>
          <w:sz w:val="20"/>
        </w:rPr>
        <w:t>I37.2,</w:t>
      </w:r>
      <w:r>
        <w:rPr>
          <w:spacing w:val="-6"/>
          <w:sz w:val="20"/>
        </w:rPr>
        <w:t> </w:t>
      </w:r>
      <w:r>
        <w:rPr>
          <w:sz w:val="20"/>
        </w:rPr>
        <w:t>I37.8,</w:t>
      </w:r>
      <w:r>
        <w:rPr>
          <w:spacing w:val="-6"/>
          <w:sz w:val="20"/>
        </w:rPr>
        <w:t> </w:t>
      </w:r>
      <w:r>
        <w:rPr>
          <w:sz w:val="20"/>
        </w:rPr>
        <w:t>I37.9,</w:t>
      </w:r>
      <w:r>
        <w:rPr>
          <w:spacing w:val="-5"/>
          <w:sz w:val="20"/>
        </w:rPr>
        <w:t> </w:t>
      </w:r>
      <w:r>
        <w:rPr>
          <w:sz w:val="20"/>
        </w:rPr>
        <w:t>I38,</w:t>
      </w:r>
      <w:r>
        <w:rPr>
          <w:spacing w:val="-4"/>
          <w:sz w:val="20"/>
        </w:rPr>
        <w:t> I39,</w:t>
      </w:r>
    </w:p>
    <w:p>
      <w:pPr>
        <w:spacing w:before="0"/>
        <w:ind w:left="1156" w:right="4154" w:firstLine="0"/>
        <w:jc w:val="center"/>
        <w:rPr>
          <w:sz w:val="20"/>
        </w:rPr>
      </w:pPr>
      <w:r>
        <w:rPr>
          <w:sz w:val="20"/>
        </w:rPr>
        <w:t>I39.0,</w:t>
      </w:r>
      <w:r>
        <w:rPr>
          <w:spacing w:val="-5"/>
          <w:sz w:val="20"/>
        </w:rPr>
        <w:t> </w:t>
      </w:r>
      <w:r>
        <w:rPr>
          <w:sz w:val="20"/>
        </w:rPr>
        <w:t>I39.1,</w:t>
      </w:r>
      <w:r>
        <w:rPr>
          <w:spacing w:val="-7"/>
          <w:sz w:val="20"/>
        </w:rPr>
        <w:t> </w:t>
      </w:r>
      <w:r>
        <w:rPr>
          <w:sz w:val="20"/>
        </w:rPr>
        <w:t>I39.2,</w:t>
      </w:r>
      <w:r>
        <w:rPr>
          <w:spacing w:val="-5"/>
          <w:sz w:val="20"/>
        </w:rPr>
        <w:t> </w:t>
      </w:r>
      <w:r>
        <w:rPr>
          <w:sz w:val="20"/>
        </w:rPr>
        <w:t>I39.3,</w:t>
      </w:r>
      <w:r>
        <w:rPr>
          <w:spacing w:val="-5"/>
          <w:sz w:val="20"/>
        </w:rPr>
        <w:t> </w:t>
      </w:r>
      <w:r>
        <w:rPr>
          <w:sz w:val="20"/>
        </w:rPr>
        <w:t>I39.4,</w:t>
      </w:r>
      <w:r>
        <w:rPr>
          <w:spacing w:val="-5"/>
          <w:sz w:val="20"/>
        </w:rPr>
        <w:t> </w:t>
      </w:r>
      <w:r>
        <w:rPr>
          <w:sz w:val="20"/>
        </w:rPr>
        <w:t>I39.8,</w:t>
      </w:r>
      <w:r>
        <w:rPr>
          <w:spacing w:val="-6"/>
          <w:sz w:val="20"/>
        </w:rPr>
        <w:t> </w:t>
      </w:r>
      <w:r>
        <w:rPr>
          <w:sz w:val="20"/>
        </w:rPr>
        <w:t>I40.0,</w:t>
      </w:r>
      <w:r>
        <w:rPr>
          <w:spacing w:val="-5"/>
          <w:sz w:val="20"/>
        </w:rPr>
        <w:t> </w:t>
      </w:r>
      <w:r>
        <w:rPr>
          <w:spacing w:val="-2"/>
          <w:sz w:val="20"/>
        </w:rPr>
        <w:t>I40.1,</w:t>
      </w:r>
    </w:p>
    <w:p>
      <w:pPr>
        <w:spacing w:line="229" w:lineRule="exact" w:before="1"/>
        <w:ind w:left="1157" w:right="4154" w:firstLine="0"/>
        <w:jc w:val="center"/>
        <w:rPr>
          <w:sz w:val="20"/>
        </w:rPr>
      </w:pPr>
      <w:r>
        <w:rPr>
          <w:sz w:val="20"/>
        </w:rPr>
        <w:t>I40.8,</w:t>
      </w:r>
      <w:r>
        <w:rPr>
          <w:spacing w:val="-5"/>
          <w:sz w:val="20"/>
        </w:rPr>
        <w:t> </w:t>
      </w:r>
      <w:r>
        <w:rPr>
          <w:sz w:val="20"/>
        </w:rPr>
        <w:t>I40.9,</w:t>
      </w:r>
      <w:r>
        <w:rPr>
          <w:spacing w:val="-6"/>
          <w:sz w:val="20"/>
        </w:rPr>
        <w:t> </w:t>
      </w:r>
      <w:r>
        <w:rPr>
          <w:sz w:val="20"/>
        </w:rPr>
        <w:t>I41.0,</w:t>
      </w:r>
      <w:r>
        <w:rPr>
          <w:spacing w:val="-5"/>
          <w:sz w:val="20"/>
        </w:rPr>
        <w:t> </w:t>
      </w:r>
      <w:r>
        <w:rPr>
          <w:sz w:val="20"/>
        </w:rPr>
        <w:t>I41.1,</w:t>
      </w:r>
      <w:r>
        <w:rPr>
          <w:spacing w:val="-4"/>
          <w:sz w:val="20"/>
        </w:rPr>
        <w:t> </w:t>
      </w:r>
      <w:r>
        <w:rPr>
          <w:sz w:val="20"/>
        </w:rPr>
        <w:t>I41.2,</w:t>
      </w:r>
      <w:r>
        <w:rPr>
          <w:spacing w:val="-5"/>
          <w:sz w:val="20"/>
        </w:rPr>
        <w:t> </w:t>
      </w:r>
      <w:r>
        <w:rPr>
          <w:sz w:val="20"/>
        </w:rPr>
        <w:t>I41.8,</w:t>
      </w:r>
      <w:r>
        <w:rPr>
          <w:spacing w:val="-6"/>
          <w:sz w:val="20"/>
        </w:rPr>
        <w:t> </w:t>
      </w:r>
      <w:r>
        <w:rPr>
          <w:sz w:val="20"/>
        </w:rPr>
        <w:t>I42,</w:t>
      </w:r>
      <w:r>
        <w:rPr>
          <w:spacing w:val="-7"/>
          <w:sz w:val="20"/>
        </w:rPr>
        <w:t> </w:t>
      </w:r>
      <w:r>
        <w:rPr>
          <w:spacing w:val="-2"/>
          <w:sz w:val="20"/>
        </w:rPr>
        <w:t>I42.0,</w:t>
      </w:r>
    </w:p>
    <w:p>
      <w:pPr>
        <w:spacing w:line="229" w:lineRule="exact" w:before="0"/>
        <w:ind w:left="1156" w:right="4154" w:firstLine="0"/>
        <w:jc w:val="center"/>
        <w:rPr>
          <w:sz w:val="20"/>
        </w:rPr>
      </w:pPr>
      <w:r>
        <w:rPr>
          <w:sz w:val="20"/>
        </w:rPr>
        <w:t>I42.1,</w:t>
      </w:r>
      <w:r>
        <w:rPr>
          <w:spacing w:val="-5"/>
          <w:sz w:val="20"/>
        </w:rPr>
        <w:t> </w:t>
      </w:r>
      <w:r>
        <w:rPr>
          <w:sz w:val="20"/>
        </w:rPr>
        <w:t>I42.2,</w:t>
      </w:r>
      <w:r>
        <w:rPr>
          <w:spacing w:val="-7"/>
          <w:sz w:val="20"/>
        </w:rPr>
        <w:t> </w:t>
      </w:r>
      <w:r>
        <w:rPr>
          <w:sz w:val="20"/>
        </w:rPr>
        <w:t>I42.3,</w:t>
      </w:r>
      <w:r>
        <w:rPr>
          <w:spacing w:val="-5"/>
          <w:sz w:val="20"/>
        </w:rPr>
        <w:t> </w:t>
      </w:r>
      <w:r>
        <w:rPr>
          <w:sz w:val="20"/>
        </w:rPr>
        <w:t>I42.4,</w:t>
      </w:r>
      <w:r>
        <w:rPr>
          <w:spacing w:val="-5"/>
          <w:sz w:val="20"/>
        </w:rPr>
        <w:t> </w:t>
      </w:r>
      <w:r>
        <w:rPr>
          <w:sz w:val="20"/>
        </w:rPr>
        <w:t>I42.5,</w:t>
      </w:r>
      <w:r>
        <w:rPr>
          <w:spacing w:val="-5"/>
          <w:sz w:val="20"/>
        </w:rPr>
        <w:t> </w:t>
      </w:r>
      <w:r>
        <w:rPr>
          <w:sz w:val="20"/>
        </w:rPr>
        <w:t>I42.6,</w:t>
      </w:r>
      <w:r>
        <w:rPr>
          <w:spacing w:val="-6"/>
          <w:sz w:val="20"/>
        </w:rPr>
        <w:t> </w:t>
      </w:r>
      <w:r>
        <w:rPr>
          <w:sz w:val="20"/>
        </w:rPr>
        <w:t>I42.7,</w:t>
      </w:r>
      <w:r>
        <w:rPr>
          <w:spacing w:val="-5"/>
          <w:sz w:val="20"/>
        </w:rPr>
        <w:t> </w:t>
      </w:r>
      <w:r>
        <w:rPr>
          <w:spacing w:val="-2"/>
          <w:sz w:val="20"/>
        </w:rPr>
        <w:t>I42.8,</w:t>
      </w:r>
    </w:p>
    <w:p>
      <w:pPr>
        <w:spacing w:before="0"/>
        <w:ind w:left="1167" w:right="4154" w:firstLine="0"/>
        <w:jc w:val="center"/>
        <w:rPr>
          <w:sz w:val="20"/>
        </w:rPr>
      </w:pPr>
      <w:r>
        <w:rPr>
          <w:sz w:val="20"/>
        </w:rPr>
        <w:t>I42.9,</w:t>
      </w:r>
      <w:r>
        <w:rPr>
          <w:spacing w:val="-5"/>
          <w:sz w:val="20"/>
        </w:rPr>
        <w:t> </w:t>
      </w:r>
      <w:r>
        <w:rPr>
          <w:sz w:val="20"/>
        </w:rPr>
        <w:t>I43,</w:t>
      </w:r>
      <w:r>
        <w:rPr>
          <w:spacing w:val="-5"/>
          <w:sz w:val="20"/>
        </w:rPr>
        <w:t> </w:t>
      </w:r>
      <w:r>
        <w:rPr>
          <w:sz w:val="20"/>
        </w:rPr>
        <w:t>I43.0,</w:t>
      </w:r>
      <w:r>
        <w:rPr>
          <w:spacing w:val="-5"/>
          <w:sz w:val="20"/>
        </w:rPr>
        <w:t> </w:t>
      </w:r>
      <w:r>
        <w:rPr>
          <w:sz w:val="20"/>
        </w:rPr>
        <w:t>I43.1,</w:t>
      </w:r>
      <w:r>
        <w:rPr>
          <w:spacing w:val="-7"/>
          <w:sz w:val="20"/>
        </w:rPr>
        <w:t> </w:t>
      </w:r>
      <w:r>
        <w:rPr>
          <w:sz w:val="20"/>
        </w:rPr>
        <w:t>I43.2,</w:t>
      </w:r>
      <w:r>
        <w:rPr>
          <w:spacing w:val="-6"/>
          <w:sz w:val="20"/>
        </w:rPr>
        <w:t> </w:t>
      </w:r>
      <w:r>
        <w:rPr>
          <w:sz w:val="20"/>
        </w:rPr>
        <w:t>I43.8,</w:t>
      </w:r>
      <w:r>
        <w:rPr>
          <w:spacing w:val="-5"/>
          <w:sz w:val="20"/>
        </w:rPr>
        <w:t> </w:t>
      </w:r>
      <w:r>
        <w:rPr>
          <w:sz w:val="20"/>
        </w:rPr>
        <w:t>I44,</w:t>
      </w:r>
      <w:r>
        <w:rPr>
          <w:spacing w:val="-5"/>
          <w:sz w:val="20"/>
        </w:rPr>
        <w:t> </w:t>
      </w:r>
      <w:r>
        <w:rPr>
          <w:spacing w:val="-2"/>
          <w:sz w:val="20"/>
        </w:rPr>
        <w:t>I44.0,</w:t>
      </w:r>
    </w:p>
    <w:p>
      <w:pPr>
        <w:spacing w:before="0"/>
        <w:ind w:left="1157" w:right="4154" w:firstLine="0"/>
        <w:jc w:val="center"/>
        <w:rPr>
          <w:sz w:val="20"/>
        </w:rPr>
      </w:pPr>
      <w:r>
        <w:rPr>
          <w:sz w:val="20"/>
        </w:rPr>
        <w:t>I44.1,</w:t>
      </w:r>
      <w:r>
        <w:rPr>
          <w:spacing w:val="-5"/>
          <w:sz w:val="20"/>
        </w:rPr>
        <w:t> </w:t>
      </w:r>
      <w:r>
        <w:rPr>
          <w:sz w:val="20"/>
        </w:rPr>
        <w:t>I44.2,</w:t>
      </w:r>
      <w:r>
        <w:rPr>
          <w:spacing w:val="-7"/>
          <w:sz w:val="20"/>
        </w:rPr>
        <w:t> </w:t>
      </w:r>
      <w:r>
        <w:rPr>
          <w:sz w:val="20"/>
        </w:rPr>
        <w:t>I44.3,</w:t>
      </w:r>
      <w:r>
        <w:rPr>
          <w:spacing w:val="-5"/>
          <w:sz w:val="20"/>
        </w:rPr>
        <w:t> </w:t>
      </w:r>
      <w:r>
        <w:rPr>
          <w:sz w:val="20"/>
        </w:rPr>
        <w:t>I44.4,</w:t>
      </w:r>
      <w:r>
        <w:rPr>
          <w:spacing w:val="-5"/>
          <w:sz w:val="20"/>
        </w:rPr>
        <w:t> </w:t>
      </w:r>
      <w:r>
        <w:rPr>
          <w:sz w:val="20"/>
        </w:rPr>
        <w:t>I44.5,</w:t>
      </w:r>
      <w:r>
        <w:rPr>
          <w:spacing w:val="-5"/>
          <w:sz w:val="20"/>
        </w:rPr>
        <w:t> </w:t>
      </w:r>
      <w:r>
        <w:rPr>
          <w:sz w:val="20"/>
        </w:rPr>
        <w:t>I44.6,</w:t>
      </w:r>
      <w:r>
        <w:rPr>
          <w:spacing w:val="-6"/>
          <w:sz w:val="20"/>
        </w:rPr>
        <w:t> </w:t>
      </w:r>
      <w:r>
        <w:rPr>
          <w:sz w:val="20"/>
        </w:rPr>
        <w:t>I44.7,</w:t>
      </w:r>
      <w:r>
        <w:rPr>
          <w:spacing w:val="-5"/>
          <w:sz w:val="20"/>
        </w:rPr>
        <w:t> </w:t>
      </w:r>
      <w:r>
        <w:rPr>
          <w:spacing w:val="-4"/>
          <w:sz w:val="20"/>
        </w:rPr>
        <w:t>I45,</w:t>
      </w:r>
    </w:p>
    <w:p>
      <w:pPr>
        <w:spacing w:before="1"/>
        <w:ind w:left="1156" w:right="4154" w:firstLine="0"/>
        <w:jc w:val="center"/>
        <w:rPr>
          <w:sz w:val="20"/>
        </w:rPr>
      </w:pPr>
      <w:r>
        <w:rPr>
          <w:sz w:val="20"/>
        </w:rPr>
        <w:t>I45.0,</w:t>
      </w:r>
      <w:r>
        <w:rPr>
          <w:spacing w:val="-5"/>
          <w:sz w:val="20"/>
        </w:rPr>
        <w:t> </w:t>
      </w:r>
      <w:r>
        <w:rPr>
          <w:sz w:val="20"/>
        </w:rPr>
        <w:t>I45.1,</w:t>
      </w:r>
      <w:r>
        <w:rPr>
          <w:spacing w:val="-7"/>
          <w:sz w:val="20"/>
        </w:rPr>
        <w:t> </w:t>
      </w:r>
      <w:r>
        <w:rPr>
          <w:sz w:val="20"/>
        </w:rPr>
        <w:t>I45.2,</w:t>
      </w:r>
      <w:r>
        <w:rPr>
          <w:spacing w:val="-5"/>
          <w:sz w:val="20"/>
        </w:rPr>
        <w:t> </w:t>
      </w:r>
      <w:r>
        <w:rPr>
          <w:sz w:val="20"/>
        </w:rPr>
        <w:t>I45.3,</w:t>
      </w:r>
      <w:r>
        <w:rPr>
          <w:spacing w:val="-5"/>
          <w:sz w:val="20"/>
        </w:rPr>
        <w:t> </w:t>
      </w:r>
      <w:r>
        <w:rPr>
          <w:sz w:val="20"/>
        </w:rPr>
        <w:t>I45.4,</w:t>
      </w:r>
      <w:r>
        <w:rPr>
          <w:spacing w:val="-5"/>
          <w:sz w:val="20"/>
        </w:rPr>
        <w:t> </w:t>
      </w:r>
      <w:r>
        <w:rPr>
          <w:sz w:val="20"/>
        </w:rPr>
        <w:t>I45.5,</w:t>
      </w:r>
      <w:r>
        <w:rPr>
          <w:spacing w:val="-6"/>
          <w:sz w:val="20"/>
        </w:rPr>
        <w:t> </w:t>
      </w:r>
      <w:r>
        <w:rPr>
          <w:sz w:val="20"/>
        </w:rPr>
        <w:t>I45.6,</w:t>
      </w:r>
      <w:r>
        <w:rPr>
          <w:spacing w:val="-5"/>
          <w:sz w:val="20"/>
        </w:rPr>
        <w:t> </w:t>
      </w:r>
      <w:r>
        <w:rPr>
          <w:spacing w:val="-2"/>
          <w:sz w:val="20"/>
        </w:rPr>
        <w:t>I45.8,</w:t>
      </w:r>
    </w:p>
    <w:p>
      <w:pPr>
        <w:spacing w:before="1"/>
        <w:ind w:left="1159" w:right="4154" w:firstLine="0"/>
        <w:jc w:val="center"/>
        <w:rPr>
          <w:sz w:val="20"/>
        </w:rPr>
      </w:pPr>
      <w:r>
        <w:rPr>
          <w:sz w:val="20"/>
        </w:rPr>
        <w:t>I45.9,</w:t>
      </w:r>
      <w:r>
        <w:rPr>
          <w:spacing w:val="-5"/>
          <w:sz w:val="20"/>
        </w:rPr>
        <w:t> </w:t>
      </w:r>
      <w:r>
        <w:rPr>
          <w:sz w:val="20"/>
        </w:rPr>
        <w:t>I46,</w:t>
      </w:r>
      <w:r>
        <w:rPr>
          <w:spacing w:val="-5"/>
          <w:sz w:val="20"/>
        </w:rPr>
        <w:t> </w:t>
      </w:r>
      <w:r>
        <w:rPr>
          <w:sz w:val="20"/>
        </w:rPr>
        <w:t>I46.0,</w:t>
      </w:r>
      <w:r>
        <w:rPr>
          <w:spacing w:val="-4"/>
          <w:sz w:val="20"/>
        </w:rPr>
        <w:t> </w:t>
      </w:r>
      <w:r>
        <w:rPr>
          <w:sz w:val="20"/>
        </w:rPr>
        <w:t>I46.1,</w:t>
      </w:r>
      <w:r>
        <w:rPr>
          <w:spacing w:val="-7"/>
          <w:sz w:val="20"/>
        </w:rPr>
        <w:t> </w:t>
      </w:r>
      <w:r>
        <w:rPr>
          <w:sz w:val="20"/>
        </w:rPr>
        <w:t>I46.9,</w:t>
      </w:r>
      <w:r>
        <w:rPr>
          <w:spacing w:val="-6"/>
          <w:sz w:val="20"/>
        </w:rPr>
        <w:t> </w:t>
      </w:r>
      <w:r>
        <w:rPr>
          <w:sz w:val="20"/>
        </w:rPr>
        <w:t>I47,</w:t>
      </w:r>
      <w:r>
        <w:rPr>
          <w:spacing w:val="-5"/>
          <w:sz w:val="20"/>
        </w:rPr>
        <w:t> </w:t>
      </w:r>
      <w:r>
        <w:rPr>
          <w:sz w:val="20"/>
        </w:rPr>
        <w:t>I47.0,</w:t>
      </w:r>
      <w:r>
        <w:rPr>
          <w:spacing w:val="-4"/>
          <w:sz w:val="20"/>
        </w:rPr>
        <w:t> </w:t>
      </w:r>
      <w:r>
        <w:rPr>
          <w:spacing w:val="-2"/>
          <w:sz w:val="20"/>
        </w:rPr>
        <w:t>I47.1,</w:t>
      </w:r>
    </w:p>
    <w:p>
      <w:pPr>
        <w:spacing w:line="229" w:lineRule="exact" w:before="0"/>
        <w:ind w:left="1157" w:right="4154" w:firstLine="0"/>
        <w:jc w:val="center"/>
        <w:rPr>
          <w:sz w:val="20"/>
        </w:rPr>
      </w:pPr>
      <w:r>
        <w:rPr>
          <w:sz w:val="20"/>
        </w:rPr>
        <w:t>I47.2,</w:t>
      </w:r>
      <w:r>
        <w:rPr>
          <w:spacing w:val="-5"/>
          <w:sz w:val="20"/>
        </w:rPr>
        <w:t> </w:t>
      </w:r>
      <w:r>
        <w:rPr>
          <w:sz w:val="20"/>
        </w:rPr>
        <w:t>I47.9,</w:t>
      </w:r>
      <w:r>
        <w:rPr>
          <w:spacing w:val="-7"/>
          <w:sz w:val="20"/>
        </w:rPr>
        <w:t> </w:t>
      </w:r>
      <w:r>
        <w:rPr>
          <w:sz w:val="20"/>
        </w:rPr>
        <w:t>I48,</w:t>
      </w:r>
      <w:r>
        <w:rPr>
          <w:spacing w:val="-4"/>
          <w:sz w:val="20"/>
        </w:rPr>
        <w:t> </w:t>
      </w:r>
      <w:r>
        <w:rPr>
          <w:sz w:val="20"/>
        </w:rPr>
        <w:t>I48.0,</w:t>
      </w:r>
      <w:r>
        <w:rPr>
          <w:spacing w:val="-7"/>
          <w:sz w:val="20"/>
        </w:rPr>
        <w:t> </w:t>
      </w:r>
      <w:r>
        <w:rPr>
          <w:sz w:val="20"/>
        </w:rPr>
        <w:t>I48.1,</w:t>
      </w:r>
      <w:r>
        <w:rPr>
          <w:spacing w:val="-6"/>
          <w:sz w:val="20"/>
        </w:rPr>
        <w:t> </w:t>
      </w:r>
      <w:r>
        <w:rPr>
          <w:sz w:val="20"/>
        </w:rPr>
        <w:t>I48.2,</w:t>
      </w:r>
      <w:r>
        <w:rPr>
          <w:spacing w:val="-5"/>
          <w:sz w:val="20"/>
        </w:rPr>
        <w:t> </w:t>
      </w:r>
      <w:r>
        <w:rPr>
          <w:sz w:val="20"/>
        </w:rPr>
        <w:t>I48.3,</w:t>
      </w:r>
      <w:r>
        <w:rPr>
          <w:spacing w:val="-7"/>
          <w:sz w:val="20"/>
        </w:rPr>
        <w:t> </w:t>
      </w:r>
      <w:r>
        <w:rPr>
          <w:spacing w:val="-2"/>
          <w:sz w:val="20"/>
        </w:rPr>
        <w:t>I48.4,</w:t>
      </w:r>
    </w:p>
    <w:p>
      <w:pPr>
        <w:spacing w:line="229" w:lineRule="exact" w:before="0"/>
        <w:ind w:left="1162" w:right="4154" w:firstLine="0"/>
        <w:jc w:val="center"/>
        <w:rPr>
          <w:sz w:val="20"/>
        </w:rPr>
      </w:pPr>
      <w:r>
        <w:rPr>
          <w:sz w:val="20"/>
        </w:rPr>
        <w:t>I48.9,</w:t>
      </w:r>
      <w:r>
        <w:rPr>
          <w:spacing w:val="-5"/>
          <w:sz w:val="20"/>
        </w:rPr>
        <w:t> </w:t>
      </w:r>
      <w:r>
        <w:rPr>
          <w:sz w:val="20"/>
        </w:rPr>
        <w:t>I49,</w:t>
      </w:r>
      <w:r>
        <w:rPr>
          <w:spacing w:val="-4"/>
          <w:sz w:val="20"/>
        </w:rPr>
        <w:t> </w:t>
      </w:r>
      <w:r>
        <w:rPr>
          <w:sz w:val="20"/>
        </w:rPr>
        <w:t>I49.0,</w:t>
      </w:r>
      <w:r>
        <w:rPr>
          <w:spacing w:val="-4"/>
          <w:sz w:val="20"/>
        </w:rPr>
        <w:t> </w:t>
      </w:r>
      <w:r>
        <w:rPr>
          <w:sz w:val="20"/>
        </w:rPr>
        <w:t>I49.1,</w:t>
      </w:r>
      <w:r>
        <w:rPr>
          <w:spacing w:val="-6"/>
          <w:sz w:val="20"/>
        </w:rPr>
        <w:t> </w:t>
      </w:r>
      <w:r>
        <w:rPr>
          <w:sz w:val="20"/>
        </w:rPr>
        <w:t>I49.2,</w:t>
      </w:r>
      <w:r>
        <w:rPr>
          <w:spacing w:val="-6"/>
          <w:sz w:val="20"/>
        </w:rPr>
        <w:t> </w:t>
      </w:r>
      <w:r>
        <w:rPr>
          <w:sz w:val="20"/>
        </w:rPr>
        <w:t>I49.3,</w:t>
      </w:r>
      <w:r>
        <w:rPr>
          <w:spacing w:val="-4"/>
          <w:sz w:val="20"/>
        </w:rPr>
        <w:t> </w:t>
      </w:r>
      <w:r>
        <w:rPr>
          <w:sz w:val="20"/>
        </w:rPr>
        <w:t>I49.4,</w:t>
      </w:r>
      <w:r>
        <w:rPr>
          <w:spacing w:val="-6"/>
          <w:sz w:val="20"/>
        </w:rPr>
        <w:t> </w:t>
      </w:r>
      <w:r>
        <w:rPr>
          <w:spacing w:val="-2"/>
          <w:sz w:val="20"/>
        </w:rPr>
        <w:t>I49.5,</w:t>
      </w:r>
    </w:p>
    <w:p>
      <w:pPr>
        <w:spacing w:before="0"/>
        <w:ind w:left="1159" w:right="4154" w:firstLine="0"/>
        <w:jc w:val="center"/>
        <w:rPr>
          <w:sz w:val="20"/>
        </w:rPr>
      </w:pPr>
      <w:r>
        <w:rPr>
          <w:sz w:val="20"/>
        </w:rPr>
        <w:t>I49.8,</w:t>
      </w:r>
      <w:r>
        <w:rPr>
          <w:spacing w:val="-5"/>
          <w:sz w:val="20"/>
        </w:rPr>
        <w:t> </w:t>
      </w:r>
      <w:r>
        <w:rPr>
          <w:sz w:val="20"/>
        </w:rPr>
        <w:t>I49.9,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p>
      <w:pPr>
        <w:spacing w:before="1"/>
        <w:ind w:left="1156" w:right="4154" w:firstLine="0"/>
        <w:jc w:val="center"/>
        <w:rPr>
          <w:sz w:val="20"/>
        </w:rPr>
      </w:pPr>
      <w:r>
        <w:rPr>
          <w:sz w:val="20"/>
        </w:rPr>
        <w:t>I51.1,</w:t>
      </w:r>
      <w:r>
        <w:rPr>
          <w:spacing w:val="-5"/>
          <w:sz w:val="20"/>
        </w:rPr>
        <w:t> </w:t>
      </w:r>
      <w:r>
        <w:rPr>
          <w:sz w:val="20"/>
        </w:rPr>
        <w:t>I51.2,</w:t>
      </w:r>
      <w:r>
        <w:rPr>
          <w:spacing w:val="-7"/>
          <w:sz w:val="20"/>
        </w:rPr>
        <w:t> </w:t>
      </w:r>
      <w:r>
        <w:rPr>
          <w:sz w:val="20"/>
        </w:rPr>
        <w:t>I51.3,</w:t>
      </w:r>
      <w:r>
        <w:rPr>
          <w:spacing w:val="-5"/>
          <w:sz w:val="20"/>
        </w:rPr>
        <w:t> </w:t>
      </w:r>
      <w:r>
        <w:rPr>
          <w:sz w:val="20"/>
        </w:rPr>
        <w:t>I51.4,</w:t>
      </w:r>
      <w:r>
        <w:rPr>
          <w:spacing w:val="-5"/>
          <w:sz w:val="20"/>
        </w:rPr>
        <w:t> </w:t>
      </w:r>
      <w:r>
        <w:rPr>
          <w:sz w:val="20"/>
        </w:rPr>
        <w:t>I51.5,</w:t>
      </w:r>
      <w:r>
        <w:rPr>
          <w:spacing w:val="-5"/>
          <w:sz w:val="20"/>
        </w:rPr>
        <w:t> </w:t>
      </w:r>
      <w:r>
        <w:rPr>
          <w:sz w:val="20"/>
        </w:rPr>
        <w:t>I51.6,</w:t>
      </w:r>
      <w:r>
        <w:rPr>
          <w:spacing w:val="-6"/>
          <w:sz w:val="20"/>
        </w:rPr>
        <w:t> </w:t>
      </w:r>
      <w:r>
        <w:rPr>
          <w:sz w:val="20"/>
        </w:rPr>
        <w:t>I51.7,</w:t>
      </w:r>
      <w:r>
        <w:rPr>
          <w:spacing w:val="-5"/>
          <w:sz w:val="20"/>
        </w:rPr>
        <w:t> </w:t>
      </w:r>
      <w:r>
        <w:rPr>
          <w:spacing w:val="-2"/>
          <w:sz w:val="20"/>
        </w:rPr>
        <w:t>I51.8,</w:t>
      </w:r>
    </w:p>
    <w:p>
      <w:pPr>
        <w:spacing w:before="0"/>
        <w:ind w:left="1159" w:right="4154" w:firstLine="0"/>
        <w:jc w:val="center"/>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I60,</w:t>
      </w:r>
      <w:r>
        <w:rPr>
          <w:spacing w:val="-5"/>
          <w:sz w:val="20"/>
        </w:rPr>
        <w:t> </w:t>
      </w:r>
      <w:r>
        <w:rPr>
          <w:sz w:val="20"/>
        </w:rPr>
        <w:t>I60.0,</w:t>
      </w:r>
      <w:r>
        <w:rPr>
          <w:spacing w:val="-4"/>
          <w:sz w:val="20"/>
        </w:rPr>
        <w:t> </w:t>
      </w:r>
      <w:r>
        <w:rPr>
          <w:spacing w:val="-2"/>
          <w:sz w:val="20"/>
        </w:rPr>
        <w:t>I60.1,</w:t>
      </w:r>
    </w:p>
    <w:p>
      <w:pPr>
        <w:spacing w:line="229" w:lineRule="exact" w:before="1"/>
        <w:ind w:left="1156" w:right="4154" w:firstLine="0"/>
        <w:jc w:val="center"/>
        <w:rPr>
          <w:sz w:val="20"/>
        </w:rPr>
      </w:pPr>
      <w:r>
        <w:rPr>
          <w:sz w:val="20"/>
        </w:rPr>
        <w:t>I60.2,</w:t>
      </w:r>
      <w:r>
        <w:rPr>
          <w:spacing w:val="-5"/>
          <w:sz w:val="20"/>
        </w:rPr>
        <w:t> </w:t>
      </w:r>
      <w:r>
        <w:rPr>
          <w:sz w:val="20"/>
        </w:rPr>
        <w:t>I60.3,</w:t>
      </w:r>
      <w:r>
        <w:rPr>
          <w:spacing w:val="-7"/>
          <w:sz w:val="20"/>
        </w:rPr>
        <w:t> </w:t>
      </w:r>
      <w:r>
        <w:rPr>
          <w:sz w:val="20"/>
        </w:rPr>
        <w:t>I60.4,</w:t>
      </w:r>
      <w:r>
        <w:rPr>
          <w:spacing w:val="-5"/>
          <w:sz w:val="20"/>
        </w:rPr>
        <w:t> </w:t>
      </w:r>
      <w:r>
        <w:rPr>
          <w:sz w:val="20"/>
        </w:rPr>
        <w:t>I60.5,</w:t>
      </w:r>
      <w:r>
        <w:rPr>
          <w:spacing w:val="-5"/>
          <w:sz w:val="20"/>
        </w:rPr>
        <w:t> </w:t>
      </w:r>
      <w:r>
        <w:rPr>
          <w:sz w:val="20"/>
        </w:rPr>
        <w:t>I60.6,</w:t>
      </w:r>
      <w:r>
        <w:rPr>
          <w:spacing w:val="-5"/>
          <w:sz w:val="20"/>
        </w:rPr>
        <w:t> </w:t>
      </w:r>
      <w:r>
        <w:rPr>
          <w:sz w:val="20"/>
        </w:rPr>
        <w:t>I60.7,</w:t>
      </w:r>
      <w:r>
        <w:rPr>
          <w:spacing w:val="-6"/>
          <w:sz w:val="20"/>
        </w:rPr>
        <w:t> </w:t>
      </w:r>
      <w:r>
        <w:rPr>
          <w:sz w:val="20"/>
        </w:rPr>
        <w:t>I60.8,</w:t>
      </w:r>
      <w:r>
        <w:rPr>
          <w:spacing w:val="-5"/>
          <w:sz w:val="20"/>
        </w:rPr>
        <w:t> </w:t>
      </w:r>
      <w:r>
        <w:rPr>
          <w:spacing w:val="-2"/>
          <w:sz w:val="20"/>
        </w:rPr>
        <w:t>I60.9,</w:t>
      </w:r>
    </w:p>
    <w:p>
      <w:pPr>
        <w:spacing w:line="229" w:lineRule="exact" w:before="0"/>
        <w:ind w:left="1160" w:right="4154" w:firstLine="0"/>
        <w:jc w:val="center"/>
        <w:rPr>
          <w:sz w:val="20"/>
        </w:rPr>
      </w:pPr>
      <w:r>
        <w:rPr>
          <w:sz w:val="20"/>
        </w:rPr>
        <w:t>I61,</w:t>
      </w:r>
      <w:r>
        <w:rPr>
          <w:spacing w:val="-5"/>
          <w:sz w:val="20"/>
        </w:rPr>
        <w:t> </w:t>
      </w:r>
      <w:r>
        <w:rPr>
          <w:sz w:val="20"/>
        </w:rPr>
        <w:t>I61.0,</w:t>
      </w:r>
      <w:r>
        <w:rPr>
          <w:spacing w:val="-4"/>
          <w:sz w:val="20"/>
        </w:rPr>
        <w:t> </w:t>
      </w:r>
      <w:r>
        <w:rPr>
          <w:sz w:val="20"/>
        </w:rPr>
        <w:t>I61.1,</w:t>
      </w:r>
      <w:r>
        <w:rPr>
          <w:spacing w:val="-4"/>
          <w:sz w:val="20"/>
        </w:rPr>
        <w:t> </w:t>
      </w:r>
      <w:r>
        <w:rPr>
          <w:sz w:val="20"/>
        </w:rPr>
        <w:t>I61.2,</w:t>
      </w:r>
      <w:r>
        <w:rPr>
          <w:spacing w:val="-6"/>
          <w:sz w:val="20"/>
        </w:rPr>
        <w:t> </w:t>
      </w:r>
      <w:r>
        <w:rPr>
          <w:sz w:val="20"/>
        </w:rPr>
        <w:t>I61.3,</w:t>
      </w:r>
      <w:r>
        <w:rPr>
          <w:spacing w:val="-6"/>
          <w:sz w:val="20"/>
        </w:rPr>
        <w:t> </w:t>
      </w:r>
      <w:r>
        <w:rPr>
          <w:sz w:val="20"/>
        </w:rPr>
        <w:t>I61.4,</w:t>
      </w:r>
      <w:r>
        <w:rPr>
          <w:spacing w:val="-4"/>
          <w:sz w:val="20"/>
        </w:rPr>
        <w:t> </w:t>
      </w:r>
      <w:r>
        <w:rPr>
          <w:sz w:val="20"/>
        </w:rPr>
        <w:t>I61.5,</w:t>
      </w:r>
      <w:r>
        <w:rPr>
          <w:spacing w:val="-6"/>
          <w:sz w:val="20"/>
        </w:rPr>
        <w:t> </w:t>
      </w:r>
      <w:r>
        <w:rPr>
          <w:spacing w:val="-2"/>
          <w:sz w:val="20"/>
        </w:rPr>
        <w:t>I61.6,</w:t>
      </w:r>
    </w:p>
    <w:p>
      <w:pPr>
        <w:spacing w:before="0"/>
        <w:ind w:left="4617" w:right="0" w:firstLine="0"/>
        <w:jc w:val="left"/>
        <w:rPr>
          <w:sz w:val="20"/>
        </w:rPr>
      </w:pPr>
      <w:r>
        <w:rPr>
          <w:sz w:val="20"/>
        </w:rPr>
        <w:t>I61.8,</w:t>
      </w:r>
      <w:r>
        <w:rPr>
          <w:spacing w:val="-5"/>
          <w:sz w:val="20"/>
        </w:rPr>
        <w:t> </w:t>
      </w:r>
      <w:r>
        <w:rPr>
          <w:sz w:val="20"/>
        </w:rPr>
        <w:t>I61.9,</w:t>
      </w:r>
      <w:r>
        <w:rPr>
          <w:spacing w:val="-7"/>
          <w:sz w:val="20"/>
        </w:rPr>
        <w:t> </w:t>
      </w:r>
      <w:r>
        <w:rPr>
          <w:sz w:val="20"/>
        </w:rPr>
        <w:t>I62,</w:t>
      </w:r>
      <w:r>
        <w:rPr>
          <w:spacing w:val="-4"/>
          <w:sz w:val="20"/>
        </w:rPr>
        <w:t> </w:t>
      </w:r>
      <w:r>
        <w:rPr>
          <w:sz w:val="20"/>
        </w:rPr>
        <w:t>I62.0,</w:t>
      </w:r>
      <w:r>
        <w:rPr>
          <w:spacing w:val="-7"/>
          <w:sz w:val="20"/>
        </w:rPr>
        <w:t> </w:t>
      </w:r>
      <w:r>
        <w:rPr>
          <w:sz w:val="20"/>
        </w:rPr>
        <w:t>I62.1,</w:t>
      </w:r>
      <w:r>
        <w:rPr>
          <w:spacing w:val="-6"/>
          <w:sz w:val="20"/>
        </w:rPr>
        <w:t> </w:t>
      </w:r>
      <w:r>
        <w:rPr>
          <w:sz w:val="20"/>
        </w:rPr>
        <w:t>I62.9,</w:t>
      </w:r>
      <w:r>
        <w:rPr>
          <w:spacing w:val="-5"/>
          <w:sz w:val="20"/>
        </w:rPr>
        <w:t> </w:t>
      </w:r>
      <w:r>
        <w:rPr>
          <w:sz w:val="20"/>
        </w:rPr>
        <w:t>I63.0,</w:t>
      </w:r>
      <w:r>
        <w:rPr>
          <w:spacing w:val="-7"/>
          <w:sz w:val="20"/>
        </w:rPr>
        <w:t> </w:t>
      </w:r>
      <w:r>
        <w:rPr>
          <w:spacing w:val="-2"/>
          <w:sz w:val="20"/>
        </w:rPr>
        <w:t>I63.1,</w:t>
      </w:r>
    </w:p>
    <w:p>
      <w:pPr>
        <w:spacing w:before="1"/>
        <w:ind w:left="4617" w:right="0" w:firstLine="0"/>
        <w:jc w:val="left"/>
        <w:rPr>
          <w:sz w:val="20"/>
        </w:rPr>
      </w:pPr>
      <w:r>
        <w:rPr>
          <w:sz w:val="20"/>
        </w:rPr>
        <w:t>I63.2,</w:t>
      </w:r>
      <w:r>
        <w:rPr>
          <w:spacing w:val="-5"/>
          <w:sz w:val="20"/>
        </w:rPr>
        <w:t> </w:t>
      </w:r>
      <w:r>
        <w:rPr>
          <w:sz w:val="20"/>
        </w:rPr>
        <w:t>I63.3,</w:t>
      </w:r>
      <w:r>
        <w:rPr>
          <w:spacing w:val="-7"/>
          <w:sz w:val="20"/>
        </w:rPr>
        <w:t> </w:t>
      </w:r>
      <w:r>
        <w:rPr>
          <w:sz w:val="20"/>
        </w:rPr>
        <w:t>I63.4,</w:t>
      </w:r>
      <w:r>
        <w:rPr>
          <w:spacing w:val="-5"/>
          <w:sz w:val="20"/>
        </w:rPr>
        <w:t> </w:t>
      </w:r>
      <w:r>
        <w:rPr>
          <w:sz w:val="20"/>
        </w:rPr>
        <w:t>I63.5,</w:t>
      </w:r>
      <w:r>
        <w:rPr>
          <w:spacing w:val="-5"/>
          <w:sz w:val="20"/>
        </w:rPr>
        <w:t> </w:t>
      </w:r>
      <w:r>
        <w:rPr>
          <w:sz w:val="20"/>
        </w:rPr>
        <w:t>I63.6,</w:t>
      </w:r>
      <w:r>
        <w:rPr>
          <w:spacing w:val="-5"/>
          <w:sz w:val="20"/>
        </w:rPr>
        <w:t> </w:t>
      </w:r>
      <w:r>
        <w:rPr>
          <w:sz w:val="20"/>
        </w:rPr>
        <w:t>I63.8,</w:t>
      </w:r>
      <w:r>
        <w:rPr>
          <w:spacing w:val="-6"/>
          <w:sz w:val="20"/>
        </w:rPr>
        <w:t> </w:t>
      </w:r>
      <w:r>
        <w:rPr>
          <w:sz w:val="20"/>
        </w:rPr>
        <w:t>I63.9,</w:t>
      </w:r>
      <w:r>
        <w:rPr>
          <w:spacing w:val="-5"/>
          <w:sz w:val="20"/>
        </w:rPr>
        <w:t> </w:t>
      </w:r>
      <w:r>
        <w:rPr>
          <w:spacing w:val="-4"/>
          <w:sz w:val="20"/>
        </w:rPr>
        <w:t>I64,</w:t>
      </w:r>
    </w:p>
    <w:p>
      <w:pPr>
        <w:spacing w:before="0"/>
        <w:ind w:left="4693" w:right="0" w:firstLine="0"/>
        <w:jc w:val="left"/>
        <w:rPr>
          <w:sz w:val="20"/>
        </w:rPr>
      </w:pPr>
      <w:r>
        <w:rPr>
          <w:sz w:val="20"/>
        </w:rPr>
        <w:t>I65,</w:t>
      </w:r>
      <w:r>
        <w:rPr>
          <w:spacing w:val="-5"/>
          <w:sz w:val="20"/>
        </w:rPr>
        <w:t> </w:t>
      </w:r>
      <w:r>
        <w:rPr>
          <w:sz w:val="20"/>
        </w:rPr>
        <w:t>I65.0,</w:t>
      </w:r>
      <w:r>
        <w:rPr>
          <w:spacing w:val="-5"/>
          <w:sz w:val="20"/>
        </w:rPr>
        <w:t> </w:t>
      </w:r>
      <w:r>
        <w:rPr>
          <w:sz w:val="20"/>
        </w:rPr>
        <w:t>I65.1,</w:t>
      </w:r>
      <w:r>
        <w:rPr>
          <w:spacing w:val="-5"/>
          <w:sz w:val="20"/>
        </w:rPr>
        <w:t> </w:t>
      </w:r>
      <w:r>
        <w:rPr>
          <w:sz w:val="20"/>
        </w:rPr>
        <w:t>I65.2,</w:t>
      </w:r>
      <w:r>
        <w:rPr>
          <w:spacing w:val="-6"/>
          <w:sz w:val="20"/>
        </w:rPr>
        <w:t> </w:t>
      </w:r>
      <w:r>
        <w:rPr>
          <w:sz w:val="20"/>
        </w:rPr>
        <w:t>I65.3,</w:t>
      </w:r>
      <w:r>
        <w:rPr>
          <w:spacing w:val="-6"/>
          <w:sz w:val="20"/>
        </w:rPr>
        <w:t> </w:t>
      </w:r>
      <w:r>
        <w:rPr>
          <w:sz w:val="20"/>
        </w:rPr>
        <w:t>I65.8,</w:t>
      </w:r>
      <w:r>
        <w:rPr>
          <w:spacing w:val="-5"/>
          <w:sz w:val="20"/>
        </w:rPr>
        <w:t> </w:t>
      </w:r>
      <w:r>
        <w:rPr>
          <w:sz w:val="20"/>
        </w:rPr>
        <w:t>I65.9,</w:t>
      </w:r>
      <w:r>
        <w:rPr>
          <w:spacing w:val="-7"/>
          <w:sz w:val="20"/>
        </w:rPr>
        <w:t> </w:t>
      </w:r>
      <w:r>
        <w:rPr>
          <w:spacing w:val="-4"/>
          <w:sz w:val="20"/>
        </w:rPr>
        <w:t>I66,</w:t>
      </w:r>
    </w:p>
    <w:p>
      <w:pPr>
        <w:spacing w:before="1"/>
        <w:ind w:left="4617" w:right="0" w:firstLine="0"/>
        <w:jc w:val="left"/>
        <w:rPr>
          <w:sz w:val="20"/>
        </w:rPr>
      </w:pPr>
      <w:r>
        <w:rPr>
          <w:sz w:val="20"/>
        </w:rPr>
        <w:t>I66.0,</w:t>
      </w:r>
      <w:r>
        <w:rPr>
          <w:spacing w:val="-5"/>
          <w:sz w:val="20"/>
        </w:rPr>
        <w:t> </w:t>
      </w:r>
      <w:r>
        <w:rPr>
          <w:sz w:val="20"/>
        </w:rPr>
        <w:t>I66.1,</w:t>
      </w:r>
      <w:r>
        <w:rPr>
          <w:spacing w:val="-7"/>
          <w:sz w:val="20"/>
        </w:rPr>
        <w:t> </w:t>
      </w:r>
      <w:r>
        <w:rPr>
          <w:sz w:val="20"/>
        </w:rPr>
        <w:t>I66.2,</w:t>
      </w:r>
      <w:r>
        <w:rPr>
          <w:spacing w:val="-5"/>
          <w:sz w:val="20"/>
        </w:rPr>
        <w:t> </w:t>
      </w:r>
      <w:r>
        <w:rPr>
          <w:sz w:val="20"/>
        </w:rPr>
        <w:t>I66.3,</w:t>
      </w:r>
      <w:r>
        <w:rPr>
          <w:spacing w:val="-5"/>
          <w:sz w:val="20"/>
        </w:rPr>
        <w:t> </w:t>
      </w:r>
      <w:r>
        <w:rPr>
          <w:sz w:val="20"/>
        </w:rPr>
        <w:t>I66.4,</w:t>
      </w:r>
      <w:r>
        <w:rPr>
          <w:spacing w:val="-5"/>
          <w:sz w:val="20"/>
        </w:rPr>
        <w:t> </w:t>
      </w:r>
      <w:r>
        <w:rPr>
          <w:sz w:val="20"/>
        </w:rPr>
        <w:t>I66.8,</w:t>
      </w:r>
      <w:r>
        <w:rPr>
          <w:spacing w:val="-6"/>
          <w:sz w:val="20"/>
        </w:rPr>
        <w:t> </w:t>
      </w:r>
      <w:r>
        <w:rPr>
          <w:sz w:val="20"/>
        </w:rPr>
        <w:t>I66.9,</w:t>
      </w:r>
      <w:r>
        <w:rPr>
          <w:spacing w:val="-5"/>
          <w:sz w:val="20"/>
        </w:rPr>
        <w:t> </w:t>
      </w:r>
      <w:r>
        <w:rPr>
          <w:spacing w:val="-4"/>
          <w:sz w:val="20"/>
        </w:rPr>
        <w:t>I67,</w:t>
      </w:r>
    </w:p>
    <w:p>
      <w:pPr>
        <w:spacing w:line="229" w:lineRule="exact" w:before="0"/>
        <w:ind w:left="1158" w:right="4154" w:firstLine="0"/>
        <w:jc w:val="center"/>
        <w:rPr>
          <w:sz w:val="20"/>
        </w:rPr>
      </w:pPr>
      <w:r>
        <w:rPr>
          <w:sz w:val="20"/>
        </w:rPr>
        <w:t>I67.0,</w:t>
      </w:r>
      <w:r>
        <w:rPr>
          <w:spacing w:val="-5"/>
          <w:sz w:val="20"/>
        </w:rPr>
        <w:t> </w:t>
      </w:r>
      <w:r>
        <w:rPr>
          <w:sz w:val="20"/>
        </w:rPr>
        <w:t>I67.1,</w:t>
      </w:r>
      <w:r>
        <w:rPr>
          <w:spacing w:val="-6"/>
          <w:sz w:val="20"/>
        </w:rPr>
        <w:t> </w:t>
      </w:r>
      <w:r>
        <w:rPr>
          <w:sz w:val="20"/>
        </w:rPr>
        <w:t>I67.2,</w:t>
      </w:r>
      <w:r>
        <w:rPr>
          <w:spacing w:val="-5"/>
          <w:sz w:val="20"/>
        </w:rPr>
        <w:t> </w:t>
      </w:r>
      <w:r>
        <w:rPr>
          <w:sz w:val="20"/>
        </w:rPr>
        <w:t>I67.3,</w:t>
      </w:r>
      <w:r>
        <w:rPr>
          <w:spacing w:val="-5"/>
          <w:sz w:val="20"/>
        </w:rPr>
        <w:t> </w:t>
      </w:r>
      <w:r>
        <w:rPr>
          <w:sz w:val="20"/>
        </w:rPr>
        <w:t>I67.4,</w:t>
      </w:r>
      <w:r>
        <w:rPr>
          <w:spacing w:val="-4"/>
          <w:sz w:val="20"/>
        </w:rPr>
        <w:t> </w:t>
      </w:r>
      <w:r>
        <w:rPr>
          <w:sz w:val="20"/>
        </w:rPr>
        <w:t>I67.5,</w:t>
      </w:r>
      <w:r>
        <w:rPr>
          <w:spacing w:val="-7"/>
          <w:sz w:val="20"/>
        </w:rPr>
        <w:t> </w:t>
      </w:r>
      <w:r>
        <w:rPr>
          <w:sz w:val="20"/>
        </w:rPr>
        <w:t>I67.6,</w:t>
      </w:r>
      <w:r>
        <w:rPr>
          <w:spacing w:val="-4"/>
          <w:sz w:val="20"/>
        </w:rPr>
        <w:t> </w:t>
      </w:r>
      <w:r>
        <w:rPr>
          <w:spacing w:val="-2"/>
          <w:sz w:val="20"/>
        </w:rPr>
        <w:t>I67.7,</w:t>
      </w:r>
    </w:p>
    <w:p>
      <w:pPr>
        <w:spacing w:line="229" w:lineRule="exact" w:before="0"/>
        <w:ind w:left="1159" w:right="4154" w:firstLine="0"/>
        <w:jc w:val="center"/>
        <w:rPr>
          <w:sz w:val="20"/>
        </w:rPr>
      </w:pPr>
      <w:r>
        <w:rPr>
          <w:sz w:val="20"/>
        </w:rPr>
        <w:t>I67.8,</w:t>
      </w:r>
      <w:r>
        <w:rPr>
          <w:spacing w:val="-5"/>
          <w:sz w:val="20"/>
        </w:rPr>
        <w:t> </w:t>
      </w:r>
      <w:r>
        <w:rPr>
          <w:sz w:val="20"/>
        </w:rPr>
        <w:t>I67.9,</w:t>
      </w:r>
      <w:r>
        <w:rPr>
          <w:spacing w:val="-7"/>
          <w:sz w:val="20"/>
        </w:rPr>
        <w:t> </w:t>
      </w:r>
      <w:r>
        <w:rPr>
          <w:sz w:val="20"/>
        </w:rPr>
        <w:t>I68,</w:t>
      </w:r>
      <w:r>
        <w:rPr>
          <w:spacing w:val="-4"/>
          <w:sz w:val="20"/>
        </w:rPr>
        <w:t> </w:t>
      </w:r>
      <w:r>
        <w:rPr>
          <w:sz w:val="20"/>
        </w:rPr>
        <w:t>I68.0,</w:t>
      </w:r>
      <w:r>
        <w:rPr>
          <w:spacing w:val="-7"/>
          <w:sz w:val="20"/>
        </w:rPr>
        <w:t> </w:t>
      </w:r>
      <w:r>
        <w:rPr>
          <w:sz w:val="20"/>
        </w:rPr>
        <w:t>I68.1,</w:t>
      </w:r>
      <w:r>
        <w:rPr>
          <w:spacing w:val="-6"/>
          <w:sz w:val="20"/>
        </w:rPr>
        <w:t> </w:t>
      </w:r>
      <w:r>
        <w:rPr>
          <w:sz w:val="20"/>
        </w:rPr>
        <w:t>I68.2,</w:t>
      </w:r>
      <w:r>
        <w:rPr>
          <w:spacing w:val="-5"/>
          <w:sz w:val="20"/>
        </w:rPr>
        <w:t> </w:t>
      </w:r>
      <w:r>
        <w:rPr>
          <w:sz w:val="20"/>
        </w:rPr>
        <w:t>I68.8,</w:t>
      </w:r>
      <w:r>
        <w:rPr>
          <w:spacing w:val="-7"/>
          <w:sz w:val="20"/>
        </w:rPr>
        <w:t> </w:t>
      </w:r>
      <w:r>
        <w:rPr>
          <w:spacing w:val="-4"/>
          <w:sz w:val="20"/>
        </w:rPr>
        <w:t>I69,</w:t>
      </w:r>
    </w:p>
    <w:p>
      <w:pPr>
        <w:spacing w:before="1"/>
        <w:ind w:left="4617" w:right="0" w:firstLine="0"/>
        <w:jc w:val="left"/>
        <w:rPr>
          <w:sz w:val="20"/>
        </w:rPr>
      </w:pPr>
      <w:r>
        <w:rPr>
          <w:sz w:val="20"/>
        </w:rPr>
        <w:t>I69.0,</w:t>
      </w:r>
      <w:r>
        <w:rPr>
          <w:spacing w:val="-5"/>
          <w:sz w:val="20"/>
        </w:rPr>
        <w:t> </w:t>
      </w:r>
      <w:r>
        <w:rPr>
          <w:sz w:val="20"/>
        </w:rPr>
        <w:t>I69.1,</w:t>
      </w:r>
      <w:r>
        <w:rPr>
          <w:spacing w:val="-6"/>
          <w:sz w:val="20"/>
        </w:rPr>
        <w:t> </w:t>
      </w:r>
      <w:r>
        <w:rPr>
          <w:sz w:val="20"/>
        </w:rPr>
        <w:t>I69.2,</w:t>
      </w:r>
      <w:r>
        <w:rPr>
          <w:spacing w:val="-5"/>
          <w:sz w:val="20"/>
        </w:rPr>
        <w:t> </w:t>
      </w:r>
      <w:r>
        <w:rPr>
          <w:sz w:val="20"/>
        </w:rPr>
        <w:t>I69.3,</w:t>
      </w:r>
      <w:r>
        <w:rPr>
          <w:spacing w:val="-4"/>
          <w:sz w:val="20"/>
        </w:rPr>
        <w:t> </w:t>
      </w:r>
      <w:r>
        <w:rPr>
          <w:sz w:val="20"/>
        </w:rPr>
        <w:t>I69.4,</w:t>
      </w:r>
      <w:r>
        <w:rPr>
          <w:spacing w:val="-5"/>
          <w:sz w:val="20"/>
        </w:rPr>
        <w:t> </w:t>
      </w:r>
      <w:r>
        <w:rPr>
          <w:sz w:val="20"/>
        </w:rPr>
        <w:t>I69.8,</w:t>
      </w:r>
      <w:r>
        <w:rPr>
          <w:spacing w:val="-6"/>
          <w:sz w:val="20"/>
        </w:rPr>
        <w:t> </w:t>
      </w:r>
      <w:r>
        <w:rPr>
          <w:sz w:val="20"/>
        </w:rPr>
        <w:t>I70,</w:t>
      </w:r>
      <w:r>
        <w:rPr>
          <w:spacing w:val="-7"/>
          <w:sz w:val="20"/>
        </w:rPr>
        <w:t> </w:t>
      </w:r>
      <w:r>
        <w:rPr>
          <w:spacing w:val="-2"/>
          <w:sz w:val="20"/>
        </w:rPr>
        <w:t>I70.0,</w:t>
      </w:r>
    </w:p>
    <w:p>
      <w:pPr>
        <w:spacing w:before="0"/>
        <w:ind w:left="4617" w:right="0" w:firstLine="0"/>
        <w:jc w:val="left"/>
        <w:rPr>
          <w:sz w:val="20"/>
        </w:rPr>
      </w:pPr>
      <w:r>
        <w:rPr>
          <w:sz w:val="20"/>
        </w:rPr>
        <w:t>I70.1,</w:t>
      </w:r>
      <w:r>
        <w:rPr>
          <w:spacing w:val="-5"/>
          <w:sz w:val="20"/>
        </w:rPr>
        <w:t> </w:t>
      </w:r>
      <w:r>
        <w:rPr>
          <w:sz w:val="20"/>
        </w:rPr>
        <w:t>I70.2,</w:t>
      </w:r>
      <w:r>
        <w:rPr>
          <w:spacing w:val="-7"/>
          <w:sz w:val="20"/>
        </w:rPr>
        <w:t> </w:t>
      </w:r>
      <w:r>
        <w:rPr>
          <w:sz w:val="20"/>
        </w:rPr>
        <w:t>I70.8,</w:t>
      </w:r>
      <w:r>
        <w:rPr>
          <w:spacing w:val="-4"/>
          <w:sz w:val="20"/>
        </w:rPr>
        <w:t> </w:t>
      </w:r>
      <w:r>
        <w:rPr>
          <w:sz w:val="20"/>
        </w:rPr>
        <w:t>I70.9,</w:t>
      </w:r>
      <w:r>
        <w:rPr>
          <w:spacing w:val="-5"/>
          <w:sz w:val="20"/>
        </w:rPr>
        <w:t> </w:t>
      </w:r>
      <w:r>
        <w:rPr>
          <w:sz w:val="20"/>
        </w:rPr>
        <w:t>I71,</w:t>
      </w:r>
      <w:r>
        <w:rPr>
          <w:spacing w:val="-6"/>
          <w:sz w:val="20"/>
        </w:rPr>
        <w:t> </w:t>
      </w:r>
      <w:r>
        <w:rPr>
          <w:sz w:val="20"/>
        </w:rPr>
        <w:t>I71.0,</w:t>
      </w:r>
      <w:r>
        <w:rPr>
          <w:spacing w:val="-5"/>
          <w:sz w:val="20"/>
        </w:rPr>
        <w:t> </w:t>
      </w:r>
      <w:r>
        <w:rPr>
          <w:sz w:val="20"/>
        </w:rPr>
        <w:t>I71.1,</w:t>
      </w:r>
      <w:r>
        <w:rPr>
          <w:spacing w:val="-7"/>
          <w:sz w:val="20"/>
        </w:rPr>
        <w:t> </w:t>
      </w:r>
      <w:r>
        <w:rPr>
          <w:spacing w:val="-2"/>
          <w:sz w:val="20"/>
        </w:rPr>
        <w:t>I71.2,</w:t>
      </w:r>
    </w:p>
    <w:p>
      <w:pPr>
        <w:spacing w:before="1"/>
        <w:ind w:left="4617" w:right="0" w:firstLine="0"/>
        <w:jc w:val="left"/>
        <w:rPr>
          <w:sz w:val="20"/>
        </w:rPr>
      </w:pPr>
      <w:r>
        <w:rPr>
          <w:sz w:val="20"/>
        </w:rPr>
        <w:t>I71.3,</w:t>
      </w:r>
      <w:r>
        <w:rPr>
          <w:spacing w:val="-5"/>
          <w:sz w:val="20"/>
        </w:rPr>
        <w:t> </w:t>
      </w:r>
      <w:r>
        <w:rPr>
          <w:sz w:val="20"/>
        </w:rPr>
        <w:t>I71.4,</w:t>
      </w:r>
      <w:r>
        <w:rPr>
          <w:spacing w:val="-6"/>
          <w:sz w:val="20"/>
        </w:rPr>
        <w:t> </w:t>
      </w:r>
      <w:r>
        <w:rPr>
          <w:sz w:val="20"/>
        </w:rPr>
        <w:t>I71.5,</w:t>
      </w:r>
      <w:r>
        <w:rPr>
          <w:spacing w:val="-5"/>
          <w:sz w:val="20"/>
        </w:rPr>
        <w:t> </w:t>
      </w:r>
      <w:r>
        <w:rPr>
          <w:sz w:val="20"/>
        </w:rPr>
        <w:t>I71.6,</w:t>
      </w:r>
      <w:r>
        <w:rPr>
          <w:spacing w:val="-4"/>
          <w:sz w:val="20"/>
        </w:rPr>
        <w:t> </w:t>
      </w:r>
      <w:r>
        <w:rPr>
          <w:sz w:val="20"/>
        </w:rPr>
        <w:t>I71.8,</w:t>
      </w:r>
      <w:r>
        <w:rPr>
          <w:spacing w:val="-5"/>
          <w:sz w:val="20"/>
        </w:rPr>
        <w:t> </w:t>
      </w:r>
      <w:r>
        <w:rPr>
          <w:sz w:val="20"/>
        </w:rPr>
        <w:t>I71.9,</w:t>
      </w:r>
      <w:r>
        <w:rPr>
          <w:spacing w:val="-6"/>
          <w:sz w:val="20"/>
        </w:rPr>
        <w:t> </w:t>
      </w:r>
      <w:r>
        <w:rPr>
          <w:sz w:val="20"/>
        </w:rPr>
        <w:t>I72,</w:t>
      </w:r>
      <w:r>
        <w:rPr>
          <w:spacing w:val="-7"/>
          <w:sz w:val="20"/>
        </w:rPr>
        <w:t> </w:t>
      </w:r>
      <w:r>
        <w:rPr>
          <w:spacing w:val="-2"/>
          <w:sz w:val="20"/>
        </w:rPr>
        <w:t>I72.0,</w:t>
      </w:r>
    </w:p>
    <w:p>
      <w:pPr>
        <w:spacing w:before="0"/>
        <w:ind w:left="4542" w:right="0" w:firstLine="0"/>
        <w:jc w:val="left"/>
        <w:rPr>
          <w:sz w:val="20"/>
        </w:rPr>
      </w:pPr>
      <w:r>
        <w:rPr>
          <w:sz w:val="20"/>
        </w:rPr>
        <w:t>I72.1,</w:t>
      </w:r>
      <w:r>
        <w:rPr>
          <w:spacing w:val="-5"/>
          <w:sz w:val="20"/>
        </w:rPr>
        <w:t> </w:t>
      </w:r>
      <w:r>
        <w:rPr>
          <w:sz w:val="20"/>
        </w:rPr>
        <w:t>I72.2,</w:t>
      </w:r>
      <w:r>
        <w:rPr>
          <w:spacing w:val="-7"/>
          <w:sz w:val="20"/>
        </w:rPr>
        <w:t> </w:t>
      </w:r>
      <w:r>
        <w:rPr>
          <w:sz w:val="20"/>
        </w:rPr>
        <w:t>I72.3,</w:t>
      </w:r>
      <w:r>
        <w:rPr>
          <w:spacing w:val="-5"/>
          <w:sz w:val="20"/>
        </w:rPr>
        <w:t> </w:t>
      </w:r>
      <w:r>
        <w:rPr>
          <w:sz w:val="20"/>
        </w:rPr>
        <w:t>I72.4,</w:t>
      </w:r>
      <w:r>
        <w:rPr>
          <w:spacing w:val="-5"/>
          <w:sz w:val="20"/>
        </w:rPr>
        <w:t> </w:t>
      </w:r>
      <w:r>
        <w:rPr>
          <w:sz w:val="20"/>
        </w:rPr>
        <w:t>I72.5,</w:t>
      </w:r>
      <w:r>
        <w:rPr>
          <w:spacing w:val="-5"/>
          <w:sz w:val="20"/>
        </w:rPr>
        <w:t> </w:t>
      </w:r>
      <w:r>
        <w:rPr>
          <w:sz w:val="20"/>
        </w:rPr>
        <w:t>I72.6,</w:t>
      </w:r>
      <w:r>
        <w:rPr>
          <w:spacing w:val="-6"/>
          <w:sz w:val="20"/>
        </w:rPr>
        <w:t> </w:t>
      </w:r>
      <w:r>
        <w:rPr>
          <w:sz w:val="20"/>
        </w:rPr>
        <w:t>I72.8,</w:t>
      </w:r>
      <w:r>
        <w:rPr>
          <w:spacing w:val="-5"/>
          <w:sz w:val="20"/>
        </w:rPr>
        <w:t> </w:t>
      </w:r>
      <w:r>
        <w:rPr>
          <w:spacing w:val="-2"/>
          <w:sz w:val="20"/>
        </w:rPr>
        <w:t>I72.9,</w:t>
      </w:r>
    </w:p>
    <w:p>
      <w:pPr>
        <w:spacing w:before="0"/>
        <w:ind w:left="4693" w:right="0" w:firstLine="0"/>
        <w:jc w:val="left"/>
        <w:rPr>
          <w:sz w:val="20"/>
        </w:rPr>
      </w:pPr>
      <w:r>
        <w:rPr>
          <w:sz w:val="20"/>
        </w:rPr>
        <w:t>I73,</w:t>
      </w:r>
      <w:r>
        <w:rPr>
          <w:spacing w:val="-5"/>
          <w:sz w:val="20"/>
        </w:rPr>
        <w:t> </w:t>
      </w:r>
      <w:r>
        <w:rPr>
          <w:sz w:val="20"/>
        </w:rPr>
        <w:t>I73.0,</w:t>
      </w:r>
      <w:r>
        <w:rPr>
          <w:spacing w:val="-4"/>
          <w:sz w:val="20"/>
        </w:rPr>
        <w:t> </w:t>
      </w:r>
      <w:r>
        <w:rPr>
          <w:sz w:val="20"/>
        </w:rPr>
        <w:t>I73.1,</w:t>
      </w:r>
      <w:r>
        <w:rPr>
          <w:spacing w:val="-4"/>
          <w:sz w:val="20"/>
        </w:rPr>
        <w:t> </w:t>
      </w:r>
      <w:r>
        <w:rPr>
          <w:sz w:val="20"/>
        </w:rPr>
        <w:t>I73.8,</w:t>
      </w:r>
      <w:r>
        <w:rPr>
          <w:spacing w:val="-6"/>
          <w:sz w:val="20"/>
        </w:rPr>
        <w:t> </w:t>
      </w:r>
      <w:r>
        <w:rPr>
          <w:sz w:val="20"/>
        </w:rPr>
        <w:t>I73.9,</w:t>
      </w:r>
      <w:r>
        <w:rPr>
          <w:spacing w:val="-7"/>
          <w:sz w:val="20"/>
        </w:rPr>
        <w:t> </w:t>
      </w:r>
      <w:r>
        <w:rPr>
          <w:sz w:val="20"/>
        </w:rPr>
        <w:t>I74,</w:t>
      </w:r>
      <w:r>
        <w:rPr>
          <w:spacing w:val="-4"/>
          <w:sz w:val="20"/>
        </w:rPr>
        <w:t> </w:t>
      </w:r>
      <w:r>
        <w:rPr>
          <w:sz w:val="20"/>
        </w:rPr>
        <w:t>I74.0,</w:t>
      </w:r>
      <w:r>
        <w:rPr>
          <w:spacing w:val="-4"/>
          <w:sz w:val="20"/>
        </w:rPr>
        <w:t> </w:t>
      </w:r>
      <w:r>
        <w:rPr>
          <w:spacing w:val="-2"/>
          <w:sz w:val="20"/>
        </w:rPr>
        <w:t>I74.1,</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2"/>
        <w:gridCol w:w="4417"/>
        <w:gridCol w:w="3703"/>
        <w:gridCol w:w="1672"/>
        <w:gridCol w:w="1261"/>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92" w:type="dxa"/>
            <w:vMerge w:val="restart"/>
          </w:tcPr>
          <w:p>
            <w:pPr>
              <w:pStyle w:val="TableParagraph"/>
              <w:rPr>
                <w:sz w:val="18"/>
              </w:rPr>
            </w:pPr>
          </w:p>
        </w:tc>
        <w:tc>
          <w:tcPr>
            <w:tcW w:w="4417" w:type="dxa"/>
          </w:tcPr>
          <w:p>
            <w:pPr>
              <w:pStyle w:val="TableParagraph"/>
              <w:spacing w:line="205" w:lineRule="exact"/>
              <w:ind w:right="301"/>
              <w:jc w:val="right"/>
              <w:rPr>
                <w:sz w:val="20"/>
              </w:rPr>
            </w:pPr>
            <w:r>
              <w:rPr>
                <w:sz w:val="20"/>
              </w:rPr>
              <w:t>I74.2,</w:t>
            </w:r>
            <w:r>
              <w:rPr>
                <w:spacing w:val="-5"/>
                <w:sz w:val="20"/>
              </w:rPr>
              <w:t> </w:t>
            </w:r>
            <w:r>
              <w:rPr>
                <w:sz w:val="20"/>
              </w:rPr>
              <w:t>I74.3,</w:t>
            </w:r>
            <w:r>
              <w:rPr>
                <w:spacing w:val="-6"/>
                <w:sz w:val="20"/>
              </w:rPr>
              <w:t> </w:t>
            </w:r>
            <w:r>
              <w:rPr>
                <w:sz w:val="20"/>
              </w:rPr>
              <w:t>I74.4,</w:t>
            </w:r>
            <w:r>
              <w:rPr>
                <w:spacing w:val="-5"/>
                <w:sz w:val="20"/>
              </w:rPr>
              <w:t> </w:t>
            </w:r>
            <w:r>
              <w:rPr>
                <w:sz w:val="20"/>
              </w:rPr>
              <w:t>I74.5,</w:t>
            </w:r>
            <w:r>
              <w:rPr>
                <w:spacing w:val="-4"/>
                <w:sz w:val="20"/>
              </w:rPr>
              <w:t> </w:t>
            </w:r>
            <w:r>
              <w:rPr>
                <w:sz w:val="20"/>
              </w:rPr>
              <w:t>I74.8,</w:t>
            </w:r>
            <w:r>
              <w:rPr>
                <w:spacing w:val="-5"/>
                <w:sz w:val="20"/>
              </w:rPr>
              <w:t> </w:t>
            </w:r>
            <w:r>
              <w:rPr>
                <w:sz w:val="20"/>
              </w:rPr>
              <w:t>I74.9,</w:t>
            </w:r>
            <w:r>
              <w:rPr>
                <w:spacing w:val="-6"/>
                <w:sz w:val="20"/>
              </w:rPr>
              <w:t> </w:t>
            </w:r>
            <w:r>
              <w:rPr>
                <w:sz w:val="20"/>
              </w:rPr>
              <w:t>I77,</w:t>
            </w:r>
            <w:r>
              <w:rPr>
                <w:spacing w:val="-7"/>
                <w:sz w:val="20"/>
              </w:rPr>
              <w:t> </w:t>
            </w:r>
            <w:r>
              <w:rPr>
                <w:spacing w:val="-2"/>
                <w:sz w:val="20"/>
              </w:rPr>
              <w:t>I77.0,</w:t>
            </w:r>
          </w:p>
        </w:tc>
        <w:tc>
          <w:tcPr>
            <w:tcW w:w="3703" w:type="dxa"/>
            <w:vMerge w:val="restart"/>
          </w:tcPr>
          <w:p>
            <w:pPr>
              <w:pStyle w:val="TableParagraph"/>
              <w:rPr>
                <w:sz w:val="18"/>
              </w:rPr>
            </w:pPr>
          </w:p>
        </w:tc>
        <w:tc>
          <w:tcPr>
            <w:tcW w:w="1672"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27"/>
              <w:jc w:val="right"/>
              <w:rPr>
                <w:sz w:val="20"/>
              </w:rPr>
            </w:pPr>
            <w:r>
              <w:rPr>
                <w:sz w:val="20"/>
              </w:rPr>
              <w:t>I77.1,</w:t>
            </w:r>
            <w:r>
              <w:rPr>
                <w:spacing w:val="-5"/>
                <w:sz w:val="20"/>
              </w:rPr>
              <w:t> </w:t>
            </w:r>
            <w:r>
              <w:rPr>
                <w:sz w:val="20"/>
              </w:rPr>
              <w:t>I77.2,</w:t>
            </w:r>
            <w:r>
              <w:rPr>
                <w:spacing w:val="-7"/>
                <w:sz w:val="20"/>
              </w:rPr>
              <w:t> </w:t>
            </w:r>
            <w:r>
              <w:rPr>
                <w:sz w:val="20"/>
              </w:rPr>
              <w:t>I77.3,</w:t>
            </w:r>
            <w:r>
              <w:rPr>
                <w:spacing w:val="-5"/>
                <w:sz w:val="20"/>
              </w:rPr>
              <w:t> </w:t>
            </w:r>
            <w:r>
              <w:rPr>
                <w:sz w:val="20"/>
              </w:rPr>
              <w:t>I77.4,</w:t>
            </w:r>
            <w:r>
              <w:rPr>
                <w:spacing w:val="-5"/>
                <w:sz w:val="20"/>
              </w:rPr>
              <w:t> </w:t>
            </w:r>
            <w:r>
              <w:rPr>
                <w:sz w:val="20"/>
              </w:rPr>
              <w:t>I77.5,</w:t>
            </w:r>
            <w:r>
              <w:rPr>
                <w:spacing w:val="-5"/>
                <w:sz w:val="20"/>
              </w:rPr>
              <w:t> </w:t>
            </w:r>
            <w:r>
              <w:rPr>
                <w:sz w:val="20"/>
              </w:rPr>
              <w:t>I77.6,</w:t>
            </w:r>
            <w:r>
              <w:rPr>
                <w:spacing w:val="-6"/>
                <w:sz w:val="20"/>
              </w:rPr>
              <w:t> </w:t>
            </w:r>
            <w:r>
              <w:rPr>
                <w:sz w:val="20"/>
              </w:rPr>
              <w:t>I77.8,</w:t>
            </w:r>
            <w:r>
              <w:rPr>
                <w:spacing w:val="-5"/>
                <w:sz w:val="20"/>
              </w:rPr>
              <w:t> </w:t>
            </w:r>
            <w:r>
              <w:rPr>
                <w:spacing w:val="-2"/>
                <w:sz w:val="20"/>
              </w:rPr>
              <w:t>I77.9,</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left="263"/>
              <w:rPr>
                <w:sz w:val="20"/>
              </w:rPr>
            </w:pPr>
            <w:r>
              <w:rPr>
                <w:sz w:val="20"/>
              </w:rPr>
              <w:t>I78,</w:t>
            </w:r>
            <w:r>
              <w:rPr>
                <w:spacing w:val="-5"/>
                <w:sz w:val="20"/>
              </w:rPr>
              <w:t> </w:t>
            </w:r>
            <w:r>
              <w:rPr>
                <w:sz w:val="20"/>
              </w:rPr>
              <w:t>I78.0,</w:t>
            </w:r>
            <w:r>
              <w:rPr>
                <w:spacing w:val="-4"/>
                <w:sz w:val="20"/>
              </w:rPr>
              <w:t> </w:t>
            </w:r>
            <w:r>
              <w:rPr>
                <w:sz w:val="20"/>
              </w:rPr>
              <w:t>I78.1,</w:t>
            </w:r>
            <w:r>
              <w:rPr>
                <w:spacing w:val="-4"/>
                <w:sz w:val="20"/>
              </w:rPr>
              <w:t> </w:t>
            </w:r>
            <w:r>
              <w:rPr>
                <w:sz w:val="20"/>
              </w:rPr>
              <w:t>I78.8,</w:t>
            </w:r>
            <w:r>
              <w:rPr>
                <w:spacing w:val="-6"/>
                <w:sz w:val="20"/>
              </w:rPr>
              <w:t> </w:t>
            </w:r>
            <w:r>
              <w:rPr>
                <w:sz w:val="20"/>
              </w:rPr>
              <w:t>I78.9,</w:t>
            </w:r>
            <w:r>
              <w:rPr>
                <w:spacing w:val="-2"/>
                <w:sz w:val="20"/>
              </w:rPr>
              <w:t> </w:t>
            </w:r>
            <w:r>
              <w:rPr>
                <w:sz w:val="20"/>
              </w:rPr>
              <w:t>I79,</w:t>
            </w:r>
            <w:r>
              <w:rPr>
                <w:spacing w:val="-4"/>
                <w:sz w:val="20"/>
              </w:rPr>
              <w:t> </w:t>
            </w:r>
            <w:r>
              <w:rPr>
                <w:sz w:val="20"/>
              </w:rPr>
              <w:t>I79.0,</w:t>
            </w:r>
            <w:r>
              <w:rPr>
                <w:spacing w:val="-4"/>
                <w:sz w:val="20"/>
              </w:rPr>
              <w:t> </w:t>
            </w:r>
            <w:r>
              <w:rPr>
                <w:spacing w:val="-2"/>
                <w:sz w:val="20"/>
              </w:rPr>
              <w:t>I79.1,</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301"/>
              <w:jc w:val="right"/>
              <w:rPr>
                <w:sz w:val="20"/>
              </w:rPr>
            </w:pPr>
            <w:r>
              <w:rPr>
                <w:sz w:val="20"/>
              </w:rPr>
              <w:t>I79.2,</w:t>
            </w:r>
            <w:r>
              <w:rPr>
                <w:spacing w:val="-5"/>
                <w:sz w:val="20"/>
              </w:rPr>
              <w:t> </w:t>
            </w:r>
            <w:r>
              <w:rPr>
                <w:sz w:val="20"/>
              </w:rPr>
              <w:t>I79.8,</w:t>
            </w:r>
            <w:r>
              <w:rPr>
                <w:spacing w:val="-7"/>
                <w:sz w:val="20"/>
              </w:rPr>
              <w:t> </w:t>
            </w:r>
            <w:r>
              <w:rPr>
                <w:sz w:val="20"/>
              </w:rPr>
              <w:t>I80,</w:t>
            </w:r>
            <w:r>
              <w:rPr>
                <w:spacing w:val="-4"/>
                <w:sz w:val="20"/>
              </w:rPr>
              <w:t> </w:t>
            </w:r>
            <w:r>
              <w:rPr>
                <w:sz w:val="20"/>
              </w:rPr>
              <w:t>I80.0,</w:t>
            </w:r>
            <w:r>
              <w:rPr>
                <w:spacing w:val="-7"/>
                <w:sz w:val="20"/>
              </w:rPr>
              <w:t> </w:t>
            </w:r>
            <w:r>
              <w:rPr>
                <w:sz w:val="20"/>
              </w:rPr>
              <w:t>I80.1,</w:t>
            </w:r>
            <w:r>
              <w:rPr>
                <w:spacing w:val="-6"/>
                <w:sz w:val="20"/>
              </w:rPr>
              <w:t> </w:t>
            </w:r>
            <w:r>
              <w:rPr>
                <w:sz w:val="20"/>
              </w:rPr>
              <w:t>I80.2,</w:t>
            </w:r>
            <w:r>
              <w:rPr>
                <w:spacing w:val="-5"/>
                <w:sz w:val="20"/>
              </w:rPr>
              <w:t> </w:t>
            </w:r>
            <w:r>
              <w:rPr>
                <w:sz w:val="20"/>
              </w:rPr>
              <w:t>I80.3,</w:t>
            </w:r>
            <w:r>
              <w:rPr>
                <w:spacing w:val="-7"/>
                <w:sz w:val="20"/>
              </w:rPr>
              <w:t> </w:t>
            </w:r>
            <w:r>
              <w:rPr>
                <w:spacing w:val="-2"/>
                <w:sz w:val="20"/>
              </w:rPr>
              <w:t>I80.8,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301"/>
              <w:jc w:val="right"/>
              <w:rPr>
                <w:sz w:val="20"/>
              </w:rPr>
            </w:pPr>
            <w:r>
              <w:rPr>
                <w:sz w:val="20"/>
              </w:rPr>
              <w:t>I80.9,</w:t>
            </w:r>
            <w:r>
              <w:rPr>
                <w:spacing w:val="-5"/>
                <w:sz w:val="20"/>
              </w:rPr>
              <w:t> </w:t>
            </w:r>
            <w:r>
              <w:rPr>
                <w:sz w:val="20"/>
              </w:rPr>
              <w:t>I82,</w:t>
            </w:r>
            <w:r>
              <w:rPr>
                <w:spacing w:val="-5"/>
                <w:sz w:val="20"/>
              </w:rPr>
              <w:t> </w:t>
            </w:r>
            <w:r>
              <w:rPr>
                <w:sz w:val="20"/>
              </w:rPr>
              <w:t>I82.0,</w:t>
            </w:r>
            <w:r>
              <w:rPr>
                <w:spacing w:val="-5"/>
                <w:sz w:val="20"/>
              </w:rPr>
              <w:t> </w:t>
            </w:r>
            <w:r>
              <w:rPr>
                <w:sz w:val="20"/>
              </w:rPr>
              <w:t>I82.1,</w:t>
            </w:r>
            <w:r>
              <w:rPr>
                <w:spacing w:val="-7"/>
                <w:sz w:val="20"/>
              </w:rPr>
              <w:t> </w:t>
            </w:r>
            <w:r>
              <w:rPr>
                <w:sz w:val="20"/>
              </w:rPr>
              <w:t>I82.2,</w:t>
            </w:r>
            <w:r>
              <w:rPr>
                <w:spacing w:val="-7"/>
                <w:sz w:val="20"/>
              </w:rPr>
              <w:t> </w:t>
            </w:r>
            <w:r>
              <w:rPr>
                <w:sz w:val="20"/>
              </w:rPr>
              <w:t>I82.3,</w:t>
            </w:r>
            <w:r>
              <w:rPr>
                <w:spacing w:val="-5"/>
                <w:sz w:val="20"/>
              </w:rPr>
              <w:t> </w:t>
            </w:r>
            <w:r>
              <w:rPr>
                <w:sz w:val="20"/>
              </w:rPr>
              <w:t>I82.8,</w:t>
            </w:r>
            <w:r>
              <w:rPr>
                <w:spacing w:val="-7"/>
                <w:sz w:val="20"/>
              </w:rPr>
              <w:t> </w:t>
            </w:r>
            <w:r>
              <w:rPr>
                <w:spacing w:val="-2"/>
                <w:sz w:val="20"/>
              </w:rPr>
              <w:t>I82.9,</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263"/>
              <w:rPr>
                <w:sz w:val="20"/>
              </w:rPr>
            </w:pPr>
            <w:r>
              <w:rPr>
                <w:sz w:val="20"/>
              </w:rPr>
              <w:t>I83,</w:t>
            </w:r>
            <w:r>
              <w:rPr>
                <w:spacing w:val="-5"/>
                <w:sz w:val="20"/>
              </w:rPr>
              <w:t> </w:t>
            </w:r>
            <w:r>
              <w:rPr>
                <w:sz w:val="20"/>
              </w:rPr>
              <w:t>I83.0,</w:t>
            </w:r>
            <w:r>
              <w:rPr>
                <w:spacing w:val="-5"/>
                <w:sz w:val="20"/>
              </w:rPr>
              <w:t> </w:t>
            </w:r>
            <w:r>
              <w:rPr>
                <w:sz w:val="20"/>
              </w:rPr>
              <w:t>I83.1,</w:t>
            </w:r>
            <w:r>
              <w:rPr>
                <w:spacing w:val="-4"/>
                <w:sz w:val="20"/>
              </w:rPr>
              <w:t> </w:t>
            </w:r>
            <w:r>
              <w:rPr>
                <w:sz w:val="20"/>
              </w:rPr>
              <w:t>I83.2,</w:t>
            </w:r>
            <w:r>
              <w:rPr>
                <w:spacing w:val="-7"/>
                <w:sz w:val="20"/>
              </w:rPr>
              <w:t> </w:t>
            </w:r>
            <w:r>
              <w:rPr>
                <w:sz w:val="20"/>
              </w:rPr>
              <w:t>I83.9,</w:t>
            </w:r>
            <w:r>
              <w:rPr>
                <w:spacing w:val="-6"/>
                <w:sz w:val="20"/>
              </w:rPr>
              <w:t> </w:t>
            </w:r>
            <w:r>
              <w:rPr>
                <w:sz w:val="20"/>
              </w:rPr>
              <w:t>I86.8,</w:t>
            </w:r>
            <w:r>
              <w:rPr>
                <w:spacing w:val="-5"/>
                <w:sz w:val="20"/>
              </w:rPr>
              <w:t> </w:t>
            </w:r>
            <w:r>
              <w:rPr>
                <w:sz w:val="20"/>
              </w:rPr>
              <w:t>I87,</w:t>
            </w:r>
            <w:r>
              <w:rPr>
                <w:spacing w:val="-4"/>
                <w:sz w:val="20"/>
              </w:rPr>
              <w:t> </w:t>
            </w:r>
            <w:r>
              <w:rPr>
                <w:spacing w:val="-2"/>
                <w:sz w:val="20"/>
              </w:rPr>
              <w:t>I87.0,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1" w:lineRule="exact"/>
              <w:ind w:right="227"/>
              <w:jc w:val="right"/>
              <w:rPr>
                <w:sz w:val="20"/>
              </w:rPr>
            </w:pPr>
            <w:r>
              <w:rPr>
                <w:sz w:val="20"/>
              </w:rPr>
              <w:t>I87.1,</w:t>
            </w:r>
            <w:r>
              <w:rPr>
                <w:spacing w:val="-5"/>
                <w:sz w:val="20"/>
              </w:rPr>
              <w:t> </w:t>
            </w:r>
            <w:r>
              <w:rPr>
                <w:sz w:val="20"/>
              </w:rPr>
              <w:t>I87.2,</w:t>
            </w:r>
            <w:r>
              <w:rPr>
                <w:spacing w:val="-7"/>
                <w:sz w:val="20"/>
              </w:rPr>
              <w:t> </w:t>
            </w:r>
            <w:r>
              <w:rPr>
                <w:sz w:val="20"/>
              </w:rPr>
              <w:t>I87.8,</w:t>
            </w:r>
            <w:r>
              <w:rPr>
                <w:spacing w:val="-5"/>
                <w:sz w:val="20"/>
              </w:rPr>
              <w:t> </w:t>
            </w:r>
            <w:r>
              <w:rPr>
                <w:sz w:val="20"/>
              </w:rPr>
              <w:t>I87.9,</w:t>
            </w:r>
            <w:r>
              <w:rPr>
                <w:spacing w:val="-5"/>
                <w:sz w:val="20"/>
              </w:rPr>
              <w:t> </w:t>
            </w:r>
            <w:r>
              <w:rPr>
                <w:sz w:val="20"/>
              </w:rPr>
              <w:t>I88.0,</w:t>
            </w:r>
            <w:r>
              <w:rPr>
                <w:spacing w:val="-5"/>
                <w:sz w:val="20"/>
              </w:rPr>
              <w:t> </w:t>
            </w:r>
            <w:r>
              <w:rPr>
                <w:sz w:val="20"/>
              </w:rPr>
              <w:t>I88.1,</w:t>
            </w:r>
            <w:r>
              <w:rPr>
                <w:spacing w:val="-6"/>
                <w:sz w:val="20"/>
              </w:rPr>
              <w:t> </w:t>
            </w:r>
            <w:r>
              <w:rPr>
                <w:sz w:val="20"/>
              </w:rPr>
              <w:t>I88.8,</w:t>
            </w:r>
            <w:r>
              <w:rPr>
                <w:spacing w:val="-5"/>
                <w:sz w:val="20"/>
              </w:rPr>
              <w:t> </w:t>
            </w:r>
            <w:r>
              <w:rPr>
                <w:spacing w:val="-2"/>
                <w:sz w:val="20"/>
              </w:rPr>
              <w:t>I88.9,</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98"/>
              <w:jc w:val="right"/>
              <w:rPr>
                <w:sz w:val="20"/>
              </w:rPr>
            </w:pPr>
            <w:r>
              <w:rPr>
                <w:sz w:val="20"/>
              </w:rPr>
              <w:t>I89.0,</w:t>
            </w:r>
            <w:r>
              <w:rPr>
                <w:spacing w:val="-5"/>
                <w:sz w:val="20"/>
              </w:rPr>
              <w:t> </w:t>
            </w:r>
            <w:r>
              <w:rPr>
                <w:sz w:val="20"/>
              </w:rPr>
              <w:t>I89.1,</w:t>
            </w:r>
            <w:r>
              <w:rPr>
                <w:spacing w:val="-7"/>
                <w:sz w:val="20"/>
              </w:rPr>
              <w:t> </w:t>
            </w:r>
            <w:r>
              <w:rPr>
                <w:sz w:val="20"/>
              </w:rPr>
              <w:t>I89.8,</w:t>
            </w:r>
            <w:r>
              <w:rPr>
                <w:spacing w:val="-1"/>
                <w:sz w:val="20"/>
              </w:rPr>
              <w:t> </w:t>
            </w:r>
            <w:r>
              <w:rPr>
                <w:sz w:val="20"/>
              </w:rPr>
              <w:t>I89.9,</w:t>
            </w:r>
            <w:r>
              <w:rPr>
                <w:spacing w:val="-4"/>
                <w:sz w:val="20"/>
              </w:rPr>
              <w:t> </w:t>
            </w:r>
            <w:r>
              <w:rPr>
                <w:sz w:val="20"/>
              </w:rPr>
              <w:t>I95,</w:t>
            </w:r>
            <w:r>
              <w:rPr>
                <w:spacing w:val="-7"/>
                <w:sz w:val="20"/>
              </w:rPr>
              <w:t> </w:t>
            </w:r>
            <w:r>
              <w:rPr>
                <w:sz w:val="20"/>
              </w:rPr>
              <w:t>I95.0,</w:t>
            </w:r>
            <w:r>
              <w:rPr>
                <w:spacing w:val="-4"/>
                <w:sz w:val="20"/>
              </w:rPr>
              <w:t> </w:t>
            </w:r>
            <w:r>
              <w:rPr>
                <w:sz w:val="20"/>
              </w:rPr>
              <w:t>I95.1,</w:t>
            </w:r>
            <w:r>
              <w:rPr>
                <w:spacing w:val="-7"/>
                <w:sz w:val="20"/>
              </w:rPr>
              <w:t> </w:t>
            </w:r>
            <w:r>
              <w:rPr>
                <w:spacing w:val="-2"/>
                <w:sz w:val="20"/>
              </w:rPr>
              <w:t>I95.2,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301"/>
              <w:jc w:val="right"/>
              <w:rPr>
                <w:sz w:val="20"/>
              </w:rPr>
            </w:pPr>
            <w:r>
              <w:rPr>
                <w:sz w:val="20"/>
              </w:rPr>
              <w:t>I95.8,</w:t>
            </w:r>
            <w:r>
              <w:rPr>
                <w:spacing w:val="-5"/>
                <w:sz w:val="20"/>
              </w:rPr>
              <w:t> </w:t>
            </w:r>
            <w:r>
              <w:rPr>
                <w:sz w:val="20"/>
              </w:rPr>
              <w:t>I95.9,</w:t>
            </w:r>
            <w:r>
              <w:rPr>
                <w:spacing w:val="-7"/>
                <w:sz w:val="20"/>
              </w:rPr>
              <w:t> </w:t>
            </w:r>
            <w:r>
              <w:rPr>
                <w:sz w:val="20"/>
              </w:rPr>
              <w:t>I97,</w:t>
            </w:r>
            <w:r>
              <w:rPr>
                <w:spacing w:val="-4"/>
                <w:sz w:val="20"/>
              </w:rPr>
              <w:t> </w:t>
            </w:r>
            <w:r>
              <w:rPr>
                <w:sz w:val="20"/>
              </w:rPr>
              <w:t>I97.0,</w:t>
            </w:r>
            <w:r>
              <w:rPr>
                <w:spacing w:val="-7"/>
                <w:sz w:val="20"/>
              </w:rPr>
              <w:t> </w:t>
            </w:r>
            <w:r>
              <w:rPr>
                <w:sz w:val="20"/>
              </w:rPr>
              <w:t>I97.1,</w:t>
            </w:r>
            <w:r>
              <w:rPr>
                <w:spacing w:val="-6"/>
                <w:sz w:val="20"/>
              </w:rPr>
              <w:t> </w:t>
            </w:r>
            <w:r>
              <w:rPr>
                <w:sz w:val="20"/>
              </w:rPr>
              <w:t>I97.8,</w:t>
            </w:r>
            <w:r>
              <w:rPr>
                <w:spacing w:val="-5"/>
                <w:sz w:val="20"/>
              </w:rPr>
              <w:t> </w:t>
            </w:r>
            <w:r>
              <w:rPr>
                <w:sz w:val="20"/>
              </w:rPr>
              <w:t>I97.9,</w:t>
            </w:r>
            <w:r>
              <w:rPr>
                <w:spacing w:val="-7"/>
                <w:sz w:val="20"/>
              </w:rPr>
              <w:t> </w:t>
            </w:r>
            <w:r>
              <w:rPr>
                <w:spacing w:val="-2"/>
                <w:sz w:val="20"/>
              </w:rPr>
              <w:t>I98.1,</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325"/>
              <w:rPr>
                <w:sz w:val="20"/>
              </w:rPr>
            </w:pPr>
            <w:r>
              <w:rPr>
                <w:sz w:val="20"/>
              </w:rPr>
              <w:t>I98.8,</w:t>
            </w:r>
            <w:r>
              <w:rPr>
                <w:spacing w:val="-5"/>
                <w:sz w:val="20"/>
              </w:rPr>
              <w:t> </w:t>
            </w:r>
            <w:r>
              <w:rPr>
                <w:sz w:val="20"/>
              </w:rPr>
              <w:t>I99,</w:t>
            </w:r>
            <w:r>
              <w:rPr>
                <w:spacing w:val="-5"/>
                <w:sz w:val="20"/>
              </w:rPr>
              <w:t> </w:t>
            </w:r>
            <w:r>
              <w:rPr>
                <w:sz w:val="20"/>
              </w:rPr>
              <w:t>Q20,</w:t>
            </w:r>
            <w:r>
              <w:rPr>
                <w:spacing w:val="-5"/>
                <w:sz w:val="20"/>
              </w:rPr>
              <w:t> </w:t>
            </w:r>
            <w:r>
              <w:rPr>
                <w:sz w:val="20"/>
              </w:rPr>
              <w:t>Q20.0,</w:t>
            </w:r>
            <w:r>
              <w:rPr>
                <w:spacing w:val="-4"/>
                <w:sz w:val="20"/>
              </w:rPr>
              <w:t> </w:t>
            </w:r>
            <w:r>
              <w:rPr>
                <w:sz w:val="20"/>
              </w:rPr>
              <w:t>Q20.1,</w:t>
            </w:r>
            <w:r>
              <w:rPr>
                <w:spacing w:val="-5"/>
                <w:sz w:val="20"/>
              </w:rPr>
              <w:t> </w:t>
            </w:r>
            <w:r>
              <w:rPr>
                <w:sz w:val="20"/>
              </w:rPr>
              <w:t>Q20.2,</w:t>
            </w:r>
            <w:r>
              <w:rPr>
                <w:spacing w:val="-7"/>
                <w:sz w:val="20"/>
              </w:rPr>
              <w:t> </w:t>
            </w:r>
            <w:r>
              <w:rPr>
                <w:spacing w:val="-2"/>
                <w:sz w:val="20"/>
              </w:rPr>
              <w:t>Q20.3,</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Q21.1,</w:t>
            </w:r>
            <w:r>
              <w:rPr>
                <w:spacing w:val="-5"/>
                <w:sz w:val="20"/>
              </w:rPr>
              <w:t> </w:t>
            </w:r>
            <w:r>
              <w:rPr>
                <w:sz w:val="20"/>
              </w:rPr>
              <w:t>Q21.2,</w:t>
            </w:r>
            <w:r>
              <w:rPr>
                <w:spacing w:val="-5"/>
                <w:sz w:val="20"/>
              </w:rPr>
              <w:t> </w:t>
            </w:r>
            <w:r>
              <w:rPr>
                <w:sz w:val="20"/>
              </w:rPr>
              <w:t>Q21.3,</w:t>
            </w:r>
            <w:r>
              <w:rPr>
                <w:spacing w:val="-4"/>
                <w:sz w:val="20"/>
              </w:rPr>
              <w:t> </w:t>
            </w:r>
            <w:r>
              <w:rPr>
                <w:sz w:val="20"/>
              </w:rPr>
              <w:t>Q21.4,</w:t>
            </w:r>
            <w:r>
              <w:rPr>
                <w:spacing w:val="-6"/>
                <w:sz w:val="20"/>
              </w:rPr>
              <w:t> </w:t>
            </w:r>
            <w:r>
              <w:rPr>
                <w:sz w:val="20"/>
              </w:rPr>
              <w:t>Q21.8,</w:t>
            </w:r>
            <w:r>
              <w:rPr>
                <w:spacing w:val="-4"/>
                <w:sz w:val="20"/>
              </w:rPr>
              <w:t> </w:t>
            </w:r>
            <w:r>
              <w:rPr>
                <w:sz w:val="20"/>
              </w:rPr>
              <w:t>Q21.9,</w:t>
            </w:r>
            <w:r>
              <w:rPr>
                <w:spacing w:val="-6"/>
                <w:sz w:val="20"/>
              </w:rPr>
              <w:t> </w:t>
            </w:r>
            <w:r>
              <w:rPr>
                <w:spacing w:val="-4"/>
                <w:sz w:val="20"/>
              </w:rPr>
              <w:t>Q22,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395"/>
              <w:rPr>
                <w:sz w:val="20"/>
              </w:rPr>
            </w:pPr>
            <w:r>
              <w:rPr>
                <w:sz w:val="20"/>
              </w:rPr>
              <w:t>Q22.0,</w:t>
            </w:r>
            <w:r>
              <w:rPr>
                <w:spacing w:val="-4"/>
                <w:sz w:val="20"/>
              </w:rPr>
              <w:t> </w:t>
            </w:r>
            <w:r>
              <w:rPr>
                <w:sz w:val="20"/>
              </w:rPr>
              <w:t>Q22.1,</w:t>
            </w:r>
            <w:r>
              <w:rPr>
                <w:spacing w:val="-5"/>
                <w:sz w:val="20"/>
              </w:rPr>
              <w:t> </w:t>
            </w:r>
            <w:r>
              <w:rPr>
                <w:sz w:val="20"/>
              </w:rPr>
              <w:t>Q22.2,</w:t>
            </w:r>
            <w:r>
              <w:rPr>
                <w:spacing w:val="-3"/>
                <w:sz w:val="20"/>
              </w:rPr>
              <w:t> </w:t>
            </w:r>
            <w:r>
              <w:rPr>
                <w:sz w:val="20"/>
              </w:rPr>
              <w:t>Q22.3,</w:t>
            </w:r>
            <w:r>
              <w:rPr>
                <w:spacing w:val="-5"/>
                <w:sz w:val="20"/>
              </w:rPr>
              <w:t> </w:t>
            </w:r>
            <w:r>
              <w:rPr>
                <w:sz w:val="20"/>
              </w:rPr>
              <w:t>Q22.4,</w:t>
            </w:r>
            <w:r>
              <w:rPr>
                <w:spacing w:val="-4"/>
                <w:sz w:val="20"/>
              </w:rPr>
              <w:t> </w:t>
            </w:r>
            <w:r>
              <w:rPr>
                <w:spacing w:val="-2"/>
                <w:sz w:val="20"/>
              </w:rPr>
              <w:t>Q22.5,</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395"/>
              <w:rPr>
                <w:sz w:val="20"/>
              </w:rPr>
            </w:pPr>
            <w:r>
              <w:rPr>
                <w:sz w:val="20"/>
              </w:rPr>
              <w:t>Q24.2,</w:t>
            </w:r>
            <w:r>
              <w:rPr>
                <w:spacing w:val="-4"/>
                <w:sz w:val="20"/>
              </w:rPr>
              <w:t> </w:t>
            </w:r>
            <w:r>
              <w:rPr>
                <w:sz w:val="20"/>
              </w:rPr>
              <w:t>Q24.3,</w:t>
            </w:r>
            <w:r>
              <w:rPr>
                <w:spacing w:val="-6"/>
                <w:sz w:val="20"/>
              </w:rPr>
              <w:t> </w:t>
            </w:r>
            <w:r>
              <w:rPr>
                <w:sz w:val="20"/>
              </w:rPr>
              <w:t>Q24.4,</w:t>
            </w:r>
            <w:r>
              <w:rPr>
                <w:spacing w:val="-4"/>
                <w:sz w:val="20"/>
              </w:rPr>
              <w:t> </w:t>
            </w:r>
            <w:r>
              <w:rPr>
                <w:sz w:val="20"/>
              </w:rPr>
              <w:t>Q24.5,</w:t>
            </w:r>
            <w:r>
              <w:rPr>
                <w:spacing w:val="-6"/>
                <w:sz w:val="20"/>
              </w:rPr>
              <w:t> </w:t>
            </w:r>
            <w:r>
              <w:rPr>
                <w:sz w:val="20"/>
              </w:rPr>
              <w:t>Q24.6,</w:t>
            </w:r>
            <w:r>
              <w:rPr>
                <w:spacing w:val="-4"/>
                <w:sz w:val="20"/>
              </w:rPr>
              <w:t> </w:t>
            </w:r>
            <w:r>
              <w:rPr>
                <w:spacing w:val="-2"/>
                <w:sz w:val="20"/>
              </w:rPr>
              <w:t>Q24.8,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Q24.9,</w:t>
            </w:r>
            <w:r>
              <w:rPr>
                <w:spacing w:val="-6"/>
                <w:sz w:val="20"/>
              </w:rPr>
              <w:t> </w:t>
            </w:r>
            <w:r>
              <w:rPr>
                <w:sz w:val="20"/>
              </w:rPr>
              <w:t>Q25,</w:t>
            </w:r>
            <w:r>
              <w:rPr>
                <w:spacing w:val="-6"/>
                <w:sz w:val="20"/>
              </w:rPr>
              <w:t> </w:t>
            </w:r>
            <w:r>
              <w:rPr>
                <w:sz w:val="20"/>
              </w:rPr>
              <w:t>Q25.0,</w:t>
            </w:r>
            <w:r>
              <w:rPr>
                <w:spacing w:val="-5"/>
                <w:sz w:val="20"/>
              </w:rPr>
              <w:t> </w:t>
            </w:r>
            <w:r>
              <w:rPr>
                <w:sz w:val="20"/>
              </w:rPr>
              <w:t>Q25.1,</w:t>
            </w:r>
            <w:r>
              <w:rPr>
                <w:spacing w:val="-6"/>
                <w:sz w:val="20"/>
              </w:rPr>
              <w:t> </w:t>
            </w:r>
            <w:r>
              <w:rPr>
                <w:sz w:val="20"/>
              </w:rPr>
              <w:t>Q25.2,</w:t>
            </w:r>
            <w:r>
              <w:rPr>
                <w:spacing w:val="-5"/>
                <w:sz w:val="20"/>
              </w:rPr>
              <w:t> </w:t>
            </w:r>
            <w:r>
              <w:rPr>
                <w:sz w:val="20"/>
              </w:rPr>
              <w:t>Q25.3,</w:t>
            </w:r>
            <w:r>
              <w:rPr>
                <w:spacing w:val="-6"/>
                <w:sz w:val="20"/>
              </w:rPr>
              <w:t> </w:t>
            </w:r>
            <w:r>
              <w:rPr>
                <w:spacing w:val="-2"/>
                <w:sz w:val="20"/>
              </w:rPr>
              <w:t>Q25.4,</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1" w:lineRule="exact"/>
              <w:ind w:right="285"/>
              <w:jc w:val="right"/>
              <w:rPr>
                <w:sz w:val="20"/>
              </w:rPr>
            </w:pPr>
            <w:r>
              <w:rPr>
                <w:sz w:val="20"/>
              </w:rPr>
              <w:t>Q25.5,</w:t>
            </w:r>
            <w:r>
              <w:rPr>
                <w:spacing w:val="-4"/>
                <w:sz w:val="20"/>
              </w:rPr>
              <w:t> </w:t>
            </w:r>
            <w:r>
              <w:rPr>
                <w:sz w:val="20"/>
              </w:rPr>
              <w:t>Q25.6,</w:t>
            </w:r>
            <w:r>
              <w:rPr>
                <w:spacing w:val="-6"/>
                <w:sz w:val="20"/>
              </w:rPr>
              <w:t> </w:t>
            </w:r>
            <w:r>
              <w:rPr>
                <w:sz w:val="20"/>
              </w:rPr>
              <w:t>Q25.7,</w:t>
            </w:r>
            <w:r>
              <w:rPr>
                <w:spacing w:val="-4"/>
                <w:sz w:val="20"/>
              </w:rPr>
              <w:t> </w:t>
            </w:r>
            <w:r>
              <w:rPr>
                <w:sz w:val="20"/>
              </w:rPr>
              <w:t>Q25.8,</w:t>
            </w:r>
            <w:r>
              <w:rPr>
                <w:spacing w:val="-6"/>
                <w:sz w:val="20"/>
              </w:rPr>
              <w:t> </w:t>
            </w:r>
            <w:r>
              <w:rPr>
                <w:sz w:val="20"/>
              </w:rPr>
              <w:t>Q25.9,</w:t>
            </w:r>
            <w:r>
              <w:rPr>
                <w:spacing w:val="-4"/>
                <w:sz w:val="20"/>
              </w:rPr>
              <w:t> </w:t>
            </w:r>
            <w:r>
              <w:rPr>
                <w:sz w:val="20"/>
              </w:rPr>
              <w:t>Q26,</w:t>
            </w:r>
            <w:r>
              <w:rPr>
                <w:spacing w:val="-4"/>
                <w:sz w:val="20"/>
              </w:rPr>
              <w:t> </w:t>
            </w:r>
            <w:r>
              <w:rPr>
                <w:spacing w:val="-2"/>
                <w:sz w:val="20"/>
              </w:rPr>
              <w:t>Q26.0,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1" w:lineRule="exact"/>
              <w:ind w:left="395"/>
              <w:rPr>
                <w:sz w:val="20"/>
              </w:rPr>
            </w:pPr>
            <w:r>
              <w:rPr>
                <w:sz w:val="20"/>
              </w:rPr>
              <w:t>Q26.1,</w:t>
            </w:r>
            <w:r>
              <w:rPr>
                <w:spacing w:val="-4"/>
                <w:sz w:val="20"/>
              </w:rPr>
              <w:t> </w:t>
            </w:r>
            <w:r>
              <w:rPr>
                <w:sz w:val="20"/>
              </w:rPr>
              <w:t>Q26.2,</w:t>
            </w:r>
            <w:r>
              <w:rPr>
                <w:spacing w:val="-4"/>
                <w:sz w:val="20"/>
              </w:rPr>
              <w:t> </w:t>
            </w:r>
            <w:r>
              <w:rPr>
                <w:sz w:val="20"/>
              </w:rPr>
              <w:t>Q26.3,</w:t>
            </w:r>
            <w:r>
              <w:rPr>
                <w:spacing w:val="-4"/>
                <w:sz w:val="20"/>
              </w:rPr>
              <w:t> </w:t>
            </w:r>
            <w:r>
              <w:rPr>
                <w:sz w:val="20"/>
              </w:rPr>
              <w:t>Q26.4,</w:t>
            </w:r>
            <w:r>
              <w:rPr>
                <w:spacing w:val="-6"/>
                <w:sz w:val="20"/>
              </w:rPr>
              <w:t> </w:t>
            </w:r>
            <w:r>
              <w:rPr>
                <w:sz w:val="20"/>
              </w:rPr>
              <w:t>Q26.5,</w:t>
            </w:r>
            <w:r>
              <w:rPr>
                <w:spacing w:val="-4"/>
                <w:sz w:val="20"/>
              </w:rPr>
              <w:t> </w:t>
            </w:r>
            <w:r>
              <w:rPr>
                <w:spacing w:val="-2"/>
                <w:sz w:val="20"/>
              </w:rPr>
              <w:t>Q26.6,</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Q26.8,</w:t>
            </w:r>
            <w:r>
              <w:rPr>
                <w:spacing w:val="-6"/>
                <w:sz w:val="20"/>
              </w:rPr>
              <w:t> </w:t>
            </w:r>
            <w:r>
              <w:rPr>
                <w:sz w:val="20"/>
              </w:rPr>
              <w:t>Q26.9,</w:t>
            </w:r>
            <w:r>
              <w:rPr>
                <w:spacing w:val="-7"/>
                <w:sz w:val="20"/>
              </w:rPr>
              <w:t> </w:t>
            </w:r>
            <w:r>
              <w:rPr>
                <w:sz w:val="20"/>
              </w:rPr>
              <w:t>Q27,</w:t>
            </w:r>
            <w:r>
              <w:rPr>
                <w:spacing w:val="-5"/>
                <w:sz w:val="20"/>
              </w:rPr>
              <w:t> </w:t>
            </w:r>
            <w:r>
              <w:rPr>
                <w:sz w:val="20"/>
              </w:rPr>
              <w:t>Q27.0,</w:t>
            </w:r>
            <w:r>
              <w:rPr>
                <w:spacing w:val="-5"/>
                <w:sz w:val="20"/>
              </w:rPr>
              <w:t> </w:t>
            </w:r>
            <w:r>
              <w:rPr>
                <w:sz w:val="20"/>
              </w:rPr>
              <w:t>Q27.1,</w:t>
            </w:r>
            <w:r>
              <w:rPr>
                <w:spacing w:val="-5"/>
                <w:sz w:val="20"/>
              </w:rPr>
              <w:t> </w:t>
            </w:r>
            <w:r>
              <w:rPr>
                <w:sz w:val="20"/>
              </w:rPr>
              <w:t>Q27.2,</w:t>
            </w:r>
            <w:r>
              <w:rPr>
                <w:spacing w:val="-6"/>
                <w:sz w:val="20"/>
              </w:rPr>
              <w:t> </w:t>
            </w:r>
            <w:r>
              <w:rPr>
                <w:spacing w:val="-2"/>
                <w:sz w:val="20"/>
              </w:rPr>
              <w:t>Q27.3,</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Q27.4,</w:t>
            </w:r>
            <w:r>
              <w:rPr>
                <w:spacing w:val="-6"/>
                <w:sz w:val="20"/>
              </w:rPr>
              <w:t> </w:t>
            </w:r>
            <w:r>
              <w:rPr>
                <w:sz w:val="20"/>
              </w:rPr>
              <w:t>Q27.8,</w:t>
            </w:r>
            <w:r>
              <w:rPr>
                <w:spacing w:val="-6"/>
                <w:sz w:val="20"/>
              </w:rPr>
              <w:t> </w:t>
            </w:r>
            <w:r>
              <w:rPr>
                <w:sz w:val="20"/>
              </w:rPr>
              <w:t>Q27.9,</w:t>
            </w:r>
            <w:r>
              <w:rPr>
                <w:spacing w:val="-5"/>
                <w:sz w:val="20"/>
              </w:rPr>
              <w:t> </w:t>
            </w:r>
            <w:r>
              <w:rPr>
                <w:sz w:val="20"/>
              </w:rPr>
              <w:t>Q28,</w:t>
            </w:r>
            <w:r>
              <w:rPr>
                <w:spacing w:val="-6"/>
                <w:sz w:val="20"/>
              </w:rPr>
              <w:t> </w:t>
            </w:r>
            <w:r>
              <w:rPr>
                <w:sz w:val="20"/>
              </w:rPr>
              <w:t>Q28.0,</w:t>
            </w:r>
            <w:r>
              <w:rPr>
                <w:spacing w:val="-5"/>
                <w:sz w:val="20"/>
              </w:rPr>
              <w:t> </w:t>
            </w:r>
            <w:r>
              <w:rPr>
                <w:sz w:val="20"/>
              </w:rPr>
              <w:t>Q28.1,</w:t>
            </w:r>
            <w:r>
              <w:rPr>
                <w:spacing w:val="-5"/>
                <w:sz w:val="20"/>
              </w:rPr>
              <w:t> </w:t>
            </w:r>
            <w:r>
              <w:rPr>
                <w:spacing w:val="-2"/>
                <w:sz w:val="20"/>
              </w:rPr>
              <w:t>Q28.2,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306"/>
              <w:jc w:val="right"/>
              <w:rPr>
                <w:sz w:val="20"/>
              </w:rPr>
            </w:pPr>
            <w:r>
              <w:rPr>
                <w:sz w:val="20"/>
              </w:rPr>
              <w:t>Q28.3,</w:t>
            </w:r>
            <w:r>
              <w:rPr>
                <w:spacing w:val="-5"/>
                <w:sz w:val="20"/>
              </w:rPr>
              <w:t> </w:t>
            </w:r>
            <w:r>
              <w:rPr>
                <w:sz w:val="20"/>
              </w:rPr>
              <w:t>Q28.8,</w:t>
            </w:r>
            <w:r>
              <w:rPr>
                <w:spacing w:val="-6"/>
                <w:sz w:val="20"/>
              </w:rPr>
              <w:t> </w:t>
            </w:r>
            <w:r>
              <w:rPr>
                <w:sz w:val="20"/>
              </w:rPr>
              <w:t>Q28.9,</w:t>
            </w:r>
            <w:r>
              <w:rPr>
                <w:spacing w:val="-4"/>
                <w:sz w:val="20"/>
              </w:rPr>
              <w:t> </w:t>
            </w:r>
            <w:r>
              <w:rPr>
                <w:sz w:val="20"/>
              </w:rPr>
              <w:t>R00,</w:t>
            </w:r>
            <w:r>
              <w:rPr>
                <w:spacing w:val="-5"/>
                <w:sz w:val="20"/>
              </w:rPr>
              <w:t> </w:t>
            </w:r>
            <w:r>
              <w:rPr>
                <w:sz w:val="20"/>
              </w:rPr>
              <w:t>R00.0,</w:t>
            </w:r>
            <w:r>
              <w:rPr>
                <w:spacing w:val="-4"/>
                <w:sz w:val="20"/>
              </w:rPr>
              <w:t> </w:t>
            </w:r>
            <w:r>
              <w:rPr>
                <w:sz w:val="20"/>
              </w:rPr>
              <w:t>R00.1,</w:t>
            </w:r>
            <w:r>
              <w:rPr>
                <w:spacing w:val="-4"/>
                <w:sz w:val="20"/>
              </w:rPr>
              <w:t> </w:t>
            </w:r>
            <w:r>
              <w:rPr>
                <w:spacing w:val="-2"/>
                <w:sz w:val="20"/>
              </w:rPr>
              <w:t>R00.2,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286"/>
              <w:rPr>
                <w:sz w:val="20"/>
              </w:rPr>
            </w:pPr>
            <w:r>
              <w:rPr>
                <w:sz w:val="20"/>
              </w:rPr>
              <w:t>R00.8,</w:t>
            </w:r>
            <w:r>
              <w:rPr>
                <w:spacing w:val="-7"/>
                <w:sz w:val="20"/>
              </w:rPr>
              <w:t> </w:t>
            </w:r>
            <w:r>
              <w:rPr>
                <w:sz w:val="20"/>
              </w:rPr>
              <w:t>R01,</w:t>
            </w:r>
            <w:r>
              <w:rPr>
                <w:spacing w:val="-5"/>
                <w:sz w:val="20"/>
              </w:rPr>
              <w:t> </w:t>
            </w:r>
            <w:r>
              <w:rPr>
                <w:sz w:val="20"/>
              </w:rPr>
              <w:t>R01.0,</w:t>
            </w:r>
            <w:r>
              <w:rPr>
                <w:spacing w:val="-4"/>
                <w:sz w:val="20"/>
              </w:rPr>
              <w:t> </w:t>
            </w:r>
            <w:r>
              <w:rPr>
                <w:sz w:val="20"/>
              </w:rPr>
              <w:t>R01.1,</w:t>
            </w:r>
            <w:r>
              <w:rPr>
                <w:spacing w:val="-5"/>
                <w:sz w:val="20"/>
              </w:rPr>
              <w:t> </w:t>
            </w:r>
            <w:r>
              <w:rPr>
                <w:sz w:val="20"/>
              </w:rPr>
              <w:t>R01.2,</w:t>
            </w:r>
            <w:r>
              <w:rPr>
                <w:spacing w:val="-4"/>
                <w:sz w:val="20"/>
              </w:rPr>
              <w:t> </w:t>
            </w:r>
            <w:r>
              <w:rPr>
                <w:sz w:val="20"/>
              </w:rPr>
              <w:t>R03,</w:t>
            </w:r>
            <w:r>
              <w:rPr>
                <w:spacing w:val="-6"/>
                <w:sz w:val="20"/>
              </w:rPr>
              <w:t> </w:t>
            </w:r>
            <w:r>
              <w:rPr>
                <w:spacing w:val="-2"/>
                <w:sz w:val="20"/>
              </w:rPr>
              <w:t>R03.0,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286"/>
              <w:rPr>
                <w:sz w:val="20"/>
              </w:rPr>
            </w:pPr>
            <w:r>
              <w:rPr>
                <w:sz w:val="20"/>
              </w:rPr>
              <w:t>R03.1,</w:t>
            </w:r>
            <w:r>
              <w:rPr>
                <w:spacing w:val="-5"/>
                <w:sz w:val="20"/>
              </w:rPr>
              <w:t> </w:t>
            </w:r>
            <w:r>
              <w:rPr>
                <w:sz w:val="20"/>
              </w:rPr>
              <w:t>R07.2,</w:t>
            </w:r>
            <w:r>
              <w:rPr>
                <w:spacing w:val="-4"/>
                <w:sz w:val="20"/>
              </w:rPr>
              <w:t> </w:t>
            </w:r>
            <w:r>
              <w:rPr>
                <w:sz w:val="20"/>
              </w:rPr>
              <w:t>R07.4,</w:t>
            </w:r>
            <w:r>
              <w:rPr>
                <w:spacing w:val="-4"/>
                <w:sz w:val="20"/>
              </w:rPr>
              <w:t> </w:t>
            </w:r>
            <w:r>
              <w:rPr>
                <w:sz w:val="20"/>
              </w:rPr>
              <w:t>R09.8,</w:t>
            </w:r>
            <w:r>
              <w:rPr>
                <w:spacing w:val="-8"/>
                <w:sz w:val="20"/>
              </w:rPr>
              <w:t> </w:t>
            </w:r>
            <w:r>
              <w:rPr>
                <w:sz w:val="20"/>
              </w:rPr>
              <w:t>R55,</w:t>
            </w:r>
            <w:r>
              <w:rPr>
                <w:spacing w:val="-5"/>
                <w:sz w:val="20"/>
              </w:rPr>
              <w:t> </w:t>
            </w:r>
            <w:r>
              <w:rPr>
                <w:sz w:val="20"/>
              </w:rPr>
              <w:t>R57.0,</w:t>
            </w:r>
            <w:r>
              <w:rPr>
                <w:spacing w:val="-4"/>
                <w:sz w:val="20"/>
              </w:rPr>
              <w:t> R58,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0"/>
              <w:jc w:val="right"/>
              <w:rPr>
                <w:sz w:val="20"/>
              </w:rPr>
            </w:pPr>
            <w:r>
              <w:rPr>
                <w:sz w:val="20"/>
              </w:rPr>
              <w:t>R93.1,</w:t>
            </w:r>
            <w:r>
              <w:rPr>
                <w:spacing w:val="-5"/>
                <w:sz w:val="20"/>
              </w:rPr>
              <w:t> </w:t>
            </w:r>
            <w:r>
              <w:rPr>
                <w:sz w:val="20"/>
              </w:rPr>
              <w:t>R94.3,</w:t>
            </w:r>
            <w:r>
              <w:rPr>
                <w:spacing w:val="-5"/>
                <w:sz w:val="20"/>
              </w:rPr>
              <w:t> </w:t>
            </w:r>
            <w:r>
              <w:rPr>
                <w:sz w:val="20"/>
              </w:rPr>
              <w:t>S26,</w:t>
            </w:r>
            <w:r>
              <w:rPr>
                <w:spacing w:val="-5"/>
                <w:sz w:val="20"/>
              </w:rPr>
              <w:t> </w:t>
            </w:r>
            <w:r>
              <w:rPr>
                <w:sz w:val="20"/>
              </w:rPr>
              <w:t>S26.0,</w:t>
            </w:r>
            <w:r>
              <w:rPr>
                <w:spacing w:val="-7"/>
                <w:sz w:val="20"/>
              </w:rPr>
              <w:t> </w:t>
            </w:r>
            <w:r>
              <w:rPr>
                <w:sz w:val="20"/>
              </w:rPr>
              <w:t>S26.00,</w:t>
            </w:r>
            <w:r>
              <w:rPr>
                <w:spacing w:val="-5"/>
                <w:sz w:val="20"/>
              </w:rPr>
              <w:t> </w:t>
            </w:r>
            <w:r>
              <w:rPr>
                <w:sz w:val="20"/>
              </w:rPr>
              <w:t>S26.01,</w:t>
            </w:r>
            <w:r>
              <w:rPr>
                <w:spacing w:val="-7"/>
                <w:sz w:val="20"/>
              </w:rPr>
              <w:t> </w:t>
            </w:r>
            <w:r>
              <w:rPr>
                <w:spacing w:val="-2"/>
                <w:sz w:val="20"/>
              </w:rPr>
              <w:t>S26.8,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left="363"/>
              <w:rPr>
                <w:sz w:val="20"/>
              </w:rPr>
            </w:pPr>
            <w:r>
              <w:rPr>
                <w:sz w:val="20"/>
              </w:rPr>
              <w:t>S26.80,</w:t>
            </w:r>
            <w:r>
              <w:rPr>
                <w:spacing w:val="-7"/>
                <w:sz w:val="20"/>
              </w:rPr>
              <w:t> </w:t>
            </w:r>
            <w:r>
              <w:rPr>
                <w:sz w:val="20"/>
              </w:rPr>
              <w:t>S26.81,</w:t>
            </w:r>
            <w:r>
              <w:rPr>
                <w:spacing w:val="-6"/>
                <w:sz w:val="20"/>
              </w:rPr>
              <w:t> </w:t>
            </w:r>
            <w:r>
              <w:rPr>
                <w:sz w:val="20"/>
              </w:rPr>
              <w:t>S26.9,</w:t>
            </w:r>
            <w:r>
              <w:rPr>
                <w:spacing w:val="-7"/>
                <w:sz w:val="20"/>
              </w:rPr>
              <w:t> </w:t>
            </w:r>
            <w:r>
              <w:rPr>
                <w:sz w:val="20"/>
              </w:rPr>
              <w:t>S26.90,</w:t>
            </w:r>
            <w:r>
              <w:rPr>
                <w:spacing w:val="-6"/>
                <w:sz w:val="20"/>
              </w:rPr>
              <w:t> </w:t>
            </w:r>
            <w:r>
              <w:rPr>
                <w:sz w:val="20"/>
              </w:rPr>
              <w:t>S26.91,</w:t>
            </w:r>
            <w:r>
              <w:rPr>
                <w:spacing w:val="-8"/>
                <w:sz w:val="20"/>
              </w:rPr>
              <w:t> </w:t>
            </w:r>
            <w:r>
              <w:rPr>
                <w:spacing w:val="-4"/>
                <w:sz w:val="20"/>
              </w:rPr>
              <w:t>T82,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T82.0,</w:t>
            </w:r>
            <w:r>
              <w:rPr>
                <w:spacing w:val="-7"/>
                <w:sz w:val="20"/>
              </w:rPr>
              <w:t> </w:t>
            </w:r>
            <w:r>
              <w:rPr>
                <w:sz w:val="20"/>
              </w:rPr>
              <w:t>T82.1,</w:t>
            </w:r>
            <w:r>
              <w:rPr>
                <w:spacing w:val="-5"/>
                <w:sz w:val="20"/>
              </w:rPr>
              <w:t> </w:t>
            </w:r>
            <w:r>
              <w:rPr>
                <w:sz w:val="20"/>
              </w:rPr>
              <w:t>T82.2,</w:t>
            </w:r>
            <w:r>
              <w:rPr>
                <w:spacing w:val="-5"/>
                <w:sz w:val="20"/>
              </w:rPr>
              <w:t> </w:t>
            </w:r>
            <w:r>
              <w:rPr>
                <w:sz w:val="20"/>
              </w:rPr>
              <w:t>T82.3,</w:t>
            </w:r>
            <w:r>
              <w:rPr>
                <w:spacing w:val="-5"/>
                <w:sz w:val="20"/>
              </w:rPr>
              <w:t> </w:t>
            </w:r>
            <w:r>
              <w:rPr>
                <w:sz w:val="20"/>
              </w:rPr>
              <w:t>T82.4,</w:t>
            </w:r>
            <w:r>
              <w:rPr>
                <w:spacing w:val="-5"/>
                <w:sz w:val="20"/>
              </w:rPr>
              <w:t> </w:t>
            </w:r>
            <w:r>
              <w:rPr>
                <w:sz w:val="20"/>
              </w:rPr>
              <w:t>T82.7,</w:t>
            </w:r>
            <w:r>
              <w:rPr>
                <w:spacing w:val="-5"/>
                <w:sz w:val="20"/>
              </w:rPr>
              <w:t> </w:t>
            </w:r>
            <w:r>
              <w:rPr>
                <w:spacing w:val="-2"/>
                <w:sz w:val="20"/>
              </w:rPr>
              <w:t>T82.8,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26" w:lineRule="exact"/>
              <w:ind w:left="1622" w:right="1726"/>
              <w:jc w:val="center"/>
              <w:rPr>
                <w:sz w:val="20"/>
              </w:rPr>
            </w:pPr>
            <w:r>
              <w:rPr>
                <w:sz w:val="20"/>
              </w:rPr>
              <w:t>T82.9,</w:t>
            </w:r>
            <w:r>
              <w:rPr>
                <w:spacing w:val="-7"/>
                <w:sz w:val="20"/>
              </w:rPr>
              <w:t> </w:t>
            </w:r>
            <w:r>
              <w:rPr>
                <w:spacing w:val="-2"/>
                <w:sz w:val="20"/>
              </w:rPr>
              <w:t>T85.8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1003" w:type="dxa"/>
          </w:tcPr>
          <w:p>
            <w:pPr>
              <w:pStyle w:val="TableParagraph"/>
              <w:spacing w:line="214" w:lineRule="exact" w:before="46"/>
              <w:ind w:left="50"/>
              <w:rPr>
                <w:sz w:val="20"/>
              </w:rPr>
            </w:pPr>
            <w:r>
              <w:rPr>
                <w:spacing w:val="-2"/>
                <w:sz w:val="20"/>
              </w:rPr>
              <w:t>ds13.002</w:t>
            </w:r>
          </w:p>
        </w:tc>
        <w:tc>
          <w:tcPr>
            <w:tcW w:w="645" w:type="dxa"/>
          </w:tcPr>
          <w:p>
            <w:pPr>
              <w:pStyle w:val="TableParagraph"/>
              <w:spacing w:line="214" w:lineRule="exact" w:before="46"/>
              <w:ind w:left="211" w:right="203"/>
              <w:jc w:val="center"/>
              <w:rPr>
                <w:sz w:val="20"/>
              </w:rPr>
            </w:pPr>
            <w:r>
              <w:rPr>
                <w:spacing w:val="-5"/>
                <w:sz w:val="20"/>
              </w:rPr>
              <w:t>38</w:t>
            </w:r>
          </w:p>
        </w:tc>
        <w:tc>
          <w:tcPr>
            <w:tcW w:w="2592" w:type="dxa"/>
          </w:tcPr>
          <w:p>
            <w:pPr>
              <w:pStyle w:val="TableParagraph"/>
              <w:spacing w:line="214" w:lineRule="exact" w:before="46"/>
              <w:ind w:left="219"/>
              <w:rPr>
                <w:sz w:val="20"/>
              </w:rPr>
            </w:pPr>
            <w:r>
              <w:rPr>
                <w:sz w:val="20"/>
              </w:rPr>
              <w:t>Болезни</w:t>
            </w:r>
            <w:r>
              <w:rPr>
                <w:spacing w:val="-9"/>
                <w:sz w:val="20"/>
              </w:rPr>
              <w:t> </w:t>
            </w:r>
            <w:r>
              <w:rPr>
                <w:spacing w:val="-2"/>
                <w:sz w:val="20"/>
              </w:rPr>
              <w:t>системы</w:t>
            </w:r>
          </w:p>
        </w:tc>
        <w:tc>
          <w:tcPr>
            <w:tcW w:w="4417" w:type="dxa"/>
          </w:tcPr>
          <w:p>
            <w:pPr>
              <w:pStyle w:val="TableParagraph"/>
              <w:spacing w:line="214" w:lineRule="exact" w:before="46"/>
              <w:ind w:left="263"/>
              <w:rPr>
                <w:sz w:val="20"/>
              </w:rPr>
            </w:pPr>
            <w:r>
              <w:rPr>
                <w:sz w:val="20"/>
              </w:rPr>
              <w:t>I01,</w:t>
            </w:r>
            <w:r>
              <w:rPr>
                <w:spacing w:val="-5"/>
                <w:sz w:val="20"/>
              </w:rPr>
              <w:t> </w:t>
            </w:r>
            <w:r>
              <w:rPr>
                <w:sz w:val="20"/>
              </w:rPr>
              <w:t>I01.0,</w:t>
            </w:r>
            <w:r>
              <w:rPr>
                <w:spacing w:val="-5"/>
                <w:sz w:val="20"/>
              </w:rPr>
              <w:t> </w:t>
            </w:r>
            <w:r>
              <w:rPr>
                <w:sz w:val="20"/>
              </w:rPr>
              <w:t>I01.1,</w:t>
            </w:r>
            <w:r>
              <w:rPr>
                <w:spacing w:val="-4"/>
                <w:sz w:val="20"/>
              </w:rPr>
              <w:t> </w:t>
            </w:r>
            <w:r>
              <w:rPr>
                <w:sz w:val="20"/>
              </w:rPr>
              <w:t>I01.2,</w:t>
            </w:r>
            <w:r>
              <w:rPr>
                <w:spacing w:val="-7"/>
                <w:sz w:val="20"/>
              </w:rPr>
              <w:t> </w:t>
            </w:r>
            <w:r>
              <w:rPr>
                <w:sz w:val="20"/>
              </w:rPr>
              <w:t>I01.8,</w:t>
            </w:r>
            <w:r>
              <w:rPr>
                <w:spacing w:val="-6"/>
                <w:sz w:val="20"/>
              </w:rPr>
              <w:t> </w:t>
            </w:r>
            <w:r>
              <w:rPr>
                <w:sz w:val="20"/>
              </w:rPr>
              <w:t>I01.9,</w:t>
            </w:r>
            <w:r>
              <w:rPr>
                <w:spacing w:val="-5"/>
                <w:sz w:val="20"/>
              </w:rPr>
              <w:t> </w:t>
            </w:r>
            <w:r>
              <w:rPr>
                <w:sz w:val="20"/>
              </w:rPr>
              <w:t>I02,</w:t>
            </w:r>
            <w:r>
              <w:rPr>
                <w:spacing w:val="-4"/>
                <w:sz w:val="20"/>
              </w:rPr>
              <w:t> </w:t>
            </w:r>
            <w:r>
              <w:rPr>
                <w:spacing w:val="-2"/>
                <w:sz w:val="20"/>
              </w:rPr>
              <w:t>I02.0,</w:t>
            </w:r>
          </w:p>
        </w:tc>
        <w:tc>
          <w:tcPr>
            <w:tcW w:w="3703" w:type="dxa"/>
          </w:tcPr>
          <w:p>
            <w:pPr>
              <w:pStyle w:val="TableParagraph"/>
              <w:spacing w:line="214" w:lineRule="exact" w:before="46"/>
              <w:ind w:left="273" w:right="741"/>
              <w:jc w:val="center"/>
              <w:rPr>
                <w:sz w:val="20"/>
              </w:rPr>
            </w:pPr>
            <w:r>
              <w:rPr>
                <w:w w:val="95"/>
                <w:sz w:val="20"/>
              </w:rPr>
              <w:t>A04.10.002.001,</w:t>
            </w:r>
            <w:r>
              <w:rPr>
                <w:spacing w:val="54"/>
                <w:sz w:val="20"/>
              </w:rPr>
              <w:t> </w:t>
            </w:r>
            <w:r>
              <w:rPr>
                <w:spacing w:val="-2"/>
                <w:sz w:val="20"/>
              </w:rPr>
              <w:t>A06.10.006,</w:t>
            </w:r>
          </w:p>
        </w:tc>
        <w:tc>
          <w:tcPr>
            <w:tcW w:w="1672" w:type="dxa"/>
          </w:tcPr>
          <w:p>
            <w:pPr>
              <w:pStyle w:val="TableParagraph"/>
              <w:spacing w:line="214" w:lineRule="exact" w:before="46"/>
              <w:ind w:right="107"/>
              <w:jc w:val="center"/>
              <w:rPr>
                <w:sz w:val="20"/>
              </w:rPr>
            </w:pPr>
            <w:r>
              <w:rPr>
                <w:w w:val="99"/>
                <w:sz w:val="20"/>
              </w:rPr>
              <w:t>-</w:t>
            </w:r>
          </w:p>
        </w:tc>
        <w:tc>
          <w:tcPr>
            <w:tcW w:w="1261" w:type="dxa"/>
          </w:tcPr>
          <w:p>
            <w:pPr>
              <w:pStyle w:val="TableParagraph"/>
              <w:spacing w:line="214" w:lineRule="exact" w:before="46"/>
              <w:ind w:right="46"/>
              <w:jc w:val="right"/>
              <w:rPr>
                <w:sz w:val="20"/>
              </w:rPr>
            </w:pPr>
            <w:r>
              <w:rPr>
                <w:spacing w:val="-4"/>
                <w:sz w:val="20"/>
              </w:rPr>
              <w:t>3,39</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09" w:lineRule="exact"/>
              <w:ind w:left="219"/>
              <w:rPr>
                <w:sz w:val="20"/>
              </w:rPr>
            </w:pPr>
            <w:r>
              <w:rPr>
                <w:w w:val="95"/>
                <w:sz w:val="20"/>
              </w:rPr>
              <w:t>кровообращения</w:t>
            </w:r>
            <w:r>
              <w:rPr>
                <w:spacing w:val="55"/>
                <w:sz w:val="20"/>
              </w:rPr>
              <w:t> </w:t>
            </w:r>
            <w:r>
              <w:rPr>
                <w:spacing w:val="-10"/>
                <w:sz w:val="20"/>
              </w:rPr>
              <w:t>с</w:t>
            </w:r>
          </w:p>
        </w:tc>
        <w:tc>
          <w:tcPr>
            <w:tcW w:w="4417" w:type="dxa"/>
          </w:tcPr>
          <w:p>
            <w:pPr>
              <w:pStyle w:val="TableParagraph"/>
              <w:spacing w:line="209" w:lineRule="exact"/>
              <w:ind w:left="263"/>
              <w:rPr>
                <w:sz w:val="20"/>
              </w:rPr>
            </w:pPr>
            <w:r>
              <w:rPr>
                <w:sz w:val="20"/>
              </w:rPr>
              <w:t>I02.9,</w:t>
            </w:r>
            <w:r>
              <w:rPr>
                <w:spacing w:val="-5"/>
                <w:sz w:val="20"/>
              </w:rPr>
              <w:t> </w:t>
            </w:r>
            <w:r>
              <w:rPr>
                <w:sz w:val="20"/>
              </w:rPr>
              <w:t>I05,</w:t>
            </w:r>
            <w:r>
              <w:rPr>
                <w:spacing w:val="-5"/>
                <w:sz w:val="20"/>
              </w:rPr>
              <w:t> </w:t>
            </w:r>
            <w:r>
              <w:rPr>
                <w:sz w:val="20"/>
              </w:rPr>
              <w:t>I05.0,</w:t>
            </w:r>
            <w:r>
              <w:rPr>
                <w:spacing w:val="-5"/>
                <w:sz w:val="20"/>
              </w:rPr>
              <w:t> </w:t>
            </w:r>
            <w:r>
              <w:rPr>
                <w:sz w:val="20"/>
              </w:rPr>
              <w:t>I05.1,</w:t>
            </w:r>
            <w:r>
              <w:rPr>
                <w:spacing w:val="-7"/>
                <w:sz w:val="20"/>
              </w:rPr>
              <w:t> </w:t>
            </w:r>
            <w:r>
              <w:rPr>
                <w:sz w:val="20"/>
              </w:rPr>
              <w:t>I05.2,</w:t>
            </w:r>
            <w:r>
              <w:rPr>
                <w:spacing w:val="-7"/>
                <w:sz w:val="20"/>
              </w:rPr>
              <w:t> </w:t>
            </w:r>
            <w:r>
              <w:rPr>
                <w:sz w:val="20"/>
              </w:rPr>
              <w:t>I05.8,</w:t>
            </w:r>
            <w:r>
              <w:rPr>
                <w:spacing w:val="-5"/>
                <w:sz w:val="20"/>
              </w:rPr>
              <w:t> </w:t>
            </w:r>
            <w:r>
              <w:rPr>
                <w:sz w:val="20"/>
              </w:rPr>
              <w:t>I05.9,</w:t>
            </w:r>
            <w:r>
              <w:rPr>
                <w:spacing w:val="-7"/>
                <w:sz w:val="20"/>
              </w:rPr>
              <w:t> </w:t>
            </w:r>
            <w:r>
              <w:rPr>
                <w:spacing w:val="-4"/>
                <w:sz w:val="20"/>
              </w:rPr>
              <w:t>I06,</w:t>
            </w:r>
          </w:p>
        </w:tc>
        <w:tc>
          <w:tcPr>
            <w:tcW w:w="3703" w:type="dxa"/>
          </w:tcPr>
          <w:p>
            <w:pPr>
              <w:pStyle w:val="TableParagraph"/>
              <w:spacing w:line="209" w:lineRule="exact"/>
              <w:ind w:left="274" w:right="741"/>
              <w:jc w:val="center"/>
              <w:rPr>
                <w:sz w:val="20"/>
              </w:rPr>
            </w:pPr>
            <w:r>
              <w:rPr>
                <w:w w:val="95"/>
                <w:sz w:val="20"/>
              </w:rPr>
              <w:t>A06.10.006.002,</w:t>
            </w:r>
            <w:r>
              <w:rPr>
                <w:spacing w:val="54"/>
                <w:sz w:val="20"/>
              </w:rPr>
              <w:t> </w:t>
            </w:r>
            <w:r>
              <w:rPr>
                <w:spacing w:val="-2"/>
                <w:sz w:val="20"/>
              </w:rPr>
              <w:t>A17.10.002.001</w:t>
            </w: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spacing w:val="-2"/>
                <w:sz w:val="20"/>
              </w:rPr>
              <w:t>применением</w:t>
            </w:r>
            <w:r>
              <w:rPr>
                <w:spacing w:val="9"/>
                <w:sz w:val="20"/>
              </w:rPr>
              <w:t> </w:t>
            </w:r>
            <w:r>
              <w:rPr>
                <w:spacing w:val="-2"/>
                <w:sz w:val="20"/>
              </w:rPr>
              <w:t>инвазивных</w:t>
            </w:r>
          </w:p>
        </w:tc>
        <w:tc>
          <w:tcPr>
            <w:tcW w:w="4417" w:type="dxa"/>
          </w:tcPr>
          <w:p>
            <w:pPr>
              <w:pStyle w:val="TableParagraph"/>
              <w:spacing w:line="210" w:lineRule="exact"/>
              <w:ind w:right="301"/>
              <w:jc w:val="right"/>
              <w:rPr>
                <w:sz w:val="20"/>
              </w:rPr>
            </w:pPr>
            <w:r>
              <w:rPr>
                <w:sz w:val="20"/>
              </w:rPr>
              <w:t>I06.0,</w:t>
            </w:r>
            <w:r>
              <w:rPr>
                <w:spacing w:val="-5"/>
                <w:sz w:val="20"/>
              </w:rPr>
              <w:t> </w:t>
            </w:r>
            <w:r>
              <w:rPr>
                <w:sz w:val="20"/>
              </w:rPr>
              <w:t>I06.1,</w:t>
            </w:r>
            <w:r>
              <w:rPr>
                <w:spacing w:val="-7"/>
                <w:sz w:val="20"/>
              </w:rPr>
              <w:t> </w:t>
            </w:r>
            <w:r>
              <w:rPr>
                <w:sz w:val="20"/>
              </w:rPr>
              <w:t>I06.2,</w:t>
            </w:r>
            <w:r>
              <w:rPr>
                <w:spacing w:val="-5"/>
                <w:sz w:val="20"/>
              </w:rPr>
              <w:t> </w:t>
            </w:r>
            <w:r>
              <w:rPr>
                <w:sz w:val="20"/>
              </w:rPr>
              <w:t>I06.8,</w:t>
            </w:r>
            <w:r>
              <w:rPr>
                <w:spacing w:val="-5"/>
                <w:sz w:val="20"/>
              </w:rPr>
              <w:t> </w:t>
            </w:r>
            <w:r>
              <w:rPr>
                <w:sz w:val="20"/>
              </w:rPr>
              <w:t>I06.9,</w:t>
            </w:r>
            <w:r>
              <w:rPr>
                <w:spacing w:val="-5"/>
                <w:sz w:val="20"/>
              </w:rPr>
              <w:t> </w:t>
            </w:r>
            <w:r>
              <w:rPr>
                <w:sz w:val="20"/>
              </w:rPr>
              <w:t>I07,</w:t>
            </w:r>
            <w:r>
              <w:rPr>
                <w:spacing w:val="-5"/>
                <w:sz w:val="20"/>
              </w:rPr>
              <w:t> </w:t>
            </w:r>
            <w:r>
              <w:rPr>
                <w:sz w:val="20"/>
              </w:rPr>
              <w:t>I07.0,</w:t>
            </w:r>
            <w:r>
              <w:rPr>
                <w:spacing w:val="-7"/>
                <w:sz w:val="20"/>
              </w:rPr>
              <w:t> </w:t>
            </w:r>
            <w:r>
              <w:rPr>
                <w:spacing w:val="-2"/>
                <w:sz w:val="20"/>
              </w:rPr>
              <w:t>I07.1,</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spacing w:val="-2"/>
                <w:sz w:val="20"/>
              </w:rPr>
              <w:t>методов</w:t>
            </w:r>
          </w:p>
        </w:tc>
        <w:tc>
          <w:tcPr>
            <w:tcW w:w="4417" w:type="dxa"/>
          </w:tcPr>
          <w:p>
            <w:pPr>
              <w:pStyle w:val="TableParagraph"/>
              <w:spacing w:line="210" w:lineRule="exact"/>
              <w:ind w:right="301"/>
              <w:jc w:val="right"/>
              <w:rPr>
                <w:sz w:val="20"/>
              </w:rPr>
            </w:pPr>
            <w:r>
              <w:rPr>
                <w:sz w:val="20"/>
              </w:rPr>
              <w:t>I07.2,</w:t>
            </w:r>
            <w:r>
              <w:rPr>
                <w:spacing w:val="-5"/>
                <w:sz w:val="20"/>
              </w:rPr>
              <w:t> </w:t>
            </w:r>
            <w:r>
              <w:rPr>
                <w:sz w:val="20"/>
              </w:rPr>
              <w:t>I07.8,</w:t>
            </w:r>
            <w:r>
              <w:rPr>
                <w:spacing w:val="-6"/>
                <w:sz w:val="20"/>
              </w:rPr>
              <w:t> </w:t>
            </w:r>
            <w:r>
              <w:rPr>
                <w:sz w:val="20"/>
              </w:rPr>
              <w:t>I07.9,</w:t>
            </w:r>
            <w:r>
              <w:rPr>
                <w:spacing w:val="-5"/>
                <w:sz w:val="20"/>
              </w:rPr>
              <w:t> </w:t>
            </w:r>
            <w:r>
              <w:rPr>
                <w:sz w:val="20"/>
              </w:rPr>
              <w:t>I08,</w:t>
            </w:r>
            <w:r>
              <w:rPr>
                <w:spacing w:val="-6"/>
                <w:sz w:val="20"/>
              </w:rPr>
              <w:t> </w:t>
            </w:r>
            <w:r>
              <w:rPr>
                <w:sz w:val="20"/>
              </w:rPr>
              <w:t>I08.0,</w:t>
            </w:r>
            <w:r>
              <w:rPr>
                <w:spacing w:val="-7"/>
                <w:sz w:val="20"/>
              </w:rPr>
              <w:t> </w:t>
            </w:r>
            <w:r>
              <w:rPr>
                <w:sz w:val="20"/>
              </w:rPr>
              <w:t>I08.1,</w:t>
            </w:r>
            <w:r>
              <w:rPr>
                <w:spacing w:val="-4"/>
                <w:sz w:val="20"/>
              </w:rPr>
              <w:t> </w:t>
            </w:r>
            <w:r>
              <w:rPr>
                <w:sz w:val="20"/>
              </w:rPr>
              <w:t>I08.2,</w:t>
            </w:r>
            <w:r>
              <w:rPr>
                <w:spacing w:val="-7"/>
                <w:sz w:val="20"/>
              </w:rPr>
              <w:t> </w:t>
            </w:r>
            <w:r>
              <w:rPr>
                <w:spacing w:val="-2"/>
                <w:sz w:val="20"/>
              </w:rPr>
              <w:t>I08.3,</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10" w:lineRule="exact"/>
              <w:ind w:right="297"/>
              <w:jc w:val="right"/>
              <w:rPr>
                <w:sz w:val="20"/>
              </w:rPr>
            </w:pPr>
            <w:r>
              <w:rPr>
                <w:sz w:val="20"/>
              </w:rPr>
              <w:t>I08.8,</w:t>
            </w:r>
            <w:r>
              <w:rPr>
                <w:spacing w:val="-5"/>
                <w:sz w:val="20"/>
              </w:rPr>
              <w:t> </w:t>
            </w:r>
            <w:r>
              <w:rPr>
                <w:sz w:val="20"/>
              </w:rPr>
              <w:t>I08.9,</w:t>
            </w:r>
            <w:r>
              <w:rPr>
                <w:spacing w:val="-6"/>
                <w:sz w:val="20"/>
              </w:rPr>
              <w:t> </w:t>
            </w:r>
            <w:r>
              <w:rPr>
                <w:sz w:val="20"/>
              </w:rPr>
              <w:t>I09,</w:t>
            </w:r>
            <w:r>
              <w:rPr>
                <w:spacing w:val="-4"/>
                <w:sz w:val="20"/>
              </w:rPr>
              <w:t> </w:t>
            </w:r>
            <w:r>
              <w:rPr>
                <w:sz w:val="20"/>
              </w:rPr>
              <w:t>I09.0,</w:t>
            </w:r>
            <w:r>
              <w:rPr>
                <w:spacing w:val="-6"/>
                <w:sz w:val="20"/>
              </w:rPr>
              <w:t> </w:t>
            </w:r>
            <w:r>
              <w:rPr>
                <w:sz w:val="20"/>
              </w:rPr>
              <w:t>I09.1,</w:t>
            </w:r>
            <w:r>
              <w:rPr>
                <w:spacing w:val="-6"/>
                <w:sz w:val="20"/>
              </w:rPr>
              <w:t> </w:t>
            </w:r>
            <w:r>
              <w:rPr>
                <w:sz w:val="20"/>
              </w:rPr>
              <w:t>I09.2,</w:t>
            </w:r>
            <w:r>
              <w:rPr>
                <w:spacing w:val="-4"/>
                <w:sz w:val="20"/>
              </w:rPr>
              <w:t> </w:t>
            </w:r>
            <w:r>
              <w:rPr>
                <w:sz w:val="20"/>
              </w:rPr>
              <w:t>I09.8,</w:t>
            </w:r>
            <w:r>
              <w:rPr>
                <w:spacing w:val="-6"/>
                <w:sz w:val="20"/>
              </w:rPr>
              <w:t> </w:t>
            </w:r>
            <w:r>
              <w:rPr>
                <w:spacing w:val="-2"/>
                <w:sz w:val="20"/>
              </w:rPr>
              <w:t>I09.9,</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10" w:lineRule="exact"/>
              <w:ind w:right="268"/>
              <w:jc w:val="right"/>
              <w:rPr>
                <w:sz w:val="20"/>
              </w:rPr>
            </w:pPr>
            <w:r>
              <w:rPr>
                <w:sz w:val="20"/>
              </w:rPr>
              <w:t>I10,</w:t>
            </w:r>
            <w:r>
              <w:rPr>
                <w:spacing w:val="-4"/>
                <w:sz w:val="20"/>
              </w:rPr>
              <w:t> </w:t>
            </w:r>
            <w:r>
              <w:rPr>
                <w:sz w:val="20"/>
              </w:rPr>
              <w:t>I11,</w:t>
            </w:r>
            <w:r>
              <w:rPr>
                <w:spacing w:val="-6"/>
                <w:sz w:val="20"/>
              </w:rPr>
              <w:t> </w:t>
            </w:r>
            <w:r>
              <w:rPr>
                <w:sz w:val="20"/>
              </w:rPr>
              <w:t>I11.0,</w:t>
            </w:r>
            <w:r>
              <w:rPr>
                <w:spacing w:val="-4"/>
                <w:sz w:val="20"/>
              </w:rPr>
              <w:t> </w:t>
            </w:r>
            <w:r>
              <w:rPr>
                <w:sz w:val="20"/>
              </w:rPr>
              <w:t>I11.9,</w:t>
            </w:r>
            <w:r>
              <w:rPr>
                <w:spacing w:val="-3"/>
                <w:sz w:val="20"/>
              </w:rPr>
              <w:t> </w:t>
            </w:r>
            <w:r>
              <w:rPr>
                <w:sz w:val="20"/>
              </w:rPr>
              <w:t>I12,</w:t>
            </w:r>
            <w:r>
              <w:rPr>
                <w:spacing w:val="-4"/>
                <w:sz w:val="20"/>
              </w:rPr>
              <w:t> </w:t>
            </w:r>
            <w:r>
              <w:rPr>
                <w:sz w:val="20"/>
              </w:rPr>
              <w:t>I12.0,</w:t>
            </w:r>
            <w:r>
              <w:rPr>
                <w:spacing w:val="-4"/>
                <w:sz w:val="20"/>
              </w:rPr>
              <w:t> </w:t>
            </w:r>
            <w:r>
              <w:rPr>
                <w:sz w:val="20"/>
              </w:rPr>
              <w:t>I12.9,</w:t>
            </w:r>
            <w:r>
              <w:rPr>
                <w:spacing w:val="-5"/>
                <w:sz w:val="20"/>
              </w:rPr>
              <w:t> </w:t>
            </w:r>
            <w:r>
              <w:rPr>
                <w:sz w:val="20"/>
              </w:rPr>
              <w:t>I13,</w:t>
            </w:r>
            <w:r>
              <w:rPr>
                <w:spacing w:val="-6"/>
                <w:sz w:val="20"/>
              </w:rPr>
              <w:t> </w:t>
            </w:r>
            <w:r>
              <w:rPr>
                <w:spacing w:val="-2"/>
                <w:sz w:val="20"/>
              </w:rPr>
              <w:t>I13.0,</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09" w:lineRule="exact"/>
              <w:ind w:right="301"/>
              <w:jc w:val="right"/>
              <w:rPr>
                <w:sz w:val="20"/>
              </w:rPr>
            </w:pPr>
            <w:r>
              <w:rPr>
                <w:sz w:val="20"/>
              </w:rPr>
              <w:t>I13.1,</w:t>
            </w:r>
            <w:r>
              <w:rPr>
                <w:spacing w:val="-5"/>
                <w:sz w:val="20"/>
              </w:rPr>
              <w:t> </w:t>
            </w:r>
            <w:r>
              <w:rPr>
                <w:sz w:val="20"/>
              </w:rPr>
              <w:t>I13.2,</w:t>
            </w:r>
            <w:r>
              <w:rPr>
                <w:spacing w:val="-6"/>
                <w:sz w:val="20"/>
              </w:rPr>
              <w:t> </w:t>
            </w:r>
            <w:r>
              <w:rPr>
                <w:sz w:val="20"/>
              </w:rPr>
              <w:t>I13.9,</w:t>
            </w:r>
            <w:r>
              <w:rPr>
                <w:spacing w:val="-5"/>
                <w:sz w:val="20"/>
              </w:rPr>
              <w:t> </w:t>
            </w:r>
            <w:r>
              <w:rPr>
                <w:sz w:val="20"/>
              </w:rPr>
              <w:t>I15,</w:t>
            </w:r>
            <w:r>
              <w:rPr>
                <w:spacing w:val="-6"/>
                <w:sz w:val="20"/>
              </w:rPr>
              <w:t> </w:t>
            </w:r>
            <w:r>
              <w:rPr>
                <w:sz w:val="20"/>
              </w:rPr>
              <w:t>I15.0,</w:t>
            </w:r>
            <w:r>
              <w:rPr>
                <w:spacing w:val="-7"/>
                <w:sz w:val="20"/>
              </w:rPr>
              <w:t> </w:t>
            </w:r>
            <w:r>
              <w:rPr>
                <w:sz w:val="20"/>
              </w:rPr>
              <w:t>I15.1,</w:t>
            </w:r>
            <w:r>
              <w:rPr>
                <w:spacing w:val="-4"/>
                <w:sz w:val="20"/>
              </w:rPr>
              <w:t> </w:t>
            </w:r>
            <w:r>
              <w:rPr>
                <w:sz w:val="20"/>
              </w:rPr>
              <w:t>I15.2,</w:t>
            </w:r>
            <w:r>
              <w:rPr>
                <w:spacing w:val="-7"/>
                <w:sz w:val="20"/>
              </w:rPr>
              <w:t> </w:t>
            </w:r>
            <w:r>
              <w:rPr>
                <w:spacing w:val="-2"/>
                <w:sz w:val="20"/>
              </w:rPr>
              <w:t>I15.8,</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09" w:lineRule="exact"/>
              <w:ind w:left="263"/>
              <w:rPr>
                <w:sz w:val="20"/>
              </w:rPr>
            </w:pPr>
            <w:r>
              <w:rPr>
                <w:sz w:val="20"/>
              </w:rPr>
              <w:t>I15.9,</w:t>
            </w:r>
            <w:r>
              <w:rPr>
                <w:spacing w:val="-5"/>
                <w:sz w:val="20"/>
              </w:rPr>
              <w:t> </w:t>
            </w:r>
            <w:r>
              <w:rPr>
                <w:sz w:val="20"/>
              </w:rPr>
              <w:t>I20,</w:t>
            </w:r>
            <w:r>
              <w:rPr>
                <w:spacing w:val="-5"/>
                <w:sz w:val="20"/>
              </w:rPr>
              <w:t> </w:t>
            </w:r>
            <w:r>
              <w:rPr>
                <w:sz w:val="20"/>
              </w:rPr>
              <w:t>I20.0,</w:t>
            </w:r>
            <w:r>
              <w:rPr>
                <w:spacing w:val="-5"/>
                <w:sz w:val="20"/>
              </w:rPr>
              <w:t> </w:t>
            </w:r>
            <w:r>
              <w:rPr>
                <w:sz w:val="20"/>
              </w:rPr>
              <w:t>I20.1,</w:t>
            </w:r>
            <w:r>
              <w:rPr>
                <w:spacing w:val="-7"/>
                <w:sz w:val="20"/>
              </w:rPr>
              <w:t> </w:t>
            </w:r>
            <w:r>
              <w:rPr>
                <w:sz w:val="20"/>
              </w:rPr>
              <w:t>I20.8,</w:t>
            </w:r>
            <w:r>
              <w:rPr>
                <w:spacing w:val="-6"/>
                <w:sz w:val="20"/>
              </w:rPr>
              <w:t> </w:t>
            </w:r>
            <w:r>
              <w:rPr>
                <w:sz w:val="20"/>
              </w:rPr>
              <w:t>I20.9,</w:t>
            </w:r>
            <w:r>
              <w:rPr>
                <w:spacing w:val="-5"/>
                <w:sz w:val="20"/>
              </w:rPr>
              <w:t> </w:t>
            </w:r>
            <w:r>
              <w:rPr>
                <w:sz w:val="20"/>
              </w:rPr>
              <w:t>I21,</w:t>
            </w:r>
            <w:r>
              <w:rPr>
                <w:spacing w:val="-5"/>
                <w:sz w:val="20"/>
              </w:rPr>
              <w:t> </w:t>
            </w:r>
            <w:r>
              <w:rPr>
                <w:spacing w:val="-2"/>
                <w:sz w:val="20"/>
              </w:rPr>
              <w:t>I21.0,</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05" w:lineRule="exact"/>
              <w:ind w:right="301"/>
              <w:jc w:val="right"/>
              <w:rPr>
                <w:sz w:val="20"/>
              </w:rPr>
            </w:pPr>
            <w:r>
              <w:rPr>
                <w:sz w:val="20"/>
              </w:rPr>
              <w:t>I21.1,</w:t>
            </w:r>
            <w:r>
              <w:rPr>
                <w:spacing w:val="-5"/>
                <w:sz w:val="20"/>
              </w:rPr>
              <w:t> </w:t>
            </w:r>
            <w:r>
              <w:rPr>
                <w:sz w:val="20"/>
              </w:rPr>
              <w:t>I21.2,</w:t>
            </w:r>
            <w:r>
              <w:rPr>
                <w:spacing w:val="-7"/>
                <w:sz w:val="20"/>
              </w:rPr>
              <w:t> </w:t>
            </w:r>
            <w:r>
              <w:rPr>
                <w:sz w:val="20"/>
              </w:rPr>
              <w:t>I21.3,</w:t>
            </w:r>
            <w:r>
              <w:rPr>
                <w:spacing w:val="-5"/>
                <w:sz w:val="20"/>
              </w:rPr>
              <w:t> </w:t>
            </w:r>
            <w:r>
              <w:rPr>
                <w:sz w:val="20"/>
              </w:rPr>
              <w:t>I21.4,</w:t>
            </w:r>
            <w:r>
              <w:rPr>
                <w:spacing w:val="-5"/>
                <w:sz w:val="20"/>
              </w:rPr>
              <w:t> </w:t>
            </w:r>
            <w:r>
              <w:rPr>
                <w:sz w:val="20"/>
              </w:rPr>
              <w:t>I21.9,</w:t>
            </w:r>
            <w:r>
              <w:rPr>
                <w:spacing w:val="-5"/>
                <w:sz w:val="20"/>
              </w:rPr>
              <w:t> </w:t>
            </w:r>
            <w:r>
              <w:rPr>
                <w:sz w:val="20"/>
              </w:rPr>
              <w:t>I22,</w:t>
            </w:r>
            <w:r>
              <w:rPr>
                <w:spacing w:val="-5"/>
                <w:sz w:val="20"/>
              </w:rPr>
              <w:t> </w:t>
            </w:r>
            <w:r>
              <w:rPr>
                <w:sz w:val="20"/>
              </w:rPr>
              <w:t>I22.0,</w:t>
            </w:r>
            <w:r>
              <w:rPr>
                <w:spacing w:val="-7"/>
                <w:sz w:val="20"/>
              </w:rPr>
              <w:t> </w:t>
            </w:r>
            <w:r>
              <w:rPr>
                <w:spacing w:val="-2"/>
                <w:sz w:val="20"/>
              </w:rPr>
              <w:t>I22.1,</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43"/>
        <w:gridCol w:w="4565"/>
        <w:gridCol w:w="3516"/>
        <w:gridCol w:w="1759"/>
        <w:gridCol w:w="126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43" w:type="dxa"/>
            <w:vMerge w:val="restart"/>
          </w:tcPr>
          <w:p>
            <w:pPr>
              <w:pStyle w:val="TableParagraph"/>
              <w:rPr>
                <w:sz w:val="18"/>
              </w:rPr>
            </w:pPr>
          </w:p>
        </w:tc>
        <w:tc>
          <w:tcPr>
            <w:tcW w:w="4565" w:type="dxa"/>
          </w:tcPr>
          <w:p>
            <w:pPr>
              <w:pStyle w:val="TableParagraph"/>
              <w:spacing w:line="205" w:lineRule="exact"/>
              <w:ind w:right="399"/>
              <w:jc w:val="right"/>
              <w:rPr>
                <w:sz w:val="20"/>
              </w:rPr>
            </w:pPr>
            <w:r>
              <w:rPr>
                <w:sz w:val="20"/>
              </w:rPr>
              <w:t>I22.8,</w:t>
            </w:r>
            <w:r>
              <w:rPr>
                <w:spacing w:val="-5"/>
                <w:sz w:val="20"/>
              </w:rPr>
              <w:t> </w:t>
            </w:r>
            <w:r>
              <w:rPr>
                <w:sz w:val="20"/>
              </w:rPr>
              <w:t>I22.9,</w:t>
            </w:r>
            <w:r>
              <w:rPr>
                <w:spacing w:val="-6"/>
                <w:sz w:val="20"/>
              </w:rPr>
              <w:t> </w:t>
            </w:r>
            <w:r>
              <w:rPr>
                <w:sz w:val="20"/>
              </w:rPr>
              <w:t>I23,</w:t>
            </w:r>
            <w:r>
              <w:rPr>
                <w:spacing w:val="-5"/>
                <w:sz w:val="20"/>
              </w:rPr>
              <w:t> </w:t>
            </w:r>
            <w:r>
              <w:rPr>
                <w:sz w:val="20"/>
              </w:rPr>
              <w:t>I23.0,</w:t>
            </w:r>
            <w:r>
              <w:rPr>
                <w:spacing w:val="-6"/>
                <w:sz w:val="20"/>
              </w:rPr>
              <w:t> </w:t>
            </w:r>
            <w:r>
              <w:rPr>
                <w:sz w:val="20"/>
              </w:rPr>
              <w:t>I23.1,</w:t>
            </w:r>
            <w:r>
              <w:rPr>
                <w:spacing w:val="-6"/>
                <w:sz w:val="20"/>
              </w:rPr>
              <w:t> </w:t>
            </w:r>
            <w:r>
              <w:rPr>
                <w:sz w:val="20"/>
              </w:rPr>
              <w:t>I23.2,</w:t>
            </w:r>
            <w:r>
              <w:rPr>
                <w:spacing w:val="-4"/>
                <w:sz w:val="20"/>
              </w:rPr>
              <w:t> </w:t>
            </w:r>
            <w:r>
              <w:rPr>
                <w:sz w:val="20"/>
              </w:rPr>
              <w:t>I23.3,</w:t>
            </w:r>
            <w:r>
              <w:rPr>
                <w:spacing w:val="-7"/>
                <w:sz w:val="20"/>
              </w:rPr>
              <w:t> </w:t>
            </w:r>
            <w:r>
              <w:rPr>
                <w:spacing w:val="-2"/>
                <w:sz w:val="20"/>
              </w:rPr>
              <w:t>I23.4,</w:t>
            </w:r>
          </w:p>
        </w:tc>
        <w:tc>
          <w:tcPr>
            <w:tcW w:w="3516" w:type="dxa"/>
            <w:vMerge w:val="restart"/>
          </w:tcPr>
          <w:p>
            <w:pPr>
              <w:pStyle w:val="TableParagraph"/>
              <w:rPr>
                <w:sz w:val="18"/>
              </w:rPr>
            </w:pPr>
          </w:p>
        </w:tc>
        <w:tc>
          <w:tcPr>
            <w:tcW w:w="1759"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400"/>
              <w:jc w:val="right"/>
              <w:rPr>
                <w:sz w:val="20"/>
              </w:rPr>
            </w:pP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I24,</w:t>
            </w:r>
            <w:r>
              <w:rPr>
                <w:spacing w:val="-6"/>
                <w:sz w:val="20"/>
              </w:rPr>
              <w:t> </w:t>
            </w:r>
            <w:r>
              <w:rPr>
                <w:sz w:val="20"/>
              </w:rPr>
              <w:t>I24.0,</w:t>
            </w:r>
            <w:r>
              <w:rPr>
                <w:spacing w:val="-7"/>
                <w:sz w:val="20"/>
              </w:rPr>
              <w:t> </w:t>
            </w:r>
            <w:r>
              <w:rPr>
                <w:sz w:val="20"/>
              </w:rPr>
              <w:t>I24.1,</w:t>
            </w:r>
            <w:r>
              <w:rPr>
                <w:spacing w:val="-4"/>
                <w:sz w:val="20"/>
              </w:rPr>
              <w:t> </w:t>
            </w:r>
            <w:r>
              <w:rPr>
                <w:sz w:val="20"/>
              </w:rPr>
              <w:t>I24.8,</w:t>
            </w:r>
            <w:r>
              <w:rPr>
                <w:spacing w:val="-7"/>
                <w:sz w:val="20"/>
              </w:rPr>
              <w:t> </w:t>
            </w:r>
            <w:r>
              <w:rPr>
                <w:spacing w:val="-2"/>
                <w:sz w:val="20"/>
              </w:rPr>
              <w:t>I24.9,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400"/>
              <w:jc w:val="right"/>
              <w:rPr>
                <w:sz w:val="20"/>
              </w:rPr>
            </w:pPr>
            <w:r>
              <w:rPr>
                <w:sz w:val="20"/>
              </w:rPr>
              <w:t>I25,</w:t>
            </w:r>
            <w:r>
              <w:rPr>
                <w:spacing w:val="-5"/>
                <w:sz w:val="20"/>
              </w:rPr>
              <w:t> </w:t>
            </w:r>
            <w:r>
              <w:rPr>
                <w:sz w:val="20"/>
              </w:rPr>
              <w:t>I25.0,</w:t>
            </w:r>
            <w:r>
              <w:rPr>
                <w:spacing w:val="-5"/>
                <w:sz w:val="20"/>
              </w:rPr>
              <w:t> </w:t>
            </w:r>
            <w:r>
              <w:rPr>
                <w:sz w:val="20"/>
              </w:rPr>
              <w:t>I25.1,</w:t>
            </w:r>
            <w:r>
              <w:rPr>
                <w:spacing w:val="-5"/>
                <w:sz w:val="20"/>
              </w:rPr>
              <w:t> </w:t>
            </w:r>
            <w:r>
              <w:rPr>
                <w:sz w:val="20"/>
              </w:rPr>
              <w:t>I25.2,</w:t>
            </w:r>
            <w:r>
              <w:rPr>
                <w:spacing w:val="-6"/>
                <w:sz w:val="20"/>
              </w:rPr>
              <w:t> </w:t>
            </w:r>
            <w:r>
              <w:rPr>
                <w:sz w:val="20"/>
              </w:rPr>
              <w:t>I25.3,</w:t>
            </w:r>
            <w:r>
              <w:rPr>
                <w:spacing w:val="-6"/>
                <w:sz w:val="20"/>
              </w:rPr>
              <w:t> </w:t>
            </w:r>
            <w:r>
              <w:rPr>
                <w:sz w:val="20"/>
              </w:rPr>
              <w:t>I25.4,</w:t>
            </w:r>
            <w:r>
              <w:rPr>
                <w:spacing w:val="-5"/>
                <w:sz w:val="20"/>
              </w:rPr>
              <w:t> </w:t>
            </w:r>
            <w:r>
              <w:rPr>
                <w:sz w:val="20"/>
              </w:rPr>
              <w:t>I25.5,</w:t>
            </w:r>
            <w:r>
              <w:rPr>
                <w:spacing w:val="-7"/>
                <w:sz w:val="20"/>
              </w:rPr>
              <w:t> </w:t>
            </w:r>
            <w:r>
              <w:rPr>
                <w:spacing w:val="-2"/>
                <w:sz w:val="20"/>
              </w:rPr>
              <w:t>I25.6,</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I25.8,</w:t>
            </w:r>
            <w:r>
              <w:rPr>
                <w:spacing w:val="-5"/>
                <w:sz w:val="20"/>
              </w:rPr>
              <w:t> </w:t>
            </w:r>
            <w:r>
              <w:rPr>
                <w:sz w:val="20"/>
              </w:rPr>
              <w:t>I25.9,</w:t>
            </w:r>
            <w:r>
              <w:rPr>
                <w:spacing w:val="-6"/>
                <w:sz w:val="20"/>
              </w:rPr>
              <w:t> </w:t>
            </w:r>
            <w:r>
              <w:rPr>
                <w:sz w:val="20"/>
              </w:rPr>
              <w:t>I26,</w:t>
            </w:r>
            <w:r>
              <w:rPr>
                <w:spacing w:val="-4"/>
                <w:sz w:val="20"/>
              </w:rPr>
              <w:t> </w:t>
            </w:r>
            <w:r>
              <w:rPr>
                <w:sz w:val="20"/>
              </w:rPr>
              <w:t>I26.0,</w:t>
            </w:r>
            <w:r>
              <w:rPr>
                <w:spacing w:val="-6"/>
                <w:sz w:val="20"/>
              </w:rPr>
              <w:t> </w:t>
            </w:r>
            <w:r>
              <w:rPr>
                <w:sz w:val="20"/>
              </w:rPr>
              <w:t>I26.9,</w:t>
            </w:r>
            <w:r>
              <w:rPr>
                <w:spacing w:val="-7"/>
                <w:sz w:val="20"/>
              </w:rPr>
              <w:t> </w:t>
            </w:r>
            <w:r>
              <w:rPr>
                <w:sz w:val="20"/>
              </w:rPr>
              <w:t>I27,</w:t>
            </w:r>
            <w:r>
              <w:rPr>
                <w:spacing w:val="-4"/>
                <w:sz w:val="20"/>
              </w:rPr>
              <w:t> </w:t>
            </w:r>
            <w:r>
              <w:rPr>
                <w:sz w:val="20"/>
              </w:rPr>
              <w:t>I27.0,</w:t>
            </w:r>
            <w:r>
              <w:rPr>
                <w:spacing w:val="-4"/>
                <w:sz w:val="20"/>
              </w:rPr>
              <w:t> </w:t>
            </w:r>
            <w:r>
              <w:rPr>
                <w:spacing w:val="-2"/>
                <w:sz w:val="20"/>
              </w:rPr>
              <w:t>I27.1,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00"/>
              <w:jc w:val="right"/>
              <w:rPr>
                <w:sz w:val="20"/>
              </w:rPr>
            </w:pPr>
            <w:r>
              <w:rPr>
                <w:sz w:val="20"/>
              </w:rPr>
              <w:t>I27.2,</w:t>
            </w:r>
            <w:r>
              <w:rPr>
                <w:spacing w:val="-5"/>
                <w:sz w:val="20"/>
              </w:rPr>
              <w:t> </w:t>
            </w:r>
            <w:r>
              <w:rPr>
                <w:sz w:val="20"/>
              </w:rPr>
              <w:t>I27.8,</w:t>
            </w:r>
            <w:r>
              <w:rPr>
                <w:spacing w:val="-6"/>
                <w:sz w:val="20"/>
              </w:rPr>
              <w:t> </w:t>
            </w:r>
            <w:r>
              <w:rPr>
                <w:sz w:val="20"/>
              </w:rPr>
              <w:t>I27.9,</w:t>
            </w:r>
            <w:r>
              <w:rPr>
                <w:spacing w:val="-5"/>
                <w:sz w:val="20"/>
              </w:rPr>
              <w:t> </w:t>
            </w:r>
            <w:r>
              <w:rPr>
                <w:sz w:val="20"/>
              </w:rPr>
              <w:t>I28,</w:t>
            </w:r>
            <w:r>
              <w:rPr>
                <w:spacing w:val="-6"/>
                <w:sz w:val="20"/>
              </w:rPr>
              <w:t> </w:t>
            </w:r>
            <w:r>
              <w:rPr>
                <w:sz w:val="20"/>
              </w:rPr>
              <w:t>I28.0,</w:t>
            </w:r>
            <w:r>
              <w:rPr>
                <w:spacing w:val="-7"/>
                <w:sz w:val="20"/>
              </w:rPr>
              <w:t> </w:t>
            </w:r>
            <w:r>
              <w:rPr>
                <w:sz w:val="20"/>
              </w:rPr>
              <w:t>I28.1,</w:t>
            </w:r>
            <w:r>
              <w:rPr>
                <w:spacing w:val="-4"/>
                <w:sz w:val="20"/>
              </w:rPr>
              <w:t> </w:t>
            </w:r>
            <w:r>
              <w:rPr>
                <w:sz w:val="20"/>
              </w:rPr>
              <w:t>I28.8,</w:t>
            </w:r>
            <w:r>
              <w:rPr>
                <w:spacing w:val="-7"/>
                <w:sz w:val="20"/>
              </w:rPr>
              <w:t> </w:t>
            </w:r>
            <w:r>
              <w:rPr>
                <w:spacing w:val="-2"/>
                <w:sz w:val="20"/>
              </w:rPr>
              <w:t>I28.9,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I30,</w:t>
            </w:r>
            <w:r>
              <w:rPr>
                <w:spacing w:val="-5"/>
                <w:sz w:val="20"/>
              </w:rPr>
              <w:t> </w:t>
            </w:r>
            <w:r>
              <w:rPr>
                <w:sz w:val="20"/>
              </w:rPr>
              <w:t>I30.0,</w:t>
            </w:r>
            <w:r>
              <w:rPr>
                <w:spacing w:val="-4"/>
                <w:sz w:val="20"/>
              </w:rPr>
              <w:t> </w:t>
            </w:r>
            <w:r>
              <w:rPr>
                <w:sz w:val="20"/>
              </w:rPr>
              <w:t>I30.1,</w:t>
            </w:r>
            <w:r>
              <w:rPr>
                <w:spacing w:val="-4"/>
                <w:sz w:val="20"/>
              </w:rPr>
              <w:t> </w:t>
            </w:r>
            <w:r>
              <w:rPr>
                <w:sz w:val="20"/>
              </w:rPr>
              <w:t>I30.8,</w:t>
            </w:r>
            <w:r>
              <w:rPr>
                <w:spacing w:val="-6"/>
                <w:sz w:val="20"/>
              </w:rPr>
              <w:t> </w:t>
            </w:r>
            <w:r>
              <w:rPr>
                <w:sz w:val="20"/>
              </w:rPr>
              <w:t>I30.9,</w:t>
            </w:r>
            <w:r>
              <w:rPr>
                <w:spacing w:val="-7"/>
                <w:sz w:val="20"/>
              </w:rPr>
              <w:t> </w:t>
            </w:r>
            <w:r>
              <w:rPr>
                <w:sz w:val="20"/>
              </w:rPr>
              <w:t>I31,</w:t>
            </w:r>
            <w:r>
              <w:rPr>
                <w:spacing w:val="-4"/>
                <w:sz w:val="20"/>
              </w:rPr>
              <w:t> </w:t>
            </w:r>
            <w:r>
              <w:rPr>
                <w:sz w:val="20"/>
              </w:rPr>
              <w:t>I31.0,</w:t>
            </w:r>
            <w:r>
              <w:rPr>
                <w:spacing w:val="-4"/>
                <w:sz w:val="20"/>
              </w:rPr>
              <w:t> </w:t>
            </w:r>
            <w:r>
              <w:rPr>
                <w:spacing w:val="-2"/>
                <w:sz w:val="20"/>
              </w:rPr>
              <w:t>I31.1,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right="400"/>
              <w:jc w:val="right"/>
              <w:rPr>
                <w:sz w:val="20"/>
              </w:rPr>
            </w:pPr>
            <w:r>
              <w:rPr>
                <w:sz w:val="20"/>
              </w:rPr>
              <w:t>I31.2,</w:t>
            </w:r>
            <w:r>
              <w:rPr>
                <w:spacing w:val="-5"/>
                <w:sz w:val="20"/>
              </w:rPr>
              <w:t> </w:t>
            </w:r>
            <w:r>
              <w:rPr>
                <w:sz w:val="20"/>
              </w:rPr>
              <w:t>I31.3,</w:t>
            </w:r>
            <w:r>
              <w:rPr>
                <w:spacing w:val="-7"/>
                <w:sz w:val="20"/>
              </w:rPr>
              <w:t> </w:t>
            </w:r>
            <w:r>
              <w:rPr>
                <w:sz w:val="20"/>
              </w:rPr>
              <w:t>I31.8,</w:t>
            </w:r>
            <w:r>
              <w:rPr>
                <w:spacing w:val="-4"/>
                <w:sz w:val="20"/>
              </w:rPr>
              <w:t> </w:t>
            </w:r>
            <w:r>
              <w:rPr>
                <w:sz w:val="20"/>
              </w:rPr>
              <w:t>I31.9,</w:t>
            </w:r>
            <w:r>
              <w:rPr>
                <w:spacing w:val="-5"/>
                <w:sz w:val="20"/>
              </w:rPr>
              <w:t> </w:t>
            </w:r>
            <w:r>
              <w:rPr>
                <w:sz w:val="20"/>
              </w:rPr>
              <w:t>I32,</w:t>
            </w:r>
            <w:r>
              <w:rPr>
                <w:spacing w:val="-6"/>
                <w:sz w:val="20"/>
              </w:rPr>
              <w:t> </w:t>
            </w:r>
            <w:r>
              <w:rPr>
                <w:sz w:val="20"/>
              </w:rPr>
              <w:t>I32.0,</w:t>
            </w:r>
            <w:r>
              <w:rPr>
                <w:spacing w:val="-5"/>
                <w:sz w:val="20"/>
              </w:rPr>
              <w:t> </w:t>
            </w:r>
            <w:r>
              <w:rPr>
                <w:sz w:val="20"/>
              </w:rPr>
              <w:t>I32.1,</w:t>
            </w:r>
            <w:r>
              <w:rPr>
                <w:spacing w:val="-7"/>
                <w:sz w:val="20"/>
              </w:rPr>
              <w:t> </w:t>
            </w:r>
            <w:r>
              <w:rPr>
                <w:spacing w:val="-2"/>
                <w:sz w:val="20"/>
              </w:rPr>
              <w:t>I32.8,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I33,</w:t>
            </w:r>
            <w:r>
              <w:rPr>
                <w:spacing w:val="-5"/>
                <w:sz w:val="20"/>
              </w:rPr>
              <w:t> </w:t>
            </w:r>
            <w:r>
              <w:rPr>
                <w:sz w:val="20"/>
              </w:rPr>
              <w:t>I33.0,</w:t>
            </w:r>
            <w:r>
              <w:rPr>
                <w:spacing w:val="-5"/>
                <w:sz w:val="20"/>
              </w:rPr>
              <w:t> </w:t>
            </w:r>
            <w:r>
              <w:rPr>
                <w:sz w:val="20"/>
              </w:rPr>
              <w:t>I33.9,</w:t>
            </w:r>
            <w:r>
              <w:rPr>
                <w:spacing w:val="-5"/>
                <w:sz w:val="20"/>
              </w:rPr>
              <w:t> </w:t>
            </w:r>
            <w:r>
              <w:rPr>
                <w:sz w:val="20"/>
              </w:rPr>
              <w:t>I34,</w:t>
            </w:r>
            <w:r>
              <w:rPr>
                <w:spacing w:val="-5"/>
                <w:sz w:val="20"/>
              </w:rPr>
              <w:t> </w:t>
            </w:r>
            <w:r>
              <w:rPr>
                <w:sz w:val="20"/>
              </w:rPr>
              <w:t>I34.0,</w:t>
            </w:r>
            <w:r>
              <w:rPr>
                <w:spacing w:val="-5"/>
                <w:sz w:val="20"/>
              </w:rPr>
              <w:t> </w:t>
            </w:r>
            <w:r>
              <w:rPr>
                <w:sz w:val="20"/>
              </w:rPr>
              <w:t>I34.1,</w:t>
            </w:r>
            <w:r>
              <w:rPr>
                <w:spacing w:val="-5"/>
                <w:sz w:val="20"/>
              </w:rPr>
              <w:t> </w:t>
            </w:r>
            <w:r>
              <w:rPr>
                <w:sz w:val="20"/>
              </w:rPr>
              <w:t>I34.2,</w:t>
            </w:r>
            <w:r>
              <w:rPr>
                <w:spacing w:val="-5"/>
                <w:sz w:val="20"/>
              </w:rPr>
              <w:t> </w:t>
            </w:r>
            <w:r>
              <w:rPr>
                <w:spacing w:val="-2"/>
                <w:sz w:val="20"/>
              </w:rPr>
              <w:t>I34.8,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left="311"/>
              <w:rPr>
                <w:sz w:val="20"/>
              </w:rPr>
            </w:pPr>
            <w:r>
              <w:rPr>
                <w:sz w:val="20"/>
              </w:rPr>
              <w:t>I34.9,</w:t>
            </w:r>
            <w:r>
              <w:rPr>
                <w:spacing w:val="-5"/>
                <w:sz w:val="20"/>
              </w:rPr>
              <w:t> </w:t>
            </w:r>
            <w:r>
              <w:rPr>
                <w:sz w:val="20"/>
              </w:rPr>
              <w:t>I35,</w:t>
            </w:r>
            <w:r>
              <w:rPr>
                <w:spacing w:val="-5"/>
                <w:sz w:val="20"/>
              </w:rPr>
              <w:t> </w:t>
            </w:r>
            <w:r>
              <w:rPr>
                <w:sz w:val="20"/>
              </w:rPr>
              <w:t>I35.0,</w:t>
            </w:r>
            <w:r>
              <w:rPr>
                <w:spacing w:val="-5"/>
                <w:sz w:val="20"/>
              </w:rPr>
              <w:t> </w:t>
            </w:r>
            <w:r>
              <w:rPr>
                <w:sz w:val="20"/>
              </w:rPr>
              <w:t>I35.1,</w:t>
            </w:r>
            <w:r>
              <w:rPr>
                <w:spacing w:val="-7"/>
                <w:sz w:val="20"/>
              </w:rPr>
              <w:t> </w:t>
            </w:r>
            <w:r>
              <w:rPr>
                <w:sz w:val="20"/>
              </w:rPr>
              <w:t>I35.2,</w:t>
            </w:r>
            <w:r>
              <w:rPr>
                <w:spacing w:val="-7"/>
                <w:sz w:val="20"/>
              </w:rPr>
              <w:t> </w:t>
            </w:r>
            <w:r>
              <w:rPr>
                <w:sz w:val="20"/>
              </w:rPr>
              <w:t>I35.8,</w:t>
            </w:r>
            <w:r>
              <w:rPr>
                <w:spacing w:val="-5"/>
                <w:sz w:val="20"/>
              </w:rPr>
              <w:t> </w:t>
            </w:r>
            <w:r>
              <w:rPr>
                <w:sz w:val="20"/>
              </w:rPr>
              <w:t>I35.9,</w:t>
            </w:r>
            <w:r>
              <w:rPr>
                <w:spacing w:val="-7"/>
                <w:sz w:val="20"/>
              </w:rPr>
              <w:t> </w:t>
            </w:r>
            <w:r>
              <w:rPr>
                <w:spacing w:val="-4"/>
                <w:sz w:val="20"/>
              </w:rPr>
              <w:t>I36,</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93"/>
              <w:jc w:val="right"/>
              <w:rPr>
                <w:sz w:val="20"/>
              </w:rPr>
            </w:pPr>
            <w:r>
              <w:rPr>
                <w:sz w:val="20"/>
              </w:rPr>
              <w:t>I36.0,</w:t>
            </w:r>
            <w:r>
              <w:rPr>
                <w:spacing w:val="-4"/>
                <w:sz w:val="20"/>
              </w:rPr>
              <w:t> </w:t>
            </w:r>
            <w:r>
              <w:rPr>
                <w:sz w:val="20"/>
              </w:rPr>
              <w:t>I36.1,</w:t>
            </w:r>
            <w:r>
              <w:rPr>
                <w:spacing w:val="-6"/>
                <w:sz w:val="20"/>
              </w:rPr>
              <w:t> </w:t>
            </w:r>
            <w:r>
              <w:rPr>
                <w:sz w:val="20"/>
              </w:rPr>
              <w:t>I36.2,</w:t>
            </w:r>
            <w:r>
              <w:rPr>
                <w:spacing w:val="-4"/>
                <w:sz w:val="20"/>
              </w:rPr>
              <w:t> </w:t>
            </w:r>
            <w:r>
              <w:rPr>
                <w:sz w:val="20"/>
              </w:rPr>
              <w:t>I36.8,</w:t>
            </w:r>
            <w:r>
              <w:rPr>
                <w:spacing w:val="-4"/>
                <w:sz w:val="20"/>
              </w:rPr>
              <w:t> </w:t>
            </w:r>
            <w:r>
              <w:rPr>
                <w:sz w:val="20"/>
              </w:rPr>
              <w:t>I36.9,</w:t>
            </w:r>
            <w:r>
              <w:rPr>
                <w:spacing w:val="-4"/>
                <w:sz w:val="20"/>
              </w:rPr>
              <w:t> </w:t>
            </w:r>
            <w:r>
              <w:rPr>
                <w:sz w:val="20"/>
              </w:rPr>
              <w:t>I37,</w:t>
            </w:r>
            <w:r>
              <w:rPr>
                <w:spacing w:val="-4"/>
                <w:sz w:val="20"/>
              </w:rPr>
              <w:t> </w:t>
            </w:r>
            <w:r>
              <w:rPr>
                <w:sz w:val="20"/>
              </w:rPr>
              <w:t>I37.0,</w:t>
            </w:r>
            <w:r>
              <w:rPr>
                <w:spacing w:val="-6"/>
                <w:sz w:val="20"/>
              </w:rPr>
              <w:t> </w:t>
            </w:r>
            <w:r>
              <w:rPr>
                <w:spacing w:val="-2"/>
                <w:sz w:val="20"/>
              </w:rPr>
              <w:t>I37.1,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I37.2,</w:t>
            </w:r>
            <w:r>
              <w:rPr>
                <w:spacing w:val="-5"/>
                <w:sz w:val="20"/>
              </w:rPr>
              <w:t> </w:t>
            </w:r>
            <w:r>
              <w:rPr>
                <w:sz w:val="20"/>
              </w:rPr>
              <w:t>I37.8,</w:t>
            </w:r>
            <w:r>
              <w:rPr>
                <w:spacing w:val="-6"/>
                <w:sz w:val="20"/>
              </w:rPr>
              <w:t> </w:t>
            </w:r>
            <w:r>
              <w:rPr>
                <w:sz w:val="20"/>
              </w:rPr>
              <w:t>I37.9,</w:t>
            </w:r>
            <w:r>
              <w:rPr>
                <w:spacing w:val="-5"/>
                <w:sz w:val="20"/>
              </w:rPr>
              <w:t> </w:t>
            </w:r>
            <w:r>
              <w:rPr>
                <w:sz w:val="20"/>
              </w:rPr>
              <w:t>I38,</w:t>
            </w:r>
            <w:r>
              <w:rPr>
                <w:spacing w:val="-6"/>
                <w:sz w:val="20"/>
              </w:rPr>
              <w:t> </w:t>
            </w:r>
            <w:r>
              <w:rPr>
                <w:sz w:val="20"/>
              </w:rPr>
              <w:t>I39,</w:t>
            </w:r>
            <w:r>
              <w:rPr>
                <w:spacing w:val="-5"/>
                <w:sz w:val="20"/>
              </w:rPr>
              <w:t> </w:t>
            </w:r>
            <w:r>
              <w:rPr>
                <w:sz w:val="20"/>
              </w:rPr>
              <w:t>I39.0,</w:t>
            </w:r>
            <w:r>
              <w:rPr>
                <w:spacing w:val="-5"/>
                <w:sz w:val="20"/>
              </w:rPr>
              <w:t> </w:t>
            </w:r>
            <w:r>
              <w:rPr>
                <w:sz w:val="20"/>
              </w:rPr>
              <w:t>I39.1,</w:t>
            </w:r>
            <w:r>
              <w:rPr>
                <w:spacing w:val="-4"/>
                <w:sz w:val="20"/>
              </w:rPr>
              <w:t> </w:t>
            </w:r>
            <w:r>
              <w:rPr>
                <w:spacing w:val="-2"/>
                <w:sz w:val="20"/>
              </w:rPr>
              <w:t>I39.2,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00"/>
              <w:jc w:val="right"/>
              <w:rPr>
                <w:sz w:val="20"/>
              </w:rPr>
            </w:pPr>
            <w:r>
              <w:rPr>
                <w:sz w:val="20"/>
              </w:rPr>
              <w:t>I39.3,</w:t>
            </w:r>
            <w:r>
              <w:rPr>
                <w:spacing w:val="-5"/>
                <w:sz w:val="20"/>
              </w:rPr>
              <w:t> </w:t>
            </w:r>
            <w:r>
              <w:rPr>
                <w:sz w:val="20"/>
              </w:rPr>
              <w:t>I39.4,</w:t>
            </w:r>
            <w:r>
              <w:rPr>
                <w:spacing w:val="-6"/>
                <w:sz w:val="20"/>
              </w:rPr>
              <w:t> </w:t>
            </w:r>
            <w:r>
              <w:rPr>
                <w:sz w:val="20"/>
              </w:rPr>
              <w:t>I39.8,</w:t>
            </w:r>
            <w:r>
              <w:rPr>
                <w:spacing w:val="-5"/>
                <w:sz w:val="20"/>
              </w:rPr>
              <w:t> </w:t>
            </w:r>
            <w:r>
              <w:rPr>
                <w:sz w:val="20"/>
              </w:rPr>
              <w:t>I40,</w:t>
            </w:r>
            <w:r>
              <w:rPr>
                <w:spacing w:val="-6"/>
                <w:sz w:val="20"/>
              </w:rPr>
              <w:t> </w:t>
            </w:r>
            <w:r>
              <w:rPr>
                <w:sz w:val="20"/>
              </w:rPr>
              <w:t>I40.0,</w:t>
            </w:r>
            <w:r>
              <w:rPr>
                <w:spacing w:val="-7"/>
                <w:sz w:val="20"/>
              </w:rPr>
              <w:t> </w:t>
            </w:r>
            <w:r>
              <w:rPr>
                <w:sz w:val="20"/>
              </w:rPr>
              <w:t>I40.1,</w:t>
            </w:r>
            <w:r>
              <w:rPr>
                <w:spacing w:val="-4"/>
                <w:sz w:val="20"/>
              </w:rPr>
              <w:t> </w:t>
            </w:r>
            <w:r>
              <w:rPr>
                <w:sz w:val="20"/>
              </w:rPr>
              <w:t>I40.8,</w:t>
            </w:r>
            <w:r>
              <w:rPr>
                <w:spacing w:val="-7"/>
                <w:sz w:val="20"/>
              </w:rPr>
              <w:t> </w:t>
            </w:r>
            <w:r>
              <w:rPr>
                <w:spacing w:val="-2"/>
                <w:sz w:val="20"/>
              </w:rPr>
              <w:t>I40.9,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I41,</w:t>
            </w:r>
            <w:r>
              <w:rPr>
                <w:spacing w:val="-5"/>
                <w:sz w:val="20"/>
              </w:rPr>
              <w:t> </w:t>
            </w:r>
            <w:r>
              <w:rPr>
                <w:sz w:val="20"/>
              </w:rPr>
              <w:t>I41.0,</w:t>
            </w:r>
            <w:r>
              <w:rPr>
                <w:spacing w:val="-4"/>
                <w:sz w:val="20"/>
              </w:rPr>
              <w:t> </w:t>
            </w:r>
            <w:r>
              <w:rPr>
                <w:sz w:val="20"/>
              </w:rPr>
              <w:t>I41.1,</w:t>
            </w:r>
            <w:r>
              <w:rPr>
                <w:spacing w:val="-4"/>
                <w:sz w:val="20"/>
              </w:rPr>
              <w:t> </w:t>
            </w:r>
            <w:r>
              <w:rPr>
                <w:sz w:val="20"/>
              </w:rPr>
              <w:t>I41.2,</w:t>
            </w:r>
            <w:r>
              <w:rPr>
                <w:spacing w:val="-6"/>
                <w:sz w:val="20"/>
              </w:rPr>
              <w:t> </w:t>
            </w:r>
            <w:r>
              <w:rPr>
                <w:sz w:val="20"/>
              </w:rPr>
              <w:t>I41.8,</w:t>
            </w:r>
            <w:r>
              <w:rPr>
                <w:spacing w:val="-7"/>
                <w:sz w:val="20"/>
              </w:rPr>
              <w:t> </w:t>
            </w:r>
            <w:r>
              <w:rPr>
                <w:sz w:val="20"/>
              </w:rPr>
              <w:t>I42,</w:t>
            </w:r>
            <w:r>
              <w:rPr>
                <w:spacing w:val="-4"/>
                <w:sz w:val="20"/>
              </w:rPr>
              <w:t> </w:t>
            </w:r>
            <w:r>
              <w:rPr>
                <w:sz w:val="20"/>
              </w:rPr>
              <w:t>I42.0,</w:t>
            </w:r>
            <w:r>
              <w:rPr>
                <w:spacing w:val="-4"/>
                <w:sz w:val="20"/>
              </w:rPr>
              <w:t> </w:t>
            </w:r>
            <w:r>
              <w:rPr>
                <w:spacing w:val="-2"/>
                <w:sz w:val="20"/>
              </w:rPr>
              <w:t>I42.1,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26"/>
              <w:jc w:val="right"/>
              <w:rPr>
                <w:sz w:val="20"/>
              </w:rPr>
            </w:pPr>
            <w:r>
              <w:rPr>
                <w:sz w:val="20"/>
              </w:rPr>
              <w:t>I42.2,</w:t>
            </w:r>
            <w:r>
              <w:rPr>
                <w:spacing w:val="-5"/>
                <w:sz w:val="20"/>
              </w:rPr>
              <w:t> </w:t>
            </w:r>
            <w:r>
              <w:rPr>
                <w:sz w:val="20"/>
              </w:rPr>
              <w:t>I42.3,</w:t>
            </w:r>
            <w:r>
              <w:rPr>
                <w:spacing w:val="-7"/>
                <w:sz w:val="20"/>
              </w:rPr>
              <w:t> </w:t>
            </w:r>
            <w:r>
              <w:rPr>
                <w:sz w:val="20"/>
              </w:rPr>
              <w:t>I42.4,</w:t>
            </w:r>
            <w:r>
              <w:rPr>
                <w:spacing w:val="-5"/>
                <w:sz w:val="20"/>
              </w:rPr>
              <w:t> </w:t>
            </w:r>
            <w:r>
              <w:rPr>
                <w:sz w:val="20"/>
              </w:rPr>
              <w:t>I42.5,</w:t>
            </w:r>
            <w:r>
              <w:rPr>
                <w:spacing w:val="-5"/>
                <w:sz w:val="20"/>
              </w:rPr>
              <w:t> </w:t>
            </w:r>
            <w:r>
              <w:rPr>
                <w:sz w:val="20"/>
              </w:rPr>
              <w:t>I42.6,</w:t>
            </w:r>
            <w:r>
              <w:rPr>
                <w:spacing w:val="-5"/>
                <w:sz w:val="20"/>
              </w:rPr>
              <w:t> </w:t>
            </w:r>
            <w:r>
              <w:rPr>
                <w:sz w:val="20"/>
              </w:rPr>
              <w:t>I42.7,</w:t>
            </w:r>
            <w:r>
              <w:rPr>
                <w:spacing w:val="-6"/>
                <w:sz w:val="20"/>
              </w:rPr>
              <w:t> </w:t>
            </w:r>
            <w:r>
              <w:rPr>
                <w:sz w:val="20"/>
              </w:rPr>
              <w:t>I42.8,</w:t>
            </w:r>
            <w:r>
              <w:rPr>
                <w:spacing w:val="-5"/>
                <w:sz w:val="20"/>
              </w:rPr>
              <w:t> </w:t>
            </w:r>
            <w:r>
              <w:rPr>
                <w:spacing w:val="-2"/>
                <w:sz w:val="20"/>
              </w:rPr>
              <w:t>I42.9,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left="311"/>
              <w:rPr>
                <w:sz w:val="20"/>
              </w:rPr>
            </w:pPr>
            <w:r>
              <w:rPr>
                <w:sz w:val="20"/>
              </w:rPr>
              <w:t>I43,</w:t>
            </w:r>
            <w:r>
              <w:rPr>
                <w:spacing w:val="-5"/>
                <w:sz w:val="20"/>
              </w:rPr>
              <w:t> </w:t>
            </w:r>
            <w:r>
              <w:rPr>
                <w:sz w:val="20"/>
              </w:rPr>
              <w:t>I43.0,</w:t>
            </w:r>
            <w:r>
              <w:rPr>
                <w:spacing w:val="-4"/>
                <w:sz w:val="20"/>
              </w:rPr>
              <w:t> </w:t>
            </w:r>
            <w:r>
              <w:rPr>
                <w:sz w:val="20"/>
              </w:rPr>
              <w:t>I43.1,</w:t>
            </w:r>
            <w:r>
              <w:rPr>
                <w:spacing w:val="-4"/>
                <w:sz w:val="20"/>
              </w:rPr>
              <w:t> </w:t>
            </w:r>
            <w:r>
              <w:rPr>
                <w:sz w:val="20"/>
              </w:rPr>
              <w:t>I43.2,</w:t>
            </w:r>
            <w:r>
              <w:rPr>
                <w:spacing w:val="-6"/>
                <w:sz w:val="20"/>
              </w:rPr>
              <w:t> </w:t>
            </w:r>
            <w:r>
              <w:rPr>
                <w:sz w:val="20"/>
              </w:rPr>
              <w:t>I43.8,</w:t>
            </w:r>
            <w:r>
              <w:rPr>
                <w:spacing w:val="-2"/>
                <w:sz w:val="20"/>
              </w:rPr>
              <w:t> </w:t>
            </w:r>
            <w:r>
              <w:rPr>
                <w:sz w:val="20"/>
              </w:rPr>
              <w:t>I44,</w:t>
            </w:r>
            <w:r>
              <w:rPr>
                <w:spacing w:val="-4"/>
                <w:sz w:val="20"/>
              </w:rPr>
              <w:t> </w:t>
            </w:r>
            <w:r>
              <w:rPr>
                <w:sz w:val="20"/>
              </w:rPr>
              <w:t>I44.0,</w:t>
            </w:r>
            <w:r>
              <w:rPr>
                <w:spacing w:val="-4"/>
                <w:sz w:val="20"/>
              </w:rPr>
              <w:t> </w:t>
            </w:r>
            <w:r>
              <w:rPr>
                <w:spacing w:val="-2"/>
                <w:sz w:val="20"/>
              </w:rPr>
              <w:t>I44.1,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00"/>
              <w:jc w:val="right"/>
              <w:rPr>
                <w:sz w:val="20"/>
              </w:rPr>
            </w:pPr>
            <w:r>
              <w:rPr>
                <w:sz w:val="20"/>
              </w:rPr>
              <w:t>I44.2,</w:t>
            </w:r>
            <w:r>
              <w:rPr>
                <w:spacing w:val="-5"/>
                <w:sz w:val="20"/>
              </w:rPr>
              <w:t> </w:t>
            </w:r>
            <w:r>
              <w:rPr>
                <w:sz w:val="20"/>
              </w:rPr>
              <w:t>I44.3,</w:t>
            </w:r>
            <w:r>
              <w:rPr>
                <w:spacing w:val="-6"/>
                <w:sz w:val="20"/>
              </w:rPr>
              <w:t> </w:t>
            </w:r>
            <w:r>
              <w:rPr>
                <w:sz w:val="20"/>
              </w:rPr>
              <w:t>I44.4,</w:t>
            </w:r>
            <w:r>
              <w:rPr>
                <w:spacing w:val="-5"/>
                <w:sz w:val="20"/>
              </w:rPr>
              <w:t> </w:t>
            </w:r>
            <w:r>
              <w:rPr>
                <w:sz w:val="20"/>
              </w:rPr>
              <w:t>I44.5,</w:t>
            </w:r>
            <w:r>
              <w:rPr>
                <w:spacing w:val="-4"/>
                <w:sz w:val="20"/>
              </w:rPr>
              <w:t> </w:t>
            </w:r>
            <w:r>
              <w:rPr>
                <w:sz w:val="20"/>
              </w:rPr>
              <w:t>I44.6,</w:t>
            </w:r>
            <w:r>
              <w:rPr>
                <w:spacing w:val="-5"/>
                <w:sz w:val="20"/>
              </w:rPr>
              <w:t> </w:t>
            </w:r>
            <w:r>
              <w:rPr>
                <w:sz w:val="20"/>
              </w:rPr>
              <w:t>I44.7,</w:t>
            </w:r>
            <w:r>
              <w:rPr>
                <w:spacing w:val="-6"/>
                <w:sz w:val="20"/>
              </w:rPr>
              <w:t> </w:t>
            </w:r>
            <w:r>
              <w:rPr>
                <w:sz w:val="20"/>
              </w:rPr>
              <w:t>I45,</w:t>
            </w:r>
            <w:r>
              <w:rPr>
                <w:spacing w:val="-7"/>
                <w:sz w:val="20"/>
              </w:rPr>
              <w:t> </w:t>
            </w:r>
            <w:r>
              <w:rPr>
                <w:spacing w:val="-2"/>
                <w:sz w:val="20"/>
              </w:rPr>
              <w:t>I45.0,</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26"/>
              <w:jc w:val="right"/>
              <w:rPr>
                <w:sz w:val="20"/>
              </w:rPr>
            </w:pPr>
            <w:r>
              <w:rPr>
                <w:sz w:val="20"/>
              </w:rPr>
              <w:t>I45.1,</w:t>
            </w:r>
            <w:r>
              <w:rPr>
                <w:spacing w:val="-5"/>
                <w:sz w:val="20"/>
              </w:rPr>
              <w:t> </w:t>
            </w:r>
            <w:r>
              <w:rPr>
                <w:sz w:val="20"/>
              </w:rPr>
              <w:t>I45.2,</w:t>
            </w:r>
            <w:r>
              <w:rPr>
                <w:spacing w:val="-7"/>
                <w:sz w:val="20"/>
              </w:rPr>
              <w:t> </w:t>
            </w:r>
            <w:r>
              <w:rPr>
                <w:sz w:val="20"/>
              </w:rPr>
              <w:t>I45.3,</w:t>
            </w:r>
            <w:r>
              <w:rPr>
                <w:spacing w:val="-5"/>
                <w:sz w:val="20"/>
              </w:rPr>
              <w:t> </w:t>
            </w:r>
            <w:r>
              <w:rPr>
                <w:sz w:val="20"/>
              </w:rPr>
              <w:t>I45.4,</w:t>
            </w:r>
            <w:r>
              <w:rPr>
                <w:spacing w:val="-5"/>
                <w:sz w:val="20"/>
              </w:rPr>
              <w:t> </w:t>
            </w:r>
            <w:r>
              <w:rPr>
                <w:sz w:val="20"/>
              </w:rPr>
              <w:t>I45.5,</w:t>
            </w:r>
            <w:r>
              <w:rPr>
                <w:spacing w:val="-5"/>
                <w:sz w:val="20"/>
              </w:rPr>
              <w:t> </w:t>
            </w:r>
            <w:r>
              <w:rPr>
                <w:sz w:val="20"/>
              </w:rPr>
              <w:t>I45.6,</w:t>
            </w:r>
            <w:r>
              <w:rPr>
                <w:spacing w:val="-6"/>
                <w:sz w:val="20"/>
              </w:rPr>
              <w:t> </w:t>
            </w:r>
            <w:r>
              <w:rPr>
                <w:sz w:val="20"/>
              </w:rPr>
              <w:t>I45.8,</w:t>
            </w:r>
            <w:r>
              <w:rPr>
                <w:spacing w:val="-5"/>
                <w:sz w:val="20"/>
              </w:rPr>
              <w:t> </w:t>
            </w:r>
            <w:r>
              <w:rPr>
                <w:spacing w:val="-2"/>
                <w:sz w:val="20"/>
              </w:rPr>
              <w:t>I45.9,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left="311"/>
              <w:rPr>
                <w:sz w:val="20"/>
              </w:rPr>
            </w:pPr>
            <w:r>
              <w:rPr>
                <w:sz w:val="20"/>
              </w:rPr>
              <w:t>I46,</w:t>
            </w:r>
            <w:r>
              <w:rPr>
                <w:spacing w:val="-5"/>
                <w:sz w:val="20"/>
              </w:rPr>
              <w:t> </w:t>
            </w:r>
            <w:r>
              <w:rPr>
                <w:sz w:val="20"/>
              </w:rPr>
              <w:t>I46.0,</w:t>
            </w:r>
            <w:r>
              <w:rPr>
                <w:spacing w:val="-5"/>
                <w:sz w:val="20"/>
              </w:rPr>
              <w:t> </w:t>
            </w:r>
            <w:r>
              <w:rPr>
                <w:sz w:val="20"/>
              </w:rPr>
              <w:t>I46.1,</w:t>
            </w:r>
            <w:r>
              <w:rPr>
                <w:spacing w:val="-5"/>
                <w:sz w:val="20"/>
              </w:rPr>
              <w:t> </w:t>
            </w:r>
            <w:r>
              <w:rPr>
                <w:sz w:val="20"/>
              </w:rPr>
              <w:t>I46.9,</w:t>
            </w:r>
            <w:r>
              <w:rPr>
                <w:spacing w:val="-6"/>
                <w:sz w:val="20"/>
              </w:rPr>
              <w:t> </w:t>
            </w:r>
            <w:r>
              <w:rPr>
                <w:sz w:val="20"/>
              </w:rPr>
              <w:t>I47,</w:t>
            </w:r>
            <w:r>
              <w:rPr>
                <w:spacing w:val="-5"/>
                <w:sz w:val="20"/>
              </w:rPr>
              <w:t> </w:t>
            </w:r>
            <w:r>
              <w:rPr>
                <w:sz w:val="20"/>
              </w:rPr>
              <w:t>I47.0,</w:t>
            </w:r>
            <w:r>
              <w:rPr>
                <w:spacing w:val="-4"/>
                <w:sz w:val="20"/>
              </w:rPr>
              <w:t> </w:t>
            </w:r>
            <w:r>
              <w:rPr>
                <w:sz w:val="20"/>
              </w:rPr>
              <w:t>I47.1,</w:t>
            </w:r>
            <w:r>
              <w:rPr>
                <w:spacing w:val="-5"/>
                <w:sz w:val="20"/>
              </w:rPr>
              <w:t> </w:t>
            </w:r>
            <w:r>
              <w:rPr>
                <w:spacing w:val="-2"/>
                <w:sz w:val="20"/>
              </w:rPr>
              <w:t>I47.2,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right="400"/>
              <w:jc w:val="right"/>
              <w:rPr>
                <w:sz w:val="20"/>
              </w:rPr>
            </w:pPr>
            <w:r>
              <w:rPr>
                <w:sz w:val="20"/>
              </w:rPr>
              <w:t>I47.9,</w:t>
            </w:r>
            <w:r>
              <w:rPr>
                <w:spacing w:val="-5"/>
                <w:sz w:val="20"/>
              </w:rPr>
              <w:t> </w:t>
            </w:r>
            <w:r>
              <w:rPr>
                <w:sz w:val="20"/>
              </w:rPr>
              <w:t>I48,</w:t>
            </w:r>
            <w:r>
              <w:rPr>
                <w:spacing w:val="-5"/>
                <w:sz w:val="20"/>
              </w:rPr>
              <w:t> </w:t>
            </w:r>
            <w:r>
              <w:rPr>
                <w:sz w:val="20"/>
              </w:rPr>
              <w:t>I48.0,</w:t>
            </w:r>
            <w:r>
              <w:rPr>
                <w:spacing w:val="-5"/>
                <w:sz w:val="20"/>
              </w:rPr>
              <w:t> </w:t>
            </w:r>
            <w:r>
              <w:rPr>
                <w:sz w:val="20"/>
              </w:rPr>
              <w:t>I48.1,</w:t>
            </w:r>
            <w:r>
              <w:rPr>
                <w:spacing w:val="-7"/>
                <w:sz w:val="20"/>
              </w:rPr>
              <w:t> </w:t>
            </w:r>
            <w:r>
              <w:rPr>
                <w:sz w:val="20"/>
              </w:rPr>
              <w:t>I48.2,</w:t>
            </w:r>
            <w:r>
              <w:rPr>
                <w:spacing w:val="-7"/>
                <w:sz w:val="20"/>
              </w:rPr>
              <w:t> </w:t>
            </w:r>
            <w:r>
              <w:rPr>
                <w:sz w:val="20"/>
              </w:rPr>
              <w:t>I48.3,</w:t>
            </w:r>
            <w:r>
              <w:rPr>
                <w:spacing w:val="-5"/>
                <w:sz w:val="20"/>
              </w:rPr>
              <w:t> </w:t>
            </w:r>
            <w:r>
              <w:rPr>
                <w:sz w:val="20"/>
              </w:rPr>
              <w:t>I48.4,</w:t>
            </w:r>
            <w:r>
              <w:rPr>
                <w:spacing w:val="-7"/>
                <w:sz w:val="20"/>
              </w:rPr>
              <w:t> </w:t>
            </w:r>
            <w:r>
              <w:rPr>
                <w:spacing w:val="-2"/>
                <w:sz w:val="20"/>
              </w:rPr>
              <w:t>I48.9,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97"/>
              <w:jc w:val="right"/>
              <w:rPr>
                <w:sz w:val="20"/>
              </w:rPr>
            </w:pPr>
            <w:r>
              <w:rPr>
                <w:sz w:val="20"/>
              </w:rPr>
              <w:t>I49,</w:t>
            </w:r>
            <w:r>
              <w:rPr>
                <w:spacing w:val="-5"/>
                <w:sz w:val="20"/>
              </w:rPr>
              <w:t> </w:t>
            </w:r>
            <w:r>
              <w:rPr>
                <w:sz w:val="20"/>
              </w:rPr>
              <w:t>I49.0,</w:t>
            </w:r>
            <w:r>
              <w:rPr>
                <w:spacing w:val="-4"/>
                <w:sz w:val="20"/>
              </w:rPr>
              <w:t> </w:t>
            </w:r>
            <w:r>
              <w:rPr>
                <w:sz w:val="20"/>
              </w:rPr>
              <w:t>I49.1,</w:t>
            </w:r>
            <w:r>
              <w:rPr>
                <w:spacing w:val="-4"/>
                <w:sz w:val="20"/>
              </w:rPr>
              <w:t> </w:t>
            </w:r>
            <w:r>
              <w:rPr>
                <w:sz w:val="20"/>
              </w:rPr>
              <w:t>I49.2,</w:t>
            </w:r>
            <w:r>
              <w:rPr>
                <w:spacing w:val="-6"/>
                <w:sz w:val="20"/>
              </w:rPr>
              <w:t> </w:t>
            </w:r>
            <w:r>
              <w:rPr>
                <w:sz w:val="20"/>
              </w:rPr>
              <w:t>I49.3,</w:t>
            </w:r>
            <w:r>
              <w:rPr>
                <w:spacing w:val="-6"/>
                <w:sz w:val="20"/>
              </w:rPr>
              <w:t> </w:t>
            </w:r>
            <w:r>
              <w:rPr>
                <w:sz w:val="20"/>
              </w:rPr>
              <w:t>I49.4,</w:t>
            </w:r>
            <w:r>
              <w:rPr>
                <w:spacing w:val="-4"/>
                <w:sz w:val="20"/>
              </w:rPr>
              <w:t> </w:t>
            </w:r>
            <w:r>
              <w:rPr>
                <w:sz w:val="20"/>
              </w:rPr>
              <w:t>I49.5,</w:t>
            </w:r>
            <w:r>
              <w:rPr>
                <w:spacing w:val="-6"/>
                <w:sz w:val="20"/>
              </w:rPr>
              <w:t> </w:t>
            </w:r>
            <w:r>
              <w:rPr>
                <w:spacing w:val="-2"/>
                <w:sz w:val="20"/>
              </w:rPr>
              <w:t>I49.8,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left="311"/>
              <w:rPr>
                <w:sz w:val="20"/>
              </w:rPr>
            </w:pPr>
            <w:r>
              <w:rPr>
                <w:sz w:val="20"/>
              </w:rPr>
              <w:t>I49.9,</w:t>
            </w:r>
            <w:r>
              <w:rPr>
                <w:spacing w:val="-5"/>
                <w:sz w:val="20"/>
              </w:rPr>
              <w:t> </w:t>
            </w:r>
            <w:r>
              <w:rPr>
                <w:sz w:val="20"/>
              </w:rPr>
              <w:t>I50,</w:t>
            </w:r>
            <w:r>
              <w:rPr>
                <w:spacing w:val="-5"/>
                <w:sz w:val="20"/>
              </w:rPr>
              <w:t> </w:t>
            </w:r>
            <w:r>
              <w:rPr>
                <w:sz w:val="20"/>
              </w:rPr>
              <w:t>I50.0,</w:t>
            </w:r>
            <w:r>
              <w:rPr>
                <w:spacing w:val="-4"/>
                <w:sz w:val="20"/>
              </w:rPr>
              <w:t> </w:t>
            </w:r>
            <w:r>
              <w:rPr>
                <w:sz w:val="20"/>
              </w:rPr>
              <w:t>I50.1,</w:t>
            </w:r>
            <w:r>
              <w:rPr>
                <w:spacing w:val="-7"/>
                <w:sz w:val="20"/>
              </w:rPr>
              <w:t> </w:t>
            </w:r>
            <w:r>
              <w:rPr>
                <w:sz w:val="20"/>
              </w:rPr>
              <w:t>I50.9,</w:t>
            </w:r>
            <w:r>
              <w:rPr>
                <w:spacing w:val="-6"/>
                <w:sz w:val="20"/>
              </w:rPr>
              <w:t> </w:t>
            </w:r>
            <w:r>
              <w:rPr>
                <w:sz w:val="20"/>
              </w:rPr>
              <w:t>I51,</w:t>
            </w:r>
            <w:r>
              <w:rPr>
                <w:spacing w:val="-5"/>
                <w:sz w:val="20"/>
              </w:rPr>
              <w:t> </w:t>
            </w:r>
            <w:r>
              <w:rPr>
                <w:sz w:val="20"/>
              </w:rPr>
              <w:t>I51.0,</w:t>
            </w:r>
            <w:r>
              <w:rPr>
                <w:spacing w:val="-4"/>
                <w:sz w:val="20"/>
              </w:rPr>
              <w:t> </w:t>
            </w:r>
            <w:r>
              <w:rPr>
                <w:spacing w:val="-2"/>
                <w:sz w:val="20"/>
              </w:rPr>
              <w:t>I51.1,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26"/>
              <w:jc w:val="right"/>
              <w:rPr>
                <w:sz w:val="20"/>
              </w:rPr>
            </w:pPr>
            <w:r>
              <w:rPr>
                <w:sz w:val="20"/>
              </w:rPr>
              <w:t>I51.2,</w:t>
            </w:r>
            <w:r>
              <w:rPr>
                <w:spacing w:val="-5"/>
                <w:sz w:val="20"/>
              </w:rPr>
              <w:t> </w:t>
            </w:r>
            <w:r>
              <w:rPr>
                <w:sz w:val="20"/>
              </w:rPr>
              <w:t>I51.3,</w:t>
            </w:r>
            <w:r>
              <w:rPr>
                <w:spacing w:val="-7"/>
                <w:sz w:val="20"/>
              </w:rPr>
              <w:t> </w:t>
            </w:r>
            <w:r>
              <w:rPr>
                <w:sz w:val="20"/>
              </w:rPr>
              <w:t>I51.4,</w:t>
            </w:r>
            <w:r>
              <w:rPr>
                <w:spacing w:val="-5"/>
                <w:sz w:val="20"/>
              </w:rPr>
              <w:t> </w:t>
            </w:r>
            <w:r>
              <w:rPr>
                <w:sz w:val="20"/>
              </w:rPr>
              <w:t>I51.5,</w:t>
            </w:r>
            <w:r>
              <w:rPr>
                <w:spacing w:val="-5"/>
                <w:sz w:val="20"/>
              </w:rPr>
              <w:t> </w:t>
            </w:r>
            <w:r>
              <w:rPr>
                <w:sz w:val="20"/>
              </w:rPr>
              <w:t>I51.6,</w:t>
            </w:r>
            <w:r>
              <w:rPr>
                <w:spacing w:val="-5"/>
                <w:sz w:val="20"/>
              </w:rPr>
              <w:t> </w:t>
            </w:r>
            <w:r>
              <w:rPr>
                <w:sz w:val="20"/>
              </w:rPr>
              <w:t>I51.7,</w:t>
            </w:r>
            <w:r>
              <w:rPr>
                <w:spacing w:val="-6"/>
                <w:sz w:val="20"/>
              </w:rPr>
              <w:t> </w:t>
            </w:r>
            <w:r>
              <w:rPr>
                <w:sz w:val="20"/>
              </w:rPr>
              <w:t>I51.8,</w:t>
            </w:r>
            <w:r>
              <w:rPr>
                <w:spacing w:val="-5"/>
                <w:sz w:val="20"/>
              </w:rPr>
              <w:t> </w:t>
            </w:r>
            <w:r>
              <w:rPr>
                <w:spacing w:val="-2"/>
                <w:sz w:val="20"/>
              </w:rPr>
              <w:t>I51.9,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I52,</w:t>
            </w:r>
            <w:r>
              <w:rPr>
                <w:spacing w:val="-5"/>
                <w:sz w:val="20"/>
              </w:rPr>
              <w:t> </w:t>
            </w:r>
            <w:r>
              <w:rPr>
                <w:sz w:val="20"/>
              </w:rPr>
              <w:t>I52.0,</w:t>
            </w:r>
            <w:r>
              <w:rPr>
                <w:spacing w:val="-5"/>
                <w:sz w:val="20"/>
              </w:rPr>
              <w:t> </w:t>
            </w:r>
            <w:r>
              <w:rPr>
                <w:sz w:val="20"/>
              </w:rPr>
              <w:t>I52.1,</w:t>
            </w:r>
            <w:r>
              <w:rPr>
                <w:spacing w:val="-5"/>
                <w:sz w:val="20"/>
              </w:rPr>
              <w:t> </w:t>
            </w:r>
            <w:r>
              <w:rPr>
                <w:sz w:val="20"/>
              </w:rPr>
              <w:t>I52.8,</w:t>
            </w:r>
            <w:r>
              <w:rPr>
                <w:spacing w:val="-6"/>
                <w:sz w:val="20"/>
              </w:rPr>
              <w:t> </w:t>
            </w:r>
            <w:r>
              <w:rPr>
                <w:sz w:val="20"/>
              </w:rPr>
              <w:t>I95,</w:t>
            </w:r>
            <w:r>
              <w:rPr>
                <w:spacing w:val="-5"/>
                <w:sz w:val="20"/>
              </w:rPr>
              <w:t> </w:t>
            </w:r>
            <w:r>
              <w:rPr>
                <w:sz w:val="20"/>
              </w:rPr>
              <w:t>I95.0,</w:t>
            </w:r>
            <w:r>
              <w:rPr>
                <w:spacing w:val="-4"/>
                <w:sz w:val="20"/>
              </w:rPr>
              <w:t> </w:t>
            </w:r>
            <w:r>
              <w:rPr>
                <w:sz w:val="20"/>
              </w:rPr>
              <w:t>I95.1,</w:t>
            </w:r>
            <w:r>
              <w:rPr>
                <w:spacing w:val="-5"/>
                <w:sz w:val="20"/>
              </w:rPr>
              <w:t> </w:t>
            </w:r>
            <w:r>
              <w:rPr>
                <w:spacing w:val="-2"/>
                <w:sz w:val="20"/>
              </w:rPr>
              <w:t>I95.2,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00"/>
              <w:rPr>
                <w:sz w:val="20"/>
              </w:rPr>
            </w:pPr>
            <w:r>
              <w:rPr>
                <w:sz w:val="20"/>
              </w:rPr>
              <w:t>I95.8,</w:t>
            </w:r>
            <w:r>
              <w:rPr>
                <w:spacing w:val="-5"/>
                <w:sz w:val="20"/>
              </w:rPr>
              <w:t> </w:t>
            </w:r>
            <w:r>
              <w:rPr>
                <w:sz w:val="20"/>
              </w:rPr>
              <w:t>I95.9,</w:t>
            </w:r>
            <w:r>
              <w:rPr>
                <w:spacing w:val="-5"/>
                <w:sz w:val="20"/>
              </w:rPr>
              <w:t> </w:t>
            </w:r>
            <w:r>
              <w:rPr>
                <w:sz w:val="20"/>
              </w:rPr>
              <w:t>Q20,</w:t>
            </w:r>
            <w:r>
              <w:rPr>
                <w:spacing w:val="-5"/>
                <w:sz w:val="20"/>
              </w:rPr>
              <w:t> </w:t>
            </w:r>
            <w:r>
              <w:rPr>
                <w:sz w:val="20"/>
              </w:rPr>
              <w:t>Q20.0,</w:t>
            </w:r>
            <w:r>
              <w:rPr>
                <w:spacing w:val="-6"/>
                <w:sz w:val="20"/>
              </w:rPr>
              <w:t> </w:t>
            </w:r>
            <w:r>
              <w:rPr>
                <w:sz w:val="20"/>
              </w:rPr>
              <w:t>Q20.1,</w:t>
            </w:r>
            <w:r>
              <w:rPr>
                <w:spacing w:val="-5"/>
                <w:sz w:val="20"/>
              </w:rPr>
              <w:t> </w:t>
            </w:r>
            <w:r>
              <w:rPr>
                <w:sz w:val="20"/>
              </w:rPr>
              <w:t>Q20.2,</w:t>
            </w:r>
            <w:r>
              <w:rPr>
                <w:spacing w:val="-5"/>
                <w:sz w:val="20"/>
              </w:rPr>
              <w:t> </w:t>
            </w:r>
            <w:r>
              <w:rPr>
                <w:spacing w:val="-2"/>
                <w:sz w:val="20"/>
              </w:rPr>
              <w:t>Q20.3,</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81"/>
              <w:jc w:val="right"/>
              <w:rPr>
                <w:sz w:val="20"/>
              </w:rPr>
            </w:pPr>
            <w:r>
              <w:rPr>
                <w:sz w:val="20"/>
              </w:rPr>
              <w:t>Q20.4,</w:t>
            </w:r>
            <w:r>
              <w:rPr>
                <w:spacing w:val="-4"/>
                <w:sz w:val="20"/>
              </w:rPr>
              <w:t> </w:t>
            </w:r>
            <w:r>
              <w:rPr>
                <w:sz w:val="20"/>
              </w:rPr>
              <w:t>Q20.5,</w:t>
            </w:r>
            <w:r>
              <w:rPr>
                <w:spacing w:val="-5"/>
                <w:sz w:val="20"/>
              </w:rPr>
              <w:t> </w:t>
            </w:r>
            <w:r>
              <w:rPr>
                <w:sz w:val="20"/>
              </w:rPr>
              <w:t>Q20.6,</w:t>
            </w:r>
            <w:r>
              <w:rPr>
                <w:spacing w:val="-4"/>
                <w:sz w:val="20"/>
              </w:rPr>
              <w:t> </w:t>
            </w:r>
            <w:r>
              <w:rPr>
                <w:sz w:val="20"/>
              </w:rPr>
              <w:t>Q20.8,</w:t>
            </w:r>
            <w:r>
              <w:rPr>
                <w:spacing w:val="-6"/>
                <w:sz w:val="20"/>
              </w:rPr>
              <w:t> </w:t>
            </w:r>
            <w:r>
              <w:rPr>
                <w:sz w:val="20"/>
              </w:rPr>
              <w:t>Q20.9,</w:t>
            </w:r>
            <w:r>
              <w:rPr>
                <w:spacing w:val="-3"/>
                <w:sz w:val="20"/>
              </w:rPr>
              <w:t> </w:t>
            </w:r>
            <w:r>
              <w:rPr>
                <w:sz w:val="20"/>
              </w:rPr>
              <w:t>Q21,</w:t>
            </w:r>
            <w:r>
              <w:rPr>
                <w:spacing w:val="-4"/>
                <w:sz w:val="20"/>
              </w:rPr>
              <w:t> </w:t>
            </w:r>
            <w:r>
              <w:rPr>
                <w:spacing w:val="-2"/>
                <w:sz w:val="20"/>
              </w:rPr>
              <w:t>Q21.0,</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84"/>
              <w:jc w:val="right"/>
              <w:rPr>
                <w:sz w:val="20"/>
              </w:rPr>
            </w:pPr>
            <w:r>
              <w:rPr>
                <w:sz w:val="20"/>
              </w:rPr>
              <w:t>Q21.1,</w:t>
            </w:r>
            <w:r>
              <w:rPr>
                <w:spacing w:val="-5"/>
                <w:sz w:val="20"/>
              </w:rPr>
              <w:t> </w:t>
            </w:r>
            <w:r>
              <w:rPr>
                <w:sz w:val="20"/>
              </w:rPr>
              <w:t>Q21.2,</w:t>
            </w:r>
            <w:r>
              <w:rPr>
                <w:spacing w:val="-5"/>
                <w:sz w:val="20"/>
              </w:rPr>
              <w:t> </w:t>
            </w:r>
            <w:r>
              <w:rPr>
                <w:sz w:val="20"/>
              </w:rPr>
              <w:t>Q21.3,</w:t>
            </w:r>
            <w:r>
              <w:rPr>
                <w:spacing w:val="-4"/>
                <w:sz w:val="20"/>
              </w:rPr>
              <w:t> </w:t>
            </w:r>
            <w:r>
              <w:rPr>
                <w:sz w:val="20"/>
              </w:rPr>
              <w:t>Q21.4,</w:t>
            </w:r>
            <w:r>
              <w:rPr>
                <w:spacing w:val="-6"/>
                <w:sz w:val="20"/>
              </w:rPr>
              <w:t> </w:t>
            </w:r>
            <w:r>
              <w:rPr>
                <w:sz w:val="20"/>
              </w:rPr>
              <w:t>Q21.8,</w:t>
            </w:r>
            <w:r>
              <w:rPr>
                <w:spacing w:val="-4"/>
                <w:sz w:val="20"/>
              </w:rPr>
              <w:t> </w:t>
            </w:r>
            <w:r>
              <w:rPr>
                <w:sz w:val="20"/>
              </w:rPr>
              <w:t>Q21.9,</w:t>
            </w:r>
            <w:r>
              <w:rPr>
                <w:spacing w:val="-6"/>
                <w:sz w:val="20"/>
              </w:rPr>
              <w:t> </w:t>
            </w:r>
            <w:r>
              <w:rPr>
                <w:spacing w:val="-4"/>
                <w:sz w:val="20"/>
              </w:rPr>
              <w:t>Q22,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444"/>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84"/>
              <w:jc w:val="right"/>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right="384"/>
              <w:jc w:val="right"/>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left="444"/>
              <w:rPr>
                <w:sz w:val="20"/>
              </w:rPr>
            </w:pPr>
            <w:r>
              <w:rPr>
                <w:sz w:val="20"/>
              </w:rPr>
              <w:t>Q24.2,</w:t>
            </w:r>
            <w:r>
              <w:rPr>
                <w:spacing w:val="-4"/>
                <w:sz w:val="20"/>
              </w:rPr>
              <w:t> </w:t>
            </w:r>
            <w:r>
              <w:rPr>
                <w:sz w:val="20"/>
              </w:rPr>
              <w:t>Q24.3,</w:t>
            </w:r>
            <w:r>
              <w:rPr>
                <w:spacing w:val="-6"/>
                <w:sz w:val="20"/>
              </w:rPr>
              <w:t> </w:t>
            </w:r>
            <w:r>
              <w:rPr>
                <w:sz w:val="20"/>
              </w:rPr>
              <w:t>Q24.4,</w:t>
            </w:r>
            <w:r>
              <w:rPr>
                <w:spacing w:val="-4"/>
                <w:sz w:val="20"/>
              </w:rPr>
              <w:t> </w:t>
            </w:r>
            <w:r>
              <w:rPr>
                <w:sz w:val="20"/>
              </w:rPr>
              <w:t>Q24.5,</w:t>
            </w:r>
            <w:r>
              <w:rPr>
                <w:spacing w:val="-6"/>
                <w:sz w:val="20"/>
              </w:rPr>
              <w:t> </w:t>
            </w:r>
            <w:r>
              <w:rPr>
                <w:sz w:val="20"/>
              </w:rPr>
              <w:t>Q24.6,</w:t>
            </w:r>
            <w:r>
              <w:rPr>
                <w:spacing w:val="-4"/>
                <w:sz w:val="20"/>
              </w:rPr>
              <w:t> </w:t>
            </w:r>
            <w:r>
              <w:rPr>
                <w:spacing w:val="-2"/>
                <w:sz w:val="20"/>
              </w:rPr>
              <w:t>Q24.8,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84"/>
              <w:jc w:val="right"/>
              <w:rPr>
                <w:sz w:val="20"/>
              </w:rPr>
            </w:pPr>
            <w:r>
              <w:rPr>
                <w:sz w:val="20"/>
              </w:rPr>
              <w:t>Q24.9,</w:t>
            </w:r>
            <w:r>
              <w:rPr>
                <w:spacing w:val="-6"/>
                <w:sz w:val="20"/>
              </w:rPr>
              <w:t> </w:t>
            </w:r>
            <w:r>
              <w:rPr>
                <w:sz w:val="20"/>
              </w:rPr>
              <w:t>Q25,</w:t>
            </w:r>
            <w:r>
              <w:rPr>
                <w:spacing w:val="-6"/>
                <w:sz w:val="20"/>
              </w:rPr>
              <w:t> </w:t>
            </w:r>
            <w:r>
              <w:rPr>
                <w:sz w:val="20"/>
              </w:rPr>
              <w:t>Q25.0,</w:t>
            </w:r>
            <w:r>
              <w:rPr>
                <w:spacing w:val="-5"/>
                <w:sz w:val="20"/>
              </w:rPr>
              <w:t> </w:t>
            </w:r>
            <w:r>
              <w:rPr>
                <w:sz w:val="20"/>
              </w:rPr>
              <w:t>Q25.1,</w:t>
            </w:r>
            <w:r>
              <w:rPr>
                <w:spacing w:val="-6"/>
                <w:sz w:val="20"/>
              </w:rPr>
              <w:t> </w:t>
            </w:r>
            <w:r>
              <w:rPr>
                <w:sz w:val="20"/>
              </w:rPr>
              <w:t>Q25.2,</w:t>
            </w:r>
            <w:r>
              <w:rPr>
                <w:spacing w:val="-5"/>
                <w:sz w:val="20"/>
              </w:rPr>
              <w:t> </w:t>
            </w:r>
            <w:r>
              <w:rPr>
                <w:sz w:val="20"/>
              </w:rPr>
              <w:t>Q25.3,</w:t>
            </w:r>
            <w:r>
              <w:rPr>
                <w:spacing w:val="-6"/>
                <w:sz w:val="20"/>
              </w:rPr>
              <w:t> </w:t>
            </w:r>
            <w:r>
              <w:rPr>
                <w:spacing w:val="-2"/>
                <w:sz w:val="20"/>
              </w:rPr>
              <w:t>Q25.4,</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93"/>
              <w:jc w:val="right"/>
              <w:rPr>
                <w:sz w:val="20"/>
              </w:rPr>
            </w:pPr>
            <w:r>
              <w:rPr>
                <w:sz w:val="20"/>
              </w:rPr>
              <w:t>Q25.5,</w:t>
            </w:r>
            <w:r>
              <w:rPr>
                <w:spacing w:val="-5"/>
                <w:sz w:val="20"/>
              </w:rPr>
              <w:t> </w:t>
            </w:r>
            <w:r>
              <w:rPr>
                <w:sz w:val="20"/>
              </w:rPr>
              <w:t>Q25.6,</w:t>
            </w:r>
            <w:r>
              <w:rPr>
                <w:spacing w:val="-6"/>
                <w:sz w:val="20"/>
              </w:rPr>
              <w:t> </w:t>
            </w:r>
            <w:r>
              <w:rPr>
                <w:sz w:val="20"/>
              </w:rPr>
              <w:t>Q25.7,</w:t>
            </w:r>
            <w:r>
              <w:rPr>
                <w:spacing w:val="-4"/>
                <w:sz w:val="20"/>
              </w:rPr>
              <w:t> </w:t>
            </w:r>
            <w:r>
              <w:rPr>
                <w:sz w:val="20"/>
              </w:rPr>
              <w:t>Q25.8,</w:t>
            </w:r>
            <w:r>
              <w:rPr>
                <w:spacing w:val="-6"/>
                <w:sz w:val="20"/>
              </w:rPr>
              <w:t> </w:t>
            </w:r>
            <w:r>
              <w:rPr>
                <w:sz w:val="20"/>
              </w:rPr>
              <w:t>Q25.9,</w:t>
            </w:r>
            <w:r>
              <w:rPr>
                <w:spacing w:val="-4"/>
                <w:sz w:val="20"/>
              </w:rPr>
              <w:t> </w:t>
            </w:r>
            <w:r>
              <w:rPr>
                <w:sz w:val="20"/>
              </w:rPr>
              <w:t>R00,</w:t>
            </w:r>
            <w:r>
              <w:rPr>
                <w:spacing w:val="-5"/>
                <w:sz w:val="20"/>
              </w:rPr>
              <w:t> </w:t>
            </w:r>
            <w:r>
              <w:rPr>
                <w:spacing w:val="-2"/>
                <w:sz w:val="20"/>
              </w:rPr>
              <w:t>R00.0,</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22"/>
              <w:jc w:val="right"/>
              <w:rPr>
                <w:sz w:val="20"/>
              </w:rPr>
            </w:pPr>
            <w:r>
              <w:rPr>
                <w:sz w:val="20"/>
              </w:rPr>
              <w:t>R00.1,</w:t>
            </w:r>
            <w:r>
              <w:rPr>
                <w:spacing w:val="-6"/>
                <w:sz w:val="20"/>
              </w:rPr>
              <w:t> </w:t>
            </w:r>
            <w:r>
              <w:rPr>
                <w:sz w:val="20"/>
              </w:rPr>
              <w:t>R00.2,</w:t>
            </w:r>
            <w:r>
              <w:rPr>
                <w:spacing w:val="-5"/>
                <w:sz w:val="20"/>
              </w:rPr>
              <w:t> </w:t>
            </w:r>
            <w:r>
              <w:rPr>
                <w:sz w:val="20"/>
              </w:rPr>
              <w:t>R00.8,</w:t>
            </w:r>
            <w:r>
              <w:rPr>
                <w:spacing w:val="-5"/>
                <w:sz w:val="20"/>
              </w:rPr>
              <w:t> </w:t>
            </w:r>
            <w:r>
              <w:rPr>
                <w:sz w:val="20"/>
              </w:rPr>
              <w:t>R01,</w:t>
            </w:r>
            <w:r>
              <w:rPr>
                <w:spacing w:val="-5"/>
                <w:sz w:val="20"/>
              </w:rPr>
              <w:t> </w:t>
            </w:r>
            <w:r>
              <w:rPr>
                <w:sz w:val="20"/>
              </w:rPr>
              <w:t>R01.0,</w:t>
            </w:r>
            <w:r>
              <w:rPr>
                <w:spacing w:val="-5"/>
                <w:sz w:val="20"/>
              </w:rPr>
              <w:t> </w:t>
            </w:r>
            <w:r>
              <w:rPr>
                <w:sz w:val="20"/>
              </w:rPr>
              <w:t>R01.1,</w:t>
            </w:r>
            <w:r>
              <w:rPr>
                <w:spacing w:val="-5"/>
                <w:sz w:val="20"/>
              </w:rPr>
              <w:t> </w:t>
            </w:r>
            <w:r>
              <w:rPr>
                <w:spacing w:val="-2"/>
                <w:sz w:val="20"/>
              </w:rPr>
              <w:t>R01.2,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26" w:lineRule="exact"/>
              <w:ind w:left="1454"/>
              <w:rPr>
                <w:sz w:val="20"/>
              </w:rPr>
            </w:pPr>
            <w:r>
              <w:rPr>
                <w:sz w:val="20"/>
              </w:rPr>
              <w:t>R03,</w:t>
            </w:r>
            <w:r>
              <w:rPr>
                <w:spacing w:val="-4"/>
                <w:sz w:val="20"/>
              </w:rPr>
              <w:t> </w:t>
            </w:r>
            <w:r>
              <w:rPr>
                <w:sz w:val="20"/>
              </w:rPr>
              <w:t>R03.0,</w:t>
            </w:r>
            <w:r>
              <w:rPr>
                <w:spacing w:val="-3"/>
                <w:sz w:val="20"/>
              </w:rPr>
              <w:t> </w:t>
            </w:r>
            <w:r>
              <w:rPr>
                <w:spacing w:val="-2"/>
                <w:sz w:val="20"/>
              </w:rPr>
              <w:t>R03.1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03" w:type="dxa"/>
          </w:tcPr>
          <w:p>
            <w:pPr>
              <w:pStyle w:val="TableParagraph"/>
              <w:spacing w:line="214" w:lineRule="exact" w:before="46"/>
              <w:ind w:left="50"/>
              <w:rPr>
                <w:sz w:val="20"/>
              </w:rPr>
            </w:pPr>
            <w:r>
              <w:rPr>
                <w:spacing w:val="-2"/>
                <w:sz w:val="20"/>
              </w:rPr>
              <w:t>ds13.003</w:t>
            </w:r>
          </w:p>
        </w:tc>
        <w:tc>
          <w:tcPr>
            <w:tcW w:w="645" w:type="dxa"/>
          </w:tcPr>
          <w:p>
            <w:pPr>
              <w:pStyle w:val="TableParagraph"/>
              <w:spacing w:line="214" w:lineRule="exact" w:before="46"/>
              <w:ind w:left="211" w:right="203"/>
              <w:jc w:val="center"/>
              <w:rPr>
                <w:sz w:val="20"/>
              </w:rPr>
            </w:pPr>
            <w:r>
              <w:rPr>
                <w:spacing w:val="-5"/>
                <w:sz w:val="20"/>
              </w:rPr>
              <w:t>39</w:t>
            </w:r>
          </w:p>
        </w:tc>
        <w:tc>
          <w:tcPr>
            <w:tcW w:w="2543" w:type="dxa"/>
          </w:tcPr>
          <w:p>
            <w:pPr>
              <w:pStyle w:val="TableParagraph"/>
              <w:spacing w:line="214" w:lineRule="exact" w:before="46"/>
              <w:ind w:left="215" w:right="171"/>
              <w:jc w:val="center"/>
              <w:rPr>
                <w:sz w:val="20"/>
              </w:rPr>
            </w:pPr>
            <w:r>
              <w:rPr>
                <w:sz w:val="20"/>
              </w:rPr>
              <w:t>Лечение</w:t>
            </w:r>
            <w:r>
              <w:rPr>
                <w:spacing w:val="-10"/>
                <w:sz w:val="20"/>
              </w:rPr>
              <w:t> </w:t>
            </w:r>
            <w:r>
              <w:rPr>
                <w:spacing w:val="-2"/>
                <w:sz w:val="20"/>
              </w:rPr>
              <w:t>наследственных</w:t>
            </w:r>
          </w:p>
        </w:tc>
        <w:tc>
          <w:tcPr>
            <w:tcW w:w="4565" w:type="dxa"/>
          </w:tcPr>
          <w:p>
            <w:pPr>
              <w:pStyle w:val="TableParagraph"/>
              <w:spacing w:line="214" w:lineRule="exact" w:before="46"/>
              <w:ind w:right="342"/>
              <w:jc w:val="right"/>
              <w:rPr>
                <w:sz w:val="20"/>
              </w:rPr>
            </w:pPr>
            <w:r>
              <w:rPr>
                <w:sz w:val="20"/>
              </w:rPr>
              <w:t>D59.8,</w:t>
            </w:r>
            <w:r>
              <w:rPr>
                <w:spacing w:val="-4"/>
                <w:sz w:val="20"/>
              </w:rPr>
              <w:t> </w:t>
            </w:r>
            <w:r>
              <w:rPr>
                <w:sz w:val="20"/>
              </w:rPr>
              <w:t>D89.1</w:t>
            </w:r>
            <w:r>
              <w:rPr>
                <w:spacing w:val="-5"/>
                <w:sz w:val="20"/>
              </w:rPr>
              <w:t> </w:t>
            </w:r>
            <w:r>
              <w:rPr>
                <w:sz w:val="20"/>
              </w:rPr>
              <w:t>,</w:t>
            </w:r>
            <w:r>
              <w:rPr>
                <w:spacing w:val="-4"/>
                <w:sz w:val="20"/>
              </w:rPr>
              <w:t> </w:t>
            </w:r>
            <w:r>
              <w:rPr>
                <w:sz w:val="20"/>
              </w:rPr>
              <w:t>E78.0,</w:t>
            </w:r>
            <w:r>
              <w:rPr>
                <w:spacing w:val="-3"/>
                <w:sz w:val="20"/>
              </w:rPr>
              <w:t> </w:t>
            </w:r>
            <w:r>
              <w:rPr>
                <w:sz w:val="20"/>
              </w:rPr>
              <w:t>E78.1,</w:t>
            </w:r>
            <w:r>
              <w:rPr>
                <w:spacing w:val="-6"/>
                <w:sz w:val="20"/>
              </w:rPr>
              <w:t> </w:t>
            </w:r>
            <w:r>
              <w:rPr>
                <w:sz w:val="20"/>
              </w:rPr>
              <w:t>E78.2,</w:t>
            </w:r>
            <w:r>
              <w:rPr>
                <w:spacing w:val="-6"/>
                <w:sz w:val="20"/>
              </w:rPr>
              <w:t> </w:t>
            </w:r>
            <w:r>
              <w:rPr>
                <w:sz w:val="20"/>
              </w:rPr>
              <w:t>E78.3,</w:t>
            </w:r>
            <w:r>
              <w:rPr>
                <w:spacing w:val="-3"/>
                <w:sz w:val="20"/>
              </w:rPr>
              <w:t> </w:t>
            </w:r>
            <w:r>
              <w:rPr>
                <w:spacing w:val="-2"/>
                <w:sz w:val="20"/>
              </w:rPr>
              <w:t>E78.4,</w:t>
            </w:r>
          </w:p>
        </w:tc>
        <w:tc>
          <w:tcPr>
            <w:tcW w:w="3516" w:type="dxa"/>
          </w:tcPr>
          <w:p>
            <w:pPr>
              <w:pStyle w:val="TableParagraph"/>
              <w:spacing w:line="214" w:lineRule="exact" w:before="46"/>
              <w:ind w:left="348"/>
              <w:rPr>
                <w:sz w:val="20"/>
              </w:rPr>
            </w:pPr>
            <w:r>
              <w:rPr>
                <w:w w:val="95"/>
                <w:sz w:val="20"/>
              </w:rPr>
              <w:t>A18.05.001.002,</w:t>
            </w:r>
            <w:r>
              <w:rPr>
                <w:spacing w:val="54"/>
                <w:sz w:val="20"/>
              </w:rPr>
              <w:t> </w:t>
            </w:r>
            <w:r>
              <w:rPr>
                <w:spacing w:val="-2"/>
                <w:sz w:val="20"/>
              </w:rPr>
              <w:t>A18.05.007</w:t>
            </w:r>
          </w:p>
        </w:tc>
        <w:tc>
          <w:tcPr>
            <w:tcW w:w="1759" w:type="dxa"/>
          </w:tcPr>
          <w:p>
            <w:pPr>
              <w:pStyle w:val="TableParagraph"/>
              <w:spacing w:line="214" w:lineRule="exact" w:before="46"/>
              <w:ind w:right="18"/>
              <w:jc w:val="center"/>
              <w:rPr>
                <w:sz w:val="20"/>
              </w:rPr>
            </w:pPr>
            <w:r>
              <w:rPr>
                <w:w w:val="99"/>
                <w:sz w:val="20"/>
              </w:rPr>
              <w:t>-</w:t>
            </w:r>
          </w:p>
        </w:tc>
        <w:tc>
          <w:tcPr>
            <w:tcW w:w="1260" w:type="dxa"/>
          </w:tcPr>
          <w:p>
            <w:pPr>
              <w:pStyle w:val="TableParagraph"/>
              <w:spacing w:line="214" w:lineRule="exact" w:before="46"/>
              <w:ind w:right="44"/>
              <w:jc w:val="right"/>
              <w:rPr>
                <w:sz w:val="20"/>
              </w:rPr>
            </w:pPr>
            <w:r>
              <w:rPr>
                <w:spacing w:val="-4"/>
                <w:sz w:val="20"/>
              </w:rPr>
              <w:t>5,07</w:t>
            </w:r>
          </w:p>
        </w:tc>
      </w:tr>
      <w:tr>
        <w:trPr>
          <w:trHeight w:val="224" w:hRule="atLeast"/>
        </w:trPr>
        <w:tc>
          <w:tcPr>
            <w:tcW w:w="1003" w:type="dxa"/>
          </w:tcPr>
          <w:p>
            <w:pPr>
              <w:pStyle w:val="TableParagraph"/>
              <w:rPr>
                <w:sz w:val="16"/>
              </w:rPr>
            </w:pPr>
          </w:p>
        </w:tc>
        <w:tc>
          <w:tcPr>
            <w:tcW w:w="645" w:type="dxa"/>
          </w:tcPr>
          <w:p>
            <w:pPr>
              <w:pStyle w:val="TableParagraph"/>
              <w:rPr>
                <w:sz w:val="16"/>
              </w:rPr>
            </w:pPr>
          </w:p>
        </w:tc>
        <w:tc>
          <w:tcPr>
            <w:tcW w:w="2543" w:type="dxa"/>
          </w:tcPr>
          <w:p>
            <w:pPr>
              <w:pStyle w:val="TableParagraph"/>
              <w:spacing w:line="204" w:lineRule="exact"/>
              <w:ind w:left="163" w:right="173"/>
              <w:jc w:val="center"/>
              <w:rPr>
                <w:sz w:val="20"/>
              </w:rPr>
            </w:pPr>
            <w:r>
              <w:rPr>
                <w:spacing w:val="-2"/>
                <w:sz w:val="20"/>
              </w:rPr>
              <w:t>атерогенных</w:t>
            </w:r>
            <w:r>
              <w:rPr>
                <w:spacing w:val="9"/>
                <w:sz w:val="20"/>
              </w:rPr>
              <w:t> </w:t>
            </w:r>
            <w:r>
              <w:rPr>
                <w:spacing w:val="-2"/>
                <w:sz w:val="20"/>
              </w:rPr>
              <w:t>нарушений</w:t>
            </w:r>
          </w:p>
        </w:tc>
        <w:tc>
          <w:tcPr>
            <w:tcW w:w="4565" w:type="dxa"/>
          </w:tcPr>
          <w:p>
            <w:pPr>
              <w:pStyle w:val="TableParagraph"/>
              <w:spacing w:line="204" w:lineRule="exact"/>
              <w:ind w:right="393"/>
              <w:jc w:val="right"/>
              <w:rPr>
                <w:sz w:val="20"/>
              </w:rPr>
            </w:pPr>
            <w:r>
              <w:rPr>
                <w:sz w:val="20"/>
              </w:rPr>
              <w:t>E78.8,</w:t>
            </w:r>
            <w:r>
              <w:rPr>
                <w:spacing w:val="-6"/>
                <w:sz w:val="20"/>
              </w:rPr>
              <w:t> </w:t>
            </w:r>
            <w:r>
              <w:rPr>
                <w:sz w:val="20"/>
              </w:rPr>
              <w:t>G25.8,</w:t>
            </w:r>
            <w:r>
              <w:rPr>
                <w:spacing w:val="-5"/>
                <w:sz w:val="20"/>
              </w:rPr>
              <w:t> </w:t>
            </w:r>
            <w:r>
              <w:rPr>
                <w:sz w:val="20"/>
              </w:rPr>
              <w:t>G35,</w:t>
            </w:r>
            <w:r>
              <w:rPr>
                <w:spacing w:val="-1"/>
                <w:sz w:val="20"/>
              </w:rPr>
              <w:t> </w:t>
            </w:r>
            <w:r>
              <w:rPr>
                <w:sz w:val="20"/>
              </w:rPr>
              <w:t>G36.0,</w:t>
            </w:r>
            <w:r>
              <w:rPr>
                <w:spacing w:val="-4"/>
                <w:sz w:val="20"/>
              </w:rPr>
              <w:t> </w:t>
            </w:r>
            <w:r>
              <w:rPr>
                <w:sz w:val="20"/>
              </w:rPr>
              <w:t>G37.3,</w:t>
            </w:r>
            <w:r>
              <w:rPr>
                <w:spacing w:val="-4"/>
                <w:sz w:val="20"/>
              </w:rPr>
              <w:t> </w:t>
            </w:r>
            <w:r>
              <w:rPr>
                <w:sz w:val="20"/>
              </w:rPr>
              <w:t>G61.8,</w:t>
            </w:r>
            <w:r>
              <w:rPr>
                <w:spacing w:val="-4"/>
                <w:sz w:val="20"/>
              </w:rPr>
              <w:t> </w:t>
            </w:r>
            <w:r>
              <w:rPr>
                <w:spacing w:val="-2"/>
                <w:sz w:val="20"/>
              </w:rPr>
              <w:t>G61.9,</w:t>
            </w:r>
          </w:p>
        </w:tc>
        <w:tc>
          <w:tcPr>
            <w:tcW w:w="3516" w:type="dxa"/>
          </w:tcPr>
          <w:p>
            <w:pPr>
              <w:pStyle w:val="TableParagraph"/>
              <w:rPr>
                <w:sz w:val="16"/>
              </w:rPr>
            </w:pPr>
          </w:p>
        </w:tc>
        <w:tc>
          <w:tcPr>
            <w:tcW w:w="1759"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614"/>
        <w:gridCol w:w="4487"/>
        <w:gridCol w:w="3710"/>
        <w:gridCol w:w="1572"/>
        <w:gridCol w:w="1260"/>
      </w:tblGrid>
      <w:tr>
        <w:trPr>
          <w:trHeight w:val="2114" w:hRule="atLeast"/>
        </w:trPr>
        <w:tc>
          <w:tcPr>
            <w:tcW w:w="1003" w:type="dxa"/>
          </w:tcPr>
          <w:p>
            <w:pPr>
              <w:pStyle w:val="TableParagraph"/>
              <w:rPr>
                <w:sz w:val="18"/>
              </w:rPr>
            </w:pPr>
          </w:p>
        </w:tc>
        <w:tc>
          <w:tcPr>
            <w:tcW w:w="645" w:type="dxa"/>
          </w:tcPr>
          <w:p>
            <w:pPr>
              <w:pStyle w:val="TableParagraph"/>
              <w:rPr>
                <w:sz w:val="18"/>
              </w:rPr>
            </w:pPr>
          </w:p>
        </w:tc>
        <w:tc>
          <w:tcPr>
            <w:tcW w:w="2614" w:type="dxa"/>
          </w:tcPr>
          <w:p>
            <w:pPr>
              <w:pStyle w:val="TableParagraph"/>
              <w:ind w:left="219" w:right="248"/>
              <w:rPr>
                <w:sz w:val="20"/>
              </w:rPr>
            </w:pPr>
            <w:r>
              <w:rPr>
                <w:sz w:val="20"/>
              </w:rPr>
              <w:t>липидного обмена с применением методов афереза (липидная фильтрация, афинная и </w:t>
            </w:r>
            <w:r>
              <w:rPr>
                <w:spacing w:val="-2"/>
                <w:sz w:val="20"/>
              </w:rPr>
              <w:t>иммуносорбция </w:t>
            </w:r>
            <w:r>
              <w:rPr>
                <w:sz w:val="20"/>
              </w:rPr>
              <w:t>липопротеидов)</w:t>
            </w:r>
            <w:r>
              <w:rPr>
                <w:spacing w:val="-13"/>
                <w:sz w:val="20"/>
              </w:rPr>
              <w:t> </w:t>
            </w:r>
            <w:r>
              <w:rPr>
                <w:sz w:val="20"/>
              </w:rPr>
              <w:t>в</w:t>
            </w:r>
            <w:r>
              <w:rPr>
                <w:spacing w:val="-12"/>
                <w:sz w:val="20"/>
              </w:rPr>
              <w:t> </w:t>
            </w:r>
            <w:r>
              <w:rPr>
                <w:sz w:val="20"/>
              </w:rPr>
              <w:t>случае </w:t>
            </w:r>
            <w:r>
              <w:rPr>
                <w:spacing w:val="-2"/>
                <w:sz w:val="20"/>
              </w:rPr>
              <w:t>отсутствия </w:t>
            </w:r>
            <w:r>
              <w:rPr>
                <w:sz w:val="20"/>
              </w:rPr>
              <w:t>эффективности</w:t>
            </w:r>
            <w:r>
              <w:rPr>
                <w:spacing w:val="-13"/>
                <w:sz w:val="20"/>
              </w:rPr>
              <w:t> </w:t>
            </w:r>
            <w:r>
              <w:rPr>
                <w:sz w:val="20"/>
              </w:rPr>
              <w:t>базисной </w:t>
            </w:r>
            <w:r>
              <w:rPr>
                <w:spacing w:val="-2"/>
                <w:sz w:val="20"/>
              </w:rPr>
              <w:t>терапии</w:t>
            </w:r>
          </w:p>
        </w:tc>
        <w:tc>
          <w:tcPr>
            <w:tcW w:w="4487" w:type="dxa"/>
          </w:tcPr>
          <w:p>
            <w:pPr>
              <w:pStyle w:val="TableParagraph"/>
              <w:ind w:left="987" w:hanging="795"/>
              <w:rPr>
                <w:sz w:val="20"/>
              </w:rPr>
            </w:pPr>
            <w:r>
              <w:rPr>
                <w:sz w:val="20"/>
              </w:rPr>
              <w:t>G70.0,</w:t>
            </w:r>
            <w:r>
              <w:rPr>
                <w:spacing w:val="-6"/>
                <w:sz w:val="20"/>
              </w:rPr>
              <w:t> </w:t>
            </w:r>
            <w:r>
              <w:rPr>
                <w:sz w:val="20"/>
              </w:rPr>
              <w:t>G70.8,</w:t>
            </w:r>
            <w:r>
              <w:rPr>
                <w:spacing w:val="-8"/>
                <w:sz w:val="20"/>
              </w:rPr>
              <w:t> </w:t>
            </w:r>
            <w:r>
              <w:rPr>
                <w:sz w:val="20"/>
              </w:rPr>
              <w:t>G73.1,</w:t>
            </w:r>
            <w:r>
              <w:rPr>
                <w:spacing w:val="-6"/>
                <w:sz w:val="20"/>
              </w:rPr>
              <w:t> </w:t>
            </w:r>
            <w:r>
              <w:rPr>
                <w:sz w:val="20"/>
              </w:rPr>
              <w:t>I42.0,</w:t>
            </w:r>
            <w:r>
              <w:rPr>
                <w:spacing w:val="-8"/>
                <w:sz w:val="20"/>
              </w:rPr>
              <w:t> </w:t>
            </w:r>
            <w:r>
              <w:rPr>
                <w:sz w:val="20"/>
              </w:rPr>
              <w:t>I73.0,</w:t>
            </w:r>
            <w:r>
              <w:rPr>
                <w:spacing w:val="-8"/>
                <w:sz w:val="20"/>
              </w:rPr>
              <w:t> </w:t>
            </w:r>
            <w:r>
              <w:rPr>
                <w:sz w:val="20"/>
              </w:rPr>
              <w:t>I73.1,</w:t>
            </w:r>
            <w:r>
              <w:rPr>
                <w:spacing w:val="-6"/>
                <w:sz w:val="20"/>
              </w:rPr>
              <w:t> </w:t>
            </w:r>
            <w:r>
              <w:rPr>
                <w:sz w:val="20"/>
              </w:rPr>
              <w:t>K74.3, K75.4, L10.0, M32.1, N04.1</w:t>
            </w:r>
          </w:p>
        </w:tc>
        <w:tc>
          <w:tcPr>
            <w:tcW w:w="3710" w:type="dxa"/>
          </w:tcPr>
          <w:p>
            <w:pPr>
              <w:pStyle w:val="TableParagraph"/>
              <w:rPr>
                <w:sz w:val="18"/>
              </w:rPr>
            </w:pPr>
          </w:p>
        </w:tc>
        <w:tc>
          <w:tcPr>
            <w:tcW w:w="1572" w:type="dxa"/>
          </w:tcPr>
          <w:p>
            <w:pPr>
              <w:pStyle w:val="TableParagraph"/>
              <w:rPr>
                <w:sz w:val="18"/>
              </w:rPr>
            </w:pPr>
          </w:p>
        </w:tc>
        <w:tc>
          <w:tcPr>
            <w:tcW w:w="1260" w:type="dxa"/>
          </w:tcPr>
          <w:p>
            <w:pPr>
              <w:pStyle w:val="TableParagraph"/>
              <w:rPr>
                <w:sz w:val="18"/>
              </w:rPr>
            </w:pPr>
          </w:p>
        </w:tc>
      </w:tr>
      <w:tr>
        <w:trPr>
          <w:trHeight w:val="330" w:hRule="atLeast"/>
        </w:trPr>
        <w:tc>
          <w:tcPr>
            <w:tcW w:w="1003" w:type="dxa"/>
          </w:tcPr>
          <w:p>
            <w:pPr>
              <w:pStyle w:val="TableParagraph"/>
              <w:spacing w:before="46"/>
              <w:ind w:left="39" w:right="211"/>
              <w:jc w:val="center"/>
              <w:rPr>
                <w:sz w:val="20"/>
              </w:rPr>
            </w:pPr>
            <w:r>
              <w:rPr>
                <w:spacing w:val="-4"/>
                <w:sz w:val="20"/>
              </w:rPr>
              <w:t>ds14</w:t>
            </w:r>
          </w:p>
        </w:tc>
        <w:tc>
          <w:tcPr>
            <w:tcW w:w="645" w:type="dxa"/>
          </w:tcPr>
          <w:p>
            <w:pPr>
              <w:pStyle w:val="TableParagraph"/>
              <w:spacing w:before="46"/>
              <w:ind w:right="215"/>
              <w:jc w:val="right"/>
              <w:rPr>
                <w:sz w:val="20"/>
              </w:rPr>
            </w:pPr>
            <w:r>
              <w:rPr>
                <w:spacing w:val="-5"/>
                <w:sz w:val="20"/>
              </w:rPr>
              <w:t>14</w:t>
            </w:r>
          </w:p>
        </w:tc>
        <w:tc>
          <w:tcPr>
            <w:tcW w:w="2614" w:type="dxa"/>
          </w:tcPr>
          <w:p>
            <w:pPr>
              <w:pStyle w:val="TableParagraph"/>
              <w:rPr>
                <w:sz w:val="18"/>
              </w:rPr>
            </w:pPr>
          </w:p>
        </w:tc>
        <w:tc>
          <w:tcPr>
            <w:tcW w:w="4487" w:type="dxa"/>
          </w:tcPr>
          <w:p>
            <w:pPr>
              <w:pStyle w:val="TableParagraph"/>
              <w:spacing w:before="46"/>
              <w:ind w:right="-29"/>
              <w:jc w:val="right"/>
              <w:rPr>
                <w:sz w:val="20"/>
              </w:rPr>
            </w:pPr>
            <w:r>
              <w:rPr>
                <w:spacing w:val="-2"/>
                <w:sz w:val="20"/>
              </w:rPr>
              <w:t>Колопроктология</w:t>
            </w:r>
          </w:p>
        </w:tc>
        <w:tc>
          <w:tcPr>
            <w:tcW w:w="3710" w:type="dxa"/>
          </w:tcPr>
          <w:p>
            <w:pPr>
              <w:pStyle w:val="TableParagraph"/>
              <w:rPr>
                <w:sz w:val="18"/>
              </w:rPr>
            </w:pPr>
          </w:p>
        </w:tc>
        <w:tc>
          <w:tcPr>
            <w:tcW w:w="1572" w:type="dxa"/>
          </w:tcPr>
          <w:p>
            <w:pPr>
              <w:pStyle w:val="TableParagraph"/>
              <w:rPr>
                <w:sz w:val="18"/>
              </w:rPr>
            </w:pPr>
          </w:p>
        </w:tc>
        <w:tc>
          <w:tcPr>
            <w:tcW w:w="1260" w:type="dxa"/>
          </w:tcPr>
          <w:p>
            <w:pPr>
              <w:pStyle w:val="TableParagraph"/>
              <w:spacing w:before="46"/>
              <w:ind w:right="44"/>
              <w:jc w:val="right"/>
              <w:rPr>
                <w:sz w:val="20"/>
              </w:rPr>
            </w:pPr>
            <w:r>
              <w:rPr>
                <w:spacing w:val="-4"/>
                <w:sz w:val="20"/>
              </w:rPr>
              <w:t>1,70</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ds14.001</w:t>
            </w:r>
          </w:p>
        </w:tc>
        <w:tc>
          <w:tcPr>
            <w:tcW w:w="645" w:type="dxa"/>
          </w:tcPr>
          <w:p>
            <w:pPr>
              <w:pStyle w:val="TableParagraph"/>
              <w:spacing w:line="215" w:lineRule="exact" w:before="45"/>
              <w:ind w:right="215"/>
              <w:jc w:val="right"/>
              <w:rPr>
                <w:sz w:val="20"/>
              </w:rPr>
            </w:pPr>
            <w:r>
              <w:rPr>
                <w:spacing w:val="-5"/>
                <w:sz w:val="20"/>
              </w:rPr>
              <w:t>40</w:t>
            </w:r>
          </w:p>
        </w:tc>
        <w:tc>
          <w:tcPr>
            <w:tcW w:w="2614" w:type="dxa"/>
          </w:tcPr>
          <w:p>
            <w:pPr>
              <w:pStyle w:val="TableParagraph"/>
              <w:spacing w:line="215" w:lineRule="exact" w:before="45"/>
              <w:ind w:left="219"/>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4487" w:type="dxa"/>
          </w:tcPr>
          <w:p>
            <w:pPr>
              <w:pStyle w:val="TableParagraph"/>
              <w:spacing w:line="215" w:lineRule="exact" w:before="45"/>
              <w:ind w:right="221"/>
              <w:jc w:val="center"/>
              <w:rPr>
                <w:sz w:val="20"/>
              </w:rPr>
            </w:pPr>
            <w:r>
              <w:rPr>
                <w:w w:val="99"/>
                <w:sz w:val="20"/>
              </w:rPr>
              <w:t>-</w:t>
            </w:r>
          </w:p>
        </w:tc>
        <w:tc>
          <w:tcPr>
            <w:tcW w:w="3710" w:type="dxa"/>
          </w:tcPr>
          <w:p>
            <w:pPr>
              <w:pStyle w:val="TableParagraph"/>
              <w:spacing w:line="215" w:lineRule="exact" w:before="45"/>
              <w:ind w:left="-17" w:right="641"/>
              <w:jc w:val="center"/>
              <w:rPr>
                <w:sz w:val="20"/>
              </w:rPr>
            </w:pPr>
            <w:r>
              <w:rPr>
                <w:sz w:val="20"/>
              </w:rPr>
              <w:t>A16.19.003,</w:t>
            </w:r>
            <w:r>
              <w:rPr>
                <w:spacing w:val="-8"/>
                <w:sz w:val="20"/>
              </w:rPr>
              <w:t> </w:t>
            </w:r>
            <w:r>
              <w:rPr>
                <w:sz w:val="20"/>
              </w:rPr>
              <w:t>A16.19.008,</w:t>
            </w:r>
            <w:r>
              <w:rPr>
                <w:spacing w:val="-9"/>
                <w:sz w:val="20"/>
              </w:rPr>
              <w:t> </w:t>
            </w:r>
            <w:r>
              <w:rPr>
                <w:spacing w:val="-2"/>
                <w:sz w:val="20"/>
              </w:rPr>
              <w:t>A16.19.010,</w:t>
            </w:r>
          </w:p>
        </w:tc>
        <w:tc>
          <w:tcPr>
            <w:tcW w:w="1572" w:type="dxa"/>
          </w:tcPr>
          <w:p>
            <w:pPr>
              <w:pStyle w:val="TableParagraph"/>
              <w:spacing w:line="215" w:lineRule="exact" w:before="45"/>
              <w:ind w:left="649"/>
              <w:rPr>
                <w:sz w:val="20"/>
              </w:rPr>
            </w:pPr>
            <w:r>
              <w:rPr>
                <w:w w:val="99"/>
                <w:sz w:val="20"/>
              </w:rPr>
              <w:t>-</w:t>
            </w:r>
          </w:p>
        </w:tc>
        <w:tc>
          <w:tcPr>
            <w:tcW w:w="1260" w:type="dxa"/>
          </w:tcPr>
          <w:p>
            <w:pPr>
              <w:pStyle w:val="TableParagraph"/>
              <w:spacing w:line="215" w:lineRule="exact" w:before="45"/>
              <w:ind w:right="44"/>
              <w:jc w:val="right"/>
              <w:rPr>
                <w:sz w:val="20"/>
              </w:rPr>
            </w:pPr>
            <w:r>
              <w:rPr>
                <w:spacing w:val="-4"/>
                <w:sz w:val="20"/>
              </w:rPr>
              <w:t>1,53</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анальной</w:t>
            </w:r>
            <w:r>
              <w:rPr>
                <w:spacing w:val="-10"/>
                <w:sz w:val="20"/>
              </w:rPr>
              <w:t> </w:t>
            </w:r>
            <w:r>
              <w:rPr>
                <w:spacing w:val="-2"/>
                <w:sz w:val="20"/>
              </w:rPr>
              <w:t>области</w:t>
            </w:r>
          </w:p>
        </w:tc>
        <w:tc>
          <w:tcPr>
            <w:tcW w:w="4487" w:type="dxa"/>
          </w:tcPr>
          <w:p>
            <w:pPr>
              <w:pStyle w:val="TableParagraph"/>
              <w:rPr>
                <w:sz w:val="16"/>
              </w:rPr>
            </w:pPr>
          </w:p>
        </w:tc>
        <w:tc>
          <w:tcPr>
            <w:tcW w:w="3710" w:type="dxa"/>
          </w:tcPr>
          <w:p>
            <w:pPr>
              <w:pStyle w:val="TableParagraph"/>
              <w:spacing w:line="210" w:lineRule="exact"/>
              <w:ind w:left="-17" w:right="644"/>
              <w:jc w:val="center"/>
              <w:rPr>
                <w:sz w:val="20"/>
              </w:rPr>
            </w:pPr>
            <w:r>
              <w:rPr>
                <w:sz w:val="20"/>
              </w:rPr>
              <w:t>A16.19.011,</w:t>
            </w:r>
            <w:r>
              <w:rPr>
                <w:spacing w:val="-9"/>
                <w:sz w:val="20"/>
              </w:rPr>
              <w:t> </w:t>
            </w:r>
            <w:r>
              <w:rPr>
                <w:sz w:val="20"/>
              </w:rPr>
              <w:t>A16.19.012,</w:t>
            </w:r>
            <w:r>
              <w:rPr>
                <w:spacing w:val="-10"/>
                <w:sz w:val="20"/>
              </w:rPr>
              <w:t> </w:t>
            </w:r>
            <w:r>
              <w:rPr>
                <w:spacing w:val="-2"/>
                <w:sz w:val="20"/>
              </w:rPr>
              <w:t>A16.19.013,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(уровень</w:t>
            </w:r>
            <w:r>
              <w:rPr>
                <w:spacing w:val="-11"/>
                <w:sz w:val="20"/>
              </w:rPr>
              <w:t> </w:t>
            </w:r>
            <w:r>
              <w:rPr>
                <w:spacing w:val="-5"/>
                <w:sz w:val="20"/>
              </w:rPr>
              <w:t>1)</w:t>
            </w:r>
          </w:p>
        </w:tc>
        <w:tc>
          <w:tcPr>
            <w:tcW w:w="4487" w:type="dxa"/>
          </w:tcPr>
          <w:p>
            <w:pPr>
              <w:pStyle w:val="TableParagraph"/>
              <w:rPr>
                <w:sz w:val="16"/>
              </w:rPr>
            </w:pPr>
          </w:p>
        </w:tc>
        <w:tc>
          <w:tcPr>
            <w:tcW w:w="3710" w:type="dxa"/>
          </w:tcPr>
          <w:p>
            <w:pPr>
              <w:pStyle w:val="TableParagraph"/>
              <w:spacing w:line="210" w:lineRule="exact"/>
              <w:ind w:left="157" w:right="817"/>
              <w:jc w:val="center"/>
              <w:rPr>
                <w:sz w:val="20"/>
              </w:rPr>
            </w:pPr>
            <w:r>
              <w:rPr>
                <w:w w:val="95"/>
                <w:sz w:val="20"/>
              </w:rPr>
              <w:t>A16.19.013.001,</w:t>
            </w:r>
            <w:r>
              <w:rPr>
                <w:spacing w:val="54"/>
                <w:sz w:val="20"/>
              </w:rPr>
              <w:t> </w:t>
            </w:r>
            <w:r>
              <w:rPr>
                <w:spacing w:val="-2"/>
                <w:sz w:val="20"/>
              </w:rPr>
              <w:t>A16.19.013.002,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rPr>
                <w:sz w:val="16"/>
              </w:rPr>
            </w:pPr>
          </w:p>
        </w:tc>
        <w:tc>
          <w:tcPr>
            <w:tcW w:w="3710" w:type="dxa"/>
          </w:tcPr>
          <w:p>
            <w:pPr>
              <w:pStyle w:val="TableParagraph"/>
              <w:spacing w:line="210" w:lineRule="exact"/>
              <w:ind w:left="157" w:right="816"/>
              <w:jc w:val="center"/>
              <w:rPr>
                <w:sz w:val="20"/>
              </w:rPr>
            </w:pPr>
            <w:r>
              <w:rPr>
                <w:w w:val="95"/>
                <w:sz w:val="20"/>
              </w:rPr>
              <w:t>A16.19.013.003,</w:t>
            </w:r>
            <w:r>
              <w:rPr>
                <w:spacing w:val="54"/>
                <w:sz w:val="20"/>
              </w:rPr>
              <w:t> </w:t>
            </w:r>
            <w:r>
              <w:rPr>
                <w:spacing w:val="-2"/>
                <w:sz w:val="20"/>
              </w:rPr>
              <w:t>A16.19.016,</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rPr>
                <w:sz w:val="16"/>
              </w:rPr>
            </w:pPr>
          </w:p>
        </w:tc>
        <w:tc>
          <w:tcPr>
            <w:tcW w:w="3710" w:type="dxa"/>
          </w:tcPr>
          <w:p>
            <w:pPr>
              <w:pStyle w:val="TableParagraph"/>
              <w:spacing w:line="210" w:lineRule="exact"/>
              <w:ind w:left="-17" w:right="644"/>
              <w:jc w:val="center"/>
              <w:rPr>
                <w:sz w:val="20"/>
              </w:rPr>
            </w:pPr>
            <w:r>
              <w:rPr>
                <w:sz w:val="20"/>
              </w:rPr>
              <w:t>A16.19.017,</w:t>
            </w:r>
            <w:r>
              <w:rPr>
                <w:spacing w:val="-9"/>
                <w:sz w:val="20"/>
              </w:rPr>
              <w:t> </w:t>
            </w:r>
            <w:r>
              <w:rPr>
                <w:sz w:val="20"/>
              </w:rPr>
              <w:t>A16.19.024,</w:t>
            </w:r>
            <w:r>
              <w:rPr>
                <w:spacing w:val="-10"/>
                <w:sz w:val="20"/>
              </w:rPr>
              <w:t> </w:t>
            </w:r>
            <w:r>
              <w:rPr>
                <w:spacing w:val="-2"/>
                <w:sz w:val="20"/>
              </w:rPr>
              <w:t>A16.19.033,</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rPr>
                <w:sz w:val="16"/>
              </w:rPr>
            </w:pPr>
          </w:p>
        </w:tc>
        <w:tc>
          <w:tcPr>
            <w:tcW w:w="3710" w:type="dxa"/>
          </w:tcPr>
          <w:p>
            <w:pPr>
              <w:pStyle w:val="TableParagraph"/>
              <w:spacing w:line="209" w:lineRule="exact"/>
              <w:ind w:left="-17" w:right="644"/>
              <w:jc w:val="center"/>
              <w:rPr>
                <w:sz w:val="20"/>
              </w:rPr>
            </w:pPr>
            <w:r>
              <w:rPr>
                <w:sz w:val="20"/>
              </w:rPr>
              <w:t>A16.19.041,</w:t>
            </w:r>
            <w:r>
              <w:rPr>
                <w:spacing w:val="-9"/>
                <w:sz w:val="20"/>
              </w:rPr>
              <w:t> </w:t>
            </w:r>
            <w:r>
              <w:rPr>
                <w:sz w:val="20"/>
              </w:rPr>
              <w:t>A16.19.044,</w:t>
            </w:r>
            <w:r>
              <w:rPr>
                <w:spacing w:val="-10"/>
                <w:sz w:val="20"/>
              </w:rPr>
              <w:t> </w:t>
            </w:r>
            <w:r>
              <w:rPr>
                <w:spacing w:val="-2"/>
                <w:sz w:val="20"/>
              </w:rPr>
              <w:t>A16.19.045,</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614" w:type="dxa"/>
          </w:tcPr>
          <w:p>
            <w:pPr>
              <w:pStyle w:val="TableParagraph"/>
              <w:rPr>
                <w:sz w:val="18"/>
              </w:rPr>
            </w:pPr>
          </w:p>
        </w:tc>
        <w:tc>
          <w:tcPr>
            <w:tcW w:w="4487" w:type="dxa"/>
          </w:tcPr>
          <w:p>
            <w:pPr>
              <w:pStyle w:val="TableParagraph"/>
              <w:rPr>
                <w:sz w:val="18"/>
              </w:rPr>
            </w:pPr>
          </w:p>
        </w:tc>
        <w:tc>
          <w:tcPr>
            <w:tcW w:w="3710" w:type="dxa"/>
          </w:tcPr>
          <w:p>
            <w:pPr>
              <w:pStyle w:val="TableParagraph"/>
              <w:spacing w:line="224" w:lineRule="exact"/>
              <w:ind w:left="157" w:right="816"/>
              <w:jc w:val="center"/>
              <w:rPr>
                <w:sz w:val="20"/>
              </w:rPr>
            </w:pPr>
            <w:r>
              <w:rPr>
                <w:sz w:val="20"/>
              </w:rPr>
              <w:t>A16.19.046,</w:t>
            </w:r>
            <w:r>
              <w:rPr>
                <w:spacing w:val="-9"/>
                <w:sz w:val="20"/>
              </w:rPr>
              <w:t> </w:t>
            </w:r>
            <w:r>
              <w:rPr>
                <w:spacing w:val="-2"/>
                <w:sz w:val="20"/>
              </w:rPr>
              <w:t>A16.19.047</w:t>
            </w:r>
          </w:p>
        </w:tc>
        <w:tc>
          <w:tcPr>
            <w:tcW w:w="1572" w:type="dxa"/>
          </w:tcPr>
          <w:p>
            <w:pPr>
              <w:pStyle w:val="TableParagraph"/>
              <w:rPr>
                <w:sz w:val="18"/>
              </w:rPr>
            </w:pPr>
          </w:p>
        </w:tc>
        <w:tc>
          <w:tcPr>
            <w:tcW w:w="1260" w:type="dxa"/>
          </w:tcPr>
          <w:p>
            <w:pPr>
              <w:pStyle w:val="TableParagraph"/>
              <w:rPr>
                <w:sz w:val="18"/>
              </w:rPr>
            </w:pPr>
          </w:p>
        </w:tc>
      </w:tr>
      <w:tr>
        <w:trPr>
          <w:trHeight w:val="280" w:hRule="atLeast"/>
        </w:trPr>
        <w:tc>
          <w:tcPr>
            <w:tcW w:w="1003" w:type="dxa"/>
          </w:tcPr>
          <w:p>
            <w:pPr>
              <w:pStyle w:val="TableParagraph"/>
              <w:spacing w:line="215" w:lineRule="exact" w:before="46"/>
              <w:ind w:left="39" w:right="212"/>
              <w:jc w:val="center"/>
              <w:rPr>
                <w:sz w:val="20"/>
              </w:rPr>
            </w:pPr>
            <w:r>
              <w:rPr>
                <w:spacing w:val="-2"/>
                <w:sz w:val="20"/>
              </w:rPr>
              <w:t>ds14.002</w:t>
            </w:r>
          </w:p>
        </w:tc>
        <w:tc>
          <w:tcPr>
            <w:tcW w:w="645" w:type="dxa"/>
          </w:tcPr>
          <w:p>
            <w:pPr>
              <w:pStyle w:val="TableParagraph"/>
              <w:spacing w:line="215" w:lineRule="exact" w:before="46"/>
              <w:ind w:right="215"/>
              <w:jc w:val="right"/>
              <w:rPr>
                <w:sz w:val="20"/>
              </w:rPr>
            </w:pPr>
            <w:r>
              <w:rPr>
                <w:spacing w:val="-5"/>
                <w:sz w:val="20"/>
              </w:rPr>
              <w:t>41</w:t>
            </w:r>
          </w:p>
        </w:tc>
        <w:tc>
          <w:tcPr>
            <w:tcW w:w="2614" w:type="dxa"/>
          </w:tcPr>
          <w:p>
            <w:pPr>
              <w:pStyle w:val="TableParagraph"/>
              <w:spacing w:line="215" w:lineRule="exact" w:before="46"/>
              <w:ind w:left="219"/>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4487" w:type="dxa"/>
          </w:tcPr>
          <w:p>
            <w:pPr>
              <w:pStyle w:val="TableParagraph"/>
              <w:spacing w:line="215" w:lineRule="exact" w:before="46"/>
              <w:ind w:right="221"/>
              <w:jc w:val="center"/>
              <w:rPr>
                <w:sz w:val="20"/>
              </w:rPr>
            </w:pPr>
            <w:r>
              <w:rPr>
                <w:w w:val="99"/>
                <w:sz w:val="20"/>
              </w:rPr>
              <w:t>-</w:t>
            </w:r>
          </w:p>
        </w:tc>
        <w:tc>
          <w:tcPr>
            <w:tcW w:w="3710" w:type="dxa"/>
          </w:tcPr>
          <w:p>
            <w:pPr>
              <w:pStyle w:val="TableParagraph"/>
              <w:spacing w:line="215" w:lineRule="exact" w:before="46"/>
              <w:ind w:left="157" w:right="816"/>
              <w:jc w:val="center"/>
              <w:rPr>
                <w:sz w:val="20"/>
              </w:rPr>
            </w:pPr>
            <w:r>
              <w:rPr>
                <w:sz w:val="20"/>
              </w:rPr>
              <w:t>A16.18.019,</w:t>
            </w:r>
            <w:r>
              <w:rPr>
                <w:spacing w:val="-9"/>
                <w:sz w:val="20"/>
              </w:rPr>
              <w:t> </w:t>
            </w:r>
            <w:r>
              <w:rPr>
                <w:spacing w:val="-2"/>
                <w:sz w:val="20"/>
              </w:rPr>
              <w:t>A16.18.019.001,</w:t>
            </w:r>
          </w:p>
        </w:tc>
        <w:tc>
          <w:tcPr>
            <w:tcW w:w="1572" w:type="dxa"/>
          </w:tcPr>
          <w:p>
            <w:pPr>
              <w:pStyle w:val="TableParagraph"/>
              <w:spacing w:line="215" w:lineRule="exact" w:before="46"/>
              <w:ind w:left="649"/>
              <w:rPr>
                <w:sz w:val="20"/>
              </w:rPr>
            </w:pPr>
            <w:r>
              <w:rPr>
                <w:w w:val="99"/>
                <w:sz w:val="20"/>
              </w:rPr>
              <w:t>-</w:t>
            </w:r>
          </w:p>
        </w:tc>
        <w:tc>
          <w:tcPr>
            <w:tcW w:w="1260" w:type="dxa"/>
          </w:tcPr>
          <w:p>
            <w:pPr>
              <w:pStyle w:val="TableParagraph"/>
              <w:spacing w:line="215" w:lineRule="exact" w:before="46"/>
              <w:ind w:right="44"/>
              <w:jc w:val="right"/>
              <w:rPr>
                <w:sz w:val="20"/>
              </w:rPr>
            </w:pPr>
            <w:r>
              <w:rPr>
                <w:spacing w:val="-4"/>
                <w:sz w:val="20"/>
              </w:rPr>
              <w:t>3,17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анальной</w:t>
            </w:r>
            <w:r>
              <w:rPr>
                <w:spacing w:val="-10"/>
                <w:sz w:val="20"/>
              </w:rPr>
              <w:t> </w:t>
            </w:r>
            <w:r>
              <w:rPr>
                <w:spacing w:val="-2"/>
                <w:sz w:val="20"/>
              </w:rPr>
              <w:t>области</w:t>
            </w:r>
          </w:p>
        </w:tc>
        <w:tc>
          <w:tcPr>
            <w:tcW w:w="4487" w:type="dxa"/>
          </w:tcPr>
          <w:p>
            <w:pPr>
              <w:pStyle w:val="TableParagraph"/>
              <w:rPr>
                <w:sz w:val="16"/>
              </w:rPr>
            </w:pPr>
          </w:p>
        </w:tc>
        <w:tc>
          <w:tcPr>
            <w:tcW w:w="3710" w:type="dxa"/>
          </w:tcPr>
          <w:p>
            <w:pPr>
              <w:pStyle w:val="TableParagraph"/>
              <w:spacing w:line="210" w:lineRule="exact"/>
              <w:ind w:left="-17" w:right="644"/>
              <w:jc w:val="center"/>
              <w:rPr>
                <w:sz w:val="20"/>
              </w:rPr>
            </w:pPr>
            <w:r>
              <w:rPr>
                <w:sz w:val="20"/>
              </w:rPr>
              <w:t>A16.19.015,</w:t>
            </w:r>
            <w:r>
              <w:rPr>
                <w:spacing w:val="-9"/>
                <w:sz w:val="20"/>
              </w:rPr>
              <w:t> </w:t>
            </w:r>
            <w:r>
              <w:rPr>
                <w:sz w:val="20"/>
              </w:rPr>
              <w:t>A16.19.031,</w:t>
            </w:r>
            <w:r>
              <w:rPr>
                <w:spacing w:val="-10"/>
                <w:sz w:val="20"/>
              </w:rPr>
              <w:t> </w:t>
            </w:r>
            <w:r>
              <w:rPr>
                <w:spacing w:val="-2"/>
                <w:sz w:val="20"/>
              </w:rPr>
              <w:t>A16.19.032,</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614" w:type="dxa"/>
          </w:tcPr>
          <w:p>
            <w:pPr>
              <w:pStyle w:val="TableParagraph"/>
              <w:spacing w:line="226" w:lineRule="exact"/>
              <w:ind w:left="219"/>
              <w:rPr>
                <w:sz w:val="20"/>
              </w:rPr>
            </w:pPr>
            <w:r>
              <w:rPr>
                <w:sz w:val="20"/>
              </w:rPr>
              <w:t>(уровень</w:t>
            </w:r>
            <w:r>
              <w:rPr>
                <w:spacing w:val="-11"/>
                <w:sz w:val="20"/>
              </w:rPr>
              <w:t> </w:t>
            </w:r>
            <w:r>
              <w:rPr>
                <w:spacing w:val="-5"/>
                <w:sz w:val="20"/>
              </w:rPr>
              <w:t>2)</w:t>
            </w:r>
          </w:p>
        </w:tc>
        <w:tc>
          <w:tcPr>
            <w:tcW w:w="4487" w:type="dxa"/>
          </w:tcPr>
          <w:p>
            <w:pPr>
              <w:pStyle w:val="TableParagraph"/>
              <w:rPr>
                <w:sz w:val="18"/>
              </w:rPr>
            </w:pPr>
          </w:p>
        </w:tc>
        <w:tc>
          <w:tcPr>
            <w:tcW w:w="3710" w:type="dxa"/>
          </w:tcPr>
          <w:p>
            <w:pPr>
              <w:pStyle w:val="TableParagraph"/>
              <w:spacing w:line="226" w:lineRule="exact"/>
              <w:ind w:left="157" w:right="812"/>
              <w:jc w:val="center"/>
              <w:rPr>
                <w:sz w:val="20"/>
              </w:rPr>
            </w:pPr>
            <w:r>
              <w:rPr>
                <w:spacing w:val="-2"/>
                <w:sz w:val="20"/>
              </w:rPr>
              <w:t>A16.19.034</w:t>
            </w:r>
          </w:p>
        </w:tc>
        <w:tc>
          <w:tcPr>
            <w:tcW w:w="1572" w:type="dxa"/>
          </w:tcPr>
          <w:p>
            <w:pPr>
              <w:pStyle w:val="TableParagraph"/>
              <w:rPr>
                <w:sz w:val="18"/>
              </w:rPr>
            </w:pPr>
          </w:p>
        </w:tc>
        <w:tc>
          <w:tcPr>
            <w:tcW w:w="1260" w:type="dxa"/>
          </w:tcPr>
          <w:p>
            <w:pPr>
              <w:pStyle w:val="TableParagraph"/>
              <w:rPr>
                <w:sz w:val="18"/>
              </w:rPr>
            </w:pPr>
          </w:p>
        </w:tc>
      </w:tr>
      <w:tr>
        <w:trPr>
          <w:trHeight w:val="328" w:hRule="atLeast"/>
        </w:trPr>
        <w:tc>
          <w:tcPr>
            <w:tcW w:w="1003" w:type="dxa"/>
          </w:tcPr>
          <w:p>
            <w:pPr>
              <w:pStyle w:val="TableParagraph"/>
              <w:spacing w:before="45"/>
              <w:ind w:left="39" w:right="211"/>
              <w:jc w:val="center"/>
              <w:rPr>
                <w:sz w:val="20"/>
              </w:rPr>
            </w:pPr>
            <w:r>
              <w:rPr>
                <w:spacing w:val="-4"/>
                <w:sz w:val="20"/>
              </w:rPr>
              <w:t>ds15</w:t>
            </w:r>
          </w:p>
        </w:tc>
        <w:tc>
          <w:tcPr>
            <w:tcW w:w="645" w:type="dxa"/>
          </w:tcPr>
          <w:p>
            <w:pPr>
              <w:pStyle w:val="TableParagraph"/>
              <w:spacing w:before="45"/>
              <w:ind w:right="215"/>
              <w:jc w:val="right"/>
              <w:rPr>
                <w:sz w:val="20"/>
              </w:rPr>
            </w:pPr>
            <w:r>
              <w:rPr>
                <w:spacing w:val="-5"/>
                <w:sz w:val="20"/>
              </w:rPr>
              <w:t>15</w:t>
            </w:r>
          </w:p>
        </w:tc>
        <w:tc>
          <w:tcPr>
            <w:tcW w:w="2614" w:type="dxa"/>
          </w:tcPr>
          <w:p>
            <w:pPr>
              <w:pStyle w:val="TableParagraph"/>
              <w:rPr>
                <w:sz w:val="18"/>
              </w:rPr>
            </w:pPr>
          </w:p>
        </w:tc>
        <w:tc>
          <w:tcPr>
            <w:tcW w:w="4487" w:type="dxa"/>
          </w:tcPr>
          <w:p>
            <w:pPr>
              <w:pStyle w:val="TableParagraph"/>
              <w:spacing w:before="45"/>
              <w:ind w:right="223"/>
              <w:jc w:val="right"/>
              <w:rPr>
                <w:sz w:val="20"/>
              </w:rPr>
            </w:pPr>
            <w:r>
              <w:rPr>
                <w:spacing w:val="-2"/>
                <w:sz w:val="20"/>
              </w:rPr>
              <w:t>Неврология</w:t>
            </w:r>
          </w:p>
        </w:tc>
        <w:tc>
          <w:tcPr>
            <w:tcW w:w="3710" w:type="dxa"/>
          </w:tcPr>
          <w:p>
            <w:pPr>
              <w:pStyle w:val="TableParagraph"/>
              <w:rPr>
                <w:sz w:val="18"/>
              </w:rPr>
            </w:pPr>
          </w:p>
        </w:tc>
        <w:tc>
          <w:tcPr>
            <w:tcW w:w="1572" w:type="dxa"/>
          </w:tcPr>
          <w:p>
            <w:pPr>
              <w:pStyle w:val="TableParagraph"/>
              <w:rPr>
                <w:sz w:val="18"/>
              </w:rPr>
            </w:pPr>
          </w:p>
        </w:tc>
        <w:tc>
          <w:tcPr>
            <w:tcW w:w="1260" w:type="dxa"/>
          </w:tcPr>
          <w:p>
            <w:pPr>
              <w:pStyle w:val="TableParagraph"/>
              <w:spacing w:before="45"/>
              <w:ind w:right="44"/>
              <w:jc w:val="right"/>
              <w:rPr>
                <w:sz w:val="20"/>
              </w:rPr>
            </w:pPr>
            <w:r>
              <w:rPr>
                <w:spacing w:val="-4"/>
                <w:sz w:val="20"/>
              </w:rPr>
              <w:t>1,05</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ds15.001</w:t>
            </w:r>
          </w:p>
        </w:tc>
        <w:tc>
          <w:tcPr>
            <w:tcW w:w="645" w:type="dxa"/>
          </w:tcPr>
          <w:p>
            <w:pPr>
              <w:pStyle w:val="TableParagraph"/>
              <w:spacing w:line="215" w:lineRule="exact" w:before="45"/>
              <w:ind w:right="215"/>
              <w:jc w:val="right"/>
              <w:rPr>
                <w:sz w:val="20"/>
              </w:rPr>
            </w:pPr>
            <w:r>
              <w:rPr>
                <w:spacing w:val="-5"/>
                <w:sz w:val="20"/>
              </w:rPr>
              <w:t>42</w:t>
            </w:r>
          </w:p>
        </w:tc>
        <w:tc>
          <w:tcPr>
            <w:tcW w:w="2614" w:type="dxa"/>
          </w:tcPr>
          <w:p>
            <w:pPr>
              <w:pStyle w:val="TableParagraph"/>
              <w:spacing w:line="215" w:lineRule="exact" w:before="45"/>
              <w:ind w:left="219"/>
              <w:rPr>
                <w:sz w:val="20"/>
              </w:rPr>
            </w:pPr>
            <w:r>
              <w:rPr>
                <w:sz w:val="20"/>
              </w:rPr>
              <w:t>Болезни</w:t>
            </w:r>
            <w:r>
              <w:rPr>
                <w:spacing w:val="-8"/>
                <w:sz w:val="20"/>
              </w:rPr>
              <w:t> </w:t>
            </w:r>
            <w:r>
              <w:rPr>
                <w:spacing w:val="-2"/>
                <w:sz w:val="20"/>
              </w:rPr>
              <w:t>нервной</w:t>
            </w:r>
          </w:p>
        </w:tc>
        <w:tc>
          <w:tcPr>
            <w:tcW w:w="4487" w:type="dxa"/>
          </w:tcPr>
          <w:p>
            <w:pPr>
              <w:pStyle w:val="TableParagraph"/>
              <w:spacing w:line="215" w:lineRule="exact" w:before="45"/>
              <w:ind w:left="269"/>
              <w:rPr>
                <w:sz w:val="20"/>
              </w:rPr>
            </w:pPr>
            <w:r>
              <w:rPr>
                <w:sz w:val="20"/>
              </w:rPr>
              <w:t>B91,</w:t>
            </w:r>
            <w:r>
              <w:rPr>
                <w:spacing w:val="-7"/>
                <w:sz w:val="20"/>
              </w:rPr>
              <w:t> </w:t>
            </w:r>
            <w:r>
              <w:rPr>
                <w:sz w:val="20"/>
              </w:rPr>
              <w:t>B94.1,</w:t>
            </w:r>
            <w:r>
              <w:rPr>
                <w:spacing w:val="-4"/>
                <w:sz w:val="20"/>
              </w:rPr>
              <w:t> </w:t>
            </w:r>
            <w:r>
              <w:rPr>
                <w:sz w:val="20"/>
              </w:rPr>
              <w:t>E75.2,</w:t>
            </w:r>
            <w:r>
              <w:rPr>
                <w:spacing w:val="-4"/>
                <w:sz w:val="20"/>
              </w:rPr>
              <w:t> </w:t>
            </w:r>
            <w:r>
              <w:rPr>
                <w:sz w:val="20"/>
              </w:rPr>
              <w:t>E75.3,</w:t>
            </w:r>
            <w:r>
              <w:rPr>
                <w:spacing w:val="-7"/>
                <w:sz w:val="20"/>
              </w:rPr>
              <w:t> </w:t>
            </w:r>
            <w:r>
              <w:rPr>
                <w:sz w:val="20"/>
              </w:rPr>
              <w:t>E75.4,</w:t>
            </w:r>
            <w:r>
              <w:rPr>
                <w:spacing w:val="-4"/>
                <w:sz w:val="20"/>
              </w:rPr>
              <w:t> </w:t>
            </w:r>
            <w:r>
              <w:rPr>
                <w:sz w:val="20"/>
              </w:rPr>
              <w:t>G00,</w:t>
            </w:r>
            <w:r>
              <w:rPr>
                <w:spacing w:val="-4"/>
                <w:sz w:val="20"/>
              </w:rPr>
              <w:t> </w:t>
            </w:r>
            <w:r>
              <w:rPr>
                <w:spacing w:val="-2"/>
                <w:sz w:val="20"/>
              </w:rPr>
              <w:t>G00.0,</w:t>
            </w:r>
          </w:p>
        </w:tc>
        <w:tc>
          <w:tcPr>
            <w:tcW w:w="3710" w:type="dxa"/>
          </w:tcPr>
          <w:p>
            <w:pPr>
              <w:pStyle w:val="TableParagraph"/>
              <w:spacing w:line="215" w:lineRule="exact" w:before="45"/>
              <w:ind w:right="656"/>
              <w:jc w:val="center"/>
              <w:rPr>
                <w:sz w:val="20"/>
              </w:rPr>
            </w:pPr>
            <w:r>
              <w:rPr>
                <w:w w:val="99"/>
                <w:sz w:val="20"/>
              </w:rPr>
              <w:t>-</w:t>
            </w:r>
          </w:p>
        </w:tc>
        <w:tc>
          <w:tcPr>
            <w:tcW w:w="1572" w:type="dxa"/>
          </w:tcPr>
          <w:p>
            <w:pPr>
              <w:pStyle w:val="TableParagraph"/>
              <w:spacing w:line="215" w:lineRule="exact" w:before="45"/>
              <w:ind w:left="649"/>
              <w:rPr>
                <w:sz w:val="20"/>
              </w:rPr>
            </w:pPr>
            <w:r>
              <w:rPr>
                <w:w w:val="99"/>
                <w:sz w:val="20"/>
              </w:rPr>
              <w:t>-</w:t>
            </w:r>
          </w:p>
        </w:tc>
        <w:tc>
          <w:tcPr>
            <w:tcW w:w="1260" w:type="dxa"/>
          </w:tcPr>
          <w:p>
            <w:pPr>
              <w:pStyle w:val="TableParagraph"/>
              <w:spacing w:line="215" w:lineRule="exact" w:before="45"/>
              <w:ind w:right="44"/>
              <w:jc w:val="right"/>
              <w:rPr>
                <w:sz w:val="20"/>
              </w:rPr>
            </w:pPr>
            <w:r>
              <w:rPr>
                <w:spacing w:val="-4"/>
                <w:sz w:val="20"/>
              </w:rPr>
              <w:t>0,98</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системы,</w:t>
            </w:r>
            <w:r>
              <w:rPr>
                <w:spacing w:val="-7"/>
                <w:sz w:val="20"/>
              </w:rPr>
              <w:t> </w:t>
            </w:r>
            <w:r>
              <w:rPr>
                <w:spacing w:val="-2"/>
                <w:sz w:val="20"/>
              </w:rPr>
              <w:t>хромосомные</w:t>
            </w:r>
          </w:p>
        </w:tc>
        <w:tc>
          <w:tcPr>
            <w:tcW w:w="4487" w:type="dxa"/>
          </w:tcPr>
          <w:p>
            <w:pPr>
              <w:pStyle w:val="TableParagraph"/>
              <w:spacing w:line="210" w:lineRule="exact"/>
              <w:ind w:left="226"/>
              <w:rPr>
                <w:sz w:val="20"/>
              </w:rPr>
            </w:pPr>
            <w:r>
              <w:rPr>
                <w:sz w:val="20"/>
              </w:rPr>
              <w:t>G00.1,</w:t>
            </w:r>
            <w:r>
              <w:rPr>
                <w:spacing w:val="-4"/>
                <w:sz w:val="20"/>
              </w:rPr>
              <w:t> </w:t>
            </w:r>
            <w:r>
              <w:rPr>
                <w:sz w:val="20"/>
              </w:rPr>
              <w:t>G00.2,</w:t>
            </w:r>
            <w:r>
              <w:rPr>
                <w:spacing w:val="-5"/>
                <w:sz w:val="20"/>
              </w:rPr>
              <w:t> </w:t>
            </w:r>
            <w:r>
              <w:rPr>
                <w:sz w:val="20"/>
              </w:rPr>
              <w:t>G00.3,</w:t>
            </w:r>
            <w:r>
              <w:rPr>
                <w:spacing w:val="-4"/>
                <w:sz w:val="20"/>
              </w:rPr>
              <w:t> </w:t>
            </w:r>
            <w:r>
              <w:rPr>
                <w:sz w:val="20"/>
              </w:rPr>
              <w:t>G00.8,</w:t>
            </w:r>
            <w:r>
              <w:rPr>
                <w:spacing w:val="-6"/>
                <w:sz w:val="20"/>
              </w:rPr>
              <w:t> </w:t>
            </w:r>
            <w:r>
              <w:rPr>
                <w:sz w:val="20"/>
              </w:rPr>
              <w:t>G00.9,</w:t>
            </w:r>
            <w:r>
              <w:rPr>
                <w:spacing w:val="-3"/>
                <w:sz w:val="20"/>
              </w:rPr>
              <w:t> </w:t>
            </w:r>
            <w:r>
              <w:rPr>
                <w:sz w:val="20"/>
              </w:rPr>
              <w:t>G01,</w:t>
            </w:r>
            <w:r>
              <w:rPr>
                <w:spacing w:val="-4"/>
                <w:sz w:val="20"/>
              </w:rPr>
              <w:t> G02,</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pacing w:val="-2"/>
                <w:sz w:val="20"/>
              </w:rPr>
              <w:t>аномалии</w:t>
            </w:r>
          </w:p>
        </w:tc>
        <w:tc>
          <w:tcPr>
            <w:tcW w:w="4487" w:type="dxa"/>
          </w:tcPr>
          <w:p>
            <w:pPr>
              <w:pStyle w:val="TableParagraph"/>
              <w:spacing w:line="210" w:lineRule="exact"/>
              <w:ind w:left="152"/>
              <w:rPr>
                <w:sz w:val="20"/>
              </w:rPr>
            </w:pPr>
            <w:r>
              <w:rPr>
                <w:sz w:val="20"/>
              </w:rPr>
              <w:t>G02.0,</w:t>
            </w:r>
            <w:r>
              <w:rPr>
                <w:spacing w:val="-6"/>
                <w:sz w:val="20"/>
              </w:rPr>
              <w:t> </w:t>
            </w:r>
            <w:r>
              <w:rPr>
                <w:sz w:val="20"/>
              </w:rPr>
              <w:t>G02.1,</w:t>
            </w:r>
            <w:r>
              <w:rPr>
                <w:spacing w:val="-6"/>
                <w:sz w:val="20"/>
              </w:rPr>
              <w:t> </w:t>
            </w:r>
            <w:r>
              <w:rPr>
                <w:sz w:val="20"/>
              </w:rPr>
              <w:t>G02.8,</w:t>
            </w:r>
            <w:r>
              <w:rPr>
                <w:spacing w:val="-5"/>
                <w:sz w:val="20"/>
              </w:rPr>
              <w:t> </w:t>
            </w:r>
            <w:r>
              <w:rPr>
                <w:sz w:val="20"/>
              </w:rPr>
              <w:t>G03,</w:t>
            </w:r>
            <w:r>
              <w:rPr>
                <w:spacing w:val="-6"/>
                <w:sz w:val="20"/>
              </w:rPr>
              <w:t> </w:t>
            </w:r>
            <w:r>
              <w:rPr>
                <w:sz w:val="20"/>
              </w:rPr>
              <w:t>G03.0,</w:t>
            </w:r>
            <w:r>
              <w:rPr>
                <w:spacing w:val="-5"/>
                <w:sz w:val="20"/>
              </w:rPr>
              <w:t> </w:t>
            </w:r>
            <w:r>
              <w:rPr>
                <w:sz w:val="20"/>
              </w:rPr>
              <w:t>G03.1,</w:t>
            </w:r>
            <w:r>
              <w:rPr>
                <w:spacing w:val="-5"/>
                <w:sz w:val="20"/>
              </w:rPr>
              <w:t> </w:t>
            </w:r>
            <w:r>
              <w:rPr>
                <w:spacing w:val="-2"/>
                <w:sz w:val="20"/>
              </w:rPr>
              <w:t>G03.2,</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2"/>
              <w:rPr>
                <w:sz w:val="20"/>
              </w:rPr>
            </w:pPr>
            <w:r>
              <w:rPr>
                <w:sz w:val="20"/>
              </w:rPr>
              <w:t>G03.8,</w:t>
            </w:r>
            <w:r>
              <w:rPr>
                <w:spacing w:val="-6"/>
                <w:sz w:val="20"/>
              </w:rPr>
              <w:t> </w:t>
            </w:r>
            <w:r>
              <w:rPr>
                <w:sz w:val="20"/>
              </w:rPr>
              <w:t>G03.9,</w:t>
            </w:r>
            <w:r>
              <w:rPr>
                <w:spacing w:val="-7"/>
                <w:sz w:val="20"/>
              </w:rPr>
              <w:t> </w:t>
            </w:r>
            <w:r>
              <w:rPr>
                <w:sz w:val="20"/>
              </w:rPr>
              <w:t>G04,</w:t>
            </w:r>
            <w:r>
              <w:rPr>
                <w:spacing w:val="-5"/>
                <w:sz w:val="20"/>
              </w:rPr>
              <w:t> </w:t>
            </w:r>
            <w:r>
              <w:rPr>
                <w:sz w:val="20"/>
              </w:rPr>
              <w:t>G04.0,</w:t>
            </w:r>
            <w:r>
              <w:rPr>
                <w:spacing w:val="-5"/>
                <w:sz w:val="20"/>
              </w:rPr>
              <w:t> </w:t>
            </w:r>
            <w:r>
              <w:rPr>
                <w:sz w:val="20"/>
              </w:rPr>
              <w:t>G04.1,</w:t>
            </w:r>
            <w:r>
              <w:rPr>
                <w:spacing w:val="-5"/>
                <w:sz w:val="20"/>
              </w:rPr>
              <w:t> </w:t>
            </w:r>
            <w:r>
              <w:rPr>
                <w:sz w:val="20"/>
              </w:rPr>
              <w:t>G04.2,</w:t>
            </w:r>
            <w:r>
              <w:rPr>
                <w:spacing w:val="-6"/>
                <w:sz w:val="20"/>
              </w:rPr>
              <w:t> </w:t>
            </w:r>
            <w:r>
              <w:rPr>
                <w:spacing w:val="-2"/>
                <w:sz w:val="20"/>
              </w:rPr>
              <w:t>G04.8,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226"/>
              <w:rPr>
                <w:sz w:val="20"/>
              </w:rPr>
            </w:pPr>
            <w:r>
              <w:rPr>
                <w:sz w:val="20"/>
              </w:rPr>
              <w:t>G04.9,</w:t>
            </w:r>
            <w:r>
              <w:rPr>
                <w:spacing w:val="-6"/>
                <w:sz w:val="20"/>
              </w:rPr>
              <w:t> </w:t>
            </w:r>
            <w:r>
              <w:rPr>
                <w:sz w:val="20"/>
              </w:rPr>
              <w:t>G05,</w:t>
            </w:r>
            <w:r>
              <w:rPr>
                <w:spacing w:val="-6"/>
                <w:sz w:val="20"/>
              </w:rPr>
              <w:t> </w:t>
            </w:r>
            <w:r>
              <w:rPr>
                <w:sz w:val="20"/>
              </w:rPr>
              <w:t>G05.0,</w:t>
            </w:r>
            <w:r>
              <w:rPr>
                <w:spacing w:val="-5"/>
                <w:sz w:val="20"/>
              </w:rPr>
              <w:t> </w:t>
            </w:r>
            <w:r>
              <w:rPr>
                <w:sz w:val="20"/>
              </w:rPr>
              <w:t>G05.1,</w:t>
            </w:r>
            <w:r>
              <w:rPr>
                <w:spacing w:val="-6"/>
                <w:sz w:val="20"/>
              </w:rPr>
              <w:t> </w:t>
            </w:r>
            <w:r>
              <w:rPr>
                <w:sz w:val="20"/>
              </w:rPr>
              <w:t>G05.2,</w:t>
            </w:r>
            <w:r>
              <w:rPr>
                <w:spacing w:val="-5"/>
                <w:sz w:val="20"/>
              </w:rPr>
              <w:t> </w:t>
            </w:r>
            <w:r>
              <w:rPr>
                <w:sz w:val="20"/>
              </w:rPr>
              <w:t>G05.8,</w:t>
            </w:r>
            <w:r>
              <w:rPr>
                <w:spacing w:val="-6"/>
                <w:sz w:val="20"/>
              </w:rPr>
              <w:t> </w:t>
            </w:r>
            <w:r>
              <w:rPr>
                <w:spacing w:val="-4"/>
                <w:sz w:val="20"/>
              </w:rPr>
              <w:t>G06,</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4"/>
              <w:rPr>
                <w:sz w:val="20"/>
              </w:rPr>
            </w:pPr>
            <w:r>
              <w:rPr>
                <w:sz w:val="20"/>
              </w:rPr>
              <w:t>G06.0,</w:t>
            </w:r>
            <w:r>
              <w:rPr>
                <w:spacing w:val="-5"/>
                <w:sz w:val="20"/>
              </w:rPr>
              <w:t> </w:t>
            </w:r>
            <w:r>
              <w:rPr>
                <w:sz w:val="20"/>
              </w:rPr>
              <w:t>G06.1,</w:t>
            </w:r>
            <w:r>
              <w:rPr>
                <w:spacing w:val="-5"/>
                <w:sz w:val="20"/>
              </w:rPr>
              <w:t> </w:t>
            </w:r>
            <w:r>
              <w:rPr>
                <w:sz w:val="20"/>
              </w:rPr>
              <w:t>G06.2,</w:t>
            </w:r>
            <w:r>
              <w:rPr>
                <w:spacing w:val="-5"/>
                <w:sz w:val="20"/>
              </w:rPr>
              <w:t> </w:t>
            </w:r>
            <w:r>
              <w:rPr>
                <w:sz w:val="20"/>
              </w:rPr>
              <w:t>G07,</w:t>
            </w:r>
            <w:r>
              <w:rPr>
                <w:spacing w:val="-4"/>
                <w:sz w:val="20"/>
              </w:rPr>
              <w:t> </w:t>
            </w:r>
            <w:r>
              <w:rPr>
                <w:sz w:val="20"/>
              </w:rPr>
              <w:t>G08,</w:t>
            </w:r>
            <w:r>
              <w:rPr>
                <w:spacing w:val="-4"/>
                <w:sz w:val="20"/>
              </w:rPr>
              <w:t> </w:t>
            </w:r>
            <w:r>
              <w:rPr>
                <w:sz w:val="20"/>
              </w:rPr>
              <w:t>G09,</w:t>
            </w:r>
            <w:r>
              <w:rPr>
                <w:spacing w:val="-4"/>
                <w:sz w:val="20"/>
              </w:rPr>
              <w:t> </w:t>
            </w:r>
            <w:r>
              <w:rPr>
                <w:sz w:val="20"/>
              </w:rPr>
              <w:t>G10,</w:t>
            </w:r>
            <w:r>
              <w:rPr>
                <w:spacing w:val="-6"/>
                <w:sz w:val="20"/>
              </w:rPr>
              <w:t> </w:t>
            </w:r>
            <w:r>
              <w:rPr>
                <w:spacing w:val="-4"/>
                <w:sz w:val="20"/>
              </w:rPr>
              <w:t>G11,</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9" w:lineRule="exact"/>
              <w:ind w:left="373"/>
              <w:rPr>
                <w:sz w:val="20"/>
              </w:rPr>
            </w:pPr>
            <w:r>
              <w:rPr>
                <w:sz w:val="20"/>
              </w:rPr>
              <w:t>G11.0,</w:t>
            </w:r>
            <w:r>
              <w:rPr>
                <w:spacing w:val="-4"/>
                <w:sz w:val="20"/>
              </w:rPr>
              <w:t> </w:t>
            </w:r>
            <w:r>
              <w:rPr>
                <w:sz w:val="20"/>
              </w:rPr>
              <w:t>G11.1,</w:t>
            </w:r>
            <w:r>
              <w:rPr>
                <w:spacing w:val="-6"/>
                <w:sz w:val="20"/>
              </w:rPr>
              <w:t> </w:t>
            </w:r>
            <w:r>
              <w:rPr>
                <w:sz w:val="20"/>
              </w:rPr>
              <w:t>G11.2,</w:t>
            </w:r>
            <w:r>
              <w:rPr>
                <w:spacing w:val="-4"/>
                <w:sz w:val="20"/>
              </w:rPr>
              <w:t> </w:t>
            </w:r>
            <w:r>
              <w:rPr>
                <w:sz w:val="20"/>
              </w:rPr>
              <w:t>G11.3,</w:t>
            </w:r>
            <w:r>
              <w:rPr>
                <w:spacing w:val="-6"/>
                <w:sz w:val="20"/>
              </w:rPr>
              <w:t> </w:t>
            </w:r>
            <w:r>
              <w:rPr>
                <w:sz w:val="20"/>
              </w:rPr>
              <w:t>G11.4,</w:t>
            </w:r>
            <w:r>
              <w:rPr>
                <w:spacing w:val="-4"/>
                <w:sz w:val="20"/>
              </w:rPr>
              <w:t> </w:t>
            </w:r>
            <w:r>
              <w:rPr>
                <w:spacing w:val="-2"/>
                <w:sz w:val="20"/>
              </w:rPr>
              <w:t>G11.8,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2"/>
              <w:rPr>
                <w:sz w:val="20"/>
              </w:rPr>
            </w:pPr>
            <w:r>
              <w:rPr>
                <w:sz w:val="20"/>
              </w:rPr>
              <w:t>G11.9,</w:t>
            </w:r>
            <w:r>
              <w:rPr>
                <w:spacing w:val="-6"/>
                <w:sz w:val="20"/>
              </w:rPr>
              <w:t> </w:t>
            </w:r>
            <w:r>
              <w:rPr>
                <w:sz w:val="20"/>
              </w:rPr>
              <w:t>G12,</w:t>
            </w:r>
            <w:r>
              <w:rPr>
                <w:spacing w:val="-6"/>
                <w:sz w:val="20"/>
              </w:rPr>
              <w:t> </w:t>
            </w:r>
            <w:r>
              <w:rPr>
                <w:sz w:val="20"/>
              </w:rPr>
              <w:t>G12.0,</w:t>
            </w:r>
            <w:r>
              <w:rPr>
                <w:spacing w:val="-5"/>
                <w:sz w:val="20"/>
              </w:rPr>
              <w:t> </w:t>
            </w:r>
            <w:r>
              <w:rPr>
                <w:sz w:val="20"/>
              </w:rPr>
              <w:t>G12.1,</w:t>
            </w:r>
            <w:r>
              <w:rPr>
                <w:spacing w:val="-6"/>
                <w:sz w:val="20"/>
              </w:rPr>
              <w:t> </w:t>
            </w:r>
            <w:r>
              <w:rPr>
                <w:sz w:val="20"/>
              </w:rPr>
              <w:t>G12.2,</w:t>
            </w:r>
            <w:r>
              <w:rPr>
                <w:spacing w:val="-5"/>
                <w:sz w:val="20"/>
              </w:rPr>
              <w:t> </w:t>
            </w:r>
            <w:r>
              <w:rPr>
                <w:sz w:val="20"/>
              </w:rPr>
              <w:t>G12.8,</w:t>
            </w:r>
            <w:r>
              <w:rPr>
                <w:spacing w:val="-6"/>
                <w:sz w:val="20"/>
              </w:rPr>
              <w:t> </w:t>
            </w:r>
            <w:r>
              <w:rPr>
                <w:spacing w:val="-2"/>
                <w:sz w:val="20"/>
              </w:rPr>
              <w:t>G12.9,</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301"/>
              <w:rPr>
                <w:sz w:val="20"/>
              </w:rPr>
            </w:pPr>
            <w:r>
              <w:rPr>
                <w:sz w:val="20"/>
              </w:rPr>
              <w:t>G13,</w:t>
            </w:r>
            <w:r>
              <w:rPr>
                <w:spacing w:val="-5"/>
                <w:sz w:val="20"/>
              </w:rPr>
              <w:t> </w:t>
            </w:r>
            <w:r>
              <w:rPr>
                <w:sz w:val="20"/>
              </w:rPr>
              <w:t>G13.0,</w:t>
            </w:r>
            <w:r>
              <w:rPr>
                <w:spacing w:val="-5"/>
                <w:sz w:val="20"/>
              </w:rPr>
              <w:t> </w:t>
            </w:r>
            <w:r>
              <w:rPr>
                <w:sz w:val="20"/>
              </w:rPr>
              <w:t>G13.1,</w:t>
            </w:r>
            <w:r>
              <w:rPr>
                <w:spacing w:val="-5"/>
                <w:sz w:val="20"/>
              </w:rPr>
              <w:t> </w:t>
            </w:r>
            <w:r>
              <w:rPr>
                <w:sz w:val="20"/>
              </w:rPr>
              <w:t>G13.2,</w:t>
            </w:r>
            <w:r>
              <w:rPr>
                <w:spacing w:val="-5"/>
                <w:sz w:val="20"/>
              </w:rPr>
              <w:t> </w:t>
            </w:r>
            <w:r>
              <w:rPr>
                <w:sz w:val="20"/>
              </w:rPr>
              <w:t>G13.8,</w:t>
            </w:r>
            <w:r>
              <w:rPr>
                <w:spacing w:val="-5"/>
                <w:sz w:val="20"/>
              </w:rPr>
              <w:t> </w:t>
            </w:r>
            <w:r>
              <w:rPr>
                <w:sz w:val="20"/>
              </w:rPr>
              <w:t>G14,</w:t>
            </w:r>
            <w:r>
              <w:rPr>
                <w:spacing w:val="-5"/>
                <w:sz w:val="20"/>
              </w:rPr>
              <w:t> </w:t>
            </w:r>
            <w:r>
              <w:rPr>
                <w:spacing w:val="-4"/>
                <w:sz w:val="20"/>
              </w:rPr>
              <w:t>G20,</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2"/>
              <w:rPr>
                <w:sz w:val="20"/>
              </w:rPr>
            </w:pPr>
            <w:r>
              <w:rPr>
                <w:sz w:val="20"/>
              </w:rPr>
              <w:t>G21,</w:t>
            </w:r>
            <w:r>
              <w:rPr>
                <w:spacing w:val="-6"/>
                <w:sz w:val="20"/>
              </w:rPr>
              <w:t> </w:t>
            </w:r>
            <w:r>
              <w:rPr>
                <w:sz w:val="20"/>
              </w:rPr>
              <w:t>G21.0,</w:t>
            </w:r>
            <w:r>
              <w:rPr>
                <w:spacing w:val="-6"/>
                <w:sz w:val="20"/>
              </w:rPr>
              <w:t> </w:t>
            </w:r>
            <w:r>
              <w:rPr>
                <w:sz w:val="20"/>
              </w:rPr>
              <w:t>G21.1,</w:t>
            </w:r>
            <w:r>
              <w:rPr>
                <w:spacing w:val="-5"/>
                <w:sz w:val="20"/>
              </w:rPr>
              <w:t> </w:t>
            </w:r>
            <w:r>
              <w:rPr>
                <w:sz w:val="20"/>
              </w:rPr>
              <w:t>G21.2,</w:t>
            </w:r>
            <w:r>
              <w:rPr>
                <w:spacing w:val="-6"/>
                <w:sz w:val="20"/>
              </w:rPr>
              <w:t> </w:t>
            </w:r>
            <w:r>
              <w:rPr>
                <w:sz w:val="20"/>
              </w:rPr>
              <w:t>G21.3,</w:t>
            </w:r>
            <w:r>
              <w:rPr>
                <w:spacing w:val="-5"/>
                <w:sz w:val="20"/>
              </w:rPr>
              <w:t> </w:t>
            </w:r>
            <w:r>
              <w:rPr>
                <w:sz w:val="20"/>
              </w:rPr>
              <w:t>G21.4,</w:t>
            </w:r>
            <w:r>
              <w:rPr>
                <w:spacing w:val="-6"/>
                <w:sz w:val="20"/>
              </w:rPr>
              <w:t> </w:t>
            </w:r>
            <w:r>
              <w:rPr>
                <w:spacing w:val="-2"/>
                <w:sz w:val="20"/>
              </w:rPr>
              <w:t>G21.8,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226"/>
              <w:rPr>
                <w:sz w:val="20"/>
              </w:rPr>
            </w:pPr>
            <w:r>
              <w:rPr>
                <w:sz w:val="20"/>
              </w:rPr>
              <w:t>G21.9,</w:t>
            </w:r>
            <w:r>
              <w:rPr>
                <w:spacing w:val="-5"/>
                <w:sz w:val="20"/>
              </w:rPr>
              <w:t> </w:t>
            </w:r>
            <w:r>
              <w:rPr>
                <w:sz w:val="20"/>
              </w:rPr>
              <w:t>G22,</w:t>
            </w:r>
            <w:r>
              <w:rPr>
                <w:spacing w:val="-5"/>
                <w:sz w:val="20"/>
              </w:rPr>
              <w:t> </w:t>
            </w:r>
            <w:r>
              <w:rPr>
                <w:sz w:val="20"/>
              </w:rPr>
              <w:t>G23,</w:t>
            </w:r>
            <w:r>
              <w:rPr>
                <w:spacing w:val="-4"/>
                <w:sz w:val="20"/>
              </w:rPr>
              <w:t> </w:t>
            </w:r>
            <w:r>
              <w:rPr>
                <w:sz w:val="20"/>
              </w:rPr>
              <w:t>G23.0,</w:t>
            </w:r>
            <w:r>
              <w:rPr>
                <w:spacing w:val="-5"/>
                <w:sz w:val="20"/>
              </w:rPr>
              <w:t> </w:t>
            </w:r>
            <w:r>
              <w:rPr>
                <w:sz w:val="20"/>
              </w:rPr>
              <w:t>G23.1,</w:t>
            </w:r>
            <w:r>
              <w:rPr>
                <w:spacing w:val="-5"/>
                <w:sz w:val="20"/>
              </w:rPr>
              <w:t> </w:t>
            </w:r>
            <w:r>
              <w:rPr>
                <w:sz w:val="20"/>
              </w:rPr>
              <w:t>G23.2,</w:t>
            </w:r>
            <w:r>
              <w:rPr>
                <w:spacing w:val="-4"/>
                <w:sz w:val="20"/>
              </w:rPr>
              <w:t> </w:t>
            </w:r>
            <w:r>
              <w:rPr>
                <w:spacing w:val="-2"/>
                <w:sz w:val="20"/>
              </w:rPr>
              <w:t>G23.3,</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9" w:lineRule="exact"/>
              <w:ind w:left="152"/>
              <w:rPr>
                <w:sz w:val="20"/>
              </w:rPr>
            </w:pPr>
            <w:r>
              <w:rPr>
                <w:sz w:val="20"/>
              </w:rPr>
              <w:t>G23.8,</w:t>
            </w:r>
            <w:r>
              <w:rPr>
                <w:spacing w:val="-6"/>
                <w:sz w:val="20"/>
              </w:rPr>
              <w:t> </w:t>
            </w:r>
            <w:r>
              <w:rPr>
                <w:sz w:val="20"/>
              </w:rPr>
              <w:t>G23.9,</w:t>
            </w:r>
            <w:r>
              <w:rPr>
                <w:spacing w:val="-7"/>
                <w:sz w:val="20"/>
              </w:rPr>
              <w:t> </w:t>
            </w:r>
            <w:r>
              <w:rPr>
                <w:sz w:val="20"/>
              </w:rPr>
              <w:t>G24,</w:t>
            </w:r>
            <w:r>
              <w:rPr>
                <w:spacing w:val="-5"/>
                <w:sz w:val="20"/>
              </w:rPr>
              <w:t> </w:t>
            </w:r>
            <w:r>
              <w:rPr>
                <w:sz w:val="20"/>
              </w:rPr>
              <w:t>G24.0,</w:t>
            </w:r>
            <w:r>
              <w:rPr>
                <w:spacing w:val="-5"/>
                <w:sz w:val="20"/>
              </w:rPr>
              <w:t> </w:t>
            </w:r>
            <w:r>
              <w:rPr>
                <w:sz w:val="20"/>
              </w:rPr>
              <w:t>G24.1,</w:t>
            </w:r>
            <w:r>
              <w:rPr>
                <w:spacing w:val="-5"/>
                <w:sz w:val="20"/>
              </w:rPr>
              <w:t> </w:t>
            </w:r>
            <w:r>
              <w:rPr>
                <w:sz w:val="20"/>
              </w:rPr>
              <w:t>G24.2,</w:t>
            </w:r>
            <w:r>
              <w:rPr>
                <w:spacing w:val="-6"/>
                <w:sz w:val="20"/>
              </w:rPr>
              <w:t> </w:t>
            </w:r>
            <w:r>
              <w:rPr>
                <w:spacing w:val="-2"/>
                <w:sz w:val="20"/>
              </w:rPr>
              <w:t>G24.3,</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9" w:lineRule="exact"/>
              <w:ind w:left="149"/>
              <w:rPr>
                <w:sz w:val="20"/>
              </w:rPr>
            </w:pPr>
            <w:r>
              <w:rPr>
                <w:sz w:val="20"/>
              </w:rPr>
              <w:t>G24.4,</w:t>
            </w:r>
            <w:r>
              <w:rPr>
                <w:spacing w:val="-4"/>
                <w:sz w:val="20"/>
              </w:rPr>
              <w:t> </w:t>
            </w:r>
            <w:r>
              <w:rPr>
                <w:sz w:val="20"/>
              </w:rPr>
              <w:t>G24.5,</w:t>
            </w:r>
            <w:r>
              <w:rPr>
                <w:spacing w:val="-6"/>
                <w:sz w:val="20"/>
              </w:rPr>
              <w:t> </w:t>
            </w:r>
            <w:r>
              <w:rPr>
                <w:sz w:val="20"/>
              </w:rPr>
              <w:t>G24.8,</w:t>
            </w:r>
            <w:r>
              <w:rPr>
                <w:spacing w:val="-4"/>
                <w:sz w:val="20"/>
              </w:rPr>
              <w:t> </w:t>
            </w:r>
            <w:r>
              <w:rPr>
                <w:sz w:val="20"/>
              </w:rPr>
              <w:t>G24.9,</w:t>
            </w:r>
            <w:r>
              <w:rPr>
                <w:spacing w:val="-2"/>
                <w:sz w:val="20"/>
              </w:rPr>
              <w:t> </w:t>
            </w:r>
            <w:r>
              <w:rPr>
                <w:sz w:val="20"/>
              </w:rPr>
              <w:t>G25,</w:t>
            </w:r>
            <w:r>
              <w:rPr>
                <w:spacing w:val="-4"/>
                <w:sz w:val="20"/>
              </w:rPr>
              <w:t> </w:t>
            </w:r>
            <w:r>
              <w:rPr>
                <w:sz w:val="20"/>
              </w:rPr>
              <w:t>G25.0,</w:t>
            </w:r>
            <w:r>
              <w:rPr>
                <w:spacing w:val="-4"/>
                <w:sz w:val="20"/>
              </w:rPr>
              <w:t> </w:t>
            </w:r>
            <w:r>
              <w:rPr>
                <w:spacing w:val="-2"/>
                <w:sz w:val="20"/>
              </w:rPr>
              <w:t>G25.1,</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5" w:lineRule="exact"/>
              <w:ind w:left="373"/>
              <w:rPr>
                <w:sz w:val="20"/>
              </w:rPr>
            </w:pPr>
            <w:r>
              <w:rPr>
                <w:sz w:val="20"/>
              </w:rPr>
              <w:t>G25.2,</w:t>
            </w:r>
            <w:r>
              <w:rPr>
                <w:spacing w:val="-4"/>
                <w:sz w:val="20"/>
              </w:rPr>
              <w:t> </w:t>
            </w:r>
            <w:r>
              <w:rPr>
                <w:sz w:val="20"/>
              </w:rPr>
              <w:t>G25.3,</w:t>
            </w:r>
            <w:r>
              <w:rPr>
                <w:spacing w:val="-6"/>
                <w:sz w:val="20"/>
              </w:rPr>
              <w:t> </w:t>
            </w:r>
            <w:r>
              <w:rPr>
                <w:sz w:val="20"/>
              </w:rPr>
              <w:t>G25.4,</w:t>
            </w:r>
            <w:r>
              <w:rPr>
                <w:spacing w:val="-4"/>
                <w:sz w:val="20"/>
              </w:rPr>
              <w:t> </w:t>
            </w:r>
            <w:r>
              <w:rPr>
                <w:sz w:val="20"/>
              </w:rPr>
              <w:t>G25.5,</w:t>
            </w:r>
            <w:r>
              <w:rPr>
                <w:spacing w:val="-6"/>
                <w:sz w:val="20"/>
              </w:rPr>
              <w:t> </w:t>
            </w:r>
            <w:r>
              <w:rPr>
                <w:sz w:val="20"/>
              </w:rPr>
              <w:t>G25.6,</w:t>
            </w:r>
            <w:r>
              <w:rPr>
                <w:spacing w:val="-4"/>
                <w:sz w:val="20"/>
              </w:rPr>
              <w:t> </w:t>
            </w:r>
            <w:r>
              <w:rPr>
                <w:spacing w:val="-2"/>
                <w:sz w:val="20"/>
              </w:rPr>
              <w:t>G25.8,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79" w:right="0" w:firstLine="0"/>
        <w:jc w:val="left"/>
        <w:rPr>
          <w:sz w:val="20"/>
        </w:rPr>
      </w:pPr>
      <w:r>
        <w:rPr>
          <w:sz w:val="20"/>
        </w:rPr>
        <w:t>G25.9,</w:t>
      </w:r>
      <w:r>
        <w:rPr>
          <w:spacing w:val="-5"/>
          <w:sz w:val="20"/>
        </w:rPr>
        <w:t> </w:t>
      </w:r>
      <w:r>
        <w:rPr>
          <w:sz w:val="20"/>
        </w:rPr>
        <w:t>G26,</w:t>
      </w:r>
      <w:r>
        <w:rPr>
          <w:spacing w:val="-5"/>
          <w:sz w:val="20"/>
        </w:rPr>
        <w:t> </w:t>
      </w:r>
      <w:r>
        <w:rPr>
          <w:sz w:val="20"/>
        </w:rPr>
        <w:t>G30,</w:t>
      </w:r>
      <w:r>
        <w:rPr>
          <w:spacing w:val="-4"/>
          <w:sz w:val="20"/>
        </w:rPr>
        <w:t> </w:t>
      </w:r>
      <w:r>
        <w:rPr>
          <w:sz w:val="20"/>
        </w:rPr>
        <w:t>G30.0,</w:t>
      </w:r>
      <w:r>
        <w:rPr>
          <w:spacing w:val="-5"/>
          <w:sz w:val="20"/>
        </w:rPr>
        <w:t> </w:t>
      </w:r>
      <w:r>
        <w:rPr>
          <w:sz w:val="20"/>
        </w:rPr>
        <w:t>G30.1,</w:t>
      </w:r>
      <w:r>
        <w:rPr>
          <w:spacing w:val="-5"/>
          <w:sz w:val="20"/>
        </w:rPr>
        <w:t> </w:t>
      </w:r>
      <w:r>
        <w:rPr>
          <w:sz w:val="20"/>
        </w:rPr>
        <w:t>G30.8,</w:t>
      </w:r>
      <w:r>
        <w:rPr>
          <w:spacing w:val="-4"/>
          <w:sz w:val="20"/>
        </w:rPr>
        <w:t> </w:t>
      </w:r>
      <w:r>
        <w:rPr>
          <w:spacing w:val="-2"/>
          <w:sz w:val="20"/>
        </w:rPr>
        <w:t>G30.9,</w:t>
      </w:r>
    </w:p>
    <w:p>
      <w:pPr>
        <w:spacing w:line="229" w:lineRule="exact" w:before="1"/>
        <w:ind w:left="4605" w:right="0" w:firstLine="0"/>
        <w:jc w:val="left"/>
        <w:rPr>
          <w:sz w:val="20"/>
        </w:rPr>
      </w:pPr>
      <w:r>
        <w:rPr>
          <w:sz w:val="20"/>
        </w:rPr>
        <w:t>G31,</w:t>
      </w:r>
      <w:r>
        <w:rPr>
          <w:spacing w:val="-6"/>
          <w:sz w:val="20"/>
        </w:rPr>
        <w:t> </w:t>
      </w:r>
      <w:r>
        <w:rPr>
          <w:sz w:val="20"/>
        </w:rPr>
        <w:t>G31.0,</w:t>
      </w:r>
      <w:r>
        <w:rPr>
          <w:spacing w:val="-6"/>
          <w:sz w:val="20"/>
        </w:rPr>
        <w:t> </w:t>
      </w:r>
      <w:r>
        <w:rPr>
          <w:sz w:val="20"/>
        </w:rPr>
        <w:t>G31.1,</w:t>
      </w:r>
      <w:r>
        <w:rPr>
          <w:spacing w:val="-5"/>
          <w:sz w:val="20"/>
        </w:rPr>
        <w:t> </w:t>
      </w:r>
      <w:r>
        <w:rPr>
          <w:sz w:val="20"/>
        </w:rPr>
        <w:t>G31.2,</w:t>
      </w:r>
      <w:r>
        <w:rPr>
          <w:spacing w:val="-6"/>
          <w:sz w:val="20"/>
        </w:rPr>
        <w:t> </w:t>
      </w:r>
      <w:r>
        <w:rPr>
          <w:sz w:val="20"/>
        </w:rPr>
        <w:t>G31.8,</w:t>
      </w:r>
      <w:r>
        <w:rPr>
          <w:spacing w:val="-5"/>
          <w:sz w:val="20"/>
        </w:rPr>
        <w:t> </w:t>
      </w:r>
      <w:r>
        <w:rPr>
          <w:sz w:val="20"/>
        </w:rPr>
        <w:t>G31.9,</w:t>
      </w:r>
      <w:r>
        <w:rPr>
          <w:spacing w:val="-6"/>
          <w:sz w:val="20"/>
        </w:rPr>
        <w:t> </w:t>
      </w:r>
      <w:r>
        <w:rPr>
          <w:spacing w:val="-2"/>
          <w:sz w:val="20"/>
        </w:rPr>
        <w:t>G32.0,</w:t>
      </w:r>
    </w:p>
    <w:p>
      <w:pPr>
        <w:spacing w:line="229" w:lineRule="exact" w:before="0"/>
        <w:ind w:left="4679" w:right="0" w:firstLine="0"/>
        <w:jc w:val="left"/>
        <w:rPr>
          <w:sz w:val="20"/>
        </w:rPr>
      </w:pPr>
      <w:r>
        <w:rPr>
          <w:sz w:val="20"/>
        </w:rPr>
        <w:t>G32.8,</w:t>
      </w:r>
      <w:r>
        <w:rPr>
          <w:spacing w:val="-5"/>
          <w:sz w:val="20"/>
        </w:rPr>
        <w:t> </w:t>
      </w:r>
      <w:r>
        <w:rPr>
          <w:sz w:val="20"/>
        </w:rPr>
        <w:t>G35,</w:t>
      </w:r>
      <w:r>
        <w:rPr>
          <w:spacing w:val="-5"/>
          <w:sz w:val="20"/>
        </w:rPr>
        <w:t> </w:t>
      </w:r>
      <w:r>
        <w:rPr>
          <w:sz w:val="20"/>
        </w:rPr>
        <w:t>G36,</w:t>
      </w:r>
      <w:r>
        <w:rPr>
          <w:spacing w:val="-4"/>
          <w:sz w:val="20"/>
        </w:rPr>
        <w:t> </w:t>
      </w:r>
      <w:r>
        <w:rPr>
          <w:sz w:val="20"/>
        </w:rPr>
        <w:t>G36.0,</w:t>
      </w:r>
      <w:r>
        <w:rPr>
          <w:spacing w:val="-5"/>
          <w:sz w:val="20"/>
        </w:rPr>
        <w:t> </w:t>
      </w:r>
      <w:r>
        <w:rPr>
          <w:sz w:val="20"/>
        </w:rPr>
        <w:t>G36.1,</w:t>
      </w:r>
      <w:r>
        <w:rPr>
          <w:spacing w:val="-5"/>
          <w:sz w:val="20"/>
        </w:rPr>
        <w:t> </w:t>
      </w:r>
      <w:r>
        <w:rPr>
          <w:sz w:val="20"/>
        </w:rPr>
        <w:t>G36.8,</w:t>
      </w:r>
      <w:r>
        <w:rPr>
          <w:spacing w:val="-4"/>
          <w:sz w:val="20"/>
        </w:rPr>
        <w:t> </w:t>
      </w:r>
      <w:r>
        <w:rPr>
          <w:spacing w:val="-2"/>
          <w:sz w:val="20"/>
        </w:rPr>
        <w:t>G36.9,</w:t>
      </w:r>
    </w:p>
    <w:p>
      <w:pPr>
        <w:spacing w:before="0"/>
        <w:ind w:left="4605" w:right="0" w:firstLine="0"/>
        <w:jc w:val="left"/>
        <w:rPr>
          <w:sz w:val="20"/>
        </w:rPr>
      </w:pPr>
      <w:r>
        <w:rPr>
          <w:sz w:val="20"/>
        </w:rPr>
        <w:t>G37,</w:t>
      </w:r>
      <w:r>
        <w:rPr>
          <w:spacing w:val="-6"/>
          <w:sz w:val="20"/>
        </w:rPr>
        <w:t> </w:t>
      </w:r>
      <w:r>
        <w:rPr>
          <w:sz w:val="20"/>
        </w:rPr>
        <w:t>G37.0,</w:t>
      </w:r>
      <w:r>
        <w:rPr>
          <w:spacing w:val="-6"/>
          <w:sz w:val="20"/>
        </w:rPr>
        <w:t> </w:t>
      </w:r>
      <w:r>
        <w:rPr>
          <w:sz w:val="20"/>
        </w:rPr>
        <w:t>G37.1,</w:t>
      </w:r>
      <w:r>
        <w:rPr>
          <w:spacing w:val="-5"/>
          <w:sz w:val="20"/>
        </w:rPr>
        <w:t> </w:t>
      </w:r>
      <w:r>
        <w:rPr>
          <w:sz w:val="20"/>
        </w:rPr>
        <w:t>G37.2,</w:t>
      </w:r>
      <w:r>
        <w:rPr>
          <w:spacing w:val="-6"/>
          <w:sz w:val="20"/>
        </w:rPr>
        <w:t> </w:t>
      </w:r>
      <w:r>
        <w:rPr>
          <w:sz w:val="20"/>
        </w:rPr>
        <w:t>G37.3,</w:t>
      </w:r>
      <w:r>
        <w:rPr>
          <w:spacing w:val="-5"/>
          <w:sz w:val="20"/>
        </w:rPr>
        <w:t> </w:t>
      </w:r>
      <w:r>
        <w:rPr>
          <w:sz w:val="20"/>
        </w:rPr>
        <w:t>G37.4,</w:t>
      </w:r>
      <w:r>
        <w:rPr>
          <w:spacing w:val="-6"/>
          <w:sz w:val="20"/>
        </w:rPr>
        <w:t> </w:t>
      </w:r>
      <w:r>
        <w:rPr>
          <w:spacing w:val="-2"/>
          <w:sz w:val="20"/>
        </w:rPr>
        <w:t>G37.5,</w:t>
      </w:r>
    </w:p>
    <w:p>
      <w:pPr>
        <w:spacing w:before="1"/>
        <w:ind w:left="4605" w:right="0" w:firstLine="0"/>
        <w:jc w:val="left"/>
        <w:rPr>
          <w:sz w:val="20"/>
        </w:rPr>
      </w:pPr>
      <w:r>
        <w:rPr>
          <w:sz w:val="20"/>
        </w:rPr>
        <w:t>G37.8,</w:t>
      </w:r>
      <w:r>
        <w:rPr>
          <w:spacing w:val="-6"/>
          <w:sz w:val="20"/>
        </w:rPr>
        <w:t> </w:t>
      </w:r>
      <w:r>
        <w:rPr>
          <w:sz w:val="20"/>
        </w:rPr>
        <w:t>G37.9,</w:t>
      </w:r>
      <w:r>
        <w:rPr>
          <w:spacing w:val="-6"/>
          <w:sz w:val="20"/>
        </w:rPr>
        <w:t> </w:t>
      </w:r>
      <w:r>
        <w:rPr>
          <w:sz w:val="20"/>
        </w:rPr>
        <w:t>G40,</w:t>
      </w:r>
      <w:r>
        <w:rPr>
          <w:spacing w:val="-5"/>
          <w:sz w:val="20"/>
        </w:rPr>
        <w:t> </w:t>
      </w:r>
      <w:r>
        <w:rPr>
          <w:sz w:val="20"/>
        </w:rPr>
        <w:t>G40.0,</w:t>
      </w:r>
      <w:r>
        <w:rPr>
          <w:spacing w:val="-6"/>
          <w:sz w:val="20"/>
        </w:rPr>
        <w:t> </w:t>
      </w:r>
      <w:r>
        <w:rPr>
          <w:sz w:val="20"/>
        </w:rPr>
        <w:t>G40.1,</w:t>
      </w:r>
      <w:r>
        <w:rPr>
          <w:spacing w:val="-5"/>
          <w:sz w:val="20"/>
        </w:rPr>
        <w:t> </w:t>
      </w:r>
      <w:r>
        <w:rPr>
          <w:sz w:val="20"/>
        </w:rPr>
        <w:t>G40.2,</w:t>
      </w:r>
      <w:r>
        <w:rPr>
          <w:spacing w:val="-5"/>
          <w:sz w:val="20"/>
        </w:rPr>
        <w:t> </w:t>
      </w:r>
      <w:r>
        <w:rPr>
          <w:spacing w:val="-2"/>
          <w:sz w:val="20"/>
        </w:rPr>
        <w:t>G40.3,</w:t>
      </w:r>
    </w:p>
    <w:p>
      <w:pPr>
        <w:spacing w:before="0"/>
        <w:ind w:left="4602" w:right="0" w:firstLine="0"/>
        <w:jc w:val="left"/>
        <w:rPr>
          <w:sz w:val="20"/>
        </w:rPr>
      </w:pPr>
      <w:r>
        <w:rPr>
          <w:sz w:val="20"/>
        </w:rPr>
        <w:t>G40.4,</w:t>
      </w:r>
      <w:r>
        <w:rPr>
          <w:spacing w:val="-5"/>
          <w:sz w:val="20"/>
        </w:rPr>
        <w:t> </w:t>
      </w:r>
      <w:r>
        <w:rPr>
          <w:sz w:val="20"/>
        </w:rPr>
        <w:t>G40.5,</w:t>
      </w:r>
      <w:r>
        <w:rPr>
          <w:spacing w:val="-5"/>
          <w:sz w:val="20"/>
        </w:rPr>
        <w:t> </w:t>
      </w:r>
      <w:r>
        <w:rPr>
          <w:sz w:val="20"/>
        </w:rPr>
        <w:t>G40.6,</w:t>
      </w:r>
      <w:r>
        <w:rPr>
          <w:spacing w:val="-4"/>
          <w:sz w:val="20"/>
        </w:rPr>
        <w:t> </w:t>
      </w:r>
      <w:r>
        <w:rPr>
          <w:sz w:val="20"/>
        </w:rPr>
        <w:t>G40.7,</w:t>
      </w:r>
      <w:r>
        <w:rPr>
          <w:spacing w:val="-6"/>
          <w:sz w:val="20"/>
        </w:rPr>
        <w:t> </w:t>
      </w:r>
      <w:r>
        <w:rPr>
          <w:sz w:val="20"/>
        </w:rPr>
        <w:t>G40.8,</w:t>
      </w:r>
      <w:r>
        <w:rPr>
          <w:spacing w:val="-4"/>
          <w:sz w:val="20"/>
        </w:rPr>
        <w:t> </w:t>
      </w:r>
      <w:r>
        <w:rPr>
          <w:sz w:val="20"/>
        </w:rPr>
        <w:t>G40.9,</w:t>
      </w:r>
      <w:r>
        <w:rPr>
          <w:spacing w:val="-6"/>
          <w:sz w:val="20"/>
        </w:rPr>
        <w:t> </w:t>
      </w:r>
      <w:r>
        <w:rPr>
          <w:spacing w:val="-4"/>
          <w:sz w:val="20"/>
        </w:rPr>
        <w:t>G41,</w:t>
      </w:r>
    </w:p>
    <w:p>
      <w:pPr>
        <w:spacing w:before="0"/>
        <w:ind w:left="4602" w:right="0" w:firstLine="0"/>
        <w:jc w:val="left"/>
        <w:rPr>
          <w:sz w:val="20"/>
        </w:rPr>
      </w:pPr>
      <w:r>
        <w:rPr>
          <w:sz w:val="20"/>
        </w:rPr>
        <w:t>G41.0,</w:t>
      </w:r>
      <w:r>
        <w:rPr>
          <w:spacing w:val="-4"/>
          <w:sz w:val="20"/>
        </w:rPr>
        <w:t> </w:t>
      </w:r>
      <w:r>
        <w:rPr>
          <w:sz w:val="20"/>
        </w:rPr>
        <w:t>G41.1,</w:t>
      </w:r>
      <w:r>
        <w:rPr>
          <w:spacing w:val="-6"/>
          <w:sz w:val="20"/>
        </w:rPr>
        <w:t> </w:t>
      </w:r>
      <w:r>
        <w:rPr>
          <w:sz w:val="20"/>
        </w:rPr>
        <w:t>G41.2,</w:t>
      </w:r>
      <w:r>
        <w:rPr>
          <w:spacing w:val="-4"/>
          <w:sz w:val="20"/>
        </w:rPr>
        <w:t> </w:t>
      </w:r>
      <w:r>
        <w:rPr>
          <w:sz w:val="20"/>
        </w:rPr>
        <w:t>G41.8,</w:t>
      </w:r>
      <w:r>
        <w:rPr>
          <w:spacing w:val="-6"/>
          <w:sz w:val="20"/>
        </w:rPr>
        <w:t> </w:t>
      </w:r>
      <w:r>
        <w:rPr>
          <w:sz w:val="20"/>
        </w:rPr>
        <w:t>G41.9,</w:t>
      </w:r>
      <w:r>
        <w:rPr>
          <w:spacing w:val="-4"/>
          <w:sz w:val="20"/>
        </w:rPr>
        <w:t> </w:t>
      </w:r>
      <w:r>
        <w:rPr>
          <w:sz w:val="20"/>
        </w:rPr>
        <w:t>G43,</w:t>
      </w:r>
      <w:r>
        <w:rPr>
          <w:spacing w:val="-4"/>
          <w:sz w:val="20"/>
        </w:rPr>
        <w:t> </w:t>
      </w:r>
      <w:r>
        <w:rPr>
          <w:spacing w:val="-2"/>
          <w:sz w:val="20"/>
        </w:rPr>
        <w:t>G43.0,</w:t>
      </w:r>
    </w:p>
    <w:p>
      <w:pPr>
        <w:spacing w:line="229" w:lineRule="exact" w:before="1"/>
        <w:ind w:left="4602" w:right="0" w:firstLine="0"/>
        <w:jc w:val="left"/>
        <w:rPr>
          <w:sz w:val="20"/>
        </w:rPr>
      </w:pPr>
      <w:r>
        <w:rPr>
          <w:sz w:val="20"/>
        </w:rPr>
        <w:t>G43.1,</w:t>
      </w:r>
      <w:r>
        <w:rPr>
          <w:spacing w:val="-4"/>
          <w:sz w:val="20"/>
        </w:rPr>
        <w:t> </w:t>
      </w:r>
      <w:r>
        <w:rPr>
          <w:sz w:val="20"/>
        </w:rPr>
        <w:t>G43.2,</w:t>
      </w:r>
      <w:r>
        <w:rPr>
          <w:spacing w:val="-6"/>
          <w:sz w:val="20"/>
        </w:rPr>
        <w:t> </w:t>
      </w:r>
      <w:r>
        <w:rPr>
          <w:sz w:val="20"/>
        </w:rPr>
        <w:t>G43.3,</w:t>
      </w:r>
      <w:r>
        <w:rPr>
          <w:spacing w:val="-4"/>
          <w:sz w:val="20"/>
        </w:rPr>
        <w:t> </w:t>
      </w:r>
      <w:r>
        <w:rPr>
          <w:sz w:val="20"/>
        </w:rPr>
        <w:t>G43.8,</w:t>
      </w:r>
      <w:r>
        <w:rPr>
          <w:spacing w:val="-6"/>
          <w:sz w:val="20"/>
        </w:rPr>
        <w:t> </w:t>
      </w:r>
      <w:r>
        <w:rPr>
          <w:sz w:val="20"/>
        </w:rPr>
        <w:t>G43.9,</w:t>
      </w:r>
      <w:r>
        <w:rPr>
          <w:spacing w:val="-4"/>
          <w:sz w:val="20"/>
        </w:rPr>
        <w:t> </w:t>
      </w:r>
      <w:r>
        <w:rPr>
          <w:sz w:val="20"/>
        </w:rPr>
        <w:t>G44,</w:t>
      </w:r>
      <w:r>
        <w:rPr>
          <w:spacing w:val="-4"/>
          <w:sz w:val="20"/>
        </w:rPr>
        <w:t> </w:t>
      </w:r>
      <w:r>
        <w:rPr>
          <w:spacing w:val="-2"/>
          <w:sz w:val="20"/>
        </w:rPr>
        <w:t>G44.0,</w:t>
      </w:r>
    </w:p>
    <w:p>
      <w:pPr>
        <w:spacing w:line="229" w:lineRule="exact" w:before="0"/>
        <w:ind w:left="4602" w:right="0" w:firstLine="0"/>
        <w:jc w:val="left"/>
        <w:rPr>
          <w:sz w:val="20"/>
        </w:rPr>
      </w:pPr>
      <w:r>
        <w:rPr>
          <w:sz w:val="20"/>
        </w:rPr>
        <w:t>G44.1,</w:t>
      </w:r>
      <w:r>
        <w:rPr>
          <w:spacing w:val="-4"/>
          <w:sz w:val="20"/>
        </w:rPr>
        <w:t> </w:t>
      </w:r>
      <w:r>
        <w:rPr>
          <w:sz w:val="20"/>
        </w:rPr>
        <w:t>G44.2,</w:t>
      </w:r>
      <w:r>
        <w:rPr>
          <w:spacing w:val="-6"/>
          <w:sz w:val="20"/>
        </w:rPr>
        <w:t> </w:t>
      </w:r>
      <w:r>
        <w:rPr>
          <w:sz w:val="20"/>
        </w:rPr>
        <w:t>G44.3,</w:t>
      </w:r>
      <w:r>
        <w:rPr>
          <w:spacing w:val="-4"/>
          <w:sz w:val="20"/>
        </w:rPr>
        <w:t> </w:t>
      </w:r>
      <w:r>
        <w:rPr>
          <w:sz w:val="20"/>
        </w:rPr>
        <w:t>G44.4,</w:t>
      </w:r>
      <w:r>
        <w:rPr>
          <w:spacing w:val="-6"/>
          <w:sz w:val="20"/>
        </w:rPr>
        <w:t> </w:t>
      </w:r>
      <w:r>
        <w:rPr>
          <w:sz w:val="20"/>
        </w:rPr>
        <w:t>G44.8,</w:t>
      </w:r>
      <w:r>
        <w:rPr>
          <w:spacing w:val="-4"/>
          <w:sz w:val="20"/>
        </w:rPr>
        <w:t> </w:t>
      </w:r>
      <w:r>
        <w:rPr>
          <w:sz w:val="20"/>
        </w:rPr>
        <w:t>G47,</w:t>
      </w:r>
      <w:r>
        <w:rPr>
          <w:spacing w:val="-4"/>
          <w:sz w:val="20"/>
        </w:rPr>
        <w:t> </w:t>
      </w:r>
      <w:r>
        <w:rPr>
          <w:spacing w:val="-2"/>
          <w:sz w:val="20"/>
        </w:rPr>
        <w:t>G47.0,</w:t>
      </w:r>
    </w:p>
    <w:p>
      <w:pPr>
        <w:spacing w:before="1"/>
        <w:ind w:left="1165" w:right="4154" w:firstLine="0"/>
        <w:jc w:val="center"/>
        <w:rPr>
          <w:sz w:val="20"/>
        </w:rPr>
      </w:pPr>
      <w:r>
        <w:rPr>
          <w:sz w:val="20"/>
        </w:rPr>
        <w:t>G47.1,</w:t>
      </w:r>
      <w:r>
        <w:rPr>
          <w:spacing w:val="-4"/>
          <w:sz w:val="20"/>
        </w:rPr>
        <w:t> </w:t>
      </w:r>
      <w:r>
        <w:rPr>
          <w:sz w:val="20"/>
        </w:rPr>
        <w:t>G47.2,</w:t>
      </w:r>
      <w:r>
        <w:rPr>
          <w:spacing w:val="-5"/>
          <w:sz w:val="20"/>
        </w:rPr>
        <w:t> </w:t>
      </w:r>
      <w:r>
        <w:rPr>
          <w:sz w:val="20"/>
        </w:rPr>
        <w:t>G47.3,</w:t>
      </w:r>
      <w:r>
        <w:rPr>
          <w:spacing w:val="-3"/>
          <w:sz w:val="20"/>
        </w:rPr>
        <w:t> </w:t>
      </w:r>
      <w:r>
        <w:rPr>
          <w:sz w:val="20"/>
        </w:rPr>
        <w:t>G47.4,</w:t>
      </w:r>
      <w:r>
        <w:rPr>
          <w:spacing w:val="-5"/>
          <w:sz w:val="20"/>
        </w:rPr>
        <w:t> </w:t>
      </w:r>
      <w:r>
        <w:rPr>
          <w:sz w:val="20"/>
        </w:rPr>
        <w:t>G47.8,</w:t>
      </w:r>
      <w:r>
        <w:rPr>
          <w:spacing w:val="-3"/>
          <w:sz w:val="20"/>
        </w:rPr>
        <w:t> </w:t>
      </w:r>
      <w:r>
        <w:rPr>
          <w:spacing w:val="-2"/>
          <w:sz w:val="20"/>
        </w:rPr>
        <w:t>G47.9,</w:t>
      </w:r>
    </w:p>
    <w:p>
      <w:pPr>
        <w:spacing w:before="0"/>
        <w:ind w:left="1162" w:right="4154" w:firstLine="0"/>
        <w:jc w:val="center"/>
        <w:rPr>
          <w:sz w:val="20"/>
        </w:rPr>
      </w:pPr>
      <w:r>
        <w:rPr>
          <w:sz w:val="20"/>
        </w:rPr>
        <w:t>G50.0,</w:t>
      </w:r>
      <w:r>
        <w:rPr>
          <w:spacing w:val="-4"/>
          <w:sz w:val="20"/>
        </w:rPr>
        <w:t> </w:t>
      </w:r>
      <w:r>
        <w:rPr>
          <w:sz w:val="20"/>
        </w:rPr>
        <w:t>G50.1,</w:t>
      </w:r>
      <w:r>
        <w:rPr>
          <w:spacing w:val="-6"/>
          <w:sz w:val="20"/>
        </w:rPr>
        <w:t> </w:t>
      </w:r>
      <w:r>
        <w:rPr>
          <w:sz w:val="20"/>
        </w:rPr>
        <w:t>G50.8,</w:t>
      </w:r>
      <w:r>
        <w:rPr>
          <w:spacing w:val="-4"/>
          <w:sz w:val="20"/>
        </w:rPr>
        <w:t> </w:t>
      </w:r>
      <w:r>
        <w:rPr>
          <w:sz w:val="20"/>
        </w:rPr>
        <w:t>G50.9,</w:t>
      </w:r>
      <w:r>
        <w:rPr>
          <w:spacing w:val="-6"/>
          <w:sz w:val="20"/>
        </w:rPr>
        <w:t> </w:t>
      </w:r>
      <w:r>
        <w:rPr>
          <w:sz w:val="20"/>
        </w:rPr>
        <w:t>G51.0,</w:t>
      </w:r>
      <w:r>
        <w:rPr>
          <w:spacing w:val="-4"/>
          <w:sz w:val="20"/>
        </w:rPr>
        <w:t> </w:t>
      </w:r>
      <w:r>
        <w:rPr>
          <w:spacing w:val="-2"/>
          <w:sz w:val="20"/>
        </w:rPr>
        <w:t>G51.2,</w:t>
      </w:r>
    </w:p>
    <w:p>
      <w:pPr>
        <w:spacing w:before="1"/>
        <w:ind w:left="1159" w:right="4154" w:firstLine="0"/>
        <w:jc w:val="center"/>
        <w:rPr>
          <w:sz w:val="20"/>
        </w:rPr>
      </w:pPr>
      <w:r>
        <w:rPr>
          <w:sz w:val="20"/>
        </w:rPr>
        <w:t>G51.3,</w:t>
      </w:r>
      <w:r>
        <w:rPr>
          <w:spacing w:val="-4"/>
          <w:sz w:val="20"/>
        </w:rPr>
        <w:t> </w:t>
      </w:r>
      <w:r>
        <w:rPr>
          <w:sz w:val="20"/>
        </w:rPr>
        <w:t>G51.4,</w:t>
      </w:r>
      <w:r>
        <w:rPr>
          <w:spacing w:val="-6"/>
          <w:sz w:val="20"/>
        </w:rPr>
        <w:t> </w:t>
      </w:r>
      <w:r>
        <w:rPr>
          <w:sz w:val="20"/>
        </w:rPr>
        <w:t>G51.8,</w:t>
      </w:r>
      <w:r>
        <w:rPr>
          <w:spacing w:val="-4"/>
          <w:sz w:val="20"/>
        </w:rPr>
        <w:t> </w:t>
      </w:r>
      <w:r>
        <w:rPr>
          <w:sz w:val="20"/>
        </w:rPr>
        <w:t>G51.9,</w:t>
      </w:r>
      <w:r>
        <w:rPr>
          <w:spacing w:val="-6"/>
          <w:sz w:val="20"/>
        </w:rPr>
        <w:t> </w:t>
      </w:r>
      <w:r>
        <w:rPr>
          <w:sz w:val="20"/>
        </w:rPr>
        <w:t>G52,</w:t>
      </w:r>
      <w:r>
        <w:rPr>
          <w:spacing w:val="-4"/>
          <w:sz w:val="20"/>
        </w:rPr>
        <w:t> </w:t>
      </w:r>
      <w:r>
        <w:rPr>
          <w:sz w:val="20"/>
        </w:rPr>
        <w:t>G52.0,</w:t>
      </w:r>
      <w:r>
        <w:rPr>
          <w:spacing w:val="-4"/>
          <w:sz w:val="20"/>
        </w:rPr>
        <w:t> </w:t>
      </w:r>
      <w:r>
        <w:rPr>
          <w:spacing w:val="-2"/>
          <w:sz w:val="20"/>
        </w:rPr>
        <w:t>G52.1,</w:t>
      </w:r>
    </w:p>
    <w:p>
      <w:pPr>
        <w:spacing w:before="0"/>
        <w:ind w:left="1159" w:right="4154" w:firstLine="0"/>
        <w:jc w:val="center"/>
        <w:rPr>
          <w:sz w:val="20"/>
        </w:rPr>
      </w:pPr>
      <w:r>
        <w:rPr>
          <w:sz w:val="20"/>
        </w:rPr>
        <w:t>G52.2,</w:t>
      </w:r>
      <w:r>
        <w:rPr>
          <w:spacing w:val="-4"/>
          <w:sz w:val="20"/>
        </w:rPr>
        <w:t> </w:t>
      </w:r>
      <w:r>
        <w:rPr>
          <w:sz w:val="20"/>
        </w:rPr>
        <w:t>G52.3,</w:t>
      </w:r>
      <w:r>
        <w:rPr>
          <w:spacing w:val="-6"/>
          <w:sz w:val="20"/>
        </w:rPr>
        <w:t> </w:t>
      </w:r>
      <w:r>
        <w:rPr>
          <w:sz w:val="20"/>
        </w:rPr>
        <w:t>G52.7,</w:t>
      </w:r>
      <w:r>
        <w:rPr>
          <w:spacing w:val="-4"/>
          <w:sz w:val="20"/>
        </w:rPr>
        <w:t> </w:t>
      </w:r>
      <w:r>
        <w:rPr>
          <w:sz w:val="20"/>
        </w:rPr>
        <w:t>G52.8,</w:t>
      </w:r>
      <w:r>
        <w:rPr>
          <w:spacing w:val="-6"/>
          <w:sz w:val="20"/>
        </w:rPr>
        <w:t> </w:t>
      </w:r>
      <w:r>
        <w:rPr>
          <w:sz w:val="20"/>
        </w:rPr>
        <w:t>G52.9,</w:t>
      </w:r>
      <w:r>
        <w:rPr>
          <w:spacing w:val="-4"/>
          <w:sz w:val="20"/>
        </w:rPr>
        <w:t> </w:t>
      </w:r>
      <w:r>
        <w:rPr>
          <w:sz w:val="20"/>
        </w:rPr>
        <w:t>G53,</w:t>
      </w:r>
      <w:r>
        <w:rPr>
          <w:spacing w:val="-4"/>
          <w:sz w:val="20"/>
        </w:rPr>
        <w:t> </w:t>
      </w:r>
      <w:r>
        <w:rPr>
          <w:spacing w:val="-2"/>
          <w:sz w:val="20"/>
        </w:rPr>
        <w:t>G53.0,</w:t>
      </w:r>
    </w:p>
    <w:p>
      <w:pPr>
        <w:spacing w:line="229" w:lineRule="exact" w:before="1"/>
        <w:ind w:left="1159" w:right="4154" w:firstLine="0"/>
        <w:jc w:val="center"/>
        <w:rPr>
          <w:sz w:val="20"/>
        </w:rPr>
      </w:pPr>
      <w:r>
        <w:rPr>
          <w:sz w:val="20"/>
        </w:rPr>
        <w:t>G53.1,</w:t>
      </w:r>
      <w:r>
        <w:rPr>
          <w:spacing w:val="-4"/>
          <w:sz w:val="20"/>
        </w:rPr>
        <w:t> </w:t>
      </w:r>
      <w:r>
        <w:rPr>
          <w:sz w:val="20"/>
        </w:rPr>
        <w:t>G53.2,</w:t>
      </w:r>
      <w:r>
        <w:rPr>
          <w:spacing w:val="-6"/>
          <w:sz w:val="20"/>
        </w:rPr>
        <w:t> </w:t>
      </w:r>
      <w:r>
        <w:rPr>
          <w:sz w:val="20"/>
        </w:rPr>
        <w:t>G53.3,</w:t>
      </w:r>
      <w:r>
        <w:rPr>
          <w:spacing w:val="-4"/>
          <w:sz w:val="20"/>
        </w:rPr>
        <w:t> </w:t>
      </w:r>
      <w:r>
        <w:rPr>
          <w:sz w:val="20"/>
        </w:rPr>
        <w:t>G53.8,</w:t>
      </w:r>
      <w:r>
        <w:rPr>
          <w:spacing w:val="-6"/>
          <w:sz w:val="20"/>
        </w:rPr>
        <w:t> </w:t>
      </w:r>
      <w:r>
        <w:rPr>
          <w:sz w:val="20"/>
        </w:rPr>
        <w:t>G54,</w:t>
      </w:r>
      <w:r>
        <w:rPr>
          <w:spacing w:val="-4"/>
          <w:sz w:val="20"/>
        </w:rPr>
        <w:t> </w:t>
      </w:r>
      <w:r>
        <w:rPr>
          <w:sz w:val="20"/>
        </w:rPr>
        <w:t>G54.0,</w:t>
      </w:r>
      <w:r>
        <w:rPr>
          <w:spacing w:val="-4"/>
          <w:sz w:val="20"/>
        </w:rPr>
        <w:t> </w:t>
      </w:r>
      <w:r>
        <w:rPr>
          <w:spacing w:val="-2"/>
          <w:sz w:val="20"/>
        </w:rPr>
        <w:t>G54.1,</w:t>
      </w:r>
    </w:p>
    <w:p>
      <w:pPr>
        <w:spacing w:line="229" w:lineRule="exact" w:before="0"/>
        <w:ind w:left="1162" w:right="4154" w:firstLine="0"/>
        <w:jc w:val="center"/>
        <w:rPr>
          <w:sz w:val="20"/>
        </w:rPr>
      </w:pPr>
      <w:r>
        <w:rPr>
          <w:sz w:val="20"/>
        </w:rPr>
        <w:t>G54.2,</w:t>
      </w:r>
      <w:r>
        <w:rPr>
          <w:spacing w:val="-4"/>
          <w:sz w:val="20"/>
        </w:rPr>
        <w:t> </w:t>
      </w:r>
      <w:r>
        <w:rPr>
          <w:sz w:val="20"/>
        </w:rPr>
        <w:t>G54.3,</w:t>
      </w:r>
      <w:r>
        <w:rPr>
          <w:spacing w:val="-6"/>
          <w:sz w:val="20"/>
        </w:rPr>
        <w:t> </w:t>
      </w:r>
      <w:r>
        <w:rPr>
          <w:sz w:val="20"/>
        </w:rPr>
        <w:t>G54.4,</w:t>
      </w:r>
      <w:r>
        <w:rPr>
          <w:spacing w:val="-4"/>
          <w:sz w:val="20"/>
        </w:rPr>
        <w:t> </w:t>
      </w:r>
      <w:r>
        <w:rPr>
          <w:sz w:val="20"/>
        </w:rPr>
        <w:t>G54.5,</w:t>
      </w:r>
      <w:r>
        <w:rPr>
          <w:spacing w:val="-6"/>
          <w:sz w:val="20"/>
        </w:rPr>
        <w:t> </w:t>
      </w:r>
      <w:r>
        <w:rPr>
          <w:sz w:val="20"/>
        </w:rPr>
        <w:t>G54.6,</w:t>
      </w:r>
      <w:r>
        <w:rPr>
          <w:spacing w:val="-4"/>
          <w:sz w:val="20"/>
        </w:rPr>
        <w:t> </w:t>
      </w:r>
      <w:r>
        <w:rPr>
          <w:spacing w:val="-2"/>
          <w:sz w:val="20"/>
        </w:rPr>
        <w:t>G54.7,</w:t>
      </w:r>
    </w:p>
    <w:p>
      <w:pPr>
        <w:spacing w:before="0"/>
        <w:ind w:left="4605" w:right="0" w:firstLine="0"/>
        <w:jc w:val="left"/>
        <w:rPr>
          <w:sz w:val="20"/>
        </w:rPr>
      </w:pPr>
      <w:r>
        <w:rPr>
          <w:sz w:val="20"/>
        </w:rPr>
        <w:t>G54.8,</w:t>
      </w:r>
      <w:r>
        <w:rPr>
          <w:spacing w:val="-5"/>
          <w:sz w:val="20"/>
        </w:rPr>
        <w:t> </w:t>
      </w:r>
      <w:r>
        <w:rPr>
          <w:sz w:val="20"/>
        </w:rPr>
        <w:t>G54.9,</w:t>
      </w:r>
      <w:r>
        <w:rPr>
          <w:spacing w:val="-7"/>
          <w:sz w:val="20"/>
        </w:rPr>
        <w:t> </w:t>
      </w:r>
      <w:r>
        <w:rPr>
          <w:sz w:val="20"/>
        </w:rPr>
        <w:t>G55,</w:t>
      </w:r>
      <w:r>
        <w:rPr>
          <w:spacing w:val="-4"/>
          <w:sz w:val="20"/>
        </w:rPr>
        <w:t> </w:t>
      </w:r>
      <w:r>
        <w:rPr>
          <w:sz w:val="20"/>
        </w:rPr>
        <w:t>G55.0,</w:t>
      </w:r>
      <w:r>
        <w:rPr>
          <w:spacing w:val="-5"/>
          <w:sz w:val="20"/>
        </w:rPr>
        <w:t> </w:t>
      </w:r>
      <w:r>
        <w:rPr>
          <w:sz w:val="20"/>
        </w:rPr>
        <w:t>G55.1,</w:t>
      </w:r>
      <w:r>
        <w:rPr>
          <w:spacing w:val="-5"/>
          <w:sz w:val="20"/>
        </w:rPr>
        <w:t> </w:t>
      </w:r>
      <w:r>
        <w:rPr>
          <w:sz w:val="20"/>
        </w:rPr>
        <w:t>G55.2,</w:t>
      </w:r>
      <w:r>
        <w:rPr>
          <w:spacing w:val="-5"/>
          <w:sz w:val="20"/>
        </w:rPr>
        <w:t> </w:t>
      </w:r>
      <w:r>
        <w:rPr>
          <w:spacing w:val="-2"/>
          <w:sz w:val="20"/>
        </w:rPr>
        <w:t>G55.3,</w:t>
      </w:r>
    </w:p>
    <w:p>
      <w:pPr>
        <w:spacing w:before="0"/>
        <w:ind w:left="4605" w:right="0" w:firstLine="0"/>
        <w:jc w:val="left"/>
        <w:rPr>
          <w:sz w:val="20"/>
        </w:rPr>
      </w:pPr>
      <w:r>
        <w:rPr>
          <w:sz w:val="20"/>
        </w:rPr>
        <w:t>G55.8,</w:t>
      </w:r>
      <w:r>
        <w:rPr>
          <w:spacing w:val="-6"/>
          <w:sz w:val="20"/>
        </w:rPr>
        <w:t> </w:t>
      </w:r>
      <w:r>
        <w:rPr>
          <w:sz w:val="20"/>
        </w:rPr>
        <w:t>G56,</w:t>
      </w:r>
      <w:r>
        <w:rPr>
          <w:spacing w:val="-6"/>
          <w:sz w:val="20"/>
        </w:rPr>
        <w:t> </w:t>
      </w:r>
      <w:r>
        <w:rPr>
          <w:sz w:val="20"/>
        </w:rPr>
        <w:t>G56.0,</w:t>
      </w:r>
      <w:r>
        <w:rPr>
          <w:spacing w:val="-5"/>
          <w:sz w:val="20"/>
        </w:rPr>
        <w:t> </w:t>
      </w:r>
      <w:r>
        <w:rPr>
          <w:sz w:val="20"/>
        </w:rPr>
        <w:t>G56.1,</w:t>
      </w:r>
      <w:r>
        <w:rPr>
          <w:spacing w:val="-6"/>
          <w:sz w:val="20"/>
        </w:rPr>
        <w:t> </w:t>
      </w:r>
      <w:r>
        <w:rPr>
          <w:sz w:val="20"/>
        </w:rPr>
        <w:t>G56.2,</w:t>
      </w:r>
      <w:r>
        <w:rPr>
          <w:spacing w:val="-5"/>
          <w:sz w:val="20"/>
        </w:rPr>
        <w:t> </w:t>
      </w:r>
      <w:r>
        <w:rPr>
          <w:sz w:val="20"/>
        </w:rPr>
        <w:t>G56.3,</w:t>
      </w:r>
      <w:r>
        <w:rPr>
          <w:spacing w:val="-6"/>
          <w:sz w:val="20"/>
        </w:rPr>
        <w:t> </w:t>
      </w:r>
      <w:r>
        <w:rPr>
          <w:spacing w:val="-2"/>
          <w:sz w:val="20"/>
        </w:rPr>
        <w:t>G56.8,</w:t>
      </w:r>
    </w:p>
    <w:p>
      <w:pPr>
        <w:spacing w:before="1"/>
        <w:ind w:left="4605" w:right="0" w:firstLine="0"/>
        <w:jc w:val="left"/>
        <w:rPr>
          <w:sz w:val="20"/>
        </w:rPr>
      </w:pPr>
      <w:r>
        <w:rPr>
          <w:sz w:val="20"/>
        </w:rPr>
        <w:t>G56.9,</w:t>
      </w:r>
      <w:r>
        <w:rPr>
          <w:spacing w:val="-6"/>
          <w:sz w:val="20"/>
        </w:rPr>
        <w:t> </w:t>
      </w:r>
      <w:r>
        <w:rPr>
          <w:sz w:val="20"/>
        </w:rPr>
        <w:t>G57,</w:t>
      </w:r>
      <w:r>
        <w:rPr>
          <w:spacing w:val="-6"/>
          <w:sz w:val="20"/>
        </w:rPr>
        <w:t> </w:t>
      </w:r>
      <w:r>
        <w:rPr>
          <w:sz w:val="20"/>
        </w:rPr>
        <w:t>G57.0,</w:t>
      </w:r>
      <w:r>
        <w:rPr>
          <w:spacing w:val="-5"/>
          <w:sz w:val="20"/>
        </w:rPr>
        <w:t> </w:t>
      </w:r>
      <w:r>
        <w:rPr>
          <w:sz w:val="20"/>
        </w:rPr>
        <w:t>G57.1,</w:t>
      </w:r>
      <w:r>
        <w:rPr>
          <w:spacing w:val="-6"/>
          <w:sz w:val="20"/>
        </w:rPr>
        <w:t> </w:t>
      </w:r>
      <w:r>
        <w:rPr>
          <w:sz w:val="20"/>
        </w:rPr>
        <w:t>G57.2,</w:t>
      </w:r>
      <w:r>
        <w:rPr>
          <w:spacing w:val="-5"/>
          <w:sz w:val="20"/>
        </w:rPr>
        <w:t> </w:t>
      </w:r>
      <w:r>
        <w:rPr>
          <w:sz w:val="20"/>
        </w:rPr>
        <w:t>G57.3,</w:t>
      </w:r>
      <w:r>
        <w:rPr>
          <w:spacing w:val="-6"/>
          <w:sz w:val="20"/>
        </w:rPr>
        <w:t> </w:t>
      </w:r>
      <w:r>
        <w:rPr>
          <w:spacing w:val="-2"/>
          <w:sz w:val="20"/>
        </w:rPr>
        <w:t>G57.4,</w:t>
      </w:r>
    </w:p>
    <w:p>
      <w:pPr>
        <w:spacing w:before="1"/>
        <w:ind w:left="4602" w:right="0" w:firstLine="0"/>
        <w:jc w:val="left"/>
        <w:rPr>
          <w:sz w:val="20"/>
        </w:rPr>
      </w:pPr>
      <w:r>
        <w:rPr>
          <w:sz w:val="20"/>
        </w:rPr>
        <w:t>G57.5,</w:t>
      </w:r>
      <w:r>
        <w:rPr>
          <w:spacing w:val="-4"/>
          <w:sz w:val="20"/>
        </w:rPr>
        <w:t> </w:t>
      </w:r>
      <w:r>
        <w:rPr>
          <w:sz w:val="20"/>
        </w:rPr>
        <w:t>G57.6,</w:t>
      </w:r>
      <w:r>
        <w:rPr>
          <w:spacing w:val="-6"/>
          <w:sz w:val="20"/>
        </w:rPr>
        <w:t> </w:t>
      </w:r>
      <w:r>
        <w:rPr>
          <w:sz w:val="20"/>
        </w:rPr>
        <w:t>G57.8,</w:t>
      </w:r>
      <w:r>
        <w:rPr>
          <w:spacing w:val="-4"/>
          <w:sz w:val="20"/>
        </w:rPr>
        <w:t> </w:t>
      </w:r>
      <w:r>
        <w:rPr>
          <w:sz w:val="20"/>
        </w:rPr>
        <w:t>G57.9,</w:t>
      </w:r>
      <w:r>
        <w:rPr>
          <w:spacing w:val="-6"/>
          <w:sz w:val="20"/>
        </w:rPr>
        <w:t> </w:t>
      </w:r>
      <w:r>
        <w:rPr>
          <w:sz w:val="20"/>
        </w:rPr>
        <w:t>G58,</w:t>
      </w:r>
      <w:r>
        <w:rPr>
          <w:spacing w:val="-4"/>
          <w:sz w:val="20"/>
        </w:rPr>
        <w:t> </w:t>
      </w:r>
      <w:r>
        <w:rPr>
          <w:sz w:val="20"/>
        </w:rPr>
        <w:t>G58.0,</w:t>
      </w:r>
      <w:r>
        <w:rPr>
          <w:spacing w:val="-4"/>
          <w:sz w:val="20"/>
        </w:rPr>
        <w:t> </w:t>
      </w:r>
      <w:r>
        <w:rPr>
          <w:spacing w:val="-2"/>
          <w:sz w:val="20"/>
        </w:rPr>
        <w:t>G58.7,</w:t>
      </w:r>
    </w:p>
    <w:p>
      <w:pPr>
        <w:spacing w:line="229" w:lineRule="exact" w:before="0"/>
        <w:ind w:left="1161" w:right="4154" w:firstLine="0"/>
        <w:jc w:val="center"/>
        <w:rPr>
          <w:sz w:val="20"/>
        </w:rPr>
      </w:pPr>
      <w:r>
        <w:rPr>
          <w:sz w:val="20"/>
        </w:rPr>
        <w:t>G58.8,</w:t>
      </w:r>
      <w:r>
        <w:rPr>
          <w:spacing w:val="-5"/>
          <w:sz w:val="20"/>
        </w:rPr>
        <w:t> </w:t>
      </w:r>
      <w:r>
        <w:rPr>
          <w:sz w:val="20"/>
        </w:rPr>
        <w:t>G58.9,</w:t>
      </w:r>
      <w:r>
        <w:rPr>
          <w:spacing w:val="-7"/>
          <w:sz w:val="20"/>
        </w:rPr>
        <w:t> </w:t>
      </w:r>
      <w:r>
        <w:rPr>
          <w:sz w:val="20"/>
        </w:rPr>
        <w:t>G59,</w:t>
      </w:r>
      <w:r>
        <w:rPr>
          <w:spacing w:val="-4"/>
          <w:sz w:val="20"/>
        </w:rPr>
        <w:t> </w:t>
      </w:r>
      <w:r>
        <w:rPr>
          <w:sz w:val="20"/>
        </w:rPr>
        <w:t>G59.0,</w:t>
      </w:r>
      <w:r>
        <w:rPr>
          <w:spacing w:val="-5"/>
          <w:sz w:val="20"/>
        </w:rPr>
        <w:t> </w:t>
      </w:r>
      <w:r>
        <w:rPr>
          <w:sz w:val="20"/>
        </w:rPr>
        <w:t>G59.8,</w:t>
      </w:r>
      <w:r>
        <w:rPr>
          <w:spacing w:val="-5"/>
          <w:sz w:val="20"/>
        </w:rPr>
        <w:t> </w:t>
      </w:r>
      <w:r>
        <w:rPr>
          <w:sz w:val="20"/>
        </w:rPr>
        <w:t>G60,</w:t>
      </w:r>
      <w:r>
        <w:rPr>
          <w:spacing w:val="-4"/>
          <w:sz w:val="20"/>
        </w:rPr>
        <w:t> </w:t>
      </w:r>
      <w:r>
        <w:rPr>
          <w:spacing w:val="-2"/>
          <w:sz w:val="20"/>
        </w:rPr>
        <w:t>G60.0,</w:t>
      </w:r>
    </w:p>
    <w:p>
      <w:pPr>
        <w:spacing w:line="229" w:lineRule="exact" w:before="0"/>
        <w:ind w:left="1162" w:right="4154" w:firstLine="0"/>
        <w:jc w:val="center"/>
        <w:rPr>
          <w:sz w:val="20"/>
        </w:rPr>
      </w:pPr>
      <w:r>
        <w:rPr>
          <w:sz w:val="20"/>
        </w:rPr>
        <w:t>G60.1,</w:t>
      </w:r>
      <w:r>
        <w:rPr>
          <w:spacing w:val="-4"/>
          <w:sz w:val="20"/>
        </w:rPr>
        <w:t> </w:t>
      </w:r>
      <w:r>
        <w:rPr>
          <w:sz w:val="20"/>
        </w:rPr>
        <w:t>G60.2,</w:t>
      </w:r>
      <w:r>
        <w:rPr>
          <w:spacing w:val="-6"/>
          <w:sz w:val="20"/>
        </w:rPr>
        <w:t> </w:t>
      </w:r>
      <w:r>
        <w:rPr>
          <w:sz w:val="20"/>
        </w:rPr>
        <w:t>G60.3,</w:t>
      </w:r>
      <w:r>
        <w:rPr>
          <w:spacing w:val="-4"/>
          <w:sz w:val="20"/>
        </w:rPr>
        <w:t> </w:t>
      </w:r>
      <w:r>
        <w:rPr>
          <w:sz w:val="20"/>
        </w:rPr>
        <w:t>G60.8,</w:t>
      </w:r>
      <w:r>
        <w:rPr>
          <w:spacing w:val="-6"/>
          <w:sz w:val="20"/>
        </w:rPr>
        <w:t> </w:t>
      </w:r>
      <w:r>
        <w:rPr>
          <w:sz w:val="20"/>
        </w:rPr>
        <w:t>G60.9,</w:t>
      </w:r>
      <w:r>
        <w:rPr>
          <w:spacing w:val="-4"/>
          <w:sz w:val="20"/>
        </w:rPr>
        <w:t> </w:t>
      </w:r>
      <w:r>
        <w:rPr>
          <w:spacing w:val="-2"/>
          <w:sz w:val="20"/>
        </w:rPr>
        <w:t>G61.0,</w:t>
      </w:r>
    </w:p>
    <w:p>
      <w:pPr>
        <w:spacing w:before="0"/>
        <w:ind w:left="1162" w:right="4154" w:firstLine="0"/>
        <w:jc w:val="center"/>
        <w:rPr>
          <w:sz w:val="20"/>
        </w:rPr>
      </w:pPr>
      <w:r>
        <w:rPr>
          <w:sz w:val="20"/>
        </w:rPr>
        <w:t>G61.1,</w:t>
      </w:r>
      <w:r>
        <w:rPr>
          <w:spacing w:val="-4"/>
          <w:sz w:val="20"/>
        </w:rPr>
        <w:t> </w:t>
      </w:r>
      <w:r>
        <w:rPr>
          <w:sz w:val="20"/>
        </w:rPr>
        <w:t>G61.8,</w:t>
      </w:r>
      <w:r>
        <w:rPr>
          <w:spacing w:val="-6"/>
          <w:sz w:val="20"/>
        </w:rPr>
        <w:t> </w:t>
      </w:r>
      <w:r>
        <w:rPr>
          <w:sz w:val="20"/>
        </w:rPr>
        <w:t>G61.9,</w:t>
      </w:r>
      <w:r>
        <w:rPr>
          <w:spacing w:val="-4"/>
          <w:sz w:val="20"/>
        </w:rPr>
        <w:t> </w:t>
      </w:r>
      <w:r>
        <w:rPr>
          <w:sz w:val="20"/>
        </w:rPr>
        <w:t>G62.0,</w:t>
      </w:r>
      <w:r>
        <w:rPr>
          <w:spacing w:val="-6"/>
          <w:sz w:val="20"/>
        </w:rPr>
        <w:t> </w:t>
      </w:r>
      <w:r>
        <w:rPr>
          <w:sz w:val="20"/>
        </w:rPr>
        <w:t>G62.1,</w:t>
      </w:r>
      <w:r>
        <w:rPr>
          <w:spacing w:val="-4"/>
          <w:sz w:val="20"/>
        </w:rPr>
        <w:t> </w:t>
      </w:r>
      <w:r>
        <w:rPr>
          <w:spacing w:val="-2"/>
          <w:sz w:val="20"/>
        </w:rPr>
        <w:t>G62.2,</w:t>
      </w:r>
    </w:p>
    <w:p>
      <w:pPr>
        <w:spacing w:before="1"/>
        <w:ind w:left="1161" w:right="4154" w:firstLine="0"/>
        <w:jc w:val="center"/>
        <w:rPr>
          <w:sz w:val="20"/>
        </w:rPr>
      </w:pPr>
      <w:r>
        <w:rPr>
          <w:sz w:val="20"/>
        </w:rPr>
        <w:t>G62.8,</w:t>
      </w:r>
      <w:r>
        <w:rPr>
          <w:spacing w:val="-6"/>
          <w:sz w:val="20"/>
        </w:rPr>
        <w:t> </w:t>
      </w:r>
      <w:r>
        <w:rPr>
          <w:sz w:val="20"/>
        </w:rPr>
        <w:t>G62.9,</w:t>
      </w:r>
      <w:r>
        <w:rPr>
          <w:spacing w:val="-7"/>
          <w:sz w:val="20"/>
        </w:rPr>
        <w:t> </w:t>
      </w:r>
      <w:r>
        <w:rPr>
          <w:sz w:val="20"/>
        </w:rPr>
        <w:t>G63,</w:t>
      </w:r>
      <w:r>
        <w:rPr>
          <w:spacing w:val="-5"/>
          <w:sz w:val="20"/>
        </w:rPr>
        <w:t> </w:t>
      </w:r>
      <w:r>
        <w:rPr>
          <w:sz w:val="20"/>
        </w:rPr>
        <w:t>G63.0,</w:t>
      </w:r>
      <w:r>
        <w:rPr>
          <w:spacing w:val="-5"/>
          <w:sz w:val="20"/>
        </w:rPr>
        <w:t> </w:t>
      </w:r>
      <w:r>
        <w:rPr>
          <w:sz w:val="20"/>
        </w:rPr>
        <w:t>G63.1,</w:t>
      </w:r>
      <w:r>
        <w:rPr>
          <w:spacing w:val="-5"/>
          <w:sz w:val="20"/>
        </w:rPr>
        <w:t> </w:t>
      </w:r>
      <w:r>
        <w:rPr>
          <w:sz w:val="20"/>
        </w:rPr>
        <w:t>G63.2,</w:t>
      </w:r>
      <w:r>
        <w:rPr>
          <w:spacing w:val="-6"/>
          <w:sz w:val="20"/>
        </w:rPr>
        <w:t> </w:t>
      </w:r>
      <w:r>
        <w:rPr>
          <w:spacing w:val="-2"/>
          <w:sz w:val="20"/>
        </w:rPr>
        <w:t>G63.3,</w:t>
      </w:r>
    </w:p>
    <w:p>
      <w:pPr>
        <w:spacing w:before="0"/>
        <w:ind w:left="1159" w:right="4154" w:firstLine="0"/>
        <w:jc w:val="center"/>
        <w:rPr>
          <w:sz w:val="20"/>
        </w:rPr>
      </w:pPr>
      <w:r>
        <w:rPr>
          <w:sz w:val="20"/>
        </w:rPr>
        <w:t>G63.4,</w:t>
      </w:r>
      <w:r>
        <w:rPr>
          <w:spacing w:val="-4"/>
          <w:sz w:val="20"/>
        </w:rPr>
        <w:t> </w:t>
      </w:r>
      <w:r>
        <w:rPr>
          <w:sz w:val="20"/>
        </w:rPr>
        <w:t>G63.5,</w:t>
      </w:r>
      <w:r>
        <w:rPr>
          <w:spacing w:val="-6"/>
          <w:sz w:val="20"/>
        </w:rPr>
        <w:t> </w:t>
      </w:r>
      <w:r>
        <w:rPr>
          <w:sz w:val="20"/>
        </w:rPr>
        <w:t>G63.6,</w:t>
      </w:r>
      <w:r>
        <w:rPr>
          <w:spacing w:val="-4"/>
          <w:sz w:val="20"/>
        </w:rPr>
        <w:t> </w:t>
      </w:r>
      <w:r>
        <w:rPr>
          <w:sz w:val="20"/>
        </w:rPr>
        <w:t>G63.8,</w:t>
      </w:r>
      <w:r>
        <w:rPr>
          <w:spacing w:val="-6"/>
          <w:sz w:val="20"/>
        </w:rPr>
        <w:t> </w:t>
      </w:r>
      <w:r>
        <w:rPr>
          <w:sz w:val="20"/>
        </w:rPr>
        <w:t>G64,</w:t>
      </w:r>
      <w:r>
        <w:rPr>
          <w:spacing w:val="-4"/>
          <w:sz w:val="20"/>
        </w:rPr>
        <w:t> </w:t>
      </w:r>
      <w:r>
        <w:rPr>
          <w:sz w:val="20"/>
        </w:rPr>
        <w:t>G70.0,</w:t>
      </w:r>
      <w:r>
        <w:rPr>
          <w:spacing w:val="-4"/>
          <w:sz w:val="20"/>
        </w:rPr>
        <w:t> </w:t>
      </w:r>
      <w:r>
        <w:rPr>
          <w:spacing w:val="-2"/>
          <w:sz w:val="20"/>
        </w:rPr>
        <w:t>G70.1,</w:t>
      </w:r>
    </w:p>
    <w:p>
      <w:pPr>
        <w:spacing w:line="229" w:lineRule="exact" w:before="1"/>
        <w:ind w:left="1161" w:right="4154" w:firstLine="0"/>
        <w:jc w:val="center"/>
        <w:rPr>
          <w:sz w:val="20"/>
        </w:rPr>
      </w:pPr>
      <w:r>
        <w:rPr>
          <w:sz w:val="20"/>
        </w:rPr>
        <w:t>G70.2,</w:t>
      </w:r>
      <w:r>
        <w:rPr>
          <w:spacing w:val="-6"/>
          <w:sz w:val="20"/>
        </w:rPr>
        <w:t> </w:t>
      </w:r>
      <w:r>
        <w:rPr>
          <w:sz w:val="20"/>
        </w:rPr>
        <w:t>G70.8,</w:t>
      </w:r>
      <w:r>
        <w:rPr>
          <w:spacing w:val="-6"/>
          <w:sz w:val="20"/>
        </w:rPr>
        <w:t> </w:t>
      </w:r>
      <w:r>
        <w:rPr>
          <w:sz w:val="20"/>
        </w:rPr>
        <w:t>G70.9,</w:t>
      </w:r>
      <w:r>
        <w:rPr>
          <w:spacing w:val="-5"/>
          <w:sz w:val="20"/>
        </w:rPr>
        <w:t> </w:t>
      </w:r>
      <w:r>
        <w:rPr>
          <w:sz w:val="20"/>
        </w:rPr>
        <w:t>G71,</w:t>
      </w:r>
      <w:r>
        <w:rPr>
          <w:spacing w:val="-6"/>
          <w:sz w:val="20"/>
        </w:rPr>
        <w:t> </w:t>
      </w:r>
      <w:r>
        <w:rPr>
          <w:sz w:val="20"/>
        </w:rPr>
        <w:t>G71.0,</w:t>
      </w:r>
      <w:r>
        <w:rPr>
          <w:spacing w:val="-5"/>
          <w:sz w:val="20"/>
        </w:rPr>
        <w:t> </w:t>
      </w:r>
      <w:r>
        <w:rPr>
          <w:sz w:val="20"/>
        </w:rPr>
        <w:t>G71.1,</w:t>
      </w:r>
      <w:r>
        <w:rPr>
          <w:spacing w:val="-5"/>
          <w:sz w:val="20"/>
        </w:rPr>
        <w:t> </w:t>
      </w:r>
      <w:r>
        <w:rPr>
          <w:spacing w:val="-2"/>
          <w:sz w:val="20"/>
        </w:rPr>
        <w:t>G71.2,</w:t>
      </w:r>
    </w:p>
    <w:p>
      <w:pPr>
        <w:spacing w:line="229" w:lineRule="exact" w:before="0"/>
        <w:ind w:left="1161" w:right="4154" w:firstLine="0"/>
        <w:jc w:val="center"/>
        <w:rPr>
          <w:sz w:val="20"/>
        </w:rPr>
      </w:pPr>
      <w:r>
        <w:rPr>
          <w:sz w:val="20"/>
        </w:rPr>
        <w:t>G71.3,</w:t>
      </w:r>
      <w:r>
        <w:rPr>
          <w:spacing w:val="-6"/>
          <w:sz w:val="20"/>
        </w:rPr>
        <w:t> </w:t>
      </w:r>
      <w:r>
        <w:rPr>
          <w:sz w:val="20"/>
        </w:rPr>
        <w:t>G71.8,</w:t>
      </w:r>
      <w:r>
        <w:rPr>
          <w:spacing w:val="-6"/>
          <w:sz w:val="20"/>
        </w:rPr>
        <w:t> </w:t>
      </w:r>
      <w:r>
        <w:rPr>
          <w:sz w:val="20"/>
        </w:rPr>
        <w:t>G71.9,</w:t>
      </w:r>
      <w:r>
        <w:rPr>
          <w:spacing w:val="-5"/>
          <w:sz w:val="20"/>
        </w:rPr>
        <w:t> </w:t>
      </w:r>
      <w:r>
        <w:rPr>
          <w:sz w:val="20"/>
        </w:rPr>
        <w:t>G72,</w:t>
      </w:r>
      <w:r>
        <w:rPr>
          <w:spacing w:val="-6"/>
          <w:sz w:val="20"/>
        </w:rPr>
        <w:t> </w:t>
      </w:r>
      <w:r>
        <w:rPr>
          <w:sz w:val="20"/>
        </w:rPr>
        <w:t>G72.0,</w:t>
      </w:r>
      <w:r>
        <w:rPr>
          <w:spacing w:val="-5"/>
          <w:sz w:val="20"/>
        </w:rPr>
        <w:t> </w:t>
      </w:r>
      <w:r>
        <w:rPr>
          <w:sz w:val="20"/>
        </w:rPr>
        <w:t>G72.1,</w:t>
      </w:r>
      <w:r>
        <w:rPr>
          <w:spacing w:val="-5"/>
          <w:sz w:val="20"/>
        </w:rPr>
        <w:t> </w:t>
      </w:r>
      <w:r>
        <w:rPr>
          <w:spacing w:val="-2"/>
          <w:sz w:val="20"/>
        </w:rPr>
        <w:t>G72.2,</w:t>
      </w:r>
    </w:p>
    <w:p>
      <w:pPr>
        <w:spacing w:before="0"/>
        <w:ind w:left="1166" w:right="4154" w:firstLine="0"/>
        <w:jc w:val="center"/>
        <w:rPr>
          <w:sz w:val="20"/>
        </w:rPr>
      </w:pPr>
      <w:r>
        <w:rPr>
          <w:sz w:val="20"/>
        </w:rPr>
        <w:t>G72.3,</w:t>
      </w:r>
      <w:r>
        <w:rPr>
          <w:spacing w:val="-4"/>
          <w:sz w:val="20"/>
        </w:rPr>
        <w:t> </w:t>
      </w:r>
      <w:r>
        <w:rPr>
          <w:sz w:val="20"/>
        </w:rPr>
        <w:t>G72.4,</w:t>
      </w:r>
      <w:r>
        <w:rPr>
          <w:spacing w:val="-6"/>
          <w:sz w:val="20"/>
        </w:rPr>
        <w:t> </w:t>
      </w:r>
      <w:r>
        <w:rPr>
          <w:sz w:val="20"/>
        </w:rPr>
        <w:t>G72.8,</w:t>
      </w:r>
      <w:r>
        <w:rPr>
          <w:spacing w:val="-4"/>
          <w:sz w:val="20"/>
        </w:rPr>
        <w:t> </w:t>
      </w:r>
      <w:r>
        <w:rPr>
          <w:sz w:val="20"/>
        </w:rPr>
        <w:t>G72.9,</w:t>
      </w:r>
      <w:r>
        <w:rPr>
          <w:spacing w:val="-2"/>
          <w:sz w:val="20"/>
        </w:rPr>
        <w:t> </w:t>
      </w:r>
      <w:r>
        <w:rPr>
          <w:sz w:val="20"/>
        </w:rPr>
        <w:t>G73.0,</w:t>
      </w:r>
      <w:r>
        <w:rPr>
          <w:spacing w:val="-4"/>
          <w:sz w:val="20"/>
        </w:rPr>
        <w:t> </w:t>
      </w:r>
      <w:r>
        <w:rPr>
          <w:spacing w:val="-2"/>
          <w:sz w:val="20"/>
        </w:rPr>
        <w:t>G73.1,</w:t>
      </w:r>
    </w:p>
    <w:p>
      <w:pPr>
        <w:spacing w:before="1"/>
        <w:ind w:left="1159" w:right="4154" w:firstLine="0"/>
        <w:jc w:val="center"/>
        <w:rPr>
          <w:sz w:val="20"/>
        </w:rPr>
      </w:pPr>
      <w:r>
        <w:rPr>
          <w:sz w:val="20"/>
        </w:rPr>
        <w:t>G73.2,</w:t>
      </w:r>
      <w:r>
        <w:rPr>
          <w:spacing w:val="-5"/>
          <w:sz w:val="20"/>
        </w:rPr>
        <w:t> </w:t>
      </w:r>
      <w:r>
        <w:rPr>
          <w:sz w:val="20"/>
        </w:rPr>
        <w:t>G73.3,</w:t>
      </w:r>
      <w:r>
        <w:rPr>
          <w:spacing w:val="-5"/>
          <w:sz w:val="20"/>
        </w:rPr>
        <w:t> </w:t>
      </w:r>
      <w:r>
        <w:rPr>
          <w:sz w:val="20"/>
        </w:rPr>
        <w:t>G73.4,</w:t>
      </w:r>
      <w:r>
        <w:rPr>
          <w:spacing w:val="-4"/>
          <w:sz w:val="20"/>
        </w:rPr>
        <w:t> </w:t>
      </w:r>
      <w:r>
        <w:rPr>
          <w:sz w:val="20"/>
        </w:rPr>
        <w:t>G73.5,</w:t>
      </w:r>
      <w:r>
        <w:rPr>
          <w:spacing w:val="-6"/>
          <w:sz w:val="20"/>
        </w:rPr>
        <w:t> </w:t>
      </w:r>
      <w:r>
        <w:rPr>
          <w:sz w:val="20"/>
        </w:rPr>
        <w:t>G73.6,</w:t>
      </w:r>
      <w:r>
        <w:rPr>
          <w:spacing w:val="-4"/>
          <w:sz w:val="20"/>
        </w:rPr>
        <w:t> </w:t>
      </w:r>
      <w:r>
        <w:rPr>
          <w:sz w:val="20"/>
        </w:rPr>
        <w:t>G73.7,</w:t>
      </w:r>
      <w:r>
        <w:rPr>
          <w:spacing w:val="-6"/>
          <w:sz w:val="20"/>
        </w:rPr>
        <w:t> </w:t>
      </w:r>
      <w:r>
        <w:rPr>
          <w:spacing w:val="-4"/>
          <w:sz w:val="20"/>
        </w:rPr>
        <w:t>G80,</w:t>
      </w:r>
    </w:p>
    <w:p>
      <w:pPr>
        <w:spacing w:before="0"/>
        <w:ind w:left="1162" w:right="4154" w:firstLine="0"/>
        <w:jc w:val="center"/>
        <w:rPr>
          <w:sz w:val="20"/>
        </w:rPr>
      </w:pPr>
      <w:r>
        <w:rPr>
          <w:sz w:val="20"/>
        </w:rPr>
        <w:t>G80.0,</w:t>
      </w:r>
      <w:r>
        <w:rPr>
          <w:spacing w:val="-4"/>
          <w:sz w:val="20"/>
        </w:rPr>
        <w:t> </w:t>
      </w:r>
      <w:r>
        <w:rPr>
          <w:sz w:val="20"/>
        </w:rPr>
        <w:t>G80.1,</w:t>
      </w:r>
      <w:r>
        <w:rPr>
          <w:spacing w:val="-6"/>
          <w:sz w:val="20"/>
        </w:rPr>
        <w:t> </w:t>
      </w:r>
      <w:r>
        <w:rPr>
          <w:sz w:val="20"/>
        </w:rPr>
        <w:t>G80.2,</w:t>
      </w:r>
      <w:r>
        <w:rPr>
          <w:spacing w:val="-4"/>
          <w:sz w:val="20"/>
        </w:rPr>
        <w:t> </w:t>
      </w:r>
      <w:r>
        <w:rPr>
          <w:sz w:val="20"/>
        </w:rPr>
        <w:t>G80.3,</w:t>
      </w:r>
      <w:r>
        <w:rPr>
          <w:spacing w:val="-6"/>
          <w:sz w:val="20"/>
        </w:rPr>
        <w:t> </w:t>
      </w:r>
      <w:r>
        <w:rPr>
          <w:sz w:val="20"/>
        </w:rPr>
        <w:t>G80.4,</w:t>
      </w:r>
      <w:r>
        <w:rPr>
          <w:spacing w:val="-4"/>
          <w:sz w:val="20"/>
        </w:rPr>
        <w:t> </w:t>
      </w:r>
      <w:r>
        <w:rPr>
          <w:spacing w:val="-2"/>
          <w:sz w:val="20"/>
        </w:rPr>
        <w:t>G80.8,</w:t>
      </w:r>
    </w:p>
    <w:p>
      <w:pPr>
        <w:spacing w:before="1"/>
        <w:ind w:left="1161" w:right="4154" w:firstLine="0"/>
        <w:jc w:val="center"/>
        <w:rPr>
          <w:sz w:val="20"/>
        </w:rPr>
      </w:pPr>
      <w:r>
        <w:rPr>
          <w:sz w:val="20"/>
        </w:rPr>
        <w:t>G80.9,</w:t>
      </w:r>
      <w:r>
        <w:rPr>
          <w:spacing w:val="-5"/>
          <w:sz w:val="20"/>
        </w:rPr>
        <w:t> </w:t>
      </w:r>
      <w:r>
        <w:rPr>
          <w:sz w:val="20"/>
        </w:rPr>
        <w:t>G81,</w:t>
      </w:r>
      <w:r>
        <w:rPr>
          <w:spacing w:val="-5"/>
          <w:sz w:val="20"/>
        </w:rPr>
        <w:t> </w:t>
      </w:r>
      <w:r>
        <w:rPr>
          <w:sz w:val="20"/>
        </w:rPr>
        <w:t>G81.0,</w:t>
      </w:r>
      <w:r>
        <w:rPr>
          <w:spacing w:val="-5"/>
          <w:sz w:val="20"/>
        </w:rPr>
        <w:t> </w:t>
      </w:r>
      <w:r>
        <w:rPr>
          <w:sz w:val="20"/>
        </w:rPr>
        <w:t>G81.1,</w:t>
      </w:r>
      <w:r>
        <w:rPr>
          <w:spacing w:val="-5"/>
          <w:sz w:val="20"/>
        </w:rPr>
        <w:t> </w:t>
      </w:r>
      <w:r>
        <w:rPr>
          <w:sz w:val="20"/>
        </w:rPr>
        <w:t>G81.9,</w:t>
      </w:r>
      <w:r>
        <w:rPr>
          <w:spacing w:val="-5"/>
          <w:sz w:val="20"/>
        </w:rPr>
        <w:t> </w:t>
      </w:r>
      <w:r>
        <w:rPr>
          <w:sz w:val="20"/>
        </w:rPr>
        <w:t>G82,</w:t>
      </w:r>
      <w:r>
        <w:rPr>
          <w:spacing w:val="-5"/>
          <w:sz w:val="20"/>
        </w:rPr>
        <w:t> </w:t>
      </w:r>
      <w:r>
        <w:rPr>
          <w:spacing w:val="-2"/>
          <w:sz w:val="20"/>
        </w:rPr>
        <w:t>G82.0,</w:t>
      </w:r>
    </w:p>
    <w:p>
      <w:pPr>
        <w:spacing w:line="229" w:lineRule="exact" w:before="0"/>
        <w:ind w:left="1159" w:right="4154" w:firstLine="0"/>
        <w:jc w:val="center"/>
        <w:rPr>
          <w:sz w:val="20"/>
        </w:rPr>
      </w:pPr>
      <w:r>
        <w:rPr>
          <w:sz w:val="20"/>
        </w:rPr>
        <w:t>G82.1,</w:t>
      </w:r>
      <w:r>
        <w:rPr>
          <w:spacing w:val="-4"/>
          <w:sz w:val="20"/>
        </w:rPr>
        <w:t> </w:t>
      </w:r>
      <w:r>
        <w:rPr>
          <w:sz w:val="20"/>
        </w:rPr>
        <w:t>G82.2,</w:t>
      </w:r>
      <w:r>
        <w:rPr>
          <w:spacing w:val="-6"/>
          <w:sz w:val="20"/>
        </w:rPr>
        <w:t> </w:t>
      </w:r>
      <w:r>
        <w:rPr>
          <w:sz w:val="20"/>
        </w:rPr>
        <w:t>G82.3,</w:t>
      </w:r>
      <w:r>
        <w:rPr>
          <w:spacing w:val="-4"/>
          <w:sz w:val="20"/>
        </w:rPr>
        <w:t> </w:t>
      </w:r>
      <w:r>
        <w:rPr>
          <w:sz w:val="20"/>
        </w:rPr>
        <w:t>G82.4,</w:t>
      </w:r>
      <w:r>
        <w:rPr>
          <w:spacing w:val="-6"/>
          <w:sz w:val="20"/>
        </w:rPr>
        <w:t> </w:t>
      </w:r>
      <w:r>
        <w:rPr>
          <w:sz w:val="20"/>
        </w:rPr>
        <w:t>G82.5,</w:t>
      </w:r>
      <w:r>
        <w:rPr>
          <w:spacing w:val="-4"/>
          <w:sz w:val="20"/>
        </w:rPr>
        <w:t> </w:t>
      </w:r>
      <w:r>
        <w:rPr>
          <w:sz w:val="20"/>
        </w:rPr>
        <w:t>G83,</w:t>
      </w:r>
      <w:r>
        <w:rPr>
          <w:spacing w:val="-4"/>
          <w:sz w:val="20"/>
        </w:rPr>
        <w:t> </w:t>
      </w:r>
      <w:r>
        <w:rPr>
          <w:spacing w:val="-2"/>
          <w:sz w:val="20"/>
        </w:rPr>
        <w:t>G83.0,</w:t>
      </w:r>
    </w:p>
    <w:p>
      <w:pPr>
        <w:spacing w:line="229" w:lineRule="exact" w:before="0"/>
        <w:ind w:left="1162" w:right="4154" w:firstLine="0"/>
        <w:jc w:val="center"/>
        <w:rPr>
          <w:sz w:val="20"/>
        </w:rPr>
      </w:pPr>
      <w:r>
        <w:rPr>
          <w:sz w:val="20"/>
        </w:rPr>
        <w:t>G83.1,</w:t>
      </w:r>
      <w:r>
        <w:rPr>
          <w:spacing w:val="-4"/>
          <w:sz w:val="20"/>
        </w:rPr>
        <w:t> </w:t>
      </w:r>
      <w:r>
        <w:rPr>
          <w:sz w:val="20"/>
        </w:rPr>
        <w:t>G83.2,</w:t>
      </w:r>
      <w:r>
        <w:rPr>
          <w:spacing w:val="-6"/>
          <w:sz w:val="20"/>
        </w:rPr>
        <w:t> </w:t>
      </w:r>
      <w:r>
        <w:rPr>
          <w:sz w:val="20"/>
        </w:rPr>
        <w:t>G83.3,</w:t>
      </w:r>
      <w:r>
        <w:rPr>
          <w:spacing w:val="-4"/>
          <w:sz w:val="20"/>
        </w:rPr>
        <w:t> </w:t>
      </w:r>
      <w:r>
        <w:rPr>
          <w:sz w:val="20"/>
        </w:rPr>
        <w:t>G83.4,</w:t>
      </w:r>
      <w:r>
        <w:rPr>
          <w:spacing w:val="-6"/>
          <w:sz w:val="20"/>
        </w:rPr>
        <w:t> </w:t>
      </w:r>
      <w:r>
        <w:rPr>
          <w:sz w:val="20"/>
        </w:rPr>
        <w:t>G83.5,</w:t>
      </w:r>
      <w:r>
        <w:rPr>
          <w:spacing w:val="-4"/>
          <w:sz w:val="20"/>
        </w:rPr>
        <w:t> </w:t>
      </w:r>
      <w:r>
        <w:rPr>
          <w:spacing w:val="-2"/>
          <w:sz w:val="20"/>
        </w:rPr>
        <w:t>G83.6,</w:t>
      </w:r>
    </w:p>
    <w:p>
      <w:pPr>
        <w:spacing w:before="1"/>
        <w:ind w:left="1164" w:right="4154" w:firstLine="0"/>
        <w:jc w:val="center"/>
        <w:rPr>
          <w:sz w:val="20"/>
        </w:rPr>
      </w:pPr>
      <w:r>
        <w:rPr>
          <w:sz w:val="20"/>
        </w:rPr>
        <w:t>G83.8,</w:t>
      </w:r>
      <w:r>
        <w:rPr>
          <w:spacing w:val="-6"/>
          <w:sz w:val="20"/>
        </w:rPr>
        <w:t> </w:t>
      </w:r>
      <w:r>
        <w:rPr>
          <w:sz w:val="20"/>
        </w:rPr>
        <w:t>G83.9,</w:t>
      </w:r>
      <w:r>
        <w:rPr>
          <w:spacing w:val="-7"/>
          <w:sz w:val="20"/>
        </w:rPr>
        <w:t> </w:t>
      </w:r>
      <w:r>
        <w:rPr>
          <w:sz w:val="20"/>
        </w:rPr>
        <w:t>G90,</w:t>
      </w:r>
      <w:r>
        <w:rPr>
          <w:spacing w:val="-2"/>
          <w:sz w:val="20"/>
        </w:rPr>
        <w:t> </w:t>
      </w:r>
      <w:r>
        <w:rPr>
          <w:sz w:val="20"/>
        </w:rPr>
        <w:t>G90.0,</w:t>
      </w:r>
      <w:r>
        <w:rPr>
          <w:spacing w:val="-5"/>
          <w:sz w:val="20"/>
        </w:rPr>
        <w:t> </w:t>
      </w:r>
      <w:r>
        <w:rPr>
          <w:sz w:val="20"/>
        </w:rPr>
        <w:t>G90.1,</w:t>
      </w:r>
      <w:r>
        <w:rPr>
          <w:spacing w:val="-5"/>
          <w:sz w:val="20"/>
        </w:rPr>
        <w:t> </w:t>
      </w:r>
      <w:r>
        <w:rPr>
          <w:sz w:val="20"/>
        </w:rPr>
        <w:t>G90.2,</w:t>
      </w:r>
      <w:r>
        <w:rPr>
          <w:spacing w:val="-6"/>
          <w:sz w:val="20"/>
        </w:rPr>
        <w:t> </w:t>
      </w:r>
      <w:r>
        <w:rPr>
          <w:spacing w:val="-2"/>
          <w:sz w:val="20"/>
        </w:rPr>
        <w:t>G90.4,</w:t>
      </w:r>
    </w:p>
    <w:p>
      <w:pPr>
        <w:spacing w:before="0"/>
        <w:ind w:left="1159" w:right="4154" w:firstLine="0"/>
        <w:jc w:val="center"/>
        <w:rPr>
          <w:sz w:val="20"/>
        </w:rPr>
      </w:pPr>
      <w:r>
        <w:rPr>
          <w:sz w:val="20"/>
        </w:rPr>
        <w:t>G90.5,</w:t>
      </w:r>
      <w:r>
        <w:rPr>
          <w:spacing w:val="-4"/>
          <w:sz w:val="20"/>
        </w:rPr>
        <w:t> </w:t>
      </w:r>
      <w:r>
        <w:rPr>
          <w:sz w:val="20"/>
        </w:rPr>
        <w:t>G90.6,</w:t>
      </w:r>
      <w:r>
        <w:rPr>
          <w:spacing w:val="-6"/>
          <w:sz w:val="20"/>
        </w:rPr>
        <w:t> </w:t>
      </w:r>
      <w:r>
        <w:rPr>
          <w:sz w:val="20"/>
        </w:rPr>
        <w:t>G90.7,</w:t>
      </w:r>
      <w:r>
        <w:rPr>
          <w:spacing w:val="-4"/>
          <w:sz w:val="20"/>
        </w:rPr>
        <w:t> </w:t>
      </w:r>
      <w:r>
        <w:rPr>
          <w:sz w:val="20"/>
        </w:rPr>
        <w:t>G90.8,</w:t>
      </w:r>
      <w:r>
        <w:rPr>
          <w:spacing w:val="-6"/>
          <w:sz w:val="20"/>
        </w:rPr>
        <w:t> </w:t>
      </w:r>
      <w:r>
        <w:rPr>
          <w:sz w:val="20"/>
        </w:rPr>
        <w:t>G90.9,</w:t>
      </w:r>
      <w:r>
        <w:rPr>
          <w:spacing w:val="-4"/>
          <w:sz w:val="20"/>
        </w:rPr>
        <w:t> </w:t>
      </w:r>
      <w:r>
        <w:rPr>
          <w:sz w:val="20"/>
        </w:rPr>
        <w:t>G91,</w:t>
      </w:r>
      <w:r>
        <w:rPr>
          <w:spacing w:val="-4"/>
          <w:sz w:val="20"/>
        </w:rPr>
        <w:t> </w:t>
      </w:r>
      <w:r>
        <w:rPr>
          <w:spacing w:val="-2"/>
          <w:sz w:val="20"/>
        </w:rPr>
        <w:t>G91.0,</w:t>
      </w:r>
    </w:p>
    <w:p>
      <w:pPr>
        <w:spacing w:before="1"/>
        <w:ind w:left="1162" w:right="4154" w:firstLine="0"/>
        <w:jc w:val="center"/>
        <w:rPr>
          <w:sz w:val="20"/>
        </w:rPr>
      </w:pPr>
      <w:r>
        <w:rPr>
          <w:sz w:val="20"/>
        </w:rPr>
        <w:t>G91.1,</w:t>
      </w:r>
      <w:r>
        <w:rPr>
          <w:spacing w:val="-4"/>
          <w:sz w:val="20"/>
        </w:rPr>
        <w:t> </w:t>
      </w:r>
      <w:r>
        <w:rPr>
          <w:sz w:val="20"/>
        </w:rPr>
        <w:t>G91.2,</w:t>
      </w:r>
      <w:r>
        <w:rPr>
          <w:spacing w:val="-6"/>
          <w:sz w:val="20"/>
        </w:rPr>
        <w:t> </w:t>
      </w:r>
      <w:r>
        <w:rPr>
          <w:sz w:val="20"/>
        </w:rPr>
        <w:t>G91.3,</w:t>
      </w:r>
      <w:r>
        <w:rPr>
          <w:spacing w:val="-4"/>
          <w:sz w:val="20"/>
        </w:rPr>
        <w:t> </w:t>
      </w:r>
      <w:r>
        <w:rPr>
          <w:sz w:val="20"/>
        </w:rPr>
        <w:t>G91.8,</w:t>
      </w:r>
      <w:r>
        <w:rPr>
          <w:spacing w:val="-6"/>
          <w:sz w:val="20"/>
        </w:rPr>
        <w:t> </w:t>
      </w:r>
      <w:r>
        <w:rPr>
          <w:sz w:val="20"/>
        </w:rPr>
        <w:t>G91.9,</w:t>
      </w:r>
      <w:r>
        <w:rPr>
          <w:spacing w:val="-4"/>
          <w:sz w:val="20"/>
        </w:rPr>
        <w:t> </w:t>
      </w:r>
      <w:r>
        <w:rPr>
          <w:sz w:val="20"/>
        </w:rPr>
        <w:t>G92,</w:t>
      </w:r>
      <w:r>
        <w:rPr>
          <w:spacing w:val="-4"/>
          <w:sz w:val="20"/>
        </w:rPr>
        <w:t> G93,</w:t>
      </w:r>
    </w:p>
    <w:p>
      <w:pPr>
        <w:spacing w:before="0"/>
        <w:ind w:left="1162" w:right="4154" w:firstLine="0"/>
        <w:jc w:val="center"/>
        <w:rPr>
          <w:sz w:val="20"/>
        </w:rPr>
      </w:pPr>
      <w:r>
        <w:rPr>
          <w:sz w:val="20"/>
        </w:rPr>
        <w:t>G93.0,</w:t>
      </w:r>
      <w:r>
        <w:rPr>
          <w:spacing w:val="-4"/>
          <w:sz w:val="20"/>
        </w:rPr>
        <w:t> </w:t>
      </w:r>
      <w:r>
        <w:rPr>
          <w:sz w:val="20"/>
        </w:rPr>
        <w:t>G93.1,</w:t>
      </w:r>
      <w:r>
        <w:rPr>
          <w:spacing w:val="-6"/>
          <w:sz w:val="20"/>
        </w:rPr>
        <w:t> </w:t>
      </w:r>
      <w:r>
        <w:rPr>
          <w:sz w:val="20"/>
        </w:rPr>
        <w:t>G93.2,</w:t>
      </w:r>
      <w:r>
        <w:rPr>
          <w:spacing w:val="-4"/>
          <w:sz w:val="20"/>
        </w:rPr>
        <w:t> </w:t>
      </w:r>
      <w:r>
        <w:rPr>
          <w:sz w:val="20"/>
        </w:rPr>
        <w:t>G93.3,</w:t>
      </w:r>
      <w:r>
        <w:rPr>
          <w:spacing w:val="-6"/>
          <w:sz w:val="20"/>
        </w:rPr>
        <w:t> </w:t>
      </w:r>
      <w:r>
        <w:rPr>
          <w:sz w:val="20"/>
        </w:rPr>
        <w:t>G93.4,</w:t>
      </w:r>
      <w:r>
        <w:rPr>
          <w:spacing w:val="-4"/>
          <w:sz w:val="20"/>
        </w:rPr>
        <w:t> </w:t>
      </w:r>
      <w:r>
        <w:rPr>
          <w:spacing w:val="-2"/>
          <w:sz w:val="20"/>
        </w:rPr>
        <w:t>G93.5,</w:t>
      </w:r>
    </w:p>
    <w:p>
      <w:pPr>
        <w:spacing w:before="0"/>
        <w:ind w:left="1159" w:right="4154" w:firstLine="0"/>
        <w:jc w:val="center"/>
        <w:rPr>
          <w:sz w:val="20"/>
        </w:rPr>
      </w:pPr>
      <w:r>
        <w:rPr>
          <w:sz w:val="20"/>
        </w:rPr>
        <w:t>G93.6,</w:t>
      </w:r>
      <w:r>
        <w:rPr>
          <w:spacing w:val="-4"/>
          <w:sz w:val="20"/>
        </w:rPr>
        <w:t> </w:t>
      </w:r>
      <w:r>
        <w:rPr>
          <w:sz w:val="20"/>
        </w:rPr>
        <w:t>G93.7,</w:t>
      </w:r>
      <w:r>
        <w:rPr>
          <w:spacing w:val="-6"/>
          <w:sz w:val="20"/>
        </w:rPr>
        <w:t> </w:t>
      </w:r>
      <w:r>
        <w:rPr>
          <w:sz w:val="20"/>
        </w:rPr>
        <w:t>G93.8,</w:t>
      </w:r>
      <w:r>
        <w:rPr>
          <w:spacing w:val="-4"/>
          <w:sz w:val="20"/>
        </w:rPr>
        <w:t> </w:t>
      </w:r>
      <w:r>
        <w:rPr>
          <w:sz w:val="20"/>
        </w:rPr>
        <w:t>G93.9,</w:t>
      </w:r>
      <w:r>
        <w:rPr>
          <w:spacing w:val="-6"/>
          <w:sz w:val="20"/>
        </w:rPr>
        <w:t> </w:t>
      </w:r>
      <w:r>
        <w:rPr>
          <w:sz w:val="20"/>
        </w:rPr>
        <w:t>G94,</w:t>
      </w:r>
      <w:r>
        <w:rPr>
          <w:spacing w:val="-4"/>
          <w:sz w:val="20"/>
        </w:rPr>
        <w:t> </w:t>
      </w:r>
      <w:r>
        <w:rPr>
          <w:sz w:val="20"/>
        </w:rPr>
        <w:t>G94.0,</w:t>
      </w:r>
      <w:r>
        <w:rPr>
          <w:spacing w:val="-4"/>
          <w:sz w:val="20"/>
        </w:rPr>
        <w:t> </w:t>
      </w:r>
      <w:r>
        <w:rPr>
          <w:spacing w:val="-2"/>
          <w:sz w:val="20"/>
        </w:rPr>
        <w:t>G94.1,</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72"/>
        <w:gridCol w:w="4880"/>
        <w:gridCol w:w="2590"/>
        <w:gridCol w:w="2866"/>
        <w:gridCol w:w="837"/>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472" w:type="dxa"/>
            <w:vMerge w:val="restart"/>
          </w:tcPr>
          <w:p>
            <w:pPr>
              <w:pStyle w:val="TableParagraph"/>
              <w:rPr>
                <w:sz w:val="18"/>
              </w:rPr>
            </w:pPr>
          </w:p>
        </w:tc>
        <w:tc>
          <w:tcPr>
            <w:tcW w:w="4880" w:type="dxa"/>
          </w:tcPr>
          <w:p>
            <w:pPr>
              <w:pStyle w:val="TableParagraph"/>
              <w:spacing w:line="205" w:lineRule="exact"/>
              <w:ind w:left="259" w:right="592"/>
              <w:jc w:val="center"/>
              <w:rPr>
                <w:sz w:val="20"/>
              </w:rPr>
            </w:pPr>
            <w:r>
              <w:rPr>
                <w:sz w:val="20"/>
              </w:rPr>
              <w:t>G94.2,</w:t>
            </w:r>
            <w:r>
              <w:rPr>
                <w:spacing w:val="-4"/>
                <w:sz w:val="20"/>
              </w:rPr>
              <w:t> </w:t>
            </w:r>
            <w:r>
              <w:rPr>
                <w:sz w:val="20"/>
              </w:rPr>
              <w:t>G94.3,</w:t>
            </w:r>
            <w:r>
              <w:rPr>
                <w:spacing w:val="-6"/>
                <w:sz w:val="20"/>
              </w:rPr>
              <w:t> </w:t>
            </w:r>
            <w:r>
              <w:rPr>
                <w:sz w:val="20"/>
              </w:rPr>
              <w:t>G94.8,</w:t>
            </w:r>
            <w:r>
              <w:rPr>
                <w:spacing w:val="-4"/>
                <w:sz w:val="20"/>
              </w:rPr>
              <w:t> </w:t>
            </w:r>
            <w:r>
              <w:rPr>
                <w:sz w:val="20"/>
              </w:rPr>
              <w:t>G95.0,</w:t>
            </w:r>
            <w:r>
              <w:rPr>
                <w:spacing w:val="-6"/>
                <w:sz w:val="20"/>
              </w:rPr>
              <w:t> </w:t>
            </w:r>
            <w:r>
              <w:rPr>
                <w:sz w:val="20"/>
              </w:rPr>
              <w:t>G95.1,</w:t>
            </w:r>
            <w:r>
              <w:rPr>
                <w:spacing w:val="-4"/>
                <w:sz w:val="20"/>
              </w:rPr>
              <w:t> </w:t>
            </w:r>
            <w:r>
              <w:rPr>
                <w:spacing w:val="-2"/>
                <w:sz w:val="20"/>
              </w:rPr>
              <w:t>G95.2,</w:t>
            </w:r>
          </w:p>
        </w:tc>
        <w:tc>
          <w:tcPr>
            <w:tcW w:w="2590" w:type="dxa"/>
            <w:vMerge w:val="restart"/>
          </w:tcPr>
          <w:p>
            <w:pPr>
              <w:pStyle w:val="TableParagraph"/>
              <w:rPr>
                <w:sz w:val="18"/>
              </w:rPr>
            </w:pPr>
          </w:p>
        </w:tc>
        <w:tc>
          <w:tcPr>
            <w:tcW w:w="2866" w:type="dxa"/>
            <w:vMerge w:val="restart"/>
          </w:tcPr>
          <w:p>
            <w:pPr>
              <w:pStyle w:val="TableParagraph"/>
              <w:rPr>
                <w:sz w:val="18"/>
              </w:rPr>
            </w:pPr>
          </w:p>
        </w:tc>
        <w:tc>
          <w:tcPr>
            <w:tcW w:w="837"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G95.8,</w:t>
            </w:r>
            <w:r>
              <w:rPr>
                <w:spacing w:val="-6"/>
                <w:sz w:val="20"/>
              </w:rPr>
              <w:t> </w:t>
            </w:r>
            <w:r>
              <w:rPr>
                <w:sz w:val="20"/>
              </w:rPr>
              <w:t>G95.9,</w:t>
            </w:r>
            <w:r>
              <w:rPr>
                <w:spacing w:val="-7"/>
                <w:sz w:val="20"/>
              </w:rPr>
              <w:t> </w:t>
            </w:r>
            <w:r>
              <w:rPr>
                <w:sz w:val="20"/>
              </w:rPr>
              <w:t>G96,</w:t>
            </w:r>
            <w:r>
              <w:rPr>
                <w:spacing w:val="-5"/>
                <w:sz w:val="20"/>
              </w:rPr>
              <w:t> </w:t>
            </w:r>
            <w:r>
              <w:rPr>
                <w:sz w:val="20"/>
              </w:rPr>
              <w:t>G96.0,</w:t>
            </w:r>
            <w:r>
              <w:rPr>
                <w:spacing w:val="-5"/>
                <w:sz w:val="20"/>
              </w:rPr>
              <w:t> </w:t>
            </w:r>
            <w:r>
              <w:rPr>
                <w:sz w:val="20"/>
              </w:rPr>
              <w:t>G96.1,</w:t>
            </w:r>
            <w:r>
              <w:rPr>
                <w:spacing w:val="-5"/>
                <w:sz w:val="20"/>
              </w:rPr>
              <w:t> </w:t>
            </w:r>
            <w:r>
              <w:rPr>
                <w:sz w:val="20"/>
              </w:rPr>
              <w:t>G96.8,</w:t>
            </w:r>
            <w:r>
              <w:rPr>
                <w:spacing w:val="-6"/>
                <w:sz w:val="20"/>
              </w:rPr>
              <w:t> </w:t>
            </w:r>
            <w:r>
              <w:rPr>
                <w:spacing w:val="-2"/>
                <w:sz w:val="20"/>
              </w:rPr>
              <w:t>G96.9,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G97,</w:t>
            </w:r>
            <w:r>
              <w:rPr>
                <w:spacing w:val="-6"/>
                <w:sz w:val="20"/>
              </w:rPr>
              <w:t> </w:t>
            </w:r>
            <w:r>
              <w:rPr>
                <w:sz w:val="20"/>
              </w:rPr>
              <w:t>G97.0,</w:t>
            </w:r>
            <w:r>
              <w:rPr>
                <w:spacing w:val="-6"/>
                <w:sz w:val="20"/>
              </w:rPr>
              <w:t> </w:t>
            </w:r>
            <w:r>
              <w:rPr>
                <w:sz w:val="20"/>
              </w:rPr>
              <w:t>G97.1,</w:t>
            </w:r>
            <w:r>
              <w:rPr>
                <w:spacing w:val="-5"/>
                <w:sz w:val="20"/>
              </w:rPr>
              <w:t> </w:t>
            </w:r>
            <w:r>
              <w:rPr>
                <w:sz w:val="20"/>
              </w:rPr>
              <w:t>G97.2,</w:t>
            </w:r>
            <w:r>
              <w:rPr>
                <w:spacing w:val="-6"/>
                <w:sz w:val="20"/>
              </w:rPr>
              <w:t> </w:t>
            </w:r>
            <w:r>
              <w:rPr>
                <w:sz w:val="20"/>
              </w:rPr>
              <w:t>G97.8,</w:t>
            </w:r>
            <w:r>
              <w:rPr>
                <w:spacing w:val="-5"/>
                <w:sz w:val="20"/>
              </w:rPr>
              <w:t> </w:t>
            </w:r>
            <w:r>
              <w:rPr>
                <w:sz w:val="20"/>
              </w:rPr>
              <w:t>G97.9,</w:t>
            </w:r>
            <w:r>
              <w:rPr>
                <w:spacing w:val="-6"/>
                <w:sz w:val="20"/>
              </w:rPr>
              <w:t> </w:t>
            </w:r>
            <w:r>
              <w:rPr>
                <w:spacing w:val="-4"/>
                <w:sz w:val="20"/>
              </w:rPr>
              <w:t>G98,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G99,</w:t>
            </w:r>
            <w:r>
              <w:rPr>
                <w:spacing w:val="-5"/>
                <w:sz w:val="20"/>
              </w:rPr>
              <w:t> </w:t>
            </w:r>
            <w:r>
              <w:rPr>
                <w:sz w:val="20"/>
              </w:rPr>
              <w:t>G99.0,</w:t>
            </w:r>
            <w:r>
              <w:rPr>
                <w:spacing w:val="-5"/>
                <w:sz w:val="20"/>
              </w:rPr>
              <w:t> </w:t>
            </w:r>
            <w:r>
              <w:rPr>
                <w:sz w:val="20"/>
              </w:rPr>
              <w:t>G99.1,</w:t>
            </w:r>
            <w:r>
              <w:rPr>
                <w:spacing w:val="-5"/>
                <w:sz w:val="20"/>
              </w:rPr>
              <w:t> </w:t>
            </w:r>
            <w:r>
              <w:rPr>
                <w:sz w:val="20"/>
              </w:rPr>
              <w:t>G99.2,</w:t>
            </w:r>
            <w:r>
              <w:rPr>
                <w:spacing w:val="-5"/>
                <w:sz w:val="20"/>
              </w:rPr>
              <w:t> </w:t>
            </w:r>
            <w:r>
              <w:rPr>
                <w:sz w:val="20"/>
              </w:rPr>
              <w:t>G99.8,</w:t>
            </w:r>
            <w:r>
              <w:rPr>
                <w:spacing w:val="-5"/>
                <w:sz w:val="20"/>
              </w:rPr>
              <w:t> </w:t>
            </w:r>
            <w:r>
              <w:rPr>
                <w:sz w:val="20"/>
              </w:rPr>
              <w:t>Q00,</w:t>
            </w:r>
            <w:r>
              <w:rPr>
                <w:spacing w:val="-5"/>
                <w:sz w:val="20"/>
              </w:rPr>
              <w:t> </w:t>
            </w:r>
            <w:r>
              <w:rPr>
                <w:spacing w:val="-2"/>
                <w:sz w:val="20"/>
              </w:rPr>
              <w:t>Q00.0,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Q00.1,</w:t>
            </w:r>
            <w:r>
              <w:rPr>
                <w:spacing w:val="-6"/>
                <w:sz w:val="20"/>
              </w:rPr>
              <w:t> </w:t>
            </w:r>
            <w:r>
              <w:rPr>
                <w:sz w:val="20"/>
              </w:rPr>
              <w:t>Q00.2,</w:t>
            </w:r>
            <w:r>
              <w:rPr>
                <w:spacing w:val="-7"/>
                <w:sz w:val="20"/>
              </w:rPr>
              <w:t> </w:t>
            </w:r>
            <w:r>
              <w:rPr>
                <w:sz w:val="20"/>
              </w:rPr>
              <w:t>Q01,</w:t>
            </w:r>
            <w:r>
              <w:rPr>
                <w:spacing w:val="-5"/>
                <w:sz w:val="20"/>
              </w:rPr>
              <w:t> </w:t>
            </w:r>
            <w:r>
              <w:rPr>
                <w:sz w:val="20"/>
              </w:rPr>
              <w:t>Q01.0,</w:t>
            </w:r>
            <w:r>
              <w:rPr>
                <w:spacing w:val="-5"/>
                <w:sz w:val="20"/>
              </w:rPr>
              <w:t> </w:t>
            </w:r>
            <w:r>
              <w:rPr>
                <w:sz w:val="20"/>
              </w:rPr>
              <w:t>Q01.1,</w:t>
            </w:r>
            <w:r>
              <w:rPr>
                <w:spacing w:val="-5"/>
                <w:sz w:val="20"/>
              </w:rPr>
              <w:t> </w:t>
            </w:r>
            <w:r>
              <w:rPr>
                <w:sz w:val="20"/>
              </w:rPr>
              <w:t>Q01.2,</w:t>
            </w:r>
            <w:r>
              <w:rPr>
                <w:spacing w:val="-6"/>
                <w:sz w:val="20"/>
              </w:rPr>
              <w:t> </w:t>
            </w:r>
            <w:r>
              <w:rPr>
                <w:spacing w:val="-2"/>
                <w:sz w:val="20"/>
              </w:rPr>
              <w:t>Q01.8,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Q01.9,</w:t>
            </w:r>
            <w:r>
              <w:rPr>
                <w:spacing w:val="-5"/>
                <w:sz w:val="20"/>
              </w:rPr>
              <w:t> </w:t>
            </w:r>
            <w:r>
              <w:rPr>
                <w:sz w:val="20"/>
              </w:rPr>
              <w:t>Q02,</w:t>
            </w:r>
            <w:r>
              <w:rPr>
                <w:spacing w:val="-5"/>
                <w:sz w:val="20"/>
              </w:rPr>
              <w:t> </w:t>
            </w:r>
            <w:r>
              <w:rPr>
                <w:sz w:val="20"/>
              </w:rPr>
              <w:t>Q03,</w:t>
            </w:r>
            <w:r>
              <w:rPr>
                <w:spacing w:val="-4"/>
                <w:sz w:val="20"/>
              </w:rPr>
              <w:t> </w:t>
            </w:r>
            <w:r>
              <w:rPr>
                <w:sz w:val="20"/>
              </w:rPr>
              <w:t>Q03.0,</w:t>
            </w:r>
            <w:r>
              <w:rPr>
                <w:spacing w:val="-5"/>
                <w:sz w:val="20"/>
              </w:rPr>
              <w:t> </w:t>
            </w:r>
            <w:r>
              <w:rPr>
                <w:sz w:val="20"/>
              </w:rPr>
              <w:t>Q03.1,</w:t>
            </w:r>
            <w:r>
              <w:rPr>
                <w:spacing w:val="-5"/>
                <w:sz w:val="20"/>
              </w:rPr>
              <w:t> </w:t>
            </w:r>
            <w:r>
              <w:rPr>
                <w:sz w:val="20"/>
              </w:rPr>
              <w:t>Q03.8,</w:t>
            </w:r>
            <w:r>
              <w:rPr>
                <w:spacing w:val="-4"/>
                <w:sz w:val="20"/>
              </w:rPr>
              <w:t> </w:t>
            </w:r>
            <w:r>
              <w:rPr>
                <w:spacing w:val="-2"/>
                <w:sz w:val="20"/>
              </w:rPr>
              <w:t>Q03.9,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88"/>
              <w:jc w:val="center"/>
              <w:rPr>
                <w:sz w:val="20"/>
              </w:rPr>
            </w:pPr>
            <w:r>
              <w:rPr>
                <w:sz w:val="20"/>
              </w:rPr>
              <w:t>Q04,</w:t>
            </w:r>
            <w:r>
              <w:rPr>
                <w:spacing w:val="-5"/>
                <w:sz w:val="20"/>
              </w:rPr>
              <w:t> </w:t>
            </w:r>
            <w:r>
              <w:rPr>
                <w:sz w:val="20"/>
              </w:rPr>
              <w:t>Q04.0,</w:t>
            </w:r>
            <w:r>
              <w:rPr>
                <w:spacing w:val="-5"/>
                <w:sz w:val="20"/>
              </w:rPr>
              <w:t> </w:t>
            </w:r>
            <w:r>
              <w:rPr>
                <w:sz w:val="20"/>
              </w:rPr>
              <w:t>Q04.1,</w:t>
            </w:r>
            <w:r>
              <w:rPr>
                <w:spacing w:val="-5"/>
                <w:sz w:val="20"/>
              </w:rPr>
              <w:t> </w:t>
            </w:r>
            <w:r>
              <w:rPr>
                <w:sz w:val="20"/>
              </w:rPr>
              <w:t>Q04.2,</w:t>
            </w:r>
            <w:r>
              <w:rPr>
                <w:spacing w:val="-5"/>
                <w:sz w:val="20"/>
              </w:rPr>
              <w:t> </w:t>
            </w:r>
            <w:r>
              <w:rPr>
                <w:sz w:val="20"/>
              </w:rPr>
              <w:t>Q04.3,</w:t>
            </w:r>
            <w:r>
              <w:rPr>
                <w:spacing w:val="-5"/>
                <w:sz w:val="20"/>
              </w:rPr>
              <w:t> </w:t>
            </w:r>
            <w:r>
              <w:rPr>
                <w:sz w:val="20"/>
              </w:rPr>
              <w:t>Q04.4,</w:t>
            </w:r>
            <w:r>
              <w:rPr>
                <w:spacing w:val="-5"/>
                <w:sz w:val="20"/>
              </w:rPr>
              <w:t> </w:t>
            </w:r>
            <w:r>
              <w:rPr>
                <w:spacing w:val="-2"/>
                <w:sz w:val="20"/>
              </w:rPr>
              <w:t>Q04.5,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Q04.6,</w:t>
            </w:r>
            <w:r>
              <w:rPr>
                <w:spacing w:val="-6"/>
                <w:sz w:val="20"/>
              </w:rPr>
              <w:t> </w:t>
            </w:r>
            <w:r>
              <w:rPr>
                <w:sz w:val="20"/>
              </w:rPr>
              <w:t>Q04.8,</w:t>
            </w:r>
            <w:r>
              <w:rPr>
                <w:spacing w:val="-6"/>
                <w:sz w:val="20"/>
              </w:rPr>
              <w:t> </w:t>
            </w:r>
            <w:r>
              <w:rPr>
                <w:sz w:val="20"/>
              </w:rPr>
              <w:t>Q04.9,</w:t>
            </w:r>
            <w:r>
              <w:rPr>
                <w:spacing w:val="-5"/>
                <w:sz w:val="20"/>
              </w:rPr>
              <w:t> </w:t>
            </w:r>
            <w:r>
              <w:rPr>
                <w:sz w:val="20"/>
              </w:rPr>
              <w:t>Q05,</w:t>
            </w:r>
            <w:r>
              <w:rPr>
                <w:spacing w:val="-6"/>
                <w:sz w:val="20"/>
              </w:rPr>
              <w:t> </w:t>
            </w:r>
            <w:r>
              <w:rPr>
                <w:sz w:val="20"/>
              </w:rPr>
              <w:t>Q05.0,</w:t>
            </w:r>
            <w:r>
              <w:rPr>
                <w:spacing w:val="-5"/>
                <w:sz w:val="20"/>
              </w:rPr>
              <w:t> </w:t>
            </w:r>
            <w:r>
              <w:rPr>
                <w:sz w:val="20"/>
              </w:rPr>
              <w:t>Q05.1,</w:t>
            </w:r>
            <w:r>
              <w:rPr>
                <w:spacing w:val="-5"/>
                <w:sz w:val="20"/>
              </w:rPr>
              <w:t> </w:t>
            </w:r>
            <w:r>
              <w:rPr>
                <w:spacing w:val="-2"/>
                <w:sz w:val="20"/>
              </w:rPr>
              <w:t>Q05.2,</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Q05.3,</w:t>
            </w:r>
            <w:r>
              <w:rPr>
                <w:spacing w:val="-4"/>
                <w:sz w:val="20"/>
              </w:rPr>
              <w:t> </w:t>
            </w:r>
            <w:r>
              <w:rPr>
                <w:sz w:val="20"/>
              </w:rPr>
              <w:t>Q05.4,</w:t>
            </w:r>
            <w:r>
              <w:rPr>
                <w:spacing w:val="-6"/>
                <w:sz w:val="20"/>
              </w:rPr>
              <w:t> </w:t>
            </w:r>
            <w:r>
              <w:rPr>
                <w:sz w:val="20"/>
              </w:rPr>
              <w:t>Q05.5,</w:t>
            </w:r>
            <w:r>
              <w:rPr>
                <w:spacing w:val="-4"/>
                <w:sz w:val="20"/>
              </w:rPr>
              <w:t> </w:t>
            </w:r>
            <w:r>
              <w:rPr>
                <w:sz w:val="20"/>
              </w:rPr>
              <w:t>Q05.6,</w:t>
            </w:r>
            <w:r>
              <w:rPr>
                <w:spacing w:val="-6"/>
                <w:sz w:val="20"/>
              </w:rPr>
              <w:t> </w:t>
            </w:r>
            <w:r>
              <w:rPr>
                <w:sz w:val="20"/>
              </w:rPr>
              <w:t>Q05.7,</w:t>
            </w:r>
            <w:r>
              <w:rPr>
                <w:spacing w:val="-4"/>
                <w:sz w:val="20"/>
              </w:rPr>
              <w:t> </w:t>
            </w:r>
            <w:r>
              <w:rPr>
                <w:spacing w:val="-2"/>
                <w:sz w:val="20"/>
              </w:rPr>
              <w:t>Q05.8,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Q05.9,</w:t>
            </w:r>
            <w:r>
              <w:rPr>
                <w:spacing w:val="-6"/>
                <w:sz w:val="20"/>
              </w:rPr>
              <w:t> </w:t>
            </w:r>
            <w:r>
              <w:rPr>
                <w:sz w:val="20"/>
              </w:rPr>
              <w:t>Q06,</w:t>
            </w:r>
            <w:r>
              <w:rPr>
                <w:spacing w:val="-6"/>
                <w:sz w:val="20"/>
              </w:rPr>
              <w:t> </w:t>
            </w:r>
            <w:r>
              <w:rPr>
                <w:sz w:val="20"/>
              </w:rPr>
              <w:t>Q06.0,</w:t>
            </w:r>
            <w:r>
              <w:rPr>
                <w:spacing w:val="-5"/>
                <w:sz w:val="20"/>
              </w:rPr>
              <w:t> </w:t>
            </w:r>
            <w:r>
              <w:rPr>
                <w:sz w:val="20"/>
              </w:rPr>
              <w:t>Q06.1,</w:t>
            </w:r>
            <w:r>
              <w:rPr>
                <w:spacing w:val="-6"/>
                <w:sz w:val="20"/>
              </w:rPr>
              <w:t> </w:t>
            </w:r>
            <w:r>
              <w:rPr>
                <w:sz w:val="20"/>
              </w:rPr>
              <w:t>Q06.2,</w:t>
            </w:r>
            <w:r>
              <w:rPr>
                <w:spacing w:val="-5"/>
                <w:sz w:val="20"/>
              </w:rPr>
              <w:t> </w:t>
            </w:r>
            <w:r>
              <w:rPr>
                <w:sz w:val="20"/>
              </w:rPr>
              <w:t>Q06.3,</w:t>
            </w:r>
            <w:r>
              <w:rPr>
                <w:spacing w:val="-6"/>
                <w:sz w:val="20"/>
              </w:rPr>
              <w:t> </w:t>
            </w:r>
            <w:r>
              <w:rPr>
                <w:spacing w:val="-2"/>
                <w:sz w:val="20"/>
              </w:rPr>
              <w:t>Q06.4,</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Q06.8,</w:t>
            </w:r>
            <w:r>
              <w:rPr>
                <w:spacing w:val="-6"/>
                <w:sz w:val="20"/>
              </w:rPr>
              <w:t> </w:t>
            </w:r>
            <w:r>
              <w:rPr>
                <w:sz w:val="20"/>
              </w:rPr>
              <w:t>Q06.9,</w:t>
            </w:r>
            <w:r>
              <w:rPr>
                <w:spacing w:val="-7"/>
                <w:sz w:val="20"/>
              </w:rPr>
              <w:t> </w:t>
            </w:r>
            <w:r>
              <w:rPr>
                <w:sz w:val="20"/>
              </w:rPr>
              <w:t>Q07,</w:t>
            </w:r>
            <w:r>
              <w:rPr>
                <w:spacing w:val="-5"/>
                <w:sz w:val="20"/>
              </w:rPr>
              <w:t> </w:t>
            </w:r>
            <w:r>
              <w:rPr>
                <w:sz w:val="20"/>
              </w:rPr>
              <w:t>Q07.0,</w:t>
            </w:r>
            <w:r>
              <w:rPr>
                <w:spacing w:val="-5"/>
                <w:sz w:val="20"/>
              </w:rPr>
              <w:t> </w:t>
            </w:r>
            <w:r>
              <w:rPr>
                <w:sz w:val="20"/>
              </w:rPr>
              <w:t>Q07.8,</w:t>
            </w:r>
            <w:r>
              <w:rPr>
                <w:spacing w:val="-5"/>
                <w:sz w:val="20"/>
              </w:rPr>
              <w:t> </w:t>
            </w:r>
            <w:r>
              <w:rPr>
                <w:sz w:val="20"/>
              </w:rPr>
              <w:t>Q07.9,</w:t>
            </w:r>
            <w:r>
              <w:rPr>
                <w:spacing w:val="-6"/>
                <w:sz w:val="20"/>
              </w:rPr>
              <w:t> </w:t>
            </w:r>
            <w:r>
              <w:rPr>
                <w:spacing w:val="-4"/>
                <w:sz w:val="20"/>
              </w:rPr>
              <w:t>Q85,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7" w:right="593"/>
              <w:jc w:val="center"/>
              <w:rPr>
                <w:sz w:val="20"/>
              </w:rPr>
            </w:pPr>
            <w:r>
              <w:rPr>
                <w:sz w:val="20"/>
              </w:rPr>
              <w:t>Q85.0,</w:t>
            </w:r>
            <w:r>
              <w:rPr>
                <w:spacing w:val="-4"/>
                <w:sz w:val="20"/>
              </w:rPr>
              <w:t> </w:t>
            </w:r>
            <w:r>
              <w:rPr>
                <w:sz w:val="20"/>
              </w:rPr>
              <w:t>Q85.1,</w:t>
            </w:r>
            <w:r>
              <w:rPr>
                <w:spacing w:val="-6"/>
                <w:sz w:val="20"/>
              </w:rPr>
              <w:t> </w:t>
            </w:r>
            <w:r>
              <w:rPr>
                <w:sz w:val="20"/>
              </w:rPr>
              <w:t>Q85.8,</w:t>
            </w:r>
            <w:r>
              <w:rPr>
                <w:spacing w:val="-4"/>
                <w:sz w:val="20"/>
              </w:rPr>
              <w:t> </w:t>
            </w:r>
            <w:r>
              <w:rPr>
                <w:sz w:val="20"/>
              </w:rPr>
              <w:t>Q85.9,</w:t>
            </w:r>
            <w:r>
              <w:rPr>
                <w:spacing w:val="-6"/>
                <w:sz w:val="20"/>
              </w:rPr>
              <w:t> </w:t>
            </w:r>
            <w:r>
              <w:rPr>
                <w:sz w:val="20"/>
              </w:rPr>
              <w:t>Q87.8,</w:t>
            </w:r>
            <w:r>
              <w:rPr>
                <w:spacing w:val="-4"/>
                <w:sz w:val="20"/>
              </w:rPr>
              <w:t> </w:t>
            </w:r>
            <w:r>
              <w:rPr>
                <w:sz w:val="20"/>
              </w:rPr>
              <w:t>Q89,</w:t>
            </w:r>
            <w:r>
              <w:rPr>
                <w:spacing w:val="-4"/>
                <w:sz w:val="20"/>
              </w:rPr>
              <w:t> </w:t>
            </w:r>
            <w:r>
              <w:rPr>
                <w:spacing w:val="-2"/>
                <w:sz w:val="20"/>
              </w:rPr>
              <w:t>Q89.0,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1"/>
              <w:jc w:val="center"/>
              <w:rPr>
                <w:sz w:val="20"/>
              </w:rPr>
            </w:pPr>
            <w:r>
              <w:rPr>
                <w:sz w:val="20"/>
              </w:rPr>
              <w:t>Q89.7,</w:t>
            </w:r>
            <w:r>
              <w:rPr>
                <w:spacing w:val="-6"/>
                <w:sz w:val="20"/>
              </w:rPr>
              <w:t> </w:t>
            </w:r>
            <w:r>
              <w:rPr>
                <w:sz w:val="20"/>
              </w:rPr>
              <w:t>Q89.8,</w:t>
            </w:r>
            <w:r>
              <w:rPr>
                <w:spacing w:val="-6"/>
                <w:sz w:val="20"/>
              </w:rPr>
              <w:t> </w:t>
            </w:r>
            <w:r>
              <w:rPr>
                <w:sz w:val="20"/>
              </w:rPr>
              <w:t>Q90,</w:t>
            </w:r>
            <w:r>
              <w:rPr>
                <w:spacing w:val="-5"/>
                <w:sz w:val="20"/>
              </w:rPr>
              <w:t> </w:t>
            </w:r>
            <w:r>
              <w:rPr>
                <w:sz w:val="20"/>
              </w:rPr>
              <w:t>Q90.0,</w:t>
            </w:r>
            <w:r>
              <w:rPr>
                <w:spacing w:val="-6"/>
                <w:sz w:val="20"/>
              </w:rPr>
              <w:t> </w:t>
            </w:r>
            <w:r>
              <w:rPr>
                <w:sz w:val="20"/>
              </w:rPr>
              <w:t>Q90.1,</w:t>
            </w:r>
            <w:r>
              <w:rPr>
                <w:spacing w:val="-5"/>
                <w:sz w:val="20"/>
              </w:rPr>
              <w:t> </w:t>
            </w:r>
            <w:r>
              <w:rPr>
                <w:sz w:val="20"/>
              </w:rPr>
              <w:t>Q90.2,</w:t>
            </w:r>
            <w:r>
              <w:rPr>
                <w:spacing w:val="-5"/>
                <w:sz w:val="20"/>
              </w:rPr>
              <w:t> </w:t>
            </w:r>
            <w:r>
              <w:rPr>
                <w:spacing w:val="-2"/>
                <w:sz w:val="20"/>
              </w:rPr>
              <w:t>Q90.9,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Q91,</w:t>
            </w:r>
            <w:r>
              <w:rPr>
                <w:spacing w:val="-6"/>
                <w:sz w:val="20"/>
              </w:rPr>
              <w:t> </w:t>
            </w:r>
            <w:r>
              <w:rPr>
                <w:sz w:val="20"/>
              </w:rPr>
              <w:t>Q91.0,</w:t>
            </w:r>
            <w:r>
              <w:rPr>
                <w:spacing w:val="-6"/>
                <w:sz w:val="20"/>
              </w:rPr>
              <w:t> </w:t>
            </w:r>
            <w:r>
              <w:rPr>
                <w:sz w:val="20"/>
              </w:rPr>
              <w:t>Q91.1,</w:t>
            </w:r>
            <w:r>
              <w:rPr>
                <w:spacing w:val="-5"/>
                <w:sz w:val="20"/>
              </w:rPr>
              <w:t> </w:t>
            </w:r>
            <w:r>
              <w:rPr>
                <w:sz w:val="20"/>
              </w:rPr>
              <w:t>Q91.2,</w:t>
            </w:r>
            <w:r>
              <w:rPr>
                <w:spacing w:val="-6"/>
                <w:sz w:val="20"/>
              </w:rPr>
              <w:t> </w:t>
            </w:r>
            <w:r>
              <w:rPr>
                <w:sz w:val="20"/>
              </w:rPr>
              <w:t>Q91.3,</w:t>
            </w:r>
            <w:r>
              <w:rPr>
                <w:spacing w:val="-5"/>
                <w:sz w:val="20"/>
              </w:rPr>
              <w:t> </w:t>
            </w:r>
            <w:r>
              <w:rPr>
                <w:sz w:val="20"/>
              </w:rPr>
              <w:t>Q91.4,</w:t>
            </w:r>
            <w:r>
              <w:rPr>
                <w:spacing w:val="-6"/>
                <w:sz w:val="20"/>
              </w:rPr>
              <w:t> </w:t>
            </w:r>
            <w:r>
              <w:rPr>
                <w:spacing w:val="-2"/>
                <w:sz w:val="20"/>
              </w:rPr>
              <w:t>Q91.5,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Q91.6,</w:t>
            </w:r>
            <w:r>
              <w:rPr>
                <w:spacing w:val="-6"/>
                <w:sz w:val="20"/>
              </w:rPr>
              <w:t> </w:t>
            </w:r>
            <w:r>
              <w:rPr>
                <w:sz w:val="20"/>
              </w:rPr>
              <w:t>Q91.7,</w:t>
            </w:r>
            <w:r>
              <w:rPr>
                <w:spacing w:val="-7"/>
                <w:sz w:val="20"/>
              </w:rPr>
              <w:t> </w:t>
            </w:r>
            <w:r>
              <w:rPr>
                <w:sz w:val="20"/>
              </w:rPr>
              <w:t>Q92,</w:t>
            </w:r>
            <w:r>
              <w:rPr>
                <w:spacing w:val="-5"/>
                <w:sz w:val="20"/>
              </w:rPr>
              <w:t> </w:t>
            </w:r>
            <w:r>
              <w:rPr>
                <w:sz w:val="20"/>
              </w:rPr>
              <w:t>Q92.0,</w:t>
            </w:r>
            <w:r>
              <w:rPr>
                <w:spacing w:val="-5"/>
                <w:sz w:val="20"/>
              </w:rPr>
              <w:t> </w:t>
            </w:r>
            <w:r>
              <w:rPr>
                <w:sz w:val="20"/>
              </w:rPr>
              <w:t>Q92.1,</w:t>
            </w:r>
            <w:r>
              <w:rPr>
                <w:spacing w:val="-5"/>
                <w:sz w:val="20"/>
              </w:rPr>
              <w:t> </w:t>
            </w:r>
            <w:r>
              <w:rPr>
                <w:sz w:val="20"/>
              </w:rPr>
              <w:t>Q92.2,</w:t>
            </w:r>
            <w:r>
              <w:rPr>
                <w:spacing w:val="-6"/>
                <w:sz w:val="20"/>
              </w:rPr>
              <w:t> </w:t>
            </w:r>
            <w:r>
              <w:rPr>
                <w:spacing w:val="-2"/>
                <w:sz w:val="20"/>
              </w:rPr>
              <w:t>Q92.3,</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7" w:right="593"/>
              <w:jc w:val="center"/>
              <w:rPr>
                <w:sz w:val="20"/>
              </w:rPr>
            </w:pPr>
            <w:r>
              <w:rPr>
                <w:sz w:val="20"/>
              </w:rPr>
              <w:t>Q92.4,</w:t>
            </w:r>
            <w:r>
              <w:rPr>
                <w:spacing w:val="-5"/>
                <w:sz w:val="20"/>
              </w:rPr>
              <w:t> </w:t>
            </w:r>
            <w:r>
              <w:rPr>
                <w:sz w:val="20"/>
              </w:rPr>
              <w:t>Q92.5,</w:t>
            </w:r>
            <w:r>
              <w:rPr>
                <w:spacing w:val="-5"/>
                <w:sz w:val="20"/>
              </w:rPr>
              <w:t> </w:t>
            </w:r>
            <w:r>
              <w:rPr>
                <w:sz w:val="20"/>
              </w:rPr>
              <w:t>Q92.6,</w:t>
            </w:r>
            <w:r>
              <w:rPr>
                <w:spacing w:val="-4"/>
                <w:sz w:val="20"/>
              </w:rPr>
              <w:t> </w:t>
            </w:r>
            <w:r>
              <w:rPr>
                <w:sz w:val="20"/>
              </w:rPr>
              <w:t>Q92.7,</w:t>
            </w:r>
            <w:r>
              <w:rPr>
                <w:spacing w:val="-6"/>
                <w:sz w:val="20"/>
              </w:rPr>
              <w:t> </w:t>
            </w:r>
            <w:r>
              <w:rPr>
                <w:sz w:val="20"/>
              </w:rPr>
              <w:t>Q92.8,</w:t>
            </w:r>
            <w:r>
              <w:rPr>
                <w:spacing w:val="-4"/>
                <w:sz w:val="20"/>
              </w:rPr>
              <w:t> </w:t>
            </w:r>
            <w:r>
              <w:rPr>
                <w:sz w:val="20"/>
              </w:rPr>
              <w:t>Q92.9,</w:t>
            </w:r>
            <w:r>
              <w:rPr>
                <w:spacing w:val="-6"/>
                <w:sz w:val="20"/>
              </w:rPr>
              <w:t> </w:t>
            </w:r>
            <w:r>
              <w:rPr>
                <w:spacing w:val="-4"/>
                <w:sz w:val="20"/>
              </w:rPr>
              <w:t>Q93,</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Q93.0,</w:t>
            </w:r>
            <w:r>
              <w:rPr>
                <w:spacing w:val="-4"/>
                <w:sz w:val="20"/>
              </w:rPr>
              <w:t> </w:t>
            </w:r>
            <w:r>
              <w:rPr>
                <w:sz w:val="20"/>
              </w:rPr>
              <w:t>Q93.1,</w:t>
            </w:r>
            <w:r>
              <w:rPr>
                <w:spacing w:val="-6"/>
                <w:sz w:val="20"/>
              </w:rPr>
              <w:t> </w:t>
            </w:r>
            <w:r>
              <w:rPr>
                <w:sz w:val="20"/>
              </w:rPr>
              <w:t>Q93.2,</w:t>
            </w:r>
            <w:r>
              <w:rPr>
                <w:spacing w:val="-4"/>
                <w:sz w:val="20"/>
              </w:rPr>
              <w:t> </w:t>
            </w:r>
            <w:r>
              <w:rPr>
                <w:sz w:val="20"/>
              </w:rPr>
              <w:t>Q93.3,</w:t>
            </w:r>
            <w:r>
              <w:rPr>
                <w:spacing w:val="-6"/>
                <w:sz w:val="20"/>
              </w:rPr>
              <w:t> </w:t>
            </w:r>
            <w:r>
              <w:rPr>
                <w:sz w:val="20"/>
              </w:rPr>
              <w:t>Q93.4,</w:t>
            </w:r>
            <w:r>
              <w:rPr>
                <w:spacing w:val="-4"/>
                <w:sz w:val="20"/>
              </w:rPr>
              <w:t> </w:t>
            </w:r>
            <w:r>
              <w:rPr>
                <w:spacing w:val="-2"/>
                <w:sz w:val="20"/>
              </w:rPr>
              <w:t>Q93.5,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89"/>
              <w:jc w:val="center"/>
              <w:rPr>
                <w:sz w:val="20"/>
              </w:rPr>
            </w:pPr>
            <w:r>
              <w:rPr>
                <w:sz w:val="20"/>
              </w:rPr>
              <w:t>Q93.6,</w:t>
            </w:r>
            <w:r>
              <w:rPr>
                <w:spacing w:val="-4"/>
                <w:sz w:val="20"/>
              </w:rPr>
              <w:t> </w:t>
            </w:r>
            <w:r>
              <w:rPr>
                <w:sz w:val="20"/>
              </w:rPr>
              <w:t>Q93.7,</w:t>
            </w:r>
            <w:r>
              <w:rPr>
                <w:spacing w:val="-5"/>
                <w:sz w:val="20"/>
              </w:rPr>
              <w:t> </w:t>
            </w:r>
            <w:r>
              <w:rPr>
                <w:sz w:val="20"/>
              </w:rPr>
              <w:t>Q93.8,</w:t>
            </w:r>
            <w:r>
              <w:rPr>
                <w:spacing w:val="-3"/>
                <w:sz w:val="20"/>
              </w:rPr>
              <w:t> </w:t>
            </w:r>
            <w:r>
              <w:rPr>
                <w:sz w:val="20"/>
              </w:rPr>
              <w:t>Q93.9,</w:t>
            </w:r>
            <w:r>
              <w:rPr>
                <w:spacing w:val="-5"/>
                <w:sz w:val="20"/>
              </w:rPr>
              <w:t> </w:t>
            </w:r>
            <w:r>
              <w:rPr>
                <w:sz w:val="20"/>
              </w:rPr>
              <w:t>Q95,</w:t>
            </w:r>
            <w:r>
              <w:rPr>
                <w:spacing w:val="-3"/>
                <w:sz w:val="20"/>
              </w:rPr>
              <w:t> </w:t>
            </w:r>
            <w:r>
              <w:rPr>
                <w:sz w:val="20"/>
              </w:rPr>
              <w:t>Q95.0,</w:t>
            </w:r>
            <w:r>
              <w:rPr>
                <w:spacing w:val="-3"/>
                <w:sz w:val="20"/>
              </w:rPr>
              <w:t> </w:t>
            </w:r>
            <w:r>
              <w:rPr>
                <w:spacing w:val="-2"/>
                <w:sz w:val="20"/>
              </w:rPr>
              <w:t>Q95.1,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7" w:right="593"/>
              <w:jc w:val="center"/>
              <w:rPr>
                <w:sz w:val="20"/>
              </w:rPr>
            </w:pPr>
            <w:r>
              <w:rPr>
                <w:sz w:val="20"/>
              </w:rPr>
              <w:t>Q95.2,</w:t>
            </w:r>
            <w:r>
              <w:rPr>
                <w:spacing w:val="-5"/>
                <w:sz w:val="20"/>
              </w:rPr>
              <w:t> </w:t>
            </w:r>
            <w:r>
              <w:rPr>
                <w:sz w:val="20"/>
              </w:rPr>
              <w:t>Q95.3,</w:t>
            </w:r>
            <w:r>
              <w:rPr>
                <w:spacing w:val="-5"/>
                <w:sz w:val="20"/>
              </w:rPr>
              <w:t> </w:t>
            </w:r>
            <w:r>
              <w:rPr>
                <w:sz w:val="20"/>
              </w:rPr>
              <w:t>Q95.4,</w:t>
            </w:r>
            <w:r>
              <w:rPr>
                <w:spacing w:val="-4"/>
                <w:sz w:val="20"/>
              </w:rPr>
              <w:t> </w:t>
            </w:r>
            <w:r>
              <w:rPr>
                <w:sz w:val="20"/>
              </w:rPr>
              <w:t>Q95.5,</w:t>
            </w:r>
            <w:r>
              <w:rPr>
                <w:spacing w:val="-6"/>
                <w:sz w:val="20"/>
              </w:rPr>
              <w:t> </w:t>
            </w:r>
            <w:r>
              <w:rPr>
                <w:sz w:val="20"/>
              </w:rPr>
              <w:t>Q95.8,</w:t>
            </w:r>
            <w:r>
              <w:rPr>
                <w:spacing w:val="-4"/>
                <w:sz w:val="20"/>
              </w:rPr>
              <w:t> </w:t>
            </w:r>
            <w:r>
              <w:rPr>
                <w:sz w:val="20"/>
              </w:rPr>
              <w:t>Q95.9,</w:t>
            </w:r>
            <w:r>
              <w:rPr>
                <w:spacing w:val="-6"/>
                <w:sz w:val="20"/>
              </w:rPr>
              <w:t> </w:t>
            </w:r>
            <w:r>
              <w:rPr>
                <w:spacing w:val="-4"/>
                <w:sz w:val="20"/>
              </w:rPr>
              <w:t>Q96,</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Q96.0,</w:t>
            </w:r>
            <w:r>
              <w:rPr>
                <w:spacing w:val="-4"/>
                <w:sz w:val="20"/>
              </w:rPr>
              <w:t> </w:t>
            </w:r>
            <w:r>
              <w:rPr>
                <w:sz w:val="20"/>
              </w:rPr>
              <w:t>Q96.1,</w:t>
            </w:r>
            <w:r>
              <w:rPr>
                <w:spacing w:val="-6"/>
                <w:sz w:val="20"/>
              </w:rPr>
              <w:t> </w:t>
            </w:r>
            <w:r>
              <w:rPr>
                <w:sz w:val="20"/>
              </w:rPr>
              <w:t>Q96.2,</w:t>
            </w:r>
            <w:r>
              <w:rPr>
                <w:spacing w:val="-4"/>
                <w:sz w:val="20"/>
              </w:rPr>
              <w:t> </w:t>
            </w:r>
            <w:r>
              <w:rPr>
                <w:sz w:val="20"/>
              </w:rPr>
              <w:t>Q96.3,</w:t>
            </w:r>
            <w:r>
              <w:rPr>
                <w:spacing w:val="-6"/>
                <w:sz w:val="20"/>
              </w:rPr>
              <w:t> </w:t>
            </w:r>
            <w:r>
              <w:rPr>
                <w:sz w:val="20"/>
              </w:rPr>
              <w:t>Q96.4,</w:t>
            </w:r>
            <w:r>
              <w:rPr>
                <w:spacing w:val="-4"/>
                <w:sz w:val="20"/>
              </w:rPr>
              <w:t> </w:t>
            </w:r>
            <w:r>
              <w:rPr>
                <w:spacing w:val="-2"/>
                <w:sz w:val="20"/>
              </w:rPr>
              <w:t>Q96.8,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Q96.9,</w:t>
            </w:r>
            <w:r>
              <w:rPr>
                <w:spacing w:val="-6"/>
                <w:sz w:val="20"/>
              </w:rPr>
              <w:t> </w:t>
            </w:r>
            <w:r>
              <w:rPr>
                <w:sz w:val="20"/>
              </w:rPr>
              <w:t>Q97,</w:t>
            </w:r>
            <w:r>
              <w:rPr>
                <w:spacing w:val="-6"/>
                <w:sz w:val="20"/>
              </w:rPr>
              <w:t> </w:t>
            </w:r>
            <w:r>
              <w:rPr>
                <w:sz w:val="20"/>
              </w:rPr>
              <w:t>Q97.0,</w:t>
            </w:r>
            <w:r>
              <w:rPr>
                <w:spacing w:val="-5"/>
                <w:sz w:val="20"/>
              </w:rPr>
              <w:t> </w:t>
            </w:r>
            <w:r>
              <w:rPr>
                <w:sz w:val="20"/>
              </w:rPr>
              <w:t>Q97.1,</w:t>
            </w:r>
            <w:r>
              <w:rPr>
                <w:spacing w:val="-6"/>
                <w:sz w:val="20"/>
              </w:rPr>
              <w:t> </w:t>
            </w:r>
            <w:r>
              <w:rPr>
                <w:sz w:val="20"/>
              </w:rPr>
              <w:t>Q97.2,</w:t>
            </w:r>
            <w:r>
              <w:rPr>
                <w:spacing w:val="-5"/>
                <w:sz w:val="20"/>
              </w:rPr>
              <w:t> </w:t>
            </w:r>
            <w:r>
              <w:rPr>
                <w:sz w:val="20"/>
              </w:rPr>
              <w:t>Q97.3,</w:t>
            </w:r>
            <w:r>
              <w:rPr>
                <w:spacing w:val="-6"/>
                <w:sz w:val="20"/>
              </w:rPr>
              <w:t> </w:t>
            </w:r>
            <w:r>
              <w:rPr>
                <w:spacing w:val="-2"/>
                <w:sz w:val="20"/>
              </w:rPr>
              <w:t>Q97.8,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Q97.9,</w:t>
            </w:r>
            <w:r>
              <w:rPr>
                <w:spacing w:val="-6"/>
                <w:sz w:val="20"/>
              </w:rPr>
              <w:t> </w:t>
            </w:r>
            <w:r>
              <w:rPr>
                <w:sz w:val="20"/>
              </w:rPr>
              <w:t>Q98,</w:t>
            </w:r>
            <w:r>
              <w:rPr>
                <w:spacing w:val="-6"/>
                <w:sz w:val="20"/>
              </w:rPr>
              <w:t> </w:t>
            </w:r>
            <w:r>
              <w:rPr>
                <w:sz w:val="20"/>
              </w:rPr>
              <w:t>Q98.0,</w:t>
            </w:r>
            <w:r>
              <w:rPr>
                <w:spacing w:val="-5"/>
                <w:sz w:val="20"/>
              </w:rPr>
              <w:t> </w:t>
            </w:r>
            <w:r>
              <w:rPr>
                <w:sz w:val="20"/>
              </w:rPr>
              <w:t>Q98.1,</w:t>
            </w:r>
            <w:r>
              <w:rPr>
                <w:spacing w:val="-6"/>
                <w:sz w:val="20"/>
              </w:rPr>
              <w:t> </w:t>
            </w:r>
            <w:r>
              <w:rPr>
                <w:sz w:val="20"/>
              </w:rPr>
              <w:t>Q98.2,</w:t>
            </w:r>
            <w:r>
              <w:rPr>
                <w:spacing w:val="-5"/>
                <w:sz w:val="20"/>
              </w:rPr>
              <w:t> </w:t>
            </w:r>
            <w:r>
              <w:rPr>
                <w:sz w:val="20"/>
              </w:rPr>
              <w:t>Q98.3,</w:t>
            </w:r>
            <w:r>
              <w:rPr>
                <w:spacing w:val="-6"/>
                <w:sz w:val="20"/>
              </w:rPr>
              <w:t> </w:t>
            </w:r>
            <w:r>
              <w:rPr>
                <w:spacing w:val="-2"/>
                <w:sz w:val="20"/>
              </w:rPr>
              <w:t>Q98.4,</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Q98.5,</w:t>
            </w:r>
            <w:r>
              <w:rPr>
                <w:spacing w:val="-5"/>
                <w:sz w:val="20"/>
              </w:rPr>
              <w:t> </w:t>
            </w:r>
            <w:r>
              <w:rPr>
                <w:sz w:val="20"/>
              </w:rPr>
              <w:t>Q98.6,</w:t>
            </w:r>
            <w:r>
              <w:rPr>
                <w:spacing w:val="-5"/>
                <w:sz w:val="20"/>
              </w:rPr>
              <w:t> </w:t>
            </w:r>
            <w:r>
              <w:rPr>
                <w:sz w:val="20"/>
              </w:rPr>
              <w:t>Q98.7,</w:t>
            </w:r>
            <w:r>
              <w:rPr>
                <w:spacing w:val="-4"/>
                <w:sz w:val="20"/>
              </w:rPr>
              <w:t> </w:t>
            </w:r>
            <w:r>
              <w:rPr>
                <w:sz w:val="20"/>
              </w:rPr>
              <w:t>Q98.8,</w:t>
            </w:r>
            <w:r>
              <w:rPr>
                <w:spacing w:val="-6"/>
                <w:sz w:val="20"/>
              </w:rPr>
              <w:t> </w:t>
            </w:r>
            <w:r>
              <w:rPr>
                <w:sz w:val="20"/>
              </w:rPr>
              <w:t>Q98.9,</w:t>
            </w:r>
            <w:r>
              <w:rPr>
                <w:spacing w:val="-4"/>
                <w:sz w:val="20"/>
              </w:rPr>
              <w:t> </w:t>
            </w:r>
            <w:r>
              <w:rPr>
                <w:sz w:val="20"/>
              </w:rPr>
              <w:t>Q99.8,</w:t>
            </w:r>
            <w:r>
              <w:rPr>
                <w:spacing w:val="-6"/>
                <w:sz w:val="20"/>
              </w:rPr>
              <w:t> </w:t>
            </w:r>
            <w:r>
              <w:rPr>
                <w:spacing w:val="-4"/>
                <w:sz w:val="20"/>
              </w:rPr>
              <w:t>R20,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0"/>
              <w:jc w:val="center"/>
              <w:rPr>
                <w:sz w:val="20"/>
              </w:rPr>
            </w:pPr>
            <w:r>
              <w:rPr>
                <w:sz w:val="20"/>
              </w:rPr>
              <w:t>R20.0,</w:t>
            </w:r>
            <w:r>
              <w:rPr>
                <w:spacing w:val="-4"/>
                <w:sz w:val="20"/>
              </w:rPr>
              <w:t> </w:t>
            </w:r>
            <w:r>
              <w:rPr>
                <w:sz w:val="20"/>
              </w:rPr>
              <w:t>R20.1,</w:t>
            </w:r>
            <w:r>
              <w:rPr>
                <w:spacing w:val="-4"/>
                <w:sz w:val="20"/>
              </w:rPr>
              <w:t> </w:t>
            </w:r>
            <w:r>
              <w:rPr>
                <w:sz w:val="20"/>
              </w:rPr>
              <w:t>R20.2,</w:t>
            </w:r>
            <w:r>
              <w:rPr>
                <w:spacing w:val="-4"/>
                <w:sz w:val="20"/>
              </w:rPr>
              <w:t> </w:t>
            </w:r>
            <w:r>
              <w:rPr>
                <w:sz w:val="20"/>
              </w:rPr>
              <w:t>R20.3,</w:t>
            </w:r>
            <w:r>
              <w:rPr>
                <w:spacing w:val="-8"/>
                <w:sz w:val="20"/>
              </w:rPr>
              <w:t> </w:t>
            </w:r>
            <w:r>
              <w:rPr>
                <w:sz w:val="20"/>
              </w:rPr>
              <w:t>R20.8,</w:t>
            </w:r>
            <w:r>
              <w:rPr>
                <w:spacing w:val="-4"/>
                <w:sz w:val="20"/>
              </w:rPr>
              <w:t> </w:t>
            </w:r>
            <w:r>
              <w:rPr>
                <w:sz w:val="20"/>
              </w:rPr>
              <w:t>R25,</w:t>
            </w:r>
            <w:r>
              <w:rPr>
                <w:spacing w:val="-4"/>
                <w:sz w:val="20"/>
              </w:rPr>
              <w:t> </w:t>
            </w:r>
            <w:r>
              <w:rPr>
                <w:spacing w:val="-2"/>
                <w:sz w:val="20"/>
              </w:rPr>
              <w:t>R25.0,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R25.1,</w:t>
            </w:r>
            <w:r>
              <w:rPr>
                <w:spacing w:val="-5"/>
                <w:sz w:val="20"/>
              </w:rPr>
              <w:t> </w:t>
            </w:r>
            <w:r>
              <w:rPr>
                <w:sz w:val="20"/>
              </w:rPr>
              <w:t>R25.2,</w:t>
            </w:r>
            <w:r>
              <w:rPr>
                <w:spacing w:val="-4"/>
                <w:sz w:val="20"/>
              </w:rPr>
              <w:t> </w:t>
            </w:r>
            <w:r>
              <w:rPr>
                <w:sz w:val="20"/>
              </w:rPr>
              <w:t>R25.3,</w:t>
            </w:r>
            <w:r>
              <w:rPr>
                <w:spacing w:val="-4"/>
                <w:sz w:val="20"/>
              </w:rPr>
              <w:t> </w:t>
            </w:r>
            <w:r>
              <w:rPr>
                <w:sz w:val="20"/>
              </w:rPr>
              <w:t>R25.8,</w:t>
            </w:r>
            <w:r>
              <w:rPr>
                <w:spacing w:val="-8"/>
                <w:sz w:val="20"/>
              </w:rPr>
              <w:t> </w:t>
            </w:r>
            <w:r>
              <w:rPr>
                <w:sz w:val="20"/>
              </w:rPr>
              <w:t>R26,</w:t>
            </w:r>
            <w:r>
              <w:rPr>
                <w:spacing w:val="-5"/>
                <w:sz w:val="20"/>
              </w:rPr>
              <w:t> </w:t>
            </w:r>
            <w:r>
              <w:rPr>
                <w:sz w:val="20"/>
              </w:rPr>
              <w:t>R26.0,</w:t>
            </w:r>
            <w:r>
              <w:rPr>
                <w:spacing w:val="-4"/>
                <w:sz w:val="20"/>
              </w:rPr>
              <w:t> </w:t>
            </w:r>
            <w:r>
              <w:rPr>
                <w:spacing w:val="-2"/>
                <w:sz w:val="20"/>
              </w:rPr>
              <w:t>R26.1,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R26.8,</w:t>
            </w:r>
            <w:r>
              <w:rPr>
                <w:spacing w:val="-7"/>
                <w:sz w:val="20"/>
              </w:rPr>
              <w:t> </w:t>
            </w:r>
            <w:r>
              <w:rPr>
                <w:sz w:val="20"/>
              </w:rPr>
              <w:t>R27,</w:t>
            </w:r>
            <w:r>
              <w:rPr>
                <w:spacing w:val="-5"/>
                <w:sz w:val="20"/>
              </w:rPr>
              <w:t> </w:t>
            </w:r>
            <w:r>
              <w:rPr>
                <w:sz w:val="20"/>
              </w:rPr>
              <w:t>R27.0,</w:t>
            </w:r>
            <w:r>
              <w:rPr>
                <w:spacing w:val="-4"/>
                <w:sz w:val="20"/>
              </w:rPr>
              <w:t> </w:t>
            </w:r>
            <w:r>
              <w:rPr>
                <w:sz w:val="20"/>
              </w:rPr>
              <w:t>R27.8,</w:t>
            </w:r>
            <w:r>
              <w:rPr>
                <w:spacing w:val="-5"/>
                <w:sz w:val="20"/>
              </w:rPr>
              <w:t> </w:t>
            </w:r>
            <w:r>
              <w:rPr>
                <w:sz w:val="20"/>
              </w:rPr>
              <w:t>R29,</w:t>
            </w:r>
            <w:r>
              <w:rPr>
                <w:spacing w:val="-4"/>
                <w:sz w:val="20"/>
              </w:rPr>
              <w:t> </w:t>
            </w:r>
            <w:r>
              <w:rPr>
                <w:sz w:val="20"/>
              </w:rPr>
              <w:t>R29.0,</w:t>
            </w:r>
            <w:r>
              <w:rPr>
                <w:spacing w:val="-6"/>
                <w:sz w:val="20"/>
              </w:rPr>
              <w:t> </w:t>
            </w:r>
            <w:r>
              <w:rPr>
                <w:spacing w:val="-2"/>
                <w:sz w:val="20"/>
              </w:rPr>
              <w:t>R29.1,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R29.2,</w:t>
            </w:r>
            <w:r>
              <w:rPr>
                <w:spacing w:val="-6"/>
                <w:sz w:val="20"/>
              </w:rPr>
              <w:t> </w:t>
            </w:r>
            <w:r>
              <w:rPr>
                <w:sz w:val="20"/>
              </w:rPr>
              <w:t>R29.3,</w:t>
            </w:r>
            <w:r>
              <w:rPr>
                <w:spacing w:val="-5"/>
                <w:sz w:val="20"/>
              </w:rPr>
              <w:t> </w:t>
            </w:r>
            <w:r>
              <w:rPr>
                <w:sz w:val="20"/>
              </w:rPr>
              <w:t>R29.8,</w:t>
            </w:r>
            <w:r>
              <w:rPr>
                <w:spacing w:val="-5"/>
                <w:sz w:val="20"/>
              </w:rPr>
              <w:t> </w:t>
            </w:r>
            <w:r>
              <w:rPr>
                <w:sz w:val="20"/>
              </w:rPr>
              <w:t>R43,</w:t>
            </w:r>
            <w:r>
              <w:rPr>
                <w:spacing w:val="-5"/>
                <w:sz w:val="20"/>
              </w:rPr>
              <w:t> </w:t>
            </w:r>
            <w:r>
              <w:rPr>
                <w:sz w:val="20"/>
              </w:rPr>
              <w:t>R43.0,</w:t>
            </w:r>
            <w:r>
              <w:rPr>
                <w:spacing w:val="-5"/>
                <w:sz w:val="20"/>
              </w:rPr>
              <w:t> </w:t>
            </w:r>
            <w:r>
              <w:rPr>
                <w:sz w:val="20"/>
              </w:rPr>
              <w:t>R43.1,</w:t>
            </w:r>
            <w:r>
              <w:rPr>
                <w:spacing w:val="-5"/>
                <w:sz w:val="20"/>
              </w:rPr>
              <w:t> </w:t>
            </w:r>
            <w:r>
              <w:rPr>
                <w:spacing w:val="-2"/>
                <w:sz w:val="20"/>
              </w:rPr>
              <w:t>R43.2,</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R43.8,</w:t>
            </w:r>
            <w:r>
              <w:rPr>
                <w:spacing w:val="-5"/>
                <w:sz w:val="20"/>
              </w:rPr>
              <w:t> </w:t>
            </w:r>
            <w:r>
              <w:rPr>
                <w:sz w:val="20"/>
              </w:rPr>
              <w:t>R49,</w:t>
            </w:r>
            <w:r>
              <w:rPr>
                <w:spacing w:val="-5"/>
                <w:sz w:val="20"/>
              </w:rPr>
              <w:t> </w:t>
            </w:r>
            <w:r>
              <w:rPr>
                <w:sz w:val="20"/>
              </w:rPr>
              <w:t>R49.0,</w:t>
            </w:r>
            <w:r>
              <w:rPr>
                <w:spacing w:val="-5"/>
                <w:sz w:val="20"/>
              </w:rPr>
              <w:t> </w:t>
            </w:r>
            <w:r>
              <w:rPr>
                <w:sz w:val="20"/>
              </w:rPr>
              <w:t>R49.1,</w:t>
            </w:r>
            <w:r>
              <w:rPr>
                <w:spacing w:val="-5"/>
                <w:sz w:val="20"/>
              </w:rPr>
              <w:t> </w:t>
            </w:r>
            <w:r>
              <w:rPr>
                <w:sz w:val="20"/>
              </w:rPr>
              <w:t>R49.2,</w:t>
            </w:r>
            <w:r>
              <w:rPr>
                <w:spacing w:val="-5"/>
                <w:sz w:val="20"/>
              </w:rPr>
              <w:t> </w:t>
            </w:r>
            <w:r>
              <w:rPr>
                <w:sz w:val="20"/>
              </w:rPr>
              <w:t>R49.8,</w:t>
            </w:r>
            <w:r>
              <w:rPr>
                <w:spacing w:val="-5"/>
                <w:sz w:val="20"/>
              </w:rPr>
              <w:t> </w:t>
            </w:r>
            <w:r>
              <w:rPr>
                <w:spacing w:val="-4"/>
                <w:sz w:val="20"/>
              </w:rPr>
              <w:t>R51,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86"/>
              <w:jc w:val="center"/>
              <w:rPr>
                <w:sz w:val="20"/>
              </w:rPr>
            </w:pPr>
            <w:r>
              <w:rPr>
                <w:sz w:val="20"/>
              </w:rPr>
              <w:t>R56,</w:t>
            </w:r>
            <w:r>
              <w:rPr>
                <w:spacing w:val="-7"/>
                <w:sz w:val="20"/>
              </w:rPr>
              <w:t> </w:t>
            </w:r>
            <w:r>
              <w:rPr>
                <w:sz w:val="20"/>
              </w:rPr>
              <w:t>R56.0,</w:t>
            </w:r>
            <w:r>
              <w:rPr>
                <w:spacing w:val="-4"/>
                <w:sz w:val="20"/>
              </w:rPr>
              <w:t> </w:t>
            </w:r>
            <w:r>
              <w:rPr>
                <w:sz w:val="20"/>
              </w:rPr>
              <w:t>R56.8,</w:t>
            </w:r>
            <w:r>
              <w:rPr>
                <w:spacing w:val="-4"/>
                <w:sz w:val="20"/>
              </w:rPr>
              <w:t> </w:t>
            </w:r>
            <w:r>
              <w:rPr>
                <w:sz w:val="20"/>
              </w:rPr>
              <w:t>R83,</w:t>
            </w:r>
            <w:r>
              <w:rPr>
                <w:spacing w:val="-6"/>
                <w:sz w:val="20"/>
              </w:rPr>
              <w:t> </w:t>
            </w:r>
            <w:r>
              <w:rPr>
                <w:sz w:val="20"/>
              </w:rPr>
              <w:t>R83.0,</w:t>
            </w:r>
            <w:r>
              <w:rPr>
                <w:spacing w:val="-4"/>
                <w:sz w:val="20"/>
              </w:rPr>
              <w:t> </w:t>
            </w:r>
            <w:r>
              <w:rPr>
                <w:sz w:val="20"/>
              </w:rPr>
              <w:t>R83.1,</w:t>
            </w:r>
            <w:r>
              <w:rPr>
                <w:spacing w:val="-5"/>
                <w:sz w:val="20"/>
              </w:rPr>
              <w:t> </w:t>
            </w:r>
            <w:r>
              <w:rPr>
                <w:spacing w:val="-2"/>
                <w:sz w:val="20"/>
              </w:rPr>
              <w:t>R83.2,</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93"/>
              <w:jc w:val="center"/>
              <w:rPr>
                <w:sz w:val="20"/>
              </w:rPr>
            </w:pPr>
            <w:r>
              <w:rPr>
                <w:sz w:val="20"/>
              </w:rPr>
              <w:t>R83.3,</w:t>
            </w:r>
            <w:r>
              <w:rPr>
                <w:spacing w:val="-7"/>
                <w:sz w:val="20"/>
              </w:rPr>
              <w:t> </w:t>
            </w:r>
            <w:r>
              <w:rPr>
                <w:sz w:val="20"/>
              </w:rPr>
              <w:t>R83.4,</w:t>
            </w:r>
            <w:r>
              <w:rPr>
                <w:spacing w:val="-5"/>
                <w:sz w:val="20"/>
              </w:rPr>
              <w:t> </w:t>
            </w:r>
            <w:r>
              <w:rPr>
                <w:sz w:val="20"/>
              </w:rPr>
              <w:t>R83.5,</w:t>
            </w:r>
            <w:r>
              <w:rPr>
                <w:spacing w:val="-5"/>
                <w:sz w:val="20"/>
              </w:rPr>
              <w:t> </w:t>
            </w:r>
            <w:r>
              <w:rPr>
                <w:sz w:val="20"/>
              </w:rPr>
              <w:t>R83.6,</w:t>
            </w:r>
            <w:r>
              <w:rPr>
                <w:spacing w:val="-9"/>
                <w:sz w:val="20"/>
              </w:rPr>
              <w:t> </w:t>
            </w:r>
            <w:r>
              <w:rPr>
                <w:sz w:val="20"/>
              </w:rPr>
              <w:t>R83.7,</w:t>
            </w:r>
            <w:r>
              <w:rPr>
                <w:spacing w:val="-5"/>
                <w:sz w:val="20"/>
              </w:rPr>
              <w:t> </w:t>
            </w:r>
            <w:r>
              <w:rPr>
                <w:sz w:val="20"/>
              </w:rPr>
              <w:t>R83.8,</w:t>
            </w:r>
            <w:r>
              <w:rPr>
                <w:spacing w:val="-4"/>
                <w:sz w:val="20"/>
              </w:rPr>
              <w:t> </w:t>
            </w:r>
            <w:r>
              <w:rPr>
                <w:spacing w:val="-2"/>
                <w:sz w:val="20"/>
              </w:rPr>
              <w:t>R83.9,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8" w:right="593"/>
              <w:jc w:val="center"/>
              <w:rPr>
                <w:sz w:val="20"/>
              </w:rPr>
            </w:pPr>
            <w:r>
              <w:rPr>
                <w:sz w:val="20"/>
              </w:rPr>
              <w:t>R90,</w:t>
            </w:r>
            <w:r>
              <w:rPr>
                <w:spacing w:val="-4"/>
                <w:sz w:val="20"/>
              </w:rPr>
              <w:t> </w:t>
            </w:r>
            <w:r>
              <w:rPr>
                <w:sz w:val="20"/>
              </w:rPr>
              <w:t>R90.0,</w:t>
            </w:r>
            <w:r>
              <w:rPr>
                <w:spacing w:val="-4"/>
                <w:sz w:val="20"/>
              </w:rPr>
              <w:t> </w:t>
            </w:r>
            <w:r>
              <w:rPr>
                <w:sz w:val="20"/>
              </w:rPr>
              <w:t>R90.8,</w:t>
            </w:r>
            <w:r>
              <w:rPr>
                <w:spacing w:val="-4"/>
                <w:sz w:val="20"/>
              </w:rPr>
              <w:t> </w:t>
            </w:r>
            <w:r>
              <w:rPr>
                <w:sz w:val="20"/>
              </w:rPr>
              <w:t>R93,</w:t>
            </w:r>
            <w:r>
              <w:rPr>
                <w:spacing w:val="-6"/>
                <w:sz w:val="20"/>
              </w:rPr>
              <w:t> </w:t>
            </w:r>
            <w:r>
              <w:rPr>
                <w:sz w:val="20"/>
              </w:rPr>
              <w:t>R93.0,</w:t>
            </w:r>
            <w:r>
              <w:rPr>
                <w:spacing w:val="-4"/>
                <w:sz w:val="20"/>
              </w:rPr>
              <w:t> </w:t>
            </w:r>
            <w:r>
              <w:rPr>
                <w:sz w:val="20"/>
              </w:rPr>
              <w:t>R94,</w:t>
            </w:r>
            <w:r>
              <w:rPr>
                <w:spacing w:val="-4"/>
                <w:sz w:val="20"/>
              </w:rPr>
              <w:t> </w:t>
            </w:r>
            <w:r>
              <w:rPr>
                <w:spacing w:val="-2"/>
                <w:sz w:val="20"/>
              </w:rPr>
              <w:t>R94.0,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24" w:lineRule="exact"/>
              <w:ind w:left="267" w:right="593"/>
              <w:jc w:val="center"/>
              <w:rPr>
                <w:sz w:val="20"/>
              </w:rPr>
            </w:pPr>
            <w:r>
              <w:rPr>
                <w:spacing w:val="-4"/>
                <w:sz w:val="20"/>
              </w:rPr>
              <w:t>R94.1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80" w:hRule="atLeast"/>
        </w:trPr>
        <w:tc>
          <w:tcPr>
            <w:tcW w:w="1003" w:type="dxa"/>
          </w:tcPr>
          <w:p>
            <w:pPr>
              <w:pStyle w:val="TableParagraph"/>
              <w:spacing w:line="215" w:lineRule="exact" w:before="46"/>
              <w:ind w:left="50"/>
              <w:rPr>
                <w:sz w:val="20"/>
              </w:rPr>
            </w:pPr>
            <w:r>
              <w:rPr>
                <w:spacing w:val="-2"/>
                <w:sz w:val="20"/>
              </w:rPr>
              <w:t>ds15.002</w:t>
            </w:r>
          </w:p>
        </w:tc>
        <w:tc>
          <w:tcPr>
            <w:tcW w:w="645" w:type="dxa"/>
          </w:tcPr>
          <w:p>
            <w:pPr>
              <w:pStyle w:val="TableParagraph"/>
              <w:spacing w:line="215" w:lineRule="exact" w:before="46"/>
              <w:ind w:left="211" w:right="203"/>
              <w:jc w:val="center"/>
              <w:rPr>
                <w:sz w:val="20"/>
              </w:rPr>
            </w:pPr>
            <w:r>
              <w:rPr>
                <w:spacing w:val="-5"/>
                <w:sz w:val="20"/>
              </w:rPr>
              <w:t>43</w:t>
            </w:r>
          </w:p>
        </w:tc>
        <w:tc>
          <w:tcPr>
            <w:tcW w:w="2472" w:type="dxa"/>
          </w:tcPr>
          <w:p>
            <w:pPr>
              <w:pStyle w:val="TableParagraph"/>
              <w:spacing w:line="215" w:lineRule="exact" w:before="46"/>
              <w:ind w:left="219"/>
              <w:rPr>
                <w:sz w:val="20"/>
              </w:rPr>
            </w:pPr>
            <w:r>
              <w:rPr>
                <w:spacing w:val="-2"/>
                <w:sz w:val="20"/>
              </w:rPr>
              <w:t>Неврологические</w:t>
            </w:r>
          </w:p>
        </w:tc>
        <w:tc>
          <w:tcPr>
            <w:tcW w:w="4880" w:type="dxa"/>
          </w:tcPr>
          <w:p>
            <w:pPr>
              <w:pStyle w:val="TableParagraph"/>
              <w:spacing w:line="215" w:lineRule="exact" w:before="46"/>
              <w:ind w:left="259" w:right="587"/>
              <w:jc w:val="center"/>
              <w:rPr>
                <w:sz w:val="20"/>
              </w:rPr>
            </w:pPr>
            <w:r>
              <w:rPr>
                <w:sz w:val="20"/>
              </w:rPr>
              <w:t>G20,</w:t>
            </w:r>
            <w:r>
              <w:rPr>
                <w:spacing w:val="-4"/>
                <w:sz w:val="20"/>
              </w:rPr>
              <w:t> </w:t>
            </w:r>
            <w:r>
              <w:rPr>
                <w:sz w:val="20"/>
              </w:rPr>
              <w:t>G23.0,</w:t>
            </w:r>
            <w:r>
              <w:rPr>
                <w:spacing w:val="-4"/>
                <w:sz w:val="20"/>
              </w:rPr>
              <w:t> </w:t>
            </w:r>
            <w:r>
              <w:rPr>
                <w:sz w:val="20"/>
              </w:rPr>
              <w:t>G24,</w:t>
            </w:r>
            <w:r>
              <w:rPr>
                <w:spacing w:val="-4"/>
                <w:sz w:val="20"/>
              </w:rPr>
              <w:t> </w:t>
            </w:r>
            <w:r>
              <w:rPr>
                <w:sz w:val="20"/>
              </w:rPr>
              <w:t>G24.0,</w:t>
            </w:r>
            <w:r>
              <w:rPr>
                <w:spacing w:val="-4"/>
                <w:sz w:val="20"/>
              </w:rPr>
              <w:t> </w:t>
            </w:r>
            <w:r>
              <w:rPr>
                <w:sz w:val="20"/>
              </w:rPr>
              <w:t>G24.1,</w:t>
            </w:r>
            <w:r>
              <w:rPr>
                <w:spacing w:val="-4"/>
                <w:sz w:val="20"/>
              </w:rPr>
              <w:t> </w:t>
            </w:r>
            <w:r>
              <w:rPr>
                <w:sz w:val="20"/>
              </w:rPr>
              <w:t>G24.2,</w:t>
            </w:r>
            <w:r>
              <w:rPr>
                <w:spacing w:val="-4"/>
                <w:sz w:val="20"/>
              </w:rPr>
              <w:t> </w:t>
            </w:r>
            <w:r>
              <w:rPr>
                <w:spacing w:val="-2"/>
                <w:sz w:val="20"/>
              </w:rPr>
              <w:t>G24.3,</w:t>
            </w:r>
          </w:p>
        </w:tc>
        <w:tc>
          <w:tcPr>
            <w:tcW w:w="2590" w:type="dxa"/>
          </w:tcPr>
          <w:p>
            <w:pPr>
              <w:pStyle w:val="TableParagraph"/>
              <w:spacing w:line="215" w:lineRule="exact" w:before="46"/>
              <w:ind w:left="627"/>
              <w:rPr>
                <w:sz w:val="20"/>
              </w:rPr>
            </w:pPr>
            <w:r>
              <w:rPr>
                <w:spacing w:val="-2"/>
                <w:sz w:val="20"/>
              </w:rPr>
              <w:t>A25.24.001.002</w:t>
            </w:r>
          </w:p>
        </w:tc>
        <w:tc>
          <w:tcPr>
            <w:tcW w:w="2866" w:type="dxa"/>
          </w:tcPr>
          <w:p>
            <w:pPr>
              <w:pStyle w:val="TableParagraph"/>
              <w:spacing w:line="215" w:lineRule="exact" w:before="46"/>
              <w:ind w:left="666" w:right="429"/>
              <w:jc w:val="center"/>
              <w:rPr>
                <w:sz w:val="20"/>
              </w:rPr>
            </w:pPr>
            <w:r>
              <w:rPr>
                <w:spacing w:val="-4"/>
                <w:sz w:val="20"/>
              </w:rPr>
              <w:t>Иной</w:t>
            </w:r>
          </w:p>
        </w:tc>
        <w:tc>
          <w:tcPr>
            <w:tcW w:w="837" w:type="dxa"/>
          </w:tcPr>
          <w:p>
            <w:pPr>
              <w:pStyle w:val="TableParagraph"/>
              <w:spacing w:line="215" w:lineRule="exact" w:before="46"/>
              <w:ind w:left="438"/>
              <w:rPr>
                <w:sz w:val="20"/>
              </w:rPr>
            </w:pPr>
            <w:r>
              <w:rPr>
                <w:spacing w:val="-4"/>
                <w:sz w:val="20"/>
              </w:rPr>
              <w:t>1,75</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10" w:lineRule="exact"/>
              <w:ind w:left="219"/>
              <w:rPr>
                <w:sz w:val="20"/>
              </w:rPr>
            </w:pPr>
            <w:r>
              <w:rPr>
                <w:sz w:val="20"/>
              </w:rPr>
              <w:t>заболевания,</w:t>
            </w:r>
            <w:r>
              <w:rPr>
                <w:spacing w:val="-10"/>
                <w:sz w:val="20"/>
              </w:rPr>
              <w:t> </w:t>
            </w:r>
            <w:r>
              <w:rPr>
                <w:sz w:val="20"/>
              </w:rPr>
              <w:t>лечение</w:t>
            </w:r>
            <w:r>
              <w:rPr>
                <w:spacing w:val="-11"/>
                <w:sz w:val="20"/>
              </w:rPr>
              <w:t> </w:t>
            </w:r>
            <w:r>
              <w:rPr>
                <w:spacing w:val="-10"/>
                <w:sz w:val="20"/>
              </w:rPr>
              <w:t>с</w:t>
            </w:r>
          </w:p>
        </w:tc>
        <w:tc>
          <w:tcPr>
            <w:tcW w:w="4880" w:type="dxa"/>
          </w:tcPr>
          <w:p>
            <w:pPr>
              <w:pStyle w:val="TableParagraph"/>
              <w:spacing w:line="210" w:lineRule="exact"/>
              <w:ind w:left="259" w:right="587"/>
              <w:jc w:val="center"/>
              <w:rPr>
                <w:sz w:val="20"/>
              </w:rPr>
            </w:pPr>
            <w:r>
              <w:rPr>
                <w:sz w:val="20"/>
              </w:rPr>
              <w:t>G24.4,</w:t>
            </w:r>
            <w:r>
              <w:rPr>
                <w:spacing w:val="-3"/>
                <w:sz w:val="20"/>
              </w:rPr>
              <w:t> </w:t>
            </w:r>
            <w:r>
              <w:rPr>
                <w:sz w:val="20"/>
              </w:rPr>
              <w:t>G24.5,</w:t>
            </w:r>
            <w:r>
              <w:rPr>
                <w:spacing w:val="-6"/>
                <w:sz w:val="20"/>
              </w:rPr>
              <w:t> </w:t>
            </w:r>
            <w:r>
              <w:rPr>
                <w:sz w:val="20"/>
              </w:rPr>
              <w:t>G24.8,</w:t>
            </w:r>
            <w:r>
              <w:rPr>
                <w:spacing w:val="-2"/>
                <w:sz w:val="20"/>
              </w:rPr>
              <w:t> </w:t>
            </w:r>
            <w:r>
              <w:rPr>
                <w:sz w:val="20"/>
              </w:rPr>
              <w:t>G24.9,</w:t>
            </w:r>
            <w:r>
              <w:rPr>
                <w:spacing w:val="-5"/>
                <w:sz w:val="20"/>
              </w:rPr>
              <w:t> </w:t>
            </w:r>
            <w:r>
              <w:rPr>
                <w:sz w:val="20"/>
              </w:rPr>
              <w:t>G35,</w:t>
            </w:r>
            <w:r>
              <w:rPr>
                <w:spacing w:val="-3"/>
                <w:sz w:val="20"/>
              </w:rPr>
              <w:t> </w:t>
            </w:r>
            <w:r>
              <w:rPr>
                <w:sz w:val="20"/>
              </w:rPr>
              <w:t>G43,</w:t>
            </w:r>
            <w:r>
              <w:rPr>
                <w:spacing w:val="-4"/>
                <w:sz w:val="20"/>
              </w:rPr>
              <w:t> </w:t>
            </w:r>
            <w:r>
              <w:rPr>
                <w:spacing w:val="-2"/>
                <w:sz w:val="20"/>
              </w:rPr>
              <w:t>G43.0,</w:t>
            </w:r>
          </w:p>
        </w:tc>
        <w:tc>
          <w:tcPr>
            <w:tcW w:w="2590" w:type="dxa"/>
          </w:tcPr>
          <w:p>
            <w:pPr>
              <w:pStyle w:val="TableParagraph"/>
              <w:rPr>
                <w:sz w:val="16"/>
              </w:rPr>
            </w:pPr>
          </w:p>
        </w:tc>
        <w:tc>
          <w:tcPr>
            <w:tcW w:w="2866" w:type="dxa"/>
          </w:tcPr>
          <w:p>
            <w:pPr>
              <w:pStyle w:val="TableParagraph"/>
              <w:spacing w:line="210" w:lineRule="exact"/>
              <w:ind w:left="668" w:right="429"/>
              <w:jc w:val="center"/>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09" w:lineRule="exact"/>
              <w:ind w:left="219"/>
              <w:rPr>
                <w:sz w:val="20"/>
              </w:rPr>
            </w:pPr>
            <w:r>
              <w:rPr>
                <w:spacing w:val="-2"/>
                <w:sz w:val="20"/>
              </w:rPr>
              <w:t>применением</w:t>
            </w:r>
          </w:p>
        </w:tc>
        <w:tc>
          <w:tcPr>
            <w:tcW w:w="4880" w:type="dxa"/>
          </w:tcPr>
          <w:p>
            <w:pPr>
              <w:pStyle w:val="TableParagraph"/>
              <w:spacing w:line="209" w:lineRule="exact"/>
              <w:ind w:left="259" w:right="589"/>
              <w:jc w:val="center"/>
              <w:rPr>
                <w:sz w:val="20"/>
              </w:rPr>
            </w:pPr>
            <w:r>
              <w:rPr>
                <w:sz w:val="20"/>
              </w:rPr>
              <w:t>G43.1,</w:t>
            </w:r>
            <w:r>
              <w:rPr>
                <w:spacing w:val="-4"/>
                <w:sz w:val="20"/>
              </w:rPr>
              <w:t> </w:t>
            </w:r>
            <w:r>
              <w:rPr>
                <w:sz w:val="20"/>
              </w:rPr>
              <w:t>G43.2,</w:t>
            </w:r>
            <w:r>
              <w:rPr>
                <w:spacing w:val="-5"/>
                <w:sz w:val="20"/>
              </w:rPr>
              <w:t> </w:t>
            </w:r>
            <w:r>
              <w:rPr>
                <w:sz w:val="20"/>
              </w:rPr>
              <w:t>G43.3,</w:t>
            </w:r>
            <w:r>
              <w:rPr>
                <w:spacing w:val="-3"/>
                <w:sz w:val="20"/>
              </w:rPr>
              <w:t> </w:t>
            </w:r>
            <w:r>
              <w:rPr>
                <w:sz w:val="20"/>
              </w:rPr>
              <w:t>G43.8,</w:t>
            </w:r>
            <w:r>
              <w:rPr>
                <w:spacing w:val="-5"/>
                <w:sz w:val="20"/>
              </w:rPr>
              <w:t> </w:t>
            </w:r>
            <w:r>
              <w:rPr>
                <w:sz w:val="20"/>
              </w:rPr>
              <w:t>G43.9,</w:t>
            </w:r>
            <w:r>
              <w:rPr>
                <w:spacing w:val="-2"/>
                <w:sz w:val="20"/>
              </w:rPr>
              <w:t> </w:t>
            </w:r>
            <w:r>
              <w:rPr>
                <w:sz w:val="20"/>
              </w:rPr>
              <w:t>G44,</w:t>
            </w:r>
            <w:r>
              <w:rPr>
                <w:spacing w:val="-4"/>
                <w:sz w:val="20"/>
              </w:rPr>
              <w:t> </w:t>
            </w:r>
            <w:r>
              <w:rPr>
                <w:spacing w:val="-2"/>
                <w:sz w:val="20"/>
              </w:rPr>
              <w:t>G44.0,</w:t>
            </w:r>
          </w:p>
        </w:tc>
        <w:tc>
          <w:tcPr>
            <w:tcW w:w="2590" w:type="dxa"/>
          </w:tcPr>
          <w:p>
            <w:pPr>
              <w:pStyle w:val="TableParagraph"/>
              <w:rPr>
                <w:sz w:val="16"/>
              </w:rPr>
            </w:pPr>
          </w:p>
        </w:tc>
        <w:tc>
          <w:tcPr>
            <w:tcW w:w="2866" w:type="dxa"/>
          </w:tcPr>
          <w:p>
            <w:pPr>
              <w:pStyle w:val="TableParagraph"/>
              <w:spacing w:line="209" w:lineRule="exact"/>
              <w:ind w:left="662" w:right="429"/>
              <w:jc w:val="center"/>
              <w:rPr>
                <w:sz w:val="20"/>
              </w:rPr>
            </w:pPr>
            <w:r>
              <w:rPr>
                <w:sz w:val="20"/>
              </w:rPr>
              <w:t>критерий:</w:t>
            </w:r>
            <w:r>
              <w:rPr>
                <w:spacing w:val="-13"/>
                <w:sz w:val="20"/>
              </w:rPr>
              <w:t> </w:t>
            </w:r>
            <w:r>
              <w:rPr>
                <w:spacing w:val="-5"/>
                <w:sz w:val="20"/>
              </w:rPr>
              <w:t>bt2</w:t>
            </w: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09" w:lineRule="exact"/>
              <w:ind w:left="219"/>
              <w:rPr>
                <w:sz w:val="20"/>
              </w:rPr>
            </w:pPr>
            <w:r>
              <w:rPr>
                <w:spacing w:val="-2"/>
                <w:sz w:val="20"/>
              </w:rPr>
              <w:t>ботулотоксина</w:t>
            </w:r>
          </w:p>
        </w:tc>
        <w:tc>
          <w:tcPr>
            <w:tcW w:w="4880" w:type="dxa"/>
          </w:tcPr>
          <w:p>
            <w:pPr>
              <w:pStyle w:val="TableParagraph"/>
              <w:spacing w:line="209" w:lineRule="exact"/>
              <w:ind w:left="259" w:right="589"/>
              <w:jc w:val="center"/>
              <w:rPr>
                <w:sz w:val="20"/>
              </w:rPr>
            </w:pPr>
            <w:r>
              <w:rPr>
                <w:sz w:val="20"/>
              </w:rPr>
              <w:t>G44.1,</w:t>
            </w:r>
            <w:r>
              <w:rPr>
                <w:spacing w:val="-4"/>
                <w:sz w:val="20"/>
              </w:rPr>
              <w:t> </w:t>
            </w:r>
            <w:r>
              <w:rPr>
                <w:sz w:val="20"/>
              </w:rPr>
              <w:t>G44.2,</w:t>
            </w:r>
            <w:r>
              <w:rPr>
                <w:spacing w:val="-5"/>
                <w:sz w:val="20"/>
              </w:rPr>
              <w:t> </w:t>
            </w:r>
            <w:r>
              <w:rPr>
                <w:sz w:val="20"/>
              </w:rPr>
              <w:t>G44.3,</w:t>
            </w:r>
            <w:r>
              <w:rPr>
                <w:spacing w:val="-3"/>
                <w:sz w:val="20"/>
              </w:rPr>
              <w:t> </w:t>
            </w:r>
            <w:r>
              <w:rPr>
                <w:sz w:val="20"/>
              </w:rPr>
              <w:t>G44.4,</w:t>
            </w:r>
            <w:r>
              <w:rPr>
                <w:spacing w:val="-6"/>
                <w:sz w:val="20"/>
              </w:rPr>
              <w:t> </w:t>
            </w:r>
            <w:r>
              <w:rPr>
                <w:sz w:val="20"/>
              </w:rPr>
              <w:t>G44.8,</w:t>
            </w:r>
            <w:r>
              <w:rPr>
                <w:spacing w:val="-2"/>
                <w:sz w:val="20"/>
              </w:rPr>
              <w:t> </w:t>
            </w:r>
            <w:r>
              <w:rPr>
                <w:sz w:val="20"/>
              </w:rPr>
              <w:t>G51.3,</w:t>
            </w:r>
            <w:r>
              <w:rPr>
                <w:spacing w:val="-5"/>
                <w:sz w:val="20"/>
              </w:rPr>
              <w:t> </w:t>
            </w:r>
            <w:r>
              <w:rPr>
                <w:spacing w:val="-4"/>
                <w:sz w:val="20"/>
              </w:rPr>
              <w:t>G80,</w:t>
            </w:r>
          </w:p>
        </w:tc>
        <w:tc>
          <w:tcPr>
            <w:tcW w:w="2590"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05" w:lineRule="exact"/>
              <w:ind w:left="219"/>
              <w:rPr>
                <w:sz w:val="20"/>
              </w:rPr>
            </w:pPr>
            <w:r>
              <w:rPr>
                <w:sz w:val="20"/>
              </w:rPr>
              <w:t>(уровень</w:t>
            </w:r>
            <w:r>
              <w:rPr>
                <w:spacing w:val="-10"/>
                <w:sz w:val="20"/>
              </w:rPr>
              <w:t> </w:t>
            </w:r>
            <w:r>
              <w:rPr>
                <w:spacing w:val="-5"/>
                <w:sz w:val="20"/>
              </w:rPr>
              <w:t>1)</w:t>
            </w:r>
          </w:p>
        </w:tc>
        <w:tc>
          <w:tcPr>
            <w:tcW w:w="4880" w:type="dxa"/>
          </w:tcPr>
          <w:p>
            <w:pPr>
              <w:pStyle w:val="TableParagraph"/>
              <w:spacing w:line="205" w:lineRule="exact"/>
              <w:ind w:left="259" w:right="587"/>
              <w:jc w:val="center"/>
              <w:rPr>
                <w:sz w:val="20"/>
              </w:rPr>
            </w:pPr>
            <w:r>
              <w:rPr>
                <w:sz w:val="20"/>
              </w:rPr>
              <w:t>G80.0,</w:t>
            </w:r>
            <w:r>
              <w:rPr>
                <w:spacing w:val="-4"/>
                <w:sz w:val="20"/>
              </w:rPr>
              <w:t> </w:t>
            </w:r>
            <w:r>
              <w:rPr>
                <w:sz w:val="20"/>
              </w:rPr>
              <w:t>G80.1,</w:t>
            </w:r>
            <w:r>
              <w:rPr>
                <w:spacing w:val="-5"/>
                <w:sz w:val="20"/>
              </w:rPr>
              <w:t> </w:t>
            </w:r>
            <w:r>
              <w:rPr>
                <w:sz w:val="20"/>
              </w:rPr>
              <w:t>G80.2,</w:t>
            </w:r>
            <w:r>
              <w:rPr>
                <w:spacing w:val="-3"/>
                <w:sz w:val="20"/>
              </w:rPr>
              <w:t> </w:t>
            </w:r>
            <w:r>
              <w:rPr>
                <w:sz w:val="20"/>
              </w:rPr>
              <w:t>G80.3,</w:t>
            </w:r>
            <w:r>
              <w:rPr>
                <w:spacing w:val="-5"/>
                <w:sz w:val="20"/>
              </w:rPr>
              <w:t> </w:t>
            </w:r>
            <w:r>
              <w:rPr>
                <w:sz w:val="20"/>
              </w:rPr>
              <w:t>G80.4,</w:t>
            </w:r>
            <w:r>
              <w:rPr>
                <w:spacing w:val="-2"/>
                <w:sz w:val="20"/>
              </w:rPr>
              <w:t> G80.8,</w:t>
            </w:r>
          </w:p>
        </w:tc>
        <w:tc>
          <w:tcPr>
            <w:tcW w:w="2590"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23"/>
        <w:gridCol w:w="4982"/>
        <w:gridCol w:w="2435"/>
        <w:gridCol w:w="2865"/>
        <w:gridCol w:w="836"/>
      </w:tblGrid>
      <w:tr>
        <w:trPr>
          <w:trHeight w:val="734" w:hRule="atLeast"/>
        </w:trPr>
        <w:tc>
          <w:tcPr>
            <w:tcW w:w="1003" w:type="dxa"/>
          </w:tcPr>
          <w:p>
            <w:pPr>
              <w:pStyle w:val="TableParagraph"/>
              <w:rPr>
                <w:sz w:val="18"/>
              </w:rPr>
            </w:pPr>
          </w:p>
        </w:tc>
        <w:tc>
          <w:tcPr>
            <w:tcW w:w="645" w:type="dxa"/>
          </w:tcPr>
          <w:p>
            <w:pPr>
              <w:pStyle w:val="TableParagraph"/>
              <w:rPr>
                <w:sz w:val="18"/>
              </w:rPr>
            </w:pPr>
          </w:p>
        </w:tc>
        <w:tc>
          <w:tcPr>
            <w:tcW w:w="2523" w:type="dxa"/>
          </w:tcPr>
          <w:p>
            <w:pPr>
              <w:pStyle w:val="TableParagraph"/>
              <w:rPr>
                <w:sz w:val="18"/>
              </w:rPr>
            </w:pPr>
          </w:p>
        </w:tc>
        <w:tc>
          <w:tcPr>
            <w:tcW w:w="4982" w:type="dxa"/>
          </w:tcPr>
          <w:p>
            <w:pPr>
              <w:pStyle w:val="TableParagraph"/>
              <w:spacing w:line="221" w:lineRule="exact"/>
              <w:ind w:left="205" w:right="739"/>
              <w:jc w:val="center"/>
              <w:rPr>
                <w:sz w:val="20"/>
              </w:rPr>
            </w:pPr>
            <w:r>
              <w:rPr>
                <w:sz w:val="20"/>
              </w:rPr>
              <w:t>G80.9,</w:t>
            </w:r>
            <w:r>
              <w:rPr>
                <w:spacing w:val="-4"/>
                <w:sz w:val="20"/>
              </w:rPr>
              <w:t> </w:t>
            </w:r>
            <w:r>
              <w:rPr>
                <w:sz w:val="20"/>
              </w:rPr>
              <w:t>G81.1,</w:t>
            </w:r>
            <w:r>
              <w:rPr>
                <w:spacing w:val="-5"/>
                <w:sz w:val="20"/>
              </w:rPr>
              <w:t> </w:t>
            </w:r>
            <w:r>
              <w:rPr>
                <w:sz w:val="20"/>
              </w:rPr>
              <w:t>G81.9,</w:t>
            </w:r>
            <w:r>
              <w:rPr>
                <w:spacing w:val="-3"/>
                <w:sz w:val="20"/>
              </w:rPr>
              <w:t> </w:t>
            </w:r>
            <w:r>
              <w:rPr>
                <w:sz w:val="20"/>
              </w:rPr>
              <w:t>G82.1,</w:t>
            </w:r>
            <w:r>
              <w:rPr>
                <w:spacing w:val="-6"/>
                <w:sz w:val="20"/>
              </w:rPr>
              <w:t> </w:t>
            </w:r>
            <w:r>
              <w:rPr>
                <w:sz w:val="20"/>
              </w:rPr>
              <w:t>G82.4,</w:t>
            </w:r>
            <w:r>
              <w:rPr>
                <w:spacing w:val="-2"/>
                <w:sz w:val="20"/>
              </w:rPr>
              <w:t> </w:t>
            </w:r>
            <w:r>
              <w:rPr>
                <w:sz w:val="20"/>
              </w:rPr>
              <w:t>G82.5,</w:t>
            </w:r>
            <w:r>
              <w:rPr>
                <w:spacing w:val="-5"/>
                <w:sz w:val="20"/>
              </w:rPr>
              <w:t> </w:t>
            </w:r>
            <w:r>
              <w:rPr>
                <w:spacing w:val="-2"/>
                <w:sz w:val="20"/>
              </w:rPr>
              <w:t>I69.0,</w:t>
            </w:r>
          </w:p>
          <w:p>
            <w:pPr>
              <w:pStyle w:val="TableParagraph"/>
              <w:ind w:left="205" w:right="737"/>
              <w:jc w:val="center"/>
              <w:rPr>
                <w:sz w:val="20"/>
              </w:rPr>
            </w:pPr>
            <w:r>
              <w:rPr>
                <w:sz w:val="20"/>
              </w:rPr>
              <w:t>I69.1,</w:t>
            </w:r>
            <w:r>
              <w:rPr>
                <w:spacing w:val="-6"/>
                <w:sz w:val="20"/>
              </w:rPr>
              <w:t> </w:t>
            </w:r>
            <w:r>
              <w:rPr>
                <w:sz w:val="20"/>
              </w:rPr>
              <w:t>I69.2,</w:t>
            </w:r>
            <w:r>
              <w:rPr>
                <w:spacing w:val="-7"/>
                <w:sz w:val="20"/>
              </w:rPr>
              <w:t> </w:t>
            </w:r>
            <w:r>
              <w:rPr>
                <w:sz w:val="20"/>
              </w:rPr>
              <w:t>I69.3,</w:t>
            </w:r>
            <w:r>
              <w:rPr>
                <w:spacing w:val="-6"/>
                <w:sz w:val="20"/>
              </w:rPr>
              <w:t> </w:t>
            </w:r>
            <w:r>
              <w:rPr>
                <w:sz w:val="20"/>
              </w:rPr>
              <w:t>I69.4,</w:t>
            </w:r>
            <w:r>
              <w:rPr>
                <w:spacing w:val="-6"/>
                <w:sz w:val="20"/>
              </w:rPr>
              <w:t> </w:t>
            </w:r>
            <w:r>
              <w:rPr>
                <w:sz w:val="20"/>
              </w:rPr>
              <w:t>I69.8,</w:t>
            </w:r>
            <w:r>
              <w:rPr>
                <w:spacing w:val="-7"/>
                <w:sz w:val="20"/>
              </w:rPr>
              <w:t> </w:t>
            </w:r>
            <w:r>
              <w:rPr>
                <w:sz w:val="20"/>
              </w:rPr>
              <w:t>T90.1,</w:t>
            </w:r>
            <w:r>
              <w:rPr>
                <w:spacing w:val="-7"/>
                <w:sz w:val="20"/>
              </w:rPr>
              <w:t> </w:t>
            </w:r>
            <w:r>
              <w:rPr>
                <w:sz w:val="20"/>
              </w:rPr>
              <w:t>T90.5, T90.8, T90.9</w:t>
            </w:r>
          </w:p>
        </w:tc>
        <w:tc>
          <w:tcPr>
            <w:tcW w:w="2435" w:type="dxa"/>
          </w:tcPr>
          <w:p>
            <w:pPr>
              <w:pStyle w:val="TableParagraph"/>
              <w:rPr>
                <w:sz w:val="18"/>
              </w:rPr>
            </w:pPr>
          </w:p>
        </w:tc>
        <w:tc>
          <w:tcPr>
            <w:tcW w:w="2865" w:type="dxa"/>
          </w:tcPr>
          <w:p>
            <w:pPr>
              <w:pStyle w:val="TableParagraph"/>
              <w:rPr>
                <w:sz w:val="18"/>
              </w:rPr>
            </w:pPr>
          </w:p>
        </w:tc>
        <w:tc>
          <w:tcPr>
            <w:tcW w:w="836" w:type="dxa"/>
          </w:tcPr>
          <w:p>
            <w:pPr>
              <w:pStyle w:val="TableParagraph"/>
              <w:rPr>
                <w:sz w:val="18"/>
              </w:rPr>
            </w:pPr>
          </w:p>
        </w:tc>
      </w:tr>
      <w:tr>
        <w:trPr>
          <w:trHeight w:val="1251" w:hRule="atLeast"/>
        </w:trPr>
        <w:tc>
          <w:tcPr>
            <w:tcW w:w="1003" w:type="dxa"/>
          </w:tcPr>
          <w:p>
            <w:pPr>
              <w:pStyle w:val="TableParagraph"/>
              <w:spacing w:before="46"/>
              <w:ind w:left="39" w:right="212"/>
              <w:jc w:val="center"/>
              <w:rPr>
                <w:sz w:val="20"/>
              </w:rPr>
            </w:pPr>
            <w:r>
              <w:rPr>
                <w:spacing w:val="-2"/>
                <w:sz w:val="20"/>
              </w:rPr>
              <w:t>ds15.003</w:t>
            </w:r>
          </w:p>
        </w:tc>
        <w:tc>
          <w:tcPr>
            <w:tcW w:w="645" w:type="dxa"/>
          </w:tcPr>
          <w:p>
            <w:pPr>
              <w:pStyle w:val="TableParagraph"/>
              <w:spacing w:before="46"/>
              <w:ind w:right="215"/>
              <w:jc w:val="right"/>
              <w:rPr>
                <w:sz w:val="20"/>
              </w:rPr>
            </w:pPr>
            <w:r>
              <w:rPr>
                <w:spacing w:val="-5"/>
                <w:sz w:val="20"/>
              </w:rPr>
              <w:t>44</w:t>
            </w:r>
          </w:p>
        </w:tc>
        <w:tc>
          <w:tcPr>
            <w:tcW w:w="2523" w:type="dxa"/>
          </w:tcPr>
          <w:p>
            <w:pPr>
              <w:pStyle w:val="TableParagraph"/>
              <w:spacing w:before="46"/>
              <w:ind w:left="219" w:right="336"/>
              <w:rPr>
                <w:sz w:val="20"/>
              </w:rPr>
            </w:pPr>
            <w:r>
              <w:rPr>
                <w:spacing w:val="-2"/>
                <w:sz w:val="20"/>
              </w:rPr>
              <w:t>Неврологические </w:t>
            </w:r>
            <w:r>
              <w:rPr>
                <w:sz w:val="20"/>
              </w:rPr>
              <w:t>заболевания,</w:t>
            </w:r>
            <w:r>
              <w:rPr>
                <w:spacing w:val="-13"/>
                <w:sz w:val="20"/>
              </w:rPr>
              <w:t> </w:t>
            </w:r>
            <w:r>
              <w:rPr>
                <w:sz w:val="20"/>
              </w:rPr>
              <w:t>лечение</w:t>
            </w:r>
            <w:r>
              <w:rPr>
                <w:spacing w:val="-12"/>
                <w:sz w:val="20"/>
              </w:rPr>
              <w:t> </w:t>
            </w:r>
            <w:r>
              <w:rPr>
                <w:sz w:val="20"/>
              </w:rPr>
              <w:t>с </w:t>
            </w:r>
            <w:r>
              <w:rPr>
                <w:spacing w:val="-2"/>
                <w:sz w:val="20"/>
              </w:rPr>
              <w:t>применением ботулотоксина </w:t>
            </w:r>
            <w:r>
              <w:rPr>
                <w:sz w:val="20"/>
              </w:rPr>
              <w:t>(уровень 2)</w:t>
            </w:r>
          </w:p>
        </w:tc>
        <w:tc>
          <w:tcPr>
            <w:tcW w:w="4982" w:type="dxa"/>
          </w:tcPr>
          <w:p>
            <w:pPr>
              <w:pStyle w:val="TableParagraph"/>
              <w:spacing w:before="46"/>
              <w:ind w:left="205" w:right="737"/>
              <w:jc w:val="center"/>
              <w:rPr>
                <w:sz w:val="20"/>
              </w:rPr>
            </w:pPr>
            <w:r>
              <w:rPr>
                <w:sz w:val="20"/>
              </w:rPr>
              <w:t>G20,</w:t>
            </w:r>
            <w:r>
              <w:rPr>
                <w:spacing w:val="-4"/>
                <w:sz w:val="20"/>
              </w:rPr>
              <w:t> </w:t>
            </w:r>
            <w:r>
              <w:rPr>
                <w:sz w:val="20"/>
              </w:rPr>
              <w:t>G23.0,</w:t>
            </w:r>
            <w:r>
              <w:rPr>
                <w:spacing w:val="-4"/>
                <w:sz w:val="20"/>
              </w:rPr>
              <w:t> </w:t>
            </w:r>
            <w:r>
              <w:rPr>
                <w:sz w:val="20"/>
              </w:rPr>
              <w:t>G24,</w:t>
            </w:r>
            <w:r>
              <w:rPr>
                <w:spacing w:val="-4"/>
                <w:sz w:val="20"/>
              </w:rPr>
              <w:t> </w:t>
            </w:r>
            <w:r>
              <w:rPr>
                <w:sz w:val="20"/>
              </w:rPr>
              <w:t>G24.0,</w:t>
            </w:r>
            <w:r>
              <w:rPr>
                <w:spacing w:val="-4"/>
                <w:sz w:val="20"/>
              </w:rPr>
              <w:t> </w:t>
            </w:r>
            <w:r>
              <w:rPr>
                <w:sz w:val="20"/>
              </w:rPr>
              <w:t>G24.1,</w:t>
            </w:r>
            <w:r>
              <w:rPr>
                <w:spacing w:val="-4"/>
                <w:sz w:val="20"/>
              </w:rPr>
              <w:t> </w:t>
            </w:r>
            <w:r>
              <w:rPr>
                <w:sz w:val="20"/>
              </w:rPr>
              <w:t>G24.2,</w:t>
            </w:r>
            <w:r>
              <w:rPr>
                <w:spacing w:val="-4"/>
                <w:sz w:val="20"/>
              </w:rPr>
              <w:t> </w:t>
            </w:r>
            <w:r>
              <w:rPr>
                <w:spacing w:val="-2"/>
                <w:sz w:val="20"/>
              </w:rPr>
              <w:t>G24.8,</w:t>
            </w:r>
          </w:p>
          <w:p>
            <w:pPr>
              <w:pStyle w:val="TableParagraph"/>
              <w:ind w:left="205" w:right="737"/>
              <w:jc w:val="center"/>
              <w:rPr>
                <w:sz w:val="20"/>
              </w:rPr>
            </w:pPr>
            <w:r>
              <w:rPr>
                <w:sz w:val="20"/>
              </w:rPr>
              <w:t>G24.9,</w:t>
            </w:r>
            <w:r>
              <w:rPr>
                <w:spacing w:val="-5"/>
                <w:sz w:val="20"/>
              </w:rPr>
              <w:t> </w:t>
            </w:r>
            <w:r>
              <w:rPr>
                <w:sz w:val="20"/>
              </w:rPr>
              <w:t>G35,</w:t>
            </w:r>
            <w:r>
              <w:rPr>
                <w:spacing w:val="-4"/>
                <w:sz w:val="20"/>
              </w:rPr>
              <w:t> </w:t>
            </w:r>
            <w:r>
              <w:rPr>
                <w:sz w:val="20"/>
              </w:rPr>
              <w:t>G51.3,</w:t>
            </w:r>
            <w:r>
              <w:rPr>
                <w:spacing w:val="-4"/>
                <w:sz w:val="20"/>
              </w:rPr>
              <w:t> </w:t>
            </w:r>
            <w:r>
              <w:rPr>
                <w:sz w:val="20"/>
              </w:rPr>
              <w:t>G80,</w:t>
            </w:r>
            <w:r>
              <w:rPr>
                <w:spacing w:val="-4"/>
                <w:sz w:val="20"/>
              </w:rPr>
              <w:t> </w:t>
            </w:r>
            <w:r>
              <w:rPr>
                <w:sz w:val="20"/>
              </w:rPr>
              <w:t>G80.0,</w:t>
            </w:r>
            <w:r>
              <w:rPr>
                <w:spacing w:val="-4"/>
                <w:sz w:val="20"/>
              </w:rPr>
              <w:t> </w:t>
            </w:r>
            <w:r>
              <w:rPr>
                <w:sz w:val="20"/>
              </w:rPr>
              <w:t>G80.1,</w:t>
            </w:r>
            <w:r>
              <w:rPr>
                <w:spacing w:val="-4"/>
                <w:sz w:val="20"/>
              </w:rPr>
              <w:t> </w:t>
            </w:r>
            <w:r>
              <w:rPr>
                <w:spacing w:val="-2"/>
                <w:sz w:val="20"/>
              </w:rPr>
              <w:t>G80.2,</w:t>
            </w:r>
          </w:p>
          <w:p>
            <w:pPr>
              <w:pStyle w:val="TableParagraph"/>
              <w:spacing w:line="229" w:lineRule="exact" w:before="1"/>
              <w:ind w:left="205" w:right="737"/>
              <w:jc w:val="center"/>
              <w:rPr>
                <w:sz w:val="20"/>
              </w:rPr>
            </w:pPr>
            <w:r>
              <w:rPr>
                <w:sz w:val="20"/>
              </w:rPr>
              <w:t>G80.3,</w:t>
            </w:r>
            <w:r>
              <w:rPr>
                <w:spacing w:val="-4"/>
                <w:sz w:val="20"/>
              </w:rPr>
              <w:t> </w:t>
            </w:r>
            <w:r>
              <w:rPr>
                <w:sz w:val="20"/>
              </w:rPr>
              <w:t>G80.4,</w:t>
            </w:r>
            <w:r>
              <w:rPr>
                <w:spacing w:val="-5"/>
                <w:sz w:val="20"/>
              </w:rPr>
              <w:t> </w:t>
            </w:r>
            <w:r>
              <w:rPr>
                <w:sz w:val="20"/>
              </w:rPr>
              <w:t>G80.8,</w:t>
            </w:r>
            <w:r>
              <w:rPr>
                <w:spacing w:val="-3"/>
                <w:sz w:val="20"/>
              </w:rPr>
              <w:t> </w:t>
            </w:r>
            <w:r>
              <w:rPr>
                <w:sz w:val="20"/>
              </w:rPr>
              <w:t>G80.9,</w:t>
            </w:r>
            <w:r>
              <w:rPr>
                <w:spacing w:val="-5"/>
                <w:sz w:val="20"/>
              </w:rPr>
              <w:t> </w:t>
            </w:r>
            <w:r>
              <w:rPr>
                <w:sz w:val="20"/>
              </w:rPr>
              <w:t>G81.1,</w:t>
            </w:r>
            <w:r>
              <w:rPr>
                <w:spacing w:val="-2"/>
                <w:sz w:val="20"/>
              </w:rPr>
              <w:t> G81.9,</w:t>
            </w:r>
          </w:p>
          <w:p>
            <w:pPr>
              <w:pStyle w:val="TableParagraph"/>
              <w:spacing w:line="229" w:lineRule="exact"/>
              <w:ind w:left="204" w:right="739"/>
              <w:jc w:val="center"/>
              <w:rPr>
                <w:sz w:val="20"/>
              </w:rPr>
            </w:pPr>
            <w:r>
              <w:rPr>
                <w:sz w:val="20"/>
              </w:rPr>
              <w:t>G82.1,</w:t>
            </w:r>
            <w:r>
              <w:rPr>
                <w:spacing w:val="-4"/>
                <w:sz w:val="20"/>
              </w:rPr>
              <w:t> </w:t>
            </w:r>
            <w:r>
              <w:rPr>
                <w:sz w:val="20"/>
              </w:rPr>
              <w:t>G82.4,</w:t>
            </w:r>
            <w:r>
              <w:rPr>
                <w:spacing w:val="-5"/>
                <w:sz w:val="20"/>
              </w:rPr>
              <w:t> </w:t>
            </w:r>
            <w:r>
              <w:rPr>
                <w:sz w:val="20"/>
              </w:rPr>
              <w:t>G82.5,</w:t>
            </w:r>
            <w:r>
              <w:rPr>
                <w:spacing w:val="-3"/>
                <w:sz w:val="20"/>
              </w:rPr>
              <w:t> </w:t>
            </w:r>
            <w:r>
              <w:rPr>
                <w:sz w:val="20"/>
              </w:rPr>
              <w:t>I69.0,</w:t>
            </w:r>
            <w:r>
              <w:rPr>
                <w:spacing w:val="-5"/>
                <w:sz w:val="20"/>
              </w:rPr>
              <w:t> </w:t>
            </w:r>
            <w:r>
              <w:rPr>
                <w:sz w:val="20"/>
              </w:rPr>
              <w:t>I69.1,</w:t>
            </w:r>
            <w:r>
              <w:rPr>
                <w:spacing w:val="-6"/>
                <w:sz w:val="20"/>
              </w:rPr>
              <w:t> </w:t>
            </w:r>
            <w:r>
              <w:rPr>
                <w:sz w:val="20"/>
              </w:rPr>
              <w:t>I69.2,</w:t>
            </w:r>
            <w:r>
              <w:rPr>
                <w:spacing w:val="-4"/>
                <w:sz w:val="20"/>
              </w:rPr>
              <w:t> </w:t>
            </w:r>
            <w:r>
              <w:rPr>
                <w:spacing w:val="-2"/>
                <w:sz w:val="20"/>
              </w:rPr>
              <w:t>I69.3,</w:t>
            </w:r>
          </w:p>
          <w:p>
            <w:pPr>
              <w:pStyle w:val="TableParagraph"/>
              <w:spacing w:before="1"/>
              <w:ind w:left="204" w:right="739"/>
              <w:jc w:val="center"/>
              <w:rPr>
                <w:sz w:val="20"/>
              </w:rPr>
            </w:pPr>
            <w:r>
              <w:rPr>
                <w:sz w:val="20"/>
              </w:rPr>
              <w:t>I69.4,</w:t>
            </w:r>
            <w:r>
              <w:rPr>
                <w:spacing w:val="-4"/>
                <w:sz w:val="20"/>
              </w:rPr>
              <w:t> </w:t>
            </w:r>
            <w:r>
              <w:rPr>
                <w:sz w:val="20"/>
              </w:rPr>
              <w:t>I69.8,</w:t>
            </w:r>
            <w:r>
              <w:rPr>
                <w:spacing w:val="-6"/>
                <w:sz w:val="20"/>
              </w:rPr>
              <w:t> </w:t>
            </w:r>
            <w:r>
              <w:rPr>
                <w:sz w:val="20"/>
              </w:rPr>
              <w:t>T90.1,</w:t>
            </w:r>
            <w:r>
              <w:rPr>
                <w:spacing w:val="-5"/>
                <w:sz w:val="20"/>
              </w:rPr>
              <w:t> </w:t>
            </w:r>
            <w:r>
              <w:rPr>
                <w:sz w:val="20"/>
              </w:rPr>
              <w:t>T90.5,</w:t>
            </w:r>
            <w:r>
              <w:rPr>
                <w:spacing w:val="-8"/>
                <w:sz w:val="20"/>
              </w:rPr>
              <w:t> </w:t>
            </w:r>
            <w:r>
              <w:rPr>
                <w:sz w:val="20"/>
              </w:rPr>
              <w:t>T90.8,</w:t>
            </w:r>
            <w:r>
              <w:rPr>
                <w:spacing w:val="-5"/>
                <w:sz w:val="20"/>
              </w:rPr>
              <w:t> </w:t>
            </w:r>
            <w:r>
              <w:rPr>
                <w:spacing w:val="-4"/>
                <w:sz w:val="20"/>
              </w:rPr>
              <w:t>T90.9</w:t>
            </w:r>
          </w:p>
        </w:tc>
        <w:tc>
          <w:tcPr>
            <w:tcW w:w="2435" w:type="dxa"/>
          </w:tcPr>
          <w:p>
            <w:pPr>
              <w:pStyle w:val="TableParagraph"/>
              <w:spacing w:before="46"/>
              <w:ind w:left="468" w:right="659"/>
              <w:jc w:val="center"/>
              <w:rPr>
                <w:sz w:val="20"/>
              </w:rPr>
            </w:pPr>
            <w:r>
              <w:rPr>
                <w:spacing w:val="-2"/>
                <w:sz w:val="20"/>
              </w:rPr>
              <w:t>A25.24.001.002</w:t>
            </w:r>
          </w:p>
        </w:tc>
        <w:tc>
          <w:tcPr>
            <w:tcW w:w="2865" w:type="dxa"/>
          </w:tcPr>
          <w:p>
            <w:pPr>
              <w:pStyle w:val="TableParagraph"/>
              <w:spacing w:before="46"/>
              <w:ind w:left="675" w:right="429" w:hanging="2"/>
              <w:jc w:val="center"/>
              <w:rPr>
                <w:sz w:val="20"/>
              </w:rPr>
            </w:pPr>
            <w:r>
              <w:rPr>
                <w:spacing w:val="-4"/>
                <w:sz w:val="20"/>
              </w:rPr>
              <w:t>Иной </w:t>
            </w:r>
            <w:r>
              <w:rPr>
                <w:spacing w:val="-2"/>
                <w:sz w:val="20"/>
              </w:rPr>
              <w:t>классификационный </w:t>
            </w:r>
            <w:r>
              <w:rPr>
                <w:sz w:val="20"/>
              </w:rPr>
              <w:t>критерий: bt1</w:t>
            </w:r>
          </w:p>
        </w:tc>
        <w:tc>
          <w:tcPr>
            <w:tcW w:w="836" w:type="dxa"/>
          </w:tcPr>
          <w:p>
            <w:pPr>
              <w:pStyle w:val="TableParagraph"/>
              <w:spacing w:before="46"/>
              <w:ind w:right="42"/>
              <w:jc w:val="right"/>
              <w:rPr>
                <w:sz w:val="20"/>
              </w:rPr>
            </w:pPr>
            <w:r>
              <w:rPr>
                <w:spacing w:val="-4"/>
                <w:sz w:val="20"/>
              </w:rPr>
              <w:t>2,89</w:t>
            </w:r>
          </w:p>
        </w:tc>
      </w:tr>
      <w:tr>
        <w:trPr>
          <w:trHeight w:val="330" w:hRule="atLeast"/>
        </w:trPr>
        <w:tc>
          <w:tcPr>
            <w:tcW w:w="1003" w:type="dxa"/>
          </w:tcPr>
          <w:p>
            <w:pPr>
              <w:pStyle w:val="TableParagraph"/>
              <w:spacing w:before="46"/>
              <w:ind w:left="39" w:right="211"/>
              <w:jc w:val="center"/>
              <w:rPr>
                <w:sz w:val="20"/>
              </w:rPr>
            </w:pPr>
            <w:r>
              <w:rPr>
                <w:spacing w:val="-4"/>
                <w:sz w:val="20"/>
              </w:rPr>
              <w:t>ds16</w:t>
            </w:r>
          </w:p>
        </w:tc>
        <w:tc>
          <w:tcPr>
            <w:tcW w:w="645" w:type="dxa"/>
          </w:tcPr>
          <w:p>
            <w:pPr>
              <w:pStyle w:val="TableParagraph"/>
              <w:spacing w:before="46"/>
              <w:ind w:right="215"/>
              <w:jc w:val="right"/>
              <w:rPr>
                <w:sz w:val="20"/>
              </w:rPr>
            </w:pPr>
            <w:r>
              <w:rPr>
                <w:spacing w:val="-5"/>
                <w:sz w:val="20"/>
              </w:rPr>
              <w:t>16</w:t>
            </w:r>
          </w:p>
        </w:tc>
        <w:tc>
          <w:tcPr>
            <w:tcW w:w="2523" w:type="dxa"/>
          </w:tcPr>
          <w:p>
            <w:pPr>
              <w:pStyle w:val="TableParagraph"/>
              <w:rPr>
                <w:sz w:val="18"/>
              </w:rPr>
            </w:pPr>
          </w:p>
        </w:tc>
        <w:tc>
          <w:tcPr>
            <w:tcW w:w="4982" w:type="dxa"/>
          </w:tcPr>
          <w:p>
            <w:pPr>
              <w:pStyle w:val="TableParagraph"/>
              <w:spacing w:before="46"/>
              <w:ind w:left="3185"/>
              <w:rPr>
                <w:sz w:val="20"/>
              </w:rPr>
            </w:pPr>
            <w:r>
              <w:rPr>
                <w:spacing w:val="-2"/>
                <w:sz w:val="20"/>
              </w:rPr>
              <w:t>Нейрохирургия</w:t>
            </w:r>
          </w:p>
        </w:tc>
        <w:tc>
          <w:tcPr>
            <w:tcW w:w="2435" w:type="dxa"/>
          </w:tcPr>
          <w:p>
            <w:pPr>
              <w:pStyle w:val="TableParagraph"/>
              <w:rPr>
                <w:sz w:val="18"/>
              </w:rPr>
            </w:pPr>
          </w:p>
        </w:tc>
        <w:tc>
          <w:tcPr>
            <w:tcW w:w="2865" w:type="dxa"/>
          </w:tcPr>
          <w:p>
            <w:pPr>
              <w:pStyle w:val="TableParagraph"/>
              <w:rPr>
                <w:sz w:val="18"/>
              </w:rPr>
            </w:pPr>
          </w:p>
        </w:tc>
        <w:tc>
          <w:tcPr>
            <w:tcW w:w="836" w:type="dxa"/>
          </w:tcPr>
          <w:p>
            <w:pPr>
              <w:pStyle w:val="TableParagraph"/>
              <w:spacing w:before="46"/>
              <w:ind w:right="42"/>
              <w:jc w:val="right"/>
              <w:rPr>
                <w:sz w:val="20"/>
              </w:rPr>
            </w:pPr>
            <w:r>
              <w:rPr>
                <w:spacing w:val="-4"/>
                <w:sz w:val="20"/>
              </w:rPr>
              <w:t>1,06</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ds16.001</w:t>
            </w:r>
          </w:p>
        </w:tc>
        <w:tc>
          <w:tcPr>
            <w:tcW w:w="645" w:type="dxa"/>
          </w:tcPr>
          <w:p>
            <w:pPr>
              <w:pStyle w:val="TableParagraph"/>
              <w:spacing w:line="215" w:lineRule="exact" w:before="45"/>
              <w:ind w:right="215"/>
              <w:jc w:val="right"/>
              <w:rPr>
                <w:sz w:val="20"/>
              </w:rPr>
            </w:pPr>
            <w:r>
              <w:rPr>
                <w:spacing w:val="-5"/>
                <w:sz w:val="20"/>
              </w:rPr>
              <w:t>45</w:t>
            </w:r>
          </w:p>
        </w:tc>
        <w:tc>
          <w:tcPr>
            <w:tcW w:w="2523" w:type="dxa"/>
          </w:tcPr>
          <w:p>
            <w:pPr>
              <w:pStyle w:val="TableParagraph"/>
              <w:spacing w:line="215" w:lineRule="exact" w:before="45"/>
              <w:ind w:left="219"/>
              <w:rPr>
                <w:sz w:val="20"/>
              </w:rPr>
            </w:pPr>
            <w:r>
              <w:rPr>
                <w:sz w:val="20"/>
              </w:rPr>
              <w:t>Болезни</w:t>
            </w:r>
            <w:r>
              <w:rPr>
                <w:spacing w:val="-5"/>
                <w:sz w:val="20"/>
              </w:rPr>
              <w:t> </w:t>
            </w:r>
            <w:r>
              <w:rPr>
                <w:sz w:val="20"/>
              </w:rPr>
              <w:t>и</w:t>
            </w:r>
            <w:r>
              <w:rPr>
                <w:spacing w:val="-6"/>
                <w:sz w:val="20"/>
              </w:rPr>
              <w:t> </w:t>
            </w:r>
            <w:r>
              <w:rPr>
                <w:spacing w:val="-2"/>
                <w:sz w:val="20"/>
              </w:rPr>
              <w:t>травмы</w:t>
            </w:r>
          </w:p>
        </w:tc>
        <w:tc>
          <w:tcPr>
            <w:tcW w:w="4982" w:type="dxa"/>
          </w:tcPr>
          <w:p>
            <w:pPr>
              <w:pStyle w:val="TableParagraph"/>
              <w:spacing w:line="215" w:lineRule="exact" w:before="45"/>
              <w:ind w:left="317"/>
              <w:rPr>
                <w:sz w:val="20"/>
              </w:rPr>
            </w:pPr>
            <w:r>
              <w:rPr>
                <w:sz w:val="20"/>
              </w:rPr>
              <w:t>D32,</w:t>
            </w:r>
            <w:r>
              <w:rPr>
                <w:spacing w:val="-5"/>
                <w:sz w:val="20"/>
              </w:rPr>
              <w:t> </w:t>
            </w:r>
            <w:r>
              <w:rPr>
                <w:sz w:val="20"/>
              </w:rPr>
              <w:t>D32.0,</w:t>
            </w:r>
            <w:r>
              <w:rPr>
                <w:spacing w:val="-5"/>
                <w:sz w:val="20"/>
              </w:rPr>
              <w:t> </w:t>
            </w:r>
            <w:r>
              <w:rPr>
                <w:sz w:val="20"/>
              </w:rPr>
              <w:t>D32.1,</w:t>
            </w:r>
            <w:r>
              <w:rPr>
                <w:spacing w:val="-5"/>
                <w:sz w:val="20"/>
              </w:rPr>
              <w:t> </w:t>
            </w:r>
            <w:r>
              <w:rPr>
                <w:sz w:val="20"/>
              </w:rPr>
              <w:t>D32.9,</w:t>
            </w:r>
            <w:r>
              <w:rPr>
                <w:spacing w:val="-5"/>
                <w:sz w:val="20"/>
              </w:rPr>
              <w:t> </w:t>
            </w:r>
            <w:r>
              <w:rPr>
                <w:sz w:val="20"/>
              </w:rPr>
              <w:t>D33,</w:t>
            </w:r>
            <w:r>
              <w:rPr>
                <w:spacing w:val="-5"/>
                <w:sz w:val="20"/>
              </w:rPr>
              <w:t> </w:t>
            </w:r>
            <w:r>
              <w:rPr>
                <w:sz w:val="20"/>
              </w:rPr>
              <w:t>D33.0,</w:t>
            </w:r>
            <w:r>
              <w:rPr>
                <w:spacing w:val="-5"/>
                <w:sz w:val="20"/>
              </w:rPr>
              <w:t> </w:t>
            </w:r>
            <w:r>
              <w:rPr>
                <w:spacing w:val="-2"/>
                <w:sz w:val="20"/>
              </w:rPr>
              <w:t>D33.1,</w:t>
            </w:r>
          </w:p>
        </w:tc>
        <w:tc>
          <w:tcPr>
            <w:tcW w:w="2435" w:type="dxa"/>
          </w:tcPr>
          <w:p>
            <w:pPr>
              <w:pStyle w:val="TableParagraph"/>
              <w:spacing w:line="215" w:lineRule="exact" w:before="45"/>
              <w:ind w:right="189"/>
              <w:jc w:val="center"/>
              <w:rPr>
                <w:sz w:val="20"/>
              </w:rPr>
            </w:pPr>
            <w:r>
              <w:rPr>
                <w:w w:val="99"/>
                <w:sz w:val="20"/>
              </w:rPr>
              <w:t>-</w:t>
            </w:r>
          </w:p>
        </w:tc>
        <w:tc>
          <w:tcPr>
            <w:tcW w:w="2865" w:type="dxa"/>
          </w:tcPr>
          <w:p>
            <w:pPr>
              <w:pStyle w:val="TableParagraph"/>
              <w:spacing w:line="215" w:lineRule="exact" w:before="45"/>
              <w:ind w:left="241"/>
              <w:jc w:val="center"/>
              <w:rPr>
                <w:sz w:val="20"/>
              </w:rPr>
            </w:pPr>
            <w:r>
              <w:rPr>
                <w:w w:val="99"/>
                <w:sz w:val="20"/>
              </w:rPr>
              <w:t>-</w:t>
            </w:r>
          </w:p>
        </w:tc>
        <w:tc>
          <w:tcPr>
            <w:tcW w:w="836" w:type="dxa"/>
          </w:tcPr>
          <w:p>
            <w:pPr>
              <w:pStyle w:val="TableParagraph"/>
              <w:spacing w:line="215" w:lineRule="exact" w:before="45"/>
              <w:ind w:right="42"/>
              <w:jc w:val="right"/>
              <w:rPr>
                <w:sz w:val="20"/>
              </w:rPr>
            </w:pPr>
            <w:r>
              <w:rPr>
                <w:spacing w:val="-4"/>
                <w:sz w:val="20"/>
              </w:rPr>
              <w:t>0,94</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10" w:lineRule="exact"/>
              <w:ind w:left="219"/>
              <w:rPr>
                <w:sz w:val="20"/>
              </w:rPr>
            </w:pPr>
            <w:r>
              <w:rPr>
                <w:spacing w:val="-2"/>
                <w:sz w:val="20"/>
              </w:rPr>
              <w:t>позвоночника,</w:t>
            </w:r>
            <w:r>
              <w:rPr>
                <w:spacing w:val="9"/>
                <w:sz w:val="20"/>
              </w:rPr>
              <w:t> </w:t>
            </w:r>
            <w:r>
              <w:rPr>
                <w:spacing w:val="-2"/>
                <w:sz w:val="20"/>
              </w:rPr>
              <w:t>спинного</w:t>
            </w:r>
          </w:p>
        </w:tc>
        <w:tc>
          <w:tcPr>
            <w:tcW w:w="4982" w:type="dxa"/>
          </w:tcPr>
          <w:p>
            <w:pPr>
              <w:pStyle w:val="TableParagraph"/>
              <w:spacing w:line="210" w:lineRule="exact"/>
              <w:ind w:left="464"/>
              <w:rPr>
                <w:sz w:val="20"/>
              </w:rPr>
            </w:pPr>
            <w:r>
              <w:rPr>
                <w:sz w:val="20"/>
              </w:rPr>
              <w:t>D33.2,</w:t>
            </w:r>
            <w:r>
              <w:rPr>
                <w:spacing w:val="-4"/>
                <w:sz w:val="20"/>
              </w:rPr>
              <w:t> </w:t>
            </w:r>
            <w:r>
              <w:rPr>
                <w:sz w:val="20"/>
              </w:rPr>
              <w:t>D33.3,</w:t>
            </w:r>
            <w:r>
              <w:rPr>
                <w:spacing w:val="-6"/>
                <w:sz w:val="20"/>
              </w:rPr>
              <w:t> </w:t>
            </w:r>
            <w:r>
              <w:rPr>
                <w:sz w:val="20"/>
              </w:rPr>
              <w:t>D33.4,</w:t>
            </w:r>
            <w:r>
              <w:rPr>
                <w:spacing w:val="-4"/>
                <w:sz w:val="20"/>
              </w:rPr>
              <w:t> </w:t>
            </w:r>
            <w:r>
              <w:rPr>
                <w:sz w:val="20"/>
              </w:rPr>
              <w:t>D33.7,</w:t>
            </w:r>
            <w:r>
              <w:rPr>
                <w:spacing w:val="-6"/>
                <w:sz w:val="20"/>
              </w:rPr>
              <w:t> </w:t>
            </w:r>
            <w:r>
              <w:rPr>
                <w:sz w:val="20"/>
              </w:rPr>
              <w:t>D33.9,</w:t>
            </w:r>
            <w:r>
              <w:rPr>
                <w:spacing w:val="-4"/>
                <w:sz w:val="20"/>
              </w:rPr>
              <w:t> </w:t>
            </w:r>
            <w:r>
              <w:rPr>
                <w:spacing w:val="-2"/>
                <w:sz w:val="20"/>
              </w:rPr>
              <w:t>D35.4,</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10" w:lineRule="exact"/>
              <w:ind w:left="219"/>
              <w:rPr>
                <w:sz w:val="20"/>
              </w:rPr>
            </w:pPr>
            <w:r>
              <w:rPr>
                <w:sz w:val="20"/>
              </w:rPr>
              <w:t>мозга,</w:t>
            </w:r>
            <w:r>
              <w:rPr>
                <w:spacing w:val="-4"/>
                <w:sz w:val="20"/>
              </w:rPr>
              <w:t> </w:t>
            </w:r>
            <w:r>
              <w:rPr>
                <w:spacing w:val="-2"/>
                <w:sz w:val="20"/>
              </w:rPr>
              <w:t>последствия</w:t>
            </w:r>
          </w:p>
        </w:tc>
        <w:tc>
          <w:tcPr>
            <w:tcW w:w="4982" w:type="dxa"/>
          </w:tcPr>
          <w:p>
            <w:pPr>
              <w:pStyle w:val="TableParagraph"/>
              <w:spacing w:line="210" w:lineRule="exact"/>
              <w:ind w:left="317"/>
              <w:rPr>
                <w:sz w:val="20"/>
              </w:rPr>
            </w:pPr>
            <w:r>
              <w:rPr>
                <w:sz w:val="20"/>
              </w:rPr>
              <w:t>D35.5,</w:t>
            </w:r>
            <w:r>
              <w:rPr>
                <w:spacing w:val="-6"/>
                <w:sz w:val="20"/>
              </w:rPr>
              <w:t> </w:t>
            </w:r>
            <w:r>
              <w:rPr>
                <w:sz w:val="20"/>
              </w:rPr>
              <w:t>D35.6,</w:t>
            </w:r>
            <w:r>
              <w:rPr>
                <w:spacing w:val="-7"/>
                <w:sz w:val="20"/>
              </w:rPr>
              <w:t> </w:t>
            </w:r>
            <w:r>
              <w:rPr>
                <w:sz w:val="20"/>
              </w:rPr>
              <w:t>D42,</w:t>
            </w:r>
            <w:r>
              <w:rPr>
                <w:spacing w:val="-5"/>
                <w:sz w:val="20"/>
              </w:rPr>
              <w:t> </w:t>
            </w:r>
            <w:r>
              <w:rPr>
                <w:sz w:val="20"/>
              </w:rPr>
              <w:t>D42.0,</w:t>
            </w:r>
            <w:r>
              <w:rPr>
                <w:spacing w:val="-5"/>
                <w:sz w:val="20"/>
              </w:rPr>
              <w:t> </w:t>
            </w:r>
            <w:r>
              <w:rPr>
                <w:sz w:val="20"/>
              </w:rPr>
              <w:t>D42.1,</w:t>
            </w:r>
            <w:r>
              <w:rPr>
                <w:spacing w:val="-5"/>
                <w:sz w:val="20"/>
              </w:rPr>
              <w:t> </w:t>
            </w:r>
            <w:r>
              <w:rPr>
                <w:sz w:val="20"/>
              </w:rPr>
              <w:t>D42.9,</w:t>
            </w:r>
            <w:r>
              <w:rPr>
                <w:spacing w:val="-6"/>
                <w:sz w:val="20"/>
              </w:rPr>
              <w:t> </w:t>
            </w:r>
            <w:r>
              <w:rPr>
                <w:spacing w:val="-4"/>
                <w:sz w:val="20"/>
              </w:rPr>
              <w:t>D43,</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10" w:lineRule="exact"/>
              <w:ind w:left="219"/>
              <w:rPr>
                <w:sz w:val="20"/>
              </w:rPr>
            </w:pPr>
            <w:r>
              <w:rPr>
                <w:w w:val="95"/>
                <w:sz w:val="20"/>
              </w:rPr>
              <w:t>внутричерепной</w:t>
            </w:r>
            <w:r>
              <w:rPr>
                <w:spacing w:val="52"/>
                <w:sz w:val="20"/>
              </w:rPr>
              <w:t> </w:t>
            </w:r>
            <w:r>
              <w:rPr>
                <w:spacing w:val="-2"/>
                <w:sz w:val="20"/>
              </w:rPr>
              <w:t>травмы,</w:t>
            </w:r>
          </w:p>
        </w:tc>
        <w:tc>
          <w:tcPr>
            <w:tcW w:w="4982" w:type="dxa"/>
          </w:tcPr>
          <w:p>
            <w:pPr>
              <w:pStyle w:val="TableParagraph"/>
              <w:spacing w:line="210" w:lineRule="exact"/>
              <w:ind w:left="464"/>
              <w:rPr>
                <w:sz w:val="20"/>
              </w:rPr>
            </w:pPr>
            <w:r>
              <w:rPr>
                <w:sz w:val="20"/>
              </w:rPr>
              <w:t>D43.0,</w:t>
            </w:r>
            <w:r>
              <w:rPr>
                <w:spacing w:val="-4"/>
                <w:sz w:val="20"/>
              </w:rPr>
              <w:t> </w:t>
            </w:r>
            <w:r>
              <w:rPr>
                <w:sz w:val="20"/>
              </w:rPr>
              <w:t>D43.1,</w:t>
            </w:r>
            <w:r>
              <w:rPr>
                <w:spacing w:val="-6"/>
                <w:sz w:val="20"/>
              </w:rPr>
              <w:t> </w:t>
            </w:r>
            <w:r>
              <w:rPr>
                <w:sz w:val="20"/>
              </w:rPr>
              <w:t>D43.2,</w:t>
            </w:r>
            <w:r>
              <w:rPr>
                <w:spacing w:val="-4"/>
                <w:sz w:val="20"/>
              </w:rPr>
              <w:t> </w:t>
            </w:r>
            <w:r>
              <w:rPr>
                <w:sz w:val="20"/>
              </w:rPr>
              <w:t>D43.3,</w:t>
            </w:r>
            <w:r>
              <w:rPr>
                <w:spacing w:val="-5"/>
                <w:sz w:val="20"/>
              </w:rPr>
              <w:t> </w:t>
            </w:r>
            <w:r>
              <w:rPr>
                <w:sz w:val="20"/>
              </w:rPr>
              <w:t>D43.4, </w:t>
            </w:r>
            <w:r>
              <w:rPr>
                <w:spacing w:val="-2"/>
                <w:sz w:val="20"/>
              </w:rPr>
              <w:t>D43.7,</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09" w:lineRule="exact"/>
              <w:ind w:left="219"/>
              <w:rPr>
                <w:sz w:val="20"/>
              </w:rPr>
            </w:pPr>
            <w:r>
              <w:rPr>
                <w:sz w:val="20"/>
              </w:rPr>
              <w:t>сотрясение</w:t>
            </w:r>
            <w:r>
              <w:rPr>
                <w:spacing w:val="-12"/>
                <w:sz w:val="20"/>
              </w:rPr>
              <w:t> </w:t>
            </w:r>
            <w:r>
              <w:rPr>
                <w:spacing w:val="-2"/>
                <w:sz w:val="20"/>
              </w:rPr>
              <w:t>головного</w:t>
            </w:r>
          </w:p>
        </w:tc>
        <w:tc>
          <w:tcPr>
            <w:tcW w:w="4982" w:type="dxa"/>
          </w:tcPr>
          <w:p>
            <w:pPr>
              <w:pStyle w:val="TableParagraph"/>
              <w:spacing w:line="209" w:lineRule="exact"/>
              <w:ind w:left="473"/>
              <w:rPr>
                <w:sz w:val="20"/>
              </w:rPr>
            </w:pPr>
            <w:r>
              <w:rPr>
                <w:sz w:val="20"/>
              </w:rPr>
              <w:t>D43.9,</w:t>
            </w:r>
            <w:r>
              <w:rPr>
                <w:spacing w:val="-4"/>
                <w:sz w:val="20"/>
              </w:rPr>
              <w:t> </w:t>
            </w:r>
            <w:r>
              <w:rPr>
                <w:sz w:val="20"/>
              </w:rPr>
              <w:t>D48.2,</w:t>
            </w:r>
            <w:r>
              <w:rPr>
                <w:spacing w:val="-6"/>
                <w:sz w:val="20"/>
              </w:rPr>
              <w:t> </w:t>
            </w:r>
            <w:r>
              <w:rPr>
                <w:sz w:val="20"/>
              </w:rPr>
              <w:t>M40,</w:t>
            </w:r>
            <w:r>
              <w:rPr>
                <w:spacing w:val="-4"/>
                <w:sz w:val="20"/>
              </w:rPr>
              <w:t> </w:t>
            </w:r>
            <w:r>
              <w:rPr>
                <w:sz w:val="20"/>
              </w:rPr>
              <w:t>M40.0,</w:t>
            </w:r>
            <w:r>
              <w:rPr>
                <w:spacing w:val="-5"/>
                <w:sz w:val="20"/>
              </w:rPr>
              <w:t> </w:t>
            </w:r>
            <w:r>
              <w:rPr>
                <w:sz w:val="20"/>
              </w:rPr>
              <w:t>M40.1,</w:t>
            </w:r>
            <w:r>
              <w:rPr>
                <w:spacing w:val="-4"/>
                <w:sz w:val="20"/>
              </w:rPr>
              <w:t> </w:t>
            </w:r>
            <w:r>
              <w:rPr>
                <w:spacing w:val="-2"/>
                <w:sz w:val="20"/>
              </w:rPr>
              <w:t>M40.2,</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09" w:lineRule="exact"/>
              <w:ind w:left="219"/>
              <w:rPr>
                <w:sz w:val="20"/>
              </w:rPr>
            </w:pPr>
            <w:r>
              <w:rPr>
                <w:spacing w:val="-2"/>
                <w:sz w:val="20"/>
              </w:rPr>
              <w:t>мозга</w:t>
            </w:r>
          </w:p>
        </w:tc>
        <w:tc>
          <w:tcPr>
            <w:tcW w:w="4982" w:type="dxa"/>
          </w:tcPr>
          <w:p>
            <w:pPr>
              <w:pStyle w:val="TableParagraph"/>
              <w:spacing w:line="209" w:lineRule="exact"/>
              <w:ind w:left="439"/>
              <w:rPr>
                <w:sz w:val="20"/>
              </w:rPr>
            </w:pPr>
            <w:r>
              <w:rPr>
                <w:sz w:val="20"/>
              </w:rPr>
              <w:t>M40.3,</w:t>
            </w:r>
            <w:r>
              <w:rPr>
                <w:spacing w:val="-5"/>
                <w:sz w:val="20"/>
              </w:rPr>
              <w:t> </w:t>
            </w:r>
            <w:r>
              <w:rPr>
                <w:sz w:val="20"/>
              </w:rPr>
              <w:t>M40.4,</w:t>
            </w:r>
            <w:r>
              <w:rPr>
                <w:spacing w:val="-5"/>
                <w:sz w:val="20"/>
              </w:rPr>
              <w:t> </w:t>
            </w:r>
            <w:r>
              <w:rPr>
                <w:sz w:val="20"/>
              </w:rPr>
              <w:t>M40.5,</w:t>
            </w:r>
            <w:r>
              <w:rPr>
                <w:spacing w:val="-4"/>
                <w:sz w:val="20"/>
              </w:rPr>
              <w:t> </w:t>
            </w:r>
            <w:r>
              <w:rPr>
                <w:sz w:val="20"/>
              </w:rPr>
              <w:t>M41,</w:t>
            </w:r>
            <w:r>
              <w:rPr>
                <w:spacing w:val="-6"/>
                <w:sz w:val="20"/>
              </w:rPr>
              <w:t> </w:t>
            </w:r>
            <w:r>
              <w:rPr>
                <w:sz w:val="20"/>
              </w:rPr>
              <w:t>M41.0,</w:t>
            </w:r>
            <w:r>
              <w:rPr>
                <w:spacing w:val="-5"/>
                <w:sz w:val="20"/>
              </w:rPr>
              <w:t> </w:t>
            </w:r>
            <w:r>
              <w:rPr>
                <w:spacing w:val="-2"/>
                <w:sz w:val="20"/>
              </w:rPr>
              <w:t>M41.1,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363"/>
              <w:rPr>
                <w:sz w:val="20"/>
              </w:rPr>
            </w:pPr>
            <w:r>
              <w:rPr>
                <w:sz w:val="20"/>
              </w:rPr>
              <w:t>M41.2,</w:t>
            </w:r>
            <w:r>
              <w:rPr>
                <w:spacing w:val="-6"/>
                <w:sz w:val="20"/>
              </w:rPr>
              <w:t> </w:t>
            </w:r>
            <w:r>
              <w:rPr>
                <w:sz w:val="20"/>
              </w:rPr>
              <w:t>M41.3,</w:t>
            </w:r>
            <w:r>
              <w:rPr>
                <w:spacing w:val="-6"/>
                <w:sz w:val="20"/>
              </w:rPr>
              <w:t> </w:t>
            </w:r>
            <w:r>
              <w:rPr>
                <w:sz w:val="20"/>
              </w:rPr>
              <w:t>M41.4,</w:t>
            </w:r>
            <w:r>
              <w:rPr>
                <w:spacing w:val="-6"/>
                <w:sz w:val="20"/>
              </w:rPr>
              <w:t> </w:t>
            </w:r>
            <w:r>
              <w:rPr>
                <w:sz w:val="20"/>
              </w:rPr>
              <w:t>M41.5,</w:t>
            </w:r>
            <w:r>
              <w:rPr>
                <w:spacing w:val="-6"/>
                <w:sz w:val="20"/>
              </w:rPr>
              <w:t> </w:t>
            </w:r>
            <w:r>
              <w:rPr>
                <w:sz w:val="20"/>
              </w:rPr>
              <w:t>M41.8,</w:t>
            </w:r>
            <w:r>
              <w:rPr>
                <w:spacing w:val="-5"/>
                <w:sz w:val="20"/>
              </w:rPr>
              <w:t> </w:t>
            </w:r>
            <w:r>
              <w:rPr>
                <w:spacing w:val="-2"/>
                <w:sz w:val="20"/>
              </w:rPr>
              <w:t>M41.9,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439"/>
              <w:rPr>
                <w:sz w:val="20"/>
              </w:rPr>
            </w:pPr>
            <w:r>
              <w:rPr>
                <w:sz w:val="20"/>
              </w:rPr>
              <w:t>M42.0,</w:t>
            </w:r>
            <w:r>
              <w:rPr>
                <w:spacing w:val="-5"/>
                <w:sz w:val="20"/>
              </w:rPr>
              <w:t> </w:t>
            </w:r>
            <w:r>
              <w:rPr>
                <w:sz w:val="20"/>
              </w:rPr>
              <w:t>M42.1,</w:t>
            </w:r>
            <w:r>
              <w:rPr>
                <w:spacing w:val="-5"/>
                <w:sz w:val="20"/>
              </w:rPr>
              <w:t> </w:t>
            </w:r>
            <w:r>
              <w:rPr>
                <w:sz w:val="20"/>
              </w:rPr>
              <w:t>M42.9,</w:t>
            </w:r>
            <w:r>
              <w:rPr>
                <w:spacing w:val="-4"/>
                <w:sz w:val="20"/>
              </w:rPr>
              <w:t> </w:t>
            </w:r>
            <w:r>
              <w:rPr>
                <w:sz w:val="20"/>
              </w:rPr>
              <w:t>M43,</w:t>
            </w:r>
            <w:r>
              <w:rPr>
                <w:spacing w:val="-6"/>
                <w:sz w:val="20"/>
              </w:rPr>
              <w:t> </w:t>
            </w:r>
            <w:r>
              <w:rPr>
                <w:sz w:val="20"/>
              </w:rPr>
              <w:t>M43.0,</w:t>
            </w:r>
            <w:r>
              <w:rPr>
                <w:spacing w:val="-5"/>
                <w:sz w:val="20"/>
              </w:rPr>
              <w:t> </w:t>
            </w:r>
            <w:r>
              <w:rPr>
                <w:spacing w:val="-2"/>
                <w:sz w:val="20"/>
              </w:rPr>
              <w:t>M43.1,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363"/>
              <w:rPr>
                <w:sz w:val="20"/>
              </w:rPr>
            </w:pPr>
            <w:r>
              <w:rPr>
                <w:sz w:val="20"/>
              </w:rPr>
              <w:t>M43.2,</w:t>
            </w:r>
            <w:r>
              <w:rPr>
                <w:spacing w:val="-6"/>
                <w:sz w:val="20"/>
              </w:rPr>
              <w:t> </w:t>
            </w:r>
            <w:r>
              <w:rPr>
                <w:sz w:val="20"/>
              </w:rPr>
              <w:t>M43.3,</w:t>
            </w:r>
            <w:r>
              <w:rPr>
                <w:spacing w:val="-6"/>
                <w:sz w:val="20"/>
              </w:rPr>
              <w:t> </w:t>
            </w:r>
            <w:r>
              <w:rPr>
                <w:sz w:val="20"/>
              </w:rPr>
              <w:t>M43.4,</w:t>
            </w:r>
            <w:r>
              <w:rPr>
                <w:spacing w:val="-6"/>
                <w:sz w:val="20"/>
              </w:rPr>
              <w:t> </w:t>
            </w:r>
            <w:r>
              <w:rPr>
                <w:sz w:val="20"/>
              </w:rPr>
              <w:t>M43.5,</w:t>
            </w:r>
            <w:r>
              <w:rPr>
                <w:spacing w:val="-6"/>
                <w:sz w:val="20"/>
              </w:rPr>
              <w:t> </w:t>
            </w:r>
            <w:r>
              <w:rPr>
                <w:sz w:val="20"/>
              </w:rPr>
              <w:t>M43.6,</w:t>
            </w:r>
            <w:r>
              <w:rPr>
                <w:spacing w:val="-5"/>
                <w:sz w:val="20"/>
              </w:rPr>
              <w:t> </w:t>
            </w:r>
            <w:r>
              <w:rPr>
                <w:spacing w:val="-2"/>
                <w:sz w:val="20"/>
              </w:rPr>
              <w:t>M43.8,</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M43.9,</w:t>
            </w:r>
            <w:r>
              <w:rPr>
                <w:spacing w:val="-4"/>
                <w:sz w:val="20"/>
              </w:rPr>
              <w:t> </w:t>
            </w:r>
            <w:r>
              <w:rPr>
                <w:sz w:val="20"/>
              </w:rPr>
              <w:t>M46,</w:t>
            </w:r>
            <w:r>
              <w:rPr>
                <w:spacing w:val="-4"/>
                <w:sz w:val="20"/>
              </w:rPr>
              <w:t> </w:t>
            </w:r>
            <w:r>
              <w:rPr>
                <w:sz w:val="20"/>
              </w:rPr>
              <w:t>M46.0,</w:t>
            </w:r>
            <w:r>
              <w:rPr>
                <w:spacing w:val="-6"/>
                <w:sz w:val="20"/>
              </w:rPr>
              <w:t> </w:t>
            </w:r>
            <w:r>
              <w:rPr>
                <w:sz w:val="20"/>
              </w:rPr>
              <w:t>M46.1,</w:t>
            </w:r>
            <w:r>
              <w:rPr>
                <w:spacing w:val="-6"/>
                <w:sz w:val="20"/>
              </w:rPr>
              <w:t> </w:t>
            </w:r>
            <w:r>
              <w:rPr>
                <w:sz w:val="20"/>
              </w:rPr>
              <w:t>M46.3,</w:t>
            </w:r>
            <w:r>
              <w:rPr>
                <w:spacing w:val="-4"/>
                <w:sz w:val="20"/>
              </w:rPr>
              <w:t> </w:t>
            </w:r>
            <w:r>
              <w:rPr>
                <w:spacing w:val="-2"/>
                <w:sz w:val="20"/>
              </w:rPr>
              <w:t>M46.4,</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439"/>
              <w:rPr>
                <w:sz w:val="20"/>
              </w:rPr>
            </w:pPr>
            <w:r>
              <w:rPr>
                <w:sz w:val="20"/>
              </w:rPr>
              <w:t>M46.5,</w:t>
            </w:r>
            <w:r>
              <w:rPr>
                <w:spacing w:val="-4"/>
                <w:sz w:val="20"/>
              </w:rPr>
              <w:t> </w:t>
            </w:r>
            <w:r>
              <w:rPr>
                <w:sz w:val="20"/>
              </w:rPr>
              <w:t>M47,</w:t>
            </w:r>
            <w:r>
              <w:rPr>
                <w:spacing w:val="-4"/>
                <w:sz w:val="20"/>
              </w:rPr>
              <w:t> </w:t>
            </w:r>
            <w:r>
              <w:rPr>
                <w:sz w:val="20"/>
              </w:rPr>
              <w:t>M47.0,</w:t>
            </w:r>
            <w:r>
              <w:rPr>
                <w:spacing w:val="-6"/>
                <w:sz w:val="20"/>
              </w:rPr>
              <w:t> </w:t>
            </w:r>
            <w:r>
              <w:rPr>
                <w:sz w:val="20"/>
              </w:rPr>
              <w:t>M47.1,</w:t>
            </w:r>
            <w:r>
              <w:rPr>
                <w:spacing w:val="-6"/>
                <w:sz w:val="20"/>
              </w:rPr>
              <w:t> </w:t>
            </w:r>
            <w:r>
              <w:rPr>
                <w:sz w:val="20"/>
              </w:rPr>
              <w:t>M47.2,</w:t>
            </w:r>
            <w:r>
              <w:rPr>
                <w:spacing w:val="-4"/>
                <w:sz w:val="20"/>
              </w:rPr>
              <w:t> </w:t>
            </w:r>
            <w:r>
              <w:rPr>
                <w:spacing w:val="-2"/>
                <w:sz w:val="20"/>
              </w:rPr>
              <w:t>M47.8,</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439"/>
              <w:rPr>
                <w:sz w:val="20"/>
              </w:rPr>
            </w:pPr>
            <w:r>
              <w:rPr>
                <w:sz w:val="20"/>
              </w:rPr>
              <w:t>M47.9,</w:t>
            </w:r>
            <w:r>
              <w:rPr>
                <w:spacing w:val="-4"/>
                <w:sz w:val="20"/>
              </w:rPr>
              <w:t> </w:t>
            </w:r>
            <w:r>
              <w:rPr>
                <w:sz w:val="20"/>
              </w:rPr>
              <w:t>M48,</w:t>
            </w:r>
            <w:r>
              <w:rPr>
                <w:spacing w:val="-4"/>
                <w:sz w:val="20"/>
              </w:rPr>
              <w:t> </w:t>
            </w:r>
            <w:r>
              <w:rPr>
                <w:sz w:val="20"/>
              </w:rPr>
              <w:t>M48.0,</w:t>
            </w:r>
            <w:r>
              <w:rPr>
                <w:spacing w:val="-6"/>
                <w:sz w:val="20"/>
              </w:rPr>
              <w:t> </w:t>
            </w:r>
            <w:r>
              <w:rPr>
                <w:sz w:val="20"/>
              </w:rPr>
              <w:t>M48.1,</w:t>
            </w:r>
            <w:r>
              <w:rPr>
                <w:spacing w:val="-6"/>
                <w:sz w:val="20"/>
              </w:rPr>
              <w:t> </w:t>
            </w:r>
            <w:r>
              <w:rPr>
                <w:sz w:val="20"/>
              </w:rPr>
              <w:t>M48.2,</w:t>
            </w:r>
            <w:r>
              <w:rPr>
                <w:spacing w:val="-4"/>
                <w:sz w:val="20"/>
              </w:rPr>
              <w:t> </w:t>
            </w:r>
            <w:r>
              <w:rPr>
                <w:spacing w:val="-2"/>
                <w:sz w:val="20"/>
              </w:rPr>
              <w:t>M48.3,</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M48.4,</w:t>
            </w:r>
            <w:r>
              <w:rPr>
                <w:spacing w:val="-6"/>
                <w:sz w:val="20"/>
              </w:rPr>
              <w:t> </w:t>
            </w:r>
            <w:r>
              <w:rPr>
                <w:sz w:val="20"/>
              </w:rPr>
              <w:t>M48.5,</w:t>
            </w:r>
            <w:r>
              <w:rPr>
                <w:spacing w:val="-5"/>
                <w:sz w:val="20"/>
              </w:rPr>
              <w:t> </w:t>
            </w:r>
            <w:r>
              <w:rPr>
                <w:sz w:val="20"/>
              </w:rPr>
              <w:t>M48.8,</w:t>
            </w:r>
            <w:r>
              <w:rPr>
                <w:spacing w:val="-5"/>
                <w:sz w:val="20"/>
              </w:rPr>
              <w:t> </w:t>
            </w:r>
            <w:r>
              <w:rPr>
                <w:sz w:val="20"/>
              </w:rPr>
              <w:t>M48.9,</w:t>
            </w:r>
            <w:r>
              <w:rPr>
                <w:spacing w:val="-5"/>
                <w:sz w:val="20"/>
              </w:rPr>
              <w:t> </w:t>
            </w:r>
            <w:r>
              <w:rPr>
                <w:sz w:val="20"/>
              </w:rPr>
              <w:t>M49,</w:t>
            </w:r>
            <w:r>
              <w:rPr>
                <w:spacing w:val="-5"/>
                <w:sz w:val="20"/>
              </w:rPr>
              <w:t> </w:t>
            </w:r>
            <w:r>
              <w:rPr>
                <w:spacing w:val="-2"/>
                <w:sz w:val="20"/>
              </w:rPr>
              <w:t>M49.2,</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M49.3,</w:t>
            </w:r>
            <w:r>
              <w:rPr>
                <w:spacing w:val="-6"/>
                <w:sz w:val="20"/>
              </w:rPr>
              <w:t> </w:t>
            </w:r>
            <w:r>
              <w:rPr>
                <w:sz w:val="20"/>
              </w:rPr>
              <w:t>M49.4,</w:t>
            </w:r>
            <w:r>
              <w:rPr>
                <w:spacing w:val="-5"/>
                <w:sz w:val="20"/>
              </w:rPr>
              <w:t> </w:t>
            </w:r>
            <w:r>
              <w:rPr>
                <w:sz w:val="20"/>
              </w:rPr>
              <w:t>M49.5,</w:t>
            </w:r>
            <w:r>
              <w:rPr>
                <w:spacing w:val="-5"/>
                <w:sz w:val="20"/>
              </w:rPr>
              <w:t> </w:t>
            </w:r>
            <w:r>
              <w:rPr>
                <w:sz w:val="20"/>
              </w:rPr>
              <w:t>M49.8,</w:t>
            </w:r>
            <w:r>
              <w:rPr>
                <w:spacing w:val="-5"/>
                <w:sz w:val="20"/>
              </w:rPr>
              <w:t> </w:t>
            </w:r>
            <w:r>
              <w:rPr>
                <w:sz w:val="20"/>
              </w:rPr>
              <w:t>M50,</w:t>
            </w:r>
            <w:r>
              <w:rPr>
                <w:spacing w:val="-5"/>
                <w:sz w:val="20"/>
              </w:rPr>
              <w:t> </w:t>
            </w:r>
            <w:r>
              <w:rPr>
                <w:spacing w:val="-2"/>
                <w:sz w:val="20"/>
              </w:rPr>
              <w:t>M50.0,</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M50.1,</w:t>
            </w:r>
            <w:r>
              <w:rPr>
                <w:spacing w:val="-6"/>
                <w:sz w:val="20"/>
              </w:rPr>
              <w:t> </w:t>
            </w:r>
            <w:r>
              <w:rPr>
                <w:sz w:val="20"/>
              </w:rPr>
              <w:t>M50.2,</w:t>
            </w:r>
            <w:r>
              <w:rPr>
                <w:spacing w:val="-6"/>
                <w:sz w:val="20"/>
              </w:rPr>
              <w:t> </w:t>
            </w:r>
            <w:r>
              <w:rPr>
                <w:sz w:val="20"/>
              </w:rPr>
              <w:t>M50.3,</w:t>
            </w:r>
            <w:r>
              <w:rPr>
                <w:spacing w:val="-6"/>
                <w:sz w:val="20"/>
              </w:rPr>
              <w:t> </w:t>
            </w:r>
            <w:r>
              <w:rPr>
                <w:sz w:val="20"/>
              </w:rPr>
              <w:t>M50.8,</w:t>
            </w:r>
            <w:r>
              <w:rPr>
                <w:spacing w:val="-6"/>
                <w:sz w:val="20"/>
              </w:rPr>
              <w:t> </w:t>
            </w:r>
            <w:r>
              <w:rPr>
                <w:sz w:val="20"/>
              </w:rPr>
              <w:t>M50.9,</w:t>
            </w:r>
            <w:r>
              <w:rPr>
                <w:spacing w:val="-5"/>
                <w:sz w:val="20"/>
              </w:rPr>
              <w:t> </w:t>
            </w:r>
            <w:r>
              <w:rPr>
                <w:spacing w:val="-4"/>
                <w:sz w:val="20"/>
              </w:rPr>
              <w:t>M51,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363"/>
              <w:rPr>
                <w:sz w:val="20"/>
              </w:rPr>
            </w:pPr>
            <w:r>
              <w:rPr>
                <w:sz w:val="20"/>
              </w:rPr>
              <w:t>M51.0,</w:t>
            </w:r>
            <w:r>
              <w:rPr>
                <w:spacing w:val="-6"/>
                <w:sz w:val="20"/>
              </w:rPr>
              <w:t> </w:t>
            </w:r>
            <w:r>
              <w:rPr>
                <w:sz w:val="20"/>
              </w:rPr>
              <w:t>M51.1,</w:t>
            </w:r>
            <w:r>
              <w:rPr>
                <w:spacing w:val="-6"/>
                <w:sz w:val="20"/>
              </w:rPr>
              <w:t> </w:t>
            </w:r>
            <w:r>
              <w:rPr>
                <w:sz w:val="20"/>
              </w:rPr>
              <w:t>M51.2,</w:t>
            </w:r>
            <w:r>
              <w:rPr>
                <w:spacing w:val="-6"/>
                <w:sz w:val="20"/>
              </w:rPr>
              <w:t> </w:t>
            </w:r>
            <w:r>
              <w:rPr>
                <w:sz w:val="20"/>
              </w:rPr>
              <w:t>M51.3,</w:t>
            </w:r>
            <w:r>
              <w:rPr>
                <w:spacing w:val="-6"/>
                <w:sz w:val="20"/>
              </w:rPr>
              <w:t> </w:t>
            </w:r>
            <w:r>
              <w:rPr>
                <w:sz w:val="20"/>
              </w:rPr>
              <w:t>M51.4,</w:t>
            </w:r>
            <w:r>
              <w:rPr>
                <w:spacing w:val="-5"/>
                <w:sz w:val="20"/>
              </w:rPr>
              <w:t> </w:t>
            </w:r>
            <w:r>
              <w:rPr>
                <w:spacing w:val="-2"/>
                <w:sz w:val="20"/>
              </w:rPr>
              <w:t>M51.8,</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439"/>
              <w:rPr>
                <w:sz w:val="20"/>
              </w:rPr>
            </w:pPr>
            <w:r>
              <w:rPr>
                <w:sz w:val="20"/>
              </w:rPr>
              <w:t>M51.9,</w:t>
            </w:r>
            <w:r>
              <w:rPr>
                <w:spacing w:val="-4"/>
                <w:sz w:val="20"/>
              </w:rPr>
              <w:t> </w:t>
            </w:r>
            <w:r>
              <w:rPr>
                <w:sz w:val="20"/>
              </w:rPr>
              <w:t>M53,</w:t>
            </w:r>
            <w:r>
              <w:rPr>
                <w:spacing w:val="-4"/>
                <w:sz w:val="20"/>
              </w:rPr>
              <w:t> </w:t>
            </w:r>
            <w:r>
              <w:rPr>
                <w:sz w:val="20"/>
              </w:rPr>
              <w:t>M53.0,</w:t>
            </w:r>
            <w:r>
              <w:rPr>
                <w:spacing w:val="-4"/>
                <w:sz w:val="20"/>
              </w:rPr>
              <w:t> </w:t>
            </w:r>
            <w:r>
              <w:rPr>
                <w:sz w:val="20"/>
              </w:rPr>
              <w:t>M53.1,</w:t>
            </w:r>
            <w:r>
              <w:rPr>
                <w:spacing w:val="-6"/>
                <w:sz w:val="20"/>
              </w:rPr>
              <w:t> </w:t>
            </w:r>
            <w:r>
              <w:rPr>
                <w:sz w:val="20"/>
              </w:rPr>
              <w:t>M53.2,</w:t>
            </w:r>
            <w:r>
              <w:rPr>
                <w:spacing w:val="-4"/>
                <w:sz w:val="20"/>
              </w:rPr>
              <w:t> </w:t>
            </w:r>
            <w:r>
              <w:rPr>
                <w:spacing w:val="-2"/>
                <w:sz w:val="20"/>
              </w:rPr>
              <w:t>M53.3,</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M53.8,</w:t>
            </w:r>
            <w:r>
              <w:rPr>
                <w:spacing w:val="-5"/>
                <w:sz w:val="20"/>
              </w:rPr>
              <w:t> </w:t>
            </w:r>
            <w:r>
              <w:rPr>
                <w:sz w:val="20"/>
              </w:rPr>
              <w:t>M53.9,</w:t>
            </w:r>
            <w:r>
              <w:rPr>
                <w:spacing w:val="-4"/>
                <w:sz w:val="20"/>
              </w:rPr>
              <w:t> </w:t>
            </w:r>
            <w:r>
              <w:rPr>
                <w:sz w:val="20"/>
              </w:rPr>
              <w:t>M54,</w:t>
            </w:r>
            <w:r>
              <w:rPr>
                <w:spacing w:val="-6"/>
                <w:sz w:val="20"/>
              </w:rPr>
              <w:t> </w:t>
            </w:r>
            <w:r>
              <w:rPr>
                <w:sz w:val="20"/>
              </w:rPr>
              <w:t>M54.0,</w:t>
            </w:r>
            <w:r>
              <w:rPr>
                <w:spacing w:val="-6"/>
                <w:sz w:val="20"/>
              </w:rPr>
              <w:t> </w:t>
            </w:r>
            <w:r>
              <w:rPr>
                <w:sz w:val="20"/>
              </w:rPr>
              <w:t>M54.1,</w:t>
            </w:r>
            <w:r>
              <w:rPr>
                <w:spacing w:val="-4"/>
                <w:sz w:val="20"/>
              </w:rPr>
              <w:t> </w:t>
            </w:r>
            <w:r>
              <w:rPr>
                <w:spacing w:val="-2"/>
                <w:sz w:val="20"/>
              </w:rPr>
              <w:t>M54.2,</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363"/>
              <w:rPr>
                <w:sz w:val="20"/>
              </w:rPr>
            </w:pPr>
            <w:r>
              <w:rPr>
                <w:sz w:val="20"/>
              </w:rPr>
              <w:t>M54.3,</w:t>
            </w:r>
            <w:r>
              <w:rPr>
                <w:spacing w:val="-6"/>
                <w:sz w:val="20"/>
              </w:rPr>
              <w:t> </w:t>
            </w:r>
            <w:r>
              <w:rPr>
                <w:sz w:val="20"/>
              </w:rPr>
              <w:t>M54.4,</w:t>
            </w:r>
            <w:r>
              <w:rPr>
                <w:spacing w:val="-6"/>
                <w:sz w:val="20"/>
              </w:rPr>
              <w:t> </w:t>
            </w:r>
            <w:r>
              <w:rPr>
                <w:sz w:val="20"/>
              </w:rPr>
              <w:t>M54.5,</w:t>
            </w:r>
            <w:r>
              <w:rPr>
                <w:spacing w:val="-6"/>
                <w:sz w:val="20"/>
              </w:rPr>
              <w:t> </w:t>
            </w:r>
            <w:r>
              <w:rPr>
                <w:sz w:val="20"/>
              </w:rPr>
              <w:t>M54.6,</w:t>
            </w:r>
            <w:r>
              <w:rPr>
                <w:spacing w:val="-6"/>
                <w:sz w:val="20"/>
              </w:rPr>
              <w:t> </w:t>
            </w:r>
            <w:r>
              <w:rPr>
                <w:sz w:val="20"/>
              </w:rPr>
              <w:t>M54.8,</w:t>
            </w:r>
            <w:r>
              <w:rPr>
                <w:spacing w:val="-5"/>
                <w:sz w:val="20"/>
              </w:rPr>
              <w:t> </w:t>
            </w:r>
            <w:r>
              <w:rPr>
                <w:spacing w:val="-2"/>
                <w:sz w:val="20"/>
              </w:rPr>
              <w:t>M54.9,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439"/>
              <w:rPr>
                <w:sz w:val="20"/>
              </w:rPr>
            </w:pPr>
            <w:r>
              <w:rPr>
                <w:sz w:val="20"/>
              </w:rPr>
              <w:t>M96.1,</w:t>
            </w:r>
            <w:r>
              <w:rPr>
                <w:spacing w:val="-6"/>
                <w:sz w:val="20"/>
              </w:rPr>
              <w:t> </w:t>
            </w:r>
            <w:r>
              <w:rPr>
                <w:sz w:val="20"/>
              </w:rPr>
              <w:t>M96.2,</w:t>
            </w:r>
            <w:r>
              <w:rPr>
                <w:spacing w:val="-6"/>
                <w:sz w:val="20"/>
              </w:rPr>
              <w:t> </w:t>
            </w:r>
            <w:r>
              <w:rPr>
                <w:sz w:val="20"/>
              </w:rPr>
              <w:t>M96.3,</w:t>
            </w:r>
            <w:r>
              <w:rPr>
                <w:spacing w:val="-6"/>
                <w:sz w:val="20"/>
              </w:rPr>
              <w:t> </w:t>
            </w:r>
            <w:r>
              <w:rPr>
                <w:sz w:val="20"/>
              </w:rPr>
              <w:t>M96.4,</w:t>
            </w:r>
            <w:r>
              <w:rPr>
                <w:spacing w:val="-6"/>
                <w:sz w:val="20"/>
              </w:rPr>
              <w:t> </w:t>
            </w:r>
            <w:r>
              <w:rPr>
                <w:sz w:val="20"/>
              </w:rPr>
              <w:t>M96.5,</w:t>
            </w:r>
            <w:r>
              <w:rPr>
                <w:spacing w:val="-5"/>
                <w:sz w:val="20"/>
              </w:rPr>
              <w:t> </w:t>
            </w:r>
            <w:r>
              <w:rPr>
                <w:spacing w:val="-4"/>
                <w:sz w:val="20"/>
              </w:rPr>
              <w:t>M99,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363"/>
              <w:rPr>
                <w:sz w:val="20"/>
              </w:rPr>
            </w:pPr>
            <w:r>
              <w:rPr>
                <w:sz w:val="20"/>
              </w:rPr>
              <w:t>M99.0,</w:t>
            </w:r>
            <w:r>
              <w:rPr>
                <w:spacing w:val="-6"/>
                <w:sz w:val="20"/>
              </w:rPr>
              <w:t> </w:t>
            </w:r>
            <w:r>
              <w:rPr>
                <w:sz w:val="20"/>
              </w:rPr>
              <w:t>M99.1,</w:t>
            </w:r>
            <w:r>
              <w:rPr>
                <w:spacing w:val="-6"/>
                <w:sz w:val="20"/>
              </w:rPr>
              <w:t> </w:t>
            </w:r>
            <w:r>
              <w:rPr>
                <w:sz w:val="20"/>
              </w:rPr>
              <w:t>M99.2,</w:t>
            </w:r>
            <w:r>
              <w:rPr>
                <w:spacing w:val="-6"/>
                <w:sz w:val="20"/>
              </w:rPr>
              <w:t> </w:t>
            </w:r>
            <w:r>
              <w:rPr>
                <w:sz w:val="20"/>
              </w:rPr>
              <w:t>M99.3,</w:t>
            </w:r>
            <w:r>
              <w:rPr>
                <w:spacing w:val="-6"/>
                <w:sz w:val="20"/>
              </w:rPr>
              <w:t> </w:t>
            </w:r>
            <w:r>
              <w:rPr>
                <w:sz w:val="20"/>
              </w:rPr>
              <w:t>M99.4,</w:t>
            </w:r>
            <w:r>
              <w:rPr>
                <w:spacing w:val="-5"/>
                <w:sz w:val="20"/>
              </w:rPr>
              <w:t> </w:t>
            </w:r>
            <w:r>
              <w:rPr>
                <w:spacing w:val="-2"/>
                <w:sz w:val="20"/>
              </w:rPr>
              <w:t>M99.5,</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504"/>
              <w:rPr>
                <w:sz w:val="20"/>
              </w:rPr>
            </w:pPr>
            <w:r>
              <w:rPr>
                <w:sz w:val="20"/>
              </w:rPr>
              <w:t>M99.6,</w:t>
            </w:r>
            <w:r>
              <w:rPr>
                <w:spacing w:val="-6"/>
                <w:sz w:val="20"/>
              </w:rPr>
              <w:t> </w:t>
            </w:r>
            <w:r>
              <w:rPr>
                <w:sz w:val="20"/>
              </w:rPr>
              <w:t>M99.7,</w:t>
            </w:r>
            <w:r>
              <w:rPr>
                <w:spacing w:val="-5"/>
                <w:sz w:val="20"/>
              </w:rPr>
              <w:t> </w:t>
            </w:r>
            <w:r>
              <w:rPr>
                <w:sz w:val="20"/>
              </w:rPr>
              <w:t>M99.8,</w:t>
            </w:r>
            <w:r>
              <w:rPr>
                <w:spacing w:val="-5"/>
                <w:sz w:val="20"/>
              </w:rPr>
              <w:t> </w:t>
            </w:r>
            <w:r>
              <w:rPr>
                <w:sz w:val="20"/>
              </w:rPr>
              <w:t>M99.9,</w:t>
            </w:r>
            <w:r>
              <w:rPr>
                <w:spacing w:val="-5"/>
                <w:sz w:val="20"/>
              </w:rPr>
              <w:t> </w:t>
            </w:r>
            <w:r>
              <w:rPr>
                <w:sz w:val="20"/>
              </w:rPr>
              <w:t>S02,</w:t>
            </w:r>
            <w:r>
              <w:rPr>
                <w:spacing w:val="-5"/>
                <w:sz w:val="20"/>
              </w:rPr>
              <w:t> </w:t>
            </w:r>
            <w:r>
              <w:rPr>
                <w:spacing w:val="-2"/>
                <w:sz w:val="20"/>
              </w:rPr>
              <w:t>S02.0,</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363"/>
              <w:rPr>
                <w:sz w:val="20"/>
              </w:rPr>
            </w:pPr>
            <w:r>
              <w:rPr>
                <w:sz w:val="20"/>
              </w:rPr>
              <w:t>S02.00,</w:t>
            </w:r>
            <w:r>
              <w:rPr>
                <w:spacing w:val="-7"/>
                <w:sz w:val="20"/>
              </w:rPr>
              <w:t> </w:t>
            </w:r>
            <w:r>
              <w:rPr>
                <w:sz w:val="20"/>
              </w:rPr>
              <w:t>S02.01,</w:t>
            </w:r>
            <w:r>
              <w:rPr>
                <w:spacing w:val="-6"/>
                <w:sz w:val="20"/>
              </w:rPr>
              <w:t> </w:t>
            </w:r>
            <w:r>
              <w:rPr>
                <w:sz w:val="20"/>
              </w:rPr>
              <w:t>S02.1,</w:t>
            </w:r>
            <w:r>
              <w:rPr>
                <w:spacing w:val="-6"/>
                <w:sz w:val="20"/>
              </w:rPr>
              <w:t> </w:t>
            </w:r>
            <w:r>
              <w:rPr>
                <w:sz w:val="20"/>
              </w:rPr>
              <w:t>S02.10,</w:t>
            </w:r>
            <w:r>
              <w:rPr>
                <w:spacing w:val="-2"/>
                <w:sz w:val="20"/>
              </w:rPr>
              <w:t> </w:t>
            </w:r>
            <w:r>
              <w:rPr>
                <w:sz w:val="20"/>
              </w:rPr>
              <w:t>S02.11,</w:t>
            </w:r>
            <w:r>
              <w:rPr>
                <w:spacing w:val="-6"/>
                <w:sz w:val="20"/>
              </w:rPr>
              <w:t> </w:t>
            </w:r>
            <w:r>
              <w:rPr>
                <w:spacing w:val="-2"/>
                <w:sz w:val="20"/>
              </w:rPr>
              <w:t>S02.7,</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363"/>
              <w:rPr>
                <w:sz w:val="20"/>
              </w:rPr>
            </w:pPr>
            <w:r>
              <w:rPr>
                <w:sz w:val="20"/>
              </w:rPr>
              <w:t>S02.70,</w:t>
            </w:r>
            <w:r>
              <w:rPr>
                <w:spacing w:val="-7"/>
                <w:sz w:val="20"/>
              </w:rPr>
              <w:t> </w:t>
            </w:r>
            <w:r>
              <w:rPr>
                <w:sz w:val="20"/>
              </w:rPr>
              <w:t>S02.71,</w:t>
            </w:r>
            <w:r>
              <w:rPr>
                <w:spacing w:val="-6"/>
                <w:sz w:val="20"/>
              </w:rPr>
              <w:t> </w:t>
            </w:r>
            <w:r>
              <w:rPr>
                <w:sz w:val="20"/>
              </w:rPr>
              <w:t>S02.8,</w:t>
            </w:r>
            <w:r>
              <w:rPr>
                <w:spacing w:val="-6"/>
                <w:sz w:val="20"/>
              </w:rPr>
              <w:t> </w:t>
            </w:r>
            <w:r>
              <w:rPr>
                <w:sz w:val="20"/>
              </w:rPr>
              <w:t>S02.80,</w:t>
            </w:r>
            <w:r>
              <w:rPr>
                <w:spacing w:val="-7"/>
                <w:sz w:val="20"/>
              </w:rPr>
              <w:t> </w:t>
            </w:r>
            <w:r>
              <w:rPr>
                <w:sz w:val="20"/>
              </w:rPr>
              <w:t>S02.81,</w:t>
            </w:r>
            <w:r>
              <w:rPr>
                <w:spacing w:val="-6"/>
                <w:sz w:val="20"/>
              </w:rPr>
              <w:t> </w:t>
            </w:r>
            <w:r>
              <w:rPr>
                <w:spacing w:val="-2"/>
                <w:sz w:val="20"/>
              </w:rPr>
              <w:t>S02.9,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183"/>
              <w:rPr>
                <w:sz w:val="20"/>
              </w:rPr>
            </w:pPr>
            <w:r>
              <w:rPr>
                <w:sz w:val="20"/>
              </w:rPr>
              <w:t>S02.90,</w:t>
            </w:r>
            <w:r>
              <w:rPr>
                <w:spacing w:val="-6"/>
                <w:sz w:val="20"/>
              </w:rPr>
              <w:t> </w:t>
            </w:r>
            <w:r>
              <w:rPr>
                <w:sz w:val="20"/>
              </w:rPr>
              <w:t>S02.91,</w:t>
            </w:r>
            <w:r>
              <w:rPr>
                <w:spacing w:val="-5"/>
                <w:sz w:val="20"/>
              </w:rPr>
              <w:t> </w:t>
            </w:r>
            <w:r>
              <w:rPr>
                <w:sz w:val="20"/>
              </w:rPr>
              <w:t>S04.1,</w:t>
            </w:r>
            <w:r>
              <w:rPr>
                <w:spacing w:val="-5"/>
                <w:sz w:val="20"/>
              </w:rPr>
              <w:t> </w:t>
            </w:r>
            <w:r>
              <w:rPr>
                <w:sz w:val="20"/>
              </w:rPr>
              <w:t>S04.2,</w:t>
            </w:r>
            <w:r>
              <w:rPr>
                <w:spacing w:val="-8"/>
                <w:sz w:val="20"/>
              </w:rPr>
              <w:t> </w:t>
            </w:r>
            <w:r>
              <w:rPr>
                <w:sz w:val="20"/>
              </w:rPr>
              <w:t>S04.3,</w:t>
            </w:r>
            <w:r>
              <w:rPr>
                <w:spacing w:val="-5"/>
                <w:sz w:val="20"/>
              </w:rPr>
              <w:t> </w:t>
            </w:r>
            <w:r>
              <w:rPr>
                <w:sz w:val="20"/>
              </w:rPr>
              <w:t>S04.4,</w:t>
            </w:r>
            <w:r>
              <w:rPr>
                <w:spacing w:val="-5"/>
                <w:sz w:val="20"/>
              </w:rPr>
              <w:t> </w:t>
            </w:r>
            <w:r>
              <w:rPr>
                <w:spacing w:val="-2"/>
                <w:sz w:val="20"/>
              </w:rPr>
              <w:t>S04.5,</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260"/>
              <w:rPr>
                <w:sz w:val="20"/>
              </w:rPr>
            </w:pPr>
            <w:r>
              <w:rPr>
                <w:sz w:val="20"/>
              </w:rPr>
              <w:t>S04.7,</w:t>
            </w:r>
            <w:r>
              <w:rPr>
                <w:spacing w:val="-6"/>
                <w:sz w:val="20"/>
              </w:rPr>
              <w:t> </w:t>
            </w:r>
            <w:r>
              <w:rPr>
                <w:sz w:val="20"/>
              </w:rPr>
              <w:t>S04.8,</w:t>
            </w:r>
            <w:r>
              <w:rPr>
                <w:spacing w:val="-6"/>
                <w:sz w:val="20"/>
              </w:rPr>
              <w:t> </w:t>
            </w:r>
            <w:r>
              <w:rPr>
                <w:sz w:val="20"/>
              </w:rPr>
              <w:t>S04.9,</w:t>
            </w:r>
            <w:r>
              <w:rPr>
                <w:spacing w:val="-5"/>
                <w:sz w:val="20"/>
              </w:rPr>
              <w:t> </w:t>
            </w:r>
            <w:r>
              <w:rPr>
                <w:sz w:val="20"/>
              </w:rPr>
              <w:t>S06,</w:t>
            </w:r>
            <w:r>
              <w:rPr>
                <w:spacing w:val="-6"/>
                <w:sz w:val="20"/>
              </w:rPr>
              <w:t> </w:t>
            </w:r>
            <w:r>
              <w:rPr>
                <w:sz w:val="20"/>
              </w:rPr>
              <w:t>S06.0,</w:t>
            </w:r>
            <w:r>
              <w:rPr>
                <w:spacing w:val="-5"/>
                <w:sz w:val="20"/>
              </w:rPr>
              <w:t> </w:t>
            </w:r>
            <w:r>
              <w:rPr>
                <w:sz w:val="20"/>
              </w:rPr>
              <w:t>S06.00,</w:t>
            </w:r>
            <w:r>
              <w:rPr>
                <w:spacing w:val="-6"/>
                <w:sz w:val="20"/>
              </w:rPr>
              <w:t> </w:t>
            </w:r>
            <w:r>
              <w:rPr>
                <w:spacing w:val="-2"/>
                <w:sz w:val="20"/>
              </w:rPr>
              <w:t>S06.01,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5" w:lineRule="exact"/>
              <w:ind w:left="363"/>
              <w:rPr>
                <w:sz w:val="20"/>
              </w:rPr>
            </w:pPr>
            <w:r>
              <w:rPr>
                <w:sz w:val="20"/>
              </w:rPr>
              <w:t>S06.1,</w:t>
            </w:r>
            <w:r>
              <w:rPr>
                <w:spacing w:val="-5"/>
                <w:sz w:val="20"/>
              </w:rPr>
              <w:t> </w:t>
            </w:r>
            <w:r>
              <w:rPr>
                <w:sz w:val="20"/>
              </w:rPr>
              <w:t>S06.10,</w:t>
            </w:r>
            <w:r>
              <w:rPr>
                <w:spacing w:val="-7"/>
                <w:sz w:val="20"/>
              </w:rPr>
              <w:t> </w:t>
            </w:r>
            <w:r>
              <w:rPr>
                <w:sz w:val="20"/>
              </w:rPr>
              <w:t>S06.11,</w:t>
            </w:r>
            <w:r>
              <w:rPr>
                <w:spacing w:val="-5"/>
                <w:sz w:val="20"/>
              </w:rPr>
              <w:t> </w:t>
            </w:r>
            <w:r>
              <w:rPr>
                <w:sz w:val="20"/>
              </w:rPr>
              <w:t>S06.2,</w:t>
            </w:r>
            <w:r>
              <w:rPr>
                <w:spacing w:val="-7"/>
                <w:sz w:val="20"/>
              </w:rPr>
              <w:t> </w:t>
            </w:r>
            <w:r>
              <w:rPr>
                <w:sz w:val="20"/>
              </w:rPr>
              <w:t>S06.20,</w:t>
            </w:r>
            <w:r>
              <w:rPr>
                <w:spacing w:val="-5"/>
                <w:sz w:val="20"/>
              </w:rPr>
              <w:t> </w:t>
            </w:r>
            <w:r>
              <w:rPr>
                <w:spacing w:val="-2"/>
                <w:sz w:val="20"/>
              </w:rPr>
              <w:t>S06.21,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2"/>
        <w:gridCol w:w="4432"/>
        <w:gridCol w:w="3787"/>
        <w:gridCol w:w="1571"/>
        <w:gridCol w:w="126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92" w:type="dxa"/>
            <w:vMerge w:val="restart"/>
          </w:tcPr>
          <w:p>
            <w:pPr>
              <w:pStyle w:val="TableParagraph"/>
              <w:rPr>
                <w:sz w:val="18"/>
              </w:rPr>
            </w:pPr>
          </w:p>
        </w:tc>
        <w:tc>
          <w:tcPr>
            <w:tcW w:w="4432" w:type="dxa"/>
          </w:tcPr>
          <w:p>
            <w:pPr>
              <w:pStyle w:val="TableParagraph"/>
              <w:spacing w:line="205" w:lineRule="exact"/>
              <w:ind w:left="294"/>
              <w:rPr>
                <w:sz w:val="20"/>
              </w:rPr>
            </w:pPr>
            <w:r>
              <w:rPr>
                <w:sz w:val="20"/>
              </w:rPr>
              <w:t>S06.3,</w:t>
            </w:r>
            <w:r>
              <w:rPr>
                <w:spacing w:val="-5"/>
                <w:sz w:val="20"/>
              </w:rPr>
              <w:t> </w:t>
            </w:r>
            <w:r>
              <w:rPr>
                <w:sz w:val="20"/>
              </w:rPr>
              <w:t>S06.30,</w:t>
            </w:r>
            <w:r>
              <w:rPr>
                <w:spacing w:val="-7"/>
                <w:sz w:val="20"/>
              </w:rPr>
              <w:t> </w:t>
            </w:r>
            <w:r>
              <w:rPr>
                <w:sz w:val="20"/>
              </w:rPr>
              <w:t>S06.31,</w:t>
            </w:r>
            <w:r>
              <w:rPr>
                <w:spacing w:val="-5"/>
                <w:sz w:val="20"/>
              </w:rPr>
              <w:t> </w:t>
            </w:r>
            <w:r>
              <w:rPr>
                <w:sz w:val="20"/>
              </w:rPr>
              <w:t>S06.4,</w:t>
            </w:r>
            <w:r>
              <w:rPr>
                <w:spacing w:val="-7"/>
                <w:sz w:val="20"/>
              </w:rPr>
              <w:t> </w:t>
            </w:r>
            <w:r>
              <w:rPr>
                <w:sz w:val="20"/>
              </w:rPr>
              <w:t>S06.40,</w:t>
            </w:r>
            <w:r>
              <w:rPr>
                <w:spacing w:val="-5"/>
                <w:sz w:val="20"/>
              </w:rPr>
              <w:t> </w:t>
            </w:r>
            <w:r>
              <w:rPr>
                <w:spacing w:val="-2"/>
                <w:sz w:val="20"/>
              </w:rPr>
              <w:t>S06.41,</w:t>
            </w:r>
          </w:p>
        </w:tc>
        <w:tc>
          <w:tcPr>
            <w:tcW w:w="3787" w:type="dxa"/>
            <w:vMerge w:val="restart"/>
          </w:tcPr>
          <w:p>
            <w:pPr>
              <w:pStyle w:val="TableParagraph"/>
              <w:rPr>
                <w:sz w:val="18"/>
              </w:rPr>
            </w:pPr>
          </w:p>
        </w:tc>
        <w:tc>
          <w:tcPr>
            <w:tcW w:w="1571"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94"/>
              <w:rPr>
                <w:sz w:val="20"/>
              </w:rPr>
            </w:pPr>
            <w:r>
              <w:rPr>
                <w:sz w:val="20"/>
              </w:rPr>
              <w:t>S06.5,</w:t>
            </w:r>
            <w:r>
              <w:rPr>
                <w:spacing w:val="-5"/>
                <w:sz w:val="20"/>
              </w:rPr>
              <w:t> </w:t>
            </w:r>
            <w:r>
              <w:rPr>
                <w:sz w:val="20"/>
              </w:rPr>
              <w:t>S06.50,</w:t>
            </w:r>
            <w:r>
              <w:rPr>
                <w:spacing w:val="-7"/>
                <w:sz w:val="20"/>
              </w:rPr>
              <w:t> </w:t>
            </w:r>
            <w:r>
              <w:rPr>
                <w:sz w:val="20"/>
              </w:rPr>
              <w:t>S06.51,</w:t>
            </w:r>
            <w:r>
              <w:rPr>
                <w:spacing w:val="-5"/>
                <w:sz w:val="20"/>
              </w:rPr>
              <w:t> </w:t>
            </w:r>
            <w:r>
              <w:rPr>
                <w:sz w:val="20"/>
              </w:rPr>
              <w:t>S06.6,</w:t>
            </w:r>
            <w:r>
              <w:rPr>
                <w:spacing w:val="-7"/>
                <w:sz w:val="20"/>
              </w:rPr>
              <w:t> </w:t>
            </w:r>
            <w:r>
              <w:rPr>
                <w:sz w:val="20"/>
              </w:rPr>
              <w:t>S06.60,</w:t>
            </w:r>
            <w:r>
              <w:rPr>
                <w:spacing w:val="-5"/>
                <w:sz w:val="20"/>
              </w:rPr>
              <w:t> </w:t>
            </w:r>
            <w:r>
              <w:rPr>
                <w:spacing w:val="-2"/>
                <w:sz w:val="20"/>
              </w:rPr>
              <w:t>S06.61,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94"/>
              <w:rPr>
                <w:sz w:val="20"/>
              </w:rPr>
            </w:pPr>
            <w:r>
              <w:rPr>
                <w:sz w:val="20"/>
              </w:rPr>
              <w:t>S06.7,</w:t>
            </w:r>
            <w:r>
              <w:rPr>
                <w:spacing w:val="-5"/>
                <w:sz w:val="20"/>
              </w:rPr>
              <w:t> </w:t>
            </w:r>
            <w:r>
              <w:rPr>
                <w:sz w:val="20"/>
              </w:rPr>
              <w:t>S06.70,</w:t>
            </w:r>
            <w:r>
              <w:rPr>
                <w:spacing w:val="-7"/>
                <w:sz w:val="20"/>
              </w:rPr>
              <w:t> </w:t>
            </w:r>
            <w:r>
              <w:rPr>
                <w:sz w:val="20"/>
              </w:rPr>
              <w:t>S06.71,</w:t>
            </w:r>
            <w:r>
              <w:rPr>
                <w:spacing w:val="-5"/>
                <w:sz w:val="20"/>
              </w:rPr>
              <w:t> </w:t>
            </w:r>
            <w:r>
              <w:rPr>
                <w:sz w:val="20"/>
              </w:rPr>
              <w:t>S06.8,</w:t>
            </w:r>
            <w:r>
              <w:rPr>
                <w:spacing w:val="-7"/>
                <w:sz w:val="20"/>
              </w:rPr>
              <w:t> </w:t>
            </w:r>
            <w:r>
              <w:rPr>
                <w:sz w:val="20"/>
              </w:rPr>
              <w:t>S06.80,</w:t>
            </w:r>
            <w:r>
              <w:rPr>
                <w:spacing w:val="-5"/>
                <w:sz w:val="20"/>
              </w:rPr>
              <w:t> </w:t>
            </w:r>
            <w:r>
              <w:rPr>
                <w:spacing w:val="-2"/>
                <w:sz w:val="20"/>
              </w:rPr>
              <w:t>S06.81,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419"/>
              <w:rPr>
                <w:sz w:val="20"/>
              </w:rPr>
            </w:pPr>
            <w:r>
              <w:rPr>
                <w:sz w:val="20"/>
              </w:rPr>
              <w:t>S06.9,</w:t>
            </w:r>
            <w:r>
              <w:rPr>
                <w:spacing w:val="-5"/>
                <w:sz w:val="20"/>
              </w:rPr>
              <w:t> </w:t>
            </w:r>
            <w:r>
              <w:rPr>
                <w:sz w:val="20"/>
              </w:rPr>
              <w:t>S06.90,</w:t>
            </w:r>
            <w:r>
              <w:rPr>
                <w:spacing w:val="-7"/>
                <w:sz w:val="20"/>
              </w:rPr>
              <w:t> </w:t>
            </w:r>
            <w:r>
              <w:rPr>
                <w:sz w:val="20"/>
              </w:rPr>
              <w:t>S06.91,</w:t>
            </w:r>
            <w:r>
              <w:rPr>
                <w:spacing w:val="-5"/>
                <w:sz w:val="20"/>
              </w:rPr>
              <w:t> </w:t>
            </w:r>
            <w:r>
              <w:rPr>
                <w:sz w:val="20"/>
              </w:rPr>
              <w:t>S12,</w:t>
            </w:r>
            <w:r>
              <w:rPr>
                <w:spacing w:val="-5"/>
                <w:sz w:val="20"/>
              </w:rPr>
              <w:t> </w:t>
            </w:r>
            <w:r>
              <w:rPr>
                <w:sz w:val="20"/>
              </w:rPr>
              <w:t>S12.0,</w:t>
            </w:r>
            <w:r>
              <w:rPr>
                <w:spacing w:val="-5"/>
                <w:sz w:val="20"/>
              </w:rPr>
              <w:t> </w:t>
            </w:r>
            <w:r>
              <w:rPr>
                <w:spacing w:val="-2"/>
                <w:sz w:val="20"/>
              </w:rPr>
              <w:t>S12.00,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94"/>
              <w:rPr>
                <w:sz w:val="20"/>
              </w:rPr>
            </w:pPr>
            <w:r>
              <w:rPr>
                <w:sz w:val="20"/>
              </w:rPr>
              <w:t>S12.01,</w:t>
            </w:r>
            <w:r>
              <w:rPr>
                <w:spacing w:val="-6"/>
                <w:sz w:val="20"/>
              </w:rPr>
              <w:t> </w:t>
            </w:r>
            <w:r>
              <w:rPr>
                <w:sz w:val="20"/>
              </w:rPr>
              <w:t>S12.1,</w:t>
            </w:r>
            <w:r>
              <w:rPr>
                <w:spacing w:val="-7"/>
                <w:sz w:val="20"/>
              </w:rPr>
              <w:t> </w:t>
            </w:r>
            <w:r>
              <w:rPr>
                <w:sz w:val="20"/>
              </w:rPr>
              <w:t>S12.10,</w:t>
            </w:r>
            <w:r>
              <w:rPr>
                <w:spacing w:val="-5"/>
                <w:sz w:val="20"/>
              </w:rPr>
              <w:t> </w:t>
            </w:r>
            <w:r>
              <w:rPr>
                <w:sz w:val="20"/>
              </w:rPr>
              <w:t>S12.11,</w:t>
            </w:r>
            <w:r>
              <w:rPr>
                <w:spacing w:val="-6"/>
                <w:sz w:val="20"/>
              </w:rPr>
              <w:t> </w:t>
            </w:r>
            <w:r>
              <w:rPr>
                <w:sz w:val="20"/>
              </w:rPr>
              <w:t>S12.2,</w:t>
            </w:r>
            <w:r>
              <w:rPr>
                <w:spacing w:val="-5"/>
                <w:sz w:val="20"/>
              </w:rPr>
              <w:t> </w:t>
            </w:r>
            <w:r>
              <w:rPr>
                <w:spacing w:val="-2"/>
                <w:sz w:val="20"/>
              </w:rPr>
              <w:t>S12.20,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94"/>
              <w:rPr>
                <w:sz w:val="20"/>
              </w:rPr>
            </w:pPr>
            <w:r>
              <w:rPr>
                <w:sz w:val="20"/>
              </w:rPr>
              <w:t>S12.21,</w:t>
            </w:r>
            <w:r>
              <w:rPr>
                <w:spacing w:val="-6"/>
                <w:sz w:val="20"/>
              </w:rPr>
              <w:t> </w:t>
            </w:r>
            <w:r>
              <w:rPr>
                <w:sz w:val="20"/>
              </w:rPr>
              <w:t>S12.7,</w:t>
            </w:r>
            <w:r>
              <w:rPr>
                <w:spacing w:val="-7"/>
                <w:sz w:val="20"/>
              </w:rPr>
              <w:t> </w:t>
            </w:r>
            <w:r>
              <w:rPr>
                <w:sz w:val="20"/>
              </w:rPr>
              <w:t>S12.70,</w:t>
            </w:r>
            <w:r>
              <w:rPr>
                <w:spacing w:val="-5"/>
                <w:sz w:val="20"/>
              </w:rPr>
              <w:t> </w:t>
            </w:r>
            <w:r>
              <w:rPr>
                <w:sz w:val="20"/>
              </w:rPr>
              <w:t>S12.71,</w:t>
            </w:r>
            <w:r>
              <w:rPr>
                <w:spacing w:val="-6"/>
                <w:sz w:val="20"/>
              </w:rPr>
              <w:t> </w:t>
            </w:r>
            <w:r>
              <w:rPr>
                <w:sz w:val="20"/>
              </w:rPr>
              <w:t>S12.8,</w:t>
            </w:r>
            <w:r>
              <w:rPr>
                <w:spacing w:val="-5"/>
                <w:sz w:val="20"/>
              </w:rPr>
              <w:t> </w:t>
            </w:r>
            <w:r>
              <w:rPr>
                <w:spacing w:val="-2"/>
                <w:sz w:val="20"/>
              </w:rPr>
              <w:t>S12.80,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1" w:lineRule="exact"/>
              <w:ind w:left="138"/>
              <w:rPr>
                <w:sz w:val="20"/>
              </w:rPr>
            </w:pPr>
            <w:r>
              <w:rPr>
                <w:sz w:val="20"/>
              </w:rPr>
              <w:t>S12.81,</w:t>
            </w:r>
            <w:r>
              <w:rPr>
                <w:spacing w:val="-5"/>
                <w:sz w:val="20"/>
              </w:rPr>
              <w:t> </w:t>
            </w:r>
            <w:r>
              <w:rPr>
                <w:sz w:val="20"/>
              </w:rPr>
              <w:t>S12.9,</w:t>
            </w:r>
            <w:r>
              <w:rPr>
                <w:spacing w:val="-6"/>
                <w:sz w:val="20"/>
              </w:rPr>
              <w:t> </w:t>
            </w:r>
            <w:r>
              <w:rPr>
                <w:sz w:val="20"/>
              </w:rPr>
              <w:t>S12.90,</w:t>
            </w:r>
            <w:r>
              <w:rPr>
                <w:spacing w:val="-4"/>
                <w:sz w:val="20"/>
              </w:rPr>
              <w:t> </w:t>
            </w:r>
            <w:r>
              <w:rPr>
                <w:sz w:val="20"/>
              </w:rPr>
              <w:t>S12.91,</w:t>
            </w:r>
            <w:r>
              <w:rPr>
                <w:spacing w:val="-5"/>
                <w:sz w:val="20"/>
              </w:rPr>
              <w:t> </w:t>
            </w:r>
            <w:r>
              <w:rPr>
                <w:sz w:val="20"/>
              </w:rPr>
              <w:t>S13,</w:t>
            </w:r>
            <w:r>
              <w:rPr>
                <w:spacing w:val="-4"/>
                <w:sz w:val="20"/>
              </w:rPr>
              <w:t> </w:t>
            </w:r>
            <w:r>
              <w:rPr>
                <w:sz w:val="20"/>
              </w:rPr>
              <w:t>S13.0,</w:t>
            </w:r>
            <w:r>
              <w:rPr>
                <w:spacing w:val="-5"/>
                <w:sz w:val="20"/>
              </w:rPr>
              <w:t> </w:t>
            </w:r>
            <w:r>
              <w:rPr>
                <w:spacing w:val="-2"/>
                <w:sz w:val="20"/>
              </w:rPr>
              <w:t>S13.1,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S13.2,</w:t>
            </w:r>
            <w:r>
              <w:rPr>
                <w:spacing w:val="-6"/>
                <w:sz w:val="20"/>
              </w:rPr>
              <w:t> </w:t>
            </w:r>
            <w:r>
              <w:rPr>
                <w:sz w:val="20"/>
              </w:rPr>
              <w:t>S13.3,</w:t>
            </w:r>
            <w:r>
              <w:rPr>
                <w:spacing w:val="-5"/>
                <w:sz w:val="20"/>
              </w:rPr>
              <w:t> </w:t>
            </w:r>
            <w:r>
              <w:rPr>
                <w:sz w:val="20"/>
              </w:rPr>
              <w:t>S13.4,</w:t>
            </w:r>
            <w:r>
              <w:rPr>
                <w:spacing w:val="-5"/>
                <w:sz w:val="20"/>
              </w:rPr>
              <w:t> </w:t>
            </w:r>
            <w:r>
              <w:rPr>
                <w:sz w:val="20"/>
              </w:rPr>
              <w:t>S13.5,</w:t>
            </w:r>
            <w:r>
              <w:rPr>
                <w:spacing w:val="-7"/>
                <w:sz w:val="20"/>
              </w:rPr>
              <w:t> </w:t>
            </w:r>
            <w:r>
              <w:rPr>
                <w:sz w:val="20"/>
              </w:rPr>
              <w:t>S13.6,</w:t>
            </w:r>
            <w:r>
              <w:rPr>
                <w:spacing w:val="-5"/>
                <w:sz w:val="20"/>
              </w:rPr>
              <w:t> </w:t>
            </w:r>
            <w:r>
              <w:rPr>
                <w:sz w:val="20"/>
              </w:rPr>
              <w:t>S14,</w:t>
            </w:r>
            <w:r>
              <w:rPr>
                <w:spacing w:val="-5"/>
                <w:sz w:val="20"/>
              </w:rPr>
              <w:t> </w:t>
            </w:r>
            <w:r>
              <w:rPr>
                <w:spacing w:val="-2"/>
                <w:sz w:val="20"/>
              </w:rPr>
              <w:t>S14.0,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S14.1,</w:t>
            </w:r>
            <w:r>
              <w:rPr>
                <w:spacing w:val="-6"/>
                <w:sz w:val="20"/>
              </w:rPr>
              <w:t> </w:t>
            </w:r>
            <w:r>
              <w:rPr>
                <w:sz w:val="20"/>
              </w:rPr>
              <w:t>S14.2,</w:t>
            </w:r>
            <w:r>
              <w:rPr>
                <w:spacing w:val="-5"/>
                <w:sz w:val="20"/>
              </w:rPr>
              <w:t> </w:t>
            </w:r>
            <w:r>
              <w:rPr>
                <w:sz w:val="20"/>
              </w:rPr>
              <w:t>S14.3,</w:t>
            </w:r>
            <w:r>
              <w:rPr>
                <w:spacing w:val="-5"/>
                <w:sz w:val="20"/>
              </w:rPr>
              <w:t> </w:t>
            </w:r>
            <w:r>
              <w:rPr>
                <w:sz w:val="20"/>
              </w:rPr>
              <w:t>S14.4,</w:t>
            </w:r>
            <w:r>
              <w:rPr>
                <w:spacing w:val="-7"/>
                <w:sz w:val="20"/>
              </w:rPr>
              <w:t> </w:t>
            </w:r>
            <w:r>
              <w:rPr>
                <w:sz w:val="20"/>
              </w:rPr>
              <w:t>S14.5,</w:t>
            </w:r>
            <w:r>
              <w:rPr>
                <w:spacing w:val="-5"/>
                <w:sz w:val="20"/>
              </w:rPr>
              <w:t> </w:t>
            </w:r>
            <w:r>
              <w:rPr>
                <w:sz w:val="20"/>
              </w:rPr>
              <w:t>S14.6,</w:t>
            </w:r>
            <w:r>
              <w:rPr>
                <w:spacing w:val="-5"/>
                <w:sz w:val="20"/>
              </w:rPr>
              <w:t> </w:t>
            </w:r>
            <w:r>
              <w:rPr>
                <w:spacing w:val="-4"/>
                <w:sz w:val="20"/>
              </w:rPr>
              <w:t>S16,</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63"/>
              <w:rPr>
                <w:sz w:val="20"/>
              </w:rPr>
            </w:pPr>
            <w:r>
              <w:rPr>
                <w:sz w:val="20"/>
              </w:rPr>
              <w:t>S22,</w:t>
            </w:r>
            <w:r>
              <w:rPr>
                <w:spacing w:val="-5"/>
                <w:sz w:val="20"/>
              </w:rPr>
              <w:t> </w:t>
            </w:r>
            <w:r>
              <w:rPr>
                <w:sz w:val="20"/>
              </w:rPr>
              <w:t>S22.0,</w:t>
            </w:r>
            <w:r>
              <w:rPr>
                <w:spacing w:val="-5"/>
                <w:sz w:val="20"/>
              </w:rPr>
              <w:t> </w:t>
            </w:r>
            <w:r>
              <w:rPr>
                <w:sz w:val="20"/>
              </w:rPr>
              <w:t>S22.00,</w:t>
            </w:r>
            <w:r>
              <w:rPr>
                <w:spacing w:val="-5"/>
                <w:sz w:val="20"/>
              </w:rPr>
              <w:t> </w:t>
            </w:r>
            <w:r>
              <w:rPr>
                <w:sz w:val="20"/>
              </w:rPr>
              <w:t>S22.01,</w:t>
            </w:r>
            <w:r>
              <w:rPr>
                <w:spacing w:val="-5"/>
                <w:sz w:val="20"/>
              </w:rPr>
              <w:t> </w:t>
            </w:r>
            <w:r>
              <w:rPr>
                <w:sz w:val="20"/>
              </w:rPr>
              <w:t>S23,</w:t>
            </w:r>
            <w:r>
              <w:rPr>
                <w:spacing w:val="-5"/>
                <w:sz w:val="20"/>
              </w:rPr>
              <w:t> </w:t>
            </w:r>
            <w:r>
              <w:rPr>
                <w:sz w:val="20"/>
              </w:rPr>
              <w:t>S23.0,</w:t>
            </w:r>
            <w:r>
              <w:rPr>
                <w:spacing w:val="-5"/>
                <w:sz w:val="20"/>
              </w:rPr>
              <w:t> </w:t>
            </w:r>
            <w:r>
              <w:rPr>
                <w:spacing w:val="-2"/>
                <w:sz w:val="20"/>
              </w:rPr>
              <w:t>S23.1,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S23.2,</w:t>
            </w:r>
            <w:r>
              <w:rPr>
                <w:spacing w:val="-6"/>
                <w:sz w:val="20"/>
              </w:rPr>
              <w:t> </w:t>
            </w:r>
            <w:r>
              <w:rPr>
                <w:sz w:val="20"/>
              </w:rPr>
              <w:t>S23.3,</w:t>
            </w:r>
            <w:r>
              <w:rPr>
                <w:spacing w:val="-6"/>
                <w:sz w:val="20"/>
              </w:rPr>
              <w:t> </w:t>
            </w:r>
            <w:r>
              <w:rPr>
                <w:sz w:val="20"/>
              </w:rPr>
              <w:t>S24,</w:t>
            </w:r>
            <w:r>
              <w:rPr>
                <w:spacing w:val="-5"/>
                <w:sz w:val="20"/>
              </w:rPr>
              <w:t> </w:t>
            </w:r>
            <w:r>
              <w:rPr>
                <w:sz w:val="20"/>
              </w:rPr>
              <w:t>S24.0,</w:t>
            </w:r>
            <w:r>
              <w:rPr>
                <w:spacing w:val="-6"/>
                <w:sz w:val="20"/>
              </w:rPr>
              <w:t> </w:t>
            </w:r>
            <w:r>
              <w:rPr>
                <w:sz w:val="20"/>
              </w:rPr>
              <w:t>S24.1,</w:t>
            </w:r>
            <w:r>
              <w:rPr>
                <w:spacing w:val="-5"/>
                <w:sz w:val="20"/>
              </w:rPr>
              <w:t> </w:t>
            </w:r>
            <w:r>
              <w:rPr>
                <w:sz w:val="20"/>
              </w:rPr>
              <w:t>S24.2,</w:t>
            </w:r>
            <w:r>
              <w:rPr>
                <w:spacing w:val="-6"/>
                <w:sz w:val="20"/>
              </w:rPr>
              <w:t> </w:t>
            </w:r>
            <w:r>
              <w:rPr>
                <w:spacing w:val="-2"/>
                <w:sz w:val="20"/>
              </w:rPr>
              <w:t>S24.3,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191"/>
              <w:rPr>
                <w:sz w:val="20"/>
              </w:rPr>
            </w:pPr>
            <w:r>
              <w:rPr>
                <w:sz w:val="20"/>
              </w:rPr>
              <w:t>S24.4,</w:t>
            </w:r>
            <w:r>
              <w:rPr>
                <w:spacing w:val="-6"/>
                <w:sz w:val="20"/>
              </w:rPr>
              <w:t> </w:t>
            </w:r>
            <w:r>
              <w:rPr>
                <w:sz w:val="20"/>
              </w:rPr>
              <w:t>S24.5,</w:t>
            </w:r>
            <w:r>
              <w:rPr>
                <w:spacing w:val="-6"/>
                <w:sz w:val="20"/>
              </w:rPr>
              <w:t> </w:t>
            </w:r>
            <w:r>
              <w:rPr>
                <w:sz w:val="20"/>
              </w:rPr>
              <w:t>S24.6,</w:t>
            </w:r>
            <w:r>
              <w:rPr>
                <w:spacing w:val="-5"/>
                <w:sz w:val="20"/>
              </w:rPr>
              <w:t> </w:t>
            </w:r>
            <w:r>
              <w:rPr>
                <w:sz w:val="20"/>
              </w:rPr>
              <w:t>S32,</w:t>
            </w:r>
            <w:r>
              <w:rPr>
                <w:spacing w:val="-6"/>
                <w:sz w:val="20"/>
              </w:rPr>
              <w:t> </w:t>
            </w:r>
            <w:r>
              <w:rPr>
                <w:sz w:val="20"/>
              </w:rPr>
              <w:t>S32.0,</w:t>
            </w:r>
            <w:r>
              <w:rPr>
                <w:spacing w:val="-5"/>
                <w:sz w:val="20"/>
              </w:rPr>
              <w:t> </w:t>
            </w:r>
            <w:r>
              <w:rPr>
                <w:sz w:val="20"/>
              </w:rPr>
              <w:t>S32.00,</w:t>
            </w:r>
            <w:r>
              <w:rPr>
                <w:spacing w:val="-6"/>
                <w:sz w:val="20"/>
              </w:rPr>
              <w:t> </w:t>
            </w:r>
            <w:r>
              <w:rPr>
                <w:spacing w:val="-2"/>
                <w:sz w:val="20"/>
              </w:rPr>
              <w:t>S32.01,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94"/>
              <w:rPr>
                <w:sz w:val="20"/>
              </w:rPr>
            </w:pPr>
            <w:r>
              <w:rPr>
                <w:sz w:val="20"/>
              </w:rPr>
              <w:t>S32.1,</w:t>
            </w:r>
            <w:r>
              <w:rPr>
                <w:spacing w:val="-5"/>
                <w:sz w:val="20"/>
              </w:rPr>
              <w:t> </w:t>
            </w:r>
            <w:r>
              <w:rPr>
                <w:sz w:val="20"/>
              </w:rPr>
              <w:t>S32.10,</w:t>
            </w:r>
            <w:r>
              <w:rPr>
                <w:spacing w:val="-7"/>
                <w:sz w:val="20"/>
              </w:rPr>
              <w:t> </w:t>
            </w:r>
            <w:r>
              <w:rPr>
                <w:sz w:val="20"/>
              </w:rPr>
              <w:t>S32.11,</w:t>
            </w:r>
            <w:r>
              <w:rPr>
                <w:spacing w:val="-5"/>
                <w:sz w:val="20"/>
              </w:rPr>
              <w:t> </w:t>
            </w:r>
            <w:r>
              <w:rPr>
                <w:sz w:val="20"/>
              </w:rPr>
              <w:t>S32.2,</w:t>
            </w:r>
            <w:r>
              <w:rPr>
                <w:spacing w:val="-7"/>
                <w:sz w:val="20"/>
              </w:rPr>
              <w:t> </w:t>
            </w:r>
            <w:r>
              <w:rPr>
                <w:sz w:val="20"/>
              </w:rPr>
              <w:t>S32.20,</w:t>
            </w:r>
            <w:r>
              <w:rPr>
                <w:spacing w:val="-5"/>
                <w:sz w:val="20"/>
              </w:rPr>
              <w:t> </w:t>
            </w:r>
            <w:r>
              <w:rPr>
                <w:spacing w:val="-2"/>
                <w:sz w:val="20"/>
              </w:rPr>
              <w:t>S32.21,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188"/>
              <w:rPr>
                <w:sz w:val="20"/>
              </w:rPr>
            </w:pPr>
            <w:r>
              <w:rPr>
                <w:sz w:val="20"/>
              </w:rPr>
              <w:t>S32.8,</w:t>
            </w:r>
            <w:r>
              <w:rPr>
                <w:spacing w:val="-5"/>
                <w:sz w:val="20"/>
              </w:rPr>
              <w:t> </w:t>
            </w:r>
            <w:r>
              <w:rPr>
                <w:sz w:val="20"/>
              </w:rPr>
              <w:t>S32.80,</w:t>
            </w:r>
            <w:r>
              <w:rPr>
                <w:spacing w:val="-7"/>
                <w:sz w:val="20"/>
              </w:rPr>
              <w:t> </w:t>
            </w:r>
            <w:r>
              <w:rPr>
                <w:sz w:val="20"/>
              </w:rPr>
              <w:t>S32.81,</w:t>
            </w:r>
            <w:r>
              <w:rPr>
                <w:spacing w:val="-5"/>
                <w:sz w:val="20"/>
              </w:rPr>
              <w:t> </w:t>
            </w:r>
            <w:r>
              <w:rPr>
                <w:sz w:val="20"/>
              </w:rPr>
              <w:t>S33,</w:t>
            </w:r>
            <w:r>
              <w:rPr>
                <w:spacing w:val="-5"/>
                <w:sz w:val="20"/>
              </w:rPr>
              <w:t> </w:t>
            </w:r>
            <w:r>
              <w:rPr>
                <w:sz w:val="20"/>
              </w:rPr>
              <w:t>S33.0,</w:t>
            </w:r>
            <w:r>
              <w:rPr>
                <w:spacing w:val="-5"/>
                <w:sz w:val="20"/>
              </w:rPr>
              <w:t> </w:t>
            </w:r>
            <w:r>
              <w:rPr>
                <w:sz w:val="20"/>
              </w:rPr>
              <w:t>S33.1,</w:t>
            </w:r>
            <w:r>
              <w:rPr>
                <w:spacing w:val="-7"/>
                <w:sz w:val="20"/>
              </w:rPr>
              <w:t> </w:t>
            </w:r>
            <w:r>
              <w:rPr>
                <w:spacing w:val="-2"/>
                <w:sz w:val="20"/>
              </w:rPr>
              <w:t>S33.2,</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S33.3,</w:t>
            </w:r>
            <w:r>
              <w:rPr>
                <w:spacing w:val="-6"/>
                <w:sz w:val="20"/>
              </w:rPr>
              <w:t> </w:t>
            </w:r>
            <w:r>
              <w:rPr>
                <w:sz w:val="20"/>
              </w:rPr>
              <w:t>S33.5,</w:t>
            </w:r>
            <w:r>
              <w:rPr>
                <w:spacing w:val="-5"/>
                <w:sz w:val="20"/>
              </w:rPr>
              <w:t> </w:t>
            </w:r>
            <w:r>
              <w:rPr>
                <w:sz w:val="20"/>
              </w:rPr>
              <w:t>S33.6,</w:t>
            </w:r>
            <w:r>
              <w:rPr>
                <w:spacing w:val="-5"/>
                <w:sz w:val="20"/>
              </w:rPr>
              <w:t> </w:t>
            </w:r>
            <w:r>
              <w:rPr>
                <w:sz w:val="20"/>
              </w:rPr>
              <w:t>S33.7,</w:t>
            </w:r>
            <w:r>
              <w:rPr>
                <w:spacing w:val="-7"/>
                <w:sz w:val="20"/>
              </w:rPr>
              <w:t> </w:t>
            </w:r>
            <w:r>
              <w:rPr>
                <w:sz w:val="20"/>
              </w:rPr>
              <w:t>S34,</w:t>
            </w:r>
            <w:r>
              <w:rPr>
                <w:spacing w:val="-5"/>
                <w:sz w:val="20"/>
              </w:rPr>
              <w:t> </w:t>
            </w:r>
            <w:r>
              <w:rPr>
                <w:sz w:val="20"/>
              </w:rPr>
              <w:t>S34.0,</w:t>
            </w:r>
            <w:r>
              <w:rPr>
                <w:spacing w:val="-5"/>
                <w:sz w:val="20"/>
              </w:rPr>
              <w:t> </w:t>
            </w:r>
            <w:r>
              <w:rPr>
                <w:spacing w:val="-2"/>
                <w:sz w:val="20"/>
              </w:rPr>
              <w:t>S34.1,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S34.2,</w:t>
            </w:r>
            <w:r>
              <w:rPr>
                <w:spacing w:val="-6"/>
                <w:sz w:val="20"/>
              </w:rPr>
              <w:t> </w:t>
            </w:r>
            <w:r>
              <w:rPr>
                <w:sz w:val="20"/>
              </w:rPr>
              <w:t>S34.3,</w:t>
            </w:r>
            <w:r>
              <w:rPr>
                <w:spacing w:val="-5"/>
                <w:sz w:val="20"/>
              </w:rPr>
              <w:t> </w:t>
            </w:r>
            <w:r>
              <w:rPr>
                <w:sz w:val="20"/>
              </w:rPr>
              <w:t>S34.4,</w:t>
            </w:r>
            <w:r>
              <w:rPr>
                <w:spacing w:val="-5"/>
                <w:sz w:val="20"/>
              </w:rPr>
              <w:t> </w:t>
            </w:r>
            <w:r>
              <w:rPr>
                <w:sz w:val="20"/>
              </w:rPr>
              <w:t>S34.5,</w:t>
            </w:r>
            <w:r>
              <w:rPr>
                <w:spacing w:val="-7"/>
                <w:sz w:val="20"/>
              </w:rPr>
              <w:t> </w:t>
            </w:r>
            <w:r>
              <w:rPr>
                <w:sz w:val="20"/>
              </w:rPr>
              <w:t>S34.6,</w:t>
            </w:r>
            <w:r>
              <w:rPr>
                <w:spacing w:val="-5"/>
                <w:sz w:val="20"/>
              </w:rPr>
              <w:t> </w:t>
            </w:r>
            <w:r>
              <w:rPr>
                <w:sz w:val="20"/>
              </w:rPr>
              <w:t>S34.8,</w:t>
            </w:r>
            <w:r>
              <w:rPr>
                <w:spacing w:val="-5"/>
                <w:sz w:val="20"/>
              </w:rPr>
              <w:t> </w:t>
            </w:r>
            <w:r>
              <w:rPr>
                <w:spacing w:val="-4"/>
                <w:sz w:val="20"/>
              </w:rPr>
              <w:t>S44,</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15"/>
              <w:rPr>
                <w:sz w:val="20"/>
              </w:rPr>
            </w:pPr>
            <w:r>
              <w:rPr>
                <w:sz w:val="20"/>
              </w:rPr>
              <w:t>S44.0,</w:t>
            </w:r>
            <w:r>
              <w:rPr>
                <w:spacing w:val="-6"/>
                <w:sz w:val="20"/>
              </w:rPr>
              <w:t> </w:t>
            </w:r>
            <w:r>
              <w:rPr>
                <w:sz w:val="20"/>
              </w:rPr>
              <w:t>S44.1,</w:t>
            </w:r>
            <w:r>
              <w:rPr>
                <w:spacing w:val="-5"/>
                <w:sz w:val="20"/>
              </w:rPr>
              <w:t> </w:t>
            </w:r>
            <w:r>
              <w:rPr>
                <w:sz w:val="20"/>
              </w:rPr>
              <w:t>S44.2,</w:t>
            </w:r>
            <w:r>
              <w:rPr>
                <w:spacing w:val="-5"/>
                <w:sz w:val="20"/>
              </w:rPr>
              <w:t> </w:t>
            </w:r>
            <w:r>
              <w:rPr>
                <w:sz w:val="20"/>
              </w:rPr>
              <w:t>S44.3,</w:t>
            </w:r>
            <w:r>
              <w:rPr>
                <w:spacing w:val="-7"/>
                <w:sz w:val="20"/>
              </w:rPr>
              <w:t> </w:t>
            </w:r>
            <w:r>
              <w:rPr>
                <w:sz w:val="20"/>
              </w:rPr>
              <w:t>S44.4,</w:t>
            </w:r>
            <w:r>
              <w:rPr>
                <w:spacing w:val="-5"/>
                <w:sz w:val="20"/>
              </w:rPr>
              <w:t> </w:t>
            </w:r>
            <w:r>
              <w:rPr>
                <w:sz w:val="20"/>
              </w:rPr>
              <w:t>S44.5,</w:t>
            </w:r>
            <w:r>
              <w:rPr>
                <w:spacing w:val="-5"/>
                <w:sz w:val="20"/>
              </w:rPr>
              <w:t> </w:t>
            </w:r>
            <w:r>
              <w:rPr>
                <w:spacing w:val="-2"/>
                <w:sz w:val="20"/>
              </w:rPr>
              <w:t>S44.7,</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1" w:lineRule="exact"/>
              <w:ind w:left="289"/>
              <w:rPr>
                <w:sz w:val="20"/>
              </w:rPr>
            </w:pPr>
            <w:r>
              <w:rPr>
                <w:sz w:val="20"/>
              </w:rPr>
              <w:t>S44.8,</w:t>
            </w:r>
            <w:r>
              <w:rPr>
                <w:spacing w:val="-6"/>
                <w:sz w:val="20"/>
              </w:rPr>
              <w:t> </w:t>
            </w:r>
            <w:r>
              <w:rPr>
                <w:sz w:val="20"/>
              </w:rPr>
              <w:t>S44.9,</w:t>
            </w:r>
            <w:r>
              <w:rPr>
                <w:spacing w:val="-5"/>
                <w:sz w:val="20"/>
              </w:rPr>
              <w:t> </w:t>
            </w:r>
            <w:r>
              <w:rPr>
                <w:sz w:val="20"/>
              </w:rPr>
              <w:t>S54,</w:t>
            </w:r>
            <w:r>
              <w:rPr>
                <w:spacing w:val="-3"/>
                <w:sz w:val="20"/>
              </w:rPr>
              <w:t> </w:t>
            </w:r>
            <w:r>
              <w:rPr>
                <w:sz w:val="20"/>
              </w:rPr>
              <w:t>S54.0,</w:t>
            </w:r>
            <w:r>
              <w:rPr>
                <w:spacing w:val="-6"/>
                <w:sz w:val="20"/>
              </w:rPr>
              <w:t> </w:t>
            </w:r>
            <w:r>
              <w:rPr>
                <w:sz w:val="20"/>
              </w:rPr>
              <w:t>S54.1,</w:t>
            </w:r>
            <w:r>
              <w:rPr>
                <w:spacing w:val="-5"/>
                <w:sz w:val="20"/>
              </w:rPr>
              <w:t> </w:t>
            </w:r>
            <w:r>
              <w:rPr>
                <w:sz w:val="20"/>
              </w:rPr>
              <w:t>S54.2,</w:t>
            </w:r>
            <w:r>
              <w:rPr>
                <w:spacing w:val="-6"/>
                <w:sz w:val="20"/>
              </w:rPr>
              <w:t> </w:t>
            </w:r>
            <w:r>
              <w:rPr>
                <w:spacing w:val="-2"/>
                <w:sz w:val="20"/>
              </w:rPr>
              <w:t>S54.3,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1" w:lineRule="exact"/>
              <w:ind w:left="289"/>
              <w:rPr>
                <w:sz w:val="20"/>
              </w:rPr>
            </w:pPr>
            <w:r>
              <w:rPr>
                <w:sz w:val="20"/>
              </w:rPr>
              <w:t>S54.7,</w:t>
            </w:r>
            <w:r>
              <w:rPr>
                <w:spacing w:val="-6"/>
                <w:sz w:val="20"/>
              </w:rPr>
              <w:t> </w:t>
            </w:r>
            <w:r>
              <w:rPr>
                <w:sz w:val="20"/>
              </w:rPr>
              <w:t>S54.8,</w:t>
            </w:r>
            <w:r>
              <w:rPr>
                <w:spacing w:val="-6"/>
                <w:sz w:val="20"/>
              </w:rPr>
              <w:t> </w:t>
            </w:r>
            <w:r>
              <w:rPr>
                <w:sz w:val="20"/>
              </w:rPr>
              <w:t>S54.9,</w:t>
            </w:r>
            <w:r>
              <w:rPr>
                <w:spacing w:val="-5"/>
                <w:sz w:val="20"/>
              </w:rPr>
              <w:t> </w:t>
            </w:r>
            <w:r>
              <w:rPr>
                <w:sz w:val="20"/>
              </w:rPr>
              <w:t>S64,</w:t>
            </w:r>
            <w:r>
              <w:rPr>
                <w:spacing w:val="-6"/>
                <w:sz w:val="20"/>
              </w:rPr>
              <w:t> </w:t>
            </w:r>
            <w:r>
              <w:rPr>
                <w:sz w:val="20"/>
              </w:rPr>
              <w:t>S64.0,</w:t>
            </w:r>
            <w:r>
              <w:rPr>
                <w:spacing w:val="-5"/>
                <w:sz w:val="20"/>
              </w:rPr>
              <w:t> </w:t>
            </w:r>
            <w:r>
              <w:rPr>
                <w:sz w:val="20"/>
              </w:rPr>
              <w:t>S64.1,</w:t>
            </w:r>
            <w:r>
              <w:rPr>
                <w:spacing w:val="-6"/>
                <w:sz w:val="20"/>
              </w:rPr>
              <w:t> </w:t>
            </w:r>
            <w:r>
              <w:rPr>
                <w:spacing w:val="-2"/>
                <w:sz w:val="20"/>
              </w:rPr>
              <w:t>S64.2,</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S64.3,</w:t>
            </w:r>
            <w:r>
              <w:rPr>
                <w:spacing w:val="-6"/>
                <w:sz w:val="20"/>
              </w:rPr>
              <w:t> </w:t>
            </w:r>
            <w:r>
              <w:rPr>
                <w:sz w:val="20"/>
              </w:rPr>
              <w:t>S64.4,</w:t>
            </w:r>
            <w:r>
              <w:rPr>
                <w:spacing w:val="-5"/>
                <w:sz w:val="20"/>
              </w:rPr>
              <w:t> </w:t>
            </w:r>
            <w:r>
              <w:rPr>
                <w:sz w:val="20"/>
              </w:rPr>
              <w:t>S64.7,</w:t>
            </w:r>
            <w:r>
              <w:rPr>
                <w:spacing w:val="-5"/>
                <w:sz w:val="20"/>
              </w:rPr>
              <w:t> </w:t>
            </w:r>
            <w:r>
              <w:rPr>
                <w:sz w:val="20"/>
              </w:rPr>
              <w:t>S64.8,</w:t>
            </w:r>
            <w:r>
              <w:rPr>
                <w:spacing w:val="-7"/>
                <w:sz w:val="20"/>
              </w:rPr>
              <w:t> </w:t>
            </w:r>
            <w:r>
              <w:rPr>
                <w:sz w:val="20"/>
              </w:rPr>
              <w:t>S64.9,</w:t>
            </w:r>
            <w:r>
              <w:rPr>
                <w:spacing w:val="-5"/>
                <w:sz w:val="20"/>
              </w:rPr>
              <w:t> </w:t>
            </w:r>
            <w:r>
              <w:rPr>
                <w:sz w:val="20"/>
              </w:rPr>
              <w:t>S74,</w:t>
            </w:r>
            <w:r>
              <w:rPr>
                <w:spacing w:val="-5"/>
                <w:sz w:val="20"/>
              </w:rPr>
              <w:t> </w:t>
            </w:r>
            <w:r>
              <w:rPr>
                <w:spacing w:val="-2"/>
                <w:sz w:val="20"/>
              </w:rPr>
              <w:t>S74.0,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S74.1,</w:t>
            </w:r>
            <w:r>
              <w:rPr>
                <w:spacing w:val="-6"/>
                <w:sz w:val="20"/>
              </w:rPr>
              <w:t> </w:t>
            </w:r>
            <w:r>
              <w:rPr>
                <w:sz w:val="20"/>
              </w:rPr>
              <w:t>S74.2,</w:t>
            </w:r>
            <w:r>
              <w:rPr>
                <w:spacing w:val="-5"/>
                <w:sz w:val="20"/>
              </w:rPr>
              <w:t> </w:t>
            </w:r>
            <w:r>
              <w:rPr>
                <w:sz w:val="20"/>
              </w:rPr>
              <w:t>S74.7,</w:t>
            </w:r>
            <w:r>
              <w:rPr>
                <w:spacing w:val="-5"/>
                <w:sz w:val="20"/>
              </w:rPr>
              <w:t> </w:t>
            </w:r>
            <w:r>
              <w:rPr>
                <w:sz w:val="20"/>
              </w:rPr>
              <w:t>S74.8,</w:t>
            </w:r>
            <w:r>
              <w:rPr>
                <w:spacing w:val="-7"/>
                <w:sz w:val="20"/>
              </w:rPr>
              <w:t> </w:t>
            </w:r>
            <w:r>
              <w:rPr>
                <w:sz w:val="20"/>
              </w:rPr>
              <w:t>S74.9,</w:t>
            </w:r>
            <w:r>
              <w:rPr>
                <w:spacing w:val="-5"/>
                <w:sz w:val="20"/>
              </w:rPr>
              <w:t> </w:t>
            </w:r>
            <w:r>
              <w:rPr>
                <w:sz w:val="20"/>
              </w:rPr>
              <w:t>S84,</w:t>
            </w:r>
            <w:r>
              <w:rPr>
                <w:spacing w:val="-5"/>
                <w:sz w:val="20"/>
              </w:rPr>
              <w:t> </w:t>
            </w:r>
            <w:r>
              <w:rPr>
                <w:spacing w:val="-2"/>
                <w:sz w:val="20"/>
              </w:rPr>
              <w:t>S84.0,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S84.1,</w:t>
            </w:r>
            <w:r>
              <w:rPr>
                <w:spacing w:val="-6"/>
                <w:sz w:val="20"/>
              </w:rPr>
              <w:t> </w:t>
            </w:r>
            <w:r>
              <w:rPr>
                <w:sz w:val="20"/>
              </w:rPr>
              <w:t>S84.2,</w:t>
            </w:r>
            <w:r>
              <w:rPr>
                <w:spacing w:val="-5"/>
                <w:sz w:val="20"/>
              </w:rPr>
              <w:t> </w:t>
            </w:r>
            <w:r>
              <w:rPr>
                <w:sz w:val="20"/>
              </w:rPr>
              <w:t>S84.7,</w:t>
            </w:r>
            <w:r>
              <w:rPr>
                <w:spacing w:val="-5"/>
                <w:sz w:val="20"/>
              </w:rPr>
              <w:t> </w:t>
            </w:r>
            <w:r>
              <w:rPr>
                <w:sz w:val="20"/>
              </w:rPr>
              <w:t>S84.8,</w:t>
            </w:r>
            <w:r>
              <w:rPr>
                <w:spacing w:val="-7"/>
                <w:sz w:val="20"/>
              </w:rPr>
              <w:t> </w:t>
            </w:r>
            <w:r>
              <w:rPr>
                <w:sz w:val="20"/>
              </w:rPr>
              <w:t>S84.9,</w:t>
            </w:r>
            <w:r>
              <w:rPr>
                <w:spacing w:val="-5"/>
                <w:sz w:val="20"/>
              </w:rPr>
              <w:t> </w:t>
            </w:r>
            <w:r>
              <w:rPr>
                <w:sz w:val="20"/>
              </w:rPr>
              <w:t>S94,</w:t>
            </w:r>
            <w:r>
              <w:rPr>
                <w:spacing w:val="-5"/>
                <w:sz w:val="20"/>
              </w:rPr>
              <w:t> </w:t>
            </w:r>
            <w:r>
              <w:rPr>
                <w:spacing w:val="-2"/>
                <w:sz w:val="20"/>
              </w:rPr>
              <w:t>S94.0,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4"/>
              <w:rPr>
                <w:sz w:val="20"/>
              </w:rPr>
            </w:pPr>
            <w:r>
              <w:rPr>
                <w:sz w:val="20"/>
              </w:rPr>
              <w:t>S94.1,</w:t>
            </w:r>
            <w:r>
              <w:rPr>
                <w:spacing w:val="-5"/>
                <w:sz w:val="20"/>
              </w:rPr>
              <w:t> </w:t>
            </w:r>
            <w:r>
              <w:rPr>
                <w:sz w:val="20"/>
              </w:rPr>
              <w:t>S94.2,</w:t>
            </w:r>
            <w:r>
              <w:rPr>
                <w:spacing w:val="-4"/>
                <w:sz w:val="20"/>
              </w:rPr>
              <w:t> </w:t>
            </w:r>
            <w:r>
              <w:rPr>
                <w:sz w:val="20"/>
              </w:rPr>
              <w:t>S94.3,</w:t>
            </w:r>
            <w:r>
              <w:rPr>
                <w:spacing w:val="-4"/>
                <w:sz w:val="20"/>
              </w:rPr>
              <w:t> </w:t>
            </w:r>
            <w:r>
              <w:rPr>
                <w:sz w:val="20"/>
              </w:rPr>
              <w:t>S94.7,</w:t>
            </w:r>
            <w:r>
              <w:rPr>
                <w:spacing w:val="-6"/>
                <w:sz w:val="20"/>
              </w:rPr>
              <w:t> </w:t>
            </w:r>
            <w:r>
              <w:rPr>
                <w:sz w:val="20"/>
              </w:rPr>
              <w:t>S94.8,</w:t>
            </w:r>
            <w:r>
              <w:rPr>
                <w:spacing w:val="-4"/>
                <w:sz w:val="20"/>
              </w:rPr>
              <w:t> </w:t>
            </w:r>
            <w:r>
              <w:rPr>
                <w:sz w:val="20"/>
              </w:rPr>
              <w:t>S94.9,</w:t>
            </w:r>
            <w:r>
              <w:rPr>
                <w:spacing w:val="-6"/>
                <w:sz w:val="20"/>
              </w:rPr>
              <w:t> </w:t>
            </w:r>
            <w:r>
              <w:rPr>
                <w:spacing w:val="-4"/>
                <w:sz w:val="20"/>
              </w:rPr>
              <w:t>T02,</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150"/>
              <w:rPr>
                <w:sz w:val="20"/>
              </w:rPr>
            </w:pPr>
            <w:r>
              <w:rPr>
                <w:sz w:val="20"/>
              </w:rPr>
              <w:t>T02.0,</w:t>
            </w:r>
            <w:r>
              <w:rPr>
                <w:spacing w:val="-7"/>
                <w:sz w:val="20"/>
              </w:rPr>
              <w:t> </w:t>
            </w:r>
            <w:r>
              <w:rPr>
                <w:sz w:val="20"/>
              </w:rPr>
              <w:t>T02.00,</w:t>
            </w:r>
            <w:r>
              <w:rPr>
                <w:spacing w:val="-4"/>
                <w:sz w:val="20"/>
              </w:rPr>
              <w:t> </w:t>
            </w:r>
            <w:r>
              <w:rPr>
                <w:sz w:val="20"/>
              </w:rPr>
              <w:t>T02.01,</w:t>
            </w:r>
            <w:r>
              <w:rPr>
                <w:spacing w:val="-4"/>
                <w:sz w:val="20"/>
              </w:rPr>
              <w:t> </w:t>
            </w:r>
            <w:r>
              <w:rPr>
                <w:sz w:val="20"/>
              </w:rPr>
              <w:t>T08,</w:t>
            </w:r>
            <w:r>
              <w:rPr>
                <w:spacing w:val="-4"/>
                <w:sz w:val="20"/>
              </w:rPr>
              <w:t> </w:t>
            </w:r>
            <w:r>
              <w:rPr>
                <w:sz w:val="20"/>
              </w:rPr>
              <w:t>T08.0,</w:t>
            </w:r>
            <w:r>
              <w:rPr>
                <w:spacing w:val="-6"/>
                <w:sz w:val="20"/>
              </w:rPr>
              <w:t> </w:t>
            </w:r>
            <w:r>
              <w:rPr>
                <w:sz w:val="20"/>
              </w:rPr>
              <w:t>T08.1,</w:t>
            </w:r>
            <w:r>
              <w:rPr>
                <w:spacing w:val="-4"/>
                <w:sz w:val="20"/>
              </w:rPr>
              <w:t> </w:t>
            </w:r>
            <w:r>
              <w:rPr>
                <w:spacing w:val="-2"/>
                <w:sz w:val="20"/>
              </w:rPr>
              <w:t>T09.3,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51"/>
              <w:rPr>
                <w:sz w:val="20"/>
              </w:rPr>
            </w:pPr>
            <w:r>
              <w:rPr>
                <w:sz w:val="20"/>
              </w:rPr>
              <w:t>T09.4,</w:t>
            </w:r>
            <w:r>
              <w:rPr>
                <w:spacing w:val="-7"/>
                <w:sz w:val="20"/>
              </w:rPr>
              <w:t> </w:t>
            </w:r>
            <w:r>
              <w:rPr>
                <w:sz w:val="20"/>
              </w:rPr>
              <w:t>T11.3,</w:t>
            </w:r>
            <w:r>
              <w:rPr>
                <w:spacing w:val="-4"/>
                <w:sz w:val="20"/>
              </w:rPr>
              <w:t> </w:t>
            </w:r>
            <w:r>
              <w:rPr>
                <w:sz w:val="20"/>
              </w:rPr>
              <w:t>T13.3,</w:t>
            </w:r>
            <w:r>
              <w:rPr>
                <w:spacing w:val="-5"/>
                <w:sz w:val="20"/>
              </w:rPr>
              <w:t> </w:t>
            </w:r>
            <w:r>
              <w:rPr>
                <w:sz w:val="20"/>
              </w:rPr>
              <w:t>T14.4,</w:t>
            </w:r>
            <w:r>
              <w:rPr>
                <w:spacing w:val="-4"/>
                <w:sz w:val="20"/>
              </w:rPr>
              <w:t> </w:t>
            </w:r>
            <w:r>
              <w:rPr>
                <w:sz w:val="20"/>
              </w:rPr>
              <w:t>T85,</w:t>
            </w:r>
            <w:r>
              <w:rPr>
                <w:spacing w:val="-5"/>
                <w:sz w:val="20"/>
              </w:rPr>
              <w:t> </w:t>
            </w:r>
            <w:r>
              <w:rPr>
                <w:sz w:val="20"/>
              </w:rPr>
              <w:t>T85.0,</w:t>
            </w:r>
            <w:r>
              <w:rPr>
                <w:spacing w:val="-6"/>
                <w:sz w:val="20"/>
              </w:rPr>
              <w:t> </w:t>
            </w:r>
            <w:r>
              <w:rPr>
                <w:spacing w:val="-2"/>
                <w:sz w:val="20"/>
              </w:rPr>
              <w:t>T85.1,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176"/>
              <w:rPr>
                <w:sz w:val="20"/>
              </w:rPr>
            </w:pPr>
            <w:r>
              <w:rPr>
                <w:sz w:val="20"/>
              </w:rPr>
              <w:t>T90.2,</w:t>
            </w:r>
            <w:r>
              <w:rPr>
                <w:spacing w:val="-7"/>
                <w:sz w:val="20"/>
              </w:rPr>
              <w:t> </w:t>
            </w:r>
            <w:r>
              <w:rPr>
                <w:sz w:val="20"/>
              </w:rPr>
              <w:t>T90.3,</w:t>
            </w:r>
            <w:r>
              <w:rPr>
                <w:spacing w:val="-5"/>
                <w:sz w:val="20"/>
              </w:rPr>
              <w:t> </w:t>
            </w:r>
            <w:r>
              <w:rPr>
                <w:sz w:val="20"/>
              </w:rPr>
              <w:t>T90.5,</w:t>
            </w:r>
            <w:r>
              <w:rPr>
                <w:spacing w:val="-5"/>
                <w:sz w:val="20"/>
              </w:rPr>
              <w:t> </w:t>
            </w:r>
            <w:r>
              <w:rPr>
                <w:sz w:val="20"/>
              </w:rPr>
              <w:t>T90.8,</w:t>
            </w:r>
            <w:r>
              <w:rPr>
                <w:spacing w:val="-5"/>
                <w:sz w:val="20"/>
              </w:rPr>
              <w:t> </w:t>
            </w:r>
            <w:r>
              <w:rPr>
                <w:sz w:val="20"/>
              </w:rPr>
              <w:t>T90.9,</w:t>
            </w:r>
            <w:r>
              <w:rPr>
                <w:spacing w:val="-5"/>
                <w:sz w:val="20"/>
              </w:rPr>
              <w:t> </w:t>
            </w:r>
            <w:r>
              <w:rPr>
                <w:sz w:val="20"/>
              </w:rPr>
              <w:t>T91.1,</w:t>
            </w:r>
            <w:r>
              <w:rPr>
                <w:spacing w:val="-5"/>
                <w:sz w:val="20"/>
              </w:rPr>
              <w:t> </w:t>
            </w:r>
            <w:r>
              <w:rPr>
                <w:spacing w:val="-2"/>
                <w:sz w:val="20"/>
              </w:rPr>
              <w:t>T91.3,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26" w:lineRule="exact"/>
              <w:ind w:left="1622" w:right="1741"/>
              <w:jc w:val="center"/>
              <w:rPr>
                <w:sz w:val="20"/>
              </w:rPr>
            </w:pPr>
            <w:r>
              <w:rPr>
                <w:sz w:val="20"/>
              </w:rPr>
              <w:t>T92.4,</w:t>
            </w:r>
            <w:r>
              <w:rPr>
                <w:spacing w:val="-7"/>
                <w:sz w:val="20"/>
              </w:rPr>
              <w:t> </w:t>
            </w:r>
            <w:r>
              <w:rPr>
                <w:spacing w:val="-2"/>
                <w:sz w:val="20"/>
              </w:rPr>
              <w:t>T93.4</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tcPr>
          <w:p>
            <w:pPr>
              <w:pStyle w:val="TableParagraph"/>
              <w:spacing w:line="215" w:lineRule="exact" w:before="46"/>
              <w:ind w:left="39" w:right="212"/>
              <w:jc w:val="center"/>
              <w:rPr>
                <w:sz w:val="20"/>
              </w:rPr>
            </w:pPr>
            <w:r>
              <w:rPr>
                <w:spacing w:val="-2"/>
                <w:sz w:val="20"/>
              </w:rPr>
              <w:t>ds16.002</w:t>
            </w:r>
          </w:p>
        </w:tc>
        <w:tc>
          <w:tcPr>
            <w:tcW w:w="645" w:type="dxa"/>
          </w:tcPr>
          <w:p>
            <w:pPr>
              <w:pStyle w:val="TableParagraph"/>
              <w:spacing w:line="215" w:lineRule="exact" w:before="46"/>
              <w:ind w:right="215"/>
              <w:jc w:val="right"/>
              <w:rPr>
                <w:sz w:val="20"/>
              </w:rPr>
            </w:pPr>
            <w:r>
              <w:rPr>
                <w:spacing w:val="-5"/>
                <w:sz w:val="20"/>
              </w:rPr>
              <w:t>46</w:t>
            </w:r>
          </w:p>
        </w:tc>
        <w:tc>
          <w:tcPr>
            <w:tcW w:w="2592" w:type="dxa"/>
          </w:tcPr>
          <w:p>
            <w:pPr>
              <w:pStyle w:val="TableParagraph"/>
              <w:spacing w:line="215" w:lineRule="exact" w:before="46"/>
              <w:ind w:left="219"/>
              <w:rPr>
                <w:sz w:val="20"/>
              </w:rPr>
            </w:pPr>
            <w:r>
              <w:rPr>
                <w:sz w:val="20"/>
              </w:rPr>
              <w:t>Операции</w:t>
            </w:r>
            <w:r>
              <w:rPr>
                <w:spacing w:val="-10"/>
                <w:sz w:val="20"/>
              </w:rPr>
              <w:t> </w:t>
            </w:r>
            <w:r>
              <w:rPr>
                <w:spacing w:val="-5"/>
                <w:sz w:val="20"/>
              </w:rPr>
              <w:t>на</w:t>
            </w:r>
          </w:p>
        </w:tc>
        <w:tc>
          <w:tcPr>
            <w:tcW w:w="4432" w:type="dxa"/>
          </w:tcPr>
          <w:p>
            <w:pPr>
              <w:pStyle w:val="TableParagraph"/>
              <w:spacing w:line="215" w:lineRule="exact" w:before="46"/>
              <w:ind w:right="122"/>
              <w:jc w:val="center"/>
              <w:rPr>
                <w:sz w:val="20"/>
              </w:rPr>
            </w:pPr>
            <w:r>
              <w:rPr>
                <w:w w:val="99"/>
                <w:sz w:val="20"/>
              </w:rPr>
              <w:t>-</w:t>
            </w:r>
          </w:p>
        </w:tc>
        <w:tc>
          <w:tcPr>
            <w:tcW w:w="3787" w:type="dxa"/>
          </w:tcPr>
          <w:p>
            <w:pPr>
              <w:pStyle w:val="TableParagraph"/>
              <w:spacing w:line="215" w:lineRule="exact" w:before="46"/>
              <w:ind w:left="60" w:right="639"/>
              <w:jc w:val="center"/>
              <w:rPr>
                <w:sz w:val="20"/>
              </w:rPr>
            </w:pPr>
            <w:r>
              <w:rPr>
                <w:sz w:val="20"/>
              </w:rPr>
              <w:t>A16.24.001,</w:t>
            </w:r>
            <w:r>
              <w:rPr>
                <w:spacing w:val="-9"/>
                <w:sz w:val="20"/>
              </w:rPr>
              <w:t> </w:t>
            </w:r>
            <w:r>
              <w:rPr>
                <w:sz w:val="20"/>
              </w:rPr>
              <w:t>A16.24.003,</w:t>
            </w:r>
            <w:r>
              <w:rPr>
                <w:spacing w:val="-6"/>
                <w:sz w:val="20"/>
              </w:rPr>
              <w:t> </w:t>
            </w:r>
            <w:r>
              <w:rPr>
                <w:spacing w:val="-2"/>
                <w:sz w:val="20"/>
              </w:rPr>
              <w:t>A16.24.004,</w:t>
            </w:r>
          </w:p>
        </w:tc>
        <w:tc>
          <w:tcPr>
            <w:tcW w:w="1571" w:type="dxa"/>
          </w:tcPr>
          <w:p>
            <w:pPr>
              <w:pStyle w:val="TableParagraph"/>
              <w:spacing w:line="215" w:lineRule="exact" w:before="46"/>
              <w:ind w:left="649"/>
              <w:rPr>
                <w:sz w:val="20"/>
              </w:rPr>
            </w:pPr>
            <w:r>
              <w:rPr>
                <w:w w:val="99"/>
                <w:sz w:val="20"/>
              </w:rPr>
              <w:t>-</w:t>
            </w:r>
          </w:p>
        </w:tc>
        <w:tc>
          <w:tcPr>
            <w:tcW w:w="1260" w:type="dxa"/>
          </w:tcPr>
          <w:p>
            <w:pPr>
              <w:pStyle w:val="TableParagraph"/>
              <w:spacing w:line="215" w:lineRule="exact" w:before="46"/>
              <w:ind w:right="43"/>
              <w:jc w:val="right"/>
              <w:rPr>
                <w:sz w:val="20"/>
              </w:rPr>
            </w:pPr>
            <w:r>
              <w:rPr>
                <w:spacing w:val="-4"/>
                <w:sz w:val="20"/>
              </w:rPr>
              <w:t>2,57</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w w:val="95"/>
                <w:sz w:val="20"/>
              </w:rPr>
              <w:t>периферической</w:t>
            </w:r>
            <w:r>
              <w:rPr>
                <w:spacing w:val="54"/>
                <w:sz w:val="20"/>
              </w:rPr>
              <w:t> </w:t>
            </w:r>
            <w:r>
              <w:rPr>
                <w:spacing w:val="-2"/>
                <w:sz w:val="20"/>
              </w:rPr>
              <w:t>нервной</w:t>
            </w:r>
          </w:p>
        </w:tc>
        <w:tc>
          <w:tcPr>
            <w:tcW w:w="4432" w:type="dxa"/>
          </w:tcPr>
          <w:p>
            <w:pPr>
              <w:pStyle w:val="TableParagraph"/>
              <w:rPr>
                <w:sz w:val="16"/>
              </w:rPr>
            </w:pPr>
          </w:p>
        </w:tc>
        <w:tc>
          <w:tcPr>
            <w:tcW w:w="3787" w:type="dxa"/>
          </w:tcPr>
          <w:p>
            <w:pPr>
              <w:pStyle w:val="TableParagraph"/>
              <w:spacing w:line="210" w:lineRule="exact"/>
              <w:ind w:left="60" w:right="638"/>
              <w:jc w:val="center"/>
              <w:rPr>
                <w:sz w:val="20"/>
              </w:rPr>
            </w:pPr>
            <w:r>
              <w:rPr>
                <w:spacing w:val="-2"/>
                <w:sz w:val="20"/>
              </w:rPr>
              <w:t>A16.24.016</w:t>
            </w:r>
          </w:p>
        </w:tc>
        <w:tc>
          <w:tcPr>
            <w:tcW w:w="1571" w:type="dxa"/>
          </w:tcPr>
          <w:p>
            <w:pPr>
              <w:pStyle w:val="TableParagraph"/>
              <w:rPr>
                <w:sz w:val="16"/>
              </w:rPr>
            </w:pPr>
          </w:p>
        </w:tc>
        <w:tc>
          <w:tcPr>
            <w:tcW w:w="1260"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92" w:type="dxa"/>
          </w:tcPr>
          <w:p>
            <w:pPr>
              <w:pStyle w:val="TableParagraph"/>
              <w:spacing w:line="225" w:lineRule="exact"/>
              <w:ind w:left="219"/>
              <w:rPr>
                <w:sz w:val="20"/>
              </w:rPr>
            </w:pPr>
            <w:r>
              <w:rPr>
                <w:spacing w:val="-2"/>
                <w:sz w:val="20"/>
              </w:rPr>
              <w:t>системе</w:t>
            </w:r>
          </w:p>
        </w:tc>
        <w:tc>
          <w:tcPr>
            <w:tcW w:w="4432" w:type="dxa"/>
          </w:tcPr>
          <w:p>
            <w:pPr>
              <w:pStyle w:val="TableParagraph"/>
              <w:rPr>
                <w:sz w:val="18"/>
              </w:rPr>
            </w:pPr>
          </w:p>
        </w:tc>
        <w:tc>
          <w:tcPr>
            <w:tcW w:w="3787" w:type="dxa"/>
          </w:tcPr>
          <w:p>
            <w:pPr>
              <w:pStyle w:val="TableParagraph"/>
              <w:rPr>
                <w:sz w:val="18"/>
              </w:rPr>
            </w:pPr>
          </w:p>
        </w:tc>
        <w:tc>
          <w:tcPr>
            <w:tcW w:w="1571" w:type="dxa"/>
          </w:tcPr>
          <w:p>
            <w:pPr>
              <w:pStyle w:val="TableParagraph"/>
              <w:rPr>
                <w:sz w:val="18"/>
              </w:rPr>
            </w:pPr>
          </w:p>
        </w:tc>
        <w:tc>
          <w:tcPr>
            <w:tcW w:w="1260" w:type="dxa"/>
          </w:tcPr>
          <w:p>
            <w:pPr>
              <w:pStyle w:val="TableParagraph"/>
              <w:rPr>
                <w:sz w:val="18"/>
              </w:rPr>
            </w:pPr>
          </w:p>
        </w:tc>
      </w:tr>
      <w:tr>
        <w:trPr>
          <w:trHeight w:val="329" w:hRule="atLeast"/>
        </w:trPr>
        <w:tc>
          <w:tcPr>
            <w:tcW w:w="1003" w:type="dxa"/>
          </w:tcPr>
          <w:p>
            <w:pPr>
              <w:pStyle w:val="TableParagraph"/>
              <w:spacing w:before="46"/>
              <w:ind w:left="39" w:right="211"/>
              <w:jc w:val="center"/>
              <w:rPr>
                <w:sz w:val="20"/>
              </w:rPr>
            </w:pPr>
            <w:r>
              <w:rPr>
                <w:spacing w:val="-4"/>
                <w:sz w:val="20"/>
              </w:rPr>
              <w:t>ds17</w:t>
            </w:r>
          </w:p>
        </w:tc>
        <w:tc>
          <w:tcPr>
            <w:tcW w:w="645" w:type="dxa"/>
          </w:tcPr>
          <w:p>
            <w:pPr>
              <w:pStyle w:val="TableParagraph"/>
              <w:spacing w:before="46"/>
              <w:ind w:right="215"/>
              <w:jc w:val="right"/>
              <w:rPr>
                <w:sz w:val="20"/>
              </w:rPr>
            </w:pPr>
            <w:r>
              <w:rPr>
                <w:spacing w:val="-5"/>
                <w:sz w:val="20"/>
              </w:rPr>
              <w:t>17</w:t>
            </w:r>
          </w:p>
        </w:tc>
        <w:tc>
          <w:tcPr>
            <w:tcW w:w="2592" w:type="dxa"/>
          </w:tcPr>
          <w:p>
            <w:pPr>
              <w:pStyle w:val="TableParagraph"/>
              <w:rPr>
                <w:sz w:val="18"/>
              </w:rPr>
            </w:pPr>
          </w:p>
        </w:tc>
        <w:tc>
          <w:tcPr>
            <w:tcW w:w="4432" w:type="dxa"/>
          </w:tcPr>
          <w:p>
            <w:pPr>
              <w:pStyle w:val="TableParagraph"/>
              <w:spacing w:before="46"/>
              <w:ind w:right="53"/>
              <w:jc w:val="right"/>
              <w:rPr>
                <w:sz w:val="20"/>
              </w:rPr>
            </w:pPr>
            <w:r>
              <w:rPr>
                <w:spacing w:val="-2"/>
                <w:sz w:val="20"/>
              </w:rPr>
              <w:t>Неонатология</w:t>
            </w:r>
          </w:p>
        </w:tc>
        <w:tc>
          <w:tcPr>
            <w:tcW w:w="3787" w:type="dxa"/>
          </w:tcPr>
          <w:p>
            <w:pPr>
              <w:pStyle w:val="TableParagraph"/>
              <w:rPr>
                <w:sz w:val="18"/>
              </w:rPr>
            </w:pPr>
          </w:p>
        </w:tc>
        <w:tc>
          <w:tcPr>
            <w:tcW w:w="1571" w:type="dxa"/>
          </w:tcPr>
          <w:p>
            <w:pPr>
              <w:pStyle w:val="TableParagraph"/>
              <w:rPr>
                <w:sz w:val="18"/>
              </w:rPr>
            </w:pPr>
          </w:p>
        </w:tc>
        <w:tc>
          <w:tcPr>
            <w:tcW w:w="1260" w:type="dxa"/>
          </w:tcPr>
          <w:p>
            <w:pPr>
              <w:pStyle w:val="TableParagraph"/>
              <w:spacing w:before="46"/>
              <w:ind w:right="43"/>
              <w:jc w:val="right"/>
              <w:rPr>
                <w:sz w:val="20"/>
              </w:rPr>
            </w:pPr>
            <w:r>
              <w:rPr>
                <w:spacing w:val="-4"/>
                <w:sz w:val="20"/>
              </w:rPr>
              <w:t>1,79</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ds17.001</w:t>
            </w:r>
          </w:p>
        </w:tc>
        <w:tc>
          <w:tcPr>
            <w:tcW w:w="645" w:type="dxa"/>
          </w:tcPr>
          <w:p>
            <w:pPr>
              <w:pStyle w:val="TableParagraph"/>
              <w:spacing w:line="215" w:lineRule="exact" w:before="45"/>
              <w:ind w:right="215"/>
              <w:jc w:val="right"/>
              <w:rPr>
                <w:sz w:val="20"/>
              </w:rPr>
            </w:pPr>
            <w:r>
              <w:rPr>
                <w:spacing w:val="-5"/>
                <w:sz w:val="20"/>
              </w:rPr>
              <w:t>47</w:t>
            </w:r>
          </w:p>
        </w:tc>
        <w:tc>
          <w:tcPr>
            <w:tcW w:w="2592" w:type="dxa"/>
          </w:tcPr>
          <w:p>
            <w:pPr>
              <w:pStyle w:val="TableParagraph"/>
              <w:spacing w:line="215" w:lineRule="exact" w:before="45"/>
              <w:ind w:left="219"/>
              <w:rPr>
                <w:sz w:val="20"/>
              </w:rPr>
            </w:pPr>
            <w:r>
              <w:rPr>
                <w:sz w:val="20"/>
              </w:rPr>
              <w:t>Нарушения,</w:t>
            </w:r>
            <w:r>
              <w:rPr>
                <w:spacing w:val="-13"/>
                <w:sz w:val="20"/>
              </w:rPr>
              <w:t> </w:t>
            </w:r>
            <w:r>
              <w:rPr>
                <w:sz w:val="20"/>
              </w:rPr>
              <w:t>возникшие</w:t>
            </w:r>
            <w:r>
              <w:rPr>
                <w:spacing w:val="-12"/>
                <w:sz w:val="20"/>
              </w:rPr>
              <w:t> </w:t>
            </w:r>
            <w:r>
              <w:rPr>
                <w:spacing w:val="-10"/>
                <w:sz w:val="20"/>
              </w:rPr>
              <w:t>в</w:t>
            </w:r>
          </w:p>
        </w:tc>
        <w:tc>
          <w:tcPr>
            <w:tcW w:w="4432" w:type="dxa"/>
          </w:tcPr>
          <w:p>
            <w:pPr>
              <w:pStyle w:val="TableParagraph"/>
              <w:spacing w:line="215" w:lineRule="exact" w:before="45"/>
              <w:ind w:left="289"/>
              <w:rPr>
                <w:sz w:val="20"/>
              </w:rPr>
            </w:pPr>
            <w:r>
              <w:rPr>
                <w:sz w:val="20"/>
              </w:rPr>
              <w:t>P00,</w:t>
            </w:r>
            <w:r>
              <w:rPr>
                <w:spacing w:val="-7"/>
                <w:sz w:val="20"/>
              </w:rPr>
              <w:t> </w:t>
            </w:r>
            <w:r>
              <w:rPr>
                <w:sz w:val="20"/>
              </w:rPr>
              <w:t>P00.0,</w:t>
            </w:r>
            <w:r>
              <w:rPr>
                <w:spacing w:val="-5"/>
                <w:sz w:val="20"/>
              </w:rPr>
              <w:t> </w:t>
            </w:r>
            <w:r>
              <w:rPr>
                <w:sz w:val="20"/>
              </w:rPr>
              <w:t>P00.1,</w:t>
            </w:r>
            <w:r>
              <w:rPr>
                <w:spacing w:val="-6"/>
                <w:sz w:val="20"/>
              </w:rPr>
              <w:t> </w:t>
            </w:r>
            <w:r>
              <w:rPr>
                <w:sz w:val="20"/>
              </w:rPr>
              <w:t>P00.2,</w:t>
            </w:r>
            <w:r>
              <w:rPr>
                <w:spacing w:val="-6"/>
                <w:sz w:val="20"/>
              </w:rPr>
              <w:t> </w:t>
            </w:r>
            <w:r>
              <w:rPr>
                <w:sz w:val="20"/>
              </w:rPr>
              <w:t>P00.3,</w:t>
            </w:r>
            <w:r>
              <w:rPr>
                <w:spacing w:val="-5"/>
                <w:sz w:val="20"/>
              </w:rPr>
              <w:t> </w:t>
            </w:r>
            <w:r>
              <w:rPr>
                <w:sz w:val="20"/>
              </w:rPr>
              <w:t>P00.4,</w:t>
            </w:r>
            <w:r>
              <w:rPr>
                <w:spacing w:val="-5"/>
                <w:sz w:val="20"/>
              </w:rPr>
              <w:t> </w:t>
            </w:r>
            <w:r>
              <w:rPr>
                <w:spacing w:val="-2"/>
                <w:sz w:val="20"/>
              </w:rPr>
              <w:t>P00.5,</w:t>
            </w:r>
          </w:p>
        </w:tc>
        <w:tc>
          <w:tcPr>
            <w:tcW w:w="3787" w:type="dxa"/>
          </w:tcPr>
          <w:p>
            <w:pPr>
              <w:pStyle w:val="TableParagraph"/>
              <w:spacing w:line="215" w:lineRule="exact" w:before="45"/>
              <w:ind w:right="579"/>
              <w:jc w:val="center"/>
              <w:rPr>
                <w:sz w:val="20"/>
              </w:rPr>
            </w:pPr>
            <w:r>
              <w:rPr>
                <w:w w:val="99"/>
                <w:sz w:val="20"/>
              </w:rPr>
              <w:t>-</w:t>
            </w:r>
          </w:p>
        </w:tc>
        <w:tc>
          <w:tcPr>
            <w:tcW w:w="1571" w:type="dxa"/>
          </w:tcPr>
          <w:p>
            <w:pPr>
              <w:pStyle w:val="TableParagraph"/>
              <w:spacing w:line="215" w:lineRule="exact" w:before="45"/>
              <w:ind w:left="649"/>
              <w:rPr>
                <w:sz w:val="20"/>
              </w:rPr>
            </w:pPr>
            <w:r>
              <w:rPr>
                <w:w w:val="99"/>
                <w:sz w:val="20"/>
              </w:rPr>
              <w:t>-</w:t>
            </w:r>
          </w:p>
        </w:tc>
        <w:tc>
          <w:tcPr>
            <w:tcW w:w="1260" w:type="dxa"/>
          </w:tcPr>
          <w:p>
            <w:pPr>
              <w:pStyle w:val="TableParagraph"/>
              <w:spacing w:line="215" w:lineRule="exact" w:before="45"/>
              <w:ind w:right="43"/>
              <w:jc w:val="right"/>
              <w:rPr>
                <w:sz w:val="20"/>
              </w:rPr>
            </w:pPr>
            <w:r>
              <w:rPr>
                <w:spacing w:val="-4"/>
                <w:sz w:val="20"/>
              </w:rPr>
              <w:t>1,79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spacing w:val="-2"/>
                <w:sz w:val="20"/>
              </w:rPr>
              <w:t>перинатальном</w:t>
            </w:r>
            <w:r>
              <w:rPr>
                <w:spacing w:val="10"/>
                <w:sz w:val="20"/>
              </w:rPr>
              <w:t> </w:t>
            </w:r>
            <w:r>
              <w:rPr>
                <w:spacing w:val="-2"/>
                <w:sz w:val="20"/>
              </w:rPr>
              <w:t>периоде</w:t>
            </w:r>
          </w:p>
        </w:tc>
        <w:tc>
          <w:tcPr>
            <w:tcW w:w="4432" w:type="dxa"/>
          </w:tcPr>
          <w:p>
            <w:pPr>
              <w:pStyle w:val="TableParagraph"/>
              <w:spacing w:line="210" w:lineRule="exact"/>
              <w:ind w:left="289"/>
              <w:rPr>
                <w:sz w:val="20"/>
              </w:rPr>
            </w:pPr>
            <w:r>
              <w:rPr>
                <w:sz w:val="20"/>
              </w:rPr>
              <w:t>P00.6,</w:t>
            </w:r>
            <w:r>
              <w:rPr>
                <w:spacing w:val="-7"/>
                <w:sz w:val="20"/>
              </w:rPr>
              <w:t> </w:t>
            </w:r>
            <w:r>
              <w:rPr>
                <w:sz w:val="20"/>
              </w:rPr>
              <w:t>P00.7,</w:t>
            </w:r>
            <w:r>
              <w:rPr>
                <w:spacing w:val="-6"/>
                <w:sz w:val="20"/>
              </w:rPr>
              <w:t> </w:t>
            </w:r>
            <w:r>
              <w:rPr>
                <w:sz w:val="20"/>
              </w:rPr>
              <w:t>P00.8,</w:t>
            </w:r>
            <w:r>
              <w:rPr>
                <w:spacing w:val="-6"/>
                <w:sz w:val="20"/>
              </w:rPr>
              <w:t> </w:t>
            </w:r>
            <w:r>
              <w:rPr>
                <w:sz w:val="20"/>
              </w:rPr>
              <w:t>P00.9,</w:t>
            </w:r>
            <w:r>
              <w:rPr>
                <w:spacing w:val="-7"/>
                <w:sz w:val="20"/>
              </w:rPr>
              <w:t> </w:t>
            </w:r>
            <w:r>
              <w:rPr>
                <w:sz w:val="20"/>
              </w:rPr>
              <w:t>P01,</w:t>
            </w:r>
            <w:r>
              <w:rPr>
                <w:spacing w:val="-4"/>
                <w:sz w:val="20"/>
              </w:rPr>
              <w:t> </w:t>
            </w:r>
            <w:r>
              <w:rPr>
                <w:sz w:val="20"/>
              </w:rPr>
              <w:t>P01.0,</w:t>
            </w:r>
            <w:r>
              <w:rPr>
                <w:spacing w:val="-5"/>
                <w:sz w:val="20"/>
              </w:rPr>
              <w:t> </w:t>
            </w:r>
            <w:r>
              <w:rPr>
                <w:spacing w:val="-2"/>
                <w:sz w:val="20"/>
              </w:rPr>
              <w:t>P01.1,</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32" w:type="dxa"/>
          </w:tcPr>
          <w:p>
            <w:pPr>
              <w:pStyle w:val="TableParagraph"/>
              <w:spacing w:line="210" w:lineRule="exact"/>
              <w:ind w:left="215"/>
              <w:rPr>
                <w:sz w:val="20"/>
              </w:rPr>
            </w:pPr>
            <w:r>
              <w:rPr>
                <w:sz w:val="20"/>
              </w:rPr>
              <w:t>P01.2,</w:t>
            </w:r>
            <w:r>
              <w:rPr>
                <w:spacing w:val="-7"/>
                <w:sz w:val="20"/>
              </w:rPr>
              <w:t> </w:t>
            </w:r>
            <w:r>
              <w:rPr>
                <w:sz w:val="20"/>
              </w:rPr>
              <w:t>P01.3,</w:t>
            </w:r>
            <w:r>
              <w:rPr>
                <w:spacing w:val="-6"/>
                <w:sz w:val="20"/>
              </w:rPr>
              <w:t> </w:t>
            </w:r>
            <w:r>
              <w:rPr>
                <w:sz w:val="20"/>
              </w:rPr>
              <w:t>P01.4,</w:t>
            </w:r>
            <w:r>
              <w:rPr>
                <w:spacing w:val="-6"/>
                <w:sz w:val="20"/>
              </w:rPr>
              <w:t> </w:t>
            </w:r>
            <w:r>
              <w:rPr>
                <w:sz w:val="20"/>
              </w:rPr>
              <w:t>P01.5,</w:t>
            </w:r>
            <w:r>
              <w:rPr>
                <w:spacing w:val="-6"/>
                <w:sz w:val="20"/>
              </w:rPr>
              <w:t> </w:t>
            </w:r>
            <w:r>
              <w:rPr>
                <w:sz w:val="20"/>
              </w:rPr>
              <w:t>P01.6,</w:t>
            </w:r>
            <w:r>
              <w:rPr>
                <w:spacing w:val="-6"/>
                <w:sz w:val="20"/>
              </w:rPr>
              <w:t> </w:t>
            </w:r>
            <w:r>
              <w:rPr>
                <w:sz w:val="20"/>
              </w:rPr>
              <w:t>P01.7,</w:t>
            </w:r>
            <w:r>
              <w:rPr>
                <w:spacing w:val="-6"/>
                <w:sz w:val="20"/>
              </w:rPr>
              <w:t> </w:t>
            </w:r>
            <w:r>
              <w:rPr>
                <w:spacing w:val="-2"/>
                <w:sz w:val="20"/>
              </w:rPr>
              <w:t>P01.8,</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32" w:type="dxa"/>
          </w:tcPr>
          <w:p>
            <w:pPr>
              <w:pStyle w:val="TableParagraph"/>
              <w:spacing w:line="210" w:lineRule="exact"/>
              <w:ind w:left="289"/>
              <w:rPr>
                <w:sz w:val="20"/>
              </w:rPr>
            </w:pPr>
            <w:r>
              <w:rPr>
                <w:sz w:val="20"/>
              </w:rPr>
              <w:t>P01.9,</w:t>
            </w:r>
            <w:r>
              <w:rPr>
                <w:spacing w:val="-7"/>
                <w:sz w:val="20"/>
              </w:rPr>
              <w:t> </w:t>
            </w:r>
            <w:r>
              <w:rPr>
                <w:sz w:val="20"/>
              </w:rPr>
              <w:t>P02,</w:t>
            </w:r>
            <w:r>
              <w:rPr>
                <w:spacing w:val="-5"/>
                <w:sz w:val="20"/>
              </w:rPr>
              <w:t> </w:t>
            </w:r>
            <w:r>
              <w:rPr>
                <w:sz w:val="20"/>
              </w:rPr>
              <w:t>P02.0,</w:t>
            </w:r>
            <w:r>
              <w:rPr>
                <w:spacing w:val="-6"/>
                <w:sz w:val="20"/>
              </w:rPr>
              <w:t> </w:t>
            </w:r>
            <w:r>
              <w:rPr>
                <w:sz w:val="20"/>
              </w:rPr>
              <w:t>P02.1,</w:t>
            </w:r>
            <w:r>
              <w:rPr>
                <w:spacing w:val="-6"/>
                <w:sz w:val="20"/>
              </w:rPr>
              <w:t> </w:t>
            </w:r>
            <w:r>
              <w:rPr>
                <w:sz w:val="20"/>
              </w:rPr>
              <w:t>P02.2,</w:t>
            </w:r>
            <w:r>
              <w:rPr>
                <w:spacing w:val="-5"/>
                <w:sz w:val="20"/>
              </w:rPr>
              <w:t> </w:t>
            </w:r>
            <w:r>
              <w:rPr>
                <w:sz w:val="20"/>
              </w:rPr>
              <w:t>P02.3,</w:t>
            </w:r>
            <w:r>
              <w:rPr>
                <w:spacing w:val="-5"/>
                <w:sz w:val="20"/>
              </w:rPr>
              <w:t> </w:t>
            </w:r>
            <w:r>
              <w:rPr>
                <w:spacing w:val="-2"/>
                <w:sz w:val="20"/>
              </w:rPr>
              <w:t>P02.4,</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32" w:type="dxa"/>
          </w:tcPr>
          <w:p>
            <w:pPr>
              <w:pStyle w:val="TableParagraph"/>
              <w:spacing w:line="205" w:lineRule="exact"/>
              <w:ind w:left="289"/>
              <w:rPr>
                <w:sz w:val="20"/>
              </w:rPr>
            </w:pPr>
            <w:r>
              <w:rPr>
                <w:sz w:val="20"/>
              </w:rPr>
              <w:t>P02.5,</w:t>
            </w:r>
            <w:r>
              <w:rPr>
                <w:spacing w:val="-6"/>
                <w:sz w:val="20"/>
              </w:rPr>
              <w:t> </w:t>
            </w:r>
            <w:r>
              <w:rPr>
                <w:sz w:val="20"/>
              </w:rPr>
              <w:t>P02.6,</w:t>
            </w:r>
            <w:r>
              <w:rPr>
                <w:spacing w:val="-6"/>
                <w:sz w:val="20"/>
              </w:rPr>
              <w:t> </w:t>
            </w:r>
            <w:r>
              <w:rPr>
                <w:sz w:val="20"/>
              </w:rPr>
              <w:t>P02.7,</w:t>
            </w:r>
            <w:r>
              <w:rPr>
                <w:spacing w:val="-6"/>
                <w:sz w:val="20"/>
              </w:rPr>
              <w:t> </w:t>
            </w:r>
            <w:r>
              <w:rPr>
                <w:sz w:val="20"/>
              </w:rPr>
              <w:t>P02.8,</w:t>
            </w:r>
            <w:r>
              <w:rPr>
                <w:spacing w:val="-6"/>
                <w:sz w:val="20"/>
              </w:rPr>
              <w:t> </w:t>
            </w:r>
            <w:r>
              <w:rPr>
                <w:sz w:val="20"/>
              </w:rPr>
              <w:t>P02.9,</w:t>
            </w:r>
            <w:r>
              <w:rPr>
                <w:spacing w:val="-6"/>
                <w:sz w:val="20"/>
              </w:rPr>
              <w:t> </w:t>
            </w:r>
            <w:r>
              <w:rPr>
                <w:sz w:val="20"/>
              </w:rPr>
              <w:t>P03,</w:t>
            </w:r>
            <w:r>
              <w:rPr>
                <w:spacing w:val="-5"/>
                <w:sz w:val="20"/>
              </w:rPr>
              <w:t> </w:t>
            </w:r>
            <w:r>
              <w:rPr>
                <w:spacing w:val="-2"/>
                <w:sz w:val="20"/>
              </w:rPr>
              <w:t>P03.0,</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5" w:right="0" w:firstLine="0"/>
        <w:jc w:val="left"/>
        <w:rPr>
          <w:sz w:val="20"/>
        </w:rPr>
      </w:pPr>
      <w:r>
        <w:rPr>
          <w:sz w:val="20"/>
        </w:rPr>
        <w:t>P03.1,</w:t>
      </w:r>
      <w:r>
        <w:rPr>
          <w:spacing w:val="-7"/>
          <w:sz w:val="20"/>
        </w:rPr>
        <w:t> </w:t>
      </w:r>
      <w:r>
        <w:rPr>
          <w:sz w:val="20"/>
        </w:rPr>
        <w:t>P03.2,</w:t>
      </w:r>
      <w:r>
        <w:rPr>
          <w:spacing w:val="-6"/>
          <w:sz w:val="20"/>
        </w:rPr>
        <w:t> </w:t>
      </w:r>
      <w:r>
        <w:rPr>
          <w:sz w:val="20"/>
        </w:rPr>
        <w:t>P03.3,</w:t>
      </w:r>
      <w:r>
        <w:rPr>
          <w:spacing w:val="-6"/>
          <w:sz w:val="20"/>
        </w:rPr>
        <w:t> </w:t>
      </w:r>
      <w:r>
        <w:rPr>
          <w:sz w:val="20"/>
        </w:rPr>
        <w:t>P03.4,</w:t>
      </w:r>
      <w:r>
        <w:rPr>
          <w:spacing w:val="-6"/>
          <w:sz w:val="20"/>
        </w:rPr>
        <w:t> </w:t>
      </w:r>
      <w:r>
        <w:rPr>
          <w:sz w:val="20"/>
        </w:rPr>
        <w:t>P03.5,</w:t>
      </w:r>
      <w:r>
        <w:rPr>
          <w:spacing w:val="-6"/>
          <w:sz w:val="20"/>
        </w:rPr>
        <w:t> </w:t>
      </w:r>
      <w:r>
        <w:rPr>
          <w:sz w:val="20"/>
        </w:rPr>
        <w:t>P03.6,</w:t>
      </w:r>
      <w:r>
        <w:rPr>
          <w:spacing w:val="-6"/>
          <w:sz w:val="20"/>
        </w:rPr>
        <w:t> </w:t>
      </w:r>
      <w:r>
        <w:rPr>
          <w:spacing w:val="-2"/>
          <w:sz w:val="20"/>
        </w:rPr>
        <w:t>P03.8,</w:t>
      </w:r>
    </w:p>
    <w:p>
      <w:pPr>
        <w:spacing w:line="229" w:lineRule="exact" w:before="1"/>
        <w:ind w:left="4720" w:right="0" w:firstLine="0"/>
        <w:jc w:val="left"/>
        <w:rPr>
          <w:sz w:val="20"/>
        </w:rPr>
      </w:pPr>
      <w:r>
        <w:rPr>
          <w:sz w:val="20"/>
        </w:rPr>
        <w:t>P03.9,</w:t>
      </w:r>
      <w:r>
        <w:rPr>
          <w:spacing w:val="-7"/>
          <w:sz w:val="20"/>
        </w:rPr>
        <w:t> </w:t>
      </w:r>
      <w:r>
        <w:rPr>
          <w:sz w:val="20"/>
        </w:rPr>
        <w:t>P04,</w:t>
      </w:r>
      <w:r>
        <w:rPr>
          <w:spacing w:val="-5"/>
          <w:sz w:val="20"/>
        </w:rPr>
        <w:t> </w:t>
      </w:r>
      <w:r>
        <w:rPr>
          <w:sz w:val="20"/>
        </w:rPr>
        <w:t>P04.0,</w:t>
      </w:r>
      <w:r>
        <w:rPr>
          <w:spacing w:val="-6"/>
          <w:sz w:val="20"/>
        </w:rPr>
        <w:t> </w:t>
      </w:r>
      <w:r>
        <w:rPr>
          <w:sz w:val="20"/>
        </w:rPr>
        <w:t>P04.1,</w:t>
      </w:r>
      <w:r>
        <w:rPr>
          <w:spacing w:val="-6"/>
          <w:sz w:val="20"/>
        </w:rPr>
        <w:t> </w:t>
      </w:r>
      <w:r>
        <w:rPr>
          <w:sz w:val="20"/>
        </w:rPr>
        <w:t>P04.2,</w:t>
      </w:r>
      <w:r>
        <w:rPr>
          <w:spacing w:val="-5"/>
          <w:sz w:val="20"/>
        </w:rPr>
        <w:t> </w:t>
      </w:r>
      <w:r>
        <w:rPr>
          <w:sz w:val="20"/>
        </w:rPr>
        <w:t>P04.3,</w:t>
      </w:r>
      <w:r>
        <w:rPr>
          <w:spacing w:val="-5"/>
          <w:sz w:val="20"/>
        </w:rPr>
        <w:t> </w:t>
      </w:r>
      <w:r>
        <w:rPr>
          <w:spacing w:val="-2"/>
          <w:sz w:val="20"/>
        </w:rPr>
        <w:t>P04.4,</w:t>
      </w:r>
    </w:p>
    <w:p>
      <w:pPr>
        <w:spacing w:line="229" w:lineRule="exact" w:before="0"/>
        <w:ind w:left="4720" w:right="0" w:firstLine="0"/>
        <w:jc w:val="left"/>
        <w:rPr>
          <w:sz w:val="20"/>
        </w:rPr>
      </w:pPr>
      <w:r>
        <w:rPr>
          <w:sz w:val="20"/>
        </w:rPr>
        <w:t>P04.5,</w:t>
      </w:r>
      <w:r>
        <w:rPr>
          <w:spacing w:val="-7"/>
          <w:sz w:val="20"/>
        </w:rPr>
        <w:t> </w:t>
      </w:r>
      <w:r>
        <w:rPr>
          <w:sz w:val="20"/>
        </w:rPr>
        <w:t>P04.6,</w:t>
      </w:r>
      <w:r>
        <w:rPr>
          <w:spacing w:val="-6"/>
          <w:sz w:val="20"/>
        </w:rPr>
        <w:t> </w:t>
      </w:r>
      <w:r>
        <w:rPr>
          <w:sz w:val="20"/>
        </w:rPr>
        <w:t>P04.8,</w:t>
      </w:r>
      <w:r>
        <w:rPr>
          <w:spacing w:val="-6"/>
          <w:sz w:val="20"/>
        </w:rPr>
        <w:t> </w:t>
      </w:r>
      <w:r>
        <w:rPr>
          <w:sz w:val="20"/>
        </w:rPr>
        <w:t>P04.9,</w:t>
      </w:r>
      <w:r>
        <w:rPr>
          <w:spacing w:val="-7"/>
          <w:sz w:val="20"/>
        </w:rPr>
        <w:t> </w:t>
      </w:r>
      <w:r>
        <w:rPr>
          <w:sz w:val="20"/>
        </w:rPr>
        <w:t>P05,</w:t>
      </w:r>
      <w:r>
        <w:rPr>
          <w:spacing w:val="-4"/>
          <w:sz w:val="20"/>
        </w:rPr>
        <w:t> </w:t>
      </w:r>
      <w:r>
        <w:rPr>
          <w:sz w:val="20"/>
        </w:rPr>
        <w:t>P05.0,</w:t>
      </w:r>
      <w:r>
        <w:rPr>
          <w:spacing w:val="-5"/>
          <w:sz w:val="20"/>
        </w:rPr>
        <w:t> </w:t>
      </w:r>
      <w:r>
        <w:rPr>
          <w:spacing w:val="-2"/>
          <w:sz w:val="20"/>
        </w:rPr>
        <w:t>P05.1,</w:t>
      </w:r>
    </w:p>
    <w:p>
      <w:pPr>
        <w:spacing w:before="0"/>
        <w:ind w:left="4720" w:right="0" w:firstLine="0"/>
        <w:jc w:val="left"/>
        <w:rPr>
          <w:sz w:val="20"/>
        </w:rPr>
      </w:pPr>
      <w:r>
        <w:rPr>
          <w:sz w:val="20"/>
        </w:rPr>
        <w:t>P05.2,</w:t>
      </w:r>
      <w:r>
        <w:rPr>
          <w:spacing w:val="-6"/>
          <w:sz w:val="20"/>
        </w:rPr>
        <w:t> </w:t>
      </w:r>
      <w:r>
        <w:rPr>
          <w:sz w:val="20"/>
        </w:rPr>
        <w:t>P05.9,</w:t>
      </w:r>
      <w:r>
        <w:rPr>
          <w:spacing w:val="-6"/>
          <w:sz w:val="20"/>
        </w:rPr>
        <w:t> </w:t>
      </w:r>
      <w:r>
        <w:rPr>
          <w:sz w:val="20"/>
        </w:rPr>
        <w:t>P07.1,</w:t>
      </w:r>
      <w:r>
        <w:rPr>
          <w:spacing w:val="-6"/>
          <w:sz w:val="20"/>
        </w:rPr>
        <w:t> </w:t>
      </w:r>
      <w:r>
        <w:rPr>
          <w:sz w:val="20"/>
        </w:rPr>
        <w:t>P07.3,</w:t>
      </w:r>
      <w:r>
        <w:rPr>
          <w:spacing w:val="-6"/>
          <w:sz w:val="20"/>
        </w:rPr>
        <w:t> </w:t>
      </w:r>
      <w:r>
        <w:rPr>
          <w:sz w:val="20"/>
        </w:rPr>
        <w:t>P08,</w:t>
      </w:r>
      <w:r>
        <w:rPr>
          <w:spacing w:val="-5"/>
          <w:sz w:val="20"/>
        </w:rPr>
        <w:t> </w:t>
      </w:r>
      <w:r>
        <w:rPr>
          <w:sz w:val="20"/>
        </w:rPr>
        <w:t>P08.0,</w:t>
      </w:r>
      <w:r>
        <w:rPr>
          <w:spacing w:val="-4"/>
          <w:sz w:val="20"/>
        </w:rPr>
        <w:t> </w:t>
      </w:r>
      <w:r>
        <w:rPr>
          <w:spacing w:val="-2"/>
          <w:sz w:val="20"/>
        </w:rPr>
        <w:t>P08.1,</w:t>
      </w:r>
    </w:p>
    <w:p>
      <w:pPr>
        <w:spacing w:before="1"/>
        <w:ind w:left="4720" w:right="0" w:firstLine="0"/>
        <w:jc w:val="left"/>
        <w:rPr>
          <w:sz w:val="20"/>
        </w:rPr>
      </w:pPr>
      <w:r>
        <w:rPr>
          <w:sz w:val="20"/>
        </w:rPr>
        <w:t>P08.2,</w:t>
      </w:r>
      <w:r>
        <w:rPr>
          <w:spacing w:val="-7"/>
          <w:sz w:val="20"/>
        </w:rPr>
        <w:t> </w:t>
      </w:r>
      <w:r>
        <w:rPr>
          <w:sz w:val="20"/>
        </w:rPr>
        <w:t>P10,</w:t>
      </w:r>
      <w:r>
        <w:rPr>
          <w:spacing w:val="-5"/>
          <w:sz w:val="20"/>
        </w:rPr>
        <w:t> </w:t>
      </w:r>
      <w:r>
        <w:rPr>
          <w:sz w:val="20"/>
        </w:rPr>
        <w:t>P10.0,</w:t>
      </w:r>
      <w:r>
        <w:rPr>
          <w:spacing w:val="-6"/>
          <w:sz w:val="20"/>
        </w:rPr>
        <w:t> </w:t>
      </w:r>
      <w:r>
        <w:rPr>
          <w:sz w:val="20"/>
        </w:rPr>
        <w:t>P10.1,</w:t>
      </w:r>
      <w:r>
        <w:rPr>
          <w:spacing w:val="-6"/>
          <w:sz w:val="20"/>
        </w:rPr>
        <w:t> </w:t>
      </w:r>
      <w:r>
        <w:rPr>
          <w:sz w:val="20"/>
        </w:rPr>
        <w:t>P10.2,</w:t>
      </w:r>
      <w:r>
        <w:rPr>
          <w:spacing w:val="-5"/>
          <w:sz w:val="20"/>
        </w:rPr>
        <w:t> </w:t>
      </w:r>
      <w:r>
        <w:rPr>
          <w:sz w:val="20"/>
        </w:rPr>
        <w:t>P10.3,</w:t>
      </w:r>
      <w:r>
        <w:rPr>
          <w:spacing w:val="-5"/>
          <w:sz w:val="20"/>
        </w:rPr>
        <w:t> </w:t>
      </w:r>
      <w:r>
        <w:rPr>
          <w:spacing w:val="-2"/>
          <w:sz w:val="20"/>
        </w:rPr>
        <w:t>P10.4,</w:t>
      </w:r>
    </w:p>
    <w:p>
      <w:pPr>
        <w:spacing w:before="0"/>
        <w:ind w:left="4720" w:right="0" w:firstLine="0"/>
        <w:jc w:val="left"/>
        <w:rPr>
          <w:sz w:val="20"/>
        </w:rPr>
      </w:pPr>
      <w:r>
        <w:rPr>
          <w:sz w:val="20"/>
        </w:rPr>
        <w:t>P10.8,</w:t>
      </w:r>
      <w:r>
        <w:rPr>
          <w:spacing w:val="-7"/>
          <w:sz w:val="20"/>
        </w:rPr>
        <w:t> </w:t>
      </w:r>
      <w:r>
        <w:rPr>
          <w:sz w:val="20"/>
        </w:rPr>
        <w:t>P10.9,</w:t>
      </w:r>
      <w:r>
        <w:rPr>
          <w:spacing w:val="-6"/>
          <w:sz w:val="20"/>
        </w:rPr>
        <w:t> </w:t>
      </w:r>
      <w:r>
        <w:rPr>
          <w:sz w:val="20"/>
        </w:rPr>
        <w:t>P11,</w:t>
      </w:r>
      <w:r>
        <w:rPr>
          <w:spacing w:val="-6"/>
          <w:sz w:val="20"/>
        </w:rPr>
        <w:t> </w:t>
      </w:r>
      <w:r>
        <w:rPr>
          <w:sz w:val="20"/>
        </w:rPr>
        <w:t>P11.0,</w:t>
      </w:r>
      <w:r>
        <w:rPr>
          <w:spacing w:val="-7"/>
          <w:sz w:val="20"/>
        </w:rPr>
        <w:t> </w:t>
      </w:r>
      <w:r>
        <w:rPr>
          <w:sz w:val="20"/>
        </w:rPr>
        <w:t>P11.1,</w:t>
      </w:r>
      <w:r>
        <w:rPr>
          <w:spacing w:val="-4"/>
          <w:sz w:val="20"/>
        </w:rPr>
        <w:t> </w:t>
      </w:r>
      <w:r>
        <w:rPr>
          <w:sz w:val="20"/>
        </w:rPr>
        <w:t>P11.2,</w:t>
      </w:r>
      <w:r>
        <w:rPr>
          <w:spacing w:val="-5"/>
          <w:sz w:val="20"/>
        </w:rPr>
        <w:t> </w:t>
      </w:r>
      <w:r>
        <w:rPr>
          <w:spacing w:val="-2"/>
          <w:sz w:val="20"/>
        </w:rPr>
        <w:t>P11.3,</w:t>
      </w:r>
    </w:p>
    <w:p>
      <w:pPr>
        <w:spacing w:before="0"/>
        <w:ind w:left="4720" w:right="0" w:firstLine="0"/>
        <w:jc w:val="left"/>
        <w:rPr>
          <w:sz w:val="20"/>
        </w:rPr>
      </w:pPr>
      <w:r>
        <w:rPr>
          <w:sz w:val="20"/>
        </w:rPr>
        <w:t>P11.4,</w:t>
      </w:r>
      <w:r>
        <w:rPr>
          <w:spacing w:val="-7"/>
          <w:sz w:val="20"/>
        </w:rPr>
        <w:t> </w:t>
      </w:r>
      <w:r>
        <w:rPr>
          <w:sz w:val="20"/>
        </w:rPr>
        <w:t>P11.5,</w:t>
      </w:r>
      <w:r>
        <w:rPr>
          <w:spacing w:val="-6"/>
          <w:sz w:val="20"/>
        </w:rPr>
        <w:t> </w:t>
      </w:r>
      <w:r>
        <w:rPr>
          <w:sz w:val="20"/>
        </w:rPr>
        <w:t>P11.9,</w:t>
      </w:r>
      <w:r>
        <w:rPr>
          <w:spacing w:val="-7"/>
          <w:sz w:val="20"/>
        </w:rPr>
        <w:t> </w:t>
      </w:r>
      <w:r>
        <w:rPr>
          <w:sz w:val="20"/>
        </w:rPr>
        <w:t>P12,</w:t>
      </w:r>
      <w:r>
        <w:rPr>
          <w:spacing w:val="-6"/>
          <w:sz w:val="20"/>
        </w:rPr>
        <w:t> </w:t>
      </w:r>
      <w:r>
        <w:rPr>
          <w:sz w:val="20"/>
        </w:rPr>
        <w:t>P12.0,</w:t>
      </w:r>
      <w:r>
        <w:rPr>
          <w:spacing w:val="-5"/>
          <w:sz w:val="20"/>
        </w:rPr>
        <w:t> </w:t>
      </w:r>
      <w:r>
        <w:rPr>
          <w:sz w:val="20"/>
        </w:rPr>
        <w:t>P12.1,</w:t>
      </w:r>
      <w:r>
        <w:rPr>
          <w:spacing w:val="-5"/>
          <w:sz w:val="20"/>
        </w:rPr>
        <w:t> </w:t>
      </w:r>
      <w:r>
        <w:rPr>
          <w:spacing w:val="-2"/>
          <w:sz w:val="20"/>
        </w:rPr>
        <w:t>P12.2,</w:t>
      </w:r>
    </w:p>
    <w:p>
      <w:pPr>
        <w:spacing w:line="229" w:lineRule="exact" w:before="1"/>
        <w:ind w:left="4720" w:right="0" w:firstLine="0"/>
        <w:jc w:val="left"/>
        <w:rPr>
          <w:sz w:val="20"/>
        </w:rPr>
      </w:pPr>
      <w:r>
        <w:rPr>
          <w:sz w:val="20"/>
        </w:rPr>
        <w:t>P12.3,</w:t>
      </w:r>
      <w:r>
        <w:rPr>
          <w:spacing w:val="-7"/>
          <w:sz w:val="20"/>
        </w:rPr>
        <w:t> </w:t>
      </w:r>
      <w:r>
        <w:rPr>
          <w:sz w:val="20"/>
        </w:rPr>
        <w:t>P12.4,</w:t>
      </w:r>
      <w:r>
        <w:rPr>
          <w:spacing w:val="-6"/>
          <w:sz w:val="20"/>
        </w:rPr>
        <w:t> </w:t>
      </w:r>
      <w:r>
        <w:rPr>
          <w:sz w:val="20"/>
        </w:rPr>
        <w:t>P12.8,</w:t>
      </w:r>
      <w:r>
        <w:rPr>
          <w:spacing w:val="-6"/>
          <w:sz w:val="20"/>
        </w:rPr>
        <w:t> </w:t>
      </w:r>
      <w:r>
        <w:rPr>
          <w:sz w:val="20"/>
        </w:rPr>
        <w:t>P12.9,</w:t>
      </w:r>
      <w:r>
        <w:rPr>
          <w:spacing w:val="-7"/>
          <w:sz w:val="20"/>
        </w:rPr>
        <w:t> </w:t>
      </w:r>
      <w:r>
        <w:rPr>
          <w:sz w:val="20"/>
        </w:rPr>
        <w:t>P13,</w:t>
      </w:r>
      <w:r>
        <w:rPr>
          <w:spacing w:val="-4"/>
          <w:sz w:val="20"/>
        </w:rPr>
        <w:t> </w:t>
      </w:r>
      <w:r>
        <w:rPr>
          <w:sz w:val="20"/>
        </w:rPr>
        <w:t>P13.0,</w:t>
      </w:r>
      <w:r>
        <w:rPr>
          <w:spacing w:val="-5"/>
          <w:sz w:val="20"/>
        </w:rPr>
        <w:t> </w:t>
      </w:r>
      <w:r>
        <w:rPr>
          <w:spacing w:val="-2"/>
          <w:sz w:val="20"/>
        </w:rPr>
        <w:t>P13.1,</w:t>
      </w:r>
    </w:p>
    <w:p>
      <w:pPr>
        <w:spacing w:line="229" w:lineRule="exact" w:before="0"/>
        <w:ind w:left="4720" w:right="0" w:firstLine="0"/>
        <w:jc w:val="left"/>
        <w:rPr>
          <w:sz w:val="20"/>
        </w:rPr>
      </w:pPr>
      <w:r>
        <w:rPr>
          <w:sz w:val="20"/>
        </w:rPr>
        <w:t>P13.2,</w:t>
      </w:r>
      <w:r>
        <w:rPr>
          <w:spacing w:val="-5"/>
          <w:sz w:val="20"/>
        </w:rPr>
        <w:t> </w:t>
      </w:r>
      <w:r>
        <w:rPr>
          <w:sz w:val="20"/>
        </w:rPr>
        <w:t>P13.3,</w:t>
      </w:r>
      <w:r>
        <w:rPr>
          <w:spacing w:val="-6"/>
          <w:sz w:val="20"/>
        </w:rPr>
        <w:t> </w:t>
      </w:r>
      <w:r>
        <w:rPr>
          <w:sz w:val="20"/>
        </w:rPr>
        <w:t>P13.4,</w:t>
      </w:r>
      <w:r>
        <w:rPr>
          <w:spacing w:val="-5"/>
          <w:sz w:val="20"/>
        </w:rPr>
        <w:t> </w:t>
      </w:r>
      <w:r>
        <w:rPr>
          <w:sz w:val="20"/>
        </w:rPr>
        <w:t>P13.8,</w:t>
      </w:r>
      <w:r>
        <w:rPr>
          <w:spacing w:val="-5"/>
          <w:sz w:val="20"/>
        </w:rPr>
        <w:t> </w:t>
      </w:r>
      <w:r>
        <w:rPr>
          <w:sz w:val="20"/>
        </w:rPr>
        <w:t>P13.9,</w:t>
      </w:r>
      <w:r>
        <w:rPr>
          <w:spacing w:val="-5"/>
          <w:sz w:val="20"/>
        </w:rPr>
        <w:t> </w:t>
      </w:r>
      <w:r>
        <w:rPr>
          <w:sz w:val="20"/>
        </w:rPr>
        <w:t>P14,</w:t>
      </w:r>
      <w:r>
        <w:rPr>
          <w:spacing w:val="-3"/>
          <w:sz w:val="20"/>
        </w:rPr>
        <w:t> </w:t>
      </w:r>
      <w:r>
        <w:rPr>
          <w:spacing w:val="-2"/>
          <w:sz w:val="20"/>
        </w:rPr>
        <w:t>P14.0,</w:t>
      </w:r>
    </w:p>
    <w:p>
      <w:pPr>
        <w:spacing w:before="1"/>
        <w:ind w:left="4720" w:right="0" w:firstLine="0"/>
        <w:jc w:val="left"/>
        <w:rPr>
          <w:sz w:val="20"/>
        </w:rPr>
      </w:pPr>
      <w:r>
        <w:rPr>
          <w:sz w:val="20"/>
        </w:rPr>
        <w:t>P14.1,</w:t>
      </w:r>
      <w:r>
        <w:rPr>
          <w:spacing w:val="-6"/>
          <w:sz w:val="20"/>
        </w:rPr>
        <w:t> </w:t>
      </w:r>
      <w:r>
        <w:rPr>
          <w:sz w:val="20"/>
        </w:rPr>
        <w:t>P14.2,</w:t>
      </w:r>
      <w:r>
        <w:rPr>
          <w:spacing w:val="-6"/>
          <w:sz w:val="20"/>
        </w:rPr>
        <w:t> </w:t>
      </w:r>
      <w:r>
        <w:rPr>
          <w:sz w:val="20"/>
        </w:rPr>
        <w:t>P14.3,</w:t>
      </w:r>
      <w:r>
        <w:rPr>
          <w:spacing w:val="-6"/>
          <w:sz w:val="20"/>
        </w:rPr>
        <w:t> </w:t>
      </w:r>
      <w:r>
        <w:rPr>
          <w:sz w:val="20"/>
        </w:rPr>
        <w:t>P14.8,</w:t>
      </w:r>
      <w:r>
        <w:rPr>
          <w:spacing w:val="-6"/>
          <w:sz w:val="20"/>
        </w:rPr>
        <w:t> </w:t>
      </w:r>
      <w:r>
        <w:rPr>
          <w:sz w:val="20"/>
        </w:rPr>
        <w:t>P14.9,</w:t>
      </w:r>
      <w:r>
        <w:rPr>
          <w:spacing w:val="-6"/>
          <w:sz w:val="20"/>
        </w:rPr>
        <w:t> </w:t>
      </w:r>
      <w:r>
        <w:rPr>
          <w:sz w:val="20"/>
        </w:rPr>
        <w:t>P15,</w:t>
      </w:r>
      <w:r>
        <w:rPr>
          <w:spacing w:val="-5"/>
          <w:sz w:val="20"/>
        </w:rPr>
        <w:t> </w:t>
      </w:r>
      <w:r>
        <w:rPr>
          <w:spacing w:val="-2"/>
          <w:sz w:val="20"/>
        </w:rPr>
        <w:t>P15.0,</w:t>
      </w:r>
    </w:p>
    <w:p>
      <w:pPr>
        <w:spacing w:before="0"/>
        <w:ind w:left="4645" w:right="0" w:firstLine="0"/>
        <w:jc w:val="left"/>
        <w:rPr>
          <w:sz w:val="20"/>
        </w:rPr>
      </w:pPr>
      <w:r>
        <w:rPr>
          <w:sz w:val="20"/>
        </w:rPr>
        <w:t>P15.1,</w:t>
      </w:r>
      <w:r>
        <w:rPr>
          <w:spacing w:val="-7"/>
          <w:sz w:val="20"/>
        </w:rPr>
        <w:t> </w:t>
      </w:r>
      <w:r>
        <w:rPr>
          <w:sz w:val="20"/>
        </w:rPr>
        <w:t>P15.2,</w:t>
      </w:r>
      <w:r>
        <w:rPr>
          <w:spacing w:val="-6"/>
          <w:sz w:val="20"/>
        </w:rPr>
        <w:t> </w:t>
      </w:r>
      <w:r>
        <w:rPr>
          <w:sz w:val="20"/>
        </w:rPr>
        <w:t>P15.3,</w:t>
      </w:r>
      <w:r>
        <w:rPr>
          <w:spacing w:val="-6"/>
          <w:sz w:val="20"/>
        </w:rPr>
        <w:t> </w:t>
      </w:r>
      <w:r>
        <w:rPr>
          <w:sz w:val="20"/>
        </w:rPr>
        <w:t>P15.4,</w:t>
      </w:r>
      <w:r>
        <w:rPr>
          <w:spacing w:val="-6"/>
          <w:sz w:val="20"/>
        </w:rPr>
        <w:t> </w:t>
      </w:r>
      <w:r>
        <w:rPr>
          <w:sz w:val="20"/>
        </w:rPr>
        <w:t>P15.5,</w:t>
      </w:r>
      <w:r>
        <w:rPr>
          <w:spacing w:val="-6"/>
          <w:sz w:val="20"/>
        </w:rPr>
        <w:t> </w:t>
      </w:r>
      <w:r>
        <w:rPr>
          <w:sz w:val="20"/>
        </w:rPr>
        <w:t>P15.6,</w:t>
      </w:r>
      <w:r>
        <w:rPr>
          <w:spacing w:val="-6"/>
          <w:sz w:val="20"/>
        </w:rPr>
        <w:t> </w:t>
      </w:r>
      <w:r>
        <w:rPr>
          <w:spacing w:val="-2"/>
          <w:sz w:val="20"/>
        </w:rPr>
        <w:t>P15.8,</w:t>
      </w:r>
    </w:p>
    <w:p>
      <w:pPr>
        <w:spacing w:before="1"/>
        <w:ind w:left="4794" w:right="0" w:firstLine="0"/>
        <w:jc w:val="left"/>
        <w:rPr>
          <w:sz w:val="20"/>
        </w:rPr>
      </w:pPr>
      <w:r>
        <w:rPr>
          <w:sz w:val="20"/>
        </w:rPr>
        <w:t>P15.9,</w:t>
      </w:r>
      <w:r>
        <w:rPr>
          <w:spacing w:val="-6"/>
          <w:sz w:val="20"/>
        </w:rPr>
        <w:t> </w:t>
      </w:r>
      <w:r>
        <w:rPr>
          <w:sz w:val="20"/>
        </w:rPr>
        <w:t>P20,</w:t>
      </w:r>
      <w:r>
        <w:rPr>
          <w:spacing w:val="-4"/>
          <w:sz w:val="20"/>
        </w:rPr>
        <w:t> </w:t>
      </w:r>
      <w:r>
        <w:rPr>
          <w:sz w:val="20"/>
        </w:rPr>
        <w:t>P20.0,</w:t>
      </w:r>
      <w:r>
        <w:rPr>
          <w:spacing w:val="-6"/>
          <w:sz w:val="20"/>
        </w:rPr>
        <w:t> </w:t>
      </w:r>
      <w:r>
        <w:rPr>
          <w:sz w:val="20"/>
        </w:rPr>
        <w:t>P20.1,</w:t>
      </w:r>
      <w:r>
        <w:rPr>
          <w:spacing w:val="-6"/>
          <w:sz w:val="20"/>
        </w:rPr>
        <w:t> </w:t>
      </w:r>
      <w:r>
        <w:rPr>
          <w:sz w:val="20"/>
        </w:rPr>
        <w:t>P20.9,</w:t>
      </w:r>
      <w:r>
        <w:rPr>
          <w:spacing w:val="-4"/>
          <w:sz w:val="20"/>
        </w:rPr>
        <w:t> </w:t>
      </w:r>
      <w:r>
        <w:rPr>
          <w:sz w:val="20"/>
        </w:rPr>
        <w:t>P21,</w:t>
      </w:r>
      <w:r>
        <w:rPr>
          <w:spacing w:val="-6"/>
          <w:sz w:val="20"/>
        </w:rPr>
        <w:t> </w:t>
      </w:r>
      <w:r>
        <w:rPr>
          <w:spacing w:val="-2"/>
          <w:sz w:val="20"/>
        </w:rPr>
        <w:t>P21.0,</w:t>
      </w:r>
    </w:p>
    <w:p>
      <w:pPr>
        <w:spacing w:before="0"/>
        <w:ind w:left="4720" w:right="0" w:firstLine="0"/>
        <w:jc w:val="left"/>
        <w:rPr>
          <w:sz w:val="20"/>
        </w:rPr>
      </w:pPr>
      <w:r>
        <w:rPr>
          <w:sz w:val="20"/>
        </w:rPr>
        <w:t>P21.1,</w:t>
      </w:r>
      <w:r>
        <w:rPr>
          <w:spacing w:val="-7"/>
          <w:sz w:val="20"/>
        </w:rPr>
        <w:t> </w:t>
      </w:r>
      <w:r>
        <w:rPr>
          <w:sz w:val="20"/>
        </w:rPr>
        <w:t>P21.9,</w:t>
      </w:r>
      <w:r>
        <w:rPr>
          <w:spacing w:val="-6"/>
          <w:sz w:val="20"/>
        </w:rPr>
        <w:t> </w:t>
      </w:r>
      <w:r>
        <w:rPr>
          <w:sz w:val="20"/>
        </w:rPr>
        <w:t>P22,</w:t>
      </w:r>
      <w:r>
        <w:rPr>
          <w:spacing w:val="-6"/>
          <w:sz w:val="20"/>
        </w:rPr>
        <w:t> </w:t>
      </w:r>
      <w:r>
        <w:rPr>
          <w:sz w:val="20"/>
        </w:rPr>
        <w:t>P22.0,</w:t>
      </w:r>
      <w:r>
        <w:rPr>
          <w:spacing w:val="-7"/>
          <w:sz w:val="20"/>
        </w:rPr>
        <w:t> </w:t>
      </w:r>
      <w:r>
        <w:rPr>
          <w:sz w:val="20"/>
        </w:rPr>
        <w:t>P22.1,</w:t>
      </w:r>
      <w:r>
        <w:rPr>
          <w:spacing w:val="-4"/>
          <w:sz w:val="20"/>
        </w:rPr>
        <w:t> </w:t>
      </w:r>
      <w:r>
        <w:rPr>
          <w:sz w:val="20"/>
        </w:rPr>
        <w:t>P22.8,</w:t>
      </w:r>
      <w:r>
        <w:rPr>
          <w:spacing w:val="-5"/>
          <w:sz w:val="20"/>
        </w:rPr>
        <w:t> </w:t>
      </w:r>
      <w:r>
        <w:rPr>
          <w:spacing w:val="-2"/>
          <w:sz w:val="20"/>
        </w:rPr>
        <w:t>P22.9,</w:t>
      </w:r>
    </w:p>
    <w:p>
      <w:pPr>
        <w:spacing w:line="229" w:lineRule="exact" w:before="1"/>
        <w:ind w:left="4720" w:right="0" w:firstLine="0"/>
        <w:jc w:val="left"/>
        <w:rPr>
          <w:sz w:val="20"/>
        </w:rPr>
      </w:pPr>
      <w:r>
        <w:rPr>
          <w:sz w:val="20"/>
        </w:rPr>
        <w:t>P23,</w:t>
      </w:r>
      <w:r>
        <w:rPr>
          <w:spacing w:val="-7"/>
          <w:sz w:val="20"/>
        </w:rPr>
        <w:t> </w:t>
      </w:r>
      <w:r>
        <w:rPr>
          <w:sz w:val="20"/>
        </w:rPr>
        <w:t>P23.0,</w:t>
      </w:r>
      <w:r>
        <w:rPr>
          <w:spacing w:val="-5"/>
          <w:sz w:val="20"/>
        </w:rPr>
        <w:t> </w:t>
      </w:r>
      <w:r>
        <w:rPr>
          <w:sz w:val="20"/>
        </w:rPr>
        <w:t>P23.1,</w:t>
      </w:r>
      <w:r>
        <w:rPr>
          <w:spacing w:val="-6"/>
          <w:sz w:val="20"/>
        </w:rPr>
        <w:t> </w:t>
      </w:r>
      <w:r>
        <w:rPr>
          <w:sz w:val="20"/>
        </w:rPr>
        <w:t>P23.2,</w:t>
      </w:r>
      <w:r>
        <w:rPr>
          <w:spacing w:val="-6"/>
          <w:sz w:val="20"/>
        </w:rPr>
        <w:t> </w:t>
      </w:r>
      <w:r>
        <w:rPr>
          <w:sz w:val="20"/>
        </w:rPr>
        <w:t>P23.3,</w:t>
      </w:r>
      <w:r>
        <w:rPr>
          <w:spacing w:val="-5"/>
          <w:sz w:val="20"/>
        </w:rPr>
        <w:t> </w:t>
      </w:r>
      <w:r>
        <w:rPr>
          <w:sz w:val="20"/>
        </w:rPr>
        <w:t>P23.4,</w:t>
      </w:r>
      <w:r>
        <w:rPr>
          <w:spacing w:val="-5"/>
          <w:sz w:val="20"/>
        </w:rPr>
        <w:t> </w:t>
      </w:r>
      <w:r>
        <w:rPr>
          <w:spacing w:val="-2"/>
          <w:sz w:val="20"/>
        </w:rPr>
        <w:t>P23.5,</w:t>
      </w:r>
    </w:p>
    <w:p>
      <w:pPr>
        <w:spacing w:line="229" w:lineRule="exact" w:before="0"/>
        <w:ind w:left="4720" w:right="0" w:firstLine="0"/>
        <w:jc w:val="left"/>
        <w:rPr>
          <w:sz w:val="20"/>
        </w:rPr>
      </w:pPr>
      <w:r>
        <w:rPr>
          <w:sz w:val="20"/>
        </w:rPr>
        <w:t>P23.6,</w:t>
      </w:r>
      <w:r>
        <w:rPr>
          <w:spacing w:val="-7"/>
          <w:sz w:val="20"/>
        </w:rPr>
        <w:t> </w:t>
      </w:r>
      <w:r>
        <w:rPr>
          <w:sz w:val="20"/>
        </w:rPr>
        <w:t>P23.8,</w:t>
      </w:r>
      <w:r>
        <w:rPr>
          <w:spacing w:val="-6"/>
          <w:sz w:val="20"/>
        </w:rPr>
        <w:t> </w:t>
      </w:r>
      <w:r>
        <w:rPr>
          <w:sz w:val="20"/>
        </w:rPr>
        <w:t>P23.9,</w:t>
      </w:r>
      <w:r>
        <w:rPr>
          <w:spacing w:val="-6"/>
          <w:sz w:val="20"/>
        </w:rPr>
        <w:t> </w:t>
      </w:r>
      <w:r>
        <w:rPr>
          <w:sz w:val="20"/>
        </w:rPr>
        <w:t>P24,</w:t>
      </w:r>
      <w:r>
        <w:rPr>
          <w:spacing w:val="-7"/>
          <w:sz w:val="20"/>
        </w:rPr>
        <w:t> </w:t>
      </w:r>
      <w:r>
        <w:rPr>
          <w:sz w:val="20"/>
        </w:rPr>
        <w:t>P24.0,</w:t>
      </w:r>
      <w:r>
        <w:rPr>
          <w:spacing w:val="-4"/>
          <w:sz w:val="20"/>
        </w:rPr>
        <w:t> </w:t>
      </w:r>
      <w:r>
        <w:rPr>
          <w:sz w:val="20"/>
        </w:rPr>
        <w:t>P24.1,</w:t>
      </w:r>
      <w:r>
        <w:rPr>
          <w:spacing w:val="-5"/>
          <w:sz w:val="20"/>
        </w:rPr>
        <w:t> </w:t>
      </w:r>
      <w:r>
        <w:rPr>
          <w:spacing w:val="-2"/>
          <w:sz w:val="20"/>
        </w:rPr>
        <w:t>P24.2,</w:t>
      </w:r>
    </w:p>
    <w:p>
      <w:pPr>
        <w:spacing w:before="0"/>
        <w:ind w:left="4720" w:right="0" w:firstLine="0"/>
        <w:jc w:val="left"/>
        <w:rPr>
          <w:sz w:val="20"/>
        </w:rPr>
      </w:pPr>
      <w:r>
        <w:rPr>
          <w:sz w:val="20"/>
        </w:rPr>
        <w:t>P24.3,</w:t>
      </w:r>
      <w:r>
        <w:rPr>
          <w:spacing w:val="-7"/>
          <w:sz w:val="20"/>
        </w:rPr>
        <w:t> </w:t>
      </w:r>
      <w:r>
        <w:rPr>
          <w:sz w:val="20"/>
        </w:rPr>
        <w:t>P24.8,</w:t>
      </w:r>
      <w:r>
        <w:rPr>
          <w:spacing w:val="-6"/>
          <w:sz w:val="20"/>
        </w:rPr>
        <w:t> </w:t>
      </w:r>
      <w:r>
        <w:rPr>
          <w:sz w:val="20"/>
        </w:rPr>
        <w:t>P24.9,</w:t>
      </w:r>
      <w:r>
        <w:rPr>
          <w:spacing w:val="-7"/>
          <w:sz w:val="20"/>
        </w:rPr>
        <w:t> </w:t>
      </w:r>
      <w:r>
        <w:rPr>
          <w:sz w:val="20"/>
        </w:rPr>
        <w:t>P25,</w:t>
      </w:r>
      <w:r>
        <w:rPr>
          <w:spacing w:val="-6"/>
          <w:sz w:val="20"/>
        </w:rPr>
        <w:t> </w:t>
      </w:r>
      <w:r>
        <w:rPr>
          <w:sz w:val="20"/>
        </w:rPr>
        <w:t>P25.0,</w:t>
      </w:r>
      <w:r>
        <w:rPr>
          <w:spacing w:val="-5"/>
          <w:sz w:val="20"/>
        </w:rPr>
        <w:t> </w:t>
      </w:r>
      <w:r>
        <w:rPr>
          <w:sz w:val="20"/>
        </w:rPr>
        <w:t>P25.1,</w:t>
      </w:r>
      <w:r>
        <w:rPr>
          <w:spacing w:val="-5"/>
          <w:sz w:val="20"/>
        </w:rPr>
        <w:t> </w:t>
      </w:r>
      <w:r>
        <w:rPr>
          <w:spacing w:val="-2"/>
          <w:sz w:val="20"/>
        </w:rPr>
        <w:t>P25.2,</w:t>
      </w:r>
    </w:p>
    <w:p>
      <w:pPr>
        <w:spacing w:before="0"/>
        <w:ind w:left="4720" w:right="0" w:firstLine="0"/>
        <w:jc w:val="left"/>
        <w:rPr>
          <w:sz w:val="20"/>
        </w:rPr>
      </w:pPr>
      <w:r>
        <w:rPr>
          <w:sz w:val="20"/>
        </w:rPr>
        <w:t>P25.3,</w:t>
      </w:r>
      <w:r>
        <w:rPr>
          <w:spacing w:val="-7"/>
          <w:sz w:val="20"/>
        </w:rPr>
        <w:t> </w:t>
      </w:r>
      <w:r>
        <w:rPr>
          <w:sz w:val="20"/>
        </w:rPr>
        <w:t>P25.8,</w:t>
      </w:r>
      <w:r>
        <w:rPr>
          <w:spacing w:val="-6"/>
          <w:sz w:val="20"/>
        </w:rPr>
        <w:t> </w:t>
      </w:r>
      <w:r>
        <w:rPr>
          <w:sz w:val="20"/>
        </w:rPr>
        <w:t>P26,</w:t>
      </w:r>
      <w:r>
        <w:rPr>
          <w:spacing w:val="-6"/>
          <w:sz w:val="20"/>
        </w:rPr>
        <w:t> </w:t>
      </w:r>
      <w:r>
        <w:rPr>
          <w:sz w:val="20"/>
        </w:rPr>
        <w:t>P26.0,</w:t>
      </w:r>
      <w:r>
        <w:rPr>
          <w:spacing w:val="-7"/>
          <w:sz w:val="20"/>
        </w:rPr>
        <w:t> </w:t>
      </w:r>
      <w:r>
        <w:rPr>
          <w:sz w:val="20"/>
        </w:rPr>
        <w:t>P26.1,</w:t>
      </w:r>
      <w:r>
        <w:rPr>
          <w:spacing w:val="-4"/>
          <w:sz w:val="20"/>
        </w:rPr>
        <w:t> </w:t>
      </w:r>
      <w:r>
        <w:rPr>
          <w:sz w:val="20"/>
        </w:rPr>
        <w:t>P26.8,</w:t>
      </w:r>
      <w:r>
        <w:rPr>
          <w:spacing w:val="-5"/>
          <w:sz w:val="20"/>
        </w:rPr>
        <w:t> </w:t>
      </w:r>
      <w:r>
        <w:rPr>
          <w:spacing w:val="-2"/>
          <w:sz w:val="20"/>
        </w:rPr>
        <w:t>P26.9,</w:t>
      </w:r>
    </w:p>
    <w:p>
      <w:pPr>
        <w:spacing w:before="1"/>
        <w:ind w:left="4794" w:right="0" w:firstLine="0"/>
        <w:jc w:val="left"/>
        <w:rPr>
          <w:sz w:val="20"/>
        </w:rPr>
      </w:pPr>
      <w:r>
        <w:rPr>
          <w:sz w:val="20"/>
        </w:rPr>
        <w:t>P27,</w:t>
      </w:r>
      <w:r>
        <w:rPr>
          <w:spacing w:val="-6"/>
          <w:sz w:val="20"/>
        </w:rPr>
        <w:t> </w:t>
      </w:r>
      <w:r>
        <w:rPr>
          <w:sz w:val="20"/>
        </w:rPr>
        <w:t>P27.0,</w:t>
      </w:r>
      <w:r>
        <w:rPr>
          <w:spacing w:val="-4"/>
          <w:sz w:val="20"/>
        </w:rPr>
        <w:t> </w:t>
      </w:r>
      <w:r>
        <w:rPr>
          <w:sz w:val="20"/>
        </w:rPr>
        <w:t>P27.1,</w:t>
      </w:r>
      <w:r>
        <w:rPr>
          <w:spacing w:val="-6"/>
          <w:sz w:val="20"/>
        </w:rPr>
        <w:t> </w:t>
      </w:r>
      <w:r>
        <w:rPr>
          <w:sz w:val="20"/>
        </w:rPr>
        <w:t>P27.8,</w:t>
      </w:r>
      <w:r>
        <w:rPr>
          <w:spacing w:val="-6"/>
          <w:sz w:val="20"/>
        </w:rPr>
        <w:t> </w:t>
      </w:r>
      <w:r>
        <w:rPr>
          <w:sz w:val="20"/>
        </w:rPr>
        <w:t>P27.9,</w:t>
      </w:r>
      <w:r>
        <w:rPr>
          <w:spacing w:val="-4"/>
          <w:sz w:val="20"/>
        </w:rPr>
        <w:t> </w:t>
      </w:r>
      <w:r>
        <w:rPr>
          <w:sz w:val="20"/>
        </w:rPr>
        <w:t>P28,</w:t>
      </w:r>
      <w:r>
        <w:rPr>
          <w:spacing w:val="-6"/>
          <w:sz w:val="20"/>
        </w:rPr>
        <w:t> </w:t>
      </w:r>
      <w:r>
        <w:rPr>
          <w:spacing w:val="-2"/>
          <w:sz w:val="20"/>
        </w:rPr>
        <w:t>P28.0,</w:t>
      </w:r>
    </w:p>
    <w:p>
      <w:pPr>
        <w:spacing w:before="1"/>
        <w:ind w:left="4645" w:right="0" w:firstLine="0"/>
        <w:jc w:val="left"/>
        <w:rPr>
          <w:sz w:val="20"/>
        </w:rPr>
      </w:pPr>
      <w:r>
        <w:rPr>
          <w:sz w:val="20"/>
        </w:rPr>
        <w:t>P28.1,</w:t>
      </w:r>
      <w:r>
        <w:rPr>
          <w:spacing w:val="-7"/>
          <w:sz w:val="20"/>
        </w:rPr>
        <w:t> </w:t>
      </w:r>
      <w:r>
        <w:rPr>
          <w:sz w:val="20"/>
        </w:rPr>
        <w:t>P28.2,</w:t>
      </w:r>
      <w:r>
        <w:rPr>
          <w:spacing w:val="-6"/>
          <w:sz w:val="20"/>
        </w:rPr>
        <w:t> </w:t>
      </w:r>
      <w:r>
        <w:rPr>
          <w:sz w:val="20"/>
        </w:rPr>
        <w:t>P28.3,</w:t>
      </w:r>
      <w:r>
        <w:rPr>
          <w:spacing w:val="-6"/>
          <w:sz w:val="20"/>
        </w:rPr>
        <w:t> </w:t>
      </w:r>
      <w:r>
        <w:rPr>
          <w:sz w:val="20"/>
        </w:rPr>
        <w:t>P28.4,</w:t>
      </w:r>
      <w:r>
        <w:rPr>
          <w:spacing w:val="-6"/>
          <w:sz w:val="20"/>
        </w:rPr>
        <w:t> </w:t>
      </w:r>
      <w:r>
        <w:rPr>
          <w:sz w:val="20"/>
        </w:rPr>
        <w:t>P28.5,</w:t>
      </w:r>
      <w:r>
        <w:rPr>
          <w:spacing w:val="-6"/>
          <w:sz w:val="20"/>
        </w:rPr>
        <w:t> </w:t>
      </w:r>
      <w:r>
        <w:rPr>
          <w:sz w:val="20"/>
        </w:rPr>
        <w:t>P28.8,</w:t>
      </w:r>
      <w:r>
        <w:rPr>
          <w:spacing w:val="-6"/>
          <w:sz w:val="20"/>
        </w:rPr>
        <w:t> </w:t>
      </w:r>
      <w:r>
        <w:rPr>
          <w:spacing w:val="-2"/>
          <w:sz w:val="20"/>
        </w:rPr>
        <w:t>P28.9,</w:t>
      </w:r>
    </w:p>
    <w:p>
      <w:pPr>
        <w:spacing w:line="229" w:lineRule="exact" w:before="0"/>
        <w:ind w:left="4720" w:right="0" w:firstLine="0"/>
        <w:jc w:val="left"/>
        <w:rPr>
          <w:sz w:val="20"/>
        </w:rPr>
      </w:pPr>
      <w:r>
        <w:rPr>
          <w:sz w:val="20"/>
        </w:rPr>
        <w:t>P29,</w:t>
      </w:r>
      <w:r>
        <w:rPr>
          <w:spacing w:val="-7"/>
          <w:sz w:val="20"/>
        </w:rPr>
        <w:t> </w:t>
      </w:r>
      <w:r>
        <w:rPr>
          <w:sz w:val="20"/>
        </w:rPr>
        <w:t>P29.0,</w:t>
      </w:r>
      <w:r>
        <w:rPr>
          <w:spacing w:val="-4"/>
          <w:sz w:val="20"/>
        </w:rPr>
        <w:t> </w:t>
      </w:r>
      <w:r>
        <w:rPr>
          <w:sz w:val="20"/>
        </w:rPr>
        <w:t>P29.1,</w:t>
      </w:r>
      <w:r>
        <w:rPr>
          <w:spacing w:val="-7"/>
          <w:sz w:val="20"/>
        </w:rPr>
        <w:t> </w:t>
      </w:r>
      <w:r>
        <w:rPr>
          <w:sz w:val="20"/>
        </w:rPr>
        <w:t>P29.2,</w:t>
      </w:r>
      <w:r>
        <w:rPr>
          <w:spacing w:val="-6"/>
          <w:sz w:val="20"/>
        </w:rPr>
        <w:t> </w:t>
      </w:r>
      <w:r>
        <w:rPr>
          <w:sz w:val="20"/>
        </w:rPr>
        <w:t>P29.3, P29.4,</w:t>
      </w:r>
      <w:r>
        <w:rPr>
          <w:spacing w:val="-5"/>
          <w:sz w:val="20"/>
        </w:rPr>
        <w:t> </w:t>
      </w:r>
      <w:r>
        <w:rPr>
          <w:spacing w:val="-2"/>
          <w:sz w:val="20"/>
        </w:rPr>
        <w:t>P29.8,</w:t>
      </w:r>
    </w:p>
    <w:p>
      <w:pPr>
        <w:spacing w:line="229" w:lineRule="exact" w:before="0"/>
        <w:ind w:left="4720" w:right="0" w:firstLine="0"/>
        <w:jc w:val="left"/>
        <w:rPr>
          <w:sz w:val="20"/>
        </w:rPr>
      </w:pPr>
      <w:r>
        <w:rPr>
          <w:sz w:val="20"/>
        </w:rPr>
        <w:t>P29.9,</w:t>
      </w:r>
      <w:r>
        <w:rPr>
          <w:spacing w:val="-7"/>
          <w:sz w:val="20"/>
        </w:rPr>
        <w:t> </w:t>
      </w:r>
      <w:r>
        <w:rPr>
          <w:sz w:val="20"/>
        </w:rPr>
        <w:t>P35,</w:t>
      </w:r>
      <w:r>
        <w:rPr>
          <w:spacing w:val="-5"/>
          <w:sz w:val="20"/>
        </w:rPr>
        <w:t> </w:t>
      </w:r>
      <w:r>
        <w:rPr>
          <w:sz w:val="20"/>
        </w:rPr>
        <w:t>P35.0,</w:t>
      </w:r>
      <w:r>
        <w:rPr>
          <w:spacing w:val="-6"/>
          <w:sz w:val="20"/>
        </w:rPr>
        <w:t> </w:t>
      </w:r>
      <w:r>
        <w:rPr>
          <w:sz w:val="20"/>
        </w:rPr>
        <w:t>P35.1,</w:t>
      </w:r>
      <w:r>
        <w:rPr>
          <w:spacing w:val="-6"/>
          <w:sz w:val="20"/>
        </w:rPr>
        <w:t> </w:t>
      </w:r>
      <w:r>
        <w:rPr>
          <w:sz w:val="20"/>
        </w:rPr>
        <w:t>P35.2,</w:t>
      </w:r>
      <w:r>
        <w:rPr>
          <w:spacing w:val="-5"/>
          <w:sz w:val="20"/>
        </w:rPr>
        <w:t> </w:t>
      </w:r>
      <w:r>
        <w:rPr>
          <w:sz w:val="20"/>
        </w:rPr>
        <w:t>P35.3,</w:t>
      </w:r>
      <w:r>
        <w:rPr>
          <w:spacing w:val="-5"/>
          <w:sz w:val="20"/>
        </w:rPr>
        <w:t> </w:t>
      </w:r>
      <w:r>
        <w:rPr>
          <w:spacing w:val="-2"/>
          <w:sz w:val="20"/>
        </w:rPr>
        <w:t>P35.4,</w:t>
      </w:r>
    </w:p>
    <w:p>
      <w:pPr>
        <w:spacing w:before="0"/>
        <w:ind w:left="4720" w:right="0" w:firstLine="0"/>
        <w:jc w:val="left"/>
        <w:rPr>
          <w:sz w:val="20"/>
        </w:rPr>
      </w:pPr>
      <w:r>
        <w:rPr>
          <w:sz w:val="20"/>
        </w:rPr>
        <w:t>P35.8,</w:t>
      </w:r>
      <w:r>
        <w:rPr>
          <w:spacing w:val="-7"/>
          <w:sz w:val="20"/>
        </w:rPr>
        <w:t> </w:t>
      </w:r>
      <w:r>
        <w:rPr>
          <w:sz w:val="20"/>
        </w:rPr>
        <w:t>P35.9,</w:t>
      </w:r>
      <w:r>
        <w:rPr>
          <w:spacing w:val="-6"/>
          <w:sz w:val="20"/>
        </w:rPr>
        <w:t> </w:t>
      </w:r>
      <w:r>
        <w:rPr>
          <w:sz w:val="20"/>
        </w:rPr>
        <w:t>P37,</w:t>
      </w:r>
      <w:r>
        <w:rPr>
          <w:spacing w:val="-6"/>
          <w:sz w:val="20"/>
        </w:rPr>
        <w:t> </w:t>
      </w:r>
      <w:r>
        <w:rPr>
          <w:sz w:val="20"/>
        </w:rPr>
        <w:t>P37.1,</w:t>
      </w:r>
      <w:r>
        <w:rPr>
          <w:spacing w:val="-7"/>
          <w:sz w:val="20"/>
        </w:rPr>
        <w:t> </w:t>
      </w:r>
      <w:r>
        <w:rPr>
          <w:sz w:val="20"/>
        </w:rPr>
        <w:t>P37.2,</w:t>
      </w:r>
      <w:r>
        <w:rPr>
          <w:spacing w:val="-4"/>
          <w:sz w:val="20"/>
        </w:rPr>
        <w:t> </w:t>
      </w:r>
      <w:r>
        <w:rPr>
          <w:sz w:val="20"/>
        </w:rPr>
        <w:t>P37.3,</w:t>
      </w:r>
      <w:r>
        <w:rPr>
          <w:spacing w:val="-5"/>
          <w:sz w:val="20"/>
        </w:rPr>
        <w:t> </w:t>
      </w:r>
      <w:r>
        <w:rPr>
          <w:spacing w:val="-2"/>
          <w:sz w:val="20"/>
        </w:rPr>
        <w:t>P37.4,</w:t>
      </w:r>
    </w:p>
    <w:p>
      <w:pPr>
        <w:spacing w:before="1"/>
        <w:ind w:left="4794" w:right="0" w:firstLine="0"/>
        <w:jc w:val="left"/>
        <w:rPr>
          <w:sz w:val="20"/>
        </w:rPr>
      </w:pPr>
      <w:r>
        <w:rPr>
          <w:sz w:val="20"/>
        </w:rPr>
        <w:t>P37.5,</w:t>
      </w:r>
      <w:r>
        <w:rPr>
          <w:spacing w:val="-6"/>
          <w:sz w:val="20"/>
        </w:rPr>
        <w:t> </w:t>
      </w:r>
      <w:r>
        <w:rPr>
          <w:sz w:val="20"/>
        </w:rPr>
        <w:t>P37.8,</w:t>
      </w:r>
      <w:r>
        <w:rPr>
          <w:spacing w:val="-6"/>
          <w:sz w:val="20"/>
        </w:rPr>
        <w:t> </w:t>
      </w:r>
      <w:r>
        <w:rPr>
          <w:sz w:val="20"/>
        </w:rPr>
        <w:t>P37.9,</w:t>
      </w:r>
      <w:r>
        <w:rPr>
          <w:spacing w:val="-6"/>
          <w:sz w:val="20"/>
        </w:rPr>
        <w:t> </w:t>
      </w:r>
      <w:r>
        <w:rPr>
          <w:sz w:val="20"/>
        </w:rPr>
        <w:t>P38,</w:t>
      </w:r>
      <w:r>
        <w:rPr>
          <w:spacing w:val="-6"/>
          <w:sz w:val="20"/>
        </w:rPr>
        <w:t> </w:t>
      </w:r>
      <w:r>
        <w:rPr>
          <w:sz w:val="20"/>
        </w:rPr>
        <w:t>P39,</w:t>
      </w:r>
      <w:r>
        <w:rPr>
          <w:spacing w:val="-5"/>
          <w:sz w:val="20"/>
        </w:rPr>
        <w:t> </w:t>
      </w:r>
      <w:r>
        <w:rPr>
          <w:sz w:val="20"/>
        </w:rPr>
        <w:t>P39.0,</w:t>
      </w:r>
      <w:r>
        <w:rPr>
          <w:spacing w:val="-6"/>
          <w:sz w:val="20"/>
        </w:rPr>
        <w:t> </w:t>
      </w:r>
      <w:r>
        <w:rPr>
          <w:spacing w:val="-2"/>
          <w:sz w:val="20"/>
        </w:rPr>
        <w:t>P39.2,</w:t>
      </w:r>
    </w:p>
    <w:p>
      <w:pPr>
        <w:spacing w:before="0"/>
        <w:ind w:left="4720" w:right="0" w:firstLine="0"/>
        <w:jc w:val="left"/>
        <w:rPr>
          <w:sz w:val="20"/>
        </w:rPr>
      </w:pPr>
      <w:r>
        <w:rPr>
          <w:sz w:val="20"/>
        </w:rPr>
        <w:t>P39.3,</w:t>
      </w:r>
      <w:r>
        <w:rPr>
          <w:spacing w:val="-7"/>
          <w:sz w:val="20"/>
        </w:rPr>
        <w:t> </w:t>
      </w:r>
      <w:r>
        <w:rPr>
          <w:sz w:val="20"/>
        </w:rPr>
        <w:t>P39.4,</w:t>
      </w:r>
      <w:r>
        <w:rPr>
          <w:spacing w:val="-6"/>
          <w:sz w:val="20"/>
        </w:rPr>
        <w:t> </w:t>
      </w:r>
      <w:r>
        <w:rPr>
          <w:sz w:val="20"/>
        </w:rPr>
        <w:t>P39.8,</w:t>
      </w:r>
      <w:r>
        <w:rPr>
          <w:spacing w:val="-6"/>
          <w:sz w:val="20"/>
        </w:rPr>
        <w:t> </w:t>
      </w:r>
      <w:r>
        <w:rPr>
          <w:sz w:val="20"/>
        </w:rPr>
        <w:t>P39.9,</w:t>
      </w:r>
      <w:r>
        <w:rPr>
          <w:spacing w:val="-7"/>
          <w:sz w:val="20"/>
        </w:rPr>
        <w:t> </w:t>
      </w:r>
      <w:r>
        <w:rPr>
          <w:sz w:val="20"/>
        </w:rPr>
        <w:t>P51,</w:t>
      </w:r>
      <w:r>
        <w:rPr>
          <w:spacing w:val="-4"/>
          <w:sz w:val="20"/>
        </w:rPr>
        <w:t> </w:t>
      </w:r>
      <w:r>
        <w:rPr>
          <w:sz w:val="20"/>
        </w:rPr>
        <w:t>P51.0,</w:t>
      </w:r>
      <w:r>
        <w:rPr>
          <w:spacing w:val="-5"/>
          <w:sz w:val="20"/>
        </w:rPr>
        <w:t> </w:t>
      </w:r>
      <w:r>
        <w:rPr>
          <w:spacing w:val="-2"/>
          <w:sz w:val="20"/>
        </w:rPr>
        <w:t>P51.8,</w:t>
      </w:r>
    </w:p>
    <w:p>
      <w:pPr>
        <w:spacing w:line="229" w:lineRule="exact" w:before="1"/>
        <w:ind w:left="4720" w:right="0" w:firstLine="0"/>
        <w:jc w:val="left"/>
        <w:rPr>
          <w:sz w:val="20"/>
        </w:rPr>
      </w:pPr>
      <w:r>
        <w:rPr>
          <w:sz w:val="20"/>
        </w:rPr>
        <w:t>P51.9,</w:t>
      </w:r>
      <w:r>
        <w:rPr>
          <w:spacing w:val="-7"/>
          <w:sz w:val="20"/>
        </w:rPr>
        <w:t> </w:t>
      </w:r>
      <w:r>
        <w:rPr>
          <w:sz w:val="20"/>
        </w:rPr>
        <w:t>P52,</w:t>
      </w:r>
      <w:r>
        <w:rPr>
          <w:spacing w:val="-5"/>
          <w:sz w:val="20"/>
        </w:rPr>
        <w:t> </w:t>
      </w:r>
      <w:r>
        <w:rPr>
          <w:sz w:val="20"/>
        </w:rPr>
        <w:t>P52.0,</w:t>
      </w:r>
      <w:r>
        <w:rPr>
          <w:spacing w:val="-6"/>
          <w:sz w:val="20"/>
        </w:rPr>
        <w:t> </w:t>
      </w:r>
      <w:r>
        <w:rPr>
          <w:sz w:val="20"/>
        </w:rPr>
        <w:t>P52.1,</w:t>
      </w:r>
      <w:r>
        <w:rPr>
          <w:spacing w:val="-6"/>
          <w:sz w:val="20"/>
        </w:rPr>
        <w:t> </w:t>
      </w:r>
      <w:r>
        <w:rPr>
          <w:sz w:val="20"/>
        </w:rPr>
        <w:t>P52.2,</w:t>
      </w:r>
      <w:r>
        <w:rPr>
          <w:spacing w:val="-5"/>
          <w:sz w:val="20"/>
        </w:rPr>
        <w:t> </w:t>
      </w:r>
      <w:r>
        <w:rPr>
          <w:sz w:val="20"/>
        </w:rPr>
        <w:t>P52.3,</w:t>
      </w:r>
      <w:r>
        <w:rPr>
          <w:spacing w:val="-5"/>
          <w:sz w:val="20"/>
        </w:rPr>
        <w:t> </w:t>
      </w:r>
      <w:r>
        <w:rPr>
          <w:spacing w:val="-2"/>
          <w:sz w:val="20"/>
        </w:rPr>
        <w:t>P52.4,</w:t>
      </w:r>
    </w:p>
    <w:p>
      <w:pPr>
        <w:spacing w:line="229" w:lineRule="exact" w:before="0"/>
        <w:ind w:left="4794" w:right="0" w:firstLine="0"/>
        <w:jc w:val="left"/>
        <w:rPr>
          <w:sz w:val="20"/>
        </w:rPr>
      </w:pPr>
      <w:r>
        <w:rPr>
          <w:sz w:val="20"/>
        </w:rPr>
        <w:t>P52.5,</w:t>
      </w:r>
      <w:r>
        <w:rPr>
          <w:spacing w:val="-6"/>
          <w:sz w:val="20"/>
        </w:rPr>
        <w:t> </w:t>
      </w:r>
      <w:r>
        <w:rPr>
          <w:sz w:val="20"/>
        </w:rPr>
        <w:t>P52.6,</w:t>
      </w:r>
      <w:r>
        <w:rPr>
          <w:spacing w:val="-6"/>
          <w:sz w:val="20"/>
        </w:rPr>
        <w:t> </w:t>
      </w:r>
      <w:r>
        <w:rPr>
          <w:sz w:val="20"/>
        </w:rPr>
        <w:t>P52.8,</w:t>
      </w:r>
      <w:r>
        <w:rPr>
          <w:spacing w:val="-5"/>
          <w:sz w:val="20"/>
        </w:rPr>
        <w:t> </w:t>
      </w:r>
      <w:r>
        <w:rPr>
          <w:sz w:val="20"/>
        </w:rPr>
        <w:t>P52.9,</w:t>
      </w:r>
      <w:r>
        <w:rPr>
          <w:spacing w:val="-6"/>
          <w:sz w:val="20"/>
        </w:rPr>
        <w:t> </w:t>
      </w:r>
      <w:r>
        <w:rPr>
          <w:sz w:val="20"/>
        </w:rPr>
        <w:t>P53,</w:t>
      </w:r>
      <w:r>
        <w:rPr>
          <w:spacing w:val="-4"/>
          <w:sz w:val="20"/>
        </w:rPr>
        <w:t> </w:t>
      </w:r>
      <w:r>
        <w:rPr>
          <w:sz w:val="20"/>
        </w:rPr>
        <w:t>P54,</w:t>
      </w:r>
      <w:r>
        <w:rPr>
          <w:spacing w:val="-5"/>
          <w:sz w:val="20"/>
        </w:rPr>
        <w:t> </w:t>
      </w:r>
      <w:r>
        <w:rPr>
          <w:spacing w:val="-2"/>
          <w:sz w:val="20"/>
        </w:rPr>
        <w:t>P54.0,</w:t>
      </w:r>
    </w:p>
    <w:p>
      <w:pPr>
        <w:spacing w:before="0"/>
        <w:ind w:left="1161" w:right="4154" w:firstLine="0"/>
        <w:jc w:val="center"/>
        <w:rPr>
          <w:sz w:val="20"/>
        </w:rPr>
      </w:pPr>
      <w:r>
        <w:rPr>
          <w:sz w:val="20"/>
        </w:rPr>
        <w:t>P54.1,</w:t>
      </w:r>
      <w:r>
        <w:rPr>
          <w:spacing w:val="-7"/>
          <w:sz w:val="20"/>
        </w:rPr>
        <w:t> </w:t>
      </w:r>
      <w:r>
        <w:rPr>
          <w:sz w:val="20"/>
        </w:rPr>
        <w:t>P54.2,</w:t>
      </w:r>
      <w:r>
        <w:rPr>
          <w:spacing w:val="-6"/>
          <w:sz w:val="20"/>
        </w:rPr>
        <w:t> </w:t>
      </w:r>
      <w:r>
        <w:rPr>
          <w:sz w:val="20"/>
        </w:rPr>
        <w:t>P54.3,</w:t>
      </w:r>
      <w:r>
        <w:rPr>
          <w:spacing w:val="-6"/>
          <w:sz w:val="20"/>
        </w:rPr>
        <w:t> </w:t>
      </w:r>
      <w:r>
        <w:rPr>
          <w:sz w:val="20"/>
        </w:rPr>
        <w:t>P54.4,</w:t>
      </w:r>
      <w:r>
        <w:rPr>
          <w:spacing w:val="-6"/>
          <w:sz w:val="20"/>
        </w:rPr>
        <w:t> </w:t>
      </w:r>
      <w:r>
        <w:rPr>
          <w:sz w:val="20"/>
        </w:rPr>
        <w:t>P54.5,</w:t>
      </w:r>
      <w:r>
        <w:rPr>
          <w:spacing w:val="-6"/>
          <w:sz w:val="20"/>
        </w:rPr>
        <w:t> </w:t>
      </w:r>
      <w:r>
        <w:rPr>
          <w:sz w:val="20"/>
        </w:rPr>
        <w:t>P54.6,</w:t>
      </w:r>
      <w:r>
        <w:rPr>
          <w:spacing w:val="-6"/>
          <w:sz w:val="20"/>
        </w:rPr>
        <w:t> </w:t>
      </w:r>
      <w:r>
        <w:rPr>
          <w:spacing w:val="-2"/>
          <w:sz w:val="20"/>
        </w:rPr>
        <w:t>P54.8,</w:t>
      </w:r>
    </w:p>
    <w:p>
      <w:pPr>
        <w:spacing w:before="1"/>
        <w:ind w:left="1159" w:right="4154" w:firstLine="0"/>
        <w:jc w:val="center"/>
        <w:rPr>
          <w:sz w:val="20"/>
        </w:rPr>
      </w:pPr>
      <w:r>
        <w:rPr>
          <w:sz w:val="20"/>
        </w:rPr>
        <w:t>P54.9,</w:t>
      </w:r>
      <w:r>
        <w:rPr>
          <w:spacing w:val="-7"/>
          <w:sz w:val="20"/>
        </w:rPr>
        <w:t> </w:t>
      </w:r>
      <w:r>
        <w:rPr>
          <w:sz w:val="20"/>
        </w:rPr>
        <w:t>P55,</w:t>
      </w:r>
      <w:r>
        <w:rPr>
          <w:spacing w:val="-5"/>
          <w:sz w:val="20"/>
        </w:rPr>
        <w:t> </w:t>
      </w:r>
      <w:r>
        <w:rPr>
          <w:sz w:val="20"/>
        </w:rPr>
        <w:t>P55.0,</w:t>
      </w:r>
      <w:r>
        <w:rPr>
          <w:spacing w:val="-6"/>
          <w:sz w:val="20"/>
        </w:rPr>
        <w:t> </w:t>
      </w:r>
      <w:r>
        <w:rPr>
          <w:sz w:val="20"/>
        </w:rPr>
        <w:t>P55.1,</w:t>
      </w:r>
      <w:r>
        <w:rPr>
          <w:spacing w:val="-6"/>
          <w:sz w:val="20"/>
        </w:rPr>
        <w:t> </w:t>
      </w:r>
      <w:r>
        <w:rPr>
          <w:sz w:val="20"/>
        </w:rPr>
        <w:t>P55.8,</w:t>
      </w:r>
      <w:r>
        <w:rPr>
          <w:spacing w:val="-5"/>
          <w:sz w:val="20"/>
        </w:rPr>
        <w:t> </w:t>
      </w:r>
      <w:r>
        <w:rPr>
          <w:sz w:val="20"/>
        </w:rPr>
        <w:t>P55.9,</w:t>
      </w:r>
      <w:r>
        <w:rPr>
          <w:spacing w:val="-5"/>
          <w:sz w:val="20"/>
        </w:rPr>
        <w:t> </w:t>
      </w:r>
      <w:r>
        <w:rPr>
          <w:spacing w:val="-4"/>
          <w:sz w:val="20"/>
        </w:rPr>
        <w:t>P56,</w:t>
      </w:r>
    </w:p>
    <w:p>
      <w:pPr>
        <w:spacing w:before="0"/>
        <w:ind w:left="1159" w:right="4154" w:firstLine="0"/>
        <w:jc w:val="center"/>
        <w:rPr>
          <w:sz w:val="20"/>
        </w:rPr>
      </w:pPr>
      <w:r>
        <w:rPr>
          <w:sz w:val="20"/>
        </w:rPr>
        <w:t>P56.0,</w:t>
      </w:r>
      <w:r>
        <w:rPr>
          <w:spacing w:val="-7"/>
          <w:sz w:val="20"/>
        </w:rPr>
        <w:t> </w:t>
      </w:r>
      <w:r>
        <w:rPr>
          <w:sz w:val="20"/>
        </w:rPr>
        <w:t>P56.9,</w:t>
      </w:r>
      <w:r>
        <w:rPr>
          <w:spacing w:val="-6"/>
          <w:sz w:val="20"/>
        </w:rPr>
        <w:t> </w:t>
      </w:r>
      <w:r>
        <w:rPr>
          <w:sz w:val="20"/>
        </w:rPr>
        <w:t>P57,</w:t>
      </w:r>
      <w:r>
        <w:rPr>
          <w:spacing w:val="-6"/>
          <w:sz w:val="20"/>
        </w:rPr>
        <w:t> </w:t>
      </w:r>
      <w:r>
        <w:rPr>
          <w:sz w:val="20"/>
        </w:rPr>
        <w:t>P57.0,</w:t>
      </w:r>
      <w:r>
        <w:rPr>
          <w:spacing w:val="-7"/>
          <w:sz w:val="20"/>
        </w:rPr>
        <w:t> </w:t>
      </w:r>
      <w:r>
        <w:rPr>
          <w:sz w:val="20"/>
        </w:rPr>
        <w:t>P57.8,</w:t>
      </w:r>
      <w:r>
        <w:rPr>
          <w:spacing w:val="-4"/>
          <w:sz w:val="20"/>
        </w:rPr>
        <w:t> </w:t>
      </w:r>
      <w:r>
        <w:rPr>
          <w:sz w:val="20"/>
        </w:rPr>
        <w:t>P57.9,</w:t>
      </w:r>
      <w:r>
        <w:rPr>
          <w:spacing w:val="-5"/>
          <w:sz w:val="20"/>
        </w:rPr>
        <w:t> </w:t>
      </w:r>
      <w:r>
        <w:rPr>
          <w:spacing w:val="-4"/>
          <w:sz w:val="20"/>
        </w:rPr>
        <w:t>P58,</w:t>
      </w:r>
    </w:p>
    <w:p>
      <w:pPr>
        <w:spacing w:before="1"/>
        <w:ind w:left="1161" w:right="4154" w:firstLine="0"/>
        <w:jc w:val="center"/>
        <w:rPr>
          <w:sz w:val="20"/>
        </w:rPr>
      </w:pPr>
      <w:r>
        <w:rPr>
          <w:sz w:val="20"/>
        </w:rPr>
        <w:t>P58.0,</w:t>
      </w:r>
      <w:r>
        <w:rPr>
          <w:spacing w:val="-7"/>
          <w:sz w:val="20"/>
        </w:rPr>
        <w:t> </w:t>
      </w:r>
      <w:r>
        <w:rPr>
          <w:sz w:val="20"/>
        </w:rPr>
        <w:t>P58.1,</w:t>
      </w:r>
      <w:r>
        <w:rPr>
          <w:spacing w:val="-6"/>
          <w:sz w:val="20"/>
        </w:rPr>
        <w:t> </w:t>
      </w:r>
      <w:r>
        <w:rPr>
          <w:sz w:val="20"/>
        </w:rPr>
        <w:t>P58.2,</w:t>
      </w:r>
      <w:r>
        <w:rPr>
          <w:spacing w:val="-6"/>
          <w:sz w:val="20"/>
        </w:rPr>
        <w:t> </w:t>
      </w:r>
      <w:r>
        <w:rPr>
          <w:sz w:val="20"/>
        </w:rPr>
        <w:t>P58.3,</w:t>
      </w:r>
      <w:r>
        <w:rPr>
          <w:spacing w:val="-6"/>
          <w:sz w:val="20"/>
        </w:rPr>
        <w:t> </w:t>
      </w:r>
      <w:r>
        <w:rPr>
          <w:sz w:val="20"/>
        </w:rPr>
        <w:t>P58.4,</w:t>
      </w:r>
      <w:r>
        <w:rPr>
          <w:spacing w:val="-6"/>
          <w:sz w:val="20"/>
        </w:rPr>
        <w:t> </w:t>
      </w:r>
      <w:r>
        <w:rPr>
          <w:sz w:val="20"/>
        </w:rPr>
        <w:t>P58.5,</w:t>
      </w:r>
      <w:r>
        <w:rPr>
          <w:spacing w:val="-6"/>
          <w:sz w:val="20"/>
        </w:rPr>
        <w:t> </w:t>
      </w:r>
      <w:r>
        <w:rPr>
          <w:spacing w:val="-2"/>
          <w:sz w:val="20"/>
        </w:rPr>
        <w:t>P58.8,</w:t>
      </w:r>
    </w:p>
    <w:p>
      <w:pPr>
        <w:spacing w:line="229" w:lineRule="exact" w:before="0"/>
        <w:ind w:left="1163" w:right="4154" w:firstLine="0"/>
        <w:jc w:val="center"/>
        <w:rPr>
          <w:sz w:val="20"/>
        </w:rPr>
      </w:pPr>
      <w:r>
        <w:rPr>
          <w:sz w:val="20"/>
        </w:rPr>
        <w:t>P58.9,</w:t>
      </w:r>
      <w:r>
        <w:rPr>
          <w:spacing w:val="-7"/>
          <w:sz w:val="20"/>
        </w:rPr>
        <w:t> </w:t>
      </w:r>
      <w:r>
        <w:rPr>
          <w:sz w:val="20"/>
        </w:rPr>
        <w:t>P59,</w:t>
      </w:r>
      <w:r>
        <w:rPr>
          <w:spacing w:val="-4"/>
          <w:sz w:val="20"/>
        </w:rPr>
        <w:t> </w:t>
      </w:r>
      <w:r>
        <w:rPr>
          <w:sz w:val="20"/>
        </w:rPr>
        <w:t>P59.0,</w:t>
      </w:r>
      <w:r>
        <w:rPr>
          <w:spacing w:val="-7"/>
          <w:sz w:val="20"/>
        </w:rPr>
        <w:t> </w:t>
      </w:r>
      <w:r>
        <w:rPr>
          <w:sz w:val="20"/>
        </w:rPr>
        <w:t>P59.1,</w:t>
      </w:r>
      <w:r>
        <w:rPr>
          <w:spacing w:val="-6"/>
          <w:sz w:val="20"/>
        </w:rPr>
        <w:t> </w:t>
      </w:r>
      <w:r>
        <w:rPr>
          <w:sz w:val="20"/>
        </w:rPr>
        <w:t>P59.2, P59.3,</w:t>
      </w:r>
      <w:r>
        <w:rPr>
          <w:spacing w:val="-5"/>
          <w:sz w:val="20"/>
        </w:rPr>
        <w:t> </w:t>
      </w:r>
      <w:r>
        <w:rPr>
          <w:spacing w:val="-2"/>
          <w:sz w:val="20"/>
        </w:rPr>
        <w:t>P59.8,</w:t>
      </w:r>
    </w:p>
    <w:p>
      <w:pPr>
        <w:spacing w:line="229" w:lineRule="exact" w:before="0"/>
        <w:ind w:left="1159" w:right="4154" w:firstLine="0"/>
        <w:jc w:val="center"/>
        <w:rPr>
          <w:sz w:val="20"/>
        </w:rPr>
      </w:pPr>
      <w:r>
        <w:rPr>
          <w:sz w:val="20"/>
        </w:rPr>
        <w:t>P59.9,</w:t>
      </w:r>
      <w:r>
        <w:rPr>
          <w:spacing w:val="-6"/>
          <w:sz w:val="20"/>
        </w:rPr>
        <w:t> </w:t>
      </w:r>
      <w:r>
        <w:rPr>
          <w:sz w:val="20"/>
        </w:rPr>
        <w:t>P60,</w:t>
      </w:r>
      <w:r>
        <w:rPr>
          <w:spacing w:val="-4"/>
          <w:sz w:val="20"/>
        </w:rPr>
        <w:t> </w:t>
      </w:r>
      <w:r>
        <w:rPr>
          <w:sz w:val="20"/>
        </w:rPr>
        <w:t>P61,</w:t>
      </w:r>
      <w:r>
        <w:rPr>
          <w:spacing w:val="-6"/>
          <w:sz w:val="20"/>
        </w:rPr>
        <w:t> </w:t>
      </w:r>
      <w:r>
        <w:rPr>
          <w:sz w:val="20"/>
        </w:rPr>
        <w:t>P61.0,</w:t>
      </w:r>
      <w:r>
        <w:rPr>
          <w:spacing w:val="-6"/>
          <w:sz w:val="20"/>
        </w:rPr>
        <w:t> </w:t>
      </w:r>
      <w:r>
        <w:rPr>
          <w:sz w:val="20"/>
        </w:rPr>
        <w:t>P61.1,</w:t>
      </w:r>
      <w:r>
        <w:rPr>
          <w:spacing w:val="-6"/>
          <w:sz w:val="20"/>
        </w:rPr>
        <w:t> </w:t>
      </w:r>
      <w:r>
        <w:rPr>
          <w:sz w:val="20"/>
        </w:rPr>
        <w:t>P61.2,</w:t>
      </w:r>
      <w:r>
        <w:rPr>
          <w:spacing w:val="-6"/>
          <w:sz w:val="20"/>
        </w:rPr>
        <w:t> </w:t>
      </w:r>
      <w:r>
        <w:rPr>
          <w:spacing w:val="-2"/>
          <w:sz w:val="20"/>
        </w:rPr>
        <w:t>P61.3,</w:t>
      </w:r>
    </w:p>
    <w:p>
      <w:pPr>
        <w:spacing w:before="1"/>
        <w:ind w:left="4720" w:right="0" w:firstLine="0"/>
        <w:jc w:val="left"/>
        <w:rPr>
          <w:sz w:val="20"/>
        </w:rPr>
      </w:pPr>
      <w:r>
        <w:rPr>
          <w:sz w:val="20"/>
        </w:rPr>
        <w:t>P61.4,</w:t>
      </w:r>
      <w:r>
        <w:rPr>
          <w:spacing w:val="-6"/>
          <w:sz w:val="20"/>
        </w:rPr>
        <w:t> </w:t>
      </w:r>
      <w:r>
        <w:rPr>
          <w:sz w:val="20"/>
        </w:rPr>
        <w:t>P61.5,</w:t>
      </w:r>
      <w:r>
        <w:rPr>
          <w:spacing w:val="-6"/>
          <w:sz w:val="20"/>
        </w:rPr>
        <w:t> </w:t>
      </w:r>
      <w:r>
        <w:rPr>
          <w:sz w:val="20"/>
        </w:rPr>
        <w:t>P61.6,</w:t>
      </w:r>
      <w:r>
        <w:rPr>
          <w:spacing w:val="-6"/>
          <w:sz w:val="20"/>
        </w:rPr>
        <w:t> </w:t>
      </w:r>
      <w:r>
        <w:rPr>
          <w:sz w:val="20"/>
        </w:rPr>
        <w:t>P61.8,</w:t>
      </w:r>
      <w:r>
        <w:rPr>
          <w:spacing w:val="-6"/>
          <w:sz w:val="20"/>
        </w:rPr>
        <w:t> </w:t>
      </w:r>
      <w:r>
        <w:rPr>
          <w:sz w:val="20"/>
        </w:rPr>
        <w:t>P61.9,</w:t>
      </w:r>
      <w:r>
        <w:rPr>
          <w:spacing w:val="-6"/>
          <w:sz w:val="20"/>
        </w:rPr>
        <w:t> </w:t>
      </w:r>
      <w:r>
        <w:rPr>
          <w:sz w:val="20"/>
        </w:rPr>
        <w:t>P70,</w:t>
      </w:r>
      <w:r>
        <w:rPr>
          <w:spacing w:val="-5"/>
          <w:sz w:val="20"/>
        </w:rPr>
        <w:t> </w:t>
      </w:r>
      <w:r>
        <w:rPr>
          <w:spacing w:val="-2"/>
          <w:sz w:val="20"/>
        </w:rPr>
        <w:t>P70.0,</w:t>
      </w:r>
    </w:p>
    <w:p>
      <w:pPr>
        <w:spacing w:before="0"/>
        <w:ind w:left="4720" w:right="0" w:firstLine="0"/>
        <w:jc w:val="left"/>
        <w:rPr>
          <w:sz w:val="20"/>
        </w:rPr>
      </w:pPr>
      <w:r>
        <w:rPr>
          <w:sz w:val="20"/>
        </w:rPr>
        <w:t>P70.1,</w:t>
      </w:r>
      <w:r>
        <w:rPr>
          <w:spacing w:val="-7"/>
          <w:sz w:val="20"/>
        </w:rPr>
        <w:t> </w:t>
      </w:r>
      <w:r>
        <w:rPr>
          <w:sz w:val="20"/>
        </w:rPr>
        <w:t>P70.2,</w:t>
      </w:r>
      <w:r>
        <w:rPr>
          <w:spacing w:val="-6"/>
          <w:sz w:val="20"/>
        </w:rPr>
        <w:t> </w:t>
      </w:r>
      <w:r>
        <w:rPr>
          <w:sz w:val="20"/>
        </w:rPr>
        <w:t>P70.3,</w:t>
      </w:r>
      <w:r>
        <w:rPr>
          <w:spacing w:val="-6"/>
          <w:sz w:val="20"/>
        </w:rPr>
        <w:t> </w:t>
      </w:r>
      <w:r>
        <w:rPr>
          <w:sz w:val="20"/>
        </w:rPr>
        <w:t>P70.4,</w:t>
      </w:r>
      <w:r>
        <w:rPr>
          <w:spacing w:val="-6"/>
          <w:sz w:val="20"/>
        </w:rPr>
        <w:t> </w:t>
      </w:r>
      <w:r>
        <w:rPr>
          <w:sz w:val="20"/>
        </w:rPr>
        <w:t>P70.8,</w:t>
      </w:r>
      <w:r>
        <w:rPr>
          <w:spacing w:val="-6"/>
          <w:sz w:val="20"/>
        </w:rPr>
        <w:t> </w:t>
      </w:r>
      <w:r>
        <w:rPr>
          <w:sz w:val="20"/>
        </w:rPr>
        <w:t>P70.9,</w:t>
      </w:r>
      <w:r>
        <w:rPr>
          <w:spacing w:val="-6"/>
          <w:sz w:val="20"/>
        </w:rPr>
        <w:t> </w:t>
      </w:r>
      <w:r>
        <w:rPr>
          <w:spacing w:val="-4"/>
          <w:sz w:val="20"/>
        </w:rPr>
        <w:t>P71,</w:t>
      </w:r>
    </w:p>
    <w:p>
      <w:pPr>
        <w:spacing w:before="1"/>
        <w:ind w:left="4645" w:right="0" w:firstLine="0"/>
        <w:jc w:val="left"/>
        <w:rPr>
          <w:sz w:val="20"/>
        </w:rPr>
      </w:pPr>
      <w:r>
        <w:rPr>
          <w:sz w:val="20"/>
        </w:rPr>
        <w:t>P71.0,</w:t>
      </w:r>
      <w:r>
        <w:rPr>
          <w:spacing w:val="-7"/>
          <w:sz w:val="20"/>
        </w:rPr>
        <w:t> </w:t>
      </w:r>
      <w:r>
        <w:rPr>
          <w:sz w:val="20"/>
        </w:rPr>
        <w:t>P71.1,</w:t>
      </w:r>
      <w:r>
        <w:rPr>
          <w:spacing w:val="-6"/>
          <w:sz w:val="20"/>
        </w:rPr>
        <w:t> </w:t>
      </w:r>
      <w:r>
        <w:rPr>
          <w:sz w:val="20"/>
        </w:rPr>
        <w:t>P71.2,</w:t>
      </w:r>
      <w:r>
        <w:rPr>
          <w:spacing w:val="-6"/>
          <w:sz w:val="20"/>
        </w:rPr>
        <w:t> </w:t>
      </w:r>
      <w:r>
        <w:rPr>
          <w:sz w:val="20"/>
        </w:rPr>
        <w:t>P71.3,</w:t>
      </w:r>
      <w:r>
        <w:rPr>
          <w:spacing w:val="-6"/>
          <w:sz w:val="20"/>
        </w:rPr>
        <w:t> </w:t>
      </w:r>
      <w:r>
        <w:rPr>
          <w:sz w:val="20"/>
        </w:rPr>
        <w:t>P71.4,</w:t>
      </w:r>
      <w:r>
        <w:rPr>
          <w:spacing w:val="-6"/>
          <w:sz w:val="20"/>
        </w:rPr>
        <w:t> </w:t>
      </w:r>
      <w:r>
        <w:rPr>
          <w:sz w:val="20"/>
        </w:rPr>
        <w:t>P71.8,</w:t>
      </w:r>
      <w:r>
        <w:rPr>
          <w:spacing w:val="-6"/>
          <w:sz w:val="20"/>
        </w:rPr>
        <w:t> </w:t>
      </w:r>
      <w:r>
        <w:rPr>
          <w:spacing w:val="-2"/>
          <w:sz w:val="20"/>
        </w:rPr>
        <w:t>P71.9,</w:t>
      </w:r>
    </w:p>
    <w:p>
      <w:pPr>
        <w:spacing w:before="0"/>
        <w:ind w:left="4794" w:right="0" w:firstLine="0"/>
        <w:jc w:val="left"/>
        <w:rPr>
          <w:sz w:val="20"/>
        </w:rPr>
      </w:pPr>
      <w:r>
        <w:rPr>
          <w:sz w:val="20"/>
        </w:rPr>
        <w:t>P72,</w:t>
      </w:r>
      <w:r>
        <w:rPr>
          <w:spacing w:val="-7"/>
          <w:sz w:val="20"/>
        </w:rPr>
        <w:t> </w:t>
      </w:r>
      <w:r>
        <w:rPr>
          <w:sz w:val="20"/>
        </w:rPr>
        <w:t>P72.0,</w:t>
      </w:r>
      <w:r>
        <w:rPr>
          <w:spacing w:val="-5"/>
          <w:sz w:val="20"/>
        </w:rPr>
        <w:t> </w:t>
      </w:r>
      <w:r>
        <w:rPr>
          <w:sz w:val="20"/>
        </w:rPr>
        <w:t>P72.1,</w:t>
      </w:r>
      <w:r>
        <w:rPr>
          <w:spacing w:val="-6"/>
          <w:sz w:val="20"/>
        </w:rPr>
        <w:t> </w:t>
      </w:r>
      <w:r>
        <w:rPr>
          <w:sz w:val="20"/>
        </w:rPr>
        <w:t>P72.2,</w:t>
      </w:r>
      <w:r>
        <w:rPr>
          <w:spacing w:val="-6"/>
          <w:sz w:val="20"/>
        </w:rPr>
        <w:t> </w:t>
      </w:r>
      <w:r>
        <w:rPr>
          <w:sz w:val="20"/>
        </w:rPr>
        <w:t>P72.8,</w:t>
      </w:r>
      <w:r>
        <w:rPr>
          <w:spacing w:val="-5"/>
          <w:sz w:val="20"/>
        </w:rPr>
        <w:t> </w:t>
      </w:r>
      <w:r>
        <w:rPr>
          <w:sz w:val="20"/>
        </w:rPr>
        <w:t>P72.9,</w:t>
      </w:r>
      <w:r>
        <w:rPr>
          <w:spacing w:val="-5"/>
          <w:sz w:val="20"/>
        </w:rPr>
        <w:t> </w:t>
      </w:r>
      <w:r>
        <w:rPr>
          <w:spacing w:val="-4"/>
          <w:sz w:val="20"/>
        </w:rPr>
        <w:t>P74,</w:t>
      </w:r>
    </w:p>
    <w:p>
      <w:pPr>
        <w:spacing w:before="0"/>
        <w:ind w:left="4645" w:right="0" w:firstLine="0"/>
        <w:jc w:val="left"/>
        <w:rPr>
          <w:sz w:val="20"/>
        </w:rPr>
      </w:pPr>
      <w:r>
        <w:rPr>
          <w:sz w:val="20"/>
        </w:rPr>
        <w:t>P74.0,</w:t>
      </w:r>
      <w:r>
        <w:rPr>
          <w:spacing w:val="-6"/>
          <w:sz w:val="20"/>
        </w:rPr>
        <w:t> </w:t>
      </w:r>
      <w:r>
        <w:rPr>
          <w:sz w:val="20"/>
        </w:rPr>
        <w:t>P74.1,</w:t>
      </w:r>
      <w:r>
        <w:rPr>
          <w:spacing w:val="-6"/>
          <w:sz w:val="20"/>
        </w:rPr>
        <w:t> </w:t>
      </w:r>
      <w:r>
        <w:rPr>
          <w:sz w:val="20"/>
        </w:rPr>
        <w:t>P74.2,</w:t>
      </w:r>
      <w:r>
        <w:rPr>
          <w:spacing w:val="-6"/>
          <w:sz w:val="20"/>
        </w:rPr>
        <w:t> </w:t>
      </w:r>
      <w:r>
        <w:rPr>
          <w:sz w:val="20"/>
        </w:rPr>
        <w:t>P74.3,</w:t>
      </w:r>
      <w:r>
        <w:rPr>
          <w:spacing w:val="-6"/>
          <w:sz w:val="20"/>
        </w:rPr>
        <w:t> </w:t>
      </w:r>
      <w:r>
        <w:rPr>
          <w:sz w:val="20"/>
        </w:rPr>
        <w:t>P74.4,</w:t>
      </w:r>
      <w:r>
        <w:rPr>
          <w:spacing w:val="-5"/>
          <w:sz w:val="20"/>
        </w:rPr>
        <w:t> </w:t>
      </w:r>
      <w:r>
        <w:rPr>
          <w:sz w:val="20"/>
        </w:rPr>
        <w:t>P74.5,</w:t>
      </w:r>
      <w:r>
        <w:rPr>
          <w:spacing w:val="-6"/>
          <w:sz w:val="20"/>
        </w:rPr>
        <w:t> </w:t>
      </w:r>
      <w:r>
        <w:rPr>
          <w:spacing w:val="-2"/>
          <w:sz w:val="20"/>
        </w:rPr>
        <w:t>P74.8,</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619"/>
        <w:gridCol w:w="4371"/>
        <w:gridCol w:w="3736"/>
        <w:gridCol w:w="1660"/>
        <w:gridCol w:w="1261"/>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619" w:type="dxa"/>
            <w:vMerge w:val="restart"/>
          </w:tcPr>
          <w:p>
            <w:pPr>
              <w:pStyle w:val="TableParagraph"/>
              <w:rPr>
                <w:sz w:val="18"/>
              </w:rPr>
            </w:pPr>
          </w:p>
        </w:tc>
        <w:tc>
          <w:tcPr>
            <w:tcW w:w="4371" w:type="dxa"/>
          </w:tcPr>
          <w:p>
            <w:pPr>
              <w:pStyle w:val="TableParagraph"/>
              <w:spacing w:line="205" w:lineRule="exact"/>
              <w:ind w:left="136" w:right="257"/>
              <w:jc w:val="center"/>
              <w:rPr>
                <w:sz w:val="20"/>
              </w:rPr>
            </w:pPr>
            <w:r>
              <w:rPr>
                <w:sz w:val="20"/>
              </w:rPr>
              <w:t>P74.9,</w:t>
            </w:r>
            <w:r>
              <w:rPr>
                <w:spacing w:val="-6"/>
                <w:sz w:val="20"/>
              </w:rPr>
              <w:t> </w:t>
            </w:r>
            <w:r>
              <w:rPr>
                <w:sz w:val="20"/>
              </w:rPr>
              <w:t>P75,</w:t>
            </w:r>
            <w:r>
              <w:rPr>
                <w:spacing w:val="-4"/>
                <w:sz w:val="20"/>
              </w:rPr>
              <w:t> </w:t>
            </w:r>
            <w:r>
              <w:rPr>
                <w:sz w:val="20"/>
              </w:rPr>
              <w:t>P76,</w:t>
            </w:r>
            <w:r>
              <w:rPr>
                <w:spacing w:val="-6"/>
                <w:sz w:val="20"/>
              </w:rPr>
              <w:t> </w:t>
            </w:r>
            <w:r>
              <w:rPr>
                <w:sz w:val="20"/>
              </w:rPr>
              <w:t>P76.0,</w:t>
            </w:r>
            <w:r>
              <w:rPr>
                <w:spacing w:val="-6"/>
                <w:sz w:val="20"/>
              </w:rPr>
              <w:t> </w:t>
            </w:r>
            <w:r>
              <w:rPr>
                <w:sz w:val="20"/>
              </w:rPr>
              <w:t>P76.1,</w:t>
            </w:r>
            <w:r>
              <w:rPr>
                <w:spacing w:val="-6"/>
                <w:sz w:val="20"/>
              </w:rPr>
              <w:t> </w:t>
            </w:r>
            <w:r>
              <w:rPr>
                <w:sz w:val="20"/>
              </w:rPr>
              <w:t>P76.2,</w:t>
            </w:r>
            <w:r>
              <w:rPr>
                <w:spacing w:val="-6"/>
                <w:sz w:val="20"/>
              </w:rPr>
              <w:t> </w:t>
            </w:r>
            <w:r>
              <w:rPr>
                <w:spacing w:val="-2"/>
                <w:sz w:val="20"/>
              </w:rPr>
              <w:t>P76.8,</w:t>
            </w:r>
          </w:p>
        </w:tc>
        <w:tc>
          <w:tcPr>
            <w:tcW w:w="3736" w:type="dxa"/>
            <w:vMerge w:val="restart"/>
          </w:tcPr>
          <w:p>
            <w:pPr>
              <w:pStyle w:val="TableParagraph"/>
              <w:rPr>
                <w:sz w:val="18"/>
              </w:rPr>
            </w:pPr>
          </w:p>
        </w:tc>
        <w:tc>
          <w:tcPr>
            <w:tcW w:w="1660"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09" w:lineRule="exact"/>
              <w:ind w:left="136" w:right="257"/>
              <w:jc w:val="center"/>
              <w:rPr>
                <w:sz w:val="20"/>
              </w:rPr>
            </w:pPr>
            <w:r>
              <w:rPr>
                <w:sz w:val="20"/>
              </w:rPr>
              <w:t>P76.9,</w:t>
            </w:r>
            <w:r>
              <w:rPr>
                <w:spacing w:val="-6"/>
                <w:sz w:val="20"/>
              </w:rPr>
              <w:t> </w:t>
            </w:r>
            <w:r>
              <w:rPr>
                <w:sz w:val="20"/>
              </w:rPr>
              <w:t>P77,</w:t>
            </w:r>
            <w:r>
              <w:rPr>
                <w:spacing w:val="-4"/>
                <w:sz w:val="20"/>
              </w:rPr>
              <w:t> </w:t>
            </w:r>
            <w:r>
              <w:rPr>
                <w:sz w:val="20"/>
              </w:rPr>
              <w:t>P78,</w:t>
            </w:r>
            <w:r>
              <w:rPr>
                <w:spacing w:val="-6"/>
                <w:sz w:val="20"/>
              </w:rPr>
              <w:t> </w:t>
            </w:r>
            <w:r>
              <w:rPr>
                <w:sz w:val="20"/>
              </w:rPr>
              <w:t>P78.0,</w:t>
            </w:r>
            <w:r>
              <w:rPr>
                <w:spacing w:val="-6"/>
                <w:sz w:val="20"/>
              </w:rPr>
              <w:t> </w:t>
            </w:r>
            <w:r>
              <w:rPr>
                <w:sz w:val="20"/>
              </w:rPr>
              <w:t>P78.1,</w:t>
            </w:r>
            <w:r>
              <w:rPr>
                <w:spacing w:val="-6"/>
                <w:sz w:val="20"/>
              </w:rPr>
              <w:t> </w:t>
            </w:r>
            <w:r>
              <w:rPr>
                <w:sz w:val="20"/>
              </w:rPr>
              <w:t>P78.2,</w:t>
            </w:r>
            <w:r>
              <w:rPr>
                <w:spacing w:val="-6"/>
                <w:sz w:val="20"/>
              </w:rPr>
              <w:t> </w:t>
            </w:r>
            <w:r>
              <w:rPr>
                <w:spacing w:val="-2"/>
                <w:sz w:val="20"/>
              </w:rPr>
              <w:t>P78.3,</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09" w:lineRule="exact"/>
              <w:ind w:left="136" w:right="257"/>
              <w:jc w:val="center"/>
              <w:rPr>
                <w:sz w:val="20"/>
              </w:rPr>
            </w:pPr>
            <w:r>
              <w:rPr>
                <w:sz w:val="20"/>
              </w:rPr>
              <w:t>P78.8,</w:t>
            </w:r>
            <w:r>
              <w:rPr>
                <w:spacing w:val="-7"/>
                <w:sz w:val="20"/>
              </w:rPr>
              <w:t> </w:t>
            </w:r>
            <w:r>
              <w:rPr>
                <w:sz w:val="20"/>
              </w:rPr>
              <w:t>P78.9,</w:t>
            </w:r>
            <w:r>
              <w:rPr>
                <w:spacing w:val="-6"/>
                <w:sz w:val="20"/>
              </w:rPr>
              <w:t> </w:t>
            </w:r>
            <w:r>
              <w:rPr>
                <w:sz w:val="20"/>
              </w:rPr>
              <w:t>P80,</w:t>
            </w:r>
            <w:r>
              <w:rPr>
                <w:spacing w:val="-6"/>
                <w:sz w:val="20"/>
              </w:rPr>
              <w:t> </w:t>
            </w:r>
            <w:r>
              <w:rPr>
                <w:sz w:val="20"/>
              </w:rPr>
              <w:t>P80.0,</w:t>
            </w:r>
            <w:r>
              <w:rPr>
                <w:spacing w:val="-7"/>
                <w:sz w:val="20"/>
              </w:rPr>
              <w:t> </w:t>
            </w:r>
            <w:r>
              <w:rPr>
                <w:sz w:val="20"/>
              </w:rPr>
              <w:t>P80.8,</w:t>
            </w:r>
            <w:r>
              <w:rPr>
                <w:spacing w:val="-4"/>
                <w:sz w:val="20"/>
              </w:rPr>
              <w:t> </w:t>
            </w:r>
            <w:r>
              <w:rPr>
                <w:sz w:val="20"/>
              </w:rPr>
              <w:t>P80.9,</w:t>
            </w:r>
            <w:r>
              <w:rPr>
                <w:spacing w:val="-5"/>
                <w:sz w:val="20"/>
              </w:rPr>
              <w:t> </w:t>
            </w:r>
            <w:r>
              <w:rPr>
                <w:spacing w:val="-4"/>
                <w:sz w:val="20"/>
              </w:rPr>
              <w:t>P81,</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6" w:right="257"/>
              <w:jc w:val="center"/>
              <w:rPr>
                <w:sz w:val="20"/>
              </w:rPr>
            </w:pPr>
            <w:r>
              <w:rPr>
                <w:sz w:val="20"/>
              </w:rPr>
              <w:t>P81.0,</w:t>
            </w:r>
            <w:r>
              <w:rPr>
                <w:spacing w:val="-7"/>
                <w:sz w:val="20"/>
              </w:rPr>
              <w:t> </w:t>
            </w:r>
            <w:r>
              <w:rPr>
                <w:sz w:val="20"/>
              </w:rPr>
              <w:t>P81.8,</w:t>
            </w:r>
            <w:r>
              <w:rPr>
                <w:spacing w:val="-6"/>
                <w:sz w:val="20"/>
              </w:rPr>
              <w:t> </w:t>
            </w:r>
            <w:r>
              <w:rPr>
                <w:sz w:val="20"/>
              </w:rPr>
              <w:t>P81.9,</w:t>
            </w:r>
            <w:r>
              <w:rPr>
                <w:spacing w:val="-7"/>
                <w:sz w:val="20"/>
              </w:rPr>
              <w:t> </w:t>
            </w:r>
            <w:r>
              <w:rPr>
                <w:sz w:val="20"/>
              </w:rPr>
              <w:t>P83,</w:t>
            </w:r>
            <w:r>
              <w:rPr>
                <w:spacing w:val="-6"/>
                <w:sz w:val="20"/>
              </w:rPr>
              <w:t> </w:t>
            </w:r>
            <w:r>
              <w:rPr>
                <w:sz w:val="20"/>
              </w:rPr>
              <w:t>P83.0,</w:t>
            </w:r>
            <w:r>
              <w:rPr>
                <w:spacing w:val="-5"/>
                <w:sz w:val="20"/>
              </w:rPr>
              <w:t> </w:t>
            </w:r>
            <w:r>
              <w:rPr>
                <w:sz w:val="20"/>
              </w:rPr>
              <w:t>P83.1,</w:t>
            </w:r>
            <w:r>
              <w:rPr>
                <w:spacing w:val="-5"/>
                <w:sz w:val="20"/>
              </w:rPr>
              <w:t> </w:t>
            </w:r>
            <w:r>
              <w:rPr>
                <w:spacing w:val="-2"/>
                <w:sz w:val="20"/>
              </w:rPr>
              <w:t>P83.2,</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8" w:right="254"/>
              <w:jc w:val="center"/>
              <w:rPr>
                <w:sz w:val="20"/>
              </w:rPr>
            </w:pPr>
            <w:r>
              <w:rPr>
                <w:sz w:val="20"/>
              </w:rPr>
              <w:t>P83.3,</w:t>
            </w:r>
            <w:r>
              <w:rPr>
                <w:spacing w:val="-6"/>
                <w:sz w:val="20"/>
              </w:rPr>
              <w:t> </w:t>
            </w:r>
            <w:r>
              <w:rPr>
                <w:sz w:val="20"/>
              </w:rPr>
              <w:t>P83.4,</w:t>
            </w:r>
            <w:r>
              <w:rPr>
                <w:spacing w:val="-5"/>
                <w:sz w:val="20"/>
              </w:rPr>
              <w:t> </w:t>
            </w:r>
            <w:r>
              <w:rPr>
                <w:sz w:val="20"/>
              </w:rPr>
              <w:t>P83.5,</w:t>
            </w:r>
            <w:r>
              <w:rPr>
                <w:spacing w:val="-5"/>
                <w:sz w:val="20"/>
              </w:rPr>
              <w:t> </w:t>
            </w:r>
            <w:r>
              <w:rPr>
                <w:sz w:val="20"/>
              </w:rPr>
              <w:t>P83.6,</w:t>
            </w:r>
            <w:r>
              <w:rPr>
                <w:spacing w:val="-6"/>
                <w:sz w:val="20"/>
              </w:rPr>
              <w:t> </w:t>
            </w:r>
            <w:r>
              <w:rPr>
                <w:sz w:val="20"/>
              </w:rPr>
              <w:t>P83.8,</w:t>
            </w:r>
            <w:r>
              <w:rPr>
                <w:spacing w:val="-5"/>
                <w:sz w:val="20"/>
              </w:rPr>
              <w:t> </w:t>
            </w:r>
            <w:r>
              <w:rPr>
                <w:sz w:val="20"/>
              </w:rPr>
              <w:t>P83.9,</w:t>
            </w:r>
            <w:r>
              <w:rPr>
                <w:spacing w:val="-5"/>
                <w:sz w:val="20"/>
              </w:rPr>
              <w:t> </w:t>
            </w:r>
            <w:r>
              <w:rPr>
                <w:spacing w:val="-4"/>
                <w:sz w:val="20"/>
              </w:rPr>
              <w:t>P90,</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6" w:right="257"/>
              <w:jc w:val="center"/>
              <w:rPr>
                <w:sz w:val="20"/>
              </w:rPr>
            </w:pPr>
            <w:r>
              <w:rPr>
                <w:sz w:val="20"/>
              </w:rPr>
              <w:t>P91,</w:t>
            </w:r>
            <w:r>
              <w:rPr>
                <w:spacing w:val="-7"/>
                <w:sz w:val="20"/>
              </w:rPr>
              <w:t> </w:t>
            </w:r>
            <w:r>
              <w:rPr>
                <w:sz w:val="20"/>
              </w:rPr>
              <w:t>P91.0,</w:t>
            </w:r>
            <w:r>
              <w:rPr>
                <w:spacing w:val="-5"/>
                <w:sz w:val="20"/>
              </w:rPr>
              <w:t> </w:t>
            </w:r>
            <w:r>
              <w:rPr>
                <w:sz w:val="20"/>
              </w:rPr>
              <w:t>P91.1,</w:t>
            </w:r>
            <w:r>
              <w:rPr>
                <w:spacing w:val="-6"/>
                <w:sz w:val="20"/>
              </w:rPr>
              <w:t> </w:t>
            </w:r>
            <w:r>
              <w:rPr>
                <w:sz w:val="20"/>
              </w:rPr>
              <w:t>P91.2,</w:t>
            </w:r>
            <w:r>
              <w:rPr>
                <w:spacing w:val="-6"/>
                <w:sz w:val="20"/>
              </w:rPr>
              <w:t> </w:t>
            </w:r>
            <w:r>
              <w:rPr>
                <w:sz w:val="20"/>
              </w:rPr>
              <w:t>P91.3,</w:t>
            </w:r>
            <w:r>
              <w:rPr>
                <w:spacing w:val="-5"/>
                <w:sz w:val="20"/>
              </w:rPr>
              <w:t> </w:t>
            </w:r>
            <w:r>
              <w:rPr>
                <w:sz w:val="20"/>
              </w:rPr>
              <w:t>P91.4,</w:t>
            </w:r>
            <w:r>
              <w:rPr>
                <w:spacing w:val="-5"/>
                <w:sz w:val="20"/>
              </w:rPr>
              <w:t> </w:t>
            </w:r>
            <w:r>
              <w:rPr>
                <w:spacing w:val="-2"/>
                <w:sz w:val="20"/>
              </w:rPr>
              <w:t>P91.5,</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1" w:lineRule="exact"/>
              <w:ind w:left="136" w:right="257"/>
              <w:jc w:val="center"/>
              <w:rPr>
                <w:sz w:val="20"/>
              </w:rPr>
            </w:pPr>
            <w:r>
              <w:rPr>
                <w:sz w:val="20"/>
              </w:rPr>
              <w:t>P91.6,</w:t>
            </w:r>
            <w:r>
              <w:rPr>
                <w:spacing w:val="-7"/>
                <w:sz w:val="20"/>
              </w:rPr>
              <w:t> </w:t>
            </w:r>
            <w:r>
              <w:rPr>
                <w:sz w:val="20"/>
              </w:rPr>
              <w:t>P91.7,</w:t>
            </w:r>
            <w:r>
              <w:rPr>
                <w:spacing w:val="-6"/>
                <w:sz w:val="20"/>
              </w:rPr>
              <w:t> </w:t>
            </w:r>
            <w:r>
              <w:rPr>
                <w:sz w:val="20"/>
              </w:rPr>
              <w:t>P91.8,</w:t>
            </w:r>
            <w:r>
              <w:rPr>
                <w:spacing w:val="-6"/>
                <w:sz w:val="20"/>
              </w:rPr>
              <w:t> </w:t>
            </w:r>
            <w:r>
              <w:rPr>
                <w:sz w:val="20"/>
              </w:rPr>
              <w:t>P91.9,</w:t>
            </w:r>
            <w:r>
              <w:rPr>
                <w:spacing w:val="-7"/>
                <w:sz w:val="20"/>
              </w:rPr>
              <w:t> </w:t>
            </w:r>
            <w:r>
              <w:rPr>
                <w:sz w:val="20"/>
              </w:rPr>
              <w:t>P92,</w:t>
            </w:r>
            <w:r>
              <w:rPr>
                <w:spacing w:val="-4"/>
                <w:sz w:val="20"/>
              </w:rPr>
              <w:t> </w:t>
            </w:r>
            <w:r>
              <w:rPr>
                <w:sz w:val="20"/>
              </w:rPr>
              <w:t>P92.0,</w:t>
            </w:r>
            <w:r>
              <w:rPr>
                <w:spacing w:val="-5"/>
                <w:sz w:val="20"/>
              </w:rPr>
              <w:t> </w:t>
            </w:r>
            <w:r>
              <w:rPr>
                <w:spacing w:val="-2"/>
                <w:sz w:val="20"/>
              </w:rPr>
              <w:t>P92.1,</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6" w:right="257"/>
              <w:jc w:val="center"/>
              <w:rPr>
                <w:sz w:val="20"/>
              </w:rPr>
            </w:pPr>
            <w:r>
              <w:rPr>
                <w:sz w:val="20"/>
              </w:rPr>
              <w:t>P92.2,</w:t>
            </w:r>
            <w:r>
              <w:rPr>
                <w:spacing w:val="-7"/>
                <w:sz w:val="20"/>
              </w:rPr>
              <w:t> </w:t>
            </w:r>
            <w:r>
              <w:rPr>
                <w:sz w:val="20"/>
              </w:rPr>
              <w:t>P92.3,</w:t>
            </w:r>
            <w:r>
              <w:rPr>
                <w:spacing w:val="-6"/>
                <w:sz w:val="20"/>
              </w:rPr>
              <w:t> </w:t>
            </w:r>
            <w:r>
              <w:rPr>
                <w:sz w:val="20"/>
              </w:rPr>
              <w:t>P92.4,</w:t>
            </w:r>
            <w:r>
              <w:rPr>
                <w:spacing w:val="-6"/>
                <w:sz w:val="20"/>
              </w:rPr>
              <w:t> </w:t>
            </w:r>
            <w:r>
              <w:rPr>
                <w:sz w:val="20"/>
              </w:rPr>
              <w:t>P92.5,</w:t>
            </w:r>
            <w:r>
              <w:rPr>
                <w:spacing w:val="-6"/>
                <w:sz w:val="20"/>
              </w:rPr>
              <w:t> </w:t>
            </w:r>
            <w:r>
              <w:rPr>
                <w:sz w:val="20"/>
              </w:rPr>
              <w:t>P92.8,</w:t>
            </w:r>
            <w:r>
              <w:rPr>
                <w:spacing w:val="-6"/>
                <w:sz w:val="20"/>
              </w:rPr>
              <w:t> </w:t>
            </w:r>
            <w:r>
              <w:rPr>
                <w:sz w:val="20"/>
              </w:rPr>
              <w:t>P92.9,</w:t>
            </w:r>
            <w:r>
              <w:rPr>
                <w:spacing w:val="-6"/>
                <w:sz w:val="20"/>
              </w:rPr>
              <w:t> </w:t>
            </w:r>
            <w:r>
              <w:rPr>
                <w:spacing w:val="-4"/>
                <w:sz w:val="20"/>
              </w:rPr>
              <w:t>P93,</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09" w:lineRule="exact"/>
              <w:ind w:left="138" w:right="257"/>
              <w:jc w:val="center"/>
              <w:rPr>
                <w:sz w:val="20"/>
              </w:rPr>
            </w:pPr>
            <w:r>
              <w:rPr>
                <w:sz w:val="20"/>
              </w:rPr>
              <w:t>P94,</w:t>
            </w:r>
            <w:r>
              <w:rPr>
                <w:spacing w:val="-7"/>
                <w:sz w:val="20"/>
              </w:rPr>
              <w:t> </w:t>
            </w:r>
            <w:r>
              <w:rPr>
                <w:sz w:val="20"/>
              </w:rPr>
              <w:t>P94.0,</w:t>
            </w:r>
            <w:r>
              <w:rPr>
                <w:spacing w:val="-4"/>
                <w:sz w:val="20"/>
              </w:rPr>
              <w:t> </w:t>
            </w:r>
            <w:r>
              <w:rPr>
                <w:sz w:val="20"/>
              </w:rPr>
              <w:t>P94.1,</w:t>
            </w:r>
            <w:r>
              <w:rPr>
                <w:spacing w:val="-6"/>
                <w:sz w:val="20"/>
              </w:rPr>
              <w:t> </w:t>
            </w:r>
            <w:r>
              <w:rPr>
                <w:sz w:val="20"/>
              </w:rPr>
              <w:t>P94.2,</w:t>
            </w:r>
            <w:r>
              <w:rPr>
                <w:spacing w:val="-6"/>
                <w:sz w:val="20"/>
              </w:rPr>
              <w:t> </w:t>
            </w:r>
            <w:r>
              <w:rPr>
                <w:sz w:val="20"/>
              </w:rPr>
              <w:t>P94.8,</w:t>
            </w:r>
            <w:r>
              <w:rPr>
                <w:spacing w:val="-5"/>
                <w:sz w:val="20"/>
              </w:rPr>
              <w:t> </w:t>
            </w:r>
            <w:r>
              <w:rPr>
                <w:sz w:val="20"/>
              </w:rPr>
              <w:t>P94.9,</w:t>
            </w:r>
            <w:r>
              <w:rPr>
                <w:spacing w:val="-4"/>
                <w:sz w:val="20"/>
              </w:rPr>
              <w:t> </w:t>
            </w:r>
            <w:r>
              <w:rPr>
                <w:sz w:val="20"/>
              </w:rPr>
              <w:t>P95,</w:t>
            </w:r>
            <w:r>
              <w:rPr>
                <w:spacing w:val="-6"/>
                <w:sz w:val="20"/>
              </w:rPr>
              <w:t> </w:t>
            </w:r>
            <w:r>
              <w:rPr>
                <w:spacing w:val="-4"/>
                <w:sz w:val="20"/>
              </w:rPr>
              <w:t>P96,</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8" w:right="257"/>
              <w:jc w:val="center"/>
              <w:rPr>
                <w:sz w:val="20"/>
              </w:rPr>
            </w:pPr>
            <w:r>
              <w:rPr>
                <w:sz w:val="20"/>
              </w:rPr>
              <w:t>P96.1,</w:t>
            </w:r>
            <w:r>
              <w:rPr>
                <w:spacing w:val="-7"/>
                <w:sz w:val="20"/>
              </w:rPr>
              <w:t> </w:t>
            </w:r>
            <w:r>
              <w:rPr>
                <w:sz w:val="20"/>
              </w:rPr>
              <w:t>P96.2,</w:t>
            </w:r>
            <w:r>
              <w:rPr>
                <w:spacing w:val="-6"/>
                <w:sz w:val="20"/>
              </w:rPr>
              <w:t> </w:t>
            </w:r>
            <w:r>
              <w:rPr>
                <w:sz w:val="20"/>
              </w:rPr>
              <w:t>P96.3,</w:t>
            </w:r>
            <w:r>
              <w:rPr>
                <w:spacing w:val="-6"/>
                <w:sz w:val="20"/>
              </w:rPr>
              <w:t> </w:t>
            </w:r>
            <w:r>
              <w:rPr>
                <w:sz w:val="20"/>
              </w:rPr>
              <w:t>P96.4,</w:t>
            </w:r>
            <w:r>
              <w:rPr>
                <w:spacing w:val="-6"/>
                <w:sz w:val="20"/>
              </w:rPr>
              <w:t> </w:t>
            </w:r>
            <w:r>
              <w:rPr>
                <w:sz w:val="20"/>
              </w:rPr>
              <w:t>P96.5,</w:t>
            </w:r>
            <w:r>
              <w:rPr>
                <w:spacing w:val="-6"/>
                <w:sz w:val="20"/>
              </w:rPr>
              <w:t> </w:t>
            </w:r>
            <w:r>
              <w:rPr>
                <w:sz w:val="20"/>
              </w:rPr>
              <w:t>P96.8,</w:t>
            </w:r>
            <w:r>
              <w:rPr>
                <w:spacing w:val="-6"/>
                <w:sz w:val="20"/>
              </w:rPr>
              <w:t> </w:t>
            </w:r>
            <w:r>
              <w:rPr>
                <w:spacing w:val="-2"/>
                <w:sz w:val="20"/>
              </w:rPr>
              <w:t>P96.9,</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26" w:lineRule="exact"/>
              <w:ind w:left="138" w:right="256"/>
              <w:jc w:val="center"/>
              <w:rPr>
                <w:sz w:val="20"/>
              </w:rPr>
            </w:pPr>
            <w:r>
              <w:rPr>
                <w:sz w:val="20"/>
              </w:rPr>
              <w:t>Q86,</w:t>
            </w:r>
            <w:r>
              <w:rPr>
                <w:spacing w:val="-5"/>
                <w:sz w:val="20"/>
              </w:rPr>
              <w:t> </w:t>
            </w:r>
            <w:r>
              <w:rPr>
                <w:sz w:val="20"/>
              </w:rPr>
              <w:t>Q86.0,</w:t>
            </w:r>
            <w:r>
              <w:rPr>
                <w:spacing w:val="-5"/>
                <w:sz w:val="20"/>
              </w:rPr>
              <w:t> </w:t>
            </w:r>
            <w:r>
              <w:rPr>
                <w:sz w:val="20"/>
              </w:rPr>
              <w:t>Q86.1,</w:t>
            </w:r>
            <w:r>
              <w:rPr>
                <w:spacing w:val="-5"/>
                <w:sz w:val="20"/>
              </w:rPr>
              <w:t> </w:t>
            </w:r>
            <w:r>
              <w:rPr>
                <w:sz w:val="20"/>
              </w:rPr>
              <w:t>Q86.2,</w:t>
            </w:r>
            <w:r>
              <w:rPr>
                <w:spacing w:val="-5"/>
                <w:sz w:val="20"/>
              </w:rPr>
              <w:t> </w:t>
            </w:r>
            <w:r>
              <w:rPr>
                <w:sz w:val="20"/>
              </w:rPr>
              <w:t>Q86.8,</w:t>
            </w:r>
            <w:r>
              <w:rPr>
                <w:spacing w:val="-5"/>
                <w:sz w:val="20"/>
              </w:rPr>
              <w:t> </w:t>
            </w:r>
            <w:r>
              <w:rPr>
                <w:spacing w:val="-4"/>
                <w:sz w:val="20"/>
              </w:rPr>
              <w:t>Q89.4</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330" w:hRule="atLeast"/>
        </w:trPr>
        <w:tc>
          <w:tcPr>
            <w:tcW w:w="1003" w:type="dxa"/>
          </w:tcPr>
          <w:p>
            <w:pPr>
              <w:pStyle w:val="TableParagraph"/>
              <w:spacing w:before="46"/>
              <w:ind w:left="39" w:right="211"/>
              <w:jc w:val="center"/>
              <w:rPr>
                <w:sz w:val="20"/>
              </w:rPr>
            </w:pPr>
            <w:r>
              <w:rPr>
                <w:spacing w:val="-4"/>
                <w:sz w:val="20"/>
              </w:rPr>
              <w:t>ds18</w:t>
            </w:r>
          </w:p>
        </w:tc>
        <w:tc>
          <w:tcPr>
            <w:tcW w:w="645" w:type="dxa"/>
          </w:tcPr>
          <w:p>
            <w:pPr>
              <w:pStyle w:val="TableParagraph"/>
              <w:spacing w:before="46"/>
              <w:ind w:right="215"/>
              <w:jc w:val="right"/>
              <w:rPr>
                <w:sz w:val="20"/>
              </w:rPr>
            </w:pPr>
            <w:r>
              <w:rPr>
                <w:spacing w:val="-5"/>
                <w:sz w:val="20"/>
              </w:rPr>
              <w:t>18</w:t>
            </w:r>
          </w:p>
        </w:tc>
        <w:tc>
          <w:tcPr>
            <w:tcW w:w="2619" w:type="dxa"/>
          </w:tcPr>
          <w:p>
            <w:pPr>
              <w:pStyle w:val="TableParagraph"/>
              <w:rPr>
                <w:sz w:val="18"/>
              </w:rPr>
            </w:pPr>
          </w:p>
        </w:tc>
        <w:tc>
          <w:tcPr>
            <w:tcW w:w="8107" w:type="dxa"/>
            <w:gridSpan w:val="2"/>
          </w:tcPr>
          <w:p>
            <w:pPr>
              <w:pStyle w:val="TableParagraph"/>
              <w:spacing w:before="46"/>
              <w:ind w:left="2645"/>
              <w:rPr>
                <w:sz w:val="20"/>
              </w:rPr>
            </w:pPr>
            <w:r>
              <w:rPr>
                <w:sz w:val="20"/>
              </w:rPr>
              <w:t>Нефрология</w:t>
            </w:r>
            <w:r>
              <w:rPr>
                <w:spacing w:val="-10"/>
                <w:sz w:val="20"/>
              </w:rPr>
              <w:t> </w:t>
            </w:r>
            <w:r>
              <w:rPr>
                <w:sz w:val="20"/>
              </w:rPr>
              <w:t>(без</w:t>
            </w:r>
            <w:r>
              <w:rPr>
                <w:spacing w:val="-8"/>
                <w:sz w:val="20"/>
              </w:rPr>
              <w:t> </w:t>
            </w:r>
            <w:r>
              <w:rPr>
                <w:spacing w:val="-2"/>
                <w:sz w:val="20"/>
              </w:rPr>
              <w:t>диализа)</w:t>
            </w:r>
          </w:p>
        </w:tc>
        <w:tc>
          <w:tcPr>
            <w:tcW w:w="1660" w:type="dxa"/>
          </w:tcPr>
          <w:p>
            <w:pPr>
              <w:pStyle w:val="TableParagraph"/>
              <w:rPr>
                <w:sz w:val="18"/>
              </w:rPr>
            </w:pPr>
          </w:p>
        </w:tc>
        <w:tc>
          <w:tcPr>
            <w:tcW w:w="1261" w:type="dxa"/>
          </w:tcPr>
          <w:p>
            <w:pPr>
              <w:pStyle w:val="TableParagraph"/>
              <w:spacing w:before="46"/>
              <w:ind w:right="48"/>
              <w:jc w:val="right"/>
              <w:rPr>
                <w:sz w:val="20"/>
              </w:rPr>
            </w:pPr>
            <w:r>
              <w:rPr>
                <w:spacing w:val="-4"/>
                <w:sz w:val="20"/>
              </w:rPr>
              <w:t>2,74</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ds18.001</w:t>
            </w:r>
          </w:p>
        </w:tc>
        <w:tc>
          <w:tcPr>
            <w:tcW w:w="645" w:type="dxa"/>
          </w:tcPr>
          <w:p>
            <w:pPr>
              <w:pStyle w:val="TableParagraph"/>
              <w:spacing w:line="215" w:lineRule="exact" w:before="45"/>
              <w:ind w:right="215"/>
              <w:jc w:val="right"/>
              <w:rPr>
                <w:sz w:val="20"/>
              </w:rPr>
            </w:pPr>
            <w:r>
              <w:rPr>
                <w:spacing w:val="-5"/>
                <w:sz w:val="20"/>
              </w:rPr>
              <w:t>48</w:t>
            </w:r>
          </w:p>
        </w:tc>
        <w:tc>
          <w:tcPr>
            <w:tcW w:w="2619" w:type="dxa"/>
          </w:tcPr>
          <w:p>
            <w:pPr>
              <w:pStyle w:val="TableParagraph"/>
              <w:spacing w:line="215" w:lineRule="exact" w:before="45"/>
              <w:ind w:left="219"/>
              <w:rPr>
                <w:sz w:val="20"/>
              </w:rPr>
            </w:pPr>
            <w:r>
              <w:rPr>
                <w:w w:val="95"/>
                <w:sz w:val="20"/>
              </w:rPr>
              <w:t>Гломерулярные</w:t>
            </w:r>
            <w:r>
              <w:rPr>
                <w:spacing w:val="52"/>
                <w:sz w:val="20"/>
              </w:rPr>
              <w:t> </w:t>
            </w:r>
            <w:r>
              <w:rPr>
                <w:spacing w:val="-2"/>
                <w:sz w:val="20"/>
              </w:rPr>
              <w:t>болезни,</w:t>
            </w:r>
          </w:p>
        </w:tc>
        <w:tc>
          <w:tcPr>
            <w:tcW w:w="4371" w:type="dxa"/>
          </w:tcPr>
          <w:p>
            <w:pPr>
              <w:pStyle w:val="TableParagraph"/>
              <w:spacing w:line="215" w:lineRule="exact" w:before="45"/>
              <w:ind w:left="138" w:right="257"/>
              <w:jc w:val="center"/>
              <w:rPr>
                <w:sz w:val="20"/>
              </w:rPr>
            </w:pPr>
            <w:r>
              <w:rPr>
                <w:sz w:val="20"/>
              </w:rPr>
              <w:t>N00,</w:t>
            </w:r>
            <w:r>
              <w:rPr>
                <w:spacing w:val="-6"/>
                <w:sz w:val="20"/>
              </w:rPr>
              <w:t> </w:t>
            </w:r>
            <w:r>
              <w:rPr>
                <w:sz w:val="20"/>
              </w:rPr>
              <w:t>N00.0,</w:t>
            </w:r>
            <w:r>
              <w:rPr>
                <w:spacing w:val="-6"/>
                <w:sz w:val="20"/>
              </w:rPr>
              <w:t> </w:t>
            </w:r>
            <w:r>
              <w:rPr>
                <w:sz w:val="20"/>
              </w:rPr>
              <w:t>N00.1,</w:t>
            </w:r>
            <w:r>
              <w:rPr>
                <w:spacing w:val="-5"/>
                <w:sz w:val="20"/>
              </w:rPr>
              <w:t> </w:t>
            </w:r>
            <w:r>
              <w:rPr>
                <w:sz w:val="20"/>
              </w:rPr>
              <w:t>N00.2,</w:t>
            </w:r>
            <w:r>
              <w:rPr>
                <w:spacing w:val="-6"/>
                <w:sz w:val="20"/>
              </w:rPr>
              <w:t> </w:t>
            </w:r>
            <w:r>
              <w:rPr>
                <w:sz w:val="20"/>
              </w:rPr>
              <w:t>N00.3,</w:t>
            </w:r>
            <w:r>
              <w:rPr>
                <w:spacing w:val="-5"/>
                <w:sz w:val="20"/>
              </w:rPr>
              <w:t> </w:t>
            </w:r>
            <w:r>
              <w:rPr>
                <w:sz w:val="20"/>
              </w:rPr>
              <w:t>N00.4,</w:t>
            </w:r>
            <w:r>
              <w:rPr>
                <w:spacing w:val="-6"/>
                <w:sz w:val="20"/>
              </w:rPr>
              <w:t> </w:t>
            </w:r>
            <w:r>
              <w:rPr>
                <w:spacing w:val="-2"/>
                <w:sz w:val="20"/>
              </w:rPr>
              <w:t>N00.5,</w:t>
            </w:r>
          </w:p>
        </w:tc>
        <w:tc>
          <w:tcPr>
            <w:tcW w:w="3736" w:type="dxa"/>
          </w:tcPr>
          <w:p>
            <w:pPr>
              <w:pStyle w:val="TableParagraph"/>
              <w:spacing w:line="215" w:lineRule="exact" w:before="45"/>
              <w:ind w:right="460"/>
              <w:jc w:val="center"/>
              <w:rPr>
                <w:sz w:val="20"/>
              </w:rPr>
            </w:pPr>
            <w:r>
              <w:rPr>
                <w:w w:val="99"/>
                <w:sz w:val="20"/>
              </w:rPr>
              <w:t>-</w:t>
            </w:r>
          </w:p>
        </w:tc>
        <w:tc>
          <w:tcPr>
            <w:tcW w:w="1660" w:type="dxa"/>
          </w:tcPr>
          <w:p>
            <w:pPr>
              <w:pStyle w:val="TableParagraph"/>
              <w:spacing w:line="215" w:lineRule="exact" w:before="45"/>
              <w:ind w:left="734"/>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1,60</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spacing w:line="210" w:lineRule="exact"/>
              <w:ind w:left="219"/>
              <w:rPr>
                <w:sz w:val="20"/>
              </w:rPr>
            </w:pPr>
            <w:r>
              <w:rPr>
                <w:sz w:val="20"/>
              </w:rPr>
              <w:t>почечная</w:t>
            </w:r>
            <w:r>
              <w:rPr>
                <w:spacing w:val="-12"/>
                <w:sz w:val="20"/>
              </w:rPr>
              <w:t> </w:t>
            </w:r>
            <w:r>
              <w:rPr>
                <w:spacing w:val="-2"/>
                <w:sz w:val="20"/>
              </w:rPr>
              <w:t>недостаточность</w:t>
            </w:r>
          </w:p>
        </w:tc>
        <w:tc>
          <w:tcPr>
            <w:tcW w:w="4371" w:type="dxa"/>
          </w:tcPr>
          <w:p>
            <w:pPr>
              <w:pStyle w:val="TableParagraph"/>
              <w:spacing w:line="210" w:lineRule="exact"/>
              <w:ind w:left="136" w:right="257"/>
              <w:jc w:val="center"/>
              <w:rPr>
                <w:sz w:val="20"/>
              </w:rPr>
            </w:pPr>
            <w:r>
              <w:rPr>
                <w:sz w:val="20"/>
              </w:rPr>
              <w:t>N00.6,</w:t>
            </w:r>
            <w:r>
              <w:rPr>
                <w:spacing w:val="-4"/>
                <w:sz w:val="20"/>
              </w:rPr>
              <w:t> </w:t>
            </w:r>
            <w:r>
              <w:rPr>
                <w:sz w:val="20"/>
              </w:rPr>
              <w:t>N00.7,</w:t>
            </w:r>
            <w:r>
              <w:rPr>
                <w:spacing w:val="-6"/>
                <w:sz w:val="20"/>
              </w:rPr>
              <w:t> </w:t>
            </w:r>
            <w:r>
              <w:rPr>
                <w:sz w:val="20"/>
              </w:rPr>
              <w:t>N00.8,</w:t>
            </w:r>
            <w:r>
              <w:rPr>
                <w:spacing w:val="-4"/>
                <w:sz w:val="20"/>
              </w:rPr>
              <w:t> </w:t>
            </w:r>
            <w:r>
              <w:rPr>
                <w:sz w:val="20"/>
              </w:rPr>
              <w:t>N00.9,</w:t>
            </w:r>
            <w:r>
              <w:rPr>
                <w:spacing w:val="-6"/>
                <w:sz w:val="20"/>
              </w:rPr>
              <w:t> </w:t>
            </w:r>
            <w:r>
              <w:rPr>
                <w:sz w:val="20"/>
              </w:rPr>
              <w:t>N01,</w:t>
            </w:r>
            <w:r>
              <w:rPr>
                <w:spacing w:val="-4"/>
                <w:sz w:val="20"/>
              </w:rPr>
              <w:t> </w:t>
            </w:r>
            <w:r>
              <w:rPr>
                <w:sz w:val="20"/>
              </w:rPr>
              <w:t>N01.0,</w:t>
            </w:r>
            <w:r>
              <w:rPr>
                <w:spacing w:val="-4"/>
                <w:sz w:val="20"/>
              </w:rPr>
              <w:t> </w:t>
            </w:r>
            <w:r>
              <w:rPr>
                <w:spacing w:val="-2"/>
                <w:sz w:val="20"/>
              </w:rPr>
              <w:t>N01.1,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spacing w:line="210" w:lineRule="exact"/>
              <w:ind w:left="219"/>
              <w:rPr>
                <w:sz w:val="20"/>
              </w:rPr>
            </w:pPr>
            <w:r>
              <w:rPr>
                <w:sz w:val="20"/>
              </w:rPr>
              <w:t>(без</w:t>
            </w:r>
            <w:r>
              <w:rPr>
                <w:spacing w:val="-4"/>
                <w:sz w:val="20"/>
              </w:rPr>
              <w:t> </w:t>
            </w:r>
            <w:r>
              <w:rPr>
                <w:spacing w:val="-2"/>
                <w:sz w:val="20"/>
              </w:rPr>
              <w:t>диализа)</w:t>
            </w:r>
          </w:p>
        </w:tc>
        <w:tc>
          <w:tcPr>
            <w:tcW w:w="4371" w:type="dxa"/>
          </w:tcPr>
          <w:p>
            <w:pPr>
              <w:pStyle w:val="TableParagraph"/>
              <w:spacing w:line="210" w:lineRule="exact"/>
              <w:ind w:left="138" w:right="256"/>
              <w:jc w:val="center"/>
              <w:rPr>
                <w:sz w:val="20"/>
              </w:rPr>
            </w:pPr>
            <w:r>
              <w:rPr>
                <w:sz w:val="20"/>
              </w:rPr>
              <w:t>N01.2,</w:t>
            </w:r>
            <w:r>
              <w:rPr>
                <w:spacing w:val="-4"/>
                <w:sz w:val="20"/>
              </w:rPr>
              <w:t> </w:t>
            </w:r>
            <w:r>
              <w:rPr>
                <w:sz w:val="20"/>
              </w:rPr>
              <w:t>N01.3,</w:t>
            </w:r>
            <w:r>
              <w:rPr>
                <w:spacing w:val="-6"/>
                <w:sz w:val="20"/>
              </w:rPr>
              <w:t> </w:t>
            </w:r>
            <w:r>
              <w:rPr>
                <w:sz w:val="20"/>
              </w:rPr>
              <w:t>N01.4,</w:t>
            </w:r>
            <w:r>
              <w:rPr>
                <w:spacing w:val="-4"/>
                <w:sz w:val="20"/>
              </w:rPr>
              <w:t> </w:t>
            </w:r>
            <w:r>
              <w:rPr>
                <w:sz w:val="20"/>
              </w:rPr>
              <w:t>N01.5,</w:t>
            </w:r>
            <w:r>
              <w:rPr>
                <w:spacing w:val="-6"/>
                <w:sz w:val="20"/>
              </w:rPr>
              <w:t> </w:t>
            </w:r>
            <w:r>
              <w:rPr>
                <w:sz w:val="20"/>
              </w:rPr>
              <w:t>N01.6,</w:t>
            </w:r>
            <w:r>
              <w:rPr>
                <w:spacing w:val="-4"/>
                <w:sz w:val="20"/>
              </w:rPr>
              <w:t> </w:t>
            </w:r>
            <w:r>
              <w:rPr>
                <w:spacing w:val="-2"/>
                <w:sz w:val="20"/>
              </w:rPr>
              <w:t>N01.7,</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N01.8,</w:t>
            </w:r>
            <w:r>
              <w:rPr>
                <w:spacing w:val="-6"/>
                <w:sz w:val="20"/>
              </w:rPr>
              <w:t> </w:t>
            </w:r>
            <w:r>
              <w:rPr>
                <w:sz w:val="20"/>
              </w:rPr>
              <w:t>N01.9,</w:t>
            </w:r>
            <w:r>
              <w:rPr>
                <w:spacing w:val="-7"/>
                <w:sz w:val="20"/>
              </w:rPr>
              <w:t> </w:t>
            </w:r>
            <w:r>
              <w:rPr>
                <w:sz w:val="20"/>
              </w:rPr>
              <w:t>N02,</w:t>
            </w:r>
            <w:r>
              <w:rPr>
                <w:spacing w:val="-5"/>
                <w:sz w:val="20"/>
              </w:rPr>
              <w:t> </w:t>
            </w:r>
            <w:r>
              <w:rPr>
                <w:sz w:val="20"/>
              </w:rPr>
              <w:t>N02.0,</w:t>
            </w:r>
            <w:r>
              <w:rPr>
                <w:spacing w:val="-5"/>
                <w:sz w:val="20"/>
              </w:rPr>
              <w:t> </w:t>
            </w:r>
            <w:r>
              <w:rPr>
                <w:sz w:val="20"/>
              </w:rPr>
              <w:t>N02.1,</w:t>
            </w:r>
            <w:r>
              <w:rPr>
                <w:spacing w:val="-5"/>
                <w:sz w:val="20"/>
              </w:rPr>
              <w:t> </w:t>
            </w:r>
            <w:r>
              <w:rPr>
                <w:sz w:val="20"/>
              </w:rPr>
              <w:t>N02.2,</w:t>
            </w:r>
            <w:r>
              <w:rPr>
                <w:spacing w:val="-6"/>
                <w:sz w:val="20"/>
              </w:rPr>
              <w:t> </w:t>
            </w:r>
            <w:r>
              <w:rPr>
                <w:spacing w:val="-2"/>
                <w:sz w:val="20"/>
              </w:rPr>
              <w:t>N02.3,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6" w:right="257"/>
              <w:jc w:val="center"/>
              <w:rPr>
                <w:sz w:val="20"/>
              </w:rPr>
            </w:pPr>
            <w:r>
              <w:rPr>
                <w:sz w:val="20"/>
              </w:rPr>
              <w:t>N02.4,</w:t>
            </w:r>
            <w:r>
              <w:rPr>
                <w:spacing w:val="-5"/>
                <w:sz w:val="20"/>
              </w:rPr>
              <w:t> </w:t>
            </w:r>
            <w:r>
              <w:rPr>
                <w:sz w:val="20"/>
              </w:rPr>
              <w:t>N02.5,</w:t>
            </w:r>
            <w:r>
              <w:rPr>
                <w:spacing w:val="-5"/>
                <w:sz w:val="20"/>
              </w:rPr>
              <w:t> </w:t>
            </w:r>
            <w:r>
              <w:rPr>
                <w:sz w:val="20"/>
              </w:rPr>
              <w:t>N02.6,</w:t>
            </w:r>
            <w:r>
              <w:rPr>
                <w:spacing w:val="-4"/>
                <w:sz w:val="20"/>
              </w:rPr>
              <w:t> </w:t>
            </w:r>
            <w:r>
              <w:rPr>
                <w:sz w:val="20"/>
              </w:rPr>
              <w:t>N02.7,</w:t>
            </w:r>
            <w:r>
              <w:rPr>
                <w:spacing w:val="-6"/>
                <w:sz w:val="20"/>
              </w:rPr>
              <w:t> </w:t>
            </w:r>
            <w:r>
              <w:rPr>
                <w:sz w:val="20"/>
              </w:rPr>
              <w:t>N02.8,</w:t>
            </w:r>
            <w:r>
              <w:rPr>
                <w:spacing w:val="-4"/>
                <w:sz w:val="20"/>
              </w:rPr>
              <w:t> </w:t>
            </w:r>
            <w:r>
              <w:rPr>
                <w:sz w:val="20"/>
              </w:rPr>
              <w:t>N02.9,</w:t>
            </w:r>
            <w:r>
              <w:rPr>
                <w:spacing w:val="-6"/>
                <w:sz w:val="20"/>
              </w:rPr>
              <w:t> </w:t>
            </w:r>
            <w:r>
              <w:rPr>
                <w:spacing w:val="-4"/>
                <w:sz w:val="20"/>
              </w:rPr>
              <w:t>N03,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1" w:lineRule="exact"/>
              <w:ind w:left="138" w:right="256"/>
              <w:jc w:val="center"/>
              <w:rPr>
                <w:sz w:val="20"/>
              </w:rPr>
            </w:pPr>
            <w:r>
              <w:rPr>
                <w:sz w:val="20"/>
              </w:rPr>
              <w:t>N03.0,</w:t>
            </w:r>
            <w:r>
              <w:rPr>
                <w:spacing w:val="-4"/>
                <w:sz w:val="20"/>
              </w:rPr>
              <w:t> </w:t>
            </w:r>
            <w:r>
              <w:rPr>
                <w:sz w:val="20"/>
              </w:rPr>
              <w:t>N03.1,</w:t>
            </w:r>
            <w:r>
              <w:rPr>
                <w:spacing w:val="-6"/>
                <w:sz w:val="20"/>
              </w:rPr>
              <w:t> </w:t>
            </w:r>
            <w:r>
              <w:rPr>
                <w:sz w:val="20"/>
              </w:rPr>
              <w:t>N03.2,</w:t>
            </w:r>
            <w:r>
              <w:rPr>
                <w:spacing w:val="-4"/>
                <w:sz w:val="20"/>
              </w:rPr>
              <w:t> </w:t>
            </w:r>
            <w:r>
              <w:rPr>
                <w:sz w:val="20"/>
              </w:rPr>
              <w:t>N03.3,</w:t>
            </w:r>
            <w:r>
              <w:rPr>
                <w:spacing w:val="-6"/>
                <w:sz w:val="20"/>
              </w:rPr>
              <w:t> </w:t>
            </w:r>
            <w:r>
              <w:rPr>
                <w:sz w:val="20"/>
              </w:rPr>
              <w:t>N03.4,</w:t>
            </w:r>
            <w:r>
              <w:rPr>
                <w:spacing w:val="-4"/>
                <w:sz w:val="20"/>
              </w:rPr>
              <w:t> </w:t>
            </w:r>
            <w:r>
              <w:rPr>
                <w:spacing w:val="-2"/>
                <w:sz w:val="20"/>
              </w:rPr>
              <w:t>N03.5,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6" w:right="257"/>
              <w:jc w:val="center"/>
              <w:rPr>
                <w:sz w:val="20"/>
              </w:rPr>
            </w:pPr>
            <w:r>
              <w:rPr>
                <w:sz w:val="20"/>
              </w:rPr>
              <w:t>N03.6,</w:t>
            </w:r>
            <w:r>
              <w:rPr>
                <w:spacing w:val="-4"/>
                <w:sz w:val="20"/>
              </w:rPr>
              <w:t> </w:t>
            </w:r>
            <w:r>
              <w:rPr>
                <w:sz w:val="20"/>
              </w:rPr>
              <w:t>N03.7,</w:t>
            </w:r>
            <w:r>
              <w:rPr>
                <w:spacing w:val="-6"/>
                <w:sz w:val="20"/>
              </w:rPr>
              <w:t> </w:t>
            </w:r>
            <w:r>
              <w:rPr>
                <w:sz w:val="20"/>
              </w:rPr>
              <w:t>N03.8,</w:t>
            </w:r>
            <w:r>
              <w:rPr>
                <w:spacing w:val="-4"/>
                <w:sz w:val="20"/>
              </w:rPr>
              <w:t> </w:t>
            </w:r>
            <w:r>
              <w:rPr>
                <w:sz w:val="20"/>
              </w:rPr>
              <w:t>N03.9,</w:t>
            </w:r>
            <w:r>
              <w:rPr>
                <w:spacing w:val="-6"/>
                <w:sz w:val="20"/>
              </w:rPr>
              <w:t> </w:t>
            </w:r>
            <w:r>
              <w:rPr>
                <w:sz w:val="20"/>
              </w:rPr>
              <w:t>N04,</w:t>
            </w:r>
            <w:r>
              <w:rPr>
                <w:spacing w:val="-4"/>
                <w:sz w:val="20"/>
              </w:rPr>
              <w:t> </w:t>
            </w:r>
            <w:r>
              <w:rPr>
                <w:sz w:val="20"/>
              </w:rPr>
              <w:t>N04.0,</w:t>
            </w:r>
            <w:r>
              <w:rPr>
                <w:spacing w:val="-4"/>
                <w:sz w:val="20"/>
              </w:rPr>
              <w:t> </w:t>
            </w:r>
            <w:r>
              <w:rPr>
                <w:spacing w:val="-2"/>
                <w:sz w:val="20"/>
              </w:rPr>
              <w:t>N04.1,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1"/>
              <w:jc w:val="center"/>
              <w:rPr>
                <w:sz w:val="20"/>
              </w:rPr>
            </w:pPr>
            <w:r>
              <w:rPr>
                <w:sz w:val="20"/>
              </w:rPr>
              <w:t>N04.2,</w:t>
            </w:r>
            <w:r>
              <w:rPr>
                <w:spacing w:val="-4"/>
                <w:sz w:val="20"/>
              </w:rPr>
              <w:t> </w:t>
            </w:r>
            <w:r>
              <w:rPr>
                <w:sz w:val="20"/>
              </w:rPr>
              <w:t>N04.3,</w:t>
            </w:r>
            <w:r>
              <w:rPr>
                <w:spacing w:val="-5"/>
                <w:sz w:val="20"/>
              </w:rPr>
              <w:t> </w:t>
            </w:r>
            <w:r>
              <w:rPr>
                <w:sz w:val="20"/>
              </w:rPr>
              <w:t>N04.4,</w:t>
            </w:r>
            <w:r>
              <w:rPr>
                <w:spacing w:val="-3"/>
                <w:sz w:val="20"/>
              </w:rPr>
              <w:t> </w:t>
            </w:r>
            <w:r>
              <w:rPr>
                <w:sz w:val="20"/>
              </w:rPr>
              <w:t>N04.5,</w:t>
            </w:r>
            <w:r>
              <w:rPr>
                <w:spacing w:val="-5"/>
                <w:sz w:val="20"/>
              </w:rPr>
              <w:t> </w:t>
            </w:r>
            <w:r>
              <w:rPr>
                <w:sz w:val="20"/>
              </w:rPr>
              <w:t>N04.6,</w:t>
            </w:r>
            <w:r>
              <w:rPr>
                <w:spacing w:val="-3"/>
                <w:sz w:val="20"/>
              </w:rPr>
              <w:t> </w:t>
            </w:r>
            <w:r>
              <w:rPr>
                <w:spacing w:val="-2"/>
                <w:sz w:val="20"/>
              </w:rPr>
              <w:t>N04.7,</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N04.8,</w:t>
            </w:r>
            <w:r>
              <w:rPr>
                <w:spacing w:val="-6"/>
                <w:sz w:val="20"/>
              </w:rPr>
              <w:t> </w:t>
            </w:r>
            <w:r>
              <w:rPr>
                <w:sz w:val="20"/>
              </w:rPr>
              <w:t>N04.9,</w:t>
            </w:r>
            <w:r>
              <w:rPr>
                <w:spacing w:val="-7"/>
                <w:sz w:val="20"/>
              </w:rPr>
              <w:t> </w:t>
            </w:r>
            <w:r>
              <w:rPr>
                <w:sz w:val="20"/>
              </w:rPr>
              <w:t>N05,</w:t>
            </w:r>
            <w:r>
              <w:rPr>
                <w:spacing w:val="-5"/>
                <w:sz w:val="20"/>
              </w:rPr>
              <w:t> </w:t>
            </w:r>
            <w:r>
              <w:rPr>
                <w:sz w:val="20"/>
              </w:rPr>
              <w:t>N05.0,</w:t>
            </w:r>
            <w:r>
              <w:rPr>
                <w:spacing w:val="-5"/>
                <w:sz w:val="20"/>
              </w:rPr>
              <w:t> </w:t>
            </w:r>
            <w:r>
              <w:rPr>
                <w:sz w:val="20"/>
              </w:rPr>
              <w:t>N05.1,</w:t>
            </w:r>
            <w:r>
              <w:rPr>
                <w:spacing w:val="-5"/>
                <w:sz w:val="20"/>
              </w:rPr>
              <w:t> </w:t>
            </w:r>
            <w:r>
              <w:rPr>
                <w:sz w:val="20"/>
              </w:rPr>
              <w:t>N05.2,</w:t>
            </w:r>
            <w:r>
              <w:rPr>
                <w:spacing w:val="-6"/>
                <w:sz w:val="20"/>
              </w:rPr>
              <w:t> </w:t>
            </w:r>
            <w:r>
              <w:rPr>
                <w:spacing w:val="-2"/>
                <w:sz w:val="20"/>
              </w:rPr>
              <w:t>N05.3,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6" w:right="257"/>
              <w:jc w:val="center"/>
              <w:rPr>
                <w:sz w:val="20"/>
              </w:rPr>
            </w:pPr>
            <w:r>
              <w:rPr>
                <w:sz w:val="20"/>
              </w:rPr>
              <w:t>N05.4,</w:t>
            </w:r>
            <w:r>
              <w:rPr>
                <w:spacing w:val="-5"/>
                <w:sz w:val="20"/>
              </w:rPr>
              <w:t> </w:t>
            </w:r>
            <w:r>
              <w:rPr>
                <w:sz w:val="20"/>
              </w:rPr>
              <w:t>N05.5,</w:t>
            </w:r>
            <w:r>
              <w:rPr>
                <w:spacing w:val="-5"/>
                <w:sz w:val="20"/>
              </w:rPr>
              <w:t> </w:t>
            </w:r>
            <w:r>
              <w:rPr>
                <w:sz w:val="20"/>
              </w:rPr>
              <w:t>N05.6,</w:t>
            </w:r>
            <w:r>
              <w:rPr>
                <w:spacing w:val="-4"/>
                <w:sz w:val="20"/>
              </w:rPr>
              <w:t> </w:t>
            </w:r>
            <w:r>
              <w:rPr>
                <w:sz w:val="20"/>
              </w:rPr>
              <w:t>N05.7,</w:t>
            </w:r>
            <w:r>
              <w:rPr>
                <w:spacing w:val="-6"/>
                <w:sz w:val="20"/>
              </w:rPr>
              <w:t> </w:t>
            </w:r>
            <w:r>
              <w:rPr>
                <w:sz w:val="20"/>
              </w:rPr>
              <w:t>N05.8,</w:t>
            </w:r>
            <w:r>
              <w:rPr>
                <w:spacing w:val="-4"/>
                <w:sz w:val="20"/>
              </w:rPr>
              <w:t> </w:t>
            </w:r>
            <w:r>
              <w:rPr>
                <w:sz w:val="20"/>
              </w:rPr>
              <w:t>N05.9,</w:t>
            </w:r>
            <w:r>
              <w:rPr>
                <w:spacing w:val="-6"/>
                <w:sz w:val="20"/>
              </w:rPr>
              <w:t> </w:t>
            </w:r>
            <w:r>
              <w:rPr>
                <w:spacing w:val="-4"/>
                <w:sz w:val="20"/>
              </w:rPr>
              <w:t>N06,</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6"/>
              <w:jc w:val="center"/>
              <w:rPr>
                <w:sz w:val="20"/>
              </w:rPr>
            </w:pPr>
            <w:r>
              <w:rPr>
                <w:sz w:val="20"/>
              </w:rPr>
              <w:t>N06.0,</w:t>
            </w:r>
            <w:r>
              <w:rPr>
                <w:spacing w:val="-4"/>
                <w:sz w:val="20"/>
              </w:rPr>
              <w:t> </w:t>
            </w:r>
            <w:r>
              <w:rPr>
                <w:sz w:val="20"/>
              </w:rPr>
              <w:t>N06.1,</w:t>
            </w:r>
            <w:r>
              <w:rPr>
                <w:spacing w:val="-6"/>
                <w:sz w:val="20"/>
              </w:rPr>
              <w:t> </w:t>
            </w:r>
            <w:r>
              <w:rPr>
                <w:sz w:val="20"/>
              </w:rPr>
              <w:t>N06.2,</w:t>
            </w:r>
            <w:r>
              <w:rPr>
                <w:spacing w:val="-4"/>
                <w:sz w:val="20"/>
              </w:rPr>
              <w:t> </w:t>
            </w:r>
            <w:r>
              <w:rPr>
                <w:sz w:val="20"/>
              </w:rPr>
              <w:t>N06.3,</w:t>
            </w:r>
            <w:r>
              <w:rPr>
                <w:spacing w:val="-6"/>
                <w:sz w:val="20"/>
              </w:rPr>
              <w:t> </w:t>
            </w:r>
            <w:r>
              <w:rPr>
                <w:sz w:val="20"/>
              </w:rPr>
              <w:t>N06.4,</w:t>
            </w:r>
            <w:r>
              <w:rPr>
                <w:spacing w:val="-4"/>
                <w:sz w:val="20"/>
              </w:rPr>
              <w:t> </w:t>
            </w:r>
            <w:r>
              <w:rPr>
                <w:spacing w:val="-2"/>
                <w:sz w:val="20"/>
              </w:rPr>
              <w:t>N06.5,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6" w:right="257"/>
              <w:jc w:val="center"/>
              <w:rPr>
                <w:sz w:val="20"/>
              </w:rPr>
            </w:pPr>
            <w:r>
              <w:rPr>
                <w:sz w:val="20"/>
              </w:rPr>
              <w:t>N06.6,</w:t>
            </w:r>
            <w:r>
              <w:rPr>
                <w:spacing w:val="-4"/>
                <w:sz w:val="20"/>
              </w:rPr>
              <w:t> </w:t>
            </w:r>
            <w:r>
              <w:rPr>
                <w:sz w:val="20"/>
              </w:rPr>
              <w:t>N06.7,</w:t>
            </w:r>
            <w:r>
              <w:rPr>
                <w:spacing w:val="-6"/>
                <w:sz w:val="20"/>
              </w:rPr>
              <w:t> </w:t>
            </w:r>
            <w:r>
              <w:rPr>
                <w:sz w:val="20"/>
              </w:rPr>
              <w:t>N06.8,</w:t>
            </w:r>
            <w:r>
              <w:rPr>
                <w:spacing w:val="-4"/>
                <w:sz w:val="20"/>
              </w:rPr>
              <w:t> </w:t>
            </w:r>
            <w:r>
              <w:rPr>
                <w:sz w:val="20"/>
              </w:rPr>
              <w:t>N06.9,</w:t>
            </w:r>
            <w:r>
              <w:rPr>
                <w:spacing w:val="-6"/>
                <w:sz w:val="20"/>
              </w:rPr>
              <w:t> </w:t>
            </w:r>
            <w:r>
              <w:rPr>
                <w:sz w:val="20"/>
              </w:rPr>
              <w:t>N07,</w:t>
            </w:r>
            <w:r>
              <w:rPr>
                <w:spacing w:val="-4"/>
                <w:sz w:val="20"/>
              </w:rPr>
              <w:t> </w:t>
            </w:r>
            <w:r>
              <w:rPr>
                <w:sz w:val="20"/>
              </w:rPr>
              <w:t>N07.0,</w:t>
            </w:r>
            <w:r>
              <w:rPr>
                <w:spacing w:val="-4"/>
                <w:sz w:val="20"/>
              </w:rPr>
              <w:t> </w:t>
            </w:r>
            <w:r>
              <w:rPr>
                <w:spacing w:val="-2"/>
                <w:sz w:val="20"/>
              </w:rPr>
              <w:t>N07.2,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6"/>
              <w:jc w:val="center"/>
              <w:rPr>
                <w:sz w:val="20"/>
              </w:rPr>
            </w:pPr>
            <w:r>
              <w:rPr>
                <w:sz w:val="20"/>
              </w:rPr>
              <w:t>N07.3,</w:t>
            </w:r>
            <w:r>
              <w:rPr>
                <w:spacing w:val="-4"/>
                <w:sz w:val="20"/>
              </w:rPr>
              <w:t> </w:t>
            </w:r>
            <w:r>
              <w:rPr>
                <w:sz w:val="20"/>
              </w:rPr>
              <w:t>N07.4,</w:t>
            </w:r>
            <w:r>
              <w:rPr>
                <w:spacing w:val="-6"/>
                <w:sz w:val="20"/>
              </w:rPr>
              <w:t> </w:t>
            </w:r>
            <w:r>
              <w:rPr>
                <w:sz w:val="20"/>
              </w:rPr>
              <w:t>N07.5,</w:t>
            </w:r>
            <w:r>
              <w:rPr>
                <w:spacing w:val="-4"/>
                <w:sz w:val="20"/>
              </w:rPr>
              <w:t> </w:t>
            </w:r>
            <w:r>
              <w:rPr>
                <w:sz w:val="20"/>
              </w:rPr>
              <w:t>N07.6,</w:t>
            </w:r>
            <w:r>
              <w:rPr>
                <w:spacing w:val="-6"/>
                <w:sz w:val="20"/>
              </w:rPr>
              <w:t> </w:t>
            </w:r>
            <w:r>
              <w:rPr>
                <w:sz w:val="20"/>
              </w:rPr>
              <w:t>N07.7,</w:t>
            </w:r>
            <w:r>
              <w:rPr>
                <w:spacing w:val="-4"/>
                <w:sz w:val="20"/>
              </w:rPr>
              <w:t> </w:t>
            </w:r>
            <w:r>
              <w:rPr>
                <w:spacing w:val="-2"/>
                <w:sz w:val="20"/>
              </w:rPr>
              <w:t>N07.8,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4"/>
              <w:jc w:val="center"/>
              <w:rPr>
                <w:sz w:val="20"/>
              </w:rPr>
            </w:pPr>
            <w:r>
              <w:rPr>
                <w:sz w:val="20"/>
              </w:rPr>
              <w:t>N07.9,</w:t>
            </w:r>
            <w:r>
              <w:rPr>
                <w:spacing w:val="-6"/>
                <w:sz w:val="20"/>
              </w:rPr>
              <w:t> </w:t>
            </w:r>
            <w:r>
              <w:rPr>
                <w:sz w:val="20"/>
              </w:rPr>
              <w:t>N08,</w:t>
            </w:r>
            <w:r>
              <w:rPr>
                <w:spacing w:val="-5"/>
                <w:sz w:val="20"/>
              </w:rPr>
              <w:t> </w:t>
            </w:r>
            <w:r>
              <w:rPr>
                <w:sz w:val="20"/>
              </w:rPr>
              <w:t>N08.0,</w:t>
            </w:r>
            <w:r>
              <w:rPr>
                <w:spacing w:val="-5"/>
                <w:sz w:val="20"/>
              </w:rPr>
              <w:t> </w:t>
            </w:r>
            <w:r>
              <w:rPr>
                <w:sz w:val="20"/>
              </w:rPr>
              <w:t>N08.1,</w:t>
            </w:r>
            <w:r>
              <w:rPr>
                <w:spacing w:val="-5"/>
                <w:sz w:val="20"/>
              </w:rPr>
              <w:t> </w:t>
            </w:r>
            <w:r>
              <w:rPr>
                <w:sz w:val="20"/>
              </w:rPr>
              <w:t>N08.2,</w:t>
            </w:r>
            <w:r>
              <w:rPr>
                <w:spacing w:val="-5"/>
                <w:sz w:val="20"/>
              </w:rPr>
              <w:t> </w:t>
            </w:r>
            <w:r>
              <w:rPr>
                <w:sz w:val="20"/>
              </w:rPr>
              <w:t>N08.3,</w:t>
            </w:r>
            <w:r>
              <w:rPr>
                <w:spacing w:val="-5"/>
                <w:sz w:val="20"/>
              </w:rPr>
              <w:t> </w:t>
            </w:r>
            <w:r>
              <w:rPr>
                <w:spacing w:val="-2"/>
                <w:sz w:val="20"/>
              </w:rPr>
              <w:t>N08.4,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N08.5,</w:t>
            </w:r>
            <w:r>
              <w:rPr>
                <w:spacing w:val="-6"/>
                <w:sz w:val="20"/>
              </w:rPr>
              <w:t> </w:t>
            </w:r>
            <w:r>
              <w:rPr>
                <w:sz w:val="20"/>
              </w:rPr>
              <w:t>N08.8,</w:t>
            </w:r>
            <w:r>
              <w:rPr>
                <w:spacing w:val="-7"/>
                <w:sz w:val="20"/>
              </w:rPr>
              <w:t> </w:t>
            </w:r>
            <w:r>
              <w:rPr>
                <w:sz w:val="20"/>
              </w:rPr>
              <w:t>N17,</w:t>
            </w:r>
            <w:r>
              <w:rPr>
                <w:spacing w:val="-5"/>
                <w:sz w:val="20"/>
              </w:rPr>
              <w:t> </w:t>
            </w:r>
            <w:r>
              <w:rPr>
                <w:sz w:val="20"/>
              </w:rPr>
              <w:t>N17.0,</w:t>
            </w:r>
            <w:r>
              <w:rPr>
                <w:spacing w:val="-5"/>
                <w:sz w:val="20"/>
              </w:rPr>
              <w:t> </w:t>
            </w:r>
            <w:r>
              <w:rPr>
                <w:sz w:val="20"/>
              </w:rPr>
              <w:t>N17.1,</w:t>
            </w:r>
            <w:r>
              <w:rPr>
                <w:spacing w:val="-5"/>
                <w:sz w:val="20"/>
              </w:rPr>
              <w:t> </w:t>
            </w:r>
            <w:r>
              <w:rPr>
                <w:sz w:val="20"/>
              </w:rPr>
              <w:t>N17.2,</w:t>
            </w:r>
            <w:r>
              <w:rPr>
                <w:spacing w:val="-6"/>
                <w:sz w:val="20"/>
              </w:rPr>
              <w:t> </w:t>
            </w:r>
            <w:r>
              <w:rPr>
                <w:spacing w:val="-2"/>
                <w:sz w:val="20"/>
              </w:rPr>
              <w:t>N17.8,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N17.9,</w:t>
            </w:r>
            <w:r>
              <w:rPr>
                <w:spacing w:val="-6"/>
                <w:sz w:val="20"/>
              </w:rPr>
              <w:t> </w:t>
            </w:r>
            <w:r>
              <w:rPr>
                <w:sz w:val="20"/>
              </w:rPr>
              <w:t>N18,</w:t>
            </w:r>
            <w:r>
              <w:rPr>
                <w:spacing w:val="-6"/>
                <w:sz w:val="20"/>
              </w:rPr>
              <w:t> </w:t>
            </w:r>
            <w:r>
              <w:rPr>
                <w:sz w:val="20"/>
              </w:rPr>
              <w:t>N18.1,</w:t>
            </w:r>
            <w:r>
              <w:rPr>
                <w:spacing w:val="-5"/>
                <w:sz w:val="20"/>
              </w:rPr>
              <w:t> </w:t>
            </w:r>
            <w:r>
              <w:rPr>
                <w:sz w:val="20"/>
              </w:rPr>
              <w:t>N18.2,</w:t>
            </w:r>
            <w:r>
              <w:rPr>
                <w:spacing w:val="-6"/>
                <w:sz w:val="20"/>
              </w:rPr>
              <w:t> </w:t>
            </w:r>
            <w:r>
              <w:rPr>
                <w:sz w:val="20"/>
              </w:rPr>
              <w:t>N18.3,</w:t>
            </w:r>
            <w:r>
              <w:rPr>
                <w:spacing w:val="-5"/>
                <w:sz w:val="20"/>
              </w:rPr>
              <w:t> </w:t>
            </w:r>
            <w:r>
              <w:rPr>
                <w:sz w:val="20"/>
              </w:rPr>
              <w:t>N18.4,</w:t>
            </w:r>
            <w:r>
              <w:rPr>
                <w:spacing w:val="-6"/>
                <w:sz w:val="20"/>
              </w:rPr>
              <w:t> </w:t>
            </w:r>
            <w:r>
              <w:rPr>
                <w:spacing w:val="-2"/>
                <w:sz w:val="20"/>
              </w:rPr>
              <w:t>N18.5,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1" w:lineRule="exact"/>
              <w:ind w:left="138" w:right="256"/>
              <w:jc w:val="center"/>
              <w:rPr>
                <w:sz w:val="20"/>
              </w:rPr>
            </w:pPr>
            <w:r>
              <w:rPr>
                <w:sz w:val="20"/>
              </w:rPr>
              <w:t>N18.9,</w:t>
            </w:r>
            <w:r>
              <w:rPr>
                <w:spacing w:val="-5"/>
                <w:sz w:val="20"/>
              </w:rPr>
              <w:t> </w:t>
            </w:r>
            <w:r>
              <w:rPr>
                <w:sz w:val="20"/>
              </w:rPr>
              <w:t>N19,</w:t>
            </w:r>
            <w:r>
              <w:rPr>
                <w:spacing w:val="-5"/>
                <w:sz w:val="20"/>
              </w:rPr>
              <w:t> </w:t>
            </w:r>
            <w:r>
              <w:rPr>
                <w:sz w:val="20"/>
              </w:rPr>
              <w:t>N25.1,</w:t>
            </w:r>
            <w:r>
              <w:rPr>
                <w:spacing w:val="-5"/>
                <w:sz w:val="20"/>
              </w:rPr>
              <w:t> </w:t>
            </w:r>
            <w:r>
              <w:rPr>
                <w:sz w:val="20"/>
              </w:rPr>
              <w:t>N25.8,</w:t>
            </w:r>
            <w:r>
              <w:rPr>
                <w:spacing w:val="-5"/>
                <w:sz w:val="20"/>
              </w:rPr>
              <w:t> </w:t>
            </w:r>
            <w:r>
              <w:rPr>
                <w:sz w:val="20"/>
              </w:rPr>
              <w:t>N99,</w:t>
            </w:r>
            <w:r>
              <w:rPr>
                <w:spacing w:val="-5"/>
                <w:sz w:val="20"/>
              </w:rPr>
              <w:t> </w:t>
            </w:r>
            <w:r>
              <w:rPr>
                <w:sz w:val="20"/>
              </w:rPr>
              <w:t>N99.0,</w:t>
            </w:r>
            <w:r>
              <w:rPr>
                <w:spacing w:val="-5"/>
                <w:sz w:val="20"/>
              </w:rPr>
              <w:t> </w:t>
            </w:r>
            <w:r>
              <w:rPr>
                <w:spacing w:val="-2"/>
                <w:sz w:val="20"/>
              </w:rPr>
              <w:t>O08.4,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619" w:type="dxa"/>
          </w:tcPr>
          <w:p>
            <w:pPr>
              <w:pStyle w:val="TableParagraph"/>
              <w:rPr>
                <w:sz w:val="18"/>
              </w:rPr>
            </w:pPr>
          </w:p>
        </w:tc>
        <w:tc>
          <w:tcPr>
            <w:tcW w:w="4371" w:type="dxa"/>
          </w:tcPr>
          <w:p>
            <w:pPr>
              <w:pStyle w:val="TableParagraph"/>
              <w:spacing w:line="226" w:lineRule="exact"/>
              <w:ind w:left="138" w:right="253"/>
              <w:jc w:val="center"/>
              <w:rPr>
                <w:sz w:val="20"/>
              </w:rPr>
            </w:pPr>
            <w:r>
              <w:rPr>
                <w:sz w:val="20"/>
              </w:rPr>
              <w:t>O90.4,</w:t>
            </w:r>
            <w:r>
              <w:rPr>
                <w:spacing w:val="-6"/>
                <w:sz w:val="20"/>
              </w:rPr>
              <w:t> </w:t>
            </w:r>
            <w:r>
              <w:rPr>
                <w:sz w:val="20"/>
              </w:rPr>
              <w:t>P96.0,</w:t>
            </w:r>
            <w:r>
              <w:rPr>
                <w:spacing w:val="-3"/>
                <w:sz w:val="20"/>
              </w:rPr>
              <w:t> </w:t>
            </w:r>
            <w:r>
              <w:rPr>
                <w:spacing w:val="-5"/>
                <w:sz w:val="20"/>
              </w:rPr>
              <w:t>R34</w:t>
            </w:r>
          </w:p>
        </w:tc>
        <w:tc>
          <w:tcPr>
            <w:tcW w:w="3736"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79" w:hRule="atLeast"/>
        </w:trPr>
        <w:tc>
          <w:tcPr>
            <w:tcW w:w="1003" w:type="dxa"/>
          </w:tcPr>
          <w:p>
            <w:pPr>
              <w:pStyle w:val="TableParagraph"/>
              <w:spacing w:line="214" w:lineRule="exact" w:before="46"/>
              <w:ind w:left="39" w:right="212"/>
              <w:jc w:val="center"/>
              <w:rPr>
                <w:sz w:val="20"/>
              </w:rPr>
            </w:pPr>
            <w:r>
              <w:rPr>
                <w:spacing w:val="-2"/>
                <w:sz w:val="20"/>
              </w:rPr>
              <w:t>ds18.002</w:t>
            </w:r>
          </w:p>
        </w:tc>
        <w:tc>
          <w:tcPr>
            <w:tcW w:w="645" w:type="dxa"/>
          </w:tcPr>
          <w:p>
            <w:pPr>
              <w:pStyle w:val="TableParagraph"/>
              <w:spacing w:line="214" w:lineRule="exact" w:before="46"/>
              <w:ind w:right="215"/>
              <w:jc w:val="right"/>
              <w:rPr>
                <w:sz w:val="20"/>
              </w:rPr>
            </w:pPr>
            <w:r>
              <w:rPr>
                <w:spacing w:val="-5"/>
                <w:sz w:val="20"/>
              </w:rPr>
              <w:t>49</w:t>
            </w:r>
          </w:p>
        </w:tc>
        <w:tc>
          <w:tcPr>
            <w:tcW w:w="2619" w:type="dxa"/>
          </w:tcPr>
          <w:p>
            <w:pPr>
              <w:pStyle w:val="TableParagraph"/>
              <w:spacing w:line="214" w:lineRule="exact" w:before="46"/>
              <w:ind w:left="219"/>
              <w:rPr>
                <w:sz w:val="20"/>
              </w:rPr>
            </w:pPr>
            <w:r>
              <w:rPr>
                <w:sz w:val="20"/>
              </w:rPr>
              <w:t>Лекарственная</w:t>
            </w:r>
            <w:r>
              <w:rPr>
                <w:spacing w:val="-11"/>
                <w:sz w:val="20"/>
              </w:rPr>
              <w:t> </w:t>
            </w:r>
            <w:r>
              <w:rPr>
                <w:sz w:val="20"/>
              </w:rPr>
              <w:t>терапия</w:t>
            </w:r>
            <w:r>
              <w:rPr>
                <w:spacing w:val="-8"/>
                <w:sz w:val="20"/>
              </w:rPr>
              <w:t> </w:t>
            </w:r>
            <w:r>
              <w:rPr>
                <w:spacing w:val="-10"/>
                <w:sz w:val="20"/>
              </w:rPr>
              <w:t>у</w:t>
            </w:r>
          </w:p>
        </w:tc>
        <w:tc>
          <w:tcPr>
            <w:tcW w:w="4371" w:type="dxa"/>
          </w:tcPr>
          <w:p>
            <w:pPr>
              <w:pStyle w:val="TableParagraph"/>
              <w:spacing w:line="214" w:lineRule="exact" w:before="46"/>
              <w:ind w:left="138" w:right="251"/>
              <w:jc w:val="center"/>
              <w:rPr>
                <w:sz w:val="20"/>
              </w:rPr>
            </w:pPr>
            <w:r>
              <w:rPr>
                <w:spacing w:val="-4"/>
                <w:sz w:val="20"/>
              </w:rPr>
              <w:t>N18.5</w:t>
            </w:r>
          </w:p>
        </w:tc>
        <w:tc>
          <w:tcPr>
            <w:tcW w:w="3736" w:type="dxa"/>
          </w:tcPr>
          <w:p>
            <w:pPr>
              <w:pStyle w:val="TableParagraph"/>
              <w:spacing w:line="214" w:lineRule="exact" w:before="46"/>
              <w:ind w:left="268" w:right="732"/>
              <w:jc w:val="center"/>
              <w:rPr>
                <w:sz w:val="20"/>
              </w:rPr>
            </w:pPr>
            <w:r>
              <w:rPr>
                <w:w w:val="95"/>
                <w:sz w:val="20"/>
              </w:rPr>
              <w:t>A25.28.001.001,</w:t>
            </w:r>
            <w:r>
              <w:rPr>
                <w:spacing w:val="54"/>
                <w:sz w:val="20"/>
              </w:rPr>
              <w:t> </w:t>
            </w:r>
            <w:r>
              <w:rPr>
                <w:spacing w:val="-2"/>
                <w:sz w:val="20"/>
              </w:rPr>
              <w:t>A25.28.001.002,</w:t>
            </w:r>
          </w:p>
        </w:tc>
        <w:tc>
          <w:tcPr>
            <w:tcW w:w="1660" w:type="dxa"/>
          </w:tcPr>
          <w:p>
            <w:pPr>
              <w:pStyle w:val="TableParagraph"/>
              <w:spacing w:line="214" w:lineRule="exact" w:before="46"/>
              <w:ind w:left="734"/>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3,25</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spacing w:line="209" w:lineRule="exact"/>
              <w:ind w:left="219"/>
              <w:rPr>
                <w:sz w:val="20"/>
              </w:rPr>
            </w:pPr>
            <w:r>
              <w:rPr>
                <w:sz w:val="20"/>
              </w:rPr>
              <w:t>пациентов,</w:t>
            </w:r>
            <w:r>
              <w:rPr>
                <w:spacing w:val="-13"/>
                <w:sz w:val="20"/>
              </w:rPr>
              <w:t> </w:t>
            </w:r>
            <w:r>
              <w:rPr>
                <w:spacing w:val="-2"/>
                <w:sz w:val="20"/>
              </w:rPr>
              <w:t>получающих</w:t>
            </w:r>
          </w:p>
        </w:tc>
        <w:tc>
          <w:tcPr>
            <w:tcW w:w="4371" w:type="dxa"/>
          </w:tcPr>
          <w:p>
            <w:pPr>
              <w:pStyle w:val="TableParagraph"/>
              <w:rPr>
                <w:sz w:val="16"/>
              </w:rPr>
            </w:pPr>
          </w:p>
        </w:tc>
        <w:tc>
          <w:tcPr>
            <w:tcW w:w="3736" w:type="dxa"/>
          </w:tcPr>
          <w:p>
            <w:pPr>
              <w:pStyle w:val="TableParagraph"/>
              <w:spacing w:line="209" w:lineRule="exact"/>
              <w:ind w:left="268" w:right="732"/>
              <w:jc w:val="center"/>
              <w:rPr>
                <w:sz w:val="20"/>
              </w:rPr>
            </w:pPr>
            <w:r>
              <w:rPr>
                <w:w w:val="95"/>
                <w:sz w:val="20"/>
              </w:rPr>
              <w:t>A25.28.001.003,</w:t>
            </w:r>
            <w:r>
              <w:rPr>
                <w:spacing w:val="54"/>
                <w:sz w:val="20"/>
              </w:rPr>
              <w:t> </w:t>
            </w:r>
            <w:r>
              <w:rPr>
                <w:spacing w:val="-2"/>
                <w:sz w:val="20"/>
              </w:rPr>
              <w:t>A25.28.001.004,</w:t>
            </w:r>
          </w:p>
        </w:tc>
        <w:tc>
          <w:tcPr>
            <w:tcW w:w="1660" w:type="dxa"/>
          </w:tcPr>
          <w:p>
            <w:pPr>
              <w:pStyle w:val="TableParagraph"/>
              <w:rPr>
                <w:sz w:val="16"/>
              </w:rPr>
            </w:pPr>
          </w:p>
        </w:tc>
        <w:tc>
          <w:tcPr>
            <w:tcW w:w="1261"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619" w:type="dxa"/>
          </w:tcPr>
          <w:p>
            <w:pPr>
              <w:pStyle w:val="TableParagraph"/>
              <w:spacing w:line="226" w:lineRule="exact"/>
              <w:ind w:left="219"/>
              <w:rPr>
                <w:sz w:val="20"/>
              </w:rPr>
            </w:pPr>
            <w:r>
              <w:rPr>
                <w:spacing w:val="-2"/>
                <w:sz w:val="20"/>
              </w:rPr>
              <w:t>диализ</w:t>
            </w:r>
          </w:p>
        </w:tc>
        <w:tc>
          <w:tcPr>
            <w:tcW w:w="4371" w:type="dxa"/>
          </w:tcPr>
          <w:p>
            <w:pPr>
              <w:pStyle w:val="TableParagraph"/>
              <w:rPr>
                <w:sz w:val="18"/>
              </w:rPr>
            </w:pPr>
          </w:p>
        </w:tc>
        <w:tc>
          <w:tcPr>
            <w:tcW w:w="3736" w:type="dxa"/>
          </w:tcPr>
          <w:p>
            <w:pPr>
              <w:pStyle w:val="TableParagraph"/>
              <w:spacing w:line="226" w:lineRule="exact"/>
              <w:ind w:left="268" w:right="730"/>
              <w:jc w:val="center"/>
              <w:rPr>
                <w:sz w:val="20"/>
              </w:rPr>
            </w:pPr>
            <w:r>
              <w:rPr>
                <w:w w:val="95"/>
                <w:sz w:val="20"/>
              </w:rPr>
              <w:t>A25.28.001.005,</w:t>
            </w:r>
            <w:r>
              <w:rPr>
                <w:spacing w:val="54"/>
                <w:sz w:val="20"/>
              </w:rPr>
              <w:t> </w:t>
            </w:r>
            <w:r>
              <w:rPr>
                <w:spacing w:val="-2"/>
                <w:sz w:val="20"/>
              </w:rPr>
              <w:t>A25.28.001.006</w:t>
            </w:r>
          </w:p>
        </w:tc>
        <w:tc>
          <w:tcPr>
            <w:tcW w:w="1660" w:type="dxa"/>
          </w:tcPr>
          <w:p>
            <w:pPr>
              <w:pStyle w:val="TableParagraph"/>
              <w:rPr>
                <w:sz w:val="18"/>
              </w:rPr>
            </w:pPr>
          </w:p>
        </w:tc>
        <w:tc>
          <w:tcPr>
            <w:tcW w:w="1261" w:type="dxa"/>
          </w:tcPr>
          <w:p>
            <w:pPr>
              <w:pStyle w:val="TableParagraph"/>
              <w:rPr>
                <w:sz w:val="18"/>
              </w:rPr>
            </w:pPr>
          </w:p>
        </w:tc>
      </w:tr>
      <w:tr>
        <w:trPr>
          <w:trHeight w:val="330" w:hRule="atLeast"/>
        </w:trPr>
        <w:tc>
          <w:tcPr>
            <w:tcW w:w="1003" w:type="dxa"/>
          </w:tcPr>
          <w:p>
            <w:pPr>
              <w:pStyle w:val="TableParagraph"/>
              <w:spacing w:before="46"/>
              <w:ind w:left="39" w:right="212"/>
              <w:jc w:val="center"/>
              <w:rPr>
                <w:sz w:val="20"/>
              </w:rPr>
            </w:pPr>
            <w:r>
              <w:rPr>
                <w:spacing w:val="-2"/>
                <w:sz w:val="20"/>
              </w:rPr>
              <w:t>ds18.003</w:t>
            </w:r>
          </w:p>
        </w:tc>
        <w:tc>
          <w:tcPr>
            <w:tcW w:w="645" w:type="dxa"/>
          </w:tcPr>
          <w:p>
            <w:pPr>
              <w:pStyle w:val="TableParagraph"/>
              <w:spacing w:before="46"/>
              <w:ind w:right="215"/>
              <w:jc w:val="right"/>
              <w:rPr>
                <w:sz w:val="20"/>
              </w:rPr>
            </w:pPr>
            <w:r>
              <w:rPr>
                <w:spacing w:val="-5"/>
                <w:sz w:val="20"/>
              </w:rPr>
              <w:t>50</w:t>
            </w:r>
          </w:p>
        </w:tc>
        <w:tc>
          <w:tcPr>
            <w:tcW w:w="2619" w:type="dxa"/>
            <w:vMerge w:val="restart"/>
          </w:tcPr>
          <w:p>
            <w:pPr>
              <w:pStyle w:val="TableParagraph"/>
              <w:spacing w:before="46"/>
              <w:ind w:left="219" w:right="342"/>
              <w:rPr>
                <w:sz w:val="20"/>
              </w:rPr>
            </w:pPr>
            <w:r>
              <w:rPr>
                <w:spacing w:val="-2"/>
                <w:sz w:val="20"/>
              </w:rPr>
              <w:t>Формирование, </w:t>
            </w:r>
            <w:r>
              <w:rPr>
                <w:sz w:val="20"/>
              </w:rPr>
              <w:t>имплантация,</w:t>
            </w:r>
            <w:r>
              <w:rPr>
                <w:spacing w:val="-13"/>
                <w:sz w:val="20"/>
              </w:rPr>
              <w:t> </w:t>
            </w:r>
            <w:r>
              <w:rPr>
                <w:sz w:val="20"/>
              </w:rPr>
              <w:t>удаление,</w:t>
            </w:r>
          </w:p>
        </w:tc>
        <w:tc>
          <w:tcPr>
            <w:tcW w:w="4371" w:type="dxa"/>
          </w:tcPr>
          <w:p>
            <w:pPr>
              <w:pStyle w:val="TableParagraph"/>
              <w:spacing w:before="46"/>
              <w:ind w:left="138" w:right="251"/>
              <w:jc w:val="center"/>
              <w:rPr>
                <w:sz w:val="20"/>
              </w:rPr>
            </w:pPr>
            <w:r>
              <w:rPr>
                <w:spacing w:val="-4"/>
                <w:sz w:val="20"/>
              </w:rPr>
              <w:t>N18.4</w:t>
            </w:r>
          </w:p>
        </w:tc>
        <w:tc>
          <w:tcPr>
            <w:tcW w:w="3736" w:type="dxa"/>
          </w:tcPr>
          <w:p>
            <w:pPr>
              <w:pStyle w:val="TableParagraph"/>
              <w:spacing w:before="46"/>
              <w:ind w:left="268" w:right="727"/>
              <w:jc w:val="center"/>
              <w:rPr>
                <w:sz w:val="20"/>
              </w:rPr>
            </w:pPr>
            <w:r>
              <w:rPr>
                <w:spacing w:val="-2"/>
                <w:sz w:val="20"/>
              </w:rPr>
              <w:t>A16.12.033</w:t>
            </w:r>
          </w:p>
        </w:tc>
        <w:tc>
          <w:tcPr>
            <w:tcW w:w="1660" w:type="dxa"/>
          </w:tcPr>
          <w:p>
            <w:pPr>
              <w:pStyle w:val="TableParagraph"/>
              <w:spacing w:before="46"/>
              <w:ind w:left="734"/>
              <w:rPr>
                <w:sz w:val="20"/>
              </w:rPr>
            </w:pPr>
            <w:r>
              <w:rPr>
                <w:w w:val="99"/>
                <w:sz w:val="20"/>
              </w:rPr>
              <w:t>-</w:t>
            </w:r>
          </w:p>
        </w:tc>
        <w:tc>
          <w:tcPr>
            <w:tcW w:w="1261" w:type="dxa"/>
          </w:tcPr>
          <w:p>
            <w:pPr>
              <w:pStyle w:val="TableParagraph"/>
              <w:spacing w:before="46"/>
              <w:ind w:right="48"/>
              <w:jc w:val="right"/>
              <w:rPr>
                <w:sz w:val="20"/>
              </w:rPr>
            </w:pPr>
            <w:r>
              <w:rPr>
                <w:spacing w:val="-4"/>
                <w:sz w:val="20"/>
              </w:rPr>
              <w:t>3,18</w:t>
            </w:r>
          </w:p>
        </w:tc>
      </w:tr>
      <w:tr>
        <w:trPr>
          <w:trHeight w:val="274" w:hRule="atLeast"/>
        </w:trPr>
        <w:tc>
          <w:tcPr>
            <w:tcW w:w="1003" w:type="dxa"/>
          </w:tcPr>
          <w:p>
            <w:pPr>
              <w:pStyle w:val="TableParagraph"/>
              <w:rPr>
                <w:sz w:val="18"/>
              </w:rPr>
            </w:pPr>
          </w:p>
        </w:tc>
        <w:tc>
          <w:tcPr>
            <w:tcW w:w="645" w:type="dxa"/>
          </w:tcPr>
          <w:p>
            <w:pPr>
              <w:pStyle w:val="TableParagraph"/>
              <w:rPr>
                <w:sz w:val="18"/>
              </w:rPr>
            </w:pPr>
          </w:p>
        </w:tc>
        <w:tc>
          <w:tcPr>
            <w:tcW w:w="2619" w:type="dxa"/>
            <w:vMerge/>
            <w:tcBorders>
              <w:top w:val="nil"/>
            </w:tcBorders>
          </w:tcPr>
          <w:p>
            <w:pPr>
              <w:rPr>
                <w:sz w:val="2"/>
                <w:szCs w:val="2"/>
              </w:rPr>
            </w:pPr>
          </w:p>
        </w:tc>
        <w:tc>
          <w:tcPr>
            <w:tcW w:w="4371" w:type="dxa"/>
          </w:tcPr>
          <w:p>
            <w:pPr>
              <w:pStyle w:val="TableParagraph"/>
              <w:spacing w:line="210" w:lineRule="exact" w:before="45"/>
              <w:ind w:left="138" w:right="251"/>
              <w:jc w:val="center"/>
              <w:rPr>
                <w:sz w:val="20"/>
              </w:rPr>
            </w:pPr>
            <w:r>
              <w:rPr>
                <w:spacing w:val="-4"/>
                <w:sz w:val="20"/>
              </w:rPr>
              <w:t>N18.5</w:t>
            </w:r>
          </w:p>
        </w:tc>
        <w:tc>
          <w:tcPr>
            <w:tcW w:w="3736" w:type="dxa"/>
          </w:tcPr>
          <w:p>
            <w:pPr>
              <w:pStyle w:val="TableParagraph"/>
              <w:spacing w:line="210" w:lineRule="exact" w:before="45"/>
              <w:ind w:left="268" w:right="731"/>
              <w:jc w:val="center"/>
              <w:rPr>
                <w:sz w:val="20"/>
              </w:rPr>
            </w:pPr>
            <w:r>
              <w:rPr>
                <w:sz w:val="20"/>
              </w:rPr>
              <w:t>A11.12.001,</w:t>
            </w:r>
            <w:r>
              <w:rPr>
                <w:spacing w:val="-9"/>
                <w:sz w:val="20"/>
              </w:rPr>
              <w:t> </w:t>
            </w:r>
            <w:r>
              <w:rPr>
                <w:spacing w:val="-2"/>
                <w:sz w:val="20"/>
              </w:rPr>
              <w:t>A11.12.001.003,</w:t>
            </w:r>
          </w:p>
        </w:tc>
        <w:tc>
          <w:tcPr>
            <w:tcW w:w="1660" w:type="dxa"/>
          </w:tcPr>
          <w:p>
            <w:pPr>
              <w:pStyle w:val="TableParagraph"/>
              <w:spacing w:line="210" w:lineRule="exact" w:before="45"/>
              <w:ind w:left="734"/>
              <w:rPr>
                <w:sz w:val="20"/>
              </w:rPr>
            </w:pPr>
            <w:r>
              <w:rPr>
                <w:w w:val="99"/>
                <w:sz w:val="20"/>
              </w:rPr>
              <w:t>-</w:t>
            </w:r>
          </w:p>
        </w:tc>
        <w:tc>
          <w:tcPr>
            <w:tcW w:w="1261"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14"/>
        <w:gridCol w:w="4529"/>
        <w:gridCol w:w="3766"/>
        <w:gridCol w:w="1573"/>
        <w:gridCol w:w="1260"/>
      </w:tblGrid>
      <w:tr>
        <w:trPr>
          <w:trHeight w:val="1654" w:hRule="atLeast"/>
        </w:trPr>
        <w:tc>
          <w:tcPr>
            <w:tcW w:w="1003" w:type="dxa"/>
          </w:tcPr>
          <w:p>
            <w:pPr>
              <w:pStyle w:val="TableParagraph"/>
              <w:rPr>
                <w:sz w:val="18"/>
              </w:rPr>
            </w:pPr>
          </w:p>
        </w:tc>
        <w:tc>
          <w:tcPr>
            <w:tcW w:w="645" w:type="dxa"/>
          </w:tcPr>
          <w:p>
            <w:pPr>
              <w:pStyle w:val="TableParagraph"/>
              <w:rPr>
                <w:sz w:val="18"/>
              </w:rPr>
            </w:pPr>
          </w:p>
        </w:tc>
        <w:tc>
          <w:tcPr>
            <w:tcW w:w="2514" w:type="dxa"/>
          </w:tcPr>
          <w:p>
            <w:pPr>
              <w:pStyle w:val="TableParagraph"/>
              <w:ind w:left="219" w:right="235"/>
              <w:rPr>
                <w:sz w:val="20"/>
              </w:rPr>
            </w:pPr>
            <w:r>
              <w:rPr>
                <w:sz w:val="20"/>
              </w:rPr>
              <w:t>смена</w:t>
            </w:r>
            <w:r>
              <w:rPr>
                <w:spacing w:val="-13"/>
                <w:sz w:val="20"/>
              </w:rPr>
              <w:t> </w:t>
            </w:r>
            <w:r>
              <w:rPr>
                <w:sz w:val="20"/>
              </w:rPr>
              <w:t>доступа</w:t>
            </w:r>
            <w:r>
              <w:rPr>
                <w:spacing w:val="-12"/>
                <w:sz w:val="20"/>
              </w:rPr>
              <w:t> </w:t>
            </w:r>
            <w:r>
              <w:rPr>
                <w:sz w:val="20"/>
              </w:rPr>
              <w:t>для </w:t>
            </w:r>
            <w:r>
              <w:rPr>
                <w:spacing w:val="-2"/>
                <w:sz w:val="20"/>
              </w:rPr>
              <w:t>диализа</w:t>
            </w:r>
          </w:p>
        </w:tc>
        <w:tc>
          <w:tcPr>
            <w:tcW w:w="4529" w:type="dxa"/>
          </w:tcPr>
          <w:p>
            <w:pPr>
              <w:pStyle w:val="TableParagraph"/>
              <w:rPr>
                <w:sz w:val="18"/>
              </w:rPr>
            </w:pPr>
          </w:p>
        </w:tc>
        <w:tc>
          <w:tcPr>
            <w:tcW w:w="3766" w:type="dxa"/>
          </w:tcPr>
          <w:p>
            <w:pPr>
              <w:pStyle w:val="TableParagraph"/>
              <w:ind w:left="41" w:right="642" w:firstLine="2"/>
              <w:jc w:val="center"/>
              <w:rPr>
                <w:sz w:val="20"/>
              </w:rPr>
            </w:pPr>
            <w:r>
              <w:rPr>
                <w:sz w:val="20"/>
              </w:rPr>
              <w:t>A11.12.001.004, A11.12.001.005, A11.12.001.006, A11.12.003.004, A11.12.015, A11.12.015.001, A11.12.015.002, A11.30.025, A11.30.026,</w:t>
            </w:r>
            <w:r>
              <w:rPr>
                <w:spacing w:val="-13"/>
                <w:sz w:val="20"/>
              </w:rPr>
              <w:t> </w:t>
            </w:r>
            <w:r>
              <w:rPr>
                <w:sz w:val="20"/>
              </w:rPr>
              <w:t>A16.12.033,</w:t>
            </w:r>
            <w:r>
              <w:rPr>
                <w:spacing w:val="-12"/>
                <w:sz w:val="20"/>
              </w:rPr>
              <w:t> </w:t>
            </w:r>
            <w:r>
              <w:rPr>
                <w:sz w:val="20"/>
              </w:rPr>
              <w:t>A16.12.034, A16.12.073, A16.30.077, </w:t>
            </w:r>
            <w:r>
              <w:rPr>
                <w:spacing w:val="-2"/>
                <w:sz w:val="20"/>
              </w:rPr>
              <w:t>A25.30.001.001</w:t>
            </w:r>
          </w:p>
        </w:tc>
        <w:tc>
          <w:tcPr>
            <w:tcW w:w="1573" w:type="dxa"/>
          </w:tcPr>
          <w:p>
            <w:pPr>
              <w:pStyle w:val="TableParagraph"/>
              <w:rPr>
                <w:sz w:val="18"/>
              </w:rPr>
            </w:pPr>
          </w:p>
        </w:tc>
        <w:tc>
          <w:tcPr>
            <w:tcW w:w="1260" w:type="dxa"/>
          </w:tcPr>
          <w:p>
            <w:pPr>
              <w:pStyle w:val="TableParagraph"/>
              <w:rPr>
                <w:sz w:val="18"/>
              </w:rPr>
            </w:pPr>
          </w:p>
        </w:tc>
      </w:tr>
      <w:tr>
        <w:trPr>
          <w:trHeight w:val="3550" w:hRule="atLeast"/>
        </w:trPr>
        <w:tc>
          <w:tcPr>
            <w:tcW w:w="1003" w:type="dxa"/>
          </w:tcPr>
          <w:p>
            <w:pPr>
              <w:pStyle w:val="TableParagraph"/>
              <w:spacing w:before="45"/>
              <w:ind w:left="39" w:right="212"/>
              <w:jc w:val="center"/>
              <w:rPr>
                <w:sz w:val="20"/>
              </w:rPr>
            </w:pPr>
            <w:r>
              <w:rPr>
                <w:spacing w:val="-2"/>
                <w:sz w:val="20"/>
              </w:rPr>
              <w:t>ds18.004</w:t>
            </w:r>
          </w:p>
        </w:tc>
        <w:tc>
          <w:tcPr>
            <w:tcW w:w="645" w:type="dxa"/>
          </w:tcPr>
          <w:p>
            <w:pPr>
              <w:pStyle w:val="TableParagraph"/>
              <w:spacing w:before="45"/>
              <w:ind w:right="215"/>
              <w:jc w:val="right"/>
              <w:rPr>
                <w:sz w:val="20"/>
              </w:rPr>
            </w:pPr>
            <w:r>
              <w:rPr>
                <w:spacing w:val="-5"/>
                <w:sz w:val="20"/>
              </w:rPr>
              <w:t>51</w:t>
            </w:r>
          </w:p>
        </w:tc>
        <w:tc>
          <w:tcPr>
            <w:tcW w:w="2514" w:type="dxa"/>
          </w:tcPr>
          <w:p>
            <w:pPr>
              <w:pStyle w:val="TableParagraph"/>
              <w:spacing w:before="45"/>
              <w:ind w:left="219"/>
              <w:rPr>
                <w:sz w:val="20"/>
              </w:rPr>
            </w:pPr>
            <w:r>
              <w:rPr>
                <w:sz w:val="20"/>
              </w:rPr>
              <w:t>Другие</w:t>
            </w:r>
            <w:r>
              <w:rPr>
                <w:spacing w:val="-7"/>
                <w:sz w:val="20"/>
              </w:rPr>
              <w:t> </w:t>
            </w:r>
            <w:r>
              <w:rPr>
                <w:sz w:val="20"/>
              </w:rPr>
              <w:t>болезни</w:t>
            </w:r>
            <w:r>
              <w:rPr>
                <w:spacing w:val="-7"/>
                <w:sz w:val="20"/>
              </w:rPr>
              <w:t> </w:t>
            </w:r>
            <w:r>
              <w:rPr>
                <w:spacing w:val="-4"/>
                <w:sz w:val="20"/>
              </w:rPr>
              <w:t>почек</w:t>
            </w:r>
          </w:p>
        </w:tc>
        <w:tc>
          <w:tcPr>
            <w:tcW w:w="4529" w:type="dxa"/>
          </w:tcPr>
          <w:p>
            <w:pPr>
              <w:pStyle w:val="TableParagraph"/>
              <w:spacing w:before="45"/>
              <w:ind w:right="464"/>
              <w:jc w:val="right"/>
              <w:rPr>
                <w:sz w:val="20"/>
              </w:rPr>
            </w:pPr>
            <w:r>
              <w:rPr>
                <w:sz w:val="20"/>
              </w:rPr>
              <w:t>N10,</w:t>
            </w:r>
            <w:r>
              <w:rPr>
                <w:spacing w:val="-4"/>
                <w:sz w:val="20"/>
              </w:rPr>
              <w:t> </w:t>
            </w:r>
            <w:r>
              <w:rPr>
                <w:sz w:val="20"/>
              </w:rPr>
              <w:t>N11,</w:t>
            </w:r>
            <w:r>
              <w:rPr>
                <w:spacing w:val="-6"/>
                <w:sz w:val="20"/>
              </w:rPr>
              <w:t> </w:t>
            </w:r>
            <w:r>
              <w:rPr>
                <w:sz w:val="20"/>
              </w:rPr>
              <w:t>N11.0,</w:t>
            </w:r>
            <w:r>
              <w:rPr>
                <w:spacing w:val="-3"/>
                <w:sz w:val="20"/>
              </w:rPr>
              <w:t> </w:t>
            </w:r>
            <w:r>
              <w:rPr>
                <w:sz w:val="20"/>
              </w:rPr>
              <w:t>N11.1,</w:t>
            </w:r>
            <w:r>
              <w:rPr>
                <w:spacing w:val="-4"/>
                <w:sz w:val="20"/>
              </w:rPr>
              <w:t> </w:t>
            </w:r>
            <w:r>
              <w:rPr>
                <w:sz w:val="20"/>
              </w:rPr>
              <w:t>N11.8,</w:t>
            </w:r>
            <w:r>
              <w:rPr>
                <w:spacing w:val="-4"/>
                <w:sz w:val="20"/>
              </w:rPr>
              <w:t> </w:t>
            </w:r>
            <w:r>
              <w:rPr>
                <w:sz w:val="20"/>
              </w:rPr>
              <w:t>N11.9,</w:t>
            </w:r>
            <w:r>
              <w:rPr>
                <w:spacing w:val="-3"/>
                <w:sz w:val="20"/>
              </w:rPr>
              <w:t> </w:t>
            </w:r>
            <w:r>
              <w:rPr>
                <w:spacing w:val="-4"/>
                <w:sz w:val="20"/>
              </w:rPr>
              <w:t>N12,</w:t>
            </w:r>
          </w:p>
          <w:p>
            <w:pPr>
              <w:pStyle w:val="TableParagraph"/>
              <w:ind w:right="393"/>
              <w:jc w:val="right"/>
              <w:rPr>
                <w:sz w:val="20"/>
              </w:rPr>
            </w:pPr>
            <w:r>
              <w:rPr>
                <w:sz w:val="20"/>
              </w:rPr>
              <w:t>N13,</w:t>
            </w:r>
            <w:r>
              <w:rPr>
                <w:spacing w:val="-6"/>
                <w:sz w:val="20"/>
              </w:rPr>
              <w:t> </w:t>
            </w:r>
            <w:r>
              <w:rPr>
                <w:sz w:val="20"/>
              </w:rPr>
              <w:t>N13.0,</w:t>
            </w:r>
            <w:r>
              <w:rPr>
                <w:spacing w:val="-6"/>
                <w:sz w:val="20"/>
              </w:rPr>
              <w:t> </w:t>
            </w:r>
            <w:r>
              <w:rPr>
                <w:sz w:val="20"/>
              </w:rPr>
              <w:t>N13.1,</w:t>
            </w:r>
            <w:r>
              <w:rPr>
                <w:spacing w:val="-5"/>
                <w:sz w:val="20"/>
              </w:rPr>
              <w:t> </w:t>
            </w:r>
            <w:r>
              <w:rPr>
                <w:sz w:val="20"/>
              </w:rPr>
              <w:t>N13.2,</w:t>
            </w:r>
            <w:r>
              <w:rPr>
                <w:spacing w:val="-6"/>
                <w:sz w:val="20"/>
              </w:rPr>
              <w:t> </w:t>
            </w:r>
            <w:r>
              <w:rPr>
                <w:sz w:val="20"/>
              </w:rPr>
              <w:t>N13.3,</w:t>
            </w:r>
            <w:r>
              <w:rPr>
                <w:spacing w:val="-5"/>
                <w:sz w:val="20"/>
              </w:rPr>
              <w:t> </w:t>
            </w:r>
            <w:r>
              <w:rPr>
                <w:sz w:val="20"/>
              </w:rPr>
              <w:t>N13.6,</w:t>
            </w:r>
            <w:r>
              <w:rPr>
                <w:spacing w:val="-6"/>
                <w:sz w:val="20"/>
              </w:rPr>
              <w:t> </w:t>
            </w:r>
            <w:r>
              <w:rPr>
                <w:spacing w:val="-4"/>
                <w:sz w:val="20"/>
              </w:rPr>
              <w:t>N15,</w:t>
            </w:r>
          </w:p>
          <w:p>
            <w:pPr>
              <w:pStyle w:val="TableParagraph"/>
              <w:spacing w:before="1"/>
              <w:ind w:right="319"/>
              <w:jc w:val="right"/>
              <w:rPr>
                <w:sz w:val="20"/>
              </w:rPr>
            </w:pPr>
            <w:r>
              <w:rPr>
                <w:sz w:val="20"/>
              </w:rPr>
              <w:t>N15.0,</w:t>
            </w:r>
            <w:r>
              <w:rPr>
                <w:spacing w:val="-4"/>
                <w:sz w:val="20"/>
              </w:rPr>
              <w:t> </w:t>
            </w:r>
            <w:r>
              <w:rPr>
                <w:sz w:val="20"/>
              </w:rPr>
              <w:t>N15.1,</w:t>
            </w:r>
            <w:r>
              <w:rPr>
                <w:spacing w:val="-6"/>
                <w:sz w:val="20"/>
              </w:rPr>
              <w:t> </w:t>
            </w:r>
            <w:r>
              <w:rPr>
                <w:sz w:val="20"/>
              </w:rPr>
              <w:t>N15.8,</w:t>
            </w:r>
            <w:r>
              <w:rPr>
                <w:spacing w:val="-4"/>
                <w:sz w:val="20"/>
              </w:rPr>
              <w:t> </w:t>
            </w:r>
            <w:r>
              <w:rPr>
                <w:sz w:val="20"/>
              </w:rPr>
              <w:t>N15.9,</w:t>
            </w:r>
            <w:r>
              <w:rPr>
                <w:spacing w:val="-6"/>
                <w:sz w:val="20"/>
              </w:rPr>
              <w:t> </w:t>
            </w:r>
            <w:r>
              <w:rPr>
                <w:sz w:val="20"/>
              </w:rPr>
              <w:t>N16,</w:t>
            </w:r>
            <w:r>
              <w:rPr>
                <w:spacing w:val="-4"/>
                <w:sz w:val="20"/>
              </w:rPr>
              <w:t> </w:t>
            </w:r>
            <w:r>
              <w:rPr>
                <w:sz w:val="20"/>
              </w:rPr>
              <w:t>N16.0,</w:t>
            </w:r>
            <w:r>
              <w:rPr>
                <w:spacing w:val="-4"/>
                <w:sz w:val="20"/>
              </w:rPr>
              <w:t> </w:t>
            </w:r>
            <w:r>
              <w:rPr>
                <w:spacing w:val="-2"/>
                <w:sz w:val="20"/>
              </w:rPr>
              <w:t>N16.1,</w:t>
            </w:r>
          </w:p>
          <w:p>
            <w:pPr>
              <w:pStyle w:val="TableParagraph"/>
              <w:ind w:right="319"/>
              <w:jc w:val="right"/>
              <w:rPr>
                <w:sz w:val="20"/>
              </w:rPr>
            </w:pPr>
            <w:r>
              <w:rPr>
                <w:sz w:val="20"/>
              </w:rPr>
              <w:t>N16.2,</w:t>
            </w:r>
            <w:r>
              <w:rPr>
                <w:spacing w:val="-4"/>
                <w:sz w:val="20"/>
              </w:rPr>
              <w:t> </w:t>
            </w:r>
            <w:r>
              <w:rPr>
                <w:sz w:val="20"/>
              </w:rPr>
              <w:t>N16.3,</w:t>
            </w:r>
            <w:r>
              <w:rPr>
                <w:spacing w:val="-6"/>
                <w:sz w:val="20"/>
              </w:rPr>
              <w:t> </w:t>
            </w:r>
            <w:r>
              <w:rPr>
                <w:sz w:val="20"/>
              </w:rPr>
              <w:t>N16.4,</w:t>
            </w:r>
            <w:r>
              <w:rPr>
                <w:spacing w:val="-4"/>
                <w:sz w:val="20"/>
              </w:rPr>
              <w:t> </w:t>
            </w:r>
            <w:r>
              <w:rPr>
                <w:sz w:val="20"/>
              </w:rPr>
              <w:t>N16.5,</w:t>
            </w:r>
            <w:r>
              <w:rPr>
                <w:spacing w:val="-6"/>
                <w:sz w:val="20"/>
              </w:rPr>
              <w:t> </w:t>
            </w:r>
            <w:r>
              <w:rPr>
                <w:sz w:val="20"/>
              </w:rPr>
              <w:t>N16.8,</w:t>
            </w:r>
            <w:r>
              <w:rPr>
                <w:spacing w:val="-4"/>
                <w:sz w:val="20"/>
              </w:rPr>
              <w:t> </w:t>
            </w:r>
            <w:r>
              <w:rPr>
                <w:sz w:val="20"/>
              </w:rPr>
              <w:t>N20,</w:t>
            </w:r>
            <w:r>
              <w:rPr>
                <w:spacing w:val="-4"/>
                <w:sz w:val="20"/>
              </w:rPr>
              <w:t> </w:t>
            </w:r>
            <w:r>
              <w:rPr>
                <w:spacing w:val="-2"/>
                <w:sz w:val="20"/>
              </w:rPr>
              <w:t>N20.0,</w:t>
            </w:r>
          </w:p>
          <w:p>
            <w:pPr>
              <w:pStyle w:val="TableParagraph"/>
              <w:spacing w:line="229" w:lineRule="exact" w:before="1"/>
              <w:ind w:left="252" w:right="319"/>
              <w:jc w:val="center"/>
              <w:rPr>
                <w:sz w:val="20"/>
              </w:rPr>
            </w:pPr>
            <w:r>
              <w:rPr>
                <w:sz w:val="20"/>
              </w:rPr>
              <w:t>N20.1,</w:t>
            </w:r>
            <w:r>
              <w:rPr>
                <w:spacing w:val="-6"/>
                <w:sz w:val="20"/>
              </w:rPr>
              <w:t> </w:t>
            </w:r>
            <w:r>
              <w:rPr>
                <w:sz w:val="20"/>
              </w:rPr>
              <w:t>N20.2,</w:t>
            </w:r>
            <w:r>
              <w:rPr>
                <w:spacing w:val="-6"/>
                <w:sz w:val="20"/>
              </w:rPr>
              <w:t> </w:t>
            </w:r>
            <w:r>
              <w:rPr>
                <w:sz w:val="20"/>
              </w:rPr>
              <w:t>N20.9,</w:t>
            </w:r>
            <w:r>
              <w:rPr>
                <w:spacing w:val="-5"/>
                <w:sz w:val="20"/>
              </w:rPr>
              <w:t> </w:t>
            </w:r>
            <w:r>
              <w:rPr>
                <w:sz w:val="20"/>
              </w:rPr>
              <w:t>N21,</w:t>
            </w:r>
            <w:r>
              <w:rPr>
                <w:spacing w:val="-6"/>
                <w:sz w:val="20"/>
              </w:rPr>
              <w:t> </w:t>
            </w:r>
            <w:r>
              <w:rPr>
                <w:sz w:val="20"/>
              </w:rPr>
              <w:t>N21.0,</w:t>
            </w:r>
            <w:r>
              <w:rPr>
                <w:spacing w:val="-5"/>
                <w:sz w:val="20"/>
              </w:rPr>
              <w:t> </w:t>
            </w:r>
            <w:r>
              <w:rPr>
                <w:sz w:val="20"/>
              </w:rPr>
              <w:t>N21.1,</w:t>
            </w:r>
            <w:r>
              <w:rPr>
                <w:spacing w:val="-5"/>
                <w:sz w:val="20"/>
              </w:rPr>
              <w:t> </w:t>
            </w:r>
            <w:r>
              <w:rPr>
                <w:spacing w:val="-2"/>
                <w:sz w:val="20"/>
              </w:rPr>
              <w:t>N21.8,</w:t>
            </w:r>
          </w:p>
          <w:p>
            <w:pPr>
              <w:pStyle w:val="TableParagraph"/>
              <w:spacing w:line="229" w:lineRule="exact"/>
              <w:ind w:left="251" w:right="319"/>
              <w:jc w:val="center"/>
              <w:rPr>
                <w:sz w:val="20"/>
              </w:rPr>
            </w:pPr>
            <w:r>
              <w:rPr>
                <w:sz w:val="20"/>
              </w:rPr>
              <w:t>N21.9,</w:t>
            </w:r>
            <w:r>
              <w:rPr>
                <w:spacing w:val="-5"/>
                <w:sz w:val="20"/>
              </w:rPr>
              <w:t> </w:t>
            </w:r>
            <w:r>
              <w:rPr>
                <w:sz w:val="20"/>
              </w:rPr>
              <w:t>N22,</w:t>
            </w:r>
            <w:r>
              <w:rPr>
                <w:spacing w:val="-5"/>
                <w:sz w:val="20"/>
              </w:rPr>
              <w:t> </w:t>
            </w:r>
            <w:r>
              <w:rPr>
                <w:sz w:val="20"/>
              </w:rPr>
              <w:t>N22.0,</w:t>
            </w:r>
            <w:r>
              <w:rPr>
                <w:spacing w:val="-5"/>
                <w:sz w:val="20"/>
              </w:rPr>
              <w:t> </w:t>
            </w:r>
            <w:r>
              <w:rPr>
                <w:sz w:val="20"/>
              </w:rPr>
              <w:t>N22.8,</w:t>
            </w:r>
            <w:r>
              <w:rPr>
                <w:spacing w:val="-5"/>
                <w:sz w:val="20"/>
              </w:rPr>
              <w:t> </w:t>
            </w:r>
            <w:r>
              <w:rPr>
                <w:sz w:val="20"/>
              </w:rPr>
              <w:t>N23,</w:t>
            </w:r>
            <w:r>
              <w:rPr>
                <w:spacing w:val="-5"/>
                <w:sz w:val="20"/>
              </w:rPr>
              <w:t> </w:t>
            </w:r>
            <w:r>
              <w:rPr>
                <w:sz w:val="20"/>
              </w:rPr>
              <w:t>N29,</w:t>
            </w:r>
            <w:r>
              <w:rPr>
                <w:spacing w:val="-5"/>
                <w:sz w:val="20"/>
              </w:rPr>
              <w:t> </w:t>
            </w:r>
            <w:r>
              <w:rPr>
                <w:spacing w:val="-2"/>
                <w:sz w:val="20"/>
              </w:rPr>
              <w:t>N29.0,</w:t>
            </w:r>
          </w:p>
          <w:p>
            <w:pPr>
              <w:pStyle w:val="TableParagraph"/>
              <w:ind w:left="252"/>
              <w:rPr>
                <w:sz w:val="20"/>
              </w:rPr>
            </w:pPr>
            <w:r>
              <w:rPr>
                <w:sz w:val="20"/>
              </w:rPr>
              <w:t>N30,</w:t>
            </w:r>
            <w:r>
              <w:rPr>
                <w:spacing w:val="-6"/>
                <w:sz w:val="20"/>
              </w:rPr>
              <w:t> </w:t>
            </w:r>
            <w:r>
              <w:rPr>
                <w:sz w:val="20"/>
              </w:rPr>
              <w:t>N30.0,</w:t>
            </w:r>
            <w:r>
              <w:rPr>
                <w:spacing w:val="-5"/>
                <w:sz w:val="20"/>
              </w:rPr>
              <w:t> </w:t>
            </w:r>
            <w:r>
              <w:rPr>
                <w:sz w:val="20"/>
              </w:rPr>
              <w:t>N30.1,</w:t>
            </w:r>
            <w:r>
              <w:rPr>
                <w:spacing w:val="-5"/>
                <w:sz w:val="20"/>
              </w:rPr>
              <w:t> </w:t>
            </w:r>
            <w:r>
              <w:rPr>
                <w:sz w:val="20"/>
              </w:rPr>
              <w:t>N30.2,</w:t>
            </w:r>
            <w:r>
              <w:rPr>
                <w:spacing w:val="-5"/>
                <w:sz w:val="20"/>
              </w:rPr>
              <w:t> </w:t>
            </w:r>
            <w:r>
              <w:rPr>
                <w:sz w:val="20"/>
              </w:rPr>
              <w:t>N30.3,</w:t>
            </w:r>
            <w:r>
              <w:rPr>
                <w:spacing w:val="-5"/>
                <w:sz w:val="20"/>
              </w:rPr>
              <w:t> </w:t>
            </w:r>
            <w:r>
              <w:rPr>
                <w:sz w:val="20"/>
              </w:rPr>
              <w:t>N30.4,</w:t>
            </w:r>
            <w:r>
              <w:rPr>
                <w:spacing w:val="-6"/>
                <w:sz w:val="20"/>
              </w:rPr>
              <w:t> </w:t>
            </w:r>
            <w:r>
              <w:rPr>
                <w:spacing w:val="-2"/>
                <w:sz w:val="20"/>
              </w:rPr>
              <w:t>N30.8,</w:t>
            </w:r>
          </w:p>
          <w:p>
            <w:pPr>
              <w:pStyle w:val="TableParagraph"/>
              <w:ind w:left="326"/>
              <w:rPr>
                <w:sz w:val="20"/>
              </w:rPr>
            </w:pPr>
            <w:r>
              <w:rPr>
                <w:sz w:val="20"/>
              </w:rPr>
              <w:t>N30.9,</w:t>
            </w:r>
            <w:r>
              <w:rPr>
                <w:spacing w:val="-5"/>
                <w:sz w:val="20"/>
              </w:rPr>
              <w:t> </w:t>
            </w:r>
            <w:r>
              <w:rPr>
                <w:sz w:val="20"/>
              </w:rPr>
              <w:t>N33,</w:t>
            </w:r>
            <w:r>
              <w:rPr>
                <w:spacing w:val="-5"/>
                <w:sz w:val="20"/>
              </w:rPr>
              <w:t> </w:t>
            </w:r>
            <w:r>
              <w:rPr>
                <w:sz w:val="20"/>
              </w:rPr>
              <w:t>N33.0,</w:t>
            </w:r>
            <w:r>
              <w:rPr>
                <w:spacing w:val="-5"/>
                <w:sz w:val="20"/>
              </w:rPr>
              <w:t> </w:t>
            </w:r>
            <w:r>
              <w:rPr>
                <w:sz w:val="20"/>
              </w:rPr>
              <w:t>N33.8,</w:t>
            </w:r>
            <w:r>
              <w:rPr>
                <w:spacing w:val="-5"/>
                <w:sz w:val="20"/>
              </w:rPr>
              <w:t> </w:t>
            </w:r>
            <w:r>
              <w:rPr>
                <w:sz w:val="20"/>
              </w:rPr>
              <w:t>N34,</w:t>
            </w:r>
            <w:r>
              <w:rPr>
                <w:spacing w:val="-5"/>
                <w:sz w:val="20"/>
              </w:rPr>
              <w:t> </w:t>
            </w:r>
            <w:r>
              <w:rPr>
                <w:sz w:val="20"/>
              </w:rPr>
              <w:t>N34.0,</w:t>
            </w:r>
            <w:r>
              <w:rPr>
                <w:spacing w:val="-5"/>
                <w:sz w:val="20"/>
              </w:rPr>
              <w:t> </w:t>
            </w:r>
            <w:r>
              <w:rPr>
                <w:spacing w:val="-2"/>
                <w:sz w:val="20"/>
              </w:rPr>
              <w:t>N34.1,</w:t>
            </w:r>
          </w:p>
          <w:p>
            <w:pPr>
              <w:pStyle w:val="TableParagraph"/>
              <w:spacing w:before="1"/>
              <w:ind w:left="252"/>
              <w:rPr>
                <w:sz w:val="20"/>
              </w:rPr>
            </w:pPr>
            <w:r>
              <w:rPr>
                <w:sz w:val="20"/>
              </w:rPr>
              <w:t>N34.2,</w:t>
            </w:r>
            <w:r>
              <w:rPr>
                <w:spacing w:val="-6"/>
                <w:sz w:val="20"/>
              </w:rPr>
              <w:t> </w:t>
            </w:r>
            <w:r>
              <w:rPr>
                <w:sz w:val="20"/>
              </w:rPr>
              <w:t>N34.3,</w:t>
            </w:r>
            <w:r>
              <w:rPr>
                <w:spacing w:val="-7"/>
                <w:sz w:val="20"/>
              </w:rPr>
              <w:t> </w:t>
            </w:r>
            <w:r>
              <w:rPr>
                <w:sz w:val="20"/>
              </w:rPr>
              <w:t>N35,</w:t>
            </w:r>
            <w:r>
              <w:rPr>
                <w:spacing w:val="-5"/>
                <w:sz w:val="20"/>
              </w:rPr>
              <w:t> </w:t>
            </w:r>
            <w:r>
              <w:rPr>
                <w:sz w:val="20"/>
              </w:rPr>
              <w:t>N35.0,</w:t>
            </w:r>
            <w:r>
              <w:rPr>
                <w:spacing w:val="-5"/>
                <w:sz w:val="20"/>
              </w:rPr>
              <w:t> </w:t>
            </w:r>
            <w:r>
              <w:rPr>
                <w:sz w:val="20"/>
              </w:rPr>
              <w:t>N35.1,</w:t>
            </w:r>
            <w:r>
              <w:rPr>
                <w:spacing w:val="-5"/>
                <w:sz w:val="20"/>
              </w:rPr>
              <w:t> </w:t>
            </w:r>
            <w:r>
              <w:rPr>
                <w:sz w:val="20"/>
              </w:rPr>
              <w:t>N35.8,</w:t>
            </w:r>
            <w:r>
              <w:rPr>
                <w:spacing w:val="-6"/>
                <w:sz w:val="20"/>
              </w:rPr>
              <w:t> </w:t>
            </w:r>
            <w:r>
              <w:rPr>
                <w:spacing w:val="-2"/>
                <w:sz w:val="20"/>
              </w:rPr>
              <w:t>N35.9,</w:t>
            </w:r>
          </w:p>
          <w:p>
            <w:pPr>
              <w:pStyle w:val="TableParagraph"/>
              <w:ind w:left="365" w:right="414" w:hanging="17"/>
              <w:jc w:val="both"/>
              <w:rPr>
                <w:sz w:val="20"/>
              </w:rPr>
            </w:pPr>
            <w:r>
              <w:rPr>
                <w:sz w:val="20"/>
              </w:rPr>
              <w:t>N39,</w:t>
            </w:r>
            <w:r>
              <w:rPr>
                <w:spacing w:val="-7"/>
                <w:sz w:val="20"/>
              </w:rPr>
              <w:t> </w:t>
            </w:r>
            <w:r>
              <w:rPr>
                <w:sz w:val="20"/>
              </w:rPr>
              <w:t>N39.0,</w:t>
            </w:r>
            <w:r>
              <w:rPr>
                <w:spacing w:val="-7"/>
                <w:sz w:val="20"/>
              </w:rPr>
              <w:t> </w:t>
            </w:r>
            <w:r>
              <w:rPr>
                <w:sz w:val="20"/>
              </w:rPr>
              <w:t>N99.1,</w:t>
            </w:r>
            <w:r>
              <w:rPr>
                <w:spacing w:val="-7"/>
                <w:sz w:val="20"/>
              </w:rPr>
              <w:t> </w:t>
            </w:r>
            <w:r>
              <w:rPr>
                <w:sz w:val="20"/>
              </w:rPr>
              <w:t>R30,</w:t>
            </w:r>
            <w:r>
              <w:rPr>
                <w:spacing w:val="-7"/>
                <w:sz w:val="20"/>
              </w:rPr>
              <w:t> </w:t>
            </w:r>
            <w:r>
              <w:rPr>
                <w:sz w:val="20"/>
              </w:rPr>
              <w:t>R30.0,</w:t>
            </w:r>
            <w:r>
              <w:rPr>
                <w:spacing w:val="-7"/>
                <w:sz w:val="20"/>
              </w:rPr>
              <w:t> </w:t>
            </w:r>
            <w:r>
              <w:rPr>
                <w:sz w:val="20"/>
              </w:rPr>
              <w:t>R30.1,</w:t>
            </w:r>
            <w:r>
              <w:rPr>
                <w:spacing w:val="-9"/>
                <w:sz w:val="20"/>
              </w:rPr>
              <w:t> </w:t>
            </w:r>
            <w:r>
              <w:rPr>
                <w:sz w:val="20"/>
              </w:rPr>
              <w:t>R30.9, R31,</w:t>
            </w:r>
            <w:r>
              <w:rPr>
                <w:spacing w:val="-1"/>
                <w:sz w:val="20"/>
              </w:rPr>
              <w:t> </w:t>
            </w:r>
            <w:r>
              <w:rPr>
                <w:sz w:val="20"/>
              </w:rPr>
              <w:t>R32,</w:t>
            </w:r>
            <w:r>
              <w:rPr>
                <w:spacing w:val="-1"/>
                <w:sz w:val="20"/>
              </w:rPr>
              <w:t> </w:t>
            </w:r>
            <w:r>
              <w:rPr>
                <w:sz w:val="20"/>
              </w:rPr>
              <w:t>R33,</w:t>
            </w:r>
            <w:r>
              <w:rPr>
                <w:spacing w:val="-1"/>
                <w:sz w:val="20"/>
              </w:rPr>
              <w:t> </w:t>
            </w:r>
            <w:r>
              <w:rPr>
                <w:sz w:val="20"/>
              </w:rPr>
              <w:t>R35,</w:t>
            </w:r>
            <w:r>
              <w:rPr>
                <w:spacing w:val="-3"/>
                <w:sz w:val="20"/>
              </w:rPr>
              <w:t> </w:t>
            </w:r>
            <w:r>
              <w:rPr>
                <w:sz w:val="20"/>
              </w:rPr>
              <w:t>R36,</w:t>
            </w:r>
            <w:r>
              <w:rPr>
                <w:spacing w:val="-1"/>
                <w:sz w:val="20"/>
              </w:rPr>
              <w:t> </w:t>
            </w:r>
            <w:r>
              <w:rPr>
                <w:sz w:val="20"/>
              </w:rPr>
              <w:t>R39,</w:t>
            </w:r>
            <w:r>
              <w:rPr>
                <w:spacing w:val="-1"/>
                <w:sz w:val="20"/>
              </w:rPr>
              <w:t> </w:t>
            </w:r>
            <w:r>
              <w:rPr>
                <w:sz w:val="20"/>
              </w:rPr>
              <w:t>R39.0,</w:t>
            </w:r>
            <w:r>
              <w:rPr>
                <w:spacing w:val="-3"/>
                <w:sz w:val="20"/>
              </w:rPr>
              <w:t> </w:t>
            </w:r>
            <w:r>
              <w:rPr>
                <w:sz w:val="20"/>
              </w:rPr>
              <w:t>R39.1, R39.2,</w:t>
            </w:r>
            <w:r>
              <w:rPr>
                <w:spacing w:val="-7"/>
                <w:sz w:val="20"/>
              </w:rPr>
              <w:t> </w:t>
            </w:r>
            <w:r>
              <w:rPr>
                <w:sz w:val="20"/>
              </w:rPr>
              <w:t>R39.8,</w:t>
            </w:r>
            <w:r>
              <w:rPr>
                <w:spacing w:val="-4"/>
                <w:sz w:val="20"/>
              </w:rPr>
              <w:t> </w:t>
            </w:r>
            <w:r>
              <w:rPr>
                <w:sz w:val="20"/>
              </w:rPr>
              <w:t>R80,</w:t>
            </w:r>
            <w:r>
              <w:rPr>
                <w:spacing w:val="-4"/>
                <w:sz w:val="20"/>
              </w:rPr>
              <w:t> </w:t>
            </w:r>
            <w:r>
              <w:rPr>
                <w:sz w:val="20"/>
              </w:rPr>
              <w:t>R82,</w:t>
            </w:r>
            <w:r>
              <w:rPr>
                <w:spacing w:val="-6"/>
                <w:sz w:val="20"/>
              </w:rPr>
              <w:t> </w:t>
            </w:r>
            <w:r>
              <w:rPr>
                <w:sz w:val="20"/>
              </w:rPr>
              <w:t>R82.0,</w:t>
            </w:r>
            <w:r>
              <w:rPr>
                <w:spacing w:val="-4"/>
                <w:sz w:val="20"/>
              </w:rPr>
              <w:t> </w:t>
            </w:r>
            <w:r>
              <w:rPr>
                <w:sz w:val="20"/>
              </w:rPr>
              <w:t>R82.1,</w:t>
            </w:r>
            <w:r>
              <w:rPr>
                <w:spacing w:val="-5"/>
                <w:sz w:val="20"/>
              </w:rPr>
              <w:t> </w:t>
            </w:r>
            <w:r>
              <w:rPr>
                <w:spacing w:val="-2"/>
                <w:sz w:val="20"/>
              </w:rPr>
              <w:t>R82.2,</w:t>
            </w:r>
          </w:p>
          <w:p>
            <w:pPr>
              <w:pStyle w:val="TableParagraph"/>
              <w:spacing w:line="229" w:lineRule="exact"/>
              <w:ind w:left="216"/>
              <w:rPr>
                <w:sz w:val="20"/>
              </w:rPr>
            </w:pPr>
            <w:r>
              <w:rPr>
                <w:sz w:val="20"/>
              </w:rPr>
              <w:t>R82.3,</w:t>
            </w:r>
            <w:r>
              <w:rPr>
                <w:spacing w:val="-7"/>
                <w:sz w:val="20"/>
              </w:rPr>
              <w:t> </w:t>
            </w:r>
            <w:r>
              <w:rPr>
                <w:sz w:val="20"/>
              </w:rPr>
              <w:t>R82.4,</w:t>
            </w:r>
            <w:r>
              <w:rPr>
                <w:spacing w:val="-5"/>
                <w:sz w:val="20"/>
              </w:rPr>
              <w:t> </w:t>
            </w:r>
            <w:r>
              <w:rPr>
                <w:sz w:val="20"/>
              </w:rPr>
              <w:t>R82.5,</w:t>
            </w:r>
            <w:r>
              <w:rPr>
                <w:spacing w:val="-5"/>
                <w:sz w:val="20"/>
              </w:rPr>
              <w:t> </w:t>
            </w:r>
            <w:r>
              <w:rPr>
                <w:sz w:val="20"/>
              </w:rPr>
              <w:t>R82.6,</w:t>
            </w:r>
            <w:r>
              <w:rPr>
                <w:spacing w:val="-9"/>
                <w:sz w:val="20"/>
              </w:rPr>
              <w:t> </w:t>
            </w:r>
            <w:r>
              <w:rPr>
                <w:sz w:val="20"/>
              </w:rPr>
              <w:t>R82.7,</w:t>
            </w:r>
            <w:r>
              <w:rPr>
                <w:spacing w:val="-5"/>
                <w:sz w:val="20"/>
              </w:rPr>
              <w:t> </w:t>
            </w:r>
            <w:r>
              <w:rPr>
                <w:sz w:val="20"/>
              </w:rPr>
              <w:t>R82.8,</w:t>
            </w:r>
            <w:r>
              <w:rPr>
                <w:spacing w:val="-4"/>
                <w:sz w:val="20"/>
              </w:rPr>
              <w:t> </w:t>
            </w:r>
            <w:r>
              <w:rPr>
                <w:spacing w:val="-2"/>
                <w:sz w:val="20"/>
              </w:rPr>
              <w:t>R82.9,</w:t>
            </w:r>
          </w:p>
          <w:p>
            <w:pPr>
              <w:pStyle w:val="TableParagraph"/>
              <w:spacing w:before="1"/>
              <w:ind w:left="290"/>
              <w:rPr>
                <w:sz w:val="20"/>
              </w:rPr>
            </w:pPr>
            <w:r>
              <w:rPr>
                <w:sz w:val="20"/>
              </w:rPr>
              <w:t>R86,</w:t>
            </w:r>
            <w:r>
              <w:rPr>
                <w:spacing w:val="-5"/>
                <w:sz w:val="20"/>
              </w:rPr>
              <w:t> </w:t>
            </w:r>
            <w:r>
              <w:rPr>
                <w:sz w:val="20"/>
              </w:rPr>
              <w:t>R86.0,</w:t>
            </w:r>
            <w:r>
              <w:rPr>
                <w:spacing w:val="-5"/>
                <w:sz w:val="20"/>
              </w:rPr>
              <w:t> </w:t>
            </w:r>
            <w:r>
              <w:rPr>
                <w:sz w:val="20"/>
              </w:rPr>
              <w:t>R86.1,</w:t>
            </w:r>
            <w:r>
              <w:rPr>
                <w:spacing w:val="-5"/>
                <w:sz w:val="20"/>
              </w:rPr>
              <w:t> </w:t>
            </w:r>
            <w:r>
              <w:rPr>
                <w:sz w:val="20"/>
              </w:rPr>
              <w:t>R86.2,</w:t>
            </w:r>
            <w:r>
              <w:rPr>
                <w:spacing w:val="-5"/>
                <w:sz w:val="20"/>
              </w:rPr>
              <w:t> </w:t>
            </w:r>
            <w:r>
              <w:rPr>
                <w:sz w:val="20"/>
              </w:rPr>
              <w:t>R86.3,</w:t>
            </w:r>
            <w:r>
              <w:rPr>
                <w:spacing w:val="-5"/>
                <w:sz w:val="20"/>
              </w:rPr>
              <w:t> </w:t>
            </w:r>
            <w:r>
              <w:rPr>
                <w:sz w:val="20"/>
              </w:rPr>
              <w:t>R86.4,</w:t>
            </w:r>
            <w:r>
              <w:rPr>
                <w:spacing w:val="-5"/>
                <w:sz w:val="20"/>
              </w:rPr>
              <w:t> </w:t>
            </w:r>
            <w:r>
              <w:rPr>
                <w:spacing w:val="-2"/>
                <w:sz w:val="20"/>
              </w:rPr>
              <w:t>R86.5,</w:t>
            </w:r>
          </w:p>
          <w:p>
            <w:pPr>
              <w:pStyle w:val="TableParagraph"/>
              <w:ind w:left="240"/>
              <w:rPr>
                <w:sz w:val="20"/>
              </w:rPr>
            </w:pPr>
            <w:r>
              <w:rPr>
                <w:sz w:val="20"/>
              </w:rPr>
              <w:t>R86.6,</w:t>
            </w:r>
            <w:r>
              <w:rPr>
                <w:spacing w:val="-7"/>
                <w:sz w:val="20"/>
              </w:rPr>
              <w:t> </w:t>
            </w:r>
            <w:r>
              <w:rPr>
                <w:sz w:val="20"/>
              </w:rPr>
              <w:t>R86.7,</w:t>
            </w:r>
            <w:r>
              <w:rPr>
                <w:spacing w:val="-5"/>
                <w:sz w:val="20"/>
              </w:rPr>
              <w:t> </w:t>
            </w:r>
            <w:r>
              <w:rPr>
                <w:sz w:val="20"/>
              </w:rPr>
              <w:t>R86.8,</w:t>
            </w:r>
            <w:r>
              <w:rPr>
                <w:spacing w:val="-5"/>
                <w:sz w:val="20"/>
              </w:rPr>
              <w:t> </w:t>
            </w:r>
            <w:r>
              <w:rPr>
                <w:sz w:val="20"/>
              </w:rPr>
              <w:t>R86.9,</w:t>
            </w:r>
            <w:r>
              <w:rPr>
                <w:spacing w:val="-9"/>
                <w:sz w:val="20"/>
              </w:rPr>
              <w:t> </w:t>
            </w:r>
            <w:r>
              <w:rPr>
                <w:sz w:val="20"/>
              </w:rPr>
              <w:t>R93.4,</w:t>
            </w:r>
            <w:r>
              <w:rPr>
                <w:spacing w:val="-5"/>
                <w:sz w:val="20"/>
              </w:rPr>
              <w:t> </w:t>
            </w:r>
            <w:r>
              <w:rPr>
                <w:sz w:val="20"/>
              </w:rPr>
              <w:t>R94.4,</w:t>
            </w:r>
            <w:r>
              <w:rPr>
                <w:spacing w:val="-4"/>
                <w:sz w:val="20"/>
              </w:rPr>
              <w:t> R94.8</w:t>
            </w:r>
          </w:p>
        </w:tc>
        <w:tc>
          <w:tcPr>
            <w:tcW w:w="3766" w:type="dxa"/>
          </w:tcPr>
          <w:p>
            <w:pPr>
              <w:pStyle w:val="TableParagraph"/>
              <w:spacing w:before="45"/>
              <w:ind w:right="596"/>
              <w:jc w:val="center"/>
              <w:rPr>
                <w:sz w:val="20"/>
              </w:rPr>
            </w:pPr>
            <w:r>
              <w:rPr>
                <w:w w:val="99"/>
                <w:sz w:val="20"/>
              </w:rPr>
              <w:t>-</w:t>
            </w:r>
          </w:p>
        </w:tc>
        <w:tc>
          <w:tcPr>
            <w:tcW w:w="1573" w:type="dxa"/>
          </w:tcPr>
          <w:p>
            <w:pPr>
              <w:pStyle w:val="TableParagraph"/>
              <w:spacing w:before="45"/>
              <w:ind w:left="651"/>
              <w:rPr>
                <w:sz w:val="20"/>
              </w:rPr>
            </w:pPr>
            <w:r>
              <w:rPr>
                <w:w w:val="99"/>
                <w:sz w:val="20"/>
              </w:rPr>
              <w:t>-</w:t>
            </w:r>
          </w:p>
        </w:tc>
        <w:tc>
          <w:tcPr>
            <w:tcW w:w="1260" w:type="dxa"/>
          </w:tcPr>
          <w:p>
            <w:pPr>
              <w:pStyle w:val="TableParagraph"/>
              <w:spacing w:before="45"/>
              <w:ind w:right="43"/>
              <w:jc w:val="right"/>
              <w:rPr>
                <w:sz w:val="20"/>
              </w:rPr>
            </w:pPr>
            <w:r>
              <w:rPr>
                <w:spacing w:val="-4"/>
                <w:sz w:val="20"/>
              </w:rPr>
              <w:t>0,80</w:t>
            </w:r>
          </w:p>
        </w:tc>
      </w:tr>
      <w:tr>
        <w:trPr>
          <w:trHeight w:val="330" w:hRule="atLeast"/>
        </w:trPr>
        <w:tc>
          <w:tcPr>
            <w:tcW w:w="1003" w:type="dxa"/>
          </w:tcPr>
          <w:p>
            <w:pPr>
              <w:pStyle w:val="TableParagraph"/>
              <w:spacing w:before="45"/>
              <w:ind w:left="39" w:right="211"/>
              <w:jc w:val="center"/>
              <w:rPr>
                <w:sz w:val="20"/>
              </w:rPr>
            </w:pPr>
            <w:r>
              <w:rPr>
                <w:spacing w:val="-4"/>
                <w:sz w:val="20"/>
              </w:rPr>
              <w:t>ds19</w:t>
            </w:r>
          </w:p>
        </w:tc>
        <w:tc>
          <w:tcPr>
            <w:tcW w:w="645" w:type="dxa"/>
          </w:tcPr>
          <w:p>
            <w:pPr>
              <w:pStyle w:val="TableParagraph"/>
              <w:spacing w:before="45"/>
              <w:ind w:right="215"/>
              <w:jc w:val="right"/>
              <w:rPr>
                <w:sz w:val="20"/>
              </w:rPr>
            </w:pPr>
            <w:r>
              <w:rPr>
                <w:spacing w:val="-5"/>
                <w:sz w:val="20"/>
              </w:rPr>
              <w:t>19</w:t>
            </w:r>
          </w:p>
        </w:tc>
        <w:tc>
          <w:tcPr>
            <w:tcW w:w="2514" w:type="dxa"/>
          </w:tcPr>
          <w:p>
            <w:pPr>
              <w:pStyle w:val="TableParagraph"/>
              <w:rPr>
                <w:sz w:val="18"/>
              </w:rPr>
            </w:pPr>
          </w:p>
        </w:tc>
        <w:tc>
          <w:tcPr>
            <w:tcW w:w="4529" w:type="dxa"/>
          </w:tcPr>
          <w:p>
            <w:pPr>
              <w:pStyle w:val="TableParagraph"/>
              <w:spacing w:before="45"/>
              <w:ind w:right="206"/>
              <w:jc w:val="right"/>
              <w:rPr>
                <w:sz w:val="20"/>
              </w:rPr>
            </w:pPr>
            <w:r>
              <w:rPr>
                <w:spacing w:val="-2"/>
                <w:sz w:val="20"/>
              </w:rPr>
              <w:t>Онкология</w:t>
            </w:r>
          </w:p>
        </w:tc>
        <w:tc>
          <w:tcPr>
            <w:tcW w:w="3766" w:type="dxa"/>
          </w:tcPr>
          <w:p>
            <w:pPr>
              <w:pStyle w:val="TableParagraph"/>
              <w:rPr>
                <w:sz w:val="18"/>
              </w:rPr>
            </w:pPr>
          </w:p>
        </w:tc>
        <w:tc>
          <w:tcPr>
            <w:tcW w:w="1573" w:type="dxa"/>
          </w:tcPr>
          <w:p>
            <w:pPr>
              <w:pStyle w:val="TableParagraph"/>
              <w:rPr>
                <w:sz w:val="18"/>
              </w:rPr>
            </w:pPr>
          </w:p>
        </w:tc>
        <w:tc>
          <w:tcPr>
            <w:tcW w:w="1260" w:type="dxa"/>
          </w:tcPr>
          <w:p>
            <w:pPr>
              <w:pStyle w:val="TableParagraph"/>
              <w:spacing w:before="45"/>
              <w:ind w:right="43"/>
              <w:jc w:val="right"/>
              <w:rPr>
                <w:sz w:val="20"/>
              </w:rPr>
            </w:pPr>
            <w:r>
              <w:rPr>
                <w:spacing w:val="-4"/>
                <w:sz w:val="20"/>
              </w:rPr>
              <w:t>6,11</w:t>
            </w:r>
          </w:p>
        </w:tc>
      </w:tr>
      <w:tr>
        <w:trPr>
          <w:trHeight w:val="1020" w:hRule="atLeast"/>
        </w:trPr>
        <w:tc>
          <w:tcPr>
            <w:tcW w:w="1003" w:type="dxa"/>
          </w:tcPr>
          <w:p>
            <w:pPr>
              <w:pStyle w:val="TableParagraph"/>
              <w:spacing w:before="46"/>
              <w:ind w:left="39" w:right="212"/>
              <w:jc w:val="center"/>
              <w:rPr>
                <w:sz w:val="20"/>
              </w:rPr>
            </w:pPr>
            <w:r>
              <w:rPr>
                <w:spacing w:val="-2"/>
                <w:sz w:val="20"/>
              </w:rPr>
              <w:t>ds19.016</w:t>
            </w:r>
          </w:p>
        </w:tc>
        <w:tc>
          <w:tcPr>
            <w:tcW w:w="645" w:type="dxa"/>
          </w:tcPr>
          <w:p>
            <w:pPr>
              <w:pStyle w:val="TableParagraph"/>
              <w:spacing w:before="46"/>
              <w:ind w:right="215"/>
              <w:jc w:val="right"/>
              <w:rPr>
                <w:sz w:val="20"/>
              </w:rPr>
            </w:pPr>
            <w:r>
              <w:rPr>
                <w:spacing w:val="-5"/>
                <w:sz w:val="20"/>
              </w:rPr>
              <w:t>52</w:t>
            </w:r>
          </w:p>
        </w:tc>
        <w:tc>
          <w:tcPr>
            <w:tcW w:w="2514" w:type="dxa"/>
          </w:tcPr>
          <w:p>
            <w:pPr>
              <w:pStyle w:val="TableParagraph"/>
              <w:spacing w:before="46"/>
              <w:ind w:left="219" w:right="235"/>
              <w:rPr>
                <w:sz w:val="20"/>
              </w:rPr>
            </w:pPr>
            <w:r>
              <w:rPr>
                <w:sz w:val="20"/>
              </w:rPr>
              <w:t>Операции при </w:t>
            </w:r>
            <w:r>
              <w:rPr>
                <w:spacing w:val="-2"/>
                <w:sz w:val="20"/>
              </w:rPr>
              <w:t>злокачественных </w:t>
            </w:r>
            <w:r>
              <w:rPr>
                <w:sz w:val="20"/>
              </w:rPr>
              <w:t>новообразованиях</w:t>
            </w:r>
            <w:r>
              <w:rPr>
                <w:spacing w:val="-13"/>
                <w:sz w:val="20"/>
              </w:rPr>
              <w:t> </w:t>
            </w:r>
            <w:r>
              <w:rPr>
                <w:sz w:val="20"/>
              </w:rPr>
              <w:t>кожи (уровень 1)</w:t>
            </w:r>
          </w:p>
        </w:tc>
        <w:tc>
          <w:tcPr>
            <w:tcW w:w="4529" w:type="dxa"/>
          </w:tcPr>
          <w:p>
            <w:pPr>
              <w:pStyle w:val="TableParagraph"/>
              <w:spacing w:before="46"/>
              <w:ind w:left="1221"/>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66" w:type="dxa"/>
          </w:tcPr>
          <w:p>
            <w:pPr>
              <w:pStyle w:val="TableParagraph"/>
              <w:spacing w:before="46"/>
              <w:ind w:left="240" w:right="830" w:firstLine="324"/>
              <w:rPr>
                <w:sz w:val="20"/>
              </w:rPr>
            </w:pPr>
            <w:r>
              <w:rPr>
                <w:sz w:val="20"/>
              </w:rPr>
              <w:t>A16.01.005, A16.30.032, A16.30.032.001,</w:t>
            </w:r>
            <w:r>
              <w:rPr>
                <w:spacing w:val="-13"/>
                <w:sz w:val="20"/>
              </w:rPr>
              <w:t> </w:t>
            </w:r>
            <w:r>
              <w:rPr>
                <w:sz w:val="20"/>
              </w:rPr>
              <w:t>A22.01.007.001</w:t>
            </w:r>
          </w:p>
        </w:tc>
        <w:tc>
          <w:tcPr>
            <w:tcW w:w="1573" w:type="dxa"/>
          </w:tcPr>
          <w:p>
            <w:pPr>
              <w:pStyle w:val="TableParagraph"/>
              <w:spacing w:before="46"/>
              <w:ind w:left="651"/>
              <w:rPr>
                <w:sz w:val="20"/>
              </w:rPr>
            </w:pPr>
            <w:r>
              <w:rPr>
                <w:w w:val="99"/>
                <w:sz w:val="20"/>
              </w:rPr>
              <w:t>-</w:t>
            </w:r>
          </w:p>
        </w:tc>
        <w:tc>
          <w:tcPr>
            <w:tcW w:w="1260" w:type="dxa"/>
          </w:tcPr>
          <w:p>
            <w:pPr>
              <w:pStyle w:val="TableParagraph"/>
              <w:spacing w:before="46"/>
              <w:ind w:right="43"/>
              <w:jc w:val="right"/>
              <w:rPr>
                <w:sz w:val="20"/>
              </w:rPr>
            </w:pPr>
            <w:r>
              <w:rPr>
                <w:spacing w:val="-4"/>
                <w:sz w:val="20"/>
              </w:rPr>
              <w:t>2,35</w:t>
            </w:r>
          </w:p>
        </w:tc>
      </w:tr>
      <w:tr>
        <w:trPr>
          <w:trHeight w:val="1020" w:hRule="atLeast"/>
        </w:trPr>
        <w:tc>
          <w:tcPr>
            <w:tcW w:w="1003" w:type="dxa"/>
          </w:tcPr>
          <w:p>
            <w:pPr>
              <w:pStyle w:val="TableParagraph"/>
              <w:spacing w:before="46"/>
              <w:ind w:left="39" w:right="212"/>
              <w:jc w:val="center"/>
              <w:rPr>
                <w:sz w:val="20"/>
              </w:rPr>
            </w:pPr>
            <w:r>
              <w:rPr>
                <w:spacing w:val="-2"/>
                <w:sz w:val="20"/>
              </w:rPr>
              <w:t>ds19.017</w:t>
            </w:r>
          </w:p>
        </w:tc>
        <w:tc>
          <w:tcPr>
            <w:tcW w:w="645" w:type="dxa"/>
          </w:tcPr>
          <w:p>
            <w:pPr>
              <w:pStyle w:val="TableParagraph"/>
              <w:spacing w:before="46"/>
              <w:ind w:right="215"/>
              <w:jc w:val="right"/>
              <w:rPr>
                <w:sz w:val="20"/>
              </w:rPr>
            </w:pPr>
            <w:r>
              <w:rPr>
                <w:spacing w:val="-5"/>
                <w:sz w:val="20"/>
              </w:rPr>
              <w:t>53</w:t>
            </w:r>
          </w:p>
        </w:tc>
        <w:tc>
          <w:tcPr>
            <w:tcW w:w="2514" w:type="dxa"/>
          </w:tcPr>
          <w:p>
            <w:pPr>
              <w:pStyle w:val="TableParagraph"/>
              <w:spacing w:before="46"/>
              <w:ind w:left="219" w:right="235"/>
              <w:rPr>
                <w:sz w:val="20"/>
              </w:rPr>
            </w:pPr>
            <w:r>
              <w:rPr>
                <w:sz w:val="20"/>
              </w:rPr>
              <w:t>Операции при </w:t>
            </w:r>
            <w:r>
              <w:rPr>
                <w:spacing w:val="-2"/>
                <w:sz w:val="20"/>
              </w:rPr>
              <w:t>злокачественных </w:t>
            </w:r>
            <w:r>
              <w:rPr>
                <w:sz w:val="20"/>
              </w:rPr>
              <w:t>новообразованиях</w:t>
            </w:r>
            <w:r>
              <w:rPr>
                <w:spacing w:val="-13"/>
                <w:sz w:val="20"/>
              </w:rPr>
              <w:t> </w:t>
            </w:r>
            <w:r>
              <w:rPr>
                <w:sz w:val="20"/>
              </w:rPr>
              <w:t>кожи (уровень 2)</w:t>
            </w:r>
          </w:p>
        </w:tc>
        <w:tc>
          <w:tcPr>
            <w:tcW w:w="4529" w:type="dxa"/>
          </w:tcPr>
          <w:p>
            <w:pPr>
              <w:pStyle w:val="TableParagraph"/>
              <w:spacing w:before="46"/>
              <w:ind w:left="1221"/>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66" w:type="dxa"/>
          </w:tcPr>
          <w:p>
            <w:pPr>
              <w:pStyle w:val="TableParagraph"/>
              <w:spacing w:before="46"/>
              <w:ind w:left="214" w:right="814"/>
              <w:jc w:val="center"/>
              <w:rPr>
                <w:sz w:val="20"/>
              </w:rPr>
            </w:pPr>
            <w:r>
              <w:rPr>
                <w:sz w:val="20"/>
              </w:rPr>
              <w:t>A16.01.005.001,</w:t>
            </w:r>
            <w:r>
              <w:rPr>
                <w:spacing w:val="-13"/>
                <w:sz w:val="20"/>
              </w:rPr>
              <w:t> </w:t>
            </w:r>
            <w:r>
              <w:rPr>
                <w:sz w:val="20"/>
              </w:rPr>
              <w:t>A16.01.005.002, A16.01.005.003,</w:t>
            </w:r>
            <w:r>
              <w:rPr>
                <w:spacing w:val="-13"/>
                <w:sz w:val="20"/>
              </w:rPr>
              <w:t> </w:t>
            </w:r>
            <w:r>
              <w:rPr>
                <w:sz w:val="20"/>
              </w:rPr>
              <w:t>A16.30.032.002, </w:t>
            </w:r>
            <w:r>
              <w:rPr>
                <w:spacing w:val="-2"/>
                <w:sz w:val="20"/>
              </w:rPr>
              <w:t>A16.30.032.004</w:t>
            </w:r>
          </w:p>
        </w:tc>
        <w:tc>
          <w:tcPr>
            <w:tcW w:w="1573" w:type="dxa"/>
          </w:tcPr>
          <w:p>
            <w:pPr>
              <w:pStyle w:val="TableParagraph"/>
              <w:spacing w:before="46"/>
              <w:ind w:left="651"/>
              <w:rPr>
                <w:sz w:val="20"/>
              </w:rPr>
            </w:pPr>
            <w:r>
              <w:rPr>
                <w:w w:val="99"/>
                <w:sz w:val="20"/>
              </w:rPr>
              <w:t>-</w:t>
            </w:r>
          </w:p>
        </w:tc>
        <w:tc>
          <w:tcPr>
            <w:tcW w:w="1260" w:type="dxa"/>
          </w:tcPr>
          <w:p>
            <w:pPr>
              <w:pStyle w:val="TableParagraph"/>
              <w:spacing w:before="46"/>
              <w:ind w:right="43"/>
              <w:jc w:val="right"/>
              <w:rPr>
                <w:sz w:val="20"/>
              </w:rPr>
            </w:pPr>
            <w:r>
              <w:rPr>
                <w:spacing w:val="-4"/>
                <w:sz w:val="20"/>
              </w:rPr>
              <w:t>2,48</w:t>
            </w:r>
          </w:p>
        </w:tc>
      </w:tr>
      <w:tr>
        <w:trPr>
          <w:trHeight w:val="734" w:hRule="atLeast"/>
        </w:trPr>
        <w:tc>
          <w:tcPr>
            <w:tcW w:w="1003" w:type="dxa"/>
          </w:tcPr>
          <w:p>
            <w:pPr>
              <w:pStyle w:val="TableParagraph"/>
              <w:spacing w:before="46"/>
              <w:ind w:left="39" w:right="212"/>
              <w:jc w:val="center"/>
              <w:rPr>
                <w:sz w:val="20"/>
              </w:rPr>
            </w:pPr>
            <w:r>
              <w:rPr>
                <w:spacing w:val="-2"/>
                <w:sz w:val="20"/>
              </w:rPr>
              <w:t>ds19.028</w:t>
            </w:r>
          </w:p>
        </w:tc>
        <w:tc>
          <w:tcPr>
            <w:tcW w:w="645" w:type="dxa"/>
          </w:tcPr>
          <w:p>
            <w:pPr>
              <w:pStyle w:val="TableParagraph"/>
              <w:spacing w:before="46"/>
              <w:ind w:right="215"/>
              <w:jc w:val="right"/>
              <w:rPr>
                <w:sz w:val="20"/>
              </w:rPr>
            </w:pPr>
            <w:r>
              <w:rPr>
                <w:spacing w:val="-5"/>
                <w:sz w:val="20"/>
              </w:rPr>
              <w:t>54</w:t>
            </w:r>
          </w:p>
        </w:tc>
        <w:tc>
          <w:tcPr>
            <w:tcW w:w="2514" w:type="dxa"/>
          </w:tcPr>
          <w:p>
            <w:pPr>
              <w:pStyle w:val="TableParagraph"/>
              <w:spacing w:before="46"/>
              <w:ind w:left="219"/>
              <w:rPr>
                <w:sz w:val="20"/>
              </w:rPr>
            </w:pPr>
            <w:r>
              <w:rPr>
                <w:sz w:val="20"/>
              </w:rPr>
              <w:t>Установка,</w:t>
            </w:r>
            <w:r>
              <w:rPr>
                <w:spacing w:val="-8"/>
                <w:sz w:val="20"/>
              </w:rPr>
              <w:t> </w:t>
            </w:r>
            <w:r>
              <w:rPr>
                <w:sz w:val="20"/>
              </w:rPr>
              <w:t>замена</w:t>
            </w:r>
            <w:r>
              <w:rPr>
                <w:spacing w:val="-8"/>
                <w:sz w:val="20"/>
              </w:rPr>
              <w:t> </w:t>
            </w:r>
            <w:r>
              <w:rPr>
                <w:spacing w:val="-4"/>
                <w:sz w:val="20"/>
              </w:rPr>
              <w:t>порт-</w:t>
            </w:r>
          </w:p>
          <w:p>
            <w:pPr>
              <w:pStyle w:val="TableParagraph"/>
              <w:spacing w:line="228" w:lineRule="exact"/>
              <w:ind w:left="219"/>
              <w:rPr>
                <w:sz w:val="20"/>
              </w:rPr>
            </w:pPr>
            <w:r>
              <w:rPr>
                <w:sz w:val="20"/>
              </w:rPr>
              <w:t>системы</w:t>
            </w:r>
            <w:r>
              <w:rPr>
                <w:spacing w:val="-13"/>
                <w:sz w:val="20"/>
              </w:rPr>
              <w:t> </w:t>
            </w:r>
            <w:r>
              <w:rPr>
                <w:sz w:val="20"/>
              </w:rPr>
              <w:t>(катетера)</w:t>
            </w:r>
            <w:r>
              <w:rPr>
                <w:spacing w:val="-11"/>
                <w:sz w:val="20"/>
              </w:rPr>
              <w:t> </w:t>
            </w:r>
            <w:r>
              <w:rPr>
                <w:sz w:val="20"/>
              </w:rPr>
              <w:t>для </w:t>
            </w:r>
            <w:r>
              <w:rPr>
                <w:w w:val="95"/>
                <w:sz w:val="20"/>
              </w:rPr>
              <w:t>лекарственной</w:t>
            </w:r>
            <w:r>
              <w:rPr>
                <w:spacing w:val="50"/>
                <w:sz w:val="20"/>
              </w:rPr>
              <w:t> </w:t>
            </w:r>
            <w:r>
              <w:rPr>
                <w:spacing w:val="-2"/>
                <w:sz w:val="20"/>
              </w:rPr>
              <w:t>терапии</w:t>
            </w:r>
          </w:p>
        </w:tc>
        <w:tc>
          <w:tcPr>
            <w:tcW w:w="4529" w:type="dxa"/>
          </w:tcPr>
          <w:p>
            <w:pPr>
              <w:pStyle w:val="TableParagraph"/>
              <w:spacing w:before="46"/>
              <w:ind w:left="252" w:right="313"/>
              <w:jc w:val="center"/>
              <w:rPr>
                <w:sz w:val="20"/>
              </w:rPr>
            </w:pPr>
            <w:r>
              <w:rPr>
                <w:sz w:val="20"/>
              </w:rPr>
              <w:t>C.,</w:t>
            </w:r>
            <w:r>
              <w:rPr>
                <w:spacing w:val="-8"/>
                <w:sz w:val="20"/>
              </w:rPr>
              <w:t> </w:t>
            </w:r>
            <w:r>
              <w:rPr>
                <w:sz w:val="20"/>
              </w:rPr>
              <w:t>D00-</w:t>
            </w:r>
            <w:r>
              <w:rPr>
                <w:spacing w:val="-5"/>
                <w:sz w:val="20"/>
              </w:rPr>
              <w:t>D09</w:t>
            </w:r>
          </w:p>
        </w:tc>
        <w:tc>
          <w:tcPr>
            <w:tcW w:w="3766" w:type="dxa"/>
          </w:tcPr>
          <w:p>
            <w:pPr>
              <w:pStyle w:val="TableParagraph"/>
              <w:spacing w:before="46"/>
              <w:ind w:left="214" w:right="812"/>
              <w:jc w:val="center"/>
              <w:rPr>
                <w:sz w:val="20"/>
              </w:rPr>
            </w:pPr>
            <w:r>
              <w:rPr>
                <w:spacing w:val="-2"/>
                <w:sz w:val="20"/>
              </w:rPr>
              <w:t>A11.12.001.002</w:t>
            </w:r>
          </w:p>
        </w:tc>
        <w:tc>
          <w:tcPr>
            <w:tcW w:w="1573" w:type="dxa"/>
          </w:tcPr>
          <w:p>
            <w:pPr>
              <w:pStyle w:val="TableParagraph"/>
              <w:spacing w:before="46"/>
              <w:ind w:left="651"/>
              <w:rPr>
                <w:sz w:val="20"/>
              </w:rPr>
            </w:pPr>
            <w:r>
              <w:rPr>
                <w:w w:val="99"/>
                <w:sz w:val="20"/>
              </w:rPr>
              <w:t>-</w:t>
            </w:r>
          </w:p>
        </w:tc>
        <w:tc>
          <w:tcPr>
            <w:tcW w:w="1260" w:type="dxa"/>
          </w:tcPr>
          <w:p>
            <w:pPr>
              <w:pStyle w:val="TableParagraph"/>
              <w:spacing w:before="46"/>
              <w:ind w:right="43"/>
              <w:jc w:val="right"/>
              <w:rPr>
                <w:sz w:val="20"/>
              </w:rPr>
            </w:pPr>
            <w:r>
              <w:rPr>
                <w:spacing w:val="-4"/>
                <w:sz w:val="20"/>
              </w:rPr>
              <w:t>2,17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90"/>
        <w:gridCol w:w="3503"/>
        <w:gridCol w:w="3561"/>
        <w:gridCol w:w="2710"/>
        <w:gridCol w:w="778"/>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090" w:type="dxa"/>
          </w:tcPr>
          <w:p>
            <w:pPr>
              <w:pStyle w:val="TableParagraph"/>
              <w:ind w:left="219" w:right="446"/>
              <w:rPr>
                <w:sz w:val="20"/>
              </w:rPr>
            </w:pPr>
            <w:r>
              <w:rPr>
                <w:spacing w:val="-2"/>
                <w:sz w:val="20"/>
              </w:rPr>
              <w:t>злокачественных новообразований</w:t>
            </w:r>
          </w:p>
        </w:tc>
        <w:tc>
          <w:tcPr>
            <w:tcW w:w="3503" w:type="dxa"/>
          </w:tcPr>
          <w:p>
            <w:pPr>
              <w:pStyle w:val="TableParagraph"/>
              <w:rPr>
                <w:sz w:val="18"/>
              </w:rPr>
            </w:pPr>
          </w:p>
        </w:tc>
        <w:tc>
          <w:tcPr>
            <w:tcW w:w="3561" w:type="dxa"/>
          </w:tcPr>
          <w:p>
            <w:pPr>
              <w:pStyle w:val="TableParagraph"/>
              <w:rPr>
                <w:sz w:val="18"/>
              </w:rPr>
            </w:pPr>
          </w:p>
        </w:tc>
        <w:tc>
          <w:tcPr>
            <w:tcW w:w="2710" w:type="dxa"/>
          </w:tcPr>
          <w:p>
            <w:pPr>
              <w:pStyle w:val="TableParagraph"/>
              <w:rPr>
                <w:sz w:val="18"/>
              </w:rPr>
            </w:pPr>
          </w:p>
        </w:tc>
        <w:tc>
          <w:tcPr>
            <w:tcW w:w="778"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ds19.029</w:t>
            </w:r>
          </w:p>
        </w:tc>
        <w:tc>
          <w:tcPr>
            <w:tcW w:w="645" w:type="dxa"/>
          </w:tcPr>
          <w:p>
            <w:pPr>
              <w:pStyle w:val="TableParagraph"/>
              <w:spacing w:line="215" w:lineRule="exact" w:before="45"/>
              <w:ind w:right="215"/>
              <w:jc w:val="right"/>
              <w:rPr>
                <w:sz w:val="20"/>
              </w:rPr>
            </w:pPr>
            <w:r>
              <w:rPr>
                <w:spacing w:val="-5"/>
                <w:sz w:val="20"/>
              </w:rPr>
              <w:t>55</w:t>
            </w:r>
          </w:p>
        </w:tc>
        <w:tc>
          <w:tcPr>
            <w:tcW w:w="3090" w:type="dxa"/>
          </w:tcPr>
          <w:p>
            <w:pPr>
              <w:pStyle w:val="TableParagraph"/>
              <w:spacing w:line="215" w:lineRule="exact" w:before="45"/>
              <w:ind w:left="219"/>
              <w:rPr>
                <w:sz w:val="20"/>
              </w:rPr>
            </w:pPr>
            <w:r>
              <w:rPr>
                <w:w w:val="95"/>
                <w:sz w:val="20"/>
              </w:rPr>
              <w:t>Госпитализация</w:t>
            </w:r>
            <w:r>
              <w:rPr>
                <w:spacing w:val="49"/>
                <w:sz w:val="20"/>
              </w:rPr>
              <w:t> </w:t>
            </w:r>
            <w:r>
              <w:rPr>
                <w:spacing w:val="-10"/>
                <w:sz w:val="20"/>
              </w:rPr>
              <w:t>в</w:t>
            </w:r>
          </w:p>
        </w:tc>
        <w:tc>
          <w:tcPr>
            <w:tcW w:w="3503" w:type="dxa"/>
          </w:tcPr>
          <w:p>
            <w:pPr>
              <w:pStyle w:val="TableParagraph"/>
              <w:spacing w:line="215" w:lineRule="exact" w:before="45"/>
              <w:ind w:left="641" w:right="828"/>
              <w:jc w:val="center"/>
              <w:rPr>
                <w:sz w:val="20"/>
              </w:rPr>
            </w:pPr>
            <w:r>
              <w:rPr>
                <w:sz w:val="20"/>
              </w:rPr>
              <w:t>C.,</w:t>
            </w:r>
            <w:r>
              <w:rPr>
                <w:spacing w:val="-8"/>
                <w:sz w:val="20"/>
              </w:rPr>
              <w:t> </w:t>
            </w:r>
            <w:r>
              <w:rPr>
                <w:sz w:val="20"/>
              </w:rPr>
              <w:t>D00-</w:t>
            </w:r>
            <w:r>
              <w:rPr>
                <w:spacing w:val="-5"/>
                <w:sz w:val="20"/>
              </w:rPr>
              <w:t>D09</w:t>
            </w:r>
          </w:p>
        </w:tc>
        <w:tc>
          <w:tcPr>
            <w:tcW w:w="3561" w:type="dxa"/>
          </w:tcPr>
          <w:p>
            <w:pPr>
              <w:pStyle w:val="TableParagraph"/>
              <w:spacing w:line="215" w:lineRule="exact" w:before="45"/>
              <w:ind w:left="835" w:right="332"/>
              <w:jc w:val="center"/>
              <w:rPr>
                <w:sz w:val="20"/>
              </w:rPr>
            </w:pPr>
            <w:r>
              <w:rPr>
                <w:w w:val="95"/>
                <w:sz w:val="20"/>
              </w:rPr>
              <w:t>A07.23.008.001,</w:t>
            </w:r>
            <w:r>
              <w:rPr>
                <w:spacing w:val="54"/>
                <w:sz w:val="20"/>
              </w:rPr>
              <w:t> </w:t>
            </w:r>
            <w:r>
              <w:rPr>
                <w:spacing w:val="-2"/>
                <w:sz w:val="20"/>
              </w:rPr>
              <w:t>A07.30.043,</w:t>
            </w:r>
          </w:p>
        </w:tc>
        <w:tc>
          <w:tcPr>
            <w:tcW w:w="2710" w:type="dxa"/>
          </w:tcPr>
          <w:p>
            <w:pPr>
              <w:pStyle w:val="TableParagraph"/>
              <w:spacing w:line="215" w:lineRule="exact" w:before="45"/>
              <w:ind w:right="29"/>
              <w:jc w:val="center"/>
              <w:rPr>
                <w:sz w:val="20"/>
              </w:rPr>
            </w:pPr>
            <w:r>
              <w:rPr>
                <w:w w:val="99"/>
                <w:sz w:val="20"/>
              </w:rPr>
              <w:t>-</w:t>
            </w:r>
          </w:p>
        </w:tc>
        <w:tc>
          <w:tcPr>
            <w:tcW w:w="778" w:type="dxa"/>
          </w:tcPr>
          <w:p>
            <w:pPr>
              <w:pStyle w:val="TableParagraph"/>
              <w:spacing w:line="215" w:lineRule="exact" w:before="45"/>
              <w:ind w:right="43"/>
              <w:jc w:val="right"/>
              <w:rPr>
                <w:sz w:val="20"/>
              </w:rPr>
            </w:pPr>
            <w:r>
              <w:rPr>
                <w:spacing w:val="-4"/>
                <w:sz w:val="20"/>
              </w:rPr>
              <w:t>2,55</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3503" w:type="dxa"/>
          </w:tcPr>
          <w:p>
            <w:pPr>
              <w:pStyle w:val="TableParagraph"/>
              <w:rPr>
                <w:sz w:val="16"/>
              </w:rPr>
            </w:pPr>
          </w:p>
        </w:tc>
        <w:tc>
          <w:tcPr>
            <w:tcW w:w="3561" w:type="dxa"/>
          </w:tcPr>
          <w:p>
            <w:pPr>
              <w:pStyle w:val="TableParagraph"/>
              <w:spacing w:line="210" w:lineRule="exact"/>
              <w:ind w:left="835" w:right="331"/>
              <w:jc w:val="center"/>
              <w:rPr>
                <w:sz w:val="20"/>
              </w:rPr>
            </w:pPr>
            <w:r>
              <w:rPr>
                <w:spacing w:val="-2"/>
                <w:sz w:val="20"/>
              </w:rPr>
              <w:t>A07.30.043.001</w:t>
            </w: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pacing w:val="-2"/>
                <w:sz w:val="20"/>
              </w:rPr>
              <w:t>постановкой</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pacing w:val="-2"/>
                <w:sz w:val="20"/>
              </w:rPr>
              <w:t>(подтверждением)</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pacing w:val="-2"/>
                <w:sz w:val="20"/>
              </w:rPr>
              <w:t>диагноза</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1" w:lineRule="exact"/>
              <w:ind w:left="219"/>
              <w:rPr>
                <w:sz w:val="20"/>
              </w:rPr>
            </w:pPr>
            <w:r>
              <w:rPr>
                <w:spacing w:val="-2"/>
                <w:sz w:val="20"/>
              </w:rPr>
              <w:t>злокачественного</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w w:val="95"/>
                <w:sz w:val="20"/>
              </w:rPr>
              <w:t>новообразования</w:t>
            </w:r>
            <w:r>
              <w:rPr>
                <w:spacing w:val="51"/>
                <w:sz w:val="20"/>
              </w:rPr>
              <w:t> </w:t>
            </w:r>
            <w:r>
              <w:rPr>
                <w:spacing w:val="-10"/>
                <w:sz w:val="20"/>
              </w:rPr>
              <w:t>с</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90" w:type="dxa"/>
          </w:tcPr>
          <w:p>
            <w:pPr>
              <w:pStyle w:val="TableParagraph"/>
              <w:spacing w:line="226" w:lineRule="exact"/>
              <w:ind w:left="219"/>
              <w:rPr>
                <w:sz w:val="20"/>
              </w:rPr>
            </w:pPr>
            <w:r>
              <w:rPr>
                <w:sz w:val="20"/>
              </w:rPr>
              <w:t>использованием</w:t>
            </w:r>
            <w:r>
              <w:rPr>
                <w:spacing w:val="-10"/>
                <w:sz w:val="20"/>
              </w:rPr>
              <w:t> </w:t>
            </w:r>
            <w:r>
              <w:rPr>
                <w:sz w:val="20"/>
              </w:rPr>
              <w:t>ПЭТ</w:t>
            </w:r>
            <w:r>
              <w:rPr>
                <w:spacing w:val="-8"/>
                <w:sz w:val="20"/>
              </w:rPr>
              <w:t> </w:t>
            </w:r>
            <w:r>
              <w:rPr>
                <w:spacing w:val="-5"/>
                <w:sz w:val="20"/>
              </w:rPr>
              <w:t>КТ</w:t>
            </w:r>
          </w:p>
        </w:tc>
        <w:tc>
          <w:tcPr>
            <w:tcW w:w="3503" w:type="dxa"/>
          </w:tcPr>
          <w:p>
            <w:pPr>
              <w:pStyle w:val="TableParagraph"/>
              <w:rPr>
                <w:sz w:val="18"/>
              </w:rPr>
            </w:pPr>
          </w:p>
        </w:tc>
        <w:tc>
          <w:tcPr>
            <w:tcW w:w="3561" w:type="dxa"/>
          </w:tcPr>
          <w:p>
            <w:pPr>
              <w:pStyle w:val="TableParagraph"/>
              <w:rPr>
                <w:sz w:val="18"/>
              </w:rPr>
            </w:pPr>
          </w:p>
        </w:tc>
        <w:tc>
          <w:tcPr>
            <w:tcW w:w="2710" w:type="dxa"/>
          </w:tcPr>
          <w:p>
            <w:pPr>
              <w:pStyle w:val="TableParagraph"/>
              <w:rPr>
                <w:sz w:val="18"/>
              </w:rPr>
            </w:pPr>
          </w:p>
        </w:tc>
        <w:tc>
          <w:tcPr>
            <w:tcW w:w="778"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ds19.033</w:t>
            </w:r>
          </w:p>
        </w:tc>
        <w:tc>
          <w:tcPr>
            <w:tcW w:w="645" w:type="dxa"/>
          </w:tcPr>
          <w:p>
            <w:pPr>
              <w:pStyle w:val="TableParagraph"/>
              <w:spacing w:line="215" w:lineRule="exact" w:before="45"/>
              <w:ind w:right="215"/>
              <w:jc w:val="right"/>
              <w:rPr>
                <w:sz w:val="20"/>
              </w:rPr>
            </w:pPr>
            <w:r>
              <w:rPr>
                <w:spacing w:val="-5"/>
                <w:sz w:val="20"/>
              </w:rPr>
              <w:t>56</w:t>
            </w:r>
          </w:p>
        </w:tc>
        <w:tc>
          <w:tcPr>
            <w:tcW w:w="3090" w:type="dxa"/>
          </w:tcPr>
          <w:p>
            <w:pPr>
              <w:pStyle w:val="TableParagraph"/>
              <w:spacing w:line="215" w:lineRule="exact" w:before="45"/>
              <w:ind w:left="219"/>
              <w:rPr>
                <w:sz w:val="20"/>
              </w:rPr>
            </w:pPr>
            <w:r>
              <w:rPr>
                <w:w w:val="95"/>
                <w:sz w:val="20"/>
              </w:rPr>
              <w:t>Госпитализация</w:t>
            </w:r>
            <w:r>
              <w:rPr>
                <w:spacing w:val="49"/>
                <w:sz w:val="20"/>
              </w:rPr>
              <w:t> </w:t>
            </w:r>
            <w:r>
              <w:rPr>
                <w:spacing w:val="-10"/>
                <w:sz w:val="20"/>
              </w:rPr>
              <w:t>в</w:t>
            </w:r>
          </w:p>
        </w:tc>
        <w:tc>
          <w:tcPr>
            <w:tcW w:w="3503" w:type="dxa"/>
          </w:tcPr>
          <w:p>
            <w:pPr>
              <w:pStyle w:val="TableParagraph"/>
              <w:spacing w:line="215" w:lineRule="exact" w:before="45"/>
              <w:ind w:right="189"/>
              <w:jc w:val="center"/>
              <w:rPr>
                <w:sz w:val="20"/>
              </w:rPr>
            </w:pPr>
            <w:r>
              <w:rPr>
                <w:w w:val="99"/>
                <w:sz w:val="20"/>
              </w:rPr>
              <w:t>-</w:t>
            </w:r>
          </w:p>
        </w:tc>
        <w:tc>
          <w:tcPr>
            <w:tcW w:w="3561" w:type="dxa"/>
          </w:tcPr>
          <w:p>
            <w:pPr>
              <w:pStyle w:val="TableParagraph"/>
              <w:spacing w:line="215" w:lineRule="exact" w:before="45"/>
              <w:ind w:left="506"/>
              <w:jc w:val="center"/>
              <w:rPr>
                <w:sz w:val="20"/>
              </w:rPr>
            </w:pPr>
            <w:r>
              <w:rPr>
                <w:w w:val="99"/>
                <w:sz w:val="20"/>
              </w:rPr>
              <w:t>-</w:t>
            </w:r>
          </w:p>
        </w:tc>
        <w:tc>
          <w:tcPr>
            <w:tcW w:w="2710" w:type="dxa"/>
          </w:tcPr>
          <w:p>
            <w:pPr>
              <w:pStyle w:val="TableParagraph"/>
              <w:spacing w:line="215" w:lineRule="exact" w:before="45"/>
              <w:ind w:left="335" w:right="363"/>
              <w:jc w:val="center"/>
              <w:rPr>
                <w:sz w:val="20"/>
              </w:rPr>
            </w:pPr>
            <w:r>
              <w:rPr>
                <w:spacing w:val="-4"/>
                <w:sz w:val="20"/>
              </w:rPr>
              <w:t>Иной</w:t>
            </w:r>
          </w:p>
        </w:tc>
        <w:tc>
          <w:tcPr>
            <w:tcW w:w="778" w:type="dxa"/>
          </w:tcPr>
          <w:p>
            <w:pPr>
              <w:pStyle w:val="TableParagraph"/>
              <w:spacing w:line="215" w:lineRule="exact" w:before="45"/>
              <w:ind w:right="43"/>
              <w:jc w:val="right"/>
              <w:rPr>
                <w:sz w:val="20"/>
              </w:rPr>
            </w:pPr>
            <w:r>
              <w:rPr>
                <w:spacing w:val="-4"/>
                <w:sz w:val="20"/>
              </w:rPr>
              <w:t>2,44</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1"/>
              <w:jc w:val="center"/>
              <w:rPr>
                <w:sz w:val="20"/>
              </w:rPr>
            </w:pPr>
            <w:r>
              <w:rPr>
                <w:spacing w:val="-2"/>
                <w:sz w:val="20"/>
              </w:rPr>
              <w:t>классификационный</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проведением</w:t>
            </w:r>
            <w:r>
              <w:rPr>
                <w:spacing w:val="-11"/>
                <w:sz w:val="20"/>
              </w:rPr>
              <w:t> </w:t>
            </w:r>
            <w:r>
              <w:rPr>
                <w:sz w:val="20"/>
              </w:rPr>
              <w:t>биопсии</w:t>
            </w:r>
            <w:r>
              <w:rPr>
                <w:spacing w:val="-12"/>
                <w:sz w:val="20"/>
              </w:rPr>
              <w:t> </w:t>
            </w:r>
            <w:r>
              <w:rPr>
                <w:spacing w:val="-10"/>
                <w:sz w:val="20"/>
              </w:rPr>
              <w:t>и</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4"/>
              <w:jc w:val="center"/>
              <w:rPr>
                <w:sz w:val="20"/>
              </w:rPr>
            </w:pPr>
            <w:r>
              <w:rPr>
                <w:sz w:val="20"/>
              </w:rPr>
              <w:t>критерий:</w:t>
            </w:r>
            <w:r>
              <w:rPr>
                <w:spacing w:val="-10"/>
                <w:sz w:val="20"/>
              </w:rPr>
              <w:t> </w:t>
            </w:r>
            <w:r>
              <w:rPr>
                <w:spacing w:val="-5"/>
                <w:sz w:val="20"/>
              </w:rPr>
              <w:t>mgi</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pacing w:val="-2"/>
                <w:sz w:val="20"/>
              </w:rPr>
              <w:t>последующим</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pacing w:val="-2"/>
                <w:sz w:val="20"/>
              </w:rPr>
              <w:t>проведением</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pacing w:val="-2"/>
                <w:sz w:val="20"/>
              </w:rPr>
              <w:t>молекулярно-</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z w:val="20"/>
              </w:rPr>
              <w:t>генетического</w:t>
            </w:r>
            <w:r>
              <w:rPr>
                <w:spacing w:val="-8"/>
                <w:sz w:val="20"/>
              </w:rPr>
              <w:t> </w:t>
            </w:r>
            <w:r>
              <w:rPr>
                <w:sz w:val="20"/>
              </w:rPr>
              <w:t>и</w:t>
            </w:r>
            <w:r>
              <w:rPr>
                <w:spacing w:val="-10"/>
                <w:sz w:val="20"/>
              </w:rPr>
              <w:t> </w:t>
            </w:r>
            <w:r>
              <w:rPr>
                <w:spacing w:val="-4"/>
                <w:sz w:val="20"/>
              </w:rPr>
              <w:t>(или)</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1" w:lineRule="exact"/>
              <w:ind w:left="219"/>
              <w:rPr>
                <w:sz w:val="20"/>
              </w:rPr>
            </w:pPr>
            <w:r>
              <w:rPr>
                <w:spacing w:val="-2"/>
                <w:sz w:val="20"/>
              </w:rPr>
              <w:t>иммуногистохимического</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3090" w:type="dxa"/>
          </w:tcPr>
          <w:p>
            <w:pPr>
              <w:pStyle w:val="TableParagraph"/>
              <w:spacing w:line="226" w:lineRule="exact"/>
              <w:ind w:left="219"/>
              <w:rPr>
                <w:sz w:val="20"/>
              </w:rPr>
            </w:pPr>
            <w:r>
              <w:rPr>
                <w:spacing w:val="-2"/>
                <w:sz w:val="20"/>
              </w:rPr>
              <w:t>исследования</w:t>
            </w:r>
          </w:p>
        </w:tc>
        <w:tc>
          <w:tcPr>
            <w:tcW w:w="3503" w:type="dxa"/>
          </w:tcPr>
          <w:p>
            <w:pPr>
              <w:pStyle w:val="TableParagraph"/>
              <w:rPr>
                <w:sz w:val="18"/>
              </w:rPr>
            </w:pPr>
          </w:p>
        </w:tc>
        <w:tc>
          <w:tcPr>
            <w:tcW w:w="3561" w:type="dxa"/>
          </w:tcPr>
          <w:p>
            <w:pPr>
              <w:pStyle w:val="TableParagraph"/>
              <w:rPr>
                <w:sz w:val="18"/>
              </w:rPr>
            </w:pPr>
          </w:p>
        </w:tc>
        <w:tc>
          <w:tcPr>
            <w:tcW w:w="2710" w:type="dxa"/>
          </w:tcPr>
          <w:p>
            <w:pPr>
              <w:pStyle w:val="TableParagraph"/>
              <w:rPr>
                <w:sz w:val="18"/>
              </w:rPr>
            </w:pPr>
          </w:p>
        </w:tc>
        <w:tc>
          <w:tcPr>
            <w:tcW w:w="778" w:type="dxa"/>
          </w:tcPr>
          <w:p>
            <w:pPr>
              <w:pStyle w:val="TableParagraph"/>
              <w:rPr>
                <w:sz w:val="18"/>
              </w:rPr>
            </w:pPr>
          </w:p>
        </w:tc>
      </w:tr>
      <w:tr>
        <w:trPr>
          <w:trHeight w:val="279" w:hRule="atLeast"/>
        </w:trPr>
        <w:tc>
          <w:tcPr>
            <w:tcW w:w="1003" w:type="dxa"/>
          </w:tcPr>
          <w:p>
            <w:pPr>
              <w:pStyle w:val="TableParagraph"/>
              <w:spacing w:line="214" w:lineRule="exact" w:before="46"/>
              <w:ind w:left="50"/>
              <w:rPr>
                <w:sz w:val="20"/>
              </w:rPr>
            </w:pPr>
            <w:r>
              <w:rPr>
                <w:spacing w:val="-2"/>
                <w:sz w:val="20"/>
              </w:rPr>
              <w:t>ds19.080</w:t>
            </w:r>
          </w:p>
        </w:tc>
        <w:tc>
          <w:tcPr>
            <w:tcW w:w="645" w:type="dxa"/>
          </w:tcPr>
          <w:p>
            <w:pPr>
              <w:pStyle w:val="TableParagraph"/>
              <w:spacing w:line="214" w:lineRule="exact" w:before="46"/>
              <w:ind w:right="215"/>
              <w:jc w:val="right"/>
              <w:rPr>
                <w:sz w:val="20"/>
              </w:rPr>
            </w:pPr>
            <w:r>
              <w:rPr>
                <w:spacing w:val="-5"/>
                <w:sz w:val="20"/>
              </w:rPr>
              <w:t>57</w:t>
            </w:r>
          </w:p>
        </w:tc>
        <w:tc>
          <w:tcPr>
            <w:tcW w:w="3090" w:type="dxa"/>
          </w:tcPr>
          <w:p>
            <w:pPr>
              <w:pStyle w:val="TableParagraph"/>
              <w:spacing w:line="214" w:lineRule="exact" w:before="46"/>
              <w:ind w:left="219"/>
              <w:rPr>
                <w:sz w:val="20"/>
              </w:rPr>
            </w:pPr>
            <w:r>
              <w:rPr>
                <w:w w:val="95"/>
                <w:sz w:val="20"/>
              </w:rPr>
              <w:t>Лекарственная</w:t>
            </w:r>
            <w:r>
              <w:rPr>
                <w:spacing w:val="49"/>
                <w:sz w:val="20"/>
              </w:rPr>
              <w:t> </w:t>
            </w:r>
            <w:r>
              <w:rPr>
                <w:spacing w:val="-2"/>
                <w:sz w:val="20"/>
              </w:rPr>
              <w:t>терапия</w:t>
            </w:r>
          </w:p>
        </w:tc>
        <w:tc>
          <w:tcPr>
            <w:tcW w:w="3503" w:type="dxa"/>
          </w:tcPr>
          <w:p>
            <w:pPr>
              <w:pStyle w:val="TableParagraph"/>
              <w:spacing w:line="214" w:lineRule="exact" w:before="46"/>
              <w:ind w:left="641" w:right="828"/>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561" w:type="dxa"/>
          </w:tcPr>
          <w:p>
            <w:pPr>
              <w:pStyle w:val="TableParagraph"/>
              <w:spacing w:line="214" w:lineRule="exact" w:before="46"/>
              <w:ind w:left="506"/>
              <w:jc w:val="center"/>
              <w:rPr>
                <w:sz w:val="20"/>
              </w:rPr>
            </w:pPr>
            <w:r>
              <w:rPr>
                <w:w w:val="99"/>
                <w:sz w:val="20"/>
              </w:rPr>
              <w:t>-</w:t>
            </w:r>
          </w:p>
        </w:tc>
        <w:tc>
          <w:tcPr>
            <w:tcW w:w="2710" w:type="dxa"/>
          </w:tcPr>
          <w:p>
            <w:pPr>
              <w:pStyle w:val="TableParagraph"/>
              <w:spacing w:line="214" w:lineRule="exact" w:before="46"/>
              <w:ind w:left="335" w:right="362"/>
              <w:jc w:val="center"/>
              <w:rPr>
                <w:sz w:val="20"/>
              </w:rPr>
            </w:pPr>
            <w:r>
              <w:rPr>
                <w:sz w:val="20"/>
              </w:rPr>
              <w:t>Возрастная</w:t>
            </w:r>
            <w:r>
              <w:rPr>
                <w:spacing w:val="-11"/>
                <w:sz w:val="20"/>
              </w:rPr>
              <w:t> </w:t>
            </w:r>
            <w:r>
              <w:rPr>
                <w:spacing w:val="-2"/>
                <w:sz w:val="20"/>
              </w:rPr>
              <w:t>группа:</w:t>
            </w:r>
          </w:p>
        </w:tc>
        <w:tc>
          <w:tcPr>
            <w:tcW w:w="778" w:type="dxa"/>
          </w:tcPr>
          <w:p>
            <w:pPr>
              <w:pStyle w:val="TableParagraph"/>
              <w:spacing w:line="214" w:lineRule="exact" w:before="46"/>
              <w:ind w:right="43"/>
              <w:jc w:val="right"/>
              <w:rPr>
                <w:sz w:val="20"/>
              </w:rPr>
            </w:pPr>
            <w:r>
              <w:rPr>
                <w:spacing w:val="-4"/>
                <w:sz w:val="20"/>
              </w:rPr>
              <w:t>0,49</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z w:val="20"/>
              </w:rPr>
              <w:t>при</w:t>
            </w:r>
            <w:r>
              <w:rPr>
                <w:spacing w:val="-6"/>
                <w:sz w:val="20"/>
              </w:rPr>
              <w:t> </w:t>
            </w:r>
            <w:r>
              <w:rPr>
                <w:spacing w:val="-2"/>
                <w:sz w:val="20"/>
              </w:rPr>
              <w:t>злокачественных</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1"/>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6"/>
              <w:jc w:val="center"/>
              <w:rPr>
                <w:sz w:val="20"/>
              </w:rPr>
            </w:pPr>
            <w:r>
              <w:rPr>
                <w:sz w:val="20"/>
              </w:rPr>
              <w:t>Схемы:</w:t>
            </w:r>
            <w:r>
              <w:rPr>
                <w:spacing w:val="-6"/>
                <w:sz w:val="20"/>
              </w:rPr>
              <w:t> </w:t>
            </w:r>
            <w:r>
              <w:rPr>
                <w:sz w:val="20"/>
              </w:rPr>
              <w:t>sh0019,</w:t>
            </w:r>
            <w:r>
              <w:rPr>
                <w:spacing w:val="-6"/>
                <w:sz w:val="20"/>
              </w:rPr>
              <w:t> </w:t>
            </w:r>
            <w:r>
              <w:rPr>
                <w:spacing w:val="-2"/>
                <w:sz w:val="20"/>
              </w:rPr>
              <w:t>sh0024,</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sh0025,</w:t>
            </w:r>
            <w:r>
              <w:rPr>
                <w:spacing w:val="-6"/>
                <w:sz w:val="20"/>
              </w:rPr>
              <w:t> </w:t>
            </w:r>
            <w:r>
              <w:rPr>
                <w:sz w:val="20"/>
              </w:rPr>
              <w:t>sh0028,</w:t>
            </w:r>
            <w:r>
              <w:rPr>
                <w:spacing w:val="-5"/>
                <w:sz w:val="20"/>
              </w:rPr>
              <w:t> </w:t>
            </w:r>
            <w:r>
              <w:rPr>
                <w:spacing w:val="-2"/>
                <w:sz w:val="20"/>
              </w:rPr>
              <w:t>sh0047,</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w w:val="95"/>
                <w:sz w:val="20"/>
              </w:rPr>
              <w:t>кроветворной</w:t>
            </w:r>
            <w:r>
              <w:rPr>
                <w:spacing w:val="43"/>
                <w:sz w:val="20"/>
              </w:rPr>
              <w:t> </w:t>
            </w:r>
            <w:r>
              <w:rPr>
                <w:spacing w:val="-2"/>
                <w:sz w:val="20"/>
              </w:rPr>
              <w:t>тканей),</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sh0050,</w:t>
            </w:r>
            <w:r>
              <w:rPr>
                <w:spacing w:val="-6"/>
                <w:sz w:val="20"/>
              </w:rPr>
              <w:t> </w:t>
            </w:r>
            <w:r>
              <w:rPr>
                <w:sz w:val="20"/>
              </w:rPr>
              <w:t>sh0051,</w:t>
            </w:r>
            <w:r>
              <w:rPr>
                <w:spacing w:val="-5"/>
                <w:sz w:val="20"/>
              </w:rPr>
              <w:t> </w:t>
            </w:r>
            <w:r>
              <w:rPr>
                <w:spacing w:val="-2"/>
                <w:sz w:val="20"/>
              </w:rPr>
              <w:t>sh0052,</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2"/>
              <w:jc w:val="center"/>
              <w:rPr>
                <w:sz w:val="20"/>
              </w:rPr>
            </w:pPr>
            <w:r>
              <w:rPr>
                <w:sz w:val="20"/>
              </w:rPr>
              <w:t>sh0058,</w:t>
            </w:r>
            <w:r>
              <w:rPr>
                <w:spacing w:val="-6"/>
                <w:sz w:val="20"/>
              </w:rPr>
              <w:t> </w:t>
            </w:r>
            <w:r>
              <w:rPr>
                <w:sz w:val="20"/>
              </w:rPr>
              <w:t>sh0084,</w:t>
            </w:r>
            <w:r>
              <w:rPr>
                <w:spacing w:val="-5"/>
                <w:sz w:val="20"/>
              </w:rPr>
              <w:t> </w:t>
            </w:r>
            <w:r>
              <w:rPr>
                <w:spacing w:val="-2"/>
                <w:sz w:val="20"/>
              </w:rPr>
              <w:t>sh0090,</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3"/>
              <w:jc w:val="center"/>
              <w:rPr>
                <w:sz w:val="20"/>
              </w:rPr>
            </w:pPr>
            <w:r>
              <w:rPr>
                <w:sz w:val="20"/>
              </w:rPr>
              <w:t>sh0113,</w:t>
            </w:r>
            <w:r>
              <w:rPr>
                <w:spacing w:val="-6"/>
                <w:sz w:val="20"/>
              </w:rPr>
              <w:t> </w:t>
            </w:r>
            <w:r>
              <w:rPr>
                <w:spacing w:val="-2"/>
                <w:sz w:val="20"/>
              </w:rPr>
              <w:t>sh0121,</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1"/>
              <w:jc w:val="center"/>
              <w:rPr>
                <w:sz w:val="20"/>
              </w:rPr>
            </w:pPr>
            <w:r>
              <w:rPr>
                <w:sz w:val="20"/>
              </w:rPr>
              <w:t>sh0121.1,</w:t>
            </w:r>
            <w:r>
              <w:rPr>
                <w:spacing w:val="-6"/>
                <w:sz w:val="20"/>
              </w:rPr>
              <w:t> </w:t>
            </w:r>
            <w:r>
              <w:rPr>
                <w:spacing w:val="-2"/>
                <w:sz w:val="20"/>
              </w:rPr>
              <w:t>sh0123,</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1" w:lineRule="exact"/>
              <w:ind w:left="335" w:right="362"/>
              <w:jc w:val="center"/>
              <w:rPr>
                <w:sz w:val="20"/>
              </w:rPr>
            </w:pPr>
            <w:r>
              <w:rPr>
                <w:sz w:val="20"/>
              </w:rPr>
              <w:t>sh0124,</w:t>
            </w:r>
            <w:r>
              <w:rPr>
                <w:spacing w:val="-6"/>
                <w:sz w:val="20"/>
              </w:rPr>
              <w:t> </w:t>
            </w:r>
            <w:r>
              <w:rPr>
                <w:sz w:val="20"/>
              </w:rPr>
              <w:t>sh0128,</w:t>
            </w:r>
            <w:r>
              <w:rPr>
                <w:spacing w:val="-5"/>
                <w:sz w:val="20"/>
              </w:rPr>
              <w:t> </w:t>
            </w:r>
            <w:r>
              <w:rPr>
                <w:spacing w:val="-2"/>
                <w:sz w:val="20"/>
              </w:rPr>
              <w:t>sh0139,</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1" w:lineRule="exact"/>
              <w:ind w:left="335" w:right="362"/>
              <w:jc w:val="center"/>
              <w:rPr>
                <w:sz w:val="20"/>
              </w:rPr>
            </w:pPr>
            <w:r>
              <w:rPr>
                <w:sz w:val="20"/>
              </w:rPr>
              <w:t>sh0144,</w:t>
            </w:r>
            <w:r>
              <w:rPr>
                <w:spacing w:val="-6"/>
                <w:sz w:val="20"/>
              </w:rPr>
              <w:t> </w:t>
            </w:r>
            <w:r>
              <w:rPr>
                <w:sz w:val="20"/>
              </w:rPr>
              <w:t>sh0182,</w:t>
            </w:r>
            <w:r>
              <w:rPr>
                <w:spacing w:val="-5"/>
                <w:sz w:val="20"/>
              </w:rPr>
              <w:t> </w:t>
            </w:r>
            <w:r>
              <w:rPr>
                <w:spacing w:val="-2"/>
                <w:sz w:val="20"/>
              </w:rPr>
              <w:t>sh0191,</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sh0202,</w:t>
            </w:r>
            <w:r>
              <w:rPr>
                <w:spacing w:val="-6"/>
                <w:sz w:val="20"/>
              </w:rPr>
              <w:t> </w:t>
            </w:r>
            <w:r>
              <w:rPr>
                <w:sz w:val="20"/>
              </w:rPr>
              <w:t>sh0224,</w:t>
            </w:r>
            <w:r>
              <w:rPr>
                <w:spacing w:val="-5"/>
                <w:sz w:val="20"/>
              </w:rPr>
              <w:t> </w:t>
            </w:r>
            <w:r>
              <w:rPr>
                <w:spacing w:val="-2"/>
                <w:sz w:val="20"/>
              </w:rPr>
              <w:t>sh0226,</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2"/>
              <w:jc w:val="center"/>
              <w:rPr>
                <w:sz w:val="20"/>
              </w:rPr>
            </w:pPr>
            <w:r>
              <w:rPr>
                <w:sz w:val="20"/>
              </w:rPr>
              <w:t>sh0229,</w:t>
            </w:r>
            <w:r>
              <w:rPr>
                <w:spacing w:val="-6"/>
                <w:sz w:val="20"/>
              </w:rPr>
              <w:t> </w:t>
            </w:r>
            <w:r>
              <w:rPr>
                <w:sz w:val="20"/>
              </w:rPr>
              <w:t>sh0238,</w:t>
            </w:r>
            <w:r>
              <w:rPr>
                <w:spacing w:val="-5"/>
                <w:sz w:val="20"/>
              </w:rPr>
              <w:t> </w:t>
            </w:r>
            <w:r>
              <w:rPr>
                <w:spacing w:val="-2"/>
                <w:sz w:val="20"/>
              </w:rPr>
              <w:t>sh0253,</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59"/>
              <w:jc w:val="center"/>
              <w:rPr>
                <w:sz w:val="20"/>
              </w:rPr>
            </w:pPr>
            <w:r>
              <w:rPr>
                <w:sz w:val="20"/>
              </w:rPr>
              <w:t>sh0272,</w:t>
            </w:r>
            <w:r>
              <w:rPr>
                <w:spacing w:val="-6"/>
                <w:sz w:val="20"/>
              </w:rPr>
              <w:t> </w:t>
            </w:r>
            <w:r>
              <w:rPr>
                <w:sz w:val="20"/>
              </w:rPr>
              <w:t>sh0280,</w:t>
            </w:r>
            <w:r>
              <w:rPr>
                <w:spacing w:val="-5"/>
                <w:sz w:val="20"/>
              </w:rPr>
              <w:t> </w:t>
            </w:r>
            <w:r>
              <w:rPr>
                <w:spacing w:val="-2"/>
                <w:sz w:val="20"/>
              </w:rPr>
              <w:t>sh0330,</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sh0350,</w:t>
            </w:r>
            <w:r>
              <w:rPr>
                <w:spacing w:val="-6"/>
                <w:sz w:val="20"/>
              </w:rPr>
              <w:t> </w:t>
            </w:r>
            <w:r>
              <w:rPr>
                <w:sz w:val="20"/>
              </w:rPr>
              <w:t>sh0389,</w:t>
            </w:r>
            <w:r>
              <w:rPr>
                <w:spacing w:val="-5"/>
                <w:sz w:val="20"/>
              </w:rPr>
              <w:t> </w:t>
            </w:r>
            <w:r>
              <w:rPr>
                <w:spacing w:val="-2"/>
                <w:sz w:val="20"/>
              </w:rPr>
              <w:t>sh0486,</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sh0537,</w:t>
            </w:r>
            <w:r>
              <w:rPr>
                <w:spacing w:val="-6"/>
                <w:sz w:val="20"/>
              </w:rPr>
              <w:t> </w:t>
            </w:r>
            <w:r>
              <w:rPr>
                <w:sz w:val="20"/>
              </w:rPr>
              <w:t>sh0555,</w:t>
            </w:r>
            <w:r>
              <w:rPr>
                <w:spacing w:val="-5"/>
                <w:sz w:val="20"/>
              </w:rPr>
              <w:t> </w:t>
            </w:r>
            <w:r>
              <w:rPr>
                <w:spacing w:val="-2"/>
                <w:sz w:val="20"/>
              </w:rPr>
              <w:t>sh0556,</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sh0582,</w:t>
            </w:r>
            <w:r>
              <w:rPr>
                <w:spacing w:val="-6"/>
                <w:sz w:val="20"/>
              </w:rPr>
              <w:t> </w:t>
            </w:r>
            <w:r>
              <w:rPr>
                <w:sz w:val="20"/>
              </w:rPr>
              <w:t>sh0616,</w:t>
            </w:r>
            <w:r>
              <w:rPr>
                <w:spacing w:val="-5"/>
                <w:sz w:val="20"/>
              </w:rPr>
              <w:t> </w:t>
            </w:r>
            <w:r>
              <w:rPr>
                <w:spacing w:val="-2"/>
                <w:sz w:val="20"/>
              </w:rPr>
              <w:t>sh0632,</w:t>
            </w:r>
          </w:p>
        </w:tc>
        <w:tc>
          <w:tcPr>
            <w:tcW w:w="778"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5" w:lineRule="exact"/>
              <w:ind w:left="335" w:right="362"/>
              <w:jc w:val="center"/>
              <w:rPr>
                <w:sz w:val="20"/>
              </w:rPr>
            </w:pPr>
            <w:r>
              <w:rPr>
                <w:sz w:val="20"/>
              </w:rPr>
              <w:t>sh0634,</w:t>
            </w:r>
            <w:r>
              <w:rPr>
                <w:spacing w:val="-6"/>
                <w:sz w:val="20"/>
              </w:rPr>
              <w:t> </w:t>
            </w:r>
            <w:r>
              <w:rPr>
                <w:sz w:val="20"/>
              </w:rPr>
              <w:t>sh0635,</w:t>
            </w:r>
            <w:r>
              <w:rPr>
                <w:spacing w:val="-5"/>
                <w:sz w:val="20"/>
              </w:rPr>
              <w:t> </w:t>
            </w:r>
            <w:r>
              <w:rPr>
                <w:spacing w:val="-2"/>
                <w:sz w:val="20"/>
              </w:rPr>
              <w:t>sh0636,</w:t>
            </w:r>
          </w:p>
        </w:tc>
        <w:tc>
          <w:tcPr>
            <w:tcW w:w="77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88"/>
        <w:gridCol w:w="3119"/>
        <w:gridCol w:w="864"/>
      </w:tblGrid>
      <w:tr>
        <w:trPr>
          <w:trHeight w:val="74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105" w:type="dxa"/>
          </w:tcPr>
          <w:p>
            <w:pPr>
              <w:pStyle w:val="TableParagraph"/>
              <w:rPr>
                <w:sz w:val="18"/>
              </w:rPr>
            </w:pPr>
          </w:p>
        </w:tc>
        <w:tc>
          <w:tcPr>
            <w:tcW w:w="2488" w:type="dxa"/>
          </w:tcPr>
          <w:p>
            <w:pPr>
              <w:pStyle w:val="TableParagraph"/>
              <w:rPr>
                <w:sz w:val="18"/>
              </w:rPr>
            </w:pPr>
          </w:p>
        </w:tc>
        <w:tc>
          <w:tcPr>
            <w:tcW w:w="3119" w:type="dxa"/>
          </w:tcPr>
          <w:p>
            <w:pPr>
              <w:pStyle w:val="TableParagraph"/>
              <w:ind w:left="840" w:right="289" w:hanging="4"/>
              <w:jc w:val="center"/>
              <w:rPr>
                <w:sz w:val="20"/>
              </w:rPr>
            </w:pPr>
            <w:r>
              <w:rPr>
                <w:sz w:val="20"/>
              </w:rPr>
              <w:t>sh0639,</w:t>
            </w:r>
            <w:r>
              <w:rPr>
                <w:spacing w:val="-13"/>
                <w:sz w:val="20"/>
              </w:rPr>
              <w:t> </w:t>
            </w:r>
            <w:r>
              <w:rPr>
                <w:sz w:val="20"/>
              </w:rPr>
              <w:t>sh0640,</w:t>
            </w:r>
            <w:r>
              <w:rPr>
                <w:spacing w:val="-12"/>
                <w:sz w:val="20"/>
              </w:rPr>
              <w:t> </w:t>
            </w:r>
            <w:r>
              <w:rPr>
                <w:sz w:val="20"/>
              </w:rPr>
              <w:t>sh0641, sh0673,</w:t>
            </w:r>
            <w:r>
              <w:rPr>
                <w:spacing w:val="-13"/>
                <w:sz w:val="20"/>
              </w:rPr>
              <w:t> </w:t>
            </w:r>
            <w:r>
              <w:rPr>
                <w:sz w:val="20"/>
              </w:rPr>
              <w:t>sh0677,</w:t>
            </w:r>
            <w:r>
              <w:rPr>
                <w:spacing w:val="-12"/>
                <w:sz w:val="20"/>
              </w:rPr>
              <w:t> </w:t>
            </w:r>
            <w:r>
              <w:rPr>
                <w:sz w:val="20"/>
              </w:rPr>
              <w:t>sh0690, sh0695,</w:t>
            </w:r>
            <w:r>
              <w:rPr>
                <w:spacing w:val="-13"/>
                <w:sz w:val="20"/>
              </w:rPr>
              <w:t> </w:t>
            </w:r>
            <w:r>
              <w:rPr>
                <w:sz w:val="20"/>
              </w:rPr>
              <w:t>sh0698,</w:t>
            </w:r>
            <w:r>
              <w:rPr>
                <w:spacing w:val="-12"/>
                <w:sz w:val="20"/>
              </w:rPr>
              <w:t> </w:t>
            </w:r>
            <w:r>
              <w:rPr>
                <w:sz w:val="20"/>
              </w:rPr>
              <w:t>sh0699, sh0700, sh0702, sh0702.1, sh0704, sh0707,</w:t>
            </w:r>
            <w:r>
              <w:rPr>
                <w:spacing w:val="-13"/>
                <w:sz w:val="20"/>
              </w:rPr>
              <w:t> </w:t>
            </w:r>
            <w:r>
              <w:rPr>
                <w:sz w:val="20"/>
              </w:rPr>
              <w:t>sh0711,</w:t>
            </w:r>
            <w:r>
              <w:rPr>
                <w:spacing w:val="-12"/>
                <w:sz w:val="20"/>
              </w:rPr>
              <w:t> </w:t>
            </w:r>
            <w:r>
              <w:rPr>
                <w:sz w:val="20"/>
              </w:rPr>
              <w:t>sh0712, sh0716,</w:t>
            </w:r>
            <w:r>
              <w:rPr>
                <w:spacing w:val="-13"/>
                <w:sz w:val="20"/>
              </w:rPr>
              <w:t> </w:t>
            </w:r>
            <w:r>
              <w:rPr>
                <w:sz w:val="20"/>
              </w:rPr>
              <w:t>sh0717,</w:t>
            </w:r>
            <w:r>
              <w:rPr>
                <w:spacing w:val="-12"/>
                <w:sz w:val="20"/>
              </w:rPr>
              <w:t> </w:t>
            </w:r>
            <w:r>
              <w:rPr>
                <w:sz w:val="20"/>
              </w:rPr>
              <w:t>sh0764, sh0765, sh0770, sh0770.1, sh0773, sh0774,</w:t>
            </w:r>
            <w:r>
              <w:rPr>
                <w:spacing w:val="-13"/>
                <w:sz w:val="20"/>
              </w:rPr>
              <w:t> </w:t>
            </w:r>
            <w:r>
              <w:rPr>
                <w:sz w:val="20"/>
              </w:rPr>
              <w:t>sh0775,</w:t>
            </w:r>
            <w:r>
              <w:rPr>
                <w:spacing w:val="-12"/>
                <w:sz w:val="20"/>
              </w:rPr>
              <w:t> </w:t>
            </w:r>
            <w:r>
              <w:rPr>
                <w:sz w:val="20"/>
              </w:rPr>
              <w:t>sh0776, sh0777,</w:t>
            </w:r>
            <w:r>
              <w:rPr>
                <w:spacing w:val="-13"/>
                <w:sz w:val="20"/>
              </w:rPr>
              <w:t> </w:t>
            </w:r>
            <w:r>
              <w:rPr>
                <w:sz w:val="20"/>
              </w:rPr>
              <w:t>sh0778,</w:t>
            </w:r>
            <w:r>
              <w:rPr>
                <w:spacing w:val="-12"/>
                <w:sz w:val="20"/>
              </w:rPr>
              <w:t> </w:t>
            </w:r>
            <w:r>
              <w:rPr>
                <w:sz w:val="20"/>
              </w:rPr>
              <w:t>sh0790, sh0794, sh0795, sh0795.1, sh0797, sh0800,</w:t>
            </w:r>
            <w:r>
              <w:rPr>
                <w:spacing w:val="-13"/>
                <w:sz w:val="20"/>
              </w:rPr>
              <w:t> </w:t>
            </w:r>
            <w:r>
              <w:rPr>
                <w:sz w:val="20"/>
              </w:rPr>
              <w:t>sh0803,</w:t>
            </w:r>
            <w:r>
              <w:rPr>
                <w:spacing w:val="-12"/>
                <w:sz w:val="20"/>
              </w:rPr>
              <w:t> </w:t>
            </w:r>
            <w:r>
              <w:rPr>
                <w:sz w:val="20"/>
              </w:rPr>
              <w:t>sh0805, sh0807,</w:t>
            </w:r>
            <w:r>
              <w:rPr>
                <w:spacing w:val="-13"/>
                <w:sz w:val="20"/>
              </w:rPr>
              <w:t> </w:t>
            </w:r>
            <w:r>
              <w:rPr>
                <w:sz w:val="20"/>
              </w:rPr>
              <w:t>sh0810,</w:t>
            </w:r>
            <w:r>
              <w:rPr>
                <w:spacing w:val="-12"/>
                <w:sz w:val="20"/>
              </w:rPr>
              <w:t> </w:t>
            </w:r>
            <w:r>
              <w:rPr>
                <w:sz w:val="20"/>
              </w:rPr>
              <w:t>sh0811, sh0814,</w:t>
            </w:r>
            <w:r>
              <w:rPr>
                <w:spacing w:val="-13"/>
                <w:sz w:val="20"/>
              </w:rPr>
              <w:t> </w:t>
            </w:r>
            <w:r>
              <w:rPr>
                <w:sz w:val="20"/>
              </w:rPr>
              <w:t>sh0867,</w:t>
            </w:r>
            <w:r>
              <w:rPr>
                <w:spacing w:val="-12"/>
                <w:sz w:val="20"/>
              </w:rPr>
              <w:t> </w:t>
            </w:r>
            <w:r>
              <w:rPr>
                <w:sz w:val="20"/>
              </w:rPr>
              <w:t>sh0870, sh0871,</w:t>
            </w:r>
            <w:r>
              <w:rPr>
                <w:spacing w:val="-13"/>
                <w:sz w:val="20"/>
              </w:rPr>
              <w:t> </w:t>
            </w:r>
            <w:r>
              <w:rPr>
                <w:sz w:val="20"/>
              </w:rPr>
              <w:t>sh0873,</w:t>
            </w:r>
            <w:r>
              <w:rPr>
                <w:spacing w:val="-12"/>
                <w:sz w:val="20"/>
              </w:rPr>
              <w:t> </w:t>
            </w:r>
            <w:r>
              <w:rPr>
                <w:sz w:val="20"/>
              </w:rPr>
              <w:t>sh0875, sh0878,</w:t>
            </w:r>
            <w:r>
              <w:rPr>
                <w:spacing w:val="-13"/>
                <w:sz w:val="20"/>
              </w:rPr>
              <w:t> </w:t>
            </w:r>
            <w:r>
              <w:rPr>
                <w:sz w:val="20"/>
              </w:rPr>
              <w:t>sh0880,</w:t>
            </w:r>
            <w:r>
              <w:rPr>
                <w:spacing w:val="-12"/>
                <w:sz w:val="20"/>
              </w:rPr>
              <w:t> </w:t>
            </w:r>
            <w:r>
              <w:rPr>
                <w:sz w:val="20"/>
              </w:rPr>
              <w:t>sh0881, sh0892,</w:t>
            </w:r>
            <w:r>
              <w:rPr>
                <w:spacing w:val="-13"/>
                <w:sz w:val="20"/>
              </w:rPr>
              <w:t> </w:t>
            </w:r>
            <w:r>
              <w:rPr>
                <w:sz w:val="20"/>
              </w:rPr>
              <w:t>sh0909,</w:t>
            </w:r>
            <w:r>
              <w:rPr>
                <w:spacing w:val="-12"/>
                <w:sz w:val="20"/>
              </w:rPr>
              <w:t> </w:t>
            </w:r>
            <w:r>
              <w:rPr>
                <w:sz w:val="20"/>
              </w:rPr>
              <w:t>sh0915, sh0923,</w:t>
            </w:r>
            <w:r>
              <w:rPr>
                <w:spacing w:val="-13"/>
                <w:sz w:val="20"/>
              </w:rPr>
              <w:t> </w:t>
            </w:r>
            <w:r>
              <w:rPr>
                <w:sz w:val="20"/>
              </w:rPr>
              <w:t>sh0927,</w:t>
            </w:r>
            <w:r>
              <w:rPr>
                <w:spacing w:val="-12"/>
                <w:sz w:val="20"/>
              </w:rPr>
              <w:t> </w:t>
            </w:r>
            <w:r>
              <w:rPr>
                <w:sz w:val="20"/>
              </w:rPr>
              <w:t>sh0929, sh0929.1, sh0933, sh0950,</w:t>
            </w:r>
            <w:r>
              <w:rPr>
                <w:spacing w:val="-13"/>
                <w:sz w:val="20"/>
              </w:rPr>
              <w:t> </w:t>
            </w:r>
            <w:r>
              <w:rPr>
                <w:sz w:val="20"/>
              </w:rPr>
              <w:t>sh0951,</w:t>
            </w:r>
            <w:r>
              <w:rPr>
                <w:spacing w:val="-12"/>
                <w:sz w:val="20"/>
              </w:rPr>
              <w:t> </w:t>
            </w:r>
            <w:r>
              <w:rPr>
                <w:sz w:val="20"/>
              </w:rPr>
              <w:t>sh0966, sh0971,</w:t>
            </w:r>
            <w:r>
              <w:rPr>
                <w:spacing w:val="-13"/>
                <w:sz w:val="20"/>
              </w:rPr>
              <w:t> </w:t>
            </w:r>
            <w:r>
              <w:rPr>
                <w:sz w:val="20"/>
              </w:rPr>
              <w:t>sh0972,</w:t>
            </w:r>
            <w:r>
              <w:rPr>
                <w:spacing w:val="-12"/>
                <w:sz w:val="20"/>
              </w:rPr>
              <w:t> </w:t>
            </w:r>
            <w:r>
              <w:rPr>
                <w:sz w:val="20"/>
              </w:rPr>
              <w:t>sh0974, sh0975,</w:t>
            </w:r>
            <w:r>
              <w:rPr>
                <w:spacing w:val="-13"/>
                <w:sz w:val="20"/>
              </w:rPr>
              <w:t> </w:t>
            </w:r>
            <w:r>
              <w:rPr>
                <w:sz w:val="20"/>
              </w:rPr>
              <w:t>sh0977,</w:t>
            </w:r>
            <w:r>
              <w:rPr>
                <w:spacing w:val="-12"/>
                <w:sz w:val="20"/>
              </w:rPr>
              <w:t> </w:t>
            </w:r>
            <w:r>
              <w:rPr>
                <w:sz w:val="20"/>
              </w:rPr>
              <w:t>sh0978, sh1002,</w:t>
            </w:r>
            <w:r>
              <w:rPr>
                <w:spacing w:val="-13"/>
                <w:sz w:val="20"/>
              </w:rPr>
              <w:t> </w:t>
            </w:r>
            <w:r>
              <w:rPr>
                <w:sz w:val="20"/>
              </w:rPr>
              <w:t>sh1031,</w:t>
            </w:r>
            <w:r>
              <w:rPr>
                <w:spacing w:val="-12"/>
                <w:sz w:val="20"/>
              </w:rPr>
              <w:t> </w:t>
            </w:r>
            <w:r>
              <w:rPr>
                <w:sz w:val="20"/>
              </w:rPr>
              <w:t>sh1035, sh1036,</w:t>
            </w:r>
            <w:r>
              <w:rPr>
                <w:spacing w:val="-13"/>
                <w:sz w:val="20"/>
              </w:rPr>
              <w:t> </w:t>
            </w:r>
            <w:r>
              <w:rPr>
                <w:sz w:val="20"/>
              </w:rPr>
              <w:t>sh1056,</w:t>
            </w:r>
            <w:r>
              <w:rPr>
                <w:spacing w:val="-12"/>
                <w:sz w:val="20"/>
              </w:rPr>
              <w:t> </w:t>
            </w:r>
            <w:r>
              <w:rPr>
                <w:sz w:val="20"/>
              </w:rPr>
              <w:t>sh1067, sh1068,</w:t>
            </w:r>
            <w:r>
              <w:rPr>
                <w:spacing w:val="-13"/>
                <w:sz w:val="20"/>
              </w:rPr>
              <w:t> </w:t>
            </w:r>
            <w:r>
              <w:rPr>
                <w:sz w:val="20"/>
              </w:rPr>
              <w:t>sh1074,</w:t>
            </w:r>
            <w:r>
              <w:rPr>
                <w:spacing w:val="-12"/>
                <w:sz w:val="20"/>
              </w:rPr>
              <w:t> </w:t>
            </w:r>
            <w:r>
              <w:rPr>
                <w:sz w:val="20"/>
              </w:rPr>
              <w:t>sh1088, sh1104,</w:t>
            </w:r>
            <w:r>
              <w:rPr>
                <w:spacing w:val="-13"/>
                <w:sz w:val="20"/>
              </w:rPr>
              <w:t> </w:t>
            </w:r>
            <w:r>
              <w:rPr>
                <w:sz w:val="20"/>
              </w:rPr>
              <w:t>sh1108,</w:t>
            </w:r>
            <w:r>
              <w:rPr>
                <w:spacing w:val="-12"/>
                <w:sz w:val="20"/>
              </w:rPr>
              <w:t> </w:t>
            </w:r>
            <w:r>
              <w:rPr>
                <w:sz w:val="20"/>
              </w:rPr>
              <w:t>sh1109, sh1110,</w:t>
            </w:r>
            <w:r>
              <w:rPr>
                <w:spacing w:val="-13"/>
                <w:sz w:val="20"/>
              </w:rPr>
              <w:t> </w:t>
            </w:r>
            <w:r>
              <w:rPr>
                <w:sz w:val="20"/>
              </w:rPr>
              <w:t>sh1116,</w:t>
            </w:r>
            <w:r>
              <w:rPr>
                <w:spacing w:val="-12"/>
                <w:sz w:val="20"/>
              </w:rPr>
              <w:t> </w:t>
            </w:r>
            <w:r>
              <w:rPr>
                <w:sz w:val="20"/>
              </w:rPr>
              <w:t>sh1117, sh1118,</w:t>
            </w:r>
            <w:r>
              <w:rPr>
                <w:spacing w:val="-13"/>
                <w:sz w:val="20"/>
              </w:rPr>
              <w:t> </w:t>
            </w:r>
            <w:r>
              <w:rPr>
                <w:sz w:val="20"/>
              </w:rPr>
              <w:t>sh1119,</w:t>
            </w:r>
            <w:r>
              <w:rPr>
                <w:spacing w:val="-12"/>
                <w:sz w:val="20"/>
              </w:rPr>
              <w:t> </w:t>
            </w:r>
            <w:r>
              <w:rPr>
                <w:sz w:val="20"/>
              </w:rPr>
              <w:t>sh1122, sh1124,</w:t>
            </w:r>
            <w:r>
              <w:rPr>
                <w:spacing w:val="-6"/>
                <w:sz w:val="20"/>
              </w:rPr>
              <w:t> </w:t>
            </w:r>
            <w:r>
              <w:rPr>
                <w:sz w:val="20"/>
              </w:rPr>
              <w:t>sh1125,</w:t>
            </w:r>
            <w:r>
              <w:rPr>
                <w:spacing w:val="-5"/>
                <w:sz w:val="20"/>
              </w:rPr>
              <w:t> </w:t>
            </w:r>
            <w:r>
              <w:rPr>
                <w:spacing w:val="-2"/>
                <w:sz w:val="20"/>
              </w:rPr>
              <w:t>sh1133,</w:t>
            </w:r>
          </w:p>
          <w:p>
            <w:pPr>
              <w:pStyle w:val="TableParagraph"/>
              <w:ind w:left="994" w:right="448"/>
              <w:jc w:val="center"/>
              <w:rPr>
                <w:sz w:val="20"/>
              </w:rPr>
            </w:pPr>
            <w:r>
              <w:rPr>
                <w:spacing w:val="-2"/>
                <w:sz w:val="20"/>
              </w:rPr>
              <w:t>sh9003</w:t>
            </w:r>
          </w:p>
        </w:tc>
        <w:tc>
          <w:tcPr>
            <w:tcW w:w="864" w:type="dxa"/>
          </w:tcPr>
          <w:p>
            <w:pPr>
              <w:pStyle w:val="TableParagraph"/>
              <w:rPr>
                <w:sz w:val="18"/>
              </w:rPr>
            </w:pPr>
          </w:p>
        </w:tc>
      </w:tr>
      <w:tr>
        <w:trPr>
          <w:trHeight w:val="964" w:hRule="atLeast"/>
        </w:trPr>
        <w:tc>
          <w:tcPr>
            <w:tcW w:w="1003" w:type="dxa"/>
          </w:tcPr>
          <w:p>
            <w:pPr>
              <w:pStyle w:val="TableParagraph"/>
              <w:spacing w:before="46"/>
              <w:ind w:left="50"/>
              <w:rPr>
                <w:sz w:val="20"/>
              </w:rPr>
            </w:pPr>
            <w:r>
              <w:rPr>
                <w:spacing w:val="-2"/>
                <w:sz w:val="20"/>
              </w:rPr>
              <w:t>ds19.081</w:t>
            </w:r>
          </w:p>
        </w:tc>
        <w:tc>
          <w:tcPr>
            <w:tcW w:w="645" w:type="dxa"/>
          </w:tcPr>
          <w:p>
            <w:pPr>
              <w:pStyle w:val="TableParagraph"/>
              <w:spacing w:before="46"/>
              <w:ind w:left="211" w:right="203"/>
              <w:jc w:val="center"/>
              <w:rPr>
                <w:sz w:val="20"/>
              </w:rPr>
            </w:pPr>
            <w:r>
              <w:rPr>
                <w:spacing w:val="-5"/>
                <w:sz w:val="20"/>
              </w:rPr>
              <w:t>58</w:t>
            </w:r>
          </w:p>
        </w:tc>
        <w:tc>
          <w:tcPr>
            <w:tcW w:w="3069" w:type="dxa"/>
          </w:tcPr>
          <w:p>
            <w:pPr>
              <w:pStyle w:val="TableParagraph"/>
              <w:spacing w:before="46"/>
              <w:ind w:left="219" w:right="653"/>
              <w:rPr>
                <w:sz w:val="20"/>
              </w:rPr>
            </w:pPr>
            <w:r>
              <w:rPr>
                <w:sz w:val="20"/>
              </w:rPr>
              <w:t>Лекарственная терапия при злокачественных</w:t>
            </w:r>
          </w:p>
          <w:p>
            <w:pPr>
              <w:pStyle w:val="TableParagraph"/>
              <w:spacing w:line="228" w:lineRule="exact"/>
              <w:ind w:left="219" w:right="653"/>
              <w:rPr>
                <w:sz w:val="20"/>
              </w:rPr>
            </w:pPr>
            <w:r>
              <w:rPr>
                <w:sz w:val="20"/>
              </w:rPr>
              <w:t>новообразованиях</w:t>
            </w:r>
            <w:r>
              <w:rPr>
                <w:spacing w:val="-13"/>
                <w:sz w:val="20"/>
              </w:rPr>
              <w:t> </w:t>
            </w:r>
            <w:r>
              <w:rPr>
                <w:sz w:val="20"/>
              </w:rPr>
              <w:t>(кроме лимфоидной и</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88" w:type="dxa"/>
          </w:tcPr>
          <w:p>
            <w:pPr>
              <w:pStyle w:val="TableParagraph"/>
              <w:spacing w:before="46"/>
              <w:ind w:left="417"/>
              <w:jc w:val="center"/>
              <w:rPr>
                <w:sz w:val="20"/>
              </w:rPr>
            </w:pPr>
            <w:r>
              <w:rPr>
                <w:w w:val="99"/>
                <w:sz w:val="20"/>
              </w:rPr>
              <w:t>-</w:t>
            </w:r>
          </w:p>
        </w:tc>
        <w:tc>
          <w:tcPr>
            <w:tcW w:w="3119" w:type="dxa"/>
          </w:tcPr>
          <w:p>
            <w:pPr>
              <w:pStyle w:val="TableParagraph"/>
              <w:spacing w:before="46"/>
              <w:ind w:left="994" w:right="446"/>
              <w:jc w:val="center"/>
              <w:rPr>
                <w:sz w:val="20"/>
              </w:rPr>
            </w:pPr>
            <w:r>
              <w:rPr>
                <w:sz w:val="20"/>
              </w:rPr>
              <w:t>Возрастная</w:t>
            </w:r>
            <w:r>
              <w:rPr>
                <w:spacing w:val="-13"/>
                <w:sz w:val="20"/>
              </w:rPr>
              <w:t> </w:t>
            </w:r>
            <w:r>
              <w:rPr>
                <w:sz w:val="20"/>
              </w:rPr>
              <w:t>группа: старше 18 лет</w:t>
            </w:r>
          </w:p>
          <w:p>
            <w:pPr>
              <w:pStyle w:val="TableParagraph"/>
              <w:spacing w:line="228" w:lineRule="exact"/>
              <w:ind w:left="1027" w:right="482" w:firstLine="2"/>
              <w:jc w:val="center"/>
              <w:rPr>
                <w:sz w:val="20"/>
              </w:rPr>
            </w:pPr>
            <w:r>
              <w:rPr>
                <w:sz w:val="20"/>
              </w:rPr>
              <w:t>Схемы: sh0018, sh0024.1,</w:t>
            </w:r>
            <w:r>
              <w:rPr>
                <w:spacing w:val="-13"/>
                <w:sz w:val="20"/>
              </w:rPr>
              <w:t> </w:t>
            </w:r>
            <w:r>
              <w:rPr>
                <w:sz w:val="20"/>
              </w:rPr>
              <w:t>sh0028.1,</w:t>
            </w:r>
          </w:p>
        </w:tc>
        <w:tc>
          <w:tcPr>
            <w:tcW w:w="864" w:type="dxa"/>
          </w:tcPr>
          <w:p>
            <w:pPr>
              <w:pStyle w:val="TableParagraph"/>
              <w:spacing w:before="46"/>
              <w:ind w:left="465"/>
              <w:rPr>
                <w:sz w:val="20"/>
              </w:rPr>
            </w:pPr>
            <w:r>
              <w:rPr>
                <w:spacing w:val="-4"/>
                <w:sz w:val="20"/>
              </w:rPr>
              <w:t>1,41</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5"/>
        <w:gridCol w:w="3286"/>
        <w:gridCol w:w="78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069" w:type="dxa"/>
          </w:tcPr>
          <w:p>
            <w:pPr>
              <w:pStyle w:val="TableParagraph"/>
              <w:spacing w:line="205" w:lineRule="exact"/>
              <w:ind w:left="219"/>
              <w:rPr>
                <w:sz w:val="20"/>
              </w:rPr>
            </w:pPr>
            <w:r>
              <w:rPr>
                <w:w w:val="95"/>
                <w:sz w:val="20"/>
              </w:rPr>
              <w:t>кроветворной</w:t>
            </w:r>
            <w:r>
              <w:rPr>
                <w:spacing w:val="43"/>
                <w:sz w:val="20"/>
              </w:rPr>
              <w:t> </w:t>
            </w:r>
            <w:r>
              <w:rPr>
                <w:spacing w:val="-2"/>
                <w:sz w:val="20"/>
              </w:rPr>
              <w:t>тканей),</w:t>
            </w:r>
          </w:p>
        </w:tc>
        <w:tc>
          <w:tcPr>
            <w:tcW w:w="4105" w:type="dxa"/>
            <w:vMerge w:val="restart"/>
          </w:tcPr>
          <w:p>
            <w:pPr>
              <w:pStyle w:val="TableParagraph"/>
              <w:rPr>
                <w:sz w:val="18"/>
              </w:rPr>
            </w:pPr>
          </w:p>
        </w:tc>
        <w:tc>
          <w:tcPr>
            <w:tcW w:w="2405" w:type="dxa"/>
            <w:vMerge w:val="restart"/>
          </w:tcPr>
          <w:p>
            <w:pPr>
              <w:pStyle w:val="TableParagraph"/>
              <w:rPr>
                <w:sz w:val="18"/>
              </w:rPr>
            </w:pPr>
          </w:p>
        </w:tc>
        <w:tc>
          <w:tcPr>
            <w:tcW w:w="3286" w:type="dxa"/>
          </w:tcPr>
          <w:p>
            <w:pPr>
              <w:pStyle w:val="TableParagraph"/>
              <w:spacing w:line="205" w:lineRule="exact"/>
              <w:ind w:left="911" w:right="367"/>
              <w:jc w:val="center"/>
              <w:rPr>
                <w:sz w:val="20"/>
              </w:rPr>
            </w:pPr>
            <w:r>
              <w:rPr>
                <w:sz w:val="20"/>
              </w:rPr>
              <w:t>sh0042,</w:t>
            </w:r>
            <w:r>
              <w:rPr>
                <w:spacing w:val="-6"/>
                <w:sz w:val="20"/>
              </w:rPr>
              <w:t> </w:t>
            </w:r>
            <w:r>
              <w:rPr>
                <w:sz w:val="20"/>
              </w:rPr>
              <w:t>sh0061,</w:t>
            </w:r>
            <w:r>
              <w:rPr>
                <w:spacing w:val="-5"/>
                <w:sz w:val="20"/>
              </w:rPr>
              <w:t> </w:t>
            </w:r>
            <w:r>
              <w:rPr>
                <w:spacing w:val="-2"/>
                <w:sz w:val="20"/>
              </w:rPr>
              <w:t>sh0062,</w:t>
            </w:r>
          </w:p>
        </w:tc>
        <w:tc>
          <w:tcPr>
            <w:tcW w:w="78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sh0063,</w:t>
            </w:r>
            <w:r>
              <w:rPr>
                <w:spacing w:val="-6"/>
                <w:sz w:val="20"/>
              </w:rPr>
              <w:t> </w:t>
            </w:r>
            <w:r>
              <w:rPr>
                <w:sz w:val="20"/>
              </w:rPr>
              <w:t>sh0068,</w:t>
            </w:r>
            <w:r>
              <w:rPr>
                <w:spacing w:val="-5"/>
                <w:sz w:val="20"/>
              </w:rPr>
              <w:t> </w:t>
            </w:r>
            <w:r>
              <w:rPr>
                <w:spacing w:val="-2"/>
                <w:sz w:val="20"/>
              </w:rPr>
              <w:t>sh0071,</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8"/>
              <w:jc w:val="center"/>
              <w:rPr>
                <w:sz w:val="20"/>
              </w:rPr>
            </w:pPr>
            <w:r>
              <w:rPr>
                <w:sz w:val="20"/>
              </w:rPr>
              <w:t>sh0072,</w:t>
            </w:r>
            <w:r>
              <w:rPr>
                <w:spacing w:val="-6"/>
                <w:sz w:val="20"/>
              </w:rPr>
              <w:t> </w:t>
            </w:r>
            <w:r>
              <w:rPr>
                <w:spacing w:val="-2"/>
                <w:sz w:val="20"/>
              </w:rPr>
              <w:t>sh0083,</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sh0090.1,</w:t>
            </w:r>
            <w:r>
              <w:rPr>
                <w:spacing w:val="-6"/>
                <w:sz w:val="20"/>
              </w:rPr>
              <w:t> </w:t>
            </w:r>
            <w:r>
              <w:rPr>
                <w:spacing w:val="-2"/>
                <w:sz w:val="20"/>
              </w:rPr>
              <w:t>sh0130,</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sh0140,</w:t>
            </w:r>
            <w:r>
              <w:rPr>
                <w:spacing w:val="-6"/>
                <w:sz w:val="20"/>
              </w:rPr>
              <w:t> </w:t>
            </w:r>
            <w:r>
              <w:rPr>
                <w:sz w:val="20"/>
              </w:rPr>
              <w:t>sh0153,</w:t>
            </w:r>
            <w:r>
              <w:rPr>
                <w:spacing w:val="-5"/>
                <w:sz w:val="20"/>
              </w:rPr>
              <w:t> </w:t>
            </w:r>
            <w:r>
              <w:rPr>
                <w:spacing w:val="-2"/>
                <w:sz w:val="20"/>
              </w:rPr>
              <w:t>sh0222,</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sh0264,</w:t>
            </w:r>
            <w:r>
              <w:rPr>
                <w:spacing w:val="-6"/>
                <w:sz w:val="20"/>
              </w:rPr>
              <w:t> </w:t>
            </w:r>
            <w:r>
              <w:rPr>
                <w:sz w:val="20"/>
              </w:rPr>
              <w:t>sh0336,</w:t>
            </w:r>
            <w:r>
              <w:rPr>
                <w:spacing w:val="-5"/>
                <w:sz w:val="20"/>
              </w:rPr>
              <w:t> </w:t>
            </w:r>
            <w:r>
              <w:rPr>
                <w:spacing w:val="-2"/>
                <w:sz w:val="20"/>
              </w:rPr>
              <w:t>sh0338,</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1" w:lineRule="exact"/>
              <w:ind w:left="911" w:right="367"/>
              <w:jc w:val="center"/>
              <w:rPr>
                <w:sz w:val="20"/>
              </w:rPr>
            </w:pPr>
            <w:r>
              <w:rPr>
                <w:sz w:val="20"/>
              </w:rPr>
              <w:t>sh0348,</w:t>
            </w:r>
            <w:r>
              <w:rPr>
                <w:spacing w:val="-6"/>
                <w:sz w:val="20"/>
              </w:rPr>
              <w:t> </w:t>
            </w:r>
            <w:r>
              <w:rPr>
                <w:sz w:val="20"/>
              </w:rPr>
              <w:t>sh0385,</w:t>
            </w:r>
            <w:r>
              <w:rPr>
                <w:spacing w:val="-5"/>
                <w:sz w:val="20"/>
              </w:rPr>
              <w:t> </w:t>
            </w:r>
            <w:r>
              <w:rPr>
                <w:spacing w:val="-2"/>
                <w:sz w:val="20"/>
              </w:rPr>
              <w:t>sh0564,</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8"/>
              <w:jc w:val="center"/>
              <w:rPr>
                <w:sz w:val="20"/>
              </w:rPr>
            </w:pPr>
            <w:r>
              <w:rPr>
                <w:sz w:val="20"/>
              </w:rPr>
              <w:t>sh0565,</w:t>
            </w:r>
            <w:r>
              <w:rPr>
                <w:spacing w:val="-6"/>
                <w:sz w:val="20"/>
              </w:rPr>
              <w:t> </w:t>
            </w:r>
            <w:r>
              <w:rPr>
                <w:spacing w:val="-2"/>
                <w:sz w:val="20"/>
              </w:rPr>
              <w:t>sh0605,</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08" w:right="368"/>
              <w:jc w:val="center"/>
              <w:rPr>
                <w:sz w:val="20"/>
              </w:rPr>
            </w:pPr>
            <w:r>
              <w:rPr>
                <w:sz w:val="20"/>
              </w:rPr>
              <w:t>sh0632.1,</w:t>
            </w:r>
            <w:r>
              <w:rPr>
                <w:spacing w:val="-6"/>
                <w:sz w:val="20"/>
              </w:rPr>
              <w:t> </w:t>
            </w:r>
            <w:r>
              <w:rPr>
                <w:spacing w:val="-2"/>
                <w:sz w:val="20"/>
              </w:rPr>
              <w:t>sh0634.1,</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sh0636.1,</w:t>
            </w:r>
            <w:r>
              <w:rPr>
                <w:spacing w:val="-6"/>
                <w:sz w:val="20"/>
              </w:rPr>
              <w:t> </w:t>
            </w:r>
            <w:r>
              <w:rPr>
                <w:spacing w:val="-2"/>
                <w:sz w:val="20"/>
              </w:rPr>
              <w:t>sh0644,</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sh0646,</w:t>
            </w:r>
            <w:r>
              <w:rPr>
                <w:spacing w:val="-6"/>
                <w:sz w:val="20"/>
              </w:rPr>
              <w:t> </w:t>
            </w:r>
            <w:r>
              <w:rPr>
                <w:sz w:val="20"/>
              </w:rPr>
              <w:t>sh0663,</w:t>
            </w:r>
            <w:r>
              <w:rPr>
                <w:spacing w:val="-5"/>
                <w:sz w:val="20"/>
              </w:rPr>
              <w:t> </w:t>
            </w:r>
            <w:r>
              <w:rPr>
                <w:spacing w:val="-2"/>
                <w:sz w:val="20"/>
              </w:rPr>
              <w:t>sh0671,</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5"/>
              <w:jc w:val="center"/>
              <w:rPr>
                <w:sz w:val="20"/>
              </w:rPr>
            </w:pPr>
            <w:r>
              <w:rPr>
                <w:sz w:val="20"/>
              </w:rPr>
              <w:t>sh0689,</w:t>
            </w:r>
            <w:r>
              <w:rPr>
                <w:spacing w:val="-6"/>
                <w:sz w:val="20"/>
              </w:rPr>
              <w:t> </w:t>
            </w:r>
            <w:r>
              <w:rPr>
                <w:spacing w:val="-2"/>
                <w:sz w:val="20"/>
              </w:rPr>
              <w:t>sh0704.1,</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sh0705,</w:t>
            </w:r>
            <w:r>
              <w:rPr>
                <w:spacing w:val="-6"/>
                <w:sz w:val="20"/>
              </w:rPr>
              <w:t> </w:t>
            </w:r>
            <w:r>
              <w:rPr>
                <w:sz w:val="20"/>
              </w:rPr>
              <w:t>sh0719,</w:t>
            </w:r>
            <w:r>
              <w:rPr>
                <w:spacing w:val="-5"/>
                <w:sz w:val="20"/>
              </w:rPr>
              <w:t> </w:t>
            </w:r>
            <w:r>
              <w:rPr>
                <w:spacing w:val="-2"/>
                <w:sz w:val="20"/>
              </w:rPr>
              <w:t>sh0720,</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sh0736,</w:t>
            </w:r>
            <w:r>
              <w:rPr>
                <w:spacing w:val="-6"/>
                <w:sz w:val="20"/>
              </w:rPr>
              <w:t> </w:t>
            </w:r>
            <w:r>
              <w:rPr>
                <w:sz w:val="20"/>
              </w:rPr>
              <w:t>sh0767,</w:t>
            </w:r>
            <w:r>
              <w:rPr>
                <w:spacing w:val="-5"/>
                <w:sz w:val="20"/>
              </w:rPr>
              <w:t> </w:t>
            </w:r>
            <w:r>
              <w:rPr>
                <w:spacing w:val="-2"/>
                <w:sz w:val="20"/>
              </w:rPr>
              <w:t>sh0768,</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sh0779,</w:t>
            </w:r>
            <w:r>
              <w:rPr>
                <w:spacing w:val="-6"/>
                <w:sz w:val="20"/>
              </w:rPr>
              <w:t> </w:t>
            </w:r>
            <w:r>
              <w:rPr>
                <w:sz w:val="20"/>
              </w:rPr>
              <w:t>sh0780,</w:t>
            </w:r>
            <w:r>
              <w:rPr>
                <w:spacing w:val="-5"/>
                <w:sz w:val="20"/>
              </w:rPr>
              <w:t> </w:t>
            </w:r>
            <w:r>
              <w:rPr>
                <w:spacing w:val="-2"/>
                <w:sz w:val="20"/>
              </w:rPr>
              <w:t>sh0786,</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sh0787,</w:t>
            </w:r>
            <w:r>
              <w:rPr>
                <w:spacing w:val="-6"/>
                <w:sz w:val="20"/>
              </w:rPr>
              <w:t> </w:t>
            </w:r>
            <w:r>
              <w:rPr>
                <w:sz w:val="20"/>
              </w:rPr>
              <w:t>sh0788,</w:t>
            </w:r>
            <w:r>
              <w:rPr>
                <w:spacing w:val="-5"/>
                <w:sz w:val="20"/>
              </w:rPr>
              <w:t> </w:t>
            </w:r>
            <w:r>
              <w:rPr>
                <w:spacing w:val="-2"/>
                <w:sz w:val="20"/>
              </w:rPr>
              <w:t>sh0793,</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sh0798,</w:t>
            </w:r>
            <w:r>
              <w:rPr>
                <w:spacing w:val="-6"/>
                <w:sz w:val="20"/>
              </w:rPr>
              <w:t> </w:t>
            </w:r>
            <w:r>
              <w:rPr>
                <w:sz w:val="20"/>
              </w:rPr>
              <w:t>sh0801,</w:t>
            </w:r>
            <w:r>
              <w:rPr>
                <w:spacing w:val="-5"/>
                <w:sz w:val="20"/>
              </w:rPr>
              <w:t> </w:t>
            </w:r>
            <w:r>
              <w:rPr>
                <w:spacing w:val="-2"/>
                <w:sz w:val="20"/>
              </w:rPr>
              <w:t>sh0815,</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1" w:lineRule="exact"/>
              <w:ind w:left="911" w:right="367"/>
              <w:jc w:val="center"/>
              <w:rPr>
                <w:sz w:val="20"/>
              </w:rPr>
            </w:pPr>
            <w:r>
              <w:rPr>
                <w:sz w:val="20"/>
              </w:rPr>
              <w:t>sh0816,</w:t>
            </w:r>
            <w:r>
              <w:rPr>
                <w:spacing w:val="-6"/>
                <w:sz w:val="20"/>
              </w:rPr>
              <w:t> </w:t>
            </w:r>
            <w:r>
              <w:rPr>
                <w:sz w:val="20"/>
              </w:rPr>
              <w:t>sh0817,</w:t>
            </w:r>
            <w:r>
              <w:rPr>
                <w:spacing w:val="-5"/>
                <w:sz w:val="20"/>
              </w:rPr>
              <w:t> </w:t>
            </w:r>
            <w:r>
              <w:rPr>
                <w:spacing w:val="-2"/>
                <w:sz w:val="20"/>
              </w:rPr>
              <w:t>sh0888,</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1" w:lineRule="exact"/>
              <w:ind w:left="911" w:right="367"/>
              <w:jc w:val="center"/>
              <w:rPr>
                <w:sz w:val="20"/>
              </w:rPr>
            </w:pPr>
            <w:r>
              <w:rPr>
                <w:sz w:val="20"/>
              </w:rPr>
              <w:t>sh0898,</w:t>
            </w:r>
            <w:r>
              <w:rPr>
                <w:spacing w:val="-6"/>
                <w:sz w:val="20"/>
              </w:rPr>
              <w:t> </w:t>
            </w:r>
            <w:r>
              <w:rPr>
                <w:sz w:val="20"/>
              </w:rPr>
              <w:t>sh0899,</w:t>
            </w:r>
            <w:r>
              <w:rPr>
                <w:spacing w:val="-5"/>
                <w:sz w:val="20"/>
              </w:rPr>
              <w:t> </w:t>
            </w:r>
            <w:r>
              <w:rPr>
                <w:spacing w:val="-2"/>
                <w:sz w:val="20"/>
              </w:rPr>
              <w:t>sh0900,</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sh0922,</w:t>
            </w:r>
            <w:r>
              <w:rPr>
                <w:spacing w:val="-6"/>
                <w:sz w:val="20"/>
              </w:rPr>
              <w:t> </w:t>
            </w:r>
            <w:r>
              <w:rPr>
                <w:sz w:val="20"/>
              </w:rPr>
              <w:t>sh0931,</w:t>
            </w:r>
            <w:r>
              <w:rPr>
                <w:spacing w:val="-5"/>
                <w:sz w:val="20"/>
              </w:rPr>
              <w:t> </w:t>
            </w:r>
            <w:r>
              <w:rPr>
                <w:spacing w:val="-2"/>
                <w:sz w:val="20"/>
              </w:rPr>
              <w:t>sh0934,</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sh0935,</w:t>
            </w:r>
            <w:r>
              <w:rPr>
                <w:spacing w:val="-6"/>
                <w:sz w:val="20"/>
              </w:rPr>
              <w:t> </w:t>
            </w:r>
            <w:r>
              <w:rPr>
                <w:sz w:val="20"/>
              </w:rPr>
              <w:t>sh0944,</w:t>
            </w:r>
            <w:r>
              <w:rPr>
                <w:spacing w:val="-5"/>
                <w:sz w:val="20"/>
              </w:rPr>
              <w:t> </w:t>
            </w:r>
            <w:r>
              <w:rPr>
                <w:spacing w:val="-2"/>
                <w:sz w:val="20"/>
              </w:rPr>
              <w:t>sh0970,</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sh1035.1,</w:t>
            </w:r>
            <w:r>
              <w:rPr>
                <w:spacing w:val="-6"/>
                <w:sz w:val="20"/>
              </w:rPr>
              <w:t> </w:t>
            </w:r>
            <w:r>
              <w:rPr>
                <w:spacing w:val="-2"/>
                <w:sz w:val="20"/>
              </w:rPr>
              <w:t>sh1077,</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4"/>
              <w:jc w:val="center"/>
              <w:rPr>
                <w:sz w:val="20"/>
              </w:rPr>
            </w:pPr>
            <w:r>
              <w:rPr>
                <w:sz w:val="20"/>
              </w:rPr>
              <w:t>sh1082,</w:t>
            </w:r>
            <w:r>
              <w:rPr>
                <w:spacing w:val="-6"/>
                <w:sz w:val="20"/>
              </w:rPr>
              <w:t> </w:t>
            </w:r>
            <w:r>
              <w:rPr>
                <w:sz w:val="20"/>
              </w:rPr>
              <w:t>sh1107,</w:t>
            </w:r>
            <w:r>
              <w:rPr>
                <w:spacing w:val="-2"/>
                <w:sz w:val="20"/>
              </w:rPr>
              <w:t> sh1114,</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sh1115,</w:t>
            </w:r>
            <w:r>
              <w:rPr>
                <w:spacing w:val="-6"/>
                <w:sz w:val="20"/>
              </w:rPr>
              <w:t> </w:t>
            </w:r>
            <w:r>
              <w:rPr>
                <w:spacing w:val="-2"/>
                <w:sz w:val="20"/>
              </w:rPr>
              <w:t>sh1116.1,</w:t>
            </w:r>
          </w:p>
        </w:tc>
        <w:tc>
          <w:tcPr>
            <w:tcW w:w="780"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8"/>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26" w:lineRule="exact"/>
              <w:ind w:left="911" w:right="368"/>
              <w:jc w:val="center"/>
              <w:rPr>
                <w:sz w:val="20"/>
              </w:rPr>
            </w:pPr>
            <w:r>
              <w:rPr>
                <w:spacing w:val="-2"/>
                <w:sz w:val="20"/>
              </w:rPr>
              <w:t>sh1142</w:t>
            </w:r>
          </w:p>
        </w:tc>
        <w:tc>
          <w:tcPr>
            <w:tcW w:w="780" w:type="dxa"/>
            <w:vMerge/>
            <w:tcBorders>
              <w:top w:val="nil"/>
            </w:tcBorders>
          </w:tcPr>
          <w:p>
            <w:pPr>
              <w:rPr>
                <w:sz w:val="2"/>
                <w:szCs w:val="2"/>
              </w:rPr>
            </w:pPr>
          </w:p>
        </w:tc>
      </w:tr>
      <w:tr>
        <w:trPr>
          <w:trHeight w:val="279" w:hRule="atLeast"/>
        </w:trPr>
        <w:tc>
          <w:tcPr>
            <w:tcW w:w="1003" w:type="dxa"/>
          </w:tcPr>
          <w:p>
            <w:pPr>
              <w:pStyle w:val="TableParagraph"/>
              <w:spacing w:line="215" w:lineRule="exact" w:before="45"/>
              <w:ind w:left="50"/>
              <w:rPr>
                <w:sz w:val="20"/>
              </w:rPr>
            </w:pPr>
            <w:r>
              <w:rPr>
                <w:spacing w:val="-2"/>
                <w:sz w:val="20"/>
              </w:rPr>
              <w:t>ds19.082</w:t>
            </w:r>
          </w:p>
        </w:tc>
        <w:tc>
          <w:tcPr>
            <w:tcW w:w="645" w:type="dxa"/>
          </w:tcPr>
          <w:p>
            <w:pPr>
              <w:pStyle w:val="TableParagraph"/>
              <w:spacing w:line="215" w:lineRule="exact" w:before="45"/>
              <w:ind w:left="211" w:right="203"/>
              <w:jc w:val="center"/>
              <w:rPr>
                <w:sz w:val="20"/>
              </w:rPr>
            </w:pPr>
            <w:r>
              <w:rPr>
                <w:spacing w:val="-5"/>
                <w:sz w:val="20"/>
              </w:rPr>
              <w:t>59</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4105" w:type="dxa"/>
          </w:tcPr>
          <w:p>
            <w:pPr>
              <w:pStyle w:val="TableParagraph"/>
              <w:spacing w:line="215" w:lineRule="exact"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5" w:type="dxa"/>
          </w:tcPr>
          <w:p>
            <w:pPr>
              <w:pStyle w:val="TableParagraph"/>
              <w:spacing w:line="215" w:lineRule="exact" w:before="45"/>
              <w:ind w:left="500"/>
              <w:jc w:val="center"/>
              <w:rPr>
                <w:sz w:val="20"/>
              </w:rPr>
            </w:pPr>
            <w:r>
              <w:rPr>
                <w:w w:val="99"/>
                <w:sz w:val="20"/>
              </w:rPr>
              <w:t>-</w:t>
            </w:r>
          </w:p>
        </w:tc>
        <w:tc>
          <w:tcPr>
            <w:tcW w:w="3286" w:type="dxa"/>
          </w:tcPr>
          <w:p>
            <w:pPr>
              <w:pStyle w:val="TableParagraph"/>
              <w:spacing w:line="215" w:lineRule="exact" w:before="45"/>
              <w:ind w:left="911" w:right="367"/>
              <w:jc w:val="center"/>
              <w:rPr>
                <w:sz w:val="20"/>
              </w:rPr>
            </w:pPr>
            <w:r>
              <w:rPr>
                <w:sz w:val="20"/>
              </w:rPr>
              <w:t>Возрастная</w:t>
            </w:r>
            <w:r>
              <w:rPr>
                <w:spacing w:val="-11"/>
                <w:sz w:val="20"/>
              </w:rPr>
              <w:t> </w:t>
            </w:r>
            <w:r>
              <w:rPr>
                <w:spacing w:val="-2"/>
                <w:sz w:val="20"/>
              </w:rPr>
              <w:t>группа:</w:t>
            </w:r>
          </w:p>
        </w:tc>
        <w:tc>
          <w:tcPr>
            <w:tcW w:w="780" w:type="dxa"/>
          </w:tcPr>
          <w:p>
            <w:pPr>
              <w:pStyle w:val="TableParagraph"/>
              <w:spacing w:line="215" w:lineRule="exact" w:before="45"/>
              <w:ind w:left="380"/>
              <w:rPr>
                <w:sz w:val="20"/>
              </w:rPr>
            </w:pPr>
            <w:r>
              <w:rPr>
                <w:spacing w:val="-4"/>
                <w:sz w:val="20"/>
              </w:rPr>
              <w:t>2,03</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7"/>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08" w:right="368"/>
              <w:jc w:val="center"/>
              <w:rPr>
                <w:sz w:val="20"/>
              </w:rPr>
            </w:pPr>
            <w:r>
              <w:rPr>
                <w:sz w:val="20"/>
              </w:rPr>
              <w:t>Схемы:</w:t>
            </w:r>
            <w:r>
              <w:rPr>
                <w:spacing w:val="-9"/>
                <w:sz w:val="20"/>
              </w:rPr>
              <w:t> </w:t>
            </w:r>
            <w:r>
              <w:rPr>
                <w:spacing w:val="-2"/>
                <w:sz w:val="20"/>
              </w:rPr>
              <w:t>sh0025.1,</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5"/>
              <w:jc w:val="center"/>
              <w:rPr>
                <w:sz w:val="20"/>
              </w:rPr>
            </w:pPr>
            <w:r>
              <w:rPr>
                <w:sz w:val="20"/>
              </w:rPr>
              <w:t>sh0042.1,</w:t>
            </w:r>
            <w:r>
              <w:rPr>
                <w:spacing w:val="-5"/>
                <w:sz w:val="20"/>
              </w:rPr>
              <w:t> </w:t>
            </w:r>
            <w:r>
              <w:rPr>
                <w:spacing w:val="-2"/>
                <w:sz w:val="20"/>
              </w:rPr>
              <w:t>sh0074,</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9" w:lineRule="exact"/>
              <w:ind w:left="911" w:right="366"/>
              <w:jc w:val="center"/>
              <w:rPr>
                <w:sz w:val="20"/>
              </w:rPr>
            </w:pPr>
            <w:r>
              <w:rPr>
                <w:sz w:val="20"/>
              </w:rPr>
              <w:t>sh0075,</w:t>
            </w:r>
            <w:r>
              <w:rPr>
                <w:spacing w:val="-6"/>
                <w:sz w:val="20"/>
              </w:rPr>
              <w:t> </w:t>
            </w:r>
            <w:r>
              <w:rPr>
                <w:spacing w:val="-2"/>
                <w:sz w:val="20"/>
              </w:rPr>
              <w:t>sh0139.1,</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6"/>
              <w:jc w:val="center"/>
              <w:rPr>
                <w:sz w:val="20"/>
              </w:rPr>
            </w:pPr>
            <w:r>
              <w:rPr>
                <w:sz w:val="20"/>
              </w:rPr>
              <w:t>sh0149,</w:t>
            </w:r>
            <w:r>
              <w:rPr>
                <w:spacing w:val="-6"/>
                <w:sz w:val="20"/>
              </w:rPr>
              <w:t> </w:t>
            </w:r>
            <w:r>
              <w:rPr>
                <w:spacing w:val="-2"/>
                <w:sz w:val="20"/>
              </w:rPr>
              <w:t>sh0153.1,</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6"/>
              <w:jc w:val="center"/>
              <w:rPr>
                <w:sz w:val="20"/>
              </w:rPr>
            </w:pPr>
            <w:r>
              <w:rPr>
                <w:sz w:val="20"/>
              </w:rPr>
              <w:t>sh0202.1,</w:t>
            </w:r>
            <w:r>
              <w:rPr>
                <w:spacing w:val="-6"/>
                <w:sz w:val="20"/>
              </w:rPr>
              <w:t> </w:t>
            </w:r>
            <w:r>
              <w:rPr>
                <w:spacing w:val="-2"/>
                <w:sz w:val="20"/>
              </w:rPr>
              <w:t>sh0204,</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7"/>
              <w:jc w:val="center"/>
              <w:rPr>
                <w:sz w:val="20"/>
              </w:rPr>
            </w:pPr>
            <w:r>
              <w:rPr>
                <w:sz w:val="20"/>
              </w:rPr>
              <w:t>sh0206,</w:t>
            </w:r>
            <w:r>
              <w:rPr>
                <w:spacing w:val="-6"/>
                <w:sz w:val="20"/>
              </w:rPr>
              <w:t> </w:t>
            </w:r>
            <w:r>
              <w:rPr>
                <w:sz w:val="20"/>
              </w:rPr>
              <w:t>sh0258,</w:t>
            </w:r>
            <w:r>
              <w:rPr>
                <w:spacing w:val="-5"/>
                <w:sz w:val="20"/>
              </w:rPr>
              <w:t> </w:t>
            </w:r>
            <w:r>
              <w:rPr>
                <w:spacing w:val="-2"/>
                <w:sz w:val="20"/>
              </w:rPr>
              <w:t>sh0304,</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7"/>
              <w:jc w:val="center"/>
              <w:rPr>
                <w:sz w:val="20"/>
              </w:rPr>
            </w:pPr>
            <w:r>
              <w:rPr>
                <w:sz w:val="20"/>
              </w:rPr>
              <w:t>sh0339,</w:t>
            </w:r>
            <w:r>
              <w:rPr>
                <w:spacing w:val="-6"/>
                <w:sz w:val="20"/>
              </w:rPr>
              <w:t> </w:t>
            </w:r>
            <w:r>
              <w:rPr>
                <w:sz w:val="20"/>
              </w:rPr>
              <w:t>sh0466,</w:t>
            </w:r>
            <w:r>
              <w:rPr>
                <w:spacing w:val="-5"/>
                <w:sz w:val="20"/>
              </w:rPr>
              <w:t> </w:t>
            </w:r>
            <w:r>
              <w:rPr>
                <w:spacing w:val="-2"/>
                <w:sz w:val="20"/>
              </w:rPr>
              <w:t>sh0482,</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9" w:lineRule="exact"/>
              <w:ind w:left="911" w:right="367"/>
              <w:jc w:val="center"/>
              <w:rPr>
                <w:sz w:val="20"/>
              </w:rPr>
            </w:pPr>
            <w:r>
              <w:rPr>
                <w:sz w:val="20"/>
              </w:rPr>
              <w:t>sh0493,</w:t>
            </w:r>
            <w:r>
              <w:rPr>
                <w:spacing w:val="-6"/>
                <w:sz w:val="20"/>
              </w:rPr>
              <w:t> </w:t>
            </w:r>
            <w:r>
              <w:rPr>
                <w:sz w:val="20"/>
              </w:rPr>
              <w:t>sh0588,</w:t>
            </w:r>
            <w:r>
              <w:rPr>
                <w:spacing w:val="-5"/>
                <w:sz w:val="20"/>
              </w:rPr>
              <w:t> </w:t>
            </w:r>
            <w:r>
              <w:rPr>
                <w:spacing w:val="-2"/>
                <w:sz w:val="20"/>
              </w:rPr>
              <w:t>sh0589,</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9" w:lineRule="exact"/>
              <w:ind w:left="911" w:right="366"/>
              <w:jc w:val="center"/>
              <w:rPr>
                <w:sz w:val="20"/>
              </w:rPr>
            </w:pPr>
            <w:r>
              <w:rPr>
                <w:sz w:val="20"/>
              </w:rPr>
              <w:t>sh0605.1,</w:t>
            </w:r>
            <w:r>
              <w:rPr>
                <w:spacing w:val="-6"/>
                <w:sz w:val="20"/>
              </w:rPr>
              <w:t> </w:t>
            </w:r>
            <w:r>
              <w:rPr>
                <w:spacing w:val="-2"/>
                <w:sz w:val="20"/>
              </w:rPr>
              <w:t>sh0628,</w:t>
            </w:r>
          </w:p>
        </w:tc>
        <w:tc>
          <w:tcPr>
            <w:tcW w:w="78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5" w:lineRule="exact"/>
              <w:ind w:left="911" w:right="366"/>
              <w:jc w:val="center"/>
              <w:rPr>
                <w:sz w:val="20"/>
              </w:rPr>
            </w:pPr>
            <w:r>
              <w:rPr>
                <w:sz w:val="20"/>
              </w:rPr>
              <w:t>sh0635.1,</w:t>
            </w:r>
            <w:r>
              <w:rPr>
                <w:spacing w:val="-6"/>
                <w:sz w:val="20"/>
              </w:rPr>
              <w:t> </w:t>
            </w:r>
            <w:r>
              <w:rPr>
                <w:spacing w:val="-2"/>
                <w:sz w:val="20"/>
              </w:rPr>
              <w:t>sh0643,</w:t>
            </w:r>
          </w:p>
        </w:tc>
        <w:tc>
          <w:tcPr>
            <w:tcW w:w="78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567"/>
        <w:gridCol w:w="1938"/>
        <w:gridCol w:w="3289"/>
        <w:gridCol w:w="778"/>
      </w:tblGrid>
      <w:tr>
        <w:trPr>
          <w:trHeight w:val="4646"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567" w:type="dxa"/>
          </w:tcPr>
          <w:p>
            <w:pPr>
              <w:pStyle w:val="TableParagraph"/>
              <w:rPr>
                <w:sz w:val="18"/>
              </w:rPr>
            </w:pPr>
          </w:p>
        </w:tc>
        <w:tc>
          <w:tcPr>
            <w:tcW w:w="1938" w:type="dxa"/>
          </w:tcPr>
          <w:p>
            <w:pPr>
              <w:pStyle w:val="TableParagraph"/>
              <w:rPr>
                <w:sz w:val="18"/>
              </w:rPr>
            </w:pPr>
          </w:p>
        </w:tc>
        <w:tc>
          <w:tcPr>
            <w:tcW w:w="3289" w:type="dxa"/>
          </w:tcPr>
          <w:p>
            <w:pPr>
              <w:pStyle w:val="TableParagraph"/>
              <w:ind w:left="912" w:right="358"/>
              <w:jc w:val="center"/>
              <w:rPr>
                <w:sz w:val="20"/>
              </w:rPr>
            </w:pPr>
            <w:r>
              <w:rPr>
                <w:sz w:val="20"/>
              </w:rPr>
              <w:t>sh0650,</w:t>
            </w:r>
            <w:r>
              <w:rPr>
                <w:spacing w:val="-13"/>
                <w:sz w:val="20"/>
              </w:rPr>
              <w:t> </w:t>
            </w:r>
            <w:r>
              <w:rPr>
                <w:sz w:val="20"/>
              </w:rPr>
              <w:t>sh0653,</w:t>
            </w:r>
            <w:r>
              <w:rPr>
                <w:spacing w:val="-12"/>
                <w:sz w:val="20"/>
              </w:rPr>
              <w:t> </w:t>
            </w:r>
            <w:r>
              <w:rPr>
                <w:sz w:val="20"/>
              </w:rPr>
              <w:t>sh0672, sh0675, sh0685, sh0712.1, sh0717.1, sh0782, sh0785, sh0787.1, sh0797.1, sh0800.1, sh0806, sh0811.1, sh0824, sh0835,</w:t>
            </w:r>
            <w:r>
              <w:rPr>
                <w:spacing w:val="-13"/>
                <w:sz w:val="20"/>
              </w:rPr>
              <w:t> </w:t>
            </w:r>
            <w:r>
              <w:rPr>
                <w:sz w:val="20"/>
              </w:rPr>
              <w:t>sh0837,</w:t>
            </w:r>
            <w:r>
              <w:rPr>
                <w:spacing w:val="-12"/>
                <w:sz w:val="20"/>
              </w:rPr>
              <w:t> </w:t>
            </w:r>
            <w:r>
              <w:rPr>
                <w:sz w:val="20"/>
              </w:rPr>
              <w:t>sh0857, sh0869,</w:t>
            </w:r>
            <w:r>
              <w:rPr>
                <w:spacing w:val="-13"/>
                <w:sz w:val="20"/>
              </w:rPr>
              <w:t> </w:t>
            </w:r>
            <w:r>
              <w:rPr>
                <w:sz w:val="20"/>
              </w:rPr>
              <w:t>sh0874,</w:t>
            </w:r>
            <w:r>
              <w:rPr>
                <w:spacing w:val="-12"/>
                <w:sz w:val="20"/>
              </w:rPr>
              <w:t> </w:t>
            </w:r>
            <w:r>
              <w:rPr>
                <w:sz w:val="20"/>
              </w:rPr>
              <w:t>sh0884, sh0885, sh0888.1, sh0892.1, sh0895, sh0897, sh0909.1, sh0919,</w:t>
            </w:r>
            <w:r>
              <w:rPr>
                <w:spacing w:val="-13"/>
                <w:sz w:val="20"/>
              </w:rPr>
              <w:t> </w:t>
            </w:r>
            <w:r>
              <w:rPr>
                <w:sz w:val="20"/>
              </w:rPr>
              <w:t>sh0936,</w:t>
            </w:r>
            <w:r>
              <w:rPr>
                <w:spacing w:val="-12"/>
                <w:sz w:val="20"/>
              </w:rPr>
              <w:t> </w:t>
            </w:r>
            <w:r>
              <w:rPr>
                <w:sz w:val="20"/>
              </w:rPr>
              <w:t>sh0946, sh0947, sh0948, sh0951.1, sh0973, sh0999,</w:t>
            </w:r>
            <w:r>
              <w:rPr>
                <w:spacing w:val="-13"/>
                <w:sz w:val="20"/>
              </w:rPr>
              <w:t> </w:t>
            </w:r>
            <w:r>
              <w:rPr>
                <w:sz w:val="20"/>
              </w:rPr>
              <w:t>sh1037,</w:t>
            </w:r>
            <w:r>
              <w:rPr>
                <w:spacing w:val="-12"/>
                <w:sz w:val="20"/>
              </w:rPr>
              <w:t> </w:t>
            </w:r>
            <w:r>
              <w:rPr>
                <w:sz w:val="20"/>
              </w:rPr>
              <w:t>sh1038, sh1040,</w:t>
            </w:r>
            <w:r>
              <w:rPr>
                <w:spacing w:val="-13"/>
                <w:sz w:val="20"/>
              </w:rPr>
              <w:t> </w:t>
            </w:r>
            <w:r>
              <w:rPr>
                <w:sz w:val="20"/>
              </w:rPr>
              <w:t>sh1041,</w:t>
            </w:r>
            <w:r>
              <w:rPr>
                <w:spacing w:val="-12"/>
                <w:sz w:val="20"/>
              </w:rPr>
              <w:t> </w:t>
            </w:r>
            <w:r>
              <w:rPr>
                <w:sz w:val="20"/>
              </w:rPr>
              <w:t>sh1042, sh1067.1, sh1079, sh1111,</w:t>
            </w:r>
            <w:r>
              <w:rPr>
                <w:spacing w:val="-13"/>
                <w:sz w:val="20"/>
              </w:rPr>
              <w:t> </w:t>
            </w:r>
            <w:r>
              <w:rPr>
                <w:sz w:val="20"/>
              </w:rPr>
              <w:t>sh1112,</w:t>
            </w:r>
            <w:r>
              <w:rPr>
                <w:spacing w:val="-12"/>
                <w:sz w:val="20"/>
              </w:rPr>
              <w:t> </w:t>
            </w:r>
            <w:r>
              <w:rPr>
                <w:sz w:val="20"/>
              </w:rPr>
              <w:t>sh1129,</w:t>
            </w:r>
          </w:p>
          <w:p>
            <w:pPr>
              <w:pStyle w:val="TableParagraph"/>
              <w:ind w:left="912" w:right="360"/>
              <w:jc w:val="center"/>
              <w:rPr>
                <w:sz w:val="20"/>
              </w:rPr>
            </w:pPr>
            <w:r>
              <w:rPr>
                <w:sz w:val="20"/>
              </w:rPr>
              <w:t>sh1136,</w:t>
            </w:r>
            <w:r>
              <w:rPr>
                <w:spacing w:val="-6"/>
                <w:sz w:val="20"/>
              </w:rPr>
              <w:t> </w:t>
            </w:r>
            <w:r>
              <w:rPr>
                <w:spacing w:val="-2"/>
                <w:sz w:val="20"/>
              </w:rPr>
              <w:t>sh1143</w:t>
            </w:r>
          </w:p>
        </w:tc>
        <w:tc>
          <w:tcPr>
            <w:tcW w:w="778" w:type="dxa"/>
          </w:tcPr>
          <w:p>
            <w:pPr>
              <w:pStyle w:val="TableParagraph"/>
              <w:rPr>
                <w:sz w:val="18"/>
              </w:rPr>
            </w:pPr>
          </w:p>
        </w:tc>
      </w:tr>
      <w:tr>
        <w:trPr>
          <w:trHeight w:val="789" w:hRule="atLeast"/>
        </w:trPr>
        <w:tc>
          <w:tcPr>
            <w:tcW w:w="1003" w:type="dxa"/>
          </w:tcPr>
          <w:p>
            <w:pPr>
              <w:pStyle w:val="TableParagraph"/>
              <w:rPr>
                <w:sz w:val="18"/>
              </w:rPr>
            </w:pPr>
          </w:p>
        </w:tc>
        <w:tc>
          <w:tcPr>
            <w:tcW w:w="645" w:type="dxa"/>
          </w:tcPr>
          <w:p>
            <w:pPr>
              <w:pStyle w:val="TableParagraph"/>
              <w:rPr>
                <w:sz w:val="18"/>
              </w:rPr>
            </w:pPr>
          </w:p>
        </w:tc>
        <w:tc>
          <w:tcPr>
            <w:tcW w:w="7636" w:type="dxa"/>
            <w:gridSpan w:val="2"/>
          </w:tcPr>
          <w:p>
            <w:pPr>
              <w:pStyle w:val="TableParagraph"/>
              <w:spacing w:before="45"/>
              <w:ind w:left="2804"/>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4506" w:right="536" w:hanging="1702"/>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w:t>
            </w:r>
            <w:r>
              <w:rPr>
                <w:spacing w:val="-2"/>
                <w:sz w:val="20"/>
              </w:rPr>
              <w:t>C41.9</w:t>
            </w:r>
          </w:p>
        </w:tc>
        <w:tc>
          <w:tcPr>
            <w:tcW w:w="1938" w:type="dxa"/>
          </w:tcPr>
          <w:p>
            <w:pPr>
              <w:pStyle w:val="TableParagraph"/>
              <w:spacing w:before="45"/>
              <w:ind w:left="43"/>
              <w:jc w:val="center"/>
              <w:rPr>
                <w:sz w:val="20"/>
              </w:rPr>
            </w:pPr>
            <w:r>
              <w:rPr>
                <w:w w:val="99"/>
                <w:sz w:val="20"/>
              </w:rPr>
              <w:t>-</w:t>
            </w:r>
          </w:p>
        </w:tc>
        <w:tc>
          <w:tcPr>
            <w:tcW w:w="3289" w:type="dxa"/>
          </w:tcPr>
          <w:p>
            <w:pPr>
              <w:pStyle w:val="TableParagraph"/>
              <w:spacing w:before="45"/>
              <w:ind w:left="1093" w:right="539"/>
              <w:jc w:val="center"/>
              <w:rPr>
                <w:sz w:val="20"/>
              </w:rPr>
            </w:pPr>
            <w:r>
              <w:rPr>
                <w:sz w:val="20"/>
              </w:rPr>
              <w:t>Возрастная</w:t>
            </w:r>
            <w:r>
              <w:rPr>
                <w:spacing w:val="-13"/>
                <w:sz w:val="20"/>
              </w:rPr>
              <w:t> </w:t>
            </w:r>
            <w:r>
              <w:rPr>
                <w:sz w:val="20"/>
              </w:rPr>
              <w:t>группа: старше 18 лет Схемы: sh0926</w:t>
            </w:r>
          </w:p>
        </w:tc>
        <w:tc>
          <w:tcPr>
            <w:tcW w:w="778" w:type="dxa"/>
          </w:tcPr>
          <w:p>
            <w:pPr>
              <w:pStyle w:val="TableParagraph"/>
              <w:rPr>
                <w:sz w:val="18"/>
              </w:rPr>
            </w:pPr>
          </w:p>
        </w:tc>
      </w:tr>
      <w:tr>
        <w:trPr>
          <w:trHeight w:val="3035" w:hRule="atLeast"/>
        </w:trPr>
        <w:tc>
          <w:tcPr>
            <w:tcW w:w="1003" w:type="dxa"/>
          </w:tcPr>
          <w:p>
            <w:pPr>
              <w:pStyle w:val="TableParagraph"/>
              <w:spacing w:before="45"/>
              <w:ind w:left="50"/>
              <w:rPr>
                <w:sz w:val="20"/>
              </w:rPr>
            </w:pPr>
            <w:r>
              <w:rPr>
                <w:spacing w:val="-2"/>
                <w:sz w:val="20"/>
              </w:rPr>
              <w:t>ds19.083</w:t>
            </w:r>
          </w:p>
        </w:tc>
        <w:tc>
          <w:tcPr>
            <w:tcW w:w="645" w:type="dxa"/>
          </w:tcPr>
          <w:p>
            <w:pPr>
              <w:pStyle w:val="TableParagraph"/>
              <w:spacing w:before="45"/>
              <w:ind w:left="211" w:right="203"/>
              <w:jc w:val="center"/>
              <w:rPr>
                <w:sz w:val="20"/>
              </w:rPr>
            </w:pPr>
            <w:r>
              <w:rPr>
                <w:spacing w:val="-5"/>
                <w:sz w:val="20"/>
              </w:rPr>
              <w:t>60</w:t>
            </w:r>
          </w:p>
        </w:tc>
        <w:tc>
          <w:tcPr>
            <w:tcW w:w="3069" w:type="dxa"/>
          </w:tcPr>
          <w:p>
            <w:pPr>
              <w:pStyle w:val="TableParagraph"/>
              <w:spacing w:before="45"/>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4)</w:t>
            </w:r>
          </w:p>
        </w:tc>
        <w:tc>
          <w:tcPr>
            <w:tcW w:w="4567" w:type="dxa"/>
          </w:tcPr>
          <w:p>
            <w:pPr>
              <w:pStyle w:val="TableParagraph"/>
              <w:spacing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5"/>
              <w:ind w:left="43"/>
              <w:jc w:val="center"/>
              <w:rPr>
                <w:sz w:val="20"/>
              </w:rPr>
            </w:pPr>
            <w:r>
              <w:rPr>
                <w:w w:val="99"/>
                <w:sz w:val="20"/>
              </w:rPr>
              <w:t>-</w:t>
            </w:r>
          </w:p>
        </w:tc>
        <w:tc>
          <w:tcPr>
            <w:tcW w:w="3289" w:type="dxa"/>
          </w:tcPr>
          <w:p>
            <w:pPr>
              <w:pStyle w:val="TableParagraph"/>
              <w:spacing w:before="45"/>
              <w:ind w:left="912" w:right="358"/>
              <w:jc w:val="center"/>
              <w:rPr>
                <w:sz w:val="20"/>
              </w:rPr>
            </w:pPr>
            <w:r>
              <w:rPr>
                <w:sz w:val="20"/>
              </w:rPr>
              <w:t>Возрастная</w:t>
            </w:r>
            <w:r>
              <w:rPr>
                <w:spacing w:val="-13"/>
                <w:sz w:val="20"/>
              </w:rPr>
              <w:t> </w:t>
            </w:r>
            <w:r>
              <w:rPr>
                <w:sz w:val="20"/>
              </w:rPr>
              <w:t>группа: старше 18 лет</w:t>
            </w:r>
          </w:p>
          <w:p>
            <w:pPr>
              <w:pStyle w:val="TableParagraph"/>
              <w:ind w:left="921" w:right="371" w:hanging="1"/>
              <w:jc w:val="center"/>
              <w:rPr>
                <w:sz w:val="20"/>
              </w:rPr>
            </w:pPr>
            <w:r>
              <w:rPr>
                <w:sz w:val="20"/>
              </w:rPr>
              <w:t>Схемы:</w:t>
            </w:r>
            <w:r>
              <w:rPr>
                <w:spacing w:val="-13"/>
                <w:sz w:val="20"/>
              </w:rPr>
              <w:t> </w:t>
            </w:r>
            <w:r>
              <w:rPr>
                <w:sz w:val="20"/>
              </w:rPr>
              <w:t>sh0008,</w:t>
            </w:r>
            <w:r>
              <w:rPr>
                <w:spacing w:val="-12"/>
                <w:sz w:val="20"/>
              </w:rPr>
              <w:t> </w:t>
            </w:r>
            <w:r>
              <w:rPr>
                <w:sz w:val="20"/>
              </w:rPr>
              <w:t>sh0012, sh0013,</w:t>
            </w:r>
            <w:r>
              <w:rPr>
                <w:spacing w:val="-13"/>
                <w:sz w:val="20"/>
              </w:rPr>
              <w:t> </w:t>
            </w:r>
            <w:r>
              <w:rPr>
                <w:sz w:val="20"/>
              </w:rPr>
              <w:t>sh0014,</w:t>
            </w:r>
            <w:r>
              <w:rPr>
                <w:spacing w:val="-12"/>
                <w:sz w:val="20"/>
              </w:rPr>
              <w:t> </w:t>
            </w:r>
            <w:r>
              <w:rPr>
                <w:sz w:val="20"/>
              </w:rPr>
              <w:t>sh0015, sh0016, sh0027, sh0084.1, sh0140.1, sh0169,</w:t>
            </w:r>
            <w:r>
              <w:rPr>
                <w:spacing w:val="-13"/>
                <w:sz w:val="20"/>
              </w:rPr>
              <w:t> </w:t>
            </w:r>
            <w:r>
              <w:rPr>
                <w:sz w:val="20"/>
              </w:rPr>
              <w:t>sh0170,</w:t>
            </w:r>
            <w:r>
              <w:rPr>
                <w:spacing w:val="-12"/>
                <w:sz w:val="20"/>
              </w:rPr>
              <w:t> </w:t>
            </w:r>
            <w:r>
              <w:rPr>
                <w:sz w:val="20"/>
              </w:rPr>
              <w:t>sh0171, sh0195,</w:t>
            </w:r>
            <w:r>
              <w:rPr>
                <w:spacing w:val="-13"/>
                <w:sz w:val="20"/>
              </w:rPr>
              <w:t> </w:t>
            </w:r>
            <w:r>
              <w:rPr>
                <w:sz w:val="20"/>
              </w:rPr>
              <w:t>sh0214,</w:t>
            </w:r>
            <w:r>
              <w:rPr>
                <w:spacing w:val="-12"/>
                <w:sz w:val="20"/>
              </w:rPr>
              <w:t> </w:t>
            </w:r>
            <w:r>
              <w:rPr>
                <w:sz w:val="20"/>
              </w:rPr>
              <w:t>sh0215, sh0216,</w:t>
            </w:r>
            <w:r>
              <w:rPr>
                <w:spacing w:val="-13"/>
                <w:sz w:val="20"/>
              </w:rPr>
              <w:t> </w:t>
            </w:r>
            <w:r>
              <w:rPr>
                <w:sz w:val="20"/>
              </w:rPr>
              <w:t>sh0217,</w:t>
            </w:r>
            <w:r>
              <w:rPr>
                <w:spacing w:val="-12"/>
                <w:sz w:val="20"/>
              </w:rPr>
              <w:t> </w:t>
            </w:r>
            <w:r>
              <w:rPr>
                <w:sz w:val="20"/>
              </w:rPr>
              <w:t>sh0221, sh0301,</w:t>
            </w:r>
            <w:r>
              <w:rPr>
                <w:spacing w:val="-13"/>
                <w:sz w:val="20"/>
              </w:rPr>
              <w:t> </w:t>
            </w:r>
            <w:r>
              <w:rPr>
                <w:sz w:val="20"/>
              </w:rPr>
              <w:t>sh0302,</w:t>
            </w:r>
            <w:r>
              <w:rPr>
                <w:spacing w:val="-12"/>
                <w:sz w:val="20"/>
              </w:rPr>
              <w:t> </w:t>
            </w:r>
            <w:r>
              <w:rPr>
                <w:sz w:val="20"/>
              </w:rPr>
              <w:t>sh0305, sh0306,</w:t>
            </w:r>
            <w:r>
              <w:rPr>
                <w:spacing w:val="-6"/>
                <w:sz w:val="20"/>
              </w:rPr>
              <w:t> </w:t>
            </w:r>
            <w:r>
              <w:rPr>
                <w:sz w:val="20"/>
              </w:rPr>
              <w:t>sh0308,</w:t>
            </w:r>
            <w:r>
              <w:rPr>
                <w:spacing w:val="-5"/>
                <w:sz w:val="20"/>
              </w:rPr>
              <w:t> </w:t>
            </w:r>
            <w:r>
              <w:rPr>
                <w:spacing w:val="-2"/>
                <w:sz w:val="20"/>
              </w:rPr>
              <w:t>sh0311,</w:t>
            </w:r>
          </w:p>
          <w:p>
            <w:pPr>
              <w:pStyle w:val="TableParagraph"/>
              <w:spacing w:line="230" w:lineRule="exact"/>
              <w:ind w:left="912" w:right="358"/>
              <w:jc w:val="center"/>
              <w:rPr>
                <w:sz w:val="20"/>
              </w:rPr>
            </w:pPr>
            <w:r>
              <w:rPr>
                <w:sz w:val="20"/>
              </w:rPr>
              <w:t>sh0333,</w:t>
            </w:r>
            <w:r>
              <w:rPr>
                <w:spacing w:val="-13"/>
                <w:sz w:val="20"/>
              </w:rPr>
              <w:t> </w:t>
            </w:r>
            <w:r>
              <w:rPr>
                <w:sz w:val="20"/>
              </w:rPr>
              <w:t>sh0349,</w:t>
            </w:r>
            <w:r>
              <w:rPr>
                <w:spacing w:val="-12"/>
                <w:sz w:val="20"/>
              </w:rPr>
              <w:t> </w:t>
            </w:r>
            <w:r>
              <w:rPr>
                <w:sz w:val="20"/>
              </w:rPr>
              <w:t>sh0368, sh0371,</w:t>
            </w:r>
            <w:r>
              <w:rPr>
                <w:spacing w:val="-6"/>
                <w:sz w:val="20"/>
              </w:rPr>
              <w:t> </w:t>
            </w:r>
            <w:r>
              <w:rPr>
                <w:sz w:val="20"/>
              </w:rPr>
              <w:t>sh0437,</w:t>
            </w:r>
            <w:r>
              <w:rPr>
                <w:spacing w:val="-5"/>
                <w:sz w:val="20"/>
              </w:rPr>
              <w:t> </w:t>
            </w:r>
            <w:r>
              <w:rPr>
                <w:spacing w:val="-2"/>
                <w:sz w:val="20"/>
              </w:rPr>
              <w:t>sh0447,</w:t>
            </w:r>
          </w:p>
        </w:tc>
        <w:tc>
          <w:tcPr>
            <w:tcW w:w="778" w:type="dxa"/>
          </w:tcPr>
          <w:p>
            <w:pPr>
              <w:pStyle w:val="TableParagraph"/>
              <w:spacing w:before="45"/>
              <w:ind w:left="383"/>
              <w:rPr>
                <w:sz w:val="20"/>
              </w:rPr>
            </w:pPr>
            <w:r>
              <w:rPr>
                <w:spacing w:val="-4"/>
                <w:sz w:val="20"/>
              </w:rPr>
              <w:t>2,63</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90"/>
        <w:gridCol w:w="779"/>
      </w:tblGrid>
      <w:tr>
        <w:trPr>
          <w:trHeight w:val="51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105" w:type="dxa"/>
          </w:tcPr>
          <w:p>
            <w:pPr>
              <w:pStyle w:val="TableParagraph"/>
              <w:rPr>
                <w:sz w:val="18"/>
              </w:rPr>
            </w:pPr>
          </w:p>
        </w:tc>
        <w:tc>
          <w:tcPr>
            <w:tcW w:w="2402" w:type="dxa"/>
          </w:tcPr>
          <w:p>
            <w:pPr>
              <w:pStyle w:val="TableParagraph"/>
              <w:rPr>
                <w:sz w:val="18"/>
              </w:rPr>
            </w:pPr>
          </w:p>
        </w:tc>
        <w:tc>
          <w:tcPr>
            <w:tcW w:w="3290" w:type="dxa"/>
          </w:tcPr>
          <w:p>
            <w:pPr>
              <w:pStyle w:val="TableParagraph"/>
              <w:ind w:left="926" w:right="375" w:hanging="3"/>
              <w:jc w:val="center"/>
              <w:rPr>
                <w:sz w:val="20"/>
              </w:rPr>
            </w:pPr>
            <w:r>
              <w:rPr>
                <w:sz w:val="20"/>
              </w:rPr>
              <w:t>sh0448,</w:t>
            </w:r>
            <w:r>
              <w:rPr>
                <w:spacing w:val="-13"/>
                <w:sz w:val="20"/>
              </w:rPr>
              <w:t> </w:t>
            </w:r>
            <w:r>
              <w:rPr>
                <w:sz w:val="20"/>
              </w:rPr>
              <w:t>sh0449,</w:t>
            </w:r>
            <w:r>
              <w:rPr>
                <w:spacing w:val="-12"/>
                <w:sz w:val="20"/>
              </w:rPr>
              <w:t> </w:t>
            </w:r>
            <w:r>
              <w:rPr>
                <w:sz w:val="20"/>
              </w:rPr>
              <w:t>sh0452, sh0467,</w:t>
            </w:r>
            <w:r>
              <w:rPr>
                <w:spacing w:val="-13"/>
                <w:sz w:val="20"/>
              </w:rPr>
              <w:t> </w:t>
            </w:r>
            <w:r>
              <w:rPr>
                <w:sz w:val="20"/>
              </w:rPr>
              <w:t>sh0518,</w:t>
            </w:r>
            <w:r>
              <w:rPr>
                <w:spacing w:val="-12"/>
                <w:sz w:val="20"/>
              </w:rPr>
              <w:t> </w:t>
            </w:r>
            <w:r>
              <w:rPr>
                <w:sz w:val="20"/>
              </w:rPr>
              <w:t>sh0534, sh0564.1, sh0580, sh0660, sh0673.1, sh0692,</w:t>
            </w:r>
            <w:r>
              <w:rPr>
                <w:spacing w:val="-13"/>
                <w:sz w:val="20"/>
              </w:rPr>
              <w:t> </w:t>
            </w:r>
            <w:r>
              <w:rPr>
                <w:sz w:val="20"/>
              </w:rPr>
              <w:t>sh0706,</w:t>
            </w:r>
            <w:r>
              <w:rPr>
                <w:spacing w:val="-12"/>
                <w:sz w:val="20"/>
              </w:rPr>
              <w:t> </w:t>
            </w:r>
            <w:r>
              <w:rPr>
                <w:sz w:val="20"/>
              </w:rPr>
              <w:t>sh0718, sh0748,</w:t>
            </w:r>
            <w:r>
              <w:rPr>
                <w:spacing w:val="-13"/>
                <w:sz w:val="20"/>
              </w:rPr>
              <w:t> </w:t>
            </w:r>
            <w:r>
              <w:rPr>
                <w:sz w:val="20"/>
              </w:rPr>
              <w:t>sh0749,</w:t>
            </w:r>
            <w:r>
              <w:rPr>
                <w:spacing w:val="-12"/>
                <w:sz w:val="20"/>
              </w:rPr>
              <w:t> </w:t>
            </w:r>
            <w:r>
              <w:rPr>
                <w:sz w:val="20"/>
              </w:rPr>
              <w:t>sh0750, sh0752,</w:t>
            </w:r>
            <w:r>
              <w:rPr>
                <w:spacing w:val="-13"/>
                <w:sz w:val="20"/>
              </w:rPr>
              <w:t> </w:t>
            </w:r>
            <w:r>
              <w:rPr>
                <w:sz w:val="20"/>
              </w:rPr>
              <w:t>sh0753,</w:t>
            </w:r>
            <w:r>
              <w:rPr>
                <w:spacing w:val="-12"/>
                <w:sz w:val="20"/>
              </w:rPr>
              <w:t> </w:t>
            </w:r>
            <w:r>
              <w:rPr>
                <w:sz w:val="20"/>
              </w:rPr>
              <w:t>sh0754, sh0755,</w:t>
            </w:r>
            <w:r>
              <w:rPr>
                <w:spacing w:val="-13"/>
                <w:sz w:val="20"/>
              </w:rPr>
              <w:t> </w:t>
            </w:r>
            <w:r>
              <w:rPr>
                <w:sz w:val="20"/>
              </w:rPr>
              <w:t>sh0757,</w:t>
            </w:r>
            <w:r>
              <w:rPr>
                <w:spacing w:val="-12"/>
                <w:sz w:val="20"/>
              </w:rPr>
              <w:t> </w:t>
            </w:r>
            <w:r>
              <w:rPr>
                <w:sz w:val="20"/>
              </w:rPr>
              <w:t>sh0758, sh0759,</w:t>
            </w:r>
            <w:r>
              <w:rPr>
                <w:spacing w:val="-13"/>
                <w:sz w:val="20"/>
              </w:rPr>
              <w:t> </w:t>
            </w:r>
            <w:r>
              <w:rPr>
                <w:sz w:val="20"/>
              </w:rPr>
              <w:t>sh0760,</w:t>
            </w:r>
            <w:r>
              <w:rPr>
                <w:spacing w:val="-12"/>
                <w:sz w:val="20"/>
              </w:rPr>
              <w:t> </w:t>
            </w:r>
            <w:r>
              <w:rPr>
                <w:sz w:val="20"/>
              </w:rPr>
              <w:t>sh0763, sh0771, sh0772, sh0779.1, sh0780.1, sh0808,</w:t>
            </w:r>
            <w:r>
              <w:rPr>
                <w:spacing w:val="-13"/>
                <w:sz w:val="20"/>
              </w:rPr>
              <w:t> </w:t>
            </w:r>
            <w:r>
              <w:rPr>
                <w:sz w:val="20"/>
              </w:rPr>
              <w:t>sh0820,</w:t>
            </w:r>
            <w:r>
              <w:rPr>
                <w:spacing w:val="-12"/>
                <w:sz w:val="20"/>
              </w:rPr>
              <w:t> </w:t>
            </w:r>
            <w:r>
              <w:rPr>
                <w:sz w:val="20"/>
              </w:rPr>
              <w:t>sh0822, sh0825,</w:t>
            </w:r>
            <w:r>
              <w:rPr>
                <w:spacing w:val="-13"/>
                <w:sz w:val="20"/>
              </w:rPr>
              <w:t> </w:t>
            </w:r>
            <w:r>
              <w:rPr>
                <w:sz w:val="20"/>
              </w:rPr>
              <w:t>sh0833,</w:t>
            </w:r>
            <w:r>
              <w:rPr>
                <w:spacing w:val="-12"/>
                <w:sz w:val="20"/>
              </w:rPr>
              <w:t> </w:t>
            </w:r>
            <w:r>
              <w:rPr>
                <w:sz w:val="20"/>
              </w:rPr>
              <w:t>sh0836, sh0841, sh0854, sh0880.1, sh0887, sh0891,</w:t>
            </w:r>
            <w:r>
              <w:rPr>
                <w:spacing w:val="-13"/>
                <w:sz w:val="20"/>
              </w:rPr>
              <w:t> </w:t>
            </w:r>
            <w:r>
              <w:rPr>
                <w:sz w:val="20"/>
              </w:rPr>
              <w:t>sh0914,</w:t>
            </w:r>
            <w:r>
              <w:rPr>
                <w:spacing w:val="-12"/>
                <w:sz w:val="20"/>
              </w:rPr>
              <w:t> </w:t>
            </w:r>
            <w:r>
              <w:rPr>
                <w:sz w:val="20"/>
              </w:rPr>
              <w:t>sh0943, sh0963,</w:t>
            </w:r>
            <w:r>
              <w:rPr>
                <w:spacing w:val="-13"/>
                <w:sz w:val="20"/>
              </w:rPr>
              <w:t> </w:t>
            </w:r>
            <w:r>
              <w:rPr>
                <w:sz w:val="20"/>
              </w:rPr>
              <w:t>sh0964,</w:t>
            </w:r>
            <w:r>
              <w:rPr>
                <w:spacing w:val="-12"/>
                <w:sz w:val="20"/>
              </w:rPr>
              <w:t> </w:t>
            </w:r>
            <w:r>
              <w:rPr>
                <w:sz w:val="20"/>
              </w:rPr>
              <w:t>sh1000, sh1001, sh1003, sh1031.1, sh1075, sh1078,</w:t>
            </w:r>
            <w:r>
              <w:rPr>
                <w:spacing w:val="-13"/>
                <w:sz w:val="20"/>
              </w:rPr>
              <w:t> </w:t>
            </w:r>
            <w:r>
              <w:rPr>
                <w:sz w:val="20"/>
              </w:rPr>
              <w:t>sh1081,</w:t>
            </w:r>
            <w:r>
              <w:rPr>
                <w:spacing w:val="-12"/>
                <w:sz w:val="20"/>
              </w:rPr>
              <w:t> </w:t>
            </w:r>
            <w:r>
              <w:rPr>
                <w:sz w:val="20"/>
              </w:rPr>
              <w:t>sh1085, sh1106,</w:t>
            </w:r>
            <w:r>
              <w:rPr>
                <w:spacing w:val="-6"/>
                <w:sz w:val="20"/>
              </w:rPr>
              <w:t> </w:t>
            </w:r>
            <w:r>
              <w:rPr>
                <w:sz w:val="20"/>
              </w:rPr>
              <w:t>sh1130,</w:t>
            </w:r>
            <w:r>
              <w:rPr>
                <w:spacing w:val="-5"/>
                <w:sz w:val="20"/>
              </w:rPr>
              <w:t> </w:t>
            </w:r>
            <w:r>
              <w:rPr>
                <w:spacing w:val="-2"/>
                <w:sz w:val="20"/>
              </w:rPr>
              <w:t>sh1131,</w:t>
            </w:r>
          </w:p>
          <w:p>
            <w:pPr>
              <w:pStyle w:val="TableParagraph"/>
              <w:ind w:left="915" w:right="368"/>
              <w:jc w:val="center"/>
              <w:rPr>
                <w:sz w:val="20"/>
              </w:rPr>
            </w:pPr>
            <w:r>
              <w:rPr>
                <w:sz w:val="20"/>
              </w:rPr>
              <w:t>sh1132,</w:t>
            </w:r>
            <w:r>
              <w:rPr>
                <w:spacing w:val="-6"/>
                <w:sz w:val="20"/>
              </w:rPr>
              <w:t> </w:t>
            </w:r>
            <w:r>
              <w:rPr>
                <w:spacing w:val="-2"/>
                <w:sz w:val="20"/>
              </w:rPr>
              <w:t>sh1145</w:t>
            </w:r>
          </w:p>
        </w:tc>
        <w:tc>
          <w:tcPr>
            <w:tcW w:w="779" w:type="dxa"/>
          </w:tcPr>
          <w:p>
            <w:pPr>
              <w:pStyle w:val="TableParagraph"/>
              <w:rPr>
                <w:sz w:val="18"/>
              </w:rPr>
            </w:pPr>
          </w:p>
        </w:tc>
      </w:tr>
      <w:tr>
        <w:trPr>
          <w:trHeight w:val="3494" w:hRule="atLeast"/>
        </w:trPr>
        <w:tc>
          <w:tcPr>
            <w:tcW w:w="1003" w:type="dxa"/>
          </w:tcPr>
          <w:p>
            <w:pPr>
              <w:pStyle w:val="TableParagraph"/>
              <w:spacing w:before="46"/>
              <w:ind w:left="50"/>
              <w:rPr>
                <w:sz w:val="20"/>
              </w:rPr>
            </w:pPr>
            <w:r>
              <w:rPr>
                <w:spacing w:val="-2"/>
                <w:sz w:val="20"/>
              </w:rPr>
              <w:t>ds19.084</w:t>
            </w:r>
          </w:p>
        </w:tc>
        <w:tc>
          <w:tcPr>
            <w:tcW w:w="645" w:type="dxa"/>
          </w:tcPr>
          <w:p>
            <w:pPr>
              <w:pStyle w:val="TableParagraph"/>
              <w:spacing w:before="46"/>
              <w:ind w:left="211" w:right="203"/>
              <w:jc w:val="center"/>
              <w:rPr>
                <w:sz w:val="20"/>
              </w:rPr>
            </w:pPr>
            <w:r>
              <w:rPr>
                <w:spacing w:val="-5"/>
                <w:sz w:val="20"/>
              </w:rPr>
              <w:t>61</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5)</w:t>
            </w:r>
          </w:p>
        </w:tc>
        <w:tc>
          <w:tcPr>
            <w:tcW w:w="4105" w:type="dxa"/>
          </w:tcPr>
          <w:p>
            <w:pPr>
              <w:pStyle w:val="TableParagraph"/>
              <w:spacing w:before="46"/>
              <w:ind w:left="666"/>
              <w:rPr>
                <w:sz w:val="20"/>
              </w:rPr>
            </w:pPr>
            <w:r>
              <w:rPr>
                <w:sz w:val="20"/>
              </w:rPr>
              <w:t>C00-C80,</w:t>
            </w:r>
            <w:r>
              <w:rPr>
                <w:spacing w:val="-8"/>
                <w:sz w:val="20"/>
              </w:rPr>
              <w:t> </w:t>
            </w:r>
            <w:r>
              <w:rPr>
                <w:sz w:val="20"/>
              </w:rPr>
              <w:t>C97,</w:t>
            </w:r>
            <w:r>
              <w:rPr>
                <w:spacing w:val="-5"/>
                <w:sz w:val="20"/>
              </w:rPr>
              <w:t> </w:t>
            </w:r>
            <w:r>
              <w:rPr>
                <w:sz w:val="20"/>
              </w:rPr>
              <w:t>D00-</w:t>
            </w:r>
            <w:r>
              <w:rPr>
                <w:spacing w:val="-5"/>
                <w:sz w:val="20"/>
              </w:rPr>
              <w:t>D09</w:t>
            </w:r>
          </w:p>
        </w:tc>
        <w:tc>
          <w:tcPr>
            <w:tcW w:w="2402" w:type="dxa"/>
          </w:tcPr>
          <w:p>
            <w:pPr>
              <w:pStyle w:val="TableParagraph"/>
              <w:spacing w:before="46"/>
              <w:ind w:left="503"/>
              <w:jc w:val="center"/>
              <w:rPr>
                <w:sz w:val="20"/>
              </w:rPr>
            </w:pPr>
            <w:r>
              <w:rPr>
                <w:w w:val="99"/>
                <w:sz w:val="20"/>
              </w:rPr>
              <w:t>-</w:t>
            </w:r>
          </w:p>
        </w:tc>
        <w:tc>
          <w:tcPr>
            <w:tcW w:w="3290" w:type="dxa"/>
          </w:tcPr>
          <w:p>
            <w:pPr>
              <w:pStyle w:val="TableParagraph"/>
              <w:spacing w:before="46"/>
              <w:ind w:left="915" w:right="366"/>
              <w:jc w:val="center"/>
              <w:rPr>
                <w:sz w:val="20"/>
              </w:rPr>
            </w:pPr>
            <w:r>
              <w:rPr>
                <w:sz w:val="20"/>
              </w:rPr>
              <w:t>Возрастная</w:t>
            </w:r>
            <w:r>
              <w:rPr>
                <w:spacing w:val="-13"/>
                <w:sz w:val="20"/>
              </w:rPr>
              <w:t> </w:t>
            </w:r>
            <w:r>
              <w:rPr>
                <w:sz w:val="20"/>
              </w:rPr>
              <w:t>группа: старше 18 лет</w:t>
            </w:r>
          </w:p>
          <w:p>
            <w:pPr>
              <w:pStyle w:val="TableParagraph"/>
              <w:ind w:left="919" w:right="374" w:hanging="1"/>
              <w:jc w:val="center"/>
              <w:rPr>
                <w:sz w:val="20"/>
              </w:rPr>
            </w:pPr>
            <w:r>
              <w:rPr>
                <w:sz w:val="20"/>
              </w:rPr>
              <w:t>Схемы:</w:t>
            </w:r>
            <w:r>
              <w:rPr>
                <w:spacing w:val="-13"/>
                <w:sz w:val="20"/>
              </w:rPr>
              <w:t> </w:t>
            </w:r>
            <w:r>
              <w:rPr>
                <w:sz w:val="20"/>
              </w:rPr>
              <w:t>sh0017,</w:t>
            </w:r>
            <w:r>
              <w:rPr>
                <w:spacing w:val="-12"/>
                <w:sz w:val="20"/>
              </w:rPr>
              <w:t> </w:t>
            </w:r>
            <w:r>
              <w:rPr>
                <w:sz w:val="20"/>
              </w:rPr>
              <w:t>sh0057, sh0077,</w:t>
            </w:r>
            <w:r>
              <w:rPr>
                <w:spacing w:val="-13"/>
                <w:sz w:val="20"/>
              </w:rPr>
              <w:t> </w:t>
            </w:r>
            <w:r>
              <w:rPr>
                <w:sz w:val="20"/>
              </w:rPr>
              <w:t>sh0179,</w:t>
            </w:r>
            <w:r>
              <w:rPr>
                <w:spacing w:val="-12"/>
                <w:sz w:val="20"/>
              </w:rPr>
              <w:t> </w:t>
            </w:r>
            <w:r>
              <w:rPr>
                <w:sz w:val="20"/>
              </w:rPr>
              <w:t>sh0207, sh0218,</w:t>
            </w:r>
            <w:r>
              <w:rPr>
                <w:spacing w:val="-13"/>
                <w:sz w:val="20"/>
              </w:rPr>
              <w:t> </w:t>
            </w:r>
            <w:r>
              <w:rPr>
                <w:sz w:val="20"/>
              </w:rPr>
              <w:t>sh0399,</w:t>
            </w:r>
            <w:r>
              <w:rPr>
                <w:spacing w:val="-12"/>
                <w:sz w:val="20"/>
              </w:rPr>
              <w:t> </w:t>
            </w:r>
            <w:r>
              <w:rPr>
                <w:sz w:val="20"/>
              </w:rPr>
              <w:t>sh0453, sh0464,</w:t>
            </w:r>
            <w:r>
              <w:rPr>
                <w:spacing w:val="-13"/>
                <w:sz w:val="20"/>
              </w:rPr>
              <w:t> </w:t>
            </w:r>
            <w:r>
              <w:rPr>
                <w:sz w:val="20"/>
              </w:rPr>
              <w:t>sh0538,</w:t>
            </w:r>
            <w:r>
              <w:rPr>
                <w:spacing w:val="-12"/>
                <w:sz w:val="20"/>
              </w:rPr>
              <w:t> </w:t>
            </w:r>
            <w:r>
              <w:rPr>
                <w:sz w:val="20"/>
              </w:rPr>
              <w:t>sh0591, sh0629,</w:t>
            </w:r>
            <w:r>
              <w:rPr>
                <w:spacing w:val="-13"/>
                <w:sz w:val="20"/>
              </w:rPr>
              <w:t> </w:t>
            </w:r>
            <w:r>
              <w:rPr>
                <w:sz w:val="20"/>
              </w:rPr>
              <w:t>sh0638,</w:t>
            </w:r>
            <w:r>
              <w:rPr>
                <w:spacing w:val="-12"/>
                <w:sz w:val="20"/>
              </w:rPr>
              <w:t> </w:t>
            </w:r>
            <w:r>
              <w:rPr>
                <w:sz w:val="20"/>
              </w:rPr>
              <w:t>sh0648, sh0664,</w:t>
            </w:r>
            <w:r>
              <w:rPr>
                <w:spacing w:val="-13"/>
                <w:sz w:val="20"/>
              </w:rPr>
              <w:t> </w:t>
            </w:r>
            <w:r>
              <w:rPr>
                <w:sz w:val="20"/>
              </w:rPr>
              <w:t>sh0665,</w:t>
            </w:r>
            <w:r>
              <w:rPr>
                <w:spacing w:val="-12"/>
                <w:sz w:val="20"/>
              </w:rPr>
              <w:t> </w:t>
            </w:r>
            <w:r>
              <w:rPr>
                <w:sz w:val="20"/>
              </w:rPr>
              <w:t>sh0751, sh0756,</w:t>
            </w:r>
            <w:r>
              <w:rPr>
                <w:spacing w:val="-13"/>
                <w:sz w:val="20"/>
              </w:rPr>
              <w:t> </w:t>
            </w:r>
            <w:r>
              <w:rPr>
                <w:sz w:val="20"/>
              </w:rPr>
              <w:t>sh0838,</w:t>
            </w:r>
            <w:r>
              <w:rPr>
                <w:spacing w:val="-12"/>
                <w:sz w:val="20"/>
              </w:rPr>
              <w:t> </w:t>
            </w:r>
            <w:r>
              <w:rPr>
                <w:sz w:val="20"/>
              </w:rPr>
              <w:t>sh0858, sh0912,</w:t>
            </w:r>
            <w:r>
              <w:rPr>
                <w:spacing w:val="-13"/>
                <w:sz w:val="20"/>
              </w:rPr>
              <w:t> </w:t>
            </w:r>
            <w:r>
              <w:rPr>
                <w:sz w:val="20"/>
              </w:rPr>
              <w:t>sh0937,</w:t>
            </w:r>
            <w:r>
              <w:rPr>
                <w:spacing w:val="-12"/>
                <w:sz w:val="20"/>
              </w:rPr>
              <w:t> </w:t>
            </w:r>
            <w:r>
              <w:rPr>
                <w:sz w:val="20"/>
              </w:rPr>
              <w:t>sh0965, sh0967,</w:t>
            </w:r>
            <w:r>
              <w:rPr>
                <w:spacing w:val="-13"/>
                <w:sz w:val="20"/>
              </w:rPr>
              <w:t> </w:t>
            </w:r>
            <w:r>
              <w:rPr>
                <w:sz w:val="20"/>
              </w:rPr>
              <w:t>sh0994,</w:t>
            </w:r>
            <w:r>
              <w:rPr>
                <w:spacing w:val="-12"/>
                <w:sz w:val="20"/>
              </w:rPr>
              <w:t> </w:t>
            </w:r>
            <w:r>
              <w:rPr>
                <w:sz w:val="20"/>
              </w:rPr>
              <w:t>sh1032, sh1033,</w:t>
            </w:r>
            <w:r>
              <w:rPr>
                <w:spacing w:val="-13"/>
                <w:sz w:val="20"/>
              </w:rPr>
              <w:t> </w:t>
            </w:r>
            <w:r>
              <w:rPr>
                <w:sz w:val="20"/>
              </w:rPr>
              <w:t>sh1069,</w:t>
            </w:r>
            <w:r>
              <w:rPr>
                <w:spacing w:val="-12"/>
                <w:sz w:val="20"/>
              </w:rPr>
              <w:t> </w:t>
            </w:r>
            <w:r>
              <w:rPr>
                <w:sz w:val="20"/>
              </w:rPr>
              <w:t>sh1076, sh1079.1, sh1097,</w:t>
            </w:r>
          </w:p>
          <w:p>
            <w:pPr>
              <w:pStyle w:val="TableParagraph"/>
              <w:spacing w:line="230" w:lineRule="atLeast"/>
              <w:ind w:left="915" w:right="369"/>
              <w:jc w:val="center"/>
              <w:rPr>
                <w:sz w:val="20"/>
              </w:rPr>
            </w:pPr>
            <w:r>
              <w:rPr>
                <w:sz w:val="20"/>
              </w:rPr>
              <w:t>sh1098, sh1101, sh1136.1,</w:t>
            </w:r>
            <w:r>
              <w:rPr>
                <w:spacing w:val="-13"/>
                <w:sz w:val="20"/>
              </w:rPr>
              <w:t> </w:t>
            </w:r>
            <w:r>
              <w:rPr>
                <w:sz w:val="20"/>
              </w:rPr>
              <w:t>sh1144</w:t>
            </w:r>
          </w:p>
        </w:tc>
        <w:tc>
          <w:tcPr>
            <w:tcW w:w="779" w:type="dxa"/>
          </w:tcPr>
          <w:p>
            <w:pPr>
              <w:pStyle w:val="TableParagraph"/>
              <w:spacing w:before="46"/>
              <w:ind w:left="380"/>
              <w:rPr>
                <w:sz w:val="20"/>
              </w:rPr>
            </w:pPr>
            <w:r>
              <w:rPr>
                <w:spacing w:val="-4"/>
                <w:sz w:val="20"/>
              </w:rPr>
              <w:t>4,19</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90"/>
        <w:gridCol w:w="779"/>
      </w:tblGrid>
      <w:tr>
        <w:trPr>
          <w:trHeight w:val="4185" w:hRule="atLeast"/>
        </w:trPr>
        <w:tc>
          <w:tcPr>
            <w:tcW w:w="1003" w:type="dxa"/>
          </w:tcPr>
          <w:p>
            <w:pPr>
              <w:pStyle w:val="TableParagraph"/>
              <w:spacing w:line="221" w:lineRule="exact"/>
              <w:ind w:left="50"/>
              <w:rPr>
                <w:sz w:val="20"/>
              </w:rPr>
            </w:pPr>
            <w:r>
              <w:rPr>
                <w:spacing w:val="-2"/>
                <w:sz w:val="20"/>
              </w:rPr>
              <w:t>ds19.085</w:t>
            </w:r>
          </w:p>
        </w:tc>
        <w:tc>
          <w:tcPr>
            <w:tcW w:w="645" w:type="dxa"/>
          </w:tcPr>
          <w:p>
            <w:pPr>
              <w:pStyle w:val="TableParagraph"/>
              <w:spacing w:line="221" w:lineRule="exact"/>
              <w:ind w:right="215"/>
              <w:jc w:val="right"/>
              <w:rPr>
                <w:sz w:val="20"/>
              </w:rPr>
            </w:pPr>
            <w:r>
              <w:rPr>
                <w:spacing w:val="-5"/>
                <w:sz w:val="20"/>
              </w:rPr>
              <w:t>62</w:t>
            </w:r>
          </w:p>
        </w:tc>
        <w:tc>
          <w:tcPr>
            <w:tcW w:w="3069" w:type="dxa"/>
          </w:tcPr>
          <w:p>
            <w:pPr>
              <w:pStyle w:val="TableParagraph"/>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6)</w:t>
            </w:r>
          </w:p>
        </w:tc>
        <w:tc>
          <w:tcPr>
            <w:tcW w:w="4105" w:type="dxa"/>
          </w:tcPr>
          <w:p>
            <w:pPr>
              <w:pStyle w:val="TableParagraph"/>
              <w:spacing w:line="221" w:lineRule="exact"/>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line="221" w:lineRule="exact"/>
              <w:ind w:right="913"/>
              <w:jc w:val="right"/>
              <w:rPr>
                <w:sz w:val="20"/>
              </w:rPr>
            </w:pPr>
            <w:r>
              <w:rPr>
                <w:w w:val="99"/>
                <w:sz w:val="20"/>
              </w:rPr>
              <w:t>-</w:t>
            </w:r>
          </w:p>
        </w:tc>
        <w:tc>
          <w:tcPr>
            <w:tcW w:w="3290" w:type="dxa"/>
          </w:tcPr>
          <w:p>
            <w:pPr>
              <w:pStyle w:val="TableParagraph"/>
              <w:ind w:left="1088" w:right="538"/>
              <w:jc w:val="center"/>
              <w:rPr>
                <w:sz w:val="20"/>
              </w:rPr>
            </w:pPr>
            <w:r>
              <w:rPr>
                <w:sz w:val="20"/>
              </w:rPr>
              <w:t>Возрастная</w:t>
            </w:r>
            <w:r>
              <w:rPr>
                <w:spacing w:val="-13"/>
                <w:sz w:val="20"/>
              </w:rPr>
              <w:t> </w:t>
            </w:r>
            <w:r>
              <w:rPr>
                <w:sz w:val="20"/>
              </w:rPr>
              <w:t>группа: старше 18 лет Схемы: sh0027.1,</w:t>
            </w:r>
          </w:p>
          <w:p>
            <w:pPr>
              <w:pStyle w:val="TableParagraph"/>
              <w:ind w:left="926" w:right="377" w:hanging="1"/>
              <w:jc w:val="center"/>
              <w:rPr>
                <w:sz w:val="20"/>
              </w:rPr>
            </w:pPr>
            <w:r>
              <w:rPr>
                <w:sz w:val="20"/>
              </w:rPr>
              <w:t>sh0085,</w:t>
            </w:r>
            <w:r>
              <w:rPr>
                <w:spacing w:val="-13"/>
                <w:sz w:val="20"/>
              </w:rPr>
              <w:t> </w:t>
            </w:r>
            <w:r>
              <w:rPr>
                <w:sz w:val="20"/>
              </w:rPr>
              <w:t>sh0088,</w:t>
            </w:r>
            <w:r>
              <w:rPr>
                <w:spacing w:val="-12"/>
                <w:sz w:val="20"/>
              </w:rPr>
              <w:t> </w:t>
            </w:r>
            <w:r>
              <w:rPr>
                <w:sz w:val="20"/>
              </w:rPr>
              <w:t>sh0094, sh0161,</w:t>
            </w:r>
            <w:r>
              <w:rPr>
                <w:spacing w:val="-13"/>
                <w:sz w:val="20"/>
              </w:rPr>
              <w:t> </w:t>
            </w:r>
            <w:r>
              <w:rPr>
                <w:sz w:val="20"/>
              </w:rPr>
              <w:t>sh0162,</w:t>
            </w:r>
            <w:r>
              <w:rPr>
                <w:spacing w:val="-12"/>
                <w:sz w:val="20"/>
              </w:rPr>
              <w:t> </w:t>
            </w:r>
            <w:r>
              <w:rPr>
                <w:sz w:val="20"/>
              </w:rPr>
              <w:t>sh0209, sh0255, sh0306.1, sh0335,</w:t>
            </w:r>
            <w:r>
              <w:rPr>
                <w:spacing w:val="-13"/>
                <w:sz w:val="20"/>
              </w:rPr>
              <w:t> </w:t>
            </w:r>
            <w:r>
              <w:rPr>
                <w:sz w:val="20"/>
              </w:rPr>
              <w:t>sh0398,</w:t>
            </w:r>
            <w:r>
              <w:rPr>
                <w:spacing w:val="-12"/>
                <w:sz w:val="20"/>
              </w:rPr>
              <w:t> </w:t>
            </w:r>
            <w:r>
              <w:rPr>
                <w:sz w:val="20"/>
              </w:rPr>
              <w:t>sh0474, sh0557,</w:t>
            </w:r>
            <w:r>
              <w:rPr>
                <w:spacing w:val="-13"/>
                <w:sz w:val="20"/>
              </w:rPr>
              <w:t> </w:t>
            </w:r>
            <w:r>
              <w:rPr>
                <w:sz w:val="20"/>
              </w:rPr>
              <w:t>sh0620,</w:t>
            </w:r>
            <w:r>
              <w:rPr>
                <w:spacing w:val="-12"/>
                <w:sz w:val="20"/>
              </w:rPr>
              <w:t> </w:t>
            </w:r>
            <w:r>
              <w:rPr>
                <w:sz w:val="20"/>
              </w:rPr>
              <w:t>sh0645, sh0670,</w:t>
            </w:r>
            <w:r>
              <w:rPr>
                <w:spacing w:val="-13"/>
                <w:sz w:val="20"/>
              </w:rPr>
              <w:t> </w:t>
            </w:r>
            <w:r>
              <w:rPr>
                <w:sz w:val="20"/>
              </w:rPr>
              <w:t>sh0701,</w:t>
            </w:r>
            <w:r>
              <w:rPr>
                <w:spacing w:val="-12"/>
                <w:sz w:val="20"/>
              </w:rPr>
              <w:t> </w:t>
            </w:r>
            <w:r>
              <w:rPr>
                <w:sz w:val="20"/>
              </w:rPr>
              <w:t>sh0818, sh0820.1, sh0821, sh0823, sh0834, sh0841.1, sh0842, sh0848,</w:t>
            </w:r>
            <w:r>
              <w:rPr>
                <w:spacing w:val="-13"/>
                <w:sz w:val="20"/>
              </w:rPr>
              <w:t> </w:t>
            </w:r>
            <w:r>
              <w:rPr>
                <w:sz w:val="20"/>
              </w:rPr>
              <w:t>sh0850,</w:t>
            </w:r>
            <w:r>
              <w:rPr>
                <w:spacing w:val="-12"/>
                <w:sz w:val="20"/>
              </w:rPr>
              <w:t> </w:t>
            </w:r>
            <w:r>
              <w:rPr>
                <w:sz w:val="20"/>
              </w:rPr>
              <w:t>sh0852, sh0855,</w:t>
            </w:r>
            <w:r>
              <w:rPr>
                <w:spacing w:val="-13"/>
                <w:sz w:val="20"/>
              </w:rPr>
              <w:t> </w:t>
            </w:r>
            <w:r>
              <w:rPr>
                <w:sz w:val="20"/>
              </w:rPr>
              <w:t>sh0859,</w:t>
            </w:r>
            <w:r>
              <w:rPr>
                <w:spacing w:val="-12"/>
                <w:sz w:val="20"/>
              </w:rPr>
              <w:t> </w:t>
            </w:r>
            <w:r>
              <w:rPr>
                <w:sz w:val="20"/>
              </w:rPr>
              <w:t>sh0862, sh0866,</w:t>
            </w:r>
            <w:r>
              <w:rPr>
                <w:spacing w:val="-13"/>
                <w:sz w:val="20"/>
              </w:rPr>
              <w:t> </w:t>
            </w:r>
            <w:r>
              <w:rPr>
                <w:sz w:val="20"/>
              </w:rPr>
              <w:t>sh0868,</w:t>
            </w:r>
            <w:r>
              <w:rPr>
                <w:spacing w:val="-12"/>
                <w:sz w:val="20"/>
              </w:rPr>
              <w:t> </w:t>
            </w:r>
            <w:r>
              <w:rPr>
                <w:sz w:val="20"/>
              </w:rPr>
              <w:t>sh0893, sh0906,</w:t>
            </w:r>
            <w:r>
              <w:rPr>
                <w:spacing w:val="-13"/>
                <w:sz w:val="20"/>
              </w:rPr>
              <w:t> </w:t>
            </w:r>
            <w:r>
              <w:rPr>
                <w:sz w:val="20"/>
              </w:rPr>
              <w:t>sh0949,</w:t>
            </w:r>
            <w:r>
              <w:rPr>
                <w:spacing w:val="-12"/>
                <w:sz w:val="20"/>
              </w:rPr>
              <w:t> </w:t>
            </w:r>
            <w:r>
              <w:rPr>
                <w:sz w:val="20"/>
              </w:rPr>
              <w:t>sh0995, sh1066, sh1070, sh1075.1, sh1094</w:t>
            </w:r>
          </w:p>
        </w:tc>
        <w:tc>
          <w:tcPr>
            <w:tcW w:w="779" w:type="dxa"/>
          </w:tcPr>
          <w:p>
            <w:pPr>
              <w:pStyle w:val="TableParagraph"/>
              <w:spacing w:line="221" w:lineRule="exact"/>
              <w:ind w:right="46"/>
              <w:jc w:val="right"/>
              <w:rPr>
                <w:sz w:val="20"/>
              </w:rPr>
            </w:pPr>
            <w:r>
              <w:rPr>
                <w:spacing w:val="-4"/>
                <w:sz w:val="20"/>
              </w:rPr>
              <w:t>4,93</w:t>
            </w:r>
          </w:p>
        </w:tc>
      </w:tr>
      <w:tr>
        <w:trPr>
          <w:trHeight w:val="4415" w:hRule="atLeast"/>
        </w:trPr>
        <w:tc>
          <w:tcPr>
            <w:tcW w:w="1003" w:type="dxa"/>
          </w:tcPr>
          <w:p>
            <w:pPr>
              <w:pStyle w:val="TableParagraph"/>
              <w:spacing w:before="45"/>
              <w:ind w:left="50"/>
              <w:rPr>
                <w:sz w:val="20"/>
              </w:rPr>
            </w:pPr>
            <w:r>
              <w:rPr>
                <w:spacing w:val="-2"/>
                <w:sz w:val="20"/>
              </w:rPr>
              <w:t>ds19.086</w:t>
            </w:r>
          </w:p>
        </w:tc>
        <w:tc>
          <w:tcPr>
            <w:tcW w:w="645" w:type="dxa"/>
          </w:tcPr>
          <w:p>
            <w:pPr>
              <w:pStyle w:val="TableParagraph"/>
              <w:spacing w:before="45"/>
              <w:ind w:right="215"/>
              <w:jc w:val="right"/>
              <w:rPr>
                <w:sz w:val="20"/>
              </w:rPr>
            </w:pPr>
            <w:r>
              <w:rPr>
                <w:spacing w:val="-5"/>
                <w:sz w:val="20"/>
              </w:rPr>
              <w:t>63</w:t>
            </w:r>
          </w:p>
        </w:tc>
        <w:tc>
          <w:tcPr>
            <w:tcW w:w="3069" w:type="dxa"/>
          </w:tcPr>
          <w:p>
            <w:pPr>
              <w:pStyle w:val="TableParagraph"/>
              <w:spacing w:before="45"/>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7)</w:t>
            </w:r>
          </w:p>
        </w:tc>
        <w:tc>
          <w:tcPr>
            <w:tcW w:w="4105" w:type="dxa"/>
          </w:tcPr>
          <w:p>
            <w:pPr>
              <w:pStyle w:val="TableParagraph"/>
              <w:spacing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5"/>
              <w:ind w:right="913"/>
              <w:jc w:val="right"/>
              <w:rPr>
                <w:sz w:val="20"/>
              </w:rPr>
            </w:pPr>
            <w:r>
              <w:rPr>
                <w:w w:val="99"/>
                <w:sz w:val="20"/>
              </w:rPr>
              <w:t>-</w:t>
            </w:r>
          </w:p>
        </w:tc>
        <w:tc>
          <w:tcPr>
            <w:tcW w:w="3290" w:type="dxa"/>
          </w:tcPr>
          <w:p>
            <w:pPr>
              <w:pStyle w:val="TableParagraph"/>
              <w:spacing w:before="45"/>
              <w:ind w:left="915" w:right="366"/>
              <w:jc w:val="center"/>
              <w:rPr>
                <w:sz w:val="20"/>
              </w:rPr>
            </w:pPr>
            <w:r>
              <w:rPr>
                <w:sz w:val="20"/>
              </w:rPr>
              <w:t>Возрастная</w:t>
            </w:r>
            <w:r>
              <w:rPr>
                <w:spacing w:val="-13"/>
                <w:sz w:val="20"/>
              </w:rPr>
              <w:t> </w:t>
            </w:r>
            <w:r>
              <w:rPr>
                <w:sz w:val="20"/>
              </w:rPr>
              <w:t>группа: старше 18 лет</w:t>
            </w:r>
          </w:p>
          <w:p>
            <w:pPr>
              <w:pStyle w:val="TableParagraph"/>
              <w:spacing w:before="1"/>
              <w:ind w:left="919" w:right="374" w:hanging="1"/>
              <w:jc w:val="center"/>
              <w:rPr>
                <w:sz w:val="20"/>
              </w:rPr>
            </w:pPr>
            <w:r>
              <w:rPr>
                <w:sz w:val="20"/>
              </w:rPr>
              <w:t>Схемы:</w:t>
            </w:r>
            <w:r>
              <w:rPr>
                <w:spacing w:val="-13"/>
                <w:sz w:val="20"/>
              </w:rPr>
              <w:t> </w:t>
            </w:r>
            <w:r>
              <w:rPr>
                <w:sz w:val="20"/>
              </w:rPr>
              <w:t>sh0011,</w:t>
            </w:r>
            <w:r>
              <w:rPr>
                <w:spacing w:val="-12"/>
                <w:sz w:val="20"/>
              </w:rPr>
              <w:t> </w:t>
            </w:r>
            <w:r>
              <w:rPr>
                <w:sz w:val="20"/>
              </w:rPr>
              <w:t>sh0066, sh0069,</w:t>
            </w:r>
            <w:r>
              <w:rPr>
                <w:spacing w:val="-13"/>
                <w:sz w:val="20"/>
              </w:rPr>
              <w:t> </w:t>
            </w:r>
            <w:r>
              <w:rPr>
                <w:sz w:val="20"/>
              </w:rPr>
              <w:t>sh0076,</w:t>
            </w:r>
            <w:r>
              <w:rPr>
                <w:spacing w:val="-12"/>
                <w:sz w:val="20"/>
              </w:rPr>
              <w:t> </w:t>
            </w:r>
            <w:r>
              <w:rPr>
                <w:sz w:val="20"/>
              </w:rPr>
              <w:t>sh0078, sh0104,</w:t>
            </w:r>
            <w:r>
              <w:rPr>
                <w:spacing w:val="-13"/>
                <w:sz w:val="20"/>
              </w:rPr>
              <w:t> </w:t>
            </w:r>
            <w:r>
              <w:rPr>
                <w:sz w:val="20"/>
              </w:rPr>
              <w:t>sh0150,</w:t>
            </w:r>
            <w:r>
              <w:rPr>
                <w:spacing w:val="-12"/>
                <w:sz w:val="20"/>
              </w:rPr>
              <w:t> </w:t>
            </w:r>
            <w:r>
              <w:rPr>
                <w:sz w:val="20"/>
              </w:rPr>
              <w:t>sh0180, sh0256, sh0293, sh0308.1, sh0331, sh0347,</w:t>
            </w:r>
            <w:r>
              <w:rPr>
                <w:spacing w:val="-13"/>
                <w:sz w:val="20"/>
              </w:rPr>
              <w:t> </w:t>
            </w:r>
            <w:r>
              <w:rPr>
                <w:sz w:val="20"/>
              </w:rPr>
              <w:t>sh0372,</w:t>
            </w:r>
            <w:r>
              <w:rPr>
                <w:spacing w:val="-12"/>
                <w:sz w:val="20"/>
              </w:rPr>
              <w:t> </w:t>
            </w:r>
            <w:r>
              <w:rPr>
                <w:sz w:val="20"/>
              </w:rPr>
              <w:t>sh0418, sh0494,</w:t>
            </w:r>
            <w:r>
              <w:rPr>
                <w:spacing w:val="-13"/>
                <w:sz w:val="20"/>
              </w:rPr>
              <w:t> </w:t>
            </w:r>
            <w:r>
              <w:rPr>
                <w:sz w:val="20"/>
              </w:rPr>
              <w:t>sh0523,</w:t>
            </w:r>
            <w:r>
              <w:rPr>
                <w:spacing w:val="-12"/>
                <w:sz w:val="20"/>
              </w:rPr>
              <w:t> </w:t>
            </w:r>
            <w:r>
              <w:rPr>
                <w:sz w:val="20"/>
              </w:rPr>
              <w:t>sh0576, sh0630, sh0638.1, sh0647,</w:t>
            </w:r>
            <w:r>
              <w:rPr>
                <w:spacing w:val="-13"/>
                <w:sz w:val="20"/>
              </w:rPr>
              <w:t> </w:t>
            </w:r>
            <w:r>
              <w:rPr>
                <w:sz w:val="20"/>
              </w:rPr>
              <w:t>sh0652,</w:t>
            </w:r>
            <w:r>
              <w:rPr>
                <w:spacing w:val="-12"/>
                <w:sz w:val="20"/>
              </w:rPr>
              <w:t> </w:t>
            </w:r>
            <w:r>
              <w:rPr>
                <w:sz w:val="20"/>
              </w:rPr>
              <w:t>sh0654, sh0655,</w:t>
            </w:r>
            <w:r>
              <w:rPr>
                <w:spacing w:val="-13"/>
                <w:sz w:val="20"/>
              </w:rPr>
              <w:t> </w:t>
            </w:r>
            <w:r>
              <w:rPr>
                <w:sz w:val="20"/>
              </w:rPr>
              <w:t>sh0658,</w:t>
            </w:r>
            <w:r>
              <w:rPr>
                <w:spacing w:val="-12"/>
                <w:sz w:val="20"/>
              </w:rPr>
              <w:t> </w:t>
            </w:r>
            <w:r>
              <w:rPr>
                <w:sz w:val="20"/>
              </w:rPr>
              <w:t>sh0676, sh0691,</w:t>
            </w:r>
            <w:r>
              <w:rPr>
                <w:spacing w:val="-13"/>
                <w:sz w:val="20"/>
              </w:rPr>
              <w:t> </w:t>
            </w:r>
            <w:r>
              <w:rPr>
                <w:sz w:val="20"/>
              </w:rPr>
              <w:t>sh0696,</w:t>
            </w:r>
            <w:r>
              <w:rPr>
                <w:spacing w:val="-12"/>
                <w:sz w:val="20"/>
              </w:rPr>
              <w:t> </w:t>
            </w:r>
            <w:r>
              <w:rPr>
                <w:sz w:val="20"/>
              </w:rPr>
              <w:t>sh0697, sh0802, sh0835.1, sh0837.1, sh0839, sh0854.1, sh0857.1, sh0861,</w:t>
            </w:r>
            <w:r>
              <w:rPr>
                <w:spacing w:val="-13"/>
                <w:sz w:val="20"/>
              </w:rPr>
              <w:t> </w:t>
            </w:r>
            <w:r>
              <w:rPr>
                <w:sz w:val="20"/>
              </w:rPr>
              <w:t>sh0889,</w:t>
            </w:r>
            <w:r>
              <w:rPr>
                <w:spacing w:val="-12"/>
                <w:sz w:val="20"/>
              </w:rPr>
              <w:t> </w:t>
            </w:r>
            <w:r>
              <w:rPr>
                <w:sz w:val="20"/>
              </w:rPr>
              <w:t>sh0894,</w:t>
            </w:r>
          </w:p>
          <w:p>
            <w:pPr>
              <w:pStyle w:val="TableParagraph"/>
              <w:spacing w:line="230" w:lineRule="exact"/>
              <w:ind w:left="1190" w:right="641" w:hanging="2"/>
              <w:jc w:val="center"/>
              <w:rPr>
                <w:sz w:val="20"/>
              </w:rPr>
            </w:pPr>
            <w:r>
              <w:rPr>
                <w:sz w:val="20"/>
              </w:rPr>
              <w:t>sh0917, sh0996, sh1040.1,</w:t>
            </w:r>
            <w:r>
              <w:rPr>
                <w:spacing w:val="-13"/>
                <w:sz w:val="20"/>
              </w:rPr>
              <w:t> </w:t>
            </w:r>
            <w:r>
              <w:rPr>
                <w:sz w:val="20"/>
              </w:rPr>
              <w:t>sh1045,</w:t>
            </w:r>
          </w:p>
        </w:tc>
        <w:tc>
          <w:tcPr>
            <w:tcW w:w="779" w:type="dxa"/>
          </w:tcPr>
          <w:p>
            <w:pPr>
              <w:pStyle w:val="TableParagraph"/>
              <w:spacing w:before="45"/>
              <w:ind w:right="46"/>
              <w:jc w:val="right"/>
              <w:rPr>
                <w:sz w:val="20"/>
              </w:rPr>
            </w:pPr>
            <w:r>
              <w:rPr>
                <w:spacing w:val="-4"/>
                <w:sz w:val="20"/>
              </w:rPr>
              <w:t>5,87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569"/>
        <w:gridCol w:w="1937"/>
        <w:gridCol w:w="3289"/>
        <w:gridCol w:w="779"/>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569" w:type="dxa"/>
          </w:tcPr>
          <w:p>
            <w:pPr>
              <w:pStyle w:val="TableParagraph"/>
              <w:rPr>
                <w:sz w:val="18"/>
              </w:rPr>
            </w:pPr>
          </w:p>
        </w:tc>
        <w:tc>
          <w:tcPr>
            <w:tcW w:w="1937" w:type="dxa"/>
          </w:tcPr>
          <w:p>
            <w:pPr>
              <w:pStyle w:val="TableParagraph"/>
              <w:rPr>
                <w:sz w:val="18"/>
              </w:rPr>
            </w:pPr>
          </w:p>
        </w:tc>
        <w:tc>
          <w:tcPr>
            <w:tcW w:w="3289" w:type="dxa"/>
          </w:tcPr>
          <w:p>
            <w:pPr>
              <w:pStyle w:val="TableParagraph"/>
              <w:spacing w:line="221" w:lineRule="exact"/>
              <w:ind w:left="912" w:right="363"/>
              <w:jc w:val="center"/>
              <w:rPr>
                <w:sz w:val="20"/>
              </w:rPr>
            </w:pPr>
            <w:r>
              <w:rPr>
                <w:sz w:val="20"/>
              </w:rPr>
              <w:t>sh1049,</w:t>
            </w:r>
            <w:r>
              <w:rPr>
                <w:spacing w:val="-6"/>
                <w:sz w:val="20"/>
              </w:rPr>
              <w:t> </w:t>
            </w:r>
            <w:r>
              <w:rPr>
                <w:sz w:val="20"/>
              </w:rPr>
              <w:t>sh1095,</w:t>
            </w:r>
            <w:r>
              <w:rPr>
                <w:spacing w:val="-5"/>
                <w:sz w:val="20"/>
              </w:rPr>
              <w:t> </w:t>
            </w:r>
            <w:r>
              <w:rPr>
                <w:spacing w:val="-2"/>
                <w:sz w:val="20"/>
              </w:rPr>
              <w:t>sh1096,</w:t>
            </w:r>
          </w:p>
          <w:p>
            <w:pPr>
              <w:pStyle w:val="TableParagraph"/>
              <w:ind w:left="912" w:right="362"/>
              <w:jc w:val="center"/>
              <w:rPr>
                <w:sz w:val="20"/>
              </w:rPr>
            </w:pPr>
            <w:r>
              <w:rPr>
                <w:sz w:val="20"/>
              </w:rPr>
              <w:t>sh1100,</w:t>
            </w:r>
            <w:r>
              <w:rPr>
                <w:spacing w:val="-6"/>
                <w:sz w:val="20"/>
              </w:rPr>
              <w:t> </w:t>
            </w:r>
            <w:r>
              <w:rPr>
                <w:spacing w:val="-2"/>
                <w:sz w:val="20"/>
              </w:rPr>
              <w:t>sh1123</w:t>
            </w:r>
          </w:p>
        </w:tc>
        <w:tc>
          <w:tcPr>
            <w:tcW w:w="779" w:type="dxa"/>
          </w:tcPr>
          <w:p>
            <w:pPr>
              <w:pStyle w:val="TableParagraph"/>
              <w:rPr>
                <w:sz w:val="18"/>
              </w:rPr>
            </w:pPr>
          </w:p>
        </w:tc>
      </w:tr>
      <w:tr>
        <w:trPr>
          <w:trHeight w:val="789" w:hRule="atLeast"/>
        </w:trPr>
        <w:tc>
          <w:tcPr>
            <w:tcW w:w="1003" w:type="dxa"/>
          </w:tcPr>
          <w:p>
            <w:pPr>
              <w:pStyle w:val="TableParagraph"/>
              <w:rPr>
                <w:sz w:val="18"/>
              </w:rPr>
            </w:pPr>
          </w:p>
        </w:tc>
        <w:tc>
          <w:tcPr>
            <w:tcW w:w="645" w:type="dxa"/>
          </w:tcPr>
          <w:p>
            <w:pPr>
              <w:pStyle w:val="TableParagraph"/>
              <w:rPr>
                <w:sz w:val="18"/>
              </w:rPr>
            </w:pPr>
          </w:p>
        </w:tc>
        <w:tc>
          <w:tcPr>
            <w:tcW w:w="7638" w:type="dxa"/>
            <w:gridSpan w:val="2"/>
          </w:tcPr>
          <w:p>
            <w:pPr>
              <w:pStyle w:val="TableParagraph"/>
              <w:spacing w:before="45"/>
              <w:ind w:left="2804"/>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4506" w:right="538" w:hanging="1702"/>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w:t>
            </w:r>
            <w:r>
              <w:rPr>
                <w:spacing w:val="-2"/>
                <w:sz w:val="20"/>
              </w:rPr>
              <w:t>C41.9</w:t>
            </w:r>
          </w:p>
        </w:tc>
        <w:tc>
          <w:tcPr>
            <w:tcW w:w="1937" w:type="dxa"/>
          </w:tcPr>
          <w:p>
            <w:pPr>
              <w:pStyle w:val="TableParagraph"/>
              <w:spacing w:before="45"/>
              <w:ind w:left="40"/>
              <w:jc w:val="center"/>
              <w:rPr>
                <w:sz w:val="20"/>
              </w:rPr>
            </w:pPr>
            <w:r>
              <w:rPr>
                <w:w w:val="99"/>
                <w:sz w:val="20"/>
              </w:rPr>
              <w:t>-</w:t>
            </w:r>
          </w:p>
        </w:tc>
        <w:tc>
          <w:tcPr>
            <w:tcW w:w="3289" w:type="dxa"/>
          </w:tcPr>
          <w:p>
            <w:pPr>
              <w:pStyle w:val="TableParagraph"/>
              <w:spacing w:before="45"/>
              <w:ind w:left="1092" w:right="540"/>
              <w:jc w:val="center"/>
              <w:rPr>
                <w:sz w:val="20"/>
              </w:rPr>
            </w:pPr>
            <w:r>
              <w:rPr>
                <w:sz w:val="20"/>
              </w:rPr>
              <w:t>Возрастная</w:t>
            </w:r>
            <w:r>
              <w:rPr>
                <w:spacing w:val="-13"/>
                <w:sz w:val="20"/>
              </w:rPr>
              <w:t> </w:t>
            </w:r>
            <w:r>
              <w:rPr>
                <w:sz w:val="20"/>
              </w:rPr>
              <w:t>группа: старше 18 лет Схемы: sh0926.1</w:t>
            </w:r>
          </w:p>
        </w:tc>
        <w:tc>
          <w:tcPr>
            <w:tcW w:w="779"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ds19.087</w:t>
            </w:r>
          </w:p>
        </w:tc>
        <w:tc>
          <w:tcPr>
            <w:tcW w:w="645" w:type="dxa"/>
          </w:tcPr>
          <w:p>
            <w:pPr>
              <w:pStyle w:val="TableParagraph"/>
              <w:spacing w:line="215" w:lineRule="exact" w:before="45"/>
              <w:ind w:right="215"/>
              <w:jc w:val="right"/>
              <w:rPr>
                <w:sz w:val="20"/>
              </w:rPr>
            </w:pPr>
            <w:r>
              <w:rPr>
                <w:spacing w:val="-5"/>
                <w:sz w:val="20"/>
              </w:rPr>
              <w:t>64</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4569" w:type="dxa"/>
          </w:tcPr>
          <w:p>
            <w:pPr>
              <w:pStyle w:val="TableParagraph"/>
              <w:spacing w:line="215" w:lineRule="exact"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7" w:type="dxa"/>
          </w:tcPr>
          <w:p>
            <w:pPr>
              <w:pStyle w:val="TableParagraph"/>
              <w:spacing w:line="215" w:lineRule="exact" w:before="45"/>
              <w:ind w:left="40"/>
              <w:jc w:val="center"/>
              <w:rPr>
                <w:sz w:val="20"/>
              </w:rPr>
            </w:pPr>
            <w:r>
              <w:rPr>
                <w:w w:val="99"/>
                <w:sz w:val="20"/>
              </w:rPr>
              <w:t>-</w:t>
            </w:r>
          </w:p>
        </w:tc>
        <w:tc>
          <w:tcPr>
            <w:tcW w:w="3289" w:type="dxa"/>
          </w:tcPr>
          <w:p>
            <w:pPr>
              <w:pStyle w:val="TableParagraph"/>
              <w:spacing w:line="215" w:lineRule="exact" w:before="45"/>
              <w:ind w:left="912" w:right="362"/>
              <w:jc w:val="center"/>
              <w:rPr>
                <w:sz w:val="20"/>
              </w:rPr>
            </w:pPr>
            <w:r>
              <w:rPr>
                <w:sz w:val="20"/>
              </w:rPr>
              <w:t>Возрастная</w:t>
            </w:r>
            <w:r>
              <w:rPr>
                <w:spacing w:val="-11"/>
                <w:sz w:val="20"/>
              </w:rPr>
              <w:t> </w:t>
            </w:r>
            <w:r>
              <w:rPr>
                <w:spacing w:val="-2"/>
                <w:sz w:val="20"/>
              </w:rPr>
              <w:t>группа:</w:t>
            </w:r>
          </w:p>
        </w:tc>
        <w:tc>
          <w:tcPr>
            <w:tcW w:w="779" w:type="dxa"/>
          </w:tcPr>
          <w:p>
            <w:pPr>
              <w:pStyle w:val="TableParagraph"/>
              <w:spacing w:line="215" w:lineRule="exact" w:before="45"/>
              <w:ind w:right="44"/>
              <w:jc w:val="right"/>
              <w:rPr>
                <w:sz w:val="20"/>
              </w:rPr>
            </w:pPr>
            <w:r>
              <w:rPr>
                <w:spacing w:val="-4"/>
                <w:sz w:val="20"/>
              </w:rPr>
              <w:t>7,66</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при</w:t>
            </w:r>
            <w:r>
              <w:rPr>
                <w:spacing w:val="-6"/>
                <w:sz w:val="20"/>
              </w:rPr>
              <w:t> </w:t>
            </w:r>
            <w:r>
              <w:rPr>
                <w:spacing w:val="-2"/>
                <w:sz w:val="20"/>
              </w:rPr>
              <w:t>злокачественных</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3"/>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7"/>
              <w:jc w:val="center"/>
              <w:rPr>
                <w:sz w:val="20"/>
              </w:rPr>
            </w:pPr>
            <w:r>
              <w:rPr>
                <w:sz w:val="20"/>
              </w:rPr>
              <w:t>Схемы:</w:t>
            </w:r>
            <w:r>
              <w:rPr>
                <w:spacing w:val="-6"/>
                <w:sz w:val="20"/>
              </w:rPr>
              <w:t> </w:t>
            </w:r>
            <w:r>
              <w:rPr>
                <w:sz w:val="20"/>
              </w:rPr>
              <w:t>sh0046,</w:t>
            </w:r>
            <w:r>
              <w:rPr>
                <w:spacing w:val="-6"/>
                <w:sz w:val="20"/>
              </w:rPr>
              <w:t> </w:t>
            </w:r>
            <w:r>
              <w:rPr>
                <w:spacing w:val="-2"/>
                <w:sz w:val="20"/>
              </w:rPr>
              <w:t>sh0087,</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4"/>
              <w:jc w:val="center"/>
              <w:rPr>
                <w:sz w:val="20"/>
              </w:rPr>
            </w:pPr>
            <w:r>
              <w:rPr>
                <w:sz w:val="20"/>
              </w:rPr>
              <w:t>sh0159,</w:t>
            </w:r>
            <w:r>
              <w:rPr>
                <w:spacing w:val="-6"/>
                <w:sz w:val="20"/>
              </w:rPr>
              <w:t> </w:t>
            </w:r>
            <w:r>
              <w:rPr>
                <w:spacing w:val="-2"/>
                <w:sz w:val="20"/>
              </w:rPr>
              <w:t>sh0341,</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2"/>
              <w:jc w:val="center"/>
              <w:rPr>
                <w:sz w:val="20"/>
              </w:rPr>
            </w:pPr>
            <w:r>
              <w:rPr>
                <w:sz w:val="20"/>
              </w:rPr>
              <w:t>sh0371.1,</w:t>
            </w:r>
            <w:r>
              <w:rPr>
                <w:spacing w:val="-6"/>
                <w:sz w:val="20"/>
              </w:rPr>
              <w:t> </w:t>
            </w:r>
            <w:r>
              <w:rPr>
                <w:spacing w:val="-2"/>
                <w:sz w:val="20"/>
              </w:rPr>
              <w:t>sh0373,</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8)</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sh0374,</w:t>
            </w:r>
            <w:r>
              <w:rPr>
                <w:spacing w:val="-6"/>
                <w:sz w:val="20"/>
              </w:rPr>
              <w:t> </w:t>
            </w:r>
            <w:r>
              <w:rPr>
                <w:sz w:val="20"/>
              </w:rPr>
              <w:t>sh0426,</w:t>
            </w:r>
            <w:r>
              <w:rPr>
                <w:spacing w:val="-5"/>
                <w:sz w:val="20"/>
              </w:rPr>
              <w:t> </w:t>
            </w:r>
            <w:r>
              <w:rPr>
                <w:spacing w:val="-2"/>
                <w:sz w:val="20"/>
              </w:rPr>
              <w:t>sh0469,</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sh0497,</w:t>
            </w:r>
            <w:r>
              <w:rPr>
                <w:spacing w:val="-6"/>
                <w:sz w:val="20"/>
              </w:rPr>
              <w:t> </w:t>
            </w:r>
            <w:r>
              <w:rPr>
                <w:sz w:val="20"/>
              </w:rPr>
              <w:t>sh0499,</w:t>
            </w:r>
            <w:r>
              <w:rPr>
                <w:spacing w:val="-5"/>
                <w:sz w:val="20"/>
              </w:rPr>
              <w:t> </w:t>
            </w:r>
            <w:r>
              <w:rPr>
                <w:spacing w:val="-2"/>
                <w:sz w:val="20"/>
              </w:rPr>
              <w:t>sh0515,</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sh0766,</w:t>
            </w:r>
            <w:r>
              <w:rPr>
                <w:spacing w:val="-6"/>
                <w:sz w:val="20"/>
              </w:rPr>
              <w:t> </w:t>
            </w:r>
            <w:r>
              <w:rPr>
                <w:sz w:val="20"/>
              </w:rPr>
              <w:t>sh0829,</w:t>
            </w:r>
            <w:r>
              <w:rPr>
                <w:spacing w:val="-5"/>
                <w:sz w:val="20"/>
              </w:rPr>
              <w:t> </w:t>
            </w:r>
            <w:r>
              <w:rPr>
                <w:spacing w:val="-2"/>
                <w:sz w:val="20"/>
              </w:rPr>
              <w:t>sh0831,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sh0913,</w:t>
            </w:r>
            <w:r>
              <w:rPr>
                <w:spacing w:val="-6"/>
                <w:sz w:val="20"/>
              </w:rPr>
              <w:t> </w:t>
            </w:r>
            <w:r>
              <w:rPr>
                <w:sz w:val="20"/>
              </w:rPr>
              <w:t>sh0969,</w:t>
            </w:r>
            <w:r>
              <w:rPr>
                <w:spacing w:val="-5"/>
                <w:sz w:val="20"/>
              </w:rPr>
              <w:t> </w:t>
            </w:r>
            <w:r>
              <w:rPr>
                <w:spacing w:val="-2"/>
                <w:sz w:val="20"/>
              </w:rPr>
              <w:t>sh1010,</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sh1012,</w:t>
            </w:r>
            <w:r>
              <w:rPr>
                <w:spacing w:val="-6"/>
                <w:sz w:val="20"/>
              </w:rPr>
              <w:t> </w:t>
            </w:r>
            <w:r>
              <w:rPr>
                <w:sz w:val="20"/>
              </w:rPr>
              <w:t>sh1013,</w:t>
            </w:r>
            <w:r>
              <w:rPr>
                <w:spacing w:val="-5"/>
                <w:sz w:val="20"/>
              </w:rPr>
              <w:t> </w:t>
            </w:r>
            <w:r>
              <w:rPr>
                <w:spacing w:val="-2"/>
                <w:sz w:val="20"/>
              </w:rPr>
              <w:t>sh1014,</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sh1015,</w:t>
            </w:r>
            <w:r>
              <w:rPr>
                <w:spacing w:val="-6"/>
                <w:sz w:val="20"/>
              </w:rPr>
              <w:t> </w:t>
            </w:r>
            <w:r>
              <w:rPr>
                <w:sz w:val="20"/>
              </w:rPr>
              <w:t>sh1020,</w:t>
            </w:r>
            <w:r>
              <w:rPr>
                <w:spacing w:val="-5"/>
                <w:sz w:val="20"/>
              </w:rPr>
              <w:t> </w:t>
            </w:r>
            <w:r>
              <w:rPr>
                <w:spacing w:val="-2"/>
                <w:sz w:val="20"/>
              </w:rPr>
              <w:t>sh1021,</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4"/>
              <w:jc w:val="center"/>
              <w:rPr>
                <w:sz w:val="20"/>
              </w:rPr>
            </w:pPr>
            <w:r>
              <w:rPr>
                <w:sz w:val="20"/>
              </w:rPr>
              <w:t>sh1022,</w:t>
            </w:r>
            <w:r>
              <w:rPr>
                <w:spacing w:val="-6"/>
                <w:sz w:val="20"/>
              </w:rPr>
              <w:t> </w:t>
            </w:r>
            <w:r>
              <w:rPr>
                <w:spacing w:val="-2"/>
                <w:sz w:val="20"/>
              </w:rPr>
              <w:t>sh1023,</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4"/>
              <w:jc w:val="center"/>
              <w:rPr>
                <w:sz w:val="20"/>
              </w:rPr>
            </w:pPr>
            <w:r>
              <w:rPr>
                <w:sz w:val="20"/>
              </w:rPr>
              <w:t>sh1038.1,</w:t>
            </w:r>
            <w:r>
              <w:rPr>
                <w:spacing w:val="-6"/>
                <w:sz w:val="20"/>
              </w:rPr>
              <w:t> </w:t>
            </w:r>
            <w:r>
              <w:rPr>
                <w:spacing w:val="-2"/>
                <w:sz w:val="20"/>
              </w:rPr>
              <w:t>sh1041.1,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4"/>
              <w:jc w:val="center"/>
              <w:rPr>
                <w:sz w:val="20"/>
              </w:rPr>
            </w:pPr>
            <w:r>
              <w:rPr>
                <w:sz w:val="20"/>
              </w:rPr>
              <w:t>sh1050,</w:t>
            </w:r>
            <w:r>
              <w:rPr>
                <w:spacing w:val="-6"/>
                <w:sz w:val="20"/>
              </w:rPr>
              <w:t> </w:t>
            </w:r>
            <w:r>
              <w:rPr>
                <w:spacing w:val="-2"/>
                <w:sz w:val="20"/>
              </w:rPr>
              <w:t>sh1071,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sh1101.1,</w:t>
            </w:r>
            <w:r>
              <w:rPr>
                <w:spacing w:val="-6"/>
                <w:sz w:val="20"/>
              </w:rPr>
              <w:t> </w:t>
            </w:r>
            <w:r>
              <w:rPr>
                <w:spacing w:val="-2"/>
                <w:sz w:val="20"/>
              </w:rPr>
              <w:t>sh1120,</w:t>
            </w:r>
          </w:p>
        </w:tc>
        <w:tc>
          <w:tcPr>
            <w:tcW w:w="779"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569" w:type="dxa"/>
          </w:tcPr>
          <w:p>
            <w:pPr>
              <w:pStyle w:val="TableParagraph"/>
              <w:rPr>
                <w:sz w:val="18"/>
              </w:rPr>
            </w:pPr>
          </w:p>
        </w:tc>
        <w:tc>
          <w:tcPr>
            <w:tcW w:w="1937" w:type="dxa"/>
          </w:tcPr>
          <w:p>
            <w:pPr>
              <w:pStyle w:val="TableParagraph"/>
              <w:rPr>
                <w:sz w:val="18"/>
              </w:rPr>
            </w:pPr>
          </w:p>
        </w:tc>
        <w:tc>
          <w:tcPr>
            <w:tcW w:w="3289" w:type="dxa"/>
          </w:tcPr>
          <w:p>
            <w:pPr>
              <w:pStyle w:val="TableParagraph"/>
              <w:spacing w:line="226" w:lineRule="exact"/>
              <w:ind w:left="912" w:right="366"/>
              <w:jc w:val="center"/>
              <w:rPr>
                <w:sz w:val="20"/>
              </w:rPr>
            </w:pPr>
            <w:r>
              <w:rPr>
                <w:sz w:val="20"/>
              </w:rPr>
              <w:t>sh1121,</w:t>
            </w:r>
            <w:r>
              <w:rPr>
                <w:spacing w:val="-6"/>
                <w:sz w:val="20"/>
              </w:rPr>
              <w:t> </w:t>
            </w:r>
            <w:r>
              <w:rPr>
                <w:sz w:val="20"/>
              </w:rPr>
              <w:t>sh1127,</w:t>
            </w:r>
            <w:r>
              <w:rPr>
                <w:spacing w:val="-5"/>
                <w:sz w:val="20"/>
              </w:rPr>
              <w:t> </w:t>
            </w:r>
            <w:r>
              <w:rPr>
                <w:spacing w:val="-2"/>
                <w:sz w:val="20"/>
              </w:rPr>
              <w:t>sh1141</w:t>
            </w:r>
          </w:p>
        </w:tc>
        <w:tc>
          <w:tcPr>
            <w:tcW w:w="779"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ds19.088</w:t>
            </w:r>
          </w:p>
        </w:tc>
        <w:tc>
          <w:tcPr>
            <w:tcW w:w="645" w:type="dxa"/>
          </w:tcPr>
          <w:p>
            <w:pPr>
              <w:pStyle w:val="TableParagraph"/>
              <w:spacing w:line="215" w:lineRule="exact" w:before="45"/>
              <w:ind w:right="215"/>
              <w:jc w:val="right"/>
              <w:rPr>
                <w:sz w:val="20"/>
              </w:rPr>
            </w:pPr>
            <w:r>
              <w:rPr>
                <w:spacing w:val="-5"/>
                <w:sz w:val="20"/>
              </w:rPr>
              <w:t>65</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4569" w:type="dxa"/>
          </w:tcPr>
          <w:p>
            <w:pPr>
              <w:pStyle w:val="TableParagraph"/>
              <w:spacing w:line="215" w:lineRule="exact"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7" w:type="dxa"/>
          </w:tcPr>
          <w:p>
            <w:pPr>
              <w:pStyle w:val="TableParagraph"/>
              <w:spacing w:line="215" w:lineRule="exact" w:before="45"/>
              <w:ind w:left="40"/>
              <w:jc w:val="center"/>
              <w:rPr>
                <w:sz w:val="20"/>
              </w:rPr>
            </w:pPr>
            <w:r>
              <w:rPr>
                <w:w w:val="99"/>
                <w:sz w:val="20"/>
              </w:rPr>
              <w:t>-</w:t>
            </w:r>
          </w:p>
        </w:tc>
        <w:tc>
          <w:tcPr>
            <w:tcW w:w="3289" w:type="dxa"/>
          </w:tcPr>
          <w:p>
            <w:pPr>
              <w:pStyle w:val="TableParagraph"/>
              <w:spacing w:line="215" w:lineRule="exact" w:before="45"/>
              <w:ind w:left="912" w:right="363"/>
              <w:jc w:val="center"/>
              <w:rPr>
                <w:sz w:val="20"/>
              </w:rPr>
            </w:pPr>
            <w:r>
              <w:rPr>
                <w:sz w:val="20"/>
              </w:rPr>
              <w:t>Возрастная</w:t>
            </w:r>
            <w:r>
              <w:rPr>
                <w:spacing w:val="-11"/>
                <w:sz w:val="20"/>
              </w:rPr>
              <w:t> </w:t>
            </w:r>
            <w:r>
              <w:rPr>
                <w:spacing w:val="-2"/>
                <w:sz w:val="20"/>
              </w:rPr>
              <w:t>группа:</w:t>
            </w:r>
          </w:p>
        </w:tc>
        <w:tc>
          <w:tcPr>
            <w:tcW w:w="779" w:type="dxa"/>
          </w:tcPr>
          <w:p>
            <w:pPr>
              <w:pStyle w:val="TableParagraph"/>
              <w:spacing w:line="215" w:lineRule="exact" w:before="45"/>
              <w:ind w:right="44"/>
              <w:jc w:val="right"/>
              <w:rPr>
                <w:sz w:val="20"/>
              </w:rPr>
            </w:pPr>
            <w:r>
              <w:rPr>
                <w:spacing w:val="-4"/>
                <w:sz w:val="20"/>
              </w:rPr>
              <w:t>8,57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7"/>
              <w:jc w:val="center"/>
              <w:rPr>
                <w:sz w:val="20"/>
              </w:rPr>
            </w:pPr>
            <w:r>
              <w:rPr>
                <w:sz w:val="20"/>
              </w:rPr>
              <w:t>Схемы:</w:t>
            </w:r>
            <w:r>
              <w:rPr>
                <w:spacing w:val="-6"/>
                <w:sz w:val="20"/>
              </w:rPr>
              <w:t> </w:t>
            </w:r>
            <w:r>
              <w:rPr>
                <w:sz w:val="20"/>
              </w:rPr>
              <w:t>sh0110,</w:t>
            </w:r>
            <w:r>
              <w:rPr>
                <w:spacing w:val="-6"/>
                <w:sz w:val="20"/>
              </w:rPr>
              <w:t> </w:t>
            </w:r>
            <w:r>
              <w:rPr>
                <w:spacing w:val="-2"/>
                <w:sz w:val="20"/>
              </w:rPr>
              <w:t>sh0135,</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лимфоидной</w:t>
            </w:r>
            <w:r>
              <w:rPr>
                <w:spacing w:val="-11"/>
                <w:sz w:val="20"/>
              </w:rPr>
              <w:t> </w:t>
            </w:r>
            <w:r>
              <w:rPr>
                <w:spacing w:val="-12"/>
                <w:sz w:val="20"/>
              </w:rPr>
              <w:t>и</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sh0163,</w:t>
            </w:r>
            <w:r>
              <w:rPr>
                <w:spacing w:val="-6"/>
                <w:sz w:val="20"/>
              </w:rPr>
              <w:t> </w:t>
            </w:r>
            <w:r>
              <w:rPr>
                <w:sz w:val="20"/>
              </w:rPr>
              <w:t>sh0208,</w:t>
            </w:r>
            <w:r>
              <w:rPr>
                <w:spacing w:val="-5"/>
                <w:sz w:val="20"/>
              </w:rPr>
              <w:t> </w:t>
            </w:r>
            <w:r>
              <w:rPr>
                <w:spacing w:val="-2"/>
                <w:sz w:val="20"/>
              </w:rPr>
              <w:t>sh0294,</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sh0295,</w:t>
            </w:r>
            <w:r>
              <w:rPr>
                <w:spacing w:val="-6"/>
                <w:sz w:val="20"/>
              </w:rPr>
              <w:t> </w:t>
            </w:r>
            <w:r>
              <w:rPr>
                <w:sz w:val="20"/>
              </w:rPr>
              <w:t>sh0296,</w:t>
            </w:r>
            <w:r>
              <w:rPr>
                <w:spacing w:val="-5"/>
                <w:sz w:val="20"/>
              </w:rPr>
              <w:t> </w:t>
            </w:r>
            <w:r>
              <w:rPr>
                <w:spacing w:val="-2"/>
                <w:sz w:val="20"/>
              </w:rPr>
              <w:t>sh0375,</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9)</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sh0557.1,</w:t>
            </w:r>
            <w:r>
              <w:rPr>
                <w:spacing w:val="-6"/>
                <w:sz w:val="20"/>
              </w:rPr>
              <w:t> </w:t>
            </w:r>
            <w:r>
              <w:rPr>
                <w:spacing w:val="-2"/>
                <w:sz w:val="20"/>
              </w:rPr>
              <w:t>sh0575,</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3"/>
              <w:jc w:val="center"/>
              <w:rPr>
                <w:sz w:val="20"/>
              </w:rPr>
            </w:pPr>
            <w:r>
              <w:rPr>
                <w:sz w:val="20"/>
              </w:rPr>
              <w:t>sh0601,</w:t>
            </w:r>
            <w:r>
              <w:rPr>
                <w:spacing w:val="-6"/>
                <w:sz w:val="20"/>
              </w:rPr>
              <w:t> </w:t>
            </w:r>
            <w:r>
              <w:rPr>
                <w:sz w:val="20"/>
              </w:rPr>
              <w:t>sh0618,</w:t>
            </w:r>
            <w:r>
              <w:rPr>
                <w:spacing w:val="-5"/>
                <w:sz w:val="20"/>
              </w:rPr>
              <w:t> </w:t>
            </w:r>
            <w:r>
              <w:rPr>
                <w:spacing w:val="-2"/>
                <w:sz w:val="20"/>
              </w:rPr>
              <w:t>sh0668,</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3"/>
              <w:jc w:val="center"/>
              <w:rPr>
                <w:sz w:val="20"/>
              </w:rPr>
            </w:pPr>
            <w:r>
              <w:rPr>
                <w:sz w:val="20"/>
              </w:rPr>
              <w:t>sh0693,</w:t>
            </w:r>
            <w:r>
              <w:rPr>
                <w:spacing w:val="-6"/>
                <w:sz w:val="20"/>
              </w:rPr>
              <w:t> </w:t>
            </w:r>
            <w:r>
              <w:rPr>
                <w:sz w:val="20"/>
              </w:rPr>
              <w:t>sh0737,</w:t>
            </w:r>
            <w:r>
              <w:rPr>
                <w:spacing w:val="-5"/>
                <w:sz w:val="20"/>
              </w:rPr>
              <w:t> </w:t>
            </w:r>
            <w:r>
              <w:rPr>
                <w:spacing w:val="-2"/>
                <w:sz w:val="20"/>
              </w:rPr>
              <w:t>sh0738,</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sh0739,</w:t>
            </w:r>
            <w:r>
              <w:rPr>
                <w:spacing w:val="-6"/>
                <w:sz w:val="20"/>
              </w:rPr>
              <w:t> </w:t>
            </w:r>
            <w:r>
              <w:rPr>
                <w:sz w:val="20"/>
              </w:rPr>
              <w:t>sh0740,</w:t>
            </w:r>
            <w:r>
              <w:rPr>
                <w:spacing w:val="-5"/>
                <w:sz w:val="20"/>
              </w:rPr>
              <w:t> </w:t>
            </w:r>
            <w:r>
              <w:rPr>
                <w:spacing w:val="-2"/>
                <w:sz w:val="20"/>
              </w:rPr>
              <w:t>sh0741,</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sh0747,</w:t>
            </w:r>
            <w:r>
              <w:rPr>
                <w:spacing w:val="-6"/>
                <w:sz w:val="20"/>
              </w:rPr>
              <w:t> </w:t>
            </w:r>
            <w:r>
              <w:rPr>
                <w:sz w:val="20"/>
              </w:rPr>
              <w:t>sh0799,</w:t>
            </w:r>
            <w:r>
              <w:rPr>
                <w:spacing w:val="-5"/>
                <w:sz w:val="20"/>
              </w:rPr>
              <w:t> </w:t>
            </w:r>
            <w:r>
              <w:rPr>
                <w:spacing w:val="-2"/>
                <w:sz w:val="20"/>
              </w:rPr>
              <w:t>sh0819,</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2"/>
              <w:jc w:val="center"/>
              <w:rPr>
                <w:sz w:val="20"/>
              </w:rPr>
            </w:pPr>
            <w:r>
              <w:rPr>
                <w:sz w:val="20"/>
              </w:rPr>
              <w:t>sh0821.1,</w:t>
            </w:r>
            <w:r>
              <w:rPr>
                <w:spacing w:val="-6"/>
                <w:sz w:val="20"/>
              </w:rPr>
              <w:t> </w:t>
            </w:r>
            <w:r>
              <w:rPr>
                <w:spacing w:val="-2"/>
                <w:sz w:val="20"/>
              </w:rPr>
              <w:t>sh0826,</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sh0827,</w:t>
            </w:r>
            <w:r>
              <w:rPr>
                <w:spacing w:val="-6"/>
                <w:sz w:val="20"/>
              </w:rPr>
              <w:t> </w:t>
            </w:r>
            <w:r>
              <w:rPr>
                <w:spacing w:val="-2"/>
                <w:sz w:val="20"/>
              </w:rPr>
              <w:t>sh0842.1,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sh0849,</w:t>
            </w:r>
            <w:r>
              <w:rPr>
                <w:spacing w:val="-6"/>
                <w:sz w:val="20"/>
              </w:rPr>
              <w:t> </w:t>
            </w:r>
            <w:r>
              <w:rPr>
                <w:sz w:val="20"/>
              </w:rPr>
              <w:t>sh0851,</w:t>
            </w:r>
            <w:r>
              <w:rPr>
                <w:spacing w:val="-5"/>
                <w:sz w:val="20"/>
              </w:rPr>
              <w:t> </w:t>
            </w:r>
            <w:r>
              <w:rPr>
                <w:spacing w:val="-2"/>
                <w:sz w:val="20"/>
              </w:rPr>
              <w:t>sh0853,</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sh0860,</w:t>
            </w:r>
            <w:r>
              <w:rPr>
                <w:spacing w:val="-5"/>
                <w:sz w:val="20"/>
              </w:rPr>
              <w:t> </w:t>
            </w:r>
            <w:r>
              <w:rPr>
                <w:sz w:val="20"/>
              </w:rPr>
              <w:t>sh0863,</w:t>
            </w:r>
            <w:r>
              <w:rPr>
                <w:spacing w:val="-5"/>
                <w:sz w:val="20"/>
              </w:rPr>
              <w:t> </w:t>
            </w:r>
            <w:r>
              <w:rPr>
                <w:spacing w:val="-2"/>
                <w:sz w:val="20"/>
              </w:rPr>
              <w:t>sh0877,</w:t>
            </w:r>
          </w:p>
        </w:tc>
        <w:tc>
          <w:tcPr>
            <w:tcW w:w="779"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5" w:lineRule="exact"/>
              <w:ind w:left="912" w:right="362"/>
              <w:jc w:val="center"/>
              <w:rPr>
                <w:sz w:val="20"/>
              </w:rPr>
            </w:pPr>
            <w:r>
              <w:rPr>
                <w:sz w:val="20"/>
              </w:rPr>
              <w:t>sh0905,</w:t>
            </w:r>
            <w:r>
              <w:rPr>
                <w:spacing w:val="-6"/>
                <w:sz w:val="20"/>
              </w:rPr>
              <w:t> </w:t>
            </w:r>
            <w:r>
              <w:rPr>
                <w:spacing w:val="-2"/>
                <w:sz w:val="20"/>
              </w:rPr>
              <w:t>sh0906.1,</w:t>
            </w:r>
          </w:p>
        </w:tc>
        <w:tc>
          <w:tcPr>
            <w:tcW w:w="77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65"/>
        <w:gridCol w:w="855"/>
      </w:tblGrid>
      <w:tr>
        <w:trPr>
          <w:trHeight w:val="734"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105" w:type="dxa"/>
          </w:tcPr>
          <w:p>
            <w:pPr>
              <w:pStyle w:val="TableParagraph"/>
              <w:rPr>
                <w:sz w:val="18"/>
              </w:rPr>
            </w:pPr>
          </w:p>
        </w:tc>
        <w:tc>
          <w:tcPr>
            <w:tcW w:w="2402" w:type="dxa"/>
          </w:tcPr>
          <w:p>
            <w:pPr>
              <w:pStyle w:val="TableParagraph"/>
              <w:rPr>
                <w:sz w:val="18"/>
              </w:rPr>
            </w:pPr>
          </w:p>
        </w:tc>
        <w:tc>
          <w:tcPr>
            <w:tcW w:w="3265" w:type="dxa"/>
          </w:tcPr>
          <w:p>
            <w:pPr>
              <w:pStyle w:val="TableParagraph"/>
              <w:ind w:left="919" w:right="345"/>
              <w:jc w:val="center"/>
              <w:rPr>
                <w:sz w:val="20"/>
              </w:rPr>
            </w:pPr>
            <w:r>
              <w:rPr>
                <w:sz w:val="20"/>
              </w:rPr>
              <w:t>sh0907,</w:t>
            </w:r>
            <w:r>
              <w:rPr>
                <w:spacing w:val="-13"/>
                <w:sz w:val="20"/>
              </w:rPr>
              <w:t> </w:t>
            </w:r>
            <w:r>
              <w:rPr>
                <w:sz w:val="20"/>
              </w:rPr>
              <w:t>sh0908,</w:t>
            </w:r>
            <w:r>
              <w:rPr>
                <w:spacing w:val="-12"/>
                <w:sz w:val="20"/>
              </w:rPr>
              <w:t> </w:t>
            </w:r>
            <w:r>
              <w:rPr>
                <w:sz w:val="20"/>
              </w:rPr>
              <w:t>sh0941, sh0967.1, sh0988, sh1066.1, sh1143.1</w:t>
            </w:r>
          </w:p>
        </w:tc>
        <w:tc>
          <w:tcPr>
            <w:tcW w:w="855" w:type="dxa"/>
          </w:tcPr>
          <w:p>
            <w:pPr>
              <w:pStyle w:val="TableParagraph"/>
              <w:rPr>
                <w:sz w:val="18"/>
              </w:rPr>
            </w:pPr>
          </w:p>
        </w:tc>
      </w:tr>
      <w:tr>
        <w:trPr>
          <w:trHeight w:val="4011" w:hRule="atLeast"/>
        </w:trPr>
        <w:tc>
          <w:tcPr>
            <w:tcW w:w="1003" w:type="dxa"/>
          </w:tcPr>
          <w:p>
            <w:pPr>
              <w:pStyle w:val="TableParagraph"/>
              <w:spacing w:before="46"/>
              <w:ind w:left="50"/>
              <w:rPr>
                <w:sz w:val="20"/>
              </w:rPr>
            </w:pPr>
            <w:r>
              <w:rPr>
                <w:spacing w:val="-2"/>
                <w:sz w:val="20"/>
              </w:rPr>
              <w:t>ds19.089</w:t>
            </w:r>
          </w:p>
        </w:tc>
        <w:tc>
          <w:tcPr>
            <w:tcW w:w="645" w:type="dxa"/>
          </w:tcPr>
          <w:p>
            <w:pPr>
              <w:pStyle w:val="TableParagraph"/>
              <w:spacing w:before="46"/>
              <w:ind w:right="215"/>
              <w:jc w:val="right"/>
              <w:rPr>
                <w:sz w:val="20"/>
              </w:rPr>
            </w:pPr>
            <w:r>
              <w:rPr>
                <w:spacing w:val="-5"/>
                <w:sz w:val="20"/>
              </w:rPr>
              <w:t>66</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10)</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before="46"/>
              <w:ind w:left="919" w:right="345"/>
              <w:jc w:val="center"/>
              <w:rPr>
                <w:sz w:val="20"/>
              </w:rPr>
            </w:pPr>
            <w:r>
              <w:rPr>
                <w:sz w:val="20"/>
              </w:rPr>
              <w:t>Возрастная</w:t>
            </w:r>
            <w:r>
              <w:rPr>
                <w:spacing w:val="-13"/>
                <w:sz w:val="20"/>
              </w:rPr>
              <w:t> </w:t>
            </w:r>
            <w:r>
              <w:rPr>
                <w:sz w:val="20"/>
              </w:rPr>
              <w:t>группа: старше 18 лет</w:t>
            </w:r>
          </w:p>
          <w:p>
            <w:pPr>
              <w:pStyle w:val="TableParagraph"/>
              <w:spacing w:before="1"/>
              <w:ind w:left="919" w:right="349"/>
              <w:jc w:val="center"/>
              <w:rPr>
                <w:sz w:val="20"/>
              </w:rPr>
            </w:pPr>
            <w:r>
              <w:rPr>
                <w:sz w:val="20"/>
              </w:rPr>
              <w:t>Схемы:</w:t>
            </w:r>
            <w:r>
              <w:rPr>
                <w:spacing w:val="-13"/>
                <w:sz w:val="20"/>
              </w:rPr>
              <w:t> </w:t>
            </w:r>
            <w:r>
              <w:rPr>
                <w:sz w:val="20"/>
              </w:rPr>
              <w:t>sh0002,</w:t>
            </w:r>
            <w:r>
              <w:rPr>
                <w:spacing w:val="-12"/>
                <w:sz w:val="20"/>
              </w:rPr>
              <w:t> </w:t>
            </w:r>
            <w:r>
              <w:rPr>
                <w:sz w:val="20"/>
              </w:rPr>
              <w:t>sh0003, sh0004,</w:t>
            </w:r>
            <w:r>
              <w:rPr>
                <w:spacing w:val="-13"/>
                <w:sz w:val="20"/>
              </w:rPr>
              <w:t> </w:t>
            </w:r>
            <w:r>
              <w:rPr>
                <w:sz w:val="20"/>
              </w:rPr>
              <w:t>sh0005,</w:t>
            </w:r>
            <w:r>
              <w:rPr>
                <w:spacing w:val="-12"/>
                <w:sz w:val="20"/>
              </w:rPr>
              <w:t> </w:t>
            </w:r>
            <w:r>
              <w:rPr>
                <w:sz w:val="20"/>
              </w:rPr>
              <w:t>sh0010, sh0155,</w:t>
            </w:r>
            <w:r>
              <w:rPr>
                <w:spacing w:val="-13"/>
                <w:sz w:val="20"/>
              </w:rPr>
              <w:t> </w:t>
            </w:r>
            <w:r>
              <w:rPr>
                <w:sz w:val="20"/>
              </w:rPr>
              <w:t>sh0156,</w:t>
            </w:r>
            <w:r>
              <w:rPr>
                <w:spacing w:val="-12"/>
                <w:sz w:val="20"/>
              </w:rPr>
              <w:t> </w:t>
            </w:r>
            <w:r>
              <w:rPr>
                <w:sz w:val="20"/>
              </w:rPr>
              <w:t>sh0157, sh0158, sh0204.1, sh0209.1, sh0255.1, sh0311.1, sh0620.1, sh0670.1, sh0723, sh0836.1, sh0838.1, sh0840, sh0855.1, sh0856, sh0858.1, sh0883, sh0886, sh0891.1, sh0980, sh0982,</w:t>
            </w:r>
            <w:r>
              <w:rPr>
                <w:spacing w:val="-13"/>
                <w:sz w:val="20"/>
              </w:rPr>
              <w:t> </w:t>
            </w:r>
            <w:r>
              <w:rPr>
                <w:sz w:val="20"/>
              </w:rPr>
              <w:t>sh0983,</w:t>
            </w:r>
            <w:r>
              <w:rPr>
                <w:spacing w:val="-12"/>
                <w:sz w:val="20"/>
              </w:rPr>
              <w:t> </w:t>
            </w:r>
            <w:r>
              <w:rPr>
                <w:sz w:val="20"/>
              </w:rPr>
              <w:t>sh0985, sh1004, sh1009, sh1032.1, sh1033.1</w:t>
            </w:r>
          </w:p>
        </w:tc>
        <w:tc>
          <w:tcPr>
            <w:tcW w:w="855" w:type="dxa"/>
          </w:tcPr>
          <w:p>
            <w:pPr>
              <w:pStyle w:val="TableParagraph"/>
              <w:spacing w:before="46"/>
              <w:ind w:right="97"/>
              <w:jc w:val="right"/>
              <w:rPr>
                <w:sz w:val="20"/>
              </w:rPr>
            </w:pPr>
            <w:r>
              <w:rPr>
                <w:spacing w:val="-4"/>
                <w:sz w:val="20"/>
              </w:rPr>
              <w:t>9,65</w:t>
            </w:r>
          </w:p>
        </w:tc>
      </w:tr>
      <w:tr>
        <w:trPr>
          <w:trHeight w:val="3319" w:hRule="atLeast"/>
        </w:trPr>
        <w:tc>
          <w:tcPr>
            <w:tcW w:w="1003" w:type="dxa"/>
          </w:tcPr>
          <w:p>
            <w:pPr>
              <w:pStyle w:val="TableParagraph"/>
              <w:spacing w:before="46"/>
              <w:ind w:left="50"/>
              <w:rPr>
                <w:sz w:val="20"/>
              </w:rPr>
            </w:pPr>
            <w:r>
              <w:rPr>
                <w:spacing w:val="-2"/>
                <w:sz w:val="20"/>
              </w:rPr>
              <w:t>ds19.090</w:t>
            </w:r>
          </w:p>
        </w:tc>
        <w:tc>
          <w:tcPr>
            <w:tcW w:w="645" w:type="dxa"/>
          </w:tcPr>
          <w:p>
            <w:pPr>
              <w:pStyle w:val="TableParagraph"/>
              <w:spacing w:before="46"/>
              <w:ind w:right="215"/>
              <w:jc w:val="right"/>
              <w:rPr>
                <w:sz w:val="20"/>
              </w:rPr>
            </w:pPr>
            <w:r>
              <w:rPr>
                <w:spacing w:val="-5"/>
                <w:sz w:val="20"/>
              </w:rPr>
              <w:t>67</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11)</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before="46"/>
              <w:ind w:left="919" w:right="343"/>
              <w:jc w:val="center"/>
              <w:rPr>
                <w:sz w:val="20"/>
              </w:rPr>
            </w:pPr>
            <w:r>
              <w:rPr>
                <w:sz w:val="20"/>
              </w:rPr>
              <w:t>Возрастная</w:t>
            </w:r>
            <w:r>
              <w:rPr>
                <w:spacing w:val="-13"/>
                <w:sz w:val="20"/>
              </w:rPr>
              <w:t> </w:t>
            </w:r>
            <w:r>
              <w:rPr>
                <w:sz w:val="20"/>
              </w:rPr>
              <w:t>группа: старше 18 лет</w:t>
            </w:r>
          </w:p>
          <w:p>
            <w:pPr>
              <w:pStyle w:val="TableParagraph"/>
              <w:ind w:left="919" w:right="349"/>
              <w:jc w:val="center"/>
              <w:rPr>
                <w:sz w:val="20"/>
              </w:rPr>
            </w:pPr>
            <w:r>
              <w:rPr>
                <w:sz w:val="20"/>
              </w:rPr>
              <w:t>Схемы:</w:t>
            </w:r>
            <w:r>
              <w:rPr>
                <w:spacing w:val="-13"/>
                <w:sz w:val="20"/>
              </w:rPr>
              <w:t> </w:t>
            </w:r>
            <w:r>
              <w:rPr>
                <w:sz w:val="20"/>
              </w:rPr>
              <w:t>sh0001,</w:t>
            </w:r>
            <w:r>
              <w:rPr>
                <w:spacing w:val="-12"/>
                <w:sz w:val="20"/>
              </w:rPr>
              <w:t> </w:t>
            </w:r>
            <w:r>
              <w:rPr>
                <w:sz w:val="20"/>
              </w:rPr>
              <w:t>sh0006, sh0112,</w:t>
            </w:r>
            <w:r>
              <w:rPr>
                <w:spacing w:val="-13"/>
                <w:sz w:val="20"/>
              </w:rPr>
              <w:t> </w:t>
            </w:r>
            <w:r>
              <w:rPr>
                <w:sz w:val="20"/>
              </w:rPr>
              <w:t>sh0165,</w:t>
            </w:r>
            <w:r>
              <w:rPr>
                <w:spacing w:val="-12"/>
                <w:sz w:val="20"/>
              </w:rPr>
              <w:t> </w:t>
            </w:r>
            <w:r>
              <w:rPr>
                <w:sz w:val="20"/>
              </w:rPr>
              <w:t>sh0240, sh0290,</w:t>
            </w:r>
            <w:r>
              <w:rPr>
                <w:spacing w:val="-13"/>
                <w:sz w:val="20"/>
              </w:rPr>
              <w:t> </w:t>
            </w:r>
            <w:r>
              <w:rPr>
                <w:sz w:val="20"/>
              </w:rPr>
              <w:t>sh0291,</w:t>
            </w:r>
            <w:r>
              <w:rPr>
                <w:spacing w:val="-12"/>
                <w:sz w:val="20"/>
              </w:rPr>
              <w:t> </w:t>
            </w:r>
            <w:r>
              <w:rPr>
                <w:sz w:val="20"/>
              </w:rPr>
              <w:t>sh0292, sh0297,</w:t>
            </w:r>
            <w:r>
              <w:rPr>
                <w:spacing w:val="-13"/>
                <w:sz w:val="20"/>
              </w:rPr>
              <w:t> </w:t>
            </w:r>
            <w:r>
              <w:rPr>
                <w:sz w:val="20"/>
              </w:rPr>
              <w:t>sh0343,</w:t>
            </w:r>
            <w:r>
              <w:rPr>
                <w:spacing w:val="-12"/>
                <w:sz w:val="20"/>
              </w:rPr>
              <w:t> </w:t>
            </w:r>
            <w:r>
              <w:rPr>
                <w:sz w:val="20"/>
              </w:rPr>
              <w:t>sh0445, sh0465,</w:t>
            </w:r>
            <w:r>
              <w:rPr>
                <w:spacing w:val="-13"/>
                <w:sz w:val="20"/>
              </w:rPr>
              <w:t> </w:t>
            </w:r>
            <w:r>
              <w:rPr>
                <w:sz w:val="20"/>
              </w:rPr>
              <w:t>sh0521,</w:t>
            </w:r>
            <w:r>
              <w:rPr>
                <w:spacing w:val="-12"/>
                <w:sz w:val="20"/>
              </w:rPr>
              <w:t> </w:t>
            </w:r>
            <w:r>
              <w:rPr>
                <w:sz w:val="20"/>
              </w:rPr>
              <w:t>sh0578, sh0581,</w:t>
            </w:r>
            <w:r>
              <w:rPr>
                <w:spacing w:val="-13"/>
                <w:sz w:val="20"/>
              </w:rPr>
              <w:t> </w:t>
            </w:r>
            <w:r>
              <w:rPr>
                <w:sz w:val="20"/>
              </w:rPr>
              <w:t>sh0724,</w:t>
            </w:r>
            <w:r>
              <w:rPr>
                <w:spacing w:val="-12"/>
                <w:sz w:val="20"/>
              </w:rPr>
              <w:t> </w:t>
            </w:r>
            <w:r>
              <w:rPr>
                <w:sz w:val="20"/>
              </w:rPr>
              <w:t>sh0742, sh0743,</w:t>
            </w:r>
            <w:r>
              <w:rPr>
                <w:spacing w:val="-13"/>
                <w:sz w:val="20"/>
              </w:rPr>
              <w:t> </w:t>
            </w:r>
            <w:r>
              <w:rPr>
                <w:sz w:val="20"/>
              </w:rPr>
              <w:t>sh0744,</w:t>
            </w:r>
            <w:r>
              <w:rPr>
                <w:spacing w:val="-12"/>
                <w:sz w:val="20"/>
              </w:rPr>
              <w:t> </w:t>
            </w:r>
            <w:r>
              <w:rPr>
                <w:sz w:val="20"/>
              </w:rPr>
              <w:t>sh0745, sh0864,</w:t>
            </w:r>
            <w:r>
              <w:rPr>
                <w:spacing w:val="-13"/>
                <w:sz w:val="20"/>
              </w:rPr>
              <w:t> </w:t>
            </w:r>
            <w:r>
              <w:rPr>
                <w:sz w:val="20"/>
              </w:rPr>
              <w:t>sh0865,</w:t>
            </w:r>
            <w:r>
              <w:rPr>
                <w:spacing w:val="-12"/>
                <w:sz w:val="20"/>
              </w:rPr>
              <w:t> </w:t>
            </w:r>
            <w:r>
              <w:rPr>
                <w:sz w:val="20"/>
              </w:rPr>
              <w:t>sh0955, sh0960,</w:t>
            </w:r>
            <w:r>
              <w:rPr>
                <w:spacing w:val="-13"/>
                <w:sz w:val="20"/>
              </w:rPr>
              <w:t> </w:t>
            </w:r>
            <w:r>
              <w:rPr>
                <w:sz w:val="20"/>
              </w:rPr>
              <w:t>sh0981,</w:t>
            </w:r>
            <w:r>
              <w:rPr>
                <w:spacing w:val="-12"/>
                <w:sz w:val="20"/>
              </w:rPr>
              <w:t> </w:t>
            </w:r>
            <w:r>
              <w:rPr>
                <w:sz w:val="20"/>
              </w:rPr>
              <w:t>sh1011, sh1016,</w:t>
            </w:r>
            <w:r>
              <w:rPr>
                <w:spacing w:val="-13"/>
                <w:sz w:val="20"/>
              </w:rPr>
              <w:t> </w:t>
            </w:r>
            <w:r>
              <w:rPr>
                <w:sz w:val="20"/>
              </w:rPr>
              <w:t>sh1017,</w:t>
            </w:r>
            <w:r>
              <w:rPr>
                <w:spacing w:val="-12"/>
                <w:sz w:val="20"/>
              </w:rPr>
              <w:t> </w:t>
            </w:r>
            <w:r>
              <w:rPr>
                <w:sz w:val="20"/>
              </w:rPr>
              <w:t>sh1018, sh1019,</w:t>
            </w:r>
            <w:r>
              <w:rPr>
                <w:spacing w:val="-13"/>
                <w:sz w:val="20"/>
              </w:rPr>
              <w:t> </w:t>
            </w:r>
            <w:r>
              <w:rPr>
                <w:sz w:val="20"/>
              </w:rPr>
              <w:t>sh1047,</w:t>
            </w:r>
            <w:r>
              <w:rPr>
                <w:spacing w:val="-12"/>
                <w:sz w:val="20"/>
              </w:rPr>
              <w:t> </w:t>
            </w:r>
            <w:r>
              <w:rPr>
                <w:sz w:val="20"/>
              </w:rPr>
              <w:t>sh1048, </w:t>
            </w:r>
            <w:r>
              <w:rPr>
                <w:spacing w:val="-2"/>
                <w:sz w:val="20"/>
              </w:rPr>
              <w:t>sh1129.1</w:t>
            </w:r>
          </w:p>
        </w:tc>
        <w:tc>
          <w:tcPr>
            <w:tcW w:w="855" w:type="dxa"/>
          </w:tcPr>
          <w:p>
            <w:pPr>
              <w:pStyle w:val="TableParagraph"/>
              <w:spacing w:before="46"/>
              <w:ind w:right="46"/>
              <w:jc w:val="right"/>
              <w:rPr>
                <w:sz w:val="20"/>
              </w:rPr>
            </w:pPr>
            <w:r>
              <w:rPr>
                <w:spacing w:val="-2"/>
                <w:sz w:val="20"/>
              </w:rPr>
              <w:t>10,57</w:t>
            </w:r>
          </w:p>
        </w:tc>
      </w:tr>
      <w:tr>
        <w:trPr>
          <w:trHeight w:val="506" w:hRule="atLeast"/>
        </w:trPr>
        <w:tc>
          <w:tcPr>
            <w:tcW w:w="1003" w:type="dxa"/>
          </w:tcPr>
          <w:p>
            <w:pPr>
              <w:pStyle w:val="TableParagraph"/>
              <w:spacing w:before="46"/>
              <w:ind w:left="50"/>
              <w:rPr>
                <w:sz w:val="20"/>
              </w:rPr>
            </w:pPr>
            <w:r>
              <w:rPr>
                <w:spacing w:val="-2"/>
                <w:sz w:val="20"/>
              </w:rPr>
              <w:t>ds19.091</w:t>
            </w:r>
          </w:p>
        </w:tc>
        <w:tc>
          <w:tcPr>
            <w:tcW w:w="645" w:type="dxa"/>
          </w:tcPr>
          <w:p>
            <w:pPr>
              <w:pStyle w:val="TableParagraph"/>
              <w:spacing w:before="46"/>
              <w:ind w:right="215"/>
              <w:jc w:val="right"/>
              <w:rPr>
                <w:sz w:val="20"/>
              </w:rPr>
            </w:pPr>
            <w:r>
              <w:rPr>
                <w:spacing w:val="-5"/>
                <w:sz w:val="20"/>
              </w:rPr>
              <w:t>68</w:t>
            </w:r>
          </w:p>
        </w:tc>
        <w:tc>
          <w:tcPr>
            <w:tcW w:w="3069" w:type="dxa"/>
          </w:tcPr>
          <w:p>
            <w:pPr>
              <w:pStyle w:val="TableParagraph"/>
              <w:spacing w:line="230" w:lineRule="atLeast" w:before="26"/>
              <w:ind w:left="219" w:right="857"/>
              <w:rPr>
                <w:sz w:val="20"/>
              </w:rPr>
            </w:pPr>
            <w:r>
              <w:rPr>
                <w:sz w:val="20"/>
              </w:rPr>
              <w:t>Лекарственная</w:t>
            </w:r>
            <w:r>
              <w:rPr>
                <w:spacing w:val="-13"/>
                <w:sz w:val="20"/>
              </w:rPr>
              <w:t> </w:t>
            </w:r>
            <w:r>
              <w:rPr>
                <w:sz w:val="20"/>
              </w:rPr>
              <w:t>терапия при злокачественных</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line="230" w:lineRule="atLeast" w:before="26"/>
              <w:ind w:left="1327" w:right="511" w:hanging="236"/>
              <w:rPr>
                <w:sz w:val="20"/>
              </w:rPr>
            </w:pPr>
            <w:r>
              <w:rPr>
                <w:sz w:val="20"/>
              </w:rPr>
              <w:t>Возрастная</w:t>
            </w:r>
            <w:r>
              <w:rPr>
                <w:spacing w:val="-13"/>
                <w:sz w:val="20"/>
              </w:rPr>
              <w:t> </w:t>
            </w:r>
            <w:r>
              <w:rPr>
                <w:sz w:val="20"/>
              </w:rPr>
              <w:t>группа: старше 18 лет</w:t>
            </w:r>
          </w:p>
        </w:tc>
        <w:tc>
          <w:tcPr>
            <w:tcW w:w="855" w:type="dxa"/>
          </w:tcPr>
          <w:p>
            <w:pPr>
              <w:pStyle w:val="TableParagraph"/>
              <w:spacing w:before="46"/>
              <w:ind w:right="46"/>
              <w:jc w:val="right"/>
              <w:rPr>
                <w:sz w:val="20"/>
              </w:rPr>
            </w:pPr>
            <w:r>
              <w:rPr>
                <w:spacing w:val="-2"/>
                <w:sz w:val="20"/>
              </w:rPr>
              <w:t>13,50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65"/>
        <w:gridCol w:w="855"/>
      </w:tblGrid>
      <w:tr>
        <w:trPr>
          <w:trHeight w:val="372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ind w:left="219" w:right="653"/>
              <w:rPr>
                <w:sz w:val="20"/>
              </w:rPr>
            </w:pPr>
            <w:r>
              <w:rPr>
                <w:sz w:val="20"/>
              </w:rPr>
              <w:t>новообразованиях</w:t>
            </w:r>
            <w:r>
              <w:rPr>
                <w:spacing w:val="-13"/>
                <w:sz w:val="20"/>
              </w:rPr>
              <w:t> </w:t>
            </w:r>
            <w:r>
              <w:rPr>
                <w:sz w:val="20"/>
              </w:rPr>
              <w:t>(кроме лимфоидной и кроветворной тканей), взрослые (уровень 12)</w:t>
            </w:r>
          </w:p>
        </w:tc>
        <w:tc>
          <w:tcPr>
            <w:tcW w:w="4105" w:type="dxa"/>
          </w:tcPr>
          <w:p>
            <w:pPr>
              <w:pStyle w:val="TableParagraph"/>
              <w:rPr>
                <w:sz w:val="18"/>
              </w:rPr>
            </w:pPr>
          </w:p>
        </w:tc>
        <w:tc>
          <w:tcPr>
            <w:tcW w:w="2402" w:type="dxa"/>
          </w:tcPr>
          <w:p>
            <w:pPr>
              <w:pStyle w:val="TableParagraph"/>
              <w:rPr>
                <w:sz w:val="18"/>
              </w:rPr>
            </w:pPr>
          </w:p>
        </w:tc>
        <w:tc>
          <w:tcPr>
            <w:tcW w:w="3265" w:type="dxa"/>
          </w:tcPr>
          <w:p>
            <w:pPr>
              <w:pStyle w:val="TableParagraph"/>
              <w:ind w:left="919" w:right="349"/>
              <w:jc w:val="center"/>
              <w:rPr>
                <w:sz w:val="20"/>
              </w:rPr>
            </w:pPr>
            <w:r>
              <w:rPr>
                <w:sz w:val="20"/>
              </w:rPr>
              <w:t>Схемы:</w:t>
            </w:r>
            <w:r>
              <w:rPr>
                <w:spacing w:val="-13"/>
                <w:sz w:val="20"/>
              </w:rPr>
              <w:t> </w:t>
            </w:r>
            <w:r>
              <w:rPr>
                <w:sz w:val="20"/>
              </w:rPr>
              <w:t>sh0096,</w:t>
            </w:r>
            <w:r>
              <w:rPr>
                <w:spacing w:val="-12"/>
                <w:sz w:val="20"/>
              </w:rPr>
              <w:t> </w:t>
            </w:r>
            <w:r>
              <w:rPr>
                <w:sz w:val="20"/>
              </w:rPr>
              <w:t>sh0164, sh0398.1, sh0399.1, sh0418.1, sh0506, sh0509,</w:t>
            </w:r>
            <w:r>
              <w:rPr>
                <w:spacing w:val="-13"/>
                <w:sz w:val="20"/>
              </w:rPr>
              <w:t> </w:t>
            </w:r>
            <w:r>
              <w:rPr>
                <w:sz w:val="20"/>
              </w:rPr>
              <w:t>sh0512,</w:t>
            </w:r>
            <w:r>
              <w:rPr>
                <w:spacing w:val="-12"/>
                <w:sz w:val="20"/>
              </w:rPr>
              <w:t> </w:t>
            </w:r>
            <w:r>
              <w:rPr>
                <w:sz w:val="20"/>
              </w:rPr>
              <w:t>sh0583, sh0645.1, sh0714, sh0725,</w:t>
            </w:r>
            <w:r>
              <w:rPr>
                <w:spacing w:val="-13"/>
                <w:sz w:val="20"/>
              </w:rPr>
              <w:t> </w:t>
            </w:r>
            <w:r>
              <w:rPr>
                <w:sz w:val="20"/>
              </w:rPr>
              <w:t>sh0726,</w:t>
            </w:r>
            <w:r>
              <w:rPr>
                <w:spacing w:val="-12"/>
                <w:sz w:val="20"/>
              </w:rPr>
              <w:t> </w:t>
            </w:r>
            <w:r>
              <w:rPr>
                <w:sz w:val="20"/>
              </w:rPr>
              <w:t>sh0727, sh0728,</w:t>
            </w:r>
            <w:r>
              <w:rPr>
                <w:spacing w:val="-13"/>
                <w:sz w:val="20"/>
              </w:rPr>
              <w:t> </w:t>
            </w:r>
            <w:r>
              <w:rPr>
                <w:sz w:val="20"/>
              </w:rPr>
              <w:t>sh0729,</w:t>
            </w:r>
            <w:r>
              <w:rPr>
                <w:spacing w:val="-12"/>
                <w:sz w:val="20"/>
              </w:rPr>
              <w:t> </w:t>
            </w:r>
            <w:r>
              <w:rPr>
                <w:sz w:val="20"/>
              </w:rPr>
              <w:t>sh0730, sh0731,</w:t>
            </w:r>
            <w:r>
              <w:rPr>
                <w:spacing w:val="-13"/>
                <w:sz w:val="20"/>
              </w:rPr>
              <w:t> </w:t>
            </w:r>
            <w:r>
              <w:rPr>
                <w:sz w:val="20"/>
              </w:rPr>
              <w:t>sh0732,</w:t>
            </w:r>
            <w:r>
              <w:rPr>
                <w:spacing w:val="-12"/>
                <w:sz w:val="20"/>
              </w:rPr>
              <w:t> </w:t>
            </w:r>
            <w:r>
              <w:rPr>
                <w:sz w:val="20"/>
              </w:rPr>
              <w:t>sh0733, sh0734,</w:t>
            </w:r>
            <w:r>
              <w:rPr>
                <w:spacing w:val="-13"/>
                <w:sz w:val="20"/>
              </w:rPr>
              <w:t> </w:t>
            </w:r>
            <w:r>
              <w:rPr>
                <w:sz w:val="20"/>
              </w:rPr>
              <w:t>sh0735,</w:t>
            </w:r>
            <w:r>
              <w:rPr>
                <w:spacing w:val="-12"/>
                <w:sz w:val="20"/>
              </w:rPr>
              <w:t> </w:t>
            </w:r>
            <w:r>
              <w:rPr>
                <w:sz w:val="20"/>
              </w:rPr>
              <w:t>sh0746, sh0762,</w:t>
            </w:r>
            <w:r>
              <w:rPr>
                <w:spacing w:val="-13"/>
                <w:sz w:val="20"/>
              </w:rPr>
              <w:t> </w:t>
            </w:r>
            <w:r>
              <w:rPr>
                <w:sz w:val="20"/>
              </w:rPr>
              <w:t>sh0828,</w:t>
            </w:r>
            <w:r>
              <w:rPr>
                <w:spacing w:val="-12"/>
                <w:sz w:val="20"/>
              </w:rPr>
              <w:t> </w:t>
            </w:r>
            <w:r>
              <w:rPr>
                <w:sz w:val="20"/>
              </w:rPr>
              <w:t>sh0830, sh0832, sh0868.1, sh0940,</w:t>
            </w:r>
            <w:r>
              <w:rPr>
                <w:spacing w:val="-13"/>
                <w:sz w:val="20"/>
              </w:rPr>
              <w:t> </w:t>
            </w:r>
            <w:r>
              <w:rPr>
                <w:sz w:val="20"/>
              </w:rPr>
              <w:t>sh0945,</w:t>
            </w:r>
            <w:r>
              <w:rPr>
                <w:spacing w:val="-12"/>
                <w:sz w:val="20"/>
              </w:rPr>
              <w:t> </w:t>
            </w:r>
            <w:r>
              <w:rPr>
                <w:sz w:val="20"/>
              </w:rPr>
              <w:t>sh0986, sh0987,</w:t>
            </w:r>
            <w:r>
              <w:rPr>
                <w:spacing w:val="-13"/>
                <w:sz w:val="20"/>
              </w:rPr>
              <w:t> </w:t>
            </w:r>
            <w:r>
              <w:rPr>
                <w:sz w:val="20"/>
              </w:rPr>
              <w:t>sh1005,</w:t>
            </w:r>
            <w:r>
              <w:rPr>
                <w:spacing w:val="-12"/>
                <w:sz w:val="20"/>
              </w:rPr>
              <w:t> </w:t>
            </w:r>
            <w:r>
              <w:rPr>
                <w:sz w:val="20"/>
              </w:rPr>
              <w:t>sh1006, sh1007,</w:t>
            </w:r>
            <w:r>
              <w:rPr>
                <w:spacing w:val="-13"/>
                <w:sz w:val="20"/>
              </w:rPr>
              <w:t> </w:t>
            </w:r>
            <w:r>
              <w:rPr>
                <w:sz w:val="20"/>
              </w:rPr>
              <w:t>sh1008,</w:t>
            </w:r>
            <w:r>
              <w:rPr>
                <w:spacing w:val="-12"/>
                <w:sz w:val="20"/>
              </w:rPr>
              <w:t> </w:t>
            </w:r>
            <w:r>
              <w:rPr>
                <w:sz w:val="20"/>
              </w:rPr>
              <w:t>sh1046, sh1064,</w:t>
            </w:r>
            <w:r>
              <w:rPr>
                <w:spacing w:val="-13"/>
                <w:sz w:val="20"/>
              </w:rPr>
              <w:t> </w:t>
            </w:r>
            <w:r>
              <w:rPr>
                <w:sz w:val="20"/>
              </w:rPr>
              <w:t>sh1065,</w:t>
            </w:r>
            <w:r>
              <w:rPr>
                <w:spacing w:val="-12"/>
                <w:sz w:val="20"/>
              </w:rPr>
              <w:t> </w:t>
            </w:r>
            <w:r>
              <w:rPr>
                <w:sz w:val="20"/>
              </w:rPr>
              <w:t>sh1140, </w:t>
            </w:r>
            <w:r>
              <w:rPr>
                <w:spacing w:val="-2"/>
                <w:sz w:val="20"/>
              </w:rPr>
              <w:t>sh1144.1</w:t>
            </w:r>
          </w:p>
        </w:tc>
        <w:tc>
          <w:tcPr>
            <w:tcW w:w="855" w:type="dxa"/>
          </w:tcPr>
          <w:p>
            <w:pPr>
              <w:pStyle w:val="TableParagraph"/>
              <w:rPr>
                <w:sz w:val="18"/>
              </w:rPr>
            </w:pPr>
          </w:p>
        </w:tc>
      </w:tr>
      <w:tr>
        <w:trPr>
          <w:trHeight w:val="2860" w:hRule="atLeast"/>
        </w:trPr>
        <w:tc>
          <w:tcPr>
            <w:tcW w:w="1003" w:type="dxa"/>
          </w:tcPr>
          <w:p>
            <w:pPr>
              <w:pStyle w:val="TableParagraph"/>
              <w:spacing w:before="46"/>
              <w:ind w:left="50"/>
              <w:rPr>
                <w:sz w:val="20"/>
              </w:rPr>
            </w:pPr>
            <w:r>
              <w:rPr>
                <w:spacing w:val="-2"/>
                <w:sz w:val="20"/>
              </w:rPr>
              <w:t>ds19.092</w:t>
            </w:r>
          </w:p>
        </w:tc>
        <w:tc>
          <w:tcPr>
            <w:tcW w:w="645" w:type="dxa"/>
          </w:tcPr>
          <w:p>
            <w:pPr>
              <w:pStyle w:val="TableParagraph"/>
              <w:spacing w:before="46"/>
              <w:ind w:right="215"/>
              <w:jc w:val="right"/>
              <w:rPr>
                <w:sz w:val="20"/>
              </w:rPr>
            </w:pPr>
            <w:r>
              <w:rPr>
                <w:spacing w:val="-5"/>
                <w:sz w:val="20"/>
              </w:rPr>
              <w:t>69</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13)</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before="46"/>
              <w:ind w:left="1327" w:right="518" w:hanging="236"/>
              <w:jc w:val="both"/>
              <w:rPr>
                <w:sz w:val="20"/>
              </w:rPr>
            </w:pPr>
            <w:r>
              <w:rPr>
                <w:sz w:val="20"/>
              </w:rPr>
              <w:t>Возрастная</w:t>
            </w:r>
            <w:r>
              <w:rPr>
                <w:spacing w:val="-13"/>
                <w:sz w:val="20"/>
              </w:rPr>
              <w:t> </w:t>
            </w:r>
            <w:r>
              <w:rPr>
                <w:sz w:val="20"/>
              </w:rPr>
              <w:t>группа: старше 18 лет</w:t>
            </w:r>
          </w:p>
          <w:p>
            <w:pPr>
              <w:pStyle w:val="TableParagraph"/>
              <w:ind w:left="926" w:right="349" w:hanging="8"/>
              <w:jc w:val="both"/>
              <w:rPr>
                <w:sz w:val="20"/>
              </w:rPr>
            </w:pPr>
            <w:r>
              <w:rPr>
                <w:sz w:val="20"/>
              </w:rPr>
              <w:t>Схемы:</w:t>
            </w:r>
            <w:r>
              <w:rPr>
                <w:spacing w:val="-13"/>
                <w:sz w:val="20"/>
              </w:rPr>
              <w:t> </w:t>
            </w:r>
            <w:r>
              <w:rPr>
                <w:sz w:val="20"/>
              </w:rPr>
              <w:t>sh0022,</w:t>
            </w:r>
            <w:r>
              <w:rPr>
                <w:spacing w:val="-12"/>
                <w:sz w:val="20"/>
              </w:rPr>
              <w:t> </w:t>
            </w:r>
            <w:r>
              <w:rPr>
                <w:sz w:val="20"/>
              </w:rPr>
              <w:t>sh0160, sh0246,</w:t>
            </w:r>
            <w:r>
              <w:rPr>
                <w:spacing w:val="-13"/>
                <w:sz w:val="20"/>
              </w:rPr>
              <w:t> </w:t>
            </w:r>
            <w:r>
              <w:rPr>
                <w:sz w:val="20"/>
              </w:rPr>
              <w:t>sh0247,</w:t>
            </w:r>
            <w:r>
              <w:rPr>
                <w:spacing w:val="-12"/>
                <w:sz w:val="20"/>
              </w:rPr>
              <w:t> </w:t>
            </w:r>
            <w:r>
              <w:rPr>
                <w:sz w:val="20"/>
              </w:rPr>
              <w:t>sh0248, sh0249,</w:t>
            </w:r>
            <w:r>
              <w:rPr>
                <w:spacing w:val="-13"/>
                <w:sz w:val="20"/>
              </w:rPr>
              <w:t> </w:t>
            </w:r>
            <w:r>
              <w:rPr>
                <w:sz w:val="20"/>
              </w:rPr>
              <w:t>sh0250,</w:t>
            </w:r>
            <w:r>
              <w:rPr>
                <w:spacing w:val="-12"/>
                <w:sz w:val="20"/>
              </w:rPr>
              <w:t> </w:t>
            </w:r>
            <w:r>
              <w:rPr>
                <w:sz w:val="20"/>
              </w:rPr>
              <w:t>sh0251, sh0414,</w:t>
            </w:r>
            <w:r>
              <w:rPr>
                <w:spacing w:val="-13"/>
                <w:sz w:val="20"/>
              </w:rPr>
              <w:t> </w:t>
            </w:r>
            <w:r>
              <w:rPr>
                <w:sz w:val="20"/>
              </w:rPr>
              <w:t>sh0415,</w:t>
            </w:r>
            <w:r>
              <w:rPr>
                <w:spacing w:val="-12"/>
                <w:sz w:val="20"/>
              </w:rPr>
              <w:t> </w:t>
            </w:r>
            <w:r>
              <w:rPr>
                <w:sz w:val="20"/>
              </w:rPr>
              <w:t>sh0416, sh0450,</w:t>
            </w:r>
            <w:r>
              <w:rPr>
                <w:spacing w:val="-13"/>
                <w:sz w:val="20"/>
              </w:rPr>
              <w:t> </w:t>
            </w:r>
            <w:r>
              <w:rPr>
                <w:sz w:val="20"/>
              </w:rPr>
              <w:t>sh0475,</w:t>
            </w:r>
            <w:r>
              <w:rPr>
                <w:spacing w:val="-12"/>
                <w:sz w:val="20"/>
              </w:rPr>
              <w:t> </w:t>
            </w:r>
            <w:r>
              <w:rPr>
                <w:sz w:val="20"/>
              </w:rPr>
              <w:t>sh0533, sh0551,</w:t>
            </w:r>
            <w:r>
              <w:rPr>
                <w:spacing w:val="-13"/>
                <w:sz w:val="20"/>
              </w:rPr>
              <w:t> </w:t>
            </w:r>
            <w:r>
              <w:rPr>
                <w:sz w:val="20"/>
              </w:rPr>
              <w:t>sh0612,</w:t>
            </w:r>
            <w:r>
              <w:rPr>
                <w:spacing w:val="-12"/>
                <w:sz w:val="20"/>
              </w:rPr>
              <w:t> </w:t>
            </w:r>
            <w:r>
              <w:rPr>
                <w:sz w:val="20"/>
              </w:rPr>
              <w:t>sh0621, sh0624,</w:t>
            </w:r>
            <w:r>
              <w:rPr>
                <w:spacing w:val="-13"/>
                <w:sz w:val="20"/>
              </w:rPr>
              <w:t> </w:t>
            </w:r>
            <w:r>
              <w:rPr>
                <w:sz w:val="20"/>
              </w:rPr>
              <w:t>sh0625,</w:t>
            </w:r>
            <w:r>
              <w:rPr>
                <w:spacing w:val="-12"/>
                <w:sz w:val="20"/>
              </w:rPr>
              <w:t> </w:t>
            </w:r>
            <w:r>
              <w:rPr>
                <w:sz w:val="20"/>
              </w:rPr>
              <w:t>sh0661, sh0721,</w:t>
            </w:r>
            <w:r>
              <w:rPr>
                <w:spacing w:val="-13"/>
                <w:sz w:val="20"/>
              </w:rPr>
              <w:t> </w:t>
            </w:r>
            <w:r>
              <w:rPr>
                <w:sz w:val="20"/>
              </w:rPr>
              <w:t>sh0722,</w:t>
            </w:r>
            <w:r>
              <w:rPr>
                <w:spacing w:val="-12"/>
                <w:sz w:val="20"/>
              </w:rPr>
              <w:t> </w:t>
            </w:r>
            <w:r>
              <w:rPr>
                <w:sz w:val="20"/>
              </w:rPr>
              <w:t>sh0769, sh0872,</w:t>
            </w:r>
            <w:r>
              <w:rPr>
                <w:spacing w:val="-13"/>
                <w:sz w:val="20"/>
              </w:rPr>
              <w:t> </w:t>
            </w:r>
            <w:r>
              <w:rPr>
                <w:sz w:val="20"/>
              </w:rPr>
              <w:t>sh0882,</w:t>
            </w:r>
            <w:r>
              <w:rPr>
                <w:spacing w:val="-12"/>
                <w:sz w:val="20"/>
              </w:rPr>
              <w:t> </w:t>
            </w:r>
            <w:r>
              <w:rPr>
                <w:sz w:val="20"/>
              </w:rPr>
              <w:t>sh0925, sh0958, sh0976, sh1113</w:t>
            </w:r>
          </w:p>
        </w:tc>
        <w:tc>
          <w:tcPr>
            <w:tcW w:w="855" w:type="dxa"/>
          </w:tcPr>
          <w:p>
            <w:pPr>
              <w:pStyle w:val="TableParagraph"/>
              <w:spacing w:before="46"/>
              <w:ind w:right="46"/>
              <w:jc w:val="right"/>
              <w:rPr>
                <w:sz w:val="20"/>
              </w:rPr>
            </w:pPr>
            <w:r>
              <w:rPr>
                <w:spacing w:val="-2"/>
                <w:sz w:val="20"/>
              </w:rPr>
              <w:t>16,03</w:t>
            </w:r>
          </w:p>
        </w:tc>
      </w:tr>
      <w:tr>
        <w:trPr>
          <w:trHeight w:val="1885" w:hRule="atLeast"/>
        </w:trPr>
        <w:tc>
          <w:tcPr>
            <w:tcW w:w="1003" w:type="dxa"/>
          </w:tcPr>
          <w:p>
            <w:pPr>
              <w:pStyle w:val="TableParagraph"/>
              <w:spacing w:before="45"/>
              <w:ind w:left="50"/>
              <w:rPr>
                <w:sz w:val="20"/>
              </w:rPr>
            </w:pPr>
            <w:r>
              <w:rPr>
                <w:spacing w:val="-2"/>
                <w:sz w:val="20"/>
              </w:rPr>
              <w:t>ds19.093</w:t>
            </w:r>
          </w:p>
        </w:tc>
        <w:tc>
          <w:tcPr>
            <w:tcW w:w="645" w:type="dxa"/>
          </w:tcPr>
          <w:p>
            <w:pPr>
              <w:pStyle w:val="TableParagraph"/>
              <w:spacing w:before="45"/>
              <w:ind w:right="215"/>
              <w:jc w:val="right"/>
              <w:rPr>
                <w:sz w:val="20"/>
              </w:rPr>
            </w:pPr>
            <w:r>
              <w:rPr>
                <w:spacing w:val="-5"/>
                <w:sz w:val="20"/>
              </w:rPr>
              <w:t>70</w:t>
            </w:r>
          </w:p>
        </w:tc>
        <w:tc>
          <w:tcPr>
            <w:tcW w:w="3069" w:type="dxa"/>
          </w:tcPr>
          <w:p>
            <w:pPr>
              <w:pStyle w:val="TableParagraph"/>
              <w:spacing w:before="45"/>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14)</w:t>
            </w:r>
          </w:p>
        </w:tc>
        <w:tc>
          <w:tcPr>
            <w:tcW w:w="4105" w:type="dxa"/>
          </w:tcPr>
          <w:p>
            <w:pPr>
              <w:pStyle w:val="TableParagraph"/>
              <w:spacing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5"/>
              <w:ind w:right="913"/>
              <w:jc w:val="right"/>
              <w:rPr>
                <w:sz w:val="20"/>
              </w:rPr>
            </w:pPr>
            <w:r>
              <w:rPr>
                <w:w w:val="99"/>
                <w:sz w:val="20"/>
              </w:rPr>
              <w:t>-</w:t>
            </w:r>
          </w:p>
        </w:tc>
        <w:tc>
          <w:tcPr>
            <w:tcW w:w="3265" w:type="dxa"/>
          </w:tcPr>
          <w:p>
            <w:pPr>
              <w:pStyle w:val="TableParagraph"/>
              <w:spacing w:before="45"/>
              <w:ind w:left="919" w:right="345"/>
              <w:jc w:val="center"/>
              <w:rPr>
                <w:sz w:val="20"/>
              </w:rPr>
            </w:pPr>
            <w:r>
              <w:rPr>
                <w:sz w:val="20"/>
              </w:rPr>
              <w:t>Возрастная</w:t>
            </w:r>
            <w:r>
              <w:rPr>
                <w:spacing w:val="-13"/>
                <w:sz w:val="20"/>
              </w:rPr>
              <w:t> </w:t>
            </w:r>
            <w:r>
              <w:rPr>
                <w:sz w:val="20"/>
              </w:rPr>
              <w:t>группа: старше 18 лет</w:t>
            </w:r>
          </w:p>
          <w:p>
            <w:pPr>
              <w:pStyle w:val="TableParagraph"/>
              <w:spacing w:before="1"/>
              <w:ind w:left="919" w:right="349"/>
              <w:jc w:val="center"/>
              <w:rPr>
                <w:sz w:val="20"/>
              </w:rPr>
            </w:pPr>
            <w:r>
              <w:rPr>
                <w:sz w:val="20"/>
              </w:rPr>
              <w:t>Схемы:</w:t>
            </w:r>
            <w:r>
              <w:rPr>
                <w:spacing w:val="-13"/>
                <w:sz w:val="20"/>
              </w:rPr>
              <w:t> </w:t>
            </w:r>
            <w:r>
              <w:rPr>
                <w:sz w:val="20"/>
              </w:rPr>
              <w:t>sh0021,</w:t>
            </w:r>
            <w:r>
              <w:rPr>
                <w:spacing w:val="-12"/>
                <w:sz w:val="20"/>
              </w:rPr>
              <w:t> </w:t>
            </w:r>
            <w:r>
              <w:rPr>
                <w:sz w:val="20"/>
              </w:rPr>
              <w:t>sh0048, sh0067,</w:t>
            </w:r>
            <w:r>
              <w:rPr>
                <w:spacing w:val="-13"/>
                <w:sz w:val="20"/>
              </w:rPr>
              <w:t> </w:t>
            </w:r>
            <w:r>
              <w:rPr>
                <w:sz w:val="20"/>
              </w:rPr>
              <w:t>sh0070,</w:t>
            </w:r>
            <w:r>
              <w:rPr>
                <w:spacing w:val="-12"/>
                <w:sz w:val="20"/>
              </w:rPr>
              <w:t> </w:t>
            </w:r>
            <w:r>
              <w:rPr>
                <w:sz w:val="20"/>
              </w:rPr>
              <w:t>sh0109, sh0114,</w:t>
            </w:r>
            <w:r>
              <w:rPr>
                <w:spacing w:val="-13"/>
                <w:sz w:val="20"/>
              </w:rPr>
              <w:t> </w:t>
            </w:r>
            <w:r>
              <w:rPr>
                <w:sz w:val="20"/>
              </w:rPr>
              <w:t>sh0115,</w:t>
            </w:r>
            <w:r>
              <w:rPr>
                <w:spacing w:val="-12"/>
                <w:sz w:val="20"/>
              </w:rPr>
              <w:t> </w:t>
            </w:r>
            <w:r>
              <w:rPr>
                <w:sz w:val="20"/>
              </w:rPr>
              <w:t>sh0181, sh0446,</w:t>
            </w:r>
            <w:r>
              <w:rPr>
                <w:spacing w:val="-6"/>
                <w:sz w:val="20"/>
              </w:rPr>
              <w:t> </w:t>
            </w:r>
            <w:r>
              <w:rPr>
                <w:sz w:val="20"/>
              </w:rPr>
              <w:t>sh0491,</w:t>
            </w:r>
            <w:r>
              <w:rPr>
                <w:spacing w:val="-5"/>
                <w:sz w:val="20"/>
              </w:rPr>
              <w:t> </w:t>
            </w:r>
            <w:r>
              <w:rPr>
                <w:spacing w:val="-2"/>
                <w:sz w:val="20"/>
              </w:rPr>
              <w:t>sh0513,</w:t>
            </w:r>
          </w:p>
          <w:p>
            <w:pPr>
              <w:pStyle w:val="TableParagraph"/>
              <w:spacing w:line="230" w:lineRule="exact"/>
              <w:ind w:left="926" w:right="352" w:hanging="5"/>
              <w:jc w:val="center"/>
              <w:rPr>
                <w:sz w:val="20"/>
              </w:rPr>
            </w:pPr>
            <w:r>
              <w:rPr>
                <w:sz w:val="20"/>
              </w:rPr>
              <w:t>sh0576.1, sh0578.1, sh0592,</w:t>
            </w:r>
            <w:r>
              <w:rPr>
                <w:spacing w:val="-13"/>
                <w:sz w:val="20"/>
              </w:rPr>
              <w:t> </w:t>
            </w:r>
            <w:r>
              <w:rPr>
                <w:sz w:val="20"/>
              </w:rPr>
              <w:t>sh0924,</w:t>
            </w:r>
            <w:r>
              <w:rPr>
                <w:spacing w:val="-12"/>
                <w:sz w:val="20"/>
              </w:rPr>
              <w:t> </w:t>
            </w:r>
            <w:r>
              <w:rPr>
                <w:sz w:val="20"/>
              </w:rPr>
              <w:t>sh0962,</w:t>
            </w:r>
          </w:p>
        </w:tc>
        <w:tc>
          <w:tcPr>
            <w:tcW w:w="855" w:type="dxa"/>
          </w:tcPr>
          <w:p>
            <w:pPr>
              <w:pStyle w:val="TableParagraph"/>
              <w:spacing w:before="45"/>
              <w:ind w:right="46"/>
              <w:jc w:val="right"/>
              <w:rPr>
                <w:sz w:val="20"/>
              </w:rPr>
            </w:pPr>
            <w:r>
              <w:rPr>
                <w:spacing w:val="-2"/>
                <w:sz w:val="20"/>
              </w:rPr>
              <w:t>20,54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3350"/>
        <w:gridCol w:w="3909"/>
        <w:gridCol w:w="2512"/>
        <w:gridCol w:w="854"/>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spacing w:line="221" w:lineRule="exact"/>
              <w:ind w:left="161" w:right="338"/>
              <w:jc w:val="center"/>
              <w:rPr>
                <w:sz w:val="20"/>
              </w:rPr>
            </w:pPr>
            <w:r>
              <w:rPr>
                <w:sz w:val="20"/>
              </w:rPr>
              <w:t>sh1073,</w:t>
            </w:r>
            <w:r>
              <w:rPr>
                <w:spacing w:val="-6"/>
                <w:sz w:val="20"/>
              </w:rPr>
              <w:t> </w:t>
            </w:r>
            <w:r>
              <w:rPr>
                <w:sz w:val="20"/>
              </w:rPr>
              <w:t>sh1084,</w:t>
            </w:r>
            <w:r>
              <w:rPr>
                <w:spacing w:val="-5"/>
                <w:sz w:val="20"/>
              </w:rPr>
              <w:t> </w:t>
            </w:r>
            <w:r>
              <w:rPr>
                <w:spacing w:val="-2"/>
                <w:sz w:val="20"/>
              </w:rPr>
              <w:t>sh1126,</w:t>
            </w:r>
          </w:p>
          <w:p>
            <w:pPr>
              <w:pStyle w:val="TableParagraph"/>
              <w:ind w:left="161" w:right="339"/>
              <w:jc w:val="center"/>
              <w:rPr>
                <w:sz w:val="20"/>
              </w:rPr>
            </w:pPr>
            <w:r>
              <w:rPr>
                <w:spacing w:val="-2"/>
                <w:sz w:val="20"/>
              </w:rPr>
              <w:t>sh1135</w:t>
            </w:r>
          </w:p>
        </w:tc>
        <w:tc>
          <w:tcPr>
            <w:tcW w:w="854"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ds19.094</w:t>
            </w:r>
          </w:p>
        </w:tc>
        <w:tc>
          <w:tcPr>
            <w:tcW w:w="645" w:type="dxa"/>
          </w:tcPr>
          <w:p>
            <w:pPr>
              <w:pStyle w:val="TableParagraph"/>
              <w:spacing w:line="215" w:lineRule="exact" w:before="45"/>
              <w:ind w:right="215"/>
              <w:jc w:val="right"/>
              <w:rPr>
                <w:sz w:val="20"/>
              </w:rPr>
            </w:pPr>
            <w:r>
              <w:rPr>
                <w:spacing w:val="-5"/>
                <w:sz w:val="20"/>
              </w:rPr>
              <w:t>71</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3350" w:type="dxa"/>
          </w:tcPr>
          <w:p>
            <w:pPr>
              <w:pStyle w:val="TableParagraph"/>
              <w:spacing w:line="215" w:lineRule="exact" w:before="45"/>
              <w:ind w:left="660" w:right="655"/>
              <w:jc w:val="center"/>
              <w:rPr>
                <w:sz w:val="20"/>
              </w:rPr>
            </w:pPr>
            <w:r>
              <w:rPr>
                <w:sz w:val="20"/>
              </w:rPr>
              <w:t>C00-C80,</w:t>
            </w:r>
            <w:r>
              <w:rPr>
                <w:spacing w:val="-8"/>
                <w:sz w:val="20"/>
              </w:rPr>
              <w:t> </w:t>
            </w:r>
            <w:r>
              <w:rPr>
                <w:sz w:val="20"/>
              </w:rPr>
              <w:t>C97,</w:t>
            </w:r>
            <w:r>
              <w:rPr>
                <w:spacing w:val="-7"/>
                <w:sz w:val="20"/>
              </w:rPr>
              <w:t> </w:t>
            </w:r>
            <w:r>
              <w:rPr>
                <w:sz w:val="20"/>
              </w:rPr>
              <w:t>D00-</w:t>
            </w:r>
            <w:r>
              <w:rPr>
                <w:spacing w:val="-5"/>
                <w:sz w:val="20"/>
              </w:rPr>
              <w:t>D09</w:t>
            </w:r>
          </w:p>
        </w:tc>
        <w:tc>
          <w:tcPr>
            <w:tcW w:w="3909" w:type="dxa"/>
          </w:tcPr>
          <w:p>
            <w:pPr>
              <w:pStyle w:val="TableParagraph"/>
              <w:spacing w:line="215" w:lineRule="exact" w:before="45"/>
              <w:ind w:left="506"/>
              <w:jc w:val="center"/>
              <w:rPr>
                <w:sz w:val="20"/>
              </w:rPr>
            </w:pPr>
            <w:r>
              <w:rPr>
                <w:w w:val="99"/>
                <w:sz w:val="20"/>
              </w:rPr>
              <w:t>-</w:t>
            </w:r>
          </w:p>
        </w:tc>
        <w:tc>
          <w:tcPr>
            <w:tcW w:w="2512" w:type="dxa"/>
          </w:tcPr>
          <w:p>
            <w:pPr>
              <w:pStyle w:val="TableParagraph"/>
              <w:spacing w:line="215" w:lineRule="exact" w:before="45"/>
              <w:ind w:left="161" w:right="338"/>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5" w:lineRule="exact" w:before="45"/>
              <w:ind w:right="44"/>
              <w:jc w:val="right"/>
              <w:rPr>
                <w:sz w:val="20"/>
              </w:rPr>
            </w:pPr>
            <w:r>
              <w:rPr>
                <w:spacing w:val="-2"/>
                <w:sz w:val="20"/>
              </w:rPr>
              <w:t>27,22</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42"/>
              <w:jc w:val="center"/>
              <w:rPr>
                <w:sz w:val="20"/>
              </w:rPr>
            </w:pPr>
            <w:r>
              <w:rPr>
                <w:sz w:val="20"/>
              </w:rPr>
              <w:t>Схемы:</w:t>
            </w:r>
            <w:r>
              <w:rPr>
                <w:spacing w:val="-6"/>
                <w:sz w:val="20"/>
              </w:rPr>
              <w:t> </w:t>
            </w:r>
            <w:r>
              <w:rPr>
                <w:sz w:val="20"/>
              </w:rPr>
              <w:t>sh0023,</w:t>
            </w:r>
            <w:r>
              <w:rPr>
                <w:spacing w:val="-6"/>
                <w:sz w:val="20"/>
              </w:rPr>
              <w:t> </w:t>
            </w:r>
            <w:r>
              <w:rPr>
                <w:spacing w:val="-2"/>
                <w:sz w:val="20"/>
              </w:rPr>
              <w:t>sh0030,</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лимфоидной</w:t>
            </w:r>
            <w:r>
              <w:rPr>
                <w:spacing w:val="-11"/>
                <w:sz w:val="20"/>
              </w:rPr>
              <w:t> </w:t>
            </w:r>
            <w:r>
              <w:rPr>
                <w:spacing w:val="-12"/>
                <w:sz w:val="20"/>
              </w:rPr>
              <w:t>и</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9"/>
              <w:jc w:val="center"/>
              <w:rPr>
                <w:sz w:val="20"/>
              </w:rPr>
            </w:pPr>
            <w:r>
              <w:rPr>
                <w:sz w:val="20"/>
              </w:rPr>
              <w:t>sh0049,</w:t>
            </w:r>
            <w:r>
              <w:rPr>
                <w:spacing w:val="-6"/>
                <w:sz w:val="20"/>
              </w:rPr>
              <w:t> </w:t>
            </w:r>
            <w:r>
              <w:rPr>
                <w:spacing w:val="-2"/>
                <w:sz w:val="20"/>
              </w:rPr>
              <w:t>sh0504,</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7"/>
              <w:jc w:val="center"/>
              <w:rPr>
                <w:sz w:val="20"/>
              </w:rPr>
            </w:pPr>
            <w:r>
              <w:rPr>
                <w:sz w:val="20"/>
              </w:rPr>
              <w:t>sh0575.1,</w:t>
            </w:r>
            <w:r>
              <w:rPr>
                <w:spacing w:val="-6"/>
                <w:sz w:val="20"/>
              </w:rPr>
              <w:t> </w:t>
            </w:r>
            <w:r>
              <w:rPr>
                <w:spacing w:val="-2"/>
                <w:sz w:val="20"/>
              </w:rPr>
              <w:t>sh0595,</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15)</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1" w:lineRule="exact"/>
              <w:ind w:left="161" w:right="338"/>
              <w:jc w:val="center"/>
              <w:rPr>
                <w:sz w:val="20"/>
              </w:rPr>
            </w:pPr>
            <w:r>
              <w:rPr>
                <w:sz w:val="20"/>
              </w:rPr>
              <w:t>sh0596,</w:t>
            </w:r>
            <w:r>
              <w:rPr>
                <w:spacing w:val="-6"/>
                <w:sz w:val="20"/>
              </w:rPr>
              <w:t> </w:t>
            </w:r>
            <w:r>
              <w:rPr>
                <w:sz w:val="20"/>
              </w:rPr>
              <w:t>sh0597,</w:t>
            </w:r>
            <w:r>
              <w:rPr>
                <w:spacing w:val="-5"/>
                <w:sz w:val="20"/>
              </w:rPr>
              <w:t> </w:t>
            </w:r>
            <w:r>
              <w:rPr>
                <w:spacing w:val="-2"/>
                <w:sz w:val="20"/>
              </w:rPr>
              <w:t>sh0662,</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sh0715,</w:t>
            </w:r>
            <w:r>
              <w:rPr>
                <w:spacing w:val="-6"/>
                <w:sz w:val="20"/>
              </w:rPr>
              <w:t> </w:t>
            </w:r>
            <w:r>
              <w:rPr>
                <w:sz w:val="20"/>
              </w:rPr>
              <w:t>sh0796,</w:t>
            </w:r>
            <w:r>
              <w:rPr>
                <w:spacing w:val="-5"/>
                <w:sz w:val="20"/>
              </w:rPr>
              <w:t> </w:t>
            </w:r>
            <w:r>
              <w:rPr>
                <w:spacing w:val="-2"/>
                <w:sz w:val="20"/>
              </w:rPr>
              <w:t>sh0809,</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7"/>
              <w:jc w:val="center"/>
              <w:rPr>
                <w:sz w:val="20"/>
              </w:rPr>
            </w:pPr>
            <w:r>
              <w:rPr>
                <w:sz w:val="20"/>
              </w:rPr>
              <w:t>sh0882.1,</w:t>
            </w:r>
            <w:r>
              <w:rPr>
                <w:spacing w:val="-6"/>
                <w:sz w:val="20"/>
              </w:rPr>
              <w:t> </w:t>
            </w:r>
            <w:r>
              <w:rPr>
                <w:spacing w:val="-2"/>
                <w:sz w:val="20"/>
              </w:rPr>
              <w:t>sh0918,</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7"/>
              <w:jc w:val="center"/>
              <w:rPr>
                <w:sz w:val="20"/>
              </w:rPr>
            </w:pPr>
            <w:r>
              <w:rPr>
                <w:sz w:val="20"/>
              </w:rPr>
              <w:t>sh0940.1,</w:t>
            </w:r>
            <w:r>
              <w:rPr>
                <w:spacing w:val="-6"/>
                <w:sz w:val="20"/>
              </w:rPr>
              <w:t> </w:t>
            </w:r>
            <w:r>
              <w:rPr>
                <w:spacing w:val="-2"/>
                <w:sz w:val="20"/>
              </w:rPr>
              <w:t>sh0954,</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sh0961,</w:t>
            </w:r>
            <w:r>
              <w:rPr>
                <w:spacing w:val="-6"/>
                <w:sz w:val="20"/>
              </w:rPr>
              <w:t> </w:t>
            </w:r>
            <w:r>
              <w:rPr>
                <w:sz w:val="20"/>
              </w:rPr>
              <w:t>sh1072,</w:t>
            </w:r>
            <w:r>
              <w:rPr>
                <w:spacing w:val="-5"/>
                <w:sz w:val="20"/>
              </w:rPr>
              <w:t> </w:t>
            </w:r>
            <w:r>
              <w:rPr>
                <w:spacing w:val="-2"/>
                <w:sz w:val="20"/>
              </w:rPr>
              <w:t>sh1080,</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sh1083,</w:t>
            </w:r>
            <w:r>
              <w:rPr>
                <w:spacing w:val="-6"/>
                <w:sz w:val="20"/>
              </w:rPr>
              <w:t> </w:t>
            </w:r>
            <w:r>
              <w:rPr>
                <w:sz w:val="20"/>
              </w:rPr>
              <w:t>sh1086,</w:t>
            </w:r>
            <w:r>
              <w:rPr>
                <w:spacing w:val="-5"/>
                <w:sz w:val="20"/>
              </w:rPr>
              <w:t> </w:t>
            </w:r>
            <w:r>
              <w:rPr>
                <w:spacing w:val="-2"/>
                <w:sz w:val="20"/>
              </w:rPr>
              <w:t>sh1087,</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5"/>
              <w:jc w:val="center"/>
              <w:rPr>
                <w:sz w:val="20"/>
              </w:rPr>
            </w:pPr>
            <w:r>
              <w:rPr>
                <w:sz w:val="20"/>
              </w:rPr>
              <w:t>sh1089,</w:t>
            </w:r>
            <w:r>
              <w:rPr>
                <w:spacing w:val="-6"/>
                <w:sz w:val="20"/>
              </w:rPr>
              <w:t> </w:t>
            </w:r>
            <w:r>
              <w:rPr>
                <w:sz w:val="20"/>
              </w:rPr>
              <w:t>sh1090,</w:t>
            </w:r>
            <w:r>
              <w:rPr>
                <w:spacing w:val="-5"/>
                <w:sz w:val="20"/>
              </w:rPr>
              <w:t> </w:t>
            </w:r>
            <w:r>
              <w:rPr>
                <w:spacing w:val="-2"/>
                <w:sz w:val="20"/>
              </w:rPr>
              <w:t>sh1091,</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sh1092,</w:t>
            </w:r>
            <w:r>
              <w:rPr>
                <w:spacing w:val="-6"/>
                <w:sz w:val="20"/>
              </w:rPr>
              <w:t> </w:t>
            </w:r>
            <w:r>
              <w:rPr>
                <w:sz w:val="20"/>
              </w:rPr>
              <w:t>sh1093,</w:t>
            </w:r>
            <w:r>
              <w:rPr>
                <w:spacing w:val="-5"/>
                <w:sz w:val="20"/>
              </w:rPr>
              <w:t> </w:t>
            </w:r>
            <w:r>
              <w:rPr>
                <w:spacing w:val="-2"/>
                <w:sz w:val="20"/>
              </w:rPr>
              <w:t>sh1105,</w:t>
            </w:r>
          </w:p>
        </w:tc>
        <w:tc>
          <w:tcPr>
            <w:tcW w:w="854"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spacing w:line="226" w:lineRule="exact"/>
              <w:ind w:left="161" w:right="341"/>
              <w:jc w:val="center"/>
              <w:rPr>
                <w:sz w:val="20"/>
              </w:rPr>
            </w:pPr>
            <w:r>
              <w:rPr>
                <w:sz w:val="20"/>
              </w:rPr>
              <w:t>sh1137,</w:t>
            </w:r>
            <w:r>
              <w:rPr>
                <w:spacing w:val="-6"/>
                <w:sz w:val="20"/>
              </w:rPr>
              <w:t> </w:t>
            </w:r>
            <w:r>
              <w:rPr>
                <w:sz w:val="20"/>
              </w:rPr>
              <w:t>sh1138,</w:t>
            </w:r>
            <w:r>
              <w:rPr>
                <w:spacing w:val="-5"/>
                <w:sz w:val="20"/>
              </w:rPr>
              <w:t> </w:t>
            </w:r>
            <w:r>
              <w:rPr>
                <w:spacing w:val="-2"/>
                <w:sz w:val="20"/>
              </w:rPr>
              <w:t>sh1146</w:t>
            </w:r>
          </w:p>
        </w:tc>
        <w:tc>
          <w:tcPr>
            <w:tcW w:w="854"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ds19.095</w:t>
            </w:r>
          </w:p>
        </w:tc>
        <w:tc>
          <w:tcPr>
            <w:tcW w:w="645" w:type="dxa"/>
          </w:tcPr>
          <w:p>
            <w:pPr>
              <w:pStyle w:val="TableParagraph"/>
              <w:spacing w:line="215" w:lineRule="exact" w:before="45"/>
              <w:ind w:right="215"/>
              <w:jc w:val="right"/>
              <w:rPr>
                <w:sz w:val="20"/>
              </w:rPr>
            </w:pPr>
            <w:r>
              <w:rPr>
                <w:spacing w:val="-5"/>
                <w:sz w:val="20"/>
              </w:rPr>
              <w:t>72</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3350" w:type="dxa"/>
          </w:tcPr>
          <w:p>
            <w:pPr>
              <w:pStyle w:val="TableParagraph"/>
              <w:spacing w:line="215" w:lineRule="exact" w:before="45"/>
              <w:ind w:left="660" w:right="655"/>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09" w:type="dxa"/>
          </w:tcPr>
          <w:p>
            <w:pPr>
              <w:pStyle w:val="TableParagraph"/>
              <w:spacing w:line="215" w:lineRule="exact" w:before="45"/>
              <w:ind w:left="506"/>
              <w:jc w:val="center"/>
              <w:rPr>
                <w:sz w:val="20"/>
              </w:rPr>
            </w:pPr>
            <w:r>
              <w:rPr>
                <w:w w:val="99"/>
                <w:sz w:val="20"/>
              </w:rPr>
              <w:t>-</w:t>
            </w:r>
          </w:p>
        </w:tc>
        <w:tc>
          <w:tcPr>
            <w:tcW w:w="2512" w:type="dxa"/>
          </w:tcPr>
          <w:p>
            <w:pPr>
              <w:pStyle w:val="TableParagraph"/>
              <w:spacing w:line="215" w:lineRule="exact" w:before="45"/>
              <w:ind w:left="161" w:right="338"/>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5" w:lineRule="exact" w:before="45"/>
              <w:ind w:right="44"/>
              <w:jc w:val="right"/>
              <w:rPr>
                <w:sz w:val="20"/>
              </w:rPr>
            </w:pPr>
            <w:r>
              <w:rPr>
                <w:spacing w:val="-2"/>
                <w:sz w:val="20"/>
              </w:rPr>
              <w:t>34,01</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при</w:t>
            </w:r>
            <w:r>
              <w:rPr>
                <w:spacing w:val="-6"/>
                <w:sz w:val="20"/>
              </w:rPr>
              <w:t> </w:t>
            </w:r>
            <w:r>
              <w:rPr>
                <w:spacing w:val="-2"/>
                <w:sz w:val="20"/>
              </w:rPr>
              <w:t>злокачественных</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1" w:lineRule="exact"/>
              <w:ind w:left="161" w:right="33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42"/>
              <w:jc w:val="center"/>
              <w:rPr>
                <w:sz w:val="20"/>
              </w:rPr>
            </w:pPr>
            <w:r>
              <w:rPr>
                <w:sz w:val="20"/>
              </w:rPr>
              <w:t>Схемы:</w:t>
            </w:r>
            <w:r>
              <w:rPr>
                <w:spacing w:val="-6"/>
                <w:sz w:val="20"/>
              </w:rPr>
              <w:t> </w:t>
            </w:r>
            <w:r>
              <w:rPr>
                <w:sz w:val="20"/>
              </w:rPr>
              <w:t>sh0134,</w:t>
            </w:r>
            <w:r>
              <w:rPr>
                <w:spacing w:val="-6"/>
                <w:sz w:val="20"/>
              </w:rPr>
              <w:t> </w:t>
            </w:r>
            <w:r>
              <w:rPr>
                <w:spacing w:val="-2"/>
                <w:sz w:val="20"/>
              </w:rPr>
              <w:t>sh0708,</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sh0709,</w:t>
            </w:r>
            <w:r>
              <w:rPr>
                <w:spacing w:val="-6"/>
                <w:sz w:val="20"/>
              </w:rPr>
              <w:t> </w:t>
            </w:r>
            <w:r>
              <w:rPr>
                <w:sz w:val="20"/>
              </w:rPr>
              <w:t>sh0710,</w:t>
            </w:r>
            <w:r>
              <w:rPr>
                <w:spacing w:val="-5"/>
                <w:sz w:val="20"/>
              </w:rPr>
              <w:t> </w:t>
            </w:r>
            <w:r>
              <w:rPr>
                <w:spacing w:val="-2"/>
                <w:sz w:val="20"/>
              </w:rPr>
              <w:t>sh0942,</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7"/>
              <w:jc w:val="center"/>
              <w:rPr>
                <w:sz w:val="20"/>
              </w:rPr>
            </w:pPr>
            <w:r>
              <w:rPr>
                <w:sz w:val="20"/>
              </w:rPr>
              <w:t>sh0958.1,</w:t>
            </w:r>
            <w:r>
              <w:rPr>
                <w:spacing w:val="-6"/>
                <w:sz w:val="20"/>
              </w:rPr>
              <w:t> </w:t>
            </w:r>
            <w:r>
              <w:rPr>
                <w:spacing w:val="-2"/>
                <w:sz w:val="20"/>
              </w:rPr>
              <w:t>sh0979,</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16)</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sh1061,</w:t>
            </w:r>
            <w:r>
              <w:rPr>
                <w:spacing w:val="-6"/>
                <w:sz w:val="20"/>
              </w:rPr>
              <w:t> </w:t>
            </w:r>
            <w:r>
              <w:rPr>
                <w:sz w:val="20"/>
              </w:rPr>
              <w:t>sh1062,</w:t>
            </w:r>
            <w:r>
              <w:rPr>
                <w:spacing w:val="-5"/>
                <w:sz w:val="20"/>
              </w:rPr>
              <w:t> </w:t>
            </w:r>
            <w:r>
              <w:rPr>
                <w:spacing w:val="-2"/>
                <w:sz w:val="20"/>
              </w:rPr>
              <w:t>sh1063,</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sh1099,</w:t>
            </w:r>
            <w:r>
              <w:rPr>
                <w:spacing w:val="-6"/>
                <w:sz w:val="20"/>
              </w:rPr>
              <w:t> </w:t>
            </w:r>
            <w:r>
              <w:rPr>
                <w:sz w:val="20"/>
              </w:rPr>
              <w:t>sh1102,</w:t>
            </w:r>
            <w:r>
              <w:rPr>
                <w:spacing w:val="-5"/>
                <w:sz w:val="20"/>
              </w:rPr>
              <w:t> </w:t>
            </w:r>
            <w:r>
              <w:rPr>
                <w:spacing w:val="-2"/>
                <w:sz w:val="20"/>
              </w:rPr>
              <w:t>sh1134,</w:t>
            </w:r>
          </w:p>
        </w:tc>
        <w:tc>
          <w:tcPr>
            <w:tcW w:w="854"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spacing w:line="226" w:lineRule="exact"/>
              <w:ind w:left="161" w:right="339"/>
              <w:jc w:val="center"/>
              <w:rPr>
                <w:sz w:val="20"/>
              </w:rPr>
            </w:pPr>
            <w:r>
              <w:rPr>
                <w:spacing w:val="-2"/>
                <w:sz w:val="20"/>
              </w:rPr>
              <w:t>sh1139</w:t>
            </w:r>
          </w:p>
        </w:tc>
        <w:tc>
          <w:tcPr>
            <w:tcW w:w="854" w:type="dxa"/>
          </w:tcPr>
          <w:p>
            <w:pPr>
              <w:pStyle w:val="TableParagraph"/>
              <w:rPr>
                <w:sz w:val="18"/>
              </w:rPr>
            </w:pPr>
          </w:p>
        </w:tc>
      </w:tr>
      <w:tr>
        <w:trPr>
          <w:trHeight w:val="279" w:hRule="atLeast"/>
        </w:trPr>
        <w:tc>
          <w:tcPr>
            <w:tcW w:w="1003" w:type="dxa"/>
          </w:tcPr>
          <w:p>
            <w:pPr>
              <w:pStyle w:val="TableParagraph"/>
              <w:spacing w:line="214" w:lineRule="exact" w:before="46"/>
              <w:ind w:left="50"/>
              <w:rPr>
                <w:sz w:val="20"/>
              </w:rPr>
            </w:pPr>
            <w:r>
              <w:rPr>
                <w:spacing w:val="-2"/>
                <w:sz w:val="20"/>
              </w:rPr>
              <w:t>ds19.096</w:t>
            </w:r>
          </w:p>
        </w:tc>
        <w:tc>
          <w:tcPr>
            <w:tcW w:w="645" w:type="dxa"/>
          </w:tcPr>
          <w:p>
            <w:pPr>
              <w:pStyle w:val="TableParagraph"/>
              <w:spacing w:line="214" w:lineRule="exact" w:before="46"/>
              <w:ind w:right="215"/>
              <w:jc w:val="right"/>
              <w:rPr>
                <w:sz w:val="20"/>
              </w:rPr>
            </w:pPr>
            <w:r>
              <w:rPr>
                <w:spacing w:val="-5"/>
                <w:sz w:val="20"/>
              </w:rPr>
              <w:t>73</w:t>
            </w:r>
          </w:p>
        </w:tc>
        <w:tc>
          <w:tcPr>
            <w:tcW w:w="3069" w:type="dxa"/>
          </w:tcPr>
          <w:p>
            <w:pPr>
              <w:pStyle w:val="TableParagraph"/>
              <w:spacing w:line="214" w:lineRule="exact" w:before="46"/>
              <w:ind w:left="219"/>
              <w:rPr>
                <w:sz w:val="20"/>
              </w:rPr>
            </w:pPr>
            <w:r>
              <w:rPr>
                <w:w w:val="95"/>
                <w:sz w:val="20"/>
              </w:rPr>
              <w:t>Лекарственная</w:t>
            </w:r>
            <w:r>
              <w:rPr>
                <w:spacing w:val="49"/>
                <w:sz w:val="20"/>
              </w:rPr>
              <w:t> </w:t>
            </w:r>
            <w:r>
              <w:rPr>
                <w:spacing w:val="-2"/>
                <w:sz w:val="20"/>
              </w:rPr>
              <w:t>терапия</w:t>
            </w:r>
          </w:p>
        </w:tc>
        <w:tc>
          <w:tcPr>
            <w:tcW w:w="3350" w:type="dxa"/>
          </w:tcPr>
          <w:p>
            <w:pPr>
              <w:pStyle w:val="TableParagraph"/>
              <w:spacing w:line="214" w:lineRule="exact" w:before="46"/>
              <w:ind w:left="660" w:right="655"/>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09" w:type="dxa"/>
          </w:tcPr>
          <w:p>
            <w:pPr>
              <w:pStyle w:val="TableParagraph"/>
              <w:spacing w:line="214" w:lineRule="exact" w:before="46"/>
              <w:ind w:left="506"/>
              <w:jc w:val="center"/>
              <w:rPr>
                <w:sz w:val="20"/>
              </w:rPr>
            </w:pPr>
            <w:r>
              <w:rPr>
                <w:w w:val="99"/>
                <w:sz w:val="20"/>
              </w:rPr>
              <w:t>-</w:t>
            </w:r>
          </w:p>
        </w:tc>
        <w:tc>
          <w:tcPr>
            <w:tcW w:w="2512" w:type="dxa"/>
          </w:tcPr>
          <w:p>
            <w:pPr>
              <w:pStyle w:val="TableParagraph"/>
              <w:spacing w:line="214" w:lineRule="exact" w:before="46"/>
              <w:ind w:left="161" w:right="338"/>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4" w:lineRule="exact" w:before="46"/>
              <w:ind w:right="44"/>
              <w:jc w:val="right"/>
              <w:rPr>
                <w:sz w:val="20"/>
              </w:rPr>
            </w:pPr>
            <w:r>
              <w:rPr>
                <w:spacing w:val="-2"/>
                <w:sz w:val="20"/>
              </w:rPr>
              <w:t>56,65</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при</w:t>
            </w:r>
            <w:r>
              <w:rPr>
                <w:spacing w:val="-6"/>
                <w:sz w:val="20"/>
              </w:rPr>
              <w:t> </w:t>
            </w:r>
            <w:r>
              <w:rPr>
                <w:spacing w:val="-2"/>
                <w:sz w:val="20"/>
              </w:rPr>
              <w:t>злокачественных</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42"/>
              <w:jc w:val="center"/>
              <w:rPr>
                <w:sz w:val="20"/>
              </w:rPr>
            </w:pPr>
            <w:r>
              <w:rPr>
                <w:sz w:val="20"/>
              </w:rPr>
              <w:t>Схемы:</w:t>
            </w:r>
            <w:r>
              <w:rPr>
                <w:spacing w:val="-6"/>
                <w:sz w:val="20"/>
              </w:rPr>
              <w:t> </w:t>
            </w:r>
            <w:r>
              <w:rPr>
                <w:sz w:val="20"/>
              </w:rPr>
              <w:t>sh0081,</w:t>
            </w:r>
            <w:r>
              <w:rPr>
                <w:spacing w:val="-6"/>
                <w:sz w:val="20"/>
              </w:rPr>
              <w:t> </w:t>
            </w:r>
            <w:r>
              <w:rPr>
                <w:spacing w:val="-2"/>
                <w:sz w:val="20"/>
              </w:rPr>
              <w:t>sh0604,</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лимфоидной</w:t>
            </w:r>
            <w:r>
              <w:rPr>
                <w:spacing w:val="-11"/>
                <w:sz w:val="20"/>
              </w:rPr>
              <w:t> </w:t>
            </w:r>
            <w:r>
              <w:rPr>
                <w:spacing w:val="-12"/>
                <w:sz w:val="20"/>
              </w:rPr>
              <w:t>и</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1" w:lineRule="exact"/>
              <w:ind w:left="161" w:right="337"/>
              <w:jc w:val="center"/>
              <w:rPr>
                <w:sz w:val="20"/>
              </w:rPr>
            </w:pPr>
            <w:r>
              <w:rPr>
                <w:sz w:val="20"/>
              </w:rPr>
              <w:t>sh0876,</w:t>
            </w:r>
            <w:r>
              <w:rPr>
                <w:spacing w:val="-6"/>
                <w:sz w:val="20"/>
              </w:rPr>
              <w:t> </w:t>
            </w:r>
            <w:r>
              <w:rPr>
                <w:spacing w:val="-2"/>
                <w:sz w:val="20"/>
              </w:rPr>
              <w:t>sh0959</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w w:val="95"/>
                <w:sz w:val="20"/>
              </w:rPr>
              <w:t>кроветворной</w:t>
            </w:r>
            <w:r>
              <w:rPr>
                <w:spacing w:val="43"/>
                <w:sz w:val="20"/>
              </w:rPr>
              <w:t> </w:t>
            </w:r>
            <w:r>
              <w:rPr>
                <w:spacing w:val="-2"/>
                <w:sz w:val="20"/>
              </w:rPr>
              <w:t>тканей),</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rPr>
                <w:sz w:val="16"/>
              </w:rPr>
            </w:pPr>
          </w:p>
        </w:tc>
        <w:tc>
          <w:tcPr>
            <w:tcW w:w="854"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spacing w:line="226"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17)</w:t>
            </w: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rPr>
                <w:sz w:val="18"/>
              </w:rPr>
            </w:pPr>
          </w:p>
        </w:tc>
        <w:tc>
          <w:tcPr>
            <w:tcW w:w="854"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ds19.050</w:t>
            </w:r>
          </w:p>
        </w:tc>
        <w:tc>
          <w:tcPr>
            <w:tcW w:w="645" w:type="dxa"/>
          </w:tcPr>
          <w:p>
            <w:pPr>
              <w:pStyle w:val="TableParagraph"/>
              <w:spacing w:line="215" w:lineRule="exact" w:before="45"/>
              <w:ind w:right="215"/>
              <w:jc w:val="right"/>
              <w:rPr>
                <w:sz w:val="20"/>
              </w:rPr>
            </w:pPr>
            <w:r>
              <w:rPr>
                <w:spacing w:val="-5"/>
                <w:sz w:val="20"/>
              </w:rPr>
              <w:t>74</w:t>
            </w:r>
          </w:p>
        </w:tc>
        <w:tc>
          <w:tcPr>
            <w:tcW w:w="3069" w:type="dxa"/>
          </w:tcPr>
          <w:p>
            <w:pPr>
              <w:pStyle w:val="TableParagraph"/>
              <w:spacing w:line="215" w:lineRule="exact" w:before="45"/>
              <w:ind w:left="219"/>
              <w:rPr>
                <w:sz w:val="20"/>
              </w:rPr>
            </w:pPr>
            <w:r>
              <w:rPr>
                <w:sz w:val="20"/>
              </w:rPr>
              <w:t>Лучевая</w:t>
            </w:r>
            <w:r>
              <w:rPr>
                <w:spacing w:val="-11"/>
                <w:sz w:val="20"/>
              </w:rPr>
              <w:t> </w:t>
            </w:r>
            <w:r>
              <w:rPr>
                <w:spacing w:val="-2"/>
                <w:sz w:val="20"/>
              </w:rPr>
              <w:t>терапия</w:t>
            </w:r>
          </w:p>
        </w:tc>
        <w:tc>
          <w:tcPr>
            <w:tcW w:w="3350" w:type="dxa"/>
          </w:tcPr>
          <w:p>
            <w:pPr>
              <w:pStyle w:val="TableParagraph"/>
              <w:spacing w:line="215" w:lineRule="exact" w:before="45"/>
              <w:ind w:left="3"/>
              <w:jc w:val="center"/>
              <w:rPr>
                <w:sz w:val="20"/>
              </w:rPr>
            </w:pPr>
            <w:r>
              <w:rPr>
                <w:w w:val="99"/>
                <w:sz w:val="20"/>
              </w:rPr>
              <w:t>-</w:t>
            </w:r>
          </w:p>
        </w:tc>
        <w:tc>
          <w:tcPr>
            <w:tcW w:w="3909" w:type="dxa"/>
          </w:tcPr>
          <w:p>
            <w:pPr>
              <w:pStyle w:val="TableParagraph"/>
              <w:spacing w:line="215" w:lineRule="exact" w:before="45"/>
              <w:ind w:left="663" w:right="160"/>
              <w:jc w:val="center"/>
              <w:rPr>
                <w:sz w:val="20"/>
              </w:rPr>
            </w:pPr>
            <w:r>
              <w:rPr>
                <w:w w:val="95"/>
                <w:sz w:val="20"/>
              </w:rPr>
              <w:t>A06.01.007.001,</w:t>
            </w:r>
            <w:r>
              <w:rPr>
                <w:spacing w:val="54"/>
                <w:sz w:val="20"/>
              </w:rPr>
              <w:t> </w:t>
            </w:r>
            <w:r>
              <w:rPr>
                <w:spacing w:val="-2"/>
                <w:sz w:val="20"/>
              </w:rPr>
              <w:t>A06.03.065,</w:t>
            </w:r>
          </w:p>
        </w:tc>
        <w:tc>
          <w:tcPr>
            <w:tcW w:w="2512" w:type="dxa"/>
          </w:tcPr>
          <w:p>
            <w:pPr>
              <w:pStyle w:val="TableParagraph"/>
              <w:spacing w:line="215" w:lineRule="exact" w:before="45"/>
              <w:ind w:left="161" w:right="338"/>
              <w:jc w:val="center"/>
              <w:rPr>
                <w:sz w:val="20"/>
              </w:rPr>
            </w:pPr>
            <w:r>
              <w:rPr>
                <w:spacing w:val="-2"/>
                <w:sz w:val="20"/>
              </w:rPr>
              <w:t>Фракции:</w:t>
            </w:r>
            <w:r>
              <w:rPr>
                <w:spacing w:val="12"/>
                <w:sz w:val="20"/>
              </w:rPr>
              <w:t> </w:t>
            </w:r>
            <w:r>
              <w:rPr>
                <w:spacing w:val="-2"/>
                <w:sz w:val="20"/>
              </w:rPr>
              <w:t>fr01-</w:t>
            </w:r>
            <w:r>
              <w:rPr>
                <w:spacing w:val="-5"/>
                <w:sz w:val="20"/>
              </w:rPr>
              <w:t>05</w:t>
            </w:r>
          </w:p>
        </w:tc>
        <w:tc>
          <w:tcPr>
            <w:tcW w:w="854" w:type="dxa"/>
          </w:tcPr>
          <w:p>
            <w:pPr>
              <w:pStyle w:val="TableParagraph"/>
              <w:spacing w:line="215" w:lineRule="exact" w:before="45"/>
              <w:ind w:right="95"/>
              <w:jc w:val="right"/>
              <w:rPr>
                <w:sz w:val="20"/>
              </w:rPr>
            </w:pPr>
            <w:r>
              <w:rPr>
                <w:spacing w:val="-4"/>
                <w:sz w:val="20"/>
              </w:rPr>
              <w:t>0,74</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(уровень</w:t>
            </w:r>
            <w:r>
              <w:rPr>
                <w:spacing w:val="-10"/>
                <w:sz w:val="20"/>
              </w:rPr>
              <w:t> </w:t>
            </w:r>
            <w:r>
              <w:rPr>
                <w:spacing w:val="-5"/>
                <w:sz w:val="20"/>
              </w:rPr>
              <w:t>1)</w:t>
            </w:r>
          </w:p>
        </w:tc>
        <w:tc>
          <w:tcPr>
            <w:tcW w:w="3350" w:type="dxa"/>
          </w:tcPr>
          <w:p>
            <w:pPr>
              <w:pStyle w:val="TableParagraph"/>
              <w:rPr>
                <w:sz w:val="16"/>
              </w:rPr>
            </w:pPr>
          </w:p>
        </w:tc>
        <w:tc>
          <w:tcPr>
            <w:tcW w:w="3909" w:type="dxa"/>
          </w:tcPr>
          <w:p>
            <w:pPr>
              <w:pStyle w:val="TableParagraph"/>
              <w:spacing w:line="210" w:lineRule="exact"/>
              <w:ind w:left="663" w:right="162"/>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512" w:type="dxa"/>
          </w:tcPr>
          <w:p>
            <w:pPr>
              <w:pStyle w:val="TableParagraph"/>
              <w:rPr>
                <w:sz w:val="16"/>
              </w:rPr>
            </w:pP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spacing w:line="210" w:lineRule="exact"/>
              <w:ind w:left="663" w:right="162"/>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512" w:type="dxa"/>
          </w:tcPr>
          <w:p>
            <w:pPr>
              <w:pStyle w:val="TableParagraph"/>
              <w:rPr>
                <w:sz w:val="16"/>
              </w:rPr>
            </w:pP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spacing w:line="210" w:lineRule="exact"/>
              <w:ind w:left="663" w:right="158"/>
              <w:jc w:val="center"/>
              <w:rPr>
                <w:sz w:val="20"/>
              </w:rPr>
            </w:pPr>
            <w:r>
              <w:rPr>
                <w:sz w:val="20"/>
              </w:rPr>
              <w:t>A07.01.004,</w:t>
            </w:r>
            <w:r>
              <w:rPr>
                <w:spacing w:val="-9"/>
                <w:sz w:val="20"/>
              </w:rPr>
              <w:t> </w:t>
            </w:r>
            <w:r>
              <w:rPr>
                <w:spacing w:val="-2"/>
                <w:sz w:val="20"/>
              </w:rPr>
              <w:t>A07.03.002.001,</w:t>
            </w:r>
          </w:p>
        </w:tc>
        <w:tc>
          <w:tcPr>
            <w:tcW w:w="2512" w:type="dxa"/>
          </w:tcPr>
          <w:p>
            <w:pPr>
              <w:pStyle w:val="TableParagraph"/>
              <w:rPr>
                <w:sz w:val="16"/>
              </w:rPr>
            </w:pPr>
          </w:p>
        </w:tc>
        <w:tc>
          <w:tcPr>
            <w:tcW w:w="854"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spacing w:line="205" w:lineRule="exact"/>
              <w:ind w:left="663" w:right="161"/>
              <w:jc w:val="center"/>
              <w:rPr>
                <w:sz w:val="20"/>
              </w:rPr>
            </w:pPr>
            <w:r>
              <w:rPr>
                <w:w w:val="95"/>
                <w:sz w:val="20"/>
              </w:rPr>
              <w:t>A07.03.002.002,</w:t>
            </w:r>
            <w:r>
              <w:rPr>
                <w:spacing w:val="54"/>
                <w:sz w:val="20"/>
              </w:rPr>
              <w:t> </w:t>
            </w:r>
            <w:r>
              <w:rPr>
                <w:spacing w:val="-2"/>
                <w:sz w:val="20"/>
              </w:rPr>
              <w:t>A07.06.002.001,</w:t>
            </w:r>
          </w:p>
        </w:tc>
        <w:tc>
          <w:tcPr>
            <w:tcW w:w="2512" w:type="dxa"/>
          </w:tcPr>
          <w:p>
            <w:pPr>
              <w:pStyle w:val="TableParagraph"/>
              <w:rPr>
                <w:sz w:val="16"/>
              </w:rPr>
            </w:pPr>
          </w:p>
        </w:tc>
        <w:tc>
          <w:tcPr>
            <w:tcW w:w="85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74"/>
        <w:gridCol w:w="2756"/>
        <w:gridCol w:w="4517"/>
        <w:gridCol w:w="2301"/>
        <w:gridCol w:w="897"/>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174" w:type="dxa"/>
            <w:vMerge w:val="restart"/>
          </w:tcPr>
          <w:p>
            <w:pPr>
              <w:pStyle w:val="TableParagraph"/>
              <w:rPr>
                <w:sz w:val="18"/>
              </w:rPr>
            </w:pPr>
          </w:p>
        </w:tc>
        <w:tc>
          <w:tcPr>
            <w:tcW w:w="2756" w:type="dxa"/>
            <w:vMerge w:val="restart"/>
          </w:tcPr>
          <w:p>
            <w:pPr>
              <w:pStyle w:val="TableParagraph"/>
              <w:rPr>
                <w:sz w:val="18"/>
              </w:rPr>
            </w:pPr>
          </w:p>
        </w:tc>
        <w:tc>
          <w:tcPr>
            <w:tcW w:w="4517" w:type="dxa"/>
          </w:tcPr>
          <w:p>
            <w:pPr>
              <w:pStyle w:val="TableParagraph"/>
              <w:spacing w:line="205" w:lineRule="exact"/>
              <w:ind w:left="1151" w:right="278"/>
              <w:jc w:val="center"/>
              <w:rPr>
                <w:sz w:val="20"/>
              </w:rPr>
            </w:pPr>
            <w:r>
              <w:rPr>
                <w:w w:val="95"/>
                <w:sz w:val="20"/>
              </w:rPr>
              <w:t>A07.06.002.002,</w:t>
            </w:r>
            <w:r>
              <w:rPr>
                <w:spacing w:val="54"/>
                <w:sz w:val="20"/>
              </w:rPr>
              <w:t> </w:t>
            </w:r>
            <w:r>
              <w:rPr>
                <w:spacing w:val="-2"/>
                <w:sz w:val="20"/>
              </w:rPr>
              <w:t>A07.06.004,</w:t>
            </w:r>
          </w:p>
        </w:tc>
        <w:tc>
          <w:tcPr>
            <w:tcW w:w="2301" w:type="dxa"/>
            <w:vMerge w:val="restart"/>
          </w:tcPr>
          <w:p>
            <w:pPr>
              <w:pStyle w:val="TableParagraph"/>
              <w:rPr>
                <w:sz w:val="18"/>
              </w:rPr>
            </w:pPr>
          </w:p>
        </w:tc>
        <w:tc>
          <w:tcPr>
            <w:tcW w:w="897"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0" w:right="278"/>
              <w:jc w:val="center"/>
              <w:rPr>
                <w:sz w:val="20"/>
              </w:rPr>
            </w:pPr>
            <w:r>
              <w:rPr>
                <w:w w:val="95"/>
                <w:sz w:val="20"/>
              </w:rPr>
              <w:t>A07.07.001.001,</w:t>
            </w:r>
            <w:r>
              <w:rPr>
                <w:spacing w:val="54"/>
                <w:sz w:val="20"/>
              </w:rPr>
              <w:t> </w:t>
            </w:r>
            <w:r>
              <w:rPr>
                <w:spacing w:val="-2"/>
                <w:sz w:val="20"/>
              </w:rPr>
              <w:t>A07.07.001.002,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0" w:right="278"/>
              <w:jc w:val="center"/>
              <w:rPr>
                <w:sz w:val="20"/>
              </w:rPr>
            </w:pPr>
            <w:r>
              <w:rPr>
                <w:w w:val="95"/>
                <w:sz w:val="20"/>
              </w:rPr>
              <w:t>A07.07.003.001,</w:t>
            </w:r>
            <w:r>
              <w:rPr>
                <w:spacing w:val="54"/>
                <w:sz w:val="20"/>
              </w:rPr>
              <w:t> </w:t>
            </w:r>
            <w:r>
              <w:rPr>
                <w:spacing w:val="-2"/>
                <w:sz w:val="20"/>
              </w:rPr>
              <w:t>A07.07.003.002,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8"/>
              <w:jc w:val="center"/>
              <w:rPr>
                <w:sz w:val="20"/>
              </w:rPr>
            </w:pPr>
            <w:r>
              <w:rPr>
                <w:sz w:val="20"/>
              </w:rPr>
              <w:t>A07.07.005,</w:t>
            </w:r>
            <w:r>
              <w:rPr>
                <w:spacing w:val="-9"/>
                <w:sz w:val="20"/>
              </w:rPr>
              <w:t> </w:t>
            </w:r>
            <w:r>
              <w:rPr>
                <w:spacing w:val="-2"/>
                <w:sz w:val="20"/>
              </w:rPr>
              <w:t>A07.08.001.001,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A07.08.001.002,</w:t>
            </w:r>
            <w:r>
              <w:rPr>
                <w:spacing w:val="54"/>
                <w:sz w:val="20"/>
              </w:rPr>
              <w:t> </w:t>
            </w:r>
            <w:r>
              <w:rPr>
                <w:spacing w:val="-2"/>
                <w:sz w:val="20"/>
              </w:rPr>
              <w:t>A07.09.001.001,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8"/>
              <w:jc w:val="center"/>
              <w:rPr>
                <w:sz w:val="20"/>
              </w:rPr>
            </w:pPr>
            <w:r>
              <w:rPr>
                <w:w w:val="95"/>
                <w:sz w:val="20"/>
              </w:rPr>
              <w:t>A07.09.001.002,</w:t>
            </w:r>
            <w:r>
              <w:rPr>
                <w:spacing w:val="54"/>
                <w:sz w:val="20"/>
              </w:rPr>
              <w:t> </w:t>
            </w:r>
            <w:r>
              <w:rPr>
                <w:spacing w:val="-2"/>
                <w:sz w:val="20"/>
              </w:rPr>
              <w:t>A07.09.002,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4"/>
              <w:jc w:val="center"/>
              <w:rPr>
                <w:sz w:val="20"/>
              </w:rPr>
            </w:pPr>
            <w:r>
              <w:rPr>
                <w:w w:val="95"/>
                <w:sz w:val="20"/>
              </w:rPr>
              <w:t>A07.11.001.001,</w:t>
            </w:r>
            <w:r>
              <w:rPr>
                <w:spacing w:val="54"/>
                <w:sz w:val="20"/>
              </w:rPr>
              <w:t> </w:t>
            </w:r>
            <w:r>
              <w:rPr>
                <w:spacing w:val="-2"/>
                <w:sz w:val="20"/>
              </w:rPr>
              <w:t>A07.11.001.002,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5"/>
              <w:jc w:val="center"/>
              <w:rPr>
                <w:sz w:val="20"/>
              </w:rPr>
            </w:pPr>
            <w:r>
              <w:rPr>
                <w:sz w:val="20"/>
              </w:rPr>
              <w:t>A07.12.001,</w:t>
            </w:r>
            <w:r>
              <w:rPr>
                <w:spacing w:val="-9"/>
                <w:sz w:val="20"/>
              </w:rPr>
              <w:t> </w:t>
            </w:r>
            <w:r>
              <w:rPr>
                <w:spacing w:val="-2"/>
                <w:sz w:val="20"/>
              </w:rPr>
              <w:t>A07.14.001,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8"/>
              <w:jc w:val="center"/>
              <w:rPr>
                <w:sz w:val="20"/>
              </w:rPr>
            </w:pPr>
            <w:r>
              <w:rPr>
                <w:w w:val="95"/>
                <w:sz w:val="20"/>
              </w:rPr>
              <w:t>A07.14.001.002,</w:t>
            </w:r>
            <w:r>
              <w:rPr>
                <w:spacing w:val="54"/>
                <w:sz w:val="20"/>
              </w:rPr>
              <w:t> </w:t>
            </w:r>
            <w:r>
              <w:rPr>
                <w:spacing w:val="-2"/>
                <w:sz w:val="20"/>
              </w:rPr>
              <w:t>A07.15.001,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A07.15.001.001,</w:t>
            </w:r>
            <w:r>
              <w:rPr>
                <w:spacing w:val="54"/>
                <w:sz w:val="20"/>
              </w:rPr>
              <w:t> </w:t>
            </w:r>
            <w:r>
              <w:rPr>
                <w:spacing w:val="-2"/>
                <w:sz w:val="20"/>
              </w:rPr>
              <w:t>A07.16.001.001,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A07.16.001.002,</w:t>
            </w:r>
            <w:r>
              <w:rPr>
                <w:spacing w:val="54"/>
                <w:sz w:val="20"/>
              </w:rPr>
              <w:t> </w:t>
            </w:r>
            <w:r>
              <w:rPr>
                <w:spacing w:val="-2"/>
                <w:sz w:val="20"/>
              </w:rPr>
              <w:t>A07.18.001.001,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A07.18.001.002,</w:t>
            </w:r>
            <w:r>
              <w:rPr>
                <w:spacing w:val="54"/>
                <w:sz w:val="20"/>
              </w:rPr>
              <w:t> </w:t>
            </w:r>
            <w:r>
              <w:rPr>
                <w:spacing w:val="-2"/>
                <w:sz w:val="20"/>
              </w:rPr>
              <w:t>A07.19.001.001,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A07.19.001.002,</w:t>
            </w:r>
            <w:r>
              <w:rPr>
                <w:spacing w:val="54"/>
                <w:sz w:val="20"/>
              </w:rPr>
              <w:t> </w:t>
            </w:r>
            <w:r>
              <w:rPr>
                <w:spacing w:val="-2"/>
                <w:sz w:val="20"/>
              </w:rPr>
              <w:t>A07.20.001.001,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0" w:right="278"/>
              <w:jc w:val="center"/>
              <w:rPr>
                <w:sz w:val="20"/>
              </w:rPr>
            </w:pPr>
            <w:r>
              <w:rPr>
                <w:w w:val="95"/>
                <w:sz w:val="20"/>
              </w:rPr>
              <w:t>A07.20.001.002,</w:t>
            </w:r>
            <w:r>
              <w:rPr>
                <w:spacing w:val="54"/>
                <w:sz w:val="20"/>
              </w:rPr>
              <w:t> </w:t>
            </w:r>
            <w:r>
              <w:rPr>
                <w:spacing w:val="-2"/>
                <w:sz w:val="20"/>
              </w:rPr>
              <w:t>A07.20.003.001,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8"/>
              <w:jc w:val="center"/>
              <w:rPr>
                <w:sz w:val="20"/>
              </w:rPr>
            </w:pPr>
            <w:r>
              <w:rPr>
                <w:w w:val="95"/>
                <w:sz w:val="20"/>
              </w:rPr>
              <w:t>A07.20.003.002,</w:t>
            </w:r>
            <w:r>
              <w:rPr>
                <w:spacing w:val="54"/>
                <w:sz w:val="20"/>
              </w:rPr>
              <w:t> </w:t>
            </w:r>
            <w:r>
              <w:rPr>
                <w:spacing w:val="-2"/>
                <w:sz w:val="20"/>
              </w:rPr>
              <w:t>A07.21.001,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A07.21.001.002,</w:t>
            </w:r>
            <w:r>
              <w:rPr>
                <w:spacing w:val="56"/>
                <w:sz w:val="20"/>
              </w:rPr>
              <w:t> </w:t>
            </w:r>
            <w:r>
              <w:rPr>
                <w:spacing w:val="-2"/>
                <w:sz w:val="20"/>
              </w:rPr>
              <w:t>A07.22.001.001,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8"/>
              <w:jc w:val="center"/>
              <w:rPr>
                <w:sz w:val="20"/>
              </w:rPr>
            </w:pPr>
            <w:r>
              <w:rPr>
                <w:w w:val="95"/>
                <w:sz w:val="20"/>
              </w:rPr>
              <w:t>A07.22.001.002,</w:t>
            </w:r>
            <w:r>
              <w:rPr>
                <w:spacing w:val="54"/>
                <w:sz w:val="20"/>
              </w:rPr>
              <w:t> </w:t>
            </w:r>
            <w:r>
              <w:rPr>
                <w:spacing w:val="-2"/>
                <w:sz w:val="20"/>
              </w:rPr>
              <w:t>A07.23.001,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8"/>
              <w:jc w:val="center"/>
              <w:rPr>
                <w:sz w:val="20"/>
              </w:rPr>
            </w:pPr>
            <w:r>
              <w:rPr>
                <w:w w:val="95"/>
                <w:sz w:val="20"/>
              </w:rPr>
              <w:t>A07.23.001.002,</w:t>
            </w:r>
            <w:r>
              <w:rPr>
                <w:spacing w:val="54"/>
                <w:sz w:val="20"/>
              </w:rPr>
              <w:t> </w:t>
            </w:r>
            <w:r>
              <w:rPr>
                <w:spacing w:val="-2"/>
                <w:sz w:val="20"/>
              </w:rPr>
              <w:t>A07.23.002,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8"/>
              <w:jc w:val="center"/>
              <w:rPr>
                <w:sz w:val="20"/>
              </w:rPr>
            </w:pPr>
            <w:r>
              <w:rPr>
                <w:sz w:val="20"/>
              </w:rPr>
              <w:t>A07.26.002,</w:t>
            </w:r>
            <w:r>
              <w:rPr>
                <w:spacing w:val="-9"/>
                <w:sz w:val="20"/>
              </w:rPr>
              <w:t> </w:t>
            </w:r>
            <w:r>
              <w:rPr>
                <w:spacing w:val="-2"/>
                <w:sz w:val="20"/>
              </w:rPr>
              <w:t>A07.28.001.001,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8"/>
              <w:jc w:val="center"/>
              <w:rPr>
                <w:sz w:val="20"/>
              </w:rPr>
            </w:pPr>
            <w:r>
              <w:rPr>
                <w:w w:val="95"/>
                <w:sz w:val="20"/>
              </w:rPr>
              <w:t>A07.28.001.002,</w:t>
            </w:r>
            <w:r>
              <w:rPr>
                <w:spacing w:val="54"/>
                <w:sz w:val="20"/>
              </w:rPr>
              <w:t> </w:t>
            </w:r>
            <w:r>
              <w:rPr>
                <w:spacing w:val="-2"/>
                <w:sz w:val="20"/>
              </w:rPr>
              <w:t>A07.30.002,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24" w:lineRule="exact"/>
              <w:ind w:left="1325" w:right="451"/>
              <w:jc w:val="center"/>
              <w:rPr>
                <w:sz w:val="20"/>
              </w:rPr>
            </w:pPr>
            <w:r>
              <w:rPr>
                <w:w w:val="95"/>
                <w:sz w:val="20"/>
              </w:rPr>
              <w:t>A07.30.025.001,</w:t>
            </w:r>
            <w:r>
              <w:rPr>
                <w:spacing w:val="54"/>
                <w:sz w:val="20"/>
              </w:rPr>
              <w:t> </w:t>
            </w:r>
            <w:r>
              <w:rPr>
                <w:spacing w:val="-2"/>
                <w:sz w:val="20"/>
              </w:rPr>
              <w:t>A07.30.025.002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560" w:hRule="atLeast"/>
        </w:trPr>
        <w:tc>
          <w:tcPr>
            <w:tcW w:w="1003" w:type="dxa"/>
          </w:tcPr>
          <w:p>
            <w:pPr>
              <w:pStyle w:val="TableParagraph"/>
              <w:spacing w:before="46"/>
              <w:ind w:left="50"/>
              <w:rPr>
                <w:sz w:val="20"/>
              </w:rPr>
            </w:pPr>
            <w:r>
              <w:rPr>
                <w:spacing w:val="-2"/>
                <w:sz w:val="20"/>
              </w:rPr>
              <w:t>ds19.051</w:t>
            </w:r>
          </w:p>
        </w:tc>
        <w:tc>
          <w:tcPr>
            <w:tcW w:w="645" w:type="dxa"/>
          </w:tcPr>
          <w:p>
            <w:pPr>
              <w:pStyle w:val="TableParagraph"/>
              <w:spacing w:before="46"/>
              <w:ind w:right="215"/>
              <w:jc w:val="right"/>
              <w:rPr>
                <w:sz w:val="20"/>
              </w:rPr>
            </w:pPr>
            <w:r>
              <w:rPr>
                <w:spacing w:val="-5"/>
                <w:sz w:val="20"/>
              </w:rPr>
              <w:t>75</w:t>
            </w:r>
          </w:p>
        </w:tc>
        <w:tc>
          <w:tcPr>
            <w:tcW w:w="3174" w:type="dxa"/>
          </w:tcPr>
          <w:p>
            <w:pPr>
              <w:pStyle w:val="TableParagraph"/>
              <w:spacing w:before="46"/>
              <w:ind w:left="219" w:right="1526"/>
              <w:rPr>
                <w:sz w:val="20"/>
              </w:rPr>
            </w:pPr>
            <w:r>
              <w:rPr>
                <w:sz w:val="20"/>
              </w:rPr>
              <w:t>Лучевая</w:t>
            </w:r>
            <w:r>
              <w:rPr>
                <w:spacing w:val="-13"/>
                <w:sz w:val="20"/>
              </w:rPr>
              <w:t> </w:t>
            </w:r>
            <w:r>
              <w:rPr>
                <w:sz w:val="20"/>
              </w:rPr>
              <w:t>терапия (уровень 2)</w:t>
            </w:r>
          </w:p>
        </w:tc>
        <w:tc>
          <w:tcPr>
            <w:tcW w:w="2756" w:type="dxa"/>
          </w:tcPr>
          <w:p>
            <w:pPr>
              <w:pStyle w:val="TableParagraph"/>
              <w:spacing w:before="46"/>
              <w:ind w:right="1149"/>
              <w:jc w:val="right"/>
              <w:rPr>
                <w:sz w:val="20"/>
              </w:rPr>
            </w:pPr>
            <w:r>
              <w:rPr>
                <w:w w:val="99"/>
                <w:sz w:val="20"/>
              </w:rPr>
              <w:t>-</w:t>
            </w:r>
          </w:p>
        </w:tc>
        <w:tc>
          <w:tcPr>
            <w:tcW w:w="4517" w:type="dxa"/>
          </w:tcPr>
          <w:p>
            <w:pPr>
              <w:pStyle w:val="TableParagraph"/>
              <w:spacing w:before="46"/>
              <w:ind w:left="1151" w:right="274"/>
              <w:jc w:val="center"/>
              <w:rPr>
                <w:sz w:val="20"/>
              </w:rPr>
            </w:pPr>
            <w:r>
              <w:rPr>
                <w:spacing w:val="-2"/>
                <w:sz w:val="20"/>
              </w:rPr>
              <w:t>A07.30.009</w:t>
            </w:r>
          </w:p>
        </w:tc>
        <w:tc>
          <w:tcPr>
            <w:tcW w:w="2301" w:type="dxa"/>
          </w:tcPr>
          <w:p>
            <w:pPr>
              <w:pStyle w:val="TableParagraph"/>
              <w:spacing w:before="46"/>
              <w:ind w:left="746" w:right="492" w:hanging="461"/>
              <w:rPr>
                <w:sz w:val="20"/>
              </w:rPr>
            </w:pPr>
            <w:r>
              <w:rPr>
                <w:sz w:val="20"/>
              </w:rPr>
              <w:t>Фракции:</w:t>
            </w:r>
            <w:r>
              <w:rPr>
                <w:spacing w:val="-13"/>
                <w:sz w:val="20"/>
              </w:rPr>
              <w:t> </w:t>
            </w:r>
            <w:r>
              <w:rPr>
                <w:sz w:val="20"/>
              </w:rPr>
              <w:t>fr01-05, </w:t>
            </w:r>
            <w:r>
              <w:rPr>
                <w:spacing w:val="-2"/>
                <w:sz w:val="20"/>
              </w:rPr>
              <w:t>fr06-07</w:t>
            </w:r>
          </w:p>
        </w:tc>
        <w:tc>
          <w:tcPr>
            <w:tcW w:w="897" w:type="dxa"/>
          </w:tcPr>
          <w:p>
            <w:pPr>
              <w:pStyle w:val="TableParagraph"/>
              <w:spacing w:before="46"/>
              <w:ind w:right="46"/>
              <w:jc w:val="right"/>
              <w:rPr>
                <w:sz w:val="20"/>
              </w:rPr>
            </w:pPr>
            <w:r>
              <w:rPr>
                <w:spacing w:val="-4"/>
                <w:sz w:val="20"/>
              </w:rPr>
              <w:t>1,44</w:t>
            </w:r>
          </w:p>
        </w:tc>
      </w:tr>
      <w:tr>
        <w:trPr>
          <w:trHeight w:val="279" w:hRule="atLeast"/>
        </w:trPr>
        <w:tc>
          <w:tcPr>
            <w:tcW w:w="1003" w:type="dxa"/>
          </w:tcPr>
          <w:p>
            <w:pPr>
              <w:pStyle w:val="TableParagraph"/>
              <w:spacing w:line="215" w:lineRule="exact" w:before="45"/>
              <w:ind w:left="50"/>
              <w:rPr>
                <w:sz w:val="20"/>
              </w:rPr>
            </w:pPr>
            <w:r>
              <w:rPr>
                <w:spacing w:val="-2"/>
                <w:sz w:val="20"/>
              </w:rPr>
              <w:t>ds19.052</w:t>
            </w:r>
          </w:p>
        </w:tc>
        <w:tc>
          <w:tcPr>
            <w:tcW w:w="645" w:type="dxa"/>
          </w:tcPr>
          <w:p>
            <w:pPr>
              <w:pStyle w:val="TableParagraph"/>
              <w:spacing w:line="215" w:lineRule="exact" w:before="45"/>
              <w:ind w:right="215"/>
              <w:jc w:val="right"/>
              <w:rPr>
                <w:sz w:val="20"/>
              </w:rPr>
            </w:pPr>
            <w:r>
              <w:rPr>
                <w:spacing w:val="-5"/>
                <w:sz w:val="20"/>
              </w:rPr>
              <w:t>76</w:t>
            </w:r>
          </w:p>
        </w:tc>
        <w:tc>
          <w:tcPr>
            <w:tcW w:w="3174" w:type="dxa"/>
          </w:tcPr>
          <w:p>
            <w:pPr>
              <w:pStyle w:val="TableParagraph"/>
              <w:spacing w:line="215" w:lineRule="exact" w:before="45"/>
              <w:ind w:left="219"/>
              <w:rPr>
                <w:sz w:val="20"/>
              </w:rPr>
            </w:pPr>
            <w:r>
              <w:rPr>
                <w:sz w:val="20"/>
              </w:rPr>
              <w:t>Лучевая</w:t>
            </w:r>
            <w:r>
              <w:rPr>
                <w:spacing w:val="-10"/>
                <w:sz w:val="20"/>
              </w:rPr>
              <w:t> </w:t>
            </w:r>
            <w:r>
              <w:rPr>
                <w:spacing w:val="-2"/>
                <w:sz w:val="20"/>
              </w:rPr>
              <w:t>терапия</w:t>
            </w:r>
          </w:p>
        </w:tc>
        <w:tc>
          <w:tcPr>
            <w:tcW w:w="2756" w:type="dxa"/>
          </w:tcPr>
          <w:p>
            <w:pPr>
              <w:pStyle w:val="TableParagraph"/>
              <w:spacing w:line="215" w:lineRule="exact" w:before="45"/>
              <w:ind w:right="1149"/>
              <w:jc w:val="right"/>
              <w:rPr>
                <w:sz w:val="20"/>
              </w:rPr>
            </w:pPr>
            <w:r>
              <w:rPr>
                <w:w w:val="99"/>
                <w:sz w:val="20"/>
              </w:rPr>
              <w:t>-</w:t>
            </w:r>
          </w:p>
        </w:tc>
        <w:tc>
          <w:tcPr>
            <w:tcW w:w="4517" w:type="dxa"/>
          </w:tcPr>
          <w:p>
            <w:pPr>
              <w:pStyle w:val="TableParagraph"/>
              <w:spacing w:line="215" w:lineRule="exact" w:before="45"/>
              <w:ind w:left="1151" w:right="278"/>
              <w:jc w:val="center"/>
              <w:rPr>
                <w:sz w:val="20"/>
              </w:rPr>
            </w:pPr>
            <w:r>
              <w:rPr>
                <w:w w:val="95"/>
                <w:sz w:val="20"/>
              </w:rPr>
              <w:t>A06.01.007.001,</w:t>
            </w:r>
            <w:r>
              <w:rPr>
                <w:spacing w:val="54"/>
                <w:sz w:val="20"/>
              </w:rPr>
              <w:t> </w:t>
            </w:r>
            <w:r>
              <w:rPr>
                <w:spacing w:val="-2"/>
                <w:sz w:val="20"/>
              </w:rPr>
              <w:t>A06.03.065,</w:t>
            </w:r>
          </w:p>
        </w:tc>
        <w:tc>
          <w:tcPr>
            <w:tcW w:w="2301" w:type="dxa"/>
          </w:tcPr>
          <w:p>
            <w:pPr>
              <w:pStyle w:val="TableParagraph"/>
              <w:spacing w:line="215" w:lineRule="exact" w:before="45"/>
              <w:ind w:left="279" w:right="485"/>
              <w:jc w:val="center"/>
              <w:rPr>
                <w:sz w:val="20"/>
              </w:rPr>
            </w:pPr>
            <w:r>
              <w:rPr>
                <w:spacing w:val="-2"/>
                <w:sz w:val="20"/>
              </w:rPr>
              <w:t>Фракции:</w:t>
            </w:r>
            <w:r>
              <w:rPr>
                <w:spacing w:val="12"/>
                <w:sz w:val="20"/>
              </w:rPr>
              <w:t> </w:t>
            </w:r>
            <w:r>
              <w:rPr>
                <w:spacing w:val="-2"/>
                <w:sz w:val="20"/>
              </w:rPr>
              <w:t>fr06-</w:t>
            </w:r>
            <w:r>
              <w:rPr>
                <w:spacing w:val="-5"/>
                <w:sz w:val="20"/>
              </w:rPr>
              <w:t>07,</w:t>
            </w:r>
          </w:p>
        </w:tc>
        <w:tc>
          <w:tcPr>
            <w:tcW w:w="897" w:type="dxa"/>
          </w:tcPr>
          <w:p>
            <w:pPr>
              <w:pStyle w:val="TableParagraph"/>
              <w:spacing w:line="215" w:lineRule="exact" w:before="45"/>
              <w:ind w:right="46"/>
              <w:jc w:val="right"/>
              <w:rPr>
                <w:sz w:val="20"/>
              </w:rPr>
            </w:pPr>
            <w:r>
              <w:rPr>
                <w:spacing w:val="-4"/>
                <w:sz w:val="20"/>
              </w:rPr>
              <w:t>2,22</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spacing w:line="210" w:lineRule="exact"/>
              <w:ind w:left="219"/>
              <w:rPr>
                <w:sz w:val="20"/>
              </w:rPr>
            </w:pPr>
            <w:r>
              <w:rPr>
                <w:sz w:val="20"/>
              </w:rPr>
              <w:t>(уровень</w:t>
            </w:r>
            <w:r>
              <w:rPr>
                <w:spacing w:val="-10"/>
                <w:sz w:val="20"/>
              </w:rPr>
              <w:t> </w:t>
            </w:r>
            <w:r>
              <w:rPr>
                <w:spacing w:val="-5"/>
                <w:sz w:val="20"/>
              </w:rPr>
              <w:t>3)</w:t>
            </w:r>
          </w:p>
        </w:tc>
        <w:tc>
          <w:tcPr>
            <w:tcW w:w="2756" w:type="dxa"/>
          </w:tcPr>
          <w:p>
            <w:pPr>
              <w:pStyle w:val="TableParagraph"/>
              <w:rPr>
                <w:sz w:val="16"/>
              </w:rPr>
            </w:pPr>
          </w:p>
        </w:tc>
        <w:tc>
          <w:tcPr>
            <w:tcW w:w="4517" w:type="dxa"/>
          </w:tcPr>
          <w:p>
            <w:pPr>
              <w:pStyle w:val="TableParagraph"/>
              <w:spacing w:line="210" w:lineRule="exact"/>
              <w:ind w:left="1149" w:right="278"/>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301" w:type="dxa"/>
          </w:tcPr>
          <w:p>
            <w:pPr>
              <w:pStyle w:val="TableParagraph"/>
              <w:spacing w:line="210" w:lineRule="exact"/>
              <w:ind w:left="279" w:right="484"/>
              <w:jc w:val="center"/>
              <w:rPr>
                <w:sz w:val="20"/>
              </w:rPr>
            </w:pPr>
            <w:r>
              <w:rPr>
                <w:sz w:val="20"/>
              </w:rPr>
              <w:t>fr08-10,</w:t>
            </w:r>
            <w:r>
              <w:rPr>
                <w:spacing w:val="-12"/>
                <w:sz w:val="20"/>
              </w:rPr>
              <w:t> </w:t>
            </w:r>
            <w:r>
              <w:rPr>
                <w:sz w:val="20"/>
              </w:rPr>
              <w:t>fr11-</w:t>
            </w:r>
            <w:r>
              <w:rPr>
                <w:spacing w:val="-7"/>
                <w:sz w:val="20"/>
              </w:rPr>
              <w:t>20</w:t>
            </w: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9" w:right="278"/>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sz w:val="20"/>
              </w:rPr>
              <w:t>A07.01.004,</w:t>
            </w:r>
            <w:r>
              <w:rPr>
                <w:spacing w:val="-9"/>
                <w:sz w:val="20"/>
              </w:rPr>
              <w:t> </w:t>
            </w:r>
            <w:r>
              <w:rPr>
                <w:spacing w:val="-2"/>
                <w:sz w:val="20"/>
              </w:rPr>
              <w:t>A07.03.002.001,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0" w:right="278"/>
              <w:jc w:val="center"/>
              <w:rPr>
                <w:sz w:val="20"/>
              </w:rPr>
            </w:pPr>
            <w:r>
              <w:rPr>
                <w:w w:val="95"/>
                <w:sz w:val="20"/>
              </w:rPr>
              <w:t>A07.03.002.002,</w:t>
            </w:r>
            <w:r>
              <w:rPr>
                <w:spacing w:val="54"/>
                <w:sz w:val="20"/>
              </w:rPr>
              <w:t> </w:t>
            </w:r>
            <w:r>
              <w:rPr>
                <w:spacing w:val="-2"/>
                <w:sz w:val="20"/>
              </w:rPr>
              <w:t>A07.06.002.001,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151" w:right="278"/>
              <w:jc w:val="center"/>
              <w:rPr>
                <w:sz w:val="20"/>
              </w:rPr>
            </w:pPr>
            <w:r>
              <w:rPr>
                <w:w w:val="95"/>
                <w:sz w:val="20"/>
              </w:rPr>
              <w:t>A07.06.002.002,</w:t>
            </w:r>
            <w:r>
              <w:rPr>
                <w:spacing w:val="54"/>
                <w:sz w:val="20"/>
              </w:rPr>
              <w:t> </w:t>
            </w:r>
            <w:r>
              <w:rPr>
                <w:spacing w:val="-2"/>
                <w:sz w:val="20"/>
              </w:rPr>
              <w:t>A07.06.004,</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A07.07.001.001,</w:t>
            </w:r>
            <w:r>
              <w:rPr>
                <w:spacing w:val="56"/>
                <w:sz w:val="20"/>
              </w:rPr>
              <w:t> </w:t>
            </w:r>
            <w:r>
              <w:rPr>
                <w:spacing w:val="-2"/>
                <w:sz w:val="20"/>
              </w:rPr>
              <w:t>A07.07.001.002,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0" w:right="278"/>
              <w:jc w:val="center"/>
              <w:rPr>
                <w:sz w:val="20"/>
              </w:rPr>
            </w:pPr>
            <w:r>
              <w:rPr>
                <w:w w:val="95"/>
                <w:sz w:val="20"/>
              </w:rPr>
              <w:t>A07.07.003.001,</w:t>
            </w:r>
            <w:r>
              <w:rPr>
                <w:spacing w:val="54"/>
                <w:sz w:val="20"/>
              </w:rPr>
              <w:t> </w:t>
            </w:r>
            <w:r>
              <w:rPr>
                <w:spacing w:val="-2"/>
                <w:sz w:val="20"/>
              </w:rPr>
              <w:t>A07.07.003.002,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8"/>
              <w:jc w:val="center"/>
              <w:rPr>
                <w:sz w:val="20"/>
              </w:rPr>
            </w:pPr>
            <w:r>
              <w:rPr>
                <w:sz w:val="20"/>
              </w:rPr>
              <w:t>A07.07.005,</w:t>
            </w:r>
            <w:r>
              <w:rPr>
                <w:spacing w:val="-9"/>
                <w:sz w:val="20"/>
              </w:rPr>
              <w:t> </w:t>
            </w:r>
            <w:r>
              <w:rPr>
                <w:spacing w:val="-2"/>
                <w:sz w:val="20"/>
              </w:rPr>
              <w:t>A07.08.001.001,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0" w:right="278"/>
              <w:jc w:val="center"/>
              <w:rPr>
                <w:sz w:val="20"/>
              </w:rPr>
            </w:pPr>
            <w:r>
              <w:rPr>
                <w:w w:val="95"/>
                <w:sz w:val="20"/>
              </w:rPr>
              <w:t>A07.08.001.002,</w:t>
            </w:r>
            <w:r>
              <w:rPr>
                <w:spacing w:val="54"/>
                <w:sz w:val="20"/>
              </w:rPr>
              <w:t> </w:t>
            </w:r>
            <w:r>
              <w:rPr>
                <w:spacing w:val="-2"/>
                <w:sz w:val="20"/>
              </w:rPr>
              <w:t>A07.09.001.001,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w w:val="95"/>
                <w:sz w:val="20"/>
              </w:rPr>
              <w:t>A07.09.001.002,</w:t>
            </w:r>
            <w:r>
              <w:rPr>
                <w:spacing w:val="54"/>
                <w:sz w:val="20"/>
              </w:rPr>
              <w:t> </w:t>
            </w:r>
            <w:r>
              <w:rPr>
                <w:spacing w:val="-2"/>
                <w:sz w:val="20"/>
              </w:rPr>
              <w:t>A07.09.002,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0" w:right="278"/>
              <w:jc w:val="center"/>
              <w:rPr>
                <w:sz w:val="20"/>
              </w:rPr>
            </w:pPr>
            <w:r>
              <w:rPr>
                <w:w w:val="95"/>
                <w:sz w:val="20"/>
              </w:rPr>
              <w:t>A07.11.001.001,</w:t>
            </w:r>
            <w:r>
              <w:rPr>
                <w:spacing w:val="54"/>
                <w:sz w:val="20"/>
              </w:rPr>
              <w:t> </w:t>
            </w:r>
            <w:r>
              <w:rPr>
                <w:spacing w:val="-2"/>
                <w:sz w:val="20"/>
              </w:rPr>
              <w:t>A07.11.001.002,</w:t>
            </w:r>
          </w:p>
        </w:tc>
        <w:tc>
          <w:tcPr>
            <w:tcW w:w="2301" w:type="dxa"/>
          </w:tcPr>
          <w:p>
            <w:pPr>
              <w:pStyle w:val="TableParagraph"/>
              <w:rPr>
                <w:sz w:val="16"/>
              </w:rPr>
            </w:pPr>
          </w:p>
        </w:tc>
        <w:tc>
          <w:tcPr>
            <w:tcW w:w="89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5" w:lineRule="exact"/>
              <w:ind w:left="1151" w:right="275"/>
              <w:jc w:val="center"/>
              <w:rPr>
                <w:sz w:val="20"/>
              </w:rPr>
            </w:pPr>
            <w:r>
              <w:rPr>
                <w:sz w:val="20"/>
              </w:rPr>
              <w:t>A07.12.001,</w:t>
            </w:r>
            <w:r>
              <w:rPr>
                <w:spacing w:val="-9"/>
                <w:sz w:val="20"/>
              </w:rPr>
              <w:t> </w:t>
            </w:r>
            <w:r>
              <w:rPr>
                <w:spacing w:val="-2"/>
                <w:sz w:val="20"/>
              </w:rPr>
              <w:t>A07.14.001,</w:t>
            </w:r>
          </w:p>
        </w:tc>
        <w:tc>
          <w:tcPr>
            <w:tcW w:w="2301" w:type="dxa"/>
          </w:tcPr>
          <w:p>
            <w:pPr>
              <w:pStyle w:val="TableParagraph"/>
              <w:rPr>
                <w:sz w:val="16"/>
              </w:rPr>
            </w:pPr>
          </w:p>
        </w:tc>
        <w:tc>
          <w:tcPr>
            <w:tcW w:w="89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73"/>
        <w:gridCol w:w="2756"/>
        <w:gridCol w:w="4517"/>
        <w:gridCol w:w="2299"/>
        <w:gridCol w:w="896"/>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173" w:type="dxa"/>
            <w:vMerge w:val="restart"/>
          </w:tcPr>
          <w:p>
            <w:pPr>
              <w:pStyle w:val="TableParagraph"/>
              <w:rPr>
                <w:sz w:val="18"/>
              </w:rPr>
            </w:pPr>
          </w:p>
        </w:tc>
        <w:tc>
          <w:tcPr>
            <w:tcW w:w="2756" w:type="dxa"/>
            <w:vMerge w:val="restart"/>
          </w:tcPr>
          <w:p>
            <w:pPr>
              <w:pStyle w:val="TableParagraph"/>
              <w:rPr>
                <w:sz w:val="18"/>
              </w:rPr>
            </w:pPr>
          </w:p>
        </w:tc>
        <w:tc>
          <w:tcPr>
            <w:tcW w:w="4517" w:type="dxa"/>
          </w:tcPr>
          <w:p>
            <w:pPr>
              <w:pStyle w:val="TableParagraph"/>
              <w:spacing w:line="205" w:lineRule="exact"/>
              <w:ind w:left="1151" w:right="276"/>
              <w:jc w:val="center"/>
              <w:rPr>
                <w:sz w:val="20"/>
              </w:rPr>
            </w:pPr>
            <w:r>
              <w:rPr>
                <w:w w:val="95"/>
                <w:sz w:val="20"/>
              </w:rPr>
              <w:t>A07.14.001.002,</w:t>
            </w:r>
            <w:r>
              <w:rPr>
                <w:spacing w:val="54"/>
                <w:sz w:val="20"/>
              </w:rPr>
              <w:t> </w:t>
            </w:r>
            <w:r>
              <w:rPr>
                <w:spacing w:val="-2"/>
                <w:sz w:val="20"/>
              </w:rPr>
              <w:t>A07.15.001,</w:t>
            </w:r>
          </w:p>
        </w:tc>
        <w:tc>
          <w:tcPr>
            <w:tcW w:w="2299" w:type="dxa"/>
            <w:vMerge w:val="restart"/>
          </w:tcPr>
          <w:p>
            <w:pPr>
              <w:pStyle w:val="TableParagraph"/>
              <w:rPr>
                <w:sz w:val="18"/>
              </w:rPr>
            </w:pPr>
          </w:p>
        </w:tc>
        <w:tc>
          <w:tcPr>
            <w:tcW w:w="896"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5" w:right="451"/>
              <w:jc w:val="center"/>
              <w:rPr>
                <w:sz w:val="20"/>
              </w:rPr>
            </w:pPr>
            <w:r>
              <w:rPr>
                <w:w w:val="95"/>
                <w:sz w:val="20"/>
              </w:rPr>
              <w:t>A07.15.001.001,</w:t>
            </w:r>
            <w:r>
              <w:rPr>
                <w:spacing w:val="54"/>
                <w:sz w:val="20"/>
              </w:rPr>
              <w:t> </w:t>
            </w:r>
            <w:r>
              <w:rPr>
                <w:spacing w:val="-2"/>
                <w:sz w:val="20"/>
              </w:rPr>
              <w:t>A07.16.001.001,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5" w:right="451"/>
              <w:jc w:val="center"/>
              <w:rPr>
                <w:sz w:val="20"/>
              </w:rPr>
            </w:pPr>
            <w:r>
              <w:rPr>
                <w:w w:val="95"/>
                <w:sz w:val="20"/>
              </w:rPr>
              <w:t>A07.16.001.002,</w:t>
            </w:r>
            <w:r>
              <w:rPr>
                <w:spacing w:val="54"/>
                <w:sz w:val="20"/>
              </w:rPr>
              <w:t> </w:t>
            </w:r>
            <w:r>
              <w:rPr>
                <w:spacing w:val="-2"/>
                <w:sz w:val="20"/>
              </w:rPr>
              <w:t>A07.18.001.001,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A07.18.001.002,</w:t>
            </w:r>
            <w:r>
              <w:rPr>
                <w:spacing w:val="54"/>
                <w:sz w:val="20"/>
              </w:rPr>
              <w:t> </w:t>
            </w:r>
            <w:r>
              <w:rPr>
                <w:spacing w:val="-2"/>
                <w:sz w:val="20"/>
              </w:rPr>
              <w:t>A07.19.001.001,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A07.19.001.002,</w:t>
            </w:r>
            <w:r>
              <w:rPr>
                <w:spacing w:val="54"/>
                <w:sz w:val="20"/>
              </w:rPr>
              <w:t> </w:t>
            </w:r>
            <w:r>
              <w:rPr>
                <w:spacing w:val="-2"/>
                <w:sz w:val="20"/>
              </w:rPr>
              <w:t>A07.20.001.001,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A07.20.001.002,</w:t>
            </w:r>
            <w:r>
              <w:rPr>
                <w:spacing w:val="54"/>
                <w:sz w:val="20"/>
              </w:rPr>
              <w:t> </w:t>
            </w:r>
            <w:r>
              <w:rPr>
                <w:spacing w:val="-2"/>
                <w:sz w:val="20"/>
              </w:rPr>
              <w:t>A07.20.003.001,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6"/>
              <w:jc w:val="center"/>
              <w:rPr>
                <w:sz w:val="20"/>
              </w:rPr>
            </w:pPr>
            <w:r>
              <w:rPr>
                <w:w w:val="95"/>
                <w:sz w:val="20"/>
              </w:rPr>
              <w:t>A07.20.003.002,</w:t>
            </w:r>
            <w:r>
              <w:rPr>
                <w:spacing w:val="54"/>
                <w:sz w:val="20"/>
              </w:rPr>
              <w:t> </w:t>
            </w:r>
            <w:r>
              <w:rPr>
                <w:spacing w:val="-2"/>
                <w:sz w:val="20"/>
              </w:rPr>
              <w:t>A07.21.001,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A07.21.001.002,</w:t>
            </w:r>
            <w:r>
              <w:rPr>
                <w:spacing w:val="54"/>
                <w:sz w:val="20"/>
              </w:rPr>
              <w:t> </w:t>
            </w:r>
            <w:r>
              <w:rPr>
                <w:spacing w:val="-2"/>
                <w:sz w:val="20"/>
              </w:rPr>
              <w:t>A07.22.001.001,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6"/>
              <w:jc w:val="center"/>
              <w:rPr>
                <w:sz w:val="20"/>
              </w:rPr>
            </w:pPr>
            <w:r>
              <w:rPr>
                <w:w w:val="95"/>
                <w:sz w:val="20"/>
              </w:rPr>
              <w:t>A07.22.001.002,</w:t>
            </w:r>
            <w:r>
              <w:rPr>
                <w:spacing w:val="54"/>
                <w:sz w:val="20"/>
              </w:rPr>
              <w:t> </w:t>
            </w:r>
            <w:r>
              <w:rPr>
                <w:spacing w:val="-2"/>
                <w:sz w:val="20"/>
              </w:rPr>
              <w:t>A07.23.001,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6"/>
              <w:jc w:val="center"/>
              <w:rPr>
                <w:sz w:val="20"/>
              </w:rPr>
            </w:pPr>
            <w:r>
              <w:rPr>
                <w:w w:val="95"/>
                <w:sz w:val="20"/>
              </w:rPr>
              <w:t>A07.23.001.002,</w:t>
            </w:r>
            <w:r>
              <w:rPr>
                <w:spacing w:val="54"/>
                <w:sz w:val="20"/>
              </w:rPr>
              <w:t> </w:t>
            </w:r>
            <w:r>
              <w:rPr>
                <w:spacing w:val="-2"/>
                <w:sz w:val="20"/>
              </w:rPr>
              <w:t>A07.23.002,</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4"/>
              <w:jc w:val="center"/>
              <w:rPr>
                <w:sz w:val="20"/>
              </w:rPr>
            </w:pPr>
            <w:r>
              <w:rPr>
                <w:sz w:val="20"/>
              </w:rPr>
              <w:t>A07.26.002,</w:t>
            </w:r>
            <w:r>
              <w:rPr>
                <w:spacing w:val="-7"/>
                <w:sz w:val="20"/>
              </w:rPr>
              <w:t> </w:t>
            </w:r>
            <w:r>
              <w:rPr>
                <w:spacing w:val="-2"/>
                <w:sz w:val="20"/>
              </w:rPr>
              <w:t>A07.28.001.001,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6"/>
              <w:jc w:val="center"/>
              <w:rPr>
                <w:sz w:val="20"/>
              </w:rPr>
            </w:pPr>
            <w:r>
              <w:rPr>
                <w:w w:val="95"/>
                <w:sz w:val="20"/>
              </w:rPr>
              <w:t>A07.28.001.002,</w:t>
            </w:r>
            <w:r>
              <w:rPr>
                <w:spacing w:val="54"/>
                <w:sz w:val="20"/>
              </w:rPr>
              <w:t> </w:t>
            </w:r>
            <w:r>
              <w:rPr>
                <w:spacing w:val="-2"/>
                <w:sz w:val="20"/>
              </w:rPr>
              <w:t>A07.30.002,</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26" w:lineRule="exact"/>
              <w:ind w:left="1151" w:right="275"/>
              <w:jc w:val="center"/>
              <w:rPr>
                <w:sz w:val="20"/>
              </w:rPr>
            </w:pPr>
            <w:r>
              <w:rPr>
                <w:w w:val="95"/>
                <w:sz w:val="20"/>
              </w:rPr>
              <w:t>A07.30.025.001,</w:t>
            </w:r>
            <w:r>
              <w:rPr>
                <w:spacing w:val="54"/>
                <w:sz w:val="20"/>
              </w:rPr>
              <w:t> </w:t>
            </w:r>
            <w:r>
              <w:rPr>
                <w:spacing w:val="-2"/>
                <w:sz w:val="20"/>
              </w:rPr>
              <w:t>A07.30.025.002</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560" w:hRule="atLeast"/>
        </w:trPr>
        <w:tc>
          <w:tcPr>
            <w:tcW w:w="1003" w:type="dxa"/>
          </w:tcPr>
          <w:p>
            <w:pPr>
              <w:pStyle w:val="TableParagraph"/>
              <w:spacing w:before="45"/>
              <w:ind w:left="50"/>
              <w:rPr>
                <w:sz w:val="20"/>
              </w:rPr>
            </w:pPr>
            <w:r>
              <w:rPr>
                <w:spacing w:val="-2"/>
                <w:sz w:val="20"/>
              </w:rPr>
              <w:t>ds19.053</w:t>
            </w:r>
          </w:p>
        </w:tc>
        <w:tc>
          <w:tcPr>
            <w:tcW w:w="645" w:type="dxa"/>
          </w:tcPr>
          <w:p>
            <w:pPr>
              <w:pStyle w:val="TableParagraph"/>
              <w:spacing w:before="45"/>
              <w:ind w:right="215"/>
              <w:jc w:val="right"/>
              <w:rPr>
                <w:sz w:val="20"/>
              </w:rPr>
            </w:pPr>
            <w:r>
              <w:rPr>
                <w:spacing w:val="-5"/>
                <w:sz w:val="20"/>
              </w:rPr>
              <w:t>77</w:t>
            </w:r>
          </w:p>
        </w:tc>
        <w:tc>
          <w:tcPr>
            <w:tcW w:w="3173" w:type="dxa"/>
          </w:tcPr>
          <w:p>
            <w:pPr>
              <w:pStyle w:val="TableParagraph"/>
              <w:spacing w:before="45"/>
              <w:ind w:left="219" w:right="1525"/>
              <w:rPr>
                <w:sz w:val="20"/>
              </w:rPr>
            </w:pPr>
            <w:r>
              <w:rPr>
                <w:sz w:val="20"/>
              </w:rPr>
              <w:t>Лучевая</w:t>
            </w:r>
            <w:r>
              <w:rPr>
                <w:spacing w:val="-13"/>
                <w:sz w:val="20"/>
              </w:rPr>
              <w:t> </w:t>
            </w:r>
            <w:r>
              <w:rPr>
                <w:sz w:val="20"/>
              </w:rPr>
              <w:t>терапия (уровень 4)</w:t>
            </w:r>
          </w:p>
        </w:tc>
        <w:tc>
          <w:tcPr>
            <w:tcW w:w="2756" w:type="dxa"/>
          </w:tcPr>
          <w:p>
            <w:pPr>
              <w:pStyle w:val="TableParagraph"/>
              <w:spacing w:before="45"/>
              <w:ind w:right="1148"/>
              <w:jc w:val="right"/>
              <w:rPr>
                <w:sz w:val="20"/>
              </w:rPr>
            </w:pPr>
            <w:r>
              <w:rPr>
                <w:w w:val="99"/>
                <w:sz w:val="20"/>
              </w:rPr>
              <w:t>-</w:t>
            </w:r>
          </w:p>
        </w:tc>
        <w:tc>
          <w:tcPr>
            <w:tcW w:w="4517" w:type="dxa"/>
          </w:tcPr>
          <w:p>
            <w:pPr>
              <w:pStyle w:val="TableParagraph"/>
              <w:spacing w:before="45"/>
              <w:ind w:left="1325" w:right="446"/>
              <w:jc w:val="center"/>
              <w:rPr>
                <w:sz w:val="20"/>
              </w:rPr>
            </w:pPr>
            <w:r>
              <w:rPr>
                <w:spacing w:val="-2"/>
                <w:sz w:val="20"/>
              </w:rPr>
              <w:t>A07.30.009</w:t>
            </w:r>
          </w:p>
        </w:tc>
        <w:tc>
          <w:tcPr>
            <w:tcW w:w="2299" w:type="dxa"/>
          </w:tcPr>
          <w:p>
            <w:pPr>
              <w:pStyle w:val="TableParagraph"/>
              <w:spacing w:before="45"/>
              <w:ind w:left="747" w:right="489" w:hanging="461"/>
              <w:rPr>
                <w:sz w:val="20"/>
              </w:rPr>
            </w:pPr>
            <w:r>
              <w:rPr>
                <w:sz w:val="20"/>
              </w:rPr>
              <w:t>Фракции:</w:t>
            </w:r>
            <w:r>
              <w:rPr>
                <w:spacing w:val="-13"/>
                <w:sz w:val="20"/>
              </w:rPr>
              <w:t> </w:t>
            </w:r>
            <w:r>
              <w:rPr>
                <w:sz w:val="20"/>
              </w:rPr>
              <w:t>fr08-10, </w:t>
            </w:r>
            <w:r>
              <w:rPr>
                <w:spacing w:val="-2"/>
                <w:sz w:val="20"/>
              </w:rPr>
              <w:t>fr11-20</w:t>
            </w:r>
          </w:p>
        </w:tc>
        <w:tc>
          <w:tcPr>
            <w:tcW w:w="896" w:type="dxa"/>
          </w:tcPr>
          <w:p>
            <w:pPr>
              <w:pStyle w:val="TableParagraph"/>
              <w:spacing w:before="45"/>
              <w:ind w:right="42"/>
              <w:jc w:val="right"/>
              <w:rPr>
                <w:sz w:val="20"/>
              </w:rPr>
            </w:pPr>
            <w:r>
              <w:rPr>
                <w:spacing w:val="-4"/>
                <w:sz w:val="20"/>
              </w:rPr>
              <w:t>2,93</w:t>
            </w:r>
          </w:p>
        </w:tc>
      </w:tr>
      <w:tr>
        <w:trPr>
          <w:trHeight w:val="279" w:hRule="atLeast"/>
        </w:trPr>
        <w:tc>
          <w:tcPr>
            <w:tcW w:w="1003" w:type="dxa"/>
          </w:tcPr>
          <w:p>
            <w:pPr>
              <w:pStyle w:val="TableParagraph"/>
              <w:spacing w:line="214" w:lineRule="exact" w:before="46"/>
              <w:ind w:left="50"/>
              <w:rPr>
                <w:sz w:val="20"/>
              </w:rPr>
            </w:pPr>
            <w:r>
              <w:rPr>
                <w:spacing w:val="-2"/>
                <w:sz w:val="20"/>
              </w:rPr>
              <w:t>ds19.054</w:t>
            </w:r>
          </w:p>
        </w:tc>
        <w:tc>
          <w:tcPr>
            <w:tcW w:w="645" w:type="dxa"/>
          </w:tcPr>
          <w:p>
            <w:pPr>
              <w:pStyle w:val="TableParagraph"/>
              <w:spacing w:line="214" w:lineRule="exact" w:before="46"/>
              <w:ind w:right="215"/>
              <w:jc w:val="right"/>
              <w:rPr>
                <w:sz w:val="20"/>
              </w:rPr>
            </w:pPr>
            <w:r>
              <w:rPr>
                <w:spacing w:val="-5"/>
                <w:sz w:val="20"/>
              </w:rPr>
              <w:t>78</w:t>
            </w:r>
          </w:p>
        </w:tc>
        <w:tc>
          <w:tcPr>
            <w:tcW w:w="3173" w:type="dxa"/>
          </w:tcPr>
          <w:p>
            <w:pPr>
              <w:pStyle w:val="TableParagraph"/>
              <w:spacing w:line="214" w:lineRule="exact" w:before="46"/>
              <w:ind w:left="219"/>
              <w:rPr>
                <w:sz w:val="20"/>
              </w:rPr>
            </w:pPr>
            <w:r>
              <w:rPr>
                <w:sz w:val="20"/>
              </w:rPr>
              <w:t>Лучевая</w:t>
            </w:r>
            <w:r>
              <w:rPr>
                <w:spacing w:val="-11"/>
                <w:sz w:val="20"/>
              </w:rPr>
              <w:t> </w:t>
            </w:r>
            <w:r>
              <w:rPr>
                <w:spacing w:val="-2"/>
                <w:sz w:val="20"/>
              </w:rPr>
              <w:t>терапия</w:t>
            </w:r>
          </w:p>
        </w:tc>
        <w:tc>
          <w:tcPr>
            <w:tcW w:w="2756" w:type="dxa"/>
          </w:tcPr>
          <w:p>
            <w:pPr>
              <w:pStyle w:val="TableParagraph"/>
              <w:spacing w:line="214" w:lineRule="exact" w:before="46"/>
              <w:ind w:right="1148"/>
              <w:jc w:val="right"/>
              <w:rPr>
                <w:sz w:val="20"/>
              </w:rPr>
            </w:pPr>
            <w:r>
              <w:rPr>
                <w:w w:val="99"/>
                <w:sz w:val="20"/>
              </w:rPr>
              <w:t>-</w:t>
            </w:r>
          </w:p>
        </w:tc>
        <w:tc>
          <w:tcPr>
            <w:tcW w:w="4517" w:type="dxa"/>
          </w:tcPr>
          <w:p>
            <w:pPr>
              <w:pStyle w:val="TableParagraph"/>
              <w:spacing w:line="214" w:lineRule="exact" w:before="46"/>
              <w:ind w:left="1151" w:right="276"/>
              <w:jc w:val="center"/>
              <w:rPr>
                <w:sz w:val="20"/>
              </w:rPr>
            </w:pPr>
            <w:r>
              <w:rPr>
                <w:sz w:val="20"/>
              </w:rPr>
              <w:t>A07.08.002,</w:t>
            </w:r>
            <w:r>
              <w:rPr>
                <w:spacing w:val="-8"/>
                <w:sz w:val="20"/>
              </w:rPr>
              <w:t> </w:t>
            </w:r>
            <w:r>
              <w:rPr>
                <w:sz w:val="20"/>
              </w:rPr>
              <w:t>A07.16.002,</w:t>
            </w:r>
            <w:r>
              <w:rPr>
                <w:spacing w:val="-9"/>
                <w:sz w:val="20"/>
              </w:rPr>
              <w:t> </w:t>
            </w:r>
            <w:r>
              <w:rPr>
                <w:spacing w:val="-2"/>
                <w:sz w:val="20"/>
              </w:rPr>
              <w:t>A07.19.002,</w:t>
            </w:r>
          </w:p>
        </w:tc>
        <w:tc>
          <w:tcPr>
            <w:tcW w:w="2299" w:type="dxa"/>
          </w:tcPr>
          <w:p>
            <w:pPr>
              <w:pStyle w:val="TableParagraph"/>
              <w:spacing w:line="214" w:lineRule="exact" w:before="46"/>
              <w:ind w:right="202"/>
              <w:jc w:val="center"/>
              <w:rPr>
                <w:sz w:val="20"/>
              </w:rPr>
            </w:pPr>
            <w:r>
              <w:rPr>
                <w:w w:val="99"/>
                <w:sz w:val="20"/>
              </w:rPr>
              <w:t>-</w:t>
            </w:r>
          </w:p>
        </w:tc>
        <w:tc>
          <w:tcPr>
            <w:tcW w:w="896" w:type="dxa"/>
          </w:tcPr>
          <w:p>
            <w:pPr>
              <w:pStyle w:val="TableParagraph"/>
              <w:spacing w:line="214" w:lineRule="exact" w:before="46"/>
              <w:ind w:right="42"/>
              <w:jc w:val="right"/>
              <w:rPr>
                <w:sz w:val="20"/>
              </w:rPr>
            </w:pPr>
            <w:r>
              <w:rPr>
                <w:spacing w:val="-4"/>
                <w:sz w:val="20"/>
              </w:rPr>
              <w:t>3,14</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spacing w:line="209" w:lineRule="exact"/>
              <w:ind w:left="219"/>
              <w:rPr>
                <w:sz w:val="20"/>
              </w:rPr>
            </w:pPr>
            <w:r>
              <w:rPr>
                <w:sz w:val="20"/>
              </w:rPr>
              <w:t>(уровень</w:t>
            </w:r>
            <w:r>
              <w:rPr>
                <w:spacing w:val="-10"/>
                <w:sz w:val="20"/>
              </w:rPr>
              <w:t> </w:t>
            </w:r>
            <w:r>
              <w:rPr>
                <w:spacing w:val="-5"/>
                <w:sz w:val="20"/>
              </w:rPr>
              <w:t>5)</w:t>
            </w:r>
          </w:p>
        </w:tc>
        <w:tc>
          <w:tcPr>
            <w:tcW w:w="2756" w:type="dxa"/>
          </w:tcPr>
          <w:p>
            <w:pPr>
              <w:pStyle w:val="TableParagraph"/>
              <w:rPr>
                <w:sz w:val="16"/>
              </w:rPr>
            </w:pPr>
          </w:p>
        </w:tc>
        <w:tc>
          <w:tcPr>
            <w:tcW w:w="4517" w:type="dxa"/>
          </w:tcPr>
          <w:p>
            <w:pPr>
              <w:pStyle w:val="TableParagraph"/>
              <w:spacing w:line="209" w:lineRule="exact"/>
              <w:ind w:left="1151" w:right="276"/>
              <w:jc w:val="center"/>
              <w:rPr>
                <w:sz w:val="20"/>
              </w:rPr>
            </w:pPr>
            <w:r>
              <w:rPr>
                <w:w w:val="95"/>
                <w:sz w:val="20"/>
              </w:rPr>
              <w:t>A07.20.003.006,</w:t>
            </w:r>
            <w:r>
              <w:rPr>
                <w:spacing w:val="54"/>
                <w:sz w:val="20"/>
              </w:rPr>
              <w:t> </w:t>
            </w:r>
            <w:r>
              <w:rPr>
                <w:spacing w:val="-2"/>
                <w:sz w:val="20"/>
              </w:rPr>
              <w:t>A07.30.007,</w:t>
            </w:r>
          </w:p>
        </w:tc>
        <w:tc>
          <w:tcPr>
            <w:tcW w:w="2299" w:type="dxa"/>
          </w:tcPr>
          <w:p>
            <w:pPr>
              <w:pStyle w:val="TableParagraph"/>
              <w:rPr>
                <w:sz w:val="16"/>
              </w:rPr>
            </w:pPr>
          </w:p>
        </w:tc>
        <w:tc>
          <w:tcPr>
            <w:tcW w:w="896"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3173" w:type="dxa"/>
          </w:tcPr>
          <w:p>
            <w:pPr>
              <w:pStyle w:val="TableParagraph"/>
              <w:rPr>
                <w:sz w:val="18"/>
              </w:rPr>
            </w:pPr>
          </w:p>
        </w:tc>
        <w:tc>
          <w:tcPr>
            <w:tcW w:w="2756" w:type="dxa"/>
          </w:tcPr>
          <w:p>
            <w:pPr>
              <w:pStyle w:val="TableParagraph"/>
              <w:rPr>
                <w:sz w:val="18"/>
              </w:rPr>
            </w:pPr>
          </w:p>
        </w:tc>
        <w:tc>
          <w:tcPr>
            <w:tcW w:w="4517" w:type="dxa"/>
          </w:tcPr>
          <w:p>
            <w:pPr>
              <w:pStyle w:val="TableParagraph"/>
              <w:spacing w:line="226" w:lineRule="exact"/>
              <w:ind w:left="1325" w:right="446"/>
              <w:jc w:val="center"/>
              <w:rPr>
                <w:sz w:val="20"/>
              </w:rPr>
            </w:pPr>
            <w:r>
              <w:rPr>
                <w:spacing w:val="-2"/>
                <w:sz w:val="20"/>
              </w:rPr>
              <w:t>A07.30.013</w:t>
            </w:r>
          </w:p>
        </w:tc>
        <w:tc>
          <w:tcPr>
            <w:tcW w:w="2299" w:type="dxa"/>
          </w:tcPr>
          <w:p>
            <w:pPr>
              <w:pStyle w:val="TableParagraph"/>
              <w:rPr>
                <w:sz w:val="18"/>
              </w:rPr>
            </w:pPr>
          </w:p>
        </w:tc>
        <w:tc>
          <w:tcPr>
            <w:tcW w:w="896" w:type="dxa"/>
          </w:tcPr>
          <w:p>
            <w:pPr>
              <w:pStyle w:val="TableParagraph"/>
              <w:rPr>
                <w:sz w:val="18"/>
              </w:rPr>
            </w:pPr>
          </w:p>
        </w:tc>
      </w:tr>
      <w:tr>
        <w:trPr>
          <w:trHeight w:val="280" w:hRule="atLeast"/>
        </w:trPr>
        <w:tc>
          <w:tcPr>
            <w:tcW w:w="1003" w:type="dxa"/>
          </w:tcPr>
          <w:p>
            <w:pPr>
              <w:pStyle w:val="TableParagraph"/>
              <w:spacing w:line="215" w:lineRule="exact" w:before="46"/>
              <w:ind w:left="50"/>
              <w:rPr>
                <w:sz w:val="20"/>
              </w:rPr>
            </w:pPr>
            <w:r>
              <w:rPr>
                <w:spacing w:val="-2"/>
                <w:sz w:val="20"/>
              </w:rPr>
              <w:t>ds19.055</w:t>
            </w:r>
          </w:p>
        </w:tc>
        <w:tc>
          <w:tcPr>
            <w:tcW w:w="645" w:type="dxa"/>
          </w:tcPr>
          <w:p>
            <w:pPr>
              <w:pStyle w:val="TableParagraph"/>
              <w:spacing w:line="215" w:lineRule="exact" w:before="46"/>
              <w:ind w:right="215"/>
              <w:jc w:val="right"/>
              <w:rPr>
                <w:sz w:val="20"/>
              </w:rPr>
            </w:pPr>
            <w:r>
              <w:rPr>
                <w:spacing w:val="-5"/>
                <w:sz w:val="20"/>
              </w:rPr>
              <w:t>79</w:t>
            </w:r>
          </w:p>
        </w:tc>
        <w:tc>
          <w:tcPr>
            <w:tcW w:w="3173" w:type="dxa"/>
          </w:tcPr>
          <w:p>
            <w:pPr>
              <w:pStyle w:val="TableParagraph"/>
              <w:spacing w:line="215" w:lineRule="exact" w:before="46"/>
              <w:ind w:left="219"/>
              <w:rPr>
                <w:sz w:val="20"/>
              </w:rPr>
            </w:pPr>
            <w:r>
              <w:rPr>
                <w:sz w:val="20"/>
              </w:rPr>
              <w:t>Лучевая</w:t>
            </w:r>
            <w:r>
              <w:rPr>
                <w:spacing w:val="-11"/>
                <w:sz w:val="20"/>
              </w:rPr>
              <w:t> </w:t>
            </w:r>
            <w:r>
              <w:rPr>
                <w:spacing w:val="-2"/>
                <w:sz w:val="20"/>
              </w:rPr>
              <w:t>терапия</w:t>
            </w:r>
          </w:p>
        </w:tc>
        <w:tc>
          <w:tcPr>
            <w:tcW w:w="2756" w:type="dxa"/>
          </w:tcPr>
          <w:p>
            <w:pPr>
              <w:pStyle w:val="TableParagraph"/>
              <w:spacing w:line="215" w:lineRule="exact" w:before="46"/>
              <w:ind w:right="1148"/>
              <w:jc w:val="right"/>
              <w:rPr>
                <w:sz w:val="20"/>
              </w:rPr>
            </w:pPr>
            <w:r>
              <w:rPr>
                <w:w w:val="99"/>
                <w:sz w:val="20"/>
              </w:rPr>
              <w:t>-</w:t>
            </w:r>
          </w:p>
        </w:tc>
        <w:tc>
          <w:tcPr>
            <w:tcW w:w="4517" w:type="dxa"/>
          </w:tcPr>
          <w:p>
            <w:pPr>
              <w:pStyle w:val="TableParagraph"/>
              <w:spacing w:line="215" w:lineRule="exact" w:before="46"/>
              <w:ind w:left="1151" w:right="276"/>
              <w:jc w:val="center"/>
              <w:rPr>
                <w:sz w:val="20"/>
              </w:rPr>
            </w:pPr>
            <w:r>
              <w:rPr>
                <w:w w:val="95"/>
                <w:sz w:val="20"/>
              </w:rPr>
              <w:t>A06.01.007.001,</w:t>
            </w:r>
            <w:r>
              <w:rPr>
                <w:spacing w:val="54"/>
                <w:sz w:val="20"/>
              </w:rPr>
              <w:t> </w:t>
            </w:r>
            <w:r>
              <w:rPr>
                <w:spacing w:val="-2"/>
                <w:sz w:val="20"/>
              </w:rPr>
              <w:t>A06.03.065,</w:t>
            </w:r>
          </w:p>
        </w:tc>
        <w:tc>
          <w:tcPr>
            <w:tcW w:w="2299" w:type="dxa"/>
          </w:tcPr>
          <w:p>
            <w:pPr>
              <w:pStyle w:val="TableParagraph"/>
              <w:spacing w:line="215" w:lineRule="exact" w:before="46"/>
              <w:ind w:left="282" w:right="484"/>
              <w:jc w:val="center"/>
              <w:rPr>
                <w:sz w:val="20"/>
              </w:rPr>
            </w:pPr>
            <w:r>
              <w:rPr>
                <w:sz w:val="20"/>
              </w:rPr>
              <w:t>Фракции:</w:t>
            </w:r>
            <w:r>
              <w:rPr>
                <w:spacing w:val="-13"/>
                <w:sz w:val="20"/>
              </w:rPr>
              <w:t> </w:t>
            </w:r>
            <w:r>
              <w:rPr>
                <w:sz w:val="20"/>
              </w:rPr>
              <w:t>fr21-</w:t>
            </w:r>
            <w:r>
              <w:rPr>
                <w:spacing w:val="-5"/>
                <w:sz w:val="20"/>
              </w:rPr>
              <w:t>29,</w:t>
            </w:r>
          </w:p>
        </w:tc>
        <w:tc>
          <w:tcPr>
            <w:tcW w:w="896" w:type="dxa"/>
          </w:tcPr>
          <w:p>
            <w:pPr>
              <w:pStyle w:val="TableParagraph"/>
              <w:spacing w:line="215" w:lineRule="exact" w:before="46"/>
              <w:ind w:right="42"/>
              <w:jc w:val="right"/>
              <w:rPr>
                <w:sz w:val="20"/>
              </w:rPr>
            </w:pPr>
            <w:r>
              <w:rPr>
                <w:spacing w:val="-4"/>
                <w:sz w:val="20"/>
              </w:rPr>
              <w:t>3,80</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spacing w:line="209" w:lineRule="exact"/>
              <w:ind w:left="219"/>
              <w:rPr>
                <w:sz w:val="20"/>
              </w:rPr>
            </w:pPr>
            <w:r>
              <w:rPr>
                <w:sz w:val="20"/>
              </w:rPr>
              <w:t>(уровень</w:t>
            </w:r>
            <w:r>
              <w:rPr>
                <w:spacing w:val="-10"/>
                <w:sz w:val="20"/>
              </w:rPr>
              <w:t> </w:t>
            </w:r>
            <w:r>
              <w:rPr>
                <w:spacing w:val="-5"/>
                <w:sz w:val="20"/>
              </w:rPr>
              <w:t>6)</w:t>
            </w: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299" w:type="dxa"/>
          </w:tcPr>
          <w:p>
            <w:pPr>
              <w:pStyle w:val="TableParagraph"/>
              <w:spacing w:line="209" w:lineRule="exact"/>
              <w:ind w:left="282" w:right="483"/>
              <w:jc w:val="center"/>
              <w:rPr>
                <w:sz w:val="20"/>
              </w:rPr>
            </w:pPr>
            <w:r>
              <w:rPr>
                <w:sz w:val="20"/>
              </w:rPr>
              <w:t>fr30-32,</w:t>
            </w:r>
            <w:r>
              <w:rPr>
                <w:spacing w:val="-12"/>
                <w:sz w:val="20"/>
              </w:rPr>
              <w:t> </w:t>
            </w:r>
            <w:r>
              <w:rPr>
                <w:sz w:val="20"/>
              </w:rPr>
              <w:t>fr33-</w:t>
            </w:r>
            <w:r>
              <w:rPr>
                <w:spacing w:val="-7"/>
                <w:sz w:val="20"/>
              </w:rPr>
              <w:t>99</w:t>
            </w: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6"/>
              <w:jc w:val="center"/>
              <w:rPr>
                <w:sz w:val="20"/>
              </w:rPr>
            </w:pPr>
            <w:r>
              <w:rPr>
                <w:sz w:val="20"/>
              </w:rPr>
              <w:t>A07.01.004,</w:t>
            </w:r>
            <w:r>
              <w:rPr>
                <w:spacing w:val="-9"/>
                <w:sz w:val="20"/>
              </w:rPr>
              <w:t> </w:t>
            </w:r>
            <w:r>
              <w:rPr>
                <w:spacing w:val="-2"/>
                <w:sz w:val="20"/>
              </w:rPr>
              <w:t>A07.03.002.001,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5"/>
              <w:jc w:val="center"/>
              <w:rPr>
                <w:sz w:val="20"/>
              </w:rPr>
            </w:pPr>
            <w:r>
              <w:rPr>
                <w:w w:val="95"/>
                <w:sz w:val="20"/>
              </w:rPr>
              <w:t>A07.03.002.002,</w:t>
            </w:r>
            <w:r>
              <w:rPr>
                <w:spacing w:val="56"/>
                <w:sz w:val="20"/>
              </w:rPr>
              <w:t> </w:t>
            </w:r>
            <w:r>
              <w:rPr>
                <w:spacing w:val="-2"/>
                <w:sz w:val="20"/>
              </w:rPr>
              <w:t>A07.06.002.001,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6"/>
              <w:jc w:val="center"/>
              <w:rPr>
                <w:sz w:val="20"/>
              </w:rPr>
            </w:pPr>
            <w:r>
              <w:rPr>
                <w:w w:val="95"/>
                <w:sz w:val="20"/>
              </w:rPr>
              <w:t>A07.06.002.002,</w:t>
            </w:r>
            <w:r>
              <w:rPr>
                <w:spacing w:val="54"/>
                <w:sz w:val="20"/>
              </w:rPr>
              <w:t> </w:t>
            </w:r>
            <w:r>
              <w:rPr>
                <w:spacing w:val="-2"/>
                <w:sz w:val="20"/>
              </w:rPr>
              <w:t>A07.06.004,</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5" w:right="451"/>
              <w:jc w:val="center"/>
              <w:rPr>
                <w:sz w:val="20"/>
              </w:rPr>
            </w:pPr>
            <w:r>
              <w:rPr>
                <w:w w:val="95"/>
                <w:sz w:val="20"/>
              </w:rPr>
              <w:t>A07.07.001.001,</w:t>
            </w:r>
            <w:r>
              <w:rPr>
                <w:spacing w:val="54"/>
                <w:sz w:val="20"/>
              </w:rPr>
              <w:t> </w:t>
            </w:r>
            <w:r>
              <w:rPr>
                <w:spacing w:val="-2"/>
                <w:sz w:val="20"/>
              </w:rPr>
              <w:t>A07.07.001.002,</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5" w:right="451"/>
              <w:jc w:val="center"/>
              <w:rPr>
                <w:sz w:val="20"/>
              </w:rPr>
            </w:pPr>
            <w:r>
              <w:rPr>
                <w:w w:val="95"/>
                <w:sz w:val="20"/>
              </w:rPr>
              <w:t>A07.07.003.001,</w:t>
            </w:r>
            <w:r>
              <w:rPr>
                <w:spacing w:val="54"/>
                <w:sz w:val="20"/>
              </w:rPr>
              <w:t> </w:t>
            </w:r>
            <w:r>
              <w:rPr>
                <w:spacing w:val="-2"/>
                <w:sz w:val="20"/>
              </w:rPr>
              <w:t>A07.07.003.002,</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6"/>
              <w:jc w:val="center"/>
              <w:rPr>
                <w:sz w:val="20"/>
              </w:rPr>
            </w:pPr>
            <w:r>
              <w:rPr>
                <w:sz w:val="20"/>
              </w:rPr>
              <w:t>A07.07.005,</w:t>
            </w:r>
            <w:r>
              <w:rPr>
                <w:spacing w:val="-9"/>
                <w:sz w:val="20"/>
              </w:rPr>
              <w:t> </w:t>
            </w:r>
            <w:r>
              <w:rPr>
                <w:spacing w:val="-2"/>
                <w:sz w:val="20"/>
              </w:rPr>
              <w:t>A07.08.001.001,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325" w:right="451"/>
              <w:jc w:val="center"/>
              <w:rPr>
                <w:sz w:val="20"/>
              </w:rPr>
            </w:pPr>
            <w:r>
              <w:rPr>
                <w:w w:val="95"/>
                <w:sz w:val="20"/>
              </w:rPr>
              <w:t>A07.08.001.002,</w:t>
            </w:r>
            <w:r>
              <w:rPr>
                <w:spacing w:val="54"/>
                <w:sz w:val="20"/>
              </w:rPr>
              <w:t> </w:t>
            </w:r>
            <w:r>
              <w:rPr>
                <w:spacing w:val="-2"/>
                <w:sz w:val="20"/>
              </w:rPr>
              <w:t>A07.09.001.001,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151" w:right="276"/>
              <w:jc w:val="center"/>
              <w:rPr>
                <w:sz w:val="20"/>
              </w:rPr>
            </w:pPr>
            <w:r>
              <w:rPr>
                <w:w w:val="95"/>
                <w:sz w:val="20"/>
              </w:rPr>
              <w:t>A07.09.001.002,</w:t>
            </w:r>
            <w:r>
              <w:rPr>
                <w:spacing w:val="54"/>
                <w:sz w:val="20"/>
              </w:rPr>
              <w:t> </w:t>
            </w:r>
            <w:r>
              <w:rPr>
                <w:spacing w:val="-2"/>
                <w:sz w:val="20"/>
              </w:rPr>
              <w:t>A07.09.002,</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A07.11.001.001,</w:t>
            </w:r>
            <w:r>
              <w:rPr>
                <w:spacing w:val="54"/>
                <w:sz w:val="20"/>
              </w:rPr>
              <w:t> </w:t>
            </w:r>
            <w:r>
              <w:rPr>
                <w:spacing w:val="-2"/>
                <w:sz w:val="20"/>
              </w:rPr>
              <w:t>A07.11.001.002,</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3"/>
              <w:jc w:val="center"/>
              <w:rPr>
                <w:sz w:val="20"/>
              </w:rPr>
            </w:pPr>
            <w:r>
              <w:rPr>
                <w:sz w:val="20"/>
              </w:rPr>
              <w:t>A07.12.001,</w:t>
            </w:r>
            <w:r>
              <w:rPr>
                <w:spacing w:val="-9"/>
                <w:sz w:val="20"/>
              </w:rPr>
              <w:t> </w:t>
            </w:r>
            <w:r>
              <w:rPr>
                <w:spacing w:val="-2"/>
                <w:sz w:val="20"/>
              </w:rPr>
              <w:t>A07.14.001,</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6"/>
              <w:jc w:val="center"/>
              <w:rPr>
                <w:sz w:val="20"/>
              </w:rPr>
            </w:pPr>
            <w:r>
              <w:rPr>
                <w:w w:val="95"/>
                <w:sz w:val="20"/>
              </w:rPr>
              <w:t>A07.14.001.002,</w:t>
            </w:r>
            <w:r>
              <w:rPr>
                <w:spacing w:val="54"/>
                <w:sz w:val="20"/>
              </w:rPr>
              <w:t> </w:t>
            </w:r>
            <w:r>
              <w:rPr>
                <w:spacing w:val="-2"/>
                <w:sz w:val="20"/>
              </w:rPr>
              <w:t>A07.15.001,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A07.15.001.001,</w:t>
            </w:r>
            <w:r>
              <w:rPr>
                <w:spacing w:val="54"/>
                <w:sz w:val="20"/>
              </w:rPr>
              <w:t> </w:t>
            </w:r>
            <w:r>
              <w:rPr>
                <w:spacing w:val="-2"/>
                <w:sz w:val="20"/>
              </w:rPr>
              <w:t>A07.16.001.001,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A07.16.001.002,</w:t>
            </w:r>
            <w:r>
              <w:rPr>
                <w:spacing w:val="54"/>
                <w:sz w:val="20"/>
              </w:rPr>
              <w:t> </w:t>
            </w:r>
            <w:r>
              <w:rPr>
                <w:spacing w:val="-2"/>
                <w:sz w:val="20"/>
              </w:rPr>
              <w:t>A07.18.001.001,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A07.18.001.002,</w:t>
            </w:r>
            <w:r>
              <w:rPr>
                <w:spacing w:val="54"/>
                <w:sz w:val="20"/>
              </w:rPr>
              <w:t> </w:t>
            </w:r>
            <w:r>
              <w:rPr>
                <w:spacing w:val="-2"/>
                <w:sz w:val="20"/>
              </w:rPr>
              <w:t>A07.19.001.001,</w:t>
            </w:r>
          </w:p>
        </w:tc>
        <w:tc>
          <w:tcPr>
            <w:tcW w:w="2299" w:type="dxa"/>
          </w:tcPr>
          <w:p>
            <w:pPr>
              <w:pStyle w:val="TableParagraph"/>
              <w:rPr>
                <w:sz w:val="16"/>
              </w:rPr>
            </w:pPr>
          </w:p>
        </w:tc>
        <w:tc>
          <w:tcPr>
            <w:tcW w:w="89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5" w:lineRule="exact"/>
              <w:ind w:left="1325" w:right="451"/>
              <w:jc w:val="center"/>
              <w:rPr>
                <w:sz w:val="20"/>
              </w:rPr>
            </w:pPr>
            <w:r>
              <w:rPr>
                <w:w w:val="95"/>
                <w:sz w:val="20"/>
              </w:rPr>
              <w:t>A07.19.001.002,</w:t>
            </w:r>
            <w:r>
              <w:rPr>
                <w:spacing w:val="54"/>
                <w:sz w:val="20"/>
              </w:rPr>
              <w:t> </w:t>
            </w:r>
            <w:r>
              <w:rPr>
                <w:spacing w:val="-2"/>
                <w:sz w:val="20"/>
              </w:rPr>
              <w:t>A07.20.001.001,</w:t>
            </w:r>
          </w:p>
        </w:tc>
        <w:tc>
          <w:tcPr>
            <w:tcW w:w="2299" w:type="dxa"/>
          </w:tcPr>
          <w:p>
            <w:pPr>
              <w:pStyle w:val="TableParagraph"/>
              <w:rPr>
                <w:sz w:val="16"/>
              </w:rPr>
            </w:pPr>
          </w:p>
        </w:tc>
        <w:tc>
          <w:tcPr>
            <w:tcW w:w="89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503"/>
        <w:gridCol w:w="2426"/>
        <w:gridCol w:w="4454"/>
        <w:gridCol w:w="2403"/>
        <w:gridCol w:w="907"/>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503" w:type="dxa"/>
            <w:vMerge w:val="restart"/>
          </w:tcPr>
          <w:p>
            <w:pPr>
              <w:pStyle w:val="TableParagraph"/>
              <w:rPr>
                <w:sz w:val="18"/>
              </w:rPr>
            </w:pPr>
          </w:p>
        </w:tc>
        <w:tc>
          <w:tcPr>
            <w:tcW w:w="2426" w:type="dxa"/>
            <w:vMerge w:val="restart"/>
          </w:tcPr>
          <w:p>
            <w:pPr>
              <w:pStyle w:val="TableParagraph"/>
              <w:rPr>
                <w:sz w:val="18"/>
              </w:rPr>
            </w:pPr>
          </w:p>
        </w:tc>
        <w:tc>
          <w:tcPr>
            <w:tcW w:w="4454" w:type="dxa"/>
          </w:tcPr>
          <w:p>
            <w:pPr>
              <w:pStyle w:val="TableParagraph"/>
              <w:spacing w:line="205" w:lineRule="exact"/>
              <w:ind w:left="1151" w:right="214"/>
              <w:jc w:val="center"/>
              <w:rPr>
                <w:sz w:val="20"/>
              </w:rPr>
            </w:pPr>
            <w:r>
              <w:rPr>
                <w:w w:val="95"/>
                <w:sz w:val="20"/>
              </w:rPr>
              <w:t>A07.20.001.002,</w:t>
            </w:r>
            <w:r>
              <w:rPr>
                <w:spacing w:val="54"/>
                <w:sz w:val="20"/>
              </w:rPr>
              <w:t> </w:t>
            </w:r>
            <w:r>
              <w:rPr>
                <w:spacing w:val="-2"/>
                <w:sz w:val="20"/>
              </w:rPr>
              <w:t>A07.20.003.001,</w:t>
            </w:r>
          </w:p>
        </w:tc>
        <w:tc>
          <w:tcPr>
            <w:tcW w:w="2403" w:type="dxa"/>
            <w:vMerge w:val="restart"/>
          </w:tcPr>
          <w:p>
            <w:pPr>
              <w:pStyle w:val="TableParagraph"/>
              <w:rPr>
                <w:sz w:val="18"/>
              </w:rPr>
            </w:pPr>
          </w:p>
        </w:tc>
        <w:tc>
          <w:tcPr>
            <w:tcW w:w="907"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09" w:lineRule="exact"/>
              <w:ind w:left="1152" w:right="214"/>
              <w:jc w:val="center"/>
              <w:rPr>
                <w:sz w:val="20"/>
              </w:rPr>
            </w:pPr>
            <w:r>
              <w:rPr>
                <w:w w:val="95"/>
                <w:sz w:val="20"/>
              </w:rPr>
              <w:t>A07.20.003.002,</w:t>
            </w:r>
            <w:r>
              <w:rPr>
                <w:spacing w:val="54"/>
                <w:sz w:val="20"/>
              </w:rPr>
              <w:t> </w:t>
            </w:r>
            <w:r>
              <w:rPr>
                <w:spacing w:val="-2"/>
                <w:sz w:val="20"/>
              </w:rPr>
              <w:t>A07.21.001,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09" w:lineRule="exact"/>
              <w:ind w:left="1151" w:right="214"/>
              <w:jc w:val="center"/>
              <w:rPr>
                <w:sz w:val="20"/>
              </w:rPr>
            </w:pPr>
            <w:r>
              <w:rPr>
                <w:w w:val="95"/>
                <w:sz w:val="20"/>
              </w:rPr>
              <w:t>A07.21.001.002,</w:t>
            </w:r>
            <w:r>
              <w:rPr>
                <w:spacing w:val="54"/>
                <w:sz w:val="20"/>
              </w:rPr>
              <w:t> </w:t>
            </w:r>
            <w:r>
              <w:rPr>
                <w:spacing w:val="-2"/>
                <w:sz w:val="20"/>
              </w:rPr>
              <w:t>A07.22.001.001,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0" w:lineRule="exact"/>
              <w:ind w:left="1153" w:right="214"/>
              <w:jc w:val="center"/>
              <w:rPr>
                <w:sz w:val="20"/>
              </w:rPr>
            </w:pPr>
            <w:r>
              <w:rPr>
                <w:w w:val="95"/>
                <w:sz w:val="20"/>
              </w:rPr>
              <w:t>A07.22.001.002,</w:t>
            </w:r>
            <w:r>
              <w:rPr>
                <w:spacing w:val="55"/>
                <w:sz w:val="20"/>
              </w:rPr>
              <w:t> </w:t>
            </w:r>
            <w:r>
              <w:rPr>
                <w:spacing w:val="-2"/>
                <w:sz w:val="20"/>
              </w:rPr>
              <w:t>A07.23.001,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0" w:lineRule="exact"/>
              <w:ind w:left="1152" w:right="214"/>
              <w:jc w:val="center"/>
              <w:rPr>
                <w:sz w:val="20"/>
              </w:rPr>
            </w:pPr>
            <w:r>
              <w:rPr>
                <w:w w:val="95"/>
                <w:sz w:val="20"/>
              </w:rPr>
              <w:t>A07.23.001.002,</w:t>
            </w:r>
            <w:r>
              <w:rPr>
                <w:spacing w:val="54"/>
                <w:sz w:val="20"/>
              </w:rPr>
              <w:t> </w:t>
            </w:r>
            <w:r>
              <w:rPr>
                <w:spacing w:val="-2"/>
                <w:sz w:val="20"/>
              </w:rPr>
              <w:t>A07.23.002,</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0" w:lineRule="exact"/>
              <w:ind w:left="1152" w:right="214"/>
              <w:jc w:val="center"/>
              <w:rPr>
                <w:sz w:val="20"/>
              </w:rPr>
            </w:pPr>
            <w:r>
              <w:rPr>
                <w:sz w:val="20"/>
              </w:rPr>
              <w:t>A07.26.002,</w:t>
            </w:r>
            <w:r>
              <w:rPr>
                <w:spacing w:val="-9"/>
                <w:sz w:val="20"/>
              </w:rPr>
              <w:t> </w:t>
            </w:r>
            <w:r>
              <w:rPr>
                <w:spacing w:val="-2"/>
                <w:sz w:val="20"/>
              </w:rPr>
              <w:t>A07.28.001.001,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1" w:lineRule="exact"/>
              <w:ind w:left="1152" w:right="214"/>
              <w:jc w:val="center"/>
              <w:rPr>
                <w:sz w:val="20"/>
              </w:rPr>
            </w:pPr>
            <w:r>
              <w:rPr>
                <w:w w:val="95"/>
                <w:sz w:val="20"/>
              </w:rPr>
              <w:t>A07.28.001.002,</w:t>
            </w:r>
            <w:r>
              <w:rPr>
                <w:spacing w:val="54"/>
                <w:sz w:val="20"/>
              </w:rPr>
              <w:t> </w:t>
            </w:r>
            <w:r>
              <w:rPr>
                <w:spacing w:val="-2"/>
                <w:sz w:val="20"/>
              </w:rPr>
              <w:t>A07.30.002,</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26" w:lineRule="exact"/>
              <w:ind w:left="1153" w:right="214"/>
              <w:jc w:val="center"/>
              <w:rPr>
                <w:sz w:val="20"/>
              </w:rPr>
            </w:pPr>
            <w:r>
              <w:rPr>
                <w:w w:val="95"/>
                <w:sz w:val="20"/>
              </w:rPr>
              <w:t>A07.30.025.001,</w:t>
            </w:r>
            <w:r>
              <w:rPr>
                <w:spacing w:val="54"/>
                <w:sz w:val="20"/>
              </w:rPr>
              <w:t> </w:t>
            </w:r>
            <w:r>
              <w:rPr>
                <w:spacing w:val="-2"/>
                <w:sz w:val="20"/>
              </w:rPr>
              <w:t>A07.30.025.002</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559" w:hRule="atLeast"/>
        </w:trPr>
        <w:tc>
          <w:tcPr>
            <w:tcW w:w="1003" w:type="dxa"/>
          </w:tcPr>
          <w:p>
            <w:pPr>
              <w:pStyle w:val="TableParagraph"/>
              <w:spacing w:before="45"/>
              <w:ind w:left="50"/>
              <w:rPr>
                <w:sz w:val="20"/>
              </w:rPr>
            </w:pPr>
            <w:r>
              <w:rPr>
                <w:spacing w:val="-2"/>
                <w:sz w:val="20"/>
              </w:rPr>
              <w:t>ds19.056</w:t>
            </w:r>
          </w:p>
        </w:tc>
        <w:tc>
          <w:tcPr>
            <w:tcW w:w="645" w:type="dxa"/>
          </w:tcPr>
          <w:p>
            <w:pPr>
              <w:pStyle w:val="TableParagraph"/>
              <w:spacing w:before="45"/>
              <w:ind w:right="215"/>
              <w:jc w:val="right"/>
              <w:rPr>
                <w:sz w:val="20"/>
              </w:rPr>
            </w:pPr>
            <w:r>
              <w:rPr>
                <w:spacing w:val="-5"/>
                <w:sz w:val="20"/>
              </w:rPr>
              <w:t>80</w:t>
            </w:r>
          </w:p>
        </w:tc>
        <w:tc>
          <w:tcPr>
            <w:tcW w:w="3503" w:type="dxa"/>
          </w:tcPr>
          <w:p>
            <w:pPr>
              <w:pStyle w:val="TableParagraph"/>
              <w:spacing w:before="45"/>
              <w:ind w:left="219" w:right="1855"/>
              <w:rPr>
                <w:sz w:val="20"/>
              </w:rPr>
            </w:pPr>
            <w:r>
              <w:rPr>
                <w:sz w:val="20"/>
              </w:rPr>
              <w:t>Лучевая</w:t>
            </w:r>
            <w:r>
              <w:rPr>
                <w:spacing w:val="-13"/>
                <w:sz w:val="20"/>
              </w:rPr>
              <w:t> </w:t>
            </w:r>
            <w:r>
              <w:rPr>
                <w:sz w:val="20"/>
              </w:rPr>
              <w:t>терапия (уровень 7)</w:t>
            </w:r>
          </w:p>
        </w:tc>
        <w:tc>
          <w:tcPr>
            <w:tcW w:w="2426" w:type="dxa"/>
          </w:tcPr>
          <w:p>
            <w:pPr>
              <w:pStyle w:val="TableParagraph"/>
              <w:spacing w:before="45"/>
              <w:ind w:right="1148"/>
              <w:jc w:val="right"/>
              <w:rPr>
                <w:sz w:val="20"/>
              </w:rPr>
            </w:pPr>
            <w:r>
              <w:rPr>
                <w:w w:val="99"/>
                <w:sz w:val="20"/>
              </w:rPr>
              <w:t>-</w:t>
            </w:r>
          </w:p>
        </w:tc>
        <w:tc>
          <w:tcPr>
            <w:tcW w:w="4454" w:type="dxa"/>
          </w:tcPr>
          <w:p>
            <w:pPr>
              <w:pStyle w:val="TableParagraph"/>
              <w:spacing w:before="45"/>
              <w:ind w:left="1153" w:right="211"/>
              <w:jc w:val="center"/>
              <w:rPr>
                <w:sz w:val="20"/>
              </w:rPr>
            </w:pPr>
            <w:r>
              <w:rPr>
                <w:spacing w:val="-2"/>
                <w:sz w:val="20"/>
              </w:rPr>
              <w:t>A07.30.009</w:t>
            </w:r>
          </w:p>
        </w:tc>
        <w:tc>
          <w:tcPr>
            <w:tcW w:w="2403" w:type="dxa"/>
          </w:tcPr>
          <w:p>
            <w:pPr>
              <w:pStyle w:val="TableParagraph"/>
              <w:spacing w:before="45"/>
              <w:ind w:left="460" w:right="530" w:hanging="111"/>
              <w:rPr>
                <w:sz w:val="20"/>
              </w:rPr>
            </w:pPr>
            <w:r>
              <w:rPr>
                <w:sz w:val="20"/>
              </w:rPr>
              <w:t>Фракции:</w:t>
            </w:r>
            <w:r>
              <w:rPr>
                <w:spacing w:val="-13"/>
                <w:sz w:val="20"/>
              </w:rPr>
              <w:t> </w:t>
            </w:r>
            <w:r>
              <w:rPr>
                <w:sz w:val="20"/>
              </w:rPr>
              <w:t>fr21-29, fr30-32, fr33-99</w:t>
            </w:r>
          </w:p>
        </w:tc>
        <w:tc>
          <w:tcPr>
            <w:tcW w:w="907" w:type="dxa"/>
          </w:tcPr>
          <w:p>
            <w:pPr>
              <w:pStyle w:val="TableParagraph"/>
              <w:spacing w:before="45"/>
              <w:ind w:right="94"/>
              <w:jc w:val="right"/>
              <w:rPr>
                <w:sz w:val="20"/>
              </w:rPr>
            </w:pPr>
            <w:r>
              <w:rPr>
                <w:spacing w:val="-4"/>
                <w:sz w:val="20"/>
              </w:rPr>
              <w:t>4,70</w:t>
            </w:r>
          </w:p>
        </w:tc>
      </w:tr>
      <w:tr>
        <w:trPr>
          <w:trHeight w:val="560" w:hRule="atLeast"/>
        </w:trPr>
        <w:tc>
          <w:tcPr>
            <w:tcW w:w="1003" w:type="dxa"/>
          </w:tcPr>
          <w:p>
            <w:pPr>
              <w:pStyle w:val="TableParagraph"/>
              <w:spacing w:before="45"/>
              <w:ind w:left="50"/>
              <w:rPr>
                <w:sz w:val="20"/>
              </w:rPr>
            </w:pPr>
            <w:r>
              <w:rPr>
                <w:spacing w:val="-2"/>
                <w:sz w:val="20"/>
              </w:rPr>
              <w:t>ds19.057</w:t>
            </w:r>
          </w:p>
        </w:tc>
        <w:tc>
          <w:tcPr>
            <w:tcW w:w="645" w:type="dxa"/>
          </w:tcPr>
          <w:p>
            <w:pPr>
              <w:pStyle w:val="TableParagraph"/>
              <w:spacing w:before="45"/>
              <w:ind w:right="215"/>
              <w:jc w:val="right"/>
              <w:rPr>
                <w:sz w:val="20"/>
              </w:rPr>
            </w:pPr>
            <w:r>
              <w:rPr>
                <w:spacing w:val="-5"/>
                <w:sz w:val="20"/>
              </w:rPr>
              <w:t>81</w:t>
            </w:r>
          </w:p>
        </w:tc>
        <w:tc>
          <w:tcPr>
            <w:tcW w:w="3503" w:type="dxa"/>
          </w:tcPr>
          <w:p>
            <w:pPr>
              <w:pStyle w:val="TableParagraph"/>
              <w:spacing w:before="45"/>
              <w:ind w:left="219" w:right="1855"/>
              <w:rPr>
                <w:sz w:val="20"/>
              </w:rPr>
            </w:pPr>
            <w:r>
              <w:rPr>
                <w:sz w:val="20"/>
              </w:rPr>
              <w:t>Лучевая</w:t>
            </w:r>
            <w:r>
              <w:rPr>
                <w:spacing w:val="-13"/>
                <w:sz w:val="20"/>
              </w:rPr>
              <w:t> </w:t>
            </w:r>
            <w:r>
              <w:rPr>
                <w:sz w:val="20"/>
              </w:rPr>
              <w:t>терапия (уровень 8)</w:t>
            </w:r>
          </w:p>
        </w:tc>
        <w:tc>
          <w:tcPr>
            <w:tcW w:w="2426" w:type="dxa"/>
          </w:tcPr>
          <w:p>
            <w:pPr>
              <w:pStyle w:val="TableParagraph"/>
              <w:spacing w:before="45"/>
              <w:ind w:right="1148"/>
              <w:jc w:val="right"/>
              <w:rPr>
                <w:sz w:val="20"/>
              </w:rPr>
            </w:pPr>
            <w:r>
              <w:rPr>
                <w:w w:val="99"/>
                <w:sz w:val="20"/>
              </w:rPr>
              <w:t>-</w:t>
            </w:r>
          </w:p>
        </w:tc>
        <w:tc>
          <w:tcPr>
            <w:tcW w:w="4454" w:type="dxa"/>
          </w:tcPr>
          <w:p>
            <w:pPr>
              <w:pStyle w:val="TableParagraph"/>
              <w:spacing w:before="45"/>
              <w:ind w:left="1151" w:right="214"/>
              <w:jc w:val="center"/>
              <w:rPr>
                <w:sz w:val="20"/>
              </w:rPr>
            </w:pPr>
            <w:r>
              <w:rPr>
                <w:w w:val="95"/>
                <w:sz w:val="20"/>
              </w:rPr>
              <w:t>A07.30.003.002,</w:t>
            </w:r>
            <w:r>
              <w:rPr>
                <w:spacing w:val="54"/>
                <w:sz w:val="20"/>
              </w:rPr>
              <w:t> </w:t>
            </w:r>
            <w:r>
              <w:rPr>
                <w:spacing w:val="-2"/>
                <w:sz w:val="20"/>
              </w:rPr>
              <w:t>A07.30.012</w:t>
            </w:r>
          </w:p>
        </w:tc>
        <w:tc>
          <w:tcPr>
            <w:tcW w:w="2403" w:type="dxa"/>
          </w:tcPr>
          <w:p>
            <w:pPr>
              <w:pStyle w:val="TableParagraph"/>
              <w:spacing w:before="45"/>
              <w:ind w:right="180"/>
              <w:jc w:val="center"/>
              <w:rPr>
                <w:sz w:val="20"/>
              </w:rPr>
            </w:pPr>
            <w:r>
              <w:rPr>
                <w:w w:val="99"/>
                <w:sz w:val="20"/>
              </w:rPr>
              <w:t>-</w:t>
            </w:r>
          </w:p>
        </w:tc>
        <w:tc>
          <w:tcPr>
            <w:tcW w:w="907" w:type="dxa"/>
          </w:tcPr>
          <w:p>
            <w:pPr>
              <w:pStyle w:val="TableParagraph"/>
              <w:spacing w:before="45"/>
              <w:ind w:right="43"/>
              <w:jc w:val="right"/>
              <w:rPr>
                <w:sz w:val="20"/>
              </w:rPr>
            </w:pPr>
            <w:r>
              <w:rPr>
                <w:spacing w:val="-2"/>
                <w:sz w:val="20"/>
              </w:rPr>
              <w:t>26,65</w:t>
            </w:r>
          </w:p>
        </w:tc>
      </w:tr>
      <w:tr>
        <w:trPr>
          <w:trHeight w:val="280" w:hRule="atLeast"/>
        </w:trPr>
        <w:tc>
          <w:tcPr>
            <w:tcW w:w="1003" w:type="dxa"/>
          </w:tcPr>
          <w:p>
            <w:pPr>
              <w:pStyle w:val="TableParagraph"/>
              <w:spacing w:line="215" w:lineRule="exact" w:before="46"/>
              <w:ind w:left="50"/>
              <w:rPr>
                <w:sz w:val="20"/>
              </w:rPr>
            </w:pPr>
            <w:r>
              <w:rPr>
                <w:spacing w:val="-2"/>
                <w:sz w:val="20"/>
              </w:rPr>
              <w:t>ds19.058</w:t>
            </w:r>
          </w:p>
        </w:tc>
        <w:tc>
          <w:tcPr>
            <w:tcW w:w="645" w:type="dxa"/>
          </w:tcPr>
          <w:p>
            <w:pPr>
              <w:pStyle w:val="TableParagraph"/>
              <w:spacing w:line="215" w:lineRule="exact" w:before="46"/>
              <w:ind w:right="215"/>
              <w:jc w:val="right"/>
              <w:rPr>
                <w:sz w:val="20"/>
              </w:rPr>
            </w:pPr>
            <w:r>
              <w:rPr>
                <w:spacing w:val="-5"/>
                <w:sz w:val="20"/>
              </w:rPr>
              <w:t>82</w:t>
            </w:r>
          </w:p>
        </w:tc>
        <w:tc>
          <w:tcPr>
            <w:tcW w:w="3503" w:type="dxa"/>
          </w:tcPr>
          <w:p>
            <w:pPr>
              <w:pStyle w:val="TableParagraph"/>
              <w:spacing w:line="215" w:lineRule="exact" w:before="46"/>
              <w:ind w:left="219"/>
              <w:rPr>
                <w:sz w:val="20"/>
              </w:rPr>
            </w:pPr>
            <w:r>
              <w:rPr>
                <w:sz w:val="20"/>
              </w:rPr>
              <w:t>Лучевая</w:t>
            </w:r>
            <w:r>
              <w:rPr>
                <w:spacing w:val="-9"/>
                <w:sz w:val="20"/>
              </w:rPr>
              <w:t> </w:t>
            </w:r>
            <w:r>
              <w:rPr>
                <w:sz w:val="20"/>
              </w:rPr>
              <w:t>терапия</w:t>
            </w:r>
            <w:r>
              <w:rPr>
                <w:spacing w:val="-9"/>
                <w:sz w:val="20"/>
              </w:rPr>
              <w:t> </w:t>
            </w:r>
            <w:r>
              <w:rPr>
                <w:spacing w:val="-10"/>
                <w:sz w:val="20"/>
              </w:rPr>
              <w:t>в</w:t>
            </w:r>
          </w:p>
        </w:tc>
        <w:tc>
          <w:tcPr>
            <w:tcW w:w="2426" w:type="dxa"/>
          </w:tcPr>
          <w:p>
            <w:pPr>
              <w:pStyle w:val="TableParagraph"/>
              <w:spacing w:line="215" w:lineRule="exact" w:before="46"/>
              <w:ind w:right="1148"/>
              <w:jc w:val="right"/>
              <w:rPr>
                <w:sz w:val="20"/>
              </w:rPr>
            </w:pPr>
            <w:r>
              <w:rPr>
                <w:w w:val="99"/>
                <w:sz w:val="20"/>
              </w:rPr>
              <w:t>-</w:t>
            </w:r>
          </w:p>
        </w:tc>
        <w:tc>
          <w:tcPr>
            <w:tcW w:w="4454" w:type="dxa"/>
          </w:tcPr>
          <w:p>
            <w:pPr>
              <w:pStyle w:val="TableParagraph"/>
              <w:spacing w:line="215" w:lineRule="exact" w:before="46"/>
              <w:ind w:left="1152" w:right="214"/>
              <w:jc w:val="center"/>
              <w:rPr>
                <w:sz w:val="20"/>
              </w:rPr>
            </w:pPr>
            <w:r>
              <w:rPr>
                <w:w w:val="95"/>
                <w:sz w:val="20"/>
              </w:rPr>
              <w:t>A06.01.007.001,</w:t>
            </w:r>
            <w:r>
              <w:rPr>
                <w:spacing w:val="54"/>
                <w:sz w:val="20"/>
              </w:rPr>
              <w:t> </w:t>
            </w:r>
            <w:r>
              <w:rPr>
                <w:spacing w:val="-2"/>
                <w:sz w:val="20"/>
              </w:rPr>
              <w:t>A06.03.065,</w:t>
            </w:r>
          </w:p>
        </w:tc>
        <w:tc>
          <w:tcPr>
            <w:tcW w:w="2403" w:type="dxa"/>
          </w:tcPr>
          <w:p>
            <w:pPr>
              <w:pStyle w:val="TableParagraph"/>
              <w:spacing w:line="215" w:lineRule="exact" w:before="46"/>
              <w:ind w:left="211" w:right="390"/>
              <w:jc w:val="center"/>
              <w:rPr>
                <w:sz w:val="20"/>
              </w:rPr>
            </w:pPr>
            <w:r>
              <w:rPr>
                <w:spacing w:val="-4"/>
                <w:sz w:val="20"/>
              </w:rPr>
              <w:t>Иной</w:t>
            </w:r>
          </w:p>
        </w:tc>
        <w:tc>
          <w:tcPr>
            <w:tcW w:w="907" w:type="dxa"/>
          </w:tcPr>
          <w:p>
            <w:pPr>
              <w:pStyle w:val="TableParagraph"/>
              <w:spacing w:line="215" w:lineRule="exact" w:before="46"/>
              <w:ind w:right="94"/>
              <w:jc w:val="right"/>
              <w:rPr>
                <w:sz w:val="20"/>
              </w:rPr>
            </w:pPr>
            <w:r>
              <w:rPr>
                <w:spacing w:val="-4"/>
                <w:sz w:val="20"/>
              </w:rPr>
              <w:t>4,09</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09" w:lineRule="exact"/>
              <w:ind w:left="219"/>
              <w:rPr>
                <w:sz w:val="20"/>
              </w:rPr>
            </w:pPr>
            <w:r>
              <w:rPr>
                <w:sz w:val="20"/>
              </w:rPr>
              <w:t>сочетании</w:t>
            </w:r>
            <w:r>
              <w:rPr>
                <w:spacing w:val="-9"/>
                <w:sz w:val="20"/>
              </w:rPr>
              <w:t> </w:t>
            </w:r>
            <w:r>
              <w:rPr>
                <w:spacing w:val="-10"/>
                <w:sz w:val="20"/>
              </w:rPr>
              <w:t>с</w:t>
            </w:r>
          </w:p>
        </w:tc>
        <w:tc>
          <w:tcPr>
            <w:tcW w:w="2426" w:type="dxa"/>
          </w:tcPr>
          <w:p>
            <w:pPr>
              <w:pStyle w:val="TableParagraph"/>
              <w:rPr>
                <w:sz w:val="16"/>
              </w:rPr>
            </w:pPr>
          </w:p>
        </w:tc>
        <w:tc>
          <w:tcPr>
            <w:tcW w:w="4454" w:type="dxa"/>
          </w:tcPr>
          <w:p>
            <w:pPr>
              <w:pStyle w:val="TableParagraph"/>
              <w:spacing w:line="209" w:lineRule="exact"/>
              <w:ind w:left="1150" w:right="214"/>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403" w:type="dxa"/>
          </w:tcPr>
          <w:p>
            <w:pPr>
              <w:pStyle w:val="TableParagraph"/>
              <w:spacing w:line="209" w:lineRule="exact"/>
              <w:ind w:left="211" w:right="388"/>
              <w:jc w:val="center"/>
              <w:rPr>
                <w:sz w:val="20"/>
              </w:rPr>
            </w:pPr>
            <w:r>
              <w:rPr>
                <w:spacing w:val="-2"/>
                <w:sz w:val="20"/>
              </w:rPr>
              <w:t>классификационный</w:t>
            </w: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09" w:lineRule="exact"/>
              <w:ind w:left="219"/>
              <w:rPr>
                <w:sz w:val="20"/>
              </w:rPr>
            </w:pPr>
            <w:r>
              <w:rPr>
                <w:w w:val="95"/>
                <w:sz w:val="20"/>
              </w:rPr>
              <w:t>лекарственной</w:t>
            </w:r>
            <w:r>
              <w:rPr>
                <w:spacing w:val="50"/>
                <w:sz w:val="20"/>
              </w:rPr>
              <w:t> </w:t>
            </w:r>
            <w:r>
              <w:rPr>
                <w:spacing w:val="-2"/>
                <w:sz w:val="20"/>
              </w:rPr>
              <w:t>терапией</w:t>
            </w:r>
          </w:p>
        </w:tc>
        <w:tc>
          <w:tcPr>
            <w:tcW w:w="2426" w:type="dxa"/>
          </w:tcPr>
          <w:p>
            <w:pPr>
              <w:pStyle w:val="TableParagraph"/>
              <w:rPr>
                <w:sz w:val="16"/>
              </w:rPr>
            </w:pPr>
          </w:p>
        </w:tc>
        <w:tc>
          <w:tcPr>
            <w:tcW w:w="4454" w:type="dxa"/>
          </w:tcPr>
          <w:p>
            <w:pPr>
              <w:pStyle w:val="TableParagraph"/>
              <w:spacing w:line="209" w:lineRule="exact"/>
              <w:ind w:left="1153" w:right="213"/>
              <w:jc w:val="center"/>
              <w:rPr>
                <w:sz w:val="20"/>
              </w:rPr>
            </w:pPr>
            <w:r>
              <w:rPr>
                <w:sz w:val="20"/>
              </w:rPr>
              <w:t>A06.11.003,</w:t>
            </w:r>
            <w:r>
              <w:rPr>
                <w:spacing w:val="-8"/>
                <w:sz w:val="20"/>
              </w:rPr>
              <w:t> </w:t>
            </w:r>
            <w:r>
              <w:rPr>
                <w:sz w:val="20"/>
              </w:rPr>
              <w:t>A06.20.007,</w:t>
            </w:r>
            <w:r>
              <w:rPr>
                <w:spacing w:val="-8"/>
                <w:sz w:val="20"/>
              </w:rPr>
              <w:t> </w:t>
            </w:r>
            <w:r>
              <w:rPr>
                <w:spacing w:val="-2"/>
                <w:sz w:val="20"/>
              </w:rPr>
              <w:t>A06.23.005,</w:t>
            </w:r>
          </w:p>
        </w:tc>
        <w:tc>
          <w:tcPr>
            <w:tcW w:w="2403" w:type="dxa"/>
          </w:tcPr>
          <w:p>
            <w:pPr>
              <w:pStyle w:val="TableParagraph"/>
              <w:spacing w:line="209" w:lineRule="exact"/>
              <w:ind w:left="211" w:right="389"/>
              <w:jc w:val="center"/>
              <w:rPr>
                <w:sz w:val="20"/>
              </w:rPr>
            </w:pPr>
            <w:r>
              <w:rPr>
                <w:sz w:val="20"/>
              </w:rPr>
              <w:t>критерий:</w:t>
            </w:r>
            <w:r>
              <w:rPr>
                <w:spacing w:val="-9"/>
                <w:sz w:val="20"/>
              </w:rPr>
              <w:t> </w:t>
            </w:r>
            <w:r>
              <w:rPr>
                <w:spacing w:val="-2"/>
                <w:sz w:val="20"/>
              </w:rPr>
              <w:t>mt001,</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sz w:val="20"/>
              </w:rPr>
              <w:t>(уровень</w:t>
            </w:r>
            <w:r>
              <w:rPr>
                <w:spacing w:val="-11"/>
                <w:sz w:val="20"/>
              </w:rPr>
              <w:t> </w:t>
            </w:r>
            <w:r>
              <w:rPr>
                <w:spacing w:val="-5"/>
                <w:sz w:val="20"/>
              </w:rPr>
              <w:t>1)</w:t>
            </w: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sz w:val="20"/>
              </w:rPr>
              <w:t>A07.01.004,</w:t>
            </w:r>
            <w:r>
              <w:rPr>
                <w:spacing w:val="-9"/>
                <w:sz w:val="20"/>
              </w:rPr>
              <w:t> </w:t>
            </w:r>
            <w:r>
              <w:rPr>
                <w:spacing w:val="-2"/>
                <w:sz w:val="20"/>
              </w:rPr>
              <w:t>A07.03.002.001,</w:t>
            </w:r>
          </w:p>
        </w:tc>
        <w:tc>
          <w:tcPr>
            <w:tcW w:w="2403" w:type="dxa"/>
          </w:tcPr>
          <w:p>
            <w:pPr>
              <w:pStyle w:val="TableParagraph"/>
              <w:spacing w:line="210" w:lineRule="exact"/>
              <w:ind w:left="211" w:right="391"/>
              <w:jc w:val="center"/>
              <w:rPr>
                <w:sz w:val="20"/>
              </w:rPr>
            </w:pPr>
            <w:r>
              <w:rPr>
                <w:sz w:val="20"/>
              </w:rPr>
              <w:t>mt002,</w:t>
            </w:r>
            <w:r>
              <w:rPr>
                <w:spacing w:val="-6"/>
                <w:sz w:val="20"/>
              </w:rPr>
              <w:t> </w:t>
            </w:r>
            <w:r>
              <w:rPr>
                <w:sz w:val="20"/>
              </w:rPr>
              <w:t>mt003,</w:t>
            </w:r>
            <w:r>
              <w:rPr>
                <w:spacing w:val="-6"/>
                <w:sz w:val="20"/>
              </w:rPr>
              <w:t> </w:t>
            </w:r>
            <w:r>
              <w:rPr>
                <w:spacing w:val="-2"/>
                <w:sz w:val="20"/>
              </w:rPr>
              <w:t>mt004,</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1" w:right="214"/>
              <w:jc w:val="center"/>
              <w:rPr>
                <w:sz w:val="20"/>
              </w:rPr>
            </w:pPr>
            <w:r>
              <w:rPr>
                <w:w w:val="95"/>
                <w:sz w:val="20"/>
              </w:rPr>
              <w:t>A07.03.002.002,</w:t>
            </w:r>
            <w:r>
              <w:rPr>
                <w:spacing w:val="54"/>
                <w:sz w:val="20"/>
              </w:rPr>
              <w:t> </w:t>
            </w:r>
            <w:r>
              <w:rPr>
                <w:spacing w:val="-2"/>
                <w:sz w:val="20"/>
              </w:rPr>
              <w:t>A07.06.002.001,</w:t>
            </w:r>
          </w:p>
        </w:tc>
        <w:tc>
          <w:tcPr>
            <w:tcW w:w="2403" w:type="dxa"/>
          </w:tcPr>
          <w:p>
            <w:pPr>
              <w:pStyle w:val="TableParagraph"/>
              <w:spacing w:line="211" w:lineRule="exact"/>
              <w:ind w:left="211" w:right="391"/>
              <w:jc w:val="center"/>
              <w:rPr>
                <w:sz w:val="20"/>
              </w:rPr>
            </w:pPr>
            <w:r>
              <w:rPr>
                <w:sz w:val="20"/>
              </w:rPr>
              <w:t>mt005,</w:t>
            </w:r>
            <w:r>
              <w:rPr>
                <w:spacing w:val="-6"/>
                <w:sz w:val="20"/>
              </w:rPr>
              <w:t> </w:t>
            </w:r>
            <w:r>
              <w:rPr>
                <w:sz w:val="20"/>
              </w:rPr>
              <w:t>mt006,</w:t>
            </w:r>
            <w:r>
              <w:rPr>
                <w:spacing w:val="-6"/>
                <w:sz w:val="20"/>
              </w:rPr>
              <w:t> </w:t>
            </w:r>
            <w:r>
              <w:rPr>
                <w:spacing w:val="-2"/>
                <w:sz w:val="20"/>
              </w:rPr>
              <w:t>mt010,</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2" w:right="214"/>
              <w:jc w:val="center"/>
              <w:rPr>
                <w:sz w:val="20"/>
              </w:rPr>
            </w:pPr>
            <w:r>
              <w:rPr>
                <w:w w:val="95"/>
                <w:sz w:val="20"/>
              </w:rPr>
              <w:t>A07.06.002.002,</w:t>
            </w:r>
            <w:r>
              <w:rPr>
                <w:spacing w:val="54"/>
                <w:sz w:val="20"/>
              </w:rPr>
              <w:t> </w:t>
            </w:r>
            <w:r>
              <w:rPr>
                <w:spacing w:val="-2"/>
                <w:sz w:val="20"/>
              </w:rPr>
              <w:t>A07.06.004,</w:t>
            </w:r>
          </w:p>
        </w:tc>
        <w:tc>
          <w:tcPr>
            <w:tcW w:w="2403" w:type="dxa"/>
          </w:tcPr>
          <w:p>
            <w:pPr>
              <w:pStyle w:val="TableParagraph"/>
              <w:spacing w:line="211" w:lineRule="exact"/>
              <w:ind w:left="211" w:right="391"/>
              <w:jc w:val="center"/>
              <w:rPr>
                <w:sz w:val="20"/>
              </w:rPr>
            </w:pPr>
            <w:r>
              <w:rPr>
                <w:sz w:val="20"/>
              </w:rPr>
              <w:t>mt012,</w:t>
            </w:r>
            <w:r>
              <w:rPr>
                <w:spacing w:val="-6"/>
                <w:sz w:val="20"/>
              </w:rPr>
              <w:t> </w:t>
            </w:r>
            <w:r>
              <w:rPr>
                <w:sz w:val="20"/>
              </w:rPr>
              <w:t>mt013,</w:t>
            </w:r>
            <w:r>
              <w:rPr>
                <w:spacing w:val="-6"/>
                <w:sz w:val="20"/>
              </w:rPr>
              <w:t> </w:t>
            </w:r>
            <w:r>
              <w:rPr>
                <w:spacing w:val="-2"/>
                <w:sz w:val="20"/>
              </w:rPr>
              <w:t>mt015,</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A07.07.001.001,</w:t>
            </w:r>
            <w:r>
              <w:rPr>
                <w:spacing w:val="54"/>
                <w:sz w:val="20"/>
              </w:rPr>
              <w:t> </w:t>
            </w:r>
            <w:r>
              <w:rPr>
                <w:spacing w:val="-2"/>
                <w:sz w:val="20"/>
              </w:rPr>
              <w:t>A07.07.001.002,</w:t>
            </w:r>
          </w:p>
        </w:tc>
        <w:tc>
          <w:tcPr>
            <w:tcW w:w="2403" w:type="dxa"/>
          </w:tcPr>
          <w:p>
            <w:pPr>
              <w:pStyle w:val="TableParagraph"/>
              <w:spacing w:line="210" w:lineRule="exact"/>
              <w:ind w:left="211" w:right="391"/>
              <w:jc w:val="center"/>
              <w:rPr>
                <w:sz w:val="20"/>
              </w:rPr>
            </w:pPr>
            <w:r>
              <w:rPr>
                <w:sz w:val="20"/>
              </w:rPr>
              <w:t>mt016,</w:t>
            </w:r>
            <w:r>
              <w:rPr>
                <w:spacing w:val="-6"/>
                <w:sz w:val="20"/>
              </w:rPr>
              <w:t> </w:t>
            </w:r>
            <w:r>
              <w:rPr>
                <w:sz w:val="20"/>
              </w:rPr>
              <w:t>mt017,</w:t>
            </w:r>
            <w:r>
              <w:rPr>
                <w:spacing w:val="-6"/>
                <w:sz w:val="20"/>
              </w:rPr>
              <w:t> </w:t>
            </w:r>
            <w:r>
              <w:rPr>
                <w:spacing w:val="-2"/>
                <w:sz w:val="20"/>
              </w:rPr>
              <w:t>mt018,</w:t>
            </w: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1" w:right="214"/>
              <w:jc w:val="center"/>
              <w:rPr>
                <w:sz w:val="20"/>
              </w:rPr>
            </w:pPr>
            <w:r>
              <w:rPr>
                <w:w w:val="95"/>
                <w:sz w:val="20"/>
              </w:rPr>
              <w:t>A07.07.003.001,</w:t>
            </w:r>
            <w:r>
              <w:rPr>
                <w:spacing w:val="54"/>
                <w:sz w:val="20"/>
              </w:rPr>
              <w:t> </w:t>
            </w:r>
            <w:r>
              <w:rPr>
                <w:spacing w:val="-2"/>
                <w:sz w:val="20"/>
              </w:rPr>
              <w:t>A07.07.003.002,</w:t>
            </w:r>
          </w:p>
        </w:tc>
        <w:tc>
          <w:tcPr>
            <w:tcW w:w="2403" w:type="dxa"/>
          </w:tcPr>
          <w:p>
            <w:pPr>
              <w:pStyle w:val="TableParagraph"/>
              <w:spacing w:line="209" w:lineRule="exact"/>
              <w:ind w:left="211" w:right="391"/>
              <w:jc w:val="center"/>
              <w:rPr>
                <w:sz w:val="20"/>
              </w:rPr>
            </w:pPr>
            <w:r>
              <w:rPr>
                <w:sz w:val="20"/>
              </w:rPr>
              <w:t>mt019,</w:t>
            </w:r>
            <w:r>
              <w:rPr>
                <w:spacing w:val="-6"/>
                <w:sz w:val="20"/>
              </w:rPr>
              <w:t> </w:t>
            </w:r>
            <w:r>
              <w:rPr>
                <w:sz w:val="20"/>
              </w:rPr>
              <w:t>mt020,</w:t>
            </w:r>
            <w:r>
              <w:rPr>
                <w:spacing w:val="-6"/>
                <w:sz w:val="20"/>
              </w:rPr>
              <w:t> </w:t>
            </w:r>
            <w:r>
              <w:rPr>
                <w:spacing w:val="-2"/>
                <w:sz w:val="20"/>
              </w:rPr>
              <w:t>mt023,</w:t>
            </w: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2" w:right="214"/>
              <w:jc w:val="center"/>
              <w:rPr>
                <w:sz w:val="20"/>
              </w:rPr>
            </w:pPr>
            <w:r>
              <w:rPr>
                <w:sz w:val="20"/>
              </w:rPr>
              <w:t>A07.07.005,</w:t>
            </w:r>
            <w:r>
              <w:rPr>
                <w:spacing w:val="-9"/>
                <w:sz w:val="20"/>
              </w:rPr>
              <w:t> </w:t>
            </w:r>
            <w:r>
              <w:rPr>
                <w:spacing w:val="-2"/>
                <w:sz w:val="20"/>
              </w:rPr>
              <w:t>A07.08.001.001,</w:t>
            </w:r>
          </w:p>
        </w:tc>
        <w:tc>
          <w:tcPr>
            <w:tcW w:w="2403" w:type="dxa"/>
          </w:tcPr>
          <w:p>
            <w:pPr>
              <w:pStyle w:val="TableParagraph"/>
              <w:spacing w:line="209" w:lineRule="exact"/>
              <w:ind w:left="211" w:right="390"/>
              <w:jc w:val="center"/>
              <w:rPr>
                <w:sz w:val="20"/>
              </w:rPr>
            </w:pPr>
            <w:r>
              <w:rPr>
                <w:spacing w:val="-2"/>
                <w:sz w:val="20"/>
              </w:rPr>
              <w:t>mt024</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A07.08.001.002,</w:t>
            </w:r>
            <w:r>
              <w:rPr>
                <w:spacing w:val="54"/>
                <w:sz w:val="20"/>
              </w:rPr>
              <w:t> </w:t>
            </w:r>
            <w:r>
              <w:rPr>
                <w:spacing w:val="-2"/>
                <w:sz w:val="20"/>
              </w:rPr>
              <w:t>A07.09.001.001,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w w:val="95"/>
                <w:sz w:val="20"/>
              </w:rPr>
              <w:t>A07.09.001.002,</w:t>
            </w:r>
            <w:r>
              <w:rPr>
                <w:spacing w:val="54"/>
                <w:sz w:val="20"/>
              </w:rPr>
              <w:t> </w:t>
            </w:r>
            <w:r>
              <w:rPr>
                <w:spacing w:val="-2"/>
                <w:sz w:val="20"/>
              </w:rPr>
              <w:t>A07.09.002,</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A07.11.001.001,</w:t>
            </w:r>
            <w:r>
              <w:rPr>
                <w:spacing w:val="54"/>
                <w:sz w:val="20"/>
              </w:rPr>
              <w:t> </w:t>
            </w:r>
            <w:r>
              <w:rPr>
                <w:spacing w:val="-2"/>
                <w:sz w:val="20"/>
              </w:rPr>
              <w:t>A07.11.001.002,</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3" w:right="212"/>
              <w:jc w:val="center"/>
              <w:rPr>
                <w:sz w:val="20"/>
              </w:rPr>
            </w:pPr>
            <w:r>
              <w:rPr>
                <w:sz w:val="20"/>
              </w:rPr>
              <w:t>A07.12.001,</w:t>
            </w:r>
            <w:r>
              <w:rPr>
                <w:spacing w:val="-9"/>
                <w:sz w:val="20"/>
              </w:rPr>
              <w:t> </w:t>
            </w:r>
            <w:r>
              <w:rPr>
                <w:spacing w:val="-2"/>
                <w:sz w:val="20"/>
              </w:rPr>
              <w:t>A07.14.001,</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2" w:right="214"/>
              <w:jc w:val="center"/>
              <w:rPr>
                <w:sz w:val="20"/>
              </w:rPr>
            </w:pPr>
            <w:r>
              <w:rPr>
                <w:w w:val="95"/>
                <w:sz w:val="20"/>
              </w:rPr>
              <w:t>A07.14.001.002,</w:t>
            </w:r>
            <w:r>
              <w:rPr>
                <w:spacing w:val="54"/>
                <w:sz w:val="20"/>
              </w:rPr>
              <w:t> </w:t>
            </w:r>
            <w:r>
              <w:rPr>
                <w:spacing w:val="-2"/>
                <w:sz w:val="20"/>
              </w:rPr>
              <w:t>A07.15.001,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A07.15.001.001,</w:t>
            </w:r>
            <w:r>
              <w:rPr>
                <w:spacing w:val="54"/>
                <w:sz w:val="20"/>
              </w:rPr>
              <w:t> </w:t>
            </w:r>
            <w:r>
              <w:rPr>
                <w:spacing w:val="-2"/>
                <w:sz w:val="20"/>
              </w:rPr>
              <w:t>A07.16.001.001,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1" w:right="214"/>
              <w:jc w:val="center"/>
              <w:rPr>
                <w:sz w:val="20"/>
              </w:rPr>
            </w:pPr>
            <w:r>
              <w:rPr>
                <w:w w:val="95"/>
                <w:sz w:val="20"/>
              </w:rPr>
              <w:t>A07.16.001.002,</w:t>
            </w:r>
            <w:r>
              <w:rPr>
                <w:spacing w:val="54"/>
                <w:sz w:val="20"/>
              </w:rPr>
              <w:t> </w:t>
            </w:r>
            <w:r>
              <w:rPr>
                <w:spacing w:val="-2"/>
                <w:sz w:val="20"/>
              </w:rPr>
              <w:t>A07.18.001.001,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1" w:right="214"/>
              <w:jc w:val="center"/>
              <w:rPr>
                <w:sz w:val="20"/>
              </w:rPr>
            </w:pPr>
            <w:r>
              <w:rPr>
                <w:w w:val="95"/>
                <w:sz w:val="20"/>
              </w:rPr>
              <w:t>A07.18.001.002,</w:t>
            </w:r>
            <w:r>
              <w:rPr>
                <w:spacing w:val="54"/>
                <w:sz w:val="20"/>
              </w:rPr>
              <w:t> </w:t>
            </w:r>
            <w:r>
              <w:rPr>
                <w:spacing w:val="-2"/>
                <w:sz w:val="20"/>
              </w:rPr>
              <w:t>A07.19.001.001,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A07.19.001.002,</w:t>
            </w:r>
            <w:r>
              <w:rPr>
                <w:spacing w:val="54"/>
                <w:sz w:val="20"/>
              </w:rPr>
              <w:t> </w:t>
            </w:r>
            <w:r>
              <w:rPr>
                <w:spacing w:val="-2"/>
                <w:sz w:val="20"/>
              </w:rPr>
              <w:t>A07.20.001.001,</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1" w:right="214"/>
              <w:jc w:val="center"/>
              <w:rPr>
                <w:sz w:val="20"/>
              </w:rPr>
            </w:pPr>
            <w:r>
              <w:rPr>
                <w:w w:val="95"/>
                <w:sz w:val="20"/>
              </w:rPr>
              <w:t>A07.20.001.002,</w:t>
            </w:r>
            <w:r>
              <w:rPr>
                <w:spacing w:val="54"/>
                <w:sz w:val="20"/>
              </w:rPr>
              <w:t> </w:t>
            </w:r>
            <w:r>
              <w:rPr>
                <w:spacing w:val="-2"/>
                <w:sz w:val="20"/>
              </w:rPr>
              <w:t>A07.20.003.001,</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3" w:right="213"/>
              <w:jc w:val="center"/>
              <w:rPr>
                <w:sz w:val="20"/>
              </w:rPr>
            </w:pPr>
            <w:r>
              <w:rPr>
                <w:w w:val="95"/>
                <w:sz w:val="20"/>
              </w:rPr>
              <w:t>A07.20.003.002,</w:t>
            </w:r>
            <w:r>
              <w:rPr>
                <w:spacing w:val="56"/>
                <w:sz w:val="20"/>
              </w:rPr>
              <w:t> </w:t>
            </w:r>
            <w:r>
              <w:rPr>
                <w:spacing w:val="-2"/>
                <w:sz w:val="20"/>
              </w:rPr>
              <w:t>A07.21.001,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A07.21.001.002,</w:t>
            </w:r>
            <w:r>
              <w:rPr>
                <w:spacing w:val="54"/>
                <w:sz w:val="20"/>
              </w:rPr>
              <w:t> </w:t>
            </w:r>
            <w:r>
              <w:rPr>
                <w:spacing w:val="-2"/>
                <w:sz w:val="20"/>
              </w:rPr>
              <w:t>A07.22.001.001,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w w:val="95"/>
                <w:sz w:val="20"/>
              </w:rPr>
              <w:t>A07.22.001.002,</w:t>
            </w:r>
            <w:r>
              <w:rPr>
                <w:spacing w:val="54"/>
                <w:sz w:val="20"/>
              </w:rPr>
              <w:t> </w:t>
            </w:r>
            <w:r>
              <w:rPr>
                <w:spacing w:val="-2"/>
                <w:sz w:val="20"/>
              </w:rPr>
              <w:t>A07.23.001,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w w:val="95"/>
                <w:sz w:val="20"/>
              </w:rPr>
              <w:t>A07.23.001.002,</w:t>
            </w:r>
            <w:r>
              <w:rPr>
                <w:spacing w:val="54"/>
                <w:sz w:val="20"/>
              </w:rPr>
              <w:t> </w:t>
            </w:r>
            <w:r>
              <w:rPr>
                <w:spacing w:val="-2"/>
                <w:sz w:val="20"/>
              </w:rPr>
              <w:t>A07.23.002,</w:t>
            </w:r>
          </w:p>
        </w:tc>
        <w:tc>
          <w:tcPr>
            <w:tcW w:w="2403" w:type="dxa"/>
          </w:tcPr>
          <w:p>
            <w:pPr>
              <w:pStyle w:val="TableParagraph"/>
              <w:rPr>
                <w:sz w:val="16"/>
              </w:rPr>
            </w:pPr>
          </w:p>
        </w:tc>
        <w:tc>
          <w:tcPr>
            <w:tcW w:w="90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5" w:lineRule="exact"/>
              <w:ind w:left="1152" w:right="214"/>
              <w:jc w:val="center"/>
              <w:rPr>
                <w:sz w:val="20"/>
              </w:rPr>
            </w:pPr>
            <w:r>
              <w:rPr>
                <w:sz w:val="20"/>
              </w:rPr>
              <w:t>A07.26.002,</w:t>
            </w:r>
            <w:r>
              <w:rPr>
                <w:spacing w:val="-9"/>
                <w:sz w:val="20"/>
              </w:rPr>
              <w:t> </w:t>
            </w:r>
            <w:r>
              <w:rPr>
                <w:spacing w:val="-2"/>
                <w:sz w:val="20"/>
              </w:rPr>
              <w:t>A07.28.001.001,</w:t>
            </w:r>
          </w:p>
        </w:tc>
        <w:tc>
          <w:tcPr>
            <w:tcW w:w="2403" w:type="dxa"/>
          </w:tcPr>
          <w:p>
            <w:pPr>
              <w:pStyle w:val="TableParagraph"/>
              <w:rPr>
                <w:sz w:val="16"/>
              </w:rPr>
            </w:pPr>
          </w:p>
        </w:tc>
        <w:tc>
          <w:tcPr>
            <w:tcW w:w="90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503"/>
        <w:gridCol w:w="2426"/>
        <w:gridCol w:w="4453"/>
        <w:gridCol w:w="2405"/>
        <w:gridCol w:w="906"/>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503" w:type="dxa"/>
          </w:tcPr>
          <w:p>
            <w:pPr>
              <w:pStyle w:val="TableParagraph"/>
              <w:rPr>
                <w:sz w:val="18"/>
              </w:rPr>
            </w:pPr>
          </w:p>
        </w:tc>
        <w:tc>
          <w:tcPr>
            <w:tcW w:w="2426" w:type="dxa"/>
          </w:tcPr>
          <w:p>
            <w:pPr>
              <w:pStyle w:val="TableParagraph"/>
              <w:rPr>
                <w:sz w:val="18"/>
              </w:rPr>
            </w:pPr>
          </w:p>
        </w:tc>
        <w:tc>
          <w:tcPr>
            <w:tcW w:w="4453" w:type="dxa"/>
          </w:tcPr>
          <w:p>
            <w:pPr>
              <w:pStyle w:val="TableParagraph"/>
              <w:ind w:left="1354" w:right="403" w:firstLine="148"/>
              <w:rPr>
                <w:sz w:val="20"/>
              </w:rPr>
            </w:pPr>
            <w:r>
              <w:rPr>
                <w:sz w:val="20"/>
              </w:rPr>
              <w:t>A07.28.001.002, A07.30.002, A07.30.025.001,</w:t>
            </w:r>
            <w:r>
              <w:rPr>
                <w:spacing w:val="-13"/>
                <w:sz w:val="20"/>
              </w:rPr>
              <w:t> </w:t>
            </w:r>
            <w:r>
              <w:rPr>
                <w:sz w:val="20"/>
              </w:rPr>
              <w:t>A07.30.025.002</w:t>
            </w:r>
          </w:p>
        </w:tc>
        <w:tc>
          <w:tcPr>
            <w:tcW w:w="2405" w:type="dxa"/>
          </w:tcPr>
          <w:p>
            <w:pPr>
              <w:pStyle w:val="TableParagraph"/>
              <w:rPr>
                <w:sz w:val="18"/>
              </w:rPr>
            </w:pPr>
          </w:p>
        </w:tc>
        <w:tc>
          <w:tcPr>
            <w:tcW w:w="906" w:type="dxa"/>
          </w:tcPr>
          <w:p>
            <w:pPr>
              <w:pStyle w:val="TableParagraph"/>
              <w:rPr>
                <w:sz w:val="18"/>
              </w:rPr>
            </w:pPr>
          </w:p>
        </w:tc>
      </w:tr>
      <w:tr>
        <w:trPr>
          <w:trHeight w:val="2170" w:hRule="atLeast"/>
        </w:trPr>
        <w:tc>
          <w:tcPr>
            <w:tcW w:w="1003" w:type="dxa"/>
          </w:tcPr>
          <w:p>
            <w:pPr>
              <w:pStyle w:val="TableParagraph"/>
              <w:spacing w:before="45"/>
              <w:ind w:left="50"/>
              <w:rPr>
                <w:sz w:val="20"/>
              </w:rPr>
            </w:pPr>
            <w:r>
              <w:rPr>
                <w:spacing w:val="-2"/>
                <w:sz w:val="20"/>
              </w:rPr>
              <w:t>ds19.060</w:t>
            </w:r>
          </w:p>
        </w:tc>
        <w:tc>
          <w:tcPr>
            <w:tcW w:w="645" w:type="dxa"/>
          </w:tcPr>
          <w:p>
            <w:pPr>
              <w:pStyle w:val="TableParagraph"/>
              <w:spacing w:before="45"/>
              <w:ind w:right="215"/>
              <w:jc w:val="right"/>
              <w:rPr>
                <w:sz w:val="20"/>
              </w:rPr>
            </w:pPr>
            <w:r>
              <w:rPr>
                <w:spacing w:val="-5"/>
                <w:sz w:val="20"/>
              </w:rPr>
              <w:t>83</w:t>
            </w:r>
          </w:p>
        </w:tc>
        <w:tc>
          <w:tcPr>
            <w:tcW w:w="3503" w:type="dxa"/>
          </w:tcPr>
          <w:p>
            <w:pPr>
              <w:pStyle w:val="TableParagraph"/>
              <w:spacing w:before="45"/>
              <w:ind w:left="219" w:right="1197"/>
              <w:rPr>
                <w:sz w:val="20"/>
              </w:rPr>
            </w:pPr>
            <w:r>
              <w:rPr>
                <w:sz w:val="20"/>
              </w:rPr>
              <w:t>Лучевая терапия в сочетании с лекарственной</w:t>
            </w:r>
            <w:r>
              <w:rPr>
                <w:spacing w:val="-13"/>
                <w:sz w:val="20"/>
              </w:rPr>
              <w:t> </w:t>
            </w:r>
            <w:r>
              <w:rPr>
                <w:sz w:val="20"/>
              </w:rPr>
              <w:t>терапией (уровень 3)</w:t>
            </w:r>
          </w:p>
        </w:tc>
        <w:tc>
          <w:tcPr>
            <w:tcW w:w="2426" w:type="dxa"/>
          </w:tcPr>
          <w:p>
            <w:pPr>
              <w:pStyle w:val="TableParagraph"/>
              <w:spacing w:before="45"/>
              <w:ind w:right="1148"/>
              <w:jc w:val="right"/>
              <w:rPr>
                <w:sz w:val="20"/>
              </w:rPr>
            </w:pPr>
            <w:r>
              <w:rPr>
                <w:w w:val="99"/>
                <w:sz w:val="20"/>
              </w:rPr>
              <w:t>-</w:t>
            </w:r>
          </w:p>
        </w:tc>
        <w:tc>
          <w:tcPr>
            <w:tcW w:w="4453" w:type="dxa"/>
          </w:tcPr>
          <w:p>
            <w:pPr>
              <w:pStyle w:val="TableParagraph"/>
              <w:spacing w:before="45"/>
              <w:ind w:left="1153" w:right="215"/>
              <w:jc w:val="center"/>
              <w:rPr>
                <w:sz w:val="20"/>
              </w:rPr>
            </w:pPr>
            <w:r>
              <w:rPr>
                <w:sz w:val="20"/>
              </w:rPr>
              <w:t>A07.30.009,</w:t>
            </w:r>
            <w:r>
              <w:rPr>
                <w:spacing w:val="-9"/>
                <w:sz w:val="20"/>
              </w:rPr>
              <w:t> </w:t>
            </w:r>
            <w:r>
              <w:rPr>
                <w:spacing w:val="-2"/>
                <w:sz w:val="20"/>
              </w:rPr>
              <w:t>A07.30.009.001</w:t>
            </w:r>
          </w:p>
        </w:tc>
        <w:tc>
          <w:tcPr>
            <w:tcW w:w="2405" w:type="dxa"/>
          </w:tcPr>
          <w:p>
            <w:pPr>
              <w:pStyle w:val="TableParagraph"/>
              <w:spacing w:before="45"/>
              <w:ind w:left="221" w:right="399" w:hanging="2"/>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tc>
        <w:tc>
          <w:tcPr>
            <w:tcW w:w="906" w:type="dxa"/>
          </w:tcPr>
          <w:p>
            <w:pPr>
              <w:pStyle w:val="TableParagraph"/>
              <w:spacing w:before="45"/>
              <w:ind w:right="94"/>
              <w:jc w:val="right"/>
              <w:rPr>
                <w:sz w:val="20"/>
              </w:rPr>
            </w:pPr>
            <w:r>
              <w:rPr>
                <w:spacing w:val="-4"/>
                <w:sz w:val="20"/>
              </w:rPr>
              <w:t>4,96</w:t>
            </w:r>
          </w:p>
        </w:tc>
      </w:tr>
      <w:tr>
        <w:trPr>
          <w:trHeight w:val="279" w:hRule="atLeast"/>
        </w:trPr>
        <w:tc>
          <w:tcPr>
            <w:tcW w:w="1003" w:type="dxa"/>
          </w:tcPr>
          <w:p>
            <w:pPr>
              <w:pStyle w:val="TableParagraph"/>
              <w:spacing w:line="215" w:lineRule="exact" w:before="45"/>
              <w:ind w:left="50"/>
              <w:rPr>
                <w:sz w:val="20"/>
              </w:rPr>
            </w:pPr>
            <w:r>
              <w:rPr>
                <w:spacing w:val="-2"/>
                <w:sz w:val="20"/>
              </w:rPr>
              <w:t>ds19.061</w:t>
            </w:r>
          </w:p>
        </w:tc>
        <w:tc>
          <w:tcPr>
            <w:tcW w:w="645" w:type="dxa"/>
          </w:tcPr>
          <w:p>
            <w:pPr>
              <w:pStyle w:val="TableParagraph"/>
              <w:spacing w:line="215" w:lineRule="exact" w:before="45"/>
              <w:ind w:right="215"/>
              <w:jc w:val="right"/>
              <w:rPr>
                <w:sz w:val="20"/>
              </w:rPr>
            </w:pPr>
            <w:r>
              <w:rPr>
                <w:spacing w:val="-5"/>
                <w:sz w:val="20"/>
              </w:rPr>
              <w:t>84</w:t>
            </w:r>
          </w:p>
        </w:tc>
        <w:tc>
          <w:tcPr>
            <w:tcW w:w="3503" w:type="dxa"/>
          </w:tcPr>
          <w:p>
            <w:pPr>
              <w:pStyle w:val="TableParagraph"/>
              <w:spacing w:line="215" w:lineRule="exact" w:before="45"/>
              <w:ind w:left="219"/>
              <w:rPr>
                <w:sz w:val="20"/>
              </w:rPr>
            </w:pPr>
            <w:r>
              <w:rPr>
                <w:sz w:val="20"/>
              </w:rPr>
              <w:t>Лучевая</w:t>
            </w:r>
            <w:r>
              <w:rPr>
                <w:spacing w:val="-9"/>
                <w:sz w:val="20"/>
              </w:rPr>
              <w:t> </w:t>
            </w:r>
            <w:r>
              <w:rPr>
                <w:sz w:val="20"/>
              </w:rPr>
              <w:t>терапия</w:t>
            </w:r>
            <w:r>
              <w:rPr>
                <w:spacing w:val="-9"/>
                <w:sz w:val="20"/>
              </w:rPr>
              <w:t> </w:t>
            </w:r>
            <w:r>
              <w:rPr>
                <w:spacing w:val="-10"/>
                <w:sz w:val="20"/>
              </w:rPr>
              <w:t>в</w:t>
            </w:r>
          </w:p>
        </w:tc>
        <w:tc>
          <w:tcPr>
            <w:tcW w:w="2426" w:type="dxa"/>
          </w:tcPr>
          <w:p>
            <w:pPr>
              <w:pStyle w:val="TableParagraph"/>
              <w:spacing w:line="215" w:lineRule="exact" w:before="45"/>
              <w:ind w:right="1148"/>
              <w:jc w:val="right"/>
              <w:rPr>
                <w:sz w:val="20"/>
              </w:rPr>
            </w:pPr>
            <w:r>
              <w:rPr>
                <w:w w:val="99"/>
                <w:sz w:val="20"/>
              </w:rPr>
              <w:t>-</w:t>
            </w:r>
          </w:p>
        </w:tc>
        <w:tc>
          <w:tcPr>
            <w:tcW w:w="4453" w:type="dxa"/>
          </w:tcPr>
          <w:p>
            <w:pPr>
              <w:pStyle w:val="TableParagraph"/>
              <w:spacing w:line="215" w:lineRule="exact" w:before="45"/>
              <w:ind w:left="1153" w:right="214"/>
              <w:jc w:val="center"/>
              <w:rPr>
                <w:sz w:val="20"/>
              </w:rPr>
            </w:pPr>
            <w:r>
              <w:rPr>
                <w:w w:val="95"/>
                <w:sz w:val="20"/>
              </w:rPr>
              <w:t>A06.01.007.001,</w:t>
            </w:r>
            <w:r>
              <w:rPr>
                <w:spacing w:val="54"/>
                <w:sz w:val="20"/>
              </w:rPr>
              <w:t> </w:t>
            </w:r>
            <w:r>
              <w:rPr>
                <w:spacing w:val="-2"/>
                <w:sz w:val="20"/>
              </w:rPr>
              <w:t>A06.03.065,</w:t>
            </w:r>
          </w:p>
        </w:tc>
        <w:tc>
          <w:tcPr>
            <w:tcW w:w="2405" w:type="dxa"/>
          </w:tcPr>
          <w:p>
            <w:pPr>
              <w:pStyle w:val="TableParagraph"/>
              <w:spacing w:line="215" w:lineRule="exact" w:before="45"/>
              <w:ind w:left="227" w:right="406"/>
              <w:jc w:val="center"/>
              <w:rPr>
                <w:sz w:val="20"/>
              </w:rPr>
            </w:pPr>
            <w:r>
              <w:rPr>
                <w:spacing w:val="-4"/>
                <w:sz w:val="20"/>
              </w:rPr>
              <w:t>Иной</w:t>
            </w:r>
          </w:p>
        </w:tc>
        <w:tc>
          <w:tcPr>
            <w:tcW w:w="906" w:type="dxa"/>
          </w:tcPr>
          <w:p>
            <w:pPr>
              <w:pStyle w:val="TableParagraph"/>
              <w:spacing w:line="215" w:lineRule="exact" w:before="45"/>
              <w:ind w:right="43"/>
              <w:jc w:val="right"/>
              <w:rPr>
                <w:sz w:val="20"/>
              </w:rPr>
            </w:pPr>
            <w:r>
              <w:rPr>
                <w:spacing w:val="-2"/>
                <w:sz w:val="20"/>
              </w:rPr>
              <w:t>13,27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sz w:val="20"/>
              </w:rPr>
              <w:t>сочетании</w:t>
            </w:r>
            <w:r>
              <w:rPr>
                <w:spacing w:val="-9"/>
                <w:sz w:val="20"/>
              </w:rPr>
              <w:t> </w:t>
            </w:r>
            <w:r>
              <w:rPr>
                <w:spacing w:val="-10"/>
                <w:sz w:val="20"/>
              </w:rPr>
              <w:t>с</w:t>
            </w:r>
          </w:p>
        </w:tc>
        <w:tc>
          <w:tcPr>
            <w:tcW w:w="2426" w:type="dxa"/>
          </w:tcPr>
          <w:p>
            <w:pPr>
              <w:pStyle w:val="TableParagraph"/>
              <w:rPr>
                <w:sz w:val="16"/>
              </w:rPr>
            </w:pPr>
          </w:p>
        </w:tc>
        <w:tc>
          <w:tcPr>
            <w:tcW w:w="4453" w:type="dxa"/>
          </w:tcPr>
          <w:p>
            <w:pPr>
              <w:pStyle w:val="TableParagraph"/>
              <w:spacing w:line="210" w:lineRule="exact"/>
              <w:ind w:left="1153" w:right="216"/>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405" w:type="dxa"/>
          </w:tcPr>
          <w:p>
            <w:pPr>
              <w:pStyle w:val="TableParagraph"/>
              <w:spacing w:line="210" w:lineRule="exact"/>
              <w:ind w:left="229" w:right="406"/>
              <w:jc w:val="center"/>
              <w:rPr>
                <w:sz w:val="20"/>
              </w:rPr>
            </w:pPr>
            <w:r>
              <w:rPr>
                <w:spacing w:val="-2"/>
                <w:sz w:val="20"/>
              </w:rPr>
              <w:t>классификационный</w:t>
            </w: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w w:val="95"/>
                <w:sz w:val="20"/>
              </w:rPr>
              <w:t>лекарственной</w:t>
            </w:r>
            <w:r>
              <w:rPr>
                <w:spacing w:val="50"/>
                <w:sz w:val="20"/>
              </w:rPr>
              <w:t> </w:t>
            </w:r>
            <w:r>
              <w:rPr>
                <w:spacing w:val="-2"/>
                <w:sz w:val="20"/>
              </w:rPr>
              <w:t>терапией</w:t>
            </w: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A06.11.003,</w:t>
            </w:r>
            <w:r>
              <w:rPr>
                <w:spacing w:val="-8"/>
                <w:sz w:val="20"/>
              </w:rPr>
              <w:t> </w:t>
            </w:r>
            <w:r>
              <w:rPr>
                <w:sz w:val="20"/>
              </w:rPr>
              <w:t>A06.20.007,</w:t>
            </w:r>
            <w:r>
              <w:rPr>
                <w:spacing w:val="-9"/>
                <w:sz w:val="20"/>
              </w:rPr>
              <w:t> </w:t>
            </w:r>
            <w:r>
              <w:rPr>
                <w:spacing w:val="-2"/>
                <w:sz w:val="20"/>
              </w:rPr>
              <w:t>A06.23.005,</w:t>
            </w:r>
          </w:p>
        </w:tc>
        <w:tc>
          <w:tcPr>
            <w:tcW w:w="2405" w:type="dxa"/>
          </w:tcPr>
          <w:p>
            <w:pPr>
              <w:pStyle w:val="TableParagraph"/>
              <w:spacing w:line="210" w:lineRule="exact"/>
              <w:ind w:left="228" w:right="406"/>
              <w:jc w:val="center"/>
              <w:rPr>
                <w:sz w:val="20"/>
              </w:rPr>
            </w:pPr>
            <w:r>
              <w:rPr>
                <w:sz w:val="20"/>
              </w:rPr>
              <w:t>критерий:</w:t>
            </w:r>
            <w:r>
              <w:rPr>
                <w:spacing w:val="-9"/>
                <w:sz w:val="20"/>
              </w:rPr>
              <w:t> </w:t>
            </w:r>
            <w:r>
              <w:rPr>
                <w:spacing w:val="-2"/>
                <w:sz w:val="20"/>
              </w:rPr>
              <w:t>mt008,</w:t>
            </w: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sz w:val="20"/>
              </w:rPr>
              <w:t>(уровень</w:t>
            </w:r>
            <w:r>
              <w:rPr>
                <w:spacing w:val="-11"/>
                <w:sz w:val="20"/>
              </w:rPr>
              <w:t> </w:t>
            </w:r>
            <w:r>
              <w:rPr>
                <w:spacing w:val="-5"/>
                <w:sz w:val="20"/>
              </w:rPr>
              <w:t>4)</w:t>
            </w: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A07.01.004,</w:t>
            </w:r>
            <w:r>
              <w:rPr>
                <w:spacing w:val="-9"/>
                <w:sz w:val="20"/>
              </w:rPr>
              <w:t> </w:t>
            </w:r>
            <w:r>
              <w:rPr>
                <w:spacing w:val="-2"/>
                <w:sz w:val="20"/>
              </w:rPr>
              <w:t>A07.03.002.001,</w:t>
            </w:r>
          </w:p>
        </w:tc>
        <w:tc>
          <w:tcPr>
            <w:tcW w:w="2405" w:type="dxa"/>
          </w:tcPr>
          <w:p>
            <w:pPr>
              <w:pStyle w:val="TableParagraph"/>
              <w:spacing w:line="210" w:lineRule="exact"/>
              <w:ind w:left="223" w:right="406"/>
              <w:jc w:val="center"/>
              <w:rPr>
                <w:sz w:val="20"/>
              </w:rPr>
            </w:pPr>
            <w:r>
              <w:rPr>
                <w:sz w:val="20"/>
              </w:rPr>
              <w:t>mt014,</w:t>
            </w:r>
            <w:r>
              <w:rPr>
                <w:spacing w:val="-6"/>
                <w:sz w:val="20"/>
              </w:rPr>
              <w:t> </w:t>
            </w:r>
            <w:r>
              <w:rPr>
                <w:sz w:val="20"/>
              </w:rPr>
              <w:t>mt021,</w:t>
            </w:r>
            <w:r>
              <w:rPr>
                <w:spacing w:val="-6"/>
                <w:sz w:val="20"/>
              </w:rPr>
              <w:t> </w:t>
            </w:r>
            <w:r>
              <w:rPr>
                <w:spacing w:val="-4"/>
                <w:sz w:val="20"/>
              </w:rPr>
              <w:t>mt022</w:t>
            </w: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A07.03.002.002,</w:t>
            </w:r>
            <w:r>
              <w:rPr>
                <w:spacing w:val="54"/>
                <w:sz w:val="20"/>
              </w:rPr>
              <w:t> </w:t>
            </w:r>
            <w:r>
              <w:rPr>
                <w:spacing w:val="-2"/>
                <w:sz w:val="20"/>
              </w:rPr>
              <w:t>A07.06.002.001,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4"/>
              <w:jc w:val="center"/>
              <w:rPr>
                <w:sz w:val="20"/>
              </w:rPr>
            </w:pPr>
            <w:r>
              <w:rPr>
                <w:w w:val="95"/>
                <w:sz w:val="20"/>
              </w:rPr>
              <w:t>A07.06.002.002,</w:t>
            </w:r>
            <w:r>
              <w:rPr>
                <w:spacing w:val="54"/>
                <w:sz w:val="20"/>
              </w:rPr>
              <w:t> </w:t>
            </w:r>
            <w:r>
              <w:rPr>
                <w:spacing w:val="-2"/>
                <w:sz w:val="20"/>
              </w:rPr>
              <w:t>A07.06.004,</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1" w:lineRule="exact"/>
              <w:ind w:left="1153" w:right="215"/>
              <w:jc w:val="center"/>
              <w:rPr>
                <w:sz w:val="20"/>
              </w:rPr>
            </w:pPr>
            <w:r>
              <w:rPr>
                <w:w w:val="95"/>
                <w:sz w:val="20"/>
              </w:rPr>
              <w:t>A07.07.001.001,</w:t>
            </w:r>
            <w:r>
              <w:rPr>
                <w:spacing w:val="54"/>
                <w:sz w:val="20"/>
              </w:rPr>
              <w:t> </w:t>
            </w:r>
            <w:r>
              <w:rPr>
                <w:spacing w:val="-2"/>
                <w:sz w:val="20"/>
              </w:rPr>
              <w:t>A07.07.001.002,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A07.07.003.001,</w:t>
            </w:r>
            <w:r>
              <w:rPr>
                <w:spacing w:val="54"/>
                <w:sz w:val="20"/>
              </w:rPr>
              <w:t> </w:t>
            </w:r>
            <w:r>
              <w:rPr>
                <w:spacing w:val="-2"/>
                <w:sz w:val="20"/>
              </w:rPr>
              <w:t>A07.07.003.002,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A07.07.005,</w:t>
            </w:r>
            <w:r>
              <w:rPr>
                <w:spacing w:val="-9"/>
                <w:sz w:val="20"/>
              </w:rPr>
              <w:t> </w:t>
            </w:r>
            <w:r>
              <w:rPr>
                <w:spacing w:val="-2"/>
                <w:sz w:val="20"/>
              </w:rPr>
              <w:t>A07.08.001.001,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A07.08.001.002,</w:t>
            </w:r>
            <w:r>
              <w:rPr>
                <w:spacing w:val="54"/>
                <w:sz w:val="20"/>
              </w:rPr>
              <w:t> </w:t>
            </w:r>
            <w:r>
              <w:rPr>
                <w:spacing w:val="-2"/>
                <w:sz w:val="20"/>
              </w:rPr>
              <w:t>A07.09.001.001,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0"/>
              <w:jc w:val="center"/>
              <w:rPr>
                <w:sz w:val="20"/>
              </w:rPr>
            </w:pPr>
            <w:r>
              <w:rPr>
                <w:w w:val="95"/>
                <w:sz w:val="20"/>
              </w:rPr>
              <w:t>A07.09.001.002,</w:t>
            </w:r>
            <w:r>
              <w:rPr>
                <w:spacing w:val="54"/>
                <w:sz w:val="20"/>
              </w:rPr>
              <w:t> </w:t>
            </w:r>
            <w:r>
              <w:rPr>
                <w:spacing w:val="-2"/>
                <w:sz w:val="20"/>
              </w:rPr>
              <w:t>A07.09.002,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A07.11.001.001,</w:t>
            </w:r>
            <w:r>
              <w:rPr>
                <w:spacing w:val="54"/>
                <w:sz w:val="20"/>
              </w:rPr>
              <w:t> </w:t>
            </w:r>
            <w:r>
              <w:rPr>
                <w:spacing w:val="-2"/>
                <w:sz w:val="20"/>
              </w:rPr>
              <w:t>A07.11.001.002,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1"/>
              <w:jc w:val="center"/>
              <w:rPr>
                <w:sz w:val="20"/>
              </w:rPr>
            </w:pPr>
            <w:r>
              <w:rPr>
                <w:sz w:val="20"/>
              </w:rPr>
              <w:t>A07.12.001,</w:t>
            </w:r>
            <w:r>
              <w:rPr>
                <w:spacing w:val="-9"/>
                <w:sz w:val="20"/>
              </w:rPr>
              <w:t> </w:t>
            </w:r>
            <w:r>
              <w:rPr>
                <w:spacing w:val="-2"/>
                <w:sz w:val="20"/>
              </w:rPr>
              <w:t>A07.14.001,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w w:val="95"/>
                <w:sz w:val="20"/>
              </w:rPr>
              <w:t>A07.14.001.002,</w:t>
            </w:r>
            <w:r>
              <w:rPr>
                <w:spacing w:val="54"/>
                <w:sz w:val="20"/>
              </w:rPr>
              <w:t> </w:t>
            </w:r>
            <w:r>
              <w:rPr>
                <w:spacing w:val="-2"/>
                <w:sz w:val="20"/>
              </w:rPr>
              <w:t>A07.15.001,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A07.15.001.001,</w:t>
            </w:r>
            <w:r>
              <w:rPr>
                <w:spacing w:val="54"/>
                <w:sz w:val="20"/>
              </w:rPr>
              <w:t> </w:t>
            </w:r>
            <w:r>
              <w:rPr>
                <w:spacing w:val="-2"/>
                <w:sz w:val="20"/>
              </w:rPr>
              <w:t>A07.16.001.001,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A07.16.001.002,</w:t>
            </w:r>
            <w:r>
              <w:rPr>
                <w:spacing w:val="54"/>
                <w:sz w:val="20"/>
              </w:rPr>
              <w:t> </w:t>
            </w:r>
            <w:r>
              <w:rPr>
                <w:spacing w:val="-2"/>
                <w:sz w:val="20"/>
              </w:rPr>
              <w:t>A07.18.001.001,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A07.18.001.002,</w:t>
            </w:r>
            <w:r>
              <w:rPr>
                <w:spacing w:val="54"/>
                <w:sz w:val="20"/>
              </w:rPr>
              <w:t> </w:t>
            </w:r>
            <w:r>
              <w:rPr>
                <w:spacing w:val="-2"/>
                <w:sz w:val="20"/>
              </w:rPr>
              <w:t>A07.19.001.001,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1" w:lineRule="exact"/>
              <w:ind w:left="1153" w:right="215"/>
              <w:jc w:val="center"/>
              <w:rPr>
                <w:sz w:val="20"/>
              </w:rPr>
            </w:pPr>
            <w:r>
              <w:rPr>
                <w:w w:val="95"/>
                <w:sz w:val="20"/>
              </w:rPr>
              <w:t>A07.19.001.002,</w:t>
            </w:r>
            <w:r>
              <w:rPr>
                <w:spacing w:val="54"/>
                <w:sz w:val="20"/>
              </w:rPr>
              <w:t> </w:t>
            </w:r>
            <w:r>
              <w:rPr>
                <w:spacing w:val="-2"/>
                <w:sz w:val="20"/>
              </w:rPr>
              <w:t>A07.20.001.001,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A07.20.001.002,</w:t>
            </w:r>
            <w:r>
              <w:rPr>
                <w:spacing w:val="54"/>
                <w:sz w:val="20"/>
              </w:rPr>
              <w:t> </w:t>
            </w:r>
            <w:r>
              <w:rPr>
                <w:spacing w:val="-2"/>
                <w:sz w:val="20"/>
              </w:rPr>
              <w:t>A07.20.003.001,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3"/>
              <w:jc w:val="center"/>
              <w:rPr>
                <w:sz w:val="20"/>
              </w:rPr>
            </w:pPr>
            <w:r>
              <w:rPr>
                <w:w w:val="95"/>
                <w:sz w:val="20"/>
              </w:rPr>
              <w:t>A07.20.003.002,</w:t>
            </w:r>
            <w:r>
              <w:rPr>
                <w:spacing w:val="54"/>
                <w:sz w:val="20"/>
              </w:rPr>
              <w:t> </w:t>
            </w:r>
            <w:r>
              <w:rPr>
                <w:spacing w:val="-2"/>
                <w:sz w:val="20"/>
              </w:rPr>
              <w:t>A07.21.001,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A07.21.001.002,</w:t>
            </w:r>
            <w:r>
              <w:rPr>
                <w:spacing w:val="54"/>
                <w:sz w:val="20"/>
              </w:rPr>
              <w:t> </w:t>
            </w:r>
            <w:r>
              <w:rPr>
                <w:spacing w:val="-2"/>
                <w:sz w:val="20"/>
              </w:rPr>
              <w:t>A07.22.001.001,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4"/>
              <w:jc w:val="center"/>
              <w:rPr>
                <w:sz w:val="20"/>
              </w:rPr>
            </w:pPr>
            <w:r>
              <w:rPr>
                <w:w w:val="95"/>
                <w:sz w:val="20"/>
              </w:rPr>
              <w:t>A07.22.001.002,</w:t>
            </w:r>
            <w:r>
              <w:rPr>
                <w:spacing w:val="54"/>
                <w:sz w:val="20"/>
              </w:rPr>
              <w:t> </w:t>
            </w:r>
            <w:r>
              <w:rPr>
                <w:spacing w:val="-2"/>
                <w:sz w:val="20"/>
              </w:rPr>
              <w:t>A07.23.001,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4"/>
              <w:jc w:val="center"/>
              <w:rPr>
                <w:sz w:val="20"/>
              </w:rPr>
            </w:pPr>
            <w:r>
              <w:rPr>
                <w:w w:val="95"/>
                <w:sz w:val="20"/>
              </w:rPr>
              <w:t>A07.23.001.002,</w:t>
            </w:r>
            <w:r>
              <w:rPr>
                <w:spacing w:val="54"/>
                <w:sz w:val="20"/>
              </w:rPr>
              <w:t> </w:t>
            </w:r>
            <w:r>
              <w:rPr>
                <w:spacing w:val="-2"/>
                <w:sz w:val="20"/>
              </w:rPr>
              <w:t>A07.23.002,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A07.26.002,</w:t>
            </w:r>
            <w:r>
              <w:rPr>
                <w:spacing w:val="-9"/>
                <w:sz w:val="20"/>
              </w:rPr>
              <w:t> </w:t>
            </w:r>
            <w:r>
              <w:rPr>
                <w:spacing w:val="-2"/>
                <w:sz w:val="20"/>
              </w:rPr>
              <w:t>A07.28.001.001,</w:t>
            </w:r>
          </w:p>
        </w:tc>
        <w:tc>
          <w:tcPr>
            <w:tcW w:w="2405" w:type="dxa"/>
          </w:tcPr>
          <w:p>
            <w:pPr>
              <w:pStyle w:val="TableParagraph"/>
              <w:rPr>
                <w:sz w:val="16"/>
              </w:rPr>
            </w:pPr>
          </w:p>
        </w:tc>
        <w:tc>
          <w:tcPr>
            <w:tcW w:w="90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5" w:lineRule="exact"/>
              <w:ind w:left="1153" w:right="214"/>
              <w:jc w:val="center"/>
              <w:rPr>
                <w:sz w:val="20"/>
              </w:rPr>
            </w:pPr>
            <w:r>
              <w:rPr>
                <w:w w:val="95"/>
                <w:sz w:val="20"/>
              </w:rPr>
              <w:t>A07.28.001.002,</w:t>
            </w:r>
            <w:r>
              <w:rPr>
                <w:spacing w:val="54"/>
                <w:sz w:val="20"/>
              </w:rPr>
              <w:t> </w:t>
            </w:r>
            <w:r>
              <w:rPr>
                <w:spacing w:val="-2"/>
                <w:sz w:val="20"/>
              </w:rPr>
              <w:t>A07.30.002,</w:t>
            </w:r>
          </w:p>
        </w:tc>
        <w:tc>
          <w:tcPr>
            <w:tcW w:w="2405" w:type="dxa"/>
          </w:tcPr>
          <w:p>
            <w:pPr>
              <w:pStyle w:val="TableParagraph"/>
              <w:rPr>
                <w:sz w:val="16"/>
              </w:rPr>
            </w:pPr>
          </w:p>
        </w:tc>
        <w:tc>
          <w:tcPr>
            <w:tcW w:w="90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43"/>
        <w:gridCol w:w="3167"/>
        <w:gridCol w:w="4030"/>
        <w:gridCol w:w="2491"/>
        <w:gridCol w:w="865"/>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rPr>
                <w:sz w:val="18"/>
              </w:rPr>
            </w:pPr>
          </w:p>
        </w:tc>
        <w:tc>
          <w:tcPr>
            <w:tcW w:w="3167" w:type="dxa"/>
          </w:tcPr>
          <w:p>
            <w:pPr>
              <w:pStyle w:val="TableParagraph"/>
              <w:rPr>
                <w:sz w:val="18"/>
              </w:rPr>
            </w:pPr>
          </w:p>
        </w:tc>
        <w:tc>
          <w:tcPr>
            <w:tcW w:w="4030" w:type="dxa"/>
          </w:tcPr>
          <w:p>
            <w:pPr>
              <w:pStyle w:val="TableParagraph"/>
              <w:ind w:left="973" w:right="361" w:firstLine="148"/>
              <w:rPr>
                <w:sz w:val="20"/>
              </w:rPr>
            </w:pPr>
            <w:r>
              <w:rPr>
                <w:sz w:val="20"/>
              </w:rPr>
              <w:t>A07.30.009, A07.30.009.001, A07.30.025.001,</w:t>
            </w:r>
            <w:r>
              <w:rPr>
                <w:spacing w:val="-13"/>
                <w:sz w:val="20"/>
              </w:rPr>
              <w:t> </w:t>
            </w:r>
            <w:r>
              <w:rPr>
                <w:sz w:val="20"/>
              </w:rPr>
              <w:t>A07.30.025.002</w:t>
            </w:r>
          </w:p>
        </w:tc>
        <w:tc>
          <w:tcPr>
            <w:tcW w:w="2491" w:type="dxa"/>
          </w:tcPr>
          <w:p>
            <w:pPr>
              <w:pStyle w:val="TableParagraph"/>
              <w:rPr>
                <w:sz w:val="18"/>
              </w:rPr>
            </w:pPr>
          </w:p>
        </w:tc>
        <w:tc>
          <w:tcPr>
            <w:tcW w:w="865" w:type="dxa"/>
          </w:tcPr>
          <w:p>
            <w:pPr>
              <w:pStyle w:val="TableParagraph"/>
              <w:rPr>
                <w:sz w:val="18"/>
              </w:rPr>
            </w:pPr>
          </w:p>
        </w:tc>
      </w:tr>
      <w:tr>
        <w:trPr>
          <w:trHeight w:val="6310" w:hRule="atLeast"/>
        </w:trPr>
        <w:tc>
          <w:tcPr>
            <w:tcW w:w="1003" w:type="dxa"/>
          </w:tcPr>
          <w:p>
            <w:pPr>
              <w:pStyle w:val="TableParagraph"/>
              <w:spacing w:before="45"/>
              <w:ind w:left="50"/>
              <w:rPr>
                <w:sz w:val="20"/>
              </w:rPr>
            </w:pPr>
            <w:r>
              <w:rPr>
                <w:spacing w:val="-2"/>
                <w:sz w:val="20"/>
              </w:rPr>
              <w:t>ds19.062</w:t>
            </w:r>
          </w:p>
        </w:tc>
        <w:tc>
          <w:tcPr>
            <w:tcW w:w="645" w:type="dxa"/>
          </w:tcPr>
          <w:p>
            <w:pPr>
              <w:pStyle w:val="TableParagraph"/>
              <w:spacing w:before="45"/>
              <w:ind w:right="215"/>
              <w:jc w:val="right"/>
              <w:rPr>
                <w:sz w:val="20"/>
              </w:rPr>
            </w:pPr>
            <w:r>
              <w:rPr>
                <w:spacing w:val="-5"/>
                <w:sz w:val="20"/>
              </w:rPr>
              <w:t>85</w:t>
            </w:r>
          </w:p>
        </w:tc>
        <w:tc>
          <w:tcPr>
            <w:tcW w:w="3143" w:type="dxa"/>
          </w:tcPr>
          <w:p>
            <w:pPr>
              <w:pStyle w:val="TableParagraph"/>
              <w:spacing w:before="45"/>
              <w:ind w:left="219" w:right="837"/>
              <w:rPr>
                <w:sz w:val="20"/>
              </w:rPr>
            </w:pPr>
            <w:r>
              <w:rPr>
                <w:sz w:val="20"/>
              </w:rPr>
              <w:t>Лучевая терапия в сочетании с лекарственной</w:t>
            </w:r>
            <w:r>
              <w:rPr>
                <w:spacing w:val="-13"/>
                <w:sz w:val="20"/>
              </w:rPr>
              <w:t> </w:t>
            </w:r>
            <w:r>
              <w:rPr>
                <w:sz w:val="20"/>
              </w:rPr>
              <w:t>терапией (уровень 5)</w:t>
            </w:r>
          </w:p>
        </w:tc>
        <w:tc>
          <w:tcPr>
            <w:tcW w:w="3167" w:type="dxa"/>
          </w:tcPr>
          <w:p>
            <w:pPr>
              <w:pStyle w:val="TableParagraph"/>
              <w:spacing w:before="45"/>
              <w:ind w:left="38"/>
              <w:jc w:val="center"/>
              <w:rPr>
                <w:sz w:val="20"/>
              </w:rPr>
            </w:pPr>
            <w:r>
              <w:rPr>
                <w:w w:val="99"/>
                <w:sz w:val="20"/>
              </w:rPr>
              <w:t>-</w:t>
            </w:r>
          </w:p>
        </w:tc>
        <w:tc>
          <w:tcPr>
            <w:tcW w:w="4030" w:type="dxa"/>
          </w:tcPr>
          <w:p>
            <w:pPr>
              <w:pStyle w:val="TableParagraph"/>
              <w:spacing w:before="45"/>
              <w:ind w:left="774" w:right="173"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1" w:type="dxa"/>
          </w:tcPr>
          <w:p>
            <w:pPr>
              <w:pStyle w:val="TableParagraph"/>
              <w:spacing w:before="45"/>
              <w:ind w:left="275" w:right="455" w:hanging="2"/>
              <w:jc w:val="center"/>
              <w:rPr>
                <w:sz w:val="20"/>
              </w:rPr>
            </w:pPr>
            <w:r>
              <w:rPr>
                <w:spacing w:val="-4"/>
                <w:sz w:val="20"/>
              </w:rPr>
              <w:t>Иной </w:t>
            </w:r>
            <w:r>
              <w:rPr>
                <w:spacing w:val="-2"/>
                <w:sz w:val="20"/>
              </w:rPr>
              <w:t>классификационный </w:t>
            </w:r>
            <w:r>
              <w:rPr>
                <w:sz w:val="20"/>
              </w:rPr>
              <w:t>критерий: mt007, mt009, mt011</w:t>
            </w:r>
          </w:p>
        </w:tc>
        <w:tc>
          <w:tcPr>
            <w:tcW w:w="865" w:type="dxa"/>
          </w:tcPr>
          <w:p>
            <w:pPr>
              <w:pStyle w:val="TableParagraph"/>
              <w:spacing w:before="45"/>
              <w:ind w:right="46"/>
              <w:jc w:val="right"/>
              <w:rPr>
                <w:sz w:val="20"/>
              </w:rPr>
            </w:pPr>
            <w:r>
              <w:rPr>
                <w:spacing w:val="-2"/>
                <w:sz w:val="20"/>
              </w:rPr>
              <w:t>25,33</w:t>
            </w:r>
          </w:p>
        </w:tc>
      </w:tr>
      <w:tr>
        <w:trPr>
          <w:trHeight w:val="1249" w:hRule="atLeast"/>
        </w:trPr>
        <w:tc>
          <w:tcPr>
            <w:tcW w:w="1003" w:type="dxa"/>
          </w:tcPr>
          <w:p>
            <w:pPr>
              <w:pStyle w:val="TableParagraph"/>
              <w:spacing w:before="45"/>
              <w:ind w:left="50"/>
              <w:rPr>
                <w:sz w:val="20"/>
              </w:rPr>
            </w:pPr>
            <w:r>
              <w:rPr>
                <w:spacing w:val="-2"/>
                <w:sz w:val="20"/>
              </w:rPr>
              <w:t>ds19.063</w:t>
            </w:r>
          </w:p>
        </w:tc>
        <w:tc>
          <w:tcPr>
            <w:tcW w:w="645" w:type="dxa"/>
          </w:tcPr>
          <w:p>
            <w:pPr>
              <w:pStyle w:val="TableParagraph"/>
              <w:spacing w:before="45"/>
              <w:ind w:right="215"/>
              <w:jc w:val="right"/>
              <w:rPr>
                <w:sz w:val="20"/>
              </w:rPr>
            </w:pPr>
            <w:r>
              <w:rPr>
                <w:spacing w:val="-5"/>
                <w:sz w:val="20"/>
              </w:rPr>
              <w:t>86</w:t>
            </w:r>
          </w:p>
        </w:tc>
        <w:tc>
          <w:tcPr>
            <w:tcW w:w="3143" w:type="dxa"/>
          </w:tcPr>
          <w:p>
            <w:pPr>
              <w:pStyle w:val="TableParagraph"/>
              <w:spacing w:before="45"/>
              <w:ind w:left="219" w:right="566"/>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1)</w:t>
            </w:r>
            <w:r>
              <w:rPr>
                <w:sz w:val="20"/>
                <w:vertAlign w:val="superscript"/>
              </w:rPr>
              <w:t>***</w:t>
            </w:r>
          </w:p>
        </w:tc>
        <w:tc>
          <w:tcPr>
            <w:tcW w:w="3167" w:type="dxa"/>
          </w:tcPr>
          <w:p>
            <w:pPr>
              <w:pStyle w:val="TableParagraph"/>
              <w:spacing w:before="45"/>
              <w:ind w:left="801" w:right="763"/>
              <w:jc w:val="center"/>
              <w:rPr>
                <w:sz w:val="20"/>
              </w:rPr>
            </w:pPr>
            <w:r>
              <w:rPr>
                <w:sz w:val="20"/>
              </w:rPr>
              <w:t>C81-C96,</w:t>
            </w:r>
            <w:r>
              <w:rPr>
                <w:spacing w:val="-11"/>
                <w:sz w:val="20"/>
              </w:rPr>
              <w:t> </w:t>
            </w:r>
            <w:r>
              <w:rPr>
                <w:sz w:val="20"/>
              </w:rPr>
              <w:t>D45-</w:t>
            </w:r>
            <w:r>
              <w:rPr>
                <w:spacing w:val="-5"/>
                <w:sz w:val="20"/>
              </w:rPr>
              <w:t>D47</w:t>
            </w:r>
          </w:p>
        </w:tc>
        <w:tc>
          <w:tcPr>
            <w:tcW w:w="4030" w:type="dxa"/>
          </w:tcPr>
          <w:p>
            <w:pPr>
              <w:pStyle w:val="TableParagraph"/>
              <w:spacing w:before="45"/>
              <w:ind w:right="1677"/>
              <w:jc w:val="right"/>
              <w:rPr>
                <w:sz w:val="20"/>
              </w:rPr>
            </w:pPr>
            <w:r>
              <w:rPr>
                <w:w w:val="99"/>
                <w:sz w:val="20"/>
              </w:rPr>
              <w:t>-</w:t>
            </w:r>
          </w:p>
        </w:tc>
        <w:tc>
          <w:tcPr>
            <w:tcW w:w="2491" w:type="dxa"/>
          </w:tcPr>
          <w:p>
            <w:pPr>
              <w:pStyle w:val="TableParagraph"/>
              <w:spacing w:before="45"/>
              <w:ind w:left="315" w:hanging="137"/>
              <w:rPr>
                <w:sz w:val="20"/>
              </w:rPr>
            </w:pPr>
            <w:r>
              <w:rPr>
                <w:sz w:val="20"/>
              </w:rPr>
              <w:t>Длительность:</w:t>
            </w:r>
            <w:r>
              <w:rPr>
                <w:spacing w:val="-13"/>
                <w:sz w:val="20"/>
              </w:rPr>
              <w:t> </w:t>
            </w:r>
            <w:r>
              <w:rPr>
                <w:sz w:val="20"/>
              </w:rPr>
              <w:t>До</w:t>
            </w:r>
            <w:r>
              <w:rPr>
                <w:spacing w:val="-12"/>
                <w:sz w:val="20"/>
              </w:rPr>
              <w:t> </w:t>
            </w:r>
            <w:r>
              <w:rPr>
                <w:sz w:val="20"/>
              </w:rPr>
              <w:t>трех дней включительно</w:t>
            </w:r>
          </w:p>
        </w:tc>
        <w:tc>
          <w:tcPr>
            <w:tcW w:w="865" w:type="dxa"/>
          </w:tcPr>
          <w:p>
            <w:pPr>
              <w:pStyle w:val="TableParagraph"/>
              <w:spacing w:before="45"/>
              <w:ind w:right="97"/>
              <w:jc w:val="right"/>
              <w:rPr>
                <w:sz w:val="20"/>
              </w:rPr>
            </w:pPr>
            <w:r>
              <w:rPr>
                <w:spacing w:val="-4"/>
                <w:sz w:val="20"/>
              </w:rPr>
              <w:t>0,15</w:t>
            </w:r>
          </w:p>
        </w:tc>
      </w:tr>
      <w:tr>
        <w:trPr>
          <w:trHeight w:val="506" w:hRule="atLeast"/>
        </w:trPr>
        <w:tc>
          <w:tcPr>
            <w:tcW w:w="1003" w:type="dxa"/>
          </w:tcPr>
          <w:p>
            <w:pPr>
              <w:pStyle w:val="TableParagraph"/>
              <w:spacing w:before="46"/>
              <w:ind w:left="50"/>
              <w:rPr>
                <w:sz w:val="20"/>
              </w:rPr>
            </w:pPr>
            <w:r>
              <w:rPr>
                <w:spacing w:val="-2"/>
                <w:sz w:val="20"/>
              </w:rPr>
              <w:t>ds19.064</w:t>
            </w:r>
          </w:p>
        </w:tc>
        <w:tc>
          <w:tcPr>
            <w:tcW w:w="645" w:type="dxa"/>
          </w:tcPr>
          <w:p>
            <w:pPr>
              <w:pStyle w:val="TableParagraph"/>
              <w:spacing w:before="46"/>
              <w:ind w:right="215"/>
              <w:jc w:val="right"/>
              <w:rPr>
                <w:sz w:val="20"/>
              </w:rPr>
            </w:pPr>
            <w:r>
              <w:rPr>
                <w:spacing w:val="-5"/>
                <w:sz w:val="20"/>
              </w:rPr>
              <w:t>87</w:t>
            </w:r>
          </w:p>
        </w:tc>
        <w:tc>
          <w:tcPr>
            <w:tcW w:w="3143" w:type="dxa"/>
          </w:tcPr>
          <w:p>
            <w:pPr>
              <w:pStyle w:val="TableParagraph"/>
              <w:spacing w:line="230" w:lineRule="atLeast" w:before="26"/>
              <w:ind w:left="219" w:right="139"/>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w:t>
            </w:r>
          </w:p>
        </w:tc>
        <w:tc>
          <w:tcPr>
            <w:tcW w:w="3167" w:type="dxa"/>
          </w:tcPr>
          <w:p>
            <w:pPr>
              <w:pStyle w:val="TableParagraph"/>
              <w:spacing w:before="46"/>
              <w:ind w:left="801" w:right="763"/>
              <w:jc w:val="center"/>
              <w:rPr>
                <w:sz w:val="20"/>
              </w:rPr>
            </w:pPr>
            <w:r>
              <w:rPr>
                <w:sz w:val="20"/>
              </w:rPr>
              <w:t>C81-C96,</w:t>
            </w:r>
            <w:r>
              <w:rPr>
                <w:spacing w:val="-11"/>
                <w:sz w:val="20"/>
              </w:rPr>
              <w:t> </w:t>
            </w:r>
            <w:r>
              <w:rPr>
                <w:sz w:val="20"/>
              </w:rPr>
              <w:t>D45-</w:t>
            </w:r>
            <w:r>
              <w:rPr>
                <w:spacing w:val="-5"/>
                <w:sz w:val="20"/>
              </w:rPr>
              <w:t>D47</w:t>
            </w:r>
          </w:p>
        </w:tc>
        <w:tc>
          <w:tcPr>
            <w:tcW w:w="4030" w:type="dxa"/>
          </w:tcPr>
          <w:p>
            <w:pPr>
              <w:pStyle w:val="TableParagraph"/>
              <w:spacing w:before="46"/>
              <w:ind w:right="1677"/>
              <w:jc w:val="right"/>
              <w:rPr>
                <w:sz w:val="20"/>
              </w:rPr>
            </w:pPr>
            <w:r>
              <w:rPr>
                <w:w w:val="99"/>
                <w:sz w:val="20"/>
              </w:rPr>
              <w:t>-</w:t>
            </w:r>
          </w:p>
        </w:tc>
        <w:tc>
          <w:tcPr>
            <w:tcW w:w="2491" w:type="dxa"/>
          </w:tcPr>
          <w:p>
            <w:pPr>
              <w:pStyle w:val="TableParagraph"/>
              <w:spacing w:line="230" w:lineRule="atLeast" w:before="26"/>
              <w:ind w:left="191" w:right="236" w:firstLine="24"/>
              <w:rPr>
                <w:sz w:val="20"/>
              </w:rPr>
            </w:pPr>
            <w:r>
              <w:rPr>
                <w:sz w:val="20"/>
              </w:rPr>
              <w:t>Длительность:</w:t>
            </w:r>
            <w:r>
              <w:rPr>
                <w:spacing w:val="-7"/>
                <w:sz w:val="20"/>
              </w:rPr>
              <w:t> </w:t>
            </w:r>
            <w:r>
              <w:rPr>
                <w:sz w:val="20"/>
              </w:rPr>
              <w:t>от</w:t>
            </w:r>
            <w:r>
              <w:rPr>
                <w:spacing w:val="-7"/>
                <w:sz w:val="20"/>
              </w:rPr>
              <w:t> </w:t>
            </w:r>
            <w:r>
              <w:rPr>
                <w:sz w:val="20"/>
              </w:rPr>
              <w:t>4</w:t>
            </w:r>
            <w:r>
              <w:rPr>
                <w:spacing w:val="-6"/>
                <w:sz w:val="20"/>
              </w:rPr>
              <w:t> </w:t>
            </w:r>
            <w:r>
              <w:rPr>
                <w:sz w:val="20"/>
              </w:rPr>
              <w:t>до 10</w:t>
            </w:r>
            <w:r>
              <w:rPr>
                <w:spacing w:val="-3"/>
                <w:sz w:val="20"/>
              </w:rPr>
              <w:t> </w:t>
            </w:r>
            <w:r>
              <w:rPr>
                <w:sz w:val="20"/>
              </w:rPr>
              <w:t>дней</w:t>
            </w:r>
            <w:r>
              <w:rPr>
                <w:spacing w:val="-5"/>
                <w:sz w:val="20"/>
              </w:rPr>
              <w:t> </w:t>
            </w:r>
            <w:r>
              <w:rPr>
                <w:spacing w:val="-2"/>
                <w:sz w:val="20"/>
              </w:rPr>
              <w:t>включительно</w:t>
            </w:r>
          </w:p>
        </w:tc>
        <w:tc>
          <w:tcPr>
            <w:tcW w:w="865" w:type="dxa"/>
          </w:tcPr>
          <w:p>
            <w:pPr>
              <w:pStyle w:val="TableParagraph"/>
              <w:spacing w:before="46"/>
              <w:ind w:right="97"/>
              <w:jc w:val="right"/>
              <w:rPr>
                <w:sz w:val="20"/>
              </w:rPr>
            </w:pPr>
            <w:r>
              <w:rPr>
                <w:spacing w:val="-4"/>
                <w:sz w:val="20"/>
              </w:rPr>
              <w:t>0,69</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43"/>
        <w:gridCol w:w="3922"/>
        <w:gridCol w:w="2516"/>
        <w:gridCol w:w="3282"/>
        <w:gridCol w:w="782"/>
      </w:tblGrid>
      <w:tr>
        <w:trPr>
          <w:trHeight w:val="734"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ind w:left="219" w:right="566"/>
              <w:rPr>
                <w:sz w:val="20"/>
              </w:rPr>
            </w:pPr>
            <w:r>
              <w:rPr>
                <w:spacing w:val="-2"/>
                <w:sz w:val="20"/>
              </w:rPr>
              <w:t>специального противоопухолевого </w:t>
            </w:r>
            <w:r>
              <w:rPr>
                <w:sz w:val="20"/>
              </w:rPr>
              <w:t>лечения</w:t>
            </w:r>
            <w:r>
              <w:rPr>
                <w:spacing w:val="-13"/>
                <w:sz w:val="20"/>
              </w:rPr>
              <w:t> </w:t>
            </w:r>
            <w:r>
              <w:rPr>
                <w:sz w:val="20"/>
              </w:rPr>
              <w:t>(уровень</w:t>
            </w:r>
            <w:r>
              <w:rPr>
                <w:spacing w:val="-12"/>
                <w:sz w:val="20"/>
              </w:rPr>
              <w:t> </w:t>
            </w:r>
            <w:r>
              <w:rPr>
                <w:sz w:val="20"/>
              </w:rPr>
              <w:t>2)</w:t>
            </w:r>
            <w:r>
              <w:rPr>
                <w:sz w:val="20"/>
                <w:vertAlign w:val="superscript"/>
              </w:rPr>
              <w:t>***</w:t>
            </w:r>
          </w:p>
        </w:tc>
        <w:tc>
          <w:tcPr>
            <w:tcW w:w="3922" w:type="dxa"/>
          </w:tcPr>
          <w:p>
            <w:pPr>
              <w:pStyle w:val="TableParagraph"/>
              <w:rPr>
                <w:sz w:val="18"/>
              </w:rPr>
            </w:pPr>
          </w:p>
        </w:tc>
        <w:tc>
          <w:tcPr>
            <w:tcW w:w="2516" w:type="dxa"/>
          </w:tcPr>
          <w:p>
            <w:pPr>
              <w:pStyle w:val="TableParagraph"/>
              <w:rPr>
                <w:sz w:val="18"/>
              </w:rPr>
            </w:pPr>
          </w:p>
        </w:tc>
        <w:tc>
          <w:tcPr>
            <w:tcW w:w="3282" w:type="dxa"/>
          </w:tcPr>
          <w:p>
            <w:pPr>
              <w:pStyle w:val="TableParagraph"/>
              <w:rPr>
                <w:sz w:val="18"/>
              </w:rPr>
            </w:pPr>
          </w:p>
        </w:tc>
        <w:tc>
          <w:tcPr>
            <w:tcW w:w="782" w:type="dxa"/>
          </w:tcPr>
          <w:p>
            <w:pPr>
              <w:pStyle w:val="TableParagraph"/>
              <w:rPr>
                <w:sz w:val="18"/>
              </w:rPr>
            </w:pPr>
          </w:p>
        </w:tc>
      </w:tr>
      <w:tr>
        <w:trPr>
          <w:trHeight w:val="1251" w:hRule="atLeast"/>
        </w:trPr>
        <w:tc>
          <w:tcPr>
            <w:tcW w:w="1003" w:type="dxa"/>
          </w:tcPr>
          <w:p>
            <w:pPr>
              <w:pStyle w:val="TableParagraph"/>
              <w:spacing w:before="46"/>
              <w:ind w:left="50"/>
              <w:rPr>
                <w:sz w:val="20"/>
              </w:rPr>
            </w:pPr>
            <w:r>
              <w:rPr>
                <w:spacing w:val="-2"/>
                <w:sz w:val="20"/>
              </w:rPr>
              <w:t>ds19.065</w:t>
            </w:r>
          </w:p>
        </w:tc>
        <w:tc>
          <w:tcPr>
            <w:tcW w:w="645" w:type="dxa"/>
          </w:tcPr>
          <w:p>
            <w:pPr>
              <w:pStyle w:val="TableParagraph"/>
              <w:spacing w:before="46"/>
              <w:ind w:right="215"/>
              <w:jc w:val="right"/>
              <w:rPr>
                <w:sz w:val="20"/>
              </w:rPr>
            </w:pPr>
            <w:r>
              <w:rPr>
                <w:spacing w:val="-5"/>
                <w:sz w:val="20"/>
              </w:rPr>
              <w:t>88</w:t>
            </w:r>
          </w:p>
        </w:tc>
        <w:tc>
          <w:tcPr>
            <w:tcW w:w="3143" w:type="dxa"/>
          </w:tcPr>
          <w:p>
            <w:pPr>
              <w:pStyle w:val="TableParagraph"/>
              <w:spacing w:before="46"/>
              <w:ind w:left="219" w:right="566"/>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3)</w:t>
            </w:r>
            <w:r>
              <w:rPr>
                <w:sz w:val="20"/>
                <w:vertAlign w:val="superscript"/>
              </w:rPr>
              <w:t>***</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50" w:right="237" w:hanging="27"/>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w:t>
            </w:r>
            <w:r>
              <w:rPr>
                <w:spacing w:val="-3"/>
                <w:sz w:val="20"/>
              </w:rPr>
              <w:t> </w:t>
            </w:r>
            <w:r>
              <w:rPr>
                <w:sz w:val="20"/>
              </w:rPr>
              <w:t>дней</w:t>
            </w:r>
            <w:r>
              <w:rPr>
                <w:spacing w:val="-5"/>
                <w:sz w:val="20"/>
              </w:rPr>
              <w:t> </w:t>
            </w:r>
            <w:r>
              <w:rPr>
                <w:spacing w:val="-2"/>
                <w:sz w:val="20"/>
              </w:rPr>
              <w:t>включительно</w:t>
            </w:r>
          </w:p>
        </w:tc>
        <w:tc>
          <w:tcPr>
            <w:tcW w:w="782" w:type="dxa"/>
          </w:tcPr>
          <w:p>
            <w:pPr>
              <w:pStyle w:val="TableParagraph"/>
              <w:spacing w:before="46"/>
              <w:ind w:right="46"/>
              <w:jc w:val="right"/>
              <w:rPr>
                <w:sz w:val="20"/>
              </w:rPr>
            </w:pPr>
            <w:r>
              <w:rPr>
                <w:spacing w:val="-4"/>
                <w:sz w:val="20"/>
              </w:rPr>
              <w:t>1,57</w:t>
            </w:r>
          </w:p>
        </w:tc>
      </w:tr>
      <w:tr>
        <w:trPr>
          <w:trHeight w:val="1250" w:hRule="atLeast"/>
        </w:trPr>
        <w:tc>
          <w:tcPr>
            <w:tcW w:w="1003" w:type="dxa"/>
          </w:tcPr>
          <w:p>
            <w:pPr>
              <w:pStyle w:val="TableParagraph"/>
              <w:spacing w:before="46"/>
              <w:ind w:left="50"/>
              <w:rPr>
                <w:sz w:val="20"/>
              </w:rPr>
            </w:pPr>
            <w:r>
              <w:rPr>
                <w:spacing w:val="-2"/>
                <w:sz w:val="20"/>
              </w:rPr>
              <w:t>ds19.066</w:t>
            </w:r>
          </w:p>
        </w:tc>
        <w:tc>
          <w:tcPr>
            <w:tcW w:w="645" w:type="dxa"/>
          </w:tcPr>
          <w:p>
            <w:pPr>
              <w:pStyle w:val="TableParagraph"/>
              <w:spacing w:before="46"/>
              <w:ind w:right="215"/>
              <w:jc w:val="right"/>
              <w:rPr>
                <w:sz w:val="20"/>
              </w:rPr>
            </w:pPr>
            <w:r>
              <w:rPr>
                <w:spacing w:val="-5"/>
                <w:sz w:val="20"/>
              </w:rPr>
              <w:t>89</w:t>
            </w:r>
          </w:p>
        </w:tc>
        <w:tc>
          <w:tcPr>
            <w:tcW w:w="3143" w:type="dxa"/>
          </w:tcPr>
          <w:p>
            <w:pPr>
              <w:pStyle w:val="TableParagraph"/>
              <w:spacing w:before="46"/>
              <w:ind w:left="219" w:right="566"/>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4)</w:t>
            </w:r>
            <w:r>
              <w:rPr>
                <w:sz w:val="20"/>
                <w:vertAlign w:val="superscript"/>
              </w:rPr>
              <w:t>***</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50" w:right="237" w:hanging="27"/>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w:t>
            </w:r>
            <w:r>
              <w:rPr>
                <w:spacing w:val="-3"/>
                <w:sz w:val="20"/>
              </w:rPr>
              <w:t> </w:t>
            </w:r>
            <w:r>
              <w:rPr>
                <w:sz w:val="20"/>
              </w:rPr>
              <w:t>дней</w:t>
            </w:r>
            <w:r>
              <w:rPr>
                <w:spacing w:val="-5"/>
                <w:sz w:val="20"/>
              </w:rPr>
              <w:t> </w:t>
            </w:r>
            <w:r>
              <w:rPr>
                <w:spacing w:val="-2"/>
                <w:sz w:val="20"/>
              </w:rPr>
              <w:t>включительно</w:t>
            </w:r>
          </w:p>
        </w:tc>
        <w:tc>
          <w:tcPr>
            <w:tcW w:w="782" w:type="dxa"/>
          </w:tcPr>
          <w:p>
            <w:pPr>
              <w:pStyle w:val="TableParagraph"/>
              <w:spacing w:before="46"/>
              <w:ind w:right="46"/>
              <w:jc w:val="right"/>
              <w:rPr>
                <w:sz w:val="20"/>
              </w:rPr>
            </w:pPr>
            <w:r>
              <w:rPr>
                <w:spacing w:val="-4"/>
                <w:sz w:val="20"/>
              </w:rPr>
              <w:t>2,82</w:t>
            </w:r>
          </w:p>
        </w:tc>
      </w:tr>
      <w:tr>
        <w:trPr>
          <w:trHeight w:val="1315" w:hRule="atLeast"/>
        </w:trPr>
        <w:tc>
          <w:tcPr>
            <w:tcW w:w="1003" w:type="dxa"/>
          </w:tcPr>
          <w:p>
            <w:pPr>
              <w:pStyle w:val="TableParagraph"/>
              <w:spacing w:before="46"/>
              <w:ind w:left="50"/>
              <w:rPr>
                <w:sz w:val="20"/>
              </w:rPr>
            </w:pPr>
            <w:r>
              <w:rPr>
                <w:spacing w:val="-2"/>
                <w:sz w:val="20"/>
              </w:rPr>
              <w:t>ds19.067</w:t>
            </w:r>
          </w:p>
        </w:tc>
        <w:tc>
          <w:tcPr>
            <w:tcW w:w="645" w:type="dxa"/>
          </w:tcPr>
          <w:p>
            <w:pPr>
              <w:pStyle w:val="TableParagraph"/>
              <w:spacing w:before="46"/>
              <w:ind w:right="215"/>
              <w:jc w:val="right"/>
              <w:rPr>
                <w:sz w:val="20"/>
              </w:rPr>
            </w:pPr>
            <w:r>
              <w:rPr>
                <w:spacing w:val="-5"/>
                <w:sz w:val="20"/>
              </w:rPr>
              <w:t>90</w:t>
            </w:r>
          </w:p>
        </w:tc>
        <w:tc>
          <w:tcPr>
            <w:tcW w:w="3143" w:type="dxa"/>
          </w:tcPr>
          <w:p>
            <w:pPr>
              <w:pStyle w:val="TableParagraph"/>
              <w:spacing w:before="46"/>
              <w:ind w:left="219" w:right="917"/>
              <w:rPr>
                <w:sz w:val="20"/>
              </w:rPr>
            </w:pPr>
            <w:r>
              <w:rPr>
                <w:sz w:val="20"/>
              </w:rPr>
              <w:t>ЗНО лимфоидной и кроветворной тканей, лекарственная</w:t>
            </w:r>
            <w:r>
              <w:rPr>
                <w:spacing w:val="-13"/>
                <w:sz w:val="20"/>
              </w:rPr>
              <w:t> </w:t>
            </w:r>
            <w:r>
              <w:rPr>
                <w:sz w:val="20"/>
              </w:rPr>
              <w:t>терапия, взрослые (уровень 1)</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2" w:right="375"/>
              <w:jc w:val="center"/>
              <w:rPr>
                <w:sz w:val="20"/>
              </w:rPr>
            </w:pPr>
            <w:r>
              <w:rPr>
                <w:sz w:val="20"/>
              </w:rPr>
              <w:t>Длительность:</w:t>
            </w:r>
            <w:r>
              <w:rPr>
                <w:spacing w:val="-13"/>
                <w:sz w:val="20"/>
              </w:rPr>
              <w:t> </w:t>
            </w:r>
            <w:r>
              <w:rPr>
                <w:sz w:val="20"/>
              </w:rPr>
              <w:t>До</w:t>
            </w:r>
            <w:r>
              <w:rPr>
                <w:spacing w:val="-12"/>
                <w:sz w:val="20"/>
              </w:rPr>
              <w:t> </w:t>
            </w:r>
            <w:r>
              <w:rPr>
                <w:sz w:val="20"/>
              </w:rPr>
              <w:t>трех </w:t>
            </w:r>
            <w:r>
              <w:rPr>
                <w:spacing w:val="-4"/>
                <w:sz w:val="20"/>
              </w:rPr>
              <w:t>дней</w:t>
            </w:r>
          </w:p>
        </w:tc>
        <w:tc>
          <w:tcPr>
            <w:tcW w:w="782" w:type="dxa"/>
          </w:tcPr>
          <w:p>
            <w:pPr>
              <w:pStyle w:val="TableParagraph"/>
              <w:spacing w:before="46"/>
              <w:ind w:right="46"/>
              <w:jc w:val="right"/>
              <w:rPr>
                <w:sz w:val="20"/>
              </w:rPr>
            </w:pPr>
            <w:r>
              <w:rPr>
                <w:spacing w:val="-4"/>
                <w:sz w:val="20"/>
              </w:rPr>
              <w:t>0,31</w:t>
            </w:r>
          </w:p>
        </w:tc>
      </w:tr>
      <w:tr>
        <w:trPr>
          <w:trHeight w:val="854"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rPr>
                <w:sz w:val="18"/>
              </w:rPr>
            </w:pPr>
          </w:p>
        </w:tc>
        <w:tc>
          <w:tcPr>
            <w:tcW w:w="3922" w:type="dxa"/>
          </w:tcPr>
          <w:p>
            <w:pPr>
              <w:pStyle w:val="TableParagraph"/>
              <w:rPr>
                <w:sz w:val="18"/>
              </w:rPr>
            </w:pPr>
          </w:p>
        </w:tc>
        <w:tc>
          <w:tcPr>
            <w:tcW w:w="2516" w:type="dxa"/>
          </w:tcPr>
          <w:p>
            <w:pPr>
              <w:pStyle w:val="TableParagraph"/>
              <w:rPr>
                <w:sz w:val="18"/>
              </w:rPr>
            </w:pPr>
          </w:p>
        </w:tc>
        <w:tc>
          <w:tcPr>
            <w:tcW w:w="3282" w:type="dxa"/>
          </w:tcPr>
          <w:p>
            <w:pPr>
              <w:pStyle w:val="TableParagraph"/>
              <w:spacing w:before="111"/>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2" w:type="dxa"/>
          </w:tcPr>
          <w:p>
            <w:pPr>
              <w:pStyle w:val="TableParagraph"/>
              <w:rPr>
                <w:sz w:val="18"/>
              </w:rPr>
            </w:pPr>
          </w:p>
        </w:tc>
      </w:tr>
      <w:tr>
        <w:trPr>
          <w:trHeight w:val="1176" w:hRule="atLeast"/>
        </w:trPr>
        <w:tc>
          <w:tcPr>
            <w:tcW w:w="1003" w:type="dxa"/>
          </w:tcPr>
          <w:p>
            <w:pPr>
              <w:pStyle w:val="TableParagraph"/>
              <w:spacing w:before="46"/>
              <w:ind w:left="50"/>
              <w:rPr>
                <w:sz w:val="20"/>
              </w:rPr>
            </w:pPr>
            <w:r>
              <w:rPr>
                <w:spacing w:val="-2"/>
                <w:sz w:val="20"/>
              </w:rPr>
              <w:t>ds19.068</w:t>
            </w:r>
          </w:p>
        </w:tc>
        <w:tc>
          <w:tcPr>
            <w:tcW w:w="645" w:type="dxa"/>
          </w:tcPr>
          <w:p>
            <w:pPr>
              <w:pStyle w:val="TableParagraph"/>
              <w:spacing w:before="46"/>
              <w:ind w:right="215"/>
              <w:jc w:val="right"/>
              <w:rPr>
                <w:sz w:val="20"/>
              </w:rPr>
            </w:pPr>
            <w:r>
              <w:rPr>
                <w:spacing w:val="-5"/>
                <w:sz w:val="20"/>
              </w:rPr>
              <w:t>91</w:t>
            </w:r>
          </w:p>
        </w:tc>
        <w:tc>
          <w:tcPr>
            <w:tcW w:w="3143" w:type="dxa"/>
          </w:tcPr>
          <w:p>
            <w:pPr>
              <w:pStyle w:val="TableParagraph"/>
              <w:spacing w:before="46"/>
              <w:ind w:left="219" w:right="917"/>
              <w:rPr>
                <w:sz w:val="20"/>
              </w:rPr>
            </w:pPr>
            <w:r>
              <w:rPr>
                <w:sz w:val="20"/>
              </w:rPr>
              <w:t>ЗНО лимфоидной и кроветворной тканей, лекарственная</w:t>
            </w:r>
            <w:r>
              <w:rPr>
                <w:spacing w:val="-13"/>
                <w:sz w:val="20"/>
              </w:rPr>
              <w:t> </w:t>
            </w:r>
            <w:r>
              <w:rPr>
                <w:sz w:val="20"/>
              </w:rPr>
              <w:t>терапия, взрослые (уровень 2)</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line="249" w:lineRule="auto" w:before="130"/>
              <w:ind w:left="950" w:right="407" w:firstLine="2"/>
              <w:jc w:val="center"/>
              <w:rPr>
                <w:sz w:val="20"/>
              </w:rPr>
            </w:pPr>
            <w:r>
              <w:rPr>
                <w:sz w:val="20"/>
              </w:rPr>
              <w:t>Длительность: от 4 до 10</w:t>
            </w:r>
            <w:r>
              <w:rPr>
                <w:spacing w:val="-3"/>
                <w:sz w:val="20"/>
              </w:rPr>
              <w:t> </w:t>
            </w:r>
            <w:r>
              <w:rPr>
                <w:sz w:val="20"/>
              </w:rPr>
              <w:t>дней</w:t>
            </w:r>
            <w:r>
              <w:rPr>
                <w:spacing w:val="-5"/>
                <w:sz w:val="20"/>
              </w:rPr>
              <w:t> </w:t>
            </w:r>
            <w:r>
              <w:rPr>
                <w:spacing w:val="-2"/>
                <w:sz w:val="20"/>
              </w:rPr>
              <w:t>включительно</w:t>
            </w:r>
          </w:p>
        </w:tc>
        <w:tc>
          <w:tcPr>
            <w:tcW w:w="782" w:type="dxa"/>
          </w:tcPr>
          <w:p>
            <w:pPr>
              <w:pStyle w:val="TableParagraph"/>
              <w:spacing w:before="46"/>
              <w:ind w:right="46"/>
              <w:jc w:val="right"/>
              <w:rPr>
                <w:sz w:val="20"/>
              </w:rPr>
            </w:pPr>
            <w:r>
              <w:rPr>
                <w:spacing w:val="-4"/>
                <w:sz w:val="20"/>
              </w:rPr>
              <w:t>1,36</w:t>
            </w:r>
          </w:p>
        </w:tc>
      </w:tr>
      <w:tr>
        <w:trPr>
          <w:trHeight w:val="823"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rPr>
                <w:sz w:val="18"/>
              </w:rPr>
            </w:pPr>
          </w:p>
        </w:tc>
        <w:tc>
          <w:tcPr>
            <w:tcW w:w="3922" w:type="dxa"/>
          </w:tcPr>
          <w:p>
            <w:pPr>
              <w:pStyle w:val="TableParagraph"/>
              <w:rPr>
                <w:sz w:val="18"/>
              </w:rPr>
            </w:pPr>
          </w:p>
        </w:tc>
        <w:tc>
          <w:tcPr>
            <w:tcW w:w="2516" w:type="dxa"/>
          </w:tcPr>
          <w:p>
            <w:pPr>
              <w:pStyle w:val="TableParagraph"/>
              <w:rPr>
                <w:sz w:val="18"/>
              </w:rPr>
            </w:pPr>
          </w:p>
        </w:tc>
        <w:tc>
          <w:tcPr>
            <w:tcW w:w="3282" w:type="dxa"/>
          </w:tcPr>
          <w:p>
            <w:pPr>
              <w:pStyle w:val="TableParagraph"/>
              <w:spacing w:line="249" w:lineRule="auto" w:before="60"/>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2" w:type="dxa"/>
          </w:tcPr>
          <w:p>
            <w:pPr>
              <w:pStyle w:val="TableParagraph"/>
              <w:rPr>
                <w:sz w:val="18"/>
              </w:rPr>
            </w:pPr>
          </w:p>
        </w:tc>
      </w:tr>
      <w:tr>
        <w:trPr>
          <w:trHeight w:val="1108" w:hRule="atLeast"/>
        </w:trPr>
        <w:tc>
          <w:tcPr>
            <w:tcW w:w="1003" w:type="dxa"/>
          </w:tcPr>
          <w:p>
            <w:pPr>
              <w:pStyle w:val="TableParagraph"/>
              <w:spacing w:before="46"/>
              <w:ind w:left="50"/>
              <w:rPr>
                <w:sz w:val="20"/>
              </w:rPr>
            </w:pPr>
            <w:r>
              <w:rPr>
                <w:spacing w:val="-2"/>
                <w:sz w:val="20"/>
              </w:rPr>
              <w:t>ds19.069</w:t>
            </w:r>
          </w:p>
        </w:tc>
        <w:tc>
          <w:tcPr>
            <w:tcW w:w="645" w:type="dxa"/>
          </w:tcPr>
          <w:p>
            <w:pPr>
              <w:pStyle w:val="TableParagraph"/>
              <w:spacing w:before="46"/>
              <w:ind w:right="215"/>
              <w:jc w:val="right"/>
              <w:rPr>
                <w:sz w:val="20"/>
              </w:rPr>
            </w:pPr>
            <w:r>
              <w:rPr>
                <w:spacing w:val="-5"/>
                <w:sz w:val="20"/>
              </w:rPr>
              <w:t>92</w:t>
            </w:r>
          </w:p>
        </w:tc>
        <w:tc>
          <w:tcPr>
            <w:tcW w:w="3143" w:type="dxa"/>
          </w:tcPr>
          <w:p>
            <w:pPr>
              <w:pStyle w:val="TableParagraph"/>
              <w:spacing w:before="46"/>
              <w:ind w:left="219" w:right="917"/>
              <w:rPr>
                <w:sz w:val="20"/>
              </w:rPr>
            </w:pPr>
            <w:r>
              <w:rPr>
                <w:sz w:val="20"/>
              </w:rPr>
              <w:t>ЗНО лимфоидной и кроветворной тканей, лекарственная</w:t>
            </w:r>
            <w:r>
              <w:rPr>
                <w:spacing w:val="-13"/>
                <w:sz w:val="20"/>
              </w:rPr>
              <w:t> </w:t>
            </w:r>
            <w:r>
              <w:rPr>
                <w:sz w:val="20"/>
              </w:rPr>
              <w:t>терапия, взрослые (уровень 3)</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line="240" w:lineRule="atLeast" w:before="103"/>
              <w:ind w:left="922" w:right="376"/>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782" w:type="dxa"/>
          </w:tcPr>
          <w:p>
            <w:pPr>
              <w:pStyle w:val="TableParagraph"/>
              <w:spacing w:before="46"/>
              <w:ind w:right="46"/>
              <w:jc w:val="right"/>
              <w:rPr>
                <w:sz w:val="20"/>
              </w:rPr>
            </w:pPr>
            <w:r>
              <w:rPr>
                <w:spacing w:val="-4"/>
                <w:sz w:val="20"/>
              </w:rPr>
              <w:t>3,06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after="1"/>
        <w:rPr>
          <w:sz w:val="22"/>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80"/>
        <w:gridCol w:w="3885"/>
        <w:gridCol w:w="2516"/>
        <w:gridCol w:w="3282"/>
        <w:gridCol w:w="783"/>
      </w:tblGrid>
      <w:tr>
        <w:trPr>
          <w:trHeight w:val="752"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82" w:type="dxa"/>
          </w:tcPr>
          <w:p>
            <w:pPr>
              <w:pStyle w:val="TableParagraph"/>
              <w:spacing w:line="249" w:lineRule="auto"/>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3" w:type="dxa"/>
          </w:tcPr>
          <w:p>
            <w:pPr>
              <w:pStyle w:val="TableParagraph"/>
              <w:rPr>
                <w:sz w:val="18"/>
              </w:rPr>
            </w:pPr>
          </w:p>
        </w:tc>
      </w:tr>
      <w:tr>
        <w:trPr>
          <w:trHeight w:val="2171" w:hRule="atLeast"/>
        </w:trPr>
        <w:tc>
          <w:tcPr>
            <w:tcW w:w="1003" w:type="dxa"/>
          </w:tcPr>
          <w:p>
            <w:pPr>
              <w:pStyle w:val="TableParagraph"/>
              <w:spacing w:before="45"/>
              <w:ind w:left="50"/>
              <w:rPr>
                <w:sz w:val="20"/>
              </w:rPr>
            </w:pPr>
            <w:r>
              <w:rPr>
                <w:spacing w:val="-2"/>
                <w:sz w:val="20"/>
              </w:rPr>
              <w:t>ds19.070</w:t>
            </w:r>
          </w:p>
        </w:tc>
        <w:tc>
          <w:tcPr>
            <w:tcW w:w="645" w:type="dxa"/>
          </w:tcPr>
          <w:p>
            <w:pPr>
              <w:pStyle w:val="TableParagraph"/>
              <w:spacing w:before="45"/>
              <w:ind w:right="215"/>
              <w:jc w:val="right"/>
              <w:rPr>
                <w:sz w:val="20"/>
              </w:rPr>
            </w:pPr>
            <w:r>
              <w:rPr>
                <w:spacing w:val="-5"/>
                <w:sz w:val="20"/>
              </w:rPr>
              <w:t>93</w:t>
            </w:r>
          </w:p>
        </w:tc>
        <w:tc>
          <w:tcPr>
            <w:tcW w:w="3180" w:type="dxa"/>
          </w:tcPr>
          <w:p>
            <w:pPr>
              <w:pStyle w:val="TableParagraph"/>
              <w:spacing w:before="45"/>
              <w:ind w:left="219" w:right="954"/>
              <w:rPr>
                <w:sz w:val="20"/>
              </w:rPr>
            </w:pPr>
            <w:r>
              <w:rPr>
                <w:sz w:val="20"/>
              </w:rPr>
              <w:t>ЗНО лимфоидной и кроветворной тканей, лекарственная</w:t>
            </w:r>
            <w:r>
              <w:rPr>
                <w:spacing w:val="-13"/>
                <w:sz w:val="20"/>
              </w:rPr>
              <w:t> </w:t>
            </w:r>
            <w:r>
              <w:rPr>
                <w:sz w:val="20"/>
              </w:rPr>
              <w:t>терапия, взрослые (уровень 4)</w:t>
            </w:r>
          </w:p>
        </w:tc>
        <w:tc>
          <w:tcPr>
            <w:tcW w:w="3885" w:type="dxa"/>
          </w:tcPr>
          <w:p>
            <w:pPr>
              <w:pStyle w:val="TableParagraph"/>
              <w:spacing w:before="45"/>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8"/>
              <w:jc w:val="right"/>
              <w:rPr>
                <w:sz w:val="20"/>
              </w:rPr>
            </w:pPr>
            <w:r>
              <w:rPr>
                <w:w w:val="99"/>
                <w:sz w:val="20"/>
              </w:rPr>
              <w:t>-</w:t>
            </w:r>
          </w:p>
        </w:tc>
        <w:tc>
          <w:tcPr>
            <w:tcW w:w="3282" w:type="dxa"/>
          </w:tcPr>
          <w:p>
            <w:pPr>
              <w:pStyle w:val="TableParagraph"/>
              <w:spacing w:before="45"/>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22" w:right="377"/>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p>
            <w:pPr>
              <w:pStyle w:val="TableParagraph"/>
              <w:spacing w:before="11"/>
              <w:rPr>
                <w:sz w:val="19"/>
              </w:rPr>
            </w:pPr>
          </w:p>
          <w:p>
            <w:pPr>
              <w:pStyle w:val="TableParagraph"/>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3" w:type="dxa"/>
          </w:tcPr>
          <w:p>
            <w:pPr>
              <w:pStyle w:val="TableParagraph"/>
              <w:spacing w:before="45"/>
              <w:ind w:right="47"/>
              <w:jc w:val="right"/>
              <w:rPr>
                <w:sz w:val="20"/>
              </w:rPr>
            </w:pPr>
            <w:r>
              <w:rPr>
                <w:spacing w:val="-4"/>
                <w:sz w:val="20"/>
              </w:rPr>
              <w:t>5,66</w:t>
            </w:r>
          </w:p>
        </w:tc>
      </w:tr>
      <w:tr>
        <w:trPr>
          <w:trHeight w:val="1430" w:hRule="atLeast"/>
        </w:trPr>
        <w:tc>
          <w:tcPr>
            <w:tcW w:w="1003" w:type="dxa"/>
          </w:tcPr>
          <w:p>
            <w:pPr>
              <w:pStyle w:val="TableParagraph"/>
              <w:spacing w:before="46"/>
              <w:ind w:left="50"/>
              <w:rPr>
                <w:sz w:val="20"/>
              </w:rPr>
            </w:pPr>
            <w:r>
              <w:rPr>
                <w:spacing w:val="-2"/>
                <w:sz w:val="20"/>
              </w:rPr>
              <w:t>ds19.071</w:t>
            </w:r>
          </w:p>
        </w:tc>
        <w:tc>
          <w:tcPr>
            <w:tcW w:w="645" w:type="dxa"/>
          </w:tcPr>
          <w:p>
            <w:pPr>
              <w:pStyle w:val="TableParagraph"/>
              <w:spacing w:before="46"/>
              <w:ind w:right="215"/>
              <w:jc w:val="right"/>
              <w:rPr>
                <w:sz w:val="20"/>
              </w:rPr>
            </w:pPr>
            <w:r>
              <w:rPr>
                <w:spacing w:val="-5"/>
                <w:sz w:val="20"/>
              </w:rPr>
              <w:t>94</w:t>
            </w:r>
          </w:p>
        </w:tc>
        <w:tc>
          <w:tcPr>
            <w:tcW w:w="3180" w:type="dxa"/>
          </w:tcPr>
          <w:p>
            <w:pPr>
              <w:pStyle w:val="TableParagraph"/>
              <w:spacing w:before="46"/>
              <w:ind w:left="219" w:right="122"/>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15"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3885" w:type="dxa"/>
          </w:tcPr>
          <w:p>
            <w:pPr>
              <w:pStyle w:val="TableParagraph"/>
              <w:spacing w:before="46"/>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2" w:right="374"/>
              <w:jc w:val="center"/>
              <w:rPr>
                <w:sz w:val="20"/>
              </w:rPr>
            </w:pPr>
            <w:r>
              <w:rPr>
                <w:sz w:val="20"/>
              </w:rPr>
              <w:t>Длительность:</w:t>
            </w:r>
            <w:r>
              <w:rPr>
                <w:spacing w:val="-13"/>
                <w:sz w:val="20"/>
              </w:rPr>
              <w:t> </w:t>
            </w:r>
            <w:r>
              <w:rPr>
                <w:sz w:val="20"/>
              </w:rPr>
              <w:t>До</w:t>
            </w:r>
            <w:r>
              <w:rPr>
                <w:spacing w:val="-12"/>
                <w:sz w:val="20"/>
              </w:rPr>
              <w:t> </w:t>
            </w:r>
            <w:r>
              <w:rPr>
                <w:sz w:val="20"/>
              </w:rPr>
              <w:t>трех </w:t>
            </w:r>
            <w:r>
              <w:rPr>
                <w:spacing w:val="-4"/>
                <w:sz w:val="20"/>
              </w:rPr>
              <w:t>дней</w:t>
            </w:r>
          </w:p>
        </w:tc>
        <w:tc>
          <w:tcPr>
            <w:tcW w:w="783" w:type="dxa"/>
          </w:tcPr>
          <w:p>
            <w:pPr>
              <w:pStyle w:val="TableParagraph"/>
              <w:spacing w:before="46"/>
              <w:ind w:right="47"/>
              <w:jc w:val="right"/>
              <w:rPr>
                <w:sz w:val="20"/>
              </w:rPr>
            </w:pPr>
            <w:r>
              <w:rPr>
                <w:spacing w:val="-4"/>
                <w:sz w:val="20"/>
              </w:rPr>
              <w:t>4,18</w:t>
            </w:r>
          </w:p>
        </w:tc>
      </w:tr>
      <w:tr>
        <w:trPr>
          <w:trHeight w:val="2119"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82" w:type="dxa"/>
          </w:tcPr>
          <w:p>
            <w:pPr>
              <w:pStyle w:val="TableParagraph"/>
              <w:ind w:left="1034" w:right="487" w:hanging="2"/>
              <w:jc w:val="center"/>
              <w:rPr>
                <w:sz w:val="20"/>
              </w:rPr>
            </w:pPr>
            <w:r>
              <w:rPr>
                <w:spacing w:val="-4"/>
                <w:sz w:val="20"/>
              </w:rPr>
              <w:t>Иной </w:t>
            </w:r>
            <w:r>
              <w:rPr>
                <w:spacing w:val="-2"/>
                <w:sz w:val="20"/>
              </w:rPr>
              <w:t>классификационный </w:t>
            </w:r>
            <w:r>
              <w:rPr>
                <w:sz w:val="20"/>
              </w:rPr>
              <w:t>критерий: gemop1, gemop2, gemop4, gemop5, gemop6, gemop7, gemop10, gemop21, gemop22, gemop23, gemop24, gemop25, gemop26</w:t>
            </w:r>
          </w:p>
        </w:tc>
        <w:tc>
          <w:tcPr>
            <w:tcW w:w="783" w:type="dxa"/>
          </w:tcPr>
          <w:p>
            <w:pPr>
              <w:pStyle w:val="TableParagraph"/>
              <w:rPr>
                <w:sz w:val="18"/>
              </w:rPr>
            </w:pPr>
          </w:p>
        </w:tc>
      </w:tr>
      <w:tr>
        <w:trPr>
          <w:trHeight w:val="1430" w:hRule="atLeast"/>
        </w:trPr>
        <w:tc>
          <w:tcPr>
            <w:tcW w:w="1003" w:type="dxa"/>
          </w:tcPr>
          <w:p>
            <w:pPr>
              <w:pStyle w:val="TableParagraph"/>
              <w:spacing w:before="46"/>
              <w:ind w:left="50"/>
              <w:rPr>
                <w:sz w:val="20"/>
              </w:rPr>
            </w:pPr>
            <w:r>
              <w:rPr>
                <w:spacing w:val="-2"/>
                <w:sz w:val="20"/>
              </w:rPr>
              <w:t>ds19.072</w:t>
            </w:r>
          </w:p>
        </w:tc>
        <w:tc>
          <w:tcPr>
            <w:tcW w:w="645" w:type="dxa"/>
          </w:tcPr>
          <w:p>
            <w:pPr>
              <w:pStyle w:val="TableParagraph"/>
              <w:spacing w:before="46"/>
              <w:ind w:right="215"/>
              <w:jc w:val="right"/>
              <w:rPr>
                <w:sz w:val="20"/>
              </w:rPr>
            </w:pPr>
            <w:r>
              <w:rPr>
                <w:spacing w:val="-5"/>
                <w:sz w:val="20"/>
              </w:rPr>
              <w:t>95</w:t>
            </w:r>
          </w:p>
        </w:tc>
        <w:tc>
          <w:tcPr>
            <w:tcW w:w="3180" w:type="dxa"/>
          </w:tcPr>
          <w:p>
            <w:pPr>
              <w:pStyle w:val="TableParagraph"/>
              <w:spacing w:before="46"/>
              <w:ind w:left="219" w:right="122"/>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15"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3885" w:type="dxa"/>
          </w:tcPr>
          <w:p>
            <w:pPr>
              <w:pStyle w:val="TableParagraph"/>
              <w:spacing w:before="46"/>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1"/>
              <w:rPr>
                <w:sz w:val="19"/>
              </w:rPr>
            </w:pPr>
          </w:p>
          <w:p>
            <w:pPr>
              <w:pStyle w:val="TableParagraph"/>
              <w:ind w:left="950" w:right="407" w:firstLine="2"/>
              <w:jc w:val="center"/>
              <w:rPr>
                <w:sz w:val="20"/>
              </w:rPr>
            </w:pPr>
            <w:r>
              <w:rPr>
                <w:sz w:val="20"/>
              </w:rPr>
              <w:t>Длительность: от 4 до 10</w:t>
            </w:r>
            <w:r>
              <w:rPr>
                <w:spacing w:val="-3"/>
                <w:sz w:val="20"/>
              </w:rPr>
              <w:t> </w:t>
            </w:r>
            <w:r>
              <w:rPr>
                <w:sz w:val="20"/>
              </w:rPr>
              <w:t>дней</w:t>
            </w:r>
            <w:r>
              <w:rPr>
                <w:spacing w:val="-5"/>
                <w:sz w:val="20"/>
              </w:rPr>
              <w:t> </w:t>
            </w:r>
            <w:r>
              <w:rPr>
                <w:spacing w:val="-2"/>
                <w:sz w:val="20"/>
              </w:rPr>
              <w:t>включительно</w:t>
            </w:r>
          </w:p>
        </w:tc>
        <w:tc>
          <w:tcPr>
            <w:tcW w:w="783" w:type="dxa"/>
          </w:tcPr>
          <w:p>
            <w:pPr>
              <w:pStyle w:val="TableParagraph"/>
              <w:spacing w:before="46"/>
              <w:ind w:right="47"/>
              <w:jc w:val="right"/>
              <w:rPr>
                <w:sz w:val="20"/>
              </w:rPr>
            </w:pPr>
            <w:r>
              <w:rPr>
                <w:spacing w:val="-4"/>
                <w:sz w:val="20"/>
              </w:rPr>
              <w:t>5,13</w:t>
            </w:r>
          </w:p>
        </w:tc>
      </w:tr>
      <w:tr>
        <w:trPr>
          <w:trHeight w:val="683"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82" w:type="dxa"/>
          </w:tcPr>
          <w:p>
            <w:pPr>
              <w:pStyle w:val="TableParagraph"/>
              <w:spacing w:line="237" w:lineRule="auto"/>
              <w:ind w:left="1034" w:right="237" w:firstLine="650"/>
              <w:rPr>
                <w:sz w:val="20"/>
              </w:rPr>
            </w:pPr>
            <w:r>
              <w:rPr>
                <w:spacing w:val="-4"/>
                <w:sz w:val="20"/>
              </w:rPr>
              <w:t>Иной </w:t>
            </w:r>
            <w:r>
              <w:rPr>
                <w:spacing w:val="-2"/>
                <w:sz w:val="20"/>
              </w:rPr>
              <w:t>классификационный</w:t>
            </w:r>
          </w:p>
          <w:p>
            <w:pPr>
              <w:pStyle w:val="TableParagraph"/>
              <w:spacing w:line="210" w:lineRule="exact"/>
              <w:ind w:left="1115"/>
              <w:rPr>
                <w:sz w:val="20"/>
              </w:rPr>
            </w:pPr>
            <w:r>
              <w:rPr>
                <w:sz w:val="20"/>
              </w:rPr>
              <w:t>критерий:</w:t>
            </w:r>
            <w:r>
              <w:rPr>
                <w:spacing w:val="-10"/>
                <w:sz w:val="20"/>
              </w:rPr>
              <w:t> </w:t>
            </w:r>
            <w:r>
              <w:rPr>
                <w:spacing w:val="-2"/>
                <w:sz w:val="20"/>
              </w:rPr>
              <w:t>gemop1,</w:t>
            </w:r>
          </w:p>
        </w:tc>
        <w:tc>
          <w:tcPr>
            <w:tcW w:w="783"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80"/>
        <w:gridCol w:w="3885"/>
        <w:gridCol w:w="2516"/>
        <w:gridCol w:w="3257"/>
        <w:gridCol w:w="857"/>
      </w:tblGrid>
      <w:tr>
        <w:trPr>
          <w:trHeight w:val="1424"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94" w:right="522" w:firstLine="100"/>
              <w:jc w:val="both"/>
              <w:rPr>
                <w:sz w:val="20"/>
              </w:rPr>
            </w:pPr>
            <w:r>
              <w:rPr>
                <w:sz w:val="20"/>
              </w:rPr>
              <w:t>gemop2, gemop4, gemop5, gemop6, gemop7, gemop10, gemop21,</w:t>
            </w:r>
            <w:r>
              <w:rPr>
                <w:spacing w:val="-13"/>
                <w:sz w:val="20"/>
              </w:rPr>
              <w:t> </w:t>
            </w:r>
            <w:r>
              <w:rPr>
                <w:sz w:val="20"/>
              </w:rPr>
              <w:t>gemop22, gemop23,</w:t>
            </w:r>
            <w:r>
              <w:rPr>
                <w:spacing w:val="-13"/>
                <w:sz w:val="20"/>
              </w:rPr>
              <w:t> </w:t>
            </w:r>
            <w:r>
              <w:rPr>
                <w:sz w:val="20"/>
              </w:rPr>
              <w:t>gemop24, gemop25, gemop26</w:t>
            </w:r>
          </w:p>
        </w:tc>
        <w:tc>
          <w:tcPr>
            <w:tcW w:w="857" w:type="dxa"/>
          </w:tcPr>
          <w:p>
            <w:pPr>
              <w:pStyle w:val="TableParagraph"/>
              <w:rPr>
                <w:sz w:val="18"/>
              </w:rPr>
            </w:pPr>
          </w:p>
        </w:tc>
      </w:tr>
      <w:tr>
        <w:trPr>
          <w:trHeight w:val="1431" w:hRule="atLeast"/>
        </w:trPr>
        <w:tc>
          <w:tcPr>
            <w:tcW w:w="1003" w:type="dxa"/>
          </w:tcPr>
          <w:p>
            <w:pPr>
              <w:pStyle w:val="TableParagraph"/>
              <w:spacing w:before="45"/>
              <w:ind w:left="50"/>
              <w:rPr>
                <w:sz w:val="20"/>
              </w:rPr>
            </w:pPr>
            <w:r>
              <w:rPr>
                <w:spacing w:val="-2"/>
                <w:sz w:val="20"/>
              </w:rPr>
              <w:t>ds19.073</w:t>
            </w:r>
          </w:p>
        </w:tc>
        <w:tc>
          <w:tcPr>
            <w:tcW w:w="645" w:type="dxa"/>
          </w:tcPr>
          <w:p>
            <w:pPr>
              <w:pStyle w:val="TableParagraph"/>
              <w:spacing w:before="45"/>
              <w:ind w:right="215"/>
              <w:jc w:val="right"/>
              <w:rPr>
                <w:sz w:val="20"/>
              </w:rPr>
            </w:pPr>
            <w:r>
              <w:rPr>
                <w:spacing w:val="-5"/>
                <w:sz w:val="20"/>
              </w:rPr>
              <w:t>96</w:t>
            </w:r>
          </w:p>
        </w:tc>
        <w:tc>
          <w:tcPr>
            <w:tcW w:w="3180" w:type="dxa"/>
          </w:tcPr>
          <w:p>
            <w:pPr>
              <w:pStyle w:val="TableParagraph"/>
              <w:spacing w:before="45"/>
              <w:ind w:left="219" w:right="122"/>
              <w:rPr>
                <w:sz w:val="20"/>
              </w:rPr>
            </w:pPr>
            <w:r>
              <w:rPr>
                <w:sz w:val="20"/>
              </w:rPr>
              <w:t>ЗНО лимфоидной и кроветворной тканей, лекарственная терапия с </w:t>
            </w:r>
            <w:r>
              <w:rPr>
                <w:spacing w:val="-2"/>
                <w:sz w:val="20"/>
              </w:rPr>
              <w:t>применением</w:t>
            </w:r>
            <w:r>
              <w:rPr>
                <w:spacing w:val="6"/>
                <w:sz w:val="20"/>
              </w:rPr>
              <w:t> </w:t>
            </w:r>
            <w:r>
              <w:rPr>
                <w:spacing w:val="-2"/>
                <w:sz w:val="20"/>
              </w:rPr>
              <w:t>отдельных</w:t>
            </w:r>
          </w:p>
          <w:p>
            <w:pPr>
              <w:pStyle w:val="TableParagraph"/>
              <w:spacing w:line="230" w:lineRule="atLeast"/>
              <w:ind w:left="219" w:right="122"/>
              <w:rPr>
                <w:sz w:val="20"/>
              </w:rPr>
            </w:pPr>
            <w:r>
              <w:rPr>
                <w:sz w:val="20"/>
              </w:rPr>
              <w:t>препаратов</w:t>
            </w:r>
            <w:r>
              <w:rPr>
                <w:spacing w:val="-13"/>
                <w:sz w:val="20"/>
              </w:rPr>
              <w:t> </w:t>
            </w:r>
            <w:r>
              <w:rPr>
                <w:sz w:val="20"/>
              </w:rPr>
              <w:t>(по</w:t>
            </w:r>
            <w:r>
              <w:rPr>
                <w:spacing w:val="-12"/>
                <w:sz w:val="20"/>
              </w:rPr>
              <w:t> </w:t>
            </w:r>
            <w:r>
              <w:rPr>
                <w:sz w:val="20"/>
              </w:rPr>
              <w:t>перечню), взрослые (уровень 3)</w:t>
            </w:r>
          </w:p>
        </w:tc>
        <w:tc>
          <w:tcPr>
            <w:tcW w:w="3885" w:type="dxa"/>
          </w:tcPr>
          <w:p>
            <w:pPr>
              <w:pStyle w:val="TableParagraph"/>
              <w:spacing w:before="45"/>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8"/>
              <w:jc w:val="right"/>
              <w:rPr>
                <w:sz w:val="20"/>
              </w:rPr>
            </w:pPr>
            <w:r>
              <w:rPr>
                <w:w w:val="99"/>
                <w:sz w:val="20"/>
              </w:rPr>
              <w:t>-</w:t>
            </w:r>
          </w:p>
        </w:tc>
        <w:tc>
          <w:tcPr>
            <w:tcW w:w="3257" w:type="dxa"/>
          </w:tcPr>
          <w:p>
            <w:pPr>
              <w:pStyle w:val="TableParagraph"/>
              <w:spacing w:before="45"/>
              <w:ind w:left="921" w:right="349"/>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21" w:right="350"/>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857" w:type="dxa"/>
          </w:tcPr>
          <w:p>
            <w:pPr>
              <w:pStyle w:val="TableParagraph"/>
              <w:spacing w:before="45"/>
              <w:ind w:right="96"/>
              <w:jc w:val="right"/>
              <w:rPr>
                <w:sz w:val="20"/>
              </w:rPr>
            </w:pPr>
            <w:r>
              <w:rPr>
                <w:spacing w:val="-4"/>
                <w:sz w:val="20"/>
              </w:rPr>
              <w:t>6,88</w:t>
            </w:r>
          </w:p>
        </w:tc>
      </w:tr>
      <w:tr>
        <w:trPr>
          <w:trHeight w:val="2119"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4" w:right="462" w:hanging="2"/>
              <w:jc w:val="center"/>
              <w:rPr>
                <w:sz w:val="20"/>
              </w:rPr>
            </w:pPr>
            <w:r>
              <w:rPr>
                <w:spacing w:val="-4"/>
                <w:sz w:val="20"/>
              </w:rPr>
              <w:t>Иной </w:t>
            </w:r>
            <w:r>
              <w:rPr>
                <w:spacing w:val="-2"/>
                <w:sz w:val="20"/>
              </w:rPr>
              <w:t>классификационный </w:t>
            </w:r>
            <w:r>
              <w:rPr>
                <w:sz w:val="20"/>
              </w:rPr>
              <w:t>критерий: gemop1, gemop2, gemop4, gemop5, gemop6, gemop7, gemop10, gemop21, gemop22, gemop23, gemop24, gemop25, gemop26</w:t>
            </w:r>
          </w:p>
        </w:tc>
        <w:tc>
          <w:tcPr>
            <w:tcW w:w="857" w:type="dxa"/>
          </w:tcPr>
          <w:p>
            <w:pPr>
              <w:pStyle w:val="TableParagraph"/>
              <w:rPr>
                <w:sz w:val="18"/>
              </w:rPr>
            </w:pPr>
          </w:p>
        </w:tc>
      </w:tr>
      <w:tr>
        <w:trPr>
          <w:trHeight w:val="1430" w:hRule="atLeast"/>
        </w:trPr>
        <w:tc>
          <w:tcPr>
            <w:tcW w:w="1003" w:type="dxa"/>
          </w:tcPr>
          <w:p>
            <w:pPr>
              <w:pStyle w:val="TableParagraph"/>
              <w:spacing w:before="45"/>
              <w:ind w:left="50"/>
              <w:rPr>
                <w:sz w:val="20"/>
              </w:rPr>
            </w:pPr>
            <w:r>
              <w:rPr>
                <w:spacing w:val="-2"/>
                <w:sz w:val="20"/>
              </w:rPr>
              <w:t>ds19.074</w:t>
            </w:r>
          </w:p>
        </w:tc>
        <w:tc>
          <w:tcPr>
            <w:tcW w:w="645" w:type="dxa"/>
          </w:tcPr>
          <w:p>
            <w:pPr>
              <w:pStyle w:val="TableParagraph"/>
              <w:spacing w:before="45"/>
              <w:ind w:right="215"/>
              <w:jc w:val="right"/>
              <w:rPr>
                <w:sz w:val="20"/>
              </w:rPr>
            </w:pPr>
            <w:r>
              <w:rPr>
                <w:spacing w:val="-5"/>
                <w:sz w:val="20"/>
              </w:rPr>
              <w:t>97</w:t>
            </w:r>
          </w:p>
        </w:tc>
        <w:tc>
          <w:tcPr>
            <w:tcW w:w="3180" w:type="dxa"/>
          </w:tcPr>
          <w:p>
            <w:pPr>
              <w:pStyle w:val="TableParagraph"/>
              <w:spacing w:line="230" w:lineRule="atLeast" w:before="30"/>
              <w:ind w:left="219" w:right="122"/>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4)</w:t>
            </w:r>
          </w:p>
        </w:tc>
        <w:tc>
          <w:tcPr>
            <w:tcW w:w="3885" w:type="dxa"/>
          </w:tcPr>
          <w:p>
            <w:pPr>
              <w:pStyle w:val="TableParagraph"/>
              <w:spacing w:before="45"/>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8"/>
              <w:jc w:val="right"/>
              <w:rPr>
                <w:sz w:val="20"/>
              </w:rPr>
            </w:pPr>
            <w:r>
              <w:rPr>
                <w:w w:val="99"/>
                <w:sz w:val="20"/>
              </w:rPr>
              <w:t>-</w:t>
            </w:r>
          </w:p>
        </w:tc>
        <w:tc>
          <w:tcPr>
            <w:tcW w:w="3257" w:type="dxa"/>
          </w:tcPr>
          <w:p>
            <w:pPr>
              <w:pStyle w:val="TableParagraph"/>
              <w:spacing w:before="45"/>
              <w:ind w:left="921" w:right="349"/>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21" w:right="351"/>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857" w:type="dxa"/>
          </w:tcPr>
          <w:p>
            <w:pPr>
              <w:pStyle w:val="TableParagraph"/>
              <w:spacing w:before="45"/>
              <w:ind w:right="45"/>
              <w:jc w:val="right"/>
              <w:rPr>
                <w:sz w:val="20"/>
              </w:rPr>
            </w:pPr>
            <w:r>
              <w:rPr>
                <w:spacing w:val="-2"/>
                <w:sz w:val="20"/>
              </w:rPr>
              <w:t>10,03</w:t>
            </w:r>
          </w:p>
        </w:tc>
      </w:tr>
      <w:tr>
        <w:trPr>
          <w:trHeight w:val="2065"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4" w:right="462" w:hanging="2"/>
              <w:jc w:val="center"/>
              <w:rPr>
                <w:sz w:val="20"/>
              </w:rPr>
            </w:pPr>
            <w:r>
              <w:rPr>
                <w:spacing w:val="-4"/>
                <w:sz w:val="20"/>
              </w:rPr>
              <w:t>Иной </w:t>
            </w:r>
            <w:r>
              <w:rPr>
                <w:spacing w:val="-2"/>
                <w:sz w:val="20"/>
              </w:rPr>
              <w:t>классификационный </w:t>
            </w:r>
            <w:r>
              <w:rPr>
                <w:sz w:val="20"/>
              </w:rPr>
              <w:t>критерий: gemop1, gemop2, gemop4, gemop5, gemop6, gemop7, gemop10, gemop21, gemop22,</w:t>
            </w:r>
          </w:p>
          <w:p>
            <w:pPr>
              <w:pStyle w:val="TableParagraph"/>
              <w:spacing w:line="230" w:lineRule="atLeast"/>
              <w:ind w:left="921" w:right="351"/>
              <w:jc w:val="center"/>
              <w:rPr>
                <w:sz w:val="20"/>
              </w:rPr>
            </w:pPr>
            <w:r>
              <w:rPr>
                <w:sz w:val="20"/>
              </w:rPr>
              <w:t>gemop23,</w:t>
            </w:r>
            <w:r>
              <w:rPr>
                <w:spacing w:val="-13"/>
                <w:sz w:val="20"/>
              </w:rPr>
              <w:t> </w:t>
            </w:r>
            <w:r>
              <w:rPr>
                <w:sz w:val="20"/>
              </w:rPr>
              <w:t>gemop24, gemop25,</w:t>
            </w:r>
            <w:r>
              <w:rPr>
                <w:spacing w:val="-8"/>
                <w:sz w:val="20"/>
              </w:rPr>
              <w:t> </w:t>
            </w:r>
            <w:r>
              <w:rPr>
                <w:spacing w:val="-2"/>
                <w:sz w:val="20"/>
              </w:rPr>
              <w:t>gemop26</w:t>
            </w:r>
          </w:p>
        </w:tc>
        <w:tc>
          <w:tcPr>
            <w:tcW w:w="857"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155"/>
        <w:gridCol w:w="3885"/>
        <w:gridCol w:w="2516"/>
        <w:gridCol w:w="3257"/>
        <w:gridCol w:w="858"/>
      </w:tblGrid>
      <w:tr>
        <w:trPr>
          <w:trHeight w:val="3035" w:hRule="atLeast"/>
        </w:trPr>
        <w:tc>
          <w:tcPr>
            <w:tcW w:w="978" w:type="dxa"/>
          </w:tcPr>
          <w:p>
            <w:pPr>
              <w:pStyle w:val="TableParagraph"/>
              <w:spacing w:line="221" w:lineRule="exact"/>
              <w:ind w:left="50"/>
              <w:rPr>
                <w:sz w:val="20"/>
              </w:rPr>
            </w:pPr>
            <w:r>
              <w:rPr>
                <w:spacing w:val="-2"/>
                <w:sz w:val="20"/>
              </w:rPr>
              <w:t>ds19.075</w:t>
            </w:r>
          </w:p>
        </w:tc>
        <w:tc>
          <w:tcPr>
            <w:tcW w:w="696" w:type="dxa"/>
          </w:tcPr>
          <w:p>
            <w:pPr>
              <w:pStyle w:val="TableParagraph"/>
              <w:spacing w:line="221" w:lineRule="exact"/>
              <w:ind w:left="250"/>
              <w:rPr>
                <w:sz w:val="20"/>
              </w:rPr>
            </w:pPr>
            <w:r>
              <w:rPr>
                <w:spacing w:val="-5"/>
                <w:sz w:val="20"/>
              </w:rPr>
              <w:t>98</w:t>
            </w:r>
          </w:p>
        </w:tc>
        <w:tc>
          <w:tcPr>
            <w:tcW w:w="3155" w:type="dxa"/>
          </w:tcPr>
          <w:p>
            <w:pPr>
              <w:pStyle w:val="TableParagraph"/>
              <w:ind w:left="193"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5)</w:t>
            </w:r>
          </w:p>
        </w:tc>
        <w:tc>
          <w:tcPr>
            <w:tcW w:w="3885" w:type="dxa"/>
          </w:tcPr>
          <w:p>
            <w:pPr>
              <w:pStyle w:val="TableParagraph"/>
              <w:spacing w:line="221" w:lineRule="exact"/>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line="221" w:lineRule="exact"/>
              <w:ind w:right="919"/>
              <w:jc w:val="right"/>
              <w:rPr>
                <w:sz w:val="20"/>
              </w:rPr>
            </w:pPr>
            <w:r>
              <w:rPr>
                <w:w w:val="99"/>
                <w:sz w:val="20"/>
              </w:rPr>
              <w:t>-</w:t>
            </w:r>
          </w:p>
        </w:tc>
        <w:tc>
          <w:tcPr>
            <w:tcW w:w="3257" w:type="dxa"/>
          </w:tcPr>
          <w:p>
            <w:pPr>
              <w:pStyle w:val="TableParagraph"/>
              <w:ind w:left="921" w:right="351"/>
              <w:jc w:val="center"/>
              <w:rPr>
                <w:sz w:val="20"/>
              </w:rPr>
            </w:pPr>
            <w:r>
              <w:rPr>
                <w:sz w:val="20"/>
              </w:rPr>
              <w:t>Возрастная</w:t>
            </w:r>
            <w:r>
              <w:rPr>
                <w:spacing w:val="-13"/>
                <w:sz w:val="20"/>
              </w:rPr>
              <w:t> </w:t>
            </w:r>
            <w:r>
              <w:rPr>
                <w:sz w:val="20"/>
              </w:rPr>
              <w:t>группа: старше 18 лет</w:t>
            </w:r>
          </w:p>
          <w:p>
            <w:pPr>
              <w:pStyle w:val="TableParagraph"/>
              <w:spacing w:before="1"/>
              <w:rPr>
                <w:sz w:val="19"/>
              </w:rPr>
            </w:pPr>
          </w:p>
          <w:p>
            <w:pPr>
              <w:pStyle w:val="TableParagraph"/>
              <w:ind w:left="921" w:right="350"/>
              <w:jc w:val="center"/>
              <w:rPr>
                <w:sz w:val="20"/>
              </w:rPr>
            </w:pPr>
            <w:r>
              <w:rPr>
                <w:sz w:val="20"/>
              </w:rPr>
              <w:t>Длительность:</w:t>
            </w:r>
            <w:r>
              <w:rPr>
                <w:spacing w:val="-13"/>
                <w:sz w:val="20"/>
              </w:rPr>
              <w:t> </w:t>
            </w:r>
            <w:r>
              <w:rPr>
                <w:sz w:val="20"/>
              </w:rPr>
              <w:t>До</w:t>
            </w:r>
            <w:r>
              <w:rPr>
                <w:spacing w:val="-12"/>
                <w:sz w:val="20"/>
              </w:rPr>
              <w:t> </w:t>
            </w:r>
            <w:r>
              <w:rPr>
                <w:sz w:val="20"/>
              </w:rPr>
              <w:t>трех </w:t>
            </w:r>
            <w:r>
              <w:rPr>
                <w:spacing w:val="-4"/>
                <w:sz w:val="20"/>
              </w:rPr>
              <w:t>дней</w:t>
            </w:r>
          </w:p>
          <w:p>
            <w:pPr>
              <w:pStyle w:val="TableParagraph"/>
              <w:spacing w:before="1"/>
              <w:rPr>
                <w:sz w:val="20"/>
              </w:rPr>
            </w:pPr>
          </w:p>
          <w:p>
            <w:pPr>
              <w:pStyle w:val="TableParagraph"/>
              <w:ind w:left="1033" w:right="463" w:hanging="2"/>
              <w:jc w:val="center"/>
              <w:rPr>
                <w:sz w:val="20"/>
              </w:rPr>
            </w:pPr>
            <w:r>
              <w:rPr>
                <w:spacing w:val="-4"/>
                <w:sz w:val="20"/>
              </w:rPr>
              <w:t>Иной </w:t>
            </w:r>
            <w:r>
              <w:rPr>
                <w:spacing w:val="-2"/>
                <w:sz w:val="20"/>
              </w:rPr>
              <w:t>классификационный </w:t>
            </w:r>
            <w:r>
              <w:rPr>
                <w:sz w:val="20"/>
              </w:rPr>
              <w:t>критерий: gemop3, gemop9, gemop11, gemop12, gemop13, gemop14, gemop16, </w:t>
            </w:r>
            <w:r>
              <w:rPr>
                <w:spacing w:val="-2"/>
                <w:sz w:val="20"/>
              </w:rPr>
              <w:t>gemop18</w:t>
            </w:r>
          </w:p>
        </w:tc>
        <w:tc>
          <w:tcPr>
            <w:tcW w:w="858" w:type="dxa"/>
          </w:tcPr>
          <w:p>
            <w:pPr>
              <w:pStyle w:val="TableParagraph"/>
              <w:spacing w:line="221" w:lineRule="exact"/>
              <w:ind w:right="47"/>
              <w:jc w:val="right"/>
              <w:rPr>
                <w:sz w:val="20"/>
              </w:rPr>
            </w:pPr>
            <w:r>
              <w:rPr>
                <w:spacing w:val="-2"/>
                <w:sz w:val="20"/>
              </w:rPr>
              <w:t>34,21</w:t>
            </w:r>
          </w:p>
        </w:tc>
      </w:tr>
      <w:tr>
        <w:trPr>
          <w:trHeight w:val="3090" w:hRule="atLeast"/>
        </w:trPr>
        <w:tc>
          <w:tcPr>
            <w:tcW w:w="978" w:type="dxa"/>
          </w:tcPr>
          <w:p>
            <w:pPr>
              <w:pStyle w:val="TableParagraph"/>
              <w:spacing w:before="45"/>
              <w:ind w:left="50"/>
              <w:rPr>
                <w:sz w:val="20"/>
              </w:rPr>
            </w:pPr>
            <w:r>
              <w:rPr>
                <w:spacing w:val="-2"/>
                <w:sz w:val="20"/>
              </w:rPr>
              <w:t>ds19.076</w:t>
            </w:r>
          </w:p>
        </w:tc>
        <w:tc>
          <w:tcPr>
            <w:tcW w:w="696" w:type="dxa"/>
          </w:tcPr>
          <w:p>
            <w:pPr>
              <w:pStyle w:val="TableParagraph"/>
              <w:spacing w:before="45"/>
              <w:ind w:left="250"/>
              <w:rPr>
                <w:sz w:val="20"/>
              </w:rPr>
            </w:pPr>
            <w:r>
              <w:rPr>
                <w:spacing w:val="-5"/>
                <w:sz w:val="20"/>
              </w:rPr>
              <w:t>99</w:t>
            </w:r>
          </w:p>
        </w:tc>
        <w:tc>
          <w:tcPr>
            <w:tcW w:w="3155" w:type="dxa"/>
          </w:tcPr>
          <w:p>
            <w:pPr>
              <w:pStyle w:val="TableParagraph"/>
              <w:spacing w:before="45"/>
              <w:ind w:left="193"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6)</w:t>
            </w:r>
          </w:p>
        </w:tc>
        <w:tc>
          <w:tcPr>
            <w:tcW w:w="3885" w:type="dxa"/>
          </w:tcPr>
          <w:p>
            <w:pPr>
              <w:pStyle w:val="TableParagraph"/>
              <w:spacing w:before="45"/>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9"/>
              <w:jc w:val="right"/>
              <w:rPr>
                <w:sz w:val="20"/>
              </w:rPr>
            </w:pPr>
            <w:r>
              <w:rPr>
                <w:w w:val="99"/>
                <w:sz w:val="20"/>
              </w:rPr>
              <w:t>-</w:t>
            </w:r>
          </w:p>
        </w:tc>
        <w:tc>
          <w:tcPr>
            <w:tcW w:w="3257" w:type="dxa"/>
          </w:tcPr>
          <w:p>
            <w:pPr>
              <w:pStyle w:val="TableParagraph"/>
              <w:spacing w:before="45"/>
              <w:ind w:left="921" w:right="351"/>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49" w:right="383" w:firstLine="2"/>
              <w:jc w:val="center"/>
              <w:rPr>
                <w:sz w:val="20"/>
              </w:rPr>
            </w:pPr>
            <w:r>
              <w:rPr>
                <w:sz w:val="20"/>
              </w:rPr>
              <w:t>Длительность: от 4 до 10</w:t>
            </w:r>
            <w:r>
              <w:rPr>
                <w:spacing w:val="-3"/>
                <w:sz w:val="20"/>
              </w:rPr>
              <w:t> </w:t>
            </w:r>
            <w:r>
              <w:rPr>
                <w:sz w:val="20"/>
              </w:rPr>
              <w:t>дней</w:t>
            </w:r>
            <w:r>
              <w:rPr>
                <w:spacing w:val="-5"/>
                <w:sz w:val="20"/>
              </w:rPr>
              <w:t> </w:t>
            </w:r>
            <w:r>
              <w:rPr>
                <w:spacing w:val="-2"/>
                <w:sz w:val="20"/>
              </w:rPr>
              <w:t>включительно</w:t>
            </w:r>
          </w:p>
          <w:p>
            <w:pPr>
              <w:pStyle w:val="TableParagraph"/>
              <w:spacing w:before="10"/>
              <w:rPr>
                <w:sz w:val="19"/>
              </w:rPr>
            </w:pPr>
          </w:p>
          <w:p>
            <w:pPr>
              <w:pStyle w:val="TableParagraph"/>
              <w:spacing w:before="1"/>
              <w:ind w:left="1033" w:right="463" w:hanging="2"/>
              <w:jc w:val="center"/>
              <w:rPr>
                <w:sz w:val="20"/>
              </w:rPr>
            </w:pPr>
            <w:r>
              <w:rPr>
                <w:spacing w:val="-4"/>
                <w:sz w:val="20"/>
              </w:rPr>
              <w:t>Иной </w:t>
            </w:r>
            <w:r>
              <w:rPr>
                <w:spacing w:val="-2"/>
                <w:sz w:val="20"/>
              </w:rPr>
              <w:t>классификационный </w:t>
            </w:r>
            <w:r>
              <w:rPr>
                <w:sz w:val="20"/>
              </w:rPr>
              <w:t>критерий: gemop3, gemop9, gemop11, gemop12, gemop13, gemop14, gemop16, </w:t>
            </w:r>
            <w:r>
              <w:rPr>
                <w:spacing w:val="-2"/>
                <w:sz w:val="20"/>
              </w:rPr>
              <w:t>gemop18</w:t>
            </w:r>
          </w:p>
        </w:tc>
        <w:tc>
          <w:tcPr>
            <w:tcW w:w="858" w:type="dxa"/>
          </w:tcPr>
          <w:p>
            <w:pPr>
              <w:pStyle w:val="TableParagraph"/>
              <w:spacing w:before="45"/>
              <w:ind w:right="47"/>
              <w:jc w:val="right"/>
              <w:rPr>
                <w:sz w:val="20"/>
              </w:rPr>
            </w:pPr>
            <w:r>
              <w:rPr>
                <w:spacing w:val="-2"/>
                <w:sz w:val="20"/>
              </w:rPr>
              <w:t>35,00</w:t>
            </w:r>
          </w:p>
        </w:tc>
      </w:tr>
      <w:tr>
        <w:trPr>
          <w:trHeight w:val="2345" w:hRule="atLeast"/>
        </w:trPr>
        <w:tc>
          <w:tcPr>
            <w:tcW w:w="978" w:type="dxa"/>
          </w:tcPr>
          <w:p>
            <w:pPr>
              <w:pStyle w:val="TableParagraph"/>
              <w:spacing w:before="46"/>
              <w:ind w:left="50"/>
              <w:rPr>
                <w:sz w:val="20"/>
              </w:rPr>
            </w:pPr>
            <w:r>
              <w:rPr>
                <w:spacing w:val="-2"/>
                <w:sz w:val="20"/>
              </w:rPr>
              <w:t>ds19.077</w:t>
            </w:r>
          </w:p>
        </w:tc>
        <w:tc>
          <w:tcPr>
            <w:tcW w:w="696" w:type="dxa"/>
          </w:tcPr>
          <w:p>
            <w:pPr>
              <w:pStyle w:val="TableParagraph"/>
              <w:spacing w:before="46"/>
              <w:ind w:left="200"/>
              <w:rPr>
                <w:sz w:val="20"/>
              </w:rPr>
            </w:pPr>
            <w:r>
              <w:rPr>
                <w:spacing w:val="-5"/>
                <w:sz w:val="20"/>
              </w:rPr>
              <w:t>100</w:t>
            </w:r>
          </w:p>
        </w:tc>
        <w:tc>
          <w:tcPr>
            <w:tcW w:w="3155" w:type="dxa"/>
          </w:tcPr>
          <w:p>
            <w:pPr>
              <w:pStyle w:val="TableParagraph"/>
              <w:spacing w:before="46"/>
              <w:ind w:left="193"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7)</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9"/>
              <w:jc w:val="right"/>
              <w:rPr>
                <w:sz w:val="20"/>
              </w:rPr>
            </w:pPr>
            <w:r>
              <w:rPr>
                <w:w w:val="99"/>
                <w:sz w:val="20"/>
              </w:rPr>
              <w:t>-</w:t>
            </w:r>
          </w:p>
        </w:tc>
        <w:tc>
          <w:tcPr>
            <w:tcW w:w="3257" w:type="dxa"/>
          </w:tcPr>
          <w:p>
            <w:pPr>
              <w:pStyle w:val="TableParagraph"/>
              <w:spacing w:before="46"/>
              <w:ind w:left="921" w:right="351"/>
              <w:jc w:val="center"/>
              <w:rPr>
                <w:sz w:val="20"/>
              </w:rPr>
            </w:pPr>
            <w:r>
              <w:rPr>
                <w:sz w:val="20"/>
              </w:rPr>
              <w:t>Возрастная</w:t>
            </w:r>
            <w:r>
              <w:rPr>
                <w:spacing w:val="-13"/>
                <w:sz w:val="20"/>
              </w:rPr>
              <w:t> </w:t>
            </w:r>
            <w:r>
              <w:rPr>
                <w:sz w:val="20"/>
              </w:rPr>
              <w:t>группа: старше 18 лет</w:t>
            </w:r>
          </w:p>
          <w:p>
            <w:pPr>
              <w:pStyle w:val="TableParagraph"/>
              <w:spacing w:before="11"/>
              <w:rPr>
                <w:sz w:val="19"/>
              </w:rPr>
            </w:pPr>
          </w:p>
          <w:p>
            <w:pPr>
              <w:pStyle w:val="TableParagraph"/>
              <w:ind w:left="920" w:right="352"/>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p>
            <w:pPr>
              <w:pStyle w:val="TableParagraph"/>
              <w:spacing w:before="1"/>
              <w:rPr>
                <w:sz w:val="20"/>
              </w:rPr>
            </w:pPr>
          </w:p>
          <w:p>
            <w:pPr>
              <w:pStyle w:val="TableParagraph"/>
              <w:ind w:left="1033" w:right="463" w:hanging="2"/>
              <w:jc w:val="center"/>
              <w:rPr>
                <w:sz w:val="20"/>
              </w:rPr>
            </w:pPr>
            <w:r>
              <w:rPr>
                <w:spacing w:val="-4"/>
                <w:sz w:val="20"/>
              </w:rPr>
              <w:t>Иной </w:t>
            </w:r>
            <w:r>
              <w:rPr>
                <w:spacing w:val="-2"/>
                <w:sz w:val="20"/>
              </w:rPr>
              <w:t>классификационный </w:t>
            </w:r>
            <w:r>
              <w:rPr>
                <w:sz w:val="20"/>
              </w:rPr>
              <w:t>критерий: gemop3,</w:t>
            </w:r>
          </w:p>
          <w:p>
            <w:pPr>
              <w:pStyle w:val="TableParagraph"/>
              <w:spacing w:line="209" w:lineRule="exact"/>
              <w:ind w:left="918" w:right="352"/>
              <w:jc w:val="center"/>
              <w:rPr>
                <w:sz w:val="20"/>
              </w:rPr>
            </w:pPr>
            <w:r>
              <w:rPr>
                <w:sz w:val="20"/>
              </w:rPr>
              <w:t>gemop9,</w:t>
            </w:r>
            <w:r>
              <w:rPr>
                <w:spacing w:val="-8"/>
                <w:sz w:val="20"/>
              </w:rPr>
              <w:t> </w:t>
            </w:r>
            <w:r>
              <w:rPr>
                <w:spacing w:val="-2"/>
                <w:sz w:val="20"/>
              </w:rPr>
              <w:t>gemop11,</w:t>
            </w:r>
          </w:p>
        </w:tc>
        <w:tc>
          <w:tcPr>
            <w:tcW w:w="858" w:type="dxa"/>
          </w:tcPr>
          <w:p>
            <w:pPr>
              <w:pStyle w:val="TableParagraph"/>
              <w:spacing w:before="46"/>
              <w:ind w:right="47"/>
              <w:jc w:val="right"/>
              <w:rPr>
                <w:sz w:val="20"/>
              </w:rPr>
            </w:pPr>
            <w:r>
              <w:rPr>
                <w:spacing w:val="-2"/>
                <w:sz w:val="20"/>
              </w:rPr>
              <w:t>37,10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61"/>
        <w:gridCol w:w="5373"/>
        <w:gridCol w:w="1623"/>
        <w:gridCol w:w="3257"/>
        <w:gridCol w:w="858"/>
      </w:tblGrid>
      <w:tr>
        <w:trPr>
          <w:trHeight w:val="734"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ind w:left="918" w:right="352"/>
              <w:jc w:val="center"/>
              <w:rPr>
                <w:sz w:val="20"/>
              </w:rPr>
            </w:pPr>
            <w:r>
              <w:rPr>
                <w:sz w:val="20"/>
              </w:rPr>
              <w:t>gemop12,</w:t>
            </w:r>
            <w:r>
              <w:rPr>
                <w:spacing w:val="-13"/>
                <w:sz w:val="20"/>
              </w:rPr>
              <w:t> </w:t>
            </w:r>
            <w:r>
              <w:rPr>
                <w:sz w:val="20"/>
              </w:rPr>
              <w:t>gemop13, gemop14,</w:t>
            </w:r>
            <w:r>
              <w:rPr>
                <w:spacing w:val="-13"/>
                <w:sz w:val="20"/>
              </w:rPr>
              <w:t> </w:t>
            </w:r>
            <w:r>
              <w:rPr>
                <w:sz w:val="20"/>
              </w:rPr>
              <w:t>gemop16, </w:t>
            </w:r>
            <w:r>
              <w:rPr>
                <w:spacing w:val="-2"/>
                <w:sz w:val="20"/>
              </w:rPr>
              <w:t>gemop18</w:t>
            </w:r>
          </w:p>
        </w:tc>
        <w:tc>
          <w:tcPr>
            <w:tcW w:w="858" w:type="dxa"/>
          </w:tcPr>
          <w:p>
            <w:pPr>
              <w:pStyle w:val="TableParagraph"/>
              <w:rPr>
                <w:sz w:val="18"/>
              </w:rPr>
            </w:pPr>
          </w:p>
        </w:tc>
      </w:tr>
      <w:tr>
        <w:trPr>
          <w:trHeight w:val="1431" w:hRule="atLeast"/>
        </w:trPr>
        <w:tc>
          <w:tcPr>
            <w:tcW w:w="978" w:type="dxa"/>
          </w:tcPr>
          <w:p>
            <w:pPr>
              <w:pStyle w:val="TableParagraph"/>
              <w:spacing w:before="46"/>
              <w:ind w:left="38" w:right="186"/>
              <w:jc w:val="center"/>
              <w:rPr>
                <w:sz w:val="20"/>
              </w:rPr>
            </w:pPr>
            <w:r>
              <w:rPr>
                <w:spacing w:val="-2"/>
                <w:sz w:val="20"/>
              </w:rPr>
              <w:t>ds19.078</w:t>
            </w:r>
          </w:p>
        </w:tc>
        <w:tc>
          <w:tcPr>
            <w:tcW w:w="696" w:type="dxa"/>
          </w:tcPr>
          <w:p>
            <w:pPr>
              <w:pStyle w:val="TableParagraph"/>
              <w:spacing w:before="46"/>
              <w:ind w:left="200"/>
              <w:rPr>
                <w:sz w:val="20"/>
              </w:rPr>
            </w:pPr>
            <w:r>
              <w:rPr>
                <w:spacing w:val="-5"/>
                <w:sz w:val="20"/>
              </w:rPr>
              <w:t>101</w:t>
            </w:r>
          </w:p>
        </w:tc>
        <w:tc>
          <w:tcPr>
            <w:tcW w:w="2561" w:type="dxa"/>
          </w:tcPr>
          <w:p>
            <w:pPr>
              <w:pStyle w:val="TableParagraph"/>
              <w:spacing w:before="46"/>
              <w:ind w:left="193"/>
              <w:rPr>
                <w:sz w:val="20"/>
              </w:rPr>
            </w:pPr>
            <w:r>
              <w:rPr>
                <w:sz w:val="20"/>
              </w:rPr>
              <w:t>ЗНО лимфоидной и кроветворной тканей, лекарственная терапия с </w:t>
            </w:r>
            <w:r>
              <w:rPr>
                <w:spacing w:val="-2"/>
                <w:sz w:val="20"/>
              </w:rPr>
              <w:t>применением</w:t>
            </w:r>
            <w:r>
              <w:rPr>
                <w:spacing w:val="6"/>
                <w:sz w:val="20"/>
              </w:rPr>
              <w:t> </w:t>
            </w:r>
            <w:r>
              <w:rPr>
                <w:spacing w:val="-2"/>
                <w:sz w:val="20"/>
              </w:rPr>
              <w:t>отдельных</w:t>
            </w:r>
          </w:p>
          <w:p>
            <w:pPr>
              <w:pStyle w:val="TableParagraph"/>
              <w:spacing w:line="230" w:lineRule="exact"/>
              <w:ind w:left="193"/>
              <w:rPr>
                <w:sz w:val="20"/>
              </w:rPr>
            </w:pPr>
            <w:r>
              <w:rPr>
                <w:sz w:val="20"/>
              </w:rPr>
              <w:t>препаратов</w:t>
            </w:r>
            <w:r>
              <w:rPr>
                <w:spacing w:val="-13"/>
                <w:sz w:val="20"/>
              </w:rPr>
              <w:t> </w:t>
            </w:r>
            <w:r>
              <w:rPr>
                <w:sz w:val="20"/>
              </w:rPr>
              <w:t>(по</w:t>
            </w:r>
            <w:r>
              <w:rPr>
                <w:spacing w:val="-12"/>
                <w:sz w:val="20"/>
              </w:rPr>
              <w:t> </w:t>
            </w:r>
            <w:r>
              <w:rPr>
                <w:sz w:val="20"/>
              </w:rPr>
              <w:t>перечню), взрослые (уровень 8)</w:t>
            </w:r>
          </w:p>
        </w:tc>
        <w:tc>
          <w:tcPr>
            <w:tcW w:w="5373" w:type="dxa"/>
          </w:tcPr>
          <w:p>
            <w:pPr>
              <w:pStyle w:val="TableParagraph"/>
              <w:spacing w:before="46"/>
              <w:ind w:left="1364"/>
              <w:rPr>
                <w:sz w:val="20"/>
              </w:rPr>
            </w:pPr>
            <w:r>
              <w:rPr>
                <w:sz w:val="20"/>
              </w:rPr>
              <w:t>C81-C96,</w:t>
            </w:r>
            <w:r>
              <w:rPr>
                <w:spacing w:val="-11"/>
                <w:sz w:val="20"/>
              </w:rPr>
              <w:t> </w:t>
            </w:r>
            <w:r>
              <w:rPr>
                <w:sz w:val="20"/>
              </w:rPr>
              <w:t>D45-</w:t>
            </w:r>
            <w:r>
              <w:rPr>
                <w:spacing w:val="-5"/>
                <w:sz w:val="20"/>
              </w:rPr>
              <w:t>D47</w:t>
            </w:r>
          </w:p>
        </w:tc>
        <w:tc>
          <w:tcPr>
            <w:tcW w:w="1623" w:type="dxa"/>
          </w:tcPr>
          <w:p>
            <w:pPr>
              <w:pStyle w:val="TableParagraph"/>
              <w:spacing w:before="46"/>
              <w:ind w:left="633"/>
              <w:rPr>
                <w:sz w:val="20"/>
              </w:rPr>
            </w:pPr>
            <w:r>
              <w:rPr>
                <w:w w:val="99"/>
                <w:sz w:val="20"/>
              </w:rPr>
              <w:t>-</w:t>
            </w:r>
          </w:p>
        </w:tc>
        <w:tc>
          <w:tcPr>
            <w:tcW w:w="3257" w:type="dxa"/>
          </w:tcPr>
          <w:p>
            <w:pPr>
              <w:pStyle w:val="TableParagraph"/>
              <w:spacing w:before="46"/>
              <w:ind w:left="920" w:right="352"/>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18" w:right="352"/>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858" w:type="dxa"/>
          </w:tcPr>
          <w:p>
            <w:pPr>
              <w:pStyle w:val="TableParagraph"/>
              <w:spacing w:before="46"/>
              <w:ind w:right="48"/>
              <w:jc w:val="right"/>
              <w:rPr>
                <w:sz w:val="20"/>
              </w:rPr>
            </w:pPr>
            <w:r>
              <w:rPr>
                <w:spacing w:val="-2"/>
                <w:sz w:val="20"/>
              </w:rPr>
              <w:t>39,91</w:t>
            </w:r>
          </w:p>
        </w:tc>
      </w:tr>
      <w:tr>
        <w:trPr>
          <w:trHeight w:val="1659"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ind w:left="1032" w:right="464" w:hanging="2"/>
              <w:jc w:val="center"/>
              <w:rPr>
                <w:sz w:val="20"/>
              </w:rPr>
            </w:pPr>
            <w:r>
              <w:rPr>
                <w:spacing w:val="-4"/>
                <w:sz w:val="20"/>
              </w:rPr>
              <w:t>Иной </w:t>
            </w:r>
            <w:r>
              <w:rPr>
                <w:spacing w:val="-2"/>
                <w:sz w:val="20"/>
              </w:rPr>
              <w:t>классификационный </w:t>
            </w:r>
            <w:r>
              <w:rPr>
                <w:sz w:val="20"/>
              </w:rPr>
              <w:t>критерий: gemop3, gemop9, gemop11, gemop12, gemop13, gemop14, gemop16, </w:t>
            </w:r>
            <w:r>
              <w:rPr>
                <w:spacing w:val="-2"/>
                <w:sz w:val="20"/>
              </w:rPr>
              <w:t>gemop18</w:t>
            </w:r>
          </w:p>
        </w:tc>
        <w:tc>
          <w:tcPr>
            <w:tcW w:w="858"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ds19.079</w:t>
            </w:r>
          </w:p>
        </w:tc>
        <w:tc>
          <w:tcPr>
            <w:tcW w:w="696" w:type="dxa"/>
          </w:tcPr>
          <w:p>
            <w:pPr>
              <w:pStyle w:val="TableParagraph"/>
              <w:spacing w:line="215" w:lineRule="exact" w:before="45"/>
              <w:ind w:left="200"/>
              <w:rPr>
                <w:sz w:val="20"/>
              </w:rPr>
            </w:pPr>
            <w:r>
              <w:rPr>
                <w:spacing w:val="-5"/>
                <w:sz w:val="20"/>
              </w:rPr>
              <w:t>102</w:t>
            </w:r>
          </w:p>
        </w:tc>
        <w:tc>
          <w:tcPr>
            <w:tcW w:w="2561" w:type="dxa"/>
          </w:tcPr>
          <w:p>
            <w:pPr>
              <w:pStyle w:val="TableParagraph"/>
              <w:spacing w:line="215" w:lineRule="exact" w:before="45"/>
              <w:ind w:left="193"/>
              <w:rPr>
                <w:sz w:val="20"/>
              </w:rPr>
            </w:pPr>
            <w:r>
              <w:rPr>
                <w:sz w:val="20"/>
              </w:rPr>
              <w:t>Лучевые</w:t>
            </w:r>
            <w:r>
              <w:rPr>
                <w:spacing w:val="-8"/>
                <w:sz w:val="20"/>
              </w:rPr>
              <w:t> </w:t>
            </w:r>
            <w:r>
              <w:rPr>
                <w:spacing w:val="-2"/>
                <w:sz w:val="20"/>
              </w:rPr>
              <w:t>повреждения</w:t>
            </w:r>
          </w:p>
        </w:tc>
        <w:tc>
          <w:tcPr>
            <w:tcW w:w="5373" w:type="dxa"/>
          </w:tcPr>
          <w:p>
            <w:pPr>
              <w:pStyle w:val="TableParagraph"/>
              <w:spacing w:line="215" w:lineRule="exact" w:before="45"/>
              <w:ind w:left="323"/>
              <w:rPr>
                <w:sz w:val="20"/>
              </w:rPr>
            </w:pPr>
            <w:r>
              <w:rPr>
                <w:sz w:val="20"/>
              </w:rPr>
              <w:t>I42.7,</w:t>
            </w:r>
            <w:r>
              <w:rPr>
                <w:spacing w:val="-5"/>
                <w:sz w:val="20"/>
              </w:rPr>
              <w:t> </w:t>
            </w:r>
            <w:r>
              <w:rPr>
                <w:sz w:val="20"/>
              </w:rPr>
              <w:t>I89.8,</w:t>
            </w:r>
            <w:r>
              <w:rPr>
                <w:spacing w:val="-7"/>
                <w:sz w:val="20"/>
              </w:rPr>
              <w:t> </w:t>
            </w:r>
            <w:r>
              <w:rPr>
                <w:sz w:val="20"/>
              </w:rPr>
              <w:t>I97.2,</w:t>
            </w:r>
            <w:r>
              <w:rPr>
                <w:spacing w:val="-7"/>
                <w:sz w:val="20"/>
              </w:rPr>
              <w:t> </w:t>
            </w:r>
            <w:r>
              <w:rPr>
                <w:sz w:val="20"/>
              </w:rPr>
              <w:t>J70.1,</w:t>
            </w:r>
            <w:r>
              <w:rPr>
                <w:spacing w:val="-5"/>
                <w:sz w:val="20"/>
              </w:rPr>
              <w:t> </w:t>
            </w:r>
            <w:r>
              <w:rPr>
                <w:sz w:val="20"/>
              </w:rPr>
              <w:t>K62.7,</w:t>
            </w:r>
            <w:r>
              <w:rPr>
                <w:spacing w:val="-5"/>
                <w:sz w:val="20"/>
              </w:rPr>
              <w:t> </w:t>
            </w:r>
            <w:r>
              <w:rPr>
                <w:sz w:val="20"/>
              </w:rPr>
              <w:t>L58.9,</w:t>
            </w:r>
            <w:r>
              <w:rPr>
                <w:spacing w:val="-5"/>
                <w:sz w:val="20"/>
              </w:rPr>
              <w:t> </w:t>
            </w:r>
            <w:r>
              <w:rPr>
                <w:spacing w:val="-4"/>
                <w:sz w:val="20"/>
              </w:rPr>
              <w:t>M54,</w:t>
            </w:r>
          </w:p>
        </w:tc>
        <w:tc>
          <w:tcPr>
            <w:tcW w:w="1623" w:type="dxa"/>
          </w:tcPr>
          <w:p>
            <w:pPr>
              <w:pStyle w:val="TableParagraph"/>
              <w:spacing w:line="215" w:lineRule="exact" w:before="45"/>
              <w:ind w:left="633"/>
              <w:rPr>
                <w:sz w:val="20"/>
              </w:rPr>
            </w:pPr>
            <w:r>
              <w:rPr>
                <w:w w:val="99"/>
                <w:sz w:val="20"/>
              </w:rPr>
              <w:t>-</w:t>
            </w:r>
          </w:p>
        </w:tc>
        <w:tc>
          <w:tcPr>
            <w:tcW w:w="3257" w:type="dxa"/>
          </w:tcPr>
          <w:p>
            <w:pPr>
              <w:pStyle w:val="TableParagraph"/>
              <w:spacing w:line="215" w:lineRule="exact" w:before="45"/>
              <w:ind w:left="917" w:right="352"/>
              <w:jc w:val="center"/>
              <w:rPr>
                <w:sz w:val="20"/>
              </w:rPr>
            </w:pPr>
            <w:r>
              <w:rPr>
                <w:spacing w:val="-2"/>
                <w:sz w:val="20"/>
              </w:rPr>
              <w:t>Дополнительные</w:t>
            </w:r>
          </w:p>
        </w:tc>
        <w:tc>
          <w:tcPr>
            <w:tcW w:w="858" w:type="dxa"/>
          </w:tcPr>
          <w:p>
            <w:pPr>
              <w:pStyle w:val="TableParagraph"/>
              <w:spacing w:line="215" w:lineRule="exact" w:before="45"/>
              <w:ind w:right="99"/>
              <w:jc w:val="right"/>
              <w:rPr>
                <w:sz w:val="20"/>
              </w:rPr>
            </w:pPr>
            <w:r>
              <w:rPr>
                <w:spacing w:val="-4"/>
                <w:sz w:val="20"/>
              </w:rPr>
              <w:t>2,62</w:t>
            </w:r>
          </w:p>
        </w:tc>
      </w:tr>
      <w:tr>
        <w:trPr>
          <w:trHeight w:val="345"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spacing w:line="226" w:lineRule="exact"/>
              <w:ind w:left="1614"/>
              <w:rPr>
                <w:sz w:val="20"/>
              </w:rPr>
            </w:pPr>
            <w:r>
              <w:rPr>
                <w:sz w:val="20"/>
              </w:rPr>
              <w:t>N30.4,</w:t>
            </w:r>
            <w:r>
              <w:rPr>
                <w:spacing w:val="-3"/>
                <w:sz w:val="20"/>
              </w:rPr>
              <w:t> </w:t>
            </w:r>
            <w:r>
              <w:rPr>
                <w:spacing w:val="-2"/>
                <w:sz w:val="20"/>
              </w:rPr>
              <w:t>N76.6</w:t>
            </w:r>
          </w:p>
        </w:tc>
        <w:tc>
          <w:tcPr>
            <w:tcW w:w="1623" w:type="dxa"/>
          </w:tcPr>
          <w:p>
            <w:pPr>
              <w:pStyle w:val="TableParagraph"/>
              <w:rPr>
                <w:sz w:val="18"/>
              </w:rPr>
            </w:pPr>
          </w:p>
        </w:tc>
        <w:tc>
          <w:tcPr>
            <w:tcW w:w="3257" w:type="dxa"/>
          </w:tcPr>
          <w:p>
            <w:pPr>
              <w:pStyle w:val="TableParagraph"/>
              <w:spacing w:line="226" w:lineRule="exact"/>
              <w:ind w:left="912" w:right="352"/>
              <w:jc w:val="center"/>
              <w:rPr>
                <w:sz w:val="20"/>
              </w:rPr>
            </w:pPr>
            <w:r>
              <w:rPr>
                <w:sz w:val="20"/>
              </w:rPr>
              <w:t>диагнозы:</w:t>
            </w:r>
            <w:r>
              <w:rPr>
                <w:spacing w:val="-11"/>
                <w:sz w:val="20"/>
              </w:rPr>
              <w:t> </w:t>
            </w:r>
            <w:r>
              <w:rPr>
                <w:spacing w:val="-5"/>
                <w:sz w:val="20"/>
              </w:rPr>
              <w:t>C.</w:t>
            </w:r>
          </w:p>
        </w:tc>
        <w:tc>
          <w:tcPr>
            <w:tcW w:w="858" w:type="dxa"/>
          </w:tcPr>
          <w:p>
            <w:pPr>
              <w:pStyle w:val="TableParagraph"/>
              <w:rPr>
                <w:sz w:val="18"/>
              </w:rPr>
            </w:pPr>
          </w:p>
        </w:tc>
      </w:tr>
      <w:tr>
        <w:trPr>
          <w:trHeight w:val="345"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spacing w:line="215" w:lineRule="exact" w:before="111"/>
              <w:ind w:left="916" w:right="352"/>
              <w:jc w:val="center"/>
              <w:rPr>
                <w:sz w:val="20"/>
              </w:rPr>
            </w:pPr>
            <w:r>
              <w:rPr>
                <w:spacing w:val="-4"/>
                <w:sz w:val="20"/>
              </w:rPr>
              <w:t>Иной</w:t>
            </w:r>
          </w:p>
        </w:tc>
        <w:tc>
          <w:tcPr>
            <w:tcW w:w="858" w:type="dxa"/>
          </w:tcPr>
          <w:p>
            <w:pPr>
              <w:pStyle w:val="TableParagraph"/>
              <w:rPr>
                <w:sz w:val="18"/>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rPr>
                <w:sz w:val="16"/>
              </w:rPr>
            </w:pPr>
          </w:p>
        </w:tc>
        <w:tc>
          <w:tcPr>
            <w:tcW w:w="1623" w:type="dxa"/>
          </w:tcPr>
          <w:p>
            <w:pPr>
              <w:pStyle w:val="TableParagraph"/>
              <w:rPr>
                <w:sz w:val="16"/>
              </w:rPr>
            </w:pPr>
          </w:p>
        </w:tc>
        <w:tc>
          <w:tcPr>
            <w:tcW w:w="3257" w:type="dxa"/>
          </w:tcPr>
          <w:p>
            <w:pPr>
              <w:pStyle w:val="TableParagraph"/>
              <w:spacing w:line="209" w:lineRule="exact"/>
              <w:ind w:left="918" w:right="352"/>
              <w:jc w:val="center"/>
              <w:rPr>
                <w:sz w:val="20"/>
              </w:rPr>
            </w:pPr>
            <w:r>
              <w:rPr>
                <w:spacing w:val="-2"/>
                <w:sz w:val="20"/>
              </w:rPr>
              <w:t>классификационный</w:t>
            </w:r>
          </w:p>
        </w:tc>
        <w:tc>
          <w:tcPr>
            <w:tcW w:w="858"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spacing w:line="224" w:lineRule="exact"/>
              <w:ind w:left="915" w:right="352"/>
              <w:jc w:val="center"/>
              <w:rPr>
                <w:sz w:val="20"/>
              </w:rPr>
            </w:pPr>
            <w:r>
              <w:rPr>
                <w:sz w:val="20"/>
              </w:rPr>
              <w:t>критерий:</w:t>
            </w:r>
            <w:r>
              <w:rPr>
                <w:spacing w:val="-13"/>
                <w:sz w:val="20"/>
              </w:rPr>
              <w:t> </w:t>
            </w:r>
            <w:r>
              <w:rPr>
                <w:spacing w:val="-5"/>
                <w:sz w:val="20"/>
              </w:rPr>
              <w:t>olt</w:t>
            </w:r>
          </w:p>
        </w:tc>
        <w:tc>
          <w:tcPr>
            <w:tcW w:w="858" w:type="dxa"/>
          </w:tcPr>
          <w:p>
            <w:pPr>
              <w:pStyle w:val="TableParagraph"/>
              <w:rPr>
                <w:sz w:val="18"/>
              </w:rPr>
            </w:pPr>
          </w:p>
        </w:tc>
      </w:tr>
      <w:tr>
        <w:trPr>
          <w:trHeight w:val="330" w:hRule="atLeast"/>
        </w:trPr>
        <w:tc>
          <w:tcPr>
            <w:tcW w:w="978" w:type="dxa"/>
          </w:tcPr>
          <w:p>
            <w:pPr>
              <w:pStyle w:val="TableParagraph"/>
              <w:spacing w:before="46"/>
              <w:ind w:left="39" w:right="186"/>
              <w:jc w:val="center"/>
              <w:rPr>
                <w:sz w:val="20"/>
              </w:rPr>
            </w:pPr>
            <w:r>
              <w:rPr>
                <w:spacing w:val="-4"/>
                <w:sz w:val="20"/>
              </w:rPr>
              <w:t>ds20</w:t>
            </w:r>
          </w:p>
        </w:tc>
        <w:tc>
          <w:tcPr>
            <w:tcW w:w="696" w:type="dxa"/>
          </w:tcPr>
          <w:p>
            <w:pPr>
              <w:pStyle w:val="TableParagraph"/>
              <w:spacing w:before="46"/>
              <w:ind w:left="250"/>
              <w:rPr>
                <w:sz w:val="20"/>
              </w:rPr>
            </w:pPr>
            <w:r>
              <w:rPr>
                <w:spacing w:val="-5"/>
                <w:sz w:val="20"/>
              </w:rPr>
              <w:t>20</w:t>
            </w:r>
          </w:p>
        </w:tc>
        <w:tc>
          <w:tcPr>
            <w:tcW w:w="2561" w:type="dxa"/>
          </w:tcPr>
          <w:p>
            <w:pPr>
              <w:pStyle w:val="TableParagraph"/>
              <w:rPr>
                <w:sz w:val="18"/>
              </w:rPr>
            </w:pPr>
          </w:p>
        </w:tc>
        <w:tc>
          <w:tcPr>
            <w:tcW w:w="5373" w:type="dxa"/>
          </w:tcPr>
          <w:p>
            <w:pPr>
              <w:pStyle w:val="TableParagraph"/>
              <w:spacing w:before="46"/>
              <w:ind w:left="2831"/>
              <w:rPr>
                <w:sz w:val="20"/>
              </w:rPr>
            </w:pPr>
            <w:r>
              <w:rPr>
                <w:spacing w:val="-2"/>
                <w:sz w:val="20"/>
              </w:rPr>
              <w:t>Оториноларингология</w:t>
            </w:r>
          </w:p>
        </w:tc>
        <w:tc>
          <w:tcPr>
            <w:tcW w:w="1623" w:type="dxa"/>
          </w:tcPr>
          <w:p>
            <w:pPr>
              <w:pStyle w:val="TableParagraph"/>
              <w:rPr>
                <w:sz w:val="18"/>
              </w:rPr>
            </w:pPr>
          </w:p>
        </w:tc>
        <w:tc>
          <w:tcPr>
            <w:tcW w:w="3257" w:type="dxa"/>
          </w:tcPr>
          <w:p>
            <w:pPr>
              <w:pStyle w:val="TableParagraph"/>
              <w:rPr>
                <w:sz w:val="18"/>
              </w:rPr>
            </w:pPr>
          </w:p>
        </w:tc>
        <w:tc>
          <w:tcPr>
            <w:tcW w:w="858" w:type="dxa"/>
          </w:tcPr>
          <w:p>
            <w:pPr>
              <w:pStyle w:val="TableParagraph"/>
              <w:spacing w:before="46"/>
              <w:ind w:right="99"/>
              <w:jc w:val="right"/>
              <w:rPr>
                <w:sz w:val="20"/>
              </w:rPr>
            </w:pPr>
            <w:r>
              <w:rPr>
                <w:spacing w:val="-4"/>
                <w:sz w:val="20"/>
              </w:rPr>
              <w:t>0,98</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ds20.001</w:t>
            </w:r>
          </w:p>
        </w:tc>
        <w:tc>
          <w:tcPr>
            <w:tcW w:w="696" w:type="dxa"/>
          </w:tcPr>
          <w:p>
            <w:pPr>
              <w:pStyle w:val="TableParagraph"/>
              <w:spacing w:line="215" w:lineRule="exact" w:before="45"/>
              <w:ind w:left="200"/>
              <w:rPr>
                <w:sz w:val="20"/>
              </w:rPr>
            </w:pPr>
            <w:r>
              <w:rPr>
                <w:spacing w:val="-5"/>
                <w:sz w:val="20"/>
              </w:rPr>
              <w:t>103</w:t>
            </w:r>
          </w:p>
        </w:tc>
        <w:tc>
          <w:tcPr>
            <w:tcW w:w="2561" w:type="dxa"/>
          </w:tcPr>
          <w:p>
            <w:pPr>
              <w:pStyle w:val="TableParagraph"/>
              <w:spacing w:line="215" w:lineRule="exact" w:before="45"/>
              <w:ind w:left="193"/>
              <w:rPr>
                <w:sz w:val="20"/>
              </w:rPr>
            </w:pPr>
            <w:r>
              <w:rPr>
                <w:sz w:val="20"/>
              </w:rPr>
              <w:t>Болезни</w:t>
            </w:r>
            <w:r>
              <w:rPr>
                <w:spacing w:val="-7"/>
                <w:sz w:val="20"/>
              </w:rPr>
              <w:t> </w:t>
            </w:r>
            <w:r>
              <w:rPr>
                <w:sz w:val="20"/>
              </w:rPr>
              <w:t>уха,</w:t>
            </w:r>
            <w:r>
              <w:rPr>
                <w:spacing w:val="-7"/>
                <w:sz w:val="20"/>
              </w:rPr>
              <w:t> </w:t>
            </w:r>
            <w:r>
              <w:rPr>
                <w:sz w:val="20"/>
              </w:rPr>
              <w:t>горла,</w:t>
            </w:r>
            <w:r>
              <w:rPr>
                <w:spacing w:val="-6"/>
                <w:sz w:val="20"/>
              </w:rPr>
              <w:t> </w:t>
            </w:r>
            <w:r>
              <w:rPr>
                <w:spacing w:val="-4"/>
                <w:sz w:val="20"/>
              </w:rPr>
              <w:t>носа</w:t>
            </w:r>
          </w:p>
        </w:tc>
        <w:tc>
          <w:tcPr>
            <w:tcW w:w="5373" w:type="dxa"/>
          </w:tcPr>
          <w:p>
            <w:pPr>
              <w:pStyle w:val="TableParagraph"/>
              <w:spacing w:line="215" w:lineRule="exact" w:before="45"/>
              <w:ind w:left="253"/>
              <w:rPr>
                <w:sz w:val="20"/>
              </w:rPr>
            </w:pPr>
            <w:r>
              <w:rPr>
                <w:sz w:val="20"/>
              </w:rPr>
              <w:t>D00,</w:t>
            </w:r>
            <w:r>
              <w:rPr>
                <w:spacing w:val="-5"/>
                <w:sz w:val="20"/>
              </w:rPr>
              <w:t> </w:t>
            </w:r>
            <w:r>
              <w:rPr>
                <w:sz w:val="20"/>
              </w:rPr>
              <w:t>D00.0,</w:t>
            </w:r>
            <w:r>
              <w:rPr>
                <w:spacing w:val="-5"/>
                <w:sz w:val="20"/>
              </w:rPr>
              <w:t> </w:t>
            </w:r>
            <w:r>
              <w:rPr>
                <w:sz w:val="20"/>
              </w:rPr>
              <w:t>D00.1,</w:t>
            </w:r>
            <w:r>
              <w:rPr>
                <w:spacing w:val="-5"/>
                <w:sz w:val="20"/>
              </w:rPr>
              <w:t> </w:t>
            </w:r>
            <w:r>
              <w:rPr>
                <w:sz w:val="20"/>
              </w:rPr>
              <w:t>D00.2,</w:t>
            </w:r>
            <w:r>
              <w:rPr>
                <w:spacing w:val="-5"/>
                <w:sz w:val="20"/>
              </w:rPr>
              <w:t> </w:t>
            </w:r>
            <w:r>
              <w:rPr>
                <w:sz w:val="20"/>
              </w:rPr>
              <w:t>D02.0,</w:t>
            </w:r>
            <w:r>
              <w:rPr>
                <w:spacing w:val="-5"/>
                <w:sz w:val="20"/>
              </w:rPr>
              <w:t> </w:t>
            </w:r>
            <w:r>
              <w:rPr>
                <w:sz w:val="20"/>
              </w:rPr>
              <w:t>D10,</w:t>
            </w:r>
            <w:r>
              <w:rPr>
                <w:spacing w:val="-5"/>
                <w:sz w:val="20"/>
              </w:rPr>
              <w:t> </w:t>
            </w:r>
            <w:r>
              <w:rPr>
                <w:spacing w:val="-2"/>
                <w:sz w:val="20"/>
              </w:rPr>
              <w:t>D10.0,</w:t>
            </w:r>
          </w:p>
        </w:tc>
        <w:tc>
          <w:tcPr>
            <w:tcW w:w="1623" w:type="dxa"/>
          </w:tcPr>
          <w:p>
            <w:pPr>
              <w:pStyle w:val="TableParagraph"/>
              <w:spacing w:line="215" w:lineRule="exact" w:before="45"/>
              <w:ind w:left="633"/>
              <w:rPr>
                <w:sz w:val="20"/>
              </w:rPr>
            </w:pPr>
            <w:r>
              <w:rPr>
                <w:w w:val="99"/>
                <w:sz w:val="20"/>
              </w:rPr>
              <w:t>-</w:t>
            </w:r>
          </w:p>
        </w:tc>
        <w:tc>
          <w:tcPr>
            <w:tcW w:w="3257" w:type="dxa"/>
          </w:tcPr>
          <w:p>
            <w:pPr>
              <w:pStyle w:val="TableParagraph"/>
              <w:spacing w:line="215" w:lineRule="exact" w:before="45"/>
              <w:ind w:left="563"/>
              <w:jc w:val="center"/>
              <w:rPr>
                <w:sz w:val="20"/>
              </w:rPr>
            </w:pPr>
            <w:r>
              <w:rPr>
                <w:w w:val="99"/>
                <w:sz w:val="20"/>
              </w:rPr>
              <w:t>-</w:t>
            </w:r>
          </w:p>
        </w:tc>
        <w:tc>
          <w:tcPr>
            <w:tcW w:w="858" w:type="dxa"/>
          </w:tcPr>
          <w:p>
            <w:pPr>
              <w:pStyle w:val="TableParagraph"/>
              <w:spacing w:line="215" w:lineRule="exact" w:before="45"/>
              <w:ind w:right="99"/>
              <w:jc w:val="right"/>
              <w:rPr>
                <w:sz w:val="20"/>
              </w:rPr>
            </w:pPr>
            <w:r>
              <w:rPr>
                <w:spacing w:val="-4"/>
                <w:sz w:val="20"/>
              </w:rPr>
              <w:t>0,74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400"/>
              <w:rPr>
                <w:sz w:val="20"/>
              </w:rPr>
            </w:pPr>
            <w:r>
              <w:rPr>
                <w:sz w:val="20"/>
              </w:rPr>
              <w:t>D10.1,</w:t>
            </w:r>
            <w:r>
              <w:rPr>
                <w:spacing w:val="-4"/>
                <w:sz w:val="20"/>
              </w:rPr>
              <w:t> </w:t>
            </w:r>
            <w:r>
              <w:rPr>
                <w:sz w:val="20"/>
              </w:rPr>
              <w:t>D10.2,</w:t>
            </w:r>
            <w:r>
              <w:rPr>
                <w:spacing w:val="-6"/>
                <w:sz w:val="20"/>
              </w:rPr>
              <w:t> </w:t>
            </w:r>
            <w:r>
              <w:rPr>
                <w:sz w:val="20"/>
              </w:rPr>
              <w:t>D10.3,</w:t>
            </w:r>
            <w:r>
              <w:rPr>
                <w:spacing w:val="-4"/>
                <w:sz w:val="20"/>
              </w:rPr>
              <w:t> </w:t>
            </w:r>
            <w:r>
              <w:rPr>
                <w:sz w:val="20"/>
              </w:rPr>
              <w:t>D10.4,</w:t>
            </w:r>
            <w:r>
              <w:rPr>
                <w:spacing w:val="-6"/>
                <w:sz w:val="20"/>
              </w:rPr>
              <w:t> </w:t>
            </w:r>
            <w:r>
              <w:rPr>
                <w:sz w:val="20"/>
              </w:rPr>
              <w:t>D10.5,</w:t>
            </w:r>
            <w:r>
              <w:rPr>
                <w:spacing w:val="-4"/>
                <w:sz w:val="20"/>
              </w:rPr>
              <w:t> </w:t>
            </w:r>
            <w:r>
              <w:rPr>
                <w:spacing w:val="-2"/>
                <w:sz w:val="20"/>
              </w:rPr>
              <w:t>D10.6,</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9"/>
              <w:rPr>
                <w:sz w:val="20"/>
              </w:rPr>
            </w:pPr>
            <w:r>
              <w:rPr>
                <w:sz w:val="20"/>
              </w:rPr>
              <w:t>D10.7,</w:t>
            </w:r>
            <w:r>
              <w:rPr>
                <w:spacing w:val="-5"/>
                <w:sz w:val="20"/>
              </w:rPr>
              <w:t> </w:t>
            </w:r>
            <w:r>
              <w:rPr>
                <w:sz w:val="20"/>
              </w:rPr>
              <w:t>D10.9,</w:t>
            </w:r>
            <w:r>
              <w:rPr>
                <w:spacing w:val="-6"/>
                <w:sz w:val="20"/>
              </w:rPr>
              <w:t> </w:t>
            </w:r>
            <w:r>
              <w:rPr>
                <w:sz w:val="20"/>
              </w:rPr>
              <w:t>D11,</w:t>
            </w:r>
            <w:r>
              <w:rPr>
                <w:spacing w:val="-5"/>
                <w:sz w:val="20"/>
              </w:rPr>
              <w:t> </w:t>
            </w:r>
            <w:r>
              <w:rPr>
                <w:sz w:val="20"/>
              </w:rPr>
              <w:t>D11.0,</w:t>
            </w:r>
            <w:r>
              <w:rPr>
                <w:spacing w:val="-5"/>
                <w:sz w:val="20"/>
              </w:rPr>
              <w:t> </w:t>
            </w:r>
            <w:r>
              <w:rPr>
                <w:sz w:val="20"/>
              </w:rPr>
              <w:t>D11.7,</w:t>
            </w:r>
            <w:r>
              <w:rPr>
                <w:spacing w:val="-4"/>
                <w:sz w:val="20"/>
              </w:rPr>
              <w:t> </w:t>
            </w:r>
            <w:r>
              <w:rPr>
                <w:sz w:val="20"/>
              </w:rPr>
              <w:t>D11.9,</w:t>
            </w:r>
            <w:r>
              <w:rPr>
                <w:spacing w:val="-5"/>
                <w:sz w:val="20"/>
              </w:rPr>
              <w:t> </w:t>
            </w:r>
            <w:r>
              <w:rPr>
                <w:spacing w:val="-2"/>
                <w:sz w:val="20"/>
              </w:rPr>
              <w:t>D14.0,</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1" w:lineRule="exact"/>
              <w:ind w:left="179"/>
              <w:rPr>
                <w:sz w:val="20"/>
              </w:rPr>
            </w:pPr>
            <w:r>
              <w:rPr>
                <w:sz w:val="20"/>
              </w:rPr>
              <w:t>D14.1,</w:t>
            </w:r>
            <w:r>
              <w:rPr>
                <w:spacing w:val="-6"/>
                <w:sz w:val="20"/>
              </w:rPr>
              <w:t> </w:t>
            </w:r>
            <w:r>
              <w:rPr>
                <w:sz w:val="20"/>
              </w:rPr>
              <w:t>D16.5,</w:t>
            </w:r>
            <w:r>
              <w:rPr>
                <w:spacing w:val="-7"/>
                <w:sz w:val="20"/>
              </w:rPr>
              <w:t> </w:t>
            </w:r>
            <w:r>
              <w:rPr>
                <w:sz w:val="20"/>
              </w:rPr>
              <w:t>H60,</w:t>
            </w:r>
            <w:r>
              <w:rPr>
                <w:spacing w:val="-5"/>
                <w:sz w:val="20"/>
              </w:rPr>
              <w:t> </w:t>
            </w:r>
            <w:r>
              <w:rPr>
                <w:sz w:val="20"/>
              </w:rPr>
              <w:t>H60.0,</w:t>
            </w:r>
            <w:r>
              <w:rPr>
                <w:spacing w:val="-5"/>
                <w:sz w:val="20"/>
              </w:rPr>
              <w:t> </w:t>
            </w:r>
            <w:r>
              <w:rPr>
                <w:sz w:val="20"/>
              </w:rPr>
              <w:t>H60.1,</w:t>
            </w:r>
            <w:r>
              <w:rPr>
                <w:spacing w:val="-5"/>
                <w:sz w:val="20"/>
              </w:rPr>
              <w:t> </w:t>
            </w:r>
            <w:r>
              <w:rPr>
                <w:sz w:val="20"/>
              </w:rPr>
              <w:t>H60.2,</w:t>
            </w:r>
            <w:r>
              <w:rPr>
                <w:spacing w:val="-6"/>
                <w:sz w:val="20"/>
              </w:rPr>
              <w:t> </w:t>
            </w:r>
            <w:r>
              <w:rPr>
                <w:spacing w:val="-2"/>
                <w:sz w:val="20"/>
              </w:rPr>
              <w:t>H60.3,</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1" w:lineRule="exact"/>
              <w:ind w:left="176"/>
              <w:rPr>
                <w:sz w:val="20"/>
              </w:rPr>
            </w:pPr>
            <w:r>
              <w:rPr>
                <w:sz w:val="20"/>
              </w:rPr>
              <w:t>H60.4,</w:t>
            </w:r>
            <w:r>
              <w:rPr>
                <w:spacing w:val="-4"/>
                <w:sz w:val="20"/>
              </w:rPr>
              <w:t> </w:t>
            </w:r>
            <w:r>
              <w:rPr>
                <w:sz w:val="20"/>
              </w:rPr>
              <w:t>H60.5,</w:t>
            </w:r>
            <w:r>
              <w:rPr>
                <w:spacing w:val="-6"/>
                <w:sz w:val="20"/>
              </w:rPr>
              <w:t> </w:t>
            </w:r>
            <w:r>
              <w:rPr>
                <w:sz w:val="20"/>
              </w:rPr>
              <w:t>H60.8,</w:t>
            </w:r>
            <w:r>
              <w:rPr>
                <w:spacing w:val="-4"/>
                <w:sz w:val="20"/>
              </w:rPr>
              <w:t> </w:t>
            </w:r>
            <w:r>
              <w:rPr>
                <w:sz w:val="20"/>
              </w:rPr>
              <w:t>H60.9,</w:t>
            </w:r>
            <w:r>
              <w:rPr>
                <w:spacing w:val="-6"/>
                <w:sz w:val="20"/>
              </w:rPr>
              <w:t> </w:t>
            </w:r>
            <w:r>
              <w:rPr>
                <w:sz w:val="20"/>
              </w:rPr>
              <w:t>H61,</w:t>
            </w:r>
            <w:r>
              <w:rPr>
                <w:spacing w:val="-4"/>
                <w:sz w:val="20"/>
              </w:rPr>
              <w:t> </w:t>
            </w:r>
            <w:r>
              <w:rPr>
                <w:sz w:val="20"/>
              </w:rPr>
              <w:t>H61.0,</w:t>
            </w:r>
            <w:r>
              <w:rPr>
                <w:spacing w:val="-4"/>
                <w:sz w:val="20"/>
              </w:rPr>
              <w:t> </w:t>
            </w:r>
            <w:r>
              <w:rPr>
                <w:spacing w:val="-2"/>
                <w:sz w:val="20"/>
              </w:rPr>
              <w:t>H61.1,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09" w:lineRule="exact"/>
              <w:ind w:left="176"/>
              <w:rPr>
                <w:sz w:val="20"/>
              </w:rPr>
            </w:pPr>
            <w:r>
              <w:rPr>
                <w:sz w:val="20"/>
              </w:rPr>
              <w:t>H61.2,</w:t>
            </w:r>
            <w:r>
              <w:rPr>
                <w:spacing w:val="-4"/>
                <w:sz w:val="20"/>
              </w:rPr>
              <w:t> </w:t>
            </w:r>
            <w:r>
              <w:rPr>
                <w:sz w:val="20"/>
              </w:rPr>
              <w:t>H61.3,</w:t>
            </w:r>
            <w:r>
              <w:rPr>
                <w:spacing w:val="-6"/>
                <w:sz w:val="20"/>
              </w:rPr>
              <w:t> </w:t>
            </w:r>
            <w:r>
              <w:rPr>
                <w:sz w:val="20"/>
              </w:rPr>
              <w:t>H61.8,</w:t>
            </w:r>
            <w:r>
              <w:rPr>
                <w:spacing w:val="-4"/>
                <w:sz w:val="20"/>
              </w:rPr>
              <w:t> </w:t>
            </w:r>
            <w:r>
              <w:rPr>
                <w:sz w:val="20"/>
              </w:rPr>
              <w:t>H61.9,</w:t>
            </w:r>
            <w:r>
              <w:rPr>
                <w:spacing w:val="-6"/>
                <w:sz w:val="20"/>
              </w:rPr>
              <w:t> </w:t>
            </w:r>
            <w:r>
              <w:rPr>
                <w:sz w:val="20"/>
              </w:rPr>
              <w:t>H62,</w:t>
            </w:r>
            <w:r>
              <w:rPr>
                <w:spacing w:val="-4"/>
                <w:sz w:val="20"/>
              </w:rPr>
              <w:t> </w:t>
            </w:r>
            <w:r>
              <w:rPr>
                <w:sz w:val="20"/>
              </w:rPr>
              <w:t>H62.0,</w:t>
            </w:r>
            <w:r>
              <w:rPr>
                <w:spacing w:val="-4"/>
                <w:sz w:val="20"/>
              </w:rPr>
              <w:t> </w:t>
            </w:r>
            <w:r>
              <w:rPr>
                <w:spacing w:val="-2"/>
                <w:sz w:val="20"/>
              </w:rPr>
              <w:t>H62.1,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09" w:lineRule="exact"/>
              <w:ind w:left="176"/>
              <w:rPr>
                <w:sz w:val="20"/>
              </w:rPr>
            </w:pPr>
            <w:r>
              <w:rPr>
                <w:sz w:val="20"/>
              </w:rPr>
              <w:t>H62.2,</w:t>
            </w:r>
            <w:r>
              <w:rPr>
                <w:spacing w:val="-4"/>
                <w:sz w:val="20"/>
              </w:rPr>
              <w:t> </w:t>
            </w:r>
            <w:r>
              <w:rPr>
                <w:sz w:val="20"/>
              </w:rPr>
              <w:t>H62.3,</w:t>
            </w:r>
            <w:r>
              <w:rPr>
                <w:spacing w:val="-6"/>
                <w:sz w:val="20"/>
              </w:rPr>
              <w:t> </w:t>
            </w:r>
            <w:r>
              <w:rPr>
                <w:sz w:val="20"/>
              </w:rPr>
              <w:t>H62.4,</w:t>
            </w:r>
            <w:r>
              <w:rPr>
                <w:spacing w:val="-4"/>
                <w:sz w:val="20"/>
              </w:rPr>
              <w:t> </w:t>
            </w:r>
            <w:r>
              <w:rPr>
                <w:sz w:val="20"/>
              </w:rPr>
              <w:t>H62.8,</w:t>
            </w:r>
            <w:r>
              <w:rPr>
                <w:spacing w:val="-6"/>
                <w:sz w:val="20"/>
              </w:rPr>
              <w:t> </w:t>
            </w:r>
            <w:r>
              <w:rPr>
                <w:sz w:val="20"/>
              </w:rPr>
              <w:t>H65,</w:t>
            </w:r>
            <w:r>
              <w:rPr>
                <w:spacing w:val="-4"/>
                <w:sz w:val="20"/>
              </w:rPr>
              <w:t> </w:t>
            </w:r>
            <w:r>
              <w:rPr>
                <w:sz w:val="20"/>
              </w:rPr>
              <w:t>H65.0,</w:t>
            </w:r>
            <w:r>
              <w:rPr>
                <w:spacing w:val="-4"/>
                <w:sz w:val="20"/>
              </w:rPr>
              <w:t> </w:t>
            </w:r>
            <w:r>
              <w:rPr>
                <w:spacing w:val="-2"/>
                <w:sz w:val="20"/>
              </w:rPr>
              <w:t>H65.1,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6"/>
              <w:rPr>
                <w:sz w:val="20"/>
              </w:rPr>
            </w:pPr>
            <w:r>
              <w:rPr>
                <w:sz w:val="20"/>
              </w:rPr>
              <w:t>H65.2,</w:t>
            </w:r>
            <w:r>
              <w:rPr>
                <w:spacing w:val="-4"/>
                <w:sz w:val="20"/>
              </w:rPr>
              <w:t> </w:t>
            </w:r>
            <w:r>
              <w:rPr>
                <w:sz w:val="20"/>
              </w:rPr>
              <w:t>H65.3,</w:t>
            </w:r>
            <w:r>
              <w:rPr>
                <w:spacing w:val="-6"/>
                <w:sz w:val="20"/>
              </w:rPr>
              <w:t> </w:t>
            </w:r>
            <w:r>
              <w:rPr>
                <w:sz w:val="20"/>
              </w:rPr>
              <w:t>H65.4,</w:t>
            </w:r>
            <w:r>
              <w:rPr>
                <w:spacing w:val="-4"/>
                <w:sz w:val="20"/>
              </w:rPr>
              <w:t> </w:t>
            </w:r>
            <w:r>
              <w:rPr>
                <w:sz w:val="20"/>
              </w:rPr>
              <w:t>H65.9,</w:t>
            </w:r>
            <w:r>
              <w:rPr>
                <w:spacing w:val="-6"/>
                <w:sz w:val="20"/>
              </w:rPr>
              <w:t> </w:t>
            </w:r>
            <w:r>
              <w:rPr>
                <w:sz w:val="20"/>
              </w:rPr>
              <w:t>H66,</w:t>
            </w:r>
            <w:r>
              <w:rPr>
                <w:spacing w:val="-4"/>
                <w:sz w:val="20"/>
              </w:rPr>
              <w:t> </w:t>
            </w:r>
            <w:r>
              <w:rPr>
                <w:sz w:val="20"/>
              </w:rPr>
              <w:t>H66.0,</w:t>
            </w:r>
            <w:r>
              <w:rPr>
                <w:spacing w:val="-4"/>
                <w:sz w:val="20"/>
              </w:rPr>
              <w:t> </w:t>
            </w:r>
            <w:r>
              <w:rPr>
                <w:spacing w:val="-2"/>
                <w:sz w:val="20"/>
              </w:rPr>
              <w:t>H66.1,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6"/>
              <w:rPr>
                <w:sz w:val="20"/>
              </w:rPr>
            </w:pPr>
            <w:r>
              <w:rPr>
                <w:sz w:val="20"/>
              </w:rPr>
              <w:t>H66.2,</w:t>
            </w:r>
            <w:r>
              <w:rPr>
                <w:spacing w:val="-4"/>
                <w:sz w:val="20"/>
              </w:rPr>
              <w:t> </w:t>
            </w:r>
            <w:r>
              <w:rPr>
                <w:sz w:val="20"/>
              </w:rPr>
              <w:t>H66.3,</w:t>
            </w:r>
            <w:r>
              <w:rPr>
                <w:spacing w:val="-6"/>
                <w:sz w:val="20"/>
              </w:rPr>
              <w:t> </w:t>
            </w:r>
            <w:r>
              <w:rPr>
                <w:sz w:val="20"/>
              </w:rPr>
              <w:t>H66.4,</w:t>
            </w:r>
            <w:r>
              <w:rPr>
                <w:spacing w:val="-4"/>
                <w:sz w:val="20"/>
              </w:rPr>
              <w:t> </w:t>
            </w:r>
            <w:r>
              <w:rPr>
                <w:sz w:val="20"/>
              </w:rPr>
              <w:t>H66.9,</w:t>
            </w:r>
            <w:r>
              <w:rPr>
                <w:spacing w:val="-6"/>
                <w:sz w:val="20"/>
              </w:rPr>
              <w:t> </w:t>
            </w:r>
            <w:r>
              <w:rPr>
                <w:sz w:val="20"/>
              </w:rPr>
              <w:t>H67,</w:t>
            </w:r>
            <w:r>
              <w:rPr>
                <w:spacing w:val="-4"/>
                <w:sz w:val="20"/>
              </w:rPr>
              <w:t> </w:t>
            </w:r>
            <w:r>
              <w:rPr>
                <w:sz w:val="20"/>
              </w:rPr>
              <w:t>H67.0,</w:t>
            </w:r>
            <w:r>
              <w:rPr>
                <w:spacing w:val="-4"/>
                <w:sz w:val="20"/>
              </w:rPr>
              <w:t> </w:t>
            </w:r>
            <w:r>
              <w:rPr>
                <w:spacing w:val="-2"/>
                <w:sz w:val="20"/>
              </w:rPr>
              <w:t>H67.1,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253"/>
              <w:rPr>
                <w:sz w:val="20"/>
              </w:rPr>
            </w:pPr>
            <w:r>
              <w:rPr>
                <w:sz w:val="20"/>
              </w:rPr>
              <w:t>H67.8,</w:t>
            </w:r>
            <w:r>
              <w:rPr>
                <w:spacing w:val="-5"/>
                <w:sz w:val="20"/>
              </w:rPr>
              <w:t> </w:t>
            </w:r>
            <w:r>
              <w:rPr>
                <w:sz w:val="20"/>
              </w:rPr>
              <w:t>H68,</w:t>
            </w:r>
            <w:r>
              <w:rPr>
                <w:spacing w:val="-5"/>
                <w:sz w:val="20"/>
              </w:rPr>
              <w:t> </w:t>
            </w:r>
            <w:r>
              <w:rPr>
                <w:sz w:val="20"/>
              </w:rPr>
              <w:t>H68.0,</w:t>
            </w:r>
            <w:r>
              <w:rPr>
                <w:spacing w:val="-5"/>
                <w:sz w:val="20"/>
              </w:rPr>
              <w:t> </w:t>
            </w:r>
            <w:r>
              <w:rPr>
                <w:sz w:val="20"/>
              </w:rPr>
              <w:t>H68.1,</w:t>
            </w:r>
            <w:r>
              <w:rPr>
                <w:spacing w:val="-5"/>
                <w:sz w:val="20"/>
              </w:rPr>
              <w:t> </w:t>
            </w:r>
            <w:r>
              <w:rPr>
                <w:sz w:val="20"/>
              </w:rPr>
              <w:t>H69,</w:t>
            </w:r>
            <w:r>
              <w:rPr>
                <w:spacing w:val="-5"/>
                <w:sz w:val="20"/>
              </w:rPr>
              <w:t> </w:t>
            </w:r>
            <w:r>
              <w:rPr>
                <w:sz w:val="20"/>
              </w:rPr>
              <w:t>H69.0,</w:t>
            </w:r>
            <w:r>
              <w:rPr>
                <w:spacing w:val="-5"/>
                <w:sz w:val="20"/>
              </w:rPr>
              <w:t> </w:t>
            </w:r>
            <w:r>
              <w:rPr>
                <w:spacing w:val="-2"/>
                <w:sz w:val="20"/>
              </w:rPr>
              <w:t>H69.8,</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9"/>
              <w:rPr>
                <w:sz w:val="20"/>
              </w:rPr>
            </w:pPr>
            <w:r>
              <w:rPr>
                <w:sz w:val="20"/>
              </w:rPr>
              <w:t>H69.9,</w:t>
            </w:r>
            <w:r>
              <w:rPr>
                <w:spacing w:val="-6"/>
                <w:sz w:val="20"/>
              </w:rPr>
              <w:t> </w:t>
            </w:r>
            <w:r>
              <w:rPr>
                <w:sz w:val="20"/>
              </w:rPr>
              <w:t>H70,</w:t>
            </w:r>
            <w:r>
              <w:rPr>
                <w:spacing w:val="-6"/>
                <w:sz w:val="20"/>
              </w:rPr>
              <w:t> </w:t>
            </w:r>
            <w:r>
              <w:rPr>
                <w:sz w:val="20"/>
              </w:rPr>
              <w:t>H70.0,</w:t>
            </w:r>
            <w:r>
              <w:rPr>
                <w:spacing w:val="-5"/>
                <w:sz w:val="20"/>
              </w:rPr>
              <w:t> </w:t>
            </w:r>
            <w:r>
              <w:rPr>
                <w:sz w:val="20"/>
              </w:rPr>
              <w:t>H70.1,</w:t>
            </w:r>
            <w:r>
              <w:rPr>
                <w:spacing w:val="-6"/>
                <w:sz w:val="20"/>
              </w:rPr>
              <w:t> </w:t>
            </w:r>
            <w:r>
              <w:rPr>
                <w:sz w:val="20"/>
              </w:rPr>
              <w:t>H70.2,</w:t>
            </w:r>
            <w:r>
              <w:rPr>
                <w:spacing w:val="-5"/>
                <w:sz w:val="20"/>
              </w:rPr>
              <w:t> </w:t>
            </w:r>
            <w:r>
              <w:rPr>
                <w:sz w:val="20"/>
              </w:rPr>
              <w:t>H70.8,</w:t>
            </w:r>
            <w:r>
              <w:rPr>
                <w:spacing w:val="-6"/>
                <w:sz w:val="20"/>
              </w:rPr>
              <w:t> </w:t>
            </w:r>
            <w:r>
              <w:rPr>
                <w:spacing w:val="-2"/>
                <w:sz w:val="20"/>
              </w:rPr>
              <w:t>H70.9,</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05" w:lineRule="exact"/>
              <w:ind w:left="253"/>
              <w:rPr>
                <w:sz w:val="20"/>
              </w:rPr>
            </w:pPr>
            <w:r>
              <w:rPr>
                <w:sz w:val="20"/>
              </w:rPr>
              <w:t>H71,</w:t>
            </w:r>
            <w:r>
              <w:rPr>
                <w:spacing w:val="-5"/>
                <w:sz w:val="20"/>
              </w:rPr>
              <w:t> </w:t>
            </w:r>
            <w:r>
              <w:rPr>
                <w:sz w:val="20"/>
              </w:rPr>
              <w:t>H72,</w:t>
            </w:r>
            <w:r>
              <w:rPr>
                <w:spacing w:val="-6"/>
                <w:sz w:val="20"/>
              </w:rPr>
              <w:t> </w:t>
            </w:r>
            <w:r>
              <w:rPr>
                <w:sz w:val="20"/>
              </w:rPr>
              <w:t>H72.0,</w:t>
            </w:r>
            <w:r>
              <w:rPr>
                <w:spacing w:val="-4"/>
                <w:sz w:val="20"/>
              </w:rPr>
              <w:t> </w:t>
            </w:r>
            <w:r>
              <w:rPr>
                <w:sz w:val="20"/>
              </w:rPr>
              <w:t>H72.1,</w:t>
            </w:r>
            <w:r>
              <w:rPr>
                <w:spacing w:val="-5"/>
                <w:sz w:val="20"/>
              </w:rPr>
              <w:t> </w:t>
            </w:r>
            <w:r>
              <w:rPr>
                <w:sz w:val="20"/>
              </w:rPr>
              <w:t>H72.2,</w:t>
            </w:r>
            <w:r>
              <w:rPr>
                <w:spacing w:val="-4"/>
                <w:sz w:val="20"/>
              </w:rPr>
              <w:t> </w:t>
            </w:r>
            <w:r>
              <w:rPr>
                <w:sz w:val="20"/>
              </w:rPr>
              <w:t>H72.8,</w:t>
            </w:r>
            <w:r>
              <w:rPr>
                <w:spacing w:val="-4"/>
                <w:sz w:val="20"/>
              </w:rPr>
              <w:t> </w:t>
            </w:r>
            <w:r>
              <w:rPr>
                <w:spacing w:val="-2"/>
                <w:sz w:val="20"/>
              </w:rPr>
              <w:t>H72.9,</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439"/>
        <w:gridCol w:w="2466"/>
        <w:gridCol w:w="4881"/>
        <w:gridCol w:w="1574"/>
        <w:gridCol w:w="1261"/>
      </w:tblGrid>
      <w:tr>
        <w:trPr>
          <w:trHeight w:val="225" w:hRule="atLeast"/>
        </w:trPr>
        <w:tc>
          <w:tcPr>
            <w:tcW w:w="15295" w:type="dxa"/>
            <w:gridSpan w:val="7"/>
          </w:tcPr>
          <w:p>
            <w:pPr>
              <w:pStyle w:val="TableParagraph"/>
              <w:spacing w:line="205" w:lineRule="exact"/>
              <w:ind w:left="4488"/>
              <w:rPr>
                <w:sz w:val="20"/>
              </w:rPr>
            </w:pPr>
            <w:r>
              <w:rPr>
                <w:sz w:val="20"/>
              </w:rPr>
              <w:t>H73,</w:t>
            </w:r>
            <w:r>
              <w:rPr>
                <w:spacing w:val="-5"/>
                <w:sz w:val="20"/>
              </w:rPr>
              <w:t> </w:t>
            </w:r>
            <w:r>
              <w:rPr>
                <w:sz w:val="20"/>
              </w:rPr>
              <w:t>H73.0,</w:t>
            </w:r>
            <w:r>
              <w:rPr>
                <w:spacing w:val="-5"/>
                <w:sz w:val="20"/>
              </w:rPr>
              <w:t> </w:t>
            </w:r>
            <w:r>
              <w:rPr>
                <w:sz w:val="20"/>
              </w:rPr>
              <w:t>H73.1,</w:t>
            </w:r>
            <w:r>
              <w:rPr>
                <w:spacing w:val="-5"/>
                <w:sz w:val="20"/>
              </w:rPr>
              <w:t> </w:t>
            </w:r>
            <w:r>
              <w:rPr>
                <w:sz w:val="20"/>
              </w:rPr>
              <w:t>H73.8,</w:t>
            </w:r>
            <w:r>
              <w:rPr>
                <w:spacing w:val="-5"/>
                <w:sz w:val="20"/>
              </w:rPr>
              <w:t> </w:t>
            </w:r>
            <w:r>
              <w:rPr>
                <w:sz w:val="20"/>
              </w:rPr>
              <w:t>H73.9,</w:t>
            </w:r>
            <w:r>
              <w:rPr>
                <w:spacing w:val="-5"/>
                <w:sz w:val="20"/>
              </w:rPr>
              <w:t> </w:t>
            </w:r>
            <w:r>
              <w:rPr>
                <w:sz w:val="20"/>
              </w:rPr>
              <w:t>H74,</w:t>
            </w:r>
            <w:r>
              <w:rPr>
                <w:spacing w:val="-5"/>
                <w:sz w:val="20"/>
              </w:rPr>
              <w:t> </w:t>
            </w:r>
            <w:r>
              <w:rPr>
                <w:spacing w:val="-2"/>
                <w:sz w:val="20"/>
              </w:rPr>
              <w:t>H74.0,</w:t>
            </w:r>
          </w:p>
        </w:tc>
      </w:tr>
      <w:tr>
        <w:trPr>
          <w:trHeight w:val="229" w:hRule="atLeast"/>
        </w:trPr>
        <w:tc>
          <w:tcPr>
            <w:tcW w:w="15295" w:type="dxa"/>
            <w:gridSpan w:val="7"/>
          </w:tcPr>
          <w:p>
            <w:pPr>
              <w:pStyle w:val="TableParagraph"/>
              <w:spacing w:line="209" w:lineRule="exact"/>
              <w:ind w:left="4411"/>
              <w:rPr>
                <w:sz w:val="20"/>
              </w:rPr>
            </w:pPr>
            <w:r>
              <w:rPr>
                <w:sz w:val="20"/>
              </w:rPr>
              <w:t>H74.1,</w:t>
            </w:r>
            <w:r>
              <w:rPr>
                <w:spacing w:val="-4"/>
                <w:sz w:val="20"/>
              </w:rPr>
              <w:t> </w:t>
            </w:r>
            <w:r>
              <w:rPr>
                <w:sz w:val="20"/>
              </w:rPr>
              <w:t>H74.2,</w:t>
            </w:r>
            <w:r>
              <w:rPr>
                <w:spacing w:val="-5"/>
                <w:sz w:val="20"/>
              </w:rPr>
              <w:t> </w:t>
            </w:r>
            <w:r>
              <w:rPr>
                <w:sz w:val="20"/>
              </w:rPr>
              <w:t>H74.3,</w:t>
            </w:r>
            <w:r>
              <w:rPr>
                <w:spacing w:val="-3"/>
                <w:sz w:val="20"/>
              </w:rPr>
              <w:t> </w:t>
            </w:r>
            <w:r>
              <w:rPr>
                <w:sz w:val="20"/>
              </w:rPr>
              <w:t>H74.4,</w:t>
            </w:r>
            <w:r>
              <w:rPr>
                <w:spacing w:val="-6"/>
                <w:sz w:val="20"/>
              </w:rPr>
              <w:t> </w:t>
            </w:r>
            <w:r>
              <w:rPr>
                <w:sz w:val="20"/>
              </w:rPr>
              <w:t>H74.8,</w:t>
            </w:r>
            <w:r>
              <w:rPr>
                <w:spacing w:val="-3"/>
                <w:sz w:val="20"/>
              </w:rPr>
              <w:t> </w:t>
            </w:r>
            <w:r>
              <w:rPr>
                <w:sz w:val="20"/>
              </w:rPr>
              <w:t>H74.9,</w:t>
            </w:r>
            <w:r>
              <w:rPr>
                <w:spacing w:val="-5"/>
                <w:sz w:val="20"/>
              </w:rPr>
              <w:t> </w:t>
            </w:r>
            <w:r>
              <w:rPr>
                <w:spacing w:val="-4"/>
                <w:sz w:val="20"/>
              </w:rPr>
              <w:t>H75,</w:t>
            </w:r>
          </w:p>
        </w:tc>
      </w:tr>
      <w:tr>
        <w:trPr>
          <w:trHeight w:val="229" w:hRule="atLeast"/>
        </w:trPr>
        <w:tc>
          <w:tcPr>
            <w:tcW w:w="15295" w:type="dxa"/>
            <w:gridSpan w:val="7"/>
          </w:tcPr>
          <w:p>
            <w:pPr>
              <w:pStyle w:val="TableParagraph"/>
              <w:spacing w:line="209" w:lineRule="exact"/>
              <w:ind w:left="4414"/>
              <w:rPr>
                <w:sz w:val="20"/>
              </w:rPr>
            </w:pPr>
            <w:r>
              <w:rPr>
                <w:sz w:val="20"/>
              </w:rPr>
              <w:t>H75.0,</w:t>
            </w:r>
            <w:r>
              <w:rPr>
                <w:spacing w:val="-6"/>
                <w:sz w:val="20"/>
              </w:rPr>
              <w:t> </w:t>
            </w:r>
            <w:r>
              <w:rPr>
                <w:sz w:val="20"/>
              </w:rPr>
              <w:t>H75.8,</w:t>
            </w:r>
            <w:r>
              <w:rPr>
                <w:spacing w:val="-7"/>
                <w:sz w:val="20"/>
              </w:rPr>
              <w:t> </w:t>
            </w:r>
            <w:r>
              <w:rPr>
                <w:sz w:val="20"/>
              </w:rPr>
              <w:t>H80,</w:t>
            </w:r>
            <w:r>
              <w:rPr>
                <w:spacing w:val="-5"/>
                <w:sz w:val="20"/>
              </w:rPr>
              <w:t> </w:t>
            </w:r>
            <w:r>
              <w:rPr>
                <w:sz w:val="20"/>
              </w:rPr>
              <w:t>H80.0,</w:t>
            </w:r>
            <w:r>
              <w:rPr>
                <w:spacing w:val="-5"/>
                <w:sz w:val="20"/>
              </w:rPr>
              <w:t> </w:t>
            </w:r>
            <w:r>
              <w:rPr>
                <w:sz w:val="20"/>
              </w:rPr>
              <w:t>H80.1,</w:t>
            </w:r>
            <w:r>
              <w:rPr>
                <w:spacing w:val="-5"/>
                <w:sz w:val="20"/>
              </w:rPr>
              <w:t> </w:t>
            </w:r>
            <w:r>
              <w:rPr>
                <w:sz w:val="20"/>
              </w:rPr>
              <w:t>H80.2,</w:t>
            </w:r>
            <w:r>
              <w:rPr>
                <w:spacing w:val="-6"/>
                <w:sz w:val="20"/>
              </w:rPr>
              <w:t> </w:t>
            </w:r>
            <w:r>
              <w:rPr>
                <w:spacing w:val="-2"/>
                <w:sz w:val="20"/>
              </w:rPr>
              <w:t>H80.8,</w:t>
            </w:r>
          </w:p>
        </w:tc>
      </w:tr>
      <w:tr>
        <w:trPr>
          <w:trHeight w:val="230" w:hRule="atLeast"/>
        </w:trPr>
        <w:tc>
          <w:tcPr>
            <w:tcW w:w="15295" w:type="dxa"/>
            <w:gridSpan w:val="7"/>
          </w:tcPr>
          <w:p>
            <w:pPr>
              <w:pStyle w:val="TableParagraph"/>
              <w:spacing w:line="210" w:lineRule="exact"/>
              <w:ind w:left="4635"/>
              <w:rPr>
                <w:sz w:val="20"/>
              </w:rPr>
            </w:pPr>
            <w:r>
              <w:rPr>
                <w:sz w:val="20"/>
              </w:rPr>
              <w:t>H80.9,</w:t>
            </w:r>
            <w:r>
              <w:rPr>
                <w:spacing w:val="-4"/>
                <w:sz w:val="20"/>
              </w:rPr>
              <w:t> </w:t>
            </w:r>
            <w:r>
              <w:rPr>
                <w:sz w:val="20"/>
              </w:rPr>
              <w:t>H81.0,</w:t>
            </w:r>
            <w:r>
              <w:rPr>
                <w:spacing w:val="-6"/>
                <w:sz w:val="20"/>
              </w:rPr>
              <w:t> </w:t>
            </w:r>
            <w:r>
              <w:rPr>
                <w:sz w:val="20"/>
              </w:rPr>
              <w:t>H81.1,</w:t>
            </w:r>
            <w:r>
              <w:rPr>
                <w:spacing w:val="-4"/>
                <w:sz w:val="20"/>
              </w:rPr>
              <w:t> </w:t>
            </w:r>
            <w:r>
              <w:rPr>
                <w:sz w:val="20"/>
              </w:rPr>
              <w:t>H81.2,</w:t>
            </w:r>
            <w:r>
              <w:rPr>
                <w:spacing w:val="-6"/>
                <w:sz w:val="20"/>
              </w:rPr>
              <w:t> </w:t>
            </w:r>
            <w:r>
              <w:rPr>
                <w:sz w:val="20"/>
              </w:rPr>
              <w:t>H81.3,</w:t>
            </w:r>
            <w:r>
              <w:rPr>
                <w:spacing w:val="-4"/>
                <w:sz w:val="20"/>
              </w:rPr>
              <w:t> </w:t>
            </w:r>
            <w:r>
              <w:rPr>
                <w:spacing w:val="-2"/>
                <w:sz w:val="20"/>
              </w:rPr>
              <w:t>H81.4,</w:t>
            </w:r>
          </w:p>
        </w:tc>
      </w:tr>
      <w:tr>
        <w:trPr>
          <w:trHeight w:val="230" w:hRule="atLeast"/>
        </w:trPr>
        <w:tc>
          <w:tcPr>
            <w:tcW w:w="15295" w:type="dxa"/>
            <w:gridSpan w:val="7"/>
          </w:tcPr>
          <w:p>
            <w:pPr>
              <w:pStyle w:val="TableParagraph"/>
              <w:spacing w:line="210" w:lineRule="exact"/>
              <w:ind w:left="4488"/>
              <w:rPr>
                <w:sz w:val="20"/>
              </w:rPr>
            </w:pPr>
            <w:r>
              <w:rPr>
                <w:sz w:val="20"/>
              </w:rPr>
              <w:t>H81.8,</w:t>
            </w:r>
            <w:r>
              <w:rPr>
                <w:spacing w:val="-5"/>
                <w:sz w:val="20"/>
              </w:rPr>
              <w:t> </w:t>
            </w:r>
            <w:r>
              <w:rPr>
                <w:sz w:val="20"/>
              </w:rPr>
              <w:t>H81.9,</w:t>
            </w:r>
            <w:r>
              <w:rPr>
                <w:spacing w:val="-6"/>
                <w:sz w:val="20"/>
              </w:rPr>
              <w:t> </w:t>
            </w:r>
            <w:r>
              <w:rPr>
                <w:sz w:val="20"/>
              </w:rPr>
              <w:t>H82,</w:t>
            </w:r>
            <w:r>
              <w:rPr>
                <w:spacing w:val="-4"/>
                <w:sz w:val="20"/>
              </w:rPr>
              <w:t> </w:t>
            </w:r>
            <w:r>
              <w:rPr>
                <w:sz w:val="20"/>
              </w:rPr>
              <w:t>H83,</w:t>
            </w:r>
            <w:r>
              <w:rPr>
                <w:spacing w:val="-5"/>
                <w:sz w:val="20"/>
              </w:rPr>
              <w:t> </w:t>
            </w:r>
            <w:r>
              <w:rPr>
                <w:sz w:val="20"/>
              </w:rPr>
              <w:t>H83.0,</w:t>
            </w:r>
            <w:r>
              <w:rPr>
                <w:spacing w:val="-4"/>
                <w:sz w:val="20"/>
              </w:rPr>
              <w:t> </w:t>
            </w:r>
            <w:r>
              <w:rPr>
                <w:sz w:val="20"/>
              </w:rPr>
              <w:t>H83.1,</w:t>
            </w:r>
            <w:r>
              <w:rPr>
                <w:spacing w:val="-4"/>
                <w:sz w:val="20"/>
              </w:rPr>
              <w:t> </w:t>
            </w:r>
            <w:r>
              <w:rPr>
                <w:spacing w:val="-2"/>
                <w:sz w:val="20"/>
              </w:rPr>
              <w:t>H83.2,</w:t>
            </w:r>
          </w:p>
        </w:tc>
      </w:tr>
      <w:tr>
        <w:trPr>
          <w:trHeight w:val="230" w:hRule="atLeast"/>
        </w:trPr>
        <w:tc>
          <w:tcPr>
            <w:tcW w:w="15295" w:type="dxa"/>
            <w:gridSpan w:val="7"/>
          </w:tcPr>
          <w:p>
            <w:pPr>
              <w:pStyle w:val="TableParagraph"/>
              <w:spacing w:line="210" w:lineRule="exact"/>
              <w:ind w:left="4414"/>
              <w:rPr>
                <w:sz w:val="20"/>
              </w:rPr>
            </w:pPr>
            <w:r>
              <w:rPr>
                <w:sz w:val="20"/>
              </w:rPr>
              <w:t>H83.3,</w:t>
            </w:r>
            <w:r>
              <w:rPr>
                <w:spacing w:val="-6"/>
                <w:sz w:val="20"/>
              </w:rPr>
              <w:t> </w:t>
            </w:r>
            <w:r>
              <w:rPr>
                <w:sz w:val="20"/>
              </w:rPr>
              <w:t>H83.8,</w:t>
            </w:r>
            <w:r>
              <w:rPr>
                <w:spacing w:val="-6"/>
                <w:sz w:val="20"/>
              </w:rPr>
              <w:t> </w:t>
            </w:r>
            <w:r>
              <w:rPr>
                <w:sz w:val="20"/>
              </w:rPr>
              <w:t>H83.9,</w:t>
            </w:r>
            <w:r>
              <w:rPr>
                <w:spacing w:val="-5"/>
                <w:sz w:val="20"/>
              </w:rPr>
              <w:t> </w:t>
            </w:r>
            <w:r>
              <w:rPr>
                <w:sz w:val="20"/>
              </w:rPr>
              <w:t>H90,</w:t>
            </w:r>
            <w:r>
              <w:rPr>
                <w:spacing w:val="-6"/>
                <w:sz w:val="20"/>
              </w:rPr>
              <w:t> </w:t>
            </w:r>
            <w:r>
              <w:rPr>
                <w:sz w:val="20"/>
              </w:rPr>
              <w:t>H90.0,</w:t>
            </w:r>
            <w:r>
              <w:rPr>
                <w:spacing w:val="-5"/>
                <w:sz w:val="20"/>
              </w:rPr>
              <w:t> </w:t>
            </w:r>
            <w:r>
              <w:rPr>
                <w:sz w:val="20"/>
              </w:rPr>
              <w:t>H90.1,</w:t>
            </w:r>
            <w:r>
              <w:rPr>
                <w:spacing w:val="-5"/>
                <w:sz w:val="20"/>
              </w:rPr>
              <w:t> </w:t>
            </w:r>
            <w:r>
              <w:rPr>
                <w:spacing w:val="-2"/>
                <w:sz w:val="20"/>
              </w:rPr>
              <w:t>H90.2,</w:t>
            </w:r>
          </w:p>
        </w:tc>
      </w:tr>
      <w:tr>
        <w:trPr>
          <w:trHeight w:val="230" w:hRule="atLeast"/>
        </w:trPr>
        <w:tc>
          <w:tcPr>
            <w:tcW w:w="15295" w:type="dxa"/>
            <w:gridSpan w:val="7"/>
          </w:tcPr>
          <w:p>
            <w:pPr>
              <w:pStyle w:val="TableParagraph"/>
              <w:spacing w:line="211" w:lineRule="exact"/>
              <w:ind w:left="4411"/>
              <w:rPr>
                <w:sz w:val="20"/>
              </w:rPr>
            </w:pPr>
            <w:r>
              <w:rPr>
                <w:sz w:val="20"/>
              </w:rPr>
              <w:t>H90.3,</w:t>
            </w:r>
            <w:r>
              <w:rPr>
                <w:spacing w:val="-5"/>
                <w:sz w:val="20"/>
              </w:rPr>
              <w:t> </w:t>
            </w:r>
            <w:r>
              <w:rPr>
                <w:sz w:val="20"/>
              </w:rPr>
              <w:t>H90.4,</w:t>
            </w:r>
            <w:r>
              <w:rPr>
                <w:spacing w:val="-5"/>
                <w:sz w:val="20"/>
              </w:rPr>
              <w:t> </w:t>
            </w:r>
            <w:r>
              <w:rPr>
                <w:sz w:val="20"/>
              </w:rPr>
              <w:t>H90.5,</w:t>
            </w:r>
            <w:r>
              <w:rPr>
                <w:spacing w:val="-4"/>
                <w:sz w:val="20"/>
              </w:rPr>
              <w:t> </w:t>
            </w:r>
            <w:r>
              <w:rPr>
                <w:sz w:val="20"/>
              </w:rPr>
              <w:t>H90.6,</w:t>
            </w:r>
            <w:r>
              <w:rPr>
                <w:spacing w:val="-6"/>
                <w:sz w:val="20"/>
              </w:rPr>
              <w:t> </w:t>
            </w:r>
            <w:r>
              <w:rPr>
                <w:sz w:val="20"/>
              </w:rPr>
              <w:t>H90.7,</w:t>
            </w:r>
            <w:r>
              <w:rPr>
                <w:spacing w:val="-4"/>
                <w:sz w:val="20"/>
              </w:rPr>
              <w:t> </w:t>
            </w:r>
            <w:r>
              <w:rPr>
                <w:sz w:val="20"/>
              </w:rPr>
              <w:t>H90.8,</w:t>
            </w:r>
            <w:r>
              <w:rPr>
                <w:spacing w:val="-6"/>
                <w:sz w:val="20"/>
              </w:rPr>
              <w:t> </w:t>
            </w:r>
            <w:r>
              <w:rPr>
                <w:spacing w:val="-4"/>
                <w:sz w:val="20"/>
              </w:rPr>
              <w:t>H91,</w:t>
            </w:r>
          </w:p>
        </w:tc>
      </w:tr>
      <w:tr>
        <w:trPr>
          <w:trHeight w:val="229" w:hRule="atLeast"/>
        </w:trPr>
        <w:tc>
          <w:tcPr>
            <w:tcW w:w="15295" w:type="dxa"/>
            <w:gridSpan w:val="7"/>
          </w:tcPr>
          <w:p>
            <w:pPr>
              <w:pStyle w:val="TableParagraph"/>
              <w:spacing w:line="210" w:lineRule="exact"/>
              <w:ind w:left="4411"/>
              <w:rPr>
                <w:sz w:val="20"/>
              </w:rPr>
            </w:pPr>
            <w:r>
              <w:rPr>
                <w:sz w:val="20"/>
              </w:rPr>
              <w:t>H91.0,</w:t>
            </w:r>
            <w:r>
              <w:rPr>
                <w:spacing w:val="-4"/>
                <w:sz w:val="20"/>
              </w:rPr>
              <w:t> </w:t>
            </w:r>
            <w:r>
              <w:rPr>
                <w:sz w:val="20"/>
              </w:rPr>
              <w:t>H91.1,</w:t>
            </w:r>
            <w:r>
              <w:rPr>
                <w:spacing w:val="-6"/>
                <w:sz w:val="20"/>
              </w:rPr>
              <w:t> </w:t>
            </w:r>
            <w:r>
              <w:rPr>
                <w:sz w:val="20"/>
              </w:rPr>
              <w:t>H91.2,</w:t>
            </w:r>
            <w:r>
              <w:rPr>
                <w:spacing w:val="-4"/>
                <w:sz w:val="20"/>
              </w:rPr>
              <w:t> </w:t>
            </w:r>
            <w:r>
              <w:rPr>
                <w:sz w:val="20"/>
              </w:rPr>
              <w:t>H91.3,</w:t>
            </w:r>
            <w:r>
              <w:rPr>
                <w:spacing w:val="-6"/>
                <w:sz w:val="20"/>
              </w:rPr>
              <w:t> </w:t>
            </w:r>
            <w:r>
              <w:rPr>
                <w:sz w:val="20"/>
              </w:rPr>
              <w:t>H91.8,</w:t>
            </w:r>
            <w:r>
              <w:rPr>
                <w:spacing w:val="-3"/>
                <w:sz w:val="20"/>
              </w:rPr>
              <w:t> </w:t>
            </w:r>
            <w:r>
              <w:rPr>
                <w:sz w:val="20"/>
              </w:rPr>
              <w:t>H91.9,</w:t>
            </w:r>
            <w:r>
              <w:rPr>
                <w:spacing w:val="-6"/>
                <w:sz w:val="20"/>
              </w:rPr>
              <w:t> </w:t>
            </w:r>
            <w:r>
              <w:rPr>
                <w:spacing w:val="-4"/>
                <w:sz w:val="20"/>
              </w:rPr>
              <w:t>H92,</w:t>
            </w:r>
          </w:p>
        </w:tc>
      </w:tr>
      <w:tr>
        <w:trPr>
          <w:trHeight w:val="229" w:hRule="atLeast"/>
        </w:trPr>
        <w:tc>
          <w:tcPr>
            <w:tcW w:w="15295" w:type="dxa"/>
            <w:gridSpan w:val="7"/>
          </w:tcPr>
          <w:p>
            <w:pPr>
              <w:pStyle w:val="TableParagraph"/>
              <w:spacing w:line="209" w:lineRule="exact"/>
              <w:ind w:left="4414"/>
              <w:rPr>
                <w:sz w:val="20"/>
              </w:rPr>
            </w:pPr>
            <w:r>
              <w:rPr>
                <w:sz w:val="20"/>
              </w:rPr>
              <w:t>H92.0,</w:t>
            </w:r>
            <w:r>
              <w:rPr>
                <w:spacing w:val="-6"/>
                <w:sz w:val="20"/>
              </w:rPr>
              <w:t> </w:t>
            </w:r>
            <w:r>
              <w:rPr>
                <w:sz w:val="20"/>
              </w:rPr>
              <w:t>H92.1,</w:t>
            </w:r>
            <w:r>
              <w:rPr>
                <w:spacing w:val="-6"/>
                <w:sz w:val="20"/>
              </w:rPr>
              <w:t> </w:t>
            </w:r>
            <w:r>
              <w:rPr>
                <w:sz w:val="20"/>
              </w:rPr>
              <w:t>H92.2,</w:t>
            </w:r>
            <w:r>
              <w:rPr>
                <w:spacing w:val="-5"/>
                <w:sz w:val="20"/>
              </w:rPr>
              <w:t> </w:t>
            </w:r>
            <w:r>
              <w:rPr>
                <w:sz w:val="20"/>
              </w:rPr>
              <w:t>H93,</w:t>
            </w:r>
            <w:r>
              <w:rPr>
                <w:spacing w:val="-6"/>
                <w:sz w:val="20"/>
              </w:rPr>
              <w:t> </w:t>
            </w:r>
            <w:r>
              <w:rPr>
                <w:sz w:val="20"/>
              </w:rPr>
              <w:t>H93.0,</w:t>
            </w:r>
            <w:r>
              <w:rPr>
                <w:spacing w:val="-5"/>
                <w:sz w:val="20"/>
              </w:rPr>
              <w:t> </w:t>
            </w:r>
            <w:r>
              <w:rPr>
                <w:sz w:val="20"/>
              </w:rPr>
              <w:t>H93.1,</w:t>
            </w:r>
            <w:r>
              <w:rPr>
                <w:spacing w:val="-5"/>
                <w:sz w:val="20"/>
              </w:rPr>
              <w:t> </w:t>
            </w:r>
            <w:r>
              <w:rPr>
                <w:spacing w:val="-2"/>
                <w:sz w:val="20"/>
              </w:rPr>
              <w:t>H93.2,</w:t>
            </w:r>
          </w:p>
        </w:tc>
      </w:tr>
      <w:tr>
        <w:trPr>
          <w:trHeight w:val="230" w:hRule="atLeast"/>
        </w:trPr>
        <w:tc>
          <w:tcPr>
            <w:tcW w:w="15295" w:type="dxa"/>
            <w:gridSpan w:val="7"/>
          </w:tcPr>
          <w:p>
            <w:pPr>
              <w:pStyle w:val="TableParagraph"/>
              <w:spacing w:line="210" w:lineRule="exact"/>
              <w:ind w:left="4488"/>
              <w:rPr>
                <w:sz w:val="20"/>
              </w:rPr>
            </w:pPr>
            <w:r>
              <w:rPr>
                <w:sz w:val="20"/>
              </w:rPr>
              <w:t>H93.3,</w:t>
            </w:r>
            <w:r>
              <w:rPr>
                <w:spacing w:val="-6"/>
                <w:sz w:val="20"/>
              </w:rPr>
              <w:t> </w:t>
            </w:r>
            <w:r>
              <w:rPr>
                <w:sz w:val="20"/>
              </w:rPr>
              <w:t>H93.8,</w:t>
            </w:r>
            <w:r>
              <w:rPr>
                <w:spacing w:val="-6"/>
                <w:sz w:val="20"/>
              </w:rPr>
              <w:t> </w:t>
            </w:r>
            <w:r>
              <w:rPr>
                <w:sz w:val="20"/>
              </w:rPr>
              <w:t>H93.9,</w:t>
            </w:r>
            <w:r>
              <w:rPr>
                <w:spacing w:val="-5"/>
                <w:sz w:val="20"/>
              </w:rPr>
              <w:t> </w:t>
            </w:r>
            <w:r>
              <w:rPr>
                <w:sz w:val="20"/>
              </w:rPr>
              <w:t>H94,</w:t>
            </w:r>
            <w:r>
              <w:rPr>
                <w:spacing w:val="-6"/>
                <w:sz w:val="20"/>
              </w:rPr>
              <w:t> </w:t>
            </w:r>
            <w:r>
              <w:rPr>
                <w:sz w:val="20"/>
              </w:rPr>
              <w:t>H94.0,</w:t>
            </w:r>
            <w:r>
              <w:rPr>
                <w:spacing w:val="-5"/>
                <w:sz w:val="20"/>
              </w:rPr>
              <w:t> </w:t>
            </w:r>
            <w:r>
              <w:rPr>
                <w:sz w:val="20"/>
              </w:rPr>
              <w:t>H94.8,</w:t>
            </w:r>
            <w:r>
              <w:rPr>
                <w:spacing w:val="-5"/>
                <w:sz w:val="20"/>
              </w:rPr>
              <w:t> </w:t>
            </w:r>
            <w:r>
              <w:rPr>
                <w:spacing w:val="-4"/>
                <w:sz w:val="20"/>
              </w:rPr>
              <w:t>H95,</w:t>
            </w:r>
          </w:p>
        </w:tc>
      </w:tr>
      <w:tr>
        <w:trPr>
          <w:trHeight w:val="230" w:hRule="atLeast"/>
        </w:trPr>
        <w:tc>
          <w:tcPr>
            <w:tcW w:w="15295" w:type="dxa"/>
            <w:gridSpan w:val="7"/>
          </w:tcPr>
          <w:p>
            <w:pPr>
              <w:pStyle w:val="TableParagraph"/>
              <w:spacing w:line="210" w:lineRule="exact"/>
              <w:ind w:left="4512"/>
              <w:rPr>
                <w:sz w:val="20"/>
              </w:rPr>
            </w:pPr>
            <w:r>
              <w:rPr>
                <w:sz w:val="20"/>
              </w:rPr>
              <w:t>H95.0,</w:t>
            </w:r>
            <w:r>
              <w:rPr>
                <w:spacing w:val="-4"/>
                <w:sz w:val="20"/>
              </w:rPr>
              <w:t> </w:t>
            </w:r>
            <w:r>
              <w:rPr>
                <w:sz w:val="20"/>
              </w:rPr>
              <w:t>H95.1,</w:t>
            </w:r>
            <w:r>
              <w:rPr>
                <w:spacing w:val="-6"/>
                <w:sz w:val="20"/>
              </w:rPr>
              <w:t> </w:t>
            </w:r>
            <w:r>
              <w:rPr>
                <w:sz w:val="20"/>
              </w:rPr>
              <w:t>H95.8,</w:t>
            </w:r>
            <w:r>
              <w:rPr>
                <w:spacing w:val="-4"/>
                <w:sz w:val="20"/>
              </w:rPr>
              <w:t> </w:t>
            </w:r>
            <w:r>
              <w:rPr>
                <w:sz w:val="20"/>
              </w:rPr>
              <w:t>H95.9,</w:t>
            </w:r>
            <w:r>
              <w:rPr>
                <w:spacing w:val="-5"/>
                <w:sz w:val="20"/>
              </w:rPr>
              <w:t> </w:t>
            </w:r>
            <w:r>
              <w:rPr>
                <w:sz w:val="20"/>
              </w:rPr>
              <w:t>J30,</w:t>
            </w:r>
            <w:r>
              <w:rPr>
                <w:spacing w:val="-6"/>
                <w:sz w:val="20"/>
              </w:rPr>
              <w:t> </w:t>
            </w:r>
            <w:r>
              <w:rPr>
                <w:sz w:val="20"/>
              </w:rPr>
              <w:t>J30.0,</w:t>
            </w:r>
            <w:r>
              <w:rPr>
                <w:spacing w:val="-5"/>
                <w:sz w:val="20"/>
              </w:rPr>
              <w:t> </w:t>
            </w:r>
            <w:r>
              <w:rPr>
                <w:spacing w:val="-2"/>
                <w:sz w:val="20"/>
              </w:rPr>
              <w:t>J30.1,</w:t>
            </w:r>
          </w:p>
        </w:tc>
      </w:tr>
      <w:tr>
        <w:trPr>
          <w:trHeight w:val="230" w:hRule="atLeast"/>
        </w:trPr>
        <w:tc>
          <w:tcPr>
            <w:tcW w:w="15295" w:type="dxa"/>
            <w:gridSpan w:val="7"/>
          </w:tcPr>
          <w:p>
            <w:pPr>
              <w:pStyle w:val="TableParagraph"/>
              <w:spacing w:line="210" w:lineRule="exact"/>
              <w:ind w:left="4457"/>
              <w:rPr>
                <w:sz w:val="20"/>
              </w:rPr>
            </w:pPr>
            <w:r>
              <w:rPr>
                <w:sz w:val="20"/>
              </w:rPr>
              <w:t>J30.2,</w:t>
            </w:r>
            <w:r>
              <w:rPr>
                <w:spacing w:val="-6"/>
                <w:sz w:val="20"/>
              </w:rPr>
              <w:t> </w:t>
            </w:r>
            <w:r>
              <w:rPr>
                <w:sz w:val="20"/>
              </w:rPr>
              <w:t>J30.3,</w:t>
            </w:r>
            <w:r>
              <w:rPr>
                <w:spacing w:val="-6"/>
                <w:sz w:val="20"/>
              </w:rPr>
              <w:t> </w:t>
            </w:r>
            <w:r>
              <w:rPr>
                <w:sz w:val="20"/>
              </w:rPr>
              <w:t>J30.4,</w:t>
            </w:r>
            <w:r>
              <w:rPr>
                <w:spacing w:val="-5"/>
                <w:sz w:val="20"/>
              </w:rPr>
              <w:t> </w:t>
            </w:r>
            <w:r>
              <w:rPr>
                <w:sz w:val="20"/>
              </w:rPr>
              <w:t>J31,</w:t>
            </w:r>
            <w:r>
              <w:rPr>
                <w:spacing w:val="-4"/>
                <w:sz w:val="20"/>
              </w:rPr>
              <w:t> </w:t>
            </w:r>
            <w:r>
              <w:rPr>
                <w:sz w:val="20"/>
              </w:rPr>
              <w:t>J31.0,</w:t>
            </w:r>
            <w:r>
              <w:rPr>
                <w:spacing w:val="-5"/>
                <w:sz w:val="20"/>
              </w:rPr>
              <w:t> </w:t>
            </w:r>
            <w:r>
              <w:rPr>
                <w:sz w:val="20"/>
              </w:rPr>
              <w:t>J31.1,</w:t>
            </w:r>
            <w:r>
              <w:rPr>
                <w:spacing w:val="-6"/>
                <w:sz w:val="20"/>
              </w:rPr>
              <w:t> </w:t>
            </w:r>
            <w:r>
              <w:rPr>
                <w:sz w:val="20"/>
              </w:rPr>
              <w:t>J31.2,</w:t>
            </w:r>
            <w:r>
              <w:rPr>
                <w:spacing w:val="-5"/>
                <w:sz w:val="20"/>
              </w:rPr>
              <w:t> </w:t>
            </w:r>
            <w:r>
              <w:rPr>
                <w:spacing w:val="-4"/>
                <w:sz w:val="20"/>
              </w:rPr>
              <w:t>J32,</w:t>
            </w:r>
          </w:p>
        </w:tc>
      </w:tr>
      <w:tr>
        <w:trPr>
          <w:trHeight w:val="230" w:hRule="atLeast"/>
        </w:trPr>
        <w:tc>
          <w:tcPr>
            <w:tcW w:w="15295" w:type="dxa"/>
            <w:gridSpan w:val="7"/>
          </w:tcPr>
          <w:p>
            <w:pPr>
              <w:pStyle w:val="TableParagraph"/>
              <w:spacing w:line="210" w:lineRule="exact"/>
              <w:ind w:left="4383"/>
              <w:rPr>
                <w:sz w:val="20"/>
              </w:rPr>
            </w:pPr>
            <w:r>
              <w:rPr>
                <w:sz w:val="20"/>
              </w:rPr>
              <w:t>J32.0,</w:t>
            </w:r>
            <w:r>
              <w:rPr>
                <w:spacing w:val="-6"/>
                <w:sz w:val="20"/>
              </w:rPr>
              <w:t> </w:t>
            </w:r>
            <w:r>
              <w:rPr>
                <w:sz w:val="20"/>
              </w:rPr>
              <w:t>J32.1,</w:t>
            </w:r>
            <w:r>
              <w:rPr>
                <w:spacing w:val="-6"/>
                <w:sz w:val="20"/>
              </w:rPr>
              <w:t> </w:t>
            </w:r>
            <w:r>
              <w:rPr>
                <w:sz w:val="20"/>
              </w:rPr>
              <w:t>J32.2,</w:t>
            </w:r>
            <w:r>
              <w:rPr>
                <w:spacing w:val="-5"/>
                <w:sz w:val="20"/>
              </w:rPr>
              <w:t> </w:t>
            </w:r>
            <w:r>
              <w:rPr>
                <w:sz w:val="20"/>
              </w:rPr>
              <w:t>J32.3,</w:t>
            </w:r>
            <w:r>
              <w:rPr>
                <w:spacing w:val="-6"/>
                <w:sz w:val="20"/>
              </w:rPr>
              <w:t> </w:t>
            </w:r>
            <w:r>
              <w:rPr>
                <w:sz w:val="20"/>
              </w:rPr>
              <w:t>J32.4,</w:t>
            </w:r>
            <w:r>
              <w:rPr>
                <w:spacing w:val="-3"/>
                <w:sz w:val="20"/>
              </w:rPr>
              <w:t> </w:t>
            </w:r>
            <w:r>
              <w:rPr>
                <w:sz w:val="20"/>
              </w:rPr>
              <w:t>J32.8,</w:t>
            </w:r>
            <w:r>
              <w:rPr>
                <w:spacing w:val="-4"/>
                <w:sz w:val="20"/>
              </w:rPr>
              <w:t> </w:t>
            </w:r>
            <w:r>
              <w:rPr>
                <w:sz w:val="20"/>
              </w:rPr>
              <w:t>J32.9,</w:t>
            </w:r>
            <w:r>
              <w:rPr>
                <w:spacing w:val="-4"/>
                <w:sz w:val="20"/>
              </w:rPr>
              <w:t> J33,</w:t>
            </w:r>
          </w:p>
        </w:tc>
      </w:tr>
      <w:tr>
        <w:trPr>
          <w:trHeight w:val="229" w:hRule="atLeast"/>
        </w:trPr>
        <w:tc>
          <w:tcPr>
            <w:tcW w:w="15295" w:type="dxa"/>
            <w:gridSpan w:val="7"/>
          </w:tcPr>
          <w:p>
            <w:pPr>
              <w:pStyle w:val="TableParagraph"/>
              <w:spacing w:line="209" w:lineRule="exact"/>
              <w:ind w:left="4383"/>
              <w:rPr>
                <w:sz w:val="20"/>
              </w:rPr>
            </w:pPr>
            <w:r>
              <w:rPr>
                <w:sz w:val="20"/>
              </w:rPr>
              <w:t>J33.0,</w:t>
            </w:r>
            <w:r>
              <w:rPr>
                <w:spacing w:val="-6"/>
                <w:sz w:val="20"/>
              </w:rPr>
              <w:t> </w:t>
            </w:r>
            <w:r>
              <w:rPr>
                <w:sz w:val="20"/>
              </w:rPr>
              <w:t>J33.1,</w:t>
            </w:r>
            <w:r>
              <w:rPr>
                <w:spacing w:val="-5"/>
                <w:sz w:val="20"/>
              </w:rPr>
              <w:t> </w:t>
            </w:r>
            <w:r>
              <w:rPr>
                <w:sz w:val="20"/>
              </w:rPr>
              <w:t>J33.8,</w:t>
            </w:r>
            <w:r>
              <w:rPr>
                <w:spacing w:val="-5"/>
                <w:sz w:val="20"/>
              </w:rPr>
              <w:t> </w:t>
            </w:r>
            <w:r>
              <w:rPr>
                <w:sz w:val="20"/>
              </w:rPr>
              <w:t>J33.9,</w:t>
            </w:r>
            <w:r>
              <w:rPr>
                <w:spacing w:val="-6"/>
                <w:sz w:val="20"/>
              </w:rPr>
              <w:t> </w:t>
            </w:r>
            <w:r>
              <w:rPr>
                <w:sz w:val="20"/>
              </w:rPr>
              <w:t>J34,</w:t>
            </w:r>
            <w:r>
              <w:rPr>
                <w:spacing w:val="-5"/>
                <w:sz w:val="20"/>
              </w:rPr>
              <w:t> </w:t>
            </w:r>
            <w:r>
              <w:rPr>
                <w:sz w:val="20"/>
              </w:rPr>
              <w:t>J34.0,</w:t>
            </w:r>
            <w:r>
              <w:rPr>
                <w:spacing w:val="-5"/>
                <w:sz w:val="20"/>
              </w:rPr>
              <w:t> </w:t>
            </w:r>
            <w:r>
              <w:rPr>
                <w:sz w:val="20"/>
              </w:rPr>
              <w:t>J34.1,</w:t>
            </w:r>
            <w:r>
              <w:rPr>
                <w:spacing w:val="-5"/>
                <w:sz w:val="20"/>
              </w:rPr>
              <w:t> </w:t>
            </w:r>
            <w:r>
              <w:rPr>
                <w:spacing w:val="-2"/>
                <w:sz w:val="20"/>
              </w:rPr>
              <w:t>J34.2,</w:t>
            </w:r>
          </w:p>
        </w:tc>
      </w:tr>
      <w:tr>
        <w:trPr>
          <w:trHeight w:val="229" w:hRule="atLeast"/>
        </w:trPr>
        <w:tc>
          <w:tcPr>
            <w:tcW w:w="15295" w:type="dxa"/>
            <w:gridSpan w:val="7"/>
          </w:tcPr>
          <w:p>
            <w:pPr>
              <w:pStyle w:val="TableParagraph"/>
              <w:spacing w:line="209" w:lineRule="exact"/>
              <w:ind w:left="4383"/>
              <w:rPr>
                <w:sz w:val="20"/>
              </w:rPr>
            </w:pPr>
            <w:r>
              <w:rPr>
                <w:sz w:val="20"/>
              </w:rPr>
              <w:t>J34.3,</w:t>
            </w:r>
            <w:r>
              <w:rPr>
                <w:spacing w:val="-6"/>
                <w:sz w:val="20"/>
              </w:rPr>
              <w:t> </w:t>
            </w:r>
            <w:r>
              <w:rPr>
                <w:sz w:val="20"/>
              </w:rPr>
              <w:t>J34.8,</w:t>
            </w:r>
            <w:r>
              <w:rPr>
                <w:spacing w:val="-6"/>
                <w:sz w:val="20"/>
              </w:rPr>
              <w:t> </w:t>
            </w:r>
            <w:r>
              <w:rPr>
                <w:sz w:val="20"/>
              </w:rPr>
              <w:t>J35,</w:t>
            </w:r>
            <w:r>
              <w:rPr>
                <w:spacing w:val="-5"/>
                <w:sz w:val="20"/>
              </w:rPr>
              <w:t> </w:t>
            </w:r>
            <w:r>
              <w:rPr>
                <w:sz w:val="20"/>
              </w:rPr>
              <w:t>J35.0,</w:t>
            </w:r>
            <w:r>
              <w:rPr>
                <w:spacing w:val="-4"/>
                <w:sz w:val="20"/>
              </w:rPr>
              <w:t> </w:t>
            </w:r>
            <w:r>
              <w:rPr>
                <w:sz w:val="20"/>
              </w:rPr>
              <w:t>J35.1,</w:t>
            </w:r>
            <w:r>
              <w:rPr>
                <w:spacing w:val="-5"/>
                <w:sz w:val="20"/>
              </w:rPr>
              <w:t> </w:t>
            </w:r>
            <w:r>
              <w:rPr>
                <w:sz w:val="20"/>
              </w:rPr>
              <w:t>J35.2,</w:t>
            </w:r>
            <w:r>
              <w:rPr>
                <w:spacing w:val="-6"/>
                <w:sz w:val="20"/>
              </w:rPr>
              <w:t> </w:t>
            </w:r>
            <w:r>
              <w:rPr>
                <w:sz w:val="20"/>
              </w:rPr>
              <w:t>J35.3,</w:t>
            </w:r>
            <w:r>
              <w:rPr>
                <w:spacing w:val="-5"/>
                <w:sz w:val="20"/>
              </w:rPr>
              <w:t> </w:t>
            </w:r>
            <w:r>
              <w:rPr>
                <w:spacing w:val="-2"/>
                <w:sz w:val="20"/>
              </w:rPr>
              <w:t>J35.8,</w:t>
            </w:r>
          </w:p>
        </w:tc>
      </w:tr>
      <w:tr>
        <w:trPr>
          <w:trHeight w:val="230" w:hRule="atLeast"/>
        </w:trPr>
        <w:tc>
          <w:tcPr>
            <w:tcW w:w="15295" w:type="dxa"/>
            <w:gridSpan w:val="7"/>
          </w:tcPr>
          <w:p>
            <w:pPr>
              <w:pStyle w:val="TableParagraph"/>
              <w:spacing w:line="210" w:lineRule="exact"/>
              <w:ind w:left="4531"/>
              <w:rPr>
                <w:sz w:val="20"/>
              </w:rPr>
            </w:pPr>
            <w:r>
              <w:rPr>
                <w:sz w:val="20"/>
              </w:rPr>
              <w:t>J35.9,</w:t>
            </w:r>
            <w:r>
              <w:rPr>
                <w:spacing w:val="-5"/>
                <w:sz w:val="20"/>
              </w:rPr>
              <w:t> </w:t>
            </w:r>
            <w:r>
              <w:rPr>
                <w:sz w:val="20"/>
              </w:rPr>
              <w:t>J36,</w:t>
            </w:r>
            <w:r>
              <w:rPr>
                <w:spacing w:val="-5"/>
                <w:sz w:val="20"/>
              </w:rPr>
              <w:t> </w:t>
            </w:r>
            <w:r>
              <w:rPr>
                <w:sz w:val="20"/>
              </w:rPr>
              <w:t>J37,</w:t>
            </w:r>
            <w:r>
              <w:rPr>
                <w:spacing w:val="-4"/>
                <w:sz w:val="20"/>
              </w:rPr>
              <w:t> </w:t>
            </w:r>
            <w:r>
              <w:rPr>
                <w:sz w:val="20"/>
              </w:rPr>
              <w:t>J37.0,</w:t>
            </w:r>
            <w:r>
              <w:rPr>
                <w:spacing w:val="-5"/>
                <w:sz w:val="20"/>
              </w:rPr>
              <w:t> </w:t>
            </w:r>
            <w:r>
              <w:rPr>
                <w:sz w:val="20"/>
              </w:rPr>
              <w:t>J37.1,</w:t>
            </w:r>
            <w:r>
              <w:rPr>
                <w:spacing w:val="-4"/>
                <w:sz w:val="20"/>
              </w:rPr>
              <w:t> </w:t>
            </w:r>
            <w:r>
              <w:rPr>
                <w:sz w:val="20"/>
              </w:rPr>
              <w:t>J38,</w:t>
            </w:r>
            <w:r>
              <w:rPr>
                <w:spacing w:val="-5"/>
                <w:sz w:val="20"/>
              </w:rPr>
              <w:t> </w:t>
            </w:r>
            <w:r>
              <w:rPr>
                <w:sz w:val="20"/>
              </w:rPr>
              <w:t>J38.0,</w:t>
            </w:r>
            <w:r>
              <w:rPr>
                <w:spacing w:val="-4"/>
                <w:sz w:val="20"/>
              </w:rPr>
              <w:t> </w:t>
            </w:r>
            <w:r>
              <w:rPr>
                <w:spacing w:val="-2"/>
                <w:sz w:val="20"/>
              </w:rPr>
              <w:t>J38.1,</w:t>
            </w:r>
          </w:p>
        </w:tc>
      </w:tr>
      <w:tr>
        <w:trPr>
          <w:trHeight w:val="230" w:hRule="atLeast"/>
        </w:trPr>
        <w:tc>
          <w:tcPr>
            <w:tcW w:w="15295" w:type="dxa"/>
            <w:gridSpan w:val="7"/>
          </w:tcPr>
          <w:p>
            <w:pPr>
              <w:pStyle w:val="TableParagraph"/>
              <w:spacing w:line="210" w:lineRule="exact"/>
              <w:ind w:left="4383"/>
              <w:rPr>
                <w:sz w:val="20"/>
              </w:rPr>
            </w:pPr>
            <w:r>
              <w:rPr>
                <w:sz w:val="20"/>
              </w:rPr>
              <w:t>J38.2,</w:t>
            </w:r>
            <w:r>
              <w:rPr>
                <w:spacing w:val="-6"/>
                <w:sz w:val="20"/>
              </w:rPr>
              <w:t> </w:t>
            </w:r>
            <w:r>
              <w:rPr>
                <w:sz w:val="20"/>
              </w:rPr>
              <w:t>J38.3,</w:t>
            </w:r>
            <w:r>
              <w:rPr>
                <w:spacing w:val="-6"/>
                <w:sz w:val="20"/>
              </w:rPr>
              <w:t> </w:t>
            </w:r>
            <w:r>
              <w:rPr>
                <w:sz w:val="20"/>
              </w:rPr>
              <w:t>J38.4,</w:t>
            </w:r>
            <w:r>
              <w:rPr>
                <w:spacing w:val="-5"/>
                <w:sz w:val="20"/>
              </w:rPr>
              <w:t> </w:t>
            </w:r>
            <w:r>
              <w:rPr>
                <w:sz w:val="20"/>
              </w:rPr>
              <w:t>J38.5,</w:t>
            </w:r>
            <w:r>
              <w:rPr>
                <w:spacing w:val="-6"/>
                <w:sz w:val="20"/>
              </w:rPr>
              <w:t> </w:t>
            </w:r>
            <w:r>
              <w:rPr>
                <w:sz w:val="20"/>
              </w:rPr>
              <w:t>J38.6,</w:t>
            </w:r>
            <w:r>
              <w:rPr>
                <w:spacing w:val="-4"/>
                <w:sz w:val="20"/>
              </w:rPr>
              <w:t> </w:t>
            </w:r>
            <w:r>
              <w:rPr>
                <w:sz w:val="20"/>
              </w:rPr>
              <w:t>J38.7,</w:t>
            </w:r>
            <w:r>
              <w:rPr>
                <w:spacing w:val="-4"/>
                <w:sz w:val="20"/>
              </w:rPr>
              <w:t> </w:t>
            </w:r>
            <w:r>
              <w:rPr>
                <w:sz w:val="20"/>
              </w:rPr>
              <w:t>J39,</w:t>
            </w:r>
            <w:r>
              <w:rPr>
                <w:spacing w:val="-5"/>
                <w:sz w:val="20"/>
              </w:rPr>
              <w:t> </w:t>
            </w:r>
            <w:r>
              <w:rPr>
                <w:spacing w:val="-2"/>
                <w:sz w:val="20"/>
              </w:rPr>
              <w:t>J39.0,</w:t>
            </w:r>
          </w:p>
        </w:tc>
      </w:tr>
      <w:tr>
        <w:trPr>
          <w:trHeight w:val="230" w:hRule="atLeast"/>
        </w:trPr>
        <w:tc>
          <w:tcPr>
            <w:tcW w:w="15295" w:type="dxa"/>
            <w:gridSpan w:val="7"/>
          </w:tcPr>
          <w:p>
            <w:pPr>
              <w:pStyle w:val="TableParagraph"/>
              <w:spacing w:line="211" w:lineRule="exact"/>
              <w:ind w:left="4579"/>
              <w:rPr>
                <w:sz w:val="20"/>
              </w:rPr>
            </w:pPr>
            <w:r>
              <w:rPr>
                <w:sz w:val="20"/>
              </w:rPr>
              <w:t>J39.1,</w:t>
            </w:r>
            <w:r>
              <w:rPr>
                <w:spacing w:val="-5"/>
                <w:sz w:val="20"/>
              </w:rPr>
              <w:t> </w:t>
            </w:r>
            <w:r>
              <w:rPr>
                <w:sz w:val="20"/>
              </w:rPr>
              <w:t>J39.2,</w:t>
            </w:r>
            <w:r>
              <w:rPr>
                <w:spacing w:val="-5"/>
                <w:sz w:val="20"/>
              </w:rPr>
              <w:t> </w:t>
            </w:r>
            <w:r>
              <w:rPr>
                <w:sz w:val="20"/>
              </w:rPr>
              <w:t>J39.3,</w:t>
            </w:r>
            <w:r>
              <w:rPr>
                <w:spacing w:val="-5"/>
                <w:sz w:val="20"/>
              </w:rPr>
              <w:t> </w:t>
            </w:r>
            <w:r>
              <w:rPr>
                <w:sz w:val="20"/>
              </w:rPr>
              <w:t>J39.8,</w:t>
            </w:r>
            <w:r>
              <w:rPr>
                <w:spacing w:val="-5"/>
                <w:sz w:val="20"/>
              </w:rPr>
              <w:t> </w:t>
            </w:r>
            <w:r>
              <w:rPr>
                <w:sz w:val="20"/>
              </w:rPr>
              <w:t>J39.9,</w:t>
            </w:r>
            <w:r>
              <w:rPr>
                <w:spacing w:val="-3"/>
                <w:sz w:val="20"/>
              </w:rPr>
              <w:t> </w:t>
            </w:r>
            <w:r>
              <w:rPr>
                <w:sz w:val="20"/>
              </w:rPr>
              <w:t>Q16,</w:t>
            </w:r>
            <w:r>
              <w:rPr>
                <w:spacing w:val="-3"/>
                <w:sz w:val="20"/>
              </w:rPr>
              <w:t> </w:t>
            </w:r>
            <w:r>
              <w:rPr>
                <w:spacing w:val="-2"/>
                <w:sz w:val="20"/>
              </w:rPr>
              <w:t>Q16.0,</w:t>
            </w:r>
          </w:p>
        </w:tc>
      </w:tr>
      <w:tr>
        <w:trPr>
          <w:trHeight w:val="230" w:hRule="atLeast"/>
        </w:trPr>
        <w:tc>
          <w:tcPr>
            <w:tcW w:w="15295" w:type="dxa"/>
            <w:gridSpan w:val="7"/>
          </w:tcPr>
          <w:p>
            <w:pPr>
              <w:pStyle w:val="TableParagraph"/>
              <w:spacing w:line="211" w:lineRule="exact"/>
              <w:ind w:left="4411"/>
              <w:rPr>
                <w:sz w:val="20"/>
              </w:rPr>
            </w:pPr>
            <w:r>
              <w:rPr>
                <w:sz w:val="20"/>
              </w:rPr>
              <w:t>Q16.1,</w:t>
            </w:r>
            <w:r>
              <w:rPr>
                <w:spacing w:val="-5"/>
                <w:sz w:val="20"/>
              </w:rPr>
              <w:t> </w:t>
            </w:r>
            <w:r>
              <w:rPr>
                <w:sz w:val="20"/>
              </w:rPr>
              <w:t>Q16.2,</w:t>
            </w:r>
            <w:r>
              <w:rPr>
                <w:spacing w:val="-5"/>
                <w:sz w:val="20"/>
              </w:rPr>
              <w:t> </w:t>
            </w:r>
            <w:r>
              <w:rPr>
                <w:sz w:val="20"/>
              </w:rPr>
              <w:t>Q16.3,</w:t>
            </w:r>
            <w:r>
              <w:rPr>
                <w:spacing w:val="-4"/>
                <w:sz w:val="20"/>
              </w:rPr>
              <w:t> </w:t>
            </w:r>
            <w:r>
              <w:rPr>
                <w:sz w:val="20"/>
              </w:rPr>
              <w:t>Q16.4,</w:t>
            </w:r>
            <w:r>
              <w:rPr>
                <w:spacing w:val="-6"/>
                <w:sz w:val="20"/>
              </w:rPr>
              <w:t> </w:t>
            </w:r>
            <w:r>
              <w:rPr>
                <w:sz w:val="20"/>
              </w:rPr>
              <w:t>Q16.5,</w:t>
            </w:r>
            <w:r>
              <w:rPr>
                <w:spacing w:val="-4"/>
                <w:sz w:val="20"/>
              </w:rPr>
              <w:t> </w:t>
            </w:r>
            <w:r>
              <w:rPr>
                <w:sz w:val="20"/>
              </w:rPr>
              <w:t>Q16.9,</w:t>
            </w:r>
            <w:r>
              <w:rPr>
                <w:spacing w:val="-6"/>
                <w:sz w:val="20"/>
              </w:rPr>
              <w:t> </w:t>
            </w:r>
            <w:r>
              <w:rPr>
                <w:spacing w:val="-4"/>
                <w:sz w:val="20"/>
              </w:rPr>
              <w:t>Q17,</w:t>
            </w:r>
          </w:p>
        </w:tc>
      </w:tr>
      <w:tr>
        <w:trPr>
          <w:trHeight w:val="229" w:hRule="atLeast"/>
        </w:trPr>
        <w:tc>
          <w:tcPr>
            <w:tcW w:w="15295" w:type="dxa"/>
            <w:gridSpan w:val="7"/>
          </w:tcPr>
          <w:p>
            <w:pPr>
              <w:pStyle w:val="TableParagraph"/>
              <w:spacing w:line="209" w:lineRule="exact"/>
              <w:ind w:left="4635"/>
              <w:rPr>
                <w:sz w:val="20"/>
              </w:rPr>
            </w:pPr>
            <w:r>
              <w:rPr>
                <w:sz w:val="20"/>
              </w:rPr>
              <w:t>Q17.0,</w:t>
            </w:r>
            <w:r>
              <w:rPr>
                <w:spacing w:val="-4"/>
                <w:sz w:val="20"/>
              </w:rPr>
              <w:t> </w:t>
            </w:r>
            <w:r>
              <w:rPr>
                <w:sz w:val="20"/>
              </w:rPr>
              <w:t>Q17.1,</w:t>
            </w:r>
            <w:r>
              <w:rPr>
                <w:spacing w:val="-6"/>
                <w:sz w:val="20"/>
              </w:rPr>
              <w:t> </w:t>
            </w:r>
            <w:r>
              <w:rPr>
                <w:sz w:val="20"/>
              </w:rPr>
              <w:t>Q17.2,</w:t>
            </w:r>
            <w:r>
              <w:rPr>
                <w:spacing w:val="-4"/>
                <w:sz w:val="20"/>
              </w:rPr>
              <w:t> </w:t>
            </w:r>
            <w:r>
              <w:rPr>
                <w:sz w:val="20"/>
              </w:rPr>
              <w:t>Q17.3,</w:t>
            </w:r>
            <w:r>
              <w:rPr>
                <w:spacing w:val="-6"/>
                <w:sz w:val="20"/>
              </w:rPr>
              <w:t> </w:t>
            </w:r>
            <w:r>
              <w:rPr>
                <w:sz w:val="20"/>
              </w:rPr>
              <w:t>Q17.4,</w:t>
            </w:r>
            <w:r>
              <w:rPr>
                <w:spacing w:val="-4"/>
                <w:sz w:val="20"/>
              </w:rPr>
              <w:t> </w:t>
            </w:r>
            <w:r>
              <w:rPr>
                <w:spacing w:val="-2"/>
                <w:sz w:val="20"/>
              </w:rPr>
              <w:t>Q17.5,</w:t>
            </w:r>
          </w:p>
        </w:tc>
      </w:tr>
      <w:tr>
        <w:trPr>
          <w:trHeight w:val="229" w:hRule="atLeast"/>
        </w:trPr>
        <w:tc>
          <w:tcPr>
            <w:tcW w:w="15295" w:type="dxa"/>
            <w:gridSpan w:val="7"/>
          </w:tcPr>
          <w:p>
            <w:pPr>
              <w:pStyle w:val="TableParagraph"/>
              <w:spacing w:line="209" w:lineRule="exact"/>
              <w:ind w:left="4488"/>
              <w:rPr>
                <w:sz w:val="20"/>
              </w:rPr>
            </w:pPr>
            <w:r>
              <w:rPr>
                <w:sz w:val="20"/>
              </w:rPr>
              <w:t>Q17.8,</w:t>
            </w:r>
            <w:r>
              <w:rPr>
                <w:spacing w:val="-6"/>
                <w:sz w:val="20"/>
              </w:rPr>
              <w:t> </w:t>
            </w:r>
            <w:r>
              <w:rPr>
                <w:sz w:val="20"/>
              </w:rPr>
              <w:t>Q17.9,</w:t>
            </w:r>
            <w:r>
              <w:rPr>
                <w:spacing w:val="-7"/>
                <w:sz w:val="20"/>
              </w:rPr>
              <w:t> </w:t>
            </w:r>
            <w:r>
              <w:rPr>
                <w:sz w:val="20"/>
              </w:rPr>
              <w:t>Q18,</w:t>
            </w:r>
            <w:r>
              <w:rPr>
                <w:spacing w:val="-5"/>
                <w:sz w:val="20"/>
              </w:rPr>
              <w:t> </w:t>
            </w:r>
            <w:r>
              <w:rPr>
                <w:sz w:val="20"/>
              </w:rPr>
              <w:t>Q18.0,</w:t>
            </w:r>
            <w:r>
              <w:rPr>
                <w:spacing w:val="-5"/>
                <w:sz w:val="20"/>
              </w:rPr>
              <w:t> </w:t>
            </w:r>
            <w:r>
              <w:rPr>
                <w:sz w:val="20"/>
              </w:rPr>
              <w:t>Q18.1,</w:t>
            </w:r>
            <w:r>
              <w:rPr>
                <w:spacing w:val="-5"/>
                <w:sz w:val="20"/>
              </w:rPr>
              <w:t> </w:t>
            </w:r>
            <w:r>
              <w:rPr>
                <w:sz w:val="20"/>
              </w:rPr>
              <w:t>Q18.2,</w:t>
            </w:r>
            <w:r>
              <w:rPr>
                <w:spacing w:val="-6"/>
                <w:sz w:val="20"/>
              </w:rPr>
              <w:t> </w:t>
            </w:r>
            <w:r>
              <w:rPr>
                <w:spacing w:val="-4"/>
                <w:sz w:val="20"/>
              </w:rPr>
              <w:t>Q30,</w:t>
            </w:r>
          </w:p>
        </w:tc>
      </w:tr>
      <w:tr>
        <w:trPr>
          <w:trHeight w:val="230" w:hRule="atLeast"/>
        </w:trPr>
        <w:tc>
          <w:tcPr>
            <w:tcW w:w="15295" w:type="dxa"/>
            <w:gridSpan w:val="7"/>
          </w:tcPr>
          <w:p>
            <w:pPr>
              <w:pStyle w:val="TableParagraph"/>
              <w:spacing w:line="210" w:lineRule="exact"/>
              <w:ind w:left="4411"/>
              <w:rPr>
                <w:sz w:val="20"/>
              </w:rPr>
            </w:pPr>
            <w:r>
              <w:rPr>
                <w:sz w:val="20"/>
              </w:rPr>
              <w:t>Q30.0,</w:t>
            </w:r>
            <w:r>
              <w:rPr>
                <w:spacing w:val="-5"/>
                <w:sz w:val="20"/>
              </w:rPr>
              <w:t> </w:t>
            </w:r>
            <w:r>
              <w:rPr>
                <w:sz w:val="20"/>
              </w:rPr>
              <w:t>Q30.1,</w:t>
            </w:r>
            <w:r>
              <w:rPr>
                <w:spacing w:val="-5"/>
                <w:sz w:val="20"/>
              </w:rPr>
              <w:t> </w:t>
            </w:r>
            <w:r>
              <w:rPr>
                <w:sz w:val="20"/>
              </w:rPr>
              <w:t>Q30.2,</w:t>
            </w:r>
            <w:r>
              <w:rPr>
                <w:spacing w:val="-4"/>
                <w:sz w:val="20"/>
              </w:rPr>
              <w:t> </w:t>
            </w:r>
            <w:r>
              <w:rPr>
                <w:sz w:val="20"/>
              </w:rPr>
              <w:t>Q30.3,</w:t>
            </w:r>
            <w:r>
              <w:rPr>
                <w:spacing w:val="-6"/>
                <w:sz w:val="20"/>
              </w:rPr>
              <w:t> </w:t>
            </w:r>
            <w:r>
              <w:rPr>
                <w:sz w:val="20"/>
              </w:rPr>
              <w:t>Q30.8,</w:t>
            </w:r>
            <w:r>
              <w:rPr>
                <w:spacing w:val="-4"/>
                <w:sz w:val="20"/>
              </w:rPr>
              <w:t> </w:t>
            </w:r>
            <w:r>
              <w:rPr>
                <w:sz w:val="20"/>
              </w:rPr>
              <w:t>Q30.9,</w:t>
            </w:r>
            <w:r>
              <w:rPr>
                <w:spacing w:val="-6"/>
                <w:sz w:val="20"/>
              </w:rPr>
              <w:t> </w:t>
            </w:r>
            <w:r>
              <w:rPr>
                <w:spacing w:val="-4"/>
                <w:sz w:val="20"/>
              </w:rPr>
              <w:t>Q31,</w:t>
            </w:r>
          </w:p>
        </w:tc>
      </w:tr>
      <w:tr>
        <w:trPr>
          <w:trHeight w:val="230" w:hRule="atLeast"/>
        </w:trPr>
        <w:tc>
          <w:tcPr>
            <w:tcW w:w="15295" w:type="dxa"/>
            <w:gridSpan w:val="7"/>
          </w:tcPr>
          <w:p>
            <w:pPr>
              <w:pStyle w:val="TableParagraph"/>
              <w:spacing w:line="210" w:lineRule="exact"/>
              <w:ind w:left="4635"/>
              <w:rPr>
                <w:sz w:val="20"/>
              </w:rPr>
            </w:pPr>
            <w:r>
              <w:rPr>
                <w:sz w:val="20"/>
              </w:rPr>
              <w:t>Q31.0,</w:t>
            </w:r>
            <w:r>
              <w:rPr>
                <w:spacing w:val="-4"/>
                <w:sz w:val="20"/>
              </w:rPr>
              <w:t> </w:t>
            </w:r>
            <w:r>
              <w:rPr>
                <w:sz w:val="20"/>
              </w:rPr>
              <w:t>Q31.1,</w:t>
            </w:r>
            <w:r>
              <w:rPr>
                <w:spacing w:val="-6"/>
                <w:sz w:val="20"/>
              </w:rPr>
              <w:t> </w:t>
            </w:r>
            <w:r>
              <w:rPr>
                <w:sz w:val="20"/>
              </w:rPr>
              <w:t>Q31.2,</w:t>
            </w:r>
            <w:r>
              <w:rPr>
                <w:spacing w:val="-4"/>
                <w:sz w:val="20"/>
              </w:rPr>
              <w:t> </w:t>
            </w:r>
            <w:r>
              <w:rPr>
                <w:sz w:val="20"/>
              </w:rPr>
              <w:t>Q31.3,</w:t>
            </w:r>
            <w:r>
              <w:rPr>
                <w:spacing w:val="-6"/>
                <w:sz w:val="20"/>
              </w:rPr>
              <w:t> </w:t>
            </w:r>
            <w:r>
              <w:rPr>
                <w:sz w:val="20"/>
              </w:rPr>
              <w:t>Q31.5,</w:t>
            </w:r>
            <w:r>
              <w:rPr>
                <w:spacing w:val="-4"/>
                <w:sz w:val="20"/>
              </w:rPr>
              <w:t> </w:t>
            </w:r>
            <w:r>
              <w:rPr>
                <w:spacing w:val="-2"/>
                <w:sz w:val="20"/>
              </w:rPr>
              <w:t>Q31.8,</w:t>
            </w:r>
          </w:p>
        </w:tc>
      </w:tr>
      <w:tr>
        <w:trPr>
          <w:trHeight w:val="230" w:hRule="atLeast"/>
        </w:trPr>
        <w:tc>
          <w:tcPr>
            <w:tcW w:w="15295" w:type="dxa"/>
            <w:gridSpan w:val="7"/>
          </w:tcPr>
          <w:p>
            <w:pPr>
              <w:pStyle w:val="TableParagraph"/>
              <w:spacing w:line="210" w:lineRule="exact"/>
              <w:ind w:left="4414"/>
              <w:rPr>
                <w:sz w:val="20"/>
              </w:rPr>
            </w:pPr>
            <w:r>
              <w:rPr>
                <w:sz w:val="20"/>
              </w:rPr>
              <w:t>Q31.9,</w:t>
            </w:r>
            <w:r>
              <w:rPr>
                <w:spacing w:val="-6"/>
                <w:sz w:val="20"/>
              </w:rPr>
              <w:t> </w:t>
            </w:r>
            <w:r>
              <w:rPr>
                <w:sz w:val="20"/>
              </w:rPr>
              <w:t>Q32,</w:t>
            </w:r>
            <w:r>
              <w:rPr>
                <w:spacing w:val="-6"/>
                <w:sz w:val="20"/>
              </w:rPr>
              <w:t> </w:t>
            </w:r>
            <w:r>
              <w:rPr>
                <w:sz w:val="20"/>
              </w:rPr>
              <w:t>Q32.0,</w:t>
            </w:r>
            <w:r>
              <w:rPr>
                <w:spacing w:val="-5"/>
                <w:sz w:val="20"/>
              </w:rPr>
              <w:t> </w:t>
            </w:r>
            <w:r>
              <w:rPr>
                <w:sz w:val="20"/>
              </w:rPr>
              <w:t>Q32.1,</w:t>
            </w:r>
            <w:r>
              <w:rPr>
                <w:spacing w:val="-6"/>
                <w:sz w:val="20"/>
              </w:rPr>
              <w:t> </w:t>
            </w:r>
            <w:r>
              <w:rPr>
                <w:sz w:val="20"/>
              </w:rPr>
              <w:t>Q32.2,</w:t>
            </w:r>
            <w:r>
              <w:rPr>
                <w:spacing w:val="-5"/>
                <w:sz w:val="20"/>
              </w:rPr>
              <w:t> </w:t>
            </w:r>
            <w:r>
              <w:rPr>
                <w:sz w:val="20"/>
              </w:rPr>
              <w:t>Q32.3,</w:t>
            </w:r>
            <w:r>
              <w:rPr>
                <w:spacing w:val="-6"/>
                <w:sz w:val="20"/>
              </w:rPr>
              <w:t> </w:t>
            </w:r>
            <w:r>
              <w:rPr>
                <w:spacing w:val="-2"/>
                <w:sz w:val="20"/>
              </w:rPr>
              <w:t>Q32.4,</w:t>
            </w:r>
          </w:p>
        </w:tc>
      </w:tr>
      <w:tr>
        <w:trPr>
          <w:trHeight w:val="229" w:hRule="atLeast"/>
        </w:trPr>
        <w:tc>
          <w:tcPr>
            <w:tcW w:w="15295" w:type="dxa"/>
            <w:gridSpan w:val="7"/>
          </w:tcPr>
          <w:p>
            <w:pPr>
              <w:pStyle w:val="TableParagraph"/>
              <w:spacing w:line="209" w:lineRule="exact"/>
              <w:ind w:left="4385"/>
              <w:rPr>
                <w:sz w:val="20"/>
              </w:rPr>
            </w:pPr>
            <w:r>
              <w:rPr>
                <w:sz w:val="20"/>
              </w:rPr>
              <w:t>R04,</w:t>
            </w:r>
            <w:r>
              <w:rPr>
                <w:spacing w:val="-4"/>
                <w:sz w:val="20"/>
              </w:rPr>
              <w:t> </w:t>
            </w:r>
            <w:r>
              <w:rPr>
                <w:sz w:val="20"/>
              </w:rPr>
              <w:t>R04.0,</w:t>
            </w:r>
            <w:r>
              <w:rPr>
                <w:spacing w:val="-4"/>
                <w:sz w:val="20"/>
              </w:rPr>
              <w:t> </w:t>
            </w:r>
            <w:r>
              <w:rPr>
                <w:sz w:val="20"/>
              </w:rPr>
              <w:t>R04.1,</w:t>
            </w:r>
            <w:r>
              <w:rPr>
                <w:spacing w:val="-4"/>
                <w:sz w:val="20"/>
              </w:rPr>
              <w:t> </w:t>
            </w:r>
            <w:r>
              <w:rPr>
                <w:sz w:val="20"/>
              </w:rPr>
              <w:t>R07,</w:t>
            </w:r>
            <w:r>
              <w:rPr>
                <w:spacing w:val="-5"/>
                <w:sz w:val="20"/>
              </w:rPr>
              <w:t> </w:t>
            </w:r>
            <w:r>
              <w:rPr>
                <w:sz w:val="20"/>
              </w:rPr>
              <w:t>R07.0,</w:t>
            </w:r>
            <w:r>
              <w:rPr>
                <w:spacing w:val="-4"/>
                <w:sz w:val="20"/>
              </w:rPr>
              <w:t> </w:t>
            </w:r>
            <w:r>
              <w:rPr>
                <w:sz w:val="20"/>
              </w:rPr>
              <w:t>R42,</w:t>
            </w:r>
            <w:r>
              <w:rPr>
                <w:spacing w:val="-4"/>
                <w:sz w:val="20"/>
              </w:rPr>
              <w:t> </w:t>
            </w:r>
            <w:r>
              <w:rPr>
                <w:sz w:val="20"/>
              </w:rPr>
              <w:t>R47,</w:t>
            </w:r>
            <w:r>
              <w:rPr>
                <w:spacing w:val="-4"/>
                <w:sz w:val="20"/>
              </w:rPr>
              <w:t> </w:t>
            </w:r>
            <w:r>
              <w:rPr>
                <w:spacing w:val="-2"/>
                <w:sz w:val="20"/>
              </w:rPr>
              <w:t>R47.0,</w:t>
            </w:r>
          </w:p>
        </w:tc>
      </w:tr>
      <w:tr>
        <w:trPr>
          <w:trHeight w:val="229" w:hRule="atLeast"/>
        </w:trPr>
        <w:tc>
          <w:tcPr>
            <w:tcW w:w="15295" w:type="dxa"/>
            <w:gridSpan w:val="7"/>
          </w:tcPr>
          <w:p>
            <w:pPr>
              <w:pStyle w:val="TableParagraph"/>
              <w:spacing w:line="209" w:lineRule="exact"/>
              <w:ind w:left="4663"/>
              <w:rPr>
                <w:sz w:val="20"/>
              </w:rPr>
            </w:pPr>
            <w:r>
              <w:rPr>
                <w:sz w:val="20"/>
              </w:rPr>
              <w:t>R47.1,</w:t>
            </w:r>
            <w:r>
              <w:rPr>
                <w:spacing w:val="-7"/>
                <w:sz w:val="20"/>
              </w:rPr>
              <w:t> </w:t>
            </w:r>
            <w:r>
              <w:rPr>
                <w:sz w:val="20"/>
              </w:rPr>
              <w:t>R47.8,</w:t>
            </w:r>
            <w:r>
              <w:rPr>
                <w:spacing w:val="-5"/>
                <w:sz w:val="20"/>
              </w:rPr>
              <w:t> </w:t>
            </w:r>
            <w:r>
              <w:rPr>
                <w:sz w:val="20"/>
              </w:rPr>
              <w:t>S00.4,</w:t>
            </w:r>
            <w:r>
              <w:rPr>
                <w:spacing w:val="-5"/>
                <w:sz w:val="20"/>
              </w:rPr>
              <w:t> </w:t>
            </w:r>
            <w:r>
              <w:rPr>
                <w:sz w:val="20"/>
              </w:rPr>
              <w:t>S01.3,</w:t>
            </w:r>
            <w:r>
              <w:rPr>
                <w:spacing w:val="-5"/>
                <w:sz w:val="20"/>
              </w:rPr>
              <w:t> </w:t>
            </w:r>
            <w:r>
              <w:rPr>
                <w:sz w:val="20"/>
              </w:rPr>
              <w:t>S02.2,</w:t>
            </w:r>
            <w:r>
              <w:rPr>
                <w:spacing w:val="-5"/>
                <w:sz w:val="20"/>
              </w:rPr>
              <w:t> </w:t>
            </w:r>
            <w:r>
              <w:rPr>
                <w:spacing w:val="-2"/>
                <w:sz w:val="20"/>
              </w:rPr>
              <w:t>S02.20,</w:t>
            </w:r>
          </w:p>
        </w:tc>
      </w:tr>
      <w:tr>
        <w:trPr>
          <w:trHeight w:val="230" w:hRule="atLeast"/>
        </w:trPr>
        <w:tc>
          <w:tcPr>
            <w:tcW w:w="15295" w:type="dxa"/>
            <w:gridSpan w:val="7"/>
          </w:tcPr>
          <w:p>
            <w:pPr>
              <w:pStyle w:val="TableParagraph"/>
              <w:spacing w:line="210" w:lineRule="exact"/>
              <w:ind w:left="4457"/>
              <w:rPr>
                <w:sz w:val="20"/>
              </w:rPr>
            </w:pPr>
            <w:r>
              <w:rPr>
                <w:sz w:val="20"/>
              </w:rPr>
              <w:t>S02.21,</w:t>
            </w:r>
            <w:r>
              <w:rPr>
                <w:spacing w:val="-5"/>
                <w:sz w:val="20"/>
              </w:rPr>
              <w:t> </w:t>
            </w:r>
            <w:r>
              <w:rPr>
                <w:sz w:val="20"/>
              </w:rPr>
              <w:t>S04.6,</w:t>
            </w:r>
            <w:r>
              <w:rPr>
                <w:spacing w:val="-5"/>
                <w:sz w:val="20"/>
              </w:rPr>
              <w:t> </w:t>
            </w:r>
            <w:r>
              <w:rPr>
                <w:sz w:val="20"/>
              </w:rPr>
              <w:t>S09.2,</w:t>
            </w:r>
            <w:r>
              <w:rPr>
                <w:spacing w:val="-6"/>
                <w:sz w:val="20"/>
              </w:rPr>
              <w:t> </w:t>
            </w:r>
            <w:r>
              <w:rPr>
                <w:sz w:val="20"/>
              </w:rPr>
              <w:t>T16,</w:t>
            </w:r>
            <w:r>
              <w:rPr>
                <w:spacing w:val="-6"/>
                <w:sz w:val="20"/>
              </w:rPr>
              <w:t> </w:t>
            </w:r>
            <w:r>
              <w:rPr>
                <w:sz w:val="20"/>
              </w:rPr>
              <w:t>T17.0,</w:t>
            </w:r>
            <w:r>
              <w:rPr>
                <w:spacing w:val="-6"/>
                <w:sz w:val="20"/>
              </w:rPr>
              <w:t> </w:t>
            </w:r>
            <w:r>
              <w:rPr>
                <w:sz w:val="20"/>
              </w:rPr>
              <w:t>T17.1,</w:t>
            </w:r>
            <w:r>
              <w:rPr>
                <w:spacing w:val="-6"/>
                <w:sz w:val="20"/>
              </w:rPr>
              <w:t> </w:t>
            </w:r>
            <w:r>
              <w:rPr>
                <w:spacing w:val="-2"/>
                <w:sz w:val="20"/>
              </w:rPr>
              <w:t>T17.2,</w:t>
            </w:r>
          </w:p>
        </w:tc>
      </w:tr>
      <w:tr>
        <w:trPr>
          <w:trHeight w:val="280" w:hRule="atLeast"/>
        </w:trPr>
        <w:tc>
          <w:tcPr>
            <w:tcW w:w="15295" w:type="dxa"/>
            <w:gridSpan w:val="7"/>
          </w:tcPr>
          <w:p>
            <w:pPr>
              <w:pStyle w:val="TableParagraph"/>
              <w:spacing w:line="226" w:lineRule="exact"/>
              <w:ind w:left="6145" w:right="8646"/>
              <w:jc w:val="center"/>
              <w:rPr>
                <w:sz w:val="20"/>
              </w:rPr>
            </w:pPr>
            <w:r>
              <w:rPr>
                <w:spacing w:val="-2"/>
                <w:sz w:val="20"/>
              </w:rPr>
              <w:t>T17.3</w:t>
            </w:r>
          </w:p>
        </w:tc>
      </w:tr>
      <w:tr>
        <w:trPr>
          <w:trHeight w:val="279" w:hRule="atLeast"/>
        </w:trPr>
        <w:tc>
          <w:tcPr>
            <w:tcW w:w="978" w:type="dxa"/>
          </w:tcPr>
          <w:p>
            <w:pPr>
              <w:pStyle w:val="TableParagraph"/>
              <w:spacing w:line="214" w:lineRule="exact" w:before="46"/>
              <w:ind w:left="50"/>
              <w:rPr>
                <w:sz w:val="20"/>
              </w:rPr>
            </w:pPr>
            <w:r>
              <w:rPr>
                <w:spacing w:val="-2"/>
                <w:sz w:val="20"/>
              </w:rPr>
              <w:t>ds20.002</w:t>
            </w:r>
          </w:p>
        </w:tc>
        <w:tc>
          <w:tcPr>
            <w:tcW w:w="696" w:type="dxa"/>
          </w:tcPr>
          <w:p>
            <w:pPr>
              <w:pStyle w:val="TableParagraph"/>
              <w:spacing w:line="214" w:lineRule="exact" w:before="46"/>
              <w:ind w:left="200"/>
              <w:rPr>
                <w:sz w:val="20"/>
              </w:rPr>
            </w:pPr>
            <w:r>
              <w:rPr>
                <w:spacing w:val="-5"/>
                <w:sz w:val="20"/>
              </w:rPr>
              <w:t>104</w:t>
            </w:r>
          </w:p>
        </w:tc>
        <w:tc>
          <w:tcPr>
            <w:tcW w:w="3439"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4" w:lineRule="exact" w:before="46"/>
              <w:ind w:left="95"/>
              <w:jc w:val="center"/>
              <w:rPr>
                <w:sz w:val="20"/>
              </w:rPr>
            </w:pPr>
            <w:r>
              <w:rPr>
                <w:w w:val="99"/>
                <w:sz w:val="20"/>
              </w:rPr>
              <w:t>-</w:t>
            </w:r>
          </w:p>
        </w:tc>
        <w:tc>
          <w:tcPr>
            <w:tcW w:w="4881" w:type="dxa"/>
          </w:tcPr>
          <w:p>
            <w:pPr>
              <w:pStyle w:val="TableParagraph"/>
              <w:spacing w:line="214" w:lineRule="exact" w:before="46"/>
              <w:ind w:left="1150" w:right="643"/>
              <w:jc w:val="center"/>
              <w:rPr>
                <w:sz w:val="20"/>
              </w:rPr>
            </w:pPr>
            <w:r>
              <w:rPr>
                <w:sz w:val="20"/>
              </w:rPr>
              <w:t>A03.08.001,</w:t>
            </w:r>
            <w:r>
              <w:rPr>
                <w:spacing w:val="-9"/>
                <w:sz w:val="20"/>
              </w:rPr>
              <w:t> </w:t>
            </w:r>
            <w:r>
              <w:rPr>
                <w:spacing w:val="-2"/>
                <w:sz w:val="20"/>
              </w:rPr>
              <w:t>A03.08.001.001,</w:t>
            </w:r>
          </w:p>
        </w:tc>
        <w:tc>
          <w:tcPr>
            <w:tcW w:w="1574" w:type="dxa"/>
          </w:tcPr>
          <w:p>
            <w:pPr>
              <w:pStyle w:val="TableParagraph"/>
              <w:spacing w:line="214" w:lineRule="exact" w:before="46"/>
              <w:ind w:right="209"/>
              <w:jc w:val="center"/>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1,12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09" w:lineRule="exact"/>
              <w:ind w:left="1150" w:right="643"/>
              <w:jc w:val="center"/>
              <w:rPr>
                <w:sz w:val="20"/>
              </w:rPr>
            </w:pPr>
            <w:r>
              <w:rPr>
                <w:sz w:val="20"/>
              </w:rPr>
              <w:t>A03.08.002,</w:t>
            </w:r>
            <w:r>
              <w:rPr>
                <w:spacing w:val="-9"/>
                <w:sz w:val="20"/>
              </w:rPr>
              <w:t> </w:t>
            </w:r>
            <w:r>
              <w:rPr>
                <w:spacing w:val="-2"/>
                <w:sz w:val="20"/>
              </w:rPr>
              <w:t>A03.08.002.001,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10"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10" w:lineRule="exact"/>
              <w:ind w:left="1150" w:right="643"/>
              <w:jc w:val="center"/>
              <w:rPr>
                <w:sz w:val="20"/>
              </w:rPr>
            </w:pPr>
            <w:r>
              <w:rPr>
                <w:sz w:val="20"/>
              </w:rPr>
              <w:t>A03.08.004,</w:t>
            </w:r>
            <w:r>
              <w:rPr>
                <w:spacing w:val="-9"/>
                <w:sz w:val="20"/>
              </w:rPr>
              <w:t> </w:t>
            </w:r>
            <w:r>
              <w:rPr>
                <w:spacing w:val="-2"/>
                <w:sz w:val="20"/>
              </w:rPr>
              <w:t>A03.08.004.001,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10" w:lineRule="exact"/>
              <w:ind w:left="193"/>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A03.08.004.002,</w:t>
            </w:r>
            <w:r>
              <w:rPr>
                <w:spacing w:val="54"/>
                <w:sz w:val="20"/>
              </w:rPr>
              <w:t> </w:t>
            </w:r>
            <w:r>
              <w:rPr>
                <w:spacing w:val="-2"/>
                <w:sz w:val="20"/>
              </w:rPr>
              <w:t>A03.08.004.003,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10" w:lineRule="exact"/>
              <w:ind w:left="193"/>
              <w:rPr>
                <w:sz w:val="20"/>
              </w:rPr>
            </w:pPr>
            <w:r>
              <w:rPr>
                <w:sz w:val="20"/>
              </w:rPr>
              <w:t>(уровень</w:t>
            </w:r>
            <w:r>
              <w:rPr>
                <w:spacing w:val="-11"/>
                <w:sz w:val="20"/>
              </w:rPr>
              <w:t> </w:t>
            </w:r>
            <w:r>
              <w:rPr>
                <w:spacing w:val="-5"/>
                <w:sz w:val="20"/>
              </w:rPr>
              <w:t>1)</w:t>
            </w: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A11.08.001,</w:t>
            </w:r>
            <w:r>
              <w:rPr>
                <w:spacing w:val="-9"/>
                <w:sz w:val="20"/>
              </w:rPr>
              <w:t> </w:t>
            </w:r>
            <w:r>
              <w:rPr>
                <w:sz w:val="20"/>
              </w:rPr>
              <w:t>A11.08.002,</w:t>
            </w:r>
            <w:r>
              <w:rPr>
                <w:spacing w:val="-10"/>
                <w:sz w:val="20"/>
              </w:rPr>
              <w:t> </w:t>
            </w:r>
            <w:r>
              <w:rPr>
                <w:spacing w:val="-2"/>
                <w:sz w:val="20"/>
              </w:rPr>
              <w:t>A11.08.004,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A16.07.055,</w:t>
            </w:r>
            <w:r>
              <w:rPr>
                <w:spacing w:val="-9"/>
                <w:sz w:val="20"/>
              </w:rPr>
              <w:t> </w:t>
            </w:r>
            <w:r>
              <w:rPr>
                <w:sz w:val="20"/>
              </w:rPr>
              <w:t>A16.08.011,</w:t>
            </w:r>
            <w:r>
              <w:rPr>
                <w:spacing w:val="-10"/>
                <w:sz w:val="20"/>
              </w:rPr>
              <w:t> </w:t>
            </w:r>
            <w:r>
              <w:rPr>
                <w:spacing w:val="-2"/>
                <w:sz w:val="20"/>
              </w:rPr>
              <w:t>A16.08.016,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50" w:right="637"/>
              <w:jc w:val="center"/>
              <w:rPr>
                <w:sz w:val="20"/>
              </w:rPr>
            </w:pPr>
            <w:r>
              <w:rPr>
                <w:sz w:val="20"/>
              </w:rPr>
              <w:t>A16.08.018,</w:t>
            </w:r>
            <w:r>
              <w:rPr>
                <w:spacing w:val="-9"/>
                <w:sz w:val="20"/>
              </w:rPr>
              <w:t> </w:t>
            </w:r>
            <w:r>
              <w:rPr>
                <w:spacing w:val="-2"/>
                <w:sz w:val="20"/>
              </w:rPr>
              <w:t>A16.08.019,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50" w:right="643"/>
              <w:jc w:val="center"/>
              <w:rPr>
                <w:sz w:val="20"/>
              </w:rPr>
            </w:pPr>
            <w:r>
              <w:rPr>
                <w:w w:val="95"/>
                <w:sz w:val="20"/>
              </w:rPr>
              <w:t>A16.08.020.001,</w:t>
            </w:r>
            <w:r>
              <w:rPr>
                <w:spacing w:val="54"/>
                <w:sz w:val="20"/>
              </w:rPr>
              <w:t> </w:t>
            </w:r>
            <w:r>
              <w:rPr>
                <w:spacing w:val="-2"/>
                <w:sz w:val="20"/>
              </w:rPr>
              <w:t>A16.08.023,</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05" w:lineRule="exact"/>
              <w:ind w:left="1149" w:right="644"/>
              <w:jc w:val="center"/>
              <w:rPr>
                <w:sz w:val="20"/>
              </w:rPr>
            </w:pPr>
            <w:r>
              <w:rPr>
                <w:sz w:val="20"/>
              </w:rPr>
              <w:t>A16.25.001,</w:t>
            </w:r>
            <w:r>
              <w:rPr>
                <w:spacing w:val="-9"/>
                <w:sz w:val="20"/>
              </w:rPr>
              <w:t> </w:t>
            </w:r>
            <w:r>
              <w:rPr>
                <w:sz w:val="20"/>
              </w:rPr>
              <w:t>A16.25.002,</w:t>
            </w:r>
            <w:r>
              <w:rPr>
                <w:spacing w:val="-10"/>
                <w:sz w:val="20"/>
              </w:rPr>
              <w:t> </w:t>
            </w:r>
            <w:r>
              <w:rPr>
                <w:spacing w:val="-2"/>
                <w:sz w:val="20"/>
              </w:rPr>
              <w:t>A16.25.003,</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440"/>
        <w:gridCol w:w="2466"/>
        <w:gridCol w:w="4881"/>
        <w:gridCol w:w="1574"/>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3440" w:type="dxa"/>
            <w:vMerge w:val="restart"/>
          </w:tcPr>
          <w:p>
            <w:pPr>
              <w:pStyle w:val="TableParagraph"/>
              <w:rPr>
                <w:sz w:val="18"/>
              </w:rPr>
            </w:pPr>
          </w:p>
        </w:tc>
        <w:tc>
          <w:tcPr>
            <w:tcW w:w="2466" w:type="dxa"/>
            <w:vMerge w:val="restart"/>
          </w:tcPr>
          <w:p>
            <w:pPr>
              <w:pStyle w:val="TableParagraph"/>
              <w:rPr>
                <w:sz w:val="18"/>
              </w:rPr>
            </w:pPr>
          </w:p>
        </w:tc>
        <w:tc>
          <w:tcPr>
            <w:tcW w:w="4881" w:type="dxa"/>
          </w:tcPr>
          <w:p>
            <w:pPr>
              <w:pStyle w:val="TableParagraph"/>
              <w:spacing w:line="205" w:lineRule="exact"/>
              <w:ind w:left="1147" w:right="644"/>
              <w:jc w:val="center"/>
              <w:rPr>
                <w:sz w:val="20"/>
              </w:rPr>
            </w:pPr>
            <w:r>
              <w:rPr>
                <w:sz w:val="20"/>
              </w:rPr>
              <w:t>A16.25.004,</w:t>
            </w:r>
            <w:r>
              <w:rPr>
                <w:spacing w:val="-9"/>
                <w:sz w:val="20"/>
              </w:rPr>
              <w:t> </w:t>
            </w:r>
            <w:r>
              <w:rPr>
                <w:sz w:val="20"/>
              </w:rPr>
              <w:t>A16.25.005,</w:t>
            </w:r>
            <w:r>
              <w:rPr>
                <w:spacing w:val="-10"/>
                <w:sz w:val="20"/>
              </w:rPr>
              <w:t> </w:t>
            </w:r>
            <w:r>
              <w:rPr>
                <w:spacing w:val="-2"/>
                <w:sz w:val="20"/>
              </w:rPr>
              <w:t>A16.25.008,</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440" w:type="dxa"/>
            <w:vMerge/>
            <w:tcBorders>
              <w:top w:val="nil"/>
            </w:tcBorders>
          </w:tcPr>
          <w:p>
            <w:pPr>
              <w:rPr>
                <w:sz w:val="2"/>
                <w:szCs w:val="2"/>
              </w:rPr>
            </w:pPr>
          </w:p>
        </w:tc>
        <w:tc>
          <w:tcPr>
            <w:tcW w:w="2466" w:type="dxa"/>
            <w:vMerge/>
            <w:tcBorders>
              <w:top w:val="nil"/>
            </w:tcBorders>
          </w:tcPr>
          <w:p>
            <w:pPr>
              <w:rPr>
                <w:sz w:val="2"/>
                <w:szCs w:val="2"/>
              </w:rPr>
            </w:pPr>
          </w:p>
        </w:tc>
        <w:tc>
          <w:tcPr>
            <w:tcW w:w="4881" w:type="dxa"/>
          </w:tcPr>
          <w:p>
            <w:pPr>
              <w:pStyle w:val="TableParagraph"/>
              <w:spacing w:line="209" w:lineRule="exact"/>
              <w:ind w:left="1149" w:right="644"/>
              <w:jc w:val="center"/>
              <w:rPr>
                <w:sz w:val="20"/>
              </w:rPr>
            </w:pPr>
            <w:r>
              <w:rPr>
                <w:w w:val="95"/>
                <w:sz w:val="20"/>
              </w:rPr>
              <w:t>A16.25.008.001,</w:t>
            </w:r>
            <w:r>
              <w:rPr>
                <w:spacing w:val="54"/>
                <w:sz w:val="20"/>
              </w:rPr>
              <w:t> </w:t>
            </w:r>
            <w:r>
              <w:rPr>
                <w:spacing w:val="-2"/>
                <w:sz w:val="20"/>
              </w:rPr>
              <w:t>A16.25.015,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440" w:type="dxa"/>
            <w:vMerge/>
            <w:tcBorders>
              <w:top w:val="nil"/>
            </w:tcBorders>
          </w:tcPr>
          <w:p>
            <w:pPr>
              <w:rPr>
                <w:sz w:val="2"/>
                <w:szCs w:val="2"/>
              </w:rPr>
            </w:pPr>
          </w:p>
        </w:tc>
        <w:tc>
          <w:tcPr>
            <w:tcW w:w="2466" w:type="dxa"/>
            <w:vMerge/>
            <w:tcBorders>
              <w:top w:val="nil"/>
            </w:tcBorders>
          </w:tcPr>
          <w:p>
            <w:pPr>
              <w:rPr>
                <w:sz w:val="2"/>
                <w:szCs w:val="2"/>
              </w:rPr>
            </w:pPr>
          </w:p>
        </w:tc>
        <w:tc>
          <w:tcPr>
            <w:tcW w:w="4881" w:type="dxa"/>
          </w:tcPr>
          <w:p>
            <w:pPr>
              <w:pStyle w:val="TableParagraph"/>
              <w:spacing w:line="209" w:lineRule="exact"/>
              <w:ind w:left="1149" w:right="644"/>
              <w:jc w:val="center"/>
              <w:rPr>
                <w:sz w:val="20"/>
              </w:rPr>
            </w:pPr>
            <w:r>
              <w:rPr>
                <w:sz w:val="20"/>
              </w:rPr>
              <w:t>A16.25.036,</w:t>
            </w:r>
            <w:r>
              <w:rPr>
                <w:spacing w:val="-9"/>
                <w:sz w:val="20"/>
              </w:rPr>
              <w:t> </w:t>
            </w:r>
            <w:r>
              <w:rPr>
                <w:spacing w:val="-2"/>
                <w:sz w:val="20"/>
              </w:rPr>
              <w:t>A16.25.036.001,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440" w:type="dxa"/>
            <w:vMerge/>
            <w:tcBorders>
              <w:top w:val="nil"/>
            </w:tcBorders>
          </w:tcPr>
          <w:p>
            <w:pPr>
              <w:rPr>
                <w:sz w:val="2"/>
                <w:szCs w:val="2"/>
              </w:rPr>
            </w:pPr>
          </w:p>
        </w:tc>
        <w:tc>
          <w:tcPr>
            <w:tcW w:w="2466" w:type="dxa"/>
            <w:vMerge/>
            <w:tcBorders>
              <w:top w:val="nil"/>
            </w:tcBorders>
          </w:tcPr>
          <w:p>
            <w:pPr>
              <w:rPr>
                <w:sz w:val="2"/>
                <w:szCs w:val="2"/>
              </w:rPr>
            </w:pPr>
          </w:p>
        </w:tc>
        <w:tc>
          <w:tcPr>
            <w:tcW w:w="4881" w:type="dxa"/>
          </w:tcPr>
          <w:p>
            <w:pPr>
              <w:pStyle w:val="TableParagraph"/>
              <w:spacing w:line="226" w:lineRule="exact"/>
              <w:ind w:left="1150" w:right="641"/>
              <w:jc w:val="center"/>
              <w:rPr>
                <w:sz w:val="20"/>
              </w:rPr>
            </w:pPr>
            <w:r>
              <w:rPr>
                <w:spacing w:val="-2"/>
                <w:sz w:val="20"/>
              </w:rPr>
              <w:t>A16.25.040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8" w:type="dxa"/>
          </w:tcPr>
          <w:p>
            <w:pPr>
              <w:pStyle w:val="TableParagraph"/>
              <w:spacing w:line="215" w:lineRule="exact" w:before="46"/>
              <w:ind w:left="50"/>
              <w:rPr>
                <w:sz w:val="20"/>
              </w:rPr>
            </w:pPr>
            <w:r>
              <w:rPr>
                <w:spacing w:val="-2"/>
                <w:sz w:val="20"/>
              </w:rPr>
              <w:t>ds20.003</w:t>
            </w:r>
          </w:p>
        </w:tc>
        <w:tc>
          <w:tcPr>
            <w:tcW w:w="696" w:type="dxa"/>
          </w:tcPr>
          <w:p>
            <w:pPr>
              <w:pStyle w:val="TableParagraph"/>
              <w:spacing w:line="215" w:lineRule="exact" w:before="46"/>
              <w:ind w:left="200"/>
              <w:rPr>
                <w:sz w:val="20"/>
              </w:rPr>
            </w:pPr>
            <w:r>
              <w:rPr>
                <w:spacing w:val="-5"/>
                <w:sz w:val="20"/>
              </w:rPr>
              <w:t>105</w:t>
            </w:r>
          </w:p>
        </w:tc>
        <w:tc>
          <w:tcPr>
            <w:tcW w:w="3440"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47" w:right="644"/>
              <w:jc w:val="center"/>
              <w:rPr>
                <w:sz w:val="20"/>
              </w:rPr>
            </w:pPr>
            <w:r>
              <w:rPr>
                <w:sz w:val="20"/>
              </w:rPr>
              <w:t>A16.08.001,</w:t>
            </w:r>
            <w:r>
              <w:rPr>
                <w:spacing w:val="-9"/>
                <w:sz w:val="20"/>
              </w:rPr>
              <w:t> </w:t>
            </w:r>
            <w:r>
              <w:rPr>
                <w:sz w:val="20"/>
              </w:rPr>
              <w:t>A16.08.002,</w:t>
            </w:r>
            <w:r>
              <w:rPr>
                <w:spacing w:val="-10"/>
                <w:sz w:val="20"/>
              </w:rPr>
              <w:t> </w:t>
            </w:r>
            <w:r>
              <w:rPr>
                <w:spacing w:val="-2"/>
                <w:sz w:val="20"/>
              </w:rPr>
              <w:t>A16.08.003,</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1,66</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A16.08.004,</w:t>
            </w:r>
            <w:r>
              <w:rPr>
                <w:spacing w:val="-9"/>
                <w:sz w:val="20"/>
              </w:rPr>
              <w:t> </w:t>
            </w:r>
            <w:r>
              <w:rPr>
                <w:spacing w:val="-2"/>
                <w:sz w:val="20"/>
              </w:rPr>
              <w:t>A16.08.006,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A16.08.006.001,</w:t>
            </w:r>
            <w:r>
              <w:rPr>
                <w:spacing w:val="54"/>
                <w:sz w:val="20"/>
              </w:rPr>
              <w:t> </w:t>
            </w:r>
            <w:r>
              <w:rPr>
                <w:spacing w:val="-2"/>
                <w:sz w:val="20"/>
              </w:rPr>
              <w:t>A16.08.006.002,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1" w:lineRule="exact"/>
              <w:ind w:left="193"/>
              <w:rPr>
                <w:sz w:val="20"/>
              </w:rPr>
            </w:pPr>
            <w:r>
              <w:rPr>
                <w:sz w:val="20"/>
              </w:rPr>
              <w:t>дыхательных</w:t>
            </w:r>
            <w:r>
              <w:rPr>
                <w:spacing w:val="-12"/>
                <w:sz w:val="20"/>
              </w:rPr>
              <w:t> </w:t>
            </w:r>
            <w:r>
              <w:rPr>
                <w:spacing w:val="-4"/>
                <w:sz w:val="20"/>
              </w:rPr>
              <w:t>путях</w:t>
            </w:r>
          </w:p>
        </w:tc>
        <w:tc>
          <w:tcPr>
            <w:tcW w:w="2466" w:type="dxa"/>
          </w:tcPr>
          <w:p>
            <w:pPr>
              <w:pStyle w:val="TableParagraph"/>
              <w:rPr>
                <w:sz w:val="16"/>
              </w:rPr>
            </w:pPr>
          </w:p>
        </w:tc>
        <w:tc>
          <w:tcPr>
            <w:tcW w:w="4881" w:type="dxa"/>
          </w:tcPr>
          <w:p>
            <w:pPr>
              <w:pStyle w:val="TableParagraph"/>
              <w:spacing w:line="211" w:lineRule="exact"/>
              <w:ind w:left="1150" w:right="642"/>
              <w:jc w:val="center"/>
              <w:rPr>
                <w:sz w:val="20"/>
              </w:rPr>
            </w:pPr>
            <w:r>
              <w:rPr>
                <w:sz w:val="20"/>
              </w:rPr>
              <w:t>A16.08.007,</w:t>
            </w:r>
            <w:r>
              <w:rPr>
                <w:spacing w:val="-9"/>
                <w:sz w:val="20"/>
              </w:rPr>
              <w:t> </w:t>
            </w:r>
            <w:r>
              <w:rPr>
                <w:spacing w:val="-2"/>
                <w:sz w:val="20"/>
              </w:rPr>
              <w:t>A16.08.009,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(уровень</w:t>
            </w:r>
            <w:r>
              <w:rPr>
                <w:spacing w:val="-11"/>
                <w:sz w:val="20"/>
              </w:rPr>
              <w:t> </w:t>
            </w:r>
            <w:r>
              <w:rPr>
                <w:spacing w:val="-5"/>
                <w:sz w:val="20"/>
              </w:rPr>
              <w:t>2)</w:t>
            </w: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A16.08.010.001,</w:t>
            </w:r>
            <w:r>
              <w:rPr>
                <w:spacing w:val="54"/>
                <w:sz w:val="20"/>
              </w:rPr>
              <w:t> </w:t>
            </w:r>
            <w:r>
              <w:rPr>
                <w:spacing w:val="-2"/>
                <w:sz w:val="20"/>
              </w:rPr>
              <w:t>A16.08.012,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A16.08.013,</w:t>
            </w:r>
            <w:r>
              <w:rPr>
                <w:spacing w:val="-9"/>
                <w:sz w:val="20"/>
              </w:rPr>
              <w:t> </w:t>
            </w:r>
            <w:r>
              <w:rPr>
                <w:sz w:val="20"/>
              </w:rPr>
              <w:t>A16.08.014,</w:t>
            </w:r>
            <w:r>
              <w:rPr>
                <w:spacing w:val="-10"/>
                <w:sz w:val="20"/>
              </w:rPr>
              <w:t> </w:t>
            </w:r>
            <w:r>
              <w:rPr>
                <w:spacing w:val="-2"/>
                <w:sz w:val="20"/>
              </w:rPr>
              <w:t>A16.08.015,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A16.08.020,</w:t>
            </w:r>
            <w:r>
              <w:rPr>
                <w:spacing w:val="-9"/>
                <w:sz w:val="20"/>
              </w:rPr>
              <w:t> </w:t>
            </w:r>
            <w:r>
              <w:rPr>
                <w:sz w:val="20"/>
              </w:rPr>
              <w:t>A16.08.054,</w:t>
            </w:r>
            <w:r>
              <w:rPr>
                <w:spacing w:val="-10"/>
                <w:sz w:val="20"/>
              </w:rPr>
              <w:t> </w:t>
            </w:r>
            <w:r>
              <w:rPr>
                <w:spacing w:val="-2"/>
                <w:sz w:val="20"/>
              </w:rPr>
              <w:t>A16.08.055,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50" w:right="643"/>
              <w:jc w:val="center"/>
              <w:rPr>
                <w:sz w:val="20"/>
              </w:rPr>
            </w:pPr>
            <w:r>
              <w:rPr>
                <w:w w:val="95"/>
                <w:sz w:val="20"/>
              </w:rPr>
              <w:t>A16.08.055.001,</w:t>
            </w:r>
            <w:r>
              <w:rPr>
                <w:spacing w:val="56"/>
                <w:sz w:val="20"/>
              </w:rPr>
              <w:t> </w:t>
            </w:r>
            <w:r>
              <w:rPr>
                <w:spacing w:val="-2"/>
                <w:sz w:val="20"/>
              </w:rPr>
              <w:t>A16.08.064,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A16.08.066,</w:t>
            </w:r>
            <w:r>
              <w:rPr>
                <w:spacing w:val="-9"/>
                <w:sz w:val="20"/>
              </w:rPr>
              <w:t> </w:t>
            </w:r>
            <w:r>
              <w:rPr>
                <w:sz w:val="20"/>
              </w:rPr>
              <w:t>A16.08.074,</w:t>
            </w:r>
            <w:r>
              <w:rPr>
                <w:spacing w:val="-10"/>
                <w:sz w:val="20"/>
              </w:rPr>
              <w:t> </w:t>
            </w:r>
            <w:r>
              <w:rPr>
                <w:spacing w:val="-2"/>
                <w:sz w:val="20"/>
              </w:rPr>
              <w:t>A16.25.011,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A16.25.016,</w:t>
            </w:r>
            <w:r>
              <w:rPr>
                <w:spacing w:val="-9"/>
                <w:sz w:val="20"/>
              </w:rPr>
              <w:t> </w:t>
            </w:r>
            <w:r>
              <w:rPr>
                <w:sz w:val="20"/>
              </w:rPr>
              <w:t>A16.25.017,</w:t>
            </w:r>
            <w:r>
              <w:rPr>
                <w:spacing w:val="-10"/>
                <w:sz w:val="20"/>
              </w:rPr>
              <w:t> </w:t>
            </w:r>
            <w:r>
              <w:rPr>
                <w:spacing w:val="-2"/>
                <w:sz w:val="20"/>
              </w:rPr>
              <w:t>A16.25.020,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A16.25.021,</w:t>
            </w:r>
            <w:r>
              <w:rPr>
                <w:spacing w:val="-9"/>
                <w:sz w:val="20"/>
              </w:rPr>
              <w:t> </w:t>
            </w:r>
            <w:r>
              <w:rPr>
                <w:spacing w:val="-2"/>
                <w:sz w:val="20"/>
              </w:rPr>
              <w:t>A16.25.027,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A16.25.027.001,</w:t>
            </w:r>
            <w:r>
              <w:rPr>
                <w:spacing w:val="54"/>
                <w:sz w:val="20"/>
              </w:rPr>
              <w:t> </w:t>
            </w:r>
            <w:r>
              <w:rPr>
                <w:spacing w:val="-2"/>
                <w:sz w:val="20"/>
              </w:rPr>
              <w:t>A16.25.027.002,</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440" w:type="dxa"/>
          </w:tcPr>
          <w:p>
            <w:pPr>
              <w:pStyle w:val="TableParagraph"/>
              <w:rPr>
                <w:sz w:val="18"/>
              </w:rPr>
            </w:pPr>
          </w:p>
        </w:tc>
        <w:tc>
          <w:tcPr>
            <w:tcW w:w="2466"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A16.25.041,</w:t>
            </w:r>
            <w:r>
              <w:rPr>
                <w:spacing w:val="-9"/>
                <w:sz w:val="20"/>
              </w:rPr>
              <w:t> </w:t>
            </w:r>
            <w:r>
              <w:rPr>
                <w:sz w:val="20"/>
              </w:rPr>
              <w:t>A16.25.042,</w:t>
            </w:r>
            <w:r>
              <w:rPr>
                <w:spacing w:val="-10"/>
                <w:sz w:val="20"/>
              </w:rPr>
              <w:t> </w:t>
            </w:r>
            <w:r>
              <w:rPr>
                <w:spacing w:val="-2"/>
                <w:sz w:val="20"/>
              </w:rPr>
              <w:t>A16.25.043</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ds20.004</w:t>
            </w:r>
          </w:p>
        </w:tc>
        <w:tc>
          <w:tcPr>
            <w:tcW w:w="696" w:type="dxa"/>
          </w:tcPr>
          <w:p>
            <w:pPr>
              <w:pStyle w:val="TableParagraph"/>
              <w:spacing w:line="215" w:lineRule="exact" w:before="45"/>
              <w:ind w:left="200"/>
              <w:rPr>
                <w:sz w:val="20"/>
              </w:rPr>
            </w:pPr>
            <w:r>
              <w:rPr>
                <w:spacing w:val="-5"/>
                <w:sz w:val="20"/>
              </w:rPr>
              <w:t>106</w:t>
            </w:r>
          </w:p>
        </w:tc>
        <w:tc>
          <w:tcPr>
            <w:tcW w:w="344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7" w:right="644"/>
              <w:jc w:val="center"/>
              <w:rPr>
                <w:sz w:val="20"/>
              </w:rPr>
            </w:pPr>
            <w:r>
              <w:rPr>
                <w:sz w:val="20"/>
              </w:rPr>
              <w:t>A16.08.010,</w:t>
            </w:r>
            <w:r>
              <w:rPr>
                <w:spacing w:val="-9"/>
                <w:sz w:val="20"/>
              </w:rPr>
              <w:t> </w:t>
            </w:r>
            <w:r>
              <w:rPr>
                <w:sz w:val="20"/>
              </w:rPr>
              <w:t>A16.08.017,</w:t>
            </w:r>
            <w:r>
              <w:rPr>
                <w:spacing w:val="-10"/>
                <w:sz w:val="20"/>
              </w:rPr>
              <w:t> </w:t>
            </w:r>
            <w:r>
              <w:rPr>
                <w:spacing w:val="-2"/>
                <w:sz w:val="20"/>
              </w:rPr>
              <w:t>A16.08.027,</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2,00</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A16.08.031,</w:t>
            </w:r>
            <w:r>
              <w:rPr>
                <w:spacing w:val="-9"/>
                <w:sz w:val="20"/>
              </w:rPr>
              <w:t> </w:t>
            </w:r>
            <w:r>
              <w:rPr>
                <w:sz w:val="20"/>
              </w:rPr>
              <w:t>A16.08.035,</w:t>
            </w:r>
            <w:r>
              <w:rPr>
                <w:spacing w:val="-10"/>
                <w:sz w:val="20"/>
              </w:rPr>
              <w:t> </w:t>
            </w:r>
            <w:r>
              <w:rPr>
                <w:spacing w:val="-2"/>
                <w:sz w:val="20"/>
              </w:rPr>
              <w:t>A16.08.040,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A16.08.041,</w:t>
            </w:r>
            <w:r>
              <w:rPr>
                <w:spacing w:val="-9"/>
                <w:sz w:val="20"/>
              </w:rPr>
              <w:t> </w:t>
            </w:r>
            <w:r>
              <w:rPr>
                <w:spacing w:val="-2"/>
                <w:sz w:val="20"/>
              </w:rPr>
              <w:t>A16.08.054.001,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A16.08.054.002,</w:t>
            </w:r>
            <w:r>
              <w:rPr>
                <w:spacing w:val="54"/>
                <w:sz w:val="20"/>
              </w:rPr>
              <w:t> </w:t>
            </w:r>
            <w:r>
              <w:rPr>
                <w:spacing w:val="-2"/>
                <w:sz w:val="20"/>
              </w:rPr>
              <w:t>A16.08.056,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(уровень</w:t>
            </w:r>
            <w:r>
              <w:rPr>
                <w:spacing w:val="-11"/>
                <w:sz w:val="20"/>
              </w:rPr>
              <w:t> </w:t>
            </w:r>
            <w:r>
              <w:rPr>
                <w:spacing w:val="-5"/>
                <w:sz w:val="20"/>
              </w:rPr>
              <w:t>3)</w:t>
            </w:r>
          </w:p>
        </w:tc>
        <w:tc>
          <w:tcPr>
            <w:tcW w:w="2466"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A16.25.013,</w:t>
            </w:r>
            <w:r>
              <w:rPr>
                <w:spacing w:val="-9"/>
                <w:sz w:val="20"/>
              </w:rPr>
              <w:t> </w:t>
            </w:r>
            <w:r>
              <w:rPr>
                <w:sz w:val="20"/>
              </w:rPr>
              <w:t>A16.25.018,</w:t>
            </w:r>
            <w:r>
              <w:rPr>
                <w:spacing w:val="-10"/>
                <w:sz w:val="20"/>
              </w:rPr>
              <w:t> </w:t>
            </w:r>
            <w:r>
              <w:rPr>
                <w:spacing w:val="-2"/>
                <w:sz w:val="20"/>
              </w:rPr>
              <w:t>A16.25.030,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A16.25.031,</w:t>
            </w:r>
            <w:r>
              <w:rPr>
                <w:spacing w:val="-9"/>
                <w:sz w:val="20"/>
              </w:rPr>
              <w:t> </w:t>
            </w:r>
            <w:r>
              <w:rPr>
                <w:sz w:val="20"/>
              </w:rPr>
              <w:t>A16.27.001,</w:t>
            </w:r>
            <w:r>
              <w:rPr>
                <w:spacing w:val="-10"/>
                <w:sz w:val="20"/>
              </w:rPr>
              <w:t> </w:t>
            </w:r>
            <w:r>
              <w:rPr>
                <w:spacing w:val="-2"/>
                <w:sz w:val="20"/>
              </w:rPr>
              <w:t>A16.27.002,</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440" w:type="dxa"/>
          </w:tcPr>
          <w:p>
            <w:pPr>
              <w:pStyle w:val="TableParagraph"/>
              <w:rPr>
                <w:sz w:val="18"/>
              </w:rPr>
            </w:pPr>
          </w:p>
        </w:tc>
        <w:tc>
          <w:tcPr>
            <w:tcW w:w="2466" w:type="dxa"/>
          </w:tcPr>
          <w:p>
            <w:pPr>
              <w:pStyle w:val="TableParagraph"/>
              <w:rPr>
                <w:sz w:val="18"/>
              </w:rPr>
            </w:pPr>
          </w:p>
        </w:tc>
        <w:tc>
          <w:tcPr>
            <w:tcW w:w="4881" w:type="dxa"/>
          </w:tcPr>
          <w:p>
            <w:pPr>
              <w:pStyle w:val="TableParagraph"/>
              <w:spacing w:line="226" w:lineRule="exact"/>
              <w:ind w:left="1150" w:right="641"/>
              <w:jc w:val="center"/>
              <w:rPr>
                <w:sz w:val="20"/>
              </w:rPr>
            </w:pPr>
            <w:r>
              <w:rPr>
                <w:spacing w:val="-2"/>
                <w:sz w:val="20"/>
              </w:rPr>
              <w:t>A16.27.003</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78" w:type="dxa"/>
          </w:tcPr>
          <w:p>
            <w:pPr>
              <w:pStyle w:val="TableParagraph"/>
              <w:spacing w:line="214" w:lineRule="exact" w:before="46"/>
              <w:ind w:left="50"/>
              <w:rPr>
                <w:sz w:val="20"/>
              </w:rPr>
            </w:pPr>
            <w:r>
              <w:rPr>
                <w:spacing w:val="-2"/>
                <w:sz w:val="20"/>
              </w:rPr>
              <w:t>ds20.005</w:t>
            </w:r>
          </w:p>
        </w:tc>
        <w:tc>
          <w:tcPr>
            <w:tcW w:w="696" w:type="dxa"/>
          </w:tcPr>
          <w:p>
            <w:pPr>
              <w:pStyle w:val="TableParagraph"/>
              <w:spacing w:line="214" w:lineRule="exact" w:before="46"/>
              <w:ind w:left="200"/>
              <w:rPr>
                <w:sz w:val="20"/>
              </w:rPr>
            </w:pPr>
            <w:r>
              <w:rPr>
                <w:spacing w:val="-5"/>
                <w:sz w:val="20"/>
              </w:rPr>
              <w:t>107</w:t>
            </w:r>
          </w:p>
        </w:tc>
        <w:tc>
          <w:tcPr>
            <w:tcW w:w="3440"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4" w:lineRule="exact" w:before="46"/>
              <w:ind w:right="1151"/>
              <w:jc w:val="right"/>
              <w:rPr>
                <w:sz w:val="20"/>
              </w:rPr>
            </w:pPr>
            <w:r>
              <w:rPr>
                <w:w w:val="99"/>
                <w:sz w:val="20"/>
              </w:rPr>
              <w:t>-</w:t>
            </w:r>
          </w:p>
        </w:tc>
        <w:tc>
          <w:tcPr>
            <w:tcW w:w="4881" w:type="dxa"/>
          </w:tcPr>
          <w:p>
            <w:pPr>
              <w:pStyle w:val="TableParagraph"/>
              <w:spacing w:line="214" w:lineRule="exact" w:before="46"/>
              <w:ind w:left="1148" w:right="644"/>
              <w:jc w:val="center"/>
              <w:rPr>
                <w:sz w:val="20"/>
              </w:rPr>
            </w:pPr>
            <w:r>
              <w:rPr>
                <w:w w:val="95"/>
                <w:sz w:val="20"/>
              </w:rPr>
              <w:t>A16.08.001.001,</w:t>
            </w:r>
            <w:r>
              <w:rPr>
                <w:spacing w:val="54"/>
                <w:sz w:val="20"/>
              </w:rPr>
              <w:t> </w:t>
            </w:r>
            <w:r>
              <w:rPr>
                <w:spacing w:val="-2"/>
                <w:sz w:val="20"/>
              </w:rPr>
              <w:t>A16.08.002.001,</w:t>
            </w:r>
          </w:p>
        </w:tc>
        <w:tc>
          <w:tcPr>
            <w:tcW w:w="1574" w:type="dxa"/>
          </w:tcPr>
          <w:p>
            <w:pPr>
              <w:pStyle w:val="TableParagraph"/>
              <w:spacing w:line="214" w:lineRule="exact" w:before="46"/>
              <w:ind w:left="647"/>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2,46</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A16.08.009.001,</w:t>
            </w:r>
            <w:r>
              <w:rPr>
                <w:spacing w:val="54"/>
                <w:sz w:val="20"/>
              </w:rPr>
              <w:t> </w:t>
            </w:r>
            <w:r>
              <w:rPr>
                <w:spacing w:val="-2"/>
                <w:sz w:val="20"/>
              </w:rPr>
              <w:t>A16.08.010.002,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A16.08.013.001,</w:t>
            </w:r>
            <w:r>
              <w:rPr>
                <w:spacing w:val="54"/>
                <w:sz w:val="20"/>
              </w:rPr>
              <w:t> </w:t>
            </w:r>
            <w:r>
              <w:rPr>
                <w:spacing w:val="-2"/>
                <w:sz w:val="20"/>
              </w:rPr>
              <w:t>A16.08.017.001,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1" w:lineRule="exact"/>
              <w:ind w:left="193"/>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1" w:type="dxa"/>
          </w:tcPr>
          <w:p>
            <w:pPr>
              <w:pStyle w:val="TableParagraph"/>
              <w:spacing w:line="211" w:lineRule="exact"/>
              <w:ind w:left="1148" w:right="644"/>
              <w:jc w:val="center"/>
              <w:rPr>
                <w:sz w:val="20"/>
              </w:rPr>
            </w:pPr>
            <w:r>
              <w:rPr>
                <w:w w:val="95"/>
                <w:sz w:val="20"/>
              </w:rPr>
              <w:t>A16.08.017.002,</w:t>
            </w:r>
            <w:r>
              <w:rPr>
                <w:spacing w:val="54"/>
                <w:sz w:val="20"/>
              </w:rPr>
              <w:t> </w:t>
            </w:r>
            <w:r>
              <w:rPr>
                <w:spacing w:val="-2"/>
                <w:sz w:val="20"/>
              </w:rPr>
              <w:t>A16.08.031.001,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1" w:lineRule="exact"/>
              <w:ind w:left="193"/>
              <w:rPr>
                <w:sz w:val="20"/>
              </w:rPr>
            </w:pPr>
            <w:r>
              <w:rPr>
                <w:sz w:val="20"/>
              </w:rPr>
              <w:t>(уровень</w:t>
            </w:r>
            <w:r>
              <w:rPr>
                <w:spacing w:val="-11"/>
                <w:sz w:val="20"/>
              </w:rPr>
              <w:t> </w:t>
            </w:r>
            <w:r>
              <w:rPr>
                <w:spacing w:val="-5"/>
                <w:sz w:val="20"/>
              </w:rPr>
              <w:t>4)</w:t>
            </w:r>
          </w:p>
        </w:tc>
        <w:tc>
          <w:tcPr>
            <w:tcW w:w="2466" w:type="dxa"/>
          </w:tcPr>
          <w:p>
            <w:pPr>
              <w:pStyle w:val="TableParagraph"/>
              <w:rPr>
                <w:sz w:val="16"/>
              </w:rPr>
            </w:pPr>
          </w:p>
        </w:tc>
        <w:tc>
          <w:tcPr>
            <w:tcW w:w="4881" w:type="dxa"/>
          </w:tcPr>
          <w:p>
            <w:pPr>
              <w:pStyle w:val="TableParagraph"/>
              <w:spacing w:line="211" w:lineRule="exact"/>
              <w:ind w:left="1150" w:right="642"/>
              <w:jc w:val="center"/>
              <w:rPr>
                <w:sz w:val="20"/>
              </w:rPr>
            </w:pPr>
            <w:r>
              <w:rPr>
                <w:w w:val="95"/>
                <w:sz w:val="20"/>
              </w:rPr>
              <w:t>A16.08.035.001,</w:t>
            </w:r>
            <w:r>
              <w:rPr>
                <w:spacing w:val="54"/>
                <w:sz w:val="20"/>
              </w:rPr>
              <w:t> </w:t>
            </w:r>
            <w:r>
              <w:rPr>
                <w:spacing w:val="-2"/>
                <w:w w:val="95"/>
                <w:sz w:val="20"/>
              </w:rPr>
              <w:t>A16.08.040.001,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A16.08.040.002,</w:t>
            </w:r>
            <w:r>
              <w:rPr>
                <w:spacing w:val="54"/>
                <w:sz w:val="20"/>
              </w:rPr>
              <w:t> </w:t>
            </w:r>
            <w:r>
              <w:rPr>
                <w:spacing w:val="-2"/>
                <w:sz w:val="20"/>
              </w:rPr>
              <w:t>A16.08.040.003,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A16.08.040.004,</w:t>
            </w:r>
            <w:r>
              <w:rPr>
                <w:spacing w:val="54"/>
                <w:sz w:val="20"/>
              </w:rPr>
              <w:t> </w:t>
            </w:r>
            <w:r>
              <w:rPr>
                <w:spacing w:val="-2"/>
                <w:sz w:val="20"/>
              </w:rPr>
              <w:t>A16.08.040.005,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A16.08.040.006,</w:t>
            </w:r>
            <w:r>
              <w:rPr>
                <w:spacing w:val="54"/>
                <w:sz w:val="20"/>
              </w:rPr>
              <w:t> </w:t>
            </w:r>
            <w:r>
              <w:rPr>
                <w:spacing w:val="-2"/>
                <w:sz w:val="20"/>
              </w:rPr>
              <w:t>A16.08.049,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A16.08.050,</w:t>
            </w:r>
            <w:r>
              <w:rPr>
                <w:spacing w:val="-9"/>
                <w:sz w:val="20"/>
              </w:rPr>
              <w:t> </w:t>
            </w:r>
            <w:r>
              <w:rPr>
                <w:sz w:val="20"/>
              </w:rPr>
              <w:t>A16.08.051,</w:t>
            </w:r>
            <w:r>
              <w:rPr>
                <w:spacing w:val="-10"/>
                <w:sz w:val="20"/>
              </w:rPr>
              <w:t> </w:t>
            </w:r>
            <w:r>
              <w:rPr>
                <w:spacing w:val="-2"/>
                <w:sz w:val="20"/>
              </w:rPr>
              <w:t>A16.08.062,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A16.08.066.001,</w:t>
            </w:r>
            <w:r>
              <w:rPr>
                <w:spacing w:val="54"/>
                <w:sz w:val="20"/>
              </w:rPr>
              <w:t> </w:t>
            </w:r>
            <w:r>
              <w:rPr>
                <w:spacing w:val="-2"/>
                <w:sz w:val="20"/>
              </w:rPr>
              <w:t>A16.08.070,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A16.08.071,</w:t>
            </w:r>
            <w:r>
              <w:rPr>
                <w:spacing w:val="-9"/>
                <w:sz w:val="20"/>
              </w:rPr>
              <w:t> </w:t>
            </w:r>
            <w:r>
              <w:rPr>
                <w:sz w:val="20"/>
              </w:rPr>
              <w:t>A16.08.072,</w:t>
            </w:r>
            <w:r>
              <w:rPr>
                <w:spacing w:val="-10"/>
                <w:sz w:val="20"/>
              </w:rPr>
              <w:t> </w:t>
            </w:r>
            <w:r>
              <w:rPr>
                <w:spacing w:val="-2"/>
                <w:sz w:val="20"/>
              </w:rPr>
              <w:t>A16.08.073,</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5" w:lineRule="exact"/>
              <w:ind w:left="1150" w:right="642"/>
              <w:jc w:val="center"/>
              <w:rPr>
                <w:sz w:val="20"/>
              </w:rPr>
            </w:pPr>
            <w:r>
              <w:rPr>
                <w:sz w:val="20"/>
              </w:rPr>
              <w:t>A16.08.076,</w:t>
            </w:r>
            <w:r>
              <w:rPr>
                <w:spacing w:val="-9"/>
                <w:sz w:val="20"/>
              </w:rPr>
              <w:t> </w:t>
            </w:r>
            <w:r>
              <w:rPr>
                <w:spacing w:val="-2"/>
                <w:sz w:val="20"/>
              </w:rPr>
              <w:t>A16.25.039,</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58"/>
        <w:gridCol w:w="5093"/>
        <w:gridCol w:w="2724"/>
        <w:gridCol w:w="2059"/>
        <w:gridCol w:w="1336"/>
      </w:tblGrid>
      <w:tr>
        <w:trPr>
          <w:trHeight w:val="505" w:hRule="atLeast"/>
        </w:trPr>
        <w:tc>
          <w:tcPr>
            <w:tcW w:w="15344" w:type="dxa"/>
            <w:gridSpan w:val="7"/>
          </w:tcPr>
          <w:p>
            <w:pPr>
              <w:pStyle w:val="TableParagraph"/>
              <w:ind w:left="9627" w:right="3694" w:hanging="723"/>
              <w:rPr>
                <w:sz w:val="20"/>
              </w:rPr>
            </w:pPr>
            <w:r>
              <w:rPr>
                <w:sz w:val="20"/>
              </w:rPr>
              <w:t>A16.27.001.001,</w:t>
            </w:r>
            <w:r>
              <w:rPr>
                <w:spacing w:val="-13"/>
                <w:sz w:val="20"/>
              </w:rPr>
              <w:t> </w:t>
            </w:r>
            <w:r>
              <w:rPr>
                <w:sz w:val="20"/>
              </w:rPr>
              <w:t>A16.27.002.001, </w:t>
            </w:r>
            <w:r>
              <w:rPr>
                <w:spacing w:val="-2"/>
                <w:sz w:val="20"/>
              </w:rPr>
              <w:t>A16.27.003.001</w:t>
            </w:r>
          </w:p>
        </w:tc>
      </w:tr>
      <w:tr>
        <w:trPr>
          <w:trHeight w:val="559" w:hRule="atLeast"/>
        </w:trPr>
        <w:tc>
          <w:tcPr>
            <w:tcW w:w="978" w:type="dxa"/>
          </w:tcPr>
          <w:p>
            <w:pPr>
              <w:pStyle w:val="TableParagraph"/>
              <w:spacing w:before="45"/>
              <w:ind w:left="38" w:right="186"/>
              <w:jc w:val="center"/>
              <w:rPr>
                <w:sz w:val="20"/>
              </w:rPr>
            </w:pPr>
            <w:r>
              <w:rPr>
                <w:spacing w:val="-2"/>
                <w:sz w:val="20"/>
              </w:rPr>
              <w:t>ds20.006</w:t>
            </w:r>
          </w:p>
        </w:tc>
        <w:tc>
          <w:tcPr>
            <w:tcW w:w="696" w:type="dxa"/>
          </w:tcPr>
          <w:p>
            <w:pPr>
              <w:pStyle w:val="TableParagraph"/>
              <w:spacing w:before="45"/>
              <w:ind w:left="200"/>
              <w:rPr>
                <w:sz w:val="20"/>
              </w:rPr>
            </w:pPr>
            <w:r>
              <w:rPr>
                <w:spacing w:val="-5"/>
                <w:sz w:val="20"/>
              </w:rPr>
              <w:t>108</w:t>
            </w:r>
          </w:p>
        </w:tc>
        <w:tc>
          <w:tcPr>
            <w:tcW w:w="2458" w:type="dxa"/>
          </w:tcPr>
          <w:p>
            <w:pPr>
              <w:pStyle w:val="TableParagraph"/>
              <w:spacing w:before="45"/>
              <w:ind w:left="193" w:right="853"/>
              <w:rPr>
                <w:sz w:val="20"/>
              </w:rPr>
            </w:pPr>
            <w:r>
              <w:rPr>
                <w:sz w:val="20"/>
              </w:rPr>
              <w:t>Замена</w:t>
            </w:r>
            <w:r>
              <w:rPr>
                <w:spacing w:val="-13"/>
                <w:sz w:val="20"/>
              </w:rPr>
              <w:t> </w:t>
            </w:r>
            <w:r>
              <w:rPr>
                <w:sz w:val="20"/>
              </w:rPr>
              <w:t>речевого </w:t>
            </w:r>
            <w:r>
              <w:rPr>
                <w:spacing w:val="-2"/>
                <w:sz w:val="20"/>
              </w:rPr>
              <w:t>процессора</w:t>
            </w:r>
          </w:p>
        </w:tc>
        <w:tc>
          <w:tcPr>
            <w:tcW w:w="5093" w:type="dxa"/>
          </w:tcPr>
          <w:p>
            <w:pPr>
              <w:pStyle w:val="TableParagraph"/>
              <w:spacing w:before="45"/>
              <w:ind w:left="2006" w:right="2571"/>
              <w:jc w:val="center"/>
              <w:rPr>
                <w:sz w:val="20"/>
              </w:rPr>
            </w:pPr>
            <w:r>
              <w:rPr>
                <w:spacing w:val="-4"/>
                <w:sz w:val="20"/>
              </w:rPr>
              <w:t>H90.3</w:t>
            </w:r>
          </w:p>
        </w:tc>
        <w:tc>
          <w:tcPr>
            <w:tcW w:w="2724" w:type="dxa"/>
          </w:tcPr>
          <w:p>
            <w:pPr>
              <w:pStyle w:val="TableParagraph"/>
              <w:spacing w:before="45"/>
              <w:ind w:left="524" w:right="1147"/>
              <w:jc w:val="center"/>
              <w:rPr>
                <w:sz w:val="20"/>
              </w:rPr>
            </w:pPr>
            <w:r>
              <w:rPr>
                <w:spacing w:val="-2"/>
                <w:sz w:val="20"/>
              </w:rPr>
              <w:t>B05.057.008</w:t>
            </w:r>
          </w:p>
        </w:tc>
        <w:tc>
          <w:tcPr>
            <w:tcW w:w="2059" w:type="dxa"/>
          </w:tcPr>
          <w:p>
            <w:pPr>
              <w:pStyle w:val="TableParagraph"/>
              <w:spacing w:before="45"/>
              <w:ind w:right="831"/>
              <w:jc w:val="right"/>
              <w:rPr>
                <w:sz w:val="20"/>
              </w:rPr>
            </w:pPr>
            <w:r>
              <w:rPr>
                <w:w w:val="99"/>
                <w:sz w:val="20"/>
              </w:rPr>
              <w:t>-</w:t>
            </w:r>
          </w:p>
        </w:tc>
        <w:tc>
          <w:tcPr>
            <w:tcW w:w="1336" w:type="dxa"/>
          </w:tcPr>
          <w:p>
            <w:pPr>
              <w:pStyle w:val="TableParagraph"/>
              <w:spacing w:before="45"/>
              <w:ind w:right="46"/>
              <w:jc w:val="right"/>
              <w:rPr>
                <w:sz w:val="20"/>
              </w:rPr>
            </w:pPr>
            <w:r>
              <w:rPr>
                <w:spacing w:val="-2"/>
                <w:sz w:val="20"/>
              </w:rPr>
              <w:t>51,86</w:t>
            </w:r>
          </w:p>
        </w:tc>
      </w:tr>
      <w:tr>
        <w:trPr>
          <w:trHeight w:val="330" w:hRule="atLeast"/>
        </w:trPr>
        <w:tc>
          <w:tcPr>
            <w:tcW w:w="978" w:type="dxa"/>
          </w:tcPr>
          <w:p>
            <w:pPr>
              <w:pStyle w:val="TableParagraph"/>
              <w:spacing w:before="45"/>
              <w:ind w:left="39" w:right="186"/>
              <w:jc w:val="center"/>
              <w:rPr>
                <w:sz w:val="20"/>
              </w:rPr>
            </w:pPr>
            <w:r>
              <w:rPr>
                <w:spacing w:val="-4"/>
                <w:sz w:val="20"/>
              </w:rPr>
              <w:t>ds21</w:t>
            </w:r>
          </w:p>
        </w:tc>
        <w:tc>
          <w:tcPr>
            <w:tcW w:w="696" w:type="dxa"/>
          </w:tcPr>
          <w:p>
            <w:pPr>
              <w:pStyle w:val="TableParagraph"/>
              <w:spacing w:before="45"/>
              <w:ind w:left="250"/>
              <w:rPr>
                <w:sz w:val="20"/>
              </w:rPr>
            </w:pPr>
            <w:r>
              <w:rPr>
                <w:spacing w:val="-5"/>
                <w:sz w:val="20"/>
              </w:rPr>
              <w:t>21</w:t>
            </w:r>
          </w:p>
        </w:tc>
        <w:tc>
          <w:tcPr>
            <w:tcW w:w="2458" w:type="dxa"/>
          </w:tcPr>
          <w:p>
            <w:pPr>
              <w:pStyle w:val="TableParagraph"/>
              <w:rPr>
                <w:sz w:val="18"/>
              </w:rPr>
            </w:pPr>
          </w:p>
        </w:tc>
        <w:tc>
          <w:tcPr>
            <w:tcW w:w="5093" w:type="dxa"/>
          </w:tcPr>
          <w:p>
            <w:pPr>
              <w:pStyle w:val="TableParagraph"/>
              <w:spacing w:before="45"/>
              <w:ind w:left="3215"/>
              <w:rPr>
                <w:sz w:val="20"/>
              </w:rPr>
            </w:pPr>
            <w:r>
              <w:rPr>
                <w:spacing w:val="-2"/>
                <w:sz w:val="20"/>
              </w:rPr>
              <w:t>Офтальмология</w:t>
            </w:r>
          </w:p>
        </w:tc>
        <w:tc>
          <w:tcPr>
            <w:tcW w:w="2724" w:type="dxa"/>
          </w:tcPr>
          <w:p>
            <w:pPr>
              <w:pStyle w:val="TableParagraph"/>
              <w:rPr>
                <w:sz w:val="18"/>
              </w:rPr>
            </w:pPr>
          </w:p>
        </w:tc>
        <w:tc>
          <w:tcPr>
            <w:tcW w:w="2059" w:type="dxa"/>
          </w:tcPr>
          <w:p>
            <w:pPr>
              <w:pStyle w:val="TableParagraph"/>
              <w:rPr>
                <w:sz w:val="18"/>
              </w:rPr>
            </w:pPr>
          </w:p>
        </w:tc>
        <w:tc>
          <w:tcPr>
            <w:tcW w:w="1336" w:type="dxa"/>
          </w:tcPr>
          <w:p>
            <w:pPr>
              <w:pStyle w:val="TableParagraph"/>
              <w:spacing w:before="45"/>
              <w:ind w:right="97"/>
              <w:jc w:val="right"/>
              <w:rPr>
                <w:sz w:val="20"/>
              </w:rPr>
            </w:pPr>
            <w:r>
              <w:rPr>
                <w:spacing w:val="-4"/>
                <w:sz w:val="20"/>
              </w:rPr>
              <w:t>0,98</w:t>
            </w:r>
          </w:p>
        </w:tc>
      </w:tr>
      <w:tr>
        <w:trPr>
          <w:trHeight w:val="281" w:hRule="atLeast"/>
        </w:trPr>
        <w:tc>
          <w:tcPr>
            <w:tcW w:w="978" w:type="dxa"/>
          </w:tcPr>
          <w:p>
            <w:pPr>
              <w:pStyle w:val="TableParagraph"/>
              <w:spacing w:line="215" w:lineRule="exact" w:before="46"/>
              <w:ind w:left="38" w:right="186"/>
              <w:jc w:val="center"/>
              <w:rPr>
                <w:sz w:val="20"/>
              </w:rPr>
            </w:pPr>
            <w:r>
              <w:rPr>
                <w:spacing w:val="-2"/>
                <w:sz w:val="20"/>
              </w:rPr>
              <w:t>ds21.001</w:t>
            </w:r>
          </w:p>
        </w:tc>
        <w:tc>
          <w:tcPr>
            <w:tcW w:w="696" w:type="dxa"/>
          </w:tcPr>
          <w:p>
            <w:pPr>
              <w:pStyle w:val="TableParagraph"/>
              <w:spacing w:line="215" w:lineRule="exact" w:before="46"/>
              <w:ind w:left="200"/>
              <w:rPr>
                <w:sz w:val="20"/>
              </w:rPr>
            </w:pPr>
            <w:r>
              <w:rPr>
                <w:spacing w:val="-5"/>
                <w:sz w:val="20"/>
              </w:rPr>
              <w:t>109</w:t>
            </w:r>
          </w:p>
        </w:tc>
        <w:tc>
          <w:tcPr>
            <w:tcW w:w="2458" w:type="dxa"/>
          </w:tcPr>
          <w:p>
            <w:pPr>
              <w:pStyle w:val="TableParagraph"/>
              <w:spacing w:line="215" w:lineRule="exact" w:before="46"/>
              <w:ind w:left="193"/>
              <w:rPr>
                <w:sz w:val="20"/>
              </w:rPr>
            </w:pPr>
            <w:r>
              <w:rPr>
                <w:sz w:val="20"/>
              </w:rPr>
              <w:t>Болезни</w:t>
            </w:r>
            <w:r>
              <w:rPr>
                <w:spacing w:val="-5"/>
                <w:sz w:val="20"/>
              </w:rPr>
              <w:t> </w:t>
            </w:r>
            <w:r>
              <w:rPr>
                <w:sz w:val="20"/>
              </w:rPr>
              <w:t>и</w:t>
            </w:r>
            <w:r>
              <w:rPr>
                <w:spacing w:val="-6"/>
                <w:sz w:val="20"/>
              </w:rPr>
              <w:t> </w:t>
            </w:r>
            <w:r>
              <w:rPr>
                <w:sz w:val="20"/>
              </w:rPr>
              <w:t>травмы</w:t>
            </w:r>
            <w:r>
              <w:rPr>
                <w:spacing w:val="-6"/>
                <w:sz w:val="20"/>
              </w:rPr>
              <w:t> </w:t>
            </w:r>
            <w:r>
              <w:rPr>
                <w:spacing w:val="-4"/>
                <w:sz w:val="20"/>
              </w:rPr>
              <w:t>глаза</w:t>
            </w:r>
          </w:p>
        </w:tc>
        <w:tc>
          <w:tcPr>
            <w:tcW w:w="5093" w:type="dxa"/>
          </w:tcPr>
          <w:p>
            <w:pPr>
              <w:pStyle w:val="TableParagraph"/>
              <w:spacing w:line="215" w:lineRule="exact" w:before="46"/>
              <w:ind w:left="438"/>
              <w:rPr>
                <w:sz w:val="20"/>
              </w:rPr>
            </w:pPr>
            <w:r>
              <w:rPr>
                <w:sz w:val="20"/>
              </w:rPr>
              <w:t>A71,</w:t>
            </w:r>
            <w:r>
              <w:rPr>
                <w:spacing w:val="-6"/>
                <w:sz w:val="20"/>
              </w:rPr>
              <w:t> </w:t>
            </w:r>
            <w:r>
              <w:rPr>
                <w:sz w:val="20"/>
              </w:rPr>
              <w:t>A71.0,</w:t>
            </w:r>
            <w:r>
              <w:rPr>
                <w:spacing w:val="-5"/>
                <w:sz w:val="20"/>
              </w:rPr>
              <w:t> </w:t>
            </w:r>
            <w:r>
              <w:rPr>
                <w:sz w:val="20"/>
              </w:rPr>
              <w:t>A71.1,</w:t>
            </w:r>
            <w:r>
              <w:rPr>
                <w:spacing w:val="-5"/>
                <w:sz w:val="20"/>
              </w:rPr>
              <w:t> </w:t>
            </w:r>
            <w:r>
              <w:rPr>
                <w:sz w:val="20"/>
              </w:rPr>
              <w:t>A71.9,</w:t>
            </w:r>
            <w:r>
              <w:rPr>
                <w:spacing w:val="-6"/>
                <w:sz w:val="20"/>
              </w:rPr>
              <w:t> </w:t>
            </w:r>
            <w:r>
              <w:rPr>
                <w:sz w:val="20"/>
              </w:rPr>
              <w:t>A74,</w:t>
            </w:r>
            <w:r>
              <w:rPr>
                <w:spacing w:val="-5"/>
                <w:sz w:val="20"/>
              </w:rPr>
              <w:t> </w:t>
            </w:r>
            <w:r>
              <w:rPr>
                <w:sz w:val="20"/>
              </w:rPr>
              <w:t>A74.0,</w:t>
            </w:r>
            <w:r>
              <w:rPr>
                <w:spacing w:val="-7"/>
                <w:sz w:val="20"/>
              </w:rPr>
              <w:t> </w:t>
            </w:r>
            <w:r>
              <w:rPr>
                <w:spacing w:val="-4"/>
                <w:sz w:val="20"/>
              </w:rPr>
              <w:t>B30,</w:t>
            </w:r>
          </w:p>
        </w:tc>
        <w:tc>
          <w:tcPr>
            <w:tcW w:w="2724" w:type="dxa"/>
          </w:tcPr>
          <w:p>
            <w:pPr>
              <w:pStyle w:val="TableParagraph"/>
              <w:spacing w:line="215" w:lineRule="exact" w:before="46"/>
              <w:ind w:right="622"/>
              <w:jc w:val="center"/>
              <w:rPr>
                <w:sz w:val="20"/>
              </w:rPr>
            </w:pPr>
            <w:r>
              <w:rPr>
                <w:w w:val="99"/>
                <w:sz w:val="20"/>
              </w:rPr>
              <w:t>-</w:t>
            </w:r>
          </w:p>
        </w:tc>
        <w:tc>
          <w:tcPr>
            <w:tcW w:w="2059" w:type="dxa"/>
          </w:tcPr>
          <w:p>
            <w:pPr>
              <w:pStyle w:val="TableParagraph"/>
              <w:spacing w:line="215" w:lineRule="exact" w:before="46"/>
              <w:ind w:right="831"/>
              <w:jc w:val="right"/>
              <w:rPr>
                <w:sz w:val="20"/>
              </w:rPr>
            </w:pPr>
            <w:r>
              <w:rPr>
                <w:w w:val="99"/>
                <w:sz w:val="20"/>
              </w:rPr>
              <w:t>-</w:t>
            </w:r>
          </w:p>
        </w:tc>
        <w:tc>
          <w:tcPr>
            <w:tcW w:w="1336" w:type="dxa"/>
          </w:tcPr>
          <w:p>
            <w:pPr>
              <w:pStyle w:val="TableParagraph"/>
              <w:spacing w:line="215" w:lineRule="exact" w:before="46"/>
              <w:ind w:right="97"/>
              <w:jc w:val="right"/>
              <w:rPr>
                <w:sz w:val="20"/>
              </w:rPr>
            </w:pPr>
            <w:r>
              <w:rPr>
                <w:spacing w:val="-4"/>
                <w:sz w:val="20"/>
              </w:rPr>
              <w:t>0,39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46"/>
              <w:rPr>
                <w:sz w:val="20"/>
              </w:rPr>
            </w:pPr>
            <w:r>
              <w:rPr>
                <w:sz w:val="20"/>
              </w:rPr>
              <w:t>B30.0,</w:t>
            </w:r>
            <w:r>
              <w:rPr>
                <w:spacing w:val="-8"/>
                <w:sz w:val="20"/>
              </w:rPr>
              <w:t> </w:t>
            </w:r>
            <w:r>
              <w:rPr>
                <w:sz w:val="20"/>
              </w:rPr>
              <w:t>B30.1,</w:t>
            </w:r>
            <w:r>
              <w:rPr>
                <w:spacing w:val="-5"/>
                <w:sz w:val="20"/>
              </w:rPr>
              <w:t> </w:t>
            </w:r>
            <w:r>
              <w:rPr>
                <w:sz w:val="20"/>
              </w:rPr>
              <w:t>B30.2,</w:t>
            </w:r>
            <w:r>
              <w:rPr>
                <w:spacing w:val="-5"/>
                <w:sz w:val="20"/>
              </w:rPr>
              <w:t> </w:t>
            </w:r>
            <w:r>
              <w:rPr>
                <w:sz w:val="20"/>
              </w:rPr>
              <w:t>B30.3,</w:t>
            </w:r>
            <w:r>
              <w:rPr>
                <w:spacing w:val="-8"/>
                <w:sz w:val="20"/>
              </w:rPr>
              <w:t> </w:t>
            </w:r>
            <w:r>
              <w:rPr>
                <w:sz w:val="20"/>
              </w:rPr>
              <w:t>B30.8,</w:t>
            </w:r>
            <w:r>
              <w:rPr>
                <w:spacing w:val="-5"/>
                <w:sz w:val="20"/>
              </w:rPr>
              <w:t> </w:t>
            </w:r>
            <w:r>
              <w:rPr>
                <w:sz w:val="20"/>
              </w:rPr>
              <w:t>B30.9,</w:t>
            </w:r>
            <w:r>
              <w:rPr>
                <w:spacing w:val="-5"/>
                <w:sz w:val="20"/>
              </w:rPr>
              <w:t> </w:t>
            </w:r>
            <w:r>
              <w:rPr>
                <w:spacing w:val="-2"/>
                <w:sz w:val="20"/>
              </w:rPr>
              <w:t>B94.0,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82"/>
              <w:rPr>
                <w:sz w:val="20"/>
              </w:rPr>
            </w:pPr>
            <w:r>
              <w:rPr>
                <w:sz w:val="20"/>
              </w:rPr>
              <w:t>D09.2,</w:t>
            </w:r>
            <w:r>
              <w:rPr>
                <w:spacing w:val="-6"/>
                <w:sz w:val="20"/>
              </w:rPr>
              <w:t> </w:t>
            </w:r>
            <w:r>
              <w:rPr>
                <w:sz w:val="20"/>
              </w:rPr>
              <w:t>D31,</w:t>
            </w:r>
            <w:r>
              <w:rPr>
                <w:spacing w:val="-6"/>
                <w:sz w:val="20"/>
              </w:rPr>
              <w:t> </w:t>
            </w:r>
            <w:r>
              <w:rPr>
                <w:sz w:val="20"/>
              </w:rPr>
              <w:t>D31.0,</w:t>
            </w:r>
            <w:r>
              <w:rPr>
                <w:spacing w:val="-5"/>
                <w:sz w:val="20"/>
              </w:rPr>
              <w:t> </w:t>
            </w:r>
            <w:r>
              <w:rPr>
                <w:sz w:val="20"/>
              </w:rPr>
              <w:t>D31.1,</w:t>
            </w:r>
            <w:r>
              <w:rPr>
                <w:spacing w:val="-6"/>
                <w:sz w:val="20"/>
              </w:rPr>
              <w:t> </w:t>
            </w:r>
            <w:r>
              <w:rPr>
                <w:sz w:val="20"/>
              </w:rPr>
              <w:t>D31.2,</w:t>
            </w:r>
            <w:r>
              <w:rPr>
                <w:spacing w:val="-5"/>
                <w:sz w:val="20"/>
              </w:rPr>
              <w:t> </w:t>
            </w:r>
            <w:r>
              <w:rPr>
                <w:sz w:val="20"/>
              </w:rPr>
              <w:t>D31.3,</w:t>
            </w:r>
            <w:r>
              <w:rPr>
                <w:spacing w:val="-6"/>
                <w:sz w:val="20"/>
              </w:rPr>
              <w:t> </w:t>
            </w:r>
            <w:r>
              <w:rPr>
                <w:spacing w:val="-2"/>
                <w:sz w:val="20"/>
              </w:rPr>
              <w:t>D31.4,</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356"/>
              <w:rPr>
                <w:sz w:val="20"/>
              </w:rPr>
            </w:pPr>
            <w:r>
              <w:rPr>
                <w:sz w:val="20"/>
              </w:rPr>
              <w:t>D31.5,</w:t>
            </w:r>
            <w:r>
              <w:rPr>
                <w:spacing w:val="-6"/>
                <w:sz w:val="20"/>
              </w:rPr>
              <w:t> </w:t>
            </w:r>
            <w:r>
              <w:rPr>
                <w:sz w:val="20"/>
              </w:rPr>
              <w:t>D31.6,</w:t>
            </w:r>
            <w:r>
              <w:rPr>
                <w:spacing w:val="-6"/>
                <w:sz w:val="20"/>
              </w:rPr>
              <w:t> </w:t>
            </w:r>
            <w:r>
              <w:rPr>
                <w:sz w:val="20"/>
              </w:rPr>
              <w:t>D31.9,</w:t>
            </w:r>
            <w:r>
              <w:rPr>
                <w:spacing w:val="-5"/>
                <w:sz w:val="20"/>
              </w:rPr>
              <w:t> </w:t>
            </w:r>
            <w:r>
              <w:rPr>
                <w:sz w:val="20"/>
              </w:rPr>
              <w:t>H00,</w:t>
            </w:r>
            <w:r>
              <w:rPr>
                <w:spacing w:val="-6"/>
                <w:sz w:val="20"/>
              </w:rPr>
              <w:t> </w:t>
            </w:r>
            <w:r>
              <w:rPr>
                <w:sz w:val="20"/>
              </w:rPr>
              <w:t>H00.0,</w:t>
            </w:r>
            <w:r>
              <w:rPr>
                <w:spacing w:val="-5"/>
                <w:sz w:val="20"/>
              </w:rPr>
              <w:t> </w:t>
            </w:r>
            <w:r>
              <w:rPr>
                <w:sz w:val="20"/>
              </w:rPr>
              <w:t>H00.1,</w:t>
            </w:r>
            <w:r>
              <w:rPr>
                <w:spacing w:val="-5"/>
                <w:sz w:val="20"/>
              </w:rPr>
              <w:t> </w:t>
            </w:r>
            <w:r>
              <w:rPr>
                <w:spacing w:val="-4"/>
                <w:sz w:val="20"/>
              </w:rPr>
              <w:t>H01,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H01.0,</w:t>
            </w:r>
            <w:r>
              <w:rPr>
                <w:spacing w:val="-4"/>
                <w:sz w:val="20"/>
              </w:rPr>
              <w:t> </w:t>
            </w:r>
            <w:r>
              <w:rPr>
                <w:sz w:val="20"/>
              </w:rPr>
              <w:t>H01.1,</w:t>
            </w:r>
            <w:r>
              <w:rPr>
                <w:spacing w:val="-6"/>
                <w:sz w:val="20"/>
              </w:rPr>
              <w:t> </w:t>
            </w:r>
            <w:r>
              <w:rPr>
                <w:sz w:val="20"/>
              </w:rPr>
              <w:t>H01.8,</w:t>
            </w:r>
            <w:r>
              <w:rPr>
                <w:spacing w:val="-4"/>
                <w:sz w:val="20"/>
              </w:rPr>
              <w:t> </w:t>
            </w:r>
            <w:r>
              <w:rPr>
                <w:sz w:val="20"/>
              </w:rPr>
              <w:t>H01.9,</w:t>
            </w:r>
            <w:r>
              <w:rPr>
                <w:spacing w:val="-6"/>
                <w:sz w:val="20"/>
              </w:rPr>
              <w:t> </w:t>
            </w:r>
            <w:r>
              <w:rPr>
                <w:sz w:val="20"/>
              </w:rPr>
              <w:t>H02,</w:t>
            </w:r>
            <w:r>
              <w:rPr>
                <w:spacing w:val="-4"/>
                <w:sz w:val="20"/>
              </w:rPr>
              <w:t> </w:t>
            </w:r>
            <w:r>
              <w:rPr>
                <w:sz w:val="20"/>
              </w:rPr>
              <w:t>H02.0,</w:t>
            </w:r>
            <w:r>
              <w:rPr>
                <w:spacing w:val="-4"/>
                <w:sz w:val="20"/>
              </w:rPr>
              <w:t> </w:t>
            </w:r>
            <w:r>
              <w:rPr>
                <w:spacing w:val="-2"/>
                <w:sz w:val="20"/>
              </w:rPr>
              <w:t>H02.1,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503"/>
              <w:rPr>
                <w:sz w:val="20"/>
              </w:rPr>
            </w:pPr>
            <w:r>
              <w:rPr>
                <w:sz w:val="20"/>
              </w:rPr>
              <w:t>H02.2,</w:t>
            </w:r>
            <w:r>
              <w:rPr>
                <w:spacing w:val="-4"/>
                <w:sz w:val="20"/>
              </w:rPr>
              <w:t> </w:t>
            </w:r>
            <w:r>
              <w:rPr>
                <w:sz w:val="20"/>
              </w:rPr>
              <w:t>H02.3,</w:t>
            </w:r>
            <w:r>
              <w:rPr>
                <w:spacing w:val="-6"/>
                <w:sz w:val="20"/>
              </w:rPr>
              <w:t> </w:t>
            </w:r>
            <w:r>
              <w:rPr>
                <w:sz w:val="20"/>
              </w:rPr>
              <w:t>H02.4,</w:t>
            </w:r>
            <w:r>
              <w:rPr>
                <w:spacing w:val="-4"/>
                <w:sz w:val="20"/>
              </w:rPr>
              <w:t> </w:t>
            </w:r>
            <w:r>
              <w:rPr>
                <w:sz w:val="20"/>
              </w:rPr>
              <w:t>H02.5,</w:t>
            </w:r>
            <w:r>
              <w:rPr>
                <w:spacing w:val="-6"/>
                <w:sz w:val="20"/>
              </w:rPr>
              <w:t> </w:t>
            </w:r>
            <w:r>
              <w:rPr>
                <w:sz w:val="20"/>
              </w:rPr>
              <w:t>H02.6,</w:t>
            </w:r>
            <w:r>
              <w:rPr>
                <w:spacing w:val="-4"/>
                <w:sz w:val="20"/>
              </w:rPr>
              <w:t> </w:t>
            </w:r>
            <w:r>
              <w:rPr>
                <w:spacing w:val="-2"/>
                <w:sz w:val="20"/>
              </w:rPr>
              <w:t>H02.7,</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356"/>
              <w:rPr>
                <w:sz w:val="20"/>
              </w:rPr>
            </w:pPr>
            <w:r>
              <w:rPr>
                <w:sz w:val="20"/>
              </w:rPr>
              <w:t>H02.8,</w:t>
            </w:r>
            <w:r>
              <w:rPr>
                <w:spacing w:val="-6"/>
                <w:sz w:val="20"/>
              </w:rPr>
              <w:t> </w:t>
            </w:r>
            <w:r>
              <w:rPr>
                <w:sz w:val="20"/>
              </w:rPr>
              <w:t>H02.9,</w:t>
            </w:r>
            <w:r>
              <w:rPr>
                <w:spacing w:val="-7"/>
                <w:sz w:val="20"/>
              </w:rPr>
              <w:t> </w:t>
            </w:r>
            <w:r>
              <w:rPr>
                <w:sz w:val="20"/>
              </w:rPr>
              <w:t>H03,</w:t>
            </w:r>
            <w:r>
              <w:rPr>
                <w:spacing w:val="-5"/>
                <w:sz w:val="20"/>
              </w:rPr>
              <w:t> </w:t>
            </w:r>
            <w:r>
              <w:rPr>
                <w:sz w:val="20"/>
              </w:rPr>
              <w:t>H03.0,</w:t>
            </w:r>
            <w:r>
              <w:rPr>
                <w:spacing w:val="-5"/>
                <w:sz w:val="20"/>
              </w:rPr>
              <w:t> </w:t>
            </w:r>
            <w:r>
              <w:rPr>
                <w:sz w:val="20"/>
              </w:rPr>
              <w:t>H03.1,</w:t>
            </w:r>
            <w:r>
              <w:rPr>
                <w:spacing w:val="-5"/>
                <w:sz w:val="20"/>
              </w:rPr>
              <w:t> </w:t>
            </w:r>
            <w:r>
              <w:rPr>
                <w:sz w:val="20"/>
              </w:rPr>
              <w:t>H03.8,</w:t>
            </w:r>
            <w:r>
              <w:rPr>
                <w:spacing w:val="-6"/>
                <w:sz w:val="20"/>
              </w:rPr>
              <w:t> </w:t>
            </w:r>
            <w:r>
              <w:rPr>
                <w:spacing w:val="-4"/>
                <w:sz w:val="20"/>
              </w:rPr>
              <w:t>H04,</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503"/>
              <w:rPr>
                <w:sz w:val="20"/>
              </w:rPr>
            </w:pPr>
            <w:r>
              <w:rPr>
                <w:sz w:val="20"/>
              </w:rPr>
              <w:t>H04.0,</w:t>
            </w:r>
            <w:r>
              <w:rPr>
                <w:spacing w:val="-4"/>
                <w:sz w:val="20"/>
              </w:rPr>
              <w:t> </w:t>
            </w:r>
            <w:r>
              <w:rPr>
                <w:sz w:val="20"/>
              </w:rPr>
              <w:t>H04.1,</w:t>
            </w:r>
            <w:r>
              <w:rPr>
                <w:spacing w:val="-6"/>
                <w:sz w:val="20"/>
              </w:rPr>
              <w:t> </w:t>
            </w:r>
            <w:r>
              <w:rPr>
                <w:sz w:val="20"/>
              </w:rPr>
              <w:t>H04.2,</w:t>
            </w:r>
            <w:r>
              <w:rPr>
                <w:spacing w:val="-4"/>
                <w:sz w:val="20"/>
              </w:rPr>
              <w:t> </w:t>
            </w:r>
            <w:r>
              <w:rPr>
                <w:sz w:val="20"/>
              </w:rPr>
              <w:t>H04.3,</w:t>
            </w:r>
            <w:r>
              <w:rPr>
                <w:spacing w:val="-6"/>
                <w:sz w:val="20"/>
              </w:rPr>
              <w:t> </w:t>
            </w:r>
            <w:r>
              <w:rPr>
                <w:sz w:val="20"/>
              </w:rPr>
              <w:t>H04.4,</w:t>
            </w:r>
            <w:r>
              <w:rPr>
                <w:spacing w:val="-4"/>
                <w:sz w:val="20"/>
              </w:rPr>
              <w:t> </w:t>
            </w:r>
            <w:r>
              <w:rPr>
                <w:spacing w:val="-2"/>
                <w:sz w:val="20"/>
              </w:rPr>
              <w:t>H04.5,</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82"/>
              <w:rPr>
                <w:sz w:val="20"/>
              </w:rPr>
            </w:pPr>
            <w:r>
              <w:rPr>
                <w:sz w:val="20"/>
              </w:rPr>
              <w:t>H04.6,</w:t>
            </w:r>
            <w:r>
              <w:rPr>
                <w:spacing w:val="-6"/>
                <w:sz w:val="20"/>
              </w:rPr>
              <w:t> </w:t>
            </w:r>
            <w:r>
              <w:rPr>
                <w:sz w:val="20"/>
              </w:rPr>
              <w:t>H04.8,</w:t>
            </w:r>
            <w:r>
              <w:rPr>
                <w:spacing w:val="-6"/>
                <w:sz w:val="20"/>
              </w:rPr>
              <w:t> </w:t>
            </w:r>
            <w:r>
              <w:rPr>
                <w:sz w:val="20"/>
              </w:rPr>
              <w:t>H04.9,</w:t>
            </w:r>
            <w:r>
              <w:rPr>
                <w:spacing w:val="-5"/>
                <w:sz w:val="20"/>
              </w:rPr>
              <w:t> </w:t>
            </w:r>
            <w:r>
              <w:rPr>
                <w:sz w:val="20"/>
              </w:rPr>
              <w:t>H05,</w:t>
            </w:r>
            <w:r>
              <w:rPr>
                <w:spacing w:val="-6"/>
                <w:sz w:val="20"/>
              </w:rPr>
              <w:t> </w:t>
            </w:r>
            <w:r>
              <w:rPr>
                <w:sz w:val="20"/>
              </w:rPr>
              <w:t>H05.0,</w:t>
            </w:r>
            <w:r>
              <w:rPr>
                <w:spacing w:val="-5"/>
                <w:sz w:val="20"/>
              </w:rPr>
              <w:t> </w:t>
            </w:r>
            <w:r>
              <w:rPr>
                <w:sz w:val="20"/>
              </w:rPr>
              <w:t>H05.1,</w:t>
            </w:r>
            <w:r>
              <w:rPr>
                <w:spacing w:val="-5"/>
                <w:sz w:val="20"/>
              </w:rPr>
              <w:t> </w:t>
            </w:r>
            <w:r>
              <w:rPr>
                <w:spacing w:val="-2"/>
                <w:sz w:val="20"/>
              </w:rPr>
              <w:t>H05.2,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H05.3,</w:t>
            </w:r>
            <w:r>
              <w:rPr>
                <w:spacing w:val="-4"/>
                <w:sz w:val="20"/>
              </w:rPr>
              <w:t> </w:t>
            </w:r>
            <w:r>
              <w:rPr>
                <w:sz w:val="20"/>
              </w:rPr>
              <w:t>H05.4,</w:t>
            </w:r>
            <w:r>
              <w:rPr>
                <w:spacing w:val="-6"/>
                <w:sz w:val="20"/>
              </w:rPr>
              <w:t> </w:t>
            </w:r>
            <w:r>
              <w:rPr>
                <w:sz w:val="20"/>
              </w:rPr>
              <w:t>H05.5,</w:t>
            </w:r>
            <w:r>
              <w:rPr>
                <w:spacing w:val="-4"/>
                <w:sz w:val="20"/>
              </w:rPr>
              <w:t> </w:t>
            </w:r>
            <w:r>
              <w:rPr>
                <w:sz w:val="20"/>
              </w:rPr>
              <w:t>H05.8,</w:t>
            </w:r>
            <w:r>
              <w:rPr>
                <w:spacing w:val="-6"/>
                <w:sz w:val="20"/>
              </w:rPr>
              <w:t> </w:t>
            </w:r>
            <w:r>
              <w:rPr>
                <w:sz w:val="20"/>
              </w:rPr>
              <w:t>H05.9,</w:t>
            </w:r>
            <w:r>
              <w:rPr>
                <w:spacing w:val="-4"/>
                <w:sz w:val="20"/>
              </w:rPr>
              <w:t> </w:t>
            </w:r>
            <w:r>
              <w:rPr>
                <w:sz w:val="20"/>
              </w:rPr>
              <w:t>H06,</w:t>
            </w:r>
            <w:r>
              <w:rPr>
                <w:spacing w:val="-4"/>
                <w:sz w:val="20"/>
              </w:rPr>
              <w:t> </w:t>
            </w:r>
            <w:r>
              <w:rPr>
                <w:spacing w:val="-2"/>
                <w:sz w:val="20"/>
              </w:rPr>
              <w:t>H06.0,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H06.1,</w:t>
            </w:r>
            <w:r>
              <w:rPr>
                <w:spacing w:val="-6"/>
                <w:sz w:val="20"/>
              </w:rPr>
              <w:t> </w:t>
            </w:r>
            <w:r>
              <w:rPr>
                <w:sz w:val="20"/>
              </w:rPr>
              <w:t>H06.2,</w:t>
            </w:r>
            <w:r>
              <w:rPr>
                <w:spacing w:val="-6"/>
                <w:sz w:val="20"/>
              </w:rPr>
              <w:t> </w:t>
            </w:r>
            <w:r>
              <w:rPr>
                <w:sz w:val="20"/>
              </w:rPr>
              <w:t>H06.3,</w:t>
            </w:r>
            <w:r>
              <w:rPr>
                <w:spacing w:val="-5"/>
                <w:sz w:val="20"/>
              </w:rPr>
              <w:t> </w:t>
            </w:r>
            <w:r>
              <w:rPr>
                <w:sz w:val="20"/>
              </w:rPr>
              <w:t>H10,</w:t>
            </w:r>
            <w:r>
              <w:rPr>
                <w:spacing w:val="-6"/>
                <w:sz w:val="20"/>
              </w:rPr>
              <w:t> </w:t>
            </w:r>
            <w:r>
              <w:rPr>
                <w:sz w:val="20"/>
              </w:rPr>
              <w:t>H10.0,</w:t>
            </w:r>
            <w:r>
              <w:rPr>
                <w:spacing w:val="-5"/>
                <w:sz w:val="20"/>
              </w:rPr>
              <w:t> </w:t>
            </w:r>
            <w:r>
              <w:rPr>
                <w:sz w:val="20"/>
              </w:rPr>
              <w:t>H10.1,</w:t>
            </w:r>
            <w:r>
              <w:rPr>
                <w:spacing w:val="-5"/>
                <w:sz w:val="20"/>
              </w:rPr>
              <w:t> </w:t>
            </w:r>
            <w:r>
              <w:rPr>
                <w:spacing w:val="-2"/>
                <w:sz w:val="20"/>
              </w:rPr>
              <w:t>H10.2,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79"/>
              <w:rPr>
                <w:sz w:val="20"/>
              </w:rPr>
            </w:pPr>
            <w:r>
              <w:rPr>
                <w:sz w:val="20"/>
              </w:rPr>
              <w:t>H10.3,</w:t>
            </w:r>
            <w:r>
              <w:rPr>
                <w:spacing w:val="-4"/>
                <w:sz w:val="20"/>
              </w:rPr>
              <w:t> </w:t>
            </w:r>
            <w:r>
              <w:rPr>
                <w:sz w:val="20"/>
              </w:rPr>
              <w:t>H10.4,</w:t>
            </w:r>
            <w:r>
              <w:rPr>
                <w:spacing w:val="-6"/>
                <w:sz w:val="20"/>
              </w:rPr>
              <w:t> </w:t>
            </w:r>
            <w:r>
              <w:rPr>
                <w:sz w:val="20"/>
              </w:rPr>
              <w:t>H10.5,</w:t>
            </w:r>
            <w:r>
              <w:rPr>
                <w:spacing w:val="-4"/>
                <w:sz w:val="20"/>
              </w:rPr>
              <w:t> </w:t>
            </w:r>
            <w:r>
              <w:rPr>
                <w:sz w:val="20"/>
              </w:rPr>
              <w:t>H10.8,</w:t>
            </w:r>
            <w:r>
              <w:rPr>
                <w:spacing w:val="-6"/>
                <w:sz w:val="20"/>
              </w:rPr>
              <w:t> </w:t>
            </w:r>
            <w:r>
              <w:rPr>
                <w:sz w:val="20"/>
              </w:rPr>
              <w:t>H10.9,</w:t>
            </w:r>
            <w:r>
              <w:rPr>
                <w:spacing w:val="-4"/>
                <w:sz w:val="20"/>
              </w:rPr>
              <w:t> </w:t>
            </w:r>
            <w:r>
              <w:rPr>
                <w:sz w:val="20"/>
              </w:rPr>
              <w:t>H11,</w:t>
            </w:r>
            <w:r>
              <w:rPr>
                <w:spacing w:val="-4"/>
                <w:sz w:val="20"/>
              </w:rPr>
              <w:t> </w:t>
            </w:r>
            <w:r>
              <w:rPr>
                <w:spacing w:val="-2"/>
                <w:sz w:val="20"/>
              </w:rPr>
              <w:t>H11.0,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79"/>
              <w:rPr>
                <w:sz w:val="20"/>
              </w:rPr>
            </w:pPr>
            <w:r>
              <w:rPr>
                <w:sz w:val="20"/>
              </w:rPr>
              <w:t>H11.1,</w:t>
            </w:r>
            <w:r>
              <w:rPr>
                <w:spacing w:val="-5"/>
                <w:sz w:val="20"/>
              </w:rPr>
              <w:t> </w:t>
            </w:r>
            <w:r>
              <w:rPr>
                <w:sz w:val="20"/>
              </w:rPr>
              <w:t>H11.2,</w:t>
            </w:r>
            <w:r>
              <w:rPr>
                <w:spacing w:val="-5"/>
                <w:sz w:val="20"/>
              </w:rPr>
              <w:t> </w:t>
            </w:r>
            <w:r>
              <w:rPr>
                <w:sz w:val="20"/>
              </w:rPr>
              <w:t>H11.3,</w:t>
            </w:r>
            <w:r>
              <w:rPr>
                <w:spacing w:val="-4"/>
                <w:sz w:val="20"/>
              </w:rPr>
              <w:t> </w:t>
            </w:r>
            <w:r>
              <w:rPr>
                <w:sz w:val="20"/>
              </w:rPr>
              <w:t>H11.4,</w:t>
            </w:r>
            <w:r>
              <w:rPr>
                <w:spacing w:val="-6"/>
                <w:sz w:val="20"/>
              </w:rPr>
              <w:t> </w:t>
            </w:r>
            <w:r>
              <w:rPr>
                <w:sz w:val="20"/>
              </w:rPr>
              <w:t>H11.8,</w:t>
            </w:r>
            <w:r>
              <w:rPr>
                <w:spacing w:val="-4"/>
                <w:sz w:val="20"/>
              </w:rPr>
              <w:t> </w:t>
            </w:r>
            <w:r>
              <w:rPr>
                <w:sz w:val="20"/>
              </w:rPr>
              <w:t>H11.9,</w:t>
            </w:r>
            <w:r>
              <w:rPr>
                <w:spacing w:val="-6"/>
                <w:sz w:val="20"/>
              </w:rPr>
              <w:t> </w:t>
            </w:r>
            <w:r>
              <w:rPr>
                <w:spacing w:val="-4"/>
                <w:sz w:val="20"/>
              </w:rPr>
              <w:t>H13,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H13.0,</w:t>
            </w:r>
            <w:r>
              <w:rPr>
                <w:spacing w:val="-4"/>
                <w:sz w:val="20"/>
              </w:rPr>
              <w:t> </w:t>
            </w:r>
            <w:r>
              <w:rPr>
                <w:sz w:val="20"/>
              </w:rPr>
              <w:t>H13.1,</w:t>
            </w:r>
            <w:r>
              <w:rPr>
                <w:spacing w:val="-5"/>
                <w:sz w:val="20"/>
              </w:rPr>
              <w:t> </w:t>
            </w:r>
            <w:r>
              <w:rPr>
                <w:sz w:val="20"/>
              </w:rPr>
              <w:t>H13.2,</w:t>
            </w:r>
            <w:r>
              <w:rPr>
                <w:spacing w:val="-4"/>
                <w:sz w:val="20"/>
              </w:rPr>
              <w:t> </w:t>
            </w:r>
            <w:r>
              <w:rPr>
                <w:sz w:val="20"/>
              </w:rPr>
              <w:t>H13.3,</w:t>
            </w:r>
            <w:r>
              <w:rPr>
                <w:spacing w:val="-6"/>
                <w:sz w:val="20"/>
              </w:rPr>
              <w:t> </w:t>
            </w:r>
            <w:r>
              <w:rPr>
                <w:sz w:val="20"/>
              </w:rPr>
              <w:t>H13.8,</w:t>
            </w:r>
            <w:r>
              <w:rPr>
                <w:spacing w:val="-3"/>
                <w:sz w:val="20"/>
              </w:rPr>
              <w:t> </w:t>
            </w:r>
            <w:r>
              <w:rPr>
                <w:sz w:val="20"/>
              </w:rPr>
              <w:t>H15,</w:t>
            </w:r>
            <w:r>
              <w:rPr>
                <w:spacing w:val="-4"/>
                <w:sz w:val="20"/>
              </w:rPr>
              <w:t> </w:t>
            </w:r>
            <w:r>
              <w:rPr>
                <w:spacing w:val="-2"/>
                <w:sz w:val="20"/>
              </w:rPr>
              <w:t>H15.0,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82"/>
              <w:rPr>
                <w:sz w:val="20"/>
              </w:rPr>
            </w:pPr>
            <w:r>
              <w:rPr>
                <w:sz w:val="20"/>
              </w:rPr>
              <w:t>H15.1,</w:t>
            </w:r>
            <w:r>
              <w:rPr>
                <w:spacing w:val="-6"/>
                <w:sz w:val="20"/>
              </w:rPr>
              <w:t> </w:t>
            </w:r>
            <w:r>
              <w:rPr>
                <w:sz w:val="20"/>
              </w:rPr>
              <w:t>H15.8,</w:t>
            </w:r>
            <w:r>
              <w:rPr>
                <w:spacing w:val="-6"/>
                <w:sz w:val="20"/>
              </w:rPr>
              <w:t> </w:t>
            </w:r>
            <w:r>
              <w:rPr>
                <w:sz w:val="20"/>
              </w:rPr>
              <w:t>H15.9,</w:t>
            </w:r>
            <w:r>
              <w:rPr>
                <w:spacing w:val="-5"/>
                <w:sz w:val="20"/>
              </w:rPr>
              <w:t> </w:t>
            </w:r>
            <w:r>
              <w:rPr>
                <w:sz w:val="20"/>
              </w:rPr>
              <w:t>H16,</w:t>
            </w:r>
            <w:r>
              <w:rPr>
                <w:spacing w:val="-6"/>
                <w:sz w:val="20"/>
              </w:rPr>
              <w:t> </w:t>
            </w:r>
            <w:r>
              <w:rPr>
                <w:sz w:val="20"/>
              </w:rPr>
              <w:t>H16.0,</w:t>
            </w:r>
            <w:r>
              <w:rPr>
                <w:spacing w:val="-5"/>
                <w:sz w:val="20"/>
              </w:rPr>
              <w:t> </w:t>
            </w:r>
            <w:r>
              <w:rPr>
                <w:sz w:val="20"/>
              </w:rPr>
              <w:t>H16.1,</w:t>
            </w:r>
            <w:r>
              <w:rPr>
                <w:spacing w:val="-5"/>
                <w:sz w:val="20"/>
              </w:rPr>
              <w:t> </w:t>
            </w:r>
            <w:r>
              <w:rPr>
                <w:spacing w:val="-2"/>
                <w:sz w:val="20"/>
              </w:rPr>
              <w:t>H16.2,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H16.3,</w:t>
            </w:r>
            <w:r>
              <w:rPr>
                <w:spacing w:val="-4"/>
                <w:sz w:val="20"/>
              </w:rPr>
              <w:t> </w:t>
            </w:r>
            <w:r>
              <w:rPr>
                <w:sz w:val="20"/>
              </w:rPr>
              <w:t>H16.4,</w:t>
            </w:r>
            <w:r>
              <w:rPr>
                <w:spacing w:val="-6"/>
                <w:sz w:val="20"/>
              </w:rPr>
              <w:t> </w:t>
            </w:r>
            <w:r>
              <w:rPr>
                <w:sz w:val="20"/>
              </w:rPr>
              <w:t>H16.8,</w:t>
            </w:r>
            <w:r>
              <w:rPr>
                <w:spacing w:val="-4"/>
                <w:sz w:val="20"/>
              </w:rPr>
              <w:t> </w:t>
            </w:r>
            <w:r>
              <w:rPr>
                <w:sz w:val="20"/>
              </w:rPr>
              <w:t>H16.9,</w:t>
            </w:r>
            <w:r>
              <w:rPr>
                <w:spacing w:val="-6"/>
                <w:sz w:val="20"/>
              </w:rPr>
              <w:t> </w:t>
            </w:r>
            <w:r>
              <w:rPr>
                <w:sz w:val="20"/>
              </w:rPr>
              <w:t>H17,</w:t>
            </w:r>
            <w:r>
              <w:rPr>
                <w:spacing w:val="-4"/>
                <w:sz w:val="20"/>
              </w:rPr>
              <w:t> </w:t>
            </w:r>
            <w:r>
              <w:rPr>
                <w:sz w:val="20"/>
              </w:rPr>
              <w:t>H17.0,</w:t>
            </w:r>
            <w:r>
              <w:rPr>
                <w:spacing w:val="-4"/>
                <w:sz w:val="20"/>
              </w:rPr>
              <w:t> </w:t>
            </w:r>
            <w:r>
              <w:rPr>
                <w:spacing w:val="-2"/>
                <w:sz w:val="20"/>
              </w:rPr>
              <w:t>H17.1,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H17.8,</w:t>
            </w:r>
            <w:r>
              <w:rPr>
                <w:spacing w:val="-6"/>
                <w:sz w:val="20"/>
              </w:rPr>
              <w:t> </w:t>
            </w:r>
            <w:r>
              <w:rPr>
                <w:sz w:val="20"/>
              </w:rPr>
              <w:t>H17.9,</w:t>
            </w:r>
            <w:r>
              <w:rPr>
                <w:spacing w:val="-7"/>
                <w:sz w:val="20"/>
              </w:rPr>
              <w:t> </w:t>
            </w:r>
            <w:r>
              <w:rPr>
                <w:sz w:val="20"/>
              </w:rPr>
              <w:t>H18,</w:t>
            </w:r>
            <w:r>
              <w:rPr>
                <w:spacing w:val="-5"/>
                <w:sz w:val="20"/>
              </w:rPr>
              <w:t> </w:t>
            </w:r>
            <w:r>
              <w:rPr>
                <w:sz w:val="20"/>
              </w:rPr>
              <w:t>H18.0,</w:t>
            </w:r>
            <w:r>
              <w:rPr>
                <w:spacing w:val="-5"/>
                <w:sz w:val="20"/>
              </w:rPr>
              <w:t> </w:t>
            </w:r>
            <w:r>
              <w:rPr>
                <w:sz w:val="20"/>
              </w:rPr>
              <w:t>H18.1,</w:t>
            </w:r>
            <w:r>
              <w:rPr>
                <w:spacing w:val="-5"/>
                <w:sz w:val="20"/>
              </w:rPr>
              <w:t> </w:t>
            </w:r>
            <w:r>
              <w:rPr>
                <w:sz w:val="20"/>
              </w:rPr>
              <w:t>H18.2,</w:t>
            </w:r>
            <w:r>
              <w:rPr>
                <w:spacing w:val="-6"/>
                <w:sz w:val="20"/>
              </w:rPr>
              <w:t> </w:t>
            </w:r>
            <w:r>
              <w:rPr>
                <w:spacing w:val="-2"/>
                <w:sz w:val="20"/>
              </w:rPr>
              <w:t>H18.3,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H18.4,</w:t>
            </w:r>
            <w:r>
              <w:rPr>
                <w:spacing w:val="-5"/>
                <w:sz w:val="20"/>
              </w:rPr>
              <w:t> </w:t>
            </w:r>
            <w:r>
              <w:rPr>
                <w:sz w:val="20"/>
              </w:rPr>
              <w:t>H18.5,</w:t>
            </w:r>
            <w:r>
              <w:rPr>
                <w:spacing w:val="-5"/>
                <w:sz w:val="20"/>
              </w:rPr>
              <w:t> </w:t>
            </w:r>
            <w:r>
              <w:rPr>
                <w:sz w:val="20"/>
              </w:rPr>
              <w:t>H18.6,</w:t>
            </w:r>
            <w:r>
              <w:rPr>
                <w:spacing w:val="-4"/>
                <w:sz w:val="20"/>
              </w:rPr>
              <w:t> </w:t>
            </w:r>
            <w:r>
              <w:rPr>
                <w:sz w:val="20"/>
              </w:rPr>
              <w:t>H18.7,</w:t>
            </w:r>
            <w:r>
              <w:rPr>
                <w:spacing w:val="-6"/>
                <w:sz w:val="20"/>
              </w:rPr>
              <w:t> </w:t>
            </w:r>
            <w:r>
              <w:rPr>
                <w:sz w:val="20"/>
              </w:rPr>
              <w:t>H18.8,</w:t>
            </w:r>
            <w:r>
              <w:rPr>
                <w:spacing w:val="-4"/>
                <w:sz w:val="20"/>
              </w:rPr>
              <w:t> </w:t>
            </w:r>
            <w:r>
              <w:rPr>
                <w:sz w:val="20"/>
              </w:rPr>
              <w:t>H18.9,</w:t>
            </w:r>
            <w:r>
              <w:rPr>
                <w:spacing w:val="-6"/>
                <w:sz w:val="20"/>
              </w:rPr>
              <w:t> </w:t>
            </w:r>
            <w:r>
              <w:rPr>
                <w:spacing w:val="-4"/>
                <w:sz w:val="20"/>
              </w:rPr>
              <w:t>H19,</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H19.0,</w:t>
            </w:r>
            <w:r>
              <w:rPr>
                <w:spacing w:val="-4"/>
                <w:sz w:val="20"/>
              </w:rPr>
              <w:t> </w:t>
            </w:r>
            <w:r>
              <w:rPr>
                <w:sz w:val="20"/>
              </w:rPr>
              <w:t>H19.1,</w:t>
            </w:r>
            <w:r>
              <w:rPr>
                <w:spacing w:val="-5"/>
                <w:sz w:val="20"/>
              </w:rPr>
              <w:t> </w:t>
            </w:r>
            <w:r>
              <w:rPr>
                <w:sz w:val="20"/>
              </w:rPr>
              <w:t>H19.2,</w:t>
            </w:r>
            <w:r>
              <w:rPr>
                <w:spacing w:val="-3"/>
                <w:sz w:val="20"/>
              </w:rPr>
              <w:t> </w:t>
            </w:r>
            <w:r>
              <w:rPr>
                <w:sz w:val="20"/>
              </w:rPr>
              <w:t>H19.3,</w:t>
            </w:r>
            <w:r>
              <w:rPr>
                <w:spacing w:val="-5"/>
                <w:sz w:val="20"/>
              </w:rPr>
              <w:t> </w:t>
            </w:r>
            <w:r>
              <w:rPr>
                <w:sz w:val="20"/>
              </w:rPr>
              <w:t>H19.8,</w:t>
            </w:r>
            <w:r>
              <w:rPr>
                <w:spacing w:val="-3"/>
                <w:sz w:val="20"/>
              </w:rPr>
              <w:t> </w:t>
            </w:r>
            <w:r>
              <w:rPr>
                <w:sz w:val="20"/>
              </w:rPr>
              <w:t>H20,</w:t>
            </w:r>
            <w:r>
              <w:rPr>
                <w:spacing w:val="-3"/>
                <w:sz w:val="20"/>
              </w:rPr>
              <w:t> </w:t>
            </w:r>
            <w:r>
              <w:rPr>
                <w:spacing w:val="-2"/>
                <w:sz w:val="20"/>
              </w:rPr>
              <w:t>H20.0,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H20.1,</w:t>
            </w:r>
            <w:r>
              <w:rPr>
                <w:spacing w:val="-4"/>
                <w:sz w:val="20"/>
              </w:rPr>
              <w:t> </w:t>
            </w:r>
            <w:r>
              <w:rPr>
                <w:sz w:val="20"/>
              </w:rPr>
              <w:t>H20.2,</w:t>
            </w:r>
            <w:r>
              <w:rPr>
                <w:spacing w:val="-6"/>
                <w:sz w:val="20"/>
              </w:rPr>
              <w:t> </w:t>
            </w:r>
            <w:r>
              <w:rPr>
                <w:sz w:val="20"/>
              </w:rPr>
              <w:t>H20.8,</w:t>
            </w:r>
            <w:r>
              <w:rPr>
                <w:spacing w:val="-4"/>
                <w:sz w:val="20"/>
              </w:rPr>
              <w:t> </w:t>
            </w:r>
            <w:r>
              <w:rPr>
                <w:sz w:val="20"/>
              </w:rPr>
              <w:t>H20.9,</w:t>
            </w:r>
            <w:r>
              <w:rPr>
                <w:spacing w:val="-6"/>
                <w:sz w:val="20"/>
              </w:rPr>
              <w:t> </w:t>
            </w:r>
            <w:r>
              <w:rPr>
                <w:sz w:val="20"/>
              </w:rPr>
              <w:t>H21,</w:t>
            </w:r>
            <w:r>
              <w:rPr>
                <w:spacing w:val="-4"/>
                <w:sz w:val="20"/>
              </w:rPr>
              <w:t> </w:t>
            </w:r>
            <w:r>
              <w:rPr>
                <w:sz w:val="20"/>
              </w:rPr>
              <w:t>H21.0,</w:t>
            </w:r>
            <w:r>
              <w:rPr>
                <w:spacing w:val="-4"/>
                <w:sz w:val="20"/>
              </w:rPr>
              <w:t> </w:t>
            </w:r>
            <w:r>
              <w:rPr>
                <w:spacing w:val="-2"/>
                <w:sz w:val="20"/>
              </w:rPr>
              <w:t>H21.1,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H21.2,</w:t>
            </w:r>
            <w:r>
              <w:rPr>
                <w:spacing w:val="-5"/>
                <w:sz w:val="20"/>
              </w:rPr>
              <w:t> </w:t>
            </w:r>
            <w:r>
              <w:rPr>
                <w:sz w:val="20"/>
              </w:rPr>
              <w:t>H21.3,</w:t>
            </w:r>
            <w:r>
              <w:rPr>
                <w:spacing w:val="-5"/>
                <w:sz w:val="20"/>
              </w:rPr>
              <w:t> </w:t>
            </w:r>
            <w:r>
              <w:rPr>
                <w:sz w:val="20"/>
              </w:rPr>
              <w:t>H21.4,</w:t>
            </w:r>
            <w:r>
              <w:rPr>
                <w:spacing w:val="-4"/>
                <w:sz w:val="20"/>
              </w:rPr>
              <w:t> </w:t>
            </w:r>
            <w:r>
              <w:rPr>
                <w:sz w:val="20"/>
              </w:rPr>
              <w:t>H21.5,</w:t>
            </w:r>
            <w:r>
              <w:rPr>
                <w:spacing w:val="-6"/>
                <w:sz w:val="20"/>
              </w:rPr>
              <w:t> </w:t>
            </w:r>
            <w:r>
              <w:rPr>
                <w:sz w:val="20"/>
              </w:rPr>
              <w:t>H21.8,</w:t>
            </w:r>
            <w:r>
              <w:rPr>
                <w:spacing w:val="-4"/>
                <w:sz w:val="20"/>
              </w:rPr>
              <w:t> </w:t>
            </w:r>
            <w:r>
              <w:rPr>
                <w:sz w:val="20"/>
              </w:rPr>
              <w:t>H21.9,</w:t>
            </w:r>
            <w:r>
              <w:rPr>
                <w:spacing w:val="-6"/>
                <w:sz w:val="20"/>
              </w:rPr>
              <w:t> </w:t>
            </w:r>
            <w:r>
              <w:rPr>
                <w:spacing w:val="-4"/>
                <w:sz w:val="20"/>
              </w:rPr>
              <w:t>H22,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H22.0,</w:t>
            </w:r>
            <w:r>
              <w:rPr>
                <w:spacing w:val="-6"/>
                <w:sz w:val="20"/>
              </w:rPr>
              <w:t> </w:t>
            </w:r>
            <w:r>
              <w:rPr>
                <w:sz w:val="20"/>
              </w:rPr>
              <w:t>H22.1,</w:t>
            </w:r>
            <w:r>
              <w:rPr>
                <w:spacing w:val="-6"/>
                <w:sz w:val="20"/>
              </w:rPr>
              <w:t> </w:t>
            </w:r>
            <w:r>
              <w:rPr>
                <w:sz w:val="20"/>
              </w:rPr>
              <w:t>H22.8,</w:t>
            </w:r>
            <w:r>
              <w:rPr>
                <w:spacing w:val="-5"/>
                <w:sz w:val="20"/>
              </w:rPr>
              <w:t> </w:t>
            </w:r>
            <w:r>
              <w:rPr>
                <w:sz w:val="20"/>
              </w:rPr>
              <w:t>H25,</w:t>
            </w:r>
            <w:r>
              <w:rPr>
                <w:spacing w:val="-6"/>
                <w:sz w:val="20"/>
              </w:rPr>
              <w:t> </w:t>
            </w:r>
            <w:r>
              <w:rPr>
                <w:sz w:val="20"/>
              </w:rPr>
              <w:t>H25.0,</w:t>
            </w:r>
            <w:r>
              <w:rPr>
                <w:spacing w:val="-5"/>
                <w:sz w:val="20"/>
              </w:rPr>
              <w:t> </w:t>
            </w:r>
            <w:r>
              <w:rPr>
                <w:sz w:val="20"/>
              </w:rPr>
              <w:t>H25.1,</w:t>
            </w:r>
            <w:r>
              <w:rPr>
                <w:spacing w:val="-5"/>
                <w:sz w:val="20"/>
              </w:rPr>
              <w:t> </w:t>
            </w:r>
            <w:r>
              <w:rPr>
                <w:spacing w:val="-2"/>
                <w:sz w:val="20"/>
              </w:rPr>
              <w:t>H25.2,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82"/>
              <w:rPr>
                <w:sz w:val="20"/>
              </w:rPr>
            </w:pPr>
            <w:r>
              <w:rPr>
                <w:sz w:val="20"/>
              </w:rPr>
              <w:t>H25.8,</w:t>
            </w:r>
            <w:r>
              <w:rPr>
                <w:spacing w:val="-6"/>
                <w:sz w:val="20"/>
              </w:rPr>
              <w:t> </w:t>
            </w:r>
            <w:r>
              <w:rPr>
                <w:sz w:val="20"/>
              </w:rPr>
              <w:t>H25.9,</w:t>
            </w:r>
            <w:r>
              <w:rPr>
                <w:spacing w:val="-7"/>
                <w:sz w:val="20"/>
              </w:rPr>
              <w:t> </w:t>
            </w:r>
            <w:r>
              <w:rPr>
                <w:sz w:val="20"/>
              </w:rPr>
              <w:t>H26,</w:t>
            </w:r>
            <w:r>
              <w:rPr>
                <w:spacing w:val="-5"/>
                <w:sz w:val="20"/>
              </w:rPr>
              <w:t> </w:t>
            </w:r>
            <w:r>
              <w:rPr>
                <w:sz w:val="20"/>
              </w:rPr>
              <w:t>H26.0,</w:t>
            </w:r>
            <w:r>
              <w:rPr>
                <w:spacing w:val="-5"/>
                <w:sz w:val="20"/>
              </w:rPr>
              <w:t> </w:t>
            </w:r>
            <w:r>
              <w:rPr>
                <w:sz w:val="20"/>
              </w:rPr>
              <w:t>H26.1,</w:t>
            </w:r>
            <w:r>
              <w:rPr>
                <w:spacing w:val="-5"/>
                <w:sz w:val="20"/>
              </w:rPr>
              <w:t> </w:t>
            </w:r>
            <w:r>
              <w:rPr>
                <w:sz w:val="20"/>
              </w:rPr>
              <w:t>H26.2,</w:t>
            </w:r>
            <w:r>
              <w:rPr>
                <w:spacing w:val="-6"/>
                <w:sz w:val="20"/>
              </w:rPr>
              <w:t> </w:t>
            </w:r>
            <w:r>
              <w:rPr>
                <w:spacing w:val="-2"/>
                <w:sz w:val="20"/>
              </w:rPr>
              <w:t>H26.3,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82"/>
              <w:rPr>
                <w:sz w:val="20"/>
              </w:rPr>
            </w:pPr>
            <w:r>
              <w:rPr>
                <w:sz w:val="20"/>
              </w:rPr>
              <w:t>H26.4,</w:t>
            </w:r>
            <w:r>
              <w:rPr>
                <w:spacing w:val="-6"/>
                <w:sz w:val="20"/>
              </w:rPr>
              <w:t> </w:t>
            </w:r>
            <w:r>
              <w:rPr>
                <w:sz w:val="20"/>
              </w:rPr>
              <w:t>H26.8,</w:t>
            </w:r>
            <w:r>
              <w:rPr>
                <w:spacing w:val="-6"/>
                <w:sz w:val="20"/>
              </w:rPr>
              <w:t> </w:t>
            </w:r>
            <w:r>
              <w:rPr>
                <w:sz w:val="20"/>
              </w:rPr>
              <w:t>H26.9,</w:t>
            </w:r>
            <w:r>
              <w:rPr>
                <w:spacing w:val="-5"/>
                <w:sz w:val="20"/>
              </w:rPr>
              <w:t> </w:t>
            </w:r>
            <w:r>
              <w:rPr>
                <w:sz w:val="20"/>
              </w:rPr>
              <w:t>H27,</w:t>
            </w:r>
            <w:r>
              <w:rPr>
                <w:spacing w:val="-6"/>
                <w:sz w:val="20"/>
              </w:rPr>
              <w:t> </w:t>
            </w:r>
            <w:r>
              <w:rPr>
                <w:sz w:val="20"/>
              </w:rPr>
              <w:t>H27.0,</w:t>
            </w:r>
            <w:r>
              <w:rPr>
                <w:spacing w:val="-5"/>
                <w:sz w:val="20"/>
              </w:rPr>
              <w:t> </w:t>
            </w:r>
            <w:r>
              <w:rPr>
                <w:sz w:val="20"/>
              </w:rPr>
              <w:t>H27.1,</w:t>
            </w:r>
            <w:r>
              <w:rPr>
                <w:spacing w:val="-5"/>
                <w:sz w:val="20"/>
              </w:rPr>
              <w:t> </w:t>
            </w:r>
            <w:r>
              <w:rPr>
                <w:spacing w:val="-2"/>
                <w:sz w:val="20"/>
              </w:rPr>
              <w:t>H27.8,</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356"/>
              <w:rPr>
                <w:sz w:val="20"/>
              </w:rPr>
            </w:pPr>
            <w:r>
              <w:rPr>
                <w:sz w:val="20"/>
              </w:rPr>
              <w:t>H27.9,</w:t>
            </w:r>
            <w:r>
              <w:rPr>
                <w:spacing w:val="-6"/>
                <w:sz w:val="20"/>
              </w:rPr>
              <w:t> </w:t>
            </w:r>
            <w:r>
              <w:rPr>
                <w:sz w:val="20"/>
              </w:rPr>
              <w:t>H28,</w:t>
            </w:r>
            <w:r>
              <w:rPr>
                <w:spacing w:val="-4"/>
                <w:sz w:val="20"/>
              </w:rPr>
              <w:t> </w:t>
            </w:r>
            <w:r>
              <w:rPr>
                <w:sz w:val="20"/>
              </w:rPr>
              <w:t>H28.0,</w:t>
            </w:r>
            <w:r>
              <w:rPr>
                <w:spacing w:val="-5"/>
                <w:sz w:val="20"/>
              </w:rPr>
              <w:t> </w:t>
            </w:r>
            <w:r>
              <w:rPr>
                <w:sz w:val="20"/>
              </w:rPr>
              <w:t>H28.1,</w:t>
            </w:r>
            <w:r>
              <w:rPr>
                <w:spacing w:val="-6"/>
                <w:sz w:val="20"/>
              </w:rPr>
              <w:t> </w:t>
            </w:r>
            <w:r>
              <w:rPr>
                <w:sz w:val="20"/>
              </w:rPr>
              <w:t>H28.2,</w:t>
            </w:r>
            <w:r>
              <w:rPr>
                <w:spacing w:val="-5"/>
                <w:sz w:val="20"/>
              </w:rPr>
              <w:t> </w:t>
            </w:r>
            <w:r>
              <w:rPr>
                <w:sz w:val="20"/>
              </w:rPr>
              <w:t>H28.8,</w:t>
            </w:r>
            <w:r>
              <w:rPr>
                <w:spacing w:val="-6"/>
                <w:sz w:val="20"/>
              </w:rPr>
              <w:t> </w:t>
            </w:r>
            <w:r>
              <w:rPr>
                <w:spacing w:val="-4"/>
                <w:sz w:val="20"/>
              </w:rPr>
              <w:t>H30,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H30.0,</w:t>
            </w:r>
            <w:r>
              <w:rPr>
                <w:spacing w:val="-4"/>
                <w:sz w:val="20"/>
              </w:rPr>
              <w:t> </w:t>
            </w:r>
            <w:r>
              <w:rPr>
                <w:sz w:val="20"/>
              </w:rPr>
              <w:t>H30.1,</w:t>
            </w:r>
            <w:r>
              <w:rPr>
                <w:spacing w:val="-6"/>
                <w:sz w:val="20"/>
              </w:rPr>
              <w:t> </w:t>
            </w:r>
            <w:r>
              <w:rPr>
                <w:sz w:val="20"/>
              </w:rPr>
              <w:t>H30.2,</w:t>
            </w:r>
            <w:r>
              <w:rPr>
                <w:spacing w:val="-4"/>
                <w:sz w:val="20"/>
              </w:rPr>
              <w:t> </w:t>
            </w:r>
            <w:r>
              <w:rPr>
                <w:sz w:val="20"/>
              </w:rPr>
              <w:t>H30.8,</w:t>
            </w:r>
            <w:r>
              <w:rPr>
                <w:spacing w:val="-6"/>
                <w:sz w:val="20"/>
              </w:rPr>
              <w:t> </w:t>
            </w:r>
            <w:r>
              <w:rPr>
                <w:sz w:val="20"/>
              </w:rPr>
              <w:t>H30.9,</w:t>
            </w:r>
            <w:r>
              <w:rPr>
                <w:spacing w:val="-4"/>
                <w:sz w:val="20"/>
              </w:rPr>
              <w:t> </w:t>
            </w:r>
            <w:r>
              <w:rPr>
                <w:sz w:val="20"/>
              </w:rPr>
              <w:t>H31,</w:t>
            </w:r>
            <w:r>
              <w:rPr>
                <w:spacing w:val="-4"/>
                <w:sz w:val="20"/>
              </w:rPr>
              <w:t> </w:t>
            </w:r>
            <w:r>
              <w:rPr>
                <w:spacing w:val="-2"/>
                <w:sz w:val="20"/>
              </w:rPr>
              <w:t>H31.0,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H31.1,</w:t>
            </w:r>
            <w:r>
              <w:rPr>
                <w:spacing w:val="-5"/>
                <w:sz w:val="20"/>
              </w:rPr>
              <w:t> </w:t>
            </w:r>
            <w:r>
              <w:rPr>
                <w:sz w:val="20"/>
              </w:rPr>
              <w:t>H31.2,</w:t>
            </w:r>
            <w:r>
              <w:rPr>
                <w:spacing w:val="-5"/>
                <w:sz w:val="20"/>
              </w:rPr>
              <w:t> </w:t>
            </w:r>
            <w:r>
              <w:rPr>
                <w:sz w:val="20"/>
              </w:rPr>
              <w:t>H31.3,</w:t>
            </w:r>
            <w:r>
              <w:rPr>
                <w:spacing w:val="-4"/>
                <w:sz w:val="20"/>
              </w:rPr>
              <w:t> </w:t>
            </w:r>
            <w:r>
              <w:rPr>
                <w:sz w:val="20"/>
              </w:rPr>
              <w:t>H31.4,</w:t>
            </w:r>
            <w:r>
              <w:rPr>
                <w:spacing w:val="-6"/>
                <w:sz w:val="20"/>
              </w:rPr>
              <w:t> </w:t>
            </w:r>
            <w:r>
              <w:rPr>
                <w:sz w:val="20"/>
              </w:rPr>
              <w:t>H31.8,</w:t>
            </w:r>
            <w:r>
              <w:rPr>
                <w:spacing w:val="-4"/>
                <w:sz w:val="20"/>
              </w:rPr>
              <w:t> </w:t>
            </w:r>
            <w:r>
              <w:rPr>
                <w:sz w:val="20"/>
              </w:rPr>
              <w:t>H31.9,</w:t>
            </w:r>
            <w:r>
              <w:rPr>
                <w:spacing w:val="-6"/>
                <w:sz w:val="20"/>
              </w:rPr>
              <w:t> </w:t>
            </w:r>
            <w:r>
              <w:rPr>
                <w:spacing w:val="-4"/>
                <w:sz w:val="20"/>
              </w:rPr>
              <w:t>H32,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H32.0,</w:t>
            </w:r>
            <w:r>
              <w:rPr>
                <w:spacing w:val="-6"/>
                <w:sz w:val="20"/>
              </w:rPr>
              <w:t> </w:t>
            </w:r>
            <w:r>
              <w:rPr>
                <w:sz w:val="20"/>
              </w:rPr>
              <w:t>H32.8,</w:t>
            </w:r>
            <w:r>
              <w:rPr>
                <w:spacing w:val="-7"/>
                <w:sz w:val="20"/>
              </w:rPr>
              <w:t> </w:t>
            </w:r>
            <w:r>
              <w:rPr>
                <w:sz w:val="20"/>
              </w:rPr>
              <w:t>H33,</w:t>
            </w:r>
            <w:r>
              <w:rPr>
                <w:spacing w:val="-5"/>
                <w:sz w:val="20"/>
              </w:rPr>
              <w:t> </w:t>
            </w:r>
            <w:r>
              <w:rPr>
                <w:sz w:val="20"/>
              </w:rPr>
              <w:t>H33.0,</w:t>
            </w:r>
            <w:r>
              <w:rPr>
                <w:spacing w:val="-5"/>
                <w:sz w:val="20"/>
              </w:rPr>
              <w:t> </w:t>
            </w:r>
            <w:r>
              <w:rPr>
                <w:sz w:val="20"/>
              </w:rPr>
              <w:t>H33.1,</w:t>
            </w:r>
            <w:r>
              <w:rPr>
                <w:spacing w:val="-5"/>
                <w:sz w:val="20"/>
              </w:rPr>
              <w:t> </w:t>
            </w:r>
            <w:r>
              <w:rPr>
                <w:sz w:val="20"/>
              </w:rPr>
              <w:t>H33.2,</w:t>
            </w:r>
            <w:r>
              <w:rPr>
                <w:spacing w:val="-6"/>
                <w:sz w:val="20"/>
              </w:rPr>
              <w:t> </w:t>
            </w:r>
            <w:r>
              <w:rPr>
                <w:spacing w:val="-2"/>
                <w:sz w:val="20"/>
              </w:rPr>
              <w:t>H33.3,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H33.4,</w:t>
            </w:r>
            <w:r>
              <w:rPr>
                <w:spacing w:val="-6"/>
                <w:sz w:val="20"/>
              </w:rPr>
              <w:t> </w:t>
            </w:r>
            <w:r>
              <w:rPr>
                <w:sz w:val="20"/>
              </w:rPr>
              <w:t>H33.5,</w:t>
            </w:r>
            <w:r>
              <w:rPr>
                <w:spacing w:val="-7"/>
                <w:sz w:val="20"/>
              </w:rPr>
              <w:t> </w:t>
            </w:r>
            <w:r>
              <w:rPr>
                <w:sz w:val="20"/>
              </w:rPr>
              <w:t>H34,</w:t>
            </w:r>
            <w:r>
              <w:rPr>
                <w:spacing w:val="-5"/>
                <w:sz w:val="20"/>
              </w:rPr>
              <w:t> </w:t>
            </w:r>
            <w:r>
              <w:rPr>
                <w:sz w:val="20"/>
              </w:rPr>
              <w:t>H34.0,</w:t>
            </w:r>
            <w:r>
              <w:rPr>
                <w:spacing w:val="-5"/>
                <w:sz w:val="20"/>
              </w:rPr>
              <w:t> </w:t>
            </w:r>
            <w:r>
              <w:rPr>
                <w:sz w:val="20"/>
              </w:rPr>
              <w:t>H34.1,</w:t>
            </w:r>
            <w:r>
              <w:rPr>
                <w:spacing w:val="-5"/>
                <w:sz w:val="20"/>
              </w:rPr>
              <w:t> </w:t>
            </w:r>
            <w:r>
              <w:rPr>
                <w:sz w:val="20"/>
              </w:rPr>
              <w:t>H34.2,</w:t>
            </w:r>
            <w:r>
              <w:rPr>
                <w:spacing w:val="-6"/>
                <w:sz w:val="20"/>
              </w:rPr>
              <w:t> </w:t>
            </w:r>
            <w:r>
              <w:rPr>
                <w:spacing w:val="-2"/>
                <w:sz w:val="20"/>
              </w:rPr>
              <w:t>H34.8,</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H34.9,</w:t>
            </w:r>
            <w:r>
              <w:rPr>
                <w:spacing w:val="-5"/>
                <w:sz w:val="20"/>
              </w:rPr>
              <w:t> </w:t>
            </w:r>
            <w:r>
              <w:rPr>
                <w:sz w:val="20"/>
              </w:rPr>
              <w:t>H35,</w:t>
            </w:r>
            <w:r>
              <w:rPr>
                <w:spacing w:val="-5"/>
                <w:sz w:val="20"/>
              </w:rPr>
              <w:t> </w:t>
            </w:r>
            <w:r>
              <w:rPr>
                <w:sz w:val="20"/>
              </w:rPr>
              <w:t>H35.0,</w:t>
            </w:r>
            <w:r>
              <w:rPr>
                <w:spacing w:val="-5"/>
                <w:sz w:val="20"/>
              </w:rPr>
              <w:t> </w:t>
            </w:r>
            <w:r>
              <w:rPr>
                <w:sz w:val="20"/>
              </w:rPr>
              <w:t>H35.1,</w:t>
            </w:r>
            <w:r>
              <w:rPr>
                <w:spacing w:val="-4"/>
                <w:sz w:val="20"/>
              </w:rPr>
              <w:t> </w:t>
            </w:r>
            <w:r>
              <w:rPr>
                <w:sz w:val="20"/>
              </w:rPr>
              <w:t>H35.2,</w:t>
            </w:r>
            <w:r>
              <w:rPr>
                <w:spacing w:val="-5"/>
                <w:sz w:val="20"/>
              </w:rPr>
              <w:t> </w:t>
            </w:r>
            <w:r>
              <w:rPr>
                <w:sz w:val="20"/>
              </w:rPr>
              <w:t>H35.3,</w:t>
            </w:r>
            <w:r>
              <w:rPr>
                <w:spacing w:val="-5"/>
                <w:sz w:val="20"/>
              </w:rPr>
              <w:t> </w:t>
            </w:r>
            <w:r>
              <w:rPr>
                <w:spacing w:val="-2"/>
                <w:sz w:val="20"/>
              </w:rPr>
              <w:t>H35.4,</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5" w:lineRule="exact"/>
              <w:ind w:left="279"/>
              <w:rPr>
                <w:sz w:val="20"/>
              </w:rPr>
            </w:pPr>
            <w:r>
              <w:rPr>
                <w:sz w:val="20"/>
              </w:rPr>
              <w:t>H35.5,</w:t>
            </w:r>
            <w:r>
              <w:rPr>
                <w:spacing w:val="-4"/>
                <w:sz w:val="20"/>
              </w:rPr>
              <w:t> </w:t>
            </w:r>
            <w:r>
              <w:rPr>
                <w:sz w:val="20"/>
              </w:rPr>
              <w:t>H35.6,</w:t>
            </w:r>
            <w:r>
              <w:rPr>
                <w:spacing w:val="-6"/>
                <w:sz w:val="20"/>
              </w:rPr>
              <w:t> </w:t>
            </w:r>
            <w:r>
              <w:rPr>
                <w:sz w:val="20"/>
              </w:rPr>
              <w:t>H35.7,</w:t>
            </w:r>
            <w:r>
              <w:rPr>
                <w:spacing w:val="-4"/>
                <w:sz w:val="20"/>
              </w:rPr>
              <w:t> </w:t>
            </w:r>
            <w:r>
              <w:rPr>
                <w:sz w:val="20"/>
              </w:rPr>
              <w:t>H35.8,</w:t>
            </w:r>
            <w:r>
              <w:rPr>
                <w:spacing w:val="-6"/>
                <w:sz w:val="20"/>
              </w:rPr>
              <w:t> </w:t>
            </w:r>
            <w:r>
              <w:rPr>
                <w:sz w:val="20"/>
              </w:rPr>
              <w:t>H35.9,</w:t>
            </w:r>
            <w:r>
              <w:rPr>
                <w:spacing w:val="-4"/>
                <w:sz w:val="20"/>
              </w:rPr>
              <w:t> </w:t>
            </w:r>
            <w:r>
              <w:rPr>
                <w:sz w:val="20"/>
              </w:rPr>
              <w:t>H36,</w:t>
            </w:r>
            <w:r>
              <w:rPr>
                <w:spacing w:val="-4"/>
                <w:sz w:val="20"/>
              </w:rPr>
              <w:t> </w:t>
            </w:r>
            <w:r>
              <w:rPr>
                <w:spacing w:val="-2"/>
                <w:sz w:val="20"/>
              </w:rPr>
              <w:t>H36.0,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295"/>
        <w:gridCol w:w="2611"/>
        <w:gridCol w:w="4881"/>
        <w:gridCol w:w="1574"/>
        <w:gridCol w:w="1261"/>
      </w:tblGrid>
      <w:tr>
        <w:trPr>
          <w:trHeight w:val="225" w:hRule="atLeast"/>
        </w:trPr>
        <w:tc>
          <w:tcPr>
            <w:tcW w:w="15296" w:type="dxa"/>
            <w:gridSpan w:val="7"/>
          </w:tcPr>
          <w:p>
            <w:pPr>
              <w:pStyle w:val="TableParagraph"/>
              <w:spacing w:line="205" w:lineRule="exact"/>
              <w:ind w:left="4414"/>
              <w:rPr>
                <w:sz w:val="20"/>
              </w:rPr>
            </w:pPr>
            <w:r>
              <w:rPr>
                <w:sz w:val="20"/>
              </w:rPr>
              <w:t>H36.8,</w:t>
            </w:r>
            <w:r>
              <w:rPr>
                <w:spacing w:val="-6"/>
                <w:sz w:val="20"/>
              </w:rPr>
              <w:t> </w:t>
            </w:r>
            <w:r>
              <w:rPr>
                <w:sz w:val="20"/>
              </w:rPr>
              <w:t>H40,</w:t>
            </w:r>
            <w:r>
              <w:rPr>
                <w:spacing w:val="-6"/>
                <w:sz w:val="20"/>
              </w:rPr>
              <w:t> </w:t>
            </w:r>
            <w:r>
              <w:rPr>
                <w:sz w:val="20"/>
              </w:rPr>
              <w:t>H40.0,</w:t>
            </w:r>
            <w:r>
              <w:rPr>
                <w:spacing w:val="-5"/>
                <w:sz w:val="20"/>
              </w:rPr>
              <w:t> </w:t>
            </w:r>
            <w:r>
              <w:rPr>
                <w:sz w:val="20"/>
              </w:rPr>
              <w:t>H40.1,</w:t>
            </w:r>
            <w:r>
              <w:rPr>
                <w:spacing w:val="-6"/>
                <w:sz w:val="20"/>
              </w:rPr>
              <w:t> </w:t>
            </w:r>
            <w:r>
              <w:rPr>
                <w:sz w:val="20"/>
              </w:rPr>
              <w:t>H40.2,</w:t>
            </w:r>
            <w:r>
              <w:rPr>
                <w:spacing w:val="-5"/>
                <w:sz w:val="20"/>
              </w:rPr>
              <w:t> </w:t>
            </w:r>
            <w:r>
              <w:rPr>
                <w:sz w:val="20"/>
              </w:rPr>
              <w:t>H40.3,</w:t>
            </w:r>
            <w:r>
              <w:rPr>
                <w:spacing w:val="-6"/>
                <w:sz w:val="20"/>
              </w:rPr>
              <w:t> </w:t>
            </w:r>
            <w:r>
              <w:rPr>
                <w:spacing w:val="-2"/>
                <w:sz w:val="20"/>
              </w:rPr>
              <w:t>H40.4,</w:t>
            </w:r>
          </w:p>
        </w:tc>
      </w:tr>
      <w:tr>
        <w:trPr>
          <w:trHeight w:val="229" w:hRule="atLeast"/>
        </w:trPr>
        <w:tc>
          <w:tcPr>
            <w:tcW w:w="15296" w:type="dxa"/>
            <w:gridSpan w:val="7"/>
          </w:tcPr>
          <w:p>
            <w:pPr>
              <w:pStyle w:val="TableParagraph"/>
              <w:spacing w:line="209" w:lineRule="exact"/>
              <w:ind w:left="4411"/>
              <w:rPr>
                <w:sz w:val="20"/>
              </w:rPr>
            </w:pPr>
            <w:r>
              <w:rPr>
                <w:sz w:val="20"/>
              </w:rPr>
              <w:t>H40.5,</w:t>
            </w:r>
            <w:r>
              <w:rPr>
                <w:spacing w:val="-4"/>
                <w:sz w:val="20"/>
              </w:rPr>
              <w:t> </w:t>
            </w:r>
            <w:r>
              <w:rPr>
                <w:sz w:val="20"/>
              </w:rPr>
              <w:t>H40.6,</w:t>
            </w:r>
            <w:r>
              <w:rPr>
                <w:spacing w:val="-6"/>
                <w:sz w:val="20"/>
              </w:rPr>
              <w:t> </w:t>
            </w:r>
            <w:r>
              <w:rPr>
                <w:sz w:val="20"/>
              </w:rPr>
              <w:t>H40.8,</w:t>
            </w:r>
            <w:r>
              <w:rPr>
                <w:spacing w:val="-4"/>
                <w:sz w:val="20"/>
              </w:rPr>
              <w:t> </w:t>
            </w:r>
            <w:r>
              <w:rPr>
                <w:sz w:val="20"/>
              </w:rPr>
              <w:t>H40.9,</w:t>
            </w:r>
            <w:r>
              <w:rPr>
                <w:spacing w:val="-6"/>
                <w:sz w:val="20"/>
              </w:rPr>
              <w:t> </w:t>
            </w:r>
            <w:r>
              <w:rPr>
                <w:sz w:val="20"/>
              </w:rPr>
              <w:t>H42,</w:t>
            </w:r>
            <w:r>
              <w:rPr>
                <w:spacing w:val="-4"/>
                <w:sz w:val="20"/>
              </w:rPr>
              <w:t> </w:t>
            </w:r>
            <w:r>
              <w:rPr>
                <w:sz w:val="20"/>
              </w:rPr>
              <w:t>H42.0,</w:t>
            </w:r>
            <w:r>
              <w:rPr>
                <w:spacing w:val="-4"/>
                <w:sz w:val="20"/>
              </w:rPr>
              <w:t> </w:t>
            </w:r>
            <w:r>
              <w:rPr>
                <w:spacing w:val="-2"/>
                <w:sz w:val="20"/>
              </w:rPr>
              <w:t>H42.8,</w:t>
            </w:r>
          </w:p>
        </w:tc>
      </w:tr>
      <w:tr>
        <w:trPr>
          <w:trHeight w:val="229" w:hRule="atLeast"/>
        </w:trPr>
        <w:tc>
          <w:tcPr>
            <w:tcW w:w="15296" w:type="dxa"/>
            <w:gridSpan w:val="7"/>
          </w:tcPr>
          <w:p>
            <w:pPr>
              <w:pStyle w:val="TableParagraph"/>
              <w:spacing w:line="209" w:lineRule="exact"/>
              <w:ind w:left="4414"/>
              <w:rPr>
                <w:sz w:val="20"/>
              </w:rPr>
            </w:pPr>
            <w:r>
              <w:rPr>
                <w:sz w:val="20"/>
              </w:rPr>
              <w:t>H43,</w:t>
            </w:r>
            <w:r>
              <w:rPr>
                <w:spacing w:val="-6"/>
                <w:sz w:val="20"/>
              </w:rPr>
              <w:t> </w:t>
            </w:r>
            <w:r>
              <w:rPr>
                <w:sz w:val="20"/>
              </w:rPr>
              <w:t>H43.0,</w:t>
            </w:r>
            <w:r>
              <w:rPr>
                <w:spacing w:val="-6"/>
                <w:sz w:val="20"/>
              </w:rPr>
              <w:t> </w:t>
            </w:r>
            <w:r>
              <w:rPr>
                <w:sz w:val="20"/>
              </w:rPr>
              <w:t>H43.1,</w:t>
            </w:r>
            <w:r>
              <w:rPr>
                <w:spacing w:val="-5"/>
                <w:sz w:val="20"/>
              </w:rPr>
              <w:t> </w:t>
            </w:r>
            <w:r>
              <w:rPr>
                <w:sz w:val="20"/>
              </w:rPr>
              <w:t>H43.2,</w:t>
            </w:r>
            <w:r>
              <w:rPr>
                <w:spacing w:val="-6"/>
                <w:sz w:val="20"/>
              </w:rPr>
              <w:t> </w:t>
            </w:r>
            <w:r>
              <w:rPr>
                <w:sz w:val="20"/>
              </w:rPr>
              <w:t>H43.3,</w:t>
            </w:r>
            <w:r>
              <w:rPr>
                <w:spacing w:val="-5"/>
                <w:sz w:val="20"/>
              </w:rPr>
              <w:t> </w:t>
            </w:r>
            <w:r>
              <w:rPr>
                <w:sz w:val="20"/>
              </w:rPr>
              <w:t>H43.8,</w:t>
            </w:r>
            <w:r>
              <w:rPr>
                <w:spacing w:val="-6"/>
                <w:sz w:val="20"/>
              </w:rPr>
              <w:t> </w:t>
            </w:r>
            <w:r>
              <w:rPr>
                <w:spacing w:val="-2"/>
                <w:sz w:val="20"/>
              </w:rPr>
              <w:t>H43.9,</w:t>
            </w:r>
          </w:p>
        </w:tc>
      </w:tr>
      <w:tr>
        <w:trPr>
          <w:trHeight w:val="230" w:hRule="atLeast"/>
        </w:trPr>
        <w:tc>
          <w:tcPr>
            <w:tcW w:w="15296" w:type="dxa"/>
            <w:gridSpan w:val="7"/>
          </w:tcPr>
          <w:p>
            <w:pPr>
              <w:pStyle w:val="TableParagraph"/>
              <w:spacing w:line="210" w:lineRule="exact"/>
              <w:ind w:left="4414"/>
              <w:rPr>
                <w:sz w:val="20"/>
              </w:rPr>
            </w:pPr>
            <w:r>
              <w:rPr>
                <w:sz w:val="20"/>
              </w:rPr>
              <w:t>H44,</w:t>
            </w:r>
            <w:r>
              <w:rPr>
                <w:spacing w:val="-6"/>
                <w:sz w:val="20"/>
              </w:rPr>
              <w:t> </w:t>
            </w:r>
            <w:r>
              <w:rPr>
                <w:sz w:val="20"/>
              </w:rPr>
              <w:t>H44.0,</w:t>
            </w:r>
            <w:r>
              <w:rPr>
                <w:spacing w:val="-6"/>
                <w:sz w:val="20"/>
              </w:rPr>
              <w:t> </w:t>
            </w:r>
            <w:r>
              <w:rPr>
                <w:sz w:val="20"/>
              </w:rPr>
              <w:t>H44.1,</w:t>
            </w:r>
            <w:r>
              <w:rPr>
                <w:spacing w:val="-5"/>
                <w:sz w:val="20"/>
              </w:rPr>
              <w:t> </w:t>
            </w:r>
            <w:r>
              <w:rPr>
                <w:sz w:val="20"/>
              </w:rPr>
              <w:t>H44.2,</w:t>
            </w:r>
            <w:r>
              <w:rPr>
                <w:spacing w:val="-6"/>
                <w:sz w:val="20"/>
              </w:rPr>
              <w:t> </w:t>
            </w:r>
            <w:r>
              <w:rPr>
                <w:sz w:val="20"/>
              </w:rPr>
              <w:t>H44.3,</w:t>
            </w:r>
            <w:r>
              <w:rPr>
                <w:spacing w:val="-5"/>
                <w:sz w:val="20"/>
              </w:rPr>
              <w:t> </w:t>
            </w:r>
            <w:r>
              <w:rPr>
                <w:sz w:val="20"/>
              </w:rPr>
              <w:t>H44.4,</w:t>
            </w:r>
            <w:r>
              <w:rPr>
                <w:spacing w:val="-6"/>
                <w:sz w:val="20"/>
              </w:rPr>
              <w:t> </w:t>
            </w:r>
            <w:r>
              <w:rPr>
                <w:spacing w:val="-2"/>
                <w:sz w:val="20"/>
              </w:rPr>
              <w:t>H44.5,</w:t>
            </w:r>
          </w:p>
        </w:tc>
      </w:tr>
      <w:tr>
        <w:trPr>
          <w:trHeight w:val="230" w:hRule="atLeast"/>
        </w:trPr>
        <w:tc>
          <w:tcPr>
            <w:tcW w:w="15296" w:type="dxa"/>
            <w:gridSpan w:val="7"/>
          </w:tcPr>
          <w:p>
            <w:pPr>
              <w:pStyle w:val="TableParagraph"/>
              <w:spacing w:line="210" w:lineRule="exact"/>
              <w:ind w:left="4411"/>
              <w:rPr>
                <w:sz w:val="20"/>
              </w:rPr>
            </w:pPr>
            <w:r>
              <w:rPr>
                <w:sz w:val="20"/>
              </w:rPr>
              <w:t>H44.6,</w:t>
            </w:r>
            <w:r>
              <w:rPr>
                <w:spacing w:val="-4"/>
                <w:sz w:val="20"/>
              </w:rPr>
              <w:t> </w:t>
            </w:r>
            <w:r>
              <w:rPr>
                <w:sz w:val="20"/>
              </w:rPr>
              <w:t>H44.7,</w:t>
            </w:r>
            <w:r>
              <w:rPr>
                <w:spacing w:val="-6"/>
                <w:sz w:val="20"/>
              </w:rPr>
              <w:t> </w:t>
            </w:r>
            <w:r>
              <w:rPr>
                <w:sz w:val="20"/>
              </w:rPr>
              <w:t>H44.8,</w:t>
            </w:r>
            <w:r>
              <w:rPr>
                <w:spacing w:val="-4"/>
                <w:sz w:val="20"/>
              </w:rPr>
              <w:t> </w:t>
            </w:r>
            <w:r>
              <w:rPr>
                <w:sz w:val="20"/>
              </w:rPr>
              <w:t>H44.9,</w:t>
            </w:r>
            <w:r>
              <w:rPr>
                <w:spacing w:val="-5"/>
                <w:sz w:val="20"/>
              </w:rPr>
              <w:t> </w:t>
            </w:r>
            <w:r>
              <w:rPr>
                <w:sz w:val="20"/>
              </w:rPr>
              <w:t>H45,</w:t>
            </w:r>
            <w:r>
              <w:rPr>
                <w:spacing w:val="-4"/>
                <w:sz w:val="20"/>
              </w:rPr>
              <w:t> </w:t>
            </w:r>
            <w:r>
              <w:rPr>
                <w:sz w:val="20"/>
              </w:rPr>
              <w:t>H45.0,</w:t>
            </w:r>
            <w:r>
              <w:rPr>
                <w:spacing w:val="-4"/>
                <w:sz w:val="20"/>
              </w:rPr>
              <w:t> </w:t>
            </w:r>
            <w:r>
              <w:rPr>
                <w:spacing w:val="-2"/>
                <w:sz w:val="20"/>
              </w:rPr>
              <w:t>H45.1,</w:t>
            </w:r>
          </w:p>
        </w:tc>
      </w:tr>
      <w:tr>
        <w:trPr>
          <w:trHeight w:val="230" w:hRule="atLeast"/>
        </w:trPr>
        <w:tc>
          <w:tcPr>
            <w:tcW w:w="15296" w:type="dxa"/>
            <w:gridSpan w:val="7"/>
          </w:tcPr>
          <w:p>
            <w:pPr>
              <w:pStyle w:val="TableParagraph"/>
              <w:spacing w:line="210" w:lineRule="exact"/>
              <w:ind w:left="4488"/>
              <w:rPr>
                <w:sz w:val="20"/>
              </w:rPr>
            </w:pPr>
            <w:r>
              <w:rPr>
                <w:sz w:val="20"/>
              </w:rPr>
              <w:t>H45.8,</w:t>
            </w:r>
            <w:r>
              <w:rPr>
                <w:spacing w:val="-5"/>
                <w:sz w:val="20"/>
              </w:rPr>
              <w:t> </w:t>
            </w:r>
            <w:r>
              <w:rPr>
                <w:sz w:val="20"/>
              </w:rPr>
              <w:t>H46,</w:t>
            </w:r>
            <w:r>
              <w:rPr>
                <w:spacing w:val="-5"/>
                <w:sz w:val="20"/>
              </w:rPr>
              <w:t> </w:t>
            </w:r>
            <w:r>
              <w:rPr>
                <w:sz w:val="20"/>
              </w:rPr>
              <w:t>H47,</w:t>
            </w:r>
            <w:r>
              <w:rPr>
                <w:spacing w:val="-4"/>
                <w:sz w:val="20"/>
              </w:rPr>
              <w:t> </w:t>
            </w:r>
            <w:r>
              <w:rPr>
                <w:sz w:val="20"/>
              </w:rPr>
              <w:t>H47.0,</w:t>
            </w:r>
            <w:r>
              <w:rPr>
                <w:spacing w:val="-5"/>
                <w:sz w:val="20"/>
              </w:rPr>
              <w:t> </w:t>
            </w:r>
            <w:r>
              <w:rPr>
                <w:sz w:val="20"/>
              </w:rPr>
              <w:t>H47.1,</w:t>
            </w:r>
            <w:r>
              <w:rPr>
                <w:spacing w:val="-5"/>
                <w:sz w:val="20"/>
              </w:rPr>
              <w:t> </w:t>
            </w:r>
            <w:r>
              <w:rPr>
                <w:sz w:val="20"/>
              </w:rPr>
              <w:t>H47.2,</w:t>
            </w:r>
            <w:r>
              <w:rPr>
                <w:spacing w:val="-4"/>
                <w:sz w:val="20"/>
              </w:rPr>
              <w:t> </w:t>
            </w:r>
            <w:r>
              <w:rPr>
                <w:spacing w:val="-2"/>
                <w:sz w:val="20"/>
              </w:rPr>
              <w:t>H47.3,</w:t>
            </w:r>
          </w:p>
        </w:tc>
      </w:tr>
      <w:tr>
        <w:trPr>
          <w:trHeight w:val="230" w:hRule="atLeast"/>
        </w:trPr>
        <w:tc>
          <w:tcPr>
            <w:tcW w:w="15296" w:type="dxa"/>
            <w:gridSpan w:val="7"/>
          </w:tcPr>
          <w:p>
            <w:pPr>
              <w:pStyle w:val="TableParagraph"/>
              <w:spacing w:line="211" w:lineRule="exact"/>
              <w:ind w:left="4411"/>
              <w:rPr>
                <w:sz w:val="20"/>
              </w:rPr>
            </w:pPr>
            <w:r>
              <w:rPr>
                <w:sz w:val="20"/>
              </w:rPr>
              <w:t>H47.4,</w:t>
            </w:r>
            <w:r>
              <w:rPr>
                <w:spacing w:val="-4"/>
                <w:sz w:val="20"/>
              </w:rPr>
              <w:t> </w:t>
            </w:r>
            <w:r>
              <w:rPr>
                <w:sz w:val="20"/>
              </w:rPr>
              <w:t>H47.5,</w:t>
            </w:r>
            <w:r>
              <w:rPr>
                <w:spacing w:val="-6"/>
                <w:sz w:val="20"/>
              </w:rPr>
              <w:t> </w:t>
            </w:r>
            <w:r>
              <w:rPr>
                <w:sz w:val="20"/>
              </w:rPr>
              <w:t>H47.6,</w:t>
            </w:r>
            <w:r>
              <w:rPr>
                <w:spacing w:val="-4"/>
                <w:sz w:val="20"/>
              </w:rPr>
              <w:t> </w:t>
            </w:r>
            <w:r>
              <w:rPr>
                <w:sz w:val="20"/>
              </w:rPr>
              <w:t>H47.7,</w:t>
            </w:r>
            <w:r>
              <w:rPr>
                <w:spacing w:val="-6"/>
                <w:sz w:val="20"/>
              </w:rPr>
              <w:t> </w:t>
            </w:r>
            <w:r>
              <w:rPr>
                <w:sz w:val="20"/>
              </w:rPr>
              <w:t>H48,</w:t>
            </w:r>
            <w:r>
              <w:rPr>
                <w:spacing w:val="-4"/>
                <w:sz w:val="20"/>
              </w:rPr>
              <w:t> </w:t>
            </w:r>
            <w:r>
              <w:rPr>
                <w:sz w:val="20"/>
              </w:rPr>
              <w:t>H48.0,</w:t>
            </w:r>
            <w:r>
              <w:rPr>
                <w:spacing w:val="-4"/>
                <w:sz w:val="20"/>
              </w:rPr>
              <w:t> </w:t>
            </w:r>
            <w:r>
              <w:rPr>
                <w:spacing w:val="-2"/>
                <w:sz w:val="20"/>
              </w:rPr>
              <w:t>H48.1,</w:t>
            </w:r>
          </w:p>
        </w:tc>
      </w:tr>
      <w:tr>
        <w:trPr>
          <w:trHeight w:val="229" w:hRule="atLeast"/>
        </w:trPr>
        <w:tc>
          <w:tcPr>
            <w:tcW w:w="15296" w:type="dxa"/>
            <w:gridSpan w:val="7"/>
          </w:tcPr>
          <w:p>
            <w:pPr>
              <w:pStyle w:val="TableParagraph"/>
              <w:spacing w:line="210" w:lineRule="exact"/>
              <w:ind w:left="4414"/>
              <w:rPr>
                <w:sz w:val="20"/>
              </w:rPr>
            </w:pPr>
            <w:r>
              <w:rPr>
                <w:sz w:val="20"/>
              </w:rPr>
              <w:t>H48.8,</w:t>
            </w:r>
            <w:r>
              <w:rPr>
                <w:spacing w:val="-6"/>
                <w:sz w:val="20"/>
              </w:rPr>
              <w:t> </w:t>
            </w:r>
            <w:r>
              <w:rPr>
                <w:sz w:val="20"/>
              </w:rPr>
              <w:t>H49,</w:t>
            </w:r>
            <w:r>
              <w:rPr>
                <w:spacing w:val="-6"/>
                <w:sz w:val="20"/>
              </w:rPr>
              <w:t> </w:t>
            </w:r>
            <w:r>
              <w:rPr>
                <w:sz w:val="20"/>
              </w:rPr>
              <w:t>H49.0,</w:t>
            </w:r>
            <w:r>
              <w:rPr>
                <w:spacing w:val="-5"/>
                <w:sz w:val="20"/>
              </w:rPr>
              <w:t> </w:t>
            </w:r>
            <w:r>
              <w:rPr>
                <w:sz w:val="20"/>
              </w:rPr>
              <w:t>H49.1,</w:t>
            </w:r>
            <w:r>
              <w:rPr>
                <w:spacing w:val="-6"/>
                <w:sz w:val="20"/>
              </w:rPr>
              <w:t> </w:t>
            </w:r>
            <w:r>
              <w:rPr>
                <w:sz w:val="20"/>
              </w:rPr>
              <w:t>H49.2,</w:t>
            </w:r>
            <w:r>
              <w:rPr>
                <w:spacing w:val="-5"/>
                <w:sz w:val="20"/>
              </w:rPr>
              <w:t> </w:t>
            </w:r>
            <w:r>
              <w:rPr>
                <w:sz w:val="20"/>
              </w:rPr>
              <w:t>H49.3,</w:t>
            </w:r>
            <w:r>
              <w:rPr>
                <w:spacing w:val="-6"/>
                <w:sz w:val="20"/>
              </w:rPr>
              <w:t> </w:t>
            </w:r>
            <w:r>
              <w:rPr>
                <w:spacing w:val="-2"/>
                <w:sz w:val="20"/>
              </w:rPr>
              <w:t>H49.4,</w:t>
            </w:r>
          </w:p>
        </w:tc>
      </w:tr>
      <w:tr>
        <w:trPr>
          <w:trHeight w:val="229" w:hRule="atLeast"/>
        </w:trPr>
        <w:tc>
          <w:tcPr>
            <w:tcW w:w="15296" w:type="dxa"/>
            <w:gridSpan w:val="7"/>
          </w:tcPr>
          <w:p>
            <w:pPr>
              <w:pStyle w:val="TableParagraph"/>
              <w:spacing w:line="209" w:lineRule="exact"/>
              <w:ind w:left="4414"/>
              <w:rPr>
                <w:sz w:val="20"/>
              </w:rPr>
            </w:pPr>
            <w:r>
              <w:rPr>
                <w:sz w:val="20"/>
              </w:rPr>
              <w:t>H49.8,</w:t>
            </w:r>
            <w:r>
              <w:rPr>
                <w:spacing w:val="-6"/>
                <w:sz w:val="20"/>
              </w:rPr>
              <w:t> </w:t>
            </w:r>
            <w:r>
              <w:rPr>
                <w:sz w:val="20"/>
              </w:rPr>
              <w:t>H49.9,</w:t>
            </w:r>
            <w:r>
              <w:rPr>
                <w:spacing w:val="-7"/>
                <w:sz w:val="20"/>
              </w:rPr>
              <w:t> </w:t>
            </w:r>
            <w:r>
              <w:rPr>
                <w:sz w:val="20"/>
              </w:rPr>
              <w:t>H50,</w:t>
            </w:r>
            <w:r>
              <w:rPr>
                <w:spacing w:val="-5"/>
                <w:sz w:val="20"/>
              </w:rPr>
              <w:t> </w:t>
            </w:r>
            <w:r>
              <w:rPr>
                <w:sz w:val="20"/>
              </w:rPr>
              <w:t>H50.0,</w:t>
            </w:r>
            <w:r>
              <w:rPr>
                <w:spacing w:val="-5"/>
                <w:sz w:val="20"/>
              </w:rPr>
              <w:t> </w:t>
            </w:r>
            <w:r>
              <w:rPr>
                <w:sz w:val="20"/>
              </w:rPr>
              <w:t>H50.1,</w:t>
            </w:r>
            <w:r>
              <w:rPr>
                <w:spacing w:val="-5"/>
                <w:sz w:val="20"/>
              </w:rPr>
              <w:t> </w:t>
            </w:r>
            <w:r>
              <w:rPr>
                <w:sz w:val="20"/>
              </w:rPr>
              <w:t>H50.2,</w:t>
            </w:r>
            <w:r>
              <w:rPr>
                <w:spacing w:val="-6"/>
                <w:sz w:val="20"/>
              </w:rPr>
              <w:t> </w:t>
            </w:r>
            <w:r>
              <w:rPr>
                <w:spacing w:val="-2"/>
                <w:sz w:val="20"/>
              </w:rPr>
              <w:t>H50.3,</w:t>
            </w:r>
          </w:p>
        </w:tc>
      </w:tr>
      <w:tr>
        <w:trPr>
          <w:trHeight w:val="230" w:hRule="atLeast"/>
        </w:trPr>
        <w:tc>
          <w:tcPr>
            <w:tcW w:w="15296" w:type="dxa"/>
            <w:gridSpan w:val="7"/>
          </w:tcPr>
          <w:p>
            <w:pPr>
              <w:pStyle w:val="TableParagraph"/>
              <w:spacing w:line="210" w:lineRule="exact"/>
              <w:ind w:left="4411"/>
              <w:rPr>
                <w:sz w:val="20"/>
              </w:rPr>
            </w:pPr>
            <w:r>
              <w:rPr>
                <w:sz w:val="20"/>
              </w:rPr>
              <w:t>H50.4,</w:t>
            </w:r>
            <w:r>
              <w:rPr>
                <w:spacing w:val="-4"/>
                <w:sz w:val="20"/>
              </w:rPr>
              <w:t> </w:t>
            </w:r>
            <w:r>
              <w:rPr>
                <w:sz w:val="20"/>
              </w:rPr>
              <w:t>H50.5,</w:t>
            </w:r>
            <w:r>
              <w:rPr>
                <w:spacing w:val="-5"/>
                <w:sz w:val="20"/>
              </w:rPr>
              <w:t> </w:t>
            </w:r>
            <w:r>
              <w:rPr>
                <w:sz w:val="20"/>
              </w:rPr>
              <w:t>H50.6,</w:t>
            </w:r>
            <w:r>
              <w:rPr>
                <w:spacing w:val="-3"/>
                <w:sz w:val="20"/>
              </w:rPr>
              <w:t> </w:t>
            </w:r>
            <w:r>
              <w:rPr>
                <w:sz w:val="20"/>
              </w:rPr>
              <w:t>H50.8,</w:t>
            </w:r>
            <w:r>
              <w:rPr>
                <w:spacing w:val="-5"/>
                <w:sz w:val="20"/>
              </w:rPr>
              <w:t> </w:t>
            </w:r>
            <w:r>
              <w:rPr>
                <w:sz w:val="20"/>
              </w:rPr>
              <w:t>H50.9,</w:t>
            </w:r>
            <w:r>
              <w:rPr>
                <w:spacing w:val="-3"/>
                <w:sz w:val="20"/>
              </w:rPr>
              <w:t> </w:t>
            </w:r>
            <w:r>
              <w:rPr>
                <w:sz w:val="20"/>
              </w:rPr>
              <w:t>H51,</w:t>
            </w:r>
            <w:r>
              <w:rPr>
                <w:spacing w:val="-4"/>
                <w:sz w:val="20"/>
              </w:rPr>
              <w:t> </w:t>
            </w:r>
            <w:r>
              <w:rPr>
                <w:spacing w:val="-2"/>
                <w:sz w:val="20"/>
              </w:rPr>
              <w:t>H51.0,</w:t>
            </w:r>
          </w:p>
        </w:tc>
      </w:tr>
      <w:tr>
        <w:trPr>
          <w:trHeight w:val="230" w:hRule="atLeast"/>
        </w:trPr>
        <w:tc>
          <w:tcPr>
            <w:tcW w:w="15296" w:type="dxa"/>
            <w:gridSpan w:val="7"/>
          </w:tcPr>
          <w:p>
            <w:pPr>
              <w:pStyle w:val="TableParagraph"/>
              <w:spacing w:line="210" w:lineRule="exact"/>
              <w:ind w:left="4411"/>
              <w:rPr>
                <w:sz w:val="20"/>
              </w:rPr>
            </w:pPr>
            <w:r>
              <w:rPr>
                <w:sz w:val="20"/>
              </w:rPr>
              <w:t>H51.1,</w:t>
            </w:r>
            <w:r>
              <w:rPr>
                <w:spacing w:val="-4"/>
                <w:sz w:val="20"/>
              </w:rPr>
              <w:t> </w:t>
            </w:r>
            <w:r>
              <w:rPr>
                <w:sz w:val="20"/>
              </w:rPr>
              <w:t>H51.2,</w:t>
            </w:r>
            <w:r>
              <w:rPr>
                <w:spacing w:val="-6"/>
                <w:sz w:val="20"/>
              </w:rPr>
              <w:t> </w:t>
            </w:r>
            <w:r>
              <w:rPr>
                <w:sz w:val="20"/>
              </w:rPr>
              <w:t>H51.8,</w:t>
            </w:r>
            <w:r>
              <w:rPr>
                <w:spacing w:val="-4"/>
                <w:sz w:val="20"/>
              </w:rPr>
              <w:t> </w:t>
            </w:r>
            <w:r>
              <w:rPr>
                <w:sz w:val="20"/>
              </w:rPr>
              <w:t>H51.9,</w:t>
            </w:r>
            <w:r>
              <w:rPr>
                <w:spacing w:val="-6"/>
                <w:sz w:val="20"/>
              </w:rPr>
              <w:t> </w:t>
            </w:r>
            <w:r>
              <w:rPr>
                <w:sz w:val="20"/>
              </w:rPr>
              <w:t>H52,</w:t>
            </w:r>
            <w:r>
              <w:rPr>
                <w:spacing w:val="-4"/>
                <w:sz w:val="20"/>
              </w:rPr>
              <w:t> </w:t>
            </w:r>
            <w:r>
              <w:rPr>
                <w:sz w:val="20"/>
              </w:rPr>
              <w:t>H52.0,</w:t>
            </w:r>
            <w:r>
              <w:rPr>
                <w:spacing w:val="-4"/>
                <w:sz w:val="20"/>
              </w:rPr>
              <w:t> </w:t>
            </w:r>
            <w:r>
              <w:rPr>
                <w:spacing w:val="-2"/>
                <w:sz w:val="20"/>
              </w:rPr>
              <w:t>H52.1,</w:t>
            </w:r>
          </w:p>
        </w:tc>
      </w:tr>
      <w:tr>
        <w:trPr>
          <w:trHeight w:val="230" w:hRule="atLeast"/>
        </w:trPr>
        <w:tc>
          <w:tcPr>
            <w:tcW w:w="15296" w:type="dxa"/>
            <w:gridSpan w:val="7"/>
          </w:tcPr>
          <w:p>
            <w:pPr>
              <w:pStyle w:val="TableParagraph"/>
              <w:spacing w:line="210" w:lineRule="exact"/>
              <w:ind w:left="4411"/>
              <w:rPr>
                <w:sz w:val="20"/>
              </w:rPr>
            </w:pPr>
            <w:r>
              <w:rPr>
                <w:sz w:val="20"/>
              </w:rPr>
              <w:t>H52.2,</w:t>
            </w:r>
            <w:r>
              <w:rPr>
                <w:spacing w:val="-5"/>
                <w:sz w:val="20"/>
              </w:rPr>
              <w:t> </w:t>
            </w:r>
            <w:r>
              <w:rPr>
                <w:sz w:val="20"/>
              </w:rPr>
              <w:t>H52.3,</w:t>
            </w:r>
            <w:r>
              <w:rPr>
                <w:spacing w:val="-5"/>
                <w:sz w:val="20"/>
              </w:rPr>
              <w:t> </w:t>
            </w:r>
            <w:r>
              <w:rPr>
                <w:sz w:val="20"/>
              </w:rPr>
              <w:t>H52.4,</w:t>
            </w:r>
            <w:r>
              <w:rPr>
                <w:spacing w:val="-4"/>
                <w:sz w:val="20"/>
              </w:rPr>
              <w:t> </w:t>
            </w:r>
            <w:r>
              <w:rPr>
                <w:sz w:val="20"/>
              </w:rPr>
              <w:t>H52.5,</w:t>
            </w:r>
            <w:r>
              <w:rPr>
                <w:spacing w:val="-6"/>
                <w:sz w:val="20"/>
              </w:rPr>
              <w:t> </w:t>
            </w:r>
            <w:r>
              <w:rPr>
                <w:sz w:val="20"/>
              </w:rPr>
              <w:t>H52.6,</w:t>
            </w:r>
            <w:r>
              <w:rPr>
                <w:spacing w:val="-4"/>
                <w:sz w:val="20"/>
              </w:rPr>
              <w:t> </w:t>
            </w:r>
            <w:r>
              <w:rPr>
                <w:sz w:val="20"/>
              </w:rPr>
              <w:t>H52.7,</w:t>
            </w:r>
            <w:r>
              <w:rPr>
                <w:spacing w:val="-6"/>
                <w:sz w:val="20"/>
              </w:rPr>
              <w:t> </w:t>
            </w:r>
            <w:r>
              <w:rPr>
                <w:spacing w:val="-4"/>
                <w:sz w:val="20"/>
              </w:rPr>
              <w:t>H53,</w:t>
            </w:r>
          </w:p>
        </w:tc>
      </w:tr>
      <w:tr>
        <w:trPr>
          <w:trHeight w:val="230" w:hRule="atLeast"/>
        </w:trPr>
        <w:tc>
          <w:tcPr>
            <w:tcW w:w="15296" w:type="dxa"/>
            <w:gridSpan w:val="7"/>
          </w:tcPr>
          <w:p>
            <w:pPr>
              <w:pStyle w:val="TableParagraph"/>
              <w:spacing w:line="210" w:lineRule="exact"/>
              <w:ind w:left="4635"/>
              <w:rPr>
                <w:sz w:val="20"/>
              </w:rPr>
            </w:pPr>
            <w:r>
              <w:rPr>
                <w:sz w:val="20"/>
              </w:rPr>
              <w:t>H53.0,</w:t>
            </w:r>
            <w:r>
              <w:rPr>
                <w:spacing w:val="-4"/>
                <w:sz w:val="20"/>
              </w:rPr>
              <w:t> </w:t>
            </w:r>
            <w:r>
              <w:rPr>
                <w:sz w:val="20"/>
              </w:rPr>
              <w:t>H53.1,</w:t>
            </w:r>
            <w:r>
              <w:rPr>
                <w:spacing w:val="-6"/>
                <w:sz w:val="20"/>
              </w:rPr>
              <w:t> </w:t>
            </w:r>
            <w:r>
              <w:rPr>
                <w:sz w:val="20"/>
              </w:rPr>
              <w:t>H53.2,</w:t>
            </w:r>
            <w:r>
              <w:rPr>
                <w:spacing w:val="-4"/>
                <w:sz w:val="20"/>
              </w:rPr>
              <w:t> </w:t>
            </w:r>
            <w:r>
              <w:rPr>
                <w:sz w:val="20"/>
              </w:rPr>
              <w:t>H53.3,</w:t>
            </w:r>
            <w:r>
              <w:rPr>
                <w:spacing w:val="-6"/>
                <w:sz w:val="20"/>
              </w:rPr>
              <w:t> </w:t>
            </w:r>
            <w:r>
              <w:rPr>
                <w:sz w:val="20"/>
              </w:rPr>
              <w:t>H53.4,</w:t>
            </w:r>
            <w:r>
              <w:rPr>
                <w:spacing w:val="-4"/>
                <w:sz w:val="20"/>
              </w:rPr>
              <w:t> </w:t>
            </w:r>
            <w:r>
              <w:rPr>
                <w:spacing w:val="-2"/>
                <w:sz w:val="20"/>
              </w:rPr>
              <w:t>H53.5,</w:t>
            </w:r>
          </w:p>
        </w:tc>
      </w:tr>
      <w:tr>
        <w:trPr>
          <w:trHeight w:val="229" w:hRule="atLeast"/>
        </w:trPr>
        <w:tc>
          <w:tcPr>
            <w:tcW w:w="15296" w:type="dxa"/>
            <w:gridSpan w:val="7"/>
          </w:tcPr>
          <w:p>
            <w:pPr>
              <w:pStyle w:val="TableParagraph"/>
              <w:spacing w:line="209" w:lineRule="exact"/>
              <w:ind w:left="4414"/>
              <w:rPr>
                <w:sz w:val="20"/>
              </w:rPr>
            </w:pPr>
            <w:r>
              <w:rPr>
                <w:sz w:val="20"/>
              </w:rPr>
              <w:t>H53.6,</w:t>
            </w:r>
            <w:r>
              <w:rPr>
                <w:spacing w:val="-6"/>
                <w:sz w:val="20"/>
              </w:rPr>
              <w:t> </w:t>
            </w:r>
            <w:r>
              <w:rPr>
                <w:sz w:val="20"/>
              </w:rPr>
              <w:t>H53.8,</w:t>
            </w:r>
            <w:r>
              <w:rPr>
                <w:spacing w:val="-6"/>
                <w:sz w:val="20"/>
              </w:rPr>
              <w:t> </w:t>
            </w:r>
            <w:r>
              <w:rPr>
                <w:sz w:val="20"/>
              </w:rPr>
              <w:t>H53.9,</w:t>
            </w:r>
            <w:r>
              <w:rPr>
                <w:spacing w:val="-5"/>
                <w:sz w:val="20"/>
              </w:rPr>
              <w:t> </w:t>
            </w:r>
            <w:r>
              <w:rPr>
                <w:sz w:val="20"/>
              </w:rPr>
              <w:t>H54,</w:t>
            </w:r>
            <w:r>
              <w:rPr>
                <w:spacing w:val="-6"/>
                <w:sz w:val="20"/>
              </w:rPr>
              <w:t> </w:t>
            </w:r>
            <w:r>
              <w:rPr>
                <w:sz w:val="20"/>
              </w:rPr>
              <w:t>H54.0,</w:t>
            </w:r>
            <w:r>
              <w:rPr>
                <w:spacing w:val="-5"/>
                <w:sz w:val="20"/>
              </w:rPr>
              <w:t> </w:t>
            </w:r>
            <w:r>
              <w:rPr>
                <w:sz w:val="20"/>
              </w:rPr>
              <w:t>H54.1,</w:t>
            </w:r>
            <w:r>
              <w:rPr>
                <w:spacing w:val="-5"/>
                <w:sz w:val="20"/>
              </w:rPr>
              <w:t> </w:t>
            </w:r>
            <w:r>
              <w:rPr>
                <w:spacing w:val="-2"/>
                <w:sz w:val="20"/>
              </w:rPr>
              <w:t>H54.2,</w:t>
            </w:r>
          </w:p>
        </w:tc>
      </w:tr>
      <w:tr>
        <w:trPr>
          <w:trHeight w:val="229" w:hRule="atLeast"/>
        </w:trPr>
        <w:tc>
          <w:tcPr>
            <w:tcW w:w="15296" w:type="dxa"/>
            <w:gridSpan w:val="7"/>
          </w:tcPr>
          <w:p>
            <w:pPr>
              <w:pStyle w:val="TableParagraph"/>
              <w:spacing w:line="209" w:lineRule="exact"/>
              <w:ind w:left="4488"/>
              <w:rPr>
                <w:sz w:val="20"/>
              </w:rPr>
            </w:pPr>
            <w:r>
              <w:rPr>
                <w:sz w:val="20"/>
              </w:rPr>
              <w:t>H54.3,</w:t>
            </w:r>
            <w:r>
              <w:rPr>
                <w:spacing w:val="-4"/>
                <w:sz w:val="20"/>
              </w:rPr>
              <w:t> </w:t>
            </w:r>
            <w:r>
              <w:rPr>
                <w:sz w:val="20"/>
              </w:rPr>
              <w:t>H54.4,</w:t>
            </w:r>
            <w:r>
              <w:rPr>
                <w:spacing w:val="-6"/>
                <w:sz w:val="20"/>
              </w:rPr>
              <w:t> </w:t>
            </w:r>
            <w:r>
              <w:rPr>
                <w:sz w:val="20"/>
              </w:rPr>
              <w:t>H54.5,</w:t>
            </w:r>
            <w:r>
              <w:rPr>
                <w:spacing w:val="-4"/>
                <w:sz w:val="20"/>
              </w:rPr>
              <w:t> </w:t>
            </w:r>
            <w:r>
              <w:rPr>
                <w:sz w:val="20"/>
              </w:rPr>
              <w:t>H54.6,</w:t>
            </w:r>
            <w:r>
              <w:rPr>
                <w:spacing w:val="-6"/>
                <w:sz w:val="20"/>
              </w:rPr>
              <w:t> </w:t>
            </w:r>
            <w:r>
              <w:rPr>
                <w:sz w:val="20"/>
              </w:rPr>
              <w:t>H54.9,</w:t>
            </w:r>
            <w:r>
              <w:rPr>
                <w:spacing w:val="-4"/>
                <w:sz w:val="20"/>
              </w:rPr>
              <w:t> </w:t>
            </w:r>
            <w:r>
              <w:rPr>
                <w:sz w:val="20"/>
              </w:rPr>
              <w:t>H55,</w:t>
            </w:r>
            <w:r>
              <w:rPr>
                <w:spacing w:val="-4"/>
                <w:sz w:val="20"/>
              </w:rPr>
              <w:t> H57,</w:t>
            </w:r>
          </w:p>
        </w:tc>
      </w:tr>
      <w:tr>
        <w:trPr>
          <w:trHeight w:val="230" w:hRule="atLeast"/>
        </w:trPr>
        <w:tc>
          <w:tcPr>
            <w:tcW w:w="15296" w:type="dxa"/>
            <w:gridSpan w:val="7"/>
          </w:tcPr>
          <w:p>
            <w:pPr>
              <w:pStyle w:val="TableParagraph"/>
              <w:spacing w:line="210" w:lineRule="exact"/>
              <w:ind w:left="4411"/>
              <w:rPr>
                <w:sz w:val="20"/>
              </w:rPr>
            </w:pPr>
            <w:r>
              <w:rPr>
                <w:sz w:val="20"/>
              </w:rPr>
              <w:t>H57.0,</w:t>
            </w:r>
            <w:r>
              <w:rPr>
                <w:spacing w:val="-4"/>
                <w:sz w:val="20"/>
              </w:rPr>
              <w:t> </w:t>
            </w:r>
            <w:r>
              <w:rPr>
                <w:sz w:val="20"/>
              </w:rPr>
              <w:t>H57.1,</w:t>
            </w:r>
            <w:r>
              <w:rPr>
                <w:spacing w:val="-4"/>
                <w:sz w:val="20"/>
              </w:rPr>
              <w:t> </w:t>
            </w:r>
            <w:r>
              <w:rPr>
                <w:sz w:val="20"/>
              </w:rPr>
              <w:t>H57.8,</w:t>
            </w:r>
            <w:r>
              <w:rPr>
                <w:spacing w:val="-4"/>
                <w:sz w:val="20"/>
              </w:rPr>
              <w:t> </w:t>
            </w:r>
            <w:r>
              <w:rPr>
                <w:sz w:val="20"/>
              </w:rPr>
              <w:t>H57.9,</w:t>
            </w:r>
            <w:r>
              <w:rPr>
                <w:spacing w:val="-6"/>
                <w:sz w:val="20"/>
              </w:rPr>
              <w:t> </w:t>
            </w:r>
            <w:r>
              <w:rPr>
                <w:sz w:val="20"/>
              </w:rPr>
              <w:t>H58,</w:t>
            </w:r>
            <w:r>
              <w:rPr>
                <w:spacing w:val="-4"/>
                <w:sz w:val="20"/>
              </w:rPr>
              <w:t> </w:t>
            </w:r>
            <w:r>
              <w:rPr>
                <w:sz w:val="20"/>
              </w:rPr>
              <w:t>H58.0,</w:t>
            </w:r>
            <w:r>
              <w:rPr>
                <w:spacing w:val="-4"/>
                <w:sz w:val="20"/>
              </w:rPr>
              <w:t> </w:t>
            </w:r>
            <w:r>
              <w:rPr>
                <w:spacing w:val="-2"/>
                <w:sz w:val="20"/>
              </w:rPr>
              <w:t>H58.1,</w:t>
            </w:r>
          </w:p>
        </w:tc>
      </w:tr>
      <w:tr>
        <w:trPr>
          <w:trHeight w:val="230" w:hRule="atLeast"/>
        </w:trPr>
        <w:tc>
          <w:tcPr>
            <w:tcW w:w="15296" w:type="dxa"/>
            <w:gridSpan w:val="7"/>
          </w:tcPr>
          <w:p>
            <w:pPr>
              <w:pStyle w:val="TableParagraph"/>
              <w:spacing w:line="210" w:lineRule="exact"/>
              <w:ind w:left="4505"/>
              <w:rPr>
                <w:sz w:val="20"/>
              </w:rPr>
            </w:pPr>
            <w:r>
              <w:rPr>
                <w:sz w:val="20"/>
              </w:rPr>
              <w:t>H58.8,</w:t>
            </w:r>
            <w:r>
              <w:rPr>
                <w:spacing w:val="-5"/>
                <w:sz w:val="20"/>
              </w:rPr>
              <w:t> </w:t>
            </w:r>
            <w:r>
              <w:rPr>
                <w:sz w:val="20"/>
              </w:rPr>
              <w:t>H59,</w:t>
            </w:r>
            <w:r>
              <w:rPr>
                <w:spacing w:val="-5"/>
                <w:sz w:val="20"/>
              </w:rPr>
              <w:t> </w:t>
            </w:r>
            <w:r>
              <w:rPr>
                <w:sz w:val="20"/>
              </w:rPr>
              <w:t>H59.0,</w:t>
            </w:r>
            <w:r>
              <w:rPr>
                <w:spacing w:val="-5"/>
                <w:sz w:val="20"/>
              </w:rPr>
              <w:t> </w:t>
            </w:r>
            <w:r>
              <w:rPr>
                <w:sz w:val="20"/>
              </w:rPr>
              <w:t>H59.8,</w:t>
            </w:r>
            <w:r>
              <w:rPr>
                <w:spacing w:val="-5"/>
                <w:sz w:val="20"/>
              </w:rPr>
              <w:t> </w:t>
            </w:r>
            <w:r>
              <w:rPr>
                <w:sz w:val="20"/>
              </w:rPr>
              <w:t>H59.9,</w:t>
            </w:r>
            <w:r>
              <w:rPr>
                <w:spacing w:val="-7"/>
                <w:sz w:val="20"/>
              </w:rPr>
              <w:t> </w:t>
            </w:r>
            <w:r>
              <w:rPr>
                <w:sz w:val="20"/>
              </w:rPr>
              <w:t>P39.1,</w:t>
            </w:r>
            <w:r>
              <w:rPr>
                <w:spacing w:val="-6"/>
                <w:sz w:val="20"/>
              </w:rPr>
              <w:t> </w:t>
            </w:r>
            <w:r>
              <w:rPr>
                <w:spacing w:val="-4"/>
                <w:sz w:val="20"/>
              </w:rPr>
              <w:t>Q10,</w:t>
            </w:r>
          </w:p>
        </w:tc>
      </w:tr>
      <w:tr>
        <w:trPr>
          <w:trHeight w:val="230" w:hRule="atLeast"/>
        </w:trPr>
        <w:tc>
          <w:tcPr>
            <w:tcW w:w="15296" w:type="dxa"/>
            <w:gridSpan w:val="7"/>
          </w:tcPr>
          <w:p>
            <w:pPr>
              <w:pStyle w:val="TableParagraph"/>
              <w:spacing w:line="211" w:lineRule="exact"/>
              <w:ind w:left="4635"/>
              <w:rPr>
                <w:sz w:val="20"/>
              </w:rPr>
            </w:pPr>
            <w:r>
              <w:rPr>
                <w:sz w:val="20"/>
              </w:rPr>
              <w:t>Q10.0,</w:t>
            </w:r>
            <w:r>
              <w:rPr>
                <w:spacing w:val="-4"/>
                <w:sz w:val="20"/>
              </w:rPr>
              <w:t> </w:t>
            </w:r>
            <w:r>
              <w:rPr>
                <w:sz w:val="20"/>
              </w:rPr>
              <w:t>Q10.1,</w:t>
            </w:r>
            <w:r>
              <w:rPr>
                <w:spacing w:val="-6"/>
                <w:sz w:val="20"/>
              </w:rPr>
              <w:t> </w:t>
            </w:r>
            <w:r>
              <w:rPr>
                <w:sz w:val="20"/>
              </w:rPr>
              <w:t>Q10.2,</w:t>
            </w:r>
            <w:r>
              <w:rPr>
                <w:spacing w:val="-4"/>
                <w:sz w:val="20"/>
              </w:rPr>
              <w:t> </w:t>
            </w:r>
            <w:r>
              <w:rPr>
                <w:sz w:val="20"/>
              </w:rPr>
              <w:t>Q10.3,</w:t>
            </w:r>
            <w:r>
              <w:rPr>
                <w:spacing w:val="-6"/>
                <w:sz w:val="20"/>
              </w:rPr>
              <w:t> </w:t>
            </w:r>
            <w:r>
              <w:rPr>
                <w:sz w:val="20"/>
              </w:rPr>
              <w:t>Q10.4,</w:t>
            </w:r>
            <w:r>
              <w:rPr>
                <w:spacing w:val="-4"/>
                <w:sz w:val="20"/>
              </w:rPr>
              <w:t> </w:t>
            </w:r>
            <w:r>
              <w:rPr>
                <w:spacing w:val="-2"/>
                <w:sz w:val="20"/>
              </w:rPr>
              <w:t>Q10.5,</w:t>
            </w:r>
          </w:p>
        </w:tc>
      </w:tr>
      <w:tr>
        <w:trPr>
          <w:trHeight w:val="230" w:hRule="atLeast"/>
        </w:trPr>
        <w:tc>
          <w:tcPr>
            <w:tcW w:w="15296" w:type="dxa"/>
            <w:gridSpan w:val="7"/>
          </w:tcPr>
          <w:p>
            <w:pPr>
              <w:pStyle w:val="TableParagraph"/>
              <w:spacing w:line="211" w:lineRule="exact"/>
              <w:ind w:left="4414"/>
              <w:rPr>
                <w:sz w:val="20"/>
              </w:rPr>
            </w:pPr>
            <w:r>
              <w:rPr>
                <w:sz w:val="20"/>
              </w:rPr>
              <w:t>Q10.6,</w:t>
            </w:r>
            <w:r>
              <w:rPr>
                <w:spacing w:val="-6"/>
                <w:sz w:val="20"/>
              </w:rPr>
              <w:t> </w:t>
            </w:r>
            <w:r>
              <w:rPr>
                <w:sz w:val="20"/>
              </w:rPr>
              <w:t>Q10.7,</w:t>
            </w:r>
            <w:r>
              <w:rPr>
                <w:spacing w:val="-7"/>
                <w:sz w:val="20"/>
              </w:rPr>
              <w:t> </w:t>
            </w:r>
            <w:r>
              <w:rPr>
                <w:sz w:val="20"/>
              </w:rPr>
              <w:t>Q11,</w:t>
            </w:r>
            <w:r>
              <w:rPr>
                <w:spacing w:val="-5"/>
                <w:sz w:val="20"/>
              </w:rPr>
              <w:t> </w:t>
            </w:r>
            <w:r>
              <w:rPr>
                <w:sz w:val="20"/>
              </w:rPr>
              <w:t>Q11.0,</w:t>
            </w:r>
            <w:r>
              <w:rPr>
                <w:spacing w:val="-5"/>
                <w:sz w:val="20"/>
              </w:rPr>
              <w:t> </w:t>
            </w:r>
            <w:r>
              <w:rPr>
                <w:sz w:val="20"/>
              </w:rPr>
              <w:t>Q11.1,</w:t>
            </w:r>
            <w:r>
              <w:rPr>
                <w:spacing w:val="-5"/>
                <w:sz w:val="20"/>
              </w:rPr>
              <w:t> </w:t>
            </w:r>
            <w:r>
              <w:rPr>
                <w:sz w:val="20"/>
              </w:rPr>
              <w:t>Q11.2,</w:t>
            </w:r>
            <w:r>
              <w:rPr>
                <w:spacing w:val="-6"/>
                <w:sz w:val="20"/>
              </w:rPr>
              <w:t> </w:t>
            </w:r>
            <w:r>
              <w:rPr>
                <w:spacing w:val="-2"/>
                <w:sz w:val="20"/>
              </w:rPr>
              <w:t>Q11.3,</w:t>
            </w:r>
          </w:p>
        </w:tc>
      </w:tr>
      <w:tr>
        <w:trPr>
          <w:trHeight w:val="229" w:hRule="atLeast"/>
        </w:trPr>
        <w:tc>
          <w:tcPr>
            <w:tcW w:w="15296" w:type="dxa"/>
            <w:gridSpan w:val="7"/>
          </w:tcPr>
          <w:p>
            <w:pPr>
              <w:pStyle w:val="TableParagraph"/>
              <w:spacing w:line="209" w:lineRule="exact"/>
              <w:ind w:left="4414"/>
              <w:rPr>
                <w:sz w:val="20"/>
              </w:rPr>
            </w:pPr>
            <w:r>
              <w:rPr>
                <w:sz w:val="20"/>
              </w:rPr>
              <w:t>Q12,</w:t>
            </w:r>
            <w:r>
              <w:rPr>
                <w:spacing w:val="-6"/>
                <w:sz w:val="20"/>
              </w:rPr>
              <w:t> </w:t>
            </w:r>
            <w:r>
              <w:rPr>
                <w:sz w:val="20"/>
              </w:rPr>
              <w:t>Q12.0,</w:t>
            </w:r>
            <w:r>
              <w:rPr>
                <w:spacing w:val="-6"/>
                <w:sz w:val="20"/>
              </w:rPr>
              <w:t> </w:t>
            </w:r>
            <w:r>
              <w:rPr>
                <w:sz w:val="20"/>
              </w:rPr>
              <w:t>Q12.1,</w:t>
            </w:r>
            <w:r>
              <w:rPr>
                <w:spacing w:val="-5"/>
                <w:sz w:val="20"/>
              </w:rPr>
              <w:t> </w:t>
            </w:r>
            <w:r>
              <w:rPr>
                <w:sz w:val="20"/>
              </w:rPr>
              <w:t>Q12.2,</w:t>
            </w:r>
            <w:r>
              <w:rPr>
                <w:spacing w:val="-6"/>
                <w:sz w:val="20"/>
              </w:rPr>
              <w:t> </w:t>
            </w:r>
            <w:r>
              <w:rPr>
                <w:sz w:val="20"/>
              </w:rPr>
              <w:t>Q12.3,</w:t>
            </w:r>
            <w:r>
              <w:rPr>
                <w:spacing w:val="-5"/>
                <w:sz w:val="20"/>
              </w:rPr>
              <w:t> </w:t>
            </w:r>
            <w:r>
              <w:rPr>
                <w:sz w:val="20"/>
              </w:rPr>
              <w:t>Q12.4,</w:t>
            </w:r>
            <w:r>
              <w:rPr>
                <w:spacing w:val="-6"/>
                <w:sz w:val="20"/>
              </w:rPr>
              <w:t> </w:t>
            </w:r>
            <w:r>
              <w:rPr>
                <w:spacing w:val="-2"/>
                <w:sz w:val="20"/>
              </w:rPr>
              <w:t>Q12.8,</w:t>
            </w:r>
          </w:p>
        </w:tc>
      </w:tr>
      <w:tr>
        <w:trPr>
          <w:trHeight w:val="229" w:hRule="atLeast"/>
        </w:trPr>
        <w:tc>
          <w:tcPr>
            <w:tcW w:w="15296" w:type="dxa"/>
            <w:gridSpan w:val="7"/>
          </w:tcPr>
          <w:p>
            <w:pPr>
              <w:pStyle w:val="TableParagraph"/>
              <w:spacing w:line="209" w:lineRule="exact"/>
              <w:ind w:left="4414"/>
              <w:rPr>
                <w:sz w:val="20"/>
              </w:rPr>
            </w:pPr>
            <w:r>
              <w:rPr>
                <w:sz w:val="20"/>
              </w:rPr>
              <w:t>Q12.9,</w:t>
            </w:r>
            <w:r>
              <w:rPr>
                <w:spacing w:val="-6"/>
                <w:sz w:val="20"/>
              </w:rPr>
              <w:t> </w:t>
            </w:r>
            <w:r>
              <w:rPr>
                <w:sz w:val="20"/>
              </w:rPr>
              <w:t>Q13,</w:t>
            </w:r>
            <w:r>
              <w:rPr>
                <w:spacing w:val="-6"/>
                <w:sz w:val="20"/>
              </w:rPr>
              <w:t> </w:t>
            </w:r>
            <w:r>
              <w:rPr>
                <w:sz w:val="20"/>
              </w:rPr>
              <w:t>Q13.0,</w:t>
            </w:r>
            <w:r>
              <w:rPr>
                <w:spacing w:val="-5"/>
                <w:sz w:val="20"/>
              </w:rPr>
              <w:t> </w:t>
            </w:r>
            <w:r>
              <w:rPr>
                <w:sz w:val="20"/>
              </w:rPr>
              <w:t>Q13.1,</w:t>
            </w:r>
            <w:r>
              <w:rPr>
                <w:spacing w:val="-6"/>
                <w:sz w:val="20"/>
              </w:rPr>
              <w:t> </w:t>
            </w:r>
            <w:r>
              <w:rPr>
                <w:sz w:val="20"/>
              </w:rPr>
              <w:t>Q13.2,</w:t>
            </w:r>
            <w:r>
              <w:rPr>
                <w:spacing w:val="-5"/>
                <w:sz w:val="20"/>
              </w:rPr>
              <w:t> </w:t>
            </w:r>
            <w:r>
              <w:rPr>
                <w:sz w:val="20"/>
              </w:rPr>
              <w:t>Q13.3,</w:t>
            </w:r>
            <w:r>
              <w:rPr>
                <w:spacing w:val="-6"/>
                <w:sz w:val="20"/>
              </w:rPr>
              <w:t> </w:t>
            </w:r>
            <w:r>
              <w:rPr>
                <w:spacing w:val="-2"/>
                <w:sz w:val="20"/>
              </w:rPr>
              <w:t>Q13.4,</w:t>
            </w:r>
          </w:p>
        </w:tc>
      </w:tr>
      <w:tr>
        <w:trPr>
          <w:trHeight w:val="230" w:hRule="atLeast"/>
        </w:trPr>
        <w:tc>
          <w:tcPr>
            <w:tcW w:w="15296" w:type="dxa"/>
            <w:gridSpan w:val="7"/>
          </w:tcPr>
          <w:p>
            <w:pPr>
              <w:pStyle w:val="TableParagraph"/>
              <w:spacing w:line="210" w:lineRule="exact"/>
              <w:ind w:left="4414"/>
              <w:rPr>
                <w:sz w:val="20"/>
              </w:rPr>
            </w:pPr>
            <w:r>
              <w:rPr>
                <w:sz w:val="20"/>
              </w:rPr>
              <w:t>Q13.5,</w:t>
            </w:r>
            <w:r>
              <w:rPr>
                <w:spacing w:val="-6"/>
                <w:sz w:val="20"/>
              </w:rPr>
              <w:t> </w:t>
            </w:r>
            <w:r>
              <w:rPr>
                <w:sz w:val="20"/>
              </w:rPr>
              <w:t>Q13.8,</w:t>
            </w:r>
            <w:r>
              <w:rPr>
                <w:spacing w:val="-6"/>
                <w:sz w:val="20"/>
              </w:rPr>
              <w:t> </w:t>
            </w:r>
            <w:r>
              <w:rPr>
                <w:sz w:val="20"/>
              </w:rPr>
              <w:t>Q13.9,</w:t>
            </w:r>
            <w:r>
              <w:rPr>
                <w:spacing w:val="-5"/>
                <w:sz w:val="20"/>
              </w:rPr>
              <w:t> </w:t>
            </w:r>
            <w:r>
              <w:rPr>
                <w:sz w:val="20"/>
              </w:rPr>
              <w:t>Q14,</w:t>
            </w:r>
            <w:r>
              <w:rPr>
                <w:spacing w:val="-6"/>
                <w:sz w:val="20"/>
              </w:rPr>
              <w:t> </w:t>
            </w:r>
            <w:r>
              <w:rPr>
                <w:sz w:val="20"/>
              </w:rPr>
              <w:t>Q14.0,</w:t>
            </w:r>
            <w:r>
              <w:rPr>
                <w:spacing w:val="-5"/>
                <w:sz w:val="20"/>
              </w:rPr>
              <w:t> </w:t>
            </w:r>
            <w:r>
              <w:rPr>
                <w:sz w:val="20"/>
              </w:rPr>
              <w:t>Q14.1,</w:t>
            </w:r>
            <w:r>
              <w:rPr>
                <w:spacing w:val="-5"/>
                <w:sz w:val="20"/>
              </w:rPr>
              <w:t> </w:t>
            </w:r>
            <w:r>
              <w:rPr>
                <w:spacing w:val="-2"/>
                <w:sz w:val="20"/>
              </w:rPr>
              <w:t>Q14.2,</w:t>
            </w:r>
          </w:p>
        </w:tc>
      </w:tr>
      <w:tr>
        <w:trPr>
          <w:trHeight w:val="230" w:hRule="atLeast"/>
        </w:trPr>
        <w:tc>
          <w:tcPr>
            <w:tcW w:w="15296" w:type="dxa"/>
            <w:gridSpan w:val="7"/>
          </w:tcPr>
          <w:p>
            <w:pPr>
              <w:pStyle w:val="TableParagraph"/>
              <w:spacing w:line="210" w:lineRule="exact"/>
              <w:ind w:left="4414"/>
              <w:rPr>
                <w:sz w:val="20"/>
              </w:rPr>
            </w:pPr>
            <w:r>
              <w:rPr>
                <w:sz w:val="20"/>
              </w:rPr>
              <w:t>Q14.3,</w:t>
            </w:r>
            <w:r>
              <w:rPr>
                <w:spacing w:val="-6"/>
                <w:sz w:val="20"/>
              </w:rPr>
              <w:t> </w:t>
            </w:r>
            <w:r>
              <w:rPr>
                <w:sz w:val="20"/>
              </w:rPr>
              <w:t>Q14.8,</w:t>
            </w:r>
            <w:r>
              <w:rPr>
                <w:spacing w:val="-6"/>
                <w:sz w:val="20"/>
              </w:rPr>
              <w:t> </w:t>
            </w:r>
            <w:r>
              <w:rPr>
                <w:sz w:val="20"/>
              </w:rPr>
              <w:t>Q14.9,</w:t>
            </w:r>
            <w:r>
              <w:rPr>
                <w:spacing w:val="-5"/>
                <w:sz w:val="20"/>
              </w:rPr>
              <w:t> </w:t>
            </w:r>
            <w:r>
              <w:rPr>
                <w:sz w:val="20"/>
              </w:rPr>
              <w:t>Q15,</w:t>
            </w:r>
            <w:r>
              <w:rPr>
                <w:spacing w:val="-6"/>
                <w:sz w:val="20"/>
              </w:rPr>
              <w:t> </w:t>
            </w:r>
            <w:r>
              <w:rPr>
                <w:sz w:val="20"/>
              </w:rPr>
              <w:t>Q15.0,</w:t>
            </w:r>
            <w:r>
              <w:rPr>
                <w:spacing w:val="-5"/>
                <w:sz w:val="20"/>
              </w:rPr>
              <w:t> </w:t>
            </w:r>
            <w:r>
              <w:rPr>
                <w:sz w:val="20"/>
              </w:rPr>
              <w:t>Q15.8,</w:t>
            </w:r>
            <w:r>
              <w:rPr>
                <w:spacing w:val="-5"/>
                <w:sz w:val="20"/>
              </w:rPr>
              <w:t> </w:t>
            </w:r>
            <w:r>
              <w:rPr>
                <w:spacing w:val="-2"/>
                <w:sz w:val="20"/>
              </w:rPr>
              <w:t>Q15.9,</w:t>
            </w:r>
          </w:p>
        </w:tc>
      </w:tr>
      <w:tr>
        <w:trPr>
          <w:trHeight w:val="230" w:hRule="atLeast"/>
        </w:trPr>
        <w:tc>
          <w:tcPr>
            <w:tcW w:w="15296" w:type="dxa"/>
            <w:gridSpan w:val="7"/>
          </w:tcPr>
          <w:p>
            <w:pPr>
              <w:pStyle w:val="TableParagraph"/>
              <w:spacing w:line="210" w:lineRule="exact"/>
              <w:ind w:left="4431"/>
              <w:rPr>
                <w:sz w:val="20"/>
              </w:rPr>
            </w:pPr>
            <w:r>
              <w:rPr>
                <w:sz w:val="20"/>
              </w:rPr>
              <w:t>S00.1,</w:t>
            </w:r>
            <w:r>
              <w:rPr>
                <w:spacing w:val="-6"/>
                <w:sz w:val="20"/>
              </w:rPr>
              <w:t> </w:t>
            </w:r>
            <w:r>
              <w:rPr>
                <w:sz w:val="20"/>
              </w:rPr>
              <w:t>S00.2,</w:t>
            </w:r>
            <w:r>
              <w:rPr>
                <w:spacing w:val="-5"/>
                <w:sz w:val="20"/>
              </w:rPr>
              <w:t> </w:t>
            </w:r>
            <w:r>
              <w:rPr>
                <w:sz w:val="20"/>
              </w:rPr>
              <w:t>S01.1,</w:t>
            </w:r>
            <w:r>
              <w:rPr>
                <w:spacing w:val="-6"/>
                <w:sz w:val="20"/>
              </w:rPr>
              <w:t> </w:t>
            </w:r>
            <w:r>
              <w:rPr>
                <w:sz w:val="20"/>
              </w:rPr>
              <w:t>S02.3,</w:t>
            </w:r>
            <w:r>
              <w:rPr>
                <w:spacing w:val="-7"/>
                <w:sz w:val="20"/>
              </w:rPr>
              <w:t> </w:t>
            </w:r>
            <w:r>
              <w:rPr>
                <w:sz w:val="20"/>
              </w:rPr>
              <w:t>S02.30,</w:t>
            </w:r>
            <w:r>
              <w:rPr>
                <w:spacing w:val="-6"/>
                <w:sz w:val="20"/>
              </w:rPr>
              <w:t> </w:t>
            </w:r>
            <w:r>
              <w:rPr>
                <w:sz w:val="20"/>
              </w:rPr>
              <w:t>S02.31,</w:t>
            </w:r>
            <w:r>
              <w:rPr>
                <w:spacing w:val="-5"/>
                <w:sz w:val="20"/>
              </w:rPr>
              <w:t> </w:t>
            </w:r>
            <w:r>
              <w:rPr>
                <w:spacing w:val="-4"/>
                <w:sz w:val="20"/>
              </w:rPr>
              <w:t>S04,</w:t>
            </w:r>
          </w:p>
        </w:tc>
      </w:tr>
      <w:tr>
        <w:trPr>
          <w:trHeight w:val="229" w:hRule="atLeast"/>
        </w:trPr>
        <w:tc>
          <w:tcPr>
            <w:tcW w:w="15296" w:type="dxa"/>
            <w:gridSpan w:val="7"/>
          </w:tcPr>
          <w:p>
            <w:pPr>
              <w:pStyle w:val="TableParagraph"/>
              <w:spacing w:line="209" w:lineRule="exact"/>
              <w:ind w:left="4529"/>
              <w:rPr>
                <w:sz w:val="20"/>
              </w:rPr>
            </w:pPr>
            <w:r>
              <w:rPr>
                <w:sz w:val="20"/>
              </w:rPr>
              <w:t>S04.0,</w:t>
            </w:r>
            <w:r>
              <w:rPr>
                <w:spacing w:val="-6"/>
                <w:sz w:val="20"/>
              </w:rPr>
              <w:t> </w:t>
            </w:r>
            <w:r>
              <w:rPr>
                <w:sz w:val="20"/>
              </w:rPr>
              <w:t>S05,</w:t>
            </w:r>
            <w:r>
              <w:rPr>
                <w:spacing w:val="-6"/>
                <w:sz w:val="20"/>
              </w:rPr>
              <w:t> </w:t>
            </w:r>
            <w:r>
              <w:rPr>
                <w:sz w:val="20"/>
              </w:rPr>
              <w:t>S05.0,</w:t>
            </w:r>
            <w:r>
              <w:rPr>
                <w:spacing w:val="-5"/>
                <w:sz w:val="20"/>
              </w:rPr>
              <w:t> </w:t>
            </w:r>
            <w:r>
              <w:rPr>
                <w:sz w:val="20"/>
              </w:rPr>
              <w:t>S05.1,</w:t>
            </w:r>
            <w:r>
              <w:rPr>
                <w:spacing w:val="-6"/>
                <w:sz w:val="20"/>
              </w:rPr>
              <w:t> </w:t>
            </w:r>
            <w:r>
              <w:rPr>
                <w:sz w:val="20"/>
              </w:rPr>
              <w:t>S05.2,</w:t>
            </w:r>
            <w:r>
              <w:rPr>
                <w:spacing w:val="-5"/>
                <w:sz w:val="20"/>
              </w:rPr>
              <w:t> </w:t>
            </w:r>
            <w:r>
              <w:rPr>
                <w:sz w:val="20"/>
              </w:rPr>
              <w:t>S05.3,</w:t>
            </w:r>
            <w:r>
              <w:rPr>
                <w:spacing w:val="-6"/>
                <w:sz w:val="20"/>
              </w:rPr>
              <w:t> </w:t>
            </w:r>
            <w:r>
              <w:rPr>
                <w:spacing w:val="-2"/>
                <w:sz w:val="20"/>
              </w:rPr>
              <w:t>S05.4,</w:t>
            </w:r>
          </w:p>
        </w:tc>
      </w:tr>
      <w:tr>
        <w:trPr>
          <w:trHeight w:val="229" w:hRule="atLeast"/>
        </w:trPr>
        <w:tc>
          <w:tcPr>
            <w:tcW w:w="15296" w:type="dxa"/>
            <w:gridSpan w:val="7"/>
          </w:tcPr>
          <w:p>
            <w:pPr>
              <w:pStyle w:val="TableParagraph"/>
              <w:spacing w:line="209" w:lineRule="exact"/>
              <w:ind w:left="4519"/>
              <w:rPr>
                <w:sz w:val="20"/>
              </w:rPr>
            </w:pPr>
            <w:r>
              <w:rPr>
                <w:sz w:val="20"/>
              </w:rPr>
              <w:t>S05.5,</w:t>
            </w:r>
            <w:r>
              <w:rPr>
                <w:spacing w:val="-5"/>
                <w:sz w:val="20"/>
              </w:rPr>
              <w:t> </w:t>
            </w:r>
            <w:r>
              <w:rPr>
                <w:sz w:val="20"/>
              </w:rPr>
              <w:t>S05.6,</w:t>
            </w:r>
            <w:r>
              <w:rPr>
                <w:spacing w:val="-4"/>
                <w:sz w:val="20"/>
              </w:rPr>
              <w:t> </w:t>
            </w:r>
            <w:r>
              <w:rPr>
                <w:sz w:val="20"/>
              </w:rPr>
              <w:t>S05.7,</w:t>
            </w:r>
            <w:r>
              <w:rPr>
                <w:spacing w:val="-5"/>
                <w:sz w:val="20"/>
              </w:rPr>
              <w:t> </w:t>
            </w:r>
            <w:r>
              <w:rPr>
                <w:sz w:val="20"/>
              </w:rPr>
              <w:t>S05.8,</w:t>
            </w:r>
            <w:r>
              <w:rPr>
                <w:spacing w:val="-6"/>
                <w:sz w:val="20"/>
              </w:rPr>
              <w:t> </w:t>
            </w:r>
            <w:r>
              <w:rPr>
                <w:sz w:val="20"/>
              </w:rPr>
              <w:t>S05.9,</w:t>
            </w:r>
            <w:r>
              <w:rPr>
                <w:spacing w:val="-6"/>
                <w:sz w:val="20"/>
              </w:rPr>
              <w:t> </w:t>
            </w:r>
            <w:r>
              <w:rPr>
                <w:sz w:val="20"/>
              </w:rPr>
              <w:t>T15,</w:t>
            </w:r>
            <w:r>
              <w:rPr>
                <w:spacing w:val="-7"/>
                <w:sz w:val="20"/>
              </w:rPr>
              <w:t> </w:t>
            </w:r>
            <w:r>
              <w:rPr>
                <w:spacing w:val="-2"/>
                <w:sz w:val="20"/>
              </w:rPr>
              <w:t>T15.0,</w:t>
            </w:r>
          </w:p>
        </w:tc>
      </w:tr>
      <w:tr>
        <w:trPr>
          <w:trHeight w:val="230" w:hRule="atLeast"/>
        </w:trPr>
        <w:tc>
          <w:tcPr>
            <w:tcW w:w="15296" w:type="dxa"/>
            <w:gridSpan w:val="7"/>
          </w:tcPr>
          <w:p>
            <w:pPr>
              <w:pStyle w:val="TableParagraph"/>
              <w:spacing w:line="210" w:lineRule="exact"/>
              <w:ind w:left="4491"/>
              <w:rPr>
                <w:sz w:val="20"/>
              </w:rPr>
            </w:pPr>
            <w:r>
              <w:rPr>
                <w:sz w:val="20"/>
              </w:rPr>
              <w:t>T15.1,</w:t>
            </w:r>
            <w:r>
              <w:rPr>
                <w:spacing w:val="-7"/>
                <w:sz w:val="20"/>
              </w:rPr>
              <w:t> </w:t>
            </w:r>
            <w:r>
              <w:rPr>
                <w:sz w:val="20"/>
              </w:rPr>
              <w:t>T15.8,</w:t>
            </w:r>
            <w:r>
              <w:rPr>
                <w:spacing w:val="-3"/>
                <w:sz w:val="20"/>
              </w:rPr>
              <w:t> </w:t>
            </w:r>
            <w:r>
              <w:rPr>
                <w:sz w:val="20"/>
              </w:rPr>
              <w:t>T15.9,</w:t>
            </w:r>
            <w:r>
              <w:rPr>
                <w:spacing w:val="-5"/>
                <w:sz w:val="20"/>
              </w:rPr>
              <w:t> </w:t>
            </w:r>
            <w:r>
              <w:rPr>
                <w:sz w:val="20"/>
              </w:rPr>
              <w:t>T26,</w:t>
            </w:r>
            <w:r>
              <w:rPr>
                <w:spacing w:val="-5"/>
                <w:sz w:val="20"/>
              </w:rPr>
              <w:t> </w:t>
            </w:r>
            <w:r>
              <w:rPr>
                <w:sz w:val="20"/>
              </w:rPr>
              <w:t>T26.0,</w:t>
            </w:r>
            <w:r>
              <w:rPr>
                <w:spacing w:val="-5"/>
                <w:sz w:val="20"/>
              </w:rPr>
              <w:t> </w:t>
            </w:r>
            <w:r>
              <w:rPr>
                <w:sz w:val="20"/>
              </w:rPr>
              <w:t>T26.1,</w:t>
            </w:r>
            <w:r>
              <w:rPr>
                <w:spacing w:val="-5"/>
                <w:sz w:val="20"/>
              </w:rPr>
              <w:t> </w:t>
            </w:r>
            <w:r>
              <w:rPr>
                <w:spacing w:val="-2"/>
                <w:sz w:val="20"/>
              </w:rPr>
              <w:t>T26.2,</w:t>
            </w:r>
          </w:p>
        </w:tc>
      </w:tr>
      <w:tr>
        <w:trPr>
          <w:trHeight w:val="230" w:hRule="atLeast"/>
        </w:trPr>
        <w:tc>
          <w:tcPr>
            <w:tcW w:w="15296" w:type="dxa"/>
            <w:gridSpan w:val="7"/>
          </w:tcPr>
          <w:p>
            <w:pPr>
              <w:pStyle w:val="TableParagraph"/>
              <w:spacing w:line="210" w:lineRule="exact"/>
              <w:ind w:left="4416"/>
              <w:rPr>
                <w:sz w:val="20"/>
              </w:rPr>
            </w:pPr>
            <w:r>
              <w:rPr>
                <w:sz w:val="20"/>
              </w:rPr>
              <w:t>T26.3,</w:t>
            </w:r>
            <w:r>
              <w:rPr>
                <w:spacing w:val="-7"/>
                <w:sz w:val="20"/>
              </w:rPr>
              <w:t> </w:t>
            </w:r>
            <w:r>
              <w:rPr>
                <w:sz w:val="20"/>
              </w:rPr>
              <w:t>T26.4,</w:t>
            </w:r>
            <w:r>
              <w:rPr>
                <w:spacing w:val="-5"/>
                <w:sz w:val="20"/>
              </w:rPr>
              <w:t> </w:t>
            </w:r>
            <w:r>
              <w:rPr>
                <w:sz w:val="20"/>
              </w:rPr>
              <w:t>T26.5,</w:t>
            </w:r>
            <w:r>
              <w:rPr>
                <w:spacing w:val="-5"/>
                <w:sz w:val="20"/>
              </w:rPr>
              <w:t> </w:t>
            </w:r>
            <w:r>
              <w:rPr>
                <w:sz w:val="20"/>
              </w:rPr>
              <w:t>T26.6,</w:t>
            </w:r>
            <w:r>
              <w:rPr>
                <w:spacing w:val="-5"/>
                <w:sz w:val="20"/>
              </w:rPr>
              <w:t> </w:t>
            </w:r>
            <w:r>
              <w:rPr>
                <w:sz w:val="20"/>
              </w:rPr>
              <w:t>T26.7,</w:t>
            </w:r>
            <w:r>
              <w:rPr>
                <w:spacing w:val="-5"/>
                <w:sz w:val="20"/>
              </w:rPr>
              <w:t> </w:t>
            </w:r>
            <w:r>
              <w:rPr>
                <w:sz w:val="20"/>
              </w:rPr>
              <w:t>T26.8,</w:t>
            </w:r>
            <w:r>
              <w:rPr>
                <w:spacing w:val="-5"/>
                <w:sz w:val="20"/>
              </w:rPr>
              <w:t> </w:t>
            </w:r>
            <w:r>
              <w:rPr>
                <w:spacing w:val="-2"/>
                <w:sz w:val="20"/>
              </w:rPr>
              <w:t>T26.9,</w:t>
            </w:r>
          </w:p>
        </w:tc>
      </w:tr>
      <w:tr>
        <w:trPr>
          <w:trHeight w:val="279" w:hRule="atLeast"/>
        </w:trPr>
        <w:tc>
          <w:tcPr>
            <w:tcW w:w="15296" w:type="dxa"/>
            <w:gridSpan w:val="7"/>
          </w:tcPr>
          <w:p>
            <w:pPr>
              <w:pStyle w:val="TableParagraph"/>
              <w:spacing w:line="226" w:lineRule="exact"/>
              <w:ind w:left="5576" w:right="8082"/>
              <w:jc w:val="center"/>
              <w:rPr>
                <w:sz w:val="20"/>
              </w:rPr>
            </w:pPr>
            <w:r>
              <w:rPr>
                <w:sz w:val="20"/>
              </w:rPr>
              <w:t>T85.2,</w:t>
            </w:r>
            <w:r>
              <w:rPr>
                <w:spacing w:val="-6"/>
                <w:sz w:val="20"/>
              </w:rPr>
              <w:t> </w:t>
            </w:r>
            <w:r>
              <w:rPr>
                <w:sz w:val="20"/>
              </w:rPr>
              <w:t>T85.3,</w:t>
            </w:r>
            <w:r>
              <w:rPr>
                <w:spacing w:val="-4"/>
                <w:sz w:val="20"/>
              </w:rPr>
              <w:t> </w:t>
            </w:r>
            <w:r>
              <w:rPr>
                <w:spacing w:val="-2"/>
                <w:sz w:val="20"/>
              </w:rPr>
              <w:t>T90.4</w:t>
            </w:r>
          </w:p>
        </w:tc>
      </w:tr>
      <w:tr>
        <w:trPr>
          <w:trHeight w:val="279" w:hRule="atLeast"/>
        </w:trPr>
        <w:tc>
          <w:tcPr>
            <w:tcW w:w="978" w:type="dxa"/>
          </w:tcPr>
          <w:p>
            <w:pPr>
              <w:pStyle w:val="TableParagraph"/>
              <w:spacing w:line="215" w:lineRule="exact" w:before="45"/>
              <w:ind w:left="50"/>
              <w:rPr>
                <w:sz w:val="20"/>
              </w:rPr>
            </w:pPr>
            <w:r>
              <w:rPr>
                <w:spacing w:val="-2"/>
                <w:sz w:val="20"/>
              </w:rPr>
              <w:t>ds21.002</w:t>
            </w:r>
          </w:p>
        </w:tc>
        <w:tc>
          <w:tcPr>
            <w:tcW w:w="696" w:type="dxa"/>
          </w:tcPr>
          <w:p>
            <w:pPr>
              <w:pStyle w:val="TableParagraph"/>
              <w:spacing w:line="215" w:lineRule="exact" w:before="45"/>
              <w:ind w:left="200"/>
              <w:rPr>
                <w:sz w:val="20"/>
              </w:rPr>
            </w:pPr>
            <w:r>
              <w:rPr>
                <w:spacing w:val="-5"/>
                <w:sz w:val="20"/>
              </w:rPr>
              <w:t>110</w:t>
            </w:r>
          </w:p>
        </w:tc>
        <w:tc>
          <w:tcPr>
            <w:tcW w:w="3295"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5"/>
              <w:ind w:left="238"/>
              <w:jc w:val="center"/>
              <w:rPr>
                <w:sz w:val="20"/>
              </w:rPr>
            </w:pPr>
            <w:r>
              <w:rPr>
                <w:w w:val="99"/>
                <w:sz w:val="20"/>
              </w:rPr>
              <w:t>-</w:t>
            </w:r>
          </w:p>
        </w:tc>
        <w:tc>
          <w:tcPr>
            <w:tcW w:w="4881" w:type="dxa"/>
          </w:tcPr>
          <w:p>
            <w:pPr>
              <w:pStyle w:val="TableParagraph"/>
              <w:spacing w:line="215" w:lineRule="exact" w:before="45"/>
              <w:ind w:left="1147" w:right="644"/>
              <w:jc w:val="center"/>
              <w:rPr>
                <w:sz w:val="20"/>
              </w:rPr>
            </w:pPr>
            <w:r>
              <w:rPr>
                <w:sz w:val="20"/>
              </w:rPr>
              <w:t>A16.01.037,</w:t>
            </w:r>
            <w:r>
              <w:rPr>
                <w:spacing w:val="-9"/>
                <w:sz w:val="20"/>
              </w:rPr>
              <w:t> </w:t>
            </w:r>
            <w:r>
              <w:rPr>
                <w:sz w:val="20"/>
              </w:rPr>
              <w:t>A16.26.001,</w:t>
            </w:r>
            <w:r>
              <w:rPr>
                <w:spacing w:val="-10"/>
                <w:sz w:val="20"/>
              </w:rPr>
              <w:t> </w:t>
            </w:r>
            <w:r>
              <w:rPr>
                <w:spacing w:val="-2"/>
                <w:sz w:val="20"/>
              </w:rPr>
              <w:t>A16.26.002,</w:t>
            </w:r>
          </w:p>
        </w:tc>
        <w:tc>
          <w:tcPr>
            <w:tcW w:w="1574" w:type="dxa"/>
          </w:tcPr>
          <w:p>
            <w:pPr>
              <w:pStyle w:val="TableParagraph"/>
              <w:spacing w:line="215" w:lineRule="exact" w:before="45"/>
              <w:ind w:right="211"/>
              <w:jc w:val="center"/>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0,67</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10"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1)</w:t>
            </w: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A16.26.005,</w:t>
            </w:r>
            <w:r>
              <w:rPr>
                <w:spacing w:val="-9"/>
                <w:sz w:val="20"/>
              </w:rPr>
              <w:t> </w:t>
            </w:r>
            <w:r>
              <w:rPr>
                <w:spacing w:val="-2"/>
                <w:sz w:val="20"/>
              </w:rPr>
              <w:t>A16.26.007,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1"/>
              <w:jc w:val="center"/>
              <w:rPr>
                <w:sz w:val="20"/>
              </w:rPr>
            </w:pPr>
            <w:r>
              <w:rPr>
                <w:w w:val="95"/>
                <w:sz w:val="20"/>
              </w:rPr>
              <w:t>A16.26.007.001,</w:t>
            </w:r>
            <w:r>
              <w:rPr>
                <w:spacing w:val="54"/>
                <w:sz w:val="20"/>
              </w:rPr>
              <w:t> </w:t>
            </w:r>
            <w:r>
              <w:rPr>
                <w:spacing w:val="-2"/>
                <w:sz w:val="20"/>
              </w:rPr>
              <w:t>A16.26.007.003,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A16.26.011,</w:t>
            </w:r>
            <w:r>
              <w:rPr>
                <w:spacing w:val="-9"/>
                <w:sz w:val="20"/>
              </w:rPr>
              <w:t> </w:t>
            </w:r>
            <w:r>
              <w:rPr>
                <w:sz w:val="20"/>
              </w:rPr>
              <w:t>A16.26.012,</w:t>
            </w:r>
            <w:r>
              <w:rPr>
                <w:spacing w:val="-10"/>
                <w:sz w:val="20"/>
              </w:rPr>
              <w:t> </w:t>
            </w:r>
            <w:r>
              <w:rPr>
                <w:spacing w:val="-2"/>
                <w:sz w:val="20"/>
              </w:rPr>
              <w:t>A16.26.013,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A16.26.014,</w:t>
            </w:r>
            <w:r>
              <w:rPr>
                <w:spacing w:val="-9"/>
                <w:sz w:val="20"/>
              </w:rPr>
              <w:t> </w:t>
            </w:r>
            <w:r>
              <w:rPr>
                <w:sz w:val="20"/>
              </w:rPr>
              <w:t>A16.26.015,</w:t>
            </w:r>
            <w:r>
              <w:rPr>
                <w:spacing w:val="-10"/>
                <w:sz w:val="20"/>
              </w:rPr>
              <w:t> </w:t>
            </w:r>
            <w:r>
              <w:rPr>
                <w:spacing w:val="-2"/>
                <w:sz w:val="20"/>
              </w:rPr>
              <w:t>A16.26.016,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A16.26.018,</w:t>
            </w:r>
            <w:r>
              <w:rPr>
                <w:spacing w:val="-9"/>
                <w:sz w:val="20"/>
              </w:rPr>
              <w:t> </w:t>
            </w:r>
            <w:r>
              <w:rPr>
                <w:sz w:val="20"/>
              </w:rPr>
              <w:t>A16.26.020,</w:t>
            </w:r>
            <w:r>
              <w:rPr>
                <w:spacing w:val="-10"/>
                <w:sz w:val="20"/>
              </w:rPr>
              <w:t> </w:t>
            </w:r>
            <w:r>
              <w:rPr>
                <w:spacing w:val="-2"/>
                <w:sz w:val="20"/>
              </w:rPr>
              <w:t>A16.26.024,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A16.26.025,</w:t>
            </w:r>
            <w:r>
              <w:rPr>
                <w:spacing w:val="-9"/>
                <w:sz w:val="20"/>
              </w:rPr>
              <w:t> </w:t>
            </w:r>
            <w:r>
              <w:rPr>
                <w:sz w:val="20"/>
              </w:rPr>
              <w:t>A16.26.026,</w:t>
            </w:r>
            <w:r>
              <w:rPr>
                <w:spacing w:val="-10"/>
                <w:sz w:val="20"/>
              </w:rPr>
              <w:t> </w:t>
            </w:r>
            <w:r>
              <w:rPr>
                <w:spacing w:val="-2"/>
                <w:sz w:val="20"/>
              </w:rPr>
              <w:t>A16.26.033,</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5" w:lineRule="exact"/>
              <w:ind w:left="1147" w:right="644"/>
              <w:jc w:val="center"/>
              <w:rPr>
                <w:sz w:val="20"/>
              </w:rPr>
            </w:pPr>
            <w:r>
              <w:rPr>
                <w:sz w:val="20"/>
              </w:rPr>
              <w:t>A16.26.034,</w:t>
            </w:r>
            <w:r>
              <w:rPr>
                <w:spacing w:val="-9"/>
                <w:sz w:val="20"/>
              </w:rPr>
              <w:t> </w:t>
            </w:r>
            <w:r>
              <w:rPr>
                <w:sz w:val="20"/>
              </w:rPr>
              <w:t>A16.26.035,</w:t>
            </w:r>
            <w:r>
              <w:rPr>
                <w:spacing w:val="-10"/>
                <w:sz w:val="20"/>
              </w:rPr>
              <w:t> </w:t>
            </w:r>
            <w:r>
              <w:rPr>
                <w:spacing w:val="-2"/>
                <w:sz w:val="20"/>
              </w:rPr>
              <w:t>A16.26.036,</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295"/>
        <w:gridCol w:w="2611"/>
        <w:gridCol w:w="4881"/>
        <w:gridCol w:w="1574"/>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3295" w:type="dxa"/>
            <w:vMerge w:val="restart"/>
          </w:tcPr>
          <w:p>
            <w:pPr>
              <w:pStyle w:val="TableParagraph"/>
              <w:rPr>
                <w:sz w:val="18"/>
              </w:rPr>
            </w:pPr>
          </w:p>
        </w:tc>
        <w:tc>
          <w:tcPr>
            <w:tcW w:w="2611" w:type="dxa"/>
            <w:vMerge w:val="restart"/>
          </w:tcPr>
          <w:p>
            <w:pPr>
              <w:pStyle w:val="TableParagraph"/>
              <w:rPr>
                <w:sz w:val="18"/>
              </w:rPr>
            </w:pPr>
          </w:p>
        </w:tc>
        <w:tc>
          <w:tcPr>
            <w:tcW w:w="4881" w:type="dxa"/>
          </w:tcPr>
          <w:p>
            <w:pPr>
              <w:pStyle w:val="TableParagraph"/>
              <w:spacing w:line="205" w:lineRule="exact"/>
              <w:ind w:left="1147" w:right="644"/>
              <w:jc w:val="center"/>
              <w:rPr>
                <w:sz w:val="20"/>
              </w:rPr>
            </w:pPr>
            <w:r>
              <w:rPr>
                <w:sz w:val="20"/>
              </w:rPr>
              <w:t>A16.26.037,</w:t>
            </w:r>
            <w:r>
              <w:rPr>
                <w:spacing w:val="-9"/>
                <w:sz w:val="20"/>
              </w:rPr>
              <w:t> </w:t>
            </w:r>
            <w:r>
              <w:rPr>
                <w:sz w:val="20"/>
              </w:rPr>
              <w:t>A16.26.043,</w:t>
            </w:r>
            <w:r>
              <w:rPr>
                <w:spacing w:val="-10"/>
                <w:sz w:val="20"/>
              </w:rPr>
              <w:t> </w:t>
            </w:r>
            <w:r>
              <w:rPr>
                <w:spacing w:val="-2"/>
                <w:sz w:val="20"/>
              </w:rPr>
              <w:t>A16.26.044,</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sz w:val="20"/>
              </w:rPr>
              <w:t>A16.26.046,</w:t>
            </w:r>
            <w:r>
              <w:rPr>
                <w:spacing w:val="-9"/>
                <w:sz w:val="20"/>
              </w:rPr>
              <w:t> </w:t>
            </w:r>
            <w:r>
              <w:rPr>
                <w:sz w:val="20"/>
              </w:rPr>
              <w:t>A16.26.051,</w:t>
            </w:r>
            <w:r>
              <w:rPr>
                <w:spacing w:val="-10"/>
                <w:sz w:val="20"/>
              </w:rPr>
              <w:t> </w:t>
            </w:r>
            <w:r>
              <w:rPr>
                <w:spacing w:val="-2"/>
                <w:sz w:val="20"/>
              </w:rPr>
              <w:t>A16.26.053,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sz w:val="20"/>
              </w:rPr>
              <w:t>A16.26.054,</w:t>
            </w:r>
            <w:r>
              <w:rPr>
                <w:spacing w:val="-9"/>
                <w:sz w:val="20"/>
              </w:rPr>
              <w:t> </w:t>
            </w:r>
            <w:r>
              <w:rPr>
                <w:sz w:val="20"/>
              </w:rPr>
              <w:t>A16.26.055,</w:t>
            </w:r>
            <w:r>
              <w:rPr>
                <w:spacing w:val="-10"/>
                <w:sz w:val="20"/>
              </w:rPr>
              <w:t> </w:t>
            </w:r>
            <w:r>
              <w:rPr>
                <w:spacing w:val="-2"/>
                <w:sz w:val="20"/>
              </w:rPr>
              <w:t>A16.26.056,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A16.26.059,</w:t>
            </w:r>
            <w:r>
              <w:rPr>
                <w:spacing w:val="-9"/>
                <w:sz w:val="20"/>
              </w:rPr>
              <w:t> </w:t>
            </w:r>
            <w:r>
              <w:rPr>
                <w:sz w:val="20"/>
              </w:rPr>
              <w:t>A16.26.072,</w:t>
            </w:r>
            <w:r>
              <w:rPr>
                <w:spacing w:val="-10"/>
                <w:sz w:val="20"/>
              </w:rPr>
              <w:t> </w:t>
            </w:r>
            <w:r>
              <w:rPr>
                <w:spacing w:val="-2"/>
                <w:sz w:val="20"/>
              </w:rPr>
              <w:t>A16.26.073,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A16.26.083,</w:t>
            </w:r>
            <w:r>
              <w:rPr>
                <w:spacing w:val="-9"/>
                <w:sz w:val="20"/>
              </w:rPr>
              <w:t> </w:t>
            </w:r>
            <w:r>
              <w:rPr>
                <w:sz w:val="20"/>
              </w:rPr>
              <w:t>A16.26.110,</w:t>
            </w:r>
            <w:r>
              <w:rPr>
                <w:spacing w:val="-10"/>
                <w:sz w:val="20"/>
              </w:rPr>
              <w:t> </w:t>
            </w:r>
            <w:r>
              <w:rPr>
                <w:spacing w:val="-2"/>
                <w:sz w:val="20"/>
              </w:rPr>
              <w:t>A16.26.119,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A16.26.120.001,</w:t>
            </w:r>
            <w:r>
              <w:rPr>
                <w:spacing w:val="54"/>
                <w:sz w:val="20"/>
              </w:rPr>
              <w:t> </w:t>
            </w:r>
            <w:r>
              <w:rPr>
                <w:spacing w:val="-2"/>
                <w:sz w:val="20"/>
              </w:rPr>
              <w:t>A16.26.121,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1" w:lineRule="exact"/>
              <w:ind w:left="1147" w:right="644"/>
              <w:jc w:val="center"/>
              <w:rPr>
                <w:sz w:val="20"/>
              </w:rPr>
            </w:pPr>
            <w:r>
              <w:rPr>
                <w:sz w:val="20"/>
              </w:rPr>
              <w:t>A16.26.122,</w:t>
            </w:r>
            <w:r>
              <w:rPr>
                <w:spacing w:val="-9"/>
                <w:sz w:val="20"/>
              </w:rPr>
              <w:t> </w:t>
            </w:r>
            <w:r>
              <w:rPr>
                <w:sz w:val="20"/>
              </w:rPr>
              <w:t>A16.26.123,</w:t>
            </w:r>
            <w:r>
              <w:rPr>
                <w:spacing w:val="-10"/>
                <w:sz w:val="20"/>
              </w:rPr>
              <w:t> </w:t>
            </w:r>
            <w:r>
              <w:rPr>
                <w:spacing w:val="-2"/>
                <w:sz w:val="20"/>
              </w:rPr>
              <w:t>A16.26.124,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A16.26.136,</w:t>
            </w:r>
            <w:r>
              <w:rPr>
                <w:spacing w:val="-9"/>
                <w:sz w:val="20"/>
              </w:rPr>
              <w:t> </w:t>
            </w:r>
            <w:r>
              <w:rPr>
                <w:sz w:val="20"/>
              </w:rPr>
              <w:t>A16.26.137,</w:t>
            </w:r>
            <w:r>
              <w:rPr>
                <w:spacing w:val="-10"/>
                <w:sz w:val="20"/>
              </w:rPr>
              <w:t> </w:t>
            </w:r>
            <w:r>
              <w:rPr>
                <w:spacing w:val="-2"/>
                <w:sz w:val="20"/>
              </w:rPr>
              <w:t>A16.26.138,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sz w:val="20"/>
              </w:rPr>
              <w:t>A16.26.139,</w:t>
            </w:r>
            <w:r>
              <w:rPr>
                <w:spacing w:val="-9"/>
                <w:sz w:val="20"/>
              </w:rPr>
              <w:t> </w:t>
            </w:r>
            <w:r>
              <w:rPr>
                <w:sz w:val="20"/>
              </w:rPr>
              <w:t>A16.26.144,</w:t>
            </w:r>
            <w:r>
              <w:rPr>
                <w:spacing w:val="-10"/>
                <w:sz w:val="20"/>
              </w:rPr>
              <w:t> </w:t>
            </w:r>
            <w:r>
              <w:rPr>
                <w:spacing w:val="-2"/>
                <w:sz w:val="20"/>
              </w:rPr>
              <w:t>A16.26.148,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sz w:val="20"/>
              </w:rPr>
              <w:t>A16.26.149,</w:t>
            </w:r>
            <w:r>
              <w:rPr>
                <w:spacing w:val="-8"/>
                <w:sz w:val="20"/>
              </w:rPr>
              <w:t> </w:t>
            </w:r>
            <w:r>
              <w:rPr>
                <w:sz w:val="20"/>
              </w:rPr>
              <w:t>A22.26.001,</w:t>
            </w:r>
            <w:r>
              <w:rPr>
                <w:spacing w:val="-9"/>
                <w:sz w:val="20"/>
              </w:rPr>
              <w:t> </w:t>
            </w:r>
            <w:r>
              <w:rPr>
                <w:spacing w:val="-2"/>
                <w:sz w:val="20"/>
              </w:rPr>
              <w:t>A22.26.002,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A22.26.003,</w:t>
            </w:r>
            <w:r>
              <w:rPr>
                <w:spacing w:val="-9"/>
                <w:sz w:val="20"/>
              </w:rPr>
              <w:t> </w:t>
            </w:r>
            <w:r>
              <w:rPr>
                <w:sz w:val="20"/>
              </w:rPr>
              <w:t>A22.26.004,</w:t>
            </w:r>
            <w:r>
              <w:rPr>
                <w:spacing w:val="-10"/>
                <w:sz w:val="20"/>
              </w:rPr>
              <w:t> </w:t>
            </w:r>
            <w:r>
              <w:rPr>
                <w:spacing w:val="-2"/>
                <w:sz w:val="20"/>
              </w:rPr>
              <w:t>A22.26.005,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A22.26.006,</w:t>
            </w:r>
            <w:r>
              <w:rPr>
                <w:spacing w:val="-9"/>
                <w:sz w:val="20"/>
              </w:rPr>
              <w:t> </w:t>
            </w:r>
            <w:r>
              <w:rPr>
                <w:sz w:val="20"/>
              </w:rPr>
              <w:t>A22.26.007,</w:t>
            </w:r>
            <w:r>
              <w:rPr>
                <w:spacing w:val="-10"/>
                <w:sz w:val="20"/>
              </w:rPr>
              <w:t> </w:t>
            </w:r>
            <w:r>
              <w:rPr>
                <w:spacing w:val="-2"/>
                <w:sz w:val="20"/>
              </w:rPr>
              <w:t>A22.26.009,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A22.26.013,</w:t>
            </w:r>
            <w:r>
              <w:rPr>
                <w:spacing w:val="-9"/>
                <w:sz w:val="20"/>
              </w:rPr>
              <w:t> </w:t>
            </w:r>
            <w:r>
              <w:rPr>
                <w:sz w:val="20"/>
              </w:rPr>
              <w:t>A22.26.016,</w:t>
            </w:r>
            <w:r>
              <w:rPr>
                <w:spacing w:val="-10"/>
                <w:sz w:val="20"/>
              </w:rPr>
              <w:t> </w:t>
            </w:r>
            <w:r>
              <w:rPr>
                <w:spacing w:val="-2"/>
                <w:sz w:val="20"/>
              </w:rPr>
              <w:t>A22.26.019,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sz w:val="20"/>
              </w:rPr>
              <w:t>A22.26.020,</w:t>
            </w:r>
            <w:r>
              <w:rPr>
                <w:spacing w:val="-9"/>
                <w:sz w:val="20"/>
              </w:rPr>
              <w:t> </w:t>
            </w:r>
            <w:r>
              <w:rPr>
                <w:sz w:val="20"/>
              </w:rPr>
              <w:t>A22.26.021,</w:t>
            </w:r>
            <w:r>
              <w:rPr>
                <w:spacing w:val="-10"/>
                <w:sz w:val="20"/>
              </w:rPr>
              <w:t> </w:t>
            </w:r>
            <w:r>
              <w:rPr>
                <w:spacing w:val="-2"/>
                <w:sz w:val="20"/>
              </w:rPr>
              <w:t>A22.26.022,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24" w:lineRule="exact"/>
              <w:ind w:left="1150" w:right="641"/>
              <w:jc w:val="center"/>
              <w:rPr>
                <w:sz w:val="20"/>
              </w:rPr>
            </w:pPr>
            <w:r>
              <w:rPr>
                <w:spacing w:val="-2"/>
                <w:sz w:val="20"/>
              </w:rPr>
              <w:t>A22.26.023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8" w:type="dxa"/>
          </w:tcPr>
          <w:p>
            <w:pPr>
              <w:pStyle w:val="TableParagraph"/>
              <w:spacing w:line="215" w:lineRule="exact" w:before="46"/>
              <w:ind w:left="50"/>
              <w:rPr>
                <w:sz w:val="20"/>
              </w:rPr>
            </w:pPr>
            <w:r>
              <w:rPr>
                <w:spacing w:val="-2"/>
                <w:sz w:val="20"/>
              </w:rPr>
              <w:t>ds21.003</w:t>
            </w:r>
          </w:p>
        </w:tc>
        <w:tc>
          <w:tcPr>
            <w:tcW w:w="696" w:type="dxa"/>
          </w:tcPr>
          <w:p>
            <w:pPr>
              <w:pStyle w:val="TableParagraph"/>
              <w:spacing w:line="215" w:lineRule="exact" w:before="46"/>
              <w:ind w:left="200"/>
              <w:rPr>
                <w:sz w:val="20"/>
              </w:rPr>
            </w:pPr>
            <w:r>
              <w:rPr>
                <w:spacing w:val="-5"/>
                <w:sz w:val="20"/>
              </w:rPr>
              <w:t>111</w:t>
            </w:r>
          </w:p>
        </w:tc>
        <w:tc>
          <w:tcPr>
            <w:tcW w:w="3295"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50" w:right="642"/>
              <w:jc w:val="center"/>
              <w:rPr>
                <w:sz w:val="20"/>
              </w:rPr>
            </w:pPr>
            <w:r>
              <w:rPr>
                <w:w w:val="95"/>
                <w:sz w:val="20"/>
              </w:rPr>
              <w:t>A16.26.007.002,</w:t>
            </w:r>
            <w:r>
              <w:rPr>
                <w:spacing w:val="54"/>
                <w:sz w:val="20"/>
              </w:rPr>
              <w:t> </w:t>
            </w:r>
            <w:r>
              <w:rPr>
                <w:spacing w:val="-2"/>
                <w:sz w:val="20"/>
              </w:rPr>
              <w:t>A16.26.022,</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1,09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10"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2)</w:t>
            </w: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A16.26.023,</w:t>
            </w:r>
            <w:r>
              <w:rPr>
                <w:spacing w:val="-9"/>
                <w:sz w:val="20"/>
              </w:rPr>
              <w:t> </w:t>
            </w:r>
            <w:r>
              <w:rPr>
                <w:spacing w:val="-2"/>
                <w:sz w:val="20"/>
              </w:rPr>
              <w:t>A16.26.052,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A16.26.052.001,</w:t>
            </w:r>
            <w:r>
              <w:rPr>
                <w:spacing w:val="54"/>
                <w:sz w:val="20"/>
              </w:rPr>
              <w:t> </w:t>
            </w:r>
            <w:r>
              <w:rPr>
                <w:spacing w:val="-2"/>
                <w:sz w:val="20"/>
              </w:rPr>
              <w:t>A16.26.058,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A16.26.060,</w:t>
            </w:r>
            <w:r>
              <w:rPr>
                <w:spacing w:val="-9"/>
                <w:sz w:val="20"/>
              </w:rPr>
              <w:t> </w:t>
            </w:r>
            <w:r>
              <w:rPr>
                <w:sz w:val="20"/>
              </w:rPr>
              <w:t>A16.26.061,</w:t>
            </w:r>
            <w:r>
              <w:rPr>
                <w:spacing w:val="-10"/>
                <w:sz w:val="20"/>
              </w:rPr>
              <w:t> </w:t>
            </w:r>
            <w:r>
              <w:rPr>
                <w:spacing w:val="-2"/>
                <w:sz w:val="20"/>
              </w:rPr>
              <w:t>A16.26.062,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A16.26.063,</w:t>
            </w:r>
            <w:r>
              <w:rPr>
                <w:spacing w:val="-9"/>
                <w:sz w:val="20"/>
              </w:rPr>
              <w:t> </w:t>
            </w:r>
            <w:r>
              <w:rPr>
                <w:sz w:val="20"/>
              </w:rPr>
              <w:t>A16.26.064,</w:t>
            </w:r>
            <w:r>
              <w:rPr>
                <w:spacing w:val="-10"/>
                <w:sz w:val="20"/>
              </w:rPr>
              <w:t> </w:t>
            </w:r>
            <w:r>
              <w:rPr>
                <w:spacing w:val="-2"/>
                <w:sz w:val="20"/>
              </w:rPr>
              <w:t>A16.26.065,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A16.26.066,</w:t>
            </w:r>
            <w:r>
              <w:rPr>
                <w:spacing w:val="-9"/>
                <w:sz w:val="20"/>
              </w:rPr>
              <w:t> </w:t>
            </w:r>
            <w:r>
              <w:rPr>
                <w:sz w:val="20"/>
              </w:rPr>
              <w:t>A16.26.067,</w:t>
            </w:r>
            <w:r>
              <w:rPr>
                <w:spacing w:val="-10"/>
                <w:sz w:val="20"/>
              </w:rPr>
              <w:t> </w:t>
            </w:r>
            <w:r>
              <w:rPr>
                <w:spacing w:val="-2"/>
                <w:sz w:val="20"/>
              </w:rPr>
              <w:t>A16.26.068,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A16.26.069,</w:t>
            </w:r>
            <w:r>
              <w:rPr>
                <w:spacing w:val="-9"/>
                <w:sz w:val="20"/>
              </w:rPr>
              <w:t> </w:t>
            </w:r>
            <w:r>
              <w:rPr>
                <w:spacing w:val="-2"/>
                <w:sz w:val="20"/>
              </w:rPr>
              <w:t>A16.26.070,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A16.26.073.001,</w:t>
            </w:r>
            <w:r>
              <w:rPr>
                <w:spacing w:val="54"/>
                <w:sz w:val="20"/>
              </w:rPr>
              <w:t> </w:t>
            </w:r>
            <w:r>
              <w:rPr>
                <w:spacing w:val="-2"/>
                <w:sz w:val="20"/>
              </w:rPr>
              <w:t>A16.26.073.003,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A16.26.075,</w:t>
            </w:r>
            <w:r>
              <w:rPr>
                <w:spacing w:val="-9"/>
                <w:sz w:val="20"/>
              </w:rPr>
              <w:t> </w:t>
            </w:r>
            <w:r>
              <w:rPr>
                <w:spacing w:val="-2"/>
                <w:sz w:val="20"/>
              </w:rPr>
              <w:t>A16.26.076,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A16.26.076.001,</w:t>
            </w:r>
            <w:r>
              <w:rPr>
                <w:spacing w:val="54"/>
                <w:sz w:val="20"/>
              </w:rPr>
              <w:t> </w:t>
            </w:r>
            <w:r>
              <w:rPr>
                <w:spacing w:val="-2"/>
                <w:sz w:val="20"/>
              </w:rPr>
              <w:t>A16.26.077,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A16.26.078,</w:t>
            </w:r>
            <w:r>
              <w:rPr>
                <w:spacing w:val="-9"/>
                <w:sz w:val="20"/>
              </w:rPr>
              <w:t> </w:t>
            </w:r>
            <w:r>
              <w:rPr>
                <w:sz w:val="20"/>
              </w:rPr>
              <w:t>A16.26.079,</w:t>
            </w:r>
            <w:r>
              <w:rPr>
                <w:spacing w:val="-10"/>
                <w:sz w:val="20"/>
              </w:rPr>
              <w:t> </w:t>
            </w:r>
            <w:r>
              <w:rPr>
                <w:spacing w:val="-2"/>
                <w:sz w:val="20"/>
              </w:rPr>
              <w:t>A16.26.084,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A16.26.096,</w:t>
            </w:r>
            <w:r>
              <w:rPr>
                <w:spacing w:val="-9"/>
                <w:sz w:val="20"/>
              </w:rPr>
              <w:t> </w:t>
            </w:r>
            <w:r>
              <w:rPr>
                <w:sz w:val="20"/>
              </w:rPr>
              <w:t>A16.26.097,</w:t>
            </w:r>
            <w:r>
              <w:rPr>
                <w:spacing w:val="-10"/>
                <w:sz w:val="20"/>
              </w:rPr>
              <w:t> </w:t>
            </w:r>
            <w:r>
              <w:rPr>
                <w:spacing w:val="-2"/>
                <w:sz w:val="20"/>
              </w:rPr>
              <w:t>A16.26.098,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A16.26.112,</w:t>
            </w:r>
            <w:r>
              <w:rPr>
                <w:spacing w:val="-9"/>
                <w:sz w:val="20"/>
              </w:rPr>
              <w:t> </w:t>
            </w:r>
            <w:r>
              <w:rPr>
                <w:spacing w:val="-2"/>
                <w:sz w:val="20"/>
              </w:rPr>
              <w:t>A16.26.116,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A16.26.120.002,</w:t>
            </w:r>
            <w:r>
              <w:rPr>
                <w:spacing w:val="54"/>
                <w:sz w:val="20"/>
              </w:rPr>
              <w:t> </w:t>
            </w:r>
            <w:r>
              <w:rPr>
                <w:spacing w:val="-2"/>
                <w:sz w:val="20"/>
              </w:rPr>
              <w:t>A16.26.132,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A16.26.143,</w:t>
            </w:r>
            <w:r>
              <w:rPr>
                <w:spacing w:val="-9"/>
                <w:sz w:val="20"/>
              </w:rPr>
              <w:t> </w:t>
            </w:r>
            <w:r>
              <w:rPr>
                <w:sz w:val="20"/>
              </w:rPr>
              <w:t>A16.26.147,</w:t>
            </w:r>
            <w:r>
              <w:rPr>
                <w:spacing w:val="-10"/>
                <w:sz w:val="20"/>
              </w:rPr>
              <w:t> </w:t>
            </w:r>
            <w:r>
              <w:rPr>
                <w:spacing w:val="-2"/>
                <w:sz w:val="20"/>
              </w:rPr>
              <w:t>A22.26.011,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295" w:type="dxa"/>
          </w:tcPr>
          <w:p>
            <w:pPr>
              <w:pStyle w:val="TableParagraph"/>
              <w:rPr>
                <w:sz w:val="18"/>
              </w:rPr>
            </w:pPr>
          </w:p>
        </w:tc>
        <w:tc>
          <w:tcPr>
            <w:tcW w:w="2611"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A22.26.018,</w:t>
            </w:r>
            <w:r>
              <w:rPr>
                <w:spacing w:val="-9"/>
                <w:sz w:val="20"/>
              </w:rPr>
              <w:t> </w:t>
            </w:r>
            <w:r>
              <w:rPr>
                <w:spacing w:val="-2"/>
                <w:sz w:val="20"/>
              </w:rPr>
              <w:t>A24.26.004</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ds21.004</w:t>
            </w:r>
          </w:p>
        </w:tc>
        <w:tc>
          <w:tcPr>
            <w:tcW w:w="696" w:type="dxa"/>
          </w:tcPr>
          <w:p>
            <w:pPr>
              <w:pStyle w:val="TableParagraph"/>
              <w:spacing w:line="215" w:lineRule="exact" w:before="46"/>
              <w:ind w:left="200"/>
              <w:rPr>
                <w:sz w:val="20"/>
              </w:rPr>
            </w:pPr>
            <w:r>
              <w:rPr>
                <w:spacing w:val="-5"/>
                <w:sz w:val="20"/>
              </w:rPr>
              <w:t>112</w:t>
            </w:r>
          </w:p>
        </w:tc>
        <w:tc>
          <w:tcPr>
            <w:tcW w:w="3295"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47" w:right="644"/>
              <w:jc w:val="center"/>
              <w:rPr>
                <w:sz w:val="20"/>
              </w:rPr>
            </w:pPr>
            <w:r>
              <w:rPr>
                <w:sz w:val="20"/>
              </w:rPr>
              <w:t>A16.26.003,</w:t>
            </w:r>
            <w:r>
              <w:rPr>
                <w:spacing w:val="-9"/>
                <w:sz w:val="20"/>
              </w:rPr>
              <w:t> </w:t>
            </w:r>
            <w:r>
              <w:rPr>
                <w:sz w:val="20"/>
              </w:rPr>
              <w:t>A16.26.004,</w:t>
            </w:r>
            <w:r>
              <w:rPr>
                <w:spacing w:val="-10"/>
                <w:sz w:val="20"/>
              </w:rPr>
              <w:t> </w:t>
            </w:r>
            <w:r>
              <w:rPr>
                <w:spacing w:val="-2"/>
                <w:sz w:val="20"/>
              </w:rPr>
              <w:t>A16.26.006,</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1,62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09"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3)</w:t>
            </w:r>
          </w:p>
        </w:tc>
        <w:tc>
          <w:tcPr>
            <w:tcW w:w="2611" w:type="dxa"/>
          </w:tcPr>
          <w:p>
            <w:pPr>
              <w:pStyle w:val="TableParagraph"/>
              <w:rPr>
                <w:sz w:val="16"/>
              </w:rPr>
            </w:pPr>
          </w:p>
        </w:tc>
        <w:tc>
          <w:tcPr>
            <w:tcW w:w="4881" w:type="dxa"/>
          </w:tcPr>
          <w:p>
            <w:pPr>
              <w:pStyle w:val="TableParagraph"/>
              <w:spacing w:line="209" w:lineRule="exact"/>
              <w:ind w:left="1149" w:right="644"/>
              <w:jc w:val="center"/>
              <w:rPr>
                <w:sz w:val="20"/>
              </w:rPr>
            </w:pPr>
            <w:r>
              <w:rPr>
                <w:sz w:val="20"/>
              </w:rPr>
              <w:t>A16.26.008,</w:t>
            </w:r>
            <w:r>
              <w:rPr>
                <w:spacing w:val="-9"/>
                <w:sz w:val="20"/>
              </w:rPr>
              <w:t> </w:t>
            </w:r>
            <w:r>
              <w:rPr>
                <w:spacing w:val="-2"/>
                <w:sz w:val="20"/>
              </w:rPr>
              <w:t>A16.26.008.001,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A16.26.009,</w:t>
            </w:r>
            <w:r>
              <w:rPr>
                <w:spacing w:val="-9"/>
                <w:sz w:val="20"/>
              </w:rPr>
              <w:t> </w:t>
            </w:r>
            <w:r>
              <w:rPr>
                <w:sz w:val="20"/>
              </w:rPr>
              <w:t>A16.26.010,</w:t>
            </w:r>
            <w:r>
              <w:rPr>
                <w:spacing w:val="-10"/>
                <w:sz w:val="20"/>
              </w:rPr>
              <w:t> </w:t>
            </w:r>
            <w:r>
              <w:rPr>
                <w:spacing w:val="-2"/>
                <w:sz w:val="20"/>
              </w:rPr>
              <w:t>A16.26.017,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A16.26.021,</w:t>
            </w:r>
            <w:r>
              <w:rPr>
                <w:spacing w:val="-9"/>
                <w:sz w:val="20"/>
              </w:rPr>
              <w:t> </w:t>
            </w:r>
            <w:r>
              <w:rPr>
                <w:sz w:val="20"/>
              </w:rPr>
              <w:t>A16.26.028,</w:t>
            </w:r>
            <w:r>
              <w:rPr>
                <w:spacing w:val="-10"/>
                <w:sz w:val="20"/>
              </w:rPr>
              <w:t> </w:t>
            </w:r>
            <w:r>
              <w:rPr>
                <w:spacing w:val="-2"/>
                <w:sz w:val="20"/>
              </w:rPr>
              <w:t>A16.26.029,</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5" w:lineRule="exact"/>
              <w:ind w:left="1147" w:right="644"/>
              <w:jc w:val="center"/>
              <w:rPr>
                <w:sz w:val="20"/>
              </w:rPr>
            </w:pPr>
            <w:r>
              <w:rPr>
                <w:sz w:val="20"/>
              </w:rPr>
              <w:t>A16.26.030,</w:t>
            </w:r>
            <w:r>
              <w:rPr>
                <w:spacing w:val="-9"/>
                <w:sz w:val="20"/>
              </w:rPr>
              <w:t> </w:t>
            </w:r>
            <w:r>
              <w:rPr>
                <w:sz w:val="20"/>
              </w:rPr>
              <w:t>A16.26.031,</w:t>
            </w:r>
            <w:r>
              <w:rPr>
                <w:spacing w:val="-10"/>
                <w:sz w:val="20"/>
              </w:rPr>
              <w:t> </w:t>
            </w:r>
            <w:r>
              <w:rPr>
                <w:spacing w:val="-2"/>
                <w:sz w:val="20"/>
              </w:rPr>
              <w:t>A16.26.032,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295"/>
        <w:gridCol w:w="2611"/>
        <w:gridCol w:w="4881"/>
        <w:gridCol w:w="1574"/>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3295" w:type="dxa"/>
            <w:vMerge w:val="restart"/>
          </w:tcPr>
          <w:p>
            <w:pPr>
              <w:pStyle w:val="TableParagraph"/>
              <w:rPr>
                <w:sz w:val="18"/>
              </w:rPr>
            </w:pPr>
          </w:p>
        </w:tc>
        <w:tc>
          <w:tcPr>
            <w:tcW w:w="2611" w:type="dxa"/>
            <w:vMerge w:val="restart"/>
          </w:tcPr>
          <w:p>
            <w:pPr>
              <w:pStyle w:val="TableParagraph"/>
              <w:rPr>
                <w:sz w:val="18"/>
              </w:rPr>
            </w:pPr>
          </w:p>
        </w:tc>
        <w:tc>
          <w:tcPr>
            <w:tcW w:w="4881" w:type="dxa"/>
          </w:tcPr>
          <w:p>
            <w:pPr>
              <w:pStyle w:val="TableParagraph"/>
              <w:spacing w:line="205" w:lineRule="exact"/>
              <w:ind w:left="1147" w:right="644"/>
              <w:jc w:val="center"/>
              <w:rPr>
                <w:sz w:val="20"/>
              </w:rPr>
            </w:pPr>
            <w:r>
              <w:rPr>
                <w:sz w:val="20"/>
              </w:rPr>
              <w:t>A16.26.039,</w:t>
            </w:r>
            <w:r>
              <w:rPr>
                <w:spacing w:val="-9"/>
                <w:sz w:val="20"/>
              </w:rPr>
              <w:t> </w:t>
            </w:r>
            <w:r>
              <w:rPr>
                <w:sz w:val="20"/>
              </w:rPr>
              <w:t>A16.26.041,</w:t>
            </w:r>
            <w:r>
              <w:rPr>
                <w:spacing w:val="-10"/>
                <w:sz w:val="20"/>
              </w:rPr>
              <w:t> </w:t>
            </w:r>
            <w:r>
              <w:rPr>
                <w:spacing w:val="-2"/>
                <w:sz w:val="20"/>
              </w:rPr>
              <w:t>A16.26.045,</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w w:val="95"/>
                <w:sz w:val="20"/>
              </w:rPr>
              <w:t>A16.26.049.007,</w:t>
            </w:r>
            <w:r>
              <w:rPr>
                <w:spacing w:val="54"/>
                <w:sz w:val="20"/>
              </w:rPr>
              <w:t> </w:t>
            </w:r>
            <w:r>
              <w:rPr>
                <w:spacing w:val="-2"/>
                <w:sz w:val="20"/>
              </w:rPr>
              <w:t>A16.26.049.009,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sz w:val="20"/>
              </w:rPr>
              <w:t>A16.26.057,</w:t>
            </w:r>
            <w:r>
              <w:rPr>
                <w:spacing w:val="-9"/>
                <w:sz w:val="20"/>
              </w:rPr>
              <w:t> </w:t>
            </w:r>
            <w:r>
              <w:rPr>
                <w:sz w:val="20"/>
              </w:rPr>
              <w:t>A16.26.071,</w:t>
            </w:r>
            <w:r>
              <w:rPr>
                <w:spacing w:val="-10"/>
                <w:sz w:val="20"/>
              </w:rPr>
              <w:t> </w:t>
            </w:r>
            <w:r>
              <w:rPr>
                <w:spacing w:val="-2"/>
                <w:sz w:val="20"/>
              </w:rPr>
              <w:t>A16.26.074,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A16.26.075.001,</w:t>
            </w:r>
            <w:r>
              <w:rPr>
                <w:spacing w:val="54"/>
                <w:sz w:val="20"/>
              </w:rPr>
              <w:t> </w:t>
            </w:r>
            <w:r>
              <w:rPr>
                <w:spacing w:val="-2"/>
                <w:sz w:val="20"/>
              </w:rPr>
              <w:t>A16.26.088,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A16.26.089.001,</w:t>
            </w:r>
            <w:r>
              <w:rPr>
                <w:spacing w:val="54"/>
                <w:sz w:val="20"/>
              </w:rPr>
              <w:t> </w:t>
            </w:r>
            <w:r>
              <w:rPr>
                <w:spacing w:val="-2"/>
                <w:sz w:val="20"/>
              </w:rPr>
              <w:t>A16.26.092,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A16.26.092.001,</w:t>
            </w:r>
            <w:r>
              <w:rPr>
                <w:spacing w:val="54"/>
                <w:sz w:val="20"/>
              </w:rPr>
              <w:t> </w:t>
            </w:r>
            <w:r>
              <w:rPr>
                <w:spacing w:val="-2"/>
                <w:sz w:val="20"/>
              </w:rPr>
              <w:t>A16.26.092.004,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1" w:lineRule="exact"/>
              <w:ind w:left="1149" w:right="644"/>
              <w:jc w:val="center"/>
              <w:rPr>
                <w:sz w:val="20"/>
              </w:rPr>
            </w:pPr>
            <w:r>
              <w:rPr>
                <w:w w:val="95"/>
                <w:sz w:val="20"/>
              </w:rPr>
              <w:t>A16.26.092.005,</w:t>
            </w:r>
            <w:r>
              <w:rPr>
                <w:spacing w:val="54"/>
                <w:sz w:val="20"/>
              </w:rPr>
              <w:t> </w:t>
            </w:r>
            <w:r>
              <w:rPr>
                <w:spacing w:val="-2"/>
                <w:sz w:val="20"/>
              </w:rPr>
              <w:t>A16.26.099,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A16.26.099.002,</w:t>
            </w:r>
            <w:r>
              <w:rPr>
                <w:spacing w:val="54"/>
                <w:sz w:val="20"/>
              </w:rPr>
              <w:t> </w:t>
            </w:r>
            <w:r>
              <w:rPr>
                <w:spacing w:val="-2"/>
                <w:sz w:val="20"/>
              </w:rPr>
              <w:t>A16.26.111.001,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w w:val="95"/>
                <w:sz w:val="20"/>
              </w:rPr>
              <w:t>A16.26.111.002,</w:t>
            </w:r>
            <w:r>
              <w:rPr>
                <w:spacing w:val="54"/>
                <w:sz w:val="20"/>
              </w:rPr>
              <w:t> </w:t>
            </w:r>
            <w:r>
              <w:rPr>
                <w:spacing w:val="-2"/>
                <w:sz w:val="20"/>
              </w:rPr>
              <w:t>A16.26.111.003,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A16.26.111.004,</w:t>
            </w:r>
            <w:r>
              <w:rPr>
                <w:spacing w:val="54"/>
                <w:sz w:val="20"/>
              </w:rPr>
              <w:t> </w:t>
            </w:r>
            <w:r>
              <w:rPr>
                <w:spacing w:val="-2"/>
                <w:sz w:val="20"/>
              </w:rPr>
              <w:t>A16.26.117,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50" w:right="642"/>
              <w:jc w:val="center"/>
              <w:rPr>
                <w:sz w:val="20"/>
              </w:rPr>
            </w:pPr>
            <w:r>
              <w:rPr>
                <w:w w:val="95"/>
                <w:sz w:val="20"/>
              </w:rPr>
              <w:t>A16.26.117.001,</w:t>
            </w:r>
            <w:r>
              <w:rPr>
                <w:spacing w:val="54"/>
                <w:sz w:val="20"/>
              </w:rPr>
              <w:t> </w:t>
            </w:r>
            <w:r>
              <w:rPr>
                <w:spacing w:val="-2"/>
                <w:sz w:val="20"/>
              </w:rPr>
              <w:t>A16.26.118,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A16.26.134,</w:t>
            </w:r>
            <w:r>
              <w:rPr>
                <w:spacing w:val="-9"/>
                <w:sz w:val="20"/>
              </w:rPr>
              <w:t> </w:t>
            </w:r>
            <w:r>
              <w:rPr>
                <w:sz w:val="20"/>
              </w:rPr>
              <w:t>A16.26.140,</w:t>
            </w:r>
            <w:r>
              <w:rPr>
                <w:spacing w:val="-10"/>
                <w:sz w:val="20"/>
              </w:rPr>
              <w:t> </w:t>
            </w:r>
            <w:r>
              <w:rPr>
                <w:spacing w:val="-2"/>
                <w:sz w:val="20"/>
              </w:rPr>
              <w:t>A16.26.141,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A16.26.142,</w:t>
            </w:r>
            <w:r>
              <w:rPr>
                <w:spacing w:val="-9"/>
                <w:sz w:val="20"/>
              </w:rPr>
              <w:t> </w:t>
            </w:r>
            <w:r>
              <w:rPr>
                <w:sz w:val="20"/>
              </w:rPr>
              <w:t>A22.26.010,</w:t>
            </w:r>
            <w:r>
              <w:rPr>
                <w:spacing w:val="-10"/>
                <w:sz w:val="20"/>
              </w:rPr>
              <w:t> </w:t>
            </w:r>
            <w:r>
              <w:rPr>
                <w:spacing w:val="-2"/>
                <w:sz w:val="20"/>
              </w:rPr>
              <w:t>A22.26.027,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26" w:lineRule="exact"/>
              <w:ind w:left="1150" w:right="641"/>
              <w:jc w:val="center"/>
              <w:rPr>
                <w:sz w:val="20"/>
              </w:rPr>
            </w:pPr>
            <w:r>
              <w:rPr>
                <w:spacing w:val="-2"/>
                <w:sz w:val="20"/>
              </w:rPr>
              <w:t>A22.26.031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tcPr>
          <w:p>
            <w:pPr>
              <w:pStyle w:val="TableParagraph"/>
              <w:spacing w:line="215" w:lineRule="exact" w:before="45"/>
              <w:ind w:left="50"/>
              <w:rPr>
                <w:sz w:val="20"/>
              </w:rPr>
            </w:pPr>
            <w:r>
              <w:rPr>
                <w:spacing w:val="-2"/>
                <w:sz w:val="20"/>
              </w:rPr>
              <w:t>ds21.005</w:t>
            </w:r>
          </w:p>
        </w:tc>
        <w:tc>
          <w:tcPr>
            <w:tcW w:w="696" w:type="dxa"/>
          </w:tcPr>
          <w:p>
            <w:pPr>
              <w:pStyle w:val="TableParagraph"/>
              <w:spacing w:line="215" w:lineRule="exact" w:before="45"/>
              <w:ind w:left="200"/>
              <w:rPr>
                <w:sz w:val="20"/>
              </w:rPr>
            </w:pPr>
            <w:r>
              <w:rPr>
                <w:spacing w:val="-5"/>
                <w:sz w:val="20"/>
              </w:rPr>
              <w:t>113</w:t>
            </w:r>
          </w:p>
        </w:tc>
        <w:tc>
          <w:tcPr>
            <w:tcW w:w="3295"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w w:val="95"/>
                <w:sz w:val="20"/>
              </w:rPr>
              <w:t>A16.26.009.001,</w:t>
            </w:r>
            <w:r>
              <w:rPr>
                <w:spacing w:val="54"/>
                <w:sz w:val="20"/>
              </w:rPr>
              <w:t> </w:t>
            </w:r>
            <w:r>
              <w:rPr>
                <w:spacing w:val="-2"/>
                <w:sz w:val="20"/>
              </w:rPr>
              <w:t>A16.26.009.002,</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2,01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10"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4)</w:t>
            </w:r>
          </w:p>
        </w:tc>
        <w:tc>
          <w:tcPr>
            <w:tcW w:w="261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A16.26.010.001,</w:t>
            </w:r>
            <w:r>
              <w:rPr>
                <w:spacing w:val="54"/>
                <w:sz w:val="20"/>
              </w:rPr>
              <w:t> </w:t>
            </w:r>
            <w:r>
              <w:rPr>
                <w:spacing w:val="-2"/>
                <w:sz w:val="20"/>
              </w:rPr>
              <w:t>A16.26.010.002,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A16.26.019,</w:t>
            </w:r>
            <w:r>
              <w:rPr>
                <w:spacing w:val="-9"/>
                <w:sz w:val="20"/>
              </w:rPr>
              <w:t> </w:t>
            </w:r>
            <w:r>
              <w:rPr>
                <w:sz w:val="20"/>
              </w:rPr>
              <w:t>A16.26.027,</w:t>
            </w:r>
            <w:r>
              <w:rPr>
                <w:spacing w:val="-10"/>
                <w:sz w:val="20"/>
              </w:rPr>
              <w:t> </w:t>
            </w:r>
            <w:r>
              <w:rPr>
                <w:spacing w:val="-2"/>
                <w:sz w:val="20"/>
              </w:rPr>
              <w:t>A16.26.038,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9" w:right="644"/>
              <w:jc w:val="center"/>
              <w:rPr>
                <w:sz w:val="20"/>
              </w:rPr>
            </w:pPr>
            <w:r>
              <w:rPr>
                <w:sz w:val="20"/>
              </w:rPr>
              <w:t>A16.26.040,</w:t>
            </w:r>
            <w:r>
              <w:rPr>
                <w:spacing w:val="-9"/>
                <w:sz w:val="20"/>
              </w:rPr>
              <w:t> </w:t>
            </w:r>
            <w:r>
              <w:rPr>
                <w:spacing w:val="-2"/>
                <w:sz w:val="20"/>
              </w:rPr>
              <w:t>A16.26.065.001,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A16.26.081,</w:t>
            </w:r>
            <w:r>
              <w:rPr>
                <w:spacing w:val="-9"/>
                <w:sz w:val="20"/>
              </w:rPr>
              <w:t> </w:t>
            </w:r>
            <w:r>
              <w:rPr>
                <w:sz w:val="20"/>
              </w:rPr>
              <w:t>A16.26.082,</w:t>
            </w:r>
            <w:r>
              <w:rPr>
                <w:spacing w:val="-10"/>
                <w:sz w:val="20"/>
              </w:rPr>
              <w:t> </w:t>
            </w:r>
            <w:r>
              <w:rPr>
                <w:spacing w:val="-2"/>
                <w:sz w:val="20"/>
              </w:rPr>
              <w:t>A16.26.086,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A16.26.091,</w:t>
            </w:r>
            <w:r>
              <w:rPr>
                <w:spacing w:val="-9"/>
                <w:sz w:val="20"/>
              </w:rPr>
              <w:t> </w:t>
            </w:r>
            <w:r>
              <w:rPr>
                <w:spacing w:val="-2"/>
                <w:sz w:val="20"/>
              </w:rPr>
              <w:t>A16.26.092.002,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A16.26.093,</w:t>
            </w:r>
            <w:r>
              <w:rPr>
                <w:spacing w:val="-9"/>
                <w:sz w:val="20"/>
              </w:rPr>
              <w:t> </w:t>
            </w:r>
            <w:r>
              <w:rPr>
                <w:sz w:val="20"/>
              </w:rPr>
              <w:t>A16.26.094,</w:t>
            </w:r>
            <w:r>
              <w:rPr>
                <w:spacing w:val="-10"/>
                <w:sz w:val="20"/>
              </w:rPr>
              <w:t> </w:t>
            </w:r>
            <w:r>
              <w:rPr>
                <w:spacing w:val="-2"/>
                <w:sz w:val="20"/>
              </w:rPr>
              <w:t>A16.26.095,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A16.26.099.001,</w:t>
            </w:r>
            <w:r>
              <w:rPr>
                <w:spacing w:val="54"/>
                <w:sz w:val="20"/>
              </w:rPr>
              <w:t> </w:t>
            </w:r>
            <w:r>
              <w:rPr>
                <w:spacing w:val="-2"/>
                <w:sz w:val="20"/>
              </w:rPr>
              <w:t>A16.26.102,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A16.26.106,</w:t>
            </w:r>
            <w:r>
              <w:rPr>
                <w:spacing w:val="-9"/>
                <w:sz w:val="20"/>
              </w:rPr>
              <w:t> </w:t>
            </w:r>
            <w:r>
              <w:rPr>
                <w:spacing w:val="-2"/>
                <w:sz w:val="20"/>
              </w:rPr>
              <w:t>A16.26.111,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A16.26.111.005,</w:t>
            </w:r>
            <w:r>
              <w:rPr>
                <w:spacing w:val="54"/>
                <w:sz w:val="20"/>
              </w:rPr>
              <w:t> </w:t>
            </w:r>
            <w:r>
              <w:rPr>
                <w:spacing w:val="-2"/>
                <w:sz w:val="20"/>
              </w:rPr>
              <w:t>A16.26.111.006,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A16.26.111.007,</w:t>
            </w:r>
            <w:r>
              <w:rPr>
                <w:spacing w:val="54"/>
                <w:sz w:val="20"/>
              </w:rPr>
              <w:t> </w:t>
            </w:r>
            <w:r>
              <w:rPr>
                <w:spacing w:val="-2"/>
                <w:sz w:val="20"/>
              </w:rPr>
              <w:t>A16.26.111.008,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w w:val="95"/>
                <w:sz w:val="20"/>
              </w:rPr>
              <w:t>A16.26.111.009,</w:t>
            </w:r>
            <w:r>
              <w:rPr>
                <w:spacing w:val="56"/>
                <w:sz w:val="20"/>
              </w:rPr>
              <w:t> </w:t>
            </w:r>
            <w:r>
              <w:rPr>
                <w:spacing w:val="-2"/>
                <w:sz w:val="20"/>
              </w:rPr>
              <w:t>A16.26.113,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A16.26.114,</w:t>
            </w:r>
            <w:r>
              <w:rPr>
                <w:spacing w:val="-9"/>
                <w:sz w:val="20"/>
              </w:rPr>
              <w:t> </w:t>
            </w:r>
            <w:r>
              <w:rPr>
                <w:sz w:val="20"/>
              </w:rPr>
              <w:t>A16.26.115,</w:t>
            </w:r>
            <w:r>
              <w:rPr>
                <w:spacing w:val="-10"/>
                <w:sz w:val="20"/>
              </w:rPr>
              <w:t> </w:t>
            </w:r>
            <w:r>
              <w:rPr>
                <w:spacing w:val="-2"/>
                <w:sz w:val="20"/>
              </w:rPr>
              <w:t>A16.26.125,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A16.26.127,</w:t>
            </w:r>
            <w:r>
              <w:rPr>
                <w:spacing w:val="-9"/>
                <w:sz w:val="20"/>
              </w:rPr>
              <w:t> </w:t>
            </w:r>
            <w:r>
              <w:rPr>
                <w:spacing w:val="-2"/>
                <w:sz w:val="20"/>
              </w:rPr>
              <w:t>A16.26.127.001,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A16.26.127.002,</w:t>
            </w:r>
            <w:r>
              <w:rPr>
                <w:spacing w:val="54"/>
                <w:sz w:val="20"/>
              </w:rPr>
              <w:t> </w:t>
            </w:r>
            <w:r>
              <w:rPr>
                <w:spacing w:val="-2"/>
                <w:sz w:val="20"/>
              </w:rPr>
              <w:t>A16.26.128,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A16.26.130,</w:t>
            </w:r>
            <w:r>
              <w:rPr>
                <w:spacing w:val="-9"/>
                <w:sz w:val="20"/>
              </w:rPr>
              <w:t> </w:t>
            </w:r>
            <w:r>
              <w:rPr>
                <w:sz w:val="20"/>
              </w:rPr>
              <w:t>A16.26.131,</w:t>
            </w:r>
            <w:r>
              <w:rPr>
                <w:spacing w:val="-10"/>
                <w:sz w:val="20"/>
              </w:rPr>
              <w:t> </w:t>
            </w:r>
            <w:r>
              <w:rPr>
                <w:spacing w:val="-2"/>
                <w:sz w:val="20"/>
              </w:rPr>
              <w:t>A16.26.146,</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295" w:type="dxa"/>
          </w:tcPr>
          <w:p>
            <w:pPr>
              <w:pStyle w:val="TableParagraph"/>
              <w:rPr>
                <w:sz w:val="18"/>
              </w:rPr>
            </w:pPr>
          </w:p>
        </w:tc>
        <w:tc>
          <w:tcPr>
            <w:tcW w:w="2611"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A22.26.014,</w:t>
            </w:r>
            <w:r>
              <w:rPr>
                <w:spacing w:val="-9"/>
                <w:sz w:val="20"/>
              </w:rPr>
              <w:t> </w:t>
            </w:r>
            <w:r>
              <w:rPr>
                <w:sz w:val="20"/>
              </w:rPr>
              <w:t>A22.26.015,</w:t>
            </w:r>
            <w:r>
              <w:rPr>
                <w:spacing w:val="-10"/>
                <w:sz w:val="20"/>
              </w:rPr>
              <w:t> </w:t>
            </w:r>
            <w:r>
              <w:rPr>
                <w:spacing w:val="-2"/>
                <w:sz w:val="20"/>
              </w:rPr>
              <w:t>A22.26.028</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ds21.006</w:t>
            </w:r>
          </w:p>
        </w:tc>
        <w:tc>
          <w:tcPr>
            <w:tcW w:w="696" w:type="dxa"/>
          </w:tcPr>
          <w:p>
            <w:pPr>
              <w:pStyle w:val="TableParagraph"/>
              <w:spacing w:line="215" w:lineRule="exact" w:before="46"/>
              <w:ind w:left="200"/>
              <w:rPr>
                <w:sz w:val="20"/>
              </w:rPr>
            </w:pPr>
            <w:r>
              <w:rPr>
                <w:spacing w:val="-5"/>
                <w:sz w:val="20"/>
              </w:rPr>
              <w:t>114</w:t>
            </w:r>
          </w:p>
        </w:tc>
        <w:tc>
          <w:tcPr>
            <w:tcW w:w="3295"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50" w:right="643"/>
              <w:jc w:val="center"/>
              <w:rPr>
                <w:sz w:val="20"/>
              </w:rPr>
            </w:pPr>
            <w:r>
              <w:rPr>
                <w:w w:val="95"/>
                <w:sz w:val="20"/>
              </w:rPr>
              <w:t>A16.26.021.001,</w:t>
            </w:r>
            <w:r>
              <w:rPr>
                <w:spacing w:val="54"/>
                <w:sz w:val="20"/>
              </w:rPr>
              <w:t> </w:t>
            </w:r>
            <w:r>
              <w:rPr>
                <w:spacing w:val="-2"/>
                <w:sz w:val="20"/>
              </w:rPr>
              <w:t>A16.26.041.001,</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3,50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09"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5)</w:t>
            </w:r>
          </w:p>
        </w:tc>
        <w:tc>
          <w:tcPr>
            <w:tcW w:w="261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A16.26.046.001,</w:t>
            </w:r>
            <w:r>
              <w:rPr>
                <w:spacing w:val="54"/>
                <w:sz w:val="20"/>
              </w:rPr>
              <w:t> </w:t>
            </w:r>
            <w:r>
              <w:rPr>
                <w:spacing w:val="-2"/>
                <w:sz w:val="20"/>
              </w:rPr>
              <w:t>A16.26.046.002,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A16.26.047,</w:t>
            </w:r>
            <w:r>
              <w:rPr>
                <w:spacing w:val="-9"/>
                <w:sz w:val="20"/>
              </w:rPr>
              <w:t> </w:t>
            </w:r>
            <w:r>
              <w:rPr>
                <w:sz w:val="20"/>
              </w:rPr>
              <w:t>A16.26.048,</w:t>
            </w:r>
            <w:r>
              <w:rPr>
                <w:spacing w:val="-10"/>
                <w:sz w:val="20"/>
              </w:rPr>
              <w:t> </w:t>
            </w:r>
            <w:r>
              <w:rPr>
                <w:spacing w:val="-2"/>
                <w:sz w:val="20"/>
              </w:rPr>
              <w:t>A16.26.049,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A16.26.049.001,</w:t>
            </w:r>
            <w:r>
              <w:rPr>
                <w:spacing w:val="54"/>
                <w:sz w:val="20"/>
              </w:rPr>
              <w:t> </w:t>
            </w:r>
            <w:r>
              <w:rPr>
                <w:spacing w:val="-2"/>
                <w:sz w:val="20"/>
              </w:rPr>
              <w:t>A16.26.049.002,</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5" w:lineRule="exact"/>
              <w:ind w:left="1148" w:right="644"/>
              <w:jc w:val="center"/>
              <w:rPr>
                <w:sz w:val="20"/>
              </w:rPr>
            </w:pPr>
            <w:r>
              <w:rPr>
                <w:w w:val="95"/>
                <w:sz w:val="20"/>
              </w:rPr>
              <w:t>A16.26.049.003,</w:t>
            </w:r>
            <w:r>
              <w:rPr>
                <w:spacing w:val="54"/>
                <w:sz w:val="20"/>
              </w:rPr>
              <w:t> </w:t>
            </w:r>
            <w:r>
              <w:rPr>
                <w:spacing w:val="-2"/>
                <w:sz w:val="20"/>
              </w:rPr>
              <w:t>A16.26.049.004,</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28"/>
        <w:gridCol w:w="5257"/>
        <w:gridCol w:w="1952"/>
        <w:gridCol w:w="3119"/>
        <w:gridCol w:w="864"/>
      </w:tblGrid>
      <w:tr>
        <w:trPr>
          <w:trHeight w:val="225" w:hRule="atLeast"/>
        </w:trPr>
        <w:tc>
          <w:tcPr>
            <w:tcW w:w="15294" w:type="dxa"/>
            <w:gridSpan w:val="7"/>
          </w:tcPr>
          <w:p>
            <w:pPr>
              <w:pStyle w:val="TableParagraph"/>
              <w:spacing w:line="205" w:lineRule="exact"/>
              <w:ind w:left="8905"/>
              <w:rPr>
                <w:sz w:val="20"/>
              </w:rPr>
            </w:pPr>
            <w:r>
              <w:rPr>
                <w:w w:val="95"/>
                <w:sz w:val="20"/>
              </w:rPr>
              <w:t>A16.26.049.005,</w:t>
            </w:r>
            <w:r>
              <w:rPr>
                <w:spacing w:val="54"/>
                <w:sz w:val="20"/>
              </w:rPr>
              <w:t> </w:t>
            </w:r>
            <w:r>
              <w:rPr>
                <w:spacing w:val="-2"/>
                <w:sz w:val="20"/>
              </w:rPr>
              <w:t>A16.26.049.006,</w:t>
            </w:r>
          </w:p>
        </w:tc>
      </w:tr>
      <w:tr>
        <w:trPr>
          <w:trHeight w:val="229" w:hRule="atLeast"/>
        </w:trPr>
        <w:tc>
          <w:tcPr>
            <w:tcW w:w="15294" w:type="dxa"/>
            <w:gridSpan w:val="7"/>
          </w:tcPr>
          <w:p>
            <w:pPr>
              <w:pStyle w:val="TableParagraph"/>
              <w:spacing w:line="209" w:lineRule="exact"/>
              <w:ind w:left="9080"/>
              <w:rPr>
                <w:sz w:val="20"/>
              </w:rPr>
            </w:pPr>
            <w:r>
              <w:rPr>
                <w:w w:val="95"/>
                <w:sz w:val="20"/>
              </w:rPr>
              <w:t>A16.26.049.008,</w:t>
            </w:r>
            <w:r>
              <w:rPr>
                <w:spacing w:val="54"/>
                <w:sz w:val="20"/>
              </w:rPr>
              <w:t> </w:t>
            </w:r>
            <w:r>
              <w:rPr>
                <w:spacing w:val="-2"/>
                <w:sz w:val="20"/>
              </w:rPr>
              <w:t>A16.26.050,</w:t>
            </w:r>
          </w:p>
        </w:tc>
      </w:tr>
      <w:tr>
        <w:trPr>
          <w:trHeight w:val="229" w:hRule="atLeast"/>
        </w:trPr>
        <w:tc>
          <w:tcPr>
            <w:tcW w:w="15294" w:type="dxa"/>
            <w:gridSpan w:val="7"/>
          </w:tcPr>
          <w:p>
            <w:pPr>
              <w:pStyle w:val="TableParagraph"/>
              <w:spacing w:line="209" w:lineRule="exact"/>
              <w:ind w:left="9080"/>
              <w:rPr>
                <w:sz w:val="20"/>
              </w:rPr>
            </w:pPr>
            <w:r>
              <w:rPr>
                <w:w w:val="95"/>
                <w:sz w:val="20"/>
              </w:rPr>
              <w:t>A16.26.064.001,</w:t>
            </w:r>
            <w:r>
              <w:rPr>
                <w:spacing w:val="54"/>
                <w:sz w:val="20"/>
              </w:rPr>
              <w:t> </w:t>
            </w:r>
            <w:r>
              <w:rPr>
                <w:spacing w:val="-2"/>
                <w:sz w:val="20"/>
              </w:rPr>
              <w:t>A16.26.080,</w:t>
            </w:r>
          </w:p>
        </w:tc>
      </w:tr>
      <w:tr>
        <w:trPr>
          <w:trHeight w:val="230" w:hRule="atLeast"/>
        </w:trPr>
        <w:tc>
          <w:tcPr>
            <w:tcW w:w="15294" w:type="dxa"/>
            <w:gridSpan w:val="7"/>
          </w:tcPr>
          <w:p>
            <w:pPr>
              <w:pStyle w:val="TableParagraph"/>
              <w:spacing w:line="210" w:lineRule="exact"/>
              <w:ind w:left="9080"/>
              <w:rPr>
                <w:sz w:val="20"/>
              </w:rPr>
            </w:pPr>
            <w:r>
              <w:rPr>
                <w:sz w:val="20"/>
              </w:rPr>
              <w:t>A16.26.085,</w:t>
            </w:r>
            <w:r>
              <w:rPr>
                <w:spacing w:val="-9"/>
                <w:sz w:val="20"/>
              </w:rPr>
              <w:t> </w:t>
            </w:r>
            <w:r>
              <w:rPr>
                <w:spacing w:val="-2"/>
                <w:sz w:val="20"/>
              </w:rPr>
              <w:t>A16.26.086.001,</w:t>
            </w:r>
          </w:p>
        </w:tc>
      </w:tr>
      <w:tr>
        <w:trPr>
          <w:trHeight w:val="230" w:hRule="atLeast"/>
        </w:trPr>
        <w:tc>
          <w:tcPr>
            <w:tcW w:w="15294" w:type="dxa"/>
            <w:gridSpan w:val="7"/>
          </w:tcPr>
          <w:p>
            <w:pPr>
              <w:pStyle w:val="TableParagraph"/>
              <w:spacing w:line="210" w:lineRule="exact"/>
              <w:ind w:left="9255"/>
              <w:rPr>
                <w:sz w:val="20"/>
              </w:rPr>
            </w:pPr>
            <w:r>
              <w:rPr>
                <w:sz w:val="20"/>
              </w:rPr>
              <w:t>A16.26.087,</w:t>
            </w:r>
            <w:r>
              <w:rPr>
                <w:spacing w:val="-9"/>
                <w:sz w:val="20"/>
              </w:rPr>
              <w:t> </w:t>
            </w:r>
            <w:r>
              <w:rPr>
                <w:spacing w:val="-2"/>
                <w:sz w:val="20"/>
              </w:rPr>
              <w:t>A16.26.089,</w:t>
            </w:r>
          </w:p>
        </w:tc>
      </w:tr>
      <w:tr>
        <w:trPr>
          <w:trHeight w:val="230" w:hRule="atLeast"/>
        </w:trPr>
        <w:tc>
          <w:tcPr>
            <w:tcW w:w="15294" w:type="dxa"/>
            <w:gridSpan w:val="7"/>
          </w:tcPr>
          <w:p>
            <w:pPr>
              <w:pStyle w:val="TableParagraph"/>
              <w:spacing w:line="210" w:lineRule="exact"/>
              <w:ind w:left="9080"/>
              <w:rPr>
                <w:sz w:val="20"/>
              </w:rPr>
            </w:pPr>
            <w:r>
              <w:rPr>
                <w:w w:val="95"/>
                <w:sz w:val="20"/>
              </w:rPr>
              <w:t>A16.26.089.002,</w:t>
            </w:r>
            <w:r>
              <w:rPr>
                <w:spacing w:val="54"/>
                <w:sz w:val="20"/>
              </w:rPr>
              <w:t> </w:t>
            </w:r>
            <w:r>
              <w:rPr>
                <w:spacing w:val="-2"/>
                <w:sz w:val="20"/>
              </w:rPr>
              <w:t>A16.26.090,</w:t>
            </w:r>
          </w:p>
        </w:tc>
      </w:tr>
      <w:tr>
        <w:trPr>
          <w:trHeight w:val="230" w:hRule="atLeast"/>
        </w:trPr>
        <w:tc>
          <w:tcPr>
            <w:tcW w:w="15294" w:type="dxa"/>
            <w:gridSpan w:val="7"/>
          </w:tcPr>
          <w:p>
            <w:pPr>
              <w:pStyle w:val="TableParagraph"/>
              <w:spacing w:line="211" w:lineRule="exact"/>
              <w:ind w:left="8905"/>
              <w:rPr>
                <w:sz w:val="20"/>
              </w:rPr>
            </w:pPr>
            <w:r>
              <w:rPr>
                <w:w w:val="95"/>
                <w:sz w:val="20"/>
              </w:rPr>
              <w:t>A16.26.092.003,</w:t>
            </w:r>
            <w:r>
              <w:rPr>
                <w:spacing w:val="54"/>
                <w:sz w:val="20"/>
              </w:rPr>
              <w:t> </w:t>
            </w:r>
            <w:r>
              <w:rPr>
                <w:spacing w:val="-2"/>
                <w:sz w:val="20"/>
              </w:rPr>
              <w:t>A16.26.093.001,</w:t>
            </w:r>
          </w:p>
        </w:tc>
      </w:tr>
      <w:tr>
        <w:trPr>
          <w:trHeight w:val="229" w:hRule="atLeast"/>
        </w:trPr>
        <w:tc>
          <w:tcPr>
            <w:tcW w:w="15294" w:type="dxa"/>
            <w:gridSpan w:val="7"/>
          </w:tcPr>
          <w:p>
            <w:pPr>
              <w:pStyle w:val="TableParagraph"/>
              <w:spacing w:line="210" w:lineRule="exact"/>
              <w:ind w:left="8905"/>
              <w:rPr>
                <w:sz w:val="20"/>
              </w:rPr>
            </w:pPr>
            <w:r>
              <w:rPr>
                <w:w w:val="95"/>
                <w:sz w:val="20"/>
              </w:rPr>
              <w:t>A16.26.093.002,</w:t>
            </w:r>
            <w:r>
              <w:rPr>
                <w:spacing w:val="54"/>
                <w:sz w:val="20"/>
              </w:rPr>
              <w:t> </w:t>
            </w:r>
            <w:r>
              <w:rPr>
                <w:spacing w:val="-2"/>
                <w:sz w:val="20"/>
              </w:rPr>
              <w:t>A16.26.094.001,</w:t>
            </w:r>
          </w:p>
        </w:tc>
      </w:tr>
      <w:tr>
        <w:trPr>
          <w:trHeight w:val="229" w:hRule="atLeast"/>
        </w:trPr>
        <w:tc>
          <w:tcPr>
            <w:tcW w:w="15294" w:type="dxa"/>
            <w:gridSpan w:val="7"/>
          </w:tcPr>
          <w:p>
            <w:pPr>
              <w:pStyle w:val="TableParagraph"/>
              <w:spacing w:line="209" w:lineRule="exact"/>
              <w:ind w:left="8732"/>
              <w:rPr>
                <w:sz w:val="20"/>
              </w:rPr>
            </w:pPr>
            <w:r>
              <w:rPr>
                <w:sz w:val="20"/>
              </w:rPr>
              <w:t>A16.26.100,</w:t>
            </w:r>
            <w:r>
              <w:rPr>
                <w:spacing w:val="-9"/>
                <w:sz w:val="20"/>
              </w:rPr>
              <w:t> </w:t>
            </w:r>
            <w:r>
              <w:rPr>
                <w:sz w:val="20"/>
              </w:rPr>
              <w:t>A16.26.101,</w:t>
            </w:r>
            <w:r>
              <w:rPr>
                <w:spacing w:val="-10"/>
                <w:sz w:val="20"/>
              </w:rPr>
              <w:t> </w:t>
            </w:r>
            <w:r>
              <w:rPr>
                <w:spacing w:val="-2"/>
                <w:sz w:val="20"/>
              </w:rPr>
              <w:t>A16.26.103,</w:t>
            </w:r>
          </w:p>
        </w:tc>
      </w:tr>
      <w:tr>
        <w:trPr>
          <w:trHeight w:val="230" w:hRule="atLeast"/>
        </w:trPr>
        <w:tc>
          <w:tcPr>
            <w:tcW w:w="15294" w:type="dxa"/>
            <w:gridSpan w:val="7"/>
          </w:tcPr>
          <w:p>
            <w:pPr>
              <w:pStyle w:val="TableParagraph"/>
              <w:spacing w:line="210" w:lineRule="exact"/>
              <w:ind w:left="8905"/>
              <w:rPr>
                <w:sz w:val="20"/>
              </w:rPr>
            </w:pPr>
            <w:r>
              <w:rPr>
                <w:w w:val="95"/>
                <w:sz w:val="20"/>
              </w:rPr>
              <w:t>A16.26.103.001,</w:t>
            </w:r>
            <w:r>
              <w:rPr>
                <w:spacing w:val="54"/>
                <w:sz w:val="20"/>
              </w:rPr>
              <w:t> </w:t>
            </w:r>
            <w:r>
              <w:rPr>
                <w:spacing w:val="-2"/>
                <w:sz w:val="20"/>
              </w:rPr>
              <w:t>A16.26.103.002,</w:t>
            </w:r>
          </w:p>
        </w:tc>
      </w:tr>
      <w:tr>
        <w:trPr>
          <w:trHeight w:val="230" w:hRule="atLeast"/>
        </w:trPr>
        <w:tc>
          <w:tcPr>
            <w:tcW w:w="15294" w:type="dxa"/>
            <w:gridSpan w:val="7"/>
          </w:tcPr>
          <w:p>
            <w:pPr>
              <w:pStyle w:val="TableParagraph"/>
              <w:spacing w:line="210" w:lineRule="exact"/>
              <w:ind w:left="9080"/>
              <w:rPr>
                <w:sz w:val="20"/>
              </w:rPr>
            </w:pPr>
            <w:r>
              <w:rPr>
                <w:w w:val="95"/>
                <w:sz w:val="20"/>
              </w:rPr>
              <w:t>A16.26.103.003,</w:t>
            </w:r>
            <w:r>
              <w:rPr>
                <w:spacing w:val="54"/>
                <w:sz w:val="20"/>
              </w:rPr>
              <w:t> </w:t>
            </w:r>
            <w:r>
              <w:rPr>
                <w:spacing w:val="-2"/>
                <w:sz w:val="20"/>
              </w:rPr>
              <w:t>A16.26.104,</w:t>
            </w:r>
          </w:p>
        </w:tc>
      </w:tr>
      <w:tr>
        <w:trPr>
          <w:trHeight w:val="230" w:hRule="atLeast"/>
        </w:trPr>
        <w:tc>
          <w:tcPr>
            <w:tcW w:w="15294" w:type="dxa"/>
            <w:gridSpan w:val="7"/>
          </w:tcPr>
          <w:p>
            <w:pPr>
              <w:pStyle w:val="TableParagraph"/>
              <w:spacing w:line="210" w:lineRule="exact"/>
              <w:ind w:left="9255"/>
              <w:rPr>
                <w:sz w:val="20"/>
              </w:rPr>
            </w:pPr>
            <w:r>
              <w:rPr>
                <w:sz w:val="20"/>
              </w:rPr>
              <w:t>A16.26.105,</w:t>
            </w:r>
            <w:r>
              <w:rPr>
                <w:spacing w:val="-9"/>
                <w:sz w:val="20"/>
              </w:rPr>
              <w:t> </w:t>
            </w:r>
            <w:r>
              <w:rPr>
                <w:spacing w:val="-2"/>
                <w:sz w:val="20"/>
              </w:rPr>
              <w:t>A16.26.107,</w:t>
            </w:r>
          </w:p>
        </w:tc>
      </w:tr>
      <w:tr>
        <w:trPr>
          <w:trHeight w:val="230" w:hRule="atLeast"/>
        </w:trPr>
        <w:tc>
          <w:tcPr>
            <w:tcW w:w="15294" w:type="dxa"/>
            <w:gridSpan w:val="7"/>
          </w:tcPr>
          <w:p>
            <w:pPr>
              <w:pStyle w:val="TableParagraph"/>
              <w:spacing w:line="210" w:lineRule="exact"/>
              <w:ind w:left="9080"/>
              <w:rPr>
                <w:sz w:val="20"/>
              </w:rPr>
            </w:pPr>
            <w:r>
              <w:rPr>
                <w:w w:val="95"/>
                <w:sz w:val="20"/>
              </w:rPr>
              <w:t>A16.26.107.001,</w:t>
            </w:r>
            <w:r>
              <w:rPr>
                <w:spacing w:val="56"/>
                <w:sz w:val="20"/>
              </w:rPr>
              <w:t> </w:t>
            </w:r>
            <w:r>
              <w:rPr>
                <w:spacing w:val="-2"/>
                <w:sz w:val="20"/>
              </w:rPr>
              <w:t>A16.26.108,</w:t>
            </w:r>
          </w:p>
        </w:tc>
      </w:tr>
      <w:tr>
        <w:trPr>
          <w:trHeight w:val="229" w:hRule="atLeast"/>
        </w:trPr>
        <w:tc>
          <w:tcPr>
            <w:tcW w:w="15294" w:type="dxa"/>
            <w:gridSpan w:val="7"/>
          </w:tcPr>
          <w:p>
            <w:pPr>
              <w:pStyle w:val="TableParagraph"/>
              <w:spacing w:line="209" w:lineRule="exact"/>
              <w:ind w:left="9080"/>
              <w:rPr>
                <w:sz w:val="20"/>
              </w:rPr>
            </w:pPr>
            <w:r>
              <w:rPr>
                <w:w w:val="95"/>
                <w:sz w:val="20"/>
              </w:rPr>
              <w:t>A16.26.128.001,</w:t>
            </w:r>
            <w:r>
              <w:rPr>
                <w:spacing w:val="54"/>
                <w:sz w:val="20"/>
              </w:rPr>
              <w:t> </w:t>
            </w:r>
            <w:r>
              <w:rPr>
                <w:spacing w:val="-2"/>
                <w:sz w:val="20"/>
              </w:rPr>
              <w:t>A16.26.135,</w:t>
            </w:r>
          </w:p>
        </w:tc>
      </w:tr>
      <w:tr>
        <w:trPr>
          <w:trHeight w:val="229" w:hRule="atLeast"/>
        </w:trPr>
        <w:tc>
          <w:tcPr>
            <w:tcW w:w="15294" w:type="dxa"/>
            <w:gridSpan w:val="7"/>
          </w:tcPr>
          <w:p>
            <w:pPr>
              <w:pStyle w:val="TableParagraph"/>
              <w:spacing w:line="209" w:lineRule="exact"/>
              <w:ind w:left="8732"/>
              <w:rPr>
                <w:sz w:val="20"/>
              </w:rPr>
            </w:pPr>
            <w:r>
              <w:rPr>
                <w:sz w:val="20"/>
              </w:rPr>
              <w:t>A16.26.145,</w:t>
            </w:r>
            <w:r>
              <w:rPr>
                <w:spacing w:val="-9"/>
                <w:sz w:val="20"/>
              </w:rPr>
              <w:t> </w:t>
            </w:r>
            <w:r>
              <w:rPr>
                <w:sz w:val="20"/>
              </w:rPr>
              <w:t>A16.26.150,</w:t>
            </w:r>
            <w:r>
              <w:rPr>
                <w:spacing w:val="-10"/>
                <w:sz w:val="20"/>
              </w:rPr>
              <w:t> </w:t>
            </w:r>
            <w:r>
              <w:rPr>
                <w:spacing w:val="-2"/>
                <w:sz w:val="20"/>
              </w:rPr>
              <w:t>A16.26.151,</w:t>
            </w:r>
          </w:p>
        </w:tc>
      </w:tr>
      <w:tr>
        <w:trPr>
          <w:trHeight w:val="280" w:hRule="atLeast"/>
        </w:trPr>
        <w:tc>
          <w:tcPr>
            <w:tcW w:w="15294" w:type="dxa"/>
            <w:gridSpan w:val="7"/>
          </w:tcPr>
          <w:p>
            <w:pPr>
              <w:pStyle w:val="TableParagraph"/>
              <w:spacing w:line="226" w:lineRule="exact"/>
              <w:ind w:left="8758"/>
              <w:rPr>
                <w:sz w:val="20"/>
              </w:rPr>
            </w:pPr>
            <w:r>
              <w:rPr>
                <w:sz w:val="20"/>
              </w:rPr>
              <w:t>A16.26.152,</w:t>
            </w:r>
            <w:r>
              <w:rPr>
                <w:spacing w:val="-9"/>
                <w:sz w:val="20"/>
              </w:rPr>
              <w:t> </w:t>
            </w:r>
            <w:r>
              <w:rPr>
                <w:sz w:val="20"/>
              </w:rPr>
              <w:t>A16.26.153,</w:t>
            </w:r>
            <w:r>
              <w:rPr>
                <w:spacing w:val="-10"/>
                <w:sz w:val="20"/>
              </w:rPr>
              <w:t> </w:t>
            </w:r>
            <w:r>
              <w:rPr>
                <w:spacing w:val="-2"/>
                <w:sz w:val="20"/>
              </w:rPr>
              <w:t>A22.26.017</w:t>
            </w:r>
          </w:p>
        </w:tc>
      </w:tr>
      <w:tr>
        <w:trPr>
          <w:trHeight w:val="330" w:hRule="atLeast"/>
        </w:trPr>
        <w:tc>
          <w:tcPr>
            <w:tcW w:w="978" w:type="dxa"/>
          </w:tcPr>
          <w:p>
            <w:pPr>
              <w:pStyle w:val="TableParagraph"/>
              <w:spacing w:before="46"/>
              <w:ind w:left="39" w:right="186"/>
              <w:jc w:val="center"/>
              <w:rPr>
                <w:sz w:val="20"/>
              </w:rPr>
            </w:pPr>
            <w:r>
              <w:rPr>
                <w:spacing w:val="-4"/>
                <w:sz w:val="20"/>
              </w:rPr>
              <w:t>ds22</w:t>
            </w:r>
          </w:p>
        </w:tc>
        <w:tc>
          <w:tcPr>
            <w:tcW w:w="696" w:type="dxa"/>
          </w:tcPr>
          <w:p>
            <w:pPr>
              <w:pStyle w:val="TableParagraph"/>
              <w:spacing w:before="46"/>
              <w:ind w:left="250"/>
              <w:rPr>
                <w:sz w:val="20"/>
              </w:rPr>
            </w:pPr>
            <w:r>
              <w:rPr>
                <w:spacing w:val="-5"/>
                <w:sz w:val="20"/>
              </w:rPr>
              <w:t>22</w:t>
            </w:r>
          </w:p>
        </w:tc>
        <w:tc>
          <w:tcPr>
            <w:tcW w:w="2428" w:type="dxa"/>
          </w:tcPr>
          <w:p>
            <w:pPr>
              <w:pStyle w:val="TableParagraph"/>
              <w:rPr>
                <w:sz w:val="18"/>
              </w:rPr>
            </w:pPr>
          </w:p>
        </w:tc>
        <w:tc>
          <w:tcPr>
            <w:tcW w:w="5257" w:type="dxa"/>
          </w:tcPr>
          <w:p>
            <w:pPr>
              <w:pStyle w:val="TableParagraph"/>
              <w:spacing w:before="46"/>
              <w:ind w:left="3461"/>
              <w:rPr>
                <w:sz w:val="20"/>
              </w:rPr>
            </w:pPr>
            <w:r>
              <w:rPr>
                <w:spacing w:val="-2"/>
                <w:sz w:val="20"/>
              </w:rPr>
              <w:t>Педиатрия</w:t>
            </w:r>
          </w:p>
        </w:tc>
        <w:tc>
          <w:tcPr>
            <w:tcW w:w="1952" w:type="dxa"/>
          </w:tcPr>
          <w:p>
            <w:pPr>
              <w:pStyle w:val="TableParagraph"/>
              <w:rPr>
                <w:sz w:val="18"/>
              </w:rPr>
            </w:pPr>
          </w:p>
        </w:tc>
        <w:tc>
          <w:tcPr>
            <w:tcW w:w="3119" w:type="dxa"/>
          </w:tcPr>
          <w:p>
            <w:pPr>
              <w:pStyle w:val="TableParagraph"/>
              <w:rPr>
                <w:sz w:val="18"/>
              </w:rPr>
            </w:pPr>
          </w:p>
        </w:tc>
        <w:tc>
          <w:tcPr>
            <w:tcW w:w="864" w:type="dxa"/>
          </w:tcPr>
          <w:p>
            <w:pPr>
              <w:pStyle w:val="TableParagraph"/>
              <w:spacing w:before="46"/>
              <w:ind w:right="47"/>
              <w:jc w:val="right"/>
              <w:rPr>
                <w:sz w:val="20"/>
              </w:rPr>
            </w:pPr>
            <w:r>
              <w:rPr>
                <w:spacing w:val="-4"/>
                <w:sz w:val="20"/>
              </w:rPr>
              <w:t>0,93</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ds22.001</w:t>
            </w:r>
          </w:p>
        </w:tc>
        <w:tc>
          <w:tcPr>
            <w:tcW w:w="696" w:type="dxa"/>
          </w:tcPr>
          <w:p>
            <w:pPr>
              <w:pStyle w:val="TableParagraph"/>
              <w:spacing w:line="215" w:lineRule="exact" w:before="45"/>
              <w:ind w:left="200"/>
              <w:rPr>
                <w:sz w:val="20"/>
              </w:rPr>
            </w:pPr>
            <w:r>
              <w:rPr>
                <w:spacing w:val="-5"/>
                <w:sz w:val="20"/>
              </w:rPr>
              <w:t>115</w:t>
            </w:r>
          </w:p>
        </w:tc>
        <w:tc>
          <w:tcPr>
            <w:tcW w:w="2428" w:type="dxa"/>
          </w:tcPr>
          <w:p>
            <w:pPr>
              <w:pStyle w:val="TableParagraph"/>
              <w:spacing w:line="215" w:lineRule="exact" w:before="45"/>
              <w:ind w:left="193"/>
              <w:rPr>
                <w:sz w:val="20"/>
              </w:rPr>
            </w:pPr>
            <w:r>
              <w:rPr>
                <w:spacing w:val="-2"/>
                <w:sz w:val="20"/>
              </w:rPr>
              <w:t>Системные</w:t>
            </w:r>
            <w:r>
              <w:rPr>
                <w:spacing w:val="5"/>
                <w:sz w:val="20"/>
              </w:rPr>
              <w:t> </w:t>
            </w:r>
            <w:r>
              <w:rPr>
                <w:spacing w:val="-2"/>
                <w:sz w:val="20"/>
              </w:rPr>
              <w:t>поражения</w:t>
            </w:r>
          </w:p>
        </w:tc>
        <w:tc>
          <w:tcPr>
            <w:tcW w:w="5257" w:type="dxa"/>
          </w:tcPr>
          <w:p>
            <w:pPr>
              <w:pStyle w:val="TableParagraph"/>
              <w:spacing w:line="215" w:lineRule="exact" w:before="45"/>
              <w:ind w:left="324"/>
              <w:rPr>
                <w:sz w:val="20"/>
              </w:rPr>
            </w:pPr>
            <w:r>
              <w:rPr>
                <w:sz w:val="20"/>
              </w:rPr>
              <w:t>I00,</w:t>
            </w:r>
            <w:r>
              <w:rPr>
                <w:spacing w:val="-5"/>
                <w:sz w:val="20"/>
              </w:rPr>
              <w:t> </w:t>
            </w:r>
            <w:r>
              <w:rPr>
                <w:sz w:val="20"/>
              </w:rPr>
              <w:t>M00,</w:t>
            </w:r>
            <w:r>
              <w:rPr>
                <w:spacing w:val="-4"/>
                <w:sz w:val="20"/>
              </w:rPr>
              <w:t> </w:t>
            </w:r>
            <w:r>
              <w:rPr>
                <w:sz w:val="20"/>
              </w:rPr>
              <w:t>M00.0,</w:t>
            </w:r>
            <w:r>
              <w:rPr>
                <w:spacing w:val="-6"/>
                <w:sz w:val="20"/>
              </w:rPr>
              <w:t> </w:t>
            </w:r>
            <w:r>
              <w:rPr>
                <w:sz w:val="20"/>
              </w:rPr>
              <w:t>M00.1,</w:t>
            </w:r>
            <w:r>
              <w:rPr>
                <w:spacing w:val="-1"/>
                <w:sz w:val="20"/>
              </w:rPr>
              <w:t> </w:t>
            </w:r>
            <w:r>
              <w:rPr>
                <w:sz w:val="20"/>
              </w:rPr>
              <w:t>M00.2,</w:t>
            </w:r>
            <w:r>
              <w:rPr>
                <w:spacing w:val="-4"/>
                <w:sz w:val="20"/>
              </w:rPr>
              <w:t> </w:t>
            </w:r>
            <w:r>
              <w:rPr>
                <w:sz w:val="20"/>
              </w:rPr>
              <w:t>M00.8,</w:t>
            </w:r>
            <w:r>
              <w:rPr>
                <w:spacing w:val="-6"/>
                <w:sz w:val="20"/>
              </w:rPr>
              <w:t> </w:t>
            </w:r>
            <w:r>
              <w:rPr>
                <w:spacing w:val="-2"/>
                <w:sz w:val="20"/>
              </w:rPr>
              <w:t>M00.9,</w:t>
            </w:r>
          </w:p>
        </w:tc>
        <w:tc>
          <w:tcPr>
            <w:tcW w:w="1952" w:type="dxa"/>
          </w:tcPr>
          <w:p>
            <w:pPr>
              <w:pStyle w:val="TableParagraph"/>
              <w:spacing w:line="215" w:lineRule="exact" w:before="45"/>
              <w:ind w:right="118"/>
              <w:jc w:val="center"/>
              <w:rPr>
                <w:sz w:val="20"/>
              </w:rPr>
            </w:pPr>
            <w:r>
              <w:rPr>
                <w:w w:val="99"/>
                <w:sz w:val="20"/>
              </w:rPr>
              <w:t>-</w:t>
            </w:r>
          </w:p>
        </w:tc>
        <w:tc>
          <w:tcPr>
            <w:tcW w:w="3119" w:type="dxa"/>
          </w:tcPr>
          <w:p>
            <w:pPr>
              <w:pStyle w:val="TableParagraph"/>
              <w:spacing w:line="215" w:lineRule="exact" w:before="45"/>
              <w:ind w:right="459"/>
              <w:jc w:val="right"/>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7"/>
              <w:jc w:val="right"/>
              <w:rPr>
                <w:sz w:val="20"/>
              </w:rPr>
            </w:pPr>
            <w:r>
              <w:rPr>
                <w:spacing w:val="-4"/>
                <w:sz w:val="20"/>
              </w:rPr>
              <w:t>2,31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spacing w:line="210" w:lineRule="exact"/>
              <w:ind w:left="193"/>
              <w:rPr>
                <w:sz w:val="20"/>
              </w:rPr>
            </w:pPr>
            <w:r>
              <w:rPr>
                <w:w w:val="95"/>
                <w:sz w:val="20"/>
              </w:rPr>
              <w:t>соединительной</w:t>
            </w:r>
            <w:r>
              <w:rPr>
                <w:spacing w:val="53"/>
                <w:sz w:val="20"/>
              </w:rPr>
              <w:t> </w:t>
            </w:r>
            <w:r>
              <w:rPr>
                <w:spacing w:val="-2"/>
                <w:sz w:val="20"/>
              </w:rPr>
              <w:t>ткани,</w:t>
            </w:r>
          </w:p>
        </w:tc>
        <w:tc>
          <w:tcPr>
            <w:tcW w:w="5257" w:type="dxa"/>
          </w:tcPr>
          <w:p>
            <w:pPr>
              <w:pStyle w:val="TableParagraph"/>
              <w:spacing w:line="210" w:lineRule="exact"/>
              <w:ind w:left="508"/>
              <w:rPr>
                <w:sz w:val="20"/>
              </w:rPr>
            </w:pPr>
            <w:r>
              <w:rPr>
                <w:sz w:val="20"/>
              </w:rPr>
              <w:t>M01,</w:t>
            </w:r>
            <w:r>
              <w:rPr>
                <w:spacing w:val="-5"/>
                <w:sz w:val="20"/>
              </w:rPr>
              <w:t> </w:t>
            </w:r>
            <w:r>
              <w:rPr>
                <w:sz w:val="20"/>
              </w:rPr>
              <w:t>M01.0,</w:t>
            </w:r>
            <w:r>
              <w:rPr>
                <w:spacing w:val="-4"/>
                <w:sz w:val="20"/>
              </w:rPr>
              <w:t> </w:t>
            </w:r>
            <w:r>
              <w:rPr>
                <w:sz w:val="20"/>
              </w:rPr>
              <w:t>M01.2,</w:t>
            </w:r>
            <w:r>
              <w:rPr>
                <w:spacing w:val="-6"/>
                <w:sz w:val="20"/>
              </w:rPr>
              <w:t> </w:t>
            </w:r>
            <w:r>
              <w:rPr>
                <w:sz w:val="20"/>
              </w:rPr>
              <w:t>M01.3,</w:t>
            </w:r>
            <w:r>
              <w:rPr>
                <w:spacing w:val="-6"/>
                <w:sz w:val="20"/>
              </w:rPr>
              <w:t> </w:t>
            </w:r>
            <w:r>
              <w:rPr>
                <w:sz w:val="20"/>
              </w:rPr>
              <w:t>M01.4,</w:t>
            </w:r>
            <w:r>
              <w:rPr>
                <w:spacing w:val="-4"/>
                <w:sz w:val="20"/>
              </w:rPr>
              <w:t> </w:t>
            </w:r>
            <w:r>
              <w:rPr>
                <w:spacing w:val="-2"/>
                <w:sz w:val="20"/>
              </w:rPr>
              <w:t>M01.5,</w:t>
            </w:r>
          </w:p>
        </w:tc>
        <w:tc>
          <w:tcPr>
            <w:tcW w:w="1952" w:type="dxa"/>
          </w:tcPr>
          <w:p>
            <w:pPr>
              <w:pStyle w:val="TableParagraph"/>
              <w:rPr>
                <w:sz w:val="16"/>
              </w:rPr>
            </w:pPr>
          </w:p>
        </w:tc>
        <w:tc>
          <w:tcPr>
            <w:tcW w:w="3119" w:type="dxa"/>
          </w:tcPr>
          <w:p>
            <w:pPr>
              <w:pStyle w:val="TableParagraph"/>
              <w:spacing w:line="210" w:lineRule="exact"/>
              <w:ind w:right="479"/>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spacing w:line="210" w:lineRule="exact"/>
              <w:ind w:left="193"/>
              <w:rPr>
                <w:sz w:val="20"/>
              </w:rPr>
            </w:pPr>
            <w:r>
              <w:rPr>
                <w:spacing w:val="-2"/>
                <w:sz w:val="20"/>
              </w:rPr>
              <w:t>артропатии,</w:t>
            </w:r>
          </w:p>
        </w:tc>
        <w:tc>
          <w:tcPr>
            <w:tcW w:w="5257" w:type="dxa"/>
          </w:tcPr>
          <w:p>
            <w:pPr>
              <w:pStyle w:val="TableParagraph"/>
              <w:spacing w:line="210" w:lineRule="exact"/>
              <w:ind w:left="508"/>
              <w:rPr>
                <w:sz w:val="20"/>
              </w:rPr>
            </w:pPr>
            <w:r>
              <w:rPr>
                <w:sz w:val="20"/>
              </w:rPr>
              <w:t>M01.6,</w:t>
            </w:r>
            <w:r>
              <w:rPr>
                <w:spacing w:val="-5"/>
                <w:sz w:val="20"/>
              </w:rPr>
              <w:t> </w:t>
            </w:r>
            <w:r>
              <w:rPr>
                <w:sz w:val="20"/>
              </w:rPr>
              <w:t>M01.8,</w:t>
            </w:r>
            <w:r>
              <w:rPr>
                <w:spacing w:val="-4"/>
                <w:sz w:val="20"/>
              </w:rPr>
              <w:t> </w:t>
            </w:r>
            <w:r>
              <w:rPr>
                <w:sz w:val="20"/>
              </w:rPr>
              <w:t>M02,</w:t>
            </w:r>
            <w:r>
              <w:rPr>
                <w:spacing w:val="-6"/>
                <w:sz w:val="20"/>
              </w:rPr>
              <w:t> </w:t>
            </w:r>
            <w:r>
              <w:rPr>
                <w:sz w:val="20"/>
              </w:rPr>
              <w:t>M02.0,</w:t>
            </w:r>
            <w:r>
              <w:rPr>
                <w:spacing w:val="-6"/>
                <w:sz w:val="20"/>
              </w:rPr>
              <w:t> </w:t>
            </w:r>
            <w:r>
              <w:rPr>
                <w:sz w:val="20"/>
              </w:rPr>
              <w:t>M02.1,</w:t>
            </w:r>
            <w:r>
              <w:rPr>
                <w:spacing w:val="-4"/>
                <w:sz w:val="20"/>
              </w:rPr>
              <w:t> </w:t>
            </w:r>
            <w:r>
              <w:rPr>
                <w:spacing w:val="-2"/>
                <w:sz w:val="20"/>
              </w:rPr>
              <w:t>M02.2,</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spacing w:line="209" w:lineRule="exact"/>
              <w:ind w:left="193"/>
              <w:rPr>
                <w:sz w:val="20"/>
              </w:rPr>
            </w:pPr>
            <w:r>
              <w:rPr>
                <w:w w:val="95"/>
                <w:sz w:val="20"/>
              </w:rPr>
              <w:t>спондилопатии,</w:t>
            </w:r>
            <w:r>
              <w:rPr>
                <w:spacing w:val="49"/>
                <w:sz w:val="20"/>
              </w:rPr>
              <w:t> </w:t>
            </w:r>
            <w:r>
              <w:rPr>
                <w:spacing w:val="-4"/>
                <w:sz w:val="20"/>
              </w:rPr>
              <w:t>дети</w:t>
            </w:r>
          </w:p>
        </w:tc>
        <w:tc>
          <w:tcPr>
            <w:tcW w:w="5257" w:type="dxa"/>
          </w:tcPr>
          <w:p>
            <w:pPr>
              <w:pStyle w:val="TableParagraph"/>
              <w:spacing w:line="209" w:lineRule="exact"/>
              <w:ind w:left="508"/>
              <w:rPr>
                <w:sz w:val="20"/>
              </w:rPr>
            </w:pPr>
            <w:r>
              <w:rPr>
                <w:sz w:val="20"/>
              </w:rPr>
              <w:t>M02.3,</w:t>
            </w:r>
            <w:r>
              <w:rPr>
                <w:spacing w:val="-5"/>
                <w:sz w:val="20"/>
              </w:rPr>
              <w:t> </w:t>
            </w:r>
            <w:r>
              <w:rPr>
                <w:sz w:val="20"/>
              </w:rPr>
              <w:t>M02.8,</w:t>
            </w:r>
            <w:r>
              <w:rPr>
                <w:spacing w:val="-5"/>
                <w:sz w:val="20"/>
              </w:rPr>
              <w:t> </w:t>
            </w:r>
            <w:r>
              <w:rPr>
                <w:sz w:val="20"/>
              </w:rPr>
              <w:t>M02.9,</w:t>
            </w:r>
            <w:r>
              <w:rPr>
                <w:spacing w:val="-4"/>
                <w:sz w:val="20"/>
              </w:rPr>
              <w:t> </w:t>
            </w:r>
            <w:r>
              <w:rPr>
                <w:sz w:val="20"/>
              </w:rPr>
              <w:t>M03,</w:t>
            </w:r>
            <w:r>
              <w:rPr>
                <w:spacing w:val="-6"/>
                <w:sz w:val="20"/>
              </w:rPr>
              <w:t> </w:t>
            </w:r>
            <w:r>
              <w:rPr>
                <w:sz w:val="20"/>
              </w:rPr>
              <w:t>M03.0,</w:t>
            </w:r>
            <w:r>
              <w:rPr>
                <w:spacing w:val="-5"/>
                <w:sz w:val="20"/>
              </w:rPr>
              <w:t> </w:t>
            </w:r>
            <w:r>
              <w:rPr>
                <w:spacing w:val="-2"/>
                <w:sz w:val="20"/>
              </w:rPr>
              <w:t>M03.2,</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508"/>
              <w:rPr>
                <w:sz w:val="20"/>
              </w:rPr>
            </w:pPr>
            <w:r>
              <w:rPr>
                <w:sz w:val="20"/>
              </w:rPr>
              <w:t>M03.6,</w:t>
            </w:r>
            <w:r>
              <w:rPr>
                <w:spacing w:val="-4"/>
                <w:sz w:val="20"/>
              </w:rPr>
              <w:t> </w:t>
            </w:r>
            <w:r>
              <w:rPr>
                <w:sz w:val="20"/>
              </w:rPr>
              <w:t>M05,</w:t>
            </w:r>
            <w:r>
              <w:rPr>
                <w:spacing w:val="-4"/>
                <w:sz w:val="20"/>
              </w:rPr>
              <w:t> </w:t>
            </w:r>
            <w:r>
              <w:rPr>
                <w:sz w:val="20"/>
              </w:rPr>
              <w:t>M05.0,</w:t>
            </w:r>
            <w:r>
              <w:rPr>
                <w:spacing w:val="-6"/>
                <w:sz w:val="20"/>
              </w:rPr>
              <w:t> </w:t>
            </w:r>
            <w:r>
              <w:rPr>
                <w:sz w:val="20"/>
              </w:rPr>
              <w:t>M05.1,</w:t>
            </w:r>
            <w:r>
              <w:rPr>
                <w:spacing w:val="-6"/>
                <w:sz w:val="20"/>
              </w:rPr>
              <w:t> </w:t>
            </w:r>
            <w:r>
              <w:rPr>
                <w:sz w:val="20"/>
              </w:rPr>
              <w:t>M05.2,</w:t>
            </w:r>
            <w:r>
              <w:rPr>
                <w:spacing w:val="-4"/>
                <w:sz w:val="20"/>
              </w:rPr>
              <w:t> </w:t>
            </w:r>
            <w:r>
              <w:rPr>
                <w:spacing w:val="-2"/>
                <w:sz w:val="20"/>
              </w:rPr>
              <w:t>M05.3,</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M05.8,</w:t>
            </w:r>
            <w:r>
              <w:rPr>
                <w:spacing w:val="-6"/>
                <w:sz w:val="20"/>
              </w:rPr>
              <w:t> </w:t>
            </w:r>
            <w:r>
              <w:rPr>
                <w:sz w:val="20"/>
              </w:rPr>
              <w:t>M05.9,</w:t>
            </w:r>
            <w:r>
              <w:rPr>
                <w:spacing w:val="-6"/>
                <w:sz w:val="20"/>
              </w:rPr>
              <w:t> </w:t>
            </w:r>
            <w:r>
              <w:rPr>
                <w:sz w:val="20"/>
              </w:rPr>
              <w:t>M06.0,</w:t>
            </w:r>
            <w:r>
              <w:rPr>
                <w:spacing w:val="-6"/>
                <w:sz w:val="20"/>
              </w:rPr>
              <w:t> </w:t>
            </w:r>
            <w:r>
              <w:rPr>
                <w:sz w:val="20"/>
              </w:rPr>
              <w:t>M06.1,</w:t>
            </w:r>
            <w:r>
              <w:rPr>
                <w:spacing w:val="-6"/>
                <w:sz w:val="20"/>
              </w:rPr>
              <w:t> </w:t>
            </w:r>
            <w:r>
              <w:rPr>
                <w:sz w:val="20"/>
              </w:rPr>
              <w:t>M06.2,</w:t>
            </w:r>
            <w:r>
              <w:rPr>
                <w:spacing w:val="-5"/>
                <w:sz w:val="20"/>
              </w:rPr>
              <w:t> </w:t>
            </w:r>
            <w:r>
              <w:rPr>
                <w:spacing w:val="-2"/>
                <w:sz w:val="20"/>
              </w:rPr>
              <w:t>M06.3,</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508"/>
              <w:rPr>
                <w:sz w:val="20"/>
              </w:rPr>
            </w:pPr>
            <w:r>
              <w:rPr>
                <w:sz w:val="20"/>
              </w:rPr>
              <w:t>M06.4,</w:t>
            </w:r>
            <w:r>
              <w:rPr>
                <w:spacing w:val="-5"/>
                <w:sz w:val="20"/>
              </w:rPr>
              <w:t> </w:t>
            </w:r>
            <w:r>
              <w:rPr>
                <w:sz w:val="20"/>
              </w:rPr>
              <w:t>M06.8,</w:t>
            </w:r>
            <w:r>
              <w:rPr>
                <w:spacing w:val="-4"/>
                <w:sz w:val="20"/>
              </w:rPr>
              <w:t> </w:t>
            </w:r>
            <w:r>
              <w:rPr>
                <w:sz w:val="20"/>
              </w:rPr>
              <w:t>M06.9,</w:t>
            </w:r>
            <w:r>
              <w:rPr>
                <w:spacing w:val="-5"/>
                <w:sz w:val="20"/>
              </w:rPr>
              <w:t> </w:t>
            </w:r>
            <w:r>
              <w:rPr>
                <w:sz w:val="20"/>
              </w:rPr>
              <w:t>M07,</w:t>
            </w:r>
            <w:r>
              <w:rPr>
                <w:spacing w:val="-6"/>
                <w:sz w:val="20"/>
              </w:rPr>
              <w:t> </w:t>
            </w:r>
            <w:r>
              <w:rPr>
                <w:sz w:val="20"/>
              </w:rPr>
              <w:t>M07.0, </w:t>
            </w:r>
            <w:r>
              <w:rPr>
                <w:spacing w:val="-2"/>
                <w:sz w:val="20"/>
              </w:rPr>
              <w:t>M07.1,</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M07.2,</w:t>
            </w:r>
            <w:r>
              <w:rPr>
                <w:spacing w:val="-6"/>
                <w:sz w:val="20"/>
              </w:rPr>
              <w:t> </w:t>
            </w:r>
            <w:r>
              <w:rPr>
                <w:sz w:val="20"/>
              </w:rPr>
              <w:t>M07.3,</w:t>
            </w:r>
            <w:r>
              <w:rPr>
                <w:spacing w:val="-6"/>
                <w:sz w:val="20"/>
              </w:rPr>
              <w:t> </w:t>
            </w:r>
            <w:r>
              <w:rPr>
                <w:sz w:val="20"/>
              </w:rPr>
              <w:t>M07.4,</w:t>
            </w:r>
            <w:r>
              <w:rPr>
                <w:spacing w:val="-6"/>
                <w:sz w:val="20"/>
              </w:rPr>
              <w:t> </w:t>
            </w:r>
            <w:r>
              <w:rPr>
                <w:sz w:val="20"/>
              </w:rPr>
              <w:t>M07.5,</w:t>
            </w:r>
            <w:r>
              <w:rPr>
                <w:spacing w:val="-6"/>
                <w:sz w:val="20"/>
              </w:rPr>
              <w:t> </w:t>
            </w:r>
            <w:r>
              <w:rPr>
                <w:sz w:val="20"/>
              </w:rPr>
              <w:t>M07.6,</w:t>
            </w:r>
            <w:r>
              <w:rPr>
                <w:spacing w:val="-5"/>
                <w:sz w:val="20"/>
              </w:rPr>
              <w:t> </w:t>
            </w:r>
            <w:r>
              <w:rPr>
                <w:spacing w:val="-2"/>
                <w:sz w:val="20"/>
              </w:rPr>
              <w:t>M08.0,</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M08.1,</w:t>
            </w:r>
            <w:r>
              <w:rPr>
                <w:spacing w:val="-6"/>
                <w:sz w:val="20"/>
              </w:rPr>
              <w:t> </w:t>
            </w:r>
            <w:r>
              <w:rPr>
                <w:sz w:val="20"/>
              </w:rPr>
              <w:t>M08.2,</w:t>
            </w:r>
            <w:r>
              <w:rPr>
                <w:spacing w:val="-6"/>
                <w:sz w:val="20"/>
              </w:rPr>
              <w:t> </w:t>
            </w:r>
            <w:r>
              <w:rPr>
                <w:sz w:val="20"/>
              </w:rPr>
              <w:t>M08.3,</w:t>
            </w:r>
            <w:r>
              <w:rPr>
                <w:spacing w:val="-6"/>
                <w:sz w:val="20"/>
              </w:rPr>
              <w:t> </w:t>
            </w:r>
            <w:r>
              <w:rPr>
                <w:sz w:val="20"/>
              </w:rPr>
              <w:t>M08.4,</w:t>
            </w:r>
            <w:r>
              <w:rPr>
                <w:spacing w:val="-6"/>
                <w:sz w:val="20"/>
              </w:rPr>
              <w:t> </w:t>
            </w:r>
            <w:r>
              <w:rPr>
                <w:sz w:val="20"/>
              </w:rPr>
              <w:t>M08.8,</w:t>
            </w:r>
            <w:r>
              <w:rPr>
                <w:spacing w:val="-5"/>
                <w:sz w:val="20"/>
              </w:rPr>
              <w:t> </w:t>
            </w:r>
            <w:r>
              <w:rPr>
                <w:spacing w:val="-2"/>
                <w:sz w:val="20"/>
              </w:rPr>
              <w:t>M08.9,</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508"/>
              <w:rPr>
                <w:sz w:val="20"/>
              </w:rPr>
            </w:pPr>
            <w:r>
              <w:rPr>
                <w:sz w:val="20"/>
              </w:rPr>
              <w:t>M09.0,</w:t>
            </w:r>
            <w:r>
              <w:rPr>
                <w:spacing w:val="-6"/>
                <w:sz w:val="20"/>
              </w:rPr>
              <w:t> </w:t>
            </w:r>
            <w:r>
              <w:rPr>
                <w:sz w:val="20"/>
              </w:rPr>
              <w:t>M09.1,</w:t>
            </w:r>
            <w:r>
              <w:rPr>
                <w:spacing w:val="-5"/>
                <w:sz w:val="20"/>
              </w:rPr>
              <w:t> </w:t>
            </w:r>
            <w:r>
              <w:rPr>
                <w:sz w:val="20"/>
              </w:rPr>
              <w:t>M09.2,</w:t>
            </w:r>
            <w:r>
              <w:rPr>
                <w:spacing w:val="-5"/>
                <w:sz w:val="20"/>
              </w:rPr>
              <w:t> </w:t>
            </w:r>
            <w:r>
              <w:rPr>
                <w:sz w:val="20"/>
              </w:rPr>
              <w:t>M09.8,</w:t>
            </w:r>
            <w:r>
              <w:rPr>
                <w:spacing w:val="-5"/>
                <w:sz w:val="20"/>
              </w:rPr>
              <w:t> </w:t>
            </w:r>
            <w:r>
              <w:rPr>
                <w:sz w:val="20"/>
              </w:rPr>
              <w:t>M10,</w:t>
            </w:r>
            <w:r>
              <w:rPr>
                <w:spacing w:val="-5"/>
                <w:sz w:val="20"/>
              </w:rPr>
              <w:t> </w:t>
            </w:r>
            <w:r>
              <w:rPr>
                <w:spacing w:val="-2"/>
                <w:sz w:val="20"/>
              </w:rPr>
              <w:t>M10.0,</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508"/>
              <w:rPr>
                <w:sz w:val="20"/>
              </w:rPr>
            </w:pPr>
            <w:r>
              <w:rPr>
                <w:sz w:val="20"/>
              </w:rPr>
              <w:t>M10.1,</w:t>
            </w:r>
            <w:r>
              <w:rPr>
                <w:spacing w:val="-6"/>
                <w:sz w:val="20"/>
              </w:rPr>
              <w:t> </w:t>
            </w:r>
            <w:r>
              <w:rPr>
                <w:sz w:val="20"/>
              </w:rPr>
              <w:t>M10.2,</w:t>
            </w:r>
            <w:r>
              <w:rPr>
                <w:spacing w:val="-6"/>
                <w:sz w:val="20"/>
              </w:rPr>
              <w:t> </w:t>
            </w:r>
            <w:r>
              <w:rPr>
                <w:sz w:val="20"/>
              </w:rPr>
              <w:t>M10.3,</w:t>
            </w:r>
            <w:r>
              <w:rPr>
                <w:spacing w:val="-6"/>
                <w:sz w:val="20"/>
              </w:rPr>
              <w:t> </w:t>
            </w:r>
            <w:r>
              <w:rPr>
                <w:sz w:val="20"/>
              </w:rPr>
              <w:t>M10.4,</w:t>
            </w:r>
            <w:r>
              <w:rPr>
                <w:spacing w:val="-6"/>
                <w:sz w:val="20"/>
              </w:rPr>
              <w:t> </w:t>
            </w:r>
            <w:r>
              <w:rPr>
                <w:sz w:val="20"/>
              </w:rPr>
              <w:t>M10.9,</w:t>
            </w:r>
            <w:r>
              <w:rPr>
                <w:spacing w:val="-5"/>
                <w:sz w:val="20"/>
              </w:rPr>
              <w:t> </w:t>
            </w:r>
            <w:r>
              <w:rPr>
                <w:spacing w:val="-4"/>
                <w:sz w:val="20"/>
              </w:rPr>
              <w:t>M11,</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1" w:lineRule="exact"/>
              <w:ind w:left="508"/>
              <w:rPr>
                <w:sz w:val="20"/>
              </w:rPr>
            </w:pPr>
            <w:r>
              <w:rPr>
                <w:sz w:val="20"/>
              </w:rPr>
              <w:t>M11.0,</w:t>
            </w:r>
            <w:r>
              <w:rPr>
                <w:spacing w:val="-6"/>
                <w:sz w:val="20"/>
              </w:rPr>
              <w:t> </w:t>
            </w:r>
            <w:r>
              <w:rPr>
                <w:sz w:val="20"/>
              </w:rPr>
              <w:t>M11.1,</w:t>
            </w:r>
            <w:r>
              <w:rPr>
                <w:spacing w:val="-6"/>
                <w:sz w:val="20"/>
              </w:rPr>
              <w:t> </w:t>
            </w:r>
            <w:r>
              <w:rPr>
                <w:sz w:val="20"/>
              </w:rPr>
              <w:t>M11.2,</w:t>
            </w:r>
            <w:r>
              <w:rPr>
                <w:spacing w:val="-6"/>
                <w:sz w:val="20"/>
              </w:rPr>
              <w:t> </w:t>
            </w:r>
            <w:r>
              <w:rPr>
                <w:sz w:val="20"/>
              </w:rPr>
              <w:t>M11.8,</w:t>
            </w:r>
            <w:r>
              <w:rPr>
                <w:spacing w:val="-6"/>
                <w:sz w:val="20"/>
              </w:rPr>
              <w:t> </w:t>
            </w:r>
            <w:r>
              <w:rPr>
                <w:sz w:val="20"/>
              </w:rPr>
              <w:t>M11.9,</w:t>
            </w:r>
            <w:r>
              <w:rPr>
                <w:spacing w:val="-5"/>
                <w:sz w:val="20"/>
              </w:rPr>
              <w:t> </w:t>
            </w:r>
            <w:r>
              <w:rPr>
                <w:spacing w:val="-4"/>
                <w:sz w:val="20"/>
              </w:rPr>
              <w:t>M12,</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M12.0,</w:t>
            </w:r>
            <w:r>
              <w:rPr>
                <w:spacing w:val="-6"/>
                <w:sz w:val="20"/>
              </w:rPr>
              <w:t> </w:t>
            </w:r>
            <w:r>
              <w:rPr>
                <w:sz w:val="20"/>
              </w:rPr>
              <w:t>M12.1,</w:t>
            </w:r>
            <w:r>
              <w:rPr>
                <w:spacing w:val="-6"/>
                <w:sz w:val="20"/>
              </w:rPr>
              <w:t> </w:t>
            </w:r>
            <w:r>
              <w:rPr>
                <w:sz w:val="20"/>
              </w:rPr>
              <w:t>M12.2,</w:t>
            </w:r>
            <w:r>
              <w:rPr>
                <w:spacing w:val="-6"/>
                <w:sz w:val="20"/>
              </w:rPr>
              <w:t> </w:t>
            </w:r>
            <w:r>
              <w:rPr>
                <w:sz w:val="20"/>
              </w:rPr>
              <w:t>M12.3,</w:t>
            </w:r>
            <w:r>
              <w:rPr>
                <w:spacing w:val="-6"/>
                <w:sz w:val="20"/>
              </w:rPr>
              <w:t> </w:t>
            </w:r>
            <w:r>
              <w:rPr>
                <w:sz w:val="20"/>
              </w:rPr>
              <w:t>M12.4,</w:t>
            </w:r>
            <w:r>
              <w:rPr>
                <w:spacing w:val="-5"/>
                <w:sz w:val="20"/>
              </w:rPr>
              <w:t> </w:t>
            </w:r>
            <w:r>
              <w:rPr>
                <w:spacing w:val="-2"/>
                <w:sz w:val="20"/>
              </w:rPr>
              <w:t>M12.5,</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269"/>
              <w:rPr>
                <w:sz w:val="20"/>
              </w:rPr>
            </w:pPr>
            <w:r>
              <w:rPr>
                <w:sz w:val="20"/>
              </w:rPr>
              <w:t>M12.8,</w:t>
            </w:r>
            <w:r>
              <w:rPr>
                <w:spacing w:val="-5"/>
                <w:sz w:val="20"/>
              </w:rPr>
              <w:t> </w:t>
            </w:r>
            <w:r>
              <w:rPr>
                <w:sz w:val="20"/>
              </w:rPr>
              <w:t>M13,</w:t>
            </w:r>
            <w:r>
              <w:rPr>
                <w:spacing w:val="-5"/>
                <w:sz w:val="20"/>
              </w:rPr>
              <w:t> </w:t>
            </w:r>
            <w:r>
              <w:rPr>
                <w:sz w:val="20"/>
              </w:rPr>
              <w:t>M13.0,</w:t>
            </w:r>
            <w:r>
              <w:rPr>
                <w:spacing w:val="-6"/>
                <w:sz w:val="20"/>
              </w:rPr>
              <w:t> </w:t>
            </w:r>
            <w:r>
              <w:rPr>
                <w:sz w:val="20"/>
              </w:rPr>
              <w:t>M13.1,</w:t>
            </w:r>
            <w:r>
              <w:rPr>
                <w:spacing w:val="-6"/>
                <w:sz w:val="20"/>
              </w:rPr>
              <w:t> </w:t>
            </w:r>
            <w:r>
              <w:rPr>
                <w:sz w:val="20"/>
              </w:rPr>
              <w:t>M13.8,</w:t>
            </w:r>
            <w:r>
              <w:rPr>
                <w:spacing w:val="-5"/>
                <w:sz w:val="20"/>
              </w:rPr>
              <w:t> </w:t>
            </w:r>
            <w:r>
              <w:rPr>
                <w:sz w:val="20"/>
              </w:rPr>
              <w:t>M13.9,</w:t>
            </w:r>
            <w:r>
              <w:rPr>
                <w:spacing w:val="-5"/>
                <w:sz w:val="20"/>
              </w:rPr>
              <w:t> </w:t>
            </w:r>
            <w:r>
              <w:rPr>
                <w:spacing w:val="-4"/>
                <w:sz w:val="20"/>
              </w:rPr>
              <w:t>M14,</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M14.0,</w:t>
            </w:r>
            <w:r>
              <w:rPr>
                <w:spacing w:val="-6"/>
                <w:sz w:val="20"/>
              </w:rPr>
              <w:t> </w:t>
            </w:r>
            <w:r>
              <w:rPr>
                <w:sz w:val="20"/>
              </w:rPr>
              <w:t>M14.1,</w:t>
            </w:r>
            <w:r>
              <w:rPr>
                <w:spacing w:val="-6"/>
                <w:sz w:val="20"/>
              </w:rPr>
              <w:t> </w:t>
            </w:r>
            <w:r>
              <w:rPr>
                <w:sz w:val="20"/>
              </w:rPr>
              <w:t>M14.2,</w:t>
            </w:r>
            <w:r>
              <w:rPr>
                <w:spacing w:val="-6"/>
                <w:sz w:val="20"/>
              </w:rPr>
              <w:t> </w:t>
            </w:r>
            <w:r>
              <w:rPr>
                <w:sz w:val="20"/>
              </w:rPr>
              <w:t>M14.3,</w:t>
            </w:r>
            <w:r>
              <w:rPr>
                <w:spacing w:val="-6"/>
                <w:sz w:val="20"/>
              </w:rPr>
              <w:t> </w:t>
            </w:r>
            <w:r>
              <w:rPr>
                <w:sz w:val="20"/>
              </w:rPr>
              <w:t>M14.4,</w:t>
            </w:r>
            <w:r>
              <w:rPr>
                <w:spacing w:val="-5"/>
                <w:sz w:val="20"/>
              </w:rPr>
              <w:t> </w:t>
            </w:r>
            <w:r>
              <w:rPr>
                <w:spacing w:val="-2"/>
                <w:sz w:val="20"/>
              </w:rPr>
              <w:t>M14.5,</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432"/>
              <w:rPr>
                <w:sz w:val="20"/>
              </w:rPr>
            </w:pPr>
            <w:r>
              <w:rPr>
                <w:sz w:val="20"/>
              </w:rPr>
              <w:t>M14.6,</w:t>
            </w:r>
            <w:r>
              <w:rPr>
                <w:spacing w:val="-6"/>
                <w:sz w:val="20"/>
              </w:rPr>
              <w:t> </w:t>
            </w:r>
            <w:r>
              <w:rPr>
                <w:sz w:val="20"/>
              </w:rPr>
              <w:t>M14.8,</w:t>
            </w:r>
            <w:r>
              <w:rPr>
                <w:spacing w:val="-6"/>
                <w:sz w:val="20"/>
              </w:rPr>
              <w:t> </w:t>
            </w:r>
            <w:r>
              <w:rPr>
                <w:sz w:val="20"/>
              </w:rPr>
              <w:t>M30.0,</w:t>
            </w:r>
            <w:r>
              <w:rPr>
                <w:spacing w:val="-6"/>
                <w:sz w:val="20"/>
              </w:rPr>
              <w:t> </w:t>
            </w:r>
            <w:r>
              <w:rPr>
                <w:sz w:val="20"/>
              </w:rPr>
              <w:t>M30.1,</w:t>
            </w:r>
            <w:r>
              <w:rPr>
                <w:spacing w:val="-6"/>
                <w:sz w:val="20"/>
              </w:rPr>
              <w:t> </w:t>
            </w:r>
            <w:r>
              <w:rPr>
                <w:sz w:val="20"/>
              </w:rPr>
              <w:t>M30.2,</w:t>
            </w:r>
            <w:r>
              <w:rPr>
                <w:spacing w:val="-5"/>
                <w:sz w:val="20"/>
              </w:rPr>
              <w:t> </w:t>
            </w:r>
            <w:r>
              <w:rPr>
                <w:spacing w:val="-2"/>
                <w:sz w:val="20"/>
              </w:rPr>
              <w:t>M30.3,</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432"/>
              <w:rPr>
                <w:sz w:val="20"/>
              </w:rPr>
            </w:pPr>
            <w:r>
              <w:rPr>
                <w:sz w:val="20"/>
              </w:rPr>
              <w:t>M30.8,</w:t>
            </w:r>
            <w:r>
              <w:rPr>
                <w:spacing w:val="-6"/>
                <w:sz w:val="20"/>
              </w:rPr>
              <w:t> </w:t>
            </w:r>
            <w:r>
              <w:rPr>
                <w:sz w:val="20"/>
              </w:rPr>
              <w:t>M31.0,</w:t>
            </w:r>
            <w:r>
              <w:rPr>
                <w:spacing w:val="-6"/>
                <w:sz w:val="20"/>
              </w:rPr>
              <w:t> </w:t>
            </w:r>
            <w:r>
              <w:rPr>
                <w:sz w:val="20"/>
              </w:rPr>
              <w:t>M31.1,</w:t>
            </w:r>
            <w:r>
              <w:rPr>
                <w:spacing w:val="-6"/>
                <w:sz w:val="20"/>
              </w:rPr>
              <w:t> </w:t>
            </w:r>
            <w:r>
              <w:rPr>
                <w:sz w:val="20"/>
              </w:rPr>
              <w:t>M31.3,</w:t>
            </w:r>
            <w:r>
              <w:rPr>
                <w:spacing w:val="-6"/>
                <w:sz w:val="20"/>
              </w:rPr>
              <w:t> </w:t>
            </w:r>
            <w:r>
              <w:rPr>
                <w:sz w:val="20"/>
              </w:rPr>
              <w:t>M31.4,</w:t>
            </w:r>
            <w:r>
              <w:rPr>
                <w:spacing w:val="-5"/>
                <w:sz w:val="20"/>
              </w:rPr>
              <w:t> </w:t>
            </w:r>
            <w:r>
              <w:rPr>
                <w:spacing w:val="-2"/>
                <w:sz w:val="20"/>
              </w:rPr>
              <w:t>M31.5,</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M31.6,</w:t>
            </w:r>
            <w:r>
              <w:rPr>
                <w:spacing w:val="-6"/>
                <w:sz w:val="20"/>
              </w:rPr>
              <w:t> </w:t>
            </w:r>
            <w:r>
              <w:rPr>
                <w:sz w:val="20"/>
              </w:rPr>
              <w:t>M31.7,</w:t>
            </w:r>
            <w:r>
              <w:rPr>
                <w:spacing w:val="-6"/>
                <w:sz w:val="20"/>
              </w:rPr>
              <w:t> </w:t>
            </w:r>
            <w:r>
              <w:rPr>
                <w:sz w:val="20"/>
              </w:rPr>
              <w:t>M31.8,</w:t>
            </w:r>
            <w:r>
              <w:rPr>
                <w:spacing w:val="-6"/>
                <w:sz w:val="20"/>
              </w:rPr>
              <w:t> </w:t>
            </w:r>
            <w:r>
              <w:rPr>
                <w:sz w:val="20"/>
              </w:rPr>
              <w:t>M31.9,</w:t>
            </w:r>
            <w:r>
              <w:rPr>
                <w:spacing w:val="-6"/>
                <w:sz w:val="20"/>
              </w:rPr>
              <w:t> </w:t>
            </w:r>
            <w:r>
              <w:rPr>
                <w:sz w:val="20"/>
              </w:rPr>
              <w:t>M32.0,</w:t>
            </w:r>
            <w:r>
              <w:rPr>
                <w:spacing w:val="-5"/>
                <w:sz w:val="20"/>
              </w:rPr>
              <w:t> </w:t>
            </w:r>
            <w:r>
              <w:rPr>
                <w:spacing w:val="-2"/>
                <w:sz w:val="20"/>
              </w:rPr>
              <w:t>M32.1,</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5" w:lineRule="exact"/>
              <w:ind w:left="432"/>
              <w:rPr>
                <w:sz w:val="20"/>
              </w:rPr>
            </w:pPr>
            <w:r>
              <w:rPr>
                <w:sz w:val="20"/>
              </w:rPr>
              <w:t>M32.8,</w:t>
            </w:r>
            <w:r>
              <w:rPr>
                <w:spacing w:val="-6"/>
                <w:sz w:val="20"/>
              </w:rPr>
              <w:t> </w:t>
            </w:r>
            <w:r>
              <w:rPr>
                <w:sz w:val="20"/>
              </w:rPr>
              <w:t>M32.9,</w:t>
            </w:r>
            <w:r>
              <w:rPr>
                <w:spacing w:val="-6"/>
                <w:sz w:val="20"/>
              </w:rPr>
              <w:t> </w:t>
            </w:r>
            <w:r>
              <w:rPr>
                <w:sz w:val="20"/>
              </w:rPr>
              <w:t>M33.0,</w:t>
            </w:r>
            <w:r>
              <w:rPr>
                <w:spacing w:val="-6"/>
                <w:sz w:val="20"/>
              </w:rPr>
              <w:t> </w:t>
            </w:r>
            <w:r>
              <w:rPr>
                <w:sz w:val="20"/>
              </w:rPr>
              <w:t>M33.1,</w:t>
            </w:r>
            <w:r>
              <w:rPr>
                <w:spacing w:val="-6"/>
                <w:sz w:val="20"/>
              </w:rPr>
              <w:t> </w:t>
            </w:r>
            <w:r>
              <w:rPr>
                <w:sz w:val="20"/>
              </w:rPr>
              <w:t>M33.2,</w:t>
            </w:r>
            <w:r>
              <w:rPr>
                <w:spacing w:val="-5"/>
                <w:sz w:val="20"/>
              </w:rPr>
              <w:t> </w:t>
            </w:r>
            <w:r>
              <w:rPr>
                <w:spacing w:val="-2"/>
                <w:sz w:val="20"/>
              </w:rPr>
              <w:t>M33.9,</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274"/>
        <w:gridCol w:w="5360"/>
        <w:gridCol w:w="2003"/>
        <w:gridCol w:w="3119"/>
        <w:gridCol w:w="864"/>
      </w:tblGrid>
      <w:tr>
        <w:trPr>
          <w:trHeight w:val="964" w:hRule="atLeast"/>
        </w:trPr>
        <w:tc>
          <w:tcPr>
            <w:tcW w:w="978" w:type="dxa"/>
          </w:tcPr>
          <w:p>
            <w:pPr>
              <w:pStyle w:val="TableParagraph"/>
              <w:rPr>
                <w:sz w:val="18"/>
              </w:rPr>
            </w:pPr>
          </w:p>
        </w:tc>
        <w:tc>
          <w:tcPr>
            <w:tcW w:w="696" w:type="dxa"/>
          </w:tcPr>
          <w:p>
            <w:pPr>
              <w:pStyle w:val="TableParagraph"/>
              <w:rPr>
                <w:sz w:val="18"/>
              </w:rPr>
            </w:pPr>
          </w:p>
        </w:tc>
        <w:tc>
          <w:tcPr>
            <w:tcW w:w="2274" w:type="dxa"/>
          </w:tcPr>
          <w:p>
            <w:pPr>
              <w:pStyle w:val="TableParagraph"/>
              <w:rPr>
                <w:sz w:val="18"/>
              </w:rPr>
            </w:pPr>
          </w:p>
        </w:tc>
        <w:tc>
          <w:tcPr>
            <w:tcW w:w="5360" w:type="dxa"/>
          </w:tcPr>
          <w:p>
            <w:pPr>
              <w:pStyle w:val="TableParagraph"/>
              <w:spacing w:line="221" w:lineRule="exact"/>
              <w:ind w:left="586" w:right="1056"/>
              <w:jc w:val="center"/>
              <w:rPr>
                <w:sz w:val="20"/>
              </w:rPr>
            </w:pPr>
            <w:r>
              <w:rPr>
                <w:sz w:val="20"/>
              </w:rPr>
              <w:t>M34.0,</w:t>
            </w:r>
            <w:r>
              <w:rPr>
                <w:spacing w:val="-6"/>
                <w:sz w:val="20"/>
              </w:rPr>
              <w:t> </w:t>
            </w:r>
            <w:r>
              <w:rPr>
                <w:sz w:val="20"/>
              </w:rPr>
              <w:t>M34.1,</w:t>
            </w:r>
            <w:r>
              <w:rPr>
                <w:spacing w:val="-6"/>
                <w:sz w:val="20"/>
              </w:rPr>
              <w:t> </w:t>
            </w:r>
            <w:r>
              <w:rPr>
                <w:sz w:val="20"/>
              </w:rPr>
              <w:t>M34.2,</w:t>
            </w:r>
            <w:r>
              <w:rPr>
                <w:spacing w:val="-6"/>
                <w:sz w:val="20"/>
              </w:rPr>
              <w:t> </w:t>
            </w:r>
            <w:r>
              <w:rPr>
                <w:sz w:val="20"/>
              </w:rPr>
              <w:t>M34.8,</w:t>
            </w:r>
            <w:r>
              <w:rPr>
                <w:spacing w:val="-6"/>
                <w:sz w:val="20"/>
              </w:rPr>
              <w:t> </w:t>
            </w:r>
            <w:r>
              <w:rPr>
                <w:sz w:val="20"/>
              </w:rPr>
              <w:t>M34.9,</w:t>
            </w:r>
            <w:r>
              <w:rPr>
                <w:spacing w:val="-5"/>
                <w:sz w:val="20"/>
              </w:rPr>
              <w:t> </w:t>
            </w:r>
            <w:r>
              <w:rPr>
                <w:spacing w:val="-2"/>
                <w:sz w:val="20"/>
              </w:rPr>
              <w:t>M35.0,</w:t>
            </w:r>
          </w:p>
          <w:p>
            <w:pPr>
              <w:pStyle w:val="TableParagraph"/>
              <w:spacing w:line="229" w:lineRule="exact"/>
              <w:ind w:left="586" w:right="1057"/>
              <w:jc w:val="center"/>
              <w:rPr>
                <w:sz w:val="20"/>
              </w:rPr>
            </w:pPr>
            <w:r>
              <w:rPr>
                <w:sz w:val="20"/>
              </w:rPr>
              <w:t>M35.1,</w:t>
            </w:r>
            <w:r>
              <w:rPr>
                <w:spacing w:val="-6"/>
                <w:sz w:val="20"/>
              </w:rPr>
              <w:t> </w:t>
            </w:r>
            <w:r>
              <w:rPr>
                <w:sz w:val="20"/>
              </w:rPr>
              <w:t>M35.2,</w:t>
            </w:r>
            <w:r>
              <w:rPr>
                <w:spacing w:val="-6"/>
                <w:sz w:val="20"/>
              </w:rPr>
              <w:t> </w:t>
            </w:r>
            <w:r>
              <w:rPr>
                <w:sz w:val="20"/>
              </w:rPr>
              <w:t>M35.3,</w:t>
            </w:r>
            <w:r>
              <w:rPr>
                <w:spacing w:val="-6"/>
                <w:sz w:val="20"/>
              </w:rPr>
              <w:t> </w:t>
            </w:r>
            <w:r>
              <w:rPr>
                <w:sz w:val="20"/>
              </w:rPr>
              <w:t>M35.4,</w:t>
            </w:r>
            <w:r>
              <w:rPr>
                <w:spacing w:val="-6"/>
                <w:sz w:val="20"/>
              </w:rPr>
              <w:t> </w:t>
            </w:r>
            <w:r>
              <w:rPr>
                <w:sz w:val="20"/>
              </w:rPr>
              <w:t>M35.5,</w:t>
            </w:r>
            <w:r>
              <w:rPr>
                <w:spacing w:val="-5"/>
                <w:sz w:val="20"/>
              </w:rPr>
              <w:t> </w:t>
            </w:r>
            <w:r>
              <w:rPr>
                <w:spacing w:val="-2"/>
                <w:sz w:val="20"/>
              </w:rPr>
              <w:t>M35.6,</w:t>
            </w:r>
          </w:p>
          <w:p>
            <w:pPr>
              <w:pStyle w:val="TableParagraph"/>
              <w:ind w:left="586" w:right="1057"/>
              <w:jc w:val="center"/>
              <w:rPr>
                <w:sz w:val="20"/>
              </w:rPr>
            </w:pPr>
            <w:r>
              <w:rPr>
                <w:sz w:val="20"/>
              </w:rPr>
              <w:t>M35.8,</w:t>
            </w:r>
            <w:r>
              <w:rPr>
                <w:spacing w:val="-9"/>
                <w:sz w:val="20"/>
              </w:rPr>
              <w:t> </w:t>
            </w:r>
            <w:r>
              <w:rPr>
                <w:sz w:val="20"/>
              </w:rPr>
              <w:t>M35.9,</w:t>
            </w:r>
            <w:r>
              <w:rPr>
                <w:spacing w:val="-9"/>
                <w:sz w:val="20"/>
              </w:rPr>
              <w:t> </w:t>
            </w:r>
            <w:r>
              <w:rPr>
                <w:sz w:val="20"/>
              </w:rPr>
              <w:t>M36.0,</w:t>
            </w:r>
            <w:r>
              <w:rPr>
                <w:spacing w:val="-9"/>
                <w:sz w:val="20"/>
              </w:rPr>
              <w:t> </w:t>
            </w:r>
            <w:r>
              <w:rPr>
                <w:sz w:val="20"/>
              </w:rPr>
              <w:t>M36.1,</w:t>
            </w:r>
            <w:r>
              <w:rPr>
                <w:spacing w:val="-9"/>
                <w:sz w:val="20"/>
              </w:rPr>
              <w:t> </w:t>
            </w:r>
            <w:r>
              <w:rPr>
                <w:sz w:val="20"/>
              </w:rPr>
              <w:t>M36.2,</w:t>
            </w:r>
            <w:r>
              <w:rPr>
                <w:spacing w:val="-9"/>
                <w:sz w:val="20"/>
              </w:rPr>
              <w:t> </w:t>
            </w:r>
            <w:r>
              <w:rPr>
                <w:sz w:val="20"/>
              </w:rPr>
              <w:t>M36.3, M36.4, M36.8, M45, M46.8, M46.9</w:t>
            </w:r>
          </w:p>
        </w:tc>
        <w:tc>
          <w:tcPr>
            <w:tcW w:w="2003" w:type="dxa"/>
          </w:tcPr>
          <w:p>
            <w:pPr>
              <w:pStyle w:val="TableParagraph"/>
              <w:rPr>
                <w:sz w:val="18"/>
              </w:rPr>
            </w:pPr>
          </w:p>
        </w:tc>
        <w:tc>
          <w:tcPr>
            <w:tcW w:w="3119" w:type="dxa"/>
          </w:tcPr>
          <w:p>
            <w:pPr>
              <w:pStyle w:val="TableParagraph"/>
              <w:rPr>
                <w:sz w:val="18"/>
              </w:rPr>
            </w:pPr>
          </w:p>
        </w:tc>
        <w:tc>
          <w:tcPr>
            <w:tcW w:w="864"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ds22.002</w:t>
            </w:r>
          </w:p>
        </w:tc>
        <w:tc>
          <w:tcPr>
            <w:tcW w:w="696" w:type="dxa"/>
          </w:tcPr>
          <w:p>
            <w:pPr>
              <w:pStyle w:val="TableParagraph"/>
              <w:spacing w:line="215" w:lineRule="exact" w:before="46"/>
              <w:ind w:left="200"/>
              <w:rPr>
                <w:sz w:val="20"/>
              </w:rPr>
            </w:pPr>
            <w:r>
              <w:rPr>
                <w:spacing w:val="-5"/>
                <w:sz w:val="20"/>
              </w:rPr>
              <w:t>116</w:t>
            </w:r>
          </w:p>
        </w:tc>
        <w:tc>
          <w:tcPr>
            <w:tcW w:w="2274" w:type="dxa"/>
          </w:tcPr>
          <w:p>
            <w:pPr>
              <w:pStyle w:val="TableParagraph"/>
              <w:spacing w:line="215" w:lineRule="exact" w:before="46"/>
              <w:ind w:left="193"/>
              <w:rPr>
                <w:sz w:val="20"/>
              </w:rPr>
            </w:pPr>
            <w:r>
              <w:rPr>
                <w:sz w:val="20"/>
              </w:rPr>
              <w:t>Болезни</w:t>
            </w:r>
            <w:r>
              <w:rPr>
                <w:spacing w:val="-10"/>
                <w:sz w:val="20"/>
              </w:rPr>
              <w:t> </w:t>
            </w:r>
            <w:r>
              <w:rPr>
                <w:spacing w:val="-2"/>
                <w:sz w:val="20"/>
              </w:rPr>
              <w:t>органов</w:t>
            </w:r>
          </w:p>
        </w:tc>
        <w:tc>
          <w:tcPr>
            <w:tcW w:w="5360" w:type="dxa"/>
          </w:tcPr>
          <w:p>
            <w:pPr>
              <w:pStyle w:val="TableParagraph"/>
              <w:spacing w:line="215" w:lineRule="exact" w:before="46"/>
              <w:ind w:left="466"/>
              <w:rPr>
                <w:sz w:val="20"/>
              </w:rPr>
            </w:pPr>
            <w:r>
              <w:rPr>
                <w:sz w:val="20"/>
              </w:rPr>
              <w:t>D01,</w:t>
            </w:r>
            <w:r>
              <w:rPr>
                <w:spacing w:val="-6"/>
                <w:sz w:val="20"/>
              </w:rPr>
              <w:t> </w:t>
            </w:r>
            <w:r>
              <w:rPr>
                <w:sz w:val="20"/>
              </w:rPr>
              <w:t>D01.0,</w:t>
            </w:r>
            <w:r>
              <w:rPr>
                <w:spacing w:val="-5"/>
                <w:sz w:val="20"/>
              </w:rPr>
              <w:t> </w:t>
            </w:r>
            <w:r>
              <w:rPr>
                <w:sz w:val="20"/>
              </w:rPr>
              <w:t>D01.1,</w:t>
            </w:r>
            <w:r>
              <w:rPr>
                <w:spacing w:val="-6"/>
                <w:sz w:val="20"/>
              </w:rPr>
              <w:t> </w:t>
            </w:r>
            <w:r>
              <w:rPr>
                <w:sz w:val="20"/>
              </w:rPr>
              <w:t>D01.2,</w:t>
            </w:r>
            <w:r>
              <w:rPr>
                <w:spacing w:val="-5"/>
                <w:sz w:val="20"/>
              </w:rPr>
              <w:t> </w:t>
            </w:r>
            <w:r>
              <w:rPr>
                <w:sz w:val="20"/>
              </w:rPr>
              <w:t>D01.3,</w:t>
            </w:r>
            <w:r>
              <w:rPr>
                <w:spacing w:val="-5"/>
                <w:sz w:val="20"/>
              </w:rPr>
              <w:t> </w:t>
            </w:r>
            <w:r>
              <w:rPr>
                <w:sz w:val="20"/>
              </w:rPr>
              <w:t>D01.4,</w:t>
            </w:r>
            <w:r>
              <w:rPr>
                <w:spacing w:val="-6"/>
                <w:sz w:val="20"/>
              </w:rPr>
              <w:t> </w:t>
            </w:r>
            <w:r>
              <w:rPr>
                <w:spacing w:val="-2"/>
                <w:sz w:val="20"/>
              </w:rPr>
              <w:t>D01.5,</w:t>
            </w:r>
          </w:p>
        </w:tc>
        <w:tc>
          <w:tcPr>
            <w:tcW w:w="2003" w:type="dxa"/>
          </w:tcPr>
          <w:p>
            <w:pPr>
              <w:pStyle w:val="TableParagraph"/>
              <w:spacing w:line="215" w:lineRule="exact" w:before="46"/>
              <w:ind w:right="67"/>
              <w:jc w:val="center"/>
              <w:rPr>
                <w:sz w:val="20"/>
              </w:rPr>
            </w:pPr>
            <w:r>
              <w:rPr>
                <w:w w:val="99"/>
                <w:sz w:val="20"/>
              </w:rPr>
              <w:t>-</w:t>
            </w:r>
          </w:p>
        </w:tc>
        <w:tc>
          <w:tcPr>
            <w:tcW w:w="3119" w:type="dxa"/>
          </w:tcPr>
          <w:p>
            <w:pPr>
              <w:pStyle w:val="TableParagraph"/>
              <w:spacing w:line="215" w:lineRule="exact" w:before="46"/>
              <w:ind w:right="459"/>
              <w:jc w:val="right"/>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left="464"/>
              <w:rPr>
                <w:sz w:val="20"/>
              </w:rPr>
            </w:pPr>
            <w:r>
              <w:rPr>
                <w:spacing w:val="-4"/>
                <w:sz w:val="20"/>
              </w:rPr>
              <w:t>0,89</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spacing w:line="209" w:lineRule="exact"/>
              <w:ind w:left="193"/>
              <w:rPr>
                <w:sz w:val="20"/>
              </w:rPr>
            </w:pPr>
            <w:r>
              <w:rPr>
                <w:spacing w:val="-2"/>
                <w:sz w:val="20"/>
              </w:rPr>
              <w:t>пищеварения,</w:t>
            </w:r>
            <w:r>
              <w:rPr>
                <w:spacing w:val="7"/>
                <w:sz w:val="20"/>
              </w:rPr>
              <w:t> </w:t>
            </w:r>
            <w:r>
              <w:rPr>
                <w:spacing w:val="-4"/>
                <w:sz w:val="20"/>
              </w:rPr>
              <w:t>дети</w:t>
            </w:r>
          </w:p>
        </w:tc>
        <w:tc>
          <w:tcPr>
            <w:tcW w:w="5360" w:type="dxa"/>
          </w:tcPr>
          <w:p>
            <w:pPr>
              <w:pStyle w:val="TableParagraph"/>
              <w:spacing w:line="209" w:lineRule="exact"/>
              <w:ind w:left="466"/>
              <w:rPr>
                <w:sz w:val="20"/>
              </w:rPr>
            </w:pPr>
            <w:r>
              <w:rPr>
                <w:sz w:val="20"/>
              </w:rPr>
              <w:t>D01.7,</w:t>
            </w:r>
            <w:r>
              <w:rPr>
                <w:spacing w:val="-6"/>
                <w:sz w:val="20"/>
              </w:rPr>
              <w:t> </w:t>
            </w:r>
            <w:r>
              <w:rPr>
                <w:sz w:val="20"/>
              </w:rPr>
              <w:t>D01.9,</w:t>
            </w:r>
            <w:r>
              <w:rPr>
                <w:spacing w:val="-7"/>
                <w:sz w:val="20"/>
              </w:rPr>
              <w:t> </w:t>
            </w:r>
            <w:r>
              <w:rPr>
                <w:sz w:val="20"/>
              </w:rPr>
              <w:t>D12,</w:t>
            </w:r>
            <w:r>
              <w:rPr>
                <w:spacing w:val="-5"/>
                <w:sz w:val="20"/>
              </w:rPr>
              <w:t> </w:t>
            </w:r>
            <w:r>
              <w:rPr>
                <w:sz w:val="20"/>
              </w:rPr>
              <w:t>D12.0,</w:t>
            </w:r>
            <w:r>
              <w:rPr>
                <w:spacing w:val="-5"/>
                <w:sz w:val="20"/>
              </w:rPr>
              <w:t> </w:t>
            </w:r>
            <w:r>
              <w:rPr>
                <w:sz w:val="20"/>
              </w:rPr>
              <w:t>D12.1,</w:t>
            </w:r>
            <w:r>
              <w:rPr>
                <w:spacing w:val="-5"/>
                <w:sz w:val="20"/>
              </w:rPr>
              <w:t> </w:t>
            </w:r>
            <w:r>
              <w:rPr>
                <w:sz w:val="20"/>
              </w:rPr>
              <w:t>D12.2,</w:t>
            </w:r>
            <w:r>
              <w:rPr>
                <w:spacing w:val="-6"/>
                <w:sz w:val="20"/>
              </w:rPr>
              <w:t> </w:t>
            </w:r>
            <w:r>
              <w:rPr>
                <w:spacing w:val="-2"/>
                <w:sz w:val="20"/>
              </w:rPr>
              <w:t>D12.3,</w:t>
            </w:r>
          </w:p>
        </w:tc>
        <w:tc>
          <w:tcPr>
            <w:tcW w:w="2003" w:type="dxa"/>
          </w:tcPr>
          <w:p>
            <w:pPr>
              <w:pStyle w:val="TableParagraph"/>
              <w:rPr>
                <w:sz w:val="16"/>
              </w:rPr>
            </w:pPr>
          </w:p>
        </w:tc>
        <w:tc>
          <w:tcPr>
            <w:tcW w:w="3119" w:type="dxa"/>
          </w:tcPr>
          <w:p>
            <w:pPr>
              <w:pStyle w:val="TableParagraph"/>
              <w:spacing w:line="209" w:lineRule="exact"/>
              <w:ind w:right="479"/>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3"/>
              <w:rPr>
                <w:sz w:val="20"/>
              </w:rPr>
            </w:pPr>
            <w:r>
              <w:rPr>
                <w:sz w:val="20"/>
              </w:rPr>
              <w:t>D12.4,</w:t>
            </w:r>
            <w:r>
              <w:rPr>
                <w:spacing w:val="-5"/>
                <w:sz w:val="20"/>
              </w:rPr>
              <w:t> </w:t>
            </w:r>
            <w:r>
              <w:rPr>
                <w:sz w:val="20"/>
              </w:rPr>
              <w:t>D12.5,</w:t>
            </w:r>
            <w:r>
              <w:rPr>
                <w:spacing w:val="-5"/>
                <w:sz w:val="20"/>
              </w:rPr>
              <w:t> </w:t>
            </w:r>
            <w:r>
              <w:rPr>
                <w:sz w:val="20"/>
              </w:rPr>
              <w:t>D12.6,</w:t>
            </w:r>
            <w:r>
              <w:rPr>
                <w:spacing w:val="-4"/>
                <w:sz w:val="20"/>
              </w:rPr>
              <w:t> </w:t>
            </w:r>
            <w:r>
              <w:rPr>
                <w:sz w:val="20"/>
              </w:rPr>
              <w:t>D12.7,</w:t>
            </w:r>
            <w:r>
              <w:rPr>
                <w:spacing w:val="-6"/>
                <w:sz w:val="20"/>
              </w:rPr>
              <w:t> </w:t>
            </w:r>
            <w:r>
              <w:rPr>
                <w:sz w:val="20"/>
              </w:rPr>
              <w:t>D12.8,</w:t>
            </w:r>
            <w:r>
              <w:rPr>
                <w:spacing w:val="-4"/>
                <w:sz w:val="20"/>
              </w:rPr>
              <w:t> </w:t>
            </w:r>
            <w:r>
              <w:rPr>
                <w:sz w:val="20"/>
              </w:rPr>
              <w:t>D12.9,</w:t>
            </w:r>
            <w:r>
              <w:rPr>
                <w:spacing w:val="-6"/>
                <w:sz w:val="20"/>
              </w:rPr>
              <w:t> </w:t>
            </w:r>
            <w:r>
              <w:rPr>
                <w:spacing w:val="-4"/>
                <w:sz w:val="20"/>
              </w:rPr>
              <w:t>D13,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1" w:lineRule="exact"/>
              <w:ind w:left="687"/>
              <w:rPr>
                <w:sz w:val="20"/>
              </w:rPr>
            </w:pPr>
            <w:r>
              <w:rPr>
                <w:sz w:val="20"/>
              </w:rPr>
              <w:t>D13.0,</w:t>
            </w:r>
            <w:r>
              <w:rPr>
                <w:spacing w:val="-4"/>
                <w:sz w:val="20"/>
              </w:rPr>
              <w:t> </w:t>
            </w:r>
            <w:r>
              <w:rPr>
                <w:sz w:val="20"/>
              </w:rPr>
              <w:t>D13.1,</w:t>
            </w:r>
            <w:r>
              <w:rPr>
                <w:spacing w:val="-6"/>
                <w:sz w:val="20"/>
              </w:rPr>
              <w:t> </w:t>
            </w:r>
            <w:r>
              <w:rPr>
                <w:sz w:val="20"/>
              </w:rPr>
              <w:t>D13.2,</w:t>
            </w:r>
            <w:r>
              <w:rPr>
                <w:spacing w:val="-4"/>
                <w:sz w:val="20"/>
              </w:rPr>
              <w:t> </w:t>
            </w:r>
            <w:r>
              <w:rPr>
                <w:sz w:val="20"/>
              </w:rPr>
              <w:t>D13.3,</w:t>
            </w:r>
            <w:r>
              <w:rPr>
                <w:spacing w:val="-6"/>
                <w:sz w:val="20"/>
              </w:rPr>
              <w:t> </w:t>
            </w:r>
            <w:r>
              <w:rPr>
                <w:sz w:val="20"/>
              </w:rPr>
              <w:t>D13.4,</w:t>
            </w:r>
            <w:r>
              <w:rPr>
                <w:spacing w:val="-4"/>
                <w:sz w:val="20"/>
              </w:rPr>
              <w:t> </w:t>
            </w:r>
            <w:r>
              <w:rPr>
                <w:spacing w:val="-2"/>
                <w:sz w:val="20"/>
              </w:rPr>
              <w:t>D13.5,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D13.9,</w:t>
            </w:r>
            <w:r>
              <w:rPr>
                <w:spacing w:val="-6"/>
                <w:sz w:val="20"/>
              </w:rPr>
              <w:t> </w:t>
            </w:r>
            <w:r>
              <w:rPr>
                <w:sz w:val="20"/>
              </w:rPr>
              <w:t>D19.1,</w:t>
            </w:r>
            <w:r>
              <w:rPr>
                <w:spacing w:val="-7"/>
                <w:sz w:val="20"/>
              </w:rPr>
              <w:t> </w:t>
            </w:r>
            <w:r>
              <w:rPr>
                <w:sz w:val="20"/>
              </w:rPr>
              <w:t>D20,</w:t>
            </w:r>
            <w:r>
              <w:rPr>
                <w:spacing w:val="-5"/>
                <w:sz w:val="20"/>
              </w:rPr>
              <w:t> </w:t>
            </w:r>
            <w:r>
              <w:rPr>
                <w:sz w:val="20"/>
              </w:rPr>
              <w:t>D20.0,</w:t>
            </w:r>
            <w:r>
              <w:rPr>
                <w:spacing w:val="-5"/>
                <w:sz w:val="20"/>
              </w:rPr>
              <w:t> </w:t>
            </w:r>
            <w:r>
              <w:rPr>
                <w:sz w:val="20"/>
              </w:rPr>
              <w:t>D20.1,</w:t>
            </w:r>
            <w:r>
              <w:rPr>
                <w:spacing w:val="-5"/>
                <w:sz w:val="20"/>
              </w:rPr>
              <w:t> </w:t>
            </w:r>
            <w:r>
              <w:rPr>
                <w:sz w:val="20"/>
              </w:rPr>
              <w:t>D37.1,</w:t>
            </w:r>
            <w:r>
              <w:rPr>
                <w:spacing w:val="-6"/>
                <w:sz w:val="20"/>
              </w:rPr>
              <w:t> </w:t>
            </w:r>
            <w:r>
              <w:rPr>
                <w:spacing w:val="-2"/>
                <w:sz w:val="20"/>
              </w:rPr>
              <w:t>D37.2,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D37.3,</w:t>
            </w:r>
            <w:r>
              <w:rPr>
                <w:spacing w:val="-4"/>
                <w:sz w:val="20"/>
              </w:rPr>
              <w:t> </w:t>
            </w:r>
            <w:r>
              <w:rPr>
                <w:sz w:val="20"/>
              </w:rPr>
              <w:t>D37.4,</w:t>
            </w:r>
            <w:r>
              <w:rPr>
                <w:spacing w:val="-5"/>
                <w:sz w:val="20"/>
              </w:rPr>
              <w:t> </w:t>
            </w:r>
            <w:r>
              <w:rPr>
                <w:sz w:val="20"/>
              </w:rPr>
              <w:t>D37.5,</w:t>
            </w:r>
            <w:r>
              <w:rPr>
                <w:spacing w:val="-3"/>
                <w:sz w:val="20"/>
              </w:rPr>
              <w:t> </w:t>
            </w:r>
            <w:r>
              <w:rPr>
                <w:sz w:val="20"/>
              </w:rPr>
              <w:t>D37.6,</w:t>
            </w:r>
            <w:r>
              <w:rPr>
                <w:spacing w:val="-5"/>
                <w:sz w:val="20"/>
              </w:rPr>
              <w:t> </w:t>
            </w:r>
            <w:r>
              <w:rPr>
                <w:sz w:val="20"/>
              </w:rPr>
              <w:t>D37.7,</w:t>
            </w:r>
            <w:r>
              <w:rPr>
                <w:spacing w:val="-3"/>
                <w:sz w:val="20"/>
              </w:rPr>
              <w:t> </w:t>
            </w:r>
            <w:r>
              <w:rPr>
                <w:spacing w:val="-2"/>
                <w:sz w:val="20"/>
              </w:rPr>
              <w:t>D37.9,</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75"/>
              <w:rPr>
                <w:sz w:val="20"/>
              </w:rPr>
            </w:pPr>
            <w:r>
              <w:rPr>
                <w:sz w:val="20"/>
              </w:rPr>
              <w:t>D48.3,</w:t>
            </w:r>
            <w:r>
              <w:rPr>
                <w:spacing w:val="-5"/>
                <w:sz w:val="20"/>
              </w:rPr>
              <w:t> </w:t>
            </w:r>
            <w:r>
              <w:rPr>
                <w:sz w:val="20"/>
              </w:rPr>
              <w:t>D48.4,</w:t>
            </w:r>
            <w:r>
              <w:rPr>
                <w:spacing w:val="-6"/>
                <w:sz w:val="20"/>
              </w:rPr>
              <w:t> </w:t>
            </w:r>
            <w:r>
              <w:rPr>
                <w:sz w:val="20"/>
              </w:rPr>
              <w:t>I81,</w:t>
            </w:r>
            <w:r>
              <w:rPr>
                <w:spacing w:val="-5"/>
                <w:sz w:val="20"/>
              </w:rPr>
              <w:t> </w:t>
            </w:r>
            <w:r>
              <w:rPr>
                <w:sz w:val="20"/>
              </w:rPr>
              <w:t>I85,</w:t>
            </w:r>
            <w:r>
              <w:rPr>
                <w:spacing w:val="-4"/>
                <w:sz w:val="20"/>
              </w:rPr>
              <w:t> </w:t>
            </w:r>
            <w:r>
              <w:rPr>
                <w:sz w:val="20"/>
              </w:rPr>
              <w:t>I85.0,</w:t>
            </w:r>
            <w:r>
              <w:rPr>
                <w:spacing w:val="-7"/>
                <w:sz w:val="20"/>
              </w:rPr>
              <w:t> </w:t>
            </w:r>
            <w:r>
              <w:rPr>
                <w:sz w:val="20"/>
              </w:rPr>
              <w:t>I85.9,</w:t>
            </w:r>
            <w:r>
              <w:rPr>
                <w:spacing w:val="-4"/>
                <w:sz w:val="20"/>
              </w:rPr>
              <w:t> </w:t>
            </w:r>
            <w:r>
              <w:rPr>
                <w:sz w:val="20"/>
              </w:rPr>
              <w:t>I86.4,</w:t>
            </w:r>
            <w:r>
              <w:rPr>
                <w:spacing w:val="-7"/>
                <w:sz w:val="20"/>
              </w:rPr>
              <w:t> </w:t>
            </w:r>
            <w:r>
              <w:rPr>
                <w:spacing w:val="-2"/>
                <w:sz w:val="20"/>
              </w:rPr>
              <w:t>I98.2,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53"/>
              <w:rPr>
                <w:sz w:val="20"/>
              </w:rPr>
            </w:pPr>
            <w:r>
              <w:rPr>
                <w:sz w:val="20"/>
              </w:rPr>
              <w:t>I98.3,</w:t>
            </w:r>
            <w:r>
              <w:rPr>
                <w:spacing w:val="-4"/>
                <w:sz w:val="20"/>
              </w:rPr>
              <w:t> </w:t>
            </w:r>
            <w:r>
              <w:rPr>
                <w:sz w:val="20"/>
              </w:rPr>
              <w:t>K20,</w:t>
            </w:r>
            <w:r>
              <w:rPr>
                <w:spacing w:val="-5"/>
                <w:sz w:val="20"/>
              </w:rPr>
              <w:t> </w:t>
            </w:r>
            <w:r>
              <w:rPr>
                <w:sz w:val="20"/>
              </w:rPr>
              <w:t>K21,</w:t>
            </w:r>
            <w:r>
              <w:rPr>
                <w:spacing w:val="-3"/>
                <w:sz w:val="20"/>
              </w:rPr>
              <w:t> </w:t>
            </w:r>
            <w:r>
              <w:rPr>
                <w:sz w:val="20"/>
              </w:rPr>
              <w:t>K21.0,</w:t>
            </w:r>
            <w:r>
              <w:rPr>
                <w:spacing w:val="-5"/>
                <w:sz w:val="20"/>
              </w:rPr>
              <w:t> </w:t>
            </w:r>
            <w:r>
              <w:rPr>
                <w:sz w:val="20"/>
              </w:rPr>
              <w:t>K21.9,</w:t>
            </w:r>
            <w:r>
              <w:rPr>
                <w:spacing w:val="-4"/>
                <w:sz w:val="20"/>
              </w:rPr>
              <w:t> </w:t>
            </w:r>
            <w:r>
              <w:rPr>
                <w:sz w:val="20"/>
              </w:rPr>
              <w:t>K22,</w:t>
            </w:r>
            <w:r>
              <w:rPr>
                <w:spacing w:val="-3"/>
                <w:sz w:val="20"/>
              </w:rPr>
              <w:t> </w:t>
            </w:r>
            <w:r>
              <w:rPr>
                <w:spacing w:val="-2"/>
                <w:sz w:val="20"/>
              </w:rPr>
              <w:t>K22.0,</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87"/>
              <w:rPr>
                <w:sz w:val="20"/>
              </w:rPr>
            </w:pPr>
            <w:r>
              <w:rPr>
                <w:sz w:val="20"/>
              </w:rPr>
              <w:t>K22.1,</w:t>
            </w:r>
            <w:r>
              <w:rPr>
                <w:spacing w:val="-4"/>
                <w:sz w:val="20"/>
              </w:rPr>
              <w:t> </w:t>
            </w:r>
            <w:r>
              <w:rPr>
                <w:sz w:val="20"/>
              </w:rPr>
              <w:t>K22.2,</w:t>
            </w:r>
            <w:r>
              <w:rPr>
                <w:spacing w:val="-6"/>
                <w:sz w:val="20"/>
              </w:rPr>
              <w:t> </w:t>
            </w:r>
            <w:r>
              <w:rPr>
                <w:sz w:val="20"/>
              </w:rPr>
              <w:t>K22.3,</w:t>
            </w:r>
            <w:r>
              <w:rPr>
                <w:spacing w:val="-4"/>
                <w:sz w:val="20"/>
              </w:rPr>
              <w:t> </w:t>
            </w:r>
            <w:r>
              <w:rPr>
                <w:sz w:val="20"/>
              </w:rPr>
              <w:t>K22.4,</w:t>
            </w:r>
            <w:r>
              <w:rPr>
                <w:spacing w:val="-6"/>
                <w:sz w:val="20"/>
              </w:rPr>
              <w:t> </w:t>
            </w:r>
            <w:r>
              <w:rPr>
                <w:sz w:val="20"/>
              </w:rPr>
              <w:t>K22.5,</w:t>
            </w:r>
            <w:r>
              <w:rPr>
                <w:spacing w:val="-4"/>
                <w:sz w:val="20"/>
              </w:rPr>
              <w:t> </w:t>
            </w:r>
            <w:r>
              <w:rPr>
                <w:spacing w:val="-2"/>
                <w:sz w:val="20"/>
              </w:rPr>
              <w:t>K22.6,</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K22.7,</w:t>
            </w:r>
            <w:r>
              <w:rPr>
                <w:spacing w:val="-6"/>
                <w:sz w:val="20"/>
              </w:rPr>
              <w:t> </w:t>
            </w:r>
            <w:r>
              <w:rPr>
                <w:sz w:val="20"/>
              </w:rPr>
              <w:t>K22.8,</w:t>
            </w:r>
            <w:r>
              <w:rPr>
                <w:spacing w:val="-6"/>
                <w:sz w:val="20"/>
              </w:rPr>
              <w:t> </w:t>
            </w:r>
            <w:r>
              <w:rPr>
                <w:sz w:val="20"/>
              </w:rPr>
              <w:t>K22.9,</w:t>
            </w:r>
            <w:r>
              <w:rPr>
                <w:spacing w:val="-5"/>
                <w:sz w:val="20"/>
              </w:rPr>
              <w:t> </w:t>
            </w:r>
            <w:r>
              <w:rPr>
                <w:sz w:val="20"/>
              </w:rPr>
              <w:t>K23,</w:t>
            </w:r>
            <w:r>
              <w:rPr>
                <w:spacing w:val="-6"/>
                <w:sz w:val="20"/>
              </w:rPr>
              <w:t> </w:t>
            </w:r>
            <w:r>
              <w:rPr>
                <w:sz w:val="20"/>
              </w:rPr>
              <w:t>K23.1,</w:t>
            </w:r>
            <w:r>
              <w:rPr>
                <w:spacing w:val="-5"/>
                <w:sz w:val="20"/>
              </w:rPr>
              <w:t> </w:t>
            </w:r>
            <w:r>
              <w:rPr>
                <w:sz w:val="20"/>
              </w:rPr>
              <w:t>K23.8,</w:t>
            </w:r>
            <w:r>
              <w:rPr>
                <w:spacing w:val="-5"/>
                <w:sz w:val="20"/>
              </w:rPr>
              <w:t> </w:t>
            </w:r>
            <w:r>
              <w:rPr>
                <w:spacing w:val="-4"/>
                <w:sz w:val="20"/>
              </w:rPr>
              <w:t>K25,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K25.0,</w:t>
            </w:r>
            <w:r>
              <w:rPr>
                <w:spacing w:val="-4"/>
                <w:sz w:val="20"/>
              </w:rPr>
              <w:t> </w:t>
            </w:r>
            <w:r>
              <w:rPr>
                <w:sz w:val="20"/>
              </w:rPr>
              <w:t>K25.1,</w:t>
            </w:r>
            <w:r>
              <w:rPr>
                <w:spacing w:val="-6"/>
                <w:sz w:val="20"/>
              </w:rPr>
              <w:t> </w:t>
            </w:r>
            <w:r>
              <w:rPr>
                <w:sz w:val="20"/>
              </w:rPr>
              <w:t>K25.2,</w:t>
            </w:r>
            <w:r>
              <w:rPr>
                <w:spacing w:val="-4"/>
                <w:sz w:val="20"/>
              </w:rPr>
              <w:t> </w:t>
            </w:r>
            <w:r>
              <w:rPr>
                <w:sz w:val="20"/>
              </w:rPr>
              <w:t>K25.3,</w:t>
            </w:r>
            <w:r>
              <w:rPr>
                <w:spacing w:val="-6"/>
                <w:sz w:val="20"/>
              </w:rPr>
              <w:t> </w:t>
            </w:r>
            <w:r>
              <w:rPr>
                <w:sz w:val="20"/>
              </w:rPr>
              <w:t>K25.4,</w:t>
            </w:r>
            <w:r>
              <w:rPr>
                <w:spacing w:val="-4"/>
                <w:sz w:val="20"/>
              </w:rPr>
              <w:t> </w:t>
            </w:r>
            <w:r>
              <w:rPr>
                <w:spacing w:val="-2"/>
                <w:sz w:val="20"/>
              </w:rPr>
              <w:t>K25.5,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K25.6,</w:t>
            </w:r>
            <w:r>
              <w:rPr>
                <w:spacing w:val="-5"/>
                <w:sz w:val="20"/>
              </w:rPr>
              <w:t> </w:t>
            </w:r>
            <w:r>
              <w:rPr>
                <w:sz w:val="20"/>
              </w:rPr>
              <w:t>K25.7,</w:t>
            </w:r>
            <w:r>
              <w:rPr>
                <w:spacing w:val="-6"/>
                <w:sz w:val="20"/>
              </w:rPr>
              <w:t> </w:t>
            </w:r>
            <w:r>
              <w:rPr>
                <w:sz w:val="20"/>
              </w:rPr>
              <w:t>K25.9,</w:t>
            </w:r>
            <w:r>
              <w:rPr>
                <w:spacing w:val="-5"/>
                <w:sz w:val="20"/>
              </w:rPr>
              <w:t> </w:t>
            </w:r>
            <w:r>
              <w:rPr>
                <w:sz w:val="20"/>
              </w:rPr>
              <w:t>K26,</w:t>
            </w:r>
            <w:r>
              <w:rPr>
                <w:spacing w:val="-5"/>
                <w:sz w:val="20"/>
              </w:rPr>
              <w:t> </w:t>
            </w:r>
            <w:r>
              <w:rPr>
                <w:sz w:val="20"/>
              </w:rPr>
              <w:t>K26.0,</w:t>
            </w:r>
            <w:r>
              <w:rPr>
                <w:spacing w:val="-4"/>
                <w:sz w:val="20"/>
              </w:rPr>
              <w:t> </w:t>
            </w:r>
            <w:r>
              <w:rPr>
                <w:sz w:val="20"/>
              </w:rPr>
              <w:t>K26.1,</w:t>
            </w:r>
            <w:r>
              <w:rPr>
                <w:spacing w:val="-5"/>
                <w:sz w:val="20"/>
              </w:rPr>
              <w:t> </w:t>
            </w:r>
            <w:r>
              <w:rPr>
                <w:spacing w:val="-2"/>
                <w:sz w:val="20"/>
              </w:rPr>
              <w:t>K26.2,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3"/>
              <w:rPr>
                <w:sz w:val="20"/>
              </w:rPr>
            </w:pPr>
            <w:r>
              <w:rPr>
                <w:sz w:val="20"/>
              </w:rPr>
              <w:t>K26.3,</w:t>
            </w:r>
            <w:r>
              <w:rPr>
                <w:spacing w:val="-5"/>
                <w:sz w:val="20"/>
              </w:rPr>
              <w:t> </w:t>
            </w:r>
            <w:r>
              <w:rPr>
                <w:sz w:val="20"/>
              </w:rPr>
              <w:t>K26.4,</w:t>
            </w:r>
            <w:r>
              <w:rPr>
                <w:spacing w:val="-5"/>
                <w:sz w:val="20"/>
              </w:rPr>
              <w:t> </w:t>
            </w:r>
            <w:r>
              <w:rPr>
                <w:sz w:val="20"/>
              </w:rPr>
              <w:t>K26.5,</w:t>
            </w:r>
            <w:r>
              <w:rPr>
                <w:spacing w:val="-4"/>
                <w:sz w:val="20"/>
              </w:rPr>
              <w:t> </w:t>
            </w:r>
            <w:r>
              <w:rPr>
                <w:sz w:val="20"/>
              </w:rPr>
              <w:t>K26.6,</w:t>
            </w:r>
            <w:r>
              <w:rPr>
                <w:spacing w:val="-6"/>
                <w:sz w:val="20"/>
              </w:rPr>
              <w:t> </w:t>
            </w:r>
            <w:r>
              <w:rPr>
                <w:sz w:val="20"/>
              </w:rPr>
              <w:t>K26.7,</w:t>
            </w:r>
            <w:r>
              <w:rPr>
                <w:spacing w:val="-4"/>
                <w:sz w:val="20"/>
              </w:rPr>
              <w:t> </w:t>
            </w:r>
            <w:r>
              <w:rPr>
                <w:sz w:val="20"/>
              </w:rPr>
              <w:t>K26.9,</w:t>
            </w:r>
            <w:r>
              <w:rPr>
                <w:spacing w:val="-6"/>
                <w:sz w:val="20"/>
              </w:rPr>
              <w:t> </w:t>
            </w:r>
            <w:r>
              <w:rPr>
                <w:spacing w:val="-4"/>
                <w:sz w:val="20"/>
              </w:rPr>
              <w:t>K27,</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87"/>
              <w:rPr>
                <w:sz w:val="20"/>
              </w:rPr>
            </w:pPr>
            <w:r>
              <w:rPr>
                <w:sz w:val="20"/>
              </w:rPr>
              <w:t>K27.0,</w:t>
            </w:r>
            <w:r>
              <w:rPr>
                <w:spacing w:val="-4"/>
                <w:sz w:val="20"/>
              </w:rPr>
              <w:t> </w:t>
            </w:r>
            <w:r>
              <w:rPr>
                <w:sz w:val="20"/>
              </w:rPr>
              <w:t>K27.1,</w:t>
            </w:r>
            <w:r>
              <w:rPr>
                <w:spacing w:val="-6"/>
                <w:sz w:val="20"/>
              </w:rPr>
              <w:t> </w:t>
            </w:r>
            <w:r>
              <w:rPr>
                <w:sz w:val="20"/>
              </w:rPr>
              <w:t>K27.2,</w:t>
            </w:r>
            <w:r>
              <w:rPr>
                <w:spacing w:val="-4"/>
                <w:sz w:val="20"/>
              </w:rPr>
              <w:t> </w:t>
            </w:r>
            <w:r>
              <w:rPr>
                <w:sz w:val="20"/>
              </w:rPr>
              <w:t>K27.3,</w:t>
            </w:r>
            <w:r>
              <w:rPr>
                <w:spacing w:val="-6"/>
                <w:sz w:val="20"/>
              </w:rPr>
              <w:t> </w:t>
            </w:r>
            <w:r>
              <w:rPr>
                <w:sz w:val="20"/>
              </w:rPr>
              <w:t>K27.4,</w:t>
            </w:r>
            <w:r>
              <w:rPr>
                <w:spacing w:val="-4"/>
                <w:sz w:val="20"/>
              </w:rPr>
              <w:t> </w:t>
            </w:r>
            <w:r>
              <w:rPr>
                <w:spacing w:val="-2"/>
                <w:sz w:val="20"/>
              </w:rPr>
              <w:t>K27.5,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K27.6,</w:t>
            </w:r>
            <w:r>
              <w:rPr>
                <w:spacing w:val="-6"/>
                <w:sz w:val="20"/>
              </w:rPr>
              <w:t> </w:t>
            </w:r>
            <w:r>
              <w:rPr>
                <w:sz w:val="20"/>
              </w:rPr>
              <w:t>K27.7,</w:t>
            </w:r>
            <w:r>
              <w:rPr>
                <w:spacing w:val="-6"/>
                <w:sz w:val="20"/>
              </w:rPr>
              <w:t> </w:t>
            </w:r>
            <w:r>
              <w:rPr>
                <w:sz w:val="20"/>
              </w:rPr>
              <w:t>K27.9,</w:t>
            </w:r>
            <w:r>
              <w:rPr>
                <w:spacing w:val="-5"/>
                <w:sz w:val="20"/>
              </w:rPr>
              <w:t> </w:t>
            </w:r>
            <w:r>
              <w:rPr>
                <w:sz w:val="20"/>
              </w:rPr>
              <w:t>K28,</w:t>
            </w:r>
            <w:r>
              <w:rPr>
                <w:spacing w:val="-6"/>
                <w:sz w:val="20"/>
              </w:rPr>
              <w:t> </w:t>
            </w:r>
            <w:r>
              <w:rPr>
                <w:sz w:val="20"/>
              </w:rPr>
              <w:t>K28.0,</w:t>
            </w:r>
            <w:r>
              <w:rPr>
                <w:spacing w:val="-5"/>
                <w:sz w:val="20"/>
              </w:rPr>
              <w:t> </w:t>
            </w:r>
            <w:r>
              <w:rPr>
                <w:sz w:val="20"/>
              </w:rPr>
              <w:t>K28.1,</w:t>
            </w:r>
            <w:r>
              <w:rPr>
                <w:spacing w:val="-5"/>
                <w:sz w:val="20"/>
              </w:rPr>
              <w:t> </w:t>
            </w:r>
            <w:r>
              <w:rPr>
                <w:spacing w:val="-2"/>
                <w:sz w:val="20"/>
              </w:rPr>
              <w:t>K28.2,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3"/>
              <w:rPr>
                <w:sz w:val="20"/>
              </w:rPr>
            </w:pPr>
            <w:r>
              <w:rPr>
                <w:sz w:val="20"/>
              </w:rPr>
              <w:t>K28.3,</w:t>
            </w:r>
            <w:r>
              <w:rPr>
                <w:spacing w:val="-5"/>
                <w:sz w:val="20"/>
              </w:rPr>
              <w:t> </w:t>
            </w:r>
            <w:r>
              <w:rPr>
                <w:sz w:val="20"/>
              </w:rPr>
              <w:t>K28.4,</w:t>
            </w:r>
            <w:r>
              <w:rPr>
                <w:spacing w:val="-5"/>
                <w:sz w:val="20"/>
              </w:rPr>
              <w:t> </w:t>
            </w:r>
            <w:r>
              <w:rPr>
                <w:sz w:val="20"/>
              </w:rPr>
              <w:t>K28.5,</w:t>
            </w:r>
            <w:r>
              <w:rPr>
                <w:spacing w:val="-4"/>
                <w:sz w:val="20"/>
              </w:rPr>
              <w:t> </w:t>
            </w:r>
            <w:r>
              <w:rPr>
                <w:sz w:val="20"/>
              </w:rPr>
              <w:t>K28.6,</w:t>
            </w:r>
            <w:r>
              <w:rPr>
                <w:spacing w:val="-6"/>
                <w:sz w:val="20"/>
              </w:rPr>
              <w:t> </w:t>
            </w:r>
            <w:r>
              <w:rPr>
                <w:sz w:val="20"/>
              </w:rPr>
              <w:t>K28.7,</w:t>
            </w:r>
            <w:r>
              <w:rPr>
                <w:spacing w:val="-4"/>
                <w:sz w:val="20"/>
              </w:rPr>
              <w:t> </w:t>
            </w:r>
            <w:r>
              <w:rPr>
                <w:sz w:val="20"/>
              </w:rPr>
              <w:t>K28.9,</w:t>
            </w:r>
            <w:r>
              <w:rPr>
                <w:spacing w:val="-6"/>
                <w:sz w:val="20"/>
              </w:rPr>
              <w:t> </w:t>
            </w:r>
            <w:r>
              <w:rPr>
                <w:spacing w:val="-4"/>
                <w:sz w:val="20"/>
              </w:rPr>
              <w:t>K29,</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K29.0,</w:t>
            </w:r>
            <w:r>
              <w:rPr>
                <w:spacing w:val="-4"/>
                <w:sz w:val="20"/>
              </w:rPr>
              <w:t> </w:t>
            </w:r>
            <w:r>
              <w:rPr>
                <w:sz w:val="20"/>
              </w:rPr>
              <w:t>K29.1,</w:t>
            </w:r>
            <w:r>
              <w:rPr>
                <w:spacing w:val="-6"/>
                <w:sz w:val="20"/>
              </w:rPr>
              <w:t> </w:t>
            </w:r>
            <w:r>
              <w:rPr>
                <w:sz w:val="20"/>
              </w:rPr>
              <w:t>K29.2,</w:t>
            </w:r>
            <w:r>
              <w:rPr>
                <w:spacing w:val="-4"/>
                <w:sz w:val="20"/>
              </w:rPr>
              <w:t> </w:t>
            </w:r>
            <w:r>
              <w:rPr>
                <w:sz w:val="20"/>
              </w:rPr>
              <w:t>K29.3,</w:t>
            </w:r>
            <w:r>
              <w:rPr>
                <w:spacing w:val="-6"/>
                <w:sz w:val="20"/>
              </w:rPr>
              <w:t> </w:t>
            </w:r>
            <w:r>
              <w:rPr>
                <w:sz w:val="20"/>
              </w:rPr>
              <w:t>K29.4,</w:t>
            </w:r>
            <w:r>
              <w:rPr>
                <w:spacing w:val="-4"/>
                <w:sz w:val="20"/>
              </w:rPr>
              <w:t> </w:t>
            </w:r>
            <w:r>
              <w:rPr>
                <w:spacing w:val="-2"/>
                <w:sz w:val="20"/>
              </w:rPr>
              <w:t>K29.5,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K29.6,</w:t>
            </w:r>
            <w:r>
              <w:rPr>
                <w:spacing w:val="-3"/>
                <w:sz w:val="20"/>
              </w:rPr>
              <w:t> </w:t>
            </w:r>
            <w:r>
              <w:rPr>
                <w:sz w:val="20"/>
              </w:rPr>
              <w:t>K29.7,</w:t>
            </w:r>
            <w:r>
              <w:rPr>
                <w:spacing w:val="-5"/>
                <w:sz w:val="20"/>
              </w:rPr>
              <w:t> </w:t>
            </w:r>
            <w:r>
              <w:rPr>
                <w:sz w:val="20"/>
              </w:rPr>
              <w:t>K29.8,</w:t>
            </w:r>
            <w:r>
              <w:rPr>
                <w:spacing w:val="-4"/>
                <w:sz w:val="20"/>
              </w:rPr>
              <w:t> </w:t>
            </w:r>
            <w:r>
              <w:rPr>
                <w:sz w:val="20"/>
              </w:rPr>
              <w:t>K29.9,</w:t>
            </w:r>
            <w:r>
              <w:rPr>
                <w:spacing w:val="-5"/>
                <w:sz w:val="20"/>
              </w:rPr>
              <w:t> </w:t>
            </w:r>
            <w:r>
              <w:rPr>
                <w:sz w:val="20"/>
              </w:rPr>
              <w:t>K30,</w:t>
            </w:r>
            <w:r>
              <w:rPr>
                <w:spacing w:val="-4"/>
                <w:sz w:val="20"/>
              </w:rPr>
              <w:t> </w:t>
            </w:r>
            <w:r>
              <w:rPr>
                <w:sz w:val="20"/>
              </w:rPr>
              <w:t>K31,</w:t>
            </w:r>
            <w:r>
              <w:rPr>
                <w:spacing w:val="-5"/>
                <w:sz w:val="20"/>
              </w:rPr>
              <w:t> </w:t>
            </w:r>
            <w:r>
              <w:rPr>
                <w:spacing w:val="-2"/>
                <w:sz w:val="20"/>
              </w:rPr>
              <w:t>K31.0,</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87"/>
              <w:rPr>
                <w:sz w:val="20"/>
              </w:rPr>
            </w:pPr>
            <w:r>
              <w:rPr>
                <w:sz w:val="20"/>
              </w:rPr>
              <w:t>K31.1,</w:t>
            </w:r>
            <w:r>
              <w:rPr>
                <w:spacing w:val="-4"/>
                <w:sz w:val="20"/>
              </w:rPr>
              <w:t> </w:t>
            </w:r>
            <w:r>
              <w:rPr>
                <w:sz w:val="20"/>
              </w:rPr>
              <w:t>K31.2,</w:t>
            </w:r>
            <w:r>
              <w:rPr>
                <w:spacing w:val="-6"/>
                <w:sz w:val="20"/>
              </w:rPr>
              <w:t> </w:t>
            </w:r>
            <w:r>
              <w:rPr>
                <w:sz w:val="20"/>
              </w:rPr>
              <w:t>K31.3,</w:t>
            </w:r>
            <w:r>
              <w:rPr>
                <w:spacing w:val="-4"/>
                <w:sz w:val="20"/>
              </w:rPr>
              <w:t> </w:t>
            </w:r>
            <w:r>
              <w:rPr>
                <w:sz w:val="20"/>
              </w:rPr>
              <w:t>K31.4,</w:t>
            </w:r>
            <w:r>
              <w:rPr>
                <w:spacing w:val="-6"/>
                <w:sz w:val="20"/>
              </w:rPr>
              <w:t> </w:t>
            </w:r>
            <w:r>
              <w:rPr>
                <w:sz w:val="20"/>
              </w:rPr>
              <w:t>K31.5,</w:t>
            </w:r>
            <w:r>
              <w:rPr>
                <w:spacing w:val="-4"/>
                <w:sz w:val="20"/>
              </w:rPr>
              <w:t> </w:t>
            </w:r>
            <w:r>
              <w:rPr>
                <w:spacing w:val="-2"/>
                <w:sz w:val="20"/>
              </w:rPr>
              <w:t>K31.6,</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K31.7,</w:t>
            </w:r>
            <w:r>
              <w:rPr>
                <w:spacing w:val="-6"/>
                <w:sz w:val="20"/>
              </w:rPr>
              <w:t> </w:t>
            </w:r>
            <w:r>
              <w:rPr>
                <w:sz w:val="20"/>
              </w:rPr>
              <w:t>K31.8,</w:t>
            </w:r>
            <w:r>
              <w:rPr>
                <w:spacing w:val="-6"/>
                <w:sz w:val="20"/>
              </w:rPr>
              <w:t> </w:t>
            </w:r>
            <w:r>
              <w:rPr>
                <w:sz w:val="20"/>
              </w:rPr>
              <w:t>K31.9,</w:t>
            </w:r>
            <w:r>
              <w:rPr>
                <w:spacing w:val="-5"/>
                <w:sz w:val="20"/>
              </w:rPr>
              <w:t> </w:t>
            </w:r>
            <w:r>
              <w:rPr>
                <w:sz w:val="20"/>
              </w:rPr>
              <w:t>K35,</w:t>
            </w:r>
            <w:r>
              <w:rPr>
                <w:spacing w:val="-6"/>
                <w:sz w:val="20"/>
              </w:rPr>
              <w:t> </w:t>
            </w:r>
            <w:r>
              <w:rPr>
                <w:sz w:val="20"/>
              </w:rPr>
              <w:t>K35.2,</w:t>
            </w:r>
            <w:r>
              <w:rPr>
                <w:spacing w:val="-5"/>
                <w:sz w:val="20"/>
              </w:rPr>
              <w:t> </w:t>
            </w:r>
            <w:r>
              <w:rPr>
                <w:sz w:val="20"/>
              </w:rPr>
              <w:t>K35.3,</w:t>
            </w:r>
            <w:r>
              <w:rPr>
                <w:spacing w:val="-5"/>
                <w:sz w:val="20"/>
              </w:rPr>
              <w:t> </w:t>
            </w:r>
            <w:r>
              <w:rPr>
                <w:spacing w:val="-2"/>
                <w:sz w:val="20"/>
              </w:rPr>
              <w:t>K35.8,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15"/>
              <w:rPr>
                <w:sz w:val="20"/>
              </w:rPr>
            </w:pPr>
            <w:r>
              <w:rPr>
                <w:sz w:val="20"/>
              </w:rPr>
              <w:t>K36,</w:t>
            </w:r>
            <w:r>
              <w:rPr>
                <w:spacing w:val="-5"/>
                <w:sz w:val="20"/>
              </w:rPr>
              <w:t> </w:t>
            </w:r>
            <w:r>
              <w:rPr>
                <w:sz w:val="20"/>
              </w:rPr>
              <w:t>K37,</w:t>
            </w:r>
            <w:r>
              <w:rPr>
                <w:spacing w:val="-5"/>
                <w:sz w:val="20"/>
              </w:rPr>
              <w:t> </w:t>
            </w:r>
            <w:r>
              <w:rPr>
                <w:sz w:val="20"/>
              </w:rPr>
              <w:t>K38,</w:t>
            </w:r>
            <w:r>
              <w:rPr>
                <w:spacing w:val="-5"/>
                <w:sz w:val="20"/>
              </w:rPr>
              <w:t> </w:t>
            </w:r>
            <w:r>
              <w:rPr>
                <w:sz w:val="20"/>
              </w:rPr>
              <w:t>K38.0,</w:t>
            </w:r>
            <w:r>
              <w:rPr>
                <w:spacing w:val="-4"/>
                <w:sz w:val="20"/>
              </w:rPr>
              <w:t> </w:t>
            </w:r>
            <w:r>
              <w:rPr>
                <w:sz w:val="20"/>
              </w:rPr>
              <w:t>K38.1,</w:t>
            </w:r>
            <w:r>
              <w:rPr>
                <w:spacing w:val="-4"/>
                <w:sz w:val="20"/>
              </w:rPr>
              <w:t> </w:t>
            </w:r>
            <w:r>
              <w:rPr>
                <w:sz w:val="20"/>
              </w:rPr>
              <w:t>K38.2,</w:t>
            </w:r>
            <w:r>
              <w:rPr>
                <w:spacing w:val="-6"/>
                <w:sz w:val="20"/>
              </w:rPr>
              <w:t> </w:t>
            </w:r>
            <w:r>
              <w:rPr>
                <w:spacing w:val="-2"/>
                <w:sz w:val="20"/>
              </w:rPr>
              <w:t>K38.3,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K38.8,</w:t>
            </w:r>
            <w:r>
              <w:rPr>
                <w:spacing w:val="-6"/>
                <w:sz w:val="20"/>
              </w:rPr>
              <w:t> </w:t>
            </w:r>
            <w:r>
              <w:rPr>
                <w:sz w:val="20"/>
              </w:rPr>
              <w:t>K38.9,</w:t>
            </w:r>
            <w:r>
              <w:rPr>
                <w:spacing w:val="-7"/>
                <w:sz w:val="20"/>
              </w:rPr>
              <w:t> </w:t>
            </w:r>
            <w:r>
              <w:rPr>
                <w:sz w:val="20"/>
              </w:rPr>
              <w:t>K40,</w:t>
            </w:r>
            <w:r>
              <w:rPr>
                <w:spacing w:val="-5"/>
                <w:sz w:val="20"/>
              </w:rPr>
              <w:t> </w:t>
            </w:r>
            <w:r>
              <w:rPr>
                <w:sz w:val="20"/>
              </w:rPr>
              <w:t>K40.0,</w:t>
            </w:r>
            <w:r>
              <w:rPr>
                <w:spacing w:val="-5"/>
                <w:sz w:val="20"/>
              </w:rPr>
              <w:t> </w:t>
            </w:r>
            <w:r>
              <w:rPr>
                <w:sz w:val="20"/>
              </w:rPr>
              <w:t>K40.1,</w:t>
            </w:r>
            <w:r>
              <w:rPr>
                <w:spacing w:val="-5"/>
                <w:sz w:val="20"/>
              </w:rPr>
              <w:t> </w:t>
            </w:r>
            <w:r>
              <w:rPr>
                <w:sz w:val="20"/>
              </w:rPr>
              <w:t>K40.2,</w:t>
            </w:r>
            <w:r>
              <w:rPr>
                <w:spacing w:val="-6"/>
                <w:sz w:val="20"/>
              </w:rPr>
              <w:t> </w:t>
            </w:r>
            <w:r>
              <w:rPr>
                <w:spacing w:val="-2"/>
                <w:sz w:val="20"/>
              </w:rPr>
              <w:t>K40.3,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K40.4,</w:t>
            </w:r>
            <w:r>
              <w:rPr>
                <w:spacing w:val="-6"/>
                <w:sz w:val="20"/>
              </w:rPr>
              <w:t> </w:t>
            </w:r>
            <w:r>
              <w:rPr>
                <w:sz w:val="20"/>
              </w:rPr>
              <w:t>K40.9,</w:t>
            </w:r>
            <w:r>
              <w:rPr>
                <w:spacing w:val="-7"/>
                <w:sz w:val="20"/>
              </w:rPr>
              <w:t> </w:t>
            </w:r>
            <w:r>
              <w:rPr>
                <w:sz w:val="20"/>
              </w:rPr>
              <w:t>K41,</w:t>
            </w:r>
            <w:r>
              <w:rPr>
                <w:spacing w:val="-5"/>
                <w:sz w:val="20"/>
              </w:rPr>
              <w:t> </w:t>
            </w:r>
            <w:r>
              <w:rPr>
                <w:sz w:val="20"/>
              </w:rPr>
              <w:t>K41.0,</w:t>
            </w:r>
            <w:r>
              <w:rPr>
                <w:spacing w:val="-5"/>
                <w:sz w:val="20"/>
              </w:rPr>
              <w:t> </w:t>
            </w:r>
            <w:r>
              <w:rPr>
                <w:sz w:val="20"/>
              </w:rPr>
              <w:t>K41.1,</w:t>
            </w:r>
            <w:r>
              <w:rPr>
                <w:spacing w:val="-5"/>
                <w:sz w:val="20"/>
              </w:rPr>
              <w:t> </w:t>
            </w:r>
            <w:r>
              <w:rPr>
                <w:sz w:val="20"/>
              </w:rPr>
              <w:t>K41.2, </w:t>
            </w:r>
            <w:r>
              <w:rPr>
                <w:spacing w:val="-2"/>
                <w:sz w:val="20"/>
              </w:rPr>
              <w:t>K41.3,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K41.4,</w:t>
            </w:r>
            <w:r>
              <w:rPr>
                <w:spacing w:val="-6"/>
                <w:sz w:val="20"/>
              </w:rPr>
              <w:t> </w:t>
            </w:r>
            <w:r>
              <w:rPr>
                <w:sz w:val="20"/>
              </w:rPr>
              <w:t>K41.9,</w:t>
            </w:r>
            <w:r>
              <w:rPr>
                <w:spacing w:val="-7"/>
                <w:sz w:val="20"/>
              </w:rPr>
              <w:t> </w:t>
            </w:r>
            <w:r>
              <w:rPr>
                <w:sz w:val="20"/>
              </w:rPr>
              <w:t>K42,</w:t>
            </w:r>
            <w:r>
              <w:rPr>
                <w:spacing w:val="-5"/>
                <w:sz w:val="20"/>
              </w:rPr>
              <w:t> </w:t>
            </w:r>
            <w:r>
              <w:rPr>
                <w:sz w:val="20"/>
              </w:rPr>
              <w:t>K42.0,</w:t>
            </w:r>
            <w:r>
              <w:rPr>
                <w:spacing w:val="-5"/>
                <w:sz w:val="20"/>
              </w:rPr>
              <w:t> </w:t>
            </w:r>
            <w:r>
              <w:rPr>
                <w:sz w:val="20"/>
              </w:rPr>
              <w:t>K42.1,</w:t>
            </w:r>
            <w:r>
              <w:rPr>
                <w:spacing w:val="-5"/>
                <w:sz w:val="20"/>
              </w:rPr>
              <w:t> </w:t>
            </w:r>
            <w:r>
              <w:rPr>
                <w:sz w:val="20"/>
              </w:rPr>
              <w:t>K42.9,</w:t>
            </w:r>
            <w:r>
              <w:rPr>
                <w:spacing w:val="-6"/>
                <w:sz w:val="20"/>
              </w:rPr>
              <w:t> </w:t>
            </w:r>
            <w:r>
              <w:rPr>
                <w:spacing w:val="-4"/>
                <w:sz w:val="20"/>
              </w:rPr>
              <w:t>K43,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K43.0,</w:t>
            </w:r>
            <w:r>
              <w:rPr>
                <w:spacing w:val="-4"/>
                <w:sz w:val="20"/>
              </w:rPr>
              <w:t> </w:t>
            </w:r>
            <w:r>
              <w:rPr>
                <w:sz w:val="20"/>
              </w:rPr>
              <w:t>K43.1,</w:t>
            </w:r>
            <w:r>
              <w:rPr>
                <w:spacing w:val="-6"/>
                <w:sz w:val="20"/>
              </w:rPr>
              <w:t> </w:t>
            </w:r>
            <w:r>
              <w:rPr>
                <w:sz w:val="20"/>
              </w:rPr>
              <w:t>K43.2,</w:t>
            </w:r>
            <w:r>
              <w:rPr>
                <w:spacing w:val="-4"/>
                <w:sz w:val="20"/>
              </w:rPr>
              <w:t> </w:t>
            </w:r>
            <w:r>
              <w:rPr>
                <w:sz w:val="20"/>
              </w:rPr>
              <w:t>K43.3,</w:t>
            </w:r>
            <w:r>
              <w:rPr>
                <w:spacing w:val="-6"/>
                <w:sz w:val="20"/>
              </w:rPr>
              <w:t> </w:t>
            </w:r>
            <w:r>
              <w:rPr>
                <w:sz w:val="20"/>
              </w:rPr>
              <w:t>K43.4,</w:t>
            </w:r>
            <w:r>
              <w:rPr>
                <w:spacing w:val="-4"/>
                <w:sz w:val="20"/>
              </w:rPr>
              <w:t> </w:t>
            </w:r>
            <w:r>
              <w:rPr>
                <w:spacing w:val="-2"/>
                <w:sz w:val="20"/>
              </w:rPr>
              <w:t>K43.5,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K43.6,</w:t>
            </w:r>
            <w:r>
              <w:rPr>
                <w:spacing w:val="-6"/>
                <w:sz w:val="20"/>
              </w:rPr>
              <w:t> </w:t>
            </w:r>
            <w:r>
              <w:rPr>
                <w:sz w:val="20"/>
              </w:rPr>
              <w:t>K43.7,</w:t>
            </w:r>
            <w:r>
              <w:rPr>
                <w:spacing w:val="-6"/>
                <w:sz w:val="20"/>
              </w:rPr>
              <w:t> </w:t>
            </w:r>
            <w:r>
              <w:rPr>
                <w:sz w:val="20"/>
              </w:rPr>
              <w:t>K43.9,</w:t>
            </w:r>
            <w:r>
              <w:rPr>
                <w:spacing w:val="-5"/>
                <w:sz w:val="20"/>
              </w:rPr>
              <w:t> </w:t>
            </w:r>
            <w:r>
              <w:rPr>
                <w:sz w:val="20"/>
              </w:rPr>
              <w:t>K44,</w:t>
            </w:r>
            <w:r>
              <w:rPr>
                <w:spacing w:val="-6"/>
                <w:sz w:val="20"/>
              </w:rPr>
              <w:t> </w:t>
            </w:r>
            <w:r>
              <w:rPr>
                <w:sz w:val="20"/>
              </w:rPr>
              <w:t>K44.0,</w:t>
            </w:r>
            <w:r>
              <w:rPr>
                <w:spacing w:val="-5"/>
                <w:sz w:val="20"/>
              </w:rPr>
              <w:t> </w:t>
            </w:r>
            <w:r>
              <w:rPr>
                <w:sz w:val="20"/>
              </w:rPr>
              <w:t>K44.1,</w:t>
            </w:r>
            <w:r>
              <w:rPr>
                <w:spacing w:val="-5"/>
                <w:sz w:val="20"/>
              </w:rPr>
              <w:t> </w:t>
            </w:r>
            <w:r>
              <w:rPr>
                <w:spacing w:val="-2"/>
                <w:sz w:val="20"/>
              </w:rPr>
              <w:t>K44.9,</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K45,</w:t>
            </w:r>
            <w:r>
              <w:rPr>
                <w:spacing w:val="-5"/>
                <w:sz w:val="20"/>
              </w:rPr>
              <w:t> </w:t>
            </w:r>
            <w:r>
              <w:rPr>
                <w:sz w:val="20"/>
              </w:rPr>
              <w:t>K45.0,</w:t>
            </w:r>
            <w:r>
              <w:rPr>
                <w:spacing w:val="-5"/>
                <w:sz w:val="20"/>
              </w:rPr>
              <w:t> </w:t>
            </w:r>
            <w:r>
              <w:rPr>
                <w:sz w:val="20"/>
              </w:rPr>
              <w:t>K45.1,</w:t>
            </w:r>
            <w:r>
              <w:rPr>
                <w:spacing w:val="-5"/>
                <w:sz w:val="20"/>
              </w:rPr>
              <w:t> </w:t>
            </w:r>
            <w:r>
              <w:rPr>
                <w:sz w:val="20"/>
              </w:rPr>
              <w:t>K45.8,</w:t>
            </w:r>
            <w:r>
              <w:rPr>
                <w:spacing w:val="-5"/>
                <w:sz w:val="20"/>
              </w:rPr>
              <w:t> </w:t>
            </w:r>
            <w:r>
              <w:rPr>
                <w:sz w:val="20"/>
              </w:rPr>
              <w:t>K46,</w:t>
            </w:r>
            <w:r>
              <w:rPr>
                <w:spacing w:val="-5"/>
                <w:sz w:val="20"/>
              </w:rPr>
              <w:t> </w:t>
            </w:r>
            <w:r>
              <w:rPr>
                <w:sz w:val="20"/>
              </w:rPr>
              <w:t>K46.0,</w:t>
            </w:r>
            <w:r>
              <w:rPr>
                <w:spacing w:val="-5"/>
                <w:sz w:val="20"/>
              </w:rPr>
              <w:t> </w:t>
            </w:r>
            <w:r>
              <w:rPr>
                <w:spacing w:val="-2"/>
                <w:sz w:val="20"/>
              </w:rPr>
              <w:t>K46.1,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K46.9,</w:t>
            </w:r>
            <w:r>
              <w:rPr>
                <w:spacing w:val="-6"/>
                <w:sz w:val="20"/>
              </w:rPr>
              <w:t> </w:t>
            </w:r>
            <w:r>
              <w:rPr>
                <w:sz w:val="20"/>
              </w:rPr>
              <w:t>K50,</w:t>
            </w:r>
            <w:r>
              <w:rPr>
                <w:spacing w:val="-6"/>
                <w:sz w:val="20"/>
              </w:rPr>
              <w:t> </w:t>
            </w:r>
            <w:r>
              <w:rPr>
                <w:sz w:val="20"/>
              </w:rPr>
              <w:t>K50.0,</w:t>
            </w:r>
            <w:r>
              <w:rPr>
                <w:spacing w:val="-5"/>
                <w:sz w:val="20"/>
              </w:rPr>
              <w:t> </w:t>
            </w:r>
            <w:r>
              <w:rPr>
                <w:sz w:val="20"/>
              </w:rPr>
              <w:t>K50.1,</w:t>
            </w:r>
            <w:r>
              <w:rPr>
                <w:spacing w:val="-6"/>
                <w:sz w:val="20"/>
              </w:rPr>
              <w:t> </w:t>
            </w:r>
            <w:r>
              <w:rPr>
                <w:sz w:val="20"/>
              </w:rPr>
              <w:t>K50.8,</w:t>
            </w:r>
            <w:r>
              <w:rPr>
                <w:spacing w:val="-5"/>
                <w:sz w:val="20"/>
              </w:rPr>
              <w:t> </w:t>
            </w:r>
            <w:r>
              <w:rPr>
                <w:sz w:val="20"/>
              </w:rPr>
              <w:t>K50.9,</w:t>
            </w:r>
            <w:r>
              <w:rPr>
                <w:spacing w:val="-6"/>
                <w:sz w:val="20"/>
              </w:rPr>
              <w:t> </w:t>
            </w:r>
            <w:r>
              <w:rPr>
                <w:spacing w:val="-4"/>
                <w:sz w:val="20"/>
              </w:rPr>
              <w:t>K51,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K51.0,</w:t>
            </w:r>
            <w:r>
              <w:rPr>
                <w:spacing w:val="-4"/>
                <w:sz w:val="20"/>
              </w:rPr>
              <w:t> </w:t>
            </w:r>
            <w:r>
              <w:rPr>
                <w:sz w:val="20"/>
              </w:rPr>
              <w:t>K51.2,</w:t>
            </w:r>
            <w:r>
              <w:rPr>
                <w:spacing w:val="-5"/>
                <w:sz w:val="20"/>
              </w:rPr>
              <w:t> </w:t>
            </w:r>
            <w:r>
              <w:rPr>
                <w:sz w:val="20"/>
              </w:rPr>
              <w:t>K51.3,</w:t>
            </w:r>
            <w:r>
              <w:rPr>
                <w:spacing w:val="-3"/>
                <w:sz w:val="20"/>
              </w:rPr>
              <w:t> </w:t>
            </w:r>
            <w:r>
              <w:rPr>
                <w:sz w:val="20"/>
              </w:rPr>
              <w:t>K51.4,</w:t>
            </w:r>
            <w:r>
              <w:rPr>
                <w:spacing w:val="-5"/>
                <w:sz w:val="20"/>
              </w:rPr>
              <w:t> </w:t>
            </w:r>
            <w:r>
              <w:rPr>
                <w:sz w:val="20"/>
              </w:rPr>
              <w:t>K51.5,</w:t>
            </w:r>
            <w:r>
              <w:rPr>
                <w:spacing w:val="-4"/>
                <w:sz w:val="20"/>
              </w:rPr>
              <w:t> </w:t>
            </w:r>
            <w:r>
              <w:rPr>
                <w:spacing w:val="-2"/>
                <w:sz w:val="20"/>
              </w:rPr>
              <w:t>K51.8,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K51.9,</w:t>
            </w:r>
            <w:r>
              <w:rPr>
                <w:spacing w:val="-6"/>
                <w:sz w:val="20"/>
              </w:rPr>
              <w:t> </w:t>
            </w:r>
            <w:r>
              <w:rPr>
                <w:sz w:val="20"/>
              </w:rPr>
              <w:t>K52,</w:t>
            </w:r>
            <w:r>
              <w:rPr>
                <w:spacing w:val="-6"/>
                <w:sz w:val="20"/>
              </w:rPr>
              <w:t> </w:t>
            </w:r>
            <w:r>
              <w:rPr>
                <w:sz w:val="20"/>
              </w:rPr>
              <w:t>K52.0,</w:t>
            </w:r>
            <w:r>
              <w:rPr>
                <w:spacing w:val="-5"/>
                <w:sz w:val="20"/>
              </w:rPr>
              <w:t> </w:t>
            </w:r>
            <w:r>
              <w:rPr>
                <w:sz w:val="20"/>
              </w:rPr>
              <w:t>K52.1,</w:t>
            </w:r>
            <w:r>
              <w:rPr>
                <w:spacing w:val="-6"/>
                <w:sz w:val="20"/>
              </w:rPr>
              <w:t> </w:t>
            </w:r>
            <w:r>
              <w:rPr>
                <w:sz w:val="20"/>
              </w:rPr>
              <w:t>K52.2,</w:t>
            </w:r>
            <w:r>
              <w:rPr>
                <w:spacing w:val="-5"/>
                <w:sz w:val="20"/>
              </w:rPr>
              <w:t> </w:t>
            </w:r>
            <w:r>
              <w:rPr>
                <w:sz w:val="20"/>
              </w:rPr>
              <w:t>K52.3,</w:t>
            </w:r>
            <w:r>
              <w:rPr>
                <w:spacing w:val="-6"/>
                <w:sz w:val="20"/>
              </w:rPr>
              <w:t> </w:t>
            </w:r>
            <w:r>
              <w:rPr>
                <w:spacing w:val="-2"/>
                <w:sz w:val="20"/>
              </w:rPr>
              <w:t>K52.8,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K52.9,</w:t>
            </w:r>
            <w:r>
              <w:rPr>
                <w:spacing w:val="-6"/>
                <w:sz w:val="20"/>
              </w:rPr>
              <w:t> </w:t>
            </w:r>
            <w:r>
              <w:rPr>
                <w:sz w:val="20"/>
              </w:rPr>
              <w:t>K55,</w:t>
            </w:r>
            <w:r>
              <w:rPr>
                <w:spacing w:val="-6"/>
                <w:sz w:val="20"/>
              </w:rPr>
              <w:t> </w:t>
            </w:r>
            <w:r>
              <w:rPr>
                <w:sz w:val="20"/>
              </w:rPr>
              <w:t>K55.0,</w:t>
            </w:r>
            <w:r>
              <w:rPr>
                <w:spacing w:val="-5"/>
                <w:sz w:val="20"/>
              </w:rPr>
              <w:t> </w:t>
            </w:r>
            <w:r>
              <w:rPr>
                <w:sz w:val="20"/>
              </w:rPr>
              <w:t>K55.1,</w:t>
            </w:r>
            <w:r>
              <w:rPr>
                <w:spacing w:val="-6"/>
                <w:sz w:val="20"/>
              </w:rPr>
              <w:t> </w:t>
            </w:r>
            <w:r>
              <w:rPr>
                <w:sz w:val="20"/>
              </w:rPr>
              <w:t>K55.2,</w:t>
            </w:r>
            <w:r>
              <w:rPr>
                <w:spacing w:val="-5"/>
                <w:sz w:val="20"/>
              </w:rPr>
              <w:t> </w:t>
            </w:r>
            <w:r>
              <w:rPr>
                <w:sz w:val="20"/>
              </w:rPr>
              <w:t>K55.3,</w:t>
            </w:r>
            <w:r>
              <w:rPr>
                <w:spacing w:val="-6"/>
                <w:sz w:val="20"/>
              </w:rPr>
              <w:t> </w:t>
            </w:r>
            <w:r>
              <w:rPr>
                <w:spacing w:val="-2"/>
                <w:sz w:val="20"/>
              </w:rPr>
              <w:t>K55.8,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K55.9,</w:t>
            </w:r>
            <w:r>
              <w:rPr>
                <w:spacing w:val="-6"/>
                <w:sz w:val="20"/>
              </w:rPr>
              <w:t> </w:t>
            </w:r>
            <w:r>
              <w:rPr>
                <w:sz w:val="20"/>
              </w:rPr>
              <w:t>K56,</w:t>
            </w:r>
            <w:r>
              <w:rPr>
                <w:spacing w:val="-6"/>
                <w:sz w:val="20"/>
              </w:rPr>
              <w:t> </w:t>
            </w:r>
            <w:r>
              <w:rPr>
                <w:sz w:val="20"/>
              </w:rPr>
              <w:t>K56.0,</w:t>
            </w:r>
            <w:r>
              <w:rPr>
                <w:spacing w:val="-5"/>
                <w:sz w:val="20"/>
              </w:rPr>
              <w:t> </w:t>
            </w:r>
            <w:r>
              <w:rPr>
                <w:sz w:val="20"/>
              </w:rPr>
              <w:t>K56.1,</w:t>
            </w:r>
            <w:r>
              <w:rPr>
                <w:spacing w:val="-6"/>
                <w:sz w:val="20"/>
              </w:rPr>
              <w:t> </w:t>
            </w:r>
            <w:r>
              <w:rPr>
                <w:sz w:val="20"/>
              </w:rPr>
              <w:t>K56.2,</w:t>
            </w:r>
            <w:r>
              <w:rPr>
                <w:spacing w:val="-5"/>
                <w:sz w:val="20"/>
              </w:rPr>
              <w:t> </w:t>
            </w:r>
            <w:r>
              <w:rPr>
                <w:sz w:val="20"/>
              </w:rPr>
              <w:t>K56.3,</w:t>
            </w:r>
            <w:r>
              <w:rPr>
                <w:spacing w:val="-6"/>
                <w:sz w:val="20"/>
              </w:rPr>
              <w:t> </w:t>
            </w:r>
            <w:r>
              <w:rPr>
                <w:spacing w:val="-2"/>
                <w:sz w:val="20"/>
              </w:rPr>
              <w:t>K56.4,</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5" w:lineRule="exact"/>
              <w:ind w:left="466"/>
              <w:rPr>
                <w:sz w:val="20"/>
              </w:rPr>
            </w:pPr>
            <w:r>
              <w:rPr>
                <w:sz w:val="20"/>
              </w:rPr>
              <w:t>K56.5,</w:t>
            </w:r>
            <w:r>
              <w:rPr>
                <w:spacing w:val="-6"/>
                <w:sz w:val="20"/>
              </w:rPr>
              <w:t> </w:t>
            </w:r>
            <w:r>
              <w:rPr>
                <w:sz w:val="20"/>
              </w:rPr>
              <w:t>K56.6,</w:t>
            </w:r>
            <w:r>
              <w:rPr>
                <w:spacing w:val="-6"/>
                <w:sz w:val="20"/>
              </w:rPr>
              <w:t> </w:t>
            </w:r>
            <w:r>
              <w:rPr>
                <w:sz w:val="20"/>
              </w:rPr>
              <w:t>K56.7,</w:t>
            </w:r>
            <w:r>
              <w:rPr>
                <w:spacing w:val="-5"/>
                <w:sz w:val="20"/>
              </w:rPr>
              <w:t> </w:t>
            </w:r>
            <w:r>
              <w:rPr>
                <w:sz w:val="20"/>
              </w:rPr>
              <w:t>K57,</w:t>
            </w:r>
            <w:r>
              <w:rPr>
                <w:spacing w:val="-6"/>
                <w:sz w:val="20"/>
              </w:rPr>
              <w:t> </w:t>
            </w:r>
            <w:r>
              <w:rPr>
                <w:sz w:val="20"/>
              </w:rPr>
              <w:t>K57.0,</w:t>
            </w:r>
            <w:r>
              <w:rPr>
                <w:spacing w:val="-5"/>
                <w:sz w:val="20"/>
              </w:rPr>
              <w:t> </w:t>
            </w:r>
            <w:r>
              <w:rPr>
                <w:sz w:val="20"/>
              </w:rPr>
              <w:t>K57.1,</w:t>
            </w:r>
            <w:r>
              <w:rPr>
                <w:spacing w:val="-5"/>
                <w:sz w:val="20"/>
              </w:rPr>
              <w:t> </w:t>
            </w:r>
            <w:r>
              <w:rPr>
                <w:spacing w:val="-2"/>
                <w:sz w:val="20"/>
              </w:rPr>
              <w:t>K57.2,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K57.3,</w:t>
      </w:r>
      <w:r>
        <w:rPr>
          <w:spacing w:val="-4"/>
          <w:sz w:val="20"/>
        </w:rPr>
        <w:t> </w:t>
      </w:r>
      <w:r>
        <w:rPr>
          <w:sz w:val="20"/>
        </w:rPr>
        <w:t>K57.4,</w:t>
      </w:r>
      <w:r>
        <w:rPr>
          <w:spacing w:val="-6"/>
          <w:sz w:val="20"/>
        </w:rPr>
        <w:t> </w:t>
      </w:r>
      <w:r>
        <w:rPr>
          <w:sz w:val="20"/>
        </w:rPr>
        <w:t>K57.5,</w:t>
      </w:r>
      <w:r>
        <w:rPr>
          <w:spacing w:val="-4"/>
          <w:sz w:val="20"/>
        </w:rPr>
        <w:t> </w:t>
      </w:r>
      <w:r>
        <w:rPr>
          <w:sz w:val="20"/>
        </w:rPr>
        <w:t>K57.8,</w:t>
      </w:r>
      <w:r>
        <w:rPr>
          <w:spacing w:val="-6"/>
          <w:sz w:val="20"/>
        </w:rPr>
        <w:t> </w:t>
      </w:r>
      <w:r>
        <w:rPr>
          <w:sz w:val="20"/>
        </w:rPr>
        <w:t>K57.9,</w:t>
      </w:r>
      <w:r>
        <w:rPr>
          <w:spacing w:val="-4"/>
          <w:sz w:val="20"/>
        </w:rPr>
        <w:t> </w:t>
      </w:r>
      <w:r>
        <w:rPr>
          <w:sz w:val="20"/>
        </w:rPr>
        <w:t>K58,</w:t>
      </w:r>
      <w:r>
        <w:rPr>
          <w:spacing w:val="-4"/>
          <w:sz w:val="20"/>
        </w:rPr>
        <w:t> </w:t>
      </w:r>
      <w:r>
        <w:rPr>
          <w:spacing w:val="-2"/>
          <w:sz w:val="20"/>
        </w:rPr>
        <w:t>K58.1,</w:t>
      </w:r>
    </w:p>
    <w:p>
      <w:pPr>
        <w:spacing w:line="229" w:lineRule="exact" w:before="1"/>
        <w:ind w:left="1162" w:right="4154" w:firstLine="0"/>
        <w:jc w:val="center"/>
        <w:rPr>
          <w:sz w:val="20"/>
        </w:rPr>
      </w:pPr>
      <w:r>
        <w:rPr>
          <w:sz w:val="20"/>
        </w:rPr>
        <w:t>K58.2,</w:t>
      </w:r>
      <w:r>
        <w:rPr>
          <w:spacing w:val="-6"/>
          <w:sz w:val="20"/>
        </w:rPr>
        <w:t> </w:t>
      </w:r>
      <w:r>
        <w:rPr>
          <w:sz w:val="20"/>
        </w:rPr>
        <w:t>K58.3,</w:t>
      </w:r>
      <w:r>
        <w:rPr>
          <w:spacing w:val="-6"/>
          <w:sz w:val="20"/>
        </w:rPr>
        <w:t> </w:t>
      </w:r>
      <w:r>
        <w:rPr>
          <w:sz w:val="20"/>
        </w:rPr>
        <w:t>K58.8,</w:t>
      </w:r>
      <w:r>
        <w:rPr>
          <w:spacing w:val="-5"/>
          <w:sz w:val="20"/>
        </w:rPr>
        <w:t> </w:t>
      </w:r>
      <w:r>
        <w:rPr>
          <w:sz w:val="20"/>
        </w:rPr>
        <w:t>K59,</w:t>
      </w:r>
      <w:r>
        <w:rPr>
          <w:spacing w:val="-6"/>
          <w:sz w:val="20"/>
        </w:rPr>
        <w:t> </w:t>
      </w:r>
      <w:r>
        <w:rPr>
          <w:sz w:val="20"/>
        </w:rPr>
        <w:t>K59.0,</w:t>
      </w:r>
      <w:r>
        <w:rPr>
          <w:spacing w:val="-5"/>
          <w:sz w:val="20"/>
        </w:rPr>
        <w:t> </w:t>
      </w:r>
      <w:r>
        <w:rPr>
          <w:sz w:val="20"/>
        </w:rPr>
        <w:t>K59.1,</w:t>
      </w:r>
      <w:r>
        <w:rPr>
          <w:spacing w:val="-5"/>
          <w:sz w:val="20"/>
        </w:rPr>
        <w:t> </w:t>
      </w:r>
      <w:r>
        <w:rPr>
          <w:spacing w:val="-2"/>
          <w:sz w:val="20"/>
        </w:rPr>
        <w:t>K59.2,</w:t>
      </w:r>
    </w:p>
    <w:p>
      <w:pPr>
        <w:spacing w:line="229" w:lineRule="exact" w:before="0"/>
        <w:ind w:left="1159" w:right="4154" w:firstLine="0"/>
        <w:jc w:val="center"/>
        <w:rPr>
          <w:sz w:val="20"/>
        </w:rPr>
      </w:pPr>
      <w:r>
        <w:rPr>
          <w:sz w:val="20"/>
        </w:rPr>
        <w:t>K59.3,</w:t>
      </w:r>
      <w:r>
        <w:rPr>
          <w:spacing w:val="-4"/>
          <w:sz w:val="20"/>
        </w:rPr>
        <w:t> </w:t>
      </w:r>
      <w:r>
        <w:rPr>
          <w:sz w:val="20"/>
        </w:rPr>
        <w:t>K59.4,</w:t>
      </w:r>
      <w:r>
        <w:rPr>
          <w:spacing w:val="-6"/>
          <w:sz w:val="20"/>
        </w:rPr>
        <w:t> </w:t>
      </w:r>
      <w:r>
        <w:rPr>
          <w:sz w:val="20"/>
        </w:rPr>
        <w:t>K59.8,</w:t>
      </w:r>
      <w:r>
        <w:rPr>
          <w:spacing w:val="-4"/>
          <w:sz w:val="20"/>
        </w:rPr>
        <w:t> </w:t>
      </w:r>
      <w:r>
        <w:rPr>
          <w:sz w:val="20"/>
        </w:rPr>
        <w:t>K59.9,</w:t>
      </w:r>
      <w:r>
        <w:rPr>
          <w:spacing w:val="-6"/>
          <w:sz w:val="20"/>
        </w:rPr>
        <w:t> </w:t>
      </w:r>
      <w:r>
        <w:rPr>
          <w:sz w:val="20"/>
        </w:rPr>
        <w:t>K60,</w:t>
      </w:r>
      <w:r>
        <w:rPr>
          <w:spacing w:val="-4"/>
          <w:sz w:val="20"/>
        </w:rPr>
        <w:t> </w:t>
      </w:r>
      <w:r>
        <w:rPr>
          <w:sz w:val="20"/>
        </w:rPr>
        <w:t>K60.0,</w:t>
      </w:r>
      <w:r>
        <w:rPr>
          <w:spacing w:val="-4"/>
          <w:sz w:val="20"/>
        </w:rPr>
        <w:t> </w:t>
      </w:r>
      <w:r>
        <w:rPr>
          <w:spacing w:val="-2"/>
          <w:sz w:val="20"/>
        </w:rPr>
        <w:t>K60.1,</w:t>
      </w:r>
    </w:p>
    <w:p>
      <w:pPr>
        <w:spacing w:before="0"/>
        <w:ind w:left="1159" w:right="4154" w:firstLine="0"/>
        <w:jc w:val="center"/>
        <w:rPr>
          <w:sz w:val="20"/>
        </w:rPr>
      </w:pPr>
      <w:r>
        <w:rPr>
          <w:sz w:val="20"/>
        </w:rPr>
        <w:t>K60.2,</w:t>
      </w:r>
      <w:r>
        <w:rPr>
          <w:spacing w:val="-4"/>
          <w:sz w:val="20"/>
        </w:rPr>
        <w:t> </w:t>
      </w:r>
      <w:r>
        <w:rPr>
          <w:sz w:val="20"/>
        </w:rPr>
        <w:t>K60.3,</w:t>
      </w:r>
      <w:r>
        <w:rPr>
          <w:spacing w:val="-6"/>
          <w:sz w:val="20"/>
        </w:rPr>
        <w:t> </w:t>
      </w:r>
      <w:r>
        <w:rPr>
          <w:sz w:val="20"/>
        </w:rPr>
        <w:t>K60.4,</w:t>
      </w:r>
      <w:r>
        <w:rPr>
          <w:spacing w:val="-4"/>
          <w:sz w:val="20"/>
        </w:rPr>
        <w:t> </w:t>
      </w:r>
      <w:r>
        <w:rPr>
          <w:sz w:val="20"/>
        </w:rPr>
        <w:t>K60.5,</w:t>
      </w:r>
      <w:r>
        <w:rPr>
          <w:spacing w:val="-6"/>
          <w:sz w:val="20"/>
        </w:rPr>
        <w:t> </w:t>
      </w:r>
      <w:r>
        <w:rPr>
          <w:sz w:val="20"/>
        </w:rPr>
        <w:t>K61,</w:t>
      </w:r>
      <w:r>
        <w:rPr>
          <w:spacing w:val="-4"/>
          <w:sz w:val="20"/>
        </w:rPr>
        <w:t> </w:t>
      </w:r>
      <w:r>
        <w:rPr>
          <w:sz w:val="20"/>
        </w:rPr>
        <w:t>K61.0,</w:t>
      </w:r>
      <w:r>
        <w:rPr>
          <w:spacing w:val="-4"/>
          <w:sz w:val="20"/>
        </w:rPr>
        <w:t> </w:t>
      </w:r>
      <w:r>
        <w:rPr>
          <w:spacing w:val="-2"/>
          <w:sz w:val="20"/>
        </w:rPr>
        <w:t>K61.1,</w:t>
      </w:r>
    </w:p>
    <w:p>
      <w:pPr>
        <w:spacing w:before="1"/>
        <w:ind w:left="1161" w:right="4154" w:firstLine="0"/>
        <w:jc w:val="center"/>
        <w:rPr>
          <w:sz w:val="20"/>
        </w:rPr>
      </w:pPr>
      <w:r>
        <w:rPr>
          <w:sz w:val="20"/>
        </w:rPr>
        <w:t>K61.2,</w:t>
      </w:r>
      <w:r>
        <w:rPr>
          <w:spacing w:val="-6"/>
          <w:sz w:val="20"/>
        </w:rPr>
        <w:t> </w:t>
      </w:r>
      <w:r>
        <w:rPr>
          <w:sz w:val="20"/>
        </w:rPr>
        <w:t>K61.3,</w:t>
      </w:r>
      <w:r>
        <w:rPr>
          <w:spacing w:val="-6"/>
          <w:sz w:val="20"/>
        </w:rPr>
        <w:t> </w:t>
      </w:r>
      <w:r>
        <w:rPr>
          <w:sz w:val="20"/>
        </w:rPr>
        <w:t>K61.4,</w:t>
      </w:r>
      <w:r>
        <w:rPr>
          <w:spacing w:val="-5"/>
          <w:sz w:val="20"/>
        </w:rPr>
        <w:t> </w:t>
      </w:r>
      <w:r>
        <w:rPr>
          <w:sz w:val="20"/>
        </w:rPr>
        <w:t>K62,</w:t>
      </w:r>
      <w:r>
        <w:rPr>
          <w:spacing w:val="-6"/>
          <w:sz w:val="20"/>
        </w:rPr>
        <w:t> </w:t>
      </w:r>
      <w:r>
        <w:rPr>
          <w:sz w:val="20"/>
        </w:rPr>
        <w:t>K62.0,</w:t>
      </w:r>
      <w:r>
        <w:rPr>
          <w:spacing w:val="-5"/>
          <w:sz w:val="20"/>
        </w:rPr>
        <w:t> </w:t>
      </w:r>
      <w:r>
        <w:rPr>
          <w:sz w:val="20"/>
        </w:rPr>
        <w:t>K62.1,</w:t>
      </w:r>
      <w:r>
        <w:rPr>
          <w:spacing w:val="-5"/>
          <w:sz w:val="20"/>
        </w:rPr>
        <w:t> </w:t>
      </w:r>
      <w:r>
        <w:rPr>
          <w:spacing w:val="-2"/>
          <w:sz w:val="20"/>
        </w:rPr>
        <w:t>K62.2,</w:t>
      </w:r>
    </w:p>
    <w:p>
      <w:pPr>
        <w:spacing w:before="0"/>
        <w:ind w:left="1162" w:right="4154" w:firstLine="0"/>
        <w:jc w:val="center"/>
        <w:rPr>
          <w:sz w:val="20"/>
        </w:rPr>
      </w:pPr>
      <w:r>
        <w:rPr>
          <w:sz w:val="20"/>
        </w:rPr>
        <w:t>K62.3,</w:t>
      </w:r>
      <w:r>
        <w:rPr>
          <w:spacing w:val="-4"/>
          <w:sz w:val="20"/>
        </w:rPr>
        <w:t> </w:t>
      </w:r>
      <w:r>
        <w:rPr>
          <w:sz w:val="20"/>
        </w:rPr>
        <w:t>K62.4,</w:t>
      </w:r>
      <w:r>
        <w:rPr>
          <w:spacing w:val="-6"/>
          <w:sz w:val="20"/>
        </w:rPr>
        <w:t> </w:t>
      </w:r>
      <w:r>
        <w:rPr>
          <w:sz w:val="20"/>
        </w:rPr>
        <w:t>K62.5,</w:t>
      </w:r>
      <w:r>
        <w:rPr>
          <w:spacing w:val="-4"/>
          <w:sz w:val="20"/>
        </w:rPr>
        <w:t> </w:t>
      </w:r>
      <w:r>
        <w:rPr>
          <w:sz w:val="20"/>
        </w:rPr>
        <w:t>K62.6,</w:t>
      </w:r>
      <w:r>
        <w:rPr>
          <w:spacing w:val="-6"/>
          <w:sz w:val="20"/>
        </w:rPr>
        <w:t> </w:t>
      </w:r>
      <w:r>
        <w:rPr>
          <w:sz w:val="20"/>
        </w:rPr>
        <w:t>K62.7,</w:t>
      </w:r>
      <w:r>
        <w:rPr>
          <w:spacing w:val="-4"/>
          <w:sz w:val="20"/>
        </w:rPr>
        <w:t> </w:t>
      </w:r>
      <w:r>
        <w:rPr>
          <w:spacing w:val="-2"/>
          <w:sz w:val="20"/>
        </w:rPr>
        <w:t>K62.8,</w:t>
      </w:r>
    </w:p>
    <w:p>
      <w:pPr>
        <w:spacing w:before="0"/>
        <w:ind w:left="1165" w:right="4154" w:firstLine="0"/>
        <w:jc w:val="center"/>
        <w:rPr>
          <w:sz w:val="20"/>
        </w:rPr>
      </w:pPr>
      <w:r>
        <w:rPr>
          <w:sz w:val="20"/>
        </w:rPr>
        <w:t>K62.9,</w:t>
      </w:r>
      <w:r>
        <w:rPr>
          <w:spacing w:val="-5"/>
          <w:sz w:val="20"/>
        </w:rPr>
        <w:t> </w:t>
      </w:r>
      <w:r>
        <w:rPr>
          <w:sz w:val="20"/>
        </w:rPr>
        <w:t>K63,</w:t>
      </w:r>
      <w:r>
        <w:rPr>
          <w:spacing w:val="-5"/>
          <w:sz w:val="20"/>
        </w:rPr>
        <w:t> </w:t>
      </w:r>
      <w:r>
        <w:rPr>
          <w:sz w:val="20"/>
        </w:rPr>
        <w:t>K63.0,</w:t>
      </w:r>
      <w:r>
        <w:rPr>
          <w:spacing w:val="-5"/>
          <w:sz w:val="20"/>
        </w:rPr>
        <w:t> </w:t>
      </w:r>
      <w:r>
        <w:rPr>
          <w:sz w:val="20"/>
        </w:rPr>
        <w:t>K63.1,</w:t>
      </w:r>
      <w:r>
        <w:rPr>
          <w:spacing w:val="-5"/>
          <w:sz w:val="20"/>
        </w:rPr>
        <w:t> </w:t>
      </w:r>
      <w:r>
        <w:rPr>
          <w:sz w:val="20"/>
        </w:rPr>
        <w:t>K63.2,</w:t>
      </w:r>
      <w:r>
        <w:rPr>
          <w:spacing w:val="-5"/>
          <w:sz w:val="20"/>
        </w:rPr>
        <w:t> </w:t>
      </w:r>
      <w:r>
        <w:rPr>
          <w:sz w:val="20"/>
        </w:rPr>
        <w:t>K63.3,</w:t>
      </w:r>
      <w:r>
        <w:rPr>
          <w:spacing w:val="-5"/>
          <w:sz w:val="20"/>
        </w:rPr>
        <w:t> </w:t>
      </w:r>
      <w:r>
        <w:rPr>
          <w:spacing w:val="-2"/>
          <w:sz w:val="20"/>
        </w:rPr>
        <w:t>K63.4,</w:t>
      </w:r>
    </w:p>
    <w:p>
      <w:pPr>
        <w:spacing w:line="229" w:lineRule="exact" w:before="1"/>
        <w:ind w:left="1161" w:right="4154" w:firstLine="0"/>
        <w:jc w:val="center"/>
        <w:rPr>
          <w:sz w:val="20"/>
        </w:rPr>
      </w:pPr>
      <w:r>
        <w:rPr>
          <w:sz w:val="20"/>
        </w:rPr>
        <w:t>K63.5,</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p>
      <w:pPr>
        <w:spacing w:line="229" w:lineRule="exact" w:before="0"/>
        <w:ind w:left="1159" w:right="4154" w:firstLine="0"/>
        <w:jc w:val="center"/>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p>
      <w:pPr>
        <w:spacing w:before="1"/>
        <w:ind w:left="1161" w:right="4154" w:firstLine="0"/>
        <w:jc w:val="center"/>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p>
      <w:pPr>
        <w:spacing w:before="0"/>
        <w:ind w:left="1161" w:right="4154" w:firstLine="0"/>
        <w:jc w:val="center"/>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p>
      <w:pPr>
        <w:spacing w:before="1"/>
        <w:ind w:left="1159" w:right="4154" w:firstLine="0"/>
        <w:jc w:val="center"/>
        <w:rPr>
          <w:sz w:val="20"/>
        </w:rPr>
      </w:pPr>
      <w:r>
        <w:rPr>
          <w:sz w:val="20"/>
        </w:rPr>
        <w:t>K70.0,</w:t>
      </w:r>
      <w:r>
        <w:rPr>
          <w:spacing w:val="-5"/>
          <w:sz w:val="20"/>
        </w:rPr>
        <w:t> </w:t>
      </w:r>
      <w:r>
        <w:rPr>
          <w:sz w:val="20"/>
        </w:rPr>
        <w:t>K70.1,</w:t>
      </w:r>
      <w:r>
        <w:rPr>
          <w:spacing w:val="-5"/>
          <w:sz w:val="20"/>
        </w:rPr>
        <w:t> </w:t>
      </w:r>
      <w:r>
        <w:rPr>
          <w:sz w:val="20"/>
        </w:rPr>
        <w:t>K70.2,</w:t>
      </w:r>
      <w:r>
        <w:rPr>
          <w:spacing w:val="-4"/>
          <w:sz w:val="20"/>
        </w:rPr>
        <w:t> </w:t>
      </w:r>
      <w:r>
        <w:rPr>
          <w:sz w:val="20"/>
        </w:rPr>
        <w:t>K70.3,</w:t>
      </w:r>
      <w:r>
        <w:rPr>
          <w:spacing w:val="-6"/>
          <w:sz w:val="20"/>
        </w:rPr>
        <w:t> </w:t>
      </w:r>
      <w:r>
        <w:rPr>
          <w:sz w:val="20"/>
        </w:rPr>
        <w:t>K70.4,</w:t>
      </w:r>
      <w:r>
        <w:rPr>
          <w:spacing w:val="-4"/>
          <w:sz w:val="20"/>
        </w:rPr>
        <w:t> </w:t>
      </w:r>
      <w:r>
        <w:rPr>
          <w:sz w:val="20"/>
        </w:rPr>
        <w:t>K70.9,</w:t>
      </w:r>
      <w:r>
        <w:rPr>
          <w:spacing w:val="-6"/>
          <w:sz w:val="20"/>
        </w:rPr>
        <w:t> </w:t>
      </w:r>
      <w:r>
        <w:rPr>
          <w:spacing w:val="-4"/>
          <w:sz w:val="20"/>
        </w:rPr>
        <w:t>K71,</w:t>
      </w:r>
    </w:p>
    <w:p>
      <w:pPr>
        <w:spacing w:before="0"/>
        <w:ind w:left="1162" w:right="4154" w:firstLine="0"/>
        <w:jc w:val="center"/>
        <w:rPr>
          <w:sz w:val="20"/>
        </w:rPr>
      </w:pPr>
      <w:r>
        <w:rPr>
          <w:sz w:val="20"/>
        </w:rPr>
        <w:t>K71.0,</w:t>
      </w:r>
      <w:r>
        <w:rPr>
          <w:spacing w:val="-4"/>
          <w:sz w:val="20"/>
        </w:rPr>
        <w:t> </w:t>
      </w:r>
      <w:r>
        <w:rPr>
          <w:sz w:val="20"/>
        </w:rPr>
        <w:t>K71.1,</w:t>
      </w:r>
      <w:r>
        <w:rPr>
          <w:spacing w:val="-6"/>
          <w:sz w:val="20"/>
        </w:rPr>
        <w:t> </w:t>
      </w:r>
      <w:r>
        <w:rPr>
          <w:sz w:val="20"/>
        </w:rPr>
        <w:t>K71.2,</w:t>
      </w:r>
      <w:r>
        <w:rPr>
          <w:spacing w:val="-4"/>
          <w:sz w:val="20"/>
        </w:rPr>
        <w:t> </w:t>
      </w:r>
      <w:r>
        <w:rPr>
          <w:sz w:val="20"/>
        </w:rPr>
        <w:t>K71.3,</w:t>
      </w:r>
      <w:r>
        <w:rPr>
          <w:spacing w:val="-6"/>
          <w:sz w:val="20"/>
        </w:rPr>
        <w:t> </w:t>
      </w:r>
      <w:r>
        <w:rPr>
          <w:sz w:val="20"/>
        </w:rPr>
        <w:t>K71.4,</w:t>
      </w:r>
      <w:r>
        <w:rPr>
          <w:spacing w:val="-4"/>
          <w:sz w:val="20"/>
        </w:rPr>
        <w:t> </w:t>
      </w:r>
      <w:r>
        <w:rPr>
          <w:spacing w:val="-2"/>
          <w:sz w:val="20"/>
        </w:rPr>
        <w:t>K71.5,</w:t>
      </w:r>
    </w:p>
    <w:p>
      <w:pPr>
        <w:spacing w:line="229" w:lineRule="exact" w:before="1"/>
        <w:ind w:left="1162" w:right="4154" w:firstLine="0"/>
        <w:jc w:val="center"/>
        <w:rPr>
          <w:sz w:val="20"/>
        </w:rPr>
      </w:pPr>
      <w:r>
        <w:rPr>
          <w:sz w:val="20"/>
        </w:rPr>
        <w:t>K71.6,</w:t>
      </w:r>
      <w:r>
        <w:rPr>
          <w:spacing w:val="-4"/>
          <w:sz w:val="20"/>
        </w:rPr>
        <w:t> </w:t>
      </w:r>
      <w:r>
        <w:rPr>
          <w:sz w:val="20"/>
        </w:rPr>
        <w:t>K71.7,</w:t>
      </w:r>
      <w:r>
        <w:rPr>
          <w:spacing w:val="-6"/>
          <w:sz w:val="20"/>
        </w:rPr>
        <w:t> </w:t>
      </w:r>
      <w:r>
        <w:rPr>
          <w:sz w:val="20"/>
        </w:rPr>
        <w:t>K71.8,</w:t>
      </w:r>
      <w:r>
        <w:rPr>
          <w:spacing w:val="-4"/>
          <w:sz w:val="20"/>
        </w:rPr>
        <w:t> </w:t>
      </w:r>
      <w:r>
        <w:rPr>
          <w:sz w:val="20"/>
        </w:rPr>
        <w:t>K71.9,</w:t>
      </w:r>
      <w:r>
        <w:rPr>
          <w:spacing w:val="-6"/>
          <w:sz w:val="20"/>
        </w:rPr>
        <w:t> </w:t>
      </w:r>
      <w:r>
        <w:rPr>
          <w:sz w:val="20"/>
        </w:rPr>
        <w:t>K72.0,</w:t>
      </w:r>
      <w:r>
        <w:rPr>
          <w:spacing w:val="-4"/>
          <w:sz w:val="20"/>
        </w:rPr>
        <w:t> </w:t>
      </w:r>
      <w:r>
        <w:rPr>
          <w:spacing w:val="-2"/>
          <w:sz w:val="20"/>
        </w:rPr>
        <w:t>K72.1,</w:t>
      </w:r>
    </w:p>
    <w:p>
      <w:pPr>
        <w:spacing w:line="229" w:lineRule="exact" w:before="0"/>
        <w:ind w:left="1162" w:right="4154" w:firstLine="0"/>
        <w:jc w:val="center"/>
        <w:rPr>
          <w:sz w:val="20"/>
        </w:rPr>
      </w:pPr>
      <w:r>
        <w:rPr>
          <w:sz w:val="20"/>
        </w:rPr>
        <w:t>K72.9,</w:t>
      </w:r>
      <w:r>
        <w:rPr>
          <w:spacing w:val="-4"/>
          <w:sz w:val="20"/>
        </w:rPr>
        <w:t> </w:t>
      </w:r>
      <w:r>
        <w:rPr>
          <w:sz w:val="20"/>
        </w:rPr>
        <w:t>K73.0,</w:t>
      </w:r>
      <w:r>
        <w:rPr>
          <w:spacing w:val="-6"/>
          <w:sz w:val="20"/>
        </w:rPr>
        <w:t> </w:t>
      </w:r>
      <w:r>
        <w:rPr>
          <w:sz w:val="20"/>
        </w:rPr>
        <w:t>K73.1,</w:t>
      </w:r>
      <w:r>
        <w:rPr>
          <w:spacing w:val="-4"/>
          <w:sz w:val="20"/>
        </w:rPr>
        <w:t> </w:t>
      </w:r>
      <w:r>
        <w:rPr>
          <w:sz w:val="20"/>
        </w:rPr>
        <w:t>K73.2,</w:t>
      </w:r>
      <w:r>
        <w:rPr>
          <w:spacing w:val="-6"/>
          <w:sz w:val="20"/>
        </w:rPr>
        <w:t> </w:t>
      </w:r>
      <w:r>
        <w:rPr>
          <w:sz w:val="20"/>
        </w:rPr>
        <w:t>K73.8,</w:t>
      </w:r>
      <w:r>
        <w:rPr>
          <w:spacing w:val="-4"/>
          <w:sz w:val="20"/>
        </w:rPr>
        <w:t> </w:t>
      </w:r>
      <w:r>
        <w:rPr>
          <w:spacing w:val="-2"/>
          <w:sz w:val="20"/>
        </w:rPr>
        <w:t>K73.9,</w:t>
      </w:r>
    </w:p>
    <w:p>
      <w:pPr>
        <w:spacing w:before="0"/>
        <w:ind w:left="4825" w:right="0" w:firstLine="0"/>
        <w:jc w:val="left"/>
        <w:rPr>
          <w:sz w:val="20"/>
        </w:rPr>
      </w:pPr>
      <w:r>
        <w:rPr>
          <w:sz w:val="20"/>
        </w:rPr>
        <w:t>K74.0,</w:t>
      </w:r>
      <w:r>
        <w:rPr>
          <w:spacing w:val="-4"/>
          <w:sz w:val="20"/>
        </w:rPr>
        <w:t> </w:t>
      </w:r>
      <w:r>
        <w:rPr>
          <w:sz w:val="20"/>
        </w:rPr>
        <w:t>K74.1,</w:t>
      </w:r>
      <w:r>
        <w:rPr>
          <w:spacing w:val="-6"/>
          <w:sz w:val="20"/>
        </w:rPr>
        <w:t> </w:t>
      </w:r>
      <w:r>
        <w:rPr>
          <w:sz w:val="20"/>
        </w:rPr>
        <w:t>K74.2,</w:t>
      </w:r>
      <w:r>
        <w:rPr>
          <w:spacing w:val="-4"/>
          <w:sz w:val="20"/>
        </w:rPr>
        <w:t> </w:t>
      </w:r>
      <w:r>
        <w:rPr>
          <w:sz w:val="20"/>
        </w:rPr>
        <w:t>K74.3,</w:t>
      </w:r>
      <w:r>
        <w:rPr>
          <w:spacing w:val="-6"/>
          <w:sz w:val="20"/>
        </w:rPr>
        <w:t> </w:t>
      </w:r>
      <w:r>
        <w:rPr>
          <w:sz w:val="20"/>
        </w:rPr>
        <w:t>K74.4,</w:t>
      </w:r>
      <w:r>
        <w:rPr>
          <w:spacing w:val="-4"/>
          <w:sz w:val="20"/>
        </w:rPr>
        <w:t> </w:t>
      </w:r>
      <w:r>
        <w:rPr>
          <w:spacing w:val="-2"/>
          <w:sz w:val="20"/>
        </w:rPr>
        <w:t>K74.5,</w:t>
      </w:r>
    </w:p>
    <w:p>
      <w:pPr>
        <w:spacing w:before="0"/>
        <w:ind w:left="4825" w:right="0" w:firstLine="0"/>
        <w:jc w:val="left"/>
        <w:rPr>
          <w:sz w:val="20"/>
        </w:rPr>
      </w:pPr>
      <w:r>
        <w:rPr>
          <w:sz w:val="20"/>
        </w:rPr>
        <w:t>K74.6,</w:t>
      </w:r>
      <w:r>
        <w:rPr>
          <w:spacing w:val="-4"/>
          <w:sz w:val="20"/>
        </w:rPr>
        <w:t> </w:t>
      </w:r>
      <w:r>
        <w:rPr>
          <w:sz w:val="20"/>
        </w:rPr>
        <w:t>K75.0,</w:t>
      </w:r>
      <w:r>
        <w:rPr>
          <w:spacing w:val="-6"/>
          <w:sz w:val="20"/>
        </w:rPr>
        <w:t> </w:t>
      </w:r>
      <w:r>
        <w:rPr>
          <w:sz w:val="20"/>
        </w:rPr>
        <w:t>K75.1,</w:t>
      </w:r>
      <w:r>
        <w:rPr>
          <w:spacing w:val="-4"/>
          <w:sz w:val="20"/>
        </w:rPr>
        <w:t> </w:t>
      </w:r>
      <w:r>
        <w:rPr>
          <w:sz w:val="20"/>
        </w:rPr>
        <w:t>K75.2,</w:t>
      </w:r>
      <w:r>
        <w:rPr>
          <w:spacing w:val="-6"/>
          <w:sz w:val="20"/>
        </w:rPr>
        <w:t> </w:t>
      </w:r>
      <w:r>
        <w:rPr>
          <w:sz w:val="20"/>
        </w:rPr>
        <w:t>K75.3,</w:t>
      </w:r>
      <w:r>
        <w:rPr>
          <w:spacing w:val="-4"/>
          <w:sz w:val="20"/>
        </w:rPr>
        <w:t> </w:t>
      </w:r>
      <w:r>
        <w:rPr>
          <w:spacing w:val="-2"/>
          <w:sz w:val="20"/>
        </w:rPr>
        <w:t>K75.4,</w:t>
      </w:r>
    </w:p>
    <w:p>
      <w:pPr>
        <w:spacing w:before="1"/>
        <w:ind w:left="4825" w:right="0" w:firstLine="0"/>
        <w:jc w:val="left"/>
        <w:rPr>
          <w:sz w:val="20"/>
        </w:rPr>
      </w:pPr>
      <w:r>
        <w:rPr>
          <w:sz w:val="20"/>
        </w:rPr>
        <w:t>K75.8,</w:t>
      </w:r>
      <w:r>
        <w:rPr>
          <w:spacing w:val="-4"/>
          <w:sz w:val="20"/>
        </w:rPr>
        <w:t> </w:t>
      </w:r>
      <w:r>
        <w:rPr>
          <w:sz w:val="20"/>
        </w:rPr>
        <w:t>K75.9,</w:t>
      </w:r>
      <w:r>
        <w:rPr>
          <w:spacing w:val="-6"/>
          <w:sz w:val="20"/>
        </w:rPr>
        <w:t> </w:t>
      </w:r>
      <w:r>
        <w:rPr>
          <w:sz w:val="20"/>
        </w:rPr>
        <w:t>K76.0,</w:t>
      </w:r>
      <w:r>
        <w:rPr>
          <w:spacing w:val="-4"/>
          <w:sz w:val="20"/>
        </w:rPr>
        <w:t> </w:t>
      </w:r>
      <w:r>
        <w:rPr>
          <w:sz w:val="20"/>
        </w:rPr>
        <w:t>K76.1,</w:t>
      </w:r>
      <w:r>
        <w:rPr>
          <w:spacing w:val="-6"/>
          <w:sz w:val="20"/>
        </w:rPr>
        <w:t> </w:t>
      </w:r>
      <w:r>
        <w:rPr>
          <w:sz w:val="20"/>
        </w:rPr>
        <w:t>K76.2,</w:t>
      </w:r>
      <w:r>
        <w:rPr>
          <w:spacing w:val="-4"/>
          <w:sz w:val="20"/>
        </w:rPr>
        <w:t> </w:t>
      </w:r>
      <w:r>
        <w:rPr>
          <w:spacing w:val="-2"/>
          <w:sz w:val="20"/>
        </w:rPr>
        <w:t>K76.3,</w:t>
      </w:r>
    </w:p>
    <w:p>
      <w:pPr>
        <w:spacing w:before="1"/>
        <w:ind w:left="4825" w:right="0" w:firstLine="0"/>
        <w:jc w:val="left"/>
        <w:rPr>
          <w:sz w:val="20"/>
        </w:rPr>
      </w:pPr>
      <w:r>
        <w:rPr>
          <w:sz w:val="20"/>
        </w:rPr>
        <w:t>K76.4,</w:t>
      </w:r>
      <w:r>
        <w:rPr>
          <w:spacing w:val="-3"/>
          <w:sz w:val="20"/>
        </w:rPr>
        <w:t> </w:t>
      </w:r>
      <w:r>
        <w:rPr>
          <w:sz w:val="20"/>
        </w:rPr>
        <w:t>K76.5,</w:t>
      </w:r>
      <w:r>
        <w:rPr>
          <w:spacing w:val="-6"/>
          <w:sz w:val="20"/>
        </w:rPr>
        <w:t> </w:t>
      </w:r>
      <w:r>
        <w:rPr>
          <w:sz w:val="20"/>
        </w:rPr>
        <w:t>K76.6,</w:t>
      </w:r>
      <w:r>
        <w:rPr>
          <w:spacing w:val="-4"/>
          <w:sz w:val="20"/>
        </w:rPr>
        <w:t> </w:t>
      </w:r>
      <w:r>
        <w:rPr>
          <w:sz w:val="20"/>
        </w:rPr>
        <w:t>K76.7,</w:t>
      </w:r>
      <w:r>
        <w:rPr>
          <w:spacing w:val="-6"/>
          <w:sz w:val="20"/>
        </w:rPr>
        <w:t> </w:t>
      </w:r>
      <w:r>
        <w:rPr>
          <w:sz w:val="20"/>
        </w:rPr>
        <w:t>K76.8,</w:t>
      </w:r>
      <w:r>
        <w:rPr>
          <w:spacing w:val="-4"/>
          <w:sz w:val="20"/>
        </w:rPr>
        <w:t> </w:t>
      </w:r>
      <w:r>
        <w:rPr>
          <w:spacing w:val="-2"/>
          <w:sz w:val="20"/>
        </w:rPr>
        <w:t>K76.9,</w:t>
      </w:r>
    </w:p>
    <w:p>
      <w:pPr>
        <w:spacing w:line="229" w:lineRule="exact" w:before="0"/>
        <w:ind w:left="4605" w:right="0" w:firstLine="0"/>
        <w:jc w:val="left"/>
        <w:rPr>
          <w:sz w:val="20"/>
        </w:rPr>
      </w:pPr>
      <w:r>
        <w:rPr>
          <w:sz w:val="20"/>
        </w:rPr>
        <w:t>K77.0,</w:t>
      </w:r>
      <w:r>
        <w:rPr>
          <w:spacing w:val="-6"/>
          <w:sz w:val="20"/>
        </w:rPr>
        <w:t> </w:t>
      </w:r>
      <w:r>
        <w:rPr>
          <w:sz w:val="20"/>
        </w:rPr>
        <w:t>K77.8,</w:t>
      </w:r>
      <w:r>
        <w:rPr>
          <w:spacing w:val="-7"/>
          <w:sz w:val="20"/>
        </w:rPr>
        <w:t> </w:t>
      </w:r>
      <w:r>
        <w:rPr>
          <w:sz w:val="20"/>
        </w:rPr>
        <w:t>K80,</w:t>
      </w:r>
      <w:r>
        <w:rPr>
          <w:spacing w:val="-5"/>
          <w:sz w:val="20"/>
        </w:rPr>
        <w:t> </w:t>
      </w:r>
      <w:r>
        <w:rPr>
          <w:sz w:val="20"/>
        </w:rPr>
        <w:t>K80.0,</w:t>
      </w:r>
      <w:r>
        <w:rPr>
          <w:spacing w:val="-5"/>
          <w:sz w:val="20"/>
        </w:rPr>
        <w:t> </w:t>
      </w:r>
      <w:r>
        <w:rPr>
          <w:sz w:val="20"/>
        </w:rPr>
        <w:t>K80.1,</w:t>
      </w:r>
      <w:r>
        <w:rPr>
          <w:spacing w:val="-5"/>
          <w:sz w:val="20"/>
        </w:rPr>
        <w:t> </w:t>
      </w:r>
      <w:r>
        <w:rPr>
          <w:sz w:val="20"/>
        </w:rPr>
        <w:t>K80.2,</w:t>
      </w:r>
      <w:r>
        <w:rPr>
          <w:spacing w:val="-6"/>
          <w:sz w:val="20"/>
        </w:rPr>
        <w:t> </w:t>
      </w:r>
      <w:r>
        <w:rPr>
          <w:spacing w:val="-2"/>
          <w:sz w:val="20"/>
        </w:rPr>
        <w:t>K80.3,</w:t>
      </w:r>
    </w:p>
    <w:p>
      <w:pPr>
        <w:spacing w:line="229" w:lineRule="exact" w:before="0"/>
        <w:ind w:left="4605" w:right="0" w:firstLine="0"/>
        <w:jc w:val="left"/>
        <w:rPr>
          <w:sz w:val="20"/>
        </w:rPr>
      </w:pPr>
      <w:r>
        <w:rPr>
          <w:sz w:val="20"/>
        </w:rPr>
        <w:t>K80.4,</w:t>
      </w:r>
      <w:r>
        <w:rPr>
          <w:spacing w:val="-6"/>
          <w:sz w:val="20"/>
        </w:rPr>
        <w:t> </w:t>
      </w:r>
      <w:r>
        <w:rPr>
          <w:sz w:val="20"/>
        </w:rPr>
        <w:t>K80.5,</w:t>
      </w:r>
      <w:r>
        <w:rPr>
          <w:spacing w:val="-6"/>
          <w:sz w:val="20"/>
        </w:rPr>
        <w:t> </w:t>
      </w:r>
      <w:r>
        <w:rPr>
          <w:sz w:val="20"/>
        </w:rPr>
        <w:t>K80.8,</w:t>
      </w:r>
      <w:r>
        <w:rPr>
          <w:spacing w:val="-5"/>
          <w:sz w:val="20"/>
        </w:rPr>
        <w:t> </w:t>
      </w:r>
      <w:r>
        <w:rPr>
          <w:sz w:val="20"/>
        </w:rPr>
        <w:t>K81,</w:t>
      </w:r>
      <w:r>
        <w:rPr>
          <w:spacing w:val="-6"/>
          <w:sz w:val="20"/>
        </w:rPr>
        <w:t> </w:t>
      </w:r>
      <w:r>
        <w:rPr>
          <w:sz w:val="20"/>
        </w:rPr>
        <w:t>K81.0,</w:t>
      </w:r>
      <w:r>
        <w:rPr>
          <w:spacing w:val="-5"/>
          <w:sz w:val="20"/>
        </w:rPr>
        <w:t> </w:t>
      </w:r>
      <w:r>
        <w:rPr>
          <w:sz w:val="20"/>
        </w:rPr>
        <w:t>K81.1,</w:t>
      </w:r>
      <w:r>
        <w:rPr>
          <w:spacing w:val="-5"/>
          <w:sz w:val="20"/>
        </w:rPr>
        <w:t> </w:t>
      </w:r>
      <w:r>
        <w:rPr>
          <w:spacing w:val="-2"/>
          <w:sz w:val="20"/>
        </w:rPr>
        <w:t>K81.8,</w:t>
      </w:r>
    </w:p>
    <w:p>
      <w:pPr>
        <w:spacing w:before="0"/>
        <w:ind w:left="4605" w:right="0" w:firstLine="0"/>
        <w:jc w:val="left"/>
        <w:rPr>
          <w:sz w:val="20"/>
        </w:rPr>
      </w:pPr>
      <w:r>
        <w:rPr>
          <w:sz w:val="20"/>
        </w:rPr>
        <w:t>K81.9,</w:t>
      </w:r>
      <w:r>
        <w:rPr>
          <w:spacing w:val="-6"/>
          <w:sz w:val="20"/>
        </w:rPr>
        <w:t> </w:t>
      </w:r>
      <w:r>
        <w:rPr>
          <w:sz w:val="20"/>
        </w:rPr>
        <w:t>K82,</w:t>
      </w:r>
      <w:r>
        <w:rPr>
          <w:spacing w:val="-6"/>
          <w:sz w:val="20"/>
        </w:rPr>
        <w:t> </w:t>
      </w:r>
      <w:r>
        <w:rPr>
          <w:sz w:val="20"/>
        </w:rPr>
        <w:t>K82.0,</w:t>
      </w:r>
      <w:r>
        <w:rPr>
          <w:spacing w:val="-5"/>
          <w:sz w:val="20"/>
        </w:rPr>
        <w:t> </w:t>
      </w:r>
      <w:r>
        <w:rPr>
          <w:sz w:val="20"/>
        </w:rPr>
        <w:t>K82.1,</w:t>
      </w:r>
      <w:r>
        <w:rPr>
          <w:spacing w:val="-6"/>
          <w:sz w:val="20"/>
        </w:rPr>
        <w:t> </w:t>
      </w:r>
      <w:r>
        <w:rPr>
          <w:sz w:val="20"/>
        </w:rPr>
        <w:t>K82.2,</w:t>
      </w:r>
      <w:r>
        <w:rPr>
          <w:spacing w:val="-5"/>
          <w:sz w:val="20"/>
        </w:rPr>
        <w:t> </w:t>
      </w:r>
      <w:r>
        <w:rPr>
          <w:sz w:val="20"/>
        </w:rPr>
        <w:t>K82.3,</w:t>
      </w:r>
      <w:r>
        <w:rPr>
          <w:spacing w:val="-6"/>
          <w:sz w:val="20"/>
        </w:rPr>
        <w:t> </w:t>
      </w:r>
      <w:r>
        <w:rPr>
          <w:spacing w:val="-2"/>
          <w:sz w:val="20"/>
        </w:rPr>
        <w:t>K82.4,</w:t>
      </w:r>
    </w:p>
    <w:p>
      <w:pPr>
        <w:spacing w:before="1"/>
        <w:ind w:left="4605" w:right="0" w:firstLine="0"/>
        <w:jc w:val="left"/>
        <w:rPr>
          <w:sz w:val="20"/>
        </w:rPr>
      </w:pPr>
      <w:r>
        <w:rPr>
          <w:sz w:val="20"/>
        </w:rPr>
        <w:t>K82.8,</w:t>
      </w:r>
      <w:r>
        <w:rPr>
          <w:spacing w:val="-6"/>
          <w:sz w:val="20"/>
        </w:rPr>
        <w:t> </w:t>
      </w:r>
      <w:r>
        <w:rPr>
          <w:sz w:val="20"/>
        </w:rPr>
        <w:t>K82.9,</w:t>
      </w:r>
      <w:r>
        <w:rPr>
          <w:spacing w:val="-7"/>
          <w:sz w:val="20"/>
        </w:rPr>
        <w:t> </w:t>
      </w:r>
      <w:r>
        <w:rPr>
          <w:sz w:val="20"/>
        </w:rPr>
        <w:t>K83,</w:t>
      </w:r>
      <w:r>
        <w:rPr>
          <w:spacing w:val="-5"/>
          <w:sz w:val="20"/>
        </w:rPr>
        <w:t> </w:t>
      </w:r>
      <w:r>
        <w:rPr>
          <w:sz w:val="20"/>
        </w:rPr>
        <w:t>K83.0,</w:t>
      </w:r>
      <w:r>
        <w:rPr>
          <w:spacing w:val="-5"/>
          <w:sz w:val="20"/>
        </w:rPr>
        <w:t> </w:t>
      </w:r>
      <w:r>
        <w:rPr>
          <w:sz w:val="20"/>
        </w:rPr>
        <w:t>K83.1,</w:t>
      </w:r>
      <w:r>
        <w:rPr>
          <w:spacing w:val="-5"/>
          <w:sz w:val="20"/>
        </w:rPr>
        <w:t> </w:t>
      </w:r>
      <w:r>
        <w:rPr>
          <w:sz w:val="20"/>
        </w:rPr>
        <w:t>K83.2,</w:t>
      </w:r>
      <w:r>
        <w:rPr>
          <w:spacing w:val="-6"/>
          <w:sz w:val="20"/>
        </w:rPr>
        <w:t> </w:t>
      </w:r>
      <w:r>
        <w:rPr>
          <w:spacing w:val="-2"/>
          <w:sz w:val="20"/>
        </w:rPr>
        <w:t>K83.3,</w:t>
      </w:r>
    </w:p>
    <w:p>
      <w:pPr>
        <w:spacing w:before="0"/>
        <w:ind w:left="4602" w:right="0" w:firstLine="0"/>
        <w:jc w:val="left"/>
        <w:rPr>
          <w:sz w:val="20"/>
        </w:rPr>
      </w:pPr>
      <w:r>
        <w:rPr>
          <w:sz w:val="20"/>
        </w:rPr>
        <w:t>K83.4,</w:t>
      </w:r>
      <w:r>
        <w:rPr>
          <w:spacing w:val="-4"/>
          <w:sz w:val="20"/>
        </w:rPr>
        <w:t> </w:t>
      </w:r>
      <w:r>
        <w:rPr>
          <w:sz w:val="20"/>
        </w:rPr>
        <w:t>K83.5,</w:t>
      </w:r>
      <w:r>
        <w:rPr>
          <w:spacing w:val="-6"/>
          <w:sz w:val="20"/>
        </w:rPr>
        <w:t> </w:t>
      </w:r>
      <w:r>
        <w:rPr>
          <w:sz w:val="20"/>
        </w:rPr>
        <w:t>K83.8,</w:t>
      </w:r>
      <w:r>
        <w:rPr>
          <w:spacing w:val="-4"/>
          <w:sz w:val="20"/>
        </w:rPr>
        <w:t> </w:t>
      </w:r>
      <w:r>
        <w:rPr>
          <w:sz w:val="20"/>
        </w:rPr>
        <w:t>K83.9,</w:t>
      </w:r>
      <w:r>
        <w:rPr>
          <w:spacing w:val="-6"/>
          <w:sz w:val="20"/>
        </w:rPr>
        <w:t> </w:t>
      </w:r>
      <w:r>
        <w:rPr>
          <w:sz w:val="20"/>
        </w:rPr>
        <w:t>K85,</w:t>
      </w:r>
      <w:r>
        <w:rPr>
          <w:spacing w:val="1"/>
          <w:sz w:val="20"/>
        </w:rPr>
        <w:t> </w:t>
      </w:r>
      <w:r>
        <w:rPr>
          <w:sz w:val="20"/>
        </w:rPr>
        <w:t>K85.0,</w:t>
      </w:r>
      <w:r>
        <w:rPr>
          <w:spacing w:val="-4"/>
          <w:sz w:val="20"/>
        </w:rPr>
        <w:t> </w:t>
      </w:r>
      <w:r>
        <w:rPr>
          <w:spacing w:val="-2"/>
          <w:sz w:val="20"/>
        </w:rPr>
        <w:t>K85.1,</w:t>
      </w:r>
    </w:p>
    <w:p>
      <w:pPr>
        <w:spacing w:line="229" w:lineRule="exact" w:before="1"/>
        <w:ind w:left="4602" w:right="0" w:firstLine="0"/>
        <w:jc w:val="left"/>
        <w:rPr>
          <w:sz w:val="20"/>
        </w:rPr>
      </w:pPr>
      <w:r>
        <w:rPr>
          <w:sz w:val="20"/>
        </w:rPr>
        <w:t>K85.2,</w:t>
      </w:r>
      <w:r>
        <w:rPr>
          <w:spacing w:val="-4"/>
          <w:sz w:val="20"/>
        </w:rPr>
        <w:t> </w:t>
      </w:r>
      <w:r>
        <w:rPr>
          <w:sz w:val="20"/>
        </w:rPr>
        <w:t>K85.3,</w:t>
      </w:r>
      <w:r>
        <w:rPr>
          <w:spacing w:val="-6"/>
          <w:sz w:val="20"/>
        </w:rPr>
        <w:t> </w:t>
      </w:r>
      <w:r>
        <w:rPr>
          <w:sz w:val="20"/>
        </w:rPr>
        <w:t>K85.8,</w:t>
      </w:r>
      <w:r>
        <w:rPr>
          <w:spacing w:val="-4"/>
          <w:sz w:val="20"/>
        </w:rPr>
        <w:t> </w:t>
      </w:r>
      <w:r>
        <w:rPr>
          <w:sz w:val="20"/>
        </w:rPr>
        <w:t>K85.9,</w:t>
      </w:r>
      <w:r>
        <w:rPr>
          <w:spacing w:val="-6"/>
          <w:sz w:val="20"/>
        </w:rPr>
        <w:t> </w:t>
      </w:r>
      <w:r>
        <w:rPr>
          <w:sz w:val="20"/>
        </w:rPr>
        <w:t>K86,</w:t>
      </w:r>
      <w:r>
        <w:rPr>
          <w:spacing w:val="-4"/>
          <w:sz w:val="20"/>
        </w:rPr>
        <w:t> </w:t>
      </w:r>
      <w:r>
        <w:rPr>
          <w:sz w:val="20"/>
        </w:rPr>
        <w:t>K86.0,</w:t>
      </w:r>
      <w:r>
        <w:rPr>
          <w:spacing w:val="-4"/>
          <w:sz w:val="20"/>
        </w:rPr>
        <w:t> </w:t>
      </w:r>
      <w:r>
        <w:rPr>
          <w:spacing w:val="-2"/>
          <w:sz w:val="20"/>
        </w:rPr>
        <w:t>K86.1,</w:t>
      </w:r>
    </w:p>
    <w:p>
      <w:pPr>
        <w:spacing w:line="229" w:lineRule="exact" w:before="0"/>
        <w:ind w:left="4602" w:right="0" w:firstLine="0"/>
        <w:jc w:val="left"/>
        <w:rPr>
          <w:sz w:val="20"/>
        </w:rPr>
      </w:pPr>
      <w:r>
        <w:rPr>
          <w:sz w:val="20"/>
        </w:rPr>
        <w:t>K86.2,</w:t>
      </w:r>
      <w:r>
        <w:rPr>
          <w:spacing w:val="-5"/>
          <w:sz w:val="20"/>
        </w:rPr>
        <w:t> </w:t>
      </w:r>
      <w:r>
        <w:rPr>
          <w:sz w:val="20"/>
        </w:rPr>
        <w:t>K86.3,</w:t>
      </w:r>
      <w:r>
        <w:rPr>
          <w:spacing w:val="-5"/>
          <w:sz w:val="20"/>
        </w:rPr>
        <w:t> </w:t>
      </w:r>
      <w:r>
        <w:rPr>
          <w:sz w:val="20"/>
        </w:rPr>
        <w:t>K86.8,</w:t>
      </w:r>
      <w:r>
        <w:rPr>
          <w:spacing w:val="-4"/>
          <w:sz w:val="20"/>
        </w:rPr>
        <w:t> </w:t>
      </w:r>
      <w:r>
        <w:rPr>
          <w:sz w:val="20"/>
        </w:rPr>
        <w:t>K86.9,</w:t>
      </w:r>
      <w:r>
        <w:rPr>
          <w:spacing w:val="-6"/>
          <w:sz w:val="20"/>
        </w:rPr>
        <w:t> </w:t>
      </w:r>
      <w:r>
        <w:rPr>
          <w:sz w:val="20"/>
        </w:rPr>
        <w:t>K87.0,</w:t>
      </w:r>
      <w:r>
        <w:rPr>
          <w:spacing w:val="-4"/>
          <w:sz w:val="20"/>
        </w:rPr>
        <w:t> </w:t>
      </w:r>
      <w:r>
        <w:rPr>
          <w:sz w:val="20"/>
        </w:rPr>
        <w:t>K87.1,</w:t>
      </w:r>
      <w:r>
        <w:rPr>
          <w:spacing w:val="-6"/>
          <w:sz w:val="20"/>
        </w:rPr>
        <w:t> </w:t>
      </w:r>
      <w:r>
        <w:rPr>
          <w:spacing w:val="-4"/>
          <w:sz w:val="20"/>
        </w:rPr>
        <w:t>K90,</w:t>
      </w:r>
    </w:p>
    <w:p>
      <w:pPr>
        <w:spacing w:before="0"/>
        <w:ind w:left="1162" w:right="4154" w:firstLine="0"/>
        <w:jc w:val="center"/>
        <w:rPr>
          <w:sz w:val="20"/>
        </w:rPr>
      </w:pPr>
      <w:r>
        <w:rPr>
          <w:sz w:val="20"/>
        </w:rPr>
        <w:t>K90.0,</w:t>
      </w:r>
      <w:r>
        <w:rPr>
          <w:spacing w:val="-4"/>
          <w:sz w:val="20"/>
        </w:rPr>
        <w:t> </w:t>
      </w:r>
      <w:r>
        <w:rPr>
          <w:sz w:val="20"/>
        </w:rPr>
        <w:t>K90.1,</w:t>
      </w:r>
      <w:r>
        <w:rPr>
          <w:spacing w:val="-6"/>
          <w:sz w:val="20"/>
        </w:rPr>
        <w:t> </w:t>
      </w:r>
      <w:r>
        <w:rPr>
          <w:sz w:val="20"/>
        </w:rPr>
        <w:t>K90.2,</w:t>
      </w:r>
      <w:r>
        <w:rPr>
          <w:spacing w:val="-4"/>
          <w:sz w:val="20"/>
        </w:rPr>
        <w:t> </w:t>
      </w:r>
      <w:r>
        <w:rPr>
          <w:sz w:val="20"/>
        </w:rPr>
        <w:t>K90.3,</w:t>
      </w:r>
      <w:r>
        <w:rPr>
          <w:spacing w:val="-6"/>
          <w:sz w:val="20"/>
        </w:rPr>
        <w:t> </w:t>
      </w:r>
      <w:r>
        <w:rPr>
          <w:sz w:val="20"/>
        </w:rPr>
        <w:t>K90.4,</w:t>
      </w:r>
      <w:r>
        <w:rPr>
          <w:spacing w:val="-4"/>
          <w:sz w:val="20"/>
        </w:rPr>
        <w:t> </w:t>
      </w:r>
      <w:r>
        <w:rPr>
          <w:spacing w:val="-2"/>
          <w:sz w:val="20"/>
        </w:rPr>
        <w:t>K90.8,</w:t>
      </w:r>
    </w:p>
    <w:p>
      <w:pPr>
        <w:spacing w:before="1"/>
        <w:ind w:left="1161" w:right="4154" w:firstLine="0"/>
        <w:jc w:val="center"/>
        <w:rPr>
          <w:sz w:val="20"/>
        </w:rPr>
      </w:pPr>
      <w:r>
        <w:rPr>
          <w:sz w:val="20"/>
        </w:rPr>
        <w:t>K90.9,</w:t>
      </w:r>
      <w:r>
        <w:rPr>
          <w:spacing w:val="-6"/>
          <w:sz w:val="20"/>
        </w:rPr>
        <w:t> </w:t>
      </w:r>
      <w:r>
        <w:rPr>
          <w:sz w:val="20"/>
        </w:rPr>
        <w:t>K91,</w:t>
      </w:r>
      <w:r>
        <w:rPr>
          <w:spacing w:val="-6"/>
          <w:sz w:val="20"/>
        </w:rPr>
        <w:t> </w:t>
      </w:r>
      <w:r>
        <w:rPr>
          <w:sz w:val="20"/>
        </w:rPr>
        <w:t>K91.0,</w:t>
      </w:r>
      <w:r>
        <w:rPr>
          <w:spacing w:val="-5"/>
          <w:sz w:val="20"/>
        </w:rPr>
        <w:t> </w:t>
      </w:r>
      <w:r>
        <w:rPr>
          <w:sz w:val="20"/>
        </w:rPr>
        <w:t>K91.1,</w:t>
      </w:r>
      <w:r>
        <w:rPr>
          <w:spacing w:val="-6"/>
          <w:sz w:val="20"/>
        </w:rPr>
        <w:t> </w:t>
      </w:r>
      <w:r>
        <w:rPr>
          <w:sz w:val="20"/>
        </w:rPr>
        <w:t>K91.2,</w:t>
      </w:r>
      <w:r>
        <w:rPr>
          <w:spacing w:val="-5"/>
          <w:sz w:val="20"/>
        </w:rPr>
        <w:t> </w:t>
      </w:r>
      <w:r>
        <w:rPr>
          <w:sz w:val="20"/>
        </w:rPr>
        <w:t>K91.3,</w:t>
      </w:r>
      <w:r>
        <w:rPr>
          <w:spacing w:val="-6"/>
          <w:sz w:val="20"/>
        </w:rPr>
        <w:t> </w:t>
      </w:r>
      <w:r>
        <w:rPr>
          <w:spacing w:val="-2"/>
          <w:sz w:val="20"/>
        </w:rPr>
        <w:t>K91.4,</w:t>
      </w:r>
    </w:p>
    <w:p>
      <w:pPr>
        <w:spacing w:before="0"/>
        <w:ind w:left="1161" w:right="4154" w:firstLine="0"/>
        <w:jc w:val="center"/>
        <w:rPr>
          <w:sz w:val="20"/>
        </w:rPr>
      </w:pPr>
      <w:r>
        <w:rPr>
          <w:sz w:val="20"/>
        </w:rPr>
        <w:t>K91.5,</w:t>
      </w:r>
      <w:r>
        <w:rPr>
          <w:spacing w:val="-6"/>
          <w:sz w:val="20"/>
        </w:rPr>
        <w:t> </w:t>
      </w:r>
      <w:r>
        <w:rPr>
          <w:sz w:val="20"/>
        </w:rPr>
        <w:t>K91.8,</w:t>
      </w:r>
      <w:r>
        <w:rPr>
          <w:spacing w:val="-6"/>
          <w:sz w:val="20"/>
        </w:rPr>
        <w:t> </w:t>
      </w:r>
      <w:r>
        <w:rPr>
          <w:sz w:val="20"/>
        </w:rPr>
        <w:t>K91.9,</w:t>
      </w:r>
      <w:r>
        <w:rPr>
          <w:spacing w:val="-5"/>
          <w:sz w:val="20"/>
        </w:rPr>
        <w:t> </w:t>
      </w:r>
      <w:r>
        <w:rPr>
          <w:sz w:val="20"/>
        </w:rPr>
        <w:t>K92,</w:t>
      </w:r>
      <w:r>
        <w:rPr>
          <w:spacing w:val="-6"/>
          <w:sz w:val="20"/>
        </w:rPr>
        <w:t> </w:t>
      </w:r>
      <w:r>
        <w:rPr>
          <w:sz w:val="20"/>
        </w:rPr>
        <w:t>K92.0,</w:t>
      </w:r>
      <w:r>
        <w:rPr>
          <w:spacing w:val="-5"/>
          <w:sz w:val="20"/>
        </w:rPr>
        <w:t> </w:t>
      </w:r>
      <w:r>
        <w:rPr>
          <w:sz w:val="20"/>
        </w:rPr>
        <w:t>K92.1,</w:t>
      </w:r>
      <w:r>
        <w:rPr>
          <w:spacing w:val="-5"/>
          <w:sz w:val="20"/>
        </w:rPr>
        <w:t> </w:t>
      </w:r>
      <w:r>
        <w:rPr>
          <w:spacing w:val="-2"/>
          <w:sz w:val="20"/>
        </w:rPr>
        <w:t>K92.2,</w:t>
      </w:r>
    </w:p>
    <w:p>
      <w:pPr>
        <w:spacing w:before="1"/>
        <w:ind w:left="1163" w:right="4154" w:firstLine="0"/>
        <w:jc w:val="center"/>
        <w:rPr>
          <w:sz w:val="20"/>
        </w:rPr>
      </w:pPr>
      <w:r>
        <w:rPr>
          <w:sz w:val="20"/>
        </w:rPr>
        <w:t>K92.8,</w:t>
      </w:r>
      <w:r>
        <w:rPr>
          <w:spacing w:val="-6"/>
          <w:sz w:val="20"/>
        </w:rPr>
        <w:t> </w:t>
      </w:r>
      <w:r>
        <w:rPr>
          <w:sz w:val="20"/>
        </w:rPr>
        <w:t>K92.9,</w:t>
      </w:r>
      <w:r>
        <w:rPr>
          <w:spacing w:val="-6"/>
          <w:sz w:val="20"/>
        </w:rPr>
        <w:t> </w:t>
      </w:r>
      <w:r>
        <w:rPr>
          <w:sz w:val="20"/>
        </w:rPr>
        <w:t>K93,</w:t>
      </w:r>
      <w:r>
        <w:rPr>
          <w:spacing w:val="-5"/>
          <w:sz w:val="20"/>
        </w:rPr>
        <w:t> </w:t>
      </w:r>
      <w:r>
        <w:rPr>
          <w:sz w:val="20"/>
        </w:rPr>
        <w:t>K93.0,</w:t>
      </w:r>
      <w:r>
        <w:rPr>
          <w:spacing w:val="-6"/>
          <w:sz w:val="20"/>
        </w:rPr>
        <w:t> </w:t>
      </w:r>
      <w:r>
        <w:rPr>
          <w:sz w:val="20"/>
        </w:rPr>
        <w:t>K93.1,</w:t>
      </w:r>
      <w:r>
        <w:rPr>
          <w:spacing w:val="-5"/>
          <w:sz w:val="20"/>
        </w:rPr>
        <w:t> </w:t>
      </w:r>
      <w:r>
        <w:rPr>
          <w:sz w:val="20"/>
        </w:rPr>
        <w:t>K93.8,</w:t>
      </w:r>
      <w:r>
        <w:rPr>
          <w:spacing w:val="-5"/>
          <w:sz w:val="20"/>
        </w:rPr>
        <w:t> </w:t>
      </w:r>
      <w:r>
        <w:rPr>
          <w:spacing w:val="-4"/>
          <w:sz w:val="20"/>
        </w:rPr>
        <w:t>Q39,</w:t>
      </w:r>
    </w:p>
    <w:p>
      <w:pPr>
        <w:spacing w:line="229" w:lineRule="exact" w:before="0"/>
        <w:ind w:left="1162" w:right="4154" w:firstLine="0"/>
        <w:jc w:val="center"/>
        <w:rPr>
          <w:sz w:val="20"/>
        </w:rPr>
      </w:pPr>
      <w:r>
        <w:rPr>
          <w:sz w:val="20"/>
        </w:rPr>
        <w:t>Q39.0,</w:t>
      </w:r>
      <w:r>
        <w:rPr>
          <w:spacing w:val="-4"/>
          <w:sz w:val="20"/>
        </w:rPr>
        <w:t> </w:t>
      </w:r>
      <w:r>
        <w:rPr>
          <w:sz w:val="20"/>
        </w:rPr>
        <w:t>Q39.1,</w:t>
      </w:r>
      <w:r>
        <w:rPr>
          <w:spacing w:val="-6"/>
          <w:sz w:val="20"/>
        </w:rPr>
        <w:t> </w:t>
      </w:r>
      <w:r>
        <w:rPr>
          <w:sz w:val="20"/>
        </w:rPr>
        <w:t>Q39.2,</w:t>
      </w:r>
      <w:r>
        <w:rPr>
          <w:spacing w:val="-4"/>
          <w:sz w:val="20"/>
        </w:rPr>
        <w:t> </w:t>
      </w:r>
      <w:r>
        <w:rPr>
          <w:sz w:val="20"/>
        </w:rPr>
        <w:t>Q39.3,</w:t>
      </w:r>
      <w:r>
        <w:rPr>
          <w:spacing w:val="-6"/>
          <w:sz w:val="20"/>
        </w:rPr>
        <w:t> </w:t>
      </w:r>
      <w:r>
        <w:rPr>
          <w:sz w:val="20"/>
        </w:rPr>
        <w:t>Q39.4,</w:t>
      </w:r>
      <w:r>
        <w:rPr>
          <w:spacing w:val="-4"/>
          <w:sz w:val="20"/>
        </w:rPr>
        <w:t> </w:t>
      </w:r>
      <w:r>
        <w:rPr>
          <w:spacing w:val="-2"/>
          <w:sz w:val="20"/>
        </w:rPr>
        <w:t>Q39.5,</w:t>
      </w:r>
    </w:p>
    <w:p>
      <w:pPr>
        <w:spacing w:line="229" w:lineRule="exact" w:before="0"/>
        <w:ind w:left="1161" w:right="4154" w:firstLine="0"/>
        <w:jc w:val="center"/>
        <w:rPr>
          <w:sz w:val="20"/>
        </w:rPr>
      </w:pPr>
      <w:r>
        <w:rPr>
          <w:sz w:val="20"/>
        </w:rPr>
        <w:t>Q39.6,</w:t>
      </w:r>
      <w:r>
        <w:rPr>
          <w:spacing w:val="-6"/>
          <w:sz w:val="20"/>
        </w:rPr>
        <w:t> </w:t>
      </w:r>
      <w:r>
        <w:rPr>
          <w:sz w:val="20"/>
        </w:rPr>
        <w:t>Q39.8,</w:t>
      </w:r>
      <w:r>
        <w:rPr>
          <w:spacing w:val="-6"/>
          <w:sz w:val="20"/>
        </w:rPr>
        <w:t> </w:t>
      </w:r>
      <w:r>
        <w:rPr>
          <w:sz w:val="20"/>
        </w:rPr>
        <w:t>Q39.9,</w:t>
      </w:r>
      <w:r>
        <w:rPr>
          <w:spacing w:val="-5"/>
          <w:sz w:val="20"/>
        </w:rPr>
        <w:t> </w:t>
      </w:r>
      <w:r>
        <w:rPr>
          <w:sz w:val="20"/>
        </w:rPr>
        <w:t>Q40,</w:t>
      </w:r>
      <w:r>
        <w:rPr>
          <w:spacing w:val="-6"/>
          <w:sz w:val="20"/>
        </w:rPr>
        <w:t> </w:t>
      </w:r>
      <w:r>
        <w:rPr>
          <w:sz w:val="20"/>
        </w:rPr>
        <w:t>Q40.0,</w:t>
      </w:r>
      <w:r>
        <w:rPr>
          <w:spacing w:val="-5"/>
          <w:sz w:val="20"/>
        </w:rPr>
        <w:t> </w:t>
      </w:r>
      <w:r>
        <w:rPr>
          <w:sz w:val="20"/>
        </w:rPr>
        <w:t>Q40.1,</w:t>
      </w:r>
      <w:r>
        <w:rPr>
          <w:spacing w:val="-5"/>
          <w:sz w:val="20"/>
        </w:rPr>
        <w:t> </w:t>
      </w:r>
      <w:r>
        <w:rPr>
          <w:spacing w:val="-2"/>
          <w:sz w:val="20"/>
        </w:rPr>
        <w:t>Q40.2,</w:t>
      </w:r>
    </w:p>
    <w:p>
      <w:pPr>
        <w:spacing w:before="1"/>
        <w:ind w:left="1161" w:right="4154" w:firstLine="0"/>
        <w:jc w:val="center"/>
        <w:rPr>
          <w:sz w:val="20"/>
        </w:rPr>
      </w:pPr>
      <w:r>
        <w:rPr>
          <w:sz w:val="20"/>
        </w:rPr>
        <w:t>Q40.3,</w:t>
      </w:r>
      <w:r>
        <w:rPr>
          <w:spacing w:val="-6"/>
          <w:sz w:val="20"/>
        </w:rPr>
        <w:t> </w:t>
      </w:r>
      <w:r>
        <w:rPr>
          <w:sz w:val="20"/>
        </w:rPr>
        <w:t>Q40.8,</w:t>
      </w:r>
      <w:r>
        <w:rPr>
          <w:spacing w:val="-6"/>
          <w:sz w:val="20"/>
        </w:rPr>
        <w:t> </w:t>
      </w:r>
      <w:r>
        <w:rPr>
          <w:sz w:val="20"/>
        </w:rPr>
        <w:t>Q40.9,</w:t>
      </w:r>
      <w:r>
        <w:rPr>
          <w:spacing w:val="-5"/>
          <w:sz w:val="20"/>
        </w:rPr>
        <w:t> </w:t>
      </w:r>
      <w:r>
        <w:rPr>
          <w:sz w:val="20"/>
        </w:rPr>
        <w:t>Q41,</w:t>
      </w:r>
      <w:r>
        <w:rPr>
          <w:spacing w:val="-6"/>
          <w:sz w:val="20"/>
        </w:rPr>
        <w:t> </w:t>
      </w:r>
      <w:r>
        <w:rPr>
          <w:sz w:val="20"/>
        </w:rPr>
        <w:t>Q41.0,</w:t>
      </w:r>
      <w:r>
        <w:rPr>
          <w:spacing w:val="-5"/>
          <w:sz w:val="20"/>
        </w:rPr>
        <w:t> </w:t>
      </w:r>
      <w:r>
        <w:rPr>
          <w:sz w:val="20"/>
        </w:rPr>
        <w:t>Q41.1,</w:t>
      </w:r>
      <w:r>
        <w:rPr>
          <w:spacing w:val="-5"/>
          <w:sz w:val="20"/>
        </w:rPr>
        <w:t> </w:t>
      </w:r>
      <w:r>
        <w:rPr>
          <w:spacing w:val="-2"/>
          <w:sz w:val="20"/>
        </w:rPr>
        <w:t>Q41.2,</w:t>
      </w:r>
    </w:p>
    <w:p>
      <w:pPr>
        <w:spacing w:before="0"/>
        <w:ind w:left="1161" w:right="4154" w:firstLine="0"/>
        <w:jc w:val="center"/>
        <w:rPr>
          <w:sz w:val="20"/>
        </w:rPr>
      </w:pPr>
      <w:r>
        <w:rPr>
          <w:sz w:val="20"/>
        </w:rPr>
        <w:t>Q41.8,</w:t>
      </w:r>
      <w:r>
        <w:rPr>
          <w:spacing w:val="-6"/>
          <w:sz w:val="20"/>
        </w:rPr>
        <w:t> </w:t>
      </w:r>
      <w:r>
        <w:rPr>
          <w:sz w:val="20"/>
        </w:rPr>
        <w:t>Q41.9,</w:t>
      </w:r>
      <w:r>
        <w:rPr>
          <w:spacing w:val="-7"/>
          <w:sz w:val="20"/>
        </w:rPr>
        <w:t> </w:t>
      </w:r>
      <w:r>
        <w:rPr>
          <w:sz w:val="20"/>
        </w:rPr>
        <w:t>Q42,</w:t>
      </w:r>
      <w:r>
        <w:rPr>
          <w:spacing w:val="-5"/>
          <w:sz w:val="20"/>
        </w:rPr>
        <w:t> </w:t>
      </w:r>
      <w:r>
        <w:rPr>
          <w:sz w:val="20"/>
        </w:rPr>
        <w:t>Q42.0,</w:t>
      </w:r>
      <w:r>
        <w:rPr>
          <w:spacing w:val="-5"/>
          <w:sz w:val="20"/>
        </w:rPr>
        <w:t> </w:t>
      </w:r>
      <w:r>
        <w:rPr>
          <w:sz w:val="20"/>
        </w:rPr>
        <w:t>Q42.1,</w:t>
      </w:r>
      <w:r>
        <w:rPr>
          <w:spacing w:val="-5"/>
          <w:sz w:val="20"/>
        </w:rPr>
        <w:t> </w:t>
      </w:r>
      <w:r>
        <w:rPr>
          <w:sz w:val="20"/>
        </w:rPr>
        <w:t>Q42.2,</w:t>
      </w:r>
      <w:r>
        <w:rPr>
          <w:spacing w:val="-6"/>
          <w:sz w:val="20"/>
        </w:rPr>
        <w:t> </w:t>
      </w:r>
      <w:r>
        <w:rPr>
          <w:spacing w:val="-2"/>
          <w:sz w:val="20"/>
        </w:rPr>
        <w:t>Q42.3,</w:t>
      </w:r>
    </w:p>
    <w:p>
      <w:pPr>
        <w:spacing w:before="1"/>
        <w:ind w:left="1167" w:right="4154" w:firstLine="0"/>
        <w:jc w:val="center"/>
        <w:rPr>
          <w:sz w:val="20"/>
        </w:rPr>
      </w:pPr>
      <w:r>
        <w:rPr>
          <w:sz w:val="20"/>
        </w:rPr>
        <w:t>Q42.8,</w:t>
      </w:r>
      <w:r>
        <w:rPr>
          <w:spacing w:val="-6"/>
          <w:sz w:val="20"/>
        </w:rPr>
        <w:t> </w:t>
      </w:r>
      <w:r>
        <w:rPr>
          <w:sz w:val="20"/>
        </w:rPr>
        <w:t>Q42.9,</w:t>
      </w:r>
      <w:r>
        <w:rPr>
          <w:spacing w:val="-7"/>
          <w:sz w:val="20"/>
        </w:rPr>
        <w:t> </w:t>
      </w:r>
      <w:r>
        <w:rPr>
          <w:sz w:val="20"/>
        </w:rPr>
        <w:t>Q43,</w:t>
      </w:r>
      <w:r>
        <w:rPr>
          <w:spacing w:val="-5"/>
          <w:sz w:val="20"/>
        </w:rPr>
        <w:t> </w:t>
      </w:r>
      <w:r>
        <w:rPr>
          <w:sz w:val="20"/>
        </w:rPr>
        <w:t>Q43.0,</w:t>
      </w:r>
      <w:r>
        <w:rPr>
          <w:spacing w:val="-5"/>
          <w:sz w:val="20"/>
        </w:rPr>
        <w:t> </w:t>
      </w:r>
      <w:r>
        <w:rPr>
          <w:sz w:val="20"/>
        </w:rPr>
        <w:t>Q43.1,</w:t>
      </w:r>
      <w:r>
        <w:rPr>
          <w:spacing w:val="-5"/>
          <w:sz w:val="20"/>
        </w:rPr>
        <w:t> </w:t>
      </w:r>
      <w:r>
        <w:rPr>
          <w:sz w:val="20"/>
        </w:rPr>
        <w:t>Q43.2, </w:t>
      </w:r>
      <w:r>
        <w:rPr>
          <w:spacing w:val="-2"/>
          <w:sz w:val="20"/>
        </w:rPr>
        <w:t>Q43.3,</w:t>
      </w:r>
    </w:p>
    <w:p>
      <w:pPr>
        <w:spacing w:before="0"/>
        <w:ind w:left="1159" w:right="4154" w:firstLine="0"/>
        <w:jc w:val="center"/>
        <w:rPr>
          <w:sz w:val="20"/>
        </w:rPr>
      </w:pPr>
      <w:r>
        <w:rPr>
          <w:sz w:val="20"/>
        </w:rPr>
        <w:t>Q43.4,</w:t>
      </w:r>
      <w:r>
        <w:rPr>
          <w:spacing w:val="-5"/>
          <w:sz w:val="20"/>
        </w:rPr>
        <w:t> </w:t>
      </w:r>
      <w:r>
        <w:rPr>
          <w:sz w:val="20"/>
        </w:rPr>
        <w:t>Q43.5,</w:t>
      </w:r>
      <w:r>
        <w:rPr>
          <w:spacing w:val="-5"/>
          <w:sz w:val="20"/>
        </w:rPr>
        <w:t> </w:t>
      </w:r>
      <w:r>
        <w:rPr>
          <w:sz w:val="20"/>
        </w:rPr>
        <w:t>Q43.6,</w:t>
      </w:r>
      <w:r>
        <w:rPr>
          <w:spacing w:val="-4"/>
          <w:sz w:val="20"/>
        </w:rPr>
        <w:t> </w:t>
      </w:r>
      <w:r>
        <w:rPr>
          <w:sz w:val="20"/>
        </w:rPr>
        <w:t>Q43.7,</w:t>
      </w:r>
      <w:r>
        <w:rPr>
          <w:spacing w:val="-6"/>
          <w:sz w:val="20"/>
        </w:rPr>
        <w:t> </w:t>
      </w:r>
      <w:r>
        <w:rPr>
          <w:sz w:val="20"/>
        </w:rPr>
        <w:t>Q43.8,</w:t>
      </w:r>
      <w:r>
        <w:rPr>
          <w:spacing w:val="-4"/>
          <w:sz w:val="20"/>
        </w:rPr>
        <w:t> </w:t>
      </w:r>
      <w:r>
        <w:rPr>
          <w:sz w:val="20"/>
        </w:rPr>
        <w:t>Q43.9,</w:t>
      </w:r>
      <w:r>
        <w:rPr>
          <w:spacing w:val="-6"/>
          <w:sz w:val="20"/>
        </w:rPr>
        <w:t> </w:t>
      </w:r>
      <w:r>
        <w:rPr>
          <w:spacing w:val="-4"/>
          <w:sz w:val="20"/>
        </w:rPr>
        <w:t>Q44,</w:t>
      </w:r>
    </w:p>
    <w:p>
      <w:pPr>
        <w:spacing w:before="0"/>
        <w:ind w:left="1162" w:right="4154" w:firstLine="0"/>
        <w:jc w:val="center"/>
        <w:rPr>
          <w:sz w:val="20"/>
        </w:rPr>
      </w:pPr>
      <w:r>
        <w:rPr>
          <w:sz w:val="20"/>
        </w:rPr>
        <w:t>Q44.0,</w:t>
      </w:r>
      <w:r>
        <w:rPr>
          <w:spacing w:val="-4"/>
          <w:sz w:val="20"/>
        </w:rPr>
        <w:t> </w:t>
      </w:r>
      <w:r>
        <w:rPr>
          <w:sz w:val="20"/>
        </w:rPr>
        <w:t>Q44.1,</w:t>
      </w:r>
      <w:r>
        <w:rPr>
          <w:spacing w:val="-6"/>
          <w:sz w:val="20"/>
        </w:rPr>
        <w:t> </w:t>
      </w:r>
      <w:r>
        <w:rPr>
          <w:sz w:val="20"/>
        </w:rPr>
        <w:t>Q44.2,</w:t>
      </w:r>
      <w:r>
        <w:rPr>
          <w:spacing w:val="-4"/>
          <w:sz w:val="20"/>
        </w:rPr>
        <w:t> </w:t>
      </w:r>
      <w:r>
        <w:rPr>
          <w:sz w:val="20"/>
        </w:rPr>
        <w:t>Q44.3,</w:t>
      </w:r>
      <w:r>
        <w:rPr>
          <w:spacing w:val="-6"/>
          <w:sz w:val="20"/>
        </w:rPr>
        <w:t> </w:t>
      </w:r>
      <w:r>
        <w:rPr>
          <w:sz w:val="20"/>
        </w:rPr>
        <w:t>Q44.4,</w:t>
      </w:r>
      <w:r>
        <w:rPr>
          <w:spacing w:val="-4"/>
          <w:sz w:val="20"/>
        </w:rPr>
        <w:t> </w:t>
      </w:r>
      <w:r>
        <w:rPr>
          <w:spacing w:val="-2"/>
          <w:sz w:val="20"/>
        </w:rPr>
        <w:t>Q44.5,</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43"/>
        <w:gridCol w:w="5249"/>
        <w:gridCol w:w="2240"/>
        <w:gridCol w:w="2325"/>
        <w:gridCol w:w="1260"/>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543" w:type="dxa"/>
            <w:vMerge w:val="restart"/>
          </w:tcPr>
          <w:p>
            <w:pPr>
              <w:pStyle w:val="TableParagraph"/>
              <w:rPr>
                <w:sz w:val="18"/>
              </w:rPr>
            </w:pPr>
          </w:p>
        </w:tc>
        <w:tc>
          <w:tcPr>
            <w:tcW w:w="5249" w:type="dxa"/>
          </w:tcPr>
          <w:p>
            <w:pPr>
              <w:pStyle w:val="TableParagraph"/>
              <w:spacing w:line="205" w:lineRule="exact"/>
              <w:ind w:left="418"/>
              <w:rPr>
                <w:sz w:val="20"/>
              </w:rPr>
            </w:pPr>
            <w:r>
              <w:rPr>
                <w:sz w:val="20"/>
              </w:rPr>
              <w:t>Q44.6,</w:t>
            </w:r>
            <w:r>
              <w:rPr>
                <w:spacing w:val="-4"/>
                <w:sz w:val="20"/>
              </w:rPr>
              <w:t> </w:t>
            </w:r>
            <w:r>
              <w:rPr>
                <w:sz w:val="20"/>
              </w:rPr>
              <w:t>Q44.7,</w:t>
            </w:r>
            <w:r>
              <w:rPr>
                <w:spacing w:val="-6"/>
                <w:sz w:val="20"/>
              </w:rPr>
              <w:t> </w:t>
            </w:r>
            <w:r>
              <w:rPr>
                <w:sz w:val="20"/>
              </w:rPr>
              <w:t>Q45.0,</w:t>
            </w:r>
            <w:r>
              <w:rPr>
                <w:spacing w:val="-4"/>
                <w:sz w:val="20"/>
              </w:rPr>
              <w:t> </w:t>
            </w:r>
            <w:r>
              <w:rPr>
                <w:sz w:val="20"/>
              </w:rPr>
              <w:t>Q45.1,</w:t>
            </w:r>
            <w:r>
              <w:rPr>
                <w:spacing w:val="-6"/>
                <w:sz w:val="20"/>
              </w:rPr>
              <w:t> </w:t>
            </w:r>
            <w:r>
              <w:rPr>
                <w:sz w:val="20"/>
              </w:rPr>
              <w:t>Q45.2,</w:t>
            </w:r>
            <w:r>
              <w:rPr>
                <w:spacing w:val="-4"/>
                <w:sz w:val="20"/>
              </w:rPr>
              <w:t> </w:t>
            </w:r>
            <w:r>
              <w:rPr>
                <w:spacing w:val="-2"/>
                <w:sz w:val="20"/>
              </w:rPr>
              <w:t>Q45.3,</w:t>
            </w:r>
          </w:p>
        </w:tc>
        <w:tc>
          <w:tcPr>
            <w:tcW w:w="2240"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218"/>
              <w:rPr>
                <w:sz w:val="20"/>
              </w:rPr>
            </w:pPr>
            <w:r>
              <w:rPr>
                <w:sz w:val="20"/>
              </w:rPr>
              <w:t>Q45.8,</w:t>
            </w:r>
            <w:r>
              <w:rPr>
                <w:spacing w:val="-5"/>
                <w:sz w:val="20"/>
              </w:rPr>
              <w:t> </w:t>
            </w:r>
            <w:r>
              <w:rPr>
                <w:sz w:val="20"/>
              </w:rPr>
              <w:t>Q45.9,</w:t>
            </w:r>
            <w:r>
              <w:rPr>
                <w:spacing w:val="-6"/>
                <w:sz w:val="20"/>
              </w:rPr>
              <w:t> </w:t>
            </w:r>
            <w:r>
              <w:rPr>
                <w:sz w:val="20"/>
              </w:rPr>
              <w:t>Q89.3,</w:t>
            </w:r>
            <w:r>
              <w:rPr>
                <w:spacing w:val="-4"/>
                <w:sz w:val="20"/>
              </w:rPr>
              <w:t> </w:t>
            </w:r>
            <w:r>
              <w:rPr>
                <w:sz w:val="20"/>
              </w:rPr>
              <w:t>R10,</w:t>
            </w:r>
            <w:r>
              <w:rPr>
                <w:spacing w:val="-5"/>
                <w:sz w:val="20"/>
              </w:rPr>
              <w:t> </w:t>
            </w:r>
            <w:r>
              <w:rPr>
                <w:sz w:val="20"/>
              </w:rPr>
              <w:t>R10.0,</w:t>
            </w:r>
            <w:r>
              <w:rPr>
                <w:spacing w:val="-4"/>
                <w:sz w:val="20"/>
              </w:rPr>
              <w:t> </w:t>
            </w:r>
            <w:r>
              <w:rPr>
                <w:sz w:val="20"/>
              </w:rPr>
              <w:t>R10.1,</w:t>
            </w:r>
            <w:r>
              <w:rPr>
                <w:spacing w:val="-4"/>
                <w:sz w:val="20"/>
              </w:rPr>
              <w:t> </w:t>
            </w:r>
            <w:r>
              <w:rPr>
                <w:spacing w:val="-2"/>
                <w:sz w:val="20"/>
              </w:rPr>
              <w:t>R10.2,</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242"/>
              <w:rPr>
                <w:sz w:val="20"/>
              </w:rPr>
            </w:pPr>
            <w:r>
              <w:rPr>
                <w:sz w:val="20"/>
              </w:rPr>
              <w:t>R10.3,</w:t>
            </w:r>
            <w:r>
              <w:rPr>
                <w:spacing w:val="-4"/>
                <w:sz w:val="20"/>
              </w:rPr>
              <w:t> </w:t>
            </w:r>
            <w:r>
              <w:rPr>
                <w:sz w:val="20"/>
              </w:rPr>
              <w:t>R10.4,</w:t>
            </w:r>
            <w:r>
              <w:rPr>
                <w:spacing w:val="-3"/>
                <w:sz w:val="20"/>
              </w:rPr>
              <w:t> </w:t>
            </w:r>
            <w:r>
              <w:rPr>
                <w:sz w:val="20"/>
              </w:rPr>
              <w:t>R11,</w:t>
            </w:r>
            <w:r>
              <w:rPr>
                <w:spacing w:val="-4"/>
                <w:sz w:val="20"/>
              </w:rPr>
              <w:t> </w:t>
            </w:r>
            <w:r>
              <w:rPr>
                <w:sz w:val="20"/>
              </w:rPr>
              <w:t>R12,</w:t>
            </w:r>
            <w:r>
              <w:rPr>
                <w:spacing w:val="-5"/>
                <w:sz w:val="20"/>
              </w:rPr>
              <w:t> </w:t>
            </w:r>
            <w:r>
              <w:rPr>
                <w:sz w:val="20"/>
              </w:rPr>
              <w:t>R13,</w:t>
            </w:r>
            <w:r>
              <w:rPr>
                <w:spacing w:val="-5"/>
                <w:sz w:val="20"/>
              </w:rPr>
              <w:t> </w:t>
            </w:r>
            <w:r>
              <w:rPr>
                <w:sz w:val="20"/>
              </w:rPr>
              <w:t>R14,</w:t>
            </w:r>
            <w:r>
              <w:rPr>
                <w:spacing w:val="-4"/>
                <w:sz w:val="20"/>
              </w:rPr>
              <w:t> </w:t>
            </w:r>
            <w:r>
              <w:rPr>
                <w:sz w:val="20"/>
              </w:rPr>
              <w:t>R15,</w:t>
            </w:r>
            <w:r>
              <w:rPr>
                <w:spacing w:val="-3"/>
                <w:sz w:val="20"/>
              </w:rPr>
              <w:t> </w:t>
            </w:r>
            <w:r>
              <w:rPr>
                <w:spacing w:val="-2"/>
                <w:sz w:val="20"/>
              </w:rPr>
              <w:t>R16.0,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84"/>
              <w:rPr>
                <w:sz w:val="20"/>
              </w:rPr>
            </w:pPr>
            <w:r>
              <w:rPr>
                <w:sz w:val="20"/>
              </w:rPr>
              <w:t>R16.2,</w:t>
            </w:r>
            <w:r>
              <w:rPr>
                <w:spacing w:val="-5"/>
                <w:sz w:val="20"/>
              </w:rPr>
              <w:t> </w:t>
            </w:r>
            <w:r>
              <w:rPr>
                <w:sz w:val="20"/>
              </w:rPr>
              <w:t>R17,</w:t>
            </w:r>
            <w:r>
              <w:rPr>
                <w:spacing w:val="-4"/>
                <w:sz w:val="20"/>
              </w:rPr>
              <w:t> </w:t>
            </w:r>
            <w:r>
              <w:rPr>
                <w:sz w:val="20"/>
              </w:rPr>
              <w:t>R17.0,</w:t>
            </w:r>
            <w:r>
              <w:rPr>
                <w:spacing w:val="-5"/>
                <w:sz w:val="20"/>
              </w:rPr>
              <w:t> </w:t>
            </w:r>
            <w:r>
              <w:rPr>
                <w:sz w:val="20"/>
              </w:rPr>
              <w:t>R17.9, R18,</w:t>
            </w:r>
            <w:r>
              <w:rPr>
                <w:spacing w:val="-5"/>
                <w:sz w:val="20"/>
              </w:rPr>
              <w:t> </w:t>
            </w:r>
            <w:r>
              <w:rPr>
                <w:sz w:val="20"/>
              </w:rPr>
              <w:t>R19,</w:t>
            </w:r>
            <w:r>
              <w:rPr>
                <w:spacing w:val="-4"/>
                <w:sz w:val="20"/>
              </w:rPr>
              <w:t> </w:t>
            </w:r>
            <w:r>
              <w:rPr>
                <w:spacing w:val="-2"/>
                <w:sz w:val="20"/>
              </w:rPr>
              <w:t>R19.0,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161"/>
              <w:rPr>
                <w:sz w:val="20"/>
              </w:rPr>
            </w:pPr>
            <w:r>
              <w:rPr>
                <w:sz w:val="20"/>
              </w:rPr>
              <w:t>R19.1,</w:t>
            </w:r>
            <w:r>
              <w:rPr>
                <w:spacing w:val="-7"/>
                <w:sz w:val="20"/>
              </w:rPr>
              <w:t> </w:t>
            </w:r>
            <w:r>
              <w:rPr>
                <w:sz w:val="20"/>
              </w:rPr>
              <w:t>R19.2,</w:t>
            </w:r>
            <w:r>
              <w:rPr>
                <w:spacing w:val="-5"/>
                <w:sz w:val="20"/>
              </w:rPr>
              <w:t> </w:t>
            </w:r>
            <w:r>
              <w:rPr>
                <w:sz w:val="20"/>
              </w:rPr>
              <w:t>R19.3,</w:t>
            </w:r>
            <w:r>
              <w:rPr>
                <w:spacing w:val="-5"/>
                <w:sz w:val="20"/>
              </w:rPr>
              <w:t> </w:t>
            </w:r>
            <w:r>
              <w:rPr>
                <w:sz w:val="20"/>
              </w:rPr>
              <w:t>R19.4,</w:t>
            </w:r>
            <w:r>
              <w:rPr>
                <w:spacing w:val="-9"/>
                <w:sz w:val="20"/>
              </w:rPr>
              <w:t> </w:t>
            </w:r>
            <w:r>
              <w:rPr>
                <w:sz w:val="20"/>
              </w:rPr>
              <w:t>R19.5,</w:t>
            </w:r>
            <w:r>
              <w:rPr>
                <w:spacing w:val="-5"/>
                <w:sz w:val="20"/>
              </w:rPr>
              <w:t> </w:t>
            </w:r>
            <w:r>
              <w:rPr>
                <w:sz w:val="20"/>
              </w:rPr>
              <w:t>R19.6,</w:t>
            </w:r>
            <w:r>
              <w:rPr>
                <w:spacing w:val="-4"/>
                <w:sz w:val="20"/>
              </w:rPr>
              <w:t> </w:t>
            </w:r>
            <w:r>
              <w:rPr>
                <w:spacing w:val="-2"/>
                <w:sz w:val="20"/>
              </w:rPr>
              <w:t>R19.8,</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235"/>
              <w:rPr>
                <w:sz w:val="20"/>
              </w:rPr>
            </w:pPr>
            <w:r>
              <w:rPr>
                <w:sz w:val="20"/>
              </w:rPr>
              <w:t>R85,</w:t>
            </w:r>
            <w:r>
              <w:rPr>
                <w:spacing w:val="-5"/>
                <w:sz w:val="20"/>
              </w:rPr>
              <w:t> </w:t>
            </w:r>
            <w:r>
              <w:rPr>
                <w:sz w:val="20"/>
              </w:rPr>
              <w:t>R85.0,</w:t>
            </w:r>
            <w:r>
              <w:rPr>
                <w:spacing w:val="-5"/>
                <w:sz w:val="20"/>
              </w:rPr>
              <w:t> </w:t>
            </w:r>
            <w:r>
              <w:rPr>
                <w:sz w:val="20"/>
              </w:rPr>
              <w:t>R85.1,</w:t>
            </w:r>
            <w:r>
              <w:rPr>
                <w:spacing w:val="-5"/>
                <w:sz w:val="20"/>
              </w:rPr>
              <w:t> </w:t>
            </w:r>
            <w:r>
              <w:rPr>
                <w:sz w:val="20"/>
              </w:rPr>
              <w:t>R85.2,</w:t>
            </w:r>
            <w:r>
              <w:rPr>
                <w:spacing w:val="-5"/>
                <w:sz w:val="20"/>
              </w:rPr>
              <w:t> </w:t>
            </w:r>
            <w:r>
              <w:rPr>
                <w:sz w:val="20"/>
              </w:rPr>
              <w:t>R85.3,</w:t>
            </w:r>
            <w:r>
              <w:rPr>
                <w:spacing w:val="-5"/>
                <w:sz w:val="20"/>
              </w:rPr>
              <w:t> </w:t>
            </w:r>
            <w:r>
              <w:rPr>
                <w:sz w:val="20"/>
              </w:rPr>
              <w:t>R85.4,</w:t>
            </w:r>
            <w:r>
              <w:rPr>
                <w:spacing w:val="-5"/>
                <w:sz w:val="20"/>
              </w:rPr>
              <w:t> </w:t>
            </w:r>
            <w:r>
              <w:rPr>
                <w:spacing w:val="-2"/>
                <w:sz w:val="20"/>
              </w:rPr>
              <w:t>R85.5,</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1" w:lineRule="exact"/>
              <w:ind w:left="161"/>
              <w:rPr>
                <w:sz w:val="20"/>
              </w:rPr>
            </w:pPr>
            <w:r>
              <w:rPr>
                <w:sz w:val="20"/>
              </w:rPr>
              <w:t>R85.6,</w:t>
            </w:r>
            <w:r>
              <w:rPr>
                <w:spacing w:val="-7"/>
                <w:sz w:val="20"/>
              </w:rPr>
              <w:t> </w:t>
            </w:r>
            <w:r>
              <w:rPr>
                <w:sz w:val="20"/>
              </w:rPr>
              <w:t>R85.7,</w:t>
            </w:r>
            <w:r>
              <w:rPr>
                <w:spacing w:val="-5"/>
                <w:sz w:val="20"/>
              </w:rPr>
              <w:t> </w:t>
            </w:r>
            <w:r>
              <w:rPr>
                <w:sz w:val="20"/>
              </w:rPr>
              <w:t>R85.8,</w:t>
            </w:r>
            <w:r>
              <w:rPr>
                <w:spacing w:val="-5"/>
                <w:sz w:val="20"/>
              </w:rPr>
              <w:t> </w:t>
            </w:r>
            <w:r>
              <w:rPr>
                <w:sz w:val="20"/>
              </w:rPr>
              <w:t>R85.9,</w:t>
            </w:r>
            <w:r>
              <w:rPr>
                <w:spacing w:val="-9"/>
                <w:sz w:val="20"/>
              </w:rPr>
              <w:t> </w:t>
            </w:r>
            <w:r>
              <w:rPr>
                <w:sz w:val="20"/>
              </w:rPr>
              <w:t>R93.2,</w:t>
            </w:r>
            <w:r>
              <w:rPr>
                <w:spacing w:val="-5"/>
                <w:sz w:val="20"/>
              </w:rPr>
              <w:t> </w:t>
            </w:r>
            <w:r>
              <w:rPr>
                <w:sz w:val="20"/>
              </w:rPr>
              <w:t>R93.3,</w:t>
            </w:r>
            <w:r>
              <w:rPr>
                <w:spacing w:val="-4"/>
                <w:sz w:val="20"/>
              </w:rPr>
              <w:t> </w:t>
            </w:r>
            <w:r>
              <w:rPr>
                <w:spacing w:val="-2"/>
                <w:sz w:val="20"/>
              </w:rPr>
              <w:t>R93.5,</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151"/>
              <w:rPr>
                <w:sz w:val="20"/>
              </w:rPr>
            </w:pPr>
            <w:r>
              <w:rPr>
                <w:sz w:val="20"/>
              </w:rPr>
              <w:t>R94.5,</w:t>
            </w:r>
            <w:r>
              <w:rPr>
                <w:spacing w:val="-5"/>
                <w:sz w:val="20"/>
              </w:rPr>
              <w:t> </w:t>
            </w:r>
            <w:r>
              <w:rPr>
                <w:sz w:val="20"/>
              </w:rPr>
              <w:t>S36,</w:t>
            </w:r>
            <w:r>
              <w:rPr>
                <w:spacing w:val="-7"/>
                <w:sz w:val="20"/>
              </w:rPr>
              <w:t> </w:t>
            </w:r>
            <w:r>
              <w:rPr>
                <w:sz w:val="20"/>
              </w:rPr>
              <w:t>S36.0,</w:t>
            </w:r>
            <w:r>
              <w:rPr>
                <w:spacing w:val="-5"/>
                <w:sz w:val="20"/>
              </w:rPr>
              <w:t> </w:t>
            </w:r>
            <w:r>
              <w:rPr>
                <w:sz w:val="20"/>
              </w:rPr>
              <w:t>S36.00,</w:t>
            </w:r>
            <w:r>
              <w:rPr>
                <w:spacing w:val="-4"/>
                <w:sz w:val="20"/>
              </w:rPr>
              <w:t> </w:t>
            </w:r>
            <w:r>
              <w:rPr>
                <w:sz w:val="20"/>
              </w:rPr>
              <w:t>S36.01,</w:t>
            </w:r>
            <w:r>
              <w:rPr>
                <w:spacing w:val="-5"/>
                <w:sz w:val="20"/>
              </w:rPr>
              <w:t> </w:t>
            </w:r>
            <w:r>
              <w:rPr>
                <w:sz w:val="20"/>
              </w:rPr>
              <w:t>S36.1,</w:t>
            </w:r>
            <w:r>
              <w:rPr>
                <w:spacing w:val="-7"/>
                <w:sz w:val="20"/>
              </w:rPr>
              <w:t> </w:t>
            </w:r>
            <w:r>
              <w:rPr>
                <w:spacing w:val="-2"/>
                <w:sz w:val="20"/>
              </w:rPr>
              <w:t>S36.10,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317"/>
              <w:rPr>
                <w:sz w:val="20"/>
              </w:rPr>
            </w:pPr>
            <w:r>
              <w:rPr>
                <w:sz w:val="20"/>
              </w:rPr>
              <w:t>S36.11,</w:t>
            </w:r>
            <w:r>
              <w:rPr>
                <w:spacing w:val="-6"/>
                <w:sz w:val="20"/>
              </w:rPr>
              <w:t> </w:t>
            </w:r>
            <w:r>
              <w:rPr>
                <w:sz w:val="20"/>
              </w:rPr>
              <w:t>S36.2,</w:t>
            </w:r>
            <w:r>
              <w:rPr>
                <w:spacing w:val="-7"/>
                <w:sz w:val="20"/>
              </w:rPr>
              <w:t> </w:t>
            </w:r>
            <w:r>
              <w:rPr>
                <w:sz w:val="20"/>
              </w:rPr>
              <w:t>S36.20,</w:t>
            </w:r>
            <w:r>
              <w:rPr>
                <w:spacing w:val="-5"/>
                <w:sz w:val="20"/>
              </w:rPr>
              <w:t> </w:t>
            </w:r>
            <w:r>
              <w:rPr>
                <w:sz w:val="20"/>
              </w:rPr>
              <w:t>S36.21,</w:t>
            </w:r>
            <w:r>
              <w:rPr>
                <w:spacing w:val="-6"/>
                <w:sz w:val="20"/>
              </w:rPr>
              <w:t> </w:t>
            </w:r>
            <w:r>
              <w:rPr>
                <w:sz w:val="20"/>
              </w:rPr>
              <w:t>S36.3,</w:t>
            </w:r>
            <w:r>
              <w:rPr>
                <w:spacing w:val="-5"/>
                <w:sz w:val="20"/>
              </w:rPr>
              <w:t> </w:t>
            </w:r>
            <w:r>
              <w:rPr>
                <w:spacing w:val="-2"/>
                <w:sz w:val="20"/>
              </w:rPr>
              <w:t>S36.30,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17"/>
              <w:rPr>
                <w:sz w:val="20"/>
              </w:rPr>
            </w:pPr>
            <w:r>
              <w:rPr>
                <w:sz w:val="20"/>
              </w:rPr>
              <w:t>S36.31,</w:t>
            </w:r>
            <w:r>
              <w:rPr>
                <w:spacing w:val="-6"/>
                <w:sz w:val="20"/>
              </w:rPr>
              <w:t> </w:t>
            </w:r>
            <w:r>
              <w:rPr>
                <w:sz w:val="20"/>
              </w:rPr>
              <w:t>S36.4,</w:t>
            </w:r>
            <w:r>
              <w:rPr>
                <w:spacing w:val="-7"/>
                <w:sz w:val="20"/>
              </w:rPr>
              <w:t> </w:t>
            </w:r>
            <w:r>
              <w:rPr>
                <w:sz w:val="20"/>
              </w:rPr>
              <w:t>S36.40,</w:t>
            </w:r>
            <w:r>
              <w:rPr>
                <w:spacing w:val="-5"/>
                <w:sz w:val="20"/>
              </w:rPr>
              <w:t> </w:t>
            </w:r>
            <w:r>
              <w:rPr>
                <w:sz w:val="20"/>
              </w:rPr>
              <w:t>S36.41,</w:t>
            </w:r>
            <w:r>
              <w:rPr>
                <w:spacing w:val="-6"/>
                <w:sz w:val="20"/>
              </w:rPr>
              <w:t> </w:t>
            </w:r>
            <w:r>
              <w:rPr>
                <w:sz w:val="20"/>
              </w:rPr>
              <w:t>S36.5,</w:t>
            </w:r>
            <w:r>
              <w:rPr>
                <w:spacing w:val="-5"/>
                <w:sz w:val="20"/>
              </w:rPr>
              <w:t> </w:t>
            </w:r>
            <w:r>
              <w:rPr>
                <w:spacing w:val="-2"/>
                <w:sz w:val="20"/>
              </w:rPr>
              <w:t>S36.50,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17"/>
              <w:rPr>
                <w:sz w:val="20"/>
              </w:rPr>
            </w:pPr>
            <w:r>
              <w:rPr>
                <w:sz w:val="20"/>
              </w:rPr>
              <w:t>S36.51,</w:t>
            </w:r>
            <w:r>
              <w:rPr>
                <w:spacing w:val="-6"/>
                <w:sz w:val="20"/>
              </w:rPr>
              <w:t> </w:t>
            </w:r>
            <w:r>
              <w:rPr>
                <w:sz w:val="20"/>
              </w:rPr>
              <w:t>S36.6,</w:t>
            </w:r>
            <w:r>
              <w:rPr>
                <w:spacing w:val="-7"/>
                <w:sz w:val="20"/>
              </w:rPr>
              <w:t> </w:t>
            </w:r>
            <w:r>
              <w:rPr>
                <w:sz w:val="20"/>
              </w:rPr>
              <w:t>S36.60,</w:t>
            </w:r>
            <w:r>
              <w:rPr>
                <w:spacing w:val="-5"/>
                <w:sz w:val="20"/>
              </w:rPr>
              <w:t> </w:t>
            </w:r>
            <w:r>
              <w:rPr>
                <w:sz w:val="20"/>
              </w:rPr>
              <w:t>S36.61,</w:t>
            </w:r>
            <w:r>
              <w:rPr>
                <w:spacing w:val="-6"/>
                <w:sz w:val="20"/>
              </w:rPr>
              <w:t> </w:t>
            </w:r>
            <w:r>
              <w:rPr>
                <w:sz w:val="20"/>
              </w:rPr>
              <w:t>S36.7,</w:t>
            </w:r>
            <w:r>
              <w:rPr>
                <w:spacing w:val="-5"/>
                <w:sz w:val="20"/>
              </w:rPr>
              <w:t> </w:t>
            </w:r>
            <w:r>
              <w:rPr>
                <w:spacing w:val="-2"/>
                <w:sz w:val="20"/>
              </w:rPr>
              <w:t>S36.70,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17"/>
              <w:rPr>
                <w:sz w:val="20"/>
              </w:rPr>
            </w:pPr>
            <w:r>
              <w:rPr>
                <w:sz w:val="20"/>
              </w:rPr>
              <w:t>S36.71,</w:t>
            </w:r>
            <w:r>
              <w:rPr>
                <w:spacing w:val="-6"/>
                <w:sz w:val="20"/>
              </w:rPr>
              <w:t> </w:t>
            </w:r>
            <w:r>
              <w:rPr>
                <w:sz w:val="20"/>
              </w:rPr>
              <w:t>S36.8,</w:t>
            </w:r>
            <w:r>
              <w:rPr>
                <w:spacing w:val="-7"/>
                <w:sz w:val="20"/>
              </w:rPr>
              <w:t> </w:t>
            </w:r>
            <w:r>
              <w:rPr>
                <w:sz w:val="20"/>
              </w:rPr>
              <w:t>S36.80,</w:t>
            </w:r>
            <w:r>
              <w:rPr>
                <w:spacing w:val="-5"/>
                <w:sz w:val="20"/>
              </w:rPr>
              <w:t> </w:t>
            </w:r>
            <w:r>
              <w:rPr>
                <w:sz w:val="20"/>
              </w:rPr>
              <w:t>S36.81,</w:t>
            </w:r>
            <w:r>
              <w:rPr>
                <w:spacing w:val="-6"/>
                <w:sz w:val="20"/>
              </w:rPr>
              <w:t> </w:t>
            </w:r>
            <w:r>
              <w:rPr>
                <w:sz w:val="20"/>
              </w:rPr>
              <w:t>S36.9,</w:t>
            </w:r>
            <w:r>
              <w:rPr>
                <w:spacing w:val="-5"/>
                <w:sz w:val="20"/>
              </w:rPr>
              <w:t> </w:t>
            </w:r>
            <w:r>
              <w:rPr>
                <w:spacing w:val="-2"/>
                <w:sz w:val="20"/>
              </w:rPr>
              <w:t>S36.90,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228"/>
              <w:rPr>
                <w:sz w:val="20"/>
              </w:rPr>
            </w:pPr>
            <w:r>
              <w:rPr>
                <w:sz w:val="20"/>
              </w:rPr>
              <w:t>S36.91,</w:t>
            </w:r>
            <w:r>
              <w:rPr>
                <w:spacing w:val="-6"/>
                <w:sz w:val="20"/>
              </w:rPr>
              <w:t> </w:t>
            </w:r>
            <w:r>
              <w:rPr>
                <w:sz w:val="20"/>
              </w:rPr>
              <w:t>T18,</w:t>
            </w:r>
            <w:r>
              <w:rPr>
                <w:spacing w:val="-7"/>
                <w:sz w:val="20"/>
              </w:rPr>
              <w:t> </w:t>
            </w:r>
            <w:r>
              <w:rPr>
                <w:sz w:val="20"/>
              </w:rPr>
              <w:t>T18.0,</w:t>
            </w:r>
            <w:r>
              <w:rPr>
                <w:spacing w:val="-5"/>
                <w:sz w:val="20"/>
              </w:rPr>
              <w:t> </w:t>
            </w:r>
            <w:r>
              <w:rPr>
                <w:sz w:val="20"/>
              </w:rPr>
              <w:t>T18.1,</w:t>
            </w:r>
            <w:r>
              <w:rPr>
                <w:spacing w:val="-5"/>
                <w:sz w:val="20"/>
              </w:rPr>
              <w:t> </w:t>
            </w:r>
            <w:r>
              <w:rPr>
                <w:sz w:val="20"/>
              </w:rPr>
              <w:t>T18.2,</w:t>
            </w:r>
            <w:r>
              <w:rPr>
                <w:spacing w:val="-5"/>
                <w:sz w:val="20"/>
              </w:rPr>
              <w:t> </w:t>
            </w:r>
            <w:r>
              <w:rPr>
                <w:sz w:val="20"/>
              </w:rPr>
              <w:t>T18.3,</w:t>
            </w:r>
            <w:r>
              <w:rPr>
                <w:spacing w:val="-5"/>
                <w:sz w:val="20"/>
              </w:rPr>
              <w:t> </w:t>
            </w:r>
            <w:r>
              <w:rPr>
                <w:spacing w:val="-2"/>
                <w:sz w:val="20"/>
              </w:rPr>
              <w:t>T18.4,</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199"/>
              <w:rPr>
                <w:sz w:val="20"/>
              </w:rPr>
            </w:pPr>
            <w:r>
              <w:rPr>
                <w:sz w:val="20"/>
              </w:rPr>
              <w:t>T18.5,</w:t>
            </w:r>
            <w:r>
              <w:rPr>
                <w:spacing w:val="-7"/>
                <w:sz w:val="20"/>
              </w:rPr>
              <w:t> </w:t>
            </w:r>
            <w:r>
              <w:rPr>
                <w:sz w:val="20"/>
              </w:rPr>
              <w:t>T18.8,</w:t>
            </w:r>
            <w:r>
              <w:rPr>
                <w:spacing w:val="-5"/>
                <w:sz w:val="20"/>
              </w:rPr>
              <w:t> </w:t>
            </w:r>
            <w:r>
              <w:rPr>
                <w:sz w:val="20"/>
              </w:rPr>
              <w:t>T18.9,</w:t>
            </w:r>
            <w:r>
              <w:rPr>
                <w:spacing w:val="-5"/>
                <w:sz w:val="20"/>
              </w:rPr>
              <w:t> </w:t>
            </w:r>
            <w:r>
              <w:rPr>
                <w:sz w:val="20"/>
              </w:rPr>
              <w:t>T28.0,</w:t>
            </w:r>
            <w:r>
              <w:rPr>
                <w:spacing w:val="-5"/>
                <w:sz w:val="20"/>
              </w:rPr>
              <w:t> </w:t>
            </w:r>
            <w:r>
              <w:rPr>
                <w:sz w:val="20"/>
              </w:rPr>
              <w:t>T28.1,</w:t>
            </w:r>
            <w:r>
              <w:rPr>
                <w:spacing w:val="-5"/>
                <w:sz w:val="20"/>
              </w:rPr>
              <w:t> </w:t>
            </w:r>
            <w:r>
              <w:rPr>
                <w:sz w:val="20"/>
              </w:rPr>
              <w:t>T28.2,</w:t>
            </w:r>
            <w:r>
              <w:rPr>
                <w:spacing w:val="-5"/>
                <w:sz w:val="20"/>
              </w:rPr>
              <w:t> </w:t>
            </w:r>
            <w:r>
              <w:rPr>
                <w:spacing w:val="-2"/>
                <w:sz w:val="20"/>
              </w:rPr>
              <w:t>T28.4,</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24" w:lineRule="exact"/>
              <w:ind w:left="223"/>
              <w:rPr>
                <w:sz w:val="20"/>
              </w:rPr>
            </w:pPr>
            <w:r>
              <w:rPr>
                <w:sz w:val="20"/>
              </w:rPr>
              <w:t>T28.5,</w:t>
            </w:r>
            <w:r>
              <w:rPr>
                <w:spacing w:val="-7"/>
                <w:sz w:val="20"/>
              </w:rPr>
              <w:t> </w:t>
            </w:r>
            <w:r>
              <w:rPr>
                <w:sz w:val="20"/>
              </w:rPr>
              <w:t>T28.6,</w:t>
            </w:r>
            <w:r>
              <w:rPr>
                <w:spacing w:val="-5"/>
                <w:sz w:val="20"/>
              </w:rPr>
              <w:t> </w:t>
            </w:r>
            <w:r>
              <w:rPr>
                <w:sz w:val="20"/>
              </w:rPr>
              <w:t>T28.7,</w:t>
            </w:r>
            <w:r>
              <w:rPr>
                <w:spacing w:val="-4"/>
                <w:sz w:val="20"/>
              </w:rPr>
              <w:t> </w:t>
            </w:r>
            <w:r>
              <w:rPr>
                <w:sz w:val="20"/>
              </w:rPr>
              <w:t>T28.9,</w:t>
            </w:r>
            <w:r>
              <w:rPr>
                <w:spacing w:val="-5"/>
                <w:sz w:val="20"/>
              </w:rPr>
              <w:t> </w:t>
            </w:r>
            <w:r>
              <w:rPr>
                <w:sz w:val="20"/>
              </w:rPr>
              <w:t>T85.5,</w:t>
            </w:r>
            <w:r>
              <w:rPr>
                <w:spacing w:val="-4"/>
                <w:sz w:val="20"/>
              </w:rPr>
              <w:t> </w:t>
            </w:r>
            <w:r>
              <w:rPr>
                <w:sz w:val="20"/>
              </w:rPr>
              <w:t>T85.6,</w:t>
            </w:r>
            <w:r>
              <w:rPr>
                <w:spacing w:val="-5"/>
                <w:sz w:val="20"/>
              </w:rPr>
              <w:t> </w:t>
            </w:r>
            <w:r>
              <w:rPr>
                <w:spacing w:val="-4"/>
                <w:sz w:val="20"/>
              </w:rPr>
              <w:t>T91.5</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330" w:hRule="atLeast"/>
        </w:trPr>
        <w:tc>
          <w:tcPr>
            <w:tcW w:w="978" w:type="dxa"/>
          </w:tcPr>
          <w:p>
            <w:pPr>
              <w:pStyle w:val="TableParagraph"/>
              <w:spacing w:before="46"/>
              <w:ind w:left="39" w:right="186"/>
              <w:jc w:val="center"/>
              <w:rPr>
                <w:sz w:val="20"/>
              </w:rPr>
            </w:pPr>
            <w:r>
              <w:rPr>
                <w:spacing w:val="-4"/>
                <w:sz w:val="20"/>
              </w:rPr>
              <w:t>ds23</w:t>
            </w:r>
          </w:p>
        </w:tc>
        <w:tc>
          <w:tcPr>
            <w:tcW w:w="696" w:type="dxa"/>
          </w:tcPr>
          <w:p>
            <w:pPr>
              <w:pStyle w:val="TableParagraph"/>
              <w:spacing w:before="46"/>
              <w:ind w:left="250"/>
              <w:rPr>
                <w:sz w:val="20"/>
              </w:rPr>
            </w:pPr>
            <w:r>
              <w:rPr>
                <w:spacing w:val="-5"/>
                <w:sz w:val="20"/>
              </w:rPr>
              <w:t>23</w:t>
            </w:r>
          </w:p>
        </w:tc>
        <w:tc>
          <w:tcPr>
            <w:tcW w:w="2543" w:type="dxa"/>
          </w:tcPr>
          <w:p>
            <w:pPr>
              <w:pStyle w:val="TableParagraph"/>
              <w:rPr>
                <w:sz w:val="18"/>
              </w:rPr>
            </w:pPr>
          </w:p>
        </w:tc>
        <w:tc>
          <w:tcPr>
            <w:tcW w:w="5249" w:type="dxa"/>
          </w:tcPr>
          <w:p>
            <w:pPr>
              <w:pStyle w:val="TableParagraph"/>
              <w:spacing w:before="46"/>
              <w:ind w:left="3128"/>
              <w:rPr>
                <w:sz w:val="20"/>
              </w:rPr>
            </w:pPr>
            <w:r>
              <w:rPr>
                <w:spacing w:val="-2"/>
                <w:sz w:val="20"/>
              </w:rPr>
              <w:t>Пульмонология</w:t>
            </w:r>
          </w:p>
        </w:tc>
        <w:tc>
          <w:tcPr>
            <w:tcW w:w="2240" w:type="dxa"/>
          </w:tcPr>
          <w:p>
            <w:pPr>
              <w:pStyle w:val="TableParagraph"/>
              <w:rPr>
                <w:sz w:val="18"/>
              </w:rPr>
            </w:pPr>
          </w:p>
        </w:tc>
        <w:tc>
          <w:tcPr>
            <w:tcW w:w="2325" w:type="dxa"/>
          </w:tcPr>
          <w:p>
            <w:pPr>
              <w:pStyle w:val="TableParagraph"/>
              <w:rPr>
                <w:sz w:val="18"/>
              </w:rPr>
            </w:pPr>
          </w:p>
        </w:tc>
        <w:tc>
          <w:tcPr>
            <w:tcW w:w="1260" w:type="dxa"/>
          </w:tcPr>
          <w:p>
            <w:pPr>
              <w:pStyle w:val="TableParagraph"/>
              <w:spacing w:before="46"/>
              <w:ind w:right="44"/>
              <w:jc w:val="right"/>
              <w:rPr>
                <w:sz w:val="20"/>
              </w:rPr>
            </w:pPr>
            <w:r>
              <w:rPr>
                <w:spacing w:val="-4"/>
                <w:sz w:val="20"/>
              </w:rPr>
              <w:t>0,90</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ds23.001</w:t>
            </w:r>
          </w:p>
        </w:tc>
        <w:tc>
          <w:tcPr>
            <w:tcW w:w="696" w:type="dxa"/>
          </w:tcPr>
          <w:p>
            <w:pPr>
              <w:pStyle w:val="TableParagraph"/>
              <w:spacing w:line="215" w:lineRule="exact" w:before="45"/>
              <w:ind w:left="200"/>
              <w:rPr>
                <w:sz w:val="20"/>
              </w:rPr>
            </w:pPr>
            <w:r>
              <w:rPr>
                <w:spacing w:val="-5"/>
                <w:sz w:val="20"/>
              </w:rPr>
              <w:t>117</w:t>
            </w:r>
          </w:p>
        </w:tc>
        <w:tc>
          <w:tcPr>
            <w:tcW w:w="2543" w:type="dxa"/>
          </w:tcPr>
          <w:p>
            <w:pPr>
              <w:pStyle w:val="TableParagraph"/>
              <w:spacing w:line="215" w:lineRule="exact" w:before="45"/>
              <w:ind w:left="193"/>
              <w:rPr>
                <w:sz w:val="20"/>
              </w:rPr>
            </w:pPr>
            <w:r>
              <w:rPr>
                <w:sz w:val="20"/>
              </w:rPr>
              <w:t>Болезни</w:t>
            </w:r>
            <w:r>
              <w:rPr>
                <w:spacing w:val="-9"/>
                <w:sz w:val="20"/>
              </w:rPr>
              <w:t> </w:t>
            </w:r>
            <w:r>
              <w:rPr>
                <w:sz w:val="20"/>
              </w:rPr>
              <w:t>органов</w:t>
            </w:r>
            <w:r>
              <w:rPr>
                <w:spacing w:val="-9"/>
                <w:sz w:val="20"/>
              </w:rPr>
              <w:t> </w:t>
            </w:r>
            <w:r>
              <w:rPr>
                <w:spacing w:val="-2"/>
                <w:sz w:val="20"/>
              </w:rPr>
              <w:t>дыхания</w:t>
            </w:r>
          </w:p>
        </w:tc>
        <w:tc>
          <w:tcPr>
            <w:tcW w:w="5249" w:type="dxa"/>
          </w:tcPr>
          <w:p>
            <w:pPr>
              <w:pStyle w:val="TableParagraph"/>
              <w:spacing w:line="215" w:lineRule="exact" w:before="45"/>
              <w:ind w:left="418"/>
              <w:rPr>
                <w:sz w:val="20"/>
              </w:rPr>
            </w:pPr>
            <w:r>
              <w:rPr>
                <w:sz w:val="20"/>
              </w:rPr>
              <w:t>D02.1,</w:t>
            </w:r>
            <w:r>
              <w:rPr>
                <w:spacing w:val="-4"/>
                <w:sz w:val="20"/>
              </w:rPr>
              <w:t> </w:t>
            </w:r>
            <w:r>
              <w:rPr>
                <w:sz w:val="20"/>
              </w:rPr>
              <w:t>D02.2,</w:t>
            </w:r>
            <w:r>
              <w:rPr>
                <w:spacing w:val="-6"/>
                <w:sz w:val="20"/>
              </w:rPr>
              <w:t> </w:t>
            </w:r>
            <w:r>
              <w:rPr>
                <w:sz w:val="20"/>
              </w:rPr>
              <w:t>D02.3,</w:t>
            </w:r>
            <w:r>
              <w:rPr>
                <w:spacing w:val="-4"/>
                <w:sz w:val="20"/>
              </w:rPr>
              <w:t> </w:t>
            </w:r>
            <w:r>
              <w:rPr>
                <w:sz w:val="20"/>
              </w:rPr>
              <w:t>D02.4,</w:t>
            </w:r>
            <w:r>
              <w:rPr>
                <w:spacing w:val="-6"/>
                <w:sz w:val="20"/>
              </w:rPr>
              <w:t> </w:t>
            </w:r>
            <w:r>
              <w:rPr>
                <w:sz w:val="20"/>
              </w:rPr>
              <w:t>D14.2,</w:t>
            </w:r>
            <w:r>
              <w:rPr>
                <w:spacing w:val="-4"/>
                <w:sz w:val="20"/>
              </w:rPr>
              <w:t> </w:t>
            </w:r>
            <w:r>
              <w:rPr>
                <w:spacing w:val="-2"/>
                <w:sz w:val="20"/>
              </w:rPr>
              <w:t>D14.3,</w:t>
            </w:r>
          </w:p>
        </w:tc>
        <w:tc>
          <w:tcPr>
            <w:tcW w:w="2240" w:type="dxa"/>
          </w:tcPr>
          <w:p>
            <w:pPr>
              <w:pStyle w:val="TableParagraph"/>
              <w:spacing w:line="215" w:lineRule="exact" w:before="45"/>
              <w:ind w:right="620"/>
              <w:jc w:val="center"/>
              <w:rPr>
                <w:sz w:val="20"/>
              </w:rPr>
            </w:pPr>
            <w:r>
              <w:rPr>
                <w:w w:val="99"/>
                <w:sz w:val="20"/>
              </w:rPr>
              <w:t>-</w:t>
            </w:r>
          </w:p>
        </w:tc>
        <w:tc>
          <w:tcPr>
            <w:tcW w:w="2325" w:type="dxa"/>
          </w:tcPr>
          <w:p>
            <w:pPr>
              <w:pStyle w:val="TableParagraph"/>
              <w:spacing w:line="215" w:lineRule="exact" w:before="45"/>
              <w:ind w:left="545"/>
              <w:jc w:val="center"/>
              <w:rPr>
                <w:sz w:val="20"/>
              </w:rPr>
            </w:pPr>
            <w:r>
              <w:rPr>
                <w:w w:val="99"/>
                <w:sz w:val="20"/>
              </w:rPr>
              <w:t>-</w:t>
            </w:r>
          </w:p>
        </w:tc>
        <w:tc>
          <w:tcPr>
            <w:tcW w:w="1260" w:type="dxa"/>
          </w:tcPr>
          <w:p>
            <w:pPr>
              <w:pStyle w:val="TableParagraph"/>
              <w:spacing w:line="215" w:lineRule="exact" w:before="45"/>
              <w:ind w:right="44"/>
              <w:jc w:val="right"/>
              <w:rPr>
                <w:sz w:val="20"/>
              </w:rPr>
            </w:pPr>
            <w:r>
              <w:rPr>
                <w:spacing w:val="-4"/>
                <w:sz w:val="20"/>
              </w:rPr>
              <w:t>0,90</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1" w:lineRule="exact"/>
              <w:ind w:left="418"/>
              <w:rPr>
                <w:sz w:val="20"/>
              </w:rPr>
            </w:pPr>
            <w:r>
              <w:rPr>
                <w:sz w:val="20"/>
              </w:rPr>
              <w:t>D14.4,</w:t>
            </w:r>
            <w:r>
              <w:rPr>
                <w:spacing w:val="-4"/>
                <w:sz w:val="20"/>
              </w:rPr>
              <w:t> </w:t>
            </w:r>
            <w:r>
              <w:rPr>
                <w:sz w:val="20"/>
              </w:rPr>
              <w:t>D15.1,</w:t>
            </w:r>
            <w:r>
              <w:rPr>
                <w:spacing w:val="-6"/>
                <w:sz w:val="20"/>
              </w:rPr>
              <w:t> </w:t>
            </w:r>
            <w:r>
              <w:rPr>
                <w:sz w:val="20"/>
              </w:rPr>
              <w:t>D15.2,</w:t>
            </w:r>
            <w:r>
              <w:rPr>
                <w:spacing w:val="-4"/>
                <w:sz w:val="20"/>
              </w:rPr>
              <w:t> </w:t>
            </w:r>
            <w:r>
              <w:rPr>
                <w:sz w:val="20"/>
              </w:rPr>
              <w:t>D15.7,</w:t>
            </w:r>
            <w:r>
              <w:rPr>
                <w:spacing w:val="-6"/>
                <w:sz w:val="20"/>
              </w:rPr>
              <w:t> </w:t>
            </w:r>
            <w:r>
              <w:rPr>
                <w:sz w:val="20"/>
              </w:rPr>
              <w:t>D15.9,</w:t>
            </w:r>
            <w:r>
              <w:rPr>
                <w:spacing w:val="-4"/>
                <w:sz w:val="20"/>
              </w:rPr>
              <w:t> </w:t>
            </w:r>
            <w:r>
              <w:rPr>
                <w:spacing w:val="-2"/>
                <w:sz w:val="20"/>
              </w:rPr>
              <w:t>D16.7,</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97"/>
              <w:rPr>
                <w:sz w:val="20"/>
              </w:rPr>
            </w:pPr>
            <w:r>
              <w:rPr>
                <w:sz w:val="20"/>
              </w:rPr>
              <w:t>D19.0,</w:t>
            </w:r>
            <w:r>
              <w:rPr>
                <w:spacing w:val="-5"/>
                <w:sz w:val="20"/>
              </w:rPr>
              <w:t> </w:t>
            </w:r>
            <w:r>
              <w:rPr>
                <w:sz w:val="20"/>
              </w:rPr>
              <w:t>D36,</w:t>
            </w:r>
            <w:r>
              <w:rPr>
                <w:spacing w:val="-5"/>
                <w:sz w:val="20"/>
              </w:rPr>
              <w:t> </w:t>
            </w:r>
            <w:r>
              <w:rPr>
                <w:sz w:val="20"/>
              </w:rPr>
              <w:t>D36.0,</w:t>
            </w:r>
            <w:r>
              <w:rPr>
                <w:spacing w:val="-5"/>
                <w:sz w:val="20"/>
              </w:rPr>
              <w:t> </w:t>
            </w:r>
            <w:r>
              <w:rPr>
                <w:sz w:val="20"/>
              </w:rPr>
              <w:t>D36.1,</w:t>
            </w:r>
            <w:r>
              <w:rPr>
                <w:spacing w:val="-5"/>
                <w:sz w:val="20"/>
              </w:rPr>
              <w:t> </w:t>
            </w:r>
            <w:r>
              <w:rPr>
                <w:sz w:val="20"/>
              </w:rPr>
              <w:t>D36.7,</w:t>
            </w:r>
            <w:r>
              <w:rPr>
                <w:spacing w:val="-5"/>
                <w:sz w:val="20"/>
              </w:rPr>
              <w:t> </w:t>
            </w:r>
            <w:r>
              <w:rPr>
                <w:sz w:val="20"/>
              </w:rPr>
              <w:t>D36.9,</w:t>
            </w:r>
            <w:r>
              <w:rPr>
                <w:spacing w:val="-5"/>
                <w:sz w:val="20"/>
              </w:rPr>
              <w:t> </w:t>
            </w:r>
            <w:r>
              <w:rPr>
                <w:spacing w:val="-2"/>
                <w:sz w:val="20"/>
              </w:rPr>
              <w:t>D37.0,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97"/>
              <w:rPr>
                <w:sz w:val="20"/>
              </w:rPr>
            </w:pPr>
            <w:r>
              <w:rPr>
                <w:sz w:val="20"/>
              </w:rPr>
              <w:t>D38,</w:t>
            </w:r>
            <w:r>
              <w:rPr>
                <w:spacing w:val="-6"/>
                <w:sz w:val="20"/>
              </w:rPr>
              <w:t> </w:t>
            </w:r>
            <w:r>
              <w:rPr>
                <w:sz w:val="20"/>
              </w:rPr>
              <w:t>D38.0,</w:t>
            </w:r>
            <w:r>
              <w:rPr>
                <w:spacing w:val="-6"/>
                <w:sz w:val="20"/>
              </w:rPr>
              <w:t> </w:t>
            </w:r>
            <w:r>
              <w:rPr>
                <w:sz w:val="20"/>
              </w:rPr>
              <w:t>D38.1,</w:t>
            </w:r>
            <w:r>
              <w:rPr>
                <w:spacing w:val="-5"/>
                <w:sz w:val="20"/>
              </w:rPr>
              <w:t> </w:t>
            </w:r>
            <w:r>
              <w:rPr>
                <w:sz w:val="20"/>
              </w:rPr>
              <w:t>D38.2,</w:t>
            </w:r>
            <w:r>
              <w:rPr>
                <w:spacing w:val="-6"/>
                <w:sz w:val="20"/>
              </w:rPr>
              <w:t> </w:t>
            </w:r>
            <w:r>
              <w:rPr>
                <w:sz w:val="20"/>
              </w:rPr>
              <w:t>D38.3,</w:t>
            </w:r>
            <w:r>
              <w:rPr>
                <w:spacing w:val="-5"/>
                <w:sz w:val="20"/>
              </w:rPr>
              <w:t> </w:t>
            </w:r>
            <w:r>
              <w:rPr>
                <w:sz w:val="20"/>
              </w:rPr>
              <w:t>D38.4,</w:t>
            </w:r>
            <w:r>
              <w:rPr>
                <w:spacing w:val="-6"/>
                <w:sz w:val="20"/>
              </w:rPr>
              <w:t> </w:t>
            </w:r>
            <w:r>
              <w:rPr>
                <w:spacing w:val="-2"/>
                <w:sz w:val="20"/>
              </w:rPr>
              <w:t>D38.5,</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54"/>
              <w:rPr>
                <w:sz w:val="20"/>
              </w:rPr>
            </w:pPr>
            <w:r>
              <w:rPr>
                <w:sz w:val="20"/>
              </w:rPr>
              <w:t>D38.6,</w:t>
            </w:r>
            <w:r>
              <w:rPr>
                <w:spacing w:val="-5"/>
                <w:sz w:val="20"/>
              </w:rPr>
              <w:t> </w:t>
            </w:r>
            <w:r>
              <w:rPr>
                <w:sz w:val="20"/>
              </w:rPr>
              <w:t>D86.0,</w:t>
            </w:r>
            <w:r>
              <w:rPr>
                <w:spacing w:val="-5"/>
                <w:sz w:val="20"/>
              </w:rPr>
              <w:t> </w:t>
            </w:r>
            <w:r>
              <w:rPr>
                <w:sz w:val="20"/>
              </w:rPr>
              <w:t>D86.1,</w:t>
            </w:r>
            <w:r>
              <w:rPr>
                <w:spacing w:val="-4"/>
                <w:sz w:val="20"/>
              </w:rPr>
              <w:t> </w:t>
            </w:r>
            <w:r>
              <w:rPr>
                <w:sz w:val="20"/>
              </w:rPr>
              <w:t>D86.2,</w:t>
            </w:r>
            <w:r>
              <w:rPr>
                <w:spacing w:val="-6"/>
                <w:sz w:val="20"/>
              </w:rPr>
              <w:t> </w:t>
            </w:r>
            <w:r>
              <w:rPr>
                <w:sz w:val="20"/>
              </w:rPr>
              <w:t>D86.8,</w:t>
            </w:r>
            <w:r>
              <w:rPr>
                <w:spacing w:val="-4"/>
                <w:sz w:val="20"/>
              </w:rPr>
              <w:t> </w:t>
            </w:r>
            <w:r>
              <w:rPr>
                <w:sz w:val="20"/>
              </w:rPr>
              <w:t>D86.9,</w:t>
            </w:r>
            <w:r>
              <w:rPr>
                <w:spacing w:val="-6"/>
                <w:sz w:val="20"/>
              </w:rPr>
              <w:t> </w:t>
            </w:r>
            <w:r>
              <w:rPr>
                <w:spacing w:val="-2"/>
                <w:sz w:val="20"/>
              </w:rPr>
              <w:t>J10.0,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66"/>
              <w:rPr>
                <w:sz w:val="20"/>
              </w:rPr>
            </w:pPr>
            <w:r>
              <w:rPr>
                <w:sz w:val="20"/>
              </w:rPr>
              <w:t>J11.0,</w:t>
            </w:r>
            <w:r>
              <w:rPr>
                <w:spacing w:val="-6"/>
                <w:sz w:val="20"/>
              </w:rPr>
              <w:t> </w:t>
            </w:r>
            <w:r>
              <w:rPr>
                <w:sz w:val="20"/>
              </w:rPr>
              <w:t>J12,</w:t>
            </w:r>
            <w:r>
              <w:rPr>
                <w:spacing w:val="-6"/>
                <w:sz w:val="20"/>
              </w:rPr>
              <w:t> </w:t>
            </w:r>
            <w:r>
              <w:rPr>
                <w:sz w:val="20"/>
              </w:rPr>
              <w:t>J12.0,</w:t>
            </w:r>
            <w:r>
              <w:rPr>
                <w:spacing w:val="-5"/>
                <w:sz w:val="20"/>
              </w:rPr>
              <w:t> </w:t>
            </w:r>
            <w:r>
              <w:rPr>
                <w:sz w:val="20"/>
              </w:rPr>
              <w:t>J12.1,</w:t>
            </w:r>
            <w:r>
              <w:rPr>
                <w:spacing w:val="-4"/>
                <w:sz w:val="20"/>
              </w:rPr>
              <w:t> </w:t>
            </w:r>
            <w:r>
              <w:rPr>
                <w:sz w:val="20"/>
              </w:rPr>
              <w:t>J12.2,</w:t>
            </w:r>
            <w:r>
              <w:rPr>
                <w:spacing w:val="-5"/>
                <w:sz w:val="20"/>
              </w:rPr>
              <w:t> </w:t>
            </w:r>
            <w:r>
              <w:rPr>
                <w:sz w:val="20"/>
              </w:rPr>
              <w:t>J12.3,</w:t>
            </w:r>
            <w:r>
              <w:rPr>
                <w:spacing w:val="-6"/>
                <w:sz w:val="20"/>
              </w:rPr>
              <w:t> </w:t>
            </w:r>
            <w:r>
              <w:rPr>
                <w:sz w:val="20"/>
              </w:rPr>
              <w:t>J12.8,</w:t>
            </w:r>
            <w:r>
              <w:rPr>
                <w:spacing w:val="-5"/>
                <w:sz w:val="20"/>
              </w:rPr>
              <w:t> </w:t>
            </w:r>
            <w:r>
              <w:rPr>
                <w:spacing w:val="-2"/>
                <w:sz w:val="20"/>
              </w:rPr>
              <w:t>J12.9,</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314"/>
              <w:rPr>
                <w:sz w:val="20"/>
              </w:rPr>
            </w:pPr>
            <w:r>
              <w:rPr>
                <w:sz w:val="20"/>
              </w:rPr>
              <w:t>J13,</w:t>
            </w:r>
            <w:r>
              <w:rPr>
                <w:spacing w:val="-6"/>
                <w:sz w:val="20"/>
              </w:rPr>
              <w:t> </w:t>
            </w:r>
            <w:r>
              <w:rPr>
                <w:sz w:val="20"/>
              </w:rPr>
              <w:t>J14,</w:t>
            </w:r>
            <w:r>
              <w:rPr>
                <w:spacing w:val="-6"/>
                <w:sz w:val="20"/>
              </w:rPr>
              <w:t> </w:t>
            </w:r>
            <w:r>
              <w:rPr>
                <w:sz w:val="20"/>
              </w:rPr>
              <w:t>J15,</w:t>
            </w:r>
            <w:r>
              <w:rPr>
                <w:spacing w:val="-4"/>
                <w:sz w:val="20"/>
              </w:rPr>
              <w:t> </w:t>
            </w:r>
            <w:r>
              <w:rPr>
                <w:sz w:val="20"/>
              </w:rPr>
              <w:t>J15.0,</w:t>
            </w:r>
            <w:r>
              <w:rPr>
                <w:spacing w:val="-5"/>
                <w:sz w:val="20"/>
              </w:rPr>
              <w:t> </w:t>
            </w:r>
            <w:r>
              <w:rPr>
                <w:sz w:val="20"/>
              </w:rPr>
              <w:t>J15.1,</w:t>
            </w:r>
            <w:r>
              <w:rPr>
                <w:spacing w:val="-4"/>
                <w:sz w:val="20"/>
              </w:rPr>
              <w:t> </w:t>
            </w:r>
            <w:r>
              <w:rPr>
                <w:sz w:val="20"/>
              </w:rPr>
              <w:t>J15.2,</w:t>
            </w:r>
            <w:r>
              <w:rPr>
                <w:spacing w:val="-6"/>
                <w:sz w:val="20"/>
              </w:rPr>
              <w:t> </w:t>
            </w:r>
            <w:r>
              <w:rPr>
                <w:sz w:val="20"/>
              </w:rPr>
              <w:t>J15.3,</w:t>
            </w:r>
            <w:r>
              <w:rPr>
                <w:spacing w:val="-5"/>
                <w:sz w:val="20"/>
              </w:rPr>
              <w:t> </w:t>
            </w:r>
            <w:r>
              <w:rPr>
                <w:spacing w:val="-2"/>
                <w:sz w:val="20"/>
              </w:rPr>
              <w:t>J15.4,</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J15.5,</w:t>
            </w:r>
            <w:r>
              <w:rPr>
                <w:spacing w:val="-5"/>
                <w:sz w:val="20"/>
              </w:rPr>
              <w:t> </w:t>
            </w:r>
            <w:r>
              <w:rPr>
                <w:sz w:val="20"/>
              </w:rPr>
              <w:t>J15.6,</w:t>
            </w:r>
            <w:r>
              <w:rPr>
                <w:spacing w:val="-5"/>
                <w:sz w:val="20"/>
              </w:rPr>
              <w:t> </w:t>
            </w:r>
            <w:r>
              <w:rPr>
                <w:sz w:val="20"/>
              </w:rPr>
              <w:t>J15.7,</w:t>
            </w:r>
            <w:r>
              <w:rPr>
                <w:spacing w:val="-5"/>
                <w:sz w:val="20"/>
              </w:rPr>
              <w:t> </w:t>
            </w:r>
            <w:r>
              <w:rPr>
                <w:sz w:val="20"/>
              </w:rPr>
              <w:t>J15.8,</w:t>
            </w:r>
            <w:r>
              <w:rPr>
                <w:spacing w:val="-4"/>
                <w:sz w:val="20"/>
              </w:rPr>
              <w:t> </w:t>
            </w:r>
            <w:r>
              <w:rPr>
                <w:sz w:val="20"/>
              </w:rPr>
              <w:t>J15.9,</w:t>
            </w:r>
            <w:r>
              <w:rPr>
                <w:spacing w:val="-3"/>
                <w:sz w:val="20"/>
              </w:rPr>
              <w:t> </w:t>
            </w:r>
            <w:r>
              <w:rPr>
                <w:sz w:val="20"/>
              </w:rPr>
              <w:t>J16,</w:t>
            </w:r>
            <w:r>
              <w:rPr>
                <w:spacing w:val="-5"/>
                <w:sz w:val="20"/>
              </w:rPr>
              <w:t> </w:t>
            </w:r>
            <w:r>
              <w:rPr>
                <w:sz w:val="20"/>
              </w:rPr>
              <w:t>J16.0,</w:t>
            </w:r>
            <w:r>
              <w:rPr>
                <w:spacing w:val="-4"/>
                <w:sz w:val="20"/>
              </w:rPr>
              <w:t> </w:t>
            </w:r>
            <w:r>
              <w:rPr>
                <w:spacing w:val="-2"/>
                <w:sz w:val="20"/>
              </w:rPr>
              <w:t>J16.8,</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240"/>
              <w:rPr>
                <w:sz w:val="20"/>
              </w:rPr>
            </w:pPr>
            <w:r>
              <w:rPr>
                <w:sz w:val="20"/>
              </w:rPr>
              <w:t>J17,</w:t>
            </w:r>
            <w:r>
              <w:rPr>
                <w:spacing w:val="-6"/>
                <w:sz w:val="20"/>
              </w:rPr>
              <w:t> </w:t>
            </w:r>
            <w:r>
              <w:rPr>
                <w:sz w:val="20"/>
              </w:rPr>
              <w:t>J17.0,</w:t>
            </w:r>
            <w:r>
              <w:rPr>
                <w:spacing w:val="-6"/>
                <w:sz w:val="20"/>
              </w:rPr>
              <w:t> </w:t>
            </w:r>
            <w:r>
              <w:rPr>
                <w:sz w:val="20"/>
              </w:rPr>
              <w:t>J17.1,</w:t>
            </w:r>
            <w:r>
              <w:rPr>
                <w:spacing w:val="-5"/>
                <w:sz w:val="20"/>
              </w:rPr>
              <w:t> </w:t>
            </w:r>
            <w:r>
              <w:rPr>
                <w:sz w:val="20"/>
              </w:rPr>
              <w:t>J17.2,</w:t>
            </w:r>
            <w:r>
              <w:rPr>
                <w:spacing w:val="-4"/>
                <w:sz w:val="20"/>
              </w:rPr>
              <w:t> </w:t>
            </w:r>
            <w:r>
              <w:rPr>
                <w:sz w:val="20"/>
              </w:rPr>
              <w:t>J17.3,</w:t>
            </w:r>
            <w:r>
              <w:rPr>
                <w:spacing w:val="-6"/>
                <w:sz w:val="20"/>
              </w:rPr>
              <w:t> </w:t>
            </w:r>
            <w:r>
              <w:rPr>
                <w:sz w:val="20"/>
              </w:rPr>
              <w:t>J17.8,</w:t>
            </w:r>
            <w:r>
              <w:rPr>
                <w:spacing w:val="-5"/>
                <w:sz w:val="20"/>
              </w:rPr>
              <w:t> </w:t>
            </w:r>
            <w:r>
              <w:rPr>
                <w:sz w:val="20"/>
              </w:rPr>
              <w:t>J18,</w:t>
            </w:r>
            <w:r>
              <w:rPr>
                <w:spacing w:val="-4"/>
                <w:sz w:val="20"/>
              </w:rPr>
              <w:t> </w:t>
            </w:r>
            <w:r>
              <w:rPr>
                <w:spacing w:val="-2"/>
                <w:sz w:val="20"/>
              </w:rPr>
              <w:t>J18.0,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J18.1,</w:t>
            </w:r>
            <w:r>
              <w:rPr>
                <w:spacing w:val="-6"/>
                <w:sz w:val="20"/>
              </w:rPr>
              <w:t> </w:t>
            </w:r>
            <w:r>
              <w:rPr>
                <w:sz w:val="20"/>
              </w:rPr>
              <w:t>J18.2,</w:t>
            </w:r>
            <w:r>
              <w:rPr>
                <w:spacing w:val="-5"/>
                <w:sz w:val="20"/>
              </w:rPr>
              <w:t> </w:t>
            </w:r>
            <w:r>
              <w:rPr>
                <w:sz w:val="20"/>
              </w:rPr>
              <w:t>J18.8,</w:t>
            </w:r>
            <w:r>
              <w:rPr>
                <w:spacing w:val="-5"/>
                <w:sz w:val="20"/>
              </w:rPr>
              <w:t> </w:t>
            </w:r>
            <w:r>
              <w:rPr>
                <w:sz w:val="20"/>
              </w:rPr>
              <w:t>J18.9,</w:t>
            </w:r>
            <w:r>
              <w:rPr>
                <w:spacing w:val="-6"/>
                <w:sz w:val="20"/>
              </w:rPr>
              <w:t> </w:t>
            </w:r>
            <w:r>
              <w:rPr>
                <w:sz w:val="20"/>
              </w:rPr>
              <w:t>J20,</w:t>
            </w:r>
            <w:r>
              <w:rPr>
                <w:spacing w:val="-5"/>
                <w:sz w:val="20"/>
              </w:rPr>
              <w:t> </w:t>
            </w:r>
            <w:r>
              <w:rPr>
                <w:sz w:val="20"/>
              </w:rPr>
              <w:t>J20.0,</w:t>
            </w:r>
            <w:r>
              <w:rPr>
                <w:spacing w:val="-5"/>
                <w:sz w:val="20"/>
              </w:rPr>
              <w:t> </w:t>
            </w:r>
            <w:r>
              <w:rPr>
                <w:sz w:val="20"/>
              </w:rPr>
              <w:t>J20.1,</w:t>
            </w:r>
            <w:r>
              <w:rPr>
                <w:spacing w:val="-5"/>
                <w:sz w:val="20"/>
              </w:rPr>
              <w:t> </w:t>
            </w:r>
            <w:r>
              <w:rPr>
                <w:spacing w:val="-2"/>
                <w:sz w:val="20"/>
              </w:rPr>
              <w:t>J20.2,</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66"/>
              <w:rPr>
                <w:sz w:val="20"/>
              </w:rPr>
            </w:pPr>
            <w:r>
              <w:rPr>
                <w:sz w:val="20"/>
              </w:rPr>
              <w:t>J20.3,</w:t>
            </w:r>
            <w:r>
              <w:rPr>
                <w:spacing w:val="-7"/>
                <w:sz w:val="20"/>
              </w:rPr>
              <w:t> </w:t>
            </w:r>
            <w:r>
              <w:rPr>
                <w:sz w:val="20"/>
              </w:rPr>
              <w:t>J20.4,</w:t>
            </w:r>
            <w:r>
              <w:rPr>
                <w:spacing w:val="-6"/>
                <w:sz w:val="20"/>
              </w:rPr>
              <w:t> </w:t>
            </w:r>
            <w:r>
              <w:rPr>
                <w:sz w:val="20"/>
              </w:rPr>
              <w:t>J20.5,</w:t>
            </w:r>
            <w:r>
              <w:rPr>
                <w:spacing w:val="-6"/>
                <w:sz w:val="20"/>
              </w:rPr>
              <w:t> </w:t>
            </w:r>
            <w:r>
              <w:rPr>
                <w:sz w:val="20"/>
              </w:rPr>
              <w:t>J20.6,</w:t>
            </w:r>
            <w:r>
              <w:rPr>
                <w:spacing w:val="-6"/>
                <w:sz w:val="20"/>
              </w:rPr>
              <w:t> </w:t>
            </w:r>
            <w:r>
              <w:rPr>
                <w:sz w:val="20"/>
              </w:rPr>
              <w:t>J20.7,</w:t>
            </w:r>
            <w:r>
              <w:rPr>
                <w:spacing w:val="-4"/>
                <w:sz w:val="20"/>
              </w:rPr>
              <w:t> </w:t>
            </w:r>
            <w:r>
              <w:rPr>
                <w:sz w:val="20"/>
              </w:rPr>
              <w:t>J20.8,</w:t>
            </w:r>
            <w:r>
              <w:rPr>
                <w:spacing w:val="-5"/>
                <w:sz w:val="20"/>
              </w:rPr>
              <w:t> </w:t>
            </w:r>
            <w:r>
              <w:rPr>
                <w:sz w:val="20"/>
              </w:rPr>
              <w:t>J20.9,</w:t>
            </w:r>
            <w:r>
              <w:rPr>
                <w:spacing w:val="-4"/>
                <w:sz w:val="20"/>
              </w:rPr>
              <w:t> J21,</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314"/>
              <w:rPr>
                <w:sz w:val="20"/>
              </w:rPr>
            </w:pPr>
            <w:r>
              <w:rPr>
                <w:sz w:val="20"/>
              </w:rPr>
              <w:t>J21.0,</w:t>
            </w:r>
            <w:r>
              <w:rPr>
                <w:spacing w:val="-5"/>
                <w:sz w:val="20"/>
              </w:rPr>
              <w:t> </w:t>
            </w:r>
            <w:r>
              <w:rPr>
                <w:sz w:val="20"/>
              </w:rPr>
              <w:t>J21.1,</w:t>
            </w:r>
            <w:r>
              <w:rPr>
                <w:spacing w:val="-5"/>
                <w:sz w:val="20"/>
              </w:rPr>
              <w:t> </w:t>
            </w:r>
            <w:r>
              <w:rPr>
                <w:sz w:val="20"/>
              </w:rPr>
              <w:t>J21.8,</w:t>
            </w:r>
            <w:r>
              <w:rPr>
                <w:spacing w:val="-5"/>
                <w:sz w:val="20"/>
              </w:rPr>
              <w:t> </w:t>
            </w:r>
            <w:r>
              <w:rPr>
                <w:sz w:val="20"/>
              </w:rPr>
              <w:t>J21.9,</w:t>
            </w:r>
            <w:r>
              <w:rPr>
                <w:spacing w:val="-5"/>
                <w:sz w:val="20"/>
              </w:rPr>
              <w:t> </w:t>
            </w:r>
            <w:r>
              <w:rPr>
                <w:sz w:val="20"/>
              </w:rPr>
              <w:t>J22,</w:t>
            </w:r>
            <w:r>
              <w:rPr>
                <w:spacing w:val="-5"/>
                <w:sz w:val="20"/>
              </w:rPr>
              <w:t> </w:t>
            </w:r>
            <w:r>
              <w:rPr>
                <w:sz w:val="20"/>
              </w:rPr>
              <w:t>J40,</w:t>
            </w:r>
            <w:r>
              <w:rPr>
                <w:spacing w:val="-3"/>
                <w:sz w:val="20"/>
              </w:rPr>
              <w:t> </w:t>
            </w:r>
            <w:r>
              <w:rPr>
                <w:sz w:val="20"/>
              </w:rPr>
              <w:t>J41,</w:t>
            </w:r>
            <w:r>
              <w:rPr>
                <w:spacing w:val="-5"/>
                <w:sz w:val="20"/>
              </w:rPr>
              <w:t> </w:t>
            </w:r>
            <w:r>
              <w:rPr>
                <w:spacing w:val="-2"/>
                <w:sz w:val="20"/>
              </w:rPr>
              <w:t>J41.0,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1" w:lineRule="exact"/>
              <w:ind w:left="240"/>
              <w:rPr>
                <w:sz w:val="20"/>
              </w:rPr>
            </w:pPr>
            <w:r>
              <w:rPr>
                <w:sz w:val="20"/>
              </w:rPr>
              <w:t>J41.1,</w:t>
            </w:r>
            <w:r>
              <w:rPr>
                <w:spacing w:val="-5"/>
                <w:sz w:val="20"/>
              </w:rPr>
              <w:t> </w:t>
            </w:r>
            <w:r>
              <w:rPr>
                <w:sz w:val="20"/>
              </w:rPr>
              <w:t>J41.8,</w:t>
            </w:r>
            <w:r>
              <w:rPr>
                <w:spacing w:val="-5"/>
                <w:sz w:val="20"/>
              </w:rPr>
              <w:t> </w:t>
            </w:r>
            <w:r>
              <w:rPr>
                <w:sz w:val="20"/>
              </w:rPr>
              <w:t>J42,</w:t>
            </w:r>
            <w:r>
              <w:rPr>
                <w:spacing w:val="-4"/>
                <w:sz w:val="20"/>
              </w:rPr>
              <w:t> </w:t>
            </w:r>
            <w:r>
              <w:rPr>
                <w:sz w:val="20"/>
              </w:rPr>
              <w:t>J43,</w:t>
            </w:r>
            <w:r>
              <w:rPr>
                <w:spacing w:val="-5"/>
                <w:sz w:val="20"/>
              </w:rPr>
              <w:t> </w:t>
            </w:r>
            <w:r>
              <w:rPr>
                <w:sz w:val="20"/>
              </w:rPr>
              <w:t>J43.0,</w:t>
            </w:r>
            <w:r>
              <w:rPr>
                <w:spacing w:val="-1"/>
                <w:sz w:val="20"/>
              </w:rPr>
              <w:t> </w:t>
            </w:r>
            <w:r>
              <w:rPr>
                <w:sz w:val="20"/>
              </w:rPr>
              <w:t>J43.1,</w:t>
            </w:r>
            <w:r>
              <w:rPr>
                <w:spacing w:val="-4"/>
                <w:sz w:val="20"/>
              </w:rPr>
              <w:t> </w:t>
            </w:r>
            <w:r>
              <w:rPr>
                <w:sz w:val="20"/>
              </w:rPr>
              <w:t>J43.2,</w:t>
            </w:r>
            <w:r>
              <w:rPr>
                <w:spacing w:val="-5"/>
                <w:sz w:val="20"/>
              </w:rPr>
              <w:t> </w:t>
            </w:r>
            <w:r>
              <w:rPr>
                <w:spacing w:val="-2"/>
                <w:sz w:val="20"/>
              </w:rPr>
              <w:t>J43.8,</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240"/>
              <w:rPr>
                <w:sz w:val="20"/>
              </w:rPr>
            </w:pPr>
            <w:r>
              <w:rPr>
                <w:sz w:val="20"/>
              </w:rPr>
              <w:t>J43.9,</w:t>
            </w:r>
            <w:r>
              <w:rPr>
                <w:spacing w:val="-6"/>
                <w:sz w:val="20"/>
              </w:rPr>
              <w:t> </w:t>
            </w:r>
            <w:r>
              <w:rPr>
                <w:sz w:val="20"/>
              </w:rPr>
              <w:t>J44,</w:t>
            </w:r>
            <w:r>
              <w:rPr>
                <w:spacing w:val="-5"/>
                <w:sz w:val="20"/>
              </w:rPr>
              <w:t> </w:t>
            </w:r>
            <w:r>
              <w:rPr>
                <w:sz w:val="20"/>
              </w:rPr>
              <w:t>J44.0,</w:t>
            </w:r>
            <w:r>
              <w:rPr>
                <w:spacing w:val="-6"/>
                <w:sz w:val="20"/>
              </w:rPr>
              <w:t> </w:t>
            </w:r>
            <w:r>
              <w:rPr>
                <w:sz w:val="20"/>
              </w:rPr>
              <w:t>J44.1,</w:t>
            </w:r>
            <w:r>
              <w:rPr>
                <w:spacing w:val="-3"/>
                <w:sz w:val="20"/>
              </w:rPr>
              <w:t> </w:t>
            </w:r>
            <w:r>
              <w:rPr>
                <w:sz w:val="20"/>
              </w:rPr>
              <w:t>J44.8,</w:t>
            </w:r>
            <w:r>
              <w:rPr>
                <w:spacing w:val="-6"/>
                <w:sz w:val="20"/>
              </w:rPr>
              <w:t> </w:t>
            </w:r>
            <w:r>
              <w:rPr>
                <w:sz w:val="20"/>
              </w:rPr>
              <w:t>J44.9,</w:t>
            </w:r>
            <w:r>
              <w:rPr>
                <w:spacing w:val="-5"/>
                <w:sz w:val="20"/>
              </w:rPr>
              <w:t> </w:t>
            </w:r>
            <w:r>
              <w:rPr>
                <w:sz w:val="20"/>
              </w:rPr>
              <w:t>J45,</w:t>
            </w:r>
            <w:r>
              <w:rPr>
                <w:spacing w:val="-4"/>
                <w:sz w:val="20"/>
              </w:rPr>
              <w:t> </w:t>
            </w:r>
            <w:r>
              <w:rPr>
                <w:spacing w:val="-2"/>
                <w:sz w:val="20"/>
              </w:rPr>
              <w:t>J45.0,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202"/>
              <w:rPr>
                <w:sz w:val="20"/>
              </w:rPr>
            </w:pPr>
            <w:r>
              <w:rPr>
                <w:sz w:val="20"/>
              </w:rPr>
              <w:t>J45.1,</w:t>
            </w:r>
            <w:r>
              <w:rPr>
                <w:spacing w:val="-5"/>
                <w:sz w:val="20"/>
              </w:rPr>
              <w:t> </w:t>
            </w:r>
            <w:r>
              <w:rPr>
                <w:sz w:val="20"/>
              </w:rPr>
              <w:t>J45.8,</w:t>
            </w:r>
            <w:r>
              <w:rPr>
                <w:spacing w:val="-4"/>
                <w:sz w:val="20"/>
              </w:rPr>
              <w:t> </w:t>
            </w:r>
            <w:r>
              <w:rPr>
                <w:sz w:val="20"/>
              </w:rPr>
              <w:t>J45.9,</w:t>
            </w:r>
            <w:r>
              <w:rPr>
                <w:spacing w:val="-5"/>
                <w:sz w:val="20"/>
              </w:rPr>
              <w:t> </w:t>
            </w:r>
            <w:r>
              <w:rPr>
                <w:sz w:val="20"/>
              </w:rPr>
              <w:t>J46,</w:t>
            </w:r>
            <w:r>
              <w:rPr>
                <w:spacing w:val="-2"/>
                <w:sz w:val="20"/>
              </w:rPr>
              <w:t> </w:t>
            </w:r>
            <w:r>
              <w:rPr>
                <w:sz w:val="20"/>
              </w:rPr>
              <w:t>J47,</w:t>
            </w:r>
            <w:r>
              <w:rPr>
                <w:spacing w:val="-5"/>
                <w:sz w:val="20"/>
              </w:rPr>
              <w:t> </w:t>
            </w:r>
            <w:r>
              <w:rPr>
                <w:sz w:val="20"/>
              </w:rPr>
              <w:t>J60,</w:t>
            </w:r>
            <w:r>
              <w:rPr>
                <w:spacing w:val="-4"/>
                <w:sz w:val="20"/>
              </w:rPr>
              <w:t> </w:t>
            </w:r>
            <w:r>
              <w:rPr>
                <w:sz w:val="20"/>
              </w:rPr>
              <w:t>J61,</w:t>
            </w:r>
            <w:r>
              <w:rPr>
                <w:spacing w:val="-5"/>
                <w:sz w:val="20"/>
              </w:rPr>
              <w:t> </w:t>
            </w:r>
            <w:r>
              <w:rPr>
                <w:sz w:val="20"/>
              </w:rPr>
              <w:t>J62,</w:t>
            </w:r>
            <w:r>
              <w:rPr>
                <w:spacing w:val="-4"/>
                <w:sz w:val="20"/>
              </w:rPr>
              <w:t> </w:t>
            </w:r>
            <w:r>
              <w:rPr>
                <w:spacing w:val="-2"/>
                <w:sz w:val="20"/>
              </w:rPr>
              <w:t>J62.0,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J62.8,</w:t>
            </w:r>
            <w:r>
              <w:rPr>
                <w:spacing w:val="-6"/>
                <w:sz w:val="20"/>
              </w:rPr>
              <w:t> </w:t>
            </w:r>
            <w:r>
              <w:rPr>
                <w:sz w:val="20"/>
              </w:rPr>
              <w:t>J63,</w:t>
            </w:r>
            <w:r>
              <w:rPr>
                <w:spacing w:val="-6"/>
                <w:sz w:val="20"/>
              </w:rPr>
              <w:t> </w:t>
            </w:r>
            <w:r>
              <w:rPr>
                <w:sz w:val="20"/>
              </w:rPr>
              <w:t>J63.0,</w:t>
            </w:r>
            <w:r>
              <w:rPr>
                <w:spacing w:val="-5"/>
                <w:sz w:val="20"/>
              </w:rPr>
              <w:t> </w:t>
            </w:r>
            <w:r>
              <w:rPr>
                <w:sz w:val="20"/>
              </w:rPr>
              <w:t>J63.1,</w:t>
            </w:r>
            <w:r>
              <w:rPr>
                <w:spacing w:val="-4"/>
                <w:sz w:val="20"/>
              </w:rPr>
              <w:t> </w:t>
            </w:r>
            <w:r>
              <w:rPr>
                <w:sz w:val="20"/>
              </w:rPr>
              <w:t>J63.2,</w:t>
            </w:r>
            <w:r>
              <w:rPr>
                <w:spacing w:val="-5"/>
                <w:sz w:val="20"/>
              </w:rPr>
              <w:t> </w:t>
            </w:r>
            <w:r>
              <w:rPr>
                <w:sz w:val="20"/>
              </w:rPr>
              <w:t>J63.3,</w:t>
            </w:r>
            <w:r>
              <w:rPr>
                <w:spacing w:val="-6"/>
                <w:sz w:val="20"/>
              </w:rPr>
              <w:t> </w:t>
            </w:r>
            <w:r>
              <w:rPr>
                <w:sz w:val="20"/>
              </w:rPr>
              <w:t>J63.4,</w:t>
            </w:r>
            <w:r>
              <w:rPr>
                <w:spacing w:val="-5"/>
                <w:sz w:val="20"/>
              </w:rPr>
              <w:t> </w:t>
            </w:r>
            <w:r>
              <w:rPr>
                <w:spacing w:val="-2"/>
                <w:sz w:val="20"/>
              </w:rPr>
              <w:t>J63.5,</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314"/>
              <w:rPr>
                <w:sz w:val="20"/>
              </w:rPr>
            </w:pPr>
            <w:r>
              <w:rPr>
                <w:sz w:val="20"/>
              </w:rPr>
              <w:t>J63.8,</w:t>
            </w:r>
            <w:r>
              <w:rPr>
                <w:spacing w:val="-6"/>
                <w:sz w:val="20"/>
              </w:rPr>
              <w:t> </w:t>
            </w:r>
            <w:r>
              <w:rPr>
                <w:sz w:val="20"/>
              </w:rPr>
              <w:t>J64,</w:t>
            </w:r>
            <w:r>
              <w:rPr>
                <w:spacing w:val="-5"/>
                <w:sz w:val="20"/>
              </w:rPr>
              <w:t> </w:t>
            </w:r>
            <w:r>
              <w:rPr>
                <w:sz w:val="20"/>
              </w:rPr>
              <w:t>J65,</w:t>
            </w:r>
            <w:r>
              <w:rPr>
                <w:spacing w:val="-6"/>
                <w:sz w:val="20"/>
              </w:rPr>
              <w:t> </w:t>
            </w:r>
            <w:r>
              <w:rPr>
                <w:sz w:val="20"/>
              </w:rPr>
              <w:t>J66,</w:t>
            </w:r>
            <w:r>
              <w:rPr>
                <w:spacing w:val="-3"/>
                <w:sz w:val="20"/>
              </w:rPr>
              <w:t> </w:t>
            </w:r>
            <w:r>
              <w:rPr>
                <w:sz w:val="20"/>
              </w:rPr>
              <w:t>J66.0,</w:t>
            </w:r>
            <w:r>
              <w:rPr>
                <w:spacing w:val="-4"/>
                <w:sz w:val="20"/>
              </w:rPr>
              <w:t> </w:t>
            </w:r>
            <w:r>
              <w:rPr>
                <w:sz w:val="20"/>
              </w:rPr>
              <w:t>J66.1,</w:t>
            </w:r>
            <w:r>
              <w:rPr>
                <w:spacing w:val="-5"/>
                <w:sz w:val="20"/>
              </w:rPr>
              <w:t> </w:t>
            </w:r>
            <w:r>
              <w:rPr>
                <w:sz w:val="20"/>
              </w:rPr>
              <w:t>J66.2,</w:t>
            </w:r>
            <w:r>
              <w:rPr>
                <w:spacing w:val="-5"/>
                <w:sz w:val="20"/>
              </w:rPr>
              <w:t> </w:t>
            </w:r>
            <w:r>
              <w:rPr>
                <w:spacing w:val="-2"/>
                <w:sz w:val="20"/>
              </w:rPr>
              <w:t>J66.8,</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66"/>
              <w:rPr>
                <w:sz w:val="20"/>
              </w:rPr>
            </w:pPr>
            <w:r>
              <w:rPr>
                <w:sz w:val="20"/>
              </w:rPr>
              <w:t>J67,</w:t>
            </w:r>
            <w:r>
              <w:rPr>
                <w:spacing w:val="-6"/>
                <w:sz w:val="20"/>
              </w:rPr>
              <w:t> </w:t>
            </w:r>
            <w:r>
              <w:rPr>
                <w:sz w:val="20"/>
              </w:rPr>
              <w:t>J67.0,</w:t>
            </w:r>
            <w:r>
              <w:rPr>
                <w:spacing w:val="-6"/>
                <w:sz w:val="20"/>
              </w:rPr>
              <w:t> </w:t>
            </w:r>
            <w:r>
              <w:rPr>
                <w:sz w:val="20"/>
              </w:rPr>
              <w:t>J67.1,</w:t>
            </w:r>
            <w:r>
              <w:rPr>
                <w:spacing w:val="-5"/>
                <w:sz w:val="20"/>
              </w:rPr>
              <w:t> </w:t>
            </w:r>
            <w:r>
              <w:rPr>
                <w:sz w:val="20"/>
              </w:rPr>
              <w:t>J67.2,</w:t>
            </w:r>
            <w:r>
              <w:rPr>
                <w:spacing w:val="-1"/>
                <w:sz w:val="20"/>
              </w:rPr>
              <w:t> </w:t>
            </w:r>
            <w:r>
              <w:rPr>
                <w:sz w:val="20"/>
              </w:rPr>
              <w:t>J67.3,</w:t>
            </w:r>
            <w:r>
              <w:rPr>
                <w:spacing w:val="-5"/>
                <w:sz w:val="20"/>
              </w:rPr>
              <w:t> </w:t>
            </w:r>
            <w:r>
              <w:rPr>
                <w:sz w:val="20"/>
              </w:rPr>
              <w:t>J67.4,</w:t>
            </w:r>
            <w:r>
              <w:rPr>
                <w:spacing w:val="-6"/>
                <w:sz w:val="20"/>
              </w:rPr>
              <w:t> </w:t>
            </w:r>
            <w:r>
              <w:rPr>
                <w:sz w:val="20"/>
              </w:rPr>
              <w:t>J67.5,</w:t>
            </w:r>
            <w:r>
              <w:rPr>
                <w:spacing w:val="-5"/>
                <w:sz w:val="20"/>
              </w:rPr>
              <w:t> </w:t>
            </w:r>
            <w:r>
              <w:rPr>
                <w:spacing w:val="-2"/>
                <w:sz w:val="20"/>
              </w:rPr>
              <w:t>J67.6,</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J67.7,</w:t>
            </w:r>
            <w:r>
              <w:rPr>
                <w:spacing w:val="-6"/>
                <w:sz w:val="20"/>
              </w:rPr>
              <w:t> </w:t>
            </w:r>
            <w:r>
              <w:rPr>
                <w:sz w:val="20"/>
              </w:rPr>
              <w:t>J67.8,</w:t>
            </w:r>
            <w:r>
              <w:rPr>
                <w:spacing w:val="-6"/>
                <w:sz w:val="20"/>
              </w:rPr>
              <w:t> </w:t>
            </w:r>
            <w:r>
              <w:rPr>
                <w:sz w:val="20"/>
              </w:rPr>
              <w:t>J67.9,</w:t>
            </w:r>
            <w:r>
              <w:rPr>
                <w:spacing w:val="-5"/>
                <w:sz w:val="20"/>
              </w:rPr>
              <w:t> </w:t>
            </w:r>
            <w:r>
              <w:rPr>
                <w:sz w:val="20"/>
              </w:rPr>
              <w:t>J68,</w:t>
            </w:r>
            <w:r>
              <w:rPr>
                <w:spacing w:val="-4"/>
                <w:sz w:val="20"/>
              </w:rPr>
              <w:t> </w:t>
            </w:r>
            <w:r>
              <w:rPr>
                <w:sz w:val="20"/>
              </w:rPr>
              <w:t>J68.0,</w:t>
            </w:r>
            <w:r>
              <w:rPr>
                <w:spacing w:val="-5"/>
                <w:sz w:val="20"/>
              </w:rPr>
              <w:t> </w:t>
            </w:r>
            <w:r>
              <w:rPr>
                <w:sz w:val="20"/>
              </w:rPr>
              <w:t>J68.1,</w:t>
            </w:r>
            <w:r>
              <w:rPr>
                <w:spacing w:val="-6"/>
                <w:sz w:val="20"/>
              </w:rPr>
              <w:t> </w:t>
            </w:r>
            <w:r>
              <w:rPr>
                <w:sz w:val="20"/>
              </w:rPr>
              <w:t>J68.2,</w:t>
            </w:r>
            <w:r>
              <w:rPr>
                <w:spacing w:val="-5"/>
                <w:sz w:val="20"/>
              </w:rPr>
              <w:t> </w:t>
            </w:r>
            <w:r>
              <w:rPr>
                <w:spacing w:val="-2"/>
                <w:sz w:val="20"/>
              </w:rPr>
              <w:t>J68.3,</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5" w:lineRule="exact"/>
              <w:ind w:left="240"/>
              <w:rPr>
                <w:sz w:val="20"/>
              </w:rPr>
            </w:pPr>
            <w:r>
              <w:rPr>
                <w:sz w:val="20"/>
              </w:rPr>
              <w:t>J68.4,</w:t>
            </w:r>
            <w:r>
              <w:rPr>
                <w:spacing w:val="-6"/>
                <w:sz w:val="20"/>
              </w:rPr>
              <w:t> </w:t>
            </w:r>
            <w:r>
              <w:rPr>
                <w:sz w:val="20"/>
              </w:rPr>
              <w:t>J68.8,</w:t>
            </w:r>
            <w:r>
              <w:rPr>
                <w:spacing w:val="-6"/>
                <w:sz w:val="20"/>
              </w:rPr>
              <w:t> </w:t>
            </w:r>
            <w:r>
              <w:rPr>
                <w:sz w:val="20"/>
              </w:rPr>
              <w:t>J68.9,</w:t>
            </w:r>
            <w:r>
              <w:rPr>
                <w:spacing w:val="-5"/>
                <w:sz w:val="20"/>
              </w:rPr>
              <w:t> </w:t>
            </w:r>
            <w:r>
              <w:rPr>
                <w:sz w:val="20"/>
              </w:rPr>
              <w:t>J69,</w:t>
            </w:r>
            <w:r>
              <w:rPr>
                <w:spacing w:val="-4"/>
                <w:sz w:val="20"/>
              </w:rPr>
              <w:t> </w:t>
            </w:r>
            <w:r>
              <w:rPr>
                <w:sz w:val="20"/>
              </w:rPr>
              <w:t>J69.0,</w:t>
            </w:r>
            <w:r>
              <w:rPr>
                <w:spacing w:val="-5"/>
                <w:sz w:val="20"/>
              </w:rPr>
              <w:t> </w:t>
            </w:r>
            <w:r>
              <w:rPr>
                <w:sz w:val="20"/>
              </w:rPr>
              <w:t>J69.1,</w:t>
            </w:r>
            <w:r>
              <w:rPr>
                <w:spacing w:val="-6"/>
                <w:sz w:val="20"/>
              </w:rPr>
              <w:t> </w:t>
            </w:r>
            <w:r>
              <w:rPr>
                <w:sz w:val="20"/>
              </w:rPr>
              <w:t>J69.8,</w:t>
            </w:r>
            <w:r>
              <w:rPr>
                <w:spacing w:val="-5"/>
                <w:sz w:val="20"/>
              </w:rPr>
              <w:t> </w:t>
            </w:r>
            <w:r>
              <w:rPr>
                <w:spacing w:val="-4"/>
                <w:sz w:val="20"/>
              </w:rPr>
              <w:t>J70,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39"/>
        <w:gridCol w:w="5211"/>
        <w:gridCol w:w="1888"/>
        <w:gridCol w:w="3120"/>
        <w:gridCol w:w="866"/>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539" w:type="dxa"/>
            <w:vMerge w:val="restart"/>
          </w:tcPr>
          <w:p>
            <w:pPr>
              <w:pStyle w:val="TableParagraph"/>
              <w:rPr>
                <w:sz w:val="18"/>
              </w:rPr>
            </w:pPr>
          </w:p>
        </w:tc>
        <w:tc>
          <w:tcPr>
            <w:tcW w:w="5211" w:type="dxa"/>
          </w:tcPr>
          <w:p>
            <w:pPr>
              <w:pStyle w:val="TableParagraph"/>
              <w:spacing w:line="205" w:lineRule="exact"/>
              <w:ind w:left="170"/>
              <w:rPr>
                <w:sz w:val="20"/>
              </w:rPr>
            </w:pPr>
            <w:r>
              <w:rPr>
                <w:sz w:val="20"/>
              </w:rPr>
              <w:t>J70.0,</w:t>
            </w:r>
            <w:r>
              <w:rPr>
                <w:spacing w:val="-7"/>
                <w:sz w:val="20"/>
              </w:rPr>
              <w:t> </w:t>
            </w:r>
            <w:r>
              <w:rPr>
                <w:sz w:val="20"/>
              </w:rPr>
              <w:t>J70.1,</w:t>
            </w:r>
            <w:r>
              <w:rPr>
                <w:spacing w:val="-6"/>
                <w:sz w:val="20"/>
              </w:rPr>
              <w:t> </w:t>
            </w:r>
            <w:r>
              <w:rPr>
                <w:sz w:val="20"/>
              </w:rPr>
              <w:t>J70.2,</w:t>
            </w:r>
            <w:r>
              <w:rPr>
                <w:spacing w:val="-6"/>
                <w:sz w:val="20"/>
              </w:rPr>
              <w:t> </w:t>
            </w:r>
            <w:r>
              <w:rPr>
                <w:sz w:val="20"/>
              </w:rPr>
              <w:t>J70.3,</w:t>
            </w:r>
            <w:r>
              <w:rPr>
                <w:spacing w:val="-6"/>
                <w:sz w:val="20"/>
              </w:rPr>
              <w:t> </w:t>
            </w:r>
            <w:r>
              <w:rPr>
                <w:sz w:val="20"/>
              </w:rPr>
              <w:t>J70.4,</w:t>
            </w:r>
            <w:r>
              <w:rPr>
                <w:spacing w:val="-4"/>
                <w:sz w:val="20"/>
              </w:rPr>
              <w:t> </w:t>
            </w:r>
            <w:r>
              <w:rPr>
                <w:sz w:val="20"/>
              </w:rPr>
              <w:t>J70.8,</w:t>
            </w:r>
            <w:r>
              <w:rPr>
                <w:spacing w:val="-5"/>
                <w:sz w:val="20"/>
              </w:rPr>
              <w:t> </w:t>
            </w:r>
            <w:r>
              <w:rPr>
                <w:sz w:val="20"/>
              </w:rPr>
              <w:t>J70.9,</w:t>
            </w:r>
            <w:r>
              <w:rPr>
                <w:spacing w:val="-4"/>
                <w:sz w:val="20"/>
              </w:rPr>
              <w:t> J80,</w:t>
            </w:r>
          </w:p>
        </w:tc>
        <w:tc>
          <w:tcPr>
            <w:tcW w:w="1888" w:type="dxa"/>
            <w:vMerge w:val="restart"/>
          </w:tcPr>
          <w:p>
            <w:pPr>
              <w:pStyle w:val="TableParagraph"/>
              <w:rPr>
                <w:sz w:val="18"/>
              </w:rPr>
            </w:pPr>
          </w:p>
        </w:tc>
        <w:tc>
          <w:tcPr>
            <w:tcW w:w="3120" w:type="dxa"/>
            <w:vMerge w:val="restart"/>
          </w:tcPr>
          <w:p>
            <w:pPr>
              <w:pStyle w:val="TableParagraph"/>
              <w:rPr>
                <w:sz w:val="18"/>
              </w:rPr>
            </w:pPr>
          </w:p>
        </w:tc>
        <w:tc>
          <w:tcPr>
            <w:tcW w:w="866"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395"/>
              <w:rPr>
                <w:sz w:val="20"/>
              </w:rPr>
            </w:pPr>
            <w:r>
              <w:rPr>
                <w:sz w:val="20"/>
              </w:rPr>
              <w:t>J81,</w:t>
            </w:r>
            <w:r>
              <w:rPr>
                <w:spacing w:val="-6"/>
                <w:sz w:val="20"/>
              </w:rPr>
              <w:t> </w:t>
            </w:r>
            <w:r>
              <w:rPr>
                <w:sz w:val="20"/>
              </w:rPr>
              <w:t>J82,</w:t>
            </w:r>
            <w:r>
              <w:rPr>
                <w:spacing w:val="-6"/>
                <w:sz w:val="20"/>
              </w:rPr>
              <w:t> </w:t>
            </w:r>
            <w:r>
              <w:rPr>
                <w:sz w:val="20"/>
              </w:rPr>
              <w:t>J84,</w:t>
            </w:r>
            <w:r>
              <w:rPr>
                <w:spacing w:val="-4"/>
                <w:sz w:val="20"/>
              </w:rPr>
              <w:t> </w:t>
            </w:r>
            <w:r>
              <w:rPr>
                <w:sz w:val="20"/>
              </w:rPr>
              <w:t>J84.0,</w:t>
            </w:r>
            <w:r>
              <w:rPr>
                <w:spacing w:val="-4"/>
                <w:sz w:val="20"/>
              </w:rPr>
              <w:t> </w:t>
            </w:r>
            <w:r>
              <w:rPr>
                <w:sz w:val="20"/>
              </w:rPr>
              <w:t>J84.1,</w:t>
            </w:r>
            <w:r>
              <w:rPr>
                <w:spacing w:val="-4"/>
                <w:sz w:val="20"/>
              </w:rPr>
              <w:t> </w:t>
            </w:r>
            <w:r>
              <w:rPr>
                <w:sz w:val="20"/>
              </w:rPr>
              <w:t>J84.8,</w:t>
            </w:r>
            <w:r>
              <w:rPr>
                <w:spacing w:val="-6"/>
                <w:sz w:val="20"/>
              </w:rPr>
              <w:t> </w:t>
            </w:r>
            <w:r>
              <w:rPr>
                <w:sz w:val="20"/>
              </w:rPr>
              <w:t>J85,</w:t>
            </w:r>
            <w:r>
              <w:rPr>
                <w:spacing w:val="-4"/>
                <w:sz w:val="20"/>
              </w:rPr>
              <w:t> </w:t>
            </w:r>
            <w:r>
              <w:rPr>
                <w:spacing w:val="-2"/>
                <w:sz w:val="20"/>
              </w:rPr>
              <w:t>J85.0,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318"/>
              <w:rPr>
                <w:sz w:val="20"/>
              </w:rPr>
            </w:pPr>
            <w:r>
              <w:rPr>
                <w:sz w:val="20"/>
              </w:rPr>
              <w:t>J85.1,</w:t>
            </w:r>
            <w:r>
              <w:rPr>
                <w:spacing w:val="-6"/>
                <w:sz w:val="20"/>
              </w:rPr>
              <w:t> </w:t>
            </w:r>
            <w:r>
              <w:rPr>
                <w:sz w:val="20"/>
              </w:rPr>
              <w:t>J85.2,</w:t>
            </w:r>
            <w:r>
              <w:rPr>
                <w:spacing w:val="-5"/>
                <w:sz w:val="20"/>
              </w:rPr>
              <w:t> </w:t>
            </w:r>
            <w:r>
              <w:rPr>
                <w:sz w:val="20"/>
              </w:rPr>
              <w:t>J85.3,</w:t>
            </w:r>
            <w:r>
              <w:rPr>
                <w:spacing w:val="-5"/>
                <w:sz w:val="20"/>
              </w:rPr>
              <w:t> </w:t>
            </w:r>
            <w:r>
              <w:rPr>
                <w:sz w:val="20"/>
              </w:rPr>
              <w:t>J86,</w:t>
            </w:r>
            <w:r>
              <w:rPr>
                <w:spacing w:val="-3"/>
                <w:sz w:val="20"/>
              </w:rPr>
              <w:t> </w:t>
            </w:r>
            <w:r>
              <w:rPr>
                <w:sz w:val="20"/>
              </w:rPr>
              <w:t>J86.0,</w:t>
            </w:r>
            <w:r>
              <w:rPr>
                <w:spacing w:val="-5"/>
                <w:sz w:val="20"/>
              </w:rPr>
              <w:t> </w:t>
            </w:r>
            <w:r>
              <w:rPr>
                <w:sz w:val="20"/>
              </w:rPr>
              <w:t>J86.9,</w:t>
            </w:r>
            <w:r>
              <w:rPr>
                <w:spacing w:val="-6"/>
                <w:sz w:val="20"/>
              </w:rPr>
              <w:t> </w:t>
            </w:r>
            <w:r>
              <w:rPr>
                <w:sz w:val="20"/>
              </w:rPr>
              <w:t>J90,</w:t>
            </w:r>
            <w:r>
              <w:rPr>
                <w:spacing w:val="-3"/>
                <w:sz w:val="20"/>
              </w:rPr>
              <w:t> </w:t>
            </w:r>
            <w:r>
              <w:rPr>
                <w:spacing w:val="-4"/>
                <w:sz w:val="20"/>
              </w:rPr>
              <w:t>J91,</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44"/>
              <w:rPr>
                <w:sz w:val="20"/>
              </w:rPr>
            </w:pPr>
            <w:r>
              <w:rPr>
                <w:sz w:val="20"/>
              </w:rPr>
              <w:t>J92,</w:t>
            </w:r>
            <w:r>
              <w:rPr>
                <w:spacing w:val="-5"/>
                <w:sz w:val="20"/>
              </w:rPr>
              <w:t> </w:t>
            </w:r>
            <w:r>
              <w:rPr>
                <w:sz w:val="20"/>
              </w:rPr>
              <w:t>J92.0,</w:t>
            </w:r>
            <w:r>
              <w:rPr>
                <w:spacing w:val="-5"/>
                <w:sz w:val="20"/>
              </w:rPr>
              <w:t> </w:t>
            </w:r>
            <w:r>
              <w:rPr>
                <w:sz w:val="20"/>
              </w:rPr>
              <w:t>J92.9,</w:t>
            </w:r>
            <w:r>
              <w:rPr>
                <w:spacing w:val="-5"/>
                <w:sz w:val="20"/>
              </w:rPr>
              <w:t> </w:t>
            </w:r>
            <w:r>
              <w:rPr>
                <w:sz w:val="20"/>
              </w:rPr>
              <w:t>J93,</w:t>
            </w:r>
            <w:r>
              <w:rPr>
                <w:spacing w:val="-5"/>
                <w:sz w:val="20"/>
              </w:rPr>
              <w:t> </w:t>
            </w:r>
            <w:r>
              <w:rPr>
                <w:sz w:val="20"/>
              </w:rPr>
              <w:t>J93.0,</w:t>
            </w:r>
            <w:r>
              <w:rPr>
                <w:spacing w:val="-4"/>
                <w:sz w:val="20"/>
              </w:rPr>
              <w:t> </w:t>
            </w:r>
            <w:r>
              <w:rPr>
                <w:sz w:val="20"/>
              </w:rPr>
              <w:t>J93.1,</w:t>
            </w:r>
            <w:r>
              <w:rPr>
                <w:spacing w:val="-5"/>
                <w:sz w:val="20"/>
              </w:rPr>
              <w:t> </w:t>
            </w:r>
            <w:r>
              <w:rPr>
                <w:sz w:val="20"/>
              </w:rPr>
              <w:t>J93.8,</w:t>
            </w:r>
            <w:r>
              <w:rPr>
                <w:spacing w:val="-5"/>
                <w:sz w:val="20"/>
              </w:rPr>
              <w:t> </w:t>
            </w:r>
            <w:r>
              <w:rPr>
                <w:spacing w:val="-2"/>
                <w:sz w:val="20"/>
              </w:rPr>
              <w:t>J93.9,</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44"/>
              <w:rPr>
                <w:sz w:val="20"/>
              </w:rPr>
            </w:pPr>
            <w:r>
              <w:rPr>
                <w:sz w:val="20"/>
              </w:rPr>
              <w:t>J94,</w:t>
            </w:r>
            <w:r>
              <w:rPr>
                <w:spacing w:val="-6"/>
                <w:sz w:val="20"/>
              </w:rPr>
              <w:t> </w:t>
            </w:r>
            <w:r>
              <w:rPr>
                <w:sz w:val="20"/>
              </w:rPr>
              <w:t>J94.0,</w:t>
            </w:r>
            <w:r>
              <w:rPr>
                <w:spacing w:val="-6"/>
                <w:sz w:val="20"/>
              </w:rPr>
              <w:t> </w:t>
            </w:r>
            <w:r>
              <w:rPr>
                <w:sz w:val="20"/>
              </w:rPr>
              <w:t>J94.1,</w:t>
            </w:r>
            <w:r>
              <w:rPr>
                <w:spacing w:val="-5"/>
                <w:sz w:val="20"/>
              </w:rPr>
              <w:t> </w:t>
            </w:r>
            <w:r>
              <w:rPr>
                <w:sz w:val="20"/>
              </w:rPr>
              <w:t>J94.2,</w:t>
            </w:r>
            <w:r>
              <w:rPr>
                <w:spacing w:val="-4"/>
                <w:sz w:val="20"/>
              </w:rPr>
              <w:t> </w:t>
            </w:r>
            <w:r>
              <w:rPr>
                <w:sz w:val="20"/>
              </w:rPr>
              <w:t>J94.8,</w:t>
            </w:r>
            <w:r>
              <w:rPr>
                <w:spacing w:val="-6"/>
                <w:sz w:val="20"/>
              </w:rPr>
              <w:t> </w:t>
            </w:r>
            <w:r>
              <w:rPr>
                <w:sz w:val="20"/>
              </w:rPr>
              <w:t>J94.9,</w:t>
            </w:r>
            <w:r>
              <w:rPr>
                <w:spacing w:val="-5"/>
                <w:sz w:val="20"/>
              </w:rPr>
              <w:t> </w:t>
            </w:r>
            <w:r>
              <w:rPr>
                <w:sz w:val="20"/>
              </w:rPr>
              <w:t>J95,</w:t>
            </w:r>
            <w:r>
              <w:rPr>
                <w:spacing w:val="-4"/>
                <w:sz w:val="20"/>
              </w:rPr>
              <w:t> </w:t>
            </w:r>
            <w:r>
              <w:rPr>
                <w:spacing w:val="-2"/>
                <w:sz w:val="20"/>
              </w:rPr>
              <w:t>J95.0,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170"/>
              <w:rPr>
                <w:sz w:val="20"/>
              </w:rPr>
            </w:pPr>
            <w:r>
              <w:rPr>
                <w:sz w:val="20"/>
              </w:rPr>
              <w:t>J95.1,</w:t>
            </w:r>
            <w:r>
              <w:rPr>
                <w:spacing w:val="-7"/>
                <w:sz w:val="20"/>
              </w:rPr>
              <w:t> </w:t>
            </w:r>
            <w:r>
              <w:rPr>
                <w:sz w:val="20"/>
              </w:rPr>
              <w:t>J95.2,</w:t>
            </w:r>
            <w:r>
              <w:rPr>
                <w:spacing w:val="-6"/>
                <w:sz w:val="20"/>
              </w:rPr>
              <w:t> </w:t>
            </w:r>
            <w:r>
              <w:rPr>
                <w:sz w:val="20"/>
              </w:rPr>
              <w:t>J95.3,</w:t>
            </w:r>
            <w:r>
              <w:rPr>
                <w:spacing w:val="-6"/>
                <w:sz w:val="20"/>
              </w:rPr>
              <w:t> </w:t>
            </w:r>
            <w:r>
              <w:rPr>
                <w:sz w:val="20"/>
              </w:rPr>
              <w:t>J95.4,</w:t>
            </w:r>
            <w:r>
              <w:rPr>
                <w:spacing w:val="-6"/>
                <w:sz w:val="20"/>
              </w:rPr>
              <w:t> </w:t>
            </w:r>
            <w:r>
              <w:rPr>
                <w:sz w:val="20"/>
              </w:rPr>
              <w:t>J95.5,</w:t>
            </w:r>
            <w:r>
              <w:rPr>
                <w:spacing w:val="-4"/>
                <w:sz w:val="20"/>
              </w:rPr>
              <w:t> </w:t>
            </w:r>
            <w:r>
              <w:rPr>
                <w:sz w:val="20"/>
              </w:rPr>
              <w:t>J95.8,</w:t>
            </w:r>
            <w:r>
              <w:rPr>
                <w:spacing w:val="-5"/>
                <w:sz w:val="20"/>
              </w:rPr>
              <w:t> </w:t>
            </w:r>
            <w:r>
              <w:rPr>
                <w:sz w:val="20"/>
              </w:rPr>
              <w:t>J95.9,</w:t>
            </w:r>
            <w:r>
              <w:rPr>
                <w:spacing w:val="-4"/>
                <w:sz w:val="20"/>
              </w:rPr>
              <w:t> J96,</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1" w:lineRule="exact"/>
              <w:ind w:left="170"/>
              <w:rPr>
                <w:sz w:val="20"/>
              </w:rPr>
            </w:pPr>
            <w:r>
              <w:rPr>
                <w:sz w:val="20"/>
              </w:rPr>
              <w:t>J96.0,</w:t>
            </w:r>
            <w:r>
              <w:rPr>
                <w:spacing w:val="-6"/>
                <w:sz w:val="20"/>
              </w:rPr>
              <w:t> </w:t>
            </w:r>
            <w:r>
              <w:rPr>
                <w:sz w:val="20"/>
              </w:rPr>
              <w:t>J96.1,</w:t>
            </w:r>
            <w:r>
              <w:rPr>
                <w:spacing w:val="-6"/>
                <w:sz w:val="20"/>
              </w:rPr>
              <w:t> </w:t>
            </w:r>
            <w:r>
              <w:rPr>
                <w:sz w:val="20"/>
              </w:rPr>
              <w:t>J96.9,</w:t>
            </w:r>
            <w:r>
              <w:rPr>
                <w:spacing w:val="-5"/>
                <w:sz w:val="20"/>
              </w:rPr>
              <w:t> </w:t>
            </w:r>
            <w:r>
              <w:rPr>
                <w:sz w:val="20"/>
              </w:rPr>
              <w:t>J98,</w:t>
            </w:r>
            <w:r>
              <w:rPr>
                <w:spacing w:val="-4"/>
                <w:sz w:val="20"/>
              </w:rPr>
              <w:t> </w:t>
            </w:r>
            <w:r>
              <w:rPr>
                <w:sz w:val="20"/>
              </w:rPr>
              <w:t>J98.0,</w:t>
            </w:r>
            <w:r>
              <w:rPr>
                <w:spacing w:val="-5"/>
                <w:sz w:val="20"/>
              </w:rPr>
              <w:t> </w:t>
            </w:r>
            <w:r>
              <w:rPr>
                <w:sz w:val="20"/>
              </w:rPr>
              <w:t>J98.1,</w:t>
            </w:r>
            <w:r>
              <w:rPr>
                <w:spacing w:val="-6"/>
                <w:sz w:val="20"/>
              </w:rPr>
              <w:t> </w:t>
            </w:r>
            <w:r>
              <w:rPr>
                <w:sz w:val="20"/>
              </w:rPr>
              <w:t>J98.2,</w:t>
            </w:r>
            <w:r>
              <w:rPr>
                <w:spacing w:val="-5"/>
                <w:sz w:val="20"/>
              </w:rPr>
              <w:t> </w:t>
            </w:r>
            <w:r>
              <w:rPr>
                <w:spacing w:val="-2"/>
                <w:sz w:val="20"/>
              </w:rPr>
              <w:t>J98.3,</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170"/>
              <w:rPr>
                <w:sz w:val="20"/>
              </w:rPr>
            </w:pPr>
            <w:r>
              <w:rPr>
                <w:sz w:val="20"/>
              </w:rPr>
              <w:t>J98.4,</w:t>
            </w:r>
            <w:r>
              <w:rPr>
                <w:spacing w:val="-6"/>
                <w:sz w:val="20"/>
              </w:rPr>
              <w:t> </w:t>
            </w:r>
            <w:r>
              <w:rPr>
                <w:sz w:val="20"/>
              </w:rPr>
              <w:t>J98.5,</w:t>
            </w:r>
            <w:r>
              <w:rPr>
                <w:spacing w:val="-4"/>
                <w:sz w:val="20"/>
              </w:rPr>
              <w:t> </w:t>
            </w:r>
            <w:r>
              <w:rPr>
                <w:sz w:val="20"/>
              </w:rPr>
              <w:t>J98.6,</w:t>
            </w:r>
            <w:r>
              <w:rPr>
                <w:spacing w:val="-6"/>
                <w:sz w:val="20"/>
              </w:rPr>
              <w:t> </w:t>
            </w:r>
            <w:r>
              <w:rPr>
                <w:sz w:val="20"/>
              </w:rPr>
              <w:t>J98.7,</w:t>
            </w:r>
            <w:r>
              <w:rPr>
                <w:spacing w:val="-5"/>
                <w:sz w:val="20"/>
              </w:rPr>
              <w:t> </w:t>
            </w:r>
            <w:r>
              <w:rPr>
                <w:sz w:val="20"/>
              </w:rPr>
              <w:t>J98.8,</w:t>
            </w:r>
            <w:r>
              <w:rPr>
                <w:spacing w:val="-4"/>
                <w:sz w:val="20"/>
              </w:rPr>
              <w:t> </w:t>
            </w:r>
            <w:r>
              <w:rPr>
                <w:sz w:val="20"/>
              </w:rPr>
              <w:t>J98.9,</w:t>
            </w:r>
            <w:r>
              <w:rPr>
                <w:spacing w:val="-4"/>
                <w:sz w:val="20"/>
              </w:rPr>
              <w:t> </w:t>
            </w:r>
            <w:r>
              <w:rPr>
                <w:sz w:val="20"/>
              </w:rPr>
              <w:t>J99,</w:t>
            </w:r>
            <w:r>
              <w:rPr>
                <w:spacing w:val="-5"/>
                <w:sz w:val="20"/>
              </w:rPr>
              <w:t> </w:t>
            </w:r>
            <w:r>
              <w:rPr>
                <w:spacing w:val="-2"/>
                <w:sz w:val="20"/>
              </w:rPr>
              <w:t>J99.0,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266"/>
              <w:rPr>
                <w:sz w:val="20"/>
              </w:rPr>
            </w:pPr>
            <w:r>
              <w:rPr>
                <w:sz w:val="20"/>
              </w:rPr>
              <w:t>J99.1,</w:t>
            </w:r>
            <w:r>
              <w:rPr>
                <w:spacing w:val="-7"/>
                <w:sz w:val="20"/>
              </w:rPr>
              <w:t> </w:t>
            </w:r>
            <w:r>
              <w:rPr>
                <w:sz w:val="20"/>
              </w:rPr>
              <w:t>J99.8,</w:t>
            </w:r>
            <w:r>
              <w:rPr>
                <w:spacing w:val="-4"/>
                <w:sz w:val="20"/>
              </w:rPr>
              <w:t> </w:t>
            </w:r>
            <w:r>
              <w:rPr>
                <w:sz w:val="20"/>
              </w:rPr>
              <w:t>Q33,</w:t>
            </w:r>
            <w:r>
              <w:rPr>
                <w:spacing w:val="-5"/>
                <w:sz w:val="20"/>
              </w:rPr>
              <w:t> </w:t>
            </w:r>
            <w:r>
              <w:rPr>
                <w:sz w:val="20"/>
              </w:rPr>
              <w:t>Q33.0,</w:t>
            </w:r>
            <w:r>
              <w:rPr>
                <w:spacing w:val="-4"/>
                <w:sz w:val="20"/>
              </w:rPr>
              <w:t> </w:t>
            </w:r>
            <w:r>
              <w:rPr>
                <w:sz w:val="20"/>
              </w:rPr>
              <w:t>Q33.1,</w:t>
            </w:r>
            <w:r>
              <w:rPr>
                <w:spacing w:val="-5"/>
                <w:sz w:val="20"/>
              </w:rPr>
              <w:t> </w:t>
            </w:r>
            <w:r>
              <w:rPr>
                <w:sz w:val="20"/>
              </w:rPr>
              <w:t>Q33.2,</w:t>
            </w:r>
            <w:r>
              <w:rPr>
                <w:spacing w:val="-4"/>
                <w:sz w:val="20"/>
              </w:rPr>
              <w:t> </w:t>
            </w:r>
            <w:r>
              <w:rPr>
                <w:spacing w:val="-2"/>
                <w:sz w:val="20"/>
              </w:rPr>
              <w:t>Q33.3,</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198"/>
              <w:rPr>
                <w:sz w:val="20"/>
              </w:rPr>
            </w:pPr>
            <w:r>
              <w:rPr>
                <w:sz w:val="20"/>
              </w:rPr>
              <w:t>Q33.4,</w:t>
            </w:r>
            <w:r>
              <w:rPr>
                <w:spacing w:val="-4"/>
                <w:sz w:val="20"/>
              </w:rPr>
              <w:t> </w:t>
            </w:r>
            <w:r>
              <w:rPr>
                <w:sz w:val="20"/>
              </w:rPr>
              <w:t>Q33.5,</w:t>
            </w:r>
            <w:r>
              <w:rPr>
                <w:spacing w:val="-6"/>
                <w:sz w:val="20"/>
              </w:rPr>
              <w:t> </w:t>
            </w:r>
            <w:r>
              <w:rPr>
                <w:sz w:val="20"/>
              </w:rPr>
              <w:t>Q33.6,</w:t>
            </w:r>
            <w:r>
              <w:rPr>
                <w:spacing w:val="-4"/>
                <w:sz w:val="20"/>
              </w:rPr>
              <w:t> </w:t>
            </w:r>
            <w:r>
              <w:rPr>
                <w:sz w:val="20"/>
              </w:rPr>
              <w:t>Q33.8,</w:t>
            </w:r>
            <w:r>
              <w:rPr>
                <w:spacing w:val="-6"/>
                <w:sz w:val="20"/>
              </w:rPr>
              <w:t> </w:t>
            </w:r>
            <w:r>
              <w:rPr>
                <w:sz w:val="20"/>
              </w:rPr>
              <w:t>Q33.9,</w:t>
            </w:r>
            <w:r>
              <w:rPr>
                <w:spacing w:val="-4"/>
                <w:sz w:val="20"/>
              </w:rPr>
              <w:t> </w:t>
            </w:r>
            <w:r>
              <w:rPr>
                <w:sz w:val="20"/>
              </w:rPr>
              <w:t>Q34,</w:t>
            </w:r>
            <w:r>
              <w:rPr>
                <w:spacing w:val="-4"/>
                <w:sz w:val="20"/>
              </w:rPr>
              <w:t> </w:t>
            </w:r>
            <w:r>
              <w:rPr>
                <w:spacing w:val="-2"/>
                <w:sz w:val="20"/>
              </w:rPr>
              <w:t>Q34.0,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22"/>
              <w:rPr>
                <w:sz w:val="20"/>
              </w:rPr>
            </w:pPr>
            <w:r>
              <w:rPr>
                <w:sz w:val="20"/>
              </w:rPr>
              <w:t>Q34.1,</w:t>
            </w:r>
            <w:r>
              <w:rPr>
                <w:spacing w:val="-5"/>
                <w:sz w:val="20"/>
              </w:rPr>
              <w:t> </w:t>
            </w:r>
            <w:r>
              <w:rPr>
                <w:sz w:val="20"/>
              </w:rPr>
              <w:t>Q34.8,</w:t>
            </w:r>
            <w:r>
              <w:rPr>
                <w:spacing w:val="-7"/>
                <w:sz w:val="20"/>
              </w:rPr>
              <w:t> </w:t>
            </w:r>
            <w:r>
              <w:rPr>
                <w:sz w:val="20"/>
              </w:rPr>
              <w:t>Q34.9,</w:t>
            </w:r>
            <w:r>
              <w:rPr>
                <w:spacing w:val="-4"/>
                <w:sz w:val="20"/>
              </w:rPr>
              <w:t> </w:t>
            </w:r>
            <w:r>
              <w:rPr>
                <w:sz w:val="20"/>
              </w:rPr>
              <w:t>R04.2,</w:t>
            </w:r>
            <w:r>
              <w:rPr>
                <w:spacing w:val="-7"/>
                <w:sz w:val="20"/>
              </w:rPr>
              <w:t> </w:t>
            </w:r>
            <w:r>
              <w:rPr>
                <w:sz w:val="20"/>
              </w:rPr>
              <w:t>R04.8,</w:t>
            </w:r>
            <w:r>
              <w:rPr>
                <w:spacing w:val="-4"/>
                <w:sz w:val="20"/>
              </w:rPr>
              <w:t> </w:t>
            </w:r>
            <w:r>
              <w:rPr>
                <w:sz w:val="20"/>
              </w:rPr>
              <w:t>R04.9,</w:t>
            </w:r>
            <w:r>
              <w:rPr>
                <w:spacing w:val="-5"/>
                <w:sz w:val="20"/>
              </w:rPr>
              <w:t> </w:t>
            </w:r>
            <w:r>
              <w:rPr>
                <w:spacing w:val="-4"/>
                <w:sz w:val="20"/>
              </w:rPr>
              <w:t>R05,</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39"/>
              <w:rPr>
                <w:sz w:val="20"/>
              </w:rPr>
            </w:pPr>
            <w:r>
              <w:rPr>
                <w:sz w:val="20"/>
              </w:rPr>
              <w:t>R06,</w:t>
            </w:r>
            <w:r>
              <w:rPr>
                <w:spacing w:val="-5"/>
                <w:sz w:val="20"/>
              </w:rPr>
              <w:t> </w:t>
            </w:r>
            <w:r>
              <w:rPr>
                <w:sz w:val="20"/>
              </w:rPr>
              <w:t>R06.0,</w:t>
            </w:r>
            <w:r>
              <w:rPr>
                <w:spacing w:val="-5"/>
                <w:sz w:val="20"/>
              </w:rPr>
              <w:t> </w:t>
            </w:r>
            <w:r>
              <w:rPr>
                <w:sz w:val="20"/>
              </w:rPr>
              <w:t>R06.1,</w:t>
            </w:r>
            <w:r>
              <w:rPr>
                <w:spacing w:val="-5"/>
                <w:sz w:val="20"/>
              </w:rPr>
              <w:t> </w:t>
            </w:r>
            <w:r>
              <w:rPr>
                <w:sz w:val="20"/>
              </w:rPr>
              <w:t>R06.2,</w:t>
            </w:r>
            <w:r>
              <w:rPr>
                <w:spacing w:val="-5"/>
                <w:sz w:val="20"/>
              </w:rPr>
              <w:t> </w:t>
            </w:r>
            <w:r>
              <w:rPr>
                <w:sz w:val="20"/>
              </w:rPr>
              <w:t>R06.3,</w:t>
            </w:r>
            <w:r>
              <w:rPr>
                <w:spacing w:val="-5"/>
                <w:sz w:val="20"/>
              </w:rPr>
              <w:t> </w:t>
            </w:r>
            <w:r>
              <w:rPr>
                <w:sz w:val="20"/>
              </w:rPr>
              <w:t>R06.4,</w:t>
            </w:r>
            <w:r>
              <w:rPr>
                <w:spacing w:val="-5"/>
                <w:sz w:val="20"/>
              </w:rPr>
              <w:t> </w:t>
            </w:r>
            <w:r>
              <w:rPr>
                <w:spacing w:val="-2"/>
                <w:sz w:val="20"/>
              </w:rPr>
              <w:t>R06.5,</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39"/>
              <w:rPr>
                <w:sz w:val="20"/>
              </w:rPr>
            </w:pPr>
            <w:r>
              <w:rPr>
                <w:sz w:val="20"/>
              </w:rPr>
              <w:t>R06.6,</w:t>
            </w:r>
            <w:r>
              <w:rPr>
                <w:spacing w:val="-5"/>
                <w:sz w:val="20"/>
              </w:rPr>
              <w:t> </w:t>
            </w:r>
            <w:r>
              <w:rPr>
                <w:sz w:val="20"/>
              </w:rPr>
              <w:t>R06.7,</w:t>
            </w:r>
            <w:r>
              <w:rPr>
                <w:spacing w:val="-4"/>
                <w:sz w:val="20"/>
              </w:rPr>
              <w:t> </w:t>
            </w:r>
            <w:r>
              <w:rPr>
                <w:sz w:val="20"/>
              </w:rPr>
              <w:t>R06.8,</w:t>
            </w:r>
            <w:r>
              <w:rPr>
                <w:spacing w:val="-4"/>
                <w:sz w:val="20"/>
              </w:rPr>
              <w:t> </w:t>
            </w:r>
            <w:r>
              <w:rPr>
                <w:sz w:val="20"/>
              </w:rPr>
              <w:t>R07.1,</w:t>
            </w:r>
            <w:r>
              <w:rPr>
                <w:spacing w:val="-5"/>
                <w:sz w:val="20"/>
              </w:rPr>
              <w:t> </w:t>
            </w:r>
            <w:r>
              <w:rPr>
                <w:sz w:val="20"/>
              </w:rPr>
              <w:t>R07.3,</w:t>
            </w:r>
            <w:r>
              <w:rPr>
                <w:spacing w:val="-5"/>
                <w:sz w:val="20"/>
              </w:rPr>
              <w:t> </w:t>
            </w:r>
            <w:r>
              <w:rPr>
                <w:sz w:val="20"/>
              </w:rPr>
              <w:t>R09,</w:t>
            </w:r>
            <w:r>
              <w:rPr>
                <w:spacing w:val="-4"/>
                <w:sz w:val="20"/>
              </w:rPr>
              <w:t> </w:t>
            </w:r>
            <w:r>
              <w:rPr>
                <w:spacing w:val="-2"/>
                <w:sz w:val="20"/>
              </w:rPr>
              <w:t>R09.0,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239"/>
              <w:rPr>
                <w:sz w:val="20"/>
              </w:rPr>
            </w:pPr>
            <w:r>
              <w:rPr>
                <w:sz w:val="20"/>
              </w:rPr>
              <w:t>R09.1,</w:t>
            </w:r>
            <w:r>
              <w:rPr>
                <w:spacing w:val="-5"/>
                <w:sz w:val="20"/>
              </w:rPr>
              <w:t> </w:t>
            </w:r>
            <w:r>
              <w:rPr>
                <w:sz w:val="20"/>
              </w:rPr>
              <w:t>R09.2,</w:t>
            </w:r>
            <w:r>
              <w:rPr>
                <w:spacing w:val="-4"/>
                <w:sz w:val="20"/>
              </w:rPr>
              <w:t> </w:t>
            </w:r>
            <w:r>
              <w:rPr>
                <w:sz w:val="20"/>
              </w:rPr>
              <w:t>R09.3,</w:t>
            </w:r>
            <w:r>
              <w:rPr>
                <w:spacing w:val="-4"/>
                <w:sz w:val="20"/>
              </w:rPr>
              <w:t> </w:t>
            </w:r>
            <w:r>
              <w:rPr>
                <w:sz w:val="20"/>
              </w:rPr>
              <w:t>R68.3,</w:t>
            </w:r>
            <w:r>
              <w:rPr>
                <w:spacing w:val="-8"/>
                <w:sz w:val="20"/>
              </w:rPr>
              <w:t> </w:t>
            </w:r>
            <w:r>
              <w:rPr>
                <w:sz w:val="20"/>
              </w:rPr>
              <w:t>R84,</w:t>
            </w:r>
            <w:r>
              <w:rPr>
                <w:spacing w:val="-5"/>
                <w:sz w:val="20"/>
              </w:rPr>
              <w:t> </w:t>
            </w:r>
            <w:r>
              <w:rPr>
                <w:sz w:val="20"/>
              </w:rPr>
              <w:t>R84.0,</w:t>
            </w:r>
            <w:r>
              <w:rPr>
                <w:spacing w:val="-4"/>
                <w:sz w:val="20"/>
              </w:rPr>
              <w:t> </w:t>
            </w:r>
            <w:r>
              <w:rPr>
                <w:spacing w:val="-2"/>
                <w:sz w:val="20"/>
              </w:rPr>
              <w:t>R84.1,</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165"/>
              <w:rPr>
                <w:sz w:val="20"/>
              </w:rPr>
            </w:pPr>
            <w:r>
              <w:rPr>
                <w:sz w:val="20"/>
              </w:rPr>
              <w:t>R84.2,</w:t>
            </w:r>
            <w:r>
              <w:rPr>
                <w:spacing w:val="-7"/>
                <w:sz w:val="20"/>
              </w:rPr>
              <w:t> </w:t>
            </w:r>
            <w:r>
              <w:rPr>
                <w:sz w:val="20"/>
              </w:rPr>
              <w:t>R84.3,</w:t>
            </w:r>
            <w:r>
              <w:rPr>
                <w:spacing w:val="-5"/>
                <w:sz w:val="20"/>
              </w:rPr>
              <w:t> </w:t>
            </w:r>
            <w:r>
              <w:rPr>
                <w:sz w:val="20"/>
              </w:rPr>
              <w:t>R84.4,</w:t>
            </w:r>
            <w:r>
              <w:rPr>
                <w:spacing w:val="-5"/>
                <w:sz w:val="20"/>
              </w:rPr>
              <w:t> </w:t>
            </w:r>
            <w:r>
              <w:rPr>
                <w:sz w:val="20"/>
              </w:rPr>
              <w:t>R84.5,</w:t>
            </w:r>
            <w:r>
              <w:rPr>
                <w:spacing w:val="-9"/>
                <w:sz w:val="20"/>
              </w:rPr>
              <w:t> </w:t>
            </w:r>
            <w:r>
              <w:rPr>
                <w:sz w:val="20"/>
              </w:rPr>
              <w:t>R84.6,</w:t>
            </w:r>
            <w:r>
              <w:rPr>
                <w:spacing w:val="-5"/>
                <w:sz w:val="20"/>
              </w:rPr>
              <w:t> </w:t>
            </w:r>
            <w:r>
              <w:rPr>
                <w:sz w:val="20"/>
              </w:rPr>
              <w:t>R84.7,</w:t>
            </w:r>
            <w:r>
              <w:rPr>
                <w:spacing w:val="-4"/>
                <w:sz w:val="20"/>
              </w:rPr>
              <w:t> </w:t>
            </w:r>
            <w:r>
              <w:rPr>
                <w:spacing w:val="-2"/>
                <w:sz w:val="20"/>
              </w:rPr>
              <w:t>R84.8,</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61"/>
              <w:rPr>
                <w:sz w:val="20"/>
              </w:rPr>
            </w:pPr>
            <w:r>
              <w:rPr>
                <w:sz w:val="20"/>
              </w:rPr>
              <w:t>R84.9,</w:t>
            </w:r>
            <w:r>
              <w:rPr>
                <w:spacing w:val="-5"/>
                <w:sz w:val="20"/>
              </w:rPr>
              <w:t> </w:t>
            </w:r>
            <w:r>
              <w:rPr>
                <w:sz w:val="20"/>
              </w:rPr>
              <w:t>R91,</w:t>
            </w:r>
            <w:r>
              <w:rPr>
                <w:spacing w:val="-4"/>
                <w:sz w:val="20"/>
              </w:rPr>
              <w:t> </w:t>
            </w:r>
            <w:r>
              <w:rPr>
                <w:sz w:val="20"/>
              </w:rPr>
              <w:t>R94.2,</w:t>
            </w:r>
            <w:r>
              <w:rPr>
                <w:spacing w:val="-6"/>
                <w:sz w:val="20"/>
              </w:rPr>
              <w:t> </w:t>
            </w:r>
            <w:r>
              <w:rPr>
                <w:sz w:val="20"/>
              </w:rPr>
              <w:t>T17.4,</w:t>
            </w:r>
            <w:r>
              <w:rPr>
                <w:spacing w:val="-6"/>
                <w:sz w:val="20"/>
              </w:rPr>
              <w:t> </w:t>
            </w:r>
            <w:r>
              <w:rPr>
                <w:sz w:val="20"/>
              </w:rPr>
              <w:t>T17.5,</w:t>
            </w:r>
            <w:r>
              <w:rPr>
                <w:spacing w:val="-7"/>
                <w:sz w:val="20"/>
              </w:rPr>
              <w:t> </w:t>
            </w:r>
            <w:r>
              <w:rPr>
                <w:sz w:val="20"/>
              </w:rPr>
              <w:t>T17.8,</w:t>
            </w:r>
            <w:r>
              <w:rPr>
                <w:spacing w:val="-6"/>
                <w:sz w:val="20"/>
              </w:rPr>
              <w:t> </w:t>
            </w:r>
            <w:r>
              <w:rPr>
                <w:spacing w:val="-2"/>
                <w:sz w:val="20"/>
              </w:rPr>
              <w:t>T17.9,</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8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26" w:lineRule="exact"/>
              <w:ind w:left="1932" w:right="2775"/>
              <w:jc w:val="center"/>
              <w:rPr>
                <w:sz w:val="20"/>
              </w:rPr>
            </w:pPr>
            <w:r>
              <w:rPr>
                <w:spacing w:val="-2"/>
                <w:sz w:val="20"/>
              </w:rPr>
              <w:t>T91.4</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330" w:hRule="atLeast"/>
        </w:trPr>
        <w:tc>
          <w:tcPr>
            <w:tcW w:w="978" w:type="dxa"/>
          </w:tcPr>
          <w:p>
            <w:pPr>
              <w:pStyle w:val="TableParagraph"/>
              <w:spacing w:before="46"/>
              <w:ind w:left="39" w:right="186"/>
              <w:jc w:val="center"/>
              <w:rPr>
                <w:sz w:val="20"/>
              </w:rPr>
            </w:pPr>
            <w:r>
              <w:rPr>
                <w:spacing w:val="-4"/>
                <w:sz w:val="20"/>
              </w:rPr>
              <w:t>ds24</w:t>
            </w:r>
          </w:p>
        </w:tc>
        <w:tc>
          <w:tcPr>
            <w:tcW w:w="696" w:type="dxa"/>
          </w:tcPr>
          <w:p>
            <w:pPr>
              <w:pStyle w:val="TableParagraph"/>
              <w:spacing w:before="46"/>
              <w:ind w:left="250"/>
              <w:rPr>
                <w:sz w:val="20"/>
              </w:rPr>
            </w:pPr>
            <w:r>
              <w:rPr>
                <w:spacing w:val="-5"/>
                <w:sz w:val="20"/>
              </w:rPr>
              <w:t>24</w:t>
            </w:r>
          </w:p>
        </w:tc>
        <w:tc>
          <w:tcPr>
            <w:tcW w:w="2539" w:type="dxa"/>
          </w:tcPr>
          <w:p>
            <w:pPr>
              <w:pStyle w:val="TableParagraph"/>
              <w:rPr>
                <w:sz w:val="18"/>
              </w:rPr>
            </w:pPr>
          </w:p>
        </w:tc>
        <w:tc>
          <w:tcPr>
            <w:tcW w:w="5211" w:type="dxa"/>
          </w:tcPr>
          <w:p>
            <w:pPr>
              <w:pStyle w:val="TableParagraph"/>
              <w:spacing w:before="46"/>
              <w:ind w:left="3218"/>
              <w:rPr>
                <w:sz w:val="20"/>
              </w:rPr>
            </w:pPr>
            <w:r>
              <w:rPr>
                <w:spacing w:val="-2"/>
                <w:sz w:val="20"/>
              </w:rPr>
              <w:t>Ревматология</w:t>
            </w:r>
          </w:p>
        </w:tc>
        <w:tc>
          <w:tcPr>
            <w:tcW w:w="1888" w:type="dxa"/>
          </w:tcPr>
          <w:p>
            <w:pPr>
              <w:pStyle w:val="TableParagraph"/>
              <w:rPr>
                <w:sz w:val="18"/>
              </w:rPr>
            </w:pPr>
          </w:p>
        </w:tc>
        <w:tc>
          <w:tcPr>
            <w:tcW w:w="3120" w:type="dxa"/>
          </w:tcPr>
          <w:p>
            <w:pPr>
              <w:pStyle w:val="TableParagraph"/>
              <w:rPr>
                <w:sz w:val="18"/>
              </w:rPr>
            </w:pPr>
          </w:p>
        </w:tc>
        <w:tc>
          <w:tcPr>
            <w:tcW w:w="866" w:type="dxa"/>
          </w:tcPr>
          <w:p>
            <w:pPr>
              <w:pStyle w:val="TableParagraph"/>
              <w:spacing w:before="46"/>
              <w:ind w:right="51"/>
              <w:jc w:val="right"/>
              <w:rPr>
                <w:sz w:val="20"/>
              </w:rPr>
            </w:pPr>
            <w:r>
              <w:rPr>
                <w:spacing w:val="-4"/>
                <w:sz w:val="20"/>
              </w:rPr>
              <w:t>1,46</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ds24.001</w:t>
            </w:r>
          </w:p>
        </w:tc>
        <w:tc>
          <w:tcPr>
            <w:tcW w:w="696" w:type="dxa"/>
          </w:tcPr>
          <w:p>
            <w:pPr>
              <w:pStyle w:val="TableParagraph"/>
              <w:spacing w:line="215" w:lineRule="exact" w:before="45"/>
              <w:ind w:left="200"/>
              <w:rPr>
                <w:sz w:val="20"/>
              </w:rPr>
            </w:pPr>
            <w:r>
              <w:rPr>
                <w:spacing w:val="-5"/>
                <w:sz w:val="20"/>
              </w:rPr>
              <w:t>118</w:t>
            </w:r>
          </w:p>
        </w:tc>
        <w:tc>
          <w:tcPr>
            <w:tcW w:w="2539" w:type="dxa"/>
          </w:tcPr>
          <w:p>
            <w:pPr>
              <w:pStyle w:val="TableParagraph"/>
              <w:spacing w:line="215" w:lineRule="exact" w:before="45"/>
              <w:ind w:left="193"/>
              <w:rPr>
                <w:sz w:val="20"/>
              </w:rPr>
            </w:pPr>
            <w:r>
              <w:rPr>
                <w:spacing w:val="-2"/>
                <w:sz w:val="20"/>
              </w:rPr>
              <w:t>Системные</w:t>
            </w:r>
            <w:r>
              <w:rPr>
                <w:spacing w:val="5"/>
                <w:sz w:val="20"/>
              </w:rPr>
              <w:t> </w:t>
            </w:r>
            <w:r>
              <w:rPr>
                <w:spacing w:val="-2"/>
                <w:sz w:val="20"/>
              </w:rPr>
              <w:t>поражения</w:t>
            </w:r>
          </w:p>
        </w:tc>
        <w:tc>
          <w:tcPr>
            <w:tcW w:w="5211" w:type="dxa"/>
          </w:tcPr>
          <w:p>
            <w:pPr>
              <w:pStyle w:val="TableParagraph"/>
              <w:spacing w:line="215" w:lineRule="exact" w:before="45"/>
              <w:ind w:left="213"/>
              <w:rPr>
                <w:sz w:val="20"/>
              </w:rPr>
            </w:pPr>
            <w:r>
              <w:rPr>
                <w:sz w:val="20"/>
              </w:rPr>
              <w:t>I00,</w:t>
            </w:r>
            <w:r>
              <w:rPr>
                <w:spacing w:val="-5"/>
                <w:sz w:val="20"/>
              </w:rPr>
              <w:t> </w:t>
            </w:r>
            <w:r>
              <w:rPr>
                <w:sz w:val="20"/>
              </w:rPr>
              <w:t>M00,</w:t>
            </w:r>
            <w:r>
              <w:rPr>
                <w:spacing w:val="-4"/>
                <w:sz w:val="20"/>
              </w:rPr>
              <w:t> </w:t>
            </w:r>
            <w:r>
              <w:rPr>
                <w:sz w:val="20"/>
              </w:rPr>
              <w:t>M00.0,</w:t>
            </w:r>
            <w:r>
              <w:rPr>
                <w:spacing w:val="-6"/>
                <w:sz w:val="20"/>
              </w:rPr>
              <w:t> </w:t>
            </w:r>
            <w:r>
              <w:rPr>
                <w:sz w:val="20"/>
              </w:rPr>
              <w:t>M00.1,</w:t>
            </w:r>
            <w:r>
              <w:rPr>
                <w:spacing w:val="-4"/>
                <w:sz w:val="20"/>
              </w:rPr>
              <w:t> </w:t>
            </w:r>
            <w:r>
              <w:rPr>
                <w:sz w:val="20"/>
              </w:rPr>
              <w:t>M00.2,</w:t>
            </w:r>
            <w:r>
              <w:rPr>
                <w:spacing w:val="-4"/>
                <w:sz w:val="20"/>
              </w:rPr>
              <w:t> </w:t>
            </w:r>
            <w:r>
              <w:rPr>
                <w:sz w:val="20"/>
              </w:rPr>
              <w:t>M00.8,</w:t>
            </w:r>
            <w:r>
              <w:rPr>
                <w:spacing w:val="-6"/>
                <w:sz w:val="20"/>
              </w:rPr>
              <w:t> </w:t>
            </w:r>
            <w:r>
              <w:rPr>
                <w:spacing w:val="-2"/>
                <w:sz w:val="20"/>
              </w:rPr>
              <w:t>M00.9,</w:t>
            </w:r>
          </w:p>
        </w:tc>
        <w:tc>
          <w:tcPr>
            <w:tcW w:w="1888" w:type="dxa"/>
          </w:tcPr>
          <w:p>
            <w:pPr>
              <w:pStyle w:val="TableParagraph"/>
              <w:spacing w:line="215" w:lineRule="exact" w:before="45"/>
              <w:ind w:right="184"/>
              <w:jc w:val="center"/>
              <w:rPr>
                <w:sz w:val="20"/>
              </w:rPr>
            </w:pPr>
            <w:r>
              <w:rPr>
                <w:w w:val="99"/>
                <w:sz w:val="20"/>
              </w:rPr>
              <w:t>-</w:t>
            </w:r>
          </w:p>
        </w:tc>
        <w:tc>
          <w:tcPr>
            <w:tcW w:w="3120" w:type="dxa"/>
          </w:tcPr>
          <w:p>
            <w:pPr>
              <w:pStyle w:val="TableParagraph"/>
              <w:spacing w:line="215" w:lineRule="exact" w:before="45"/>
              <w:ind w:left="992" w:right="452"/>
              <w:jc w:val="center"/>
              <w:rPr>
                <w:sz w:val="20"/>
              </w:rPr>
            </w:pPr>
            <w:r>
              <w:rPr>
                <w:sz w:val="20"/>
              </w:rPr>
              <w:t>Возрастная</w:t>
            </w:r>
            <w:r>
              <w:rPr>
                <w:spacing w:val="-11"/>
                <w:sz w:val="20"/>
              </w:rPr>
              <w:t> </w:t>
            </w:r>
            <w:r>
              <w:rPr>
                <w:spacing w:val="-2"/>
                <w:sz w:val="20"/>
              </w:rPr>
              <w:t>группа:</w:t>
            </w:r>
          </w:p>
        </w:tc>
        <w:tc>
          <w:tcPr>
            <w:tcW w:w="866" w:type="dxa"/>
          </w:tcPr>
          <w:p>
            <w:pPr>
              <w:pStyle w:val="TableParagraph"/>
              <w:spacing w:line="215" w:lineRule="exact" w:before="45"/>
              <w:ind w:right="49"/>
              <w:jc w:val="right"/>
              <w:rPr>
                <w:sz w:val="20"/>
              </w:rPr>
            </w:pPr>
            <w:r>
              <w:rPr>
                <w:spacing w:val="-4"/>
                <w:sz w:val="20"/>
              </w:rPr>
              <w:t>1,46</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spacing w:line="210" w:lineRule="exact"/>
              <w:ind w:left="193"/>
              <w:rPr>
                <w:sz w:val="20"/>
              </w:rPr>
            </w:pPr>
            <w:r>
              <w:rPr>
                <w:w w:val="95"/>
                <w:sz w:val="20"/>
              </w:rPr>
              <w:t>соединительной</w:t>
            </w:r>
            <w:r>
              <w:rPr>
                <w:spacing w:val="53"/>
                <w:sz w:val="20"/>
              </w:rPr>
              <w:t> </w:t>
            </w:r>
            <w:r>
              <w:rPr>
                <w:spacing w:val="-2"/>
                <w:sz w:val="20"/>
              </w:rPr>
              <w:t>ткани,</w:t>
            </w:r>
          </w:p>
        </w:tc>
        <w:tc>
          <w:tcPr>
            <w:tcW w:w="5211" w:type="dxa"/>
          </w:tcPr>
          <w:p>
            <w:pPr>
              <w:pStyle w:val="TableParagraph"/>
              <w:spacing w:line="210" w:lineRule="exact"/>
              <w:ind w:left="397"/>
              <w:rPr>
                <w:sz w:val="20"/>
              </w:rPr>
            </w:pPr>
            <w:r>
              <w:rPr>
                <w:sz w:val="20"/>
              </w:rPr>
              <w:t>M01,</w:t>
            </w:r>
            <w:r>
              <w:rPr>
                <w:spacing w:val="-5"/>
                <w:sz w:val="20"/>
              </w:rPr>
              <w:t> </w:t>
            </w:r>
            <w:r>
              <w:rPr>
                <w:sz w:val="20"/>
              </w:rPr>
              <w:t>M01.0,</w:t>
            </w:r>
            <w:r>
              <w:rPr>
                <w:spacing w:val="-4"/>
                <w:sz w:val="20"/>
              </w:rPr>
              <w:t> </w:t>
            </w:r>
            <w:r>
              <w:rPr>
                <w:sz w:val="20"/>
              </w:rPr>
              <w:t>M01.2,</w:t>
            </w:r>
            <w:r>
              <w:rPr>
                <w:spacing w:val="-6"/>
                <w:sz w:val="20"/>
              </w:rPr>
              <w:t> </w:t>
            </w:r>
            <w:r>
              <w:rPr>
                <w:sz w:val="20"/>
              </w:rPr>
              <w:t>M01.3,</w:t>
            </w:r>
            <w:r>
              <w:rPr>
                <w:spacing w:val="-6"/>
                <w:sz w:val="20"/>
              </w:rPr>
              <w:t> </w:t>
            </w:r>
            <w:r>
              <w:rPr>
                <w:sz w:val="20"/>
              </w:rPr>
              <w:t>M01.4,</w:t>
            </w:r>
            <w:r>
              <w:rPr>
                <w:spacing w:val="-4"/>
                <w:sz w:val="20"/>
              </w:rPr>
              <w:t> </w:t>
            </w:r>
            <w:r>
              <w:rPr>
                <w:spacing w:val="-2"/>
                <w:sz w:val="20"/>
              </w:rPr>
              <w:t>M01.5,</w:t>
            </w:r>
          </w:p>
        </w:tc>
        <w:tc>
          <w:tcPr>
            <w:tcW w:w="1888" w:type="dxa"/>
          </w:tcPr>
          <w:p>
            <w:pPr>
              <w:pStyle w:val="TableParagraph"/>
              <w:rPr>
                <w:sz w:val="16"/>
              </w:rPr>
            </w:pPr>
          </w:p>
        </w:tc>
        <w:tc>
          <w:tcPr>
            <w:tcW w:w="3120" w:type="dxa"/>
          </w:tcPr>
          <w:p>
            <w:pPr>
              <w:pStyle w:val="TableParagraph"/>
              <w:spacing w:line="210" w:lineRule="exact"/>
              <w:ind w:left="992" w:right="452"/>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spacing w:line="209" w:lineRule="exact"/>
              <w:ind w:left="193"/>
              <w:rPr>
                <w:sz w:val="20"/>
              </w:rPr>
            </w:pPr>
            <w:r>
              <w:rPr>
                <w:spacing w:val="-2"/>
                <w:sz w:val="20"/>
              </w:rPr>
              <w:t>артропатии,</w:t>
            </w:r>
          </w:p>
        </w:tc>
        <w:tc>
          <w:tcPr>
            <w:tcW w:w="5211" w:type="dxa"/>
          </w:tcPr>
          <w:p>
            <w:pPr>
              <w:pStyle w:val="TableParagraph"/>
              <w:spacing w:line="209" w:lineRule="exact"/>
              <w:ind w:left="397"/>
              <w:rPr>
                <w:sz w:val="20"/>
              </w:rPr>
            </w:pPr>
            <w:r>
              <w:rPr>
                <w:sz w:val="20"/>
              </w:rPr>
              <w:t>M01.6,</w:t>
            </w:r>
            <w:r>
              <w:rPr>
                <w:spacing w:val="-5"/>
                <w:sz w:val="20"/>
              </w:rPr>
              <w:t> </w:t>
            </w:r>
            <w:r>
              <w:rPr>
                <w:sz w:val="20"/>
              </w:rPr>
              <w:t>M01.8,</w:t>
            </w:r>
            <w:r>
              <w:rPr>
                <w:spacing w:val="-4"/>
                <w:sz w:val="20"/>
              </w:rPr>
              <w:t> </w:t>
            </w:r>
            <w:r>
              <w:rPr>
                <w:sz w:val="20"/>
              </w:rPr>
              <w:t>M02,</w:t>
            </w:r>
            <w:r>
              <w:rPr>
                <w:spacing w:val="-6"/>
                <w:sz w:val="20"/>
              </w:rPr>
              <w:t> </w:t>
            </w:r>
            <w:r>
              <w:rPr>
                <w:sz w:val="20"/>
              </w:rPr>
              <w:t>M02.0,</w:t>
            </w:r>
            <w:r>
              <w:rPr>
                <w:spacing w:val="-6"/>
                <w:sz w:val="20"/>
              </w:rPr>
              <w:t> </w:t>
            </w:r>
            <w:r>
              <w:rPr>
                <w:sz w:val="20"/>
              </w:rPr>
              <w:t>M02.1,</w:t>
            </w:r>
            <w:r>
              <w:rPr>
                <w:spacing w:val="-4"/>
                <w:sz w:val="20"/>
              </w:rPr>
              <w:t> </w:t>
            </w:r>
            <w:r>
              <w:rPr>
                <w:spacing w:val="-2"/>
                <w:sz w:val="20"/>
              </w:rPr>
              <w:t>M02.2,</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spacing w:line="209" w:lineRule="exact"/>
              <w:ind w:left="193"/>
              <w:rPr>
                <w:sz w:val="20"/>
              </w:rPr>
            </w:pPr>
            <w:r>
              <w:rPr>
                <w:w w:val="95"/>
                <w:sz w:val="20"/>
              </w:rPr>
              <w:t>спондилопатии,</w:t>
            </w:r>
            <w:r>
              <w:rPr>
                <w:spacing w:val="49"/>
                <w:sz w:val="20"/>
              </w:rPr>
              <w:t> </w:t>
            </w:r>
            <w:r>
              <w:rPr>
                <w:spacing w:val="-2"/>
                <w:sz w:val="20"/>
              </w:rPr>
              <w:t>взрослые</w:t>
            </w:r>
          </w:p>
        </w:tc>
        <w:tc>
          <w:tcPr>
            <w:tcW w:w="5211" w:type="dxa"/>
          </w:tcPr>
          <w:p>
            <w:pPr>
              <w:pStyle w:val="TableParagraph"/>
              <w:spacing w:line="209" w:lineRule="exact"/>
              <w:ind w:left="397"/>
              <w:rPr>
                <w:sz w:val="20"/>
              </w:rPr>
            </w:pPr>
            <w:r>
              <w:rPr>
                <w:sz w:val="20"/>
              </w:rPr>
              <w:t>M02.3,</w:t>
            </w:r>
            <w:r>
              <w:rPr>
                <w:spacing w:val="-5"/>
                <w:sz w:val="20"/>
              </w:rPr>
              <w:t> </w:t>
            </w:r>
            <w:r>
              <w:rPr>
                <w:sz w:val="20"/>
              </w:rPr>
              <w:t>M02.8,</w:t>
            </w:r>
            <w:r>
              <w:rPr>
                <w:spacing w:val="-5"/>
                <w:sz w:val="20"/>
              </w:rPr>
              <w:t> </w:t>
            </w:r>
            <w:r>
              <w:rPr>
                <w:sz w:val="20"/>
              </w:rPr>
              <w:t>M02.9,</w:t>
            </w:r>
            <w:r>
              <w:rPr>
                <w:spacing w:val="-4"/>
                <w:sz w:val="20"/>
              </w:rPr>
              <w:t> </w:t>
            </w:r>
            <w:r>
              <w:rPr>
                <w:sz w:val="20"/>
              </w:rPr>
              <w:t>M03,</w:t>
            </w:r>
            <w:r>
              <w:rPr>
                <w:spacing w:val="-6"/>
                <w:sz w:val="20"/>
              </w:rPr>
              <w:t> </w:t>
            </w:r>
            <w:r>
              <w:rPr>
                <w:sz w:val="20"/>
              </w:rPr>
              <w:t>M03.0,</w:t>
            </w:r>
            <w:r>
              <w:rPr>
                <w:spacing w:val="-5"/>
                <w:sz w:val="20"/>
              </w:rPr>
              <w:t> </w:t>
            </w:r>
            <w:r>
              <w:rPr>
                <w:spacing w:val="-2"/>
                <w:sz w:val="20"/>
              </w:rPr>
              <w:t>M03.2,</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97"/>
              <w:rPr>
                <w:sz w:val="20"/>
              </w:rPr>
            </w:pPr>
            <w:r>
              <w:rPr>
                <w:sz w:val="20"/>
              </w:rPr>
              <w:t>M03.6,</w:t>
            </w:r>
            <w:r>
              <w:rPr>
                <w:spacing w:val="-4"/>
                <w:sz w:val="20"/>
              </w:rPr>
              <w:t> </w:t>
            </w:r>
            <w:r>
              <w:rPr>
                <w:sz w:val="20"/>
              </w:rPr>
              <w:t>M05,</w:t>
            </w:r>
            <w:r>
              <w:rPr>
                <w:spacing w:val="-4"/>
                <w:sz w:val="20"/>
              </w:rPr>
              <w:t> </w:t>
            </w:r>
            <w:r>
              <w:rPr>
                <w:sz w:val="20"/>
              </w:rPr>
              <w:t>M05.0,</w:t>
            </w:r>
            <w:r>
              <w:rPr>
                <w:spacing w:val="-6"/>
                <w:sz w:val="20"/>
              </w:rPr>
              <w:t> </w:t>
            </w:r>
            <w:r>
              <w:rPr>
                <w:sz w:val="20"/>
              </w:rPr>
              <w:t>M05.1,</w:t>
            </w:r>
            <w:r>
              <w:rPr>
                <w:spacing w:val="-6"/>
                <w:sz w:val="20"/>
              </w:rPr>
              <w:t> </w:t>
            </w:r>
            <w:r>
              <w:rPr>
                <w:sz w:val="20"/>
              </w:rPr>
              <w:t>M05.2,</w:t>
            </w:r>
            <w:r>
              <w:rPr>
                <w:spacing w:val="-4"/>
                <w:sz w:val="20"/>
              </w:rPr>
              <w:t> </w:t>
            </w:r>
            <w:r>
              <w:rPr>
                <w:spacing w:val="-2"/>
                <w:sz w:val="20"/>
              </w:rPr>
              <w:t>M05.3,</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M05.8,</w:t>
            </w:r>
            <w:r>
              <w:rPr>
                <w:spacing w:val="-6"/>
                <w:sz w:val="20"/>
              </w:rPr>
              <w:t> </w:t>
            </w:r>
            <w:r>
              <w:rPr>
                <w:sz w:val="20"/>
              </w:rPr>
              <w:t>M05.9,</w:t>
            </w:r>
            <w:r>
              <w:rPr>
                <w:spacing w:val="-6"/>
                <w:sz w:val="20"/>
              </w:rPr>
              <w:t> </w:t>
            </w:r>
            <w:r>
              <w:rPr>
                <w:sz w:val="20"/>
              </w:rPr>
              <w:t>M06.0,</w:t>
            </w:r>
            <w:r>
              <w:rPr>
                <w:spacing w:val="-5"/>
                <w:sz w:val="20"/>
              </w:rPr>
              <w:t> </w:t>
            </w:r>
            <w:r>
              <w:rPr>
                <w:sz w:val="20"/>
              </w:rPr>
              <w:t>M06.1,</w:t>
            </w:r>
            <w:r>
              <w:rPr>
                <w:spacing w:val="-6"/>
                <w:sz w:val="20"/>
              </w:rPr>
              <w:t> </w:t>
            </w:r>
            <w:r>
              <w:rPr>
                <w:sz w:val="20"/>
              </w:rPr>
              <w:t>M06.2,</w:t>
            </w:r>
            <w:r>
              <w:rPr>
                <w:spacing w:val="-5"/>
                <w:sz w:val="20"/>
              </w:rPr>
              <w:t> </w:t>
            </w:r>
            <w:r>
              <w:rPr>
                <w:spacing w:val="-2"/>
                <w:sz w:val="20"/>
              </w:rPr>
              <w:t>M06.3,</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97"/>
              <w:rPr>
                <w:sz w:val="20"/>
              </w:rPr>
            </w:pPr>
            <w:r>
              <w:rPr>
                <w:sz w:val="20"/>
              </w:rPr>
              <w:t>M06.4,</w:t>
            </w:r>
            <w:r>
              <w:rPr>
                <w:spacing w:val="-5"/>
                <w:sz w:val="20"/>
              </w:rPr>
              <w:t> </w:t>
            </w:r>
            <w:r>
              <w:rPr>
                <w:sz w:val="20"/>
              </w:rPr>
              <w:t>M06.8,</w:t>
            </w:r>
            <w:r>
              <w:rPr>
                <w:spacing w:val="-5"/>
                <w:sz w:val="20"/>
              </w:rPr>
              <w:t> </w:t>
            </w:r>
            <w:r>
              <w:rPr>
                <w:sz w:val="20"/>
              </w:rPr>
              <w:t>M06.9,</w:t>
            </w:r>
            <w:r>
              <w:rPr>
                <w:spacing w:val="-4"/>
                <w:sz w:val="20"/>
              </w:rPr>
              <w:t> </w:t>
            </w:r>
            <w:r>
              <w:rPr>
                <w:sz w:val="20"/>
              </w:rPr>
              <w:t>M07,</w:t>
            </w:r>
            <w:r>
              <w:rPr>
                <w:spacing w:val="-6"/>
                <w:sz w:val="20"/>
              </w:rPr>
              <w:t> </w:t>
            </w:r>
            <w:r>
              <w:rPr>
                <w:sz w:val="20"/>
              </w:rPr>
              <w:t>M07.0,</w:t>
            </w:r>
            <w:r>
              <w:rPr>
                <w:spacing w:val="-5"/>
                <w:sz w:val="20"/>
              </w:rPr>
              <w:t> </w:t>
            </w:r>
            <w:r>
              <w:rPr>
                <w:spacing w:val="-2"/>
                <w:sz w:val="20"/>
              </w:rPr>
              <w:t>M07.1,</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M07.2,</w:t>
            </w:r>
            <w:r>
              <w:rPr>
                <w:spacing w:val="-6"/>
                <w:sz w:val="20"/>
              </w:rPr>
              <w:t> </w:t>
            </w:r>
            <w:r>
              <w:rPr>
                <w:sz w:val="20"/>
              </w:rPr>
              <w:t>M07.3,</w:t>
            </w:r>
            <w:r>
              <w:rPr>
                <w:spacing w:val="-6"/>
                <w:sz w:val="20"/>
              </w:rPr>
              <w:t> </w:t>
            </w:r>
            <w:r>
              <w:rPr>
                <w:sz w:val="20"/>
              </w:rPr>
              <w:t>M07.4,</w:t>
            </w:r>
            <w:r>
              <w:rPr>
                <w:spacing w:val="-6"/>
                <w:sz w:val="20"/>
              </w:rPr>
              <w:t> </w:t>
            </w:r>
            <w:r>
              <w:rPr>
                <w:sz w:val="20"/>
              </w:rPr>
              <w:t>M07.5,</w:t>
            </w:r>
            <w:r>
              <w:rPr>
                <w:spacing w:val="-6"/>
                <w:sz w:val="20"/>
              </w:rPr>
              <w:t> </w:t>
            </w:r>
            <w:r>
              <w:rPr>
                <w:sz w:val="20"/>
              </w:rPr>
              <w:t>M07.6,</w:t>
            </w:r>
            <w:r>
              <w:rPr>
                <w:spacing w:val="-5"/>
                <w:sz w:val="20"/>
              </w:rPr>
              <w:t> </w:t>
            </w:r>
            <w:r>
              <w:rPr>
                <w:spacing w:val="-2"/>
                <w:sz w:val="20"/>
              </w:rPr>
              <w:t>M08.0,</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21"/>
              <w:rPr>
                <w:sz w:val="20"/>
              </w:rPr>
            </w:pPr>
            <w:r>
              <w:rPr>
                <w:sz w:val="20"/>
              </w:rPr>
              <w:t>M08.1,</w:t>
            </w:r>
            <w:r>
              <w:rPr>
                <w:spacing w:val="-6"/>
                <w:sz w:val="20"/>
              </w:rPr>
              <w:t> </w:t>
            </w:r>
            <w:r>
              <w:rPr>
                <w:sz w:val="20"/>
              </w:rPr>
              <w:t>M08.2,</w:t>
            </w:r>
            <w:r>
              <w:rPr>
                <w:spacing w:val="-6"/>
                <w:sz w:val="20"/>
              </w:rPr>
              <w:t> </w:t>
            </w:r>
            <w:r>
              <w:rPr>
                <w:sz w:val="20"/>
              </w:rPr>
              <w:t>M08.3,</w:t>
            </w:r>
            <w:r>
              <w:rPr>
                <w:spacing w:val="-6"/>
                <w:sz w:val="20"/>
              </w:rPr>
              <w:t> </w:t>
            </w:r>
            <w:r>
              <w:rPr>
                <w:sz w:val="20"/>
              </w:rPr>
              <w:t>M08.4,</w:t>
            </w:r>
            <w:r>
              <w:rPr>
                <w:spacing w:val="-6"/>
                <w:sz w:val="20"/>
              </w:rPr>
              <w:t> </w:t>
            </w:r>
            <w:r>
              <w:rPr>
                <w:sz w:val="20"/>
              </w:rPr>
              <w:t>M08.8,</w:t>
            </w:r>
            <w:r>
              <w:rPr>
                <w:spacing w:val="-5"/>
                <w:sz w:val="20"/>
              </w:rPr>
              <w:t> </w:t>
            </w:r>
            <w:r>
              <w:rPr>
                <w:spacing w:val="-2"/>
                <w:sz w:val="20"/>
              </w:rPr>
              <w:t>M08.9,</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97"/>
              <w:rPr>
                <w:sz w:val="20"/>
              </w:rPr>
            </w:pPr>
            <w:r>
              <w:rPr>
                <w:sz w:val="20"/>
              </w:rPr>
              <w:t>M09.0,</w:t>
            </w:r>
            <w:r>
              <w:rPr>
                <w:spacing w:val="-6"/>
                <w:sz w:val="20"/>
              </w:rPr>
              <w:t> </w:t>
            </w:r>
            <w:r>
              <w:rPr>
                <w:sz w:val="20"/>
              </w:rPr>
              <w:t>M09.1,</w:t>
            </w:r>
            <w:r>
              <w:rPr>
                <w:spacing w:val="-5"/>
                <w:sz w:val="20"/>
              </w:rPr>
              <w:t> </w:t>
            </w:r>
            <w:r>
              <w:rPr>
                <w:sz w:val="20"/>
              </w:rPr>
              <w:t>M09.2,</w:t>
            </w:r>
            <w:r>
              <w:rPr>
                <w:spacing w:val="-5"/>
                <w:sz w:val="20"/>
              </w:rPr>
              <w:t> </w:t>
            </w:r>
            <w:r>
              <w:rPr>
                <w:sz w:val="20"/>
              </w:rPr>
              <w:t>M09.8,</w:t>
            </w:r>
            <w:r>
              <w:rPr>
                <w:spacing w:val="-5"/>
                <w:sz w:val="20"/>
              </w:rPr>
              <w:t> </w:t>
            </w:r>
            <w:r>
              <w:rPr>
                <w:sz w:val="20"/>
              </w:rPr>
              <w:t>M10,</w:t>
            </w:r>
            <w:r>
              <w:rPr>
                <w:spacing w:val="-5"/>
                <w:sz w:val="20"/>
              </w:rPr>
              <w:t> </w:t>
            </w:r>
            <w:r>
              <w:rPr>
                <w:spacing w:val="-2"/>
                <w:sz w:val="20"/>
              </w:rPr>
              <w:t>M10.0,</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1" w:lineRule="exact"/>
              <w:ind w:left="397"/>
              <w:rPr>
                <w:sz w:val="20"/>
              </w:rPr>
            </w:pPr>
            <w:r>
              <w:rPr>
                <w:sz w:val="20"/>
              </w:rPr>
              <w:t>M10.1,</w:t>
            </w:r>
            <w:r>
              <w:rPr>
                <w:spacing w:val="-6"/>
                <w:sz w:val="20"/>
              </w:rPr>
              <w:t> </w:t>
            </w:r>
            <w:r>
              <w:rPr>
                <w:sz w:val="20"/>
              </w:rPr>
              <w:t>M10.2,</w:t>
            </w:r>
            <w:r>
              <w:rPr>
                <w:spacing w:val="-6"/>
                <w:sz w:val="20"/>
              </w:rPr>
              <w:t> </w:t>
            </w:r>
            <w:r>
              <w:rPr>
                <w:sz w:val="20"/>
              </w:rPr>
              <w:t>M10.3,</w:t>
            </w:r>
            <w:r>
              <w:rPr>
                <w:spacing w:val="-6"/>
                <w:sz w:val="20"/>
              </w:rPr>
              <w:t> </w:t>
            </w:r>
            <w:r>
              <w:rPr>
                <w:sz w:val="20"/>
              </w:rPr>
              <w:t>M10.4,</w:t>
            </w:r>
            <w:r>
              <w:rPr>
                <w:spacing w:val="-6"/>
                <w:sz w:val="20"/>
              </w:rPr>
              <w:t> </w:t>
            </w:r>
            <w:r>
              <w:rPr>
                <w:sz w:val="20"/>
              </w:rPr>
              <w:t>M10.9,</w:t>
            </w:r>
            <w:r>
              <w:rPr>
                <w:spacing w:val="-5"/>
                <w:sz w:val="20"/>
              </w:rPr>
              <w:t> </w:t>
            </w:r>
            <w:r>
              <w:rPr>
                <w:spacing w:val="-4"/>
                <w:sz w:val="20"/>
              </w:rPr>
              <w:t>M11,</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97"/>
              <w:rPr>
                <w:sz w:val="20"/>
              </w:rPr>
            </w:pPr>
            <w:r>
              <w:rPr>
                <w:sz w:val="20"/>
              </w:rPr>
              <w:t>M11.0,</w:t>
            </w:r>
            <w:r>
              <w:rPr>
                <w:spacing w:val="-6"/>
                <w:sz w:val="20"/>
              </w:rPr>
              <w:t> </w:t>
            </w:r>
            <w:r>
              <w:rPr>
                <w:sz w:val="20"/>
              </w:rPr>
              <w:t>M11.1,</w:t>
            </w:r>
            <w:r>
              <w:rPr>
                <w:spacing w:val="-6"/>
                <w:sz w:val="20"/>
              </w:rPr>
              <w:t> </w:t>
            </w:r>
            <w:r>
              <w:rPr>
                <w:sz w:val="20"/>
              </w:rPr>
              <w:t>M11.2,</w:t>
            </w:r>
            <w:r>
              <w:rPr>
                <w:spacing w:val="-3"/>
                <w:sz w:val="20"/>
              </w:rPr>
              <w:t> </w:t>
            </w:r>
            <w:r>
              <w:rPr>
                <w:sz w:val="20"/>
              </w:rPr>
              <w:t>M11.8,</w:t>
            </w:r>
            <w:r>
              <w:rPr>
                <w:spacing w:val="-6"/>
                <w:sz w:val="20"/>
              </w:rPr>
              <w:t> </w:t>
            </w:r>
            <w:r>
              <w:rPr>
                <w:sz w:val="20"/>
              </w:rPr>
              <w:t>M11.9,</w:t>
            </w:r>
            <w:r>
              <w:rPr>
                <w:spacing w:val="-5"/>
                <w:sz w:val="20"/>
              </w:rPr>
              <w:t> </w:t>
            </w:r>
            <w:r>
              <w:rPr>
                <w:spacing w:val="-4"/>
                <w:sz w:val="20"/>
              </w:rPr>
              <w:t>M12,</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M12.0,</w:t>
            </w:r>
            <w:r>
              <w:rPr>
                <w:spacing w:val="-6"/>
                <w:sz w:val="20"/>
              </w:rPr>
              <w:t> </w:t>
            </w:r>
            <w:r>
              <w:rPr>
                <w:sz w:val="20"/>
              </w:rPr>
              <w:t>M12.1,</w:t>
            </w:r>
            <w:r>
              <w:rPr>
                <w:spacing w:val="-6"/>
                <w:sz w:val="20"/>
              </w:rPr>
              <w:t> </w:t>
            </w:r>
            <w:r>
              <w:rPr>
                <w:sz w:val="20"/>
              </w:rPr>
              <w:t>M12.2,</w:t>
            </w:r>
            <w:r>
              <w:rPr>
                <w:spacing w:val="-6"/>
                <w:sz w:val="20"/>
              </w:rPr>
              <w:t> </w:t>
            </w:r>
            <w:r>
              <w:rPr>
                <w:sz w:val="20"/>
              </w:rPr>
              <w:t>M12.3,</w:t>
            </w:r>
            <w:r>
              <w:rPr>
                <w:spacing w:val="-6"/>
                <w:sz w:val="20"/>
              </w:rPr>
              <w:t> </w:t>
            </w:r>
            <w:r>
              <w:rPr>
                <w:sz w:val="20"/>
              </w:rPr>
              <w:t>M12.4,</w:t>
            </w:r>
            <w:r>
              <w:rPr>
                <w:spacing w:val="-5"/>
                <w:sz w:val="20"/>
              </w:rPr>
              <w:t> </w:t>
            </w:r>
            <w:r>
              <w:rPr>
                <w:spacing w:val="-2"/>
                <w:sz w:val="20"/>
              </w:rPr>
              <w:t>M12.5,</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158"/>
              <w:rPr>
                <w:sz w:val="20"/>
              </w:rPr>
            </w:pPr>
            <w:r>
              <w:rPr>
                <w:sz w:val="20"/>
              </w:rPr>
              <w:t>M12.8,</w:t>
            </w:r>
            <w:r>
              <w:rPr>
                <w:spacing w:val="-5"/>
                <w:sz w:val="20"/>
              </w:rPr>
              <w:t> </w:t>
            </w:r>
            <w:r>
              <w:rPr>
                <w:sz w:val="20"/>
              </w:rPr>
              <w:t>M13,</w:t>
            </w:r>
            <w:r>
              <w:rPr>
                <w:spacing w:val="-5"/>
                <w:sz w:val="20"/>
              </w:rPr>
              <w:t> </w:t>
            </w:r>
            <w:r>
              <w:rPr>
                <w:sz w:val="20"/>
              </w:rPr>
              <w:t>M13.0,</w:t>
            </w:r>
            <w:r>
              <w:rPr>
                <w:spacing w:val="-6"/>
                <w:sz w:val="20"/>
              </w:rPr>
              <w:t> </w:t>
            </w:r>
            <w:r>
              <w:rPr>
                <w:sz w:val="20"/>
              </w:rPr>
              <w:t>M13.1,</w:t>
            </w:r>
            <w:r>
              <w:rPr>
                <w:spacing w:val="-6"/>
                <w:sz w:val="20"/>
              </w:rPr>
              <w:t> </w:t>
            </w:r>
            <w:r>
              <w:rPr>
                <w:sz w:val="20"/>
              </w:rPr>
              <w:t>M13.8,</w:t>
            </w:r>
            <w:r>
              <w:rPr>
                <w:spacing w:val="-5"/>
                <w:sz w:val="20"/>
              </w:rPr>
              <w:t> </w:t>
            </w:r>
            <w:r>
              <w:rPr>
                <w:sz w:val="20"/>
              </w:rPr>
              <w:t>M13.9,</w:t>
            </w:r>
            <w:r>
              <w:rPr>
                <w:spacing w:val="-5"/>
                <w:sz w:val="20"/>
              </w:rPr>
              <w:t> </w:t>
            </w:r>
            <w:r>
              <w:rPr>
                <w:spacing w:val="-4"/>
                <w:sz w:val="20"/>
              </w:rPr>
              <w:t>M14,</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21"/>
              <w:rPr>
                <w:sz w:val="20"/>
              </w:rPr>
            </w:pPr>
            <w:r>
              <w:rPr>
                <w:sz w:val="20"/>
              </w:rPr>
              <w:t>M14.0,</w:t>
            </w:r>
            <w:r>
              <w:rPr>
                <w:spacing w:val="-6"/>
                <w:sz w:val="20"/>
              </w:rPr>
              <w:t> </w:t>
            </w:r>
            <w:r>
              <w:rPr>
                <w:sz w:val="20"/>
              </w:rPr>
              <w:t>M14.1,</w:t>
            </w:r>
            <w:r>
              <w:rPr>
                <w:spacing w:val="-6"/>
                <w:sz w:val="20"/>
              </w:rPr>
              <w:t> </w:t>
            </w:r>
            <w:r>
              <w:rPr>
                <w:sz w:val="20"/>
              </w:rPr>
              <w:t>M14.2,</w:t>
            </w:r>
            <w:r>
              <w:rPr>
                <w:spacing w:val="-6"/>
                <w:sz w:val="20"/>
              </w:rPr>
              <w:t> </w:t>
            </w:r>
            <w:r>
              <w:rPr>
                <w:sz w:val="20"/>
              </w:rPr>
              <w:t>M14.3,</w:t>
            </w:r>
            <w:r>
              <w:rPr>
                <w:spacing w:val="-6"/>
                <w:sz w:val="20"/>
              </w:rPr>
              <w:t> </w:t>
            </w:r>
            <w:r>
              <w:rPr>
                <w:sz w:val="20"/>
              </w:rPr>
              <w:t>M14.4,</w:t>
            </w:r>
            <w:r>
              <w:rPr>
                <w:spacing w:val="-5"/>
                <w:sz w:val="20"/>
              </w:rPr>
              <w:t> </w:t>
            </w:r>
            <w:r>
              <w:rPr>
                <w:spacing w:val="-2"/>
                <w:sz w:val="20"/>
              </w:rPr>
              <w:t>M14.5,</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21"/>
              <w:rPr>
                <w:sz w:val="20"/>
              </w:rPr>
            </w:pPr>
            <w:r>
              <w:rPr>
                <w:sz w:val="20"/>
              </w:rPr>
              <w:t>M14.6,</w:t>
            </w:r>
            <w:r>
              <w:rPr>
                <w:spacing w:val="-6"/>
                <w:sz w:val="20"/>
              </w:rPr>
              <w:t> </w:t>
            </w:r>
            <w:r>
              <w:rPr>
                <w:sz w:val="20"/>
              </w:rPr>
              <w:t>M14.8,</w:t>
            </w:r>
            <w:r>
              <w:rPr>
                <w:spacing w:val="-6"/>
                <w:sz w:val="20"/>
              </w:rPr>
              <w:t> </w:t>
            </w:r>
            <w:r>
              <w:rPr>
                <w:sz w:val="20"/>
              </w:rPr>
              <w:t>M30.0,</w:t>
            </w:r>
            <w:r>
              <w:rPr>
                <w:spacing w:val="-6"/>
                <w:sz w:val="20"/>
              </w:rPr>
              <w:t> </w:t>
            </w:r>
            <w:r>
              <w:rPr>
                <w:sz w:val="20"/>
              </w:rPr>
              <w:t>M30.1,</w:t>
            </w:r>
            <w:r>
              <w:rPr>
                <w:spacing w:val="-6"/>
                <w:sz w:val="20"/>
              </w:rPr>
              <w:t> </w:t>
            </w:r>
            <w:r>
              <w:rPr>
                <w:sz w:val="20"/>
              </w:rPr>
              <w:t>M30.2,</w:t>
            </w:r>
            <w:r>
              <w:rPr>
                <w:spacing w:val="-5"/>
                <w:sz w:val="20"/>
              </w:rPr>
              <w:t> </w:t>
            </w:r>
            <w:r>
              <w:rPr>
                <w:spacing w:val="-2"/>
                <w:sz w:val="20"/>
              </w:rPr>
              <w:t>M30.3,</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M30.8,</w:t>
            </w:r>
            <w:r>
              <w:rPr>
                <w:spacing w:val="-6"/>
                <w:sz w:val="20"/>
              </w:rPr>
              <w:t> </w:t>
            </w:r>
            <w:r>
              <w:rPr>
                <w:sz w:val="20"/>
              </w:rPr>
              <w:t>M31.0,</w:t>
            </w:r>
            <w:r>
              <w:rPr>
                <w:spacing w:val="-6"/>
                <w:sz w:val="20"/>
              </w:rPr>
              <w:t> </w:t>
            </w:r>
            <w:r>
              <w:rPr>
                <w:sz w:val="20"/>
              </w:rPr>
              <w:t>M31.1,</w:t>
            </w:r>
            <w:r>
              <w:rPr>
                <w:spacing w:val="-6"/>
                <w:sz w:val="20"/>
              </w:rPr>
              <w:t> </w:t>
            </w:r>
            <w:r>
              <w:rPr>
                <w:sz w:val="20"/>
              </w:rPr>
              <w:t>M31.3,</w:t>
            </w:r>
            <w:r>
              <w:rPr>
                <w:spacing w:val="-6"/>
                <w:sz w:val="20"/>
              </w:rPr>
              <w:t> </w:t>
            </w:r>
            <w:r>
              <w:rPr>
                <w:sz w:val="20"/>
              </w:rPr>
              <w:t>M31.4,</w:t>
            </w:r>
            <w:r>
              <w:rPr>
                <w:spacing w:val="-5"/>
                <w:sz w:val="20"/>
              </w:rPr>
              <w:t> </w:t>
            </w:r>
            <w:r>
              <w:rPr>
                <w:spacing w:val="-2"/>
                <w:sz w:val="20"/>
              </w:rPr>
              <w:t>M31.5,</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5" w:lineRule="exact"/>
              <w:ind w:left="321"/>
              <w:rPr>
                <w:sz w:val="20"/>
              </w:rPr>
            </w:pPr>
            <w:r>
              <w:rPr>
                <w:sz w:val="20"/>
              </w:rPr>
              <w:t>M31.6,</w:t>
            </w:r>
            <w:r>
              <w:rPr>
                <w:spacing w:val="-6"/>
                <w:sz w:val="20"/>
              </w:rPr>
              <w:t> </w:t>
            </w:r>
            <w:r>
              <w:rPr>
                <w:sz w:val="20"/>
              </w:rPr>
              <w:t>M31.7,</w:t>
            </w:r>
            <w:r>
              <w:rPr>
                <w:spacing w:val="-5"/>
                <w:sz w:val="20"/>
              </w:rPr>
              <w:t> </w:t>
            </w:r>
            <w:r>
              <w:rPr>
                <w:sz w:val="20"/>
              </w:rPr>
              <w:t>M31.8,</w:t>
            </w:r>
            <w:r>
              <w:rPr>
                <w:spacing w:val="-5"/>
                <w:sz w:val="20"/>
              </w:rPr>
              <w:t> </w:t>
            </w:r>
            <w:r>
              <w:rPr>
                <w:sz w:val="20"/>
              </w:rPr>
              <w:t>M31.9,</w:t>
            </w:r>
            <w:r>
              <w:rPr>
                <w:spacing w:val="-5"/>
                <w:sz w:val="20"/>
              </w:rPr>
              <w:t> </w:t>
            </w:r>
            <w:r>
              <w:rPr>
                <w:sz w:val="20"/>
              </w:rPr>
              <w:t>M32.0,</w:t>
            </w:r>
            <w:r>
              <w:rPr>
                <w:spacing w:val="-5"/>
                <w:sz w:val="20"/>
              </w:rPr>
              <w:t> </w:t>
            </w:r>
            <w:r>
              <w:rPr>
                <w:spacing w:val="-2"/>
                <w:sz w:val="20"/>
              </w:rPr>
              <w:t>M32.1,</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624"/>
        <w:gridCol w:w="4252"/>
        <w:gridCol w:w="3439"/>
        <w:gridCol w:w="2515"/>
        <w:gridCol w:w="789"/>
      </w:tblGrid>
      <w:tr>
        <w:trPr>
          <w:trHeight w:val="1195"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rPr>
                <w:sz w:val="18"/>
              </w:rPr>
            </w:pPr>
          </w:p>
        </w:tc>
        <w:tc>
          <w:tcPr>
            <w:tcW w:w="4252" w:type="dxa"/>
          </w:tcPr>
          <w:p>
            <w:pPr>
              <w:pStyle w:val="TableParagraph"/>
              <w:spacing w:line="221" w:lineRule="exact"/>
              <w:ind w:left="236" w:right="299"/>
              <w:jc w:val="center"/>
              <w:rPr>
                <w:sz w:val="20"/>
              </w:rPr>
            </w:pPr>
            <w:r>
              <w:rPr>
                <w:sz w:val="20"/>
              </w:rPr>
              <w:t>M32.8,</w:t>
            </w:r>
            <w:r>
              <w:rPr>
                <w:spacing w:val="-6"/>
                <w:sz w:val="20"/>
              </w:rPr>
              <w:t> </w:t>
            </w:r>
            <w:r>
              <w:rPr>
                <w:sz w:val="20"/>
              </w:rPr>
              <w:t>M32.9,</w:t>
            </w:r>
            <w:r>
              <w:rPr>
                <w:spacing w:val="-6"/>
                <w:sz w:val="20"/>
              </w:rPr>
              <w:t> </w:t>
            </w:r>
            <w:r>
              <w:rPr>
                <w:sz w:val="20"/>
              </w:rPr>
              <w:t>M33.0,</w:t>
            </w:r>
            <w:r>
              <w:rPr>
                <w:spacing w:val="-6"/>
                <w:sz w:val="20"/>
              </w:rPr>
              <w:t> </w:t>
            </w:r>
            <w:r>
              <w:rPr>
                <w:sz w:val="20"/>
              </w:rPr>
              <w:t>M33.1,</w:t>
            </w:r>
            <w:r>
              <w:rPr>
                <w:spacing w:val="-6"/>
                <w:sz w:val="20"/>
              </w:rPr>
              <w:t> </w:t>
            </w:r>
            <w:r>
              <w:rPr>
                <w:sz w:val="20"/>
              </w:rPr>
              <w:t>M33.2,</w:t>
            </w:r>
            <w:r>
              <w:rPr>
                <w:spacing w:val="-5"/>
                <w:sz w:val="20"/>
              </w:rPr>
              <w:t> </w:t>
            </w:r>
            <w:r>
              <w:rPr>
                <w:spacing w:val="-2"/>
                <w:sz w:val="20"/>
              </w:rPr>
              <w:t>M33.9,</w:t>
            </w:r>
          </w:p>
          <w:p>
            <w:pPr>
              <w:pStyle w:val="TableParagraph"/>
              <w:spacing w:line="229" w:lineRule="exact"/>
              <w:ind w:left="236" w:right="299"/>
              <w:jc w:val="center"/>
              <w:rPr>
                <w:sz w:val="20"/>
              </w:rPr>
            </w:pPr>
            <w:r>
              <w:rPr>
                <w:sz w:val="20"/>
              </w:rPr>
              <w:t>M34.0,</w:t>
            </w:r>
            <w:r>
              <w:rPr>
                <w:spacing w:val="-6"/>
                <w:sz w:val="20"/>
              </w:rPr>
              <w:t> </w:t>
            </w:r>
            <w:r>
              <w:rPr>
                <w:sz w:val="20"/>
              </w:rPr>
              <w:t>M34.1,</w:t>
            </w:r>
            <w:r>
              <w:rPr>
                <w:spacing w:val="-6"/>
                <w:sz w:val="20"/>
              </w:rPr>
              <w:t> </w:t>
            </w:r>
            <w:r>
              <w:rPr>
                <w:sz w:val="20"/>
              </w:rPr>
              <w:t>M34.2,</w:t>
            </w:r>
            <w:r>
              <w:rPr>
                <w:spacing w:val="-6"/>
                <w:sz w:val="20"/>
              </w:rPr>
              <w:t> </w:t>
            </w:r>
            <w:r>
              <w:rPr>
                <w:sz w:val="20"/>
              </w:rPr>
              <w:t>M34.8,</w:t>
            </w:r>
            <w:r>
              <w:rPr>
                <w:spacing w:val="-6"/>
                <w:sz w:val="20"/>
              </w:rPr>
              <w:t> </w:t>
            </w:r>
            <w:r>
              <w:rPr>
                <w:sz w:val="20"/>
              </w:rPr>
              <w:t>M34.9,</w:t>
            </w:r>
            <w:r>
              <w:rPr>
                <w:spacing w:val="-5"/>
                <w:sz w:val="20"/>
              </w:rPr>
              <w:t> </w:t>
            </w:r>
            <w:r>
              <w:rPr>
                <w:spacing w:val="-2"/>
                <w:sz w:val="20"/>
              </w:rPr>
              <w:t>M35.0,</w:t>
            </w:r>
          </w:p>
          <w:p>
            <w:pPr>
              <w:pStyle w:val="TableParagraph"/>
              <w:spacing w:line="229" w:lineRule="exact"/>
              <w:ind w:left="236" w:right="299"/>
              <w:jc w:val="center"/>
              <w:rPr>
                <w:sz w:val="20"/>
              </w:rPr>
            </w:pPr>
            <w:r>
              <w:rPr>
                <w:sz w:val="20"/>
              </w:rPr>
              <w:t>M35.1,</w:t>
            </w:r>
            <w:r>
              <w:rPr>
                <w:spacing w:val="-6"/>
                <w:sz w:val="20"/>
              </w:rPr>
              <w:t> </w:t>
            </w:r>
            <w:r>
              <w:rPr>
                <w:sz w:val="20"/>
              </w:rPr>
              <w:t>M35.2,</w:t>
            </w:r>
            <w:r>
              <w:rPr>
                <w:spacing w:val="-6"/>
                <w:sz w:val="20"/>
              </w:rPr>
              <w:t> </w:t>
            </w:r>
            <w:r>
              <w:rPr>
                <w:sz w:val="20"/>
              </w:rPr>
              <w:t>M35.3,</w:t>
            </w:r>
            <w:r>
              <w:rPr>
                <w:spacing w:val="-6"/>
                <w:sz w:val="20"/>
              </w:rPr>
              <w:t> </w:t>
            </w:r>
            <w:r>
              <w:rPr>
                <w:sz w:val="20"/>
              </w:rPr>
              <w:t>M35.4,</w:t>
            </w:r>
            <w:r>
              <w:rPr>
                <w:spacing w:val="-6"/>
                <w:sz w:val="20"/>
              </w:rPr>
              <w:t> </w:t>
            </w:r>
            <w:r>
              <w:rPr>
                <w:sz w:val="20"/>
              </w:rPr>
              <w:t>M35.5,</w:t>
            </w:r>
            <w:r>
              <w:rPr>
                <w:spacing w:val="-5"/>
                <w:sz w:val="20"/>
              </w:rPr>
              <w:t> </w:t>
            </w:r>
            <w:r>
              <w:rPr>
                <w:spacing w:val="-2"/>
                <w:sz w:val="20"/>
              </w:rPr>
              <w:t>M35.6,</w:t>
            </w:r>
          </w:p>
          <w:p>
            <w:pPr>
              <w:pStyle w:val="TableParagraph"/>
              <w:spacing w:before="1"/>
              <w:ind w:left="236" w:right="299"/>
              <w:jc w:val="center"/>
              <w:rPr>
                <w:sz w:val="20"/>
              </w:rPr>
            </w:pPr>
            <w:r>
              <w:rPr>
                <w:sz w:val="20"/>
              </w:rPr>
              <w:t>M35.8,</w:t>
            </w:r>
            <w:r>
              <w:rPr>
                <w:spacing w:val="-9"/>
                <w:sz w:val="20"/>
              </w:rPr>
              <w:t> </w:t>
            </w:r>
            <w:r>
              <w:rPr>
                <w:sz w:val="20"/>
              </w:rPr>
              <w:t>M35.9,</w:t>
            </w:r>
            <w:r>
              <w:rPr>
                <w:spacing w:val="-9"/>
                <w:sz w:val="20"/>
              </w:rPr>
              <w:t> </w:t>
            </w:r>
            <w:r>
              <w:rPr>
                <w:sz w:val="20"/>
              </w:rPr>
              <w:t>M36.0,</w:t>
            </w:r>
            <w:r>
              <w:rPr>
                <w:spacing w:val="-9"/>
                <w:sz w:val="20"/>
              </w:rPr>
              <w:t> </w:t>
            </w:r>
            <w:r>
              <w:rPr>
                <w:sz w:val="20"/>
              </w:rPr>
              <w:t>M36.1,</w:t>
            </w:r>
            <w:r>
              <w:rPr>
                <w:spacing w:val="-9"/>
                <w:sz w:val="20"/>
              </w:rPr>
              <w:t> </w:t>
            </w:r>
            <w:r>
              <w:rPr>
                <w:sz w:val="20"/>
              </w:rPr>
              <w:t>M36.2,</w:t>
            </w:r>
            <w:r>
              <w:rPr>
                <w:spacing w:val="-9"/>
                <w:sz w:val="20"/>
              </w:rPr>
              <w:t> </w:t>
            </w:r>
            <w:r>
              <w:rPr>
                <w:sz w:val="20"/>
              </w:rPr>
              <w:t>M36.3, M36.4, M36.8, M45, M46.8, M46.9</w:t>
            </w:r>
          </w:p>
        </w:tc>
        <w:tc>
          <w:tcPr>
            <w:tcW w:w="3439" w:type="dxa"/>
          </w:tcPr>
          <w:p>
            <w:pPr>
              <w:pStyle w:val="TableParagraph"/>
              <w:rPr>
                <w:sz w:val="18"/>
              </w:rPr>
            </w:pPr>
          </w:p>
        </w:tc>
        <w:tc>
          <w:tcPr>
            <w:tcW w:w="2515" w:type="dxa"/>
          </w:tcPr>
          <w:p>
            <w:pPr>
              <w:pStyle w:val="TableParagraph"/>
              <w:rPr>
                <w:sz w:val="18"/>
              </w:rPr>
            </w:pPr>
          </w:p>
        </w:tc>
        <w:tc>
          <w:tcPr>
            <w:tcW w:w="789" w:type="dxa"/>
          </w:tcPr>
          <w:p>
            <w:pPr>
              <w:pStyle w:val="TableParagraph"/>
              <w:rPr>
                <w:sz w:val="18"/>
              </w:rPr>
            </w:pPr>
          </w:p>
        </w:tc>
      </w:tr>
      <w:tr>
        <w:trPr>
          <w:trHeight w:val="330" w:hRule="atLeast"/>
        </w:trPr>
        <w:tc>
          <w:tcPr>
            <w:tcW w:w="978" w:type="dxa"/>
          </w:tcPr>
          <w:p>
            <w:pPr>
              <w:pStyle w:val="TableParagraph"/>
              <w:spacing w:before="46"/>
              <w:ind w:left="39" w:right="186"/>
              <w:jc w:val="center"/>
              <w:rPr>
                <w:sz w:val="20"/>
              </w:rPr>
            </w:pPr>
            <w:r>
              <w:rPr>
                <w:spacing w:val="-4"/>
                <w:sz w:val="20"/>
              </w:rPr>
              <w:t>ds25</w:t>
            </w:r>
          </w:p>
        </w:tc>
        <w:tc>
          <w:tcPr>
            <w:tcW w:w="696" w:type="dxa"/>
          </w:tcPr>
          <w:p>
            <w:pPr>
              <w:pStyle w:val="TableParagraph"/>
              <w:spacing w:before="46"/>
              <w:ind w:left="250"/>
              <w:rPr>
                <w:sz w:val="20"/>
              </w:rPr>
            </w:pPr>
            <w:r>
              <w:rPr>
                <w:spacing w:val="-5"/>
                <w:sz w:val="20"/>
              </w:rPr>
              <w:t>25</w:t>
            </w:r>
          </w:p>
        </w:tc>
        <w:tc>
          <w:tcPr>
            <w:tcW w:w="2624" w:type="dxa"/>
          </w:tcPr>
          <w:p>
            <w:pPr>
              <w:pStyle w:val="TableParagraph"/>
              <w:rPr>
                <w:sz w:val="18"/>
              </w:rPr>
            </w:pPr>
          </w:p>
        </w:tc>
        <w:tc>
          <w:tcPr>
            <w:tcW w:w="7691" w:type="dxa"/>
            <w:gridSpan w:val="2"/>
          </w:tcPr>
          <w:p>
            <w:pPr>
              <w:pStyle w:val="TableParagraph"/>
              <w:spacing w:before="46"/>
              <w:ind w:left="2406" w:right="2651"/>
              <w:jc w:val="center"/>
              <w:rPr>
                <w:sz w:val="20"/>
              </w:rPr>
            </w:pPr>
            <w:r>
              <w:rPr>
                <w:w w:val="95"/>
                <w:sz w:val="20"/>
              </w:rPr>
              <w:t>Сердечно-сосудистая</w:t>
            </w:r>
            <w:r>
              <w:rPr>
                <w:spacing w:val="72"/>
                <w:sz w:val="20"/>
              </w:rPr>
              <w:t> </w:t>
            </w:r>
            <w:r>
              <w:rPr>
                <w:spacing w:val="-2"/>
                <w:w w:val="95"/>
                <w:sz w:val="20"/>
              </w:rPr>
              <w:t>хирургия</w:t>
            </w:r>
          </w:p>
        </w:tc>
        <w:tc>
          <w:tcPr>
            <w:tcW w:w="2515" w:type="dxa"/>
          </w:tcPr>
          <w:p>
            <w:pPr>
              <w:pStyle w:val="TableParagraph"/>
              <w:rPr>
                <w:sz w:val="18"/>
              </w:rPr>
            </w:pPr>
          </w:p>
        </w:tc>
        <w:tc>
          <w:tcPr>
            <w:tcW w:w="789" w:type="dxa"/>
          </w:tcPr>
          <w:p>
            <w:pPr>
              <w:pStyle w:val="TableParagraph"/>
              <w:spacing w:before="46"/>
              <w:ind w:right="46"/>
              <w:jc w:val="right"/>
              <w:rPr>
                <w:sz w:val="20"/>
              </w:rPr>
            </w:pPr>
            <w:r>
              <w:rPr>
                <w:spacing w:val="-4"/>
                <w:sz w:val="20"/>
              </w:rPr>
              <w:t>1,88</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ds25.001</w:t>
            </w:r>
          </w:p>
        </w:tc>
        <w:tc>
          <w:tcPr>
            <w:tcW w:w="696" w:type="dxa"/>
          </w:tcPr>
          <w:p>
            <w:pPr>
              <w:pStyle w:val="TableParagraph"/>
              <w:spacing w:line="215" w:lineRule="exact" w:before="45"/>
              <w:ind w:left="200"/>
              <w:rPr>
                <w:sz w:val="20"/>
              </w:rPr>
            </w:pPr>
            <w:r>
              <w:rPr>
                <w:spacing w:val="-5"/>
                <w:sz w:val="20"/>
              </w:rPr>
              <w:t>119</w:t>
            </w:r>
          </w:p>
        </w:tc>
        <w:tc>
          <w:tcPr>
            <w:tcW w:w="2624" w:type="dxa"/>
          </w:tcPr>
          <w:p>
            <w:pPr>
              <w:pStyle w:val="TableParagraph"/>
              <w:spacing w:line="215" w:lineRule="exact" w:before="45"/>
              <w:ind w:left="193"/>
              <w:rPr>
                <w:sz w:val="20"/>
              </w:rPr>
            </w:pPr>
            <w:r>
              <w:rPr>
                <w:spacing w:val="-2"/>
                <w:sz w:val="20"/>
              </w:rPr>
              <w:t>Диагностическое</w:t>
            </w:r>
          </w:p>
        </w:tc>
        <w:tc>
          <w:tcPr>
            <w:tcW w:w="4252" w:type="dxa"/>
          </w:tcPr>
          <w:p>
            <w:pPr>
              <w:pStyle w:val="TableParagraph"/>
              <w:spacing w:line="215" w:lineRule="exact" w:before="45"/>
              <w:ind w:left="202"/>
              <w:rPr>
                <w:sz w:val="20"/>
              </w:rPr>
            </w:pPr>
            <w:r>
              <w:rPr>
                <w:sz w:val="20"/>
              </w:rPr>
              <w:t>I.,</w:t>
            </w:r>
            <w:r>
              <w:rPr>
                <w:spacing w:val="-5"/>
                <w:sz w:val="20"/>
              </w:rPr>
              <w:t> </w:t>
            </w:r>
            <w:r>
              <w:rPr>
                <w:sz w:val="20"/>
              </w:rPr>
              <w:t>Q20-Q28,</w:t>
            </w:r>
            <w:r>
              <w:rPr>
                <w:spacing w:val="-5"/>
                <w:sz w:val="20"/>
              </w:rPr>
              <w:t> </w:t>
            </w:r>
            <w:r>
              <w:rPr>
                <w:sz w:val="20"/>
              </w:rPr>
              <w:t>R00,</w:t>
            </w:r>
            <w:r>
              <w:rPr>
                <w:spacing w:val="-5"/>
                <w:sz w:val="20"/>
              </w:rPr>
              <w:t> </w:t>
            </w:r>
            <w:r>
              <w:rPr>
                <w:sz w:val="20"/>
              </w:rPr>
              <w:t>R00.0,</w:t>
            </w:r>
            <w:r>
              <w:rPr>
                <w:spacing w:val="-6"/>
                <w:sz w:val="20"/>
              </w:rPr>
              <w:t> </w:t>
            </w:r>
            <w:r>
              <w:rPr>
                <w:sz w:val="20"/>
              </w:rPr>
              <w:t>R00.1,</w:t>
            </w:r>
            <w:r>
              <w:rPr>
                <w:spacing w:val="-5"/>
                <w:sz w:val="20"/>
              </w:rPr>
              <w:t> </w:t>
            </w:r>
            <w:r>
              <w:rPr>
                <w:sz w:val="20"/>
              </w:rPr>
              <w:t>R00.2,</w:t>
            </w:r>
            <w:r>
              <w:rPr>
                <w:spacing w:val="-5"/>
                <w:sz w:val="20"/>
              </w:rPr>
              <w:t> </w:t>
            </w:r>
            <w:r>
              <w:rPr>
                <w:spacing w:val="-2"/>
                <w:sz w:val="20"/>
              </w:rPr>
              <w:t>R00.8,</w:t>
            </w:r>
          </w:p>
        </w:tc>
        <w:tc>
          <w:tcPr>
            <w:tcW w:w="3439" w:type="dxa"/>
          </w:tcPr>
          <w:p>
            <w:pPr>
              <w:pStyle w:val="TableParagraph"/>
              <w:spacing w:line="215" w:lineRule="exact" w:before="45"/>
              <w:ind w:left="180" w:right="172"/>
              <w:jc w:val="center"/>
              <w:rPr>
                <w:sz w:val="20"/>
              </w:rPr>
            </w:pPr>
            <w:r>
              <w:rPr>
                <w:spacing w:val="-2"/>
                <w:sz w:val="20"/>
              </w:rPr>
              <w:t>A06.10.006.002</w:t>
            </w:r>
          </w:p>
        </w:tc>
        <w:tc>
          <w:tcPr>
            <w:tcW w:w="2515" w:type="dxa"/>
          </w:tcPr>
          <w:p>
            <w:pPr>
              <w:pStyle w:val="TableParagraph"/>
              <w:spacing w:line="215" w:lineRule="exact" w:before="45"/>
              <w:ind w:left="178"/>
              <w:rPr>
                <w:sz w:val="20"/>
              </w:rPr>
            </w:pPr>
            <w:r>
              <w:rPr>
                <w:sz w:val="20"/>
              </w:rPr>
              <w:t>Длительность:</w:t>
            </w:r>
            <w:r>
              <w:rPr>
                <w:spacing w:val="-9"/>
                <w:sz w:val="20"/>
              </w:rPr>
              <w:t> </w:t>
            </w:r>
            <w:r>
              <w:rPr>
                <w:sz w:val="20"/>
              </w:rPr>
              <w:t>До</w:t>
            </w:r>
            <w:r>
              <w:rPr>
                <w:spacing w:val="-7"/>
                <w:sz w:val="20"/>
              </w:rPr>
              <w:t> </w:t>
            </w:r>
            <w:r>
              <w:rPr>
                <w:spacing w:val="-4"/>
                <w:sz w:val="20"/>
              </w:rPr>
              <w:t>трех</w:t>
            </w:r>
          </w:p>
        </w:tc>
        <w:tc>
          <w:tcPr>
            <w:tcW w:w="789" w:type="dxa"/>
          </w:tcPr>
          <w:p>
            <w:pPr>
              <w:pStyle w:val="TableParagraph"/>
              <w:spacing w:line="215" w:lineRule="exact" w:before="45"/>
              <w:ind w:right="46"/>
              <w:jc w:val="right"/>
              <w:rPr>
                <w:sz w:val="20"/>
              </w:rPr>
            </w:pPr>
            <w:r>
              <w:rPr>
                <w:spacing w:val="-4"/>
                <w:sz w:val="20"/>
              </w:rPr>
              <w:t>1,84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0" w:lineRule="exact"/>
              <w:ind w:left="193"/>
              <w:rPr>
                <w:sz w:val="20"/>
              </w:rPr>
            </w:pPr>
            <w:r>
              <w:rPr>
                <w:spacing w:val="-2"/>
                <w:sz w:val="20"/>
              </w:rPr>
              <w:t>обследование</w:t>
            </w:r>
            <w:r>
              <w:rPr>
                <w:spacing w:val="8"/>
                <w:sz w:val="20"/>
              </w:rPr>
              <w:t> </w:t>
            </w:r>
            <w:r>
              <w:rPr>
                <w:spacing w:val="-2"/>
                <w:sz w:val="20"/>
              </w:rPr>
              <w:t>сердечно-</w:t>
            </w:r>
          </w:p>
        </w:tc>
        <w:tc>
          <w:tcPr>
            <w:tcW w:w="4252" w:type="dxa"/>
          </w:tcPr>
          <w:p>
            <w:pPr>
              <w:pStyle w:val="TableParagraph"/>
              <w:spacing w:line="210" w:lineRule="exact"/>
              <w:ind w:left="181"/>
              <w:rPr>
                <w:sz w:val="20"/>
              </w:rPr>
            </w:pPr>
            <w:r>
              <w:rPr>
                <w:sz w:val="20"/>
              </w:rPr>
              <w:t>R07.2,</w:t>
            </w:r>
            <w:r>
              <w:rPr>
                <w:spacing w:val="-5"/>
                <w:sz w:val="20"/>
              </w:rPr>
              <w:t> </w:t>
            </w:r>
            <w:r>
              <w:rPr>
                <w:sz w:val="20"/>
              </w:rPr>
              <w:t>R07.4,</w:t>
            </w:r>
            <w:r>
              <w:rPr>
                <w:spacing w:val="-6"/>
                <w:sz w:val="20"/>
              </w:rPr>
              <w:t> </w:t>
            </w:r>
            <w:r>
              <w:rPr>
                <w:sz w:val="20"/>
              </w:rPr>
              <w:t>T81,</w:t>
            </w:r>
            <w:r>
              <w:rPr>
                <w:spacing w:val="-6"/>
                <w:sz w:val="20"/>
              </w:rPr>
              <w:t> </w:t>
            </w:r>
            <w:r>
              <w:rPr>
                <w:sz w:val="20"/>
              </w:rPr>
              <w:t>T81.0,</w:t>
            </w:r>
            <w:r>
              <w:rPr>
                <w:spacing w:val="-6"/>
                <w:sz w:val="20"/>
              </w:rPr>
              <w:t> </w:t>
            </w:r>
            <w:r>
              <w:rPr>
                <w:sz w:val="20"/>
              </w:rPr>
              <w:t>T81.2,</w:t>
            </w:r>
            <w:r>
              <w:rPr>
                <w:spacing w:val="-6"/>
                <w:sz w:val="20"/>
              </w:rPr>
              <w:t> </w:t>
            </w:r>
            <w:r>
              <w:rPr>
                <w:sz w:val="20"/>
              </w:rPr>
              <w:t>T81.4,</w:t>
            </w:r>
            <w:r>
              <w:rPr>
                <w:spacing w:val="-6"/>
                <w:sz w:val="20"/>
              </w:rPr>
              <w:t> </w:t>
            </w:r>
            <w:r>
              <w:rPr>
                <w:spacing w:val="-2"/>
                <w:sz w:val="20"/>
              </w:rPr>
              <w:t>T81.5,</w:t>
            </w:r>
          </w:p>
        </w:tc>
        <w:tc>
          <w:tcPr>
            <w:tcW w:w="3439" w:type="dxa"/>
          </w:tcPr>
          <w:p>
            <w:pPr>
              <w:pStyle w:val="TableParagraph"/>
              <w:rPr>
                <w:sz w:val="16"/>
              </w:rPr>
            </w:pPr>
          </w:p>
        </w:tc>
        <w:tc>
          <w:tcPr>
            <w:tcW w:w="2515" w:type="dxa"/>
          </w:tcPr>
          <w:p>
            <w:pPr>
              <w:pStyle w:val="TableParagraph"/>
              <w:spacing w:line="210" w:lineRule="exact"/>
              <w:ind w:left="315"/>
              <w:rPr>
                <w:sz w:val="20"/>
              </w:rPr>
            </w:pPr>
            <w:r>
              <w:rPr>
                <w:sz w:val="20"/>
              </w:rPr>
              <w:t>дней</w:t>
            </w:r>
            <w:r>
              <w:rPr>
                <w:spacing w:val="-6"/>
                <w:sz w:val="20"/>
              </w:rPr>
              <w:t> </w:t>
            </w:r>
            <w:r>
              <w:rPr>
                <w:spacing w:val="-2"/>
                <w:sz w:val="20"/>
              </w:rPr>
              <w:t>включительно</w:t>
            </w:r>
          </w:p>
        </w:tc>
        <w:tc>
          <w:tcPr>
            <w:tcW w:w="789"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0" w:lineRule="exact"/>
              <w:ind w:left="193"/>
              <w:rPr>
                <w:sz w:val="20"/>
              </w:rPr>
            </w:pPr>
            <w:r>
              <w:rPr>
                <w:sz w:val="20"/>
              </w:rPr>
              <w:t>сосудистой</w:t>
            </w:r>
            <w:r>
              <w:rPr>
                <w:spacing w:val="-11"/>
                <w:sz w:val="20"/>
              </w:rPr>
              <w:t> </w:t>
            </w:r>
            <w:r>
              <w:rPr>
                <w:spacing w:val="-2"/>
                <w:sz w:val="20"/>
              </w:rPr>
              <w:t>системы</w:t>
            </w:r>
          </w:p>
        </w:tc>
        <w:tc>
          <w:tcPr>
            <w:tcW w:w="4252" w:type="dxa"/>
          </w:tcPr>
          <w:p>
            <w:pPr>
              <w:pStyle w:val="TableParagraph"/>
              <w:spacing w:line="210" w:lineRule="exact"/>
              <w:ind w:left="193"/>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rPr>
                <w:sz w:val="16"/>
              </w:rPr>
            </w:pPr>
          </w:p>
        </w:tc>
        <w:tc>
          <w:tcPr>
            <w:tcW w:w="4252" w:type="dxa"/>
          </w:tcPr>
          <w:p>
            <w:pPr>
              <w:pStyle w:val="TableParagraph"/>
              <w:spacing w:line="209" w:lineRule="exact"/>
              <w:ind w:left="118"/>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rPr>
                <w:sz w:val="16"/>
              </w:rPr>
            </w:pPr>
          </w:p>
        </w:tc>
        <w:tc>
          <w:tcPr>
            <w:tcW w:w="4252" w:type="dxa"/>
          </w:tcPr>
          <w:p>
            <w:pPr>
              <w:pStyle w:val="TableParagraph"/>
              <w:spacing w:line="209" w:lineRule="exact"/>
              <w:ind w:left="193"/>
              <w:rPr>
                <w:sz w:val="20"/>
              </w:rPr>
            </w:pPr>
            <w:r>
              <w:rPr>
                <w:sz w:val="20"/>
              </w:rPr>
              <w:t>T82.9,</w:t>
            </w:r>
            <w:r>
              <w:rPr>
                <w:spacing w:val="-7"/>
                <w:sz w:val="20"/>
              </w:rPr>
              <w:t> </w:t>
            </w:r>
            <w:r>
              <w:rPr>
                <w:sz w:val="20"/>
              </w:rPr>
              <w:t>T85,</w:t>
            </w:r>
            <w:r>
              <w:rPr>
                <w:spacing w:val="-7"/>
                <w:sz w:val="20"/>
              </w:rPr>
              <w:t> </w:t>
            </w:r>
            <w:r>
              <w:rPr>
                <w:sz w:val="20"/>
              </w:rPr>
              <w:t>T85.1,</w:t>
            </w:r>
            <w:r>
              <w:rPr>
                <w:spacing w:val="-4"/>
                <w:sz w:val="20"/>
              </w:rPr>
              <w:t> </w:t>
            </w:r>
            <w:r>
              <w:rPr>
                <w:sz w:val="20"/>
              </w:rPr>
              <w:t>T85.6,</w:t>
            </w:r>
            <w:r>
              <w:rPr>
                <w:spacing w:val="-5"/>
                <w:sz w:val="20"/>
              </w:rPr>
              <w:t> </w:t>
            </w:r>
            <w:r>
              <w:rPr>
                <w:sz w:val="20"/>
              </w:rPr>
              <w:t>T85.7,</w:t>
            </w:r>
            <w:r>
              <w:rPr>
                <w:spacing w:val="-5"/>
                <w:sz w:val="20"/>
              </w:rPr>
              <w:t> </w:t>
            </w:r>
            <w:r>
              <w:rPr>
                <w:sz w:val="20"/>
              </w:rPr>
              <w:t>T85.8,</w:t>
            </w:r>
            <w:r>
              <w:rPr>
                <w:spacing w:val="-4"/>
                <w:sz w:val="20"/>
              </w:rPr>
              <w:t> </w:t>
            </w:r>
            <w:r>
              <w:rPr>
                <w:spacing w:val="-2"/>
                <w:sz w:val="20"/>
              </w:rPr>
              <w:t>T85.9,</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rPr>
                <w:sz w:val="18"/>
              </w:rPr>
            </w:pPr>
          </w:p>
        </w:tc>
        <w:tc>
          <w:tcPr>
            <w:tcW w:w="4252" w:type="dxa"/>
          </w:tcPr>
          <w:p>
            <w:pPr>
              <w:pStyle w:val="TableParagraph"/>
              <w:spacing w:line="226" w:lineRule="exact"/>
              <w:ind w:left="790"/>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439" w:type="dxa"/>
          </w:tcPr>
          <w:p>
            <w:pPr>
              <w:pStyle w:val="TableParagraph"/>
              <w:rPr>
                <w:sz w:val="18"/>
              </w:rPr>
            </w:pPr>
          </w:p>
        </w:tc>
        <w:tc>
          <w:tcPr>
            <w:tcW w:w="2515" w:type="dxa"/>
          </w:tcPr>
          <w:p>
            <w:pPr>
              <w:pStyle w:val="TableParagraph"/>
              <w:rPr>
                <w:sz w:val="18"/>
              </w:rPr>
            </w:pPr>
          </w:p>
        </w:tc>
        <w:tc>
          <w:tcPr>
            <w:tcW w:w="789" w:type="dxa"/>
          </w:tcPr>
          <w:p>
            <w:pPr>
              <w:pStyle w:val="TableParagraph"/>
              <w:rPr>
                <w:sz w:val="18"/>
              </w:rPr>
            </w:pPr>
          </w:p>
        </w:tc>
      </w:tr>
      <w:tr>
        <w:trPr>
          <w:trHeight w:val="280"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624" w:type="dxa"/>
            <w:vMerge w:val="restart"/>
          </w:tcPr>
          <w:p>
            <w:pPr>
              <w:pStyle w:val="TableParagraph"/>
              <w:rPr>
                <w:sz w:val="18"/>
              </w:rPr>
            </w:pPr>
          </w:p>
        </w:tc>
        <w:tc>
          <w:tcPr>
            <w:tcW w:w="4252" w:type="dxa"/>
          </w:tcPr>
          <w:p>
            <w:pPr>
              <w:pStyle w:val="TableParagraph"/>
              <w:spacing w:line="215" w:lineRule="exact" w:before="46"/>
              <w:ind w:left="125"/>
              <w:rPr>
                <w:sz w:val="20"/>
              </w:rPr>
            </w:pPr>
            <w:r>
              <w:rPr>
                <w:sz w:val="20"/>
              </w:rPr>
              <w:t>I.,</w:t>
            </w:r>
            <w:r>
              <w:rPr>
                <w:spacing w:val="-5"/>
                <w:sz w:val="20"/>
              </w:rPr>
              <w:t> </w:t>
            </w:r>
            <w:r>
              <w:rPr>
                <w:sz w:val="20"/>
              </w:rPr>
              <w:t>Q20-Q28,</w:t>
            </w:r>
            <w:r>
              <w:rPr>
                <w:spacing w:val="-5"/>
                <w:sz w:val="20"/>
              </w:rPr>
              <w:t> </w:t>
            </w:r>
            <w:r>
              <w:rPr>
                <w:sz w:val="20"/>
              </w:rPr>
              <w:t>R00.0,</w:t>
            </w:r>
            <w:r>
              <w:rPr>
                <w:spacing w:val="-5"/>
                <w:sz w:val="20"/>
              </w:rPr>
              <w:t> </w:t>
            </w:r>
            <w:r>
              <w:rPr>
                <w:sz w:val="20"/>
              </w:rPr>
              <w:t>R00.1,</w:t>
            </w:r>
            <w:r>
              <w:rPr>
                <w:spacing w:val="-4"/>
                <w:sz w:val="20"/>
              </w:rPr>
              <w:t> </w:t>
            </w:r>
            <w:r>
              <w:rPr>
                <w:sz w:val="20"/>
              </w:rPr>
              <w:t>R00.2,</w:t>
            </w:r>
            <w:r>
              <w:rPr>
                <w:spacing w:val="-5"/>
                <w:sz w:val="20"/>
              </w:rPr>
              <w:t> </w:t>
            </w:r>
            <w:r>
              <w:rPr>
                <w:sz w:val="20"/>
              </w:rPr>
              <w:t>R00.8,</w:t>
            </w:r>
            <w:r>
              <w:rPr>
                <w:spacing w:val="-5"/>
                <w:sz w:val="20"/>
              </w:rPr>
              <w:t> </w:t>
            </w:r>
            <w:r>
              <w:rPr>
                <w:spacing w:val="-2"/>
                <w:sz w:val="20"/>
              </w:rPr>
              <w:t>R07.2,</w:t>
            </w:r>
          </w:p>
        </w:tc>
        <w:tc>
          <w:tcPr>
            <w:tcW w:w="3439" w:type="dxa"/>
          </w:tcPr>
          <w:p>
            <w:pPr>
              <w:pStyle w:val="TableParagraph"/>
              <w:spacing w:line="215" w:lineRule="exact" w:before="46"/>
              <w:ind w:left="180" w:right="169"/>
              <w:jc w:val="center"/>
              <w:rPr>
                <w:sz w:val="20"/>
              </w:rPr>
            </w:pPr>
            <w:r>
              <w:rPr>
                <w:spacing w:val="-2"/>
                <w:sz w:val="20"/>
              </w:rPr>
              <w:t>А06.10.006</w:t>
            </w:r>
          </w:p>
        </w:tc>
        <w:tc>
          <w:tcPr>
            <w:tcW w:w="2515" w:type="dxa"/>
            <w:vMerge w:val="restart"/>
          </w:tcPr>
          <w:p>
            <w:pPr>
              <w:pStyle w:val="TableParagraph"/>
              <w:rPr>
                <w:sz w:val="18"/>
              </w:rPr>
            </w:pPr>
          </w:p>
        </w:tc>
        <w:tc>
          <w:tcPr>
            <w:tcW w:w="789"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09" w:lineRule="exact"/>
              <w:ind w:left="188"/>
              <w:rPr>
                <w:sz w:val="20"/>
              </w:rPr>
            </w:pPr>
            <w:r>
              <w:rPr>
                <w:sz w:val="20"/>
              </w:rPr>
              <w:t>R07.4,</w:t>
            </w:r>
            <w:r>
              <w:rPr>
                <w:spacing w:val="-6"/>
                <w:sz w:val="20"/>
              </w:rPr>
              <w:t> </w:t>
            </w:r>
            <w:r>
              <w:rPr>
                <w:sz w:val="20"/>
              </w:rPr>
              <w:t>T81,</w:t>
            </w:r>
            <w:r>
              <w:rPr>
                <w:spacing w:val="-5"/>
                <w:sz w:val="20"/>
              </w:rPr>
              <w:t> </w:t>
            </w:r>
            <w:r>
              <w:rPr>
                <w:sz w:val="20"/>
              </w:rPr>
              <w:t>T81.0,</w:t>
            </w:r>
            <w:r>
              <w:rPr>
                <w:spacing w:val="-6"/>
                <w:sz w:val="20"/>
              </w:rPr>
              <w:t> </w:t>
            </w:r>
            <w:r>
              <w:rPr>
                <w:sz w:val="20"/>
              </w:rPr>
              <w:t>T81.2,</w:t>
            </w:r>
            <w:r>
              <w:rPr>
                <w:spacing w:val="-5"/>
                <w:sz w:val="20"/>
              </w:rPr>
              <w:t> </w:t>
            </w:r>
            <w:r>
              <w:rPr>
                <w:sz w:val="20"/>
              </w:rPr>
              <w:t>T81.4,</w:t>
            </w:r>
            <w:r>
              <w:rPr>
                <w:spacing w:val="-5"/>
                <w:sz w:val="20"/>
              </w:rPr>
              <w:t> </w:t>
            </w:r>
            <w:r>
              <w:rPr>
                <w:sz w:val="20"/>
              </w:rPr>
              <w:t>T81.5,</w:t>
            </w:r>
            <w:r>
              <w:rPr>
                <w:spacing w:val="-5"/>
                <w:sz w:val="20"/>
              </w:rPr>
              <w:t> </w:t>
            </w:r>
            <w:r>
              <w:rPr>
                <w:spacing w:val="-2"/>
                <w:sz w:val="20"/>
              </w:rPr>
              <w:t>T81.6,</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09" w:lineRule="exact"/>
              <w:ind w:left="193"/>
              <w:rPr>
                <w:sz w:val="20"/>
              </w:rPr>
            </w:pPr>
            <w:r>
              <w:rPr>
                <w:sz w:val="20"/>
              </w:rPr>
              <w:t>T81.7,</w:t>
            </w:r>
            <w:r>
              <w:rPr>
                <w:spacing w:val="-7"/>
                <w:sz w:val="20"/>
              </w:rPr>
              <w:t> </w:t>
            </w:r>
            <w:r>
              <w:rPr>
                <w:sz w:val="20"/>
              </w:rPr>
              <w:t>T81.8,</w:t>
            </w:r>
            <w:r>
              <w:rPr>
                <w:spacing w:val="-5"/>
                <w:sz w:val="20"/>
              </w:rPr>
              <w:t> </w:t>
            </w:r>
            <w:r>
              <w:rPr>
                <w:sz w:val="20"/>
              </w:rPr>
              <w:t>T81.9,</w:t>
            </w:r>
            <w:r>
              <w:rPr>
                <w:spacing w:val="-5"/>
                <w:sz w:val="20"/>
              </w:rPr>
              <w:t> </w:t>
            </w:r>
            <w:r>
              <w:rPr>
                <w:sz w:val="20"/>
              </w:rPr>
              <w:t>T82,</w:t>
            </w:r>
            <w:r>
              <w:rPr>
                <w:spacing w:val="-5"/>
                <w:sz w:val="20"/>
              </w:rPr>
              <w:t> </w:t>
            </w:r>
            <w:r>
              <w:rPr>
                <w:sz w:val="20"/>
              </w:rPr>
              <w:t>T82.0,</w:t>
            </w:r>
            <w:r>
              <w:rPr>
                <w:spacing w:val="-5"/>
                <w:sz w:val="20"/>
              </w:rPr>
              <w:t> </w:t>
            </w:r>
            <w:r>
              <w:rPr>
                <w:sz w:val="20"/>
              </w:rPr>
              <w:t>T82.1,</w:t>
            </w:r>
            <w:r>
              <w:rPr>
                <w:spacing w:val="-5"/>
                <w:sz w:val="20"/>
              </w:rPr>
              <w:t> </w:t>
            </w:r>
            <w:r>
              <w:rPr>
                <w:spacing w:val="-2"/>
                <w:sz w:val="20"/>
              </w:rPr>
              <w:t>T82.2,</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10" w:lineRule="exact"/>
              <w:ind w:left="118"/>
              <w:rPr>
                <w:sz w:val="20"/>
              </w:rPr>
            </w:pPr>
            <w:r>
              <w:rPr>
                <w:sz w:val="20"/>
              </w:rPr>
              <w:t>T82.3,</w:t>
            </w:r>
            <w:r>
              <w:rPr>
                <w:spacing w:val="-7"/>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z w:val="20"/>
              </w:rPr>
              <w:t>T82.8,</w:t>
            </w:r>
            <w:r>
              <w:rPr>
                <w:spacing w:val="-5"/>
                <w:sz w:val="20"/>
              </w:rPr>
              <w:t> </w:t>
            </w:r>
            <w:r>
              <w:rPr>
                <w:spacing w:val="-2"/>
                <w:sz w:val="20"/>
              </w:rPr>
              <w:t>T82.9,</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11" w:lineRule="exact"/>
              <w:ind w:left="267"/>
              <w:rPr>
                <w:sz w:val="20"/>
              </w:rPr>
            </w:pPr>
            <w:r>
              <w:rPr>
                <w:sz w:val="20"/>
              </w:rPr>
              <w:t>T85,</w:t>
            </w:r>
            <w:r>
              <w:rPr>
                <w:spacing w:val="-6"/>
                <w:sz w:val="20"/>
              </w:rPr>
              <w:t> </w:t>
            </w:r>
            <w:r>
              <w:rPr>
                <w:sz w:val="20"/>
              </w:rPr>
              <w:t>T85.1,</w:t>
            </w:r>
            <w:r>
              <w:rPr>
                <w:spacing w:val="-7"/>
                <w:sz w:val="20"/>
              </w:rPr>
              <w:t> </w:t>
            </w:r>
            <w:r>
              <w:rPr>
                <w:sz w:val="20"/>
              </w:rPr>
              <w:t>T85.6,</w:t>
            </w:r>
            <w:r>
              <w:rPr>
                <w:spacing w:val="-5"/>
                <w:sz w:val="20"/>
              </w:rPr>
              <w:t> </w:t>
            </w:r>
            <w:r>
              <w:rPr>
                <w:sz w:val="20"/>
              </w:rPr>
              <w:t>T85.7,</w:t>
            </w:r>
            <w:r>
              <w:rPr>
                <w:spacing w:val="-5"/>
                <w:sz w:val="20"/>
              </w:rPr>
              <w:t> </w:t>
            </w:r>
            <w:r>
              <w:rPr>
                <w:sz w:val="20"/>
              </w:rPr>
              <w:t>T85.8,</w:t>
            </w:r>
            <w:r>
              <w:rPr>
                <w:spacing w:val="-5"/>
                <w:sz w:val="20"/>
              </w:rPr>
              <w:t> </w:t>
            </w:r>
            <w:r>
              <w:rPr>
                <w:sz w:val="20"/>
              </w:rPr>
              <w:t>T85.9,</w:t>
            </w:r>
            <w:r>
              <w:rPr>
                <w:spacing w:val="-5"/>
                <w:sz w:val="20"/>
              </w:rPr>
              <w:t> </w:t>
            </w:r>
            <w:r>
              <w:rPr>
                <w:spacing w:val="-4"/>
                <w:sz w:val="20"/>
              </w:rPr>
              <w:t>T98,</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26" w:lineRule="exact"/>
              <w:ind w:left="1001"/>
              <w:rPr>
                <w:sz w:val="20"/>
              </w:rPr>
            </w:pPr>
            <w:r>
              <w:rPr>
                <w:sz w:val="20"/>
              </w:rPr>
              <w:t>T98.0,</w:t>
            </w:r>
            <w:r>
              <w:rPr>
                <w:spacing w:val="-7"/>
                <w:sz w:val="20"/>
              </w:rPr>
              <w:t> </w:t>
            </w:r>
            <w:r>
              <w:rPr>
                <w:sz w:val="20"/>
              </w:rPr>
              <w:t>T98.1,</w:t>
            </w:r>
            <w:r>
              <w:rPr>
                <w:spacing w:val="-5"/>
                <w:sz w:val="20"/>
              </w:rPr>
              <w:t> </w:t>
            </w:r>
            <w:r>
              <w:rPr>
                <w:sz w:val="20"/>
              </w:rPr>
              <w:t>T98.2,</w:t>
            </w:r>
            <w:r>
              <w:rPr>
                <w:spacing w:val="-5"/>
                <w:sz w:val="20"/>
              </w:rPr>
              <w:t> </w:t>
            </w:r>
            <w:r>
              <w:rPr>
                <w:spacing w:val="-4"/>
                <w:sz w:val="20"/>
              </w:rPr>
              <w:t>T98.3</w:t>
            </w:r>
          </w:p>
        </w:tc>
        <w:tc>
          <w:tcPr>
            <w:tcW w:w="3439" w:type="dxa"/>
          </w:tcPr>
          <w:p>
            <w:pPr>
              <w:pStyle w:val="TableParagraph"/>
              <w:rPr>
                <w:sz w:val="18"/>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624" w:type="dxa"/>
            <w:vMerge w:val="restart"/>
          </w:tcPr>
          <w:p>
            <w:pPr>
              <w:pStyle w:val="TableParagraph"/>
              <w:rPr>
                <w:sz w:val="18"/>
              </w:rPr>
            </w:pPr>
          </w:p>
        </w:tc>
        <w:tc>
          <w:tcPr>
            <w:tcW w:w="4252" w:type="dxa"/>
          </w:tcPr>
          <w:p>
            <w:pPr>
              <w:pStyle w:val="TableParagraph"/>
              <w:spacing w:line="215" w:lineRule="exact" w:before="45"/>
              <w:ind w:left="236" w:right="290"/>
              <w:jc w:val="center"/>
              <w:rPr>
                <w:sz w:val="20"/>
              </w:rPr>
            </w:pPr>
            <w:r>
              <w:rPr>
                <w:spacing w:val="-5"/>
                <w:sz w:val="20"/>
              </w:rPr>
              <w:t>I.</w:t>
            </w:r>
          </w:p>
        </w:tc>
        <w:tc>
          <w:tcPr>
            <w:tcW w:w="3439" w:type="dxa"/>
          </w:tcPr>
          <w:p>
            <w:pPr>
              <w:pStyle w:val="TableParagraph"/>
              <w:spacing w:line="215" w:lineRule="exact" w:before="45"/>
              <w:ind w:left="180" w:right="173"/>
              <w:jc w:val="center"/>
              <w:rPr>
                <w:sz w:val="20"/>
              </w:rPr>
            </w:pPr>
            <w:r>
              <w:rPr>
                <w:w w:val="95"/>
                <w:sz w:val="20"/>
              </w:rPr>
              <w:t>A04.12.013.001,</w:t>
            </w:r>
            <w:r>
              <w:rPr>
                <w:spacing w:val="54"/>
                <w:sz w:val="20"/>
              </w:rPr>
              <w:t> </w:t>
            </w:r>
            <w:r>
              <w:rPr>
                <w:spacing w:val="-2"/>
                <w:sz w:val="20"/>
              </w:rPr>
              <w:t>A05.10.012,</w:t>
            </w:r>
          </w:p>
        </w:tc>
        <w:tc>
          <w:tcPr>
            <w:tcW w:w="2515" w:type="dxa"/>
            <w:vMerge w:val="restart"/>
          </w:tcPr>
          <w:p>
            <w:pPr>
              <w:pStyle w:val="TableParagraph"/>
              <w:rPr>
                <w:sz w:val="18"/>
              </w:rPr>
            </w:pPr>
          </w:p>
        </w:tc>
        <w:tc>
          <w:tcPr>
            <w:tcW w:w="789" w:type="dxa"/>
            <w:vMerge w:val="restart"/>
          </w:tcPr>
          <w:p>
            <w:pPr>
              <w:pStyle w:val="TableParagraph"/>
              <w:rPr>
                <w:sz w:val="18"/>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6"/>
              </w:rPr>
            </w:pPr>
          </w:p>
        </w:tc>
        <w:tc>
          <w:tcPr>
            <w:tcW w:w="3439" w:type="dxa"/>
          </w:tcPr>
          <w:p>
            <w:pPr>
              <w:pStyle w:val="TableParagraph"/>
              <w:spacing w:line="210" w:lineRule="exact"/>
              <w:ind w:left="180" w:right="173"/>
              <w:jc w:val="center"/>
              <w:rPr>
                <w:sz w:val="20"/>
              </w:rPr>
            </w:pPr>
            <w:r>
              <w:rPr>
                <w:sz w:val="20"/>
              </w:rPr>
              <w:t>A06.12.005,</w:t>
            </w:r>
            <w:r>
              <w:rPr>
                <w:spacing w:val="-9"/>
                <w:sz w:val="20"/>
              </w:rPr>
              <w:t> </w:t>
            </w:r>
            <w:r>
              <w:rPr>
                <w:sz w:val="20"/>
              </w:rPr>
              <w:t>A06.12.006,</w:t>
            </w:r>
            <w:r>
              <w:rPr>
                <w:spacing w:val="-9"/>
                <w:sz w:val="20"/>
              </w:rPr>
              <w:t> </w:t>
            </w:r>
            <w:r>
              <w:rPr>
                <w:spacing w:val="-2"/>
                <w:sz w:val="20"/>
              </w:rPr>
              <w:t>A06.12.007,</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6"/>
              </w:rPr>
            </w:pPr>
          </w:p>
        </w:tc>
        <w:tc>
          <w:tcPr>
            <w:tcW w:w="3439" w:type="dxa"/>
          </w:tcPr>
          <w:p>
            <w:pPr>
              <w:pStyle w:val="TableParagraph"/>
              <w:spacing w:line="210" w:lineRule="exact"/>
              <w:ind w:left="179" w:right="174"/>
              <w:jc w:val="center"/>
              <w:rPr>
                <w:sz w:val="20"/>
              </w:rPr>
            </w:pPr>
            <w:r>
              <w:rPr>
                <w:sz w:val="20"/>
              </w:rPr>
              <w:t>A06.12.012,</w:t>
            </w:r>
            <w:r>
              <w:rPr>
                <w:spacing w:val="-9"/>
                <w:sz w:val="20"/>
              </w:rPr>
              <w:t> </w:t>
            </w:r>
            <w:r>
              <w:rPr>
                <w:sz w:val="20"/>
              </w:rPr>
              <w:t>A06.12.030,</w:t>
            </w:r>
            <w:r>
              <w:rPr>
                <w:spacing w:val="-10"/>
                <w:sz w:val="20"/>
              </w:rPr>
              <w:t> </w:t>
            </w:r>
            <w:r>
              <w:rPr>
                <w:spacing w:val="-2"/>
                <w:sz w:val="20"/>
              </w:rPr>
              <w:t>A06.12.039,</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6"/>
              </w:rPr>
            </w:pPr>
          </w:p>
        </w:tc>
        <w:tc>
          <w:tcPr>
            <w:tcW w:w="3439" w:type="dxa"/>
          </w:tcPr>
          <w:p>
            <w:pPr>
              <w:pStyle w:val="TableParagraph"/>
              <w:spacing w:line="210" w:lineRule="exact"/>
              <w:ind w:left="179" w:right="174"/>
              <w:jc w:val="center"/>
              <w:rPr>
                <w:sz w:val="20"/>
              </w:rPr>
            </w:pPr>
            <w:r>
              <w:rPr>
                <w:sz w:val="20"/>
              </w:rPr>
              <w:t>A06.12.040,</w:t>
            </w:r>
            <w:r>
              <w:rPr>
                <w:spacing w:val="-9"/>
                <w:sz w:val="20"/>
              </w:rPr>
              <w:t> </w:t>
            </w:r>
            <w:r>
              <w:rPr>
                <w:sz w:val="20"/>
              </w:rPr>
              <w:t>A06.12.044,</w:t>
            </w:r>
            <w:r>
              <w:rPr>
                <w:spacing w:val="-10"/>
                <w:sz w:val="20"/>
              </w:rPr>
              <w:t> </w:t>
            </w:r>
            <w:r>
              <w:rPr>
                <w:spacing w:val="-2"/>
                <w:sz w:val="20"/>
              </w:rPr>
              <w:t>A06.12.059,</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8"/>
              </w:rPr>
            </w:pPr>
          </w:p>
        </w:tc>
        <w:tc>
          <w:tcPr>
            <w:tcW w:w="3439" w:type="dxa"/>
          </w:tcPr>
          <w:p>
            <w:pPr>
              <w:pStyle w:val="TableParagraph"/>
              <w:spacing w:line="226" w:lineRule="exact"/>
              <w:ind w:left="180" w:right="169"/>
              <w:jc w:val="center"/>
              <w:rPr>
                <w:sz w:val="20"/>
              </w:rPr>
            </w:pPr>
            <w:r>
              <w:rPr>
                <w:spacing w:val="-2"/>
                <w:sz w:val="20"/>
              </w:rPr>
              <w:t>A06.12.060</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ds25.002</w:t>
            </w:r>
          </w:p>
        </w:tc>
        <w:tc>
          <w:tcPr>
            <w:tcW w:w="696" w:type="dxa"/>
          </w:tcPr>
          <w:p>
            <w:pPr>
              <w:pStyle w:val="TableParagraph"/>
              <w:spacing w:line="215" w:lineRule="exact" w:before="45"/>
              <w:ind w:left="200"/>
              <w:rPr>
                <w:sz w:val="20"/>
              </w:rPr>
            </w:pPr>
            <w:r>
              <w:rPr>
                <w:spacing w:val="-5"/>
                <w:sz w:val="20"/>
              </w:rPr>
              <w:t>120</w:t>
            </w:r>
          </w:p>
        </w:tc>
        <w:tc>
          <w:tcPr>
            <w:tcW w:w="2624"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4252" w:type="dxa"/>
          </w:tcPr>
          <w:p>
            <w:pPr>
              <w:pStyle w:val="TableParagraph"/>
              <w:spacing w:line="215" w:lineRule="exact" w:before="45"/>
              <w:ind w:right="58"/>
              <w:jc w:val="center"/>
              <w:rPr>
                <w:sz w:val="20"/>
              </w:rPr>
            </w:pPr>
            <w:r>
              <w:rPr>
                <w:w w:val="99"/>
                <w:sz w:val="20"/>
              </w:rPr>
              <w:t>-</w:t>
            </w:r>
          </w:p>
        </w:tc>
        <w:tc>
          <w:tcPr>
            <w:tcW w:w="3439" w:type="dxa"/>
          </w:tcPr>
          <w:p>
            <w:pPr>
              <w:pStyle w:val="TableParagraph"/>
              <w:spacing w:line="215" w:lineRule="exact" w:before="45"/>
              <w:ind w:left="180" w:right="173"/>
              <w:jc w:val="center"/>
              <w:rPr>
                <w:sz w:val="20"/>
              </w:rPr>
            </w:pPr>
            <w:r>
              <w:rPr>
                <w:w w:val="95"/>
                <w:sz w:val="20"/>
              </w:rPr>
              <w:t>A11.12.001.002,</w:t>
            </w:r>
            <w:r>
              <w:rPr>
                <w:spacing w:val="54"/>
                <w:sz w:val="20"/>
              </w:rPr>
              <w:t> </w:t>
            </w:r>
            <w:r>
              <w:rPr>
                <w:spacing w:val="-2"/>
                <w:sz w:val="20"/>
              </w:rPr>
              <w:t>A16.12.014,</w:t>
            </w:r>
          </w:p>
        </w:tc>
        <w:tc>
          <w:tcPr>
            <w:tcW w:w="2515" w:type="dxa"/>
          </w:tcPr>
          <w:p>
            <w:pPr>
              <w:pStyle w:val="TableParagraph"/>
              <w:spacing w:line="215" w:lineRule="exact" w:before="45"/>
              <w:ind w:right="208"/>
              <w:jc w:val="center"/>
              <w:rPr>
                <w:sz w:val="20"/>
              </w:rPr>
            </w:pPr>
            <w:r>
              <w:rPr>
                <w:w w:val="99"/>
                <w:sz w:val="20"/>
              </w:rPr>
              <w:t>-</w:t>
            </w:r>
          </w:p>
        </w:tc>
        <w:tc>
          <w:tcPr>
            <w:tcW w:w="789" w:type="dxa"/>
          </w:tcPr>
          <w:p>
            <w:pPr>
              <w:pStyle w:val="TableParagraph"/>
              <w:spacing w:line="215" w:lineRule="exact" w:before="45"/>
              <w:ind w:right="46"/>
              <w:jc w:val="right"/>
              <w:rPr>
                <w:sz w:val="20"/>
              </w:rPr>
            </w:pPr>
            <w:r>
              <w:rPr>
                <w:spacing w:val="-4"/>
                <w:sz w:val="20"/>
              </w:rPr>
              <w:t>2,18</w:t>
            </w: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spacing w:line="226" w:lineRule="exact"/>
              <w:ind w:left="193"/>
              <w:rPr>
                <w:sz w:val="20"/>
              </w:rPr>
            </w:pPr>
            <w:r>
              <w:rPr>
                <w:sz w:val="20"/>
              </w:rPr>
              <w:t>(уровень</w:t>
            </w:r>
            <w:r>
              <w:rPr>
                <w:spacing w:val="-11"/>
                <w:sz w:val="20"/>
              </w:rPr>
              <w:t> </w:t>
            </w:r>
            <w:r>
              <w:rPr>
                <w:spacing w:val="-5"/>
                <w:sz w:val="20"/>
              </w:rPr>
              <w:t>1)</w:t>
            </w:r>
          </w:p>
        </w:tc>
        <w:tc>
          <w:tcPr>
            <w:tcW w:w="4252" w:type="dxa"/>
          </w:tcPr>
          <w:p>
            <w:pPr>
              <w:pStyle w:val="TableParagraph"/>
              <w:rPr>
                <w:sz w:val="18"/>
              </w:rPr>
            </w:pPr>
          </w:p>
        </w:tc>
        <w:tc>
          <w:tcPr>
            <w:tcW w:w="3439" w:type="dxa"/>
          </w:tcPr>
          <w:p>
            <w:pPr>
              <w:pStyle w:val="TableParagraph"/>
              <w:spacing w:line="226" w:lineRule="exact"/>
              <w:ind w:left="180" w:right="169"/>
              <w:jc w:val="center"/>
              <w:rPr>
                <w:sz w:val="20"/>
              </w:rPr>
            </w:pPr>
            <w:r>
              <w:rPr>
                <w:spacing w:val="-2"/>
                <w:sz w:val="20"/>
              </w:rPr>
              <w:t>A16.12.020</w:t>
            </w:r>
          </w:p>
        </w:tc>
        <w:tc>
          <w:tcPr>
            <w:tcW w:w="2515" w:type="dxa"/>
          </w:tcPr>
          <w:p>
            <w:pPr>
              <w:pStyle w:val="TableParagraph"/>
              <w:rPr>
                <w:sz w:val="18"/>
              </w:rPr>
            </w:pPr>
          </w:p>
        </w:tc>
        <w:tc>
          <w:tcPr>
            <w:tcW w:w="789"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ds25.003</w:t>
            </w:r>
          </w:p>
        </w:tc>
        <w:tc>
          <w:tcPr>
            <w:tcW w:w="696" w:type="dxa"/>
          </w:tcPr>
          <w:p>
            <w:pPr>
              <w:pStyle w:val="TableParagraph"/>
              <w:spacing w:line="215" w:lineRule="exact" w:before="45"/>
              <w:ind w:left="200"/>
              <w:rPr>
                <w:sz w:val="20"/>
              </w:rPr>
            </w:pPr>
            <w:r>
              <w:rPr>
                <w:spacing w:val="-5"/>
                <w:sz w:val="20"/>
              </w:rPr>
              <w:t>121</w:t>
            </w:r>
          </w:p>
        </w:tc>
        <w:tc>
          <w:tcPr>
            <w:tcW w:w="2624"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4252" w:type="dxa"/>
          </w:tcPr>
          <w:p>
            <w:pPr>
              <w:pStyle w:val="TableParagraph"/>
              <w:spacing w:line="215" w:lineRule="exact" w:before="45"/>
              <w:ind w:right="58"/>
              <w:jc w:val="center"/>
              <w:rPr>
                <w:sz w:val="20"/>
              </w:rPr>
            </w:pPr>
            <w:r>
              <w:rPr>
                <w:w w:val="99"/>
                <w:sz w:val="20"/>
              </w:rPr>
              <w:t>-</w:t>
            </w:r>
          </w:p>
        </w:tc>
        <w:tc>
          <w:tcPr>
            <w:tcW w:w="3439" w:type="dxa"/>
          </w:tcPr>
          <w:p>
            <w:pPr>
              <w:pStyle w:val="TableParagraph"/>
              <w:spacing w:line="215" w:lineRule="exact" w:before="45"/>
              <w:ind w:left="180" w:right="173"/>
              <w:jc w:val="center"/>
              <w:rPr>
                <w:sz w:val="20"/>
              </w:rPr>
            </w:pPr>
            <w:r>
              <w:rPr>
                <w:sz w:val="20"/>
              </w:rPr>
              <w:t>A16.12.006,</w:t>
            </w:r>
            <w:r>
              <w:rPr>
                <w:spacing w:val="-9"/>
                <w:sz w:val="20"/>
              </w:rPr>
              <w:t> </w:t>
            </w:r>
            <w:r>
              <w:rPr>
                <w:spacing w:val="-2"/>
                <w:sz w:val="20"/>
              </w:rPr>
              <w:t>A16.12.006.001,</w:t>
            </w:r>
          </w:p>
        </w:tc>
        <w:tc>
          <w:tcPr>
            <w:tcW w:w="2515" w:type="dxa"/>
          </w:tcPr>
          <w:p>
            <w:pPr>
              <w:pStyle w:val="TableParagraph"/>
              <w:spacing w:line="215" w:lineRule="exact" w:before="45"/>
              <w:ind w:right="208"/>
              <w:jc w:val="center"/>
              <w:rPr>
                <w:sz w:val="20"/>
              </w:rPr>
            </w:pPr>
            <w:r>
              <w:rPr>
                <w:w w:val="99"/>
                <w:sz w:val="20"/>
              </w:rPr>
              <w:t>-</w:t>
            </w:r>
          </w:p>
        </w:tc>
        <w:tc>
          <w:tcPr>
            <w:tcW w:w="789" w:type="dxa"/>
          </w:tcPr>
          <w:p>
            <w:pPr>
              <w:pStyle w:val="TableParagraph"/>
              <w:spacing w:line="215" w:lineRule="exact" w:before="45"/>
              <w:ind w:right="46"/>
              <w:jc w:val="right"/>
              <w:rPr>
                <w:sz w:val="20"/>
              </w:rPr>
            </w:pPr>
            <w:r>
              <w:rPr>
                <w:spacing w:val="-4"/>
                <w:sz w:val="20"/>
              </w:rPr>
              <w:t>4,31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1" w:lineRule="exact"/>
              <w:ind w:left="193"/>
              <w:rPr>
                <w:sz w:val="20"/>
              </w:rPr>
            </w:pPr>
            <w:r>
              <w:rPr>
                <w:sz w:val="20"/>
              </w:rPr>
              <w:t>(уровень</w:t>
            </w:r>
            <w:r>
              <w:rPr>
                <w:spacing w:val="-11"/>
                <w:sz w:val="20"/>
              </w:rPr>
              <w:t> </w:t>
            </w:r>
            <w:r>
              <w:rPr>
                <w:spacing w:val="-5"/>
                <w:sz w:val="20"/>
              </w:rPr>
              <w:t>2)</w:t>
            </w:r>
          </w:p>
        </w:tc>
        <w:tc>
          <w:tcPr>
            <w:tcW w:w="4252" w:type="dxa"/>
          </w:tcPr>
          <w:p>
            <w:pPr>
              <w:pStyle w:val="TableParagraph"/>
              <w:rPr>
                <w:sz w:val="16"/>
              </w:rPr>
            </w:pPr>
          </w:p>
        </w:tc>
        <w:tc>
          <w:tcPr>
            <w:tcW w:w="3439" w:type="dxa"/>
          </w:tcPr>
          <w:p>
            <w:pPr>
              <w:pStyle w:val="TableParagraph"/>
              <w:spacing w:line="211" w:lineRule="exact"/>
              <w:ind w:left="180" w:right="173"/>
              <w:jc w:val="center"/>
              <w:rPr>
                <w:sz w:val="20"/>
              </w:rPr>
            </w:pPr>
            <w:r>
              <w:rPr>
                <w:w w:val="95"/>
                <w:sz w:val="20"/>
              </w:rPr>
              <w:t>A16.12.006.002,</w:t>
            </w:r>
            <w:r>
              <w:rPr>
                <w:spacing w:val="54"/>
                <w:sz w:val="20"/>
              </w:rPr>
              <w:t> </w:t>
            </w:r>
            <w:r>
              <w:rPr>
                <w:spacing w:val="-2"/>
                <w:sz w:val="20"/>
              </w:rPr>
              <w:t>A16.12.012,</w:t>
            </w:r>
          </w:p>
        </w:tc>
        <w:tc>
          <w:tcPr>
            <w:tcW w:w="2515" w:type="dxa"/>
          </w:tcPr>
          <w:p>
            <w:pPr>
              <w:pStyle w:val="TableParagraph"/>
              <w:rPr>
                <w:sz w:val="16"/>
              </w:rPr>
            </w:pPr>
          </w:p>
        </w:tc>
        <w:tc>
          <w:tcPr>
            <w:tcW w:w="789"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rPr>
                <w:sz w:val="16"/>
              </w:rPr>
            </w:pPr>
          </w:p>
        </w:tc>
        <w:tc>
          <w:tcPr>
            <w:tcW w:w="4252" w:type="dxa"/>
          </w:tcPr>
          <w:p>
            <w:pPr>
              <w:pStyle w:val="TableParagraph"/>
              <w:rPr>
                <w:sz w:val="16"/>
              </w:rPr>
            </w:pPr>
          </w:p>
        </w:tc>
        <w:tc>
          <w:tcPr>
            <w:tcW w:w="3439" w:type="dxa"/>
          </w:tcPr>
          <w:p>
            <w:pPr>
              <w:pStyle w:val="TableParagraph"/>
              <w:spacing w:line="210" w:lineRule="exact"/>
              <w:ind w:left="180" w:right="170"/>
              <w:jc w:val="center"/>
              <w:rPr>
                <w:sz w:val="20"/>
              </w:rPr>
            </w:pPr>
            <w:r>
              <w:rPr>
                <w:sz w:val="20"/>
              </w:rPr>
              <w:t>A16.12.063,</w:t>
            </w:r>
            <w:r>
              <w:rPr>
                <w:spacing w:val="-9"/>
                <w:sz w:val="20"/>
              </w:rPr>
              <w:t> </w:t>
            </w:r>
            <w:r>
              <w:rPr>
                <w:spacing w:val="-2"/>
                <w:sz w:val="20"/>
              </w:rPr>
              <w:t>A22.12.003,</w:t>
            </w:r>
          </w:p>
        </w:tc>
        <w:tc>
          <w:tcPr>
            <w:tcW w:w="2515" w:type="dxa"/>
          </w:tcPr>
          <w:p>
            <w:pPr>
              <w:pStyle w:val="TableParagraph"/>
              <w:rPr>
                <w:sz w:val="16"/>
              </w:rPr>
            </w:pPr>
          </w:p>
        </w:tc>
        <w:tc>
          <w:tcPr>
            <w:tcW w:w="789"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rPr>
                <w:sz w:val="18"/>
              </w:rPr>
            </w:pPr>
          </w:p>
        </w:tc>
        <w:tc>
          <w:tcPr>
            <w:tcW w:w="4252" w:type="dxa"/>
          </w:tcPr>
          <w:p>
            <w:pPr>
              <w:pStyle w:val="TableParagraph"/>
              <w:rPr>
                <w:sz w:val="18"/>
              </w:rPr>
            </w:pPr>
          </w:p>
        </w:tc>
        <w:tc>
          <w:tcPr>
            <w:tcW w:w="3439" w:type="dxa"/>
          </w:tcPr>
          <w:p>
            <w:pPr>
              <w:pStyle w:val="TableParagraph"/>
              <w:spacing w:line="226" w:lineRule="exact"/>
              <w:ind w:left="180" w:right="174"/>
              <w:jc w:val="center"/>
              <w:rPr>
                <w:sz w:val="20"/>
              </w:rPr>
            </w:pPr>
            <w:r>
              <w:rPr>
                <w:w w:val="95"/>
                <w:sz w:val="20"/>
              </w:rPr>
              <w:t>A22.12.003.001,</w:t>
            </w:r>
            <w:r>
              <w:rPr>
                <w:spacing w:val="54"/>
                <w:sz w:val="20"/>
              </w:rPr>
              <w:t> </w:t>
            </w:r>
            <w:r>
              <w:rPr>
                <w:spacing w:val="-2"/>
                <w:sz w:val="20"/>
              </w:rPr>
              <w:t>A22.12.004</w:t>
            </w:r>
          </w:p>
        </w:tc>
        <w:tc>
          <w:tcPr>
            <w:tcW w:w="2515" w:type="dxa"/>
          </w:tcPr>
          <w:p>
            <w:pPr>
              <w:pStyle w:val="TableParagraph"/>
              <w:rPr>
                <w:sz w:val="18"/>
              </w:rPr>
            </w:pPr>
          </w:p>
        </w:tc>
        <w:tc>
          <w:tcPr>
            <w:tcW w:w="789" w:type="dxa"/>
          </w:tcPr>
          <w:p>
            <w:pPr>
              <w:pStyle w:val="TableParagraph"/>
              <w:rPr>
                <w:sz w:val="18"/>
              </w:rPr>
            </w:pPr>
          </w:p>
        </w:tc>
      </w:tr>
      <w:tr>
        <w:trPr>
          <w:trHeight w:val="329" w:hRule="atLeast"/>
        </w:trPr>
        <w:tc>
          <w:tcPr>
            <w:tcW w:w="978" w:type="dxa"/>
          </w:tcPr>
          <w:p>
            <w:pPr>
              <w:pStyle w:val="TableParagraph"/>
              <w:spacing w:before="45"/>
              <w:ind w:left="39" w:right="186"/>
              <w:jc w:val="center"/>
              <w:rPr>
                <w:sz w:val="20"/>
              </w:rPr>
            </w:pPr>
            <w:r>
              <w:rPr>
                <w:spacing w:val="-4"/>
                <w:sz w:val="20"/>
              </w:rPr>
              <w:t>ds26</w:t>
            </w:r>
          </w:p>
        </w:tc>
        <w:tc>
          <w:tcPr>
            <w:tcW w:w="696" w:type="dxa"/>
          </w:tcPr>
          <w:p>
            <w:pPr>
              <w:pStyle w:val="TableParagraph"/>
              <w:spacing w:before="45"/>
              <w:ind w:left="250"/>
              <w:rPr>
                <w:sz w:val="20"/>
              </w:rPr>
            </w:pPr>
            <w:r>
              <w:rPr>
                <w:spacing w:val="-5"/>
                <w:sz w:val="20"/>
              </w:rPr>
              <w:t>26</w:t>
            </w:r>
          </w:p>
        </w:tc>
        <w:tc>
          <w:tcPr>
            <w:tcW w:w="2624" w:type="dxa"/>
          </w:tcPr>
          <w:p>
            <w:pPr>
              <w:pStyle w:val="TableParagraph"/>
              <w:rPr>
                <w:sz w:val="18"/>
              </w:rPr>
            </w:pPr>
          </w:p>
        </w:tc>
        <w:tc>
          <w:tcPr>
            <w:tcW w:w="7691" w:type="dxa"/>
            <w:gridSpan w:val="2"/>
          </w:tcPr>
          <w:p>
            <w:pPr>
              <w:pStyle w:val="TableParagraph"/>
              <w:spacing w:before="45"/>
              <w:ind w:left="2404" w:right="2651"/>
              <w:jc w:val="center"/>
              <w:rPr>
                <w:sz w:val="20"/>
              </w:rPr>
            </w:pPr>
            <w:r>
              <w:rPr>
                <w:w w:val="95"/>
                <w:sz w:val="20"/>
              </w:rPr>
              <w:t>Стоматология</w:t>
            </w:r>
            <w:r>
              <w:rPr>
                <w:spacing w:val="47"/>
                <w:sz w:val="20"/>
              </w:rPr>
              <w:t> </w:t>
            </w:r>
            <w:r>
              <w:rPr>
                <w:spacing w:val="-2"/>
                <w:sz w:val="20"/>
              </w:rPr>
              <w:t>детская</w:t>
            </w:r>
          </w:p>
        </w:tc>
        <w:tc>
          <w:tcPr>
            <w:tcW w:w="2515" w:type="dxa"/>
          </w:tcPr>
          <w:p>
            <w:pPr>
              <w:pStyle w:val="TableParagraph"/>
              <w:rPr>
                <w:sz w:val="18"/>
              </w:rPr>
            </w:pPr>
          </w:p>
        </w:tc>
        <w:tc>
          <w:tcPr>
            <w:tcW w:w="789" w:type="dxa"/>
          </w:tcPr>
          <w:p>
            <w:pPr>
              <w:pStyle w:val="TableParagraph"/>
              <w:spacing w:before="45"/>
              <w:ind w:right="46"/>
              <w:jc w:val="right"/>
              <w:rPr>
                <w:sz w:val="20"/>
              </w:rPr>
            </w:pPr>
            <w:r>
              <w:rPr>
                <w:spacing w:val="-4"/>
                <w:sz w:val="20"/>
              </w:rPr>
              <w:t>0,98</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ds26.001</w:t>
            </w:r>
          </w:p>
        </w:tc>
        <w:tc>
          <w:tcPr>
            <w:tcW w:w="696" w:type="dxa"/>
          </w:tcPr>
          <w:p>
            <w:pPr>
              <w:pStyle w:val="TableParagraph"/>
              <w:spacing w:line="215" w:lineRule="exact" w:before="46"/>
              <w:ind w:left="200"/>
              <w:rPr>
                <w:sz w:val="20"/>
              </w:rPr>
            </w:pPr>
            <w:r>
              <w:rPr>
                <w:spacing w:val="-5"/>
                <w:sz w:val="20"/>
              </w:rPr>
              <w:t>122</w:t>
            </w:r>
          </w:p>
        </w:tc>
        <w:tc>
          <w:tcPr>
            <w:tcW w:w="2624" w:type="dxa"/>
          </w:tcPr>
          <w:p>
            <w:pPr>
              <w:pStyle w:val="TableParagraph"/>
              <w:spacing w:line="215" w:lineRule="exact" w:before="46"/>
              <w:ind w:left="193"/>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4252" w:type="dxa"/>
          </w:tcPr>
          <w:p>
            <w:pPr>
              <w:pStyle w:val="TableParagraph"/>
              <w:spacing w:line="215" w:lineRule="exact" w:before="46"/>
              <w:ind w:left="154"/>
              <w:rPr>
                <w:sz w:val="20"/>
              </w:rPr>
            </w:pPr>
            <w:r>
              <w:rPr>
                <w:sz w:val="20"/>
              </w:rPr>
              <w:t>I86.0,</w:t>
            </w:r>
            <w:r>
              <w:rPr>
                <w:spacing w:val="-4"/>
                <w:sz w:val="20"/>
              </w:rPr>
              <w:t> </w:t>
            </w:r>
            <w:r>
              <w:rPr>
                <w:sz w:val="20"/>
              </w:rPr>
              <w:t>K00,</w:t>
            </w:r>
            <w:r>
              <w:rPr>
                <w:spacing w:val="-6"/>
                <w:sz w:val="20"/>
              </w:rPr>
              <w:t> </w:t>
            </w:r>
            <w:r>
              <w:rPr>
                <w:sz w:val="20"/>
              </w:rPr>
              <w:t>K00.0,</w:t>
            </w:r>
            <w:r>
              <w:rPr>
                <w:spacing w:val="-4"/>
                <w:sz w:val="20"/>
              </w:rPr>
              <w:t> </w:t>
            </w:r>
            <w:r>
              <w:rPr>
                <w:sz w:val="20"/>
              </w:rPr>
              <w:t>K00.1,</w:t>
            </w:r>
            <w:r>
              <w:rPr>
                <w:spacing w:val="-4"/>
                <w:sz w:val="20"/>
              </w:rPr>
              <w:t> </w:t>
            </w:r>
            <w:r>
              <w:rPr>
                <w:sz w:val="20"/>
              </w:rPr>
              <w:t>K00.2,</w:t>
            </w:r>
            <w:r>
              <w:rPr>
                <w:spacing w:val="-4"/>
                <w:sz w:val="20"/>
              </w:rPr>
              <w:t> </w:t>
            </w:r>
            <w:r>
              <w:rPr>
                <w:sz w:val="20"/>
              </w:rPr>
              <w:t>K00.3,</w:t>
            </w:r>
            <w:r>
              <w:rPr>
                <w:spacing w:val="-4"/>
                <w:sz w:val="20"/>
              </w:rPr>
              <w:t> </w:t>
            </w:r>
            <w:r>
              <w:rPr>
                <w:spacing w:val="-2"/>
                <w:sz w:val="20"/>
              </w:rPr>
              <w:t>K00.4,</w:t>
            </w:r>
          </w:p>
        </w:tc>
        <w:tc>
          <w:tcPr>
            <w:tcW w:w="3439" w:type="dxa"/>
          </w:tcPr>
          <w:p>
            <w:pPr>
              <w:pStyle w:val="TableParagraph"/>
              <w:spacing w:line="215" w:lineRule="exact" w:before="46"/>
              <w:ind w:left="10"/>
              <w:jc w:val="center"/>
              <w:rPr>
                <w:sz w:val="20"/>
              </w:rPr>
            </w:pPr>
            <w:r>
              <w:rPr>
                <w:w w:val="99"/>
                <w:sz w:val="20"/>
              </w:rPr>
              <w:t>-</w:t>
            </w:r>
          </w:p>
        </w:tc>
        <w:tc>
          <w:tcPr>
            <w:tcW w:w="2515" w:type="dxa"/>
          </w:tcPr>
          <w:p>
            <w:pPr>
              <w:pStyle w:val="TableParagraph"/>
              <w:spacing w:line="215" w:lineRule="exact" w:before="46"/>
              <w:ind w:left="327"/>
              <w:rPr>
                <w:sz w:val="20"/>
              </w:rPr>
            </w:pPr>
            <w:r>
              <w:rPr>
                <w:sz w:val="20"/>
              </w:rPr>
              <w:t>Возрастная</w:t>
            </w:r>
            <w:r>
              <w:rPr>
                <w:spacing w:val="-11"/>
                <w:sz w:val="20"/>
              </w:rPr>
              <w:t> </w:t>
            </w:r>
            <w:r>
              <w:rPr>
                <w:spacing w:val="-2"/>
                <w:sz w:val="20"/>
              </w:rPr>
              <w:t>группа:</w:t>
            </w:r>
          </w:p>
        </w:tc>
        <w:tc>
          <w:tcPr>
            <w:tcW w:w="789" w:type="dxa"/>
          </w:tcPr>
          <w:p>
            <w:pPr>
              <w:pStyle w:val="TableParagraph"/>
              <w:spacing w:line="215" w:lineRule="exact" w:before="46"/>
              <w:ind w:right="46"/>
              <w:jc w:val="right"/>
              <w:rPr>
                <w:sz w:val="20"/>
              </w:rPr>
            </w:pPr>
            <w:r>
              <w:rPr>
                <w:spacing w:val="-4"/>
                <w:sz w:val="20"/>
              </w:rPr>
              <w:t>0,98</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0" w:lineRule="exact"/>
              <w:ind w:left="193"/>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4252" w:type="dxa"/>
          </w:tcPr>
          <w:p>
            <w:pPr>
              <w:pStyle w:val="TableParagraph"/>
              <w:spacing w:line="210" w:lineRule="exact"/>
              <w:ind w:left="113"/>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4"/>
                <w:sz w:val="20"/>
              </w:rPr>
              <w:t> </w:t>
            </w:r>
            <w:r>
              <w:rPr>
                <w:sz w:val="20"/>
              </w:rPr>
              <w:t>K01,</w:t>
            </w:r>
            <w:r>
              <w:rPr>
                <w:spacing w:val="-4"/>
                <w:sz w:val="20"/>
              </w:rPr>
              <w:t> </w:t>
            </w:r>
            <w:r>
              <w:rPr>
                <w:spacing w:val="-2"/>
                <w:sz w:val="20"/>
              </w:rPr>
              <w:t>K01.0,</w:t>
            </w:r>
          </w:p>
        </w:tc>
        <w:tc>
          <w:tcPr>
            <w:tcW w:w="3439" w:type="dxa"/>
          </w:tcPr>
          <w:p>
            <w:pPr>
              <w:pStyle w:val="TableParagraph"/>
              <w:rPr>
                <w:sz w:val="16"/>
              </w:rPr>
            </w:pPr>
          </w:p>
        </w:tc>
        <w:tc>
          <w:tcPr>
            <w:tcW w:w="2515" w:type="dxa"/>
          </w:tcPr>
          <w:p>
            <w:pPr>
              <w:pStyle w:val="TableParagraph"/>
              <w:spacing w:line="210" w:lineRule="exact"/>
              <w:ind w:left="343"/>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789"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09" w:lineRule="exact"/>
              <w:ind w:left="193"/>
              <w:rPr>
                <w:sz w:val="20"/>
              </w:rPr>
            </w:pPr>
            <w:r>
              <w:rPr>
                <w:spacing w:val="-2"/>
                <w:sz w:val="20"/>
              </w:rPr>
              <w:t>челюстей,</w:t>
            </w:r>
            <w:r>
              <w:rPr>
                <w:spacing w:val="5"/>
                <w:sz w:val="20"/>
              </w:rPr>
              <w:t> </w:t>
            </w:r>
            <w:r>
              <w:rPr>
                <w:spacing w:val="-2"/>
                <w:sz w:val="20"/>
              </w:rPr>
              <w:t>врожденные</w:t>
            </w:r>
          </w:p>
        </w:tc>
        <w:tc>
          <w:tcPr>
            <w:tcW w:w="4252" w:type="dxa"/>
          </w:tcPr>
          <w:p>
            <w:pPr>
              <w:pStyle w:val="TableParagraph"/>
              <w:spacing w:line="209" w:lineRule="exact"/>
              <w:ind w:left="116"/>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24"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04" w:lineRule="exact"/>
              <w:ind w:left="193"/>
              <w:rPr>
                <w:sz w:val="20"/>
              </w:rPr>
            </w:pPr>
            <w:r>
              <w:rPr>
                <w:sz w:val="20"/>
              </w:rPr>
              <w:t>аномалии</w:t>
            </w:r>
            <w:r>
              <w:rPr>
                <w:spacing w:val="-6"/>
                <w:sz w:val="20"/>
              </w:rPr>
              <w:t> </w:t>
            </w:r>
            <w:r>
              <w:rPr>
                <w:sz w:val="20"/>
              </w:rPr>
              <w:t>лица</w:t>
            </w:r>
            <w:r>
              <w:rPr>
                <w:spacing w:val="-2"/>
                <w:sz w:val="20"/>
              </w:rPr>
              <w:t> </w:t>
            </w:r>
            <w:r>
              <w:rPr>
                <w:sz w:val="20"/>
              </w:rPr>
              <w:t>и</w:t>
            </w:r>
            <w:r>
              <w:rPr>
                <w:spacing w:val="-6"/>
                <w:sz w:val="20"/>
              </w:rPr>
              <w:t> </w:t>
            </w:r>
            <w:r>
              <w:rPr>
                <w:sz w:val="20"/>
              </w:rPr>
              <w:t>шеи,</w:t>
            </w:r>
            <w:r>
              <w:rPr>
                <w:spacing w:val="-5"/>
                <w:sz w:val="20"/>
              </w:rPr>
              <w:t> </w:t>
            </w:r>
            <w:r>
              <w:rPr>
                <w:spacing w:val="-4"/>
                <w:sz w:val="20"/>
              </w:rPr>
              <w:t>дети</w:t>
            </w:r>
          </w:p>
        </w:tc>
        <w:tc>
          <w:tcPr>
            <w:tcW w:w="4252" w:type="dxa"/>
          </w:tcPr>
          <w:p>
            <w:pPr>
              <w:pStyle w:val="TableParagraph"/>
              <w:spacing w:line="204" w:lineRule="exact"/>
              <w:ind w:left="116"/>
              <w:rPr>
                <w:sz w:val="20"/>
              </w:rPr>
            </w:pPr>
            <w:r>
              <w:rPr>
                <w:sz w:val="20"/>
              </w:rPr>
              <w:t>K02.5,</w:t>
            </w:r>
            <w:r>
              <w:rPr>
                <w:spacing w:val="-6"/>
                <w:sz w:val="20"/>
              </w:rPr>
              <w:t> </w:t>
            </w:r>
            <w:r>
              <w:rPr>
                <w:sz w:val="20"/>
              </w:rPr>
              <w:t>K02.8,</w:t>
            </w:r>
            <w:r>
              <w:rPr>
                <w:spacing w:val="-6"/>
                <w:sz w:val="20"/>
              </w:rPr>
              <w:t> </w:t>
            </w:r>
            <w:r>
              <w:rPr>
                <w:sz w:val="20"/>
              </w:rPr>
              <w:t>K02.9,</w:t>
            </w:r>
            <w:r>
              <w:rPr>
                <w:spacing w:val="-5"/>
                <w:sz w:val="20"/>
              </w:rPr>
              <w:t> </w:t>
            </w:r>
            <w:r>
              <w:rPr>
                <w:sz w:val="20"/>
              </w:rPr>
              <w:t>K03,</w:t>
            </w:r>
            <w:r>
              <w:rPr>
                <w:spacing w:val="-6"/>
                <w:sz w:val="20"/>
              </w:rPr>
              <w:t> </w:t>
            </w:r>
            <w:r>
              <w:rPr>
                <w:sz w:val="20"/>
              </w:rPr>
              <w:t>K03.0,</w:t>
            </w:r>
            <w:r>
              <w:rPr>
                <w:spacing w:val="-5"/>
                <w:sz w:val="20"/>
              </w:rPr>
              <w:t> </w:t>
            </w:r>
            <w:r>
              <w:rPr>
                <w:sz w:val="20"/>
              </w:rPr>
              <w:t>K03.1,</w:t>
            </w:r>
            <w:r>
              <w:rPr>
                <w:spacing w:val="-5"/>
                <w:sz w:val="20"/>
              </w:rPr>
              <w:t> </w:t>
            </w:r>
            <w:r>
              <w:rPr>
                <w:spacing w:val="-2"/>
                <w:sz w:val="20"/>
              </w:rPr>
              <w:t>K03.2,</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391"/>
        <w:gridCol w:w="5244"/>
        <w:gridCol w:w="2400"/>
        <w:gridCol w:w="2326"/>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391" w:type="dxa"/>
            <w:vMerge w:val="restart"/>
          </w:tcPr>
          <w:p>
            <w:pPr>
              <w:pStyle w:val="TableParagraph"/>
              <w:rPr>
                <w:sz w:val="18"/>
              </w:rPr>
            </w:pPr>
          </w:p>
        </w:tc>
        <w:tc>
          <w:tcPr>
            <w:tcW w:w="5244" w:type="dxa"/>
          </w:tcPr>
          <w:p>
            <w:pPr>
              <w:pStyle w:val="TableParagraph"/>
              <w:spacing w:line="205" w:lineRule="exact"/>
              <w:ind w:left="570"/>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2400" w:type="dxa"/>
            <w:vMerge w:val="restart"/>
          </w:tcPr>
          <w:p>
            <w:pPr>
              <w:pStyle w:val="TableParagraph"/>
              <w:rPr>
                <w:sz w:val="18"/>
              </w:rPr>
            </w:pPr>
          </w:p>
        </w:tc>
        <w:tc>
          <w:tcPr>
            <w:tcW w:w="2326"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931"/>
              <w:jc w:val="right"/>
              <w:rPr>
                <w:sz w:val="20"/>
              </w:rPr>
            </w:pPr>
            <w:r>
              <w:rPr>
                <w:sz w:val="20"/>
              </w:rPr>
              <w:t>K03.9,</w:t>
            </w:r>
            <w:r>
              <w:rPr>
                <w:spacing w:val="-5"/>
                <w:sz w:val="20"/>
              </w:rPr>
              <w:t> </w:t>
            </w:r>
            <w:r>
              <w:rPr>
                <w:sz w:val="20"/>
              </w:rPr>
              <w:t>K04,</w:t>
            </w:r>
            <w:r>
              <w:rPr>
                <w:spacing w:val="-5"/>
                <w:sz w:val="20"/>
              </w:rPr>
              <w:t> </w:t>
            </w:r>
            <w:r>
              <w:rPr>
                <w:sz w:val="20"/>
              </w:rPr>
              <w:t>K04.0,</w:t>
            </w:r>
            <w:r>
              <w:rPr>
                <w:spacing w:val="-5"/>
                <w:sz w:val="20"/>
              </w:rPr>
              <w:t> </w:t>
            </w:r>
            <w:r>
              <w:rPr>
                <w:sz w:val="20"/>
              </w:rPr>
              <w:t>K04.1,</w:t>
            </w:r>
            <w:r>
              <w:rPr>
                <w:spacing w:val="-4"/>
                <w:sz w:val="20"/>
              </w:rPr>
              <w:t> </w:t>
            </w:r>
            <w:r>
              <w:rPr>
                <w:sz w:val="20"/>
              </w:rPr>
              <w:t>K04.2,</w:t>
            </w:r>
            <w:r>
              <w:rPr>
                <w:spacing w:val="-5"/>
                <w:sz w:val="20"/>
              </w:rPr>
              <w:t> </w:t>
            </w:r>
            <w:r>
              <w:rPr>
                <w:sz w:val="20"/>
              </w:rPr>
              <w:t>K04.3,</w:t>
            </w:r>
            <w:r>
              <w:rPr>
                <w:spacing w:val="-5"/>
                <w:sz w:val="20"/>
              </w:rPr>
              <w:t> </w:t>
            </w:r>
            <w:r>
              <w:rPr>
                <w:spacing w:val="-2"/>
                <w:sz w:val="20"/>
              </w:rPr>
              <w:t>K04.4,</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937"/>
              <w:jc w:val="right"/>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6"/>
                <w:sz w:val="20"/>
              </w:rPr>
              <w:t> </w:t>
            </w:r>
            <w:r>
              <w:rPr>
                <w:sz w:val="20"/>
              </w:rPr>
              <w:t>K04.9,</w:t>
            </w:r>
            <w:r>
              <w:rPr>
                <w:spacing w:val="-4"/>
                <w:sz w:val="20"/>
              </w:rPr>
              <w:t> </w:t>
            </w:r>
            <w:r>
              <w:rPr>
                <w:sz w:val="20"/>
              </w:rPr>
              <w:t>K05,</w:t>
            </w:r>
            <w:r>
              <w:rPr>
                <w:spacing w:val="-4"/>
                <w:sz w:val="20"/>
              </w:rPr>
              <w:t> </w:t>
            </w:r>
            <w:r>
              <w:rPr>
                <w:spacing w:val="-2"/>
                <w:sz w:val="20"/>
              </w:rPr>
              <w:t>K05.0,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K05.1,</w:t>
            </w:r>
            <w:r>
              <w:rPr>
                <w:spacing w:val="-5"/>
                <w:sz w:val="20"/>
              </w:rPr>
              <w:t> </w:t>
            </w:r>
            <w:r>
              <w:rPr>
                <w:sz w:val="20"/>
              </w:rPr>
              <w:t>K05.2,</w:t>
            </w:r>
            <w:r>
              <w:rPr>
                <w:spacing w:val="-5"/>
                <w:sz w:val="20"/>
              </w:rPr>
              <w:t> </w:t>
            </w:r>
            <w:r>
              <w:rPr>
                <w:sz w:val="20"/>
              </w:rPr>
              <w:t>K05.3,</w:t>
            </w:r>
            <w:r>
              <w:rPr>
                <w:spacing w:val="-4"/>
                <w:sz w:val="20"/>
              </w:rPr>
              <w:t> </w:t>
            </w:r>
            <w:r>
              <w:rPr>
                <w:sz w:val="20"/>
              </w:rPr>
              <w:t>K05.4,</w:t>
            </w:r>
            <w:r>
              <w:rPr>
                <w:spacing w:val="-6"/>
                <w:sz w:val="20"/>
              </w:rPr>
              <w:t> </w:t>
            </w:r>
            <w:r>
              <w:rPr>
                <w:sz w:val="20"/>
              </w:rPr>
              <w:t>K05.5,</w:t>
            </w:r>
            <w:r>
              <w:rPr>
                <w:spacing w:val="-4"/>
                <w:sz w:val="20"/>
              </w:rPr>
              <w:t> </w:t>
            </w:r>
            <w:r>
              <w:rPr>
                <w:sz w:val="20"/>
              </w:rPr>
              <w:t>K05.6,</w:t>
            </w:r>
            <w:r>
              <w:rPr>
                <w:spacing w:val="-6"/>
                <w:sz w:val="20"/>
              </w:rPr>
              <w:t> </w:t>
            </w:r>
            <w:r>
              <w:rPr>
                <w:spacing w:val="-4"/>
                <w:sz w:val="20"/>
              </w:rPr>
              <w:t>K06,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left="570"/>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1" w:lineRule="exact"/>
              <w:ind w:right="937"/>
              <w:jc w:val="right"/>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5"/>
              <w:jc w:val="right"/>
              <w:rPr>
                <w:sz w:val="20"/>
              </w:rPr>
            </w:pPr>
            <w:r>
              <w:rPr>
                <w:sz w:val="20"/>
              </w:rPr>
              <w:t>K08.8,</w:t>
            </w:r>
            <w:r>
              <w:rPr>
                <w:spacing w:val="-5"/>
                <w:sz w:val="20"/>
              </w:rPr>
              <w:t> </w:t>
            </w:r>
            <w:r>
              <w:rPr>
                <w:sz w:val="20"/>
              </w:rPr>
              <w:t>K08.9,</w:t>
            </w:r>
            <w:r>
              <w:rPr>
                <w:spacing w:val="-7"/>
                <w:sz w:val="20"/>
              </w:rPr>
              <w:t> </w:t>
            </w:r>
            <w:r>
              <w:rPr>
                <w:sz w:val="20"/>
              </w:rPr>
              <w:t>K09,</w:t>
            </w:r>
            <w:r>
              <w:rPr>
                <w:spacing w:val="-5"/>
                <w:sz w:val="20"/>
              </w:rPr>
              <w:t> </w:t>
            </w:r>
            <w:r>
              <w:rPr>
                <w:sz w:val="20"/>
              </w:rPr>
              <w:t>K09.0,</w:t>
            </w:r>
            <w:r>
              <w:rPr>
                <w:spacing w:val="-5"/>
                <w:sz w:val="20"/>
              </w:rPr>
              <w:t> </w:t>
            </w:r>
            <w:r>
              <w:rPr>
                <w:sz w:val="20"/>
              </w:rPr>
              <w:t>K09.1,</w:t>
            </w:r>
            <w:r>
              <w:rPr>
                <w:spacing w:val="-5"/>
                <w:sz w:val="20"/>
              </w:rPr>
              <w:t> </w:t>
            </w:r>
            <w:r>
              <w:rPr>
                <w:sz w:val="20"/>
              </w:rPr>
              <w:t>K09.2,</w:t>
            </w:r>
            <w:r>
              <w:rPr>
                <w:spacing w:val="-5"/>
                <w:sz w:val="20"/>
              </w:rPr>
              <w:t> </w:t>
            </w:r>
            <w:r>
              <w:rPr>
                <w:spacing w:val="-2"/>
                <w:sz w:val="20"/>
              </w:rPr>
              <w:t>K09.8,</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937"/>
              <w:jc w:val="right"/>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K11.5,</w:t>
            </w:r>
            <w:r>
              <w:rPr>
                <w:spacing w:val="-4"/>
                <w:sz w:val="20"/>
              </w:rPr>
              <w:t> </w:t>
            </w:r>
            <w:r>
              <w:rPr>
                <w:sz w:val="20"/>
              </w:rPr>
              <w:t>K11.6,</w:t>
            </w:r>
            <w:r>
              <w:rPr>
                <w:spacing w:val="-6"/>
                <w:sz w:val="20"/>
              </w:rPr>
              <w:t> </w:t>
            </w:r>
            <w:r>
              <w:rPr>
                <w:sz w:val="20"/>
              </w:rPr>
              <w:t>K11.7,</w:t>
            </w:r>
            <w:r>
              <w:rPr>
                <w:spacing w:val="-4"/>
                <w:sz w:val="20"/>
              </w:rPr>
              <w:t> </w:t>
            </w:r>
            <w:r>
              <w:rPr>
                <w:sz w:val="20"/>
              </w:rPr>
              <w:t>K11.8,</w:t>
            </w:r>
            <w:r>
              <w:rPr>
                <w:spacing w:val="-6"/>
                <w:sz w:val="20"/>
              </w:rPr>
              <w:t> </w:t>
            </w:r>
            <w:r>
              <w:rPr>
                <w:sz w:val="20"/>
              </w:rPr>
              <w:t>K11.9,</w:t>
            </w:r>
            <w:r>
              <w:rPr>
                <w:spacing w:val="-4"/>
                <w:sz w:val="20"/>
              </w:rPr>
              <w:t> </w:t>
            </w:r>
            <w:r>
              <w:rPr>
                <w:sz w:val="20"/>
              </w:rPr>
              <w:t>K12,</w:t>
            </w:r>
            <w:r>
              <w:rPr>
                <w:spacing w:val="-4"/>
                <w:sz w:val="20"/>
              </w:rPr>
              <w:t> </w:t>
            </w:r>
            <w:r>
              <w:rPr>
                <w:spacing w:val="-2"/>
                <w:sz w:val="20"/>
              </w:rPr>
              <w:t>K12.0,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1"/>
              <w:jc w:val="right"/>
              <w:rPr>
                <w:sz w:val="20"/>
              </w:rPr>
            </w:pPr>
            <w:r>
              <w:rPr>
                <w:sz w:val="20"/>
              </w:rPr>
              <w:t>K13.3,</w:t>
            </w:r>
            <w:r>
              <w:rPr>
                <w:spacing w:val="-4"/>
                <w:sz w:val="20"/>
              </w:rPr>
              <w:t> </w:t>
            </w:r>
            <w:r>
              <w:rPr>
                <w:sz w:val="20"/>
              </w:rPr>
              <w:t>K13.4,</w:t>
            </w:r>
            <w:r>
              <w:rPr>
                <w:spacing w:val="-5"/>
                <w:sz w:val="20"/>
              </w:rPr>
              <w:t> </w:t>
            </w:r>
            <w:r>
              <w:rPr>
                <w:sz w:val="20"/>
              </w:rPr>
              <w:t>K13.5,</w:t>
            </w:r>
            <w:r>
              <w:rPr>
                <w:spacing w:val="-3"/>
                <w:sz w:val="20"/>
              </w:rPr>
              <w:t> </w:t>
            </w:r>
            <w:r>
              <w:rPr>
                <w:sz w:val="20"/>
              </w:rPr>
              <w:t>K13.6,</w:t>
            </w:r>
            <w:r>
              <w:rPr>
                <w:spacing w:val="-5"/>
                <w:sz w:val="20"/>
              </w:rPr>
              <w:t> </w:t>
            </w:r>
            <w:r>
              <w:rPr>
                <w:sz w:val="20"/>
              </w:rPr>
              <w:t>K13.7,</w:t>
            </w:r>
            <w:r>
              <w:rPr>
                <w:spacing w:val="-3"/>
                <w:sz w:val="20"/>
              </w:rPr>
              <w:t> </w:t>
            </w:r>
            <w:r>
              <w:rPr>
                <w:sz w:val="20"/>
              </w:rPr>
              <w:t>K14,</w:t>
            </w:r>
            <w:r>
              <w:rPr>
                <w:spacing w:val="-4"/>
                <w:sz w:val="20"/>
              </w:rPr>
              <w:t> </w:t>
            </w:r>
            <w:r>
              <w:rPr>
                <w:spacing w:val="-2"/>
                <w:sz w:val="20"/>
              </w:rPr>
              <w:t>K14.0,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left="570"/>
              <w:rPr>
                <w:sz w:val="20"/>
              </w:rPr>
            </w:pPr>
            <w:r>
              <w:rPr>
                <w:sz w:val="20"/>
              </w:rPr>
              <w:t>K14.1,</w:t>
            </w:r>
            <w:r>
              <w:rPr>
                <w:spacing w:val="-4"/>
                <w:sz w:val="20"/>
              </w:rPr>
              <w:t> </w:t>
            </w:r>
            <w:r>
              <w:rPr>
                <w:sz w:val="20"/>
              </w:rPr>
              <w:t>K14.2,</w:t>
            </w:r>
            <w:r>
              <w:rPr>
                <w:spacing w:val="-6"/>
                <w:sz w:val="20"/>
              </w:rPr>
              <w:t> </w:t>
            </w:r>
            <w:r>
              <w:rPr>
                <w:sz w:val="20"/>
              </w:rPr>
              <w:t>K14.3,</w:t>
            </w:r>
            <w:r>
              <w:rPr>
                <w:spacing w:val="-4"/>
                <w:sz w:val="20"/>
              </w:rPr>
              <w:t> </w:t>
            </w:r>
            <w:r>
              <w:rPr>
                <w:sz w:val="20"/>
              </w:rPr>
              <w:t>K14.4,</w:t>
            </w:r>
            <w:r>
              <w:rPr>
                <w:spacing w:val="-6"/>
                <w:sz w:val="20"/>
              </w:rPr>
              <w:t> </w:t>
            </w:r>
            <w:r>
              <w:rPr>
                <w:sz w:val="20"/>
              </w:rPr>
              <w:t>K14.5,</w:t>
            </w:r>
            <w:r>
              <w:rPr>
                <w:spacing w:val="-4"/>
                <w:sz w:val="20"/>
              </w:rPr>
              <w:t> </w:t>
            </w:r>
            <w:r>
              <w:rPr>
                <w:spacing w:val="-2"/>
                <w:sz w:val="20"/>
              </w:rPr>
              <w:t>K14.6,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left="570"/>
              <w:rPr>
                <w:sz w:val="20"/>
              </w:rPr>
            </w:pPr>
            <w:r>
              <w:rPr>
                <w:sz w:val="20"/>
              </w:rPr>
              <w:t>K14.8,</w:t>
            </w:r>
            <w:r>
              <w:rPr>
                <w:spacing w:val="-4"/>
                <w:sz w:val="20"/>
              </w:rPr>
              <w:t> </w:t>
            </w:r>
            <w:r>
              <w:rPr>
                <w:sz w:val="20"/>
              </w:rPr>
              <w:t>K14.9,</w:t>
            </w:r>
            <w:r>
              <w:rPr>
                <w:spacing w:val="-6"/>
                <w:sz w:val="20"/>
              </w:rPr>
              <w:t> </w:t>
            </w:r>
            <w:r>
              <w:rPr>
                <w:sz w:val="20"/>
              </w:rPr>
              <w:t>Q18.3,</w:t>
            </w:r>
            <w:r>
              <w:rPr>
                <w:spacing w:val="-4"/>
                <w:sz w:val="20"/>
              </w:rPr>
              <w:t> </w:t>
            </w:r>
            <w:r>
              <w:rPr>
                <w:sz w:val="20"/>
              </w:rPr>
              <w:t>Q18.4,</w:t>
            </w:r>
            <w:r>
              <w:rPr>
                <w:spacing w:val="-6"/>
                <w:sz w:val="20"/>
              </w:rPr>
              <w:t> </w:t>
            </w:r>
            <w:r>
              <w:rPr>
                <w:sz w:val="20"/>
              </w:rPr>
              <w:t>Q18.5,</w:t>
            </w:r>
            <w:r>
              <w:rPr>
                <w:spacing w:val="-4"/>
                <w:sz w:val="20"/>
              </w:rPr>
              <w:t> </w:t>
            </w:r>
            <w:r>
              <w:rPr>
                <w:spacing w:val="-2"/>
                <w:sz w:val="20"/>
              </w:rPr>
              <w:t>Q18.6,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left="423"/>
              <w:rPr>
                <w:sz w:val="20"/>
              </w:rPr>
            </w:pPr>
            <w:r>
              <w:rPr>
                <w:sz w:val="20"/>
              </w:rPr>
              <w:t>Q35.7,</w:t>
            </w:r>
            <w:r>
              <w:rPr>
                <w:spacing w:val="-6"/>
                <w:sz w:val="20"/>
              </w:rPr>
              <w:t> </w:t>
            </w:r>
            <w:r>
              <w:rPr>
                <w:sz w:val="20"/>
              </w:rPr>
              <w:t>Q35.9,</w:t>
            </w:r>
            <w:r>
              <w:rPr>
                <w:spacing w:val="-7"/>
                <w:sz w:val="20"/>
              </w:rPr>
              <w:t> </w:t>
            </w:r>
            <w:r>
              <w:rPr>
                <w:sz w:val="20"/>
              </w:rPr>
              <w:t>Q36,</w:t>
            </w:r>
            <w:r>
              <w:rPr>
                <w:spacing w:val="-5"/>
                <w:sz w:val="20"/>
              </w:rPr>
              <w:t> </w:t>
            </w:r>
            <w:r>
              <w:rPr>
                <w:sz w:val="20"/>
              </w:rPr>
              <w:t>Q36.0,</w:t>
            </w:r>
            <w:r>
              <w:rPr>
                <w:spacing w:val="-5"/>
                <w:sz w:val="20"/>
              </w:rPr>
              <w:t> </w:t>
            </w:r>
            <w:r>
              <w:rPr>
                <w:sz w:val="20"/>
              </w:rPr>
              <w:t>Q36.1,</w:t>
            </w:r>
            <w:r>
              <w:rPr>
                <w:spacing w:val="-5"/>
                <w:sz w:val="20"/>
              </w:rPr>
              <w:t> </w:t>
            </w:r>
            <w:r>
              <w:rPr>
                <w:sz w:val="20"/>
              </w:rPr>
              <w:t>Q36.9,</w:t>
            </w:r>
            <w:r>
              <w:rPr>
                <w:spacing w:val="-6"/>
                <w:sz w:val="20"/>
              </w:rPr>
              <w:t> </w:t>
            </w:r>
            <w:r>
              <w:rPr>
                <w:spacing w:val="-4"/>
                <w:sz w:val="20"/>
              </w:rPr>
              <w:t>Q37,</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1" w:lineRule="exact"/>
              <w:ind w:left="570"/>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1" w:lineRule="exact"/>
              <w:ind w:right="933"/>
              <w:jc w:val="right"/>
              <w:rPr>
                <w:sz w:val="20"/>
              </w:rPr>
            </w:pPr>
            <w:r>
              <w:rPr>
                <w:sz w:val="20"/>
              </w:rPr>
              <w:t>Q37.8,</w:t>
            </w:r>
            <w:r>
              <w:rPr>
                <w:spacing w:val="-5"/>
                <w:sz w:val="20"/>
              </w:rPr>
              <w:t> </w:t>
            </w:r>
            <w:r>
              <w:rPr>
                <w:sz w:val="20"/>
              </w:rPr>
              <w:t>Q37.9,</w:t>
            </w:r>
            <w:r>
              <w:rPr>
                <w:spacing w:val="-6"/>
                <w:sz w:val="20"/>
              </w:rPr>
              <w:t> </w:t>
            </w:r>
            <w:r>
              <w:rPr>
                <w:sz w:val="20"/>
              </w:rPr>
              <w:t>Q38,</w:t>
            </w:r>
            <w:r>
              <w:rPr>
                <w:spacing w:val="-5"/>
                <w:sz w:val="20"/>
              </w:rPr>
              <w:t> </w:t>
            </w:r>
            <w:r>
              <w:rPr>
                <w:sz w:val="20"/>
              </w:rPr>
              <w:t>Q38.0,</w:t>
            </w:r>
            <w:r>
              <w:rPr>
                <w:spacing w:val="-5"/>
                <w:sz w:val="20"/>
              </w:rPr>
              <w:t> </w:t>
            </w:r>
            <w:r>
              <w:rPr>
                <w:sz w:val="20"/>
              </w:rPr>
              <w:t>Q38.1,</w:t>
            </w:r>
            <w:r>
              <w:rPr>
                <w:spacing w:val="-4"/>
                <w:sz w:val="20"/>
              </w:rPr>
              <w:t> </w:t>
            </w:r>
            <w:r>
              <w:rPr>
                <w:sz w:val="20"/>
              </w:rPr>
              <w:t>Q38.2,</w:t>
            </w:r>
            <w:r>
              <w:rPr>
                <w:spacing w:val="-5"/>
                <w:sz w:val="20"/>
              </w:rPr>
              <w:t> </w:t>
            </w:r>
            <w:r>
              <w:rPr>
                <w:spacing w:val="-2"/>
                <w:sz w:val="20"/>
              </w:rPr>
              <w:t>Q38.3,</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894"/>
              <w:jc w:val="right"/>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left="519"/>
              <w:rPr>
                <w:sz w:val="20"/>
              </w:rPr>
            </w:pPr>
            <w:r>
              <w:rPr>
                <w:sz w:val="20"/>
              </w:rPr>
              <w:t>S01.5,</w:t>
            </w:r>
            <w:r>
              <w:rPr>
                <w:spacing w:val="-6"/>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04"/>
              <w:jc w:val="right"/>
              <w:rPr>
                <w:sz w:val="20"/>
              </w:rPr>
            </w:pPr>
            <w:r>
              <w:rPr>
                <w:sz w:val="20"/>
              </w:rPr>
              <w:t>S02.51,</w:t>
            </w:r>
            <w:r>
              <w:rPr>
                <w:spacing w:val="-6"/>
                <w:sz w:val="20"/>
              </w:rPr>
              <w:t> </w:t>
            </w:r>
            <w:r>
              <w:rPr>
                <w:sz w:val="20"/>
              </w:rPr>
              <w:t>S02.6,</w:t>
            </w:r>
            <w:r>
              <w:rPr>
                <w:spacing w:val="-7"/>
                <w:sz w:val="20"/>
              </w:rPr>
              <w:t> </w:t>
            </w:r>
            <w:r>
              <w:rPr>
                <w:sz w:val="20"/>
              </w:rPr>
              <w:t>S02.60,</w:t>
            </w:r>
            <w:r>
              <w:rPr>
                <w:spacing w:val="-5"/>
                <w:sz w:val="20"/>
              </w:rPr>
              <w:t> </w:t>
            </w:r>
            <w:r>
              <w:rPr>
                <w:sz w:val="20"/>
              </w:rPr>
              <w:t>S02.61,</w:t>
            </w:r>
            <w:r>
              <w:rPr>
                <w:spacing w:val="-5"/>
                <w:sz w:val="20"/>
              </w:rPr>
              <w:t> </w:t>
            </w:r>
            <w:r>
              <w:rPr>
                <w:sz w:val="20"/>
              </w:rPr>
              <w:t>S03,</w:t>
            </w:r>
            <w:r>
              <w:rPr>
                <w:spacing w:val="-5"/>
                <w:sz w:val="20"/>
              </w:rPr>
              <w:t> </w:t>
            </w:r>
            <w:r>
              <w:rPr>
                <w:sz w:val="20"/>
              </w:rPr>
              <w:t>S03.0,</w:t>
            </w:r>
            <w:r>
              <w:rPr>
                <w:spacing w:val="-6"/>
                <w:sz w:val="20"/>
              </w:rPr>
              <w:t> </w:t>
            </w:r>
            <w:r>
              <w:rPr>
                <w:spacing w:val="-2"/>
                <w:sz w:val="20"/>
              </w:rPr>
              <w:t>S03.1,</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26" w:lineRule="exact"/>
              <w:ind w:left="1256"/>
              <w:rPr>
                <w:sz w:val="20"/>
              </w:rPr>
            </w:pPr>
            <w:r>
              <w:rPr>
                <w:sz w:val="20"/>
              </w:rPr>
              <w:t>S03.2,</w:t>
            </w:r>
            <w:r>
              <w:rPr>
                <w:spacing w:val="-5"/>
                <w:sz w:val="20"/>
              </w:rPr>
              <w:t> </w:t>
            </w:r>
            <w:r>
              <w:rPr>
                <w:sz w:val="20"/>
              </w:rPr>
              <w:t>S03.3,</w:t>
            </w:r>
            <w:r>
              <w:rPr>
                <w:spacing w:val="-5"/>
                <w:sz w:val="20"/>
              </w:rPr>
              <w:t> </w:t>
            </w:r>
            <w:r>
              <w:rPr>
                <w:sz w:val="20"/>
              </w:rPr>
              <w:t>S03.4,</w:t>
            </w:r>
            <w:r>
              <w:rPr>
                <w:spacing w:val="-5"/>
                <w:sz w:val="20"/>
              </w:rPr>
              <w:t> </w:t>
            </w:r>
            <w:r>
              <w:rPr>
                <w:spacing w:val="-4"/>
                <w:sz w:val="20"/>
              </w:rPr>
              <w:t>S03.5</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330" w:hRule="atLeast"/>
        </w:trPr>
        <w:tc>
          <w:tcPr>
            <w:tcW w:w="978" w:type="dxa"/>
          </w:tcPr>
          <w:p>
            <w:pPr>
              <w:pStyle w:val="TableParagraph"/>
              <w:spacing w:before="45"/>
              <w:ind w:left="39" w:right="186"/>
              <w:jc w:val="center"/>
              <w:rPr>
                <w:sz w:val="20"/>
              </w:rPr>
            </w:pPr>
            <w:r>
              <w:rPr>
                <w:spacing w:val="-4"/>
                <w:sz w:val="20"/>
              </w:rPr>
              <w:t>ds27</w:t>
            </w:r>
          </w:p>
        </w:tc>
        <w:tc>
          <w:tcPr>
            <w:tcW w:w="696" w:type="dxa"/>
          </w:tcPr>
          <w:p>
            <w:pPr>
              <w:pStyle w:val="TableParagraph"/>
              <w:spacing w:before="45"/>
              <w:ind w:left="250"/>
              <w:rPr>
                <w:sz w:val="20"/>
              </w:rPr>
            </w:pPr>
            <w:r>
              <w:rPr>
                <w:spacing w:val="-5"/>
                <w:sz w:val="20"/>
              </w:rPr>
              <w:t>27</w:t>
            </w:r>
          </w:p>
        </w:tc>
        <w:tc>
          <w:tcPr>
            <w:tcW w:w="2391" w:type="dxa"/>
          </w:tcPr>
          <w:p>
            <w:pPr>
              <w:pStyle w:val="TableParagraph"/>
              <w:rPr>
                <w:sz w:val="18"/>
              </w:rPr>
            </w:pPr>
          </w:p>
        </w:tc>
        <w:tc>
          <w:tcPr>
            <w:tcW w:w="5244" w:type="dxa"/>
          </w:tcPr>
          <w:p>
            <w:pPr>
              <w:pStyle w:val="TableParagraph"/>
              <w:spacing w:before="45"/>
              <w:ind w:right="932"/>
              <w:jc w:val="right"/>
              <w:rPr>
                <w:sz w:val="20"/>
              </w:rPr>
            </w:pPr>
            <w:r>
              <w:rPr>
                <w:spacing w:val="-2"/>
                <w:sz w:val="20"/>
              </w:rPr>
              <w:t>Терапия</w:t>
            </w:r>
          </w:p>
        </w:tc>
        <w:tc>
          <w:tcPr>
            <w:tcW w:w="2400" w:type="dxa"/>
          </w:tcPr>
          <w:p>
            <w:pPr>
              <w:pStyle w:val="TableParagraph"/>
              <w:rPr>
                <w:sz w:val="18"/>
              </w:rPr>
            </w:pPr>
          </w:p>
        </w:tc>
        <w:tc>
          <w:tcPr>
            <w:tcW w:w="2326" w:type="dxa"/>
          </w:tcPr>
          <w:p>
            <w:pPr>
              <w:pStyle w:val="TableParagraph"/>
              <w:rPr>
                <w:sz w:val="18"/>
              </w:rPr>
            </w:pPr>
          </w:p>
        </w:tc>
        <w:tc>
          <w:tcPr>
            <w:tcW w:w="1261" w:type="dxa"/>
          </w:tcPr>
          <w:p>
            <w:pPr>
              <w:pStyle w:val="TableParagraph"/>
              <w:spacing w:before="45"/>
              <w:ind w:right="48"/>
              <w:jc w:val="right"/>
              <w:rPr>
                <w:sz w:val="20"/>
              </w:rPr>
            </w:pPr>
            <w:r>
              <w:rPr>
                <w:spacing w:val="-4"/>
                <w:sz w:val="20"/>
              </w:rPr>
              <w:t>0,74</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ds27.001</w:t>
            </w:r>
          </w:p>
        </w:tc>
        <w:tc>
          <w:tcPr>
            <w:tcW w:w="696" w:type="dxa"/>
          </w:tcPr>
          <w:p>
            <w:pPr>
              <w:pStyle w:val="TableParagraph"/>
              <w:spacing w:line="215" w:lineRule="exact" w:before="46"/>
              <w:ind w:left="200"/>
              <w:rPr>
                <w:sz w:val="20"/>
              </w:rPr>
            </w:pPr>
            <w:r>
              <w:rPr>
                <w:spacing w:val="-5"/>
                <w:sz w:val="20"/>
              </w:rPr>
              <w:t>123</w:t>
            </w:r>
          </w:p>
        </w:tc>
        <w:tc>
          <w:tcPr>
            <w:tcW w:w="2391" w:type="dxa"/>
          </w:tcPr>
          <w:p>
            <w:pPr>
              <w:pStyle w:val="TableParagraph"/>
              <w:spacing w:line="215" w:lineRule="exact" w:before="46"/>
              <w:ind w:left="193"/>
              <w:rPr>
                <w:sz w:val="20"/>
              </w:rPr>
            </w:pPr>
            <w:r>
              <w:rPr>
                <w:sz w:val="20"/>
              </w:rPr>
              <w:t>Отравления</w:t>
            </w:r>
            <w:r>
              <w:rPr>
                <w:spacing w:val="-8"/>
                <w:sz w:val="20"/>
              </w:rPr>
              <w:t> </w:t>
            </w:r>
            <w:r>
              <w:rPr>
                <w:sz w:val="20"/>
              </w:rPr>
              <w:t>и</w:t>
            </w:r>
            <w:r>
              <w:rPr>
                <w:spacing w:val="-8"/>
                <w:sz w:val="20"/>
              </w:rPr>
              <w:t> </w:t>
            </w:r>
            <w:r>
              <w:rPr>
                <w:spacing w:val="-2"/>
                <w:sz w:val="20"/>
              </w:rPr>
              <w:t>другие</w:t>
            </w:r>
          </w:p>
        </w:tc>
        <w:tc>
          <w:tcPr>
            <w:tcW w:w="5244" w:type="dxa"/>
          </w:tcPr>
          <w:p>
            <w:pPr>
              <w:pStyle w:val="TableParagraph"/>
              <w:spacing w:line="215" w:lineRule="exact" w:before="46"/>
              <w:ind w:right="992"/>
              <w:jc w:val="right"/>
              <w:rPr>
                <w:sz w:val="20"/>
              </w:rPr>
            </w:pPr>
            <w:r>
              <w:rPr>
                <w:sz w:val="20"/>
              </w:rPr>
              <w:t>R50.2,</w:t>
            </w:r>
            <w:r>
              <w:rPr>
                <w:spacing w:val="-5"/>
                <w:sz w:val="20"/>
              </w:rPr>
              <w:t> </w:t>
            </w:r>
            <w:r>
              <w:rPr>
                <w:sz w:val="20"/>
              </w:rPr>
              <w:t>R57.1,</w:t>
            </w:r>
            <w:r>
              <w:rPr>
                <w:spacing w:val="-4"/>
                <w:sz w:val="20"/>
              </w:rPr>
              <w:t> </w:t>
            </w:r>
            <w:r>
              <w:rPr>
                <w:sz w:val="20"/>
              </w:rPr>
              <w:t>R57.8,</w:t>
            </w:r>
            <w:r>
              <w:rPr>
                <w:spacing w:val="-4"/>
                <w:sz w:val="20"/>
              </w:rPr>
              <w:t> </w:t>
            </w:r>
            <w:r>
              <w:rPr>
                <w:sz w:val="20"/>
              </w:rPr>
              <w:t>R57.9,</w:t>
            </w:r>
            <w:r>
              <w:rPr>
                <w:spacing w:val="-7"/>
                <w:sz w:val="20"/>
              </w:rPr>
              <w:t> </w:t>
            </w:r>
            <w:r>
              <w:rPr>
                <w:sz w:val="20"/>
              </w:rPr>
              <w:t>T36,</w:t>
            </w:r>
            <w:r>
              <w:rPr>
                <w:spacing w:val="-6"/>
                <w:sz w:val="20"/>
              </w:rPr>
              <w:t> </w:t>
            </w:r>
            <w:r>
              <w:rPr>
                <w:sz w:val="20"/>
              </w:rPr>
              <w:t>T36.0,</w:t>
            </w:r>
            <w:r>
              <w:rPr>
                <w:spacing w:val="-8"/>
                <w:sz w:val="20"/>
              </w:rPr>
              <w:t> </w:t>
            </w:r>
            <w:r>
              <w:rPr>
                <w:spacing w:val="-2"/>
                <w:sz w:val="20"/>
              </w:rPr>
              <w:t>T36.1,</w:t>
            </w:r>
          </w:p>
        </w:tc>
        <w:tc>
          <w:tcPr>
            <w:tcW w:w="2400" w:type="dxa"/>
          </w:tcPr>
          <w:p>
            <w:pPr>
              <w:pStyle w:val="TableParagraph"/>
              <w:spacing w:line="215" w:lineRule="exact" w:before="46"/>
              <w:ind w:right="466"/>
              <w:jc w:val="center"/>
              <w:rPr>
                <w:sz w:val="20"/>
              </w:rPr>
            </w:pPr>
            <w:r>
              <w:rPr>
                <w:w w:val="99"/>
                <w:sz w:val="20"/>
              </w:rPr>
              <w:t>-</w:t>
            </w:r>
          </w:p>
        </w:tc>
        <w:tc>
          <w:tcPr>
            <w:tcW w:w="2326" w:type="dxa"/>
          </w:tcPr>
          <w:p>
            <w:pPr>
              <w:pStyle w:val="TableParagraph"/>
              <w:spacing w:line="215" w:lineRule="exact" w:before="46"/>
              <w:ind w:left="538"/>
              <w:jc w:val="center"/>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0,74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spacing w:line="210" w:lineRule="exact"/>
              <w:ind w:left="193"/>
              <w:rPr>
                <w:sz w:val="20"/>
              </w:rPr>
            </w:pPr>
            <w:r>
              <w:rPr>
                <w:sz w:val="20"/>
              </w:rPr>
              <w:t>воздействия</w:t>
            </w:r>
            <w:r>
              <w:rPr>
                <w:spacing w:val="-13"/>
                <w:sz w:val="20"/>
              </w:rPr>
              <w:t> </w:t>
            </w:r>
            <w:r>
              <w:rPr>
                <w:spacing w:val="-2"/>
                <w:sz w:val="20"/>
              </w:rPr>
              <w:t>внешних</w:t>
            </w:r>
          </w:p>
        </w:tc>
        <w:tc>
          <w:tcPr>
            <w:tcW w:w="5244" w:type="dxa"/>
          </w:tcPr>
          <w:p>
            <w:pPr>
              <w:pStyle w:val="TableParagraph"/>
              <w:spacing w:line="210" w:lineRule="exact"/>
              <w:ind w:right="937"/>
              <w:jc w:val="right"/>
              <w:rPr>
                <w:sz w:val="20"/>
              </w:rPr>
            </w:pPr>
            <w:r>
              <w:rPr>
                <w:sz w:val="20"/>
              </w:rPr>
              <w:t>T36.2,</w:t>
            </w:r>
            <w:r>
              <w:rPr>
                <w:spacing w:val="-7"/>
                <w:sz w:val="20"/>
              </w:rPr>
              <w:t> </w:t>
            </w:r>
            <w:r>
              <w:rPr>
                <w:sz w:val="20"/>
              </w:rPr>
              <w:t>T36.3,</w:t>
            </w:r>
            <w:r>
              <w:rPr>
                <w:spacing w:val="-5"/>
                <w:sz w:val="20"/>
              </w:rPr>
              <w:t> </w:t>
            </w:r>
            <w:r>
              <w:rPr>
                <w:sz w:val="20"/>
              </w:rPr>
              <w:t>T36.4,</w:t>
            </w:r>
            <w:r>
              <w:rPr>
                <w:spacing w:val="-5"/>
                <w:sz w:val="20"/>
              </w:rPr>
              <w:t> </w:t>
            </w:r>
            <w:r>
              <w:rPr>
                <w:sz w:val="20"/>
              </w:rPr>
              <w:t>T36.5,</w:t>
            </w:r>
            <w:r>
              <w:rPr>
                <w:spacing w:val="-5"/>
                <w:sz w:val="20"/>
              </w:rPr>
              <w:t> </w:t>
            </w:r>
            <w:r>
              <w:rPr>
                <w:sz w:val="20"/>
              </w:rPr>
              <w:t>T36.6,</w:t>
            </w:r>
            <w:r>
              <w:rPr>
                <w:spacing w:val="-5"/>
                <w:sz w:val="20"/>
              </w:rPr>
              <w:t> </w:t>
            </w:r>
            <w:r>
              <w:rPr>
                <w:sz w:val="20"/>
              </w:rPr>
              <w:t>T36.7,</w:t>
            </w:r>
            <w:r>
              <w:rPr>
                <w:spacing w:val="-5"/>
                <w:sz w:val="20"/>
              </w:rPr>
              <w:t> </w:t>
            </w:r>
            <w:r>
              <w:rPr>
                <w:spacing w:val="-2"/>
                <w:sz w:val="20"/>
              </w:rPr>
              <w:t>T36.8,</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spacing w:line="209" w:lineRule="exact"/>
              <w:ind w:left="193"/>
              <w:rPr>
                <w:sz w:val="20"/>
              </w:rPr>
            </w:pPr>
            <w:r>
              <w:rPr>
                <w:spacing w:val="-2"/>
                <w:sz w:val="20"/>
              </w:rPr>
              <w:t>причин</w:t>
            </w:r>
          </w:p>
        </w:tc>
        <w:tc>
          <w:tcPr>
            <w:tcW w:w="5244" w:type="dxa"/>
          </w:tcPr>
          <w:p>
            <w:pPr>
              <w:pStyle w:val="TableParagraph"/>
              <w:spacing w:line="209" w:lineRule="exact"/>
              <w:ind w:left="426"/>
              <w:rPr>
                <w:sz w:val="20"/>
              </w:rPr>
            </w:pPr>
            <w:r>
              <w:rPr>
                <w:sz w:val="20"/>
              </w:rPr>
              <w:t>T36.9,</w:t>
            </w:r>
            <w:r>
              <w:rPr>
                <w:spacing w:val="-7"/>
                <w:sz w:val="20"/>
              </w:rPr>
              <w:t> </w:t>
            </w:r>
            <w:r>
              <w:rPr>
                <w:sz w:val="20"/>
              </w:rPr>
              <w:t>T37,</w:t>
            </w:r>
            <w:r>
              <w:rPr>
                <w:spacing w:val="-7"/>
                <w:sz w:val="20"/>
              </w:rPr>
              <w:t> </w:t>
            </w:r>
            <w:r>
              <w:rPr>
                <w:sz w:val="20"/>
              </w:rPr>
              <w:t>T37.0,</w:t>
            </w:r>
            <w:r>
              <w:rPr>
                <w:spacing w:val="-4"/>
                <w:sz w:val="20"/>
              </w:rPr>
              <w:t> </w:t>
            </w:r>
            <w:r>
              <w:rPr>
                <w:sz w:val="20"/>
              </w:rPr>
              <w:t>T37.1,</w:t>
            </w:r>
            <w:r>
              <w:rPr>
                <w:spacing w:val="-5"/>
                <w:sz w:val="20"/>
              </w:rPr>
              <w:t> </w:t>
            </w:r>
            <w:r>
              <w:rPr>
                <w:sz w:val="20"/>
              </w:rPr>
              <w:t>T37.2,</w:t>
            </w:r>
            <w:r>
              <w:rPr>
                <w:spacing w:val="-5"/>
                <w:sz w:val="20"/>
              </w:rPr>
              <w:t> </w:t>
            </w:r>
            <w:r>
              <w:rPr>
                <w:sz w:val="20"/>
              </w:rPr>
              <w:t>T37.3,</w:t>
            </w:r>
            <w:r>
              <w:rPr>
                <w:spacing w:val="-4"/>
                <w:sz w:val="20"/>
              </w:rPr>
              <w:t> </w:t>
            </w:r>
            <w:r>
              <w:rPr>
                <w:spacing w:val="-2"/>
                <w:sz w:val="20"/>
              </w:rPr>
              <w:t>T37.4,</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9" w:lineRule="exact"/>
              <w:ind w:left="426"/>
              <w:rPr>
                <w:sz w:val="20"/>
              </w:rPr>
            </w:pPr>
            <w:r>
              <w:rPr>
                <w:sz w:val="20"/>
              </w:rPr>
              <w:t>T37.5,</w:t>
            </w:r>
            <w:r>
              <w:rPr>
                <w:spacing w:val="-7"/>
                <w:sz w:val="20"/>
              </w:rPr>
              <w:t> </w:t>
            </w:r>
            <w:r>
              <w:rPr>
                <w:sz w:val="20"/>
              </w:rPr>
              <w:t>T37.8,</w:t>
            </w:r>
            <w:r>
              <w:rPr>
                <w:spacing w:val="-5"/>
                <w:sz w:val="20"/>
              </w:rPr>
              <w:t> </w:t>
            </w:r>
            <w:r>
              <w:rPr>
                <w:sz w:val="20"/>
              </w:rPr>
              <w:t>T37.9,</w:t>
            </w:r>
            <w:r>
              <w:rPr>
                <w:spacing w:val="-5"/>
                <w:sz w:val="20"/>
              </w:rPr>
              <w:t> </w:t>
            </w:r>
            <w:r>
              <w:rPr>
                <w:sz w:val="20"/>
              </w:rPr>
              <w:t>T38,</w:t>
            </w:r>
            <w:r>
              <w:rPr>
                <w:spacing w:val="-5"/>
                <w:sz w:val="20"/>
              </w:rPr>
              <w:t> </w:t>
            </w:r>
            <w:r>
              <w:rPr>
                <w:sz w:val="20"/>
              </w:rPr>
              <w:t>T38.0,</w:t>
            </w:r>
            <w:r>
              <w:rPr>
                <w:spacing w:val="-5"/>
                <w:sz w:val="20"/>
              </w:rPr>
              <w:t> </w:t>
            </w:r>
            <w:r>
              <w:rPr>
                <w:sz w:val="20"/>
              </w:rPr>
              <w:t>T38.1,</w:t>
            </w:r>
            <w:r>
              <w:rPr>
                <w:spacing w:val="-5"/>
                <w:sz w:val="20"/>
              </w:rPr>
              <w:t> </w:t>
            </w:r>
            <w:r>
              <w:rPr>
                <w:spacing w:val="-2"/>
                <w:sz w:val="20"/>
              </w:rPr>
              <w:t>T38.2,</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1" w:lineRule="exact"/>
              <w:ind w:right="937"/>
              <w:jc w:val="right"/>
              <w:rPr>
                <w:sz w:val="20"/>
              </w:rPr>
            </w:pPr>
            <w:r>
              <w:rPr>
                <w:sz w:val="20"/>
              </w:rPr>
              <w:t>T38.3,</w:t>
            </w:r>
            <w:r>
              <w:rPr>
                <w:spacing w:val="-7"/>
                <w:sz w:val="20"/>
              </w:rPr>
              <w:t> </w:t>
            </w:r>
            <w:r>
              <w:rPr>
                <w:sz w:val="20"/>
              </w:rPr>
              <w:t>T38.4,</w:t>
            </w:r>
            <w:r>
              <w:rPr>
                <w:spacing w:val="-5"/>
                <w:sz w:val="20"/>
              </w:rPr>
              <w:t> </w:t>
            </w:r>
            <w:r>
              <w:rPr>
                <w:sz w:val="20"/>
              </w:rPr>
              <w:t>T38.5,</w:t>
            </w:r>
            <w:r>
              <w:rPr>
                <w:spacing w:val="-5"/>
                <w:sz w:val="20"/>
              </w:rPr>
              <w:t> </w:t>
            </w:r>
            <w:r>
              <w:rPr>
                <w:sz w:val="20"/>
              </w:rPr>
              <w:t>T38.6,</w:t>
            </w:r>
            <w:r>
              <w:rPr>
                <w:spacing w:val="-5"/>
                <w:sz w:val="20"/>
              </w:rPr>
              <w:t> </w:t>
            </w:r>
            <w:r>
              <w:rPr>
                <w:sz w:val="20"/>
              </w:rPr>
              <w:t>T38.7,</w:t>
            </w:r>
            <w:r>
              <w:rPr>
                <w:spacing w:val="-5"/>
                <w:sz w:val="20"/>
              </w:rPr>
              <w:t> </w:t>
            </w:r>
            <w:r>
              <w:rPr>
                <w:sz w:val="20"/>
              </w:rPr>
              <w:t>T38.8,</w:t>
            </w:r>
            <w:r>
              <w:rPr>
                <w:spacing w:val="-5"/>
                <w:sz w:val="20"/>
              </w:rPr>
              <w:t> </w:t>
            </w:r>
            <w:r>
              <w:rPr>
                <w:spacing w:val="-2"/>
                <w:sz w:val="20"/>
              </w:rPr>
              <w:t>T38.9,</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T39,</w:t>
            </w:r>
            <w:r>
              <w:rPr>
                <w:spacing w:val="-6"/>
                <w:sz w:val="20"/>
              </w:rPr>
              <w:t> </w:t>
            </w:r>
            <w:r>
              <w:rPr>
                <w:sz w:val="20"/>
              </w:rPr>
              <w:t>T39.0,</w:t>
            </w:r>
            <w:r>
              <w:rPr>
                <w:spacing w:val="-7"/>
                <w:sz w:val="20"/>
              </w:rPr>
              <w:t> </w:t>
            </w:r>
            <w:r>
              <w:rPr>
                <w:sz w:val="20"/>
              </w:rPr>
              <w:t>T39.1,</w:t>
            </w:r>
            <w:r>
              <w:rPr>
                <w:spacing w:val="-5"/>
                <w:sz w:val="20"/>
              </w:rPr>
              <w:t> </w:t>
            </w:r>
            <w:r>
              <w:rPr>
                <w:sz w:val="20"/>
              </w:rPr>
              <w:t>T39.2,</w:t>
            </w:r>
            <w:r>
              <w:rPr>
                <w:spacing w:val="-5"/>
                <w:sz w:val="20"/>
              </w:rPr>
              <w:t> </w:t>
            </w:r>
            <w:r>
              <w:rPr>
                <w:sz w:val="20"/>
              </w:rPr>
              <w:t>T39.3,</w:t>
            </w:r>
            <w:r>
              <w:rPr>
                <w:spacing w:val="-5"/>
                <w:sz w:val="20"/>
              </w:rPr>
              <w:t> </w:t>
            </w:r>
            <w:r>
              <w:rPr>
                <w:sz w:val="20"/>
              </w:rPr>
              <w:t>T39.4,</w:t>
            </w:r>
            <w:r>
              <w:rPr>
                <w:spacing w:val="-5"/>
                <w:sz w:val="20"/>
              </w:rPr>
              <w:t> </w:t>
            </w:r>
            <w:r>
              <w:rPr>
                <w:spacing w:val="-2"/>
                <w:sz w:val="20"/>
              </w:rPr>
              <w:t>T39.8,</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T39.9,</w:t>
            </w:r>
            <w:r>
              <w:rPr>
                <w:spacing w:val="-7"/>
                <w:sz w:val="20"/>
              </w:rPr>
              <w:t> </w:t>
            </w:r>
            <w:r>
              <w:rPr>
                <w:sz w:val="20"/>
              </w:rPr>
              <w:t>T40,</w:t>
            </w:r>
            <w:r>
              <w:rPr>
                <w:spacing w:val="-7"/>
                <w:sz w:val="20"/>
              </w:rPr>
              <w:t> </w:t>
            </w:r>
            <w:r>
              <w:rPr>
                <w:sz w:val="20"/>
              </w:rPr>
              <w:t>T40.0,</w:t>
            </w:r>
            <w:r>
              <w:rPr>
                <w:spacing w:val="-4"/>
                <w:sz w:val="20"/>
              </w:rPr>
              <w:t> </w:t>
            </w:r>
            <w:r>
              <w:rPr>
                <w:sz w:val="20"/>
              </w:rPr>
              <w:t>T40.1,</w:t>
            </w:r>
            <w:r>
              <w:rPr>
                <w:spacing w:val="-5"/>
                <w:sz w:val="20"/>
              </w:rPr>
              <w:t> </w:t>
            </w:r>
            <w:r>
              <w:rPr>
                <w:sz w:val="20"/>
              </w:rPr>
              <w:t>T40.2,</w:t>
            </w:r>
            <w:r>
              <w:rPr>
                <w:spacing w:val="-5"/>
                <w:sz w:val="20"/>
              </w:rPr>
              <w:t> </w:t>
            </w:r>
            <w:r>
              <w:rPr>
                <w:sz w:val="20"/>
              </w:rPr>
              <w:t>T40.3,</w:t>
            </w:r>
            <w:r>
              <w:rPr>
                <w:spacing w:val="-4"/>
                <w:sz w:val="20"/>
              </w:rPr>
              <w:t> </w:t>
            </w:r>
            <w:r>
              <w:rPr>
                <w:spacing w:val="-2"/>
                <w:sz w:val="20"/>
              </w:rPr>
              <w:t>T40.4,</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T40.5,</w:t>
            </w:r>
            <w:r>
              <w:rPr>
                <w:spacing w:val="-7"/>
                <w:sz w:val="20"/>
              </w:rPr>
              <w:t> </w:t>
            </w:r>
            <w:r>
              <w:rPr>
                <w:sz w:val="20"/>
              </w:rPr>
              <w:t>T40.6,</w:t>
            </w:r>
            <w:r>
              <w:rPr>
                <w:spacing w:val="-4"/>
                <w:sz w:val="20"/>
              </w:rPr>
              <w:t> </w:t>
            </w:r>
            <w:r>
              <w:rPr>
                <w:sz w:val="20"/>
              </w:rPr>
              <w:t>T40.7,</w:t>
            </w:r>
            <w:r>
              <w:rPr>
                <w:spacing w:val="-5"/>
                <w:sz w:val="20"/>
              </w:rPr>
              <w:t> </w:t>
            </w:r>
            <w:r>
              <w:rPr>
                <w:sz w:val="20"/>
              </w:rPr>
              <w:t>T40.8,</w:t>
            </w:r>
            <w:r>
              <w:rPr>
                <w:spacing w:val="-4"/>
                <w:sz w:val="20"/>
              </w:rPr>
              <w:t> </w:t>
            </w:r>
            <w:r>
              <w:rPr>
                <w:sz w:val="20"/>
              </w:rPr>
              <w:t>T40.9,</w:t>
            </w:r>
            <w:r>
              <w:rPr>
                <w:spacing w:val="-5"/>
                <w:sz w:val="20"/>
              </w:rPr>
              <w:t> </w:t>
            </w:r>
            <w:r>
              <w:rPr>
                <w:sz w:val="20"/>
              </w:rPr>
              <w:t>T41,</w:t>
            </w:r>
            <w:r>
              <w:rPr>
                <w:spacing w:val="-6"/>
                <w:sz w:val="20"/>
              </w:rPr>
              <w:t> </w:t>
            </w:r>
            <w:r>
              <w:rPr>
                <w:spacing w:val="-2"/>
                <w:sz w:val="20"/>
              </w:rPr>
              <w:t>T41.0,</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9" w:lineRule="exact"/>
              <w:ind w:left="426"/>
              <w:rPr>
                <w:sz w:val="20"/>
              </w:rPr>
            </w:pPr>
            <w:r>
              <w:rPr>
                <w:sz w:val="20"/>
              </w:rPr>
              <w:t>T41.1,</w:t>
            </w:r>
            <w:r>
              <w:rPr>
                <w:spacing w:val="-7"/>
                <w:sz w:val="20"/>
              </w:rPr>
              <w:t> </w:t>
            </w:r>
            <w:r>
              <w:rPr>
                <w:sz w:val="20"/>
              </w:rPr>
              <w:t>T41.2,</w:t>
            </w:r>
            <w:r>
              <w:rPr>
                <w:spacing w:val="-4"/>
                <w:sz w:val="20"/>
              </w:rPr>
              <w:t> </w:t>
            </w:r>
            <w:r>
              <w:rPr>
                <w:sz w:val="20"/>
              </w:rPr>
              <w:t>T41.3,</w:t>
            </w:r>
            <w:r>
              <w:rPr>
                <w:spacing w:val="-5"/>
                <w:sz w:val="20"/>
              </w:rPr>
              <w:t> </w:t>
            </w:r>
            <w:r>
              <w:rPr>
                <w:sz w:val="20"/>
              </w:rPr>
              <w:t>T41.4,</w:t>
            </w:r>
            <w:r>
              <w:rPr>
                <w:spacing w:val="-4"/>
                <w:sz w:val="20"/>
              </w:rPr>
              <w:t> </w:t>
            </w:r>
            <w:r>
              <w:rPr>
                <w:sz w:val="20"/>
              </w:rPr>
              <w:t>T41.5,</w:t>
            </w:r>
            <w:r>
              <w:rPr>
                <w:spacing w:val="-5"/>
                <w:sz w:val="20"/>
              </w:rPr>
              <w:t> </w:t>
            </w:r>
            <w:r>
              <w:rPr>
                <w:sz w:val="20"/>
              </w:rPr>
              <w:t>T42,</w:t>
            </w:r>
            <w:r>
              <w:rPr>
                <w:spacing w:val="-6"/>
                <w:sz w:val="20"/>
              </w:rPr>
              <w:t> </w:t>
            </w:r>
            <w:r>
              <w:rPr>
                <w:spacing w:val="-2"/>
                <w:sz w:val="20"/>
              </w:rPr>
              <w:t>T42.0,</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9" w:lineRule="exact"/>
              <w:ind w:right="935"/>
              <w:jc w:val="right"/>
              <w:rPr>
                <w:sz w:val="20"/>
              </w:rPr>
            </w:pPr>
            <w:r>
              <w:rPr>
                <w:sz w:val="20"/>
              </w:rPr>
              <w:t>T42.1,</w:t>
            </w:r>
            <w:r>
              <w:rPr>
                <w:spacing w:val="-7"/>
                <w:sz w:val="20"/>
              </w:rPr>
              <w:t> </w:t>
            </w:r>
            <w:r>
              <w:rPr>
                <w:sz w:val="20"/>
              </w:rPr>
              <w:t>T42.2,</w:t>
            </w:r>
            <w:r>
              <w:rPr>
                <w:spacing w:val="-5"/>
                <w:sz w:val="20"/>
              </w:rPr>
              <w:t> </w:t>
            </w:r>
            <w:r>
              <w:rPr>
                <w:sz w:val="20"/>
              </w:rPr>
              <w:t>T42.3,</w:t>
            </w:r>
            <w:r>
              <w:rPr>
                <w:spacing w:val="-2"/>
                <w:sz w:val="20"/>
              </w:rPr>
              <w:t> </w:t>
            </w:r>
            <w:r>
              <w:rPr>
                <w:sz w:val="20"/>
              </w:rPr>
              <w:t>T42.4,</w:t>
            </w:r>
            <w:r>
              <w:rPr>
                <w:spacing w:val="-5"/>
                <w:sz w:val="20"/>
              </w:rPr>
              <w:t> </w:t>
            </w:r>
            <w:r>
              <w:rPr>
                <w:sz w:val="20"/>
              </w:rPr>
              <w:t>T42.5,</w:t>
            </w:r>
            <w:r>
              <w:rPr>
                <w:spacing w:val="-5"/>
                <w:sz w:val="20"/>
              </w:rPr>
              <w:t> </w:t>
            </w:r>
            <w:r>
              <w:rPr>
                <w:sz w:val="20"/>
              </w:rPr>
              <w:t>T42.6,</w:t>
            </w:r>
            <w:r>
              <w:rPr>
                <w:spacing w:val="-5"/>
                <w:sz w:val="20"/>
              </w:rPr>
              <w:t> </w:t>
            </w:r>
            <w:r>
              <w:rPr>
                <w:spacing w:val="-2"/>
                <w:sz w:val="20"/>
              </w:rPr>
              <w:t>T42.7,</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T42.8,</w:t>
            </w:r>
            <w:r>
              <w:rPr>
                <w:spacing w:val="-7"/>
                <w:sz w:val="20"/>
              </w:rPr>
              <w:t> </w:t>
            </w:r>
            <w:r>
              <w:rPr>
                <w:sz w:val="20"/>
              </w:rPr>
              <w:t>T43,</w:t>
            </w:r>
            <w:r>
              <w:rPr>
                <w:spacing w:val="-7"/>
                <w:sz w:val="20"/>
              </w:rPr>
              <w:t> </w:t>
            </w:r>
            <w:r>
              <w:rPr>
                <w:sz w:val="20"/>
              </w:rPr>
              <w:t>T43.0,</w:t>
            </w:r>
            <w:r>
              <w:rPr>
                <w:spacing w:val="-4"/>
                <w:sz w:val="20"/>
              </w:rPr>
              <w:t> </w:t>
            </w:r>
            <w:r>
              <w:rPr>
                <w:sz w:val="20"/>
              </w:rPr>
              <w:t>T43.1,</w:t>
            </w:r>
            <w:r>
              <w:rPr>
                <w:spacing w:val="-5"/>
                <w:sz w:val="20"/>
              </w:rPr>
              <w:t> </w:t>
            </w:r>
            <w:r>
              <w:rPr>
                <w:sz w:val="20"/>
              </w:rPr>
              <w:t>T43.2,</w:t>
            </w:r>
            <w:r>
              <w:rPr>
                <w:spacing w:val="-5"/>
                <w:sz w:val="20"/>
              </w:rPr>
              <w:t> </w:t>
            </w:r>
            <w:r>
              <w:rPr>
                <w:sz w:val="20"/>
              </w:rPr>
              <w:t>T43.3,</w:t>
            </w:r>
            <w:r>
              <w:rPr>
                <w:spacing w:val="-4"/>
                <w:sz w:val="20"/>
              </w:rPr>
              <w:t> </w:t>
            </w:r>
            <w:r>
              <w:rPr>
                <w:spacing w:val="-2"/>
                <w:sz w:val="20"/>
              </w:rPr>
              <w:t>T43.4,</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5" w:lineRule="exact"/>
              <w:ind w:left="426"/>
              <w:rPr>
                <w:sz w:val="20"/>
              </w:rPr>
            </w:pPr>
            <w:r>
              <w:rPr>
                <w:sz w:val="20"/>
              </w:rPr>
              <w:t>T43.5,</w:t>
            </w:r>
            <w:r>
              <w:rPr>
                <w:spacing w:val="-7"/>
                <w:sz w:val="20"/>
              </w:rPr>
              <w:t> </w:t>
            </w:r>
            <w:r>
              <w:rPr>
                <w:sz w:val="20"/>
              </w:rPr>
              <w:t>T43.6,</w:t>
            </w:r>
            <w:r>
              <w:rPr>
                <w:spacing w:val="-4"/>
                <w:sz w:val="20"/>
              </w:rPr>
              <w:t> </w:t>
            </w:r>
            <w:r>
              <w:rPr>
                <w:sz w:val="20"/>
              </w:rPr>
              <w:t>T43.8,</w:t>
            </w:r>
            <w:r>
              <w:rPr>
                <w:spacing w:val="-5"/>
                <w:sz w:val="20"/>
              </w:rPr>
              <w:t> </w:t>
            </w:r>
            <w:r>
              <w:rPr>
                <w:sz w:val="20"/>
              </w:rPr>
              <w:t>T43.9,</w:t>
            </w:r>
            <w:r>
              <w:rPr>
                <w:spacing w:val="-4"/>
                <w:sz w:val="20"/>
              </w:rPr>
              <w:t> </w:t>
            </w:r>
            <w:r>
              <w:rPr>
                <w:sz w:val="20"/>
              </w:rPr>
              <w:t>T44,</w:t>
            </w:r>
            <w:r>
              <w:rPr>
                <w:spacing w:val="-5"/>
                <w:sz w:val="20"/>
              </w:rPr>
              <w:t> </w:t>
            </w:r>
            <w:r>
              <w:rPr>
                <w:sz w:val="20"/>
              </w:rPr>
              <w:t>T44.0,</w:t>
            </w:r>
            <w:r>
              <w:rPr>
                <w:spacing w:val="-6"/>
                <w:sz w:val="20"/>
              </w:rPr>
              <w:t> </w:t>
            </w:r>
            <w:r>
              <w:rPr>
                <w:spacing w:val="-2"/>
                <w:sz w:val="20"/>
              </w:rPr>
              <w:t>T44.1,</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7" w:right="0" w:firstLine="0"/>
        <w:jc w:val="left"/>
        <w:rPr>
          <w:sz w:val="20"/>
        </w:rPr>
      </w:pPr>
      <w:r>
        <w:rPr>
          <w:sz w:val="20"/>
        </w:rPr>
        <w:t>T44.2,</w:t>
      </w:r>
      <w:r>
        <w:rPr>
          <w:spacing w:val="-7"/>
          <w:sz w:val="20"/>
        </w:rPr>
        <w:t> </w:t>
      </w:r>
      <w:r>
        <w:rPr>
          <w:sz w:val="20"/>
        </w:rPr>
        <w:t>T44.3,</w:t>
      </w:r>
      <w:r>
        <w:rPr>
          <w:spacing w:val="-5"/>
          <w:sz w:val="20"/>
        </w:rPr>
        <w:t> </w:t>
      </w:r>
      <w:r>
        <w:rPr>
          <w:sz w:val="20"/>
        </w:rPr>
        <w:t>T44.4,</w:t>
      </w:r>
      <w:r>
        <w:rPr>
          <w:spacing w:val="-5"/>
          <w:sz w:val="20"/>
        </w:rPr>
        <w:t> </w:t>
      </w:r>
      <w:r>
        <w:rPr>
          <w:sz w:val="20"/>
        </w:rPr>
        <w:t>T44.5,</w:t>
      </w:r>
      <w:r>
        <w:rPr>
          <w:spacing w:val="-5"/>
          <w:sz w:val="20"/>
        </w:rPr>
        <w:t> </w:t>
      </w:r>
      <w:r>
        <w:rPr>
          <w:sz w:val="20"/>
        </w:rPr>
        <w:t>T44.6,</w:t>
      </w:r>
      <w:r>
        <w:rPr>
          <w:spacing w:val="-5"/>
          <w:sz w:val="20"/>
        </w:rPr>
        <w:t> </w:t>
      </w:r>
      <w:r>
        <w:rPr>
          <w:sz w:val="20"/>
        </w:rPr>
        <w:t>T44.7,</w:t>
      </w:r>
      <w:r>
        <w:rPr>
          <w:spacing w:val="-5"/>
          <w:sz w:val="20"/>
        </w:rPr>
        <w:t> </w:t>
      </w:r>
      <w:r>
        <w:rPr>
          <w:spacing w:val="-2"/>
          <w:sz w:val="20"/>
        </w:rPr>
        <w:t>T44.8,</w:t>
      </w:r>
    </w:p>
    <w:p>
      <w:pPr>
        <w:spacing w:line="229" w:lineRule="exact" w:before="1"/>
        <w:ind w:left="4681" w:right="0" w:firstLine="0"/>
        <w:jc w:val="left"/>
        <w:rPr>
          <w:sz w:val="20"/>
        </w:rPr>
      </w:pPr>
      <w:r>
        <w:rPr>
          <w:sz w:val="20"/>
        </w:rPr>
        <w:t>T44.9,</w:t>
      </w:r>
      <w:r>
        <w:rPr>
          <w:spacing w:val="-7"/>
          <w:sz w:val="20"/>
        </w:rPr>
        <w:t> </w:t>
      </w:r>
      <w:r>
        <w:rPr>
          <w:sz w:val="20"/>
        </w:rPr>
        <w:t>T45,</w:t>
      </w:r>
      <w:r>
        <w:rPr>
          <w:spacing w:val="-7"/>
          <w:sz w:val="20"/>
        </w:rPr>
        <w:t> </w:t>
      </w:r>
      <w:r>
        <w:rPr>
          <w:sz w:val="20"/>
        </w:rPr>
        <w:t>T45.0,</w:t>
      </w:r>
      <w:r>
        <w:rPr>
          <w:spacing w:val="-4"/>
          <w:sz w:val="20"/>
        </w:rPr>
        <w:t> </w:t>
      </w:r>
      <w:r>
        <w:rPr>
          <w:sz w:val="20"/>
        </w:rPr>
        <w:t>T45.1,</w:t>
      </w:r>
      <w:r>
        <w:rPr>
          <w:spacing w:val="-5"/>
          <w:sz w:val="20"/>
        </w:rPr>
        <w:t> </w:t>
      </w:r>
      <w:r>
        <w:rPr>
          <w:sz w:val="20"/>
        </w:rPr>
        <w:t>T45.2,</w:t>
      </w:r>
      <w:r>
        <w:rPr>
          <w:spacing w:val="-5"/>
          <w:sz w:val="20"/>
        </w:rPr>
        <w:t> </w:t>
      </w:r>
      <w:r>
        <w:rPr>
          <w:sz w:val="20"/>
        </w:rPr>
        <w:t>T45.3,</w:t>
      </w:r>
      <w:r>
        <w:rPr>
          <w:spacing w:val="-4"/>
          <w:sz w:val="20"/>
        </w:rPr>
        <w:t> </w:t>
      </w:r>
      <w:r>
        <w:rPr>
          <w:spacing w:val="-2"/>
          <w:sz w:val="20"/>
        </w:rPr>
        <w:t>T45.4,</w:t>
      </w:r>
    </w:p>
    <w:p>
      <w:pPr>
        <w:spacing w:line="229" w:lineRule="exact" w:before="0"/>
        <w:ind w:left="4681" w:right="0" w:firstLine="0"/>
        <w:jc w:val="left"/>
        <w:rPr>
          <w:sz w:val="20"/>
        </w:rPr>
      </w:pPr>
      <w:r>
        <w:rPr>
          <w:sz w:val="20"/>
        </w:rPr>
        <w:t>T45.5,</w:t>
      </w:r>
      <w:r>
        <w:rPr>
          <w:spacing w:val="-6"/>
          <w:sz w:val="20"/>
        </w:rPr>
        <w:t> </w:t>
      </w:r>
      <w:r>
        <w:rPr>
          <w:sz w:val="20"/>
        </w:rPr>
        <w:t>T45.6,</w:t>
      </w:r>
      <w:r>
        <w:rPr>
          <w:spacing w:val="-4"/>
          <w:sz w:val="20"/>
        </w:rPr>
        <w:t> </w:t>
      </w:r>
      <w:r>
        <w:rPr>
          <w:sz w:val="20"/>
        </w:rPr>
        <w:t>T45.7,</w:t>
      </w:r>
      <w:r>
        <w:rPr>
          <w:spacing w:val="-3"/>
          <w:sz w:val="20"/>
        </w:rPr>
        <w:t> </w:t>
      </w:r>
      <w:r>
        <w:rPr>
          <w:sz w:val="20"/>
        </w:rPr>
        <w:t>T45.8,</w:t>
      </w:r>
      <w:r>
        <w:rPr>
          <w:spacing w:val="-4"/>
          <w:sz w:val="20"/>
        </w:rPr>
        <w:t> </w:t>
      </w:r>
      <w:r>
        <w:rPr>
          <w:sz w:val="20"/>
        </w:rPr>
        <w:t>T45.9,</w:t>
      </w:r>
      <w:r>
        <w:rPr>
          <w:spacing w:val="-4"/>
          <w:sz w:val="20"/>
        </w:rPr>
        <w:t> </w:t>
      </w:r>
      <w:r>
        <w:rPr>
          <w:sz w:val="20"/>
        </w:rPr>
        <w:t>T46,</w:t>
      </w:r>
      <w:r>
        <w:rPr>
          <w:spacing w:val="-5"/>
          <w:sz w:val="20"/>
        </w:rPr>
        <w:t> </w:t>
      </w:r>
      <w:r>
        <w:rPr>
          <w:spacing w:val="-2"/>
          <w:sz w:val="20"/>
        </w:rPr>
        <w:t>T46.0,</w:t>
      </w:r>
    </w:p>
    <w:p>
      <w:pPr>
        <w:spacing w:before="0"/>
        <w:ind w:left="4607" w:right="0" w:firstLine="0"/>
        <w:jc w:val="left"/>
        <w:rPr>
          <w:sz w:val="20"/>
        </w:rPr>
      </w:pPr>
      <w:r>
        <w:rPr>
          <w:sz w:val="20"/>
        </w:rPr>
        <w:t>T46.1,</w:t>
      </w:r>
      <w:r>
        <w:rPr>
          <w:spacing w:val="-7"/>
          <w:sz w:val="20"/>
        </w:rPr>
        <w:t> </w:t>
      </w:r>
      <w:r>
        <w:rPr>
          <w:sz w:val="20"/>
        </w:rPr>
        <w:t>T46.2,</w:t>
      </w:r>
      <w:r>
        <w:rPr>
          <w:spacing w:val="-5"/>
          <w:sz w:val="20"/>
        </w:rPr>
        <w:t> </w:t>
      </w:r>
      <w:r>
        <w:rPr>
          <w:sz w:val="20"/>
        </w:rPr>
        <w:t>T46.3,</w:t>
      </w:r>
      <w:r>
        <w:rPr>
          <w:spacing w:val="-5"/>
          <w:sz w:val="20"/>
        </w:rPr>
        <w:t> </w:t>
      </w:r>
      <w:r>
        <w:rPr>
          <w:sz w:val="20"/>
        </w:rPr>
        <w:t>T46.4,</w:t>
      </w:r>
      <w:r>
        <w:rPr>
          <w:spacing w:val="-5"/>
          <w:sz w:val="20"/>
        </w:rPr>
        <w:t> </w:t>
      </w:r>
      <w:r>
        <w:rPr>
          <w:sz w:val="20"/>
        </w:rPr>
        <w:t>T46.5,</w:t>
      </w:r>
      <w:r>
        <w:rPr>
          <w:spacing w:val="-5"/>
          <w:sz w:val="20"/>
        </w:rPr>
        <w:t> </w:t>
      </w:r>
      <w:r>
        <w:rPr>
          <w:sz w:val="20"/>
        </w:rPr>
        <w:t>T46.6,</w:t>
      </w:r>
      <w:r>
        <w:rPr>
          <w:spacing w:val="-5"/>
          <w:sz w:val="20"/>
        </w:rPr>
        <w:t> </w:t>
      </w:r>
      <w:r>
        <w:rPr>
          <w:spacing w:val="-2"/>
          <w:sz w:val="20"/>
        </w:rPr>
        <w:t>T46.7,</w:t>
      </w:r>
    </w:p>
    <w:p>
      <w:pPr>
        <w:spacing w:before="1"/>
        <w:ind w:left="4681" w:right="0" w:firstLine="0"/>
        <w:jc w:val="left"/>
        <w:rPr>
          <w:sz w:val="20"/>
        </w:rPr>
      </w:pPr>
      <w:r>
        <w:rPr>
          <w:sz w:val="20"/>
        </w:rPr>
        <w:t>T46.8,</w:t>
      </w:r>
      <w:r>
        <w:rPr>
          <w:spacing w:val="-7"/>
          <w:sz w:val="20"/>
        </w:rPr>
        <w:t> </w:t>
      </w:r>
      <w:r>
        <w:rPr>
          <w:sz w:val="20"/>
        </w:rPr>
        <w:t>T46.9,</w:t>
      </w:r>
      <w:r>
        <w:rPr>
          <w:spacing w:val="-5"/>
          <w:sz w:val="20"/>
        </w:rPr>
        <w:t> </w:t>
      </w:r>
      <w:r>
        <w:rPr>
          <w:sz w:val="20"/>
        </w:rPr>
        <w:t>T47,</w:t>
      </w:r>
      <w:r>
        <w:rPr>
          <w:spacing w:val="-5"/>
          <w:sz w:val="20"/>
        </w:rPr>
        <w:t> </w:t>
      </w:r>
      <w:r>
        <w:rPr>
          <w:sz w:val="20"/>
        </w:rPr>
        <w:t>T47.0,</w:t>
      </w:r>
      <w:r>
        <w:rPr>
          <w:spacing w:val="-5"/>
          <w:sz w:val="20"/>
        </w:rPr>
        <w:t> </w:t>
      </w:r>
      <w:r>
        <w:rPr>
          <w:sz w:val="20"/>
        </w:rPr>
        <w:t>T47.1,</w:t>
      </w:r>
      <w:r>
        <w:rPr>
          <w:spacing w:val="-5"/>
          <w:sz w:val="20"/>
        </w:rPr>
        <w:t> </w:t>
      </w:r>
      <w:r>
        <w:rPr>
          <w:sz w:val="20"/>
        </w:rPr>
        <w:t>T47.2,</w:t>
      </w:r>
      <w:r>
        <w:rPr>
          <w:spacing w:val="-5"/>
          <w:sz w:val="20"/>
        </w:rPr>
        <w:t> </w:t>
      </w:r>
      <w:r>
        <w:rPr>
          <w:spacing w:val="-2"/>
          <w:sz w:val="20"/>
        </w:rPr>
        <w:t>T47.3,</w:t>
      </w:r>
    </w:p>
    <w:p>
      <w:pPr>
        <w:spacing w:before="0"/>
        <w:ind w:left="4681" w:right="0" w:firstLine="0"/>
        <w:jc w:val="left"/>
        <w:rPr>
          <w:sz w:val="20"/>
        </w:rPr>
      </w:pPr>
      <w:r>
        <w:rPr>
          <w:sz w:val="20"/>
        </w:rPr>
        <w:t>T47.4,</w:t>
      </w:r>
      <w:r>
        <w:rPr>
          <w:spacing w:val="-7"/>
          <w:sz w:val="20"/>
        </w:rPr>
        <w:t> </w:t>
      </w:r>
      <w:r>
        <w:rPr>
          <w:sz w:val="20"/>
        </w:rPr>
        <w:t>T47.5,</w:t>
      </w:r>
      <w:r>
        <w:rPr>
          <w:spacing w:val="-5"/>
          <w:sz w:val="20"/>
        </w:rPr>
        <w:t> </w:t>
      </w:r>
      <w:r>
        <w:rPr>
          <w:sz w:val="20"/>
        </w:rPr>
        <w:t>T47.6,</w:t>
      </w:r>
      <w:r>
        <w:rPr>
          <w:spacing w:val="-5"/>
          <w:sz w:val="20"/>
        </w:rPr>
        <w:t> </w:t>
      </w:r>
      <w:r>
        <w:rPr>
          <w:sz w:val="20"/>
        </w:rPr>
        <w:t>T47.7,</w:t>
      </w:r>
      <w:r>
        <w:rPr>
          <w:spacing w:val="-5"/>
          <w:sz w:val="20"/>
        </w:rPr>
        <w:t> </w:t>
      </w:r>
      <w:r>
        <w:rPr>
          <w:sz w:val="20"/>
        </w:rPr>
        <w:t>T47.8,</w:t>
      </w:r>
      <w:r>
        <w:rPr>
          <w:spacing w:val="-5"/>
          <w:sz w:val="20"/>
        </w:rPr>
        <w:t> </w:t>
      </w:r>
      <w:r>
        <w:rPr>
          <w:sz w:val="20"/>
        </w:rPr>
        <w:t>T47.9,</w:t>
      </w:r>
      <w:r>
        <w:rPr>
          <w:spacing w:val="-5"/>
          <w:sz w:val="20"/>
        </w:rPr>
        <w:t> </w:t>
      </w:r>
      <w:r>
        <w:rPr>
          <w:spacing w:val="-4"/>
          <w:sz w:val="20"/>
        </w:rPr>
        <w:t>T48,</w:t>
      </w:r>
    </w:p>
    <w:p>
      <w:pPr>
        <w:spacing w:before="0"/>
        <w:ind w:left="4607" w:right="0" w:firstLine="0"/>
        <w:jc w:val="left"/>
        <w:rPr>
          <w:sz w:val="20"/>
        </w:rPr>
      </w:pPr>
      <w:r>
        <w:rPr>
          <w:sz w:val="20"/>
        </w:rPr>
        <w:t>T48.0,</w:t>
      </w:r>
      <w:r>
        <w:rPr>
          <w:spacing w:val="-7"/>
          <w:sz w:val="20"/>
        </w:rPr>
        <w:t> </w:t>
      </w:r>
      <w:r>
        <w:rPr>
          <w:sz w:val="20"/>
        </w:rPr>
        <w:t>T48.1,</w:t>
      </w:r>
      <w:r>
        <w:rPr>
          <w:spacing w:val="-5"/>
          <w:sz w:val="20"/>
        </w:rPr>
        <w:t> </w:t>
      </w:r>
      <w:r>
        <w:rPr>
          <w:sz w:val="20"/>
        </w:rPr>
        <w:t>T48.2,</w:t>
      </w:r>
      <w:r>
        <w:rPr>
          <w:spacing w:val="-5"/>
          <w:sz w:val="20"/>
        </w:rPr>
        <w:t> </w:t>
      </w:r>
      <w:r>
        <w:rPr>
          <w:sz w:val="20"/>
        </w:rPr>
        <w:t>T48.3,</w:t>
      </w:r>
      <w:r>
        <w:rPr>
          <w:spacing w:val="-5"/>
          <w:sz w:val="20"/>
        </w:rPr>
        <w:t> </w:t>
      </w:r>
      <w:r>
        <w:rPr>
          <w:sz w:val="20"/>
        </w:rPr>
        <w:t>T48.4,</w:t>
      </w:r>
      <w:r>
        <w:rPr>
          <w:spacing w:val="-5"/>
          <w:sz w:val="20"/>
        </w:rPr>
        <w:t> </w:t>
      </w:r>
      <w:r>
        <w:rPr>
          <w:sz w:val="20"/>
        </w:rPr>
        <w:t>T48.5,</w:t>
      </w:r>
      <w:r>
        <w:rPr>
          <w:spacing w:val="-5"/>
          <w:sz w:val="20"/>
        </w:rPr>
        <w:t> </w:t>
      </w:r>
      <w:r>
        <w:rPr>
          <w:spacing w:val="-2"/>
          <w:sz w:val="20"/>
        </w:rPr>
        <w:t>T48.6,</w:t>
      </w:r>
    </w:p>
    <w:p>
      <w:pPr>
        <w:spacing w:line="229" w:lineRule="exact" w:before="1"/>
        <w:ind w:left="4681" w:right="0" w:firstLine="0"/>
        <w:jc w:val="left"/>
        <w:rPr>
          <w:sz w:val="20"/>
        </w:rPr>
      </w:pPr>
      <w:r>
        <w:rPr>
          <w:sz w:val="20"/>
        </w:rPr>
        <w:t>T48.7,</w:t>
      </w:r>
      <w:r>
        <w:rPr>
          <w:spacing w:val="-7"/>
          <w:sz w:val="20"/>
        </w:rPr>
        <w:t> </w:t>
      </w:r>
      <w:r>
        <w:rPr>
          <w:sz w:val="20"/>
        </w:rPr>
        <w:t>T49,</w:t>
      </w:r>
      <w:r>
        <w:rPr>
          <w:spacing w:val="-7"/>
          <w:sz w:val="20"/>
        </w:rPr>
        <w:t> </w:t>
      </w:r>
      <w:r>
        <w:rPr>
          <w:sz w:val="20"/>
        </w:rPr>
        <w:t>T49.0,</w:t>
      </w:r>
      <w:r>
        <w:rPr>
          <w:spacing w:val="-4"/>
          <w:sz w:val="20"/>
        </w:rPr>
        <w:t> </w:t>
      </w:r>
      <w:r>
        <w:rPr>
          <w:sz w:val="20"/>
        </w:rPr>
        <w:t>T49.1,</w:t>
      </w:r>
      <w:r>
        <w:rPr>
          <w:spacing w:val="-5"/>
          <w:sz w:val="20"/>
        </w:rPr>
        <w:t> </w:t>
      </w:r>
      <w:r>
        <w:rPr>
          <w:sz w:val="20"/>
        </w:rPr>
        <w:t>T49.2,</w:t>
      </w:r>
      <w:r>
        <w:rPr>
          <w:spacing w:val="-5"/>
          <w:sz w:val="20"/>
        </w:rPr>
        <w:t> </w:t>
      </w:r>
      <w:r>
        <w:rPr>
          <w:sz w:val="20"/>
        </w:rPr>
        <w:t>T49.3,</w:t>
      </w:r>
      <w:r>
        <w:rPr>
          <w:spacing w:val="-4"/>
          <w:sz w:val="20"/>
        </w:rPr>
        <w:t> </w:t>
      </w:r>
      <w:r>
        <w:rPr>
          <w:spacing w:val="-2"/>
          <w:sz w:val="20"/>
        </w:rPr>
        <w:t>T49.4,</w:t>
      </w:r>
    </w:p>
    <w:p>
      <w:pPr>
        <w:spacing w:line="229" w:lineRule="exact" w:before="0"/>
        <w:ind w:left="4681" w:right="0" w:firstLine="0"/>
        <w:jc w:val="left"/>
        <w:rPr>
          <w:sz w:val="20"/>
        </w:rPr>
      </w:pPr>
      <w:r>
        <w:rPr>
          <w:sz w:val="20"/>
        </w:rPr>
        <w:t>T49.5,</w:t>
      </w:r>
      <w:r>
        <w:rPr>
          <w:spacing w:val="-7"/>
          <w:sz w:val="20"/>
        </w:rPr>
        <w:t> </w:t>
      </w:r>
      <w:r>
        <w:rPr>
          <w:sz w:val="20"/>
        </w:rPr>
        <w:t>T49.6,</w:t>
      </w:r>
      <w:r>
        <w:rPr>
          <w:spacing w:val="-4"/>
          <w:sz w:val="20"/>
        </w:rPr>
        <w:t> </w:t>
      </w:r>
      <w:r>
        <w:rPr>
          <w:sz w:val="20"/>
        </w:rPr>
        <w:t>T49.7,</w:t>
      </w:r>
      <w:r>
        <w:rPr>
          <w:spacing w:val="-5"/>
          <w:sz w:val="20"/>
        </w:rPr>
        <w:t> </w:t>
      </w:r>
      <w:r>
        <w:rPr>
          <w:sz w:val="20"/>
        </w:rPr>
        <w:t>T49.8,</w:t>
      </w:r>
      <w:r>
        <w:rPr>
          <w:spacing w:val="-4"/>
          <w:sz w:val="20"/>
        </w:rPr>
        <w:t> </w:t>
      </w:r>
      <w:r>
        <w:rPr>
          <w:sz w:val="20"/>
        </w:rPr>
        <w:t>T49.9,</w:t>
      </w:r>
      <w:r>
        <w:rPr>
          <w:spacing w:val="-5"/>
          <w:sz w:val="20"/>
        </w:rPr>
        <w:t> </w:t>
      </w:r>
      <w:r>
        <w:rPr>
          <w:sz w:val="20"/>
        </w:rPr>
        <w:t>T50,</w:t>
      </w:r>
      <w:r>
        <w:rPr>
          <w:spacing w:val="-6"/>
          <w:sz w:val="20"/>
        </w:rPr>
        <w:t> </w:t>
      </w:r>
      <w:r>
        <w:rPr>
          <w:spacing w:val="-2"/>
          <w:sz w:val="20"/>
        </w:rPr>
        <w:t>T50.0,</w:t>
      </w:r>
    </w:p>
    <w:p>
      <w:pPr>
        <w:spacing w:before="1"/>
        <w:ind w:left="4607" w:right="0" w:firstLine="0"/>
        <w:jc w:val="left"/>
        <w:rPr>
          <w:sz w:val="20"/>
        </w:rPr>
      </w:pPr>
      <w:r>
        <w:rPr>
          <w:sz w:val="20"/>
        </w:rPr>
        <w:t>T50.1,</w:t>
      </w:r>
      <w:r>
        <w:rPr>
          <w:spacing w:val="-7"/>
          <w:sz w:val="20"/>
        </w:rPr>
        <w:t> </w:t>
      </w:r>
      <w:r>
        <w:rPr>
          <w:sz w:val="20"/>
        </w:rPr>
        <w:t>T50.2,</w:t>
      </w:r>
      <w:r>
        <w:rPr>
          <w:spacing w:val="-5"/>
          <w:sz w:val="20"/>
        </w:rPr>
        <w:t> </w:t>
      </w:r>
      <w:r>
        <w:rPr>
          <w:sz w:val="20"/>
        </w:rPr>
        <w:t>T50.3,</w:t>
      </w:r>
      <w:r>
        <w:rPr>
          <w:spacing w:val="-5"/>
          <w:sz w:val="20"/>
        </w:rPr>
        <w:t> </w:t>
      </w:r>
      <w:r>
        <w:rPr>
          <w:sz w:val="20"/>
        </w:rPr>
        <w:t>T50.4,</w:t>
      </w:r>
      <w:r>
        <w:rPr>
          <w:spacing w:val="-5"/>
          <w:sz w:val="20"/>
        </w:rPr>
        <w:t> </w:t>
      </w:r>
      <w:r>
        <w:rPr>
          <w:sz w:val="20"/>
        </w:rPr>
        <w:t>T50.5,</w:t>
      </w:r>
      <w:r>
        <w:rPr>
          <w:spacing w:val="-5"/>
          <w:sz w:val="20"/>
        </w:rPr>
        <w:t> </w:t>
      </w:r>
      <w:r>
        <w:rPr>
          <w:sz w:val="20"/>
        </w:rPr>
        <w:t>T50.6,</w:t>
      </w:r>
      <w:r>
        <w:rPr>
          <w:spacing w:val="-5"/>
          <w:sz w:val="20"/>
        </w:rPr>
        <w:t> </w:t>
      </w:r>
      <w:r>
        <w:rPr>
          <w:spacing w:val="-2"/>
          <w:sz w:val="20"/>
        </w:rPr>
        <w:t>T50.7,</w:t>
      </w:r>
    </w:p>
    <w:p>
      <w:pPr>
        <w:spacing w:before="0"/>
        <w:ind w:left="4681" w:right="0" w:firstLine="0"/>
        <w:jc w:val="left"/>
        <w:rPr>
          <w:sz w:val="20"/>
        </w:rPr>
      </w:pPr>
      <w:r>
        <w:rPr>
          <w:sz w:val="20"/>
        </w:rPr>
        <w:t>T50.8,</w:t>
      </w:r>
      <w:r>
        <w:rPr>
          <w:spacing w:val="-7"/>
          <w:sz w:val="20"/>
        </w:rPr>
        <w:t> </w:t>
      </w:r>
      <w:r>
        <w:rPr>
          <w:sz w:val="20"/>
        </w:rPr>
        <w:t>T50.9,</w:t>
      </w:r>
      <w:r>
        <w:rPr>
          <w:spacing w:val="-5"/>
          <w:sz w:val="20"/>
        </w:rPr>
        <w:t> </w:t>
      </w:r>
      <w:r>
        <w:rPr>
          <w:sz w:val="20"/>
        </w:rPr>
        <w:t>T51,</w:t>
      </w:r>
      <w:r>
        <w:rPr>
          <w:spacing w:val="-5"/>
          <w:sz w:val="20"/>
        </w:rPr>
        <w:t> </w:t>
      </w:r>
      <w:r>
        <w:rPr>
          <w:sz w:val="20"/>
        </w:rPr>
        <w:t>T51.0,</w:t>
      </w:r>
      <w:r>
        <w:rPr>
          <w:spacing w:val="-5"/>
          <w:sz w:val="20"/>
        </w:rPr>
        <w:t> </w:t>
      </w:r>
      <w:r>
        <w:rPr>
          <w:sz w:val="20"/>
        </w:rPr>
        <w:t>T51.1,</w:t>
      </w:r>
      <w:r>
        <w:rPr>
          <w:spacing w:val="-5"/>
          <w:sz w:val="20"/>
        </w:rPr>
        <w:t> </w:t>
      </w:r>
      <w:r>
        <w:rPr>
          <w:sz w:val="20"/>
        </w:rPr>
        <w:t>T51.2,</w:t>
      </w:r>
      <w:r>
        <w:rPr>
          <w:spacing w:val="-5"/>
          <w:sz w:val="20"/>
        </w:rPr>
        <w:t> </w:t>
      </w:r>
      <w:r>
        <w:rPr>
          <w:spacing w:val="-2"/>
          <w:sz w:val="20"/>
        </w:rPr>
        <w:t>T51.3,</w:t>
      </w:r>
    </w:p>
    <w:p>
      <w:pPr>
        <w:spacing w:before="1"/>
        <w:ind w:left="4681" w:right="0" w:firstLine="0"/>
        <w:jc w:val="left"/>
        <w:rPr>
          <w:sz w:val="20"/>
        </w:rPr>
      </w:pPr>
      <w:r>
        <w:rPr>
          <w:sz w:val="20"/>
        </w:rPr>
        <w:t>T51.8,</w:t>
      </w:r>
      <w:r>
        <w:rPr>
          <w:spacing w:val="-7"/>
          <w:sz w:val="20"/>
        </w:rPr>
        <w:t> </w:t>
      </w:r>
      <w:r>
        <w:rPr>
          <w:sz w:val="20"/>
        </w:rPr>
        <w:t>T51.9,</w:t>
      </w:r>
      <w:r>
        <w:rPr>
          <w:spacing w:val="-5"/>
          <w:sz w:val="20"/>
        </w:rPr>
        <w:t> </w:t>
      </w:r>
      <w:r>
        <w:rPr>
          <w:sz w:val="20"/>
        </w:rPr>
        <w:t>T52,</w:t>
      </w:r>
      <w:r>
        <w:rPr>
          <w:spacing w:val="-5"/>
          <w:sz w:val="20"/>
        </w:rPr>
        <w:t> </w:t>
      </w:r>
      <w:r>
        <w:rPr>
          <w:sz w:val="20"/>
        </w:rPr>
        <w:t>T52.0,</w:t>
      </w:r>
      <w:r>
        <w:rPr>
          <w:spacing w:val="-5"/>
          <w:sz w:val="20"/>
        </w:rPr>
        <w:t> </w:t>
      </w:r>
      <w:r>
        <w:rPr>
          <w:sz w:val="20"/>
        </w:rPr>
        <w:t>T52.1,</w:t>
      </w:r>
      <w:r>
        <w:rPr>
          <w:spacing w:val="-5"/>
          <w:sz w:val="20"/>
        </w:rPr>
        <w:t> </w:t>
      </w:r>
      <w:r>
        <w:rPr>
          <w:sz w:val="20"/>
        </w:rPr>
        <w:t>T52.2,</w:t>
      </w:r>
      <w:r>
        <w:rPr>
          <w:spacing w:val="-5"/>
          <w:sz w:val="20"/>
        </w:rPr>
        <w:t> </w:t>
      </w:r>
      <w:r>
        <w:rPr>
          <w:spacing w:val="-2"/>
          <w:sz w:val="20"/>
        </w:rPr>
        <w:t>T52.3,</w:t>
      </w:r>
    </w:p>
    <w:p>
      <w:pPr>
        <w:spacing w:before="0"/>
        <w:ind w:left="4681" w:right="0" w:firstLine="0"/>
        <w:jc w:val="left"/>
        <w:rPr>
          <w:sz w:val="20"/>
        </w:rPr>
      </w:pPr>
      <w:r>
        <w:rPr>
          <w:sz w:val="20"/>
        </w:rPr>
        <w:t>T52.4,</w:t>
      </w:r>
      <w:r>
        <w:rPr>
          <w:spacing w:val="-7"/>
          <w:sz w:val="20"/>
        </w:rPr>
        <w:t> </w:t>
      </w:r>
      <w:r>
        <w:rPr>
          <w:sz w:val="20"/>
        </w:rPr>
        <w:t>T52.8,</w:t>
      </w:r>
      <w:r>
        <w:rPr>
          <w:spacing w:val="-5"/>
          <w:sz w:val="20"/>
        </w:rPr>
        <w:t> </w:t>
      </w:r>
      <w:r>
        <w:rPr>
          <w:sz w:val="20"/>
        </w:rPr>
        <w:t>T52.9,</w:t>
      </w:r>
      <w:r>
        <w:rPr>
          <w:spacing w:val="-5"/>
          <w:sz w:val="20"/>
        </w:rPr>
        <w:t> </w:t>
      </w:r>
      <w:r>
        <w:rPr>
          <w:sz w:val="20"/>
        </w:rPr>
        <w:t>T53,</w:t>
      </w:r>
      <w:r>
        <w:rPr>
          <w:spacing w:val="-5"/>
          <w:sz w:val="20"/>
        </w:rPr>
        <w:t> </w:t>
      </w:r>
      <w:r>
        <w:rPr>
          <w:sz w:val="20"/>
        </w:rPr>
        <w:t>T53.0,</w:t>
      </w:r>
      <w:r>
        <w:rPr>
          <w:spacing w:val="-5"/>
          <w:sz w:val="20"/>
        </w:rPr>
        <w:t> </w:t>
      </w:r>
      <w:r>
        <w:rPr>
          <w:sz w:val="20"/>
        </w:rPr>
        <w:t>T53.1,</w:t>
      </w:r>
      <w:r>
        <w:rPr>
          <w:spacing w:val="-5"/>
          <w:sz w:val="20"/>
        </w:rPr>
        <w:t> </w:t>
      </w:r>
      <w:r>
        <w:rPr>
          <w:spacing w:val="-2"/>
          <w:sz w:val="20"/>
        </w:rPr>
        <w:t>T53.2,</w:t>
      </w:r>
    </w:p>
    <w:p>
      <w:pPr>
        <w:spacing w:line="229" w:lineRule="exact" w:before="1"/>
        <w:ind w:left="4681" w:right="0" w:firstLine="0"/>
        <w:jc w:val="left"/>
        <w:rPr>
          <w:sz w:val="20"/>
        </w:rPr>
      </w:pPr>
      <w:r>
        <w:rPr>
          <w:sz w:val="20"/>
        </w:rPr>
        <w:t>T53.3,</w:t>
      </w:r>
      <w:r>
        <w:rPr>
          <w:spacing w:val="-7"/>
          <w:sz w:val="20"/>
        </w:rPr>
        <w:t> </w:t>
      </w:r>
      <w:r>
        <w:rPr>
          <w:sz w:val="20"/>
        </w:rPr>
        <w:t>T53.4,</w:t>
      </w:r>
      <w:r>
        <w:rPr>
          <w:spacing w:val="-4"/>
          <w:sz w:val="20"/>
        </w:rPr>
        <w:t> </w:t>
      </w:r>
      <w:r>
        <w:rPr>
          <w:sz w:val="20"/>
        </w:rPr>
        <w:t>T53.5,</w:t>
      </w:r>
      <w:r>
        <w:rPr>
          <w:spacing w:val="-5"/>
          <w:sz w:val="20"/>
        </w:rPr>
        <w:t> </w:t>
      </w:r>
      <w:r>
        <w:rPr>
          <w:sz w:val="20"/>
        </w:rPr>
        <w:t>T53.6,</w:t>
      </w:r>
      <w:r>
        <w:rPr>
          <w:spacing w:val="-4"/>
          <w:sz w:val="20"/>
        </w:rPr>
        <w:t> </w:t>
      </w:r>
      <w:r>
        <w:rPr>
          <w:sz w:val="20"/>
        </w:rPr>
        <w:t>T53.7,</w:t>
      </w:r>
      <w:r>
        <w:rPr>
          <w:spacing w:val="-4"/>
          <w:sz w:val="20"/>
        </w:rPr>
        <w:t> </w:t>
      </w:r>
      <w:r>
        <w:rPr>
          <w:sz w:val="20"/>
        </w:rPr>
        <w:t>T53.9,</w:t>
      </w:r>
      <w:r>
        <w:rPr>
          <w:spacing w:val="-5"/>
          <w:sz w:val="20"/>
        </w:rPr>
        <w:t> </w:t>
      </w:r>
      <w:r>
        <w:rPr>
          <w:spacing w:val="-4"/>
          <w:sz w:val="20"/>
        </w:rPr>
        <w:t>T54,</w:t>
      </w:r>
    </w:p>
    <w:p>
      <w:pPr>
        <w:spacing w:line="229" w:lineRule="exact" w:before="0"/>
        <w:ind w:left="1161" w:right="4154" w:firstLine="0"/>
        <w:jc w:val="center"/>
        <w:rPr>
          <w:sz w:val="20"/>
        </w:rPr>
      </w:pPr>
      <w:r>
        <w:rPr>
          <w:sz w:val="20"/>
        </w:rPr>
        <w:t>T54.0,</w:t>
      </w:r>
      <w:r>
        <w:rPr>
          <w:spacing w:val="-7"/>
          <w:sz w:val="20"/>
        </w:rPr>
        <w:t> </w:t>
      </w:r>
      <w:r>
        <w:rPr>
          <w:sz w:val="20"/>
        </w:rPr>
        <w:t>T54.1,</w:t>
      </w:r>
      <w:r>
        <w:rPr>
          <w:spacing w:val="-4"/>
          <w:sz w:val="20"/>
        </w:rPr>
        <w:t> </w:t>
      </w:r>
      <w:r>
        <w:rPr>
          <w:sz w:val="20"/>
        </w:rPr>
        <w:t>T54.2,</w:t>
      </w:r>
      <w:r>
        <w:rPr>
          <w:spacing w:val="-5"/>
          <w:sz w:val="20"/>
        </w:rPr>
        <w:t> </w:t>
      </w:r>
      <w:r>
        <w:rPr>
          <w:sz w:val="20"/>
        </w:rPr>
        <w:t>T54.3,</w:t>
      </w:r>
      <w:r>
        <w:rPr>
          <w:spacing w:val="-4"/>
          <w:sz w:val="20"/>
        </w:rPr>
        <w:t> </w:t>
      </w:r>
      <w:r>
        <w:rPr>
          <w:sz w:val="20"/>
        </w:rPr>
        <w:t>T54.9,</w:t>
      </w:r>
      <w:r>
        <w:rPr>
          <w:spacing w:val="-5"/>
          <w:sz w:val="20"/>
        </w:rPr>
        <w:t> </w:t>
      </w:r>
      <w:r>
        <w:rPr>
          <w:sz w:val="20"/>
        </w:rPr>
        <w:t>T55,</w:t>
      </w:r>
      <w:r>
        <w:rPr>
          <w:spacing w:val="-6"/>
          <w:sz w:val="20"/>
        </w:rPr>
        <w:t> </w:t>
      </w:r>
      <w:r>
        <w:rPr>
          <w:spacing w:val="-4"/>
          <w:sz w:val="20"/>
        </w:rPr>
        <w:t>T56,</w:t>
      </w:r>
    </w:p>
    <w:p>
      <w:pPr>
        <w:spacing w:before="0"/>
        <w:ind w:left="1163" w:right="4154" w:firstLine="0"/>
        <w:jc w:val="center"/>
        <w:rPr>
          <w:sz w:val="20"/>
        </w:rPr>
      </w:pPr>
      <w:r>
        <w:rPr>
          <w:sz w:val="20"/>
        </w:rPr>
        <w:t>T56.0,</w:t>
      </w:r>
      <w:r>
        <w:rPr>
          <w:spacing w:val="-7"/>
          <w:sz w:val="20"/>
        </w:rPr>
        <w:t> </w:t>
      </w:r>
      <w:r>
        <w:rPr>
          <w:sz w:val="20"/>
        </w:rPr>
        <w:t>T56.1,</w:t>
      </w:r>
      <w:r>
        <w:rPr>
          <w:spacing w:val="-5"/>
          <w:sz w:val="20"/>
        </w:rPr>
        <w:t> </w:t>
      </w:r>
      <w:r>
        <w:rPr>
          <w:sz w:val="20"/>
        </w:rPr>
        <w:t>T56.2,</w:t>
      </w:r>
      <w:r>
        <w:rPr>
          <w:spacing w:val="-5"/>
          <w:sz w:val="20"/>
        </w:rPr>
        <w:t> </w:t>
      </w:r>
      <w:r>
        <w:rPr>
          <w:sz w:val="20"/>
        </w:rPr>
        <w:t>T56.3,</w:t>
      </w:r>
      <w:r>
        <w:rPr>
          <w:spacing w:val="-5"/>
          <w:sz w:val="20"/>
        </w:rPr>
        <w:t> </w:t>
      </w:r>
      <w:r>
        <w:rPr>
          <w:sz w:val="20"/>
        </w:rPr>
        <w:t>T56.4,</w:t>
      </w:r>
      <w:r>
        <w:rPr>
          <w:spacing w:val="-5"/>
          <w:sz w:val="20"/>
        </w:rPr>
        <w:t> </w:t>
      </w:r>
      <w:r>
        <w:rPr>
          <w:sz w:val="20"/>
        </w:rPr>
        <w:t>T56.5,</w:t>
      </w:r>
      <w:r>
        <w:rPr>
          <w:spacing w:val="-5"/>
          <w:sz w:val="20"/>
        </w:rPr>
        <w:t> </w:t>
      </w:r>
      <w:r>
        <w:rPr>
          <w:spacing w:val="-2"/>
          <w:sz w:val="20"/>
        </w:rPr>
        <w:t>T56.6,</w:t>
      </w:r>
    </w:p>
    <w:p>
      <w:pPr>
        <w:spacing w:before="0"/>
        <w:ind w:left="1162" w:right="4154" w:firstLine="0"/>
        <w:jc w:val="center"/>
        <w:rPr>
          <w:sz w:val="20"/>
        </w:rPr>
      </w:pPr>
      <w:r>
        <w:rPr>
          <w:sz w:val="20"/>
        </w:rPr>
        <w:t>T56.7,</w:t>
      </w:r>
      <w:r>
        <w:rPr>
          <w:spacing w:val="-7"/>
          <w:sz w:val="20"/>
        </w:rPr>
        <w:t> </w:t>
      </w:r>
      <w:r>
        <w:rPr>
          <w:sz w:val="20"/>
        </w:rPr>
        <w:t>T56.8,</w:t>
      </w:r>
      <w:r>
        <w:rPr>
          <w:spacing w:val="-5"/>
          <w:sz w:val="20"/>
        </w:rPr>
        <w:t> </w:t>
      </w:r>
      <w:r>
        <w:rPr>
          <w:sz w:val="20"/>
        </w:rPr>
        <w:t>T56.9,</w:t>
      </w:r>
      <w:r>
        <w:rPr>
          <w:spacing w:val="-5"/>
          <w:sz w:val="20"/>
        </w:rPr>
        <w:t> </w:t>
      </w:r>
      <w:r>
        <w:rPr>
          <w:sz w:val="20"/>
        </w:rPr>
        <w:t>T57,</w:t>
      </w:r>
      <w:r>
        <w:rPr>
          <w:spacing w:val="-5"/>
          <w:sz w:val="20"/>
        </w:rPr>
        <w:t> </w:t>
      </w:r>
      <w:r>
        <w:rPr>
          <w:sz w:val="20"/>
        </w:rPr>
        <w:t>T57.0,</w:t>
      </w:r>
      <w:r>
        <w:rPr>
          <w:spacing w:val="-5"/>
          <w:sz w:val="20"/>
        </w:rPr>
        <w:t> </w:t>
      </w:r>
      <w:r>
        <w:rPr>
          <w:sz w:val="20"/>
        </w:rPr>
        <w:t>T57.1,</w:t>
      </w:r>
      <w:r>
        <w:rPr>
          <w:spacing w:val="-5"/>
          <w:sz w:val="20"/>
        </w:rPr>
        <w:t> </w:t>
      </w:r>
      <w:r>
        <w:rPr>
          <w:spacing w:val="-2"/>
          <w:sz w:val="20"/>
        </w:rPr>
        <w:t>T57.2,</w:t>
      </w:r>
    </w:p>
    <w:p>
      <w:pPr>
        <w:spacing w:before="1"/>
        <w:ind w:left="1160" w:right="4154" w:firstLine="0"/>
        <w:jc w:val="center"/>
        <w:rPr>
          <w:sz w:val="20"/>
        </w:rPr>
      </w:pPr>
      <w:r>
        <w:rPr>
          <w:sz w:val="20"/>
        </w:rPr>
        <w:t>T57.3,</w:t>
      </w:r>
      <w:r>
        <w:rPr>
          <w:spacing w:val="-7"/>
          <w:sz w:val="20"/>
        </w:rPr>
        <w:t> </w:t>
      </w:r>
      <w:r>
        <w:rPr>
          <w:sz w:val="20"/>
        </w:rPr>
        <w:t>T57.8,</w:t>
      </w:r>
      <w:r>
        <w:rPr>
          <w:spacing w:val="-4"/>
          <w:sz w:val="20"/>
        </w:rPr>
        <w:t> </w:t>
      </w:r>
      <w:r>
        <w:rPr>
          <w:sz w:val="20"/>
        </w:rPr>
        <w:t>T57.9,</w:t>
      </w:r>
      <w:r>
        <w:rPr>
          <w:spacing w:val="-5"/>
          <w:sz w:val="20"/>
        </w:rPr>
        <w:t> </w:t>
      </w:r>
      <w:r>
        <w:rPr>
          <w:sz w:val="20"/>
        </w:rPr>
        <w:t>T58,</w:t>
      </w:r>
      <w:r>
        <w:rPr>
          <w:spacing w:val="-4"/>
          <w:sz w:val="20"/>
        </w:rPr>
        <w:t> </w:t>
      </w:r>
      <w:r>
        <w:rPr>
          <w:sz w:val="20"/>
        </w:rPr>
        <w:t>T59,</w:t>
      </w:r>
      <w:r>
        <w:rPr>
          <w:spacing w:val="-4"/>
          <w:sz w:val="20"/>
        </w:rPr>
        <w:t> </w:t>
      </w:r>
      <w:r>
        <w:rPr>
          <w:sz w:val="20"/>
        </w:rPr>
        <w:t>T59.0,</w:t>
      </w:r>
      <w:r>
        <w:rPr>
          <w:spacing w:val="-5"/>
          <w:sz w:val="20"/>
        </w:rPr>
        <w:t> </w:t>
      </w:r>
      <w:r>
        <w:rPr>
          <w:spacing w:val="-2"/>
          <w:sz w:val="20"/>
        </w:rPr>
        <w:t>T59.1,</w:t>
      </w:r>
    </w:p>
    <w:p>
      <w:pPr>
        <w:spacing w:before="1"/>
        <w:ind w:left="1163" w:right="4154" w:firstLine="0"/>
        <w:jc w:val="center"/>
        <w:rPr>
          <w:sz w:val="20"/>
        </w:rPr>
      </w:pPr>
      <w:r>
        <w:rPr>
          <w:sz w:val="20"/>
        </w:rPr>
        <w:t>T59.2,</w:t>
      </w:r>
      <w:r>
        <w:rPr>
          <w:spacing w:val="-7"/>
          <w:sz w:val="20"/>
        </w:rPr>
        <w:t> </w:t>
      </w:r>
      <w:r>
        <w:rPr>
          <w:sz w:val="20"/>
        </w:rPr>
        <w:t>T59.3,</w:t>
      </w:r>
      <w:r>
        <w:rPr>
          <w:spacing w:val="-5"/>
          <w:sz w:val="20"/>
        </w:rPr>
        <w:t> </w:t>
      </w:r>
      <w:r>
        <w:rPr>
          <w:sz w:val="20"/>
        </w:rPr>
        <w:t>T59.4,</w:t>
      </w:r>
      <w:r>
        <w:rPr>
          <w:spacing w:val="-5"/>
          <w:sz w:val="20"/>
        </w:rPr>
        <w:t> </w:t>
      </w:r>
      <w:r>
        <w:rPr>
          <w:sz w:val="20"/>
        </w:rPr>
        <w:t>T59.5,</w:t>
      </w:r>
      <w:r>
        <w:rPr>
          <w:spacing w:val="-5"/>
          <w:sz w:val="20"/>
        </w:rPr>
        <w:t> </w:t>
      </w:r>
      <w:r>
        <w:rPr>
          <w:sz w:val="20"/>
        </w:rPr>
        <w:t>T59.6,</w:t>
      </w:r>
      <w:r>
        <w:rPr>
          <w:spacing w:val="-5"/>
          <w:sz w:val="20"/>
        </w:rPr>
        <w:t> </w:t>
      </w:r>
      <w:r>
        <w:rPr>
          <w:sz w:val="20"/>
        </w:rPr>
        <w:t>T59.7,</w:t>
      </w:r>
      <w:r>
        <w:rPr>
          <w:spacing w:val="-5"/>
          <w:sz w:val="20"/>
        </w:rPr>
        <w:t> </w:t>
      </w:r>
      <w:r>
        <w:rPr>
          <w:spacing w:val="-2"/>
          <w:sz w:val="20"/>
        </w:rPr>
        <w:t>T59.8,</w:t>
      </w:r>
    </w:p>
    <w:p>
      <w:pPr>
        <w:spacing w:line="229" w:lineRule="exact" w:before="0"/>
        <w:ind w:left="1162" w:right="4154" w:firstLine="0"/>
        <w:jc w:val="center"/>
        <w:rPr>
          <w:sz w:val="20"/>
        </w:rPr>
      </w:pPr>
      <w:r>
        <w:rPr>
          <w:sz w:val="20"/>
        </w:rPr>
        <w:t>T59.9,</w:t>
      </w:r>
      <w:r>
        <w:rPr>
          <w:spacing w:val="-7"/>
          <w:sz w:val="20"/>
        </w:rPr>
        <w:t> </w:t>
      </w:r>
      <w:r>
        <w:rPr>
          <w:sz w:val="20"/>
        </w:rPr>
        <w:t>T60,</w:t>
      </w:r>
      <w:r>
        <w:rPr>
          <w:spacing w:val="-7"/>
          <w:sz w:val="20"/>
        </w:rPr>
        <w:t> </w:t>
      </w:r>
      <w:r>
        <w:rPr>
          <w:sz w:val="20"/>
        </w:rPr>
        <w:t>T60.0,</w:t>
      </w:r>
      <w:r>
        <w:rPr>
          <w:spacing w:val="-4"/>
          <w:sz w:val="20"/>
        </w:rPr>
        <w:t> </w:t>
      </w:r>
      <w:r>
        <w:rPr>
          <w:sz w:val="20"/>
        </w:rPr>
        <w:t>T60.1,</w:t>
      </w:r>
      <w:r>
        <w:rPr>
          <w:spacing w:val="-5"/>
          <w:sz w:val="20"/>
        </w:rPr>
        <w:t> </w:t>
      </w:r>
      <w:r>
        <w:rPr>
          <w:sz w:val="20"/>
        </w:rPr>
        <w:t>T60.2,</w:t>
      </w:r>
      <w:r>
        <w:rPr>
          <w:spacing w:val="-5"/>
          <w:sz w:val="20"/>
        </w:rPr>
        <w:t> </w:t>
      </w:r>
      <w:r>
        <w:rPr>
          <w:sz w:val="20"/>
        </w:rPr>
        <w:t>T60.3,</w:t>
      </w:r>
      <w:r>
        <w:rPr>
          <w:spacing w:val="-4"/>
          <w:sz w:val="20"/>
        </w:rPr>
        <w:t> </w:t>
      </w:r>
      <w:r>
        <w:rPr>
          <w:spacing w:val="-2"/>
          <w:sz w:val="20"/>
        </w:rPr>
        <w:t>T60.4,</w:t>
      </w:r>
    </w:p>
    <w:p>
      <w:pPr>
        <w:spacing w:line="229" w:lineRule="exact" w:before="0"/>
        <w:ind w:left="1161" w:right="4154" w:firstLine="0"/>
        <w:jc w:val="center"/>
        <w:rPr>
          <w:sz w:val="20"/>
        </w:rPr>
      </w:pPr>
      <w:r>
        <w:rPr>
          <w:sz w:val="20"/>
        </w:rPr>
        <w:t>T60.8,</w:t>
      </w:r>
      <w:r>
        <w:rPr>
          <w:spacing w:val="-7"/>
          <w:sz w:val="20"/>
        </w:rPr>
        <w:t> </w:t>
      </w:r>
      <w:r>
        <w:rPr>
          <w:sz w:val="20"/>
        </w:rPr>
        <w:t>T60.9,</w:t>
      </w:r>
      <w:r>
        <w:rPr>
          <w:spacing w:val="-5"/>
          <w:sz w:val="20"/>
        </w:rPr>
        <w:t> </w:t>
      </w:r>
      <w:r>
        <w:rPr>
          <w:sz w:val="20"/>
        </w:rPr>
        <w:t>T61,</w:t>
      </w:r>
      <w:r>
        <w:rPr>
          <w:spacing w:val="-5"/>
          <w:sz w:val="20"/>
        </w:rPr>
        <w:t> </w:t>
      </w:r>
      <w:r>
        <w:rPr>
          <w:sz w:val="20"/>
        </w:rPr>
        <w:t>T61.0,</w:t>
      </w:r>
      <w:r>
        <w:rPr>
          <w:spacing w:val="-5"/>
          <w:sz w:val="20"/>
        </w:rPr>
        <w:t> </w:t>
      </w:r>
      <w:r>
        <w:rPr>
          <w:sz w:val="20"/>
        </w:rPr>
        <w:t>T61.1,</w:t>
      </w:r>
      <w:r>
        <w:rPr>
          <w:spacing w:val="-5"/>
          <w:sz w:val="20"/>
        </w:rPr>
        <w:t> </w:t>
      </w:r>
      <w:r>
        <w:rPr>
          <w:sz w:val="20"/>
        </w:rPr>
        <w:t>T61.2,</w:t>
      </w:r>
      <w:r>
        <w:rPr>
          <w:spacing w:val="-5"/>
          <w:sz w:val="20"/>
        </w:rPr>
        <w:t> </w:t>
      </w:r>
      <w:r>
        <w:rPr>
          <w:spacing w:val="-2"/>
          <w:sz w:val="20"/>
        </w:rPr>
        <w:t>T61.8,</w:t>
      </w:r>
    </w:p>
    <w:p>
      <w:pPr>
        <w:spacing w:before="0"/>
        <w:ind w:left="4681" w:right="0" w:firstLine="0"/>
        <w:jc w:val="left"/>
        <w:rPr>
          <w:sz w:val="20"/>
        </w:rPr>
      </w:pPr>
      <w:r>
        <w:rPr>
          <w:sz w:val="20"/>
        </w:rPr>
        <w:t>T61.9,</w:t>
      </w:r>
      <w:r>
        <w:rPr>
          <w:spacing w:val="-7"/>
          <w:sz w:val="20"/>
        </w:rPr>
        <w:t> </w:t>
      </w:r>
      <w:r>
        <w:rPr>
          <w:sz w:val="20"/>
        </w:rPr>
        <w:t>T62,</w:t>
      </w:r>
      <w:r>
        <w:rPr>
          <w:spacing w:val="-7"/>
          <w:sz w:val="20"/>
        </w:rPr>
        <w:t> </w:t>
      </w:r>
      <w:r>
        <w:rPr>
          <w:sz w:val="20"/>
        </w:rPr>
        <w:t>T62.0,</w:t>
      </w:r>
      <w:r>
        <w:rPr>
          <w:spacing w:val="-4"/>
          <w:sz w:val="20"/>
        </w:rPr>
        <w:t> </w:t>
      </w:r>
      <w:r>
        <w:rPr>
          <w:sz w:val="20"/>
        </w:rPr>
        <w:t>T62.1,</w:t>
      </w:r>
      <w:r>
        <w:rPr>
          <w:spacing w:val="-5"/>
          <w:sz w:val="20"/>
        </w:rPr>
        <w:t> </w:t>
      </w:r>
      <w:r>
        <w:rPr>
          <w:sz w:val="20"/>
        </w:rPr>
        <w:t>T62.2,</w:t>
      </w:r>
      <w:r>
        <w:rPr>
          <w:spacing w:val="-5"/>
          <w:sz w:val="20"/>
        </w:rPr>
        <w:t> </w:t>
      </w:r>
      <w:r>
        <w:rPr>
          <w:sz w:val="20"/>
        </w:rPr>
        <w:t>T62.8,</w:t>
      </w:r>
      <w:r>
        <w:rPr>
          <w:spacing w:val="-4"/>
          <w:sz w:val="20"/>
        </w:rPr>
        <w:t> </w:t>
      </w:r>
      <w:r>
        <w:rPr>
          <w:spacing w:val="-2"/>
          <w:sz w:val="20"/>
        </w:rPr>
        <w:t>T62.9,</w:t>
      </w:r>
    </w:p>
    <w:p>
      <w:pPr>
        <w:spacing w:before="1"/>
        <w:ind w:left="4681" w:right="0" w:firstLine="0"/>
        <w:jc w:val="left"/>
        <w:rPr>
          <w:sz w:val="20"/>
        </w:rPr>
      </w:pPr>
      <w:r>
        <w:rPr>
          <w:sz w:val="20"/>
        </w:rPr>
        <w:t>T63,</w:t>
      </w:r>
      <w:r>
        <w:rPr>
          <w:spacing w:val="-6"/>
          <w:sz w:val="20"/>
        </w:rPr>
        <w:t> </w:t>
      </w:r>
      <w:r>
        <w:rPr>
          <w:sz w:val="20"/>
        </w:rPr>
        <w:t>T63.0,</w:t>
      </w:r>
      <w:r>
        <w:rPr>
          <w:spacing w:val="-7"/>
          <w:sz w:val="20"/>
        </w:rPr>
        <w:t> </w:t>
      </w:r>
      <w:r>
        <w:rPr>
          <w:sz w:val="20"/>
        </w:rPr>
        <w:t>T63.1,</w:t>
      </w:r>
      <w:r>
        <w:rPr>
          <w:spacing w:val="-5"/>
          <w:sz w:val="20"/>
        </w:rPr>
        <w:t> </w:t>
      </w:r>
      <w:r>
        <w:rPr>
          <w:sz w:val="20"/>
        </w:rPr>
        <w:t>T63.2,</w:t>
      </w:r>
      <w:r>
        <w:rPr>
          <w:spacing w:val="-5"/>
          <w:sz w:val="20"/>
        </w:rPr>
        <w:t> </w:t>
      </w:r>
      <w:r>
        <w:rPr>
          <w:sz w:val="20"/>
        </w:rPr>
        <w:t>T63.3,</w:t>
      </w:r>
      <w:r>
        <w:rPr>
          <w:spacing w:val="-5"/>
          <w:sz w:val="20"/>
        </w:rPr>
        <w:t> </w:t>
      </w:r>
      <w:r>
        <w:rPr>
          <w:sz w:val="20"/>
        </w:rPr>
        <w:t>T63.4,</w:t>
      </w:r>
      <w:r>
        <w:rPr>
          <w:spacing w:val="-5"/>
          <w:sz w:val="20"/>
        </w:rPr>
        <w:t> </w:t>
      </w:r>
      <w:r>
        <w:rPr>
          <w:spacing w:val="-2"/>
          <w:sz w:val="20"/>
        </w:rPr>
        <w:t>T63.5,</w:t>
      </w:r>
    </w:p>
    <w:p>
      <w:pPr>
        <w:spacing w:before="0"/>
        <w:ind w:left="4756" w:right="0" w:firstLine="0"/>
        <w:jc w:val="left"/>
        <w:rPr>
          <w:sz w:val="20"/>
        </w:rPr>
      </w:pPr>
      <w:r>
        <w:rPr>
          <w:sz w:val="20"/>
        </w:rPr>
        <w:t>T63.6,</w:t>
      </w:r>
      <w:r>
        <w:rPr>
          <w:spacing w:val="-7"/>
          <w:sz w:val="20"/>
        </w:rPr>
        <w:t> </w:t>
      </w:r>
      <w:r>
        <w:rPr>
          <w:sz w:val="20"/>
        </w:rPr>
        <w:t>T63.8,</w:t>
      </w:r>
      <w:r>
        <w:rPr>
          <w:spacing w:val="-4"/>
          <w:sz w:val="20"/>
        </w:rPr>
        <w:t> </w:t>
      </w:r>
      <w:r>
        <w:rPr>
          <w:sz w:val="20"/>
        </w:rPr>
        <w:t>T63.9,</w:t>
      </w:r>
      <w:r>
        <w:rPr>
          <w:spacing w:val="-5"/>
          <w:sz w:val="20"/>
        </w:rPr>
        <w:t> </w:t>
      </w:r>
      <w:r>
        <w:rPr>
          <w:sz w:val="20"/>
        </w:rPr>
        <w:t>T64,</w:t>
      </w:r>
      <w:r>
        <w:rPr>
          <w:spacing w:val="-4"/>
          <w:sz w:val="20"/>
        </w:rPr>
        <w:t> </w:t>
      </w:r>
      <w:r>
        <w:rPr>
          <w:sz w:val="20"/>
        </w:rPr>
        <w:t>T65,</w:t>
      </w:r>
      <w:r>
        <w:rPr>
          <w:spacing w:val="-4"/>
          <w:sz w:val="20"/>
        </w:rPr>
        <w:t> </w:t>
      </w:r>
      <w:r>
        <w:rPr>
          <w:sz w:val="20"/>
        </w:rPr>
        <w:t>T65.0,</w:t>
      </w:r>
      <w:r>
        <w:rPr>
          <w:spacing w:val="-5"/>
          <w:sz w:val="20"/>
        </w:rPr>
        <w:t> </w:t>
      </w:r>
      <w:r>
        <w:rPr>
          <w:spacing w:val="-2"/>
          <w:sz w:val="20"/>
        </w:rPr>
        <w:t>T65.1,</w:t>
      </w:r>
    </w:p>
    <w:p>
      <w:pPr>
        <w:spacing w:line="229" w:lineRule="exact" w:before="1"/>
        <w:ind w:left="1166" w:right="4154" w:firstLine="0"/>
        <w:jc w:val="center"/>
        <w:rPr>
          <w:sz w:val="20"/>
        </w:rPr>
      </w:pPr>
      <w:r>
        <w:rPr>
          <w:sz w:val="20"/>
        </w:rPr>
        <w:t>T65.2,</w:t>
      </w:r>
      <w:r>
        <w:rPr>
          <w:spacing w:val="-7"/>
          <w:sz w:val="20"/>
        </w:rPr>
        <w:t> </w:t>
      </w:r>
      <w:r>
        <w:rPr>
          <w:sz w:val="20"/>
        </w:rPr>
        <w:t>T65.3,</w:t>
      </w:r>
      <w:r>
        <w:rPr>
          <w:spacing w:val="-4"/>
          <w:sz w:val="20"/>
        </w:rPr>
        <w:t> </w:t>
      </w:r>
      <w:r>
        <w:rPr>
          <w:sz w:val="20"/>
        </w:rPr>
        <w:t>T65.4,</w:t>
      </w:r>
      <w:r>
        <w:rPr>
          <w:spacing w:val="-5"/>
          <w:sz w:val="20"/>
        </w:rPr>
        <w:t> </w:t>
      </w:r>
      <w:r>
        <w:rPr>
          <w:sz w:val="20"/>
        </w:rPr>
        <w:t>T65.5,</w:t>
      </w:r>
      <w:r>
        <w:rPr>
          <w:spacing w:val="-4"/>
          <w:sz w:val="20"/>
        </w:rPr>
        <w:t> </w:t>
      </w:r>
      <w:r>
        <w:rPr>
          <w:sz w:val="20"/>
        </w:rPr>
        <w:t>T65.6,</w:t>
      </w:r>
      <w:r>
        <w:rPr>
          <w:spacing w:val="-4"/>
          <w:sz w:val="20"/>
        </w:rPr>
        <w:t> </w:t>
      </w:r>
      <w:r>
        <w:rPr>
          <w:sz w:val="20"/>
        </w:rPr>
        <w:t>T65.8,</w:t>
      </w:r>
      <w:r>
        <w:rPr>
          <w:spacing w:val="-5"/>
          <w:sz w:val="20"/>
        </w:rPr>
        <w:t> </w:t>
      </w:r>
      <w:r>
        <w:rPr>
          <w:spacing w:val="-2"/>
          <w:sz w:val="20"/>
        </w:rPr>
        <w:t>T65.9,</w:t>
      </w:r>
    </w:p>
    <w:p>
      <w:pPr>
        <w:spacing w:line="229" w:lineRule="exact" w:before="0"/>
        <w:ind w:left="1159" w:right="4154" w:firstLine="0"/>
        <w:jc w:val="center"/>
        <w:rPr>
          <w:sz w:val="20"/>
        </w:rPr>
      </w:pPr>
      <w:r>
        <w:rPr>
          <w:sz w:val="20"/>
        </w:rPr>
        <w:t>T66,</w:t>
      </w:r>
      <w:r>
        <w:rPr>
          <w:spacing w:val="-5"/>
          <w:sz w:val="20"/>
        </w:rPr>
        <w:t> </w:t>
      </w:r>
      <w:r>
        <w:rPr>
          <w:sz w:val="20"/>
        </w:rPr>
        <w:t>T67,</w:t>
      </w:r>
      <w:r>
        <w:rPr>
          <w:spacing w:val="-5"/>
          <w:sz w:val="20"/>
        </w:rPr>
        <w:t> </w:t>
      </w:r>
      <w:r>
        <w:rPr>
          <w:sz w:val="20"/>
        </w:rPr>
        <w:t>T67.0,</w:t>
      </w:r>
      <w:r>
        <w:rPr>
          <w:spacing w:val="-5"/>
          <w:sz w:val="20"/>
        </w:rPr>
        <w:t> </w:t>
      </w:r>
      <w:r>
        <w:rPr>
          <w:sz w:val="20"/>
        </w:rPr>
        <w:t>T67.1,</w:t>
      </w:r>
      <w:r>
        <w:rPr>
          <w:spacing w:val="-5"/>
          <w:sz w:val="20"/>
        </w:rPr>
        <w:t> </w:t>
      </w:r>
      <w:r>
        <w:rPr>
          <w:sz w:val="20"/>
        </w:rPr>
        <w:t>T67.2,</w:t>
      </w:r>
      <w:r>
        <w:rPr>
          <w:spacing w:val="-5"/>
          <w:sz w:val="20"/>
        </w:rPr>
        <w:t> </w:t>
      </w:r>
      <w:r>
        <w:rPr>
          <w:sz w:val="20"/>
        </w:rPr>
        <w:t>T67.3,</w:t>
      </w:r>
      <w:r>
        <w:rPr>
          <w:spacing w:val="-5"/>
          <w:sz w:val="20"/>
        </w:rPr>
        <w:t> </w:t>
      </w:r>
      <w:r>
        <w:rPr>
          <w:spacing w:val="-2"/>
          <w:sz w:val="20"/>
        </w:rPr>
        <w:t>T67.4,</w:t>
      </w:r>
    </w:p>
    <w:p>
      <w:pPr>
        <w:spacing w:before="0"/>
        <w:ind w:left="4756" w:right="0" w:firstLine="0"/>
        <w:jc w:val="left"/>
        <w:rPr>
          <w:sz w:val="20"/>
        </w:rPr>
      </w:pPr>
      <w:r>
        <w:rPr>
          <w:sz w:val="20"/>
        </w:rPr>
        <w:t>T67.5,</w:t>
      </w:r>
      <w:r>
        <w:rPr>
          <w:spacing w:val="-7"/>
          <w:sz w:val="20"/>
        </w:rPr>
        <w:t> </w:t>
      </w:r>
      <w:r>
        <w:rPr>
          <w:sz w:val="20"/>
        </w:rPr>
        <w:t>T67.6,</w:t>
      </w:r>
      <w:r>
        <w:rPr>
          <w:spacing w:val="-4"/>
          <w:sz w:val="20"/>
        </w:rPr>
        <w:t> </w:t>
      </w:r>
      <w:r>
        <w:rPr>
          <w:sz w:val="20"/>
        </w:rPr>
        <w:t>T67.7,</w:t>
      </w:r>
      <w:r>
        <w:rPr>
          <w:spacing w:val="-5"/>
          <w:sz w:val="20"/>
        </w:rPr>
        <w:t> </w:t>
      </w:r>
      <w:r>
        <w:rPr>
          <w:sz w:val="20"/>
        </w:rPr>
        <w:t>T67.8,</w:t>
      </w:r>
      <w:r>
        <w:rPr>
          <w:spacing w:val="-4"/>
          <w:sz w:val="20"/>
        </w:rPr>
        <w:t> </w:t>
      </w:r>
      <w:r>
        <w:rPr>
          <w:sz w:val="20"/>
        </w:rPr>
        <w:t>T67.9,</w:t>
      </w:r>
      <w:r>
        <w:rPr>
          <w:spacing w:val="-5"/>
          <w:sz w:val="20"/>
        </w:rPr>
        <w:t> </w:t>
      </w:r>
      <w:r>
        <w:rPr>
          <w:sz w:val="20"/>
        </w:rPr>
        <w:t>T68,</w:t>
      </w:r>
      <w:r>
        <w:rPr>
          <w:spacing w:val="-6"/>
          <w:sz w:val="20"/>
        </w:rPr>
        <w:t> </w:t>
      </w:r>
      <w:r>
        <w:rPr>
          <w:spacing w:val="-4"/>
          <w:sz w:val="20"/>
        </w:rPr>
        <w:t>T69,</w:t>
      </w:r>
    </w:p>
    <w:p>
      <w:pPr>
        <w:spacing w:before="1"/>
        <w:ind w:left="4681" w:right="0" w:firstLine="0"/>
        <w:jc w:val="left"/>
        <w:rPr>
          <w:sz w:val="20"/>
        </w:rPr>
      </w:pPr>
      <w:r>
        <w:rPr>
          <w:sz w:val="20"/>
        </w:rPr>
        <w:t>T69.0,</w:t>
      </w:r>
      <w:r>
        <w:rPr>
          <w:spacing w:val="-7"/>
          <w:sz w:val="20"/>
        </w:rPr>
        <w:t> </w:t>
      </w:r>
      <w:r>
        <w:rPr>
          <w:sz w:val="20"/>
        </w:rPr>
        <w:t>T69.1,</w:t>
      </w:r>
      <w:r>
        <w:rPr>
          <w:spacing w:val="-4"/>
          <w:sz w:val="20"/>
        </w:rPr>
        <w:t> </w:t>
      </w:r>
      <w:r>
        <w:rPr>
          <w:sz w:val="20"/>
        </w:rPr>
        <w:t>T69.8,</w:t>
      </w:r>
      <w:r>
        <w:rPr>
          <w:spacing w:val="-5"/>
          <w:sz w:val="20"/>
        </w:rPr>
        <w:t> </w:t>
      </w:r>
      <w:r>
        <w:rPr>
          <w:sz w:val="20"/>
        </w:rPr>
        <w:t>T69.9,</w:t>
      </w:r>
      <w:r>
        <w:rPr>
          <w:spacing w:val="-4"/>
          <w:sz w:val="20"/>
        </w:rPr>
        <w:t> </w:t>
      </w:r>
      <w:r>
        <w:rPr>
          <w:sz w:val="20"/>
        </w:rPr>
        <w:t>T70,</w:t>
      </w:r>
      <w:r>
        <w:rPr>
          <w:spacing w:val="-5"/>
          <w:sz w:val="20"/>
        </w:rPr>
        <w:t> </w:t>
      </w:r>
      <w:r>
        <w:rPr>
          <w:sz w:val="20"/>
        </w:rPr>
        <w:t>T70.0,</w:t>
      </w:r>
      <w:r>
        <w:rPr>
          <w:spacing w:val="-6"/>
          <w:sz w:val="20"/>
        </w:rPr>
        <w:t> </w:t>
      </w:r>
      <w:r>
        <w:rPr>
          <w:spacing w:val="-2"/>
          <w:sz w:val="20"/>
        </w:rPr>
        <w:t>T70.1,</w:t>
      </w:r>
    </w:p>
    <w:p>
      <w:pPr>
        <w:spacing w:before="0"/>
        <w:ind w:left="4756" w:right="0" w:firstLine="0"/>
        <w:jc w:val="left"/>
        <w:rPr>
          <w:sz w:val="20"/>
        </w:rPr>
      </w:pPr>
      <w:r>
        <w:rPr>
          <w:sz w:val="20"/>
        </w:rPr>
        <w:t>T70.2,</w:t>
      </w:r>
      <w:r>
        <w:rPr>
          <w:spacing w:val="-7"/>
          <w:sz w:val="20"/>
        </w:rPr>
        <w:t> </w:t>
      </w:r>
      <w:r>
        <w:rPr>
          <w:sz w:val="20"/>
        </w:rPr>
        <w:t>T70.3,</w:t>
      </w:r>
      <w:r>
        <w:rPr>
          <w:spacing w:val="-4"/>
          <w:sz w:val="20"/>
        </w:rPr>
        <w:t> </w:t>
      </w:r>
      <w:r>
        <w:rPr>
          <w:sz w:val="20"/>
        </w:rPr>
        <w:t>T70.4,</w:t>
      </w:r>
      <w:r>
        <w:rPr>
          <w:spacing w:val="-5"/>
          <w:sz w:val="20"/>
        </w:rPr>
        <w:t> </w:t>
      </w:r>
      <w:r>
        <w:rPr>
          <w:sz w:val="20"/>
        </w:rPr>
        <w:t>T70.8,</w:t>
      </w:r>
      <w:r>
        <w:rPr>
          <w:spacing w:val="-4"/>
          <w:sz w:val="20"/>
        </w:rPr>
        <w:t> </w:t>
      </w:r>
      <w:r>
        <w:rPr>
          <w:sz w:val="20"/>
        </w:rPr>
        <w:t>T70.9,</w:t>
      </w:r>
      <w:r>
        <w:rPr>
          <w:spacing w:val="-5"/>
          <w:sz w:val="20"/>
        </w:rPr>
        <w:t> </w:t>
      </w:r>
      <w:r>
        <w:rPr>
          <w:sz w:val="20"/>
        </w:rPr>
        <w:t>T71,</w:t>
      </w:r>
      <w:r>
        <w:rPr>
          <w:spacing w:val="-6"/>
          <w:sz w:val="20"/>
        </w:rPr>
        <w:t> </w:t>
      </w:r>
      <w:r>
        <w:rPr>
          <w:spacing w:val="-4"/>
          <w:sz w:val="20"/>
        </w:rPr>
        <w:t>T73,</w:t>
      </w:r>
    </w:p>
    <w:p>
      <w:pPr>
        <w:spacing w:before="1"/>
        <w:ind w:left="4681" w:right="0" w:firstLine="0"/>
        <w:jc w:val="left"/>
        <w:rPr>
          <w:sz w:val="20"/>
        </w:rPr>
      </w:pPr>
      <w:r>
        <w:rPr>
          <w:sz w:val="20"/>
        </w:rPr>
        <w:t>T73.0,</w:t>
      </w:r>
      <w:r>
        <w:rPr>
          <w:spacing w:val="-7"/>
          <w:sz w:val="20"/>
        </w:rPr>
        <w:t> </w:t>
      </w:r>
      <w:r>
        <w:rPr>
          <w:sz w:val="20"/>
        </w:rPr>
        <w:t>T73.1,</w:t>
      </w:r>
      <w:r>
        <w:rPr>
          <w:spacing w:val="-5"/>
          <w:sz w:val="20"/>
        </w:rPr>
        <w:t> </w:t>
      </w:r>
      <w:r>
        <w:rPr>
          <w:sz w:val="20"/>
        </w:rPr>
        <w:t>T73.2,</w:t>
      </w:r>
      <w:r>
        <w:rPr>
          <w:spacing w:val="-5"/>
          <w:sz w:val="20"/>
        </w:rPr>
        <w:t> </w:t>
      </w:r>
      <w:r>
        <w:rPr>
          <w:sz w:val="20"/>
        </w:rPr>
        <w:t>T73.3,</w:t>
      </w:r>
      <w:r>
        <w:rPr>
          <w:spacing w:val="-5"/>
          <w:sz w:val="20"/>
        </w:rPr>
        <w:t> </w:t>
      </w:r>
      <w:r>
        <w:rPr>
          <w:sz w:val="20"/>
        </w:rPr>
        <w:t>T73.8,</w:t>
      </w:r>
      <w:r>
        <w:rPr>
          <w:spacing w:val="-5"/>
          <w:sz w:val="20"/>
        </w:rPr>
        <w:t> </w:t>
      </w:r>
      <w:r>
        <w:rPr>
          <w:sz w:val="20"/>
        </w:rPr>
        <w:t>T73.9,</w:t>
      </w:r>
      <w:r>
        <w:rPr>
          <w:spacing w:val="-5"/>
          <w:sz w:val="20"/>
        </w:rPr>
        <w:t> </w:t>
      </w:r>
      <w:r>
        <w:rPr>
          <w:spacing w:val="-4"/>
          <w:sz w:val="20"/>
        </w:rPr>
        <w:t>T74,</w:t>
      </w:r>
    </w:p>
    <w:p>
      <w:pPr>
        <w:spacing w:line="229" w:lineRule="exact" w:before="0"/>
        <w:ind w:left="4681" w:right="0" w:firstLine="0"/>
        <w:jc w:val="left"/>
        <w:rPr>
          <w:sz w:val="20"/>
        </w:rPr>
      </w:pPr>
      <w:r>
        <w:rPr>
          <w:sz w:val="20"/>
        </w:rPr>
        <w:t>T74.0,</w:t>
      </w:r>
      <w:r>
        <w:rPr>
          <w:spacing w:val="-7"/>
          <w:sz w:val="20"/>
        </w:rPr>
        <w:t> </w:t>
      </w:r>
      <w:r>
        <w:rPr>
          <w:sz w:val="20"/>
        </w:rPr>
        <w:t>T74.1,</w:t>
      </w:r>
      <w:r>
        <w:rPr>
          <w:spacing w:val="-5"/>
          <w:sz w:val="20"/>
        </w:rPr>
        <w:t> </w:t>
      </w:r>
      <w:r>
        <w:rPr>
          <w:sz w:val="20"/>
        </w:rPr>
        <w:t>T74.2,</w:t>
      </w:r>
      <w:r>
        <w:rPr>
          <w:spacing w:val="-5"/>
          <w:sz w:val="20"/>
        </w:rPr>
        <w:t> </w:t>
      </w:r>
      <w:r>
        <w:rPr>
          <w:sz w:val="20"/>
        </w:rPr>
        <w:t>T74.3,</w:t>
      </w:r>
      <w:r>
        <w:rPr>
          <w:spacing w:val="-5"/>
          <w:sz w:val="20"/>
        </w:rPr>
        <w:t> </w:t>
      </w:r>
      <w:r>
        <w:rPr>
          <w:sz w:val="20"/>
        </w:rPr>
        <w:t>T74.8,</w:t>
      </w:r>
      <w:r>
        <w:rPr>
          <w:spacing w:val="-5"/>
          <w:sz w:val="20"/>
        </w:rPr>
        <w:t> </w:t>
      </w:r>
      <w:r>
        <w:rPr>
          <w:sz w:val="20"/>
        </w:rPr>
        <w:t>T74.9,</w:t>
      </w:r>
      <w:r>
        <w:rPr>
          <w:spacing w:val="-5"/>
          <w:sz w:val="20"/>
        </w:rPr>
        <w:t> </w:t>
      </w:r>
      <w:r>
        <w:rPr>
          <w:spacing w:val="-4"/>
          <w:sz w:val="20"/>
        </w:rPr>
        <w:t>T75,</w:t>
      </w:r>
    </w:p>
    <w:p>
      <w:pPr>
        <w:spacing w:line="229" w:lineRule="exact" w:before="0"/>
        <w:ind w:left="4681" w:right="0" w:firstLine="0"/>
        <w:jc w:val="left"/>
        <w:rPr>
          <w:sz w:val="20"/>
        </w:rPr>
      </w:pPr>
      <w:r>
        <w:rPr>
          <w:sz w:val="20"/>
        </w:rPr>
        <w:t>T75.0,</w:t>
      </w:r>
      <w:r>
        <w:rPr>
          <w:spacing w:val="-7"/>
          <w:sz w:val="20"/>
        </w:rPr>
        <w:t> </w:t>
      </w:r>
      <w:r>
        <w:rPr>
          <w:sz w:val="20"/>
        </w:rPr>
        <w:t>T75.1,</w:t>
      </w:r>
      <w:r>
        <w:rPr>
          <w:spacing w:val="-5"/>
          <w:sz w:val="20"/>
        </w:rPr>
        <w:t> </w:t>
      </w:r>
      <w:r>
        <w:rPr>
          <w:sz w:val="20"/>
        </w:rPr>
        <w:t>T75.2,</w:t>
      </w:r>
      <w:r>
        <w:rPr>
          <w:spacing w:val="-5"/>
          <w:sz w:val="20"/>
        </w:rPr>
        <w:t> </w:t>
      </w:r>
      <w:r>
        <w:rPr>
          <w:sz w:val="20"/>
        </w:rPr>
        <w:t>T75.3,</w:t>
      </w:r>
      <w:r>
        <w:rPr>
          <w:spacing w:val="-5"/>
          <w:sz w:val="20"/>
        </w:rPr>
        <w:t> </w:t>
      </w:r>
      <w:r>
        <w:rPr>
          <w:sz w:val="20"/>
        </w:rPr>
        <w:t>T75.4,</w:t>
      </w:r>
      <w:r>
        <w:rPr>
          <w:spacing w:val="-5"/>
          <w:sz w:val="20"/>
        </w:rPr>
        <w:t> </w:t>
      </w:r>
      <w:r>
        <w:rPr>
          <w:sz w:val="20"/>
        </w:rPr>
        <w:t>T75.8,</w:t>
      </w:r>
      <w:r>
        <w:rPr>
          <w:spacing w:val="-5"/>
          <w:sz w:val="20"/>
        </w:rPr>
        <w:t> </w:t>
      </w:r>
      <w:r>
        <w:rPr>
          <w:spacing w:val="-4"/>
          <w:sz w:val="20"/>
        </w:rPr>
        <w:t>T76,</w:t>
      </w:r>
    </w:p>
    <w:p>
      <w:pPr>
        <w:spacing w:before="1"/>
        <w:ind w:left="1159" w:right="4154" w:firstLine="0"/>
        <w:jc w:val="center"/>
        <w:rPr>
          <w:sz w:val="20"/>
        </w:rPr>
      </w:pPr>
      <w:r>
        <w:rPr>
          <w:sz w:val="20"/>
        </w:rPr>
        <w:t>T78,</w:t>
      </w:r>
      <w:r>
        <w:rPr>
          <w:spacing w:val="-5"/>
          <w:sz w:val="20"/>
        </w:rPr>
        <w:t> </w:t>
      </w:r>
      <w:r>
        <w:rPr>
          <w:sz w:val="20"/>
        </w:rPr>
        <w:t>T78.1,</w:t>
      </w:r>
      <w:r>
        <w:rPr>
          <w:spacing w:val="-7"/>
          <w:sz w:val="20"/>
        </w:rPr>
        <w:t> </w:t>
      </w:r>
      <w:r>
        <w:rPr>
          <w:sz w:val="20"/>
        </w:rPr>
        <w:t>T78.8,</w:t>
      </w:r>
      <w:r>
        <w:rPr>
          <w:spacing w:val="-4"/>
          <w:sz w:val="20"/>
        </w:rPr>
        <w:t> </w:t>
      </w:r>
      <w:r>
        <w:rPr>
          <w:sz w:val="20"/>
        </w:rPr>
        <w:t>T78.9,</w:t>
      </w:r>
      <w:r>
        <w:rPr>
          <w:spacing w:val="-5"/>
          <w:sz w:val="20"/>
        </w:rPr>
        <w:t> </w:t>
      </w:r>
      <w:r>
        <w:rPr>
          <w:sz w:val="20"/>
        </w:rPr>
        <w:t>T79,</w:t>
      </w:r>
      <w:r>
        <w:rPr>
          <w:spacing w:val="-4"/>
          <w:sz w:val="20"/>
        </w:rPr>
        <w:t> </w:t>
      </w:r>
      <w:r>
        <w:rPr>
          <w:sz w:val="20"/>
        </w:rPr>
        <w:t>T79.0,</w:t>
      </w:r>
      <w:r>
        <w:rPr>
          <w:spacing w:val="-5"/>
          <w:sz w:val="20"/>
        </w:rPr>
        <w:t> </w:t>
      </w:r>
      <w:r>
        <w:rPr>
          <w:spacing w:val="-2"/>
          <w:sz w:val="20"/>
        </w:rPr>
        <w:t>T79.1,</w:t>
      </w:r>
    </w:p>
    <w:p>
      <w:pPr>
        <w:spacing w:before="0"/>
        <w:ind w:left="1163" w:right="4154" w:firstLine="0"/>
        <w:jc w:val="center"/>
        <w:rPr>
          <w:sz w:val="20"/>
        </w:rPr>
      </w:pPr>
      <w:r>
        <w:rPr>
          <w:sz w:val="20"/>
        </w:rPr>
        <w:t>T79.2,</w:t>
      </w:r>
      <w:r>
        <w:rPr>
          <w:spacing w:val="-7"/>
          <w:sz w:val="20"/>
        </w:rPr>
        <w:t> </w:t>
      </w:r>
      <w:r>
        <w:rPr>
          <w:sz w:val="20"/>
        </w:rPr>
        <w:t>T79.3,</w:t>
      </w:r>
      <w:r>
        <w:rPr>
          <w:spacing w:val="-5"/>
          <w:sz w:val="20"/>
        </w:rPr>
        <w:t> </w:t>
      </w:r>
      <w:r>
        <w:rPr>
          <w:sz w:val="20"/>
        </w:rPr>
        <w:t>T79.4,</w:t>
      </w:r>
      <w:r>
        <w:rPr>
          <w:spacing w:val="-5"/>
          <w:sz w:val="20"/>
        </w:rPr>
        <w:t> </w:t>
      </w:r>
      <w:r>
        <w:rPr>
          <w:sz w:val="20"/>
        </w:rPr>
        <w:t>T79.5,</w:t>
      </w:r>
      <w:r>
        <w:rPr>
          <w:spacing w:val="-5"/>
          <w:sz w:val="20"/>
        </w:rPr>
        <w:t> </w:t>
      </w:r>
      <w:r>
        <w:rPr>
          <w:sz w:val="20"/>
        </w:rPr>
        <w:t>T79.6,</w:t>
      </w:r>
      <w:r>
        <w:rPr>
          <w:spacing w:val="-5"/>
          <w:sz w:val="20"/>
        </w:rPr>
        <w:t> </w:t>
      </w:r>
      <w:r>
        <w:rPr>
          <w:sz w:val="20"/>
        </w:rPr>
        <w:t>T79.7,</w:t>
      </w:r>
      <w:r>
        <w:rPr>
          <w:spacing w:val="-5"/>
          <w:sz w:val="20"/>
        </w:rPr>
        <w:t> </w:t>
      </w:r>
      <w:r>
        <w:rPr>
          <w:spacing w:val="-2"/>
          <w:sz w:val="20"/>
        </w:rPr>
        <w:t>T79.8,</w:t>
      </w:r>
    </w:p>
    <w:p>
      <w:pPr>
        <w:spacing w:before="1"/>
        <w:ind w:left="1162" w:right="4154" w:firstLine="0"/>
        <w:jc w:val="center"/>
        <w:rPr>
          <w:sz w:val="20"/>
        </w:rPr>
      </w:pPr>
      <w:r>
        <w:rPr>
          <w:sz w:val="20"/>
        </w:rPr>
        <w:t>T79.9,</w:t>
      </w:r>
      <w:r>
        <w:rPr>
          <w:spacing w:val="-7"/>
          <w:sz w:val="20"/>
        </w:rPr>
        <w:t> </w:t>
      </w:r>
      <w:r>
        <w:rPr>
          <w:sz w:val="20"/>
        </w:rPr>
        <w:t>T80,</w:t>
      </w:r>
      <w:r>
        <w:rPr>
          <w:spacing w:val="-7"/>
          <w:sz w:val="20"/>
        </w:rPr>
        <w:t> </w:t>
      </w:r>
      <w:r>
        <w:rPr>
          <w:sz w:val="20"/>
        </w:rPr>
        <w:t>T80.0,</w:t>
      </w:r>
      <w:r>
        <w:rPr>
          <w:spacing w:val="-4"/>
          <w:sz w:val="20"/>
        </w:rPr>
        <w:t> </w:t>
      </w:r>
      <w:r>
        <w:rPr>
          <w:sz w:val="20"/>
        </w:rPr>
        <w:t>T80.1,</w:t>
      </w:r>
      <w:r>
        <w:rPr>
          <w:spacing w:val="-5"/>
          <w:sz w:val="20"/>
        </w:rPr>
        <w:t> </w:t>
      </w:r>
      <w:r>
        <w:rPr>
          <w:sz w:val="20"/>
        </w:rPr>
        <w:t>T80.2,</w:t>
      </w:r>
      <w:r>
        <w:rPr>
          <w:spacing w:val="-5"/>
          <w:sz w:val="20"/>
        </w:rPr>
        <w:t> </w:t>
      </w:r>
      <w:r>
        <w:rPr>
          <w:sz w:val="20"/>
        </w:rPr>
        <w:t>T80.3,</w:t>
      </w:r>
      <w:r>
        <w:rPr>
          <w:spacing w:val="-4"/>
          <w:sz w:val="20"/>
        </w:rPr>
        <w:t> </w:t>
      </w:r>
      <w:r>
        <w:rPr>
          <w:spacing w:val="-2"/>
          <w:sz w:val="20"/>
        </w:rPr>
        <w:t>T80.4,</w:t>
      </w:r>
    </w:p>
    <w:p>
      <w:pPr>
        <w:spacing w:before="0"/>
        <w:ind w:left="1164" w:right="4154" w:firstLine="0"/>
        <w:jc w:val="center"/>
        <w:rPr>
          <w:sz w:val="20"/>
        </w:rPr>
      </w:pPr>
      <w:r>
        <w:rPr>
          <w:sz w:val="20"/>
        </w:rPr>
        <w:t>T80.6,</w:t>
      </w:r>
      <w:r>
        <w:rPr>
          <w:spacing w:val="-7"/>
          <w:sz w:val="20"/>
        </w:rPr>
        <w:t> </w:t>
      </w:r>
      <w:r>
        <w:rPr>
          <w:sz w:val="20"/>
        </w:rPr>
        <w:t>T80.8,</w:t>
      </w:r>
      <w:r>
        <w:rPr>
          <w:spacing w:val="-5"/>
          <w:sz w:val="20"/>
        </w:rPr>
        <w:t> </w:t>
      </w:r>
      <w:r>
        <w:rPr>
          <w:sz w:val="20"/>
        </w:rPr>
        <w:t>T80.9,</w:t>
      </w:r>
      <w:r>
        <w:rPr>
          <w:spacing w:val="-4"/>
          <w:sz w:val="20"/>
        </w:rPr>
        <w:t> </w:t>
      </w:r>
      <w:r>
        <w:rPr>
          <w:sz w:val="20"/>
        </w:rPr>
        <w:t>T81,</w:t>
      </w:r>
      <w:r>
        <w:rPr>
          <w:spacing w:val="-5"/>
          <w:sz w:val="20"/>
        </w:rPr>
        <w:t> </w:t>
      </w:r>
      <w:r>
        <w:rPr>
          <w:sz w:val="20"/>
        </w:rPr>
        <w:t>T81.0,</w:t>
      </w:r>
      <w:r>
        <w:rPr>
          <w:spacing w:val="-5"/>
          <w:sz w:val="20"/>
        </w:rPr>
        <w:t> </w:t>
      </w:r>
      <w:r>
        <w:rPr>
          <w:sz w:val="20"/>
        </w:rPr>
        <w:t>T81.1,</w:t>
      </w:r>
      <w:r>
        <w:rPr>
          <w:spacing w:val="-4"/>
          <w:sz w:val="20"/>
        </w:rPr>
        <w:t> </w:t>
      </w:r>
      <w:r>
        <w:rPr>
          <w:spacing w:val="-2"/>
          <w:sz w:val="20"/>
        </w:rPr>
        <w:t>T81.2,</w:t>
      </w:r>
    </w:p>
    <w:p>
      <w:pPr>
        <w:spacing w:before="0"/>
        <w:ind w:left="1163" w:right="4154" w:firstLine="0"/>
        <w:jc w:val="center"/>
        <w:rPr>
          <w:sz w:val="20"/>
        </w:rPr>
      </w:pPr>
      <w:r>
        <w:rPr>
          <w:sz w:val="20"/>
        </w:rPr>
        <w:t>T81.3,</w:t>
      </w:r>
      <w:r>
        <w:rPr>
          <w:spacing w:val="-7"/>
          <w:sz w:val="20"/>
        </w:rPr>
        <w:t> </w:t>
      </w:r>
      <w:r>
        <w:rPr>
          <w:sz w:val="20"/>
        </w:rPr>
        <w:t>T81.4,</w:t>
      </w:r>
      <w:r>
        <w:rPr>
          <w:spacing w:val="-5"/>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pacing w:val="-2"/>
          <w:sz w:val="20"/>
        </w:rPr>
        <w:t>T81.9,</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483"/>
        <w:gridCol w:w="2422"/>
        <w:gridCol w:w="4882"/>
        <w:gridCol w:w="1572"/>
        <w:gridCol w:w="1260"/>
      </w:tblGrid>
      <w:tr>
        <w:trPr>
          <w:trHeight w:val="734" w:hRule="atLeast"/>
        </w:trPr>
        <w:tc>
          <w:tcPr>
            <w:tcW w:w="15293" w:type="dxa"/>
            <w:gridSpan w:val="7"/>
          </w:tcPr>
          <w:p>
            <w:pPr>
              <w:pStyle w:val="TableParagraph"/>
              <w:spacing w:line="221" w:lineRule="exact"/>
              <w:ind w:left="4355" w:right="6863"/>
              <w:jc w:val="center"/>
              <w:rPr>
                <w:sz w:val="20"/>
              </w:rPr>
            </w:pPr>
            <w:r>
              <w:rPr>
                <w:sz w:val="20"/>
              </w:rPr>
              <w:t>T85.7,</w:t>
            </w:r>
            <w:r>
              <w:rPr>
                <w:spacing w:val="-7"/>
                <w:sz w:val="20"/>
              </w:rPr>
              <w:t> </w:t>
            </w:r>
            <w:r>
              <w:rPr>
                <w:sz w:val="20"/>
              </w:rPr>
              <w:t>T85.9,</w:t>
            </w:r>
            <w:r>
              <w:rPr>
                <w:spacing w:val="-5"/>
                <w:sz w:val="20"/>
              </w:rPr>
              <w:t> </w:t>
            </w:r>
            <w:r>
              <w:rPr>
                <w:sz w:val="20"/>
              </w:rPr>
              <w:t>T88,</w:t>
            </w:r>
            <w:r>
              <w:rPr>
                <w:spacing w:val="-5"/>
                <w:sz w:val="20"/>
              </w:rPr>
              <w:t> </w:t>
            </w:r>
            <w:r>
              <w:rPr>
                <w:sz w:val="20"/>
              </w:rPr>
              <w:t>T88.0,</w:t>
            </w:r>
            <w:r>
              <w:rPr>
                <w:spacing w:val="-5"/>
                <w:sz w:val="20"/>
              </w:rPr>
              <w:t> </w:t>
            </w:r>
            <w:r>
              <w:rPr>
                <w:sz w:val="20"/>
              </w:rPr>
              <w:t>T88.1,</w:t>
            </w:r>
            <w:r>
              <w:rPr>
                <w:spacing w:val="-5"/>
                <w:sz w:val="20"/>
              </w:rPr>
              <w:t> </w:t>
            </w:r>
            <w:r>
              <w:rPr>
                <w:sz w:val="20"/>
              </w:rPr>
              <w:t>T88.2,</w:t>
            </w:r>
            <w:r>
              <w:rPr>
                <w:spacing w:val="-5"/>
                <w:sz w:val="20"/>
              </w:rPr>
              <w:t> </w:t>
            </w:r>
            <w:r>
              <w:rPr>
                <w:spacing w:val="-2"/>
                <w:sz w:val="20"/>
              </w:rPr>
              <w:t>T88.3,</w:t>
            </w:r>
          </w:p>
          <w:p>
            <w:pPr>
              <w:pStyle w:val="TableParagraph"/>
              <w:ind w:left="4355" w:right="6864"/>
              <w:jc w:val="center"/>
              <w:rPr>
                <w:sz w:val="20"/>
              </w:rPr>
            </w:pPr>
            <w:r>
              <w:rPr>
                <w:sz w:val="20"/>
              </w:rPr>
              <w:t>T88.4,</w:t>
            </w:r>
            <w:r>
              <w:rPr>
                <w:spacing w:val="-7"/>
                <w:sz w:val="20"/>
              </w:rPr>
              <w:t> </w:t>
            </w:r>
            <w:r>
              <w:rPr>
                <w:sz w:val="20"/>
              </w:rPr>
              <w:t>T88.5,</w:t>
            </w:r>
            <w:r>
              <w:rPr>
                <w:spacing w:val="-6"/>
                <w:sz w:val="20"/>
              </w:rPr>
              <w:t> </w:t>
            </w:r>
            <w:r>
              <w:rPr>
                <w:sz w:val="20"/>
              </w:rPr>
              <w:t>T88.7,</w:t>
            </w:r>
            <w:r>
              <w:rPr>
                <w:spacing w:val="-6"/>
                <w:sz w:val="20"/>
              </w:rPr>
              <w:t> </w:t>
            </w:r>
            <w:r>
              <w:rPr>
                <w:sz w:val="20"/>
              </w:rPr>
              <w:t>T88.8,</w:t>
            </w:r>
            <w:r>
              <w:rPr>
                <w:spacing w:val="-6"/>
                <w:sz w:val="20"/>
              </w:rPr>
              <w:t> </w:t>
            </w:r>
            <w:r>
              <w:rPr>
                <w:sz w:val="20"/>
              </w:rPr>
              <w:t>T88.9,</w:t>
            </w:r>
            <w:r>
              <w:rPr>
                <w:spacing w:val="-6"/>
                <w:sz w:val="20"/>
              </w:rPr>
              <w:t> </w:t>
            </w:r>
            <w:r>
              <w:rPr>
                <w:sz w:val="20"/>
              </w:rPr>
              <w:t>T96,</w:t>
            </w:r>
            <w:r>
              <w:rPr>
                <w:spacing w:val="-7"/>
                <w:sz w:val="20"/>
              </w:rPr>
              <w:t> </w:t>
            </w:r>
            <w:r>
              <w:rPr>
                <w:sz w:val="20"/>
              </w:rPr>
              <w:t>T97,</w:t>
            </w:r>
            <w:r>
              <w:rPr>
                <w:spacing w:val="-7"/>
                <w:sz w:val="20"/>
              </w:rPr>
              <w:t> </w:t>
            </w:r>
            <w:r>
              <w:rPr>
                <w:sz w:val="20"/>
              </w:rPr>
              <w:t>T98, T98.0, T98.1, T98.2, T98.3</w:t>
            </w:r>
          </w:p>
        </w:tc>
      </w:tr>
      <w:tr>
        <w:trPr>
          <w:trHeight w:val="330" w:hRule="atLeast"/>
        </w:trPr>
        <w:tc>
          <w:tcPr>
            <w:tcW w:w="978" w:type="dxa"/>
          </w:tcPr>
          <w:p>
            <w:pPr>
              <w:pStyle w:val="TableParagraph"/>
              <w:spacing w:before="46"/>
              <w:ind w:left="39" w:right="186"/>
              <w:jc w:val="center"/>
              <w:rPr>
                <w:sz w:val="20"/>
              </w:rPr>
            </w:pPr>
            <w:r>
              <w:rPr>
                <w:spacing w:val="-4"/>
                <w:sz w:val="20"/>
              </w:rPr>
              <w:t>ds28</w:t>
            </w:r>
          </w:p>
        </w:tc>
        <w:tc>
          <w:tcPr>
            <w:tcW w:w="696" w:type="dxa"/>
          </w:tcPr>
          <w:p>
            <w:pPr>
              <w:pStyle w:val="TableParagraph"/>
              <w:spacing w:before="46"/>
              <w:ind w:left="250"/>
              <w:rPr>
                <w:sz w:val="20"/>
              </w:rPr>
            </w:pPr>
            <w:r>
              <w:rPr>
                <w:spacing w:val="-5"/>
                <w:sz w:val="20"/>
              </w:rPr>
              <w:t>28</w:t>
            </w:r>
          </w:p>
        </w:tc>
        <w:tc>
          <w:tcPr>
            <w:tcW w:w="3483" w:type="dxa"/>
          </w:tcPr>
          <w:p>
            <w:pPr>
              <w:pStyle w:val="TableParagraph"/>
              <w:rPr>
                <w:sz w:val="18"/>
              </w:rPr>
            </w:pPr>
          </w:p>
        </w:tc>
        <w:tc>
          <w:tcPr>
            <w:tcW w:w="7304" w:type="dxa"/>
            <w:gridSpan w:val="2"/>
          </w:tcPr>
          <w:p>
            <w:pPr>
              <w:pStyle w:val="TableParagraph"/>
              <w:spacing w:before="46"/>
              <w:ind w:left="1906"/>
              <w:rPr>
                <w:sz w:val="20"/>
              </w:rPr>
            </w:pPr>
            <w:r>
              <w:rPr>
                <w:sz w:val="20"/>
              </w:rPr>
              <w:t>Торакальная</w:t>
            </w:r>
            <w:r>
              <w:rPr>
                <w:spacing w:val="-11"/>
                <w:sz w:val="20"/>
              </w:rPr>
              <w:t> </w:t>
            </w:r>
            <w:r>
              <w:rPr>
                <w:spacing w:val="-2"/>
                <w:sz w:val="20"/>
              </w:rPr>
              <w:t>хирургия</w:t>
            </w:r>
          </w:p>
        </w:tc>
        <w:tc>
          <w:tcPr>
            <w:tcW w:w="1572" w:type="dxa"/>
          </w:tcPr>
          <w:p>
            <w:pPr>
              <w:pStyle w:val="TableParagraph"/>
              <w:rPr>
                <w:sz w:val="18"/>
              </w:rPr>
            </w:pPr>
          </w:p>
        </w:tc>
        <w:tc>
          <w:tcPr>
            <w:tcW w:w="1260" w:type="dxa"/>
          </w:tcPr>
          <w:p>
            <w:pPr>
              <w:pStyle w:val="TableParagraph"/>
              <w:spacing w:before="46"/>
              <w:ind w:right="46"/>
              <w:jc w:val="right"/>
              <w:rPr>
                <w:sz w:val="20"/>
              </w:rPr>
            </w:pPr>
            <w:r>
              <w:rPr>
                <w:spacing w:val="-4"/>
                <w:sz w:val="20"/>
              </w:rPr>
              <w:t>1,32</w:t>
            </w:r>
          </w:p>
        </w:tc>
      </w:tr>
      <w:tr>
        <w:trPr>
          <w:trHeight w:val="1020" w:hRule="atLeast"/>
        </w:trPr>
        <w:tc>
          <w:tcPr>
            <w:tcW w:w="978" w:type="dxa"/>
          </w:tcPr>
          <w:p>
            <w:pPr>
              <w:pStyle w:val="TableParagraph"/>
              <w:spacing w:before="45"/>
              <w:ind w:left="38" w:right="186"/>
              <w:jc w:val="center"/>
              <w:rPr>
                <w:sz w:val="20"/>
              </w:rPr>
            </w:pPr>
            <w:r>
              <w:rPr>
                <w:spacing w:val="-2"/>
                <w:sz w:val="20"/>
              </w:rPr>
              <w:t>ds28.001</w:t>
            </w:r>
          </w:p>
        </w:tc>
        <w:tc>
          <w:tcPr>
            <w:tcW w:w="696" w:type="dxa"/>
          </w:tcPr>
          <w:p>
            <w:pPr>
              <w:pStyle w:val="TableParagraph"/>
              <w:spacing w:before="45"/>
              <w:ind w:left="200"/>
              <w:rPr>
                <w:sz w:val="20"/>
              </w:rPr>
            </w:pPr>
            <w:r>
              <w:rPr>
                <w:spacing w:val="-5"/>
                <w:sz w:val="20"/>
              </w:rPr>
              <w:t>124</w:t>
            </w:r>
          </w:p>
        </w:tc>
        <w:tc>
          <w:tcPr>
            <w:tcW w:w="3483" w:type="dxa"/>
          </w:tcPr>
          <w:p>
            <w:pPr>
              <w:pStyle w:val="TableParagraph"/>
              <w:spacing w:before="45"/>
              <w:ind w:left="193" w:right="935"/>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w:t>
            </w:r>
            <w:r>
              <w:rPr>
                <w:spacing w:val="-2"/>
                <w:sz w:val="20"/>
              </w:rPr>
              <w:t>средостения</w:t>
            </w:r>
          </w:p>
        </w:tc>
        <w:tc>
          <w:tcPr>
            <w:tcW w:w="2422" w:type="dxa"/>
          </w:tcPr>
          <w:p>
            <w:pPr>
              <w:pStyle w:val="TableParagraph"/>
              <w:spacing w:before="45"/>
              <w:ind w:right="1150"/>
              <w:jc w:val="right"/>
              <w:rPr>
                <w:sz w:val="20"/>
              </w:rPr>
            </w:pPr>
            <w:r>
              <w:rPr>
                <w:w w:val="99"/>
                <w:sz w:val="20"/>
              </w:rPr>
              <w:t>-</w:t>
            </w:r>
          </w:p>
        </w:tc>
        <w:tc>
          <w:tcPr>
            <w:tcW w:w="4882" w:type="dxa"/>
          </w:tcPr>
          <w:p>
            <w:pPr>
              <w:pStyle w:val="TableParagraph"/>
              <w:spacing w:before="45"/>
              <w:ind w:left="1149" w:right="640"/>
              <w:jc w:val="center"/>
              <w:rPr>
                <w:sz w:val="20"/>
              </w:rPr>
            </w:pPr>
            <w:r>
              <w:rPr>
                <w:sz w:val="20"/>
              </w:rPr>
              <w:t>A11.11.004,</w:t>
            </w:r>
            <w:r>
              <w:rPr>
                <w:spacing w:val="-13"/>
                <w:sz w:val="20"/>
              </w:rPr>
              <w:t> </w:t>
            </w:r>
            <w:r>
              <w:rPr>
                <w:sz w:val="20"/>
              </w:rPr>
              <w:t>A11.11.004.001, A11.11.004.002,</w:t>
            </w:r>
            <w:r>
              <w:rPr>
                <w:spacing w:val="-13"/>
                <w:sz w:val="20"/>
              </w:rPr>
              <w:t> </w:t>
            </w:r>
            <w:r>
              <w:rPr>
                <w:sz w:val="20"/>
              </w:rPr>
              <w:t>A16.09.001, </w:t>
            </w:r>
            <w:r>
              <w:rPr>
                <w:spacing w:val="-2"/>
                <w:sz w:val="20"/>
              </w:rPr>
              <w:t>A16.09.004</w:t>
            </w:r>
          </w:p>
        </w:tc>
        <w:tc>
          <w:tcPr>
            <w:tcW w:w="1572"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1,32</w:t>
            </w:r>
          </w:p>
        </w:tc>
      </w:tr>
      <w:tr>
        <w:trPr>
          <w:trHeight w:val="330" w:hRule="atLeast"/>
        </w:trPr>
        <w:tc>
          <w:tcPr>
            <w:tcW w:w="978" w:type="dxa"/>
          </w:tcPr>
          <w:p>
            <w:pPr>
              <w:pStyle w:val="TableParagraph"/>
              <w:spacing w:before="45"/>
              <w:ind w:left="39" w:right="186"/>
              <w:jc w:val="center"/>
              <w:rPr>
                <w:sz w:val="20"/>
              </w:rPr>
            </w:pPr>
            <w:r>
              <w:rPr>
                <w:spacing w:val="-4"/>
                <w:sz w:val="20"/>
              </w:rPr>
              <w:t>ds29</w:t>
            </w:r>
          </w:p>
        </w:tc>
        <w:tc>
          <w:tcPr>
            <w:tcW w:w="696" w:type="dxa"/>
          </w:tcPr>
          <w:p>
            <w:pPr>
              <w:pStyle w:val="TableParagraph"/>
              <w:spacing w:before="45"/>
              <w:ind w:left="250"/>
              <w:rPr>
                <w:sz w:val="20"/>
              </w:rPr>
            </w:pPr>
            <w:r>
              <w:rPr>
                <w:spacing w:val="-5"/>
                <w:sz w:val="20"/>
              </w:rPr>
              <w:t>29</w:t>
            </w:r>
          </w:p>
        </w:tc>
        <w:tc>
          <w:tcPr>
            <w:tcW w:w="3483" w:type="dxa"/>
          </w:tcPr>
          <w:p>
            <w:pPr>
              <w:pStyle w:val="TableParagraph"/>
              <w:rPr>
                <w:sz w:val="18"/>
              </w:rPr>
            </w:pPr>
          </w:p>
        </w:tc>
        <w:tc>
          <w:tcPr>
            <w:tcW w:w="7304" w:type="dxa"/>
            <w:gridSpan w:val="2"/>
          </w:tcPr>
          <w:p>
            <w:pPr>
              <w:pStyle w:val="TableParagraph"/>
              <w:spacing w:before="45"/>
              <w:ind w:left="1673"/>
              <w:rPr>
                <w:sz w:val="20"/>
              </w:rPr>
            </w:pPr>
            <w:r>
              <w:rPr>
                <w:sz w:val="20"/>
              </w:rPr>
              <w:t>Травматология</w:t>
            </w:r>
            <w:r>
              <w:rPr>
                <w:spacing w:val="-8"/>
                <w:sz w:val="20"/>
              </w:rPr>
              <w:t> </w:t>
            </w:r>
            <w:r>
              <w:rPr>
                <w:sz w:val="20"/>
              </w:rPr>
              <w:t>и</w:t>
            </w:r>
            <w:r>
              <w:rPr>
                <w:spacing w:val="-7"/>
                <w:sz w:val="20"/>
              </w:rPr>
              <w:t> </w:t>
            </w:r>
            <w:r>
              <w:rPr>
                <w:spacing w:val="-2"/>
                <w:sz w:val="20"/>
              </w:rPr>
              <w:t>ортопедия</w:t>
            </w:r>
          </w:p>
        </w:tc>
        <w:tc>
          <w:tcPr>
            <w:tcW w:w="1572" w:type="dxa"/>
          </w:tcPr>
          <w:p>
            <w:pPr>
              <w:pStyle w:val="TableParagraph"/>
              <w:rPr>
                <w:sz w:val="18"/>
              </w:rPr>
            </w:pPr>
          </w:p>
        </w:tc>
        <w:tc>
          <w:tcPr>
            <w:tcW w:w="1260" w:type="dxa"/>
          </w:tcPr>
          <w:p>
            <w:pPr>
              <w:pStyle w:val="TableParagraph"/>
              <w:spacing w:before="45"/>
              <w:ind w:right="46"/>
              <w:jc w:val="right"/>
              <w:rPr>
                <w:sz w:val="20"/>
              </w:rPr>
            </w:pPr>
            <w:r>
              <w:rPr>
                <w:spacing w:val="-4"/>
                <w:sz w:val="20"/>
              </w:rPr>
              <w:t>1,25</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ds29.001</w:t>
            </w:r>
          </w:p>
        </w:tc>
        <w:tc>
          <w:tcPr>
            <w:tcW w:w="696" w:type="dxa"/>
          </w:tcPr>
          <w:p>
            <w:pPr>
              <w:pStyle w:val="TableParagraph"/>
              <w:spacing w:line="215" w:lineRule="exact" w:before="46"/>
              <w:ind w:left="200"/>
              <w:rPr>
                <w:sz w:val="20"/>
              </w:rPr>
            </w:pPr>
            <w:r>
              <w:rPr>
                <w:spacing w:val="-5"/>
                <w:sz w:val="20"/>
              </w:rPr>
              <w:t>125</w:t>
            </w:r>
          </w:p>
        </w:tc>
        <w:tc>
          <w:tcPr>
            <w:tcW w:w="3483"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422" w:type="dxa"/>
          </w:tcPr>
          <w:p>
            <w:pPr>
              <w:pStyle w:val="TableParagraph"/>
              <w:spacing w:line="215" w:lineRule="exact" w:before="46"/>
              <w:ind w:right="1150"/>
              <w:jc w:val="right"/>
              <w:rPr>
                <w:sz w:val="20"/>
              </w:rPr>
            </w:pPr>
            <w:r>
              <w:rPr>
                <w:w w:val="99"/>
                <w:sz w:val="20"/>
              </w:rPr>
              <w:t>-</w:t>
            </w:r>
          </w:p>
        </w:tc>
        <w:tc>
          <w:tcPr>
            <w:tcW w:w="4882" w:type="dxa"/>
          </w:tcPr>
          <w:p>
            <w:pPr>
              <w:pStyle w:val="TableParagraph"/>
              <w:spacing w:line="215" w:lineRule="exact" w:before="46"/>
              <w:ind w:left="1149" w:right="640"/>
              <w:jc w:val="center"/>
              <w:rPr>
                <w:sz w:val="20"/>
              </w:rPr>
            </w:pPr>
            <w:r>
              <w:rPr>
                <w:sz w:val="20"/>
              </w:rPr>
              <w:t>A03.04.001,</w:t>
            </w:r>
            <w:r>
              <w:rPr>
                <w:spacing w:val="-9"/>
                <w:sz w:val="20"/>
              </w:rPr>
              <w:t> </w:t>
            </w:r>
            <w:r>
              <w:rPr>
                <w:spacing w:val="-2"/>
                <w:sz w:val="20"/>
              </w:rPr>
              <w:t>A11.03.001,</w:t>
            </w:r>
          </w:p>
        </w:tc>
        <w:tc>
          <w:tcPr>
            <w:tcW w:w="1572" w:type="dxa"/>
          </w:tcPr>
          <w:p>
            <w:pPr>
              <w:pStyle w:val="TableParagraph"/>
              <w:spacing w:line="215" w:lineRule="exact" w:before="46"/>
              <w:ind w:left="647"/>
              <w:rPr>
                <w:sz w:val="20"/>
              </w:rPr>
            </w:pPr>
            <w:r>
              <w:rPr>
                <w:w w:val="99"/>
                <w:sz w:val="20"/>
              </w:rPr>
              <w:t>-</w:t>
            </w:r>
          </w:p>
        </w:tc>
        <w:tc>
          <w:tcPr>
            <w:tcW w:w="1260" w:type="dxa"/>
          </w:tcPr>
          <w:p>
            <w:pPr>
              <w:pStyle w:val="TableParagraph"/>
              <w:spacing w:line="215" w:lineRule="exact" w:before="46"/>
              <w:ind w:right="46"/>
              <w:jc w:val="right"/>
              <w:rPr>
                <w:sz w:val="20"/>
              </w:rPr>
            </w:pPr>
            <w:r>
              <w:rPr>
                <w:spacing w:val="-4"/>
                <w:sz w:val="20"/>
              </w:rPr>
              <w:t>1,44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10" w:lineRule="exact"/>
              <w:ind w:left="193"/>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422"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A11.03.001.001,</w:t>
            </w:r>
            <w:r>
              <w:rPr>
                <w:spacing w:val="54"/>
                <w:sz w:val="20"/>
              </w:rPr>
              <w:t> </w:t>
            </w:r>
            <w:r>
              <w:rPr>
                <w:spacing w:val="-2"/>
                <w:sz w:val="20"/>
              </w:rPr>
              <w:t>A11.03.001.002,</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09" w:lineRule="exact"/>
              <w:ind w:left="193"/>
              <w:rPr>
                <w:sz w:val="20"/>
              </w:rPr>
            </w:pPr>
            <w:r>
              <w:rPr>
                <w:sz w:val="20"/>
              </w:rPr>
              <w:t>суставах</w:t>
            </w:r>
            <w:r>
              <w:rPr>
                <w:spacing w:val="-9"/>
                <w:sz w:val="20"/>
              </w:rPr>
              <w:t> </w:t>
            </w:r>
            <w:r>
              <w:rPr>
                <w:sz w:val="20"/>
              </w:rPr>
              <w:t>(уровень</w:t>
            </w:r>
            <w:r>
              <w:rPr>
                <w:spacing w:val="-7"/>
                <w:sz w:val="20"/>
              </w:rPr>
              <w:t> </w:t>
            </w:r>
            <w:r>
              <w:rPr>
                <w:spacing w:val="-5"/>
                <w:sz w:val="20"/>
              </w:rPr>
              <w:t>1)</w:t>
            </w: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w w:val="95"/>
                <w:sz w:val="20"/>
              </w:rPr>
              <w:t>A11.03.001.003,</w:t>
            </w:r>
            <w:r>
              <w:rPr>
                <w:spacing w:val="54"/>
                <w:sz w:val="20"/>
              </w:rPr>
              <w:t> </w:t>
            </w:r>
            <w:r>
              <w:rPr>
                <w:spacing w:val="-2"/>
                <w:sz w:val="20"/>
              </w:rPr>
              <w:t>A11.04.003,</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sz w:val="20"/>
              </w:rPr>
              <w:t>A16.02.001,</w:t>
            </w:r>
            <w:r>
              <w:rPr>
                <w:spacing w:val="-9"/>
                <w:sz w:val="20"/>
              </w:rPr>
              <w:t> </w:t>
            </w:r>
            <w:r>
              <w:rPr>
                <w:spacing w:val="-2"/>
                <w:sz w:val="20"/>
              </w:rPr>
              <w:t>A16.02.001.001,</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A16.02.001.002,</w:t>
            </w:r>
            <w:r>
              <w:rPr>
                <w:spacing w:val="54"/>
                <w:sz w:val="20"/>
              </w:rPr>
              <w:t> </w:t>
            </w:r>
            <w:r>
              <w:rPr>
                <w:spacing w:val="-2"/>
                <w:sz w:val="20"/>
              </w:rPr>
              <w:t>A16.02.001.003,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0"/>
              <w:jc w:val="center"/>
              <w:rPr>
                <w:sz w:val="20"/>
              </w:rPr>
            </w:pPr>
            <w:r>
              <w:rPr>
                <w:sz w:val="20"/>
              </w:rPr>
              <w:t>A16.02.003,</w:t>
            </w:r>
            <w:r>
              <w:rPr>
                <w:spacing w:val="-9"/>
                <w:sz w:val="20"/>
              </w:rPr>
              <w:t> </w:t>
            </w:r>
            <w:r>
              <w:rPr>
                <w:spacing w:val="-2"/>
                <w:sz w:val="20"/>
              </w:rPr>
              <w:t>A16.02.004,</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9" w:right="644"/>
              <w:jc w:val="center"/>
              <w:rPr>
                <w:sz w:val="20"/>
              </w:rPr>
            </w:pPr>
            <w:r>
              <w:rPr>
                <w:w w:val="95"/>
                <w:sz w:val="20"/>
              </w:rPr>
              <w:t>A16.02.004.001,</w:t>
            </w:r>
            <w:r>
              <w:rPr>
                <w:spacing w:val="54"/>
                <w:sz w:val="20"/>
              </w:rPr>
              <w:t> </w:t>
            </w:r>
            <w:r>
              <w:rPr>
                <w:spacing w:val="-2"/>
                <w:sz w:val="20"/>
              </w:rPr>
              <w:t>A16.02.004.002,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8" w:right="644"/>
              <w:jc w:val="center"/>
              <w:rPr>
                <w:sz w:val="20"/>
              </w:rPr>
            </w:pPr>
            <w:r>
              <w:rPr>
                <w:sz w:val="20"/>
              </w:rPr>
              <w:t>A16.02.006,</w:t>
            </w:r>
            <w:r>
              <w:rPr>
                <w:spacing w:val="-9"/>
                <w:sz w:val="20"/>
              </w:rPr>
              <w:t> </w:t>
            </w:r>
            <w:r>
              <w:rPr>
                <w:sz w:val="20"/>
              </w:rPr>
              <w:t>A16.02.008,</w:t>
            </w:r>
            <w:r>
              <w:rPr>
                <w:spacing w:val="-10"/>
                <w:sz w:val="20"/>
              </w:rPr>
              <w:t> </w:t>
            </w:r>
            <w:r>
              <w:rPr>
                <w:spacing w:val="-2"/>
                <w:sz w:val="20"/>
              </w:rPr>
              <w:t>A16.02.009,</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sz w:val="20"/>
              </w:rPr>
              <w:t>A16.02.010,</w:t>
            </w:r>
            <w:r>
              <w:rPr>
                <w:spacing w:val="-8"/>
                <w:sz w:val="20"/>
              </w:rPr>
              <w:t> </w:t>
            </w:r>
            <w:r>
              <w:rPr>
                <w:sz w:val="20"/>
              </w:rPr>
              <w:t>A16.02.011,</w:t>
            </w:r>
            <w:r>
              <w:rPr>
                <w:spacing w:val="-9"/>
                <w:sz w:val="20"/>
              </w:rPr>
              <w:t> </w:t>
            </w:r>
            <w:r>
              <w:rPr>
                <w:spacing w:val="-2"/>
                <w:sz w:val="20"/>
              </w:rPr>
              <w:t>A16.02.018,</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0"/>
              <w:jc w:val="center"/>
              <w:rPr>
                <w:sz w:val="20"/>
              </w:rPr>
            </w:pPr>
            <w:r>
              <w:rPr>
                <w:sz w:val="20"/>
              </w:rPr>
              <w:t>A16.03.007,</w:t>
            </w:r>
            <w:r>
              <w:rPr>
                <w:spacing w:val="-9"/>
                <w:sz w:val="20"/>
              </w:rPr>
              <w:t> </w:t>
            </w:r>
            <w:r>
              <w:rPr>
                <w:spacing w:val="-2"/>
                <w:sz w:val="20"/>
              </w:rPr>
              <w:t>A16.03.013,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A16.03.014.001,</w:t>
            </w:r>
            <w:r>
              <w:rPr>
                <w:spacing w:val="54"/>
                <w:sz w:val="20"/>
              </w:rPr>
              <w:t> </w:t>
            </w:r>
            <w:r>
              <w:rPr>
                <w:spacing w:val="-2"/>
                <w:sz w:val="20"/>
              </w:rPr>
              <w:t>A16.03.014.002,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8" w:right="644"/>
              <w:jc w:val="center"/>
              <w:rPr>
                <w:sz w:val="20"/>
              </w:rPr>
            </w:pPr>
            <w:r>
              <w:rPr>
                <w:sz w:val="20"/>
              </w:rPr>
              <w:t>A16.03.015,</w:t>
            </w:r>
            <w:r>
              <w:rPr>
                <w:spacing w:val="-9"/>
                <w:sz w:val="20"/>
              </w:rPr>
              <w:t> </w:t>
            </w:r>
            <w:r>
              <w:rPr>
                <w:sz w:val="20"/>
              </w:rPr>
              <w:t>A16.03.017,</w:t>
            </w:r>
            <w:r>
              <w:rPr>
                <w:spacing w:val="-10"/>
                <w:sz w:val="20"/>
              </w:rPr>
              <w:t> </w:t>
            </w:r>
            <w:r>
              <w:rPr>
                <w:spacing w:val="-2"/>
                <w:sz w:val="20"/>
              </w:rPr>
              <w:t>A16.03.020,</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3"/>
              <w:jc w:val="center"/>
              <w:rPr>
                <w:sz w:val="20"/>
              </w:rPr>
            </w:pPr>
            <w:r>
              <w:rPr>
                <w:sz w:val="20"/>
              </w:rPr>
              <w:t>A16.03.021,</w:t>
            </w:r>
            <w:r>
              <w:rPr>
                <w:spacing w:val="-9"/>
                <w:sz w:val="20"/>
              </w:rPr>
              <w:t> </w:t>
            </w:r>
            <w:r>
              <w:rPr>
                <w:spacing w:val="-2"/>
                <w:sz w:val="20"/>
              </w:rPr>
              <w:t>A16.03.021.002,</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sz w:val="20"/>
              </w:rPr>
              <w:t>A16.03.022,</w:t>
            </w:r>
            <w:r>
              <w:rPr>
                <w:spacing w:val="-9"/>
                <w:sz w:val="20"/>
              </w:rPr>
              <w:t> </w:t>
            </w:r>
            <w:r>
              <w:rPr>
                <w:spacing w:val="-2"/>
                <w:sz w:val="20"/>
              </w:rPr>
              <w:t>A16.03.022.003,</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8" w:right="644"/>
              <w:jc w:val="center"/>
              <w:rPr>
                <w:sz w:val="20"/>
              </w:rPr>
            </w:pPr>
            <w:r>
              <w:rPr>
                <w:sz w:val="20"/>
              </w:rPr>
              <w:t>A16.03.027,</w:t>
            </w:r>
            <w:r>
              <w:rPr>
                <w:spacing w:val="-9"/>
                <w:sz w:val="20"/>
              </w:rPr>
              <w:t> </w:t>
            </w:r>
            <w:r>
              <w:rPr>
                <w:sz w:val="20"/>
              </w:rPr>
              <w:t>A16.03.031,</w:t>
            </w:r>
            <w:r>
              <w:rPr>
                <w:spacing w:val="-10"/>
                <w:sz w:val="20"/>
              </w:rPr>
              <w:t> </w:t>
            </w:r>
            <w:r>
              <w:rPr>
                <w:spacing w:val="-2"/>
                <w:sz w:val="20"/>
              </w:rPr>
              <w:t>A16.03.033,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8" w:right="644"/>
              <w:jc w:val="center"/>
              <w:rPr>
                <w:sz w:val="20"/>
              </w:rPr>
            </w:pPr>
            <w:r>
              <w:rPr>
                <w:sz w:val="20"/>
              </w:rPr>
              <w:t>A16.03.036,</w:t>
            </w:r>
            <w:r>
              <w:rPr>
                <w:spacing w:val="-9"/>
                <w:sz w:val="20"/>
              </w:rPr>
              <w:t> </w:t>
            </w:r>
            <w:r>
              <w:rPr>
                <w:sz w:val="20"/>
              </w:rPr>
              <w:t>A16.03.049,</w:t>
            </w:r>
            <w:r>
              <w:rPr>
                <w:spacing w:val="-10"/>
                <w:sz w:val="20"/>
              </w:rPr>
              <w:t> </w:t>
            </w:r>
            <w:r>
              <w:rPr>
                <w:spacing w:val="-2"/>
                <w:sz w:val="20"/>
              </w:rPr>
              <w:t>A16.03.082,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3"/>
              <w:jc w:val="center"/>
              <w:rPr>
                <w:sz w:val="20"/>
              </w:rPr>
            </w:pPr>
            <w:r>
              <w:rPr>
                <w:sz w:val="20"/>
              </w:rPr>
              <w:t>A16.03.089,</w:t>
            </w:r>
            <w:r>
              <w:rPr>
                <w:spacing w:val="-8"/>
                <w:sz w:val="20"/>
              </w:rPr>
              <w:t> </w:t>
            </w:r>
            <w:r>
              <w:rPr>
                <w:sz w:val="20"/>
              </w:rPr>
              <w:t>A16.04.002,</w:t>
            </w:r>
            <w:r>
              <w:rPr>
                <w:spacing w:val="-9"/>
                <w:sz w:val="20"/>
              </w:rPr>
              <w:t> </w:t>
            </w:r>
            <w:r>
              <w:rPr>
                <w:spacing w:val="-2"/>
                <w:sz w:val="20"/>
              </w:rPr>
              <w:t>A16.04.005,</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9" w:right="643"/>
              <w:jc w:val="center"/>
              <w:rPr>
                <w:sz w:val="20"/>
              </w:rPr>
            </w:pPr>
            <w:r>
              <w:rPr>
                <w:sz w:val="20"/>
              </w:rPr>
              <w:t>A16.04.018,</w:t>
            </w:r>
            <w:r>
              <w:rPr>
                <w:spacing w:val="-9"/>
                <w:sz w:val="20"/>
              </w:rPr>
              <w:t> </w:t>
            </w:r>
            <w:r>
              <w:rPr>
                <w:spacing w:val="-2"/>
                <w:sz w:val="20"/>
              </w:rPr>
              <w:t>A16.04.018.001,</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8" w:right="644"/>
              <w:jc w:val="center"/>
              <w:rPr>
                <w:sz w:val="20"/>
              </w:rPr>
            </w:pPr>
            <w:r>
              <w:rPr>
                <w:sz w:val="20"/>
              </w:rPr>
              <w:t>A16.04.019,</w:t>
            </w:r>
            <w:r>
              <w:rPr>
                <w:spacing w:val="-9"/>
                <w:sz w:val="20"/>
              </w:rPr>
              <w:t> </w:t>
            </w:r>
            <w:r>
              <w:rPr>
                <w:sz w:val="20"/>
              </w:rPr>
              <w:t>A16.04.024,</w:t>
            </w:r>
            <w:r>
              <w:rPr>
                <w:spacing w:val="-10"/>
                <w:sz w:val="20"/>
              </w:rPr>
              <w:t> </w:t>
            </w:r>
            <w:r>
              <w:rPr>
                <w:spacing w:val="-2"/>
                <w:sz w:val="20"/>
              </w:rPr>
              <w:t>A16.04.051,</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483" w:type="dxa"/>
          </w:tcPr>
          <w:p>
            <w:pPr>
              <w:pStyle w:val="TableParagraph"/>
              <w:rPr>
                <w:sz w:val="18"/>
              </w:rPr>
            </w:pPr>
          </w:p>
        </w:tc>
        <w:tc>
          <w:tcPr>
            <w:tcW w:w="2422" w:type="dxa"/>
          </w:tcPr>
          <w:p>
            <w:pPr>
              <w:pStyle w:val="TableParagraph"/>
              <w:rPr>
                <w:sz w:val="18"/>
              </w:rPr>
            </w:pPr>
          </w:p>
        </w:tc>
        <w:tc>
          <w:tcPr>
            <w:tcW w:w="4882" w:type="dxa"/>
          </w:tcPr>
          <w:p>
            <w:pPr>
              <w:pStyle w:val="TableParagraph"/>
              <w:spacing w:line="226" w:lineRule="exact"/>
              <w:ind w:left="1149" w:right="642"/>
              <w:jc w:val="center"/>
              <w:rPr>
                <w:sz w:val="20"/>
              </w:rPr>
            </w:pPr>
            <w:r>
              <w:rPr>
                <w:w w:val="95"/>
                <w:sz w:val="20"/>
              </w:rPr>
              <w:t>A16.30.017.003,</w:t>
            </w:r>
            <w:r>
              <w:rPr>
                <w:spacing w:val="54"/>
                <w:sz w:val="20"/>
              </w:rPr>
              <w:t> </w:t>
            </w:r>
            <w:r>
              <w:rPr>
                <w:spacing w:val="-2"/>
                <w:sz w:val="20"/>
              </w:rPr>
              <w:t>A16.30.019.004</w:t>
            </w:r>
          </w:p>
        </w:tc>
        <w:tc>
          <w:tcPr>
            <w:tcW w:w="1572" w:type="dxa"/>
          </w:tcPr>
          <w:p>
            <w:pPr>
              <w:pStyle w:val="TableParagraph"/>
              <w:rPr>
                <w:sz w:val="18"/>
              </w:rPr>
            </w:pPr>
          </w:p>
        </w:tc>
        <w:tc>
          <w:tcPr>
            <w:tcW w:w="1260"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ds29.002</w:t>
            </w:r>
          </w:p>
        </w:tc>
        <w:tc>
          <w:tcPr>
            <w:tcW w:w="696" w:type="dxa"/>
          </w:tcPr>
          <w:p>
            <w:pPr>
              <w:pStyle w:val="TableParagraph"/>
              <w:spacing w:line="215" w:lineRule="exact" w:before="45"/>
              <w:ind w:left="200"/>
              <w:rPr>
                <w:sz w:val="20"/>
              </w:rPr>
            </w:pPr>
            <w:r>
              <w:rPr>
                <w:spacing w:val="-5"/>
                <w:sz w:val="20"/>
              </w:rPr>
              <w:t>126</w:t>
            </w:r>
          </w:p>
        </w:tc>
        <w:tc>
          <w:tcPr>
            <w:tcW w:w="3483"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422" w:type="dxa"/>
          </w:tcPr>
          <w:p>
            <w:pPr>
              <w:pStyle w:val="TableParagraph"/>
              <w:spacing w:line="215" w:lineRule="exact" w:before="45"/>
              <w:ind w:right="1150"/>
              <w:jc w:val="right"/>
              <w:rPr>
                <w:sz w:val="20"/>
              </w:rPr>
            </w:pPr>
            <w:r>
              <w:rPr>
                <w:w w:val="99"/>
                <w:sz w:val="20"/>
              </w:rPr>
              <w:t>-</w:t>
            </w:r>
          </w:p>
        </w:tc>
        <w:tc>
          <w:tcPr>
            <w:tcW w:w="4882" w:type="dxa"/>
          </w:tcPr>
          <w:p>
            <w:pPr>
              <w:pStyle w:val="TableParagraph"/>
              <w:spacing w:line="215" w:lineRule="exact" w:before="45"/>
              <w:ind w:left="1148" w:right="644"/>
              <w:jc w:val="center"/>
              <w:rPr>
                <w:sz w:val="20"/>
              </w:rPr>
            </w:pPr>
            <w:r>
              <w:rPr>
                <w:sz w:val="20"/>
              </w:rPr>
              <w:t>A16.02.002,</w:t>
            </w:r>
            <w:r>
              <w:rPr>
                <w:spacing w:val="-9"/>
                <w:sz w:val="20"/>
              </w:rPr>
              <w:t> </w:t>
            </w:r>
            <w:r>
              <w:rPr>
                <w:sz w:val="20"/>
              </w:rPr>
              <w:t>A16.03.001,</w:t>
            </w:r>
            <w:r>
              <w:rPr>
                <w:spacing w:val="-10"/>
                <w:sz w:val="20"/>
              </w:rPr>
              <w:t> </w:t>
            </w:r>
            <w:r>
              <w:rPr>
                <w:spacing w:val="-2"/>
                <w:sz w:val="20"/>
              </w:rPr>
              <w:t>A16.03.016,</w:t>
            </w:r>
          </w:p>
        </w:tc>
        <w:tc>
          <w:tcPr>
            <w:tcW w:w="1572" w:type="dxa"/>
          </w:tcPr>
          <w:p>
            <w:pPr>
              <w:pStyle w:val="TableParagraph"/>
              <w:spacing w:line="215" w:lineRule="exact" w:before="45"/>
              <w:ind w:left="647"/>
              <w:rPr>
                <w:sz w:val="20"/>
              </w:rPr>
            </w:pPr>
            <w:r>
              <w:rPr>
                <w:w w:val="99"/>
                <w:sz w:val="20"/>
              </w:rPr>
              <w:t>-</w:t>
            </w:r>
          </w:p>
        </w:tc>
        <w:tc>
          <w:tcPr>
            <w:tcW w:w="1260" w:type="dxa"/>
          </w:tcPr>
          <w:p>
            <w:pPr>
              <w:pStyle w:val="TableParagraph"/>
              <w:spacing w:line="215" w:lineRule="exact" w:before="45"/>
              <w:ind w:right="46"/>
              <w:jc w:val="right"/>
              <w:rPr>
                <w:sz w:val="20"/>
              </w:rPr>
            </w:pPr>
            <w:r>
              <w:rPr>
                <w:spacing w:val="-4"/>
                <w:sz w:val="20"/>
              </w:rPr>
              <w:t>1,69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10" w:lineRule="exact"/>
              <w:ind w:left="193"/>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422" w:type="dxa"/>
          </w:tcPr>
          <w:p>
            <w:pPr>
              <w:pStyle w:val="TableParagraph"/>
              <w:rPr>
                <w:sz w:val="16"/>
              </w:rPr>
            </w:pPr>
          </w:p>
        </w:tc>
        <w:tc>
          <w:tcPr>
            <w:tcW w:w="4882" w:type="dxa"/>
          </w:tcPr>
          <w:p>
            <w:pPr>
              <w:pStyle w:val="TableParagraph"/>
              <w:spacing w:line="210" w:lineRule="exact"/>
              <w:ind w:left="1149" w:right="642"/>
              <w:jc w:val="center"/>
              <w:rPr>
                <w:sz w:val="20"/>
              </w:rPr>
            </w:pPr>
            <w:r>
              <w:rPr>
                <w:sz w:val="20"/>
              </w:rPr>
              <w:t>A16.03.029,</w:t>
            </w:r>
            <w:r>
              <w:rPr>
                <w:spacing w:val="-8"/>
                <w:sz w:val="20"/>
              </w:rPr>
              <w:t> </w:t>
            </w:r>
            <w:r>
              <w:rPr>
                <w:sz w:val="20"/>
              </w:rPr>
              <w:t>A16.03.034,</w:t>
            </w:r>
            <w:r>
              <w:rPr>
                <w:spacing w:val="-9"/>
                <w:sz w:val="20"/>
              </w:rPr>
              <w:t> </w:t>
            </w:r>
            <w:r>
              <w:rPr>
                <w:spacing w:val="-2"/>
                <w:sz w:val="20"/>
              </w:rPr>
              <w:t>A16.03.090,</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483" w:type="dxa"/>
          </w:tcPr>
          <w:p>
            <w:pPr>
              <w:pStyle w:val="TableParagraph"/>
              <w:spacing w:line="226" w:lineRule="exact"/>
              <w:ind w:left="193"/>
              <w:rPr>
                <w:sz w:val="20"/>
              </w:rPr>
            </w:pPr>
            <w:r>
              <w:rPr>
                <w:sz w:val="20"/>
              </w:rPr>
              <w:t>суставах</w:t>
            </w:r>
            <w:r>
              <w:rPr>
                <w:spacing w:val="-9"/>
                <w:sz w:val="20"/>
              </w:rPr>
              <w:t> </w:t>
            </w:r>
            <w:r>
              <w:rPr>
                <w:sz w:val="20"/>
              </w:rPr>
              <w:t>(уровень</w:t>
            </w:r>
            <w:r>
              <w:rPr>
                <w:spacing w:val="-8"/>
                <w:sz w:val="20"/>
              </w:rPr>
              <w:t> </w:t>
            </w:r>
            <w:r>
              <w:rPr>
                <w:spacing w:val="-5"/>
                <w:sz w:val="20"/>
              </w:rPr>
              <w:t>2)</w:t>
            </w:r>
          </w:p>
        </w:tc>
        <w:tc>
          <w:tcPr>
            <w:tcW w:w="2422" w:type="dxa"/>
          </w:tcPr>
          <w:p>
            <w:pPr>
              <w:pStyle w:val="TableParagraph"/>
              <w:rPr>
                <w:sz w:val="18"/>
              </w:rPr>
            </w:pPr>
          </w:p>
        </w:tc>
        <w:tc>
          <w:tcPr>
            <w:tcW w:w="4882" w:type="dxa"/>
          </w:tcPr>
          <w:p>
            <w:pPr>
              <w:pStyle w:val="TableParagraph"/>
              <w:spacing w:line="226" w:lineRule="exact"/>
              <w:ind w:left="1149" w:right="639"/>
              <w:jc w:val="center"/>
              <w:rPr>
                <w:sz w:val="20"/>
              </w:rPr>
            </w:pPr>
            <w:r>
              <w:rPr>
                <w:spacing w:val="-2"/>
                <w:sz w:val="20"/>
              </w:rPr>
              <w:t>A16.04.039</w:t>
            </w:r>
          </w:p>
        </w:tc>
        <w:tc>
          <w:tcPr>
            <w:tcW w:w="1572" w:type="dxa"/>
          </w:tcPr>
          <w:p>
            <w:pPr>
              <w:pStyle w:val="TableParagraph"/>
              <w:rPr>
                <w:sz w:val="18"/>
              </w:rPr>
            </w:pPr>
          </w:p>
        </w:tc>
        <w:tc>
          <w:tcPr>
            <w:tcW w:w="1260"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ds29.003</w:t>
            </w:r>
          </w:p>
        </w:tc>
        <w:tc>
          <w:tcPr>
            <w:tcW w:w="696" w:type="dxa"/>
          </w:tcPr>
          <w:p>
            <w:pPr>
              <w:pStyle w:val="TableParagraph"/>
              <w:spacing w:line="215" w:lineRule="exact" w:before="45"/>
              <w:ind w:left="200"/>
              <w:rPr>
                <w:sz w:val="20"/>
              </w:rPr>
            </w:pPr>
            <w:r>
              <w:rPr>
                <w:spacing w:val="-5"/>
                <w:sz w:val="20"/>
              </w:rPr>
              <w:t>127</w:t>
            </w:r>
          </w:p>
        </w:tc>
        <w:tc>
          <w:tcPr>
            <w:tcW w:w="3483"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422" w:type="dxa"/>
          </w:tcPr>
          <w:p>
            <w:pPr>
              <w:pStyle w:val="TableParagraph"/>
              <w:spacing w:line="215" w:lineRule="exact" w:before="45"/>
              <w:ind w:right="1150"/>
              <w:jc w:val="right"/>
              <w:rPr>
                <w:sz w:val="20"/>
              </w:rPr>
            </w:pPr>
            <w:r>
              <w:rPr>
                <w:w w:val="99"/>
                <w:sz w:val="20"/>
              </w:rPr>
              <w:t>-</w:t>
            </w:r>
          </w:p>
        </w:tc>
        <w:tc>
          <w:tcPr>
            <w:tcW w:w="4882" w:type="dxa"/>
          </w:tcPr>
          <w:p>
            <w:pPr>
              <w:pStyle w:val="TableParagraph"/>
              <w:spacing w:line="215" w:lineRule="exact" w:before="45"/>
              <w:ind w:left="1149" w:right="643"/>
              <w:jc w:val="center"/>
              <w:rPr>
                <w:sz w:val="20"/>
              </w:rPr>
            </w:pPr>
            <w:r>
              <w:rPr>
                <w:sz w:val="20"/>
              </w:rPr>
              <w:t>A16.02.005,</w:t>
            </w:r>
            <w:r>
              <w:rPr>
                <w:spacing w:val="-9"/>
                <w:sz w:val="20"/>
              </w:rPr>
              <w:t> </w:t>
            </w:r>
            <w:r>
              <w:rPr>
                <w:spacing w:val="-2"/>
                <w:sz w:val="20"/>
              </w:rPr>
              <w:t>A16.02.005.003,</w:t>
            </w:r>
          </w:p>
        </w:tc>
        <w:tc>
          <w:tcPr>
            <w:tcW w:w="1572" w:type="dxa"/>
          </w:tcPr>
          <w:p>
            <w:pPr>
              <w:pStyle w:val="TableParagraph"/>
              <w:spacing w:line="215" w:lineRule="exact" w:before="45"/>
              <w:ind w:left="647"/>
              <w:rPr>
                <w:sz w:val="20"/>
              </w:rPr>
            </w:pPr>
            <w:r>
              <w:rPr>
                <w:w w:val="99"/>
                <w:sz w:val="20"/>
              </w:rPr>
              <w:t>-</w:t>
            </w:r>
          </w:p>
        </w:tc>
        <w:tc>
          <w:tcPr>
            <w:tcW w:w="1260" w:type="dxa"/>
          </w:tcPr>
          <w:p>
            <w:pPr>
              <w:pStyle w:val="TableParagraph"/>
              <w:spacing w:line="215" w:lineRule="exact" w:before="45"/>
              <w:ind w:right="46"/>
              <w:jc w:val="right"/>
              <w:rPr>
                <w:sz w:val="20"/>
              </w:rPr>
            </w:pPr>
            <w:r>
              <w:rPr>
                <w:spacing w:val="-4"/>
                <w:sz w:val="20"/>
              </w:rPr>
              <w:t>2,49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10" w:lineRule="exact"/>
              <w:ind w:left="193"/>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422" w:type="dxa"/>
          </w:tcPr>
          <w:p>
            <w:pPr>
              <w:pStyle w:val="TableParagraph"/>
              <w:rPr>
                <w:sz w:val="16"/>
              </w:rPr>
            </w:pPr>
          </w:p>
        </w:tc>
        <w:tc>
          <w:tcPr>
            <w:tcW w:w="4882" w:type="dxa"/>
          </w:tcPr>
          <w:p>
            <w:pPr>
              <w:pStyle w:val="TableParagraph"/>
              <w:spacing w:line="210" w:lineRule="exact"/>
              <w:ind w:left="1149" w:right="643"/>
              <w:jc w:val="center"/>
              <w:rPr>
                <w:sz w:val="20"/>
              </w:rPr>
            </w:pPr>
            <w:r>
              <w:rPr>
                <w:w w:val="95"/>
                <w:sz w:val="20"/>
              </w:rPr>
              <w:t>A16.02.009.001,</w:t>
            </w:r>
            <w:r>
              <w:rPr>
                <w:spacing w:val="54"/>
                <w:sz w:val="20"/>
              </w:rPr>
              <w:t> </w:t>
            </w:r>
            <w:r>
              <w:rPr>
                <w:spacing w:val="-2"/>
                <w:sz w:val="20"/>
              </w:rPr>
              <w:t>A16.02.016,</w:t>
            </w:r>
          </w:p>
        </w:tc>
        <w:tc>
          <w:tcPr>
            <w:tcW w:w="1572" w:type="dxa"/>
          </w:tcPr>
          <w:p>
            <w:pPr>
              <w:pStyle w:val="TableParagraph"/>
              <w:rPr>
                <w:sz w:val="16"/>
              </w:rPr>
            </w:pPr>
          </w:p>
        </w:tc>
        <w:tc>
          <w:tcPr>
            <w:tcW w:w="1260"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05" w:lineRule="exact"/>
              <w:ind w:left="193"/>
              <w:rPr>
                <w:sz w:val="20"/>
              </w:rPr>
            </w:pPr>
            <w:r>
              <w:rPr>
                <w:sz w:val="20"/>
              </w:rPr>
              <w:t>суставах</w:t>
            </w:r>
            <w:r>
              <w:rPr>
                <w:spacing w:val="-9"/>
                <w:sz w:val="20"/>
              </w:rPr>
              <w:t> </w:t>
            </w:r>
            <w:r>
              <w:rPr>
                <w:sz w:val="20"/>
              </w:rPr>
              <w:t>(уровень</w:t>
            </w:r>
            <w:r>
              <w:rPr>
                <w:spacing w:val="-8"/>
                <w:sz w:val="20"/>
              </w:rPr>
              <w:t> </w:t>
            </w:r>
            <w:r>
              <w:rPr>
                <w:spacing w:val="-5"/>
                <w:sz w:val="20"/>
              </w:rPr>
              <w:t>3)</w:t>
            </w:r>
          </w:p>
        </w:tc>
        <w:tc>
          <w:tcPr>
            <w:tcW w:w="2422" w:type="dxa"/>
          </w:tcPr>
          <w:p>
            <w:pPr>
              <w:pStyle w:val="TableParagraph"/>
              <w:rPr>
                <w:sz w:val="16"/>
              </w:rPr>
            </w:pPr>
          </w:p>
        </w:tc>
        <w:tc>
          <w:tcPr>
            <w:tcW w:w="4882" w:type="dxa"/>
          </w:tcPr>
          <w:p>
            <w:pPr>
              <w:pStyle w:val="TableParagraph"/>
              <w:spacing w:line="205" w:lineRule="exact"/>
              <w:ind w:left="1148" w:right="644"/>
              <w:jc w:val="center"/>
              <w:rPr>
                <w:sz w:val="20"/>
              </w:rPr>
            </w:pPr>
            <w:r>
              <w:rPr>
                <w:sz w:val="20"/>
              </w:rPr>
              <w:t>A16.03.002,</w:t>
            </w:r>
            <w:r>
              <w:rPr>
                <w:spacing w:val="-9"/>
                <w:sz w:val="20"/>
              </w:rPr>
              <w:t> </w:t>
            </w:r>
            <w:r>
              <w:rPr>
                <w:sz w:val="20"/>
              </w:rPr>
              <w:t>A16.04.003,</w:t>
            </w:r>
            <w:r>
              <w:rPr>
                <w:spacing w:val="-10"/>
                <w:sz w:val="20"/>
              </w:rPr>
              <w:t> </w:t>
            </w:r>
            <w:r>
              <w:rPr>
                <w:spacing w:val="-2"/>
                <w:sz w:val="20"/>
              </w:rPr>
              <w:t>A16.04.004,</w:t>
            </w:r>
          </w:p>
        </w:tc>
        <w:tc>
          <w:tcPr>
            <w:tcW w:w="1572"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87"/>
        <w:gridCol w:w="5165"/>
        <w:gridCol w:w="2382"/>
        <w:gridCol w:w="2326"/>
        <w:gridCol w:w="1261"/>
      </w:tblGrid>
      <w:tr>
        <w:trPr>
          <w:trHeight w:val="734" w:hRule="atLeast"/>
        </w:trPr>
        <w:tc>
          <w:tcPr>
            <w:tcW w:w="15295" w:type="dxa"/>
            <w:gridSpan w:val="7"/>
          </w:tcPr>
          <w:p>
            <w:pPr>
              <w:pStyle w:val="TableParagraph"/>
              <w:ind w:left="9080" w:right="3822" w:hanging="5"/>
              <w:jc w:val="center"/>
              <w:rPr>
                <w:sz w:val="20"/>
              </w:rPr>
            </w:pPr>
            <w:r>
              <w:rPr>
                <w:sz w:val="20"/>
              </w:rPr>
              <w:t>A16.04.006,</w:t>
            </w:r>
            <w:r>
              <w:rPr>
                <w:spacing w:val="-13"/>
                <w:sz w:val="20"/>
              </w:rPr>
              <w:t> </w:t>
            </w:r>
            <w:r>
              <w:rPr>
                <w:sz w:val="20"/>
              </w:rPr>
              <w:t>A16.04.019.003, A16.04.024.001,</w:t>
            </w:r>
            <w:r>
              <w:rPr>
                <w:spacing w:val="-13"/>
                <w:sz w:val="20"/>
              </w:rPr>
              <w:t> </w:t>
            </w:r>
            <w:r>
              <w:rPr>
                <w:sz w:val="20"/>
              </w:rPr>
              <w:t>A16.04.047, </w:t>
            </w:r>
            <w:r>
              <w:rPr>
                <w:spacing w:val="-2"/>
                <w:sz w:val="20"/>
              </w:rPr>
              <w:t>A16.04.050</w:t>
            </w:r>
          </w:p>
        </w:tc>
      </w:tr>
      <w:tr>
        <w:trPr>
          <w:trHeight w:val="280" w:hRule="atLeast"/>
        </w:trPr>
        <w:tc>
          <w:tcPr>
            <w:tcW w:w="978" w:type="dxa"/>
          </w:tcPr>
          <w:p>
            <w:pPr>
              <w:pStyle w:val="TableParagraph"/>
              <w:spacing w:line="215" w:lineRule="exact" w:before="46"/>
              <w:ind w:left="50"/>
              <w:rPr>
                <w:sz w:val="20"/>
              </w:rPr>
            </w:pPr>
            <w:r>
              <w:rPr>
                <w:spacing w:val="-2"/>
                <w:sz w:val="20"/>
              </w:rPr>
              <w:t>ds29.004</w:t>
            </w:r>
          </w:p>
        </w:tc>
        <w:tc>
          <w:tcPr>
            <w:tcW w:w="696" w:type="dxa"/>
          </w:tcPr>
          <w:p>
            <w:pPr>
              <w:pStyle w:val="TableParagraph"/>
              <w:spacing w:line="215" w:lineRule="exact" w:before="46"/>
              <w:ind w:left="200"/>
              <w:rPr>
                <w:sz w:val="20"/>
              </w:rPr>
            </w:pPr>
            <w:r>
              <w:rPr>
                <w:spacing w:val="-5"/>
                <w:sz w:val="20"/>
              </w:rPr>
              <w:t>128</w:t>
            </w:r>
          </w:p>
        </w:tc>
        <w:tc>
          <w:tcPr>
            <w:tcW w:w="2487" w:type="dxa"/>
          </w:tcPr>
          <w:p>
            <w:pPr>
              <w:pStyle w:val="TableParagraph"/>
              <w:spacing w:line="215" w:lineRule="exact" w:before="46"/>
              <w:ind w:left="193"/>
              <w:rPr>
                <w:sz w:val="20"/>
              </w:rPr>
            </w:pPr>
            <w:r>
              <w:rPr>
                <w:spacing w:val="-2"/>
                <w:sz w:val="20"/>
              </w:rPr>
              <w:t>Заболевания</w:t>
            </w:r>
            <w:r>
              <w:rPr>
                <w:spacing w:val="8"/>
                <w:sz w:val="20"/>
              </w:rPr>
              <w:t> </w:t>
            </w:r>
            <w:r>
              <w:rPr>
                <w:spacing w:val="-2"/>
                <w:sz w:val="20"/>
              </w:rPr>
              <w:t>опорно-</w:t>
            </w:r>
          </w:p>
        </w:tc>
        <w:tc>
          <w:tcPr>
            <w:tcW w:w="5165" w:type="dxa"/>
          </w:tcPr>
          <w:p>
            <w:pPr>
              <w:pStyle w:val="TableParagraph"/>
              <w:spacing w:line="215" w:lineRule="exact" w:before="46"/>
              <w:ind w:left="209" w:right="910"/>
              <w:jc w:val="center"/>
              <w:rPr>
                <w:sz w:val="20"/>
              </w:rPr>
            </w:pPr>
            <w:r>
              <w:rPr>
                <w:sz w:val="20"/>
              </w:rPr>
              <w:t>A26.7,</w:t>
            </w:r>
            <w:r>
              <w:rPr>
                <w:spacing w:val="-6"/>
                <w:sz w:val="20"/>
              </w:rPr>
              <w:t> </w:t>
            </w:r>
            <w:r>
              <w:rPr>
                <w:sz w:val="20"/>
              </w:rPr>
              <w:t>A48.0,</w:t>
            </w:r>
            <w:r>
              <w:rPr>
                <w:spacing w:val="-6"/>
                <w:sz w:val="20"/>
              </w:rPr>
              <w:t> </w:t>
            </w:r>
            <w:r>
              <w:rPr>
                <w:sz w:val="20"/>
              </w:rPr>
              <w:t>D03,</w:t>
            </w:r>
            <w:r>
              <w:rPr>
                <w:spacing w:val="-6"/>
                <w:sz w:val="20"/>
              </w:rPr>
              <w:t> </w:t>
            </w:r>
            <w:r>
              <w:rPr>
                <w:sz w:val="20"/>
              </w:rPr>
              <w:t>D03.0,</w:t>
            </w:r>
            <w:r>
              <w:rPr>
                <w:spacing w:val="-6"/>
                <w:sz w:val="20"/>
              </w:rPr>
              <w:t> </w:t>
            </w:r>
            <w:r>
              <w:rPr>
                <w:sz w:val="20"/>
              </w:rPr>
              <w:t>D03.1,</w:t>
            </w:r>
            <w:r>
              <w:rPr>
                <w:spacing w:val="-6"/>
                <w:sz w:val="20"/>
              </w:rPr>
              <w:t> </w:t>
            </w:r>
            <w:r>
              <w:rPr>
                <w:sz w:val="20"/>
              </w:rPr>
              <w:t>D03.2,</w:t>
            </w:r>
            <w:r>
              <w:rPr>
                <w:spacing w:val="-6"/>
                <w:sz w:val="20"/>
              </w:rPr>
              <w:t> </w:t>
            </w:r>
            <w:r>
              <w:rPr>
                <w:spacing w:val="-2"/>
                <w:sz w:val="20"/>
              </w:rPr>
              <w:t>D03.3,</w:t>
            </w:r>
          </w:p>
        </w:tc>
        <w:tc>
          <w:tcPr>
            <w:tcW w:w="2382" w:type="dxa"/>
          </w:tcPr>
          <w:p>
            <w:pPr>
              <w:pStyle w:val="TableParagraph"/>
              <w:spacing w:line="215" w:lineRule="exact" w:before="46"/>
              <w:ind w:right="482"/>
              <w:jc w:val="center"/>
              <w:rPr>
                <w:sz w:val="20"/>
              </w:rPr>
            </w:pPr>
            <w:r>
              <w:rPr>
                <w:w w:val="99"/>
                <w:sz w:val="20"/>
              </w:rPr>
              <w:t>-</w:t>
            </w:r>
          </w:p>
        </w:tc>
        <w:tc>
          <w:tcPr>
            <w:tcW w:w="2326" w:type="dxa"/>
          </w:tcPr>
          <w:p>
            <w:pPr>
              <w:pStyle w:val="TableParagraph"/>
              <w:spacing w:line="215" w:lineRule="exact" w:before="46"/>
              <w:ind w:left="540"/>
              <w:jc w:val="center"/>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1,05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spacing w:line="210" w:lineRule="exact"/>
              <w:ind w:left="193"/>
              <w:rPr>
                <w:sz w:val="20"/>
              </w:rPr>
            </w:pPr>
            <w:r>
              <w:rPr>
                <w:spacing w:val="-2"/>
                <w:sz w:val="20"/>
              </w:rPr>
              <w:t>двигательного</w:t>
            </w:r>
            <w:r>
              <w:rPr>
                <w:spacing w:val="10"/>
                <w:sz w:val="20"/>
              </w:rPr>
              <w:t> </w:t>
            </w:r>
            <w:r>
              <w:rPr>
                <w:spacing w:val="-2"/>
                <w:sz w:val="20"/>
              </w:rPr>
              <w:t>аппарата,</w:t>
            </w:r>
          </w:p>
        </w:tc>
        <w:tc>
          <w:tcPr>
            <w:tcW w:w="5165" w:type="dxa"/>
          </w:tcPr>
          <w:p>
            <w:pPr>
              <w:pStyle w:val="TableParagraph"/>
              <w:spacing w:line="210" w:lineRule="exact"/>
              <w:ind w:left="209" w:right="912"/>
              <w:jc w:val="center"/>
              <w:rPr>
                <w:sz w:val="20"/>
              </w:rPr>
            </w:pPr>
            <w:r>
              <w:rPr>
                <w:sz w:val="20"/>
              </w:rPr>
              <w:t>D03.4,</w:t>
            </w:r>
            <w:r>
              <w:rPr>
                <w:spacing w:val="-5"/>
                <w:sz w:val="20"/>
              </w:rPr>
              <w:t> </w:t>
            </w:r>
            <w:r>
              <w:rPr>
                <w:sz w:val="20"/>
              </w:rPr>
              <w:t>D03.5,</w:t>
            </w:r>
            <w:r>
              <w:rPr>
                <w:spacing w:val="-5"/>
                <w:sz w:val="20"/>
              </w:rPr>
              <w:t> </w:t>
            </w:r>
            <w:r>
              <w:rPr>
                <w:sz w:val="20"/>
              </w:rPr>
              <w:t>D03.6,</w:t>
            </w:r>
            <w:r>
              <w:rPr>
                <w:spacing w:val="-4"/>
                <w:sz w:val="20"/>
              </w:rPr>
              <w:t> </w:t>
            </w:r>
            <w:r>
              <w:rPr>
                <w:sz w:val="20"/>
              </w:rPr>
              <w:t>D03.7,</w:t>
            </w:r>
            <w:r>
              <w:rPr>
                <w:spacing w:val="-6"/>
                <w:sz w:val="20"/>
              </w:rPr>
              <w:t> </w:t>
            </w:r>
            <w:r>
              <w:rPr>
                <w:sz w:val="20"/>
              </w:rPr>
              <w:t>D03.8,</w:t>
            </w:r>
            <w:r>
              <w:rPr>
                <w:spacing w:val="-4"/>
                <w:sz w:val="20"/>
              </w:rPr>
              <w:t> </w:t>
            </w:r>
            <w:r>
              <w:rPr>
                <w:sz w:val="20"/>
              </w:rPr>
              <w:t>D03.9,</w:t>
            </w:r>
            <w:r>
              <w:rPr>
                <w:spacing w:val="-6"/>
                <w:sz w:val="20"/>
              </w:rPr>
              <w:t> </w:t>
            </w:r>
            <w:r>
              <w:rPr>
                <w:spacing w:val="-4"/>
                <w:sz w:val="20"/>
              </w:rPr>
              <w:t>D04,</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spacing w:line="209" w:lineRule="exact"/>
              <w:ind w:left="193"/>
              <w:rPr>
                <w:sz w:val="20"/>
              </w:rPr>
            </w:pPr>
            <w:r>
              <w:rPr>
                <w:sz w:val="20"/>
              </w:rPr>
              <w:t>травмы,</w:t>
            </w:r>
            <w:r>
              <w:rPr>
                <w:spacing w:val="-6"/>
                <w:sz w:val="20"/>
              </w:rPr>
              <w:t> </w:t>
            </w:r>
            <w:r>
              <w:rPr>
                <w:sz w:val="20"/>
              </w:rPr>
              <w:t>болезни</w:t>
            </w:r>
            <w:r>
              <w:rPr>
                <w:spacing w:val="-8"/>
                <w:sz w:val="20"/>
              </w:rPr>
              <w:t> </w:t>
            </w:r>
            <w:r>
              <w:rPr>
                <w:spacing w:val="-2"/>
                <w:sz w:val="20"/>
              </w:rPr>
              <w:t>мягких</w:t>
            </w:r>
          </w:p>
        </w:tc>
        <w:tc>
          <w:tcPr>
            <w:tcW w:w="5165" w:type="dxa"/>
          </w:tcPr>
          <w:p>
            <w:pPr>
              <w:pStyle w:val="TableParagraph"/>
              <w:spacing w:line="209" w:lineRule="exact"/>
              <w:ind w:left="209" w:right="909"/>
              <w:jc w:val="center"/>
              <w:rPr>
                <w:sz w:val="20"/>
              </w:rPr>
            </w:pPr>
            <w:r>
              <w:rPr>
                <w:sz w:val="20"/>
              </w:rPr>
              <w:t>D04.0,</w:t>
            </w:r>
            <w:r>
              <w:rPr>
                <w:spacing w:val="-4"/>
                <w:sz w:val="20"/>
              </w:rPr>
              <w:t> </w:t>
            </w:r>
            <w:r>
              <w:rPr>
                <w:sz w:val="20"/>
              </w:rPr>
              <w:t>D04.1,</w:t>
            </w:r>
            <w:r>
              <w:rPr>
                <w:spacing w:val="-6"/>
                <w:sz w:val="20"/>
              </w:rPr>
              <w:t> </w:t>
            </w:r>
            <w:r>
              <w:rPr>
                <w:sz w:val="20"/>
              </w:rPr>
              <w:t>D04.2,</w:t>
            </w:r>
            <w:r>
              <w:rPr>
                <w:spacing w:val="-4"/>
                <w:sz w:val="20"/>
              </w:rPr>
              <w:t> </w:t>
            </w:r>
            <w:r>
              <w:rPr>
                <w:sz w:val="20"/>
              </w:rPr>
              <w:t>D04.3,</w:t>
            </w:r>
            <w:r>
              <w:rPr>
                <w:spacing w:val="-6"/>
                <w:sz w:val="20"/>
              </w:rPr>
              <w:t> </w:t>
            </w:r>
            <w:r>
              <w:rPr>
                <w:sz w:val="20"/>
              </w:rPr>
              <w:t>D04.4,</w:t>
            </w:r>
            <w:r>
              <w:rPr>
                <w:spacing w:val="-4"/>
                <w:sz w:val="20"/>
              </w:rPr>
              <w:t> </w:t>
            </w:r>
            <w:r>
              <w:rPr>
                <w:spacing w:val="-2"/>
                <w:sz w:val="20"/>
              </w:rPr>
              <w:t>D04.5,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spacing w:line="209" w:lineRule="exact"/>
              <w:ind w:left="193"/>
              <w:rPr>
                <w:sz w:val="20"/>
              </w:rPr>
            </w:pPr>
            <w:r>
              <w:rPr>
                <w:spacing w:val="-2"/>
                <w:sz w:val="20"/>
              </w:rPr>
              <w:t>тканей</w:t>
            </w:r>
          </w:p>
        </w:tc>
        <w:tc>
          <w:tcPr>
            <w:tcW w:w="5165" w:type="dxa"/>
          </w:tcPr>
          <w:p>
            <w:pPr>
              <w:pStyle w:val="TableParagraph"/>
              <w:spacing w:line="209" w:lineRule="exact"/>
              <w:ind w:left="209" w:right="907"/>
              <w:jc w:val="center"/>
              <w:rPr>
                <w:sz w:val="20"/>
              </w:rPr>
            </w:pPr>
            <w:r>
              <w:rPr>
                <w:sz w:val="20"/>
              </w:rPr>
              <w:t>D04.6,</w:t>
            </w:r>
            <w:r>
              <w:rPr>
                <w:spacing w:val="-4"/>
                <w:sz w:val="20"/>
              </w:rPr>
              <w:t> </w:t>
            </w:r>
            <w:r>
              <w:rPr>
                <w:sz w:val="20"/>
              </w:rPr>
              <w:t>D04.7,</w:t>
            </w:r>
            <w:r>
              <w:rPr>
                <w:spacing w:val="-6"/>
                <w:sz w:val="20"/>
              </w:rPr>
              <w:t> </w:t>
            </w:r>
            <w:r>
              <w:rPr>
                <w:sz w:val="20"/>
              </w:rPr>
              <w:t>D04.8,</w:t>
            </w:r>
            <w:r>
              <w:rPr>
                <w:spacing w:val="-3"/>
                <w:sz w:val="20"/>
              </w:rPr>
              <w:t> </w:t>
            </w:r>
            <w:r>
              <w:rPr>
                <w:sz w:val="20"/>
              </w:rPr>
              <w:t>D04.9,</w:t>
            </w:r>
            <w:r>
              <w:rPr>
                <w:spacing w:val="-6"/>
                <w:sz w:val="20"/>
              </w:rPr>
              <w:t> </w:t>
            </w:r>
            <w:r>
              <w:rPr>
                <w:sz w:val="20"/>
              </w:rPr>
              <w:t>D16.0,</w:t>
            </w:r>
            <w:r>
              <w:rPr>
                <w:spacing w:val="-4"/>
                <w:sz w:val="20"/>
              </w:rPr>
              <w:t> </w:t>
            </w:r>
            <w:r>
              <w:rPr>
                <w:spacing w:val="-2"/>
                <w:sz w:val="20"/>
              </w:rPr>
              <w:t>D16.1,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1" w:lineRule="exact"/>
              <w:ind w:left="209" w:right="912"/>
              <w:jc w:val="center"/>
              <w:rPr>
                <w:sz w:val="20"/>
              </w:rPr>
            </w:pPr>
            <w:r>
              <w:rPr>
                <w:sz w:val="20"/>
              </w:rPr>
              <w:t>D16.2,</w:t>
            </w:r>
            <w:r>
              <w:rPr>
                <w:spacing w:val="-5"/>
                <w:sz w:val="20"/>
              </w:rPr>
              <w:t> </w:t>
            </w:r>
            <w:r>
              <w:rPr>
                <w:sz w:val="20"/>
              </w:rPr>
              <w:t>D16.3,</w:t>
            </w:r>
            <w:r>
              <w:rPr>
                <w:spacing w:val="-5"/>
                <w:sz w:val="20"/>
              </w:rPr>
              <w:t> </w:t>
            </w:r>
            <w:r>
              <w:rPr>
                <w:sz w:val="20"/>
              </w:rPr>
              <w:t>D16.4,</w:t>
            </w:r>
            <w:r>
              <w:rPr>
                <w:spacing w:val="-4"/>
                <w:sz w:val="20"/>
              </w:rPr>
              <w:t> </w:t>
            </w:r>
            <w:r>
              <w:rPr>
                <w:sz w:val="20"/>
              </w:rPr>
              <w:t>D16.6,</w:t>
            </w:r>
            <w:r>
              <w:rPr>
                <w:spacing w:val="-6"/>
                <w:sz w:val="20"/>
              </w:rPr>
              <w:t> </w:t>
            </w:r>
            <w:r>
              <w:rPr>
                <w:sz w:val="20"/>
              </w:rPr>
              <w:t>D16.8,</w:t>
            </w:r>
            <w:r>
              <w:rPr>
                <w:spacing w:val="-4"/>
                <w:sz w:val="20"/>
              </w:rPr>
              <w:t> </w:t>
            </w:r>
            <w:r>
              <w:rPr>
                <w:sz w:val="20"/>
              </w:rPr>
              <w:t>D16.9,</w:t>
            </w:r>
            <w:r>
              <w:rPr>
                <w:spacing w:val="-6"/>
                <w:sz w:val="20"/>
              </w:rPr>
              <w:t> </w:t>
            </w:r>
            <w:r>
              <w:rPr>
                <w:spacing w:val="-4"/>
                <w:sz w:val="20"/>
              </w:rPr>
              <w:t>D17,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9"/>
              <w:jc w:val="center"/>
              <w:rPr>
                <w:sz w:val="20"/>
              </w:rPr>
            </w:pPr>
            <w:r>
              <w:rPr>
                <w:sz w:val="20"/>
              </w:rPr>
              <w:t>D17.0,</w:t>
            </w:r>
            <w:r>
              <w:rPr>
                <w:spacing w:val="-4"/>
                <w:sz w:val="20"/>
              </w:rPr>
              <w:t> </w:t>
            </w:r>
            <w:r>
              <w:rPr>
                <w:sz w:val="20"/>
              </w:rPr>
              <w:t>D17.1,</w:t>
            </w:r>
            <w:r>
              <w:rPr>
                <w:spacing w:val="-6"/>
                <w:sz w:val="20"/>
              </w:rPr>
              <w:t> </w:t>
            </w:r>
            <w:r>
              <w:rPr>
                <w:sz w:val="20"/>
              </w:rPr>
              <w:t>D17.2,</w:t>
            </w:r>
            <w:r>
              <w:rPr>
                <w:spacing w:val="-4"/>
                <w:sz w:val="20"/>
              </w:rPr>
              <w:t> </w:t>
            </w:r>
            <w:r>
              <w:rPr>
                <w:sz w:val="20"/>
              </w:rPr>
              <w:t>D17.3,</w:t>
            </w:r>
            <w:r>
              <w:rPr>
                <w:spacing w:val="-6"/>
                <w:sz w:val="20"/>
              </w:rPr>
              <w:t> </w:t>
            </w:r>
            <w:r>
              <w:rPr>
                <w:sz w:val="20"/>
              </w:rPr>
              <w:t>D17.4,</w:t>
            </w:r>
            <w:r>
              <w:rPr>
                <w:spacing w:val="-4"/>
                <w:sz w:val="20"/>
              </w:rPr>
              <w:t> </w:t>
            </w:r>
            <w:r>
              <w:rPr>
                <w:spacing w:val="-2"/>
                <w:sz w:val="20"/>
              </w:rPr>
              <w:t>D17.5,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0"/>
              <w:jc w:val="center"/>
              <w:rPr>
                <w:sz w:val="20"/>
              </w:rPr>
            </w:pPr>
            <w:r>
              <w:rPr>
                <w:sz w:val="20"/>
              </w:rPr>
              <w:t>D17.6,</w:t>
            </w:r>
            <w:r>
              <w:rPr>
                <w:spacing w:val="-6"/>
                <w:sz w:val="20"/>
              </w:rPr>
              <w:t> </w:t>
            </w:r>
            <w:r>
              <w:rPr>
                <w:sz w:val="20"/>
              </w:rPr>
              <w:t>D17.7,</w:t>
            </w:r>
            <w:r>
              <w:rPr>
                <w:spacing w:val="-6"/>
                <w:sz w:val="20"/>
              </w:rPr>
              <w:t> </w:t>
            </w:r>
            <w:r>
              <w:rPr>
                <w:sz w:val="20"/>
              </w:rPr>
              <w:t>D17.9,</w:t>
            </w:r>
            <w:r>
              <w:rPr>
                <w:spacing w:val="-5"/>
                <w:sz w:val="20"/>
              </w:rPr>
              <w:t> </w:t>
            </w:r>
            <w:r>
              <w:rPr>
                <w:sz w:val="20"/>
              </w:rPr>
              <w:t>D18,</w:t>
            </w:r>
            <w:r>
              <w:rPr>
                <w:spacing w:val="-6"/>
                <w:sz w:val="20"/>
              </w:rPr>
              <w:t> </w:t>
            </w:r>
            <w:r>
              <w:rPr>
                <w:sz w:val="20"/>
              </w:rPr>
              <w:t>D18.0,</w:t>
            </w:r>
            <w:r>
              <w:rPr>
                <w:spacing w:val="-5"/>
                <w:sz w:val="20"/>
              </w:rPr>
              <w:t> </w:t>
            </w:r>
            <w:r>
              <w:rPr>
                <w:sz w:val="20"/>
              </w:rPr>
              <w:t>D18.1,</w:t>
            </w:r>
            <w:r>
              <w:rPr>
                <w:spacing w:val="-5"/>
                <w:sz w:val="20"/>
              </w:rPr>
              <w:t> </w:t>
            </w:r>
            <w:r>
              <w:rPr>
                <w:spacing w:val="-2"/>
                <w:sz w:val="20"/>
              </w:rPr>
              <w:t>D19.7,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0"/>
              <w:jc w:val="center"/>
              <w:rPr>
                <w:sz w:val="20"/>
              </w:rPr>
            </w:pPr>
            <w:r>
              <w:rPr>
                <w:sz w:val="20"/>
              </w:rPr>
              <w:t>D19.9,</w:t>
            </w:r>
            <w:r>
              <w:rPr>
                <w:spacing w:val="-6"/>
                <w:sz w:val="20"/>
              </w:rPr>
              <w:t> </w:t>
            </w:r>
            <w:r>
              <w:rPr>
                <w:sz w:val="20"/>
              </w:rPr>
              <w:t>D21,</w:t>
            </w:r>
            <w:r>
              <w:rPr>
                <w:spacing w:val="-6"/>
                <w:sz w:val="20"/>
              </w:rPr>
              <w:t> </w:t>
            </w:r>
            <w:r>
              <w:rPr>
                <w:sz w:val="20"/>
              </w:rPr>
              <w:t>D21.0,</w:t>
            </w:r>
            <w:r>
              <w:rPr>
                <w:spacing w:val="-5"/>
                <w:sz w:val="20"/>
              </w:rPr>
              <w:t> </w:t>
            </w:r>
            <w:r>
              <w:rPr>
                <w:sz w:val="20"/>
              </w:rPr>
              <w:t>D21.1,</w:t>
            </w:r>
            <w:r>
              <w:rPr>
                <w:spacing w:val="-6"/>
                <w:sz w:val="20"/>
              </w:rPr>
              <w:t> </w:t>
            </w:r>
            <w:r>
              <w:rPr>
                <w:sz w:val="20"/>
              </w:rPr>
              <w:t>D21.2,</w:t>
            </w:r>
            <w:r>
              <w:rPr>
                <w:spacing w:val="-5"/>
                <w:sz w:val="20"/>
              </w:rPr>
              <w:t> </w:t>
            </w:r>
            <w:r>
              <w:rPr>
                <w:sz w:val="20"/>
              </w:rPr>
              <w:t>D21.3,</w:t>
            </w:r>
            <w:r>
              <w:rPr>
                <w:spacing w:val="-6"/>
                <w:sz w:val="20"/>
              </w:rPr>
              <w:t> </w:t>
            </w:r>
            <w:r>
              <w:rPr>
                <w:spacing w:val="-2"/>
                <w:sz w:val="20"/>
              </w:rPr>
              <w:t>D21.4,</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3"/>
              <w:jc w:val="center"/>
              <w:rPr>
                <w:sz w:val="20"/>
              </w:rPr>
            </w:pPr>
            <w:r>
              <w:rPr>
                <w:sz w:val="20"/>
              </w:rPr>
              <w:t>D21.5,</w:t>
            </w:r>
            <w:r>
              <w:rPr>
                <w:spacing w:val="-6"/>
                <w:sz w:val="20"/>
              </w:rPr>
              <w:t> </w:t>
            </w:r>
            <w:r>
              <w:rPr>
                <w:sz w:val="20"/>
              </w:rPr>
              <w:t>D21.6,</w:t>
            </w:r>
            <w:r>
              <w:rPr>
                <w:spacing w:val="-6"/>
                <w:sz w:val="20"/>
              </w:rPr>
              <w:t> </w:t>
            </w:r>
            <w:r>
              <w:rPr>
                <w:sz w:val="20"/>
              </w:rPr>
              <w:t>D21.9,</w:t>
            </w:r>
            <w:r>
              <w:rPr>
                <w:spacing w:val="-5"/>
                <w:sz w:val="20"/>
              </w:rPr>
              <w:t> </w:t>
            </w:r>
            <w:r>
              <w:rPr>
                <w:sz w:val="20"/>
              </w:rPr>
              <w:t>D22,</w:t>
            </w:r>
            <w:r>
              <w:rPr>
                <w:spacing w:val="-6"/>
                <w:sz w:val="20"/>
              </w:rPr>
              <w:t> </w:t>
            </w:r>
            <w:r>
              <w:rPr>
                <w:sz w:val="20"/>
              </w:rPr>
              <w:t>D22.0,</w:t>
            </w:r>
            <w:r>
              <w:rPr>
                <w:spacing w:val="-5"/>
                <w:sz w:val="20"/>
              </w:rPr>
              <w:t> </w:t>
            </w:r>
            <w:r>
              <w:rPr>
                <w:sz w:val="20"/>
              </w:rPr>
              <w:t>D22.1,</w:t>
            </w:r>
            <w:r>
              <w:rPr>
                <w:spacing w:val="-5"/>
                <w:sz w:val="20"/>
              </w:rPr>
              <w:t> </w:t>
            </w:r>
            <w:r>
              <w:rPr>
                <w:spacing w:val="-2"/>
                <w:sz w:val="20"/>
              </w:rPr>
              <w:t>D22.2,</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12"/>
              <w:jc w:val="center"/>
              <w:rPr>
                <w:sz w:val="20"/>
              </w:rPr>
            </w:pPr>
            <w:r>
              <w:rPr>
                <w:sz w:val="20"/>
              </w:rPr>
              <w:t>D22.3,</w:t>
            </w:r>
            <w:r>
              <w:rPr>
                <w:spacing w:val="-5"/>
                <w:sz w:val="20"/>
              </w:rPr>
              <w:t> </w:t>
            </w:r>
            <w:r>
              <w:rPr>
                <w:sz w:val="20"/>
              </w:rPr>
              <w:t>D22.4,</w:t>
            </w:r>
            <w:r>
              <w:rPr>
                <w:spacing w:val="-5"/>
                <w:sz w:val="20"/>
              </w:rPr>
              <w:t> </w:t>
            </w:r>
            <w:r>
              <w:rPr>
                <w:sz w:val="20"/>
              </w:rPr>
              <w:t>D22.5,</w:t>
            </w:r>
            <w:r>
              <w:rPr>
                <w:spacing w:val="-4"/>
                <w:sz w:val="20"/>
              </w:rPr>
              <w:t> </w:t>
            </w:r>
            <w:r>
              <w:rPr>
                <w:sz w:val="20"/>
              </w:rPr>
              <w:t>D22.6,</w:t>
            </w:r>
            <w:r>
              <w:rPr>
                <w:spacing w:val="-6"/>
                <w:sz w:val="20"/>
              </w:rPr>
              <w:t> </w:t>
            </w:r>
            <w:r>
              <w:rPr>
                <w:sz w:val="20"/>
              </w:rPr>
              <w:t>D22.7,</w:t>
            </w:r>
            <w:r>
              <w:rPr>
                <w:spacing w:val="-4"/>
                <w:sz w:val="20"/>
              </w:rPr>
              <w:t> </w:t>
            </w:r>
            <w:r>
              <w:rPr>
                <w:sz w:val="20"/>
              </w:rPr>
              <w:t>D22.9,</w:t>
            </w:r>
            <w:r>
              <w:rPr>
                <w:spacing w:val="-6"/>
                <w:sz w:val="20"/>
              </w:rPr>
              <w:t> </w:t>
            </w:r>
            <w:r>
              <w:rPr>
                <w:spacing w:val="-4"/>
                <w:sz w:val="20"/>
              </w:rPr>
              <w:t>D23,</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9"/>
              <w:jc w:val="center"/>
              <w:rPr>
                <w:sz w:val="20"/>
              </w:rPr>
            </w:pPr>
            <w:r>
              <w:rPr>
                <w:sz w:val="20"/>
              </w:rPr>
              <w:t>D23.0,</w:t>
            </w:r>
            <w:r>
              <w:rPr>
                <w:spacing w:val="-4"/>
                <w:sz w:val="20"/>
              </w:rPr>
              <w:t> </w:t>
            </w:r>
            <w:r>
              <w:rPr>
                <w:sz w:val="20"/>
              </w:rPr>
              <w:t>D23.1,</w:t>
            </w:r>
            <w:r>
              <w:rPr>
                <w:spacing w:val="-6"/>
                <w:sz w:val="20"/>
              </w:rPr>
              <w:t> </w:t>
            </w:r>
            <w:r>
              <w:rPr>
                <w:sz w:val="20"/>
              </w:rPr>
              <w:t>D23.2,</w:t>
            </w:r>
            <w:r>
              <w:rPr>
                <w:spacing w:val="-4"/>
                <w:sz w:val="20"/>
              </w:rPr>
              <w:t> </w:t>
            </w:r>
            <w:r>
              <w:rPr>
                <w:sz w:val="20"/>
              </w:rPr>
              <w:t>D23.3,</w:t>
            </w:r>
            <w:r>
              <w:rPr>
                <w:spacing w:val="-6"/>
                <w:sz w:val="20"/>
              </w:rPr>
              <w:t> </w:t>
            </w:r>
            <w:r>
              <w:rPr>
                <w:sz w:val="20"/>
              </w:rPr>
              <w:t>D23.4,</w:t>
            </w:r>
            <w:r>
              <w:rPr>
                <w:spacing w:val="-4"/>
                <w:sz w:val="20"/>
              </w:rPr>
              <w:t> </w:t>
            </w:r>
            <w:r>
              <w:rPr>
                <w:spacing w:val="-2"/>
                <w:sz w:val="20"/>
              </w:rPr>
              <w:t>D23.5,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0"/>
              <w:jc w:val="center"/>
              <w:rPr>
                <w:sz w:val="20"/>
              </w:rPr>
            </w:pPr>
            <w:r>
              <w:rPr>
                <w:sz w:val="20"/>
              </w:rPr>
              <w:t>D23.6,</w:t>
            </w:r>
            <w:r>
              <w:rPr>
                <w:spacing w:val="-6"/>
                <w:sz w:val="20"/>
              </w:rPr>
              <w:t> </w:t>
            </w:r>
            <w:r>
              <w:rPr>
                <w:sz w:val="20"/>
              </w:rPr>
              <w:t>D23.7,</w:t>
            </w:r>
            <w:r>
              <w:rPr>
                <w:spacing w:val="-6"/>
                <w:sz w:val="20"/>
              </w:rPr>
              <w:t> </w:t>
            </w:r>
            <w:r>
              <w:rPr>
                <w:sz w:val="20"/>
              </w:rPr>
              <w:t>D23.9,</w:t>
            </w:r>
            <w:r>
              <w:rPr>
                <w:spacing w:val="-5"/>
                <w:sz w:val="20"/>
              </w:rPr>
              <w:t> </w:t>
            </w:r>
            <w:r>
              <w:rPr>
                <w:sz w:val="20"/>
              </w:rPr>
              <w:t>D24,</w:t>
            </w:r>
            <w:r>
              <w:rPr>
                <w:spacing w:val="-6"/>
                <w:sz w:val="20"/>
              </w:rPr>
              <w:t> </w:t>
            </w:r>
            <w:r>
              <w:rPr>
                <w:sz w:val="20"/>
              </w:rPr>
              <w:t>D48.0,</w:t>
            </w:r>
            <w:r>
              <w:rPr>
                <w:spacing w:val="-5"/>
                <w:sz w:val="20"/>
              </w:rPr>
              <w:t> </w:t>
            </w:r>
            <w:r>
              <w:rPr>
                <w:sz w:val="20"/>
              </w:rPr>
              <w:t>D48.1,</w:t>
            </w:r>
            <w:r>
              <w:rPr>
                <w:spacing w:val="-5"/>
                <w:sz w:val="20"/>
              </w:rPr>
              <w:t> </w:t>
            </w:r>
            <w:r>
              <w:rPr>
                <w:spacing w:val="-2"/>
                <w:sz w:val="20"/>
              </w:rPr>
              <w:t>D48.5,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3"/>
              <w:jc w:val="center"/>
              <w:rPr>
                <w:sz w:val="20"/>
              </w:rPr>
            </w:pPr>
            <w:r>
              <w:rPr>
                <w:sz w:val="20"/>
              </w:rPr>
              <w:t>D48.6,</w:t>
            </w:r>
            <w:r>
              <w:rPr>
                <w:spacing w:val="-4"/>
                <w:sz w:val="20"/>
              </w:rPr>
              <w:t> </w:t>
            </w:r>
            <w:r>
              <w:rPr>
                <w:sz w:val="20"/>
              </w:rPr>
              <w:t>D48.7,</w:t>
            </w:r>
            <w:r>
              <w:rPr>
                <w:spacing w:val="-6"/>
                <w:sz w:val="20"/>
              </w:rPr>
              <w:t> </w:t>
            </w:r>
            <w:r>
              <w:rPr>
                <w:sz w:val="20"/>
              </w:rPr>
              <w:t>D48.9,</w:t>
            </w:r>
            <w:r>
              <w:rPr>
                <w:spacing w:val="-4"/>
                <w:sz w:val="20"/>
              </w:rPr>
              <w:t> </w:t>
            </w:r>
            <w:r>
              <w:rPr>
                <w:sz w:val="20"/>
              </w:rPr>
              <w:t>D86.3,</w:t>
            </w:r>
            <w:r>
              <w:rPr>
                <w:spacing w:val="-6"/>
                <w:sz w:val="20"/>
              </w:rPr>
              <w:t> </w:t>
            </w:r>
            <w:r>
              <w:rPr>
                <w:sz w:val="20"/>
              </w:rPr>
              <w:t>E55.0,</w:t>
            </w:r>
            <w:r>
              <w:rPr>
                <w:spacing w:val="-6"/>
                <w:sz w:val="20"/>
              </w:rPr>
              <w:t> </w:t>
            </w:r>
            <w:r>
              <w:rPr>
                <w:sz w:val="20"/>
              </w:rPr>
              <w:t>E64.3,</w:t>
            </w:r>
            <w:r>
              <w:rPr>
                <w:spacing w:val="-4"/>
                <w:sz w:val="20"/>
              </w:rPr>
              <w:t> </w:t>
            </w:r>
            <w:r>
              <w:rPr>
                <w:spacing w:val="-2"/>
                <w:sz w:val="20"/>
              </w:rPr>
              <w:t>L02.0,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9"/>
              <w:jc w:val="center"/>
              <w:rPr>
                <w:sz w:val="20"/>
              </w:rPr>
            </w:pPr>
            <w:r>
              <w:rPr>
                <w:sz w:val="20"/>
              </w:rPr>
              <w:t>L02.1,</w:t>
            </w:r>
            <w:r>
              <w:rPr>
                <w:spacing w:val="-6"/>
                <w:sz w:val="20"/>
              </w:rPr>
              <w:t> </w:t>
            </w:r>
            <w:r>
              <w:rPr>
                <w:sz w:val="20"/>
              </w:rPr>
              <w:t>L02.2,</w:t>
            </w:r>
            <w:r>
              <w:rPr>
                <w:spacing w:val="-5"/>
                <w:sz w:val="20"/>
              </w:rPr>
              <w:t> </w:t>
            </w:r>
            <w:r>
              <w:rPr>
                <w:sz w:val="20"/>
              </w:rPr>
              <w:t>L02.3,</w:t>
            </w:r>
            <w:r>
              <w:rPr>
                <w:spacing w:val="-5"/>
                <w:sz w:val="20"/>
              </w:rPr>
              <w:t> </w:t>
            </w:r>
            <w:r>
              <w:rPr>
                <w:sz w:val="20"/>
              </w:rPr>
              <w:t>L02.4,</w:t>
            </w:r>
            <w:r>
              <w:rPr>
                <w:spacing w:val="-5"/>
                <w:sz w:val="20"/>
              </w:rPr>
              <w:t> </w:t>
            </w:r>
            <w:r>
              <w:rPr>
                <w:sz w:val="20"/>
              </w:rPr>
              <w:t>L02.8,</w:t>
            </w:r>
            <w:r>
              <w:rPr>
                <w:spacing w:val="-5"/>
                <w:sz w:val="20"/>
              </w:rPr>
              <w:t> </w:t>
            </w:r>
            <w:r>
              <w:rPr>
                <w:sz w:val="20"/>
              </w:rPr>
              <w:t>L02.9,</w:t>
            </w:r>
            <w:r>
              <w:rPr>
                <w:spacing w:val="-5"/>
                <w:sz w:val="20"/>
              </w:rPr>
              <w:t> </w:t>
            </w:r>
            <w:r>
              <w:rPr>
                <w:spacing w:val="-2"/>
                <w:sz w:val="20"/>
              </w:rPr>
              <w:t>L03.0,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6"/>
              <w:jc w:val="center"/>
              <w:rPr>
                <w:sz w:val="20"/>
              </w:rPr>
            </w:pPr>
            <w:r>
              <w:rPr>
                <w:sz w:val="20"/>
              </w:rPr>
              <w:t>L03.1,</w:t>
            </w:r>
            <w:r>
              <w:rPr>
                <w:spacing w:val="-5"/>
                <w:sz w:val="20"/>
              </w:rPr>
              <w:t> </w:t>
            </w:r>
            <w:r>
              <w:rPr>
                <w:sz w:val="20"/>
              </w:rPr>
              <w:t>L03.2,</w:t>
            </w:r>
            <w:r>
              <w:rPr>
                <w:spacing w:val="-5"/>
                <w:sz w:val="20"/>
              </w:rPr>
              <w:t> </w:t>
            </w:r>
            <w:r>
              <w:rPr>
                <w:sz w:val="20"/>
              </w:rPr>
              <w:t>L03.3,</w:t>
            </w:r>
            <w:r>
              <w:rPr>
                <w:spacing w:val="-4"/>
                <w:sz w:val="20"/>
              </w:rPr>
              <w:t> </w:t>
            </w:r>
            <w:r>
              <w:rPr>
                <w:sz w:val="20"/>
              </w:rPr>
              <w:t>L03.8,</w:t>
            </w:r>
            <w:r>
              <w:rPr>
                <w:spacing w:val="-5"/>
                <w:sz w:val="20"/>
              </w:rPr>
              <w:t> </w:t>
            </w:r>
            <w:r>
              <w:rPr>
                <w:sz w:val="20"/>
              </w:rPr>
              <w:t>L03.9,</w:t>
            </w:r>
            <w:r>
              <w:rPr>
                <w:spacing w:val="-4"/>
                <w:sz w:val="20"/>
              </w:rPr>
              <w:t> </w:t>
            </w:r>
            <w:r>
              <w:rPr>
                <w:sz w:val="20"/>
              </w:rPr>
              <w:t>L05.0,</w:t>
            </w:r>
            <w:r>
              <w:rPr>
                <w:spacing w:val="-5"/>
                <w:sz w:val="20"/>
              </w:rPr>
              <w:t> </w:t>
            </w:r>
            <w:r>
              <w:rPr>
                <w:spacing w:val="-2"/>
                <w:sz w:val="20"/>
              </w:rPr>
              <w:t>L05.9,</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9"/>
              <w:jc w:val="center"/>
              <w:rPr>
                <w:sz w:val="20"/>
              </w:rPr>
            </w:pPr>
            <w:r>
              <w:rPr>
                <w:sz w:val="20"/>
              </w:rPr>
              <w:t>L72.0,</w:t>
            </w:r>
            <w:r>
              <w:rPr>
                <w:spacing w:val="-6"/>
                <w:sz w:val="20"/>
              </w:rPr>
              <w:t> </w:t>
            </w:r>
            <w:r>
              <w:rPr>
                <w:sz w:val="20"/>
              </w:rPr>
              <w:t>L72.1,</w:t>
            </w:r>
            <w:r>
              <w:rPr>
                <w:spacing w:val="-5"/>
                <w:sz w:val="20"/>
              </w:rPr>
              <w:t> </w:t>
            </w:r>
            <w:r>
              <w:rPr>
                <w:sz w:val="20"/>
              </w:rPr>
              <w:t>L72.2,</w:t>
            </w:r>
            <w:r>
              <w:rPr>
                <w:spacing w:val="-5"/>
                <w:sz w:val="20"/>
              </w:rPr>
              <w:t> </w:t>
            </w:r>
            <w:r>
              <w:rPr>
                <w:sz w:val="20"/>
              </w:rPr>
              <w:t>L72.8,</w:t>
            </w:r>
            <w:r>
              <w:rPr>
                <w:spacing w:val="-5"/>
                <w:sz w:val="20"/>
              </w:rPr>
              <w:t> </w:t>
            </w:r>
            <w:r>
              <w:rPr>
                <w:sz w:val="20"/>
              </w:rPr>
              <w:t>L72.9,</w:t>
            </w:r>
            <w:r>
              <w:rPr>
                <w:spacing w:val="-5"/>
                <w:sz w:val="20"/>
              </w:rPr>
              <w:t> </w:t>
            </w:r>
            <w:r>
              <w:rPr>
                <w:sz w:val="20"/>
              </w:rPr>
              <w:t>L73.2,</w:t>
            </w:r>
            <w:r>
              <w:rPr>
                <w:spacing w:val="-5"/>
                <w:sz w:val="20"/>
              </w:rPr>
              <w:t> </w:t>
            </w:r>
            <w:r>
              <w:rPr>
                <w:spacing w:val="-2"/>
                <w:sz w:val="20"/>
              </w:rPr>
              <w:t>L89.0,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3"/>
              <w:jc w:val="center"/>
              <w:rPr>
                <w:sz w:val="20"/>
              </w:rPr>
            </w:pPr>
            <w:r>
              <w:rPr>
                <w:sz w:val="20"/>
              </w:rPr>
              <w:t>L89.1,</w:t>
            </w:r>
            <w:r>
              <w:rPr>
                <w:spacing w:val="-5"/>
                <w:sz w:val="20"/>
              </w:rPr>
              <w:t> </w:t>
            </w:r>
            <w:r>
              <w:rPr>
                <w:sz w:val="20"/>
              </w:rPr>
              <w:t>L89.2,</w:t>
            </w:r>
            <w:r>
              <w:rPr>
                <w:spacing w:val="-5"/>
                <w:sz w:val="20"/>
              </w:rPr>
              <w:t> </w:t>
            </w:r>
            <w:r>
              <w:rPr>
                <w:sz w:val="20"/>
              </w:rPr>
              <w:t>L89.3,</w:t>
            </w:r>
            <w:r>
              <w:rPr>
                <w:spacing w:val="-4"/>
                <w:sz w:val="20"/>
              </w:rPr>
              <w:t> </w:t>
            </w:r>
            <w:r>
              <w:rPr>
                <w:sz w:val="20"/>
              </w:rPr>
              <w:t>L89.9,</w:t>
            </w:r>
            <w:r>
              <w:rPr>
                <w:spacing w:val="-5"/>
                <w:sz w:val="20"/>
              </w:rPr>
              <w:t> </w:t>
            </w:r>
            <w:r>
              <w:rPr>
                <w:sz w:val="20"/>
              </w:rPr>
              <w:t>L97,</w:t>
            </w:r>
            <w:r>
              <w:rPr>
                <w:spacing w:val="-5"/>
                <w:sz w:val="20"/>
              </w:rPr>
              <w:t> </w:t>
            </w:r>
            <w:r>
              <w:rPr>
                <w:sz w:val="20"/>
              </w:rPr>
              <w:t>L98.4,</w:t>
            </w:r>
            <w:r>
              <w:rPr>
                <w:spacing w:val="-6"/>
                <w:sz w:val="20"/>
              </w:rPr>
              <w:t> </w:t>
            </w:r>
            <w:r>
              <w:rPr>
                <w:spacing w:val="-4"/>
                <w:sz w:val="20"/>
              </w:rPr>
              <w:t>M15,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M15.0,</w:t>
            </w:r>
            <w:r>
              <w:rPr>
                <w:spacing w:val="-6"/>
                <w:sz w:val="20"/>
              </w:rPr>
              <w:t> </w:t>
            </w:r>
            <w:r>
              <w:rPr>
                <w:sz w:val="20"/>
              </w:rPr>
              <w:t>M15.1,</w:t>
            </w:r>
            <w:r>
              <w:rPr>
                <w:spacing w:val="-6"/>
                <w:sz w:val="20"/>
              </w:rPr>
              <w:t> </w:t>
            </w:r>
            <w:r>
              <w:rPr>
                <w:sz w:val="20"/>
              </w:rPr>
              <w:t>M15.2,</w:t>
            </w:r>
            <w:r>
              <w:rPr>
                <w:spacing w:val="-6"/>
                <w:sz w:val="20"/>
              </w:rPr>
              <w:t> </w:t>
            </w:r>
            <w:r>
              <w:rPr>
                <w:sz w:val="20"/>
              </w:rPr>
              <w:t>M15.3,</w:t>
            </w:r>
            <w:r>
              <w:rPr>
                <w:spacing w:val="-6"/>
                <w:sz w:val="20"/>
              </w:rPr>
              <w:t> </w:t>
            </w:r>
            <w:r>
              <w:rPr>
                <w:sz w:val="20"/>
              </w:rPr>
              <w:t>M15.4,</w:t>
            </w:r>
            <w:r>
              <w:rPr>
                <w:spacing w:val="-5"/>
                <w:sz w:val="20"/>
              </w:rPr>
              <w:t> </w:t>
            </w:r>
            <w:r>
              <w:rPr>
                <w:spacing w:val="-2"/>
                <w:sz w:val="20"/>
              </w:rPr>
              <w:t>M15.8,</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M15.9,</w:t>
            </w:r>
            <w:r>
              <w:rPr>
                <w:spacing w:val="-4"/>
                <w:sz w:val="20"/>
              </w:rPr>
              <w:t> </w:t>
            </w:r>
            <w:r>
              <w:rPr>
                <w:sz w:val="20"/>
              </w:rPr>
              <w:t>M16,</w:t>
            </w:r>
            <w:r>
              <w:rPr>
                <w:spacing w:val="-4"/>
                <w:sz w:val="20"/>
              </w:rPr>
              <w:t> </w:t>
            </w:r>
            <w:r>
              <w:rPr>
                <w:sz w:val="20"/>
              </w:rPr>
              <w:t>M16.0,</w:t>
            </w:r>
            <w:r>
              <w:rPr>
                <w:spacing w:val="-6"/>
                <w:sz w:val="20"/>
              </w:rPr>
              <w:t> </w:t>
            </w:r>
            <w:r>
              <w:rPr>
                <w:sz w:val="20"/>
              </w:rPr>
              <w:t>M16.1,</w:t>
            </w:r>
            <w:r>
              <w:rPr>
                <w:spacing w:val="-6"/>
                <w:sz w:val="20"/>
              </w:rPr>
              <w:t> </w:t>
            </w:r>
            <w:r>
              <w:rPr>
                <w:sz w:val="20"/>
              </w:rPr>
              <w:t>M16.2,</w:t>
            </w:r>
            <w:r>
              <w:rPr>
                <w:spacing w:val="-4"/>
                <w:sz w:val="20"/>
              </w:rPr>
              <w:t> </w:t>
            </w:r>
            <w:r>
              <w:rPr>
                <w:spacing w:val="-2"/>
                <w:sz w:val="20"/>
              </w:rPr>
              <w:t>M16.3,</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6"/>
              <w:jc w:val="center"/>
              <w:rPr>
                <w:sz w:val="20"/>
              </w:rPr>
            </w:pPr>
            <w:r>
              <w:rPr>
                <w:sz w:val="20"/>
              </w:rPr>
              <w:t>M16.4,</w:t>
            </w:r>
            <w:r>
              <w:rPr>
                <w:spacing w:val="-6"/>
                <w:sz w:val="20"/>
              </w:rPr>
              <w:t> </w:t>
            </w:r>
            <w:r>
              <w:rPr>
                <w:sz w:val="20"/>
              </w:rPr>
              <w:t>M16.5,</w:t>
            </w:r>
            <w:r>
              <w:rPr>
                <w:spacing w:val="-6"/>
                <w:sz w:val="20"/>
              </w:rPr>
              <w:t> </w:t>
            </w:r>
            <w:r>
              <w:rPr>
                <w:sz w:val="20"/>
              </w:rPr>
              <w:t>M16.6,</w:t>
            </w:r>
            <w:r>
              <w:rPr>
                <w:spacing w:val="-6"/>
                <w:sz w:val="20"/>
              </w:rPr>
              <w:t> </w:t>
            </w:r>
            <w:r>
              <w:rPr>
                <w:sz w:val="20"/>
              </w:rPr>
              <w:t>M16.7,</w:t>
            </w:r>
            <w:r>
              <w:rPr>
                <w:spacing w:val="-6"/>
                <w:sz w:val="20"/>
              </w:rPr>
              <w:t> </w:t>
            </w:r>
            <w:r>
              <w:rPr>
                <w:sz w:val="20"/>
              </w:rPr>
              <w:t>M16.9,</w:t>
            </w:r>
            <w:r>
              <w:rPr>
                <w:spacing w:val="-5"/>
                <w:sz w:val="20"/>
              </w:rPr>
              <w:t> </w:t>
            </w:r>
            <w:r>
              <w:rPr>
                <w:spacing w:val="-4"/>
                <w:sz w:val="20"/>
              </w:rPr>
              <w:t>M17,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10"/>
              <w:jc w:val="center"/>
              <w:rPr>
                <w:sz w:val="20"/>
              </w:rPr>
            </w:pPr>
            <w:r>
              <w:rPr>
                <w:sz w:val="20"/>
              </w:rPr>
              <w:t>M17.0,</w:t>
            </w:r>
            <w:r>
              <w:rPr>
                <w:spacing w:val="-6"/>
                <w:sz w:val="20"/>
              </w:rPr>
              <w:t> </w:t>
            </w:r>
            <w:r>
              <w:rPr>
                <w:sz w:val="20"/>
              </w:rPr>
              <w:t>M17.1,</w:t>
            </w:r>
            <w:r>
              <w:rPr>
                <w:spacing w:val="-6"/>
                <w:sz w:val="20"/>
              </w:rPr>
              <w:t> </w:t>
            </w:r>
            <w:r>
              <w:rPr>
                <w:sz w:val="20"/>
              </w:rPr>
              <w:t>M17.2,</w:t>
            </w:r>
            <w:r>
              <w:rPr>
                <w:spacing w:val="-5"/>
                <w:sz w:val="20"/>
              </w:rPr>
              <w:t> </w:t>
            </w:r>
            <w:r>
              <w:rPr>
                <w:sz w:val="20"/>
              </w:rPr>
              <w:t>M17.3,</w:t>
            </w:r>
            <w:r>
              <w:rPr>
                <w:spacing w:val="-6"/>
                <w:sz w:val="20"/>
              </w:rPr>
              <w:t> </w:t>
            </w:r>
            <w:r>
              <w:rPr>
                <w:sz w:val="20"/>
              </w:rPr>
              <w:t>M17.4,</w:t>
            </w:r>
            <w:r>
              <w:rPr>
                <w:spacing w:val="-5"/>
                <w:sz w:val="20"/>
              </w:rPr>
              <w:t> </w:t>
            </w:r>
            <w:r>
              <w:rPr>
                <w:spacing w:val="-2"/>
                <w:sz w:val="20"/>
              </w:rPr>
              <w:t>M17.5,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M17.9,</w:t>
            </w:r>
            <w:r>
              <w:rPr>
                <w:spacing w:val="-4"/>
                <w:sz w:val="20"/>
              </w:rPr>
              <w:t> </w:t>
            </w:r>
            <w:r>
              <w:rPr>
                <w:sz w:val="20"/>
              </w:rPr>
              <w:t>M18,</w:t>
            </w:r>
            <w:r>
              <w:rPr>
                <w:spacing w:val="-4"/>
                <w:sz w:val="20"/>
              </w:rPr>
              <w:t> </w:t>
            </w:r>
            <w:r>
              <w:rPr>
                <w:sz w:val="20"/>
              </w:rPr>
              <w:t>M18.0,</w:t>
            </w:r>
            <w:r>
              <w:rPr>
                <w:spacing w:val="-6"/>
                <w:sz w:val="20"/>
              </w:rPr>
              <w:t> </w:t>
            </w:r>
            <w:r>
              <w:rPr>
                <w:sz w:val="20"/>
              </w:rPr>
              <w:t>M18.1,</w:t>
            </w:r>
            <w:r>
              <w:rPr>
                <w:spacing w:val="-6"/>
                <w:sz w:val="20"/>
              </w:rPr>
              <w:t> </w:t>
            </w:r>
            <w:r>
              <w:rPr>
                <w:sz w:val="20"/>
              </w:rPr>
              <w:t>M18.2,</w:t>
            </w:r>
            <w:r>
              <w:rPr>
                <w:spacing w:val="-4"/>
                <w:sz w:val="20"/>
              </w:rPr>
              <w:t> </w:t>
            </w:r>
            <w:r>
              <w:rPr>
                <w:spacing w:val="-2"/>
                <w:sz w:val="20"/>
              </w:rPr>
              <w:t>M18.3,</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M18.4,</w:t>
            </w:r>
            <w:r>
              <w:rPr>
                <w:spacing w:val="-5"/>
                <w:sz w:val="20"/>
              </w:rPr>
              <w:t> </w:t>
            </w:r>
            <w:r>
              <w:rPr>
                <w:sz w:val="20"/>
              </w:rPr>
              <w:t>M18.5,</w:t>
            </w:r>
            <w:r>
              <w:rPr>
                <w:spacing w:val="-5"/>
                <w:sz w:val="20"/>
              </w:rPr>
              <w:t> </w:t>
            </w:r>
            <w:r>
              <w:rPr>
                <w:sz w:val="20"/>
              </w:rPr>
              <w:t>M18.9,</w:t>
            </w:r>
            <w:r>
              <w:rPr>
                <w:spacing w:val="-4"/>
                <w:sz w:val="20"/>
              </w:rPr>
              <w:t> </w:t>
            </w:r>
            <w:r>
              <w:rPr>
                <w:sz w:val="20"/>
              </w:rPr>
              <w:t>M19,</w:t>
            </w:r>
            <w:r>
              <w:rPr>
                <w:spacing w:val="-6"/>
                <w:sz w:val="20"/>
              </w:rPr>
              <w:t> </w:t>
            </w:r>
            <w:r>
              <w:rPr>
                <w:sz w:val="20"/>
              </w:rPr>
              <w:t>M19.0,</w:t>
            </w:r>
            <w:r>
              <w:rPr>
                <w:spacing w:val="-5"/>
                <w:sz w:val="20"/>
              </w:rPr>
              <w:t> </w:t>
            </w:r>
            <w:r>
              <w:rPr>
                <w:spacing w:val="-2"/>
                <w:sz w:val="20"/>
              </w:rPr>
              <w:t>M19.1,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M19.2,</w:t>
            </w:r>
            <w:r>
              <w:rPr>
                <w:spacing w:val="-5"/>
                <w:sz w:val="20"/>
              </w:rPr>
              <w:t> </w:t>
            </w:r>
            <w:r>
              <w:rPr>
                <w:sz w:val="20"/>
              </w:rPr>
              <w:t>M19.8,</w:t>
            </w:r>
            <w:r>
              <w:rPr>
                <w:spacing w:val="-5"/>
                <w:sz w:val="20"/>
              </w:rPr>
              <w:t> </w:t>
            </w:r>
            <w:r>
              <w:rPr>
                <w:sz w:val="20"/>
              </w:rPr>
              <w:t>M19.9,</w:t>
            </w:r>
            <w:r>
              <w:rPr>
                <w:spacing w:val="-4"/>
                <w:sz w:val="20"/>
              </w:rPr>
              <w:t> </w:t>
            </w:r>
            <w:r>
              <w:rPr>
                <w:sz w:val="20"/>
              </w:rPr>
              <w:t>M20,</w:t>
            </w:r>
            <w:r>
              <w:rPr>
                <w:spacing w:val="-6"/>
                <w:sz w:val="20"/>
              </w:rPr>
              <w:t> </w:t>
            </w:r>
            <w:r>
              <w:rPr>
                <w:sz w:val="20"/>
              </w:rPr>
              <w:t>M20.0,</w:t>
            </w:r>
            <w:r>
              <w:rPr>
                <w:spacing w:val="-5"/>
                <w:sz w:val="20"/>
              </w:rPr>
              <w:t> </w:t>
            </w:r>
            <w:r>
              <w:rPr>
                <w:spacing w:val="-2"/>
                <w:sz w:val="20"/>
              </w:rPr>
              <w:t>M20.1,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6"/>
              <w:jc w:val="center"/>
              <w:rPr>
                <w:sz w:val="20"/>
              </w:rPr>
            </w:pPr>
            <w:r>
              <w:rPr>
                <w:sz w:val="20"/>
              </w:rPr>
              <w:t>M20.2,</w:t>
            </w:r>
            <w:r>
              <w:rPr>
                <w:spacing w:val="-6"/>
                <w:sz w:val="20"/>
              </w:rPr>
              <w:t> </w:t>
            </w:r>
            <w:r>
              <w:rPr>
                <w:sz w:val="20"/>
              </w:rPr>
              <w:t>M20.3,</w:t>
            </w:r>
            <w:r>
              <w:rPr>
                <w:spacing w:val="-6"/>
                <w:sz w:val="20"/>
              </w:rPr>
              <w:t> </w:t>
            </w:r>
            <w:r>
              <w:rPr>
                <w:sz w:val="20"/>
              </w:rPr>
              <w:t>M20.4,</w:t>
            </w:r>
            <w:r>
              <w:rPr>
                <w:spacing w:val="-6"/>
                <w:sz w:val="20"/>
              </w:rPr>
              <w:t> </w:t>
            </w:r>
            <w:r>
              <w:rPr>
                <w:sz w:val="20"/>
              </w:rPr>
              <w:t>M20.5,</w:t>
            </w:r>
            <w:r>
              <w:rPr>
                <w:spacing w:val="-6"/>
                <w:sz w:val="20"/>
              </w:rPr>
              <w:t> </w:t>
            </w:r>
            <w:r>
              <w:rPr>
                <w:sz w:val="20"/>
              </w:rPr>
              <w:t>M20.6,</w:t>
            </w:r>
            <w:r>
              <w:rPr>
                <w:spacing w:val="-5"/>
                <w:sz w:val="20"/>
              </w:rPr>
              <w:t> </w:t>
            </w:r>
            <w:r>
              <w:rPr>
                <w:spacing w:val="-4"/>
                <w:sz w:val="20"/>
              </w:rPr>
              <w:t>M21,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M21.0,</w:t>
            </w:r>
            <w:r>
              <w:rPr>
                <w:spacing w:val="-6"/>
                <w:sz w:val="20"/>
              </w:rPr>
              <w:t> </w:t>
            </w:r>
            <w:r>
              <w:rPr>
                <w:sz w:val="20"/>
              </w:rPr>
              <w:t>M21.1,</w:t>
            </w:r>
            <w:r>
              <w:rPr>
                <w:spacing w:val="-6"/>
                <w:sz w:val="20"/>
              </w:rPr>
              <w:t> </w:t>
            </w:r>
            <w:r>
              <w:rPr>
                <w:sz w:val="20"/>
              </w:rPr>
              <w:t>M21.2,</w:t>
            </w:r>
            <w:r>
              <w:rPr>
                <w:spacing w:val="-6"/>
                <w:sz w:val="20"/>
              </w:rPr>
              <w:t> </w:t>
            </w:r>
            <w:r>
              <w:rPr>
                <w:sz w:val="20"/>
              </w:rPr>
              <w:t>M21.3,</w:t>
            </w:r>
            <w:r>
              <w:rPr>
                <w:spacing w:val="-6"/>
                <w:sz w:val="20"/>
              </w:rPr>
              <w:t> </w:t>
            </w:r>
            <w:r>
              <w:rPr>
                <w:sz w:val="20"/>
              </w:rPr>
              <w:t>M21.4,</w:t>
            </w:r>
            <w:r>
              <w:rPr>
                <w:spacing w:val="-5"/>
                <w:sz w:val="20"/>
              </w:rPr>
              <w:t> </w:t>
            </w:r>
            <w:r>
              <w:rPr>
                <w:spacing w:val="-2"/>
                <w:sz w:val="20"/>
              </w:rPr>
              <w:t>M21.5,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3"/>
              <w:jc w:val="center"/>
              <w:rPr>
                <w:sz w:val="20"/>
              </w:rPr>
            </w:pPr>
            <w:r>
              <w:rPr>
                <w:sz w:val="20"/>
              </w:rPr>
              <w:t>M21.6,</w:t>
            </w:r>
            <w:r>
              <w:rPr>
                <w:spacing w:val="-6"/>
                <w:sz w:val="20"/>
              </w:rPr>
              <w:t> </w:t>
            </w:r>
            <w:r>
              <w:rPr>
                <w:sz w:val="20"/>
              </w:rPr>
              <w:t>M21.7,</w:t>
            </w:r>
            <w:r>
              <w:rPr>
                <w:spacing w:val="-5"/>
                <w:sz w:val="20"/>
              </w:rPr>
              <w:t> </w:t>
            </w:r>
            <w:r>
              <w:rPr>
                <w:sz w:val="20"/>
              </w:rPr>
              <w:t>M21.8,</w:t>
            </w:r>
            <w:r>
              <w:rPr>
                <w:spacing w:val="-2"/>
                <w:sz w:val="20"/>
              </w:rPr>
              <w:t> </w:t>
            </w:r>
            <w:r>
              <w:rPr>
                <w:sz w:val="20"/>
              </w:rPr>
              <w:t>M21.9,</w:t>
            </w:r>
            <w:r>
              <w:rPr>
                <w:spacing w:val="-5"/>
                <w:sz w:val="20"/>
              </w:rPr>
              <w:t> </w:t>
            </w:r>
            <w:r>
              <w:rPr>
                <w:sz w:val="20"/>
              </w:rPr>
              <w:t>M22,</w:t>
            </w:r>
            <w:r>
              <w:rPr>
                <w:spacing w:val="-5"/>
                <w:sz w:val="20"/>
              </w:rPr>
              <w:t> </w:t>
            </w:r>
            <w:r>
              <w:rPr>
                <w:spacing w:val="-2"/>
                <w:sz w:val="20"/>
              </w:rPr>
              <w:t>M22.0,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M22.1,</w:t>
            </w:r>
            <w:r>
              <w:rPr>
                <w:spacing w:val="-6"/>
                <w:sz w:val="20"/>
              </w:rPr>
              <w:t> </w:t>
            </w:r>
            <w:r>
              <w:rPr>
                <w:sz w:val="20"/>
              </w:rPr>
              <w:t>M22.2,</w:t>
            </w:r>
            <w:r>
              <w:rPr>
                <w:spacing w:val="-6"/>
                <w:sz w:val="20"/>
              </w:rPr>
              <w:t> </w:t>
            </w:r>
            <w:r>
              <w:rPr>
                <w:sz w:val="20"/>
              </w:rPr>
              <w:t>M22.3,</w:t>
            </w:r>
            <w:r>
              <w:rPr>
                <w:spacing w:val="-6"/>
                <w:sz w:val="20"/>
              </w:rPr>
              <w:t> </w:t>
            </w:r>
            <w:r>
              <w:rPr>
                <w:sz w:val="20"/>
              </w:rPr>
              <w:t>M22.4,</w:t>
            </w:r>
            <w:r>
              <w:rPr>
                <w:spacing w:val="-6"/>
                <w:sz w:val="20"/>
              </w:rPr>
              <w:t> </w:t>
            </w:r>
            <w:r>
              <w:rPr>
                <w:sz w:val="20"/>
              </w:rPr>
              <w:t>M22.8,</w:t>
            </w:r>
            <w:r>
              <w:rPr>
                <w:spacing w:val="-5"/>
                <w:sz w:val="20"/>
              </w:rPr>
              <w:t> </w:t>
            </w:r>
            <w:r>
              <w:rPr>
                <w:spacing w:val="-2"/>
                <w:sz w:val="20"/>
              </w:rPr>
              <w:t>M22.9,</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M23,</w:t>
            </w:r>
            <w:r>
              <w:rPr>
                <w:spacing w:val="-5"/>
                <w:sz w:val="20"/>
              </w:rPr>
              <w:t> </w:t>
            </w:r>
            <w:r>
              <w:rPr>
                <w:sz w:val="20"/>
              </w:rPr>
              <w:t>M23.0,</w:t>
            </w:r>
            <w:r>
              <w:rPr>
                <w:spacing w:val="-4"/>
                <w:sz w:val="20"/>
              </w:rPr>
              <w:t> </w:t>
            </w:r>
            <w:r>
              <w:rPr>
                <w:sz w:val="20"/>
              </w:rPr>
              <w:t>M23.1,</w:t>
            </w:r>
            <w:r>
              <w:rPr>
                <w:spacing w:val="-6"/>
                <w:sz w:val="20"/>
              </w:rPr>
              <w:t> </w:t>
            </w:r>
            <w:r>
              <w:rPr>
                <w:sz w:val="20"/>
              </w:rPr>
              <w:t>M23.2,</w:t>
            </w:r>
            <w:r>
              <w:rPr>
                <w:spacing w:val="-6"/>
                <w:sz w:val="20"/>
              </w:rPr>
              <w:t> </w:t>
            </w:r>
            <w:r>
              <w:rPr>
                <w:sz w:val="20"/>
              </w:rPr>
              <w:t>M23.3,</w:t>
            </w:r>
            <w:r>
              <w:rPr>
                <w:spacing w:val="-4"/>
                <w:sz w:val="20"/>
              </w:rPr>
              <w:t> </w:t>
            </w:r>
            <w:r>
              <w:rPr>
                <w:spacing w:val="-2"/>
                <w:sz w:val="20"/>
              </w:rPr>
              <w:t>M23.4,</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6"/>
              <w:jc w:val="center"/>
              <w:rPr>
                <w:sz w:val="20"/>
              </w:rPr>
            </w:pPr>
            <w:r>
              <w:rPr>
                <w:sz w:val="20"/>
              </w:rPr>
              <w:t>M23.5,</w:t>
            </w:r>
            <w:r>
              <w:rPr>
                <w:spacing w:val="-6"/>
                <w:sz w:val="20"/>
              </w:rPr>
              <w:t> </w:t>
            </w:r>
            <w:r>
              <w:rPr>
                <w:sz w:val="20"/>
              </w:rPr>
              <w:t>M23.6,</w:t>
            </w:r>
            <w:r>
              <w:rPr>
                <w:spacing w:val="-5"/>
                <w:sz w:val="20"/>
              </w:rPr>
              <w:t> </w:t>
            </w:r>
            <w:r>
              <w:rPr>
                <w:sz w:val="20"/>
              </w:rPr>
              <w:t>M23.8,</w:t>
            </w:r>
            <w:r>
              <w:rPr>
                <w:spacing w:val="-5"/>
                <w:sz w:val="20"/>
              </w:rPr>
              <w:t> </w:t>
            </w:r>
            <w:r>
              <w:rPr>
                <w:sz w:val="20"/>
              </w:rPr>
              <w:t>M23.9,</w:t>
            </w:r>
            <w:r>
              <w:rPr>
                <w:spacing w:val="-5"/>
                <w:sz w:val="20"/>
              </w:rPr>
              <w:t> </w:t>
            </w:r>
            <w:r>
              <w:rPr>
                <w:sz w:val="20"/>
              </w:rPr>
              <w:t>M24,</w:t>
            </w:r>
            <w:r>
              <w:rPr>
                <w:spacing w:val="-5"/>
                <w:sz w:val="20"/>
              </w:rPr>
              <w:t> </w:t>
            </w:r>
            <w:r>
              <w:rPr>
                <w:spacing w:val="-2"/>
                <w:sz w:val="20"/>
              </w:rPr>
              <w:t>M24.0,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M24.1,</w:t>
            </w:r>
            <w:r>
              <w:rPr>
                <w:spacing w:val="-6"/>
                <w:sz w:val="20"/>
              </w:rPr>
              <w:t> </w:t>
            </w:r>
            <w:r>
              <w:rPr>
                <w:sz w:val="20"/>
              </w:rPr>
              <w:t>M24.2,</w:t>
            </w:r>
            <w:r>
              <w:rPr>
                <w:spacing w:val="-6"/>
                <w:sz w:val="20"/>
              </w:rPr>
              <w:t> </w:t>
            </w:r>
            <w:r>
              <w:rPr>
                <w:sz w:val="20"/>
              </w:rPr>
              <w:t>M24.3,</w:t>
            </w:r>
            <w:r>
              <w:rPr>
                <w:spacing w:val="-6"/>
                <w:sz w:val="20"/>
              </w:rPr>
              <w:t> </w:t>
            </w:r>
            <w:r>
              <w:rPr>
                <w:sz w:val="20"/>
              </w:rPr>
              <w:t>M24.4,</w:t>
            </w:r>
            <w:r>
              <w:rPr>
                <w:spacing w:val="-6"/>
                <w:sz w:val="20"/>
              </w:rPr>
              <w:t> </w:t>
            </w:r>
            <w:r>
              <w:rPr>
                <w:sz w:val="20"/>
              </w:rPr>
              <w:t>M24.5,</w:t>
            </w:r>
            <w:r>
              <w:rPr>
                <w:spacing w:val="-5"/>
                <w:sz w:val="20"/>
              </w:rPr>
              <w:t> </w:t>
            </w:r>
            <w:r>
              <w:rPr>
                <w:spacing w:val="-2"/>
                <w:sz w:val="20"/>
              </w:rPr>
              <w:t>M24.6,</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8"/>
              <w:jc w:val="center"/>
              <w:rPr>
                <w:sz w:val="20"/>
              </w:rPr>
            </w:pPr>
            <w:r>
              <w:rPr>
                <w:sz w:val="20"/>
              </w:rPr>
              <w:t>M24.7,</w:t>
            </w:r>
            <w:r>
              <w:rPr>
                <w:spacing w:val="-5"/>
                <w:sz w:val="20"/>
              </w:rPr>
              <w:t> </w:t>
            </w:r>
            <w:r>
              <w:rPr>
                <w:sz w:val="20"/>
              </w:rPr>
              <w:t>M24.8,</w:t>
            </w:r>
            <w:r>
              <w:rPr>
                <w:spacing w:val="-5"/>
                <w:sz w:val="20"/>
              </w:rPr>
              <w:t> </w:t>
            </w:r>
            <w:r>
              <w:rPr>
                <w:sz w:val="20"/>
              </w:rPr>
              <w:t>M24.9,</w:t>
            </w:r>
            <w:r>
              <w:rPr>
                <w:spacing w:val="-4"/>
                <w:sz w:val="20"/>
              </w:rPr>
              <w:t> </w:t>
            </w:r>
            <w:r>
              <w:rPr>
                <w:sz w:val="20"/>
              </w:rPr>
              <w:t>M25,</w:t>
            </w:r>
            <w:r>
              <w:rPr>
                <w:spacing w:val="-6"/>
                <w:sz w:val="20"/>
              </w:rPr>
              <w:t> </w:t>
            </w:r>
            <w:r>
              <w:rPr>
                <w:sz w:val="20"/>
              </w:rPr>
              <w:t>M25.0,</w:t>
            </w:r>
            <w:r>
              <w:rPr>
                <w:spacing w:val="-5"/>
                <w:sz w:val="20"/>
              </w:rPr>
              <w:t> </w:t>
            </w:r>
            <w:r>
              <w:rPr>
                <w:spacing w:val="-2"/>
                <w:sz w:val="20"/>
              </w:rPr>
              <w:t>M25.1,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6"/>
              <w:jc w:val="center"/>
              <w:rPr>
                <w:sz w:val="20"/>
              </w:rPr>
            </w:pPr>
            <w:r>
              <w:rPr>
                <w:sz w:val="20"/>
              </w:rPr>
              <w:t>M25.2,</w:t>
            </w:r>
            <w:r>
              <w:rPr>
                <w:spacing w:val="-5"/>
                <w:sz w:val="20"/>
              </w:rPr>
              <w:t> </w:t>
            </w:r>
            <w:r>
              <w:rPr>
                <w:sz w:val="20"/>
              </w:rPr>
              <w:t>M25.3,</w:t>
            </w:r>
            <w:r>
              <w:rPr>
                <w:spacing w:val="-5"/>
                <w:sz w:val="20"/>
              </w:rPr>
              <w:t> </w:t>
            </w:r>
            <w:r>
              <w:rPr>
                <w:sz w:val="20"/>
              </w:rPr>
              <w:t>M25.4,</w:t>
            </w:r>
            <w:r>
              <w:rPr>
                <w:spacing w:val="-5"/>
                <w:sz w:val="20"/>
              </w:rPr>
              <w:t> </w:t>
            </w:r>
            <w:r>
              <w:rPr>
                <w:sz w:val="20"/>
              </w:rPr>
              <w:t>M25.5,</w:t>
            </w:r>
            <w:r>
              <w:rPr>
                <w:spacing w:val="-5"/>
                <w:sz w:val="20"/>
              </w:rPr>
              <w:t> </w:t>
            </w:r>
            <w:r>
              <w:rPr>
                <w:sz w:val="20"/>
              </w:rPr>
              <w:t>M25.6,</w:t>
            </w:r>
            <w:r>
              <w:rPr>
                <w:spacing w:val="-4"/>
                <w:sz w:val="20"/>
              </w:rPr>
              <w:t> </w:t>
            </w:r>
            <w:r>
              <w:rPr>
                <w:spacing w:val="-2"/>
                <w:sz w:val="20"/>
              </w:rPr>
              <w:t>M25.7,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5" w:lineRule="exact"/>
              <w:ind w:left="209" w:right="906"/>
              <w:jc w:val="center"/>
              <w:rPr>
                <w:sz w:val="20"/>
              </w:rPr>
            </w:pPr>
            <w:r>
              <w:rPr>
                <w:sz w:val="20"/>
              </w:rPr>
              <w:t>M25.8,</w:t>
            </w:r>
            <w:r>
              <w:rPr>
                <w:spacing w:val="-6"/>
                <w:sz w:val="20"/>
              </w:rPr>
              <w:t> </w:t>
            </w:r>
            <w:r>
              <w:rPr>
                <w:sz w:val="20"/>
              </w:rPr>
              <w:t>M25.9,</w:t>
            </w:r>
            <w:r>
              <w:rPr>
                <w:spacing w:val="-5"/>
                <w:sz w:val="20"/>
              </w:rPr>
              <w:t> </w:t>
            </w:r>
            <w:r>
              <w:rPr>
                <w:sz w:val="20"/>
              </w:rPr>
              <w:t>M35.7,</w:t>
            </w:r>
            <w:r>
              <w:rPr>
                <w:spacing w:val="-5"/>
                <w:sz w:val="20"/>
              </w:rPr>
              <w:t> </w:t>
            </w:r>
            <w:r>
              <w:rPr>
                <w:sz w:val="20"/>
              </w:rPr>
              <w:t>M46.2,</w:t>
            </w:r>
            <w:r>
              <w:rPr>
                <w:spacing w:val="-5"/>
                <w:sz w:val="20"/>
              </w:rPr>
              <w:t> </w:t>
            </w:r>
            <w:r>
              <w:rPr>
                <w:sz w:val="20"/>
              </w:rPr>
              <w:t>M60,</w:t>
            </w:r>
            <w:r>
              <w:rPr>
                <w:spacing w:val="-5"/>
                <w:sz w:val="20"/>
              </w:rPr>
              <w:t> </w:t>
            </w:r>
            <w:r>
              <w:rPr>
                <w:spacing w:val="-2"/>
                <w:sz w:val="20"/>
              </w:rPr>
              <w:t>M60.0,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801" w:right="0" w:firstLine="0"/>
        <w:jc w:val="left"/>
        <w:rPr>
          <w:sz w:val="20"/>
        </w:rPr>
      </w:pPr>
      <w:r>
        <w:rPr>
          <w:sz w:val="20"/>
        </w:rPr>
        <w:t>M60.1,</w:t>
      </w:r>
      <w:r>
        <w:rPr>
          <w:spacing w:val="-6"/>
          <w:sz w:val="20"/>
        </w:rPr>
        <w:t> </w:t>
      </w:r>
      <w:r>
        <w:rPr>
          <w:sz w:val="20"/>
        </w:rPr>
        <w:t>M60.2,</w:t>
      </w:r>
      <w:r>
        <w:rPr>
          <w:spacing w:val="-5"/>
          <w:sz w:val="20"/>
        </w:rPr>
        <w:t> </w:t>
      </w:r>
      <w:r>
        <w:rPr>
          <w:sz w:val="20"/>
        </w:rPr>
        <w:t>M60.8,</w:t>
      </w:r>
      <w:r>
        <w:rPr>
          <w:spacing w:val="-5"/>
          <w:sz w:val="20"/>
        </w:rPr>
        <w:t> </w:t>
      </w:r>
      <w:r>
        <w:rPr>
          <w:sz w:val="20"/>
        </w:rPr>
        <w:t>M60.9,</w:t>
      </w:r>
      <w:r>
        <w:rPr>
          <w:spacing w:val="-5"/>
          <w:sz w:val="20"/>
        </w:rPr>
        <w:t> </w:t>
      </w:r>
      <w:r>
        <w:rPr>
          <w:sz w:val="20"/>
        </w:rPr>
        <w:t>M61,</w:t>
      </w:r>
      <w:r>
        <w:rPr>
          <w:spacing w:val="-5"/>
          <w:sz w:val="20"/>
        </w:rPr>
        <w:t> </w:t>
      </w:r>
      <w:r>
        <w:rPr>
          <w:spacing w:val="-2"/>
          <w:sz w:val="20"/>
        </w:rPr>
        <w:t>M61.0,</w:t>
      </w:r>
    </w:p>
    <w:p>
      <w:pPr>
        <w:spacing w:line="229" w:lineRule="exact" w:before="1"/>
        <w:ind w:left="4725" w:right="0" w:firstLine="0"/>
        <w:jc w:val="left"/>
        <w:rPr>
          <w:sz w:val="20"/>
        </w:rPr>
      </w:pPr>
      <w:r>
        <w:rPr>
          <w:sz w:val="20"/>
        </w:rPr>
        <w:t>M61.1,</w:t>
      </w:r>
      <w:r>
        <w:rPr>
          <w:spacing w:val="-6"/>
          <w:sz w:val="20"/>
        </w:rPr>
        <w:t> </w:t>
      </w:r>
      <w:r>
        <w:rPr>
          <w:sz w:val="20"/>
        </w:rPr>
        <w:t>M61.2,</w:t>
      </w:r>
      <w:r>
        <w:rPr>
          <w:spacing w:val="-6"/>
          <w:sz w:val="20"/>
        </w:rPr>
        <w:t> </w:t>
      </w:r>
      <w:r>
        <w:rPr>
          <w:sz w:val="20"/>
        </w:rPr>
        <w:t>M61.3,</w:t>
      </w:r>
      <w:r>
        <w:rPr>
          <w:spacing w:val="-6"/>
          <w:sz w:val="20"/>
        </w:rPr>
        <w:t> </w:t>
      </w:r>
      <w:r>
        <w:rPr>
          <w:sz w:val="20"/>
        </w:rPr>
        <w:t>M61.4,</w:t>
      </w:r>
      <w:r>
        <w:rPr>
          <w:spacing w:val="-6"/>
          <w:sz w:val="20"/>
        </w:rPr>
        <w:t> </w:t>
      </w:r>
      <w:r>
        <w:rPr>
          <w:sz w:val="20"/>
        </w:rPr>
        <w:t>M61.5,</w:t>
      </w:r>
      <w:r>
        <w:rPr>
          <w:spacing w:val="-5"/>
          <w:sz w:val="20"/>
        </w:rPr>
        <w:t> </w:t>
      </w:r>
      <w:r>
        <w:rPr>
          <w:spacing w:val="-2"/>
          <w:sz w:val="20"/>
        </w:rPr>
        <w:t>M61.9,</w:t>
      </w:r>
    </w:p>
    <w:p>
      <w:pPr>
        <w:spacing w:line="229" w:lineRule="exact" w:before="0"/>
        <w:ind w:left="4801" w:right="0" w:firstLine="0"/>
        <w:jc w:val="left"/>
        <w:rPr>
          <w:sz w:val="20"/>
        </w:rPr>
      </w:pPr>
      <w:r>
        <w:rPr>
          <w:sz w:val="20"/>
        </w:rPr>
        <w:t>M62,</w:t>
      </w:r>
      <w:r>
        <w:rPr>
          <w:spacing w:val="-5"/>
          <w:sz w:val="20"/>
        </w:rPr>
        <w:t> </w:t>
      </w:r>
      <w:r>
        <w:rPr>
          <w:sz w:val="20"/>
        </w:rPr>
        <w:t>M62.0,</w:t>
      </w:r>
      <w:r>
        <w:rPr>
          <w:spacing w:val="-4"/>
          <w:sz w:val="20"/>
        </w:rPr>
        <w:t> </w:t>
      </w:r>
      <w:r>
        <w:rPr>
          <w:sz w:val="20"/>
        </w:rPr>
        <w:t>M62.1,</w:t>
      </w:r>
      <w:r>
        <w:rPr>
          <w:spacing w:val="-6"/>
          <w:sz w:val="20"/>
        </w:rPr>
        <w:t> </w:t>
      </w:r>
      <w:r>
        <w:rPr>
          <w:sz w:val="20"/>
        </w:rPr>
        <w:t>M62.2,</w:t>
      </w:r>
      <w:r>
        <w:rPr>
          <w:spacing w:val="-6"/>
          <w:sz w:val="20"/>
        </w:rPr>
        <w:t> </w:t>
      </w:r>
      <w:r>
        <w:rPr>
          <w:sz w:val="20"/>
        </w:rPr>
        <w:t>M62.3,</w:t>
      </w:r>
      <w:r>
        <w:rPr>
          <w:spacing w:val="-4"/>
          <w:sz w:val="20"/>
        </w:rPr>
        <w:t> </w:t>
      </w:r>
      <w:r>
        <w:rPr>
          <w:spacing w:val="-2"/>
          <w:sz w:val="20"/>
        </w:rPr>
        <w:t>M62.4,</w:t>
      </w:r>
    </w:p>
    <w:p>
      <w:pPr>
        <w:spacing w:before="0"/>
        <w:ind w:left="4801" w:right="0" w:firstLine="0"/>
        <w:jc w:val="left"/>
        <w:rPr>
          <w:sz w:val="20"/>
        </w:rPr>
      </w:pPr>
      <w:r>
        <w:rPr>
          <w:sz w:val="20"/>
        </w:rPr>
        <w:t>M62.5,</w:t>
      </w:r>
      <w:r>
        <w:rPr>
          <w:spacing w:val="-6"/>
          <w:sz w:val="20"/>
        </w:rPr>
        <w:t> </w:t>
      </w:r>
      <w:r>
        <w:rPr>
          <w:sz w:val="20"/>
        </w:rPr>
        <w:t>M62.6,</w:t>
      </w:r>
      <w:r>
        <w:rPr>
          <w:spacing w:val="-5"/>
          <w:sz w:val="20"/>
        </w:rPr>
        <w:t> </w:t>
      </w:r>
      <w:r>
        <w:rPr>
          <w:sz w:val="20"/>
        </w:rPr>
        <w:t>M62.8,</w:t>
      </w:r>
      <w:r>
        <w:rPr>
          <w:spacing w:val="-5"/>
          <w:sz w:val="20"/>
        </w:rPr>
        <w:t> </w:t>
      </w:r>
      <w:r>
        <w:rPr>
          <w:sz w:val="20"/>
        </w:rPr>
        <w:t>M62.9,</w:t>
      </w:r>
      <w:r>
        <w:rPr>
          <w:spacing w:val="-5"/>
          <w:sz w:val="20"/>
        </w:rPr>
        <w:t> </w:t>
      </w:r>
      <w:r>
        <w:rPr>
          <w:sz w:val="20"/>
        </w:rPr>
        <w:t>M63,</w:t>
      </w:r>
      <w:r>
        <w:rPr>
          <w:spacing w:val="-5"/>
          <w:sz w:val="20"/>
        </w:rPr>
        <w:t> </w:t>
      </w:r>
      <w:r>
        <w:rPr>
          <w:spacing w:val="-2"/>
          <w:sz w:val="20"/>
        </w:rPr>
        <w:t>M63.0,</w:t>
      </w:r>
    </w:p>
    <w:p>
      <w:pPr>
        <w:spacing w:before="1"/>
        <w:ind w:left="4801" w:right="0" w:firstLine="0"/>
        <w:jc w:val="left"/>
        <w:rPr>
          <w:sz w:val="20"/>
        </w:rPr>
      </w:pPr>
      <w:r>
        <w:rPr>
          <w:sz w:val="20"/>
        </w:rPr>
        <w:t>M63.1,</w:t>
      </w:r>
      <w:r>
        <w:rPr>
          <w:spacing w:val="-6"/>
          <w:sz w:val="20"/>
        </w:rPr>
        <w:t> </w:t>
      </w:r>
      <w:r>
        <w:rPr>
          <w:sz w:val="20"/>
        </w:rPr>
        <w:t>M63.2,</w:t>
      </w:r>
      <w:r>
        <w:rPr>
          <w:spacing w:val="-5"/>
          <w:sz w:val="20"/>
        </w:rPr>
        <w:t> </w:t>
      </w:r>
      <w:r>
        <w:rPr>
          <w:sz w:val="20"/>
        </w:rPr>
        <w:t>M63.3,</w:t>
      </w:r>
      <w:r>
        <w:rPr>
          <w:spacing w:val="-5"/>
          <w:sz w:val="20"/>
        </w:rPr>
        <w:t> </w:t>
      </w:r>
      <w:r>
        <w:rPr>
          <w:sz w:val="20"/>
        </w:rPr>
        <w:t>M63.8,</w:t>
      </w:r>
      <w:r>
        <w:rPr>
          <w:spacing w:val="-5"/>
          <w:sz w:val="20"/>
        </w:rPr>
        <w:t> </w:t>
      </w:r>
      <w:r>
        <w:rPr>
          <w:sz w:val="20"/>
        </w:rPr>
        <w:t>M65,</w:t>
      </w:r>
      <w:r>
        <w:rPr>
          <w:spacing w:val="-5"/>
          <w:sz w:val="20"/>
        </w:rPr>
        <w:t> </w:t>
      </w:r>
      <w:r>
        <w:rPr>
          <w:spacing w:val="-2"/>
          <w:sz w:val="20"/>
        </w:rPr>
        <w:t>M65.0,</w:t>
      </w:r>
    </w:p>
    <w:p>
      <w:pPr>
        <w:spacing w:before="0"/>
        <w:ind w:left="4725" w:right="0" w:firstLine="0"/>
        <w:jc w:val="left"/>
        <w:rPr>
          <w:sz w:val="20"/>
        </w:rPr>
      </w:pPr>
      <w:r>
        <w:rPr>
          <w:sz w:val="20"/>
        </w:rPr>
        <w:t>M65.1,</w:t>
      </w:r>
      <w:r>
        <w:rPr>
          <w:spacing w:val="-6"/>
          <w:sz w:val="20"/>
        </w:rPr>
        <w:t> </w:t>
      </w:r>
      <w:r>
        <w:rPr>
          <w:sz w:val="20"/>
        </w:rPr>
        <w:t>M65.2,</w:t>
      </w:r>
      <w:r>
        <w:rPr>
          <w:spacing w:val="-6"/>
          <w:sz w:val="20"/>
        </w:rPr>
        <w:t> </w:t>
      </w:r>
      <w:r>
        <w:rPr>
          <w:sz w:val="20"/>
        </w:rPr>
        <w:t>M65.3,</w:t>
      </w:r>
      <w:r>
        <w:rPr>
          <w:spacing w:val="-6"/>
          <w:sz w:val="20"/>
        </w:rPr>
        <w:t> </w:t>
      </w:r>
      <w:r>
        <w:rPr>
          <w:sz w:val="20"/>
        </w:rPr>
        <w:t>M65.4,</w:t>
      </w:r>
      <w:r>
        <w:rPr>
          <w:spacing w:val="-6"/>
          <w:sz w:val="20"/>
        </w:rPr>
        <w:t> </w:t>
      </w:r>
      <w:r>
        <w:rPr>
          <w:sz w:val="20"/>
        </w:rPr>
        <w:t>M65.8,</w:t>
      </w:r>
      <w:r>
        <w:rPr>
          <w:spacing w:val="-5"/>
          <w:sz w:val="20"/>
        </w:rPr>
        <w:t> </w:t>
      </w:r>
      <w:r>
        <w:rPr>
          <w:spacing w:val="-2"/>
          <w:sz w:val="20"/>
        </w:rPr>
        <w:t>M65.9,</w:t>
      </w:r>
    </w:p>
    <w:p>
      <w:pPr>
        <w:spacing w:before="0"/>
        <w:ind w:left="4801" w:right="0" w:firstLine="0"/>
        <w:jc w:val="left"/>
        <w:rPr>
          <w:sz w:val="20"/>
        </w:rPr>
      </w:pPr>
      <w:r>
        <w:rPr>
          <w:sz w:val="20"/>
        </w:rPr>
        <w:t>M66,</w:t>
      </w:r>
      <w:r>
        <w:rPr>
          <w:spacing w:val="-5"/>
          <w:sz w:val="20"/>
        </w:rPr>
        <w:t> </w:t>
      </w:r>
      <w:r>
        <w:rPr>
          <w:sz w:val="20"/>
        </w:rPr>
        <w:t>M66.0,</w:t>
      </w:r>
      <w:r>
        <w:rPr>
          <w:spacing w:val="-4"/>
          <w:sz w:val="20"/>
        </w:rPr>
        <w:t> </w:t>
      </w:r>
      <w:r>
        <w:rPr>
          <w:sz w:val="20"/>
        </w:rPr>
        <w:t>M66.1,</w:t>
      </w:r>
      <w:r>
        <w:rPr>
          <w:spacing w:val="-6"/>
          <w:sz w:val="20"/>
        </w:rPr>
        <w:t> </w:t>
      </w:r>
      <w:r>
        <w:rPr>
          <w:sz w:val="20"/>
        </w:rPr>
        <w:t>M66.2,</w:t>
      </w:r>
      <w:r>
        <w:rPr>
          <w:spacing w:val="-6"/>
          <w:sz w:val="20"/>
        </w:rPr>
        <w:t> </w:t>
      </w:r>
      <w:r>
        <w:rPr>
          <w:sz w:val="20"/>
        </w:rPr>
        <w:t>M66.3,</w:t>
      </w:r>
      <w:r>
        <w:rPr>
          <w:spacing w:val="-4"/>
          <w:sz w:val="20"/>
        </w:rPr>
        <w:t> </w:t>
      </w:r>
      <w:r>
        <w:rPr>
          <w:spacing w:val="-2"/>
          <w:sz w:val="20"/>
        </w:rPr>
        <w:t>M66.4,</w:t>
      </w:r>
    </w:p>
    <w:p>
      <w:pPr>
        <w:spacing w:line="229" w:lineRule="exact" w:before="1"/>
        <w:ind w:left="1163" w:right="4154" w:firstLine="0"/>
        <w:jc w:val="center"/>
        <w:rPr>
          <w:sz w:val="20"/>
        </w:rPr>
      </w:pPr>
      <w:r>
        <w:rPr>
          <w:sz w:val="20"/>
        </w:rPr>
        <w:t>M66.5,</w:t>
      </w:r>
      <w:r>
        <w:rPr>
          <w:spacing w:val="-4"/>
          <w:sz w:val="20"/>
        </w:rPr>
        <w:t> </w:t>
      </w:r>
      <w:r>
        <w:rPr>
          <w:sz w:val="20"/>
        </w:rPr>
        <w:t>M67,</w:t>
      </w:r>
      <w:r>
        <w:rPr>
          <w:spacing w:val="-4"/>
          <w:sz w:val="20"/>
        </w:rPr>
        <w:t> </w:t>
      </w:r>
      <w:r>
        <w:rPr>
          <w:sz w:val="20"/>
        </w:rPr>
        <w:t>M67.0,</w:t>
      </w:r>
      <w:r>
        <w:rPr>
          <w:spacing w:val="-6"/>
          <w:sz w:val="20"/>
        </w:rPr>
        <w:t> </w:t>
      </w:r>
      <w:r>
        <w:rPr>
          <w:sz w:val="20"/>
        </w:rPr>
        <w:t>M67.1,</w:t>
      </w:r>
      <w:r>
        <w:rPr>
          <w:spacing w:val="-6"/>
          <w:sz w:val="20"/>
        </w:rPr>
        <w:t> </w:t>
      </w:r>
      <w:r>
        <w:rPr>
          <w:sz w:val="20"/>
        </w:rPr>
        <w:t>M67.2,</w:t>
      </w:r>
      <w:r>
        <w:rPr>
          <w:spacing w:val="-4"/>
          <w:sz w:val="20"/>
        </w:rPr>
        <w:t> </w:t>
      </w:r>
      <w:r>
        <w:rPr>
          <w:spacing w:val="-2"/>
          <w:sz w:val="20"/>
        </w:rPr>
        <w:t>M67.3,</w:t>
      </w:r>
    </w:p>
    <w:p>
      <w:pPr>
        <w:spacing w:line="229" w:lineRule="exact" w:before="0"/>
        <w:ind w:left="1162" w:right="4154" w:firstLine="0"/>
        <w:jc w:val="center"/>
        <w:rPr>
          <w:sz w:val="20"/>
        </w:rPr>
      </w:pPr>
      <w:r>
        <w:rPr>
          <w:sz w:val="20"/>
        </w:rPr>
        <w:t>M67.4,</w:t>
      </w:r>
      <w:r>
        <w:rPr>
          <w:spacing w:val="-6"/>
          <w:sz w:val="20"/>
        </w:rPr>
        <w:t> </w:t>
      </w:r>
      <w:r>
        <w:rPr>
          <w:sz w:val="20"/>
        </w:rPr>
        <w:t>M67.8,</w:t>
      </w:r>
      <w:r>
        <w:rPr>
          <w:spacing w:val="-5"/>
          <w:sz w:val="20"/>
        </w:rPr>
        <w:t> </w:t>
      </w:r>
      <w:r>
        <w:rPr>
          <w:sz w:val="20"/>
        </w:rPr>
        <w:t>M67.9,</w:t>
      </w:r>
      <w:r>
        <w:rPr>
          <w:spacing w:val="-5"/>
          <w:sz w:val="20"/>
        </w:rPr>
        <w:t> </w:t>
      </w:r>
      <w:r>
        <w:rPr>
          <w:sz w:val="20"/>
        </w:rPr>
        <w:t>M68,</w:t>
      </w:r>
      <w:r>
        <w:rPr>
          <w:spacing w:val="-7"/>
          <w:sz w:val="20"/>
        </w:rPr>
        <w:t> </w:t>
      </w:r>
      <w:r>
        <w:rPr>
          <w:sz w:val="20"/>
        </w:rPr>
        <w:t>M68.0,</w:t>
      </w:r>
      <w:r>
        <w:rPr>
          <w:spacing w:val="-5"/>
          <w:sz w:val="20"/>
        </w:rPr>
        <w:t> </w:t>
      </w:r>
      <w:r>
        <w:rPr>
          <w:sz w:val="20"/>
        </w:rPr>
        <w:t>M68.8,</w:t>
      </w:r>
      <w:r>
        <w:rPr>
          <w:spacing w:val="-5"/>
          <w:sz w:val="20"/>
        </w:rPr>
        <w:t> </w:t>
      </w:r>
      <w:r>
        <w:rPr>
          <w:spacing w:val="-4"/>
          <w:sz w:val="20"/>
        </w:rPr>
        <w:t>M70,</w:t>
      </w:r>
    </w:p>
    <w:p>
      <w:pPr>
        <w:spacing w:before="1"/>
        <w:ind w:left="4725" w:right="0" w:firstLine="0"/>
        <w:jc w:val="left"/>
        <w:rPr>
          <w:sz w:val="20"/>
        </w:rPr>
      </w:pPr>
      <w:r>
        <w:rPr>
          <w:sz w:val="20"/>
        </w:rPr>
        <w:t>M70.0,</w:t>
      </w:r>
      <w:r>
        <w:rPr>
          <w:spacing w:val="-6"/>
          <w:sz w:val="20"/>
        </w:rPr>
        <w:t> </w:t>
      </w:r>
      <w:r>
        <w:rPr>
          <w:sz w:val="20"/>
        </w:rPr>
        <w:t>M70.1,</w:t>
      </w:r>
      <w:r>
        <w:rPr>
          <w:spacing w:val="-6"/>
          <w:sz w:val="20"/>
        </w:rPr>
        <w:t> </w:t>
      </w:r>
      <w:r>
        <w:rPr>
          <w:sz w:val="20"/>
        </w:rPr>
        <w:t>M70.2,</w:t>
      </w:r>
      <w:r>
        <w:rPr>
          <w:spacing w:val="-6"/>
          <w:sz w:val="20"/>
        </w:rPr>
        <w:t> </w:t>
      </w:r>
      <w:r>
        <w:rPr>
          <w:sz w:val="20"/>
        </w:rPr>
        <w:t>M70.3,</w:t>
      </w:r>
      <w:r>
        <w:rPr>
          <w:spacing w:val="-6"/>
          <w:sz w:val="20"/>
        </w:rPr>
        <w:t> </w:t>
      </w:r>
      <w:r>
        <w:rPr>
          <w:sz w:val="20"/>
        </w:rPr>
        <w:t>M70.4,</w:t>
      </w:r>
      <w:r>
        <w:rPr>
          <w:spacing w:val="-5"/>
          <w:sz w:val="20"/>
        </w:rPr>
        <w:t> </w:t>
      </w:r>
      <w:r>
        <w:rPr>
          <w:spacing w:val="-2"/>
          <w:sz w:val="20"/>
        </w:rPr>
        <w:t>M70.5,</w:t>
      </w:r>
    </w:p>
    <w:p>
      <w:pPr>
        <w:spacing w:before="0"/>
        <w:ind w:left="4801" w:right="0" w:firstLine="0"/>
        <w:jc w:val="left"/>
        <w:rPr>
          <w:sz w:val="20"/>
        </w:rPr>
      </w:pPr>
      <w:r>
        <w:rPr>
          <w:sz w:val="20"/>
        </w:rPr>
        <w:t>M70.6,</w:t>
      </w:r>
      <w:r>
        <w:rPr>
          <w:spacing w:val="-6"/>
          <w:sz w:val="20"/>
        </w:rPr>
        <w:t> </w:t>
      </w:r>
      <w:r>
        <w:rPr>
          <w:sz w:val="20"/>
        </w:rPr>
        <w:t>M70.7,</w:t>
      </w:r>
      <w:r>
        <w:rPr>
          <w:spacing w:val="-5"/>
          <w:sz w:val="20"/>
        </w:rPr>
        <w:t> </w:t>
      </w:r>
      <w:r>
        <w:rPr>
          <w:sz w:val="20"/>
        </w:rPr>
        <w:t>M70.8,</w:t>
      </w:r>
      <w:r>
        <w:rPr>
          <w:spacing w:val="-5"/>
          <w:sz w:val="20"/>
        </w:rPr>
        <w:t> </w:t>
      </w:r>
      <w:r>
        <w:rPr>
          <w:sz w:val="20"/>
        </w:rPr>
        <w:t>M70.9,</w:t>
      </w:r>
      <w:r>
        <w:rPr>
          <w:spacing w:val="-5"/>
          <w:sz w:val="20"/>
        </w:rPr>
        <w:t> </w:t>
      </w:r>
      <w:r>
        <w:rPr>
          <w:sz w:val="20"/>
        </w:rPr>
        <w:t>M71,</w:t>
      </w:r>
      <w:r>
        <w:rPr>
          <w:spacing w:val="-5"/>
          <w:sz w:val="20"/>
        </w:rPr>
        <w:t> </w:t>
      </w:r>
      <w:r>
        <w:rPr>
          <w:spacing w:val="-2"/>
          <w:sz w:val="20"/>
        </w:rPr>
        <w:t>M71.0,</w:t>
      </w:r>
    </w:p>
    <w:p>
      <w:pPr>
        <w:spacing w:before="1"/>
        <w:ind w:left="4725" w:right="0" w:firstLine="0"/>
        <w:jc w:val="left"/>
        <w:rPr>
          <w:sz w:val="20"/>
        </w:rPr>
      </w:pPr>
      <w:r>
        <w:rPr>
          <w:sz w:val="20"/>
        </w:rPr>
        <w:t>M71.1,</w:t>
      </w:r>
      <w:r>
        <w:rPr>
          <w:spacing w:val="-6"/>
          <w:sz w:val="20"/>
        </w:rPr>
        <w:t> </w:t>
      </w:r>
      <w:r>
        <w:rPr>
          <w:sz w:val="20"/>
        </w:rPr>
        <w:t>M71.2,</w:t>
      </w:r>
      <w:r>
        <w:rPr>
          <w:spacing w:val="-5"/>
          <w:sz w:val="20"/>
        </w:rPr>
        <w:t> </w:t>
      </w:r>
      <w:r>
        <w:rPr>
          <w:sz w:val="20"/>
        </w:rPr>
        <w:t>M71.3,</w:t>
      </w:r>
      <w:r>
        <w:rPr>
          <w:spacing w:val="-6"/>
          <w:sz w:val="20"/>
        </w:rPr>
        <w:t> </w:t>
      </w:r>
      <w:r>
        <w:rPr>
          <w:sz w:val="20"/>
        </w:rPr>
        <w:t>M71.4,</w:t>
      </w:r>
      <w:r>
        <w:rPr>
          <w:spacing w:val="-5"/>
          <w:sz w:val="20"/>
        </w:rPr>
        <w:t> </w:t>
      </w:r>
      <w:r>
        <w:rPr>
          <w:sz w:val="20"/>
        </w:rPr>
        <w:t>M71.5,</w:t>
      </w:r>
      <w:r>
        <w:rPr>
          <w:spacing w:val="-5"/>
          <w:sz w:val="20"/>
        </w:rPr>
        <w:t> </w:t>
      </w:r>
      <w:r>
        <w:rPr>
          <w:spacing w:val="-2"/>
          <w:sz w:val="20"/>
        </w:rPr>
        <w:t>M71.8,</w:t>
      </w:r>
    </w:p>
    <w:p>
      <w:pPr>
        <w:spacing w:before="0"/>
        <w:ind w:left="4801" w:right="0" w:firstLine="0"/>
        <w:jc w:val="left"/>
        <w:rPr>
          <w:sz w:val="20"/>
        </w:rPr>
      </w:pPr>
      <w:r>
        <w:rPr>
          <w:sz w:val="20"/>
        </w:rPr>
        <w:t>M71.9,</w:t>
      </w:r>
      <w:r>
        <w:rPr>
          <w:spacing w:val="-4"/>
          <w:sz w:val="20"/>
        </w:rPr>
        <w:t> </w:t>
      </w:r>
      <w:r>
        <w:rPr>
          <w:sz w:val="20"/>
        </w:rPr>
        <w:t>M72,</w:t>
      </w:r>
      <w:r>
        <w:rPr>
          <w:spacing w:val="-4"/>
          <w:sz w:val="20"/>
        </w:rPr>
        <w:t> </w:t>
      </w:r>
      <w:r>
        <w:rPr>
          <w:sz w:val="20"/>
        </w:rPr>
        <w:t>M72.0,</w:t>
      </w:r>
      <w:r>
        <w:rPr>
          <w:spacing w:val="-6"/>
          <w:sz w:val="20"/>
        </w:rPr>
        <w:t> </w:t>
      </w:r>
      <w:r>
        <w:rPr>
          <w:sz w:val="20"/>
        </w:rPr>
        <w:t>M72.1,</w:t>
      </w:r>
      <w:r>
        <w:rPr>
          <w:spacing w:val="-6"/>
          <w:sz w:val="20"/>
        </w:rPr>
        <w:t> </w:t>
      </w:r>
      <w:r>
        <w:rPr>
          <w:sz w:val="20"/>
        </w:rPr>
        <w:t>M72.2,</w:t>
      </w:r>
      <w:r>
        <w:rPr>
          <w:spacing w:val="-4"/>
          <w:sz w:val="20"/>
        </w:rPr>
        <w:t> </w:t>
      </w:r>
      <w:r>
        <w:rPr>
          <w:spacing w:val="-2"/>
          <w:sz w:val="20"/>
        </w:rPr>
        <w:t>M72.4,</w:t>
      </w:r>
    </w:p>
    <w:p>
      <w:pPr>
        <w:spacing w:line="229" w:lineRule="exact" w:before="1"/>
        <w:ind w:left="4801" w:right="0" w:firstLine="0"/>
        <w:jc w:val="left"/>
        <w:rPr>
          <w:sz w:val="20"/>
        </w:rPr>
      </w:pPr>
      <w:r>
        <w:rPr>
          <w:sz w:val="20"/>
        </w:rPr>
        <w:t>M72.6,</w:t>
      </w:r>
      <w:r>
        <w:rPr>
          <w:spacing w:val="-6"/>
          <w:sz w:val="20"/>
        </w:rPr>
        <w:t> </w:t>
      </w:r>
      <w:r>
        <w:rPr>
          <w:sz w:val="20"/>
        </w:rPr>
        <w:t>M72.8,</w:t>
      </w:r>
      <w:r>
        <w:rPr>
          <w:spacing w:val="-5"/>
          <w:sz w:val="20"/>
        </w:rPr>
        <w:t> </w:t>
      </w:r>
      <w:r>
        <w:rPr>
          <w:sz w:val="20"/>
        </w:rPr>
        <w:t>M72.9,</w:t>
      </w:r>
      <w:r>
        <w:rPr>
          <w:spacing w:val="-5"/>
          <w:sz w:val="20"/>
        </w:rPr>
        <w:t> </w:t>
      </w:r>
      <w:r>
        <w:rPr>
          <w:sz w:val="20"/>
        </w:rPr>
        <w:t>M73.8,</w:t>
      </w:r>
      <w:r>
        <w:rPr>
          <w:spacing w:val="-5"/>
          <w:sz w:val="20"/>
        </w:rPr>
        <w:t> </w:t>
      </w:r>
      <w:r>
        <w:rPr>
          <w:sz w:val="20"/>
        </w:rPr>
        <w:t>M75,</w:t>
      </w:r>
      <w:r>
        <w:rPr>
          <w:spacing w:val="-5"/>
          <w:sz w:val="20"/>
        </w:rPr>
        <w:t> </w:t>
      </w:r>
      <w:r>
        <w:rPr>
          <w:spacing w:val="-2"/>
          <w:sz w:val="20"/>
        </w:rPr>
        <w:t>M75.0,</w:t>
      </w:r>
    </w:p>
    <w:p>
      <w:pPr>
        <w:spacing w:line="229" w:lineRule="exact" w:before="0"/>
        <w:ind w:left="4725" w:right="0" w:firstLine="0"/>
        <w:jc w:val="left"/>
        <w:rPr>
          <w:sz w:val="20"/>
        </w:rPr>
      </w:pPr>
      <w:r>
        <w:rPr>
          <w:sz w:val="20"/>
        </w:rPr>
        <w:t>M75.1,</w:t>
      </w:r>
      <w:r>
        <w:rPr>
          <w:spacing w:val="-6"/>
          <w:sz w:val="20"/>
        </w:rPr>
        <w:t> </w:t>
      </w:r>
      <w:r>
        <w:rPr>
          <w:sz w:val="20"/>
        </w:rPr>
        <w:t>M75.2,</w:t>
      </w:r>
      <w:r>
        <w:rPr>
          <w:spacing w:val="-6"/>
          <w:sz w:val="20"/>
        </w:rPr>
        <w:t> </w:t>
      </w:r>
      <w:r>
        <w:rPr>
          <w:sz w:val="20"/>
        </w:rPr>
        <w:t>M75.3,</w:t>
      </w:r>
      <w:r>
        <w:rPr>
          <w:spacing w:val="-6"/>
          <w:sz w:val="20"/>
        </w:rPr>
        <w:t> </w:t>
      </w:r>
      <w:r>
        <w:rPr>
          <w:sz w:val="20"/>
        </w:rPr>
        <w:t>M75.4,</w:t>
      </w:r>
      <w:r>
        <w:rPr>
          <w:spacing w:val="-6"/>
          <w:sz w:val="20"/>
        </w:rPr>
        <w:t> </w:t>
      </w:r>
      <w:r>
        <w:rPr>
          <w:sz w:val="20"/>
        </w:rPr>
        <w:t>M75.5,</w:t>
      </w:r>
      <w:r>
        <w:rPr>
          <w:spacing w:val="-5"/>
          <w:sz w:val="20"/>
        </w:rPr>
        <w:t> </w:t>
      </w:r>
      <w:r>
        <w:rPr>
          <w:spacing w:val="-2"/>
          <w:sz w:val="20"/>
        </w:rPr>
        <w:t>M75.6,</w:t>
      </w:r>
    </w:p>
    <w:p>
      <w:pPr>
        <w:spacing w:before="0"/>
        <w:ind w:left="4801" w:right="0" w:firstLine="0"/>
        <w:jc w:val="left"/>
        <w:rPr>
          <w:sz w:val="20"/>
        </w:rPr>
      </w:pPr>
      <w:r>
        <w:rPr>
          <w:sz w:val="20"/>
        </w:rPr>
        <w:t>M75.8,</w:t>
      </w:r>
      <w:r>
        <w:rPr>
          <w:spacing w:val="-5"/>
          <w:sz w:val="20"/>
        </w:rPr>
        <w:t> </w:t>
      </w:r>
      <w:r>
        <w:rPr>
          <w:sz w:val="20"/>
        </w:rPr>
        <w:t>M75.9,</w:t>
      </w:r>
      <w:r>
        <w:rPr>
          <w:spacing w:val="-4"/>
          <w:sz w:val="20"/>
        </w:rPr>
        <w:t> </w:t>
      </w:r>
      <w:r>
        <w:rPr>
          <w:sz w:val="20"/>
        </w:rPr>
        <w:t>M76,</w:t>
      </w:r>
      <w:r>
        <w:rPr>
          <w:spacing w:val="-6"/>
          <w:sz w:val="20"/>
        </w:rPr>
        <w:t> </w:t>
      </w:r>
      <w:r>
        <w:rPr>
          <w:sz w:val="20"/>
        </w:rPr>
        <w:t>M76.0,</w:t>
      </w:r>
      <w:r>
        <w:rPr>
          <w:spacing w:val="-6"/>
          <w:sz w:val="20"/>
        </w:rPr>
        <w:t> </w:t>
      </w:r>
      <w:r>
        <w:rPr>
          <w:sz w:val="20"/>
        </w:rPr>
        <w:t>M76.1,</w:t>
      </w:r>
      <w:r>
        <w:rPr>
          <w:spacing w:val="-4"/>
          <w:sz w:val="20"/>
        </w:rPr>
        <w:t> </w:t>
      </w:r>
      <w:r>
        <w:rPr>
          <w:spacing w:val="-2"/>
          <w:sz w:val="20"/>
        </w:rPr>
        <w:t>M76.2,</w:t>
      </w:r>
    </w:p>
    <w:p>
      <w:pPr>
        <w:spacing w:before="0"/>
        <w:ind w:left="4725" w:right="0" w:firstLine="0"/>
        <w:jc w:val="left"/>
        <w:rPr>
          <w:sz w:val="20"/>
        </w:rPr>
      </w:pPr>
      <w:r>
        <w:rPr>
          <w:sz w:val="20"/>
        </w:rPr>
        <w:t>M76.3,</w:t>
      </w:r>
      <w:r>
        <w:rPr>
          <w:spacing w:val="-6"/>
          <w:sz w:val="20"/>
        </w:rPr>
        <w:t> </w:t>
      </w:r>
      <w:r>
        <w:rPr>
          <w:sz w:val="20"/>
        </w:rPr>
        <w:t>M76.4,</w:t>
      </w:r>
      <w:r>
        <w:rPr>
          <w:spacing w:val="-6"/>
          <w:sz w:val="20"/>
        </w:rPr>
        <w:t> </w:t>
      </w:r>
      <w:r>
        <w:rPr>
          <w:sz w:val="20"/>
        </w:rPr>
        <w:t>M76.5,</w:t>
      </w:r>
      <w:r>
        <w:rPr>
          <w:spacing w:val="-6"/>
          <w:sz w:val="20"/>
        </w:rPr>
        <w:t> </w:t>
      </w:r>
      <w:r>
        <w:rPr>
          <w:sz w:val="20"/>
        </w:rPr>
        <w:t>M76.6,</w:t>
      </w:r>
      <w:r>
        <w:rPr>
          <w:spacing w:val="-6"/>
          <w:sz w:val="20"/>
        </w:rPr>
        <w:t> </w:t>
      </w:r>
      <w:r>
        <w:rPr>
          <w:sz w:val="20"/>
        </w:rPr>
        <w:t>M76.7,</w:t>
      </w:r>
      <w:r>
        <w:rPr>
          <w:spacing w:val="-5"/>
          <w:sz w:val="20"/>
        </w:rPr>
        <w:t> </w:t>
      </w:r>
      <w:r>
        <w:rPr>
          <w:spacing w:val="-2"/>
          <w:sz w:val="20"/>
        </w:rPr>
        <w:t>M76.8,</w:t>
      </w:r>
    </w:p>
    <w:p>
      <w:pPr>
        <w:spacing w:before="1"/>
        <w:ind w:left="4801" w:right="0" w:firstLine="0"/>
        <w:jc w:val="left"/>
        <w:rPr>
          <w:sz w:val="20"/>
        </w:rPr>
      </w:pPr>
      <w:r>
        <w:rPr>
          <w:sz w:val="20"/>
        </w:rPr>
        <w:t>M76.9,</w:t>
      </w:r>
      <w:r>
        <w:rPr>
          <w:spacing w:val="-4"/>
          <w:sz w:val="20"/>
        </w:rPr>
        <w:t> </w:t>
      </w:r>
      <w:r>
        <w:rPr>
          <w:sz w:val="20"/>
        </w:rPr>
        <w:t>M77,</w:t>
      </w:r>
      <w:r>
        <w:rPr>
          <w:spacing w:val="-3"/>
          <w:sz w:val="20"/>
        </w:rPr>
        <w:t> </w:t>
      </w:r>
      <w:r>
        <w:rPr>
          <w:sz w:val="20"/>
        </w:rPr>
        <w:t>M77.0,</w:t>
      </w:r>
      <w:r>
        <w:rPr>
          <w:spacing w:val="-5"/>
          <w:sz w:val="20"/>
        </w:rPr>
        <w:t> </w:t>
      </w:r>
      <w:r>
        <w:rPr>
          <w:sz w:val="20"/>
        </w:rPr>
        <w:t>M77.1,</w:t>
      </w:r>
      <w:r>
        <w:rPr>
          <w:spacing w:val="-6"/>
          <w:sz w:val="20"/>
        </w:rPr>
        <w:t> </w:t>
      </w:r>
      <w:r>
        <w:rPr>
          <w:sz w:val="20"/>
        </w:rPr>
        <w:t>M77.2,</w:t>
      </w:r>
      <w:r>
        <w:rPr>
          <w:spacing w:val="-3"/>
          <w:sz w:val="20"/>
        </w:rPr>
        <w:t> </w:t>
      </w:r>
      <w:r>
        <w:rPr>
          <w:spacing w:val="-2"/>
          <w:sz w:val="20"/>
        </w:rPr>
        <w:t>M77.3,</w:t>
      </w:r>
    </w:p>
    <w:p>
      <w:pPr>
        <w:spacing w:before="1"/>
        <w:ind w:left="4801" w:right="0" w:firstLine="0"/>
        <w:jc w:val="left"/>
        <w:rPr>
          <w:sz w:val="20"/>
        </w:rPr>
      </w:pPr>
      <w:r>
        <w:rPr>
          <w:sz w:val="20"/>
        </w:rPr>
        <w:t>M77.4,</w:t>
      </w:r>
      <w:r>
        <w:rPr>
          <w:spacing w:val="-6"/>
          <w:sz w:val="20"/>
        </w:rPr>
        <w:t> </w:t>
      </w:r>
      <w:r>
        <w:rPr>
          <w:sz w:val="20"/>
        </w:rPr>
        <w:t>M77.5,</w:t>
      </w:r>
      <w:r>
        <w:rPr>
          <w:spacing w:val="-5"/>
          <w:sz w:val="20"/>
        </w:rPr>
        <w:t> </w:t>
      </w:r>
      <w:r>
        <w:rPr>
          <w:sz w:val="20"/>
        </w:rPr>
        <w:t>M77.8,</w:t>
      </w:r>
      <w:r>
        <w:rPr>
          <w:spacing w:val="-5"/>
          <w:sz w:val="20"/>
        </w:rPr>
        <w:t> </w:t>
      </w:r>
      <w:r>
        <w:rPr>
          <w:sz w:val="20"/>
        </w:rPr>
        <w:t>M77.9,</w:t>
      </w:r>
      <w:r>
        <w:rPr>
          <w:spacing w:val="-5"/>
          <w:sz w:val="20"/>
        </w:rPr>
        <w:t> </w:t>
      </w:r>
      <w:r>
        <w:rPr>
          <w:sz w:val="20"/>
        </w:rPr>
        <w:t>M79,</w:t>
      </w:r>
      <w:r>
        <w:rPr>
          <w:spacing w:val="-5"/>
          <w:sz w:val="20"/>
        </w:rPr>
        <w:t> </w:t>
      </w:r>
      <w:r>
        <w:rPr>
          <w:spacing w:val="-2"/>
          <w:sz w:val="20"/>
        </w:rPr>
        <w:t>M79.0,</w:t>
      </w:r>
    </w:p>
    <w:p>
      <w:pPr>
        <w:spacing w:line="229" w:lineRule="exact" w:before="0"/>
        <w:ind w:left="4725" w:right="0" w:firstLine="0"/>
        <w:jc w:val="left"/>
        <w:rPr>
          <w:sz w:val="20"/>
        </w:rPr>
      </w:pPr>
      <w:r>
        <w:rPr>
          <w:sz w:val="20"/>
        </w:rPr>
        <w:t>M79.1,</w:t>
      </w:r>
      <w:r>
        <w:rPr>
          <w:spacing w:val="-6"/>
          <w:sz w:val="20"/>
        </w:rPr>
        <w:t> </w:t>
      </w:r>
      <w:r>
        <w:rPr>
          <w:sz w:val="20"/>
        </w:rPr>
        <w:t>M79.2,</w:t>
      </w:r>
      <w:r>
        <w:rPr>
          <w:spacing w:val="-6"/>
          <w:sz w:val="20"/>
        </w:rPr>
        <w:t> </w:t>
      </w:r>
      <w:r>
        <w:rPr>
          <w:sz w:val="20"/>
        </w:rPr>
        <w:t>M79.3,</w:t>
      </w:r>
      <w:r>
        <w:rPr>
          <w:spacing w:val="-6"/>
          <w:sz w:val="20"/>
        </w:rPr>
        <w:t> </w:t>
      </w:r>
      <w:r>
        <w:rPr>
          <w:sz w:val="20"/>
        </w:rPr>
        <w:t>M79.4,</w:t>
      </w:r>
      <w:r>
        <w:rPr>
          <w:spacing w:val="-6"/>
          <w:sz w:val="20"/>
        </w:rPr>
        <w:t> </w:t>
      </w:r>
      <w:r>
        <w:rPr>
          <w:sz w:val="20"/>
        </w:rPr>
        <w:t>M79.5,</w:t>
      </w:r>
      <w:r>
        <w:rPr>
          <w:spacing w:val="-5"/>
          <w:sz w:val="20"/>
        </w:rPr>
        <w:t> </w:t>
      </w:r>
      <w:r>
        <w:rPr>
          <w:spacing w:val="-2"/>
          <w:sz w:val="20"/>
        </w:rPr>
        <w:t>M79.6,</w:t>
      </w:r>
    </w:p>
    <w:p>
      <w:pPr>
        <w:spacing w:line="229" w:lineRule="exact" w:before="0"/>
        <w:ind w:left="4801" w:right="0" w:firstLine="0"/>
        <w:jc w:val="left"/>
        <w:rPr>
          <w:sz w:val="20"/>
        </w:rPr>
      </w:pPr>
      <w:r>
        <w:rPr>
          <w:sz w:val="20"/>
        </w:rPr>
        <w:t>M79.7,</w:t>
      </w:r>
      <w:r>
        <w:rPr>
          <w:spacing w:val="-5"/>
          <w:sz w:val="20"/>
        </w:rPr>
        <w:t> </w:t>
      </w:r>
      <w:r>
        <w:rPr>
          <w:sz w:val="20"/>
        </w:rPr>
        <w:t>M79.8,</w:t>
      </w:r>
      <w:r>
        <w:rPr>
          <w:spacing w:val="-5"/>
          <w:sz w:val="20"/>
        </w:rPr>
        <w:t> </w:t>
      </w:r>
      <w:r>
        <w:rPr>
          <w:sz w:val="20"/>
        </w:rPr>
        <w:t>M79.9,</w:t>
      </w:r>
      <w:r>
        <w:rPr>
          <w:spacing w:val="-4"/>
          <w:sz w:val="20"/>
        </w:rPr>
        <w:t> </w:t>
      </w:r>
      <w:r>
        <w:rPr>
          <w:sz w:val="20"/>
        </w:rPr>
        <w:t>M80,</w:t>
      </w:r>
      <w:r>
        <w:rPr>
          <w:spacing w:val="-6"/>
          <w:sz w:val="20"/>
        </w:rPr>
        <w:t> </w:t>
      </w:r>
      <w:r>
        <w:rPr>
          <w:sz w:val="20"/>
        </w:rPr>
        <w:t>M80.0,</w:t>
      </w:r>
      <w:r>
        <w:rPr>
          <w:spacing w:val="-5"/>
          <w:sz w:val="20"/>
        </w:rPr>
        <w:t> </w:t>
      </w:r>
      <w:r>
        <w:rPr>
          <w:spacing w:val="-2"/>
          <w:sz w:val="20"/>
        </w:rPr>
        <w:t>M80.1,</w:t>
      </w:r>
    </w:p>
    <w:p>
      <w:pPr>
        <w:spacing w:before="0"/>
        <w:ind w:left="4725" w:right="0" w:firstLine="0"/>
        <w:jc w:val="left"/>
        <w:rPr>
          <w:sz w:val="20"/>
        </w:rPr>
      </w:pPr>
      <w:r>
        <w:rPr>
          <w:sz w:val="20"/>
        </w:rPr>
        <w:t>M80.2,</w:t>
      </w:r>
      <w:r>
        <w:rPr>
          <w:spacing w:val="-6"/>
          <w:sz w:val="20"/>
        </w:rPr>
        <w:t> </w:t>
      </w:r>
      <w:r>
        <w:rPr>
          <w:sz w:val="20"/>
        </w:rPr>
        <w:t>M80.3,</w:t>
      </w:r>
      <w:r>
        <w:rPr>
          <w:spacing w:val="-6"/>
          <w:sz w:val="20"/>
        </w:rPr>
        <w:t> </w:t>
      </w:r>
      <w:r>
        <w:rPr>
          <w:sz w:val="20"/>
        </w:rPr>
        <w:t>M80.4,</w:t>
      </w:r>
      <w:r>
        <w:rPr>
          <w:spacing w:val="-6"/>
          <w:sz w:val="20"/>
        </w:rPr>
        <w:t> </w:t>
      </w:r>
      <w:r>
        <w:rPr>
          <w:sz w:val="20"/>
        </w:rPr>
        <w:t>M80.5,</w:t>
      </w:r>
      <w:r>
        <w:rPr>
          <w:spacing w:val="-6"/>
          <w:sz w:val="20"/>
        </w:rPr>
        <w:t> </w:t>
      </w:r>
      <w:r>
        <w:rPr>
          <w:sz w:val="20"/>
        </w:rPr>
        <w:t>M80.8,</w:t>
      </w:r>
      <w:r>
        <w:rPr>
          <w:spacing w:val="-5"/>
          <w:sz w:val="20"/>
        </w:rPr>
        <w:t> </w:t>
      </w:r>
      <w:r>
        <w:rPr>
          <w:spacing w:val="-2"/>
          <w:sz w:val="20"/>
        </w:rPr>
        <w:t>M80.9,</w:t>
      </w:r>
    </w:p>
    <w:p>
      <w:pPr>
        <w:spacing w:before="1"/>
        <w:ind w:left="4801" w:right="0" w:firstLine="0"/>
        <w:jc w:val="left"/>
        <w:rPr>
          <w:sz w:val="20"/>
        </w:rPr>
      </w:pPr>
      <w:r>
        <w:rPr>
          <w:sz w:val="20"/>
        </w:rPr>
        <w:t>M81,</w:t>
      </w:r>
      <w:r>
        <w:rPr>
          <w:spacing w:val="-5"/>
          <w:sz w:val="20"/>
        </w:rPr>
        <w:t> </w:t>
      </w:r>
      <w:r>
        <w:rPr>
          <w:sz w:val="20"/>
        </w:rPr>
        <w:t>M81.0,</w:t>
      </w:r>
      <w:r>
        <w:rPr>
          <w:spacing w:val="-4"/>
          <w:sz w:val="20"/>
        </w:rPr>
        <w:t> </w:t>
      </w:r>
      <w:r>
        <w:rPr>
          <w:sz w:val="20"/>
        </w:rPr>
        <w:t>M81.1,</w:t>
      </w:r>
      <w:r>
        <w:rPr>
          <w:spacing w:val="-6"/>
          <w:sz w:val="20"/>
        </w:rPr>
        <w:t> </w:t>
      </w:r>
      <w:r>
        <w:rPr>
          <w:sz w:val="20"/>
        </w:rPr>
        <w:t>M81.2,</w:t>
      </w:r>
      <w:r>
        <w:rPr>
          <w:spacing w:val="-6"/>
          <w:sz w:val="20"/>
        </w:rPr>
        <w:t> </w:t>
      </w:r>
      <w:r>
        <w:rPr>
          <w:sz w:val="20"/>
        </w:rPr>
        <w:t>M81.3,</w:t>
      </w:r>
      <w:r>
        <w:rPr>
          <w:spacing w:val="-4"/>
          <w:sz w:val="20"/>
        </w:rPr>
        <w:t> </w:t>
      </w:r>
      <w:r>
        <w:rPr>
          <w:spacing w:val="-2"/>
          <w:sz w:val="20"/>
        </w:rPr>
        <w:t>M81.4,</w:t>
      </w:r>
    </w:p>
    <w:p>
      <w:pPr>
        <w:spacing w:before="0"/>
        <w:ind w:left="4801" w:right="0" w:firstLine="0"/>
        <w:jc w:val="left"/>
        <w:rPr>
          <w:sz w:val="20"/>
        </w:rPr>
      </w:pPr>
      <w:r>
        <w:rPr>
          <w:sz w:val="20"/>
        </w:rPr>
        <w:t>M81.5,</w:t>
      </w:r>
      <w:r>
        <w:rPr>
          <w:spacing w:val="-5"/>
          <w:sz w:val="20"/>
        </w:rPr>
        <w:t> </w:t>
      </w:r>
      <w:r>
        <w:rPr>
          <w:sz w:val="20"/>
        </w:rPr>
        <w:t>M81.6,</w:t>
      </w:r>
      <w:r>
        <w:rPr>
          <w:spacing w:val="-5"/>
          <w:sz w:val="20"/>
        </w:rPr>
        <w:t> </w:t>
      </w:r>
      <w:r>
        <w:rPr>
          <w:sz w:val="20"/>
        </w:rPr>
        <w:t>M81.8,</w:t>
      </w:r>
      <w:r>
        <w:rPr>
          <w:spacing w:val="-5"/>
          <w:sz w:val="20"/>
        </w:rPr>
        <w:t> </w:t>
      </w:r>
      <w:r>
        <w:rPr>
          <w:sz w:val="20"/>
        </w:rPr>
        <w:t>M81.9,</w:t>
      </w:r>
      <w:r>
        <w:rPr>
          <w:spacing w:val="-5"/>
          <w:sz w:val="20"/>
        </w:rPr>
        <w:t> </w:t>
      </w:r>
      <w:r>
        <w:rPr>
          <w:sz w:val="20"/>
        </w:rPr>
        <w:t>M82,</w:t>
      </w:r>
      <w:r>
        <w:rPr>
          <w:spacing w:val="-1"/>
          <w:sz w:val="20"/>
        </w:rPr>
        <w:t> </w:t>
      </w:r>
      <w:r>
        <w:rPr>
          <w:spacing w:val="-2"/>
          <w:sz w:val="20"/>
        </w:rPr>
        <w:t>M82.0,</w:t>
      </w:r>
    </w:p>
    <w:p>
      <w:pPr>
        <w:spacing w:line="229" w:lineRule="exact" w:before="1"/>
        <w:ind w:left="4801" w:right="0" w:firstLine="0"/>
        <w:jc w:val="left"/>
        <w:rPr>
          <w:sz w:val="20"/>
        </w:rPr>
      </w:pPr>
      <w:r>
        <w:rPr>
          <w:sz w:val="20"/>
        </w:rPr>
        <w:t>M82.8,</w:t>
      </w:r>
      <w:r>
        <w:rPr>
          <w:spacing w:val="-4"/>
          <w:sz w:val="20"/>
        </w:rPr>
        <w:t> </w:t>
      </w:r>
      <w:r>
        <w:rPr>
          <w:sz w:val="20"/>
        </w:rPr>
        <w:t>M83,</w:t>
      </w:r>
      <w:r>
        <w:rPr>
          <w:spacing w:val="-4"/>
          <w:sz w:val="20"/>
        </w:rPr>
        <w:t> </w:t>
      </w:r>
      <w:r>
        <w:rPr>
          <w:sz w:val="20"/>
        </w:rPr>
        <w:t>M83.0,</w:t>
      </w:r>
      <w:r>
        <w:rPr>
          <w:spacing w:val="-6"/>
          <w:sz w:val="20"/>
        </w:rPr>
        <w:t> </w:t>
      </w:r>
      <w:r>
        <w:rPr>
          <w:sz w:val="20"/>
        </w:rPr>
        <w:t>M83.1,</w:t>
      </w:r>
      <w:r>
        <w:rPr>
          <w:spacing w:val="-6"/>
          <w:sz w:val="20"/>
        </w:rPr>
        <w:t> </w:t>
      </w:r>
      <w:r>
        <w:rPr>
          <w:sz w:val="20"/>
        </w:rPr>
        <w:t>M83.2,</w:t>
      </w:r>
      <w:r>
        <w:rPr>
          <w:spacing w:val="-4"/>
          <w:sz w:val="20"/>
        </w:rPr>
        <w:t> </w:t>
      </w:r>
      <w:r>
        <w:rPr>
          <w:spacing w:val="-2"/>
          <w:sz w:val="20"/>
        </w:rPr>
        <w:t>M83.3,</w:t>
      </w:r>
    </w:p>
    <w:p>
      <w:pPr>
        <w:spacing w:line="229" w:lineRule="exact" w:before="0"/>
        <w:ind w:left="4801" w:right="0" w:firstLine="0"/>
        <w:jc w:val="left"/>
        <w:rPr>
          <w:sz w:val="20"/>
        </w:rPr>
      </w:pPr>
      <w:r>
        <w:rPr>
          <w:sz w:val="20"/>
        </w:rPr>
        <w:t>M83.4,</w:t>
      </w:r>
      <w:r>
        <w:rPr>
          <w:spacing w:val="-6"/>
          <w:sz w:val="20"/>
        </w:rPr>
        <w:t> </w:t>
      </w:r>
      <w:r>
        <w:rPr>
          <w:sz w:val="20"/>
        </w:rPr>
        <w:t>M83.5,</w:t>
      </w:r>
      <w:r>
        <w:rPr>
          <w:spacing w:val="-5"/>
          <w:sz w:val="20"/>
        </w:rPr>
        <w:t> </w:t>
      </w:r>
      <w:r>
        <w:rPr>
          <w:sz w:val="20"/>
        </w:rPr>
        <w:t>M83.8,</w:t>
      </w:r>
      <w:r>
        <w:rPr>
          <w:spacing w:val="-5"/>
          <w:sz w:val="20"/>
        </w:rPr>
        <w:t> </w:t>
      </w:r>
      <w:r>
        <w:rPr>
          <w:sz w:val="20"/>
        </w:rPr>
        <w:t>M83.9,</w:t>
      </w:r>
      <w:r>
        <w:rPr>
          <w:spacing w:val="-5"/>
          <w:sz w:val="20"/>
        </w:rPr>
        <w:t> </w:t>
      </w:r>
      <w:r>
        <w:rPr>
          <w:sz w:val="20"/>
        </w:rPr>
        <w:t>M84,</w:t>
      </w:r>
      <w:r>
        <w:rPr>
          <w:spacing w:val="-5"/>
          <w:sz w:val="20"/>
        </w:rPr>
        <w:t> </w:t>
      </w:r>
      <w:r>
        <w:rPr>
          <w:spacing w:val="-2"/>
          <w:sz w:val="20"/>
        </w:rPr>
        <w:t>M84.0,</w:t>
      </w:r>
    </w:p>
    <w:p>
      <w:pPr>
        <w:spacing w:before="0"/>
        <w:ind w:left="4725" w:right="0" w:firstLine="0"/>
        <w:jc w:val="left"/>
        <w:rPr>
          <w:sz w:val="20"/>
        </w:rPr>
      </w:pPr>
      <w:r>
        <w:rPr>
          <w:sz w:val="20"/>
        </w:rPr>
        <w:t>M84.1,</w:t>
      </w:r>
      <w:r>
        <w:rPr>
          <w:spacing w:val="-6"/>
          <w:sz w:val="20"/>
        </w:rPr>
        <w:t> </w:t>
      </w:r>
      <w:r>
        <w:rPr>
          <w:sz w:val="20"/>
        </w:rPr>
        <w:t>M84.2,</w:t>
      </w:r>
      <w:r>
        <w:rPr>
          <w:spacing w:val="-6"/>
          <w:sz w:val="20"/>
        </w:rPr>
        <w:t> </w:t>
      </w:r>
      <w:r>
        <w:rPr>
          <w:sz w:val="20"/>
        </w:rPr>
        <w:t>M84.3,</w:t>
      </w:r>
      <w:r>
        <w:rPr>
          <w:spacing w:val="-6"/>
          <w:sz w:val="20"/>
        </w:rPr>
        <w:t> </w:t>
      </w:r>
      <w:r>
        <w:rPr>
          <w:sz w:val="20"/>
        </w:rPr>
        <w:t>M84.4,</w:t>
      </w:r>
      <w:r>
        <w:rPr>
          <w:spacing w:val="-6"/>
          <w:sz w:val="20"/>
        </w:rPr>
        <w:t> </w:t>
      </w:r>
      <w:r>
        <w:rPr>
          <w:sz w:val="20"/>
        </w:rPr>
        <w:t>M84.8,</w:t>
      </w:r>
      <w:r>
        <w:rPr>
          <w:spacing w:val="-5"/>
          <w:sz w:val="20"/>
        </w:rPr>
        <w:t> </w:t>
      </w:r>
      <w:r>
        <w:rPr>
          <w:spacing w:val="-2"/>
          <w:sz w:val="20"/>
        </w:rPr>
        <w:t>M84.9,</w:t>
      </w:r>
    </w:p>
    <w:p>
      <w:pPr>
        <w:spacing w:before="1"/>
        <w:ind w:left="4801" w:right="0" w:firstLine="0"/>
        <w:jc w:val="left"/>
        <w:rPr>
          <w:sz w:val="20"/>
        </w:rPr>
      </w:pPr>
      <w:r>
        <w:rPr>
          <w:sz w:val="20"/>
        </w:rPr>
        <w:t>M85,</w:t>
      </w:r>
      <w:r>
        <w:rPr>
          <w:spacing w:val="-5"/>
          <w:sz w:val="20"/>
        </w:rPr>
        <w:t> </w:t>
      </w:r>
      <w:r>
        <w:rPr>
          <w:sz w:val="20"/>
        </w:rPr>
        <w:t>M85.0,</w:t>
      </w:r>
      <w:r>
        <w:rPr>
          <w:spacing w:val="-4"/>
          <w:sz w:val="20"/>
        </w:rPr>
        <w:t> </w:t>
      </w:r>
      <w:r>
        <w:rPr>
          <w:sz w:val="20"/>
        </w:rPr>
        <w:t>M85.1,</w:t>
      </w:r>
      <w:r>
        <w:rPr>
          <w:spacing w:val="-6"/>
          <w:sz w:val="20"/>
        </w:rPr>
        <w:t> </w:t>
      </w:r>
      <w:r>
        <w:rPr>
          <w:sz w:val="20"/>
        </w:rPr>
        <w:t>M85.2,</w:t>
      </w:r>
      <w:r>
        <w:rPr>
          <w:spacing w:val="-6"/>
          <w:sz w:val="20"/>
        </w:rPr>
        <w:t> </w:t>
      </w:r>
      <w:r>
        <w:rPr>
          <w:sz w:val="20"/>
        </w:rPr>
        <w:t>M85.3,</w:t>
      </w:r>
      <w:r>
        <w:rPr>
          <w:spacing w:val="-4"/>
          <w:sz w:val="20"/>
        </w:rPr>
        <w:t> </w:t>
      </w:r>
      <w:r>
        <w:rPr>
          <w:spacing w:val="-2"/>
          <w:sz w:val="20"/>
        </w:rPr>
        <w:t>M85.4,</w:t>
      </w:r>
    </w:p>
    <w:p>
      <w:pPr>
        <w:spacing w:before="0"/>
        <w:ind w:left="4725" w:right="0" w:firstLine="0"/>
        <w:jc w:val="left"/>
        <w:rPr>
          <w:sz w:val="20"/>
        </w:rPr>
      </w:pPr>
      <w:r>
        <w:rPr>
          <w:sz w:val="20"/>
        </w:rPr>
        <w:t>M85.5,</w:t>
      </w:r>
      <w:r>
        <w:rPr>
          <w:spacing w:val="-6"/>
          <w:sz w:val="20"/>
        </w:rPr>
        <w:t> </w:t>
      </w:r>
      <w:r>
        <w:rPr>
          <w:sz w:val="20"/>
        </w:rPr>
        <w:t>M85.6,</w:t>
      </w:r>
      <w:r>
        <w:rPr>
          <w:spacing w:val="-6"/>
          <w:sz w:val="20"/>
        </w:rPr>
        <w:t> </w:t>
      </w:r>
      <w:r>
        <w:rPr>
          <w:sz w:val="20"/>
        </w:rPr>
        <w:t>M85.8,</w:t>
      </w:r>
      <w:r>
        <w:rPr>
          <w:spacing w:val="-6"/>
          <w:sz w:val="20"/>
        </w:rPr>
        <w:t> </w:t>
      </w:r>
      <w:r>
        <w:rPr>
          <w:sz w:val="20"/>
        </w:rPr>
        <w:t>M85.9,</w:t>
      </w:r>
      <w:r>
        <w:rPr>
          <w:spacing w:val="-6"/>
          <w:sz w:val="20"/>
        </w:rPr>
        <w:t> </w:t>
      </w:r>
      <w:r>
        <w:rPr>
          <w:sz w:val="20"/>
        </w:rPr>
        <w:t>M86.0,</w:t>
      </w:r>
      <w:r>
        <w:rPr>
          <w:spacing w:val="-5"/>
          <w:sz w:val="20"/>
        </w:rPr>
        <w:t> </w:t>
      </w:r>
      <w:r>
        <w:rPr>
          <w:spacing w:val="-2"/>
          <w:sz w:val="20"/>
        </w:rPr>
        <w:t>M86.1,</w:t>
      </w:r>
    </w:p>
    <w:p>
      <w:pPr>
        <w:spacing w:before="1"/>
        <w:ind w:left="4725" w:right="0" w:firstLine="0"/>
        <w:jc w:val="left"/>
        <w:rPr>
          <w:sz w:val="20"/>
        </w:rPr>
      </w:pPr>
      <w:r>
        <w:rPr>
          <w:sz w:val="20"/>
        </w:rPr>
        <w:t>M86.2,</w:t>
      </w:r>
      <w:r>
        <w:rPr>
          <w:spacing w:val="-6"/>
          <w:sz w:val="20"/>
        </w:rPr>
        <w:t> </w:t>
      </w:r>
      <w:r>
        <w:rPr>
          <w:sz w:val="20"/>
        </w:rPr>
        <w:t>M86.3,</w:t>
      </w:r>
      <w:r>
        <w:rPr>
          <w:spacing w:val="-6"/>
          <w:sz w:val="20"/>
        </w:rPr>
        <w:t> </w:t>
      </w:r>
      <w:r>
        <w:rPr>
          <w:sz w:val="20"/>
        </w:rPr>
        <w:t>M86.4,</w:t>
      </w:r>
      <w:r>
        <w:rPr>
          <w:spacing w:val="-6"/>
          <w:sz w:val="20"/>
        </w:rPr>
        <w:t> </w:t>
      </w:r>
      <w:r>
        <w:rPr>
          <w:sz w:val="20"/>
        </w:rPr>
        <w:t>M86.5,</w:t>
      </w:r>
      <w:r>
        <w:rPr>
          <w:spacing w:val="-6"/>
          <w:sz w:val="20"/>
        </w:rPr>
        <w:t> </w:t>
      </w:r>
      <w:r>
        <w:rPr>
          <w:sz w:val="20"/>
        </w:rPr>
        <w:t>M86.6,</w:t>
      </w:r>
      <w:r>
        <w:rPr>
          <w:spacing w:val="-5"/>
          <w:sz w:val="20"/>
        </w:rPr>
        <w:t> </w:t>
      </w:r>
      <w:r>
        <w:rPr>
          <w:spacing w:val="-2"/>
          <w:sz w:val="20"/>
        </w:rPr>
        <w:t>M86.8,</w:t>
      </w:r>
    </w:p>
    <w:p>
      <w:pPr>
        <w:spacing w:line="229" w:lineRule="exact" w:before="0"/>
        <w:ind w:left="1163" w:right="4154" w:firstLine="0"/>
        <w:jc w:val="center"/>
        <w:rPr>
          <w:sz w:val="20"/>
        </w:rPr>
      </w:pPr>
      <w:r>
        <w:rPr>
          <w:sz w:val="20"/>
        </w:rPr>
        <w:t>M86.9,</w:t>
      </w:r>
      <w:r>
        <w:rPr>
          <w:spacing w:val="-4"/>
          <w:sz w:val="20"/>
        </w:rPr>
        <w:t> </w:t>
      </w:r>
      <w:r>
        <w:rPr>
          <w:sz w:val="20"/>
        </w:rPr>
        <w:t>M87,</w:t>
      </w:r>
      <w:r>
        <w:rPr>
          <w:spacing w:val="-4"/>
          <w:sz w:val="20"/>
        </w:rPr>
        <w:t> </w:t>
      </w:r>
      <w:r>
        <w:rPr>
          <w:sz w:val="20"/>
        </w:rPr>
        <w:t>M87.0,</w:t>
      </w:r>
      <w:r>
        <w:rPr>
          <w:spacing w:val="-6"/>
          <w:sz w:val="20"/>
        </w:rPr>
        <w:t> </w:t>
      </w:r>
      <w:r>
        <w:rPr>
          <w:sz w:val="20"/>
        </w:rPr>
        <w:t>M87.1,</w:t>
      </w:r>
      <w:r>
        <w:rPr>
          <w:spacing w:val="-6"/>
          <w:sz w:val="20"/>
        </w:rPr>
        <w:t> </w:t>
      </w:r>
      <w:r>
        <w:rPr>
          <w:sz w:val="20"/>
        </w:rPr>
        <w:t>M87.2,</w:t>
      </w:r>
      <w:r>
        <w:rPr>
          <w:spacing w:val="-4"/>
          <w:sz w:val="20"/>
        </w:rPr>
        <w:t> </w:t>
      </w:r>
      <w:r>
        <w:rPr>
          <w:spacing w:val="-2"/>
          <w:sz w:val="20"/>
        </w:rPr>
        <w:t>M87.3,</w:t>
      </w:r>
    </w:p>
    <w:p>
      <w:pPr>
        <w:spacing w:line="229" w:lineRule="exact" w:before="0"/>
        <w:ind w:left="1162" w:right="4154" w:firstLine="0"/>
        <w:jc w:val="center"/>
        <w:rPr>
          <w:sz w:val="20"/>
        </w:rPr>
      </w:pPr>
      <w:r>
        <w:rPr>
          <w:sz w:val="20"/>
        </w:rPr>
        <w:t>M87.8,</w:t>
      </w:r>
      <w:r>
        <w:rPr>
          <w:spacing w:val="-5"/>
          <w:sz w:val="20"/>
        </w:rPr>
        <w:t> </w:t>
      </w:r>
      <w:r>
        <w:rPr>
          <w:sz w:val="20"/>
        </w:rPr>
        <w:t>M87.9,</w:t>
      </w:r>
      <w:r>
        <w:rPr>
          <w:spacing w:val="-5"/>
          <w:sz w:val="20"/>
        </w:rPr>
        <w:t> </w:t>
      </w:r>
      <w:r>
        <w:rPr>
          <w:sz w:val="20"/>
        </w:rPr>
        <w:t>M88,</w:t>
      </w:r>
      <w:r>
        <w:rPr>
          <w:spacing w:val="-7"/>
          <w:sz w:val="20"/>
        </w:rPr>
        <w:t> </w:t>
      </w:r>
      <w:r>
        <w:rPr>
          <w:sz w:val="20"/>
        </w:rPr>
        <w:t>M88.0,</w:t>
      </w:r>
      <w:r>
        <w:rPr>
          <w:spacing w:val="-6"/>
          <w:sz w:val="20"/>
        </w:rPr>
        <w:t> </w:t>
      </w:r>
      <w:r>
        <w:rPr>
          <w:sz w:val="20"/>
        </w:rPr>
        <w:t>M88.8,</w:t>
      </w:r>
      <w:r>
        <w:rPr>
          <w:spacing w:val="-5"/>
          <w:sz w:val="20"/>
        </w:rPr>
        <w:t> </w:t>
      </w:r>
      <w:r>
        <w:rPr>
          <w:sz w:val="20"/>
        </w:rPr>
        <w:t>M88.9,</w:t>
      </w:r>
      <w:r>
        <w:rPr>
          <w:spacing w:val="-5"/>
          <w:sz w:val="20"/>
        </w:rPr>
        <w:t> </w:t>
      </w:r>
      <w:r>
        <w:rPr>
          <w:spacing w:val="-4"/>
          <w:sz w:val="20"/>
        </w:rPr>
        <w:t>M89,</w:t>
      </w:r>
    </w:p>
    <w:p>
      <w:pPr>
        <w:spacing w:before="1"/>
        <w:ind w:left="4725" w:right="0" w:firstLine="0"/>
        <w:jc w:val="left"/>
        <w:rPr>
          <w:sz w:val="20"/>
        </w:rPr>
      </w:pPr>
      <w:r>
        <w:rPr>
          <w:sz w:val="20"/>
        </w:rPr>
        <w:t>M89.0,</w:t>
      </w:r>
      <w:r>
        <w:rPr>
          <w:spacing w:val="-6"/>
          <w:sz w:val="20"/>
        </w:rPr>
        <w:t> </w:t>
      </w:r>
      <w:r>
        <w:rPr>
          <w:sz w:val="20"/>
        </w:rPr>
        <w:t>M89.1,</w:t>
      </w:r>
      <w:r>
        <w:rPr>
          <w:spacing w:val="-6"/>
          <w:sz w:val="20"/>
        </w:rPr>
        <w:t> </w:t>
      </w:r>
      <w:r>
        <w:rPr>
          <w:sz w:val="20"/>
        </w:rPr>
        <w:t>M89.2,</w:t>
      </w:r>
      <w:r>
        <w:rPr>
          <w:spacing w:val="-6"/>
          <w:sz w:val="20"/>
        </w:rPr>
        <w:t> </w:t>
      </w:r>
      <w:r>
        <w:rPr>
          <w:sz w:val="20"/>
        </w:rPr>
        <w:t>M89.3,</w:t>
      </w:r>
      <w:r>
        <w:rPr>
          <w:spacing w:val="-6"/>
          <w:sz w:val="20"/>
        </w:rPr>
        <w:t> </w:t>
      </w:r>
      <w:r>
        <w:rPr>
          <w:sz w:val="20"/>
        </w:rPr>
        <w:t>M89.4,</w:t>
      </w:r>
      <w:r>
        <w:rPr>
          <w:spacing w:val="-5"/>
          <w:sz w:val="20"/>
        </w:rPr>
        <w:t> </w:t>
      </w:r>
      <w:r>
        <w:rPr>
          <w:spacing w:val="-2"/>
          <w:sz w:val="20"/>
        </w:rPr>
        <w:t>M89.5,</w:t>
      </w:r>
    </w:p>
    <w:p>
      <w:pPr>
        <w:spacing w:before="0"/>
        <w:ind w:left="4801" w:right="0" w:firstLine="0"/>
        <w:jc w:val="left"/>
        <w:rPr>
          <w:sz w:val="20"/>
        </w:rPr>
      </w:pPr>
      <w:r>
        <w:rPr>
          <w:sz w:val="20"/>
        </w:rPr>
        <w:t>M89.6,</w:t>
      </w:r>
      <w:r>
        <w:rPr>
          <w:spacing w:val="-5"/>
          <w:sz w:val="20"/>
        </w:rPr>
        <w:t> </w:t>
      </w:r>
      <w:r>
        <w:rPr>
          <w:sz w:val="20"/>
        </w:rPr>
        <w:t>M89.8,</w:t>
      </w:r>
      <w:r>
        <w:rPr>
          <w:spacing w:val="-5"/>
          <w:sz w:val="20"/>
        </w:rPr>
        <w:t> </w:t>
      </w:r>
      <w:r>
        <w:rPr>
          <w:sz w:val="20"/>
        </w:rPr>
        <w:t>M89.9,</w:t>
      </w:r>
      <w:r>
        <w:rPr>
          <w:spacing w:val="-4"/>
          <w:sz w:val="20"/>
        </w:rPr>
        <w:t> </w:t>
      </w:r>
      <w:r>
        <w:rPr>
          <w:sz w:val="20"/>
        </w:rPr>
        <w:t>M90,</w:t>
      </w:r>
      <w:r>
        <w:rPr>
          <w:spacing w:val="-6"/>
          <w:sz w:val="20"/>
        </w:rPr>
        <w:t> </w:t>
      </w:r>
      <w:r>
        <w:rPr>
          <w:sz w:val="20"/>
        </w:rPr>
        <w:t>M90.1,</w:t>
      </w:r>
      <w:r>
        <w:rPr>
          <w:spacing w:val="-5"/>
          <w:sz w:val="20"/>
        </w:rPr>
        <w:t> </w:t>
      </w:r>
      <w:r>
        <w:rPr>
          <w:spacing w:val="-2"/>
          <w:sz w:val="20"/>
        </w:rPr>
        <w:t>M90.2,</w:t>
      </w:r>
    </w:p>
    <w:p>
      <w:pPr>
        <w:spacing w:before="1"/>
        <w:ind w:left="4725" w:right="0" w:firstLine="0"/>
        <w:jc w:val="left"/>
        <w:rPr>
          <w:sz w:val="20"/>
        </w:rPr>
      </w:pPr>
      <w:r>
        <w:rPr>
          <w:sz w:val="20"/>
        </w:rPr>
        <w:t>M90.3,</w:t>
      </w:r>
      <w:r>
        <w:rPr>
          <w:spacing w:val="-6"/>
          <w:sz w:val="20"/>
        </w:rPr>
        <w:t> </w:t>
      </w:r>
      <w:r>
        <w:rPr>
          <w:sz w:val="20"/>
        </w:rPr>
        <w:t>M90.4,</w:t>
      </w:r>
      <w:r>
        <w:rPr>
          <w:spacing w:val="-6"/>
          <w:sz w:val="20"/>
        </w:rPr>
        <w:t> </w:t>
      </w:r>
      <w:r>
        <w:rPr>
          <w:sz w:val="20"/>
        </w:rPr>
        <w:t>M90.5,</w:t>
      </w:r>
      <w:r>
        <w:rPr>
          <w:spacing w:val="-6"/>
          <w:sz w:val="20"/>
        </w:rPr>
        <w:t> </w:t>
      </w:r>
      <w:r>
        <w:rPr>
          <w:sz w:val="20"/>
        </w:rPr>
        <w:t>M90.6,</w:t>
      </w:r>
      <w:r>
        <w:rPr>
          <w:spacing w:val="-6"/>
          <w:sz w:val="20"/>
        </w:rPr>
        <w:t> </w:t>
      </w:r>
      <w:r>
        <w:rPr>
          <w:sz w:val="20"/>
        </w:rPr>
        <w:t>M90.7,</w:t>
      </w:r>
      <w:r>
        <w:rPr>
          <w:spacing w:val="-5"/>
          <w:sz w:val="20"/>
        </w:rPr>
        <w:t> </w:t>
      </w:r>
      <w:r>
        <w:rPr>
          <w:spacing w:val="-2"/>
          <w:sz w:val="20"/>
        </w:rPr>
        <w:t>M90.8,</w:t>
      </w:r>
    </w:p>
    <w:p>
      <w:pPr>
        <w:spacing w:before="0"/>
        <w:ind w:left="4801" w:right="0" w:firstLine="0"/>
        <w:jc w:val="left"/>
        <w:rPr>
          <w:sz w:val="20"/>
        </w:rPr>
      </w:pPr>
      <w:r>
        <w:rPr>
          <w:sz w:val="20"/>
        </w:rPr>
        <w:t>M91,</w:t>
      </w:r>
      <w:r>
        <w:rPr>
          <w:spacing w:val="-5"/>
          <w:sz w:val="20"/>
        </w:rPr>
        <w:t> </w:t>
      </w:r>
      <w:r>
        <w:rPr>
          <w:sz w:val="20"/>
        </w:rPr>
        <w:t>M91.0,</w:t>
      </w:r>
      <w:r>
        <w:rPr>
          <w:spacing w:val="-4"/>
          <w:sz w:val="20"/>
        </w:rPr>
        <w:t> </w:t>
      </w:r>
      <w:r>
        <w:rPr>
          <w:sz w:val="20"/>
        </w:rPr>
        <w:t>M91.1,</w:t>
      </w:r>
      <w:r>
        <w:rPr>
          <w:spacing w:val="-6"/>
          <w:sz w:val="20"/>
        </w:rPr>
        <w:t> </w:t>
      </w:r>
      <w:r>
        <w:rPr>
          <w:sz w:val="20"/>
        </w:rPr>
        <w:t>M91.2,</w:t>
      </w:r>
      <w:r>
        <w:rPr>
          <w:spacing w:val="-6"/>
          <w:sz w:val="20"/>
        </w:rPr>
        <w:t> </w:t>
      </w:r>
      <w:r>
        <w:rPr>
          <w:sz w:val="20"/>
        </w:rPr>
        <w:t>M91.3,</w:t>
      </w:r>
      <w:r>
        <w:rPr>
          <w:spacing w:val="-4"/>
          <w:sz w:val="20"/>
        </w:rPr>
        <w:t> </w:t>
      </w:r>
      <w:r>
        <w:rPr>
          <w:spacing w:val="-2"/>
          <w:sz w:val="20"/>
        </w:rPr>
        <w:t>M91.8,</w:t>
      </w:r>
    </w:p>
    <w:p>
      <w:pPr>
        <w:spacing w:before="0"/>
        <w:ind w:left="4801" w:right="0" w:firstLine="0"/>
        <w:jc w:val="left"/>
        <w:rPr>
          <w:sz w:val="20"/>
        </w:rPr>
      </w:pPr>
      <w:r>
        <w:rPr>
          <w:sz w:val="20"/>
        </w:rPr>
        <w:t>M91.9,</w:t>
      </w:r>
      <w:r>
        <w:rPr>
          <w:spacing w:val="-4"/>
          <w:sz w:val="20"/>
        </w:rPr>
        <w:t> </w:t>
      </w:r>
      <w:r>
        <w:rPr>
          <w:sz w:val="20"/>
        </w:rPr>
        <w:t>M92,</w:t>
      </w:r>
      <w:r>
        <w:rPr>
          <w:spacing w:val="-4"/>
          <w:sz w:val="20"/>
        </w:rPr>
        <w:t> </w:t>
      </w:r>
      <w:r>
        <w:rPr>
          <w:sz w:val="20"/>
        </w:rPr>
        <w:t>M92.0,</w:t>
      </w:r>
      <w:r>
        <w:rPr>
          <w:spacing w:val="-6"/>
          <w:sz w:val="20"/>
        </w:rPr>
        <w:t> </w:t>
      </w:r>
      <w:r>
        <w:rPr>
          <w:sz w:val="20"/>
        </w:rPr>
        <w:t>M92.1,</w:t>
      </w:r>
      <w:r>
        <w:rPr>
          <w:spacing w:val="-5"/>
          <w:sz w:val="20"/>
        </w:rPr>
        <w:t> </w:t>
      </w:r>
      <w:r>
        <w:rPr>
          <w:sz w:val="20"/>
        </w:rPr>
        <w:t>M92.2,</w:t>
      </w:r>
      <w:r>
        <w:rPr>
          <w:spacing w:val="-4"/>
          <w:sz w:val="20"/>
        </w:rPr>
        <w:t> </w:t>
      </w:r>
      <w:r>
        <w:rPr>
          <w:spacing w:val="-2"/>
          <w:sz w:val="20"/>
        </w:rPr>
        <w:t>M92.3,</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M92.4,</w:t>
      </w:r>
      <w:r>
        <w:rPr>
          <w:spacing w:val="-6"/>
          <w:sz w:val="20"/>
        </w:rPr>
        <w:t> </w:t>
      </w:r>
      <w:r>
        <w:rPr>
          <w:sz w:val="20"/>
        </w:rPr>
        <w:t>M92.5,</w:t>
      </w:r>
      <w:r>
        <w:rPr>
          <w:spacing w:val="-6"/>
          <w:sz w:val="20"/>
        </w:rPr>
        <w:t> </w:t>
      </w:r>
      <w:r>
        <w:rPr>
          <w:sz w:val="20"/>
        </w:rPr>
        <w:t>M92.6,</w:t>
      </w:r>
      <w:r>
        <w:rPr>
          <w:spacing w:val="-6"/>
          <w:sz w:val="20"/>
        </w:rPr>
        <w:t> </w:t>
      </w:r>
      <w:r>
        <w:rPr>
          <w:sz w:val="20"/>
        </w:rPr>
        <w:t>M92.7,</w:t>
      </w:r>
      <w:r>
        <w:rPr>
          <w:spacing w:val="-6"/>
          <w:sz w:val="20"/>
        </w:rPr>
        <w:t> </w:t>
      </w:r>
      <w:r>
        <w:rPr>
          <w:sz w:val="20"/>
        </w:rPr>
        <w:t>M92.8,</w:t>
      </w:r>
      <w:r>
        <w:rPr>
          <w:spacing w:val="-5"/>
          <w:sz w:val="20"/>
        </w:rPr>
        <w:t> </w:t>
      </w:r>
      <w:r>
        <w:rPr>
          <w:spacing w:val="-2"/>
          <w:sz w:val="20"/>
        </w:rPr>
        <w:t>M92.9,</w:t>
      </w:r>
    </w:p>
    <w:p>
      <w:pPr>
        <w:spacing w:line="229" w:lineRule="exact" w:before="1"/>
        <w:ind w:left="1162" w:right="4154" w:firstLine="0"/>
        <w:jc w:val="center"/>
        <w:rPr>
          <w:sz w:val="20"/>
        </w:rPr>
      </w:pPr>
      <w:r>
        <w:rPr>
          <w:sz w:val="20"/>
        </w:rPr>
        <w:t>M93,</w:t>
      </w:r>
      <w:r>
        <w:rPr>
          <w:spacing w:val="-5"/>
          <w:sz w:val="20"/>
        </w:rPr>
        <w:t> </w:t>
      </w:r>
      <w:r>
        <w:rPr>
          <w:sz w:val="20"/>
        </w:rPr>
        <w:t>M93.0,</w:t>
      </w:r>
      <w:r>
        <w:rPr>
          <w:spacing w:val="-5"/>
          <w:sz w:val="20"/>
        </w:rPr>
        <w:t> </w:t>
      </w:r>
      <w:r>
        <w:rPr>
          <w:sz w:val="20"/>
        </w:rPr>
        <w:t>M93.1,</w:t>
      </w:r>
      <w:r>
        <w:rPr>
          <w:spacing w:val="-7"/>
          <w:sz w:val="20"/>
        </w:rPr>
        <w:t> </w:t>
      </w:r>
      <w:r>
        <w:rPr>
          <w:sz w:val="20"/>
        </w:rPr>
        <w:t>M93.2,</w:t>
      </w:r>
      <w:r>
        <w:rPr>
          <w:spacing w:val="-6"/>
          <w:sz w:val="20"/>
        </w:rPr>
        <w:t> </w:t>
      </w:r>
      <w:r>
        <w:rPr>
          <w:sz w:val="20"/>
        </w:rPr>
        <w:t>M93.8,</w:t>
      </w:r>
      <w:r>
        <w:rPr>
          <w:spacing w:val="-5"/>
          <w:sz w:val="20"/>
        </w:rPr>
        <w:t> </w:t>
      </w:r>
      <w:r>
        <w:rPr>
          <w:sz w:val="20"/>
        </w:rPr>
        <w:t>M93.9,</w:t>
      </w:r>
      <w:r>
        <w:rPr>
          <w:spacing w:val="-5"/>
          <w:sz w:val="20"/>
        </w:rPr>
        <w:t> </w:t>
      </w:r>
      <w:r>
        <w:rPr>
          <w:spacing w:val="-4"/>
          <w:sz w:val="20"/>
        </w:rPr>
        <w:t>M94,</w:t>
      </w:r>
    </w:p>
    <w:p>
      <w:pPr>
        <w:spacing w:line="229" w:lineRule="exact" w:before="0"/>
        <w:ind w:left="1160" w:right="4154" w:firstLine="0"/>
        <w:jc w:val="center"/>
        <w:rPr>
          <w:sz w:val="20"/>
        </w:rPr>
      </w:pPr>
      <w:r>
        <w:rPr>
          <w:sz w:val="20"/>
        </w:rPr>
        <w:t>M94.0,</w:t>
      </w:r>
      <w:r>
        <w:rPr>
          <w:spacing w:val="-6"/>
          <w:sz w:val="20"/>
        </w:rPr>
        <w:t> </w:t>
      </w:r>
      <w:r>
        <w:rPr>
          <w:sz w:val="20"/>
        </w:rPr>
        <w:t>M94.1,</w:t>
      </w:r>
      <w:r>
        <w:rPr>
          <w:spacing w:val="-6"/>
          <w:sz w:val="20"/>
        </w:rPr>
        <w:t> </w:t>
      </w:r>
      <w:r>
        <w:rPr>
          <w:sz w:val="20"/>
        </w:rPr>
        <w:t>M94.2,</w:t>
      </w:r>
      <w:r>
        <w:rPr>
          <w:spacing w:val="-6"/>
          <w:sz w:val="20"/>
        </w:rPr>
        <w:t> </w:t>
      </w:r>
      <w:r>
        <w:rPr>
          <w:sz w:val="20"/>
        </w:rPr>
        <w:t>M94.3,</w:t>
      </w:r>
      <w:r>
        <w:rPr>
          <w:spacing w:val="-6"/>
          <w:sz w:val="20"/>
        </w:rPr>
        <w:t> </w:t>
      </w:r>
      <w:r>
        <w:rPr>
          <w:sz w:val="20"/>
        </w:rPr>
        <w:t>M94.8,</w:t>
      </w:r>
      <w:r>
        <w:rPr>
          <w:spacing w:val="-5"/>
          <w:sz w:val="20"/>
        </w:rPr>
        <w:t> </w:t>
      </w:r>
      <w:r>
        <w:rPr>
          <w:spacing w:val="-2"/>
          <w:sz w:val="20"/>
        </w:rPr>
        <w:t>M94.9,</w:t>
      </w:r>
    </w:p>
    <w:p>
      <w:pPr>
        <w:spacing w:before="0"/>
        <w:ind w:left="1163" w:right="4154" w:firstLine="0"/>
        <w:jc w:val="center"/>
        <w:rPr>
          <w:sz w:val="20"/>
        </w:rPr>
      </w:pPr>
      <w:r>
        <w:rPr>
          <w:sz w:val="20"/>
        </w:rPr>
        <w:t>M95,</w:t>
      </w:r>
      <w:r>
        <w:rPr>
          <w:spacing w:val="-5"/>
          <w:sz w:val="20"/>
        </w:rPr>
        <w:t> </w:t>
      </w:r>
      <w:r>
        <w:rPr>
          <w:sz w:val="20"/>
        </w:rPr>
        <w:t>M95.0,</w:t>
      </w:r>
      <w:r>
        <w:rPr>
          <w:spacing w:val="-4"/>
          <w:sz w:val="20"/>
        </w:rPr>
        <w:t> </w:t>
      </w:r>
      <w:r>
        <w:rPr>
          <w:sz w:val="20"/>
        </w:rPr>
        <w:t>M95.1,</w:t>
      </w:r>
      <w:r>
        <w:rPr>
          <w:spacing w:val="-6"/>
          <w:sz w:val="20"/>
        </w:rPr>
        <w:t> </w:t>
      </w:r>
      <w:r>
        <w:rPr>
          <w:sz w:val="20"/>
        </w:rPr>
        <w:t>M95.2,</w:t>
      </w:r>
      <w:r>
        <w:rPr>
          <w:spacing w:val="-6"/>
          <w:sz w:val="20"/>
        </w:rPr>
        <w:t> </w:t>
      </w:r>
      <w:r>
        <w:rPr>
          <w:sz w:val="20"/>
        </w:rPr>
        <w:t>M95.3,</w:t>
      </w:r>
      <w:r>
        <w:rPr>
          <w:spacing w:val="-4"/>
          <w:sz w:val="20"/>
        </w:rPr>
        <w:t> </w:t>
      </w:r>
      <w:r>
        <w:rPr>
          <w:spacing w:val="-2"/>
          <w:sz w:val="20"/>
        </w:rPr>
        <w:t>M95.4,</w:t>
      </w:r>
    </w:p>
    <w:p>
      <w:pPr>
        <w:spacing w:before="1"/>
        <w:ind w:left="1160" w:right="4154" w:firstLine="0"/>
        <w:jc w:val="center"/>
        <w:rPr>
          <w:sz w:val="20"/>
        </w:rPr>
      </w:pPr>
      <w:r>
        <w:rPr>
          <w:sz w:val="20"/>
        </w:rPr>
        <w:t>M95.5,</w:t>
      </w:r>
      <w:r>
        <w:rPr>
          <w:spacing w:val="-6"/>
          <w:sz w:val="20"/>
        </w:rPr>
        <w:t> </w:t>
      </w:r>
      <w:r>
        <w:rPr>
          <w:sz w:val="20"/>
        </w:rPr>
        <w:t>M95.8,</w:t>
      </w:r>
      <w:r>
        <w:rPr>
          <w:spacing w:val="-6"/>
          <w:sz w:val="20"/>
        </w:rPr>
        <w:t> </w:t>
      </w:r>
      <w:r>
        <w:rPr>
          <w:sz w:val="20"/>
        </w:rPr>
        <w:t>M95.9,</w:t>
      </w:r>
      <w:r>
        <w:rPr>
          <w:spacing w:val="-6"/>
          <w:sz w:val="20"/>
        </w:rPr>
        <w:t> </w:t>
      </w:r>
      <w:r>
        <w:rPr>
          <w:sz w:val="20"/>
        </w:rPr>
        <w:t>M96.0,</w:t>
      </w:r>
      <w:r>
        <w:rPr>
          <w:spacing w:val="-6"/>
          <w:sz w:val="20"/>
        </w:rPr>
        <w:t> </w:t>
      </w:r>
      <w:r>
        <w:rPr>
          <w:sz w:val="20"/>
        </w:rPr>
        <w:t>M96.6,</w:t>
      </w:r>
      <w:r>
        <w:rPr>
          <w:spacing w:val="-5"/>
          <w:sz w:val="20"/>
        </w:rPr>
        <w:t> </w:t>
      </w:r>
      <w:r>
        <w:rPr>
          <w:spacing w:val="-2"/>
          <w:sz w:val="20"/>
        </w:rPr>
        <w:t>M96.8,</w:t>
      </w:r>
    </w:p>
    <w:p>
      <w:pPr>
        <w:spacing w:before="0"/>
        <w:ind w:left="1163" w:right="4154" w:firstLine="0"/>
        <w:jc w:val="center"/>
        <w:rPr>
          <w:sz w:val="20"/>
        </w:rPr>
      </w:pPr>
      <w:r>
        <w:rPr>
          <w:sz w:val="20"/>
        </w:rPr>
        <w:t>M96.9,</w:t>
      </w:r>
      <w:r>
        <w:rPr>
          <w:spacing w:val="-6"/>
          <w:sz w:val="20"/>
        </w:rPr>
        <w:t> </w:t>
      </w:r>
      <w:r>
        <w:rPr>
          <w:sz w:val="20"/>
        </w:rPr>
        <w:t>N07.1,</w:t>
      </w:r>
      <w:r>
        <w:rPr>
          <w:spacing w:val="-6"/>
          <w:sz w:val="20"/>
        </w:rPr>
        <w:t> </w:t>
      </w:r>
      <w:r>
        <w:rPr>
          <w:sz w:val="20"/>
        </w:rPr>
        <w:t>Q65,</w:t>
      </w:r>
      <w:r>
        <w:rPr>
          <w:spacing w:val="-5"/>
          <w:sz w:val="20"/>
        </w:rPr>
        <w:t> </w:t>
      </w:r>
      <w:r>
        <w:rPr>
          <w:sz w:val="20"/>
        </w:rPr>
        <w:t>Q65.0,</w:t>
      </w:r>
      <w:r>
        <w:rPr>
          <w:spacing w:val="-6"/>
          <w:sz w:val="20"/>
        </w:rPr>
        <w:t> </w:t>
      </w:r>
      <w:r>
        <w:rPr>
          <w:sz w:val="20"/>
        </w:rPr>
        <w:t>Q65.1,</w:t>
      </w:r>
      <w:r>
        <w:rPr>
          <w:spacing w:val="-5"/>
          <w:sz w:val="20"/>
        </w:rPr>
        <w:t> </w:t>
      </w:r>
      <w:r>
        <w:rPr>
          <w:sz w:val="20"/>
        </w:rPr>
        <w:t>Q65.2,</w:t>
      </w:r>
      <w:r>
        <w:rPr>
          <w:spacing w:val="-6"/>
          <w:sz w:val="20"/>
        </w:rPr>
        <w:t> </w:t>
      </w:r>
      <w:r>
        <w:rPr>
          <w:spacing w:val="-2"/>
          <w:sz w:val="20"/>
        </w:rPr>
        <w:t>Q65.3,</w:t>
      </w:r>
    </w:p>
    <w:p>
      <w:pPr>
        <w:spacing w:before="0"/>
        <w:ind w:left="1159" w:right="4154" w:firstLine="0"/>
        <w:jc w:val="center"/>
        <w:rPr>
          <w:sz w:val="20"/>
        </w:rPr>
      </w:pPr>
      <w:r>
        <w:rPr>
          <w:sz w:val="20"/>
        </w:rPr>
        <w:t>Q65.4,</w:t>
      </w:r>
      <w:r>
        <w:rPr>
          <w:spacing w:val="-4"/>
          <w:sz w:val="20"/>
        </w:rPr>
        <w:t> </w:t>
      </w:r>
      <w:r>
        <w:rPr>
          <w:sz w:val="20"/>
        </w:rPr>
        <w:t>Q65.5,</w:t>
      </w:r>
      <w:r>
        <w:rPr>
          <w:spacing w:val="-6"/>
          <w:sz w:val="20"/>
        </w:rPr>
        <w:t> </w:t>
      </w:r>
      <w:r>
        <w:rPr>
          <w:sz w:val="20"/>
        </w:rPr>
        <w:t>Q65.6,</w:t>
      </w:r>
      <w:r>
        <w:rPr>
          <w:spacing w:val="-4"/>
          <w:sz w:val="20"/>
        </w:rPr>
        <w:t> </w:t>
      </w:r>
      <w:r>
        <w:rPr>
          <w:sz w:val="20"/>
        </w:rPr>
        <w:t>Q65.8,</w:t>
      </w:r>
      <w:r>
        <w:rPr>
          <w:spacing w:val="-6"/>
          <w:sz w:val="20"/>
        </w:rPr>
        <w:t> </w:t>
      </w:r>
      <w:r>
        <w:rPr>
          <w:sz w:val="20"/>
        </w:rPr>
        <w:t>Q65.9,</w:t>
      </w:r>
      <w:r>
        <w:rPr>
          <w:spacing w:val="-4"/>
          <w:sz w:val="20"/>
        </w:rPr>
        <w:t> </w:t>
      </w:r>
      <w:r>
        <w:rPr>
          <w:sz w:val="20"/>
        </w:rPr>
        <w:t>Q66,</w:t>
      </w:r>
      <w:r>
        <w:rPr>
          <w:spacing w:val="-4"/>
          <w:sz w:val="20"/>
        </w:rPr>
        <w:t> </w:t>
      </w:r>
      <w:r>
        <w:rPr>
          <w:spacing w:val="-2"/>
          <w:sz w:val="20"/>
        </w:rPr>
        <w:t>Q66.0,</w:t>
      </w:r>
    </w:p>
    <w:p>
      <w:pPr>
        <w:spacing w:line="229" w:lineRule="exact" w:before="1"/>
        <w:ind w:left="1162" w:right="4154" w:firstLine="0"/>
        <w:jc w:val="center"/>
        <w:rPr>
          <w:sz w:val="20"/>
        </w:rPr>
      </w:pPr>
      <w:r>
        <w:rPr>
          <w:sz w:val="20"/>
        </w:rPr>
        <w:t>Q66.1,</w:t>
      </w:r>
      <w:r>
        <w:rPr>
          <w:spacing w:val="-4"/>
          <w:sz w:val="20"/>
        </w:rPr>
        <w:t> </w:t>
      </w:r>
      <w:r>
        <w:rPr>
          <w:sz w:val="20"/>
        </w:rPr>
        <w:t>Q66.2,</w:t>
      </w:r>
      <w:r>
        <w:rPr>
          <w:spacing w:val="-6"/>
          <w:sz w:val="20"/>
        </w:rPr>
        <w:t> </w:t>
      </w:r>
      <w:r>
        <w:rPr>
          <w:sz w:val="20"/>
        </w:rPr>
        <w:t>Q66.3,</w:t>
      </w:r>
      <w:r>
        <w:rPr>
          <w:spacing w:val="-4"/>
          <w:sz w:val="20"/>
        </w:rPr>
        <w:t> </w:t>
      </w:r>
      <w:r>
        <w:rPr>
          <w:sz w:val="20"/>
        </w:rPr>
        <w:t>Q66.4,</w:t>
      </w:r>
      <w:r>
        <w:rPr>
          <w:spacing w:val="-6"/>
          <w:sz w:val="20"/>
        </w:rPr>
        <w:t> </w:t>
      </w:r>
      <w:r>
        <w:rPr>
          <w:sz w:val="20"/>
        </w:rPr>
        <w:t>Q66.5,</w:t>
      </w:r>
      <w:r>
        <w:rPr>
          <w:spacing w:val="-4"/>
          <w:sz w:val="20"/>
        </w:rPr>
        <w:t> </w:t>
      </w:r>
      <w:r>
        <w:rPr>
          <w:spacing w:val="-2"/>
          <w:sz w:val="20"/>
        </w:rPr>
        <w:t>Q66.6,</w:t>
      </w:r>
    </w:p>
    <w:p>
      <w:pPr>
        <w:spacing w:line="229" w:lineRule="exact" w:before="0"/>
        <w:ind w:left="1161" w:right="4154" w:firstLine="0"/>
        <w:jc w:val="center"/>
        <w:rPr>
          <w:sz w:val="20"/>
        </w:rPr>
      </w:pPr>
      <w:r>
        <w:rPr>
          <w:sz w:val="20"/>
        </w:rPr>
        <w:t>Q66.7,</w:t>
      </w:r>
      <w:r>
        <w:rPr>
          <w:spacing w:val="-6"/>
          <w:sz w:val="20"/>
        </w:rPr>
        <w:t> </w:t>
      </w:r>
      <w:r>
        <w:rPr>
          <w:sz w:val="20"/>
        </w:rPr>
        <w:t>Q66.8,</w:t>
      </w:r>
      <w:r>
        <w:rPr>
          <w:spacing w:val="-6"/>
          <w:sz w:val="20"/>
        </w:rPr>
        <w:t> </w:t>
      </w:r>
      <w:r>
        <w:rPr>
          <w:sz w:val="20"/>
        </w:rPr>
        <w:t>Q66.9,</w:t>
      </w:r>
      <w:r>
        <w:rPr>
          <w:spacing w:val="-5"/>
          <w:sz w:val="20"/>
        </w:rPr>
        <w:t> </w:t>
      </w:r>
      <w:r>
        <w:rPr>
          <w:sz w:val="20"/>
        </w:rPr>
        <w:t>Q67,</w:t>
      </w:r>
      <w:r>
        <w:rPr>
          <w:spacing w:val="-6"/>
          <w:sz w:val="20"/>
        </w:rPr>
        <w:t> </w:t>
      </w:r>
      <w:r>
        <w:rPr>
          <w:sz w:val="20"/>
        </w:rPr>
        <w:t>Q67.0,</w:t>
      </w:r>
      <w:r>
        <w:rPr>
          <w:spacing w:val="-5"/>
          <w:sz w:val="20"/>
        </w:rPr>
        <w:t> </w:t>
      </w:r>
      <w:r>
        <w:rPr>
          <w:sz w:val="20"/>
        </w:rPr>
        <w:t>Q67.1,</w:t>
      </w:r>
      <w:r>
        <w:rPr>
          <w:spacing w:val="-5"/>
          <w:sz w:val="20"/>
        </w:rPr>
        <w:t> </w:t>
      </w:r>
      <w:r>
        <w:rPr>
          <w:spacing w:val="-2"/>
          <w:sz w:val="20"/>
        </w:rPr>
        <w:t>Q67.2,</w:t>
      </w:r>
    </w:p>
    <w:p>
      <w:pPr>
        <w:spacing w:before="1"/>
        <w:ind w:left="1159" w:right="4154" w:firstLine="0"/>
        <w:jc w:val="center"/>
        <w:rPr>
          <w:sz w:val="20"/>
        </w:rPr>
      </w:pPr>
      <w:r>
        <w:rPr>
          <w:sz w:val="20"/>
        </w:rPr>
        <w:t>Q67.3,</w:t>
      </w:r>
      <w:r>
        <w:rPr>
          <w:spacing w:val="-5"/>
          <w:sz w:val="20"/>
        </w:rPr>
        <w:t> </w:t>
      </w:r>
      <w:r>
        <w:rPr>
          <w:sz w:val="20"/>
        </w:rPr>
        <w:t>Q67.4,</w:t>
      </w:r>
      <w:r>
        <w:rPr>
          <w:spacing w:val="-5"/>
          <w:sz w:val="20"/>
        </w:rPr>
        <w:t> </w:t>
      </w:r>
      <w:r>
        <w:rPr>
          <w:sz w:val="20"/>
        </w:rPr>
        <w:t>Q67.5,</w:t>
      </w:r>
      <w:r>
        <w:rPr>
          <w:spacing w:val="-4"/>
          <w:sz w:val="20"/>
        </w:rPr>
        <w:t> </w:t>
      </w:r>
      <w:r>
        <w:rPr>
          <w:sz w:val="20"/>
        </w:rPr>
        <w:t>Q67.6,</w:t>
      </w:r>
      <w:r>
        <w:rPr>
          <w:spacing w:val="-6"/>
          <w:sz w:val="20"/>
        </w:rPr>
        <w:t> </w:t>
      </w:r>
      <w:r>
        <w:rPr>
          <w:sz w:val="20"/>
        </w:rPr>
        <w:t>Q67.7,</w:t>
      </w:r>
      <w:r>
        <w:rPr>
          <w:spacing w:val="-4"/>
          <w:sz w:val="20"/>
        </w:rPr>
        <w:t> </w:t>
      </w:r>
      <w:r>
        <w:rPr>
          <w:sz w:val="20"/>
        </w:rPr>
        <w:t>Q67.8,</w:t>
      </w:r>
      <w:r>
        <w:rPr>
          <w:spacing w:val="-6"/>
          <w:sz w:val="20"/>
        </w:rPr>
        <w:t> </w:t>
      </w:r>
      <w:r>
        <w:rPr>
          <w:spacing w:val="-4"/>
          <w:sz w:val="20"/>
        </w:rPr>
        <w:t>Q68,</w:t>
      </w:r>
    </w:p>
    <w:p>
      <w:pPr>
        <w:spacing w:before="0"/>
        <w:ind w:left="1162" w:right="4154" w:firstLine="0"/>
        <w:jc w:val="center"/>
        <w:rPr>
          <w:sz w:val="20"/>
        </w:rPr>
      </w:pPr>
      <w:r>
        <w:rPr>
          <w:sz w:val="20"/>
        </w:rPr>
        <w:t>Q68.0,</w:t>
      </w:r>
      <w:r>
        <w:rPr>
          <w:spacing w:val="-4"/>
          <w:sz w:val="20"/>
        </w:rPr>
        <w:t> </w:t>
      </w:r>
      <w:r>
        <w:rPr>
          <w:sz w:val="20"/>
        </w:rPr>
        <w:t>Q68.1,</w:t>
      </w:r>
      <w:r>
        <w:rPr>
          <w:spacing w:val="-6"/>
          <w:sz w:val="20"/>
        </w:rPr>
        <w:t> </w:t>
      </w:r>
      <w:r>
        <w:rPr>
          <w:sz w:val="20"/>
        </w:rPr>
        <w:t>Q68.2,</w:t>
      </w:r>
      <w:r>
        <w:rPr>
          <w:spacing w:val="-4"/>
          <w:sz w:val="20"/>
        </w:rPr>
        <w:t> </w:t>
      </w:r>
      <w:r>
        <w:rPr>
          <w:sz w:val="20"/>
        </w:rPr>
        <w:t>Q68.3,</w:t>
      </w:r>
      <w:r>
        <w:rPr>
          <w:spacing w:val="-6"/>
          <w:sz w:val="20"/>
        </w:rPr>
        <w:t> </w:t>
      </w:r>
      <w:r>
        <w:rPr>
          <w:sz w:val="20"/>
        </w:rPr>
        <w:t>Q68.4,</w:t>
      </w:r>
      <w:r>
        <w:rPr>
          <w:spacing w:val="-4"/>
          <w:sz w:val="20"/>
        </w:rPr>
        <w:t> </w:t>
      </w:r>
      <w:r>
        <w:rPr>
          <w:spacing w:val="-2"/>
          <w:sz w:val="20"/>
        </w:rPr>
        <w:t>Q68.5,</w:t>
      </w:r>
    </w:p>
    <w:p>
      <w:pPr>
        <w:spacing w:before="1"/>
        <w:ind w:left="1161" w:right="4154" w:firstLine="0"/>
        <w:jc w:val="center"/>
        <w:rPr>
          <w:sz w:val="20"/>
        </w:rPr>
      </w:pPr>
      <w:r>
        <w:rPr>
          <w:sz w:val="20"/>
        </w:rPr>
        <w:t>Q68.8,</w:t>
      </w:r>
      <w:r>
        <w:rPr>
          <w:spacing w:val="-6"/>
          <w:sz w:val="20"/>
        </w:rPr>
        <w:t> </w:t>
      </w:r>
      <w:r>
        <w:rPr>
          <w:sz w:val="20"/>
        </w:rPr>
        <w:t>Q69,</w:t>
      </w:r>
      <w:r>
        <w:rPr>
          <w:spacing w:val="-6"/>
          <w:sz w:val="20"/>
        </w:rPr>
        <w:t> </w:t>
      </w:r>
      <w:r>
        <w:rPr>
          <w:sz w:val="20"/>
        </w:rPr>
        <w:t>Q69.0,</w:t>
      </w:r>
      <w:r>
        <w:rPr>
          <w:spacing w:val="-5"/>
          <w:sz w:val="20"/>
        </w:rPr>
        <w:t> </w:t>
      </w:r>
      <w:r>
        <w:rPr>
          <w:sz w:val="20"/>
        </w:rPr>
        <w:t>Q69.1,</w:t>
      </w:r>
      <w:r>
        <w:rPr>
          <w:spacing w:val="-6"/>
          <w:sz w:val="20"/>
        </w:rPr>
        <w:t> </w:t>
      </w:r>
      <w:r>
        <w:rPr>
          <w:sz w:val="20"/>
        </w:rPr>
        <w:t>Q69.2,</w:t>
      </w:r>
      <w:r>
        <w:rPr>
          <w:spacing w:val="-5"/>
          <w:sz w:val="20"/>
        </w:rPr>
        <w:t> </w:t>
      </w:r>
      <w:r>
        <w:rPr>
          <w:sz w:val="20"/>
        </w:rPr>
        <w:t>Q69.9,</w:t>
      </w:r>
      <w:r>
        <w:rPr>
          <w:spacing w:val="-6"/>
          <w:sz w:val="20"/>
        </w:rPr>
        <w:t> </w:t>
      </w:r>
      <w:r>
        <w:rPr>
          <w:spacing w:val="-4"/>
          <w:sz w:val="20"/>
        </w:rPr>
        <w:t>Q70,</w:t>
      </w:r>
    </w:p>
    <w:p>
      <w:pPr>
        <w:spacing w:before="0"/>
        <w:ind w:left="1159" w:right="4154" w:firstLine="0"/>
        <w:jc w:val="center"/>
        <w:rPr>
          <w:sz w:val="20"/>
        </w:rPr>
      </w:pPr>
      <w:r>
        <w:rPr>
          <w:sz w:val="20"/>
        </w:rPr>
        <w:t>Q70.0,</w:t>
      </w:r>
      <w:r>
        <w:rPr>
          <w:spacing w:val="-5"/>
          <w:sz w:val="20"/>
        </w:rPr>
        <w:t> </w:t>
      </w:r>
      <w:r>
        <w:rPr>
          <w:sz w:val="20"/>
        </w:rPr>
        <w:t>Q70.1,</w:t>
      </w:r>
      <w:r>
        <w:rPr>
          <w:spacing w:val="-5"/>
          <w:sz w:val="20"/>
        </w:rPr>
        <w:t> </w:t>
      </w:r>
      <w:r>
        <w:rPr>
          <w:sz w:val="20"/>
        </w:rPr>
        <w:t>Q70.2,</w:t>
      </w:r>
      <w:r>
        <w:rPr>
          <w:spacing w:val="-4"/>
          <w:sz w:val="20"/>
        </w:rPr>
        <w:t> </w:t>
      </w:r>
      <w:r>
        <w:rPr>
          <w:sz w:val="20"/>
        </w:rPr>
        <w:t>Q70.3,</w:t>
      </w:r>
      <w:r>
        <w:rPr>
          <w:spacing w:val="-6"/>
          <w:sz w:val="20"/>
        </w:rPr>
        <w:t> </w:t>
      </w:r>
      <w:r>
        <w:rPr>
          <w:sz w:val="20"/>
        </w:rPr>
        <w:t>Q70.4,</w:t>
      </w:r>
      <w:r>
        <w:rPr>
          <w:spacing w:val="-4"/>
          <w:sz w:val="20"/>
        </w:rPr>
        <w:t> </w:t>
      </w:r>
      <w:r>
        <w:rPr>
          <w:sz w:val="20"/>
        </w:rPr>
        <w:t>Q70.9,</w:t>
      </w:r>
      <w:r>
        <w:rPr>
          <w:spacing w:val="-6"/>
          <w:sz w:val="20"/>
        </w:rPr>
        <w:t> </w:t>
      </w:r>
      <w:r>
        <w:rPr>
          <w:spacing w:val="-4"/>
          <w:sz w:val="20"/>
        </w:rPr>
        <w:t>Q71,</w:t>
      </w:r>
    </w:p>
    <w:p>
      <w:pPr>
        <w:spacing w:line="229" w:lineRule="exact" w:before="1"/>
        <w:ind w:left="1162" w:right="4154" w:firstLine="0"/>
        <w:jc w:val="center"/>
        <w:rPr>
          <w:sz w:val="20"/>
        </w:rPr>
      </w:pPr>
      <w:r>
        <w:rPr>
          <w:sz w:val="20"/>
        </w:rPr>
        <w:t>Q71.0,</w:t>
      </w:r>
      <w:r>
        <w:rPr>
          <w:spacing w:val="-4"/>
          <w:sz w:val="20"/>
        </w:rPr>
        <w:t> </w:t>
      </w:r>
      <w:r>
        <w:rPr>
          <w:sz w:val="20"/>
        </w:rPr>
        <w:t>Q71.1,</w:t>
      </w:r>
      <w:r>
        <w:rPr>
          <w:spacing w:val="-6"/>
          <w:sz w:val="20"/>
        </w:rPr>
        <w:t> </w:t>
      </w:r>
      <w:r>
        <w:rPr>
          <w:sz w:val="20"/>
        </w:rPr>
        <w:t>Q71.2,</w:t>
      </w:r>
      <w:r>
        <w:rPr>
          <w:spacing w:val="-4"/>
          <w:sz w:val="20"/>
        </w:rPr>
        <w:t> </w:t>
      </w:r>
      <w:r>
        <w:rPr>
          <w:sz w:val="20"/>
        </w:rPr>
        <w:t>Q71.3,</w:t>
      </w:r>
      <w:r>
        <w:rPr>
          <w:spacing w:val="-6"/>
          <w:sz w:val="20"/>
        </w:rPr>
        <w:t> </w:t>
      </w:r>
      <w:r>
        <w:rPr>
          <w:sz w:val="20"/>
        </w:rPr>
        <w:t>Q71.4,</w:t>
      </w:r>
      <w:r>
        <w:rPr>
          <w:spacing w:val="-4"/>
          <w:sz w:val="20"/>
        </w:rPr>
        <w:t> </w:t>
      </w:r>
      <w:r>
        <w:rPr>
          <w:spacing w:val="-2"/>
          <w:sz w:val="20"/>
        </w:rPr>
        <w:t>Q71.5,</w:t>
      </w:r>
    </w:p>
    <w:p>
      <w:pPr>
        <w:spacing w:line="229" w:lineRule="exact" w:before="0"/>
        <w:ind w:left="1161" w:right="4154" w:firstLine="0"/>
        <w:jc w:val="center"/>
        <w:rPr>
          <w:sz w:val="20"/>
        </w:rPr>
      </w:pPr>
      <w:r>
        <w:rPr>
          <w:sz w:val="20"/>
        </w:rPr>
        <w:t>Q71.6,</w:t>
      </w:r>
      <w:r>
        <w:rPr>
          <w:spacing w:val="-6"/>
          <w:sz w:val="20"/>
        </w:rPr>
        <w:t> </w:t>
      </w:r>
      <w:r>
        <w:rPr>
          <w:sz w:val="20"/>
        </w:rPr>
        <w:t>Q71.8,</w:t>
      </w:r>
      <w:r>
        <w:rPr>
          <w:spacing w:val="-6"/>
          <w:sz w:val="20"/>
        </w:rPr>
        <w:t> </w:t>
      </w:r>
      <w:r>
        <w:rPr>
          <w:sz w:val="20"/>
        </w:rPr>
        <w:t>Q71.9,</w:t>
      </w:r>
      <w:r>
        <w:rPr>
          <w:spacing w:val="-5"/>
          <w:sz w:val="20"/>
        </w:rPr>
        <w:t> </w:t>
      </w:r>
      <w:r>
        <w:rPr>
          <w:sz w:val="20"/>
        </w:rPr>
        <w:t>Q72,</w:t>
      </w:r>
      <w:r>
        <w:rPr>
          <w:spacing w:val="-6"/>
          <w:sz w:val="20"/>
        </w:rPr>
        <w:t> </w:t>
      </w:r>
      <w:r>
        <w:rPr>
          <w:sz w:val="20"/>
        </w:rPr>
        <w:t>Q72.0,</w:t>
      </w:r>
      <w:r>
        <w:rPr>
          <w:spacing w:val="-5"/>
          <w:sz w:val="20"/>
        </w:rPr>
        <w:t> </w:t>
      </w:r>
      <w:r>
        <w:rPr>
          <w:sz w:val="20"/>
        </w:rPr>
        <w:t>Q72.1,</w:t>
      </w:r>
      <w:r>
        <w:rPr>
          <w:spacing w:val="-5"/>
          <w:sz w:val="20"/>
        </w:rPr>
        <w:t> </w:t>
      </w:r>
      <w:r>
        <w:rPr>
          <w:spacing w:val="-2"/>
          <w:sz w:val="20"/>
        </w:rPr>
        <w:t>Q72.2,</w:t>
      </w:r>
    </w:p>
    <w:p>
      <w:pPr>
        <w:spacing w:before="0"/>
        <w:ind w:left="1162" w:right="4154" w:firstLine="0"/>
        <w:jc w:val="center"/>
        <w:rPr>
          <w:sz w:val="20"/>
        </w:rPr>
      </w:pPr>
      <w:r>
        <w:rPr>
          <w:sz w:val="20"/>
        </w:rPr>
        <w:t>Q72.3,</w:t>
      </w:r>
      <w:r>
        <w:rPr>
          <w:spacing w:val="-4"/>
          <w:sz w:val="20"/>
        </w:rPr>
        <w:t> </w:t>
      </w:r>
      <w:r>
        <w:rPr>
          <w:sz w:val="20"/>
        </w:rPr>
        <w:t>Q72.4,</w:t>
      </w:r>
      <w:r>
        <w:rPr>
          <w:spacing w:val="-6"/>
          <w:sz w:val="20"/>
        </w:rPr>
        <w:t> </w:t>
      </w:r>
      <w:r>
        <w:rPr>
          <w:sz w:val="20"/>
        </w:rPr>
        <w:t>Q72.5,</w:t>
      </w:r>
      <w:r>
        <w:rPr>
          <w:spacing w:val="-4"/>
          <w:sz w:val="20"/>
        </w:rPr>
        <w:t> </w:t>
      </w:r>
      <w:r>
        <w:rPr>
          <w:sz w:val="20"/>
        </w:rPr>
        <w:t>Q72.6,</w:t>
      </w:r>
      <w:r>
        <w:rPr>
          <w:spacing w:val="-6"/>
          <w:sz w:val="20"/>
        </w:rPr>
        <w:t> </w:t>
      </w:r>
      <w:r>
        <w:rPr>
          <w:sz w:val="20"/>
        </w:rPr>
        <w:t>Q72.7,</w:t>
      </w:r>
      <w:r>
        <w:rPr>
          <w:spacing w:val="-4"/>
          <w:sz w:val="20"/>
        </w:rPr>
        <w:t> </w:t>
      </w:r>
      <w:r>
        <w:rPr>
          <w:spacing w:val="-2"/>
          <w:sz w:val="20"/>
        </w:rPr>
        <w:t>Q72.8,</w:t>
      </w:r>
    </w:p>
    <w:p>
      <w:pPr>
        <w:spacing w:before="0"/>
        <w:ind w:left="1167" w:right="4154" w:firstLine="0"/>
        <w:jc w:val="center"/>
        <w:rPr>
          <w:sz w:val="20"/>
        </w:rPr>
      </w:pPr>
      <w:r>
        <w:rPr>
          <w:sz w:val="20"/>
        </w:rPr>
        <w:t>Q72.9,</w:t>
      </w:r>
      <w:r>
        <w:rPr>
          <w:spacing w:val="-5"/>
          <w:sz w:val="20"/>
        </w:rPr>
        <w:t> </w:t>
      </w:r>
      <w:r>
        <w:rPr>
          <w:sz w:val="20"/>
        </w:rPr>
        <w:t>Q73,</w:t>
      </w:r>
      <w:r>
        <w:rPr>
          <w:spacing w:val="-5"/>
          <w:sz w:val="20"/>
        </w:rPr>
        <w:t> </w:t>
      </w:r>
      <w:r>
        <w:rPr>
          <w:sz w:val="20"/>
        </w:rPr>
        <w:t>Q73.0,</w:t>
      </w:r>
      <w:r>
        <w:rPr>
          <w:spacing w:val="-5"/>
          <w:sz w:val="20"/>
        </w:rPr>
        <w:t> </w:t>
      </w:r>
      <w:r>
        <w:rPr>
          <w:sz w:val="20"/>
        </w:rPr>
        <w:t>Q73.1,</w:t>
      </w:r>
      <w:r>
        <w:rPr>
          <w:spacing w:val="-5"/>
          <w:sz w:val="20"/>
        </w:rPr>
        <w:t> </w:t>
      </w:r>
      <w:r>
        <w:rPr>
          <w:sz w:val="20"/>
        </w:rPr>
        <w:t>Q73.8, Q74,</w:t>
      </w:r>
      <w:r>
        <w:rPr>
          <w:spacing w:val="-5"/>
          <w:sz w:val="20"/>
        </w:rPr>
        <w:t> </w:t>
      </w:r>
      <w:r>
        <w:rPr>
          <w:spacing w:val="-2"/>
          <w:sz w:val="20"/>
        </w:rPr>
        <w:t>Q74.0,</w:t>
      </w:r>
    </w:p>
    <w:p>
      <w:pPr>
        <w:spacing w:before="1"/>
        <w:ind w:left="1159" w:right="4154" w:firstLine="0"/>
        <w:jc w:val="center"/>
        <w:rPr>
          <w:sz w:val="20"/>
        </w:rPr>
      </w:pPr>
      <w:r>
        <w:rPr>
          <w:sz w:val="20"/>
        </w:rPr>
        <w:t>Q74.1,</w:t>
      </w:r>
      <w:r>
        <w:rPr>
          <w:spacing w:val="-4"/>
          <w:sz w:val="20"/>
        </w:rPr>
        <w:t> </w:t>
      </w:r>
      <w:r>
        <w:rPr>
          <w:sz w:val="20"/>
        </w:rPr>
        <w:t>Q74.2,</w:t>
      </w:r>
      <w:r>
        <w:rPr>
          <w:spacing w:val="-6"/>
          <w:sz w:val="20"/>
        </w:rPr>
        <w:t> </w:t>
      </w:r>
      <w:r>
        <w:rPr>
          <w:sz w:val="20"/>
        </w:rPr>
        <w:t>Q74.3,</w:t>
      </w:r>
      <w:r>
        <w:rPr>
          <w:spacing w:val="-4"/>
          <w:sz w:val="20"/>
        </w:rPr>
        <w:t> </w:t>
      </w:r>
      <w:r>
        <w:rPr>
          <w:sz w:val="20"/>
        </w:rPr>
        <w:t>Q74.8,</w:t>
      </w:r>
      <w:r>
        <w:rPr>
          <w:spacing w:val="-6"/>
          <w:sz w:val="20"/>
        </w:rPr>
        <w:t> </w:t>
      </w:r>
      <w:r>
        <w:rPr>
          <w:sz w:val="20"/>
        </w:rPr>
        <w:t>Q74.9,</w:t>
      </w:r>
      <w:r>
        <w:rPr>
          <w:spacing w:val="-4"/>
          <w:sz w:val="20"/>
        </w:rPr>
        <w:t> </w:t>
      </w:r>
      <w:r>
        <w:rPr>
          <w:sz w:val="20"/>
        </w:rPr>
        <w:t>Q75,</w:t>
      </w:r>
      <w:r>
        <w:rPr>
          <w:spacing w:val="-4"/>
          <w:sz w:val="20"/>
        </w:rPr>
        <w:t> </w:t>
      </w:r>
      <w:r>
        <w:rPr>
          <w:spacing w:val="-2"/>
          <w:sz w:val="20"/>
        </w:rPr>
        <w:t>Q75.0,</w:t>
      </w:r>
    </w:p>
    <w:p>
      <w:pPr>
        <w:spacing w:before="1"/>
        <w:ind w:left="1162" w:right="4154" w:firstLine="0"/>
        <w:jc w:val="center"/>
        <w:rPr>
          <w:sz w:val="20"/>
        </w:rPr>
      </w:pPr>
      <w:r>
        <w:rPr>
          <w:sz w:val="20"/>
        </w:rPr>
        <w:t>Q75.1,</w:t>
      </w:r>
      <w:r>
        <w:rPr>
          <w:spacing w:val="-4"/>
          <w:sz w:val="20"/>
        </w:rPr>
        <w:t> </w:t>
      </w:r>
      <w:r>
        <w:rPr>
          <w:sz w:val="20"/>
        </w:rPr>
        <w:t>Q75.2,</w:t>
      </w:r>
      <w:r>
        <w:rPr>
          <w:spacing w:val="-6"/>
          <w:sz w:val="20"/>
        </w:rPr>
        <w:t> </w:t>
      </w:r>
      <w:r>
        <w:rPr>
          <w:sz w:val="20"/>
        </w:rPr>
        <w:t>Q75.3,</w:t>
      </w:r>
      <w:r>
        <w:rPr>
          <w:spacing w:val="-4"/>
          <w:sz w:val="20"/>
        </w:rPr>
        <w:t> </w:t>
      </w:r>
      <w:r>
        <w:rPr>
          <w:sz w:val="20"/>
        </w:rPr>
        <w:t>Q75.4,</w:t>
      </w:r>
      <w:r>
        <w:rPr>
          <w:spacing w:val="-6"/>
          <w:sz w:val="20"/>
        </w:rPr>
        <w:t> </w:t>
      </w:r>
      <w:r>
        <w:rPr>
          <w:sz w:val="20"/>
        </w:rPr>
        <w:t>Q75.5,</w:t>
      </w:r>
      <w:r>
        <w:rPr>
          <w:spacing w:val="-4"/>
          <w:sz w:val="20"/>
        </w:rPr>
        <w:t> </w:t>
      </w:r>
      <w:r>
        <w:rPr>
          <w:spacing w:val="-2"/>
          <w:sz w:val="20"/>
        </w:rPr>
        <w:t>Q75.8,</w:t>
      </w:r>
    </w:p>
    <w:p>
      <w:pPr>
        <w:spacing w:line="229" w:lineRule="exact" w:before="0"/>
        <w:ind w:left="1161" w:right="4154" w:firstLine="0"/>
        <w:jc w:val="center"/>
        <w:rPr>
          <w:sz w:val="20"/>
        </w:rPr>
      </w:pPr>
      <w:r>
        <w:rPr>
          <w:sz w:val="20"/>
        </w:rPr>
        <w:t>Q75.9,</w:t>
      </w:r>
      <w:r>
        <w:rPr>
          <w:spacing w:val="-6"/>
          <w:sz w:val="20"/>
        </w:rPr>
        <w:t> </w:t>
      </w:r>
      <w:r>
        <w:rPr>
          <w:sz w:val="20"/>
        </w:rPr>
        <w:t>Q76,</w:t>
      </w:r>
      <w:r>
        <w:rPr>
          <w:spacing w:val="-6"/>
          <w:sz w:val="20"/>
        </w:rPr>
        <w:t> </w:t>
      </w:r>
      <w:r>
        <w:rPr>
          <w:sz w:val="20"/>
        </w:rPr>
        <w:t>Q76.0,</w:t>
      </w:r>
      <w:r>
        <w:rPr>
          <w:spacing w:val="-5"/>
          <w:sz w:val="20"/>
        </w:rPr>
        <w:t> </w:t>
      </w:r>
      <w:r>
        <w:rPr>
          <w:sz w:val="20"/>
        </w:rPr>
        <w:t>Q76.1,</w:t>
      </w:r>
      <w:r>
        <w:rPr>
          <w:spacing w:val="-6"/>
          <w:sz w:val="20"/>
        </w:rPr>
        <w:t> </w:t>
      </w:r>
      <w:r>
        <w:rPr>
          <w:sz w:val="20"/>
        </w:rPr>
        <w:t>Q76.2,</w:t>
      </w:r>
      <w:r>
        <w:rPr>
          <w:spacing w:val="-5"/>
          <w:sz w:val="20"/>
        </w:rPr>
        <w:t> </w:t>
      </w:r>
      <w:r>
        <w:rPr>
          <w:sz w:val="20"/>
        </w:rPr>
        <w:t>Q76.3,</w:t>
      </w:r>
      <w:r>
        <w:rPr>
          <w:spacing w:val="-6"/>
          <w:sz w:val="20"/>
        </w:rPr>
        <w:t> </w:t>
      </w:r>
      <w:r>
        <w:rPr>
          <w:spacing w:val="-2"/>
          <w:sz w:val="20"/>
        </w:rPr>
        <w:t>Q76.4,</w:t>
      </w:r>
    </w:p>
    <w:p>
      <w:pPr>
        <w:spacing w:line="229" w:lineRule="exact" w:before="0"/>
        <w:ind w:left="1159" w:right="4154" w:firstLine="0"/>
        <w:jc w:val="center"/>
        <w:rPr>
          <w:sz w:val="20"/>
        </w:rPr>
      </w:pPr>
      <w:r>
        <w:rPr>
          <w:sz w:val="20"/>
        </w:rPr>
        <w:t>Q76.5,</w:t>
      </w:r>
      <w:r>
        <w:rPr>
          <w:spacing w:val="-4"/>
          <w:sz w:val="20"/>
        </w:rPr>
        <w:t> </w:t>
      </w:r>
      <w:r>
        <w:rPr>
          <w:sz w:val="20"/>
        </w:rPr>
        <w:t>Q76.6,</w:t>
      </w:r>
      <w:r>
        <w:rPr>
          <w:spacing w:val="-6"/>
          <w:sz w:val="20"/>
        </w:rPr>
        <w:t> </w:t>
      </w:r>
      <w:r>
        <w:rPr>
          <w:sz w:val="20"/>
        </w:rPr>
        <w:t>Q76.7,</w:t>
      </w:r>
      <w:r>
        <w:rPr>
          <w:spacing w:val="-4"/>
          <w:sz w:val="20"/>
        </w:rPr>
        <w:t> </w:t>
      </w:r>
      <w:r>
        <w:rPr>
          <w:sz w:val="20"/>
        </w:rPr>
        <w:t>Q76.8,</w:t>
      </w:r>
      <w:r>
        <w:rPr>
          <w:spacing w:val="-6"/>
          <w:sz w:val="20"/>
        </w:rPr>
        <w:t> </w:t>
      </w:r>
      <w:r>
        <w:rPr>
          <w:sz w:val="20"/>
        </w:rPr>
        <w:t>Q76.9,</w:t>
      </w:r>
      <w:r>
        <w:rPr>
          <w:spacing w:val="-4"/>
          <w:sz w:val="20"/>
        </w:rPr>
        <w:t> </w:t>
      </w:r>
      <w:r>
        <w:rPr>
          <w:sz w:val="20"/>
        </w:rPr>
        <w:t>Q77,</w:t>
      </w:r>
      <w:r>
        <w:rPr>
          <w:spacing w:val="-4"/>
          <w:sz w:val="20"/>
        </w:rPr>
        <w:t> </w:t>
      </w:r>
      <w:r>
        <w:rPr>
          <w:spacing w:val="-2"/>
          <w:sz w:val="20"/>
        </w:rPr>
        <w:t>Q77.0,</w:t>
      </w:r>
    </w:p>
    <w:p>
      <w:pPr>
        <w:spacing w:before="0"/>
        <w:ind w:left="1162" w:right="4154" w:firstLine="0"/>
        <w:jc w:val="center"/>
        <w:rPr>
          <w:sz w:val="20"/>
        </w:rPr>
      </w:pPr>
      <w:r>
        <w:rPr>
          <w:sz w:val="20"/>
        </w:rPr>
        <w:t>Q77.1,</w:t>
      </w:r>
      <w:r>
        <w:rPr>
          <w:spacing w:val="-4"/>
          <w:sz w:val="20"/>
        </w:rPr>
        <w:t> </w:t>
      </w:r>
      <w:r>
        <w:rPr>
          <w:sz w:val="20"/>
        </w:rPr>
        <w:t>Q77.2,</w:t>
      </w:r>
      <w:r>
        <w:rPr>
          <w:spacing w:val="-6"/>
          <w:sz w:val="20"/>
        </w:rPr>
        <w:t> </w:t>
      </w:r>
      <w:r>
        <w:rPr>
          <w:sz w:val="20"/>
        </w:rPr>
        <w:t>Q77.3,</w:t>
      </w:r>
      <w:r>
        <w:rPr>
          <w:spacing w:val="-4"/>
          <w:sz w:val="20"/>
        </w:rPr>
        <w:t> </w:t>
      </w:r>
      <w:r>
        <w:rPr>
          <w:sz w:val="20"/>
        </w:rPr>
        <w:t>Q77.4,</w:t>
      </w:r>
      <w:r>
        <w:rPr>
          <w:spacing w:val="-6"/>
          <w:sz w:val="20"/>
        </w:rPr>
        <w:t> </w:t>
      </w:r>
      <w:r>
        <w:rPr>
          <w:sz w:val="20"/>
        </w:rPr>
        <w:t>Q77.5,</w:t>
      </w:r>
      <w:r>
        <w:rPr>
          <w:spacing w:val="-4"/>
          <w:sz w:val="20"/>
        </w:rPr>
        <w:t> </w:t>
      </w:r>
      <w:r>
        <w:rPr>
          <w:spacing w:val="-2"/>
          <w:sz w:val="20"/>
        </w:rPr>
        <w:t>Q77.6,</w:t>
      </w:r>
    </w:p>
    <w:p>
      <w:pPr>
        <w:spacing w:before="1"/>
        <w:ind w:left="1164" w:right="4154" w:firstLine="0"/>
        <w:jc w:val="center"/>
        <w:rPr>
          <w:sz w:val="20"/>
        </w:rPr>
      </w:pPr>
      <w:r>
        <w:rPr>
          <w:sz w:val="20"/>
        </w:rPr>
        <w:t>Q77.7,</w:t>
      </w:r>
      <w:r>
        <w:rPr>
          <w:spacing w:val="-5"/>
          <w:sz w:val="20"/>
        </w:rPr>
        <w:t> </w:t>
      </w:r>
      <w:r>
        <w:rPr>
          <w:sz w:val="20"/>
        </w:rPr>
        <w:t>Q77.8,</w:t>
      </w:r>
      <w:r>
        <w:rPr>
          <w:spacing w:val="-7"/>
          <w:sz w:val="20"/>
        </w:rPr>
        <w:t> </w:t>
      </w:r>
      <w:r>
        <w:rPr>
          <w:sz w:val="20"/>
        </w:rPr>
        <w:t>Q77.9,</w:t>
      </w:r>
      <w:r>
        <w:rPr>
          <w:spacing w:val="-4"/>
          <w:sz w:val="20"/>
        </w:rPr>
        <w:t> </w:t>
      </w:r>
      <w:r>
        <w:rPr>
          <w:sz w:val="20"/>
        </w:rPr>
        <w:t>Q78,</w:t>
      </w:r>
      <w:r>
        <w:rPr>
          <w:spacing w:val="-5"/>
          <w:sz w:val="20"/>
        </w:rPr>
        <w:t> </w:t>
      </w:r>
      <w:r>
        <w:rPr>
          <w:sz w:val="20"/>
        </w:rPr>
        <w:t>Q78.0,</w:t>
      </w:r>
      <w:r>
        <w:rPr>
          <w:spacing w:val="-5"/>
          <w:sz w:val="20"/>
        </w:rPr>
        <w:t> </w:t>
      </w:r>
      <w:r>
        <w:rPr>
          <w:sz w:val="20"/>
        </w:rPr>
        <w:t>Q78.1,</w:t>
      </w:r>
      <w:r>
        <w:rPr>
          <w:spacing w:val="-5"/>
          <w:sz w:val="20"/>
        </w:rPr>
        <w:t> </w:t>
      </w:r>
      <w:r>
        <w:rPr>
          <w:spacing w:val="-2"/>
          <w:sz w:val="20"/>
        </w:rPr>
        <w:t>Q78.2,</w:t>
      </w:r>
    </w:p>
    <w:p>
      <w:pPr>
        <w:spacing w:before="0"/>
        <w:ind w:left="1159" w:right="4154" w:firstLine="0"/>
        <w:jc w:val="center"/>
        <w:rPr>
          <w:sz w:val="20"/>
        </w:rPr>
      </w:pPr>
      <w:r>
        <w:rPr>
          <w:sz w:val="20"/>
        </w:rPr>
        <w:t>Q78.3,</w:t>
      </w:r>
      <w:r>
        <w:rPr>
          <w:spacing w:val="-5"/>
          <w:sz w:val="20"/>
        </w:rPr>
        <w:t> </w:t>
      </w:r>
      <w:r>
        <w:rPr>
          <w:sz w:val="20"/>
        </w:rPr>
        <w:t>Q78.4,</w:t>
      </w:r>
      <w:r>
        <w:rPr>
          <w:spacing w:val="-5"/>
          <w:sz w:val="20"/>
        </w:rPr>
        <w:t> </w:t>
      </w:r>
      <w:r>
        <w:rPr>
          <w:sz w:val="20"/>
        </w:rPr>
        <w:t>Q78.5,</w:t>
      </w:r>
      <w:r>
        <w:rPr>
          <w:spacing w:val="-4"/>
          <w:sz w:val="20"/>
        </w:rPr>
        <w:t> </w:t>
      </w:r>
      <w:r>
        <w:rPr>
          <w:sz w:val="20"/>
        </w:rPr>
        <w:t>Q78.6,</w:t>
      </w:r>
      <w:r>
        <w:rPr>
          <w:spacing w:val="-6"/>
          <w:sz w:val="20"/>
        </w:rPr>
        <w:t> </w:t>
      </w:r>
      <w:r>
        <w:rPr>
          <w:sz w:val="20"/>
        </w:rPr>
        <w:t>Q78.8,</w:t>
      </w:r>
      <w:r>
        <w:rPr>
          <w:spacing w:val="-4"/>
          <w:sz w:val="20"/>
        </w:rPr>
        <w:t> </w:t>
      </w:r>
      <w:r>
        <w:rPr>
          <w:sz w:val="20"/>
        </w:rPr>
        <w:t>Q78.9,</w:t>
      </w:r>
      <w:r>
        <w:rPr>
          <w:spacing w:val="-6"/>
          <w:sz w:val="20"/>
        </w:rPr>
        <w:t> </w:t>
      </w:r>
      <w:r>
        <w:rPr>
          <w:spacing w:val="-4"/>
          <w:sz w:val="20"/>
        </w:rPr>
        <w:t>Q79,</w:t>
      </w:r>
    </w:p>
    <w:p>
      <w:pPr>
        <w:spacing w:line="229" w:lineRule="exact" w:before="1"/>
        <w:ind w:left="1162" w:right="4154" w:firstLine="0"/>
        <w:jc w:val="center"/>
        <w:rPr>
          <w:sz w:val="20"/>
        </w:rPr>
      </w:pPr>
      <w:r>
        <w:rPr>
          <w:sz w:val="20"/>
        </w:rPr>
        <w:t>Q79.0,</w:t>
      </w:r>
      <w:r>
        <w:rPr>
          <w:spacing w:val="-4"/>
          <w:sz w:val="20"/>
        </w:rPr>
        <w:t> </w:t>
      </w:r>
      <w:r>
        <w:rPr>
          <w:sz w:val="20"/>
        </w:rPr>
        <w:t>Q79.1,</w:t>
      </w:r>
      <w:r>
        <w:rPr>
          <w:spacing w:val="-6"/>
          <w:sz w:val="20"/>
        </w:rPr>
        <w:t> </w:t>
      </w:r>
      <w:r>
        <w:rPr>
          <w:sz w:val="20"/>
        </w:rPr>
        <w:t>Q79.2,</w:t>
      </w:r>
      <w:r>
        <w:rPr>
          <w:spacing w:val="-4"/>
          <w:sz w:val="20"/>
        </w:rPr>
        <w:t> </w:t>
      </w:r>
      <w:r>
        <w:rPr>
          <w:sz w:val="20"/>
        </w:rPr>
        <w:t>Q79.3,</w:t>
      </w:r>
      <w:r>
        <w:rPr>
          <w:spacing w:val="-6"/>
          <w:sz w:val="20"/>
        </w:rPr>
        <w:t> </w:t>
      </w:r>
      <w:r>
        <w:rPr>
          <w:sz w:val="20"/>
        </w:rPr>
        <w:t>Q79.4,</w:t>
      </w:r>
      <w:r>
        <w:rPr>
          <w:spacing w:val="-4"/>
          <w:sz w:val="20"/>
        </w:rPr>
        <w:t> </w:t>
      </w:r>
      <w:r>
        <w:rPr>
          <w:spacing w:val="-2"/>
          <w:sz w:val="20"/>
        </w:rPr>
        <w:t>Q79.5,</w:t>
      </w:r>
    </w:p>
    <w:p>
      <w:pPr>
        <w:spacing w:line="229" w:lineRule="exact" w:before="0"/>
        <w:ind w:left="1162" w:right="4154" w:firstLine="0"/>
        <w:jc w:val="center"/>
        <w:rPr>
          <w:sz w:val="20"/>
        </w:rPr>
      </w:pPr>
      <w:r>
        <w:rPr>
          <w:sz w:val="20"/>
        </w:rPr>
        <w:t>Q79.6,</w:t>
      </w:r>
      <w:r>
        <w:rPr>
          <w:spacing w:val="-4"/>
          <w:sz w:val="20"/>
        </w:rPr>
        <w:t> </w:t>
      </w:r>
      <w:r>
        <w:rPr>
          <w:sz w:val="20"/>
        </w:rPr>
        <w:t>Q79.8,</w:t>
      </w:r>
      <w:r>
        <w:rPr>
          <w:spacing w:val="-6"/>
          <w:sz w:val="20"/>
        </w:rPr>
        <w:t> </w:t>
      </w:r>
      <w:r>
        <w:rPr>
          <w:sz w:val="20"/>
        </w:rPr>
        <w:t>Q79.9,</w:t>
      </w:r>
      <w:r>
        <w:rPr>
          <w:spacing w:val="-4"/>
          <w:sz w:val="20"/>
        </w:rPr>
        <w:t> </w:t>
      </w:r>
      <w:r>
        <w:rPr>
          <w:sz w:val="20"/>
        </w:rPr>
        <w:t>Q87.0,</w:t>
      </w:r>
      <w:r>
        <w:rPr>
          <w:spacing w:val="-6"/>
          <w:sz w:val="20"/>
        </w:rPr>
        <w:t> </w:t>
      </w:r>
      <w:r>
        <w:rPr>
          <w:sz w:val="20"/>
        </w:rPr>
        <w:t>Q87.1,</w:t>
      </w:r>
      <w:r>
        <w:rPr>
          <w:spacing w:val="-4"/>
          <w:sz w:val="20"/>
        </w:rPr>
        <w:t> </w:t>
      </w:r>
      <w:r>
        <w:rPr>
          <w:spacing w:val="-2"/>
          <w:sz w:val="20"/>
        </w:rPr>
        <w:t>Q87.2,</w:t>
      </w:r>
    </w:p>
    <w:p>
      <w:pPr>
        <w:spacing w:before="0"/>
        <w:ind w:left="4619" w:right="0" w:firstLine="0"/>
        <w:jc w:val="left"/>
        <w:rPr>
          <w:sz w:val="20"/>
        </w:rPr>
      </w:pPr>
      <w:r>
        <w:rPr>
          <w:sz w:val="20"/>
        </w:rPr>
        <w:t>Q87.3,</w:t>
      </w:r>
      <w:r>
        <w:rPr>
          <w:spacing w:val="-5"/>
          <w:sz w:val="20"/>
        </w:rPr>
        <w:t> </w:t>
      </w:r>
      <w:r>
        <w:rPr>
          <w:sz w:val="20"/>
        </w:rPr>
        <w:t>Q87.4,</w:t>
      </w:r>
      <w:r>
        <w:rPr>
          <w:spacing w:val="-6"/>
          <w:sz w:val="20"/>
        </w:rPr>
        <w:t> </w:t>
      </w:r>
      <w:r>
        <w:rPr>
          <w:sz w:val="20"/>
        </w:rPr>
        <w:t>Q87.5,</w:t>
      </w:r>
      <w:r>
        <w:rPr>
          <w:spacing w:val="-5"/>
          <w:sz w:val="20"/>
        </w:rPr>
        <w:t> </w:t>
      </w:r>
      <w:r>
        <w:rPr>
          <w:sz w:val="20"/>
        </w:rPr>
        <w:t>Q89.9,</w:t>
      </w:r>
      <w:r>
        <w:rPr>
          <w:spacing w:val="-6"/>
          <w:sz w:val="20"/>
        </w:rPr>
        <w:t> </w:t>
      </w:r>
      <w:r>
        <w:rPr>
          <w:sz w:val="20"/>
        </w:rPr>
        <w:t>R26.2,</w:t>
      </w:r>
      <w:r>
        <w:rPr>
          <w:spacing w:val="-4"/>
          <w:sz w:val="20"/>
        </w:rPr>
        <w:t> </w:t>
      </w:r>
      <w:r>
        <w:rPr>
          <w:sz w:val="20"/>
        </w:rPr>
        <w:t>R29.4,</w:t>
      </w:r>
      <w:r>
        <w:rPr>
          <w:spacing w:val="-5"/>
          <w:sz w:val="20"/>
        </w:rPr>
        <w:t> </w:t>
      </w:r>
      <w:r>
        <w:rPr>
          <w:spacing w:val="-4"/>
          <w:sz w:val="20"/>
        </w:rPr>
        <w:t>R89,</w:t>
      </w:r>
    </w:p>
    <w:p>
      <w:pPr>
        <w:spacing w:before="1"/>
        <w:ind w:left="4569" w:right="0" w:firstLine="0"/>
        <w:jc w:val="left"/>
        <w:rPr>
          <w:sz w:val="20"/>
        </w:rPr>
      </w:pPr>
      <w:r>
        <w:rPr>
          <w:sz w:val="20"/>
        </w:rPr>
        <w:t>R89.0,</w:t>
      </w:r>
      <w:r>
        <w:rPr>
          <w:spacing w:val="-7"/>
          <w:sz w:val="20"/>
        </w:rPr>
        <w:t> </w:t>
      </w:r>
      <w:r>
        <w:rPr>
          <w:sz w:val="20"/>
        </w:rPr>
        <w:t>R89.1,</w:t>
      </w:r>
      <w:r>
        <w:rPr>
          <w:spacing w:val="-5"/>
          <w:sz w:val="20"/>
        </w:rPr>
        <w:t> </w:t>
      </w:r>
      <w:r>
        <w:rPr>
          <w:sz w:val="20"/>
        </w:rPr>
        <w:t>R89.2,</w:t>
      </w:r>
      <w:r>
        <w:rPr>
          <w:spacing w:val="-5"/>
          <w:sz w:val="20"/>
        </w:rPr>
        <w:t> </w:t>
      </w:r>
      <w:r>
        <w:rPr>
          <w:sz w:val="20"/>
        </w:rPr>
        <w:t>R89.3,</w:t>
      </w:r>
      <w:r>
        <w:rPr>
          <w:spacing w:val="-9"/>
          <w:sz w:val="20"/>
        </w:rPr>
        <w:t> </w:t>
      </w:r>
      <w:r>
        <w:rPr>
          <w:sz w:val="20"/>
        </w:rPr>
        <w:t>R89.4,</w:t>
      </w:r>
      <w:r>
        <w:rPr>
          <w:spacing w:val="-5"/>
          <w:sz w:val="20"/>
        </w:rPr>
        <w:t> </w:t>
      </w:r>
      <w:r>
        <w:rPr>
          <w:sz w:val="20"/>
        </w:rPr>
        <w:t>R89.5,</w:t>
      </w:r>
      <w:r>
        <w:rPr>
          <w:spacing w:val="-4"/>
          <w:sz w:val="20"/>
        </w:rPr>
        <w:t> </w:t>
      </w:r>
      <w:r>
        <w:rPr>
          <w:spacing w:val="-2"/>
          <w:sz w:val="20"/>
        </w:rPr>
        <w:t>R89.6,</w:t>
      </w:r>
    </w:p>
    <w:p>
      <w:pPr>
        <w:spacing w:before="0"/>
        <w:ind w:left="4665" w:right="0" w:firstLine="0"/>
        <w:jc w:val="left"/>
        <w:rPr>
          <w:sz w:val="20"/>
        </w:rPr>
      </w:pPr>
      <w:r>
        <w:rPr>
          <w:sz w:val="20"/>
        </w:rPr>
        <w:t>R89.7,</w:t>
      </w:r>
      <w:r>
        <w:rPr>
          <w:spacing w:val="-5"/>
          <w:sz w:val="20"/>
        </w:rPr>
        <w:t> </w:t>
      </w:r>
      <w:r>
        <w:rPr>
          <w:sz w:val="20"/>
        </w:rPr>
        <w:t>R89.8,</w:t>
      </w:r>
      <w:r>
        <w:rPr>
          <w:spacing w:val="-4"/>
          <w:sz w:val="20"/>
        </w:rPr>
        <w:t> </w:t>
      </w:r>
      <w:r>
        <w:rPr>
          <w:sz w:val="20"/>
        </w:rPr>
        <w:t>R89.9,</w:t>
      </w:r>
      <w:r>
        <w:rPr>
          <w:spacing w:val="-4"/>
          <w:sz w:val="20"/>
        </w:rPr>
        <w:t> </w:t>
      </w:r>
      <w:r>
        <w:rPr>
          <w:sz w:val="20"/>
        </w:rPr>
        <w:t>R93.6,</w:t>
      </w:r>
      <w:r>
        <w:rPr>
          <w:spacing w:val="-8"/>
          <w:sz w:val="20"/>
        </w:rPr>
        <w:t> </w:t>
      </w:r>
      <w:r>
        <w:rPr>
          <w:sz w:val="20"/>
        </w:rPr>
        <w:t>R93.7,</w:t>
      </w:r>
      <w:r>
        <w:rPr>
          <w:spacing w:val="-5"/>
          <w:sz w:val="20"/>
        </w:rPr>
        <w:t> </w:t>
      </w:r>
      <w:r>
        <w:rPr>
          <w:sz w:val="20"/>
        </w:rPr>
        <w:t>S00,</w:t>
      </w:r>
      <w:r>
        <w:rPr>
          <w:spacing w:val="-6"/>
          <w:sz w:val="20"/>
        </w:rPr>
        <w:t> </w:t>
      </w:r>
      <w:r>
        <w:rPr>
          <w:spacing w:val="-2"/>
          <w:sz w:val="20"/>
        </w:rPr>
        <w:t>S00.0,</w:t>
      </w:r>
    </w:p>
    <w:p>
      <w:pPr>
        <w:spacing w:before="1"/>
        <w:ind w:left="4720" w:right="0" w:firstLine="0"/>
        <w:jc w:val="left"/>
        <w:rPr>
          <w:sz w:val="20"/>
        </w:rPr>
      </w:pPr>
      <w:r>
        <w:rPr>
          <w:sz w:val="20"/>
        </w:rPr>
        <w:t>S00.3,</w:t>
      </w:r>
      <w:r>
        <w:rPr>
          <w:spacing w:val="-6"/>
          <w:sz w:val="20"/>
        </w:rPr>
        <w:t> </w:t>
      </w:r>
      <w:r>
        <w:rPr>
          <w:sz w:val="20"/>
        </w:rPr>
        <w:t>S00.7,</w:t>
      </w:r>
      <w:r>
        <w:rPr>
          <w:spacing w:val="-5"/>
          <w:sz w:val="20"/>
        </w:rPr>
        <w:t> </w:t>
      </w:r>
      <w:r>
        <w:rPr>
          <w:sz w:val="20"/>
        </w:rPr>
        <w:t>S00.8,</w:t>
      </w:r>
      <w:r>
        <w:rPr>
          <w:spacing w:val="-5"/>
          <w:sz w:val="20"/>
        </w:rPr>
        <w:t> </w:t>
      </w:r>
      <w:r>
        <w:rPr>
          <w:sz w:val="20"/>
        </w:rPr>
        <w:t>S00.9,</w:t>
      </w:r>
      <w:r>
        <w:rPr>
          <w:spacing w:val="-7"/>
          <w:sz w:val="20"/>
        </w:rPr>
        <w:t> </w:t>
      </w:r>
      <w:r>
        <w:rPr>
          <w:sz w:val="20"/>
        </w:rPr>
        <w:t>S01,</w:t>
      </w:r>
      <w:r>
        <w:rPr>
          <w:spacing w:val="-5"/>
          <w:sz w:val="20"/>
        </w:rPr>
        <w:t> </w:t>
      </w:r>
      <w:r>
        <w:rPr>
          <w:sz w:val="20"/>
        </w:rPr>
        <w:t>S01.0,</w:t>
      </w:r>
      <w:r>
        <w:rPr>
          <w:spacing w:val="-5"/>
          <w:sz w:val="20"/>
        </w:rPr>
        <w:t> </w:t>
      </w:r>
      <w:r>
        <w:rPr>
          <w:spacing w:val="-2"/>
          <w:sz w:val="20"/>
        </w:rPr>
        <w:t>S01.2,</w:t>
      </w:r>
    </w:p>
    <w:p>
      <w:pPr>
        <w:spacing w:line="229" w:lineRule="exact" w:before="0"/>
        <w:ind w:left="4720" w:right="0" w:firstLine="0"/>
        <w:jc w:val="left"/>
        <w:rPr>
          <w:sz w:val="20"/>
        </w:rPr>
      </w:pPr>
      <w:r>
        <w:rPr>
          <w:sz w:val="20"/>
        </w:rPr>
        <w:t>S01.7,</w:t>
      </w:r>
      <w:r>
        <w:rPr>
          <w:spacing w:val="-6"/>
          <w:sz w:val="20"/>
        </w:rPr>
        <w:t> </w:t>
      </w:r>
      <w:r>
        <w:rPr>
          <w:sz w:val="20"/>
        </w:rPr>
        <w:t>S01.8,</w:t>
      </w:r>
      <w:r>
        <w:rPr>
          <w:spacing w:val="-6"/>
          <w:sz w:val="20"/>
        </w:rPr>
        <w:t> </w:t>
      </w:r>
      <w:r>
        <w:rPr>
          <w:sz w:val="20"/>
        </w:rPr>
        <w:t>S01.9,</w:t>
      </w:r>
      <w:r>
        <w:rPr>
          <w:spacing w:val="-5"/>
          <w:sz w:val="20"/>
        </w:rPr>
        <w:t> </w:t>
      </w:r>
      <w:r>
        <w:rPr>
          <w:sz w:val="20"/>
        </w:rPr>
        <w:t>S07,</w:t>
      </w:r>
      <w:r>
        <w:rPr>
          <w:spacing w:val="-6"/>
          <w:sz w:val="20"/>
        </w:rPr>
        <w:t> </w:t>
      </w:r>
      <w:r>
        <w:rPr>
          <w:sz w:val="20"/>
        </w:rPr>
        <w:t>S07.0,</w:t>
      </w:r>
      <w:r>
        <w:rPr>
          <w:spacing w:val="-5"/>
          <w:sz w:val="20"/>
        </w:rPr>
        <w:t> </w:t>
      </w:r>
      <w:r>
        <w:rPr>
          <w:sz w:val="20"/>
        </w:rPr>
        <w:t>S07.1,</w:t>
      </w:r>
      <w:r>
        <w:rPr>
          <w:spacing w:val="-6"/>
          <w:sz w:val="20"/>
        </w:rPr>
        <w:t> </w:t>
      </w:r>
      <w:r>
        <w:rPr>
          <w:spacing w:val="-2"/>
          <w:sz w:val="20"/>
        </w:rPr>
        <w:t>S07.8,</w:t>
      </w:r>
    </w:p>
    <w:p>
      <w:pPr>
        <w:spacing w:line="229" w:lineRule="exact" w:before="0"/>
        <w:ind w:left="1159" w:right="4154" w:firstLine="0"/>
        <w:jc w:val="center"/>
        <w:rPr>
          <w:sz w:val="20"/>
        </w:rPr>
      </w:pPr>
      <w:r>
        <w:rPr>
          <w:sz w:val="20"/>
        </w:rPr>
        <w:t>S07.9,</w:t>
      </w:r>
      <w:r>
        <w:rPr>
          <w:spacing w:val="-6"/>
          <w:sz w:val="20"/>
        </w:rPr>
        <w:t> </w:t>
      </w:r>
      <w:r>
        <w:rPr>
          <w:sz w:val="20"/>
        </w:rPr>
        <w:t>S08,</w:t>
      </w:r>
      <w:r>
        <w:rPr>
          <w:spacing w:val="-6"/>
          <w:sz w:val="20"/>
        </w:rPr>
        <w:t> </w:t>
      </w:r>
      <w:r>
        <w:rPr>
          <w:sz w:val="20"/>
        </w:rPr>
        <w:t>S08.0,</w:t>
      </w:r>
      <w:r>
        <w:rPr>
          <w:spacing w:val="-5"/>
          <w:sz w:val="20"/>
        </w:rPr>
        <w:t> </w:t>
      </w:r>
      <w:r>
        <w:rPr>
          <w:sz w:val="20"/>
        </w:rPr>
        <w:t>S08.1,</w:t>
      </w:r>
      <w:r>
        <w:rPr>
          <w:spacing w:val="-6"/>
          <w:sz w:val="20"/>
        </w:rPr>
        <w:t> </w:t>
      </w:r>
      <w:r>
        <w:rPr>
          <w:sz w:val="20"/>
        </w:rPr>
        <w:t>S08.8,</w:t>
      </w:r>
      <w:r>
        <w:rPr>
          <w:spacing w:val="-5"/>
          <w:sz w:val="20"/>
        </w:rPr>
        <w:t> </w:t>
      </w:r>
      <w:r>
        <w:rPr>
          <w:sz w:val="20"/>
        </w:rPr>
        <w:t>S08.9,</w:t>
      </w:r>
      <w:r>
        <w:rPr>
          <w:spacing w:val="-6"/>
          <w:sz w:val="20"/>
        </w:rPr>
        <w:t> </w:t>
      </w:r>
      <w:r>
        <w:rPr>
          <w:spacing w:val="-4"/>
          <w:sz w:val="20"/>
        </w:rPr>
        <w:t>S09,</w:t>
      </w:r>
    </w:p>
    <w:p>
      <w:pPr>
        <w:spacing w:before="1"/>
        <w:ind w:left="1159" w:right="4154" w:firstLine="0"/>
        <w:jc w:val="center"/>
        <w:rPr>
          <w:sz w:val="20"/>
        </w:rPr>
      </w:pPr>
      <w:r>
        <w:rPr>
          <w:sz w:val="20"/>
        </w:rPr>
        <w:t>S09.0,</w:t>
      </w:r>
      <w:r>
        <w:rPr>
          <w:spacing w:val="-6"/>
          <w:sz w:val="20"/>
        </w:rPr>
        <w:t> </w:t>
      </w:r>
      <w:r>
        <w:rPr>
          <w:sz w:val="20"/>
        </w:rPr>
        <w:t>S09.1,</w:t>
      </w:r>
      <w:r>
        <w:rPr>
          <w:spacing w:val="-5"/>
          <w:sz w:val="20"/>
        </w:rPr>
        <w:t> </w:t>
      </w:r>
      <w:r>
        <w:rPr>
          <w:sz w:val="20"/>
        </w:rPr>
        <w:t>S09.7,</w:t>
      </w:r>
      <w:r>
        <w:rPr>
          <w:spacing w:val="-5"/>
          <w:sz w:val="20"/>
        </w:rPr>
        <w:t> </w:t>
      </w:r>
      <w:r>
        <w:rPr>
          <w:sz w:val="20"/>
        </w:rPr>
        <w:t>S09.8,</w:t>
      </w:r>
      <w:r>
        <w:rPr>
          <w:spacing w:val="-7"/>
          <w:sz w:val="20"/>
        </w:rPr>
        <w:t> </w:t>
      </w:r>
      <w:r>
        <w:rPr>
          <w:sz w:val="20"/>
        </w:rPr>
        <w:t>S09.9,</w:t>
      </w:r>
      <w:r>
        <w:rPr>
          <w:spacing w:val="-5"/>
          <w:sz w:val="20"/>
        </w:rPr>
        <w:t> </w:t>
      </w:r>
      <w:r>
        <w:rPr>
          <w:sz w:val="20"/>
        </w:rPr>
        <w:t>S10,</w:t>
      </w:r>
      <w:r>
        <w:rPr>
          <w:spacing w:val="-5"/>
          <w:sz w:val="20"/>
        </w:rPr>
        <w:t> </w:t>
      </w:r>
      <w:r>
        <w:rPr>
          <w:spacing w:val="-2"/>
          <w:sz w:val="20"/>
        </w:rPr>
        <w:t>S10.0,</w:t>
      </w:r>
    </w:p>
    <w:p>
      <w:pPr>
        <w:spacing w:before="0"/>
        <w:ind w:left="1162" w:right="4154" w:firstLine="0"/>
        <w:jc w:val="center"/>
        <w:rPr>
          <w:sz w:val="20"/>
        </w:rPr>
      </w:pPr>
      <w:r>
        <w:rPr>
          <w:sz w:val="20"/>
        </w:rPr>
        <w:t>S10.1,</w:t>
      </w:r>
      <w:r>
        <w:rPr>
          <w:spacing w:val="-5"/>
          <w:sz w:val="20"/>
        </w:rPr>
        <w:t> </w:t>
      </w:r>
      <w:r>
        <w:rPr>
          <w:sz w:val="20"/>
        </w:rPr>
        <w:t>S10.7,</w:t>
      </w:r>
      <w:r>
        <w:rPr>
          <w:spacing w:val="-5"/>
          <w:sz w:val="20"/>
        </w:rPr>
        <w:t> </w:t>
      </w:r>
      <w:r>
        <w:rPr>
          <w:sz w:val="20"/>
        </w:rPr>
        <w:t>S10.8,</w:t>
      </w:r>
      <w:r>
        <w:rPr>
          <w:spacing w:val="-4"/>
          <w:sz w:val="20"/>
        </w:rPr>
        <w:t> </w:t>
      </w:r>
      <w:r>
        <w:rPr>
          <w:sz w:val="20"/>
        </w:rPr>
        <w:t>S10.9,</w:t>
      </w:r>
      <w:r>
        <w:rPr>
          <w:spacing w:val="-7"/>
          <w:sz w:val="20"/>
        </w:rPr>
        <w:t> </w:t>
      </w:r>
      <w:r>
        <w:rPr>
          <w:sz w:val="20"/>
        </w:rPr>
        <w:t>S11,</w:t>
      </w:r>
      <w:r>
        <w:rPr>
          <w:spacing w:val="-4"/>
          <w:sz w:val="20"/>
        </w:rPr>
        <w:t> </w:t>
      </w:r>
      <w:r>
        <w:rPr>
          <w:sz w:val="20"/>
        </w:rPr>
        <w:t>S11.0,</w:t>
      </w:r>
      <w:r>
        <w:rPr>
          <w:spacing w:val="-5"/>
          <w:sz w:val="20"/>
        </w:rPr>
        <w:t> </w:t>
      </w:r>
      <w:r>
        <w:rPr>
          <w:spacing w:val="-2"/>
          <w:sz w:val="20"/>
        </w:rPr>
        <w:t>S11.1,</w:t>
      </w:r>
    </w:p>
    <w:p>
      <w:pPr>
        <w:spacing w:before="1"/>
        <w:ind w:left="1159" w:right="4154" w:firstLine="0"/>
        <w:jc w:val="center"/>
        <w:rPr>
          <w:sz w:val="20"/>
        </w:rPr>
      </w:pPr>
      <w:r>
        <w:rPr>
          <w:sz w:val="20"/>
        </w:rPr>
        <w:t>S11.2,</w:t>
      </w:r>
      <w:r>
        <w:rPr>
          <w:spacing w:val="-6"/>
          <w:sz w:val="20"/>
        </w:rPr>
        <w:t> </w:t>
      </w:r>
      <w:r>
        <w:rPr>
          <w:sz w:val="20"/>
        </w:rPr>
        <w:t>S11.7,</w:t>
      </w:r>
      <w:r>
        <w:rPr>
          <w:spacing w:val="-5"/>
          <w:sz w:val="20"/>
        </w:rPr>
        <w:t> </w:t>
      </w:r>
      <w:r>
        <w:rPr>
          <w:sz w:val="20"/>
        </w:rPr>
        <w:t>S11.8,</w:t>
      </w:r>
      <w:r>
        <w:rPr>
          <w:spacing w:val="-5"/>
          <w:sz w:val="20"/>
        </w:rPr>
        <w:t> </w:t>
      </w:r>
      <w:r>
        <w:rPr>
          <w:sz w:val="20"/>
        </w:rPr>
        <w:t>S11.9,</w:t>
      </w:r>
      <w:r>
        <w:rPr>
          <w:spacing w:val="-7"/>
          <w:sz w:val="20"/>
        </w:rPr>
        <w:t> </w:t>
      </w:r>
      <w:r>
        <w:rPr>
          <w:sz w:val="20"/>
        </w:rPr>
        <w:t>S15,</w:t>
      </w:r>
      <w:r>
        <w:rPr>
          <w:spacing w:val="-5"/>
          <w:sz w:val="20"/>
        </w:rPr>
        <w:t> </w:t>
      </w:r>
      <w:r>
        <w:rPr>
          <w:sz w:val="20"/>
        </w:rPr>
        <w:t>S15.0,</w:t>
      </w:r>
      <w:r>
        <w:rPr>
          <w:spacing w:val="-5"/>
          <w:sz w:val="20"/>
        </w:rPr>
        <w:t> </w:t>
      </w:r>
      <w:r>
        <w:rPr>
          <w:spacing w:val="-2"/>
          <w:sz w:val="20"/>
        </w:rPr>
        <w:t>S15.1,</w:t>
      </w:r>
    </w:p>
    <w:p>
      <w:pPr>
        <w:spacing w:before="0"/>
        <w:ind w:left="1159" w:right="4154" w:firstLine="0"/>
        <w:jc w:val="center"/>
        <w:rPr>
          <w:sz w:val="20"/>
        </w:rPr>
      </w:pPr>
      <w:r>
        <w:rPr>
          <w:sz w:val="20"/>
        </w:rPr>
        <w:t>S15.2,</w:t>
      </w:r>
      <w:r>
        <w:rPr>
          <w:spacing w:val="-6"/>
          <w:sz w:val="20"/>
        </w:rPr>
        <w:t> </w:t>
      </w:r>
      <w:r>
        <w:rPr>
          <w:sz w:val="20"/>
        </w:rPr>
        <w:t>S15.3,</w:t>
      </w:r>
      <w:r>
        <w:rPr>
          <w:spacing w:val="-5"/>
          <w:sz w:val="20"/>
        </w:rPr>
        <w:t> </w:t>
      </w:r>
      <w:r>
        <w:rPr>
          <w:sz w:val="20"/>
        </w:rPr>
        <w:t>S15.7,</w:t>
      </w:r>
      <w:r>
        <w:rPr>
          <w:spacing w:val="-5"/>
          <w:sz w:val="20"/>
        </w:rPr>
        <w:t> </w:t>
      </w:r>
      <w:r>
        <w:rPr>
          <w:sz w:val="20"/>
        </w:rPr>
        <w:t>S15.8,</w:t>
      </w:r>
      <w:r>
        <w:rPr>
          <w:spacing w:val="-7"/>
          <w:sz w:val="20"/>
        </w:rPr>
        <w:t> </w:t>
      </w:r>
      <w:r>
        <w:rPr>
          <w:sz w:val="20"/>
        </w:rPr>
        <w:t>S15.9,</w:t>
      </w:r>
      <w:r>
        <w:rPr>
          <w:spacing w:val="-5"/>
          <w:sz w:val="20"/>
        </w:rPr>
        <w:t> </w:t>
      </w:r>
      <w:r>
        <w:rPr>
          <w:sz w:val="20"/>
        </w:rPr>
        <w:t>S17,</w:t>
      </w:r>
      <w:r>
        <w:rPr>
          <w:spacing w:val="-5"/>
          <w:sz w:val="20"/>
        </w:rPr>
        <w:t> </w:t>
      </w:r>
      <w:r>
        <w:rPr>
          <w:spacing w:val="-2"/>
          <w:sz w:val="20"/>
        </w:rPr>
        <w:t>S17.0,</w:t>
      </w:r>
    </w:p>
    <w:p>
      <w:pPr>
        <w:spacing w:before="0"/>
        <w:ind w:left="1159" w:right="4154" w:firstLine="0"/>
        <w:jc w:val="center"/>
        <w:rPr>
          <w:sz w:val="20"/>
        </w:rPr>
      </w:pPr>
      <w:r>
        <w:rPr>
          <w:sz w:val="20"/>
        </w:rPr>
        <w:t>S17.8,</w:t>
      </w:r>
      <w:r>
        <w:rPr>
          <w:spacing w:val="-5"/>
          <w:sz w:val="20"/>
        </w:rPr>
        <w:t> </w:t>
      </w:r>
      <w:r>
        <w:rPr>
          <w:sz w:val="20"/>
        </w:rPr>
        <w:t>S17.9,</w:t>
      </w:r>
      <w:r>
        <w:rPr>
          <w:spacing w:val="-4"/>
          <w:sz w:val="20"/>
        </w:rPr>
        <w:t> </w:t>
      </w:r>
      <w:r>
        <w:rPr>
          <w:sz w:val="20"/>
        </w:rPr>
        <w:t>S18,</w:t>
      </w:r>
      <w:r>
        <w:rPr>
          <w:spacing w:val="-5"/>
          <w:sz w:val="20"/>
        </w:rPr>
        <w:t> </w:t>
      </w:r>
      <w:r>
        <w:rPr>
          <w:sz w:val="20"/>
        </w:rPr>
        <w:t>S19,</w:t>
      </w:r>
      <w:r>
        <w:rPr>
          <w:spacing w:val="-6"/>
          <w:sz w:val="20"/>
        </w:rPr>
        <w:t> </w:t>
      </w:r>
      <w:r>
        <w:rPr>
          <w:sz w:val="20"/>
        </w:rPr>
        <w:t>S19.7,</w:t>
      </w:r>
      <w:r>
        <w:rPr>
          <w:spacing w:val="-6"/>
          <w:sz w:val="20"/>
        </w:rPr>
        <w:t> </w:t>
      </w:r>
      <w:r>
        <w:rPr>
          <w:sz w:val="20"/>
        </w:rPr>
        <w:t>S19.8,</w:t>
      </w:r>
      <w:r>
        <w:rPr>
          <w:spacing w:val="-5"/>
          <w:sz w:val="20"/>
        </w:rPr>
        <w:t> </w:t>
      </w:r>
      <w:r>
        <w:rPr>
          <w:sz w:val="20"/>
        </w:rPr>
        <w:t>S19.9,</w:t>
      </w:r>
      <w:r>
        <w:rPr>
          <w:spacing w:val="-4"/>
          <w:sz w:val="20"/>
        </w:rPr>
        <w:t> S20,</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5" w:right="0" w:firstLine="0"/>
        <w:jc w:val="both"/>
        <w:rPr>
          <w:sz w:val="20"/>
        </w:rPr>
      </w:pPr>
      <w:r>
        <w:rPr>
          <w:sz w:val="20"/>
        </w:rPr>
        <w:t>S20.0,</w:t>
      </w:r>
      <w:r>
        <w:rPr>
          <w:spacing w:val="-6"/>
          <w:sz w:val="20"/>
        </w:rPr>
        <w:t> </w:t>
      </w:r>
      <w:r>
        <w:rPr>
          <w:sz w:val="20"/>
        </w:rPr>
        <w:t>S20.1,</w:t>
      </w:r>
      <w:r>
        <w:rPr>
          <w:spacing w:val="-5"/>
          <w:sz w:val="20"/>
        </w:rPr>
        <w:t> </w:t>
      </w:r>
      <w:r>
        <w:rPr>
          <w:sz w:val="20"/>
        </w:rPr>
        <w:t>S20.2,</w:t>
      </w:r>
      <w:r>
        <w:rPr>
          <w:spacing w:val="-5"/>
          <w:sz w:val="20"/>
        </w:rPr>
        <w:t> </w:t>
      </w:r>
      <w:r>
        <w:rPr>
          <w:sz w:val="20"/>
        </w:rPr>
        <w:t>S20.3,</w:t>
      </w:r>
      <w:r>
        <w:rPr>
          <w:spacing w:val="-7"/>
          <w:sz w:val="20"/>
        </w:rPr>
        <w:t> </w:t>
      </w:r>
      <w:r>
        <w:rPr>
          <w:sz w:val="20"/>
        </w:rPr>
        <w:t>S20.4,</w:t>
      </w:r>
      <w:r>
        <w:rPr>
          <w:spacing w:val="-5"/>
          <w:sz w:val="20"/>
        </w:rPr>
        <w:t> </w:t>
      </w:r>
      <w:r>
        <w:rPr>
          <w:sz w:val="20"/>
        </w:rPr>
        <w:t>S20.7,</w:t>
      </w:r>
      <w:r>
        <w:rPr>
          <w:spacing w:val="-5"/>
          <w:sz w:val="20"/>
        </w:rPr>
        <w:t> </w:t>
      </w:r>
      <w:r>
        <w:rPr>
          <w:spacing w:val="-2"/>
          <w:sz w:val="20"/>
        </w:rPr>
        <w:t>S20.8,</w:t>
      </w:r>
    </w:p>
    <w:p>
      <w:pPr>
        <w:spacing w:before="1"/>
        <w:ind w:left="4619" w:right="7615" w:firstLine="100"/>
        <w:jc w:val="both"/>
        <w:rPr>
          <w:sz w:val="20"/>
        </w:rPr>
      </w:pPr>
      <w:r>
        <w:rPr>
          <w:sz w:val="20"/>
        </w:rPr>
        <w:t>S21, S21.0, S21.1, S21.2, S21.7, S21.8, S21.9, S22.1, S22.10, S22.11, S22.2, S22.20, S22.21, S22.3, S22.30, S22.31, S22.4, S22.40, S22.41, S22.5, S22.50, S22.51, S22.8, S22.80, S22.81, S22.9,</w:t>
      </w:r>
      <w:r>
        <w:rPr>
          <w:spacing w:val="-6"/>
          <w:sz w:val="20"/>
        </w:rPr>
        <w:t> </w:t>
      </w:r>
      <w:r>
        <w:rPr>
          <w:sz w:val="20"/>
        </w:rPr>
        <w:t>S22.90,</w:t>
      </w:r>
      <w:r>
        <w:rPr>
          <w:spacing w:val="-6"/>
          <w:sz w:val="20"/>
        </w:rPr>
        <w:t> </w:t>
      </w:r>
      <w:r>
        <w:rPr>
          <w:sz w:val="20"/>
        </w:rPr>
        <w:t>S22.91,</w:t>
      </w:r>
      <w:r>
        <w:rPr>
          <w:spacing w:val="-6"/>
          <w:sz w:val="20"/>
        </w:rPr>
        <w:t> </w:t>
      </w:r>
      <w:r>
        <w:rPr>
          <w:sz w:val="20"/>
        </w:rPr>
        <w:t>S23.4,</w:t>
      </w:r>
      <w:r>
        <w:rPr>
          <w:spacing w:val="-6"/>
          <w:sz w:val="20"/>
        </w:rPr>
        <w:t> </w:t>
      </w:r>
      <w:r>
        <w:rPr>
          <w:sz w:val="20"/>
        </w:rPr>
        <w:t>S23.5,</w:t>
      </w:r>
      <w:r>
        <w:rPr>
          <w:spacing w:val="-6"/>
          <w:sz w:val="20"/>
        </w:rPr>
        <w:t> </w:t>
      </w:r>
      <w:r>
        <w:rPr>
          <w:sz w:val="20"/>
        </w:rPr>
        <w:t>S25,</w:t>
      </w:r>
      <w:r>
        <w:rPr>
          <w:spacing w:val="-5"/>
          <w:sz w:val="20"/>
        </w:rPr>
        <w:t> </w:t>
      </w:r>
      <w:r>
        <w:rPr>
          <w:spacing w:val="-2"/>
          <w:sz w:val="20"/>
        </w:rPr>
        <w:t>S25.0,</w:t>
      </w:r>
    </w:p>
    <w:p>
      <w:pPr>
        <w:spacing w:line="230" w:lineRule="exact" w:before="0"/>
        <w:ind w:left="4645" w:right="0" w:firstLine="0"/>
        <w:jc w:val="both"/>
        <w:rPr>
          <w:sz w:val="20"/>
        </w:rPr>
      </w:pPr>
      <w:r>
        <w:rPr>
          <w:sz w:val="20"/>
        </w:rPr>
        <w:t>S25.1,</w:t>
      </w:r>
      <w:r>
        <w:rPr>
          <w:spacing w:val="-6"/>
          <w:sz w:val="20"/>
        </w:rPr>
        <w:t> </w:t>
      </w:r>
      <w:r>
        <w:rPr>
          <w:sz w:val="20"/>
        </w:rPr>
        <w:t>S25.2,</w:t>
      </w:r>
      <w:r>
        <w:rPr>
          <w:spacing w:val="-5"/>
          <w:sz w:val="20"/>
        </w:rPr>
        <w:t> </w:t>
      </w:r>
      <w:r>
        <w:rPr>
          <w:sz w:val="20"/>
        </w:rPr>
        <w:t>S25.3,</w:t>
      </w:r>
      <w:r>
        <w:rPr>
          <w:spacing w:val="-5"/>
          <w:sz w:val="20"/>
        </w:rPr>
        <w:t> </w:t>
      </w:r>
      <w:r>
        <w:rPr>
          <w:sz w:val="20"/>
        </w:rPr>
        <w:t>S25.4,</w:t>
      </w:r>
      <w:r>
        <w:rPr>
          <w:spacing w:val="-7"/>
          <w:sz w:val="20"/>
        </w:rPr>
        <w:t> </w:t>
      </w:r>
      <w:r>
        <w:rPr>
          <w:sz w:val="20"/>
        </w:rPr>
        <w:t>S25.5,</w:t>
      </w:r>
      <w:r>
        <w:rPr>
          <w:spacing w:val="-5"/>
          <w:sz w:val="20"/>
        </w:rPr>
        <w:t> </w:t>
      </w:r>
      <w:r>
        <w:rPr>
          <w:sz w:val="20"/>
        </w:rPr>
        <w:t>S25.7,</w:t>
      </w:r>
      <w:r>
        <w:rPr>
          <w:spacing w:val="-5"/>
          <w:sz w:val="20"/>
        </w:rPr>
        <w:t> </w:t>
      </w:r>
      <w:r>
        <w:rPr>
          <w:spacing w:val="-2"/>
          <w:sz w:val="20"/>
        </w:rPr>
        <w:t>S25.8,</w:t>
      </w:r>
    </w:p>
    <w:p>
      <w:pPr>
        <w:spacing w:before="1"/>
        <w:ind w:left="4568" w:right="7562" w:firstLine="0"/>
        <w:jc w:val="center"/>
        <w:rPr>
          <w:sz w:val="20"/>
        </w:rPr>
      </w:pPr>
      <w:r>
        <w:rPr>
          <w:sz w:val="20"/>
        </w:rPr>
        <w:t>S25.9,</w:t>
      </w:r>
      <w:r>
        <w:rPr>
          <w:spacing w:val="-6"/>
          <w:sz w:val="20"/>
        </w:rPr>
        <w:t> </w:t>
      </w:r>
      <w:r>
        <w:rPr>
          <w:sz w:val="20"/>
        </w:rPr>
        <w:t>S27,</w:t>
      </w:r>
      <w:r>
        <w:rPr>
          <w:spacing w:val="-4"/>
          <w:sz w:val="20"/>
        </w:rPr>
        <w:t> </w:t>
      </w:r>
      <w:r>
        <w:rPr>
          <w:sz w:val="20"/>
        </w:rPr>
        <w:t>S27.0,</w:t>
      </w:r>
      <w:r>
        <w:rPr>
          <w:spacing w:val="-6"/>
          <w:sz w:val="20"/>
        </w:rPr>
        <w:t> </w:t>
      </w:r>
      <w:r>
        <w:rPr>
          <w:sz w:val="20"/>
        </w:rPr>
        <w:t>S27.00,</w:t>
      </w:r>
      <w:r>
        <w:rPr>
          <w:spacing w:val="-6"/>
          <w:sz w:val="20"/>
        </w:rPr>
        <w:t> </w:t>
      </w:r>
      <w:r>
        <w:rPr>
          <w:sz w:val="20"/>
        </w:rPr>
        <w:t>S27.01,</w:t>
      </w:r>
      <w:r>
        <w:rPr>
          <w:spacing w:val="-6"/>
          <w:sz w:val="20"/>
        </w:rPr>
        <w:t> </w:t>
      </w:r>
      <w:r>
        <w:rPr>
          <w:sz w:val="20"/>
        </w:rPr>
        <w:t>S27.1,</w:t>
      </w:r>
      <w:r>
        <w:rPr>
          <w:spacing w:val="-7"/>
          <w:sz w:val="20"/>
        </w:rPr>
        <w:t> </w:t>
      </w:r>
      <w:r>
        <w:rPr>
          <w:sz w:val="20"/>
        </w:rPr>
        <w:t>S27.10, S27.11, S27.2, S27.20, S27.21, S27.3, S27.30, S27.31, S27.4, S27.40, S27.41, S27.5, S27.50, S27.51, S27.6, S27.60, S27.61, S27.7, S27.70, S27.71, S27.8, S27.80, S27.81, S27.9, S27.90, S27.91, S28, S28.0, S28.1, S29.0, S29.7, S29.8,</w:t>
      </w:r>
    </w:p>
    <w:p>
      <w:pPr>
        <w:spacing w:line="229" w:lineRule="exact" w:before="0"/>
        <w:ind w:left="1159" w:right="4154" w:firstLine="0"/>
        <w:jc w:val="center"/>
        <w:rPr>
          <w:sz w:val="20"/>
        </w:rPr>
      </w:pPr>
      <w:r>
        <w:rPr>
          <w:sz w:val="20"/>
        </w:rPr>
        <w:t>S29.9,</w:t>
      </w:r>
      <w:r>
        <w:rPr>
          <w:spacing w:val="-6"/>
          <w:sz w:val="20"/>
        </w:rPr>
        <w:t> </w:t>
      </w:r>
      <w:r>
        <w:rPr>
          <w:sz w:val="20"/>
        </w:rPr>
        <w:t>S30,</w:t>
      </w:r>
      <w:r>
        <w:rPr>
          <w:spacing w:val="-6"/>
          <w:sz w:val="20"/>
        </w:rPr>
        <w:t> </w:t>
      </w:r>
      <w:r>
        <w:rPr>
          <w:sz w:val="20"/>
        </w:rPr>
        <w:t>S30.0,</w:t>
      </w:r>
      <w:r>
        <w:rPr>
          <w:spacing w:val="-5"/>
          <w:sz w:val="20"/>
        </w:rPr>
        <w:t> </w:t>
      </w:r>
      <w:r>
        <w:rPr>
          <w:sz w:val="20"/>
        </w:rPr>
        <w:t>S30.1,</w:t>
      </w:r>
      <w:r>
        <w:rPr>
          <w:spacing w:val="-6"/>
          <w:sz w:val="20"/>
        </w:rPr>
        <w:t> </w:t>
      </w:r>
      <w:r>
        <w:rPr>
          <w:sz w:val="20"/>
        </w:rPr>
        <w:t>S30.7,</w:t>
      </w:r>
      <w:r>
        <w:rPr>
          <w:spacing w:val="-5"/>
          <w:sz w:val="20"/>
        </w:rPr>
        <w:t> </w:t>
      </w:r>
      <w:r>
        <w:rPr>
          <w:sz w:val="20"/>
        </w:rPr>
        <w:t>S30.8,</w:t>
      </w:r>
      <w:r>
        <w:rPr>
          <w:spacing w:val="-6"/>
          <w:sz w:val="20"/>
        </w:rPr>
        <w:t> </w:t>
      </w:r>
      <w:r>
        <w:rPr>
          <w:spacing w:val="-2"/>
          <w:sz w:val="20"/>
        </w:rPr>
        <w:t>S30.9,</w:t>
      </w:r>
    </w:p>
    <w:p>
      <w:pPr>
        <w:spacing w:before="0"/>
        <w:ind w:left="4566" w:right="7562" w:firstLine="0"/>
        <w:jc w:val="center"/>
        <w:rPr>
          <w:sz w:val="20"/>
        </w:rPr>
      </w:pPr>
      <w:r>
        <w:rPr>
          <w:sz w:val="20"/>
        </w:rPr>
        <w:t>S31, S31.0, S31.1, S31.7, S31.8, S32.3, S32.30, S32.31, S32.4, S32.40, S32.41, S32.5, S32.50, S32.51,</w:t>
      </w:r>
      <w:r>
        <w:rPr>
          <w:spacing w:val="-6"/>
          <w:sz w:val="20"/>
        </w:rPr>
        <w:t> </w:t>
      </w:r>
      <w:r>
        <w:rPr>
          <w:sz w:val="20"/>
        </w:rPr>
        <w:t>S32.7,</w:t>
      </w:r>
      <w:r>
        <w:rPr>
          <w:spacing w:val="-7"/>
          <w:sz w:val="20"/>
        </w:rPr>
        <w:t> </w:t>
      </w:r>
      <w:r>
        <w:rPr>
          <w:sz w:val="20"/>
        </w:rPr>
        <w:t>S32.70,</w:t>
      </w:r>
      <w:r>
        <w:rPr>
          <w:spacing w:val="-6"/>
          <w:sz w:val="20"/>
        </w:rPr>
        <w:t> </w:t>
      </w:r>
      <w:r>
        <w:rPr>
          <w:sz w:val="20"/>
        </w:rPr>
        <w:t>S32.71,</w:t>
      </w:r>
      <w:r>
        <w:rPr>
          <w:spacing w:val="-6"/>
          <w:sz w:val="20"/>
        </w:rPr>
        <w:t> </w:t>
      </w:r>
      <w:r>
        <w:rPr>
          <w:sz w:val="20"/>
        </w:rPr>
        <w:t>S33.4,</w:t>
      </w:r>
      <w:r>
        <w:rPr>
          <w:spacing w:val="-6"/>
          <w:sz w:val="20"/>
        </w:rPr>
        <w:t> </w:t>
      </w:r>
      <w:r>
        <w:rPr>
          <w:sz w:val="20"/>
        </w:rPr>
        <w:t>S35,</w:t>
      </w:r>
      <w:r>
        <w:rPr>
          <w:spacing w:val="-6"/>
          <w:sz w:val="20"/>
        </w:rPr>
        <w:t> </w:t>
      </w:r>
      <w:r>
        <w:rPr>
          <w:sz w:val="20"/>
        </w:rPr>
        <w:t>S35.0,</w:t>
      </w:r>
    </w:p>
    <w:p>
      <w:pPr>
        <w:spacing w:before="0"/>
        <w:ind w:left="1161" w:right="4154" w:firstLine="0"/>
        <w:jc w:val="center"/>
        <w:rPr>
          <w:sz w:val="20"/>
        </w:rPr>
      </w:pPr>
      <w:r>
        <w:rPr>
          <w:sz w:val="20"/>
        </w:rPr>
        <w:t>S35.1,</w:t>
      </w:r>
      <w:r>
        <w:rPr>
          <w:spacing w:val="-6"/>
          <w:sz w:val="20"/>
        </w:rPr>
        <w:t> </w:t>
      </w:r>
      <w:r>
        <w:rPr>
          <w:sz w:val="20"/>
        </w:rPr>
        <w:t>S35.2,</w:t>
      </w:r>
      <w:r>
        <w:rPr>
          <w:spacing w:val="-5"/>
          <w:sz w:val="20"/>
        </w:rPr>
        <w:t> </w:t>
      </w:r>
      <w:r>
        <w:rPr>
          <w:sz w:val="20"/>
        </w:rPr>
        <w:t>S35.3,</w:t>
      </w:r>
      <w:r>
        <w:rPr>
          <w:spacing w:val="-5"/>
          <w:sz w:val="20"/>
        </w:rPr>
        <w:t> </w:t>
      </w:r>
      <w:r>
        <w:rPr>
          <w:sz w:val="20"/>
        </w:rPr>
        <w:t>S35.4,</w:t>
      </w:r>
      <w:r>
        <w:rPr>
          <w:spacing w:val="-7"/>
          <w:sz w:val="20"/>
        </w:rPr>
        <w:t> </w:t>
      </w:r>
      <w:r>
        <w:rPr>
          <w:sz w:val="20"/>
        </w:rPr>
        <w:t>S35.5,</w:t>
      </w:r>
      <w:r>
        <w:rPr>
          <w:spacing w:val="-5"/>
          <w:sz w:val="20"/>
        </w:rPr>
        <w:t> </w:t>
      </w:r>
      <w:r>
        <w:rPr>
          <w:sz w:val="20"/>
        </w:rPr>
        <w:t>S35.7,</w:t>
      </w:r>
      <w:r>
        <w:rPr>
          <w:spacing w:val="-5"/>
          <w:sz w:val="20"/>
        </w:rPr>
        <w:t> </w:t>
      </w:r>
      <w:r>
        <w:rPr>
          <w:spacing w:val="-2"/>
          <w:sz w:val="20"/>
        </w:rPr>
        <w:t>S35.8,</w:t>
      </w:r>
    </w:p>
    <w:p>
      <w:pPr>
        <w:spacing w:before="1"/>
        <w:ind w:left="1159" w:right="4154" w:firstLine="0"/>
        <w:jc w:val="center"/>
        <w:rPr>
          <w:sz w:val="20"/>
        </w:rPr>
      </w:pPr>
      <w:r>
        <w:rPr>
          <w:sz w:val="20"/>
        </w:rPr>
        <w:t>S35.9,</w:t>
      </w:r>
      <w:r>
        <w:rPr>
          <w:spacing w:val="-6"/>
          <w:sz w:val="20"/>
        </w:rPr>
        <w:t> </w:t>
      </w:r>
      <w:r>
        <w:rPr>
          <w:sz w:val="20"/>
        </w:rPr>
        <w:t>S38,</w:t>
      </w:r>
      <w:r>
        <w:rPr>
          <w:spacing w:val="-6"/>
          <w:sz w:val="20"/>
        </w:rPr>
        <w:t> </w:t>
      </w:r>
      <w:r>
        <w:rPr>
          <w:sz w:val="20"/>
        </w:rPr>
        <w:t>S38.0,</w:t>
      </w:r>
      <w:r>
        <w:rPr>
          <w:spacing w:val="-5"/>
          <w:sz w:val="20"/>
        </w:rPr>
        <w:t> </w:t>
      </w:r>
      <w:r>
        <w:rPr>
          <w:sz w:val="20"/>
        </w:rPr>
        <w:t>S38.1,</w:t>
      </w:r>
      <w:r>
        <w:rPr>
          <w:spacing w:val="-6"/>
          <w:sz w:val="20"/>
        </w:rPr>
        <w:t> </w:t>
      </w:r>
      <w:r>
        <w:rPr>
          <w:sz w:val="20"/>
        </w:rPr>
        <w:t>S38.3,</w:t>
      </w:r>
      <w:r>
        <w:rPr>
          <w:spacing w:val="-5"/>
          <w:sz w:val="20"/>
        </w:rPr>
        <w:t> </w:t>
      </w:r>
      <w:r>
        <w:rPr>
          <w:sz w:val="20"/>
        </w:rPr>
        <w:t>S39.0,</w:t>
      </w:r>
      <w:r>
        <w:rPr>
          <w:spacing w:val="-6"/>
          <w:sz w:val="20"/>
        </w:rPr>
        <w:t> </w:t>
      </w:r>
      <w:r>
        <w:rPr>
          <w:spacing w:val="-2"/>
          <w:sz w:val="20"/>
        </w:rPr>
        <w:t>S39.6,</w:t>
      </w:r>
    </w:p>
    <w:p>
      <w:pPr>
        <w:spacing w:line="229" w:lineRule="exact" w:before="0"/>
        <w:ind w:left="1159" w:right="4154" w:firstLine="0"/>
        <w:jc w:val="center"/>
        <w:rPr>
          <w:sz w:val="20"/>
        </w:rPr>
      </w:pPr>
      <w:r>
        <w:rPr>
          <w:sz w:val="20"/>
        </w:rPr>
        <w:t>S39.7,</w:t>
      </w:r>
      <w:r>
        <w:rPr>
          <w:spacing w:val="-6"/>
          <w:sz w:val="20"/>
        </w:rPr>
        <w:t> </w:t>
      </w:r>
      <w:r>
        <w:rPr>
          <w:sz w:val="20"/>
        </w:rPr>
        <w:t>S39.8,</w:t>
      </w:r>
      <w:r>
        <w:rPr>
          <w:spacing w:val="-6"/>
          <w:sz w:val="20"/>
        </w:rPr>
        <w:t> </w:t>
      </w:r>
      <w:r>
        <w:rPr>
          <w:sz w:val="20"/>
        </w:rPr>
        <w:t>S39.9,</w:t>
      </w:r>
      <w:r>
        <w:rPr>
          <w:spacing w:val="-5"/>
          <w:sz w:val="20"/>
        </w:rPr>
        <w:t> </w:t>
      </w:r>
      <w:r>
        <w:rPr>
          <w:sz w:val="20"/>
        </w:rPr>
        <w:t>S40,</w:t>
      </w:r>
      <w:r>
        <w:rPr>
          <w:spacing w:val="-6"/>
          <w:sz w:val="20"/>
        </w:rPr>
        <w:t> </w:t>
      </w:r>
      <w:r>
        <w:rPr>
          <w:sz w:val="20"/>
        </w:rPr>
        <w:t>S40.0,</w:t>
      </w:r>
      <w:r>
        <w:rPr>
          <w:spacing w:val="-5"/>
          <w:sz w:val="20"/>
        </w:rPr>
        <w:t> </w:t>
      </w:r>
      <w:r>
        <w:rPr>
          <w:sz w:val="20"/>
        </w:rPr>
        <w:t>S40.7,</w:t>
      </w:r>
      <w:r>
        <w:rPr>
          <w:spacing w:val="-6"/>
          <w:sz w:val="20"/>
        </w:rPr>
        <w:t> </w:t>
      </w:r>
      <w:r>
        <w:rPr>
          <w:spacing w:val="-2"/>
          <w:sz w:val="20"/>
        </w:rPr>
        <w:t>S40.8,</w:t>
      </w:r>
    </w:p>
    <w:p>
      <w:pPr>
        <w:spacing w:before="0"/>
        <w:ind w:left="4720" w:right="7471" w:firstLine="74"/>
        <w:jc w:val="left"/>
        <w:rPr>
          <w:sz w:val="20"/>
        </w:rPr>
      </w:pPr>
      <w:r>
        <w:rPr>
          <w:sz w:val="20"/>
        </w:rPr>
        <w:t>S40.9, S41, S41.0, S41.1, S41.7, S41.8, S42, S42.0,</w:t>
      </w:r>
      <w:r>
        <w:rPr>
          <w:spacing w:val="-4"/>
          <w:sz w:val="20"/>
        </w:rPr>
        <w:t> </w:t>
      </w:r>
      <w:r>
        <w:rPr>
          <w:sz w:val="20"/>
        </w:rPr>
        <w:t>S42.00,</w:t>
      </w:r>
      <w:r>
        <w:rPr>
          <w:spacing w:val="-6"/>
          <w:sz w:val="20"/>
        </w:rPr>
        <w:t> </w:t>
      </w:r>
      <w:r>
        <w:rPr>
          <w:sz w:val="20"/>
        </w:rPr>
        <w:t>S42.01,</w:t>
      </w:r>
      <w:r>
        <w:rPr>
          <w:spacing w:val="-4"/>
          <w:sz w:val="20"/>
        </w:rPr>
        <w:t> </w:t>
      </w:r>
      <w:r>
        <w:rPr>
          <w:sz w:val="20"/>
        </w:rPr>
        <w:t>S42.1,</w:t>
      </w:r>
      <w:r>
        <w:rPr>
          <w:spacing w:val="-6"/>
          <w:sz w:val="20"/>
        </w:rPr>
        <w:t> </w:t>
      </w:r>
      <w:r>
        <w:rPr>
          <w:sz w:val="20"/>
        </w:rPr>
        <w:t>S42.10,</w:t>
      </w:r>
      <w:r>
        <w:rPr>
          <w:spacing w:val="-4"/>
          <w:sz w:val="20"/>
        </w:rPr>
        <w:t> </w:t>
      </w:r>
      <w:r>
        <w:rPr>
          <w:sz w:val="20"/>
        </w:rPr>
        <w:t>S42.11, S42.2,</w:t>
      </w:r>
      <w:r>
        <w:rPr>
          <w:spacing w:val="-4"/>
          <w:sz w:val="20"/>
        </w:rPr>
        <w:t> </w:t>
      </w:r>
      <w:r>
        <w:rPr>
          <w:sz w:val="20"/>
        </w:rPr>
        <w:t>S42.20,</w:t>
      </w:r>
      <w:r>
        <w:rPr>
          <w:spacing w:val="-6"/>
          <w:sz w:val="20"/>
        </w:rPr>
        <w:t> </w:t>
      </w:r>
      <w:r>
        <w:rPr>
          <w:sz w:val="20"/>
        </w:rPr>
        <w:t>S42.21,</w:t>
      </w:r>
      <w:r>
        <w:rPr>
          <w:spacing w:val="-4"/>
          <w:sz w:val="20"/>
        </w:rPr>
        <w:t> </w:t>
      </w:r>
      <w:r>
        <w:rPr>
          <w:sz w:val="20"/>
        </w:rPr>
        <w:t>S42.3,</w:t>
      </w:r>
      <w:r>
        <w:rPr>
          <w:spacing w:val="-6"/>
          <w:sz w:val="20"/>
        </w:rPr>
        <w:t> </w:t>
      </w:r>
      <w:r>
        <w:rPr>
          <w:sz w:val="20"/>
        </w:rPr>
        <w:t>S42.30,</w:t>
      </w:r>
      <w:r>
        <w:rPr>
          <w:spacing w:val="-4"/>
          <w:sz w:val="20"/>
        </w:rPr>
        <w:t> </w:t>
      </w:r>
      <w:r>
        <w:rPr>
          <w:sz w:val="20"/>
        </w:rPr>
        <w:t>S42.31, S42.4,</w:t>
      </w:r>
      <w:r>
        <w:rPr>
          <w:spacing w:val="-4"/>
          <w:sz w:val="20"/>
        </w:rPr>
        <w:t> </w:t>
      </w:r>
      <w:r>
        <w:rPr>
          <w:sz w:val="20"/>
        </w:rPr>
        <w:t>S42.40,</w:t>
      </w:r>
      <w:r>
        <w:rPr>
          <w:spacing w:val="-6"/>
          <w:sz w:val="20"/>
        </w:rPr>
        <w:t> </w:t>
      </w:r>
      <w:r>
        <w:rPr>
          <w:sz w:val="20"/>
        </w:rPr>
        <w:t>S42.41,</w:t>
      </w:r>
      <w:r>
        <w:rPr>
          <w:spacing w:val="-4"/>
          <w:sz w:val="20"/>
        </w:rPr>
        <w:t> </w:t>
      </w:r>
      <w:r>
        <w:rPr>
          <w:sz w:val="20"/>
        </w:rPr>
        <w:t>S42.7,</w:t>
      </w:r>
      <w:r>
        <w:rPr>
          <w:spacing w:val="-6"/>
          <w:sz w:val="20"/>
        </w:rPr>
        <w:t> </w:t>
      </w:r>
      <w:r>
        <w:rPr>
          <w:sz w:val="20"/>
        </w:rPr>
        <w:t>S42.70,</w:t>
      </w:r>
      <w:r>
        <w:rPr>
          <w:spacing w:val="-4"/>
          <w:sz w:val="20"/>
        </w:rPr>
        <w:t> </w:t>
      </w:r>
      <w:r>
        <w:rPr>
          <w:sz w:val="20"/>
        </w:rPr>
        <w:t>S42.71, S42.8,</w:t>
      </w:r>
      <w:r>
        <w:rPr>
          <w:spacing w:val="-4"/>
          <w:sz w:val="20"/>
        </w:rPr>
        <w:t> </w:t>
      </w:r>
      <w:r>
        <w:rPr>
          <w:sz w:val="20"/>
        </w:rPr>
        <w:t>S42.80,</w:t>
      </w:r>
      <w:r>
        <w:rPr>
          <w:spacing w:val="-6"/>
          <w:sz w:val="20"/>
        </w:rPr>
        <w:t> </w:t>
      </w:r>
      <w:r>
        <w:rPr>
          <w:sz w:val="20"/>
        </w:rPr>
        <w:t>S42.81,</w:t>
      </w:r>
      <w:r>
        <w:rPr>
          <w:spacing w:val="-4"/>
          <w:sz w:val="20"/>
        </w:rPr>
        <w:t> </w:t>
      </w:r>
      <w:r>
        <w:rPr>
          <w:sz w:val="20"/>
        </w:rPr>
        <w:t>S42.9,</w:t>
      </w:r>
      <w:r>
        <w:rPr>
          <w:spacing w:val="-6"/>
          <w:sz w:val="20"/>
        </w:rPr>
        <w:t> </w:t>
      </w:r>
      <w:r>
        <w:rPr>
          <w:sz w:val="20"/>
        </w:rPr>
        <w:t>S42.90,</w:t>
      </w:r>
      <w:r>
        <w:rPr>
          <w:spacing w:val="-4"/>
          <w:sz w:val="20"/>
        </w:rPr>
        <w:t> </w:t>
      </w:r>
      <w:r>
        <w:rPr>
          <w:sz w:val="20"/>
        </w:rPr>
        <w:t>S42.91, S43,</w:t>
      </w:r>
      <w:r>
        <w:rPr>
          <w:spacing w:val="-6"/>
          <w:sz w:val="20"/>
        </w:rPr>
        <w:t> </w:t>
      </w:r>
      <w:r>
        <w:rPr>
          <w:sz w:val="20"/>
        </w:rPr>
        <w:t>S43.0,</w:t>
      </w:r>
      <w:r>
        <w:rPr>
          <w:spacing w:val="-6"/>
          <w:sz w:val="20"/>
        </w:rPr>
        <w:t> </w:t>
      </w:r>
      <w:r>
        <w:rPr>
          <w:sz w:val="20"/>
        </w:rPr>
        <w:t>S43.1,</w:t>
      </w:r>
      <w:r>
        <w:rPr>
          <w:spacing w:val="-5"/>
          <w:sz w:val="20"/>
        </w:rPr>
        <w:t> </w:t>
      </w:r>
      <w:r>
        <w:rPr>
          <w:sz w:val="20"/>
        </w:rPr>
        <w:t>S43.2,</w:t>
      </w:r>
      <w:r>
        <w:rPr>
          <w:spacing w:val="-6"/>
          <w:sz w:val="20"/>
        </w:rPr>
        <w:t> </w:t>
      </w:r>
      <w:r>
        <w:rPr>
          <w:sz w:val="20"/>
        </w:rPr>
        <w:t>S43.3,</w:t>
      </w:r>
      <w:r>
        <w:rPr>
          <w:spacing w:val="-5"/>
          <w:sz w:val="20"/>
        </w:rPr>
        <w:t> </w:t>
      </w:r>
      <w:r>
        <w:rPr>
          <w:sz w:val="20"/>
        </w:rPr>
        <w:t>S43.4,</w:t>
      </w:r>
      <w:r>
        <w:rPr>
          <w:spacing w:val="-6"/>
          <w:sz w:val="20"/>
        </w:rPr>
        <w:t> </w:t>
      </w:r>
      <w:r>
        <w:rPr>
          <w:spacing w:val="-2"/>
          <w:sz w:val="20"/>
        </w:rPr>
        <w:t>S43.5,</w:t>
      </w:r>
    </w:p>
    <w:p>
      <w:pPr>
        <w:spacing w:before="0"/>
        <w:ind w:left="4720" w:right="0" w:firstLine="0"/>
        <w:jc w:val="left"/>
        <w:rPr>
          <w:sz w:val="20"/>
        </w:rPr>
      </w:pPr>
      <w:r>
        <w:rPr>
          <w:sz w:val="20"/>
        </w:rPr>
        <w:t>S43.6,</w:t>
      </w:r>
      <w:r>
        <w:rPr>
          <w:spacing w:val="-6"/>
          <w:sz w:val="20"/>
        </w:rPr>
        <w:t> </w:t>
      </w:r>
      <w:r>
        <w:rPr>
          <w:sz w:val="20"/>
        </w:rPr>
        <w:t>S43.7,</w:t>
      </w:r>
      <w:r>
        <w:rPr>
          <w:spacing w:val="-6"/>
          <w:sz w:val="20"/>
        </w:rPr>
        <w:t> </w:t>
      </w:r>
      <w:r>
        <w:rPr>
          <w:sz w:val="20"/>
        </w:rPr>
        <w:t>S45,</w:t>
      </w:r>
      <w:r>
        <w:rPr>
          <w:spacing w:val="-5"/>
          <w:sz w:val="20"/>
        </w:rPr>
        <w:t> </w:t>
      </w:r>
      <w:r>
        <w:rPr>
          <w:sz w:val="20"/>
        </w:rPr>
        <w:t>S45.0,</w:t>
      </w:r>
      <w:r>
        <w:rPr>
          <w:spacing w:val="-6"/>
          <w:sz w:val="20"/>
        </w:rPr>
        <w:t> </w:t>
      </w:r>
      <w:r>
        <w:rPr>
          <w:sz w:val="20"/>
        </w:rPr>
        <w:t>S45.1,</w:t>
      </w:r>
      <w:r>
        <w:rPr>
          <w:spacing w:val="-5"/>
          <w:sz w:val="20"/>
        </w:rPr>
        <w:t> </w:t>
      </w:r>
      <w:r>
        <w:rPr>
          <w:sz w:val="20"/>
        </w:rPr>
        <w:t>S45.2,</w:t>
      </w:r>
      <w:r>
        <w:rPr>
          <w:spacing w:val="-6"/>
          <w:sz w:val="20"/>
        </w:rPr>
        <w:t> </w:t>
      </w:r>
      <w:r>
        <w:rPr>
          <w:spacing w:val="-2"/>
          <w:sz w:val="20"/>
        </w:rPr>
        <w:t>S45.3,</w:t>
      </w:r>
    </w:p>
    <w:p>
      <w:pPr>
        <w:spacing w:before="0"/>
        <w:ind w:left="4720" w:right="0" w:firstLine="0"/>
        <w:jc w:val="left"/>
        <w:rPr>
          <w:sz w:val="20"/>
        </w:rPr>
      </w:pPr>
      <w:r>
        <w:rPr>
          <w:sz w:val="20"/>
        </w:rPr>
        <w:t>S45.7,</w:t>
      </w:r>
      <w:r>
        <w:rPr>
          <w:spacing w:val="-6"/>
          <w:sz w:val="20"/>
        </w:rPr>
        <w:t> </w:t>
      </w:r>
      <w:r>
        <w:rPr>
          <w:sz w:val="20"/>
        </w:rPr>
        <w:t>S45.8,</w:t>
      </w:r>
      <w:r>
        <w:rPr>
          <w:spacing w:val="-6"/>
          <w:sz w:val="20"/>
        </w:rPr>
        <w:t> </w:t>
      </w:r>
      <w:r>
        <w:rPr>
          <w:sz w:val="20"/>
        </w:rPr>
        <w:t>S45.9,</w:t>
      </w:r>
      <w:r>
        <w:rPr>
          <w:spacing w:val="-5"/>
          <w:sz w:val="20"/>
        </w:rPr>
        <w:t> </w:t>
      </w:r>
      <w:r>
        <w:rPr>
          <w:sz w:val="20"/>
        </w:rPr>
        <w:t>S46,</w:t>
      </w:r>
      <w:r>
        <w:rPr>
          <w:spacing w:val="-6"/>
          <w:sz w:val="20"/>
        </w:rPr>
        <w:t> </w:t>
      </w:r>
      <w:r>
        <w:rPr>
          <w:sz w:val="20"/>
        </w:rPr>
        <w:t>S46.0,</w:t>
      </w:r>
      <w:r>
        <w:rPr>
          <w:spacing w:val="-5"/>
          <w:sz w:val="20"/>
        </w:rPr>
        <w:t> </w:t>
      </w:r>
      <w:r>
        <w:rPr>
          <w:sz w:val="20"/>
        </w:rPr>
        <w:t>S46.1,</w:t>
      </w:r>
      <w:r>
        <w:rPr>
          <w:spacing w:val="-6"/>
          <w:sz w:val="20"/>
        </w:rPr>
        <w:t> </w:t>
      </w:r>
      <w:r>
        <w:rPr>
          <w:spacing w:val="-2"/>
          <w:sz w:val="20"/>
        </w:rPr>
        <w:t>S46.2,</w:t>
      </w:r>
    </w:p>
    <w:p>
      <w:pPr>
        <w:spacing w:before="0"/>
        <w:ind w:left="4794" w:right="0" w:firstLine="0"/>
        <w:jc w:val="left"/>
        <w:rPr>
          <w:sz w:val="20"/>
        </w:rPr>
      </w:pPr>
      <w:r>
        <w:rPr>
          <w:sz w:val="20"/>
        </w:rPr>
        <w:t>S46.3,</w:t>
      </w:r>
      <w:r>
        <w:rPr>
          <w:spacing w:val="-5"/>
          <w:sz w:val="20"/>
        </w:rPr>
        <w:t> </w:t>
      </w:r>
      <w:r>
        <w:rPr>
          <w:sz w:val="20"/>
        </w:rPr>
        <w:t>S46.7,</w:t>
      </w:r>
      <w:r>
        <w:rPr>
          <w:spacing w:val="-4"/>
          <w:sz w:val="20"/>
        </w:rPr>
        <w:t> </w:t>
      </w:r>
      <w:r>
        <w:rPr>
          <w:sz w:val="20"/>
        </w:rPr>
        <w:t>S46.8,</w:t>
      </w:r>
      <w:r>
        <w:rPr>
          <w:spacing w:val="-5"/>
          <w:sz w:val="20"/>
        </w:rPr>
        <w:t> </w:t>
      </w:r>
      <w:r>
        <w:rPr>
          <w:sz w:val="20"/>
        </w:rPr>
        <w:t>S46.9,</w:t>
      </w:r>
      <w:r>
        <w:rPr>
          <w:spacing w:val="-6"/>
          <w:sz w:val="20"/>
        </w:rPr>
        <w:t> </w:t>
      </w:r>
      <w:r>
        <w:rPr>
          <w:sz w:val="20"/>
        </w:rPr>
        <w:t>S47,</w:t>
      </w:r>
      <w:r>
        <w:rPr>
          <w:spacing w:val="-5"/>
          <w:sz w:val="20"/>
        </w:rPr>
        <w:t> </w:t>
      </w:r>
      <w:r>
        <w:rPr>
          <w:sz w:val="20"/>
        </w:rPr>
        <w:t>S48,</w:t>
      </w:r>
      <w:r>
        <w:rPr>
          <w:spacing w:val="-4"/>
          <w:sz w:val="20"/>
        </w:rPr>
        <w:t> </w:t>
      </w:r>
      <w:r>
        <w:rPr>
          <w:spacing w:val="-2"/>
          <w:sz w:val="20"/>
        </w:rPr>
        <w:t>S48.0,</w:t>
      </w:r>
    </w:p>
    <w:p>
      <w:pPr>
        <w:spacing w:before="1"/>
        <w:ind w:left="4720" w:right="0" w:firstLine="0"/>
        <w:jc w:val="left"/>
        <w:rPr>
          <w:sz w:val="20"/>
        </w:rPr>
      </w:pPr>
      <w:r>
        <w:rPr>
          <w:sz w:val="20"/>
        </w:rPr>
        <w:t>S48.1,</w:t>
      </w:r>
      <w:r>
        <w:rPr>
          <w:spacing w:val="-6"/>
          <w:sz w:val="20"/>
        </w:rPr>
        <w:t> </w:t>
      </w:r>
      <w:r>
        <w:rPr>
          <w:sz w:val="20"/>
        </w:rPr>
        <w:t>S48.9,</w:t>
      </w:r>
      <w:r>
        <w:rPr>
          <w:spacing w:val="-5"/>
          <w:sz w:val="20"/>
        </w:rPr>
        <w:t> </w:t>
      </w:r>
      <w:r>
        <w:rPr>
          <w:sz w:val="20"/>
        </w:rPr>
        <w:t>S49.7,</w:t>
      </w:r>
      <w:r>
        <w:rPr>
          <w:spacing w:val="-5"/>
          <w:sz w:val="20"/>
        </w:rPr>
        <w:t> </w:t>
      </w:r>
      <w:r>
        <w:rPr>
          <w:sz w:val="20"/>
        </w:rPr>
        <w:t>S49.8,</w:t>
      </w:r>
      <w:r>
        <w:rPr>
          <w:spacing w:val="-7"/>
          <w:sz w:val="20"/>
        </w:rPr>
        <w:t> </w:t>
      </w:r>
      <w:r>
        <w:rPr>
          <w:sz w:val="20"/>
        </w:rPr>
        <w:t>S49.9,</w:t>
      </w:r>
      <w:r>
        <w:rPr>
          <w:spacing w:val="-5"/>
          <w:sz w:val="20"/>
        </w:rPr>
        <w:t> </w:t>
      </w:r>
      <w:r>
        <w:rPr>
          <w:sz w:val="20"/>
        </w:rPr>
        <w:t>S50,</w:t>
      </w:r>
      <w:r>
        <w:rPr>
          <w:spacing w:val="-5"/>
          <w:sz w:val="20"/>
        </w:rPr>
        <w:t> </w:t>
      </w:r>
      <w:r>
        <w:rPr>
          <w:spacing w:val="-2"/>
          <w:sz w:val="20"/>
        </w:rPr>
        <w:t>S50.0,</w:t>
      </w:r>
    </w:p>
    <w:p>
      <w:pPr>
        <w:spacing w:line="229" w:lineRule="exact" w:before="1"/>
        <w:ind w:left="1159" w:right="4154" w:firstLine="0"/>
        <w:jc w:val="center"/>
        <w:rPr>
          <w:sz w:val="20"/>
        </w:rPr>
      </w:pPr>
      <w:r>
        <w:rPr>
          <w:sz w:val="20"/>
        </w:rPr>
        <w:t>S50.1,</w:t>
      </w:r>
      <w:r>
        <w:rPr>
          <w:spacing w:val="-6"/>
          <w:sz w:val="20"/>
        </w:rPr>
        <w:t> </w:t>
      </w:r>
      <w:r>
        <w:rPr>
          <w:sz w:val="20"/>
        </w:rPr>
        <w:t>S50.7,</w:t>
      </w:r>
      <w:r>
        <w:rPr>
          <w:spacing w:val="-5"/>
          <w:sz w:val="20"/>
        </w:rPr>
        <w:t> </w:t>
      </w:r>
      <w:r>
        <w:rPr>
          <w:sz w:val="20"/>
        </w:rPr>
        <w:t>S50.8,</w:t>
      </w:r>
      <w:r>
        <w:rPr>
          <w:spacing w:val="-5"/>
          <w:sz w:val="20"/>
        </w:rPr>
        <w:t> </w:t>
      </w:r>
      <w:r>
        <w:rPr>
          <w:sz w:val="20"/>
        </w:rPr>
        <w:t>S50.9,</w:t>
      </w:r>
      <w:r>
        <w:rPr>
          <w:spacing w:val="-7"/>
          <w:sz w:val="20"/>
        </w:rPr>
        <w:t> </w:t>
      </w:r>
      <w:r>
        <w:rPr>
          <w:sz w:val="20"/>
        </w:rPr>
        <w:t>S51,</w:t>
      </w:r>
      <w:r>
        <w:rPr>
          <w:spacing w:val="-5"/>
          <w:sz w:val="20"/>
        </w:rPr>
        <w:t> </w:t>
      </w:r>
      <w:r>
        <w:rPr>
          <w:sz w:val="20"/>
        </w:rPr>
        <w:t>S51.0,</w:t>
      </w:r>
      <w:r>
        <w:rPr>
          <w:spacing w:val="-5"/>
          <w:sz w:val="20"/>
        </w:rPr>
        <w:t> </w:t>
      </w:r>
      <w:r>
        <w:rPr>
          <w:spacing w:val="-2"/>
          <w:sz w:val="20"/>
        </w:rPr>
        <w:t>S51.7,</w:t>
      </w:r>
    </w:p>
    <w:p>
      <w:pPr>
        <w:spacing w:before="0"/>
        <w:ind w:left="4619" w:right="7613" w:firstLine="2"/>
        <w:jc w:val="center"/>
        <w:rPr>
          <w:sz w:val="20"/>
        </w:rPr>
      </w:pPr>
      <w:r>
        <w:rPr>
          <w:sz w:val="20"/>
        </w:rPr>
        <w:t>S51.8,</w:t>
      </w:r>
      <w:r>
        <w:rPr>
          <w:spacing w:val="-6"/>
          <w:sz w:val="20"/>
        </w:rPr>
        <w:t> </w:t>
      </w:r>
      <w:r>
        <w:rPr>
          <w:sz w:val="20"/>
        </w:rPr>
        <w:t>S51.9,</w:t>
      </w:r>
      <w:r>
        <w:rPr>
          <w:spacing w:val="-6"/>
          <w:sz w:val="20"/>
        </w:rPr>
        <w:t> </w:t>
      </w:r>
      <w:r>
        <w:rPr>
          <w:sz w:val="20"/>
        </w:rPr>
        <w:t>S52,</w:t>
      </w:r>
      <w:r>
        <w:rPr>
          <w:spacing w:val="-6"/>
          <w:sz w:val="20"/>
        </w:rPr>
        <w:t> </w:t>
      </w:r>
      <w:r>
        <w:rPr>
          <w:sz w:val="20"/>
        </w:rPr>
        <w:t>S52.0,</w:t>
      </w:r>
      <w:r>
        <w:rPr>
          <w:spacing w:val="-6"/>
          <w:sz w:val="20"/>
        </w:rPr>
        <w:t> </w:t>
      </w:r>
      <w:r>
        <w:rPr>
          <w:sz w:val="20"/>
        </w:rPr>
        <w:t>S52.00,</w:t>
      </w:r>
      <w:r>
        <w:rPr>
          <w:spacing w:val="-6"/>
          <w:sz w:val="20"/>
        </w:rPr>
        <w:t> </w:t>
      </w:r>
      <w:r>
        <w:rPr>
          <w:sz w:val="20"/>
        </w:rPr>
        <w:t>S52.01,</w:t>
      </w:r>
      <w:r>
        <w:rPr>
          <w:spacing w:val="-6"/>
          <w:sz w:val="20"/>
        </w:rPr>
        <w:t> </w:t>
      </w:r>
      <w:r>
        <w:rPr>
          <w:sz w:val="20"/>
        </w:rPr>
        <w:t>S52.1, S52.10, S52.11, S52.2, S52.20, S52.21, S52.3, S52.30, S52.31, S52.4, S52.40, S52.41, S52.5, S52.50, S52.51, S52.6, S52.60, S52.61, S52.7, S52.70, S52.71, S52.8, S52.80, S52.81, S52.9, S52.90,</w:t>
      </w:r>
      <w:r>
        <w:rPr>
          <w:spacing w:val="-5"/>
          <w:sz w:val="20"/>
        </w:rPr>
        <w:t> </w:t>
      </w:r>
      <w:r>
        <w:rPr>
          <w:sz w:val="20"/>
        </w:rPr>
        <w:t>S52.91,</w:t>
      </w:r>
      <w:r>
        <w:rPr>
          <w:spacing w:val="-5"/>
          <w:sz w:val="20"/>
        </w:rPr>
        <w:t> </w:t>
      </w:r>
      <w:r>
        <w:rPr>
          <w:sz w:val="20"/>
        </w:rPr>
        <w:t>S53,</w:t>
      </w:r>
      <w:r>
        <w:rPr>
          <w:spacing w:val="-7"/>
          <w:sz w:val="20"/>
        </w:rPr>
        <w:t> </w:t>
      </w:r>
      <w:r>
        <w:rPr>
          <w:sz w:val="20"/>
        </w:rPr>
        <w:t>S53.0,</w:t>
      </w:r>
      <w:r>
        <w:rPr>
          <w:spacing w:val="-5"/>
          <w:sz w:val="20"/>
        </w:rPr>
        <w:t> </w:t>
      </w:r>
      <w:r>
        <w:rPr>
          <w:sz w:val="20"/>
        </w:rPr>
        <w:t>S53.1,</w:t>
      </w:r>
      <w:r>
        <w:rPr>
          <w:spacing w:val="-5"/>
          <w:sz w:val="20"/>
        </w:rPr>
        <w:t> </w:t>
      </w:r>
      <w:r>
        <w:rPr>
          <w:sz w:val="20"/>
        </w:rPr>
        <w:t>S53.2,</w:t>
      </w:r>
      <w:r>
        <w:rPr>
          <w:spacing w:val="-7"/>
          <w:sz w:val="20"/>
        </w:rPr>
        <w:t> </w:t>
      </w:r>
      <w:r>
        <w:rPr>
          <w:sz w:val="20"/>
        </w:rPr>
        <w:t>S53.3,</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S53.4,</w:t>
      </w:r>
      <w:r>
        <w:rPr>
          <w:spacing w:val="-6"/>
          <w:sz w:val="20"/>
        </w:rPr>
        <w:t> </w:t>
      </w:r>
      <w:r>
        <w:rPr>
          <w:sz w:val="20"/>
        </w:rPr>
        <w:t>S55,</w:t>
      </w:r>
      <w:r>
        <w:rPr>
          <w:spacing w:val="-6"/>
          <w:sz w:val="20"/>
        </w:rPr>
        <w:t> </w:t>
      </w:r>
      <w:r>
        <w:rPr>
          <w:sz w:val="20"/>
        </w:rPr>
        <w:t>S55.0,</w:t>
      </w:r>
      <w:r>
        <w:rPr>
          <w:spacing w:val="-5"/>
          <w:sz w:val="20"/>
        </w:rPr>
        <w:t> </w:t>
      </w:r>
      <w:r>
        <w:rPr>
          <w:sz w:val="20"/>
        </w:rPr>
        <w:t>S55.1,</w:t>
      </w:r>
      <w:r>
        <w:rPr>
          <w:spacing w:val="-6"/>
          <w:sz w:val="20"/>
        </w:rPr>
        <w:t> </w:t>
      </w:r>
      <w:r>
        <w:rPr>
          <w:sz w:val="20"/>
        </w:rPr>
        <w:t>S55.2,</w:t>
      </w:r>
      <w:r>
        <w:rPr>
          <w:spacing w:val="-5"/>
          <w:sz w:val="20"/>
        </w:rPr>
        <w:t> </w:t>
      </w:r>
      <w:r>
        <w:rPr>
          <w:sz w:val="20"/>
        </w:rPr>
        <w:t>S55.7,</w:t>
      </w:r>
      <w:r>
        <w:rPr>
          <w:spacing w:val="-6"/>
          <w:sz w:val="20"/>
        </w:rPr>
        <w:t> </w:t>
      </w:r>
      <w:r>
        <w:rPr>
          <w:spacing w:val="-2"/>
          <w:sz w:val="20"/>
        </w:rPr>
        <w:t>S55.8,</w:t>
      </w:r>
    </w:p>
    <w:p>
      <w:pPr>
        <w:spacing w:line="229" w:lineRule="exact" w:before="1"/>
        <w:ind w:left="1159" w:right="4154" w:firstLine="0"/>
        <w:jc w:val="center"/>
        <w:rPr>
          <w:sz w:val="20"/>
        </w:rPr>
      </w:pPr>
      <w:r>
        <w:rPr>
          <w:sz w:val="20"/>
        </w:rPr>
        <w:t>S55.9,</w:t>
      </w:r>
      <w:r>
        <w:rPr>
          <w:spacing w:val="-6"/>
          <w:sz w:val="20"/>
        </w:rPr>
        <w:t> </w:t>
      </w:r>
      <w:r>
        <w:rPr>
          <w:sz w:val="20"/>
        </w:rPr>
        <w:t>S56,</w:t>
      </w:r>
      <w:r>
        <w:rPr>
          <w:spacing w:val="-6"/>
          <w:sz w:val="20"/>
        </w:rPr>
        <w:t> </w:t>
      </w:r>
      <w:r>
        <w:rPr>
          <w:sz w:val="20"/>
        </w:rPr>
        <w:t>S56.0,</w:t>
      </w:r>
      <w:r>
        <w:rPr>
          <w:spacing w:val="-5"/>
          <w:sz w:val="20"/>
        </w:rPr>
        <w:t> </w:t>
      </w:r>
      <w:r>
        <w:rPr>
          <w:sz w:val="20"/>
        </w:rPr>
        <w:t>S56.1,</w:t>
      </w:r>
      <w:r>
        <w:rPr>
          <w:spacing w:val="-6"/>
          <w:sz w:val="20"/>
        </w:rPr>
        <w:t> </w:t>
      </w:r>
      <w:r>
        <w:rPr>
          <w:sz w:val="20"/>
        </w:rPr>
        <w:t>S56.2,</w:t>
      </w:r>
      <w:r>
        <w:rPr>
          <w:spacing w:val="-5"/>
          <w:sz w:val="20"/>
        </w:rPr>
        <w:t> </w:t>
      </w:r>
      <w:r>
        <w:rPr>
          <w:sz w:val="20"/>
        </w:rPr>
        <w:t>S56.3,</w:t>
      </w:r>
      <w:r>
        <w:rPr>
          <w:spacing w:val="-6"/>
          <w:sz w:val="20"/>
        </w:rPr>
        <w:t> </w:t>
      </w:r>
      <w:r>
        <w:rPr>
          <w:spacing w:val="-2"/>
          <w:sz w:val="20"/>
        </w:rPr>
        <w:t>S56.4,</w:t>
      </w:r>
    </w:p>
    <w:p>
      <w:pPr>
        <w:spacing w:line="229" w:lineRule="exact" w:before="0"/>
        <w:ind w:left="1159" w:right="4154" w:firstLine="0"/>
        <w:jc w:val="center"/>
        <w:rPr>
          <w:sz w:val="20"/>
        </w:rPr>
      </w:pPr>
      <w:r>
        <w:rPr>
          <w:sz w:val="20"/>
        </w:rPr>
        <w:t>S56.5,</w:t>
      </w:r>
      <w:r>
        <w:rPr>
          <w:spacing w:val="-6"/>
          <w:sz w:val="20"/>
        </w:rPr>
        <w:t> </w:t>
      </w:r>
      <w:r>
        <w:rPr>
          <w:sz w:val="20"/>
        </w:rPr>
        <w:t>S56.7,</w:t>
      </w:r>
      <w:r>
        <w:rPr>
          <w:spacing w:val="-6"/>
          <w:sz w:val="20"/>
        </w:rPr>
        <w:t> </w:t>
      </w:r>
      <w:r>
        <w:rPr>
          <w:sz w:val="20"/>
        </w:rPr>
        <w:t>S56.8,</w:t>
      </w:r>
      <w:r>
        <w:rPr>
          <w:spacing w:val="-5"/>
          <w:sz w:val="20"/>
        </w:rPr>
        <w:t> </w:t>
      </w:r>
      <w:r>
        <w:rPr>
          <w:sz w:val="20"/>
        </w:rPr>
        <w:t>S57,</w:t>
      </w:r>
      <w:r>
        <w:rPr>
          <w:spacing w:val="-6"/>
          <w:sz w:val="20"/>
        </w:rPr>
        <w:t> </w:t>
      </w:r>
      <w:r>
        <w:rPr>
          <w:sz w:val="20"/>
        </w:rPr>
        <w:t>S57.0,</w:t>
      </w:r>
      <w:r>
        <w:rPr>
          <w:spacing w:val="-5"/>
          <w:sz w:val="20"/>
        </w:rPr>
        <w:t> </w:t>
      </w:r>
      <w:r>
        <w:rPr>
          <w:sz w:val="20"/>
        </w:rPr>
        <w:t>S57.8,</w:t>
      </w:r>
      <w:r>
        <w:rPr>
          <w:spacing w:val="-6"/>
          <w:sz w:val="20"/>
        </w:rPr>
        <w:t> </w:t>
      </w:r>
      <w:r>
        <w:rPr>
          <w:spacing w:val="-2"/>
          <w:sz w:val="20"/>
        </w:rPr>
        <w:t>S57.9,</w:t>
      </w:r>
    </w:p>
    <w:p>
      <w:pPr>
        <w:spacing w:before="0"/>
        <w:ind w:left="1159" w:right="4154" w:firstLine="0"/>
        <w:jc w:val="center"/>
        <w:rPr>
          <w:sz w:val="20"/>
        </w:rPr>
      </w:pPr>
      <w:r>
        <w:rPr>
          <w:sz w:val="20"/>
        </w:rPr>
        <w:t>S58,</w:t>
      </w:r>
      <w:r>
        <w:rPr>
          <w:spacing w:val="-6"/>
          <w:sz w:val="20"/>
        </w:rPr>
        <w:t> </w:t>
      </w:r>
      <w:r>
        <w:rPr>
          <w:sz w:val="20"/>
        </w:rPr>
        <w:t>S58.0,</w:t>
      </w:r>
      <w:r>
        <w:rPr>
          <w:spacing w:val="-6"/>
          <w:sz w:val="20"/>
        </w:rPr>
        <w:t> </w:t>
      </w:r>
      <w:r>
        <w:rPr>
          <w:sz w:val="20"/>
        </w:rPr>
        <w:t>S58.1,</w:t>
      </w:r>
      <w:r>
        <w:rPr>
          <w:spacing w:val="-5"/>
          <w:sz w:val="20"/>
        </w:rPr>
        <w:t> </w:t>
      </w:r>
      <w:r>
        <w:rPr>
          <w:sz w:val="20"/>
        </w:rPr>
        <w:t>S58.9,</w:t>
      </w:r>
      <w:r>
        <w:rPr>
          <w:spacing w:val="-6"/>
          <w:sz w:val="20"/>
        </w:rPr>
        <w:t> </w:t>
      </w:r>
      <w:r>
        <w:rPr>
          <w:sz w:val="20"/>
        </w:rPr>
        <w:t>S59.7,</w:t>
      </w:r>
      <w:r>
        <w:rPr>
          <w:spacing w:val="-5"/>
          <w:sz w:val="20"/>
        </w:rPr>
        <w:t> </w:t>
      </w:r>
      <w:r>
        <w:rPr>
          <w:sz w:val="20"/>
        </w:rPr>
        <w:t>S59.8,</w:t>
      </w:r>
      <w:r>
        <w:rPr>
          <w:spacing w:val="-6"/>
          <w:sz w:val="20"/>
        </w:rPr>
        <w:t> </w:t>
      </w:r>
      <w:r>
        <w:rPr>
          <w:spacing w:val="-2"/>
          <w:sz w:val="20"/>
        </w:rPr>
        <w:t>S59.9,</w:t>
      </w:r>
    </w:p>
    <w:p>
      <w:pPr>
        <w:spacing w:before="1"/>
        <w:ind w:left="1159" w:right="4154" w:firstLine="0"/>
        <w:jc w:val="center"/>
        <w:rPr>
          <w:sz w:val="20"/>
        </w:rPr>
      </w:pPr>
      <w:r>
        <w:rPr>
          <w:sz w:val="20"/>
        </w:rPr>
        <w:t>S60,</w:t>
      </w:r>
      <w:r>
        <w:rPr>
          <w:spacing w:val="-6"/>
          <w:sz w:val="20"/>
        </w:rPr>
        <w:t> </w:t>
      </w:r>
      <w:r>
        <w:rPr>
          <w:sz w:val="20"/>
        </w:rPr>
        <w:t>S60.0,</w:t>
      </w:r>
      <w:r>
        <w:rPr>
          <w:spacing w:val="-6"/>
          <w:sz w:val="20"/>
        </w:rPr>
        <w:t> </w:t>
      </w:r>
      <w:r>
        <w:rPr>
          <w:sz w:val="20"/>
        </w:rPr>
        <w:t>S60.1,</w:t>
      </w:r>
      <w:r>
        <w:rPr>
          <w:spacing w:val="-5"/>
          <w:sz w:val="20"/>
        </w:rPr>
        <w:t> </w:t>
      </w:r>
      <w:r>
        <w:rPr>
          <w:sz w:val="20"/>
        </w:rPr>
        <w:t>S60.2,</w:t>
      </w:r>
      <w:r>
        <w:rPr>
          <w:spacing w:val="-6"/>
          <w:sz w:val="20"/>
        </w:rPr>
        <w:t> </w:t>
      </w:r>
      <w:r>
        <w:rPr>
          <w:sz w:val="20"/>
        </w:rPr>
        <w:t>S60.7,</w:t>
      </w:r>
      <w:r>
        <w:rPr>
          <w:spacing w:val="-5"/>
          <w:sz w:val="20"/>
        </w:rPr>
        <w:t> </w:t>
      </w:r>
      <w:r>
        <w:rPr>
          <w:sz w:val="20"/>
        </w:rPr>
        <w:t>S60.8,</w:t>
      </w:r>
      <w:r>
        <w:rPr>
          <w:spacing w:val="-6"/>
          <w:sz w:val="20"/>
        </w:rPr>
        <w:t> </w:t>
      </w:r>
      <w:r>
        <w:rPr>
          <w:spacing w:val="-2"/>
          <w:sz w:val="20"/>
        </w:rPr>
        <w:t>S60.9,</w:t>
      </w:r>
    </w:p>
    <w:p>
      <w:pPr>
        <w:spacing w:before="0"/>
        <w:ind w:left="4566" w:right="7562" w:firstLine="0"/>
        <w:jc w:val="center"/>
        <w:rPr>
          <w:sz w:val="20"/>
        </w:rPr>
      </w:pPr>
      <w:r>
        <w:rPr>
          <w:sz w:val="20"/>
        </w:rPr>
        <w:t>S61, S61.0, S61.1, S61.7, S61.8, S61.9, S62, S62.0, S62.00, S62.01, S62.1, S62.10, S62.11, S62.2, S62.20, S62.21, S62.3, S62.30, S62.31, S62.4, S62.40, S62.41, S62.5, S62.50, S62.51, S62.6, S62.60, S62.61, S62.7, S62.70, S62.71, S62.8,</w:t>
      </w:r>
      <w:r>
        <w:rPr>
          <w:spacing w:val="-5"/>
          <w:sz w:val="20"/>
        </w:rPr>
        <w:t> </w:t>
      </w:r>
      <w:r>
        <w:rPr>
          <w:sz w:val="20"/>
        </w:rPr>
        <w:t>S62.80,</w:t>
      </w:r>
      <w:r>
        <w:rPr>
          <w:spacing w:val="-7"/>
          <w:sz w:val="20"/>
        </w:rPr>
        <w:t> </w:t>
      </w:r>
      <w:r>
        <w:rPr>
          <w:sz w:val="20"/>
        </w:rPr>
        <w:t>S62.81,</w:t>
      </w:r>
      <w:r>
        <w:rPr>
          <w:spacing w:val="-5"/>
          <w:sz w:val="20"/>
        </w:rPr>
        <w:t> </w:t>
      </w:r>
      <w:r>
        <w:rPr>
          <w:sz w:val="20"/>
        </w:rPr>
        <w:t>S63,</w:t>
      </w:r>
      <w:r>
        <w:rPr>
          <w:spacing w:val="-5"/>
          <w:sz w:val="20"/>
        </w:rPr>
        <w:t> </w:t>
      </w:r>
      <w:r>
        <w:rPr>
          <w:sz w:val="20"/>
        </w:rPr>
        <w:t>S63.0,</w:t>
      </w:r>
      <w:r>
        <w:rPr>
          <w:spacing w:val="-5"/>
          <w:sz w:val="20"/>
        </w:rPr>
        <w:t> </w:t>
      </w:r>
      <w:r>
        <w:rPr>
          <w:sz w:val="20"/>
        </w:rPr>
        <w:t>S63.1,</w:t>
      </w:r>
      <w:r>
        <w:rPr>
          <w:spacing w:val="-7"/>
          <w:sz w:val="20"/>
        </w:rPr>
        <w:t> </w:t>
      </w:r>
      <w:r>
        <w:rPr>
          <w:sz w:val="20"/>
        </w:rPr>
        <w:t>S63.2,</w:t>
      </w:r>
    </w:p>
    <w:p>
      <w:pPr>
        <w:spacing w:before="1"/>
        <w:ind w:left="1159" w:right="4154" w:firstLine="0"/>
        <w:jc w:val="center"/>
        <w:rPr>
          <w:sz w:val="20"/>
        </w:rPr>
      </w:pPr>
      <w:r>
        <w:rPr>
          <w:sz w:val="20"/>
        </w:rPr>
        <w:t>S63.3,</w:t>
      </w:r>
      <w:r>
        <w:rPr>
          <w:spacing w:val="-6"/>
          <w:sz w:val="20"/>
        </w:rPr>
        <w:t> </w:t>
      </w:r>
      <w:r>
        <w:rPr>
          <w:sz w:val="20"/>
        </w:rPr>
        <w:t>S63.4,</w:t>
      </w:r>
      <w:r>
        <w:rPr>
          <w:spacing w:val="-5"/>
          <w:sz w:val="20"/>
        </w:rPr>
        <w:t> </w:t>
      </w:r>
      <w:r>
        <w:rPr>
          <w:sz w:val="20"/>
        </w:rPr>
        <w:t>S63.5,</w:t>
      </w:r>
      <w:r>
        <w:rPr>
          <w:spacing w:val="-5"/>
          <w:sz w:val="20"/>
        </w:rPr>
        <w:t> </w:t>
      </w:r>
      <w:r>
        <w:rPr>
          <w:sz w:val="20"/>
        </w:rPr>
        <w:t>S63.6,</w:t>
      </w:r>
      <w:r>
        <w:rPr>
          <w:spacing w:val="-7"/>
          <w:sz w:val="20"/>
        </w:rPr>
        <w:t> </w:t>
      </w:r>
      <w:r>
        <w:rPr>
          <w:sz w:val="20"/>
        </w:rPr>
        <w:t>S63.7,</w:t>
      </w:r>
      <w:r>
        <w:rPr>
          <w:spacing w:val="-5"/>
          <w:sz w:val="20"/>
        </w:rPr>
        <w:t> </w:t>
      </w:r>
      <w:r>
        <w:rPr>
          <w:sz w:val="20"/>
        </w:rPr>
        <w:t>S65,</w:t>
      </w:r>
      <w:r>
        <w:rPr>
          <w:spacing w:val="-5"/>
          <w:sz w:val="20"/>
        </w:rPr>
        <w:t> </w:t>
      </w:r>
      <w:r>
        <w:rPr>
          <w:spacing w:val="-2"/>
          <w:sz w:val="20"/>
        </w:rPr>
        <w:t>S65.0,</w:t>
      </w:r>
    </w:p>
    <w:p>
      <w:pPr>
        <w:spacing w:before="0"/>
        <w:ind w:left="1161" w:right="4154" w:firstLine="0"/>
        <w:jc w:val="center"/>
        <w:rPr>
          <w:sz w:val="20"/>
        </w:rPr>
      </w:pPr>
      <w:r>
        <w:rPr>
          <w:sz w:val="20"/>
        </w:rPr>
        <w:t>S65.1,</w:t>
      </w:r>
      <w:r>
        <w:rPr>
          <w:spacing w:val="-6"/>
          <w:sz w:val="20"/>
        </w:rPr>
        <w:t> </w:t>
      </w:r>
      <w:r>
        <w:rPr>
          <w:sz w:val="20"/>
        </w:rPr>
        <w:t>S65.2,</w:t>
      </w:r>
      <w:r>
        <w:rPr>
          <w:spacing w:val="-5"/>
          <w:sz w:val="20"/>
        </w:rPr>
        <w:t> </w:t>
      </w:r>
      <w:r>
        <w:rPr>
          <w:sz w:val="20"/>
        </w:rPr>
        <w:t>S65.3,</w:t>
      </w:r>
      <w:r>
        <w:rPr>
          <w:spacing w:val="-5"/>
          <w:sz w:val="20"/>
        </w:rPr>
        <w:t> </w:t>
      </w:r>
      <w:r>
        <w:rPr>
          <w:sz w:val="20"/>
        </w:rPr>
        <w:t>S65.4,</w:t>
      </w:r>
      <w:r>
        <w:rPr>
          <w:spacing w:val="-7"/>
          <w:sz w:val="20"/>
        </w:rPr>
        <w:t> </w:t>
      </w:r>
      <w:r>
        <w:rPr>
          <w:sz w:val="20"/>
        </w:rPr>
        <w:t>S65.5,</w:t>
      </w:r>
      <w:r>
        <w:rPr>
          <w:spacing w:val="-5"/>
          <w:sz w:val="20"/>
        </w:rPr>
        <w:t> </w:t>
      </w:r>
      <w:r>
        <w:rPr>
          <w:sz w:val="20"/>
        </w:rPr>
        <w:t>S65.7,</w:t>
      </w:r>
      <w:r>
        <w:rPr>
          <w:spacing w:val="-5"/>
          <w:sz w:val="20"/>
        </w:rPr>
        <w:t> </w:t>
      </w:r>
      <w:r>
        <w:rPr>
          <w:spacing w:val="-2"/>
          <w:sz w:val="20"/>
        </w:rPr>
        <w:t>S65.8,</w:t>
      </w:r>
    </w:p>
    <w:p>
      <w:pPr>
        <w:spacing w:line="229" w:lineRule="exact" w:before="1"/>
        <w:ind w:left="1165" w:right="4154" w:firstLine="0"/>
        <w:jc w:val="center"/>
        <w:rPr>
          <w:sz w:val="20"/>
        </w:rPr>
      </w:pPr>
      <w:r>
        <w:rPr>
          <w:sz w:val="20"/>
        </w:rPr>
        <w:t>S65.9,</w:t>
      </w:r>
      <w:r>
        <w:rPr>
          <w:spacing w:val="-6"/>
          <w:sz w:val="20"/>
        </w:rPr>
        <w:t> </w:t>
      </w:r>
      <w:r>
        <w:rPr>
          <w:sz w:val="20"/>
        </w:rPr>
        <w:t>S66,</w:t>
      </w:r>
      <w:r>
        <w:rPr>
          <w:spacing w:val="-6"/>
          <w:sz w:val="20"/>
        </w:rPr>
        <w:t> </w:t>
      </w:r>
      <w:r>
        <w:rPr>
          <w:sz w:val="20"/>
        </w:rPr>
        <w:t>S66.0,</w:t>
      </w:r>
      <w:r>
        <w:rPr>
          <w:spacing w:val="-5"/>
          <w:sz w:val="20"/>
        </w:rPr>
        <w:t> </w:t>
      </w:r>
      <w:r>
        <w:rPr>
          <w:sz w:val="20"/>
        </w:rPr>
        <w:t>S66.1,</w:t>
      </w:r>
      <w:r>
        <w:rPr>
          <w:spacing w:val="-6"/>
          <w:sz w:val="20"/>
        </w:rPr>
        <w:t> </w:t>
      </w:r>
      <w:r>
        <w:rPr>
          <w:sz w:val="20"/>
        </w:rPr>
        <w:t>S66.2,</w:t>
      </w:r>
      <w:r>
        <w:rPr>
          <w:spacing w:val="-5"/>
          <w:sz w:val="20"/>
        </w:rPr>
        <w:t> </w:t>
      </w:r>
      <w:r>
        <w:rPr>
          <w:sz w:val="20"/>
        </w:rPr>
        <w:t>S66.3,</w:t>
      </w:r>
      <w:r>
        <w:rPr>
          <w:spacing w:val="-6"/>
          <w:sz w:val="20"/>
        </w:rPr>
        <w:t> </w:t>
      </w:r>
      <w:r>
        <w:rPr>
          <w:spacing w:val="-2"/>
          <w:sz w:val="20"/>
        </w:rPr>
        <w:t>S66.4,</w:t>
      </w:r>
    </w:p>
    <w:p>
      <w:pPr>
        <w:spacing w:line="229" w:lineRule="exact" w:before="0"/>
        <w:ind w:left="1159" w:right="4154" w:firstLine="0"/>
        <w:jc w:val="center"/>
        <w:rPr>
          <w:sz w:val="20"/>
        </w:rPr>
      </w:pPr>
      <w:r>
        <w:rPr>
          <w:sz w:val="20"/>
        </w:rPr>
        <w:t>S66.5,</w:t>
      </w:r>
      <w:r>
        <w:rPr>
          <w:spacing w:val="-6"/>
          <w:sz w:val="20"/>
        </w:rPr>
        <w:t> </w:t>
      </w:r>
      <w:r>
        <w:rPr>
          <w:sz w:val="20"/>
        </w:rPr>
        <w:t>S66.6,</w:t>
      </w:r>
      <w:r>
        <w:rPr>
          <w:spacing w:val="-5"/>
          <w:sz w:val="20"/>
        </w:rPr>
        <w:t> </w:t>
      </w:r>
      <w:r>
        <w:rPr>
          <w:sz w:val="20"/>
        </w:rPr>
        <w:t>S66.7,</w:t>
      </w:r>
      <w:r>
        <w:rPr>
          <w:spacing w:val="-5"/>
          <w:sz w:val="20"/>
        </w:rPr>
        <w:t> </w:t>
      </w:r>
      <w:r>
        <w:rPr>
          <w:sz w:val="20"/>
        </w:rPr>
        <w:t>S66.8,</w:t>
      </w:r>
      <w:r>
        <w:rPr>
          <w:spacing w:val="-7"/>
          <w:sz w:val="20"/>
        </w:rPr>
        <w:t> </w:t>
      </w:r>
      <w:r>
        <w:rPr>
          <w:sz w:val="20"/>
        </w:rPr>
        <w:t>S66.9,</w:t>
      </w:r>
      <w:r>
        <w:rPr>
          <w:spacing w:val="-5"/>
          <w:sz w:val="20"/>
        </w:rPr>
        <w:t> </w:t>
      </w:r>
      <w:r>
        <w:rPr>
          <w:sz w:val="20"/>
        </w:rPr>
        <w:t>S67,</w:t>
      </w:r>
      <w:r>
        <w:rPr>
          <w:spacing w:val="-5"/>
          <w:sz w:val="20"/>
        </w:rPr>
        <w:t> </w:t>
      </w:r>
      <w:r>
        <w:rPr>
          <w:spacing w:val="-2"/>
          <w:sz w:val="20"/>
        </w:rPr>
        <w:t>S67.0,</w:t>
      </w:r>
    </w:p>
    <w:p>
      <w:pPr>
        <w:spacing w:before="0"/>
        <w:ind w:left="1159" w:right="4154" w:firstLine="0"/>
        <w:jc w:val="center"/>
        <w:rPr>
          <w:sz w:val="20"/>
        </w:rPr>
      </w:pPr>
      <w:r>
        <w:rPr>
          <w:sz w:val="20"/>
        </w:rPr>
        <w:t>S67.8,</w:t>
      </w:r>
      <w:r>
        <w:rPr>
          <w:spacing w:val="-6"/>
          <w:sz w:val="20"/>
        </w:rPr>
        <w:t> </w:t>
      </w:r>
      <w:r>
        <w:rPr>
          <w:sz w:val="20"/>
        </w:rPr>
        <w:t>S68,</w:t>
      </w:r>
      <w:r>
        <w:rPr>
          <w:spacing w:val="-6"/>
          <w:sz w:val="20"/>
        </w:rPr>
        <w:t> </w:t>
      </w:r>
      <w:r>
        <w:rPr>
          <w:sz w:val="20"/>
        </w:rPr>
        <w:t>S68.0,</w:t>
      </w:r>
      <w:r>
        <w:rPr>
          <w:spacing w:val="-5"/>
          <w:sz w:val="20"/>
        </w:rPr>
        <w:t> </w:t>
      </w:r>
      <w:r>
        <w:rPr>
          <w:sz w:val="20"/>
        </w:rPr>
        <w:t>S68.1,</w:t>
      </w:r>
      <w:r>
        <w:rPr>
          <w:spacing w:val="-6"/>
          <w:sz w:val="20"/>
        </w:rPr>
        <w:t> </w:t>
      </w:r>
      <w:r>
        <w:rPr>
          <w:sz w:val="20"/>
        </w:rPr>
        <w:t>S68.2,</w:t>
      </w:r>
      <w:r>
        <w:rPr>
          <w:spacing w:val="-5"/>
          <w:sz w:val="20"/>
        </w:rPr>
        <w:t> </w:t>
      </w:r>
      <w:r>
        <w:rPr>
          <w:sz w:val="20"/>
        </w:rPr>
        <w:t>S68.3,</w:t>
      </w:r>
      <w:r>
        <w:rPr>
          <w:spacing w:val="-6"/>
          <w:sz w:val="20"/>
        </w:rPr>
        <w:t> </w:t>
      </w:r>
      <w:r>
        <w:rPr>
          <w:spacing w:val="-2"/>
          <w:sz w:val="20"/>
        </w:rPr>
        <w:t>S68.4,</w:t>
      </w:r>
    </w:p>
    <w:p>
      <w:pPr>
        <w:spacing w:before="0"/>
        <w:ind w:left="1159" w:right="4154" w:firstLine="0"/>
        <w:jc w:val="center"/>
        <w:rPr>
          <w:sz w:val="20"/>
        </w:rPr>
      </w:pPr>
      <w:r>
        <w:rPr>
          <w:sz w:val="20"/>
        </w:rPr>
        <w:t>S68.8,</w:t>
      </w:r>
      <w:r>
        <w:rPr>
          <w:spacing w:val="-6"/>
          <w:sz w:val="20"/>
        </w:rPr>
        <w:t> </w:t>
      </w:r>
      <w:r>
        <w:rPr>
          <w:sz w:val="20"/>
        </w:rPr>
        <w:t>S68.9,</w:t>
      </w:r>
      <w:r>
        <w:rPr>
          <w:spacing w:val="-5"/>
          <w:sz w:val="20"/>
        </w:rPr>
        <w:t> </w:t>
      </w:r>
      <w:r>
        <w:rPr>
          <w:sz w:val="20"/>
        </w:rPr>
        <w:t>S69.7,</w:t>
      </w:r>
      <w:r>
        <w:rPr>
          <w:spacing w:val="-5"/>
          <w:sz w:val="20"/>
        </w:rPr>
        <w:t> </w:t>
      </w:r>
      <w:r>
        <w:rPr>
          <w:sz w:val="20"/>
        </w:rPr>
        <w:t>S69.8,</w:t>
      </w:r>
      <w:r>
        <w:rPr>
          <w:spacing w:val="-7"/>
          <w:sz w:val="20"/>
        </w:rPr>
        <w:t> </w:t>
      </w:r>
      <w:r>
        <w:rPr>
          <w:sz w:val="20"/>
        </w:rPr>
        <w:t>S69.9,</w:t>
      </w:r>
      <w:r>
        <w:rPr>
          <w:spacing w:val="-5"/>
          <w:sz w:val="20"/>
        </w:rPr>
        <w:t> </w:t>
      </w:r>
      <w:r>
        <w:rPr>
          <w:sz w:val="20"/>
        </w:rPr>
        <w:t>S70,</w:t>
      </w:r>
      <w:r>
        <w:rPr>
          <w:spacing w:val="-5"/>
          <w:sz w:val="20"/>
        </w:rPr>
        <w:t> </w:t>
      </w:r>
      <w:r>
        <w:rPr>
          <w:spacing w:val="-2"/>
          <w:sz w:val="20"/>
        </w:rPr>
        <w:t>S70.0,</w:t>
      </w:r>
    </w:p>
    <w:p>
      <w:pPr>
        <w:spacing w:before="1"/>
        <w:ind w:left="1159" w:right="4154" w:firstLine="0"/>
        <w:jc w:val="center"/>
        <w:rPr>
          <w:sz w:val="20"/>
        </w:rPr>
      </w:pPr>
      <w:r>
        <w:rPr>
          <w:sz w:val="20"/>
        </w:rPr>
        <w:t>S70.1,</w:t>
      </w:r>
      <w:r>
        <w:rPr>
          <w:spacing w:val="-6"/>
          <w:sz w:val="20"/>
        </w:rPr>
        <w:t> </w:t>
      </w:r>
      <w:r>
        <w:rPr>
          <w:sz w:val="20"/>
        </w:rPr>
        <w:t>S70.7,</w:t>
      </w:r>
      <w:r>
        <w:rPr>
          <w:spacing w:val="-5"/>
          <w:sz w:val="20"/>
        </w:rPr>
        <w:t> </w:t>
      </w:r>
      <w:r>
        <w:rPr>
          <w:sz w:val="20"/>
        </w:rPr>
        <w:t>S70.8,</w:t>
      </w:r>
      <w:r>
        <w:rPr>
          <w:spacing w:val="-5"/>
          <w:sz w:val="20"/>
        </w:rPr>
        <w:t> </w:t>
      </w:r>
      <w:r>
        <w:rPr>
          <w:sz w:val="20"/>
        </w:rPr>
        <w:t>S70.9,</w:t>
      </w:r>
      <w:r>
        <w:rPr>
          <w:spacing w:val="-7"/>
          <w:sz w:val="20"/>
        </w:rPr>
        <w:t> </w:t>
      </w:r>
      <w:r>
        <w:rPr>
          <w:sz w:val="20"/>
        </w:rPr>
        <w:t>S71,</w:t>
      </w:r>
      <w:r>
        <w:rPr>
          <w:spacing w:val="-5"/>
          <w:sz w:val="20"/>
        </w:rPr>
        <w:t> </w:t>
      </w:r>
      <w:r>
        <w:rPr>
          <w:sz w:val="20"/>
        </w:rPr>
        <w:t>S71.0,</w:t>
      </w:r>
      <w:r>
        <w:rPr>
          <w:spacing w:val="-5"/>
          <w:sz w:val="20"/>
        </w:rPr>
        <w:t> </w:t>
      </w:r>
      <w:r>
        <w:rPr>
          <w:spacing w:val="-2"/>
          <w:sz w:val="20"/>
        </w:rPr>
        <w:t>S71.1,</w:t>
      </w:r>
    </w:p>
    <w:p>
      <w:pPr>
        <w:spacing w:before="1"/>
        <w:ind w:left="4566" w:right="7562" w:firstLine="0"/>
        <w:jc w:val="center"/>
        <w:rPr>
          <w:sz w:val="20"/>
        </w:rPr>
      </w:pPr>
      <w:r>
        <w:rPr>
          <w:sz w:val="20"/>
        </w:rPr>
        <w:t>S71.7, S71.8, S72.0, S72.00, S72.01, S72.1, S72.10, S72.11, S72.2, S72.20, S72.21, S72.3, S72.30, S72.31, S72.4, S72.40, S72.41, S72.7, S72.70, S72.71, S72.8, S72.80, S72.81, S72.9, S72.90,</w:t>
      </w:r>
      <w:r>
        <w:rPr>
          <w:spacing w:val="-5"/>
          <w:sz w:val="20"/>
        </w:rPr>
        <w:t> </w:t>
      </w:r>
      <w:r>
        <w:rPr>
          <w:sz w:val="20"/>
        </w:rPr>
        <w:t>S72.91,</w:t>
      </w:r>
      <w:r>
        <w:rPr>
          <w:spacing w:val="-5"/>
          <w:sz w:val="20"/>
        </w:rPr>
        <w:t> </w:t>
      </w:r>
      <w:r>
        <w:rPr>
          <w:sz w:val="20"/>
        </w:rPr>
        <w:t>S73,</w:t>
      </w:r>
      <w:r>
        <w:rPr>
          <w:spacing w:val="-7"/>
          <w:sz w:val="20"/>
        </w:rPr>
        <w:t> </w:t>
      </w:r>
      <w:r>
        <w:rPr>
          <w:sz w:val="20"/>
        </w:rPr>
        <w:t>S73.0,</w:t>
      </w:r>
      <w:r>
        <w:rPr>
          <w:spacing w:val="-5"/>
          <w:sz w:val="20"/>
        </w:rPr>
        <w:t> </w:t>
      </w:r>
      <w:r>
        <w:rPr>
          <w:sz w:val="20"/>
        </w:rPr>
        <w:t>S73.1,</w:t>
      </w:r>
      <w:r>
        <w:rPr>
          <w:spacing w:val="-5"/>
          <w:sz w:val="20"/>
        </w:rPr>
        <w:t> </w:t>
      </w:r>
      <w:r>
        <w:rPr>
          <w:sz w:val="20"/>
        </w:rPr>
        <w:t>S75,</w:t>
      </w:r>
      <w:r>
        <w:rPr>
          <w:spacing w:val="-5"/>
          <w:sz w:val="20"/>
        </w:rPr>
        <w:t> </w:t>
      </w:r>
      <w:r>
        <w:rPr>
          <w:sz w:val="20"/>
        </w:rPr>
        <w:t>S75.0, S75.1, S75.2, S75.7, S75.8, S75.9, S76, S76.0,</w:t>
      </w:r>
    </w:p>
    <w:p>
      <w:pPr>
        <w:spacing w:line="229" w:lineRule="exact" w:before="0"/>
        <w:ind w:left="1164" w:right="4154" w:firstLine="0"/>
        <w:jc w:val="center"/>
        <w:rPr>
          <w:sz w:val="20"/>
        </w:rPr>
      </w:pPr>
      <w:r>
        <w:rPr>
          <w:sz w:val="20"/>
        </w:rPr>
        <w:t>S76.1,</w:t>
      </w:r>
      <w:r>
        <w:rPr>
          <w:spacing w:val="-6"/>
          <w:sz w:val="20"/>
        </w:rPr>
        <w:t> </w:t>
      </w:r>
      <w:r>
        <w:rPr>
          <w:sz w:val="20"/>
        </w:rPr>
        <w:t>S76.2,</w:t>
      </w:r>
      <w:r>
        <w:rPr>
          <w:spacing w:val="-5"/>
          <w:sz w:val="20"/>
        </w:rPr>
        <w:t> </w:t>
      </w:r>
      <w:r>
        <w:rPr>
          <w:sz w:val="20"/>
        </w:rPr>
        <w:t>S76.3,</w:t>
      </w:r>
      <w:r>
        <w:rPr>
          <w:spacing w:val="-5"/>
          <w:sz w:val="20"/>
        </w:rPr>
        <w:t> </w:t>
      </w:r>
      <w:r>
        <w:rPr>
          <w:sz w:val="20"/>
        </w:rPr>
        <w:t>S76.4,</w:t>
      </w:r>
      <w:r>
        <w:rPr>
          <w:spacing w:val="-7"/>
          <w:sz w:val="20"/>
        </w:rPr>
        <w:t> </w:t>
      </w:r>
      <w:r>
        <w:rPr>
          <w:sz w:val="20"/>
        </w:rPr>
        <w:t>S76.7,</w:t>
      </w:r>
      <w:r>
        <w:rPr>
          <w:spacing w:val="-5"/>
          <w:sz w:val="20"/>
        </w:rPr>
        <w:t> </w:t>
      </w:r>
      <w:r>
        <w:rPr>
          <w:sz w:val="20"/>
        </w:rPr>
        <w:t>S77,</w:t>
      </w:r>
      <w:r>
        <w:rPr>
          <w:spacing w:val="-5"/>
          <w:sz w:val="20"/>
        </w:rPr>
        <w:t> </w:t>
      </w:r>
      <w:r>
        <w:rPr>
          <w:spacing w:val="-2"/>
          <w:sz w:val="20"/>
        </w:rPr>
        <w:t>S77.0,</w:t>
      </w:r>
    </w:p>
    <w:p>
      <w:pPr>
        <w:spacing w:line="229" w:lineRule="exact" w:before="0"/>
        <w:ind w:left="1159" w:right="4154" w:firstLine="0"/>
        <w:jc w:val="center"/>
        <w:rPr>
          <w:sz w:val="20"/>
        </w:rPr>
      </w:pPr>
      <w:r>
        <w:rPr>
          <w:sz w:val="20"/>
        </w:rPr>
        <w:t>S77.1,</w:t>
      </w:r>
      <w:r>
        <w:rPr>
          <w:spacing w:val="-6"/>
          <w:sz w:val="20"/>
        </w:rPr>
        <w:t> </w:t>
      </w:r>
      <w:r>
        <w:rPr>
          <w:sz w:val="20"/>
        </w:rPr>
        <w:t>S77.2,</w:t>
      </w:r>
      <w:r>
        <w:rPr>
          <w:spacing w:val="-6"/>
          <w:sz w:val="20"/>
        </w:rPr>
        <w:t> </w:t>
      </w:r>
      <w:r>
        <w:rPr>
          <w:sz w:val="20"/>
        </w:rPr>
        <w:t>S78,</w:t>
      </w:r>
      <w:r>
        <w:rPr>
          <w:spacing w:val="-5"/>
          <w:sz w:val="20"/>
        </w:rPr>
        <w:t> </w:t>
      </w:r>
      <w:r>
        <w:rPr>
          <w:sz w:val="20"/>
        </w:rPr>
        <w:t>S78.0,</w:t>
      </w:r>
      <w:r>
        <w:rPr>
          <w:spacing w:val="-6"/>
          <w:sz w:val="20"/>
        </w:rPr>
        <w:t> </w:t>
      </w:r>
      <w:r>
        <w:rPr>
          <w:sz w:val="20"/>
        </w:rPr>
        <w:t>S78.1,</w:t>
      </w:r>
      <w:r>
        <w:rPr>
          <w:spacing w:val="-5"/>
          <w:sz w:val="20"/>
        </w:rPr>
        <w:t> </w:t>
      </w:r>
      <w:r>
        <w:rPr>
          <w:sz w:val="20"/>
        </w:rPr>
        <w:t>S78.9,</w:t>
      </w:r>
      <w:r>
        <w:rPr>
          <w:spacing w:val="-6"/>
          <w:sz w:val="20"/>
        </w:rPr>
        <w:t> </w:t>
      </w:r>
      <w:r>
        <w:rPr>
          <w:spacing w:val="-2"/>
          <w:sz w:val="20"/>
        </w:rPr>
        <w:t>S79.7,</w:t>
      </w:r>
    </w:p>
    <w:p>
      <w:pPr>
        <w:spacing w:before="0"/>
        <w:ind w:left="1159" w:right="4154" w:firstLine="0"/>
        <w:jc w:val="center"/>
        <w:rPr>
          <w:sz w:val="20"/>
        </w:rPr>
      </w:pPr>
      <w:r>
        <w:rPr>
          <w:sz w:val="20"/>
        </w:rPr>
        <w:t>S79.8,</w:t>
      </w:r>
      <w:r>
        <w:rPr>
          <w:spacing w:val="-6"/>
          <w:sz w:val="20"/>
        </w:rPr>
        <w:t> </w:t>
      </w:r>
      <w:r>
        <w:rPr>
          <w:sz w:val="20"/>
        </w:rPr>
        <w:t>S79.9,</w:t>
      </w:r>
      <w:r>
        <w:rPr>
          <w:spacing w:val="-6"/>
          <w:sz w:val="20"/>
        </w:rPr>
        <w:t> </w:t>
      </w:r>
      <w:r>
        <w:rPr>
          <w:sz w:val="20"/>
        </w:rPr>
        <w:t>S80,</w:t>
      </w:r>
      <w:r>
        <w:rPr>
          <w:spacing w:val="-5"/>
          <w:sz w:val="20"/>
        </w:rPr>
        <w:t> </w:t>
      </w:r>
      <w:r>
        <w:rPr>
          <w:sz w:val="20"/>
        </w:rPr>
        <w:t>S80.0,</w:t>
      </w:r>
      <w:r>
        <w:rPr>
          <w:spacing w:val="-6"/>
          <w:sz w:val="20"/>
        </w:rPr>
        <w:t> </w:t>
      </w:r>
      <w:r>
        <w:rPr>
          <w:sz w:val="20"/>
        </w:rPr>
        <w:t>S80.1,</w:t>
      </w:r>
      <w:r>
        <w:rPr>
          <w:spacing w:val="-5"/>
          <w:sz w:val="20"/>
        </w:rPr>
        <w:t> </w:t>
      </w:r>
      <w:r>
        <w:rPr>
          <w:sz w:val="20"/>
        </w:rPr>
        <w:t>S80.7,</w:t>
      </w:r>
      <w:r>
        <w:rPr>
          <w:spacing w:val="-6"/>
          <w:sz w:val="20"/>
        </w:rPr>
        <w:t> </w:t>
      </w:r>
      <w:r>
        <w:rPr>
          <w:spacing w:val="-2"/>
          <w:sz w:val="20"/>
        </w:rPr>
        <w:t>S80.8,</w:t>
      </w:r>
    </w:p>
    <w:p>
      <w:pPr>
        <w:spacing w:before="1"/>
        <w:ind w:left="4720" w:right="7716" w:firstLine="0"/>
        <w:jc w:val="center"/>
        <w:rPr>
          <w:sz w:val="20"/>
        </w:rPr>
      </w:pPr>
      <w:r>
        <w:rPr>
          <w:sz w:val="20"/>
        </w:rPr>
        <w:t>S80.9, S81, S81.0, S81.7, S81.8, S81.9, S82, S82.0,</w:t>
      </w:r>
      <w:r>
        <w:rPr>
          <w:spacing w:val="-4"/>
          <w:sz w:val="20"/>
        </w:rPr>
        <w:t> </w:t>
      </w:r>
      <w:r>
        <w:rPr>
          <w:sz w:val="20"/>
        </w:rPr>
        <w:t>S82.00,</w:t>
      </w:r>
      <w:r>
        <w:rPr>
          <w:spacing w:val="-6"/>
          <w:sz w:val="20"/>
        </w:rPr>
        <w:t> </w:t>
      </w:r>
      <w:r>
        <w:rPr>
          <w:sz w:val="20"/>
        </w:rPr>
        <w:t>S82.01,</w:t>
      </w:r>
      <w:r>
        <w:rPr>
          <w:spacing w:val="-4"/>
          <w:sz w:val="20"/>
        </w:rPr>
        <w:t> </w:t>
      </w:r>
      <w:r>
        <w:rPr>
          <w:sz w:val="20"/>
        </w:rPr>
        <w:t>S82.1,</w:t>
      </w:r>
      <w:r>
        <w:rPr>
          <w:spacing w:val="-6"/>
          <w:sz w:val="20"/>
        </w:rPr>
        <w:t> </w:t>
      </w:r>
      <w:r>
        <w:rPr>
          <w:sz w:val="20"/>
        </w:rPr>
        <w:t>S82.10,</w:t>
      </w:r>
      <w:r>
        <w:rPr>
          <w:spacing w:val="-4"/>
          <w:sz w:val="20"/>
        </w:rPr>
        <w:t> </w:t>
      </w:r>
      <w:r>
        <w:rPr>
          <w:sz w:val="20"/>
        </w:rPr>
        <w:t>S82.11, S82.2,</w:t>
      </w:r>
      <w:r>
        <w:rPr>
          <w:spacing w:val="-4"/>
          <w:sz w:val="20"/>
        </w:rPr>
        <w:t> </w:t>
      </w:r>
      <w:r>
        <w:rPr>
          <w:sz w:val="20"/>
        </w:rPr>
        <w:t>S82.20,</w:t>
      </w:r>
      <w:r>
        <w:rPr>
          <w:spacing w:val="-6"/>
          <w:sz w:val="20"/>
        </w:rPr>
        <w:t> </w:t>
      </w:r>
      <w:r>
        <w:rPr>
          <w:sz w:val="20"/>
        </w:rPr>
        <w:t>S82.21,</w:t>
      </w:r>
      <w:r>
        <w:rPr>
          <w:spacing w:val="-4"/>
          <w:sz w:val="20"/>
        </w:rPr>
        <w:t> </w:t>
      </w:r>
      <w:r>
        <w:rPr>
          <w:sz w:val="20"/>
        </w:rPr>
        <w:t>S82.3,</w:t>
      </w:r>
      <w:r>
        <w:rPr>
          <w:spacing w:val="-6"/>
          <w:sz w:val="20"/>
        </w:rPr>
        <w:t> </w:t>
      </w:r>
      <w:r>
        <w:rPr>
          <w:sz w:val="20"/>
        </w:rPr>
        <w:t>S82.30,</w:t>
      </w:r>
      <w:r>
        <w:rPr>
          <w:spacing w:val="-4"/>
          <w:sz w:val="20"/>
        </w:rPr>
        <w:t> </w:t>
      </w:r>
      <w:r>
        <w:rPr>
          <w:sz w:val="20"/>
        </w:rPr>
        <w:t>S82.31, S82.4,</w:t>
      </w:r>
      <w:r>
        <w:rPr>
          <w:spacing w:val="-5"/>
          <w:sz w:val="20"/>
        </w:rPr>
        <w:t> </w:t>
      </w:r>
      <w:r>
        <w:rPr>
          <w:sz w:val="20"/>
        </w:rPr>
        <w:t>S82.40,</w:t>
      </w:r>
      <w:r>
        <w:rPr>
          <w:spacing w:val="-7"/>
          <w:sz w:val="20"/>
        </w:rPr>
        <w:t> </w:t>
      </w:r>
      <w:r>
        <w:rPr>
          <w:sz w:val="20"/>
        </w:rPr>
        <w:t>S82.41,</w:t>
      </w:r>
      <w:r>
        <w:rPr>
          <w:spacing w:val="-2"/>
          <w:sz w:val="20"/>
        </w:rPr>
        <w:t> </w:t>
      </w:r>
      <w:r>
        <w:rPr>
          <w:sz w:val="20"/>
        </w:rPr>
        <w:t>S82.5,</w:t>
      </w:r>
      <w:r>
        <w:rPr>
          <w:spacing w:val="-7"/>
          <w:sz w:val="20"/>
        </w:rPr>
        <w:t> </w:t>
      </w:r>
      <w:r>
        <w:rPr>
          <w:sz w:val="20"/>
        </w:rPr>
        <w:t>S82.50,</w:t>
      </w:r>
      <w:r>
        <w:rPr>
          <w:spacing w:val="-5"/>
          <w:sz w:val="20"/>
        </w:rPr>
        <w:t> </w:t>
      </w:r>
      <w:r>
        <w:rPr>
          <w:sz w:val="20"/>
        </w:rPr>
        <w:t>S82.51, S82.6,</w:t>
      </w:r>
      <w:r>
        <w:rPr>
          <w:spacing w:val="-4"/>
          <w:sz w:val="20"/>
        </w:rPr>
        <w:t> </w:t>
      </w:r>
      <w:r>
        <w:rPr>
          <w:sz w:val="20"/>
        </w:rPr>
        <w:t>S82.60,</w:t>
      </w:r>
      <w:r>
        <w:rPr>
          <w:spacing w:val="-6"/>
          <w:sz w:val="20"/>
        </w:rPr>
        <w:t> </w:t>
      </w:r>
      <w:r>
        <w:rPr>
          <w:sz w:val="20"/>
        </w:rPr>
        <w:t>S82.61,</w:t>
      </w:r>
      <w:r>
        <w:rPr>
          <w:spacing w:val="-4"/>
          <w:sz w:val="20"/>
        </w:rPr>
        <w:t> </w:t>
      </w:r>
      <w:r>
        <w:rPr>
          <w:sz w:val="20"/>
        </w:rPr>
        <w:t>S82.7,</w:t>
      </w:r>
      <w:r>
        <w:rPr>
          <w:spacing w:val="-6"/>
          <w:sz w:val="20"/>
        </w:rPr>
        <w:t> </w:t>
      </w:r>
      <w:r>
        <w:rPr>
          <w:sz w:val="20"/>
        </w:rPr>
        <w:t>S82.70,</w:t>
      </w:r>
      <w:r>
        <w:rPr>
          <w:spacing w:val="-4"/>
          <w:sz w:val="20"/>
        </w:rPr>
        <w:t> </w:t>
      </w:r>
      <w:r>
        <w:rPr>
          <w:sz w:val="20"/>
        </w:rPr>
        <w:t>S82.71, S82.8,</w:t>
      </w:r>
      <w:r>
        <w:rPr>
          <w:spacing w:val="-4"/>
          <w:sz w:val="20"/>
        </w:rPr>
        <w:t> </w:t>
      </w:r>
      <w:r>
        <w:rPr>
          <w:sz w:val="20"/>
        </w:rPr>
        <w:t>S82.80,</w:t>
      </w:r>
      <w:r>
        <w:rPr>
          <w:spacing w:val="-6"/>
          <w:sz w:val="20"/>
        </w:rPr>
        <w:t> </w:t>
      </w:r>
      <w:r>
        <w:rPr>
          <w:sz w:val="20"/>
        </w:rPr>
        <w:t>S82.81,</w:t>
      </w:r>
      <w:r>
        <w:rPr>
          <w:spacing w:val="-4"/>
          <w:sz w:val="20"/>
        </w:rPr>
        <w:t> </w:t>
      </w:r>
      <w:r>
        <w:rPr>
          <w:sz w:val="20"/>
        </w:rPr>
        <w:t>S82.9,</w:t>
      </w:r>
      <w:r>
        <w:rPr>
          <w:spacing w:val="-6"/>
          <w:sz w:val="20"/>
        </w:rPr>
        <w:t> </w:t>
      </w:r>
      <w:r>
        <w:rPr>
          <w:sz w:val="20"/>
        </w:rPr>
        <w:t>S82.90,</w:t>
      </w:r>
      <w:r>
        <w:rPr>
          <w:spacing w:val="-4"/>
          <w:sz w:val="20"/>
        </w:rPr>
        <w:t> </w:t>
      </w:r>
      <w:r>
        <w:rPr>
          <w:sz w:val="20"/>
        </w:rPr>
        <w:t>S82.91, S83,</w:t>
      </w:r>
      <w:r>
        <w:rPr>
          <w:spacing w:val="-6"/>
          <w:sz w:val="20"/>
        </w:rPr>
        <w:t> </w:t>
      </w:r>
      <w:r>
        <w:rPr>
          <w:sz w:val="20"/>
        </w:rPr>
        <w:t>S83.0,</w:t>
      </w:r>
      <w:r>
        <w:rPr>
          <w:spacing w:val="-6"/>
          <w:sz w:val="20"/>
        </w:rPr>
        <w:t> </w:t>
      </w:r>
      <w:r>
        <w:rPr>
          <w:sz w:val="20"/>
        </w:rPr>
        <w:t>S83.1,</w:t>
      </w:r>
      <w:r>
        <w:rPr>
          <w:spacing w:val="-5"/>
          <w:sz w:val="20"/>
        </w:rPr>
        <w:t> </w:t>
      </w:r>
      <w:r>
        <w:rPr>
          <w:sz w:val="20"/>
        </w:rPr>
        <w:t>S83.2,</w:t>
      </w:r>
      <w:r>
        <w:rPr>
          <w:spacing w:val="-6"/>
          <w:sz w:val="20"/>
        </w:rPr>
        <w:t> </w:t>
      </w:r>
      <w:r>
        <w:rPr>
          <w:sz w:val="20"/>
        </w:rPr>
        <w:t>S83.3,</w:t>
      </w:r>
      <w:r>
        <w:rPr>
          <w:spacing w:val="-5"/>
          <w:sz w:val="20"/>
        </w:rPr>
        <w:t> </w:t>
      </w:r>
      <w:r>
        <w:rPr>
          <w:sz w:val="20"/>
        </w:rPr>
        <w:t>S83.4,</w:t>
      </w:r>
      <w:r>
        <w:rPr>
          <w:spacing w:val="-6"/>
          <w:sz w:val="20"/>
        </w:rPr>
        <w:t> </w:t>
      </w:r>
      <w:r>
        <w:rPr>
          <w:spacing w:val="-2"/>
          <w:sz w:val="20"/>
        </w:rPr>
        <w:t>S83.5,</w:t>
      </w:r>
    </w:p>
    <w:p>
      <w:pPr>
        <w:spacing w:before="1"/>
        <w:ind w:left="1159" w:right="4154" w:firstLine="0"/>
        <w:jc w:val="center"/>
        <w:rPr>
          <w:sz w:val="20"/>
        </w:rPr>
      </w:pPr>
      <w:r>
        <w:rPr>
          <w:sz w:val="20"/>
        </w:rPr>
        <w:t>S83.6,</w:t>
      </w:r>
      <w:r>
        <w:rPr>
          <w:spacing w:val="-6"/>
          <w:sz w:val="20"/>
        </w:rPr>
        <w:t> </w:t>
      </w:r>
      <w:r>
        <w:rPr>
          <w:sz w:val="20"/>
        </w:rPr>
        <w:t>S83.7,</w:t>
      </w:r>
      <w:r>
        <w:rPr>
          <w:spacing w:val="-6"/>
          <w:sz w:val="20"/>
        </w:rPr>
        <w:t> </w:t>
      </w:r>
      <w:r>
        <w:rPr>
          <w:sz w:val="20"/>
        </w:rPr>
        <w:t>S85,</w:t>
      </w:r>
      <w:r>
        <w:rPr>
          <w:spacing w:val="-5"/>
          <w:sz w:val="20"/>
        </w:rPr>
        <w:t> </w:t>
      </w:r>
      <w:r>
        <w:rPr>
          <w:sz w:val="20"/>
        </w:rPr>
        <w:t>S85.0,</w:t>
      </w:r>
      <w:r>
        <w:rPr>
          <w:spacing w:val="-6"/>
          <w:sz w:val="20"/>
        </w:rPr>
        <w:t> </w:t>
      </w:r>
      <w:r>
        <w:rPr>
          <w:sz w:val="20"/>
        </w:rPr>
        <w:t>S85.1,</w:t>
      </w:r>
      <w:r>
        <w:rPr>
          <w:spacing w:val="-5"/>
          <w:sz w:val="20"/>
        </w:rPr>
        <w:t> </w:t>
      </w:r>
      <w:r>
        <w:rPr>
          <w:sz w:val="20"/>
        </w:rPr>
        <w:t>S85.2,</w:t>
      </w:r>
      <w:r>
        <w:rPr>
          <w:spacing w:val="-6"/>
          <w:sz w:val="20"/>
        </w:rPr>
        <w:t> </w:t>
      </w:r>
      <w:r>
        <w:rPr>
          <w:spacing w:val="-2"/>
          <w:sz w:val="20"/>
        </w:rPr>
        <w:t>S85.3,</w:t>
      </w:r>
    </w:p>
    <w:p>
      <w:pPr>
        <w:spacing w:before="0"/>
        <w:ind w:left="1159" w:right="4154" w:firstLine="0"/>
        <w:jc w:val="center"/>
        <w:rPr>
          <w:sz w:val="20"/>
        </w:rPr>
      </w:pPr>
      <w:r>
        <w:rPr>
          <w:sz w:val="20"/>
        </w:rPr>
        <w:t>S85.4,</w:t>
      </w:r>
      <w:r>
        <w:rPr>
          <w:spacing w:val="-6"/>
          <w:sz w:val="20"/>
        </w:rPr>
        <w:t> </w:t>
      </w:r>
      <w:r>
        <w:rPr>
          <w:sz w:val="20"/>
        </w:rPr>
        <w:t>S85.5,</w:t>
      </w:r>
      <w:r>
        <w:rPr>
          <w:spacing w:val="-5"/>
          <w:sz w:val="20"/>
        </w:rPr>
        <w:t> </w:t>
      </w:r>
      <w:r>
        <w:rPr>
          <w:sz w:val="20"/>
        </w:rPr>
        <w:t>S85.7,</w:t>
      </w:r>
      <w:r>
        <w:rPr>
          <w:spacing w:val="-5"/>
          <w:sz w:val="20"/>
        </w:rPr>
        <w:t> </w:t>
      </w:r>
      <w:r>
        <w:rPr>
          <w:sz w:val="20"/>
        </w:rPr>
        <w:t>S85.8,</w:t>
      </w:r>
      <w:r>
        <w:rPr>
          <w:spacing w:val="-7"/>
          <w:sz w:val="20"/>
        </w:rPr>
        <w:t> </w:t>
      </w:r>
      <w:r>
        <w:rPr>
          <w:sz w:val="20"/>
        </w:rPr>
        <w:t>S85.9,</w:t>
      </w:r>
      <w:r>
        <w:rPr>
          <w:spacing w:val="-5"/>
          <w:sz w:val="20"/>
        </w:rPr>
        <w:t> </w:t>
      </w:r>
      <w:r>
        <w:rPr>
          <w:sz w:val="20"/>
        </w:rPr>
        <w:t>S86,</w:t>
      </w:r>
      <w:r>
        <w:rPr>
          <w:spacing w:val="-5"/>
          <w:sz w:val="20"/>
        </w:rPr>
        <w:t> </w:t>
      </w:r>
      <w:r>
        <w:rPr>
          <w:spacing w:val="-2"/>
          <w:sz w:val="20"/>
        </w:rPr>
        <w:t>S86.0,</w:t>
      </w:r>
    </w:p>
    <w:p>
      <w:pPr>
        <w:spacing w:before="1"/>
        <w:ind w:left="1159" w:right="4154" w:firstLine="0"/>
        <w:jc w:val="center"/>
        <w:rPr>
          <w:sz w:val="20"/>
        </w:rPr>
      </w:pPr>
      <w:r>
        <w:rPr>
          <w:sz w:val="20"/>
        </w:rPr>
        <w:t>S86.1,</w:t>
      </w:r>
      <w:r>
        <w:rPr>
          <w:spacing w:val="-6"/>
          <w:sz w:val="20"/>
        </w:rPr>
        <w:t> </w:t>
      </w:r>
      <w:r>
        <w:rPr>
          <w:sz w:val="20"/>
        </w:rPr>
        <w:t>S86.2,</w:t>
      </w:r>
      <w:r>
        <w:rPr>
          <w:spacing w:val="-5"/>
          <w:sz w:val="20"/>
        </w:rPr>
        <w:t> </w:t>
      </w:r>
      <w:r>
        <w:rPr>
          <w:sz w:val="20"/>
        </w:rPr>
        <w:t>S86.3,</w:t>
      </w:r>
      <w:r>
        <w:rPr>
          <w:spacing w:val="-5"/>
          <w:sz w:val="20"/>
        </w:rPr>
        <w:t> </w:t>
      </w:r>
      <w:r>
        <w:rPr>
          <w:sz w:val="20"/>
        </w:rPr>
        <w:t>S86.7,</w:t>
      </w:r>
      <w:r>
        <w:rPr>
          <w:spacing w:val="-7"/>
          <w:sz w:val="20"/>
        </w:rPr>
        <w:t> </w:t>
      </w:r>
      <w:r>
        <w:rPr>
          <w:sz w:val="20"/>
        </w:rPr>
        <w:t>S86.8,</w:t>
      </w:r>
      <w:r>
        <w:rPr>
          <w:spacing w:val="-5"/>
          <w:sz w:val="20"/>
        </w:rPr>
        <w:t> </w:t>
      </w:r>
      <w:r>
        <w:rPr>
          <w:sz w:val="20"/>
        </w:rPr>
        <w:t>S86.9,</w:t>
      </w:r>
      <w:r>
        <w:rPr>
          <w:spacing w:val="-5"/>
          <w:sz w:val="20"/>
        </w:rPr>
        <w:t> </w:t>
      </w:r>
      <w:r>
        <w:rPr>
          <w:spacing w:val="-4"/>
          <w:sz w:val="20"/>
        </w:rPr>
        <w:t>S87,</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S87.0,</w:t>
      </w:r>
      <w:r>
        <w:rPr>
          <w:spacing w:val="-6"/>
          <w:sz w:val="20"/>
        </w:rPr>
        <w:t> </w:t>
      </w:r>
      <w:r>
        <w:rPr>
          <w:sz w:val="20"/>
        </w:rPr>
        <w:t>S87.8,</w:t>
      </w:r>
      <w:r>
        <w:rPr>
          <w:spacing w:val="-6"/>
          <w:sz w:val="20"/>
        </w:rPr>
        <w:t> </w:t>
      </w:r>
      <w:r>
        <w:rPr>
          <w:sz w:val="20"/>
        </w:rPr>
        <w:t>S88,</w:t>
      </w:r>
      <w:r>
        <w:rPr>
          <w:spacing w:val="-5"/>
          <w:sz w:val="20"/>
        </w:rPr>
        <w:t> </w:t>
      </w:r>
      <w:r>
        <w:rPr>
          <w:sz w:val="20"/>
        </w:rPr>
        <w:t>S88.0,</w:t>
      </w:r>
      <w:r>
        <w:rPr>
          <w:spacing w:val="-6"/>
          <w:sz w:val="20"/>
        </w:rPr>
        <w:t> </w:t>
      </w:r>
      <w:r>
        <w:rPr>
          <w:sz w:val="20"/>
        </w:rPr>
        <w:t>S88.1,</w:t>
      </w:r>
      <w:r>
        <w:rPr>
          <w:spacing w:val="-5"/>
          <w:sz w:val="20"/>
        </w:rPr>
        <w:t> </w:t>
      </w:r>
      <w:r>
        <w:rPr>
          <w:sz w:val="20"/>
        </w:rPr>
        <w:t>S88.9,</w:t>
      </w:r>
      <w:r>
        <w:rPr>
          <w:spacing w:val="-6"/>
          <w:sz w:val="20"/>
        </w:rPr>
        <w:t> </w:t>
      </w:r>
      <w:r>
        <w:rPr>
          <w:spacing w:val="-4"/>
          <w:sz w:val="20"/>
        </w:rPr>
        <w:t>S89,</w:t>
      </w:r>
    </w:p>
    <w:p>
      <w:pPr>
        <w:spacing w:line="229" w:lineRule="exact" w:before="1"/>
        <w:ind w:left="1159" w:right="4154" w:firstLine="0"/>
        <w:jc w:val="center"/>
        <w:rPr>
          <w:sz w:val="20"/>
        </w:rPr>
      </w:pPr>
      <w:r>
        <w:rPr>
          <w:sz w:val="20"/>
        </w:rPr>
        <w:t>S89.7,</w:t>
      </w:r>
      <w:r>
        <w:rPr>
          <w:spacing w:val="-6"/>
          <w:sz w:val="20"/>
        </w:rPr>
        <w:t> </w:t>
      </w:r>
      <w:r>
        <w:rPr>
          <w:sz w:val="20"/>
        </w:rPr>
        <w:t>S89.8,</w:t>
      </w:r>
      <w:r>
        <w:rPr>
          <w:spacing w:val="-6"/>
          <w:sz w:val="20"/>
        </w:rPr>
        <w:t> </w:t>
      </w:r>
      <w:r>
        <w:rPr>
          <w:sz w:val="20"/>
        </w:rPr>
        <w:t>S89.9,</w:t>
      </w:r>
      <w:r>
        <w:rPr>
          <w:spacing w:val="-5"/>
          <w:sz w:val="20"/>
        </w:rPr>
        <w:t> </w:t>
      </w:r>
      <w:r>
        <w:rPr>
          <w:sz w:val="20"/>
        </w:rPr>
        <w:t>S90,</w:t>
      </w:r>
      <w:r>
        <w:rPr>
          <w:spacing w:val="-6"/>
          <w:sz w:val="20"/>
        </w:rPr>
        <w:t> </w:t>
      </w:r>
      <w:r>
        <w:rPr>
          <w:sz w:val="20"/>
        </w:rPr>
        <w:t>S90.0,</w:t>
      </w:r>
      <w:r>
        <w:rPr>
          <w:spacing w:val="-5"/>
          <w:sz w:val="20"/>
        </w:rPr>
        <w:t> </w:t>
      </w:r>
      <w:r>
        <w:rPr>
          <w:sz w:val="20"/>
        </w:rPr>
        <w:t>S90.1,</w:t>
      </w:r>
      <w:r>
        <w:rPr>
          <w:spacing w:val="-6"/>
          <w:sz w:val="20"/>
        </w:rPr>
        <w:t> </w:t>
      </w:r>
      <w:r>
        <w:rPr>
          <w:spacing w:val="-2"/>
          <w:sz w:val="20"/>
        </w:rPr>
        <w:t>S90.2,</w:t>
      </w:r>
    </w:p>
    <w:p>
      <w:pPr>
        <w:spacing w:line="229" w:lineRule="exact" w:before="0"/>
        <w:ind w:left="1159" w:right="4154" w:firstLine="0"/>
        <w:jc w:val="center"/>
        <w:rPr>
          <w:sz w:val="20"/>
        </w:rPr>
      </w:pPr>
      <w:r>
        <w:rPr>
          <w:sz w:val="20"/>
        </w:rPr>
        <w:t>S90.3,</w:t>
      </w:r>
      <w:r>
        <w:rPr>
          <w:spacing w:val="-6"/>
          <w:sz w:val="20"/>
        </w:rPr>
        <w:t> </w:t>
      </w:r>
      <w:r>
        <w:rPr>
          <w:sz w:val="20"/>
        </w:rPr>
        <w:t>S90.7,</w:t>
      </w:r>
      <w:r>
        <w:rPr>
          <w:spacing w:val="-5"/>
          <w:sz w:val="20"/>
        </w:rPr>
        <w:t> </w:t>
      </w:r>
      <w:r>
        <w:rPr>
          <w:sz w:val="20"/>
        </w:rPr>
        <w:t>S90.8,</w:t>
      </w:r>
      <w:r>
        <w:rPr>
          <w:spacing w:val="-5"/>
          <w:sz w:val="20"/>
        </w:rPr>
        <w:t> </w:t>
      </w:r>
      <w:r>
        <w:rPr>
          <w:sz w:val="20"/>
        </w:rPr>
        <w:t>S90.9,</w:t>
      </w:r>
      <w:r>
        <w:rPr>
          <w:spacing w:val="-7"/>
          <w:sz w:val="20"/>
        </w:rPr>
        <w:t> </w:t>
      </w:r>
      <w:r>
        <w:rPr>
          <w:sz w:val="20"/>
        </w:rPr>
        <w:t>S91,</w:t>
      </w:r>
      <w:r>
        <w:rPr>
          <w:spacing w:val="-5"/>
          <w:sz w:val="20"/>
        </w:rPr>
        <w:t> </w:t>
      </w:r>
      <w:r>
        <w:rPr>
          <w:sz w:val="20"/>
        </w:rPr>
        <w:t>S91.0,</w:t>
      </w:r>
      <w:r>
        <w:rPr>
          <w:spacing w:val="-5"/>
          <w:sz w:val="20"/>
        </w:rPr>
        <w:t> </w:t>
      </w:r>
      <w:r>
        <w:rPr>
          <w:spacing w:val="-2"/>
          <w:sz w:val="20"/>
        </w:rPr>
        <w:t>S91.1,</w:t>
      </w:r>
    </w:p>
    <w:p>
      <w:pPr>
        <w:spacing w:before="0"/>
        <w:ind w:left="4619" w:right="7613" w:firstLine="2"/>
        <w:jc w:val="center"/>
        <w:rPr>
          <w:sz w:val="20"/>
        </w:rPr>
      </w:pPr>
      <w:r>
        <w:rPr>
          <w:sz w:val="20"/>
        </w:rPr>
        <w:t>S91.2,</w:t>
      </w:r>
      <w:r>
        <w:rPr>
          <w:spacing w:val="-6"/>
          <w:sz w:val="20"/>
        </w:rPr>
        <w:t> </w:t>
      </w:r>
      <w:r>
        <w:rPr>
          <w:sz w:val="20"/>
        </w:rPr>
        <w:t>S91.3,</w:t>
      </w:r>
      <w:r>
        <w:rPr>
          <w:spacing w:val="-6"/>
          <w:sz w:val="20"/>
        </w:rPr>
        <w:t> </w:t>
      </w:r>
      <w:r>
        <w:rPr>
          <w:sz w:val="20"/>
        </w:rPr>
        <w:t>S91.7,</w:t>
      </w:r>
      <w:r>
        <w:rPr>
          <w:spacing w:val="-6"/>
          <w:sz w:val="20"/>
        </w:rPr>
        <w:t> </w:t>
      </w:r>
      <w:r>
        <w:rPr>
          <w:sz w:val="20"/>
        </w:rPr>
        <w:t>S92,</w:t>
      </w:r>
      <w:r>
        <w:rPr>
          <w:spacing w:val="-6"/>
          <w:sz w:val="20"/>
        </w:rPr>
        <w:t> </w:t>
      </w:r>
      <w:r>
        <w:rPr>
          <w:sz w:val="20"/>
        </w:rPr>
        <w:t>S92.0,</w:t>
      </w:r>
      <w:r>
        <w:rPr>
          <w:spacing w:val="-6"/>
          <w:sz w:val="20"/>
        </w:rPr>
        <w:t> </w:t>
      </w:r>
      <w:r>
        <w:rPr>
          <w:sz w:val="20"/>
        </w:rPr>
        <w:t>S92.00,</w:t>
      </w:r>
      <w:r>
        <w:rPr>
          <w:spacing w:val="-6"/>
          <w:sz w:val="20"/>
        </w:rPr>
        <w:t> </w:t>
      </w:r>
      <w:r>
        <w:rPr>
          <w:sz w:val="20"/>
        </w:rPr>
        <w:t>S92.01, S92.1, S92.10, S92.11, S92.2, S92.20, S92.21, S92.3, S92.30, S92.31, S92.4, S92.40, S92.41, S92.5, S92.50, S92.51, S92.7, S92.70, S92.71, S92.9,</w:t>
      </w:r>
      <w:r>
        <w:rPr>
          <w:spacing w:val="-5"/>
          <w:sz w:val="20"/>
        </w:rPr>
        <w:t> </w:t>
      </w:r>
      <w:r>
        <w:rPr>
          <w:sz w:val="20"/>
        </w:rPr>
        <w:t>S92.90,</w:t>
      </w:r>
      <w:r>
        <w:rPr>
          <w:spacing w:val="-7"/>
          <w:sz w:val="20"/>
        </w:rPr>
        <w:t> </w:t>
      </w:r>
      <w:r>
        <w:rPr>
          <w:sz w:val="20"/>
        </w:rPr>
        <w:t>S92.91,</w:t>
      </w:r>
      <w:r>
        <w:rPr>
          <w:spacing w:val="-5"/>
          <w:sz w:val="20"/>
        </w:rPr>
        <w:t> </w:t>
      </w:r>
      <w:r>
        <w:rPr>
          <w:sz w:val="20"/>
        </w:rPr>
        <w:t>S93,</w:t>
      </w:r>
      <w:r>
        <w:rPr>
          <w:spacing w:val="-5"/>
          <w:sz w:val="20"/>
        </w:rPr>
        <w:t> </w:t>
      </w:r>
      <w:r>
        <w:rPr>
          <w:sz w:val="20"/>
        </w:rPr>
        <w:t>S93.0,</w:t>
      </w:r>
      <w:r>
        <w:rPr>
          <w:spacing w:val="-5"/>
          <w:sz w:val="20"/>
        </w:rPr>
        <w:t> </w:t>
      </w:r>
      <w:r>
        <w:rPr>
          <w:sz w:val="20"/>
        </w:rPr>
        <w:t>S93.1,</w:t>
      </w:r>
      <w:r>
        <w:rPr>
          <w:spacing w:val="-7"/>
          <w:sz w:val="20"/>
        </w:rPr>
        <w:t> </w:t>
      </w:r>
      <w:r>
        <w:rPr>
          <w:sz w:val="20"/>
        </w:rPr>
        <w:t>S93.2,</w:t>
      </w:r>
    </w:p>
    <w:p>
      <w:pPr>
        <w:spacing w:before="0"/>
        <w:ind w:left="1159" w:right="4154" w:firstLine="0"/>
        <w:jc w:val="center"/>
        <w:rPr>
          <w:sz w:val="20"/>
        </w:rPr>
      </w:pPr>
      <w:r>
        <w:rPr>
          <w:sz w:val="20"/>
        </w:rPr>
        <w:t>S93.3,</w:t>
      </w:r>
      <w:r>
        <w:rPr>
          <w:spacing w:val="-6"/>
          <w:sz w:val="20"/>
        </w:rPr>
        <w:t> </w:t>
      </w:r>
      <w:r>
        <w:rPr>
          <w:sz w:val="20"/>
        </w:rPr>
        <w:t>S93.4,</w:t>
      </w:r>
      <w:r>
        <w:rPr>
          <w:spacing w:val="-5"/>
          <w:sz w:val="20"/>
        </w:rPr>
        <w:t> </w:t>
      </w:r>
      <w:r>
        <w:rPr>
          <w:sz w:val="20"/>
        </w:rPr>
        <w:t>S93.5,</w:t>
      </w:r>
      <w:r>
        <w:rPr>
          <w:spacing w:val="-5"/>
          <w:sz w:val="20"/>
        </w:rPr>
        <w:t> </w:t>
      </w:r>
      <w:r>
        <w:rPr>
          <w:sz w:val="20"/>
        </w:rPr>
        <w:t>S93.6,</w:t>
      </w:r>
      <w:r>
        <w:rPr>
          <w:spacing w:val="-7"/>
          <w:sz w:val="20"/>
        </w:rPr>
        <w:t> </w:t>
      </w:r>
      <w:r>
        <w:rPr>
          <w:sz w:val="20"/>
        </w:rPr>
        <w:t>S95,</w:t>
      </w:r>
      <w:r>
        <w:rPr>
          <w:spacing w:val="-5"/>
          <w:sz w:val="20"/>
        </w:rPr>
        <w:t> </w:t>
      </w:r>
      <w:r>
        <w:rPr>
          <w:sz w:val="20"/>
        </w:rPr>
        <w:t>S95.0,</w:t>
      </w:r>
      <w:r>
        <w:rPr>
          <w:spacing w:val="-5"/>
          <w:sz w:val="20"/>
        </w:rPr>
        <w:t> </w:t>
      </w:r>
      <w:r>
        <w:rPr>
          <w:spacing w:val="-2"/>
          <w:sz w:val="20"/>
        </w:rPr>
        <w:t>S95.1,</w:t>
      </w:r>
    </w:p>
    <w:p>
      <w:pPr>
        <w:spacing w:before="1"/>
        <w:ind w:left="1165" w:right="4154" w:firstLine="0"/>
        <w:jc w:val="center"/>
        <w:rPr>
          <w:sz w:val="20"/>
        </w:rPr>
      </w:pPr>
      <w:r>
        <w:rPr>
          <w:sz w:val="20"/>
        </w:rPr>
        <w:t>S95.2,</w:t>
      </w:r>
      <w:r>
        <w:rPr>
          <w:spacing w:val="-6"/>
          <w:sz w:val="20"/>
        </w:rPr>
        <w:t> </w:t>
      </w:r>
      <w:r>
        <w:rPr>
          <w:sz w:val="20"/>
        </w:rPr>
        <w:t>S95.7,</w:t>
      </w:r>
      <w:r>
        <w:rPr>
          <w:spacing w:val="-5"/>
          <w:sz w:val="20"/>
        </w:rPr>
        <w:t> </w:t>
      </w:r>
      <w:r>
        <w:rPr>
          <w:sz w:val="20"/>
        </w:rPr>
        <w:t>S95.8,</w:t>
      </w:r>
      <w:r>
        <w:rPr>
          <w:spacing w:val="-5"/>
          <w:sz w:val="20"/>
        </w:rPr>
        <w:t> </w:t>
      </w:r>
      <w:r>
        <w:rPr>
          <w:sz w:val="20"/>
        </w:rPr>
        <w:t>S95.9,</w:t>
      </w:r>
      <w:r>
        <w:rPr>
          <w:spacing w:val="-7"/>
          <w:sz w:val="20"/>
        </w:rPr>
        <w:t> </w:t>
      </w:r>
      <w:r>
        <w:rPr>
          <w:sz w:val="20"/>
        </w:rPr>
        <w:t>S96,</w:t>
      </w:r>
      <w:r>
        <w:rPr>
          <w:spacing w:val="-5"/>
          <w:sz w:val="20"/>
        </w:rPr>
        <w:t> </w:t>
      </w:r>
      <w:r>
        <w:rPr>
          <w:sz w:val="20"/>
        </w:rPr>
        <w:t>S96.0,</w:t>
      </w:r>
      <w:r>
        <w:rPr>
          <w:spacing w:val="-5"/>
          <w:sz w:val="20"/>
        </w:rPr>
        <w:t> </w:t>
      </w:r>
      <w:r>
        <w:rPr>
          <w:spacing w:val="-2"/>
          <w:sz w:val="20"/>
        </w:rPr>
        <w:t>S96.1,</w:t>
      </w:r>
    </w:p>
    <w:p>
      <w:pPr>
        <w:spacing w:before="0"/>
        <w:ind w:left="1159" w:right="4154" w:firstLine="0"/>
        <w:jc w:val="center"/>
        <w:rPr>
          <w:sz w:val="20"/>
        </w:rPr>
      </w:pPr>
      <w:r>
        <w:rPr>
          <w:sz w:val="20"/>
        </w:rPr>
        <w:t>S96.2,</w:t>
      </w:r>
      <w:r>
        <w:rPr>
          <w:spacing w:val="-6"/>
          <w:sz w:val="20"/>
        </w:rPr>
        <w:t> </w:t>
      </w:r>
      <w:r>
        <w:rPr>
          <w:sz w:val="20"/>
        </w:rPr>
        <w:t>S96.7,</w:t>
      </w:r>
      <w:r>
        <w:rPr>
          <w:spacing w:val="-5"/>
          <w:sz w:val="20"/>
        </w:rPr>
        <w:t> </w:t>
      </w:r>
      <w:r>
        <w:rPr>
          <w:sz w:val="20"/>
        </w:rPr>
        <w:t>S96.8,</w:t>
      </w:r>
      <w:r>
        <w:rPr>
          <w:spacing w:val="-5"/>
          <w:sz w:val="20"/>
        </w:rPr>
        <w:t> </w:t>
      </w:r>
      <w:r>
        <w:rPr>
          <w:sz w:val="20"/>
        </w:rPr>
        <w:t>S96.9,</w:t>
      </w:r>
      <w:r>
        <w:rPr>
          <w:spacing w:val="-7"/>
          <w:sz w:val="20"/>
        </w:rPr>
        <w:t> </w:t>
      </w:r>
      <w:r>
        <w:rPr>
          <w:sz w:val="20"/>
        </w:rPr>
        <w:t>S97,</w:t>
      </w:r>
      <w:r>
        <w:rPr>
          <w:spacing w:val="-5"/>
          <w:sz w:val="20"/>
        </w:rPr>
        <w:t> </w:t>
      </w:r>
      <w:r>
        <w:rPr>
          <w:sz w:val="20"/>
        </w:rPr>
        <w:t>S97.0,</w:t>
      </w:r>
      <w:r>
        <w:rPr>
          <w:spacing w:val="-5"/>
          <w:sz w:val="20"/>
        </w:rPr>
        <w:t> </w:t>
      </w:r>
      <w:r>
        <w:rPr>
          <w:spacing w:val="-2"/>
          <w:sz w:val="20"/>
        </w:rPr>
        <w:t>S97.1,</w:t>
      </w:r>
    </w:p>
    <w:p>
      <w:pPr>
        <w:spacing w:before="1"/>
        <w:ind w:left="1159" w:right="4154" w:firstLine="0"/>
        <w:jc w:val="center"/>
        <w:rPr>
          <w:sz w:val="20"/>
        </w:rPr>
      </w:pPr>
      <w:r>
        <w:rPr>
          <w:sz w:val="20"/>
        </w:rPr>
        <w:t>S97.8,</w:t>
      </w:r>
      <w:r>
        <w:rPr>
          <w:spacing w:val="-6"/>
          <w:sz w:val="20"/>
        </w:rPr>
        <w:t> </w:t>
      </w:r>
      <w:r>
        <w:rPr>
          <w:sz w:val="20"/>
        </w:rPr>
        <w:t>S98,</w:t>
      </w:r>
      <w:r>
        <w:rPr>
          <w:spacing w:val="-6"/>
          <w:sz w:val="20"/>
        </w:rPr>
        <w:t> </w:t>
      </w:r>
      <w:r>
        <w:rPr>
          <w:sz w:val="20"/>
        </w:rPr>
        <w:t>S98.0,</w:t>
      </w:r>
      <w:r>
        <w:rPr>
          <w:spacing w:val="-5"/>
          <w:sz w:val="20"/>
        </w:rPr>
        <w:t> </w:t>
      </w:r>
      <w:r>
        <w:rPr>
          <w:sz w:val="20"/>
        </w:rPr>
        <w:t>S98.1,</w:t>
      </w:r>
      <w:r>
        <w:rPr>
          <w:spacing w:val="-6"/>
          <w:sz w:val="20"/>
        </w:rPr>
        <w:t> </w:t>
      </w:r>
      <w:r>
        <w:rPr>
          <w:sz w:val="20"/>
        </w:rPr>
        <w:t>S98.2,</w:t>
      </w:r>
      <w:r>
        <w:rPr>
          <w:spacing w:val="-5"/>
          <w:sz w:val="20"/>
        </w:rPr>
        <w:t> </w:t>
      </w:r>
      <w:r>
        <w:rPr>
          <w:sz w:val="20"/>
        </w:rPr>
        <w:t>S98.3,</w:t>
      </w:r>
      <w:r>
        <w:rPr>
          <w:spacing w:val="-6"/>
          <w:sz w:val="20"/>
        </w:rPr>
        <w:t> </w:t>
      </w:r>
      <w:r>
        <w:rPr>
          <w:spacing w:val="-2"/>
          <w:sz w:val="20"/>
        </w:rPr>
        <w:t>S98.4,</w:t>
      </w:r>
    </w:p>
    <w:p>
      <w:pPr>
        <w:spacing w:before="0"/>
        <w:ind w:left="1159" w:right="4154" w:firstLine="0"/>
        <w:jc w:val="center"/>
        <w:rPr>
          <w:sz w:val="20"/>
        </w:rPr>
      </w:pPr>
      <w:r>
        <w:rPr>
          <w:sz w:val="20"/>
        </w:rPr>
        <w:t>S99.7,</w:t>
      </w:r>
      <w:r>
        <w:rPr>
          <w:spacing w:val="-5"/>
          <w:sz w:val="20"/>
        </w:rPr>
        <w:t> </w:t>
      </w:r>
      <w:r>
        <w:rPr>
          <w:sz w:val="20"/>
        </w:rPr>
        <w:t>S99.8,</w:t>
      </w:r>
      <w:r>
        <w:rPr>
          <w:spacing w:val="-4"/>
          <w:sz w:val="20"/>
        </w:rPr>
        <w:t> </w:t>
      </w:r>
      <w:r>
        <w:rPr>
          <w:sz w:val="20"/>
        </w:rPr>
        <w:t>S99.9,</w:t>
      </w:r>
      <w:r>
        <w:rPr>
          <w:spacing w:val="-5"/>
          <w:sz w:val="20"/>
        </w:rPr>
        <w:t> </w:t>
      </w:r>
      <w:r>
        <w:rPr>
          <w:sz w:val="20"/>
        </w:rPr>
        <w:t>T00,</w:t>
      </w:r>
      <w:r>
        <w:rPr>
          <w:spacing w:val="-6"/>
          <w:sz w:val="20"/>
        </w:rPr>
        <w:t> </w:t>
      </w:r>
      <w:r>
        <w:rPr>
          <w:sz w:val="20"/>
        </w:rPr>
        <w:t>T00.0,</w:t>
      </w:r>
      <w:r>
        <w:rPr>
          <w:spacing w:val="-6"/>
          <w:sz w:val="20"/>
        </w:rPr>
        <w:t> </w:t>
      </w:r>
      <w:r>
        <w:rPr>
          <w:sz w:val="20"/>
        </w:rPr>
        <w:t>T00.1,</w:t>
      </w:r>
      <w:r>
        <w:rPr>
          <w:spacing w:val="-6"/>
          <w:sz w:val="20"/>
        </w:rPr>
        <w:t> </w:t>
      </w:r>
      <w:r>
        <w:rPr>
          <w:spacing w:val="-2"/>
          <w:sz w:val="20"/>
        </w:rPr>
        <w:t>T00.2,</w:t>
      </w:r>
    </w:p>
    <w:p>
      <w:pPr>
        <w:spacing w:line="229" w:lineRule="exact" w:before="1"/>
        <w:ind w:left="1162" w:right="4154" w:firstLine="0"/>
        <w:jc w:val="center"/>
        <w:rPr>
          <w:sz w:val="20"/>
        </w:rPr>
      </w:pPr>
      <w:r>
        <w:rPr>
          <w:sz w:val="20"/>
        </w:rPr>
        <w:t>T00.3,</w:t>
      </w:r>
      <w:r>
        <w:rPr>
          <w:spacing w:val="-7"/>
          <w:sz w:val="20"/>
        </w:rPr>
        <w:t> </w:t>
      </w:r>
      <w:r>
        <w:rPr>
          <w:sz w:val="20"/>
        </w:rPr>
        <w:t>T00.6,</w:t>
      </w:r>
      <w:r>
        <w:rPr>
          <w:spacing w:val="-4"/>
          <w:sz w:val="20"/>
        </w:rPr>
        <w:t> </w:t>
      </w:r>
      <w:r>
        <w:rPr>
          <w:sz w:val="20"/>
        </w:rPr>
        <w:t>T00.8,</w:t>
      </w:r>
      <w:r>
        <w:rPr>
          <w:spacing w:val="-5"/>
          <w:sz w:val="20"/>
        </w:rPr>
        <w:t> </w:t>
      </w:r>
      <w:r>
        <w:rPr>
          <w:sz w:val="20"/>
        </w:rPr>
        <w:t>T00.9,</w:t>
      </w:r>
      <w:r>
        <w:rPr>
          <w:spacing w:val="-4"/>
          <w:sz w:val="20"/>
        </w:rPr>
        <w:t> </w:t>
      </w:r>
      <w:r>
        <w:rPr>
          <w:sz w:val="20"/>
        </w:rPr>
        <w:t>T01,</w:t>
      </w:r>
      <w:r>
        <w:rPr>
          <w:spacing w:val="-5"/>
          <w:sz w:val="20"/>
        </w:rPr>
        <w:t> </w:t>
      </w:r>
      <w:r>
        <w:rPr>
          <w:sz w:val="20"/>
        </w:rPr>
        <w:t>T01.0,</w:t>
      </w:r>
      <w:r>
        <w:rPr>
          <w:spacing w:val="-6"/>
          <w:sz w:val="20"/>
        </w:rPr>
        <w:t> </w:t>
      </w:r>
      <w:r>
        <w:rPr>
          <w:spacing w:val="-2"/>
          <w:sz w:val="20"/>
        </w:rPr>
        <w:t>T01.1,</w:t>
      </w:r>
    </w:p>
    <w:p>
      <w:pPr>
        <w:spacing w:before="0"/>
        <w:ind w:left="4559" w:right="7552" w:firstLine="0"/>
        <w:jc w:val="center"/>
        <w:rPr>
          <w:sz w:val="20"/>
        </w:rPr>
      </w:pPr>
      <w:r>
        <w:rPr>
          <w:sz w:val="20"/>
        </w:rPr>
        <w:t>T01.2,</w:t>
      </w:r>
      <w:r>
        <w:rPr>
          <w:spacing w:val="-7"/>
          <w:sz w:val="20"/>
        </w:rPr>
        <w:t> </w:t>
      </w:r>
      <w:r>
        <w:rPr>
          <w:sz w:val="20"/>
        </w:rPr>
        <w:t>T01.3,</w:t>
      </w:r>
      <w:r>
        <w:rPr>
          <w:spacing w:val="-6"/>
          <w:sz w:val="20"/>
        </w:rPr>
        <w:t> </w:t>
      </w:r>
      <w:r>
        <w:rPr>
          <w:sz w:val="20"/>
        </w:rPr>
        <w:t>T01.6,</w:t>
      </w:r>
      <w:r>
        <w:rPr>
          <w:spacing w:val="-6"/>
          <w:sz w:val="20"/>
        </w:rPr>
        <w:t> </w:t>
      </w:r>
      <w:r>
        <w:rPr>
          <w:sz w:val="20"/>
        </w:rPr>
        <w:t>T01.8,</w:t>
      </w:r>
      <w:r>
        <w:rPr>
          <w:spacing w:val="-6"/>
          <w:sz w:val="20"/>
        </w:rPr>
        <w:t> </w:t>
      </w:r>
      <w:r>
        <w:rPr>
          <w:sz w:val="20"/>
        </w:rPr>
        <w:t>T01.9,</w:t>
      </w:r>
      <w:r>
        <w:rPr>
          <w:spacing w:val="-6"/>
          <w:sz w:val="20"/>
        </w:rPr>
        <w:t> </w:t>
      </w:r>
      <w:r>
        <w:rPr>
          <w:sz w:val="20"/>
        </w:rPr>
        <w:t>T02.1,</w:t>
      </w:r>
      <w:r>
        <w:rPr>
          <w:spacing w:val="-6"/>
          <w:sz w:val="20"/>
        </w:rPr>
        <w:t> </w:t>
      </w:r>
      <w:r>
        <w:rPr>
          <w:sz w:val="20"/>
        </w:rPr>
        <w:t>T02.10, T02.11, T02.2, T02.20, T02.21, T02.3, T02.30, T02.31, T02.4, T02.40, T02.41, T02.5, T02.50, T02.51, T02.6, T02.60, T02.61, T02.7, T02.70, T02.71, T02.8, T02.80, T02.81, T02.9, T02.90, T02.91, T03, T03.0, T03.1, T03.2, T03.3, T03.4,</w:t>
      </w:r>
    </w:p>
    <w:p>
      <w:pPr>
        <w:spacing w:before="0"/>
        <w:ind w:left="1167" w:right="4154" w:firstLine="0"/>
        <w:jc w:val="center"/>
        <w:rPr>
          <w:sz w:val="20"/>
        </w:rPr>
      </w:pPr>
      <w:r>
        <w:rPr>
          <w:sz w:val="20"/>
        </w:rPr>
        <w:t>T03.8,</w:t>
      </w:r>
      <w:r>
        <w:rPr>
          <w:spacing w:val="-6"/>
          <w:sz w:val="20"/>
        </w:rPr>
        <w:t> </w:t>
      </w:r>
      <w:r>
        <w:rPr>
          <w:sz w:val="20"/>
        </w:rPr>
        <w:t>T03.9,</w:t>
      </w:r>
      <w:r>
        <w:rPr>
          <w:spacing w:val="-4"/>
          <w:sz w:val="20"/>
        </w:rPr>
        <w:t> </w:t>
      </w:r>
      <w:r>
        <w:rPr>
          <w:sz w:val="20"/>
        </w:rPr>
        <w:t>T04,</w:t>
      </w:r>
      <w:r>
        <w:rPr>
          <w:spacing w:val="-4"/>
          <w:sz w:val="20"/>
        </w:rPr>
        <w:t> </w:t>
      </w:r>
      <w:r>
        <w:rPr>
          <w:sz w:val="20"/>
        </w:rPr>
        <w:t>T04.0,</w:t>
      </w:r>
      <w:r>
        <w:rPr>
          <w:spacing w:val="-4"/>
          <w:sz w:val="20"/>
        </w:rPr>
        <w:t> </w:t>
      </w:r>
      <w:r>
        <w:rPr>
          <w:sz w:val="20"/>
        </w:rPr>
        <w:t>T04.1,</w:t>
      </w:r>
      <w:r>
        <w:rPr>
          <w:spacing w:val="-4"/>
          <w:sz w:val="20"/>
        </w:rPr>
        <w:t> </w:t>
      </w:r>
      <w:r>
        <w:rPr>
          <w:sz w:val="20"/>
        </w:rPr>
        <w:t>T04.2,</w:t>
      </w:r>
      <w:r>
        <w:rPr>
          <w:spacing w:val="-4"/>
          <w:sz w:val="20"/>
        </w:rPr>
        <w:t> </w:t>
      </w:r>
      <w:r>
        <w:rPr>
          <w:spacing w:val="-2"/>
          <w:sz w:val="20"/>
        </w:rPr>
        <w:t>T04.3,</w:t>
      </w:r>
    </w:p>
    <w:p>
      <w:pPr>
        <w:spacing w:before="0"/>
        <w:ind w:left="1162" w:right="4154" w:firstLine="0"/>
        <w:jc w:val="center"/>
        <w:rPr>
          <w:sz w:val="20"/>
        </w:rPr>
      </w:pPr>
      <w:r>
        <w:rPr>
          <w:sz w:val="20"/>
        </w:rPr>
        <w:t>T04.4,</w:t>
      </w:r>
      <w:r>
        <w:rPr>
          <w:spacing w:val="-7"/>
          <w:sz w:val="20"/>
        </w:rPr>
        <w:t> </w:t>
      </w:r>
      <w:r>
        <w:rPr>
          <w:sz w:val="20"/>
        </w:rPr>
        <w:t>T04.7,</w:t>
      </w:r>
      <w:r>
        <w:rPr>
          <w:spacing w:val="-4"/>
          <w:sz w:val="20"/>
        </w:rPr>
        <w:t> </w:t>
      </w:r>
      <w:r>
        <w:rPr>
          <w:sz w:val="20"/>
        </w:rPr>
        <w:t>T04.8,</w:t>
      </w:r>
      <w:r>
        <w:rPr>
          <w:spacing w:val="-5"/>
          <w:sz w:val="20"/>
        </w:rPr>
        <w:t> </w:t>
      </w:r>
      <w:r>
        <w:rPr>
          <w:sz w:val="20"/>
        </w:rPr>
        <w:t>T04.9,</w:t>
      </w:r>
      <w:r>
        <w:rPr>
          <w:spacing w:val="-4"/>
          <w:sz w:val="20"/>
        </w:rPr>
        <w:t> </w:t>
      </w:r>
      <w:r>
        <w:rPr>
          <w:sz w:val="20"/>
        </w:rPr>
        <w:t>T05,</w:t>
      </w:r>
      <w:r>
        <w:rPr>
          <w:spacing w:val="-5"/>
          <w:sz w:val="20"/>
        </w:rPr>
        <w:t> </w:t>
      </w:r>
      <w:r>
        <w:rPr>
          <w:sz w:val="20"/>
        </w:rPr>
        <w:t>T05.0,</w:t>
      </w:r>
      <w:r>
        <w:rPr>
          <w:spacing w:val="-6"/>
          <w:sz w:val="20"/>
        </w:rPr>
        <w:t> </w:t>
      </w:r>
      <w:r>
        <w:rPr>
          <w:spacing w:val="-2"/>
          <w:sz w:val="20"/>
        </w:rPr>
        <w:t>T05.1,</w:t>
      </w:r>
    </w:p>
    <w:p>
      <w:pPr>
        <w:spacing w:before="0"/>
        <w:ind w:left="1163" w:right="4154" w:firstLine="0"/>
        <w:jc w:val="center"/>
        <w:rPr>
          <w:sz w:val="20"/>
        </w:rPr>
      </w:pPr>
      <w:r>
        <w:rPr>
          <w:sz w:val="20"/>
        </w:rPr>
        <w:t>T05.2,</w:t>
      </w:r>
      <w:r>
        <w:rPr>
          <w:spacing w:val="-7"/>
          <w:sz w:val="20"/>
        </w:rPr>
        <w:t> </w:t>
      </w:r>
      <w:r>
        <w:rPr>
          <w:sz w:val="20"/>
        </w:rPr>
        <w:t>T05.3,</w:t>
      </w:r>
      <w:r>
        <w:rPr>
          <w:spacing w:val="-5"/>
          <w:sz w:val="20"/>
        </w:rPr>
        <w:t> </w:t>
      </w:r>
      <w:r>
        <w:rPr>
          <w:sz w:val="20"/>
        </w:rPr>
        <w:t>T05.4,</w:t>
      </w:r>
      <w:r>
        <w:rPr>
          <w:spacing w:val="-5"/>
          <w:sz w:val="20"/>
        </w:rPr>
        <w:t> </w:t>
      </w:r>
      <w:r>
        <w:rPr>
          <w:sz w:val="20"/>
        </w:rPr>
        <w:t>T05.5,</w:t>
      </w:r>
      <w:r>
        <w:rPr>
          <w:spacing w:val="-5"/>
          <w:sz w:val="20"/>
        </w:rPr>
        <w:t> </w:t>
      </w:r>
      <w:r>
        <w:rPr>
          <w:sz w:val="20"/>
        </w:rPr>
        <w:t>T05.6,</w:t>
      </w:r>
      <w:r>
        <w:rPr>
          <w:spacing w:val="-5"/>
          <w:sz w:val="20"/>
        </w:rPr>
        <w:t> </w:t>
      </w:r>
      <w:r>
        <w:rPr>
          <w:sz w:val="20"/>
        </w:rPr>
        <w:t>T05.8,</w:t>
      </w:r>
      <w:r>
        <w:rPr>
          <w:spacing w:val="-5"/>
          <w:sz w:val="20"/>
        </w:rPr>
        <w:t> </w:t>
      </w:r>
      <w:r>
        <w:rPr>
          <w:spacing w:val="-2"/>
          <w:sz w:val="20"/>
        </w:rPr>
        <w:t>T05.9,</w:t>
      </w:r>
    </w:p>
    <w:p>
      <w:pPr>
        <w:spacing w:before="0"/>
        <w:ind w:left="1161" w:right="4154" w:firstLine="0"/>
        <w:jc w:val="center"/>
        <w:rPr>
          <w:sz w:val="20"/>
        </w:rPr>
      </w:pPr>
      <w:r>
        <w:rPr>
          <w:sz w:val="20"/>
        </w:rPr>
        <w:t>T06,</w:t>
      </w:r>
      <w:r>
        <w:rPr>
          <w:spacing w:val="-6"/>
          <w:sz w:val="20"/>
        </w:rPr>
        <w:t> </w:t>
      </w:r>
      <w:r>
        <w:rPr>
          <w:sz w:val="20"/>
        </w:rPr>
        <w:t>T06.0,</w:t>
      </w:r>
      <w:r>
        <w:rPr>
          <w:spacing w:val="-7"/>
          <w:sz w:val="20"/>
        </w:rPr>
        <w:t> </w:t>
      </w:r>
      <w:r>
        <w:rPr>
          <w:sz w:val="20"/>
        </w:rPr>
        <w:t>T06.1,</w:t>
      </w:r>
      <w:r>
        <w:rPr>
          <w:spacing w:val="-5"/>
          <w:sz w:val="20"/>
        </w:rPr>
        <w:t> </w:t>
      </w:r>
      <w:r>
        <w:rPr>
          <w:sz w:val="20"/>
        </w:rPr>
        <w:t>T06.2,</w:t>
      </w:r>
      <w:r>
        <w:rPr>
          <w:spacing w:val="-5"/>
          <w:sz w:val="20"/>
        </w:rPr>
        <w:t> </w:t>
      </w:r>
      <w:r>
        <w:rPr>
          <w:sz w:val="20"/>
        </w:rPr>
        <w:t>T06.3,</w:t>
      </w:r>
      <w:r>
        <w:rPr>
          <w:spacing w:val="-5"/>
          <w:sz w:val="20"/>
        </w:rPr>
        <w:t> </w:t>
      </w:r>
      <w:r>
        <w:rPr>
          <w:sz w:val="20"/>
        </w:rPr>
        <w:t>T06.4,</w:t>
      </w:r>
      <w:r>
        <w:rPr>
          <w:spacing w:val="-5"/>
          <w:sz w:val="20"/>
        </w:rPr>
        <w:t> </w:t>
      </w:r>
      <w:r>
        <w:rPr>
          <w:spacing w:val="-2"/>
          <w:sz w:val="20"/>
        </w:rPr>
        <w:t>T06.5,</w:t>
      </w:r>
    </w:p>
    <w:p>
      <w:pPr>
        <w:spacing w:line="229" w:lineRule="exact" w:before="1"/>
        <w:ind w:left="1160" w:right="4154" w:firstLine="0"/>
        <w:jc w:val="center"/>
        <w:rPr>
          <w:sz w:val="20"/>
        </w:rPr>
      </w:pPr>
      <w:r>
        <w:rPr>
          <w:sz w:val="20"/>
        </w:rPr>
        <w:t>T06.8,</w:t>
      </w:r>
      <w:r>
        <w:rPr>
          <w:spacing w:val="-6"/>
          <w:sz w:val="20"/>
        </w:rPr>
        <w:t> </w:t>
      </w:r>
      <w:r>
        <w:rPr>
          <w:sz w:val="20"/>
        </w:rPr>
        <w:t>T07,</w:t>
      </w:r>
      <w:r>
        <w:rPr>
          <w:spacing w:val="-6"/>
          <w:sz w:val="20"/>
        </w:rPr>
        <w:t> </w:t>
      </w:r>
      <w:r>
        <w:rPr>
          <w:sz w:val="20"/>
        </w:rPr>
        <w:t>T09,</w:t>
      </w:r>
      <w:r>
        <w:rPr>
          <w:spacing w:val="-4"/>
          <w:sz w:val="20"/>
        </w:rPr>
        <w:t> </w:t>
      </w:r>
      <w:r>
        <w:rPr>
          <w:sz w:val="20"/>
        </w:rPr>
        <w:t>T09.0,</w:t>
      </w:r>
      <w:r>
        <w:rPr>
          <w:spacing w:val="-4"/>
          <w:sz w:val="20"/>
        </w:rPr>
        <w:t> </w:t>
      </w:r>
      <w:r>
        <w:rPr>
          <w:sz w:val="20"/>
        </w:rPr>
        <w:t>T09.1,</w:t>
      </w:r>
      <w:r>
        <w:rPr>
          <w:spacing w:val="-4"/>
          <w:sz w:val="20"/>
        </w:rPr>
        <w:t> </w:t>
      </w:r>
      <w:r>
        <w:rPr>
          <w:sz w:val="20"/>
        </w:rPr>
        <w:t>T09.2,</w:t>
      </w:r>
      <w:r>
        <w:rPr>
          <w:spacing w:val="-4"/>
          <w:sz w:val="20"/>
        </w:rPr>
        <w:t> </w:t>
      </w:r>
      <w:r>
        <w:rPr>
          <w:spacing w:val="-2"/>
          <w:sz w:val="20"/>
        </w:rPr>
        <w:t>T09.5,</w:t>
      </w:r>
    </w:p>
    <w:p>
      <w:pPr>
        <w:spacing w:line="229" w:lineRule="exact" w:before="0"/>
        <w:ind w:left="1160" w:right="4154" w:firstLine="0"/>
        <w:jc w:val="center"/>
        <w:rPr>
          <w:sz w:val="20"/>
        </w:rPr>
      </w:pPr>
      <w:r>
        <w:rPr>
          <w:sz w:val="20"/>
        </w:rPr>
        <w:t>T09.6,</w:t>
      </w:r>
      <w:r>
        <w:rPr>
          <w:spacing w:val="-7"/>
          <w:sz w:val="20"/>
        </w:rPr>
        <w:t> </w:t>
      </w:r>
      <w:r>
        <w:rPr>
          <w:sz w:val="20"/>
        </w:rPr>
        <w:t>T09.8,</w:t>
      </w:r>
      <w:r>
        <w:rPr>
          <w:spacing w:val="-5"/>
          <w:sz w:val="20"/>
        </w:rPr>
        <w:t> </w:t>
      </w:r>
      <w:r>
        <w:rPr>
          <w:sz w:val="20"/>
        </w:rPr>
        <w:t>T09.9,</w:t>
      </w:r>
      <w:r>
        <w:rPr>
          <w:spacing w:val="-5"/>
          <w:sz w:val="20"/>
        </w:rPr>
        <w:t> </w:t>
      </w:r>
      <w:r>
        <w:rPr>
          <w:sz w:val="20"/>
        </w:rPr>
        <w:t>T10,</w:t>
      </w:r>
      <w:r>
        <w:rPr>
          <w:spacing w:val="-5"/>
          <w:sz w:val="20"/>
        </w:rPr>
        <w:t> </w:t>
      </w:r>
      <w:r>
        <w:rPr>
          <w:sz w:val="20"/>
        </w:rPr>
        <w:t>T10.0,</w:t>
      </w:r>
      <w:r>
        <w:rPr>
          <w:spacing w:val="-5"/>
          <w:sz w:val="20"/>
        </w:rPr>
        <w:t> </w:t>
      </w:r>
      <w:r>
        <w:rPr>
          <w:sz w:val="20"/>
        </w:rPr>
        <w:t>T10.1,</w:t>
      </w:r>
      <w:r>
        <w:rPr>
          <w:spacing w:val="-5"/>
          <w:sz w:val="20"/>
        </w:rPr>
        <w:t> </w:t>
      </w:r>
      <w:r>
        <w:rPr>
          <w:spacing w:val="-4"/>
          <w:sz w:val="20"/>
        </w:rPr>
        <w:t>T11,</w:t>
      </w:r>
    </w:p>
    <w:p>
      <w:pPr>
        <w:spacing w:before="0"/>
        <w:ind w:left="1165" w:right="4154" w:firstLine="0"/>
        <w:jc w:val="center"/>
        <w:rPr>
          <w:sz w:val="20"/>
        </w:rPr>
      </w:pPr>
      <w:r>
        <w:rPr>
          <w:sz w:val="20"/>
        </w:rPr>
        <w:t>T11.0,</w:t>
      </w:r>
      <w:r>
        <w:rPr>
          <w:spacing w:val="-7"/>
          <w:sz w:val="20"/>
        </w:rPr>
        <w:t> </w:t>
      </w:r>
      <w:r>
        <w:rPr>
          <w:sz w:val="20"/>
        </w:rPr>
        <w:t>T11.1,</w:t>
      </w:r>
      <w:r>
        <w:rPr>
          <w:spacing w:val="-3"/>
          <w:sz w:val="20"/>
        </w:rPr>
        <w:t> </w:t>
      </w:r>
      <w:r>
        <w:rPr>
          <w:sz w:val="20"/>
        </w:rPr>
        <w:t>T11.2,</w:t>
      </w:r>
      <w:r>
        <w:rPr>
          <w:spacing w:val="-5"/>
          <w:sz w:val="20"/>
        </w:rPr>
        <w:t> </w:t>
      </w:r>
      <w:r>
        <w:rPr>
          <w:sz w:val="20"/>
        </w:rPr>
        <w:t>T11.4,</w:t>
      </w:r>
      <w:r>
        <w:rPr>
          <w:spacing w:val="-5"/>
          <w:sz w:val="20"/>
        </w:rPr>
        <w:t> </w:t>
      </w:r>
      <w:r>
        <w:rPr>
          <w:sz w:val="20"/>
        </w:rPr>
        <w:t>T11.5,</w:t>
      </w:r>
      <w:r>
        <w:rPr>
          <w:spacing w:val="-5"/>
          <w:sz w:val="20"/>
        </w:rPr>
        <w:t> </w:t>
      </w:r>
      <w:r>
        <w:rPr>
          <w:sz w:val="20"/>
        </w:rPr>
        <w:t>T11.6,</w:t>
      </w:r>
      <w:r>
        <w:rPr>
          <w:spacing w:val="-5"/>
          <w:sz w:val="20"/>
        </w:rPr>
        <w:t> </w:t>
      </w:r>
      <w:r>
        <w:rPr>
          <w:spacing w:val="-2"/>
          <w:sz w:val="20"/>
        </w:rPr>
        <w:t>T11.8,</w:t>
      </w:r>
    </w:p>
    <w:p>
      <w:pPr>
        <w:spacing w:before="1"/>
        <w:ind w:left="1160" w:right="4154" w:firstLine="0"/>
        <w:jc w:val="center"/>
        <w:rPr>
          <w:sz w:val="20"/>
        </w:rPr>
      </w:pPr>
      <w:r>
        <w:rPr>
          <w:sz w:val="20"/>
        </w:rPr>
        <w:t>T11.9,</w:t>
      </w:r>
      <w:r>
        <w:rPr>
          <w:spacing w:val="-6"/>
          <w:sz w:val="20"/>
        </w:rPr>
        <w:t> </w:t>
      </w:r>
      <w:r>
        <w:rPr>
          <w:sz w:val="20"/>
        </w:rPr>
        <w:t>T12,</w:t>
      </w:r>
      <w:r>
        <w:rPr>
          <w:spacing w:val="-6"/>
          <w:sz w:val="20"/>
        </w:rPr>
        <w:t> </w:t>
      </w:r>
      <w:r>
        <w:rPr>
          <w:sz w:val="20"/>
        </w:rPr>
        <w:t>T12.0,</w:t>
      </w:r>
      <w:r>
        <w:rPr>
          <w:spacing w:val="-5"/>
          <w:sz w:val="20"/>
        </w:rPr>
        <w:t> </w:t>
      </w:r>
      <w:r>
        <w:rPr>
          <w:sz w:val="20"/>
        </w:rPr>
        <w:t>T12.1,</w:t>
      </w:r>
      <w:r>
        <w:rPr>
          <w:spacing w:val="-4"/>
          <w:sz w:val="20"/>
        </w:rPr>
        <w:t> </w:t>
      </w:r>
      <w:r>
        <w:rPr>
          <w:sz w:val="20"/>
        </w:rPr>
        <w:t>T13,</w:t>
      </w:r>
      <w:r>
        <w:rPr>
          <w:spacing w:val="-4"/>
          <w:sz w:val="20"/>
        </w:rPr>
        <w:t> </w:t>
      </w:r>
      <w:r>
        <w:rPr>
          <w:sz w:val="20"/>
        </w:rPr>
        <w:t>T13.0,</w:t>
      </w:r>
      <w:r>
        <w:rPr>
          <w:spacing w:val="-4"/>
          <w:sz w:val="20"/>
        </w:rPr>
        <w:t> </w:t>
      </w:r>
      <w:r>
        <w:rPr>
          <w:spacing w:val="-2"/>
          <w:sz w:val="20"/>
        </w:rPr>
        <w:t>T13.1,</w:t>
      </w:r>
    </w:p>
    <w:p>
      <w:pPr>
        <w:spacing w:before="0"/>
        <w:ind w:left="1161" w:right="4154" w:firstLine="0"/>
        <w:jc w:val="center"/>
        <w:rPr>
          <w:sz w:val="20"/>
        </w:rPr>
      </w:pPr>
      <w:r>
        <w:rPr>
          <w:sz w:val="20"/>
        </w:rPr>
        <w:t>T13.2,</w:t>
      </w:r>
      <w:r>
        <w:rPr>
          <w:spacing w:val="-7"/>
          <w:sz w:val="20"/>
        </w:rPr>
        <w:t> </w:t>
      </w:r>
      <w:r>
        <w:rPr>
          <w:sz w:val="20"/>
        </w:rPr>
        <w:t>T13.4,</w:t>
      </w:r>
      <w:r>
        <w:rPr>
          <w:spacing w:val="-5"/>
          <w:sz w:val="20"/>
        </w:rPr>
        <w:t> </w:t>
      </w:r>
      <w:r>
        <w:rPr>
          <w:sz w:val="20"/>
        </w:rPr>
        <w:t>T13.5,</w:t>
      </w:r>
      <w:r>
        <w:rPr>
          <w:spacing w:val="-5"/>
          <w:sz w:val="20"/>
        </w:rPr>
        <w:t> </w:t>
      </w:r>
      <w:r>
        <w:rPr>
          <w:sz w:val="20"/>
        </w:rPr>
        <w:t>T13.6,</w:t>
      </w:r>
      <w:r>
        <w:rPr>
          <w:spacing w:val="-5"/>
          <w:sz w:val="20"/>
        </w:rPr>
        <w:t> </w:t>
      </w:r>
      <w:r>
        <w:rPr>
          <w:sz w:val="20"/>
        </w:rPr>
        <w:t>T13.8,</w:t>
      </w:r>
      <w:r>
        <w:rPr>
          <w:spacing w:val="-5"/>
          <w:sz w:val="20"/>
        </w:rPr>
        <w:t> </w:t>
      </w:r>
      <w:r>
        <w:rPr>
          <w:sz w:val="20"/>
        </w:rPr>
        <w:t>T13.9,</w:t>
      </w:r>
      <w:r>
        <w:rPr>
          <w:spacing w:val="-5"/>
          <w:sz w:val="20"/>
        </w:rPr>
        <w:t> </w:t>
      </w:r>
      <w:r>
        <w:rPr>
          <w:spacing w:val="-4"/>
          <w:sz w:val="20"/>
        </w:rPr>
        <w:t>T14,</w:t>
      </w:r>
    </w:p>
    <w:p>
      <w:pPr>
        <w:spacing w:before="1"/>
        <w:ind w:left="1160" w:right="4154" w:firstLine="0"/>
        <w:jc w:val="center"/>
        <w:rPr>
          <w:sz w:val="20"/>
        </w:rPr>
      </w:pPr>
      <w:r>
        <w:rPr>
          <w:sz w:val="20"/>
        </w:rPr>
        <w:t>T14.0,</w:t>
      </w:r>
      <w:r>
        <w:rPr>
          <w:spacing w:val="-8"/>
          <w:sz w:val="20"/>
        </w:rPr>
        <w:t> </w:t>
      </w:r>
      <w:r>
        <w:rPr>
          <w:sz w:val="20"/>
        </w:rPr>
        <w:t>T14.1,</w:t>
      </w:r>
      <w:r>
        <w:rPr>
          <w:spacing w:val="-5"/>
          <w:sz w:val="20"/>
        </w:rPr>
        <w:t> </w:t>
      </w:r>
      <w:r>
        <w:rPr>
          <w:sz w:val="20"/>
        </w:rPr>
        <w:t>T14.2,</w:t>
      </w:r>
      <w:r>
        <w:rPr>
          <w:spacing w:val="-5"/>
          <w:sz w:val="20"/>
        </w:rPr>
        <w:t> </w:t>
      </w:r>
      <w:r>
        <w:rPr>
          <w:sz w:val="20"/>
        </w:rPr>
        <w:t>T14.20,</w:t>
      </w:r>
      <w:r>
        <w:rPr>
          <w:spacing w:val="-7"/>
          <w:sz w:val="20"/>
        </w:rPr>
        <w:t> </w:t>
      </w:r>
      <w:r>
        <w:rPr>
          <w:sz w:val="20"/>
        </w:rPr>
        <w:t>T14.21,</w:t>
      </w:r>
      <w:r>
        <w:rPr>
          <w:spacing w:val="-6"/>
          <w:sz w:val="20"/>
        </w:rPr>
        <w:t> </w:t>
      </w:r>
      <w:r>
        <w:rPr>
          <w:spacing w:val="-2"/>
          <w:sz w:val="20"/>
        </w:rPr>
        <w:t>T14.3,</w:t>
      </w:r>
    </w:p>
    <w:p>
      <w:pPr>
        <w:spacing w:line="229" w:lineRule="exact" w:before="0"/>
        <w:ind w:left="1161" w:right="4154" w:firstLine="0"/>
        <w:jc w:val="center"/>
        <w:rPr>
          <w:sz w:val="20"/>
        </w:rPr>
      </w:pPr>
      <w:r>
        <w:rPr>
          <w:sz w:val="20"/>
        </w:rPr>
        <w:t>T14.5,</w:t>
      </w:r>
      <w:r>
        <w:rPr>
          <w:spacing w:val="-7"/>
          <w:sz w:val="20"/>
        </w:rPr>
        <w:t> </w:t>
      </w:r>
      <w:r>
        <w:rPr>
          <w:sz w:val="20"/>
        </w:rPr>
        <w:t>T14.6,</w:t>
      </w:r>
      <w:r>
        <w:rPr>
          <w:spacing w:val="-4"/>
          <w:sz w:val="20"/>
        </w:rPr>
        <w:t> </w:t>
      </w:r>
      <w:r>
        <w:rPr>
          <w:sz w:val="20"/>
        </w:rPr>
        <w:t>T14.7,</w:t>
      </w:r>
      <w:r>
        <w:rPr>
          <w:spacing w:val="-5"/>
          <w:sz w:val="20"/>
        </w:rPr>
        <w:t> </w:t>
      </w:r>
      <w:r>
        <w:rPr>
          <w:sz w:val="20"/>
        </w:rPr>
        <w:t>T14.8,</w:t>
      </w:r>
      <w:r>
        <w:rPr>
          <w:spacing w:val="-4"/>
          <w:sz w:val="20"/>
        </w:rPr>
        <w:t> </w:t>
      </w:r>
      <w:r>
        <w:rPr>
          <w:sz w:val="20"/>
        </w:rPr>
        <w:t>T14.9,</w:t>
      </w:r>
      <w:r>
        <w:rPr>
          <w:spacing w:val="-5"/>
          <w:sz w:val="20"/>
        </w:rPr>
        <w:t> </w:t>
      </w:r>
      <w:r>
        <w:rPr>
          <w:sz w:val="20"/>
        </w:rPr>
        <w:t>T84,</w:t>
      </w:r>
      <w:r>
        <w:rPr>
          <w:spacing w:val="-6"/>
          <w:sz w:val="20"/>
        </w:rPr>
        <w:t> </w:t>
      </w:r>
      <w:r>
        <w:rPr>
          <w:spacing w:val="-2"/>
          <w:sz w:val="20"/>
        </w:rPr>
        <w:t>T84.0,</w:t>
      </w:r>
    </w:p>
    <w:p>
      <w:pPr>
        <w:spacing w:line="229" w:lineRule="exact" w:before="0"/>
        <w:ind w:left="1169" w:right="4154" w:firstLine="0"/>
        <w:jc w:val="center"/>
        <w:rPr>
          <w:sz w:val="20"/>
        </w:rPr>
      </w:pPr>
      <w:r>
        <w:rPr>
          <w:sz w:val="20"/>
        </w:rPr>
        <w:t>T84.1,</w:t>
      </w:r>
      <w:r>
        <w:rPr>
          <w:spacing w:val="-6"/>
          <w:sz w:val="20"/>
        </w:rPr>
        <w:t> </w:t>
      </w:r>
      <w:r>
        <w:rPr>
          <w:sz w:val="20"/>
        </w:rPr>
        <w:t>T84.2,</w:t>
      </w:r>
      <w:r>
        <w:rPr>
          <w:spacing w:val="-4"/>
          <w:sz w:val="20"/>
        </w:rPr>
        <w:t> </w:t>
      </w:r>
      <w:r>
        <w:rPr>
          <w:sz w:val="20"/>
        </w:rPr>
        <w:t>T84.3,</w:t>
      </w:r>
      <w:r>
        <w:rPr>
          <w:spacing w:val="-4"/>
          <w:sz w:val="20"/>
        </w:rPr>
        <w:t> </w:t>
      </w:r>
      <w:r>
        <w:rPr>
          <w:sz w:val="20"/>
        </w:rPr>
        <w:t>T84.4,</w:t>
      </w:r>
      <w:r>
        <w:rPr>
          <w:spacing w:val="-4"/>
          <w:sz w:val="20"/>
        </w:rPr>
        <w:t> </w:t>
      </w:r>
      <w:r>
        <w:rPr>
          <w:sz w:val="20"/>
        </w:rPr>
        <w:t>T84.5,</w:t>
      </w:r>
      <w:r>
        <w:rPr>
          <w:spacing w:val="-4"/>
          <w:sz w:val="20"/>
        </w:rPr>
        <w:t> </w:t>
      </w:r>
      <w:r>
        <w:rPr>
          <w:sz w:val="20"/>
        </w:rPr>
        <w:t>T84.6,</w:t>
      </w:r>
      <w:r>
        <w:rPr>
          <w:spacing w:val="-4"/>
          <w:sz w:val="20"/>
        </w:rPr>
        <w:t> </w:t>
      </w:r>
      <w:r>
        <w:rPr>
          <w:spacing w:val="-2"/>
          <w:sz w:val="20"/>
        </w:rPr>
        <w:t>T84.7,</w:t>
      </w:r>
    </w:p>
    <w:p>
      <w:pPr>
        <w:spacing w:before="1"/>
        <w:ind w:left="4681" w:right="0" w:firstLine="0"/>
        <w:jc w:val="left"/>
        <w:rPr>
          <w:sz w:val="20"/>
        </w:rPr>
      </w:pPr>
      <w:r>
        <w:rPr>
          <w:sz w:val="20"/>
        </w:rPr>
        <w:t>T84.8,</w:t>
      </w:r>
      <w:r>
        <w:rPr>
          <w:spacing w:val="-7"/>
          <w:sz w:val="20"/>
        </w:rPr>
        <w:t> </w:t>
      </w:r>
      <w:r>
        <w:rPr>
          <w:sz w:val="20"/>
        </w:rPr>
        <w:t>T84.9,</w:t>
      </w:r>
      <w:r>
        <w:rPr>
          <w:spacing w:val="-5"/>
          <w:sz w:val="20"/>
        </w:rPr>
        <w:t> </w:t>
      </w:r>
      <w:r>
        <w:rPr>
          <w:sz w:val="20"/>
        </w:rPr>
        <w:t>T87,</w:t>
      </w:r>
      <w:r>
        <w:rPr>
          <w:spacing w:val="-5"/>
          <w:sz w:val="20"/>
        </w:rPr>
        <w:t> </w:t>
      </w:r>
      <w:r>
        <w:rPr>
          <w:sz w:val="20"/>
        </w:rPr>
        <w:t>T87.0,</w:t>
      </w:r>
      <w:r>
        <w:rPr>
          <w:spacing w:val="-5"/>
          <w:sz w:val="20"/>
        </w:rPr>
        <w:t> </w:t>
      </w:r>
      <w:r>
        <w:rPr>
          <w:sz w:val="20"/>
        </w:rPr>
        <w:t>T87.1,</w:t>
      </w:r>
      <w:r>
        <w:rPr>
          <w:spacing w:val="-5"/>
          <w:sz w:val="20"/>
        </w:rPr>
        <w:t> </w:t>
      </w:r>
      <w:r>
        <w:rPr>
          <w:sz w:val="20"/>
        </w:rPr>
        <w:t>T87.2,</w:t>
      </w:r>
      <w:r>
        <w:rPr>
          <w:spacing w:val="-5"/>
          <w:sz w:val="20"/>
        </w:rPr>
        <w:t> </w:t>
      </w:r>
      <w:r>
        <w:rPr>
          <w:spacing w:val="-2"/>
          <w:sz w:val="20"/>
        </w:rPr>
        <w:t>T87.3,</w:t>
      </w:r>
    </w:p>
    <w:p>
      <w:pPr>
        <w:spacing w:before="0"/>
        <w:ind w:left="4756" w:right="0" w:firstLine="0"/>
        <w:jc w:val="left"/>
        <w:rPr>
          <w:sz w:val="20"/>
        </w:rPr>
      </w:pPr>
      <w:r>
        <w:rPr>
          <w:sz w:val="20"/>
        </w:rPr>
        <w:t>T87.4,</w:t>
      </w:r>
      <w:r>
        <w:rPr>
          <w:spacing w:val="-7"/>
          <w:sz w:val="20"/>
        </w:rPr>
        <w:t> </w:t>
      </w:r>
      <w:r>
        <w:rPr>
          <w:sz w:val="20"/>
        </w:rPr>
        <w:t>T87.5,</w:t>
      </w:r>
      <w:r>
        <w:rPr>
          <w:spacing w:val="-5"/>
          <w:sz w:val="20"/>
        </w:rPr>
        <w:t> </w:t>
      </w:r>
      <w:r>
        <w:rPr>
          <w:sz w:val="20"/>
        </w:rPr>
        <w:t>T87.6,</w:t>
      </w:r>
      <w:r>
        <w:rPr>
          <w:spacing w:val="-5"/>
          <w:sz w:val="20"/>
        </w:rPr>
        <w:t> </w:t>
      </w:r>
      <w:r>
        <w:rPr>
          <w:sz w:val="20"/>
        </w:rPr>
        <w:t>T90,</w:t>
      </w:r>
      <w:r>
        <w:rPr>
          <w:spacing w:val="-5"/>
          <w:sz w:val="20"/>
        </w:rPr>
        <w:t> </w:t>
      </w:r>
      <w:r>
        <w:rPr>
          <w:sz w:val="20"/>
        </w:rPr>
        <w:t>T90.0,</w:t>
      </w:r>
      <w:r>
        <w:rPr>
          <w:spacing w:val="-5"/>
          <w:sz w:val="20"/>
        </w:rPr>
        <w:t> </w:t>
      </w:r>
      <w:r>
        <w:rPr>
          <w:sz w:val="20"/>
        </w:rPr>
        <w:t>T90.1,</w:t>
      </w:r>
      <w:r>
        <w:rPr>
          <w:spacing w:val="-5"/>
          <w:sz w:val="20"/>
        </w:rPr>
        <w:t> </w:t>
      </w:r>
      <w:r>
        <w:rPr>
          <w:spacing w:val="-4"/>
          <w:sz w:val="20"/>
        </w:rPr>
        <w:t>T91,</w:t>
      </w:r>
    </w:p>
    <w:p>
      <w:pPr>
        <w:spacing w:before="1"/>
        <w:ind w:left="4681" w:right="0" w:firstLine="0"/>
        <w:jc w:val="left"/>
        <w:rPr>
          <w:sz w:val="20"/>
        </w:rPr>
      </w:pPr>
      <w:r>
        <w:rPr>
          <w:sz w:val="20"/>
        </w:rPr>
        <w:t>T91.0,</w:t>
      </w:r>
      <w:r>
        <w:rPr>
          <w:spacing w:val="-7"/>
          <w:sz w:val="20"/>
        </w:rPr>
        <w:t> </w:t>
      </w:r>
      <w:r>
        <w:rPr>
          <w:sz w:val="20"/>
        </w:rPr>
        <w:t>T91.2,</w:t>
      </w:r>
      <w:r>
        <w:rPr>
          <w:spacing w:val="-4"/>
          <w:sz w:val="20"/>
        </w:rPr>
        <w:t> </w:t>
      </w:r>
      <w:r>
        <w:rPr>
          <w:sz w:val="20"/>
        </w:rPr>
        <w:t>T91.8,</w:t>
      </w:r>
      <w:r>
        <w:rPr>
          <w:spacing w:val="-5"/>
          <w:sz w:val="20"/>
        </w:rPr>
        <w:t> </w:t>
      </w:r>
      <w:r>
        <w:rPr>
          <w:sz w:val="20"/>
        </w:rPr>
        <w:t>T91.9,</w:t>
      </w:r>
      <w:r>
        <w:rPr>
          <w:spacing w:val="-4"/>
          <w:sz w:val="20"/>
        </w:rPr>
        <w:t> </w:t>
      </w:r>
      <w:r>
        <w:rPr>
          <w:sz w:val="20"/>
        </w:rPr>
        <w:t>T92,</w:t>
      </w:r>
      <w:r>
        <w:rPr>
          <w:spacing w:val="-5"/>
          <w:sz w:val="20"/>
        </w:rPr>
        <w:t> </w:t>
      </w:r>
      <w:r>
        <w:rPr>
          <w:sz w:val="20"/>
        </w:rPr>
        <w:t>T92.0,</w:t>
      </w:r>
      <w:r>
        <w:rPr>
          <w:spacing w:val="-6"/>
          <w:sz w:val="20"/>
        </w:rPr>
        <w:t> </w:t>
      </w:r>
      <w:r>
        <w:rPr>
          <w:spacing w:val="-2"/>
          <w:sz w:val="20"/>
        </w:rPr>
        <w:t>T92.1,</w:t>
      </w:r>
    </w:p>
    <w:p>
      <w:pPr>
        <w:spacing w:before="0"/>
        <w:ind w:left="4681" w:right="0" w:firstLine="0"/>
        <w:jc w:val="left"/>
        <w:rPr>
          <w:sz w:val="20"/>
        </w:rPr>
      </w:pPr>
      <w:r>
        <w:rPr>
          <w:sz w:val="20"/>
        </w:rPr>
        <w:t>T92.2,</w:t>
      </w:r>
      <w:r>
        <w:rPr>
          <w:spacing w:val="-7"/>
          <w:sz w:val="20"/>
        </w:rPr>
        <w:t> </w:t>
      </w:r>
      <w:r>
        <w:rPr>
          <w:sz w:val="20"/>
        </w:rPr>
        <w:t>T92.3,</w:t>
      </w:r>
      <w:r>
        <w:rPr>
          <w:spacing w:val="-5"/>
          <w:sz w:val="20"/>
        </w:rPr>
        <w:t> </w:t>
      </w:r>
      <w:r>
        <w:rPr>
          <w:sz w:val="20"/>
        </w:rPr>
        <w:t>T92.5,</w:t>
      </w:r>
      <w:r>
        <w:rPr>
          <w:spacing w:val="-5"/>
          <w:sz w:val="20"/>
        </w:rPr>
        <w:t> </w:t>
      </w:r>
      <w:r>
        <w:rPr>
          <w:sz w:val="20"/>
        </w:rPr>
        <w:t>T92.6,</w:t>
      </w:r>
      <w:r>
        <w:rPr>
          <w:spacing w:val="-5"/>
          <w:sz w:val="20"/>
        </w:rPr>
        <w:t> </w:t>
      </w:r>
      <w:r>
        <w:rPr>
          <w:sz w:val="20"/>
        </w:rPr>
        <w:t>T92.8,</w:t>
      </w:r>
      <w:r>
        <w:rPr>
          <w:spacing w:val="-5"/>
          <w:sz w:val="20"/>
        </w:rPr>
        <w:t> </w:t>
      </w:r>
      <w:r>
        <w:rPr>
          <w:sz w:val="20"/>
        </w:rPr>
        <w:t>T92.9,</w:t>
      </w:r>
      <w:r>
        <w:rPr>
          <w:spacing w:val="-5"/>
          <w:sz w:val="20"/>
        </w:rPr>
        <w:t> </w:t>
      </w:r>
      <w:r>
        <w:rPr>
          <w:spacing w:val="-4"/>
          <w:sz w:val="20"/>
        </w:rPr>
        <w:t>T93,</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68"/>
        <w:gridCol w:w="5193"/>
        <w:gridCol w:w="2075"/>
        <w:gridCol w:w="2922"/>
        <w:gridCol w:w="962"/>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2468" w:type="dxa"/>
          </w:tcPr>
          <w:p>
            <w:pPr>
              <w:pStyle w:val="TableParagraph"/>
              <w:rPr>
                <w:sz w:val="18"/>
              </w:rPr>
            </w:pPr>
          </w:p>
        </w:tc>
        <w:tc>
          <w:tcPr>
            <w:tcW w:w="5193" w:type="dxa"/>
          </w:tcPr>
          <w:p>
            <w:pPr>
              <w:pStyle w:val="TableParagraph"/>
              <w:ind w:left="1232" w:right="505" w:hanging="958"/>
              <w:rPr>
                <w:sz w:val="20"/>
              </w:rPr>
            </w:pPr>
            <w:r>
              <w:rPr>
                <w:sz w:val="20"/>
              </w:rPr>
              <w:t>T93.0,</w:t>
            </w:r>
            <w:r>
              <w:rPr>
                <w:spacing w:val="-9"/>
                <w:sz w:val="20"/>
              </w:rPr>
              <w:t> </w:t>
            </w:r>
            <w:r>
              <w:rPr>
                <w:sz w:val="20"/>
              </w:rPr>
              <w:t>T93.1,</w:t>
            </w:r>
            <w:r>
              <w:rPr>
                <w:spacing w:val="-7"/>
                <w:sz w:val="20"/>
              </w:rPr>
              <w:t> </w:t>
            </w:r>
            <w:r>
              <w:rPr>
                <w:sz w:val="20"/>
              </w:rPr>
              <w:t>T93.2,</w:t>
            </w:r>
            <w:r>
              <w:rPr>
                <w:spacing w:val="-7"/>
                <w:sz w:val="20"/>
              </w:rPr>
              <w:t> </w:t>
            </w:r>
            <w:r>
              <w:rPr>
                <w:sz w:val="20"/>
              </w:rPr>
              <w:t>T93.3,</w:t>
            </w:r>
            <w:r>
              <w:rPr>
                <w:spacing w:val="-7"/>
                <w:sz w:val="20"/>
              </w:rPr>
              <w:t> </w:t>
            </w:r>
            <w:r>
              <w:rPr>
                <w:sz w:val="20"/>
              </w:rPr>
              <w:t>T93.5,</w:t>
            </w:r>
            <w:r>
              <w:rPr>
                <w:spacing w:val="-7"/>
                <w:sz w:val="20"/>
              </w:rPr>
              <w:t> </w:t>
            </w:r>
            <w:r>
              <w:rPr>
                <w:sz w:val="20"/>
              </w:rPr>
              <w:t>T93.6,</w:t>
            </w:r>
            <w:r>
              <w:rPr>
                <w:spacing w:val="-7"/>
                <w:sz w:val="20"/>
              </w:rPr>
              <w:t> </w:t>
            </w:r>
            <w:r>
              <w:rPr>
                <w:sz w:val="20"/>
              </w:rPr>
              <w:t>T93.8, T93.9, T94, T94.0, T94.1</w:t>
            </w:r>
          </w:p>
        </w:tc>
        <w:tc>
          <w:tcPr>
            <w:tcW w:w="2075" w:type="dxa"/>
          </w:tcPr>
          <w:p>
            <w:pPr>
              <w:pStyle w:val="TableParagraph"/>
              <w:rPr>
                <w:sz w:val="18"/>
              </w:rPr>
            </w:pPr>
          </w:p>
        </w:tc>
        <w:tc>
          <w:tcPr>
            <w:tcW w:w="2922" w:type="dxa"/>
          </w:tcPr>
          <w:p>
            <w:pPr>
              <w:pStyle w:val="TableParagraph"/>
              <w:rPr>
                <w:sz w:val="18"/>
              </w:rPr>
            </w:pPr>
          </w:p>
        </w:tc>
        <w:tc>
          <w:tcPr>
            <w:tcW w:w="962" w:type="dxa"/>
          </w:tcPr>
          <w:p>
            <w:pPr>
              <w:pStyle w:val="TableParagraph"/>
              <w:rPr>
                <w:sz w:val="18"/>
              </w:rPr>
            </w:pPr>
          </w:p>
        </w:tc>
      </w:tr>
      <w:tr>
        <w:trPr>
          <w:trHeight w:val="330" w:hRule="atLeast"/>
        </w:trPr>
        <w:tc>
          <w:tcPr>
            <w:tcW w:w="978" w:type="dxa"/>
          </w:tcPr>
          <w:p>
            <w:pPr>
              <w:pStyle w:val="TableParagraph"/>
              <w:spacing w:before="45"/>
              <w:ind w:left="39" w:right="186"/>
              <w:jc w:val="center"/>
              <w:rPr>
                <w:sz w:val="20"/>
              </w:rPr>
            </w:pPr>
            <w:r>
              <w:rPr>
                <w:spacing w:val="-4"/>
                <w:sz w:val="20"/>
              </w:rPr>
              <w:t>ds30</w:t>
            </w:r>
          </w:p>
        </w:tc>
        <w:tc>
          <w:tcPr>
            <w:tcW w:w="696" w:type="dxa"/>
          </w:tcPr>
          <w:p>
            <w:pPr>
              <w:pStyle w:val="TableParagraph"/>
              <w:spacing w:before="45"/>
              <w:ind w:left="250"/>
              <w:rPr>
                <w:sz w:val="20"/>
              </w:rPr>
            </w:pPr>
            <w:r>
              <w:rPr>
                <w:spacing w:val="-5"/>
                <w:sz w:val="20"/>
              </w:rPr>
              <w:t>30</w:t>
            </w:r>
          </w:p>
        </w:tc>
        <w:tc>
          <w:tcPr>
            <w:tcW w:w="2468" w:type="dxa"/>
          </w:tcPr>
          <w:p>
            <w:pPr>
              <w:pStyle w:val="TableParagraph"/>
              <w:rPr>
                <w:sz w:val="18"/>
              </w:rPr>
            </w:pPr>
          </w:p>
        </w:tc>
        <w:tc>
          <w:tcPr>
            <w:tcW w:w="5193" w:type="dxa"/>
          </w:tcPr>
          <w:p>
            <w:pPr>
              <w:pStyle w:val="TableParagraph"/>
              <w:spacing w:before="45"/>
              <w:ind w:right="903"/>
              <w:jc w:val="right"/>
              <w:rPr>
                <w:sz w:val="20"/>
              </w:rPr>
            </w:pPr>
            <w:r>
              <w:rPr>
                <w:spacing w:val="-2"/>
                <w:sz w:val="20"/>
              </w:rPr>
              <w:t>Урология</w:t>
            </w:r>
          </w:p>
        </w:tc>
        <w:tc>
          <w:tcPr>
            <w:tcW w:w="2075" w:type="dxa"/>
          </w:tcPr>
          <w:p>
            <w:pPr>
              <w:pStyle w:val="TableParagraph"/>
              <w:rPr>
                <w:sz w:val="18"/>
              </w:rPr>
            </w:pPr>
          </w:p>
        </w:tc>
        <w:tc>
          <w:tcPr>
            <w:tcW w:w="2922" w:type="dxa"/>
          </w:tcPr>
          <w:p>
            <w:pPr>
              <w:pStyle w:val="TableParagraph"/>
              <w:rPr>
                <w:sz w:val="18"/>
              </w:rPr>
            </w:pPr>
          </w:p>
        </w:tc>
        <w:tc>
          <w:tcPr>
            <w:tcW w:w="962" w:type="dxa"/>
          </w:tcPr>
          <w:p>
            <w:pPr>
              <w:pStyle w:val="TableParagraph"/>
              <w:spacing w:before="45"/>
              <w:ind w:right="47"/>
              <w:jc w:val="right"/>
              <w:rPr>
                <w:sz w:val="20"/>
              </w:rPr>
            </w:pPr>
            <w:r>
              <w:rPr>
                <w:spacing w:val="-4"/>
                <w:sz w:val="20"/>
              </w:rPr>
              <w:t>0,98</w:t>
            </w:r>
          </w:p>
        </w:tc>
      </w:tr>
      <w:tr>
        <w:trPr>
          <w:trHeight w:val="279" w:hRule="atLeast"/>
        </w:trPr>
        <w:tc>
          <w:tcPr>
            <w:tcW w:w="978" w:type="dxa"/>
          </w:tcPr>
          <w:p>
            <w:pPr>
              <w:pStyle w:val="TableParagraph"/>
              <w:spacing w:line="214" w:lineRule="exact" w:before="46"/>
              <w:ind w:left="38" w:right="186"/>
              <w:jc w:val="center"/>
              <w:rPr>
                <w:sz w:val="20"/>
              </w:rPr>
            </w:pPr>
            <w:r>
              <w:rPr>
                <w:spacing w:val="-2"/>
                <w:sz w:val="20"/>
              </w:rPr>
              <w:t>ds30.001</w:t>
            </w:r>
          </w:p>
        </w:tc>
        <w:tc>
          <w:tcPr>
            <w:tcW w:w="696" w:type="dxa"/>
          </w:tcPr>
          <w:p>
            <w:pPr>
              <w:pStyle w:val="TableParagraph"/>
              <w:spacing w:line="214" w:lineRule="exact" w:before="46"/>
              <w:ind w:left="200"/>
              <w:rPr>
                <w:sz w:val="20"/>
              </w:rPr>
            </w:pPr>
            <w:r>
              <w:rPr>
                <w:spacing w:val="-5"/>
                <w:sz w:val="20"/>
              </w:rPr>
              <w:t>129</w:t>
            </w:r>
          </w:p>
        </w:tc>
        <w:tc>
          <w:tcPr>
            <w:tcW w:w="2468" w:type="dxa"/>
          </w:tcPr>
          <w:p>
            <w:pPr>
              <w:pStyle w:val="TableParagraph"/>
              <w:spacing w:line="214" w:lineRule="exact" w:before="46"/>
              <w:ind w:left="193"/>
              <w:rPr>
                <w:sz w:val="20"/>
              </w:rPr>
            </w:pPr>
            <w:r>
              <w:rPr>
                <w:sz w:val="20"/>
              </w:rPr>
              <w:t>Болезни,</w:t>
            </w:r>
            <w:r>
              <w:rPr>
                <w:spacing w:val="-10"/>
                <w:sz w:val="20"/>
              </w:rPr>
              <w:t> </w:t>
            </w:r>
            <w:r>
              <w:rPr>
                <w:spacing w:val="-2"/>
                <w:sz w:val="20"/>
              </w:rPr>
              <w:t>врожденные</w:t>
            </w:r>
          </w:p>
        </w:tc>
        <w:tc>
          <w:tcPr>
            <w:tcW w:w="5193" w:type="dxa"/>
          </w:tcPr>
          <w:p>
            <w:pPr>
              <w:pStyle w:val="TableParagraph"/>
              <w:spacing w:line="214" w:lineRule="exact" w:before="46"/>
              <w:ind w:left="493"/>
              <w:rPr>
                <w:sz w:val="20"/>
              </w:rPr>
            </w:pPr>
            <w:r>
              <w:rPr>
                <w:sz w:val="20"/>
              </w:rPr>
              <w:t>D07.4,</w:t>
            </w:r>
            <w:r>
              <w:rPr>
                <w:spacing w:val="-4"/>
                <w:sz w:val="20"/>
              </w:rPr>
              <w:t> </w:t>
            </w:r>
            <w:r>
              <w:rPr>
                <w:sz w:val="20"/>
              </w:rPr>
              <w:t>D07.5,</w:t>
            </w:r>
            <w:r>
              <w:rPr>
                <w:spacing w:val="-6"/>
                <w:sz w:val="20"/>
              </w:rPr>
              <w:t> </w:t>
            </w:r>
            <w:r>
              <w:rPr>
                <w:sz w:val="20"/>
              </w:rPr>
              <w:t>D07.6,</w:t>
            </w:r>
            <w:r>
              <w:rPr>
                <w:spacing w:val="-4"/>
                <w:sz w:val="20"/>
              </w:rPr>
              <w:t> </w:t>
            </w:r>
            <w:r>
              <w:rPr>
                <w:sz w:val="20"/>
              </w:rPr>
              <w:t>D09.0,</w:t>
            </w:r>
            <w:r>
              <w:rPr>
                <w:spacing w:val="-6"/>
                <w:sz w:val="20"/>
              </w:rPr>
              <w:t> </w:t>
            </w:r>
            <w:r>
              <w:rPr>
                <w:sz w:val="20"/>
              </w:rPr>
              <w:t>D09.1,</w:t>
            </w:r>
            <w:r>
              <w:rPr>
                <w:spacing w:val="-4"/>
                <w:sz w:val="20"/>
              </w:rPr>
              <w:t> </w:t>
            </w:r>
            <w:r>
              <w:rPr>
                <w:spacing w:val="-2"/>
                <w:sz w:val="20"/>
              </w:rPr>
              <w:t>D09.7,</w:t>
            </w:r>
          </w:p>
        </w:tc>
        <w:tc>
          <w:tcPr>
            <w:tcW w:w="2075" w:type="dxa"/>
          </w:tcPr>
          <w:p>
            <w:pPr>
              <w:pStyle w:val="TableParagraph"/>
              <w:spacing w:line="214" w:lineRule="exact" w:before="46"/>
              <w:ind w:right="193"/>
              <w:jc w:val="center"/>
              <w:rPr>
                <w:sz w:val="20"/>
              </w:rPr>
            </w:pPr>
            <w:r>
              <w:rPr>
                <w:w w:val="99"/>
                <w:sz w:val="20"/>
              </w:rPr>
              <w:t>-</w:t>
            </w:r>
          </w:p>
        </w:tc>
        <w:tc>
          <w:tcPr>
            <w:tcW w:w="2922" w:type="dxa"/>
          </w:tcPr>
          <w:p>
            <w:pPr>
              <w:pStyle w:val="TableParagraph"/>
              <w:spacing w:line="214" w:lineRule="exact" w:before="46"/>
              <w:ind w:left="1102"/>
              <w:rPr>
                <w:sz w:val="20"/>
              </w:rPr>
            </w:pPr>
            <w:r>
              <w:rPr>
                <w:sz w:val="20"/>
              </w:rPr>
              <w:t>Пол:</w:t>
            </w:r>
            <w:r>
              <w:rPr>
                <w:spacing w:val="-6"/>
                <w:sz w:val="20"/>
              </w:rPr>
              <w:t> </w:t>
            </w:r>
            <w:r>
              <w:rPr>
                <w:spacing w:val="-2"/>
                <w:sz w:val="20"/>
              </w:rPr>
              <w:t>Мужской</w:t>
            </w:r>
          </w:p>
        </w:tc>
        <w:tc>
          <w:tcPr>
            <w:tcW w:w="962" w:type="dxa"/>
          </w:tcPr>
          <w:p>
            <w:pPr>
              <w:pStyle w:val="TableParagraph"/>
              <w:spacing w:line="214" w:lineRule="exact" w:before="46"/>
              <w:ind w:right="47"/>
              <w:jc w:val="right"/>
              <w:rPr>
                <w:sz w:val="20"/>
              </w:rPr>
            </w:pPr>
            <w:r>
              <w:rPr>
                <w:spacing w:val="-4"/>
                <w:sz w:val="20"/>
              </w:rPr>
              <w:t>0,80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09" w:lineRule="exact"/>
              <w:ind w:left="193"/>
              <w:rPr>
                <w:sz w:val="20"/>
              </w:rPr>
            </w:pPr>
            <w:r>
              <w:rPr>
                <w:sz w:val="20"/>
              </w:rPr>
              <w:t>аномалии,</w:t>
            </w:r>
            <w:r>
              <w:rPr>
                <w:spacing w:val="-8"/>
                <w:sz w:val="20"/>
              </w:rPr>
              <w:t> </w:t>
            </w:r>
            <w:r>
              <w:rPr>
                <w:spacing w:val="-2"/>
                <w:sz w:val="20"/>
              </w:rPr>
              <w:t>повреждения</w:t>
            </w:r>
          </w:p>
        </w:tc>
        <w:tc>
          <w:tcPr>
            <w:tcW w:w="5193" w:type="dxa"/>
          </w:tcPr>
          <w:p>
            <w:pPr>
              <w:pStyle w:val="TableParagraph"/>
              <w:spacing w:line="209" w:lineRule="exact"/>
              <w:ind w:left="272"/>
              <w:rPr>
                <w:sz w:val="20"/>
              </w:rPr>
            </w:pPr>
            <w:r>
              <w:rPr>
                <w:sz w:val="20"/>
              </w:rPr>
              <w:t>D09.9,</w:t>
            </w:r>
            <w:r>
              <w:rPr>
                <w:spacing w:val="-6"/>
                <w:sz w:val="20"/>
              </w:rPr>
              <w:t> </w:t>
            </w:r>
            <w:r>
              <w:rPr>
                <w:sz w:val="20"/>
              </w:rPr>
              <w:t>D29,</w:t>
            </w:r>
            <w:r>
              <w:rPr>
                <w:spacing w:val="-6"/>
                <w:sz w:val="20"/>
              </w:rPr>
              <w:t> </w:t>
            </w:r>
            <w:r>
              <w:rPr>
                <w:sz w:val="20"/>
              </w:rPr>
              <w:t>D29.0,</w:t>
            </w:r>
            <w:r>
              <w:rPr>
                <w:spacing w:val="-5"/>
                <w:sz w:val="20"/>
              </w:rPr>
              <w:t> </w:t>
            </w:r>
            <w:r>
              <w:rPr>
                <w:sz w:val="20"/>
              </w:rPr>
              <w:t>D29.1,</w:t>
            </w:r>
            <w:r>
              <w:rPr>
                <w:spacing w:val="-6"/>
                <w:sz w:val="20"/>
              </w:rPr>
              <w:t> </w:t>
            </w:r>
            <w:r>
              <w:rPr>
                <w:sz w:val="20"/>
              </w:rPr>
              <w:t>D29.2,</w:t>
            </w:r>
            <w:r>
              <w:rPr>
                <w:spacing w:val="-5"/>
                <w:sz w:val="20"/>
              </w:rPr>
              <w:t> </w:t>
            </w:r>
            <w:r>
              <w:rPr>
                <w:sz w:val="20"/>
              </w:rPr>
              <w:t>D29.3,</w:t>
            </w:r>
            <w:r>
              <w:rPr>
                <w:spacing w:val="-6"/>
                <w:sz w:val="20"/>
              </w:rPr>
              <w:t> </w:t>
            </w:r>
            <w:r>
              <w:rPr>
                <w:spacing w:val="-2"/>
                <w:sz w:val="20"/>
              </w:rPr>
              <w:t>D29.4,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11" w:lineRule="exact"/>
              <w:ind w:left="193"/>
              <w:rPr>
                <w:sz w:val="20"/>
              </w:rPr>
            </w:pPr>
            <w:r>
              <w:rPr>
                <w:sz w:val="20"/>
              </w:rPr>
              <w:t>мочевой</w:t>
            </w:r>
            <w:r>
              <w:rPr>
                <w:spacing w:val="-7"/>
                <w:sz w:val="20"/>
              </w:rPr>
              <w:t> </w:t>
            </w:r>
            <w:r>
              <w:rPr>
                <w:sz w:val="20"/>
              </w:rPr>
              <w:t>системы</w:t>
            </w:r>
            <w:r>
              <w:rPr>
                <w:spacing w:val="-5"/>
                <w:sz w:val="20"/>
              </w:rPr>
              <w:t> </w:t>
            </w:r>
            <w:r>
              <w:rPr>
                <w:spacing w:val="-10"/>
                <w:sz w:val="20"/>
              </w:rPr>
              <w:t>и</w:t>
            </w:r>
          </w:p>
        </w:tc>
        <w:tc>
          <w:tcPr>
            <w:tcW w:w="5193" w:type="dxa"/>
          </w:tcPr>
          <w:p>
            <w:pPr>
              <w:pStyle w:val="TableParagraph"/>
              <w:spacing w:line="211" w:lineRule="exact"/>
              <w:ind w:left="272"/>
              <w:rPr>
                <w:sz w:val="20"/>
              </w:rPr>
            </w:pPr>
            <w:r>
              <w:rPr>
                <w:sz w:val="20"/>
              </w:rPr>
              <w:t>D29.7,</w:t>
            </w:r>
            <w:r>
              <w:rPr>
                <w:spacing w:val="-5"/>
                <w:sz w:val="20"/>
              </w:rPr>
              <w:t> </w:t>
            </w:r>
            <w:r>
              <w:rPr>
                <w:sz w:val="20"/>
              </w:rPr>
              <w:t>D29.9,</w:t>
            </w:r>
            <w:r>
              <w:rPr>
                <w:spacing w:val="-7"/>
                <w:sz w:val="20"/>
              </w:rPr>
              <w:t> </w:t>
            </w:r>
            <w:r>
              <w:rPr>
                <w:sz w:val="20"/>
              </w:rPr>
              <w:t>D30,</w:t>
            </w:r>
            <w:r>
              <w:rPr>
                <w:spacing w:val="-4"/>
                <w:sz w:val="20"/>
              </w:rPr>
              <w:t> </w:t>
            </w:r>
            <w:r>
              <w:rPr>
                <w:sz w:val="20"/>
              </w:rPr>
              <w:t>D30.0,</w:t>
            </w:r>
            <w:r>
              <w:rPr>
                <w:spacing w:val="-5"/>
                <w:sz w:val="20"/>
              </w:rPr>
              <w:t> </w:t>
            </w:r>
            <w:r>
              <w:rPr>
                <w:sz w:val="20"/>
              </w:rPr>
              <w:t>D30.1,</w:t>
            </w:r>
            <w:r>
              <w:rPr>
                <w:spacing w:val="-5"/>
                <w:sz w:val="20"/>
              </w:rPr>
              <w:t> </w:t>
            </w:r>
            <w:r>
              <w:rPr>
                <w:sz w:val="20"/>
              </w:rPr>
              <w:t>D30.2,</w:t>
            </w:r>
            <w:r>
              <w:rPr>
                <w:spacing w:val="-5"/>
                <w:sz w:val="20"/>
              </w:rPr>
              <w:t> </w:t>
            </w:r>
            <w:r>
              <w:rPr>
                <w:spacing w:val="-2"/>
                <w:sz w:val="20"/>
              </w:rPr>
              <w:t>D30.3,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11" w:lineRule="exact"/>
              <w:ind w:left="193"/>
              <w:rPr>
                <w:sz w:val="20"/>
              </w:rPr>
            </w:pPr>
            <w:r>
              <w:rPr>
                <w:sz w:val="20"/>
              </w:rPr>
              <w:t>мужских</w:t>
            </w:r>
            <w:r>
              <w:rPr>
                <w:spacing w:val="-9"/>
                <w:sz w:val="20"/>
              </w:rPr>
              <w:t> </w:t>
            </w:r>
            <w:r>
              <w:rPr>
                <w:spacing w:val="-2"/>
                <w:sz w:val="20"/>
              </w:rPr>
              <w:t>половых</w:t>
            </w:r>
          </w:p>
        </w:tc>
        <w:tc>
          <w:tcPr>
            <w:tcW w:w="5193" w:type="dxa"/>
          </w:tcPr>
          <w:p>
            <w:pPr>
              <w:pStyle w:val="TableParagraph"/>
              <w:spacing w:line="211" w:lineRule="exact"/>
              <w:ind w:left="272"/>
              <w:rPr>
                <w:sz w:val="20"/>
              </w:rPr>
            </w:pPr>
            <w:r>
              <w:rPr>
                <w:sz w:val="20"/>
              </w:rPr>
              <w:t>D30.4,</w:t>
            </w:r>
            <w:r>
              <w:rPr>
                <w:spacing w:val="-6"/>
                <w:sz w:val="20"/>
              </w:rPr>
              <w:t> </w:t>
            </w:r>
            <w:r>
              <w:rPr>
                <w:sz w:val="20"/>
              </w:rPr>
              <w:t>D30.7,</w:t>
            </w:r>
            <w:r>
              <w:rPr>
                <w:spacing w:val="-6"/>
                <w:sz w:val="20"/>
              </w:rPr>
              <w:t> </w:t>
            </w:r>
            <w:r>
              <w:rPr>
                <w:sz w:val="20"/>
              </w:rPr>
              <w:t>D30.9,</w:t>
            </w:r>
            <w:r>
              <w:rPr>
                <w:spacing w:val="-5"/>
                <w:sz w:val="20"/>
              </w:rPr>
              <w:t> </w:t>
            </w:r>
            <w:r>
              <w:rPr>
                <w:sz w:val="20"/>
              </w:rPr>
              <w:t>D40,</w:t>
            </w:r>
            <w:r>
              <w:rPr>
                <w:spacing w:val="-6"/>
                <w:sz w:val="20"/>
              </w:rPr>
              <w:t> </w:t>
            </w:r>
            <w:r>
              <w:rPr>
                <w:sz w:val="20"/>
              </w:rPr>
              <w:t>D40.0,</w:t>
            </w:r>
            <w:r>
              <w:rPr>
                <w:spacing w:val="-5"/>
                <w:sz w:val="20"/>
              </w:rPr>
              <w:t> </w:t>
            </w:r>
            <w:r>
              <w:rPr>
                <w:sz w:val="20"/>
              </w:rPr>
              <w:t>D40.1,</w:t>
            </w:r>
            <w:r>
              <w:rPr>
                <w:spacing w:val="-5"/>
                <w:sz w:val="20"/>
              </w:rPr>
              <w:t> </w:t>
            </w:r>
            <w:r>
              <w:rPr>
                <w:spacing w:val="-2"/>
                <w:sz w:val="20"/>
              </w:rPr>
              <w:t>D40.7,</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10" w:lineRule="exact"/>
              <w:ind w:left="193"/>
              <w:rPr>
                <w:sz w:val="20"/>
              </w:rPr>
            </w:pPr>
            <w:r>
              <w:rPr>
                <w:spacing w:val="-2"/>
                <w:sz w:val="20"/>
              </w:rPr>
              <w:t>органов</w:t>
            </w:r>
          </w:p>
        </w:tc>
        <w:tc>
          <w:tcPr>
            <w:tcW w:w="5193" w:type="dxa"/>
          </w:tcPr>
          <w:p>
            <w:pPr>
              <w:pStyle w:val="TableParagraph"/>
              <w:spacing w:line="210" w:lineRule="exact"/>
              <w:ind w:left="272"/>
              <w:rPr>
                <w:sz w:val="20"/>
              </w:rPr>
            </w:pPr>
            <w:r>
              <w:rPr>
                <w:sz w:val="20"/>
              </w:rPr>
              <w:t>D40.9,</w:t>
            </w:r>
            <w:r>
              <w:rPr>
                <w:spacing w:val="-6"/>
                <w:sz w:val="20"/>
              </w:rPr>
              <w:t> </w:t>
            </w:r>
            <w:r>
              <w:rPr>
                <w:sz w:val="20"/>
              </w:rPr>
              <w:t>D41,</w:t>
            </w:r>
            <w:r>
              <w:rPr>
                <w:spacing w:val="-6"/>
                <w:sz w:val="20"/>
              </w:rPr>
              <w:t> </w:t>
            </w:r>
            <w:r>
              <w:rPr>
                <w:sz w:val="20"/>
              </w:rPr>
              <w:t>D41.0,</w:t>
            </w:r>
            <w:r>
              <w:rPr>
                <w:spacing w:val="-5"/>
                <w:sz w:val="20"/>
              </w:rPr>
              <w:t> </w:t>
            </w:r>
            <w:r>
              <w:rPr>
                <w:sz w:val="20"/>
              </w:rPr>
              <w:t>D41.1,</w:t>
            </w:r>
            <w:r>
              <w:rPr>
                <w:spacing w:val="-6"/>
                <w:sz w:val="20"/>
              </w:rPr>
              <w:t> </w:t>
            </w:r>
            <w:r>
              <w:rPr>
                <w:sz w:val="20"/>
              </w:rPr>
              <w:t>D41.2,</w:t>
            </w:r>
            <w:r>
              <w:rPr>
                <w:spacing w:val="-5"/>
                <w:sz w:val="20"/>
              </w:rPr>
              <w:t> </w:t>
            </w:r>
            <w:r>
              <w:rPr>
                <w:sz w:val="20"/>
              </w:rPr>
              <w:t>D41.3,</w:t>
            </w:r>
            <w:r>
              <w:rPr>
                <w:spacing w:val="-6"/>
                <w:sz w:val="20"/>
              </w:rPr>
              <w:t> </w:t>
            </w:r>
            <w:r>
              <w:rPr>
                <w:spacing w:val="-2"/>
                <w:sz w:val="20"/>
              </w:rPr>
              <w:t>D41.4,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4"/>
              <w:rPr>
                <w:sz w:val="20"/>
              </w:rPr>
            </w:pPr>
            <w:r>
              <w:rPr>
                <w:sz w:val="20"/>
              </w:rPr>
              <w:t>D41.7,</w:t>
            </w:r>
            <w:r>
              <w:rPr>
                <w:spacing w:val="-5"/>
                <w:sz w:val="20"/>
              </w:rPr>
              <w:t> </w:t>
            </w:r>
            <w:r>
              <w:rPr>
                <w:sz w:val="20"/>
              </w:rPr>
              <w:t>D41.9,</w:t>
            </w:r>
            <w:r>
              <w:rPr>
                <w:spacing w:val="-7"/>
                <w:sz w:val="20"/>
              </w:rPr>
              <w:t> </w:t>
            </w:r>
            <w:r>
              <w:rPr>
                <w:sz w:val="20"/>
              </w:rPr>
              <w:t>I86.1,</w:t>
            </w:r>
            <w:r>
              <w:rPr>
                <w:spacing w:val="-7"/>
                <w:sz w:val="20"/>
              </w:rPr>
              <w:t> </w:t>
            </w:r>
            <w:r>
              <w:rPr>
                <w:sz w:val="20"/>
              </w:rPr>
              <w:t>I86.2,</w:t>
            </w:r>
            <w:r>
              <w:rPr>
                <w:spacing w:val="-5"/>
                <w:sz w:val="20"/>
              </w:rPr>
              <w:t> </w:t>
            </w:r>
            <w:r>
              <w:rPr>
                <w:sz w:val="20"/>
              </w:rPr>
              <w:t>N13.4,</w:t>
            </w:r>
            <w:r>
              <w:rPr>
                <w:spacing w:val="-5"/>
                <w:sz w:val="20"/>
              </w:rPr>
              <w:t> </w:t>
            </w:r>
            <w:r>
              <w:rPr>
                <w:sz w:val="20"/>
              </w:rPr>
              <w:t>N13.5,</w:t>
            </w:r>
            <w:r>
              <w:rPr>
                <w:spacing w:val="-5"/>
                <w:sz w:val="20"/>
              </w:rPr>
              <w:t> </w:t>
            </w:r>
            <w:r>
              <w:rPr>
                <w:spacing w:val="-2"/>
                <w:sz w:val="20"/>
              </w:rPr>
              <w:t>N13.7,</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N13.8,</w:t>
            </w:r>
            <w:r>
              <w:rPr>
                <w:spacing w:val="-6"/>
                <w:sz w:val="20"/>
              </w:rPr>
              <w:t> </w:t>
            </w:r>
            <w:r>
              <w:rPr>
                <w:sz w:val="20"/>
              </w:rPr>
              <w:t>N13.9,</w:t>
            </w:r>
            <w:r>
              <w:rPr>
                <w:spacing w:val="-7"/>
                <w:sz w:val="20"/>
              </w:rPr>
              <w:t> </w:t>
            </w:r>
            <w:r>
              <w:rPr>
                <w:sz w:val="20"/>
              </w:rPr>
              <w:t>N14,</w:t>
            </w:r>
            <w:r>
              <w:rPr>
                <w:spacing w:val="-5"/>
                <w:sz w:val="20"/>
              </w:rPr>
              <w:t> </w:t>
            </w:r>
            <w:r>
              <w:rPr>
                <w:sz w:val="20"/>
              </w:rPr>
              <w:t>N14.0,</w:t>
            </w:r>
            <w:r>
              <w:rPr>
                <w:spacing w:val="-5"/>
                <w:sz w:val="20"/>
              </w:rPr>
              <w:t> </w:t>
            </w:r>
            <w:r>
              <w:rPr>
                <w:sz w:val="20"/>
              </w:rPr>
              <w:t>N14.1,</w:t>
            </w:r>
            <w:r>
              <w:rPr>
                <w:spacing w:val="-5"/>
                <w:sz w:val="20"/>
              </w:rPr>
              <w:t> </w:t>
            </w:r>
            <w:r>
              <w:rPr>
                <w:sz w:val="20"/>
              </w:rPr>
              <w:t>N14.2,</w:t>
            </w:r>
            <w:r>
              <w:rPr>
                <w:spacing w:val="-6"/>
                <w:sz w:val="20"/>
              </w:rPr>
              <w:t> </w:t>
            </w:r>
            <w:r>
              <w:rPr>
                <w:spacing w:val="-2"/>
                <w:sz w:val="20"/>
              </w:rPr>
              <w:t>N14.3,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421"/>
              <w:rPr>
                <w:sz w:val="20"/>
              </w:rPr>
            </w:pPr>
            <w:r>
              <w:rPr>
                <w:sz w:val="20"/>
              </w:rPr>
              <w:t>N14.4,</w:t>
            </w:r>
            <w:r>
              <w:rPr>
                <w:spacing w:val="-5"/>
                <w:sz w:val="20"/>
              </w:rPr>
              <w:t> </w:t>
            </w:r>
            <w:r>
              <w:rPr>
                <w:sz w:val="20"/>
              </w:rPr>
              <w:t>N25,</w:t>
            </w:r>
            <w:r>
              <w:rPr>
                <w:spacing w:val="-5"/>
                <w:sz w:val="20"/>
              </w:rPr>
              <w:t> </w:t>
            </w:r>
            <w:r>
              <w:rPr>
                <w:sz w:val="20"/>
              </w:rPr>
              <w:t>N25.0,</w:t>
            </w:r>
            <w:r>
              <w:rPr>
                <w:spacing w:val="-5"/>
                <w:sz w:val="20"/>
              </w:rPr>
              <w:t> </w:t>
            </w:r>
            <w:r>
              <w:rPr>
                <w:sz w:val="20"/>
              </w:rPr>
              <w:t>N25.9,</w:t>
            </w:r>
            <w:r>
              <w:rPr>
                <w:spacing w:val="-5"/>
                <w:sz w:val="20"/>
              </w:rPr>
              <w:t> </w:t>
            </w:r>
            <w:r>
              <w:rPr>
                <w:sz w:val="20"/>
              </w:rPr>
              <w:t>N26,</w:t>
            </w:r>
            <w:r>
              <w:rPr>
                <w:spacing w:val="-5"/>
                <w:sz w:val="20"/>
              </w:rPr>
              <w:t> </w:t>
            </w:r>
            <w:r>
              <w:rPr>
                <w:sz w:val="20"/>
              </w:rPr>
              <w:t>N27,</w:t>
            </w:r>
            <w:r>
              <w:rPr>
                <w:spacing w:val="-5"/>
                <w:sz w:val="20"/>
              </w:rPr>
              <w:t> </w:t>
            </w:r>
            <w:r>
              <w:rPr>
                <w:spacing w:val="-2"/>
                <w:sz w:val="20"/>
              </w:rPr>
              <w:t>N27.0,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N27.1,</w:t>
            </w:r>
            <w:r>
              <w:rPr>
                <w:spacing w:val="-6"/>
                <w:sz w:val="20"/>
              </w:rPr>
              <w:t> </w:t>
            </w:r>
            <w:r>
              <w:rPr>
                <w:sz w:val="20"/>
              </w:rPr>
              <w:t>N27.9,</w:t>
            </w:r>
            <w:r>
              <w:rPr>
                <w:spacing w:val="-7"/>
                <w:sz w:val="20"/>
              </w:rPr>
              <w:t> </w:t>
            </w:r>
            <w:r>
              <w:rPr>
                <w:sz w:val="20"/>
              </w:rPr>
              <w:t>N28,</w:t>
            </w:r>
            <w:r>
              <w:rPr>
                <w:spacing w:val="-5"/>
                <w:sz w:val="20"/>
              </w:rPr>
              <w:t> </w:t>
            </w:r>
            <w:r>
              <w:rPr>
                <w:sz w:val="20"/>
              </w:rPr>
              <w:t>N28.0,</w:t>
            </w:r>
            <w:r>
              <w:rPr>
                <w:spacing w:val="-5"/>
                <w:sz w:val="20"/>
              </w:rPr>
              <w:t> </w:t>
            </w:r>
            <w:r>
              <w:rPr>
                <w:sz w:val="20"/>
              </w:rPr>
              <w:t>N28.1,</w:t>
            </w:r>
            <w:r>
              <w:rPr>
                <w:spacing w:val="-5"/>
                <w:sz w:val="20"/>
              </w:rPr>
              <w:t> </w:t>
            </w:r>
            <w:r>
              <w:rPr>
                <w:sz w:val="20"/>
              </w:rPr>
              <w:t>N28.8,</w:t>
            </w:r>
            <w:r>
              <w:rPr>
                <w:spacing w:val="-6"/>
                <w:sz w:val="20"/>
              </w:rPr>
              <w:t> </w:t>
            </w:r>
            <w:r>
              <w:rPr>
                <w:spacing w:val="-2"/>
                <w:sz w:val="20"/>
              </w:rPr>
              <w:t>N28.9,</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N29.1,</w:t>
            </w:r>
            <w:r>
              <w:rPr>
                <w:spacing w:val="-6"/>
                <w:sz w:val="20"/>
              </w:rPr>
              <w:t> </w:t>
            </w:r>
            <w:r>
              <w:rPr>
                <w:sz w:val="20"/>
              </w:rPr>
              <w:t>N29.8,</w:t>
            </w:r>
            <w:r>
              <w:rPr>
                <w:spacing w:val="-7"/>
                <w:sz w:val="20"/>
              </w:rPr>
              <w:t> </w:t>
            </w:r>
            <w:r>
              <w:rPr>
                <w:sz w:val="20"/>
              </w:rPr>
              <w:t>N31,</w:t>
            </w:r>
            <w:r>
              <w:rPr>
                <w:spacing w:val="-5"/>
                <w:sz w:val="20"/>
              </w:rPr>
              <w:t> </w:t>
            </w:r>
            <w:r>
              <w:rPr>
                <w:sz w:val="20"/>
              </w:rPr>
              <w:t>N31.0,</w:t>
            </w:r>
            <w:r>
              <w:rPr>
                <w:spacing w:val="-5"/>
                <w:sz w:val="20"/>
              </w:rPr>
              <w:t> </w:t>
            </w:r>
            <w:r>
              <w:rPr>
                <w:sz w:val="20"/>
              </w:rPr>
              <w:t>N31.1,</w:t>
            </w:r>
            <w:r>
              <w:rPr>
                <w:spacing w:val="-5"/>
                <w:sz w:val="20"/>
              </w:rPr>
              <w:t> </w:t>
            </w:r>
            <w:r>
              <w:rPr>
                <w:sz w:val="20"/>
              </w:rPr>
              <w:t>N31.2,</w:t>
            </w:r>
            <w:r>
              <w:rPr>
                <w:spacing w:val="-6"/>
                <w:sz w:val="20"/>
              </w:rPr>
              <w:t> </w:t>
            </w:r>
            <w:r>
              <w:rPr>
                <w:spacing w:val="-2"/>
                <w:sz w:val="20"/>
              </w:rPr>
              <w:t>N31.8,</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N31.9,</w:t>
            </w:r>
            <w:r>
              <w:rPr>
                <w:spacing w:val="-6"/>
                <w:sz w:val="20"/>
              </w:rPr>
              <w:t> </w:t>
            </w:r>
            <w:r>
              <w:rPr>
                <w:sz w:val="20"/>
              </w:rPr>
              <w:t>N32,</w:t>
            </w:r>
            <w:r>
              <w:rPr>
                <w:spacing w:val="-6"/>
                <w:sz w:val="20"/>
              </w:rPr>
              <w:t> </w:t>
            </w:r>
            <w:r>
              <w:rPr>
                <w:sz w:val="20"/>
              </w:rPr>
              <w:t>N32.0,</w:t>
            </w:r>
            <w:r>
              <w:rPr>
                <w:spacing w:val="-5"/>
                <w:sz w:val="20"/>
              </w:rPr>
              <w:t> </w:t>
            </w:r>
            <w:r>
              <w:rPr>
                <w:sz w:val="20"/>
              </w:rPr>
              <w:t>N32.1,</w:t>
            </w:r>
            <w:r>
              <w:rPr>
                <w:spacing w:val="-6"/>
                <w:sz w:val="20"/>
              </w:rPr>
              <w:t> </w:t>
            </w:r>
            <w:r>
              <w:rPr>
                <w:sz w:val="20"/>
              </w:rPr>
              <w:t>N32.2,</w:t>
            </w:r>
            <w:r>
              <w:rPr>
                <w:spacing w:val="-5"/>
                <w:sz w:val="20"/>
              </w:rPr>
              <w:t> </w:t>
            </w:r>
            <w:r>
              <w:rPr>
                <w:sz w:val="20"/>
              </w:rPr>
              <w:t>N32.3,</w:t>
            </w:r>
            <w:r>
              <w:rPr>
                <w:spacing w:val="-6"/>
                <w:sz w:val="20"/>
              </w:rPr>
              <w:t> </w:t>
            </w:r>
            <w:r>
              <w:rPr>
                <w:spacing w:val="-2"/>
                <w:sz w:val="20"/>
              </w:rPr>
              <w:t>N32.4,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N32.8,</w:t>
            </w:r>
            <w:r>
              <w:rPr>
                <w:spacing w:val="-6"/>
                <w:sz w:val="20"/>
              </w:rPr>
              <w:t> </w:t>
            </w:r>
            <w:r>
              <w:rPr>
                <w:sz w:val="20"/>
              </w:rPr>
              <w:t>N32.9,</w:t>
            </w:r>
            <w:r>
              <w:rPr>
                <w:spacing w:val="-7"/>
                <w:sz w:val="20"/>
              </w:rPr>
              <w:t> </w:t>
            </w:r>
            <w:r>
              <w:rPr>
                <w:sz w:val="20"/>
              </w:rPr>
              <w:t>N36,</w:t>
            </w:r>
            <w:r>
              <w:rPr>
                <w:spacing w:val="-5"/>
                <w:sz w:val="20"/>
              </w:rPr>
              <w:t> </w:t>
            </w:r>
            <w:r>
              <w:rPr>
                <w:sz w:val="20"/>
              </w:rPr>
              <w:t>N36.0,</w:t>
            </w:r>
            <w:r>
              <w:rPr>
                <w:spacing w:val="-5"/>
                <w:sz w:val="20"/>
              </w:rPr>
              <w:t> </w:t>
            </w:r>
            <w:r>
              <w:rPr>
                <w:sz w:val="20"/>
              </w:rPr>
              <w:t>N36.1,</w:t>
            </w:r>
            <w:r>
              <w:rPr>
                <w:spacing w:val="-5"/>
                <w:sz w:val="20"/>
              </w:rPr>
              <w:t> </w:t>
            </w:r>
            <w:r>
              <w:rPr>
                <w:sz w:val="20"/>
              </w:rPr>
              <w:t>N36.2,</w:t>
            </w:r>
            <w:r>
              <w:rPr>
                <w:spacing w:val="-6"/>
                <w:sz w:val="20"/>
              </w:rPr>
              <w:t> </w:t>
            </w:r>
            <w:r>
              <w:rPr>
                <w:spacing w:val="-2"/>
                <w:sz w:val="20"/>
              </w:rPr>
              <w:t>N36.3,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N36.8,</w:t>
            </w:r>
            <w:r>
              <w:rPr>
                <w:spacing w:val="-6"/>
                <w:sz w:val="20"/>
              </w:rPr>
              <w:t> </w:t>
            </w:r>
            <w:r>
              <w:rPr>
                <w:sz w:val="20"/>
              </w:rPr>
              <w:t>N36.9,</w:t>
            </w:r>
            <w:r>
              <w:rPr>
                <w:spacing w:val="-7"/>
                <w:sz w:val="20"/>
              </w:rPr>
              <w:t> </w:t>
            </w:r>
            <w:r>
              <w:rPr>
                <w:sz w:val="20"/>
              </w:rPr>
              <w:t>N37,</w:t>
            </w:r>
            <w:r>
              <w:rPr>
                <w:spacing w:val="-5"/>
                <w:sz w:val="20"/>
              </w:rPr>
              <w:t> </w:t>
            </w:r>
            <w:r>
              <w:rPr>
                <w:sz w:val="20"/>
              </w:rPr>
              <w:t>N37.0,</w:t>
            </w:r>
            <w:r>
              <w:rPr>
                <w:spacing w:val="-5"/>
                <w:sz w:val="20"/>
              </w:rPr>
              <w:t> </w:t>
            </w:r>
            <w:r>
              <w:rPr>
                <w:sz w:val="20"/>
              </w:rPr>
              <w:t>N37.8,</w:t>
            </w:r>
            <w:r>
              <w:rPr>
                <w:spacing w:val="-5"/>
                <w:sz w:val="20"/>
              </w:rPr>
              <w:t> </w:t>
            </w:r>
            <w:r>
              <w:rPr>
                <w:sz w:val="20"/>
              </w:rPr>
              <w:t>N39.1,</w:t>
            </w:r>
            <w:r>
              <w:rPr>
                <w:spacing w:val="-6"/>
                <w:sz w:val="20"/>
              </w:rPr>
              <w:t> </w:t>
            </w:r>
            <w:r>
              <w:rPr>
                <w:spacing w:val="-2"/>
                <w:sz w:val="20"/>
              </w:rPr>
              <w:t>N39.2,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346"/>
              <w:rPr>
                <w:sz w:val="20"/>
              </w:rPr>
            </w:pPr>
            <w:r>
              <w:rPr>
                <w:sz w:val="20"/>
              </w:rPr>
              <w:t>N39.3,</w:t>
            </w:r>
            <w:r>
              <w:rPr>
                <w:spacing w:val="-4"/>
                <w:sz w:val="20"/>
              </w:rPr>
              <w:t> </w:t>
            </w:r>
            <w:r>
              <w:rPr>
                <w:sz w:val="20"/>
              </w:rPr>
              <w:t>N39.4,</w:t>
            </w:r>
            <w:r>
              <w:rPr>
                <w:spacing w:val="-5"/>
                <w:sz w:val="20"/>
              </w:rPr>
              <w:t> </w:t>
            </w:r>
            <w:r>
              <w:rPr>
                <w:sz w:val="20"/>
              </w:rPr>
              <w:t>N39.8,</w:t>
            </w:r>
            <w:r>
              <w:rPr>
                <w:spacing w:val="-3"/>
                <w:sz w:val="20"/>
              </w:rPr>
              <w:t> </w:t>
            </w:r>
            <w:r>
              <w:rPr>
                <w:sz w:val="20"/>
              </w:rPr>
              <w:t>N39.9,</w:t>
            </w:r>
            <w:r>
              <w:rPr>
                <w:spacing w:val="-5"/>
                <w:sz w:val="20"/>
              </w:rPr>
              <w:t> </w:t>
            </w:r>
            <w:r>
              <w:rPr>
                <w:sz w:val="20"/>
              </w:rPr>
              <w:t>N40,</w:t>
            </w:r>
            <w:r>
              <w:rPr>
                <w:spacing w:val="-3"/>
                <w:sz w:val="20"/>
              </w:rPr>
              <w:t> </w:t>
            </w:r>
            <w:r>
              <w:rPr>
                <w:sz w:val="20"/>
              </w:rPr>
              <w:t>N41,</w:t>
            </w:r>
            <w:r>
              <w:rPr>
                <w:spacing w:val="-5"/>
                <w:sz w:val="20"/>
              </w:rPr>
              <w:t> </w:t>
            </w:r>
            <w:r>
              <w:rPr>
                <w:spacing w:val="-2"/>
                <w:sz w:val="20"/>
              </w:rPr>
              <w:t>N41.0,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1" w:lineRule="exact"/>
              <w:ind w:left="269"/>
              <w:rPr>
                <w:sz w:val="20"/>
              </w:rPr>
            </w:pPr>
            <w:r>
              <w:rPr>
                <w:sz w:val="20"/>
              </w:rPr>
              <w:t>N41.1,</w:t>
            </w:r>
            <w:r>
              <w:rPr>
                <w:spacing w:val="-4"/>
                <w:sz w:val="20"/>
              </w:rPr>
              <w:t> </w:t>
            </w:r>
            <w:r>
              <w:rPr>
                <w:sz w:val="20"/>
              </w:rPr>
              <w:t>N41.2,</w:t>
            </w:r>
            <w:r>
              <w:rPr>
                <w:spacing w:val="-6"/>
                <w:sz w:val="20"/>
              </w:rPr>
              <w:t> </w:t>
            </w:r>
            <w:r>
              <w:rPr>
                <w:sz w:val="20"/>
              </w:rPr>
              <w:t>N41.3,</w:t>
            </w:r>
            <w:r>
              <w:rPr>
                <w:spacing w:val="-4"/>
                <w:sz w:val="20"/>
              </w:rPr>
              <w:t> </w:t>
            </w:r>
            <w:r>
              <w:rPr>
                <w:sz w:val="20"/>
              </w:rPr>
              <w:t>N41.8,</w:t>
            </w:r>
            <w:r>
              <w:rPr>
                <w:spacing w:val="-6"/>
                <w:sz w:val="20"/>
              </w:rPr>
              <w:t> </w:t>
            </w:r>
            <w:r>
              <w:rPr>
                <w:sz w:val="20"/>
              </w:rPr>
              <w:t>N41.9,</w:t>
            </w:r>
            <w:r>
              <w:rPr>
                <w:spacing w:val="-4"/>
                <w:sz w:val="20"/>
              </w:rPr>
              <w:t> </w:t>
            </w:r>
            <w:r>
              <w:rPr>
                <w:sz w:val="20"/>
              </w:rPr>
              <w:t>N42,</w:t>
            </w:r>
            <w:r>
              <w:rPr>
                <w:spacing w:val="-4"/>
                <w:sz w:val="20"/>
              </w:rPr>
              <w:t> </w:t>
            </w:r>
            <w:r>
              <w:rPr>
                <w:spacing w:val="-2"/>
                <w:sz w:val="20"/>
              </w:rPr>
              <w:t>N42.0,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N42.1,</w:t>
            </w:r>
            <w:r>
              <w:rPr>
                <w:spacing w:val="-4"/>
                <w:sz w:val="20"/>
              </w:rPr>
              <w:t> </w:t>
            </w:r>
            <w:r>
              <w:rPr>
                <w:sz w:val="20"/>
              </w:rPr>
              <w:t>N42.2,</w:t>
            </w:r>
            <w:r>
              <w:rPr>
                <w:spacing w:val="-6"/>
                <w:sz w:val="20"/>
              </w:rPr>
              <w:t> </w:t>
            </w:r>
            <w:r>
              <w:rPr>
                <w:sz w:val="20"/>
              </w:rPr>
              <w:t>N42.3,</w:t>
            </w:r>
            <w:r>
              <w:rPr>
                <w:spacing w:val="-4"/>
                <w:sz w:val="20"/>
              </w:rPr>
              <w:t> </w:t>
            </w:r>
            <w:r>
              <w:rPr>
                <w:sz w:val="20"/>
              </w:rPr>
              <w:t>N42.8,</w:t>
            </w:r>
            <w:r>
              <w:rPr>
                <w:spacing w:val="-6"/>
                <w:sz w:val="20"/>
              </w:rPr>
              <w:t> </w:t>
            </w:r>
            <w:r>
              <w:rPr>
                <w:sz w:val="20"/>
              </w:rPr>
              <w:t>N42.9,</w:t>
            </w:r>
            <w:r>
              <w:rPr>
                <w:spacing w:val="-4"/>
                <w:sz w:val="20"/>
              </w:rPr>
              <w:t> </w:t>
            </w:r>
            <w:r>
              <w:rPr>
                <w:sz w:val="20"/>
              </w:rPr>
              <w:t>N43,</w:t>
            </w:r>
            <w:r>
              <w:rPr>
                <w:spacing w:val="-4"/>
                <w:sz w:val="20"/>
              </w:rPr>
              <w:t> </w:t>
            </w:r>
            <w:r>
              <w:rPr>
                <w:spacing w:val="-2"/>
                <w:sz w:val="20"/>
              </w:rPr>
              <w:t>N43.0,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346"/>
              <w:rPr>
                <w:sz w:val="20"/>
              </w:rPr>
            </w:pPr>
            <w:r>
              <w:rPr>
                <w:sz w:val="20"/>
              </w:rPr>
              <w:t>N43.1,</w:t>
            </w:r>
            <w:r>
              <w:rPr>
                <w:spacing w:val="-4"/>
                <w:sz w:val="20"/>
              </w:rPr>
              <w:t> </w:t>
            </w:r>
            <w:r>
              <w:rPr>
                <w:sz w:val="20"/>
              </w:rPr>
              <w:t>N43.2,</w:t>
            </w:r>
            <w:r>
              <w:rPr>
                <w:spacing w:val="-5"/>
                <w:sz w:val="20"/>
              </w:rPr>
              <w:t> </w:t>
            </w:r>
            <w:r>
              <w:rPr>
                <w:sz w:val="20"/>
              </w:rPr>
              <w:t>N43.3,</w:t>
            </w:r>
            <w:r>
              <w:rPr>
                <w:spacing w:val="-4"/>
                <w:sz w:val="20"/>
              </w:rPr>
              <w:t> </w:t>
            </w:r>
            <w:r>
              <w:rPr>
                <w:sz w:val="20"/>
              </w:rPr>
              <w:t>N43.4,</w:t>
            </w:r>
            <w:r>
              <w:rPr>
                <w:spacing w:val="-5"/>
                <w:sz w:val="20"/>
              </w:rPr>
              <w:t> </w:t>
            </w:r>
            <w:r>
              <w:rPr>
                <w:sz w:val="20"/>
              </w:rPr>
              <w:t>N44,</w:t>
            </w:r>
            <w:r>
              <w:rPr>
                <w:spacing w:val="-4"/>
                <w:sz w:val="20"/>
              </w:rPr>
              <w:t> </w:t>
            </w:r>
            <w:r>
              <w:rPr>
                <w:sz w:val="20"/>
              </w:rPr>
              <w:t>N45,</w:t>
            </w:r>
            <w:r>
              <w:rPr>
                <w:spacing w:val="-5"/>
                <w:sz w:val="20"/>
              </w:rPr>
              <w:t> </w:t>
            </w:r>
            <w:r>
              <w:rPr>
                <w:spacing w:val="-2"/>
                <w:sz w:val="20"/>
              </w:rPr>
              <w:t>N45.0,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421"/>
              <w:rPr>
                <w:sz w:val="20"/>
              </w:rPr>
            </w:pPr>
            <w:r>
              <w:rPr>
                <w:sz w:val="20"/>
              </w:rPr>
              <w:t>N45.9,</w:t>
            </w:r>
            <w:r>
              <w:rPr>
                <w:spacing w:val="-5"/>
                <w:sz w:val="20"/>
              </w:rPr>
              <w:t> </w:t>
            </w:r>
            <w:r>
              <w:rPr>
                <w:sz w:val="20"/>
              </w:rPr>
              <w:t>N46,</w:t>
            </w:r>
            <w:r>
              <w:rPr>
                <w:spacing w:val="-4"/>
                <w:sz w:val="20"/>
              </w:rPr>
              <w:t> </w:t>
            </w:r>
            <w:r>
              <w:rPr>
                <w:sz w:val="20"/>
              </w:rPr>
              <w:t>N47,</w:t>
            </w:r>
            <w:r>
              <w:rPr>
                <w:spacing w:val="-4"/>
                <w:sz w:val="20"/>
              </w:rPr>
              <w:t> </w:t>
            </w:r>
            <w:r>
              <w:rPr>
                <w:sz w:val="20"/>
              </w:rPr>
              <w:t>N48,</w:t>
            </w:r>
            <w:r>
              <w:rPr>
                <w:spacing w:val="-4"/>
                <w:sz w:val="20"/>
              </w:rPr>
              <w:t> </w:t>
            </w:r>
            <w:r>
              <w:rPr>
                <w:sz w:val="20"/>
              </w:rPr>
              <w:t>N48.0,</w:t>
            </w:r>
            <w:r>
              <w:rPr>
                <w:spacing w:val="-5"/>
                <w:sz w:val="20"/>
              </w:rPr>
              <w:t> </w:t>
            </w:r>
            <w:r>
              <w:rPr>
                <w:sz w:val="20"/>
              </w:rPr>
              <w:t>N48.1,</w:t>
            </w:r>
            <w:r>
              <w:rPr>
                <w:spacing w:val="-6"/>
                <w:sz w:val="20"/>
              </w:rPr>
              <w:t> </w:t>
            </w:r>
            <w:r>
              <w:rPr>
                <w:spacing w:val="-2"/>
                <w:sz w:val="20"/>
              </w:rPr>
              <w:t>N48.2,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69"/>
              <w:rPr>
                <w:sz w:val="20"/>
              </w:rPr>
            </w:pPr>
            <w:r>
              <w:rPr>
                <w:sz w:val="20"/>
              </w:rPr>
              <w:t>N48.3,</w:t>
            </w:r>
            <w:r>
              <w:rPr>
                <w:spacing w:val="-5"/>
                <w:sz w:val="20"/>
              </w:rPr>
              <w:t> </w:t>
            </w:r>
            <w:r>
              <w:rPr>
                <w:sz w:val="20"/>
              </w:rPr>
              <w:t>N48.4,</w:t>
            </w:r>
            <w:r>
              <w:rPr>
                <w:spacing w:val="-5"/>
                <w:sz w:val="20"/>
              </w:rPr>
              <w:t> </w:t>
            </w:r>
            <w:r>
              <w:rPr>
                <w:sz w:val="20"/>
              </w:rPr>
              <w:t>N48.5,</w:t>
            </w:r>
            <w:r>
              <w:rPr>
                <w:spacing w:val="-4"/>
                <w:sz w:val="20"/>
              </w:rPr>
              <w:t> </w:t>
            </w:r>
            <w:r>
              <w:rPr>
                <w:sz w:val="20"/>
              </w:rPr>
              <w:t>N48.6,</w:t>
            </w:r>
            <w:r>
              <w:rPr>
                <w:spacing w:val="-6"/>
                <w:sz w:val="20"/>
              </w:rPr>
              <w:t> </w:t>
            </w:r>
            <w:r>
              <w:rPr>
                <w:sz w:val="20"/>
              </w:rPr>
              <w:t>N48.8,</w:t>
            </w:r>
            <w:r>
              <w:rPr>
                <w:spacing w:val="-4"/>
                <w:sz w:val="20"/>
              </w:rPr>
              <w:t> </w:t>
            </w:r>
            <w:r>
              <w:rPr>
                <w:sz w:val="20"/>
              </w:rPr>
              <w:t>N48.9,</w:t>
            </w:r>
            <w:r>
              <w:rPr>
                <w:spacing w:val="-6"/>
                <w:sz w:val="20"/>
              </w:rPr>
              <w:t> </w:t>
            </w:r>
            <w:r>
              <w:rPr>
                <w:spacing w:val="-4"/>
                <w:sz w:val="20"/>
              </w:rPr>
              <w:t>N49,</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N49.0,</w:t>
            </w:r>
            <w:r>
              <w:rPr>
                <w:spacing w:val="-4"/>
                <w:sz w:val="20"/>
              </w:rPr>
              <w:t> </w:t>
            </w:r>
            <w:r>
              <w:rPr>
                <w:sz w:val="20"/>
              </w:rPr>
              <w:t>N49.1,</w:t>
            </w:r>
            <w:r>
              <w:rPr>
                <w:spacing w:val="-6"/>
                <w:sz w:val="20"/>
              </w:rPr>
              <w:t> </w:t>
            </w:r>
            <w:r>
              <w:rPr>
                <w:sz w:val="20"/>
              </w:rPr>
              <w:t>N49.2,</w:t>
            </w:r>
            <w:r>
              <w:rPr>
                <w:spacing w:val="-4"/>
                <w:sz w:val="20"/>
              </w:rPr>
              <w:t> </w:t>
            </w:r>
            <w:r>
              <w:rPr>
                <w:sz w:val="20"/>
              </w:rPr>
              <w:t>N49.8,</w:t>
            </w:r>
            <w:r>
              <w:rPr>
                <w:spacing w:val="-6"/>
                <w:sz w:val="20"/>
              </w:rPr>
              <w:t> </w:t>
            </w:r>
            <w:r>
              <w:rPr>
                <w:sz w:val="20"/>
              </w:rPr>
              <w:t>N49.9,</w:t>
            </w:r>
            <w:r>
              <w:rPr>
                <w:spacing w:val="-4"/>
                <w:sz w:val="20"/>
              </w:rPr>
              <w:t> </w:t>
            </w:r>
            <w:r>
              <w:rPr>
                <w:sz w:val="20"/>
              </w:rPr>
              <w:t>N50,</w:t>
            </w:r>
            <w:r>
              <w:rPr>
                <w:spacing w:val="-4"/>
                <w:sz w:val="20"/>
              </w:rPr>
              <w:t> </w:t>
            </w:r>
            <w:r>
              <w:rPr>
                <w:spacing w:val="-2"/>
                <w:sz w:val="20"/>
              </w:rPr>
              <w:t>N50.0,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N50.1,</w:t>
            </w:r>
            <w:r>
              <w:rPr>
                <w:spacing w:val="-6"/>
                <w:sz w:val="20"/>
              </w:rPr>
              <w:t> </w:t>
            </w:r>
            <w:r>
              <w:rPr>
                <w:sz w:val="20"/>
              </w:rPr>
              <w:t>N50.8,</w:t>
            </w:r>
            <w:r>
              <w:rPr>
                <w:spacing w:val="-6"/>
                <w:sz w:val="20"/>
              </w:rPr>
              <w:t> </w:t>
            </w:r>
            <w:r>
              <w:rPr>
                <w:sz w:val="20"/>
              </w:rPr>
              <w:t>N50.9,</w:t>
            </w:r>
            <w:r>
              <w:rPr>
                <w:spacing w:val="-5"/>
                <w:sz w:val="20"/>
              </w:rPr>
              <w:t> </w:t>
            </w:r>
            <w:r>
              <w:rPr>
                <w:sz w:val="20"/>
              </w:rPr>
              <w:t>N51,</w:t>
            </w:r>
            <w:r>
              <w:rPr>
                <w:spacing w:val="-6"/>
                <w:sz w:val="20"/>
              </w:rPr>
              <w:t> </w:t>
            </w:r>
            <w:r>
              <w:rPr>
                <w:sz w:val="20"/>
              </w:rPr>
              <w:t>N51.0,</w:t>
            </w:r>
            <w:r>
              <w:rPr>
                <w:spacing w:val="-5"/>
                <w:sz w:val="20"/>
              </w:rPr>
              <w:t> </w:t>
            </w:r>
            <w:r>
              <w:rPr>
                <w:sz w:val="20"/>
              </w:rPr>
              <w:t>N51.1,</w:t>
            </w:r>
            <w:r>
              <w:rPr>
                <w:spacing w:val="-5"/>
                <w:sz w:val="20"/>
              </w:rPr>
              <w:t> </w:t>
            </w:r>
            <w:r>
              <w:rPr>
                <w:spacing w:val="-2"/>
                <w:sz w:val="20"/>
              </w:rPr>
              <w:t>N51.2,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N51.8,</w:t>
            </w:r>
            <w:r>
              <w:rPr>
                <w:spacing w:val="-4"/>
                <w:sz w:val="20"/>
              </w:rPr>
              <w:t> </w:t>
            </w:r>
            <w:r>
              <w:rPr>
                <w:sz w:val="20"/>
              </w:rPr>
              <w:t>N99.4,</w:t>
            </w:r>
            <w:r>
              <w:rPr>
                <w:spacing w:val="-6"/>
                <w:sz w:val="20"/>
              </w:rPr>
              <w:t> </w:t>
            </w:r>
            <w:r>
              <w:rPr>
                <w:sz w:val="20"/>
              </w:rPr>
              <w:t>N99.5,</w:t>
            </w:r>
            <w:r>
              <w:rPr>
                <w:spacing w:val="-4"/>
                <w:sz w:val="20"/>
              </w:rPr>
              <w:t> </w:t>
            </w:r>
            <w:r>
              <w:rPr>
                <w:sz w:val="20"/>
              </w:rPr>
              <w:t>N99.8,</w:t>
            </w:r>
            <w:r>
              <w:rPr>
                <w:spacing w:val="-6"/>
                <w:sz w:val="20"/>
              </w:rPr>
              <w:t> </w:t>
            </w:r>
            <w:r>
              <w:rPr>
                <w:sz w:val="20"/>
              </w:rPr>
              <w:t>N99.9,</w:t>
            </w:r>
            <w:r>
              <w:rPr>
                <w:spacing w:val="-4"/>
                <w:sz w:val="20"/>
              </w:rPr>
              <w:t> </w:t>
            </w:r>
            <w:r>
              <w:rPr>
                <w:sz w:val="20"/>
              </w:rPr>
              <w:t>Q53,</w:t>
            </w:r>
            <w:r>
              <w:rPr>
                <w:spacing w:val="-4"/>
                <w:sz w:val="20"/>
              </w:rPr>
              <w:t> </w:t>
            </w:r>
            <w:r>
              <w:rPr>
                <w:spacing w:val="-2"/>
                <w:sz w:val="20"/>
              </w:rPr>
              <w:t>Q53.0,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Q53.1,</w:t>
            </w:r>
            <w:r>
              <w:rPr>
                <w:spacing w:val="-6"/>
                <w:sz w:val="20"/>
              </w:rPr>
              <w:t> </w:t>
            </w:r>
            <w:r>
              <w:rPr>
                <w:sz w:val="20"/>
              </w:rPr>
              <w:t>Q53.2,</w:t>
            </w:r>
            <w:r>
              <w:rPr>
                <w:spacing w:val="-6"/>
                <w:sz w:val="20"/>
              </w:rPr>
              <w:t> </w:t>
            </w:r>
            <w:r>
              <w:rPr>
                <w:sz w:val="20"/>
              </w:rPr>
              <w:t>Q53.9,</w:t>
            </w:r>
            <w:r>
              <w:rPr>
                <w:spacing w:val="-5"/>
                <w:sz w:val="20"/>
              </w:rPr>
              <w:t> </w:t>
            </w:r>
            <w:r>
              <w:rPr>
                <w:sz w:val="20"/>
              </w:rPr>
              <w:t>Q54,</w:t>
            </w:r>
            <w:r>
              <w:rPr>
                <w:spacing w:val="-6"/>
                <w:sz w:val="20"/>
              </w:rPr>
              <w:t> </w:t>
            </w:r>
            <w:r>
              <w:rPr>
                <w:sz w:val="20"/>
              </w:rPr>
              <w:t>Q54.0,</w:t>
            </w:r>
            <w:r>
              <w:rPr>
                <w:spacing w:val="-5"/>
                <w:sz w:val="20"/>
              </w:rPr>
              <w:t> </w:t>
            </w:r>
            <w:r>
              <w:rPr>
                <w:sz w:val="20"/>
              </w:rPr>
              <w:t>Q54.1,</w:t>
            </w:r>
            <w:r>
              <w:rPr>
                <w:spacing w:val="-5"/>
                <w:sz w:val="20"/>
              </w:rPr>
              <w:t> </w:t>
            </w:r>
            <w:r>
              <w:rPr>
                <w:spacing w:val="-2"/>
                <w:sz w:val="20"/>
              </w:rPr>
              <w:t>Q54.2,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69"/>
              <w:rPr>
                <w:sz w:val="20"/>
              </w:rPr>
            </w:pPr>
            <w:r>
              <w:rPr>
                <w:sz w:val="20"/>
              </w:rPr>
              <w:t>Q54.3,</w:t>
            </w:r>
            <w:r>
              <w:rPr>
                <w:spacing w:val="-4"/>
                <w:sz w:val="20"/>
              </w:rPr>
              <w:t> </w:t>
            </w:r>
            <w:r>
              <w:rPr>
                <w:sz w:val="20"/>
              </w:rPr>
              <w:t>Q54.4,</w:t>
            </w:r>
            <w:r>
              <w:rPr>
                <w:spacing w:val="-6"/>
                <w:sz w:val="20"/>
              </w:rPr>
              <w:t> </w:t>
            </w:r>
            <w:r>
              <w:rPr>
                <w:sz w:val="20"/>
              </w:rPr>
              <w:t>Q54.8,</w:t>
            </w:r>
            <w:r>
              <w:rPr>
                <w:spacing w:val="-4"/>
                <w:sz w:val="20"/>
              </w:rPr>
              <w:t> </w:t>
            </w:r>
            <w:r>
              <w:rPr>
                <w:sz w:val="20"/>
              </w:rPr>
              <w:t>Q54.9,</w:t>
            </w:r>
            <w:r>
              <w:rPr>
                <w:spacing w:val="-6"/>
                <w:sz w:val="20"/>
              </w:rPr>
              <w:t> </w:t>
            </w:r>
            <w:r>
              <w:rPr>
                <w:sz w:val="20"/>
              </w:rPr>
              <w:t>Q55,</w:t>
            </w:r>
            <w:r>
              <w:rPr>
                <w:spacing w:val="-4"/>
                <w:sz w:val="20"/>
              </w:rPr>
              <w:t> </w:t>
            </w:r>
            <w:r>
              <w:rPr>
                <w:sz w:val="20"/>
              </w:rPr>
              <w:t>Q55.0,</w:t>
            </w:r>
            <w:r>
              <w:rPr>
                <w:spacing w:val="-4"/>
                <w:sz w:val="20"/>
              </w:rPr>
              <w:t> </w:t>
            </w:r>
            <w:r>
              <w:rPr>
                <w:spacing w:val="-2"/>
                <w:sz w:val="20"/>
              </w:rPr>
              <w:t>Q55.1,</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493"/>
              <w:rPr>
                <w:sz w:val="20"/>
              </w:rPr>
            </w:pPr>
            <w:r>
              <w:rPr>
                <w:sz w:val="20"/>
              </w:rPr>
              <w:t>Q55.2,</w:t>
            </w:r>
            <w:r>
              <w:rPr>
                <w:spacing w:val="-4"/>
                <w:sz w:val="20"/>
              </w:rPr>
              <w:t> </w:t>
            </w:r>
            <w:r>
              <w:rPr>
                <w:sz w:val="20"/>
              </w:rPr>
              <w:t>Q55.3,</w:t>
            </w:r>
            <w:r>
              <w:rPr>
                <w:spacing w:val="-6"/>
                <w:sz w:val="20"/>
              </w:rPr>
              <w:t> </w:t>
            </w:r>
            <w:r>
              <w:rPr>
                <w:sz w:val="20"/>
              </w:rPr>
              <w:t>Q55.4,</w:t>
            </w:r>
            <w:r>
              <w:rPr>
                <w:spacing w:val="-1"/>
                <w:sz w:val="20"/>
              </w:rPr>
              <w:t> </w:t>
            </w:r>
            <w:r>
              <w:rPr>
                <w:sz w:val="20"/>
              </w:rPr>
              <w:t>Q55.5,</w:t>
            </w:r>
            <w:r>
              <w:rPr>
                <w:spacing w:val="-6"/>
                <w:sz w:val="20"/>
              </w:rPr>
              <w:t> </w:t>
            </w:r>
            <w:r>
              <w:rPr>
                <w:sz w:val="20"/>
              </w:rPr>
              <w:t>Q55.6,</w:t>
            </w:r>
            <w:r>
              <w:rPr>
                <w:spacing w:val="-4"/>
                <w:sz w:val="20"/>
              </w:rPr>
              <w:t> </w:t>
            </w:r>
            <w:r>
              <w:rPr>
                <w:spacing w:val="-2"/>
                <w:sz w:val="20"/>
              </w:rPr>
              <w:t>Q55.8,</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1" w:lineRule="exact"/>
              <w:ind w:left="272"/>
              <w:rPr>
                <w:sz w:val="20"/>
              </w:rPr>
            </w:pPr>
            <w:r>
              <w:rPr>
                <w:sz w:val="20"/>
              </w:rPr>
              <w:t>Q55.9,</w:t>
            </w:r>
            <w:r>
              <w:rPr>
                <w:spacing w:val="-6"/>
                <w:sz w:val="20"/>
              </w:rPr>
              <w:t> </w:t>
            </w:r>
            <w:r>
              <w:rPr>
                <w:sz w:val="20"/>
              </w:rPr>
              <w:t>Q60,</w:t>
            </w:r>
            <w:r>
              <w:rPr>
                <w:spacing w:val="-6"/>
                <w:sz w:val="20"/>
              </w:rPr>
              <w:t> </w:t>
            </w:r>
            <w:r>
              <w:rPr>
                <w:sz w:val="20"/>
              </w:rPr>
              <w:t>Q60.0,</w:t>
            </w:r>
            <w:r>
              <w:rPr>
                <w:spacing w:val="-5"/>
                <w:sz w:val="20"/>
              </w:rPr>
              <w:t> </w:t>
            </w:r>
            <w:r>
              <w:rPr>
                <w:sz w:val="20"/>
              </w:rPr>
              <w:t>Q60.1,</w:t>
            </w:r>
            <w:r>
              <w:rPr>
                <w:spacing w:val="-6"/>
                <w:sz w:val="20"/>
              </w:rPr>
              <w:t> </w:t>
            </w:r>
            <w:r>
              <w:rPr>
                <w:sz w:val="20"/>
              </w:rPr>
              <w:t>Q60.2,</w:t>
            </w:r>
            <w:r>
              <w:rPr>
                <w:spacing w:val="-5"/>
                <w:sz w:val="20"/>
              </w:rPr>
              <w:t> </w:t>
            </w:r>
            <w:r>
              <w:rPr>
                <w:sz w:val="20"/>
              </w:rPr>
              <w:t>Q60.3,</w:t>
            </w:r>
            <w:r>
              <w:rPr>
                <w:spacing w:val="-6"/>
                <w:sz w:val="20"/>
              </w:rPr>
              <w:t> </w:t>
            </w:r>
            <w:r>
              <w:rPr>
                <w:spacing w:val="-2"/>
                <w:sz w:val="20"/>
              </w:rPr>
              <w:t>Q60.4,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Q60.5,</w:t>
            </w:r>
            <w:r>
              <w:rPr>
                <w:spacing w:val="-6"/>
                <w:sz w:val="20"/>
              </w:rPr>
              <w:t> </w:t>
            </w:r>
            <w:r>
              <w:rPr>
                <w:sz w:val="20"/>
              </w:rPr>
              <w:t>Q60.6,</w:t>
            </w:r>
            <w:r>
              <w:rPr>
                <w:spacing w:val="-7"/>
                <w:sz w:val="20"/>
              </w:rPr>
              <w:t> </w:t>
            </w:r>
            <w:r>
              <w:rPr>
                <w:sz w:val="20"/>
              </w:rPr>
              <w:t>Q61,</w:t>
            </w:r>
            <w:r>
              <w:rPr>
                <w:spacing w:val="-5"/>
                <w:sz w:val="20"/>
              </w:rPr>
              <w:t> </w:t>
            </w:r>
            <w:r>
              <w:rPr>
                <w:sz w:val="20"/>
              </w:rPr>
              <w:t>Q61.0,</w:t>
            </w:r>
            <w:r>
              <w:rPr>
                <w:spacing w:val="-5"/>
                <w:sz w:val="20"/>
              </w:rPr>
              <w:t> </w:t>
            </w:r>
            <w:r>
              <w:rPr>
                <w:sz w:val="20"/>
              </w:rPr>
              <w:t>Q61.1,</w:t>
            </w:r>
            <w:r>
              <w:rPr>
                <w:spacing w:val="-5"/>
                <w:sz w:val="20"/>
              </w:rPr>
              <w:t> </w:t>
            </w:r>
            <w:r>
              <w:rPr>
                <w:sz w:val="20"/>
              </w:rPr>
              <w:t>Q61.2,</w:t>
            </w:r>
            <w:r>
              <w:rPr>
                <w:spacing w:val="-6"/>
                <w:sz w:val="20"/>
              </w:rPr>
              <w:t> </w:t>
            </w:r>
            <w:r>
              <w:rPr>
                <w:spacing w:val="-2"/>
                <w:sz w:val="20"/>
              </w:rPr>
              <w:t>Q61.3,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Q61.4,</w:t>
            </w:r>
            <w:r>
              <w:rPr>
                <w:spacing w:val="-4"/>
                <w:sz w:val="20"/>
              </w:rPr>
              <w:t> </w:t>
            </w:r>
            <w:r>
              <w:rPr>
                <w:sz w:val="20"/>
              </w:rPr>
              <w:t>Q61.5,</w:t>
            </w:r>
            <w:r>
              <w:rPr>
                <w:spacing w:val="-6"/>
                <w:sz w:val="20"/>
              </w:rPr>
              <w:t> </w:t>
            </w:r>
            <w:r>
              <w:rPr>
                <w:sz w:val="20"/>
              </w:rPr>
              <w:t>Q61.8,</w:t>
            </w:r>
            <w:r>
              <w:rPr>
                <w:spacing w:val="-4"/>
                <w:sz w:val="20"/>
              </w:rPr>
              <w:t> </w:t>
            </w:r>
            <w:r>
              <w:rPr>
                <w:sz w:val="20"/>
              </w:rPr>
              <w:t>Q61.9,</w:t>
            </w:r>
            <w:r>
              <w:rPr>
                <w:spacing w:val="-6"/>
                <w:sz w:val="20"/>
              </w:rPr>
              <w:t> </w:t>
            </w:r>
            <w:r>
              <w:rPr>
                <w:sz w:val="20"/>
              </w:rPr>
              <w:t>Q62,</w:t>
            </w:r>
            <w:r>
              <w:rPr>
                <w:spacing w:val="-4"/>
                <w:sz w:val="20"/>
              </w:rPr>
              <w:t> </w:t>
            </w:r>
            <w:r>
              <w:rPr>
                <w:sz w:val="20"/>
              </w:rPr>
              <w:t>Q62.0,</w:t>
            </w:r>
            <w:r>
              <w:rPr>
                <w:spacing w:val="-4"/>
                <w:sz w:val="20"/>
              </w:rPr>
              <w:t> </w:t>
            </w:r>
            <w:r>
              <w:rPr>
                <w:spacing w:val="-2"/>
                <w:sz w:val="20"/>
              </w:rPr>
              <w:t>Q62.1,</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493"/>
              <w:rPr>
                <w:sz w:val="20"/>
              </w:rPr>
            </w:pPr>
            <w:r>
              <w:rPr>
                <w:sz w:val="20"/>
              </w:rPr>
              <w:t>Q62.2,</w:t>
            </w:r>
            <w:r>
              <w:rPr>
                <w:spacing w:val="-4"/>
                <w:sz w:val="20"/>
              </w:rPr>
              <w:t> </w:t>
            </w:r>
            <w:r>
              <w:rPr>
                <w:sz w:val="20"/>
              </w:rPr>
              <w:t>Q62.3,</w:t>
            </w:r>
            <w:r>
              <w:rPr>
                <w:spacing w:val="-6"/>
                <w:sz w:val="20"/>
              </w:rPr>
              <w:t> </w:t>
            </w:r>
            <w:r>
              <w:rPr>
                <w:sz w:val="20"/>
              </w:rPr>
              <w:t>Q62.4,</w:t>
            </w:r>
            <w:r>
              <w:rPr>
                <w:spacing w:val="-4"/>
                <w:sz w:val="20"/>
              </w:rPr>
              <w:t> </w:t>
            </w:r>
            <w:r>
              <w:rPr>
                <w:sz w:val="20"/>
              </w:rPr>
              <w:t>Q62.5,</w:t>
            </w:r>
            <w:r>
              <w:rPr>
                <w:spacing w:val="-6"/>
                <w:sz w:val="20"/>
              </w:rPr>
              <w:t> </w:t>
            </w:r>
            <w:r>
              <w:rPr>
                <w:sz w:val="20"/>
              </w:rPr>
              <w:t>Q62.6,</w:t>
            </w:r>
            <w:r>
              <w:rPr>
                <w:spacing w:val="-4"/>
                <w:sz w:val="20"/>
              </w:rPr>
              <w:t> </w:t>
            </w:r>
            <w:r>
              <w:rPr>
                <w:spacing w:val="-2"/>
                <w:sz w:val="20"/>
              </w:rPr>
              <w:t>Q62.7,</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Q62.8,</w:t>
            </w:r>
            <w:r>
              <w:rPr>
                <w:spacing w:val="-6"/>
                <w:sz w:val="20"/>
              </w:rPr>
              <w:t> </w:t>
            </w:r>
            <w:r>
              <w:rPr>
                <w:sz w:val="20"/>
              </w:rPr>
              <w:t>Q63,</w:t>
            </w:r>
            <w:r>
              <w:rPr>
                <w:spacing w:val="-6"/>
                <w:sz w:val="20"/>
              </w:rPr>
              <w:t> </w:t>
            </w:r>
            <w:r>
              <w:rPr>
                <w:sz w:val="20"/>
              </w:rPr>
              <w:t>Q63.0,</w:t>
            </w:r>
            <w:r>
              <w:rPr>
                <w:spacing w:val="-5"/>
                <w:sz w:val="20"/>
              </w:rPr>
              <w:t> </w:t>
            </w:r>
            <w:r>
              <w:rPr>
                <w:sz w:val="20"/>
              </w:rPr>
              <w:t>Q63.1,</w:t>
            </w:r>
            <w:r>
              <w:rPr>
                <w:spacing w:val="-6"/>
                <w:sz w:val="20"/>
              </w:rPr>
              <w:t> </w:t>
            </w:r>
            <w:r>
              <w:rPr>
                <w:sz w:val="20"/>
              </w:rPr>
              <w:t>Q63.2,</w:t>
            </w:r>
            <w:r>
              <w:rPr>
                <w:spacing w:val="-5"/>
                <w:sz w:val="20"/>
              </w:rPr>
              <w:t> </w:t>
            </w:r>
            <w:r>
              <w:rPr>
                <w:sz w:val="20"/>
              </w:rPr>
              <w:t>Q63.3,</w:t>
            </w:r>
            <w:r>
              <w:rPr>
                <w:spacing w:val="-6"/>
                <w:sz w:val="20"/>
              </w:rPr>
              <w:t> </w:t>
            </w:r>
            <w:r>
              <w:rPr>
                <w:spacing w:val="-2"/>
                <w:sz w:val="20"/>
              </w:rPr>
              <w:t>Q63.8,</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Q63.9,</w:t>
            </w:r>
            <w:r>
              <w:rPr>
                <w:spacing w:val="-6"/>
                <w:sz w:val="20"/>
              </w:rPr>
              <w:t> </w:t>
            </w:r>
            <w:r>
              <w:rPr>
                <w:sz w:val="20"/>
              </w:rPr>
              <w:t>Q64,</w:t>
            </w:r>
            <w:r>
              <w:rPr>
                <w:spacing w:val="-6"/>
                <w:sz w:val="20"/>
              </w:rPr>
              <w:t> </w:t>
            </w:r>
            <w:r>
              <w:rPr>
                <w:sz w:val="20"/>
              </w:rPr>
              <w:t>Q64.0,</w:t>
            </w:r>
            <w:r>
              <w:rPr>
                <w:spacing w:val="-5"/>
                <w:sz w:val="20"/>
              </w:rPr>
              <w:t> </w:t>
            </w:r>
            <w:r>
              <w:rPr>
                <w:sz w:val="20"/>
              </w:rPr>
              <w:t>Q64.1,</w:t>
            </w:r>
            <w:r>
              <w:rPr>
                <w:spacing w:val="-6"/>
                <w:sz w:val="20"/>
              </w:rPr>
              <w:t> </w:t>
            </w:r>
            <w:r>
              <w:rPr>
                <w:sz w:val="20"/>
              </w:rPr>
              <w:t>Q64.2,</w:t>
            </w:r>
            <w:r>
              <w:rPr>
                <w:spacing w:val="-5"/>
                <w:sz w:val="20"/>
              </w:rPr>
              <w:t> </w:t>
            </w:r>
            <w:r>
              <w:rPr>
                <w:sz w:val="20"/>
              </w:rPr>
              <w:t>Q64.3,</w:t>
            </w:r>
            <w:r>
              <w:rPr>
                <w:spacing w:val="-6"/>
                <w:sz w:val="20"/>
              </w:rPr>
              <w:t> </w:t>
            </w:r>
            <w:r>
              <w:rPr>
                <w:spacing w:val="-2"/>
                <w:sz w:val="20"/>
              </w:rPr>
              <w:t>Q64.4,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29"/>
              <w:rPr>
                <w:sz w:val="20"/>
              </w:rPr>
            </w:pPr>
            <w:r>
              <w:rPr>
                <w:sz w:val="20"/>
              </w:rPr>
              <w:t>Q64.5,</w:t>
            </w:r>
            <w:r>
              <w:rPr>
                <w:spacing w:val="-5"/>
                <w:sz w:val="20"/>
              </w:rPr>
              <w:t> </w:t>
            </w:r>
            <w:r>
              <w:rPr>
                <w:sz w:val="20"/>
              </w:rPr>
              <w:t>Q64.6,</w:t>
            </w:r>
            <w:r>
              <w:rPr>
                <w:spacing w:val="-6"/>
                <w:sz w:val="20"/>
              </w:rPr>
              <w:t> </w:t>
            </w:r>
            <w:r>
              <w:rPr>
                <w:sz w:val="20"/>
              </w:rPr>
              <w:t>Q64.7,</w:t>
            </w:r>
            <w:r>
              <w:rPr>
                <w:spacing w:val="-4"/>
                <w:sz w:val="20"/>
              </w:rPr>
              <w:t> </w:t>
            </w:r>
            <w:r>
              <w:rPr>
                <w:sz w:val="20"/>
              </w:rPr>
              <w:t>Q64.8,</w:t>
            </w:r>
            <w:r>
              <w:rPr>
                <w:spacing w:val="-6"/>
                <w:sz w:val="20"/>
              </w:rPr>
              <w:t> </w:t>
            </w:r>
            <w:r>
              <w:rPr>
                <w:sz w:val="20"/>
              </w:rPr>
              <w:t>Q64.9,</w:t>
            </w:r>
            <w:r>
              <w:rPr>
                <w:spacing w:val="-4"/>
                <w:sz w:val="20"/>
              </w:rPr>
              <w:t> </w:t>
            </w:r>
            <w:r>
              <w:rPr>
                <w:sz w:val="20"/>
              </w:rPr>
              <w:t>S30.2,</w:t>
            </w:r>
            <w:r>
              <w:rPr>
                <w:spacing w:val="-4"/>
                <w:sz w:val="20"/>
              </w:rPr>
              <w:t> </w:t>
            </w:r>
            <w:r>
              <w:rPr>
                <w:spacing w:val="-2"/>
                <w:sz w:val="20"/>
              </w:rPr>
              <w:t>S31.2,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5" w:lineRule="exact"/>
              <w:ind w:left="289"/>
              <w:rPr>
                <w:sz w:val="20"/>
              </w:rPr>
            </w:pPr>
            <w:r>
              <w:rPr>
                <w:sz w:val="20"/>
              </w:rPr>
              <w:t>S31.3,</w:t>
            </w:r>
            <w:r>
              <w:rPr>
                <w:spacing w:val="-6"/>
                <w:sz w:val="20"/>
              </w:rPr>
              <w:t> </w:t>
            </w:r>
            <w:r>
              <w:rPr>
                <w:sz w:val="20"/>
              </w:rPr>
              <w:t>S31.5,</w:t>
            </w:r>
            <w:r>
              <w:rPr>
                <w:spacing w:val="-5"/>
                <w:sz w:val="20"/>
              </w:rPr>
              <w:t> </w:t>
            </w:r>
            <w:r>
              <w:rPr>
                <w:sz w:val="20"/>
              </w:rPr>
              <w:t>S37,</w:t>
            </w:r>
            <w:r>
              <w:rPr>
                <w:spacing w:val="-6"/>
                <w:sz w:val="20"/>
              </w:rPr>
              <w:t> </w:t>
            </w:r>
            <w:r>
              <w:rPr>
                <w:sz w:val="20"/>
              </w:rPr>
              <w:t>S37.0,</w:t>
            </w:r>
            <w:r>
              <w:rPr>
                <w:spacing w:val="-5"/>
                <w:sz w:val="20"/>
              </w:rPr>
              <w:t> </w:t>
            </w:r>
            <w:r>
              <w:rPr>
                <w:sz w:val="20"/>
              </w:rPr>
              <w:t>S37.00,</w:t>
            </w:r>
            <w:r>
              <w:rPr>
                <w:spacing w:val="-5"/>
                <w:sz w:val="20"/>
              </w:rPr>
              <w:t> </w:t>
            </w:r>
            <w:r>
              <w:rPr>
                <w:sz w:val="20"/>
              </w:rPr>
              <w:t>S37.01,</w:t>
            </w:r>
            <w:r>
              <w:rPr>
                <w:spacing w:val="-6"/>
                <w:sz w:val="20"/>
              </w:rPr>
              <w:t> </w:t>
            </w:r>
            <w:r>
              <w:rPr>
                <w:spacing w:val="-2"/>
                <w:sz w:val="20"/>
              </w:rPr>
              <w:t>S37.1,</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390"/>
        <w:gridCol w:w="2515"/>
        <w:gridCol w:w="4485"/>
        <w:gridCol w:w="2367"/>
        <w:gridCol w:w="864"/>
      </w:tblGrid>
      <w:tr>
        <w:trPr>
          <w:trHeight w:val="225" w:hRule="atLeast"/>
        </w:trPr>
        <w:tc>
          <w:tcPr>
            <w:tcW w:w="15295" w:type="dxa"/>
            <w:gridSpan w:val="7"/>
          </w:tcPr>
          <w:p>
            <w:pPr>
              <w:pStyle w:val="TableParagraph"/>
              <w:spacing w:line="205" w:lineRule="exact"/>
              <w:ind w:left="4534"/>
              <w:rPr>
                <w:sz w:val="20"/>
              </w:rPr>
            </w:pPr>
            <w:r>
              <w:rPr>
                <w:sz w:val="20"/>
              </w:rPr>
              <w:t>S37.10,</w:t>
            </w:r>
            <w:r>
              <w:rPr>
                <w:spacing w:val="-7"/>
                <w:sz w:val="20"/>
              </w:rPr>
              <w:t> </w:t>
            </w:r>
            <w:r>
              <w:rPr>
                <w:sz w:val="20"/>
              </w:rPr>
              <w:t>S37.11,</w:t>
            </w:r>
            <w:r>
              <w:rPr>
                <w:spacing w:val="-6"/>
                <w:sz w:val="20"/>
              </w:rPr>
              <w:t> </w:t>
            </w:r>
            <w:r>
              <w:rPr>
                <w:sz w:val="20"/>
              </w:rPr>
              <w:t>S37.2,</w:t>
            </w:r>
            <w:r>
              <w:rPr>
                <w:spacing w:val="-6"/>
                <w:sz w:val="20"/>
              </w:rPr>
              <w:t> </w:t>
            </w:r>
            <w:r>
              <w:rPr>
                <w:sz w:val="20"/>
              </w:rPr>
              <w:t>S37.20,</w:t>
            </w:r>
            <w:r>
              <w:rPr>
                <w:spacing w:val="-7"/>
                <w:sz w:val="20"/>
              </w:rPr>
              <w:t> </w:t>
            </w:r>
            <w:r>
              <w:rPr>
                <w:sz w:val="20"/>
              </w:rPr>
              <w:t>S37.21,</w:t>
            </w:r>
            <w:r>
              <w:rPr>
                <w:spacing w:val="-6"/>
                <w:sz w:val="20"/>
              </w:rPr>
              <w:t> </w:t>
            </w:r>
            <w:r>
              <w:rPr>
                <w:spacing w:val="-2"/>
                <w:sz w:val="20"/>
              </w:rPr>
              <w:t>S37.3,</w:t>
            </w:r>
          </w:p>
        </w:tc>
      </w:tr>
      <w:tr>
        <w:trPr>
          <w:trHeight w:val="229" w:hRule="atLeast"/>
        </w:trPr>
        <w:tc>
          <w:tcPr>
            <w:tcW w:w="15295" w:type="dxa"/>
            <w:gridSpan w:val="7"/>
          </w:tcPr>
          <w:p>
            <w:pPr>
              <w:pStyle w:val="TableParagraph"/>
              <w:spacing w:line="209" w:lineRule="exact"/>
              <w:ind w:left="4534"/>
              <w:rPr>
                <w:sz w:val="20"/>
              </w:rPr>
            </w:pPr>
            <w:r>
              <w:rPr>
                <w:sz w:val="20"/>
              </w:rPr>
              <w:t>S37.30,</w:t>
            </w:r>
            <w:r>
              <w:rPr>
                <w:spacing w:val="-7"/>
                <w:sz w:val="20"/>
              </w:rPr>
              <w:t> </w:t>
            </w:r>
            <w:r>
              <w:rPr>
                <w:sz w:val="20"/>
              </w:rPr>
              <w:t>S37.31,</w:t>
            </w:r>
            <w:r>
              <w:rPr>
                <w:spacing w:val="-6"/>
                <w:sz w:val="20"/>
              </w:rPr>
              <w:t> </w:t>
            </w:r>
            <w:r>
              <w:rPr>
                <w:sz w:val="20"/>
              </w:rPr>
              <w:t>S37.7,</w:t>
            </w:r>
            <w:r>
              <w:rPr>
                <w:spacing w:val="-6"/>
                <w:sz w:val="20"/>
              </w:rPr>
              <w:t> </w:t>
            </w:r>
            <w:r>
              <w:rPr>
                <w:sz w:val="20"/>
              </w:rPr>
              <w:t>S37.70,</w:t>
            </w:r>
            <w:r>
              <w:rPr>
                <w:spacing w:val="-7"/>
                <w:sz w:val="20"/>
              </w:rPr>
              <w:t> </w:t>
            </w:r>
            <w:r>
              <w:rPr>
                <w:sz w:val="20"/>
              </w:rPr>
              <w:t>S37.71,</w:t>
            </w:r>
            <w:r>
              <w:rPr>
                <w:spacing w:val="-6"/>
                <w:sz w:val="20"/>
              </w:rPr>
              <w:t> </w:t>
            </w:r>
            <w:r>
              <w:rPr>
                <w:spacing w:val="-2"/>
                <w:sz w:val="20"/>
              </w:rPr>
              <w:t>S37.8,</w:t>
            </w:r>
          </w:p>
        </w:tc>
      </w:tr>
      <w:tr>
        <w:trPr>
          <w:trHeight w:val="229" w:hRule="atLeast"/>
        </w:trPr>
        <w:tc>
          <w:tcPr>
            <w:tcW w:w="15295" w:type="dxa"/>
            <w:gridSpan w:val="7"/>
          </w:tcPr>
          <w:p>
            <w:pPr>
              <w:pStyle w:val="TableParagraph"/>
              <w:spacing w:line="209" w:lineRule="exact"/>
              <w:ind w:left="4534"/>
              <w:rPr>
                <w:sz w:val="20"/>
              </w:rPr>
            </w:pPr>
            <w:r>
              <w:rPr>
                <w:sz w:val="20"/>
              </w:rPr>
              <w:t>S37.80,</w:t>
            </w:r>
            <w:r>
              <w:rPr>
                <w:spacing w:val="-7"/>
                <w:sz w:val="20"/>
              </w:rPr>
              <w:t> </w:t>
            </w:r>
            <w:r>
              <w:rPr>
                <w:sz w:val="20"/>
              </w:rPr>
              <w:t>S37.81,</w:t>
            </w:r>
            <w:r>
              <w:rPr>
                <w:spacing w:val="-6"/>
                <w:sz w:val="20"/>
              </w:rPr>
              <w:t> </w:t>
            </w:r>
            <w:r>
              <w:rPr>
                <w:sz w:val="20"/>
              </w:rPr>
              <w:t>S37.9,</w:t>
            </w:r>
            <w:r>
              <w:rPr>
                <w:spacing w:val="-3"/>
                <w:sz w:val="20"/>
              </w:rPr>
              <w:t> </w:t>
            </w:r>
            <w:r>
              <w:rPr>
                <w:sz w:val="20"/>
              </w:rPr>
              <w:t>S37.90,</w:t>
            </w:r>
            <w:r>
              <w:rPr>
                <w:spacing w:val="-6"/>
                <w:sz w:val="20"/>
              </w:rPr>
              <w:t> </w:t>
            </w:r>
            <w:r>
              <w:rPr>
                <w:sz w:val="20"/>
              </w:rPr>
              <w:t>S37.91,</w:t>
            </w:r>
            <w:r>
              <w:rPr>
                <w:spacing w:val="-6"/>
                <w:sz w:val="20"/>
              </w:rPr>
              <w:t> </w:t>
            </w:r>
            <w:r>
              <w:rPr>
                <w:spacing w:val="-2"/>
                <w:sz w:val="20"/>
              </w:rPr>
              <w:t>S38.2,</w:t>
            </w:r>
          </w:p>
        </w:tc>
      </w:tr>
      <w:tr>
        <w:trPr>
          <w:trHeight w:val="230" w:hRule="atLeast"/>
        </w:trPr>
        <w:tc>
          <w:tcPr>
            <w:tcW w:w="15295" w:type="dxa"/>
            <w:gridSpan w:val="7"/>
          </w:tcPr>
          <w:p>
            <w:pPr>
              <w:pStyle w:val="TableParagraph"/>
              <w:spacing w:line="210" w:lineRule="exact"/>
              <w:ind w:left="4565"/>
              <w:rPr>
                <w:sz w:val="20"/>
              </w:rPr>
            </w:pPr>
            <w:r>
              <w:rPr>
                <w:sz w:val="20"/>
              </w:rPr>
              <w:t>T19,</w:t>
            </w:r>
            <w:r>
              <w:rPr>
                <w:spacing w:val="-5"/>
                <w:sz w:val="20"/>
              </w:rPr>
              <w:t> </w:t>
            </w:r>
            <w:r>
              <w:rPr>
                <w:sz w:val="20"/>
              </w:rPr>
              <w:t>T19.0,</w:t>
            </w:r>
            <w:r>
              <w:rPr>
                <w:spacing w:val="-7"/>
                <w:sz w:val="20"/>
              </w:rPr>
              <w:t> </w:t>
            </w:r>
            <w:r>
              <w:rPr>
                <w:sz w:val="20"/>
              </w:rPr>
              <w:t>T19.1,</w:t>
            </w:r>
            <w:r>
              <w:rPr>
                <w:spacing w:val="-4"/>
                <w:sz w:val="20"/>
              </w:rPr>
              <w:t> </w:t>
            </w:r>
            <w:r>
              <w:rPr>
                <w:sz w:val="20"/>
              </w:rPr>
              <w:t>T19.8,</w:t>
            </w:r>
            <w:r>
              <w:rPr>
                <w:spacing w:val="-5"/>
                <w:sz w:val="20"/>
              </w:rPr>
              <w:t> </w:t>
            </w:r>
            <w:r>
              <w:rPr>
                <w:sz w:val="20"/>
              </w:rPr>
              <w:t>T19.9,</w:t>
            </w:r>
            <w:r>
              <w:rPr>
                <w:spacing w:val="-4"/>
                <w:sz w:val="20"/>
              </w:rPr>
              <w:t> </w:t>
            </w:r>
            <w:r>
              <w:rPr>
                <w:sz w:val="20"/>
              </w:rPr>
              <w:t>T83,</w:t>
            </w:r>
            <w:r>
              <w:rPr>
                <w:spacing w:val="-5"/>
                <w:sz w:val="20"/>
              </w:rPr>
              <w:t> </w:t>
            </w:r>
            <w:r>
              <w:rPr>
                <w:spacing w:val="-2"/>
                <w:sz w:val="20"/>
              </w:rPr>
              <w:t>T83.0,</w:t>
            </w:r>
          </w:p>
        </w:tc>
      </w:tr>
      <w:tr>
        <w:trPr>
          <w:trHeight w:val="280" w:hRule="atLeast"/>
        </w:trPr>
        <w:tc>
          <w:tcPr>
            <w:tcW w:w="15295" w:type="dxa"/>
            <w:gridSpan w:val="7"/>
          </w:tcPr>
          <w:p>
            <w:pPr>
              <w:pStyle w:val="TableParagraph"/>
              <w:spacing w:line="226" w:lineRule="exact"/>
              <w:ind w:left="4440"/>
              <w:rPr>
                <w:sz w:val="20"/>
              </w:rPr>
            </w:pPr>
            <w:r>
              <w:rPr>
                <w:sz w:val="20"/>
              </w:rPr>
              <w:t>T83.1,</w:t>
            </w:r>
            <w:r>
              <w:rPr>
                <w:spacing w:val="-7"/>
                <w:sz w:val="20"/>
              </w:rPr>
              <w:t> </w:t>
            </w:r>
            <w:r>
              <w:rPr>
                <w:sz w:val="20"/>
              </w:rPr>
              <w:t>T83.2,</w:t>
            </w:r>
            <w:r>
              <w:rPr>
                <w:spacing w:val="-5"/>
                <w:sz w:val="20"/>
              </w:rPr>
              <w:t> </w:t>
            </w:r>
            <w:r>
              <w:rPr>
                <w:sz w:val="20"/>
              </w:rPr>
              <w:t>T83.4,</w:t>
            </w:r>
            <w:r>
              <w:rPr>
                <w:spacing w:val="-5"/>
                <w:sz w:val="20"/>
              </w:rPr>
              <w:t> </w:t>
            </w:r>
            <w:r>
              <w:rPr>
                <w:sz w:val="20"/>
              </w:rPr>
              <w:t>T83.5,</w:t>
            </w:r>
            <w:r>
              <w:rPr>
                <w:spacing w:val="-5"/>
                <w:sz w:val="20"/>
              </w:rPr>
              <w:t> </w:t>
            </w:r>
            <w:r>
              <w:rPr>
                <w:sz w:val="20"/>
              </w:rPr>
              <w:t>T83.6,</w:t>
            </w:r>
            <w:r>
              <w:rPr>
                <w:spacing w:val="-5"/>
                <w:sz w:val="20"/>
              </w:rPr>
              <w:t> </w:t>
            </w:r>
            <w:r>
              <w:rPr>
                <w:sz w:val="20"/>
              </w:rPr>
              <w:t>T83.8,</w:t>
            </w:r>
            <w:r>
              <w:rPr>
                <w:spacing w:val="-5"/>
                <w:sz w:val="20"/>
              </w:rPr>
              <w:t> </w:t>
            </w:r>
            <w:r>
              <w:rPr>
                <w:spacing w:val="-4"/>
                <w:sz w:val="20"/>
              </w:rPr>
              <w:t>T83.9</w:t>
            </w:r>
          </w:p>
        </w:tc>
      </w:tr>
      <w:tr>
        <w:trPr>
          <w:trHeight w:val="279" w:hRule="atLeast"/>
        </w:trPr>
        <w:tc>
          <w:tcPr>
            <w:tcW w:w="978" w:type="dxa"/>
          </w:tcPr>
          <w:p>
            <w:pPr>
              <w:pStyle w:val="TableParagraph"/>
              <w:spacing w:line="214" w:lineRule="exact" w:before="46"/>
              <w:ind w:left="50"/>
              <w:rPr>
                <w:sz w:val="20"/>
              </w:rPr>
            </w:pPr>
            <w:r>
              <w:rPr>
                <w:spacing w:val="-2"/>
                <w:sz w:val="20"/>
              </w:rPr>
              <w:t>ds30.002</w:t>
            </w:r>
          </w:p>
        </w:tc>
        <w:tc>
          <w:tcPr>
            <w:tcW w:w="696" w:type="dxa"/>
          </w:tcPr>
          <w:p>
            <w:pPr>
              <w:pStyle w:val="TableParagraph"/>
              <w:spacing w:line="214" w:lineRule="exact" w:before="46"/>
              <w:ind w:left="200"/>
              <w:rPr>
                <w:sz w:val="20"/>
              </w:rPr>
            </w:pPr>
            <w:r>
              <w:rPr>
                <w:spacing w:val="-5"/>
                <w:sz w:val="20"/>
              </w:rPr>
              <w:t>130</w:t>
            </w:r>
          </w:p>
        </w:tc>
        <w:tc>
          <w:tcPr>
            <w:tcW w:w="3390"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46"/>
              <w:ind w:right="1150"/>
              <w:jc w:val="right"/>
              <w:rPr>
                <w:sz w:val="20"/>
              </w:rPr>
            </w:pPr>
            <w:r>
              <w:rPr>
                <w:w w:val="99"/>
                <w:sz w:val="20"/>
              </w:rPr>
              <w:t>-</w:t>
            </w:r>
          </w:p>
        </w:tc>
        <w:tc>
          <w:tcPr>
            <w:tcW w:w="4485" w:type="dxa"/>
          </w:tcPr>
          <w:p>
            <w:pPr>
              <w:pStyle w:val="TableParagraph"/>
              <w:spacing w:line="214" w:lineRule="exact" w:before="46"/>
              <w:ind w:left="1150" w:right="249"/>
              <w:jc w:val="center"/>
              <w:rPr>
                <w:sz w:val="20"/>
              </w:rPr>
            </w:pPr>
            <w:r>
              <w:rPr>
                <w:sz w:val="20"/>
              </w:rPr>
              <w:t>A11.21.002,</w:t>
            </w:r>
            <w:r>
              <w:rPr>
                <w:spacing w:val="-9"/>
                <w:sz w:val="20"/>
              </w:rPr>
              <w:t> </w:t>
            </w:r>
            <w:r>
              <w:rPr>
                <w:sz w:val="20"/>
              </w:rPr>
              <w:t>A11.21.003,</w:t>
            </w:r>
            <w:r>
              <w:rPr>
                <w:spacing w:val="-10"/>
                <w:sz w:val="20"/>
              </w:rPr>
              <w:t> </w:t>
            </w:r>
            <w:r>
              <w:rPr>
                <w:spacing w:val="-2"/>
                <w:sz w:val="20"/>
              </w:rPr>
              <w:t>A11.21.005,</w:t>
            </w:r>
          </w:p>
        </w:tc>
        <w:tc>
          <w:tcPr>
            <w:tcW w:w="2367" w:type="dxa"/>
          </w:tcPr>
          <w:p>
            <w:pPr>
              <w:pStyle w:val="TableParagraph"/>
              <w:spacing w:line="214" w:lineRule="exact" w:before="46"/>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8"/>
              <w:jc w:val="right"/>
              <w:rPr>
                <w:sz w:val="20"/>
              </w:rPr>
            </w:pPr>
            <w:r>
              <w:rPr>
                <w:spacing w:val="-4"/>
                <w:sz w:val="20"/>
              </w:rPr>
              <w:t>2,18</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5" w:type="dxa"/>
          </w:tcPr>
          <w:p>
            <w:pPr>
              <w:pStyle w:val="TableParagraph"/>
              <w:spacing w:line="209" w:lineRule="exact"/>
              <w:ind w:left="1150" w:right="243"/>
              <w:jc w:val="center"/>
              <w:rPr>
                <w:sz w:val="20"/>
              </w:rPr>
            </w:pPr>
            <w:r>
              <w:rPr>
                <w:sz w:val="20"/>
              </w:rPr>
              <w:t>A16.21.009,</w:t>
            </w:r>
            <w:r>
              <w:rPr>
                <w:spacing w:val="-7"/>
                <w:sz w:val="20"/>
              </w:rPr>
              <w:t> </w:t>
            </w:r>
            <w:r>
              <w:rPr>
                <w:spacing w:val="-2"/>
                <w:sz w:val="20"/>
              </w:rPr>
              <w:t>A16.21.010,</w:t>
            </w:r>
          </w:p>
        </w:tc>
        <w:tc>
          <w:tcPr>
            <w:tcW w:w="2367" w:type="dxa"/>
          </w:tcPr>
          <w:p>
            <w:pPr>
              <w:pStyle w:val="TableParagraph"/>
              <w:spacing w:line="209"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1" w:lineRule="exact"/>
              <w:ind w:left="193"/>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2515" w:type="dxa"/>
          </w:tcPr>
          <w:p>
            <w:pPr>
              <w:pStyle w:val="TableParagraph"/>
              <w:rPr>
                <w:sz w:val="16"/>
              </w:rPr>
            </w:pPr>
          </w:p>
        </w:tc>
        <w:tc>
          <w:tcPr>
            <w:tcW w:w="4485" w:type="dxa"/>
          </w:tcPr>
          <w:p>
            <w:pPr>
              <w:pStyle w:val="TableParagraph"/>
              <w:spacing w:line="211" w:lineRule="exact"/>
              <w:ind w:left="1150" w:right="247"/>
              <w:jc w:val="center"/>
              <w:rPr>
                <w:sz w:val="20"/>
              </w:rPr>
            </w:pPr>
            <w:r>
              <w:rPr>
                <w:w w:val="95"/>
                <w:sz w:val="20"/>
              </w:rPr>
              <w:t>A16.21.010.001,</w:t>
            </w:r>
            <w:r>
              <w:rPr>
                <w:spacing w:val="54"/>
                <w:sz w:val="20"/>
              </w:rPr>
              <w:t> </w:t>
            </w:r>
            <w:r>
              <w:rPr>
                <w:spacing w:val="-2"/>
                <w:sz w:val="20"/>
              </w:rPr>
              <w:t>A16.21.011,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A16.21.012,</w:t>
            </w:r>
            <w:r>
              <w:rPr>
                <w:spacing w:val="-9"/>
                <w:sz w:val="20"/>
              </w:rPr>
              <w:t> </w:t>
            </w:r>
            <w:r>
              <w:rPr>
                <w:sz w:val="20"/>
              </w:rPr>
              <w:t>A16.21.013,</w:t>
            </w:r>
            <w:r>
              <w:rPr>
                <w:spacing w:val="-10"/>
                <w:sz w:val="20"/>
              </w:rPr>
              <w:t> </w:t>
            </w:r>
            <w:r>
              <w:rPr>
                <w:spacing w:val="-2"/>
                <w:sz w:val="20"/>
              </w:rPr>
              <w:t>A16.21.017,</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A16.21.023,</w:t>
            </w:r>
            <w:r>
              <w:rPr>
                <w:spacing w:val="-9"/>
                <w:sz w:val="20"/>
              </w:rPr>
              <w:t> </w:t>
            </w:r>
            <w:r>
              <w:rPr>
                <w:sz w:val="20"/>
              </w:rPr>
              <w:t>A16.21.024,</w:t>
            </w:r>
            <w:r>
              <w:rPr>
                <w:spacing w:val="-10"/>
                <w:sz w:val="20"/>
              </w:rPr>
              <w:t> </w:t>
            </w:r>
            <w:r>
              <w:rPr>
                <w:spacing w:val="-2"/>
                <w:sz w:val="20"/>
              </w:rPr>
              <w:t>A16.21.025,</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A16.21.031,</w:t>
            </w:r>
            <w:r>
              <w:rPr>
                <w:spacing w:val="-9"/>
                <w:sz w:val="20"/>
              </w:rPr>
              <w:t> </w:t>
            </w:r>
            <w:r>
              <w:rPr>
                <w:sz w:val="20"/>
              </w:rPr>
              <w:t>A16.21.032,</w:t>
            </w:r>
            <w:r>
              <w:rPr>
                <w:spacing w:val="-10"/>
                <w:sz w:val="20"/>
              </w:rPr>
              <w:t> </w:t>
            </w:r>
            <w:r>
              <w:rPr>
                <w:spacing w:val="-2"/>
                <w:sz w:val="20"/>
              </w:rPr>
              <w:t>A16.21.034,</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9" w:lineRule="exact"/>
              <w:ind w:left="1150" w:right="247"/>
              <w:jc w:val="center"/>
              <w:rPr>
                <w:sz w:val="20"/>
              </w:rPr>
            </w:pPr>
            <w:r>
              <w:rPr>
                <w:sz w:val="20"/>
              </w:rPr>
              <w:t>A16.21.037,</w:t>
            </w:r>
            <w:r>
              <w:rPr>
                <w:spacing w:val="-9"/>
                <w:sz w:val="20"/>
              </w:rPr>
              <w:t> </w:t>
            </w:r>
            <w:r>
              <w:rPr>
                <w:spacing w:val="-2"/>
                <w:sz w:val="20"/>
              </w:rPr>
              <w:t>A16.21.037.001,</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9" w:lineRule="exact"/>
              <w:ind w:left="1150" w:right="248"/>
              <w:jc w:val="center"/>
              <w:rPr>
                <w:sz w:val="20"/>
              </w:rPr>
            </w:pPr>
            <w:r>
              <w:rPr>
                <w:w w:val="95"/>
                <w:sz w:val="20"/>
              </w:rPr>
              <w:t>A16.21.037.002,</w:t>
            </w:r>
            <w:r>
              <w:rPr>
                <w:spacing w:val="54"/>
                <w:sz w:val="20"/>
              </w:rPr>
              <w:t> </w:t>
            </w:r>
            <w:r>
              <w:rPr>
                <w:spacing w:val="-2"/>
                <w:sz w:val="20"/>
              </w:rPr>
              <w:t>A16.21.037.003,</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A16.21.038,</w:t>
            </w:r>
            <w:r>
              <w:rPr>
                <w:spacing w:val="-9"/>
                <w:sz w:val="20"/>
              </w:rPr>
              <w:t> </w:t>
            </w:r>
            <w:r>
              <w:rPr>
                <w:sz w:val="20"/>
              </w:rPr>
              <w:t>A16.21.039,</w:t>
            </w:r>
            <w:r>
              <w:rPr>
                <w:spacing w:val="-10"/>
                <w:sz w:val="20"/>
              </w:rPr>
              <w:t> </w:t>
            </w:r>
            <w:r>
              <w:rPr>
                <w:spacing w:val="-2"/>
                <w:sz w:val="20"/>
              </w:rPr>
              <w:t>A16.21.040,</w:t>
            </w:r>
          </w:p>
        </w:tc>
        <w:tc>
          <w:tcPr>
            <w:tcW w:w="2367" w:type="dxa"/>
          </w:tcPr>
          <w:p>
            <w:pPr>
              <w:pStyle w:val="TableParagraph"/>
              <w:rPr>
                <w:sz w:val="16"/>
              </w:rPr>
            </w:pPr>
          </w:p>
        </w:tc>
        <w:tc>
          <w:tcPr>
            <w:tcW w:w="864"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5" w:type="dxa"/>
          </w:tcPr>
          <w:p>
            <w:pPr>
              <w:pStyle w:val="TableParagraph"/>
              <w:spacing w:line="226" w:lineRule="exact"/>
              <w:ind w:left="1150" w:right="246"/>
              <w:jc w:val="center"/>
              <w:rPr>
                <w:sz w:val="20"/>
              </w:rPr>
            </w:pPr>
            <w:r>
              <w:rPr>
                <w:sz w:val="20"/>
              </w:rPr>
              <w:t>A16.21.043,</w:t>
            </w:r>
            <w:r>
              <w:rPr>
                <w:spacing w:val="-7"/>
                <w:sz w:val="20"/>
              </w:rPr>
              <w:t> </w:t>
            </w:r>
            <w:r>
              <w:rPr>
                <w:spacing w:val="-2"/>
                <w:sz w:val="20"/>
              </w:rPr>
              <w:t>A16.21.048</w:t>
            </w:r>
          </w:p>
        </w:tc>
        <w:tc>
          <w:tcPr>
            <w:tcW w:w="2367" w:type="dxa"/>
          </w:tcPr>
          <w:p>
            <w:pPr>
              <w:pStyle w:val="TableParagraph"/>
              <w:rPr>
                <w:sz w:val="18"/>
              </w:rPr>
            </w:pPr>
          </w:p>
        </w:tc>
        <w:tc>
          <w:tcPr>
            <w:tcW w:w="864" w:type="dxa"/>
          </w:tcPr>
          <w:p>
            <w:pPr>
              <w:pStyle w:val="TableParagraph"/>
              <w:rPr>
                <w:sz w:val="18"/>
              </w:rPr>
            </w:pPr>
          </w:p>
        </w:tc>
      </w:tr>
      <w:tr>
        <w:trPr>
          <w:trHeight w:val="279" w:hRule="atLeast"/>
        </w:trPr>
        <w:tc>
          <w:tcPr>
            <w:tcW w:w="978" w:type="dxa"/>
          </w:tcPr>
          <w:p>
            <w:pPr>
              <w:pStyle w:val="TableParagraph"/>
              <w:spacing w:line="214" w:lineRule="exact" w:before="46"/>
              <w:ind w:left="50"/>
              <w:rPr>
                <w:sz w:val="20"/>
              </w:rPr>
            </w:pPr>
            <w:r>
              <w:rPr>
                <w:spacing w:val="-2"/>
                <w:sz w:val="20"/>
              </w:rPr>
              <w:t>ds30.003</w:t>
            </w:r>
          </w:p>
        </w:tc>
        <w:tc>
          <w:tcPr>
            <w:tcW w:w="696" w:type="dxa"/>
          </w:tcPr>
          <w:p>
            <w:pPr>
              <w:pStyle w:val="TableParagraph"/>
              <w:spacing w:line="214" w:lineRule="exact" w:before="46"/>
              <w:ind w:left="200"/>
              <w:rPr>
                <w:sz w:val="20"/>
              </w:rPr>
            </w:pPr>
            <w:r>
              <w:rPr>
                <w:spacing w:val="-5"/>
                <w:sz w:val="20"/>
              </w:rPr>
              <w:t>131</w:t>
            </w:r>
          </w:p>
        </w:tc>
        <w:tc>
          <w:tcPr>
            <w:tcW w:w="3390"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46"/>
              <w:ind w:right="1150"/>
              <w:jc w:val="right"/>
              <w:rPr>
                <w:sz w:val="20"/>
              </w:rPr>
            </w:pPr>
            <w:r>
              <w:rPr>
                <w:w w:val="99"/>
                <w:sz w:val="20"/>
              </w:rPr>
              <w:t>-</w:t>
            </w:r>
          </w:p>
        </w:tc>
        <w:tc>
          <w:tcPr>
            <w:tcW w:w="4485" w:type="dxa"/>
          </w:tcPr>
          <w:p>
            <w:pPr>
              <w:pStyle w:val="TableParagraph"/>
              <w:spacing w:line="214" w:lineRule="exact" w:before="46"/>
              <w:ind w:left="1150" w:right="247"/>
              <w:jc w:val="center"/>
              <w:rPr>
                <w:sz w:val="20"/>
              </w:rPr>
            </w:pPr>
            <w:r>
              <w:rPr>
                <w:w w:val="95"/>
                <w:sz w:val="20"/>
              </w:rPr>
              <w:t>A11.21.005.001,</w:t>
            </w:r>
            <w:r>
              <w:rPr>
                <w:spacing w:val="54"/>
                <w:sz w:val="20"/>
              </w:rPr>
              <w:t> </w:t>
            </w:r>
            <w:r>
              <w:rPr>
                <w:spacing w:val="-2"/>
                <w:sz w:val="20"/>
              </w:rPr>
              <w:t>A16.21.015,</w:t>
            </w:r>
          </w:p>
        </w:tc>
        <w:tc>
          <w:tcPr>
            <w:tcW w:w="2367" w:type="dxa"/>
          </w:tcPr>
          <w:p>
            <w:pPr>
              <w:pStyle w:val="TableParagraph"/>
              <w:spacing w:line="214" w:lineRule="exact" w:before="46"/>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8"/>
              <w:jc w:val="right"/>
              <w:rPr>
                <w:sz w:val="20"/>
              </w:rPr>
            </w:pPr>
            <w:r>
              <w:rPr>
                <w:spacing w:val="-4"/>
                <w:sz w:val="20"/>
              </w:rPr>
              <w:t>2,58</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5" w:type="dxa"/>
          </w:tcPr>
          <w:p>
            <w:pPr>
              <w:pStyle w:val="TableParagraph"/>
              <w:spacing w:line="209" w:lineRule="exact"/>
              <w:ind w:left="1150" w:right="247"/>
              <w:jc w:val="center"/>
              <w:rPr>
                <w:sz w:val="20"/>
              </w:rPr>
            </w:pPr>
            <w:r>
              <w:rPr>
                <w:w w:val="95"/>
                <w:sz w:val="20"/>
              </w:rPr>
              <w:t>A16.21.015.001,</w:t>
            </w:r>
            <w:r>
              <w:rPr>
                <w:spacing w:val="54"/>
                <w:sz w:val="20"/>
              </w:rPr>
              <w:t> </w:t>
            </w:r>
            <w:r>
              <w:rPr>
                <w:spacing w:val="-2"/>
                <w:sz w:val="20"/>
              </w:rPr>
              <w:t>A16.21.018,</w:t>
            </w:r>
          </w:p>
        </w:tc>
        <w:tc>
          <w:tcPr>
            <w:tcW w:w="2367" w:type="dxa"/>
          </w:tcPr>
          <w:p>
            <w:pPr>
              <w:pStyle w:val="TableParagraph"/>
              <w:spacing w:line="209"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spacing w:line="226" w:lineRule="exact"/>
              <w:ind w:left="193"/>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2515" w:type="dxa"/>
          </w:tcPr>
          <w:p>
            <w:pPr>
              <w:pStyle w:val="TableParagraph"/>
              <w:rPr>
                <w:sz w:val="18"/>
              </w:rPr>
            </w:pPr>
          </w:p>
        </w:tc>
        <w:tc>
          <w:tcPr>
            <w:tcW w:w="4485" w:type="dxa"/>
          </w:tcPr>
          <w:p>
            <w:pPr>
              <w:pStyle w:val="TableParagraph"/>
              <w:spacing w:line="226" w:lineRule="exact"/>
              <w:ind w:left="1150" w:right="247"/>
              <w:jc w:val="center"/>
              <w:rPr>
                <w:sz w:val="20"/>
              </w:rPr>
            </w:pPr>
            <w:r>
              <w:rPr>
                <w:sz w:val="20"/>
              </w:rPr>
              <w:t>A16.21.044,</w:t>
            </w:r>
            <w:r>
              <w:rPr>
                <w:spacing w:val="-9"/>
                <w:sz w:val="20"/>
              </w:rPr>
              <w:t> </w:t>
            </w:r>
            <w:r>
              <w:rPr>
                <w:sz w:val="20"/>
              </w:rPr>
              <w:t>A16.21.045,</w:t>
            </w:r>
            <w:r>
              <w:rPr>
                <w:spacing w:val="-10"/>
                <w:sz w:val="20"/>
              </w:rPr>
              <w:t> </w:t>
            </w:r>
            <w:r>
              <w:rPr>
                <w:spacing w:val="-2"/>
                <w:sz w:val="20"/>
              </w:rPr>
              <w:t>A16.21.047</w:t>
            </w:r>
          </w:p>
        </w:tc>
        <w:tc>
          <w:tcPr>
            <w:tcW w:w="2367" w:type="dxa"/>
          </w:tcPr>
          <w:p>
            <w:pPr>
              <w:pStyle w:val="TableParagraph"/>
              <w:rPr>
                <w:sz w:val="18"/>
              </w:rPr>
            </w:pPr>
          </w:p>
        </w:tc>
        <w:tc>
          <w:tcPr>
            <w:tcW w:w="864"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ds30.004</w:t>
            </w:r>
          </w:p>
        </w:tc>
        <w:tc>
          <w:tcPr>
            <w:tcW w:w="696" w:type="dxa"/>
          </w:tcPr>
          <w:p>
            <w:pPr>
              <w:pStyle w:val="TableParagraph"/>
              <w:spacing w:line="215" w:lineRule="exact" w:before="46"/>
              <w:ind w:left="200"/>
              <w:rPr>
                <w:sz w:val="20"/>
              </w:rPr>
            </w:pPr>
            <w:r>
              <w:rPr>
                <w:spacing w:val="-5"/>
                <w:sz w:val="20"/>
              </w:rPr>
              <w:t>132</w:t>
            </w:r>
          </w:p>
        </w:tc>
        <w:tc>
          <w:tcPr>
            <w:tcW w:w="3390"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515" w:type="dxa"/>
          </w:tcPr>
          <w:p>
            <w:pPr>
              <w:pStyle w:val="TableParagraph"/>
              <w:spacing w:line="215" w:lineRule="exact" w:before="46"/>
              <w:ind w:right="1150"/>
              <w:jc w:val="right"/>
              <w:rPr>
                <w:sz w:val="20"/>
              </w:rPr>
            </w:pPr>
            <w:r>
              <w:rPr>
                <w:w w:val="99"/>
                <w:sz w:val="20"/>
              </w:rPr>
              <w:t>-</w:t>
            </w:r>
          </w:p>
        </w:tc>
        <w:tc>
          <w:tcPr>
            <w:tcW w:w="4485" w:type="dxa"/>
          </w:tcPr>
          <w:p>
            <w:pPr>
              <w:pStyle w:val="TableParagraph"/>
              <w:spacing w:line="215" w:lineRule="exact" w:before="46"/>
              <w:ind w:left="1150" w:right="249"/>
              <w:jc w:val="center"/>
              <w:rPr>
                <w:sz w:val="20"/>
              </w:rPr>
            </w:pPr>
            <w:r>
              <w:rPr>
                <w:sz w:val="20"/>
              </w:rPr>
              <w:t>A03.28.001,</w:t>
            </w:r>
            <w:r>
              <w:rPr>
                <w:spacing w:val="-9"/>
                <w:sz w:val="20"/>
              </w:rPr>
              <w:t> </w:t>
            </w:r>
            <w:r>
              <w:rPr>
                <w:sz w:val="20"/>
              </w:rPr>
              <w:t>A03.28.002,</w:t>
            </w:r>
            <w:r>
              <w:rPr>
                <w:spacing w:val="-10"/>
                <w:sz w:val="20"/>
              </w:rPr>
              <w:t> </w:t>
            </w:r>
            <w:r>
              <w:rPr>
                <w:spacing w:val="-2"/>
                <w:sz w:val="20"/>
              </w:rPr>
              <w:t>A03.28.003,</w:t>
            </w:r>
          </w:p>
        </w:tc>
        <w:tc>
          <w:tcPr>
            <w:tcW w:w="2367" w:type="dxa"/>
          </w:tcPr>
          <w:p>
            <w:pPr>
              <w:pStyle w:val="TableParagraph"/>
              <w:spacing w:line="215" w:lineRule="exact" w:before="46"/>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8"/>
              <w:jc w:val="right"/>
              <w:rPr>
                <w:sz w:val="20"/>
              </w:rPr>
            </w:pPr>
            <w:r>
              <w:rPr>
                <w:spacing w:val="-4"/>
                <w:sz w:val="20"/>
              </w:rPr>
              <w:t>1,97</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pacing w:val="-2"/>
                <w:sz w:val="20"/>
              </w:rPr>
              <w:t>мочевыделительной</w:t>
            </w:r>
          </w:p>
        </w:tc>
        <w:tc>
          <w:tcPr>
            <w:tcW w:w="2515" w:type="dxa"/>
          </w:tcPr>
          <w:p>
            <w:pPr>
              <w:pStyle w:val="TableParagraph"/>
              <w:rPr>
                <w:sz w:val="16"/>
              </w:rPr>
            </w:pPr>
          </w:p>
        </w:tc>
        <w:tc>
          <w:tcPr>
            <w:tcW w:w="4485" w:type="dxa"/>
          </w:tcPr>
          <w:p>
            <w:pPr>
              <w:pStyle w:val="TableParagraph"/>
              <w:spacing w:line="209" w:lineRule="exact"/>
              <w:ind w:left="1150" w:right="249"/>
              <w:jc w:val="center"/>
              <w:rPr>
                <w:sz w:val="20"/>
              </w:rPr>
            </w:pPr>
            <w:r>
              <w:rPr>
                <w:sz w:val="20"/>
              </w:rPr>
              <w:t>A03.28.004,</w:t>
            </w:r>
            <w:r>
              <w:rPr>
                <w:spacing w:val="-9"/>
                <w:sz w:val="20"/>
              </w:rPr>
              <w:t> </w:t>
            </w:r>
            <w:r>
              <w:rPr>
                <w:sz w:val="20"/>
              </w:rPr>
              <w:t>A11.28.001,</w:t>
            </w:r>
            <w:r>
              <w:rPr>
                <w:spacing w:val="-10"/>
                <w:sz w:val="20"/>
              </w:rPr>
              <w:t> </w:t>
            </w:r>
            <w:r>
              <w:rPr>
                <w:spacing w:val="-2"/>
                <w:sz w:val="20"/>
              </w:rPr>
              <w:t>A11.28.002,</w:t>
            </w:r>
          </w:p>
        </w:tc>
        <w:tc>
          <w:tcPr>
            <w:tcW w:w="2367" w:type="dxa"/>
          </w:tcPr>
          <w:p>
            <w:pPr>
              <w:pStyle w:val="TableParagraph"/>
              <w:spacing w:line="209"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системе,</w:t>
            </w:r>
            <w:r>
              <w:rPr>
                <w:spacing w:val="-7"/>
                <w:sz w:val="20"/>
              </w:rPr>
              <w:t> </w:t>
            </w:r>
            <w:r>
              <w:rPr>
                <w:spacing w:val="-2"/>
                <w:sz w:val="20"/>
              </w:rPr>
              <w:t>взрослые</w:t>
            </w:r>
          </w:p>
        </w:tc>
        <w:tc>
          <w:tcPr>
            <w:tcW w:w="2515" w:type="dxa"/>
          </w:tcPr>
          <w:p>
            <w:pPr>
              <w:pStyle w:val="TableParagraph"/>
              <w:rPr>
                <w:sz w:val="16"/>
              </w:rPr>
            </w:pPr>
          </w:p>
        </w:tc>
        <w:tc>
          <w:tcPr>
            <w:tcW w:w="4485" w:type="dxa"/>
          </w:tcPr>
          <w:p>
            <w:pPr>
              <w:pStyle w:val="TableParagraph"/>
              <w:spacing w:line="209" w:lineRule="exact"/>
              <w:ind w:left="1150" w:right="248"/>
              <w:jc w:val="center"/>
              <w:rPr>
                <w:sz w:val="20"/>
              </w:rPr>
            </w:pPr>
            <w:r>
              <w:rPr>
                <w:w w:val="95"/>
                <w:sz w:val="20"/>
              </w:rPr>
              <w:t>A16.28.010.002,</w:t>
            </w:r>
            <w:r>
              <w:rPr>
                <w:spacing w:val="54"/>
                <w:sz w:val="20"/>
              </w:rPr>
              <w:t> </w:t>
            </w:r>
            <w:r>
              <w:rPr>
                <w:spacing w:val="-2"/>
                <w:sz w:val="20"/>
              </w:rPr>
              <w:t>A16.28.035.001,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0" w:lineRule="exact"/>
              <w:ind w:left="193"/>
              <w:rPr>
                <w:sz w:val="20"/>
              </w:rPr>
            </w:pPr>
            <w:r>
              <w:rPr>
                <w:sz w:val="20"/>
              </w:rPr>
              <w:t>(уровень</w:t>
            </w:r>
            <w:r>
              <w:rPr>
                <w:spacing w:val="-11"/>
                <w:sz w:val="20"/>
              </w:rPr>
              <w:t> </w:t>
            </w:r>
            <w:r>
              <w:rPr>
                <w:spacing w:val="-5"/>
                <w:sz w:val="20"/>
              </w:rPr>
              <w:t>1)</w:t>
            </w:r>
          </w:p>
        </w:tc>
        <w:tc>
          <w:tcPr>
            <w:tcW w:w="2515" w:type="dxa"/>
          </w:tcPr>
          <w:p>
            <w:pPr>
              <w:pStyle w:val="TableParagraph"/>
              <w:rPr>
                <w:sz w:val="16"/>
              </w:rPr>
            </w:pPr>
          </w:p>
        </w:tc>
        <w:tc>
          <w:tcPr>
            <w:tcW w:w="4485" w:type="dxa"/>
          </w:tcPr>
          <w:p>
            <w:pPr>
              <w:pStyle w:val="TableParagraph"/>
              <w:spacing w:line="210" w:lineRule="exact"/>
              <w:ind w:left="1150" w:right="244"/>
              <w:jc w:val="center"/>
              <w:rPr>
                <w:sz w:val="20"/>
              </w:rPr>
            </w:pPr>
            <w:r>
              <w:rPr>
                <w:sz w:val="20"/>
              </w:rPr>
              <w:t>A16.28.040,</w:t>
            </w:r>
            <w:r>
              <w:rPr>
                <w:spacing w:val="-9"/>
                <w:sz w:val="20"/>
              </w:rPr>
              <w:t> </w:t>
            </w:r>
            <w:r>
              <w:rPr>
                <w:spacing w:val="-2"/>
                <w:sz w:val="20"/>
              </w:rPr>
              <w:t>A16.28.043,</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8"/>
              <w:jc w:val="center"/>
              <w:rPr>
                <w:sz w:val="20"/>
              </w:rPr>
            </w:pPr>
            <w:r>
              <w:rPr>
                <w:w w:val="95"/>
                <w:sz w:val="20"/>
              </w:rPr>
              <w:t>A16.28.052.001,</w:t>
            </w:r>
            <w:r>
              <w:rPr>
                <w:spacing w:val="54"/>
                <w:sz w:val="20"/>
              </w:rPr>
              <w:t> </w:t>
            </w:r>
            <w:r>
              <w:rPr>
                <w:spacing w:val="-2"/>
                <w:sz w:val="20"/>
              </w:rPr>
              <w:t>A16.28.072.001,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2"/>
              <w:jc w:val="center"/>
              <w:rPr>
                <w:sz w:val="20"/>
              </w:rPr>
            </w:pPr>
            <w:r>
              <w:rPr>
                <w:sz w:val="20"/>
              </w:rPr>
              <w:t>A16.28.077,</w:t>
            </w:r>
            <w:r>
              <w:rPr>
                <w:spacing w:val="-9"/>
                <w:sz w:val="20"/>
              </w:rPr>
              <w:t> </w:t>
            </w:r>
            <w:r>
              <w:rPr>
                <w:spacing w:val="-2"/>
                <w:sz w:val="20"/>
              </w:rPr>
              <w:t>A16.28.086,</w:t>
            </w: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5" w:type="dxa"/>
          </w:tcPr>
          <w:p>
            <w:pPr>
              <w:pStyle w:val="TableParagraph"/>
              <w:spacing w:line="226" w:lineRule="exact"/>
              <w:ind w:left="1150" w:right="248"/>
              <w:jc w:val="center"/>
              <w:rPr>
                <w:sz w:val="20"/>
              </w:rPr>
            </w:pPr>
            <w:r>
              <w:rPr>
                <w:w w:val="95"/>
                <w:sz w:val="20"/>
              </w:rPr>
              <w:t>A16.28.086.001,</w:t>
            </w:r>
            <w:r>
              <w:rPr>
                <w:spacing w:val="54"/>
                <w:sz w:val="20"/>
              </w:rPr>
              <w:t> </w:t>
            </w:r>
            <w:r>
              <w:rPr>
                <w:spacing w:val="-2"/>
                <w:sz w:val="20"/>
              </w:rPr>
              <w:t>A16.28.087</w:t>
            </w:r>
          </w:p>
        </w:tc>
        <w:tc>
          <w:tcPr>
            <w:tcW w:w="2367" w:type="dxa"/>
          </w:tcPr>
          <w:p>
            <w:pPr>
              <w:pStyle w:val="TableParagraph"/>
              <w:rPr>
                <w:sz w:val="18"/>
              </w:rPr>
            </w:pPr>
          </w:p>
        </w:tc>
        <w:tc>
          <w:tcPr>
            <w:tcW w:w="864"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ds30.005</w:t>
            </w:r>
          </w:p>
        </w:tc>
        <w:tc>
          <w:tcPr>
            <w:tcW w:w="696" w:type="dxa"/>
          </w:tcPr>
          <w:p>
            <w:pPr>
              <w:pStyle w:val="TableParagraph"/>
              <w:spacing w:line="215" w:lineRule="exact" w:before="45"/>
              <w:ind w:left="200"/>
              <w:rPr>
                <w:sz w:val="20"/>
              </w:rPr>
            </w:pPr>
            <w:r>
              <w:rPr>
                <w:spacing w:val="-5"/>
                <w:sz w:val="20"/>
              </w:rPr>
              <w:t>133</w:t>
            </w:r>
          </w:p>
        </w:tc>
        <w:tc>
          <w:tcPr>
            <w:tcW w:w="339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515" w:type="dxa"/>
          </w:tcPr>
          <w:p>
            <w:pPr>
              <w:pStyle w:val="TableParagraph"/>
              <w:spacing w:line="215" w:lineRule="exact" w:before="45"/>
              <w:ind w:right="1150"/>
              <w:jc w:val="right"/>
              <w:rPr>
                <w:sz w:val="20"/>
              </w:rPr>
            </w:pPr>
            <w:r>
              <w:rPr>
                <w:w w:val="99"/>
                <w:sz w:val="20"/>
              </w:rPr>
              <w:t>-</w:t>
            </w:r>
          </w:p>
        </w:tc>
        <w:tc>
          <w:tcPr>
            <w:tcW w:w="4485" w:type="dxa"/>
          </w:tcPr>
          <w:p>
            <w:pPr>
              <w:pStyle w:val="TableParagraph"/>
              <w:spacing w:line="215" w:lineRule="exact" w:before="45"/>
              <w:ind w:left="1150" w:right="249"/>
              <w:jc w:val="center"/>
              <w:rPr>
                <w:sz w:val="20"/>
              </w:rPr>
            </w:pPr>
            <w:r>
              <w:rPr>
                <w:sz w:val="20"/>
              </w:rPr>
              <w:t>A11.28.012,</w:t>
            </w:r>
            <w:r>
              <w:rPr>
                <w:spacing w:val="-9"/>
                <w:sz w:val="20"/>
              </w:rPr>
              <w:t> </w:t>
            </w:r>
            <w:r>
              <w:rPr>
                <w:sz w:val="20"/>
              </w:rPr>
              <w:t>A11.28.013,</w:t>
            </w:r>
            <w:r>
              <w:rPr>
                <w:spacing w:val="-10"/>
                <w:sz w:val="20"/>
              </w:rPr>
              <w:t> </w:t>
            </w:r>
            <w:r>
              <w:rPr>
                <w:spacing w:val="-2"/>
                <w:sz w:val="20"/>
              </w:rPr>
              <w:t>A16.28.035,</w:t>
            </w:r>
          </w:p>
        </w:tc>
        <w:tc>
          <w:tcPr>
            <w:tcW w:w="2367" w:type="dxa"/>
          </w:tcPr>
          <w:p>
            <w:pPr>
              <w:pStyle w:val="TableParagraph"/>
              <w:spacing w:line="215" w:lineRule="exact" w:before="45"/>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8"/>
              <w:jc w:val="right"/>
              <w:rPr>
                <w:sz w:val="20"/>
              </w:rPr>
            </w:pPr>
            <w:r>
              <w:rPr>
                <w:spacing w:val="-4"/>
                <w:sz w:val="20"/>
              </w:rPr>
              <w:t>2,04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1" w:lineRule="exact"/>
              <w:ind w:left="193"/>
              <w:rPr>
                <w:sz w:val="20"/>
              </w:rPr>
            </w:pPr>
            <w:r>
              <w:rPr>
                <w:spacing w:val="-2"/>
                <w:sz w:val="20"/>
              </w:rPr>
              <w:t>мочевыделительной</w:t>
            </w:r>
          </w:p>
        </w:tc>
        <w:tc>
          <w:tcPr>
            <w:tcW w:w="2515" w:type="dxa"/>
          </w:tcPr>
          <w:p>
            <w:pPr>
              <w:pStyle w:val="TableParagraph"/>
              <w:rPr>
                <w:sz w:val="16"/>
              </w:rPr>
            </w:pPr>
          </w:p>
        </w:tc>
        <w:tc>
          <w:tcPr>
            <w:tcW w:w="4485" w:type="dxa"/>
          </w:tcPr>
          <w:p>
            <w:pPr>
              <w:pStyle w:val="TableParagraph"/>
              <w:spacing w:line="211" w:lineRule="exact"/>
              <w:ind w:left="1150" w:right="249"/>
              <w:jc w:val="center"/>
              <w:rPr>
                <w:sz w:val="20"/>
              </w:rPr>
            </w:pPr>
            <w:r>
              <w:rPr>
                <w:sz w:val="20"/>
              </w:rPr>
              <w:t>A16.28.037,</w:t>
            </w:r>
            <w:r>
              <w:rPr>
                <w:spacing w:val="-9"/>
                <w:sz w:val="20"/>
              </w:rPr>
              <w:t> </w:t>
            </w:r>
            <w:r>
              <w:rPr>
                <w:sz w:val="20"/>
              </w:rPr>
              <w:t>A16.28.051,</w:t>
            </w:r>
            <w:r>
              <w:rPr>
                <w:spacing w:val="-10"/>
                <w:sz w:val="20"/>
              </w:rPr>
              <w:t> </w:t>
            </w:r>
            <w:r>
              <w:rPr>
                <w:spacing w:val="-2"/>
                <w:sz w:val="20"/>
              </w:rPr>
              <w:t>A16.28.054,</w:t>
            </w:r>
          </w:p>
        </w:tc>
        <w:tc>
          <w:tcPr>
            <w:tcW w:w="2367" w:type="dxa"/>
          </w:tcPr>
          <w:p>
            <w:pPr>
              <w:pStyle w:val="TableParagraph"/>
              <w:spacing w:line="211"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1" w:lineRule="exact"/>
              <w:ind w:left="193"/>
              <w:rPr>
                <w:sz w:val="20"/>
              </w:rPr>
            </w:pPr>
            <w:r>
              <w:rPr>
                <w:sz w:val="20"/>
              </w:rPr>
              <w:t>системе,</w:t>
            </w:r>
            <w:r>
              <w:rPr>
                <w:spacing w:val="-7"/>
                <w:sz w:val="20"/>
              </w:rPr>
              <w:t> </w:t>
            </w:r>
            <w:r>
              <w:rPr>
                <w:spacing w:val="-2"/>
                <w:sz w:val="20"/>
              </w:rPr>
              <w:t>взрослые</w:t>
            </w:r>
          </w:p>
        </w:tc>
        <w:tc>
          <w:tcPr>
            <w:tcW w:w="2515" w:type="dxa"/>
          </w:tcPr>
          <w:p>
            <w:pPr>
              <w:pStyle w:val="TableParagraph"/>
              <w:rPr>
                <w:sz w:val="16"/>
              </w:rPr>
            </w:pPr>
          </w:p>
        </w:tc>
        <w:tc>
          <w:tcPr>
            <w:tcW w:w="4485" w:type="dxa"/>
          </w:tcPr>
          <w:p>
            <w:pPr>
              <w:pStyle w:val="TableParagraph"/>
              <w:spacing w:line="211" w:lineRule="exact"/>
              <w:ind w:left="1150" w:right="243"/>
              <w:jc w:val="center"/>
              <w:rPr>
                <w:sz w:val="20"/>
              </w:rPr>
            </w:pPr>
            <w:r>
              <w:rPr>
                <w:w w:val="95"/>
                <w:sz w:val="20"/>
              </w:rPr>
              <w:t>A16.28.075.001,</w:t>
            </w:r>
            <w:r>
              <w:rPr>
                <w:spacing w:val="54"/>
                <w:sz w:val="20"/>
              </w:rPr>
              <w:t> </w:t>
            </w:r>
            <w:r>
              <w:rPr>
                <w:spacing w:val="-2"/>
                <w:sz w:val="20"/>
              </w:rPr>
              <w:t>A16.28.082,</w:t>
            </w: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spacing w:line="226" w:lineRule="exact"/>
              <w:ind w:left="193"/>
              <w:rPr>
                <w:sz w:val="20"/>
              </w:rPr>
            </w:pPr>
            <w:r>
              <w:rPr>
                <w:sz w:val="20"/>
              </w:rPr>
              <w:t>(уровень</w:t>
            </w:r>
            <w:r>
              <w:rPr>
                <w:spacing w:val="-11"/>
                <w:sz w:val="20"/>
              </w:rPr>
              <w:t> </w:t>
            </w:r>
            <w:r>
              <w:rPr>
                <w:spacing w:val="-5"/>
                <w:sz w:val="20"/>
              </w:rPr>
              <w:t>2)</w:t>
            </w:r>
          </w:p>
        </w:tc>
        <w:tc>
          <w:tcPr>
            <w:tcW w:w="2515" w:type="dxa"/>
          </w:tcPr>
          <w:p>
            <w:pPr>
              <w:pStyle w:val="TableParagraph"/>
              <w:rPr>
                <w:sz w:val="18"/>
              </w:rPr>
            </w:pPr>
          </w:p>
        </w:tc>
        <w:tc>
          <w:tcPr>
            <w:tcW w:w="4485" w:type="dxa"/>
          </w:tcPr>
          <w:p>
            <w:pPr>
              <w:pStyle w:val="TableParagraph"/>
              <w:spacing w:line="226" w:lineRule="exact"/>
              <w:ind w:left="1150" w:right="243"/>
              <w:jc w:val="center"/>
              <w:rPr>
                <w:sz w:val="20"/>
              </w:rPr>
            </w:pPr>
            <w:r>
              <w:rPr>
                <w:spacing w:val="-2"/>
                <w:sz w:val="20"/>
              </w:rPr>
              <w:t>A16.28.083</w:t>
            </w:r>
          </w:p>
        </w:tc>
        <w:tc>
          <w:tcPr>
            <w:tcW w:w="2367" w:type="dxa"/>
          </w:tcPr>
          <w:p>
            <w:pPr>
              <w:pStyle w:val="TableParagraph"/>
              <w:rPr>
                <w:sz w:val="18"/>
              </w:rPr>
            </w:pPr>
          </w:p>
        </w:tc>
        <w:tc>
          <w:tcPr>
            <w:tcW w:w="864"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ds30.006</w:t>
            </w:r>
          </w:p>
        </w:tc>
        <w:tc>
          <w:tcPr>
            <w:tcW w:w="696" w:type="dxa"/>
          </w:tcPr>
          <w:p>
            <w:pPr>
              <w:pStyle w:val="TableParagraph"/>
              <w:spacing w:line="215" w:lineRule="exact" w:before="45"/>
              <w:ind w:left="200"/>
              <w:rPr>
                <w:sz w:val="20"/>
              </w:rPr>
            </w:pPr>
            <w:r>
              <w:rPr>
                <w:spacing w:val="-5"/>
                <w:sz w:val="20"/>
              </w:rPr>
              <w:t>134</w:t>
            </w:r>
          </w:p>
        </w:tc>
        <w:tc>
          <w:tcPr>
            <w:tcW w:w="339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515" w:type="dxa"/>
          </w:tcPr>
          <w:p>
            <w:pPr>
              <w:pStyle w:val="TableParagraph"/>
              <w:spacing w:line="215" w:lineRule="exact" w:before="45"/>
              <w:ind w:right="1150"/>
              <w:jc w:val="right"/>
              <w:rPr>
                <w:sz w:val="20"/>
              </w:rPr>
            </w:pPr>
            <w:r>
              <w:rPr>
                <w:w w:val="99"/>
                <w:sz w:val="20"/>
              </w:rPr>
              <w:t>-</w:t>
            </w:r>
          </w:p>
        </w:tc>
        <w:tc>
          <w:tcPr>
            <w:tcW w:w="4485" w:type="dxa"/>
          </w:tcPr>
          <w:p>
            <w:pPr>
              <w:pStyle w:val="TableParagraph"/>
              <w:spacing w:line="215" w:lineRule="exact" w:before="45"/>
              <w:ind w:left="1150" w:right="247"/>
              <w:jc w:val="center"/>
              <w:rPr>
                <w:sz w:val="20"/>
              </w:rPr>
            </w:pPr>
            <w:r>
              <w:rPr>
                <w:w w:val="95"/>
                <w:sz w:val="20"/>
              </w:rPr>
              <w:t>A16.28.001.001,</w:t>
            </w:r>
            <w:r>
              <w:rPr>
                <w:spacing w:val="54"/>
                <w:sz w:val="20"/>
              </w:rPr>
              <w:t> </w:t>
            </w:r>
            <w:r>
              <w:rPr>
                <w:spacing w:val="-2"/>
                <w:sz w:val="20"/>
              </w:rPr>
              <w:t>A16.28.010,</w:t>
            </w:r>
          </w:p>
        </w:tc>
        <w:tc>
          <w:tcPr>
            <w:tcW w:w="2367" w:type="dxa"/>
          </w:tcPr>
          <w:p>
            <w:pPr>
              <w:pStyle w:val="TableParagraph"/>
              <w:spacing w:line="215" w:lineRule="exact" w:before="45"/>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8"/>
              <w:jc w:val="right"/>
              <w:rPr>
                <w:sz w:val="20"/>
              </w:rPr>
            </w:pPr>
            <w:r>
              <w:rPr>
                <w:spacing w:val="-4"/>
                <w:sz w:val="20"/>
              </w:rPr>
              <w:t>2,95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0" w:lineRule="exact"/>
              <w:ind w:left="193"/>
              <w:rPr>
                <w:sz w:val="20"/>
              </w:rPr>
            </w:pPr>
            <w:r>
              <w:rPr>
                <w:spacing w:val="-2"/>
                <w:sz w:val="20"/>
              </w:rPr>
              <w:t>мочевыделительной</w:t>
            </w:r>
          </w:p>
        </w:tc>
        <w:tc>
          <w:tcPr>
            <w:tcW w:w="2515" w:type="dxa"/>
          </w:tcPr>
          <w:p>
            <w:pPr>
              <w:pStyle w:val="TableParagraph"/>
              <w:rPr>
                <w:sz w:val="16"/>
              </w:rPr>
            </w:pPr>
          </w:p>
        </w:tc>
        <w:tc>
          <w:tcPr>
            <w:tcW w:w="4485" w:type="dxa"/>
          </w:tcPr>
          <w:p>
            <w:pPr>
              <w:pStyle w:val="TableParagraph"/>
              <w:spacing w:line="210" w:lineRule="exact"/>
              <w:ind w:left="1150" w:right="247"/>
              <w:jc w:val="center"/>
              <w:rPr>
                <w:sz w:val="20"/>
              </w:rPr>
            </w:pPr>
            <w:r>
              <w:rPr>
                <w:sz w:val="20"/>
              </w:rPr>
              <w:t>A16.28.013,</w:t>
            </w:r>
            <w:r>
              <w:rPr>
                <w:spacing w:val="-9"/>
                <w:sz w:val="20"/>
              </w:rPr>
              <w:t> </w:t>
            </w:r>
            <w:r>
              <w:rPr>
                <w:spacing w:val="-2"/>
                <w:sz w:val="20"/>
              </w:rPr>
              <w:t>A16.28.017.001,</w:t>
            </w:r>
          </w:p>
        </w:tc>
        <w:tc>
          <w:tcPr>
            <w:tcW w:w="2367" w:type="dxa"/>
          </w:tcPr>
          <w:p>
            <w:pPr>
              <w:pStyle w:val="TableParagraph"/>
              <w:spacing w:line="210"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0" w:lineRule="exact"/>
              <w:ind w:left="193"/>
              <w:rPr>
                <w:sz w:val="20"/>
              </w:rPr>
            </w:pPr>
            <w:r>
              <w:rPr>
                <w:sz w:val="20"/>
              </w:rPr>
              <w:t>системе,</w:t>
            </w:r>
            <w:r>
              <w:rPr>
                <w:spacing w:val="-7"/>
                <w:sz w:val="20"/>
              </w:rPr>
              <w:t> </w:t>
            </w:r>
            <w:r>
              <w:rPr>
                <w:spacing w:val="-2"/>
                <w:sz w:val="20"/>
              </w:rPr>
              <w:t>взрослые</w:t>
            </w:r>
          </w:p>
        </w:tc>
        <w:tc>
          <w:tcPr>
            <w:tcW w:w="2515" w:type="dxa"/>
          </w:tcPr>
          <w:p>
            <w:pPr>
              <w:pStyle w:val="TableParagraph"/>
              <w:rPr>
                <w:sz w:val="16"/>
              </w:rPr>
            </w:pPr>
          </w:p>
        </w:tc>
        <w:tc>
          <w:tcPr>
            <w:tcW w:w="4485" w:type="dxa"/>
          </w:tcPr>
          <w:p>
            <w:pPr>
              <w:pStyle w:val="TableParagraph"/>
              <w:spacing w:line="210" w:lineRule="exact"/>
              <w:ind w:left="1150" w:right="248"/>
              <w:jc w:val="center"/>
              <w:rPr>
                <w:sz w:val="20"/>
              </w:rPr>
            </w:pPr>
            <w:r>
              <w:rPr>
                <w:w w:val="95"/>
                <w:sz w:val="20"/>
              </w:rPr>
              <w:t>A16.28.029.003,</w:t>
            </w:r>
            <w:r>
              <w:rPr>
                <w:spacing w:val="54"/>
                <w:sz w:val="20"/>
              </w:rPr>
              <w:t> </w:t>
            </w:r>
            <w:r>
              <w:rPr>
                <w:spacing w:val="-2"/>
                <w:sz w:val="20"/>
              </w:rPr>
              <w:t>A16.28.045.002,</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(уровень</w:t>
            </w:r>
            <w:r>
              <w:rPr>
                <w:spacing w:val="-11"/>
                <w:sz w:val="20"/>
              </w:rPr>
              <w:t> </w:t>
            </w:r>
            <w:r>
              <w:rPr>
                <w:spacing w:val="-5"/>
                <w:sz w:val="20"/>
              </w:rPr>
              <w:t>3)</w:t>
            </w:r>
          </w:p>
        </w:tc>
        <w:tc>
          <w:tcPr>
            <w:tcW w:w="2515" w:type="dxa"/>
          </w:tcPr>
          <w:p>
            <w:pPr>
              <w:pStyle w:val="TableParagraph"/>
              <w:rPr>
                <w:sz w:val="16"/>
              </w:rPr>
            </w:pPr>
          </w:p>
        </w:tc>
        <w:tc>
          <w:tcPr>
            <w:tcW w:w="4485" w:type="dxa"/>
          </w:tcPr>
          <w:p>
            <w:pPr>
              <w:pStyle w:val="TableParagraph"/>
              <w:spacing w:line="209" w:lineRule="exact"/>
              <w:ind w:left="1150" w:right="248"/>
              <w:jc w:val="center"/>
              <w:rPr>
                <w:sz w:val="20"/>
              </w:rPr>
            </w:pPr>
            <w:r>
              <w:rPr>
                <w:w w:val="95"/>
                <w:sz w:val="20"/>
              </w:rPr>
              <w:t>A16.28.046.001,</w:t>
            </w:r>
            <w:r>
              <w:rPr>
                <w:spacing w:val="54"/>
                <w:sz w:val="20"/>
              </w:rPr>
              <w:t> </w:t>
            </w:r>
            <w:r>
              <w:rPr>
                <w:spacing w:val="-2"/>
                <w:sz w:val="20"/>
              </w:rPr>
              <w:t>A16.28.046.002,</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9" w:lineRule="exact"/>
              <w:ind w:left="1150" w:right="247"/>
              <w:jc w:val="center"/>
              <w:rPr>
                <w:sz w:val="20"/>
              </w:rPr>
            </w:pPr>
            <w:r>
              <w:rPr>
                <w:sz w:val="20"/>
              </w:rPr>
              <w:t>A16.28.053,</w:t>
            </w:r>
            <w:r>
              <w:rPr>
                <w:spacing w:val="-9"/>
                <w:sz w:val="20"/>
              </w:rPr>
              <w:t> </w:t>
            </w:r>
            <w:r>
              <w:rPr>
                <w:spacing w:val="-2"/>
                <w:sz w:val="20"/>
              </w:rPr>
              <w:t>A16.28.062.001,</w:t>
            </w: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5" w:lineRule="exact"/>
              <w:ind w:left="1150" w:right="249"/>
              <w:jc w:val="center"/>
              <w:rPr>
                <w:sz w:val="20"/>
              </w:rPr>
            </w:pPr>
            <w:r>
              <w:rPr>
                <w:sz w:val="20"/>
              </w:rPr>
              <w:t>A16.28.089,</w:t>
            </w:r>
            <w:r>
              <w:rPr>
                <w:spacing w:val="-9"/>
                <w:sz w:val="20"/>
              </w:rPr>
              <w:t> </w:t>
            </w:r>
            <w:r>
              <w:rPr>
                <w:sz w:val="20"/>
              </w:rPr>
              <w:t>A16.28.090,</w:t>
            </w:r>
            <w:r>
              <w:rPr>
                <w:spacing w:val="-10"/>
                <w:sz w:val="20"/>
              </w:rPr>
              <w:t> </w:t>
            </w:r>
            <w:r>
              <w:rPr>
                <w:spacing w:val="-2"/>
                <w:sz w:val="20"/>
              </w:rPr>
              <w:t>A16.28.092,</w:t>
            </w: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91"/>
        <w:gridCol w:w="4318"/>
        <w:gridCol w:w="3880"/>
        <w:gridCol w:w="1571"/>
        <w:gridCol w:w="1261"/>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2591" w:type="dxa"/>
          </w:tcPr>
          <w:p>
            <w:pPr>
              <w:pStyle w:val="TableParagraph"/>
              <w:rPr>
                <w:sz w:val="18"/>
              </w:rPr>
            </w:pPr>
          </w:p>
        </w:tc>
        <w:tc>
          <w:tcPr>
            <w:tcW w:w="4318" w:type="dxa"/>
          </w:tcPr>
          <w:p>
            <w:pPr>
              <w:pStyle w:val="TableParagraph"/>
              <w:rPr>
                <w:sz w:val="18"/>
              </w:rPr>
            </w:pPr>
          </w:p>
        </w:tc>
        <w:tc>
          <w:tcPr>
            <w:tcW w:w="3880" w:type="dxa"/>
          </w:tcPr>
          <w:p>
            <w:pPr>
              <w:pStyle w:val="TableParagraph"/>
              <w:ind w:left="696" w:right="988" w:hanging="200"/>
              <w:rPr>
                <w:sz w:val="20"/>
              </w:rPr>
            </w:pPr>
            <w:r>
              <w:rPr>
                <w:sz w:val="20"/>
              </w:rPr>
              <w:t>A16.28.094.001,</w:t>
            </w:r>
            <w:r>
              <w:rPr>
                <w:spacing w:val="-13"/>
                <w:sz w:val="20"/>
              </w:rPr>
              <w:t> </w:t>
            </w:r>
            <w:r>
              <w:rPr>
                <w:sz w:val="20"/>
              </w:rPr>
              <w:t>A16.28.099, A22.28.001, A22.28.002</w:t>
            </w:r>
          </w:p>
        </w:tc>
        <w:tc>
          <w:tcPr>
            <w:tcW w:w="1571" w:type="dxa"/>
          </w:tcPr>
          <w:p>
            <w:pPr>
              <w:pStyle w:val="TableParagraph"/>
              <w:rPr>
                <w:sz w:val="18"/>
              </w:rPr>
            </w:pPr>
          </w:p>
        </w:tc>
        <w:tc>
          <w:tcPr>
            <w:tcW w:w="1261" w:type="dxa"/>
          </w:tcPr>
          <w:p>
            <w:pPr>
              <w:pStyle w:val="TableParagraph"/>
              <w:rPr>
                <w:sz w:val="18"/>
              </w:rPr>
            </w:pPr>
          </w:p>
        </w:tc>
      </w:tr>
      <w:tr>
        <w:trPr>
          <w:trHeight w:val="330" w:hRule="atLeast"/>
        </w:trPr>
        <w:tc>
          <w:tcPr>
            <w:tcW w:w="978" w:type="dxa"/>
          </w:tcPr>
          <w:p>
            <w:pPr>
              <w:pStyle w:val="TableParagraph"/>
              <w:spacing w:before="45"/>
              <w:ind w:left="39" w:right="186"/>
              <w:jc w:val="center"/>
              <w:rPr>
                <w:sz w:val="20"/>
              </w:rPr>
            </w:pPr>
            <w:r>
              <w:rPr>
                <w:spacing w:val="-4"/>
                <w:sz w:val="20"/>
              </w:rPr>
              <w:t>ds31</w:t>
            </w:r>
          </w:p>
        </w:tc>
        <w:tc>
          <w:tcPr>
            <w:tcW w:w="696" w:type="dxa"/>
          </w:tcPr>
          <w:p>
            <w:pPr>
              <w:pStyle w:val="TableParagraph"/>
              <w:spacing w:before="45"/>
              <w:ind w:left="250"/>
              <w:rPr>
                <w:sz w:val="20"/>
              </w:rPr>
            </w:pPr>
            <w:r>
              <w:rPr>
                <w:spacing w:val="-5"/>
                <w:sz w:val="20"/>
              </w:rPr>
              <w:t>31</w:t>
            </w:r>
          </w:p>
        </w:tc>
        <w:tc>
          <w:tcPr>
            <w:tcW w:w="2591" w:type="dxa"/>
          </w:tcPr>
          <w:p>
            <w:pPr>
              <w:pStyle w:val="TableParagraph"/>
              <w:rPr>
                <w:sz w:val="18"/>
              </w:rPr>
            </w:pPr>
          </w:p>
        </w:tc>
        <w:tc>
          <w:tcPr>
            <w:tcW w:w="4318" w:type="dxa"/>
          </w:tcPr>
          <w:p>
            <w:pPr>
              <w:pStyle w:val="TableParagraph"/>
              <w:spacing w:before="45"/>
              <w:ind w:right="146"/>
              <w:jc w:val="right"/>
              <w:rPr>
                <w:sz w:val="20"/>
              </w:rPr>
            </w:pPr>
            <w:r>
              <w:rPr>
                <w:spacing w:val="-2"/>
                <w:sz w:val="20"/>
              </w:rPr>
              <w:t>Хирургия</w:t>
            </w:r>
          </w:p>
        </w:tc>
        <w:tc>
          <w:tcPr>
            <w:tcW w:w="3880" w:type="dxa"/>
          </w:tcPr>
          <w:p>
            <w:pPr>
              <w:pStyle w:val="TableParagraph"/>
              <w:rPr>
                <w:sz w:val="18"/>
              </w:rPr>
            </w:pPr>
          </w:p>
        </w:tc>
        <w:tc>
          <w:tcPr>
            <w:tcW w:w="1571" w:type="dxa"/>
          </w:tcPr>
          <w:p>
            <w:pPr>
              <w:pStyle w:val="TableParagraph"/>
              <w:rPr>
                <w:sz w:val="18"/>
              </w:rPr>
            </w:pPr>
          </w:p>
        </w:tc>
        <w:tc>
          <w:tcPr>
            <w:tcW w:w="1261" w:type="dxa"/>
          </w:tcPr>
          <w:p>
            <w:pPr>
              <w:pStyle w:val="TableParagraph"/>
              <w:spacing w:before="45"/>
              <w:ind w:right="48"/>
              <w:jc w:val="right"/>
              <w:rPr>
                <w:sz w:val="20"/>
              </w:rPr>
            </w:pPr>
            <w:r>
              <w:rPr>
                <w:spacing w:val="-4"/>
                <w:sz w:val="20"/>
              </w:rPr>
              <w:t>0,92</w:t>
            </w:r>
          </w:p>
        </w:tc>
      </w:tr>
      <w:tr>
        <w:trPr>
          <w:trHeight w:val="1480" w:hRule="atLeast"/>
        </w:trPr>
        <w:tc>
          <w:tcPr>
            <w:tcW w:w="978" w:type="dxa"/>
          </w:tcPr>
          <w:p>
            <w:pPr>
              <w:pStyle w:val="TableParagraph"/>
              <w:spacing w:before="46"/>
              <w:ind w:left="38" w:right="186"/>
              <w:jc w:val="center"/>
              <w:rPr>
                <w:sz w:val="20"/>
              </w:rPr>
            </w:pPr>
            <w:r>
              <w:rPr>
                <w:spacing w:val="-2"/>
                <w:sz w:val="20"/>
              </w:rPr>
              <w:t>ds31.001</w:t>
            </w:r>
          </w:p>
        </w:tc>
        <w:tc>
          <w:tcPr>
            <w:tcW w:w="696" w:type="dxa"/>
          </w:tcPr>
          <w:p>
            <w:pPr>
              <w:pStyle w:val="TableParagraph"/>
              <w:spacing w:before="46"/>
              <w:ind w:left="200"/>
              <w:rPr>
                <w:sz w:val="20"/>
              </w:rPr>
            </w:pPr>
            <w:r>
              <w:rPr>
                <w:spacing w:val="-5"/>
                <w:sz w:val="20"/>
              </w:rPr>
              <w:t>135</w:t>
            </w:r>
          </w:p>
        </w:tc>
        <w:tc>
          <w:tcPr>
            <w:tcW w:w="2591" w:type="dxa"/>
          </w:tcPr>
          <w:p>
            <w:pPr>
              <w:pStyle w:val="TableParagraph"/>
              <w:spacing w:before="46"/>
              <w:ind w:left="193"/>
              <w:rPr>
                <w:sz w:val="20"/>
              </w:rPr>
            </w:pPr>
            <w:r>
              <w:rPr>
                <w:spacing w:val="-2"/>
                <w:sz w:val="20"/>
              </w:rPr>
              <w:t>Болезни, новообразования </w:t>
            </w:r>
            <w:r>
              <w:rPr>
                <w:sz w:val="20"/>
              </w:rPr>
              <w:t>молочной железы</w:t>
            </w:r>
          </w:p>
        </w:tc>
        <w:tc>
          <w:tcPr>
            <w:tcW w:w="4318" w:type="dxa"/>
          </w:tcPr>
          <w:p>
            <w:pPr>
              <w:pStyle w:val="TableParagraph"/>
              <w:spacing w:line="229" w:lineRule="exact" w:before="46"/>
              <w:ind w:left="154" w:right="214"/>
              <w:jc w:val="center"/>
              <w:rPr>
                <w:sz w:val="20"/>
              </w:rPr>
            </w:pPr>
            <w:r>
              <w:rPr>
                <w:sz w:val="20"/>
              </w:rPr>
              <w:t>D05,</w:t>
            </w:r>
            <w:r>
              <w:rPr>
                <w:spacing w:val="-5"/>
                <w:sz w:val="20"/>
              </w:rPr>
              <w:t> </w:t>
            </w:r>
            <w:r>
              <w:rPr>
                <w:sz w:val="20"/>
              </w:rPr>
              <w:t>D05.0,</w:t>
            </w:r>
            <w:r>
              <w:rPr>
                <w:spacing w:val="-5"/>
                <w:sz w:val="20"/>
              </w:rPr>
              <w:t> </w:t>
            </w:r>
            <w:r>
              <w:rPr>
                <w:sz w:val="20"/>
              </w:rPr>
              <w:t>D05.1,</w:t>
            </w:r>
            <w:r>
              <w:rPr>
                <w:spacing w:val="-5"/>
                <w:sz w:val="20"/>
              </w:rPr>
              <w:t> </w:t>
            </w:r>
            <w:r>
              <w:rPr>
                <w:sz w:val="20"/>
              </w:rPr>
              <w:t>D05.7,</w:t>
            </w:r>
            <w:r>
              <w:rPr>
                <w:spacing w:val="-1"/>
                <w:sz w:val="20"/>
              </w:rPr>
              <w:t> </w:t>
            </w:r>
            <w:r>
              <w:rPr>
                <w:sz w:val="20"/>
              </w:rPr>
              <w:t>D05.9,</w:t>
            </w:r>
            <w:r>
              <w:rPr>
                <w:spacing w:val="-7"/>
                <w:sz w:val="20"/>
              </w:rPr>
              <w:t> </w:t>
            </w:r>
            <w:r>
              <w:rPr>
                <w:sz w:val="20"/>
              </w:rPr>
              <w:t>I97.2,</w:t>
            </w:r>
            <w:r>
              <w:rPr>
                <w:spacing w:val="-5"/>
                <w:sz w:val="20"/>
              </w:rPr>
              <w:t> </w:t>
            </w:r>
            <w:r>
              <w:rPr>
                <w:spacing w:val="-4"/>
                <w:sz w:val="20"/>
              </w:rPr>
              <w:t>N60,</w:t>
            </w:r>
          </w:p>
          <w:p>
            <w:pPr>
              <w:pStyle w:val="TableParagraph"/>
              <w:ind w:left="146" w:right="211" w:firstLine="2"/>
              <w:jc w:val="center"/>
              <w:rPr>
                <w:sz w:val="20"/>
              </w:rPr>
            </w:pPr>
            <w:r>
              <w:rPr>
                <w:sz w:val="20"/>
              </w:rPr>
              <w:t>N60.0, N60.1, N60.2, N60.3, N60.4, N60.8, N60.9, N61, N62, N63, N64, N64.0, N64.1, N64.2,</w:t>
            </w:r>
            <w:r>
              <w:rPr>
                <w:spacing w:val="-5"/>
                <w:sz w:val="20"/>
              </w:rPr>
              <w:t> </w:t>
            </w:r>
            <w:r>
              <w:rPr>
                <w:sz w:val="20"/>
              </w:rPr>
              <w:t>N64.3,</w:t>
            </w:r>
            <w:r>
              <w:rPr>
                <w:spacing w:val="-5"/>
                <w:sz w:val="20"/>
              </w:rPr>
              <w:t> </w:t>
            </w:r>
            <w:r>
              <w:rPr>
                <w:sz w:val="20"/>
              </w:rPr>
              <w:t>N64.4,</w:t>
            </w:r>
            <w:r>
              <w:rPr>
                <w:spacing w:val="-4"/>
                <w:sz w:val="20"/>
              </w:rPr>
              <w:t> </w:t>
            </w:r>
            <w:r>
              <w:rPr>
                <w:sz w:val="20"/>
              </w:rPr>
              <w:t>N64.5,</w:t>
            </w:r>
            <w:r>
              <w:rPr>
                <w:spacing w:val="-6"/>
                <w:sz w:val="20"/>
              </w:rPr>
              <w:t> </w:t>
            </w:r>
            <w:r>
              <w:rPr>
                <w:sz w:val="20"/>
              </w:rPr>
              <w:t>N64.8,</w:t>
            </w:r>
            <w:r>
              <w:rPr>
                <w:spacing w:val="-4"/>
                <w:sz w:val="20"/>
              </w:rPr>
              <w:t> </w:t>
            </w:r>
            <w:r>
              <w:rPr>
                <w:sz w:val="20"/>
              </w:rPr>
              <w:t>N64.9,</w:t>
            </w:r>
            <w:r>
              <w:rPr>
                <w:spacing w:val="-6"/>
                <w:sz w:val="20"/>
              </w:rPr>
              <w:t> </w:t>
            </w:r>
            <w:r>
              <w:rPr>
                <w:spacing w:val="-4"/>
                <w:sz w:val="20"/>
              </w:rPr>
              <w:t>Q83,</w:t>
            </w:r>
          </w:p>
          <w:p>
            <w:pPr>
              <w:pStyle w:val="TableParagraph"/>
              <w:spacing w:before="1"/>
              <w:ind w:left="154" w:right="216"/>
              <w:jc w:val="center"/>
              <w:rPr>
                <w:sz w:val="20"/>
              </w:rPr>
            </w:pPr>
            <w:r>
              <w:rPr>
                <w:sz w:val="20"/>
              </w:rPr>
              <w:t>Q83.0,</w:t>
            </w:r>
            <w:r>
              <w:rPr>
                <w:spacing w:val="-6"/>
                <w:sz w:val="20"/>
              </w:rPr>
              <w:t> </w:t>
            </w:r>
            <w:r>
              <w:rPr>
                <w:sz w:val="20"/>
              </w:rPr>
              <w:t>Q83.1,</w:t>
            </w:r>
            <w:r>
              <w:rPr>
                <w:spacing w:val="-8"/>
                <w:sz w:val="20"/>
              </w:rPr>
              <w:t> </w:t>
            </w:r>
            <w:r>
              <w:rPr>
                <w:sz w:val="20"/>
              </w:rPr>
              <w:t>Q83.2,</w:t>
            </w:r>
            <w:r>
              <w:rPr>
                <w:spacing w:val="-6"/>
                <w:sz w:val="20"/>
              </w:rPr>
              <w:t> </w:t>
            </w:r>
            <w:r>
              <w:rPr>
                <w:sz w:val="20"/>
              </w:rPr>
              <w:t>Q83.3,</w:t>
            </w:r>
            <w:r>
              <w:rPr>
                <w:spacing w:val="-8"/>
                <w:sz w:val="20"/>
              </w:rPr>
              <w:t> </w:t>
            </w:r>
            <w:r>
              <w:rPr>
                <w:sz w:val="20"/>
              </w:rPr>
              <w:t>Q83.8,</w:t>
            </w:r>
            <w:r>
              <w:rPr>
                <w:spacing w:val="-6"/>
                <w:sz w:val="20"/>
              </w:rPr>
              <w:t> </w:t>
            </w:r>
            <w:r>
              <w:rPr>
                <w:sz w:val="20"/>
              </w:rPr>
              <w:t>Q83.9,</w:t>
            </w:r>
            <w:r>
              <w:rPr>
                <w:spacing w:val="-8"/>
                <w:sz w:val="20"/>
              </w:rPr>
              <w:t> </w:t>
            </w:r>
            <w:r>
              <w:rPr>
                <w:sz w:val="20"/>
              </w:rPr>
              <w:t>R92, </w:t>
            </w:r>
            <w:r>
              <w:rPr>
                <w:spacing w:val="-2"/>
                <w:sz w:val="20"/>
              </w:rPr>
              <w:t>T85.4</w:t>
            </w:r>
          </w:p>
        </w:tc>
        <w:tc>
          <w:tcPr>
            <w:tcW w:w="3880" w:type="dxa"/>
          </w:tcPr>
          <w:p>
            <w:pPr>
              <w:pStyle w:val="TableParagraph"/>
              <w:spacing w:before="46"/>
              <w:ind w:right="494"/>
              <w:jc w:val="center"/>
              <w:rPr>
                <w:sz w:val="20"/>
              </w:rPr>
            </w:pPr>
            <w:r>
              <w:rPr>
                <w:w w:val="99"/>
                <w:sz w:val="20"/>
              </w:rPr>
              <w:t>-</w:t>
            </w:r>
          </w:p>
        </w:tc>
        <w:tc>
          <w:tcPr>
            <w:tcW w:w="1571" w:type="dxa"/>
          </w:tcPr>
          <w:p>
            <w:pPr>
              <w:pStyle w:val="TableParagraph"/>
              <w:spacing w:before="46"/>
              <w:ind w:left="645"/>
              <w:rPr>
                <w:sz w:val="20"/>
              </w:rPr>
            </w:pPr>
            <w:r>
              <w:rPr>
                <w:w w:val="99"/>
                <w:sz w:val="20"/>
              </w:rPr>
              <w:t>-</w:t>
            </w:r>
          </w:p>
        </w:tc>
        <w:tc>
          <w:tcPr>
            <w:tcW w:w="1261" w:type="dxa"/>
          </w:tcPr>
          <w:p>
            <w:pPr>
              <w:pStyle w:val="TableParagraph"/>
              <w:spacing w:before="46"/>
              <w:ind w:right="48"/>
              <w:jc w:val="right"/>
              <w:rPr>
                <w:sz w:val="20"/>
              </w:rPr>
            </w:pPr>
            <w:r>
              <w:rPr>
                <w:spacing w:val="-4"/>
                <w:sz w:val="20"/>
              </w:rPr>
              <w:t>0,89</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ds31.002</w:t>
            </w:r>
          </w:p>
        </w:tc>
        <w:tc>
          <w:tcPr>
            <w:tcW w:w="696" w:type="dxa"/>
          </w:tcPr>
          <w:p>
            <w:pPr>
              <w:pStyle w:val="TableParagraph"/>
              <w:spacing w:line="215" w:lineRule="exact" w:before="45"/>
              <w:ind w:left="200"/>
              <w:rPr>
                <w:sz w:val="20"/>
              </w:rPr>
            </w:pPr>
            <w:r>
              <w:rPr>
                <w:spacing w:val="-5"/>
                <w:sz w:val="20"/>
              </w:rPr>
              <w:t>136</w:t>
            </w:r>
          </w:p>
        </w:tc>
        <w:tc>
          <w:tcPr>
            <w:tcW w:w="2591"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18" w:type="dxa"/>
          </w:tcPr>
          <w:p>
            <w:pPr>
              <w:pStyle w:val="TableParagraph"/>
              <w:spacing w:line="215" w:lineRule="exact" w:before="45"/>
              <w:ind w:left="2095"/>
              <w:rPr>
                <w:sz w:val="20"/>
              </w:rPr>
            </w:pPr>
            <w:r>
              <w:rPr>
                <w:w w:val="99"/>
                <w:sz w:val="20"/>
              </w:rPr>
              <w:t>-</w:t>
            </w:r>
          </w:p>
        </w:tc>
        <w:tc>
          <w:tcPr>
            <w:tcW w:w="3880" w:type="dxa"/>
          </w:tcPr>
          <w:p>
            <w:pPr>
              <w:pStyle w:val="TableParagraph"/>
              <w:spacing w:line="215" w:lineRule="exact" w:before="45"/>
              <w:ind w:left="146" w:right="645"/>
              <w:jc w:val="center"/>
              <w:rPr>
                <w:sz w:val="20"/>
              </w:rPr>
            </w:pPr>
            <w:r>
              <w:rPr>
                <w:sz w:val="20"/>
              </w:rPr>
              <w:t>A16.01.001,</w:t>
            </w:r>
            <w:r>
              <w:rPr>
                <w:spacing w:val="-9"/>
                <w:sz w:val="20"/>
              </w:rPr>
              <w:t> </w:t>
            </w:r>
            <w:r>
              <w:rPr>
                <w:sz w:val="20"/>
              </w:rPr>
              <w:t>A16.01.002,</w:t>
            </w:r>
            <w:r>
              <w:rPr>
                <w:spacing w:val="-10"/>
                <w:sz w:val="20"/>
              </w:rPr>
              <w:t> </w:t>
            </w:r>
            <w:r>
              <w:rPr>
                <w:spacing w:val="-2"/>
                <w:sz w:val="20"/>
              </w:rPr>
              <w:t>A16.01.005,</w:t>
            </w:r>
          </w:p>
        </w:tc>
        <w:tc>
          <w:tcPr>
            <w:tcW w:w="1571"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0,75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подкожной</w:t>
            </w:r>
            <w:r>
              <w:rPr>
                <w:spacing w:val="-11"/>
                <w:sz w:val="20"/>
              </w:rPr>
              <w:t> </w:t>
            </w:r>
            <w:r>
              <w:rPr>
                <w:spacing w:val="-2"/>
                <w:sz w:val="20"/>
              </w:rPr>
              <w:t>клетчатке,</w:t>
            </w: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sz w:val="20"/>
              </w:rPr>
              <w:t>A16.01.008,</w:t>
            </w:r>
            <w:r>
              <w:rPr>
                <w:spacing w:val="-9"/>
                <w:sz w:val="20"/>
              </w:rPr>
              <w:t> </w:t>
            </w:r>
            <w:r>
              <w:rPr>
                <w:spacing w:val="-2"/>
                <w:sz w:val="20"/>
              </w:rPr>
              <w:t>A16.01.008.001,</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придатках</w:t>
            </w:r>
            <w:r>
              <w:rPr>
                <w:spacing w:val="-11"/>
                <w:sz w:val="20"/>
              </w:rPr>
              <w:t> </w:t>
            </w:r>
            <w:r>
              <w:rPr>
                <w:spacing w:val="-4"/>
                <w:sz w:val="20"/>
              </w:rPr>
              <w:t>кожи</w:t>
            </w: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sz w:val="20"/>
              </w:rPr>
              <w:t>A16.01.011,</w:t>
            </w:r>
            <w:r>
              <w:rPr>
                <w:spacing w:val="-9"/>
                <w:sz w:val="20"/>
              </w:rPr>
              <w:t> </w:t>
            </w:r>
            <w:r>
              <w:rPr>
                <w:spacing w:val="-2"/>
                <w:sz w:val="20"/>
              </w:rPr>
              <w:t>A16.01.012.004,</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(уровень</w:t>
            </w:r>
            <w:r>
              <w:rPr>
                <w:spacing w:val="-10"/>
                <w:sz w:val="20"/>
              </w:rPr>
              <w:t> </w:t>
            </w:r>
            <w:r>
              <w:rPr>
                <w:spacing w:val="-5"/>
                <w:sz w:val="20"/>
              </w:rPr>
              <w:t>1)</w:t>
            </w:r>
          </w:p>
        </w:tc>
        <w:tc>
          <w:tcPr>
            <w:tcW w:w="4318" w:type="dxa"/>
          </w:tcPr>
          <w:p>
            <w:pPr>
              <w:pStyle w:val="TableParagraph"/>
              <w:rPr>
                <w:sz w:val="16"/>
              </w:rPr>
            </w:pPr>
          </w:p>
        </w:tc>
        <w:tc>
          <w:tcPr>
            <w:tcW w:w="3880" w:type="dxa"/>
          </w:tcPr>
          <w:p>
            <w:pPr>
              <w:pStyle w:val="TableParagraph"/>
              <w:spacing w:line="210" w:lineRule="exact"/>
              <w:ind w:left="146" w:right="645"/>
              <w:jc w:val="center"/>
              <w:rPr>
                <w:sz w:val="20"/>
              </w:rPr>
            </w:pPr>
            <w:r>
              <w:rPr>
                <w:sz w:val="20"/>
              </w:rPr>
              <w:t>A16.01.015,</w:t>
            </w:r>
            <w:r>
              <w:rPr>
                <w:spacing w:val="-9"/>
                <w:sz w:val="20"/>
              </w:rPr>
              <w:t> </w:t>
            </w:r>
            <w:r>
              <w:rPr>
                <w:sz w:val="20"/>
              </w:rPr>
              <w:t>A16.01.016,</w:t>
            </w:r>
            <w:r>
              <w:rPr>
                <w:spacing w:val="-10"/>
                <w:sz w:val="20"/>
              </w:rPr>
              <w:t> </w:t>
            </w:r>
            <w:r>
              <w:rPr>
                <w:spacing w:val="-2"/>
                <w:sz w:val="20"/>
              </w:rPr>
              <w:t>A16.01.017,</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8" w:right="645"/>
              <w:jc w:val="center"/>
              <w:rPr>
                <w:sz w:val="20"/>
              </w:rPr>
            </w:pPr>
            <w:r>
              <w:rPr>
                <w:w w:val="95"/>
                <w:sz w:val="20"/>
              </w:rPr>
              <w:t>A16.01.017.001,</w:t>
            </w:r>
            <w:r>
              <w:rPr>
                <w:spacing w:val="54"/>
                <w:sz w:val="20"/>
              </w:rPr>
              <w:t> </w:t>
            </w:r>
            <w:r>
              <w:rPr>
                <w:spacing w:val="-2"/>
                <w:sz w:val="20"/>
              </w:rPr>
              <w:t>A16.01.019,</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6" w:right="645"/>
              <w:jc w:val="center"/>
              <w:rPr>
                <w:sz w:val="20"/>
              </w:rPr>
            </w:pPr>
            <w:r>
              <w:rPr>
                <w:sz w:val="20"/>
              </w:rPr>
              <w:t>A16.01.020,</w:t>
            </w:r>
            <w:r>
              <w:rPr>
                <w:spacing w:val="-9"/>
                <w:sz w:val="20"/>
              </w:rPr>
              <w:t> </w:t>
            </w:r>
            <w:r>
              <w:rPr>
                <w:sz w:val="20"/>
              </w:rPr>
              <w:t>A16.01.021,</w:t>
            </w:r>
            <w:r>
              <w:rPr>
                <w:spacing w:val="-10"/>
                <w:sz w:val="20"/>
              </w:rPr>
              <w:t> </w:t>
            </w:r>
            <w:r>
              <w:rPr>
                <w:spacing w:val="-2"/>
                <w:sz w:val="20"/>
              </w:rPr>
              <w:t>A16.01.022,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9" w:right="642"/>
              <w:jc w:val="center"/>
              <w:rPr>
                <w:sz w:val="20"/>
              </w:rPr>
            </w:pPr>
            <w:r>
              <w:rPr>
                <w:w w:val="95"/>
                <w:sz w:val="20"/>
              </w:rPr>
              <w:t>A16.01.022.001,</w:t>
            </w:r>
            <w:r>
              <w:rPr>
                <w:spacing w:val="54"/>
                <w:sz w:val="20"/>
              </w:rPr>
              <w:t> </w:t>
            </w:r>
            <w:r>
              <w:rPr>
                <w:spacing w:val="-2"/>
                <w:sz w:val="20"/>
              </w:rPr>
              <w:t>A16.01.023,</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6" w:right="645"/>
              <w:jc w:val="center"/>
              <w:rPr>
                <w:sz w:val="20"/>
              </w:rPr>
            </w:pPr>
            <w:r>
              <w:rPr>
                <w:sz w:val="20"/>
              </w:rPr>
              <w:t>A16.01.024,</w:t>
            </w:r>
            <w:r>
              <w:rPr>
                <w:spacing w:val="-9"/>
                <w:sz w:val="20"/>
              </w:rPr>
              <w:t> </w:t>
            </w:r>
            <w:r>
              <w:rPr>
                <w:sz w:val="20"/>
              </w:rPr>
              <w:t>A16.01.025,</w:t>
            </w:r>
            <w:r>
              <w:rPr>
                <w:spacing w:val="-10"/>
                <w:sz w:val="20"/>
              </w:rPr>
              <w:t> </w:t>
            </w:r>
            <w:r>
              <w:rPr>
                <w:spacing w:val="-2"/>
                <w:sz w:val="20"/>
              </w:rPr>
              <w:t>A16.01.026,</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8" w:right="645"/>
              <w:jc w:val="center"/>
              <w:rPr>
                <w:sz w:val="20"/>
              </w:rPr>
            </w:pPr>
            <w:r>
              <w:rPr>
                <w:sz w:val="20"/>
              </w:rPr>
              <w:t>A16.01.027,</w:t>
            </w:r>
            <w:r>
              <w:rPr>
                <w:spacing w:val="-9"/>
                <w:sz w:val="20"/>
              </w:rPr>
              <w:t> </w:t>
            </w:r>
            <w:r>
              <w:rPr>
                <w:spacing w:val="-2"/>
                <w:sz w:val="20"/>
              </w:rPr>
              <w:t>A16.01.027.001,</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w w:val="95"/>
                <w:sz w:val="20"/>
              </w:rPr>
              <w:t>A16.01.027.002,</w:t>
            </w:r>
            <w:r>
              <w:rPr>
                <w:spacing w:val="54"/>
                <w:sz w:val="20"/>
              </w:rPr>
              <w:t> </w:t>
            </w:r>
            <w:r>
              <w:rPr>
                <w:spacing w:val="-2"/>
                <w:sz w:val="20"/>
              </w:rPr>
              <w:t>A16.01.028,</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8" w:right="645"/>
              <w:jc w:val="center"/>
              <w:rPr>
                <w:sz w:val="20"/>
              </w:rPr>
            </w:pPr>
            <w:r>
              <w:rPr>
                <w:w w:val="95"/>
                <w:sz w:val="20"/>
              </w:rPr>
              <w:t>A16.01.030.001,</w:t>
            </w:r>
            <w:r>
              <w:rPr>
                <w:spacing w:val="54"/>
                <w:sz w:val="20"/>
              </w:rPr>
              <w:t> </w:t>
            </w:r>
            <w:r>
              <w:rPr>
                <w:spacing w:val="-2"/>
                <w:sz w:val="20"/>
              </w:rPr>
              <w:t>A16.30.062,</w:t>
            </w:r>
          </w:p>
        </w:tc>
        <w:tc>
          <w:tcPr>
            <w:tcW w:w="1571" w:type="dxa"/>
          </w:tcPr>
          <w:p>
            <w:pPr>
              <w:pStyle w:val="TableParagraph"/>
              <w:rPr>
                <w:sz w:val="16"/>
              </w:rPr>
            </w:pPr>
          </w:p>
        </w:tc>
        <w:tc>
          <w:tcPr>
            <w:tcW w:w="1261"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591" w:type="dxa"/>
          </w:tcPr>
          <w:p>
            <w:pPr>
              <w:pStyle w:val="TableParagraph"/>
              <w:rPr>
                <w:sz w:val="18"/>
              </w:rPr>
            </w:pPr>
          </w:p>
        </w:tc>
        <w:tc>
          <w:tcPr>
            <w:tcW w:w="4318" w:type="dxa"/>
          </w:tcPr>
          <w:p>
            <w:pPr>
              <w:pStyle w:val="TableParagraph"/>
              <w:rPr>
                <w:sz w:val="18"/>
              </w:rPr>
            </w:pPr>
          </w:p>
        </w:tc>
        <w:tc>
          <w:tcPr>
            <w:tcW w:w="3880" w:type="dxa"/>
          </w:tcPr>
          <w:p>
            <w:pPr>
              <w:pStyle w:val="TableParagraph"/>
              <w:spacing w:line="224" w:lineRule="exact"/>
              <w:ind w:left="148" w:right="645"/>
              <w:jc w:val="center"/>
              <w:rPr>
                <w:sz w:val="20"/>
              </w:rPr>
            </w:pPr>
            <w:r>
              <w:rPr>
                <w:sz w:val="20"/>
              </w:rPr>
              <w:t>A16.30.064,</w:t>
            </w:r>
            <w:r>
              <w:rPr>
                <w:spacing w:val="-9"/>
                <w:sz w:val="20"/>
              </w:rPr>
              <w:t> </w:t>
            </w:r>
            <w:r>
              <w:rPr>
                <w:sz w:val="20"/>
              </w:rPr>
              <w:t>A16.30.066,</w:t>
            </w:r>
            <w:r>
              <w:rPr>
                <w:spacing w:val="-10"/>
                <w:sz w:val="20"/>
              </w:rPr>
              <w:t> </w:t>
            </w:r>
            <w:r>
              <w:rPr>
                <w:spacing w:val="-2"/>
                <w:sz w:val="20"/>
              </w:rPr>
              <w:t>A16.30.067</w:t>
            </w:r>
          </w:p>
        </w:tc>
        <w:tc>
          <w:tcPr>
            <w:tcW w:w="1571" w:type="dxa"/>
          </w:tcPr>
          <w:p>
            <w:pPr>
              <w:pStyle w:val="TableParagraph"/>
              <w:rPr>
                <w:sz w:val="18"/>
              </w:rPr>
            </w:pPr>
          </w:p>
        </w:tc>
        <w:tc>
          <w:tcPr>
            <w:tcW w:w="1261" w:type="dxa"/>
          </w:tcPr>
          <w:p>
            <w:pPr>
              <w:pStyle w:val="TableParagraph"/>
              <w:rPr>
                <w:sz w:val="18"/>
              </w:rPr>
            </w:pP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ds31.003</w:t>
            </w:r>
          </w:p>
        </w:tc>
        <w:tc>
          <w:tcPr>
            <w:tcW w:w="696" w:type="dxa"/>
          </w:tcPr>
          <w:p>
            <w:pPr>
              <w:pStyle w:val="TableParagraph"/>
              <w:spacing w:line="215" w:lineRule="exact" w:before="46"/>
              <w:ind w:left="200"/>
              <w:rPr>
                <w:sz w:val="20"/>
              </w:rPr>
            </w:pPr>
            <w:r>
              <w:rPr>
                <w:spacing w:val="-5"/>
                <w:sz w:val="20"/>
              </w:rPr>
              <w:t>137</w:t>
            </w:r>
          </w:p>
        </w:tc>
        <w:tc>
          <w:tcPr>
            <w:tcW w:w="2591"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18" w:type="dxa"/>
          </w:tcPr>
          <w:p>
            <w:pPr>
              <w:pStyle w:val="TableParagraph"/>
              <w:spacing w:line="215" w:lineRule="exact" w:before="46"/>
              <w:ind w:left="2095"/>
              <w:rPr>
                <w:sz w:val="20"/>
              </w:rPr>
            </w:pPr>
            <w:r>
              <w:rPr>
                <w:w w:val="99"/>
                <w:sz w:val="20"/>
              </w:rPr>
              <w:t>-</w:t>
            </w:r>
          </w:p>
        </w:tc>
        <w:tc>
          <w:tcPr>
            <w:tcW w:w="3880" w:type="dxa"/>
          </w:tcPr>
          <w:p>
            <w:pPr>
              <w:pStyle w:val="TableParagraph"/>
              <w:spacing w:line="215" w:lineRule="exact" w:before="46"/>
              <w:ind w:left="149" w:right="645"/>
              <w:jc w:val="center"/>
              <w:rPr>
                <w:sz w:val="20"/>
              </w:rPr>
            </w:pPr>
            <w:r>
              <w:rPr>
                <w:sz w:val="20"/>
              </w:rPr>
              <w:t>A16.01.003,</w:t>
            </w:r>
            <w:r>
              <w:rPr>
                <w:spacing w:val="-7"/>
                <w:sz w:val="20"/>
              </w:rPr>
              <w:t> </w:t>
            </w:r>
            <w:r>
              <w:rPr>
                <w:spacing w:val="-2"/>
                <w:sz w:val="20"/>
              </w:rPr>
              <w:t>A16.01.003.001,</w:t>
            </w:r>
          </w:p>
        </w:tc>
        <w:tc>
          <w:tcPr>
            <w:tcW w:w="1571"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1,00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09" w:lineRule="exact"/>
              <w:ind w:left="193"/>
              <w:rPr>
                <w:sz w:val="20"/>
              </w:rPr>
            </w:pPr>
            <w:r>
              <w:rPr>
                <w:sz w:val="20"/>
              </w:rPr>
              <w:t>подкожной</w:t>
            </w:r>
            <w:r>
              <w:rPr>
                <w:spacing w:val="-11"/>
                <w:sz w:val="20"/>
              </w:rPr>
              <w:t> </w:t>
            </w:r>
            <w:r>
              <w:rPr>
                <w:spacing w:val="-2"/>
                <w:sz w:val="20"/>
              </w:rPr>
              <w:t>клетчатке,</w:t>
            </w:r>
          </w:p>
        </w:tc>
        <w:tc>
          <w:tcPr>
            <w:tcW w:w="4318" w:type="dxa"/>
          </w:tcPr>
          <w:p>
            <w:pPr>
              <w:pStyle w:val="TableParagraph"/>
              <w:rPr>
                <w:sz w:val="16"/>
              </w:rPr>
            </w:pPr>
          </w:p>
        </w:tc>
        <w:tc>
          <w:tcPr>
            <w:tcW w:w="3880" w:type="dxa"/>
          </w:tcPr>
          <w:p>
            <w:pPr>
              <w:pStyle w:val="TableParagraph"/>
              <w:spacing w:line="209" w:lineRule="exact"/>
              <w:ind w:left="147" w:right="645"/>
              <w:jc w:val="center"/>
              <w:rPr>
                <w:sz w:val="20"/>
              </w:rPr>
            </w:pPr>
            <w:r>
              <w:rPr>
                <w:w w:val="95"/>
                <w:sz w:val="20"/>
              </w:rPr>
              <w:t>A16.01.003.002,</w:t>
            </w:r>
            <w:r>
              <w:rPr>
                <w:spacing w:val="54"/>
                <w:sz w:val="20"/>
              </w:rPr>
              <w:t> </w:t>
            </w:r>
            <w:r>
              <w:rPr>
                <w:spacing w:val="-2"/>
                <w:sz w:val="20"/>
              </w:rPr>
              <w:t>A16.01.003.003,</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09" w:lineRule="exact"/>
              <w:ind w:left="193"/>
              <w:rPr>
                <w:sz w:val="20"/>
              </w:rPr>
            </w:pPr>
            <w:r>
              <w:rPr>
                <w:sz w:val="20"/>
              </w:rPr>
              <w:t>придатках</w:t>
            </w:r>
            <w:r>
              <w:rPr>
                <w:spacing w:val="-11"/>
                <w:sz w:val="20"/>
              </w:rPr>
              <w:t> </w:t>
            </w:r>
            <w:r>
              <w:rPr>
                <w:spacing w:val="-4"/>
                <w:sz w:val="20"/>
              </w:rPr>
              <w:t>кожи</w:t>
            </w:r>
          </w:p>
        </w:tc>
        <w:tc>
          <w:tcPr>
            <w:tcW w:w="4318" w:type="dxa"/>
          </w:tcPr>
          <w:p>
            <w:pPr>
              <w:pStyle w:val="TableParagraph"/>
              <w:rPr>
                <w:sz w:val="16"/>
              </w:rPr>
            </w:pPr>
          </w:p>
        </w:tc>
        <w:tc>
          <w:tcPr>
            <w:tcW w:w="3880" w:type="dxa"/>
          </w:tcPr>
          <w:p>
            <w:pPr>
              <w:pStyle w:val="TableParagraph"/>
              <w:spacing w:line="209" w:lineRule="exact"/>
              <w:ind w:left="147" w:right="645"/>
              <w:jc w:val="center"/>
              <w:rPr>
                <w:sz w:val="20"/>
              </w:rPr>
            </w:pPr>
            <w:r>
              <w:rPr>
                <w:w w:val="95"/>
                <w:sz w:val="20"/>
              </w:rPr>
              <w:t>A16.01.003.004,</w:t>
            </w:r>
            <w:r>
              <w:rPr>
                <w:spacing w:val="54"/>
                <w:sz w:val="20"/>
              </w:rPr>
              <w:t> </w:t>
            </w:r>
            <w:r>
              <w:rPr>
                <w:spacing w:val="-2"/>
                <w:sz w:val="20"/>
              </w:rPr>
              <w:t>A16.01.003.005,</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(уровень</w:t>
            </w:r>
            <w:r>
              <w:rPr>
                <w:spacing w:val="-10"/>
                <w:sz w:val="20"/>
              </w:rPr>
              <w:t> </w:t>
            </w:r>
            <w:r>
              <w:rPr>
                <w:spacing w:val="-5"/>
                <w:sz w:val="20"/>
              </w:rPr>
              <w:t>2)</w:t>
            </w: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w w:val="95"/>
                <w:sz w:val="20"/>
              </w:rPr>
              <w:t>A16.01.003.006,</w:t>
            </w:r>
            <w:r>
              <w:rPr>
                <w:spacing w:val="54"/>
                <w:sz w:val="20"/>
              </w:rPr>
              <w:t> </w:t>
            </w:r>
            <w:r>
              <w:rPr>
                <w:spacing w:val="-2"/>
                <w:sz w:val="20"/>
              </w:rPr>
              <w:t>A16.01.004,</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w w:val="95"/>
                <w:sz w:val="20"/>
              </w:rPr>
              <w:t>A16.01.004.001,</w:t>
            </w:r>
            <w:r>
              <w:rPr>
                <w:spacing w:val="54"/>
                <w:sz w:val="20"/>
              </w:rPr>
              <w:t> </w:t>
            </w:r>
            <w:r>
              <w:rPr>
                <w:spacing w:val="-2"/>
                <w:sz w:val="20"/>
              </w:rPr>
              <w:t>A16.01.006,</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9" w:right="643"/>
              <w:jc w:val="center"/>
              <w:rPr>
                <w:sz w:val="20"/>
              </w:rPr>
            </w:pPr>
            <w:r>
              <w:rPr>
                <w:sz w:val="20"/>
              </w:rPr>
              <w:t>A16.01.009,</w:t>
            </w:r>
            <w:r>
              <w:rPr>
                <w:spacing w:val="-9"/>
                <w:sz w:val="20"/>
              </w:rPr>
              <w:t> </w:t>
            </w:r>
            <w:r>
              <w:rPr>
                <w:spacing w:val="-2"/>
                <w:sz w:val="20"/>
              </w:rPr>
              <w:t>A16.01.012,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7" w:right="645"/>
              <w:jc w:val="center"/>
              <w:rPr>
                <w:sz w:val="20"/>
              </w:rPr>
            </w:pPr>
            <w:r>
              <w:rPr>
                <w:w w:val="95"/>
                <w:sz w:val="20"/>
              </w:rPr>
              <w:t>A16.01.012.001,</w:t>
            </w:r>
            <w:r>
              <w:rPr>
                <w:spacing w:val="54"/>
                <w:sz w:val="20"/>
              </w:rPr>
              <w:t> </w:t>
            </w:r>
            <w:r>
              <w:rPr>
                <w:spacing w:val="-2"/>
                <w:sz w:val="20"/>
              </w:rPr>
              <w:t>A16.01.012.002,</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8" w:right="645"/>
              <w:jc w:val="center"/>
              <w:rPr>
                <w:sz w:val="20"/>
              </w:rPr>
            </w:pPr>
            <w:r>
              <w:rPr>
                <w:w w:val="95"/>
                <w:sz w:val="20"/>
              </w:rPr>
              <w:t>A16.01.012.003,</w:t>
            </w:r>
            <w:r>
              <w:rPr>
                <w:spacing w:val="54"/>
                <w:sz w:val="20"/>
              </w:rPr>
              <w:t> </w:t>
            </w:r>
            <w:r>
              <w:rPr>
                <w:spacing w:val="-2"/>
                <w:sz w:val="20"/>
              </w:rPr>
              <w:t>A16.01.013,</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9" w:right="642"/>
              <w:jc w:val="center"/>
              <w:rPr>
                <w:sz w:val="20"/>
              </w:rPr>
            </w:pPr>
            <w:r>
              <w:rPr>
                <w:sz w:val="20"/>
              </w:rPr>
              <w:t>A16.01.014,</w:t>
            </w:r>
            <w:r>
              <w:rPr>
                <w:spacing w:val="-9"/>
                <w:sz w:val="20"/>
              </w:rPr>
              <w:t> </w:t>
            </w:r>
            <w:r>
              <w:rPr>
                <w:sz w:val="20"/>
              </w:rPr>
              <w:t>A16.01.018,</w:t>
            </w:r>
            <w:r>
              <w:rPr>
                <w:spacing w:val="-10"/>
                <w:sz w:val="20"/>
              </w:rPr>
              <w:t> </w:t>
            </w:r>
            <w:r>
              <w:rPr>
                <w:spacing w:val="-2"/>
                <w:sz w:val="20"/>
              </w:rPr>
              <w:t>A16.01.029,</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6" w:right="645"/>
              <w:jc w:val="center"/>
              <w:rPr>
                <w:sz w:val="20"/>
              </w:rPr>
            </w:pPr>
            <w:r>
              <w:rPr>
                <w:sz w:val="20"/>
              </w:rPr>
              <w:t>A16.01.030,</w:t>
            </w:r>
            <w:r>
              <w:rPr>
                <w:spacing w:val="-9"/>
                <w:sz w:val="20"/>
              </w:rPr>
              <w:t> </w:t>
            </w:r>
            <w:r>
              <w:rPr>
                <w:sz w:val="20"/>
              </w:rPr>
              <w:t>A16.01.031,</w:t>
            </w:r>
            <w:r>
              <w:rPr>
                <w:spacing w:val="-10"/>
                <w:sz w:val="20"/>
              </w:rPr>
              <w:t> </w:t>
            </w:r>
            <w:r>
              <w:rPr>
                <w:spacing w:val="-2"/>
                <w:sz w:val="20"/>
              </w:rPr>
              <w:t>A16.30.032,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7" w:right="645"/>
              <w:jc w:val="center"/>
              <w:rPr>
                <w:sz w:val="20"/>
              </w:rPr>
            </w:pPr>
            <w:r>
              <w:rPr>
                <w:w w:val="95"/>
                <w:sz w:val="20"/>
              </w:rPr>
              <w:t>A16.30.032.001,</w:t>
            </w:r>
            <w:r>
              <w:rPr>
                <w:spacing w:val="54"/>
                <w:sz w:val="20"/>
              </w:rPr>
              <w:t> </w:t>
            </w:r>
            <w:r>
              <w:rPr>
                <w:spacing w:val="-2"/>
                <w:sz w:val="20"/>
              </w:rPr>
              <w:t>A16.30.032.002,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7" w:right="645"/>
              <w:jc w:val="center"/>
              <w:rPr>
                <w:sz w:val="20"/>
              </w:rPr>
            </w:pPr>
            <w:r>
              <w:rPr>
                <w:w w:val="95"/>
                <w:sz w:val="20"/>
              </w:rPr>
              <w:t>A16.30.032.004,</w:t>
            </w:r>
            <w:r>
              <w:rPr>
                <w:spacing w:val="54"/>
                <w:sz w:val="20"/>
              </w:rPr>
              <w:t> </w:t>
            </w:r>
            <w:r>
              <w:rPr>
                <w:spacing w:val="-2"/>
                <w:sz w:val="20"/>
              </w:rPr>
              <w:t>A16.30.032.005,</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6" w:right="645"/>
              <w:jc w:val="center"/>
              <w:rPr>
                <w:sz w:val="20"/>
              </w:rPr>
            </w:pPr>
            <w:r>
              <w:rPr>
                <w:sz w:val="20"/>
              </w:rPr>
              <w:t>A16.30.033,</w:t>
            </w:r>
            <w:r>
              <w:rPr>
                <w:spacing w:val="-9"/>
                <w:sz w:val="20"/>
              </w:rPr>
              <w:t> </w:t>
            </w:r>
            <w:r>
              <w:rPr>
                <w:sz w:val="20"/>
              </w:rPr>
              <w:t>A16.30.068,</w:t>
            </w:r>
            <w:r>
              <w:rPr>
                <w:spacing w:val="-10"/>
                <w:sz w:val="20"/>
              </w:rPr>
              <w:t> </w:t>
            </w:r>
            <w:r>
              <w:rPr>
                <w:spacing w:val="-2"/>
                <w:sz w:val="20"/>
              </w:rPr>
              <w:t>A16.30.072,</w:t>
            </w:r>
          </w:p>
        </w:tc>
        <w:tc>
          <w:tcPr>
            <w:tcW w:w="1571"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5" w:lineRule="exact"/>
              <w:ind w:left="149" w:right="642"/>
              <w:jc w:val="center"/>
              <w:rPr>
                <w:sz w:val="20"/>
              </w:rPr>
            </w:pPr>
            <w:r>
              <w:rPr>
                <w:spacing w:val="-2"/>
                <w:sz w:val="20"/>
              </w:rPr>
              <w:t>A16.30.073</w:t>
            </w:r>
          </w:p>
        </w:tc>
        <w:tc>
          <w:tcPr>
            <w:tcW w:w="1571"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5"/>
        <w:gridCol w:w="3456"/>
        <w:gridCol w:w="2448"/>
        <w:gridCol w:w="4484"/>
        <w:gridCol w:w="2366"/>
        <w:gridCol w:w="863"/>
      </w:tblGrid>
      <w:tr>
        <w:trPr>
          <w:trHeight w:val="964" w:hRule="atLeast"/>
        </w:trPr>
        <w:tc>
          <w:tcPr>
            <w:tcW w:w="978" w:type="dxa"/>
          </w:tcPr>
          <w:p>
            <w:pPr>
              <w:pStyle w:val="TableParagraph"/>
              <w:spacing w:line="221" w:lineRule="exact"/>
              <w:ind w:left="38" w:right="186"/>
              <w:jc w:val="center"/>
              <w:rPr>
                <w:sz w:val="20"/>
              </w:rPr>
            </w:pPr>
            <w:r>
              <w:rPr>
                <w:spacing w:val="-2"/>
                <w:sz w:val="20"/>
              </w:rPr>
              <w:t>ds31.004</w:t>
            </w:r>
          </w:p>
        </w:tc>
        <w:tc>
          <w:tcPr>
            <w:tcW w:w="695" w:type="dxa"/>
          </w:tcPr>
          <w:p>
            <w:pPr>
              <w:pStyle w:val="TableParagraph"/>
              <w:spacing w:line="221" w:lineRule="exact"/>
              <w:ind w:left="200"/>
              <w:rPr>
                <w:sz w:val="20"/>
              </w:rPr>
            </w:pPr>
            <w:r>
              <w:rPr>
                <w:spacing w:val="-5"/>
                <w:sz w:val="20"/>
              </w:rPr>
              <w:t>138</w:t>
            </w:r>
          </w:p>
        </w:tc>
        <w:tc>
          <w:tcPr>
            <w:tcW w:w="3456" w:type="dxa"/>
          </w:tcPr>
          <w:p>
            <w:pPr>
              <w:pStyle w:val="TableParagraph"/>
              <w:ind w:left="194" w:right="1360"/>
              <w:rPr>
                <w:sz w:val="20"/>
              </w:rPr>
            </w:pPr>
            <w:r>
              <w:rPr>
                <w:sz w:val="20"/>
              </w:rPr>
              <w:t>Операции на коже, подкожной</w:t>
            </w:r>
            <w:r>
              <w:rPr>
                <w:spacing w:val="-13"/>
                <w:sz w:val="20"/>
              </w:rPr>
              <w:t> </w:t>
            </w:r>
            <w:r>
              <w:rPr>
                <w:sz w:val="20"/>
              </w:rPr>
              <w:t>клетчатке, придатках кожи (уровень 3)</w:t>
            </w:r>
          </w:p>
        </w:tc>
        <w:tc>
          <w:tcPr>
            <w:tcW w:w="2448" w:type="dxa"/>
          </w:tcPr>
          <w:p>
            <w:pPr>
              <w:pStyle w:val="TableParagraph"/>
              <w:spacing w:line="221" w:lineRule="exact"/>
              <w:ind w:right="1148"/>
              <w:jc w:val="right"/>
              <w:rPr>
                <w:sz w:val="20"/>
              </w:rPr>
            </w:pPr>
            <w:r>
              <w:rPr>
                <w:w w:val="99"/>
                <w:sz w:val="20"/>
              </w:rPr>
              <w:t>-</w:t>
            </w:r>
          </w:p>
        </w:tc>
        <w:tc>
          <w:tcPr>
            <w:tcW w:w="4484" w:type="dxa"/>
          </w:tcPr>
          <w:p>
            <w:pPr>
              <w:pStyle w:val="TableParagraph"/>
              <w:ind w:left="2050" w:right="586" w:hanging="548"/>
              <w:rPr>
                <w:sz w:val="20"/>
              </w:rPr>
            </w:pPr>
            <w:r>
              <w:rPr>
                <w:sz w:val="20"/>
              </w:rPr>
              <w:t>A16.01.005.005,</w:t>
            </w:r>
            <w:r>
              <w:rPr>
                <w:spacing w:val="-13"/>
                <w:sz w:val="20"/>
              </w:rPr>
              <w:t> </w:t>
            </w:r>
            <w:r>
              <w:rPr>
                <w:sz w:val="20"/>
              </w:rPr>
              <w:t>A16.01.010, </w:t>
            </w:r>
            <w:r>
              <w:rPr>
                <w:spacing w:val="-2"/>
                <w:sz w:val="20"/>
              </w:rPr>
              <w:t>A16.01.010.002</w:t>
            </w:r>
          </w:p>
        </w:tc>
        <w:tc>
          <w:tcPr>
            <w:tcW w:w="2366" w:type="dxa"/>
          </w:tcPr>
          <w:p>
            <w:pPr>
              <w:pStyle w:val="TableParagraph"/>
              <w:spacing w:line="221" w:lineRule="exact"/>
              <w:ind w:left="1047"/>
              <w:rPr>
                <w:sz w:val="20"/>
              </w:rPr>
            </w:pPr>
            <w:r>
              <w:rPr>
                <w:w w:val="99"/>
                <w:sz w:val="20"/>
              </w:rPr>
              <w:t>-</w:t>
            </w:r>
          </w:p>
        </w:tc>
        <w:tc>
          <w:tcPr>
            <w:tcW w:w="863" w:type="dxa"/>
          </w:tcPr>
          <w:p>
            <w:pPr>
              <w:pStyle w:val="TableParagraph"/>
              <w:spacing w:line="221" w:lineRule="exact"/>
              <w:ind w:right="43"/>
              <w:jc w:val="right"/>
              <w:rPr>
                <w:sz w:val="20"/>
              </w:rPr>
            </w:pPr>
            <w:r>
              <w:rPr>
                <w:spacing w:val="-4"/>
                <w:sz w:val="20"/>
              </w:rPr>
              <w:t>4,34</w:t>
            </w:r>
          </w:p>
        </w:tc>
      </w:tr>
      <w:tr>
        <w:trPr>
          <w:trHeight w:val="789" w:hRule="atLeast"/>
        </w:trPr>
        <w:tc>
          <w:tcPr>
            <w:tcW w:w="978" w:type="dxa"/>
          </w:tcPr>
          <w:p>
            <w:pPr>
              <w:pStyle w:val="TableParagraph"/>
              <w:spacing w:before="46"/>
              <w:ind w:left="38" w:right="186"/>
              <w:jc w:val="center"/>
              <w:rPr>
                <w:sz w:val="20"/>
              </w:rPr>
            </w:pPr>
            <w:r>
              <w:rPr>
                <w:spacing w:val="-2"/>
                <w:sz w:val="20"/>
              </w:rPr>
              <w:t>ds31.005</w:t>
            </w:r>
          </w:p>
        </w:tc>
        <w:tc>
          <w:tcPr>
            <w:tcW w:w="695" w:type="dxa"/>
          </w:tcPr>
          <w:p>
            <w:pPr>
              <w:pStyle w:val="TableParagraph"/>
              <w:spacing w:before="46"/>
              <w:ind w:left="200"/>
              <w:rPr>
                <w:sz w:val="20"/>
              </w:rPr>
            </w:pPr>
            <w:r>
              <w:rPr>
                <w:spacing w:val="-5"/>
                <w:sz w:val="20"/>
              </w:rPr>
              <w:t>139</w:t>
            </w:r>
          </w:p>
        </w:tc>
        <w:tc>
          <w:tcPr>
            <w:tcW w:w="3456" w:type="dxa"/>
          </w:tcPr>
          <w:p>
            <w:pPr>
              <w:pStyle w:val="TableParagraph"/>
              <w:spacing w:before="46"/>
              <w:ind w:left="194" w:right="1360"/>
              <w:rPr>
                <w:sz w:val="20"/>
              </w:rPr>
            </w:pPr>
            <w:r>
              <w:rPr>
                <w:sz w:val="20"/>
              </w:rPr>
              <w:t>Операции</w:t>
            </w:r>
            <w:r>
              <w:rPr>
                <w:spacing w:val="-13"/>
                <w:sz w:val="20"/>
              </w:rPr>
              <w:t> </w:t>
            </w:r>
            <w:r>
              <w:rPr>
                <w:sz w:val="20"/>
              </w:rPr>
              <w:t>на</w:t>
            </w:r>
            <w:r>
              <w:rPr>
                <w:spacing w:val="-12"/>
                <w:sz w:val="20"/>
              </w:rPr>
              <w:t> </w:t>
            </w:r>
            <w:r>
              <w:rPr>
                <w:sz w:val="20"/>
              </w:rPr>
              <w:t>органах кроветворения и иммунной системы</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2050" w:right="586" w:hanging="548"/>
              <w:rPr>
                <w:sz w:val="20"/>
              </w:rPr>
            </w:pPr>
            <w:r>
              <w:rPr>
                <w:sz w:val="20"/>
              </w:rPr>
              <w:t>A11.06.002,</w:t>
            </w:r>
            <w:r>
              <w:rPr>
                <w:spacing w:val="-13"/>
                <w:sz w:val="20"/>
              </w:rPr>
              <w:t> </w:t>
            </w:r>
            <w:r>
              <w:rPr>
                <w:sz w:val="20"/>
              </w:rPr>
              <w:t>A11.06.002.001, </w:t>
            </w:r>
            <w:r>
              <w:rPr>
                <w:spacing w:val="-2"/>
                <w:sz w:val="20"/>
              </w:rPr>
              <w:t>A11.06.002.002</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1,29</w:t>
            </w:r>
          </w:p>
        </w:tc>
      </w:tr>
      <w:tr>
        <w:trPr>
          <w:trHeight w:val="560" w:hRule="atLeast"/>
        </w:trPr>
        <w:tc>
          <w:tcPr>
            <w:tcW w:w="978" w:type="dxa"/>
          </w:tcPr>
          <w:p>
            <w:pPr>
              <w:pStyle w:val="TableParagraph"/>
              <w:spacing w:before="46"/>
              <w:ind w:left="38" w:right="186"/>
              <w:jc w:val="center"/>
              <w:rPr>
                <w:sz w:val="20"/>
              </w:rPr>
            </w:pPr>
            <w:r>
              <w:rPr>
                <w:spacing w:val="-2"/>
                <w:sz w:val="20"/>
              </w:rPr>
              <w:t>ds31.006</w:t>
            </w:r>
          </w:p>
        </w:tc>
        <w:tc>
          <w:tcPr>
            <w:tcW w:w="695" w:type="dxa"/>
          </w:tcPr>
          <w:p>
            <w:pPr>
              <w:pStyle w:val="TableParagraph"/>
              <w:spacing w:before="46"/>
              <w:ind w:left="200"/>
              <w:rPr>
                <w:sz w:val="20"/>
              </w:rPr>
            </w:pPr>
            <w:r>
              <w:rPr>
                <w:spacing w:val="-5"/>
                <w:sz w:val="20"/>
              </w:rPr>
              <w:t>140</w:t>
            </w:r>
          </w:p>
        </w:tc>
        <w:tc>
          <w:tcPr>
            <w:tcW w:w="3456" w:type="dxa"/>
          </w:tcPr>
          <w:p>
            <w:pPr>
              <w:pStyle w:val="TableParagraph"/>
              <w:spacing w:before="46"/>
              <w:ind w:left="194" w:right="833"/>
              <w:rPr>
                <w:sz w:val="20"/>
              </w:rPr>
            </w:pPr>
            <w:r>
              <w:rPr>
                <w:sz w:val="20"/>
              </w:rPr>
              <w:t>Операции</w:t>
            </w:r>
            <w:r>
              <w:rPr>
                <w:spacing w:val="-13"/>
                <w:sz w:val="20"/>
              </w:rPr>
              <w:t> </w:t>
            </w:r>
            <w:r>
              <w:rPr>
                <w:sz w:val="20"/>
              </w:rPr>
              <w:t>на</w:t>
            </w:r>
            <w:r>
              <w:rPr>
                <w:spacing w:val="-12"/>
                <w:sz w:val="20"/>
              </w:rPr>
              <w:t> </w:t>
            </w:r>
            <w:r>
              <w:rPr>
                <w:sz w:val="20"/>
              </w:rPr>
              <w:t>молочной </w:t>
            </w:r>
            <w:r>
              <w:rPr>
                <w:spacing w:val="-2"/>
                <w:sz w:val="20"/>
              </w:rPr>
              <w:t>железе</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81" w:firstLine="146"/>
              <w:rPr>
                <w:sz w:val="20"/>
              </w:rPr>
            </w:pPr>
            <w:r>
              <w:rPr>
                <w:sz w:val="20"/>
              </w:rPr>
              <w:t>A11.20.010.003, A11.20.010.004, A11.30.014,</w:t>
            </w:r>
            <w:r>
              <w:rPr>
                <w:spacing w:val="-13"/>
                <w:sz w:val="20"/>
              </w:rPr>
              <w:t> </w:t>
            </w:r>
            <w:r>
              <w:rPr>
                <w:sz w:val="20"/>
              </w:rPr>
              <w:t>A16.20.031,</w:t>
            </w:r>
            <w:r>
              <w:rPr>
                <w:spacing w:val="-12"/>
                <w:sz w:val="20"/>
              </w:rPr>
              <w:t> </w:t>
            </w:r>
            <w:r>
              <w:rPr>
                <w:sz w:val="20"/>
              </w:rPr>
              <w:t>A16.20.032</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2,60</w:t>
            </w:r>
          </w:p>
        </w:tc>
      </w:tr>
      <w:tr>
        <w:trPr>
          <w:trHeight w:val="330" w:hRule="atLeast"/>
        </w:trPr>
        <w:tc>
          <w:tcPr>
            <w:tcW w:w="978" w:type="dxa"/>
          </w:tcPr>
          <w:p>
            <w:pPr>
              <w:pStyle w:val="TableParagraph"/>
              <w:spacing w:before="45"/>
              <w:ind w:left="39" w:right="186"/>
              <w:jc w:val="center"/>
              <w:rPr>
                <w:sz w:val="20"/>
              </w:rPr>
            </w:pPr>
            <w:r>
              <w:rPr>
                <w:spacing w:val="-4"/>
                <w:sz w:val="20"/>
              </w:rPr>
              <w:t>ds32</w:t>
            </w:r>
          </w:p>
        </w:tc>
        <w:tc>
          <w:tcPr>
            <w:tcW w:w="695" w:type="dxa"/>
          </w:tcPr>
          <w:p>
            <w:pPr>
              <w:pStyle w:val="TableParagraph"/>
              <w:spacing w:before="45"/>
              <w:ind w:left="250"/>
              <w:rPr>
                <w:sz w:val="20"/>
              </w:rPr>
            </w:pPr>
            <w:r>
              <w:rPr>
                <w:spacing w:val="-5"/>
                <w:sz w:val="20"/>
              </w:rPr>
              <w:t>32</w:t>
            </w:r>
          </w:p>
        </w:tc>
        <w:tc>
          <w:tcPr>
            <w:tcW w:w="3456" w:type="dxa"/>
          </w:tcPr>
          <w:p>
            <w:pPr>
              <w:pStyle w:val="TableParagraph"/>
              <w:rPr>
                <w:sz w:val="18"/>
              </w:rPr>
            </w:pPr>
          </w:p>
        </w:tc>
        <w:tc>
          <w:tcPr>
            <w:tcW w:w="6932" w:type="dxa"/>
            <w:gridSpan w:val="2"/>
          </w:tcPr>
          <w:p>
            <w:pPr>
              <w:pStyle w:val="TableParagraph"/>
              <w:spacing w:before="45"/>
              <w:ind w:left="1733"/>
              <w:rPr>
                <w:sz w:val="20"/>
              </w:rPr>
            </w:pPr>
            <w:r>
              <w:rPr>
                <w:sz w:val="20"/>
              </w:rPr>
              <w:t>Хирургия</w:t>
            </w:r>
            <w:r>
              <w:rPr>
                <w:spacing w:val="-12"/>
                <w:sz w:val="20"/>
              </w:rPr>
              <w:t> </w:t>
            </w:r>
            <w:r>
              <w:rPr>
                <w:spacing w:val="-2"/>
                <w:sz w:val="20"/>
              </w:rPr>
              <w:t>(абдоминальная)</w:t>
            </w:r>
          </w:p>
        </w:tc>
        <w:tc>
          <w:tcPr>
            <w:tcW w:w="2366" w:type="dxa"/>
          </w:tcPr>
          <w:p>
            <w:pPr>
              <w:pStyle w:val="TableParagraph"/>
              <w:rPr>
                <w:sz w:val="18"/>
              </w:rPr>
            </w:pPr>
          </w:p>
        </w:tc>
        <w:tc>
          <w:tcPr>
            <w:tcW w:w="863" w:type="dxa"/>
          </w:tcPr>
          <w:p>
            <w:pPr>
              <w:pStyle w:val="TableParagraph"/>
              <w:spacing w:before="45"/>
              <w:ind w:right="43"/>
              <w:jc w:val="right"/>
              <w:rPr>
                <w:sz w:val="20"/>
              </w:rPr>
            </w:pPr>
            <w:r>
              <w:rPr>
                <w:spacing w:val="-4"/>
                <w:sz w:val="20"/>
              </w:rPr>
              <w:t>1,85</w:t>
            </w:r>
          </w:p>
        </w:tc>
      </w:tr>
      <w:tr>
        <w:trPr>
          <w:trHeight w:val="1020" w:hRule="atLeast"/>
        </w:trPr>
        <w:tc>
          <w:tcPr>
            <w:tcW w:w="978" w:type="dxa"/>
          </w:tcPr>
          <w:p>
            <w:pPr>
              <w:pStyle w:val="TableParagraph"/>
              <w:spacing w:before="46"/>
              <w:ind w:left="38" w:right="186"/>
              <w:jc w:val="center"/>
              <w:rPr>
                <w:sz w:val="20"/>
              </w:rPr>
            </w:pPr>
            <w:r>
              <w:rPr>
                <w:spacing w:val="-2"/>
                <w:sz w:val="20"/>
              </w:rPr>
              <w:t>ds32.001</w:t>
            </w:r>
          </w:p>
        </w:tc>
        <w:tc>
          <w:tcPr>
            <w:tcW w:w="695" w:type="dxa"/>
          </w:tcPr>
          <w:p>
            <w:pPr>
              <w:pStyle w:val="TableParagraph"/>
              <w:spacing w:before="46"/>
              <w:ind w:left="200"/>
              <w:rPr>
                <w:sz w:val="20"/>
              </w:rPr>
            </w:pPr>
            <w:r>
              <w:rPr>
                <w:spacing w:val="-5"/>
                <w:sz w:val="20"/>
              </w:rPr>
              <w:t>141</w:t>
            </w:r>
          </w:p>
        </w:tc>
        <w:tc>
          <w:tcPr>
            <w:tcW w:w="3456" w:type="dxa"/>
          </w:tcPr>
          <w:p>
            <w:pPr>
              <w:pStyle w:val="TableParagraph"/>
              <w:spacing w:before="46"/>
              <w:ind w:left="194" w:right="1015"/>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1)</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55" w:right="244"/>
              <w:jc w:val="center"/>
              <w:rPr>
                <w:sz w:val="20"/>
              </w:rPr>
            </w:pPr>
            <w:r>
              <w:rPr>
                <w:sz w:val="20"/>
              </w:rPr>
              <w:t>A03.16.001.001,</w:t>
            </w:r>
            <w:r>
              <w:rPr>
                <w:spacing w:val="-13"/>
                <w:sz w:val="20"/>
              </w:rPr>
              <w:t> </w:t>
            </w:r>
            <w:r>
              <w:rPr>
                <w:sz w:val="20"/>
              </w:rPr>
              <w:t>A11.16.001, A11.16.002, A11.16.003, A16.16.041.003,</w:t>
            </w:r>
            <w:r>
              <w:rPr>
                <w:spacing w:val="-13"/>
                <w:sz w:val="20"/>
              </w:rPr>
              <w:t> </w:t>
            </w:r>
            <w:r>
              <w:rPr>
                <w:sz w:val="20"/>
              </w:rPr>
              <w:t>A16.16.047, </w:t>
            </w:r>
            <w:r>
              <w:rPr>
                <w:w w:val="95"/>
                <w:sz w:val="20"/>
              </w:rPr>
              <w:t>A16.16.047.001,</w:t>
            </w:r>
            <w:r>
              <w:rPr>
                <w:spacing w:val="54"/>
                <w:sz w:val="20"/>
              </w:rPr>
              <w:t> </w:t>
            </w:r>
            <w:r>
              <w:rPr>
                <w:spacing w:val="-2"/>
                <w:sz w:val="20"/>
              </w:rPr>
              <w:t>A16.16.048</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2,11</w:t>
            </w:r>
          </w:p>
        </w:tc>
      </w:tr>
      <w:tr>
        <w:trPr>
          <w:trHeight w:val="2400" w:hRule="atLeast"/>
        </w:trPr>
        <w:tc>
          <w:tcPr>
            <w:tcW w:w="978" w:type="dxa"/>
          </w:tcPr>
          <w:p>
            <w:pPr>
              <w:pStyle w:val="TableParagraph"/>
              <w:spacing w:before="46"/>
              <w:ind w:left="39" w:right="186"/>
              <w:jc w:val="center"/>
              <w:rPr>
                <w:sz w:val="20"/>
              </w:rPr>
            </w:pPr>
            <w:r>
              <w:rPr>
                <w:spacing w:val="-2"/>
                <w:sz w:val="20"/>
              </w:rPr>
              <w:t>ds32.002</w:t>
            </w:r>
          </w:p>
        </w:tc>
        <w:tc>
          <w:tcPr>
            <w:tcW w:w="695" w:type="dxa"/>
          </w:tcPr>
          <w:p>
            <w:pPr>
              <w:pStyle w:val="TableParagraph"/>
              <w:spacing w:before="46"/>
              <w:ind w:left="200"/>
              <w:rPr>
                <w:sz w:val="20"/>
              </w:rPr>
            </w:pPr>
            <w:r>
              <w:rPr>
                <w:spacing w:val="-5"/>
                <w:sz w:val="20"/>
              </w:rPr>
              <w:t>142</w:t>
            </w:r>
          </w:p>
        </w:tc>
        <w:tc>
          <w:tcPr>
            <w:tcW w:w="3456" w:type="dxa"/>
          </w:tcPr>
          <w:p>
            <w:pPr>
              <w:pStyle w:val="TableParagraph"/>
              <w:spacing w:before="46"/>
              <w:ind w:left="194" w:right="1015"/>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2)</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55" w:right="246" w:firstLine="1"/>
              <w:jc w:val="center"/>
              <w:rPr>
                <w:sz w:val="20"/>
              </w:rPr>
            </w:pPr>
            <w:r>
              <w:rPr>
                <w:sz w:val="20"/>
              </w:rPr>
              <w:t>A16.14.020.002, A16.16.006, A16.16.006.001, A16.16.006.002, A16.16.008, A16.16.032, A16.16.032.001, A16.16.032.002, A16.16.037, A16.16.037.001, A16.16.038, A16.16.038.001, A16.16.039, A16.16.041, A16.16.041.001, A16.16.041.002, A16.16.051,</w:t>
            </w:r>
            <w:r>
              <w:rPr>
                <w:spacing w:val="-13"/>
                <w:sz w:val="20"/>
              </w:rPr>
              <w:t> </w:t>
            </w:r>
            <w:r>
              <w:rPr>
                <w:sz w:val="20"/>
              </w:rPr>
              <w:t>A16.16.052,</w:t>
            </w:r>
            <w:r>
              <w:rPr>
                <w:spacing w:val="-12"/>
                <w:sz w:val="20"/>
              </w:rPr>
              <w:t> </w:t>
            </w:r>
            <w:r>
              <w:rPr>
                <w:sz w:val="20"/>
              </w:rPr>
              <w:t>A16.16.057, A16.16.058, A16.16.059</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3,55</w:t>
            </w:r>
          </w:p>
        </w:tc>
      </w:tr>
      <w:tr>
        <w:trPr>
          <w:trHeight w:val="790" w:hRule="atLeast"/>
        </w:trPr>
        <w:tc>
          <w:tcPr>
            <w:tcW w:w="978" w:type="dxa"/>
          </w:tcPr>
          <w:p>
            <w:pPr>
              <w:pStyle w:val="TableParagraph"/>
              <w:spacing w:before="46"/>
              <w:ind w:left="38" w:right="186"/>
              <w:jc w:val="center"/>
              <w:rPr>
                <w:sz w:val="20"/>
              </w:rPr>
            </w:pPr>
            <w:r>
              <w:rPr>
                <w:spacing w:val="-2"/>
                <w:sz w:val="20"/>
              </w:rPr>
              <w:t>ds32.003</w:t>
            </w:r>
          </w:p>
        </w:tc>
        <w:tc>
          <w:tcPr>
            <w:tcW w:w="695" w:type="dxa"/>
          </w:tcPr>
          <w:p>
            <w:pPr>
              <w:pStyle w:val="TableParagraph"/>
              <w:spacing w:before="46"/>
              <w:ind w:left="200"/>
              <w:rPr>
                <w:sz w:val="20"/>
              </w:rPr>
            </w:pPr>
            <w:r>
              <w:rPr>
                <w:spacing w:val="-5"/>
                <w:sz w:val="20"/>
              </w:rPr>
              <w:t>143</w:t>
            </w:r>
          </w:p>
        </w:tc>
        <w:tc>
          <w:tcPr>
            <w:tcW w:w="3456" w:type="dxa"/>
          </w:tcPr>
          <w:p>
            <w:pPr>
              <w:pStyle w:val="TableParagraph"/>
              <w:spacing w:before="46"/>
              <w:ind w:left="194" w:right="1360"/>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1)</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55" w:right="246"/>
              <w:jc w:val="center"/>
              <w:rPr>
                <w:sz w:val="20"/>
              </w:rPr>
            </w:pPr>
            <w:r>
              <w:rPr>
                <w:sz w:val="20"/>
              </w:rPr>
              <w:t>A16.30.001,</w:t>
            </w:r>
            <w:r>
              <w:rPr>
                <w:spacing w:val="-13"/>
                <w:sz w:val="20"/>
              </w:rPr>
              <w:t> </w:t>
            </w:r>
            <w:r>
              <w:rPr>
                <w:sz w:val="20"/>
              </w:rPr>
              <w:t>A16.30.002,</w:t>
            </w:r>
            <w:r>
              <w:rPr>
                <w:spacing w:val="-12"/>
                <w:sz w:val="20"/>
              </w:rPr>
              <w:t> </w:t>
            </w:r>
            <w:r>
              <w:rPr>
                <w:sz w:val="20"/>
              </w:rPr>
              <w:t>A16.30.003, A16.30.004, A16.30.004.001, </w:t>
            </w:r>
            <w:r>
              <w:rPr>
                <w:spacing w:val="-2"/>
                <w:sz w:val="20"/>
              </w:rPr>
              <w:t>A16.30.004.002</w:t>
            </w:r>
          </w:p>
        </w:tc>
        <w:tc>
          <w:tcPr>
            <w:tcW w:w="2366" w:type="dxa"/>
          </w:tcPr>
          <w:p>
            <w:pPr>
              <w:pStyle w:val="TableParagraph"/>
              <w:spacing w:before="46"/>
              <w:ind w:left="490" w:right="449" w:hanging="236"/>
              <w:rPr>
                <w:sz w:val="20"/>
              </w:rPr>
            </w:pPr>
            <w:r>
              <w:rPr>
                <w:sz w:val="20"/>
              </w:rPr>
              <w:t>Возрастная</w:t>
            </w:r>
            <w:r>
              <w:rPr>
                <w:spacing w:val="-13"/>
                <w:sz w:val="20"/>
              </w:rPr>
              <w:t> </w:t>
            </w:r>
            <w:r>
              <w:rPr>
                <w:sz w:val="20"/>
              </w:rPr>
              <w:t>группа: старше 18 лет</w:t>
            </w:r>
          </w:p>
        </w:tc>
        <w:tc>
          <w:tcPr>
            <w:tcW w:w="863" w:type="dxa"/>
          </w:tcPr>
          <w:p>
            <w:pPr>
              <w:pStyle w:val="TableParagraph"/>
              <w:spacing w:before="46"/>
              <w:ind w:right="43"/>
              <w:jc w:val="right"/>
              <w:rPr>
                <w:sz w:val="20"/>
              </w:rPr>
            </w:pPr>
            <w:r>
              <w:rPr>
                <w:spacing w:val="-4"/>
                <w:sz w:val="20"/>
              </w:rPr>
              <w:t>1,57</w:t>
            </w:r>
          </w:p>
        </w:tc>
      </w:tr>
      <w:tr>
        <w:trPr>
          <w:trHeight w:val="789" w:hRule="atLeast"/>
        </w:trPr>
        <w:tc>
          <w:tcPr>
            <w:tcW w:w="978" w:type="dxa"/>
          </w:tcPr>
          <w:p>
            <w:pPr>
              <w:pStyle w:val="TableParagraph"/>
              <w:spacing w:before="46"/>
              <w:ind w:left="38" w:right="186"/>
              <w:jc w:val="center"/>
              <w:rPr>
                <w:sz w:val="20"/>
              </w:rPr>
            </w:pPr>
            <w:r>
              <w:rPr>
                <w:spacing w:val="-2"/>
                <w:sz w:val="20"/>
              </w:rPr>
              <w:t>ds32.004</w:t>
            </w:r>
          </w:p>
        </w:tc>
        <w:tc>
          <w:tcPr>
            <w:tcW w:w="695" w:type="dxa"/>
          </w:tcPr>
          <w:p>
            <w:pPr>
              <w:pStyle w:val="TableParagraph"/>
              <w:spacing w:before="46"/>
              <w:ind w:left="200"/>
              <w:rPr>
                <w:sz w:val="20"/>
              </w:rPr>
            </w:pPr>
            <w:r>
              <w:rPr>
                <w:spacing w:val="-5"/>
                <w:sz w:val="20"/>
              </w:rPr>
              <w:t>144</w:t>
            </w:r>
          </w:p>
        </w:tc>
        <w:tc>
          <w:tcPr>
            <w:tcW w:w="3456" w:type="dxa"/>
          </w:tcPr>
          <w:p>
            <w:pPr>
              <w:pStyle w:val="TableParagraph"/>
              <w:spacing w:before="46"/>
              <w:ind w:left="194" w:right="1360"/>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2)</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2050"/>
              <w:rPr>
                <w:sz w:val="20"/>
              </w:rPr>
            </w:pPr>
            <w:r>
              <w:rPr>
                <w:spacing w:val="-2"/>
                <w:sz w:val="20"/>
              </w:rPr>
              <w:t>A16.30.004.003</w:t>
            </w:r>
          </w:p>
        </w:tc>
        <w:tc>
          <w:tcPr>
            <w:tcW w:w="2366" w:type="dxa"/>
          </w:tcPr>
          <w:p>
            <w:pPr>
              <w:pStyle w:val="TableParagraph"/>
              <w:spacing w:before="46"/>
              <w:ind w:left="490" w:right="449" w:hanging="236"/>
              <w:rPr>
                <w:sz w:val="20"/>
              </w:rPr>
            </w:pPr>
            <w:r>
              <w:rPr>
                <w:sz w:val="20"/>
              </w:rPr>
              <w:t>Возрастная</w:t>
            </w:r>
            <w:r>
              <w:rPr>
                <w:spacing w:val="-13"/>
                <w:sz w:val="20"/>
              </w:rPr>
              <w:t> </w:t>
            </w:r>
            <w:r>
              <w:rPr>
                <w:sz w:val="20"/>
              </w:rPr>
              <w:t>группа: старше 18 лет</w:t>
            </w:r>
          </w:p>
        </w:tc>
        <w:tc>
          <w:tcPr>
            <w:tcW w:w="863" w:type="dxa"/>
          </w:tcPr>
          <w:p>
            <w:pPr>
              <w:pStyle w:val="TableParagraph"/>
              <w:spacing w:before="46"/>
              <w:ind w:right="43"/>
              <w:jc w:val="right"/>
              <w:rPr>
                <w:sz w:val="20"/>
              </w:rPr>
            </w:pPr>
            <w:r>
              <w:rPr>
                <w:spacing w:val="-4"/>
                <w:sz w:val="20"/>
              </w:rPr>
              <w:t>2,26</w:t>
            </w:r>
          </w:p>
        </w:tc>
      </w:tr>
      <w:tr>
        <w:trPr>
          <w:trHeight w:val="964" w:hRule="atLeast"/>
        </w:trPr>
        <w:tc>
          <w:tcPr>
            <w:tcW w:w="978" w:type="dxa"/>
          </w:tcPr>
          <w:p>
            <w:pPr>
              <w:pStyle w:val="TableParagraph"/>
              <w:spacing w:before="46"/>
              <w:ind w:left="38" w:right="186"/>
              <w:jc w:val="center"/>
              <w:rPr>
                <w:sz w:val="20"/>
              </w:rPr>
            </w:pPr>
            <w:r>
              <w:rPr>
                <w:spacing w:val="-2"/>
                <w:sz w:val="20"/>
              </w:rPr>
              <w:t>ds32.005</w:t>
            </w:r>
          </w:p>
        </w:tc>
        <w:tc>
          <w:tcPr>
            <w:tcW w:w="695" w:type="dxa"/>
          </w:tcPr>
          <w:p>
            <w:pPr>
              <w:pStyle w:val="TableParagraph"/>
              <w:spacing w:before="46"/>
              <w:ind w:left="200"/>
              <w:rPr>
                <w:sz w:val="20"/>
              </w:rPr>
            </w:pPr>
            <w:r>
              <w:rPr>
                <w:spacing w:val="-5"/>
                <w:sz w:val="20"/>
              </w:rPr>
              <w:t>145</w:t>
            </w:r>
          </w:p>
        </w:tc>
        <w:tc>
          <w:tcPr>
            <w:tcW w:w="3456" w:type="dxa"/>
          </w:tcPr>
          <w:p>
            <w:pPr>
              <w:pStyle w:val="TableParagraph"/>
              <w:spacing w:before="46"/>
              <w:ind w:left="194" w:right="1360"/>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3)</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327" w:right="418" w:hanging="2"/>
              <w:jc w:val="center"/>
              <w:rPr>
                <w:sz w:val="20"/>
              </w:rPr>
            </w:pPr>
            <w:r>
              <w:rPr>
                <w:sz w:val="20"/>
              </w:rPr>
              <w:t>A16.30.001.001,</w:t>
            </w:r>
            <w:r>
              <w:rPr>
                <w:spacing w:val="-13"/>
                <w:sz w:val="20"/>
              </w:rPr>
              <w:t> </w:t>
            </w:r>
            <w:r>
              <w:rPr>
                <w:sz w:val="20"/>
              </w:rPr>
              <w:t>A16.30.001.002, </w:t>
            </w:r>
            <w:r>
              <w:rPr>
                <w:w w:val="95"/>
                <w:sz w:val="20"/>
              </w:rPr>
              <w:t>A16.30.002.001,</w:t>
            </w:r>
            <w:r>
              <w:rPr>
                <w:spacing w:val="55"/>
                <w:sz w:val="20"/>
              </w:rPr>
              <w:t> </w:t>
            </w:r>
            <w:r>
              <w:rPr>
                <w:spacing w:val="-2"/>
                <w:sz w:val="20"/>
              </w:rPr>
              <w:t>A16.30.002.002,</w:t>
            </w:r>
          </w:p>
          <w:p>
            <w:pPr>
              <w:pStyle w:val="TableParagraph"/>
              <w:spacing w:line="228" w:lineRule="exact"/>
              <w:ind w:left="1155" w:right="245"/>
              <w:jc w:val="center"/>
              <w:rPr>
                <w:sz w:val="20"/>
              </w:rPr>
            </w:pPr>
            <w:r>
              <w:rPr>
                <w:sz w:val="20"/>
              </w:rPr>
              <w:t>A16.30.004.010,</w:t>
            </w:r>
            <w:r>
              <w:rPr>
                <w:spacing w:val="-13"/>
                <w:sz w:val="20"/>
              </w:rPr>
              <w:t> </w:t>
            </w:r>
            <w:r>
              <w:rPr>
                <w:sz w:val="20"/>
              </w:rPr>
              <w:t>A16.30.004.011, </w:t>
            </w:r>
            <w:r>
              <w:rPr>
                <w:spacing w:val="-2"/>
                <w:sz w:val="20"/>
              </w:rPr>
              <w:t>A16.30.004.012</w:t>
            </w:r>
          </w:p>
        </w:tc>
        <w:tc>
          <w:tcPr>
            <w:tcW w:w="2366" w:type="dxa"/>
          </w:tcPr>
          <w:p>
            <w:pPr>
              <w:pStyle w:val="TableParagraph"/>
              <w:spacing w:before="46"/>
              <w:ind w:left="490" w:right="449" w:hanging="236"/>
              <w:rPr>
                <w:sz w:val="20"/>
              </w:rPr>
            </w:pPr>
            <w:r>
              <w:rPr>
                <w:sz w:val="20"/>
              </w:rPr>
              <w:t>Возрастная</w:t>
            </w:r>
            <w:r>
              <w:rPr>
                <w:spacing w:val="-13"/>
                <w:sz w:val="20"/>
              </w:rPr>
              <w:t> </w:t>
            </w:r>
            <w:r>
              <w:rPr>
                <w:sz w:val="20"/>
              </w:rPr>
              <w:t>группа: старше 18 лет</w:t>
            </w:r>
          </w:p>
        </w:tc>
        <w:tc>
          <w:tcPr>
            <w:tcW w:w="863" w:type="dxa"/>
          </w:tcPr>
          <w:p>
            <w:pPr>
              <w:pStyle w:val="TableParagraph"/>
              <w:spacing w:before="46"/>
              <w:ind w:right="43"/>
              <w:jc w:val="right"/>
              <w:rPr>
                <w:sz w:val="20"/>
              </w:rPr>
            </w:pPr>
            <w:r>
              <w:rPr>
                <w:spacing w:val="-4"/>
                <w:sz w:val="20"/>
              </w:rPr>
              <w:t>3,24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79"/>
        <w:gridCol w:w="4400"/>
        <w:gridCol w:w="3510"/>
        <w:gridCol w:w="2367"/>
        <w:gridCol w:w="864"/>
      </w:tblGrid>
      <w:tr>
        <w:trPr>
          <w:trHeight w:val="734" w:hRule="atLeast"/>
        </w:trPr>
        <w:tc>
          <w:tcPr>
            <w:tcW w:w="978" w:type="dxa"/>
          </w:tcPr>
          <w:p>
            <w:pPr>
              <w:pStyle w:val="TableParagraph"/>
              <w:spacing w:line="221" w:lineRule="exact"/>
              <w:ind w:left="38" w:right="186"/>
              <w:jc w:val="center"/>
              <w:rPr>
                <w:sz w:val="20"/>
              </w:rPr>
            </w:pPr>
            <w:r>
              <w:rPr>
                <w:spacing w:val="-2"/>
                <w:sz w:val="20"/>
              </w:rPr>
              <w:t>ds32.006</w:t>
            </w:r>
          </w:p>
        </w:tc>
        <w:tc>
          <w:tcPr>
            <w:tcW w:w="696" w:type="dxa"/>
          </w:tcPr>
          <w:p>
            <w:pPr>
              <w:pStyle w:val="TableParagraph"/>
              <w:spacing w:line="221" w:lineRule="exact"/>
              <w:ind w:left="200"/>
              <w:rPr>
                <w:sz w:val="20"/>
              </w:rPr>
            </w:pPr>
            <w:r>
              <w:rPr>
                <w:spacing w:val="-5"/>
                <w:sz w:val="20"/>
              </w:rPr>
              <w:t>146</w:t>
            </w:r>
          </w:p>
        </w:tc>
        <w:tc>
          <w:tcPr>
            <w:tcW w:w="2479" w:type="dxa"/>
          </w:tcPr>
          <w:p>
            <w:pPr>
              <w:pStyle w:val="TableParagraph"/>
              <w:ind w:left="193" w:right="248"/>
              <w:rPr>
                <w:sz w:val="20"/>
              </w:rPr>
            </w:pPr>
            <w:r>
              <w:rPr>
                <w:sz w:val="20"/>
              </w:rPr>
              <w:t>Операции на желчном пузыре и желчевыводящих</w:t>
            </w:r>
            <w:r>
              <w:rPr>
                <w:spacing w:val="-13"/>
                <w:sz w:val="20"/>
              </w:rPr>
              <w:t> </w:t>
            </w:r>
            <w:r>
              <w:rPr>
                <w:sz w:val="20"/>
              </w:rPr>
              <w:t>путях</w:t>
            </w:r>
          </w:p>
        </w:tc>
        <w:tc>
          <w:tcPr>
            <w:tcW w:w="4400" w:type="dxa"/>
          </w:tcPr>
          <w:p>
            <w:pPr>
              <w:pStyle w:val="TableParagraph"/>
              <w:spacing w:line="221" w:lineRule="exact"/>
              <w:ind w:left="81"/>
              <w:jc w:val="center"/>
              <w:rPr>
                <w:sz w:val="20"/>
              </w:rPr>
            </w:pPr>
            <w:r>
              <w:rPr>
                <w:w w:val="99"/>
                <w:sz w:val="20"/>
              </w:rPr>
              <w:t>-</w:t>
            </w:r>
          </w:p>
        </w:tc>
        <w:tc>
          <w:tcPr>
            <w:tcW w:w="3510" w:type="dxa"/>
          </w:tcPr>
          <w:p>
            <w:pPr>
              <w:pStyle w:val="TableParagraph"/>
              <w:ind w:left="179" w:right="247"/>
              <w:jc w:val="center"/>
              <w:rPr>
                <w:sz w:val="20"/>
              </w:rPr>
            </w:pPr>
            <w:r>
              <w:rPr>
                <w:sz w:val="20"/>
              </w:rPr>
              <w:t>A16.14.006.001,</w:t>
            </w:r>
            <w:r>
              <w:rPr>
                <w:spacing w:val="-13"/>
                <w:sz w:val="20"/>
              </w:rPr>
              <w:t> </w:t>
            </w:r>
            <w:r>
              <w:rPr>
                <w:sz w:val="20"/>
              </w:rPr>
              <w:t>A16.14.007.001, A16.14.008.001,</w:t>
            </w:r>
            <w:r>
              <w:rPr>
                <w:spacing w:val="-13"/>
                <w:sz w:val="20"/>
              </w:rPr>
              <w:t> </w:t>
            </w:r>
            <w:r>
              <w:rPr>
                <w:sz w:val="20"/>
              </w:rPr>
              <w:t>A16.14.009.002, A16.14.031, A16.14.042</w:t>
            </w:r>
          </w:p>
        </w:tc>
        <w:tc>
          <w:tcPr>
            <w:tcW w:w="2367" w:type="dxa"/>
          </w:tcPr>
          <w:p>
            <w:pPr>
              <w:pStyle w:val="TableParagraph"/>
              <w:spacing w:line="221" w:lineRule="exact"/>
              <w:ind w:right="208"/>
              <w:jc w:val="center"/>
              <w:rPr>
                <w:sz w:val="20"/>
              </w:rPr>
            </w:pPr>
            <w:r>
              <w:rPr>
                <w:w w:val="99"/>
                <w:sz w:val="20"/>
              </w:rPr>
              <w:t>-</w:t>
            </w:r>
          </w:p>
        </w:tc>
        <w:tc>
          <w:tcPr>
            <w:tcW w:w="864" w:type="dxa"/>
          </w:tcPr>
          <w:p>
            <w:pPr>
              <w:pStyle w:val="TableParagraph"/>
              <w:spacing w:line="221" w:lineRule="exact"/>
              <w:ind w:right="47"/>
              <w:jc w:val="right"/>
              <w:rPr>
                <w:sz w:val="20"/>
              </w:rPr>
            </w:pPr>
            <w:r>
              <w:rPr>
                <w:spacing w:val="-4"/>
                <w:sz w:val="20"/>
              </w:rPr>
              <w:t>1,70</w:t>
            </w:r>
          </w:p>
        </w:tc>
      </w:tr>
      <w:tr>
        <w:trPr>
          <w:trHeight w:val="791" w:hRule="atLeast"/>
        </w:trPr>
        <w:tc>
          <w:tcPr>
            <w:tcW w:w="978" w:type="dxa"/>
          </w:tcPr>
          <w:p>
            <w:pPr>
              <w:pStyle w:val="TableParagraph"/>
              <w:spacing w:before="46"/>
              <w:ind w:left="38" w:right="186"/>
              <w:jc w:val="center"/>
              <w:rPr>
                <w:sz w:val="20"/>
              </w:rPr>
            </w:pPr>
            <w:r>
              <w:rPr>
                <w:spacing w:val="-2"/>
                <w:sz w:val="20"/>
              </w:rPr>
              <w:t>ds32.007</w:t>
            </w:r>
          </w:p>
        </w:tc>
        <w:tc>
          <w:tcPr>
            <w:tcW w:w="696" w:type="dxa"/>
          </w:tcPr>
          <w:p>
            <w:pPr>
              <w:pStyle w:val="TableParagraph"/>
              <w:spacing w:before="46"/>
              <w:ind w:left="200"/>
              <w:rPr>
                <w:sz w:val="20"/>
              </w:rPr>
            </w:pPr>
            <w:r>
              <w:rPr>
                <w:spacing w:val="-5"/>
                <w:sz w:val="20"/>
              </w:rPr>
              <w:t>147</w:t>
            </w:r>
          </w:p>
        </w:tc>
        <w:tc>
          <w:tcPr>
            <w:tcW w:w="2479" w:type="dxa"/>
          </w:tcPr>
          <w:p>
            <w:pPr>
              <w:pStyle w:val="TableParagraph"/>
              <w:spacing w:before="46"/>
              <w:ind w:left="193" w:right="80"/>
              <w:rPr>
                <w:sz w:val="20"/>
              </w:rPr>
            </w:pPr>
            <w:r>
              <w:rPr>
                <w:sz w:val="20"/>
              </w:rPr>
              <w:t>Другие</w:t>
            </w:r>
            <w:r>
              <w:rPr>
                <w:spacing w:val="-13"/>
                <w:sz w:val="20"/>
              </w:rPr>
              <w:t> </w:t>
            </w:r>
            <w:r>
              <w:rPr>
                <w:sz w:val="20"/>
              </w:rPr>
              <w:t>операции</w:t>
            </w:r>
            <w:r>
              <w:rPr>
                <w:spacing w:val="-12"/>
                <w:sz w:val="20"/>
              </w:rPr>
              <w:t> </w:t>
            </w:r>
            <w:r>
              <w:rPr>
                <w:sz w:val="20"/>
              </w:rPr>
              <w:t>на органах брюшной полости</w:t>
            </w:r>
            <w:r>
              <w:rPr>
                <w:spacing w:val="-13"/>
                <w:sz w:val="20"/>
              </w:rPr>
              <w:t> </w:t>
            </w:r>
            <w:r>
              <w:rPr>
                <w:sz w:val="20"/>
              </w:rPr>
              <w:t>(уровень</w:t>
            </w:r>
            <w:r>
              <w:rPr>
                <w:spacing w:val="-12"/>
                <w:sz w:val="20"/>
              </w:rPr>
              <w:t> </w:t>
            </w:r>
            <w:r>
              <w:rPr>
                <w:sz w:val="20"/>
              </w:rPr>
              <w:t>1)</w:t>
            </w:r>
          </w:p>
        </w:tc>
        <w:tc>
          <w:tcPr>
            <w:tcW w:w="4400" w:type="dxa"/>
          </w:tcPr>
          <w:p>
            <w:pPr>
              <w:pStyle w:val="TableParagraph"/>
              <w:spacing w:before="46"/>
              <w:ind w:left="81"/>
              <w:jc w:val="center"/>
              <w:rPr>
                <w:sz w:val="20"/>
              </w:rPr>
            </w:pPr>
            <w:r>
              <w:rPr>
                <w:w w:val="99"/>
                <w:sz w:val="20"/>
              </w:rPr>
              <w:t>-</w:t>
            </w:r>
          </w:p>
        </w:tc>
        <w:tc>
          <w:tcPr>
            <w:tcW w:w="3510" w:type="dxa"/>
          </w:tcPr>
          <w:p>
            <w:pPr>
              <w:pStyle w:val="TableParagraph"/>
              <w:spacing w:before="46"/>
              <w:ind w:left="179" w:right="248"/>
              <w:jc w:val="center"/>
              <w:rPr>
                <w:sz w:val="20"/>
              </w:rPr>
            </w:pPr>
            <w:r>
              <w:rPr>
                <w:sz w:val="20"/>
              </w:rPr>
              <w:t>A03.15.001,</w:t>
            </w:r>
            <w:r>
              <w:rPr>
                <w:spacing w:val="-13"/>
                <w:sz w:val="20"/>
              </w:rPr>
              <w:t> </w:t>
            </w:r>
            <w:r>
              <w:rPr>
                <w:sz w:val="20"/>
              </w:rPr>
              <w:t>A16.30.008,</w:t>
            </w:r>
            <w:r>
              <w:rPr>
                <w:spacing w:val="-12"/>
                <w:sz w:val="20"/>
              </w:rPr>
              <w:t> </w:t>
            </w:r>
            <w:r>
              <w:rPr>
                <w:sz w:val="20"/>
              </w:rPr>
              <w:t>A16.30.034, A16.30.043,</w:t>
            </w:r>
            <w:r>
              <w:rPr>
                <w:spacing w:val="-13"/>
                <w:sz w:val="20"/>
              </w:rPr>
              <w:t> </w:t>
            </w:r>
            <w:r>
              <w:rPr>
                <w:sz w:val="20"/>
              </w:rPr>
              <w:t>A16.30.045,</w:t>
            </w:r>
            <w:r>
              <w:rPr>
                <w:spacing w:val="-12"/>
                <w:sz w:val="20"/>
              </w:rPr>
              <w:t> </w:t>
            </w:r>
            <w:r>
              <w:rPr>
                <w:sz w:val="20"/>
              </w:rPr>
              <w:t>A16.30.046, </w:t>
            </w:r>
            <w:r>
              <w:rPr>
                <w:spacing w:val="-2"/>
                <w:sz w:val="20"/>
              </w:rPr>
              <w:t>A16.30.079</w:t>
            </w:r>
          </w:p>
        </w:tc>
        <w:tc>
          <w:tcPr>
            <w:tcW w:w="2367" w:type="dxa"/>
          </w:tcPr>
          <w:p>
            <w:pPr>
              <w:pStyle w:val="TableParagraph"/>
              <w:spacing w:before="46"/>
              <w:ind w:right="208"/>
              <w:jc w:val="center"/>
              <w:rPr>
                <w:sz w:val="20"/>
              </w:rPr>
            </w:pPr>
            <w:r>
              <w:rPr>
                <w:w w:val="99"/>
                <w:sz w:val="20"/>
              </w:rPr>
              <w:t>-</w:t>
            </w:r>
          </w:p>
        </w:tc>
        <w:tc>
          <w:tcPr>
            <w:tcW w:w="864" w:type="dxa"/>
          </w:tcPr>
          <w:p>
            <w:pPr>
              <w:pStyle w:val="TableParagraph"/>
              <w:spacing w:before="46"/>
              <w:ind w:right="47"/>
              <w:jc w:val="right"/>
              <w:rPr>
                <w:sz w:val="20"/>
              </w:rPr>
            </w:pPr>
            <w:r>
              <w:rPr>
                <w:spacing w:val="-4"/>
                <w:sz w:val="20"/>
              </w:rPr>
              <w:t>2,06</w:t>
            </w:r>
          </w:p>
        </w:tc>
      </w:tr>
      <w:tr>
        <w:trPr>
          <w:trHeight w:val="789" w:hRule="atLeast"/>
        </w:trPr>
        <w:tc>
          <w:tcPr>
            <w:tcW w:w="978" w:type="dxa"/>
          </w:tcPr>
          <w:p>
            <w:pPr>
              <w:pStyle w:val="TableParagraph"/>
              <w:spacing w:before="45"/>
              <w:ind w:left="38" w:right="186"/>
              <w:jc w:val="center"/>
              <w:rPr>
                <w:sz w:val="20"/>
              </w:rPr>
            </w:pPr>
            <w:r>
              <w:rPr>
                <w:spacing w:val="-2"/>
                <w:sz w:val="20"/>
              </w:rPr>
              <w:t>ds32.008</w:t>
            </w:r>
          </w:p>
        </w:tc>
        <w:tc>
          <w:tcPr>
            <w:tcW w:w="696" w:type="dxa"/>
          </w:tcPr>
          <w:p>
            <w:pPr>
              <w:pStyle w:val="TableParagraph"/>
              <w:spacing w:before="45"/>
              <w:ind w:left="200"/>
              <w:rPr>
                <w:sz w:val="20"/>
              </w:rPr>
            </w:pPr>
            <w:r>
              <w:rPr>
                <w:spacing w:val="-5"/>
                <w:sz w:val="20"/>
              </w:rPr>
              <w:t>148</w:t>
            </w:r>
          </w:p>
        </w:tc>
        <w:tc>
          <w:tcPr>
            <w:tcW w:w="2479" w:type="dxa"/>
          </w:tcPr>
          <w:p>
            <w:pPr>
              <w:pStyle w:val="TableParagraph"/>
              <w:spacing w:before="45"/>
              <w:ind w:left="193" w:right="80"/>
              <w:rPr>
                <w:sz w:val="20"/>
              </w:rPr>
            </w:pPr>
            <w:r>
              <w:rPr>
                <w:sz w:val="20"/>
              </w:rPr>
              <w:t>Другие</w:t>
            </w:r>
            <w:r>
              <w:rPr>
                <w:spacing w:val="-13"/>
                <w:sz w:val="20"/>
              </w:rPr>
              <w:t> </w:t>
            </w:r>
            <w:r>
              <w:rPr>
                <w:sz w:val="20"/>
              </w:rPr>
              <w:t>операции</w:t>
            </w:r>
            <w:r>
              <w:rPr>
                <w:spacing w:val="-12"/>
                <w:sz w:val="20"/>
              </w:rPr>
              <w:t> </w:t>
            </w:r>
            <w:r>
              <w:rPr>
                <w:sz w:val="20"/>
              </w:rPr>
              <w:t>на органах брюшной полости</w:t>
            </w:r>
            <w:r>
              <w:rPr>
                <w:spacing w:val="-13"/>
                <w:sz w:val="20"/>
              </w:rPr>
              <w:t> </w:t>
            </w:r>
            <w:r>
              <w:rPr>
                <w:sz w:val="20"/>
              </w:rPr>
              <w:t>(уровень</w:t>
            </w:r>
            <w:r>
              <w:rPr>
                <w:spacing w:val="-12"/>
                <w:sz w:val="20"/>
              </w:rPr>
              <w:t> </w:t>
            </w:r>
            <w:r>
              <w:rPr>
                <w:sz w:val="20"/>
              </w:rPr>
              <w:t>2)</w:t>
            </w:r>
          </w:p>
        </w:tc>
        <w:tc>
          <w:tcPr>
            <w:tcW w:w="4400" w:type="dxa"/>
          </w:tcPr>
          <w:p>
            <w:pPr>
              <w:pStyle w:val="TableParagraph"/>
              <w:spacing w:before="45"/>
              <w:ind w:left="81"/>
              <w:jc w:val="center"/>
              <w:rPr>
                <w:sz w:val="20"/>
              </w:rPr>
            </w:pPr>
            <w:r>
              <w:rPr>
                <w:w w:val="99"/>
                <w:sz w:val="20"/>
              </w:rPr>
              <w:t>-</w:t>
            </w:r>
          </w:p>
        </w:tc>
        <w:tc>
          <w:tcPr>
            <w:tcW w:w="3510" w:type="dxa"/>
          </w:tcPr>
          <w:p>
            <w:pPr>
              <w:pStyle w:val="TableParagraph"/>
              <w:spacing w:before="45"/>
              <w:ind w:left="527" w:right="594" w:firstLine="4"/>
              <w:jc w:val="center"/>
              <w:rPr>
                <w:sz w:val="20"/>
              </w:rPr>
            </w:pPr>
            <w:r>
              <w:rPr>
                <w:sz w:val="20"/>
              </w:rPr>
              <w:t>A03.30.004, A16.30.007, A16.30.007.003,</w:t>
            </w:r>
            <w:r>
              <w:rPr>
                <w:spacing w:val="-13"/>
                <w:sz w:val="20"/>
              </w:rPr>
              <w:t> </w:t>
            </w:r>
            <w:r>
              <w:rPr>
                <w:sz w:val="20"/>
              </w:rPr>
              <w:t>A16.30.021, </w:t>
            </w:r>
            <w:r>
              <w:rPr>
                <w:w w:val="95"/>
                <w:sz w:val="20"/>
              </w:rPr>
              <w:t>A16.30.025.002,</w:t>
            </w:r>
            <w:r>
              <w:rPr>
                <w:spacing w:val="54"/>
                <w:sz w:val="20"/>
              </w:rPr>
              <w:t> </w:t>
            </w:r>
            <w:r>
              <w:rPr>
                <w:spacing w:val="-2"/>
                <w:sz w:val="20"/>
              </w:rPr>
              <w:t>A16.30.026</w:t>
            </w:r>
          </w:p>
        </w:tc>
        <w:tc>
          <w:tcPr>
            <w:tcW w:w="2367" w:type="dxa"/>
          </w:tcPr>
          <w:p>
            <w:pPr>
              <w:pStyle w:val="TableParagraph"/>
              <w:spacing w:before="45"/>
              <w:ind w:right="208"/>
              <w:jc w:val="center"/>
              <w:rPr>
                <w:sz w:val="20"/>
              </w:rPr>
            </w:pPr>
            <w:r>
              <w:rPr>
                <w:w w:val="99"/>
                <w:sz w:val="20"/>
              </w:rPr>
              <w:t>-</w:t>
            </w:r>
          </w:p>
        </w:tc>
        <w:tc>
          <w:tcPr>
            <w:tcW w:w="864" w:type="dxa"/>
          </w:tcPr>
          <w:p>
            <w:pPr>
              <w:pStyle w:val="TableParagraph"/>
              <w:spacing w:before="45"/>
              <w:ind w:right="47"/>
              <w:jc w:val="right"/>
              <w:rPr>
                <w:sz w:val="20"/>
              </w:rPr>
            </w:pPr>
            <w:r>
              <w:rPr>
                <w:spacing w:val="-4"/>
                <w:sz w:val="20"/>
              </w:rPr>
              <w:t>2,17</w:t>
            </w:r>
          </w:p>
        </w:tc>
      </w:tr>
      <w:tr>
        <w:trPr>
          <w:trHeight w:val="330" w:hRule="atLeast"/>
        </w:trPr>
        <w:tc>
          <w:tcPr>
            <w:tcW w:w="978" w:type="dxa"/>
          </w:tcPr>
          <w:p>
            <w:pPr>
              <w:pStyle w:val="TableParagraph"/>
              <w:spacing w:before="45"/>
              <w:ind w:left="39" w:right="186"/>
              <w:jc w:val="center"/>
              <w:rPr>
                <w:sz w:val="20"/>
              </w:rPr>
            </w:pPr>
            <w:r>
              <w:rPr>
                <w:spacing w:val="-4"/>
                <w:sz w:val="20"/>
              </w:rPr>
              <w:t>ds33</w:t>
            </w:r>
          </w:p>
        </w:tc>
        <w:tc>
          <w:tcPr>
            <w:tcW w:w="696" w:type="dxa"/>
          </w:tcPr>
          <w:p>
            <w:pPr>
              <w:pStyle w:val="TableParagraph"/>
              <w:spacing w:before="45"/>
              <w:ind w:left="250"/>
              <w:rPr>
                <w:sz w:val="20"/>
              </w:rPr>
            </w:pPr>
            <w:r>
              <w:rPr>
                <w:spacing w:val="-5"/>
                <w:sz w:val="20"/>
              </w:rPr>
              <w:t>33</w:t>
            </w:r>
          </w:p>
        </w:tc>
        <w:tc>
          <w:tcPr>
            <w:tcW w:w="2479" w:type="dxa"/>
          </w:tcPr>
          <w:p>
            <w:pPr>
              <w:pStyle w:val="TableParagraph"/>
              <w:rPr>
                <w:sz w:val="18"/>
              </w:rPr>
            </w:pPr>
          </w:p>
        </w:tc>
        <w:tc>
          <w:tcPr>
            <w:tcW w:w="7910" w:type="dxa"/>
            <w:gridSpan w:val="2"/>
          </w:tcPr>
          <w:p>
            <w:pPr>
              <w:pStyle w:val="TableParagraph"/>
              <w:spacing w:before="45"/>
              <w:ind w:left="2667" w:right="2840"/>
              <w:jc w:val="center"/>
              <w:rPr>
                <w:sz w:val="20"/>
              </w:rPr>
            </w:pPr>
            <w:r>
              <w:rPr>
                <w:sz w:val="20"/>
              </w:rPr>
              <w:t>Хирургия</w:t>
            </w:r>
            <w:r>
              <w:rPr>
                <w:spacing w:val="-12"/>
                <w:sz w:val="20"/>
              </w:rPr>
              <w:t> </w:t>
            </w:r>
            <w:r>
              <w:rPr>
                <w:spacing w:val="-2"/>
                <w:sz w:val="20"/>
              </w:rPr>
              <w:t>(комбустиология)</w:t>
            </w:r>
          </w:p>
        </w:tc>
        <w:tc>
          <w:tcPr>
            <w:tcW w:w="2367" w:type="dxa"/>
          </w:tcPr>
          <w:p>
            <w:pPr>
              <w:pStyle w:val="TableParagraph"/>
              <w:rPr>
                <w:sz w:val="18"/>
              </w:rPr>
            </w:pPr>
          </w:p>
        </w:tc>
        <w:tc>
          <w:tcPr>
            <w:tcW w:w="864" w:type="dxa"/>
          </w:tcPr>
          <w:p>
            <w:pPr>
              <w:pStyle w:val="TableParagraph"/>
              <w:spacing w:before="45"/>
              <w:ind w:right="47"/>
              <w:jc w:val="right"/>
              <w:rPr>
                <w:sz w:val="20"/>
              </w:rPr>
            </w:pPr>
            <w:r>
              <w:rPr>
                <w:spacing w:val="-4"/>
                <w:sz w:val="20"/>
              </w:rPr>
              <w:t>1,10</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ds33.001</w:t>
            </w:r>
          </w:p>
        </w:tc>
        <w:tc>
          <w:tcPr>
            <w:tcW w:w="696" w:type="dxa"/>
          </w:tcPr>
          <w:p>
            <w:pPr>
              <w:pStyle w:val="TableParagraph"/>
              <w:spacing w:line="215" w:lineRule="exact" w:before="46"/>
              <w:ind w:left="200"/>
              <w:rPr>
                <w:sz w:val="20"/>
              </w:rPr>
            </w:pPr>
            <w:r>
              <w:rPr>
                <w:spacing w:val="-5"/>
                <w:sz w:val="20"/>
              </w:rPr>
              <w:t>149</w:t>
            </w:r>
          </w:p>
        </w:tc>
        <w:tc>
          <w:tcPr>
            <w:tcW w:w="2479" w:type="dxa"/>
          </w:tcPr>
          <w:p>
            <w:pPr>
              <w:pStyle w:val="TableParagraph"/>
              <w:spacing w:line="215" w:lineRule="exact" w:before="46"/>
              <w:ind w:left="193"/>
              <w:rPr>
                <w:sz w:val="20"/>
              </w:rPr>
            </w:pPr>
            <w:r>
              <w:rPr>
                <w:sz w:val="20"/>
              </w:rPr>
              <w:t>Ожоги</w:t>
            </w:r>
            <w:r>
              <w:rPr>
                <w:spacing w:val="-4"/>
                <w:sz w:val="20"/>
              </w:rPr>
              <w:t> </w:t>
            </w:r>
            <w:r>
              <w:rPr>
                <w:sz w:val="20"/>
              </w:rPr>
              <w:t>и</w:t>
            </w:r>
            <w:r>
              <w:rPr>
                <w:spacing w:val="-5"/>
                <w:sz w:val="20"/>
              </w:rPr>
              <w:t> </w:t>
            </w:r>
            <w:r>
              <w:rPr>
                <w:spacing w:val="-2"/>
                <w:sz w:val="20"/>
              </w:rPr>
              <w:t>отморожения</w:t>
            </w:r>
          </w:p>
        </w:tc>
        <w:tc>
          <w:tcPr>
            <w:tcW w:w="4400" w:type="dxa"/>
          </w:tcPr>
          <w:p>
            <w:pPr>
              <w:pStyle w:val="TableParagraph"/>
              <w:spacing w:line="215" w:lineRule="exact" w:before="46"/>
              <w:ind w:left="254" w:right="175"/>
              <w:jc w:val="center"/>
              <w:rPr>
                <w:sz w:val="20"/>
              </w:rPr>
            </w:pPr>
            <w:r>
              <w:rPr>
                <w:sz w:val="20"/>
              </w:rPr>
              <w:t>T20.0,</w:t>
            </w:r>
            <w:r>
              <w:rPr>
                <w:spacing w:val="-7"/>
                <w:sz w:val="20"/>
              </w:rPr>
              <w:t> </w:t>
            </w:r>
            <w:r>
              <w:rPr>
                <w:sz w:val="20"/>
              </w:rPr>
              <w:t>T20.1,</w:t>
            </w:r>
            <w:r>
              <w:rPr>
                <w:spacing w:val="-5"/>
                <w:sz w:val="20"/>
              </w:rPr>
              <w:t> </w:t>
            </w:r>
            <w:r>
              <w:rPr>
                <w:sz w:val="20"/>
              </w:rPr>
              <w:t>T20.2,</w:t>
            </w:r>
            <w:r>
              <w:rPr>
                <w:spacing w:val="-5"/>
                <w:sz w:val="20"/>
              </w:rPr>
              <w:t> </w:t>
            </w:r>
            <w:r>
              <w:rPr>
                <w:sz w:val="20"/>
              </w:rPr>
              <w:t>T20.3,</w:t>
            </w:r>
            <w:r>
              <w:rPr>
                <w:spacing w:val="-5"/>
                <w:sz w:val="20"/>
              </w:rPr>
              <w:t> </w:t>
            </w:r>
            <w:r>
              <w:rPr>
                <w:sz w:val="20"/>
              </w:rPr>
              <w:t>T20.4,</w:t>
            </w:r>
            <w:r>
              <w:rPr>
                <w:spacing w:val="-5"/>
                <w:sz w:val="20"/>
              </w:rPr>
              <w:t> </w:t>
            </w:r>
            <w:r>
              <w:rPr>
                <w:sz w:val="20"/>
              </w:rPr>
              <w:t>T20.5,</w:t>
            </w:r>
            <w:r>
              <w:rPr>
                <w:spacing w:val="-5"/>
                <w:sz w:val="20"/>
              </w:rPr>
              <w:t> </w:t>
            </w:r>
            <w:r>
              <w:rPr>
                <w:spacing w:val="-2"/>
                <w:sz w:val="20"/>
              </w:rPr>
              <w:t>T20.6,</w:t>
            </w:r>
          </w:p>
        </w:tc>
        <w:tc>
          <w:tcPr>
            <w:tcW w:w="3510" w:type="dxa"/>
          </w:tcPr>
          <w:p>
            <w:pPr>
              <w:pStyle w:val="TableParagraph"/>
              <w:spacing w:line="215" w:lineRule="exact" w:before="46"/>
              <w:ind w:left="1688"/>
              <w:rPr>
                <w:sz w:val="20"/>
              </w:rPr>
            </w:pPr>
            <w:r>
              <w:rPr>
                <w:w w:val="99"/>
                <w:sz w:val="20"/>
              </w:rPr>
              <w:t>-</w:t>
            </w:r>
          </w:p>
        </w:tc>
        <w:tc>
          <w:tcPr>
            <w:tcW w:w="2367" w:type="dxa"/>
          </w:tcPr>
          <w:p>
            <w:pPr>
              <w:pStyle w:val="TableParagraph"/>
              <w:spacing w:line="215" w:lineRule="exact" w:before="46"/>
              <w:ind w:right="208"/>
              <w:jc w:val="center"/>
              <w:rPr>
                <w:sz w:val="20"/>
              </w:rPr>
            </w:pPr>
            <w:r>
              <w:rPr>
                <w:w w:val="99"/>
                <w:sz w:val="20"/>
              </w:rPr>
              <w:t>-</w:t>
            </w:r>
          </w:p>
        </w:tc>
        <w:tc>
          <w:tcPr>
            <w:tcW w:w="864" w:type="dxa"/>
          </w:tcPr>
          <w:p>
            <w:pPr>
              <w:pStyle w:val="TableParagraph"/>
              <w:spacing w:line="215" w:lineRule="exact" w:before="46"/>
              <w:ind w:right="47"/>
              <w:jc w:val="right"/>
              <w:rPr>
                <w:sz w:val="20"/>
              </w:rPr>
            </w:pPr>
            <w:r>
              <w:rPr>
                <w:spacing w:val="-4"/>
                <w:sz w:val="20"/>
              </w:rPr>
              <w:t>1,10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4" w:right="175"/>
              <w:jc w:val="center"/>
              <w:rPr>
                <w:sz w:val="20"/>
              </w:rPr>
            </w:pPr>
            <w:r>
              <w:rPr>
                <w:sz w:val="20"/>
              </w:rPr>
              <w:t>T20.7,</w:t>
            </w:r>
            <w:r>
              <w:rPr>
                <w:spacing w:val="-7"/>
                <w:sz w:val="20"/>
              </w:rPr>
              <w:t> </w:t>
            </w:r>
            <w:r>
              <w:rPr>
                <w:sz w:val="20"/>
              </w:rPr>
              <w:t>T21.0,</w:t>
            </w:r>
            <w:r>
              <w:rPr>
                <w:spacing w:val="-5"/>
                <w:sz w:val="20"/>
              </w:rPr>
              <w:t> </w:t>
            </w:r>
            <w:r>
              <w:rPr>
                <w:sz w:val="20"/>
              </w:rPr>
              <w:t>T21.1,</w:t>
            </w:r>
            <w:r>
              <w:rPr>
                <w:spacing w:val="-5"/>
                <w:sz w:val="20"/>
              </w:rPr>
              <w:t> </w:t>
            </w:r>
            <w:r>
              <w:rPr>
                <w:sz w:val="20"/>
              </w:rPr>
              <w:t>T21.2,</w:t>
            </w:r>
            <w:r>
              <w:rPr>
                <w:spacing w:val="-5"/>
                <w:sz w:val="20"/>
              </w:rPr>
              <w:t> </w:t>
            </w:r>
            <w:r>
              <w:rPr>
                <w:sz w:val="20"/>
              </w:rPr>
              <w:t>T21.3,</w:t>
            </w:r>
            <w:r>
              <w:rPr>
                <w:spacing w:val="-5"/>
                <w:sz w:val="20"/>
              </w:rPr>
              <w:t> </w:t>
            </w:r>
            <w:r>
              <w:rPr>
                <w:sz w:val="20"/>
              </w:rPr>
              <w:t>T21.4,</w:t>
            </w:r>
            <w:r>
              <w:rPr>
                <w:spacing w:val="-5"/>
                <w:sz w:val="20"/>
              </w:rPr>
              <w:t> </w:t>
            </w:r>
            <w:r>
              <w:rPr>
                <w:spacing w:val="-2"/>
                <w:sz w:val="20"/>
              </w:rPr>
              <w:t>T21.5,</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5" w:right="175"/>
              <w:jc w:val="center"/>
              <w:rPr>
                <w:sz w:val="20"/>
              </w:rPr>
            </w:pPr>
            <w:r>
              <w:rPr>
                <w:sz w:val="20"/>
              </w:rPr>
              <w:t>T21.6,</w:t>
            </w:r>
            <w:r>
              <w:rPr>
                <w:spacing w:val="-7"/>
                <w:sz w:val="20"/>
              </w:rPr>
              <w:t> </w:t>
            </w:r>
            <w:r>
              <w:rPr>
                <w:sz w:val="20"/>
              </w:rPr>
              <w:t>T21.7,</w:t>
            </w:r>
            <w:r>
              <w:rPr>
                <w:spacing w:val="-5"/>
                <w:sz w:val="20"/>
              </w:rPr>
              <w:t> </w:t>
            </w:r>
            <w:r>
              <w:rPr>
                <w:sz w:val="20"/>
              </w:rPr>
              <w:t>T22.0,</w:t>
            </w:r>
            <w:r>
              <w:rPr>
                <w:spacing w:val="-5"/>
                <w:sz w:val="20"/>
              </w:rPr>
              <w:t> </w:t>
            </w:r>
            <w:r>
              <w:rPr>
                <w:sz w:val="20"/>
              </w:rPr>
              <w:t>T22.1,</w:t>
            </w:r>
            <w:r>
              <w:rPr>
                <w:spacing w:val="-4"/>
                <w:sz w:val="20"/>
              </w:rPr>
              <w:t> </w:t>
            </w:r>
            <w:r>
              <w:rPr>
                <w:sz w:val="20"/>
              </w:rPr>
              <w:t>T22.2,</w:t>
            </w:r>
            <w:r>
              <w:rPr>
                <w:spacing w:val="-5"/>
                <w:sz w:val="20"/>
              </w:rPr>
              <w:t> </w:t>
            </w:r>
            <w:r>
              <w:rPr>
                <w:sz w:val="20"/>
              </w:rPr>
              <w:t>T22.3,</w:t>
            </w:r>
            <w:r>
              <w:rPr>
                <w:spacing w:val="-5"/>
                <w:sz w:val="20"/>
              </w:rPr>
              <w:t> </w:t>
            </w:r>
            <w:r>
              <w:rPr>
                <w:spacing w:val="-2"/>
                <w:sz w:val="20"/>
              </w:rPr>
              <w:t>T22.4,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T22.5,</w:t>
            </w:r>
            <w:r>
              <w:rPr>
                <w:spacing w:val="-7"/>
                <w:sz w:val="20"/>
              </w:rPr>
              <w:t> </w:t>
            </w:r>
            <w:r>
              <w:rPr>
                <w:sz w:val="20"/>
              </w:rPr>
              <w:t>T22.6,</w:t>
            </w:r>
            <w:r>
              <w:rPr>
                <w:spacing w:val="-5"/>
                <w:sz w:val="20"/>
              </w:rPr>
              <w:t> </w:t>
            </w:r>
            <w:r>
              <w:rPr>
                <w:sz w:val="20"/>
              </w:rPr>
              <w:t>T22.7,</w:t>
            </w:r>
            <w:r>
              <w:rPr>
                <w:spacing w:val="-5"/>
                <w:sz w:val="20"/>
              </w:rPr>
              <w:t> </w:t>
            </w:r>
            <w:r>
              <w:rPr>
                <w:sz w:val="20"/>
              </w:rPr>
              <w:t>T23.0,</w:t>
            </w:r>
            <w:r>
              <w:rPr>
                <w:spacing w:val="-5"/>
                <w:sz w:val="20"/>
              </w:rPr>
              <w:t> </w:t>
            </w:r>
            <w:r>
              <w:rPr>
                <w:sz w:val="20"/>
              </w:rPr>
              <w:t>T23.1,</w:t>
            </w:r>
            <w:r>
              <w:rPr>
                <w:spacing w:val="-5"/>
                <w:sz w:val="20"/>
              </w:rPr>
              <w:t> </w:t>
            </w:r>
            <w:r>
              <w:rPr>
                <w:sz w:val="20"/>
              </w:rPr>
              <w:t>T23.2,</w:t>
            </w:r>
            <w:r>
              <w:rPr>
                <w:spacing w:val="-5"/>
                <w:sz w:val="20"/>
              </w:rPr>
              <w:t> </w:t>
            </w:r>
            <w:r>
              <w:rPr>
                <w:spacing w:val="-2"/>
                <w:sz w:val="20"/>
              </w:rPr>
              <w:t>T23.3,</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T23.4,</w:t>
            </w:r>
            <w:r>
              <w:rPr>
                <w:spacing w:val="-7"/>
                <w:sz w:val="20"/>
              </w:rPr>
              <w:t> </w:t>
            </w:r>
            <w:r>
              <w:rPr>
                <w:sz w:val="20"/>
              </w:rPr>
              <w:t>T23.5,</w:t>
            </w:r>
            <w:r>
              <w:rPr>
                <w:spacing w:val="-5"/>
                <w:sz w:val="20"/>
              </w:rPr>
              <w:t> </w:t>
            </w:r>
            <w:r>
              <w:rPr>
                <w:sz w:val="20"/>
              </w:rPr>
              <w:t>T23.6,</w:t>
            </w:r>
            <w:r>
              <w:rPr>
                <w:spacing w:val="-5"/>
                <w:sz w:val="20"/>
              </w:rPr>
              <w:t> </w:t>
            </w:r>
            <w:r>
              <w:rPr>
                <w:sz w:val="20"/>
              </w:rPr>
              <w:t>T23.7,</w:t>
            </w:r>
            <w:r>
              <w:rPr>
                <w:spacing w:val="-5"/>
                <w:sz w:val="20"/>
              </w:rPr>
              <w:t> </w:t>
            </w:r>
            <w:r>
              <w:rPr>
                <w:sz w:val="20"/>
              </w:rPr>
              <w:t>T24.0,</w:t>
            </w:r>
            <w:r>
              <w:rPr>
                <w:spacing w:val="-5"/>
                <w:sz w:val="20"/>
              </w:rPr>
              <w:t> </w:t>
            </w:r>
            <w:r>
              <w:rPr>
                <w:sz w:val="20"/>
              </w:rPr>
              <w:t>T24.1,</w:t>
            </w:r>
            <w:r>
              <w:rPr>
                <w:spacing w:val="-5"/>
                <w:sz w:val="20"/>
              </w:rPr>
              <w:t> </w:t>
            </w:r>
            <w:r>
              <w:rPr>
                <w:spacing w:val="-2"/>
                <w:sz w:val="20"/>
              </w:rPr>
              <w:t>T24.2,</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4" w:right="175"/>
              <w:jc w:val="center"/>
              <w:rPr>
                <w:sz w:val="20"/>
              </w:rPr>
            </w:pPr>
            <w:r>
              <w:rPr>
                <w:sz w:val="20"/>
              </w:rPr>
              <w:t>T24.3,</w:t>
            </w:r>
            <w:r>
              <w:rPr>
                <w:spacing w:val="-7"/>
                <w:sz w:val="20"/>
              </w:rPr>
              <w:t> </w:t>
            </w:r>
            <w:r>
              <w:rPr>
                <w:sz w:val="20"/>
              </w:rPr>
              <w:t>T24.4,</w:t>
            </w:r>
            <w:r>
              <w:rPr>
                <w:spacing w:val="-5"/>
                <w:sz w:val="20"/>
              </w:rPr>
              <w:t> </w:t>
            </w:r>
            <w:r>
              <w:rPr>
                <w:sz w:val="20"/>
              </w:rPr>
              <w:t>T24.5,</w:t>
            </w:r>
            <w:r>
              <w:rPr>
                <w:spacing w:val="-5"/>
                <w:sz w:val="20"/>
              </w:rPr>
              <w:t> </w:t>
            </w:r>
            <w:r>
              <w:rPr>
                <w:sz w:val="20"/>
              </w:rPr>
              <w:t>T24.6,</w:t>
            </w:r>
            <w:r>
              <w:rPr>
                <w:spacing w:val="-5"/>
                <w:sz w:val="20"/>
              </w:rPr>
              <w:t> </w:t>
            </w:r>
            <w:r>
              <w:rPr>
                <w:sz w:val="20"/>
              </w:rPr>
              <w:t>T24.7,</w:t>
            </w:r>
            <w:r>
              <w:rPr>
                <w:spacing w:val="-5"/>
                <w:sz w:val="20"/>
              </w:rPr>
              <w:t> </w:t>
            </w:r>
            <w:r>
              <w:rPr>
                <w:sz w:val="20"/>
              </w:rPr>
              <w:t>T25.0,</w:t>
            </w:r>
            <w:r>
              <w:rPr>
                <w:spacing w:val="-5"/>
                <w:sz w:val="20"/>
              </w:rPr>
              <w:t> </w:t>
            </w:r>
            <w:r>
              <w:rPr>
                <w:spacing w:val="-2"/>
                <w:sz w:val="20"/>
              </w:rPr>
              <w:t>T25.1,</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4" w:right="175"/>
              <w:jc w:val="center"/>
              <w:rPr>
                <w:sz w:val="20"/>
              </w:rPr>
            </w:pPr>
            <w:r>
              <w:rPr>
                <w:sz w:val="20"/>
              </w:rPr>
              <w:t>T25.2,</w:t>
            </w:r>
            <w:r>
              <w:rPr>
                <w:spacing w:val="-7"/>
                <w:sz w:val="20"/>
              </w:rPr>
              <w:t> </w:t>
            </w:r>
            <w:r>
              <w:rPr>
                <w:sz w:val="20"/>
              </w:rPr>
              <w:t>T25.3,</w:t>
            </w:r>
            <w:r>
              <w:rPr>
                <w:spacing w:val="-5"/>
                <w:sz w:val="20"/>
              </w:rPr>
              <w:t> </w:t>
            </w:r>
            <w:r>
              <w:rPr>
                <w:sz w:val="20"/>
              </w:rPr>
              <w:t>T25.4,</w:t>
            </w:r>
            <w:r>
              <w:rPr>
                <w:spacing w:val="-5"/>
                <w:sz w:val="20"/>
              </w:rPr>
              <w:t> </w:t>
            </w:r>
            <w:r>
              <w:rPr>
                <w:sz w:val="20"/>
              </w:rPr>
              <w:t>T25.5,</w:t>
            </w:r>
            <w:r>
              <w:rPr>
                <w:spacing w:val="-5"/>
                <w:sz w:val="20"/>
              </w:rPr>
              <w:t> </w:t>
            </w:r>
            <w:r>
              <w:rPr>
                <w:sz w:val="20"/>
              </w:rPr>
              <w:t>T25.6,</w:t>
            </w:r>
            <w:r>
              <w:rPr>
                <w:spacing w:val="-5"/>
                <w:sz w:val="20"/>
              </w:rPr>
              <w:t> </w:t>
            </w:r>
            <w:r>
              <w:rPr>
                <w:sz w:val="20"/>
              </w:rPr>
              <w:t>T25.7,</w:t>
            </w:r>
            <w:r>
              <w:rPr>
                <w:spacing w:val="-5"/>
                <w:sz w:val="20"/>
              </w:rPr>
              <w:t> </w:t>
            </w:r>
            <w:r>
              <w:rPr>
                <w:spacing w:val="-2"/>
                <w:sz w:val="20"/>
              </w:rPr>
              <w:t>T27.0,</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6" w:right="174"/>
              <w:jc w:val="center"/>
              <w:rPr>
                <w:sz w:val="20"/>
              </w:rPr>
            </w:pPr>
            <w:r>
              <w:rPr>
                <w:sz w:val="20"/>
              </w:rPr>
              <w:t>T27.1,</w:t>
            </w:r>
            <w:r>
              <w:rPr>
                <w:spacing w:val="-7"/>
                <w:sz w:val="20"/>
              </w:rPr>
              <w:t> </w:t>
            </w:r>
            <w:r>
              <w:rPr>
                <w:sz w:val="20"/>
              </w:rPr>
              <w:t>T27.2,</w:t>
            </w:r>
            <w:r>
              <w:rPr>
                <w:spacing w:val="-5"/>
                <w:sz w:val="20"/>
              </w:rPr>
              <w:t> </w:t>
            </w:r>
            <w:r>
              <w:rPr>
                <w:sz w:val="20"/>
              </w:rPr>
              <w:t>T27.3,</w:t>
            </w:r>
            <w:r>
              <w:rPr>
                <w:spacing w:val="-2"/>
                <w:sz w:val="20"/>
              </w:rPr>
              <w:t> </w:t>
            </w:r>
            <w:r>
              <w:rPr>
                <w:sz w:val="20"/>
              </w:rPr>
              <w:t>T27.4,</w:t>
            </w:r>
            <w:r>
              <w:rPr>
                <w:spacing w:val="-5"/>
                <w:sz w:val="20"/>
              </w:rPr>
              <w:t> </w:t>
            </w:r>
            <w:r>
              <w:rPr>
                <w:sz w:val="20"/>
              </w:rPr>
              <w:t>T27.5,</w:t>
            </w:r>
            <w:r>
              <w:rPr>
                <w:spacing w:val="-5"/>
                <w:sz w:val="20"/>
              </w:rPr>
              <w:t> </w:t>
            </w:r>
            <w:r>
              <w:rPr>
                <w:sz w:val="20"/>
              </w:rPr>
              <w:t>T27.6,</w:t>
            </w:r>
            <w:r>
              <w:rPr>
                <w:spacing w:val="-5"/>
                <w:sz w:val="20"/>
              </w:rPr>
              <w:t> </w:t>
            </w:r>
            <w:r>
              <w:rPr>
                <w:spacing w:val="-2"/>
                <w:sz w:val="20"/>
              </w:rPr>
              <w:t>T27.7,</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4" w:right="175"/>
              <w:jc w:val="center"/>
              <w:rPr>
                <w:sz w:val="20"/>
              </w:rPr>
            </w:pPr>
            <w:r>
              <w:rPr>
                <w:sz w:val="20"/>
              </w:rPr>
              <w:t>T29.0,</w:t>
            </w:r>
            <w:r>
              <w:rPr>
                <w:spacing w:val="-7"/>
                <w:sz w:val="20"/>
              </w:rPr>
              <w:t> </w:t>
            </w:r>
            <w:r>
              <w:rPr>
                <w:sz w:val="20"/>
              </w:rPr>
              <w:t>T29.1,</w:t>
            </w:r>
            <w:r>
              <w:rPr>
                <w:spacing w:val="-5"/>
                <w:sz w:val="20"/>
              </w:rPr>
              <w:t> </w:t>
            </w:r>
            <w:r>
              <w:rPr>
                <w:sz w:val="20"/>
              </w:rPr>
              <w:t>T29.2,</w:t>
            </w:r>
            <w:r>
              <w:rPr>
                <w:spacing w:val="-5"/>
                <w:sz w:val="20"/>
              </w:rPr>
              <w:t> </w:t>
            </w:r>
            <w:r>
              <w:rPr>
                <w:sz w:val="20"/>
              </w:rPr>
              <w:t>T29.3,</w:t>
            </w:r>
            <w:r>
              <w:rPr>
                <w:spacing w:val="-5"/>
                <w:sz w:val="20"/>
              </w:rPr>
              <w:t> </w:t>
            </w:r>
            <w:r>
              <w:rPr>
                <w:sz w:val="20"/>
              </w:rPr>
              <w:t>T29.4,</w:t>
            </w:r>
            <w:r>
              <w:rPr>
                <w:spacing w:val="-5"/>
                <w:sz w:val="20"/>
              </w:rPr>
              <w:t> </w:t>
            </w:r>
            <w:r>
              <w:rPr>
                <w:sz w:val="20"/>
              </w:rPr>
              <w:t>T29.5,</w:t>
            </w:r>
            <w:r>
              <w:rPr>
                <w:spacing w:val="-5"/>
                <w:sz w:val="20"/>
              </w:rPr>
              <w:t> </w:t>
            </w:r>
            <w:r>
              <w:rPr>
                <w:spacing w:val="-2"/>
                <w:sz w:val="20"/>
              </w:rPr>
              <w:t>T29.6,</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3" w:right="175"/>
              <w:jc w:val="center"/>
              <w:rPr>
                <w:sz w:val="20"/>
              </w:rPr>
            </w:pPr>
            <w:r>
              <w:rPr>
                <w:sz w:val="20"/>
              </w:rPr>
              <w:t>T29.7,</w:t>
            </w:r>
            <w:r>
              <w:rPr>
                <w:spacing w:val="-7"/>
                <w:sz w:val="20"/>
              </w:rPr>
              <w:t> </w:t>
            </w:r>
            <w:r>
              <w:rPr>
                <w:sz w:val="20"/>
              </w:rPr>
              <w:t>T30,</w:t>
            </w:r>
            <w:r>
              <w:rPr>
                <w:spacing w:val="-7"/>
                <w:sz w:val="20"/>
              </w:rPr>
              <w:t> </w:t>
            </w:r>
            <w:r>
              <w:rPr>
                <w:sz w:val="20"/>
              </w:rPr>
              <w:t>T30.0,</w:t>
            </w:r>
            <w:r>
              <w:rPr>
                <w:spacing w:val="-4"/>
                <w:sz w:val="20"/>
              </w:rPr>
              <w:t> </w:t>
            </w:r>
            <w:r>
              <w:rPr>
                <w:sz w:val="20"/>
              </w:rPr>
              <w:t>T30.1,</w:t>
            </w:r>
            <w:r>
              <w:rPr>
                <w:spacing w:val="-5"/>
                <w:sz w:val="20"/>
              </w:rPr>
              <w:t> </w:t>
            </w:r>
            <w:r>
              <w:rPr>
                <w:sz w:val="20"/>
              </w:rPr>
              <w:t>T30.2,</w:t>
            </w:r>
            <w:r>
              <w:rPr>
                <w:spacing w:val="-5"/>
                <w:sz w:val="20"/>
              </w:rPr>
              <w:t> </w:t>
            </w:r>
            <w:r>
              <w:rPr>
                <w:sz w:val="20"/>
              </w:rPr>
              <w:t>T30.3,</w:t>
            </w:r>
            <w:r>
              <w:rPr>
                <w:spacing w:val="-4"/>
                <w:sz w:val="20"/>
              </w:rPr>
              <w:t> </w:t>
            </w:r>
            <w:r>
              <w:rPr>
                <w:spacing w:val="-2"/>
                <w:sz w:val="20"/>
              </w:rPr>
              <w:t>T30.4,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T30.5,</w:t>
            </w:r>
            <w:r>
              <w:rPr>
                <w:spacing w:val="-7"/>
                <w:sz w:val="20"/>
              </w:rPr>
              <w:t> </w:t>
            </w:r>
            <w:r>
              <w:rPr>
                <w:sz w:val="20"/>
              </w:rPr>
              <w:t>T30.6,</w:t>
            </w:r>
            <w:r>
              <w:rPr>
                <w:spacing w:val="-5"/>
                <w:sz w:val="20"/>
              </w:rPr>
              <w:t> </w:t>
            </w:r>
            <w:r>
              <w:rPr>
                <w:sz w:val="20"/>
              </w:rPr>
              <w:t>T30.7,</w:t>
            </w:r>
            <w:r>
              <w:rPr>
                <w:spacing w:val="-5"/>
                <w:sz w:val="20"/>
              </w:rPr>
              <w:t> </w:t>
            </w:r>
            <w:r>
              <w:rPr>
                <w:sz w:val="20"/>
              </w:rPr>
              <w:t>T31.0,</w:t>
            </w:r>
            <w:r>
              <w:rPr>
                <w:spacing w:val="-5"/>
                <w:sz w:val="20"/>
              </w:rPr>
              <w:t> </w:t>
            </w:r>
            <w:r>
              <w:rPr>
                <w:sz w:val="20"/>
              </w:rPr>
              <w:t>T31.1,</w:t>
            </w:r>
            <w:r>
              <w:rPr>
                <w:spacing w:val="-5"/>
                <w:sz w:val="20"/>
              </w:rPr>
              <w:t> </w:t>
            </w:r>
            <w:r>
              <w:rPr>
                <w:sz w:val="20"/>
              </w:rPr>
              <w:t>T31.2,</w:t>
            </w:r>
            <w:r>
              <w:rPr>
                <w:spacing w:val="-5"/>
                <w:sz w:val="20"/>
              </w:rPr>
              <w:t> </w:t>
            </w:r>
            <w:r>
              <w:rPr>
                <w:spacing w:val="-2"/>
                <w:sz w:val="20"/>
              </w:rPr>
              <w:t>T31.3,</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T31.4,</w:t>
            </w:r>
            <w:r>
              <w:rPr>
                <w:spacing w:val="-7"/>
                <w:sz w:val="20"/>
              </w:rPr>
              <w:t> </w:t>
            </w:r>
            <w:r>
              <w:rPr>
                <w:sz w:val="20"/>
              </w:rPr>
              <w:t>T31.5,</w:t>
            </w:r>
            <w:r>
              <w:rPr>
                <w:spacing w:val="-5"/>
                <w:sz w:val="20"/>
              </w:rPr>
              <w:t> </w:t>
            </w:r>
            <w:r>
              <w:rPr>
                <w:sz w:val="20"/>
              </w:rPr>
              <w:t>T31.6,</w:t>
            </w:r>
            <w:r>
              <w:rPr>
                <w:spacing w:val="-5"/>
                <w:sz w:val="20"/>
              </w:rPr>
              <w:t> </w:t>
            </w:r>
            <w:r>
              <w:rPr>
                <w:sz w:val="20"/>
              </w:rPr>
              <w:t>T31.7,</w:t>
            </w:r>
            <w:r>
              <w:rPr>
                <w:spacing w:val="-5"/>
                <w:sz w:val="20"/>
              </w:rPr>
              <w:t> </w:t>
            </w:r>
            <w:r>
              <w:rPr>
                <w:sz w:val="20"/>
              </w:rPr>
              <w:t>T31.8,</w:t>
            </w:r>
            <w:r>
              <w:rPr>
                <w:spacing w:val="-5"/>
                <w:sz w:val="20"/>
              </w:rPr>
              <w:t> </w:t>
            </w:r>
            <w:r>
              <w:rPr>
                <w:sz w:val="20"/>
              </w:rPr>
              <w:t>T31.9,</w:t>
            </w:r>
            <w:r>
              <w:rPr>
                <w:spacing w:val="-5"/>
                <w:sz w:val="20"/>
              </w:rPr>
              <w:t> </w:t>
            </w:r>
            <w:r>
              <w:rPr>
                <w:spacing w:val="-2"/>
                <w:sz w:val="20"/>
              </w:rPr>
              <w:t>T32.0,</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6" w:right="172"/>
              <w:jc w:val="center"/>
              <w:rPr>
                <w:sz w:val="20"/>
              </w:rPr>
            </w:pPr>
            <w:r>
              <w:rPr>
                <w:sz w:val="20"/>
              </w:rPr>
              <w:t>T32.1,</w:t>
            </w:r>
            <w:r>
              <w:rPr>
                <w:spacing w:val="-7"/>
                <w:sz w:val="20"/>
              </w:rPr>
              <w:t> </w:t>
            </w:r>
            <w:r>
              <w:rPr>
                <w:sz w:val="20"/>
              </w:rPr>
              <w:t>T32.2,</w:t>
            </w:r>
            <w:r>
              <w:rPr>
                <w:spacing w:val="-4"/>
                <w:sz w:val="20"/>
              </w:rPr>
              <w:t> </w:t>
            </w:r>
            <w:r>
              <w:rPr>
                <w:sz w:val="20"/>
              </w:rPr>
              <w:t>T32.3,</w:t>
            </w:r>
            <w:r>
              <w:rPr>
                <w:spacing w:val="-4"/>
                <w:sz w:val="20"/>
              </w:rPr>
              <w:t> </w:t>
            </w:r>
            <w:r>
              <w:rPr>
                <w:sz w:val="20"/>
              </w:rPr>
              <w:t>T32.4,</w:t>
            </w:r>
            <w:r>
              <w:rPr>
                <w:spacing w:val="-4"/>
                <w:sz w:val="20"/>
              </w:rPr>
              <w:t> </w:t>
            </w:r>
            <w:r>
              <w:rPr>
                <w:sz w:val="20"/>
              </w:rPr>
              <w:t>T32.5,</w:t>
            </w:r>
            <w:r>
              <w:rPr>
                <w:spacing w:val="-5"/>
                <w:sz w:val="20"/>
              </w:rPr>
              <w:t> </w:t>
            </w:r>
            <w:r>
              <w:rPr>
                <w:sz w:val="20"/>
              </w:rPr>
              <w:t>T32.6,</w:t>
            </w:r>
            <w:r>
              <w:rPr>
                <w:spacing w:val="-4"/>
                <w:sz w:val="20"/>
              </w:rPr>
              <w:t> </w:t>
            </w:r>
            <w:r>
              <w:rPr>
                <w:spacing w:val="-2"/>
                <w:sz w:val="20"/>
              </w:rPr>
              <w:t>T32.7,</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4" w:right="175"/>
              <w:jc w:val="center"/>
              <w:rPr>
                <w:sz w:val="20"/>
              </w:rPr>
            </w:pPr>
            <w:r>
              <w:rPr>
                <w:sz w:val="20"/>
              </w:rPr>
              <w:t>T32.8,</w:t>
            </w:r>
            <w:r>
              <w:rPr>
                <w:spacing w:val="-7"/>
                <w:sz w:val="20"/>
              </w:rPr>
              <w:t> </w:t>
            </w:r>
            <w:r>
              <w:rPr>
                <w:sz w:val="20"/>
              </w:rPr>
              <w:t>T32.9,</w:t>
            </w:r>
            <w:r>
              <w:rPr>
                <w:spacing w:val="-5"/>
                <w:sz w:val="20"/>
              </w:rPr>
              <w:t> </w:t>
            </w:r>
            <w:r>
              <w:rPr>
                <w:sz w:val="20"/>
              </w:rPr>
              <w:t>T33.0,</w:t>
            </w:r>
            <w:r>
              <w:rPr>
                <w:spacing w:val="-5"/>
                <w:sz w:val="20"/>
              </w:rPr>
              <w:t> </w:t>
            </w:r>
            <w:r>
              <w:rPr>
                <w:sz w:val="20"/>
              </w:rPr>
              <w:t>T33.1,</w:t>
            </w:r>
            <w:r>
              <w:rPr>
                <w:spacing w:val="-5"/>
                <w:sz w:val="20"/>
              </w:rPr>
              <w:t> </w:t>
            </w:r>
            <w:r>
              <w:rPr>
                <w:sz w:val="20"/>
              </w:rPr>
              <w:t>T33.2,</w:t>
            </w:r>
            <w:r>
              <w:rPr>
                <w:spacing w:val="-5"/>
                <w:sz w:val="20"/>
              </w:rPr>
              <w:t> </w:t>
            </w:r>
            <w:r>
              <w:rPr>
                <w:sz w:val="20"/>
              </w:rPr>
              <w:t>T33.3,</w:t>
            </w:r>
            <w:r>
              <w:rPr>
                <w:spacing w:val="-5"/>
                <w:sz w:val="20"/>
              </w:rPr>
              <w:t> </w:t>
            </w:r>
            <w:r>
              <w:rPr>
                <w:spacing w:val="-2"/>
                <w:sz w:val="20"/>
              </w:rPr>
              <w:t>T33.4,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T33.5,</w:t>
            </w:r>
            <w:r>
              <w:rPr>
                <w:spacing w:val="-7"/>
                <w:sz w:val="20"/>
              </w:rPr>
              <w:t> </w:t>
            </w:r>
            <w:r>
              <w:rPr>
                <w:sz w:val="20"/>
              </w:rPr>
              <w:t>T33.6,</w:t>
            </w:r>
            <w:r>
              <w:rPr>
                <w:spacing w:val="-5"/>
                <w:sz w:val="20"/>
              </w:rPr>
              <w:t> </w:t>
            </w:r>
            <w:r>
              <w:rPr>
                <w:sz w:val="20"/>
              </w:rPr>
              <w:t>T33.7,</w:t>
            </w:r>
            <w:r>
              <w:rPr>
                <w:spacing w:val="-5"/>
                <w:sz w:val="20"/>
              </w:rPr>
              <w:t> </w:t>
            </w:r>
            <w:r>
              <w:rPr>
                <w:sz w:val="20"/>
              </w:rPr>
              <w:t>T33.8,</w:t>
            </w:r>
            <w:r>
              <w:rPr>
                <w:spacing w:val="-5"/>
                <w:sz w:val="20"/>
              </w:rPr>
              <w:t> </w:t>
            </w:r>
            <w:r>
              <w:rPr>
                <w:sz w:val="20"/>
              </w:rPr>
              <w:t>T33.9,</w:t>
            </w:r>
            <w:r>
              <w:rPr>
                <w:spacing w:val="-5"/>
                <w:sz w:val="20"/>
              </w:rPr>
              <w:t> </w:t>
            </w:r>
            <w:r>
              <w:rPr>
                <w:sz w:val="20"/>
              </w:rPr>
              <w:t>T34.0,</w:t>
            </w:r>
            <w:r>
              <w:rPr>
                <w:spacing w:val="-5"/>
                <w:sz w:val="20"/>
              </w:rPr>
              <w:t> </w:t>
            </w:r>
            <w:r>
              <w:rPr>
                <w:spacing w:val="-2"/>
                <w:sz w:val="20"/>
              </w:rPr>
              <w:t>T34.1,</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T34.2,</w:t>
            </w:r>
            <w:r>
              <w:rPr>
                <w:spacing w:val="-7"/>
                <w:sz w:val="20"/>
              </w:rPr>
              <w:t> </w:t>
            </w:r>
            <w:r>
              <w:rPr>
                <w:sz w:val="20"/>
              </w:rPr>
              <w:t>T34.3,</w:t>
            </w:r>
            <w:r>
              <w:rPr>
                <w:spacing w:val="-5"/>
                <w:sz w:val="20"/>
              </w:rPr>
              <w:t> </w:t>
            </w:r>
            <w:r>
              <w:rPr>
                <w:sz w:val="20"/>
              </w:rPr>
              <w:t>T34.4,</w:t>
            </w:r>
            <w:r>
              <w:rPr>
                <w:spacing w:val="-5"/>
                <w:sz w:val="20"/>
              </w:rPr>
              <w:t> </w:t>
            </w:r>
            <w:r>
              <w:rPr>
                <w:sz w:val="20"/>
              </w:rPr>
              <w:t>T34.5,</w:t>
            </w:r>
            <w:r>
              <w:rPr>
                <w:spacing w:val="-5"/>
                <w:sz w:val="20"/>
              </w:rPr>
              <w:t> </w:t>
            </w:r>
            <w:r>
              <w:rPr>
                <w:sz w:val="20"/>
              </w:rPr>
              <w:t>T34.6,</w:t>
            </w:r>
            <w:r>
              <w:rPr>
                <w:spacing w:val="-5"/>
                <w:sz w:val="20"/>
              </w:rPr>
              <w:t> </w:t>
            </w:r>
            <w:r>
              <w:rPr>
                <w:sz w:val="20"/>
              </w:rPr>
              <w:t>T34.7,</w:t>
            </w:r>
            <w:r>
              <w:rPr>
                <w:spacing w:val="-5"/>
                <w:sz w:val="20"/>
              </w:rPr>
              <w:t> </w:t>
            </w:r>
            <w:r>
              <w:rPr>
                <w:spacing w:val="-2"/>
                <w:sz w:val="20"/>
              </w:rPr>
              <w:t>T34.8,</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4" w:right="175"/>
              <w:jc w:val="center"/>
              <w:rPr>
                <w:sz w:val="20"/>
              </w:rPr>
            </w:pPr>
            <w:r>
              <w:rPr>
                <w:sz w:val="20"/>
              </w:rPr>
              <w:t>T34.9,</w:t>
            </w:r>
            <w:r>
              <w:rPr>
                <w:spacing w:val="-7"/>
                <w:sz w:val="20"/>
              </w:rPr>
              <w:t> </w:t>
            </w:r>
            <w:r>
              <w:rPr>
                <w:sz w:val="20"/>
              </w:rPr>
              <w:t>T35.0,</w:t>
            </w:r>
            <w:r>
              <w:rPr>
                <w:spacing w:val="-5"/>
                <w:sz w:val="20"/>
              </w:rPr>
              <w:t> </w:t>
            </w:r>
            <w:r>
              <w:rPr>
                <w:sz w:val="20"/>
              </w:rPr>
              <w:t>T35.1,</w:t>
            </w:r>
            <w:r>
              <w:rPr>
                <w:spacing w:val="-5"/>
                <w:sz w:val="20"/>
              </w:rPr>
              <w:t> </w:t>
            </w:r>
            <w:r>
              <w:rPr>
                <w:sz w:val="20"/>
              </w:rPr>
              <w:t>T35.2,</w:t>
            </w:r>
            <w:r>
              <w:rPr>
                <w:spacing w:val="-5"/>
                <w:sz w:val="20"/>
              </w:rPr>
              <w:t> </w:t>
            </w:r>
            <w:r>
              <w:rPr>
                <w:sz w:val="20"/>
              </w:rPr>
              <w:t>T35.3,</w:t>
            </w:r>
            <w:r>
              <w:rPr>
                <w:spacing w:val="-5"/>
                <w:sz w:val="20"/>
              </w:rPr>
              <w:t> </w:t>
            </w:r>
            <w:r>
              <w:rPr>
                <w:sz w:val="20"/>
              </w:rPr>
              <w:t>T35.4,</w:t>
            </w:r>
            <w:r>
              <w:rPr>
                <w:spacing w:val="-5"/>
                <w:sz w:val="20"/>
              </w:rPr>
              <w:t> </w:t>
            </w:r>
            <w:r>
              <w:rPr>
                <w:spacing w:val="-2"/>
                <w:sz w:val="20"/>
              </w:rPr>
              <w:t>T35.5,</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6" w:right="170"/>
              <w:jc w:val="center"/>
              <w:rPr>
                <w:sz w:val="20"/>
              </w:rPr>
            </w:pPr>
            <w:r>
              <w:rPr>
                <w:sz w:val="20"/>
              </w:rPr>
              <w:t>T35.6,</w:t>
            </w:r>
            <w:r>
              <w:rPr>
                <w:spacing w:val="-7"/>
                <w:sz w:val="20"/>
              </w:rPr>
              <w:t> </w:t>
            </w:r>
            <w:r>
              <w:rPr>
                <w:sz w:val="20"/>
              </w:rPr>
              <w:t>T35.7,</w:t>
            </w:r>
            <w:r>
              <w:rPr>
                <w:spacing w:val="-5"/>
                <w:sz w:val="20"/>
              </w:rPr>
              <w:t> </w:t>
            </w:r>
            <w:r>
              <w:rPr>
                <w:sz w:val="20"/>
              </w:rPr>
              <w:t>T95.0,</w:t>
            </w:r>
            <w:r>
              <w:rPr>
                <w:spacing w:val="-5"/>
                <w:sz w:val="20"/>
              </w:rPr>
              <w:t> </w:t>
            </w:r>
            <w:r>
              <w:rPr>
                <w:sz w:val="20"/>
              </w:rPr>
              <w:t>T95.1,</w:t>
            </w:r>
            <w:r>
              <w:rPr>
                <w:spacing w:val="-5"/>
                <w:sz w:val="20"/>
              </w:rPr>
              <w:t> </w:t>
            </w:r>
            <w:r>
              <w:rPr>
                <w:sz w:val="20"/>
              </w:rPr>
              <w:t>T95.2,</w:t>
            </w:r>
            <w:r>
              <w:rPr>
                <w:spacing w:val="-5"/>
                <w:sz w:val="20"/>
              </w:rPr>
              <w:t> </w:t>
            </w:r>
            <w:r>
              <w:rPr>
                <w:sz w:val="20"/>
              </w:rPr>
              <w:t>T95.3,</w:t>
            </w:r>
            <w:r>
              <w:rPr>
                <w:spacing w:val="-5"/>
                <w:sz w:val="20"/>
              </w:rPr>
              <w:t> </w:t>
            </w:r>
            <w:r>
              <w:rPr>
                <w:spacing w:val="-2"/>
                <w:sz w:val="20"/>
              </w:rPr>
              <w:t>T95.4,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479" w:type="dxa"/>
          </w:tcPr>
          <w:p>
            <w:pPr>
              <w:pStyle w:val="TableParagraph"/>
              <w:rPr>
                <w:sz w:val="18"/>
              </w:rPr>
            </w:pPr>
          </w:p>
        </w:tc>
        <w:tc>
          <w:tcPr>
            <w:tcW w:w="4400" w:type="dxa"/>
          </w:tcPr>
          <w:p>
            <w:pPr>
              <w:pStyle w:val="TableParagraph"/>
              <w:spacing w:line="226" w:lineRule="exact"/>
              <w:ind w:left="256" w:right="172"/>
              <w:jc w:val="center"/>
              <w:rPr>
                <w:sz w:val="20"/>
              </w:rPr>
            </w:pPr>
            <w:r>
              <w:rPr>
                <w:sz w:val="20"/>
              </w:rPr>
              <w:t>T95.8,</w:t>
            </w:r>
            <w:r>
              <w:rPr>
                <w:spacing w:val="-7"/>
                <w:sz w:val="20"/>
              </w:rPr>
              <w:t> </w:t>
            </w:r>
            <w:r>
              <w:rPr>
                <w:spacing w:val="-2"/>
                <w:sz w:val="20"/>
              </w:rPr>
              <w:t>T95.9</w:t>
            </w:r>
          </w:p>
        </w:tc>
        <w:tc>
          <w:tcPr>
            <w:tcW w:w="3510" w:type="dxa"/>
          </w:tcPr>
          <w:p>
            <w:pPr>
              <w:pStyle w:val="TableParagraph"/>
              <w:rPr>
                <w:sz w:val="18"/>
              </w:rPr>
            </w:pPr>
          </w:p>
        </w:tc>
        <w:tc>
          <w:tcPr>
            <w:tcW w:w="2367" w:type="dxa"/>
          </w:tcPr>
          <w:p>
            <w:pPr>
              <w:pStyle w:val="TableParagraph"/>
              <w:rPr>
                <w:sz w:val="18"/>
              </w:rPr>
            </w:pPr>
          </w:p>
        </w:tc>
        <w:tc>
          <w:tcPr>
            <w:tcW w:w="864" w:type="dxa"/>
          </w:tcPr>
          <w:p>
            <w:pPr>
              <w:pStyle w:val="TableParagraph"/>
              <w:rPr>
                <w:sz w:val="18"/>
              </w:rPr>
            </w:pPr>
          </w:p>
        </w:tc>
      </w:tr>
      <w:tr>
        <w:trPr>
          <w:trHeight w:val="330" w:hRule="atLeast"/>
        </w:trPr>
        <w:tc>
          <w:tcPr>
            <w:tcW w:w="978" w:type="dxa"/>
          </w:tcPr>
          <w:p>
            <w:pPr>
              <w:pStyle w:val="TableParagraph"/>
              <w:spacing w:before="45"/>
              <w:ind w:left="39" w:right="186"/>
              <w:jc w:val="center"/>
              <w:rPr>
                <w:sz w:val="20"/>
              </w:rPr>
            </w:pPr>
            <w:r>
              <w:rPr>
                <w:spacing w:val="-4"/>
                <w:sz w:val="20"/>
              </w:rPr>
              <w:t>ds34</w:t>
            </w:r>
          </w:p>
        </w:tc>
        <w:tc>
          <w:tcPr>
            <w:tcW w:w="696" w:type="dxa"/>
          </w:tcPr>
          <w:p>
            <w:pPr>
              <w:pStyle w:val="TableParagraph"/>
              <w:spacing w:before="45"/>
              <w:ind w:left="250"/>
              <w:rPr>
                <w:sz w:val="20"/>
              </w:rPr>
            </w:pPr>
            <w:r>
              <w:rPr>
                <w:spacing w:val="-5"/>
                <w:sz w:val="20"/>
              </w:rPr>
              <w:t>34</w:t>
            </w:r>
          </w:p>
        </w:tc>
        <w:tc>
          <w:tcPr>
            <w:tcW w:w="2479" w:type="dxa"/>
          </w:tcPr>
          <w:p>
            <w:pPr>
              <w:pStyle w:val="TableParagraph"/>
              <w:rPr>
                <w:sz w:val="18"/>
              </w:rPr>
            </w:pPr>
          </w:p>
        </w:tc>
        <w:tc>
          <w:tcPr>
            <w:tcW w:w="7910" w:type="dxa"/>
            <w:gridSpan w:val="2"/>
          </w:tcPr>
          <w:p>
            <w:pPr>
              <w:pStyle w:val="TableParagraph"/>
              <w:spacing w:before="45"/>
              <w:ind w:left="2666" w:right="2840"/>
              <w:jc w:val="center"/>
              <w:rPr>
                <w:sz w:val="20"/>
              </w:rPr>
            </w:pPr>
            <w:r>
              <w:rPr>
                <w:w w:val="95"/>
                <w:sz w:val="20"/>
              </w:rPr>
              <w:t>Челюстно-лицевая</w:t>
            </w:r>
            <w:r>
              <w:rPr>
                <w:spacing w:val="59"/>
                <w:sz w:val="20"/>
              </w:rPr>
              <w:t> </w:t>
            </w:r>
            <w:r>
              <w:rPr>
                <w:spacing w:val="-2"/>
                <w:w w:val="95"/>
                <w:sz w:val="20"/>
              </w:rPr>
              <w:t>хирургия</w:t>
            </w:r>
          </w:p>
        </w:tc>
        <w:tc>
          <w:tcPr>
            <w:tcW w:w="2367" w:type="dxa"/>
          </w:tcPr>
          <w:p>
            <w:pPr>
              <w:pStyle w:val="TableParagraph"/>
              <w:rPr>
                <w:sz w:val="18"/>
              </w:rPr>
            </w:pPr>
          </w:p>
        </w:tc>
        <w:tc>
          <w:tcPr>
            <w:tcW w:w="864" w:type="dxa"/>
          </w:tcPr>
          <w:p>
            <w:pPr>
              <w:pStyle w:val="TableParagraph"/>
              <w:spacing w:before="45"/>
              <w:ind w:right="47"/>
              <w:jc w:val="right"/>
              <w:rPr>
                <w:sz w:val="20"/>
              </w:rPr>
            </w:pPr>
            <w:r>
              <w:rPr>
                <w:spacing w:val="-4"/>
                <w:sz w:val="20"/>
              </w:rPr>
              <w:t>0,89</w:t>
            </w:r>
          </w:p>
        </w:tc>
      </w:tr>
      <w:tr>
        <w:trPr>
          <w:trHeight w:val="279" w:hRule="atLeast"/>
        </w:trPr>
        <w:tc>
          <w:tcPr>
            <w:tcW w:w="978" w:type="dxa"/>
          </w:tcPr>
          <w:p>
            <w:pPr>
              <w:pStyle w:val="TableParagraph"/>
              <w:spacing w:line="213" w:lineRule="exact" w:before="46"/>
              <w:ind w:left="38" w:right="186"/>
              <w:jc w:val="center"/>
              <w:rPr>
                <w:sz w:val="20"/>
              </w:rPr>
            </w:pPr>
            <w:r>
              <w:rPr>
                <w:spacing w:val="-2"/>
                <w:sz w:val="20"/>
              </w:rPr>
              <w:t>ds34.001</w:t>
            </w:r>
          </w:p>
        </w:tc>
        <w:tc>
          <w:tcPr>
            <w:tcW w:w="696" w:type="dxa"/>
          </w:tcPr>
          <w:p>
            <w:pPr>
              <w:pStyle w:val="TableParagraph"/>
              <w:spacing w:line="213" w:lineRule="exact" w:before="46"/>
              <w:ind w:left="200"/>
              <w:rPr>
                <w:sz w:val="20"/>
              </w:rPr>
            </w:pPr>
            <w:r>
              <w:rPr>
                <w:spacing w:val="-5"/>
                <w:sz w:val="20"/>
              </w:rPr>
              <w:t>150</w:t>
            </w:r>
          </w:p>
        </w:tc>
        <w:tc>
          <w:tcPr>
            <w:tcW w:w="2479" w:type="dxa"/>
          </w:tcPr>
          <w:p>
            <w:pPr>
              <w:pStyle w:val="TableParagraph"/>
              <w:spacing w:line="213" w:lineRule="exact" w:before="46"/>
              <w:ind w:left="193"/>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4400" w:type="dxa"/>
          </w:tcPr>
          <w:p>
            <w:pPr>
              <w:pStyle w:val="TableParagraph"/>
              <w:spacing w:line="213" w:lineRule="exact" w:before="46"/>
              <w:ind w:left="252" w:right="175"/>
              <w:jc w:val="center"/>
              <w:rPr>
                <w:sz w:val="20"/>
              </w:rPr>
            </w:pPr>
            <w:r>
              <w:rPr>
                <w:sz w:val="20"/>
              </w:rPr>
              <w:t>I86.0,</w:t>
            </w:r>
            <w:r>
              <w:rPr>
                <w:spacing w:val="-5"/>
                <w:sz w:val="20"/>
              </w:rPr>
              <w:t> </w:t>
            </w:r>
            <w:r>
              <w:rPr>
                <w:sz w:val="20"/>
              </w:rPr>
              <w:t>K00,</w:t>
            </w:r>
            <w:r>
              <w:rPr>
                <w:spacing w:val="-6"/>
                <w:sz w:val="20"/>
              </w:rPr>
              <w:t> </w:t>
            </w:r>
            <w:r>
              <w:rPr>
                <w:sz w:val="20"/>
              </w:rPr>
              <w:t>K00.0,</w:t>
            </w:r>
            <w:r>
              <w:rPr>
                <w:spacing w:val="-4"/>
                <w:sz w:val="20"/>
              </w:rPr>
              <w:t> </w:t>
            </w:r>
            <w:r>
              <w:rPr>
                <w:sz w:val="20"/>
              </w:rPr>
              <w:t>K00.1,</w:t>
            </w:r>
            <w:r>
              <w:rPr>
                <w:spacing w:val="-4"/>
                <w:sz w:val="20"/>
              </w:rPr>
              <w:t> </w:t>
            </w:r>
            <w:r>
              <w:rPr>
                <w:sz w:val="20"/>
              </w:rPr>
              <w:t>K00.2,</w:t>
            </w:r>
            <w:r>
              <w:rPr>
                <w:spacing w:val="-4"/>
                <w:sz w:val="20"/>
              </w:rPr>
              <w:t> </w:t>
            </w:r>
            <w:r>
              <w:rPr>
                <w:sz w:val="20"/>
              </w:rPr>
              <w:t>K00.3,</w:t>
            </w:r>
            <w:r>
              <w:rPr>
                <w:spacing w:val="-4"/>
                <w:sz w:val="20"/>
              </w:rPr>
              <w:t> </w:t>
            </w:r>
            <w:r>
              <w:rPr>
                <w:spacing w:val="-2"/>
                <w:sz w:val="20"/>
              </w:rPr>
              <w:t>K00.4,</w:t>
            </w:r>
          </w:p>
        </w:tc>
        <w:tc>
          <w:tcPr>
            <w:tcW w:w="3510" w:type="dxa"/>
          </w:tcPr>
          <w:p>
            <w:pPr>
              <w:pStyle w:val="TableParagraph"/>
              <w:spacing w:line="213" w:lineRule="exact" w:before="46"/>
              <w:ind w:left="1688"/>
              <w:rPr>
                <w:sz w:val="20"/>
              </w:rPr>
            </w:pPr>
            <w:r>
              <w:rPr>
                <w:w w:val="99"/>
                <w:sz w:val="20"/>
              </w:rPr>
              <w:t>-</w:t>
            </w:r>
          </w:p>
        </w:tc>
        <w:tc>
          <w:tcPr>
            <w:tcW w:w="2367" w:type="dxa"/>
          </w:tcPr>
          <w:p>
            <w:pPr>
              <w:pStyle w:val="TableParagraph"/>
              <w:spacing w:line="213" w:lineRule="exact" w:before="46"/>
              <w:ind w:left="242" w:right="448"/>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3" w:lineRule="exact" w:before="46"/>
              <w:ind w:right="47"/>
              <w:jc w:val="right"/>
              <w:rPr>
                <w:sz w:val="20"/>
              </w:rPr>
            </w:pPr>
            <w:r>
              <w:rPr>
                <w:spacing w:val="-4"/>
                <w:sz w:val="20"/>
              </w:rPr>
              <w:t>0,88</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09" w:lineRule="exact"/>
              <w:ind w:left="193"/>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4400" w:type="dxa"/>
          </w:tcPr>
          <w:p>
            <w:pPr>
              <w:pStyle w:val="TableParagraph"/>
              <w:spacing w:line="209" w:lineRule="exact"/>
              <w:ind w:left="256" w:right="175"/>
              <w:jc w:val="center"/>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3"/>
                <w:sz w:val="20"/>
              </w:rPr>
              <w:t> </w:t>
            </w:r>
            <w:r>
              <w:rPr>
                <w:sz w:val="20"/>
              </w:rPr>
              <w:t>K01,</w:t>
            </w:r>
            <w:r>
              <w:rPr>
                <w:spacing w:val="1"/>
                <w:sz w:val="20"/>
              </w:rPr>
              <w:t> </w:t>
            </w:r>
            <w:r>
              <w:rPr>
                <w:spacing w:val="-2"/>
                <w:sz w:val="20"/>
              </w:rPr>
              <w:t>K01.0,</w:t>
            </w:r>
          </w:p>
        </w:tc>
        <w:tc>
          <w:tcPr>
            <w:tcW w:w="3510" w:type="dxa"/>
          </w:tcPr>
          <w:p>
            <w:pPr>
              <w:pStyle w:val="TableParagraph"/>
              <w:rPr>
                <w:sz w:val="16"/>
              </w:rPr>
            </w:pPr>
          </w:p>
        </w:tc>
        <w:tc>
          <w:tcPr>
            <w:tcW w:w="2367" w:type="dxa"/>
          </w:tcPr>
          <w:p>
            <w:pPr>
              <w:pStyle w:val="TableParagraph"/>
              <w:spacing w:line="209" w:lineRule="exact"/>
              <w:ind w:left="242" w:right="44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10" w:lineRule="exact"/>
              <w:ind w:left="193"/>
              <w:rPr>
                <w:sz w:val="20"/>
              </w:rPr>
            </w:pPr>
            <w:r>
              <w:rPr>
                <w:spacing w:val="-2"/>
                <w:sz w:val="20"/>
              </w:rPr>
              <w:t>челюстей,</w:t>
            </w:r>
            <w:r>
              <w:rPr>
                <w:spacing w:val="5"/>
                <w:sz w:val="20"/>
              </w:rPr>
              <w:t> </w:t>
            </w:r>
            <w:r>
              <w:rPr>
                <w:spacing w:val="-2"/>
                <w:sz w:val="20"/>
              </w:rPr>
              <w:t>врожденные</w:t>
            </w:r>
          </w:p>
        </w:tc>
        <w:tc>
          <w:tcPr>
            <w:tcW w:w="4400" w:type="dxa"/>
          </w:tcPr>
          <w:p>
            <w:pPr>
              <w:pStyle w:val="TableParagraph"/>
              <w:spacing w:line="210" w:lineRule="exact"/>
              <w:ind w:left="252" w:right="175"/>
              <w:jc w:val="center"/>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10" w:lineRule="exact"/>
              <w:ind w:left="193"/>
              <w:rPr>
                <w:sz w:val="20"/>
              </w:rPr>
            </w:pPr>
            <w:r>
              <w:rPr>
                <w:sz w:val="20"/>
              </w:rPr>
              <w:t>аномалии</w:t>
            </w:r>
            <w:r>
              <w:rPr>
                <w:spacing w:val="-6"/>
                <w:sz w:val="20"/>
              </w:rPr>
              <w:t> </w:t>
            </w:r>
            <w:r>
              <w:rPr>
                <w:sz w:val="20"/>
              </w:rPr>
              <w:t>лица</w:t>
            </w:r>
            <w:r>
              <w:rPr>
                <w:spacing w:val="-3"/>
                <w:sz w:val="20"/>
              </w:rPr>
              <w:t> </w:t>
            </w:r>
            <w:r>
              <w:rPr>
                <w:sz w:val="20"/>
              </w:rPr>
              <w:t>и</w:t>
            </w:r>
            <w:r>
              <w:rPr>
                <w:spacing w:val="-6"/>
                <w:sz w:val="20"/>
              </w:rPr>
              <w:t> </w:t>
            </w:r>
            <w:r>
              <w:rPr>
                <w:spacing w:val="-4"/>
                <w:sz w:val="20"/>
              </w:rPr>
              <w:t>шеи,</w:t>
            </w:r>
          </w:p>
        </w:tc>
        <w:tc>
          <w:tcPr>
            <w:tcW w:w="4400" w:type="dxa"/>
          </w:tcPr>
          <w:p>
            <w:pPr>
              <w:pStyle w:val="TableParagraph"/>
              <w:spacing w:line="210" w:lineRule="exact"/>
              <w:ind w:left="252" w:right="175"/>
              <w:jc w:val="center"/>
              <w:rPr>
                <w:sz w:val="20"/>
              </w:rPr>
            </w:pPr>
            <w:r>
              <w:rPr>
                <w:sz w:val="20"/>
              </w:rPr>
              <w:t>K02.5,</w:t>
            </w:r>
            <w:r>
              <w:rPr>
                <w:spacing w:val="-6"/>
                <w:sz w:val="20"/>
              </w:rPr>
              <w:t> </w:t>
            </w:r>
            <w:r>
              <w:rPr>
                <w:sz w:val="20"/>
              </w:rPr>
              <w:t>K02.8,</w:t>
            </w:r>
            <w:r>
              <w:rPr>
                <w:spacing w:val="-6"/>
                <w:sz w:val="20"/>
              </w:rPr>
              <w:t> </w:t>
            </w:r>
            <w:r>
              <w:rPr>
                <w:sz w:val="20"/>
              </w:rPr>
              <w:t>K02.9,</w:t>
            </w:r>
            <w:r>
              <w:rPr>
                <w:spacing w:val="-5"/>
                <w:sz w:val="20"/>
              </w:rPr>
              <w:t> </w:t>
            </w:r>
            <w:r>
              <w:rPr>
                <w:sz w:val="20"/>
              </w:rPr>
              <w:t>K03,</w:t>
            </w:r>
            <w:r>
              <w:rPr>
                <w:spacing w:val="-6"/>
                <w:sz w:val="20"/>
              </w:rPr>
              <w:t> </w:t>
            </w:r>
            <w:r>
              <w:rPr>
                <w:sz w:val="20"/>
              </w:rPr>
              <w:t>K03.0,</w:t>
            </w:r>
            <w:r>
              <w:rPr>
                <w:spacing w:val="-5"/>
                <w:sz w:val="20"/>
              </w:rPr>
              <w:t> </w:t>
            </w:r>
            <w:r>
              <w:rPr>
                <w:sz w:val="20"/>
              </w:rPr>
              <w:t>K03.1,</w:t>
            </w:r>
            <w:r>
              <w:rPr>
                <w:spacing w:val="-5"/>
                <w:sz w:val="20"/>
              </w:rPr>
              <w:t> </w:t>
            </w:r>
            <w:r>
              <w:rPr>
                <w:spacing w:val="-2"/>
                <w:sz w:val="20"/>
              </w:rPr>
              <w:t>K03.2,</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05" w:lineRule="exact"/>
              <w:ind w:left="193"/>
              <w:rPr>
                <w:sz w:val="20"/>
              </w:rPr>
            </w:pPr>
            <w:r>
              <w:rPr>
                <w:spacing w:val="-2"/>
                <w:sz w:val="20"/>
              </w:rPr>
              <w:t>взрослые</w:t>
            </w:r>
          </w:p>
        </w:tc>
        <w:tc>
          <w:tcPr>
            <w:tcW w:w="4400" w:type="dxa"/>
          </w:tcPr>
          <w:p>
            <w:pPr>
              <w:pStyle w:val="TableParagraph"/>
              <w:spacing w:line="205" w:lineRule="exact"/>
              <w:ind w:left="253" w:right="175"/>
              <w:jc w:val="center"/>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82"/>
        <w:gridCol w:w="4578"/>
        <w:gridCol w:w="3332"/>
        <w:gridCol w:w="2367"/>
        <w:gridCol w:w="864"/>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482" w:type="dxa"/>
            <w:vMerge w:val="restart"/>
          </w:tcPr>
          <w:p>
            <w:pPr>
              <w:pStyle w:val="TableParagraph"/>
              <w:rPr>
                <w:sz w:val="18"/>
              </w:rPr>
            </w:pPr>
          </w:p>
        </w:tc>
        <w:tc>
          <w:tcPr>
            <w:tcW w:w="4578" w:type="dxa"/>
          </w:tcPr>
          <w:p>
            <w:pPr>
              <w:pStyle w:val="TableParagraph"/>
              <w:spacing w:line="205" w:lineRule="exact"/>
              <w:ind w:left="258"/>
              <w:rPr>
                <w:sz w:val="20"/>
              </w:rPr>
            </w:pPr>
            <w:r>
              <w:rPr>
                <w:sz w:val="20"/>
              </w:rPr>
              <w:t>K03.9,</w:t>
            </w:r>
            <w:r>
              <w:rPr>
                <w:spacing w:val="-6"/>
                <w:sz w:val="20"/>
              </w:rPr>
              <w:t> </w:t>
            </w:r>
            <w:r>
              <w:rPr>
                <w:sz w:val="20"/>
              </w:rPr>
              <w:t>K04,</w:t>
            </w:r>
            <w:r>
              <w:rPr>
                <w:spacing w:val="-6"/>
                <w:sz w:val="20"/>
              </w:rPr>
              <w:t> </w:t>
            </w:r>
            <w:r>
              <w:rPr>
                <w:sz w:val="20"/>
              </w:rPr>
              <w:t>K04.0,</w:t>
            </w:r>
            <w:r>
              <w:rPr>
                <w:spacing w:val="-5"/>
                <w:sz w:val="20"/>
              </w:rPr>
              <w:t> </w:t>
            </w:r>
            <w:r>
              <w:rPr>
                <w:sz w:val="20"/>
              </w:rPr>
              <w:t>K04.1,</w:t>
            </w:r>
            <w:r>
              <w:rPr>
                <w:spacing w:val="-6"/>
                <w:sz w:val="20"/>
              </w:rPr>
              <w:t> </w:t>
            </w:r>
            <w:r>
              <w:rPr>
                <w:sz w:val="20"/>
              </w:rPr>
              <w:t>K04.2,</w:t>
            </w:r>
            <w:r>
              <w:rPr>
                <w:spacing w:val="-5"/>
                <w:sz w:val="20"/>
              </w:rPr>
              <w:t> </w:t>
            </w:r>
            <w:r>
              <w:rPr>
                <w:sz w:val="20"/>
              </w:rPr>
              <w:t>K04.3,</w:t>
            </w:r>
            <w:r>
              <w:rPr>
                <w:spacing w:val="-6"/>
                <w:sz w:val="20"/>
              </w:rPr>
              <w:t> </w:t>
            </w:r>
            <w:r>
              <w:rPr>
                <w:spacing w:val="-2"/>
                <w:sz w:val="20"/>
              </w:rPr>
              <w:t>K04.4,</w:t>
            </w:r>
          </w:p>
        </w:tc>
        <w:tc>
          <w:tcPr>
            <w:tcW w:w="3332" w:type="dxa"/>
            <w:vMerge w:val="restart"/>
          </w:tcPr>
          <w:p>
            <w:pPr>
              <w:pStyle w:val="TableParagraph"/>
              <w:rPr>
                <w:sz w:val="18"/>
              </w:rPr>
            </w:pPr>
          </w:p>
        </w:tc>
        <w:tc>
          <w:tcPr>
            <w:tcW w:w="2367"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5"/>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6"/>
                <w:sz w:val="20"/>
              </w:rPr>
              <w:t> </w:t>
            </w:r>
            <w:r>
              <w:rPr>
                <w:sz w:val="20"/>
              </w:rPr>
              <w:t>K04.9,</w:t>
            </w:r>
            <w:r>
              <w:rPr>
                <w:spacing w:val="-4"/>
                <w:sz w:val="20"/>
              </w:rPr>
              <w:t> </w:t>
            </w:r>
            <w:r>
              <w:rPr>
                <w:sz w:val="20"/>
              </w:rPr>
              <w:t>K05,</w:t>
            </w:r>
            <w:r>
              <w:rPr>
                <w:spacing w:val="-4"/>
                <w:sz w:val="20"/>
              </w:rPr>
              <w:t> </w:t>
            </w:r>
            <w:r>
              <w:rPr>
                <w:spacing w:val="-2"/>
                <w:sz w:val="20"/>
              </w:rPr>
              <w:t>K05.0,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5"/>
              <w:rPr>
                <w:sz w:val="20"/>
              </w:rPr>
            </w:pPr>
            <w:r>
              <w:rPr>
                <w:sz w:val="20"/>
              </w:rPr>
              <w:t>K05.1,</w:t>
            </w:r>
            <w:r>
              <w:rPr>
                <w:spacing w:val="-4"/>
                <w:sz w:val="20"/>
              </w:rPr>
              <w:t> </w:t>
            </w:r>
            <w:r>
              <w:rPr>
                <w:sz w:val="20"/>
              </w:rPr>
              <w:t>K05.2,</w:t>
            </w:r>
            <w:r>
              <w:rPr>
                <w:spacing w:val="-6"/>
                <w:sz w:val="20"/>
              </w:rPr>
              <w:t> </w:t>
            </w:r>
            <w:r>
              <w:rPr>
                <w:sz w:val="20"/>
              </w:rPr>
              <w:t>K05.3,</w:t>
            </w:r>
            <w:r>
              <w:rPr>
                <w:spacing w:val="-3"/>
                <w:sz w:val="20"/>
              </w:rPr>
              <w:t> </w:t>
            </w:r>
            <w:r>
              <w:rPr>
                <w:sz w:val="20"/>
              </w:rPr>
              <w:t>K05.4,</w:t>
            </w:r>
            <w:r>
              <w:rPr>
                <w:spacing w:val="-6"/>
                <w:sz w:val="20"/>
              </w:rPr>
              <w:t> </w:t>
            </w:r>
            <w:r>
              <w:rPr>
                <w:sz w:val="20"/>
              </w:rPr>
              <w:t>K05.5,</w:t>
            </w:r>
            <w:r>
              <w:rPr>
                <w:spacing w:val="-4"/>
                <w:sz w:val="20"/>
              </w:rPr>
              <w:t> </w:t>
            </w:r>
            <w:r>
              <w:rPr>
                <w:sz w:val="20"/>
              </w:rPr>
              <w:t>K05.6,</w:t>
            </w:r>
            <w:r>
              <w:rPr>
                <w:spacing w:val="-5"/>
                <w:sz w:val="20"/>
              </w:rPr>
              <w:t> </w:t>
            </w:r>
            <w:r>
              <w:rPr>
                <w:spacing w:val="-4"/>
                <w:sz w:val="20"/>
              </w:rPr>
              <w:t>K06,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5"/>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479"/>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8"/>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1" w:lineRule="exact"/>
              <w:ind w:left="258"/>
              <w:rPr>
                <w:sz w:val="20"/>
              </w:rPr>
            </w:pPr>
            <w:r>
              <w:rPr>
                <w:sz w:val="20"/>
              </w:rPr>
              <w:t>K08.8,</w:t>
            </w:r>
            <w:r>
              <w:rPr>
                <w:spacing w:val="-6"/>
                <w:sz w:val="20"/>
              </w:rPr>
              <w:t> </w:t>
            </w:r>
            <w:r>
              <w:rPr>
                <w:sz w:val="20"/>
              </w:rPr>
              <w:t>K08.9,</w:t>
            </w:r>
            <w:r>
              <w:rPr>
                <w:spacing w:val="-7"/>
                <w:sz w:val="20"/>
              </w:rPr>
              <w:t> </w:t>
            </w:r>
            <w:r>
              <w:rPr>
                <w:sz w:val="20"/>
              </w:rPr>
              <w:t>K09,</w:t>
            </w:r>
            <w:r>
              <w:rPr>
                <w:spacing w:val="-5"/>
                <w:sz w:val="20"/>
              </w:rPr>
              <w:t> </w:t>
            </w:r>
            <w:r>
              <w:rPr>
                <w:sz w:val="20"/>
              </w:rPr>
              <w:t>K09.0,</w:t>
            </w:r>
            <w:r>
              <w:rPr>
                <w:spacing w:val="-5"/>
                <w:sz w:val="20"/>
              </w:rPr>
              <w:t> </w:t>
            </w:r>
            <w:r>
              <w:rPr>
                <w:sz w:val="20"/>
              </w:rPr>
              <w:t>K09.1,</w:t>
            </w:r>
            <w:r>
              <w:rPr>
                <w:spacing w:val="-5"/>
                <w:sz w:val="20"/>
              </w:rPr>
              <w:t> </w:t>
            </w:r>
            <w:r>
              <w:rPr>
                <w:sz w:val="20"/>
              </w:rPr>
              <w:t>K09.2,</w:t>
            </w:r>
            <w:r>
              <w:rPr>
                <w:spacing w:val="-6"/>
                <w:sz w:val="20"/>
              </w:rPr>
              <w:t> </w:t>
            </w:r>
            <w:r>
              <w:rPr>
                <w:spacing w:val="-2"/>
                <w:sz w:val="20"/>
              </w:rPr>
              <w:t>K09.8,</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8"/>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8"/>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5"/>
              <w:rPr>
                <w:sz w:val="20"/>
              </w:rPr>
            </w:pPr>
            <w:r>
              <w:rPr>
                <w:sz w:val="20"/>
              </w:rPr>
              <w:t>K11.5,</w:t>
            </w:r>
            <w:r>
              <w:rPr>
                <w:spacing w:val="-4"/>
                <w:sz w:val="20"/>
              </w:rPr>
              <w:t> </w:t>
            </w:r>
            <w:r>
              <w:rPr>
                <w:sz w:val="20"/>
              </w:rPr>
              <w:t>K11.6,</w:t>
            </w:r>
            <w:r>
              <w:rPr>
                <w:spacing w:val="-6"/>
                <w:sz w:val="20"/>
              </w:rPr>
              <w:t> </w:t>
            </w:r>
            <w:r>
              <w:rPr>
                <w:sz w:val="20"/>
              </w:rPr>
              <w:t>K11.7,</w:t>
            </w:r>
            <w:r>
              <w:rPr>
                <w:spacing w:val="-4"/>
                <w:sz w:val="20"/>
              </w:rPr>
              <w:t> </w:t>
            </w:r>
            <w:r>
              <w:rPr>
                <w:sz w:val="20"/>
              </w:rPr>
              <w:t>K11.8,</w:t>
            </w:r>
            <w:r>
              <w:rPr>
                <w:spacing w:val="-6"/>
                <w:sz w:val="20"/>
              </w:rPr>
              <w:t> </w:t>
            </w:r>
            <w:r>
              <w:rPr>
                <w:sz w:val="20"/>
              </w:rPr>
              <w:t>K11.9,</w:t>
            </w:r>
            <w:r>
              <w:rPr>
                <w:spacing w:val="-4"/>
                <w:sz w:val="20"/>
              </w:rPr>
              <w:t> </w:t>
            </w:r>
            <w:r>
              <w:rPr>
                <w:sz w:val="20"/>
              </w:rPr>
              <w:t>K12,</w:t>
            </w:r>
            <w:r>
              <w:rPr>
                <w:spacing w:val="-4"/>
                <w:sz w:val="20"/>
              </w:rPr>
              <w:t> </w:t>
            </w:r>
            <w:r>
              <w:rPr>
                <w:spacing w:val="-2"/>
                <w:sz w:val="20"/>
              </w:rPr>
              <w:t>K12.0,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8"/>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5"/>
              <w:rPr>
                <w:sz w:val="20"/>
              </w:rPr>
            </w:pPr>
            <w:r>
              <w:rPr>
                <w:sz w:val="20"/>
              </w:rPr>
              <w:t>K13.3,</w:t>
            </w:r>
            <w:r>
              <w:rPr>
                <w:spacing w:val="-4"/>
                <w:sz w:val="20"/>
              </w:rPr>
              <w:t> </w:t>
            </w:r>
            <w:r>
              <w:rPr>
                <w:sz w:val="20"/>
              </w:rPr>
              <w:t>K13.4,</w:t>
            </w:r>
            <w:r>
              <w:rPr>
                <w:spacing w:val="-6"/>
                <w:sz w:val="20"/>
              </w:rPr>
              <w:t> </w:t>
            </w:r>
            <w:r>
              <w:rPr>
                <w:sz w:val="20"/>
              </w:rPr>
              <w:t>K13.5,</w:t>
            </w:r>
            <w:r>
              <w:rPr>
                <w:spacing w:val="-4"/>
                <w:sz w:val="20"/>
              </w:rPr>
              <w:t> </w:t>
            </w:r>
            <w:r>
              <w:rPr>
                <w:sz w:val="20"/>
              </w:rPr>
              <w:t>K13.6,</w:t>
            </w:r>
            <w:r>
              <w:rPr>
                <w:spacing w:val="-6"/>
                <w:sz w:val="20"/>
              </w:rPr>
              <w:t> </w:t>
            </w:r>
            <w:r>
              <w:rPr>
                <w:sz w:val="20"/>
              </w:rPr>
              <w:t>K13.7,</w:t>
            </w:r>
            <w:r>
              <w:rPr>
                <w:spacing w:val="-4"/>
                <w:sz w:val="20"/>
              </w:rPr>
              <w:t> </w:t>
            </w:r>
            <w:r>
              <w:rPr>
                <w:sz w:val="20"/>
              </w:rPr>
              <w:t>K14,</w:t>
            </w:r>
            <w:r>
              <w:rPr>
                <w:spacing w:val="-4"/>
                <w:sz w:val="20"/>
              </w:rPr>
              <w:t> </w:t>
            </w:r>
            <w:r>
              <w:rPr>
                <w:spacing w:val="-2"/>
                <w:sz w:val="20"/>
              </w:rPr>
              <w:t>K14.0,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479"/>
              <w:rPr>
                <w:sz w:val="20"/>
              </w:rPr>
            </w:pPr>
            <w:r>
              <w:rPr>
                <w:sz w:val="20"/>
              </w:rPr>
              <w:t>K14.1,</w:t>
            </w:r>
            <w:r>
              <w:rPr>
                <w:spacing w:val="-4"/>
                <w:sz w:val="20"/>
              </w:rPr>
              <w:t> </w:t>
            </w:r>
            <w:r>
              <w:rPr>
                <w:sz w:val="20"/>
              </w:rPr>
              <w:t>K14.2,</w:t>
            </w:r>
            <w:r>
              <w:rPr>
                <w:spacing w:val="-6"/>
                <w:sz w:val="20"/>
              </w:rPr>
              <w:t> </w:t>
            </w:r>
            <w:r>
              <w:rPr>
                <w:sz w:val="20"/>
              </w:rPr>
              <w:t>K14.3,</w:t>
            </w:r>
            <w:r>
              <w:rPr>
                <w:spacing w:val="-4"/>
                <w:sz w:val="20"/>
              </w:rPr>
              <w:t> </w:t>
            </w:r>
            <w:r>
              <w:rPr>
                <w:sz w:val="20"/>
              </w:rPr>
              <w:t>K14.4,</w:t>
            </w:r>
            <w:r>
              <w:rPr>
                <w:spacing w:val="-6"/>
                <w:sz w:val="20"/>
              </w:rPr>
              <w:t> </w:t>
            </w:r>
            <w:r>
              <w:rPr>
                <w:sz w:val="20"/>
              </w:rPr>
              <w:t>K14.5,</w:t>
            </w:r>
            <w:r>
              <w:rPr>
                <w:spacing w:val="-4"/>
                <w:sz w:val="20"/>
              </w:rPr>
              <w:t> </w:t>
            </w:r>
            <w:r>
              <w:rPr>
                <w:spacing w:val="-2"/>
                <w:sz w:val="20"/>
              </w:rPr>
              <w:t>K14.6,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479"/>
              <w:rPr>
                <w:sz w:val="20"/>
              </w:rPr>
            </w:pPr>
            <w:r>
              <w:rPr>
                <w:sz w:val="20"/>
              </w:rPr>
              <w:t>K14.8,</w:t>
            </w:r>
            <w:r>
              <w:rPr>
                <w:spacing w:val="-4"/>
                <w:sz w:val="20"/>
              </w:rPr>
              <w:t> </w:t>
            </w:r>
            <w:r>
              <w:rPr>
                <w:sz w:val="20"/>
              </w:rPr>
              <w:t>K14.9,</w:t>
            </w:r>
            <w:r>
              <w:rPr>
                <w:spacing w:val="-5"/>
                <w:sz w:val="20"/>
              </w:rPr>
              <w:t> </w:t>
            </w:r>
            <w:r>
              <w:rPr>
                <w:sz w:val="20"/>
              </w:rPr>
              <w:t>Q18.3,</w:t>
            </w:r>
            <w:r>
              <w:rPr>
                <w:spacing w:val="-3"/>
                <w:sz w:val="20"/>
              </w:rPr>
              <w:t> </w:t>
            </w:r>
            <w:r>
              <w:rPr>
                <w:sz w:val="20"/>
              </w:rPr>
              <w:t>Q18.4,</w:t>
            </w:r>
            <w:r>
              <w:rPr>
                <w:spacing w:val="-5"/>
                <w:sz w:val="20"/>
              </w:rPr>
              <w:t> </w:t>
            </w:r>
            <w:r>
              <w:rPr>
                <w:sz w:val="20"/>
              </w:rPr>
              <w:t>Q18.5,</w:t>
            </w:r>
            <w:r>
              <w:rPr>
                <w:spacing w:val="-4"/>
                <w:sz w:val="20"/>
              </w:rPr>
              <w:t> </w:t>
            </w:r>
            <w:r>
              <w:rPr>
                <w:spacing w:val="-2"/>
                <w:sz w:val="20"/>
              </w:rPr>
              <w:t>Q18.6,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8"/>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332"/>
              <w:rPr>
                <w:sz w:val="20"/>
              </w:rPr>
            </w:pPr>
            <w:r>
              <w:rPr>
                <w:sz w:val="20"/>
              </w:rPr>
              <w:t>Q35.7,</w:t>
            </w:r>
            <w:r>
              <w:rPr>
                <w:spacing w:val="-6"/>
                <w:sz w:val="20"/>
              </w:rPr>
              <w:t> </w:t>
            </w:r>
            <w:r>
              <w:rPr>
                <w:sz w:val="20"/>
              </w:rPr>
              <w:t>Q35.9,</w:t>
            </w:r>
            <w:r>
              <w:rPr>
                <w:spacing w:val="-7"/>
                <w:sz w:val="20"/>
              </w:rPr>
              <w:t> </w:t>
            </w:r>
            <w:r>
              <w:rPr>
                <w:sz w:val="20"/>
              </w:rPr>
              <w:t>Q36,</w:t>
            </w:r>
            <w:r>
              <w:rPr>
                <w:spacing w:val="-5"/>
                <w:sz w:val="20"/>
              </w:rPr>
              <w:t> </w:t>
            </w:r>
            <w:r>
              <w:rPr>
                <w:sz w:val="20"/>
              </w:rPr>
              <w:t>Q36.0,</w:t>
            </w:r>
            <w:r>
              <w:rPr>
                <w:spacing w:val="-5"/>
                <w:sz w:val="20"/>
              </w:rPr>
              <w:t> </w:t>
            </w:r>
            <w:r>
              <w:rPr>
                <w:sz w:val="20"/>
              </w:rPr>
              <w:t>Q36.1,</w:t>
            </w:r>
            <w:r>
              <w:rPr>
                <w:spacing w:val="-5"/>
                <w:sz w:val="20"/>
              </w:rPr>
              <w:t> </w:t>
            </w:r>
            <w:r>
              <w:rPr>
                <w:sz w:val="20"/>
              </w:rPr>
              <w:t>Q36.9,</w:t>
            </w:r>
            <w:r>
              <w:rPr>
                <w:spacing w:val="-6"/>
                <w:sz w:val="20"/>
              </w:rPr>
              <w:t> </w:t>
            </w:r>
            <w:r>
              <w:rPr>
                <w:spacing w:val="-4"/>
                <w:sz w:val="20"/>
              </w:rPr>
              <w:t>Q37,</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479"/>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1" w:lineRule="exact"/>
              <w:ind w:left="258"/>
              <w:rPr>
                <w:sz w:val="20"/>
              </w:rPr>
            </w:pPr>
            <w:r>
              <w:rPr>
                <w:sz w:val="20"/>
              </w:rPr>
              <w:t>Q37.8,</w:t>
            </w:r>
            <w:r>
              <w:rPr>
                <w:spacing w:val="-6"/>
                <w:sz w:val="20"/>
              </w:rPr>
              <w:t> </w:t>
            </w:r>
            <w:r>
              <w:rPr>
                <w:sz w:val="20"/>
              </w:rPr>
              <w:t>Q37.9,</w:t>
            </w:r>
            <w:r>
              <w:rPr>
                <w:spacing w:val="-7"/>
                <w:sz w:val="20"/>
              </w:rPr>
              <w:t> </w:t>
            </w:r>
            <w:r>
              <w:rPr>
                <w:sz w:val="20"/>
              </w:rPr>
              <w:t>Q38,</w:t>
            </w:r>
            <w:r>
              <w:rPr>
                <w:spacing w:val="-5"/>
                <w:sz w:val="20"/>
              </w:rPr>
              <w:t> </w:t>
            </w:r>
            <w:r>
              <w:rPr>
                <w:sz w:val="20"/>
              </w:rPr>
              <w:t>Q38.0,</w:t>
            </w:r>
            <w:r>
              <w:rPr>
                <w:spacing w:val="-5"/>
                <w:sz w:val="20"/>
              </w:rPr>
              <w:t> </w:t>
            </w:r>
            <w:r>
              <w:rPr>
                <w:sz w:val="20"/>
              </w:rPr>
              <w:t>Q38.1,</w:t>
            </w:r>
            <w:r>
              <w:rPr>
                <w:spacing w:val="-5"/>
                <w:sz w:val="20"/>
              </w:rPr>
              <w:t> </w:t>
            </w:r>
            <w:r>
              <w:rPr>
                <w:sz w:val="20"/>
              </w:rPr>
              <w:t>Q38.2,</w:t>
            </w:r>
            <w:r>
              <w:rPr>
                <w:spacing w:val="-6"/>
                <w:sz w:val="20"/>
              </w:rPr>
              <w:t> </w:t>
            </w:r>
            <w:r>
              <w:rPr>
                <w:spacing w:val="-2"/>
                <w:sz w:val="20"/>
              </w:rPr>
              <w:t>Q38.3,</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1" w:lineRule="exact"/>
              <w:ind w:left="215"/>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428"/>
              <w:rPr>
                <w:sz w:val="20"/>
              </w:rPr>
            </w:pPr>
            <w:r>
              <w:rPr>
                <w:sz w:val="20"/>
              </w:rPr>
              <w:t>S01.5,</w:t>
            </w:r>
            <w:r>
              <w:rPr>
                <w:spacing w:val="-5"/>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22"/>
              <w:rPr>
                <w:sz w:val="20"/>
              </w:rPr>
            </w:pPr>
            <w:r>
              <w:rPr>
                <w:sz w:val="20"/>
              </w:rPr>
              <w:t>S02.51,</w:t>
            </w:r>
            <w:r>
              <w:rPr>
                <w:spacing w:val="-6"/>
                <w:sz w:val="20"/>
              </w:rPr>
              <w:t> </w:t>
            </w:r>
            <w:r>
              <w:rPr>
                <w:sz w:val="20"/>
              </w:rPr>
              <w:t>S02.6,</w:t>
            </w:r>
            <w:r>
              <w:rPr>
                <w:spacing w:val="-7"/>
                <w:sz w:val="20"/>
              </w:rPr>
              <w:t> </w:t>
            </w:r>
            <w:r>
              <w:rPr>
                <w:sz w:val="20"/>
              </w:rPr>
              <w:t>S02.60,</w:t>
            </w:r>
            <w:r>
              <w:rPr>
                <w:spacing w:val="-5"/>
                <w:sz w:val="20"/>
              </w:rPr>
              <w:t> </w:t>
            </w:r>
            <w:r>
              <w:rPr>
                <w:sz w:val="20"/>
              </w:rPr>
              <w:t>S02.61,</w:t>
            </w:r>
            <w:r>
              <w:rPr>
                <w:spacing w:val="-5"/>
                <w:sz w:val="20"/>
              </w:rPr>
              <w:t> </w:t>
            </w:r>
            <w:r>
              <w:rPr>
                <w:sz w:val="20"/>
              </w:rPr>
              <w:t>S03,</w:t>
            </w:r>
            <w:r>
              <w:rPr>
                <w:spacing w:val="-5"/>
                <w:sz w:val="20"/>
              </w:rPr>
              <w:t> </w:t>
            </w:r>
            <w:r>
              <w:rPr>
                <w:sz w:val="20"/>
              </w:rPr>
              <w:t>S03.0,</w:t>
            </w:r>
            <w:r>
              <w:rPr>
                <w:spacing w:val="-6"/>
                <w:sz w:val="20"/>
              </w:rPr>
              <w:t> </w:t>
            </w:r>
            <w:r>
              <w:rPr>
                <w:spacing w:val="-2"/>
                <w:sz w:val="20"/>
              </w:rPr>
              <w:t>S03.1,</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26" w:lineRule="exact"/>
              <w:ind w:left="1165"/>
              <w:rPr>
                <w:sz w:val="20"/>
              </w:rPr>
            </w:pPr>
            <w:r>
              <w:rPr>
                <w:sz w:val="20"/>
              </w:rPr>
              <w:t>S03.2,</w:t>
            </w:r>
            <w:r>
              <w:rPr>
                <w:spacing w:val="-5"/>
                <w:sz w:val="20"/>
              </w:rPr>
              <w:t> </w:t>
            </w:r>
            <w:r>
              <w:rPr>
                <w:sz w:val="20"/>
              </w:rPr>
              <w:t>S03.3,</w:t>
            </w:r>
            <w:r>
              <w:rPr>
                <w:spacing w:val="-5"/>
                <w:sz w:val="20"/>
              </w:rPr>
              <w:t> </w:t>
            </w:r>
            <w:r>
              <w:rPr>
                <w:sz w:val="20"/>
              </w:rPr>
              <w:t>S03.4,</w:t>
            </w:r>
            <w:r>
              <w:rPr>
                <w:spacing w:val="-5"/>
                <w:sz w:val="20"/>
              </w:rPr>
              <w:t> </w:t>
            </w:r>
            <w:r>
              <w:rPr>
                <w:spacing w:val="-4"/>
                <w:sz w:val="20"/>
              </w:rPr>
              <w:t>S03.5</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78" w:type="dxa"/>
          </w:tcPr>
          <w:p>
            <w:pPr>
              <w:pStyle w:val="TableParagraph"/>
              <w:spacing w:line="214" w:lineRule="exact" w:before="46"/>
              <w:ind w:left="38" w:right="186"/>
              <w:jc w:val="center"/>
              <w:rPr>
                <w:sz w:val="20"/>
              </w:rPr>
            </w:pPr>
            <w:r>
              <w:rPr>
                <w:spacing w:val="-2"/>
                <w:sz w:val="20"/>
              </w:rPr>
              <w:t>ds34.002</w:t>
            </w:r>
          </w:p>
        </w:tc>
        <w:tc>
          <w:tcPr>
            <w:tcW w:w="696" w:type="dxa"/>
          </w:tcPr>
          <w:p>
            <w:pPr>
              <w:pStyle w:val="TableParagraph"/>
              <w:spacing w:line="214" w:lineRule="exact" w:before="46"/>
              <w:ind w:left="200"/>
              <w:rPr>
                <w:sz w:val="20"/>
              </w:rPr>
            </w:pPr>
            <w:r>
              <w:rPr>
                <w:spacing w:val="-5"/>
                <w:sz w:val="20"/>
              </w:rPr>
              <w:t>151</w:t>
            </w:r>
          </w:p>
        </w:tc>
        <w:tc>
          <w:tcPr>
            <w:tcW w:w="2482"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4578" w:type="dxa"/>
          </w:tcPr>
          <w:p>
            <w:pPr>
              <w:pStyle w:val="TableParagraph"/>
              <w:spacing w:line="214" w:lineRule="exact" w:before="46"/>
              <w:ind w:right="100"/>
              <w:jc w:val="center"/>
              <w:rPr>
                <w:sz w:val="20"/>
              </w:rPr>
            </w:pPr>
            <w:r>
              <w:rPr>
                <w:w w:val="99"/>
                <w:sz w:val="20"/>
              </w:rPr>
              <w:t>-</w:t>
            </w:r>
          </w:p>
        </w:tc>
        <w:tc>
          <w:tcPr>
            <w:tcW w:w="3332" w:type="dxa"/>
          </w:tcPr>
          <w:p>
            <w:pPr>
              <w:pStyle w:val="TableParagraph"/>
              <w:spacing w:line="214" w:lineRule="exact" w:before="46"/>
              <w:ind w:left="-2" w:right="251"/>
              <w:jc w:val="center"/>
              <w:rPr>
                <w:sz w:val="20"/>
              </w:rPr>
            </w:pPr>
            <w:r>
              <w:rPr>
                <w:sz w:val="20"/>
              </w:rPr>
              <w:t>A11.07.001,</w:t>
            </w:r>
            <w:r>
              <w:rPr>
                <w:spacing w:val="-9"/>
                <w:sz w:val="20"/>
              </w:rPr>
              <w:t> </w:t>
            </w:r>
            <w:r>
              <w:rPr>
                <w:sz w:val="20"/>
              </w:rPr>
              <w:t>A11.07.004,</w:t>
            </w:r>
            <w:r>
              <w:rPr>
                <w:spacing w:val="-10"/>
                <w:sz w:val="20"/>
              </w:rPr>
              <w:t> </w:t>
            </w:r>
            <w:r>
              <w:rPr>
                <w:spacing w:val="-2"/>
                <w:sz w:val="20"/>
              </w:rPr>
              <w:t>A16.07.001,</w:t>
            </w:r>
          </w:p>
        </w:tc>
        <w:tc>
          <w:tcPr>
            <w:tcW w:w="2367" w:type="dxa"/>
          </w:tcPr>
          <w:p>
            <w:pPr>
              <w:pStyle w:val="TableParagraph"/>
              <w:spacing w:line="214" w:lineRule="exact" w:before="46"/>
              <w:ind w:right="214"/>
              <w:jc w:val="center"/>
              <w:rPr>
                <w:sz w:val="20"/>
              </w:rPr>
            </w:pPr>
            <w:r>
              <w:rPr>
                <w:w w:val="99"/>
                <w:sz w:val="20"/>
              </w:rPr>
              <w:t>-</w:t>
            </w:r>
          </w:p>
        </w:tc>
        <w:tc>
          <w:tcPr>
            <w:tcW w:w="864" w:type="dxa"/>
          </w:tcPr>
          <w:p>
            <w:pPr>
              <w:pStyle w:val="TableParagraph"/>
              <w:spacing w:line="214" w:lineRule="exact" w:before="46"/>
              <w:ind w:right="50"/>
              <w:jc w:val="right"/>
              <w:rPr>
                <w:sz w:val="20"/>
              </w:rPr>
            </w:pPr>
            <w:r>
              <w:rPr>
                <w:spacing w:val="-4"/>
                <w:sz w:val="20"/>
              </w:rPr>
              <w:t>0,92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spacing w:line="209" w:lineRule="exact"/>
              <w:ind w:left="193"/>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1)</w:t>
            </w:r>
          </w:p>
        </w:tc>
        <w:tc>
          <w:tcPr>
            <w:tcW w:w="4578" w:type="dxa"/>
          </w:tcPr>
          <w:p>
            <w:pPr>
              <w:pStyle w:val="TableParagraph"/>
              <w:rPr>
                <w:sz w:val="16"/>
              </w:rPr>
            </w:pPr>
          </w:p>
        </w:tc>
        <w:tc>
          <w:tcPr>
            <w:tcW w:w="3332" w:type="dxa"/>
          </w:tcPr>
          <w:p>
            <w:pPr>
              <w:pStyle w:val="TableParagraph"/>
              <w:spacing w:line="209" w:lineRule="exact"/>
              <w:ind w:left="-2" w:right="250"/>
              <w:jc w:val="center"/>
              <w:rPr>
                <w:sz w:val="20"/>
              </w:rPr>
            </w:pPr>
            <w:r>
              <w:rPr>
                <w:sz w:val="20"/>
              </w:rPr>
              <w:t>A16.07.004,</w:t>
            </w:r>
            <w:r>
              <w:rPr>
                <w:spacing w:val="-9"/>
                <w:sz w:val="20"/>
              </w:rPr>
              <w:t> </w:t>
            </w:r>
            <w:r>
              <w:rPr>
                <w:sz w:val="20"/>
              </w:rPr>
              <w:t>A16.07.010,</w:t>
            </w:r>
            <w:r>
              <w:rPr>
                <w:spacing w:val="-10"/>
                <w:sz w:val="20"/>
              </w:rPr>
              <w:t> </w:t>
            </w:r>
            <w:r>
              <w:rPr>
                <w:spacing w:val="-2"/>
                <w:sz w:val="20"/>
              </w:rPr>
              <w:t>A16.07.011,</w:t>
            </w:r>
          </w:p>
        </w:tc>
        <w:tc>
          <w:tcPr>
            <w:tcW w:w="2367" w:type="dxa"/>
          </w:tcPr>
          <w:p>
            <w:pPr>
              <w:pStyle w:val="TableParagraph"/>
              <w:rPr>
                <w:sz w:val="16"/>
              </w:rPr>
            </w:pPr>
          </w:p>
        </w:tc>
        <w:tc>
          <w:tcPr>
            <w:tcW w:w="864"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2482" w:type="dxa"/>
          </w:tcPr>
          <w:p>
            <w:pPr>
              <w:pStyle w:val="TableParagraph"/>
              <w:rPr>
                <w:sz w:val="18"/>
              </w:rPr>
            </w:pPr>
          </w:p>
        </w:tc>
        <w:tc>
          <w:tcPr>
            <w:tcW w:w="4578" w:type="dxa"/>
          </w:tcPr>
          <w:p>
            <w:pPr>
              <w:pStyle w:val="TableParagraph"/>
              <w:rPr>
                <w:sz w:val="18"/>
              </w:rPr>
            </w:pPr>
          </w:p>
        </w:tc>
        <w:tc>
          <w:tcPr>
            <w:tcW w:w="3332" w:type="dxa"/>
          </w:tcPr>
          <w:p>
            <w:pPr>
              <w:pStyle w:val="TableParagraph"/>
              <w:spacing w:line="226" w:lineRule="exact"/>
              <w:ind w:right="251"/>
              <w:jc w:val="center"/>
              <w:rPr>
                <w:sz w:val="20"/>
              </w:rPr>
            </w:pPr>
            <w:r>
              <w:rPr>
                <w:sz w:val="20"/>
              </w:rPr>
              <w:t>A16.07.012,</w:t>
            </w:r>
            <w:r>
              <w:rPr>
                <w:spacing w:val="-9"/>
                <w:sz w:val="20"/>
              </w:rPr>
              <w:t> </w:t>
            </w:r>
            <w:r>
              <w:rPr>
                <w:sz w:val="20"/>
              </w:rPr>
              <w:t>A16.07.014,</w:t>
            </w:r>
            <w:r>
              <w:rPr>
                <w:spacing w:val="-10"/>
                <w:sz w:val="20"/>
              </w:rPr>
              <w:t> </w:t>
            </w:r>
            <w:r>
              <w:rPr>
                <w:spacing w:val="-2"/>
                <w:sz w:val="20"/>
              </w:rPr>
              <w:t>A16.07.097</w:t>
            </w:r>
          </w:p>
        </w:tc>
        <w:tc>
          <w:tcPr>
            <w:tcW w:w="2367" w:type="dxa"/>
          </w:tcPr>
          <w:p>
            <w:pPr>
              <w:pStyle w:val="TableParagraph"/>
              <w:rPr>
                <w:sz w:val="18"/>
              </w:rPr>
            </w:pPr>
          </w:p>
        </w:tc>
        <w:tc>
          <w:tcPr>
            <w:tcW w:w="864" w:type="dxa"/>
          </w:tcPr>
          <w:p>
            <w:pPr>
              <w:pStyle w:val="TableParagraph"/>
              <w:rPr>
                <w:sz w:val="18"/>
              </w:rPr>
            </w:pP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ds34.003</w:t>
            </w:r>
          </w:p>
        </w:tc>
        <w:tc>
          <w:tcPr>
            <w:tcW w:w="696" w:type="dxa"/>
          </w:tcPr>
          <w:p>
            <w:pPr>
              <w:pStyle w:val="TableParagraph"/>
              <w:spacing w:line="215" w:lineRule="exact" w:before="46"/>
              <w:ind w:left="200"/>
              <w:rPr>
                <w:sz w:val="20"/>
              </w:rPr>
            </w:pPr>
            <w:r>
              <w:rPr>
                <w:spacing w:val="-5"/>
                <w:sz w:val="20"/>
              </w:rPr>
              <w:t>152</w:t>
            </w:r>
          </w:p>
        </w:tc>
        <w:tc>
          <w:tcPr>
            <w:tcW w:w="2482"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4578" w:type="dxa"/>
          </w:tcPr>
          <w:p>
            <w:pPr>
              <w:pStyle w:val="TableParagraph"/>
              <w:spacing w:line="215" w:lineRule="exact" w:before="46"/>
              <w:ind w:right="100"/>
              <w:jc w:val="center"/>
              <w:rPr>
                <w:sz w:val="20"/>
              </w:rPr>
            </w:pPr>
            <w:r>
              <w:rPr>
                <w:w w:val="99"/>
                <w:sz w:val="20"/>
              </w:rPr>
              <w:t>-</w:t>
            </w:r>
          </w:p>
        </w:tc>
        <w:tc>
          <w:tcPr>
            <w:tcW w:w="3332" w:type="dxa"/>
          </w:tcPr>
          <w:p>
            <w:pPr>
              <w:pStyle w:val="TableParagraph"/>
              <w:spacing w:line="215" w:lineRule="exact" w:before="46"/>
              <w:ind w:left="-2" w:right="251"/>
              <w:jc w:val="center"/>
              <w:rPr>
                <w:sz w:val="20"/>
              </w:rPr>
            </w:pPr>
            <w:r>
              <w:rPr>
                <w:sz w:val="20"/>
              </w:rPr>
              <w:t>A16.07.015,</w:t>
            </w:r>
            <w:r>
              <w:rPr>
                <w:spacing w:val="-9"/>
                <w:sz w:val="20"/>
              </w:rPr>
              <w:t> </w:t>
            </w:r>
            <w:r>
              <w:rPr>
                <w:sz w:val="20"/>
              </w:rPr>
              <w:t>A16.07.016,</w:t>
            </w:r>
            <w:r>
              <w:rPr>
                <w:spacing w:val="-10"/>
                <w:sz w:val="20"/>
              </w:rPr>
              <w:t> </w:t>
            </w:r>
            <w:r>
              <w:rPr>
                <w:spacing w:val="-2"/>
                <w:sz w:val="20"/>
              </w:rPr>
              <w:t>A16.07.029,</w:t>
            </w:r>
          </w:p>
        </w:tc>
        <w:tc>
          <w:tcPr>
            <w:tcW w:w="2367" w:type="dxa"/>
          </w:tcPr>
          <w:p>
            <w:pPr>
              <w:pStyle w:val="TableParagraph"/>
              <w:spacing w:line="215" w:lineRule="exact" w:before="46"/>
              <w:ind w:right="214"/>
              <w:jc w:val="center"/>
              <w:rPr>
                <w:sz w:val="20"/>
              </w:rPr>
            </w:pPr>
            <w:r>
              <w:rPr>
                <w:w w:val="99"/>
                <w:sz w:val="20"/>
              </w:rPr>
              <w:t>-</w:t>
            </w:r>
          </w:p>
        </w:tc>
        <w:tc>
          <w:tcPr>
            <w:tcW w:w="864" w:type="dxa"/>
          </w:tcPr>
          <w:p>
            <w:pPr>
              <w:pStyle w:val="TableParagraph"/>
              <w:spacing w:line="215" w:lineRule="exact" w:before="46"/>
              <w:ind w:right="50"/>
              <w:jc w:val="right"/>
              <w:rPr>
                <w:sz w:val="20"/>
              </w:rPr>
            </w:pPr>
            <w:r>
              <w:rPr>
                <w:spacing w:val="-4"/>
                <w:sz w:val="20"/>
              </w:rPr>
              <w:t>1,56</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spacing w:line="209" w:lineRule="exact"/>
              <w:ind w:left="193"/>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2)</w:t>
            </w:r>
          </w:p>
        </w:tc>
        <w:tc>
          <w:tcPr>
            <w:tcW w:w="4578" w:type="dxa"/>
          </w:tcPr>
          <w:p>
            <w:pPr>
              <w:pStyle w:val="TableParagraph"/>
              <w:rPr>
                <w:sz w:val="16"/>
              </w:rPr>
            </w:pPr>
          </w:p>
        </w:tc>
        <w:tc>
          <w:tcPr>
            <w:tcW w:w="3332" w:type="dxa"/>
          </w:tcPr>
          <w:p>
            <w:pPr>
              <w:pStyle w:val="TableParagraph"/>
              <w:spacing w:line="209" w:lineRule="exact"/>
              <w:ind w:left="-2" w:right="251"/>
              <w:jc w:val="center"/>
              <w:rPr>
                <w:sz w:val="20"/>
              </w:rPr>
            </w:pPr>
            <w:r>
              <w:rPr>
                <w:sz w:val="20"/>
              </w:rPr>
              <w:t>A16.07.044,</w:t>
            </w:r>
            <w:r>
              <w:rPr>
                <w:spacing w:val="-9"/>
                <w:sz w:val="20"/>
              </w:rPr>
              <w:t> </w:t>
            </w:r>
            <w:r>
              <w:rPr>
                <w:sz w:val="20"/>
              </w:rPr>
              <w:t>A16.07.064,</w:t>
            </w:r>
            <w:r>
              <w:rPr>
                <w:spacing w:val="-10"/>
                <w:sz w:val="20"/>
              </w:rPr>
              <w:t> </w:t>
            </w:r>
            <w:r>
              <w:rPr>
                <w:spacing w:val="-2"/>
                <w:sz w:val="20"/>
              </w:rPr>
              <w:t>A16.07.067,</w:t>
            </w: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482" w:type="dxa"/>
          </w:tcPr>
          <w:p>
            <w:pPr>
              <w:pStyle w:val="TableParagraph"/>
              <w:rPr>
                <w:sz w:val="18"/>
              </w:rPr>
            </w:pPr>
          </w:p>
        </w:tc>
        <w:tc>
          <w:tcPr>
            <w:tcW w:w="4578" w:type="dxa"/>
          </w:tcPr>
          <w:p>
            <w:pPr>
              <w:pStyle w:val="TableParagraph"/>
              <w:rPr>
                <w:sz w:val="18"/>
              </w:rPr>
            </w:pPr>
          </w:p>
        </w:tc>
        <w:tc>
          <w:tcPr>
            <w:tcW w:w="3332" w:type="dxa"/>
          </w:tcPr>
          <w:p>
            <w:pPr>
              <w:pStyle w:val="TableParagraph"/>
              <w:spacing w:line="224" w:lineRule="exact"/>
              <w:ind w:left="4" w:right="251"/>
              <w:jc w:val="center"/>
              <w:rPr>
                <w:sz w:val="20"/>
              </w:rPr>
            </w:pPr>
            <w:r>
              <w:rPr>
                <w:spacing w:val="-2"/>
                <w:sz w:val="20"/>
              </w:rPr>
              <w:t>A16.22.012</w:t>
            </w:r>
          </w:p>
        </w:tc>
        <w:tc>
          <w:tcPr>
            <w:tcW w:w="2367" w:type="dxa"/>
          </w:tcPr>
          <w:p>
            <w:pPr>
              <w:pStyle w:val="TableParagraph"/>
              <w:rPr>
                <w:sz w:val="18"/>
              </w:rPr>
            </w:pPr>
          </w:p>
        </w:tc>
        <w:tc>
          <w:tcPr>
            <w:tcW w:w="864" w:type="dxa"/>
          </w:tcPr>
          <w:p>
            <w:pPr>
              <w:pStyle w:val="TableParagraph"/>
              <w:rPr>
                <w:sz w:val="18"/>
              </w:rPr>
            </w:pPr>
          </w:p>
        </w:tc>
      </w:tr>
      <w:tr>
        <w:trPr>
          <w:trHeight w:val="330" w:hRule="atLeast"/>
        </w:trPr>
        <w:tc>
          <w:tcPr>
            <w:tcW w:w="978" w:type="dxa"/>
          </w:tcPr>
          <w:p>
            <w:pPr>
              <w:pStyle w:val="TableParagraph"/>
              <w:spacing w:before="46"/>
              <w:ind w:left="39" w:right="186"/>
              <w:jc w:val="center"/>
              <w:rPr>
                <w:sz w:val="20"/>
              </w:rPr>
            </w:pPr>
            <w:r>
              <w:rPr>
                <w:spacing w:val="-4"/>
                <w:sz w:val="20"/>
              </w:rPr>
              <w:t>ds35</w:t>
            </w:r>
          </w:p>
        </w:tc>
        <w:tc>
          <w:tcPr>
            <w:tcW w:w="696" w:type="dxa"/>
          </w:tcPr>
          <w:p>
            <w:pPr>
              <w:pStyle w:val="TableParagraph"/>
              <w:spacing w:before="46"/>
              <w:ind w:left="250"/>
              <w:rPr>
                <w:sz w:val="20"/>
              </w:rPr>
            </w:pPr>
            <w:r>
              <w:rPr>
                <w:spacing w:val="-5"/>
                <w:sz w:val="20"/>
              </w:rPr>
              <w:t>35</w:t>
            </w:r>
          </w:p>
        </w:tc>
        <w:tc>
          <w:tcPr>
            <w:tcW w:w="2482" w:type="dxa"/>
          </w:tcPr>
          <w:p>
            <w:pPr>
              <w:pStyle w:val="TableParagraph"/>
              <w:rPr>
                <w:sz w:val="18"/>
              </w:rPr>
            </w:pPr>
          </w:p>
        </w:tc>
        <w:tc>
          <w:tcPr>
            <w:tcW w:w="4578" w:type="dxa"/>
          </w:tcPr>
          <w:p>
            <w:pPr>
              <w:pStyle w:val="TableParagraph"/>
              <w:spacing w:before="46"/>
              <w:jc w:val="right"/>
              <w:rPr>
                <w:sz w:val="20"/>
              </w:rPr>
            </w:pPr>
            <w:r>
              <w:rPr>
                <w:spacing w:val="-2"/>
                <w:sz w:val="20"/>
              </w:rPr>
              <w:t>Эндокринология</w:t>
            </w:r>
          </w:p>
        </w:tc>
        <w:tc>
          <w:tcPr>
            <w:tcW w:w="3332" w:type="dxa"/>
          </w:tcPr>
          <w:p>
            <w:pPr>
              <w:pStyle w:val="TableParagraph"/>
              <w:rPr>
                <w:sz w:val="18"/>
              </w:rPr>
            </w:pPr>
          </w:p>
        </w:tc>
        <w:tc>
          <w:tcPr>
            <w:tcW w:w="2367" w:type="dxa"/>
          </w:tcPr>
          <w:p>
            <w:pPr>
              <w:pStyle w:val="TableParagraph"/>
              <w:rPr>
                <w:sz w:val="18"/>
              </w:rPr>
            </w:pPr>
          </w:p>
        </w:tc>
        <w:tc>
          <w:tcPr>
            <w:tcW w:w="864" w:type="dxa"/>
          </w:tcPr>
          <w:p>
            <w:pPr>
              <w:pStyle w:val="TableParagraph"/>
              <w:spacing w:before="46"/>
              <w:ind w:right="50"/>
              <w:jc w:val="right"/>
              <w:rPr>
                <w:sz w:val="20"/>
              </w:rPr>
            </w:pPr>
            <w:r>
              <w:rPr>
                <w:spacing w:val="-4"/>
                <w:sz w:val="20"/>
              </w:rPr>
              <w:t>1,23</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ds35.001</w:t>
            </w:r>
          </w:p>
        </w:tc>
        <w:tc>
          <w:tcPr>
            <w:tcW w:w="696" w:type="dxa"/>
          </w:tcPr>
          <w:p>
            <w:pPr>
              <w:pStyle w:val="TableParagraph"/>
              <w:spacing w:line="215" w:lineRule="exact" w:before="45"/>
              <w:ind w:left="200"/>
              <w:rPr>
                <w:sz w:val="20"/>
              </w:rPr>
            </w:pPr>
            <w:r>
              <w:rPr>
                <w:spacing w:val="-5"/>
                <w:sz w:val="20"/>
              </w:rPr>
              <w:t>153</w:t>
            </w:r>
          </w:p>
        </w:tc>
        <w:tc>
          <w:tcPr>
            <w:tcW w:w="2482" w:type="dxa"/>
          </w:tcPr>
          <w:p>
            <w:pPr>
              <w:pStyle w:val="TableParagraph"/>
              <w:spacing w:line="215" w:lineRule="exact" w:before="45"/>
              <w:ind w:left="193"/>
              <w:rPr>
                <w:sz w:val="20"/>
              </w:rPr>
            </w:pPr>
            <w:r>
              <w:rPr>
                <w:sz w:val="20"/>
              </w:rPr>
              <w:t>Сахарный</w:t>
            </w:r>
            <w:r>
              <w:rPr>
                <w:spacing w:val="-11"/>
                <w:sz w:val="20"/>
              </w:rPr>
              <w:t> </w:t>
            </w:r>
            <w:r>
              <w:rPr>
                <w:spacing w:val="-2"/>
                <w:sz w:val="20"/>
              </w:rPr>
              <w:t>диабет,</w:t>
            </w:r>
          </w:p>
        </w:tc>
        <w:tc>
          <w:tcPr>
            <w:tcW w:w="4578" w:type="dxa"/>
          </w:tcPr>
          <w:p>
            <w:pPr>
              <w:pStyle w:val="TableParagraph"/>
              <w:spacing w:line="215" w:lineRule="exact" w:before="45"/>
              <w:ind w:left="260"/>
              <w:rPr>
                <w:sz w:val="20"/>
              </w:rPr>
            </w:pPr>
            <w:r>
              <w:rPr>
                <w:sz w:val="20"/>
              </w:rPr>
              <w:t>E10.0,</w:t>
            </w:r>
            <w:r>
              <w:rPr>
                <w:spacing w:val="-7"/>
                <w:sz w:val="20"/>
              </w:rPr>
              <w:t> </w:t>
            </w:r>
            <w:r>
              <w:rPr>
                <w:sz w:val="20"/>
              </w:rPr>
              <w:t>E10.1,</w:t>
            </w:r>
            <w:r>
              <w:rPr>
                <w:spacing w:val="-5"/>
                <w:sz w:val="20"/>
              </w:rPr>
              <w:t> </w:t>
            </w:r>
            <w:r>
              <w:rPr>
                <w:sz w:val="20"/>
              </w:rPr>
              <w:t>E10.2,</w:t>
            </w:r>
            <w:r>
              <w:rPr>
                <w:spacing w:val="-4"/>
                <w:sz w:val="20"/>
              </w:rPr>
              <w:t> </w:t>
            </w:r>
            <w:r>
              <w:rPr>
                <w:sz w:val="20"/>
              </w:rPr>
              <w:t>E10.3,</w:t>
            </w:r>
            <w:r>
              <w:rPr>
                <w:spacing w:val="-5"/>
                <w:sz w:val="20"/>
              </w:rPr>
              <w:t> </w:t>
            </w:r>
            <w:r>
              <w:rPr>
                <w:sz w:val="20"/>
              </w:rPr>
              <w:t>E10.4,</w:t>
            </w:r>
            <w:r>
              <w:rPr>
                <w:spacing w:val="-6"/>
                <w:sz w:val="20"/>
              </w:rPr>
              <w:t> </w:t>
            </w:r>
            <w:r>
              <w:rPr>
                <w:sz w:val="20"/>
              </w:rPr>
              <w:t>E10.5,</w:t>
            </w:r>
            <w:r>
              <w:rPr>
                <w:spacing w:val="-5"/>
                <w:sz w:val="20"/>
              </w:rPr>
              <w:t> </w:t>
            </w:r>
            <w:r>
              <w:rPr>
                <w:spacing w:val="-2"/>
                <w:sz w:val="20"/>
              </w:rPr>
              <w:t>E10.6,</w:t>
            </w:r>
          </w:p>
        </w:tc>
        <w:tc>
          <w:tcPr>
            <w:tcW w:w="3332" w:type="dxa"/>
          </w:tcPr>
          <w:p>
            <w:pPr>
              <w:pStyle w:val="TableParagraph"/>
              <w:spacing w:line="215" w:lineRule="exact" w:before="45"/>
              <w:ind w:right="248"/>
              <w:jc w:val="center"/>
              <w:rPr>
                <w:sz w:val="20"/>
              </w:rPr>
            </w:pPr>
            <w:r>
              <w:rPr>
                <w:w w:val="99"/>
                <w:sz w:val="20"/>
              </w:rPr>
              <w:t>-</w:t>
            </w:r>
          </w:p>
        </w:tc>
        <w:tc>
          <w:tcPr>
            <w:tcW w:w="2367" w:type="dxa"/>
          </w:tcPr>
          <w:p>
            <w:pPr>
              <w:pStyle w:val="TableParagraph"/>
              <w:spacing w:line="215" w:lineRule="exact" w:before="45"/>
              <w:ind w:left="239" w:right="451"/>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0"/>
              <w:jc w:val="right"/>
              <w:rPr>
                <w:sz w:val="20"/>
              </w:rPr>
            </w:pPr>
            <w:r>
              <w:rPr>
                <w:spacing w:val="-4"/>
                <w:sz w:val="20"/>
              </w:rPr>
              <w:t>1,08</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spacing w:line="210" w:lineRule="exact"/>
              <w:ind w:left="193"/>
              <w:rPr>
                <w:sz w:val="20"/>
              </w:rPr>
            </w:pPr>
            <w:r>
              <w:rPr>
                <w:spacing w:val="-2"/>
                <w:sz w:val="20"/>
              </w:rPr>
              <w:t>взрослые</w:t>
            </w:r>
          </w:p>
        </w:tc>
        <w:tc>
          <w:tcPr>
            <w:tcW w:w="4578" w:type="dxa"/>
          </w:tcPr>
          <w:p>
            <w:pPr>
              <w:pStyle w:val="TableParagraph"/>
              <w:spacing w:line="210" w:lineRule="exact"/>
              <w:ind w:left="260"/>
              <w:rPr>
                <w:sz w:val="20"/>
              </w:rPr>
            </w:pPr>
            <w:r>
              <w:rPr>
                <w:sz w:val="20"/>
              </w:rPr>
              <w:t>E10.7,</w:t>
            </w:r>
            <w:r>
              <w:rPr>
                <w:spacing w:val="-7"/>
                <w:sz w:val="20"/>
              </w:rPr>
              <w:t> </w:t>
            </w:r>
            <w:r>
              <w:rPr>
                <w:sz w:val="20"/>
              </w:rPr>
              <w:t>E10.8,</w:t>
            </w:r>
            <w:r>
              <w:rPr>
                <w:spacing w:val="-5"/>
                <w:sz w:val="20"/>
              </w:rPr>
              <w:t> </w:t>
            </w:r>
            <w:r>
              <w:rPr>
                <w:sz w:val="20"/>
              </w:rPr>
              <w:t>E10.9,</w:t>
            </w:r>
            <w:r>
              <w:rPr>
                <w:spacing w:val="-4"/>
                <w:sz w:val="20"/>
              </w:rPr>
              <w:t> </w:t>
            </w:r>
            <w:r>
              <w:rPr>
                <w:sz w:val="20"/>
              </w:rPr>
              <w:t>E11.0,</w:t>
            </w:r>
            <w:r>
              <w:rPr>
                <w:spacing w:val="-5"/>
                <w:sz w:val="20"/>
              </w:rPr>
              <w:t> </w:t>
            </w:r>
            <w:r>
              <w:rPr>
                <w:sz w:val="20"/>
              </w:rPr>
              <w:t>E11.1,</w:t>
            </w:r>
            <w:r>
              <w:rPr>
                <w:spacing w:val="-6"/>
                <w:sz w:val="20"/>
              </w:rPr>
              <w:t> </w:t>
            </w:r>
            <w:r>
              <w:rPr>
                <w:sz w:val="20"/>
              </w:rPr>
              <w:t>E11.2,</w:t>
            </w:r>
            <w:r>
              <w:rPr>
                <w:spacing w:val="-5"/>
                <w:sz w:val="20"/>
              </w:rPr>
              <w:t> </w:t>
            </w:r>
            <w:r>
              <w:rPr>
                <w:spacing w:val="-2"/>
                <w:sz w:val="20"/>
              </w:rPr>
              <w:t>E11.3,</w:t>
            </w:r>
          </w:p>
        </w:tc>
        <w:tc>
          <w:tcPr>
            <w:tcW w:w="3332" w:type="dxa"/>
          </w:tcPr>
          <w:p>
            <w:pPr>
              <w:pStyle w:val="TableParagraph"/>
              <w:rPr>
                <w:sz w:val="16"/>
              </w:rPr>
            </w:pPr>
          </w:p>
        </w:tc>
        <w:tc>
          <w:tcPr>
            <w:tcW w:w="2367" w:type="dxa"/>
          </w:tcPr>
          <w:p>
            <w:pPr>
              <w:pStyle w:val="TableParagraph"/>
              <w:spacing w:line="210" w:lineRule="exact"/>
              <w:ind w:left="239" w:right="451"/>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10" w:lineRule="exact"/>
              <w:ind w:left="260"/>
              <w:rPr>
                <w:sz w:val="20"/>
              </w:rPr>
            </w:pPr>
            <w:r>
              <w:rPr>
                <w:sz w:val="20"/>
              </w:rPr>
              <w:t>E11.4,</w:t>
            </w:r>
            <w:r>
              <w:rPr>
                <w:spacing w:val="-7"/>
                <w:sz w:val="20"/>
              </w:rPr>
              <w:t> </w:t>
            </w:r>
            <w:r>
              <w:rPr>
                <w:sz w:val="20"/>
              </w:rPr>
              <w:t>E11.5,</w:t>
            </w:r>
            <w:r>
              <w:rPr>
                <w:spacing w:val="-5"/>
                <w:sz w:val="20"/>
              </w:rPr>
              <w:t> </w:t>
            </w:r>
            <w:r>
              <w:rPr>
                <w:sz w:val="20"/>
              </w:rPr>
              <w:t>E11.6,</w:t>
            </w:r>
            <w:r>
              <w:rPr>
                <w:spacing w:val="-4"/>
                <w:sz w:val="20"/>
              </w:rPr>
              <w:t> </w:t>
            </w:r>
            <w:r>
              <w:rPr>
                <w:sz w:val="20"/>
              </w:rPr>
              <w:t>E11.7,</w:t>
            </w:r>
            <w:r>
              <w:rPr>
                <w:spacing w:val="-5"/>
                <w:sz w:val="20"/>
              </w:rPr>
              <w:t> </w:t>
            </w:r>
            <w:r>
              <w:rPr>
                <w:sz w:val="20"/>
              </w:rPr>
              <w:t>E11.8,</w:t>
            </w:r>
            <w:r>
              <w:rPr>
                <w:spacing w:val="-6"/>
                <w:sz w:val="20"/>
              </w:rPr>
              <w:t> </w:t>
            </w:r>
            <w:r>
              <w:rPr>
                <w:sz w:val="20"/>
              </w:rPr>
              <w:t>E11.9,</w:t>
            </w:r>
            <w:r>
              <w:rPr>
                <w:spacing w:val="-5"/>
                <w:sz w:val="20"/>
              </w:rPr>
              <w:t> </w:t>
            </w:r>
            <w:r>
              <w:rPr>
                <w:spacing w:val="-2"/>
                <w:sz w:val="20"/>
              </w:rPr>
              <w:t>E12.0,</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10" w:lineRule="exact"/>
              <w:ind w:left="260"/>
              <w:rPr>
                <w:sz w:val="20"/>
              </w:rPr>
            </w:pPr>
            <w:r>
              <w:rPr>
                <w:sz w:val="20"/>
              </w:rPr>
              <w:t>E12.1,</w:t>
            </w:r>
            <w:r>
              <w:rPr>
                <w:spacing w:val="-7"/>
                <w:sz w:val="20"/>
              </w:rPr>
              <w:t> </w:t>
            </w:r>
            <w:r>
              <w:rPr>
                <w:sz w:val="20"/>
              </w:rPr>
              <w:t>E12.2,</w:t>
            </w:r>
            <w:r>
              <w:rPr>
                <w:spacing w:val="-5"/>
                <w:sz w:val="20"/>
              </w:rPr>
              <w:t> </w:t>
            </w:r>
            <w:r>
              <w:rPr>
                <w:sz w:val="20"/>
              </w:rPr>
              <w:t>E12.3,</w:t>
            </w:r>
            <w:r>
              <w:rPr>
                <w:spacing w:val="-4"/>
                <w:sz w:val="20"/>
              </w:rPr>
              <w:t> </w:t>
            </w:r>
            <w:r>
              <w:rPr>
                <w:sz w:val="20"/>
              </w:rPr>
              <w:t>E12.4,</w:t>
            </w:r>
            <w:r>
              <w:rPr>
                <w:spacing w:val="-5"/>
                <w:sz w:val="20"/>
              </w:rPr>
              <w:t> </w:t>
            </w:r>
            <w:r>
              <w:rPr>
                <w:sz w:val="20"/>
              </w:rPr>
              <w:t>E12.5,</w:t>
            </w:r>
            <w:r>
              <w:rPr>
                <w:spacing w:val="-6"/>
                <w:sz w:val="20"/>
              </w:rPr>
              <w:t> </w:t>
            </w:r>
            <w:r>
              <w:rPr>
                <w:sz w:val="20"/>
              </w:rPr>
              <w:t>E12.6,</w:t>
            </w:r>
            <w:r>
              <w:rPr>
                <w:spacing w:val="-5"/>
                <w:sz w:val="20"/>
              </w:rPr>
              <w:t> </w:t>
            </w:r>
            <w:r>
              <w:rPr>
                <w:spacing w:val="-2"/>
                <w:sz w:val="20"/>
              </w:rPr>
              <w:t>E12.7,</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10" w:lineRule="exact"/>
              <w:ind w:left="260"/>
              <w:rPr>
                <w:sz w:val="20"/>
              </w:rPr>
            </w:pPr>
            <w:r>
              <w:rPr>
                <w:sz w:val="20"/>
              </w:rPr>
              <w:t>E12.8,</w:t>
            </w:r>
            <w:r>
              <w:rPr>
                <w:spacing w:val="-6"/>
                <w:sz w:val="20"/>
              </w:rPr>
              <w:t> </w:t>
            </w:r>
            <w:r>
              <w:rPr>
                <w:sz w:val="20"/>
              </w:rPr>
              <w:t>E12.9,</w:t>
            </w:r>
            <w:r>
              <w:rPr>
                <w:spacing w:val="-4"/>
                <w:sz w:val="20"/>
              </w:rPr>
              <w:t> </w:t>
            </w:r>
            <w:r>
              <w:rPr>
                <w:sz w:val="20"/>
              </w:rPr>
              <w:t>E13.0,</w:t>
            </w:r>
            <w:r>
              <w:rPr>
                <w:spacing w:val="-4"/>
                <w:sz w:val="20"/>
              </w:rPr>
              <w:t> </w:t>
            </w:r>
            <w:r>
              <w:rPr>
                <w:sz w:val="20"/>
              </w:rPr>
              <w:t>E13.1,</w:t>
            </w:r>
            <w:r>
              <w:rPr>
                <w:spacing w:val="-4"/>
                <w:sz w:val="20"/>
              </w:rPr>
              <w:t> </w:t>
            </w:r>
            <w:r>
              <w:rPr>
                <w:sz w:val="20"/>
              </w:rPr>
              <w:t>E13.2,</w:t>
            </w:r>
            <w:r>
              <w:rPr>
                <w:spacing w:val="-6"/>
                <w:sz w:val="20"/>
              </w:rPr>
              <w:t> </w:t>
            </w:r>
            <w:r>
              <w:rPr>
                <w:sz w:val="20"/>
              </w:rPr>
              <w:t>E13.3,</w:t>
            </w:r>
            <w:r>
              <w:rPr>
                <w:spacing w:val="-4"/>
                <w:sz w:val="20"/>
              </w:rPr>
              <w:t> </w:t>
            </w:r>
            <w:r>
              <w:rPr>
                <w:spacing w:val="-2"/>
                <w:sz w:val="20"/>
              </w:rPr>
              <w:t>E13.4,</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05" w:lineRule="exact"/>
              <w:ind w:left="260"/>
              <w:rPr>
                <w:sz w:val="20"/>
              </w:rPr>
            </w:pPr>
            <w:r>
              <w:rPr>
                <w:sz w:val="20"/>
              </w:rPr>
              <w:t>E13.5,</w:t>
            </w:r>
            <w:r>
              <w:rPr>
                <w:spacing w:val="-7"/>
                <w:sz w:val="20"/>
              </w:rPr>
              <w:t> </w:t>
            </w:r>
            <w:r>
              <w:rPr>
                <w:sz w:val="20"/>
              </w:rPr>
              <w:t>E13.6,</w:t>
            </w:r>
            <w:r>
              <w:rPr>
                <w:spacing w:val="-5"/>
                <w:sz w:val="20"/>
              </w:rPr>
              <w:t> </w:t>
            </w:r>
            <w:r>
              <w:rPr>
                <w:sz w:val="20"/>
              </w:rPr>
              <w:t>E13.7,</w:t>
            </w:r>
            <w:r>
              <w:rPr>
                <w:spacing w:val="-4"/>
                <w:sz w:val="20"/>
              </w:rPr>
              <w:t> </w:t>
            </w:r>
            <w:r>
              <w:rPr>
                <w:sz w:val="20"/>
              </w:rPr>
              <w:t>E13.8,</w:t>
            </w:r>
            <w:r>
              <w:rPr>
                <w:spacing w:val="-5"/>
                <w:sz w:val="20"/>
              </w:rPr>
              <w:t> </w:t>
            </w:r>
            <w:r>
              <w:rPr>
                <w:sz w:val="20"/>
              </w:rPr>
              <w:t>E13.9,</w:t>
            </w:r>
            <w:r>
              <w:rPr>
                <w:spacing w:val="-6"/>
                <w:sz w:val="20"/>
              </w:rPr>
              <w:t> </w:t>
            </w:r>
            <w:r>
              <w:rPr>
                <w:sz w:val="20"/>
              </w:rPr>
              <w:t>E14.0,</w:t>
            </w:r>
            <w:r>
              <w:rPr>
                <w:spacing w:val="-5"/>
                <w:sz w:val="20"/>
              </w:rPr>
              <w:t> </w:t>
            </w:r>
            <w:r>
              <w:rPr>
                <w:spacing w:val="-2"/>
                <w:sz w:val="20"/>
              </w:rPr>
              <w:t>E14.1,</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53"/>
        <w:gridCol w:w="5108"/>
        <w:gridCol w:w="1978"/>
        <w:gridCol w:w="3120"/>
        <w:gridCol w:w="865"/>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2553" w:type="dxa"/>
          </w:tcPr>
          <w:p>
            <w:pPr>
              <w:pStyle w:val="TableParagraph"/>
              <w:rPr>
                <w:sz w:val="18"/>
              </w:rPr>
            </w:pPr>
          </w:p>
        </w:tc>
        <w:tc>
          <w:tcPr>
            <w:tcW w:w="5108" w:type="dxa"/>
          </w:tcPr>
          <w:p>
            <w:pPr>
              <w:pStyle w:val="TableParagraph"/>
              <w:ind w:left="914" w:right="507" w:hanging="725"/>
              <w:rPr>
                <w:sz w:val="20"/>
              </w:rPr>
            </w:pPr>
            <w:r>
              <w:rPr>
                <w:sz w:val="20"/>
              </w:rPr>
              <w:t>E14.2,</w:t>
            </w:r>
            <w:r>
              <w:rPr>
                <w:spacing w:val="-9"/>
                <w:sz w:val="20"/>
              </w:rPr>
              <w:t> </w:t>
            </w:r>
            <w:r>
              <w:rPr>
                <w:sz w:val="20"/>
              </w:rPr>
              <w:t>E14.3,</w:t>
            </w:r>
            <w:r>
              <w:rPr>
                <w:spacing w:val="-7"/>
                <w:sz w:val="20"/>
              </w:rPr>
              <w:t> </w:t>
            </w:r>
            <w:r>
              <w:rPr>
                <w:sz w:val="20"/>
              </w:rPr>
              <w:t>E14.4,</w:t>
            </w:r>
            <w:r>
              <w:rPr>
                <w:spacing w:val="-7"/>
                <w:sz w:val="20"/>
              </w:rPr>
              <w:t> </w:t>
            </w:r>
            <w:r>
              <w:rPr>
                <w:sz w:val="20"/>
              </w:rPr>
              <w:t>E14.5,</w:t>
            </w:r>
            <w:r>
              <w:rPr>
                <w:spacing w:val="-7"/>
                <w:sz w:val="20"/>
              </w:rPr>
              <w:t> </w:t>
            </w:r>
            <w:r>
              <w:rPr>
                <w:sz w:val="20"/>
              </w:rPr>
              <w:t>E14.6,</w:t>
            </w:r>
            <w:r>
              <w:rPr>
                <w:spacing w:val="-9"/>
                <w:sz w:val="20"/>
              </w:rPr>
              <w:t> </w:t>
            </w:r>
            <w:r>
              <w:rPr>
                <w:sz w:val="20"/>
              </w:rPr>
              <w:t>E14.7,</w:t>
            </w:r>
            <w:r>
              <w:rPr>
                <w:spacing w:val="-7"/>
                <w:sz w:val="20"/>
              </w:rPr>
              <w:t> </w:t>
            </w:r>
            <w:r>
              <w:rPr>
                <w:sz w:val="20"/>
              </w:rPr>
              <w:t>E14.8, E14.9, R73, R73.0, R73.9, R81</w:t>
            </w:r>
          </w:p>
        </w:tc>
        <w:tc>
          <w:tcPr>
            <w:tcW w:w="1978"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ds35.002</w:t>
            </w:r>
          </w:p>
        </w:tc>
        <w:tc>
          <w:tcPr>
            <w:tcW w:w="696" w:type="dxa"/>
          </w:tcPr>
          <w:p>
            <w:pPr>
              <w:pStyle w:val="TableParagraph"/>
              <w:spacing w:line="215" w:lineRule="exact" w:before="45"/>
              <w:ind w:left="200"/>
              <w:rPr>
                <w:sz w:val="20"/>
              </w:rPr>
            </w:pPr>
            <w:r>
              <w:rPr>
                <w:spacing w:val="-5"/>
                <w:sz w:val="20"/>
              </w:rPr>
              <w:t>154</w:t>
            </w:r>
          </w:p>
        </w:tc>
        <w:tc>
          <w:tcPr>
            <w:tcW w:w="2553" w:type="dxa"/>
          </w:tcPr>
          <w:p>
            <w:pPr>
              <w:pStyle w:val="TableParagraph"/>
              <w:spacing w:line="215" w:lineRule="exact" w:before="45"/>
              <w:ind w:left="193"/>
              <w:rPr>
                <w:sz w:val="20"/>
              </w:rPr>
            </w:pPr>
            <w:r>
              <w:rPr>
                <w:sz w:val="20"/>
              </w:rPr>
              <w:t>Другие</w:t>
            </w:r>
            <w:r>
              <w:rPr>
                <w:spacing w:val="-10"/>
                <w:sz w:val="20"/>
              </w:rPr>
              <w:t> </w:t>
            </w:r>
            <w:r>
              <w:rPr>
                <w:spacing w:val="-2"/>
                <w:sz w:val="20"/>
              </w:rPr>
              <w:t>болезни</w:t>
            </w:r>
          </w:p>
        </w:tc>
        <w:tc>
          <w:tcPr>
            <w:tcW w:w="5108" w:type="dxa"/>
          </w:tcPr>
          <w:p>
            <w:pPr>
              <w:pStyle w:val="TableParagraph"/>
              <w:spacing w:line="215" w:lineRule="exact" w:before="45"/>
              <w:ind w:left="127" w:right="905"/>
              <w:jc w:val="center"/>
              <w:rPr>
                <w:sz w:val="20"/>
              </w:rPr>
            </w:pPr>
            <w:r>
              <w:rPr>
                <w:sz w:val="20"/>
              </w:rPr>
              <w:t>D09.3,</w:t>
            </w:r>
            <w:r>
              <w:rPr>
                <w:spacing w:val="-4"/>
                <w:sz w:val="20"/>
              </w:rPr>
              <w:t> </w:t>
            </w:r>
            <w:r>
              <w:rPr>
                <w:sz w:val="20"/>
              </w:rPr>
              <w:t>D13.6,</w:t>
            </w:r>
            <w:r>
              <w:rPr>
                <w:spacing w:val="-6"/>
                <w:sz w:val="20"/>
              </w:rPr>
              <w:t> </w:t>
            </w:r>
            <w:r>
              <w:rPr>
                <w:sz w:val="20"/>
              </w:rPr>
              <w:t>D13.7,</w:t>
            </w:r>
            <w:r>
              <w:rPr>
                <w:spacing w:val="-4"/>
                <w:sz w:val="20"/>
              </w:rPr>
              <w:t> </w:t>
            </w:r>
            <w:r>
              <w:rPr>
                <w:sz w:val="20"/>
              </w:rPr>
              <w:t>D15.0,</w:t>
            </w:r>
            <w:r>
              <w:rPr>
                <w:spacing w:val="-6"/>
                <w:sz w:val="20"/>
              </w:rPr>
              <w:t> </w:t>
            </w:r>
            <w:r>
              <w:rPr>
                <w:sz w:val="20"/>
              </w:rPr>
              <w:t>D34,</w:t>
            </w:r>
            <w:r>
              <w:rPr>
                <w:spacing w:val="-4"/>
                <w:sz w:val="20"/>
              </w:rPr>
              <w:t> </w:t>
            </w:r>
            <w:r>
              <w:rPr>
                <w:sz w:val="20"/>
              </w:rPr>
              <w:t>D35.0,</w:t>
            </w:r>
            <w:r>
              <w:rPr>
                <w:spacing w:val="-4"/>
                <w:sz w:val="20"/>
              </w:rPr>
              <w:t> </w:t>
            </w:r>
            <w:r>
              <w:rPr>
                <w:spacing w:val="-2"/>
                <w:sz w:val="20"/>
              </w:rPr>
              <w:t>D35.1,</w:t>
            </w:r>
          </w:p>
        </w:tc>
        <w:tc>
          <w:tcPr>
            <w:tcW w:w="1978" w:type="dxa"/>
          </w:tcPr>
          <w:p>
            <w:pPr>
              <w:pStyle w:val="TableParagraph"/>
              <w:spacing w:line="215" w:lineRule="exact" w:before="45"/>
              <w:ind w:right="96"/>
              <w:jc w:val="center"/>
              <w:rPr>
                <w:sz w:val="20"/>
              </w:rPr>
            </w:pPr>
            <w:r>
              <w:rPr>
                <w:w w:val="99"/>
                <w:sz w:val="20"/>
              </w:rPr>
              <w:t>-</w:t>
            </w:r>
          </w:p>
        </w:tc>
        <w:tc>
          <w:tcPr>
            <w:tcW w:w="3120" w:type="dxa"/>
          </w:tcPr>
          <w:p>
            <w:pPr>
              <w:pStyle w:val="TableParagraph"/>
              <w:spacing w:line="215" w:lineRule="exact" w:before="45"/>
              <w:ind w:left="992"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5" w:lineRule="exact" w:before="45"/>
              <w:ind w:left="461"/>
              <w:rPr>
                <w:sz w:val="20"/>
              </w:rPr>
            </w:pPr>
            <w:r>
              <w:rPr>
                <w:spacing w:val="-4"/>
                <w:sz w:val="20"/>
              </w:rPr>
              <w:t>1,41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pacing w:val="-2"/>
                <w:sz w:val="20"/>
              </w:rPr>
              <w:t>эндокринной</w:t>
            </w:r>
            <w:r>
              <w:rPr>
                <w:spacing w:val="7"/>
                <w:sz w:val="20"/>
              </w:rPr>
              <w:t> </w:t>
            </w:r>
            <w:r>
              <w:rPr>
                <w:spacing w:val="-2"/>
                <w:sz w:val="20"/>
              </w:rPr>
              <w:t>системы,</w:t>
            </w:r>
          </w:p>
        </w:tc>
        <w:tc>
          <w:tcPr>
            <w:tcW w:w="5108" w:type="dxa"/>
          </w:tcPr>
          <w:p>
            <w:pPr>
              <w:pStyle w:val="TableParagraph"/>
              <w:spacing w:line="210" w:lineRule="exact"/>
              <w:ind w:left="127" w:right="905"/>
              <w:jc w:val="center"/>
              <w:rPr>
                <w:sz w:val="20"/>
              </w:rPr>
            </w:pPr>
            <w:r>
              <w:rPr>
                <w:sz w:val="20"/>
              </w:rPr>
              <w:t>D35.2,</w:t>
            </w:r>
            <w:r>
              <w:rPr>
                <w:spacing w:val="-4"/>
                <w:sz w:val="20"/>
              </w:rPr>
              <w:t> </w:t>
            </w:r>
            <w:r>
              <w:rPr>
                <w:sz w:val="20"/>
              </w:rPr>
              <w:t>D35.3,</w:t>
            </w:r>
            <w:r>
              <w:rPr>
                <w:spacing w:val="-6"/>
                <w:sz w:val="20"/>
              </w:rPr>
              <w:t> </w:t>
            </w:r>
            <w:r>
              <w:rPr>
                <w:sz w:val="20"/>
              </w:rPr>
              <w:t>D35.7,</w:t>
            </w:r>
            <w:r>
              <w:rPr>
                <w:spacing w:val="-4"/>
                <w:sz w:val="20"/>
              </w:rPr>
              <w:t> </w:t>
            </w:r>
            <w:r>
              <w:rPr>
                <w:sz w:val="20"/>
              </w:rPr>
              <w:t>D35.8,</w:t>
            </w:r>
            <w:r>
              <w:rPr>
                <w:spacing w:val="-6"/>
                <w:sz w:val="20"/>
              </w:rPr>
              <w:t> </w:t>
            </w:r>
            <w:r>
              <w:rPr>
                <w:sz w:val="20"/>
              </w:rPr>
              <w:t>D35.9,</w:t>
            </w:r>
            <w:r>
              <w:rPr>
                <w:spacing w:val="-4"/>
                <w:sz w:val="20"/>
              </w:rPr>
              <w:t> </w:t>
            </w:r>
            <w:r>
              <w:rPr>
                <w:sz w:val="20"/>
              </w:rPr>
              <w:t>D44,</w:t>
            </w:r>
            <w:r>
              <w:rPr>
                <w:spacing w:val="-4"/>
                <w:sz w:val="20"/>
              </w:rPr>
              <w:t> </w:t>
            </w:r>
            <w:r>
              <w:rPr>
                <w:spacing w:val="-2"/>
                <w:sz w:val="20"/>
              </w:rPr>
              <w:t>D44.0,</w:t>
            </w:r>
          </w:p>
        </w:tc>
        <w:tc>
          <w:tcPr>
            <w:tcW w:w="1978" w:type="dxa"/>
          </w:tcPr>
          <w:p>
            <w:pPr>
              <w:pStyle w:val="TableParagraph"/>
              <w:rPr>
                <w:sz w:val="16"/>
              </w:rPr>
            </w:pPr>
          </w:p>
        </w:tc>
        <w:tc>
          <w:tcPr>
            <w:tcW w:w="3120" w:type="dxa"/>
          </w:tcPr>
          <w:p>
            <w:pPr>
              <w:pStyle w:val="TableParagraph"/>
              <w:spacing w:line="210" w:lineRule="exact"/>
              <w:ind w:left="992"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pacing w:val="-2"/>
                <w:sz w:val="20"/>
              </w:rPr>
              <w:t>новообразования</w:t>
            </w:r>
          </w:p>
        </w:tc>
        <w:tc>
          <w:tcPr>
            <w:tcW w:w="5108" w:type="dxa"/>
          </w:tcPr>
          <w:p>
            <w:pPr>
              <w:pStyle w:val="TableParagraph"/>
              <w:spacing w:line="210" w:lineRule="exact"/>
              <w:ind w:left="127" w:right="899"/>
              <w:jc w:val="center"/>
              <w:rPr>
                <w:sz w:val="20"/>
              </w:rPr>
            </w:pPr>
            <w:r>
              <w:rPr>
                <w:sz w:val="20"/>
              </w:rPr>
              <w:t>D44.1,</w:t>
            </w:r>
            <w:r>
              <w:rPr>
                <w:spacing w:val="-4"/>
                <w:sz w:val="20"/>
              </w:rPr>
              <w:t> </w:t>
            </w:r>
            <w:r>
              <w:rPr>
                <w:sz w:val="20"/>
              </w:rPr>
              <w:t>D44.2,</w:t>
            </w:r>
            <w:r>
              <w:rPr>
                <w:spacing w:val="-5"/>
                <w:sz w:val="20"/>
              </w:rPr>
              <w:t> </w:t>
            </w:r>
            <w:r>
              <w:rPr>
                <w:sz w:val="20"/>
              </w:rPr>
              <w:t>D44.3,</w:t>
            </w:r>
            <w:r>
              <w:rPr>
                <w:spacing w:val="-4"/>
                <w:sz w:val="20"/>
              </w:rPr>
              <w:t> </w:t>
            </w:r>
            <w:r>
              <w:rPr>
                <w:sz w:val="20"/>
              </w:rPr>
              <w:t>D44.4,</w:t>
            </w:r>
            <w:r>
              <w:rPr>
                <w:spacing w:val="-5"/>
                <w:sz w:val="20"/>
              </w:rPr>
              <w:t> </w:t>
            </w:r>
            <w:r>
              <w:rPr>
                <w:sz w:val="20"/>
              </w:rPr>
              <w:t>D44.5,</w:t>
            </w:r>
            <w:r>
              <w:rPr>
                <w:spacing w:val="-4"/>
                <w:sz w:val="20"/>
              </w:rPr>
              <w:t> </w:t>
            </w:r>
            <w:r>
              <w:rPr>
                <w:spacing w:val="-2"/>
                <w:sz w:val="20"/>
              </w:rPr>
              <w:t>D44.6,</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09" w:lineRule="exact"/>
              <w:ind w:left="193"/>
              <w:rPr>
                <w:sz w:val="20"/>
              </w:rPr>
            </w:pPr>
            <w:r>
              <w:rPr>
                <w:w w:val="95"/>
                <w:sz w:val="20"/>
              </w:rPr>
              <w:t>эндокринных</w:t>
            </w:r>
            <w:r>
              <w:rPr>
                <w:spacing w:val="41"/>
                <w:sz w:val="20"/>
              </w:rPr>
              <w:t> </w:t>
            </w:r>
            <w:r>
              <w:rPr>
                <w:spacing w:val="-2"/>
                <w:w w:val="95"/>
                <w:sz w:val="20"/>
              </w:rPr>
              <w:t>желез</w:t>
            </w:r>
          </w:p>
        </w:tc>
        <w:tc>
          <w:tcPr>
            <w:tcW w:w="5108" w:type="dxa"/>
          </w:tcPr>
          <w:p>
            <w:pPr>
              <w:pStyle w:val="TableParagraph"/>
              <w:spacing w:line="209" w:lineRule="exact"/>
              <w:ind w:left="127" w:right="903"/>
              <w:jc w:val="center"/>
              <w:rPr>
                <w:sz w:val="20"/>
              </w:rPr>
            </w:pPr>
            <w:r>
              <w:rPr>
                <w:sz w:val="20"/>
              </w:rPr>
              <w:t>D44.7,</w:t>
            </w:r>
            <w:r>
              <w:rPr>
                <w:spacing w:val="-6"/>
                <w:sz w:val="20"/>
              </w:rPr>
              <w:t> </w:t>
            </w:r>
            <w:r>
              <w:rPr>
                <w:sz w:val="20"/>
              </w:rPr>
              <w:t>D44.8,</w:t>
            </w:r>
            <w:r>
              <w:rPr>
                <w:spacing w:val="-6"/>
                <w:sz w:val="20"/>
              </w:rPr>
              <w:t> </w:t>
            </w:r>
            <w:r>
              <w:rPr>
                <w:sz w:val="20"/>
              </w:rPr>
              <w:t>D44.9,</w:t>
            </w:r>
            <w:r>
              <w:rPr>
                <w:spacing w:val="-5"/>
                <w:sz w:val="20"/>
              </w:rPr>
              <w:t> </w:t>
            </w:r>
            <w:r>
              <w:rPr>
                <w:sz w:val="20"/>
              </w:rPr>
              <w:t>D76,</w:t>
            </w:r>
            <w:r>
              <w:rPr>
                <w:spacing w:val="-6"/>
                <w:sz w:val="20"/>
              </w:rPr>
              <w:t> </w:t>
            </w:r>
            <w:r>
              <w:rPr>
                <w:sz w:val="20"/>
              </w:rPr>
              <w:t>D76.1,</w:t>
            </w:r>
            <w:r>
              <w:rPr>
                <w:spacing w:val="-5"/>
                <w:sz w:val="20"/>
              </w:rPr>
              <w:t> </w:t>
            </w:r>
            <w:r>
              <w:rPr>
                <w:sz w:val="20"/>
              </w:rPr>
              <w:t>D76.2,</w:t>
            </w:r>
            <w:r>
              <w:rPr>
                <w:spacing w:val="-5"/>
                <w:sz w:val="20"/>
              </w:rPr>
              <w:t> </w:t>
            </w:r>
            <w:r>
              <w:rPr>
                <w:spacing w:val="-2"/>
                <w:sz w:val="20"/>
              </w:rPr>
              <w:t>D76.3,</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09" w:lineRule="exact"/>
              <w:ind w:left="193"/>
              <w:rPr>
                <w:sz w:val="20"/>
              </w:rPr>
            </w:pPr>
            <w:r>
              <w:rPr>
                <w:w w:val="95"/>
                <w:sz w:val="20"/>
              </w:rPr>
              <w:t>доброкачественные,</w:t>
            </w:r>
            <w:r>
              <w:rPr>
                <w:spacing w:val="65"/>
                <w:sz w:val="20"/>
              </w:rPr>
              <w:t> </w:t>
            </w:r>
            <w:r>
              <w:rPr>
                <w:spacing w:val="-5"/>
                <w:sz w:val="20"/>
              </w:rPr>
              <w:t>in</w:t>
            </w:r>
          </w:p>
        </w:tc>
        <w:tc>
          <w:tcPr>
            <w:tcW w:w="5108" w:type="dxa"/>
          </w:tcPr>
          <w:p>
            <w:pPr>
              <w:pStyle w:val="TableParagraph"/>
              <w:spacing w:line="209" w:lineRule="exact"/>
              <w:ind w:left="173" w:right="952"/>
              <w:jc w:val="center"/>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1" w:lineRule="exact"/>
              <w:ind w:left="193"/>
              <w:rPr>
                <w:sz w:val="20"/>
              </w:rPr>
            </w:pPr>
            <w:r>
              <w:rPr>
                <w:sz w:val="20"/>
              </w:rPr>
              <w:t>situ,</w:t>
            </w:r>
            <w:r>
              <w:rPr>
                <w:spacing w:val="-10"/>
                <w:sz w:val="20"/>
              </w:rPr>
              <w:t> </w:t>
            </w:r>
            <w:r>
              <w:rPr>
                <w:sz w:val="20"/>
              </w:rPr>
              <w:t>неопределенного</w:t>
            </w:r>
            <w:r>
              <w:rPr>
                <w:spacing w:val="-11"/>
                <w:sz w:val="20"/>
              </w:rPr>
              <w:t> </w:t>
            </w:r>
            <w:r>
              <w:rPr>
                <w:spacing w:val="-10"/>
                <w:sz w:val="20"/>
              </w:rPr>
              <w:t>и</w:t>
            </w:r>
          </w:p>
        </w:tc>
        <w:tc>
          <w:tcPr>
            <w:tcW w:w="5108" w:type="dxa"/>
          </w:tcPr>
          <w:p>
            <w:pPr>
              <w:pStyle w:val="TableParagraph"/>
              <w:spacing w:line="211" w:lineRule="exact"/>
              <w:ind w:left="173" w:right="952"/>
              <w:jc w:val="center"/>
              <w:rPr>
                <w:sz w:val="20"/>
              </w:rPr>
            </w:pPr>
            <w:r>
              <w:rPr>
                <w:sz w:val="20"/>
              </w:rPr>
              <w:t>E01.1,</w:t>
            </w:r>
            <w:r>
              <w:rPr>
                <w:spacing w:val="-7"/>
                <w:sz w:val="20"/>
              </w:rPr>
              <w:t> </w:t>
            </w:r>
            <w:r>
              <w:rPr>
                <w:sz w:val="20"/>
              </w:rPr>
              <w:t>E01.2,</w:t>
            </w:r>
            <w:r>
              <w:rPr>
                <w:spacing w:val="-5"/>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pacing w:val="-2"/>
                <w:sz w:val="20"/>
              </w:rPr>
              <w:t>неизвестного</w:t>
            </w:r>
            <w:r>
              <w:rPr>
                <w:spacing w:val="9"/>
                <w:sz w:val="20"/>
              </w:rPr>
              <w:t> </w:t>
            </w:r>
            <w:r>
              <w:rPr>
                <w:spacing w:val="-2"/>
                <w:sz w:val="20"/>
              </w:rPr>
              <w:t>характера,</w:t>
            </w:r>
          </w:p>
        </w:tc>
        <w:tc>
          <w:tcPr>
            <w:tcW w:w="5108" w:type="dxa"/>
          </w:tcPr>
          <w:p>
            <w:pPr>
              <w:pStyle w:val="TableParagraph"/>
              <w:spacing w:line="210" w:lineRule="exact"/>
              <w:ind w:left="127" w:right="904"/>
              <w:jc w:val="center"/>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z w:val="20"/>
              </w:rPr>
              <w:t>расстройства</w:t>
            </w:r>
            <w:r>
              <w:rPr>
                <w:spacing w:val="-13"/>
                <w:sz w:val="20"/>
              </w:rPr>
              <w:t> </w:t>
            </w:r>
            <w:r>
              <w:rPr>
                <w:spacing w:val="-2"/>
                <w:sz w:val="20"/>
              </w:rPr>
              <w:t>питания,</w:t>
            </w:r>
          </w:p>
        </w:tc>
        <w:tc>
          <w:tcPr>
            <w:tcW w:w="5108" w:type="dxa"/>
          </w:tcPr>
          <w:p>
            <w:pPr>
              <w:pStyle w:val="TableParagraph"/>
              <w:spacing w:line="210" w:lineRule="exact"/>
              <w:ind w:left="127" w:right="904"/>
              <w:jc w:val="center"/>
              <w:rPr>
                <w:sz w:val="20"/>
              </w:rPr>
            </w:pPr>
            <w:r>
              <w:rPr>
                <w:sz w:val="20"/>
              </w:rPr>
              <w:t>E04.0,</w:t>
            </w:r>
            <w:r>
              <w:rPr>
                <w:spacing w:val="-7"/>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6"/>
                <w:sz w:val="20"/>
              </w:rPr>
              <w:t> </w:t>
            </w:r>
            <w:r>
              <w:rPr>
                <w:spacing w:val="-2"/>
                <w:sz w:val="20"/>
              </w:rPr>
              <w:t>E05.0,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z w:val="20"/>
              </w:rPr>
              <w:t>другие</w:t>
            </w:r>
            <w:r>
              <w:rPr>
                <w:spacing w:val="-10"/>
                <w:sz w:val="20"/>
              </w:rPr>
              <w:t> </w:t>
            </w:r>
            <w:r>
              <w:rPr>
                <w:sz w:val="20"/>
              </w:rPr>
              <w:t>нарушения</w:t>
            </w:r>
            <w:r>
              <w:rPr>
                <w:spacing w:val="-11"/>
                <w:sz w:val="20"/>
              </w:rPr>
              <w:t> </w:t>
            </w:r>
            <w:r>
              <w:rPr>
                <w:spacing w:val="-2"/>
                <w:sz w:val="20"/>
              </w:rPr>
              <w:t>обмена</w:t>
            </w:r>
          </w:p>
        </w:tc>
        <w:tc>
          <w:tcPr>
            <w:tcW w:w="5108" w:type="dxa"/>
          </w:tcPr>
          <w:p>
            <w:pPr>
              <w:pStyle w:val="TableParagraph"/>
              <w:spacing w:line="210" w:lineRule="exact"/>
              <w:ind w:left="127" w:right="902"/>
              <w:jc w:val="center"/>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09" w:lineRule="exact"/>
              <w:ind w:left="193"/>
              <w:rPr>
                <w:sz w:val="20"/>
              </w:rPr>
            </w:pPr>
            <w:r>
              <w:rPr>
                <w:spacing w:val="-2"/>
                <w:sz w:val="20"/>
              </w:rPr>
              <w:t>веществ</w:t>
            </w:r>
          </w:p>
        </w:tc>
        <w:tc>
          <w:tcPr>
            <w:tcW w:w="5108" w:type="dxa"/>
          </w:tcPr>
          <w:p>
            <w:pPr>
              <w:pStyle w:val="TableParagraph"/>
              <w:spacing w:line="209" w:lineRule="exact"/>
              <w:ind w:left="127" w:right="904"/>
              <w:jc w:val="center"/>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5" w:right="905"/>
              <w:jc w:val="center"/>
              <w:rPr>
                <w:sz w:val="20"/>
              </w:rPr>
            </w:pPr>
            <w:r>
              <w:rPr>
                <w:sz w:val="20"/>
              </w:rPr>
              <w:t>E06.9,</w:t>
            </w:r>
            <w:r>
              <w:rPr>
                <w:spacing w:val="-7"/>
                <w:sz w:val="20"/>
              </w:rPr>
              <w:t> </w:t>
            </w:r>
            <w:r>
              <w:rPr>
                <w:sz w:val="20"/>
              </w:rPr>
              <w:t>E07,</w:t>
            </w:r>
            <w:r>
              <w:rPr>
                <w:spacing w:val="-7"/>
                <w:sz w:val="20"/>
              </w:rPr>
              <w:t> </w:t>
            </w:r>
            <w:r>
              <w:rPr>
                <w:sz w:val="20"/>
              </w:rPr>
              <w:t>E07.0,</w:t>
            </w:r>
            <w:r>
              <w:rPr>
                <w:spacing w:val="-5"/>
                <w:sz w:val="20"/>
              </w:rPr>
              <w:t> </w:t>
            </w:r>
            <w:r>
              <w:rPr>
                <w:sz w:val="20"/>
              </w:rPr>
              <w:t>E07.1,</w:t>
            </w:r>
            <w:r>
              <w:rPr>
                <w:spacing w:val="-4"/>
                <w:sz w:val="20"/>
              </w:rPr>
              <w:t> </w:t>
            </w:r>
            <w:r>
              <w:rPr>
                <w:sz w:val="20"/>
              </w:rPr>
              <w:t>E07.8,</w:t>
            </w:r>
            <w:r>
              <w:rPr>
                <w:spacing w:val="-5"/>
                <w:sz w:val="20"/>
              </w:rPr>
              <w:t> </w:t>
            </w:r>
            <w:r>
              <w:rPr>
                <w:sz w:val="20"/>
              </w:rPr>
              <w:t>E07.9,</w:t>
            </w:r>
            <w:r>
              <w:rPr>
                <w:spacing w:val="-5"/>
                <w:sz w:val="20"/>
              </w:rPr>
              <w:t> </w:t>
            </w:r>
            <w:r>
              <w:rPr>
                <w:sz w:val="20"/>
              </w:rPr>
              <w:t>E15,</w:t>
            </w:r>
            <w:r>
              <w:rPr>
                <w:spacing w:val="-5"/>
                <w:sz w:val="20"/>
              </w:rPr>
              <w:t> </w:t>
            </w:r>
            <w:r>
              <w:rPr>
                <w:spacing w:val="-4"/>
                <w:sz w:val="20"/>
              </w:rPr>
              <w:t>E16,</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2"/>
              <w:jc w:val="center"/>
              <w:rPr>
                <w:sz w:val="20"/>
              </w:rPr>
            </w:pPr>
            <w:r>
              <w:rPr>
                <w:sz w:val="20"/>
              </w:rPr>
              <w:t>E16.0,</w:t>
            </w:r>
            <w:r>
              <w:rPr>
                <w:spacing w:val="-7"/>
                <w:sz w:val="20"/>
              </w:rPr>
              <w:t> </w:t>
            </w:r>
            <w:r>
              <w:rPr>
                <w:sz w:val="20"/>
              </w:rPr>
              <w:t>E16.1,</w:t>
            </w:r>
            <w:r>
              <w:rPr>
                <w:spacing w:val="-5"/>
                <w:sz w:val="20"/>
              </w:rPr>
              <w:t> </w:t>
            </w:r>
            <w:r>
              <w:rPr>
                <w:sz w:val="20"/>
              </w:rPr>
              <w:t>E16.2,</w:t>
            </w:r>
            <w:r>
              <w:rPr>
                <w:spacing w:val="-4"/>
                <w:sz w:val="20"/>
              </w:rPr>
              <w:t> </w:t>
            </w:r>
            <w:r>
              <w:rPr>
                <w:sz w:val="20"/>
              </w:rPr>
              <w:t>E16.3,</w:t>
            </w:r>
            <w:r>
              <w:rPr>
                <w:spacing w:val="-5"/>
                <w:sz w:val="20"/>
              </w:rPr>
              <w:t> </w:t>
            </w:r>
            <w:r>
              <w:rPr>
                <w:sz w:val="20"/>
              </w:rPr>
              <w:t>E16.4,</w:t>
            </w:r>
            <w:r>
              <w:rPr>
                <w:spacing w:val="-6"/>
                <w:sz w:val="20"/>
              </w:rPr>
              <w:t> </w:t>
            </w:r>
            <w:r>
              <w:rPr>
                <w:sz w:val="20"/>
              </w:rPr>
              <w:t>E16.8,</w:t>
            </w:r>
            <w:r>
              <w:rPr>
                <w:spacing w:val="-5"/>
                <w:sz w:val="20"/>
              </w:rPr>
              <w:t> </w:t>
            </w:r>
            <w:r>
              <w:rPr>
                <w:spacing w:val="-2"/>
                <w:sz w:val="20"/>
              </w:rPr>
              <w:t>E16.9,</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E20.0,</w:t>
            </w:r>
            <w:r>
              <w:rPr>
                <w:spacing w:val="-7"/>
                <w:sz w:val="20"/>
              </w:rPr>
              <w:t> </w:t>
            </w:r>
            <w:r>
              <w:rPr>
                <w:sz w:val="20"/>
              </w:rPr>
              <w:t>E20.1,</w:t>
            </w:r>
            <w:r>
              <w:rPr>
                <w:spacing w:val="-5"/>
                <w:sz w:val="20"/>
              </w:rPr>
              <w:t> </w:t>
            </w:r>
            <w:r>
              <w:rPr>
                <w:sz w:val="20"/>
              </w:rPr>
              <w:t>E20.8,</w:t>
            </w:r>
            <w:r>
              <w:rPr>
                <w:spacing w:val="-4"/>
                <w:sz w:val="20"/>
              </w:rPr>
              <w:t> </w:t>
            </w:r>
            <w:r>
              <w:rPr>
                <w:sz w:val="20"/>
              </w:rPr>
              <w:t>E20.9,</w:t>
            </w:r>
            <w:r>
              <w:rPr>
                <w:spacing w:val="-5"/>
                <w:sz w:val="20"/>
              </w:rPr>
              <w:t> </w:t>
            </w:r>
            <w:r>
              <w:rPr>
                <w:sz w:val="20"/>
              </w:rPr>
              <w:t>E21,</w:t>
            </w:r>
            <w:r>
              <w:rPr>
                <w:spacing w:val="-5"/>
                <w:sz w:val="20"/>
              </w:rPr>
              <w:t> </w:t>
            </w:r>
            <w:r>
              <w:rPr>
                <w:sz w:val="20"/>
              </w:rPr>
              <w:t>E21.0,</w:t>
            </w:r>
            <w:r>
              <w:rPr>
                <w:spacing w:val="-6"/>
                <w:sz w:val="20"/>
              </w:rPr>
              <w:t> </w:t>
            </w:r>
            <w:r>
              <w:rPr>
                <w:spacing w:val="-2"/>
                <w:sz w:val="20"/>
              </w:rPr>
              <w:t>E21.1,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2"/>
              <w:jc w:val="center"/>
              <w:rPr>
                <w:sz w:val="20"/>
              </w:rPr>
            </w:pPr>
            <w:r>
              <w:rPr>
                <w:sz w:val="20"/>
              </w:rPr>
              <w:t>E21.2,</w:t>
            </w:r>
            <w:r>
              <w:rPr>
                <w:spacing w:val="-7"/>
                <w:sz w:val="20"/>
              </w:rPr>
              <w:t> </w:t>
            </w:r>
            <w:r>
              <w:rPr>
                <w:sz w:val="20"/>
              </w:rPr>
              <w:t>E21.3,</w:t>
            </w:r>
            <w:r>
              <w:rPr>
                <w:spacing w:val="-4"/>
                <w:sz w:val="20"/>
              </w:rPr>
              <w:t> </w:t>
            </w:r>
            <w:r>
              <w:rPr>
                <w:sz w:val="20"/>
              </w:rPr>
              <w:t>E21.4,</w:t>
            </w:r>
            <w:r>
              <w:rPr>
                <w:spacing w:val="-4"/>
                <w:sz w:val="20"/>
              </w:rPr>
              <w:t> </w:t>
            </w:r>
            <w:r>
              <w:rPr>
                <w:sz w:val="20"/>
              </w:rPr>
              <w:t>E21.5,</w:t>
            </w:r>
            <w:r>
              <w:rPr>
                <w:spacing w:val="-5"/>
                <w:sz w:val="20"/>
              </w:rPr>
              <w:t> </w:t>
            </w:r>
            <w:r>
              <w:rPr>
                <w:sz w:val="20"/>
              </w:rPr>
              <w:t>E22,</w:t>
            </w:r>
            <w:r>
              <w:rPr>
                <w:spacing w:val="-4"/>
                <w:sz w:val="20"/>
              </w:rPr>
              <w:t> </w:t>
            </w:r>
            <w:r>
              <w:rPr>
                <w:sz w:val="20"/>
              </w:rPr>
              <w:t>E22.0,</w:t>
            </w:r>
            <w:r>
              <w:rPr>
                <w:spacing w:val="-6"/>
                <w:sz w:val="20"/>
              </w:rPr>
              <w:t> </w:t>
            </w:r>
            <w:r>
              <w:rPr>
                <w:spacing w:val="-2"/>
                <w:sz w:val="20"/>
              </w:rPr>
              <w:t>E22.1,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E22.2,</w:t>
            </w:r>
            <w:r>
              <w:rPr>
                <w:spacing w:val="-7"/>
                <w:sz w:val="20"/>
              </w:rPr>
              <w:t> </w:t>
            </w:r>
            <w:r>
              <w:rPr>
                <w:sz w:val="20"/>
              </w:rPr>
              <w:t>E22.8,</w:t>
            </w:r>
            <w:r>
              <w:rPr>
                <w:spacing w:val="-6"/>
                <w:sz w:val="20"/>
              </w:rPr>
              <w:t> </w:t>
            </w:r>
            <w:r>
              <w:rPr>
                <w:sz w:val="20"/>
              </w:rPr>
              <w:t>E22.9,</w:t>
            </w:r>
            <w:r>
              <w:rPr>
                <w:spacing w:val="-5"/>
                <w:sz w:val="20"/>
              </w:rPr>
              <w:t> </w:t>
            </w:r>
            <w:r>
              <w:rPr>
                <w:sz w:val="20"/>
              </w:rPr>
              <w:t>E23,</w:t>
            </w:r>
            <w:r>
              <w:rPr>
                <w:spacing w:val="-5"/>
                <w:sz w:val="20"/>
              </w:rPr>
              <w:t> </w:t>
            </w:r>
            <w:r>
              <w:rPr>
                <w:sz w:val="20"/>
              </w:rPr>
              <w:t>E23.0,</w:t>
            </w:r>
            <w:r>
              <w:rPr>
                <w:spacing w:val="-5"/>
                <w:sz w:val="20"/>
              </w:rPr>
              <w:t> </w:t>
            </w:r>
            <w:r>
              <w:rPr>
                <w:sz w:val="20"/>
              </w:rPr>
              <w:t>E23.1,</w:t>
            </w:r>
            <w:r>
              <w:rPr>
                <w:spacing w:val="-5"/>
                <w:sz w:val="20"/>
              </w:rPr>
              <w:t> </w:t>
            </w:r>
            <w:r>
              <w:rPr>
                <w:spacing w:val="-2"/>
                <w:sz w:val="20"/>
              </w:rPr>
              <w:t>E23.2,</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E23.3,</w:t>
            </w:r>
            <w:r>
              <w:rPr>
                <w:spacing w:val="-7"/>
                <w:sz w:val="20"/>
              </w:rPr>
              <w:t> </w:t>
            </w:r>
            <w:r>
              <w:rPr>
                <w:sz w:val="20"/>
              </w:rPr>
              <w:t>E23.6,</w:t>
            </w:r>
            <w:r>
              <w:rPr>
                <w:spacing w:val="-6"/>
                <w:sz w:val="20"/>
              </w:rPr>
              <w:t> </w:t>
            </w:r>
            <w:r>
              <w:rPr>
                <w:sz w:val="20"/>
              </w:rPr>
              <w:t>E23.7,</w:t>
            </w:r>
            <w:r>
              <w:rPr>
                <w:spacing w:val="-5"/>
                <w:sz w:val="20"/>
              </w:rPr>
              <w:t> </w:t>
            </w:r>
            <w:r>
              <w:rPr>
                <w:sz w:val="20"/>
              </w:rPr>
              <w:t>E24,</w:t>
            </w:r>
            <w:r>
              <w:rPr>
                <w:spacing w:val="-5"/>
                <w:sz w:val="20"/>
              </w:rPr>
              <w:t> </w:t>
            </w:r>
            <w:r>
              <w:rPr>
                <w:sz w:val="20"/>
              </w:rPr>
              <w:t>E24.0,</w:t>
            </w:r>
            <w:r>
              <w:rPr>
                <w:spacing w:val="-5"/>
                <w:sz w:val="20"/>
              </w:rPr>
              <w:t> </w:t>
            </w:r>
            <w:r>
              <w:rPr>
                <w:sz w:val="20"/>
              </w:rPr>
              <w:t>E24.1,</w:t>
            </w:r>
            <w:r>
              <w:rPr>
                <w:spacing w:val="-5"/>
                <w:sz w:val="20"/>
              </w:rPr>
              <w:t> </w:t>
            </w:r>
            <w:r>
              <w:rPr>
                <w:spacing w:val="-2"/>
                <w:sz w:val="20"/>
              </w:rPr>
              <w:t>E24.2,</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E24.3,</w:t>
            </w:r>
            <w:r>
              <w:rPr>
                <w:spacing w:val="-7"/>
                <w:sz w:val="20"/>
              </w:rPr>
              <w:t> </w:t>
            </w:r>
            <w:r>
              <w:rPr>
                <w:sz w:val="20"/>
              </w:rPr>
              <w:t>E24.4,</w:t>
            </w:r>
            <w:r>
              <w:rPr>
                <w:spacing w:val="-5"/>
                <w:sz w:val="20"/>
              </w:rPr>
              <w:t> </w:t>
            </w:r>
            <w:r>
              <w:rPr>
                <w:sz w:val="20"/>
              </w:rPr>
              <w:t>E24.8,</w:t>
            </w:r>
            <w:r>
              <w:rPr>
                <w:spacing w:val="-4"/>
                <w:sz w:val="20"/>
              </w:rPr>
              <w:t> </w:t>
            </w:r>
            <w:r>
              <w:rPr>
                <w:sz w:val="20"/>
              </w:rPr>
              <w:t>E24.9,</w:t>
            </w:r>
            <w:r>
              <w:rPr>
                <w:spacing w:val="-5"/>
                <w:sz w:val="20"/>
              </w:rPr>
              <w:t> </w:t>
            </w:r>
            <w:r>
              <w:rPr>
                <w:sz w:val="20"/>
              </w:rPr>
              <w:t>E25,</w:t>
            </w:r>
            <w:r>
              <w:rPr>
                <w:spacing w:val="-5"/>
                <w:sz w:val="20"/>
              </w:rPr>
              <w:t> </w:t>
            </w:r>
            <w:r>
              <w:rPr>
                <w:sz w:val="20"/>
              </w:rPr>
              <w:t>E25.0,</w:t>
            </w:r>
            <w:r>
              <w:rPr>
                <w:spacing w:val="-6"/>
                <w:sz w:val="20"/>
              </w:rPr>
              <w:t> </w:t>
            </w:r>
            <w:r>
              <w:rPr>
                <w:spacing w:val="-2"/>
                <w:sz w:val="20"/>
              </w:rPr>
              <w:t>E25.8,</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73" w:right="952"/>
              <w:jc w:val="center"/>
              <w:rPr>
                <w:sz w:val="20"/>
              </w:rPr>
            </w:pPr>
            <w:r>
              <w:rPr>
                <w:sz w:val="20"/>
              </w:rPr>
              <w:t>E25.9,</w:t>
            </w:r>
            <w:r>
              <w:rPr>
                <w:spacing w:val="-7"/>
                <w:sz w:val="20"/>
              </w:rPr>
              <w:t> </w:t>
            </w:r>
            <w:r>
              <w:rPr>
                <w:sz w:val="20"/>
              </w:rPr>
              <w:t>E26,</w:t>
            </w:r>
            <w:r>
              <w:rPr>
                <w:spacing w:val="-7"/>
                <w:sz w:val="20"/>
              </w:rPr>
              <w:t> </w:t>
            </w:r>
            <w:r>
              <w:rPr>
                <w:sz w:val="20"/>
              </w:rPr>
              <w:t>E26.0,</w:t>
            </w:r>
            <w:r>
              <w:rPr>
                <w:spacing w:val="-5"/>
                <w:sz w:val="20"/>
              </w:rPr>
              <w:t> </w:t>
            </w:r>
            <w:r>
              <w:rPr>
                <w:sz w:val="20"/>
              </w:rPr>
              <w:t>E26.1,</w:t>
            </w:r>
            <w:r>
              <w:rPr>
                <w:spacing w:val="-5"/>
                <w:sz w:val="20"/>
              </w:rPr>
              <w:t> </w:t>
            </w:r>
            <w:r>
              <w:rPr>
                <w:sz w:val="20"/>
              </w:rPr>
              <w:t>E26.8,</w:t>
            </w:r>
            <w:r>
              <w:rPr>
                <w:spacing w:val="-4"/>
                <w:sz w:val="20"/>
              </w:rPr>
              <w:t> </w:t>
            </w:r>
            <w:r>
              <w:rPr>
                <w:sz w:val="20"/>
              </w:rPr>
              <w:t>E26.9,</w:t>
            </w:r>
            <w:r>
              <w:rPr>
                <w:spacing w:val="-5"/>
                <w:sz w:val="20"/>
              </w:rPr>
              <w:t> </w:t>
            </w:r>
            <w:r>
              <w:rPr>
                <w:spacing w:val="-4"/>
                <w:sz w:val="20"/>
              </w:rPr>
              <w:t>E27,</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895"/>
              <w:jc w:val="center"/>
              <w:rPr>
                <w:sz w:val="20"/>
              </w:rPr>
            </w:pPr>
            <w:r>
              <w:rPr>
                <w:sz w:val="20"/>
              </w:rPr>
              <w:t>E27.0,</w:t>
            </w:r>
            <w:r>
              <w:rPr>
                <w:spacing w:val="-6"/>
                <w:sz w:val="20"/>
              </w:rPr>
              <w:t> </w:t>
            </w:r>
            <w:r>
              <w:rPr>
                <w:sz w:val="20"/>
              </w:rPr>
              <w:t>E27.1,</w:t>
            </w:r>
            <w:r>
              <w:rPr>
                <w:spacing w:val="-3"/>
                <w:sz w:val="20"/>
              </w:rPr>
              <w:t> </w:t>
            </w:r>
            <w:r>
              <w:rPr>
                <w:sz w:val="20"/>
              </w:rPr>
              <w:t>E27.2,</w:t>
            </w:r>
            <w:r>
              <w:rPr>
                <w:spacing w:val="-4"/>
                <w:sz w:val="20"/>
              </w:rPr>
              <w:t> </w:t>
            </w:r>
            <w:r>
              <w:rPr>
                <w:sz w:val="20"/>
              </w:rPr>
              <w:t>E27.3,</w:t>
            </w:r>
            <w:r>
              <w:rPr>
                <w:spacing w:val="-3"/>
                <w:sz w:val="20"/>
              </w:rPr>
              <w:t> </w:t>
            </w:r>
            <w:r>
              <w:rPr>
                <w:sz w:val="20"/>
              </w:rPr>
              <w:t>E27.4,</w:t>
            </w:r>
            <w:r>
              <w:rPr>
                <w:spacing w:val="-5"/>
                <w:sz w:val="20"/>
              </w:rPr>
              <w:t> </w:t>
            </w:r>
            <w:r>
              <w:rPr>
                <w:sz w:val="20"/>
              </w:rPr>
              <w:t>E27.5,</w:t>
            </w:r>
            <w:r>
              <w:rPr>
                <w:spacing w:val="-4"/>
                <w:sz w:val="20"/>
              </w:rPr>
              <w:t> </w:t>
            </w:r>
            <w:r>
              <w:rPr>
                <w:spacing w:val="-2"/>
                <w:sz w:val="20"/>
              </w:rPr>
              <w:t>E27.8,</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73" w:right="952"/>
              <w:jc w:val="center"/>
              <w:rPr>
                <w:sz w:val="20"/>
              </w:rPr>
            </w:pPr>
            <w:r>
              <w:rPr>
                <w:sz w:val="20"/>
              </w:rPr>
              <w:t>E27.9,</w:t>
            </w:r>
            <w:r>
              <w:rPr>
                <w:spacing w:val="-7"/>
                <w:sz w:val="20"/>
              </w:rPr>
              <w:t> </w:t>
            </w:r>
            <w:r>
              <w:rPr>
                <w:sz w:val="20"/>
              </w:rPr>
              <w:t>E29,</w:t>
            </w:r>
            <w:r>
              <w:rPr>
                <w:spacing w:val="-7"/>
                <w:sz w:val="20"/>
              </w:rPr>
              <w:t> </w:t>
            </w:r>
            <w:r>
              <w:rPr>
                <w:sz w:val="20"/>
              </w:rPr>
              <w:t>E29.0,</w:t>
            </w:r>
            <w:r>
              <w:rPr>
                <w:spacing w:val="-5"/>
                <w:sz w:val="20"/>
              </w:rPr>
              <w:t> </w:t>
            </w:r>
            <w:r>
              <w:rPr>
                <w:sz w:val="20"/>
              </w:rPr>
              <w:t>E29.1,</w:t>
            </w:r>
            <w:r>
              <w:rPr>
                <w:spacing w:val="-5"/>
                <w:sz w:val="20"/>
              </w:rPr>
              <w:t> </w:t>
            </w:r>
            <w:r>
              <w:rPr>
                <w:sz w:val="20"/>
              </w:rPr>
              <w:t>E29.8,</w:t>
            </w:r>
            <w:r>
              <w:rPr>
                <w:spacing w:val="-4"/>
                <w:sz w:val="20"/>
              </w:rPr>
              <w:t> </w:t>
            </w:r>
            <w:r>
              <w:rPr>
                <w:sz w:val="20"/>
              </w:rPr>
              <w:t>E29.9,</w:t>
            </w:r>
            <w:r>
              <w:rPr>
                <w:spacing w:val="-5"/>
                <w:sz w:val="20"/>
              </w:rPr>
              <w:t> </w:t>
            </w:r>
            <w:r>
              <w:rPr>
                <w:spacing w:val="-4"/>
                <w:sz w:val="20"/>
              </w:rPr>
              <w:t>E30,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E30.0,</w:t>
            </w:r>
            <w:r>
              <w:rPr>
                <w:spacing w:val="-7"/>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z w:val="20"/>
              </w:rPr>
              <w:t>E31,</w:t>
            </w:r>
            <w:r>
              <w:rPr>
                <w:spacing w:val="-5"/>
                <w:sz w:val="20"/>
              </w:rPr>
              <w:t> </w:t>
            </w:r>
            <w:r>
              <w:rPr>
                <w:sz w:val="20"/>
              </w:rPr>
              <w:t>E31.0,</w:t>
            </w:r>
            <w:r>
              <w:rPr>
                <w:spacing w:val="-6"/>
                <w:sz w:val="20"/>
              </w:rPr>
              <w:t> </w:t>
            </w:r>
            <w:r>
              <w:rPr>
                <w:spacing w:val="-2"/>
                <w:sz w:val="20"/>
              </w:rPr>
              <w:t>E31.1,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E31.8,</w:t>
            </w:r>
            <w:r>
              <w:rPr>
                <w:spacing w:val="-7"/>
                <w:sz w:val="20"/>
              </w:rPr>
              <w:t> </w:t>
            </w:r>
            <w:r>
              <w:rPr>
                <w:sz w:val="20"/>
              </w:rPr>
              <w:t>E31.9,</w:t>
            </w:r>
            <w:r>
              <w:rPr>
                <w:spacing w:val="-5"/>
                <w:sz w:val="20"/>
              </w:rPr>
              <w:t> </w:t>
            </w:r>
            <w:r>
              <w:rPr>
                <w:sz w:val="20"/>
              </w:rPr>
              <w:t>E34,</w:t>
            </w:r>
            <w:r>
              <w:rPr>
                <w:spacing w:val="-5"/>
                <w:sz w:val="20"/>
              </w:rPr>
              <w:t> </w:t>
            </w:r>
            <w:r>
              <w:rPr>
                <w:sz w:val="20"/>
              </w:rPr>
              <w:t>E34.0,</w:t>
            </w:r>
            <w:r>
              <w:rPr>
                <w:spacing w:val="-5"/>
                <w:sz w:val="20"/>
              </w:rPr>
              <w:t> </w:t>
            </w:r>
            <w:r>
              <w:rPr>
                <w:sz w:val="20"/>
              </w:rPr>
              <w:t>E34.1,</w:t>
            </w:r>
            <w:r>
              <w:rPr>
                <w:spacing w:val="-5"/>
                <w:sz w:val="20"/>
              </w:rPr>
              <w:t> </w:t>
            </w:r>
            <w:r>
              <w:rPr>
                <w:sz w:val="20"/>
              </w:rPr>
              <w:t>E34.2,</w:t>
            </w:r>
            <w:r>
              <w:rPr>
                <w:spacing w:val="-5"/>
                <w:sz w:val="20"/>
              </w:rPr>
              <w:t> </w:t>
            </w:r>
            <w:r>
              <w:rPr>
                <w:spacing w:val="-2"/>
                <w:sz w:val="20"/>
              </w:rPr>
              <w:t>E34.3,</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E34.4,</w:t>
            </w:r>
            <w:r>
              <w:rPr>
                <w:spacing w:val="-7"/>
                <w:sz w:val="20"/>
              </w:rPr>
              <w:t> </w:t>
            </w:r>
            <w:r>
              <w:rPr>
                <w:sz w:val="20"/>
              </w:rPr>
              <w:t>E34.5,</w:t>
            </w:r>
            <w:r>
              <w:rPr>
                <w:spacing w:val="-5"/>
                <w:sz w:val="20"/>
              </w:rPr>
              <w:t> </w:t>
            </w:r>
            <w:r>
              <w:rPr>
                <w:sz w:val="20"/>
              </w:rPr>
              <w:t>E34.8,</w:t>
            </w:r>
            <w:r>
              <w:rPr>
                <w:spacing w:val="-4"/>
                <w:sz w:val="20"/>
              </w:rPr>
              <w:t> </w:t>
            </w:r>
            <w:r>
              <w:rPr>
                <w:sz w:val="20"/>
              </w:rPr>
              <w:t>E34.9,</w:t>
            </w:r>
            <w:r>
              <w:rPr>
                <w:spacing w:val="-5"/>
                <w:sz w:val="20"/>
              </w:rPr>
              <w:t> </w:t>
            </w:r>
            <w:r>
              <w:rPr>
                <w:sz w:val="20"/>
              </w:rPr>
              <w:t>E35,</w:t>
            </w:r>
            <w:r>
              <w:rPr>
                <w:spacing w:val="-5"/>
                <w:sz w:val="20"/>
              </w:rPr>
              <w:t> </w:t>
            </w:r>
            <w:r>
              <w:rPr>
                <w:sz w:val="20"/>
              </w:rPr>
              <w:t>E35.0,</w:t>
            </w:r>
            <w:r>
              <w:rPr>
                <w:spacing w:val="-6"/>
                <w:sz w:val="20"/>
              </w:rPr>
              <w:t> </w:t>
            </w:r>
            <w:r>
              <w:rPr>
                <w:spacing w:val="-2"/>
                <w:sz w:val="20"/>
              </w:rPr>
              <w:t>E35.1,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E35.8,</w:t>
            </w:r>
            <w:r>
              <w:rPr>
                <w:spacing w:val="-6"/>
                <w:sz w:val="20"/>
              </w:rPr>
              <w:t> </w:t>
            </w:r>
            <w:r>
              <w:rPr>
                <w:sz w:val="20"/>
              </w:rPr>
              <w:t>E40,</w:t>
            </w:r>
            <w:r>
              <w:rPr>
                <w:spacing w:val="-6"/>
                <w:sz w:val="20"/>
              </w:rPr>
              <w:t> </w:t>
            </w:r>
            <w:r>
              <w:rPr>
                <w:sz w:val="20"/>
              </w:rPr>
              <w:t>E41,</w:t>
            </w:r>
            <w:r>
              <w:rPr>
                <w:spacing w:val="-4"/>
                <w:sz w:val="20"/>
              </w:rPr>
              <w:t> </w:t>
            </w:r>
            <w:r>
              <w:rPr>
                <w:sz w:val="20"/>
              </w:rPr>
              <w:t>E42,</w:t>
            </w:r>
            <w:r>
              <w:rPr>
                <w:spacing w:val="-4"/>
                <w:sz w:val="20"/>
              </w:rPr>
              <w:t> </w:t>
            </w:r>
            <w:r>
              <w:rPr>
                <w:sz w:val="20"/>
              </w:rPr>
              <w:t>E43,</w:t>
            </w:r>
            <w:r>
              <w:rPr>
                <w:spacing w:val="-4"/>
                <w:sz w:val="20"/>
              </w:rPr>
              <w:t> </w:t>
            </w:r>
            <w:r>
              <w:rPr>
                <w:sz w:val="20"/>
              </w:rPr>
              <w:t>E44,</w:t>
            </w:r>
            <w:r>
              <w:rPr>
                <w:spacing w:val="-4"/>
                <w:sz w:val="20"/>
              </w:rPr>
              <w:t> </w:t>
            </w:r>
            <w:r>
              <w:rPr>
                <w:sz w:val="20"/>
              </w:rPr>
              <w:t>E44.0,</w:t>
            </w:r>
            <w:r>
              <w:rPr>
                <w:spacing w:val="-6"/>
                <w:sz w:val="20"/>
              </w:rPr>
              <w:t> </w:t>
            </w:r>
            <w:r>
              <w:rPr>
                <w:spacing w:val="-2"/>
                <w:sz w:val="20"/>
              </w:rPr>
              <w:t>E44.1,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5"/>
              <w:jc w:val="center"/>
              <w:rPr>
                <w:sz w:val="20"/>
              </w:rPr>
            </w:pPr>
            <w:r>
              <w:rPr>
                <w:sz w:val="20"/>
              </w:rPr>
              <w:t>E45,</w:t>
            </w:r>
            <w:r>
              <w:rPr>
                <w:spacing w:val="-4"/>
                <w:sz w:val="20"/>
              </w:rPr>
              <w:t> </w:t>
            </w:r>
            <w:r>
              <w:rPr>
                <w:sz w:val="20"/>
              </w:rPr>
              <w:t>E46,</w:t>
            </w:r>
            <w:r>
              <w:rPr>
                <w:spacing w:val="-4"/>
                <w:sz w:val="20"/>
              </w:rPr>
              <w:t> </w:t>
            </w:r>
            <w:r>
              <w:rPr>
                <w:sz w:val="20"/>
              </w:rPr>
              <w:t>E50,</w:t>
            </w:r>
            <w:r>
              <w:rPr>
                <w:spacing w:val="-4"/>
                <w:sz w:val="20"/>
              </w:rPr>
              <w:t> </w:t>
            </w:r>
            <w:r>
              <w:rPr>
                <w:sz w:val="20"/>
              </w:rPr>
              <w:t>E50.0,</w:t>
            </w:r>
            <w:r>
              <w:rPr>
                <w:spacing w:val="-4"/>
                <w:sz w:val="20"/>
              </w:rPr>
              <w:t> </w:t>
            </w:r>
            <w:r>
              <w:rPr>
                <w:sz w:val="20"/>
              </w:rPr>
              <w:t>E50.1,</w:t>
            </w:r>
            <w:r>
              <w:rPr>
                <w:spacing w:val="-5"/>
                <w:sz w:val="20"/>
              </w:rPr>
              <w:t> </w:t>
            </w:r>
            <w:r>
              <w:rPr>
                <w:sz w:val="20"/>
              </w:rPr>
              <w:t>E50.2,</w:t>
            </w:r>
            <w:r>
              <w:rPr>
                <w:spacing w:val="-6"/>
                <w:sz w:val="20"/>
              </w:rPr>
              <w:t> </w:t>
            </w:r>
            <w:r>
              <w:rPr>
                <w:sz w:val="20"/>
              </w:rPr>
              <w:t>E50.3,</w:t>
            </w:r>
            <w:r>
              <w:rPr>
                <w:spacing w:val="-4"/>
                <w:sz w:val="20"/>
              </w:rPr>
              <w:t> </w:t>
            </w:r>
            <w:r>
              <w:rPr>
                <w:spacing w:val="-2"/>
                <w:sz w:val="20"/>
              </w:rPr>
              <w:t>E50.4,</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E50.5,</w:t>
            </w:r>
            <w:r>
              <w:rPr>
                <w:spacing w:val="-7"/>
                <w:sz w:val="20"/>
              </w:rPr>
              <w:t> </w:t>
            </w:r>
            <w:r>
              <w:rPr>
                <w:sz w:val="20"/>
              </w:rPr>
              <w:t>E50.6,</w:t>
            </w:r>
            <w:r>
              <w:rPr>
                <w:spacing w:val="-4"/>
                <w:sz w:val="20"/>
              </w:rPr>
              <w:t> </w:t>
            </w:r>
            <w:r>
              <w:rPr>
                <w:sz w:val="20"/>
              </w:rPr>
              <w:t>E50.7,</w:t>
            </w:r>
            <w:r>
              <w:rPr>
                <w:spacing w:val="-4"/>
                <w:sz w:val="20"/>
              </w:rPr>
              <w:t> </w:t>
            </w:r>
            <w:r>
              <w:rPr>
                <w:sz w:val="20"/>
              </w:rPr>
              <w:t>E50.8,</w:t>
            </w:r>
            <w:r>
              <w:rPr>
                <w:spacing w:val="-4"/>
                <w:sz w:val="20"/>
              </w:rPr>
              <w:t> </w:t>
            </w:r>
            <w:r>
              <w:rPr>
                <w:sz w:val="20"/>
              </w:rPr>
              <w:t>E50.9,</w:t>
            </w:r>
            <w:r>
              <w:rPr>
                <w:spacing w:val="-6"/>
                <w:sz w:val="20"/>
              </w:rPr>
              <w:t> </w:t>
            </w:r>
            <w:r>
              <w:rPr>
                <w:sz w:val="20"/>
              </w:rPr>
              <w:t>E51,</w:t>
            </w:r>
            <w:r>
              <w:rPr>
                <w:spacing w:val="-6"/>
                <w:sz w:val="20"/>
              </w:rPr>
              <w:t> </w:t>
            </w:r>
            <w:r>
              <w:rPr>
                <w:spacing w:val="-2"/>
                <w:sz w:val="20"/>
              </w:rPr>
              <w:t>E51.1,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73" w:right="952"/>
              <w:jc w:val="center"/>
              <w:rPr>
                <w:sz w:val="20"/>
              </w:rPr>
            </w:pPr>
            <w:r>
              <w:rPr>
                <w:sz w:val="20"/>
              </w:rPr>
              <w:t>E51.2,</w:t>
            </w:r>
            <w:r>
              <w:rPr>
                <w:spacing w:val="-7"/>
                <w:sz w:val="20"/>
              </w:rPr>
              <w:t> </w:t>
            </w:r>
            <w:r>
              <w:rPr>
                <w:sz w:val="20"/>
              </w:rPr>
              <w:t>E51.8,</w:t>
            </w:r>
            <w:r>
              <w:rPr>
                <w:spacing w:val="-5"/>
                <w:sz w:val="20"/>
              </w:rPr>
              <w:t> </w:t>
            </w:r>
            <w:r>
              <w:rPr>
                <w:sz w:val="20"/>
              </w:rPr>
              <w:t>E51.9,</w:t>
            </w:r>
            <w:r>
              <w:rPr>
                <w:spacing w:val="-5"/>
                <w:sz w:val="20"/>
              </w:rPr>
              <w:t> </w:t>
            </w:r>
            <w:r>
              <w:rPr>
                <w:sz w:val="20"/>
              </w:rPr>
              <w:t>E52,</w:t>
            </w:r>
            <w:r>
              <w:rPr>
                <w:spacing w:val="-4"/>
                <w:sz w:val="20"/>
              </w:rPr>
              <w:t> </w:t>
            </w:r>
            <w:r>
              <w:rPr>
                <w:sz w:val="20"/>
              </w:rPr>
              <w:t>E53,</w:t>
            </w:r>
            <w:r>
              <w:rPr>
                <w:spacing w:val="-5"/>
                <w:sz w:val="20"/>
              </w:rPr>
              <w:t> </w:t>
            </w:r>
            <w:r>
              <w:rPr>
                <w:sz w:val="20"/>
              </w:rPr>
              <w:t>E53.0,</w:t>
            </w:r>
            <w:r>
              <w:rPr>
                <w:spacing w:val="-5"/>
                <w:sz w:val="20"/>
              </w:rPr>
              <w:t> </w:t>
            </w:r>
            <w:r>
              <w:rPr>
                <w:spacing w:val="-2"/>
                <w:sz w:val="20"/>
              </w:rPr>
              <w:t>E53.1,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73" w:right="952"/>
              <w:jc w:val="center"/>
              <w:rPr>
                <w:sz w:val="20"/>
              </w:rPr>
            </w:pPr>
            <w:r>
              <w:rPr>
                <w:sz w:val="20"/>
              </w:rPr>
              <w:t>E53.8,</w:t>
            </w:r>
            <w:r>
              <w:rPr>
                <w:spacing w:val="-7"/>
                <w:sz w:val="20"/>
              </w:rPr>
              <w:t> </w:t>
            </w:r>
            <w:r>
              <w:rPr>
                <w:sz w:val="20"/>
              </w:rPr>
              <w:t>E53.9,</w:t>
            </w:r>
            <w:r>
              <w:rPr>
                <w:spacing w:val="-4"/>
                <w:sz w:val="20"/>
              </w:rPr>
              <w:t> </w:t>
            </w:r>
            <w:r>
              <w:rPr>
                <w:sz w:val="20"/>
              </w:rPr>
              <w:t>E54,</w:t>
            </w:r>
            <w:r>
              <w:rPr>
                <w:spacing w:val="-5"/>
                <w:sz w:val="20"/>
              </w:rPr>
              <w:t> </w:t>
            </w:r>
            <w:r>
              <w:rPr>
                <w:sz w:val="20"/>
              </w:rPr>
              <w:t>E55.9,</w:t>
            </w:r>
            <w:r>
              <w:rPr>
                <w:spacing w:val="-5"/>
                <w:sz w:val="20"/>
              </w:rPr>
              <w:t> </w:t>
            </w:r>
            <w:r>
              <w:rPr>
                <w:sz w:val="20"/>
              </w:rPr>
              <w:t>E56,</w:t>
            </w:r>
            <w:r>
              <w:rPr>
                <w:spacing w:val="-4"/>
                <w:sz w:val="20"/>
              </w:rPr>
              <w:t> </w:t>
            </w:r>
            <w:r>
              <w:rPr>
                <w:sz w:val="20"/>
              </w:rPr>
              <w:t>E56.0,</w:t>
            </w:r>
            <w:r>
              <w:rPr>
                <w:spacing w:val="-5"/>
                <w:sz w:val="20"/>
              </w:rPr>
              <w:t> </w:t>
            </w:r>
            <w:r>
              <w:rPr>
                <w:spacing w:val="-2"/>
                <w:sz w:val="20"/>
              </w:rPr>
              <w:t>E56.1,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5" w:right="905"/>
              <w:jc w:val="center"/>
              <w:rPr>
                <w:sz w:val="20"/>
              </w:rPr>
            </w:pPr>
            <w:r>
              <w:rPr>
                <w:sz w:val="20"/>
              </w:rPr>
              <w:t>E56.8,</w:t>
            </w:r>
            <w:r>
              <w:rPr>
                <w:spacing w:val="-6"/>
                <w:sz w:val="20"/>
              </w:rPr>
              <w:t> </w:t>
            </w:r>
            <w:r>
              <w:rPr>
                <w:sz w:val="20"/>
              </w:rPr>
              <w:t>E56.9,</w:t>
            </w:r>
            <w:r>
              <w:rPr>
                <w:spacing w:val="-3"/>
                <w:sz w:val="20"/>
              </w:rPr>
              <w:t> </w:t>
            </w:r>
            <w:r>
              <w:rPr>
                <w:sz w:val="20"/>
              </w:rPr>
              <w:t>E58,</w:t>
            </w:r>
            <w:r>
              <w:rPr>
                <w:spacing w:val="-4"/>
                <w:sz w:val="20"/>
              </w:rPr>
              <w:t> </w:t>
            </w:r>
            <w:r>
              <w:rPr>
                <w:sz w:val="20"/>
              </w:rPr>
              <w:t>E59,</w:t>
            </w:r>
            <w:r>
              <w:rPr>
                <w:spacing w:val="-3"/>
                <w:sz w:val="20"/>
              </w:rPr>
              <w:t> </w:t>
            </w:r>
            <w:r>
              <w:rPr>
                <w:sz w:val="20"/>
              </w:rPr>
              <w:t>E60,</w:t>
            </w:r>
            <w:r>
              <w:rPr>
                <w:spacing w:val="-5"/>
                <w:sz w:val="20"/>
              </w:rPr>
              <w:t> </w:t>
            </w:r>
            <w:r>
              <w:rPr>
                <w:sz w:val="20"/>
              </w:rPr>
              <w:t>E61,</w:t>
            </w:r>
            <w:r>
              <w:rPr>
                <w:spacing w:val="-4"/>
                <w:sz w:val="20"/>
              </w:rPr>
              <w:t> </w:t>
            </w:r>
            <w:r>
              <w:rPr>
                <w:sz w:val="20"/>
              </w:rPr>
              <w:t>E61.0,</w:t>
            </w:r>
            <w:r>
              <w:rPr>
                <w:spacing w:val="-5"/>
                <w:sz w:val="20"/>
              </w:rPr>
              <w:t> </w:t>
            </w:r>
            <w:r>
              <w:rPr>
                <w:spacing w:val="-2"/>
                <w:sz w:val="20"/>
              </w:rPr>
              <w:t>E61.1,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83" w:right="952"/>
              <w:jc w:val="center"/>
              <w:rPr>
                <w:sz w:val="20"/>
              </w:rPr>
            </w:pPr>
            <w:r>
              <w:rPr>
                <w:sz w:val="20"/>
              </w:rPr>
              <w:t>E61.2,</w:t>
            </w:r>
            <w:r>
              <w:rPr>
                <w:spacing w:val="-7"/>
                <w:sz w:val="20"/>
              </w:rPr>
              <w:t> </w:t>
            </w:r>
            <w:r>
              <w:rPr>
                <w:sz w:val="20"/>
              </w:rPr>
              <w:t>E61.3,</w:t>
            </w:r>
            <w:r>
              <w:rPr>
                <w:spacing w:val="-4"/>
                <w:sz w:val="20"/>
              </w:rPr>
              <w:t> </w:t>
            </w:r>
            <w:r>
              <w:rPr>
                <w:sz w:val="20"/>
              </w:rPr>
              <w:t>E61.4,</w:t>
            </w:r>
            <w:r>
              <w:rPr>
                <w:spacing w:val="-5"/>
                <w:sz w:val="20"/>
              </w:rPr>
              <w:t> </w:t>
            </w:r>
            <w:r>
              <w:rPr>
                <w:sz w:val="20"/>
              </w:rPr>
              <w:t>E61.5,</w:t>
            </w:r>
            <w:r>
              <w:rPr>
                <w:spacing w:val="-4"/>
                <w:sz w:val="20"/>
              </w:rPr>
              <w:t> </w:t>
            </w:r>
            <w:r>
              <w:rPr>
                <w:sz w:val="20"/>
              </w:rPr>
              <w:t>E61.6,</w:t>
            </w:r>
            <w:r>
              <w:rPr>
                <w:spacing w:val="-1"/>
                <w:sz w:val="20"/>
              </w:rPr>
              <w:t> </w:t>
            </w:r>
            <w:r>
              <w:rPr>
                <w:sz w:val="20"/>
              </w:rPr>
              <w:t>E61.7,</w:t>
            </w:r>
            <w:r>
              <w:rPr>
                <w:spacing w:val="-5"/>
                <w:sz w:val="20"/>
              </w:rPr>
              <w:t> </w:t>
            </w:r>
            <w:r>
              <w:rPr>
                <w:spacing w:val="-2"/>
                <w:sz w:val="20"/>
              </w:rPr>
              <w:t>E61.8,</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E61.9,</w:t>
            </w:r>
            <w:r>
              <w:rPr>
                <w:spacing w:val="-7"/>
                <w:sz w:val="20"/>
              </w:rPr>
              <w:t> </w:t>
            </w:r>
            <w:r>
              <w:rPr>
                <w:sz w:val="20"/>
              </w:rPr>
              <w:t>E63,</w:t>
            </w:r>
            <w:r>
              <w:rPr>
                <w:spacing w:val="-7"/>
                <w:sz w:val="20"/>
              </w:rPr>
              <w:t> </w:t>
            </w:r>
            <w:r>
              <w:rPr>
                <w:sz w:val="20"/>
              </w:rPr>
              <w:t>E63.0,</w:t>
            </w:r>
            <w:r>
              <w:rPr>
                <w:spacing w:val="-5"/>
                <w:sz w:val="20"/>
              </w:rPr>
              <w:t> </w:t>
            </w:r>
            <w:r>
              <w:rPr>
                <w:sz w:val="20"/>
              </w:rPr>
              <w:t>E63.1,</w:t>
            </w:r>
            <w:r>
              <w:rPr>
                <w:spacing w:val="-5"/>
                <w:sz w:val="20"/>
              </w:rPr>
              <w:t> </w:t>
            </w:r>
            <w:r>
              <w:rPr>
                <w:sz w:val="20"/>
              </w:rPr>
              <w:t>E63.8,</w:t>
            </w:r>
            <w:r>
              <w:rPr>
                <w:spacing w:val="-4"/>
                <w:sz w:val="20"/>
              </w:rPr>
              <w:t> </w:t>
            </w:r>
            <w:r>
              <w:rPr>
                <w:sz w:val="20"/>
              </w:rPr>
              <w:t>E63.9,</w:t>
            </w:r>
            <w:r>
              <w:rPr>
                <w:spacing w:val="-5"/>
                <w:sz w:val="20"/>
              </w:rPr>
              <w:t> </w:t>
            </w:r>
            <w:r>
              <w:rPr>
                <w:spacing w:val="-2"/>
                <w:sz w:val="20"/>
              </w:rPr>
              <w:t>E64.0,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E64.1,</w:t>
            </w:r>
            <w:r>
              <w:rPr>
                <w:spacing w:val="-7"/>
                <w:sz w:val="20"/>
              </w:rPr>
              <w:t> </w:t>
            </w:r>
            <w:r>
              <w:rPr>
                <w:sz w:val="20"/>
              </w:rPr>
              <w:t>E64.2,</w:t>
            </w:r>
            <w:r>
              <w:rPr>
                <w:spacing w:val="-4"/>
                <w:sz w:val="20"/>
              </w:rPr>
              <w:t> </w:t>
            </w:r>
            <w:r>
              <w:rPr>
                <w:sz w:val="20"/>
              </w:rPr>
              <w:t>E64.8,</w:t>
            </w:r>
            <w:r>
              <w:rPr>
                <w:spacing w:val="-5"/>
                <w:sz w:val="20"/>
              </w:rPr>
              <w:t> </w:t>
            </w:r>
            <w:r>
              <w:rPr>
                <w:sz w:val="20"/>
              </w:rPr>
              <w:t>E64.9,</w:t>
            </w:r>
            <w:r>
              <w:rPr>
                <w:spacing w:val="-5"/>
                <w:sz w:val="20"/>
              </w:rPr>
              <w:t> </w:t>
            </w:r>
            <w:r>
              <w:rPr>
                <w:sz w:val="20"/>
              </w:rPr>
              <w:t>E65,</w:t>
            </w:r>
            <w:r>
              <w:rPr>
                <w:spacing w:val="-4"/>
                <w:sz w:val="20"/>
              </w:rPr>
              <w:t> </w:t>
            </w:r>
            <w:r>
              <w:rPr>
                <w:sz w:val="20"/>
              </w:rPr>
              <w:t>E66,</w:t>
            </w:r>
            <w:r>
              <w:rPr>
                <w:spacing w:val="-5"/>
                <w:sz w:val="20"/>
              </w:rPr>
              <w:t> </w:t>
            </w:r>
            <w:r>
              <w:rPr>
                <w:spacing w:val="-2"/>
                <w:sz w:val="20"/>
              </w:rPr>
              <w:t>E66.0,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E66.1,</w:t>
            </w:r>
            <w:r>
              <w:rPr>
                <w:spacing w:val="-7"/>
                <w:sz w:val="20"/>
              </w:rPr>
              <w:t> </w:t>
            </w:r>
            <w:r>
              <w:rPr>
                <w:sz w:val="20"/>
              </w:rPr>
              <w:t>E66.2,</w:t>
            </w:r>
            <w:r>
              <w:rPr>
                <w:spacing w:val="-5"/>
                <w:sz w:val="20"/>
              </w:rPr>
              <w:t> </w:t>
            </w:r>
            <w:r>
              <w:rPr>
                <w:sz w:val="20"/>
              </w:rPr>
              <w:t>E66.8,</w:t>
            </w:r>
            <w:r>
              <w:rPr>
                <w:spacing w:val="-4"/>
                <w:sz w:val="20"/>
              </w:rPr>
              <w:t> </w:t>
            </w:r>
            <w:r>
              <w:rPr>
                <w:sz w:val="20"/>
              </w:rPr>
              <w:t>E66.9,</w:t>
            </w:r>
            <w:r>
              <w:rPr>
                <w:spacing w:val="-5"/>
                <w:sz w:val="20"/>
              </w:rPr>
              <w:t> </w:t>
            </w:r>
            <w:r>
              <w:rPr>
                <w:sz w:val="20"/>
              </w:rPr>
              <w:t>E67,</w:t>
            </w:r>
            <w:r>
              <w:rPr>
                <w:spacing w:val="-5"/>
                <w:sz w:val="20"/>
              </w:rPr>
              <w:t> </w:t>
            </w:r>
            <w:r>
              <w:rPr>
                <w:sz w:val="20"/>
              </w:rPr>
              <w:t>E67.0,</w:t>
            </w:r>
            <w:r>
              <w:rPr>
                <w:spacing w:val="-6"/>
                <w:sz w:val="20"/>
              </w:rPr>
              <w:t> </w:t>
            </w:r>
            <w:r>
              <w:rPr>
                <w:spacing w:val="-2"/>
                <w:sz w:val="20"/>
              </w:rPr>
              <w:t>E67.1,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73" w:right="952"/>
              <w:jc w:val="center"/>
              <w:rPr>
                <w:sz w:val="20"/>
              </w:rPr>
            </w:pPr>
            <w:r>
              <w:rPr>
                <w:sz w:val="20"/>
              </w:rPr>
              <w:t>E67.2,</w:t>
            </w:r>
            <w:r>
              <w:rPr>
                <w:spacing w:val="-7"/>
                <w:sz w:val="20"/>
              </w:rPr>
              <w:t> </w:t>
            </w:r>
            <w:r>
              <w:rPr>
                <w:sz w:val="20"/>
              </w:rPr>
              <w:t>E67.3,</w:t>
            </w:r>
            <w:r>
              <w:rPr>
                <w:spacing w:val="-5"/>
                <w:sz w:val="20"/>
              </w:rPr>
              <w:t> </w:t>
            </w:r>
            <w:r>
              <w:rPr>
                <w:sz w:val="20"/>
              </w:rPr>
              <w:t>E67.8,</w:t>
            </w:r>
            <w:r>
              <w:rPr>
                <w:spacing w:val="-5"/>
                <w:sz w:val="20"/>
              </w:rPr>
              <w:t> </w:t>
            </w:r>
            <w:r>
              <w:rPr>
                <w:sz w:val="20"/>
              </w:rPr>
              <w:t>E68,</w:t>
            </w:r>
            <w:r>
              <w:rPr>
                <w:spacing w:val="-4"/>
                <w:sz w:val="20"/>
              </w:rPr>
              <w:t> </w:t>
            </w:r>
            <w:r>
              <w:rPr>
                <w:sz w:val="20"/>
              </w:rPr>
              <w:t>E70,</w:t>
            </w:r>
            <w:r>
              <w:rPr>
                <w:spacing w:val="-5"/>
                <w:sz w:val="20"/>
              </w:rPr>
              <w:t> </w:t>
            </w:r>
            <w:r>
              <w:rPr>
                <w:sz w:val="20"/>
              </w:rPr>
              <w:t>E70.0,</w:t>
            </w:r>
            <w:r>
              <w:rPr>
                <w:spacing w:val="-5"/>
                <w:sz w:val="20"/>
              </w:rPr>
              <w:t> </w:t>
            </w:r>
            <w:r>
              <w:rPr>
                <w:spacing w:val="-2"/>
                <w:sz w:val="20"/>
              </w:rPr>
              <w:t>E70.1,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5" w:lineRule="exact"/>
              <w:ind w:left="127" w:right="904"/>
              <w:jc w:val="center"/>
              <w:rPr>
                <w:sz w:val="20"/>
              </w:rPr>
            </w:pPr>
            <w:r>
              <w:rPr>
                <w:sz w:val="20"/>
              </w:rPr>
              <w:t>E70.2,</w:t>
            </w:r>
            <w:r>
              <w:rPr>
                <w:spacing w:val="-7"/>
                <w:sz w:val="20"/>
              </w:rPr>
              <w:t> </w:t>
            </w:r>
            <w:r>
              <w:rPr>
                <w:sz w:val="20"/>
              </w:rPr>
              <w:t>E70.3,</w:t>
            </w:r>
            <w:r>
              <w:rPr>
                <w:spacing w:val="-5"/>
                <w:sz w:val="20"/>
              </w:rPr>
              <w:t> </w:t>
            </w:r>
            <w:r>
              <w:rPr>
                <w:sz w:val="20"/>
              </w:rPr>
              <w:t>E70.8,</w:t>
            </w:r>
            <w:r>
              <w:rPr>
                <w:spacing w:val="-4"/>
                <w:sz w:val="20"/>
              </w:rPr>
              <w:t> </w:t>
            </w:r>
            <w:r>
              <w:rPr>
                <w:sz w:val="20"/>
              </w:rPr>
              <w:t>E70.9,</w:t>
            </w:r>
            <w:r>
              <w:rPr>
                <w:spacing w:val="-5"/>
                <w:sz w:val="20"/>
              </w:rPr>
              <w:t> </w:t>
            </w:r>
            <w:r>
              <w:rPr>
                <w:sz w:val="20"/>
              </w:rPr>
              <w:t>E71,</w:t>
            </w:r>
            <w:r>
              <w:rPr>
                <w:spacing w:val="-5"/>
                <w:sz w:val="20"/>
              </w:rPr>
              <w:t> </w:t>
            </w:r>
            <w:r>
              <w:rPr>
                <w:sz w:val="20"/>
              </w:rPr>
              <w:t>E71.0,</w:t>
            </w:r>
            <w:r>
              <w:rPr>
                <w:spacing w:val="-6"/>
                <w:sz w:val="20"/>
              </w:rPr>
              <w:t> </w:t>
            </w:r>
            <w:r>
              <w:rPr>
                <w:spacing w:val="-2"/>
                <w:sz w:val="20"/>
              </w:rPr>
              <w:t>E71.1,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47"/>
        <w:gridCol w:w="4416"/>
        <w:gridCol w:w="3737"/>
        <w:gridCol w:w="1635"/>
        <w:gridCol w:w="1337"/>
      </w:tblGrid>
      <w:tr>
        <w:trPr>
          <w:trHeight w:val="4185" w:hRule="atLeast"/>
        </w:trPr>
        <w:tc>
          <w:tcPr>
            <w:tcW w:w="978" w:type="dxa"/>
          </w:tcPr>
          <w:p>
            <w:pPr>
              <w:pStyle w:val="TableParagraph"/>
              <w:rPr>
                <w:sz w:val="18"/>
              </w:rPr>
            </w:pPr>
          </w:p>
        </w:tc>
        <w:tc>
          <w:tcPr>
            <w:tcW w:w="696" w:type="dxa"/>
          </w:tcPr>
          <w:p>
            <w:pPr>
              <w:pStyle w:val="TableParagraph"/>
              <w:rPr>
                <w:sz w:val="18"/>
              </w:rPr>
            </w:pPr>
          </w:p>
        </w:tc>
        <w:tc>
          <w:tcPr>
            <w:tcW w:w="2547" w:type="dxa"/>
          </w:tcPr>
          <w:p>
            <w:pPr>
              <w:pStyle w:val="TableParagraph"/>
              <w:rPr>
                <w:sz w:val="18"/>
              </w:rPr>
            </w:pPr>
          </w:p>
        </w:tc>
        <w:tc>
          <w:tcPr>
            <w:tcW w:w="4416" w:type="dxa"/>
          </w:tcPr>
          <w:p>
            <w:pPr>
              <w:pStyle w:val="TableParagraph"/>
              <w:spacing w:line="221" w:lineRule="exact"/>
              <w:ind w:left="270"/>
              <w:rPr>
                <w:sz w:val="20"/>
              </w:rPr>
            </w:pPr>
            <w:r>
              <w:rPr>
                <w:sz w:val="20"/>
              </w:rPr>
              <w:t>E71.2,</w:t>
            </w:r>
            <w:r>
              <w:rPr>
                <w:spacing w:val="-7"/>
                <w:sz w:val="20"/>
              </w:rPr>
              <w:t> </w:t>
            </w:r>
            <w:r>
              <w:rPr>
                <w:sz w:val="20"/>
              </w:rPr>
              <w:t>E71.3,</w:t>
            </w:r>
            <w:r>
              <w:rPr>
                <w:spacing w:val="-5"/>
                <w:sz w:val="20"/>
              </w:rPr>
              <w:t> </w:t>
            </w:r>
            <w:r>
              <w:rPr>
                <w:sz w:val="20"/>
              </w:rPr>
              <w:t>E72,</w:t>
            </w:r>
            <w:r>
              <w:rPr>
                <w:spacing w:val="-4"/>
                <w:sz w:val="20"/>
              </w:rPr>
              <w:t> </w:t>
            </w:r>
            <w:r>
              <w:rPr>
                <w:sz w:val="20"/>
              </w:rPr>
              <w:t>E72.0,</w:t>
            </w:r>
            <w:r>
              <w:rPr>
                <w:spacing w:val="-5"/>
                <w:sz w:val="20"/>
              </w:rPr>
              <w:t> </w:t>
            </w:r>
            <w:r>
              <w:rPr>
                <w:sz w:val="20"/>
              </w:rPr>
              <w:t>E72.1,</w:t>
            </w:r>
            <w:r>
              <w:rPr>
                <w:spacing w:val="-5"/>
                <w:sz w:val="20"/>
              </w:rPr>
              <w:t> </w:t>
            </w:r>
            <w:r>
              <w:rPr>
                <w:sz w:val="20"/>
              </w:rPr>
              <w:t>E72.2,</w:t>
            </w:r>
            <w:r>
              <w:rPr>
                <w:spacing w:val="-4"/>
                <w:sz w:val="20"/>
              </w:rPr>
              <w:t> </w:t>
            </w:r>
            <w:r>
              <w:rPr>
                <w:spacing w:val="-2"/>
                <w:sz w:val="20"/>
              </w:rPr>
              <w:t>E72.3,</w:t>
            </w:r>
          </w:p>
          <w:p>
            <w:pPr>
              <w:pStyle w:val="TableParagraph"/>
              <w:spacing w:line="229" w:lineRule="exact"/>
              <w:ind w:left="270"/>
              <w:rPr>
                <w:sz w:val="20"/>
              </w:rPr>
            </w:pPr>
            <w:r>
              <w:rPr>
                <w:sz w:val="20"/>
              </w:rPr>
              <w:t>E72.4,</w:t>
            </w:r>
            <w:r>
              <w:rPr>
                <w:spacing w:val="-7"/>
                <w:sz w:val="20"/>
              </w:rPr>
              <w:t> </w:t>
            </w:r>
            <w:r>
              <w:rPr>
                <w:sz w:val="20"/>
              </w:rPr>
              <w:t>E72.5,</w:t>
            </w:r>
            <w:r>
              <w:rPr>
                <w:spacing w:val="-5"/>
                <w:sz w:val="20"/>
              </w:rPr>
              <w:t> </w:t>
            </w:r>
            <w:r>
              <w:rPr>
                <w:sz w:val="20"/>
              </w:rPr>
              <w:t>E72.8,</w:t>
            </w:r>
            <w:r>
              <w:rPr>
                <w:spacing w:val="-4"/>
                <w:sz w:val="20"/>
              </w:rPr>
              <w:t> </w:t>
            </w:r>
            <w:r>
              <w:rPr>
                <w:sz w:val="20"/>
              </w:rPr>
              <w:t>E72.9,</w:t>
            </w:r>
            <w:r>
              <w:rPr>
                <w:spacing w:val="-5"/>
                <w:sz w:val="20"/>
              </w:rPr>
              <w:t> </w:t>
            </w:r>
            <w:r>
              <w:rPr>
                <w:sz w:val="20"/>
              </w:rPr>
              <w:t>E73,</w:t>
            </w:r>
            <w:r>
              <w:rPr>
                <w:spacing w:val="-5"/>
                <w:sz w:val="20"/>
              </w:rPr>
              <w:t> </w:t>
            </w:r>
            <w:r>
              <w:rPr>
                <w:sz w:val="20"/>
              </w:rPr>
              <w:t>E73.0,</w:t>
            </w:r>
            <w:r>
              <w:rPr>
                <w:spacing w:val="-6"/>
                <w:sz w:val="20"/>
              </w:rPr>
              <w:t> </w:t>
            </w:r>
            <w:r>
              <w:rPr>
                <w:spacing w:val="-2"/>
                <w:sz w:val="20"/>
              </w:rPr>
              <w:t>E73.1,</w:t>
            </w:r>
          </w:p>
          <w:p>
            <w:pPr>
              <w:pStyle w:val="TableParagraph"/>
              <w:spacing w:line="229" w:lineRule="exact"/>
              <w:ind w:left="270"/>
              <w:rPr>
                <w:sz w:val="20"/>
              </w:rPr>
            </w:pPr>
            <w:r>
              <w:rPr>
                <w:sz w:val="20"/>
              </w:rPr>
              <w:t>E73.8,</w:t>
            </w:r>
            <w:r>
              <w:rPr>
                <w:spacing w:val="-7"/>
                <w:sz w:val="20"/>
              </w:rPr>
              <w:t> </w:t>
            </w:r>
            <w:r>
              <w:rPr>
                <w:sz w:val="20"/>
              </w:rPr>
              <w:t>E73.9,</w:t>
            </w:r>
            <w:r>
              <w:rPr>
                <w:spacing w:val="-5"/>
                <w:sz w:val="20"/>
              </w:rPr>
              <w:t> </w:t>
            </w:r>
            <w:r>
              <w:rPr>
                <w:sz w:val="20"/>
              </w:rPr>
              <w:t>E74,</w:t>
            </w:r>
            <w:r>
              <w:rPr>
                <w:spacing w:val="-5"/>
                <w:sz w:val="20"/>
              </w:rPr>
              <w:t> </w:t>
            </w:r>
            <w:r>
              <w:rPr>
                <w:sz w:val="20"/>
              </w:rPr>
              <w:t>E74.0,</w:t>
            </w:r>
            <w:r>
              <w:rPr>
                <w:spacing w:val="-5"/>
                <w:sz w:val="20"/>
              </w:rPr>
              <w:t> </w:t>
            </w:r>
            <w:r>
              <w:rPr>
                <w:sz w:val="20"/>
              </w:rPr>
              <w:t>E74.1,</w:t>
            </w:r>
            <w:r>
              <w:rPr>
                <w:spacing w:val="-5"/>
                <w:sz w:val="20"/>
              </w:rPr>
              <w:t> </w:t>
            </w:r>
            <w:r>
              <w:rPr>
                <w:sz w:val="20"/>
              </w:rPr>
              <w:t>E74.2,</w:t>
            </w:r>
            <w:r>
              <w:rPr>
                <w:spacing w:val="-5"/>
                <w:sz w:val="20"/>
              </w:rPr>
              <w:t> </w:t>
            </w:r>
            <w:r>
              <w:rPr>
                <w:spacing w:val="-2"/>
                <w:sz w:val="20"/>
              </w:rPr>
              <w:t>E74.3,</w:t>
            </w:r>
          </w:p>
          <w:p>
            <w:pPr>
              <w:pStyle w:val="TableParagraph"/>
              <w:spacing w:before="1"/>
              <w:ind w:left="190" w:right="261"/>
              <w:jc w:val="center"/>
              <w:rPr>
                <w:sz w:val="20"/>
              </w:rPr>
            </w:pPr>
            <w:r>
              <w:rPr>
                <w:sz w:val="20"/>
              </w:rPr>
              <w:t>E74.4,</w:t>
            </w:r>
            <w:r>
              <w:rPr>
                <w:spacing w:val="-7"/>
                <w:sz w:val="20"/>
              </w:rPr>
              <w:t> </w:t>
            </w:r>
            <w:r>
              <w:rPr>
                <w:sz w:val="20"/>
              </w:rPr>
              <w:t>E74.8,</w:t>
            </w:r>
            <w:r>
              <w:rPr>
                <w:spacing w:val="-5"/>
                <w:sz w:val="20"/>
              </w:rPr>
              <w:t> </w:t>
            </w:r>
            <w:r>
              <w:rPr>
                <w:sz w:val="20"/>
              </w:rPr>
              <w:t>E74.9,</w:t>
            </w:r>
            <w:r>
              <w:rPr>
                <w:spacing w:val="-4"/>
                <w:sz w:val="20"/>
              </w:rPr>
              <w:t> </w:t>
            </w:r>
            <w:r>
              <w:rPr>
                <w:sz w:val="20"/>
              </w:rPr>
              <w:t>E75.0,</w:t>
            </w:r>
            <w:r>
              <w:rPr>
                <w:spacing w:val="-5"/>
                <w:sz w:val="20"/>
              </w:rPr>
              <w:t> </w:t>
            </w:r>
            <w:r>
              <w:rPr>
                <w:sz w:val="20"/>
              </w:rPr>
              <w:t>E75.1,</w:t>
            </w:r>
            <w:r>
              <w:rPr>
                <w:spacing w:val="-6"/>
                <w:sz w:val="20"/>
              </w:rPr>
              <w:t> </w:t>
            </w:r>
            <w:r>
              <w:rPr>
                <w:sz w:val="20"/>
              </w:rPr>
              <w:t>E75.5,</w:t>
            </w:r>
            <w:r>
              <w:rPr>
                <w:spacing w:val="-5"/>
                <w:sz w:val="20"/>
              </w:rPr>
              <w:t> </w:t>
            </w:r>
            <w:r>
              <w:rPr>
                <w:spacing w:val="-2"/>
                <w:sz w:val="20"/>
              </w:rPr>
              <w:t>E75.6,</w:t>
            </w:r>
          </w:p>
          <w:p>
            <w:pPr>
              <w:pStyle w:val="TableParagraph"/>
              <w:ind w:left="190" w:right="263"/>
              <w:jc w:val="center"/>
              <w:rPr>
                <w:sz w:val="20"/>
              </w:rPr>
            </w:pPr>
            <w:r>
              <w:rPr>
                <w:sz w:val="20"/>
              </w:rPr>
              <w:t>E76,</w:t>
            </w:r>
            <w:r>
              <w:rPr>
                <w:spacing w:val="-6"/>
                <w:sz w:val="20"/>
              </w:rPr>
              <w:t> </w:t>
            </w:r>
            <w:r>
              <w:rPr>
                <w:sz w:val="20"/>
              </w:rPr>
              <w:t>E76.0,</w:t>
            </w:r>
            <w:r>
              <w:rPr>
                <w:spacing w:val="-7"/>
                <w:sz w:val="20"/>
              </w:rPr>
              <w:t> </w:t>
            </w:r>
            <w:r>
              <w:rPr>
                <w:sz w:val="20"/>
              </w:rPr>
              <w:t>E76.1,</w:t>
            </w:r>
            <w:r>
              <w:rPr>
                <w:spacing w:val="-5"/>
                <w:sz w:val="20"/>
              </w:rPr>
              <w:t> </w:t>
            </w:r>
            <w:r>
              <w:rPr>
                <w:sz w:val="20"/>
              </w:rPr>
              <w:t>E76.2,</w:t>
            </w:r>
            <w:r>
              <w:rPr>
                <w:spacing w:val="-5"/>
                <w:sz w:val="20"/>
              </w:rPr>
              <w:t> </w:t>
            </w:r>
            <w:r>
              <w:rPr>
                <w:sz w:val="20"/>
              </w:rPr>
              <w:t>E76.3,</w:t>
            </w:r>
            <w:r>
              <w:rPr>
                <w:spacing w:val="-5"/>
                <w:sz w:val="20"/>
              </w:rPr>
              <w:t> </w:t>
            </w:r>
            <w:r>
              <w:rPr>
                <w:sz w:val="20"/>
              </w:rPr>
              <w:t>E76.8,</w:t>
            </w:r>
            <w:r>
              <w:rPr>
                <w:spacing w:val="-5"/>
                <w:sz w:val="20"/>
              </w:rPr>
              <w:t> </w:t>
            </w:r>
            <w:r>
              <w:rPr>
                <w:spacing w:val="-2"/>
                <w:sz w:val="20"/>
              </w:rPr>
              <w:t>E76.9,</w:t>
            </w:r>
          </w:p>
          <w:p>
            <w:pPr>
              <w:pStyle w:val="TableParagraph"/>
              <w:ind w:left="190" w:right="260"/>
              <w:jc w:val="center"/>
              <w:rPr>
                <w:sz w:val="20"/>
              </w:rPr>
            </w:pPr>
            <w:r>
              <w:rPr>
                <w:sz w:val="20"/>
              </w:rPr>
              <w:t>E77,</w:t>
            </w:r>
            <w:r>
              <w:rPr>
                <w:spacing w:val="-4"/>
                <w:sz w:val="20"/>
              </w:rPr>
              <w:t> </w:t>
            </w:r>
            <w:r>
              <w:rPr>
                <w:sz w:val="20"/>
              </w:rPr>
              <w:t>E77.0,</w:t>
            </w:r>
            <w:r>
              <w:rPr>
                <w:spacing w:val="-6"/>
                <w:sz w:val="20"/>
              </w:rPr>
              <w:t> </w:t>
            </w:r>
            <w:r>
              <w:rPr>
                <w:sz w:val="20"/>
              </w:rPr>
              <w:t>E77.1,</w:t>
            </w:r>
            <w:r>
              <w:rPr>
                <w:spacing w:val="-4"/>
                <w:sz w:val="20"/>
              </w:rPr>
              <w:t> </w:t>
            </w:r>
            <w:r>
              <w:rPr>
                <w:sz w:val="20"/>
              </w:rPr>
              <w:t>E77.8,</w:t>
            </w:r>
            <w:r>
              <w:rPr>
                <w:spacing w:val="-3"/>
                <w:sz w:val="20"/>
              </w:rPr>
              <w:t> </w:t>
            </w:r>
            <w:r>
              <w:rPr>
                <w:sz w:val="20"/>
              </w:rPr>
              <w:t>E77.9,</w:t>
            </w:r>
            <w:r>
              <w:rPr>
                <w:spacing w:val="-4"/>
                <w:sz w:val="20"/>
              </w:rPr>
              <w:t> </w:t>
            </w:r>
            <w:r>
              <w:rPr>
                <w:sz w:val="20"/>
              </w:rPr>
              <w:t>E78,</w:t>
            </w:r>
            <w:r>
              <w:rPr>
                <w:spacing w:val="-4"/>
                <w:sz w:val="20"/>
              </w:rPr>
              <w:t> </w:t>
            </w:r>
            <w:r>
              <w:rPr>
                <w:spacing w:val="-2"/>
                <w:sz w:val="20"/>
              </w:rPr>
              <w:t>E78.0,</w:t>
            </w:r>
          </w:p>
          <w:p>
            <w:pPr>
              <w:pStyle w:val="TableParagraph"/>
              <w:spacing w:before="1"/>
              <w:ind w:left="190" w:right="261"/>
              <w:jc w:val="center"/>
              <w:rPr>
                <w:sz w:val="20"/>
              </w:rPr>
            </w:pPr>
            <w:r>
              <w:rPr>
                <w:sz w:val="20"/>
              </w:rPr>
              <w:t>E78.1,</w:t>
            </w:r>
            <w:r>
              <w:rPr>
                <w:spacing w:val="-7"/>
                <w:sz w:val="20"/>
              </w:rPr>
              <w:t> </w:t>
            </w:r>
            <w:r>
              <w:rPr>
                <w:sz w:val="20"/>
              </w:rPr>
              <w:t>E78.2,</w:t>
            </w:r>
            <w:r>
              <w:rPr>
                <w:spacing w:val="-5"/>
                <w:sz w:val="20"/>
              </w:rPr>
              <w:t> </w:t>
            </w:r>
            <w:r>
              <w:rPr>
                <w:sz w:val="20"/>
              </w:rPr>
              <w:t>E78.3,</w:t>
            </w:r>
            <w:r>
              <w:rPr>
                <w:spacing w:val="-4"/>
                <w:sz w:val="20"/>
              </w:rPr>
              <w:t> </w:t>
            </w:r>
            <w:r>
              <w:rPr>
                <w:sz w:val="20"/>
              </w:rPr>
              <w:t>E78.4,</w:t>
            </w:r>
            <w:r>
              <w:rPr>
                <w:spacing w:val="-5"/>
                <w:sz w:val="20"/>
              </w:rPr>
              <w:t> </w:t>
            </w:r>
            <w:r>
              <w:rPr>
                <w:sz w:val="20"/>
              </w:rPr>
              <w:t>E78.5,</w:t>
            </w:r>
            <w:r>
              <w:rPr>
                <w:spacing w:val="-6"/>
                <w:sz w:val="20"/>
              </w:rPr>
              <w:t> </w:t>
            </w:r>
            <w:r>
              <w:rPr>
                <w:sz w:val="20"/>
              </w:rPr>
              <w:t>E78.6,</w:t>
            </w:r>
            <w:r>
              <w:rPr>
                <w:spacing w:val="-5"/>
                <w:sz w:val="20"/>
              </w:rPr>
              <w:t> </w:t>
            </w:r>
            <w:r>
              <w:rPr>
                <w:spacing w:val="-2"/>
                <w:sz w:val="20"/>
              </w:rPr>
              <w:t>E78.8,</w:t>
            </w:r>
          </w:p>
          <w:p>
            <w:pPr>
              <w:pStyle w:val="TableParagraph"/>
              <w:spacing w:line="229" w:lineRule="exact" w:before="1"/>
              <w:ind w:left="189" w:right="264"/>
              <w:jc w:val="center"/>
              <w:rPr>
                <w:sz w:val="20"/>
              </w:rPr>
            </w:pPr>
            <w:r>
              <w:rPr>
                <w:sz w:val="20"/>
              </w:rPr>
              <w:t>E78.9,</w:t>
            </w:r>
            <w:r>
              <w:rPr>
                <w:spacing w:val="-7"/>
                <w:sz w:val="20"/>
              </w:rPr>
              <w:t> </w:t>
            </w:r>
            <w:r>
              <w:rPr>
                <w:sz w:val="20"/>
              </w:rPr>
              <w:t>E79,</w:t>
            </w:r>
            <w:r>
              <w:rPr>
                <w:spacing w:val="-7"/>
                <w:sz w:val="20"/>
              </w:rPr>
              <w:t> </w:t>
            </w:r>
            <w:r>
              <w:rPr>
                <w:sz w:val="20"/>
              </w:rPr>
              <w:t>E79.0,</w:t>
            </w:r>
            <w:r>
              <w:rPr>
                <w:spacing w:val="-5"/>
                <w:sz w:val="20"/>
              </w:rPr>
              <w:t> </w:t>
            </w:r>
            <w:r>
              <w:rPr>
                <w:sz w:val="20"/>
              </w:rPr>
              <w:t>E79.1,</w:t>
            </w:r>
            <w:r>
              <w:rPr>
                <w:spacing w:val="-5"/>
                <w:sz w:val="20"/>
              </w:rPr>
              <w:t> </w:t>
            </w:r>
            <w:r>
              <w:rPr>
                <w:sz w:val="20"/>
              </w:rPr>
              <w:t>E79.8,</w:t>
            </w:r>
            <w:r>
              <w:rPr>
                <w:spacing w:val="-4"/>
                <w:sz w:val="20"/>
              </w:rPr>
              <w:t> </w:t>
            </w:r>
            <w:r>
              <w:rPr>
                <w:sz w:val="20"/>
              </w:rPr>
              <w:t>E79.9,</w:t>
            </w:r>
            <w:r>
              <w:rPr>
                <w:spacing w:val="-5"/>
                <w:sz w:val="20"/>
              </w:rPr>
              <w:t> </w:t>
            </w:r>
            <w:r>
              <w:rPr>
                <w:spacing w:val="-4"/>
                <w:sz w:val="20"/>
              </w:rPr>
              <w:t>E80,</w:t>
            </w:r>
          </w:p>
          <w:p>
            <w:pPr>
              <w:pStyle w:val="TableParagraph"/>
              <w:spacing w:line="229" w:lineRule="exact"/>
              <w:ind w:left="190" w:right="261"/>
              <w:jc w:val="center"/>
              <w:rPr>
                <w:sz w:val="20"/>
              </w:rPr>
            </w:pPr>
            <w:r>
              <w:rPr>
                <w:sz w:val="20"/>
              </w:rPr>
              <w:t>E80.0,</w:t>
            </w:r>
            <w:r>
              <w:rPr>
                <w:spacing w:val="-7"/>
                <w:sz w:val="20"/>
              </w:rPr>
              <w:t> </w:t>
            </w:r>
            <w:r>
              <w:rPr>
                <w:sz w:val="20"/>
              </w:rPr>
              <w:t>E80.1,</w:t>
            </w:r>
            <w:r>
              <w:rPr>
                <w:spacing w:val="-5"/>
                <w:sz w:val="20"/>
              </w:rPr>
              <w:t> </w:t>
            </w:r>
            <w:r>
              <w:rPr>
                <w:sz w:val="20"/>
              </w:rPr>
              <w:t>E80.2,</w:t>
            </w:r>
            <w:r>
              <w:rPr>
                <w:spacing w:val="-4"/>
                <w:sz w:val="20"/>
              </w:rPr>
              <w:t> </w:t>
            </w:r>
            <w:r>
              <w:rPr>
                <w:sz w:val="20"/>
              </w:rPr>
              <w:t>E80.3,</w:t>
            </w:r>
            <w:r>
              <w:rPr>
                <w:spacing w:val="-5"/>
                <w:sz w:val="20"/>
              </w:rPr>
              <w:t> </w:t>
            </w:r>
            <w:r>
              <w:rPr>
                <w:sz w:val="20"/>
              </w:rPr>
              <w:t>E80.4,</w:t>
            </w:r>
            <w:r>
              <w:rPr>
                <w:spacing w:val="-6"/>
                <w:sz w:val="20"/>
              </w:rPr>
              <w:t> </w:t>
            </w:r>
            <w:r>
              <w:rPr>
                <w:sz w:val="20"/>
              </w:rPr>
              <w:t>E80.5,</w:t>
            </w:r>
            <w:r>
              <w:rPr>
                <w:spacing w:val="-5"/>
                <w:sz w:val="20"/>
              </w:rPr>
              <w:t> </w:t>
            </w:r>
            <w:r>
              <w:rPr>
                <w:spacing w:val="-2"/>
                <w:sz w:val="20"/>
              </w:rPr>
              <w:t>E80.6,</w:t>
            </w:r>
          </w:p>
          <w:p>
            <w:pPr>
              <w:pStyle w:val="TableParagraph"/>
              <w:ind w:left="270"/>
              <w:rPr>
                <w:sz w:val="20"/>
              </w:rPr>
            </w:pPr>
            <w:r>
              <w:rPr>
                <w:sz w:val="20"/>
              </w:rPr>
              <w:t>E80.7,</w:t>
            </w:r>
            <w:r>
              <w:rPr>
                <w:spacing w:val="-7"/>
                <w:sz w:val="20"/>
              </w:rPr>
              <w:t> </w:t>
            </w:r>
            <w:r>
              <w:rPr>
                <w:sz w:val="20"/>
              </w:rPr>
              <w:t>E83,</w:t>
            </w:r>
            <w:r>
              <w:rPr>
                <w:spacing w:val="-7"/>
                <w:sz w:val="20"/>
              </w:rPr>
              <w:t> </w:t>
            </w:r>
            <w:r>
              <w:rPr>
                <w:sz w:val="20"/>
              </w:rPr>
              <w:t>E83.0,</w:t>
            </w:r>
            <w:r>
              <w:rPr>
                <w:spacing w:val="-5"/>
                <w:sz w:val="20"/>
              </w:rPr>
              <w:t> </w:t>
            </w:r>
            <w:r>
              <w:rPr>
                <w:sz w:val="20"/>
              </w:rPr>
              <w:t>E83.1,</w:t>
            </w:r>
            <w:r>
              <w:rPr>
                <w:spacing w:val="-5"/>
                <w:sz w:val="20"/>
              </w:rPr>
              <w:t> </w:t>
            </w:r>
            <w:r>
              <w:rPr>
                <w:sz w:val="20"/>
              </w:rPr>
              <w:t>E83.2,</w:t>
            </w:r>
            <w:r>
              <w:rPr>
                <w:spacing w:val="-4"/>
                <w:sz w:val="20"/>
              </w:rPr>
              <w:t> </w:t>
            </w:r>
            <w:r>
              <w:rPr>
                <w:sz w:val="20"/>
              </w:rPr>
              <w:t>E83.3,</w:t>
            </w:r>
            <w:r>
              <w:rPr>
                <w:spacing w:val="-5"/>
                <w:sz w:val="20"/>
              </w:rPr>
              <w:t> </w:t>
            </w:r>
            <w:r>
              <w:rPr>
                <w:spacing w:val="-2"/>
                <w:sz w:val="20"/>
              </w:rPr>
              <w:t>E83.4,</w:t>
            </w:r>
          </w:p>
          <w:p>
            <w:pPr>
              <w:pStyle w:val="TableParagraph"/>
              <w:spacing w:before="1"/>
              <w:ind w:left="270"/>
              <w:rPr>
                <w:sz w:val="20"/>
              </w:rPr>
            </w:pPr>
            <w:r>
              <w:rPr>
                <w:sz w:val="20"/>
              </w:rPr>
              <w:t>E83.5,</w:t>
            </w:r>
            <w:r>
              <w:rPr>
                <w:spacing w:val="-7"/>
                <w:sz w:val="20"/>
              </w:rPr>
              <w:t> </w:t>
            </w:r>
            <w:r>
              <w:rPr>
                <w:sz w:val="20"/>
              </w:rPr>
              <w:t>E83.8,</w:t>
            </w:r>
            <w:r>
              <w:rPr>
                <w:spacing w:val="-6"/>
                <w:sz w:val="20"/>
              </w:rPr>
              <w:t> </w:t>
            </w:r>
            <w:r>
              <w:rPr>
                <w:sz w:val="20"/>
              </w:rPr>
              <w:t>E83.9,</w:t>
            </w:r>
            <w:r>
              <w:rPr>
                <w:spacing w:val="-5"/>
                <w:sz w:val="20"/>
              </w:rPr>
              <w:t> </w:t>
            </w:r>
            <w:r>
              <w:rPr>
                <w:sz w:val="20"/>
              </w:rPr>
              <w:t>E85,</w:t>
            </w:r>
            <w:r>
              <w:rPr>
                <w:spacing w:val="-5"/>
                <w:sz w:val="20"/>
              </w:rPr>
              <w:t> </w:t>
            </w:r>
            <w:r>
              <w:rPr>
                <w:sz w:val="20"/>
              </w:rPr>
              <w:t>E85.0,</w:t>
            </w:r>
            <w:r>
              <w:rPr>
                <w:spacing w:val="-5"/>
                <w:sz w:val="20"/>
              </w:rPr>
              <w:t> </w:t>
            </w:r>
            <w:r>
              <w:rPr>
                <w:sz w:val="20"/>
              </w:rPr>
              <w:t>E85.1,</w:t>
            </w:r>
            <w:r>
              <w:rPr>
                <w:spacing w:val="-5"/>
                <w:sz w:val="20"/>
              </w:rPr>
              <w:t> </w:t>
            </w:r>
            <w:r>
              <w:rPr>
                <w:spacing w:val="-2"/>
                <w:sz w:val="20"/>
              </w:rPr>
              <w:t>E85.2,</w:t>
            </w:r>
          </w:p>
          <w:p>
            <w:pPr>
              <w:pStyle w:val="TableParagraph"/>
              <w:ind w:left="344"/>
              <w:rPr>
                <w:sz w:val="20"/>
              </w:rPr>
            </w:pPr>
            <w:r>
              <w:rPr>
                <w:sz w:val="20"/>
              </w:rPr>
              <w:t>E85.3,</w:t>
            </w:r>
            <w:r>
              <w:rPr>
                <w:spacing w:val="-7"/>
                <w:sz w:val="20"/>
              </w:rPr>
              <w:t> </w:t>
            </w:r>
            <w:r>
              <w:rPr>
                <w:sz w:val="20"/>
              </w:rPr>
              <w:t>E85.4,</w:t>
            </w:r>
            <w:r>
              <w:rPr>
                <w:spacing w:val="-4"/>
                <w:sz w:val="20"/>
              </w:rPr>
              <w:t> </w:t>
            </w:r>
            <w:r>
              <w:rPr>
                <w:sz w:val="20"/>
              </w:rPr>
              <w:t>E85.8,</w:t>
            </w:r>
            <w:r>
              <w:rPr>
                <w:spacing w:val="-5"/>
                <w:sz w:val="20"/>
              </w:rPr>
              <w:t> </w:t>
            </w:r>
            <w:r>
              <w:rPr>
                <w:sz w:val="20"/>
              </w:rPr>
              <w:t>E85.9,</w:t>
            </w:r>
            <w:r>
              <w:rPr>
                <w:spacing w:val="-5"/>
                <w:sz w:val="20"/>
              </w:rPr>
              <w:t> </w:t>
            </w:r>
            <w:r>
              <w:rPr>
                <w:sz w:val="20"/>
              </w:rPr>
              <w:t>E86,</w:t>
            </w:r>
            <w:r>
              <w:rPr>
                <w:spacing w:val="-4"/>
                <w:sz w:val="20"/>
              </w:rPr>
              <w:t> </w:t>
            </w:r>
            <w:r>
              <w:rPr>
                <w:sz w:val="20"/>
              </w:rPr>
              <w:t>E87,</w:t>
            </w:r>
            <w:r>
              <w:rPr>
                <w:spacing w:val="-5"/>
                <w:sz w:val="20"/>
              </w:rPr>
              <w:t> </w:t>
            </w:r>
            <w:r>
              <w:rPr>
                <w:spacing w:val="-2"/>
                <w:sz w:val="20"/>
              </w:rPr>
              <w:t>E87.0,</w:t>
            </w:r>
          </w:p>
          <w:p>
            <w:pPr>
              <w:pStyle w:val="TableParagraph"/>
              <w:ind w:left="195"/>
              <w:rPr>
                <w:sz w:val="20"/>
              </w:rPr>
            </w:pPr>
            <w:r>
              <w:rPr>
                <w:sz w:val="20"/>
              </w:rPr>
              <w:t>E87.1,</w:t>
            </w:r>
            <w:r>
              <w:rPr>
                <w:spacing w:val="-7"/>
                <w:sz w:val="20"/>
              </w:rPr>
              <w:t> </w:t>
            </w:r>
            <w:r>
              <w:rPr>
                <w:sz w:val="20"/>
              </w:rPr>
              <w:t>E87.2,</w:t>
            </w:r>
            <w:r>
              <w:rPr>
                <w:spacing w:val="-5"/>
                <w:sz w:val="20"/>
              </w:rPr>
              <w:t> </w:t>
            </w:r>
            <w:r>
              <w:rPr>
                <w:sz w:val="20"/>
              </w:rPr>
              <w:t>E87.3,</w:t>
            </w:r>
            <w:r>
              <w:rPr>
                <w:spacing w:val="-4"/>
                <w:sz w:val="20"/>
              </w:rPr>
              <w:t> </w:t>
            </w:r>
            <w:r>
              <w:rPr>
                <w:sz w:val="20"/>
              </w:rPr>
              <w:t>E87.4,</w:t>
            </w:r>
            <w:r>
              <w:rPr>
                <w:spacing w:val="-5"/>
                <w:sz w:val="20"/>
              </w:rPr>
              <w:t> </w:t>
            </w:r>
            <w:r>
              <w:rPr>
                <w:sz w:val="20"/>
              </w:rPr>
              <w:t>E87.5,</w:t>
            </w:r>
            <w:r>
              <w:rPr>
                <w:spacing w:val="-6"/>
                <w:sz w:val="20"/>
              </w:rPr>
              <w:t> </w:t>
            </w:r>
            <w:r>
              <w:rPr>
                <w:sz w:val="20"/>
              </w:rPr>
              <w:t>E87.6,</w:t>
            </w:r>
            <w:r>
              <w:rPr>
                <w:spacing w:val="-5"/>
                <w:sz w:val="20"/>
              </w:rPr>
              <w:t> </w:t>
            </w:r>
            <w:r>
              <w:rPr>
                <w:spacing w:val="-2"/>
                <w:sz w:val="20"/>
              </w:rPr>
              <w:t>E87.7,</w:t>
            </w:r>
          </w:p>
          <w:p>
            <w:pPr>
              <w:pStyle w:val="TableParagraph"/>
              <w:spacing w:line="229" w:lineRule="exact" w:before="1"/>
              <w:ind w:left="195"/>
              <w:rPr>
                <w:sz w:val="20"/>
              </w:rPr>
            </w:pPr>
            <w:r>
              <w:rPr>
                <w:sz w:val="20"/>
              </w:rPr>
              <w:t>E87.8,</w:t>
            </w:r>
            <w:r>
              <w:rPr>
                <w:spacing w:val="-7"/>
                <w:sz w:val="20"/>
              </w:rPr>
              <w:t> </w:t>
            </w:r>
            <w:r>
              <w:rPr>
                <w:sz w:val="20"/>
              </w:rPr>
              <w:t>E88.1,</w:t>
            </w:r>
            <w:r>
              <w:rPr>
                <w:spacing w:val="-5"/>
                <w:sz w:val="20"/>
              </w:rPr>
              <w:t> </w:t>
            </w:r>
            <w:r>
              <w:rPr>
                <w:sz w:val="20"/>
              </w:rPr>
              <w:t>E88.2,</w:t>
            </w:r>
            <w:r>
              <w:rPr>
                <w:spacing w:val="-4"/>
                <w:sz w:val="20"/>
              </w:rPr>
              <w:t> </w:t>
            </w:r>
            <w:r>
              <w:rPr>
                <w:sz w:val="20"/>
              </w:rPr>
              <w:t>E88.8,</w:t>
            </w:r>
            <w:r>
              <w:rPr>
                <w:spacing w:val="-5"/>
                <w:sz w:val="20"/>
              </w:rPr>
              <w:t> </w:t>
            </w:r>
            <w:r>
              <w:rPr>
                <w:sz w:val="20"/>
              </w:rPr>
              <w:t>E88.9,</w:t>
            </w:r>
            <w:r>
              <w:rPr>
                <w:spacing w:val="-6"/>
                <w:sz w:val="20"/>
              </w:rPr>
              <w:t> </w:t>
            </w:r>
            <w:r>
              <w:rPr>
                <w:sz w:val="20"/>
              </w:rPr>
              <w:t>E89.0,</w:t>
            </w:r>
            <w:r>
              <w:rPr>
                <w:spacing w:val="-5"/>
                <w:sz w:val="20"/>
              </w:rPr>
              <w:t> </w:t>
            </w:r>
            <w:r>
              <w:rPr>
                <w:spacing w:val="-2"/>
                <w:sz w:val="20"/>
              </w:rPr>
              <w:t>E89.1,</w:t>
            </w:r>
          </w:p>
          <w:p>
            <w:pPr>
              <w:pStyle w:val="TableParagraph"/>
              <w:spacing w:line="229" w:lineRule="exact"/>
              <w:ind w:left="270"/>
              <w:rPr>
                <w:sz w:val="20"/>
              </w:rPr>
            </w:pPr>
            <w:r>
              <w:rPr>
                <w:sz w:val="20"/>
              </w:rPr>
              <w:t>E89.2,</w:t>
            </w:r>
            <w:r>
              <w:rPr>
                <w:spacing w:val="-7"/>
                <w:sz w:val="20"/>
              </w:rPr>
              <w:t> </w:t>
            </w:r>
            <w:r>
              <w:rPr>
                <w:sz w:val="20"/>
              </w:rPr>
              <w:t>E89.3,</w:t>
            </w:r>
            <w:r>
              <w:rPr>
                <w:spacing w:val="-5"/>
                <w:sz w:val="20"/>
              </w:rPr>
              <w:t> </w:t>
            </w:r>
            <w:r>
              <w:rPr>
                <w:sz w:val="20"/>
              </w:rPr>
              <w:t>E89.5,</w:t>
            </w:r>
            <w:r>
              <w:rPr>
                <w:spacing w:val="-4"/>
                <w:sz w:val="20"/>
              </w:rPr>
              <w:t> </w:t>
            </w:r>
            <w:r>
              <w:rPr>
                <w:sz w:val="20"/>
              </w:rPr>
              <w:t>E89.6,</w:t>
            </w:r>
            <w:r>
              <w:rPr>
                <w:spacing w:val="-5"/>
                <w:sz w:val="20"/>
              </w:rPr>
              <w:t> </w:t>
            </w:r>
            <w:r>
              <w:rPr>
                <w:sz w:val="20"/>
              </w:rPr>
              <w:t>E89.8,</w:t>
            </w:r>
            <w:r>
              <w:rPr>
                <w:spacing w:val="-6"/>
                <w:sz w:val="20"/>
              </w:rPr>
              <w:t> </w:t>
            </w:r>
            <w:r>
              <w:rPr>
                <w:sz w:val="20"/>
              </w:rPr>
              <w:t>E89.9,</w:t>
            </w:r>
            <w:r>
              <w:rPr>
                <w:spacing w:val="-5"/>
                <w:sz w:val="20"/>
              </w:rPr>
              <w:t> </w:t>
            </w:r>
            <w:r>
              <w:rPr>
                <w:spacing w:val="-4"/>
                <w:sz w:val="20"/>
              </w:rPr>
              <w:t>E90,</w:t>
            </w:r>
          </w:p>
          <w:p>
            <w:pPr>
              <w:pStyle w:val="TableParagraph"/>
              <w:ind w:left="198"/>
              <w:rPr>
                <w:sz w:val="20"/>
              </w:rPr>
            </w:pPr>
            <w:r>
              <w:rPr>
                <w:sz w:val="20"/>
              </w:rPr>
              <w:t>M82.1,</w:t>
            </w:r>
            <w:r>
              <w:rPr>
                <w:spacing w:val="-6"/>
                <w:sz w:val="20"/>
              </w:rPr>
              <w:t> </w:t>
            </w:r>
            <w:r>
              <w:rPr>
                <w:sz w:val="20"/>
              </w:rPr>
              <w:t>Q89.1,</w:t>
            </w:r>
            <w:r>
              <w:rPr>
                <w:spacing w:val="-5"/>
                <w:sz w:val="20"/>
              </w:rPr>
              <w:t> </w:t>
            </w:r>
            <w:r>
              <w:rPr>
                <w:sz w:val="20"/>
              </w:rPr>
              <w:t>Q89.2,</w:t>
            </w:r>
            <w:r>
              <w:rPr>
                <w:spacing w:val="-5"/>
                <w:sz w:val="20"/>
              </w:rPr>
              <w:t> </w:t>
            </w:r>
            <w:r>
              <w:rPr>
                <w:sz w:val="20"/>
              </w:rPr>
              <w:t>R62,</w:t>
            </w:r>
            <w:r>
              <w:rPr>
                <w:spacing w:val="-5"/>
                <w:sz w:val="20"/>
              </w:rPr>
              <w:t> </w:t>
            </w:r>
            <w:r>
              <w:rPr>
                <w:sz w:val="20"/>
              </w:rPr>
              <w:t>R62.0,</w:t>
            </w:r>
            <w:r>
              <w:rPr>
                <w:spacing w:val="-5"/>
                <w:sz w:val="20"/>
              </w:rPr>
              <w:t> </w:t>
            </w:r>
            <w:r>
              <w:rPr>
                <w:sz w:val="20"/>
              </w:rPr>
              <w:t>R62.8,</w:t>
            </w:r>
            <w:r>
              <w:rPr>
                <w:spacing w:val="-6"/>
                <w:sz w:val="20"/>
              </w:rPr>
              <w:t> </w:t>
            </w:r>
            <w:r>
              <w:rPr>
                <w:spacing w:val="-2"/>
                <w:sz w:val="20"/>
              </w:rPr>
              <w:t>R62.9,</w:t>
            </w:r>
          </w:p>
          <w:p>
            <w:pPr>
              <w:pStyle w:val="TableParagraph"/>
              <w:spacing w:before="1"/>
              <w:ind w:left="1347" w:hanging="1116"/>
              <w:rPr>
                <w:sz w:val="20"/>
              </w:rPr>
            </w:pPr>
            <w:r>
              <w:rPr>
                <w:sz w:val="20"/>
              </w:rPr>
              <w:t>R63,</w:t>
            </w:r>
            <w:r>
              <w:rPr>
                <w:spacing w:val="-7"/>
                <w:sz w:val="20"/>
              </w:rPr>
              <w:t> </w:t>
            </w:r>
            <w:r>
              <w:rPr>
                <w:sz w:val="20"/>
              </w:rPr>
              <w:t>R63.0,</w:t>
            </w:r>
            <w:r>
              <w:rPr>
                <w:spacing w:val="-7"/>
                <w:sz w:val="20"/>
              </w:rPr>
              <w:t> </w:t>
            </w:r>
            <w:r>
              <w:rPr>
                <w:sz w:val="20"/>
              </w:rPr>
              <w:t>R63.1,</w:t>
            </w:r>
            <w:r>
              <w:rPr>
                <w:spacing w:val="-7"/>
                <w:sz w:val="20"/>
              </w:rPr>
              <w:t> </w:t>
            </w:r>
            <w:r>
              <w:rPr>
                <w:sz w:val="20"/>
              </w:rPr>
              <w:t>R63.2,</w:t>
            </w:r>
            <w:r>
              <w:rPr>
                <w:spacing w:val="-7"/>
                <w:sz w:val="20"/>
              </w:rPr>
              <w:t> </w:t>
            </w:r>
            <w:r>
              <w:rPr>
                <w:sz w:val="20"/>
              </w:rPr>
              <w:t>R63.3,</w:t>
            </w:r>
            <w:r>
              <w:rPr>
                <w:spacing w:val="-7"/>
                <w:sz w:val="20"/>
              </w:rPr>
              <w:t> </w:t>
            </w:r>
            <w:r>
              <w:rPr>
                <w:sz w:val="20"/>
              </w:rPr>
              <w:t>R63.4,</w:t>
            </w:r>
            <w:r>
              <w:rPr>
                <w:spacing w:val="-7"/>
                <w:sz w:val="20"/>
              </w:rPr>
              <w:t> </w:t>
            </w:r>
            <w:r>
              <w:rPr>
                <w:sz w:val="20"/>
              </w:rPr>
              <w:t>R63.5, R63.8, R94.6, R94.7</w:t>
            </w:r>
          </w:p>
        </w:tc>
        <w:tc>
          <w:tcPr>
            <w:tcW w:w="3737" w:type="dxa"/>
          </w:tcPr>
          <w:p>
            <w:pPr>
              <w:pStyle w:val="TableParagraph"/>
              <w:rPr>
                <w:sz w:val="18"/>
              </w:rPr>
            </w:pPr>
          </w:p>
        </w:tc>
        <w:tc>
          <w:tcPr>
            <w:tcW w:w="1635" w:type="dxa"/>
          </w:tcPr>
          <w:p>
            <w:pPr>
              <w:pStyle w:val="TableParagraph"/>
              <w:rPr>
                <w:sz w:val="18"/>
              </w:rPr>
            </w:pPr>
          </w:p>
        </w:tc>
        <w:tc>
          <w:tcPr>
            <w:tcW w:w="1337" w:type="dxa"/>
          </w:tcPr>
          <w:p>
            <w:pPr>
              <w:pStyle w:val="TableParagraph"/>
              <w:rPr>
                <w:sz w:val="18"/>
              </w:rPr>
            </w:pPr>
          </w:p>
        </w:tc>
      </w:tr>
      <w:tr>
        <w:trPr>
          <w:trHeight w:val="330" w:hRule="atLeast"/>
        </w:trPr>
        <w:tc>
          <w:tcPr>
            <w:tcW w:w="978" w:type="dxa"/>
          </w:tcPr>
          <w:p>
            <w:pPr>
              <w:pStyle w:val="TableParagraph"/>
              <w:spacing w:before="45"/>
              <w:ind w:left="38" w:right="186"/>
              <w:jc w:val="center"/>
              <w:rPr>
                <w:sz w:val="20"/>
              </w:rPr>
            </w:pPr>
            <w:r>
              <w:rPr>
                <w:spacing w:val="-2"/>
                <w:sz w:val="20"/>
              </w:rPr>
              <w:t>ds35.003</w:t>
            </w:r>
          </w:p>
        </w:tc>
        <w:tc>
          <w:tcPr>
            <w:tcW w:w="696" w:type="dxa"/>
          </w:tcPr>
          <w:p>
            <w:pPr>
              <w:pStyle w:val="TableParagraph"/>
              <w:spacing w:before="45"/>
              <w:ind w:left="200"/>
              <w:rPr>
                <w:sz w:val="20"/>
              </w:rPr>
            </w:pPr>
            <w:r>
              <w:rPr>
                <w:spacing w:val="-5"/>
                <w:sz w:val="20"/>
              </w:rPr>
              <w:t>155</w:t>
            </w:r>
          </w:p>
        </w:tc>
        <w:tc>
          <w:tcPr>
            <w:tcW w:w="2547" w:type="dxa"/>
          </w:tcPr>
          <w:p>
            <w:pPr>
              <w:pStyle w:val="TableParagraph"/>
              <w:spacing w:before="45"/>
              <w:ind w:left="193"/>
              <w:rPr>
                <w:sz w:val="20"/>
              </w:rPr>
            </w:pPr>
            <w:r>
              <w:rPr>
                <w:sz w:val="20"/>
              </w:rPr>
              <w:t>Кистозный</w:t>
            </w:r>
            <w:r>
              <w:rPr>
                <w:spacing w:val="-12"/>
                <w:sz w:val="20"/>
              </w:rPr>
              <w:t> </w:t>
            </w:r>
            <w:r>
              <w:rPr>
                <w:spacing w:val="-2"/>
                <w:sz w:val="20"/>
              </w:rPr>
              <w:t>фиброз</w:t>
            </w:r>
          </w:p>
        </w:tc>
        <w:tc>
          <w:tcPr>
            <w:tcW w:w="4416" w:type="dxa"/>
          </w:tcPr>
          <w:p>
            <w:pPr>
              <w:pStyle w:val="TableParagraph"/>
              <w:spacing w:before="45"/>
              <w:ind w:left="867"/>
              <w:rPr>
                <w:sz w:val="20"/>
              </w:rPr>
            </w:pPr>
            <w:r>
              <w:rPr>
                <w:sz w:val="20"/>
              </w:rPr>
              <w:t>E84,</w:t>
            </w:r>
            <w:r>
              <w:rPr>
                <w:spacing w:val="-5"/>
                <w:sz w:val="20"/>
              </w:rPr>
              <w:t> </w:t>
            </w:r>
            <w:r>
              <w:rPr>
                <w:sz w:val="20"/>
              </w:rPr>
              <w:t>E84.0,</w:t>
            </w:r>
            <w:r>
              <w:rPr>
                <w:spacing w:val="-7"/>
                <w:sz w:val="20"/>
              </w:rPr>
              <w:t> </w:t>
            </w:r>
            <w:r>
              <w:rPr>
                <w:sz w:val="20"/>
              </w:rPr>
              <w:t>E84.1,</w:t>
            </w:r>
            <w:r>
              <w:rPr>
                <w:spacing w:val="-4"/>
                <w:sz w:val="20"/>
              </w:rPr>
              <w:t> </w:t>
            </w:r>
            <w:r>
              <w:rPr>
                <w:sz w:val="20"/>
              </w:rPr>
              <w:t>E84.8,</w:t>
            </w:r>
            <w:r>
              <w:rPr>
                <w:spacing w:val="-5"/>
                <w:sz w:val="20"/>
              </w:rPr>
              <w:t> </w:t>
            </w:r>
            <w:r>
              <w:rPr>
                <w:spacing w:val="-2"/>
                <w:sz w:val="20"/>
              </w:rPr>
              <w:t>E84.9</w:t>
            </w:r>
          </w:p>
        </w:tc>
        <w:tc>
          <w:tcPr>
            <w:tcW w:w="3737" w:type="dxa"/>
          </w:tcPr>
          <w:p>
            <w:pPr>
              <w:pStyle w:val="TableParagraph"/>
              <w:spacing w:before="45"/>
              <w:ind w:right="459"/>
              <w:jc w:val="center"/>
              <w:rPr>
                <w:sz w:val="20"/>
              </w:rPr>
            </w:pPr>
            <w:r>
              <w:rPr>
                <w:w w:val="99"/>
                <w:sz w:val="20"/>
              </w:rPr>
              <w:t>-</w:t>
            </w:r>
          </w:p>
        </w:tc>
        <w:tc>
          <w:tcPr>
            <w:tcW w:w="1635" w:type="dxa"/>
          </w:tcPr>
          <w:p>
            <w:pPr>
              <w:pStyle w:val="TableParagraph"/>
              <w:spacing w:before="45"/>
              <w:ind w:left="734"/>
              <w:rPr>
                <w:sz w:val="20"/>
              </w:rPr>
            </w:pPr>
            <w:r>
              <w:rPr>
                <w:w w:val="99"/>
                <w:sz w:val="20"/>
              </w:rPr>
              <w:t>-</w:t>
            </w:r>
          </w:p>
        </w:tc>
        <w:tc>
          <w:tcPr>
            <w:tcW w:w="1337" w:type="dxa"/>
          </w:tcPr>
          <w:p>
            <w:pPr>
              <w:pStyle w:val="TableParagraph"/>
              <w:spacing w:before="45"/>
              <w:ind w:left="820" w:right="37"/>
              <w:jc w:val="center"/>
              <w:rPr>
                <w:sz w:val="20"/>
              </w:rPr>
            </w:pPr>
            <w:r>
              <w:rPr>
                <w:spacing w:val="-4"/>
                <w:sz w:val="20"/>
              </w:rPr>
              <w:t>2,58</w:t>
            </w:r>
          </w:p>
        </w:tc>
      </w:tr>
      <w:tr>
        <w:trPr>
          <w:trHeight w:val="1250" w:hRule="atLeast"/>
        </w:trPr>
        <w:tc>
          <w:tcPr>
            <w:tcW w:w="978" w:type="dxa"/>
          </w:tcPr>
          <w:p>
            <w:pPr>
              <w:pStyle w:val="TableParagraph"/>
              <w:spacing w:before="46"/>
              <w:ind w:left="38" w:right="186"/>
              <w:jc w:val="center"/>
              <w:rPr>
                <w:sz w:val="20"/>
              </w:rPr>
            </w:pPr>
            <w:r>
              <w:rPr>
                <w:spacing w:val="-2"/>
                <w:sz w:val="20"/>
              </w:rPr>
              <w:t>ds35.004</w:t>
            </w:r>
          </w:p>
        </w:tc>
        <w:tc>
          <w:tcPr>
            <w:tcW w:w="696" w:type="dxa"/>
          </w:tcPr>
          <w:p>
            <w:pPr>
              <w:pStyle w:val="TableParagraph"/>
              <w:spacing w:before="46"/>
              <w:ind w:left="200"/>
              <w:rPr>
                <w:sz w:val="20"/>
              </w:rPr>
            </w:pPr>
            <w:r>
              <w:rPr>
                <w:spacing w:val="-5"/>
                <w:sz w:val="20"/>
              </w:rPr>
              <w:t>156</w:t>
            </w:r>
          </w:p>
        </w:tc>
        <w:tc>
          <w:tcPr>
            <w:tcW w:w="2547" w:type="dxa"/>
          </w:tcPr>
          <w:p>
            <w:pPr>
              <w:pStyle w:val="TableParagraph"/>
              <w:spacing w:before="46"/>
              <w:ind w:left="193" w:right="80"/>
              <w:rPr>
                <w:sz w:val="20"/>
              </w:rPr>
            </w:pPr>
            <w:r>
              <w:rPr>
                <w:sz w:val="20"/>
              </w:rPr>
              <w:t>Лечение кистозного фиброза</w:t>
            </w:r>
            <w:r>
              <w:rPr>
                <w:spacing w:val="-13"/>
                <w:sz w:val="20"/>
              </w:rPr>
              <w:t> </w:t>
            </w:r>
            <w:r>
              <w:rPr>
                <w:sz w:val="20"/>
              </w:rPr>
              <w:t>с</w:t>
            </w:r>
            <w:r>
              <w:rPr>
                <w:spacing w:val="-12"/>
                <w:sz w:val="20"/>
              </w:rPr>
              <w:t> </w:t>
            </w:r>
            <w:r>
              <w:rPr>
                <w:sz w:val="20"/>
              </w:rPr>
              <w:t>применением </w:t>
            </w:r>
            <w:r>
              <w:rPr>
                <w:spacing w:val="-2"/>
                <w:sz w:val="20"/>
              </w:rPr>
              <w:t>ингаляционной антибактериальной терапии</w:t>
            </w:r>
          </w:p>
        </w:tc>
        <w:tc>
          <w:tcPr>
            <w:tcW w:w="4416" w:type="dxa"/>
          </w:tcPr>
          <w:p>
            <w:pPr>
              <w:pStyle w:val="TableParagraph"/>
              <w:spacing w:before="46"/>
              <w:ind w:left="867"/>
              <w:rPr>
                <w:sz w:val="20"/>
              </w:rPr>
            </w:pPr>
            <w:r>
              <w:rPr>
                <w:sz w:val="20"/>
              </w:rPr>
              <w:t>E84,</w:t>
            </w:r>
            <w:r>
              <w:rPr>
                <w:spacing w:val="-4"/>
                <w:sz w:val="20"/>
              </w:rPr>
              <w:t> </w:t>
            </w:r>
            <w:r>
              <w:rPr>
                <w:sz w:val="20"/>
              </w:rPr>
              <w:t>E84.0,</w:t>
            </w:r>
            <w:r>
              <w:rPr>
                <w:spacing w:val="-7"/>
                <w:sz w:val="20"/>
              </w:rPr>
              <w:t> </w:t>
            </w:r>
            <w:r>
              <w:rPr>
                <w:sz w:val="20"/>
              </w:rPr>
              <w:t>E84.1,</w:t>
            </w:r>
            <w:r>
              <w:rPr>
                <w:spacing w:val="-4"/>
                <w:sz w:val="20"/>
              </w:rPr>
              <w:t> </w:t>
            </w:r>
            <w:r>
              <w:rPr>
                <w:sz w:val="20"/>
              </w:rPr>
              <w:t>E84.8,</w:t>
            </w:r>
            <w:r>
              <w:rPr>
                <w:spacing w:val="-5"/>
                <w:sz w:val="20"/>
              </w:rPr>
              <w:t> </w:t>
            </w:r>
            <w:r>
              <w:rPr>
                <w:spacing w:val="-4"/>
                <w:sz w:val="20"/>
              </w:rPr>
              <w:t>E84.9</w:t>
            </w:r>
          </w:p>
        </w:tc>
        <w:tc>
          <w:tcPr>
            <w:tcW w:w="3737" w:type="dxa"/>
          </w:tcPr>
          <w:p>
            <w:pPr>
              <w:pStyle w:val="TableParagraph"/>
              <w:spacing w:before="46"/>
              <w:ind w:left="505" w:right="966"/>
              <w:jc w:val="center"/>
              <w:rPr>
                <w:sz w:val="20"/>
              </w:rPr>
            </w:pPr>
            <w:r>
              <w:rPr>
                <w:spacing w:val="-2"/>
                <w:sz w:val="20"/>
              </w:rPr>
              <w:t>A25.09.001.003</w:t>
            </w:r>
          </w:p>
        </w:tc>
        <w:tc>
          <w:tcPr>
            <w:tcW w:w="1635" w:type="dxa"/>
          </w:tcPr>
          <w:p>
            <w:pPr>
              <w:pStyle w:val="TableParagraph"/>
              <w:spacing w:before="46"/>
              <w:ind w:left="734"/>
              <w:rPr>
                <w:sz w:val="20"/>
              </w:rPr>
            </w:pPr>
            <w:r>
              <w:rPr>
                <w:w w:val="99"/>
                <w:sz w:val="20"/>
              </w:rPr>
              <w:t>-</w:t>
            </w:r>
          </w:p>
        </w:tc>
        <w:tc>
          <w:tcPr>
            <w:tcW w:w="1337" w:type="dxa"/>
          </w:tcPr>
          <w:p>
            <w:pPr>
              <w:pStyle w:val="TableParagraph"/>
              <w:spacing w:before="46"/>
              <w:ind w:left="820" w:right="37"/>
              <w:jc w:val="center"/>
              <w:rPr>
                <w:sz w:val="20"/>
              </w:rPr>
            </w:pPr>
            <w:r>
              <w:rPr>
                <w:spacing w:val="-2"/>
                <w:sz w:val="20"/>
              </w:rPr>
              <w:t>12,27</w:t>
            </w:r>
          </w:p>
        </w:tc>
      </w:tr>
      <w:tr>
        <w:trPr>
          <w:trHeight w:val="330" w:hRule="atLeast"/>
        </w:trPr>
        <w:tc>
          <w:tcPr>
            <w:tcW w:w="978" w:type="dxa"/>
          </w:tcPr>
          <w:p>
            <w:pPr>
              <w:pStyle w:val="TableParagraph"/>
              <w:spacing w:before="46"/>
              <w:ind w:left="39" w:right="186"/>
              <w:jc w:val="center"/>
              <w:rPr>
                <w:sz w:val="20"/>
              </w:rPr>
            </w:pPr>
            <w:r>
              <w:rPr>
                <w:spacing w:val="-4"/>
                <w:sz w:val="20"/>
              </w:rPr>
              <w:t>ds36</w:t>
            </w:r>
          </w:p>
        </w:tc>
        <w:tc>
          <w:tcPr>
            <w:tcW w:w="696" w:type="dxa"/>
          </w:tcPr>
          <w:p>
            <w:pPr>
              <w:pStyle w:val="TableParagraph"/>
              <w:spacing w:before="46"/>
              <w:ind w:left="250"/>
              <w:rPr>
                <w:sz w:val="20"/>
              </w:rPr>
            </w:pPr>
            <w:r>
              <w:rPr>
                <w:spacing w:val="-5"/>
                <w:sz w:val="20"/>
              </w:rPr>
              <w:t>36</w:t>
            </w:r>
          </w:p>
        </w:tc>
        <w:tc>
          <w:tcPr>
            <w:tcW w:w="2547" w:type="dxa"/>
          </w:tcPr>
          <w:p>
            <w:pPr>
              <w:pStyle w:val="TableParagraph"/>
              <w:rPr>
                <w:sz w:val="18"/>
              </w:rPr>
            </w:pPr>
          </w:p>
        </w:tc>
        <w:tc>
          <w:tcPr>
            <w:tcW w:w="4416" w:type="dxa"/>
          </w:tcPr>
          <w:p>
            <w:pPr>
              <w:pStyle w:val="TableParagraph"/>
              <w:spacing w:before="46"/>
              <w:ind w:right="302"/>
              <w:jc w:val="right"/>
              <w:rPr>
                <w:sz w:val="20"/>
              </w:rPr>
            </w:pPr>
            <w:r>
              <w:rPr>
                <w:spacing w:val="-2"/>
                <w:sz w:val="20"/>
              </w:rPr>
              <w:t>Прочее</w:t>
            </w:r>
          </w:p>
        </w:tc>
        <w:tc>
          <w:tcPr>
            <w:tcW w:w="3737" w:type="dxa"/>
          </w:tcPr>
          <w:p>
            <w:pPr>
              <w:pStyle w:val="TableParagraph"/>
              <w:rPr>
                <w:sz w:val="18"/>
              </w:rPr>
            </w:pPr>
          </w:p>
        </w:tc>
        <w:tc>
          <w:tcPr>
            <w:tcW w:w="1635" w:type="dxa"/>
          </w:tcPr>
          <w:p>
            <w:pPr>
              <w:pStyle w:val="TableParagraph"/>
              <w:rPr>
                <w:sz w:val="18"/>
              </w:rPr>
            </w:pPr>
          </w:p>
        </w:tc>
        <w:tc>
          <w:tcPr>
            <w:tcW w:w="1337" w:type="dxa"/>
          </w:tcPr>
          <w:p>
            <w:pPr>
              <w:pStyle w:val="TableParagraph"/>
              <w:spacing w:before="46"/>
              <w:ind w:left="782"/>
              <w:jc w:val="center"/>
              <w:rPr>
                <w:sz w:val="20"/>
              </w:rPr>
            </w:pPr>
            <w:r>
              <w:rPr>
                <w:w w:val="99"/>
                <w:sz w:val="20"/>
              </w:rPr>
              <w:t>-</w:t>
            </w:r>
          </w:p>
        </w:tc>
      </w:tr>
      <w:tr>
        <w:trPr>
          <w:trHeight w:val="2116" w:hRule="atLeast"/>
        </w:trPr>
        <w:tc>
          <w:tcPr>
            <w:tcW w:w="978" w:type="dxa"/>
          </w:tcPr>
          <w:p>
            <w:pPr>
              <w:pStyle w:val="TableParagraph"/>
              <w:spacing w:before="45"/>
              <w:ind w:left="38" w:right="186"/>
              <w:jc w:val="center"/>
              <w:rPr>
                <w:sz w:val="20"/>
              </w:rPr>
            </w:pPr>
            <w:r>
              <w:rPr>
                <w:spacing w:val="-2"/>
                <w:sz w:val="20"/>
              </w:rPr>
              <w:t>ds36.001</w:t>
            </w:r>
          </w:p>
        </w:tc>
        <w:tc>
          <w:tcPr>
            <w:tcW w:w="696" w:type="dxa"/>
          </w:tcPr>
          <w:p>
            <w:pPr>
              <w:pStyle w:val="TableParagraph"/>
              <w:spacing w:before="45"/>
              <w:ind w:left="200"/>
              <w:rPr>
                <w:sz w:val="20"/>
              </w:rPr>
            </w:pPr>
            <w:r>
              <w:rPr>
                <w:spacing w:val="-5"/>
                <w:sz w:val="20"/>
              </w:rPr>
              <w:t>157</w:t>
            </w:r>
          </w:p>
        </w:tc>
        <w:tc>
          <w:tcPr>
            <w:tcW w:w="2547" w:type="dxa"/>
          </w:tcPr>
          <w:p>
            <w:pPr>
              <w:pStyle w:val="TableParagraph"/>
              <w:spacing w:before="45"/>
              <w:ind w:left="193" w:right="180"/>
              <w:rPr>
                <w:sz w:val="20"/>
              </w:rPr>
            </w:pPr>
            <w:r>
              <w:rPr>
                <w:sz w:val="20"/>
              </w:rPr>
              <w:t>Комплексное лечение с применением</w:t>
            </w:r>
            <w:r>
              <w:rPr>
                <w:spacing w:val="-13"/>
                <w:sz w:val="20"/>
              </w:rPr>
              <w:t> </w:t>
            </w:r>
            <w:r>
              <w:rPr>
                <w:sz w:val="20"/>
              </w:rPr>
              <w:t>препаратов </w:t>
            </w:r>
            <w:r>
              <w:rPr>
                <w:spacing w:val="-2"/>
                <w:sz w:val="20"/>
              </w:rPr>
              <w:t>иммуноглобулина</w:t>
            </w:r>
          </w:p>
        </w:tc>
        <w:tc>
          <w:tcPr>
            <w:tcW w:w="4416" w:type="dxa"/>
          </w:tcPr>
          <w:p>
            <w:pPr>
              <w:pStyle w:val="TableParagraph"/>
              <w:spacing w:before="45"/>
              <w:ind w:left="190" w:right="262"/>
              <w:jc w:val="center"/>
              <w:rPr>
                <w:sz w:val="20"/>
              </w:rPr>
            </w:pPr>
            <w:r>
              <w:rPr>
                <w:sz w:val="20"/>
              </w:rPr>
              <w:t>D69.3,</w:t>
            </w:r>
            <w:r>
              <w:rPr>
                <w:spacing w:val="-6"/>
                <w:sz w:val="20"/>
              </w:rPr>
              <w:t> </w:t>
            </w:r>
            <w:r>
              <w:rPr>
                <w:sz w:val="20"/>
              </w:rPr>
              <w:t>D80,</w:t>
            </w:r>
            <w:r>
              <w:rPr>
                <w:spacing w:val="-6"/>
                <w:sz w:val="20"/>
              </w:rPr>
              <w:t> </w:t>
            </w:r>
            <w:r>
              <w:rPr>
                <w:sz w:val="20"/>
              </w:rPr>
              <w:t>D80.0,</w:t>
            </w:r>
            <w:r>
              <w:rPr>
                <w:spacing w:val="-5"/>
                <w:sz w:val="20"/>
              </w:rPr>
              <w:t> </w:t>
            </w:r>
            <w:r>
              <w:rPr>
                <w:sz w:val="20"/>
              </w:rPr>
              <w:t>D80.1,</w:t>
            </w:r>
            <w:r>
              <w:rPr>
                <w:spacing w:val="-6"/>
                <w:sz w:val="20"/>
              </w:rPr>
              <w:t> </w:t>
            </w:r>
            <w:r>
              <w:rPr>
                <w:sz w:val="20"/>
              </w:rPr>
              <w:t>D80.2,</w:t>
            </w:r>
            <w:r>
              <w:rPr>
                <w:spacing w:val="-5"/>
                <w:sz w:val="20"/>
              </w:rPr>
              <w:t> </w:t>
            </w:r>
            <w:r>
              <w:rPr>
                <w:sz w:val="20"/>
              </w:rPr>
              <w:t>D80.3,</w:t>
            </w:r>
            <w:r>
              <w:rPr>
                <w:spacing w:val="-6"/>
                <w:sz w:val="20"/>
              </w:rPr>
              <w:t> </w:t>
            </w:r>
            <w:r>
              <w:rPr>
                <w:spacing w:val="-2"/>
                <w:sz w:val="20"/>
              </w:rPr>
              <w:t>D80.4,</w:t>
            </w:r>
          </w:p>
          <w:p>
            <w:pPr>
              <w:pStyle w:val="TableParagraph"/>
              <w:ind w:left="190" w:right="264"/>
              <w:jc w:val="center"/>
              <w:rPr>
                <w:sz w:val="20"/>
              </w:rPr>
            </w:pPr>
            <w:r>
              <w:rPr>
                <w:sz w:val="20"/>
              </w:rPr>
              <w:t>D80.5,</w:t>
            </w:r>
            <w:r>
              <w:rPr>
                <w:spacing w:val="-4"/>
                <w:sz w:val="20"/>
              </w:rPr>
              <w:t> </w:t>
            </w:r>
            <w:r>
              <w:rPr>
                <w:sz w:val="20"/>
              </w:rPr>
              <w:t>D80.6,</w:t>
            </w:r>
            <w:r>
              <w:rPr>
                <w:spacing w:val="-6"/>
                <w:sz w:val="20"/>
              </w:rPr>
              <w:t> </w:t>
            </w:r>
            <w:r>
              <w:rPr>
                <w:sz w:val="20"/>
              </w:rPr>
              <w:t>D80.7,</w:t>
            </w:r>
            <w:r>
              <w:rPr>
                <w:spacing w:val="-4"/>
                <w:sz w:val="20"/>
              </w:rPr>
              <w:t> </w:t>
            </w:r>
            <w:r>
              <w:rPr>
                <w:sz w:val="20"/>
              </w:rPr>
              <w:t>D80.8,</w:t>
            </w:r>
            <w:r>
              <w:rPr>
                <w:spacing w:val="-6"/>
                <w:sz w:val="20"/>
              </w:rPr>
              <w:t> </w:t>
            </w:r>
            <w:r>
              <w:rPr>
                <w:sz w:val="20"/>
              </w:rPr>
              <w:t>D80.9,</w:t>
            </w:r>
            <w:r>
              <w:rPr>
                <w:spacing w:val="-4"/>
                <w:sz w:val="20"/>
              </w:rPr>
              <w:t> </w:t>
            </w:r>
            <w:r>
              <w:rPr>
                <w:sz w:val="20"/>
              </w:rPr>
              <w:t>D81,</w:t>
            </w:r>
            <w:r>
              <w:rPr>
                <w:spacing w:val="-4"/>
                <w:sz w:val="20"/>
              </w:rPr>
              <w:t> </w:t>
            </w:r>
            <w:r>
              <w:rPr>
                <w:spacing w:val="-2"/>
                <w:sz w:val="20"/>
              </w:rPr>
              <w:t>D81.0,</w:t>
            </w:r>
          </w:p>
          <w:p>
            <w:pPr>
              <w:pStyle w:val="TableParagraph"/>
              <w:spacing w:before="1"/>
              <w:ind w:left="190" w:right="258"/>
              <w:jc w:val="center"/>
              <w:rPr>
                <w:sz w:val="20"/>
              </w:rPr>
            </w:pPr>
            <w:r>
              <w:rPr>
                <w:sz w:val="20"/>
              </w:rPr>
              <w:t>D81.1,</w:t>
            </w:r>
            <w:r>
              <w:rPr>
                <w:spacing w:val="-4"/>
                <w:sz w:val="20"/>
              </w:rPr>
              <w:t> </w:t>
            </w:r>
            <w:r>
              <w:rPr>
                <w:sz w:val="20"/>
              </w:rPr>
              <w:t>D81.2,</w:t>
            </w:r>
            <w:r>
              <w:rPr>
                <w:spacing w:val="-5"/>
                <w:sz w:val="20"/>
              </w:rPr>
              <w:t> </w:t>
            </w:r>
            <w:r>
              <w:rPr>
                <w:sz w:val="20"/>
              </w:rPr>
              <w:t>D81.3,</w:t>
            </w:r>
            <w:r>
              <w:rPr>
                <w:spacing w:val="-4"/>
                <w:sz w:val="20"/>
              </w:rPr>
              <w:t> </w:t>
            </w:r>
            <w:r>
              <w:rPr>
                <w:sz w:val="20"/>
              </w:rPr>
              <w:t>D81.4,</w:t>
            </w:r>
            <w:r>
              <w:rPr>
                <w:spacing w:val="-5"/>
                <w:sz w:val="20"/>
              </w:rPr>
              <w:t> </w:t>
            </w:r>
            <w:r>
              <w:rPr>
                <w:sz w:val="20"/>
              </w:rPr>
              <w:t>D81.5,</w:t>
            </w:r>
            <w:r>
              <w:rPr>
                <w:spacing w:val="-4"/>
                <w:sz w:val="20"/>
              </w:rPr>
              <w:t> </w:t>
            </w:r>
            <w:r>
              <w:rPr>
                <w:spacing w:val="-2"/>
                <w:sz w:val="20"/>
              </w:rPr>
              <w:t>D81.6,</w:t>
            </w:r>
          </w:p>
          <w:p>
            <w:pPr>
              <w:pStyle w:val="TableParagraph"/>
              <w:spacing w:line="229" w:lineRule="exact"/>
              <w:ind w:left="190" w:right="264"/>
              <w:jc w:val="center"/>
              <w:rPr>
                <w:sz w:val="20"/>
              </w:rPr>
            </w:pPr>
            <w:r>
              <w:rPr>
                <w:sz w:val="20"/>
              </w:rPr>
              <w:t>D81.7,</w:t>
            </w:r>
            <w:r>
              <w:rPr>
                <w:spacing w:val="-4"/>
                <w:sz w:val="20"/>
              </w:rPr>
              <w:t> </w:t>
            </w:r>
            <w:r>
              <w:rPr>
                <w:sz w:val="20"/>
              </w:rPr>
              <w:t>D81.8,</w:t>
            </w:r>
            <w:r>
              <w:rPr>
                <w:spacing w:val="-6"/>
                <w:sz w:val="20"/>
              </w:rPr>
              <w:t> </w:t>
            </w:r>
            <w:r>
              <w:rPr>
                <w:sz w:val="20"/>
              </w:rPr>
              <w:t>D81.9,</w:t>
            </w:r>
            <w:r>
              <w:rPr>
                <w:spacing w:val="-4"/>
                <w:sz w:val="20"/>
              </w:rPr>
              <w:t> </w:t>
            </w:r>
            <w:r>
              <w:rPr>
                <w:sz w:val="20"/>
              </w:rPr>
              <w:t>D82.3,</w:t>
            </w:r>
            <w:r>
              <w:rPr>
                <w:spacing w:val="-6"/>
                <w:sz w:val="20"/>
              </w:rPr>
              <w:t> </w:t>
            </w:r>
            <w:r>
              <w:rPr>
                <w:sz w:val="20"/>
              </w:rPr>
              <w:t>D82.8,</w:t>
            </w:r>
            <w:r>
              <w:rPr>
                <w:spacing w:val="-4"/>
                <w:sz w:val="20"/>
              </w:rPr>
              <w:t> </w:t>
            </w:r>
            <w:r>
              <w:rPr>
                <w:sz w:val="20"/>
              </w:rPr>
              <w:t>D83,</w:t>
            </w:r>
            <w:r>
              <w:rPr>
                <w:spacing w:val="-4"/>
                <w:sz w:val="20"/>
              </w:rPr>
              <w:t> </w:t>
            </w:r>
            <w:r>
              <w:rPr>
                <w:spacing w:val="-2"/>
                <w:sz w:val="20"/>
              </w:rPr>
              <w:t>D83.0,</w:t>
            </w:r>
          </w:p>
          <w:p>
            <w:pPr>
              <w:pStyle w:val="TableParagraph"/>
              <w:spacing w:line="229" w:lineRule="exact"/>
              <w:ind w:left="190" w:right="264"/>
              <w:jc w:val="center"/>
              <w:rPr>
                <w:sz w:val="20"/>
              </w:rPr>
            </w:pPr>
            <w:r>
              <w:rPr>
                <w:sz w:val="20"/>
              </w:rPr>
              <w:t>D83.1,</w:t>
            </w:r>
            <w:r>
              <w:rPr>
                <w:spacing w:val="-4"/>
                <w:sz w:val="20"/>
              </w:rPr>
              <w:t> </w:t>
            </w:r>
            <w:r>
              <w:rPr>
                <w:sz w:val="20"/>
              </w:rPr>
              <w:t>D83.2,</w:t>
            </w:r>
            <w:r>
              <w:rPr>
                <w:spacing w:val="-6"/>
                <w:sz w:val="20"/>
              </w:rPr>
              <w:t> </w:t>
            </w:r>
            <w:r>
              <w:rPr>
                <w:sz w:val="20"/>
              </w:rPr>
              <w:t>D83.8,</w:t>
            </w:r>
            <w:r>
              <w:rPr>
                <w:spacing w:val="-4"/>
                <w:sz w:val="20"/>
              </w:rPr>
              <w:t> </w:t>
            </w:r>
            <w:r>
              <w:rPr>
                <w:sz w:val="20"/>
              </w:rPr>
              <w:t>D83.9,</w:t>
            </w:r>
            <w:r>
              <w:rPr>
                <w:spacing w:val="-6"/>
                <w:sz w:val="20"/>
              </w:rPr>
              <w:t> </w:t>
            </w:r>
            <w:r>
              <w:rPr>
                <w:sz w:val="20"/>
              </w:rPr>
              <w:t>G11.3,</w:t>
            </w:r>
            <w:r>
              <w:rPr>
                <w:spacing w:val="-4"/>
                <w:sz w:val="20"/>
              </w:rPr>
              <w:t> </w:t>
            </w:r>
            <w:r>
              <w:rPr>
                <w:sz w:val="20"/>
              </w:rPr>
              <w:t>G35,</w:t>
            </w:r>
            <w:r>
              <w:rPr>
                <w:spacing w:val="-4"/>
                <w:sz w:val="20"/>
              </w:rPr>
              <w:t> </w:t>
            </w:r>
            <w:r>
              <w:rPr>
                <w:spacing w:val="-2"/>
                <w:sz w:val="20"/>
              </w:rPr>
              <w:t>G36.0,</w:t>
            </w:r>
          </w:p>
          <w:p>
            <w:pPr>
              <w:pStyle w:val="TableParagraph"/>
              <w:spacing w:before="1"/>
              <w:ind w:left="190" w:right="262"/>
              <w:jc w:val="center"/>
              <w:rPr>
                <w:sz w:val="20"/>
              </w:rPr>
            </w:pPr>
            <w:r>
              <w:rPr>
                <w:sz w:val="20"/>
              </w:rPr>
              <w:t>G36.1,</w:t>
            </w:r>
            <w:r>
              <w:rPr>
                <w:spacing w:val="-6"/>
                <w:sz w:val="20"/>
              </w:rPr>
              <w:t> </w:t>
            </w:r>
            <w:r>
              <w:rPr>
                <w:sz w:val="20"/>
              </w:rPr>
              <w:t>G36.8,</w:t>
            </w:r>
            <w:r>
              <w:rPr>
                <w:spacing w:val="-6"/>
                <w:sz w:val="20"/>
              </w:rPr>
              <w:t> </w:t>
            </w:r>
            <w:r>
              <w:rPr>
                <w:sz w:val="20"/>
              </w:rPr>
              <w:t>G36.9,</w:t>
            </w:r>
            <w:r>
              <w:rPr>
                <w:spacing w:val="-5"/>
                <w:sz w:val="20"/>
              </w:rPr>
              <w:t> </w:t>
            </w:r>
            <w:r>
              <w:rPr>
                <w:sz w:val="20"/>
              </w:rPr>
              <w:t>G37,</w:t>
            </w:r>
            <w:r>
              <w:rPr>
                <w:spacing w:val="-6"/>
                <w:sz w:val="20"/>
              </w:rPr>
              <w:t> </w:t>
            </w:r>
            <w:r>
              <w:rPr>
                <w:sz w:val="20"/>
              </w:rPr>
              <w:t>G37.0,</w:t>
            </w:r>
            <w:r>
              <w:rPr>
                <w:spacing w:val="-5"/>
                <w:sz w:val="20"/>
              </w:rPr>
              <w:t> </w:t>
            </w:r>
            <w:r>
              <w:rPr>
                <w:sz w:val="20"/>
              </w:rPr>
              <w:t>G37.1,</w:t>
            </w:r>
            <w:r>
              <w:rPr>
                <w:spacing w:val="-5"/>
                <w:sz w:val="20"/>
              </w:rPr>
              <w:t> </w:t>
            </w:r>
            <w:r>
              <w:rPr>
                <w:spacing w:val="-2"/>
                <w:sz w:val="20"/>
              </w:rPr>
              <w:t>G37.2,</w:t>
            </w:r>
          </w:p>
          <w:p>
            <w:pPr>
              <w:pStyle w:val="TableParagraph"/>
              <w:ind w:left="190" w:right="261"/>
              <w:jc w:val="center"/>
              <w:rPr>
                <w:sz w:val="20"/>
              </w:rPr>
            </w:pPr>
            <w:r>
              <w:rPr>
                <w:sz w:val="20"/>
              </w:rPr>
              <w:t>G37.3,</w:t>
            </w:r>
            <w:r>
              <w:rPr>
                <w:spacing w:val="-4"/>
                <w:sz w:val="20"/>
              </w:rPr>
              <w:t> </w:t>
            </w:r>
            <w:r>
              <w:rPr>
                <w:sz w:val="20"/>
              </w:rPr>
              <w:t>G37.4,</w:t>
            </w:r>
            <w:r>
              <w:rPr>
                <w:spacing w:val="-6"/>
                <w:sz w:val="20"/>
              </w:rPr>
              <w:t> </w:t>
            </w:r>
            <w:r>
              <w:rPr>
                <w:sz w:val="20"/>
              </w:rPr>
              <w:t>G37.5,</w:t>
            </w:r>
            <w:r>
              <w:rPr>
                <w:spacing w:val="-4"/>
                <w:sz w:val="20"/>
              </w:rPr>
              <w:t> </w:t>
            </w:r>
            <w:r>
              <w:rPr>
                <w:sz w:val="20"/>
              </w:rPr>
              <w:t>G37.8,</w:t>
            </w:r>
            <w:r>
              <w:rPr>
                <w:spacing w:val="-6"/>
                <w:sz w:val="20"/>
              </w:rPr>
              <w:t> </w:t>
            </w:r>
            <w:r>
              <w:rPr>
                <w:sz w:val="20"/>
              </w:rPr>
              <w:t>G37.9,</w:t>
            </w:r>
            <w:r>
              <w:rPr>
                <w:spacing w:val="-4"/>
                <w:sz w:val="20"/>
              </w:rPr>
              <w:t> </w:t>
            </w:r>
            <w:r>
              <w:rPr>
                <w:spacing w:val="-2"/>
                <w:sz w:val="20"/>
              </w:rPr>
              <w:t>G51.0,</w:t>
            </w:r>
          </w:p>
          <w:p>
            <w:pPr>
              <w:pStyle w:val="TableParagraph"/>
              <w:spacing w:line="230" w:lineRule="atLeast"/>
              <w:ind w:left="415" w:right="486"/>
              <w:jc w:val="center"/>
              <w:rPr>
                <w:sz w:val="20"/>
              </w:rPr>
            </w:pPr>
            <w:r>
              <w:rPr>
                <w:sz w:val="20"/>
              </w:rPr>
              <w:t>G51.1,</w:t>
            </w:r>
            <w:r>
              <w:rPr>
                <w:spacing w:val="-8"/>
                <w:sz w:val="20"/>
              </w:rPr>
              <w:t> </w:t>
            </w:r>
            <w:r>
              <w:rPr>
                <w:sz w:val="20"/>
              </w:rPr>
              <w:t>G58.7,</w:t>
            </w:r>
            <w:r>
              <w:rPr>
                <w:spacing w:val="-9"/>
                <w:sz w:val="20"/>
              </w:rPr>
              <w:t> </w:t>
            </w:r>
            <w:r>
              <w:rPr>
                <w:sz w:val="20"/>
              </w:rPr>
              <w:t>G61.0,</w:t>
            </w:r>
            <w:r>
              <w:rPr>
                <w:spacing w:val="-8"/>
                <w:sz w:val="20"/>
              </w:rPr>
              <w:t> </w:t>
            </w:r>
            <w:r>
              <w:rPr>
                <w:sz w:val="20"/>
              </w:rPr>
              <w:t>G61.8,</w:t>
            </w:r>
            <w:r>
              <w:rPr>
                <w:spacing w:val="-9"/>
                <w:sz w:val="20"/>
              </w:rPr>
              <w:t> </w:t>
            </w:r>
            <w:r>
              <w:rPr>
                <w:sz w:val="20"/>
              </w:rPr>
              <w:t>G70.0,</w:t>
            </w:r>
            <w:r>
              <w:rPr>
                <w:spacing w:val="-8"/>
                <w:sz w:val="20"/>
              </w:rPr>
              <w:t> </w:t>
            </w:r>
            <w:r>
              <w:rPr>
                <w:sz w:val="20"/>
              </w:rPr>
              <w:t>G70.2, </w:t>
            </w:r>
            <w:r>
              <w:rPr>
                <w:spacing w:val="-4"/>
                <w:sz w:val="20"/>
              </w:rPr>
              <w:t>M33.0</w:t>
            </w:r>
          </w:p>
        </w:tc>
        <w:tc>
          <w:tcPr>
            <w:tcW w:w="3737" w:type="dxa"/>
          </w:tcPr>
          <w:p>
            <w:pPr>
              <w:pStyle w:val="TableParagraph"/>
              <w:spacing w:before="45"/>
              <w:ind w:left="990" w:right="724" w:hanging="723"/>
              <w:rPr>
                <w:sz w:val="20"/>
              </w:rPr>
            </w:pPr>
            <w:r>
              <w:rPr>
                <w:sz w:val="20"/>
              </w:rPr>
              <w:t>A25.05.001.001,</w:t>
            </w:r>
            <w:r>
              <w:rPr>
                <w:spacing w:val="-13"/>
                <w:sz w:val="20"/>
              </w:rPr>
              <w:t> </w:t>
            </w:r>
            <w:r>
              <w:rPr>
                <w:sz w:val="20"/>
              </w:rPr>
              <w:t>A25.23.001.001, </w:t>
            </w:r>
            <w:r>
              <w:rPr>
                <w:spacing w:val="-2"/>
                <w:sz w:val="20"/>
              </w:rPr>
              <w:t>A25.24.001.001</w:t>
            </w:r>
          </w:p>
        </w:tc>
        <w:tc>
          <w:tcPr>
            <w:tcW w:w="1635" w:type="dxa"/>
          </w:tcPr>
          <w:p>
            <w:pPr>
              <w:pStyle w:val="TableParagraph"/>
              <w:spacing w:before="45"/>
              <w:ind w:left="734"/>
              <w:rPr>
                <w:sz w:val="20"/>
              </w:rPr>
            </w:pPr>
            <w:r>
              <w:rPr>
                <w:w w:val="99"/>
                <w:sz w:val="20"/>
              </w:rPr>
              <w:t>-</w:t>
            </w:r>
          </w:p>
        </w:tc>
        <w:tc>
          <w:tcPr>
            <w:tcW w:w="1337" w:type="dxa"/>
          </w:tcPr>
          <w:p>
            <w:pPr>
              <w:pStyle w:val="TableParagraph"/>
              <w:spacing w:before="45"/>
              <w:ind w:left="820" w:right="37"/>
              <w:jc w:val="center"/>
              <w:rPr>
                <w:sz w:val="20"/>
              </w:rPr>
            </w:pPr>
            <w:r>
              <w:rPr>
                <w:spacing w:val="-4"/>
                <w:sz w:val="20"/>
              </w:rPr>
              <w:t>7,86</w:t>
            </w:r>
          </w:p>
        </w:tc>
      </w:tr>
    </w:tbl>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46"/>
        <w:gridCol w:w="5087"/>
        <w:gridCol w:w="2401"/>
        <w:gridCol w:w="2326"/>
        <w:gridCol w:w="1261"/>
      </w:tblGrid>
      <w:tr>
        <w:trPr>
          <w:trHeight w:val="8502" w:hRule="atLeast"/>
        </w:trPr>
        <w:tc>
          <w:tcPr>
            <w:tcW w:w="978" w:type="dxa"/>
          </w:tcPr>
          <w:p>
            <w:pPr>
              <w:pStyle w:val="TableParagraph"/>
              <w:spacing w:line="221" w:lineRule="exact"/>
              <w:ind w:left="50"/>
              <w:rPr>
                <w:sz w:val="20"/>
              </w:rPr>
            </w:pPr>
            <w:r>
              <w:rPr>
                <w:spacing w:val="-2"/>
                <w:sz w:val="20"/>
              </w:rPr>
              <w:t>ds36.002</w:t>
            </w:r>
          </w:p>
        </w:tc>
        <w:tc>
          <w:tcPr>
            <w:tcW w:w="696" w:type="dxa"/>
          </w:tcPr>
          <w:p>
            <w:pPr>
              <w:pStyle w:val="TableParagraph"/>
              <w:spacing w:line="221" w:lineRule="exact"/>
              <w:ind w:left="200"/>
              <w:rPr>
                <w:sz w:val="20"/>
              </w:rPr>
            </w:pPr>
            <w:r>
              <w:rPr>
                <w:spacing w:val="-5"/>
                <w:sz w:val="20"/>
              </w:rPr>
              <w:t>158</w:t>
            </w:r>
          </w:p>
        </w:tc>
        <w:tc>
          <w:tcPr>
            <w:tcW w:w="2546" w:type="dxa"/>
          </w:tcPr>
          <w:p>
            <w:pPr>
              <w:pStyle w:val="TableParagraph"/>
              <w:ind w:left="193"/>
              <w:rPr>
                <w:sz w:val="20"/>
              </w:rPr>
            </w:pPr>
            <w:r>
              <w:rPr>
                <w:sz w:val="20"/>
              </w:rPr>
              <w:t>Факторы, влияющие на состояние здоровья населения</w:t>
            </w:r>
            <w:r>
              <w:rPr>
                <w:spacing w:val="-13"/>
                <w:sz w:val="20"/>
              </w:rPr>
              <w:t> </w:t>
            </w:r>
            <w:r>
              <w:rPr>
                <w:sz w:val="20"/>
              </w:rPr>
              <w:t>и</w:t>
            </w:r>
            <w:r>
              <w:rPr>
                <w:spacing w:val="-12"/>
                <w:sz w:val="20"/>
              </w:rPr>
              <w:t> </w:t>
            </w:r>
            <w:r>
              <w:rPr>
                <w:sz w:val="20"/>
              </w:rPr>
              <w:t>обращения</w:t>
            </w:r>
            <w:r>
              <w:rPr>
                <w:spacing w:val="-13"/>
                <w:sz w:val="20"/>
              </w:rPr>
              <w:t> </w:t>
            </w:r>
            <w:r>
              <w:rPr>
                <w:sz w:val="20"/>
              </w:rPr>
              <w:t>в </w:t>
            </w:r>
            <w:r>
              <w:rPr>
                <w:spacing w:val="-2"/>
                <w:sz w:val="20"/>
              </w:rPr>
              <w:t>учреждения здравоохранения</w:t>
            </w:r>
          </w:p>
        </w:tc>
        <w:tc>
          <w:tcPr>
            <w:tcW w:w="5087" w:type="dxa"/>
          </w:tcPr>
          <w:p>
            <w:pPr>
              <w:pStyle w:val="TableParagraph"/>
              <w:spacing w:line="221" w:lineRule="exact"/>
              <w:ind w:left="381"/>
              <w:rPr>
                <w:sz w:val="20"/>
              </w:rPr>
            </w:pPr>
            <w:r>
              <w:rPr>
                <w:sz w:val="20"/>
              </w:rPr>
              <w:t>R52,</w:t>
            </w:r>
            <w:r>
              <w:rPr>
                <w:spacing w:val="-7"/>
                <w:sz w:val="20"/>
              </w:rPr>
              <w:t> </w:t>
            </w:r>
            <w:r>
              <w:rPr>
                <w:sz w:val="20"/>
              </w:rPr>
              <w:t>R52.0,</w:t>
            </w:r>
            <w:r>
              <w:rPr>
                <w:spacing w:val="-5"/>
                <w:sz w:val="20"/>
              </w:rPr>
              <w:t> </w:t>
            </w:r>
            <w:r>
              <w:rPr>
                <w:sz w:val="20"/>
              </w:rPr>
              <w:t>R52.1,</w:t>
            </w:r>
            <w:r>
              <w:rPr>
                <w:spacing w:val="-4"/>
                <w:sz w:val="20"/>
              </w:rPr>
              <w:t> </w:t>
            </w:r>
            <w:r>
              <w:rPr>
                <w:sz w:val="20"/>
              </w:rPr>
              <w:t>R52.2,</w:t>
            </w:r>
            <w:r>
              <w:rPr>
                <w:spacing w:val="-5"/>
                <w:sz w:val="20"/>
              </w:rPr>
              <w:t> </w:t>
            </w:r>
            <w:r>
              <w:rPr>
                <w:sz w:val="20"/>
              </w:rPr>
              <w:t>R52.9,</w:t>
            </w:r>
            <w:r>
              <w:rPr>
                <w:spacing w:val="-4"/>
                <w:sz w:val="20"/>
              </w:rPr>
              <w:t> </w:t>
            </w:r>
            <w:r>
              <w:rPr>
                <w:sz w:val="20"/>
              </w:rPr>
              <w:t>R53,</w:t>
            </w:r>
            <w:r>
              <w:rPr>
                <w:spacing w:val="-6"/>
                <w:sz w:val="20"/>
              </w:rPr>
              <w:t> </w:t>
            </w:r>
            <w:r>
              <w:rPr>
                <w:spacing w:val="-4"/>
                <w:sz w:val="20"/>
              </w:rPr>
              <w:t>R60,</w:t>
            </w:r>
          </w:p>
          <w:p>
            <w:pPr>
              <w:pStyle w:val="TableParagraph"/>
              <w:spacing w:line="229" w:lineRule="exact"/>
              <w:ind w:left="306"/>
              <w:rPr>
                <w:sz w:val="20"/>
              </w:rPr>
            </w:pPr>
            <w:r>
              <w:rPr>
                <w:sz w:val="20"/>
              </w:rPr>
              <w:t>R60.0,</w:t>
            </w:r>
            <w:r>
              <w:rPr>
                <w:spacing w:val="-7"/>
                <w:sz w:val="20"/>
              </w:rPr>
              <w:t> </w:t>
            </w:r>
            <w:r>
              <w:rPr>
                <w:sz w:val="20"/>
              </w:rPr>
              <w:t>R60.1,</w:t>
            </w:r>
            <w:r>
              <w:rPr>
                <w:spacing w:val="-5"/>
                <w:sz w:val="20"/>
              </w:rPr>
              <w:t> </w:t>
            </w:r>
            <w:r>
              <w:rPr>
                <w:sz w:val="20"/>
              </w:rPr>
              <w:t>R60.9,</w:t>
            </w:r>
            <w:r>
              <w:rPr>
                <w:spacing w:val="-5"/>
                <w:sz w:val="20"/>
              </w:rPr>
              <w:t> </w:t>
            </w:r>
            <w:r>
              <w:rPr>
                <w:sz w:val="20"/>
              </w:rPr>
              <w:t>R64,</w:t>
            </w:r>
            <w:r>
              <w:rPr>
                <w:spacing w:val="-4"/>
                <w:sz w:val="20"/>
              </w:rPr>
              <w:t> </w:t>
            </w:r>
            <w:r>
              <w:rPr>
                <w:sz w:val="20"/>
              </w:rPr>
              <w:t>R68,</w:t>
            </w:r>
            <w:r>
              <w:rPr>
                <w:spacing w:val="-5"/>
                <w:sz w:val="20"/>
              </w:rPr>
              <w:t> </w:t>
            </w:r>
            <w:r>
              <w:rPr>
                <w:sz w:val="20"/>
              </w:rPr>
              <w:t>R68.0,</w:t>
            </w:r>
            <w:r>
              <w:rPr>
                <w:spacing w:val="-6"/>
                <w:sz w:val="20"/>
              </w:rPr>
              <w:t> </w:t>
            </w:r>
            <w:r>
              <w:rPr>
                <w:spacing w:val="-2"/>
                <w:sz w:val="20"/>
              </w:rPr>
              <w:t>R68.2,</w:t>
            </w:r>
          </w:p>
          <w:p>
            <w:pPr>
              <w:pStyle w:val="TableParagraph"/>
              <w:spacing w:line="229" w:lineRule="exact"/>
              <w:ind w:left="381"/>
              <w:rPr>
                <w:sz w:val="20"/>
              </w:rPr>
            </w:pPr>
            <w:r>
              <w:rPr>
                <w:sz w:val="20"/>
              </w:rPr>
              <w:t>R68.8,</w:t>
            </w:r>
            <w:r>
              <w:rPr>
                <w:spacing w:val="-4"/>
                <w:sz w:val="20"/>
              </w:rPr>
              <w:t> </w:t>
            </w:r>
            <w:r>
              <w:rPr>
                <w:sz w:val="20"/>
              </w:rPr>
              <w:t>R69,</w:t>
            </w:r>
            <w:r>
              <w:rPr>
                <w:spacing w:val="-4"/>
                <w:sz w:val="20"/>
              </w:rPr>
              <w:t> </w:t>
            </w:r>
            <w:r>
              <w:rPr>
                <w:sz w:val="20"/>
              </w:rPr>
              <w:t>R70,</w:t>
            </w:r>
            <w:r>
              <w:rPr>
                <w:spacing w:val="-4"/>
                <w:sz w:val="20"/>
              </w:rPr>
              <w:t> </w:t>
            </w:r>
            <w:r>
              <w:rPr>
                <w:sz w:val="20"/>
              </w:rPr>
              <w:t>R70.0,</w:t>
            </w:r>
            <w:r>
              <w:rPr>
                <w:spacing w:val="-5"/>
                <w:sz w:val="20"/>
              </w:rPr>
              <w:t> </w:t>
            </w:r>
            <w:r>
              <w:rPr>
                <w:sz w:val="20"/>
              </w:rPr>
              <w:t>R70.1,</w:t>
            </w:r>
            <w:r>
              <w:rPr>
                <w:spacing w:val="-4"/>
                <w:sz w:val="20"/>
              </w:rPr>
              <w:t> </w:t>
            </w:r>
            <w:r>
              <w:rPr>
                <w:sz w:val="20"/>
              </w:rPr>
              <w:t>R74,</w:t>
            </w:r>
            <w:r>
              <w:rPr>
                <w:spacing w:val="-4"/>
                <w:sz w:val="20"/>
              </w:rPr>
              <w:t> </w:t>
            </w:r>
            <w:r>
              <w:rPr>
                <w:spacing w:val="-2"/>
                <w:sz w:val="20"/>
              </w:rPr>
              <w:t>R74.0,</w:t>
            </w:r>
          </w:p>
          <w:p>
            <w:pPr>
              <w:pStyle w:val="TableParagraph"/>
              <w:spacing w:before="1"/>
              <w:ind w:left="197" w:right="937"/>
              <w:jc w:val="center"/>
              <w:rPr>
                <w:sz w:val="20"/>
              </w:rPr>
            </w:pPr>
            <w:r>
              <w:rPr>
                <w:sz w:val="20"/>
              </w:rPr>
              <w:t>R74.8,</w:t>
            </w:r>
            <w:r>
              <w:rPr>
                <w:spacing w:val="-5"/>
                <w:sz w:val="20"/>
              </w:rPr>
              <w:t> </w:t>
            </w:r>
            <w:r>
              <w:rPr>
                <w:sz w:val="20"/>
              </w:rPr>
              <w:t>R74.9,</w:t>
            </w:r>
            <w:r>
              <w:rPr>
                <w:spacing w:val="-5"/>
                <w:sz w:val="20"/>
              </w:rPr>
              <w:t> </w:t>
            </w:r>
            <w:r>
              <w:rPr>
                <w:sz w:val="20"/>
              </w:rPr>
              <w:t>R76,</w:t>
            </w:r>
            <w:r>
              <w:rPr>
                <w:spacing w:val="-5"/>
                <w:sz w:val="20"/>
              </w:rPr>
              <w:t> </w:t>
            </w:r>
            <w:r>
              <w:rPr>
                <w:sz w:val="20"/>
              </w:rPr>
              <w:t>R76.0,</w:t>
            </w:r>
            <w:r>
              <w:rPr>
                <w:spacing w:val="-5"/>
                <w:sz w:val="20"/>
              </w:rPr>
              <w:t> </w:t>
            </w:r>
            <w:r>
              <w:rPr>
                <w:sz w:val="20"/>
              </w:rPr>
              <w:t>R76.1,</w:t>
            </w:r>
            <w:r>
              <w:rPr>
                <w:spacing w:val="-5"/>
                <w:sz w:val="20"/>
              </w:rPr>
              <w:t> </w:t>
            </w:r>
            <w:r>
              <w:rPr>
                <w:sz w:val="20"/>
              </w:rPr>
              <w:t>R76.2,</w:t>
            </w:r>
            <w:r>
              <w:rPr>
                <w:spacing w:val="-5"/>
                <w:sz w:val="20"/>
              </w:rPr>
              <w:t> </w:t>
            </w:r>
            <w:r>
              <w:rPr>
                <w:spacing w:val="-2"/>
                <w:sz w:val="20"/>
              </w:rPr>
              <w:t>R76.8,</w:t>
            </w:r>
          </w:p>
          <w:p>
            <w:pPr>
              <w:pStyle w:val="TableParagraph"/>
              <w:ind w:left="197" w:right="937"/>
              <w:jc w:val="center"/>
              <w:rPr>
                <w:sz w:val="20"/>
              </w:rPr>
            </w:pPr>
            <w:r>
              <w:rPr>
                <w:sz w:val="20"/>
              </w:rPr>
              <w:t>R76.9,</w:t>
            </w:r>
            <w:r>
              <w:rPr>
                <w:spacing w:val="-5"/>
                <w:sz w:val="20"/>
              </w:rPr>
              <w:t> </w:t>
            </w:r>
            <w:r>
              <w:rPr>
                <w:sz w:val="20"/>
              </w:rPr>
              <w:t>R77,</w:t>
            </w:r>
            <w:r>
              <w:rPr>
                <w:spacing w:val="-5"/>
                <w:sz w:val="20"/>
              </w:rPr>
              <w:t> </w:t>
            </w:r>
            <w:r>
              <w:rPr>
                <w:sz w:val="20"/>
              </w:rPr>
              <w:t>R77.0,</w:t>
            </w:r>
            <w:r>
              <w:rPr>
                <w:spacing w:val="-5"/>
                <w:sz w:val="20"/>
              </w:rPr>
              <w:t> </w:t>
            </w:r>
            <w:r>
              <w:rPr>
                <w:sz w:val="20"/>
              </w:rPr>
              <w:t>R77.1,</w:t>
            </w:r>
            <w:r>
              <w:rPr>
                <w:spacing w:val="-5"/>
                <w:sz w:val="20"/>
              </w:rPr>
              <w:t> </w:t>
            </w:r>
            <w:r>
              <w:rPr>
                <w:sz w:val="20"/>
              </w:rPr>
              <w:t>R77.2,</w:t>
            </w:r>
            <w:r>
              <w:rPr>
                <w:spacing w:val="-5"/>
                <w:sz w:val="20"/>
              </w:rPr>
              <w:t> </w:t>
            </w:r>
            <w:r>
              <w:rPr>
                <w:sz w:val="20"/>
              </w:rPr>
              <w:t>R77.8,</w:t>
            </w:r>
            <w:r>
              <w:rPr>
                <w:spacing w:val="-5"/>
                <w:sz w:val="20"/>
              </w:rPr>
              <w:t> </w:t>
            </w:r>
            <w:r>
              <w:rPr>
                <w:spacing w:val="-2"/>
                <w:sz w:val="20"/>
              </w:rPr>
              <w:t>R77.9,</w:t>
            </w:r>
          </w:p>
          <w:p>
            <w:pPr>
              <w:pStyle w:val="TableParagraph"/>
              <w:ind w:left="197" w:right="937"/>
              <w:jc w:val="center"/>
              <w:rPr>
                <w:sz w:val="20"/>
              </w:rPr>
            </w:pPr>
            <w:r>
              <w:rPr>
                <w:sz w:val="20"/>
              </w:rPr>
              <w:t>R79,</w:t>
            </w:r>
            <w:r>
              <w:rPr>
                <w:spacing w:val="-5"/>
                <w:sz w:val="20"/>
              </w:rPr>
              <w:t> </w:t>
            </w:r>
            <w:r>
              <w:rPr>
                <w:sz w:val="20"/>
              </w:rPr>
              <w:t>R79.0,</w:t>
            </w:r>
            <w:r>
              <w:rPr>
                <w:spacing w:val="-5"/>
                <w:sz w:val="20"/>
              </w:rPr>
              <w:t> </w:t>
            </w:r>
            <w:r>
              <w:rPr>
                <w:sz w:val="20"/>
              </w:rPr>
              <w:t>R79.8,</w:t>
            </w:r>
            <w:r>
              <w:rPr>
                <w:spacing w:val="-4"/>
                <w:sz w:val="20"/>
              </w:rPr>
              <w:t> </w:t>
            </w:r>
            <w:r>
              <w:rPr>
                <w:sz w:val="20"/>
              </w:rPr>
              <w:t>R79.9,</w:t>
            </w:r>
            <w:r>
              <w:rPr>
                <w:spacing w:val="-5"/>
                <w:sz w:val="20"/>
              </w:rPr>
              <w:t> </w:t>
            </w:r>
            <w:r>
              <w:rPr>
                <w:sz w:val="20"/>
              </w:rPr>
              <w:t>R99,</w:t>
            </w:r>
            <w:r>
              <w:rPr>
                <w:spacing w:val="-4"/>
                <w:sz w:val="20"/>
              </w:rPr>
              <w:t> </w:t>
            </w:r>
            <w:r>
              <w:rPr>
                <w:sz w:val="20"/>
              </w:rPr>
              <w:t>Z00,</w:t>
            </w:r>
            <w:r>
              <w:rPr>
                <w:spacing w:val="-5"/>
                <w:sz w:val="20"/>
              </w:rPr>
              <w:t> </w:t>
            </w:r>
            <w:r>
              <w:rPr>
                <w:spacing w:val="-2"/>
                <w:sz w:val="20"/>
              </w:rPr>
              <w:t>Z00.0,</w:t>
            </w:r>
          </w:p>
          <w:p>
            <w:pPr>
              <w:pStyle w:val="TableParagraph"/>
              <w:spacing w:before="1"/>
              <w:ind w:left="197" w:right="937"/>
              <w:jc w:val="center"/>
              <w:rPr>
                <w:sz w:val="20"/>
              </w:rPr>
            </w:pPr>
            <w:r>
              <w:rPr>
                <w:sz w:val="20"/>
              </w:rPr>
              <w:t>Z00.1,</w:t>
            </w:r>
            <w:r>
              <w:rPr>
                <w:spacing w:val="-6"/>
                <w:sz w:val="20"/>
              </w:rPr>
              <w:t> </w:t>
            </w:r>
            <w:r>
              <w:rPr>
                <w:sz w:val="20"/>
              </w:rPr>
              <w:t>Z00.2,</w:t>
            </w:r>
            <w:r>
              <w:rPr>
                <w:spacing w:val="-5"/>
                <w:sz w:val="20"/>
              </w:rPr>
              <w:t> </w:t>
            </w:r>
            <w:r>
              <w:rPr>
                <w:sz w:val="20"/>
              </w:rPr>
              <w:t>Z00.3,</w:t>
            </w:r>
            <w:r>
              <w:rPr>
                <w:spacing w:val="-5"/>
                <w:sz w:val="20"/>
              </w:rPr>
              <w:t> </w:t>
            </w:r>
            <w:r>
              <w:rPr>
                <w:sz w:val="20"/>
              </w:rPr>
              <w:t>Z00.4,</w:t>
            </w:r>
            <w:r>
              <w:rPr>
                <w:spacing w:val="-5"/>
                <w:sz w:val="20"/>
              </w:rPr>
              <w:t> </w:t>
            </w:r>
            <w:r>
              <w:rPr>
                <w:sz w:val="20"/>
              </w:rPr>
              <w:t>Z00.5,</w:t>
            </w:r>
            <w:r>
              <w:rPr>
                <w:spacing w:val="-5"/>
                <w:sz w:val="20"/>
              </w:rPr>
              <w:t> </w:t>
            </w:r>
            <w:r>
              <w:rPr>
                <w:sz w:val="20"/>
              </w:rPr>
              <w:t>Z00.6,</w:t>
            </w:r>
            <w:r>
              <w:rPr>
                <w:spacing w:val="-5"/>
                <w:sz w:val="20"/>
              </w:rPr>
              <w:t> </w:t>
            </w:r>
            <w:r>
              <w:rPr>
                <w:spacing w:val="-2"/>
                <w:sz w:val="20"/>
              </w:rPr>
              <w:t>Z00.8,</w:t>
            </w:r>
          </w:p>
          <w:p>
            <w:pPr>
              <w:pStyle w:val="TableParagraph"/>
              <w:spacing w:line="229" w:lineRule="exact" w:before="1"/>
              <w:ind w:left="197" w:right="932"/>
              <w:jc w:val="center"/>
              <w:rPr>
                <w:sz w:val="20"/>
              </w:rPr>
            </w:pPr>
            <w:r>
              <w:rPr>
                <w:sz w:val="20"/>
              </w:rPr>
              <w:t>Z01,</w:t>
            </w:r>
            <w:r>
              <w:rPr>
                <w:spacing w:val="-5"/>
                <w:sz w:val="20"/>
              </w:rPr>
              <w:t> </w:t>
            </w:r>
            <w:r>
              <w:rPr>
                <w:sz w:val="20"/>
              </w:rPr>
              <w:t>Z01.0,</w:t>
            </w:r>
            <w:r>
              <w:rPr>
                <w:spacing w:val="-4"/>
                <w:sz w:val="20"/>
              </w:rPr>
              <w:t> </w:t>
            </w:r>
            <w:r>
              <w:rPr>
                <w:sz w:val="20"/>
              </w:rPr>
              <w:t>Z01.1,</w:t>
            </w:r>
            <w:r>
              <w:rPr>
                <w:spacing w:val="-4"/>
                <w:sz w:val="20"/>
              </w:rPr>
              <w:t> </w:t>
            </w:r>
            <w:r>
              <w:rPr>
                <w:sz w:val="20"/>
              </w:rPr>
              <w:t>Z01.2,</w:t>
            </w:r>
            <w:r>
              <w:rPr>
                <w:spacing w:val="-4"/>
                <w:sz w:val="20"/>
              </w:rPr>
              <w:t> </w:t>
            </w:r>
            <w:r>
              <w:rPr>
                <w:sz w:val="20"/>
              </w:rPr>
              <w:t>Z01.3,</w:t>
            </w:r>
            <w:r>
              <w:rPr>
                <w:spacing w:val="-4"/>
                <w:sz w:val="20"/>
              </w:rPr>
              <w:t> </w:t>
            </w:r>
            <w:r>
              <w:rPr>
                <w:sz w:val="20"/>
              </w:rPr>
              <w:t>Z01.4,</w:t>
            </w:r>
            <w:r>
              <w:rPr>
                <w:spacing w:val="-4"/>
                <w:sz w:val="20"/>
              </w:rPr>
              <w:t> </w:t>
            </w:r>
            <w:r>
              <w:rPr>
                <w:spacing w:val="-2"/>
                <w:sz w:val="20"/>
              </w:rPr>
              <w:t>Z01.5,</w:t>
            </w:r>
          </w:p>
          <w:p>
            <w:pPr>
              <w:pStyle w:val="TableParagraph"/>
              <w:spacing w:line="229" w:lineRule="exact"/>
              <w:ind w:left="195" w:right="937"/>
              <w:jc w:val="center"/>
              <w:rPr>
                <w:sz w:val="20"/>
              </w:rPr>
            </w:pPr>
            <w:r>
              <w:rPr>
                <w:sz w:val="20"/>
              </w:rPr>
              <w:t>Z01.6,</w:t>
            </w:r>
            <w:r>
              <w:rPr>
                <w:spacing w:val="-5"/>
                <w:sz w:val="20"/>
              </w:rPr>
              <w:t> </w:t>
            </w:r>
            <w:r>
              <w:rPr>
                <w:sz w:val="20"/>
              </w:rPr>
              <w:t>Z01.7,</w:t>
            </w:r>
            <w:r>
              <w:rPr>
                <w:spacing w:val="-5"/>
                <w:sz w:val="20"/>
              </w:rPr>
              <w:t> </w:t>
            </w:r>
            <w:r>
              <w:rPr>
                <w:sz w:val="20"/>
              </w:rPr>
              <w:t>Z01.8,</w:t>
            </w:r>
            <w:r>
              <w:rPr>
                <w:spacing w:val="-4"/>
                <w:sz w:val="20"/>
              </w:rPr>
              <w:t> </w:t>
            </w:r>
            <w:r>
              <w:rPr>
                <w:sz w:val="20"/>
              </w:rPr>
              <w:t>Z01.9,</w:t>
            </w:r>
            <w:r>
              <w:rPr>
                <w:spacing w:val="-5"/>
                <w:sz w:val="20"/>
              </w:rPr>
              <w:t> </w:t>
            </w:r>
            <w:r>
              <w:rPr>
                <w:sz w:val="20"/>
              </w:rPr>
              <w:t>Z02,</w:t>
            </w:r>
            <w:r>
              <w:rPr>
                <w:spacing w:val="-5"/>
                <w:sz w:val="20"/>
              </w:rPr>
              <w:t> </w:t>
            </w:r>
            <w:r>
              <w:rPr>
                <w:sz w:val="20"/>
              </w:rPr>
              <w:t>Z02.0,</w:t>
            </w:r>
            <w:r>
              <w:rPr>
                <w:spacing w:val="-6"/>
                <w:sz w:val="20"/>
              </w:rPr>
              <w:t> </w:t>
            </w:r>
            <w:r>
              <w:rPr>
                <w:spacing w:val="-2"/>
                <w:sz w:val="20"/>
              </w:rPr>
              <w:t>Z02.1,</w:t>
            </w:r>
          </w:p>
          <w:p>
            <w:pPr>
              <w:pStyle w:val="TableParagraph"/>
              <w:ind w:left="196"/>
              <w:rPr>
                <w:sz w:val="20"/>
              </w:rPr>
            </w:pPr>
            <w:r>
              <w:rPr>
                <w:sz w:val="20"/>
              </w:rPr>
              <w:t>Z02.2,</w:t>
            </w:r>
            <w:r>
              <w:rPr>
                <w:spacing w:val="-6"/>
                <w:sz w:val="20"/>
              </w:rPr>
              <w:t> </w:t>
            </w:r>
            <w:r>
              <w:rPr>
                <w:sz w:val="20"/>
              </w:rPr>
              <w:t>Z02.3,</w:t>
            </w:r>
            <w:r>
              <w:rPr>
                <w:spacing w:val="-5"/>
                <w:sz w:val="20"/>
              </w:rPr>
              <w:t> </w:t>
            </w:r>
            <w:r>
              <w:rPr>
                <w:sz w:val="20"/>
              </w:rPr>
              <w:t>Z02.4,</w:t>
            </w:r>
            <w:r>
              <w:rPr>
                <w:spacing w:val="-5"/>
                <w:sz w:val="20"/>
              </w:rPr>
              <w:t> </w:t>
            </w:r>
            <w:r>
              <w:rPr>
                <w:sz w:val="20"/>
              </w:rPr>
              <w:t>Z02.5,</w:t>
            </w:r>
            <w:r>
              <w:rPr>
                <w:spacing w:val="-5"/>
                <w:sz w:val="20"/>
              </w:rPr>
              <w:t> </w:t>
            </w:r>
            <w:r>
              <w:rPr>
                <w:sz w:val="20"/>
              </w:rPr>
              <w:t>Z02.6,</w:t>
            </w:r>
            <w:r>
              <w:rPr>
                <w:spacing w:val="-5"/>
                <w:sz w:val="20"/>
              </w:rPr>
              <w:t> </w:t>
            </w:r>
            <w:r>
              <w:rPr>
                <w:sz w:val="20"/>
              </w:rPr>
              <w:t>Z02.7,</w:t>
            </w:r>
            <w:r>
              <w:rPr>
                <w:spacing w:val="-5"/>
                <w:sz w:val="20"/>
              </w:rPr>
              <w:t> </w:t>
            </w:r>
            <w:r>
              <w:rPr>
                <w:spacing w:val="-2"/>
                <w:sz w:val="20"/>
              </w:rPr>
              <w:t>Z02.8,</w:t>
            </w:r>
          </w:p>
          <w:p>
            <w:pPr>
              <w:pStyle w:val="TableParagraph"/>
              <w:spacing w:before="1"/>
              <w:ind w:left="271"/>
              <w:rPr>
                <w:sz w:val="20"/>
              </w:rPr>
            </w:pPr>
            <w:r>
              <w:rPr>
                <w:sz w:val="20"/>
              </w:rPr>
              <w:t>Z02.9,</w:t>
            </w:r>
            <w:r>
              <w:rPr>
                <w:spacing w:val="-6"/>
                <w:sz w:val="20"/>
              </w:rPr>
              <w:t> </w:t>
            </w:r>
            <w:r>
              <w:rPr>
                <w:sz w:val="20"/>
              </w:rPr>
              <w:t>Z03,</w:t>
            </w:r>
            <w:r>
              <w:rPr>
                <w:spacing w:val="-5"/>
                <w:sz w:val="20"/>
              </w:rPr>
              <w:t> </w:t>
            </w:r>
            <w:r>
              <w:rPr>
                <w:sz w:val="20"/>
              </w:rPr>
              <w:t>Z03.0,</w:t>
            </w:r>
            <w:r>
              <w:rPr>
                <w:spacing w:val="-5"/>
                <w:sz w:val="20"/>
              </w:rPr>
              <w:t> </w:t>
            </w:r>
            <w:r>
              <w:rPr>
                <w:sz w:val="20"/>
              </w:rPr>
              <w:t>Z03.1,</w:t>
            </w:r>
            <w:r>
              <w:rPr>
                <w:spacing w:val="-5"/>
                <w:sz w:val="20"/>
              </w:rPr>
              <w:t> </w:t>
            </w:r>
            <w:r>
              <w:rPr>
                <w:sz w:val="20"/>
              </w:rPr>
              <w:t>Z03.2,</w:t>
            </w:r>
            <w:r>
              <w:rPr>
                <w:spacing w:val="-5"/>
                <w:sz w:val="20"/>
              </w:rPr>
              <w:t> </w:t>
            </w:r>
            <w:r>
              <w:rPr>
                <w:sz w:val="20"/>
              </w:rPr>
              <w:t>Z03.3,</w:t>
            </w:r>
            <w:r>
              <w:rPr>
                <w:spacing w:val="-5"/>
                <w:sz w:val="20"/>
              </w:rPr>
              <w:t> </w:t>
            </w:r>
            <w:r>
              <w:rPr>
                <w:spacing w:val="-2"/>
                <w:sz w:val="20"/>
              </w:rPr>
              <w:t>Z03.4,</w:t>
            </w:r>
          </w:p>
          <w:p>
            <w:pPr>
              <w:pStyle w:val="TableParagraph"/>
              <w:ind w:left="271"/>
              <w:rPr>
                <w:sz w:val="20"/>
              </w:rPr>
            </w:pPr>
            <w:r>
              <w:rPr>
                <w:sz w:val="20"/>
              </w:rPr>
              <w:t>Z03.5,</w:t>
            </w:r>
            <w:r>
              <w:rPr>
                <w:spacing w:val="-5"/>
                <w:sz w:val="20"/>
              </w:rPr>
              <w:t> </w:t>
            </w:r>
            <w:r>
              <w:rPr>
                <w:sz w:val="20"/>
              </w:rPr>
              <w:t>Z03.6,</w:t>
            </w:r>
            <w:r>
              <w:rPr>
                <w:spacing w:val="-5"/>
                <w:sz w:val="20"/>
              </w:rPr>
              <w:t> </w:t>
            </w:r>
            <w:r>
              <w:rPr>
                <w:sz w:val="20"/>
              </w:rPr>
              <w:t>Z03.8,</w:t>
            </w:r>
            <w:r>
              <w:rPr>
                <w:spacing w:val="-4"/>
                <w:sz w:val="20"/>
              </w:rPr>
              <w:t> </w:t>
            </w:r>
            <w:r>
              <w:rPr>
                <w:sz w:val="20"/>
              </w:rPr>
              <w:t>Z03.9,</w:t>
            </w:r>
            <w:r>
              <w:rPr>
                <w:spacing w:val="-5"/>
                <w:sz w:val="20"/>
              </w:rPr>
              <w:t> </w:t>
            </w:r>
            <w:r>
              <w:rPr>
                <w:sz w:val="20"/>
              </w:rPr>
              <w:t>Z04,</w:t>
            </w:r>
            <w:r>
              <w:rPr>
                <w:spacing w:val="-5"/>
                <w:sz w:val="20"/>
              </w:rPr>
              <w:t> </w:t>
            </w:r>
            <w:r>
              <w:rPr>
                <w:sz w:val="20"/>
              </w:rPr>
              <w:t>Z04.0,</w:t>
            </w:r>
            <w:r>
              <w:rPr>
                <w:spacing w:val="-6"/>
                <w:sz w:val="20"/>
              </w:rPr>
              <w:t> </w:t>
            </w:r>
            <w:r>
              <w:rPr>
                <w:spacing w:val="-2"/>
                <w:sz w:val="20"/>
              </w:rPr>
              <w:t>Z04.1,</w:t>
            </w:r>
          </w:p>
          <w:p>
            <w:pPr>
              <w:pStyle w:val="TableParagraph"/>
              <w:ind w:left="196"/>
              <w:rPr>
                <w:sz w:val="20"/>
              </w:rPr>
            </w:pPr>
            <w:r>
              <w:rPr>
                <w:sz w:val="20"/>
              </w:rPr>
              <w:t>Z04.2,</w:t>
            </w:r>
            <w:r>
              <w:rPr>
                <w:spacing w:val="-6"/>
                <w:sz w:val="20"/>
              </w:rPr>
              <w:t> </w:t>
            </w:r>
            <w:r>
              <w:rPr>
                <w:sz w:val="20"/>
              </w:rPr>
              <w:t>Z04.3,</w:t>
            </w:r>
            <w:r>
              <w:rPr>
                <w:spacing w:val="-5"/>
                <w:sz w:val="20"/>
              </w:rPr>
              <w:t> </w:t>
            </w:r>
            <w:r>
              <w:rPr>
                <w:sz w:val="20"/>
              </w:rPr>
              <w:t>Z04.4,</w:t>
            </w:r>
            <w:r>
              <w:rPr>
                <w:spacing w:val="-5"/>
                <w:sz w:val="20"/>
              </w:rPr>
              <w:t> </w:t>
            </w:r>
            <w:r>
              <w:rPr>
                <w:sz w:val="20"/>
              </w:rPr>
              <w:t>Z04.5,</w:t>
            </w:r>
            <w:r>
              <w:rPr>
                <w:spacing w:val="-5"/>
                <w:sz w:val="20"/>
              </w:rPr>
              <w:t> </w:t>
            </w:r>
            <w:r>
              <w:rPr>
                <w:sz w:val="20"/>
              </w:rPr>
              <w:t>Z04.6,</w:t>
            </w:r>
            <w:r>
              <w:rPr>
                <w:spacing w:val="-5"/>
                <w:sz w:val="20"/>
              </w:rPr>
              <w:t> </w:t>
            </w:r>
            <w:r>
              <w:rPr>
                <w:sz w:val="20"/>
              </w:rPr>
              <w:t>Z04.8,</w:t>
            </w:r>
            <w:r>
              <w:rPr>
                <w:spacing w:val="-5"/>
                <w:sz w:val="20"/>
              </w:rPr>
              <w:t> </w:t>
            </w:r>
            <w:r>
              <w:rPr>
                <w:spacing w:val="-2"/>
                <w:sz w:val="20"/>
              </w:rPr>
              <w:t>Z04.9,</w:t>
            </w:r>
          </w:p>
          <w:p>
            <w:pPr>
              <w:pStyle w:val="TableParagraph"/>
              <w:spacing w:line="229" w:lineRule="exact" w:before="1"/>
              <w:ind w:left="271"/>
              <w:rPr>
                <w:sz w:val="20"/>
              </w:rPr>
            </w:pPr>
            <w:r>
              <w:rPr>
                <w:sz w:val="20"/>
              </w:rPr>
              <w:t>Z08,</w:t>
            </w:r>
            <w:r>
              <w:rPr>
                <w:spacing w:val="-5"/>
                <w:sz w:val="20"/>
              </w:rPr>
              <w:t> </w:t>
            </w:r>
            <w:r>
              <w:rPr>
                <w:sz w:val="20"/>
              </w:rPr>
              <w:t>Z08.0,</w:t>
            </w:r>
            <w:r>
              <w:rPr>
                <w:spacing w:val="-5"/>
                <w:sz w:val="20"/>
              </w:rPr>
              <w:t> </w:t>
            </w:r>
            <w:r>
              <w:rPr>
                <w:sz w:val="20"/>
              </w:rPr>
              <w:t>Z08.1,</w:t>
            </w:r>
            <w:r>
              <w:rPr>
                <w:spacing w:val="-5"/>
                <w:sz w:val="20"/>
              </w:rPr>
              <w:t> </w:t>
            </w:r>
            <w:r>
              <w:rPr>
                <w:sz w:val="20"/>
              </w:rPr>
              <w:t>Z08.2,</w:t>
            </w:r>
            <w:r>
              <w:rPr>
                <w:spacing w:val="-5"/>
                <w:sz w:val="20"/>
              </w:rPr>
              <w:t> </w:t>
            </w:r>
            <w:r>
              <w:rPr>
                <w:sz w:val="20"/>
              </w:rPr>
              <w:t>Z08.7,</w:t>
            </w:r>
            <w:r>
              <w:rPr>
                <w:spacing w:val="-5"/>
                <w:sz w:val="20"/>
              </w:rPr>
              <w:t> </w:t>
            </w:r>
            <w:r>
              <w:rPr>
                <w:sz w:val="20"/>
              </w:rPr>
              <w:t>Z08.8,</w:t>
            </w:r>
            <w:r>
              <w:rPr>
                <w:spacing w:val="-5"/>
                <w:sz w:val="20"/>
              </w:rPr>
              <w:t> </w:t>
            </w:r>
            <w:r>
              <w:rPr>
                <w:spacing w:val="-2"/>
                <w:sz w:val="20"/>
              </w:rPr>
              <w:t>Z08.9,</w:t>
            </w:r>
          </w:p>
          <w:p>
            <w:pPr>
              <w:pStyle w:val="TableParagraph"/>
              <w:spacing w:line="229" w:lineRule="exact"/>
              <w:ind w:left="271"/>
              <w:rPr>
                <w:sz w:val="20"/>
              </w:rPr>
            </w:pPr>
            <w:r>
              <w:rPr>
                <w:sz w:val="20"/>
              </w:rPr>
              <w:t>Z09,</w:t>
            </w:r>
            <w:r>
              <w:rPr>
                <w:spacing w:val="-6"/>
                <w:sz w:val="20"/>
              </w:rPr>
              <w:t> </w:t>
            </w:r>
            <w:r>
              <w:rPr>
                <w:sz w:val="20"/>
              </w:rPr>
              <w:t>Z09.0,</w:t>
            </w:r>
            <w:r>
              <w:rPr>
                <w:spacing w:val="-5"/>
                <w:sz w:val="20"/>
              </w:rPr>
              <w:t> </w:t>
            </w:r>
            <w:r>
              <w:rPr>
                <w:sz w:val="20"/>
              </w:rPr>
              <w:t>Z09.1,</w:t>
            </w:r>
            <w:r>
              <w:rPr>
                <w:spacing w:val="-5"/>
                <w:sz w:val="20"/>
              </w:rPr>
              <w:t> </w:t>
            </w:r>
            <w:r>
              <w:rPr>
                <w:sz w:val="20"/>
              </w:rPr>
              <w:t>Z09.2,</w:t>
            </w:r>
            <w:r>
              <w:rPr>
                <w:spacing w:val="-5"/>
                <w:sz w:val="20"/>
              </w:rPr>
              <w:t> </w:t>
            </w:r>
            <w:r>
              <w:rPr>
                <w:sz w:val="20"/>
              </w:rPr>
              <w:t>Z09.3,</w:t>
            </w:r>
            <w:r>
              <w:rPr>
                <w:spacing w:val="-5"/>
                <w:sz w:val="20"/>
              </w:rPr>
              <w:t> </w:t>
            </w:r>
            <w:r>
              <w:rPr>
                <w:sz w:val="20"/>
              </w:rPr>
              <w:t>Z09.4,</w:t>
            </w:r>
            <w:r>
              <w:rPr>
                <w:spacing w:val="-5"/>
                <w:sz w:val="20"/>
              </w:rPr>
              <w:t> </w:t>
            </w:r>
            <w:r>
              <w:rPr>
                <w:spacing w:val="-2"/>
                <w:sz w:val="20"/>
              </w:rPr>
              <w:t>Z09.7,</w:t>
            </w:r>
          </w:p>
          <w:p>
            <w:pPr>
              <w:pStyle w:val="TableParagraph"/>
              <w:ind w:left="271"/>
              <w:rPr>
                <w:sz w:val="20"/>
              </w:rPr>
            </w:pPr>
            <w:r>
              <w:rPr>
                <w:sz w:val="20"/>
              </w:rPr>
              <w:t>Z09.8,</w:t>
            </w:r>
            <w:r>
              <w:rPr>
                <w:spacing w:val="-6"/>
                <w:sz w:val="20"/>
              </w:rPr>
              <w:t> </w:t>
            </w:r>
            <w:r>
              <w:rPr>
                <w:sz w:val="20"/>
              </w:rPr>
              <w:t>Z09.9,</w:t>
            </w:r>
            <w:r>
              <w:rPr>
                <w:spacing w:val="-5"/>
                <w:sz w:val="20"/>
              </w:rPr>
              <w:t> </w:t>
            </w:r>
            <w:r>
              <w:rPr>
                <w:sz w:val="20"/>
              </w:rPr>
              <w:t>Z10,</w:t>
            </w:r>
            <w:r>
              <w:rPr>
                <w:spacing w:val="-5"/>
                <w:sz w:val="20"/>
              </w:rPr>
              <w:t> </w:t>
            </w:r>
            <w:r>
              <w:rPr>
                <w:sz w:val="20"/>
              </w:rPr>
              <w:t>Z10.0,</w:t>
            </w:r>
            <w:r>
              <w:rPr>
                <w:spacing w:val="-5"/>
                <w:sz w:val="20"/>
              </w:rPr>
              <w:t> </w:t>
            </w:r>
            <w:r>
              <w:rPr>
                <w:sz w:val="20"/>
              </w:rPr>
              <w:t>Z10.1,</w:t>
            </w:r>
            <w:r>
              <w:rPr>
                <w:spacing w:val="-5"/>
                <w:sz w:val="20"/>
              </w:rPr>
              <w:t> </w:t>
            </w:r>
            <w:r>
              <w:rPr>
                <w:sz w:val="20"/>
              </w:rPr>
              <w:t>Z10.2,</w:t>
            </w:r>
            <w:r>
              <w:rPr>
                <w:spacing w:val="-5"/>
                <w:sz w:val="20"/>
              </w:rPr>
              <w:t> </w:t>
            </w:r>
            <w:r>
              <w:rPr>
                <w:spacing w:val="-2"/>
                <w:sz w:val="20"/>
              </w:rPr>
              <w:t>Z10.3,</w:t>
            </w:r>
          </w:p>
          <w:p>
            <w:pPr>
              <w:pStyle w:val="TableParagraph"/>
              <w:spacing w:before="1"/>
              <w:ind w:left="271"/>
              <w:rPr>
                <w:sz w:val="20"/>
              </w:rPr>
            </w:pPr>
            <w:r>
              <w:rPr>
                <w:sz w:val="20"/>
              </w:rPr>
              <w:t>Z10.8,</w:t>
            </w:r>
            <w:r>
              <w:rPr>
                <w:spacing w:val="-6"/>
                <w:sz w:val="20"/>
              </w:rPr>
              <w:t> </w:t>
            </w:r>
            <w:r>
              <w:rPr>
                <w:sz w:val="20"/>
              </w:rPr>
              <w:t>Z11,</w:t>
            </w:r>
            <w:r>
              <w:rPr>
                <w:spacing w:val="-5"/>
                <w:sz w:val="20"/>
              </w:rPr>
              <w:t> </w:t>
            </w:r>
            <w:r>
              <w:rPr>
                <w:sz w:val="20"/>
              </w:rPr>
              <w:t>Z11.0,</w:t>
            </w:r>
            <w:r>
              <w:rPr>
                <w:spacing w:val="-5"/>
                <w:sz w:val="20"/>
              </w:rPr>
              <w:t> </w:t>
            </w:r>
            <w:r>
              <w:rPr>
                <w:sz w:val="20"/>
              </w:rPr>
              <w:t>Z11.1,</w:t>
            </w:r>
            <w:r>
              <w:rPr>
                <w:spacing w:val="-5"/>
                <w:sz w:val="20"/>
              </w:rPr>
              <w:t> </w:t>
            </w:r>
            <w:r>
              <w:rPr>
                <w:sz w:val="20"/>
              </w:rPr>
              <w:t>Z11.2,</w:t>
            </w:r>
            <w:r>
              <w:rPr>
                <w:spacing w:val="-5"/>
                <w:sz w:val="20"/>
              </w:rPr>
              <w:t> </w:t>
            </w:r>
            <w:r>
              <w:rPr>
                <w:sz w:val="20"/>
              </w:rPr>
              <w:t>Z11.3,</w:t>
            </w:r>
            <w:r>
              <w:rPr>
                <w:spacing w:val="-5"/>
                <w:sz w:val="20"/>
              </w:rPr>
              <w:t> </w:t>
            </w:r>
            <w:r>
              <w:rPr>
                <w:spacing w:val="-2"/>
                <w:sz w:val="20"/>
              </w:rPr>
              <w:t>Z11.4,</w:t>
            </w:r>
          </w:p>
          <w:p>
            <w:pPr>
              <w:pStyle w:val="TableParagraph"/>
              <w:ind w:left="271"/>
              <w:rPr>
                <w:sz w:val="20"/>
              </w:rPr>
            </w:pPr>
            <w:r>
              <w:rPr>
                <w:sz w:val="20"/>
              </w:rPr>
              <w:t>Z11.5,</w:t>
            </w:r>
            <w:r>
              <w:rPr>
                <w:spacing w:val="-5"/>
                <w:sz w:val="20"/>
              </w:rPr>
              <w:t> </w:t>
            </w:r>
            <w:r>
              <w:rPr>
                <w:sz w:val="20"/>
              </w:rPr>
              <w:t>Z11.6,</w:t>
            </w:r>
            <w:r>
              <w:rPr>
                <w:spacing w:val="-5"/>
                <w:sz w:val="20"/>
              </w:rPr>
              <w:t> </w:t>
            </w:r>
            <w:r>
              <w:rPr>
                <w:sz w:val="20"/>
              </w:rPr>
              <w:t>Z11.8,</w:t>
            </w:r>
            <w:r>
              <w:rPr>
                <w:spacing w:val="-4"/>
                <w:sz w:val="20"/>
              </w:rPr>
              <w:t> </w:t>
            </w:r>
            <w:r>
              <w:rPr>
                <w:sz w:val="20"/>
              </w:rPr>
              <w:t>Z11.9,</w:t>
            </w:r>
            <w:r>
              <w:rPr>
                <w:spacing w:val="-5"/>
                <w:sz w:val="20"/>
              </w:rPr>
              <w:t> </w:t>
            </w:r>
            <w:r>
              <w:rPr>
                <w:sz w:val="20"/>
              </w:rPr>
              <w:t>Z12,</w:t>
            </w:r>
            <w:r>
              <w:rPr>
                <w:spacing w:val="-5"/>
                <w:sz w:val="20"/>
              </w:rPr>
              <w:t> </w:t>
            </w:r>
            <w:r>
              <w:rPr>
                <w:sz w:val="20"/>
              </w:rPr>
              <w:t>Z12.0,</w:t>
            </w:r>
            <w:r>
              <w:rPr>
                <w:spacing w:val="-6"/>
                <w:sz w:val="20"/>
              </w:rPr>
              <w:t> </w:t>
            </w:r>
            <w:r>
              <w:rPr>
                <w:spacing w:val="-2"/>
                <w:sz w:val="20"/>
              </w:rPr>
              <w:t>Z12.1,</w:t>
            </w:r>
          </w:p>
          <w:p>
            <w:pPr>
              <w:pStyle w:val="TableParagraph"/>
              <w:spacing w:before="1"/>
              <w:ind w:left="196"/>
              <w:rPr>
                <w:sz w:val="20"/>
              </w:rPr>
            </w:pPr>
            <w:r>
              <w:rPr>
                <w:sz w:val="20"/>
              </w:rPr>
              <w:t>Z12.2,</w:t>
            </w:r>
            <w:r>
              <w:rPr>
                <w:spacing w:val="-5"/>
                <w:sz w:val="20"/>
              </w:rPr>
              <w:t> </w:t>
            </w:r>
            <w:r>
              <w:rPr>
                <w:sz w:val="20"/>
              </w:rPr>
              <w:t>Z12.3,</w:t>
            </w:r>
            <w:r>
              <w:rPr>
                <w:spacing w:val="-5"/>
                <w:sz w:val="20"/>
              </w:rPr>
              <w:t> </w:t>
            </w:r>
            <w:r>
              <w:rPr>
                <w:sz w:val="20"/>
              </w:rPr>
              <w:t>Z12.4,</w:t>
            </w:r>
            <w:r>
              <w:rPr>
                <w:spacing w:val="-5"/>
                <w:sz w:val="20"/>
              </w:rPr>
              <w:t> </w:t>
            </w:r>
            <w:r>
              <w:rPr>
                <w:sz w:val="20"/>
              </w:rPr>
              <w:t>Z12.5,</w:t>
            </w:r>
            <w:r>
              <w:rPr>
                <w:spacing w:val="-1"/>
                <w:sz w:val="20"/>
              </w:rPr>
              <w:t> </w:t>
            </w:r>
            <w:r>
              <w:rPr>
                <w:sz w:val="20"/>
              </w:rPr>
              <w:t>Z12.6,</w:t>
            </w:r>
            <w:r>
              <w:rPr>
                <w:spacing w:val="-5"/>
                <w:sz w:val="20"/>
              </w:rPr>
              <w:t> </w:t>
            </w:r>
            <w:r>
              <w:rPr>
                <w:sz w:val="20"/>
              </w:rPr>
              <w:t>Z12.8,</w:t>
            </w:r>
            <w:r>
              <w:rPr>
                <w:spacing w:val="-5"/>
                <w:sz w:val="20"/>
              </w:rPr>
              <w:t> </w:t>
            </w:r>
            <w:r>
              <w:rPr>
                <w:spacing w:val="-2"/>
                <w:sz w:val="20"/>
              </w:rPr>
              <w:t>Z12.9,</w:t>
            </w:r>
          </w:p>
          <w:p>
            <w:pPr>
              <w:pStyle w:val="TableParagraph"/>
              <w:spacing w:line="229" w:lineRule="exact"/>
              <w:ind w:left="271"/>
              <w:rPr>
                <w:sz w:val="20"/>
              </w:rPr>
            </w:pPr>
            <w:r>
              <w:rPr>
                <w:sz w:val="20"/>
              </w:rPr>
              <w:t>Z13,</w:t>
            </w:r>
            <w:r>
              <w:rPr>
                <w:spacing w:val="-6"/>
                <w:sz w:val="20"/>
              </w:rPr>
              <w:t> </w:t>
            </w:r>
            <w:r>
              <w:rPr>
                <w:sz w:val="20"/>
              </w:rPr>
              <w:t>Z13.0,</w:t>
            </w:r>
            <w:r>
              <w:rPr>
                <w:spacing w:val="-5"/>
                <w:sz w:val="20"/>
              </w:rPr>
              <w:t> </w:t>
            </w:r>
            <w:r>
              <w:rPr>
                <w:sz w:val="20"/>
              </w:rPr>
              <w:t>Z13.1,</w:t>
            </w:r>
            <w:r>
              <w:rPr>
                <w:spacing w:val="-5"/>
                <w:sz w:val="20"/>
              </w:rPr>
              <w:t> </w:t>
            </w:r>
            <w:r>
              <w:rPr>
                <w:sz w:val="20"/>
              </w:rPr>
              <w:t>Z13.2,</w:t>
            </w:r>
            <w:r>
              <w:rPr>
                <w:spacing w:val="-5"/>
                <w:sz w:val="20"/>
              </w:rPr>
              <w:t> </w:t>
            </w:r>
            <w:r>
              <w:rPr>
                <w:sz w:val="20"/>
              </w:rPr>
              <w:t>Z13.3,</w:t>
            </w:r>
            <w:r>
              <w:rPr>
                <w:spacing w:val="-5"/>
                <w:sz w:val="20"/>
              </w:rPr>
              <w:t> </w:t>
            </w:r>
            <w:r>
              <w:rPr>
                <w:sz w:val="20"/>
              </w:rPr>
              <w:t>Z13.4,</w:t>
            </w:r>
            <w:r>
              <w:rPr>
                <w:spacing w:val="-5"/>
                <w:sz w:val="20"/>
              </w:rPr>
              <w:t> </w:t>
            </w:r>
            <w:r>
              <w:rPr>
                <w:spacing w:val="-2"/>
                <w:sz w:val="20"/>
              </w:rPr>
              <w:t>Z13.5,</w:t>
            </w:r>
          </w:p>
          <w:p>
            <w:pPr>
              <w:pStyle w:val="TableParagraph"/>
              <w:spacing w:line="229" w:lineRule="exact"/>
              <w:ind w:left="271"/>
              <w:rPr>
                <w:sz w:val="20"/>
              </w:rPr>
            </w:pPr>
            <w:r>
              <w:rPr>
                <w:sz w:val="20"/>
              </w:rPr>
              <w:t>Z13.6,</w:t>
            </w:r>
            <w:r>
              <w:rPr>
                <w:spacing w:val="-5"/>
                <w:sz w:val="20"/>
              </w:rPr>
              <w:t> </w:t>
            </w:r>
            <w:r>
              <w:rPr>
                <w:sz w:val="20"/>
              </w:rPr>
              <w:t>Z13.7,</w:t>
            </w:r>
            <w:r>
              <w:rPr>
                <w:spacing w:val="-5"/>
                <w:sz w:val="20"/>
              </w:rPr>
              <w:t> </w:t>
            </w:r>
            <w:r>
              <w:rPr>
                <w:sz w:val="20"/>
              </w:rPr>
              <w:t>Z13.8,</w:t>
            </w:r>
            <w:r>
              <w:rPr>
                <w:spacing w:val="-4"/>
                <w:sz w:val="20"/>
              </w:rPr>
              <w:t> </w:t>
            </w:r>
            <w:r>
              <w:rPr>
                <w:sz w:val="20"/>
              </w:rPr>
              <w:t>Z13.9,</w:t>
            </w:r>
            <w:r>
              <w:rPr>
                <w:spacing w:val="-5"/>
                <w:sz w:val="20"/>
              </w:rPr>
              <w:t> </w:t>
            </w:r>
            <w:r>
              <w:rPr>
                <w:sz w:val="20"/>
              </w:rPr>
              <w:t>Z20,</w:t>
            </w:r>
            <w:r>
              <w:rPr>
                <w:spacing w:val="-5"/>
                <w:sz w:val="20"/>
              </w:rPr>
              <w:t> </w:t>
            </w:r>
            <w:r>
              <w:rPr>
                <w:sz w:val="20"/>
              </w:rPr>
              <w:t>Z20.0,</w:t>
            </w:r>
            <w:r>
              <w:rPr>
                <w:spacing w:val="-6"/>
                <w:sz w:val="20"/>
              </w:rPr>
              <w:t> </w:t>
            </w:r>
            <w:r>
              <w:rPr>
                <w:spacing w:val="-2"/>
                <w:sz w:val="20"/>
              </w:rPr>
              <w:t>Z20.1,</w:t>
            </w:r>
          </w:p>
          <w:p>
            <w:pPr>
              <w:pStyle w:val="TableParagraph"/>
              <w:spacing w:before="1"/>
              <w:ind w:left="197" w:right="937"/>
              <w:jc w:val="center"/>
              <w:rPr>
                <w:sz w:val="20"/>
              </w:rPr>
            </w:pPr>
            <w:r>
              <w:rPr>
                <w:sz w:val="20"/>
              </w:rPr>
              <w:t>Z20.2,</w:t>
            </w:r>
            <w:r>
              <w:rPr>
                <w:spacing w:val="-6"/>
                <w:sz w:val="20"/>
              </w:rPr>
              <w:t> </w:t>
            </w:r>
            <w:r>
              <w:rPr>
                <w:sz w:val="20"/>
              </w:rPr>
              <w:t>Z20.3,</w:t>
            </w:r>
            <w:r>
              <w:rPr>
                <w:spacing w:val="-5"/>
                <w:sz w:val="20"/>
              </w:rPr>
              <w:t> </w:t>
            </w:r>
            <w:r>
              <w:rPr>
                <w:sz w:val="20"/>
              </w:rPr>
              <w:t>Z20.4,</w:t>
            </w:r>
            <w:r>
              <w:rPr>
                <w:spacing w:val="-5"/>
                <w:sz w:val="20"/>
              </w:rPr>
              <w:t> </w:t>
            </w:r>
            <w:r>
              <w:rPr>
                <w:sz w:val="20"/>
              </w:rPr>
              <w:t>Z20.5,</w:t>
            </w:r>
            <w:r>
              <w:rPr>
                <w:spacing w:val="-5"/>
                <w:sz w:val="20"/>
              </w:rPr>
              <w:t> </w:t>
            </w:r>
            <w:r>
              <w:rPr>
                <w:sz w:val="20"/>
              </w:rPr>
              <w:t>Z20.6,</w:t>
            </w:r>
            <w:r>
              <w:rPr>
                <w:spacing w:val="-5"/>
                <w:sz w:val="20"/>
              </w:rPr>
              <w:t> </w:t>
            </w:r>
            <w:r>
              <w:rPr>
                <w:sz w:val="20"/>
              </w:rPr>
              <w:t>Z20.7,</w:t>
            </w:r>
            <w:r>
              <w:rPr>
                <w:spacing w:val="-5"/>
                <w:sz w:val="20"/>
              </w:rPr>
              <w:t> </w:t>
            </w:r>
            <w:r>
              <w:rPr>
                <w:spacing w:val="-2"/>
                <w:sz w:val="20"/>
              </w:rPr>
              <w:t>Z20.8,</w:t>
            </w:r>
          </w:p>
          <w:p>
            <w:pPr>
              <w:pStyle w:val="TableParagraph"/>
              <w:ind w:left="343" w:right="1087"/>
              <w:jc w:val="center"/>
              <w:rPr>
                <w:sz w:val="20"/>
              </w:rPr>
            </w:pPr>
            <w:r>
              <w:rPr>
                <w:sz w:val="20"/>
              </w:rPr>
              <w:t>Z20.9,</w:t>
            </w:r>
            <w:r>
              <w:rPr>
                <w:spacing w:val="-5"/>
                <w:sz w:val="20"/>
              </w:rPr>
              <w:t> </w:t>
            </w:r>
            <w:r>
              <w:rPr>
                <w:sz w:val="20"/>
              </w:rPr>
              <w:t>Z21,</w:t>
            </w:r>
            <w:r>
              <w:rPr>
                <w:spacing w:val="-4"/>
                <w:sz w:val="20"/>
              </w:rPr>
              <w:t> </w:t>
            </w:r>
            <w:r>
              <w:rPr>
                <w:sz w:val="20"/>
              </w:rPr>
              <w:t>Z22,</w:t>
            </w:r>
            <w:r>
              <w:rPr>
                <w:spacing w:val="-5"/>
                <w:sz w:val="20"/>
              </w:rPr>
              <w:t> </w:t>
            </w:r>
            <w:r>
              <w:rPr>
                <w:sz w:val="20"/>
              </w:rPr>
              <w:t>Z22.0,</w:t>
            </w:r>
            <w:r>
              <w:rPr>
                <w:spacing w:val="-4"/>
                <w:sz w:val="20"/>
              </w:rPr>
              <w:t> </w:t>
            </w:r>
            <w:r>
              <w:rPr>
                <w:sz w:val="20"/>
              </w:rPr>
              <w:t>Z22.1,</w:t>
            </w:r>
            <w:r>
              <w:rPr>
                <w:spacing w:val="-4"/>
                <w:sz w:val="20"/>
              </w:rPr>
              <w:t> </w:t>
            </w:r>
            <w:r>
              <w:rPr>
                <w:sz w:val="20"/>
              </w:rPr>
              <w:t>Z22.2,</w:t>
            </w:r>
            <w:r>
              <w:rPr>
                <w:spacing w:val="-5"/>
                <w:sz w:val="20"/>
              </w:rPr>
              <w:t> </w:t>
            </w:r>
            <w:r>
              <w:rPr>
                <w:spacing w:val="-2"/>
                <w:sz w:val="20"/>
              </w:rPr>
              <w:t>Z22.3,</w:t>
            </w:r>
          </w:p>
          <w:p>
            <w:pPr>
              <w:pStyle w:val="TableParagraph"/>
              <w:spacing w:before="1"/>
              <w:ind w:left="195" w:right="937"/>
              <w:jc w:val="center"/>
              <w:rPr>
                <w:sz w:val="20"/>
              </w:rPr>
            </w:pPr>
            <w:r>
              <w:rPr>
                <w:sz w:val="20"/>
              </w:rPr>
              <w:t>Z22.4,</w:t>
            </w:r>
            <w:r>
              <w:rPr>
                <w:spacing w:val="-5"/>
                <w:sz w:val="20"/>
              </w:rPr>
              <w:t> </w:t>
            </w:r>
            <w:r>
              <w:rPr>
                <w:sz w:val="20"/>
              </w:rPr>
              <w:t>Z22.6,</w:t>
            </w:r>
            <w:r>
              <w:rPr>
                <w:spacing w:val="-5"/>
                <w:sz w:val="20"/>
              </w:rPr>
              <w:t> </w:t>
            </w:r>
            <w:r>
              <w:rPr>
                <w:sz w:val="20"/>
              </w:rPr>
              <w:t>Z22.8,</w:t>
            </w:r>
            <w:r>
              <w:rPr>
                <w:spacing w:val="-4"/>
                <w:sz w:val="20"/>
              </w:rPr>
              <w:t> </w:t>
            </w:r>
            <w:r>
              <w:rPr>
                <w:sz w:val="20"/>
              </w:rPr>
              <w:t>Z22.9,</w:t>
            </w:r>
            <w:r>
              <w:rPr>
                <w:spacing w:val="-5"/>
                <w:sz w:val="20"/>
              </w:rPr>
              <w:t> </w:t>
            </w:r>
            <w:r>
              <w:rPr>
                <w:sz w:val="20"/>
              </w:rPr>
              <w:t>Z23,</w:t>
            </w:r>
            <w:r>
              <w:rPr>
                <w:spacing w:val="-5"/>
                <w:sz w:val="20"/>
              </w:rPr>
              <w:t> </w:t>
            </w:r>
            <w:r>
              <w:rPr>
                <w:sz w:val="20"/>
              </w:rPr>
              <w:t>Z23.0,</w:t>
            </w:r>
            <w:r>
              <w:rPr>
                <w:spacing w:val="-6"/>
                <w:sz w:val="20"/>
              </w:rPr>
              <w:t> </w:t>
            </w:r>
            <w:r>
              <w:rPr>
                <w:spacing w:val="-2"/>
                <w:sz w:val="20"/>
              </w:rPr>
              <w:t>Z23.1,</w:t>
            </w:r>
          </w:p>
          <w:p>
            <w:pPr>
              <w:pStyle w:val="TableParagraph"/>
              <w:spacing w:line="229" w:lineRule="exact"/>
              <w:ind w:left="197" w:right="937"/>
              <w:jc w:val="center"/>
              <w:rPr>
                <w:sz w:val="20"/>
              </w:rPr>
            </w:pPr>
            <w:r>
              <w:rPr>
                <w:sz w:val="20"/>
              </w:rPr>
              <w:t>Z23.2,</w:t>
            </w:r>
            <w:r>
              <w:rPr>
                <w:spacing w:val="-6"/>
                <w:sz w:val="20"/>
              </w:rPr>
              <w:t> </w:t>
            </w:r>
            <w:r>
              <w:rPr>
                <w:sz w:val="20"/>
              </w:rPr>
              <w:t>Z23.3,</w:t>
            </w:r>
            <w:r>
              <w:rPr>
                <w:spacing w:val="-5"/>
                <w:sz w:val="20"/>
              </w:rPr>
              <w:t> </w:t>
            </w:r>
            <w:r>
              <w:rPr>
                <w:sz w:val="20"/>
              </w:rPr>
              <w:t>Z23.4,</w:t>
            </w:r>
            <w:r>
              <w:rPr>
                <w:spacing w:val="-5"/>
                <w:sz w:val="20"/>
              </w:rPr>
              <w:t> </w:t>
            </w:r>
            <w:r>
              <w:rPr>
                <w:sz w:val="20"/>
              </w:rPr>
              <w:t>Z23.5,</w:t>
            </w:r>
            <w:r>
              <w:rPr>
                <w:spacing w:val="-5"/>
                <w:sz w:val="20"/>
              </w:rPr>
              <w:t> </w:t>
            </w:r>
            <w:r>
              <w:rPr>
                <w:sz w:val="20"/>
              </w:rPr>
              <w:t>Z23.6,</w:t>
            </w:r>
            <w:r>
              <w:rPr>
                <w:spacing w:val="-5"/>
                <w:sz w:val="20"/>
              </w:rPr>
              <w:t> </w:t>
            </w:r>
            <w:r>
              <w:rPr>
                <w:sz w:val="20"/>
              </w:rPr>
              <w:t>Z23.7,</w:t>
            </w:r>
            <w:r>
              <w:rPr>
                <w:spacing w:val="-5"/>
                <w:sz w:val="20"/>
              </w:rPr>
              <w:t> </w:t>
            </w:r>
            <w:r>
              <w:rPr>
                <w:spacing w:val="-2"/>
                <w:sz w:val="20"/>
              </w:rPr>
              <w:t>Z23.8,</w:t>
            </w:r>
          </w:p>
          <w:p>
            <w:pPr>
              <w:pStyle w:val="TableParagraph"/>
              <w:spacing w:line="229" w:lineRule="exact"/>
              <w:ind w:left="195" w:right="937"/>
              <w:jc w:val="center"/>
              <w:rPr>
                <w:sz w:val="20"/>
              </w:rPr>
            </w:pPr>
            <w:r>
              <w:rPr>
                <w:sz w:val="20"/>
              </w:rPr>
              <w:t>Z24,</w:t>
            </w:r>
            <w:r>
              <w:rPr>
                <w:spacing w:val="-6"/>
                <w:sz w:val="20"/>
              </w:rPr>
              <w:t> </w:t>
            </w:r>
            <w:r>
              <w:rPr>
                <w:sz w:val="20"/>
              </w:rPr>
              <w:t>Z24.0,</w:t>
            </w:r>
            <w:r>
              <w:rPr>
                <w:spacing w:val="-5"/>
                <w:sz w:val="20"/>
              </w:rPr>
              <w:t> </w:t>
            </w:r>
            <w:r>
              <w:rPr>
                <w:sz w:val="20"/>
              </w:rPr>
              <w:t>Z24.1,</w:t>
            </w:r>
            <w:r>
              <w:rPr>
                <w:spacing w:val="-5"/>
                <w:sz w:val="20"/>
              </w:rPr>
              <w:t> </w:t>
            </w:r>
            <w:r>
              <w:rPr>
                <w:sz w:val="20"/>
              </w:rPr>
              <w:t>Z24.2,</w:t>
            </w:r>
            <w:r>
              <w:rPr>
                <w:spacing w:val="-5"/>
                <w:sz w:val="20"/>
              </w:rPr>
              <w:t> </w:t>
            </w:r>
            <w:r>
              <w:rPr>
                <w:sz w:val="20"/>
              </w:rPr>
              <w:t>Z24.3,</w:t>
            </w:r>
            <w:r>
              <w:rPr>
                <w:spacing w:val="-5"/>
                <w:sz w:val="20"/>
              </w:rPr>
              <w:t> </w:t>
            </w:r>
            <w:r>
              <w:rPr>
                <w:sz w:val="20"/>
              </w:rPr>
              <w:t>Z24.4,</w:t>
            </w:r>
            <w:r>
              <w:rPr>
                <w:spacing w:val="-5"/>
                <w:sz w:val="20"/>
              </w:rPr>
              <w:t> </w:t>
            </w:r>
            <w:r>
              <w:rPr>
                <w:spacing w:val="-2"/>
                <w:sz w:val="20"/>
              </w:rPr>
              <w:t>Z24.5,</w:t>
            </w:r>
          </w:p>
          <w:p>
            <w:pPr>
              <w:pStyle w:val="TableParagraph"/>
              <w:spacing w:before="1"/>
              <w:ind w:left="345"/>
              <w:rPr>
                <w:sz w:val="20"/>
              </w:rPr>
            </w:pPr>
            <w:r>
              <w:rPr>
                <w:sz w:val="20"/>
              </w:rPr>
              <w:t>Z24.6,</w:t>
            </w:r>
            <w:r>
              <w:rPr>
                <w:spacing w:val="-5"/>
                <w:sz w:val="20"/>
              </w:rPr>
              <w:t> </w:t>
            </w:r>
            <w:r>
              <w:rPr>
                <w:sz w:val="20"/>
              </w:rPr>
              <w:t>Z25,</w:t>
            </w:r>
            <w:r>
              <w:rPr>
                <w:spacing w:val="-5"/>
                <w:sz w:val="20"/>
              </w:rPr>
              <w:t> </w:t>
            </w:r>
            <w:r>
              <w:rPr>
                <w:sz w:val="20"/>
              </w:rPr>
              <w:t>Z25.0,</w:t>
            </w:r>
            <w:r>
              <w:rPr>
                <w:spacing w:val="-4"/>
                <w:sz w:val="20"/>
              </w:rPr>
              <w:t> </w:t>
            </w:r>
            <w:r>
              <w:rPr>
                <w:sz w:val="20"/>
              </w:rPr>
              <w:t>Z25.1,</w:t>
            </w:r>
            <w:r>
              <w:rPr>
                <w:spacing w:val="-5"/>
                <w:sz w:val="20"/>
              </w:rPr>
              <w:t> </w:t>
            </w:r>
            <w:r>
              <w:rPr>
                <w:sz w:val="20"/>
              </w:rPr>
              <w:t>Z25.8,</w:t>
            </w:r>
            <w:r>
              <w:rPr>
                <w:spacing w:val="-4"/>
                <w:sz w:val="20"/>
              </w:rPr>
              <w:t> </w:t>
            </w:r>
            <w:r>
              <w:rPr>
                <w:sz w:val="20"/>
              </w:rPr>
              <w:t>Z26,</w:t>
            </w:r>
            <w:r>
              <w:rPr>
                <w:spacing w:val="-5"/>
                <w:sz w:val="20"/>
              </w:rPr>
              <w:t> </w:t>
            </w:r>
            <w:r>
              <w:rPr>
                <w:spacing w:val="-2"/>
                <w:sz w:val="20"/>
              </w:rPr>
              <w:t>Z26.0,</w:t>
            </w:r>
          </w:p>
          <w:p>
            <w:pPr>
              <w:pStyle w:val="TableParagraph"/>
              <w:ind w:left="271"/>
              <w:rPr>
                <w:sz w:val="20"/>
              </w:rPr>
            </w:pPr>
            <w:r>
              <w:rPr>
                <w:sz w:val="20"/>
              </w:rPr>
              <w:t>Z26.8,</w:t>
            </w:r>
            <w:r>
              <w:rPr>
                <w:spacing w:val="-6"/>
                <w:sz w:val="20"/>
              </w:rPr>
              <w:t> </w:t>
            </w:r>
            <w:r>
              <w:rPr>
                <w:sz w:val="20"/>
              </w:rPr>
              <w:t>Z26.9,</w:t>
            </w:r>
            <w:r>
              <w:rPr>
                <w:spacing w:val="-5"/>
                <w:sz w:val="20"/>
              </w:rPr>
              <w:t> </w:t>
            </w:r>
            <w:r>
              <w:rPr>
                <w:sz w:val="20"/>
              </w:rPr>
              <w:t>Z27,</w:t>
            </w:r>
            <w:r>
              <w:rPr>
                <w:spacing w:val="-5"/>
                <w:sz w:val="20"/>
              </w:rPr>
              <w:t> </w:t>
            </w:r>
            <w:r>
              <w:rPr>
                <w:sz w:val="20"/>
              </w:rPr>
              <w:t>Z27.0,</w:t>
            </w:r>
            <w:r>
              <w:rPr>
                <w:spacing w:val="-5"/>
                <w:sz w:val="20"/>
              </w:rPr>
              <w:t> </w:t>
            </w:r>
            <w:r>
              <w:rPr>
                <w:sz w:val="20"/>
              </w:rPr>
              <w:t>Z27.1,</w:t>
            </w:r>
            <w:r>
              <w:rPr>
                <w:spacing w:val="-5"/>
                <w:sz w:val="20"/>
              </w:rPr>
              <w:t> </w:t>
            </w:r>
            <w:r>
              <w:rPr>
                <w:sz w:val="20"/>
              </w:rPr>
              <w:t>Z27.2,</w:t>
            </w:r>
            <w:r>
              <w:rPr>
                <w:spacing w:val="-5"/>
                <w:sz w:val="20"/>
              </w:rPr>
              <w:t> </w:t>
            </w:r>
            <w:r>
              <w:rPr>
                <w:spacing w:val="-2"/>
                <w:sz w:val="20"/>
              </w:rPr>
              <w:t>Z27.3,</w:t>
            </w:r>
          </w:p>
          <w:p>
            <w:pPr>
              <w:pStyle w:val="TableParagraph"/>
              <w:ind w:left="271"/>
              <w:rPr>
                <w:sz w:val="20"/>
              </w:rPr>
            </w:pPr>
            <w:r>
              <w:rPr>
                <w:sz w:val="20"/>
              </w:rPr>
              <w:t>Z27.4,</w:t>
            </w:r>
            <w:r>
              <w:rPr>
                <w:spacing w:val="-6"/>
                <w:sz w:val="20"/>
              </w:rPr>
              <w:t> </w:t>
            </w:r>
            <w:r>
              <w:rPr>
                <w:sz w:val="20"/>
              </w:rPr>
              <w:t>Z27.8,</w:t>
            </w:r>
            <w:r>
              <w:rPr>
                <w:spacing w:val="-5"/>
                <w:sz w:val="20"/>
              </w:rPr>
              <w:t> </w:t>
            </w:r>
            <w:r>
              <w:rPr>
                <w:sz w:val="20"/>
              </w:rPr>
              <w:t>Z27.9,</w:t>
            </w:r>
            <w:r>
              <w:rPr>
                <w:spacing w:val="-5"/>
                <w:sz w:val="20"/>
              </w:rPr>
              <w:t> </w:t>
            </w:r>
            <w:r>
              <w:rPr>
                <w:sz w:val="20"/>
              </w:rPr>
              <w:t>Z28,</w:t>
            </w:r>
            <w:r>
              <w:rPr>
                <w:spacing w:val="-5"/>
                <w:sz w:val="20"/>
              </w:rPr>
              <w:t> </w:t>
            </w:r>
            <w:r>
              <w:rPr>
                <w:sz w:val="20"/>
              </w:rPr>
              <w:t>Z28.0,</w:t>
            </w:r>
            <w:r>
              <w:rPr>
                <w:spacing w:val="-5"/>
                <w:sz w:val="20"/>
              </w:rPr>
              <w:t> </w:t>
            </w:r>
            <w:r>
              <w:rPr>
                <w:sz w:val="20"/>
              </w:rPr>
              <w:t>Z28.1,</w:t>
            </w:r>
            <w:r>
              <w:rPr>
                <w:spacing w:val="-5"/>
                <w:sz w:val="20"/>
              </w:rPr>
              <w:t> </w:t>
            </w:r>
            <w:r>
              <w:rPr>
                <w:spacing w:val="-2"/>
                <w:sz w:val="20"/>
              </w:rPr>
              <w:t>Z28.2,</w:t>
            </w:r>
          </w:p>
          <w:p>
            <w:pPr>
              <w:pStyle w:val="TableParagraph"/>
              <w:spacing w:before="1"/>
              <w:ind w:left="271"/>
              <w:rPr>
                <w:sz w:val="20"/>
              </w:rPr>
            </w:pPr>
            <w:r>
              <w:rPr>
                <w:sz w:val="20"/>
              </w:rPr>
              <w:t>Z28.8,</w:t>
            </w:r>
            <w:r>
              <w:rPr>
                <w:spacing w:val="-5"/>
                <w:sz w:val="20"/>
              </w:rPr>
              <w:t> </w:t>
            </w:r>
            <w:r>
              <w:rPr>
                <w:sz w:val="20"/>
              </w:rPr>
              <w:t>Z28.9,</w:t>
            </w:r>
            <w:r>
              <w:rPr>
                <w:spacing w:val="-5"/>
                <w:sz w:val="20"/>
              </w:rPr>
              <w:t> </w:t>
            </w:r>
            <w:r>
              <w:rPr>
                <w:sz w:val="20"/>
              </w:rPr>
              <w:t>Z29,</w:t>
            </w:r>
            <w:r>
              <w:rPr>
                <w:spacing w:val="-4"/>
                <w:sz w:val="20"/>
              </w:rPr>
              <w:t> </w:t>
            </w:r>
            <w:r>
              <w:rPr>
                <w:sz w:val="20"/>
              </w:rPr>
              <w:t>Z29.0,</w:t>
            </w:r>
            <w:r>
              <w:rPr>
                <w:spacing w:val="-5"/>
                <w:sz w:val="20"/>
              </w:rPr>
              <w:t> </w:t>
            </w:r>
            <w:r>
              <w:rPr>
                <w:sz w:val="20"/>
              </w:rPr>
              <w:t>Z29.1,</w:t>
            </w:r>
            <w:r>
              <w:rPr>
                <w:spacing w:val="-5"/>
                <w:sz w:val="20"/>
              </w:rPr>
              <w:t> </w:t>
            </w:r>
            <w:r>
              <w:rPr>
                <w:sz w:val="20"/>
              </w:rPr>
              <w:t>Z29.2,</w:t>
            </w:r>
            <w:r>
              <w:rPr>
                <w:spacing w:val="-4"/>
                <w:sz w:val="20"/>
              </w:rPr>
              <w:t> </w:t>
            </w:r>
            <w:r>
              <w:rPr>
                <w:spacing w:val="-2"/>
                <w:sz w:val="20"/>
              </w:rPr>
              <w:t>Z29.8,</w:t>
            </w:r>
          </w:p>
          <w:p>
            <w:pPr>
              <w:pStyle w:val="TableParagraph"/>
              <w:spacing w:line="229" w:lineRule="exact" w:before="1"/>
              <w:ind w:left="271"/>
              <w:rPr>
                <w:sz w:val="20"/>
              </w:rPr>
            </w:pPr>
            <w:r>
              <w:rPr>
                <w:sz w:val="20"/>
              </w:rPr>
              <w:t>Z29.9,</w:t>
            </w:r>
            <w:r>
              <w:rPr>
                <w:spacing w:val="-6"/>
                <w:sz w:val="20"/>
              </w:rPr>
              <w:t> </w:t>
            </w:r>
            <w:r>
              <w:rPr>
                <w:sz w:val="20"/>
              </w:rPr>
              <w:t>Z30,</w:t>
            </w:r>
            <w:r>
              <w:rPr>
                <w:spacing w:val="-5"/>
                <w:sz w:val="20"/>
              </w:rPr>
              <w:t> </w:t>
            </w:r>
            <w:r>
              <w:rPr>
                <w:sz w:val="20"/>
              </w:rPr>
              <w:t>Z30.0,</w:t>
            </w:r>
            <w:r>
              <w:rPr>
                <w:spacing w:val="-5"/>
                <w:sz w:val="20"/>
              </w:rPr>
              <w:t> </w:t>
            </w:r>
            <w:r>
              <w:rPr>
                <w:sz w:val="20"/>
              </w:rPr>
              <w:t>Z30.1,</w:t>
            </w:r>
            <w:r>
              <w:rPr>
                <w:spacing w:val="-5"/>
                <w:sz w:val="20"/>
              </w:rPr>
              <w:t> </w:t>
            </w:r>
            <w:r>
              <w:rPr>
                <w:sz w:val="20"/>
              </w:rPr>
              <w:t>Z30.2,</w:t>
            </w:r>
            <w:r>
              <w:rPr>
                <w:spacing w:val="-5"/>
                <w:sz w:val="20"/>
              </w:rPr>
              <w:t> </w:t>
            </w:r>
            <w:r>
              <w:rPr>
                <w:sz w:val="20"/>
              </w:rPr>
              <w:t>Z30.3,</w:t>
            </w:r>
            <w:r>
              <w:rPr>
                <w:spacing w:val="-5"/>
                <w:sz w:val="20"/>
              </w:rPr>
              <w:t> </w:t>
            </w:r>
            <w:r>
              <w:rPr>
                <w:spacing w:val="-2"/>
                <w:sz w:val="20"/>
              </w:rPr>
              <w:t>Z30.4,</w:t>
            </w:r>
          </w:p>
          <w:p>
            <w:pPr>
              <w:pStyle w:val="TableParagraph"/>
              <w:spacing w:line="229" w:lineRule="exact"/>
              <w:ind w:left="271"/>
              <w:rPr>
                <w:sz w:val="20"/>
              </w:rPr>
            </w:pPr>
            <w:r>
              <w:rPr>
                <w:sz w:val="20"/>
              </w:rPr>
              <w:t>Z30.5,</w:t>
            </w:r>
            <w:r>
              <w:rPr>
                <w:spacing w:val="-6"/>
                <w:sz w:val="20"/>
              </w:rPr>
              <w:t> </w:t>
            </w:r>
            <w:r>
              <w:rPr>
                <w:sz w:val="20"/>
              </w:rPr>
              <w:t>Z30.8,</w:t>
            </w:r>
            <w:r>
              <w:rPr>
                <w:spacing w:val="-5"/>
                <w:sz w:val="20"/>
              </w:rPr>
              <w:t> </w:t>
            </w:r>
            <w:r>
              <w:rPr>
                <w:sz w:val="20"/>
              </w:rPr>
              <w:t>Z30.9,</w:t>
            </w:r>
            <w:r>
              <w:rPr>
                <w:spacing w:val="-5"/>
                <w:sz w:val="20"/>
              </w:rPr>
              <w:t> </w:t>
            </w:r>
            <w:r>
              <w:rPr>
                <w:sz w:val="20"/>
              </w:rPr>
              <w:t>Z31,</w:t>
            </w:r>
            <w:r>
              <w:rPr>
                <w:spacing w:val="-5"/>
                <w:sz w:val="20"/>
              </w:rPr>
              <w:t> </w:t>
            </w:r>
            <w:r>
              <w:rPr>
                <w:sz w:val="20"/>
              </w:rPr>
              <w:t>Z31.0,</w:t>
            </w:r>
            <w:r>
              <w:rPr>
                <w:spacing w:val="-5"/>
                <w:sz w:val="20"/>
              </w:rPr>
              <w:t> </w:t>
            </w:r>
            <w:r>
              <w:rPr>
                <w:sz w:val="20"/>
              </w:rPr>
              <w:t>Z31.1,</w:t>
            </w:r>
            <w:r>
              <w:rPr>
                <w:spacing w:val="-5"/>
                <w:sz w:val="20"/>
              </w:rPr>
              <w:t> </w:t>
            </w:r>
            <w:r>
              <w:rPr>
                <w:spacing w:val="-2"/>
                <w:sz w:val="20"/>
              </w:rPr>
              <w:t>Z31.2,</w:t>
            </w:r>
          </w:p>
          <w:p>
            <w:pPr>
              <w:pStyle w:val="TableParagraph"/>
              <w:ind w:left="271"/>
              <w:rPr>
                <w:sz w:val="20"/>
              </w:rPr>
            </w:pPr>
            <w:r>
              <w:rPr>
                <w:sz w:val="20"/>
              </w:rPr>
              <w:t>Z31.3,</w:t>
            </w:r>
            <w:r>
              <w:rPr>
                <w:spacing w:val="-6"/>
                <w:sz w:val="20"/>
              </w:rPr>
              <w:t> </w:t>
            </w:r>
            <w:r>
              <w:rPr>
                <w:sz w:val="20"/>
              </w:rPr>
              <w:t>Z31.4,</w:t>
            </w:r>
            <w:r>
              <w:rPr>
                <w:spacing w:val="-5"/>
                <w:sz w:val="20"/>
              </w:rPr>
              <w:t> </w:t>
            </w:r>
            <w:r>
              <w:rPr>
                <w:sz w:val="20"/>
              </w:rPr>
              <w:t>Z31.5,</w:t>
            </w:r>
            <w:r>
              <w:rPr>
                <w:spacing w:val="-5"/>
                <w:sz w:val="20"/>
              </w:rPr>
              <w:t> </w:t>
            </w:r>
            <w:r>
              <w:rPr>
                <w:sz w:val="20"/>
              </w:rPr>
              <w:t>Z31.6,</w:t>
            </w:r>
            <w:r>
              <w:rPr>
                <w:spacing w:val="-5"/>
                <w:sz w:val="20"/>
              </w:rPr>
              <w:t> </w:t>
            </w:r>
            <w:r>
              <w:rPr>
                <w:sz w:val="20"/>
              </w:rPr>
              <w:t>Z31.8,</w:t>
            </w:r>
            <w:r>
              <w:rPr>
                <w:spacing w:val="-5"/>
                <w:sz w:val="20"/>
              </w:rPr>
              <w:t> </w:t>
            </w:r>
            <w:r>
              <w:rPr>
                <w:sz w:val="20"/>
              </w:rPr>
              <w:t>Z31.9,</w:t>
            </w:r>
            <w:r>
              <w:rPr>
                <w:spacing w:val="-5"/>
                <w:sz w:val="20"/>
              </w:rPr>
              <w:t> </w:t>
            </w:r>
            <w:r>
              <w:rPr>
                <w:spacing w:val="-4"/>
                <w:sz w:val="20"/>
              </w:rPr>
              <w:t>Z32,</w:t>
            </w:r>
          </w:p>
          <w:p>
            <w:pPr>
              <w:pStyle w:val="TableParagraph"/>
              <w:spacing w:before="1"/>
              <w:ind w:left="345"/>
              <w:rPr>
                <w:sz w:val="20"/>
              </w:rPr>
            </w:pPr>
            <w:r>
              <w:rPr>
                <w:sz w:val="20"/>
              </w:rPr>
              <w:t>Z32.0,</w:t>
            </w:r>
            <w:r>
              <w:rPr>
                <w:spacing w:val="-5"/>
                <w:sz w:val="20"/>
              </w:rPr>
              <w:t> </w:t>
            </w:r>
            <w:r>
              <w:rPr>
                <w:sz w:val="20"/>
              </w:rPr>
              <w:t>Z32.1,</w:t>
            </w:r>
            <w:r>
              <w:rPr>
                <w:spacing w:val="-4"/>
                <w:sz w:val="20"/>
              </w:rPr>
              <w:t> </w:t>
            </w:r>
            <w:r>
              <w:rPr>
                <w:sz w:val="20"/>
              </w:rPr>
              <w:t>Z33,</w:t>
            </w:r>
            <w:r>
              <w:rPr>
                <w:spacing w:val="-5"/>
                <w:sz w:val="20"/>
              </w:rPr>
              <w:t> </w:t>
            </w:r>
            <w:r>
              <w:rPr>
                <w:sz w:val="20"/>
              </w:rPr>
              <w:t>Z36,</w:t>
            </w:r>
            <w:r>
              <w:rPr>
                <w:spacing w:val="-4"/>
                <w:sz w:val="20"/>
              </w:rPr>
              <w:t> </w:t>
            </w:r>
            <w:r>
              <w:rPr>
                <w:sz w:val="20"/>
              </w:rPr>
              <w:t>Z36.0,</w:t>
            </w:r>
            <w:r>
              <w:rPr>
                <w:spacing w:val="-4"/>
                <w:sz w:val="20"/>
              </w:rPr>
              <w:t> </w:t>
            </w:r>
            <w:r>
              <w:rPr>
                <w:sz w:val="20"/>
              </w:rPr>
              <w:t>Z36.1,</w:t>
            </w:r>
            <w:r>
              <w:rPr>
                <w:spacing w:val="-5"/>
                <w:sz w:val="20"/>
              </w:rPr>
              <w:t> </w:t>
            </w:r>
            <w:r>
              <w:rPr>
                <w:spacing w:val="-2"/>
                <w:sz w:val="20"/>
              </w:rPr>
              <w:t>Z36.2,</w:t>
            </w:r>
          </w:p>
          <w:p>
            <w:pPr>
              <w:pStyle w:val="TableParagraph"/>
              <w:ind w:left="271"/>
              <w:rPr>
                <w:sz w:val="20"/>
              </w:rPr>
            </w:pPr>
            <w:r>
              <w:rPr>
                <w:sz w:val="20"/>
              </w:rPr>
              <w:t>Z36.3,</w:t>
            </w:r>
            <w:r>
              <w:rPr>
                <w:spacing w:val="-5"/>
                <w:sz w:val="20"/>
              </w:rPr>
              <w:t> </w:t>
            </w:r>
            <w:r>
              <w:rPr>
                <w:sz w:val="20"/>
              </w:rPr>
              <w:t>Z36.4,</w:t>
            </w:r>
            <w:r>
              <w:rPr>
                <w:spacing w:val="-5"/>
                <w:sz w:val="20"/>
              </w:rPr>
              <w:t> </w:t>
            </w:r>
            <w:r>
              <w:rPr>
                <w:sz w:val="20"/>
              </w:rPr>
              <w:t>Z36.5,</w:t>
            </w:r>
            <w:r>
              <w:rPr>
                <w:spacing w:val="-4"/>
                <w:sz w:val="20"/>
              </w:rPr>
              <w:t> </w:t>
            </w:r>
            <w:r>
              <w:rPr>
                <w:sz w:val="20"/>
              </w:rPr>
              <w:t>Z36.8,</w:t>
            </w:r>
            <w:r>
              <w:rPr>
                <w:spacing w:val="-5"/>
                <w:sz w:val="20"/>
              </w:rPr>
              <w:t> </w:t>
            </w:r>
            <w:r>
              <w:rPr>
                <w:sz w:val="20"/>
              </w:rPr>
              <w:t>Z36.9,</w:t>
            </w:r>
            <w:r>
              <w:rPr>
                <w:spacing w:val="-5"/>
                <w:sz w:val="20"/>
              </w:rPr>
              <w:t> </w:t>
            </w:r>
            <w:r>
              <w:rPr>
                <w:sz w:val="20"/>
              </w:rPr>
              <w:t>Z37,</w:t>
            </w:r>
            <w:r>
              <w:rPr>
                <w:spacing w:val="-6"/>
                <w:sz w:val="20"/>
              </w:rPr>
              <w:t> </w:t>
            </w:r>
            <w:r>
              <w:rPr>
                <w:spacing w:val="-2"/>
                <w:sz w:val="20"/>
              </w:rPr>
              <w:t>Z37.0,</w:t>
            </w:r>
          </w:p>
          <w:p>
            <w:pPr>
              <w:pStyle w:val="TableParagraph"/>
              <w:ind w:left="196"/>
              <w:rPr>
                <w:sz w:val="20"/>
              </w:rPr>
            </w:pPr>
            <w:r>
              <w:rPr>
                <w:sz w:val="20"/>
              </w:rPr>
              <w:t>Z37.1,</w:t>
            </w:r>
            <w:r>
              <w:rPr>
                <w:spacing w:val="-6"/>
                <w:sz w:val="20"/>
              </w:rPr>
              <w:t> </w:t>
            </w:r>
            <w:r>
              <w:rPr>
                <w:sz w:val="20"/>
              </w:rPr>
              <w:t>Z37.2,</w:t>
            </w:r>
            <w:r>
              <w:rPr>
                <w:spacing w:val="-5"/>
                <w:sz w:val="20"/>
              </w:rPr>
              <w:t> </w:t>
            </w:r>
            <w:r>
              <w:rPr>
                <w:sz w:val="20"/>
              </w:rPr>
              <w:t>Z37.3,</w:t>
            </w:r>
            <w:r>
              <w:rPr>
                <w:spacing w:val="-5"/>
                <w:sz w:val="20"/>
              </w:rPr>
              <w:t> </w:t>
            </w:r>
            <w:r>
              <w:rPr>
                <w:sz w:val="20"/>
              </w:rPr>
              <w:t>Z37.4,</w:t>
            </w:r>
            <w:r>
              <w:rPr>
                <w:spacing w:val="-5"/>
                <w:sz w:val="20"/>
              </w:rPr>
              <w:t> </w:t>
            </w:r>
            <w:r>
              <w:rPr>
                <w:sz w:val="20"/>
              </w:rPr>
              <w:t>Z37.5,</w:t>
            </w:r>
            <w:r>
              <w:rPr>
                <w:spacing w:val="-5"/>
                <w:sz w:val="20"/>
              </w:rPr>
              <w:t> </w:t>
            </w:r>
            <w:r>
              <w:rPr>
                <w:sz w:val="20"/>
              </w:rPr>
              <w:t>Z37.6,</w:t>
            </w:r>
            <w:r>
              <w:rPr>
                <w:spacing w:val="-5"/>
                <w:sz w:val="20"/>
              </w:rPr>
              <w:t> </w:t>
            </w:r>
            <w:r>
              <w:rPr>
                <w:spacing w:val="-2"/>
                <w:sz w:val="20"/>
              </w:rPr>
              <w:t>Z37.7,</w:t>
            </w:r>
          </w:p>
          <w:p>
            <w:pPr>
              <w:pStyle w:val="TableParagraph"/>
              <w:spacing w:line="210" w:lineRule="exact" w:before="1"/>
              <w:ind w:left="271"/>
              <w:rPr>
                <w:sz w:val="20"/>
              </w:rPr>
            </w:pPr>
            <w:r>
              <w:rPr>
                <w:sz w:val="20"/>
              </w:rPr>
              <w:t>Z37.9,</w:t>
            </w:r>
            <w:r>
              <w:rPr>
                <w:spacing w:val="-6"/>
                <w:sz w:val="20"/>
              </w:rPr>
              <w:t> </w:t>
            </w:r>
            <w:r>
              <w:rPr>
                <w:sz w:val="20"/>
              </w:rPr>
              <w:t>Z38,</w:t>
            </w:r>
            <w:r>
              <w:rPr>
                <w:spacing w:val="-5"/>
                <w:sz w:val="20"/>
              </w:rPr>
              <w:t> </w:t>
            </w:r>
            <w:r>
              <w:rPr>
                <w:sz w:val="20"/>
              </w:rPr>
              <w:t>Z38.0,</w:t>
            </w:r>
            <w:r>
              <w:rPr>
                <w:spacing w:val="-5"/>
                <w:sz w:val="20"/>
              </w:rPr>
              <w:t> </w:t>
            </w:r>
            <w:r>
              <w:rPr>
                <w:sz w:val="20"/>
              </w:rPr>
              <w:t>Z38.1,</w:t>
            </w:r>
            <w:r>
              <w:rPr>
                <w:spacing w:val="-5"/>
                <w:sz w:val="20"/>
              </w:rPr>
              <w:t> </w:t>
            </w:r>
            <w:r>
              <w:rPr>
                <w:sz w:val="20"/>
              </w:rPr>
              <w:t>Z38.2,</w:t>
            </w:r>
            <w:r>
              <w:rPr>
                <w:spacing w:val="-5"/>
                <w:sz w:val="20"/>
              </w:rPr>
              <w:t> </w:t>
            </w:r>
            <w:r>
              <w:rPr>
                <w:sz w:val="20"/>
              </w:rPr>
              <w:t>Z38.3,</w:t>
            </w:r>
            <w:r>
              <w:rPr>
                <w:spacing w:val="-5"/>
                <w:sz w:val="20"/>
              </w:rPr>
              <w:t> </w:t>
            </w:r>
            <w:r>
              <w:rPr>
                <w:spacing w:val="-2"/>
                <w:sz w:val="20"/>
              </w:rPr>
              <w:t>Z38.4,</w:t>
            </w:r>
          </w:p>
        </w:tc>
        <w:tc>
          <w:tcPr>
            <w:tcW w:w="2401" w:type="dxa"/>
          </w:tcPr>
          <w:p>
            <w:pPr>
              <w:pStyle w:val="TableParagraph"/>
              <w:spacing w:line="221" w:lineRule="exact"/>
              <w:ind w:right="463"/>
              <w:jc w:val="center"/>
              <w:rPr>
                <w:sz w:val="20"/>
              </w:rPr>
            </w:pPr>
            <w:r>
              <w:rPr>
                <w:w w:val="99"/>
                <w:sz w:val="20"/>
              </w:rPr>
              <w:t>-</w:t>
            </w:r>
          </w:p>
        </w:tc>
        <w:tc>
          <w:tcPr>
            <w:tcW w:w="2326" w:type="dxa"/>
          </w:tcPr>
          <w:p>
            <w:pPr>
              <w:pStyle w:val="TableParagraph"/>
              <w:spacing w:line="221" w:lineRule="exact"/>
              <w:ind w:left="540"/>
              <w:jc w:val="center"/>
              <w:rPr>
                <w:sz w:val="20"/>
              </w:rPr>
            </w:pPr>
            <w:r>
              <w:rPr>
                <w:w w:val="99"/>
                <w:sz w:val="20"/>
              </w:rPr>
              <w:t>-</w:t>
            </w:r>
          </w:p>
        </w:tc>
        <w:tc>
          <w:tcPr>
            <w:tcW w:w="1261" w:type="dxa"/>
          </w:tcPr>
          <w:p>
            <w:pPr>
              <w:pStyle w:val="TableParagraph"/>
              <w:spacing w:line="221" w:lineRule="exact"/>
              <w:ind w:right="48"/>
              <w:jc w:val="right"/>
              <w:rPr>
                <w:sz w:val="20"/>
              </w:rPr>
            </w:pPr>
            <w:r>
              <w:rPr>
                <w:spacing w:val="-4"/>
                <w:sz w:val="20"/>
              </w:rPr>
              <w:t>0,56</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81" w:right="0" w:firstLine="0"/>
        <w:jc w:val="left"/>
        <w:rPr>
          <w:sz w:val="20"/>
        </w:rPr>
      </w:pPr>
      <w:r>
        <w:rPr>
          <w:sz w:val="20"/>
        </w:rPr>
        <w:t>Z38.5,</w:t>
      </w:r>
      <w:r>
        <w:rPr>
          <w:spacing w:val="-5"/>
          <w:sz w:val="20"/>
        </w:rPr>
        <w:t> </w:t>
      </w:r>
      <w:r>
        <w:rPr>
          <w:sz w:val="20"/>
        </w:rPr>
        <w:t>Z38.6,</w:t>
      </w:r>
      <w:r>
        <w:rPr>
          <w:spacing w:val="-5"/>
          <w:sz w:val="20"/>
        </w:rPr>
        <w:t> </w:t>
      </w:r>
      <w:r>
        <w:rPr>
          <w:sz w:val="20"/>
        </w:rPr>
        <w:t>Z38.7,</w:t>
      </w:r>
      <w:r>
        <w:rPr>
          <w:spacing w:val="-4"/>
          <w:sz w:val="20"/>
        </w:rPr>
        <w:t> </w:t>
      </w:r>
      <w:r>
        <w:rPr>
          <w:sz w:val="20"/>
        </w:rPr>
        <w:t>Z38.8,</w:t>
      </w:r>
      <w:r>
        <w:rPr>
          <w:spacing w:val="-5"/>
          <w:sz w:val="20"/>
        </w:rPr>
        <w:t> </w:t>
      </w:r>
      <w:r>
        <w:rPr>
          <w:sz w:val="20"/>
        </w:rPr>
        <w:t>Z39,</w:t>
      </w:r>
      <w:r>
        <w:rPr>
          <w:spacing w:val="-5"/>
          <w:sz w:val="20"/>
        </w:rPr>
        <w:t> </w:t>
      </w:r>
      <w:r>
        <w:rPr>
          <w:sz w:val="20"/>
        </w:rPr>
        <w:t>Z39.0,</w:t>
      </w:r>
      <w:r>
        <w:rPr>
          <w:spacing w:val="-6"/>
          <w:sz w:val="20"/>
        </w:rPr>
        <w:t> </w:t>
      </w:r>
      <w:r>
        <w:rPr>
          <w:spacing w:val="-2"/>
          <w:sz w:val="20"/>
        </w:rPr>
        <w:t>Z39.1,</w:t>
      </w:r>
    </w:p>
    <w:p>
      <w:pPr>
        <w:spacing w:line="229" w:lineRule="exact" w:before="1"/>
        <w:ind w:left="4756" w:right="0" w:firstLine="0"/>
        <w:jc w:val="left"/>
        <w:rPr>
          <w:sz w:val="20"/>
        </w:rPr>
      </w:pPr>
      <w:r>
        <w:rPr>
          <w:sz w:val="20"/>
        </w:rPr>
        <w:t>Z39.2,</w:t>
      </w:r>
      <w:r>
        <w:rPr>
          <w:spacing w:val="-5"/>
          <w:sz w:val="20"/>
        </w:rPr>
        <w:t> </w:t>
      </w:r>
      <w:r>
        <w:rPr>
          <w:sz w:val="20"/>
        </w:rPr>
        <w:t>Z40,</w:t>
      </w:r>
      <w:r>
        <w:rPr>
          <w:spacing w:val="-5"/>
          <w:sz w:val="20"/>
        </w:rPr>
        <w:t> </w:t>
      </w:r>
      <w:r>
        <w:rPr>
          <w:sz w:val="20"/>
        </w:rPr>
        <w:t>Z40.0,</w:t>
      </w:r>
      <w:r>
        <w:rPr>
          <w:spacing w:val="-4"/>
          <w:sz w:val="20"/>
        </w:rPr>
        <w:t> </w:t>
      </w:r>
      <w:r>
        <w:rPr>
          <w:sz w:val="20"/>
        </w:rPr>
        <w:t>Z40.8,</w:t>
      </w:r>
      <w:r>
        <w:rPr>
          <w:spacing w:val="-5"/>
          <w:sz w:val="20"/>
        </w:rPr>
        <w:t> </w:t>
      </w:r>
      <w:r>
        <w:rPr>
          <w:sz w:val="20"/>
        </w:rPr>
        <w:t>Z40.9,</w:t>
      </w:r>
      <w:r>
        <w:rPr>
          <w:spacing w:val="-4"/>
          <w:sz w:val="20"/>
        </w:rPr>
        <w:t> </w:t>
      </w:r>
      <w:r>
        <w:rPr>
          <w:sz w:val="20"/>
        </w:rPr>
        <w:t>Z41,</w:t>
      </w:r>
      <w:r>
        <w:rPr>
          <w:spacing w:val="-5"/>
          <w:sz w:val="20"/>
        </w:rPr>
        <w:t> </w:t>
      </w:r>
      <w:r>
        <w:rPr>
          <w:spacing w:val="-2"/>
          <w:sz w:val="20"/>
        </w:rPr>
        <w:t>Z41.0,</w:t>
      </w:r>
    </w:p>
    <w:p>
      <w:pPr>
        <w:spacing w:line="229" w:lineRule="exact" w:before="0"/>
        <w:ind w:left="4681" w:right="0" w:firstLine="0"/>
        <w:jc w:val="left"/>
        <w:rPr>
          <w:sz w:val="20"/>
        </w:rPr>
      </w:pPr>
      <w:r>
        <w:rPr>
          <w:sz w:val="20"/>
        </w:rPr>
        <w:t>Z41.1,</w:t>
      </w:r>
      <w:r>
        <w:rPr>
          <w:spacing w:val="-5"/>
          <w:sz w:val="20"/>
        </w:rPr>
        <w:t> </w:t>
      </w:r>
      <w:r>
        <w:rPr>
          <w:sz w:val="20"/>
        </w:rPr>
        <w:t>Z41.2,</w:t>
      </w:r>
      <w:r>
        <w:rPr>
          <w:spacing w:val="-5"/>
          <w:sz w:val="20"/>
        </w:rPr>
        <w:t> </w:t>
      </w:r>
      <w:r>
        <w:rPr>
          <w:sz w:val="20"/>
        </w:rPr>
        <w:t>Z41.3,</w:t>
      </w:r>
      <w:r>
        <w:rPr>
          <w:spacing w:val="-4"/>
          <w:sz w:val="20"/>
        </w:rPr>
        <w:t> </w:t>
      </w:r>
      <w:r>
        <w:rPr>
          <w:sz w:val="20"/>
        </w:rPr>
        <w:t>Z41.8,</w:t>
      </w:r>
      <w:r>
        <w:rPr>
          <w:spacing w:val="-5"/>
          <w:sz w:val="20"/>
        </w:rPr>
        <w:t> </w:t>
      </w:r>
      <w:r>
        <w:rPr>
          <w:sz w:val="20"/>
        </w:rPr>
        <w:t>Z41.9,</w:t>
      </w:r>
      <w:r>
        <w:rPr>
          <w:spacing w:val="-5"/>
          <w:sz w:val="20"/>
        </w:rPr>
        <w:t> </w:t>
      </w:r>
      <w:r>
        <w:rPr>
          <w:sz w:val="20"/>
        </w:rPr>
        <w:t>Z42,</w:t>
      </w:r>
      <w:r>
        <w:rPr>
          <w:spacing w:val="-6"/>
          <w:sz w:val="20"/>
        </w:rPr>
        <w:t> </w:t>
      </w:r>
      <w:r>
        <w:rPr>
          <w:spacing w:val="-2"/>
          <w:sz w:val="20"/>
        </w:rPr>
        <w:t>Z42.0,</w:t>
      </w:r>
    </w:p>
    <w:p>
      <w:pPr>
        <w:spacing w:before="0"/>
        <w:ind w:left="4681" w:right="0" w:firstLine="0"/>
        <w:jc w:val="left"/>
        <w:rPr>
          <w:sz w:val="20"/>
        </w:rPr>
      </w:pPr>
      <w:r>
        <w:rPr>
          <w:sz w:val="20"/>
        </w:rPr>
        <w:t>Z42.1,</w:t>
      </w:r>
      <w:r>
        <w:rPr>
          <w:spacing w:val="-5"/>
          <w:sz w:val="20"/>
        </w:rPr>
        <w:t> </w:t>
      </w:r>
      <w:r>
        <w:rPr>
          <w:sz w:val="20"/>
        </w:rPr>
        <w:t>Z42.2,</w:t>
      </w:r>
      <w:r>
        <w:rPr>
          <w:spacing w:val="-5"/>
          <w:sz w:val="20"/>
        </w:rPr>
        <w:t> </w:t>
      </w:r>
      <w:r>
        <w:rPr>
          <w:sz w:val="20"/>
        </w:rPr>
        <w:t>Z42.3,</w:t>
      </w:r>
      <w:r>
        <w:rPr>
          <w:spacing w:val="-4"/>
          <w:sz w:val="20"/>
        </w:rPr>
        <w:t> </w:t>
      </w:r>
      <w:r>
        <w:rPr>
          <w:sz w:val="20"/>
        </w:rPr>
        <w:t>Z42.4,</w:t>
      </w:r>
      <w:r>
        <w:rPr>
          <w:spacing w:val="-5"/>
          <w:sz w:val="20"/>
        </w:rPr>
        <w:t> </w:t>
      </w:r>
      <w:r>
        <w:rPr>
          <w:sz w:val="20"/>
        </w:rPr>
        <w:t>Z42.8,</w:t>
      </w:r>
      <w:r>
        <w:rPr>
          <w:spacing w:val="-4"/>
          <w:sz w:val="20"/>
        </w:rPr>
        <w:t> </w:t>
      </w:r>
      <w:r>
        <w:rPr>
          <w:sz w:val="20"/>
        </w:rPr>
        <w:t>Z42.9,</w:t>
      </w:r>
      <w:r>
        <w:rPr>
          <w:spacing w:val="-5"/>
          <w:sz w:val="20"/>
        </w:rPr>
        <w:t> </w:t>
      </w:r>
      <w:r>
        <w:rPr>
          <w:spacing w:val="-4"/>
          <w:sz w:val="20"/>
        </w:rPr>
        <w:t>Z43,</w:t>
      </w:r>
    </w:p>
    <w:p>
      <w:pPr>
        <w:spacing w:before="1"/>
        <w:ind w:left="4607" w:right="0" w:firstLine="0"/>
        <w:jc w:val="left"/>
        <w:rPr>
          <w:sz w:val="20"/>
        </w:rPr>
      </w:pPr>
      <w:r>
        <w:rPr>
          <w:sz w:val="20"/>
        </w:rPr>
        <w:t>Z43.0,</w:t>
      </w:r>
      <w:r>
        <w:rPr>
          <w:spacing w:val="-6"/>
          <w:sz w:val="20"/>
        </w:rPr>
        <w:t> </w:t>
      </w:r>
      <w:r>
        <w:rPr>
          <w:sz w:val="20"/>
        </w:rPr>
        <w:t>Z43.1,</w:t>
      </w:r>
      <w:r>
        <w:rPr>
          <w:spacing w:val="-5"/>
          <w:sz w:val="20"/>
        </w:rPr>
        <w:t> </w:t>
      </w:r>
      <w:r>
        <w:rPr>
          <w:sz w:val="20"/>
        </w:rPr>
        <w:t>Z43.2,</w:t>
      </w:r>
      <w:r>
        <w:rPr>
          <w:spacing w:val="-5"/>
          <w:sz w:val="20"/>
        </w:rPr>
        <w:t> </w:t>
      </w:r>
      <w:r>
        <w:rPr>
          <w:sz w:val="20"/>
        </w:rPr>
        <w:t>Z43.3,</w:t>
      </w:r>
      <w:r>
        <w:rPr>
          <w:spacing w:val="-5"/>
          <w:sz w:val="20"/>
        </w:rPr>
        <w:t> </w:t>
      </w:r>
      <w:r>
        <w:rPr>
          <w:sz w:val="20"/>
        </w:rPr>
        <w:t>Z43.4,</w:t>
      </w:r>
      <w:r>
        <w:rPr>
          <w:spacing w:val="-5"/>
          <w:sz w:val="20"/>
        </w:rPr>
        <w:t> </w:t>
      </w:r>
      <w:r>
        <w:rPr>
          <w:sz w:val="20"/>
        </w:rPr>
        <w:t>Z43.5,</w:t>
      </w:r>
      <w:r>
        <w:rPr>
          <w:spacing w:val="-5"/>
          <w:sz w:val="20"/>
        </w:rPr>
        <w:t> </w:t>
      </w:r>
      <w:r>
        <w:rPr>
          <w:spacing w:val="-2"/>
          <w:sz w:val="20"/>
        </w:rPr>
        <w:t>Z43.6,</w:t>
      </w:r>
    </w:p>
    <w:p>
      <w:pPr>
        <w:spacing w:before="0"/>
        <w:ind w:left="4681" w:right="0" w:firstLine="0"/>
        <w:jc w:val="left"/>
        <w:rPr>
          <w:sz w:val="20"/>
        </w:rPr>
      </w:pPr>
      <w:r>
        <w:rPr>
          <w:sz w:val="20"/>
        </w:rPr>
        <w:t>Z43.7,</w:t>
      </w:r>
      <w:r>
        <w:rPr>
          <w:spacing w:val="-6"/>
          <w:sz w:val="20"/>
        </w:rPr>
        <w:t> </w:t>
      </w:r>
      <w:r>
        <w:rPr>
          <w:sz w:val="20"/>
        </w:rPr>
        <w:t>Z43.8,</w:t>
      </w:r>
      <w:r>
        <w:rPr>
          <w:spacing w:val="-5"/>
          <w:sz w:val="20"/>
        </w:rPr>
        <w:t> </w:t>
      </w:r>
      <w:r>
        <w:rPr>
          <w:sz w:val="20"/>
        </w:rPr>
        <w:t>Z43.9,</w:t>
      </w:r>
      <w:r>
        <w:rPr>
          <w:spacing w:val="-5"/>
          <w:sz w:val="20"/>
        </w:rPr>
        <w:t> </w:t>
      </w:r>
      <w:r>
        <w:rPr>
          <w:sz w:val="20"/>
        </w:rPr>
        <w:t>Z44,</w:t>
      </w:r>
      <w:r>
        <w:rPr>
          <w:spacing w:val="-5"/>
          <w:sz w:val="20"/>
        </w:rPr>
        <w:t> </w:t>
      </w:r>
      <w:r>
        <w:rPr>
          <w:sz w:val="20"/>
        </w:rPr>
        <w:t>Z44.0,</w:t>
      </w:r>
      <w:r>
        <w:rPr>
          <w:spacing w:val="-5"/>
          <w:sz w:val="20"/>
        </w:rPr>
        <w:t> </w:t>
      </w:r>
      <w:r>
        <w:rPr>
          <w:sz w:val="20"/>
        </w:rPr>
        <w:t>Z44.1,</w:t>
      </w:r>
      <w:r>
        <w:rPr>
          <w:spacing w:val="-5"/>
          <w:sz w:val="20"/>
        </w:rPr>
        <w:t> </w:t>
      </w:r>
      <w:r>
        <w:rPr>
          <w:spacing w:val="-2"/>
          <w:sz w:val="20"/>
        </w:rPr>
        <w:t>Z44.2,</w:t>
      </w:r>
    </w:p>
    <w:p>
      <w:pPr>
        <w:spacing w:before="0"/>
        <w:ind w:left="4681" w:right="0" w:firstLine="0"/>
        <w:jc w:val="left"/>
        <w:rPr>
          <w:sz w:val="20"/>
        </w:rPr>
      </w:pPr>
      <w:r>
        <w:rPr>
          <w:sz w:val="20"/>
        </w:rPr>
        <w:t>Z44.3,</w:t>
      </w:r>
      <w:r>
        <w:rPr>
          <w:spacing w:val="-6"/>
          <w:sz w:val="20"/>
        </w:rPr>
        <w:t> </w:t>
      </w:r>
      <w:r>
        <w:rPr>
          <w:sz w:val="20"/>
        </w:rPr>
        <w:t>Z44.8,</w:t>
      </w:r>
      <w:r>
        <w:rPr>
          <w:spacing w:val="-5"/>
          <w:sz w:val="20"/>
        </w:rPr>
        <w:t> </w:t>
      </w:r>
      <w:r>
        <w:rPr>
          <w:sz w:val="20"/>
        </w:rPr>
        <w:t>Z44.9,</w:t>
      </w:r>
      <w:r>
        <w:rPr>
          <w:spacing w:val="-5"/>
          <w:sz w:val="20"/>
        </w:rPr>
        <w:t> </w:t>
      </w:r>
      <w:r>
        <w:rPr>
          <w:sz w:val="20"/>
        </w:rPr>
        <w:t>Z45,</w:t>
      </w:r>
      <w:r>
        <w:rPr>
          <w:spacing w:val="-5"/>
          <w:sz w:val="20"/>
        </w:rPr>
        <w:t> </w:t>
      </w:r>
      <w:r>
        <w:rPr>
          <w:sz w:val="20"/>
        </w:rPr>
        <w:t>Z45.0,</w:t>
      </w:r>
      <w:r>
        <w:rPr>
          <w:spacing w:val="-5"/>
          <w:sz w:val="20"/>
        </w:rPr>
        <w:t> </w:t>
      </w:r>
      <w:r>
        <w:rPr>
          <w:sz w:val="20"/>
        </w:rPr>
        <w:t>Z45.1,</w:t>
      </w:r>
      <w:r>
        <w:rPr>
          <w:spacing w:val="-5"/>
          <w:sz w:val="20"/>
        </w:rPr>
        <w:t> </w:t>
      </w:r>
      <w:r>
        <w:rPr>
          <w:spacing w:val="-2"/>
          <w:sz w:val="20"/>
        </w:rPr>
        <w:t>Z45.2,</w:t>
      </w:r>
    </w:p>
    <w:p>
      <w:pPr>
        <w:spacing w:line="229" w:lineRule="exact" w:before="1"/>
        <w:ind w:left="4681" w:right="0" w:firstLine="0"/>
        <w:jc w:val="left"/>
        <w:rPr>
          <w:sz w:val="20"/>
        </w:rPr>
      </w:pPr>
      <w:r>
        <w:rPr>
          <w:sz w:val="20"/>
        </w:rPr>
        <w:t>Z45.3,</w:t>
      </w:r>
      <w:r>
        <w:rPr>
          <w:spacing w:val="-6"/>
          <w:sz w:val="20"/>
        </w:rPr>
        <w:t> </w:t>
      </w:r>
      <w:r>
        <w:rPr>
          <w:sz w:val="20"/>
        </w:rPr>
        <w:t>Z45.8,</w:t>
      </w:r>
      <w:r>
        <w:rPr>
          <w:spacing w:val="-5"/>
          <w:sz w:val="20"/>
        </w:rPr>
        <w:t> </w:t>
      </w:r>
      <w:r>
        <w:rPr>
          <w:sz w:val="20"/>
        </w:rPr>
        <w:t>Z45.9,</w:t>
      </w:r>
      <w:r>
        <w:rPr>
          <w:spacing w:val="-5"/>
          <w:sz w:val="20"/>
        </w:rPr>
        <w:t> </w:t>
      </w:r>
      <w:r>
        <w:rPr>
          <w:sz w:val="20"/>
        </w:rPr>
        <w:t>Z46,</w:t>
      </w:r>
      <w:r>
        <w:rPr>
          <w:spacing w:val="-5"/>
          <w:sz w:val="20"/>
        </w:rPr>
        <w:t> </w:t>
      </w:r>
      <w:r>
        <w:rPr>
          <w:sz w:val="20"/>
        </w:rPr>
        <w:t>Z46.0,</w:t>
      </w:r>
      <w:r>
        <w:rPr>
          <w:spacing w:val="-5"/>
          <w:sz w:val="20"/>
        </w:rPr>
        <w:t> </w:t>
      </w:r>
      <w:r>
        <w:rPr>
          <w:sz w:val="20"/>
        </w:rPr>
        <w:t>Z46.1,</w:t>
      </w:r>
      <w:r>
        <w:rPr>
          <w:spacing w:val="-5"/>
          <w:sz w:val="20"/>
        </w:rPr>
        <w:t> </w:t>
      </w:r>
      <w:r>
        <w:rPr>
          <w:spacing w:val="-2"/>
          <w:sz w:val="20"/>
        </w:rPr>
        <w:t>Z46.2,</w:t>
      </w:r>
    </w:p>
    <w:p>
      <w:pPr>
        <w:spacing w:line="229" w:lineRule="exact" w:before="0"/>
        <w:ind w:left="4607" w:right="0" w:firstLine="0"/>
        <w:jc w:val="left"/>
        <w:rPr>
          <w:sz w:val="20"/>
        </w:rPr>
      </w:pPr>
      <w:r>
        <w:rPr>
          <w:sz w:val="20"/>
        </w:rPr>
        <w:t>Z46.3,</w:t>
      </w:r>
      <w:r>
        <w:rPr>
          <w:spacing w:val="-4"/>
          <w:sz w:val="20"/>
        </w:rPr>
        <w:t> </w:t>
      </w:r>
      <w:r>
        <w:rPr>
          <w:sz w:val="20"/>
        </w:rPr>
        <w:t>Z46.4,</w:t>
      </w:r>
      <w:r>
        <w:rPr>
          <w:spacing w:val="-4"/>
          <w:sz w:val="20"/>
        </w:rPr>
        <w:t> </w:t>
      </w:r>
      <w:r>
        <w:rPr>
          <w:sz w:val="20"/>
        </w:rPr>
        <w:t>Z46.5,</w:t>
      </w:r>
      <w:r>
        <w:rPr>
          <w:spacing w:val="-4"/>
          <w:sz w:val="20"/>
        </w:rPr>
        <w:t> </w:t>
      </w:r>
      <w:r>
        <w:rPr>
          <w:sz w:val="20"/>
        </w:rPr>
        <w:t>Z46.6,</w:t>
      </w:r>
      <w:r>
        <w:rPr>
          <w:spacing w:val="-4"/>
          <w:sz w:val="20"/>
        </w:rPr>
        <w:t> </w:t>
      </w:r>
      <w:r>
        <w:rPr>
          <w:sz w:val="20"/>
        </w:rPr>
        <w:t>Z46.7,</w:t>
      </w:r>
      <w:r>
        <w:rPr>
          <w:spacing w:val="-4"/>
          <w:sz w:val="20"/>
        </w:rPr>
        <w:t> </w:t>
      </w:r>
      <w:r>
        <w:rPr>
          <w:sz w:val="20"/>
        </w:rPr>
        <w:t>Z46.8,</w:t>
      </w:r>
      <w:r>
        <w:rPr>
          <w:spacing w:val="-4"/>
          <w:sz w:val="20"/>
        </w:rPr>
        <w:t> </w:t>
      </w:r>
      <w:r>
        <w:rPr>
          <w:spacing w:val="-2"/>
          <w:sz w:val="20"/>
        </w:rPr>
        <w:t>Z46.9,</w:t>
      </w:r>
    </w:p>
    <w:p>
      <w:pPr>
        <w:spacing w:before="1"/>
        <w:ind w:left="1158" w:right="4154" w:firstLine="0"/>
        <w:jc w:val="center"/>
        <w:rPr>
          <w:sz w:val="20"/>
        </w:rPr>
      </w:pPr>
      <w:r>
        <w:rPr>
          <w:sz w:val="20"/>
        </w:rPr>
        <w:t>Z47,</w:t>
      </w:r>
      <w:r>
        <w:rPr>
          <w:spacing w:val="-5"/>
          <w:sz w:val="20"/>
        </w:rPr>
        <w:t> </w:t>
      </w:r>
      <w:r>
        <w:rPr>
          <w:sz w:val="20"/>
        </w:rPr>
        <w:t>Z47.0,</w:t>
      </w:r>
      <w:r>
        <w:rPr>
          <w:spacing w:val="-5"/>
          <w:sz w:val="20"/>
        </w:rPr>
        <w:t> </w:t>
      </w:r>
      <w:r>
        <w:rPr>
          <w:sz w:val="20"/>
        </w:rPr>
        <w:t>Z47.8,</w:t>
      </w:r>
      <w:r>
        <w:rPr>
          <w:spacing w:val="-4"/>
          <w:sz w:val="20"/>
        </w:rPr>
        <w:t> </w:t>
      </w:r>
      <w:r>
        <w:rPr>
          <w:sz w:val="20"/>
        </w:rPr>
        <w:t>Z47.9,</w:t>
      </w:r>
      <w:r>
        <w:rPr>
          <w:spacing w:val="-5"/>
          <w:sz w:val="20"/>
        </w:rPr>
        <w:t> </w:t>
      </w:r>
      <w:r>
        <w:rPr>
          <w:sz w:val="20"/>
        </w:rPr>
        <w:t>Z48,</w:t>
      </w:r>
      <w:r>
        <w:rPr>
          <w:spacing w:val="-4"/>
          <w:sz w:val="20"/>
        </w:rPr>
        <w:t> </w:t>
      </w:r>
      <w:r>
        <w:rPr>
          <w:sz w:val="20"/>
        </w:rPr>
        <w:t>Z48.0,</w:t>
      </w:r>
      <w:r>
        <w:rPr>
          <w:spacing w:val="-5"/>
          <w:sz w:val="20"/>
        </w:rPr>
        <w:t> </w:t>
      </w:r>
      <w:r>
        <w:rPr>
          <w:spacing w:val="-2"/>
          <w:sz w:val="20"/>
        </w:rPr>
        <w:t>Z48.8,</w:t>
      </w:r>
    </w:p>
    <w:p>
      <w:pPr>
        <w:spacing w:before="0"/>
        <w:ind w:left="1158" w:right="4154" w:firstLine="0"/>
        <w:jc w:val="center"/>
        <w:rPr>
          <w:sz w:val="20"/>
        </w:rPr>
      </w:pPr>
      <w:r>
        <w:rPr>
          <w:sz w:val="20"/>
        </w:rPr>
        <w:t>Z48.9,</w:t>
      </w:r>
      <w:r>
        <w:rPr>
          <w:spacing w:val="-5"/>
          <w:sz w:val="20"/>
        </w:rPr>
        <w:t> </w:t>
      </w:r>
      <w:r>
        <w:rPr>
          <w:sz w:val="20"/>
        </w:rPr>
        <w:t>Z49,</w:t>
      </w:r>
      <w:r>
        <w:rPr>
          <w:spacing w:val="-5"/>
          <w:sz w:val="20"/>
        </w:rPr>
        <w:t> </w:t>
      </w:r>
      <w:r>
        <w:rPr>
          <w:sz w:val="20"/>
        </w:rPr>
        <w:t>Z49.0,</w:t>
      </w:r>
      <w:r>
        <w:rPr>
          <w:spacing w:val="-4"/>
          <w:sz w:val="20"/>
        </w:rPr>
        <w:t> </w:t>
      </w:r>
      <w:r>
        <w:rPr>
          <w:sz w:val="20"/>
        </w:rPr>
        <w:t>Z49.1,</w:t>
      </w:r>
      <w:r>
        <w:rPr>
          <w:spacing w:val="-5"/>
          <w:sz w:val="20"/>
        </w:rPr>
        <w:t> </w:t>
      </w:r>
      <w:r>
        <w:rPr>
          <w:sz w:val="20"/>
        </w:rPr>
        <w:t>Z49.2,</w:t>
      </w:r>
      <w:r>
        <w:rPr>
          <w:spacing w:val="-4"/>
          <w:sz w:val="20"/>
        </w:rPr>
        <w:t> </w:t>
      </w:r>
      <w:r>
        <w:rPr>
          <w:sz w:val="20"/>
        </w:rPr>
        <w:t>Z50,</w:t>
      </w:r>
      <w:r>
        <w:rPr>
          <w:spacing w:val="-5"/>
          <w:sz w:val="20"/>
        </w:rPr>
        <w:t> </w:t>
      </w:r>
      <w:r>
        <w:rPr>
          <w:spacing w:val="-2"/>
          <w:sz w:val="20"/>
        </w:rPr>
        <w:t>Z50.0,</w:t>
      </w:r>
    </w:p>
    <w:p>
      <w:pPr>
        <w:spacing w:before="1"/>
        <w:ind w:left="1162" w:right="4154" w:firstLine="0"/>
        <w:jc w:val="center"/>
        <w:rPr>
          <w:sz w:val="20"/>
        </w:rPr>
      </w:pPr>
      <w:r>
        <w:rPr>
          <w:sz w:val="20"/>
        </w:rPr>
        <w:t>Z50.1,</w:t>
      </w:r>
      <w:r>
        <w:rPr>
          <w:spacing w:val="-6"/>
          <w:sz w:val="20"/>
        </w:rPr>
        <w:t> </w:t>
      </w:r>
      <w:r>
        <w:rPr>
          <w:sz w:val="20"/>
        </w:rPr>
        <w:t>Z50.2,</w:t>
      </w:r>
      <w:r>
        <w:rPr>
          <w:spacing w:val="-5"/>
          <w:sz w:val="20"/>
        </w:rPr>
        <w:t> </w:t>
      </w:r>
      <w:r>
        <w:rPr>
          <w:sz w:val="20"/>
        </w:rPr>
        <w:t>Z50.3,</w:t>
      </w:r>
      <w:r>
        <w:rPr>
          <w:spacing w:val="-5"/>
          <w:sz w:val="20"/>
        </w:rPr>
        <w:t> </w:t>
      </w:r>
      <w:r>
        <w:rPr>
          <w:sz w:val="20"/>
        </w:rPr>
        <w:t>Z50.4,</w:t>
      </w:r>
      <w:r>
        <w:rPr>
          <w:spacing w:val="-5"/>
          <w:sz w:val="20"/>
        </w:rPr>
        <w:t> </w:t>
      </w:r>
      <w:r>
        <w:rPr>
          <w:sz w:val="20"/>
        </w:rPr>
        <w:t>Z50.5,</w:t>
      </w:r>
      <w:r>
        <w:rPr>
          <w:spacing w:val="-5"/>
          <w:sz w:val="20"/>
        </w:rPr>
        <w:t> </w:t>
      </w:r>
      <w:r>
        <w:rPr>
          <w:sz w:val="20"/>
        </w:rPr>
        <w:t>Z50.6,</w:t>
      </w:r>
      <w:r>
        <w:rPr>
          <w:spacing w:val="-5"/>
          <w:sz w:val="20"/>
        </w:rPr>
        <w:t> </w:t>
      </w:r>
      <w:r>
        <w:rPr>
          <w:spacing w:val="-2"/>
          <w:sz w:val="20"/>
        </w:rPr>
        <w:t>Z50.7,</w:t>
      </w:r>
    </w:p>
    <w:p>
      <w:pPr>
        <w:spacing w:before="0"/>
        <w:ind w:left="1160" w:right="4154" w:firstLine="0"/>
        <w:jc w:val="center"/>
        <w:rPr>
          <w:sz w:val="20"/>
        </w:rPr>
      </w:pPr>
      <w:r>
        <w:rPr>
          <w:sz w:val="20"/>
        </w:rPr>
        <w:t>Z50.8,</w:t>
      </w:r>
      <w:r>
        <w:rPr>
          <w:spacing w:val="-6"/>
          <w:sz w:val="20"/>
        </w:rPr>
        <w:t> </w:t>
      </w:r>
      <w:r>
        <w:rPr>
          <w:sz w:val="20"/>
        </w:rPr>
        <w:t>Z50.9,</w:t>
      </w:r>
      <w:r>
        <w:rPr>
          <w:spacing w:val="-5"/>
          <w:sz w:val="20"/>
        </w:rPr>
        <w:t> </w:t>
      </w:r>
      <w:r>
        <w:rPr>
          <w:sz w:val="20"/>
        </w:rPr>
        <w:t>Z51,</w:t>
      </w:r>
      <w:r>
        <w:rPr>
          <w:spacing w:val="-5"/>
          <w:sz w:val="20"/>
        </w:rPr>
        <w:t> </w:t>
      </w:r>
      <w:r>
        <w:rPr>
          <w:sz w:val="20"/>
        </w:rPr>
        <w:t>Z51.0,</w:t>
      </w:r>
      <w:r>
        <w:rPr>
          <w:spacing w:val="-5"/>
          <w:sz w:val="20"/>
        </w:rPr>
        <w:t> </w:t>
      </w:r>
      <w:r>
        <w:rPr>
          <w:sz w:val="20"/>
        </w:rPr>
        <w:t>Z51.1,</w:t>
      </w:r>
      <w:r>
        <w:rPr>
          <w:spacing w:val="-5"/>
          <w:sz w:val="20"/>
        </w:rPr>
        <w:t> </w:t>
      </w:r>
      <w:r>
        <w:rPr>
          <w:sz w:val="20"/>
        </w:rPr>
        <w:t>Z51.2,</w:t>
      </w:r>
      <w:r>
        <w:rPr>
          <w:spacing w:val="-5"/>
          <w:sz w:val="20"/>
        </w:rPr>
        <w:t> </w:t>
      </w:r>
      <w:r>
        <w:rPr>
          <w:spacing w:val="-2"/>
          <w:sz w:val="20"/>
        </w:rPr>
        <w:t>Z51.3,</w:t>
      </w:r>
    </w:p>
    <w:p>
      <w:pPr>
        <w:spacing w:line="229" w:lineRule="exact" w:before="1"/>
        <w:ind w:left="1160" w:right="4154" w:firstLine="0"/>
        <w:jc w:val="center"/>
        <w:rPr>
          <w:sz w:val="20"/>
        </w:rPr>
      </w:pPr>
      <w:r>
        <w:rPr>
          <w:sz w:val="20"/>
        </w:rPr>
        <w:t>Z51.4,</w:t>
      </w:r>
      <w:r>
        <w:rPr>
          <w:spacing w:val="-5"/>
          <w:sz w:val="20"/>
        </w:rPr>
        <w:t> </w:t>
      </w:r>
      <w:r>
        <w:rPr>
          <w:sz w:val="20"/>
        </w:rPr>
        <w:t>Z51.5,</w:t>
      </w:r>
      <w:r>
        <w:rPr>
          <w:spacing w:val="-5"/>
          <w:sz w:val="20"/>
        </w:rPr>
        <w:t> </w:t>
      </w:r>
      <w:r>
        <w:rPr>
          <w:sz w:val="20"/>
        </w:rPr>
        <w:t>Z51.6,</w:t>
      </w:r>
      <w:r>
        <w:rPr>
          <w:spacing w:val="-4"/>
          <w:sz w:val="20"/>
        </w:rPr>
        <w:t> </w:t>
      </w:r>
      <w:r>
        <w:rPr>
          <w:sz w:val="20"/>
        </w:rPr>
        <w:t>Z51.8,</w:t>
      </w:r>
      <w:r>
        <w:rPr>
          <w:spacing w:val="-5"/>
          <w:sz w:val="20"/>
        </w:rPr>
        <w:t> </w:t>
      </w:r>
      <w:r>
        <w:rPr>
          <w:sz w:val="20"/>
        </w:rPr>
        <w:t>Z51.9,</w:t>
      </w:r>
      <w:r>
        <w:rPr>
          <w:spacing w:val="-5"/>
          <w:sz w:val="20"/>
        </w:rPr>
        <w:t> </w:t>
      </w:r>
      <w:r>
        <w:rPr>
          <w:sz w:val="20"/>
        </w:rPr>
        <w:t>Z52,</w:t>
      </w:r>
      <w:r>
        <w:rPr>
          <w:spacing w:val="-6"/>
          <w:sz w:val="20"/>
        </w:rPr>
        <w:t> </w:t>
      </w:r>
      <w:r>
        <w:rPr>
          <w:spacing w:val="-2"/>
          <w:sz w:val="20"/>
        </w:rPr>
        <w:t>Z52.0,</w:t>
      </w:r>
    </w:p>
    <w:p>
      <w:pPr>
        <w:spacing w:line="229" w:lineRule="exact" w:before="0"/>
        <w:ind w:left="1163" w:right="4154" w:firstLine="0"/>
        <w:jc w:val="center"/>
        <w:rPr>
          <w:sz w:val="20"/>
        </w:rPr>
      </w:pPr>
      <w:r>
        <w:rPr>
          <w:sz w:val="20"/>
        </w:rPr>
        <w:t>Z52.1,</w:t>
      </w:r>
      <w:r>
        <w:rPr>
          <w:spacing w:val="-5"/>
          <w:sz w:val="20"/>
        </w:rPr>
        <w:t> </w:t>
      </w:r>
      <w:r>
        <w:rPr>
          <w:sz w:val="20"/>
        </w:rPr>
        <w:t>Z52.2,</w:t>
      </w:r>
      <w:r>
        <w:rPr>
          <w:spacing w:val="-5"/>
          <w:sz w:val="20"/>
        </w:rPr>
        <w:t> </w:t>
      </w:r>
      <w:r>
        <w:rPr>
          <w:sz w:val="20"/>
        </w:rPr>
        <w:t>Z52.3,</w:t>
      </w:r>
      <w:r>
        <w:rPr>
          <w:spacing w:val="-5"/>
          <w:sz w:val="20"/>
        </w:rPr>
        <w:t> </w:t>
      </w:r>
      <w:r>
        <w:rPr>
          <w:sz w:val="20"/>
        </w:rPr>
        <w:t>Z52.4,</w:t>
      </w:r>
      <w:r>
        <w:rPr>
          <w:spacing w:val="-5"/>
          <w:sz w:val="20"/>
        </w:rPr>
        <w:t> </w:t>
      </w:r>
      <w:r>
        <w:rPr>
          <w:sz w:val="20"/>
        </w:rPr>
        <w:t>Z52.5,</w:t>
      </w:r>
      <w:r>
        <w:rPr>
          <w:spacing w:val="-5"/>
          <w:sz w:val="20"/>
        </w:rPr>
        <w:t> </w:t>
      </w:r>
      <w:r>
        <w:rPr>
          <w:sz w:val="20"/>
        </w:rPr>
        <w:t>Z52.8,</w:t>
      </w:r>
      <w:r>
        <w:rPr>
          <w:spacing w:val="-5"/>
          <w:sz w:val="20"/>
        </w:rPr>
        <w:t> </w:t>
      </w:r>
      <w:r>
        <w:rPr>
          <w:spacing w:val="-2"/>
          <w:sz w:val="20"/>
        </w:rPr>
        <w:t>Z52.9,</w:t>
      </w:r>
    </w:p>
    <w:p>
      <w:pPr>
        <w:spacing w:before="0"/>
        <w:ind w:left="1158" w:right="4154" w:firstLine="0"/>
        <w:jc w:val="center"/>
        <w:rPr>
          <w:sz w:val="20"/>
        </w:rPr>
      </w:pPr>
      <w:r>
        <w:rPr>
          <w:sz w:val="20"/>
        </w:rPr>
        <w:t>Z53,</w:t>
      </w:r>
      <w:r>
        <w:rPr>
          <w:spacing w:val="-6"/>
          <w:sz w:val="20"/>
        </w:rPr>
        <w:t> </w:t>
      </w:r>
      <w:r>
        <w:rPr>
          <w:sz w:val="20"/>
        </w:rPr>
        <w:t>Z53.0,</w:t>
      </w:r>
      <w:r>
        <w:rPr>
          <w:spacing w:val="-5"/>
          <w:sz w:val="20"/>
        </w:rPr>
        <w:t> </w:t>
      </w:r>
      <w:r>
        <w:rPr>
          <w:sz w:val="20"/>
        </w:rPr>
        <w:t>Z53.1,</w:t>
      </w:r>
      <w:r>
        <w:rPr>
          <w:spacing w:val="-5"/>
          <w:sz w:val="20"/>
        </w:rPr>
        <w:t> </w:t>
      </w:r>
      <w:r>
        <w:rPr>
          <w:sz w:val="20"/>
        </w:rPr>
        <w:t>Z53.2,</w:t>
      </w:r>
      <w:r>
        <w:rPr>
          <w:spacing w:val="-5"/>
          <w:sz w:val="20"/>
        </w:rPr>
        <w:t> </w:t>
      </w:r>
      <w:r>
        <w:rPr>
          <w:sz w:val="20"/>
        </w:rPr>
        <w:t>Z53.8,</w:t>
      </w:r>
      <w:r>
        <w:rPr>
          <w:spacing w:val="-5"/>
          <w:sz w:val="20"/>
        </w:rPr>
        <w:t> </w:t>
      </w:r>
      <w:r>
        <w:rPr>
          <w:sz w:val="20"/>
        </w:rPr>
        <w:t>Z53.9,</w:t>
      </w:r>
      <w:r>
        <w:rPr>
          <w:spacing w:val="-5"/>
          <w:sz w:val="20"/>
        </w:rPr>
        <w:t> </w:t>
      </w:r>
      <w:r>
        <w:rPr>
          <w:spacing w:val="-4"/>
          <w:sz w:val="20"/>
        </w:rPr>
        <w:t>Z54,</w:t>
      </w:r>
    </w:p>
    <w:p>
      <w:pPr>
        <w:spacing w:before="0"/>
        <w:ind w:left="1162" w:right="4154" w:firstLine="0"/>
        <w:jc w:val="center"/>
        <w:rPr>
          <w:sz w:val="20"/>
        </w:rPr>
      </w:pPr>
      <w:r>
        <w:rPr>
          <w:sz w:val="20"/>
        </w:rPr>
        <w:t>Z54.0,</w:t>
      </w:r>
      <w:r>
        <w:rPr>
          <w:spacing w:val="-6"/>
          <w:sz w:val="20"/>
        </w:rPr>
        <w:t> </w:t>
      </w:r>
      <w:r>
        <w:rPr>
          <w:sz w:val="20"/>
        </w:rPr>
        <w:t>Z54.1,</w:t>
      </w:r>
      <w:r>
        <w:rPr>
          <w:spacing w:val="-5"/>
          <w:sz w:val="20"/>
        </w:rPr>
        <w:t> </w:t>
      </w:r>
      <w:r>
        <w:rPr>
          <w:sz w:val="20"/>
        </w:rPr>
        <w:t>Z54.2,</w:t>
      </w:r>
      <w:r>
        <w:rPr>
          <w:spacing w:val="-5"/>
          <w:sz w:val="20"/>
        </w:rPr>
        <w:t> </w:t>
      </w:r>
      <w:r>
        <w:rPr>
          <w:sz w:val="20"/>
        </w:rPr>
        <w:t>Z54.3,</w:t>
      </w:r>
      <w:r>
        <w:rPr>
          <w:spacing w:val="-5"/>
          <w:sz w:val="20"/>
        </w:rPr>
        <w:t> </w:t>
      </w:r>
      <w:r>
        <w:rPr>
          <w:sz w:val="20"/>
        </w:rPr>
        <w:t>Z54.4,</w:t>
      </w:r>
      <w:r>
        <w:rPr>
          <w:spacing w:val="-5"/>
          <w:sz w:val="20"/>
        </w:rPr>
        <w:t> </w:t>
      </w:r>
      <w:r>
        <w:rPr>
          <w:sz w:val="20"/>
        </w:rPr>
        <w:t>Z54.7,</w:t>
      </w:r>
      <w:r>
        <w:rPr>
          <w:spacing w:val="-5"/>
          <w:sz w:val="20"/>
        </w:rPr>
        <w:t> </w:t>
      </w:r>
      <w:r>
        <w:rPr>
          <w:spacing w:val="-2"/>
          <w:sz w:val="20"/>
        </w:rPr>
        <w:t>Z54.8,</w:t>
      </w:r>
    </w:p>
    <w:p>
      <w:pPr>
        <w:spacing w:before="1"/>
        <w:ind w:left="1160" w:right="4154" w:firstLine="0"/>
        <w:jc w:val="center"/>
        <w:rPr>
          <w:sz w:val="20"/>
        </w:rPr>
      </w:pPr>
      <w:r>
        <w:rPr>
          <w:sz w:val="20"/>
        </w:rPr>
        <w:t>Z54.9,</w:t>
      </w:r>
      <w:r>
        <w:rPr>
          <w:spacing w:val="-6"/>
          <w:sz w:val="20"/>
        </w:rPr>
        <w:t> </w:t>
      </w:r>
      <w:r>
        <w:rPr>
          <w:sz w:val="20"/>
        </w:rPr>
        <w:t>Z57,</w:t>
      </w:r>
      <w:r>
        <w:rPr>
          <w:spacing w:val="-5"/>
          <w:sz w:val="20"/>
        </w:rPr>
        <w:t> </w:t>
      </w:r>
      <w:r>
        <w:rPr>
          <w:sz w:val="20"/>
        </w:rPr>
        <w:t>Z57.0,</w:t>
      </w:r>
      <w:r>
        <w:rPr>
          <w:spacing w:val="-5"/>
          <w:sz w:val="20"/>
        </w:rPr>
        <w:t> </w:t>
      </w:r>
      <w:r>
        <w:rPr>
          <w:sz w:val="20"/>
        </w:rPr>
        <w:t>Z57.1,</w:t>
      </w:r>
      <w:r>
        <w:rPr>
          <w:spacing w:val="-5"/>
          <w:sz w:val="20"/>
        </w:rPr>
        <w:t> </w:t>
      </w:r>
      <w:r>
        <w:rPr>
          <w:sz w:val="20"/>
        </w:rPr>
        <w:t>Z57.2,</w:t>
      </w:r>
      <w:r>
        <w:rPr>
          <w:spacing w:val="-5"/>
          <w:sz w:val="20"/>
        </w:rPr>
        <w:t> </w:t>
      </w:r>
      <w:r>
        <w:rPr>
          <w:sz w:val="20"/>
        </w:rPr>
        <w:t>Z57.3,</w:t>
      </w:r>
      <w:r>
        <w:rPr>
          <w:spacing w:val="-5"/>
          <w:sz w:val="20"/>
        </w:rPr>
        <w:t> </w:t>
      </w:r>
      <w:r>
        <w:rPr>
          <w:spacing w:val="-2"/>
          <w:sz w:val="20"/>
        </w:rPr>
        <w:t>Z57.4,</w:t>
      </w:r>
    </w:p>
    <w:p>
      <w:pPr>
        <w:spacing w:before="1"/>
        <w:ind w:left="1160" w:right="4154" w:firstLine="0"/>
        <w:jc w:val="center"/>
        <w:rPr>
          <w:sz w:val="20"/>
        </w:rPr>
      </w:pPr>
      <w:r>
        <w:rPr>
          <w:sz w:val="20"/>
        </w:rPr>
        <w:t>Z57.5,</w:t>
      </w:r>
      <w:r>
        <w:rPr>
          <w:spacing w:val="-5"/>
          <w:sz w:val="20"/>
        </w:rPr>
        <w:t> </w:t>
      </w:r>
      <w:r>
        <w:rPr>
          <w:sz w:val="20"/>
        </w:rPr>
        <w:t>Z57.6,</w:t>
      </w:r>
      <w:r>
        <w:rPr>
          <w:spacing w:val="-5"/>
          <w:sz w:val="20"/>
        </w:rPr>
        <w:t> </w:t>
      </w:r>
      <w:r>
        <w:rPr>
          <w:sz w:val="20"/>
        </w:rPr>
        <w:t>Z57.7,</w:t>
      </w:r>
      <w:r>
        <w:rPr>
          <w:spacing w:val="-4"/>
          <w:sz w:val="20"/>
        </w:rPr>
        <w:t> </w:t>
      </w:r>
      <w:r>
        <w:rPr>
          <w:sz w:val="20"/>
        </w:rPr>
        <w:t>Z57.8,</w:t>
      </w:r>
      <w:r>
        <w:rPr>
          <w:spacing w:val="-5"/>
          <w:sz w:val="20"/>
        </w:rPr>
        <w:t> </w:t>
      </w:r>
      <w:r>
        <w:rPr>
          <w:sz w:val="20"/>
        </w:rPr>
        <w:t>Z57.9,</w:t>
      </w:r>
      <w:r>
        <w:rPr>
          <w:spacing w:val="-5"/>
          <w:sz w:val="20"/>
        </w:rPr>
        <w:t> </w:t>
      </w:r>
      <w:r>
        <w:rPr>
          <w:sz w:val="20"/>
        </w:rPr>
        <w:t>Z58,</w:t>
      </w:r>
      <w:r>
        <w:rPr>
          <w:spacing w:val="-6"/>
          <w:sz w:val="20"/>
        </w:rPr>
        <w:t> </w:t>
      </w:r>
      <w:r>
        <w:rPr>
          <w:spacing w:val="-2"/>
          <w:sz w:val="20"/>
        </w:rPr>
        <w:t>Z58.0,</w:t>
      </w:r>
    </w:p>
    <w:p>
      <w:pPr>
        <w:spacing w:line="229" w:lineRule="exact" w:before="0"/>
        <w:ind w:left="1167" w:right="4154" w:firstLine="0"/>
        <w:jc w:val="center"/>
        <w:rPr>
          <w:sz w:val="20"/>
        </w:rPr>
      </w:pPr>
      <w:r>
        <w:rPr>
          <w:sz w:val="20"/>
        </w:rPr>
        <w:t>Z58.1,</w:t>
      </w:r>
      <w:r>
        <w:rPr>
          <w:spacing w:val="-5"/>
          <w:sz w:val="20"/>
        </w:rPr>
        <w:t> </w:t>
      </w:r>
      <w:r>
        <w:rPr>
          <w:sz w:val="20"/>
        </w:rPr>
        <w:t>Z58.2,</w:t>
      </w:r>
      <w:r>
        <w:rPr>
          <w:spacing w:val="-4"/>
          <w:sz w:val="20"/>
        </w:rPr>
        <w:t> </w:t>
      </w:r>
      <w:r>
        <w:rPr>
          <w:sz w:val="20"/>
        </w:rPr>
        <w:t>Z58.3,</w:t>
      </w:r>
      <w:r>
        <w:rPr>
          <w:spacing w:val="-4"/>
          <w:sz w:val="20"/>
        </w:rPr>
        <w:t> </w:t>
      </w:r>
      <w:r>
        <w:rPr>
          <w:sz w:val="20"/>
        </w:rPr>
        <w:t>Z58.4,</w:t>
      </w:r>
      <w:r>
        <w:rPr>
          <w:spacing w:val="-4"/>
          <w:sz w:val="20"/>
        </w:rPr>
        <w:t> </w:t>
      </w:r>
      <w:r>
        <w:rPr>
          <w:sz w:val="20"/>
        </w:rPr>
        <w:t>Z58.5,</w:t>
      </w:r>
      <w:r>
        <w:rPr>
          <w:spacing w:val="-5"/>
          <w:sz w:val="20"/>
        </w:rPr>
        <w:t> </w:t>
      </w:r>
      <w:r>
        <w:rPr>
          <w:sz w:val="20"/>
        </w:rPr>
        <w:t>Z58.6,</w:t>
      </w:r>
      <w:r>
        <w:rPr>
          <w:spacing w:val="-4"/>
          <w:sz w:val="20"/>
        </w:rPr>
        <w:t> </w:t>
      </w:r>
      <w:r>
        <w:rPr>
          <w:spacing w:val="-2"/>
          <w:sz w:val="20"/>
        </w:rPr>
        <w:t>Z58.8,</w:t>
      </w:r>
    </w:p>
    <w:p>
      <w:pPr>
        <w:spacing w:line="229" w:lineRule="exact" w:before="0"/>
        <w:ind w:left="1160" w:right="4154" w:firstLine="0"/>
        <w:jc w:val="center"/>
        <w:rPr>
          <w:sz w:val="20"/>
        </w:rPr>
      </w:pPr>
      <w:r>
        <w:rPr>
          <w:sz w:val="20"/>
        </w:rPr>
        <w:t>Z58.9,</w:t>
      </w:r>
      <w:r>
        <w:rPr>
          <w:spacing w:val="-6"/>
          <w:sz w:val="20"/>
        </w:rPr>
        <w:t> </w:t>
      </w:r>
      <w:r>
        <w:rPr>
          <w:sz w:val="20"/>
        </w:rPr>
        <w:t>Z59,</w:t>
      </w:r>
      <w:r>
        <w:rPr>
          <w:spacing w:val="-5"/>
          <w:sz w:val="20"/>
        </w:rPr>
        <w:t> </w:t>
      </w:r>
      <w:r>
        <w:rPr>
          <w:sz w:val="20"/>
        </w:rPr>
        <w:t>Z59.0,</w:t>
      </w:r>
      <w:r>
        <w:rPr>
          <w:spacing w:val="-5"/>
          <w:sz w:val="20"/>
        </w:rPr>
        <w:t> </w:t>
      </w:r>
      <w:r>
        <w:rPr>
          <w:sz w:val="20"/>
        </w:rPr>
        <w:t>Z59.1,</w:t>
      </w:r>
      <w:r>
        <w:rPr>
          <w:spacing w:val="-5"/>
          <w:sz w:val="20"/>
        </w:rPr>
        <w:t> </w:t>
      </w:r>
      <w:r>
        <w:rPr>
          <w:sz w:val="20"/>
        </w:rPr>
        <w:t>Z59.2,</w:t>
      </w:r>
      <w:r>
        <w:rPr>
          <w:spacing w:val="-5"/>
          <w:sz w:val="20"/>
        </w:rPr>
        <w:t> </w:t>
      </w:r>
      <w:r>
        <w:rPr>
          <w:sz w:val="20"/>
        </w:rPr>
        <w:t>Z59.3,</w:t>
      </w:r>
      <w:r>
        <w:rPr>
          <w:spacing w:val="-5"/>
          <w:sz w:val="20"/>
        </w:rPr>
        <w:t> </w:t>
      </w:r>
      <w:r>
        <w:rPr>
          <w:spacing w:val="-2"/>
          <w:sz w:val="20"/>
        </w:rPr>
        <w:t>Z59.4,</w:t>
      </w:r>
    </w:p>
    <w:p>
      <w:pPr>
        <w:spacing w:before="0"/>
        <w:ind w:left="4681" w:right="0" w:firstLine="0"/>
        <w:jc w:val="left"/>
        <w:rPr>
          <w:sz w:val="20"/>
        </w:rPr>
      </w:pPr>
      <w:r>
        <w:rPr>
          <w:sz w:val="20"/>
        </w:rPr>
        <w:t>Z59.5,</w:t>
      </w:r>
      <w:r>
        <w:rPr>
          <w:spacing w:val="-5"/>
          <w:sz w:val="20"/>
        </w:rPr>
        <w:t> </w:t>
      </w:r>
      <w:r>
        <w:rPr>
          <w:sz w:val="20"/>
        </w:rPr>
        <w:t>Z59.6,</w:t>
      </w:r>
      <w:r>
        <w:rPr>
          <w:spacing w:val="-5"/>
          <w:sz w:val="20"/>
        </w:rPr>
        <w:t> </w:t>
      </w:r>
      <w:r>
        <w:rPr>
          <w:sz w:val="20"/>
        </w:rPr>
        <w:t>Z59.7,</w:t>
      </w:r>
      <w:r>
        <w:rPr>
          <w:spacing w:val="-4"/>
          <w:sz w:val="20"/>
        </w:rPr>
        <w:t> </w:t>
      </w:r>
      <w:r>
        <w:rPr>
          <w:sz w:val="20"/>
        </w:rPr>
        <w:t>Z59.8,</w:t>
      </w:r>
      <w:r>
        <w:rPr>
          <w:spacing w:val="-5"/>
          <w:sz w:val="20"/>
        </w:rPr>
        <w:t> </w:t>
      </w:r>
      <w:r>
        <w:rPr>
          <w:sz w:val="20"/>
        </w:rPr>
        <w:t>Z59.9,</w:t>
      </w:r>
      <w:r>
        <w:rPr>
          <w:spacing w:val="-5"/>
          <w:sz w:val="20"/>
        </w:rPr>
        <w:t> </w:t>
      </w:r>
      <w:r>
        <w:rPr>
          <w:sz w:val="20"/>
        </w:rPr>
        <w:t>Z60,</w:t>
      </w:r>
      <w:r>
        <w:rPr>
          <w:spacing w:val="-6"/>
          <w:sz w:val="20"/>
        </w:rPr>
        <w:t> </w:t>
      </w:r>
      <w:r>
        <w:rPr>
          <w:spacing w:val="-2"/>
          <w:sz w:val="20"/>
        </w:rPr>
        <w:t>Z60.0,</w:t>
      </w:r>
    </w:p>
    <w:p>
      <w:pPr>
        <w:spacing w:before="1"/>
        <w:ind w:left="4607" w:right="0" w:firstLine="0"/>
        <w:jc w:val="left"/>
        <w:rPr>
          <w:sz w:val="20"/>
        </w:rPr>
      </w:pPr>
      <w:r>
        <w:rPr>
          <w:sz w:val="20"/>
        </w:rPr>
        <w:t>Z60.1,</w:t>
      </w:r>
      <w:r>
        <w:rPr>
          <w:spacing w:val="-6"/>
          <w:sz w:val="20"/>
        </w:rPr>
        <w:t> </w:t>
      </w:r>
      <w:r>
        <w:rPr>
          <w:sz w:val="20"/>
        </w:rPr>
        <w:t>Z60.2,</w:t>
      </w:r>
      <w:r>
        <w:rPr>
          <w:spacing w:val="-5"/>
          <w:sz w:val="20"/>
        </w:rPr>
        <w:t> </w:t>
      </w:r>
      <w:r>
        <w:rPr>
          <w:sz w:val="20"/>
        </w:rPr>
        <w:t>Z60.3,</w:t>
      </w:r>
      <w:r>
        <w:rPr>
          <w:spacing w:val="-5"/>
          <w:sz w:val="20"/>
        </w:rPr>
        <w:t> </w:t>
      </w:r>
      <w:r>
        <w:rPr>
          <w:sz w:val="20"/>
        </w:rPr>
        <w:t>Z60.4,</w:t>
      </w:r>
      <w:r>
        <w:rPr>
          <w:spacing w:val="-5"/>
          <w:sz w:val="20"/>
        </w:rPr>
        <w:t> </w:t>
      </w:r>
      <w:r>
        <w:rPr>
          <w:sz w:val="20"/>
        </w:rPr>
        <w:t>Z60.5,</w:t>
      </w:r>
      <w:r>
        <w:rPr>
          <w:spacing w:val="-5"/>
          <w:sz w:val="20"/>
        </w:rPr>
        <w:t> </w:t>
      </w:r>
      <w:r>
        <w:rPr>
          <w:sz w:val="20"/>
        </w:rPr>
        <w:t>Z60.8,</w:t>
      </w:r>
      <w:r>
        <w:rPr>
          <w:spacing w:val="-5"/>
          <w:sz w:val="20"/>
        </w:rPr>
        <w:t> </w:t>
      </w:r>
      <w:r>
        <w:rPr>
          <w:spacing w:val="-2"/>
          <w:sz w:val="20"/>
        </w:rPr>
        <w:t>Z60.9,</w:t>
      </w:r>
    </w:p>
    <w:p>
      <w:pPr>
        <w:spacing w:before="0"/>
        <w:ind w:left="4681" w:right="0" w:firstLine="0"/>
        <w:jc w:val="left"/>
        <w:rPr>
          <w:sz w:val="20"/>
        </w:rPr>
      </w:pPr>
      <w:r>
        <w:rPr>
          <w:sz w:val="20"/>
        </w:rPr>
        <w:t>Z61,</w:t>
      </w:r>
      <w:r>
        <w:rPr>
          <w:spacing w:val="-6"/>
          <w:sz w:val="20"/>
        </w:rPr>
        <w:t> </w:t>
      </w:r>
      <w:r>
        <w:rPr>
          <w:sz w:val="20"/>
        </w:rPr>
        <w:t>Z61.0,</w:t>
      </w:r>
      <w:r>
        <w:rPr>
          <w:spacing w:val="-5"/>
          <w:sz w:val="20"/>
        </w:rPr>
        <w:t> </w:t>
      </w:r>
      <w:r>
        <w:rPr>
          <w:sz w:val="20"/>
        </w:rPr>
        <w:t>Z61.1,</w:t>
      </w:r>
      <w:r>
        <w:rPr>
          <w:spacing w:val="-5"/>
          <w:sz w:val="20"/>
        </w:rPr>
        <w:t> </w:t>
      </w:r>
      <w:r>
        <w:rPr>
          <w:sz w:val="20"/>
        </w:rPr>
        <w:t>Z61.2,</w:t>
      </w:r>
      <w:r>
        <w:rPr>
          <w:spacing w:val="-5"/>
          <w:sz w:val="20"/>
        </w:rPr>
        <w:t> </w:t>
      </w:r>
      <w:r>
        <w:rPr>
          <w:sz w:val="20"/>
        </w:rPr>
        <w:t>Z61.3,</w:t>
      </w:r>
      <w:r>
        <w:rPr>
          <w:spacing w:val="-5"/>
          <w:sz w:val="20"/>
        </w:rPr>
        <w:t> </w:t>
      </w:r>
      <w:r>
        <w:rPr>
          <w:sz w:val="20"/>
        </w:rPr>
        <w:t>Z61.4,</w:t>
      </w:r>
      <w:r>
        <w:rPr>
          <w:spacing w:val="-5"/>
          <w:sz w:val="20"/>
        </w:rPr>
        <w:t> </w:t>
      </w:r>
      <w:r>
        <w:rPr>
          <w:spacing w:val="-2"/>
          <w:sz w:val="20"/>
        </w:rPr>
        <w:t>Z61.5,</w:t>
      </w:r>
    </w:p>
    <w:p>
      <w:pPr>
        <w:spacing w:line="229" w:lineRule="exact" w:before="1"/>
        <w:ind w:left="4681" w:right="0" w:firstLine="0"/>
        <w:jc w:val="left"/>
        <w:rPr>
          <w:sz w:val="20"/>
        </w:rPr>
      </w:pPr>
      <w:r>
        <w:rPr>
          <w:sz w:val="20"/>
        </w:rPr>
        <w:t>Z61.6,</w:t>
      </w:r>
      <w:r>
        <w:rPr>
          <w:spacing w:val="-5"/>
          <w:sz w:val="20"/>
        </w:rPr>
        <w:t> </w:t>
      </w:r>
      <w:r>
        <w:rPr>
          <w:sz w:val="20"/>
        </w:rPr>
        <w:t>Z61.7,</w:t>
      </w:r>
      <w:r>
        <w:rPr>
          <w:spacing w:val="-5"/>
          <w:sz w:val="20"/>
        </w:rPr>
        <w:t> </w:t>
      </w:r>
      <w:r>
        <w:rPr>
          <w:sz w:val="20"/>
        </w:rPr>
        <w:t>Z61.8,</w:t>
      </w:r>
      <w:r>
        <w:rPr>
          <w:spacing w:val="-4"/>
          <w:sz w:val="20"/>
        </w:rPr>
        <w:t> </w:t>
      </w:r>
      <w:r>
        <w:rPr>
          <w:sz w:val="20"/>
        </w:rPr>
        <w:t>Z61.9,</w:t>
      </w:r>
      <w:r>
        <w:rPr>
          <w:spacing w:val="-5"/>
          <w:sz w:val="20"/>
        </w:rPr>
        <w:t> </w:t>
      </w:r>
      <w:r>
        <w:rPr>
          <w:sz w:val="20"/>
        </w:rPr>
        <w:t>Z62,</w:t>
      </w:r>
      <w:r>
        <w:rPr>
          <w:spacing w:val="-5"/>
          <w:sz w:val="20"/>
        </w:rPr>
        <w:t> </w:t>
      </w:r>
      <w:r>
        <w:rPr>
          <w:sz w:val="20"/>
        </w:rPr>
        <w:t>Z62.0,</w:t>
      </w:r>
      <w:r>
        <w:rPr>
          <w:spacing w:val="-6"/>
          <w:sz w:val="20"/>
        </w:rPr>
        <w:t> </w:t>
      </w:r>
      <w:r>
        <w:rPr>
          <w:spacing w:val="-2"/>
          <w:sz w:val="20"/>
        </w:rPr>
        <w:t>Z62.1,</w:t>
      </w:r>
    </w:p>
    <w:p>
      <w:pPr>
        <w:spacing w:line="229" w:lineRule="exact" w:before="0"/>
        <w:ind w:left="4607" w:right="0" w:firstLine="0"/>
        <w:jc w:val="left"/>
        <w:rPr>
          <w:sz w:val="20"/>
        </w:rPr>
      </w:pPr>
      <w:r>
        <w:rPr>
          <w:sz w:val="20"/>
        </w:rPr>
        <w:t>Z62.2,</w:t>
      </w:r>
      <w:r>
        <w:rPr>
          <w:spacing w:val="-6"/>
          <w:sz w:val="20"/>
        </w:rPr>
        <w:t> </w:t>
      </w:r>
      <w:r>
        <w:rPr>
          <w:sz w:val="20"/>
        </w:rPr>
        <w:t>Z62.3,</w:t>
      </w:r>
      <w:r>
        <w:rPr>
          <w:spacing w:val="-5"/>
          <w:sz w:val="20"/>
        </w:rPr>
        <w:t> </w:t>
      </w:r>
      <w:r>
        <w:rPr>
          <w:sz w:val="20"/>
        </w:rPr>
        <w:t>Z62.4,</w:t>
      </w:r>
      <w:r>
        <w:rPr>
          <w:spacing w:val="-5"/>
          <w:sz w:val="20"/>
        </w:rPr>
        <w:t> </w:t>
      </w:r>
      <w:r>
        <w:rPr>
          <w:sz w:val="20"/>
        </w:rPr>
        <w:t>Z62.5,</w:t>
      </w:r>
      <w:r>
        <w:rPr>
          <w:spacing w:val="-5"/>
          <w:sz w:val="20"/>
        </w:rPr>
        <w:t> </w:t>
      </w:r>
      <w:r>
        <w:rPr>
          <w:sz w:val="20"/>
        </w:rPr>
        <w:t>Z62.6,</w:t>
      </w:r>
      <w:r>
        <w:rPr>
          <w:spacing w:val="-5"/>
          <w:sz w:val="20"/>
        </w:rPr>
        <w:t> </w:t>
      </w:r>
      <w:r>
        <w:rPr>
          <w:sz w:val="20"/>
        </w:rPr>
        <w:t>Z62.8,</w:t>
      </w:r>
      <w:r>
        <w:rPr>
          <w:spacing w:val="-5"/>
          <w:sz w:val="20"/>
        </w:rPr>
        <w:t> </w:t>
      </w:r>
      <w:r>
        <w:rPr>
          <w:spacing w:val="-2"/>
          <w:sz w:val="20"/>
        </w:rPr>
        <w:t>Z62.9,</w:t>
      </w:r>
    </w:p>
    <w:p>
      <w:pPr>
        <w:spacing w:before="0"/>
        <w:ind w:left="4681" w:right="0" w:firstLine="0"/>
        <w:jc w:val="left"/>
        <w:rPr>
          <w:sz w:val="20"/>
        </w:rPr>
      </w:pPr>
      <w:r>
        <w:rPr>
          <w:sz w:val="20"/>
        </w:rPr>
        <w:t>Z63,</w:t>
      </w:r>
      <w:r>
        <w:rPr>
          <w:spacing w:val="-6"/>
          <w:sz w:val="20"/>
        </w:rPr>
        <w:t> </w:t>
      </w:r>
      <w:r>
        <w:rPr>
          <w:sz w:val="20"/>
        </w:rPr>
        <w:t>Z63.0,</w:t>
      </w:r>
      <w:r>
        <w:rPr>
          <w:spacing w:val="-5"/>
          <w:sz w:val="20"/>
        </w:rPr>
        <w:t> </w:t>
      </w:r>
      <w:r>
        <w:rPr>
          <w:sz w:val="20"/>
        </w:rPr>
        <w:t>Z63.1,</w:t>
      </w:r>
      <w:r>
        <w:rPr>
          <w:spacing w:val="-5"/>
          <w:sz w:val="20"/>
        </w:rPr>
        <w:t> </w:t>
      </w:r>
      <w:r>
        <w:rPr>
          <w:sz w:val="20"/>
        </w:rPr>
        <w:t>Z63.2,</w:t>
      </w:r>
      <w:r>
        <w:rPr>
          <w:spacing w:val="-5"/>
          <w:sz w:val="20"/>
        </w:rPr>
        <w:t> </w:t>
      </w:r>
      <w:r>
        <w:rPr>
          <w:sz w:val="20"/>
        </w:rPr>
        <w:t>Z63.3,</w:t>
      </w:r>
      <w:r>
        <w:rPr>
          <w:spacing w:val="-5"/>
          <w:sz w:val="20"/>
        </w:rPr>
        <w:t> </w:t>
      </w:r>
      <w:r>
        <w:rPr>
          <w:sz w:val="20"/>
        </w:rPr>
        <w:t>Z63.4,</w:t>
      </w:r>
      <w:r>
        <w:rPr>
          <w:spacing w:val="-5"/>
          <w:sz w:val="20"/>
        </w:rPr>
        <w:t> </w:t>
      </w:r>
      <w:r>
        <w:rPr>
          <w:spacing w:val="-2"/>
          <w:sz w:val="20"/>
        </w:rPr>
        <w:t>Z63.5,</w:t>
      </w:r>
    </w:p>
    <w:p>
      <w:pPr>
        <w:spacing w:before="1"/>
        <w:ind w:left="4681" w:right="0" w:firstLine="0"/>
        <w:jc w:val="left"/>
        <w:rPr>
          <w:sz w:val="20"/>
        </w:rPr>
      </w:pPr>
      <w:r>
        <w:rPr>
          <w:sz w:val="20"/>
        </w:rPr>
        <w:t>Z63.6,</w:t>
      </w:r>
      <w:r>
        <w:rPr>
          <w:spacing w:val="-5"/>
          <w:sz w:val="20"/>
        </w:rPr>
        <w:t> </w:t>
      </w:r>
      <w:r>
        <w:rPr>
          <w:sz w:val="20"/>
        </w:rPr>
        <w:t>Z63.7,</w:t>
      </w:r>
      <w:r>
        <w:rPr>
          <w:spacing w:val="-5"/>
          <w:sz w:val="20"/>
        </w:rPr>
        <w:t> </w:t>
      </w:r>
      <w:r>
        <w:rPr>
          <w:sz w:val="20"/>
        </w:rPr>
        <w:t>Z63.8,</w:t>
      </w:r>
      <w:r>
        <w:rPr>
          <w:spacing w:val="-4"/>
          <w:sz w:val="20"/>
        </w:rPr>
        <w:t> </w:t>
      </w:r>
      <w:r>
        <w:rPr>
          <w:sz w:val="20"/>
        </w:rPr>
        <w:t>Z63.9,</w:t>
      </w:r>
      <w:r>
        <w:rPr>
          <w:spacing w:val="-5"/>
          <w:sz w:val="20"/>
        </w:rPr>
        <w:t> </w:t>
      </w:r>
      <w:r>
        <w:rPr>
          <w:sz w:val="20"/>
        </w:rPr>
        <w:t>Z64,</w:t>
      </w:r>
      <w:r>
        <w:rPr>
          <w:spacing w:val="-5"/>
          <w:sz w:val="20"/>
        </w:rPr>
        <w:t> </w:t>
      </w:r>
      <w:r>
        <w:rPr>
          <w:sz w:val="20"/>
        </w:rPr>
        <w:t>Z64.0,</w:t>
      </w:r>
      <w:r>
        <w:rPr>
          <w:spacing w:val="-6"/>
          <w:sz w:val="20"/>
        </w:rPr>
        <w:t> </w:t>
      </w:r>
      <w:r>
        <w:rPr>
          <w:spacing w:val="-2"/>
          <w:sz w:val="20"/>
        </w:rPr>
        <w:t>Z64.1,</w:t>
      </w:r>
    </w:p>
    <w:p>
      <w:pPr>
        <w:spacing w:before="0"/>
        <w:ind w:left="4681" w:right="0" w:firstLine="0"/>
        <w:jc w:val="left"/>
        <w:rPr>
          <w:sz w:val="20"/>
        </w:rPr>
      </w:pPr>
      <w:r>
        <w:rPr>
          <w:sz w:val="20"/>
        </w:rPr>
        <w:t>Z64.2,</w:t>
      </w:r>
      <w:r>
        <w:rPr>
          <w:spacing w:val="-6"/>
          <w:sz w:val="20"/>
        </w:rPr>
        <w:t> </w:t>
      </w:r>
      <w:r>
        <w:rPr>
          <w:sz w:val="20"/>
        </w:rPr>
        <w:t>Z64.3,</w:t>
      </w:r>
      <w:r>
        <w:rPr>
          <w:spacing w:val="-5"/>
          <w:sz w:val="20"/>
        </w:rPr>
        <w:t> </w:t>
      </w:r>
      <w:r>
        <w:rPr>
          <w:sz w:val="20"/>
        </w:rPr>
        <w:t>Z64.4,</w:t>
      </w:r>
      <w:r>
        <w:rPr>
          <w:spacing w:val="-5"/>
          <w:sz w:val="20"/>
        </w:rPr>
        <w:t> </w:t>
      </w:r>
      <w:r>
        <w:rPr>
          <w:sz w:val="20"/>
        </w:rPr>
        <w:t>Z65,</w:t>
      </w:r>
      <w:r>
        <w:rPr>
          <w:spacing w:val="-5"/>
          <w:sz w:val="20"/>
        </w:rPr>
        <w:t> </w:t>
      </w:r>
      <w:r>
        <w:rPr>
          <w:sz w:val="20"/>
        </w:rPr>
        <w:t>Z65.0,</w:t>
      </w:r>
      <w:r>
        <w:rPr>
          <w:spacing w:val="-5"/>
          <w:sz w:val="20"/>
        </w:rPr>
        <w:t> </w:t>
      </w:r>
      <w:r>
        <w:rPr>
          <w:sz w:val="20"/>
        </w:rPr>
        <w:t>Z65.1,</w:t>
      </w:r>
      <w:r>
        <w:rPr>
          <w:spacing w:val="-5"/>
          <w:sz w:val="20"/>
        </w:rPr>
        <w:t> </w:t>
      </w:r>
      <w:r>
        <w:rPr>
          <w:spacing w:val="-2"/>
          <w:sz w:val="20"/>
        </w:rPr>
        <w:t>Z65.2,</w:t>
      </w:r>
    </w:p>
    <w:p>
      <w:pPr>
        <w:spacing w:before="1"/>
        <w:ind w:left="4681" w:right="0" w:firstLine="0"/>
        <w:jc w:val="left"/>
        <w:rPr>
          <w:sz w:val="20"/>
        </w:rPr>
      </w:pPr>
      <w:r>
        <w:rPr>
          <w:sz w:val="20"/>
        </w:rPr>
        <w:t>Z65.3,</w:t>
      </w:r>
      <w:r>
        <w:rPr>
          <w:spacing w:val="-5"/>
          <w:sz w:val="20"/>
        </w:rPr>
        <w:t> </w:t>
      </w:r>
      <w:r>
        <w:rPr>
          <w:sz w:val="20"/>
        </w:rPr>
        <w:t>Z65.4,</w:t>
      </w:r>
      <w:r>
        <w:rPr>
          <w:spacing w:val="-5"/>
          <w:sz w:val="20"/>
        </w:rPr>
        <w:t> </w:t>
      </w:r>
      <w:r>
        <w:rPr>
          <w:sz w:val="20"/>
        </w:rPr>
        <w:t>Z65.5,</w:t>
      </w:r>
      <w:r>
        <w:rPr>
          <w:spacing w:val="-4"/>
          <w:sz w:val="20"/>
        </w:rPr>
        <w:t> </w:t>
      </w:r>
      <w:r>
        <w:rPr>
          <w:sz w:val="20"/>
        </w:rPr>
        <w:t>Z65.8,</w:t>
      </w:r>
      <w:r>
        <w:rPr>
          <w:spacing w:val="-5"/>
          <w:sz w:val="20"/>
        </w:rPr>
        <w:t> </w:t>
      </w:r>
      <w:r>
        <w:rPr>
          <w:sz w:val="20"/>
        </w:rPr>
        <w:t>Z65.9,</w:t>
      </w:r>
      <w:r>
        <w:rPr>
          <w:spacing w:val="-5"/>
          <w:sz w:val="20"/>
        </w:rPr>
        <w:t> </w:t>
      </w:r>
      <w:r>
        <w:rPr>
          <w:sz w:val="20"/>
        </w:rPr>
        <w:t>Z70,</w:t>
      </w:r>
      <w:r>
        <w:rPr>
          <w:spacing w:val="-6"/>
          <w:sz w:val="20"/>
        </w:rPr>
        <w:t> </w:t>
      </w:r>
      <w:r>
        <w:rPr>
          <w:spacing w:val="-2"/>
          <w:sz w:val="20"/>
        </w:rPr>
        <w:t>Z70.0,</w:t>
      </w:r>
    </w:p>
    <w:p>
      <w:pPr>
        <w:spacing w:line="229" w:lineRule="exact" w:before="0"/>
        <w:ind w:left="4681" w:right="0" w:firstLine="0"/>
        <w:jc w:val="left"/>
        <w:rPr>
          <w:sz w:val="20"/>
        </w:rPr>
      </w:pPr>
      <w:r>
        <w:rPr>
          <w:sz w:val="20"/>
        </w:rPr>
        <w:t>Z70.1,</w:t>
      </w:r>
      <w:r>
        <w:rPr>
          <w:spacing w:val="-5"/>
          <w:sz w:val="20"/>
        </w:rPr>
        <w:t> </w:t>
      </w:r>
      <w:r>
        <w:rPr>
          <w:sz w:val="20"/>
        </w:rPr>
        <w:t>Z70.2,</w:t>
      </w:r>
      <w:r>
        <w:rPr>
          <w:spacing w:val="-4"/>
          <w:sz w:val="20"/>
        </w:rPr>
        <w:t> </w:t>
      </w:r>
      <w:r>
        <w:rPr>
          <w:sz w:val="20"/>
        </w:rPr>
        <w:t>Z70.3,</w:t>
      </w:r>
      <w:r>
        <w:rPr>
          <w:spacing w:val="-4"/>
          <w:sz w:val="20"/>
        </w:rPr>
        <w:t> </w:t>
      </w:r>
      <w:r>
        <w:rPr>
          <w:sz w:val="20"/>
        </w:rPr>
        <w:t>Z70.8,</w:t>
      </w:r>
      <w:r>
        <w:rPr>
          <w:spacing w:val="-4"/>
          <w:sz w:val="20"/>
        </w:rPr>
        <w:t> </w:t>
      </w:r>
      <w:r>
        <w:rPr>
          <w:sz w:val="20"/>
        </w:rPr>
        <w:t>Z70.9,</w:t>
      </w:r>
      <w:r>
        <w:rPr>
          <w:spacing w:val="-4"/>
          <w:sz w:val="20"/>
        </w:rPr>
        <w:t> </w:t>
      </w:r>
      <w:r>
        <w:rPr>
          <w:sz w:val="20"/>
        </w:rPr>
        <w:t>Z71,</w:t>
      </w:r>
      <w:r>
        <w:rPr>
          <w:spacing w:val="-6"/>
          <w:sz w:val="20"/>
        </w:rPr>
        <w:t> </w:t>
      </w:r>
      <w:r>
        <w:rPr>
          <w:spacing w:val="-2"/>
          <w:sz w:val="20"/>
        </w:rPr>
        <w:t>Z71.0,</w:t>
      </w:r>
    </w:p>
    <w:p>
      <w:pPr>
        <w:spacing w:line="229" w:lineRule="exact" w:before="0"/>
        <w:ind w:left="4607" w:right="0" w:firstLine="0"/>
        <w:jc w:val="left"/>
        <w:rPr>
          <w:sz w:val="20"/>
        </w:rPr>
      </w:pPr>
      <w:r>
        <w:rPr>
          <w:sz w:val="20"/>
        </w:rPr>
        <w:t>Z71.1,</w:t>
      </w:r>
      <w:r>
        <w:rPr>
          <w:spacing w:val="-6"/>
          <w:sz w:val="20"/>
        </w:rPr>
        <w:t> </w:t>
      </w:r>
      <w:r>
        <w:rPr>
          <w:sz w:val="20"/>
        </w:rPr>
        <w:t>Z71.2,</w:t>
      </w:r>
      <w:r>
        <w:rPr>
          <w:spacing w:val="-5"/>
          <w:sz w:val="20"/>
        </w:rPr>
        <w:t> </w:t>
      </w:r>
      <w:r>
        <w:rPr>
          <w:sz w:val="20"/>
        </w:rPr>
        <w:t>Z71.3,</w:t>
      </w:r>
      <w:r>
        <w:rPr>
          <w:spacing w:val="-5"/>
          <w:sz w:val="20"/>
        </w:rPr>
        <w:t> </w:t>
      </w:r>
      <w:r>
        <w:rPr>
          <w:sz w:val="20"/>
        </w:rPr>
        <w:t>Z71.4,</w:t>
      </w:r>
      <w:r>
        <w:rPr>
          <w:spacing w:val="-5"/>
          <w:sz w:val="20"/>
        </w:rPr>
        <w:t> </w:t>
      </w:r>
      <w:r>
        <w:rPr>
          <w:sz w:val="20"/>
        </w:rPr>
        <w:t>Z71.5,</w:t>
      </w:r>
      <w:r>
        <w:rPr>
          <w:spacing w:val="-5"/>
          <w:sz w:val="20"/>
        </w:rPr>
        <w:t> </w:t>
      </w:r>
      <w:r>
        <w:rPr>
          <w:sz w:val="20"/>
        </w:rPr>
        <w:t>Z71.6,</w:t>
      </w:r>
      <w:r>
        <w:rPr>
          <w:spacing w:val="-5"/>
          <w:sz w:val="20"/>
        </w:rPr>
        <w:t> </w:t>
      </w:r>
      <w:r>
        <w:rPr>
          <w:spacing w:val="-2"/>
          <w:sz w:val="20"/>
        </w:rPr>
        <w:t>Z71.7,</w:t>
      </w:r>
    </w:p>
    <w:p>
      <w:pPr>
        <w:spacing w:before="1"/>
        <w:ind w:left="4681" w:right="0" w:firstLine="0"/>
        <w:jc w:val="left"/>
        <w:rPr>
          <w:sz w:val="20"/>
        </w:rPr>
      </w:pPr>
      <w:r>
        <w:rPr>
          <w:sz w:val="20"/>
        </w:rPr>
        <w:t>Z71.8,</w:t>
      </w:r>
      <w:r>
        <w:rPr>
          <w:spacing w:val="-6"/>
          <w:sz w:val="20"/>
        </w:rPr>
        <w:t> </w:t>
      </w:r>
      <w:r>
        <w:rPr>
          <w:sz w:val="20"/>
        </w:rPr>
        <w:t>Z71.9,</w:t>
      </w:r>
      <w:r>
        <w:rPr>
          <w:spacing w:val="-5"/>
          <w:sz w:val="20"/>
        </w:rPr>
        <w:t> </w:t>
      </w:r>
      <w:r>
        <w:rPr>
          <w:sz w:val="20"/>
        </w:rPr>
        <w:t>Z72,</w:t>
      </w:r>
      <w:r>
        <w:rPr>
          <w:spacing w:val="-5"/>
          <w:sz w:val="20"/>
        </w:rPr>
        <w:t> </w:t>
      </w:r>
      <w:r>
        <w:rPr>
          <w:sz w:val="20"/>
        </w:rPr>
        <w:t>Z72.0,</w:t>
      </w:r>
      <w:r>
        <w:rPr>
          <w:spacing w:val="-5"/>
          <w:sz w:val="20"/>
        </w:rPr>
        <w:t> </w:t>
      </w:r>
      <w:r>
        <w:rPr>
          <w:sz w:val="20"/>
        </w:rPr>
        <w:t>Z72.1,</w:t>
      </w:r>
      <w:r>
        <w:rPr>
          <w:spacing w:val="-5"/>
          <w:sz w:val="20"/>
        </w:rPr>
        <w:t> </w:t>
      </w:r>
      <w:r>
        <w:rPr>
          <w:sz w:val="20"/>
        </w:rPr>
        <w:t>Z72.2,</w:t>
      </w:r>
      <w:r>
        <w:rPr>
          <w:spacing w:val="-5"/>
          <w:sz w:val="20"/>
        </w:rPr>
        <w:t> </w:t>
      </w:r>
      <w:r>
        <w:rPr>
          <w:spacing w:val="-2"/>
          <w:sz w:val="20"/>
        </w:rPr>
        <w:t>Z72.3,</w:t>
      </w:r>
    </w:p>
    <w:p>
      <w:pPr>
        <w:spacing w:before="0"/>
        <w:ind w:left="4681" w:right="0" w:firstLine="0"/>
        <w:jc w:val="left"/>
        <w:rPr>
          <w:sz w:val="20"/>
        </w:rPr>
      </w:pPr>
      <w:r>
        <w:rPr>
          <w:sz w:val="20"/>
        </w:rPr>
        <w:t>Z72.4,</w:t>
      </w:r>
      <w:r>
        <w:rPr>
          <w:spacing w:val="-5"/>
          <w:sz w:val="20"/>
        </w:rPr>
        <w:t> </w:t>
      </w:r>
      <w:r>
        <w:rPr>
          <w:sz w:val="20"/>
        </w:rPr>
        <w:t>Z72.5,</w:t>
      </w:r>
      <w:r>
        <w:rPr>
          <w:spacing w:val="-5"/>
          <w:sz w:val="20"/>
        </w:rPr>
        <w:t> </w:t>
      </w:r>
      <w:r>
        <w:rPr>
          <w:sz w:val="20"/>
        </w:rPr>
        <w:t>Z72.6,</w:t>
      </w:r>
      <w:r>
        <w:rPr>
          <w:spacing w:val="-4"/>
          <w:sz w:val="20"/>
        </w:rPr>
        <w:t> </w:t>
      </w:r>
      <w:r>
        <w:rPr>
          <w:sz w:val="20"/>
        </w:rPr>
        <w:t>Z72.8,</w:t>
      </w:r>
      <w:r>
        <w:rPr>
          <w:spacing w:val="-5"/>
          <w:sz w:val="20"/>
        </w:rPr>
        <w:t> </w:t>
      </w:r>
      <w:r>
        <w:rPr>
          <w:sz w:val="20"/>
        </w:rPr>
        <w:t>Z72.9,</w:t>
      </w:r>
      <w:r>
        <w:rPr>
          <w:spacing w:val="-5"/>
          <w:sz w:val="20"/>
        </w:rPr>
        <w:t> </w:t>
      </w:r>
      <w:r>
        <w:rPr>
          <w:sz w:val="20"/>
        </w:rPr>
        <w:t>Z73,</w:t>
      </w:r>
      <w:r>
        <w:rPr>
          <w:spacing w:val="-6"/>
          <w:sz w:val="20"/>
        </w:rPr>
        <w:t> </w:t>
      </w:r>
      <w:r>
        <w:rPr>
          <w:spacing w:val="-2"/>
          <w:sz w:val="20"/>
        </w:rPr>
        <w:t>Z73.0,</w:t>
      </w:r>
    </w:p>
    <w:p>
      <w:pPr>
        <w:spacing w:before="1"/>
        <w:ind w:left="4607" w:right="0" w:firstLine="0"/>
        <w:jc w:val="left"/>
        <w:rPr>
          <w:sz w:val="20"/>
        </w:rPr>
      </w:pPr>
      <w:r>
        <w:rPr>
          <w:sz w:val="20"/>
        </w:rPr>
        <w:t>Z73.1,</w:t>
      </w:r>
      <w:r>
        <w:rPr>
          <w:spacing w:val="-6"/>
          <w:sz w:val="20"/>
        </w:rPr>
        <w:t> </w:t>
      </w:r>
      <w:r>
        <w:rPr>
          <w:sz w:val="20"/>
        </w:rPr>
        <w:t>Z73.2,</w:t>
      </w:r>
      <w:r>
        <w:rPr>
          <w:spacing w:val="-5"/>
          <w:sz w:val="20"/>
        </w:rPr>
        <w:t> </w:t>
      </w:r>
      <w:r>
        <w:rPr>
          <w:sz w:val="20"/>
        </w:rPr>
        <w:t>Z73.3,</w:t>
      </w:r>
      <w:r>
        <w:rPr>
          <w:spacing w:val="-5"/>
          <w:sz w:val="20"/>
        </w:rPr>
        <w:t> </w:t>
      </w:r>
      <w:r>
        <w:rPr>
          <w:sz w:val="20"/>
        </w:rPr>
        <w:t>Z73.4,</w:t>
      </w:r>
      <w:r>
        <w:rPr>
          <w:spacing w:val="-5"/>
          <w:sz w:val="20"/>
        </w:rPr>
        <w:t> </w:t>
      </w:r>
      <w:r>
        <w:rPr>
          <w:sz w:val="20"/>
        </w:rPr>
        <w:t>Z73.5,</w:t>
      </w:r>
      <w:r>
        <w:rPr>
          <w:spacing w:val="-5"/>
          <w:sz w:val="20"/>
        </w:rPr>
        <w:t> </w:t>
      </w:r>
      <w:r>
        <w:rPr>
          <w:sz w:val="20"/>
        </w:rPr>
        <w:t>Z73.6,</w:t>
      </w:r>
      <w:r>
        <w:rPr>
          <w:spacing w:val="-5"/>
          <w:sz w:val="20"/>
        </w:rPr>
        <w:t> </w:t>
      </w:r>
      <w:r>
        <w:rPr>
          <w:spacing w:val="-2"/>
          <w:sz w:val="20"/>
        </w:rPr>
        <w:t>Z73.8,</w:t>
      </w:r>
    </w:p>
    <w:p>
      <w:pPr>
        <w:spacing w:before="0"/>
        <w:ind w:left="4681" w:right="0" w:firstLine="0"/>
        <w:jc w:val="left"/>
        <w:rPr>
          <w:sz w:val="20"/>
        </w:rPr>
      </w:pPr>
      <w:r>
        <w:rPr>
          <w:sz w:val="20"/>
        </w:rPr>
        <w:t>Z73.9,</w:t>
      </w:r>
      <w:r>
        <w:rPr>
          <w:spacing w:val="-5"/>
          <w:sz w:val="20"/>
        </w:rPr>
        <w:t> </w:t>
      </w:r>
      <w:r>
        <w:rPr>
          <w:sz w:val="20"/>
        </w:rPr>
        <w:t>Z74,</w:t>
      </w:r>
      <w:r>
        <w:rPr>
          <w:spacing w:val="-4"/>
          <w:sz w:val="20"/>
        </w:rPr>
        <w:t> </w:t>
      </w:r>
      <w:r>
        <w:rPr>
          <w:sz w:val="20"/>
        </w:rPr>
        <w:t>Z74.0,</w:t>
      </w:r>
      <w:r>
        <w:rPr>
          <w:spacing w:val="-4"/>
          <w:sz w:val="20"/>
        </w:rPr>
        <w:t> </w:t>
      </w:r>
      <w:r>
        <w:rPr>
          <w:sz w:val="20"/>
        </w:rPr>
        <w:t>Z74.1,</w:t>
      </w:r>
      <w:r>
        <w:rPr>
          <w:spacing w:val="-4"/>
          <w:sz w:val="20"/>
        </w:rPr>
        <w:t> </w:t>
      </w:r>
      <w:r>
        <w:rPr>
          <w:sz w:val="20"/>
        </w:rPr>
        <w:t>Z74.2,</w:t>
      </w:r>
      <w:r>
        <w:rPr>
          <w:spacing w:val="-4"/>
          <w:sz w:val="20"/>
        </w:rPr>
        <w:t> </w:t>
      </w:r>
      <w:r>
        <w:rPr>
          <w:sz w:val="20"/>
        </w:rPr>
        <w:t>Z74.3,</w:t>
      </w:r>
      <w:r>
        <w:rPr>
          <w:spacing w:val="-4"/>
          <w:sz w:val="20"/>
        </w:rPr>
        <w:t> </w:t>
      </w:r>
      <w:r>
        <w:rPr>
          <w:spacing w:val="-2"/>
          <w:sz w:val="20"/>
        </w:rPr>
        <w:t>Z74.8,</w:t>
      </w:r>
    </w:p>
    <w:p>
      <w:pPr>
        <w:spacing w:before="0"/>
        <w:ind w:left="4681" w:right="0" w:firstLine="0"/>
        <w:jc w:val="left"/>
        <w:rPr>
          <w:sz w:val="20"/>
        </w:rPr>
      </w:pPr>
      <w:r>
        <w:rPr>
          <w:sz w:val="20"/>
        </w:rPr>
        <w:t>Z74.9,</w:t>
      </w:r>
      <w:r>
        <w:rPr>
          <w:spacing w:val="-6"/>
          <w:sz w:val="20"/>
        </w:rPr>
        <w:t> </w:t>
      </w:r>
      <w:r>
        <w:rPr>
          <w:sz w:val="20"/>
        </w:rPr>
        <w:t>Z75,</w:t>
      </w:r>
      <w:r>
        <w:rPr>
          <w:spacing w:val="-5"/>
          <w:sz w:val="20"/>
        </w:rPr>
        <w:t> </w:t>
      </w:r>
      <w:r>
        <w:rPr>
          <w:sz w:val="20"/>
        </w:rPr>
        <w:t>Z75.0,</w:t>
      </w:r>
      <w:r>
        <w:rPr>
          <w:spacing w:val="-5"/>
          <w:sz w:val="20"/>
        </w:rPr>
        <w:t> </w:t>
      </w:r>
      <w:r>
        <w:rPr>
          <w:sz w:val="20"/>
        </w:rPr>
        <w:t>Z75.1,</w:t>
      </w:r>
      <w:r>
        <w:rPr>
          <w:spacing w:val="-5"/>
          <w:sz w:val="20"/>
        </w:rPr>
        <w:t> </w:t>
      </w:r>
      <w:r>
        <w:rPr>
          <w:sz w:val="20"/>
        </w:rPr>
        <w:t>Z75.2,</w:t>
      </w:r>
      <w:r>
        <w:rPr>
          <w:spacing w:val="-5"/>
          <w:sz w:val="20"/>
        </w:rPr>
        <w:t> </w:t>
      </w:r>
      <w:r>
        <w:rPr>
          <w:sz w:val="20"/>
        </w:rPr>
        <w:t>Z75.3,</w:t>
      </w:r>
      <w:r>
        <w:rPr>
          <w:spacing w:val="-5"/>
          <w:sz w:val="20"/>
        </w:rPr>
        <w:t> </w:t>
      </w:r>
      <w:r>
        <w:rPr>
          <w:spacing w:val="-2"/>
          <w:sz w:val="20"/>
        </w:rPr>
        <w:t>Z75.4,</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658"/>
        <w:gridCol w:w="4282"/>
        <w:gridCol w:w="3675"/>
        <w:gridCol w:w="1745"/>
        <w:gridCol w:w="1260"/>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658" w:type="dxa"/>
            <w:vMerge w:val="restart"/>
          </w:tcPr>
          <w:p>
            <w:pPr>
              <w:pStyle w:val="TableParagraph"/>
              <w:rPr>
                <w:sz w:val="18"/>
              </w:rPr>
            </w:pPr>
          </w:p>
        </w:tc>
        <w:tc>
          <w:tcPr>
            <w:tcW w:w="4282" w:type="dxa"/>
          </w:tcPr>
          <w:p>
            <w:pPr>
              <w:pStyle w:val="TableParagraph"/>
              <w:spacing w:line="205" w:lineRule="exact"/>
              <w:ind w:left="79" w:right="240"/>
              <w:jc w:val="center"/>
              <w:rPr>
                <w:sz w:val="20"/>
              </w:rPr>
            </w:pPr>
            <w:r>
              <w:rPr>
                <w:sz w:val="20"/>
              </w:rPr>
              <w:t>Z75.5,</w:t>
            </w:r>
            <w:r>
              <w:rPr>
                <w:spacing w:val="-6"/>
                <w:sz w:val="20"/>
              </w:rPr>
              <w:t> </w:t>
            </w:r>
            <w:r>
              <w:rPr>
                <w:sz w:val="20"/>
              </w:rPr>
              <w:t>Z75.8,</w:t>
            </w:r>
            <w:r>
              <w:rPr>
                <w:spacing w:val="-5"/>
                <w:sz w:val="20"/>
              </w:rPr>
              <w:t> </w:t>
            </w:r>
            <w:r>
              <w:rPr>
                <w:sz w:val="20"/>
              </w:rPr>
              <w:t>Z75.9,</w:t>
            </w:r>
            <w:r>
              <w:rPr>
                <w:spacing w:val="-5"/>
                <w:sz w:val="20"/>
              </w:rPr>
              <w:t> </w:t>
            </w:r>
            <w:r>
              <w:rPr>
                <w:sz w:val="20"/>
              </w:rPr>
              <w:t>Z76,</w:t>
            </w:r>
            <w:r>
              <w:rPr>
                <w:spacing w:val="-5"/>
                <w:sz w:val="20"/>
              </w:rPr>
              <w:t> </w:t>
            </w:r>
            <w:r>
              <w:rPr>
                <w:sz w:val="20"/>
              </w:rPr>
              <w:t>Z76.0,</w:t>
            </w:r>
            <w:r>
              <w:rPr>
                <w:spacing w:val="-5"/>
                <w:sz w:val="20"/>
              </w:rPr>
              <w:t> </w:t>
            </w:r>
            <w:r>
              <w:rPr>
                <w:sz w:val="20"/>
              </w:rPr>
              <w:t>Z76.1,</w:t>
            </w:r>
            <w:r>
              <w:rPr>
                <w:spacing w:val="-5"/>
                <w:sz w:val="20"/>
              </w:rPr>
              <w:t> </w:t>
            </w:r>
            <w:r>
              <w:rPr>
                <w:spacing w:val="-2"/>
                <w:sz w:val="20"/>
              </w:rPr>
              <w:t>Z76.2,</w:t>
            </w:r>
          </w:p>
        </w:tc>
        <w:tc>
          <w:tcPr>
            <w:tcW w:w="3675" w:type="dxa"/>
            <w:vMerge w:val="restart"/>
          </w:tcPr>
          <w:p>
            <w:pPr>
              <w:pStyle w:val="TableParagraph"/>
              <w:rPr>
                <w:sz w:val="18"/>
              </w:rPr>
            </w:pPr>
          </w:p>
        </w:tc>
        <w:tc>
          <w:tcPr>
            <w:tcW w:w="174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79" w:right="240"/>
              <w:jc w:val="center"/>
              <w:rPr>
                <w:sz w:val="20"/>
              </w:rPr>
            </w:pPr>
            <w:r>
              <w:rPr>
                <w:sz w:val="20"/>
              </w:rPr>
              <w:t>Z76.3,</w:t>
            </w:r>
            <w:r>
              <w:rPr>
                <w:spacing w:val="-5"/>
                <w:sz w:val="20"/>
              </w:rPr>
              <w:t> </w:t>
            </w:r>
            <w:r>
              <w:rPr>
                <w:sz w:val="20"/>
              </w:rPr>
              <w:t>Z76.4,</w:t>
            </w:r>
            <w:r>
              <w:rPr>
                <w:spacing w:val="-5"/>
                <w:sz w:val="20"/>
              </w:rPr>
              <w:t> </w:t>
            </w:r>
            <w:r>
              <w:rPr>
                <w:sz w:val="20"/>
              </w:rPr>
              <w:t>Z76.5,</w:t>
            </w:r>
            <w:r>
              <w:rPr>
                <w:spacing w:val="-4"/>
                <w:sz w:val="20"/>
              </w:rPr>
              <w:t> </w:t>
            </w:r>
            <w:r>
              <w:rPr>
                <w:sz w:val="20"/>
              </w:rPr>
              <w:t>Z76.8,</w:t>
            </w:r>
            <w:r>
              <w:rPr>
                <w:spacing w:val="-5"/>
                <w:sz w:val="20"/>
              </w:rPr>
              <w:t> </w:t>
            </w:r>
            <w:r>
              <w:rPr>
                <w:sz w:val="20"/>
              </w:rPr>
              <w:t>Z76.9,</w:t>
            </w:r>
            <w:r>
              <w:rPr>
                <w:spacing w:val="-5"/>
                <w:sz w:val="20"/>
              </w:rPr>
              <w:t> </w:t>
            </w:r>
            <w:r>
              <w:rPr>
                <w:sz w:val="20"/>
              </w:rPr>
              <w:t>Z80,</w:t>
            </w:r>
            <w:r>
              <w:rPr>
                <w:spacing w:val="-6"/>
                <w:sz w:val="20"/>
              </w:rPr>
              <w:t> </w:t>
            </w:r>
            <w:r>
              <w:rPr>
                <w:spacing w:val="-2"/>
                <w:sz w:val="20"/>
              </w:rPr>
              <w:t>Z80.0,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Z80.1,</w:t>
            </w:r>
            <w:r>
              <w:rPr>
                <w:spacing w:val="-6"/>
                <w:sz w:val="20"/>
              </w:rPr>
              <w:t> </w:t>
            </w:r>
            <w:r>
              <w:rPr>
                <w:sz w:val="20"/>
              </w:rPr>
              <w:t>Z80.2,</w:t>
            </w:r>
            <w:r>
              <w:rPr>
                <w:spacing w:val="-5"/>
                <w:sz w:val="20"/>
              </w:rPr>
              <w:t> </w:t>
            </w:r>
            <w:r>
              <w:rPr>
                <w:sz w:val="20"/>
              </w:rPr>
              <w:t>Z80.3,</w:t>
            </w:r>
            <w:r>
              <w:rPr>
                <w:spacing w:val="-5"/>
                <w:sz w:val="20"/>
              </w:rPr>
              <w:t> </w:t>
            </w:r>
            <w:r>
              <w:rPr>
                <w:sz w:val="20"/>
              </w:rPr>
              <w:t>Z80.4,</w:t>
            </w:r>
            <w:r>
              <w:rPr>
                <w:spacing w:val="-5"/>
                <w:sz w:val="20"/>
              </w:rPr>
              <w:t> </w:t>
            </w:r>
            <w:r>
              <w:rPr>
                <w:sz w:val="20"/>
              </w:rPr>
              <w:t>Z80.5,</w:t>
            </w:r>
            <w:r>
              <w:rPr>
                <w:spacing w:val="-5"/>
                <w:sz w:val="20"/>
              </w:rPr>
              <w:t> </w:t>
            </w:r>
            <w:r>
              <w:rPr>
                <w:sz w:val="20"/>
              </w:rPr>
              <w:t>Z80.6,</w:t>
            </w:r>
            <w:r>
              <w:rPr>
                <w:spacing w:val="-5"/>
                <w:sz w:val="20"/>
              </w:rPr>
              <w:t> </w:t>
            </w:r>
            <w:r>
              <w:rPr>
                <w:spacing w:val="-2"/>
                <w:sz w:val="20"/>
              </w:rPr>
              <w:t>Z80.7,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Z80.8,</w:t>
            </w:r>
            <w:r>
              <w:rPr>
                <w:spacing w:val="-6"/>
                <w:sz w:val="20"/>
              </w:rPr>
              <w:t> </w:t>
            </w:r>
            <w:r>
              <w:rPr>
                <w:sz w:val="20"/>
              </w:rPr>
              <w:t>Z80.9,</w:t>
            </w:r>
            <w:r>
              <w:rPr>
                <w:spacing w:val="-5"/>
                <w:sz w:val="20"/>
              </w:rPr>
              <w:t> </w:t>
            </w:r>
            <w:r>
              <w:rPr>
                <w:sz w:val="20"/>
              </w:rPr>
              <w:t>Z81,</w:t>
            </w:r>
            <w:r>
              <w:rPr>
                <w:spacing w:val="-5"/>
                <w:sz w:val="20"/>
              </w:rPr>
              <w:t> </w:t>
            </w:r>
            <w:r>
              <w:rPr>
                <w:sz w:val="20"/>
              </w:rPr>
              <w:t>Z81.0,</w:t>
            </w:r>
            <w:r>
              <w:rPr>
                <w:spacing w:val="-5"/>
                <w:sz w:val="20"/>
              </w:rPr>
              <w:t> </w:t>
            </w:r>
            <w:r>
              <w:rPr>
                <w:sz w:val="20"/>
              </w:rPr>
              <w:t>Z81.1,</w:t>
            </w:r>
            <w:r>
              <w:rPr>
                <w:spacing w:val="-5"/>
                <w:sz w:val="20"/>
              </w:rPr>
              <w:t> </w:t>
            </w:r>
            <w:r>
              <w:rPr>
                <w:sz w:val="20"/>
              </w:rPr>
              <w:t>Z81.2,</w:t>
            </w:r>
            <w:r>
              <w:rPr>
                <w:spacing w:val="-5"/>
                <w:sz w:val="20"/>
              </w:rPr>
              <w:t> </w:t>
            </w:r>
            <w:r>
              <w:rPr>
                <w:spacing w:val="-2"/>
                <w:sz w:val="20"/>
              </w:rPr>
              <w:t>Z81.3,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0" w:right="240"/>
              <w:jc w:val="center"/>
              <w:rPr>
                <w:sz w:val="20"/>
              </w:rPr>
            </w:pPr>
            <w:r>
              <w:rPr>
                <w:sz w:val="20"/>
              </w:rPr>
              <w:t>Z81.4,</w:t>
            </w:r>
            <w:r>
              <w:rPr>
                <w:spacing w:val="-5"/>
                <w:sz w:val="20"/>
              </w:rPr>
              <w:t> </w:t>
            </w:r>
            <w:r>
              <w:rPr>
                <w:sz w:val="20"/>
              </w:rPr>
              <w:t>Z81.8,</w:t>
            </w:r>
            <w:r>
              <w:rPr>
                <w:spacing w:val="-5"/>
                <w:sz w:val="20"/>
              </w:rPr>
              <w:t> </w:t>
            </w:r>
            <w:r>
              <w:rPr>
                <w:sz w:val="20"/>
              </w:rPr>
              <w:t>Z82,</w:t>
            </w:r>
            <w:r>
              <w:rPr>
                <w:spacing w:val="-5"/>
                <w:sz w:val="20"/>
              </w:rPr>
              <w:t> </w:t>
            </w:r>
            <w:r>
              <w:rPr>
                <w:sz w:val="20"/>
              </w:rPr>
              <w:t>Z82.0,</w:t>
            </w:r>
            <w:r>
              <w:rPr>
                <w:spacing w:val="-5"/>
                <w:sz w:val="20"/>
              </w:rPr>
              <w:t> </w:t>
            </w:r>
            <w:r>
              <w:rPr>
                <w:sz w:val="20"/>
              </w:rPr>
              <w:t>Z82.1,</w:t>
            </w:r>
            <w:r>
              <w:rPr>
                <w:spacing w:val="-5"/>
                <w:sz w:val="20"/>
              </w:rPr>
              <w:t> </w:t>
            </w:r>
            <w:r>
              <w:rPr>
                <w:sz w:val="20"/>
              </w:rPr>
              <w:t>Z82.2,</w:t>
            </w:r>
            <w:r>
              <w:rPr>
                <w:spacing w:val="-5"/>
                <w:sz w:val="20"/>
              </w:rPr>
              <w:t> </w:t>
            </w:r>
            <w:r>
              <w:rPr>
                <w:spacing w:val="-2"/>
                <w:sz w:val="20"/>
              </w:rPr>
              <w:t>Z82.3,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Z82.4,</w:t>
            </w:r>
            <w:r>
              <w:rPr>
                <w:spacing w:val="-5"/>
                <w:sz w:val="20"/>
              </w:rPr>
              <w:t> </w:t>
            </w:r>
            <w:r>
              <w:rPr>
                <w:sz w:val="20"/>
              </w:rPr>
              <w:t>Z82.5,</w:t>
            </w:r>
            <w:r>
              <w:rPr>
                <w:spacing w:val="-5"/>
                <w:sz w:val="20"/>
              </w:rPr>
              <w:t> </w:t>
            </w:r>
            <w:r>
              <w:rPr>
                <w:sz w:val="20"/>
              </w:rPr>
              <w:t>Z82.6,</w:t>
            </w:r>
            <w:r>
              <w:rPr>
                <w:spacing w:val="-4"/>
                <w:sz w:val="20"/>
              </w:rPr>
              <w:t> </w:t>
            </w:r>
            <w:r>
              <w:rPr>
                <w:sz w:val="20"/>
              </w:rPr>
              <w:t>Z82.7,</w:t>
            </w:r>
            <w:r>
              <w:rPr>
                <w:spacing w:val="-5"/>
                <w:sz w:val="20"/>
              </w:rPr>
              <w:t> </w:t>
            </w:r>
            <w:r>
              <w:rPr>
                <w:sz w:val="20"/>
              </w:rPr>
              <w:t>Z82.8,</w:t>
            </w:r>
            <w:r>
              <w:rPr>
                <w:spacing w:val="-5"/>
                <w:sz w:val="20"/>
              </w:rPr>
              <w:t> </w:t>
            </w:r>
            <w:r>
              <w:rPr>
                <w:sz w:val="20"/>
              </w:rPr>
              <w:t>Z83,</w:t>
            </w:r>
            <w:r>
              <w:rPr>
                <w:spacing w:val="-6"/>
                <w:sz w:val="20"/>
              </w:rPr>
              <w:t> </w:t>
            </w:r>
            <w:r>
              <w:rPr>
                <w:spacing w:val="-2"/>
                <w:sz w:val="20"/>
              </w:rPr>
              <w:t>Z83.0,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1" w:lineRule="exact"/>
              <w:ind w:left="81" w:right="240"/>
              <w:jc w:val="center"/>
              <w:rPr>
                <w:sz w:val="20"/>
              </w:rPr>
            </w:pPr>
            <w:r>
              <w:rPr>
                <w:sz w:val="20"/>
              </w:rPr>
              <w:t>Z83.1,</w:t>
            </w:r>
            <w:r>
              <w:rPr>
                <w:spacing w:val="-6"/>
                <w:sz w:val="20"/>
              </w:rPr>
              <w:t> </w:t>
            </w:r>
            <w:r>
              <w:rPr>
                <w:sz w:val="20"/>
              </w:rPr>
              <w:t>Z83.2,</w:t>
            </w:r>
            <w:r>
              <w:rPr>
                <w:spacing w:val="-5"/>
                <w:sz w:val="20"/>
              </w:rPr>
              <w:t> </w:t>
            </w:r>
            <w:r>
              <w:rPr>
                <w:sz w:val="20"/>
              </w:rPr>
              <w:t>Z83.3,</w:t>
            </w:r>
            <w:r>
              <w:rPr>
                <w:spacing w:val="-5"/>
                <w:sz w:val="20"/>
              </w:rPr>
              <w:t> </w:t>
            </w:r>
            <w:r>
              <w:rPr>
                <w:sz w:val="20"/>
              </w:rPr>
              <w:t>Z83.4,</w:t>
            </w:r>
            <w:r>
              <w:rPr>
                <w:spacing w:val="-5"/>
                <w:sz w:val="20"/>
              </w:rPr>
              <w:t> </w:t>
            </w:r>
            <w:r>
              <w:rPr>
                <w:sz w:val="20"/>
              </w:rPr>
              <w:t>Z83.5,</w:t>
            </w:r>
            <w:r>
              <w:rPr>
                <w:spacing w:val="-5"/>
                <w:sz w:val="20"/>
              </w:rPr>
              <w:t> </w:t>
            </w:r>
            <w:r>
              <w:rPr>
                <w:sz w:val="20"/>
              </w:rPr>
              <w:t>Z83.6,</w:t>
            </w:r>
            <w:r>
              <w:rPr>
                <w:spacing w:val="-5"/>
                <w:sz w:val="20"/>
              </w:rPr>
              <w:t> </w:t>
            </w:r>
            <w:r>
              <w:rPr>
                <w:spacing w:val="-2"/>
                <w:sz w:val="20"/>
              </w:rPr>
              <w:t>Z83.7,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7" w:right="240"/>
              <w:jc w:val="center"/>
              <w:rPr>
                <w:sz w:val="20"/>
              </w:rPr>
            </w:pPr>
            <w:r>
              <w:rPr>
                <w:sz w:val="20"/>
              </w:rPr>
              <w:t>Z84,</w:t>
            </w:r>
            <w:r>
              <w:rPr>
                <w:spacing w:val="-6"/>
                <w:sz w:val="20"/>
              </w:rPr>
              <w:t> </w:t>
            </w:r>
            <w:r>
              <w:rPr>
                <w:sz w:val="20"/>
              </w:rPr>
              <w:t>Z84.0,</w:t>
            </w:r>
            <w:r>
              <w:rPr>
                <w:spacing w:val="-5"/>
                <w:sz w:val="20"/>
              </w:rPr>
              <w:t> </w:t>
            </w:r>
            <w:r>
              <w:rPr>
                <w:sz w:val="20"/>
              </w:rPr>
              <w:t>Z84.1,</w:t>
            </w:r>
            <w:r>
              <w:rPr>
                <w:spacing w:val="-5"/>
                <w:sz w:val="20"/>
              </w:rPr>
              <w:t> </w:t>
            </w:r>
            <w:r>
              <w:rPr>
                <w:sz w:val="20"/>
              </w:rPr>
              <w:t>Z84.2,</w:t>
            </w:r>
            <w:r>
              <w:rPr>
                <w:spacing w:val="-5"/>
                <w:sz w:val="20"/>
              </w:rPr>
              <w:t> </w:t>
            </w:r>
            <w:r>
              <w:rPr>
                <w:sz w:val="20"/>
              </w:rPr>
              <w:t>Z84.3,</w:t>
            </w:r>
            <w:r>
              <w:rPr>
                <w:spacing w:val="-5"/>
                <w:sz w:val="20"/>
              </w:rPr>
              <w:t> </w:t>
            </w:r>
            <w:r>
              <w:rPr>
                <w:sz w:val="20"/>
              </w:rPr>
              <w:t>Z84.8,</w:t>
            </w:r>
            <w:r>
              <w:rPr>
                <w:spacing w:val="-5"/>
                <w:sz w:val="20"/>
              </w:rPr>
              <w:t> </w:t>
            </w:r>
            <w:r>
              <w:rPr>
                <w:spacing w:val="-4"/>
                <w:sz w:val="20"/>
              </w:rPr>
              <w:t>Z85,</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Z85.0,</w:t>
            </w:r>
            <w:r>
              <w:rPr>
                <w:spacing w:val="-6"/>
                <w:sz w:val="20"/>
              </w:rPr>
              <w:t> </w:t>
            </w:r>
            <w:r>
              <w:rPr>
                <w:sz w:val="20"/>
              </w:rPr>
              <w:t>Z85.1,</w:t>
            </w:r>
            <w:r>
              <w:rPr>
                <w:spacing w:val="-5"/>
                <w:sz w:val="20"/>
              </w:rPr>
              <w:t> </w:t>
            </w:r>
            <w:r>
              <w:rPr>
                <w:sz w:val="20"/>
              </w:rPr>
              <w:t>Z85.2,</w:t>
            </w:r>
            <w:r>
              <w:rPr>
                <w:spacing w:val="-5"/>
                <w:sz w:val="20"/>
              </w:rPr>
              <w:t> </w:t>
            </w:r>
            <w:r>
              <w:rPr>
                <w:sz w:val="20"/>
              </w:rPr>
              <w:t>Z85.3,</w:t>
            </w:r>
            <w:r>
              <w:rPr>
                <w:spacing w:val="-5"/>
                <w:sz w:val="20"/>
              </w:rPr>
              <w:t> </w:t>
            </w:r>
            <w:r>
              <w:rPr>
                <w:sz w:val="20"/>
              </w:rPr>
              <w:t>Z85.4,</w:t>
            </w:r>
            <w:r>
              <w:rPr>
                <w:spacing w:val="-5"/>
                <w:sz w:val="20"/>
              </w:rPr>
              <w:t> </w:t>
            </w:r>
            <w:r>
              <w:rPr>
                <w:sz w:val="20"/>
              </w:rPr>
              <w:t>Z85.5,</w:t>
            </w:r>
            <w:r>
              <w:rPr>
                <w:spacing w:val="-5"/>
                <w:sz w:val="20"/>
              </w:rPr>
              <w:t> </w:t>
            </w:r>
            <w:r>
              <w:rPr>
                <w:spacing w:val="-2"/>
                <w:sz w:val="20"/>
              </w:rPr>
              <w:t>Z85.6,</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3" w:right="240"/>
              <w:jc w:val="center"/>
              <w:rPr>
                <w:sz w:val="20"/>
              </w:rPr>
            </w:pPr>
            <w:r>
              <w:rPr>
                <w:sz w:val="20"/>
              </w:rPr>
              <w:t>Z85.7,</w:t>
            </w:r>
            <w:r>
              <w:rPr>
                <w:spacing w:val="-6"/>
                <w:sz w:val="20"/>
              </w:rPr>
              <w:t> </w:t>
            </w:r>
            <w:r>
              <w:rPr>
                <w:sz w:val="20"/>
              </w:rPr>
              <w:t>Z85.8,</w:t>
            </w:r>
            <w:r>
              <w:rPr>
                <w:spacing w:val="-5"/>
                <w:sz w:val="20"/>
              </w:rPr>
              <w:t> </w:t>
            </w:r>
            <w:r>
              <w:rPr>
                <w:sz w:val="20"/>
              </w:rPr>
              <w:t>Z85.9,</w:t>
            </w:r>
            <w:r>
              <w:rPr>
                <w:spacing w:val="-5"/>
                <w:sz w:val="20"/>
              </w:rPr>
              <w:t> </w:t>
            </w:r>
            <w:r>
              <w:rPr>
                <w:sz w:val="20"/>
              </w:rPr>
              <w:t>Z86, Z86.0,</w:t>
            </w:r>
            <w:r>
              <w:rPr>
                <w:spacing w:val="-5"/>
                <w:sz w:val="20"/>
              </w:rPr>
              <w:t> </w:t>
            </w:r>
            <w:r>
              <w:rPr>
                <w:sz w:val="20"/>
              </w:rPr>
              <w:t>Z86.1,</w:t>
            </w:r>
            <w:r>
              <w:rPr>
                <w:spacing w:val="-5"/>
                <w:sz w:val="20"/>
              </w:rPr>
              <w:t> </w:t>
            </w:r>
            <w:r>
              <w:rPr>
                <w:spacing w:val="-2"/>
                <w:sz w:val="20"/>
              </w:rPr>
              <w:t>Z86.2,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Z86.3,</w:t>
            </w:r>
            <w:r>
              <w:rPr>
                <w:spacing w:val="-5"/>
                <w:sz w:val="20"/>
              </w:rPr>
              <w:t> </w:t>
            </w:r>
            <w:r>
              <w:rPr>
                <w:sz w:val="20"/>
              </w:rPr>
              <w:t>Z86.4,</w:t>
            </w:r>
            <w:r>
              <w:rPr>
                <w:spacing w:val="-5"/>
                <w:sz w:val="20"/>
              </w:rPr>
              <w:t> </w:t>
            </w:r>
            <w:r>
              <w:rPr>
                <w:sz w:val="20"/>
              </w:rPr>
              <w:t>Z86.5,</w:t>
            </w:r>
            <w:r>
              <w:rPr>
                <w:spacing w:val="-4"/>
                <w:sz w:val="20"/>
              </w:rPr>
              <w:t> </w:t>
            </w:r>
            <w:r>
              <w:rPr>
                <w:sz w:val="20"/>
              </w:rPr>
              <w:t>Z86.6,</w:t>
            </w:r>
            <w:r>
              <w:rPr>
                <w:spacing w:val="-5"/>
                <w:sz w:val="20"/>
              </w:rPr>
              <w:t> </w:t>
            </w:r>
            <w:r>
              <w:rPr>
                <w:sz w:val="20"/>
              </w:rPr>
              <w:t>Z86.7,</w:t>
            </w:r>
            <w:r>
              <w:rPr>
                <w:spacing w:val="-5"/>
                <w:sz w:val="20"/>
              </w:rPr>
              <w:t> </w:t>
            </w:r>
            <w:r>
              <w:rPr>
                <w:sz w:val="20"/>
              </w:rPr>
              <w:t>Z87,</w:t>
            </w:r>
            <w:r>
              <w:rPr>
                <w:spacing w:val="-6"/>
                <w:sz w:val="20"/>
              </w:rPr>
              <w:t> </w:t>
            </w:r>
            <w:r>
              <w:rPr>
                <w:spacing w:val="-2"/>
                <w:sz w:val="20"/>
              </w:rPr>
              <w:t>Z87.0,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1" w:right="240"/>
              <w:jc w:val="center"/>
              <w:rPr>
                <w:sz w:val="20"/>
              </w:rPr>
            </w:pPr>
            <w:r>
              <w:rPr>
                <w:sz w:val="20"/>
              </w:rPr>
              <w:t>Z87.1,</w:t>
            </w:r>
            <w:r>
              <w:rPr>
                <w:spacing w:val="-6"/>
                <w:sz w:val="20"/>
              </w:rPr>
              <w:t> </w:t>
            </w:r>
            <w:r>
              <w:rPr>
                <w:sz w:val="20"/>
              </w:rPr>
              <w:t>Z87.2,</w:t>
            </w:r>
            <w:r>
              <w:rPr>
                <w:spacing w:val="-5"/>
                <w:sz w:val="20"/>
              </w:rPr>
              <w:t> </w:t>
            </w:r>
            <w:r>
              <w:rPr>
                <w:sz w:val="20"/>
              </w:rPr>
              <w:t>Z87.3,</w:t>
            </w:r>
            <w:r>
              <w:rPr>
                <w:spacing w:val="-5"/>
                <w:sz w:val="20"/>
              </w:rPr>
              <w:t> </w:t>
            </w:r>
            <w:r>
              <w:rPr>
                <w:sz w:val="20"/>
              </w:rPr>
              <w:t>Z87.4,</w:t>
            </w:r>
            <w:r>
              <w:rPr>
                <w:spacing w:val="-5"/>
                <w:sz w:val="20"/>
              </w:rPr>
              <w:t> </w:t>
            </w:r>
            <w:r>
              <w:rPr>
                <w:sz w:val="20"/>
              </w:rPr>
              <w:t>Z87.5,</w:t>
            </w:r>
            <w:r>
              <w:rPr>
                <w:spacing w:val="-5"/>
                <w:sz w:val="20"/>
              </w:rPr>
              <w:t> </w:t>
            </w:r>
            <w:r>
              <w:rPr>
                <w:sz w:val="20"/>
              </w:rPr>
              <w:t>Z87.6,</w:t>
            </w:r>
            <w:r>
              <w:rPr>
                <w:spacing w:val="-5"/>
                <w:sz w:val="20"/>
              </w:rPr>
              <w:t> </w:t>
            </w:r>
            <w:r>
              <w:rPr>
                <w:spacing w:val="-2"/>
                <w:sz w:val="20"/>
              </w:rPr>
              <w:t>Z87.7,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Z87.8,</w:t>
            </w:r>
            <w:r>
              <w:rPr>
                <w:spacing w:val="-6"/>
                <w:sz w:val="20"/>
              </w:rPr>
              <w:t> </w:t>
            </w:r>
            <w:r>
              <w:rPr>
                <w:sz w:val="20"/>
              </w:rPr>
              <w:t>Z88,</w:t>
            </w:r>
            <w:r>
              <w:rPr>
                <w:spacing w:val="-5"/>
                <w:sz w:val="20"/>
              </w:rPr>
              <w:t> </w:t>
            </w:r>
            <w:r>
              <w:rPr>
                <w:sz w:val="20"/>
              </w:rPr>
              <w:t>Z88.0,</w:t>
            </w:r>
            <w:r>
              <w:rPr>
                <w:spacing w:val="-5"/>
                <w:sz w:val="20"/>
              </w:rPr>
              <w:t> </w:t>
            </w:r>
            <w:r>
              <w:rPr>
                <w:sz w:val="20"/>
              </w:rPr>
              <w:t>Z88.1,</w:t>
            </w:r>
            <w:r>
              <w:rPr>
                <w:spacing w:val="-5"/>
                <w:sz w:val="20"/>
              </w:rPr>
              <w:t> </w:t>
            </w:r>
            <w:r>
              <w:rPr>
                <w:sz w:val="20"/>
              </w:rPr>
              <w:t>Z88.2,</w:t>
            </w:r>
            <w:r>
              <w:rPr>
                <w:spacing w:val="-5"/>
                <w:sz w:val="20"/>
              </w:rPr>
              <w:t> </w:t>
            </w:r>
            <w:r>
              <w:rPr>
                <w:sz w:val="20"/>
              </w:rPr>
              <w:t>Z88.3,</w:t>
            </w:r>
            <w:r>
              <w:rPr>
                <w:spacing w:val="-5"/>
                <w:sz w:val="20"/>
              </w:rPr>
              <w:t> </w:t>
            </w:r>
            <w:r>
              <w:rPr>
                <w:spacing w:val="-2"/>
                <w:sz w:val="20"/>
              </w:rPr>
              <w:t>Z88.4,</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79" w:right="240"/>
              <w:jc w:val="center"/>
              <w:rPr>
                <w:sz w:val="20"/>
              </w:rPr>
            </w:pPr>
            <w:r>
              <w:rPr>
                <w:sz w:val="20"/>
              </w:rPr>
              <w:t>Z88.5,</w:t>
            </w:r>
            <w:r>
              <w:rPr>
                <w:spacing w:val="-5"/>
                <w:sz w:val="20"/>
              </w:rPr>
              <w:t> </w:t>
            </w:r>
            <w:r>
              <w:rPr>
                <w:sz w:val="20"/>
              </w:rPr>
              <w:t>Z88.6,</w:t>
            </w:r>
            <w:r>
              <w:rPr>
                <w:spacing w:val="-5"/>
                <w:sz w:val="20"/>
              </w:rPr>
              <w:t> </w:t>
            </w:r>
            <w:r>
              <w:rPr>
                <w:sz w:val="20"/>
              </w:rPr>
              <w:t>Z88.7,</w:t>
            </w:r>
            <w:r>
              <w:rPr>
                <w:spacing w:val="-4"/>
                <w:sz w:val="20"/>
              </w:rPr>
              <w:t> </w:t>
            </w:r>
            <w:r>
              <w:rPr>
                <w:sz w:val="20"/>
              </w:rPr>
              <w:t>Z88.8,</w:t>
            </w:r>
            <w:r>
              <w:rPr>
                <w:spacing w:val="-5"/>
                <w:sz w:val="20"/>
              </w:rPr>
              <w:t> </w:t>
            </w:r>
            <w:r>
              <w:rPr>
                <w:sz w:val="20"/>
              </w:rPr>
              <w:t>Z88.9,</w:t>
            </w:r>
            <w:r>
              <w:rPr>
                <w:spacing w:val="-5"/>
                <w:sz w:val="20"/>
              </w:rPr>
              <w:t> </w:t>
            </w:r>
            <w:r>
              <w:rPr>
                <w:sz w:val="20"/>
              </w:rPr>
              <w:t>Z89,</w:t>
            </w:r>
            <w:r>
              <w:rPr>
                <w:spacing w:val="-6"/>
                <w:sz w:val="20"/>
              </w:rPr>
              <w:t> </w:t>
            </w:r>
            <w:r>
              <w:rPr>
                <w:spacing w:val="-2"/>
                <w:sz w:val="20"/>
              </w:rPr>
              <w:t>Z89.0,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5" w:right="236"/>
              <w:jc w:val="center"/>
              <w:rPr>
                <w:sz w:val="20"/>
              </w:rPr>
            </w:pPr>
            <w:r>
              <w:rPr>
                <w:sz w:val="20"/>
              </w:rPr>
              <w:t>Z89.1,</w:t>
            </w:r>
            <w:r>
              <w:rPr>
                <w:spacing w:val="-6"/>
                <w:sz w:val="20"/>
              </w:rPr>
              <w:t> </w:t>
            </w:r>
            <w:r>
              <w:rPr>
                <w:sz w:val="20"/>
              </w:rPr>
              <w:t>Z89.2,</w:t>
            </w:r>
            <w:r>
              <w:rPr>
                <w:spacing w:val="-5"/>
                <w:sz w:val="20"/>
              </w:rPr>
              <w:t> </w:t>
            </w:r>
            <w:r>
              <w:rPr>
                <w:sz w:val="20"/>
              </w:rPr>
              <w:t>Z89.3,</w:t>
            </w:r>
            <w:r>
              <w:rPr>
                <w:spacing w:val="-5"/>
                <w:sz w:val="20"/>
              </w:rPr>
              <w:t> </w:t>
            </w:r>
            <w:r>
              <w:rPr>
                <w:sz w:val="20"/>
              </w:rPr>
              <w:t>Z89.4,</w:t>
            </w:r>
            <w:r>
              <w:rPr>
                <w:spacing w:val="-5"/>
                <w:sz w:val="20"/>
              </w:rPr>
              <w:t> </w:t>
            </w:r>
            <w:r>
              <w:rPr>
                <w:sz w:val="20"/>
              </w:rPr>
              <w:t>Z89.5,</w:t>
            </w:r>
            <w:r>
              <w:rPr>
                <w:spacing w:val="-5"/>
                <w:sz w:val="20"/>
              </w:rPr>
              <w:t> </w:t>
            </w:r>
            <w:r>
              <w:rPr>
                <w:sz w:val="20"/>
              </w:rPr>
              <w:t>Z89.6,</w:t>
            </w:r>
            <w:r>
              <w:rPr>
                <w:spacing w:val="-5"/>
                <w:sz w:val="20"/>
              </w:rPr>
              <w:t> </w:t>
            </w:r>
            <w:r>
              <w:rPr>
                <w:spacing w:val="-2"/>
                <w:sz w:val="20"/>
              </w:rPr>
              <w:t>Z89.7,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Z89.8,</w:t>
            </w:r>
            <w:r>
              <w:rPr>
                <w:spacing w:val="-6"/>
                <w:sz w:val="20"/>
              </w:rPr>
              <w:t> </w:t>
            </w:r>
            <w:r>
              <w:rPr>
                <w:sz w:val="20"/>
              </w:rPr>
              <w:t>Z89.9,</w:t>
            </w:r>
            <w:r>
              <w:rPr>
                <w:spacing w:val="-5"/>
                <w:sz w:val="20"/>
              </w:rPr>
              <w:t> </w:t>
            </w:r>
            <w:r>
              <w:rPr>
                <w:sz w:val="20"/>
              </w:rPr>
              <w:t>Z90,</w:t>
            </w:r>
            <w:r>
              <w:rPr>
                <w:spacing w:val="-5"/>
                <w:sz w:val="20"/>
              </w:rPr>
              <w:t> </w:t>
            </w:r>
            <w:r>
              <w:rPr>
                <w:sz w:val="20"/>
              </w:rPr>
              <w:t>Z90.0,</w:t>
            </w:r>
            <w:r>
              <w:rPr>
                <w:spacing w:val="-5"/>
                <w:sz w:val="20"/>
              </w:rPr>
              <w:t> </w:t>
            </w:r>
            <w:r>
              <w:rPr>
                <w:sz w:val="20"/>
              </w:rPr>
              <w:t>Z90.1,</w:t>
            </w:r>
            <w:r>
              <w:rPr>
                <w:spacing w:val="-5"/>
                <w:sz w:val="20"/>
              </w:rPr>
              <w:t> </w:t>
            </w:r>
            <w:r>
              <w:rPr>
                <w:sz w:val="20"/>
              </w:rPr>
              <w:t>Z90.2,</w:t>
            </w:r>
            <w:r>
              <w:rPr>
                <w:spacing w:val="-5"/>
                <w:sz w:val="20"/>
              </w:rPr>
              <w:t> </w:t>
            </w:r>
            <w:r>
              <w:rPr>
                <w:spacing w:val="-2"/>
                <w:sz w:val="20"/>
              </w:rPr>
              <w:t>Z90.3,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Z90.4,</w:t>
            </w:r>
            <w:r>
              <w:rPr>
                <w:spacing w:val="-5"/>
                <w:sz w:val="20"/>
              </w:rPr>
              <w:t> </w:t>
            </w:r>
            <w:r>
              <w:rPr>
                <w:sz w:val="20"/>
              </w:rPr>
              <w:t>Z90.5,</w:t>
            </w:r>
            <w:r>
              <w:rPr>
                <w:spacing w:val="-5"/>
                <w:sz w:val="20"/>
              </w:rPr>
              <w:t> </w:t>
            </w:r>
            <w:r>
              <w:rPr>
                <w:sz w:val="20"/>
              </w:rPr>
              <w:t>Z90.6,</w:t>
            </w:r>
            <w:r>
              <w:rPr>
                <w:spacing w:val="-4"/>
                <w:sz w:val="20"/>
              </w:rPr>
              <w:t> </w:t>
            </w:r>
            <w:r>
              <w:rPr>
                <w:sz w:val="20"/>
              </w:rPr>
              <w:t>Z90.7,</w:t>
            </w:r>
            <w:r>
              <w:rPr>
                <w:spacing w:val="-5"/>
                <w:sz w:val="20"/>
              </w:rPr>
              <w:t> </w:t>
            </w:r>
            <w:r>
              <w:rPr>
                <w:sz w:val="20"/>
              </w:rPr>
              <w:t>Z90.8,</w:t>
            </w:r>
            <w:r>
              <w:rPr>
                <w:spacing w:val="-5"/>
                <w:sz w:val="20"/>
              </w:rPr>
              <w:t> </w:t>
            </w:r>
            <w:r>
              <w:rPr>
                <w:sz w:val="20"/>
              </w:rPr>
              <w:t>Z91,</w:t>
            </w:r>
            <w:r>
              <w:rPr>
                <w:spacing w:val="-6"/>
                <w:sz w:val="20"/>
              </w:rPr>
              <w:t> </w:t>
            </w:r>
            <w:r>
              <w:rPr>
                <w:spacing w:val="-2"/>
                <w:sz w:val="20"/>
              </w:rPr>
              <w:t>Z91.0,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1" w:lineRule="exact"/>
              <w:ind w:left="81" w:right="240"/>
              <w:jc w:val="center"/>
              <w:rPr>
                <w:sz w:val="20"/>
              </w:rPr>
            </w:pPr>
            <w:r>
              <w:rPr>
                <w:sz w:val="20"/>
              </w:rPr>
              <w:t>Z91.1,</w:t>
            </w:r>
            <w:r>
              <w:rPr>
                <w:spacing w:val="-6"/>
                <w:sz w:val="20"/>
              </w:rPr>
              <w:t> </w:t>
            </w:r>
            <w:r>
              <w:rPr>
                <w:sz w:val="20"/>
              </w:rPr>
              <w:t>Z91.2,</w:t>
            </w:r>
            <w:r>
              <w:rPr>
                <w:spacing w:val="-5"/>
                <w:sz w:val="20"/>
              </w:rPr>
              <w:t> </w:t>
            </w:r>
            <w:r>
              <w:rPr>
                <w:sz w:val="20"/>
              </w:rPr>
              <w:t>Z91.3,</w:t>
            </w:r>
            <w:r>
              <w:rPr>
                <w:spacing w:val="-5"/>
                <w:sz w:val="20"/>
              </w:rPr>
              <w:t> </w:t>
            </w:r>
            <w:r>
              <w:rPr>
                <w:sz w:val="20"/>
              </w:rPr>
              <w:t>Z91.4,</w:t>
            </w:r>
            <w:r>
              <w:rPr>
                <w:spacing w:val="-5"/>
                <w:sz w:val="20"/>
              </w:rPr>
              <w:t> </w:t>
            </w:r>
            <w:r>
              <w:rPr>
                <w:sz w:val="20"/>
              </w:rPr>
              <w:t>Z91.5,</w:t>
            </w:r>
            <w:r>
              <w:rPr>
                <w:spacing w:val="-5"/>
                <w:sz w:val="20"/>
              </w:rPr>
              <w:t> </w:t>
            </w:r>
            <w:r>
              <w:rPr>
                <w:sz w:val="20"/>
              </w:rPr>
              <w:t>Z91.6,</w:t>
            </w:r>
            <w:r>
              <w:rPr>
                <w:spacing w:val="-5"/>
                <w:sz w:val="20"/>
              </w:rPr>
              <w:t> </w:t>
            </w:r>
            <w:r>
              <w:rPr>
                <w:spacing w:val="-2"/>
                <w:sz w:val="20"/>
              </w:rPr>
              <w:t>Z91.7,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1" w:lineRule="exact"/>
              <w:ind w:left="79" w:right="240"/>
              <w:jc w:val="center"/>
              <w:rPr>
                <w:sz w:val="20"/>
              </w:rPr>
            </w:pPr>
            <w:r>
              <w:rPr>
                <w:sz w:val="20"/>
              </w:rPr>
              <w:t>Z91.8,</w:t>
            </w:r>
            <w:r>
              <w:rPr>
                <w:spacing w:val="-6"/>
                <w:sz w:val="20"/>
              </w:rPr>
              <w:t> </w:t>
            </w:r>
            <w:r>
              <w:rPr>
                <w:sz w:val="20"/>
              </w:rPr>
              <w:t>Z92,</w:t>
            </w:r>
            <w:r>
              <w:rPr>
                <w:spacing w:val="-5"/>
                <w:sz w:val="20"/>
              </w:rPr>
              <w:t> </w:t>
            </w:r>
            <w:r>
              <w:rPr>
                <w:sz w:val="20"/>
              </w:rPr>
              <w:t>Z92.0,</w:t>
            </w:r>
            <w:r>
              <w:rPr>
                <w:spacing w:val="-5"/>
                <w:sz w:val="20"/>
              </w:rPr>
              <w:t> </w:t>
            </w:r>
            <w:r>
              <w:rPr>
                <w:sz w:val="20"/>
              </w:rPr>
              <w:t>Z92.1,</w:t>
            </w:r>
            <w:r>
              <w:rPr>
                <w:spacing w:val="-5"/>
                <w:sz w:val="20"/>
              </w:rPr>
              <w:t> </w:t>
            </w:r>
            <w:r>
              <w:rPr>
                <w:sz w:val="20"/>
              </w:rPr>
              <w:t>Z92.2,</w:t>
            </w:r>
            <w:r>
              <w:rPr>
                <w:spacing w:val="-5"/>
                <w:sz w:val="20"/>
              </w:rPr>
              <w:t> </w:t>
            </w:r>
            <w:r>
              <w:rPr>
                <w:sz w:val="20"/>
              </w:rPr>
              <w:t>Z92.3,</w:t>
            </w:r>
            <w:r>
              <w:rPr>
                <w:spacing w:val="-5"/>
                <w:sz w:val="20"/>
              </w:rPr>
              <w:t> </w:t>
            </w:r>
            <w:r>
              <w:rPr>
                <w:spacing w:val="-2"/>
                <w:sz w:val="20"/>
              </w:rPr>
              <w:t>Z92.4,</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79" w:right="240"/>
              <w:jc w:val="center"/>
              <w:rPr>
                <w:sz w:val="20"/>
              </w:rPr>
            </w:pPr>
            <w:r>
              <w:rPr>
                <w:sz w:val="20"/>
              </w:rPr>
              <w:t>Z92.5,</w:t>
            </w:r>
            <w:r>
              <w:rPr>
                <w:spacing w:val="-6"/>
                <w:sz w:val="20"/>
              </w:rPr>
              <w:t> </w:t>
            </w:r>
            <w:r>
              <w:rPr>
                <w:sz w:val="20"/>
              </w:rPr>
              <w:t>Z92.8,</w:t>
            </w:r>
            <w:r>
              <w:rPr>
                <w:spacing w:val="-5"/>
                <w:sz w:val="20"/>
              </w:rPr>
              <w:t> </w:t>
            </w:r>
            <w:r>
              <w:rPr>
                <w:sz w:val="20"/>
              </w:rPr>
              <w:t>Z92.9,</w:t>
            </w:r>
            <w:r>
              <w:rPr>
                <w:spacing w:val="-5"/>
                <w:sz w:val="20"/>
              </w:rPr>
              <w:t> </w:t>
            </w:r>
            <w:r>
              <w:rPr>
                <w:sz w:val="20"/>
              </w:rPr>
              <w:t>Z93,</w:t>
            </w:r>
            <w:r>
              <w:rPr>
                <w:spacing w:val="-5"/>
                <w:sz w:val="20"/>
              </w:rPr>
              <w:t> </w:t>
            </w:r>
            <w:r>
              <w:rPr>
                <w:sz w:val="20"/>
              </w:rPr>
              <w:t>Z93.0,</w:t>
            </w:r>
            <w:r>
              <w:rPr>
                <w:spacing w:val="-5"/>
                <w:sz w:val="20"/>
              </w:rPr>
              <w:t> </w:t>
            </w:r>
            <w:r>
              <w:rPr>
                <w:sz w:val="20"/>
              </w:rPr>
              <w:t>Z93.1,</w:t>
            </w:r>
            <w:r>
              <w:rPr>
                <w:spacing w:val="-5"/>
                <w:sz w:val="20"/>
              </w:rPr>
              <w:t> </w:t>
            </w:r>
            <w:r>
              <w:rPr>
                <w:spacing w:val="-2"/>
                <w:sz w:val="20"/>
              </w:rPr>
              <w:t>Z93.2,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Z93.3,</w:t>
            </w:r>
            <w:r>
              <w:rPr>
                <w:spacing w:val="-5"/>
                <w:sz w:val="20"/>
              </w:rPr>
              <w:t> </w:t>
            </w:r>
            <w:r>
              <w:rPr>
                <w:sz w:val="20"/>
              </w:rPr>
              <w:t>Z93.4,</w:t>
            </w:r>
            <w:r>
              <w:rPr>
                <w:spacing w:val="-5"/>
                <w:sz w:val="20"/>
              </w:rPr>
              <w:t> </w:t>
            </w:r>
            <w:r>
              <w:rPr>
                <w:sz w:val="20"/>
              </w:rPr>
              <w:t>Z93.5,</w:t>
            </w:r>
            <w:r>
              <w:rPr>
                <w:spacing w:val="-5"/>
                <w:sz w:val="20"/>
              </w:rPr>
              <w:t> </w:t>
            </w:r>
            <w:r>
              <w:rPr>
                <w:sz w:val="20"/>
              </w:rPr>
              <w:t>Z93.6,</w:t>
            </w:r>
            <w:r>
              <w:rPr>
                <w:spacing w:val="-4"/>
                <w:sz w:val="20"/>
              </w:rPr>
              <w:t> </w:t>
            </w:r>
            <w:r>
              <w:rPr>
                <w:sz w:val="20"/>
              </w:rPr>
              <w:t>Z93.8,</w:t>
            </w:r>
            <w:r>
              <w:rPr>
                <w:spacing w:val="-5"/>
                <w:sz w:val="20"/>
              </w:rPr>
              <w:t> </w:t>
            </w:r>
            <w:r>
              <w:rPr>
                <w:sz w:val="20"/>
              </w:rPr>
              <w:t>Z93.9,</w:t>
            </w:r>
            <w:r>
              <w:rPr>
                <w:spacing w:val="-5"/>
                <w:sz w:val="20"/>
              </w:rPr>
              <w:t> </w:t>
            </w:r>
            <w:r>
              <w:rPr>
                <w:spacing w:val="-4"/>
                <w:sz w:val="20"/>
              </w:rPr>
              <w:t>Z94,</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1" w:right="240"/>
              <w:jc w:val="center"/>
              <w:rPr>
                <w:sz w:val="20"/>
              </w:rPr>
            </w:pPr>
            <w:r>
              <w:rPr>
                <w:sz w:val="20"/>
              </w:rPr>
              <w:t>Z94.0,</w:t>
            </w:r>
            <w:r>
              <w:rPr>
                <w:spacing w:val="-6"/>
                <w:sz w:val="20"/>
              </w:rPr>
              <w:t> </w:t>
            </w:r>
            <w:r>
              <w:rPr>
                <w:sz w:val="20"/>
              </w:rPr>
              <w:t>Z94.1,</w:t>
            </w:r>
            <w:r>
              <w:rPr>
                <w:spacing w:val="-5"/>
                <w:sz w:val="20"/>
              </w:rPr>
              <w:t> </w:t>
            </w:r>
            <w:r>
              <w:rPr>
                <w:sz w:val="20"/>
              </w:rPr>
              <w:t>Z94.2,</w:t>
            </w:r>
            <w:r>
              <w:rPr>
                <w:spacing w:val="-5"/>
                <w:sz w:val="20"/>
              </w:rPr>
              <w:t> </w:t>
            </w:r>
            <w:r>
              <w:rPr>
                <w:sz w:val="20"/>
              </w:rPr>
              <w:t>Z94.3,</w:t>
            </w:r>
            <w:r>
              <w:rPr>
                <w:spacing w:val="-5"/>
                <w:sz w:val="20"/>
              </w:rPr>
              <w:t> </w:t>
            </w:r>
            <w:r>
              <w:rPr>
                <w:sz w:val="20"/>
              </w:rPr>
              <w:t>Z94.4,</w:t>
            </w:r>
            <w:r>
              <w:rPr>
                <w:spacing w:val="-5"/>
                <w:sz w:val="20"/>
              </w:rPr>
              <w:t> </w:t>
            </w:r>
            <w:r>
              <w:rPr>
                <w:sz w:val="20"/>
              </w:rPr>
              <w:t>Z94.5,</w:t>
            </w:r>
            <w:r>
              <w:rPr>
                <w:spacing w:val="-5"/>
                <w:sz w:val="20"/>
              </w:rPr>
              <w:t> </w:t>
            </w:r>
            <w:r>
              <w:rPr>
                <w:spacing w:val="-2"/>
                <w:sz w:val="20"/>
              </w:rPr>
              <w:t>Z94.6,</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Z94.7,</w:t>
            </w:r>
            <w:r>
              <w:rPr>
                <w:spacing w:val="-6"/>
                <w:sz w:val="20"/>
              </w:rPr>
              <w:t> </w:t>
            </w:r>
            <w:r>
              <w:rPr>
                <w:sz w:val="20"/>
              </w:rPr>
              <w:t>Z94.8,</w:t>
            </w:r>
            <w:r>
              <w:rPr>
                <w:spacing w:val="-5"/>
                <w:sz w:val="20"/>
              </w:rPr>
              <w:t> </w:t>
            </w:r>
            <w:r>
              <w:rPr>
                <w:sz w:val="20"/>
              </w:rPr>
              <w:t>Z94.9,</w:t>
            </w:r>
            <w:r>
              <w:rPr>
                <w:spacing w:val="-5"/>
                <w:sz w:val="20"/>
              </w:rPr>
              <w:t> </w:t>
            </w:r>
            <w:r>
              <w:rPr>
                <w:sz w:val="20"/>
              </w:rPr>
              <w:t>Z95,</w:t>
            </w:r>
            <w:r>
              <w:rPr>
                <w:spacing w:val="-5"/>
                <w:sz w:val="20"/>
              </w:rPr>
              <w:t> </w:t>
            </w:r>
            <w:r>
              <w:rPr>
                <w:sz w:val="20"/>
              </w:rPr>
              <w:t>Z95.0,</w:t>
            </w:r>
            <w:r>
              <w:rPr>
                <w:spacing w:val="-5"/>
                <w:sz w:val="20"/>
              </w:rPr>
              <w:t> </w:t>
            </w:r>
            <w:r>
              <w:rPr>
                <w:sz w:val="20"/>
              </w:rPr>
              <w:t>Z95.1,</w:t>
            </w:r>
            <w:r>
              <w:rPr>
                <w:spacing w:val="-5"/>
                <w:sz w:val="20"/>
              </w:rPr>
              <w:t> </w:t>
            </w:r>
            <w:r>
              <w:rPr>
                <w:spacing w:val="-2"/>
                <w:sz w:val="20"/>
              </w:rPr>
              <w:t>Z95.2,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Z95.3,</w:t>
            </w:r>
            <w:r>
              <w:rPr>
                <w:spacing w:val="-5"/>
                <w:sz w:val="20"/>
              </w:rPr>
              <w:t> </w:t>
            </w:r>
            <w:r>
              <w:rPr>
                <w:sz w:val="20"/>
              </w:rPr>
              <w:t>Z95.4,</w:t>
            </w:r>
            <w:r>
              <w:rPr>
                <w:spacing w:val="-5"/>
                <w:sz w:val="20"/>
              </w:rPr>
              <w:t> </w:t>
            </w:r>
            <w:r>
              <w:rPr>
                <w:sz w:val="20"/>
              </w:rPr>
              <w:t>Z95.5,</w:t>
            </w:r>
            <w:r>
              <w:rPr>
                <w:spacing w:val="-4"/>
                <w:sz w:val="20"/>
              </w:rPr>
              <w:t> </w:t>
            </w:r>
            <w:r>
              <w:rPr>
                <w:sz w:val="20"/>
              </w:rPr>
              <w:t>Z95.8,</w:t>
            </w:r>
            <w:r>
              <w:rPr>
                <w:spacing w:val="-5"/>
                <w:sz w:val="20"/>
              </w:rPr>
              <w:t> </w:t>
            </w:r>
            <w:r>
              <w:rPr>
                <w:sz w:val="20"/>
              </w:rPr>
              <w:t>Z95.9,</w:t>
            </w:r>
            <w:r>
              <w:rPr>
                <w:spacing w:val="-5"/>
                <w:sz w:val="20"/>
              </w:rPr>
              <w:t> </w:t>
            </w:r>
            <w:r>
              <w:rPr>
                <w:sz w:val="20"/>
              </w:rPr>
              <w:t>Z96,</w:t>
            </w:r>
            <w:r>
              <w:rPr>
                <w:spacing w:val="-6"/>
                <w:sz w:val="20"/>
              </w:rPr>
              <w:t> </w:t>
            </w:r>
            <w:r>
              <w:rPr>
                <w:spacing w:val="-2"/>
                <w:sz w:val="20"/>
              </w:rPr>
              <w:t>Z96.0,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Z96.1,</w:t>
            </w:r>
            <w:r>
              <w:rPr>
                <w:spacing w:val="-6"/>
                <w:sz w:val="20"/>
              </w:rPr>
              <w:t> </w:t>
            </w:r>
            <w:r>
              <w:rPr>
                <w:sz w:val="20"/>
              </w:rPr>
              <w:t>Z96.2,</w:t>
            </w:r>
            <w:r>
              <w:rPr>
                <w:spacing w:val="-5"/>
                <w:sz w:val="20"/>
              </w:rPr>
              <w:t> </w:t>
            </w:r>
            <w:r>
              <w:rPr>
                <w:sz w:val="20"/>
              </w:rPr>
              <w:t>Z96.3,</w:t>
            </w:r>
            <w:r>
              <w:rPr>
                <w:spacing w:val="-5"/>
                <w:sz w:val="20"/>
              </w:rPr>
              <w:t> </w:t>
            </w:r>
            <w:r>
              <w:rPr>
                <w:sz w:val="20"/>
              </w:rPr>
              <w:t>Z96.4,</w:t>
            </w:r>
            <w:r>
              <w:rPr>
                <w:spacing w:val="-5"/>
                <w:sz w:val="20"/>
              </w:rPr>
              <w:t> </w:t>
            </w:r>
            <w:r>
              <w:rPr>
                <w:sz w:val="20"/>
              </w:rPr>
              <w:t>Z96.5,</w:t>
            </w:r>
            <w:r>
              <w:rPr>
                <w:spacing w:val="-5"/>
                <w:sz w:val="20"/>
              </w:rPr>
              <w:t> </w:t>
            </w:r>
            <w:r>
              <w:rPr>
                <w:sz w:val="20"/>
              </w:rPr>
              <w:t>Z96.6,</w:t>
            </w:r>
            <w:r>
              <w:rPr>
                <w:spacing w:val="-5"/>
                <w:sz w:val="20"/>
              </w:rPr>
              <w:t> </w:t>
            </w:r>
            <w:r>
              <w:rPr>
                <w:spacing w:val="-2"/>
                <w:sz w:val="20"/>
              </w:rPr>
              <w:t>Z96.7,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5" w:right="240"/>
              <w:jc w:val="center"/>
              <w:rPr>
                <w:sz w:val="20"/>
              </w:rPr>
            </w:pPr>
            <w:r>
              <w:rPr>
                <w:sz w:val="20"/>
              </w:rPr>
              <w:t>Z96.8,</w:t>
            </w:r>
            <w:r>
              <w:rPr>
                <w:spacing w:val="-6"/>
                <w:sz w:val="20"/>
              </w:rPr>
              <w:t> </w:t>
            </w:r>
            <w:r>
              <w:rPr>
                <w:sz w:val="20"/>
              </w:rPr>
              <w:t>Z96.9,</w:t>
            </w:r>
            <w:r>
              <w:rPr>
                <w:spacing w:val="-5"/>
                <w:sz w:val="20"/>
              </w:rPr>
              <w:t> </w:t>
            </w:r>
            <w:r>
              <w:rPr>
                <w:sz w:val="20"/>
              </w:rPr>
              <w:t>Z97,</w:t>
            </w:r>
            <w:r>
              <w:rPr>
                <w:spacing w:val="-5"/>
                <w:sz w:val="20"/>
              </w:rPr>
              <w:t> </w:t>
            </w:r>
            <w:r>
              <w:rPr>
                <w:sz w:val="20"/>
              </w:rPr>
              <w:t>Z97.0,</w:t>
            </w:r>
            <w:r>
              <w:rPr>
                <w:spacing w:val="-5"/>
                <w:sz w:val="20"/>
              </w:rPr>
              <w:t> </w:t>
            </w:r>
            <w:r>
              <w:rPr>
                <w:sz w:val="20"/>
              </w:rPr>
              <w:t>Z97.1,</w:t>
            </w:r>
            <w:r>
              <w:rPr>
                <w:spacing w:val="1"/>
                <w:sz w:val="20"/>
              </w:rPr>
              <w:t> </w:t>
            </w:r>
            <w:r>
              <w:rPr>
                <w:sz w:val="20"/>
              </w:rPr>
              <w:t>Z97.2,</w:t>
            </w:r>
            <w:r>
              <w:rPr>
                <w:spacing w:val="-5"/>
                <w:sz w:val="20"/>
              </w:rPr>
              <w:t> </w:t>
            </w:r>
            <w:r>
              <w:rPr>
                <w:spacing w:val="-2"/>
                <w:sz w:val="20"/>
              </w:rPr>
              <w:t>Z97.3,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Z97.4,</w:t>
            </w:r>
            <w:r>
              <w:rPr>
                <w:spacing w:val="-6"/>
                <w:sz w:val="20"/>
              </w:rPr>
              <w:t> </w:t>
            </w:r>
            <w:r>
              <w:rPr>
                <w:sz w:val="20"/>
              </w:rPr>
              <w:t>Z97.5,</w:t>
            </w:r>
            <w:r>
              <w:rPr>
                <w:spacing w:val="-5"/>
                <w:sz w:val="20"/>
              </w:rPr>
              <w:t> </w:t>
            </w:r>
            <w:r>
              <w:rPr>
                <w:sz w:val="20"/>
              </w:rPr>
              <w:t>Z97.8,</w:t>
            </w:r>
            <w:r>
              <w:rPr>
                <w:spacing w:val="-5"/>
                <w:sz w:val="20"/>
              </w:rPr>
              <w:t> </w:t>
            </w:r>
            <w:r>
              <w:rPr>
                <w:sz w:val="20"/>
              </w:rPr>
              <w:t>Z98,</w:t>
            </w:r>
            <w:r>
              <w:rPr>
                <w:spacing w:val="-5"/>
                <w:sz w:val="20"/>
              </w:rPr>
              <w:t> </w:t>
            </w:r>
            <w:r>
              <w:rPr>
                <w:sz w:val="20"/>
              </w:rPr>
              <w:t>Z98.0,</w:t>
            </w:r>
            <w:r>
              <w:rPr>
                <w:spacing w:val="-5"/>
                <w:sz w:val="20"/>
              </w:rPr>
              <w:t> </w:t>
            </w:r>
            <w:r>
              <w:rPr>
                <w:sz w:val="20"/>
              </w:rPr>
              <w:t>Z98.1,</w:t>
            </w:r>
            <w:r>
              <w:rPr>
                <w:spacing w:val="-5"/>
                <w:sz w:val="20"/>
              </w:rPr>
              <w:t> </w:t>
            </w:r>
            <w:r>
              <w:rPr>
                <w:spacing w:val="-2"/>
                <w:sz w:val="20"/>
              </w:rPr>
              <w:t>Z98.2,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Z98.8,</w:t>
            </w:r>
            <w:r>
              <w:rPr>
                <w:spacing w:val="-6"/>
                <w:sz w:val="20"/>
              </w:rPr>
              <w:t> </w:t>
            </w:r>
            <w:r>
              <w:rPr>
                <w:sz w:val="20"/>
              </w:rPr>
              <w:t>Z99,</w:t>
            </w:r>
            <w:r>
              <w:rPr>
                <w:spacing w:val="-5"/>
                <w:sz w:val="20"/>
              </w:rPr>
              <w:t> </w:t>
            </w:r>
            <w:r>
              <w:rPr>
                <w:sz w:val="20"/>
              </w:rPr>
              <w:t>Z99.0,</w:t>
            </w:r>
            <w:r>
              <w:rPr>
                <w:spacing w:val="-5"/>
                <w:sz w:val="20"/>
              </w:rPr>
              <w:t> </w:t>
            </w:r>
            <w:r>
              <w:rPr>
                <w:sz w:val="20"/>
              </w:rPr>
              <w:t>Z99.1,</w:t>
            </w:r>
            <w:r>
              <w:rPr>
                <w:spacing w:val="-5"/>
                <w:sz w:val="20"/>
              </w:rPr>
              <w:t> </w:t>
            </w:r>
            <w:r>
              <w:rPr>
                <w:sz w:val="20"/>
              </w:rPr>
              <w:t>Z99.2,</w:t>
            </w:r>
            <w:r>
              <w:rPr>
                <w:spacing w:val="-5"/>
                <w:sz w:val="20"/>
              </w:rPr>
              <w:t> </w:t>
            </w:r>
            <w:r>
              <w:rPr>
                <w:sz w:val="20"/>
              </w:rPr>
              <w:t>Z99.3,</w:t>
            </w:r>
            <w:r>
              <w:rPr>
                <w:spacing w:val="-5"/>
                <w:sz w:val="20"/>
              </w:rPr>
              <w:t> </w:t>
            </w:r>
            <w:r>
              <w:rPr>
                <w:spacing w:val="-2"/>
                <w:sz w:val="20"/>
              </w:rPr>
              <w:t>Z99.8,</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26" w:lineRule="exact"/>
              <w:ind w:left="85" w:right="240"/>
              <w:jc w:val="center"/>
              <w:rPr>
                <w:sz w:val="20"/>
              </w:rPr>
            </w:pPr>
            <w:r>
              <w:rPr>
                <w:spacing w:val="-2"/>
                <w:sz w:val="20"/>
              </w:rPr>
              <w:t>Z99.9</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78" w:type="dxa"/>
          </w:tcPr>
          <w:p>
            <w:pPr>
              <w:pStyle w:val="TableParagraph"/>
              <w:spacing w:line="215" w:lineRule="exact" w:before="45"/>
              <w:ind w:left="50"/>
              <w:rPr>
                <w:sz w:val="20"/>
              </w:rPr>
            </w:pPr>
            <w:r>
              <w:rPr>
                <w:spacing w:val="-2"/>
                <w:sz w:val="20"/>
              </w:rPr>
              <w:t>ds36.011</w:t>
            </w:r>
          </w:p>
        </w:tc>
        <w:tc>
          <w:tcPr>
            <w:tcW w:w="696" w:type="dxa"/>
          </w:tcPr>
          <w:p>
            <w:pPr>
              <w:pStyle w:val="TableParagraph"/>
              <w:spacing w:line="215" w:lineRule="exact" w:before="45"/>
              <w:ind w:left="200"/>
              <w:rPr>
                <w:sz w:val="20"/>
              </w:rPr>
            </w:pPr>
            <w:r>
              <w:rPr>
                <w:spacing w:val="-5"/>
                <w:sz w:val="20"/>
              </w:rPr>
              <w:t>159</w:t>
            </w:r>
          </w:p>
        </w:tc>
        <w:tc>
          <w:tcPr>
            <w:tcW w:w="2658" w:type="dxa"/>
          </w:tcPr>
          <w:p>
            <w:pPr>
              <w:pStyle w:val="TableParagraph"/>
              <w:spacing w:line="215" w:lineRule="exact" w:before="45"/>
              <w:ind w:left="193"/>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282" w:type="dxa"/>
          </w:tcPr>
          <w:p>
            <w:pPr>
              <w:pStyle w:val="TableParagraph"/>
              <w:spacing w:line="215" w:lineRule="exact" w:before="45"/>
              <w:ind w:right="156"/>
              <w:jc w:val="center"/>
              <w:rPr>
                <w:sz w:val="20"/>
              </w:rPr>
            </w:pPr>
            <w:r>
              <w:rPr>
                <w:w w:val="99"/>
                <w:sz w:val="20"/>
              </w:rPr>
              <w:t>-</w:t>
            </w:r>
          </w:p>
        </w:tc>
        <w:tc>
          <w:tcPr>
            <w:tcW w:w="3675" w:type="dxa"/>
          </w:tcPr>
          <w:p>
            <w:pPr>
              <w:pStyle w:val="TableParagraph"/>
              <w:spacing w:line="215" w:lineRule="exact" w:before="45"/>
              <w:ind w:left="460" w:right="814"/>
              <w:jc w:val="center"/>
              <w:rPr>
                <w:sz w:val="20"/>
              </w:rPr>
            </w:pPr>
            <w:r>
              <w:rPr>
                <w:sz w:val="20"/>
              </w:rPr>
              <w:t>A18.05.002,</w:t>
            </w:r>
            <w:r>
              <w:rPr>
                <w:spacing w:val="-9"/>
                <w:sz w:val="20"/>
              </w:rPr>
              <w:t> </w:t>
            </w:r>
            <w:r>
              <w:rPr>
                <w:spacing w:val="-2"/>
                <w:sz w:val="20"/>
              </w:rPr>
              <w:t>A18.05.002.001,</w:t>
            </w:r>
          </w:p>
        </w:tc>
        <w:tc>
          <w:tcPr>
            <w:tcW w:w="1745" w:type="dxa"/>
          </w:tcPr>
          <w:p>
            <w:pPr>
              <w:pStyle w:val="TableParagraph"/>
              <w:spacing w:line="215" w:lineRule="exact" w:before="45"/>
              <w:ind w:left="819"/>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0,45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10" w:lineRule="exact"/>
              <w:ind w:left="193"/>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282" w:type="dxa"/>
          </w:tcPr>
          <w:p>
            <w:pPr>
              <w:pStyle w:val="TableParagraph"/>
              <w:rPr>
                <w:sz w:val="16"/>
              </w:rPr>
            </w:pPr>
          </w:p>
        </w:tc>
        <w:tc>
          <w:tcPr>
            <w:tcW w:w="3675" w:type="dxa"/>
          </w:tcPr>
          <w:p>
            <w:pPr>
              <w:pStyle w:val="TableParagraph"/>
              <w:spacing w:line="210" w:lineRule="exact"/>
              <w:ind w:left="463" w:right="814"/>
              <w:jc w:val="center"/>
              <w:rPr>
                <w:sz w:val="20"/>
              </w:rPr>
            </w:pPr>
            <w:r>
              <w:rPr>
                <w:sz w:val="20"/>
              </w:rPr>
              <w:t>A18.05.002.002,</w:t>
            </w:r>
            <w:r>
              <w:rPr>
                <w:spacing w:val="-10"/>
                <w:sz w:val="20"/>
              </w:rPr>
              <w:t> </w:t>
            </w:r>
            <w:r>
              <w:rPr>
                <w:spacing w:val="-2"/>
                <w:sz w:val="20"/>
              </w:rPr>
              <w:t>A18.05.011,</w:t>
            </w:r>
          </w:p>
        </w:tc>
        <w:tc>
          <w:tcPr>
            <w:tcW w:w="174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10" w:lineRule="exact"/>
              <w:ind w:left="193"/>
              <w:rPr>
                <w:sz w:val="20"/>
              </w:rPr>
            </w:pPr>
            <w:r>
              <w:rPr>
                <w:spacing w:val="-2"/>
                <w:sz w:val="20"/>
              </w:rPr>
              <w:t>медицинских</w:t>
            </w:r>
          </w:p>
        </w:tc>
        <w:tc>
          <w:tcPr>
            <w:tcW w:w="4282" w:type="dxa"/>
          </w:tcPr>
          <w:p>
            <w:pPr>
              <w:pStyle w:val="TableParagraph"/>
              <w:rPr>
                <w:sz w:val="16"/>
              </w:rPr>
            </w:pPr>
          </w:p>
        </w:tc>
        <w:tc>
          <w:tcPr>
            <w:tcW w:w="3675" w:type="dxa"/>
          </w:tcPr>
          <w:p>
            <w:pPr>
              <w:pStyle w:val="TableParagraph"/>
              <w:spacing w:line="210" w:lineRule="exact"/>
              <w:ind w:left="460" w:right="814"/>
              <w:jc w:val="center"/>
              <w:rPr>
                <w:sz w:val="20"/>
              </w:rPr>
            </w:pPr>
            <w:r>
              <w:rPr>
                <w:sz w:val="20"/>
              </w:rPr>
              <w:t>A18.30.001,</w:t>
            </w:r>
            <w:r>
              <w:rPr>
                <w:spacing w:val="-9"/>
                <w:sz w:val="20"/>
              </w:rPr>
              <w:t> </w:t>
            </w:r>
            <w:r>
              <w:rPr>
                <w:spacing w:val="-2"/>
                <w:sz w:val="20"/>
              </w:rPr>
              <w:t>A18.30.001.002,</w:t>
            </w:r>
          </w:p>
        </w:tc>
        <w:tc>
          <w:tcPr>
            <w:tcW w:w="1745" w:type="dxa"/>
          </w:tcPr>
          <w:p>
            <w:pPr>
              <w:pStyle w:val="TableParagraph"/>
              <w:rPr>
                <w:sz w:val="16"/>
              </w:rPr>
            </w:pPr>
          </w:p>
        </w:tc>
        <w:tc>
          <w:tcPr>
            <w:tcW w:w="1260"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658" w:type="dxa"/>
          </w:tcPr>
          <w:p>
            <w:pPr>
              <w:pStyle w:val="TableParagraph"/>
              <w:spacing w:line="226" w:lineRule="exact"/>
              <w:ind w:left="193"/>
              <w:rPr>
                <w:sz w:val="20"/>
              </w:rPr>
            </w:pPr>
            <w:r>
              <w:rPr>
                <w:spacing w:val="-2"/>
                <w:sz w:val="20"/>
              </w:rPr>
              <w:t>организаций)</w:t>
            </w:r>
          </w:p>
        </w:tc>
        <w:tc>
          <w:tcPr>
            <w:tcW w:w="4282" w:type="dxa"/>
          </w:tcPr>
          <w:p>
            <w:pPr>
              <w:pStyle w:val="TableParagraph"/>
              <w:rPr>
                <w:sz w:val="18"/>
              </w:rPr>
            </w:pPr>
          </w:p>
        </w:tc>
        <w:tc>
          <w:tcPr>
            <w:tcW w:w="3675" w:type="dxa"/>
          </w:tcPr>
          <w:p>
            <w:pPr>
              <w:pStyle w:val="TableParagraph"/>
              <w:spacing w:line="226" w:lineRule="exact"/>
              <w:ind w:left="461" w:right="814"/>
              <w:jc w:val="center"/>
              <w:rPr>
                <w:sz w:val="20"/>
              </w:rPr>
            </w:pPr>
            <w:r>
              <w:rPr>
                <w:spacing w:val="-2"/>
                <w:sz w:val="20"/>
              </w:rPr>
              <w:t>A18.30.001.003</w:t>
            </w:r>
          </w:p>
        </w:tc>
        <w:tc>
          <w:tcPr>
            <w:tcW w:w="1745" w:type="dxa"/>
          </w:tcPr>
          <w:p>
            <w:pPr>
              <w:pStyle w:val="TableParagraph"/>
              <w:rPr>
                <w:sz w:val="18"/>
              </w:rPr>
            </w:pPr>
          </w:p>
        </w:tc>
        <w:tc>
          <w:tcPr>
            <w:tcW w:w="1260"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ds36.003</w:t>
            </w:r>
          </w:p>
        </w:tc>
        <w:tc>
          <w:tcPr>
            <w:tcW w:w="696" w:type="dxa"/>
          </w:tcPr>
          <w:p>
            <w:pPr>
              <w:pStyle w:val="TableParagraph"/>
              <w:spacing w:line="215" w:lineRule="exact" w:before="45"/>
              <w:ind w:left="200"/>
              <w:rPr>
                <w:sz w:val="20"/>
              </w:rPr>
            </w:pPr>
            <w:r>
              <w:rPr>
                <w:spacing w:val="-5"/>
                <w:sz w:val="20"/>
              </w:rPr>
              <w:t>160</w:t>
            </w:r>
          </w:p>
        </w:tc>
        <w:tc>
          <w:tcPr>
            <w:tcW w:w="2658" w:type="dxa"/>
          </w:tcPr>
          <w:p>
            <w:pPr>
              <w:pStyle w:val="TableParagraph"/>
              <w:spacing w:line="215" w:lineRule="exact" w:before="45"/>
              <w:ind w:left="193"/>
              <w:rPr>
                <w:sz w:val="20"/>
              </w:rPr>
            </w:pPr>
            <w:r>
              <w:rPr>
                <w:w w:val="95"/>
                <w:sz w:val="20"/>
              </w:rPr>
              <w:t>Госпитализация</w:t>
            </w:r>
            <w:r>
              <w:rPr>
                <w:spacing w:val="49"/>
                <w:sz w:val="20"/>
              </w:rPr>
              <w:t> </w:t>
            </w:r>
            <w:r>
              <w:rPr>
                <w:spacing w:val="-10"/>
                <w:sz w:val="20"/>
              </w:rPr>
              <w:t>в</w:t>
            </w:r>
          </w:p>
        </w:tc>
        <w:tc>
          <w:tcPr>
            <w:tcW w:w="4282" w:type="dxa"/>
          </w:tcPr>
          <w:p>
            <w:pPr>
              <w:pStyle w:val="TableParagraph"/>
              <w:spacing w:line="215" w:lineRule="exact" w:before="45"/>
              <w:ind w:left="78" w:right="240"/>
              <w:jc w:val="center"/>
              <w:rPr>
                <w:sz w:val="20"/>
              </w:rPr>
            </w:pPr>
            <w:r>
              <w:rPr>
                <w:sz w:val="20"/>
              </w:rPr>
              <w:t>A15.0,</w:t>
            </w:r>
            <w:r>
              <w:rPr>
                <w:spacing w:val="-6"/>
                <w:sz w:val="20"/>
              </w:rPr>
              <w:t> </w:t>
            </w:r>
            <w:r>
              <w:rPr>
                <w:sz w:val="20"/>
              </w:rPr>
              <w:t>A15.1,</w:t>
            </w:r>
            <w:r>
              <w:rPr>
                <w:spacing w:val="-5"/>
                <w:sz w:val="20"/>
              </w:rPr>
              <w:t> </w:t>
            </w:r>
            <w:r>
              <w:rPr>
                <w:sz w:val="20"/>
              </w:rPr>
              <w:t>A15.2,</w:t>
            </w:r>
            <w:r>
              <w:rPr>
                <w:spacing w:val="-6"/>
                <w:sz w:val="20"/>
              </w:rPr>
              <w:t> </w:t>
            </w:r>
            <w:r>
              <w:rPr>
                <w:sz w:val="20"/>
              </w:rPr>
              <w:t>A15.3,</w:t>
            </w:r>
            <w:r>
              <w:rPr>
                <w:spacing w:val="-7"/>
                <w:sz w:val="20"/>
              </w:rPr>
              <w:t> </w:t>
            </w:r>
            <w:r>
              <w:rPr>
                <w:sz w:val="20"/>
              </w:rPr>
              <w:t>A15.4,</w:t>
            </w:r>
            <w:r>
              <w:rPr>
                <w:spacing w:val="-6"/>
                <w:sz w:val="20"/>
              </w:rPr>
              <w:t> </w:t>
            </w:r>
            <w:r>
              <w:rPr>
                <w:spacing w:val="-2"/>
                <w:sz w:val="20"/>
              </w:rPr>
              <w:t>A15.5,</w:t>
            </w:r>
          </w:p>
        </w:tc>
        <w:tc>
          <w:tcPr>
            <w:tcW w:w="3675" w:type="dxa"/>
          </w:tcPr>
          <w:p>
            <w:pPr>
              <w:pStyle w:val="TableParagraph"/>
              <w:spacing w:line="215" w:lineRule="exact" w:before="45"/>
              <w:ind w:right="351"/>
              <w:jc w:val="center"/>
              <w:rPr>
                <w:sz w:val="20"/>
              </w:rPr>
            </w:pPr>
            <w:r>
              <w:rPr>
                <w:w w:val="99"/>
                <w:sz w:val="20"/>
              </w:rPr>
              <w:t>-</w:t>
            </w:r>
          </w:p>
        </w:tc>
        <w:tc>
          <w:tcPr>
            <w:tcW w:w="1745" w:type="dxa"/>
          </w:tcPr>
          <w:p>
            <w:pPr>
              <w:pStyle w:val="TableParagraph"/>
              <w:spacing w:line="215" w:lineRule="exact" w:before="45"/>
              <w:ind w:left="819"/>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0,46</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10" w:lineRule="exact"/>
              <w:ind w:left="193"/>
              <w:rPr>
                <w:sz w:val="20"/>
              </w:rPr>
            </w:pPr>
            <w:r>
              <w:rPr>
                <w:sz w:val="20"/>
              </w:rPr>
              <w:t>дневной</w:t>
            </w:r>
            <w:r>
              <w:rPr>
                <w:spacing w:val="-10"/>
                <w:sz w:val="20"/>
              </w:rPr>
              <w:t> </w:t>
            </w:r>
            <w:r>
              <w:rPr>
                <w:sz w:val="20"/>
              </w:rPr>
              <w:t>стационар</w:t>
            </w:r>
            <w:r>
              <w:rPr>
                <w:spacing w:val="-7"/>
                <w:sz w:val="20"/>
              </w:rPr>
              <w:t> </w:t>
            </w:r>
            <w:r>
              <w:rPr>
                <w:spacing w:val="-10"/>
                <w:sz w:val="20"/>
              </w:rPr>
              <w:t>в</w:t>
            </w:r>
          </w:p>
        </w:tc>
        <w:tc>
          <w:tcPr>
            <w:tcW w:w="4282" w:type="dxa"/>
          </w:tcPr>
          <w:p>
            <w:pPr>
              <w:pStyle w:val="TableParagraph"/>
              <w:spacing w:line="210" w:lineRule="exact"/>
              <w:ind w:left="78" w:right="240"/>
              <w:jc w:val="center"/>
              <w:rPr>
                <w:sz w:val="20"/>
              </w:rPr>
            </w:pPr>
            <w:r>
              <w:rPr>
                <w:sz w:val="20"/>
              </w:rPr>
              <w:t>A15.6,</w:t>
            </w:r>
            <w:r>
              <w:rPr>
                <w:spacing w:val="-6"/>
                <w:sz w:val="20"/>
              </w:rPr>
              <w:t> </w:t>
            </w:r>
            <w:r>
              <w:rPr>
                <w:sz w:val="20"/>
              </w:rPr>
              <w:t>A15.7,</w:t>
            </w:r>
            <w:r>
              <w:rPr>
                <w:spacing w:val="-5"/>
                <w:sz w:val="20"/>
              </w:rPr>
              <w:t> </w:t>
            </w:r>
            <w:r>
              <w:rPr>
                <w:sz w:val="20"/>
              </w:rPr>
              <w:t>A15.8,</w:t>
            </w:r>
            <w:r>
              <w:rPr>
                <w:spacing w:val="-6"/>
                <w:sz w:val="20"/>
              </w:rPr>
              <w:t> </w:t>
            </w:r>
            <w:r>
              <w:rPr>
                <w:sz w:val="20"/>
              </w:rPr>
              <w:t>A15.9,</w:t>
            </w:r>
            <w:r>
              <w:rPr>
                <w:spacing w:val="-7"/>
                <w:sz w:val="20"/>
              </w:rPr>
              <w:t> </w:t>
            </w:r>
            <w:r>
              <w:rPr>
                <w:sz w:val="20"/>
              </w:rPr>
              <w:t>A16.0,</w:t>
            </w:r>
            <w:r>
              <w:rPr>
                <w:spacing w:val="-6"/>
                <w:sz w:val="20"/>
              </w:rPr>
              <w:t> </w:t>
            </w:r>
            <w:r>
              <w:rPr>
                <w:spacing w:val="-2"/>
                <w:sz w:val="20"/>
              </w:rPr>
              <w:t>A16.1,</w:t>
            </w:r>
          </w:p>
        </w:tc>
        <w:tc>
          <w:tcPr>
            <w:tcW w:w="3675" w:type="dxa"/>
          </w:tcPr>
          <w:p>
            <w:pPr>
              <w:pStyle w:val="TableParagraph"/>
              <w:rPr>
                <w:sz w:val="16"/>
              </w:rPr>
            </w:pPr>
          </w:p>
        </w:tc>
        <w:tc>
          <w:tcPr>
            <w:tcW w:w="1745" w:type="dxa"/>
          </w:tcPr>
          <w:p>
            <w:pPr>
              <w:pStyle w:val="TableParagraph"/>
              <w:rPr>
                <w:sz w:val="16"/>
              </w:rPr>
            </w:pPr>
          </w:p>
        </w:tc>
        <w:tc>
          <w:tcPr>
            <w:tcW w:w="1260"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05" w:lineRule="exact"/>
              <w:ind w:left="193"/>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4282" w:type="dxa"/>
          </w:tcPr>
          <w:p>
            <w:pPr>
              <w:pStyle w:val="TableParagraph"/>
              <w:spacing w:line="205" w:lineRule="exact"/>
              <w:ind w:left="78" w:right="240"/>
              <w:jc w:val="center"/>
              <w:rPr>
                <w:sz w:val="20"/>
              </w:rPr>
            </w:pPr>
            <w:r>
              <w:rPr>
                <w:sz w:val="20"/>
              </w:rPr>
              <w:t>A16.2,</w:t>
            </w:r>
            <w:r>
              <w:rPr>
                <w:spacing w:val="-6"/>
                <w:sz w:val="20"/>
              </w:rPr>
              <w:t> </w:t>
            </w:r>
            <w:r>
              <w:rPr>
                <w:sz w:val="20"/>
              </w:rPr>
              <w:t>A16.3,</w:t>
            </w:r>
            <w:r>
              <w:rPr>
                <w:spacing w:val="-5"/>
                <w:sz w:val="20"/>
              </w:rPr>
              <w:t> </w:t>
            </w:r>
            <w:r>
              <w:rPr>
                <w:sz w:val="20"/>
              </w:rPr>
              <w:t>A16.4,</w:t>
            </w:r>
            <w:r>
              <w:rPr>
                <w:spacing w:val="-6"/>
                <w:sz w:val="20"/>
              </w:rPr>
              <w:t> </w:t>
            </w:r>
            <w:r>
              <w:rPr>
                <w:sz w:val="20"/>
              </w:rPr>
              <w:t>A16.5,</w:t>
            </w:r>
            <w:r>
              <w:rPr>
                <w:spacing w:val="-7"/>
                <w:sz w:val="20"/>
              </w:rPr>
              <w:t> </w:t>
            </w:r>
            <w:r>
              <w:rPr>
                <w:sz w:val="20"/>
              </w:rPr>
              <w:t>A16.7,</w:t>
            </w:r>
            <w:r>
              <w:rPr>
                <w:spacing w:val="-6"/>
                <w:sz w:val="20"/>
              </w:rPr>
              <w:t> </w:t>
            </w:r>
            <w:r>
              <w:rPr>
                <w:spacing w:val="-2"/>
                <w:sz w:val="20"/>
              </w:rPr>
              <w:t>A16.8,</w:t>
            </w:r>
          </w:p>
        </w:tc>
        <w:tc>
          <w:tcPr>
            <w:tcW w:w="3675" w:type="dxa"/>
          </w:tcPr>
          <w:p>
            <w:pPr>
              <w:pStyle w:val="TableParagraph"/>
              <w:rPr>
                <w:sz w:val="16"/>
              </w:rPr>
            </w:pPr>
          </w:p>
        </w:tc>
        <w:tc>
          <w:tcPr>
            <w:tcW w:w="174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2"/>
        <w:gridCol w:w="4244"/>
      </w:tblGrid>
      <w:tr>
        <w:trPr>
          <w:trHeight w:val="8502" w:hRule="atLeast"/>
        </w:trPr>
        <w:tc>
          <w:tcPr>
            <w:tcW w:w="2372" w:type="dxa"/>
          </w:tcPr>
          <w:p>
            <w:pPr>
              <w:pStyle w:val="TableParagraph"/>
              <w:ind w:left="50" w:right="197"/>
              <w:rPr>
                <w:sz w:val="20"/>
              </w:rPr>
            </w:pPr>
            <w:r>
              <w:rPr>
                <w:sz w:val="20"/>
              </w:rPr>
              <w:t>постановкой диагноза туберкулеза, ВИЧ- инфекции,</w:t>
            </w:r>
            <w:r>
              <w:rPr>
                <w:spacing w:val="-13"/>
                <w:sz w:val="20"/>
              </w:rPr>
              <w:t> </w:t>
            </w:r>
            <w:r>
              <w:rPr>
                <w:sz w:val="20"/>
              </w:rPr>
              <w:t>психического </w:t>
            </w:r>
            <w:r>
              <w:rPr>
                <w:spacing w:val="-2"/>
                <w:sz w:val="20"/>
              </w:rPr>
              <w:t>заболевания</w:t>
            </w:r>
          </w:p>
        </w:tc>
        <w:tc>
          <w:tcPr>
            <w:tcW w:w="4244" w:type="dxa"/>
          </w:tcPr>
          <w:p>
            <w:pPr>
              <w:pStyle w:val="TableParagraph"/>
              <w:spacing w:line="221" w:lineRule="exact"/>
              <w:ind w:left="445"/>
              <w:rPr>
                <w:sz w:val="20"/>
              </w:rPr>
            </w:pPr>
            <w:r>
              <w:rPr>
                <w:sz w:val="20"/>
              </w:rPr>
              <w:t>A16.9,</w:t>
            </w:r>
            <w:r>
              <w:rPr>
                <w:spacing w:val="-6"/>
                <w:sz w:val="20"/>
              </w:rPr>
              <w:t> </w:t>
            </w:r>
            <w:r>
              <w:rPr>
                <w:sz w:val="20"/>
              </w:rPr>
              <w:t>A17.0,</w:t>
            </w:r>
            <w:r>
              <w:rPr>
                <w:spacing w:val="-5"/>
                <w:sz w:val="20"/>
              </w:rPr>
              <w:t> </w:t>
            </w:r>
            <w:r>
              <w:rPr>
                <w:sz w:val="20"/>
              </w:rPr>
              <w:t>A17.1,</w:t>
            </w:r>
            <w:r>
              <w:rPr>
                <w:spacing w:val="-6"/>
                <w:sz w:val="20"/>
              </w:rPr>
              <w:t> </w:t>
            </w:r>
            <w:r>
              <w:rPr>
                <w:sz w:val="20"/>
              </w:rPr>
              <w:t>A17.8,</w:t>
            </w:r>
            <w:r>
              <w:rPr>
                <w:spacing w:val="-7"/>
                <w:sz w:val="20"/>
              </w:rPr>
              <w:t> </w:t>
            </w:r>
            <w:r>
              <w:rPr>
                <w:sz w:val="20"/>
              </w:rPr>
              <w:t>A17.9,</w:t>
            </w:r>
            <w:r>
              <w:rPr>
                <w:spacing w:val="-6"/>
                <w:sz w:val="20"/>
              </w:rPr>
              <w:t> </w:t>
            </w:r>
            <w:r>
              <w:rPr>
                <w:spacing w:val="-2"/>
                <w:sz w:val="20"/>
              </w:rPr>
              <w:t>A18.0,</w:t>
            </w:r>
          </w:p>
          <w:p>
            <w:pPr>
              <w:pStyle w:val="TableParagraph"/>
              <w:spacing w:line="229" w:lineRule="exact"/>
              <w:ind w:left="445"/>
              <w:rPr>
                <w:sz w:val="20"/>
              </w:rPr>
            </w:pPr>
            <w:r>
              <w:rPr>
                <w:sz w:val="20"/>
              </w:rPr>
              <w:t>A18.1,</w:t>
            </w:r>
            <w:r>
              <w:rPr>
                <w:spacing w:val="-6"/>
                <w:sz w:val="20"/>
              </w:rPr>
              <w:t> </w:t>
            </w:r>
            <w:r>
              <w:rPr>
                <w:sz w:val="20"/>
              </w:rPr>
              <w:t>A18.2,</w:t>
            </w:r>
            <w:r>
              <w:rPr>
                <w:spacing w:val="-5"/>
                <w:sz w:val="20"/>
              </w:rPr>
              <w:t> </w:t>
            </w:r>
            <w:r>
              <w:rPr>
                <w:sz w:val="20"/>
              </w:rPr>
              <w:t>A18.3,</w:t>
            </w:r>
            <w:r>
              <w:rPr>
                <w:spacing w:val="-6"/>
                <w:sz w:val="20"/>
              </w:rPr>
              <w:t> </w:t>
            </w:r>
            <w:r>
              <w:rPr>
                <w:sz w:val="20"/>
              </w:rPr>
              <w:t>A18.4,</w:t>
            </w:r>
            <w:r>
              <w:rPr>
                <w:spacing w:val="-7"/>
                <w:sz w:val="20"/>
              </w:rPr>
              <w:t> </w:t>
            </w:r>
            <w:r>
              <w:rPr>
                <w:sz w:val="20"/>
              </w:rPr>
              <w:t>A18.5,</w:t>
            </w:r>
            <w:r>
              <w:rPr>
                <w:spacing w:val="-6"/>
                <w:sz w:val="20"/>
              </w:rPr>
              <w:t> </w:t>
            </w:r>
            <w:r>
              <w:rPr>
                <w:spacing w:val="-2"/>
                <w:sz w:val="20"/>
              </w:rPr>
              <w:t>A18.6,</w:t>
            </w:r>
          </w:p>
          <w:p>
            <w:pPr>
              <w:pStyle w:val="TableParagraph"/>
              <w:spacing w:line="229" w:lineRule="exact"/>
              <w:ind w:left="445"/>
              <w:rPr>
                <w:sz w:val="20"/>
              </w:rPr>
            </w:pPr>
            <w:r>
              <w:rPr>
                <w:sz w:val="20"/>
              </w:rPr>
              <w:t>A18.7,</w:t>
            </w:r>
            <w:r>
              <w:rPr>
                <w:spacing w:val="-6"/>
                <w:sz w:val="20"/>
              </w:rPr>
              <w:t> </w:t>
            </w:r>
            <w:r>
              <w:rPr>
                <w:sz w:val="20"/>
              </w:rPr>
              <w:t>A18.8,</w:t>
            </w:r>
            <w:r>
              <w:rPr>
                <w:spacing w:val="-5"/>
                <w:sz w:val="20"/>
              </w:rPr>
              <w:t> </w:t>
            </w:r>
            <w:r>
              <w:rPr>
                <w:sz w:val="20"/>
              </w:rPr>
              <w:t>A19.0,</w:t>
            </w:r>
            <w:r>
              <w:rPr>
                <w:spacing w:val="-6"/>
                <w:sz w:val="20"/>
              </w:rPr>
              <w:t> </w:t>
            </w:r>
            <w:r>
              <w:rPr>
                <w:sz w:val="20"/>
              </w:rPr>
              <w:t>A19.1,</w:t>
            </w:r>
            <w:r>
              <w:rPr>
                <w:spacing w:val="-7"/>
                <w:sz w:val="20"/>
              </w:rPr>
              <w:t> </w:t>
            </w:r>
            <w:r>
              <w:rPr>
                <w:sz w:val="20"/>
              </w:rPr>
              <w:t>A19.2,</w:t>
            </w:r>
            <w:r>
              <w:rPr>
                <w:spacing w:val="-6"/>
                <w:sz w:val="20"/>
              </w:rPr>
              <w:t> </w:t>
            </w:r>
            <w:r>
              <w:rPr>
                <w:spacing w:val="-2"/>
                <w:sz w:val="20"/>
              </w:rPr>
              <w:t>A19.8,</w:t>
            </w:r>
          </w:p>
          <w:p>
            <w:pPr>
              <w:pStyle w:val="TableParagraph"/>
              <w:spacing w:before="1"/>
              <w:ind w:left="256"/>
              <w:rPr>
                <w:sz w:val="20"/>
              </w:rPr>
            </w:pPr>
            <w:r>
              <w:rPr>
                <w:sz w:val="20"/>
              </w:rPr>
              <w:t>A19.9,</w:t>
            </w:r>
            <w:r>
              <w:rPr>
                <w:spacing w:val="-5"/>
                <w:sz w:val="20"/>
              </w:rPr>
              <w:t> </w:t>
            </w:r>
            <w:r>
              <w:rPr>
                <w:sz w:val="20"/>
              </w:rPr>
              <w:t>B20,</w:t>
            </w:r>
            <w:r>
              <w:rPr>
                <w:spacing w:val="-4"/>
                <w:sz w:val="20"/>
              </w:rPr>
              <w:t> </w:t>
            </w:r>
            <w:r>
              <w:rPr>
                <w:sz w:val="20"/>
              </w:rPr>
              <w:t>B20.0,</w:t>
            </w:r>
            <w:r>
              <w:rPr>
                <w:spacing w:val="-6"/>
                <w:sz w:val="20"/>
              </w:rPr>
              <w:t> </w:t>
            </w:r>
            <w:r>
              <w:rPr>
                <w:sz w:val="20"/>
              </w:rPr>
              <w:t>B20.1,</w:t>
            </w:r>
            <w:r>
              <w:rPr>
                <w:spacing w:val="-7"/>
                <w:sz w:val="20"/>
              </w:rPr>
              <w:t> </w:t>
            </w:r>
            <w:r>
              <w:rPr>
                <w:sz w:val="20"/>
              </w:rPr>
              <w:t>B20.2,</w:t>
            </w:r>
            <w:r>
              <w:rPr>
                <w:spacing w:val="-6"/>
                <w:sz w:val="20"/>
              </w:rPr>
              <w:t> </w:t>
            </w:r>
            <w:r>
              <w:rPr>
                <w:sz w:val="20"/>
              </w:rPr>
              <w:t>B20.3,</w:t>
            </w:r>
            <w:r>
              <w:rPr>
                <w:spacing w:val="-4"/>
                <w:sz w:val="20"/>
              </w:rPr>
              <w:t> </w:t>
            </w:r>
            <w:r>
              <w:rPr>
                <w:spacing w:val="-2"/>
                <w:sz w:val="20"/>
              </w:rPr>
              <w:t>B20.4,</w:t>
            </w:r>
          </w:p>
          <w:p>
            <w:pPr>
              <w:pStyle w:val="TableParagraph"/>
              <w:ind w:left="263"/>
              <w:rPr>
                <w:sz w:val="20"/>
              </w:rPr>
            </w:pPr>
            <w:r>
              <w:rPr>
                <w:sz w:val="20"/>
              </w:rPr>
              <w:t>B20.5,</w:t>
            </w:r>
            <w:r>
              <w:rPr>
                <w:spacing w:val="-5"/>
                <w:sz w:val="20"/>
              </w:rPr>
              <w:t> </w:t>
            </w:r>
            <w:r>
              <w:rPr>
                <w:sz w:val="20"/>
              </w:rPr>
              <w:t>B20.6,</w:t>
            </w:r>
            <w:r>
              <w:rPr>
                <w:spacing w:val="-5"/>
                <w:sz w:val="20"/>
              </w:rPr>
              <w:t> </w:t>
            </w:r>
            <w:r>
              <w:rPr>
                <w:sz w:val="20"/>
              </w:rPr>
              <w:t>B20.7,</w:t>
            </w:r>
            <w:r>
              <w:rPr>
                <w:spacing w:val="-4"/>
                <w:sz w:val="20"/>
              </w:rPr>
              <w:t> </w:t>
            </w:r>
            <w:r>
              <w:rPr>
                <w:sz w:val="20"/>
              </w:rPr>
              <w:t>B20.8,</w:t>
            </w:r>
            <w:r>
              <w:rPr>
                <w:spacing w:val="-8"/>
                <w:sz w:val="20"/>
              </w:rPr>
              <w:t> </w:t>
            </w:r>
            <w:r>
              <w:rPr>
                <w:sz w:val="20"/>
              </w:rPr>
              <w:t>B20.9,</w:t>
            </w:r>
            <w:r>
              <w:rPr>
                <w:spacing w:val="-5"/>
                <w:sz w:val="20"/>
              </w:rPr>
              <w:t> </w:t>
            </w:r>
            <w:r>
              <w:rPr>
                <w:sz w:val="20"/>
              </w:rPr>
              <w:t>B21,</w:t>
            </w:r>
            <w:r>
              <w:rPr>
                <w:spacing w:val="-6"/>
                <w:sz w:val="20"/>
              </w:rPr>
              <w:t> </w:t>
            </w:r>
            <w:r>
              <w:rPr>
                <w:spacing w:val="-2"/>
                <w:sz w:val="20"/>
              </w:rPr>
              <w:t>B21.0,</w:t>
            </w:r>
          </w:p>
          <w:p>
            <w:pPr>
              <w:pStyle w:val="TableParagraph"/>
              <w:ind w:left="263"/>
              <w:rPr>
                <w:sz w:val="20"/>
              </w:rPr>
            </w:pPr>
            <w:r>
              <w:rPr>
                <w:sz w:val="20"/>
              </w:rPr>
              <w:t>B21.1,</w:t>
            </w:r>
            <w:r>
              <w:rPr>
                <w:spacing w:val="-8"/>
                <w:sz w:val="20"/>
              </w:rPr>
              <w:t> </w:t>
            </w:r>
            <w:r>
              <w:rPr>
                <w:sz w:val="20"/>
              </w:rPr>
              <w:t>B21.2,</w:t>
            </w:r>
            <w:r>
              <w:rPr>
                <w:spacing w:val="-5"/>
                <w:sz w:val="20"/>
              </w:rPr>
              <w:t> </w:t>
            </w:r>
            <w:r>
              <w:rPr>
                <w:sz w:val="20"/>
              </w:rPr>
              <w:t>B21.3,</w:t>
            </w:r>
            <w:r>
              <w:rPr>
                <w:spacing w:val="-5"/>
                <w:sz w:val="20"/>
              </w:rPr>
              <w:t> </w:t>
            </w:r>
            <w:r>
              <w:rPr>
                <w:sz w:val="20"/>
              </w:rPr>
              <w:t>B21.7,</w:t>
            </w:r>
            <w:r>
              <w:rPr>
                <w:spacing w:val="-8"/>
                <w:sz w:val="20"/>
              </w:rPr>
              <w:t> </w:t>
            </w:r>
            <w:r>
              <w:rPr>
                <w:sz w:val="20"/>
              </w:rPr>
              <w:t>B21.8,</w:t>
            </w:r>
            <w:r>
              <w:rPr>
                <w:spacing w:val="-5"/>
                <w:sz w:val="20"/>
              </w:rPr>
              <w:t> </w:t>
            </w:r>
            <w:r>
              <w:rPr>
                <w:sz w:val="20"/>
              </w:rPr>
              <w:t>B21.9,</w:t>
            </w:r>
            <w:r>
              <w:rPr>
                <w:spacing w:val="-5"/>
                <w:sz w:val="20"/>
              </w:rPr>
              <w:t> </w:t>
            </w:r>
            <w:r>
              <w:rPr>
                <w:spacing w:val="-4"/>
                <w:sz w:val="20"/>
              </w:rPr>
              <w:t>B22,</w:t>
            </w:r>
          </w:p>
          <w:p>
            <w:pPr>
              <w:pStyle w:val="TableParagraph"/>
              <w:spacing w:before="1"/>
              <w:ind w:left="263"/>
              <w:rPr>
                <w:sz w:val="20"/>
              </w:rPr>
            </w:pPr>
            <w:r>
              <w:rPr>
                <w:sz w:val="20"/>
              </w:rPr>
              <w:t>B22.0,</w:t>
            </w:r>
            <w:r>
              <w:rPr>
                <w:spacing w:val="-5"/>
                <w:sz w:val="20"/>
              </w:rPr>
              <w:t> </w:t>
            </w:r>
            <w:r>
              <w:rPr>
                <w:sz w:val="20"/>
              </w:rPr>
              <w:t>B22.1,</w:t>
            </w:r>
            <w:r>
              <w:rPr>
                <w:spacing w:val="-4"/>
                <w:sz w:val="20"/>
              </w:rPr>
              <w:t> </w:t>
            </w:r>
            <w:r>
              <w:rPr>
                <w:sz w:val="20"/>
              </w:rPr>
              <w:t>B22.2,</w:t>
            </w:r>
            <w:r>
              <w:rPr>
                <w:spacing w:val="-5"/>
                <w:sz w:val="20"/>
              </w:rPr>
              <w:t> </w:t>
            </w:r>
            <w:r>
              <w:rPr>
                <w:sz w:val="20"/>
              </w:rPr>
              <w:t>B22.7,</w:t>
            </w:r>
            <w:r>
              <w:rPr>
                <w:spacing w:val="-8"/>
                <w:sz w:val="20"/>
              </w:rPr>
              <w:t> </w:t>
            </w:r>
            <w:r>
              <w:rPr>
                <w:sz w:val="20"/>
              </w:rPr>
              <w:t>B23,</w:t>
            </w:r>
            <w:r>
              <w:rPr>
                <w:spacing w:val="-6"/>
                <w:sz w:val="20"/>
              </w:rPr>
              <w:t> </w:t>
            </w:r>
            <w:r>
              <w:rPr>
                <w:sz w:val="20"/>
              </w:rPr>
              <w:t>B23.0,</w:t>
            </w:r>
            <w:r>
              <w:rPr>
                <w:spacing w:val="-6"/>
                <w:sz w:val="20"/>
              </w:rPr>
              <w:t> </w:t>
            </w:r>
            <w:r>
              <w:rPr>
                <w:spacing w:val="-2"/>
                <w:sz w:val="20"/>
              </w:rPr>
              <w:t>B23.1,</w:t>
            </w:r>
          </w:p>
          <w:p>
            <w:pPr>
              <w:pStyle w:val="TableParagraph"/>
              <w:spacing w:line="229" w:lineRule="exact" w:before="1"/>
              <w:ind w:left="337"/>
              <w:rPr>
                <w:sz w:val="20"/>
              </w:rPr>
            </w:pPr>
            <w:r>
              <w:rPr>
                <w:sz w:val="20"/>
              </w:rPr>
              <w:t>B23.2,</w:t>
            </w:r>
            <w:r>
              <w:rPr>
                <w:spacing w:val="-7"/>
                <w:sz w:val="20"/>
              </w:rPr>
              <w:t> </w:t>
            </w:r>
            <w:r>
              <w:rPr>
                <w:sz w:val="20"/>
              </w:rPr>
              <w:t>B23.8,</w:t>
            </w:r>
            <w:r>
              <w:rPr>
                <w:spacing w:val="-4"/>
                <w:sz w:val="20"/>
              </w:rPr>
              <w:t> </w:t>
            </w:r>
            <w:r>
              <w:rPr>
                <w:sz w:val="20"/>
              </w:rPr>
              <w:t>B24,</w:t>
            </w:r>
            <w:r>
              <w:rPr>
                <w:spacing w:val="-6"/>
                <w:sz w:val="20"/>
              </w:rPr>
              <w:t> </w:t>
            </w:r>
            <w:r>
              <w:rPr>
                <w:sz w:val="20"/>
              </w:rPr>
              <w:t>B90,</w:t>
            </w:r>
            <w:r>
              <w:rPr>
                <w:spacing w:val="-5"/>
                <w:sz w:val="20"/>
              </w:rPr>
              <w:t> </w:t>
            </w:r>
            <w:r>
              <w:rPr>
                <w:sz w:val="20"/>
              </w:rPr>
              <w:t>B90.0,</w:t>
            </w:r>
            <w:r>
              <w:rPr>
                <w:spacing w:val="-5"/>
                <w:sz w:val="20"/>
              </w:rPr>
              <w:t> </w:t>
            </w:r>
            <w:r>
              <w:rPr>
                <w:sz w:val="20"/>
              </w:rPr>
              <w:t>B90.1,</w:t>
            </w:r>
            <w:r>
              <w:rPr>
                <w:spacing w:val="-5"/>
                <w:sz w:val="20"/>
              </w:rPr>
              <w:t> </w:t>
            </w:r>
            <w:r>
              <w:rPr>
                <w:spacing w:val="-2"/>
                <w:sz w:val="20"/>
              </w:rPr>
              <w:t>B90.2,</w:t>
            </w:r>
          </w:p>
          <w:p>
            <w:pPr>
              <w:pStyle w:val="TableParagraph"/>
              <w:spacing w:line="229" w:lineRule="exact"/>
              <w:ind w:left="318"/>
              <w:rPr>
                <w:sz w:val="20"/>
              </w:rPr>
            </w:pPr>
            <w:r>
              <w:rPr>
                <w:sz w:val="20"/>
              </w:rPr>
              <w:t>B90.8,</w:t>
            </w:r>
            <w:r>
              <w:rPr>
                <w:spacing w:val="-5"/>
                <w:sz w:val="20"/>
              </w:rPr>
              <w:t> </w:t>
            </w:r>
            <w:r>
              <w:rPr>
                <w:sz w:val="20"/>
              </w:rPr>
              <w:t>B90.9,</w:t>
            </w:r>
            <w:r>
              <w:rPr>
                <w:spacing w:val="-5"/>
                <w:sz w:val="20"/>
              </w:rPr>
              <w:t> </w:t>
            </w:r>
            <w:r>
              <w:rPr>
                <w:sz w:val="20"/>
              </w:rPr>
              <w:t>F00,</w:t>
            </w:r>
            <w:r>
              <w:rPr>
                <w:spacing w:val="-5"/>
                <w:sz w:val="20"/>
              </w:rPr>
              <w:t> </w:t>
            </w:r>
            <w:r>
              <w:rPr>
                <w:sz w:val="20"/>
              </w:rPr>
              <w:t>F00.0,</w:t>
            </w:r>
            <w:r>
              <w:rPr>
                <w:spacing w:val="-7"/>
                <w:sz w:val="20"/>
              </w:rPr>
              <w:t> </w:t>
            </w:r>
            <w:r>
              <w:rPr>
                <w:sz w:val="20"/>
              </w:rPr>
              <w:t>F00.1,</w:t>
            </w:r>
            <w:r>
              <w:rPr>
                <w:spacing w:val="-4"/>
                <w:sz w:val="20"/>
              </w:rPr>
              <w:t> </w:t>
            </w:r>
            <w:r>
              <w:rPr>
                <w:sz w:val="20"/>
              </w:rPr>
              <w:t>F00.2,</w:t>
            </w:r>
            <w:r>
              <w:rPr>
                <w:spacing w:val="-5"/>
                <w:sz w:val="20"/>
              </w:rPr>
              <w:t> </w:t>
            </w:r>
            <w:r>
              <w:rPr>
                <w:spacing w:val="-2"/>
                <w:sz w:val="20"/>
              </w:rPr>
              <w:t>F00.9,</w:t>
            </w:r>
          </w:p>
          <w:p>
            <w:pPr>
              <w:pStyle w:val="TableParagraph"/>
              <w:ind w:left="340"/>
              <w:jc w:val="both"/>
              <w:rPr>
                <w:sz w:val="20"/>
              </w:rPr>
            </w:pPr>
            <w:r>
              <w:rPr>
                <w:sz w:val="20"/>
              </w:rPr>
              <w:t>F01,</w:t>
            </w:r>
            <w:r>
              <w:rPr>
                <w:spacing w:val="-6"/>
                <w:sz w:val="20"/>
              </w:rPr>
              <w:t> </w:t>
            </w:r>
            <w:r>
              <w:rPr>
                <w:sz w:val="20"/>
              </w:rPr>
              <w:t>F01.0,</w:t>
            </w:r>
            <w:r>
              <w:rPr>
                <w:spacing w:val="-5"/>
                <w:sz w:val="20"/>
              </w:rPr>
              <w:t> </w:t>
            </w:r>
            <w:r>
              <w:rPr>
                <w:sz w:val="20"/>
              </w:rPr>
              <w:t>F01.1,</w:t>
            </w:r>
            <w:r>
              <w:rPr>
                <w:spacing w:val="-6"/>
                <w:sz w:val="20"/>
              </w:rPr>
              <w:t> </w:t>
            </w:r>
            <w:r>
              <w:rPr>
                <w:sz w:val="20"/>
              </w:rPr>
              <w:t>F01.2,</w:t>
            </w:r>
            <w:r>
              <w:rPr>
                <w:spacing w:val="-2"/>
                <w:sz w:val="20"/>
              </w:rPr>
              <w:t> </w:t>
            </w:r>
            <w:r>
              <w:rPr>
                <w:sz w:val="20"/>
              </w:rPr>
              <w:t>F01.3,</w:t>
            </w:r>
            <w:r>
              <w:rPr>
                <w:spacing w:val="-5"/>
                <w:sz w:val="20"/>
              </w:rPr>
              <w:t> </w:t>
            </w:r>
            <w:r>
              <w:rPr>
                <w:sz w:val="20"/>
              </w:rPr>
              <w:t>F01.8,</w:t>
            </w:r>
            <w:r>
              <w:rPr>
                <w:spacing w:val="-6"/>
                <w:sz w:val="20"/>
              </w:rPr>
              <w:t> </w:t>
            </w:r>
            <w:r>
              <w:rPr>
                <w:spacing w:val="-2"/>
                <w:sz w:val="20"/>
              </w:rPr>
              <w:t>F01.9,</w:t>
            </w:r>
          </w:p>
          <w:p>
            <w:pPr>
              <w:pStyle w:val="TableParagraph"/>
              <w:spacing w:before="1"/>
              <w:ind w:left="265" w:right="102" w:firstLine="74"/>
              <w:jc w:val="both"/>
              <w:rPr>
                <w:sz w:val="20"/>
              </w:rPr>
            </w:pPr>
            <w:r>
              <w:rPr>
                <w:sz w:val="20"/>
              </w:rPr>
              <w:t>F02, F02.0, F02.1, F02.2, F02.3, F02.4, F02.8, F03,</w:t>
            </w:r>
            <w:r>
              <w:rPr>
                <w:spacing w:val="-1"/>
                <w:sz w:val="20"/>
              </w:rPr>
              <w:t> </w:t>
            </w:r>
            <w:r>
              <w:rPr>
                <w:sz w:val="20"/>
              </w:rPr>
              <w:t>F04,</w:t>
            </w:r>
            <w:r>
              <w:rPr>
                <w:spacing w:val="-1"/>
                <w:sz w:val="20"/>
              </w:rPr>
              <w:t> </w:t>
            </w:r>
            <w:r>
              <w:rPr>
                <w:sz w:val="20"/>
              </w:rPr>
              <w:t>F05,</w:t>
            </w:r>
            <w:r>
              <w:rPr>
                <w:spacing w:val="-1"/>
                <w:sz w:val="20"/>
              </w:rPr>
              <w:t> </w:t>
            </w:r>
            <w:r>
              <w:rPr>
                <w:sz w:val="20"/>
              </w:rPr>
              <w:t>F05.0,</w:t>
            </w:r>
            <w:r>
              <w:rPr>
                <w:spacing w:val="-1"/>
                <w:sz w:val="20"/>
              </w:rPr>
              <w:t> </w:t>
            </w:r>
            <w:r>
              <w:rPr>
                <w:sz w:val="20"/>
              </w:rPr>
              <w:t>F05.1,</w:t>
            </w:r>
            <w:r>
              <w:rPr>
                <w:spacing w:val="-3"/>
                <w:sz w:val="20"/>
              </w:rPr>
              <w:t> </w:t>
            </w:r>
            <w:r>
              <w:rPr>
                <w:sz w:val="20"/>
              </w:rPr>
              <w:t>F05.8,</w:t>
            </w:r>
            <w:r>
              <w:rPr>
                <w:spacing w:val="-1"/>
                <w:sz w:val="20"/>
              </w:rPr>
              <w:t> </w:t>
            </w:r>
            <w:r>
              <w:rPr>
                <w:sz w:val="20"/>
              </w:rPr>
              <w:t>F05.9,</w:t>
            </w:r>
            <w:r>
              <w:rPr>
                <w:spacing w:val="-1"/>
                <w:sz w:val="20"/>
              </w:rPr>
              <w:t> </w:t>
            </w:r>
            <w:r>
              <w:rPr>
                <w:sz w:val="20"/>
              </w:rPr>
              <w:t>F06, F06.0,</w:t>
            </w:r>
            <w:r>
              <w:rPr>
                <w:spacing w:val="-6"/>
                <w:sz w:val="20"/>
              </w:rPr>
              <w:t> </w:t>
            </w:r>
            <w:r>
              <w:rPr>
                <w:sz w:val="20"/>
              </w:rPr>
              <w:t>F06.1,</w:t>
            </w:r>
            <w:r>
              <w:rPr>
                <w:spacing w:val="-5"/>
                <w:sz w:val="20"/>
              </w:rPr>
              <w:t> </w:t>
            </w:r>
            <w:r>
              <w:rPr>
                <w:sz w:val="20"/>
              </w:rPr>
              <w:t>F06.2,</w:t>
            </w:r>
            <w:r>
              <w:rPr>
                <w:spacing w:val="-5"/>
                <w:sz w:val="20"/>
              </w:rPr>
              <w:t> </w:t>
            </w:r>
            <w:r>
              <w:rPr>
                <w:sz w:val="20"/>
              </w:rPr>
              <w:t>F06.3,</w:t>
            </w:r>
            <w:r>
              <w:rPr>
                <w:spacing w:val="-7"/>
                <w:sz w:val="20"/>
              </w:rPr>
              <w:t> </w:t>
            </w:r>
            <w:r>
              <w:rPr>
                <w:sz w:val="20"/>
              </w:rPr>
              <w:t>F06.4,</w:t>
            </w:r>
            <w:r>
              <w:rPr>
                <w:spacing w:val="-5"/>
                <w:sz w:val="20"/>
              </w:rPr>
              <w:t> </w:t>
            </w:r>
            <w:r>
              <w:rPr>
                <w:sz w:val="20"/>
              </w:rPr>
              <w:t>F06.5,</w:t>
            </w:r>
            <w:r>
              <w:rPr>
                <w:spacing w:val="-5"/>
                <w:sz w:val="20"/>
              </w:rPr>
              <w:t> </w:t>
            </w:r>
            <w:r>
              <w:rPr>
                <w:spacing w:val="-2"/>
                <w:sz w:val="20"/>
              </w:rPr>
              <w:t>F06.6,</w:t>
            </w:r>
          </w:p>
          <w:p>
            <w:pPr>
              <w:pStyle w:val="TableParagraph"/>
              <w:spacing w:line="229" w:lineRule="exact" w:before="1"/>
              <w:ind w:left="340"/>
              <w:jc w:val="both"/>
              <w:rPr>
                <w:sz w:val="20"/>
              </w:rPr>
            </w:pPr>
            <w:r>
              <w:rPr>
                <w:sz w:val="20"/>
              </w:rPr>
              <w:t>F06.7,</w:t>
            </w:r>
            <w:r>
              <w:rPr>
                <w:spacing w:val="-6"/>
                <w:sz w:val="20"/>
              </w:rPr>
              <w:t> </w:t>
            </w:r>
            <w:r>
              <w:rPr>
                <w:sz w:val="20"/>
              </w:rPr>
              <w:t>F06.8,</w:t>
            </w:r>
            <w:r>
              <w:rPr>
                <w:spacing w:val="-6"/>
                <w:sz w:val="20"/>
              </w:rPr>
              <w:t> </w:t>
            </w:r>
            <w:r>
              <w:rPr>
                <w:sz w:val="20"/>
              </w:rPr>
              <w:t>F06.9,</w:t>
            </w:r>
            <w:r>
              <w:rPr>
                <w:spacing w:val="-5"/>
                <w:sz w:val="20"/>
              </w:rPr>
              <w:t> </w:t>
            </w:r>
            <w:r>
              <w:rPr>
                <w:sz w:val="20"/>
              </w:rPr>
              <w:t>F07,</w:t>
            </w:r>
            <w:r>
              <w:rPr>
                <w:spacing w:val="-6"/>
                <w:sz w:val="20"/>
              </w:rPr>
              <w:t> </w:t>
            </w:r>
            <w:r>
              <w:rPr>
                <w:sz w:val="20"/>
              </w:rPr>
              <w:t>F07.0,</w:t>
            </w:r>
            <w:r>
              <w:rPr>
                <w:spacing w:val="-5"/>
                <w:sz w:val="20"/>
              </w:rPr>
              <w:t> </w:t>
            </w:r>
            <w:r>
              <w:rPr>
                <w:sz w:val="20"/>
              </w:rPr>
              <w:t>F07.1,</w:t>
            </w:r>
            <w:r>
              <w:rPr>
                <w:spacing w:val="-6"/>
                <w:sz w:val="20"/>
              </w:rPr>
              <w:t> </w:t>
            </w:r>
            <w:r>
              <w:rPr>
                <w:spacing w:val="-2"/>
                <w:sz w:val="20"/>
              </w:rPr>
              <w:t>F07.2,</w:t>
            </w:r>
          </w:p>
          <w:p>
            <w:pPr>
              <w:pStyle w:val="TableParagraph"/>
              <w:spacing w:line="229" w:lineRule="exact"/>
              <w:ind w:left="414"/>
              <w:jc w:val="both"/>
              <w:rPr>
                <w:sz w:val="20"/>
              </w:rPr>
            </w:pPr>
            <w:r>
              <w:rPr>
                <w:sz w:val="20"/>
              </w:rPr>
              <w:t>F07.8,</w:t>
            </w:r>
            <w:r>
              <w:rPr>
                <w:spacing w:val="-5"/>
                <w:sz w:val="20"/>
              </w:rPr>
              <w:t> </w:t>
            </w:r>
            <w:r>
              <w:rPr>
                <w:sz w:val="20"/>
              </w:rPr>
              <w:t>F07.9,</w:t>
            </w:r>
            <w:r>
              <w:rPr>
                <w:spacing w:val="-4"/>
                <w:sz w:val="20"/>
              </w:rPr>
              <w:t> </w:t>
            </w:r>
            <w:r>
              <w:rPr>
                <w:sz w:val="20"/>
              </w:rPr>
              <w:t>F09,</w:t>
            </w:r>
            <w:r>
              <w:rPr>
                <w:spacing w:val="-5"/>
                <w:sz w:val="20"/>
              </w:rPr>
              <w:t> </w:t>
            </w:r>
            <w:r>
              <w:rPr>
                <w:sz w:val="20"/>
              </w:rPr>
              <w:t>F10,</w:t>
            </w:r>
            <w:r>
              <w:rPr>
                <w:spacing w:val="-6"/>
                <w:sz w:val="20"/>
              </w:rPr>
              <w:t> </w:t>
            </w:r>
            <w:r>
              <w:rPr>
                <w:sz w:val="20"/>
              </w:rPr>
              <w:t>F10.0,</w:t>
            </w:r>
            <w:r>
              <w:rPr>
                <w:spacing w:val="-6"/>
                <w:sz w:val="20"/>
              </w:rPr>
              <w:t> </w:t>
            </w:r>
            <w:r>
              <w:rPr>
                <w:sz w:val="20"/>
              </w:rPr>
              <w:t>F10.1,</w:t>
            </w:r>
            <w:r>
              <w:rPr>
                <w:spacing w:val="-4"/>
                <w:sz w:val="20"/>
              </w:rPr>
              <w:t> </w:t>
            </w:r>
            <w:r>
              <w:rPr>
                <w:spacing w:val="-2"/>
                <w:sz w:val="20"/>
              </w:rPr>
              <w:t>F10.2,</w:t>
            </w:r>
          </w:p>
          <w:p>
            <w:pPr>
              <w:pStyle w:val="TableParagraph"/>
              <w:ind w:left="265"/>
              <w:rPr>
                <w:sz w:val="20"/>
              </w:rPr>
            </w:pPr>
            <w:r>
              <w:rPr>
                <w:sz w:val="20"/>
              </w:rPr>
              <w:t>F10.3,</w:t>
            </w:r>
            <w:r>
              <w:rPr>
                <w:spacing w:val="-6"/>
                <w:sz w:val="20"/>
              </w:rPr>
              <w:t> </w:t>
            </w:r>
            <w:r>
              <w:rPr>
                <w:sz w:val="20"/>
              </w:rPr>
              <w:t>F10.4,</w:t>
            </w:r>
            <w:r>
              <w:rPr>
                <w:spacing w:val="-5"/>
                <w:sz w:val="20"/>
              </w:rPr>
              <w:t> </w:t>
            </w:r>
            <w:r>
              <w:rPr>
                <w:sz w:val="20"/>
              </w:rPr>
              <w:t>F10.5,</w:t>
            </w:r>
            <w:r>
              <w:rPr>
                <w:spacing w:val="-5"/>
                <w:sz w:val="20"/>
              </w:rPr>
              <w:t> </w:t>
            </w:r>
            <w:r>
              <w:rPr>
                <w:sz w:val="20"/>
              </w:rPr>
              <w:t>F10.6,</w:t>
            </w:r>
            <w:r>
              <w:rPr>
                <w:spacing w:val="-7"/>
                <w:sz w:val="20"/>
              </w:rPr>
              <w:t> </w:t>
            </w:r>
            <w:r>
              <w:rPr>
                <w:sz w:val="20"/>
              </w:rPr>
              <w:t>F10.7,</w:t>
            </w:r>
            <w:r>
              <w:rPr>
                <w:spacing w:val="-5"/>
                <w:sz w:val="20"/>
              </w:rPr>
              <w:t> </w:t>
            </w:r>
            <w:r>
              <w:rPr>
                <w:sz w:val="20"/>
              </w:rPr>
              <w:t>F10.8,</w:t>
            </w:r>
            <w:r>
              <w:rPr>
                <w:spacing w:val="-5"/>
                <w:sz w:val="20"/>
              </w:rPr>
              <w:t> </w:t>
            </w:r>
            <w:r>
              <w:rPr>
                <w:spacing w:val="-2"/>
                <w:sz w:val="20"/>
              </w:rPr>
              <w:t>F10.9,</w:t>
            </w:r>
          </w:p>
          <w:p>
            <w:pPr>
              <w:pStyle w:val="TableParagraph"/>
              <w:spacing w:before="1"/>
              <w:ind w:left="340"/>
              <w:rPr>
                <w:sz w:val="20"/>
              </w:rPr>
            </w:pPr>
            <w:r>
              <w:rPr>
                <w:sz w:val="20"/>
              </w:rPr>
              <w:t>F11,</w:t>
            </w:r>
            <w:r>
              <w:rPr>
                <w:spacing w:val="-6"/>
                <w:sz w:val="20"/>
              </w:rPr>
              <w:t> </w:t>
            </w:r>
            <w:r>
              <w:rPr>
                <w:sz w:val="20"/>
              </w:rPr>
              <w:t>F11.0,</w:t>
            </w:r>
            <w:r>
              <w:rPr>
                <w:spacing w:val="-6"/>
                <w:sz w:val="20"/>
              </w:rPr>
              <w:t> </w:t>
            </w:r>
            <w:r>
              <w:rPr>
                <w:sz w:val="20"/>
              </w:rPr>
              <w:t>F11.1,</w:t>
            </w:r>
            <w:r>
              <w:rPr>
                <w:spacing w:val="-5"/>
                <w:sz w:val="20"/>
              </w:rPr>
              <w:t> </w:t>
            </w:r>
            <w:r>
              <w:rPr>
                <w:sz w:val="20"/>
              </w:rPr>
              <w:t>F11.2,</w:t>
            </w:r>
            <w:r>
              <w:rPr>
                <w:spacing w:val="-6"/>
                <w:sz w:val="20"/>
              </w:rPr>
              <w:t> </w:t>
            </w:r>
            <w:r>
              <w:rPr>
                <w:sz w:val="20"/>
              </w:rPr>
              <w:t>F11.3,</w:t>
            </w:r>
            <w:r>
              <w:rPr>
                <w:spacing w:val="-5"/>
                <w:sz w:val="20"/>
              </w:rPr>
              <w:t> </w:t>
            </w:r>
            <w:r>
              <w:rPr>
                <w:sz w:val="20"/>
              </w:rPr>
              <w:t>F11.4,</w:t>
            </w:r>
            <w:r>
              <w:rPr>
                <w:spacing w:val="-6"/>
                <w:sz w:val="20"/>
              </w:rPr>
              <w:t> </w:t>
            </w:r>
            <w:r>
              <w:rPr>
                <w:spacing w:val="-2"/>
                <w:sz w:val="20"/>
              </w:rPr>
              <w:t>F11.5,</w:t>
            </w:r>
          </w:p>
          <w:p>
            <w:pPr>
              <w:pStyle w:val="TableParagraph"/>
              <w:ind w:left="340"/>
              <w:rPr>
                <w:sz w:val="20"/>
              </w:rPr>
            </w:pPr>
            <w:r>
              <w:rPr>
                <w:sz w:val="20"/>
              </w:rPr>
              <w:t>F11.6,</w:t>
            </w:r>
            <w:r>
              <w:rPr>
                <w:spacing w:val="-6"/>
                <w:sz w:val="20"/>
              </w:rPr>
              <w:t> </w:t>
            </w:r>
            <w:r>
              <w:rPr>
                <w:sz w:val="20"/>
              </w:rPr>
              <w:t>F11.7,</w:t>
            </w:r>
            <w:r>
              <w:rPr>
                <w:spacing w:val="-5"/>
                <w:sz w:val="20"/>
              </w:rPr>
              <w:t> </w:t>
            </w:r>
            <w:r>
              <w:rPr>
                <w:sz w:val="20"/>
              </w:rPr>
              <w:t>F11.8,</w:t>
            </w:r>
            <w:r>
              <w:rPr>
                <w:spacing w:val="-5"/>
                <w:sz w:val="20"/>
              </w:rPr>
              <w:t> </w:t>
            </w:r>
            <w:r>
              <w:rPr>
                <w:sz w:val="20"/>
              </w:rPr>
              <w:t>F11.9,</w:t>
            </w:r>
            <w:r>
              <w:rPr>
                <w:spacing w:val="-7"/>
                <w:sz w:val="20"/>
              </w:rPr>
              <w:t> </w:t>
            </w:r>
            <w:r>
              <w:rPr>
                <w:sz w:val="20"/>
              </w:rPr>
              <w:t>F12,</w:t>
            </w:r>
            <w:r>
              <w:rPr>
                <w:spacing w:val="-5"/>
                <w:sz w:val="20"/>
              </w:rPr>
              <w:t> </w:t>
            </w:r>
            <w:r>
              <w:rPr>
                <w:sz w:val="20"/>
              </w:rPr>
              <w:t>F12.0,</w:t>
            </w:r>
            <w:r>
              <w:rPr>
                <w:spacing w:val="-5"/>
                <w:sz w:val="20"/>
              </w:rPr>
              <w:t> </w:t>
            </w:r>
            <w:r>
              <w:rPr>
                <w:spacing w:val="-2"/>
                <w:sz w:val="20"/>
              </w:rPr>
              <w:t>F12.1,</w:t>
            </w:r>
          </w:p>
          <w:p>
            <w:pPr>
              <w:pStyle w:val="TableParagraph"/>
              <w:spacing w:before="1"/>
              <w:ind w:left="265"/>
              <w:rPr>
                <w:sz w:val="20"/>
              </w:rPr>
            </w:pPr>
            <w:r>
              <w:rPr>
                <w:sz w:val="20"/>
              </w:rPr>
              <w:t>F12.2,</w:t>
            </w:r>
            <w:r>
              <w:rPr>
                <w:spacing w:val="-6"/>
                <w:sz w:val="20"/>
              </w:rPr>
              <w:t> </w:t>
            </w:r>
            <w:r>
              <w:rPr>
                <w:sz w:val="20"/>
              </w:rPr>
              <w:t>F12.3,</w:t>
            </w:r>
            <w:r>
              <w:rPr>
                <w:spacing w:val="-5"/>
                <w:sz w:val="20"/>
              </w:rPr>
              <w:t> </w:t>
            </w:r>
            <w:r>
              <w:rPr>
                <w:sz w:val="20"/>
              </w:rPr>
              <w:t>F12.4,</w:t>
            </w:r>
            <w:r>
              <w:rPr>
                <w:spacing w:val="-5"/>
                <w:sz w:val="20"/>
              </w:rPr>
              <w:t> </w:t>
            </w:r>
            <w:r>
              <w:rPr>
                <w:sz w:val="20"/>
              </w:rPr>
              <w:t>F12.5,</w:t>
            </w:r>
            <w:r>
              <w:rPr>
                <w:spacing w:val="-7"/>
                <w:sz w:val="20"/>
              </w:rPr>
              <w:t> </w:t>
            </w:r>
            <w:r>
              <w:rPr>
                <w:sz w:val="20"/>
              </w:rPr>
              <w:t>F12.6,</w:t>
            </w:r>
            <w:r>
              <w:rPr>
                <w:spacing w:val="-5"/>
                <w:sz w:val="20"/>
              </w:rPr>
              <w:t> </w:t>
            </w:r>
            <w:r>
              <w:rPr>
                <w:sz w:val="20"/>
              </w:rPr>
              <w:t>F12.7,</w:t>
            </w:r>
            <w:r>
              <w:rPr>
                <w:spacing w:val="-5"/>
                <w:sz w:val="20"/>
              </w:rPr>
              <w:t> </w:t>
            </w:r>
            <w:r>
              <w:rPr>
                <w:spacing w:val="-2"/>
                <w:sz w:val="20"/>
              </w:rPr>
              <w:t>F12.8,</w:t>
            </w:r>
          </w:p>
          <w:p>
            <w:pPr>
              <w:pStyle w:val="TableParagraph"/>
              <w:spacing w:line="229" w:lineRule="exact"/>
              <w:ind w:left="340"/>
              <w:rPr>
                <w:sz w:val="20"/>
              </w:rPr>
            </w:pPr>
            <w:r>
              <w:rPr>
                <w:sz w:val="20"/>
              </w:rPr>
              <w:t>F12.9,</w:t>
            </w:r>
            <w:r>
              <w:rPr>
                <w:spacing w:val="-6"/>
                <w:sz w:val="20"/>
              </w:rPr>
              <w:t> </w:t>
            </w:r>
            <w:r>
              <w:rPr>
                <w:sz w:val="20"/>
              </w:rPr>
              <w:t>F13,</w:t>
            </w:r>
            <w:r>
              <w:rPr>
                <w:spacing w:val="-6"/>
                <w:sz w:val="20"/>
              </w:rPr>
              <w:t> </w:t>
            </w:r>
            <w:r>
              <w:rPr>
                <w:sz w:val="20"/>
              </w:rPr>
              <w:t>F13.0,</w:t>
            </w:r>
            <w:r>
              <w:rPr>
                <w:spacing w:val="-5"/>
                <w:sz w:val="20"/>
              </w:rPr>
              <w:t> </w:t>
            </w:r>
            <w:r>
              <w:rPr>
                <w:sz w:val="20"/>
              </w:rPr>
              <w:t>F13.1,</w:t>
            </w:r>
            <w:r>
              <w:rPr>
                <w:spacing w:val="-6"/>
                <w:sz w:val="20"/>
              </w:rPr>
              <w:t> </w:t>
            </w:r>
            <w:r>
              <w:rPr>
                <w:sz w:val="20"/>
              </w:rPr>
              <w:t>F13.2,</w:t>
            </w:r>
            <w:r>
              <w:rPr>
                <w:spacing w:val="-5"/>
                <w:sz w:val="20"/>
              </w:rPr>
              <w:t> </w:t>
            </w:r>
            <w:r>
              <w:rPr>
                <w:sz w:val="20"/>
              </w:rPr>
              <w:t>F13.3,</w:t>
            </w:r>
            <w:r>
              <w:rPr>
                <w:spacing w:val="-6"/>
                <w:sz w:val="20"/>
              </w:rPr>
              <w:t> </w:t>
            </w:r>
            <w:r>
              <w:rPr>
                <w:spacing w:val="-2"/>
                <w:sz w:val="20"/>
              </w:rPr>
              <w:t>F13.4,</w:t>
            </w:r>
          </w:p>
          <w:p>
            <w:pPr>
              <w:pStyle w:val="TableParagraph"/>
              <w:spacing w:line="229" w:lineRule="exact"/>
              <w:ind w:left="340"/>
              <w:rPr>
                <w:sz w:val="20"/>
              </w:rPr>
            </w:pPr>
            <w:r>
              <w:rPr>
                <w:sz w:val="20"/>
              </w:rPr>
              <w:t>F13.5,</w:t>
            </w:r>
            <w:r>
              <w:rPr>
                <w:spacing w:val="-5"/>
                <w:sz w:val="20"/>
              </w:rPr>
              <w:t> </w:t>
            </w:r>
            <w:r>
              <w:rPr>
                <w:sz w:val="20"/>
              </w:rPr>
              <w:t>F13.6,</w:t>
            </w:r>
            <w:r>
              <w:rPr>
                <w:spacing w:val="-5"/>
                <w:sz w:val="20"/>
              </w:rPr>
              <w:t> </w:t>
            </w:r>
            <w:r>
              <w:rPr>
                <w:sz w:val="20"/>
              </w:rPr>
              <w:t>F13.7,</w:t>
            </w:r>
            <w:r>
              <w:rPr>
                <w:spacing w:val="-5"/>
                <w:sz w:val="20"/>
              </w:rPr>
              <w:t> </w:t>
            </w:r>
            <w:r>
              <w:rPr>
                <w:sz w:val="20"/>
              </w:rPr>
              <w:t>F13.8,</w:t>
            </w:r>
            <w:r>
              <w:rPr>
                <w:spacing w:val="-6"/>
                <w:sz w:val="20"/>
              </w:rPr>
              <w:t> </w:t>
            </w:r>
            <w:r>
              <w:rPr>
                <w:sz w:val="20"/>
              </w:rPr>
              <w:t>F13.9,</w:t>
            </w:r>
            <w:r>
              <w:rPr>
                <w:spacing w:val="-5"/>
                <w:sz w:val="20"/>
              </w:rPr>
              <w:t> </w:t>
            </w:r>
            <w:r>
              <w:rPr>
                <w:sz w:val="20"/>
              </w:rPr>
              <w:t>F14,</w:t>
            </w:r>
            <w:r>
              <w:rPr>
                <w:spacing w:val="-5"/>
                <w:sz w:val="20"/>
              </w:rPr>
              <w:t> </w:t>
            </w:r>
            <w:r>
              <w:rPr>
                <w:spacing w:val="-2"/>
                <w:sz w:val="20"/>
              </w:rPr>
              <w:t>F14.0,</w:t>
            </w:r>
          </w:p>
          <w:p>
            <w:pPr>
              <w:pStyle w:val="TableParagraph"/>
              <w:spacing w:before="1"/>
              <w:ind w:left="265"/>
              <w:rPr>
                <w:sz w:val="20"/>
              </w:rPr>
            </w:pPr>
            <w:r>
              <w:rPr>
                <w:sz w:val="20"/>
              </w:rPr>
              <w:t>F14.1,</w:t>
            </w:r>
            <w:r>
              <w:rPr>
                <w:spacing w:val="-6"/>
                <w:sz w:val="20"/>
              </w:rPr>
              <w:t> </w:t>
            </w:r>
            <w:r>
              <w:rPr>
                <w:sz w:val="20"/>
              </w:rPr>
              <w:t>F14.2,</w:t>
            </w:r>
            <w:r>
              <w:rPr>
                <w:spacing w:val="-5"/>
                <w:sz w:val="20"/>
              </w:rPr>
              <w:t> </w:t>
            </w:r>
            <w:r>
              <w:rPr>
                <w:sz w:val="20"/>
              </w:rPr>
              <w:t>F14.3,</w:t>
            </w:r>
            <w:r>
              <w:rPr>
                <w:spacing w:val="-5"/>
                <w:sz w:val="20"/>
              </w:rPr>
              <w:t> </w:t>
            </w:r>
            <w:r>
              <w:rPr>
                <w:sz w:val="20"/>
              </w:rPr>
              <w:t>F14.4,</w:t>
            </w:r>
            <w:r>
              <w:rPr>
                <w:spacing w:val="-7"/>
                <w:sz w:val="20"/>
              </w:rPr>
              <w:t> </w:t>
            </w:r>
            <w:r>
              <w:rPr>
                <w:sz w:val="20"/>
              </w:rPr>
              <w:t>F14.5,</w:t>
            </w:r>
            <w:r>
              <w:rPr>
                <w:spacing w:val="-5"/>
                <w:sz w:val="20"/>
              </w:rPr>
              <w:t> </w:t>
            </w:r>
            <w:r>
              <w:rPr>
                <w:sz w:val="20"/>
              </w:rPr>
              <w:t>F14.6,</w:t>
            </w:r>
            <w:r>
              <w:rPr>
                <w:spacing w:val="-5"/>
                <w:sz w:val="20"/>
              </w:rPr>
              <w:t> </w:t>
            </w:r>
            <w:r>
              <w:rPr>
                <w:spacing w:val="-2"/>
                <w:sz w:val="20"/>
              </w:rPr>
              <w:t>F14.7,</w:t>
            </w:r>
          </w:p>
          <w:p>
            <w:pPr>
              <w:pStyle w:val="TableParagraph"/>
              <w:ind w:left="340"/>
              <w:rPr>
                <w:sz w:val="20"/>
              </w:rPr>
            </w:pPr>
            <w:r>
              <w:rPr>
                <w:sz w:val="20"/>
              </w:rPr>
              <w:t>F14.8,</w:t>
            </w:r>
            <w:r>
              <w:rPr>
                <w:spacing w:val="-6"/>
                <w:sz w:val="20"/>
              </w:rPr>
              <w:t> </w:t>
            </w:r>
            <w:r>
              <w:rPr>
                <w:sz w:val="20"/>
              </w:rPr>
              <w:t>F14.9,</w:t>
            </w:r>
            <w:r>
              <w:rPr>
                <w:spacing w:val="-6"/>
                <w:sz w:val="20"/>
              </w:rPr>
              <w:t> </w:t>
            </w:r>
            <w:r>
              <w:rPr>
                <w:sz w:val="20"/>
              </w:rPr>
              <w:t>F15,</w:t>
            </w:r>
            <w:r>
              <w:rPr>
                <w:spacing w:val="-5"/>
                <w:sz w:val="20"/>
              </w:rPr>
              <w:t> </w:t>
            </w:r>
            <w:r>
              <w:rPr>
                <w:sz w:val="20"/>
              </w:rPr>
              <w:t>F15.0,</w:t>
            </w:r>
            <w:r>
              <w:rPr>
                <w:spacing w:val="-6"/>
                <w:sz w:val="20"/>
              </w:rPr>
              <w:t> </w:t>
            </w:r>
            <w:r>
              <w:rPr>
                <w:sz w:val="20"/>
              </w:rPr>
              <w:t>F15.1,</w:t>
            </w:r>
            <w:r>
              <w:rPr>
                <w:spacing w:val="-5"/>
                <w:sz w:val="20"/>
              </w:rPr>
              <w:t> </w:t>
            </w:r>
            <w:r>
              <w:rPr>
                <w:sz w:val="20"/>
              </w:rPr>
              <w:t>F15.2,</w:t>
            </w:r>
            <w:r>
              <w:rPr>
                <w:spacing w:val="-6"/>
                <w:sz w:val="20"/>
              </w:rPr>
              <w:t> </w:t>
            </w:r>
            <w:r>
              <w:rPr>
                <w:spacing w:val="-2"/>
                <w:sz w:val="20"/>
              </w:rPr>
              <w:t>F15.3,</w:t>
            </w:r>
          </w:p>
          <w:p>
            <w:pPr>
              <w:pStyle w:val="TableParagraph"/>
              <w:spacing w:before="1"/>
              <w:ind w:left="340"/>
              <w:rPr>
                <w:sz w:val="20"/>
              </w:rPr>
            </w:pPr>
            <w:r>
              <w:rPr>
                <w:sz w:val="20"/>
              </w:rPr>
              <w:t>F15.4,</w:t>
            </w:r>
            <w:r>
              <w:rPr>
                <w:spacing w:val="-6"/>
                <w:sz w:val="20"/>
              </w:rPr>
              <w:t> </w:t>
            </w:r>
            <w:r>
              <w:rPr>
                <w:sz w:val="20"/>
              </w:rPr>
              <w:t>F15.5,</w:t>
            </w:r>
            <w:r>
              <w:rPr>
                <w:spacing w:val="-5"/>
                <w:sz w:val="20"/>
              </w:rPr>
              <w:t> </w:t>
            </w:r>
            <w:r>
              <w:rPr>
                <w:sz w:val="20"/>
              </w:rPr>
              <w:t>F15.6,</w:t>
            </w:r>
            <w:r>
              <w:rPr>
                <w:spacing w:val="-5"/>
                <w:sz w:val="20"/>
              </w:rPr>
              <w:t> </w:t>
            </w:r>
            <w:r>
              <w:rPr>
                <w:sz w:val="20"/>
              </w:rPr>
              <w:t>F15.7,</w:t>
            </w:r>
            <w:r>
              <w:rPr>
                <w:spacing w:val="-7"/>
                <w:sz w:val="20"/>
              </w:rPr>
              <w:t> </w:t>
            </w:r>
            <w:r>
              <w:rPr>
                <w:sz w:val="20"/>
              </w:rPr>
              <w:t>F15.8,</w:t>
            </w:r>
            <w:r>
              <w:rPr>
                <w:spacing w:val="-5"/>
                <w:sz w:val="20"/>
              </w:rPr>
              <w:t> </w:t>
            </w:r>
            <w:r>
              <w:rPr>
                <w:sz w:val="20"/>
              </w:rPr>
              <w:t>F15.9,</w:t>
            </w:r>
            <w:r>
              <w:rPr>
                <w:spacing w:val="-5"/>
                <w:sz w:val="20"/>
              </w:rPr>
              <w:t> </w:t>
            </w:r>
            <w:r>
              <w:rPr>
                <w:spacing w:val="-4"/>
                <w:sz w:val="20"/>
              </w:rPr>
              <w:t>F16,</w:t>
            </w:r>
          </w:p>
          <w:p>
            <w:pPr>
              <w:pStyle w:val="TableParagraph"/>
              <w:spacing w:line="229" w:lineRule="exact"/>
              <w:ind w:left="265"/>
              <w:rPr>
                <w:sz w:val="20"/>
              </w:rPr>
            </w:pPr>
            <w:r>
              <w:rPr>
                <w:sz w:val="20"/>
              </w:rPr>
              <w:t>F16.0,</w:t>
            </w:r>
            <w:r>
              <w:rPr>
                <w:spacing w:val="-6"/>
                <w:sz w:val="20"/>
              </w:rPr>
              <w:t> </w:t>
            </w:r>
            <w:r>
              <w:rPr>
                <w:sz w:val="20"/>
              </w:rPr>
              <w:t>F16.1,</w:t>
            </w:r>
            <w:r>
              <w:rPr>
                <w:spacing w:val="-5"/>
                <w:sz w:val="20"/>
              </w:rPr>
              <w:t> </w:t>
            </w:r>
            <w:r>
              <w:rPr>
                <w:sz w:val="20"/>
              </w:rPr>
              <w:t>F16.2,</w:t>
            </w:r>
            <w:r>
              <w:rPr>
                <w:spacing w:val="-5"/>
                <w:sz w:val="20"/>
              </w:rPr>
              <w:t> </w:t>
            </w:r>
            <w:r>
              <w:rPr>
                <w:sz w:val="20"/>
              </w:rPr>
              <w:t>F16.3,</w:t>
            </w:r>
            <w:r>
              <w:rPr>
                <w:spacing w:val="-7"/>
                <w:sz w:val="20"/>
              </w:rPr>
              <w:t> </w:t>
            </w:r>
            <w:r>
              <w:rPr>
                <w:sz w:val="20"/>
              </w:rPr>
              <w:t>F16.4,</w:t>
            </w:r>
            <w:r>
              <w:rPr>
                <w:spacing w:val="-5"/>
                <w:sz w:val="20"/>
              </w:rPr>
              <w:t> </w:t>
            </w:r>
            <w:r>
              <w:rPr>
                <w:sz w:val="20"/>
              </w:rPr>
              <w:t>F16.5,</w:t>
            </w:r>
            <w:r>
              <w:rPr>
                <w:spacing w:val="-5"/>
                <w:sz w:val="20"/>
              </w:rPr>
              <w:t> </w:t>
            </w:r>
            <w:r>
              <w:rPr>
                <w:spacing w:val="-2"/>
                <w:sz w:val="20"/>
              </w:rPr>
              <w:t>F16.6,</w:t>
            </w:r>
          </w:p>
          <w:p>
            <w:pPr>
              <w:pStyle w:val="TableParagraph"/>
              <w:spacing w:line="229" w:lineRule="exact"/>
              <w:ind w:left="340"/>
              <w:rPr>
                <w:sz w:val="20"/>
              </w:rPr>
            </w:pPr>
            <w:r>
              <w:rPr>
                <w:sz w:val="20"/>
              </w:rPr>
              <w:t>F16.7,</w:t>
            </w:r>
            <w:r>
              <w:rPr>
                <w:spacing w:val="-6"/>
                <w:sz w:val="20"/>
              </w:rPr>
              <w:t> </w:t>
            </w:r>
            <w:r>
              <w:rPr>
                <w:sz w:val="20"/>
              </w:rPr>
              <w:t>F16.8,</w:t>
            </w:r>
            <w:r>
              <w:rPr>
                <w:spacing w:val="-5"/>
                <w:sz w:val="20"/>
              </w:rPr>
              <w:t> </w:t>
            </w:r>
            <w:r>
              <w:rPr>
                <w:sz w:val="20"/>
              </w:rPr>
              <w:t>F16.9,</w:t>
            </w:r>
            <w:r>
              <w:rPr>
                <w:spacing w:val="-6"/>
                <w:sz w:val="20"/>
              </w:rPr>
              <w:t> </w:t>
            </w:r>
            <w:r>
              <w:rPr>
                <w:sz w:val="20"/>
              </w:rPr>
              <w:t>F17,</w:t>
            </w:r>
            <w:r>
              <w:rPr>
                <w:spacing w:val="-5"/>
                <w:sz w:val="20"/>
              </w:rPr>
              <w:t> </w:t>
            </w:r>
            <w:r>
              <w:rPr>
                <w:sz w:val="20"/>
              </w:rPr>
              <w:t>F17.0,</w:t>
            </w:r>
            <w:r>
              <w:rPr>
                <w:spacing w:val="-1"/>
                <w:sz w:val="20"/>
              </w:rPr>
              <w:t> </w:t>
            </w:r>
            <w:r>
              <w:rPr>
                <w:sz w:val="20"/>
              </w:rPr>
              <w:t>F17.1,</w:t>
            </w:r>
            <w:r>
              <w:rPr>
                <w:spacing w:val="-6"/>
                <w:sz w:val="20"/>
              </w:rPr>
              <w:t> </w:t>
            </w:r>
            <w:r>
              <w:rPr>
                <w:spacing w:val="-2"/>
                <w:sz w:val="20"/>
              </w:rPr>
              <w:t>F17.2,</w:t>
            </w:r>
          </w:p>
          <w:p>
            <w:pPr>
              <w:pStyle w:val="TableParagraph"/>
              <w:spacing w:before="1"/>
              <w:ind w:left="265"/>
              <w:rPr>
                <w:sz w:val="20"/>
              </w:rPr>
            </w:pPr>
            <w:r>
              <w:rPr>
                <w:sz w:val="20"/>
              </w:rPr>
              <w:t>F17.3,</w:t>
            </w:r>
            <w:r>
              <w:rPr>
                <w:spacing w:val="-6"/>
                <w:sz w:val="20"/>
              </w:rPr>
              <w:t> </w:t>
            </w:r>
            <w:r>
              <w:rPr>
                <w:sz w:val="20"/>
              </w:rPr>
              <w:t>F17.4,</w:t>
            </w:r>
            <w:r>
              <w:rPr>
                <w:spacing w:val="-5"/>
                <w:sz w:val="20"/>
              </w:rPr>
              <w:t> </w:t>
            </w:r>
            <w:r>
              <w:rPr>
                <w:sz w:val="20"/>
              </w:rPr>
              <w:t>F17.5,</w:t>
            </w:r>
            <w:r>
              <w:rPr>
                <w:spacing w:val="-5"/>
                <w:sz w:val="20"/>
              </w:rPr>
              <w:t> </w:t>
            </w:r>
            <w:r>
              <w:rPr>
                <w:sz w:val="20"/>
              </w:rPr>
              <w:t>F17.6,</w:t>
            </w:r>
            <w:r>
              <w:rPr>
                <w:spacing w:val="-7"/>
                <w:sz w:val="20"/>
              </w:rPr>
              <w:t> </w:t>
            </w:r>
            <w:r>
              <w:rPr>
                <w:sz w:val="20"/>
              </w:rPr>
              <w:t>F17.7,</w:t>
            </w:r>
            <w:r>
              <w:rPr>
                <w:spacing w:val="-5"/>
                <w:sz w:val="20"/>
              </w:rPr>
              <w:t> </w:t>
            </w:r>
            <w:r>
              <w:rPr>
                <w:sz w:val="20"/>
              </w:rPr>
              <w:t>F17.8,</w:t>
            </w:r>
            <w:r>
              <w:rPr>
                <w:spacing w:val="-5"/>
                <w:sz w:val="20"/>
              </w:rPr>
              <w:t> </w:t>
            </w:r>
            <w:r>
              <w:rPr>
                <w:spacing w:val="-2"/>
                <w:sz w:val="20"/>
              </w:rPr>
              <w:t>F17.9,</w:t>
            </w:r>
          </w:p>
          <w:p>
            <w:pPr>
              <w:pStyle w:val="TableParagraph"/>
              <w:ind w:left="340"/>
              <w:rPr>
                <w:sz w:val="20"/>
              </w:rPr>
            </w:pPr>
            <w:r>
              <w:rPr>
                <w:sz w:val="20"/>
              </w:rPr>
              <w:t>F18,</w:t>
            </w:r>
            <w:r>
              <w:rPr>
                <w:spacing w:val="-6"/>
                <w:sz w:val="20"/>
              </w:rPr>
              <w:t> </w:t>
            </w:r>
            <w:r>
              <w:rPr>
                <w:sz w:val="20"/>
              </w:rPr>
              <w:t>F18.0,</w:t>
            </w:r>
            <w:r>
              <w:rPr>
                <w:spacing w:val="-6"/>
                <w:sz w:val="20"/>
              </w:rPr>
              <w:t> </w:t>
            </w:r>
            <w:r>
              <w:rPr>
                <w:sz w:val="20"/>
              </w:rPr>
              <w:t>F18.1,</w:t>
            </w:r>
            <w:r>
              <w:rPr>
                <w:spacing w:val="-5"/>
                <w:sz w:val="20"/>
              </w:rPr>
              <w:t> </w:t>
            </w:r>
            <w:r>
              <w:rPr>
                <w:sz w:val="20"/>
              </w:rPr>
              <w:t>F18.2,</w:t>
            </w:r>
            <w:r>
              <w:rPr>
                <w:spacing w:val="-6"/>
                <w:sz w:val="20"/>
              </w:rPr>
              <w:t> </w:t>
            </w:r>
            <w:r>
              <w:rPr>
                <w:sz w:val="20"/>
              </w:rPr>
              <w:t>F18.3,</w:t>
            </w:r>
            <w:r>
              <w:rPr>
                <w:spacing w:val="-5"/>
                <w:sz w:val="20"/>
              </w:rPr>
              <w:t> </w:t>
            </w:r>
            <w:r>
              <w:rPr>
                <w:sz w:val="20"/>
              </w:rPr>
              <w:t>F18.4,</w:t>
            </w:r>
            <w:r>
              <w:rPr>
                <w:spacing w:val="-6"/>
                <w:sz w:val="20"/>
              </w:rPr>
              <w:t> </w:t>
            </w:r>
            <w:r>
              <w:rPr>
                <w:spacing w:val="-2"/>
                <w:sz w:val="20"/>
              </w:rPr>
              <w:t>F18.5,</w:t>
            </w:r>
          </w:p>
          <w:p>
            <w:pPr>
              <w:pStyle w:val="TableParagraph"/>
              <w:ind w:left="340"/>
              <w:rPr>
                <w:sz w:val="20"/>
              </w:rPr>
            </w:pPr>
            <w:r>
              <w:rPr>
                <w:sz w:val="20"/>
              </w:rPr>
              <w:t>F18.6,</w:t>
            </w:r>
            <w:r>
              <w:rPr>
                <w:spacing w:val="-6"/>
                <w:sz w:val="20"/>
              </w:rPr>
              <w:t> </w:t>
            </w:r>
            <w:r>
              <w:rPr>
                <w:sz w:val="20"/>
              </w:rPr>
              <w:t>F18.7,</w:t>
            </w:r>
            <w:r>
              <w:rPr>
                <w:spacing w:val="-5"/>
                <w:sz w:val="20"/>
              </w:rPr>
              <w:t> </w:t>
            </w:r>
            <w:r>
              <w:rPr>
                <w:sz w:val="20"/>
              </w:rPr>
              <w:t>F18.8,</w:t>
            </w:r>
            <w:r>
              <w:rPr>
                <w:spacing w:val="-5"/>
                <w:sz w:val="20"/>
              </w:rPr>
              <w:t> </w:t>
            </w:r>
            <w:r>
              <w:rPr>
                <w:sz w:val="20"/>
              </w:rPr>
              <w:t>F18.9,</w:t>
            </w:r>
            <w:r>
              <w:rPr>
                <w:spacing w:val="-7"/>
                <w:sz w:val="20"/>
              </w:rPr>
              <w:t> </w:t>
            </w:r>
            <w:r>
              <w:rPr>
                <w:sz w:val="20"/>
              </w:rPr>
              <w:t>F19,</w:t>
            </w:r>
            <w:r>
              <w:rPr>
                <w:spacing w:val="-5"/>
                <w:sz w:val="20"/>
              </w:rPr>
              <w:t> </w:t>
            </w:r>
            <w:r>
              <w:rPr>
                <w:sz w:val="20"/>
              </w:rPr>
              <w:t>F19.0,</w:t>
            </w:r>
            <w:r>
              <w:rPr>
                <w:spacing w:val="-5"/>
                <w:sz w:val="20"/>
              </w:rPr>
              <w:t> </w:t>
            </w:r>
            <w:r>
              <w:rPr>
                <w:spacing w:val="-2"/>
                <w:sz w:val="20"/>
              </w:rPr>
              <w:t>F19.1,</w:t>
            </w:r>
          </w:p>
          <w:p>
            <w:pPr>
              <w:pStyle w:val="TableParagraph"/>
              <w:spacing w:before="1"/>
              <w:ind w:left="265"/>
              <w:rPr>
                <w:sz w:val="20"/>
              </w:rPr>
            </w:pPr>
            <w:r>
              <w:rPr>
                <w:sz w:val="20"/>
              </w:rPr>
              <w:t>F19.2,</w:t>
            </w:r>
            <w:r>
              <w:rPr>
                <w:spacing w:val="-6"/>
                <w:sz w:val="20"/>
              </w:rPr>
              <w:t> </w:t>
            </w:r>
            <w:r>
              <w:rPr>
                <w:sz w:val="20"/>
              </w:rPr>
              <w:t>F19.3,</w:t>
            </w:r>
            <w:r>
              <w:rPr>
                <w:spacing w:val="-5"/>
                <w:sz w:val="20"/>
              </w:rPr>
              <w:t> </w:t>
            </w:r>
            <w:r>
              <w:rPr>
                <w:sz w:val="20"/>
              </w:rPr>
              <w:t>F19.4,</w:t>
            </w:r>
            <w:r>
              <w:rPr>
                <w:spacing w:val="-5"/>
                <w:sz w:val="20"/>
              </w:rPr>
              <w:t> </w:t>
            </w:r>
            <w:r>
              <w:rPr>
                <w:sz w:val="20"/>
              </w:rPr>
              <w:t>F19.5,</w:t>
            </w:r>
            <w:r>
              <w:rPr>
                <w:spacing w:val="-7"/>
                <w:sz w:val="20"/>
              </w:rPr>
              <w:t> </w:t>
            </w:r>
            <w:r>
              <w:rPr>
                <w:sz w:val="20"/>
              </w:rPr>
              <w:t>F19.6,</w:t>
            </w:r>
            <w:r>
              <w:rPr>
                <w:spacing w:val="-5"/>
                <w:sz w:val="20"/>
              </w:rPr>
              <w:t> </w:t>
            </w:r>
            <w:r>
              <w:rPr>
                <w:sz w:val="20"/>
              </w:rPr>
              <w:t>F19.7,</w:t>
            </w:r>
            <w:r>
              <w:rPr>
                <w:spacing w:val="-5"/>
                <w:sz w:val="20"/>
              </w:rPr>
              <w:t> </w:t>
            </w:r>
            <w:r>
              <w:rPr>
                <w:spacing w:val="-2"/>
                <w:sz w:val="20"/>
              </w:rPr>
              <w:t>F19.8,</w:t>
            </w:r>
          </w:p>
          <w:p>
            <w:pPr>
              <w:pStyle w:val="TableParagraph"/>
              <w:spacing w:line="229" w:lineRule="exact" w:before="1"/>
              <w:ind w:left="340"/>
              <w:rPr>
                <w:sz w:val="20"/>
              </w:rPr>
            </w:pPr>
            <w:r>
              <w:rPr>
                <w:sz w:val="20"/>
              </w:rPr>
              <w:t>F19.9,</w:t>
            </w:r>
            <w:r>
              <w:rPr>
                <w:spacing w:val="-6"/>
                <w:sz w:val="20"/>
              </w:rPr>
              <w:t> </w:t>
            </w:r>
            <w:r>
              <w:rPr>
                <w:sz w:val="20"/>
              </w:rPr>
              <w:t>F20,</w:t>
            </w:r>
            <w:r>
              <w:rPr>
                <w:spacing w:val="-6"/>
                <w:sz w:val="20"/>
              </w:rPr>
              <w:t> </w:t>
            </w:r>
            <w:r>
              <w:rPr>
                <w:sz w:val="20"/>
              </w:rPr>
              <w:t>F20.0,</w:t>
            </w:r>
            <w:r>
              <w:rPr>
                <w:spacing w:val="-5"/>
                <w:sz w:val="20"/>
              </w:rPr>
              <w:t> </w:t>
            </w:r>
            <w:r>
              <w:rPr>
                <w:sz w:val="20"/>
              </w:rPr>
              <w:t>F20.1,</w:t>
            </w:r>
            <w:r>
              <w:rPr>
                <w:spacing w:val="-6"/>
                <w:sz w:val="20"/>
              </w:rPr>
              <w:t> </w:t>
            </w:r>
            <w:r>
              <w:rPr>
                <w:sz w:val="20"/>
              </w:rPr>
              <w:t>F20.2,</w:t>
            </w:r>
            <w:r>
              <w:rPr>
                <w:spacing w:val="-5"/>
                <w:sz w:val="20"/>
              </w:rPr>
              <w:t> </w:t>
            </w:r>
            <w:r>
              <w:rPr>
                <w:sz w:val="20"/>
              </w:rPr>
              <w:t>F20.3,</w:t>
            </w:r>
            <w:r>
              <w:rPr>
                <w:spacing w:val="-6"/>
                <w:sz w:val="20"/>
              </w:rPr>
              <w:t> </w:t>
            </w:r>
            <w:r>
              <w:rPr>
                <w:spacing w:val="-2"/>
                <w:sz w:val="20"/>
              </w:rPr>
              <w:t>F20.4,</w:t>
            </w:r>
          </w:p>
          <w:p>
            <w:pPr>
              <w:pStyle w:val="TableParagraph"/>
              <w:spacing w:line="229" w:lineRule="exact"/>
              <w:ind w:left="208" w:right="49"/>
              <w:jc w:val="center"/>
              <w:rPr>
                <w:sz w:val="20"/>
              </w:rPr>
            </w:pPr>
            <w:r>
              <w:rPr>
                <w:sz w:val="20"/>
              </w:rPr>
              <w:t>F20.5,</w:t>
            </w:r>
            <w:r>
              <w:rPr>
                <w:spacing w:val="-5"/>
                <w:sz w:val="20"/>
              </w:rPr>
              <w:t> </w:t>
            </w:r>
            <w:r>
              <w:rPr>
                <w:sz w:val="20"/>
              </w:rPr>
              <w:t>F20.6,</w:t>
            </w:r>
            <w:r>
              <w:rPr>
                <w:spacing w:val="-4"/>
                <w:sz w:val="20"/>
              </w:rPr>
              <w:t> </w:t>
            </w:r>
            <w:r>
              <w:rPr>
                <w:sz w:val="20"/>
              </w:rPr>
              <w:t>F20.8,</w:t>
            </w:r>
            <w:r>
              <w:rPr>
                <w:spacing w:val="-5"/>
                <w:sz w:val="20"/>
              </w:rPr>
              <w:t> </w:t>
            </w:r>
            <w:r>
              <w:rPr>
                <w:sz w:val="20"/>
              </w:rPr>
              <w:t>F20.9,</w:t>
            </w:r>
            <w:r>
              <w:rPr>
                <w:spacing w:val="-6"/>
                <w:sz w:val="20"/>
              </w:rPr>
              <w:t> </w:t>
            </w:r>
            <w:r>
              <w:rPr>
                <w:sz w:val="20"/>
              </w:rPr>
              <w:t>F21,</w:t>
            </w:r>
            <w:r>
              <w:rPr>
                <w:spacing w:val="-5"/>
                <w:sz w:val="20"/>
              </w:rPr>
              <w:t> </w:t>
            </w:r>
            <w:r>
              <w:rPr>
                <w:sz w:val="20"/>
              </w:rPr>
              <w:t>F22,</w:t>
            </w:r>
            <w:r>
              <w:rPr>
                <w:spacing w:val="-4"/>
                <w:sz w:val="20"/>
              </w:rPr>
              <w:t> </w:t>
            </w:r>
            <w:r>
              <w:rPr>
                <w:spacing w:val="-2"/>
                <w:sz w:val="20"/>
              </w:rPr>
              <w:t>F22.0,</w:t>
            </w:r>
          </w:p>
          <w:p>
            <w:pPr>
              <w:pStyle w:val="TableParagraph"/>
              <w:ind w:left="208" w:right="50"/>
              <w:jc w:val="center"/>
              <w:rPr>
                <w:sz w:val="20"/>
              </w:rPr>
            </w:pPr>
            <w:r>
              <w:rPr>
                <w:sz w:val="20"/>
              </w:rPr>
              <w:t>F22.8,</w:t>
            </w:r>
            <w:r>
              <w:rPr>
                <w:spacing w:val="-6"/>
                <w:sz w:val="20"/>
              </w:rPr>
              <w:t> </w:t>
            </w:r>
            <w:r>
              <w:rPr>
                <w:sz w:val="20"/>
              </w:rPr>
              <w:t>F22.9,</w:t>
            </w:r>
            <w:r>
              <w:rPr>
                <w:spacing w:val="-6"/>
                <w:sz w:val="20"/>
              </w:rPr>
              <w:t> </w:t>
            </w:r>
            <w:r>
              <w:rPr>
                <w:sz w:val="20"/>
              </w:rPr>
              <w:t>F23,</w:t>
            </w:r>
            <w:r>
              <w:rPr>
                <w:spacing w:val="-5"/>
                <w:sz w:val="20"/>
              </w:rPr>
              <w:t> </w:t>
            </w:r>
            <w:r>
              <w:rPr>
                <w:sz w:val="20"/>
              </w:rPr>
              <w:t>F23.0,</w:t>
            </w:r>
            <w:r>
              <w:rPr>
                <w:spacing w:val="-6"/>
                <w:sz w:val="20"/>
              </w:rPr>
              <w:t> </w:t>
            </w:r>
            <w:r>
              <w:rPr>
                <w:sz w:val="20"/>
              </w:rPr>
              <w:t>F23.1,</w:t>
            </w:r>
            <w:r>
              <w:rPr>
                <w:spacing w:val="-5"/>
                <w:sz w:val="20"/>
              </w:rPr>
              <w:t> </w:t>
            </w:r>
            <w:r>
              <w:rPr>
                <w:sz w:val="20"/>
              </w:rPr>
              <w:t>F23.2,</w:t>
            </w:r>
            <w:r>
              <w:rPr>
                <w:spacing w:val="-6"/>
                <w:sz w:val="20"/>
              </w:rPr>
              <w:t> </w:t>
            </w:r>
            <w:r>
              <w:rPr>
                <w:spacing w:val="-2"/>
                <w:sz w:val="20"/>
              </w:rPr>
              <w:t>F23.3,</w:t>
            </w:r>
          </w:p>
          <w:p>
            <w:pPr>
              <w:pStyle w:val="TableParagraph"/>
              <w:spacing w:before="1"/>
              <w:ind w:left="208" w:right="49"/>
              <w:jc w:val="center"/>
              <w:rPr>
                <w:sz w:val="20"/>
              </w:rPr>
            </w:pPr>
            <w:r>
              <w:rPr>
                <w:sz w:val="20"/>
              </w:rPr>
              <w:t>F23.8,</w:t>
            </w:r>
            <w:r>
              <w:rPr>
                <w:spacing w:val="-5"/>
                <w:sz w:val="20"/>
              </w:rPr>
              <w:t> </w:t>
            </w:r>
            <w:r>
              <w:rPr>
                <w:sz w:val="20"/>
              </w:rPr>
              <w:t>F23.9,</w:t>
            </w:r>
            <w:r>
              <w:rPr>
                <w:spacing w:val="-4"/>
                <w:sz w:val="20"/>
              </w:rPr>
              <w:t> </w:t>
            </w:r>
            <w:r>
              <w:rPr>
                <w:sz w:val="20"/>
              </w:rPr>
              <w:t>F24,</w:t>
            </w:r>
            <w:r>
              <w:rPr>
                <w:spacing w:val="-5"/>
                <w:sz w:val="20"/>
              </w:rPr>
              <w:t> </w:t>
            </w:r>
            <w:r>
              <w:rPr>
                <w:sz w:val="20"/>
              </w:rPr>
              <w:t>F25,</w:t>
            </w:r>
            <w:r>
              <w:rPr>
                <w:spacing w:val="-6"/>
                <w:sz w:val="20"/>
              </w:rPr>
              <w:t> </w:t>
            </w:r>
            <w:r>
              <w:rPr>
                <w:sz w:val="20"/>
              </w:rPr>
              <w:t>F25.0,</w:t>
            </w:r>
            <w:r>
              <w:rPr>
                <w:spacing w:val="-6"/>
                <w:sz w:val="20"/>
              </w:rPr>
              <w:t> </w:t>
            </w:r>
            <w:r>
              <w:rPr>
                <w:sz w:val="20"/>
              </w:rPr>
              <w:t>F25.1,</w:t>
            </w:r>
            <w:r>
              <w:rPr>
                <w:spacing w:val="-4"/>
                <w:sz w:val="20"/>
              </w:rPr>
              <w:t> </w:t>
            </w:r>
            <w:r>
              <w:rPr>
                <w:spacing w:val="-2"/>
                <w:sz w:val="20"/>
              </w:rPr>
              <w:t>F25.2,</w:t>
            </w:r>
          </w:p>
          <w:p>
            <w:pPr>
              <w:pStyle w:val="TableParagraph"/>
              <w:ind w:left="208" w:right="50"/>
              <w:jc w:val="center"/>
              <w:rPr>
                <w:sz w:val="20"/>
              </w:rPr>
            </w:pPr>
            <w:r>
              <w:rPr>
                <w:sz w:val="20"/>
              </w:rPr>
              <w:t>F25.8,</w:t>
            </w:r>
            <w:r>
              <w:rPr>
                <w:spacing w:val="-5"/>
                <w:sz w:val="20"/>
              </w:rPr>
              <w:t> </w:t>
            </w:r>
            <w:r>
              <w:rPr>
                <w:sz w:val="20"/>
              </w:rPr>
              <w:t>F25.9,</w:t>
            </w:r>
            <w:r>
              <w:rPr>
                <w:spacing w:val="-4"/>
                <w:sz w:val="20"/>
              </w:rPr>
              <w:t> </w:t>
            </w:r>
            <w:r>
              <w:rPr>
                <w:sz w:val="20"/>
              </w:rPr>
              <w:t>F28,</w:t>
            </w:r>
            <w:r>
              <w:rPr>
                <w:spacing w:val="-4"/>
                <w:sz w:val="20"/>
              </w:rPr>
              <w:t> </w:t>
            </w:r>
            <w:r>
              <w:rPr>
                <w:sz w:val="20"/>
              </w:rPr>
              <w:t>F29,</w:t>
            </w:r>
            <w:r>
              <w:rPr>
                <w:spacing w:val="-6"/>
                <w:sz w:val="20"/>
              </w:rPr>
              <w:t> </w:t>
            </w:r>
            <w:r>
              <w:rPr>
                <w:sz w:val="20"/>
              </w:rPr>
              <w:t>F30,</w:t>
            </w:r>
            <w:r>
              <w:rPr>
                <w:spacing w:val="-6"/>
                <w:sz w:val="20"/>
              </w:rPr>
              <w:t> </w:t>
            </w:r>
            <w:r>
              <w:rPr>
                <w:sz w:val="20"/>
              </w:rPr>
              <w:t>F30.0,</w:t>
            </w:r>
            <w:r>
              <w:rPr>
                <w:spacing w:val="-4"/>
                <w:sz w:val="20"/>
              </w:rPr>
              <w:t> </w:t>
            </w:r>
            <w:r>
              <w:rPr>
                <w:sz w:val="20"/>
              </w:rPr>
              <w:t>F30.1,</w:t>
            </w:r>
            <w:r>
              <w:rPr>
                <w:spacing w:val="-4"/>
                <w:sz w:val="20"/>
              </w:rPr>
              <w:t> </w:t>
            </w:r>
            <w:r>
              <w:rPr>
                <w:spacing w:val="-2"/>
                <w:sz w:val="20"/>
              </w:rPr>
              <w:t>F30.2,</w:t>
            </w:r>
          </w:p>
          <w:p>
            <w:pPr>
              <w:pStyle w:val="TableParagraph"/>
              <w:ind w:left="208" w:right="50"/>
              <w:jc w:val="center"/>
              <w:rPr>
                <w:sz w:val="20"/>
              </w:rPr>
            </w:pPr>
            <w:r>
              <w:rPr>
                <w:sz w:val="20"/>
              </w:rPr>
              <w:t>F30.8,</w:t>
            </w:r>
            <w:r>
              <w:rPr>
                <w:spacing w:val="-6"/>
                <w:sz w:val="20"/>
              </w:rPr>
              <w:t> </w:t>
            </w:r>
            <w:r>
              <w:rPr>
                <w:sz w:val="20"/>
              </w:rPr>
              <w:t>F30.9,</w:t>
            </w:r>
            <w:r>
              <w:rPr>
                <w:spacing w:val="-6"/>
                <w:sz w:val="20"/>
              </w:rPr>
              <w:t> </w:t>
            </w:r>
            <w:r>
              <w:rPr>
                <w:sz w:val="20"/>
              </w:rPr>
              <w:t>F31,</w:t>
            </w:r>
            <w:r>
              <w:rPr>
                <w:spacing w:val="-5"/>
                <w:sz w:val="20"/>
              </w:rPr>
              <w:t> </w:t>
            </w:r>
            <w:r>
              <w:rPr>
                <w:sz w:val="20"/>
              </w:rPr>
              <w:t>F31.0,</w:t>
            </w:r>
            <w:r>
              <w:rPr>
                <w:spacing w:val="-6"/>
                <w:sz w:val="20"/>
              </w:rPr>
              <w:t> </w:t>
            </w:r>
            <w:r>
              <w:rPr>
                <w:sz w:val="20"/>
              </w:rPr>
              <w:t>F31.1,</w:t>
            </w:r>
            <w:r>
              <w:rPr>
                <w:spacing w:val="-5"/>
                <w:sz w:val="20"/>
              </w:rPr>
              <w:t> </w:t>
            </w:r>
            <w:r>
              <w:rPr>
                <w:sz w:val="20"/>
              </w:rPr>
              <w:t>F31.2,</w:t>
            </w:r>
            <w:r>
              <w:rPr>
                <w:spacing w:val="-6"/>
                <w:sz w:val="20"/>
              </w:rPr>
              <w:t> </w:t>
            </w:r>
            <w:r>
              <w:rPr>
                <w:spacing w:val="-2"/>
                <w:sz w:val="20"/>
              </w:rPr>
              <w:t>F31.3,</w:t>
            </w:r>
          </w:p>
          <w:p>
            <w:pPr>
              <w:pStyle w:val="TableParagraph"/>
              <w:spacing w:line="210" w:lineRule="exact" w:before="1"/>
              <w:ind w:left="208" w:right="46"/>
              <w:jc w:val="center"/>
              <w:rPr>
                <w:sz w:val="20"/>
              </w:rPr>
            </w:pPr>
            <w:r>
              <w:rPr>
                <w:sz w:val="20"/>
              </w:rPr>
              <w:t>F31.4,</w:t>
            </w:r>
            <w:r>
              <w:rPr>
                <w:spacing w:val="-5"/>
                <w:sz w:val="20"/>
              </w:rPr>
              <w:t> </w:t>
            </w:r>
            <w:r>
              <w:rPr>
                <w:sz w:val="20"/>
              </w:rPr>
              <w:t>F31.5,</w:t>
            </w:r>
            <w:r>
              <w:rPr>
                <w:spacing w:val="-4"/>
                <w:sz w:val="20"/>
              </w:rPr>
              <w:t> </w:t>
            </w:r>
            <w:r>
              <w:rPr>
                <w:sz w:val="20"/>
              </w:rPr>
              <w:t>F31.6,</w:t>
            </w:r>
            <w:r>
              <w:rPr>
                <w:spacing w:val="-5"/>
                <w:sz w:val="20"/>
              </w:rPr>
              <w:t> </w:t>
            </w:r>
            <w:r>
              <w:rPr>
                <w:sz w:val="20"/>
              </w:rPr>
              <w:t>F31.7,</w:t>
            </w:r>
            <w:r>
              <w:rPr>
                <w:spacing w:val="-6"/>
                <w:sz w:val="20"/>
              </w:rPr>
              <w:t> </w:t>
            </w:r>
            <w:r>
              <w:rPr>
                <w:sz w:val="20"/>
              </w:rPr>
              <w:t>F31.8,</w:t>
            </w:r>
            <w:r>
              <w:rPr>
                <w:spacing w:val="-5"/>
                <w:sz w:val="20"/>
              </w:rPr>
              <w:t> </w:t>
            </w:r>
            <w:r>
              <w:rPr>
                <w:sz w:val="20"/>
              </w:rPr>
              <w:t>F31.9,</w:t>
            </w:r>
            <w:r>
              <w:rPr>
                <w:spacing w:val="-4"/>
                <w:sz w:val="20"/>
              </w:rPr>
              <w:t> F32,</w:t>
            </w:r>
          </w:p>
        </w:tc>
      </w:tr>
    </w:tbl>
    <w:p>
      <w:pPr>
        <w:spacing w:after="0" w:line="210" w:lineRule="exact"/>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F32.0,</w:t>
      </w:r>
      <w:r>
        <w:rPr>
          <w:spacing w:val="-6"/>
          <w:sz w:val="20"/>
        </w:rPr>
        <w:t> </w:t>
      </w:r>
      <w:r>
        <w:rPr>
          <w:sz w:val="20"/>
        </w:rPr>
        <w:t>F32.1,</w:t>
      </w:r>
      <w:r>
        <w:rPr>
          <w:spacing w:val="-5"/>
          <w:sz w:val="20"/>
        </w:rPr>
        <w:t> </w:t>
      </w:r>
      <w:r>
        <w:rPr>
          <w:sz w:val="20"/>
        </w:rPr>
        <w:t>F32.2,</w:t>
      </w:r>
      <w:r>
        <w:rPr>
          <w:spacing w:val="-5"/>
          <w:sz w:val="20"/>
        </w:rPr>
        <w:t> </w:t>
      </w:r>
      <w:r>
        <w:rPr>
          <w:sz w:val="20"/>
        </w:rPr>
        <w:t>F32.3,</w:t>
      </w:r>
      <w:r>
        <w:rPr>
          <w:spacing w:val="-7"/>
          <w:sz w:val="20"/>
        </w:rPr>
        <w:t> </w:t>
      </w:r>
      <w:r>
        <w:rPr>
          <w:sz w:val="20"/>
        </w:rPr>
        <w:t>F32.8,</w:t>
      </w:r>
      <w:r>
        <w:rPr>
          <w:spacing w:val="-5"/>
          <w:sz w:val="20"/>
        </w:rPr>
        <w:t> </w:t>
      </w:r>
      <w:r>
        <w:rPr>
          <w:sz w:val="20"/>
        </w:rPr>
        <w:t>F32.9,</w:t>
      </w:r>
      <w:r>
        <w:rPr>
          <w:spacing w:val="-5"/>
          <w:sz w:val="20"/>
        </w:rPr>
        <w:t> </w:t>
      </w:r>
      <w:r>
        <w:rPr>
          <w:spacing w:val="-4"/>
          <w:sz w:val="20"/>
        </w:rPr>
        <w:t>F33,</w:t>
      </w:r>
    </w:p>
    <w:p>
      <w:pPr>
        <w:spacing w:line="229" w:lineRule="exact" w:before="1"/>
        <w:ind w:left="1161" w:right="4154" w:firstLine="0"/>
        <w:jc w:val="center"/>
        <w:rPr>
          <w:sz w:val="20"/>
        </w:rPr>
      </w:pPr>
      <w:r>
        <w:rPr>
          <w:sz w:val="20"/>
        </w:rPr>
        <w:t>F33.0,</w:t>
      </w:r>
      <w:r>
        <w:rPr>
          <w:spacing w:val="-6"/>
          <w:sz w:val="20"/>
        </w:rPr>
        <w:t> </w:t>
      </w:r>
      <w:r>
        <w:rPr>
          <w:sz w:val="20"/>
        </w:rPr>
        <w:t>F33.1,</w:t>
      </w:r>
      <w:r>
        <w:rPr>
          <w:spacing w:val="-5"/>
          <w:sz w:val="20"/>
        </w:rPr>
        <w:t> </w:t>
      </w:r>
      <w:r>
        <w:rPr>
          <w:sz w:val="20"/>
        </w:rPr>
        <w:t>F33.2,</w:t>
      </w:r>
      <w:r>
        <w:rPr>
          <w:spacing w:val="-5"/>
          <w:sz w:val="20"/>
        </w:rPr>
        <w:t> </w:t>
      </w:r>
      <w:r>
        <w:rPr>
          <w:sz w:val="20"/>
        </w:rPr>
        <w:t>F33.3,</w:t>
      </w:r>
      <w:r>
        <w:rPr>
          <w:spacing w:val="-7"/>
          <w:sz w:val="20"/>
        </w:rPr>
        <w:t> </w:t>
      </w:r>
      <w:r>
        <w:rPr>
          <w:sz w:val="20"/>
        </w:rPr>
        <w:t>F33.4,</w:t>
      </w:r>
      <w:r>
        <w:rPr>
          <w:spacing w:val="-5"/>
          <w:sz w:val="20"/>
        </w:rPr>
        <w:t> </w:t>
      </w:r>
      <w:r>
        <w:rPr>
          <w:sz w:val="20"/>
        </w:rPr>
        <w:t>F33.8,</w:t>
      </w:r>
      <w:r>
        <w:rPr>
          <w:spacing w:val="-5"/>
          <w:sz w:val="20"/>
        </w:rPr>
        <w:t> </w:t>
      </w:r>
      <w:r>
        <w:rPr>
          <w:spacing w:val="-2"/>
          <w:sz w:val="20"/>
        </w:rPr>
        <w:t>F33.9,</w:t>
      </w:r>
    </w:p>
    <w:p>
      <w:pPr>
        <w:spacing w:line="229" w:lineRule="exact" w:before="0"/>
        <w:ind w:left="1159" w:right="4154" w:firstLine="0"/>
        <w:jc w:val="center"/>
        <w:rPr>
          <w:sz w:val="20"/>
        </w:rPr>
      </w:pPr>
      <w:r>
        <w:rPr>
          <w:sz w:val="20"/>
        </w:rPr>
        <w:t>F34,</w:t>
      </w:r>
      <w:r>
        <w:rPr>
          <w:spacing w:val="-5"/>
          <w:sz w:val="20"/>
        </w:rPr>
        <w:t> </w:t>
      </w:r>
      <w:r>
        <w:rPr>
          <w:sz w:val="20"/>
        </w:rPr>
        <w:t>F34.0,</w:t>
      </w:r>
      <w:r>
        <w:rPr>
          <w:spacing w:val="-5"/>
          <w:sz w:val="20"/>
        </w:rPr>
        <w:t> </w:t>
      </w:r>
      <w:r>
        <w:rPr>
          <w:sz w:val="20"/>
        </w:rPr>
        <w:t>F34.1,</w:t>
      </w:r>
      <w:r>
        <w:rPr>
          <w:spacing w:val="-5"/>
          <w:sz w:val="20"/>
        </w:rPr>
        <w:t> </w:t>
      </w:r>
      <w:r>
        <w:rPr>
          <w:sz w:val="20"/>
        </w:rPr>
        <w:t>F34.8,</w:t>
      </w:r>
      <w:r>
        <w:rPr>
          <w:spacing w:val="-5"/>
          <w:sz w:val="20"/>
        </w:rPr>
        <w:t> </w:t>
      </w:r>
      <w:r>
        <w:rPr>
          <w:sz w:val="20"/>
        </w:rPr>
        <w:t>F34.9,</w:t>
      </w:r>
      <w:r>
        <w:rPr>
          <w:spacing w:val="-5"/>
          <w:sz w:val="20"/>
        </w:rPr>
        <w:t> </w:t>
      </w:r>
      <w:r>
        <w:rPr>
          <w:sz w:val="20"/>
        </w:rPr>
        <w:t>F38,</w:t>
      </w:r>
      <w:r>
        <w:rPr>
          <w:spacing w:val="-5"/>
          <w:sz w:val="20"/>
        </w:rPr>
        <w:t> </w:t>
      </w:r>
      <w:r>
        <w:rPr>
          <w:spacing w:val="-2"/>
          <w:sz w:val="20"/>
        </w:rPr>
        <w:t>F38.0,</w:t>
      </w:r>
    </w:p>
    <w:p>
      <w:pPr>
        <w:spacing w:before="0"/>
        <w:ind w:left="4794" w:right="0" w:firstLine="0"/>
        <w:jc w:val="left"/>
        <w:rPr>
          <w:sz w:val="20"/>
        </w:rPr>
      </w:pPr>
      <w:r>
        <w:rPr>
          <w:sz w:val="20"/>
        </w:rPr>
        <w:t>F38.1,</w:t>
      </w:r>
      <w:r>
        <w:rPr>
          <w:spacing w:val="-5"/>
          <w:sz w:val="20"/>
        </w:rPr>
        <w:t> </w:t>
      </w:r>
      <w:r>
        <w:rPr>
          <w:sz w:val="20"/>
        </w:rPr>
        <w:t>F38.8,</w:t>
      </w:r>
      <w:r>
        <w:rPr>
          <w:spacing w:val="-4"/>
          <w:sz w:val="20"/>
        </w:rPr>
        <w:t> </w:t>
      </w:r>
      <w:r>
        <w:rPr>
          <w:sz w:val="20"/>
        </w:rPr>
        <w:t>F39,</w:t>
      </w:r>
      <w:r>
        <w:rPr>
          <w:spacing w:val="-5"/>
          <w:sz w:val="20"/>
        </w:rPr>
        <w:t> </w:t>
      </w:r>
      <w:r>
        <w:rPr>
          <w:sz w:val="20"/>
        </w:rPr>
        <w:t>F40,</w:t>
      </w:r>
      <w:r>
        <w:rPr>
          <w:spacing w:val="-6"/>
          <w:sz w:val="20"/>
        </w:rPr>
        <w:t> </w:t>
      </w:r>
      <w:r>
        <w:rPr>
          <w:sz w:val="20"/>
        </w:rPr>
        <w:t>F40.0,</w:t>
      </w:r>
      <w:r>
        <w:rPr>
          <w:spacing w:val="-6"/>
          <w:sz w:val="20"/>
        </w:rPr>
        <w:t> </w:t>
      </w:r>
      <w:r>
        <w:rPr>
          <w:sz w:val="20"/>
        </w:rPr>
        <w:t>F40.1,</w:t>
      </w:r>
      <w:r>
        <w:rPr>
          <w:spacing w:val="-4"/>
          <w:sz w:val="20"/>
        </w:rPr>
        <w:t> </w:t>
      </w:r>
      <w:r>
        <w:rPr>
          <w:spacing w:val="-2"/>
          <w:sz w:val="20"/>
        </w:rPr>
        <w:t>F40.2,</w:t>
      </w:r>
    </w:p>
    <w:p>
      <w:pPr>
        <w:spacing w:before="1"/>
        <w:ind w:left="4720" w:right="0" w:firstLine="0"/>
        <w:jc w:val="left"/>
        <w:rPr>
          <w:sz w:val="20"/>
        </w:rPr>
      </w:pPr>
      <w:r>
        <w:rPr>
          <w:sz w:val="20"/>
        </w:rPr>
        <w:t>F40.8,</w:t>
      </w:r>
      <w:r>
        <w:rPr>
          <w:spacing w:val="-6"/>
          <w:sz w:val="20"/>
        </w:rPr>
        <w:t> </w:t>
      </w:r>
      <w:r>
        <w:rPr>
          <w:sz w:val="20"/>
        </w:rPr>
        <w:t>F40.9,</w:t>
      </w:r>
      <w:r>
        <w:rPr>
          <w:spacing w:val="-6"/>
          <w:sz w:val="20"/>
        </w:rPr>
        <w:t> </w:t>
      </w:r>
      <w:r>
        <w:rPr>
          <w:sz w:val="20"/>
        </w:rPr>
        <w:t>F41,</w:t>
      </w:r>
      <w:r>
        <w:rPr>
          <w:spacing w:val="-5"/>
          <w:sz w:val="20"/>
        </w:rPr>
        <w:t> </w:t>
      </w:r>
      <w:r>
        <w:rPr>
          <w:sz w:val="20"/>
        </w:rPr>
        <w:t>F41.0,</w:t>
      </w:r>
      <w:r>
        <w:rPr>
          <w:spacing w:val="-6"/>
          <w:sz w:val="20"/>
        </w:rPr>
        <w:t> </w:t>
      </w:r>
      <w:r>
        <w:rPr>
          <w:sz w:val="20"/>
        </w:rPr>
        <w:t>F41.1,</w:t>
      </w:r>
      <w:r>
        <w:rPr>
          <w:spacing w:val="-5"/>
          <w:sz w:val="20"/>
        </w:rPr>
        <w:t> </w:t>
      </w:r>
      <w:r>
        <w:rPr>
          <w:sz w:val="20"/>
        </w:rPr>
        <w:t>F41.2,</w:t>
      </w:r>
      <w:r>
        <w:rPr>
          <w:spacing w:val="-6"/>
          <w:sz w:val="20"/>
        </w:rPr>
        <w:t> </w:t>
      </w:r>
      <w:r>
        <w:rPr>
          <w:spacing w:val="-2"/>
          <w:sz w:val="20"/>
        </w:rPr>
        <w:t>F41.3,</w:t>
      </w:r>
    </w:p>
    <w:p>
      <w:pPr>
        <w:spacing w:before="0"/>
        <w:ind w:left="4720" w:right="0" w:firstLine="0"/>
        <w:jc w:val="left"/>
        <w:rPr>
          <w:sz w:val="20"/>
        </w:rPr>
      </w:pPr>
      <w:r>
        <w:rPr>
          <w:sz w:val="20"/>
        </w:rPr>
        <w:t>F41.8,</w:t>
      </w:r>
      <w:r>
        <w:rPr>
          <w:spacing w:val="-6"/>
          <w:sz w:val="20"/>
        </w:rPr>
        <w:t> </w:t>
      </w:r>
      <w:r>
        <w:rPr>
          <w:sz w:val="20"/>
        </w:rPr>
        <w:t>F41.9,</w:t>
      </w:r>
      <w:r>
        <w:rPr>
          <w:spacing w:val="-6"/>
          <w:sz w:val="20"/>
        </w:rPr>
        <w:t> </w:t>
      </w:r>
      <w:r>
        <w:rPr>
          <w:sz w:val="20"/>
        </w:rPr>
        <w:t>F42,</w:t>
      </w:r>
      <w:r>
        <w:rPr>
          <w:spacing w:val="-5"/>
          <w:sz w:val="20"/>
        </w:rPr>
        <w:t> </w:t>
      </w:r>
      <w:r>
        <w:rPr>
          <w:sz w:val="20"/>
        </w:rPr>
        <w:t>F42.0,</w:t>
      </w:r>
      <w:r>
        <w:rPr>
          <w:spacing w:val="-6"/>
          <w:sz w:val="20"/>
        </w:rPr>
        <w:t> </w:t>
      </w:r>
      <w:r>
        <w:rPr>
          <w:sz w:val="20"/>
        </w:rPr>
        <w:t>F42.1,</w:t>
      </w:r>
      <w:r>
        <w:rPr>
          <w:spacing w:val="-5"/>
          <w:sz w:val="20"/>
        </w:rPr>
        <w:t> </w:t>
      </w:r>
      <w:r>
        <w:rPr>
          <w:sz w:val="20"/>
        </w:rPr>
        <w:t>F42.2,</w:t>
      </w:r>
      <w:r>
        <w:rPr>
          <w:spacing w:val="-6"/>
          <w:sz w:val="20"/>
        </w:rPr>
        <w:t> </w:t>
      </w:r>
      <w:r>
        <w:rPr>
          <w:spacing w:val="-2"/>
          <w:sz w:val="20"/>
        </w:rPr>
        <w:t>F42.8,</w:t>
      </w:r>
    </w:p>
    <w:p>
      <w:pPr>
        <w:spacing w:before="0"/>
        <w:ind w:left="4720" w:right="0" w:firstLine="0"/>
        <w:jc w:val="left"/>
        <w:rPr>
          <w:sz w:val="20"/>
        </w:rPr>
      </w:pPr>
      <w:r>
        <w:rPr>
          <w:sz w:val="20"/>
        </w:rPr>
        <w:t>F42.9,</w:t>
      </w:r>
      <w:r>
        <w:rPr>
          <w:spacing w:val="-6"/>
          <w:sz w:val="20"/>
        </w:rPr>
        <w:t> </w:t>
      </w:r>
      <w:r>
        <w:rPr>
          <w:sz w:val="20"/>
        </w:rPr>
        <w:t>F43,</w:t>
      </w:r>
      <w:r>
        <w:rPr>
          <w:spacing w:val="-6"/>
          <w:sz w:val="20"/>
        </w:rPr>
        <w:t> </w:t>
      </w:r>
      <w:r>
        <w:rPr>
          <w:sz w:val="20"/>
        </w:rPr>
        <w:t>F43.0,</w:t>
      </w:r>
      <w:r>
        <w:rPr>
          <w:spacing w:val="-5"/>
          <w:sz w:val="20"/>
        </w:rPr>
        <w:t> </w:t>
      </w:r>
      <w:r>
        <w:rPr>
          <w:sz w:val="20"/>
        </w:rPr>
        <w:t>F43.1,</w:t>
      </w:r>
      <w:r>
        <w:rPr>
          <w:spacing w:val="-6"/>
          <w:sz w:val="20"/>
        </w:rPr>
        <w:t> </w:t>
      </w:r>
      <w:r>
        <w:rPr>
          <w:sz w:val="20"/>
        </w:rPr>
        <w:t>F43.2,</w:t>
      </w:r>
      <w:r>
        <w:rPr>
          <w:spacing w:val="-5"/>
          <w:sz w:val="20"/>
        </w:rPr>
        <w:t> </w:t>
      </w:r>
      <w:r>
        <w:rPr>
          <w:sz w:val="20"/>
        </w:rPr>
        <w:t>F43.8,</w:t>
      </w:r>
      <w:r>
        <w:rPr>
          <w:spacing w:val="-6"/>
          <w:sz w:val="20"/>
        </w:rPr>
        <w:t> </w:t>
      </w:r>
      <w:r>
        <w:rPr>
          <w:spacing w:val="-2"/>
          <w:sz w:val="20"/>
        </w:rPr>
        <w:t>F43.9,</w:t>
      </w:r>
    </w:p>
    <w:p>
      <w:pPr>
        <w:spacing w:line="229" w:lineRule="exact" w:before="1"/>
        <w:ind w:left="4720" w:right="0" w:firstLine="0"/>
        <w:jc w:val="left"/>
        <w:rPr>
          <w:sz w:val="20"/>
        </w:rPr>
      </w:pPr>
      <w:r>
        <w:rPr>
          <w:sz w:val="20"/>
        </w:rPr>
        <w:t>F44,</w:t>
      </w:r>
      <w:r>
        <w:rPr>
          <w:spacing w:val="-6"/>
          <w:sz w:val="20"/>
        </w:rPr>
        <w:t> </w:t>
      </w:r>
      <w:r>
        <w:rPr>
          <w:sz w:val="20"/>
        </w:rPr>
        <w:t>F44.0,</w:t>
      </w:r>
      <w:r>
        <w:rPr>
          <w:spacing w:val="-6"/>
          <w:sz w:val="20"/>
        </w:rPr>
        <w:t> </w:t>
      </w:r>
      <w:r>
        <w:rPr>
          <w:sz w:val="20"/>
        </w:rPr>
        <w:t>F44.1,</w:t>
      </w:r>
      <w:r>
        <w:rPr>
          <w:spacing w:val="-5"/>
          <w:sz w:val="20"/>
        </w:rPr>
        <w:t> </w:t>
      </w:r>
      <w:r>
        <w:rPr>
          <w:sz w:val="20"/>
        </w:rPr>
        <w:t>F44.2,</w:t>
      </w:r>
      <w:r>
        <w:rPr>
          <w:spacing w:val="-6"/>
          <w:sz w:val="20"/>
        </w:rPr>
        <w:t> </w:t>
      </w:r>
      <w:r>
        <w:rPr>
          <w:sz w:val="20"/>
        </w:rPr>
        <w:t>F44.3,</w:t>
      </w:r>
      <w:r>
        <w:rPr>
          <w:spacing w:val="-5"/>
          <w:sz w:val="20"/>
        </w:rPr>
        <w:t> </w:t>
      </w:r>
      <w:r>
        <w:rPr>
          <w:sz w:val="20"/>
        </w:rPr>
        <w:t>F44.4,</w:t>
      </w:r>
      <w:r>
        <w:rPr>
          <w:spacing w:val="-6"/>
          <w:sz w:val="20"/>
        </w:rPr>
        <w:t> </w:t>
      </w:r>
      <w:r>
        <w:rPr>
          <w:spacing w:val="-2"/>
          <w:sz w:val="20"/>
        </w:rPr>
        <w:t>F44.5,</w:t>
      </w:r>
    </w:p>
    <w:p>
      <w:pPr>
        <w:spacing w:line="229" w:lineRule="exact" w:before="0"/>
        <w:ind w:left="4720" w:right="0" w:firstLine="0"/>
        <w:jc w:val="left"/>
        <w:rPr>
          <w:sz w:val="20"/>
        </w:rPr>
      </w:pPr>
      <w:r>
        <w:rPr>
          <w:sz w:val="20"/>
        </w:rPr>
        <w:t>F44.6,</w:t>
      </w:r>
      <w:r>
        <w:rPr>
          <w:spacing w:val="-6"/>
          <w:sz w:val="20"/>
        </w:rPr>
        <w:t> </w:t>
      </w:r>
      <w:r>
        <w:rPr>
          <w:sz w:val="20"/>
        </w:rPr>
        <w:t>F44.7,</w:t>
      </w:r>
      <w:r>
        <w:rPr>
          <w:spacing w:val="-5"/>
          <w:sz w:val="20"/>
        </w:rPr>
        <w:t> </w:t>
      </w:r>
      <w:r>
        <w:rPr>
          <w:sz w:val="20"/>
        </w:rPr>
        <w:t>F44.8,</w:t>
      </w:r>
      <w:r>
        <w:rPr>
          <w:spacing w:val="-5"/>
          <w:sz w:val="20"/>
        </w:rPr>
        <w:t> </w:t>
      </w:r>
      <w:r>
        <w:rPr>
          <w:sz w:val="20"/>
        </w:rPr>
        <w:t>F44.9,</w:t>
      </w:r>
      <w:r>
        <w:rPr>
          <w:spacing w:val="-7"/>
          <w:sz w:val="20"/>
        </w:rPr>
        <w:t> </w:t>
      </w:r>
      <w:r>
        <w:rPr>
          <w:sz w:val="20"/>
        </w:rPr>
        <w:t>F45,</w:t>
      </w:r>
      <w:r>
        <w:rPr>
          <w:spacing w:val="-5"/>
          <w:sz w:val="20"/>
        </w:rPr>
        <w:t> </w:t>
      </w:r>
      <w:r>
        <w:rPr>
          <w:sz w:val="20"/>
        </w:rPr>
        <w:t>F45.0,</w:t>
      </w:r>
      <w:r>
        <w:rPr>
          <w:spacing w:val="-5"/>
          <w:sz w:val="20"/>
        </w:rPr>
        <w:t> </w:t>
      </w:r>
      <w:r>
        <w:rPr>
          <w:spacing w:val="-2"/>
          <w:sz w:val="20"/>
        </w:rPr>
        <w:t>F45.1,</w:t>
      </w:r>
    </w:p>
    <w:p>
      <w:pPr>
        <w:spacing w:before="1"/>
        <w:ind w:left="4720" w:right="0" w:firstLine="0"/>
        <w:jc w:val="left"/>
        <w:rPr>
          <w:sz w:val="20"/>
        </w:rPr>
      </w:pPr>
      <w:r>
        <w:rPr>
          <w:sz w:val="20"/>
        </w:rPr>
        <w:t>F45.2,</w:t>
      </w:r>
      <w:r>
        <w:rPr>
          <w:spacing w:val="-6"/>
          <w:sz w:val="20"/>
        </w:rPr>
        <w:t> </w:t>
      </w:r>
      <w:r>
        <w:rPr>
          <w:sz w:val="20"/>
        </w:rPr>
        <w:t>F45.3,</w:t>
      </w:r>
      <w:r>
        <w:rPr>
          <w:spacing w:val="-5"/>
          <w:sz w:val="20"/>
        </w:rPr>
        <w:t> </w:t>
      </w:r>
      <w:r>
        <w:rPr>
          <w:sz w:val="20"/>
        </w:rPr>
        <w:t>F45.4,</w:t>
      </w:r>
      <w:r>
        <w:rPr>
          <w:spacing w:val="-5"/>
          <w:sz w:val="20"/>
        </w:rPr>
        <w:t> </w:t>
      </w:r>
      <w:r>
        <w:rPr>
          <w:sz w:val="20"/>
        </w:rPr>
        <w:t>F45.8,</w:t>
      </w:r>
      <w:r>
        <w:rPr>
          <w:spacing w:val="-7"/>
          <w:sz w:val="20"/>
        </w:rPr>
        <w:t> </w:t>
      </w:r>
      <w:r>
        <w:rPr>
          <w:sz w:val="20"/>
        </w:rPr>
        <w:t>F45.9,</w:t>
      </w:r>
      <w:r>
        <w:rPr>
          <w:spacing w:val="-5"/>
          <w:sz w:val="20"/>
        </w:rPr>
        <w:t> </w:t>
      </w:r>
      <w:r>
        <w:rPr>
          <w:sz w:val="20"/>
        </w:rPr>
        <w:t>F48,</w:t>
      </w:r>
      <w:r>
        <w:rPr>
          <w:spacing w:val="-5"/>
          <w:sz w:val="20"/>
        </w:rPr>
        <w:t> </w:t>
      </w:r>
      <w:r>
        <w:rPr>
          <w:spacing w:val="-2"/>
          <w:sz w:val="20"/>
        </w:rPr>
        <w:t>F48.0,</w:t>
      </w:r>
    </w:p>
    <w:p>
      <w:pPr>
        <w:spacing w:before="0"/>
        <w:ind w:left="4720" w:right="0" w:firstLine="0"/>
        <w:jc w:val="left"/>
        <w:rPr>
          <w:sz w:val="20"/>
        </w:rPr>
      </w:pPr>
      <w:r>
        <w:rPr>
          <w:sz w:val="20"/>
        </w:rPr>
        <w:t>F48.1,</w:t>
      </w:r>
      <w:r>
        <w:rPr>
          <w:spacing w:val="-6"/>
          <w:sz w:val="20"/>
        </w:rPr>
        <w:t> </w:t>
      </w:r>
      <w:r>
        <w:rPr>
          <w:sz w:val="20"/>
        </w:rPr>
        <w:t>F48.8,</w:t>
      </w:r>
      <w:r>
        <w:rPr>
          <w:spacing w:val="-5"/>
          <w:sz w:val="20"/>
        </w:rPr>
        <w:t> </w:t>
      </w:r>
      <w:r>
        <w:rPr>
          <w:sz w:val="20"/>
        </w:rPr>
        <w:t>F48.9,</w:t>
      </w:r>
      <w:r>
        <w:rPr>
          <w:spacing w:val="-5"/>
          <w:sz w:val="20"/>
        </w:rPr>
        <w:t> </w:t>
      </w:r>
      <w:r>
        <w:rPr>
          <w:sz w:val="20"/>
        </w:rPr>
        <w:t>F50,</w:t>
      </w:r>
      <w:r>
        <w:rPr>
          <w:spacing w:val="-5"/>
          <w:sz w:val="20"/>
        </w:rPr>
        <w:t> </w:t>
      </w:r>
      <w:r>
        <w:rPr>
          <w:sz w:val="20"/>
        </w:rPr>
        <w:t>F50.0,</w:t>
      </w:r>
      <w:r>
        <w:rPr>
          <w:spacing w:val="-5"/>
          <w:sz w:val="20"/>
        </w:rPr>
        <w:t> </w:t>
      </w:r>
      <w:r>
        <w:rPr>
          <w:sz w:val="20"/>
        </w:rPr>
        <w:t>F50.1,</w:t>
      </w:r>
      <w:r>
        <w:rPr>
          <w:spacing w:val="-5"/>
          <w:sz w:val="20"/>
        </w:rPr>
        <w:t> </w:t>
      </w:r>
      <w:r>
        <w:rPr>
          <w:spacing w:val="-2"/>
          <w:sz w:val="20"/>
        </w:rPr>
        <w:t>F50.2,</w:t>
      </w:r>
    </w:p>
    <w:p>
      <w:pPr>
        <w:spacing w:before="1"/>
        <w:ind w:left="4720" w:right="0" w:firstLine="0"/>
        <w:jc w:val="left"/>
        <w:rPr>
          <w:sz w:val="20"/>
        </w:rPr>
      </w:pPr>
      <w:r>
        <w:rPr>
          <w:sz w:val="20"/>
        </w:rPr>
        <w:t>F50.3,</w:t>
      </w:r>
      <w:r>
        <w:rPr>
          <w:spacing w:val="-6"/>
          <w:sz w:val="20"/>
        </w:rPr>
        <w:t> </w:t>
      </w:r>
      <w:r>
        <w:rPr>
          <w:sz w:val="20"/>
        </w:rPr>
        <w:t>F50.4,</w:t>
      </w:r>
      <w:r>
        <w:rPr>
          <w:spacing w:val="-5"/>
          <w:sz w:val="20"/>
        </w:rPr>
        <w:t> </w:t>
      </w:r>
      <w:r>
        <w:rPr>
          <w:sz w:val="20"/>
        </w:rPr>
        <w:t>F50.5,</w:t>
      </w:r>
      <w:r>
        <w:rPr>
          <w:spacing w:val="-5"/>
          <w:sz w:val="20"/>
        </w:rPr>
        <w:t> </w:t>
      </w:r>
      <w:r>
        <w:rPr>
          <w:sz w:val="20"/>
        </w:rPr>
        <w:t>F50.8,</w:t>
      </w:r>
      <w:r>
        <w:rPr>
          <w:spacing w:val="-7"/>
          <w:sz w:val="20"/>
        </w:rPr>
        <w:t> </w:t>
      </w:r>
      <w:r>
        <w:rPr>
          <w:sz w:val="20"/>
        </w:rPr>
        <w:t>F50.9,</w:t>
      </w:r>
      <w:r>
        <w:rPr>
          <w:spacing w:val="-5"/>
          <w:sz w:val="20"/>
        </w:rPr>
        <w:t> </w:t>
      </w:r>
      <w:r>
        <w:rPr>
          <w:sz w:val="20"/>
        </w:rPr>
        <w:t>F51,</w:t>
      </w:r>
      <w:r>
        <w:rPr>
          <w:spacing w:val="-5"/>
          <w:sz w:val="20"/>
        </w:rPr>
        <w:t> </w:t>
      </w:r>
      <w:r>
        <w:rPr>
          <w:spacing w:val="-2"/>
          <w:sz w:val="20"/>
        </w:rPr>
        <w:t>F51.0,</w:t>
      </w:r>
    </w:p>
    <w:p>
      <w:pPr>
        <w:spacing w:before="0"/>
        <w:ind w:left="4645" w:right="0" w:firstLine="0"/>
        <w:jc w:val="left"/>
        <w:rPr>
          <w:sz w:val="20"/>
        </w:rPr>
      </w:pPr>
      <w:r>
        <w:rPr>
          <w:sz w:val="20"/>
        </w:rPr>
        <w:t>F51.1,</w:t>
      </w:r>
      <w:r>
        <w:rPr>
          <w:spacing w:val="-6"/>
          <w:sz w:val="20"/>
        </w:rPr>
        <w:t> </w:t>
      </w:r>
      <w:r>
        <w:rPr>
          <w:sz w:val="20"/>
        </w:rPr>
        <w:t>F51.2,</w:t>
      </w:r>
      <w:r>
        <w:rPr>
          <w:spacing w:val="-5"/>
          <w:sz w:val="20"/>
        </w:rPr>
        <w:t> </w:t>
      </w:r>
      <w:r>
        <w:rPr>
          <w:sz w:val="20"/>
        </w:rPr>
        <w:t>F51.3,</w:t>
      </w:r>
      <w:r>
        <w:rPr>
          <w:spacing w:val="-5"/>
          <w:sz w:val="20"/>
        </w:rPr>
        <w:t> </w:t>
      </w:r>
      <w:r>
        <w:rPr>
          <w:sz w:val="20"/>
        </w:rPr>
        <w:t>F51.4,</w:t>
      </w:r>
      <w:r>
        <w:rPr>
          <w:spacing w:val="-7"/>
          <w:sz w:val="20"/>
        </w:rPr>
        <w:t> </w:t>
      </w:r>
      <w:r>
        <w:rPr>
          <w:sz w:val="20"/>
        </w:rPr>
        <w:t>F51.5,</w:t>
      </w:r>
      <w:r>
        <w:rPr>
          <w:spacing w:val="-5"/>
          <w:sz w:val="20"/>
        </w:rPr>
        <w:t> </w:t>
      </w:r>
      <w:r>
        <w:rPr>
          <w:sz w:val="20"/>
        </w:rPr>
        <w:t>F51.8,</w:t>
      </w:r>
      <w:r>
        <w:rPr>
          <w:spacing w:val="-5"/>
          <w:sz w:val="20"/>
        </w:rPr>
        <w:t> </w:t>
      </w:r>
      <w:r>
        <w:rPr>
          <w:spacing w:val="-2"/>
          <w:sz w:val="20"/>
        </w:rPr>
        <w:t>F51.9,</w:t>
      </w:r>
    </w:p>
    <w:p>
      <w:pPr>
        <w:spacing w:line="229" w:lineRule="exact" w:before="1"/>
        <w:ind w:left="4720" w:right="0" w:firstLine="0"/>
        <w:jc w:val="left"/>
        <w:rPr>
          <w:sz w:val="20"/>
        </w:rPr>
      </w:pPr>
      <w:r>
        <w:rPr>
          <w:sz w:val="20"/>
        </w:rPr>
        <w:t>F52,</w:t>
      </w:r>
      <w:r>
        <w:rPr>
          <w:spacing w:val="-6"/>
          <w:sz w:val="20"/>
        </w:rPr>
        <w:t> </w:t>
      </w:r>
      <w:r>
        <w:rPr>
          <w:sz w:val="20"/>
        </w:rPr>
        <w:t>F52.0,</w:t>
      </w:r>
      <w:r>
        <w:rPr>
          <w:spacing w:val="-6"/>
          <w:sz w:val="20"/>
        </w:rPr>
        <w:t> </w:t>
      </w:r>
      <w:r>
        <w:rPr>
          <w:sz w:val="20"/>
        </w:rPr>
        <w:t>F52.1,</w:t>
      </w:r>
      <w:r>
        <w:rPr>
          <w:spacing w:val="-5"/>
          <w:sz w:val="20"/>
        </w:rPr>
        <w:t> </w:t>
      </w:r>
      <w:r>
        <w:rPr>
          <w:sz w:val="20"/>
        </w:rPr>
        <w:t>F52.2,</w:t>
      </w:r>
      <w:r>
        <w:rPr>
          <w:spacing w:val="-6"/>
          <w:sz w:val="20"/>
        </w:rPr>
        <w:t> </w:t>
      </w:r>
      <w:r>
        <w:rPr>
          <w:sz w:val="20"/>
        </w:rPr>
        <w:t>F52.3,</w:t>
      </w:r>
      <w:r>
        <w:rPr>
          <w:spacing w:val="-5"/>
          <w:sz w:val="20"/>
        </w:rPr>
        <w:t> </w:t>
      </w:r>
      <w:r>
        <w:rPr>
          <w:sz w:val="20"/>
        </w:rPr>
        <w:t>F52.4,</w:t>
      </w:r>
      <w:r>
        <w:rPr>
          <w:spacing w:val="-6"/>
          <w:sz w:val="20"/>
        </w:rPr>
        <w:t> </w:t>
      </w:r>
      <w:r>
        <w:rPr>
          <w:spacing w:val="-2"/>
          <w:sz w:val="20"/>
        </w:rPr>
        <w:t>F52.5,</w:t>
      </w:r>
    </w:p>
    <w:p>
      <w:pPr>
        <w:spacing w:before="0"/>
        <w:ind w:left="4645" w:right="7639" w:hanging="2"/>
        <w:jc w:val="center"/>
        <w:rPr>
          <w:sz w:val="20"/>
        </w:rPr>
      </w:pPr>
      <w:r>
        <w:rPr>
          <w:sz w:val="20"/>
        </w:rPr>
        <w:t>F52.6, F52.7, F52.8, F52.9, F53, F53.0, F53.1, F53.8, F53.9, F54, F55,</w:t>
      </w:r>
      <w:r>
        <w:rPr>
          <w:spacing w:val="-2"/>
          <w:sz w:val="20"/>
        </w:rPr>
        <w:t> </w:t>
      </w:r>
      <w:r>
        <w:rPr>
          <w:sz w:val="20"/>
        </w:rPr>
        <w:t>F59,</w:t>
      </w:r>
      <w:r>
        <w:rPr>
          <w:spacing w:val="-2"/>
          <w:sz w:val="20"/>
        </w:rPr>
        <w:t> </w:t>
      </w:r>
      <w:r>
        <w:rPr>
          <w:sz w:val="20"/>
        </w:rPr>
        <w:t>F60, F60.0, F60.1, F60.2,</w:t>
      </w:r>
      <w:r>
        <w:rPr>
          <w:spacing w:val="-6"/>
          <w:sz w:val="20"/>
        </w:rPr>
        <w:t> </w:t>
      </w:r>
      <w:r>
        <w:rPr>
          <w:sz w:val="20"/>
        </w:rPr>
        <w:t>F60.3,</w:t>
      </w:r>
      <w:r>
        <w:rPr>
          <w:spacing w:val="-5"/>
          <w:sz w:val="20"/>
        </w:rPr>
        <w:t> </w:t>
      </w:r>
      <w:r>
        <w:rPr>
          <w:sz w:val="20"/>
        </w:rPr>
        <w:t>F60.4,</w:t>
      </w:r>
      <w:r>
        <w:rPr>
          <w:spacing w:val="-5"/>
          <w:sz w:val="20"/>
        </w:rPr>
        <w:t> </w:t>
      </w:r>
      <w:r>
        <w:rPr>
          <w:sz w:val="20"/>
        </w:rPr>
        <w:t>F60.5,</w:t>
      </w:r>
      <w:r>
        <w:rPr>
          <w:spacing w:val="-7"/>
          <w:sz w:val="20"/>
        </w:rPr>
        <w:t> </w:t>
      </w:r>
      <w:r>
        <w:rPr>
          <w:sz w:val="20"/>
        </w:rPr>
        <w:t>F60.6,</w:t>
      </w:r>
      <w:r>
        <w:rPr>
          <w:spacing w:val="-5"/>
          <w:sz w:val="20"/>
        </w:rPr>
        <w:t> </w:t>
      </w:r>
      <w:r>
        <w:rPr>
          <w:sz w:val="20"/>
        </w:rPr>
        <w:t>F60.7,</w:t>
      </w:r>
      <w:r>
        <w:rPr>
          <w:spacing w:val="-5"/>
          <w:sz w:val="20"/>
        </w:rPr>
        <w:t> </w:t>
      </w:r>
      <w:r>
        <w:rPr>
          <w:spacing w:val="-2"/>
          <w:sz w:val="20"/>
        </w:rPr>
        <w:t>F60.8,</w:t>
      </w:r>
    </w:p>
    <w:p>
      <w:pPr>
        <w:spacing w:before="0"/>
        <w:ind w:left="1159" w:right="4154" w:firstLine="0"/>
        <w:jc w:val="center"/>
        <w:rPr>
          <w:sz w:val="20"/>
        </w:rPr>
      </w:pPr>
      <w:r>
        <w:rPr>
          <w:sz w:val="20"/>
        </w:rPr>
        <w:t>F60.9,</w:t>
      </w:r>
      <w:r>
        <w:rPr>
          <w:spacing w:val="-5"/>
          <w:sz w:val="20"/>
        </w:rPr>
        <w:t> </w:t>
      </w:r>
      <w:r>
        <w:rPr>
          <w:sz w:val="20"/>
        </w:rPr>
        <w:t>F61,</w:t>
      </w:r>
      <w:r>
        <w:rPr>
          <w:spacing w:val="-4"/>
          <w:sz w:val="20"/>
        </w:rPr>
        <w:t> </w:t>
      </w:r>
      <w:r>
        <w:rPr>
          <w:sz w:val="20"/>
        </w:rPr>
        <w:t>F62,</w:t>
      </w:r>
      <w:r>
        <w:rPr>
          <w:spacing w:val="-5"/>
          <w:sz w:val="20"/>
        </w:rPr>
        <w:t> </w:t>
      </w:r>
      <w:r>
        <w:rPr>
          <w:sz w:val="20"/>
        </w:rPr>
        <w:t>F62.0,</w:t>
      </w:r>
      <w:r>
        <w:rPr>
          <w:spacing w:val="-6"/>
          <w:sz w:val="20"/>
        </w:rPr>
        <w:t> </w:t>
      </w:r>
      <w:r>
        <w:rPr>
          <w:sz w:val="20"/>
        </w:rPr>
        <w:t>F62.1,</w:t>
      </w:r>
      <w:r>
        <w:rPr>
          <w:spacing w:val="-6"/>
          <w:sz w:val="20"/>
        </w:rPr>
        <w:t> </w:t>
      </w:r>
      <w:r>
        <w:rPr>
          <w:sz w:val="20"/>
        </w:rPr>
        <w:t>F62.8,</w:t>
      </w:r>
      <w:r>
        <w:rPr>
          <w:spacing w:val="-5"/>
          <w:sz w:val="20"/>
        </w:rPr>
        <w:t> </w:t>
      </w:r>
      <w:r>
        <w:rPr>
          <w:sz w:val="20"/>
        </w:rPr>
        <w:t>F62.9,</w:t>
      </w:r>
      <w:r>
        <w:rPr>
          <w:spacing w:val="-4"/>
          <w:sz w:val="20"/>
        </w:rPr>
        <w:t> F63,</w:t>
      </w:r>
    </w:p>
    <w:p>
      <w:pPr>
        <w:spacing w:before="1"/>
        <w:ind w:left="1159" w:right="4154" w:firstLine="0"/>
        <w:jc w:val="center"/>
        <w:rPr>
          <w:sz w:val="20"/>
        </w:rPr>
      </w:pPr>
      <w:r>
        <w:rPr>
          <w:sz w:val="20"/>
        </w:rPr>
        <w:t>F63.0,</w:t>
      </w:r>
      <w:r>
        <w:rPr>
          <w:spacing w:val="-6"/>
          <w:sz w:val="20"/>
        </w:rPr>
        <w:t> </w:t>
      </w:r>
      <w:r>
        <w:rPr>
          <w:sz w:val="20"/>
        </w:rPr>
        <w:t>F63.1,</w:t>
      </w:r>
      <w:r>
        <w:rPr>
          <w:spacing w:val="-5"/>
          <w:sz w:val="20"/>
        </w:rPr>
        <w:t> </w:t>
      </w:r>
      <w:r>
        <w:rPr>
          <w:sz w:val="20"/>
        </w:rPr>
        <w:t>F63.2,</w:t>
      </w:r>
      <w:r>
        <w:rPr>
          <w:spacing w:val="-5"/>
          <w:sz w:val="20"/>
        </w:rPr>
        <w:t> </w:t>
      </w:r>
      <w:r>
        <w:rPr>
          <w:sz w:val="20"/>
        </w:rPr>
        <w:t>F63.3,</w:t>
      </w:r>
      <w:r>
        <w:rPr>
          <w:spacing w:val="-7"/>
          <w:sz w:val="20"/>
        </w:rPr>
        <w:t> </w:t>
      </w:r>
      <w:r>
        <w:rPr>
          <w:sz w:val="20"/>
        </w:rPr>
        <w:t>F63.8,</w:t>
      </w:r>
      <w:r>
        <w:rPr>
          <w:spacing w:val="-5"/>
          <w:sz w:val="20"/>
        </w:rPr>
        <w:t> </w:t>
      </w:r>
      <w:r>
        <w:rPr>
          <w:sz w:val="20"/>
        </w:rPr>
        <w:t>F63.9,</w:t>
      </w:r>
      <w:r>
        <w:rPr>
          <w:spacing w:val="-5"/>
          <w:sz w:val="20"/>
        </w:rPr>
        <w:t> </w:t>
      </w:r>
      <w:r>
        <w:rPr>
          <w:spacing w:val="-4"/>
          <w:sz w:val="20"/>
        </w:rPr>
        <w:t>F64,</w:t>
      </w:r>
    </w:p>
    <w:p>
      <w:pPr>
        <w:spacing w:line="229" w:lineRule="exact" w:before="0"/>
        <w:ind w:left="1159" w:right="4154" w:firstLine="0"/>
        <w:jc w:val="center"/>
        <w:rPr>
          <w:sz w:val="20"/>
        </w:rPr>
      </w:pPr>
      <w:r>
        <w:rPr>
          <w:sz w:val="20"/>
        </w:rPr>
        <w:t>F64.0,</w:t>
      </w:r>
      <w:r>
        <w:rPr>
          <w:spacing w:val="-6"/>
          <w:sz w:val="20"/>
        </w:rPr>
        <w:t> </w:t>
      </w:r>
      <w:r>
        <w:rPr>
          <w:sz w:val="20"/>
        </w:rPr>
        <w:t>F64.1,</w:t>
      </w:r>
      <w:r>
        <w:rPr>
          <w:spacing w:val="-5"/>
          <w:sz w:val="20"/>
        </w:rPr>
        <w:t> </w:t>
      </w:r>
      <w:r>
        <w:rPr>
          <w:sz w:val="20"/>
        </w:rPr>
        <w:t>F64.2,</w:t>
      </w:r>
      <w:r>
        <w:rPr>
          <w:spacing w:val="-5"/>
          <w:sz w:val="20"/>
        </w:rPr>
        <w:t> </w:t>
      </w:r>
      <w:r>
        <w:rPr>
          <w:sz w:val="20"/>
        </w:rPr>
        <w:t>F64.8,</w:t>
      </w:r>
      <w:r>
        <w:rPr>
          <w:spacing w:val="-7"/>
          <w:sz w:val="20"/>
        </w:rPr>
        <w:t> </w:t>
      </w:r>
      <w:r>
        <w:rPr>
          <w:sz w:val="20"/>
        </w:rPr>
        <w:t>F64.9,</w:t>
      </w:r>
      <w:r>
        <w:rPr>
          <w:spacing w:val="-5"/>
          <w:sz w:val="20"/>
        </w:rPr>
        <w:t> </w:t>
      </w:r>
      <w:r>
        <w:rPr>
          <w:sz w:val="20"/>
        </w:rPr>
        <w:t>F65,</w:t>
      </w:r>
      <w:r>
        <w:rPr>
          <w:spacing w:val="-5"/>
          <w:sz w:val="20"/>
        </w:rPr>
        <w:t> </w:t>
      </w:r>
      <w:r>
        <w:rPr>
          <w:spacing w:val="-2"/>
          <w:sz w:val="20"/>
        </w:rPr>
        <w:t>F65.0,</w:t>
      </w:r>
    </w:p>
    <w:p>
      <w:pPr>
        <w:spacing w:line="229" w:lineRule="exact" w:before="0"/>
        <w:ind w:left="1161" w:right="4154" w:firstLine="0"/>
        <w:jc w:val="center"/>
        <w:rPr>
          <w:sz w:val="20"/>
        </w:rPr>
      </w:pPr>
      <w:r>
        <w:rPr>
          <w:sz w:val="20"/>
        </w:rPr>
        <w:t>F65.1,</w:t>
      </w:r>
      <w:r>
        <w:rPr>
          <w:spacing w:val="-6"/>
          <w:sz w:val="20"/>
        </w:rPr>
        <w:t> </w:t>
      </w:r>
      <w:r>
        <w:rPr>
          <w:sz w:val="20"/>
        </w:rPr>
        <w:t>F65.2,</w:t>
      </w:r>
      <w:r>
        <w:rPr>
          <w:spacing w:val="-5"/>
          <w:sz w:val="20"/>
        </w:rPr>
        <w:t> </w:t>
      </w:r>
      <w:r>
        <w:rPr>
          <w:sz w:val="20"/>
        </w:rPr>
        <w:t>F65.3,</w:t>
      </w:r>
      <w:r>
        <w:rPr>
          <w:spacing w:val="-5"/>
          <w:sz w:val="20"/>
        </w:rPr>
        <w:t> </w:t>
      </w:r>
      <w:r>
        <w:rPr>
          <w:sz w:val="20"/>
        </w:rPr>
        <w:t>F65.4,</w:t>
      </w:r>
      <w:r>
        <w:rPr>
          <w:spacing w:val="-7"/>
          <w:sz w:val="20"/>
        </w:rPr>
        <w:t> </w:t>
      </w:r>
      <w:r>
        <w:rPr>
          <w:sz w:val="20"/>
        </w:rPr>
        <w:t>F65.5,</w:t>
      </w:r>
      <w:r>
        <w:rPr>
          <w:spacing w:val="-5"/>
          <w:sz w:val="20"/>
        </w:rPr>
        <w:t> </w:t>
      </w:r>
      <w:r>
        <w:rPr>
          <w:sz w:val="20"/>
        </w:rPr>
        <w:t>F65.6,</w:t>
      </w:r>
      <w:r>
        <w:rPr>
          <w:spacing w:val="-5"/>
          <w:sz w:val="20"/>
        </w:rPr>
        <w:t> </w:t>
      </w:r>
      <w:r>
        <w:rPr>
          <w:spacing w:val="-2"/>
          <w:sz w:val="20"/>
        </w:rPr>
        <w:t>F65.8,</w:t>
      </w:r>
    </w:p>
    <w:p>
      <w:pPr>
        <w:spacing w:before="1"/>
        <w:ind w:left="1160" w:right="4154" w:firstLine="0"/>
        <w:jc w:val="center"/>
        <w:rPr>
          <w:sz w:val="20"/>
        </w:rPr>
      </w:pPr>
      <w:r>
        <w:rPr>
          <w:sz w:val="20"/>
        </w:rPr>
        <w:t>F65.9,</w:t>
      </w:r>
      <w:r>
        <w:rPr>
          <w:spacing w:val="-5"/>
          <w:sz w:val="20"/>
        </w:rPr>
        <w:t> </w:t>
      </w:r>
      <w:r>
        <w:rPr>
          <w:sz w:val="20"/>
        </w:rPr>
        <w:t>F66,</w:t>
      </w:r>
      <w:r>
        <w:rPr>
          <w:spacing w:val="-6"/>
          <w:sz w:val="20"/>
        </w:rPr>
        <w:t> </w:t>
      </w:r>
      <w:r>
        <w:rPr>
          <w:sz w:val="20"/>
        </w:rPr>
        <w:t>F66.0,</w:t>
      </w:r>
      <w:r>
        <w:rPr>
          <w:spacing w:val="-5"/>
          <w:sz w:val="20"/>
        </w:rPr>
        <w:t> </w:t>
      </w:r>
      <w:r>
        <w:rPr>
          <w:sz w:val="20"/>
        </w:rPr>
        <w:t>F66.1,</w:t>
      </w:r>
      <w:r>
        <w:rPr>
          <w:spacing w:val="-6"/>
          <w:sz w:val="20"/>
        </w:rPr>
        <w:t> </w:t>
      </w:r>
      <w:r>
        <w:rPr>
          <w:sz w:val="20"/>
        </w:rPr>
        <w:t>F66.2,</w:t>
      </w:r>
      <w:r>
        <w:rPr>
          <w:spacing w:val="-5"/>
          <w:sz w:val="20"/>
        </w:rPr>
        <w:t> </w:t>
      </w:r>
      <w:r>
        <w:rPr>
          <w:sz w:val="20"/>
        </w:rPr>
        <w:t>F66.8,</w:t>
      </w:r>
      <w:r>
        <w:rPr>
          <w:spacing w:val="-6"/>
          <w:sz w:val="20"/>
        </w:rPr>
        <w:t> </w:t>
      </w:r>
      <w:r>
        <w:rPr>
          <w:spacing w:val="-2"/>
          <w:sz w:val="20"/>
        </w:rPr>
        <w:t>F66.9,</w:t>
      </w:r>
    </w:p>
    <w:p>
      <w:pPr>
        <w:spacing w:before="0"/>
        <w:ind w:left="1159" w:right="4154" w:firstLine="0"/>
        <w:jc w:val="center"/>
        <w:rPr>
          <w:sz w:val="20"/>
        </w:rPr>
      </w:pPr>
      <w:r>
        <w:rPr>
          <w:sz w:val="20"/>
        </w:rPr>
        <w:t>F68,</w:t>
      </w:r>
      <w:r>
        <w:rPr>
          <w:spacing w:val="-5"/>
          <w:sz w:val="20"/>
        </w:rPr>
        <w:t> </w:t>
      </w:r>
      <w:r>
        <w:rPr>
          <w:sz w:val="20"/>
        </w:rPr>
        <w:t>F68.0,</w:t>
      </w:r>
      <w:r>
        <w:rPr>
          <w:spacing w:val="-5"/>
          <w:sz w:val="20"/>
        </w:rPr>
        <w:t> </w:t>
      </w:r>
      <w:r>
        <w:rPr>
          <w:sz w:val="20"/>
        </w:rPr>
        <w:t>F68.1,</w:t>
      </w:r>
      <w:r>
        <w:rPr>
          <w:spacing w:val="-4"/>
          <w:sz w:val="20"/>
        </w:rPr>
        <w:t> </w:t>
      </w:r>
      <w:r>
        <w:rPr>
          <w:sz w:val="20"/>
        </w:rPr>
        <w:t>F68.8,</w:t>
      </w:r>
      <w:r>
        <w:rPr>
          <w:spacing w:val="-5"/>
          <w:sz w:val="20"/>
        </w:rPr>
        <w:t> </w:t>
      </w:r>
      <w:r>
        <w:rPr>
          <w:sz w:val="20"/>
        </w:rPr>
        <w:t>F69,</w:t>
      </w:r>
      <w:r>
        <w:rPr>
          <w:spacing w:val="-6"/>
          <w:sz w:val="20"/>
        </w:rPr>
        <w:t> </w:t>
      </w:r>
      <w:r>
        <w:rPr>
          <w:sz w:val="20"/>
        </w:rPr>
        <w:t>F70,</w:t>
      </w:r>
      <w:r>
        <w:rPr>
          <w:spacing w:val="-5"/>
          <w:sz w:val="20"/>
        </w:rPr>
        <w:t> </w:t>
      </w:r>
      <w:r>
        <w:rPr>
          <w:sz w:val="20"/>
        </w:rPr>
        <w:t>F70.0,</w:t>
      </w:r>
      <w:r>
        <w:rPr>
          <w:spacing w:val="-5"/>
          <w:sz w:val="20"/>
        </w:rPr>
        <w:t> </w:t>
      </w:r>
      <w:r>
        <w:rPr>
          <w:spacing w:val="-2"/>
          <w:sz w:val="20"/>
        </w:rPr>
        <w:t>F70.1,</w:t>
      </w:r>
    </w:p>
    <w:p>
      <w:pPr>
        <w:spacing w:before="0"/>
        <w:ind w:left="1159" w:right="4154" w:firstLine="0"/>
        <w:jc w:val="center"/>
        <w:rPr>
          <w:sz w:val="20"/>
        </w:rPr>
      </w:pPr>
      <w:r>
        <w:rPr>
          <w:sz w:val="20"/>
        </w:rPr>
        <w:t>F70.8,</w:t>
      </w:r>
      <w:r>
        <w:rPr>
          <w:spacing w:val="-6"/>
          <w:sz w:val="20"/>
        </w:rPr>
        <w:t> </w:t>
      </w:r>
      <w:r>
        <w:rPr>
          <w:sz w:val="20"/>
        </w:rPr>
        <w:t>F70.9,</w:t>
      </w:r>
      <w:r>
        <w:rPr>
          <w:spacing w:val="-6"/>
          <w:sz w:val="20"/>
        </w:rPr>
        <w:t> </w:t>
      </w:r>
      <w:r>
        <w:rPr>
          <w:sz w:val="20"/>
        </w:rPr>
        <w:t>F71,</w:t>
      </w:r>
      <w:r>
        <w:rPr>
          <w:spacing w:val="-5"/>
          <w:sz w:val="20"/>
        </w:rPr>
        <w:t> </w:t>
      </w:r>
      <w:r>
        <w:rPr>
          <w:sz w:val="20"/>
        </w:rPr>
        <w:t>F71.0,</w:t>
      </w:r>
      <w:r>
        <w:rPr>
          <w:spacing w:val="-6"/>
          <w:sz w:val="20"/>
        </w:rPr>
        <w:t> </w:t>
      </w:r>
      <w:r>
        <w:rPr>
          <w:sz w:val="20"/>
        </w:rPr>
        <w:t>F71.1,</w:t>
      </w:r>
      <w:r>
        <w:rPr>
          <w:spacing w:val="-5"/>
          <w:sz w:val="20"/>
        </w:rPr>
        <w:t> </w:t>
      </w:r>
      <w:r>
        <w:rPr>
          <w:sz w:val="20"/>
        </w:rPr>
        <w:t>F71.8,</w:t>
      </w:r>
      <w:r>
        <w:rPr>
          <w:spacing w:val="-6"/>
          <w:sz w:val="20"/>
        </w:rPr>
        <w:t> </w:t>
      </w:r>
      <w:r>
        <w:rPr>
          <w:spacing w:val="-2"/>
          <w:sz w:val="20"/>
        </w:rPr>
        <w:t>F71.9,</w:t>
      </w:r>
    </w:p>
    <w:p>
      <w:pPr>
        <w:spacing w:line="229" w:lineRule="exact" w:before="1"/>
        <w:ind w:left="1159" w:right="4154" w:firstLine="0"/>
        <w:jc w:val="center"/>
        <w:rPr>
          <w:sz w:val="20"/>
        </w:rPr>
      </w:pPr>
      <w:r>
        <w:rPr>
          <w:sz w:val="20"/>
        </w:rPr>
        <w:t>F72,</w:t>
      </w:r>
      <w:r>
        <w:rPr>
          <w:spacing w:val="-5"/>
          <w:sz w:val="20"/>
        </w:rPr>
        <w:t> </w:t>
      </w:r>
      <w:r>
        <w:rPr>
          <w:sz w:val="20"/>
        </w:rPr>
        <w:t>F72.0,</w:t>
      </w:r>
      <w:r>
        <w:rPr>
          <w:spacing w:val="-5"/>
          <w:sz w:val="20"/>
        </w:rPr>
        <w:t> </w:t>
      </w:r>
      <w:r>
        <w:rPr>
          <w:sz w:val="20"/>
        </w:rPr>
        <w:t>F72.1,</w:t>
      </w:r>
      <w:r>
        <w:rPr>
          <w:spacing w:val="-5"/>
          <w:sz w:val="20"/>
        </w:rPr>
        <w:t> </w:t>
      </w:r>
      <w:r>
        <w:rPr>
          <w:sz w:val="20"/>
        </w:rPr>
        <w:t>F72.8,</w:t>
      </w:r>
      <w:r>
        <w:rPr>
          <w:spacing w:val="-5"/>
          <w:sz w:val="20"/>
        </w:rPr>
        <w:t> </w:t>
      </w:r>
      <w:r>
        <w:rPr>
          <w:sz w:val="20"/>
        </w:rPr>
        <w:t>F72.9,</w:t>
      </w:r>
      <w:r>
        <w:rPr>
          <w:spacing w:val="-5"/>
          <w:sz w:val="20"/>
        </w:rPr>
        <w:t> </w:t>
      </w:r>
      <w:r>
        <w:rPr>
          <w:sz w:val="20"/>
        </w:rPr>
        <w:t>F73,</w:t>
      </w:r>
      <w:r>
        <w:rPr>
          <w:spacing w:val="-5"/>
          <w:sz w:val="20"/>
        </w:rPr>
        <w:t> </w:t>
      </w:r>
      <w:r>
        <w:rPr>
          <w:spacing w:val="-2"/>
          <w:sz w:val="20"/>
        </w:rPr>
        <w:t>F73.0,</w:t>
      </w:r>
    </w:p>
    <w:p>
      <w:pPr>
        <w:spacing w:line="229" w:lineRule="exact" w:before="0"/>
        <w:ind w:left="1159" w:right="4154" w:firstLine="0"/>
        <w:jc w:val="center"/>
        <w:rPr>
          <w:sz w:val="20"/>
        </w:rPr>
      </w:pPr>
      <w:r>
        <w:rPr>
          <w:sz w:val="20"/>
        </w:rPr>
        <w:t>F73.1,</w:t>
      </w:r>
      <w:r>
        <w:rPr>
          <w:spacing w:val="-6"/>
          <w:sz w:val="20"/>
        </w:rPr>
        <w:t> </w:t>
      </w:r>
      <w:r>
        <w:rPr>
          <w:sz w:val="20"/>
        </w:rPr>
        <w:t>F73.8,</w:t>
      </w:r>
      <w:r>
        <w:rPr>
          <w:spacing w:val="-6"/>
          <w:sz w:val="20"/>
        </w:rPr>
        <w:t> </w:t>
      </w:r>
      <w:r>
        <w:rPr>
          <w:sz w:val="20"/>
        </w:rPr>
        <w:t>F73.9,</w:t>
      </w:r>
      <w:r>
        <w:rPr>
          <w:spacing w:val="-5"/>
          <w:sz w:val="20"/>
        </w:rPr>
        <w:t> </w:t>
      </w:r>
      <w:r>
        <w:rPr>
          <w:sz w:val="20"/>
        </w:rPr>
        <w:t>F78,</w:t>
      </w:r>
      <w:r>
        <w:rPr>
          <w:spacing w:val="-6"/>
          <w:sz w:val="20"/>
        </w:rPr>
        <w:t> </w:t>
      </w:r>
      <w:r>
        <w:rPr>
          <w:sz w:val="20"/>
        </w:rPr>
        <w:t>F78.0,</w:t>
      </w:r>
      <w:r>
        <w:rPr>
          <w:spacing w:val="-5"/>
          <w:sz w:val="20"/>
        </w:rPr>
        <w:t> </w:t>
      </w:r>
      <w:r>
        <w:rPr>
          <w:sz w:val="20"/>
        </w:rPr>
        <w:t>F78.1,</w:t>
      </w:r>
      <w:r>
        <w:rPr>
          <w:spacing w:val="-6"/>
          <w:sz w:val="20"/>
        </w:rPr>
        <w:t> </w:t>
      </w:r>
      <w:r>
        <w:rPr>
          <w:spacing w:val="-2"/>
          <w:sz w:val="20"/>
        </w:rPr>
        <w:t>F78.8,</w:t>
      </w:r>
    </w:p>
    <w:p>
      <w:pPr>
        <w:spacing w:before="0"/>
        <w:ind w:left="4794" w:right="0" w:firstLine="0"/>
        <w:jc w:val="left"/>
        <w:rPr>
          <w:sz w:val="20"/>
        </w:rPr>
      </w:pPr>
      <w:r>
        <w:rPr>
          <w:sz w:val="20"/>
        </w:rPr>
        <w:t>F78.9,</w:t>
      </w:r>
      <w:r>
        <w:rPr>
          <w:spacing w:val="-5"/>
          <w:sz w:val="20"/>
        </w:rPr>
        <w:t> </w:t>
      </w:r>
      <w:r>
        <w:rPr>
          <w:sz w:val="20"/>
        </w:rPr>
        <w:t>F79,</w:t>
      </w:r>
      <w:r>
        <w:rPr>
          <w:spacing w:val="-5"/>
          <w:sz w:val="20"/>
        </w:rPr>
        <w:t> </w:t>
      </w:r>
      <w:r>
        <w:rPr>
          <w:sz w:val="20"/>
        </w:rPr>
        <w:t>F79.0,</w:t>
      </w:r>
      <w:r>
        <w:rPr>
          <w:spacing w:val="-5"/>
          <w:sz w:val="20"/>
        </w:rPr>
        <w:t> </w:t>
      </w:r>
      <w:r>
        <w:rPr>
          <w:sz w:val="20"/>
        </w:rPr>
        <w:t>F79.1,</w:t>
      </w:r>
      <w:r>
        <w:rPr>
          <w:spacing w:val="-5"/>
          <w:sz w:val="20"/>
        </w:rPr>
        <w:t> </w:t>
      </w:r>
      <w:r>
        <w:rPr>
          <w:sz w:val="20"/>
        </w:rPr>
        <w:t>F79.8,</w:t>
      </w:r>
      <w:r>
        <w:rPr>
          <w:spacing w:val="-5"/>
          <w:sz w:val="20"/>
        </w:rPr>
        <w:t> </w:t>
      </w:r>
      <w:r>
        <w:rPr>
          <w:sz w:val="20"/>
        </w:rPr>
        <w:t>F79.9,</w:t>
      </w:r>
      <w:r>
        <w:rPr>
          <w:spacing w:val="-5"/>
          <w:sz w:val="20"/>
        </w:rPr>
        <w:t> </w:t>
      </w:r>
      <w:r>
        <w:rPr>
          <w:spacing w:val="-4"/>
          <w:sz w:val="20"/>
        </w:rPr>
        <w:t>F80,</w:t>
      </w:r>
    </w:p>
    <w:p>
      <w:pPr>
        <w:spacing w:before="1"/>
        <w:ind w:left="4720" w:right="0" w:firstLine="0"/>
        <w:jc w:val="left"/>
        <w:rPr>
          <w:sz w:val="20"/>
        </w:rPr>
      </w:pPr>
      <w:r>
        <w:rPr>
          <w:sz w:val="20"/>
        </w:rPr>
        <w:t>F80.0,</w:t>
      </w:r>
      <w:r>
        <w:rPr>
          <w:spacing w:val="-6"/>
          <w:sz w:val="20"/>
        </w:rPr>
        <w:t> </w:t>
      </w:r>
      <w:r>
        <w:rPr>
          <w:sz w:val="20"/>
        </w:rPr>
        <w:t>F80.1,</w:t>
      </w:r>
      <w:r>
        <w:rPr>
          <w:spacing w:val="-5"/>
          <w:sz w:val="20"/>
        </w:rPr>
        <w:t> </w:t>
      </w:r>
      <w:r>
        <w:rPr>
          <w:sz w:val="20"/>
        </w:rPr>
        <w:t>F80.2,</w:t>
      </w:r>
      <w:r>
        <w:rPr>
          <w:spacing w:val="-5"/>
          <w:sz w:val="20"/>
        </w:rPr>
        <w:t> </w:t>
      </w:r>
      <w:r>
        <w:rPr>
          <w:sz w:val="20"/>
        </w:rPr>
        <w:t>F80.3,</w:t>
      </w:r>
      <w:r>
        <w:rPr>
          <w:spacing w:val="-7"/>
          <w:sz w:val="20"/>
        </w:rPr>
        <w:t> </w:t>
      </w:r>
      <w:r>
        <w:rPr>
          <w:sz w:val="20"/>
        </w:rPr>
        <w:t>F80.8,</w:t>
      </w:r>
      <w:r>
        <w:rPr>
          <w:spacing w:val="-5"/>
          <w:sz w:val="20"/>
        </w:rPr>
        <w:t> </w:t>
      </w:r>
      <w:r>
        <w:rPr>
          <w:sz w:val="20"/>
        </w:rPr>
        <w:t>F80.9,</w:t>
      </w:r>
      <w:r>
        <w:rPr>
          <w:spacing w:val="-5"/>
          <w:sz w:val="20"/>
        </w:rPr>
        <w:t> </w:t>
      </w:r>
      <w:r>
        <w:rPr>
          <w:spacing w:val="-4"/>
          <w:sz w:val="20"/>
        </w:rPr>
        <w:t>F81,</w:t>
      </w:r>
    </w:p>
    <w:p>
      <w:pPr>
        <w:spacing w:before="0"/>
        <w:ind w:left="4720" w:right="0" w:firstLine="0"/>
        <w:jc w:val="left"/>
        <w:rPr>
          <w:sz w:val="20"/>
        </w:rPr>
      </w:pPr>
      <w:r>
        <w:rPr>
          <w:sz w:val="20"/>
        </w:rPr>
        <w:t>F81.0,</w:t>
      </w:r>
      <w:r>
        <w:rPr>
          <w:spacing w:val="-6"/>
          <w:sz w:val="20"/>
        </w:rPr>
        <w:t> </w:t>
      </w:r>
      <w:r>
        <w:rPr>
          <w:sz w:val="20"/>
        </w:rPr>
        <w:t>F81.1,</w:t>
      </w:r>
      <w:r>
        <w:rPr>
          <w:spacing w:val="-5"/>
          <w:sz w:val="20"/>
        </w:rPr>
        <w:t> </w:t>
      </w:r>
      <w:r>
        <w:rPr>
          <w:sz w:val="20"/>
        </w:rPr>
        <w:t>F81.2,</w:t>
      </w:r>
      <w:r>
        <w:rPr>
          <w:spacing w:val="-5"/>
          <w:sz w:val="20"/>
        </w:rPr>
        <w:t> </w:t>
      </w:r>
      <w:r>
        <w:rPr>
          <w:sz w:val="20"/>
        </w:rPr>
        <w:t>F81.3,</w:t>
      </w:r>
      <w:r>
        <w:rPr>
          <w:spacing w:val="-7"/>
          <w:sz w:val="20"/>
        </w:rPr>
        <w:t> </w:t>
      </w:r>
      <w:r>
        <w:rPr>
          <w:sz w:val="20"/>
        </w:rPr>
        <w:t>F81.8,</w:t>
      </w:r>
      <w:r>
        <w:rPr>
          <w:spacing w:val="-5"/>
          <w:sz w:val="20"/>
        </w:rPr>
        <w:t> </w:t>
      </w:r>
      <w:r>
        <w:rPr>
          <w:sz w:val="20"/>
        </w:rPr>
        <w:t>F81.9,</w:t>
      </w:r>
      <w:r>
        <w:rPr>
          <w:spacing w:val="-5"/>
          <w:sz w:val="20"/>
        </w:rPr>
        <w:t> </w:t>
      </w:r>
      <w:r>
        <w:rPr>
          <w:spacing w:val="-4"/>
          <w:sz w:val="20"/>
        </w:rPr>
        <w:t>F82,</w:t>
      </w:r>
    </w:p>
    <w:p>
      <w:pPr>
        <w:spacing w:before="1"/>
        <w:ind w:left="4794" w:right="0" w:firstLine="0"/>
        <w:jc w:val="left"/>
        <w:rPr>
          <w:sz w:val="20"/>
        </w:rPr>
      </w:pPr>
      <w:r>
        <w:rPr>
          <w:sz w:val="20"/>
        </w:rPr>
        <w:t>F83,</w:t>
      </w:r>
      <w:r>
        <w:rPr>
          <w:spacing w:val="-5"/>
          <w:sz w:val="20"/>
        </w:rPr>
        <w:t> </w:t>
      </w:r>
      <w:r>
        <w:rPr>
          <w:sz w:val="20"/>
        </w:rPr>
        <w:t>F84,</w:t>
      </w:r>
      <w:r>
        <w:rPr>
          <w:spacing w:val="-4"/>
          <w:sz w:val="20"/>
        </w:rPr>
        <w:t> </w:t>
      </w:r>
      <w:r>
        <w:rPr>
          <w:sz w:val="20"/>
        </w:rPr>
        <w:t>F84.0,</w:t>
      </w:r>
      <w:r>
        <w:rPr>
          <w:spacing w:val="-4"/>
          <w:sz w:val="20"/>
        </w:rPr>
        <w:t> </w:t>
      </w:r>
      <w:r>
        <w:rPr>
          <w:sz w:val="20"/>
        </w:rPr>
        <w:t>F84.1,</w:t>
      </w:r>
      <w:r>
        <w:rPr>
          <w:spacing w:val="-6"/>
          <w:sz w:val="20"/>
        </w:rPr>
        <w:t> </w:t>
      </w:r>
      <w:r>
        <w:rPr>
          <w:sz w:val="20"/>
        </w:rPr>
        <w:t>F84.2,</w:t>
      </w:r>
      <w:r>
        <w:rPr>
          <w:spacing w:val="-6"/>
          <w:sz w:val="20"/>
        </w:rPr>
        <w:t> </w:t>
      </w:r>
      <w:r>
        <w:rPr>
          <w:sz w:val="20"/>
        </w:rPr>
        <w:t>F84.3,</w:t>
      </w:r>
      <w:r>
        <w:rPr>
          <w:spacing w:val="-4"/>
          <w:sz w:val="20"/>
        </w:rPr>
        <w:t> </w:t>
      </w:r>
      <w:r>
        <w:rPr>
          <w:spacing w:val="-2"/>
          <w:sz w:val="20"/>
        </w:rPr>
        <w:t>F84.4,</w:t>
      </w:r>
    </w:p>
    <w:p>
      <w:pPr>
        <w:spacing w:line="229" w:lineRule="exact" w:before="0"/>
        <w:ind w:left="1159" w:right="4154" w:firstLine="0"/>
        <w:jc w:val="center"/>
        <w:rPr>
          <w:sz w:val="20"/>
        </w:rPr>
      </w:pPr>
      <w:r>
        <w:rPr>
          <w:sz w:val="20"/>
        </w:rPr>
        <w:t>F84.5,</w:t>
      </w:r>
      <w:r>
        <w:rPr>
          <w:spacing w:val="-5"/>
          <w:sz w:val="20"/>
        </w:rPr>
        <w:t> </w:t>
      </w:r>
      <w:r>
        <w:rPr>
          <w:sz w:val="20"/>
        </w:rPr>
        <w:t>F84.8,</w:t>
      </w:r>
      <w:r>
        <w:rPr>
          <w:spacing w:val="-5"/>
          <w:sz w:val="20"/>
        </w:rPr>
        <w:t> </w:t>
      </w:r>
      <w:r>
        <w:rPr>
          <w:sz w:val="20"/>
        </w:rPr>
        <w:t>F84.9,</w:t>
      </w:r>
      <w:r>
        <w:rPr>
          <w:spacing w:val="-4"/>
          <w:sz w:val="20"/>
        </w:rPr>
        <w:t> </w:t>
      </w:r>
      <w:r>
        <w:rPr>
          <w:sz w:val="20"/>
        </w:rPr>
        <w:t>F88,</w:t>
      </w:r>
      <w:r>
        <w:rPr>
          <w:spacing w:val="-5"/>
          <w:sz w:val="20"/>
        </w:rPr>
        <w:t> </w:t>
      </w:r>
      <w:r>
        <w:rPr>
          <w:sz w:val="20"/>
        </w:rPr>
        <w:t>F89,</w:t>
      </w:r>
      <w:r>
        <w:rPr>
          <w:spacing w:val="-6"/>
          <w:sz w:val="20"/>
        </w:rPr>
        <w:t> </w:t>
      </w:r>
      <w:r>
        <w:rPr>
          <w:sz w:val="20"/>
        </w:rPr>
        <w:t>F90,</w:t>
      </w:r>
      <w:r>
        <w:rPr>
          <w:spacing w:val="-5"/>
          <w:sz w:val="20"/>
        </w:rPr>
        <w:t> </w:t>
      </w:r>
      <w:r>
        <w:rPr>
          <w:sz w:val="20"/>
        </w:rPr>
        <w:t>F90.0,</w:t>
      </w:r>
      <w:r>
        <w:rPr>
          <w:spacing w:val="-5"/>
          <w:sz w:val="20"/>
        </w:rPr>
        <w:t> </w:t>
      </w:r>
      <w:r>
        <w:rPr>
          <w:spacing w:val="-2"/>
          <w:sz w:val="20"/>
        </w:rPr>
        <w:t>F90.1,</w:t>
      </w:r>
    </w:p>
    <w:p>
      <w:pPr>
        <w:spacing w:line="229" w:lineRule="exact" w:before="0"/>
        <w:ind w:left="1159" w:right="4154" w:firstLine="0"/>
        <w:jc w:val="center"/>
        <w:rPr>
          <w:sz w:val="20"/>
        </w:rPr>
      </w:pPr>
      <w:r>
        <w:rPr>
          <w:sz w:val="20"/>
        </w:rPr>
        <w:t>F90.8,</w:t>
      </w:r>
      <w:r>
        <w:rPr>
          <w:spacing w:val="-6"/>
          <w:sz w:val="20"/>
        </w:rPr>
        <w:t> </w:t>
      </w:r>
      <w:r>
        <w:rPr>
          <w:sz w:val="20"/>
        </w:rPr>
        <w:t>F90.9,</w:t>
      </w:r>
      <w:r>
        <w:rPr>
          <w:spacing w:val="-6"/>
          <w:sz w:val="20"/>
        </w:rPr>
        <w:t> </w:t>
      </w:r>
      <w:r>
        <w:rPr>
          <w:sz w:val="20"/>
        </w:rPr>
        <w:t>F91,</w:t>
      </w:r>
      <w:r>
        <w:rPr>
          <w:spacing w:val="-5"/>
          <w:sz w:val="20"/>
        </w:rPr>
        <w:t> </w:t>
      </w:r>
      <w:r>
        <w:rPr>
          <w:sz w:val="20"/>
        </w:rPr>
        <w:t>F91.0,</w:t>
      </w:r>
      <w:r>
        <w:rPr>
          <w:spacing w:val="-6"/>
          <w:sz w:val="20"/>
        </w:rPr>
        <w:t> </w:t>
      </w:r>
      <w:r>
        <w:rPr>
          <w:sz w:val="20"/>
        </w:rPr>
        <w:t>F91.1,</w:t>
      </w:r>
      <w:r>
        <w:rPr>
          <w:spacing w:val="-5"/>
          <w:sz w:val="20"/>
        </w:rPr>
        <w:t> </w:t>
      </w:r>
      <w:r>
        <w:rPr>
          <w:sz w:val="20"/>
        </w:rPr>
        <w:t>F91.2,</w:t>
      </w:r>
      <w:r>
        <w:rPr>
          <w:spacing w:val="-6"/>
          <w:sz w:val="20"/>
        </w:rPr>
        <w:t> </w:t>
      </w:r>
      <w:r>
        <w:rPr>
          <w:spacing w:val="-2"/>
          <w:sz w:val="20"/>
        </w:rPr>
        <w:t>F91.3,</w:t>
      </w:r>
    </w:p>
    <w:p>
      <w:pPr>
        <w:spacing w:before="1"/>
        <w:ind w:left="0" w:right="7790" w:firstLine="0"/>
        <w:jc w:val="right"/>
        <w:rPr>
          <w:sz w:val="20"/>
        </w:rPr>
      </w:pPr>
      <w:r>
        <w:rPr>
          <w:sz w:val="20"/>
        </w:rPr>
        <w:t>F91.8,</w:t>
      </w:r>
      <w:r>
        <w:rPr>
          <w:spacing w:val="-6"/>
          <w:sz w:val="20"/>
        </w:rPr>
        <w:t> </w:t>
      </w:r>
      <w:r>
        <w:rPr>
          <w:sz w:val="20"/>
        </w:rPr>
        <w:t>F91.9,</w:t>
      </w:r>
      <w:r>
        <w:rPr>
          <w:spacing w:val="-6"/>
          <w:sz w:val="20"/>
        </w:rPr>
        <w:t> </w:t>
      </w:r>
      <w:r>
        <w:rPr>
          <w:sz w:val="20"/>
        </w:rPr>
        <w:t>F92,</w:t>
      </w:r>
      <w:r>
        <w:rPr>
          <w:spacing w:val="-5"/>
          <w:sz w:val="20"/>
        </w:rPr>
        <w:t> </w:t>
      </w:r>
      <w:r>
        <w:rPr>
          <w:sz w:val="20"/>
        </w:rPr>
        <w:t>F92.0,</w:t>
      </w:r>
      <w:r>
        <w:rPr>
          <w:spacing w:val="-6"/>
          <w:sz w:val="20"/>
        </w:rPr>
        <w:t> </w:t>
      </w:r>
      <w:r>
        <w:rPr>
          <w:sz w:val="20"/>
        </w:rPr>
        <w:t>F92.8,</w:t>
      </w:r>
      <w:r>
        <w:rPr>
          <w:spacing w:val="-5"/>
          <w:sz w:val="20"/>
        </w:rPr>
        <w:t> </w:t>
      </w:r>
      <w:r>
        <w:rPr>
          <w:sz w:val="20"/>
        </w:rPr>
        <w:t>F92.9,</w:t>
      </w:r>
      <w:r>
        <w:rPr>
          <w:spacing w:val="-6"/>
          <w:sz w:val="20"/>
        </w:rPr>
        <w:t> </w:t>
      </w:r>
      <w:r>
        <w:rPr>
          <w:spacing w:val="-4"/>
          <w:sz w:val="20"/>
        </w:rPr>
        <w:t>F93,</w:t>
      </w:r>
    </w:p>
    <w:p>
      <w:pPr>
        <w:spacing w:before="0"/>
        <w:ind w:left="0" w:right="7716" w:firstLine="0"/>
        <w:jc w:val="right"/>
        <w:rPr>
          <w:sz w:val="20"/>
        </w:rPr>
      </w:pPr>
      <w:r>
        <w:rPr>
          <w:sz w:val="20"/>
        </w:rPr>
        <w:t>F93.0,</w:t>
      </w:r>
      <w:r>
        <w:rPr>
          <w:spacing w:val="-6"/>
          <w:sz w:val="20"/>
        </w:rPr>
        <w:t> </w:t>
      </w:r>
      <w:r>
        <w:rPr>
          <w:sz w:val="20"/>
        </w:rPr>
        <w:t>F93.1,</w:t>
      </w:r>
      <w:r>
        <w:rPr>
          <w:spacing w:val="-5"/>
          <w:sz w:val="20"/>
        </w:rPr>
        <w:t> </w:t>
      </w:r>
      <w:r>
        <w:rPr>
          <w:sz w:val="20"/>
        </w:rPr>
        <w:t>F93.2,</w:t>
      </w:r>
      <w:r>
        <w:rPr>
          <w:spacing w:val="-5"/>
          <w:sz w:val="20"/>
        </w:rPr>
        <w:t> </w:t>
      </w:r>
      <w:r>
        <w:rPr>
          <w:sz w:val="20"/>
        </w:rPr>
        <w:t>F93.3,</w:t>
      </w:r>
      <w:r>
        <w:rPr>
          <w:spacing w:val="-7"/>
          <w:sz w:val="20"/>
        </w:rPr>
        <w:t> </w:t>
      </w:r>
      <w:r>
        <w:rPr>
          <w:sz w:val="20"/>
        </w:rPr>
        <w:t>F93.8,</w:t>
      </w:r>
      <w:r>
        <w:rPr>
          <w:spacing w:val="-5"/>
          <w:sz w:val="20"/>
        </w:rPr>
        <w:t> </w:t>
      </w:r>
      <w:r>
        <w:rPr>
          <w:sz w:val="20"/>
        </w:rPr>
        <w:t>F93.9,</w:t>
      </w:r>
      <w:r>
        <w:rPr>
          <w:spacing w:val="-5"/>
          <w:sz w:val="20"/>
        </w:rPr>
        <w:t> </w:t>
      </w:r>
      <w:r>
        <w:rPr>
          <w:spacing w:val="-4"/>
          <w:sz w:val="20"/>
        </w:rPr>
        <w:t>F94,</w:t>
      </w:r>
    </w:p>
    <w:p>
      <w:pPr>
        <w:spacing w:before="1"/>
        <w:ind w:left="0" w:right="7716" w:firstLine="0"/>
        <w:jc w:val="right"/>
        <w:rPr>
          <w:sz w:val="20"/>
        </w:rPr>
      </w:pPr>
      <w:r>
        <w:rPr>
          <w:sz w:val="20"/>
        </w:rPr>
        <w:t>F94.0,</w:t>
      </w:r>
      <w:r>
        <w:rPr>
          <w:spacing w:val="-6"/>
          <w:sz w:val="20"/>
        </w:rPr>
        <w:t> </w:t>
      </w:r>
      <w:r>
        <w:rPr>
          <w:sz w:val="20"/>
        </w:rPr>
        <w:t>F94.1,</w:t>
      </w:r>
      <w:r>
        <w:rPr>
          <w:spacing w:val="-5"/>
          <w:sz w:val="20"/>
        </w:rPr>
        <w:t> </w:t>
      </w:r>
      <w:r>
        <w:rPr>
          <w:sz w:val="20"/>
        </w:rPr>
        <w:t>F94.2,</w:t>
      </w:r>
      <w:r>
        <w:rPr>
          <w:spacing w:val="-5"/>
          <w:sz w:val="20"/>
        </w:rPr>
        <w:t> </w:t>
      </w:r>
      <w:r>
        <w:rPr>
          <w:sz w:val="20"/>
        </w:rPr>
        <w:t>F94.8,</w:t>
      </w:r>
      <w:r>
        <w:rPr>
          <w:spacing w:val="-7"/>
          <w:sz w:val="20"/>
        </w:rPr>
        <w:t> </w:t>
      </w:r>
      <w:r>
        <w:rPr>
          <w:sz w:val="20"/>
        </w:rPr>
        <w:t>F94.9,</w:t>
      </w:r>
      <w:r>
        <w:rPr>
          <w:spacing w:val="-5"/>
          <w:sz w:val="20"/>
        </w:rPr>
        <w:t> </w:t>
      </w:r>
      <w:r>
        <w:rPr>
          <w:sz w:val="20"/>
        </w:rPr>
        <w:t>F95,</w:t>
      </w:r>
      <w:r>
        <w:rPr>
          <w:spacing w:val="-5"/>
          <w:sz w:val="20"/>
        </w:rPr>
        <w:t> </w:t>
      </w:r>
      <w:r>
        <w:rPr>
          <w:spacing w:val="-2"/>
          <w:sz w:val="20"/>
        </w:rPr>
        <w:t>F95.0,</w:t>
      </w:r>
    </w:p>
    <w:p>
      <w:pPr>
        <w:spacing w:before="0"/>
        <w:ind w:left="0" w:right="7716" w:firstLine="0"/>
        <w:jc w:val="right"/>
        <w:rPr>
          <w:sz w:val="20"/>
        </w:rPr>
      </w:pPr>
      <w:r>
        <w:rPr>
          <w:sz w:val="20"/>
        </w:rPr>
        <w:t>F95.1,</w:t>
      </w:r>
      <w:r>
        <w:rPr>
          <w:spacing w:val="-6"/>
          <w:sz w:val="20"/>
        </w:rPr>
        <w:t> </w:t>
      </w:r>
      <w:r>
        <w:rPr>
          <w:sz w:val="20"/>
        </w:rPr>
        <w:t>F95.2,</w:t>
      </w:r>
      <w:r>
        <w:rPr>
          <w:spacing w:val="-5"/>
          <w:sz w:val="20"/>
        </w:rPr>
        <w:t> </w:t>
      </w:r>
      <w:r>
        <w:rPr>
          <w:sz w:val="20"/>
        </w:rPr>
        <w:t>F95.8,</w:t>
      </w:r>
      <w:r>
        <w:rPr>
          <w:spacing w:val="-5"/>
          <w:sz w:val="20"/>
        </w:rPr>
        <w:t> </w:t>
      </w:r>
      <w:r>
        <w:rPr>
          <w:sz w:val="20"/>
        </w:rPr>
        <w:t>F95.9,</w:t>
      </w:r>
      <w:r>
        <w:rPr>
          <w:spacing w:val="-7"/>
          <w:sz w:val="20"/>
        </w:rPr>
        <w:t> </w:t>
      </w:r>
      <w:r>
        <w:rPr>
          <w:sz w:val="20"/>
        </w:rPr>
        <w:t>F98,</w:t>
      </w:r>
      <w:r>
        <w:rPr>
          <w:spacing w:val="-5"/>
          <w:sz w:val="20"/>
        </w:rPr>
        <w:t> </w:t>
      </w:r>
      <w:r>
        <w:rPr>
          <w:sz w:val="20"/>
        </w:rPr>
        <w:t>F98.0,</w:t>
      </w:r>
      <w:r>
        <w:rPr>
          <w:spacing w:val="-5"/>
          <w:sz w:val="20"/>
        </w:rPr>
        <w:t> </w:t>
      </w:r>
      <w:r>
        <w:rPr>
          <w:spacing w:val="-2"/>
          <w:sz w:val="20"/>
        </w:rPr>
        <w:t>F98.1,</w:t>
      </w:r>
    </w:p>
    <w:p>
      <w:pPr>
        <w:spacing w:before="0"/>
        <w:ind w:left="0" w:right="7639" w:firstLine="0"/>
        <w:jc w:val="right"/>
        <w:rPr>
          <w:sz w:val="20"/>
        </w:rPr>
      </w:pPr>
      <w:r>
        <w:rPr>
          <w:sz w:val="20"/>
        </w:rPr>
        <w:t>F98.2,</w:t>
      </w:r>
      <w:r>
        <w:rPr>
          <w:spacing w:val="-6"/>
          <w:sz w:val="20"/>
        </w:rPr>
        <w:t> </w:t>
      </w:r>
      <w:r>
        <w:rPr>
          <w:sz w:val="20"/>
        </w:rPr>
        <w:t>F98.3,</w:t>
      </w:r>
      <w:r>
        <w:rPr>
          <w:spacing w:val="-5"/>
          <w:sz w:val="20"/>
        </w:rPr>
        <w:t> </w:t>
      </w:r>
      <w:r>
        <w:rPr>
          <w:sz w:val="20"/>
        </w:rPr>
        <w:t>F98.4,</w:t>
      </w:r>
      <w:r>
        <w:rPr>
          <w:spacing w:val="-5"/>
          <w:sz w:val="20"/>
        </w:rPr>
        <w:t> </w:t>
      </w:r>
      <w:r>
        <w:rPr>
          <w:sz w:val="20"/>
        </w:rPr>
        <w:t>F98.5,</w:t>
      </w:r>
      <w:r>
        <w:rPr>
          <w:spacing w:val="-7"/>
          <w:sz w:val="20"/>
        </w:rPr>
        <w:t> </w:t>
      </w:r>
      <w:r>
        <w:rPr>
          <w:sz w:val="20"/>
        </w:rPr>
        <w:t>F98.6,</w:t>
      </w:r>
      <w:r>
        <w:rPr>
          <w:spacing w:val="-5"/>
          <w:sz w:val="20"/>
        </w:rPr>
        <w:t> </w:t>
      </w:r>
      <w:r>
        <w:rPr>
          <w:sz w:val="20"/>
        </w:rPr>
        <w:t>F98.8,</w:t>
      </w:r>
      <w:r>
        <w:rPr>
          <w:spacing w:val="-5"/>
          <w:sz w:val="20"/>
        </w:rPr>
        <w:t> </w:t>
      </w:r>
      <w:r>
        <w:rPr>
          <w:spacing w:val="-2"/>
          <w:sz w:val="20"/>
        </w:rPr>
        <w:t>F98.9,</w:t>
      </w:r>
    </w:p>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610"/>
        <w:gridCol w:w="5008"/>
        <w:gridCol w:w="1994"/>
        <w:gridCol w:w="3173"/>
        <w:gridCol w:w="838"/>
      </w:tblGrid>
      <w:tr>
        <w:trPr>
          <w:trHeight w:val="1654" w:hRule="atLeast"/>
        </w:trPr>
        <w:tc>
          <w:tcPr>
            <w:tcW w:w="978" w:type="dxa"/>
          </w:tcPr>
          <w:p>
            <w:pPr>
              <w:pStyle w:val="TableParagraph"/>
              <w:rPr>
                <w:sz w:val="18"/>
              </w:rPr>
            </w:pPr>
          </w:p>
        </w:tc>
        <w:tc>
          <w:tcPr>
            <w:tcW w:w="696" w:type="dxa"/>
          </w:tcPr>
          <w:p>
            <w:pPr>
              <w:pStyle w:val="TableParagraph"/>
              <w:rPr>
                <w:sz w:val="18"/>
              </w:rPr>
            </w:pPr>
          </w:p>
        </w:tc>
        <w:tc>
          <w:tcPr>
            <w:tcW w:w="2610" w:type="dxa"/>
          </w:tcPr>
          <w:p>
            <w:pPr>
              <w:pStyle w:val="TableParagraph"/>
              <w:rPr>
                <w:sz w:val="18"/>
              </w:rPr>
            </w:pPr>
          </w:p>
        </w:tc>
        <w:tc>
          <w:tcPr>
            <w:tcW w:w="5008" w:type="dxa"/>
          </w:tcPr>
          <w:p>
            <w:pPr>
              <w:pStyle w:val="TableParagraph"/>
              <w:spacing w:line="221" w:lineRule="exact"/>
              <w:ind w:left="192"/>
              <w:rPr>
                <w:sz w:val="20"/>
              </w:rPr>
            </w:pPr>
            <w:r>
              <w:rPr>
                <w:sz w:val="20"/>
              </w:rPr>
              <w:t>F99,</w:t>
            </w:r>
            <w:r>
              <w:rPr>
                <w:spacing w:val="-6"/>
                <w:sz w:val="20"/>
              </w:rPr>
              <w:t> </w:t>
            </w:r>
            <w:r>
              <w:rPr>
                <w:sz w:val="20"/>
              </w:rPr>
              <w:t>K23.0,</w:t>
            </w:r>
            <w:r>
              <w:rPr>
                <w:spacing w:val="-5"/>
                <w:sz w:val="20"/>
              </w:rPr>
              <w:t> </w:t>
            </w:r>
            <w:r>
              <w:rPr>
                <w:sz w:val="20"/>
              </w:rPr>
              <w:t>M49.0,</w:t>
            </w:r>
            <w:r>
              <w:rPr>
                <w:spacing w:val="-5"/>
                <w:sz w:val="20"/>
              </w:rPr>
              <w:t> </w:t>
            </w:r>
            <w:r>
              <w:rPr>
                <w:sz w:val="20"/>
              </w:rPr>
              <w:t>M90.0,</w:t>
            </w:r>
            <w:r>
              <w:rPr>
                <w:spacing w:val="-5"/>
                <w:sz w:val="20"/>
              </w:rPr>
              <w:t> </w:t>
            </w:r>
            <w:r>
              <w:rPr>
                <w:sz w:val="20"/>
              </w:rPr>
              <w:t>N74.0,</w:t>
            </w:r>
            <w:r>
              <w:rPr>
                <w:spacing w:val="-6"/>
                <w:sz w:val="20"/>
              </w:rPr>
              <w:t> </w:t>
            </w:r>
            <w:r>
              <w:rPr>
                <w:sz w:val="20"/>
              </w:rPr>
              <w:t>N74.1,</w:t>
            </w:r>
            <w:r>
              <w:rPr>
                <w:spacing w:val="-5"/>
                <w:sz w:val="20"/>
              </w:rPr>
              <w:t> </w:t>
            </w:r>
            <w:r>
              <w:rPr>
                <w:spacing w:val="-4"/>
                <w:sz w:val="20"/>
              </w:rPr>
              <w:t>R41,</w:t>
            </w:r>
          </w:p>
          <w:p>
            <w:pPr>
              <w:pStyle w:val="TableParagraph"/>
              <w:spacing w:line="229" w:lineRule="exact"/>
              <w:ind w:left="168"/>
              <w:rPr>
                <w:sz w:val="20"/>
              </w:rPr>
            </w:pPr>
            <w:r>
              <w:rPr>
                <w:sz w:val="20"/>
              </w:rPr>
              <w:t>R41.0,</w:t>
            </w:r>
            <w:r>
              <w:rPr>
                <w:spacing w:val="-5"/>
                <w:sz w:val="20"/>
              </w:rPr>
              <w:t> </w:t>
            </w:r>
            <w:r>
              <w:rPr>
                <w:sz w:val="20"/>
              </w:rPr>
              <w:t>R41.1,</w:t>
            </w:r>
            <w:r>
              <w:rPr>
                <w:spacing w:val="-4"/>
                <w:sz w:val="20"/>
              </w:rPr>
              <w:t> </w:t>
            </w:r>
            <w:r>
              <w:rPr>
                <w:sz w:val="20"/>
              </w:rPr>
              <w:t>R41.2,</w:t>
            </w:r>
            <w:r>
              <w:rPr>
                <w:spacing w:val="-4"/>
                <w:sz w:val="20"/>
              </w:rPr>
              <w:t> </w:t>
            </w:r>
            <w:r>
              <w:rPr>
                <w:sz w:val="20"/>
              </w:rPr>
              <w:t>R41.3,</w:t>
            </w:r>
            <w:r>
              <w:rPr>
                <w:spacing w:val="-8"/>
                <w:sz w:val="20"/>
              </w:rPr>
              <w:t> </w:t>
            </w:r>
            <w:r>
              <w:rPr>
                <w:sz w:val="20"/>
              </w:rPr>
              <w:t>R41.8,</w:t>
            </w:r>
            <w:r>
              <w:rPr>
                <w:spacing w:val="-5"/>
                <w:sz w:val="20"/>
              </w:rPr>
              <w:t> </w:t>
            </w:r>
            <w:r>
              <w:rPr>
                <w:sz w:val="20"/>
              </w:rPr>
              <w:t>R44,</w:t>
            </w:r>
            <w:r>
              <w:rPr>
                <w:spacing w:val="-4"/>
                <w:sz w:val="20"/>
              </w:rPr>
              <w:t> </w:t>
            </w:r>
            <w:r>
              <w:rPr>
                <w:spacing w:val="-2"/>
                <w:sz w:val="20"/>
              </w:rPr>
              <w:t>R44.0,</w:t>
            </w:r>
          </w:p>
          <w:p>
            <w:pPr>
              <w:pStyle w:val="TableParagraph"/>
              <w:spacing w:line="229" w:lineRule="exact"/>
              <w:ind w:left="168"/>
              <w:rPr>
                <w:sz w:val="20"/>
              </w:rPr>
            </w:pPr>
            <w:r>
              <w:rPr>
                <w:sz w:val="20"/>
              </w:rPr>
              <w:t>R44.1,</w:t>
            </w:r>
            <w:r>
              <w:rPr>
                <w:spacing w:val="-5"/>
                <w:sz w:val="20"/>
              </w:rPr>
              <w:t> </w:t>
            </w:r>
            <w:r>
              <w:rPr>
                <w:sz w:val="20"/>
              </w:rPr>
              <w:t>R44.2,</w:t>
            </w:r>
            <w:r>
              <w:rPr>
                <w:spacing w:val="-4"/>
                <w:sz w:val="20"/>
              </w:rPr>
              <w:t> </w:t>
            </w:r>
            <w:r>
              <w:rPr>
                <w:sz w:val="20"/>
              </w:rPr>
              <w:t>R44.3,</w:t>
            </w:r>
            <w:r>
              <w:rPr>
                <w:spacing w:val="-4"/>
                <w:sz w:val="20"/>
              </w:rPr>
              <w:t> </w:t>
            </w:r>
            <w:r>
              <w:rPr>
                <w:sz w:val="20"/>
              </w:rPr>
              <w:t>R44.8,</w:t>
            </w:r>
            <w:r>
              <w:rPr>
                <w:spacing w:val="-8"/>
                <w:sz w:val="20"/>
              </w:rPr>
              <w:t> </w:t>
            </w:r>
            <w:r>
              <w:rPr>
                <w:sz w:val="20"/>
              </w:rPr>
              <w:t>R45,</w:t>
            </w:r>
            <w:r>
              <w:rPr>
                <w:spacing w:val="-5"/>
                <w:sz w:val="20"/>
              </w:rPr>
              <w:t> </w:t>
            </w:r>
            <w:r>
              <w:rPr>
                <w:sz w:val="20"/>
              </w:rPr>
              <w:t>R45.0,</w:t>
            </w:r>
            <w:r>
              <w:rPr>
                <w:spacing w:val="-4"/>
                <w:sz w:val="20"/>
              </w:rPr>
              <w:t> </w:t>
            </w:r>
            <w:r>
              <w:rPr>
                <w:spacing w:val="-2"/>
                <w:sz w:val="20"/>
              </w:rPr>
              <w:t>R45.1,</w:t>
            </w:r>
          </w:p>
          <w:p>
            <w:pPr>
              <w:pStyle w:val="TableParagraph"/>
              <w:spacing w:before="1"/>
              <w:ind w:left="95" w:right="885"/>
              <w:jc w:val="center"/>
              <w:rPr>
                <w:sz w:val="20"/>
              </w:rPr>
            </w:pPr>
            <w:r>
              <w:rPr>
                <w:sz w:val="20"/>
              </w:rPr>
              <w:t>R45.2,</w:t>
            </w:r>
            <w:r>
              <w:rPr>
                <w:spacing w:val="-7"/>
                <w:sz w:val="20"/>
              </w:rPr>
              <w:t> </w:t>
            </w:r>
            <w:r>
              <w:rPr>
                <w:sz w:val="20"/>
              </w:rPr>
              <w:t>R45.3,</w:t>
            </w:r>
            <w:r>
              <w:rPr>
                <w:spacing w:val="-5"/>
                <w:sz w:val="20"/>
              </w:rPr>
              <w:t> </w:t>
            </w:r>
            <w:r>
              <w:rPr>
                <w:sz w:val="20"/>
              </w:rPr>
              <w:t>R45.4,</w:t>
            </w:r>
            <w:r>
              <w:rPr>
                <w:spacing w:val="-5"/>
                <w:sz w:val="20"/>
              </w:rPr>
              <w:t> </w:t>
            </w:r>
            <w:r>
              <w:rPr>
                <w:sz w:val="20"/>
              </w:rPr>
              <w:t>R45.5,</w:t>
            </w:r>
            <w:r>
              <w:rPr>
                <w:spacing w:val="-9"/>
                <w:sz w:val="20"/>
              </w:rPr>
              <w:t> </w:t>
            </w:r>
            <w:r>
              <w:rPr>
                <w:sz w:val="20"/>
              </w:rPr>
              <w:t>R45.6,</w:t>
            </w:r>
            <w:r>
              <w:rPr>
                <w:spacing w:val="-5"/>
                <w:sz w:val="20"/>
              </w:rPr>
              <w:t> </w:t>
            </w:r>
            <w:r>
              <w:rPr>
                <w:sz w:val="20"/>
              </w:rPr>
              <w:t>R45.7,</w:t>
            </w:r>
            <w:r>
              <w:rPr>
                <w:spacing w:val="-4"/>
                <w:sz w:val="20"/>
              </w:rPr>
              <w:t> </w:t>
            </w:r>
            <w:r>
              <w:rPr>
                <w:spacing w:val="-2"/>
                <w:sz w:val="20"/>
              </w:rPr>
              <w:t>R45.8,</w:t>
            </w:r>
          </w:p>
          <w:p>
            <w:pPr>
              <w:pStyle w:val="TableParagraph"/>
              <w:ind w:left="168" w:right="957"/>
              <w:jc w:val="center"/>
              <w:rPr>
                <w:sz w:val="20"/>
              </w:rPr>
            </w:pPr>
            <w:r>
              <w:rPr>
                <w:sz w:val="20"/>
              </w:rPr>
              <w:t>R46,</w:t>
            </w:r>
            <w:r>
              <w:rPr>
                <w:spacing w:val="-5"/>
                <w:sz w:val="20"/>
              </w:rPr>
              <w:t> </w:t>
            </w:r>
            <w:r>
              <w:rPr>
                <w:sz w:val="20"/>
              </w:rPr>
              <w:t>R46.0,</w:t>
            </w:r>
            <w:r>
              <w:rPr>
                <w:spacing w:val="-5"/>
                <w:sz w:val="20"/>
              </w:rPr>
              <w:t> </w:t>
            </w:r>
            <w:r>
              <w:rPr>
                <w:sz w:val="20"/>
              </w:rPr>
              <w:t>R46.1,</w:t>
            </w:r>
            <w:r>
              <w:rPr>
                <w:spacing w:val="-5"/>
                <w:sz w:val="20"/>
              </w:rPr>
              <w:t> </w:t>
            </w:r>
            <w:r>
              <w:rPr>
                <w:sz w:val="20"/>
              </w:rPr>
              <w:t>R46.2,</w:t>
            </w:r>
            <w:r>
              <w:rPr>
                <w:spacing w:val="-5"/>
                <w:sz w:val="20"/>
              </w:rPr>
              <w:t> </w:t>
            </w:r>
            <w:r>
              <w:rPr>
                <w:sz w:val="20"/>
              </w:rPr>
              <w:t>R46.3,</w:t>
            </w:r>
            <w:r>
              <w:rPr>
                <w:spacing w:val="-5"/>
                <w:sz w:val="20"/>
              </w:rPr>
              <w:t> </w:t>
            </w:r>
            <w:r>
              <w:rPr>
                <w:sz w:val="20"/>
              </w:rPr>
              <w:t>R46.4,</w:t>
            </w:r>
            <w:r>
              <w:rPr>
                <w:spacing w:val="-5"/>
                <w:sz w:val="20"/>
              </w:rPr>
              <w:t> </w:t>
            </w:r>
            <w:r>
              <w:rPr>
                <w:spacing w:val="-2"/>
                <w:sz w:val="20"/>
              </w:rPr>
              <w:t>R46.5,</w:t>
            </w:r>
          </w:p>
          <w:p>
            <w:pPr>
              <w:pStyle w:val="TableParagraph"/>
              <w:ind w:left="95" w:right="879"/>
              <w:jc w:val="center"/>
              <w:rPr>
                <w:sz w:val="20"/>
              </w:rPr>
            </w:pPr>
            <w:r>
              <w:rPr>
                <w:sz w:val="20"/>
              </w:rPr>
              <w:t>R46.6,</w:t>
            </w:r>
            <w:r>
              <w:rPr>
                <w:spacing w:val="-6"/>
                <w:sz w:val="20"/>
              </w:rPr>
              <w:t> </w:t>
            </w:r>
            <w:r>
              <w:rPr>
                <w:sz w:val="20"/>
              </w:rPr>
              <w:t>R46.7,</w:t>
            </w:r>
            <w:r>
              <w:rPr>
                <w:spacing w:val="-6"/>
                <w:sz w:val="20"/>
              </w:rPr>
              <w:t> </w:t>
            </w:r>
            <w:r>
              <w:rPr>
                <w:sz w:val="20"/>
              </w:rPr>
              <w:t>R46.8,</w:t>
            </w:r>
            <w:r>
              <w:rPr>
                <w:spacing w:val="-6"/>
                <w:sz w:val="20"/>
              </w:rPr>
              <w:t> </w:t>
            </w:r>
            <w:r>
              <w:rPr>
                <w:sz w:val="20"/>
              </w:rPr>
              <w:t>R48,</w:t>
            </w:r>
            <w:r>
              <w:rPr>
                <w:spacing w:val="-6"/>
                <w:sz w:val="20"/>
              </w:rPr>
              <w:t> </w:t>
            </w:r>
            <w:r>
              <w:rPr>
                <w:sz w:val="20"/>
              </w:rPr>
              <w:t>R48.0,</w:t>
            </w:r>
            <w:r>
              <w:rPr>
                <w:spacing w:val="-6"/>
                <w:sz w:val="20"/>
              </w:rPr>
              <w:t> </w:t>
            </w:r>
            <w:r>
              <w:rPr>
                <w:sz w:val="20"/>
              </w:rPr>
              <w:t>R48.1,</w:t>
            </w:r>
            <w:r>
              <w:rPr>
                <w:spacing w:val="-6"/>
                <w:sz w:val="20"/>
              </w:rPr>
              <w:t> </w:t>
            </w:r>
            <w:r>
              <w:rPr>
                <w:sz w:val="20"/>
              </w:rPr>
              <w:t>R48.2, </w:t>
            </w:r>
            <w:r>
              <w:rPr>
                <w:spacing w:val="-4"/>
                <w:sz w:val="20"/>
              </w:rPr>
              <w:t>R48.8</w:t>
            </w:r>
          </w:p>
        </w:tc>
        <w:tc>
          <w:tcPr>
            <w:tcW w:w="1994" w:type="dxa"/>
          </w:tcPr>
          <w:p>
            <w:pPr>
              <w:pStyle w:val="TableParagraph"/>
              <w:rPr>
                <w:sz w:val="18"/>
              </w:rPr>
            </w:pPr>
          </w:p>
        </w:tc>
        <w:tc>
          <w:tcPr>
            <w:tcW w:w="3173" w:type="dxa"/>
          </w:tcPr>
          <w:p>
            <w:pPr>
              <w:pStyle w:val="TableParagraph"/>
              <w:rPr>
                <w:sz w:val="18"/>
              </w:rPr>
            </w:pPr>
          </w:p>
        </w:tc>
        <w:tc>
          <w:tcPr>
            <w:tcW w:w="838" w:type="dxa"/>
          </w:tcPr>
          <w:p>
            <w:pPr>
              <w:pStyle w:val="TableParagraph"/>
              <w:rPr>
                <w:sz w:val="18"/>
              </w:rPr>
            </w:pPr>
          </w:p>
        </w:tc>
      </w:tr>
      <w:tr>
        <w:trPr>
          <w:trHeight w:val="789" w:hRule="atLeast"/>
        </w:trPr>
        <w:tc>
          <w:tcPr>
            <w:tcW w:w="978" w:type="dxa"/>
          </w:tcPr>
          <w:p>
            <w:pPr>
              <w:pStyle w:val="TableParagraph"/>
              <w:spacing w:before="45"/>
              <w:ind w:left="50"/>
              <w:rPr>
                <w:sz w:val="20"/>
              </w:rPr>
            </w:pPr>
            <w:r>
              <w:rPr>
                <w:spacing w:val="-2"/>
                <w:sz w:val="20"/>
              </w:rPr>
              <w:t>ds36.005</w:t>
            </w:r>
          </w:p>
        </w:tc>
        <w:tc>
          <w:tcPr>
            <w:tcW w:w="696" w:type="dxa"/>
          </w:tcPr>
          <w:p>
            <w:pPr>
              <w:pStyle w:val="TableParagraph"/>
              <w:spacing w:before="45"/>
              <w:ind w:left="200"/>
              <w:rPr>
                <w:sz w:val="20"/>
              </w:rPr>
            </w:pPr>
            <w:r>
              <w:rPr>
                <w:spacing w:val="-5"/>
                <w:sz w:val="20"/>
              </w:rPr>
              <w:t>161</w:t>
            </w:r>
          </w:p>
        </w:tc>
        <w:tc>
          <w:tcPr>
            <w:tcW w:w="2610" w:type="dxa"/>
          </w:tcPr>
          <w:p>
            <w:pPr>
              <w:pStyle w:val="TableParagraph"/>
              <w:spacing w:before="45"/>
              <w:ind w:left="193" w:right="310"/>
              <w:jc w:val="both"/>
              <w:rPr>
                <w:sz w:val="20"/>
              </w:rPr>
            </w:pPr>
            <w:r>
              <w:rPr>
                <w:sz w:val="20"/>
              </w:rPr>
              <w:t>Отторжение, отмирание трансплантата</w:t>
            </w:r>
            <w:r>
              <w:rPr>
                <w:spacing w:val="-13"/>
                <w:sz w:val="20"/>
              </w:rPr>
              <w:t> </w:t>
            </w:r>
            <w:r>
              <w:rPr>
                <w:sz w:val="20"/>
              </w:rPr>
              <w:t>органов</w:t>
            </w:r>
            <w:r>
              <w:rPr>
                <w:spacing w:val="-12"/>
                <w:sz w:val="20"/>
              </w:rPr>
              <w:t> </w:t>
            </w:r>
            <w:r>
              <w:rPr>
                <w:sz w:val="20"/>
              </w:rPr>
              <w:t>и </w:t>
            </w:r>
            <w:r>
              <w:rPr>
                <w:spacing w:val="-2"/>
                <w:sz w:val="20"/>
              </w:rPr>
              <w:t>тканей</w:t>
            </w:r>
          </w:p>
        </w:tc>
        <w:tc>
          <w:tcPr>
            <w:tcW w:w="5008" w:type="dxa"/>
          </w:tcPr>
          <w:p>
            <w:pPr>
              <w:pStyle w:val="TableParagraph"/>
              <w:spacing w:before="45"/>
              <w:ind w:left="95" w:right="885"/>
              <w:jc w:val="center"/>
              <w:rPr>
                <w:sz w:val="20"/>
              </w:rPr>
            </w:pPr>
            <w:r>
              <w:rPr>
                <w:sz w:val="20"/>
              </w:rPr>
              <w:t>T86.0,</w:t>
            </w:r>
            <w:r>
              <w:rPr>
                <w:spacing w:val="-7"/>
                <w:sz w:val="20"/>
              </w:rPr>
              <w:t> </w:t>
            </w:r>
            <w:r>
              <w:rPr>
                <w:sz w:val="20"/>
              </w:rPr>
              <w:t>T86.1,</w:t>
            </w:r>
            <w:r>
              <w:rPr>
                <w:spacing w:val="-5"/>
                <w:sz w:val="20"/>
              </w:rPr>
              <w:t> </w:t>
            </w:r>
            <w:r>
              <w:rPr>
                <w:sz w:val="20"/>
              </w:rPr>
              <w:t>T86.2,</w:t>
            </w:r>
            <w:r>
              <w:rPr>
                <w:spacing w:val="-5"/>
                <w:sz w:val="20"/>
              </w:rPr>
              <w:t> </w:t>
            </w:r>
            <w:r>
              <w:rPr>
                <w:sz w:val="20"/>
              </w:rPr>
              <w:t>T86.3,</w:t>
            </w:r>
            <w:r>
              <w:rPr>
                <w:spacing w:val="-5"/>
                <w:sz w:val="20"/>
              </w:rPr>
              <w:t> </w:t>
            </w:r>
            <w:r>
              <w:rPr>
                <w:sz w:val="20"/>
              </w:rPr>
              <w:t>T86.4,</w:t>
            </w:r>
            <w:r>
              <w:rPr>
                <w:spacing w:val="-5"/>
                <w:sz w:val="20"/>
              </w:rPr>
              <w:t> </w:t>
            </w:r>
            <w:r>
              <w:rPr>
                <w:sz w:val="20"/>
              </w:rPr>
              <w:t>T86.8,</w:t>
            </w:r>
            <w:r>
              <w:rPr>
                <w:spacing w:val="-5"/>
                <w:sz w:val="20"/>
              </w:rPr>
              <w:t> </w:t>
            </w:r>
            <w:r>
              <w:rPr>
                <w:spacing w:val="-4"/>
                <w:sz w:val="20"/>
              </w:rPr>
              <w:t>T86.9</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right="1282"/>
              <w:jc w:val="right"/>
              <w:rPr>
                <w:sz w:val="20"/>
              </w:rPr>
            </w:pPr>
            <w:r>
              <w:rPr>
                <w:w w:val="99"/>
                <w:sz w:val="20"/>
              </w:rPr>
              <w:t>-</w:t>
            </w:r>
          </w:p>
        </w:tc>
        <w:tc>
          <w:tcPr>
            <w:tcW w:w="838" w:type="dxa"/>
          </w:tcPr>
          <w:p>
            <w:pPr>
              <w:pStyle w:val="TableParagraph"/>
              <w:spacing w:before="45"/>
              <w:ind w:right="50"/>
              <w:jc w:val="right"/>
              <w:rPr>
                <w:sz w:val="20"/>
              </w:rPr>
            </w:pPr>
            <w:r>
              <w:rPr>
                <w:spacing w:val="-4"/>
                <w:sz w:val="20"/>
              </w:rPr>
              <w:t>7,40</w:t>
            </w:r>
          </w:p>
        </w:tc>
      </w:tr>
      <w:tr>
        <w:trPr>
          <w:trHeight w:val="1250" w:hRule="atLeast"/>
        </w:trPr>
        <w:tc>
          <w:tcPr>
            <w:tcW w:w="978" w:type="dxa"/>
          </w:tcPr>
          <w:p>
            <w:pPr>
              <w:pStyle w:val="TableParagraph"/>
              <w:spacing w:before="45"/>
              <w:ind w:left="50"/>
              <w:rPr>
                <w:sz w:val="20"/>
              </w:rPr>
            </w:pPr>
            <w:r>
              <w:rPr>
                <w:spacing w:val="-2"/>
                <w:sz w:val="20"/>
              </w:rPr>
              <w:t>ds36.006</w:t>
            </w:r>
          </w:p>
        </w:tc>
        <w:tc>
          <w:tcPr>
            <w:tcW w:w="696" w:type="dxa"/>
          </w:tcPr>
          <w:p>
            <w:pPr>
              <w:pStyle w:val="TableParagraph"/>
              <w:spacing w:before="45"/>
              <w:ind w:left="200"/>
              <w:rPr>
                <w:sz w:val="20"/>
              </w:rPr>
            </w:pPr>
            <w:r>
              <w:rPr>
                <w:spacing w:val="-5"/>
                <w:sz w:val="20"/>
              </w:rPr>
              <w:t>162</w:t>
            </w:r>
          </w:p>
        </w:tc>
        <w:tc>
          <w:tcPr>
            <w:tcW w:w="2610" w:type="dxa"/>
          </w:tcPr>
          <w:p>
            <w:pPr>
              <w:pStyle w:val="TableParagraph"/>
              <w:spacing w:before="45"/>
              <w:ind w:left="193" w:right="633"/>
              <w:rPr>
                <w:sz w:val="20"/>
              </w:rPr>
            </w:pPr>
            <w:r>
              <w:rPr>
                <w:spacing w:val="-2"/>
                <w:sz w:val="20"/>
              </w:rPr>
              <w:t>Злокачественное </w:t>
            </w:r>
            <w:r>
              <w:rPr>
                <w:sz w:val="20"/>
              </w:rPr>
              <w:t>новообразование</w:t>
            </w:r>
            <w:r>
              <w:rPr>
                <w:spacing w:val="-13"/>
                <w:sz w:val="20"/>
              </w:rPr>
              <w:t> </w:t>
            </w:r>
            <w:r>
              <w:rPr>
                <w:sz w:val="20"/>
              </w:rPr>
              <w:t>без </w:t>
            </w:r>
            <w:r>
              <w:rPr>
                <w:spacing w:val="-2"/>
                <w:sz w:val="20"/>
              </w:rPr>
              <w:t>специального противоопухолевого лечения</w:t>
            </w:r>
            <w:r>
              <w:rPr>
                <w:spacing w:val="-2"/>
                <w:sz w:val="20"/>
                <w:vertAlign w:val="superscript"/>
              </w:rPr>
              <w:t>***</w:t>
            </w:r>
          </w:p>
        </w:tc>
        <w:tc>
          <w:tcPr>
            <w:tcW w:w="5008" w:type="dxa"/>
          </w:tcPr>
          <w:p>
            <w:pPr>
              <w:pStyle w:val="TableParagraph"/>
              <w:spacing w:before="45"/>
              <w:ind w:left="168" w:right="952"/>
              <w:jc w:val="center"/>
              <w:rPr>
                <w:sz w:val="20"/>
              </w:rPr>
            </w:pPr>
            <w:r>
              <w:rPr>
                <w:sz w:val="20"/>
              </w:rPr>
              <w:t>C00</w:t>
            </w:r>
            <w:r>
              <w:rPr>
                <w:spacing w:val="-2"/>
                <w:sz w:val="20"/>
              </w:rPr>
              <w:t> </w:t>
            </w:r>
            <w:r>
              <w:rPr>
                <w:sz w:val="20"/>
              </w:rPr>
              <w:t>-</w:t>
            </w:r>
            <w:r>
              <w:rPr>
                <w:spacing w:val="-4"/>
                <w:sz w:val="20"/>
              </w:rPr>
              <w:t> </w:t>
            </w:r>
            <w:r>
              <w:rPr>
                <w:sz w:val="20"/>
              </w:rPr>
              <w:t>C80,</w:t>
            </w:r>
            <w:r>
              <w:rPr>
                <w:spacing w:val="-2"/>
                <w:sz w:val="20"/>
              </w:rPr>
              <w:t> </w:t>
            </w:r>
            <w:r>
              <w:rPr>
                <w:sz w:val="20"/>
              </w:rPr>
              <w:t>C97,</w:t>
            </w:r>
            <w:r>
              <w:rPr>
                <w:spacing w:val="-2"/>
                <w:sz w:val="20"/>
              </w:rPr>
              <w:t> </w:t>
            </w:r>
            <w:r>
              <w:rPr>
                <w:sz w:val="20"/>
              </w:rPr>
              <w:t>D00</w:t>
            </w:r>
            <w:r>
              <w:rPr>
                <w:spacing w:val="1"/>
                <w:sz w:val="20"/>
              </w:rPr>
              <w:t> </w:t>
            </w:r>
            <w:r>
              <w:rPr>
                <w:sz w:val="20"/>
              </w:rPr>
              <w:t>-</w:t>
            </w:r>
            <w:r>
              <w:rPr>
                <w:spacing w:val="-4"/>
                <w:sz w:val="20"/>
              </w:rPr>
              <w:t> </w:t>
            </w:r>
            <w:r>
              <w:rPr>
                <w:spacing w:val="-5"/>
                <w:sz w:val="20"/>
              </w:rPr>
              <w:t>D09</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right="1282"/>
              <w:jc w:val="right"/>
              <w:rPr>
                <w:sz w:val="20"/>
              </w:rPr>
            </w:pPr>
            <w:r>
              <w:rPr>
                <w:w w:val="99"/>
                <w:sz w:val="20"/>
              </w:rPr>
              <w:t>-</w:t>
            </w:r>
          </w:p>
        </w:tc>
        <w:tc>
          <w:tcPr>
            <w:tcW w:w="838" w:type="dxa"/>
          </w:tcPr>
          <w:p>
            <w:pPr>
              <w:pStyle w:val="TableParagraph"/>
              <w:spacing w:before="45"/>
              <w:ind w:right="50"/>
              <w:jc w:val="right"/>
              <w:rPr>
                <w:sz w:val="20"/>
              </w:rPr>
            </w:pPr>
            <w:r>
              <w:rPr>
                <w:spacing w:val="-4"/>
                <w:sz w:val="20"/>
              </w:rPr>
              <w:t>0,40</w:t>
            </w:r>
          </w:p>
        </w:tc>
      </w:tr>
      <w:tr>
        <w:trPr>
          <w:trHeight w:val="1250" w:hRule="atLeast"/>
        </w:trPr>
        <w:tc>
          <w:tcPr>
            <w:tcW w:w="978" w:type="dxa"/>
          </w:tcPr>
          <w:p>
            <w:pPr>
              <w:pStyle w:val="TableParagraph"/>
              <w:spacing w:before="45"/>
              <w:ind w:left="50"/>
              <w:rPr>
                <w:sz w:val="20"/>
              </w:rPr>
            </w:pPr>
            <w:r>
              <w:rPr>
                <w:spacing w:val="-2"/>
                <w:sz w:val="20"/>
              </w:rPr>
              <w:t>ds36.007</w:t>
            </w:r>
          </w:p>
        </w:tc>
        <w:tc>
          <w:tcPr>
            <w:tcW w:w="696" w:type="dxa"/>
          </w:tcPr>
          <w:p>
            <w:pPr>
              <w:pStyle w:val="TableParagraph"/>
              <w:spacing w:before="45"/>
              <w:ind w:left="200"/>
              <w:rPr>
                <w:sz w:val="20"/>
              </w:rPr>
            </w:pPr>
            <w:r>
              <w:rPr>
                <w:spacing w:val="-5"/>
                <w:sz w:val="20"/>
              </w:rPr>
              <w:t>163</w:t>
            </w:r>
          </w:p>
        </w:tc>
        <w:tc>
          <w:tcPr>
            <w:tcW w:w="2610" w:type="dxa"/>
          </w:tcPr>
          <w:p>
            <w:pPr>
              <w:pStyle w:val="TableParagraph"/>
              <w:spacing w:before="45"/>
              <w:ind w:left="193" w:right="175"/>
              <w:rPr>
                <w:sz w:val="20"/>
              </w:rPr>
            </w:pPr>
            <w:r>
              <w:rPr>
                <w:sz w:val="20"/>
              </w:rPr>
              <w:t>Проведение</w:t>
            </w:r>
            <w:r>
              <w:rPr>
                <w:spacing w:val="-13"/>
                <w:sz w:val="20"/>
              </w:rPr>
              <w:t> </w:t>
            </w:r>
            <w:r>
              <w:rPr>
                <w:sz w:val="20"/>
              </w:rPr>
              <w:t>иммунизации против респираторно- синцитиальной вирусной </w:t>
            </w:r>
            <w:r>
              <w:rPr>
                <w:spacing w:val="-2"/>
                <w:sz w:val="20"/>
              </w:rPr>
              <w:t>инфекции</w:t>
            </w:r>
          </w:p>
        </w:tc>
        <w:tc>
          <w:tcPr>
            <w:tcW w:w="5008" w:type="dxa"/>
          </w:tcPr>
          <w:p>
            <w:pPr>
              <w:pStyle w:val="TableParagraph"/>
              <w:spacing w:before="45"/>
              <w:ind w:left="95" w:right="880"/>
              <w:jc w:val="center"/>
              <w:rPr>
                <w:sz w:val="20"/>
              </w:rPr>
            </w:pPr>
            <w:r>
              <w:rPr>
                <w:spacing w:val="-2"/>
                <w:sz w:val="20"/>
              </w:rPr>
              <w:t>Z25.8</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left="977" w:right="435" w:hanging="2"/>
              <w:jc w:val="center"/>
              <w:rPr>
                <w:sz w:val="20"/>
              </w:rPr>
            </w:pPr>
            <w:r>
              <w:rPr>
                <w:spacing w:val="-4"/>
                <w:sz w:val="20"/>
              </w:rPr>
              <w:t>Иной </w:t>
            </w:r>
            <w:r>
              <w:rPr>
                <w:spacing w:val="-2"/>
                <w:sz w:val="20"/>
              </w:rPr>
              <w:t>классификационный </w:t>
            </w:r>
            <w:r>
              <w:rPr>
                <w:sz w:val="20"/>
              </w:rPr>
              <w:t>критерий: irs Возрастная группа: от 0 дней до 2 лет</w:t>
            </w:r>
          </w:p>
        </w:tc>
        <w:tc>
          <w:tcPr>
            <w:tcW w:w="838" w:type="dxa"/>
          </w:tcPr>
          <w:p>
            <w:pPr>
              <w:pStyle w:val="TableParagraph"/>
              <w:spacing w:before="45"/>
              <w:ind w:right="50"/>
              <w:jc w:val="right"/>
              <w:rPr>
                <w:sz w:val="20"/>
              </w:rPr>
            </w:pPr>
            <w:r>
              <w:rPr>
                <w:spacing w:val="-4"/>
                <w:sz w:val="20"/>
              </w:rPr>
              <w:t>4,23</w:t>
            </w:r>
          </w:p>
        </w:tc>
      </w:tr>
      <w:tr>
        <w:trPr>
          <w:trHeight w:val="1249" w:hRule="atLeast"/>
        </w:trPr>
        <w:tc>
          <w:tcPr>
            <w:tcW w:w="978" w:type="dxa"/>
          </w:tcPr>
          <w:p>
            <w:pPr>
              <w:pStyle w:val="TableParagraph"/>
              <w:spacing w:before="45"/>
              <w:ind w:left="50"/>
              <w:rPr>
                <w:sz w:val="20"/>
              </w:rPr>
            </w:pPr>
            <w:r>
              <w:rPr>
                <w:spacing w:val="-2"/>
                <w:sz w:val="20"/>
              </w:rPr>
              <w:t>ds36.008</w:t>
            </w:r>
          </w:p>
        </w:tc>
        <w:tc>
          <w:tcPr>
            <w:tcW w:w="696" w:type="dxa"/>
          </w:tcPr>
          <w:p>
            <w:pPr>
              <w:pStyle w:val="TableParagraph"/>
              <w:spacing w:before="45"/>
              <w:ind w:left="200"/>
              <w:rPr>
                <w:sz w:val="20"/>
              </w:rPr>
            </w:pPr>
            <w:r>
              <w:rPr>
                <w:spacing w:val="-5"/>
                <w:sz w:val="20"/>
              </w:rPr>
              <w:t>164</w:t>
            </w:r>
          </w:p>
        </w:tc>
        <w:tc>
          <w:tcPr>
            <w:tcW w:w="2610" w:type="dxa"/>
            <w:vMerge w:val="restart"/>
          </w:tcPr>
          <w:p>
            <w:pPr>
              <w:pStyle w:val="TableParagraph"/>
              <w:spacing w:before="45"/>
              <w:ind w:left="193" w:right="153"/>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1)</w:t>
            </w:r>
          </w:p>
        </w:tc>
        <w:tc>
          <w:tcPr>
            <w:tcW w:w="5008" w:type="dxa"/>
          </w:tcPr>
          <w:p>
            <w:pPr>
              <w:pStyle w:val="TableParagraph"/>
              <w:spacing w:before="45"/>
              <w:ind w:right="786"/>
              <w:jc w:val="center"/>
              <w:rPr>
                <w:sz w:val="20"/>
              </w:rPr>
            </w:pPr>
            <w:r>
              <w:rPr>
                <w:w w:val="99"/>
                <w:sz w:val="20"/>
              </w:rPr>
              <w:t>-</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left="977" w:right="435"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gibp31</w:t>
            </w:r>
          </w:p>
        </w:tc>
        <w:tc>
          <w:tcPr>
            <w:tcW w:w="838" w:type="dxa"/>
          </w:tcPr>
          <w:p>
            <w:pPr>
              <w:pStyle w:val="TableParagraph"/>
              <w:spacing w:before="45"/>
              <w:ind w:right="50"/>
              <w:jc w:val="right"/>
              <w:rPr>
                <w:sz w:val="20"/>
              </w:rPr>
            </w:pPr>
            <w:r>
              <w:rPr>
                <w:spacing w:val="-4"/>
                <w:sz w:val="20"/>
              </w:rPr>
              <w:t>1,29</w:t>
            </w:r>
          </w:p>
        </w:tc>
      </w:tr>
      <w:tr>
        <w:trPr>
          <w:trHeight w:val="1940" w:hRule="atLeast"/>
        </w:trPr>
        <w:tc>
          <w:tcPr>
            <w:tcW w:w="978" w:type="dxa"/>
          </w:tcPr>
          <w:p>
            <w:pPr>
              <w:pStyle w:val="TableParagraph"/>
              <w:rPr>
                <w:sz w:val="18"/>
              </w:rPr>
            </w:pPr>
          </w:p>
        </w:tc>
        <w:tc>
          <w:tcPr>
            <w:tcW w:w="696" w:type="dxa"/>
          </w:tcPr>
          <w:p>
            <w:pPr>
              <w:pStyle w:val="TableParagraph"/>
              <w:rPr>
                <w:sz w:val="18"/>
              </w:rPr>
            </w:pPr>
          </w:p>
        </w:tc>
        <w:tc>
          <w:tcPr>
            <w:tcW w:w="2610" w:type="dxa"/>
            <w:vMerge/>
            <w:tcBorders>
              <w:top w:val="nil"/>
            </w:tcBorders>
          </w:tcPr>
          <w:p>
            <w:pPr>
              <w:rPr>
                <w:sz w:val="2"/>
                <w:szCs w:val="2"/>
              </w:rPr>
            </w:pPr>
          </w:p>
        </w:tc>
        <w:tc>
          <w:tcPr>
            <w:tcW w:w="5008" w:type="dxa"/>
          </w:tcPr>
          <w:p>
            <w:pPr>
              <w:pStyle w:val="TableParagraph"/>
              <w:rPr>
                <w:sz w:val="18"/>
              </w:rPr>
            </w:pPr>
          </w:p>
        </w:tc>
        <w:tc>
          <w:tcPr>
            <w:tcW w:w="1994" w:type="dxa"/>
          </w:tcPr>
          <w:p>
            <w:pPr>
              <w:pStyle w:val="TableParagraph"/>
              <w:rPr>
                <w:sz w:val="18"/>
              </w:rPr>
            </w:pPr>
          </w:p>
        </w:tc>
        <w:tc>
          <w:tcPr>
            <w:tcW w:w="3173" w:type="dxa"/>
          </w:tcPr>
          <w:p>
            <w:pPr>
              <w:pStyle w:val="TableParagraph"/>
              <w:spacing w:before="46"/>
              <w:ind w:left="1036" w:right="494"/>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895" w:right="358" w:firstLine="5"/>
              <w:jc w:val="center"/>
              <w:rPr>
                <w:sz w:val="20"/>
              </w:rPr>
            </w:pPr>
            <w:r>
              <w:rPr>
                <w:spacing w:val="-2"/>
                <w:sz w:val="20"/>
              </w:rPr>
              <w:t>классификационный </w:t>
            </w:r>
            <w:r>
              <w:rPr>
                <w:sz w:val="20"/>
              </w:rPr>
              <w:t>критерий: gibp01, gibp02,</w:t>
            </w:r>
            <w:r>
              <w:rPr>
                <w:spacing w:val="-13"/>
                <w:sz w:val="20"/>
              </w:rPr>
              <w:t> </w:t>
            </w:r>
            <w:r>
              <w:rPr>
                <w:sz w:val="20"/>
              </w:rPr>
              <w:t>gibp03,</w:t>
            </w:r>
            <w:r>
              <w:rPr>
                <w:spacing w:val="-12"/>
                <w:sz w:val="20"/>
              </w:rPr>
              <w:t> </w:t>
            </w:r>
            <w:r>
              <w:rPr>
                <w:sz w:val="20"/>
              </w:rPr>
              <w:t>gibp12, gibp18,</w:t>
            </w:r>
            <w:r>
              <w:rPr>
                <w:spacing w:val="-13"/>
                <w:sz w:val="20"/>
              </w:rPr>
              <w:t> </w:t>
            </w:r>
            <w:r>
              <w:rPr>
                <w:sz w:val="20"/>
              </w:rPr>
              <w:t>gibp26,</w:t>
            </w:r>
            <w:r>
              <w:rPr>
                <w:spacing w:val="-12"/>
                <w:sz w:val="20"/>
              </w:rPr>
              <w:t> </w:t>
            </w:r>
            <w:r>
              <w:rPr>
                <w:sz w:val="20"/>
              </w:rPr>
              <w:t>gibp30, </w:t>
            </w:r>
            <w:r>
              <w:rPr>
                <w:spacing w:val="-2"/>
                <w:sz w:val="20"/>
              </w:rPr>
              <w:t>gibp31</w:t>
            </w:r>
          </w:p>
        </w:tc>
        <w:tc>
          <w:tcPr>
            <w:tcW w:w="838" w:type="dxa"/>
          </w:tcPr>
          <w:p>
            <w:pPr>
              <w:pStyle w:val="TableParagraph"/>
              <w:rPr>
                <w:sz w:val="18"/>
              </w:rPr>
            </w:pPr>
          </w:p>
        </w:tc>
      </w:tr>
      <w:tr>
        <w:trPr>
          <w:trHeight w:val="505" w:hRule="atLeast"/>
        </w:trPr>
        <w:tc>
          <w:tcPr>
            <w:tcW w:w="978" w:type="dxa"/>
          </w:tcPr>
          <w:p>
            <w:pPr>
              <w:pStyle w:val="TableParagraph"/>
              <w:spacing w:before="45"/>
              <w:ind w:left="50"/>
              <w:rPr>
                <w:sz w:val="20"/>
              </w:rPr>
            </w:pPr>
            <w:r>
              <w:rPr>
                <w:spacing w:val="-2"/>
                <w:sz w:val="20"/>
              </w:rPr>
              <w:t>ds36.009</w:t>
            </w:r>
          </w:p>
        </w:tc>
        <w:tc>
          <w:tcPr>
            <w:tcW w:w="696" w:type="dxa"/>
          </w:tcPr>
          <w:p>
            <w:pPr>
              <w:pStyle w:val="TableParagraph"/>
              <w:spacing w:before="45"/>
              <w:ind w:left="200"/>
              <w:rPr>
                <w:sz w:val="20"/>
              </w:rPr>
            </w:pPr>
            <w:r>
              <w:rPr>
                <w:spacing w:val="-5"/>
                <w:sz w:val="20"/>
              </w:rPr>
              <w:t>165</w:t>
            </w:r>
          </w:p>
        </w:tc>
        <w:tc>
          <w:tcPr>
            <w:tcW w:w="2610" w:type="dxa"/>
          </w:tcPr>
          <w:p>
            <w:pPr>
              <w:pStyle w:val="TableParagraph"/>
              <w:spacing w:line="230" w:lineRule="atLeast" w:before="25"/>
              <w:ind w:left="193" w:right="358"/>
              <w:rPr>
                <w:sz w:val="20"/>
              </w:rPr>
            </w:pPr>
            <w:r>
              <w:rPr>
                <w:sz w:val="20"/>
              </w:rPr>
              <w:t>Лечение</w:t>
            </w:r>
            <w:r>
              <w:rPr>
                <w:spacing w:val="-13"/>
                <w:sz w:val="20"/>
              </w:rPr>
              <w:t> </w:t>
            </w:r>
            <w:r>
              <w:rPr>
                <w:sz w:val="20"/>
              </w:rPr>
              <w:t>с</w:t>
            </w:r>
            <w:r>
              <w:rPr>
                <w:spacing w:val="-12"/>
                <w:sz w:val="20"/>
              </w:rPr>
              <w:t> </w:t>
            </w:r>
            <w:r>
              <w:rPr>
                <w:sz w:val="20"/>
              </w:rPr>
              <w:t>применением </w:t>
            </w:r>
            <w:r>
              <w:rPr>
                <w:spacing w:val="-2"/>
                <w:sz w:val="20"/>
              </w:rPr>
              <w:t>генно-инженерных</w:t>
            </w:r>
          </w:p>
        </w:tc>
        <w:tc>
          <w:tcPr>
            <w:tcW w:w="5008" w:type="dxa"/>
          </w:tcPr>
          <w:p>
            <w:pPr>
              <w:pStyle w:val="TableParagraph"/>
              <w:spacing w:before="45"/>
              <w:ind w:right="786"/>
              <w:jc w:val="center"/>
              <w:rPr>
                <w:sz w:val="20"/>
              </w:rPr>
            </w:pPr>
            <w:r>
              <w:rPr>
                <w:w w:val="99"/>
                <w:sz w:val="20"/>
              </w:rPr>
              <w:t>-</w:t>
            </w:r>
          </w:p>
        </w:tc>
        <w:tc>
          <w:tcPr>
            <w:tcW w:w="1994" w:type="dxa"/>
          </w:tcPr>
          <w:p>
            <w:pPr>
              <w:pStyle w:val="TableParagraph"/>
              <w:spacing w:before="45"/>
              <w:ind w:left="949"/>
              <w:rPr>
                <w:sz w:val="20"/>
              </w:rPr>
            </w:pPr>
            <w:r>
              <w:rPr>
                <w:w w:val="99"/>
                <w:sz w:val="20"/>
              </w:rPr>
              <w:t>-</w:t>
            </w:r>
          </w:p>
        </w:tc>
        <w:tc>
          <w:tcPr>
            <w:tcW w:w="3173" w:type="dxa"/>
          </w:tcPr>
          <w:p>
            <w:pPr>
              <w:pStyle w:val="TableParagraph"/>
              <w:spacing w:line="230" w:lineRule="atLeast" w:before="25"/>
              <w:ind w:left="1046" w:right="481"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8" w:type="dxa"/>
          </w:tcPr>
          <w:p>
            <w:pPr>
              <w:pStyle w:val="TableParagraph"/>
              <w:spacing w:before="45"/>
              <w:ind w:right="50"/>
              <w:jc w:val="right"/>
              <w:rPr>
                <w:sz w:val="20"/>
              </w:rPr>
            </w:pPr>
            <w:r>
              <w:rPr>
                <w:spacing w:val="-4"/>
                <w:sz w:val="20"/>
              </w:rPr>
              <w:t>3,23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570"/>
        <w:gridCol w:w="3943"/>
        <w:gridCol w:w="2635"/>
        <w:gridCol w:w="2674"/>
        <w:gridCol w:w="799"/>
      </w:tblGrid>
      <w:tr>
        <w:trPr>
          <w:trHeight w:val="1424" w:hRule="atLeast"/>
        </w:trPr>
        <w:tc>
          <w:tcPr>
            <w:tcW w:w="978" w:type="dxa"/>
          </w:tcPr>
          <w:p>
            <w:pPr>
              <w:pStyle w:val="TableParagraph"/>
              <w:rPr>
                <w:sz w:val="18"/>
              </w:rPr>
            </w:pPr>
          </w:p>
        </w:tc>
        <w:tc>
          <w:tcPr>
            <w:tcW w:w="696" w:type="dxa"/>
          </w:tcPr>
          <w:p>
            <w:pPr>
              <w:pStyle w:val="TableParagraph"/>
              <w:rPr>
                <w:sz w:val="18"/>
              </w:rPr>
            </w:pPr>
          </w:p>
        </w:tc>
        <w:tc>
          <w:tcPr>
            <w:tcW w:w="3570" w:type="dxa"/>
          </w:tcPr>
          <w:p>
            <w:pPr>
              <w:pStyle w:val="TableParagraph"/>
              <w:ind w:left="193" w:right="1113"/>
              <w:rPr>
                <w:sz w:val="20"/>
              </w:rPr>
            </w:pPr>
            <w:r>
              <w:rPr>
                <w:spacing w:val="-2"/>
                <w:sz w:val="20"/>
              </w:rPr>
              <w:t>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2)</w:t>
            </w:r>
          </w:p>
        </w:tc>
        <w:tc>
          <w:tcPr>
            <w:tcW w:w="3943" w:type="dxa"/>
          </w:tcPr>
          <w:p>
            <w:pPr>
              <w:pStyle w:val="TableParagraph"/>
              <w:rPr>
                <w:sz w:val="18"/>
              </w:rPr>
            </w:pPr>
          </w:p>
        </w:tc>
        <w:tc>
          <w:tcPr>
            <w:tcW w:w="2635" w:type="dxa"/>
          </w:tcPr>
          <w:p>
            <w:pPr>
              <w:pStyle w:val="TableParagraph"/>
              <w:rPr>
                <w:sz w:val="18"/>
              </w:rPr>
            </w:pPr>
          </w:p>
        </w:tc>
        <w:tc>
          <w:tcPr>
            <w:tcW w:w="2674" w:type="dxa"/>
          </w:tcPr>
          <w:p>
            <w:pPr>
              <w:pStyle w:val="TableParagraph"/>
              <w:ind w:left="359" w:right="396" w:firstLine="4"/>
              <w:jc w:val="center"/>
              <w:rPr>
                <w:sz w:val="20"/>
              </w:rPr>
            </w:pPr>
            <w:r>
              <w:rPr>
                <w:spacing w:val="-4"/>
                <w:sz w:val="20"/>
              </w:rPr>
              <w:t>Иной </w:t>
            </w:r>
            <w:r>
              <w:rPr>
                <w:spacing w:val="-2"/>
                <w:sz w:val="20"/>
              </w:rPr>
              <w:t>классификационный </w:t>
            </w:r>
            <w:r>
              <w:rPr>
                <w:sz w:val="20"/>
              </w:rPr>
              <w:t>критерий: gibp01, gibp02, gibp06,gibp09, gibp13,</w:t>
            </w:r>
            <w:r>
              <w:rPr>
                <w:spacing w:val="-13"/>
                <w:sz w:val="20"/>
              </w:rPr>
              <w:t> </w:t>
            </w:r>
            <w:r>
              <w:rPr>
                <w:sz w:val="20"/>
              </w:rPr>
              <w:t>gibp15,</w:t>
            </w:r>
            <w:r>
              <w:rPr>
                <w:spacing w:val="-12"/>
                <w:sz w:val="20"/>
              </w:rPr>
              <w:t> </w:t>
            </w:r>
            <w:r>
              <w:rPr>
                <w:sz w:val="20"/>
              </w:rPr>
              <w:t>gibp17, gibp20,</w:t>
            </w:r>
            <w:r>
              <w:rPr>
                <w:spacing w:val="-6"/>
                <w:sz w:val="20"/>
              </w:rPr>
              <w:t> </w:t>
            </w:r>
            <w:r>
              <w:rPr>
                <w:sz w:val="20"/>
              </w:rPr>
              <w:t>gibp24,</w:t>
            </w:r>
            <w:r>
              <w:rPr>
                <w:spacing w:val="-7"/>
                <w:sz w:val="20"/>
              </w:rPr>
              <w:t> </w:t>
            </w:r>
            <w:r>
              <w:rPr>
                <w:spacing w:val="-2"/>
                <w:sz w:val="20"/>
              </w:rPr>
              <w:t>gibp26</w:t>
            </w:r>
          </w:p>
        </w:tc>
        <w:tc>
          <w:tcPr>
            <w:tcW w:w="799" w:type="dxa"/>
          </w:tcPr>
          <w:p>
            <w:pPr>
              <w:pStyle w:val="TableParagraph"/>
              <w:rPr>
                <w:sz w:val="18"/>
              </w:rPr>
            </w:pPr>
          </w:p>
        </w:tc>
      </w:tr>
      <w:tr>
        <w:trPr>
          <w:trHeight w:val="2400" w:hRule="atLeast"/>
        </w:trPr>
        <w:tc>
          <w:tcPr>
            <w:tcW w:w="978" w:type="dxa"/>
          </w:tcPr>
          <w:p>
            <w:pPr>
              <w:pStyle w:val="TableParagraph"/>
              <w:rPr>
                <w:sz w:val="18"/>
              </w:rPr>
            </w:pPr>
          </w:p>
        </w:tc>
        <w:tc>
          <w:tcPr>
            <w:tcW w:w="696"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5" w:type="dxa"/>
          </w:tcPr>
          <w:p>
            <w:pPr>
              <w:pStyle w:val="TableParagraph"/>
              <w:rPr>
                <w:sz w:val="18"/>
              </w:rPr>
            </w:pPr>
          </w:p>
        </w:tc>
        <w:tc>
          <w:tcPr>
            <w:tcW w:w="2674" w:type="dxa"/>
          </w:tcPr>
          <w:p>
            <w:pPr>
              <w:pStyle w:val="TableParagraph"/>
              <w:spacing w:before="45"/>
              <w:ind w:left="500" w:right="531"/>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spacing w:before="1"/>
              <w:ind w:left="359" w:right="396" w:firstLine="5"/>
              <w:jc w:val="center"/>
              <w:rPr>
                <w:sz w:val="20"/>
              </w:rPr>
            </w:pPr>
            <w:r>
              <w:rPr>
                <w:spacing w:val="-2"/>
                <w:sz w:val="20"/>
              </w:rPr>
              <w:t>классификационный </w:t>
            </w:r>
            <w:r>
              <w:rPr>
                <w:sz w:val="20"/>
              </w:rPr>
              <w:t>критерий: gibp04, gibp05,</w:t>
            </w:r>
            <w:r>
              <w:rPr>
                <w:spacing w:val="-13"/>
                <w:sz w:val="20"/>
              </w:rPr>
              <w:t> </w:t>
            </w:r>
            <w:r>
              <w:rPr>
                <w:sz w:val="20"/>
              </w:rPr>
              <w:t>gibp06,</w:t>
            </w:r>
            <w:r>
              <w:rPr>
                <w:spacing w:val="-12"/>
                <w:sz w:val="20"/>
              </w:rPr>
              <w:t> </w:t>
            </w:r>
            <w:r>
              <w:rPr>
                <w:sz w:val="20"/>
              </w:rPr>
              <w:t>gibp09, gibp13,</w:t>
            </w:r>
            <w:r>
              <w:rPr>
                <w:spacing w:val="-13"/>
                <w:sz w:val="20"/>
              </w:rPr>
              <w:t> </w:t>
            </w:r>
            <w:r>
              <w:rPr>
                <w:sz w:val="20"/>
              </w:rPr>
              <w:t>gibp14,</w:t>
            </w:r>
            <w:r>
              <w:rPr>
                <w:spacing w:val="-12"/>
                <w:sz w:val="20"/>
              </w:rPr>
              <w:t> </w:t>
            </w:r>
            <w:r>
              <w:rPr>
                <w:sz w:val="20"/>
              </w:rPr>
              <w:t>gibp15, gibp17,</w:t>
            </w:r>
            <w:r>
              <w:rPr>
                <w:spacing w:val="-13"/>
                <w:sz w:val="20"/>
              </w:rPr>
              <w:t> </w:t>
            </w:r>
            <w:r>
              <w:rPr>
                <w:sz w:val="20"/>
              </w:rPr>
              <w:t>gibp19,</w:t>
            </w:r>
            <w:r>
              <w:rPr>
                <w:spacing w:val="-12"/>
                <w:sz w:val="20"/>
              </w:rPr>
              <w:t> </w:t>
            </w:r>
            <w:r>
              <w:rPr>
                <w:sz w:val="20"/>
              </w:rPr>
              <w:t>gibp20, gibp21,</w:t>
            </w:r>
            <w:r>
              <w:rPr>
                <w:spacing w:val="-13"/>
                <w:sz w:val="20"/>
              </w:rPr>
              <w:t> </w:t>
            </w:r>
            <w:r>
              <w:rPr>
                <w:sz w:val="20"/>
              </w:rPr>
              <w:t>gibp23,</w:t>
            </w:r>
            <w:r>
              <w:rPr>
                <w:spacing w:val="-12"/>
                <w:sz w:val="20"/>
              </w:rPr>
              <w:t> </w:t>
            </w:r>
            <w:r>
              <w:rPr>
                <w:sz w:val="20"/>
              </w:rPr>
              <w:t>gibp24, gibp27, gibp29</w:t>
            </w:r>
          </w:p>
        </w:tc>
        <w:tc>
          <w:tcPr>
            <w:tcW w:w="799" w:type="dxa"/>
          </w:tcPr>
          <w:p>
            <w:pPr>
              <w:pStyle w:val="TableParagraph"/>
              <w:rPr>
                <w:sz w:val="18"/>
              </w:rPr>
            </w:pPr>
          </w:p>
        </w:tc>
      </w:tr>
      <w:tr>
        <w:trPr>
          <w:trHeight w:val="1479" w:hRule="atLeast"/>
        </w:trPr>
        <w:tc>
          <w:tcPr>
            <w:tcW w:w="978" w:type="dxa"/>
          </w:tcPr>
          <w:p>
            <w:pPr>
              <w:pStyle w:val="TableParagraph"/>
              <w:spacing w:before="45"/>
              <w:ind w:left="38" w:right="186"/>
              <w:jc w:val="center"/>
              <w:rPr>
                <w:sz w:val="20"/>
              </w:rPr>
            </w:pPr>
            <w:r>
              <w:rPr>
                <w:spacing w:val="-2"/>
                <w:sz w:val="20"/>
              </w:rPr>
              <w:t>ds36.010</w:t>
            </w:r>
          </w:p>
        </w:tc>
        <w:tc>
          <w:tcPr>
            <w:tcW w:w="696" w:type="dxa"/>
          </w:tcPr>
          <w:p>
            <w:pPr>
              <w:pStyle w:val="TableParagraph"/>
              <w:spacing w:before="45"/>
              <w:ind w:left="200"/>
              <w:rPr>
                <w:sz w:val="20"/>
              </w:rPr>
            </w:pPr>
            <w:r>
              <w:rPr>
                <w:spacing w:val="-5"/>
                <w:sz w:val="20"/>
              </w:rPr>
              <w:t>166</w:t>
            </w:r>
          </w:p>
        </w:tc>
        <w:tc>
          <w:tcPr>
            <w:tcW w:w="3570" w:type="dxa"/>
          </w:tcPr>
          <w:p>
            <w:pPr>
              <w:pStyle w:val="TableParagraph"/>
              <w:spacing w:before="45"/>
              <w:ind w:left="193" w:right="1113"/>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3)</w:t>
            </w:r>
          </w:p>
        </w:tc>
        <w:tc>
          <w:tcPr>
            <w:tcW w:w="3943" w:type="dxa"/>
          </w:tcPr>
          <w:p>
            <w:pPr>
              <w:pStyle w:val="TableParagraph"/>
              <w:spacing w:before="45"/>
              <w:ind w:left="1116"/>
              <w:rPr>
                <w:sz w:val="20"/>
              </w:rPr>
            </w:pPr>
            <w:r>
              <w:rPr>
                <w:w w:val="99"/>
                <w:sz w:val="20"/>
              </w:rPr>
              <w:t>-</w:t>
            </w:r>
          </w:p>
        </w:tc>
        <w:tc>
          <w:tcPr>
            <w:tcW w:w="2635" w:type="dxa"/>
          </w:tcPr>
          <w:p>
            <w:pPr>
              <w:pStyle w:val="TableParagraph"/>
              <w:spacing w:before="45"/>
              <w:ind w:right="457"/>
              <w:jc w:val="center"/>
              <w:rPr>
                <w:sz w:val="20"/>
              </w:rPr>
            </w:pPr>
            <w:r>
              <w:rPr>
                <w:w w:val="99"/>
                <w:sz w:val="20"/>
              </w:rPr>
              <w:t>-</w:t>
            </w:r>
          </w:p>
        </w:tc>
        <w:tc>
          <w:tcPr>
            <w:tcW w:w="2674" w:type="dxa"/>
          </w:tcPr>
          <w:p>
            <w:pPr>
              <w:pStyle w:val="TableParagraph"/>
              <w:spacing w:before="45"/>
              <w:ind w:left="441" w:right="472"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gibp08, </w:t>
            </w:r>
            <w:r>
              <w:rPr>
                <w:spacing w:val="-2"/>
                <w:sz w:val="20"/>
              </w:rPr>
              <w:t>gibp16,gibp28</w:t>
            </w:r>
          </w:p>
        </w:tc>
        <w:tc>
          <w:tcPr>
            <w:tcW w:w="799" w:type="dxa"/>
          </w:tcPr>
          <w:p>
            <w:pPr>
              <w:pStyle w:val="TableParagraph"/>
              <w:spacing w:before="45"/>
              <w:ind w:right="48"/>
              <w:jc w:val="right"/>
              <w:rPr>
                <w:sz w:val="20"/>
              </w:rPr>
            </w:pPr>
            <w:r>
              <w:rPr>
                <w:spacing w:val="-4"/>
                <w:sz w:val="20"/>
              </w:rPr>
              <w:t>8,93</w:t>
            </w:r>
          </w:p>
        </w:tc>
      </w:tr>
      <w:tr>
        <w:trPr>
          <w:trHeight w:val="1940" w:hRule="atLeast"/>
        </w:trPr>
        <w:tc>
          <w:tcPr>
            <w:tcW w:w="978" w:type="dxa"/>
          </w:tcPr>
          <w:p>
            <w:pPr>
              <w:pStyle w:val="TableParagraph"/>
              <w:rPr>
                <w:sz w:val="18"/>
              </w:rPr>
            </w:pPr>
          </w:p>
        </w:tc>
        <w:tc>
          <w:tcPr>
            <w:tcW w:w="696"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5" w:type="dxa"/>
          </w:tcPr>
          <w:p>
            <w:pPr>
              <w:pStyle w:val="TableParagraph"/>
              <w:rPr>
                <w:sz w:val="18"/>
              </w:rPr>
            </w:pPr>
          </w:p>
        </w:tc>
        <w:tc>
          <w:tcPr>
            <w:tcW w:w="2674" w:type="dxa"/>
          </w:tcPr>
          <w:p>
            <w:pPr>
              <w:pStyle w:val="TableParagraph"/>
              <w:spacing w:before="46"/>
              <w:ind w:left="500" w:right="531"/>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359" w:right="396" w:firstLine="5"/>
              <w:jc w:val="center"/>
              <w:rPr>
                <w:sz w:val="20"/>
              </w:rPr>
            </w:pPr>
            <w:r>
              <w:rPr>
                <w:spacing w:val="-2"/>
                <w:sz w:val="20"/>
              </w:rPr>
              <w:t>классификационный </w:t>
            </w:r>
            <w:r>
              <w:rPr>
                <w:sz w:val="20"/>
              </w:rPr>
              <w:t>критерий: gibp07, gibp08,</w:t>
            </w:r>
            <w:r>
              <w:rPr>
                <w:spacing w:val="-13"/>
                <w:sz w:val="20"/>
              </w:rPr>
              <w:t> </w:t>
            </w:r>
            <w:r>
              <w:rPr>
                <w:sz w:val="20"/>
              </w:rPr>
              <w:t>gibp10,</w:t>
            </w:r>
            <w:r>
              <w:rPr>
                <w:spacing w:val="-12"/>
                <w:sz w:val="20"/>
              </w:rPr>
              <w:t> </w:t>
            </w:r>
            <w:r>
              <w:rPr>
                <w:sz w:val="20"/>
              </w:rPr>
              <w:t>gibp11, gibp16,</w:t>
            </w:r>
            <w:r>
              <w:rPr>
                <w:spacing w:val="-13"/>
                <w:sz w:val="20"/>
              </w:rPr>
              <w:t> </w:t>
            </w:r>
            <w:r>
              <w:rPr>
                <w:sz w:val="20"/>
              </w:rPr>
              <w:t>gibp22,</w:t>
            </w:r>
            <w:r>
              <w:rPr>
                <w:spacing w:val="-12"/>
                <w:sz w:val="20"/>
              </w:rPr>
              <w:t> </w:t>
            </w:r>
            <w:r>
              <w:rPr>
                <w:sz w:val="20"/>
              </w:rPr>
              <w:t>gibp25, </w:t>
            </w:r>
            <w:r>
              <w:rPr>
                <w:spacing w:val="-2"/>
                <w:sz w:val="20"/>
              </w:rPr>
              <w:t>gibp28</w:t>
            </w:r>
          </w:p>
        </w:tc>
        <w:tc>
          <w:tcPr>
            <w:tcW w:w="799" w:type="dxa"/>
          </w:tcPr>
          <w:p>
            <w:pPr>
              <w:pStyle w:val="TableParagraph"/>
              <w:rPr>
                <w:sz w:val="18"/>
              </w:rPr>
            </w:pPr>
          </w:p>
        </w:tc>
      </w:tr>
      <w:tr>
        <w:trPr>
          <w:trHeight w:val="329" w:hRule="atLeast"/>
        </w:trPr>
        <w:tc>
          <w:tcPr>
            <w:tcW w:w="978" w:type="dxa"/>
          </w:tcPr>
          <w:p>
            <w:pPr>
              <w:pStyle w:val="TableParagraph"/>
              <w:spacing w:before="45"/>
              <w:ind w:left="39" w:right="186"/>
              <w:jc w:val="center"/>
              <w:rPr>
                <w:sz w:val="20"/>
              </w:rPr>
            </w:pPr>
            <w:r>
              <w:rPr>
                <w:spacing w:val="-4"/>
                <w:sz w:val="20"/>
              </w:rPr>
              <w:t>ds37</w:t>
            </w:r>
          </w:p>
        </w:tc>
        <w:tc>
          <w:tcPr>
            <w:tcW w:w="696" w:type="dxa"/>
          </w:tcPr>
          <w:p>
            <w:pPr>
              <w:pStyle w:val="TableParagraph"/>
              <w:spacing w:before="45"/>
              <w:ind w:left="250"/>
              <w:rPr>
                <w:sz w:val="20"/>
              </w:rPr>
            </w:pPr>
            <w:r>
              <w:rPr>
                <w:spacing w:val="-5"/>
                <w:sz w:val="20"/>
              </w:rPr>
              <w:t>37</w:t>
            </w:r>
          </w:p>
        </w:tc>
        <w:tc>
          <w:tcPr>
            <w:tcW w:w="3570" w:type="dxa"/>
          </w:tcPr>
          <w:p>
            <w:pPr>
              <w:pStyle w:val="TableParagraph"/>
              <w:rPr>
                <w:sz w:val="18"/>
              </w:rPr>
            </w:pPr>
          </w:p>
        </w:tc>
        <w:tc>
          <w:tcPr>
            <w:tcW w:w="3943" w:type="dxa"/>
          </w:tcPr>
          <w:p>
            <w:pPr>
              <w:pStyle w:val="TableParagraph"/>
              <w:spacing w:before="45"/>
              <w:ind w:left="1582" w:right="-29"/>
              <w:rPr>
                <w:sz w:val="20"/>
              </w:rPr>
            </w:pPr>
            <w:r>
              <w:rPr>
                <w:w w:val="95"/>
                <w:sz w:val="20"/>
              </w:rPr>
              <w:t>Медицинская</w:t>
            </w:r>
            <w:r>
              <w:rPr>
                <w:spacing w:val="43"/>
                <w:sz w:val="20"/>
              </w:rPr>
              <w:t> </w:t>
            </w:r>
            <w:r>
              <w:rPr>
                <w:spacing w:val="-2"/>
                <w:sz w:val="20"/>
              </w:rPr>
              <w:t>реабилитация</w:t>
            </w:r>
          </w:p>
        </w:tc>
        <w:tc>
          <w:tcPr>
            <w:tcW w:w="2635" w:type="dxa"/>
          </w:tcPr>
          <w:p>
            <w:pPr>
              <w:pStyle w:val="TableParagraph"/>
              <w:rPr>
                <w:sz w:val="18"/>
              </w:rPr>
            </w:pPr>
          </w:p>
        </w:tc>
        <w:tc>
          <w:tcPr>
            <w:tcW w:w="2674" w:type="dxa"/>
          </w:tcPr>
          <w:p>
            <w:pPr>
              <w:pStyle w:val="TableParagraph"/>
              <w:rPr>
                <w:sz w:val="18"/>
              </w:rPr>
            </w:pPr>
          </w:p>
        </w:tc>
        <w:tc>
          <w:tcPr>
            <w:tcW w:w="799" w:type="dxa"/>
          </w:tcPr>
          <w:p>
            <w:pPr>
              <w:pStyle w:val="TableParagraph"/>
              <w:spacing w:before="45"/>
              <w:ind w:right="48"/>
              <w:jc w:val="right"/>
              <w:rPr>
                <w:sz w:val="20"/>
              </w:rPr>
            </w:pPr>
            <w:r>
              <w:rPr>
                <w:spacing w:val="-4"/>
                <w:sz w:val="20"/>
              </w:rPr>
              <w:t>1,72</w:t>
            </w:r>
          </w:p>
        </w:tc>
      </w:tr>
      <w:tr>
        <w:trPr>
          <w:trHeight w:val="964" w:hRule="atLeast"/>
        </w:trPr>
        <w:tc>
          <w:tcPr>
            <w:tcW w:w="978" w:type="dxa"/>
          </w:tcPr>
          <w:p>
            <w:pPr>
              <w:pStyle w:val="TableParagraph"/>
              <w:spacing w:before="46"/>
              <w:ind w:left="38" w:right="186"/>
              <w:jc w:val="center"/>
              <w:rPr>
                <w:sz w:val="20"/>
              </w:rPr>
            </w:pPr>
            <w:r>
              <w:rPr>
                <w:spacing w:val="-2"/>
                <w:sz w:val="20"/>
              </w:rPr>
              <w:t>ds37.001</w:t>
            </w:r>
          </w:p>
        </w:tc>
        <w:tc>
          <w:tcPr>
            <w:tcW w:w="696" w:type="dxa"/>
          </w:tcPr>
          <w:p>
            <w:pPr>
              <w:pStyle w:val="TableParagraph"/>
              <w:spacing w:before="46"/>
              <w:ind w:left="200"/>
              <w:rPr>
                <w:sz w:val="20"/>
              </w:rPr>
            </w:pPr>
            <w:r>
              <w:rPr>
                <w:spacing w:val="-5"/>
                <w:sz w:val="20"/>
              </w:rPr>
              <w:t>167</w:t>
            </w:r>
          </w:p>
        </w:tc>
        <w:tc>
          <w:tcPr>
            <w:tcW w:w="3570" w:type="dxa"/>
          </w:tcPr>
          <w:p>
            <w:pPr>
              <w:pStyle w:val="TableParagraph"/>
              <w:spacing w:before="46"/>
              <w:ind w:left="193" w:right="1114"/>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w:t>
            </w:r>
          </w:p>
          <w:p>
            <w:pPr>
              <w:pStyle w:val="TableParagraph"/>
              <w:spacing w:line="230" w:lineRule="exact"/>
              <w:ind w:left="193" w:right="1531"/>
              <w:rPr>
                <w:sz w:val="20"/>
              </w:rPr>
            </w:pPr>
            <w:r>
              <w:rPr>
                <w:spacing w:val="-2"/>
                <w:sz w:val="20"/>
              </w:rPr>
              <w:t>заболеваниями </w:t>
            </w:r>
            <w:r>
              <w:rPr>
                <w:sz w:val="20"/>
              </w:rPr>
              <w:t>центральной</w:t>
            </w:r>
            <w:r>
              <w:rPr>
                <w:spacing w:val="-13"/>
                <w:sz w:val="20"/>
              </w:rPr>
              <w:t> </w:t>
            </w:r>
            <w:r>
              <w:rPr>
                <w:sz w:val="20"/>
              </w:rPr>
              <w:t>нервной</w:t>
            </w:r>
          </w:p>
        </w:tc>
        <w:tc>
          <w:tcPr>
            <w:tcW w:w="3943" w:type="dxa"/>
          </w:tcPr>
          <w:p>
            <w:pPr>
              <w:pStyle w:val="TableParagraph"/>
              <w:spacing w:before="46"/>
              <w:ind w:left="1116"/>
              <w:rPr>
                <w:sz w:val="20"/>
              </w:rPr>
            </w:pPr>
            <w:r>
              <w:rPr>
                <w:w w:val="99"/>
                <w:sz w:val="20"/>
              </w:rPr>
              <w:t>-</w:t>
            </w:r>
          </w:p>
        </w:tc>
        <w:tc>
          <w:tcPr>
            <w:tcW w:w="2635" w:type="dxa"/>
          </w:tcPr>
          <w:p>
            <w:pPr>
              <w:pStyle w:val="TableParagraph"/>
              <w:spacing w:before="46"/>
              <w:ind w:left="3" w:right="435"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74" w:type="dxa"/>
          </w:tcPr>
          <w:p>
            <w:pPr>
              <w:pStyle w:val="TableParagraph"/>
              <w:spacing w:before="46"/>
              <w:ind w:left="441" w:right="472" w:hanging="2"/>
              <w:jc w:val="center"/>
              <w:rPr>
                <w:sz w:val="20"/>
              </w:rPr>
            </w:pPr>
            <w:r>
              <w:rPr>
                <w:spacing w:val="-4"/>
                <w:sz w:val="20"/>
              </w:rPr>
              <w:t>Иной </w:t>
            </w:r>
            <w:r>
              <w:rPr>
                <w:spacing w:val="-2"/>
                <w:sz w:val="20"/>
              </w:rPr>
              <w:t>классификационный </w:t>
            </w:r>
            <w:r>
              <w:rPr>
                <w:sz w:val="20"/>
              </w:rPr>
              <w:t>критерий: rb2,</w:t>
            </w:r>
          </w:p>
          <w:p>
            <w:pPr>
              <w:pStyle w:val="TableParagraph"/>
              <w:spacing w:line="209" w:lineRule="exact"/>
              <w:ind w:left="1149" w:right="1133"/>
              <w:jc w:val="center"/>
              <w:rPr>
                <w:sz w:val="20"/>
              </w:rPr>
            </w:pPr>
            <w:r>
              <w:rPr>
                <w:spacing w:val="-4"/>
                <w:sz w:val="20"/>
              </w:rPr>
              <w:t>rbb2</w:t>
            </w:r>
          </w:p>
        </w:tc>
        <w:tc>
          <w:tcPr>
            <w:tcW w:w="799" w:type="dxa"/>
          </w:tcPr>
          <w:p>
            <w:pPr>
              <w:pStyle w:val="TableParagraph"/>
              <w:spacing w:before="46"/>
              <w:ind w:right="48"/>
              <w:jc w:val="right"/>
              <w:rPr>
                <w:sz w:val="20"/>
              </w:rPr>
            </w:pPr>
            <w:r>
              <w:rPr>
                <w:spacing w:val="-4"/>
                <w:sz w:val="20"/>
              </w:rPr>
              <w:t>1,98</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563"/>
        <w:gridCol w:w="2472"/>
        <w:gridCol w:w="4200"/>
        <w:gridCol w:w="2550"/>
        <w:gridCol w:w="837"/>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ind w:left="193" w:right="1177"/>
              <w:rPr>
                <w:sz w:val="20"/>
              </w:rPr>
            </w:pPr>
            <w:r>
              <w:rPr>
                <w:sz w:val="20"/>
              </w:rPr>
              <w:t>системы</w:t>
            </w:r>
            <w:r>
              <w:rPr>
                <w:spacing w:val="-13"/>
                <w:sz w:val="20"/>
              </w:rPr>
              <w:t> </w:t>
            </w:r>
            <w:r>
              <w:rPr>
                <w:sz w:val="20"/>
              </w:rPr>
              <w:t>(2</w:t>
            </w:r>
            <w:r>
              <w:rPr>
                <w:spacing w:val="-12"/>
                <w:sz w:val="20"/>
              </w:rPr>
              <w:t> </w:t>
            </w:r>
            <w:r>
              <w:rPr>
                <w:sz w:val="20"/>
              </w:rPr>
              <w:t>балла</w:t>
            </w:r>
            <w:r>
              <w:rPr>
                <w:spacing w:val="-13"/>
                <w:sz w:val="20"/>
              </w:rPr>
              <w:t> </w:t>
            </w:r>
            <w:r>
              <w:rPr>
                <w:sz w:val="20"/>
              </w:rPr>
              <w:t>по </w:t>
            </w: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ds37.002</w:t>
            </w:r>
          </w:p>
        </w:tc>
        <w:tc>
          <w:tcPr>
            <w:tcW w:w="696" w:type="dxa"/>
          </w:tcPr>
          <w:p>
            <w:pPr>
              <w:pStyle w:val="TableParagraph"/>
              <w:spacing w:line="215" w:lineRule="exact" w:before="45"/>
              <w:ind w:left="200"/>
              <w:rPr>
                <w:sz w:val="20"/>
              </w:rPr>
            </w:pPr>
            <w:r>
              <w:rPr>
                <w:spacing w:val="-5"/>
                <w:sz w:val="20"/>
              </w:rPr>
              <w:t>168</w:t>
            </w:r>
          </w:p>
        </w:tc>
        <w:tc>
          <w:tcPr>
            <w:tcW w:w="3563" w:type="dxa"/>
          </w:tcPr>
          <w:p>
            <w:pPr>
              <w:pStyle w:val="TableParagraph"/>
              <w:spacing w:line="215" w:lineRule="exact" w:before="45"/>
              <w:ind w:left="193"/>
              <w:rPr>
                <w:sz w:val="20"/>
              </w:rPr>
            </w:pPr>
            <w:r>
              <w:rPr>
                <w:spacing w:val="-2"/>
                <w:sz w:val="20"/>
              </w:rPr>
              <w:t>Медицинская</w:t>
            </w:r>
          </w:p>
        </w:tc>
        <w:tc>
          <w:tcPr>
            <w:tcW w:w="2472" w:type="dxa"/>
          </w:tcPr>
          <w:p>
            <w:pPr>
              <w:pStyle w:val="TableParagraph"/>
              <w:spacing w:line="215" w:lineRule="exact" w:before="45"/>
              <w:ind w:left="1123"/>
              <w:rPr>
                <w:sz w:val="20"/>
              </w:rPr>
            </w:pPr>
            <w:r>
              <w:rPr>
                <w:w w:val="99"/>
                <w:sz w:val="20"/>
              </w:rPr>
              <w:t>-</w:t>
            </w:r>
          </w:p>
        </w:tc>
        <w:tc>
          <w:tcPr>
            <w:tcW w:w="4200" w:type="dxa"/>
          </w:tcPr>
          <w:p>
            <w:pPr>
              <w:pStyle w:val="TableParagraph"/>
              <w:spacing w:line="215" w:lineRule="exact" w:before="45"/>
              <w:ind w:left="1276" w:right="350"/>
              <w:jc w:val="center"/>
              <w:rPr>
                <w:sz w:val="20"/>
              </w:rPr>
            </w:pPr>
            <w:r>
              <w:rPr>
                <w:sz w:val="20"/>
              </w:rPr>
              <w:t>B05.023.001,</w:t>
            </w:r>
            <w:r>
              <w:rPr>
                <w:spacing w:val="-9"/>
                <w:sz w:val="20"/>
              </w:rPr>
              <w:t> </w:t>
            </w:r>
            <w:r>
              <w:rPr>
                <w:spacing w:val="-2"/>
                <w:sz w:val="20"/>
              </w:rPr>
              <w:t>B05.024.001,</w:t>
            </w:r>
          </w:p>
        </w:tc>
        <w:tc>
          <w:tcPr>
            <w:tcW w:w="2550" w:type="dxa"/>
          </w:tcPr>
          <w:p>
            <w:pPr>
              <w:pStyle w:val="TableParagraph"/>
              <w:spacing w:line="215" w:lineRule="exact" w:before="45"/>
              <w:ind w:left="992" w:right="1074"/>
              <w:jc w:val="center"/>
              <w:rPr>
                <w:sz w:val="20"/>
              </w:rPr>
            </w:pPr>
            <w:r>
              <w:rPr>
                <w:spacing w:val="-4"/>
                <w:sz w:val="20"/>
              </w:rPr>
              <w:t>Иной</w:t>
            </w:r>
          </w:p>
        </w:tc>
        <w:tc>
          <w:tcPr>
            <w:tcW w:w="837" w:type="dxa"/>
          </w:tcPr>
          <w:p>
            <w:pPr>
              <w:pStyle w:val="TableParagraph"/>
              <w:spacing w:line="215" w:lineRule="exact" w:before="45"/>
              <w:ind w:right="49"/>
              <w:jc w:val="right"/>
              <w:rPr>
                <w:sz w:val="20"/>
              </w:rPr>
            </w:pPr>
            <w:r>
              <w:rPr>
                <w:spacing w:val="-4"/>
                <w:sz w:val="20"/>
              </w:rPr>
              <w:t>2,31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2"/>
                <w:sz w:val="20"/>
              </w:rPr>
              <w:t>реабилитация</w:t>
            </w:r>
            <w:r>
              <w:rPr>
                <w:spacing w:val="7"/>
                <w:sz w:val="20"/>
              </w:rPr>
              <w:t> </w:t>
            </w:r>
            <w:r>
              <w:rPr>
                <w:spacing w:val="-2"/>
                <w:sz w:val="20"/>
              </w:rPr>
              <w:t>пациентов</w:t>
            </w:r>
            <w:r>
              <w:rPr>
                <w:spacing w:val="7"/>
                <w:sz w:val="20"/>
              </w:rPr>
              <w:t> </w:t>
            </w:r>
            <w:r>
              <w:rPr>
                <w:spacing w:val="-10"/>
                <w:sz w:val="20"/>
              </w:rPr>
              <w:t>с</w:t>
            </w:r>
          </w:p>
        </w:tc>
        <w:tc>
          <w:tcPr>
            <w:tcW w:w="2472" w:type="dxa"/>
          </w:tcPr>
          <w:p>
            <w:pPr>
              <w:pStyle w:val="TableParagraph"/>
              <w:rPr>
                <w:sz w:val="16"/>
              </w:rPr>
            </w:pPr>
          </w:p>
        </w:tc>
        <w:tc>
          <w:tcPr>
            <w:tcW w:w="4200" w:type="dxa"/>
          </w:tcPr>
          <w:p>
            <w:pPr>
              <w:pStyle w:val="TableParagraph"/>
              <w:spacing w:line="210" w:lineRule="exact"/>
              <w:ind w:left="1278" w:right="350"/>
              <w:jc w:val="center"/>
              <w:rPr>
                <w:sz w:val="20"/>
              </w:rPr>
            </w:pPr>
            <w:r>
              <w:rPr>
                <w:sz w:val="20"/>
              </w:rPr>
              <w:t>B05.024.002,</w:t>
            </w:r>
            <w:r>
              <w:rPr>
                <w:spacing w:val="-9"/>
                <w:sz w:val="20"/>
              </w:rPr>
              <w:t> </w:t>
            </w:r>
            <w:r>
              <w:rPr>
                <w:spacing w:val="-2"/>
                <w:sz w:val="20"/>
              </w:rPr>
              <w:t>B05.024.003</w:t>
            </w:r>
          </w:p>
        </w:tc>
        <w:tc>
          <w:tcPr>
            <w:tcW w:w="2550" w:type="dxa"/>
          </w:tcPr>
          <w:p>
            <w:pPr>
              <w:pStyle w:val="TableParagraph"/>
              <w:spacing w:line="210"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2"/>
                <w:sz w:val="20"/>
              </w:rPr>
              <w:t>заболеваниями</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spacing w:line="210" w:lineRule="exact"/>
              <w:ind w:right="498"/>
              <w:jc w:val="right"/>
              <w:rPr>
                <w:sz w:val="20"/>
              </w:rPr>
            </w:pPr>
            <w:r>
              <w:rPr>
                <w:sz w:val="20"/>
              </w:rPr>
              <w:t>критерий:</w:t>
            </w:r>
            <w:r>
              <w:rPr>
                <w:spacing w:val="-7"/>
                <w:sz w:val="20"/>
              </w:rPr>
              <w:t> </w:t>
            </w:r>
            <w:r>
              <w:rPr>
                <w:sz w:val="20"/>
              </w:rPr>
              <w:t>rb3,</w:t>
            </w:r>
            <w:r>
              <w:rPr>
                <w:spacing w:val="-6"/>
                <w:sz w:val="20"/>
              </w:rPr>
              <w:t> </w:t>
            </w:r>
            <w:r>
              <w:rPr>
                <w:spacing w:val="-4"/>
                <w:sz w:val="20"/>
              </w:rPr>
              <w:t>rbb3</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центральной</w:t>
            </w:r>
            <w:r>
              <w:rPr>
                <w:spacing w:val="9"/>
                <w:sz w:val="20"/>
              </w:rPr>
              <w:t> </w:t>
            </w:r>
            <w:r>
              <w:rPr>
                <w:spacing w:val="-2"/>
                <w:sz w:val="20"/>
              </w:rPr>
              <w:t>нервной</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z w:val="20"/>
              </w:rPr>
              <w:t>системы</w:t>
            </w:r>
            <w:r>
              <w:rPr>
                <w:spacing w:val="-6"/>
                <w:sz w:val="20"/>
              </w:rPr>
              <w:t> </w:t>
            </w:r>
            <w:r>
              <w:rPr>
                <w:sz w:val="20"/>
              </w:rPr>
              <w:t>(3</w:t>
            </w:r>
            <w:r>
              <w:rPr>
                <w:spacing w:val="-4"/>
                <w:sz w:val="20"/>
              </w:rPr>
              <w:t> </w:t>
            </w:r>
            <w:r>
              <w:rPr>
                <w:sz w:val="20"/>
              </w:rPr>
              <w:t>балла</w:t>
            </w:r>
            <w:r>
              <w:rPr>
                <w:spacing w:val="-3"/>
                <w:sz w:val="20"/>
              </w:rPr>
              <w:t> </w:t>
            </w:r>
            <w:r>
              <w:rPr>
                <w:spacing w:val="-5"/>
                <w:sz w:val="20"/>
              </w:rPr>
              <w:t>по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81"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ds37.003</w:t>
            </w:r>
          </w:p>
        </w:tc>
        <w:tc>
          <w:tcPr>
            <w:tcW w:w="696" w:type="dxa"/>
          </w:tcPr>
          <w:p>
            <w:pPr>
              <w:pStyle w:val="TableParagraph"/>
              <w:spacing w:line="215" w:lineRule="exact" w:before="46"/>
              <w:ind w:left="200"/>
              <w:rPr>
                <w:sz w:val="20"/>
              </w:rPr>
            </w:pPr>
            <w:r>
              <w:rPr>
                <w:spacing w:val="-5"/>
                <w:sz w:val="20"/>
              </w:rPr>
              <w:t>169</w:t>
            </w:r>
          </w:p>
        </w:tc>
        <w:tc>
          <w:tcPr>
            <w:tcW w:w="3563" w:type="dxa"/>
          </w:tcPr>
          <w:p>
            <w:pPr>
              <w:pStyle w:val="TableParagraph"/>
              <w:spacing w:line="215" w:lineRule="exact" w:before="46"/>
              <w:ind w:left="193"/>
              <w:rPr>
                <w:sz w:val="20"/>
              </w:rPr>
            </w:pPr>
            <w:r>
              <w:rPr>
                <w:spacing w:val="-2"/>
                <w:sz w:val="20"/>
              </w:rPr>
              <w:t>Медицинская</w:t>
            </w:r>
          </w:p>
        </w:tc>
        <w:tc>
          <w:tcPr>
            <w:tcW w:w="2472" w:type="dxa"/>
          </w:tcPr>
          <w:p>
            <w:pPr>
              <w:pStyle w:val="TableParagraph"/>
              <w:spacing w:line="215" w:lineRule="exact" w:before="46"/>
              <w:ind w:left="1123"/>
              <w:rPr>
                <w:sz w:val="20"/>
              </w:rPr>
            </w:pPr>
            <w:r>
              <w:rPr>
                <w:w w:val="99"/>
                <w:sz w:val="20"/>
              </w:rPr>
              <w:t>-</w:t>
            </w:r>
          </w:p>
        </w:tc>
        <w:tc>
          <w:tcPr>
            <w:tcW w:w="4200" w:type="dxa"/>
          </w:tcPr>
          <w:p>
            <w:pPr>
              <w:pStyle w:val="TableParagraph"/>
              <w:spacing w:line="215" w:lineRule="exact" w:before="46"/>
              <w:ind w:left="1278" w:right="350"/>
              <w:jc w:val="center"/>
              <w:rPr>
                <w:sz w:val="20"/>
              </w:rPr>
            </w:pPr>
            <w:r>
              <w:rPr>
                <w:w w:val="95"/>
                <w:sz w:val="20"/>
              </w:rPr>
              <w:t>B05.023.002.002,</w:t>
            </w:r>
            <w:r>
              <w:rPr>
                <w:spacing w:val="59"/>
                <w:sz w:val="20"/>
              </w:rPr>
              <w:t> </w:t>
            </w:r>
            <w:r>
              <w:rPr>
                <w:spacing w:val="-2"/>
                <w:sz w:val="20"/>
              </w:rPr>
              <w:t>B05.050.003,</w:t>
            </w:r>
          </w:p>
        </w:tc>
        <w:tc>
          <w:tcPr>
            <w:tcW w:w="2550" w:type="dxa"/>
          </w:tcPr>
          <w:p>
            <w:pPr>
              <w:pStyle w:val="TableParagraph"/>
              <w:spacing w:line="215" w:lineRule="exact" w:before="46"/>
              <w:ind w:left="992" w:right="1074"/>
              <w:jc w:val="center"/>
              <w:rPr>
                <w:sz w:val="20"/>
              </w:rPr>
            </w:pPr>
            <w:r>
              <w:rPr>
                <w:spacing w:val="-4"/>
                <w:sz w:val="20"/>
              </w:rPr>
              <w:t>Иной</w:t>
            </w:r>
          </w:p>
        </w:tc>
        <w:tc>
          <w:tcPr>
            <w:tcW w:w="837" w:type="dxa"/>
          </w:tcPr>
          <w:p>
            <w:pPr>
              <w:pStyle w:val="TableParagraph"/>
              <w:spacing w:line="215" w:lineRule="exact" w:before="46"/>
              <w:ind w:right="49"/>
              <w:jc w:val="right"/>
              <w:rPr>
                <w:sz w:val="20"/>
              </w:rPr>
            </w:pPr>
            <w:r>
              <w:rPr>
                <w:spacing w:val="-4"/>
                <w:sz w:val="20"/>
              </w:rPr>
              <w:t>1,52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реабилитация</w:t>
            </w:r>
            <w:r>
              <w:rPr>
                <w:spacing w:val="7"/>
                <w:sz w:val="20"/>
              </w:rPr>
              <w:t> </w:t>
            </w:r>
            <w:r>
              <w:rPr>
                <w:spacing w:val="-2"/>
                <w:sz w:val="20"/>
              </w:rPr>
              <w:t>пациентов</w:t>
            </w:r>
            <w:r>
              <w:rPr>
                <w:spacing w:val="7"/>
                <w:sz w:val="20"/>
              </w:rPr>
              <w:t> </w:t>
            </w:r>
            <w:r>
              <w:rPr>
                <w:spacing w:val="-10"/>
                <w:sz w:val="20"/>
              </w:rPr>
              <w:t>с</w:t>
            </w:r>
          </w:p>
        </w:tc>
        <w:tc>
          <w:tcPr>
            <w:tcW w:w="2472" w:type="dxa"/>
          </w:tcPr>
          <w:p>
            <w:pPr>
              <w:pStyle w:val="TableParagraph"/>
              <w:rPr>
                <w:sz w:val="16"/>
              </w:rPr>
            </w:pPr>
          </w:p>
        </w:tc>
        <w:tc>
          <w:tcPr>
            <w:tcW w:w="4200" w:type="dxa"/>
          </w:tcPr>
          <w:p>
            <w:pPr>
              <w:pStyle w:val="TableParagraph"/>
              <w:spacing w:line="209" w:lineRule="exact"/>
              <w:ind w:left="1278" w:right="348"/>
              <w:jc w:val="center"/>
              <w:rPr>
                <w:sz w:val="20"/>
              </w:rPr>
            </w:pPr>
            <w:r>
              <w:rPr>
                <w:spacing w:val="-2"/>
                <w:sz w:val="20"/>
              </w:rPr>
              <w:t>B05.050.005</w:t>
            </w:r>
          </w:p>
        </w:tc>
        <w:tc>
          <w:tcPr>
            <w:tcW w:w="2550" w:type="dxa"/>
          </w:tcPr>
          <w:p>
            <w:pPr>
              <w:pStyle w:val="TableParagraph"/>
              <w:spacing w:line="209" w:lineRule="exact"/>
              <w:ind w:right="433"/>
              <w:jc w:val="right"/>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w w:val="95"/>
                <w:sz w:val="20"/>
              </w:rPr>
              <w:t>заболеваниями</w:t>
            </w:r>
            <w:r>
              <w:rPr>
                <w:spacing w:val="49"/>
                <w:sz w:val="20"/>
              </w:rPr>
              <w:t> </w:t>
            </w:r>
            <w:r>
              <w:rPr>
                <w:spacing w:val="-2"/>
                <w:sz w:val="20"/>
              </w:rPr>
              <w:t>опорно-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spacing w:line="209" w:lineRule="exact"/>
              <w:ind w:left="649"/>
              <w:rPr>
                <w:sz w:val="20"/>
              </w:rPr>
            </w:pPr>
            <w:r>
              <w:rPr>
                <w:sz w:val="20"/>
              </w:rPr>
              <w:t>критерий:</w:t>
            </w:r>
            <w:r>
              <w:rPr>
                <w:spacing w:val="-13"/>
                <w:sz w:val="20"/>
              </w:rPr>
              <w:t> </w:t>
            </w:r>
            <w:r>
              <w:rPr>
                <w:spacing w:val="-5"/>
                <w:sz w:val="20"/>
              </w:rPr>
              <w:t>rb2</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двигательного</w:t>
            </w:r>
            <w:r>
              <w:rPr>
                <w:spacing w:val="-12"/>
                <w:sz w:val="20"/>
              </w:rPr>
              <w:t> </w:t>
            </w:r>
            <w:r>
              <w:rPr>
                <w:sz w:val="20"/>
              </w:rPr>
              <w:t>аппарата</w:t>
            </w:r>
            <w:r>
              <w:rPr>
                <w:spacing w:val="-11"/>
                <w:sz w:val="20"/>
              </w:rPr>
              <w:t> </w:t>
            </w:r>
            <w:r>
              <w:rPr>
                <w:spacing w:val="-10"/>
                <w:sz w:val="20"/>
              </w:rPr>
              <w:t>и</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w w:val="95"/>
                <w:sz w:val="20"/>
              </w:rPr>
              <w:t>периферической</w:t>
            </w:r>
            <w:r>
              <w:rPr>
                <w:spacing w:val="54"/>
                <w:sz w:val="20"/>
              </w:rPr>
              <w:t> </w:t>
            </w:r>
            <w:r>
              <w:rPr>
                <w:spacing w:val="-2"/>
                <w:sz w:val="20"/>
              </w:rPr>
              <w:t>нервной</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системы</w:t>
            </w:r>
            <w:r>
              <w:rPr>
                <w:spacing w:val="-6"/>
                <w:sz w:val="20"/>
              </w:rPr>
              <w:t> </w:t>
            </w:r>
            <w:r>
              <w:rPr>
                <w:sz w:val="20"/>
              </w:rPr>
              <w:t>(2</w:t>
            </w:r>
            <w:r>
              <w:rPr>
                <w:spacing w:val="-4"/>
                <w:sz w:val="20"/>
              </w:rPr>
              <w:t> </w:t>
            </w:r>
            <w:r>
              <w:rPr>
                <w:sz w:val="20"/>
              </w:rPr>
              <w:t>балла</w:t>
            </w:r>
            <w:r>
              <w:rPr>
                <w:spacing w:val="-3"/>
                <w:sz w:val="20"/>
              </w:rPr>
              <w:t> </w:t>
            </w:r>
            <w:r>
              <w:rPr>
                <w:spacing w:val="-5"/>
                <w:sz w:val="20"/>
              </w:rPr>
              <w:t>по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ds37.004</w:t>
            </w:r>
          </w:p>
        </w:tc>
        <w:tc>
          <w:tcPr>
            <w:tcW w:w="696" w:type="dxa"/>
          </w:tcPr>
          <w:p>
            <w:pPr>
              <w:pStyle w:val="TableParagraph"/>
              <w:spacing w:line="215" w:lineRule="exact" w:before="45"/>
              <w:ind w:left="200"/>
              <w:rPr>
                <w:sz w:val="20"/>
              </w:rPr>
            </w:pPr>
            <w:r>
              <w:rPr>
                <w:spacing w:val="-5"/>
                <w:sz w:val="20"/>
              </w:rPr>
              <w:t>170</w:t>
            </w:r>
          </w:p>
        </w:tc>
        <w:tc>
          <w:tcPr>
            <w:tcW w:w="3563" w:type="dxa"/>
          </w:tcPr>
          <w:p>
            <w:pPr>
              <w:pStyle w:val="TableParagraph"/>
              <w:spacing w:line="215" w:lineRule="exact" w:before="45"/>
              <w:ind w:left="193"/>
              <w:rPr>
                <w:sz w:val="20"/>
              </w:rPr>
            </w:pPr>
            <w:r>
              <w:rPr>
                <w:spacing w:val="-2"/>
                <w:sz w:val="20"/>
              </w:rPr>
              <w:t>Медицинская</w:t>
            </w:r>
          </w:p>
        </w:tc>
        <w:tc>
          <w:tcPr>
            <w:tcW w:w="2472" w:type="dxa"/>
          </w:tcPr>
          <w:p>
            <w:pPr>
              <w:pStyle w:val="TableParagraph"/>
              <w:spacing w:line="215" w:lineRule="exact" w:before="45"/>
              <w:ind w:left="1123"/>
              <w:rPr>
                <w:sz w:val="20"/>
              </w:rPr>
            </w:pPr>
            <w:r>
              <w:rPr>
                <w:w w:val="99"/>
                <w:sz w:val="20"/>
              </w:rPr>
              <w:t>-</w:t>
            </w:r>
          </w:p>
        </w:tc>
        <w:tc>
          <w:tcPr>
            <w:tcW w:w="4200" w:type="dxa"/>
          </w:tcPr>
          <w:p>
            <w:pPr>
              <w:pStyle w:val="TableParagraph"/>
              <w:spacing w:line="215" w:lineRule="exact" w:before="45"/>
              <w:ind w:left="1278" w:right="350"/>
              <w:jc w:val="center"/>
              <w:rPr>
                <w:sz w:val="20"/>
              </w:rPr>
            </w:pPr>
            <w:r>
              <w:rPr>
                <w:w w:val="95"/>
                <w:sz w:val="20"/>
              </w:rPr>
              <w:t>B05.023.002.002,</w:t>
            </w:r>
            <w:r>
              <w:rPr>
                <w:spacing w:val="59"/>
                <w:sz w:val="20"/>
              </w:rPr>
              <w:t> </w:t>
            </w:r>
            <w:r>
              <w:rPr>
                <w:spacing w:val="-2"/>
                <w:sz w:val="20"/>
              </w:rPr>
              <w:t>B05.050.003,</w:t>
            </w:r>
          </w:p>
        </w:tc>
        <w:tc>
          <w:tcPr>
            <w:tcW w:w="2550" w:type="dxa"/>
          </w:tcPr>
          <w:p>
            <w:pPr>
              <w:pStyle w:val="TableParagraph"/>
              <w:spacing w:line="215" w:lineRule="exact" w:before="45"/>
              <w:ind w:left="992" w:right="1074"/>
              <w:jc w:val="center"/>
              <w:rPr>
                <w:sz w:val="20"/>
              </w:rPr>
            </w:pPr>
            <w:r>
              <w:rPr>
                <w:spacing w:val="-4"/>
                <w:sz w:val="20"/>
              </w:rPr>
              <w:t>Иной</w:t>
            </w:r>
          </w:p>
        </w:tc>
        <w:tc>
          <w:tcPr>
            <w:tcW w:w="837" w:type="dxa"/>
          </w:tcPr>
          <w:p>
            <w:pPr>
              <w:pStyle w:val="TableParagraph"/>
              <w:spacing w:line="215" w:lineRule="exact" w:before="45"/>
              <w:ind w:right="49"/>
              <w:jc w:val="right"/>
              <w:rPr>
                <w:sz w:val="20"/>
              </w:rPr>
            </w:pPr>
            <w:r>
              <w:rPr>
                <w:spacing w:val="-4"/>
                <w:sz w:val="20"/>
              </w:rPr>
              <w:t>1,82</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1" w:lineRule="exact"/>
              <w:ind w:left="193"/>
              <w:rPr>
                <w:sz w:val="20"/>
              </w:rPr>
            </w:pPr>
            <w:r>
              <w:rPr>
                <w:spacing w:val="-2"/>
                <w:sz w:val="20"/>
              </w:rPr>
              <w:t>реабилитация</w:t>
            </w:r>
            <w:r>
              <w:rPr>
                <w:spacing w:val="7"/>
                <w:sz w:val="20"/>
              </w:rPr>
              <w:t> </w:t>
            </w:r>
            <w:r>
              <w:rPr>
                <w:spacing w:val="-2"/>
                <w:sz w:val="20"/>
              </w:rPr>
              <w:t>пациентов</w:t>
            </w:r>
            <w:r>
              <w:rPr>
                <w:spacing w:val="7"/>
                <w:sz w:val="20"/>
              </w:rPr>
              <w:t> </w:t>
            </w:r>
            <w:r>
              <w:rPr>
                <w:spacing w:val="-10"/>
                <w:sz w:val="20"/>
              </w:rPr>
              <w:t>с</w:t>
            </w:r>
          </w:p>
        </w:tc>
        <w:tc>
          <w:tcPr>
            <w:tcW w:w="2472" w:type="dxa"/>
          </w:tcPr>
          <w:p>
            <w:pPr>
              <w:pStyle w:val="TableParagraph"/>
              <w:rPr>
                <w:sz w:val="16"/>
              </w:rPr>
            </w:pPr>
          </w:p>
        </w:tc>
        <w:tc>
          <w:tcPr>
            <w:tcW w:w="4200" w:type="dxa"/>
          </w:tcPr>
          <w:p>
            <w:pPr>
              <w:pStyle w:val="TableParagraph"/>
              <w:spacing w:line="211" w:lineRule="exact"/>
              <w:ind w:left="1278" w:right="348"/>
              <w:jc w:val="center"/>
              <w:rPr>
                <w:sz w:val="20"/>
              </w:rPr>
            </w:pPr>
            <w:r>
              <w:rPr>
                <w:spacing w:val="-2"/>
                <w:sz w:val="20"/>
              </w:rPr>
              <w:t>B05.050.005</w:t>
            </w:r>
          </w:p>
        </w:tc>
        <w:tc>
          <w:tcPr>
            <w:tcW w:w="2550" w:type="dxa"/>
          </w:tcPr>
          <w:p>
            <w:pPr>
              <w:pStyle w:val="TableParagraph"/>
              <w:spacing w:line="211"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1" w:lineRule="exact"/>
              <w:ind w:left="193"/>
              <w:rPr>
                <w:sz w:val="20"/>
              </w:rPr>
            </w:pPr>
            <w:r>
              <w:rPr>
                <w:w w:val="95"/>
                <w:sz w:val="20"/>
              </w:rPr>
              <w:t>заболеваниями</w:t>
            </w:r>
            <w:r>
              <w:rPr>
                <w:spacing w:val="49"/>
                <w:sz w:val="20"/>
              </w:rPr>
              <w:t> </w:t>
            </w:r>
            <w:r>
              <w:rPr>
                <w:spacing w:val="-2"/>
                <w:sz w:val="20"/>
              </w:rPr>
              <w:t>опорно-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spacing w:line="211" w:lineRule="exact"/>
              <w:ind w:left="649"/>
              <w:rPr>
                <w:sz w:val="20"/>
              </w:rPr>
            </w:pPr>
            <w:r>
              <w:rPr>
                <w:sz w:val="20"/>
              </w:rPr>
              <w:t>критерий:</w:t>
            </w:r>
            <w:r>
              <w:rPr>
                <w:spacing w:val="-13"/>
                <w:sz w:val="20"/>
              </w:rPr>
              <w:t> </w:t>
            </w:r>
            <w:r>
              <w:rPr>
                <w:spacing w:val="-5"/>
                <w:sz w:val="20"/>
              </w:rPr>
              <w:t>rb3</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двигательного</w:t>
            </w:r>
            <w:r>
              <w:rPr>
                <w:spacing w:val="-12"/>
                <w:sz w:val="20"/>
              </w:rPr>
              <w:t> </w:t>
            </w:r>
            <w:r>
              <w:rPr>
                <w:sz w:val="20"/>
              </w:rPr>
              <w:t>аппарата</w:t>
            </w:r>
            <w:r>
              <w:rPr>
                <w:spacing w:val="-11"/>
                <w:sz w:val="20"/>
              </w:rPr>
              <w:t> </w:t>
            </w:r>
            <w:r>
              <w:rPr>
                <w:spacing w:val="-10"/>
                <w:sz w:val="20"/>
              </w:rPr>
              <w:t>и</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w w:val="95"/>
                <w:sz w:val="20"/>
              </w:rPr>
              <w:t>периферической</w:t>
            </w:r>
            <w:r>
              <w:rPr>
                <w:spacing w:val="54"/>
                <w:sz w:val="20"/>
              </w:rPr>
              <w:t> </w:t>
            </w:r>
            <w:r>
              <w:rPr>
                <w:spacing w:val="-2"/>
                <w:sz w:val="20"/>
              </w:rPr>
              <w:t>нервной</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z w:val="20"/>
              </w:rPr>
              <w:t>системы</w:t>
            </w:r>
            <w:r>
              <w:rPr>
                <w:spacing w:val="-6"/>
                <w:sz w:val="20"/>
              </w:rPr>
              <w:t> </w:t>
            </w:r>
            <w:r>
              <w:rPr>
                <w:sz w:val="20"/>
              </w:rPr>
              <w:t>(3</w:t>
            </w:r>
            <w:r>
              <w:rPr>
                <w:spacing w:val="-4"/>
                <w:sz w:val="20"/>
              </w:rPr>
              <w:t> </w:t>
            </w:r>
            <w:r>
              <w:rPr>
                <w:sz w:val="20"/>
              </w:rPr>
              <w:t>балла</w:t>
            </w:r>
            <w:r>
              <w:rPr>
                <w:spacing w:val="-3"/>
                <w:sz w:val="20"/>
              </w:rPr>
              <w:t> </w:t>
            </w:r>
            <w:r>
              <w:rPr>
                <w:spacing w:val="-5"/>
                <w:sz w:val="20"/>
              </w:rPr>
              <w:t>по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79" w:hRule="atLeast"/>
        </w:trPr>
        <w:tc>
          <w:tcPr>
            <w:tcW w:w="978" w:type="dxa"/>
          </w:tcPr>
          <w:p>
            <w:pPr>
              <w:pStyle w:val="TableParagraph"/>
              <w:spacing w:line="214" w:lineRule="exact" w:before="46"/>
              <w:ind w:left="50"/>
              <w:rPr>
                <w:sz w:val="20"/>
              </w:rPr>
            </w:pPr>
            <w:r>
              <w:rPr>
                <w:spacing w:val="-2"/>
                <w:sz w:val="20"/>
              </w:rPr>
              <w:t>ds37.005</w:t>
            </w:r>
          </w:p>
        </w:tc>
        <w:tc>
          <w:tcPr>
            <w:tcW w:w="696" w:type="dxa"/>
          </w:tcPr>
          <w:p>
            <w:pPr>
              <w:pStyle w:val="TableParagraph"/>
              <w:spacing w:line="214" w:lineRule="exact" w:before="46"/>
              <w:ind w:left="200"/>
              <w:rPr>
                <w:sz w:val="20"/>
              </w:rPr>
            </w:pPr>
            <w:r>
              <w:rPr>
                <w:spacing w:val="-5"/>
                <w:sz w:val="20"/>
              </w:rPr>
              <w:t>171</w:t>
            </w:r>
          </w:p>
        </w:tc>
        <w:tc>
          <w:tcPr>
            <w:tcW w:w="3563" w:type="dxa"/>
          </w:tcPr>
          <w:p>
            <w:pPr>
              <w:pStyle w:val="TableParagraph"/>
              <w:spacing w:line="214" w:lineRule="exact" w:before="46"/>
              <w:ind w:left="193"/>
              <w:rPr>
                <w:sz w:val="20"/>
              </w:rPr>
            </w:pPr>
            <w:r>
              <w:rPr>
                <w:spacing w:val="-2"/>
                <w:sz w:val="20"/>
              </w:rPr>
              <w:t>Медицинская</w:t>
            </w:r>
          </w:p>
        </w:tc>
        <w:tc>
          <w:tcPr>
            <w:tcW w:w="2472" w:type="dxa"/>
          </w:tcPr>
          <w:p>
            <w:pPr>
              <w:pStyle w:val="TableParagraph"/>
              <w:spacing w:line="214" w:lineRule="exact" w:before="46"/>
              <w:ind w:left="1123"/>
              <w:rPr>
                <w:sz w:val="20"/>
              </w:rPr>
            </w:pPr>
            <w:r>
              <w:rPr>
                <w:w w:val="99"/>
                <w:sz w:val="20"/>
              </w:rPr>
              <w:t>-</w:t>
            </w:r>
          </w:p>
        </w:tc>
        <w:tc>
          <w:tcPr>
            <w:tcW w:w="4200" w:type="dxa"/>
          </w:tcPr>
          <w:p>
            <w:pPr>
              <w:pStyle w:val="TableParagraph"/>
              <w:spacing w:line="214" w:lineRule="exact" w:before="46"/>
              <w:ind w:left="1276" w:right="350"/>
              <w:jc w:val="center"/>
              <w:rPr>
                <w:sz w:val="20"/>
              </w:rPr>
            </w:pPr>
            <w:r>
              <w:rPr>
                <w:sz w:val="20"/>
              </w:rPr>
              <w:t>B05.015.001,</w:t>
            </w:r>
            <w:r>
              <w:rPr>
                <w:spacing w:val="-9"/>
                <w:sz w:val="20"/>
              </w:rPr>
              <w:t> </w:t>
            </w:r>
            <w:r>
              <w:rPr>
                <w:spacing w:val="-2"/>
                <w:sz w:val="20"/>
              </w:rPr>
              <w:t>B05.043.001,</w:t>
            </w:r>
          </w:p>
        </w:tc>
        <w:tc>
          <w:tcPr>
            <w:tcW w:w="2550" w:type="dxa"/>
          </w:tcPr>
          <w:p>
            <w:pPr>
              <w:pStyle w:val="TableParagraph"/>
              <w:spacing w:line="214" w:lineRule="exact" w:before="46"/>
              <w:ind w:left="992" w:right="1074"/>
              <w:jc w:val="center"/>
              <w:rPr>
                <w:sz w:val="20"/>
              </w:rPr>
            </w:pPr>
            <w:r>
              <w:rPr>
                <w:spacing w:val="-4"/>
                <w:sz w:val="20"/>
              </w:rPr>
              <w:t>Иной</w:t>
            </w:r>
          </w:p>
        </w:tc>
        <w:tc>
          <w:tcPr>
            <w:tcW w:w="837" w:type="dxa"/>
          </w:tcPr>
          <w:p>
            <w:pPr>
              <w:pStyle w:val="TableParagraph"/>
              <w:spacing w:line="214" w:lineRule="exact" w:before="46"/>
              <w:ind w:right="49"/>
              <w:jc w:val="right"/>
              <w:rPr>
                <w:sz w:val="20"/>
              </w:rPr>
            </w:pPr>
            <w:r>
              <w:rPr>
                <w:spacing w:val="-4"/>
                <w:sz w:val="20"/>
              </w:rPr>
              <w:t>1,39</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кардиореабилитация</w:t>
            </w:r>
          </w:p>
        </w:tc>
        <w:tc>
          <w:tcPr>
            <w:tcW w:w="2472" w:type="dxa"/>
          </w:tcPr>
          <w:p>
            <w:pPr>
              <w:pStyle w:val="TableParagraph"/>
              <w:rPr>
                <w:sz w:val="16"/>
              </w:rPr>
            </w:pPr>
          </w:p>
        </w:tc>
        <w:tc>
          <w:tcPr>
            <w:tcW w:w="4200" w:type="dxa"/>
          </w:tcPr>
          <w:p>
            <w:pPr>
              <w:pStyle w:val="TableParagraph"/>
              <w:spacing w:line="209" w:lineRule="exact"/>
              <w:ind w:left="1278" w:right="350"/>
              <w:jc w:val="center"/>
              <w:rPr>
                <w:sz w:val="20"/>
              </w:rPr>
            </w:pPr>
            <w:r>
              <w:rPr>
                <w:sz w:val="20"/>
              </w:rPr>
              <w:t>B05.057.003,</w:t>
            </w:r>
            <w:r>
              <w:rPr>
                <w:spacing w:val="-9"/>
                <w:sz w:val="20"/>
              </w:rPr>
              <w:t> </w:t>
            </w:r>
            <w:r>
              <w:rPr>
                <w:spacing w:val="-2"/>
                <w:sz w:val="20"/>
              </w:rPr>
              <w:t>B05.057.007</w:t>
            </w:r>
          </w:p>
        </w:tc>
        <w:tc>
          <w:tcPr>
            <w:tcW w:w="2550" w:type="dxa"/>
          </w:tcPr>
          <w:p>
            <w:pPr>
              <w:pStyle w:val="TableParagraph"/>
              <w:spacing w:line="209"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z w:val="20"/>
              </w:rPr>
              <w:t>(2</w:t>
            </w:r>
            <w:r>
              <w:rPr>
                <w:spacing w:val="-4"/>
                <w:sz w:val="20"/>
              </w:rPr>
              <w:t> </w:t>
            </w:r>
            <w:r>
              <w:rPr>
                <w:sz w:val="20"/>
              </w:rPr>
              <w:t>балла</w:t>
            </w:r>
            <w:r>
              <w:rPr>
                <w:spacing w:val="-4"/>
                <w:sz w:val="20"/>
              </w:rPr>
              <w:t> </w:t>
            </w:r>
            <w:r>
              <w:rPr>
                <w:sz w:val="20"/>
              </w:rPr>
              <w:t>по</w:t>
            </w:r>
            <w:r>
              <w:rPr>
                <w:spacing w:val="-4"/>
                <w:sz w:val="20"/>
              </w:rPr>
              <w:t> 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spacing w:line="226" w:lineRule="exact"/>
              <w:ind w:left="649"/>
              <w:rPr>
                <w:sz w:val="20"/>
              </w:rPr>
            </w:pPr>
            <w:r>
              <w:rPr>
                <w:sz w:val="20"/>
              </w:rPr>
              <w:t>критерий:</w:t>
            </w:r>
            <w:r>
              <w:rPr>
                <w:spacing w:val="-13"/>
                <w:sz w:val="20"/>
              </w:rPr>
              <w:t> </w:t>
            </w:r>
            <w:r>
              <w:rPr>
                <w:spacing w:val="-5"/>
                <w:sz w:val="20"/>
              </w:rPr>
              <w:t>rb2</w:t>
            </w:r>
          </w:p>
        </w:tc>
        <w:tc>
          <w:tcPr>
            <w:tcW w:w="837"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ds37.006</w:t>
            </w:r>
          </w:p>
        </w:tc>
        <w:tc>
          <w:tcPr>
            <w:tcW w:w="696" w:type="dxa"/>
          </w:tcPr>
          <w:p>
            <w:pPr>
              <w:pStyle w:val="TableParagraph"/>
              <w:spacing w:line="215" w:lineRule="exact" w:before="46"/>
              <w:ind w:left="200"/>
              <w:rPr>
                <w:sz w:val="20"/>
              </w:rPr>
            </w:pPr>
            <w:r>
              <w:rPr>
                <w:spacing w:val="-5"/>
                <w:sz w:val="20"/>
              </w:rPr>
              <w:t>172</w:t>
            </w:r>
          </w:p>
        </w:tc>
        <w:tc>
          <w:tcPr>
            <w:tcW w:w="3563" w:type="dxa"/>
          </w:tcPr>
          <w:p>
            <w:pPr>
              <w:pStyle w:val="TableParagraph"/>
              <w:spacing w:line="215" w:lineRule="exact" w:before="46"/>
              <w:ind w:left="193"/>
              <w:rPr>
                <w:sz w:val="20"/>
              </w:rPr>
            </w:pPr>
            <w:r>
              <w:rPr>
                <w:spacing w:val="-2"/>
                <w:sz w:val="20"/>
              </w:rPr>
              <w:t>Медицинская</w:t>
            </w:r>
          </w:p>
        </w:tc>
        <w:tc>
          <w:tcPr>
            <w:tcW w:w="2472" w:type="dxa"/>
          </w:tcPr>
          <w:p>
            <w:pPr>
              <w:pStyle w:val="TableParagraph"/>
              <w:spacing w:line="215" w:lineRule="exact" w:before="46"/>
              <w:ind w:left="1123"/>
              <w:rPr>
                <w:sz w:val="20"/>
              </w:rPr>
            </w:pPr>
            <w:r>
              <w:rPr>
                <w:w w:val="99"/>
                <w:sz w:val="20"/>
              </w:rPr>
              <w:t>-</w:t>
            </w:r>
          </w:p>
        </w:tc>
        <w:tc>
          <w:tcPr>
            <w:tcW w:w="4200" w:type="dxa"/>
          </w:tcPr>
          <w:p>
            <w:pPr>
              <w:pStyle w:val="TableParagraph"/>
              <w:spacing w:line="215" w:lineRule="exact" w:before="46"/>
              <w:ind w:left="1276" w:right="350"/>
              <w:jc w:val="center"/>
              <w:rPr>
                <w:sz w:val="20"/>
              </w:rPr>
            </w:pPr>
            <w:r>
              <w:rPr>
                <w:sz w:val="20"/>
              </w:rPr>
              <w:t>B05.015.001,</w:t>
            </w:r>
            <w:r>
              <w:rPr>
                <w:spacing w:val="-9"/>
                <w:sz w:val="20"/>
              </w:rPr>
              <w:t> </w:t>
            </w:r>
            <w:r>
              <w:rPr>
                <w:spacing w:val="-2"/>
                <w:sz w:val="20"/>
              </w:rPr>
              <w:t>B05.043.001,</w:t>
            </w:r>
          </w:p>
        </w:tc>
        <w:tc>
          <w:tcPr>
            <w:tcW w:w="2550" w:type="dxa"/>
          </w:tcPr>
          <w:p>
            <w:pPr>
              <w:pStyle w:val="TableParagraph"/>
              <w:spacing w:line="215" w:lineRule="exact" w:before="46"/>
              <w:ind w:left="992" w:right="1074"/>
              <w:jc w:val="center"/>
              <w:rPr>
                <w:sz w:val="20"/>
              </w:rPr>
            </w:pPr>
            <w:r>
              <w:rPr>
                <w:spacing w:val="-4"/>
                <w:sz w:val="20"/>
              </w:rPr>
              <w:t>Иной</w:t>
            </w:r>
          </w:p>
        </w:tc>
        <w:tc>
          <w:tcPr>
            <w:tcW w:w="837" w:type="dxa"/>
          </w:tcPr>
          <w:p>
            <w:pPr>
              <w:pStyle w:val="TableParagraph"/>
              <w:spacing w:line="215" w:lineRule="exact" w:before="46"/>
              <w:ind w:right="49"/>
              <w:jc w:val="right"/>
              <w:rPr>
                <w:sz w:val="20"/>
              </w:rPr>
            </w:pPr>
            <w:r>
              <w:rPr>
                <w:spacing w:val="-4"/>
                <w:sz w:val="20"/>
              </w:rPr>
              <w:t>1,67</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2"/>
                <w:sz w:val="20"/>
              </w:rPr>
              <w:t>кардиореабилитация</w:t>
            </w:r>
          </w:p>
        </w:tc>
        <w:tc>
          <w:tcPr>
            <w:tcW w:w="2472" w:type="dxa"/>
          </w:tcPr>
          <w:p>
            <w:pPr>
              <w:pStyle w:val="TableParagraph"/>
              <w:rPr>
                <w:sz w:val="16"/>
              </w:rPr>
            </w:pPr>
          </w:p>
        </w:tc>
        <w:tc>
          <w:tcPr>
            <w:tcW w:w="4200" w:type="dxa"/>
          </w:tcPr>
          <w:p>
            <w:pPr>
              <w:pStyle w:val="TableParagraph"/>
              <w:spacing w:line="210" w:lineRule="exact"/>
              <w:ind w:left="1278" w:right="349"/>
              <w:jc w:val="center"/>
              <w:rPr>
                <w:sz w:val="20"/>
              </w:rPr>
            </w:pPr>
            <w:r>
              <w:rPr>
                <w:sz w:val="20"/>
              </w:rPr>
              <w:t>B05.057.003,</w:t>
            </w:r>
            <w:r>
              <w:rPr>
                <w:spacing w:val="-7"/>
                <w:sz w:val="20"/>
              </w:rPr>
              <w:t> </w:t>
            </w:r>
            <w:r>
              <w:rPr>
                <w:spacing w:val="-2"/>
                <w:sz w:val="20"/>
              </w:rPr>
              <w:t>B05.057.007</w:t>
            </w:r>
          </w:p>
        </w:tc>
        <w:tc>
          <w:tcPr>
            <w:tcW w:w="2550" w:type="dxa"/>
          </w:tcPr>
          <w:p>
            <w:pPr>
              <w:pStyle w:val="TableParagraph"/>
              <w:spacing w:line="210"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5" w:lineRule="exact"/>
              <w:ind w:left="193"/>
              <w:rPr>
                <w:sz w:val="20"/>
              </w:rPr>
            </w:pPr>
            <w:r>
              <w:rPr>
                <w:sz w:val="20"/>
              </w:rPr>
              <w:t>(3</w:t>
            </w:r>
            <w:r>
              <w:rPr>
                <w:spacing w:val="-4"/>
                <w:sz w:val="20"/>
              </w:rPr>
              <w:t> </w:t>
            </w:r>
            <w:r>
              <w:rPr>
                <w:sz w:val="20"/>
              </w:rPr>
              <w:t>балла</w:t>
            </w:r>
            <w:r>
              <w:rPr>
                <w:spacing w:val="-4"/>
                <w:sz w:val="20"/>
              </w:rPr>
              <w:t> </w:t>
            </w:r>
            <w:r>
              <w:rPr>
                <w:sz w:val="20"/>
              </w:rPr>
              <w:t>по</w:t>
            </w:r>
            <w:r>
              <w:rPr>
                <w:spacing w:val="-4"/>
                <w:sz w:val="20"/>
              </w:rPr>
              <w:t> 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spacing w:line="225" w:lineRule="exact"/>
              <w:ind w:left="649"/>
              <w:rPr>
                <w:sz w:val="20"/>
              </w:rPr>
            </w:pPr>
            <w:r>
              <w:rPr>
                <w:sz w:val="20"/>
              </w:rPr>
              <w:t>критерий:</w:t>
            </w:r>
            <w:r>
              <w:rPr>
                <w:spacing w:val="-13"/>
                <w:sz w:val="20"/>
              </w:rPr>
              <w:t> </w:t>
            </w:r>
            <w:r>
              <w:rPr>
                <w:spacing w:val="-5"/>
                <w:sz w:val="20"/>
              </w:rPr>
              <w:t>rb3</w:t>
            </w:r>
          </w:p>
        </w:tc>
        <w:tc>
          <w:tcPr>
            <w:tcW w:w="837"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ds37.007</w:t>
            </w:r>
          </w:p>
        </w:tc>
        <w:tc>
          <w:tcPr>
            <w:tcW w:w="696" w:type="dxa"/>
          </w:tcPr>
          <w:p>
            <w:pPr>
              <w:pStyle w:val="TableParagraph"/>
              <w:spacing w:line="215" w:lineRule="exact" w:before="46"/>
              <w:ind w:left="200"/>
              <w:rPr>
                <w:sz w:val="20"/>
              </w:rPr>
            </w:pPr>
            <w:r>
              <w:rPr>
                <w:spacing w:val="-5"/>
                <w:sz w:val="20"/>
              </w:rPr>
              <w:t>173</w:t>
            </w:r>
          </w:p>
        </w:tc>
        <w:tc>
          <w:tcPr>
            <w:tcW w:w="3563" w:type="dxa"/>
          </w:tcPr>
          <w:p>
            <w:pPr>
              <w:pStyle w:val="TableParagraph"/>
              <w:spacing w:line="215" w:lineRule="exact" w:before="46"/>
              <w:ind w:left="193"/>
              <w:rPr>
                <w:sz w:val="20"/>
              </w:rPr>
            </w:pPr>
            <w:r>
              <w:rPr>
                <w:spacing w:val="-2"/>
                <w:sz w:val="20"/>
              </w:rPr>
              <w:t>Медицинская</w:t>
            </w:r>
          </w:p>
        </w:tc>
        <w:tc>
          <w:tcPr>
            <w:tcW w:w="2472" w:type="dxa"/>
          </w:tcPr>
          <w:p>
            <w:pPr>
              <w:pStyle w:val="TableParagraph"/>
              <w:spacing w:line="215" w:lineRule="exact" w:before="46"/>
              <w:ind w:left="1123"/>
              <w:rPr>
                <w:sz w:val="20"/>
              </w:rPr>
            </w:pPr>
            <w:r>
              <w:rPr>
                <w:w w:val="99"/>
                <w:sz w:val="20"/>
              </w:rPr>
              <w:t>-</w:t>
            </w:r>
          </w:p>
        </w:tc>
        <w:tc>
          <w:tcPr>
            <w:tcW w:w="4200" w:type="dxa"/>
          </w:tcPr>
          <w:p>
            <w:pPr>
              <w:pStyle w:val="TableParagraph"/>
              <w:spacing w:line="215" w:lineRule="exact" w:before="46"/>
              <w:ind w:left="1276" w:right="350"/>
              <w:jc w:val="center"/>
              <w:rPr>
                <w:sz w:val="20"/>
              </w:rPr>
            </w:pPr>
            <w:r>
              <w:rPr>
                <w:sz w:val="20"/>
              </w:rPr>
              <w:t>B05.001.001,</w:t>
            </w:r>
            <w:r>
              <w:rPr>
                <w:spacing w:val="-9"/>
                <w:sz w:val="20"/>
              </w:rPr>
              <w:t> </w:t>
            </w:r>
            <w:r>
              <w:rPr>
                <w:spacing w:val="-2"/>
                <w:sz w:val="20"/>
              </w:rPr>
              <w:t>B05.004.001,</w:t>
            </w:r>
          </w:p>
        </w:tc>
        <w:tc>
          <w:tcPr>
            <w:tcW w:w="2550" w:type="dxa"/>
          </w:tcPr>
          <w:p>
            <w:pPr>
              <w:pStyle w:val="TableParagraph"/>
              <w:spacing w:line="215" w:lineRule="exact" w:before="46"/>
              <w:ind w:left="992" w:right="1074"/>
              <w:jc w:val="center"/>
              <w:rPr>
                <w:sz w:val="20"/>
              </w:rPr>
            </w:pPr>
            <w:r>
              <w:rPr>
                <w:spacing w:val="-4"/>
                <w:sz w:val="20"/>
              </w:rPr>
              <w:t>Иной</w:t>
            </w:r>
          </w:p>
        </w:tc>
        <w:tc>
          <w:tcPr>
            <w:tcW w:w="837" w:type="dxa"/>
          </w:tcPr>
          <w:p>
            <w:pPr>
              <w:pStyle w:val="TableParagraph"/>
              <w:spacing w:line="215" w:lineRule="exact" w:before="46"/>
              <w:ind w:right="49"/>
              <w:jc w:val="right"/>
              <w:rPr>
                <w:sz w:val="20"/>
              </w:rPr>
            </w:pPr>
            <w:r>
              <w:rPr>
                <w:spacing w:val="-4"/>
                <w:sz w:val="20"/>
              </w:rPr>
              <w:t>0,85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реабилитация</w:t>
            </w:r>
            <w:r>
              <w:rPr>
                <w:spacing w:val="-10"/>
                <w:sz w:val="20"/>
              </w:rPr>
              <w:t> </w:t>
            </w:r>
            <w:r>
              <w:rPr>
                <w:sz w:val="20"/>
              </w:rPr>
              <w:t>при</w:t>
            </w:r>
            <w:r>
              <w:rPr>
                <w:spacing w:val="-7"/>
                <w:sz w:val="20"/>
              </w:rPr>
              <w:t> </w:t>
            </w:r>
            <w:r>
              <w:rPr>
                <w:spacing w:val="-2"/>
                <w:sz w:val="20"/>
              </w:rPr>
              <w:t>других</w:t>
            </w:r>
          </w:p>
        </w:tc>
        <w:tc>
          <w:tcPr>
            <w:tcW w:w="2472" w:type="dxa"/>
          </w:tcPr>
          <w:p>
            <w:pPr>
              <w:pStyle w:val="TableParagraph"/>
              <w:rPr>
                <w:sz w:val="16"/>
              </w:rPr>
            </w:pPr>
          </w:p>
        </w:tc>
        <w:tc>
          <w:tcPr>
            <w:tcW w:w="4200" w:type="dxa"/>
          </w:tcPr>
          <w:p>
            <w:pPr>
              <w:pStyle w:val="TableParagraph"/>
              <w:spacing w:line="210" w:lineRule="exact"/>
              <w:ind w:left="1276" w:right="350"/>
              <w:jc w:val="center"/>
              <w:rPr>
                <w:sz w:val="20"/>
              </w:rPr>
            </w:pPr>
            <w:r>
              <w:rPr>
                <w:sz w:val="20"/>
              </w:rPr>
              <w:t>B05.005.001,</w:t>
            </w:r>
            <w:r>
              <w:rPr>
                <w:spacing w:val="-9"/>
                <w:sz w:val="20"/>
              </w:rPr>
              <w:t> </w:t>
            </w:r>
            <w:r>
              <w:rPr>
                <w:spacing w:val="-2"/>
                <w:sz w:val="20"/>
              </w:rPr>
              <w:t>B05.008.001,</w:t>
            </w:r>
          </w:p>
        </w:tc>
        <w:tc>
          <w:tcPr>
            <w:tcW w:w="2550" w:type="dxa"/>
          </w:tcPr>
          <w:p>
            <w:pPr>
              <w:pStyle w:val="TableParagraph"/>
              <w:spacing w:line="210"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соматических</w:t>
            </w:r>
          </w:p>
        </w:tc>
        <w:tc>
          <w:tcPr>
            <w:tcW w:w="2472" w:type="dxa"/>
          </w:tcPr>
          <w:p>
            <w:pPr>
              <w:pStyle w:val="TableParagraph"/>
              <w:rPr>
                <w:sz w:val="16"/>
              </w:rPr>
            </w:pPr>
          </w:p>
        </w:tc>
        <w:tc>
          <w:tcPr>
            <w:tcW w:w="4200" w:type="dxa"/>
          </w:tcPr>
          <w:p>
            <w:pPr>
              <w:pStyle w:val="TableParagraph"/>
              <w:spacing w:line="209" w:lineRule="exact"/>
              <w:ind w:left="1276" w:right="350"/>
              <w:jc w:val="center"/>
              <w:rPr>
                <w:sz w:val="20"/>
              </w:rPr>
            </w:pPr>
            <w:r>
              <w:rPr>
                <w:sz w:val="20"/>
              </w:rPr>
              <w:t>B05.014.002,</w:t>
            </w:r>
            <w:r>
              <w:rPr>
                <w:spacing w:val="-9"/>
                <w:sz w:val="20"/>
              </w:rPr>
              <w:t> </w:t>
            </w:r>
            <w:r>
              <w:rPr>
                <w:spacing w:val="-2"/>
                <w:sz w:val="20"/>
              </w:rPr>
              <w:t>B05.015.002,</w:t>
            </w:r>
          </w:p>
        </w:tc>
        <w:tc>
          <w:tcPr>
            <w:tcW w:w="2550" w:type="dxa"/>
          </w:tcPr>
          <w:p>
            <w:pPr>
              <w:pStyle w:val="TableParagraph"/>
              <w:spacing w:line="209" w:lineRule="exact"/>
              <w:ind w:left="649"/>
              <w:rPr>
                <w:sz w:val="20"/>
              </w:rPr>
            </w:pPr>
            <w:r>
              <w:rPr>
                <w:sz w:val="20"/>
              </w:rPr>
              <w:t>критерий:</w:t>
            </w:r>
            <w:r>
              <w:rPr>
                <w:spacing w:val="-13"/>
                <w:sz w:val="20"/>
              </w:rPr>
              <w:t> </w:t>
            </w:r>
            <w:r>
              <w:rPr>
                <w:spacing w:val="-5"/>
                <w:sz w:val="20"/>
              </w:rPr>
              <w:t>rb2</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z w:val="20"/>
              </w:rPr>
              <w:t>заболеваниях</w:t>
            </w:r>
            <w:r>
              <w:rPr>
                <w:spacing w:val="-8"/>
                <w:sz w:val="20"/>
              </w:rPr>
              <w:t> </w:t>
            </w:r>
            <w:r>
              <w:rPr>
                <w:sz w:val="20"/>
              </w:rPr>
              <w:t>(2</w:t>
            </w:r>
            <w:r>
              <w:rPr>
                <w:spacing w:val="-6"/>
                <w:sz w:val="20"/>
              </w:rPr>
              <w:t> </w:t>
            </w:r>
            <w:r>
              <w:rPr>
                <w:sz w:val="20"/>
              </w:rPr>
              <w:t>балла</w:t>
            </w:r>
            <w:r>
              <w:rPr>
                <w:spacing w:val="-6"/>
                <w:sz w:val="20"/>
              </w:rPr>
              <w:t> </w:t>
            </w:r>
            <w:r>
              <w:rPr>
                <w:spacing w:val="-5"/>
                <w:sz w:val="20"/>
              </w:rPr>
              <w:t>по</w:t>
            </w:r>
          </w:p>
        </w:tc>
        <w:tc>
          <w:tcPr>
            <w:tcW w:w="2472" w:type="dxa"/>
          </w:tcPr>
          <w:p>
            <w:pPr>
              <w:pStyle w:val="TableParagraph"/>
              <w:rPr>
                <w:sz w:val="16"/>
              </w:rPr>
            </w:pPr>
          </w:p>
        </w:tc>
        <w:tc>
          <w:tcPr>
            <w:tcW w:w="4200" w:type="dxa"/>
          </w:tcPr>
          <w:p>
            <w:pPr>
              <w:pStyle w:val="TableParagraph"/>
              <w:spacing w:line="209" w:lineRule="exact"/>
              <w:ind w:left="1276" w:right="350"/>
              <w:jc w:val="center"/>
              <w:rPr>
                <w:sz w:val="20"/>
              </w:rPr>
            </w:pPr>
            <w:r>
              <w:rPr>
                <w:sz w:val="20"/>
              </w:rPr>
              <w:t>B05.023.002,</w:t>
            </w:r>
            <w:r>
              <w:rPr>
                <w:spacing w:val="-9"/>
                <w:sz w:val="20"/>
              </w:rPr>
              <w:t> </w:t>
            </w:r>
            <w:r>
              <w:rPr>
                <w:spacing w:val="-2"/>
                <w:sz w:val="20"/>
              </w:rPr>
              <w:t>B05.027.001,</w:t>
            </w: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4"/>
                <w:sz w:val="20"/>
              </w:rPr>
              <w:t>ШРМ)</w:t>
            </w:r>
          </w:p>
        </w:tc>
        <w:tc>
          <w:tcPr>
            <w:tcW w:w="2472" w:type="dxa"/>
          </w:tcPr>
          <w:p>
            <w:pPr>
              <w:pStyle w:val="TableParagraph"/>
              <w:rPr>
                <w:sz w:val="16"/>
              </w:rPr>
            </w:pPr>
          </w:p>
        </w:tc>
        <w:tc>
          <w:tcPr>
            <w:tcW w:w="4200" w:type="dxa"/>
          </w:tcPr>
          <w:p>
            <w:pPr>
              <w:pStyle w:val="TableParagraph"/>
              <w:spacing w:line="210" w:lineRule="exact"/>
              <w:ind w:left="1276" w:right="350"/>
              <w:jc w:val="center"/>
              <w:rPr>
                <w:sz w:val="20"/>
              </w:rPr>
            </w:pPr>
            <w:r>
              <w:rPr>
                <w:sz w:val="20"/>
              </w:rPr>
              <w:t>B05.027.002,</w:t>
            </w:r>
            <w:r>
              <w:rPr>
                <w:spacing w:val="-9"/>
                <w:sz w:val="20"/>
              </w:rPr>
              <w:t> </w:t>
            </w:r>
            <w:r>
              <w:rPr>
                <w:spacing w:val="-2"/>
                <w:sz w:val="20"/>
              </w:rPr>
              <w:t>B05.027.003,</w:t>
            </w: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rPr>
                <w:sz w:val="16"/>
              </w:rPr>
            </w:pPr>
          </w:p>
        </w:tc>
        <w:tc>
          <w:tcPr>
            <w:tcW w:w="2472" w:type="dxa"/>
          </w:tcPr>
          <w:p>
            <w:pPr>
              <w:pStyle w:val="TableParagraph"/>
              <w:rPr>
                <w:sz w:val="16"/>
              </w:rPr>
            </w:pPr>
          </w:p>
        </w:tc>
        <w:tc>
          <w:tcPr>
            <w:tcW w:w="4200" w:type="dxa"/>
          </w:tcPr>
          <w:p>
            <w:pPr>
              <w:pStyle w:val="TableParagraph"/>
              <w:spacing w:line="210" w:lineRule="exact"/>
              <w:ind w:left="1276" w:right="350"/>
              <w:jc w:val="center"/>
              <w:rPr>
                <w:sz w:val="20"/>
              </w:rPr>
            </w:pPr>
            <w:r>
              <w:rPr>
                <w:sz w:val="20"/>
              </w:rPr>
              <w:t>B05.028.001,</w:t>
            </w:r>
            <w:r>
              <w:rPr>
                <w:spacing w:val="-9"/>
                <w:sz w:val="20"/>
              </w:rPr>
              <w:t> </w:t>
            </w:r>
            <w:r>
              <w:rPr>
                <w:spacing w:val="-2"/>
                <w:sz w:val="20"/>
              </w:rPr>
              <w:t>B05.029.001,</w:t>
            </w:r>
          </w:p>
        </w:tc>
        <w:tc>
          <w:tcPr>
            <w:tcW w:w="2550" w:type="dxa"/>
          </w:tcPr>
          <w:p>
            <w:pPr>
              <w:pStyle w:val="TableParagraph"/>
              <w:rPr>
                <w:sz w:val="16"/>
              </w:rPr>
            </w:pPr>
          </w:p>
        </w:tc>
        <w:tc>
          <w:tcPr>
            <w:tcW w:w="837"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rPr>
                <w:sz w:val="16"/>
              </w:rPr>
            </w:pPr>
          </w:p>
        </w:tc>
        <w:tc>
          <w:tcPr>
            <w:tcW w:w="2472" w:type="dxa"/>
          </w:tcPr>
          <w:p>
            <w:pPr>
              <w:pStyle w:val="TableParagraph"/>
              <w:rPr>
                <w:sz w:val="16"/>
              </w:rPr>
            </w:pPr>
          </w:p>
        </w:tc>
        <w:tc>
          <w:tcPr>
            <w:tcW w:w="4200" w:type="dxa"/>
          </w:tcPr>
          <w:p>
            <w:pPr>
              <w:pStyle w:val="TableParagraph"/>
              <w:spacing w:line="205" w:lineRule="exact"/>
              <w:ind w:left="1276" w:right="350"/>
              <w:jc w:val="center"/>
              <w:rPr>
                <w:sz w:val="20"/>
              </w:rPr>
            </w:pPr>
            <w:r>
              <w:rPr>
                <w:sz w:val="20"/>
              </w:rPr>
              <w:t>B05.037.001,</w:t>
            </w:r>
            <w:r>
              <w:rPr>
                <w:spacing w:val="-9"/>
                <w:sz w:val="20"/>
              </w:rPr>
              <w:t> </w:t>
            </w:r>
            <w:r>
              <w:rPr>
                <w:spacing w:val="-2"/>
                <w:sz w:val="20"/>
              </w:rPr>
              <w:t>B05.040.001,</w:t>
            </w:r>
          </w:p>
        </w:tc>
        <w:tc>
          <w:tcPr>
            <w:tcW w:w="2550"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555"/>
        <w:gridCol w:w="2492"/>
        <w:gridCol w:w="4174"/>
        <w:gridCol w:w="2562"/>
        <w:gridCol w:w="837"/>
      </w:tblGrid>
      <w:tr>
        <w:trPr>
          <w:trHeight w:val="734" w:hRule="atLeast"/>
        </w:trPr>
        <w:tc>
          <w:tcPr>
            <w:tcW w:w="978" w:type="dxa"/>
          </w:tcPr>
          <w:p>
            <w:pPr>
              <w:pStyle w:val="TableParagraph"/>
              <w:rPr>
                <w:sz w:val="18"/>
              </w:rPr>
            </w:pPr>
          </w:p>
        </w:tc>
        <w:tc>
          <w:tcPr>
            <w:tcW w:w="696" w:type="dxa"/>
          </w:tcPr>
          <w:p>
            <w:pPr>
              <w:pStyle w:val="TableParagraph"/>
              <w:rPr>
                <w:sz w:val="18"/>
              </w:rPr>
            </w:pPr>
          </w:p>
        </w:tc>
        <w:tc>
          <w:tcPr>
            <w:tcW w:w="3555" w:type="dxa"/>
          </w:tcPr>
          <w:p>
            <w:pPr>
              <w:pStyle w:val="TableParagraph"/>
              <w:rPr>
                <w:sz w:val="18"/>
              </w:rPr>
            </w:pPr>
          </w:p>
        </w:tc>
        <w:tc>
          <w:tcPr>
            <w:tcW w:w="2492" w:type="dxa"/>
          </w:tcPr>
          <w:p>
            <w:pPr>
              <w:pStyle w:val="TableParagraph"/>
              <w:rPr>
                <w:sz w:val="18"/>
              </w:rPr>
            </w:pPr>
          </w:p>
        </w:tc>
        <w:tc>
          <w:tcPr>
            <w:tcW w:w="4174" w:type="dxa"/>
          </w:tcPr>
          <w:p>
            <w:pPr>
              <w:pStyle w:val="TableParagraph"/>
              <w:ind w:left="1443" w:right="512"/>
              <w:jc w:val="both"/>
              <w:rPr>
                <w:sz w:val="20"/>
              </w:rPr>
            </w:pPr>
            <w:r>
              <w:rPr>
                <w:sz w:val="20"/>
              </w:rPr>
              <w:t>B05.050.004,</w:t>
            </w:r>
            <w:r>
              <w:rPr>
                <w:spacing w:val="-13"/>
                <w:sz w:val="20"/>
              </w:rPr>
              <w:t> </w:t>
            </w:r>
            <w:r>
              <w:rPr>
                <w:sz w:val="20"/>
              </w:rPr>
              <w:t>B05.053.001, B05.058.001,</w:t>
            </w:r>
            <w:r>
              <w:rPr>
                <w:spacing w:val="-13"/>
                <w:sz w:val="20"/>
              </w:rPr>
              <w:t> </w:t>
            </w:r>
            <w:r>
              <w:rPr>
                <w:sz w:val="20"/>
              </w:rPr>
              <w:t>B05.069.001, B05.069.002, B05.069.003</w:t>
            </w:r>
          </w:p>
        </w:tc>
        <w:tc>
          <w:tcPr>
            <w:tcW w:w="2562" w:type="dxa"/>
          </w:tcPr>
          <w:p>
            <w:pPr>
              <w:pStyle w:val="TableParagraph"/>
              <w:rPr>
                <w:sz w:val="18"/>
              </w:rPr>
            </w:pPr>
          </w:p>
        </w:tc>
        <w:tc>
          <w:tcPr>
            <w:tcW w:w="837" w:type="dxa"/>
          </w:tcPr>
          <w:p>
            <w:pPr>
              <w:pStyle w:val="TableParagraph"/>
              <w:rPr>
                <w:sz w:val="18"/>
              </w:rPr>
            </w:pPr>
          </w:p>
        </w:tc>
      </w:tr>
      <w:tr>
        <w:trPr>
          <w:trHeight w:val="2400" w:hRule="atLeast"/>
        </w:trPr>
        <w:tc>
          <w:tcPr>
            <w:tcW w:w="978" w:type="dxa"/>
          </w:tcPr>
          <w:p>
            <w:pPr>
              <w:pStyle w:val="TableParagraph"/>
              <w:spacing w:before="46"/>
              <w:ind w:left="50"/>
              <w:rPr>
                <w:sz w:val="20"/>
              </w:rPr>
            </w:pPr>
            <w:r>
              <w:rPr>
                <w:spacing w:val="-2"/>
                <w:sz w:val="20"/>
              </w:rPr>
              <w:t>ds37.008</w:t>
            </w:r>
          </w:p>
        </w:tc>
        <w:tc>
          <w:tcPr>
            <w:tcW w:w="696" w:type="dxa"/>
          </w:tcPr>
          <w:p>
            <w:pPr>
              <w:pStyle w:val="TableParagraph"/>
              <w:spacing w:before="46"/>
              <w:ind w:left="200"/>
              <w:rPr>
                <w:sz w:val="20"/>
              </w:rPr>
            </w:pPr>
            <w:r>
              <w:rPr>
                <w:spacing w:val="-5"/>
                <w:sz w:val="20"/>
              </w:rPr>
              <w:t>174</w:t>
            </w:r>
          </w:p>
        </w:tc>
        <w:tc>
          <w:tcPr>
            <w:tcW w:w="3555" w:type="dxa"/>
          </w:tcPr>
          <w:p>
            <w:pPr>
              <w:pStyle w:val="TableParagraph"/>
              <w:spacing w:before="46"/>
              <w:ind w:left="193" w:right="1122"/>
              <w:rPr>
                <w:sz w:val="20"/>
              </w:rPr>
            </w:pPr>
            <w:r>
              <w:rPr>
                <w:spacing w:val="-2"/>
                <w:sz w:val="20"/>
              </w:rPr>
              <w:t>Медицинская </w:t>
            </w:r>
            <w:r>
              <w:rPr>
                <w:sz w:val="20"/>
              </w:rPr>
              <w:t>реабилитация</w:t>
            </w:r>
            <w:r>
              <w:rPr>
                <w:spacing w:val="-13"/>
                <w:sz w:val="20"/>
              </w:rPr>
              <w:t> </w:t>
            </w:r>
            <w:r>
              <w:rPr>
                <w:sz w:val="20"/>
              </w:rPr>
              <w:t>при</w:t>
            </w:r>
            <w:r>
              <w:rPr>
                <w:spacing w:val="-12"/>
                <w:sz w:val="20"/>
              </w:rPr>
              <w:t> </w:t>
            </w:r>
            <w:r>
              <w:rPr>
                <w:sz w:val="20"/>
              </w:rPr>
              <w:t>других </w:t>
            </w:r>
            <w:r>
              <w:rPr>
                <w:spacing w:val="-2"/>
                <w:sz w:val="20"/>
              </w:rPr>
              <w:t>соматических </w:t>
            </w:r>
            <w:r>
              <w:rPr>
                <w:sz w:val="20"/>
              </w:rPr>
              <w:t>заболеваниях</w:t>
            </w:r>
            <w:r>
              <w:rPr>
                <w:spacing w:val="-4"/>
                <w:sz w:val="20"/>
              </w:rPr>
              <w:t> </w:t>
            </w:r>
            <w:r>
              <w:rPr>
                <w:sz w:val="20"/>
              </w:rPr>
              <w:t>(3</w:t>
            </w:r>
            <w:r>
              <w:rPr>
                <w:spacing w:val="-3"/>
                <w:sz w:val="20"/>
              </w:rPr>
              <w:t> </w:t>
            </w:r>
            <w:r>
              <w:rPr>
                <w:sz w:val="20"/>
              </w:rPr>
              <w:t>балла</w:t>
            </w:r>
            <w:r>
              <w:rPr>
                <w:spacing w:val="-4"/>
                <w:sz w:val="20"/>
              </w:rPr>
              <w:t> </w:t>
            </w:r>
            <w:r>
              <w:rPr>
                <w:sz w:val="20"/>
              </w:rPr>
              <w:t>по </w:t>
            </w:r>
            <w:r>
              <w:rPr>
                <w:spacing w:val="-4"/>
                <w:sz w:val="20"/>
              </w:rPr>
              <w:t>ШРМ)</w:t>
            </w:r>
          </w:p>
        </w:tc>
        <w:tc>
          <w:tcPr>
            <w:tcW w:w="2492" w:type="dxa"/>
          </w:tcPr>
          <w:p>
            <w:pPr>
              <w:pStyle w:val="TableParagraph"/>
              <w:spacing w:before="46"/>
              <w:ind w:left="1131"/>
              <w:rPr>
                <w:sz w:val="20"/>
              </w:rPr>
            </w:pPr>
            <w:r>
              <w:rPr>
                <w:w w:val="99"/>
                <w:sz w:val="20"/>
              </w:rPr>
              <w:t>-</w:t>
            </w:r>
          </w:p>
        </w:tc>
        <w:tc>
          <w:tcPr>
            <w:tcW w:w="4174" w:type="dxa"/>
          </w:tcPr>
          <w:p>
            <w:pPr>
              <w:pStyle w:val="TableParagraph"/>
              <w:spacing w:before="46"/>
              <w:ind w:left="1443" w:right="510"/>
              <w:jc w:val="both"/>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B05.069.001, B05.069.002, B05.069.003</w:t>
            </w:r>
          </w:p>
        </w:tc>
        <w:tc>
          <w:tcPr>
            <w:tcW w:w="2562" w:type="dxa"/>
          </w:tcPr>
          <w:p>
            <w:pPr>
              <w:pStyle w:val="TableParagraph"/>
              <w:spacing w:before="46"/>
              <w:ind w:left="368" w:right="433" w:hanging="2"/>
              <w:jc w:val="center"/>
              <w:rPr>
                <w:sz w:val="20"/>
              </w:rPr>
            </w:pPr>
            <w:r>
              <w:rPr>
                <w:spacing w:val="-4"/>
                <w:sz w:val="20"/>
              </w:rPr>
              <w:t>Иной </w:t>
            </w:r>
            <w:r>
              <w:rPr>
                <w:spacing w:val="-2"/>
                <w:sz w:val="20"/>
              </w:rPr>
              <w:t>классификационный </w:t>
            </w:r>
            <w:r>
              <w:rPr>
                <w:sz w:val="20"/>
              </w:rPr>
              <w:t>критерий: rb3</w:t>
            </w:r>
          </w:p>
        </w:tc>
        <w:tc>
          <w:tcPr>
            <w:tcW w:w="837" w:type="dxa"/>
          </w:tcPr>
          <w:p>
            <w:pPr>
              <w:pStyle w:val="TableParagraph"/>
              <w:spacing w:before="46"/>
              <w:ind w:right="47"/>
              <w:jc w:val="right"/>
              <w:rPr>
                <w:sz w:val="20"/>
              </w:rPr>
            </w:pPr>
            <w:r>
              <w:rPr>
                <w:spacing w:val="-4"/>
                <w:sz w:val="20"/>
              </w:rPr>
              <w:t>1,09</w:t>
            </w:r>
          </w:p>
        </w:tc>
      </w:tr>
      <w:tr>
        <w:trPr>
          <w:trHeight w:val="1020" w:hRule="atLeast"/>
        </w:trPr>
        <w:tc>
          <w:tcPr>
            <w:tcW w:w="978" w:type="dxa"/>
          </w:tcPr>
          <w:p>
            <w:pPr>
              <w:pStyle w:val="TableParagraph"/>
              <w:spacing w:before="46"/>
              <w:ind w:left="50"/>
              <w:rPr>
                <w:sz w:val="20"/>
              </w:rPr>
            </w:pPr>
            <w:r>
              <w:rPr>
                <w:spacing w:val="-2"/>
                <w:sz w:val="20"/>
              </w:rPr>
              <w:t>ds37.009</w:t>
            </w:r>
          </w:p>
        </w:tc>
        <w:tc>
          <w:tcPr>
            <w:tcW w:w="696" w:type="dxa"/>
          </w:tcPr>
          <w:p>
            <w:pPr>
              <w:pStyle w:val="TableParagraph"/>
              <w:spacing w:before="46"/>
              <w:ind w:left="200"/>
              <w:rPr>
                <w:sz w:val="20"/>
              </w:rPr>
            </w:pPr>
            <w:r>
              <w:rPr>
                <w:spacing w:val="-5"/>
                <w:sz w:val="20"/>
              </w:rPr>
              <w:t>175</w:t>
            </w:r>
          </w:p>
        </w:tc>
        <w:tc>
          <w:tcPr>
            <w:tcW w:w="3555" w:type="dxa"/>
          </w:tcPr>
          <w:p>
            <w:pPr>
              <w:pStyle w:val="TableParagraph"/>
              <w:spacing w:before="46"/>
              <w:ind w:left="193" w:right="1227"/>
              <w:rPr>
                <w:sz w:val="20"/>
              </w:rPr>
            </w:pPr>
            <w:r>
              <w:rPr>
                <w:spacing w:val="-2"/>
                <w:sz w:val="20"/>
              </w:rPr>
              <w:t>Медицинская </w:t>
            </w:r>
            <w:r>
              <w:rPr>
                <w:sz w:val="20"/>
              </w:rPr>
              <w:t>реабилитация детей, перенесших</w:t>
            </w:r>
            <w:r>
              <w:rPr>
                <w:spacing w:val="-13"/>
                <w:sz w:val="20"/>
              </w:rPr>
              <w:t> </w:t>
            </w:r>
            <w:r>
              <w:rPr>
                <w:sz w:val="20"/>
              </w:rPr>
              <w:t>заболевания </w:t>
            </w:r>
            <w:r>
              <w:rPr>
                <w:w w:val="95"/>
                <w:sz w:val="20"/>
              </w:rPr>
              <w:t>перинатального</w:t>
            </w:r>
            <w:r>
              <w:rPr>
                <w:spacing w:val="50"/>
                <w:sz w:val="20"/>
              </w:rPr>
              <w:t> </w:t>
            </w:r>
            <w:r>
              <w:rPr>
                <w:spacing w:val="-2"/>
                <w:sz w:val="20"/>
              </w:rPr>
              <w:t>периода</w:t>
            </w:r>
          </w:p>
        </w:tc>
        <w:tc>
          <w:tcPr>
            <w:tcW w:w="2492" w:type="dxa"/>
          </w:tcPr>
          <w:p>
            <w:pPr>
              <w:pStyle w:val="TableParagraph"/>
              <w:spacing w:before="46"/>
              <w:ind w:left="1131"/>
              <w:rPr>
                <w:sz w:val="20"/>
              </w:rPr>
            </w:pPr>
            <w:r>
              <w:rPr>
                <w:w w:val="99"/>
                <w:sz w:val="20"/>
              </w:rPr>
              <w:t>-</w:t>
            </w:r>
          </w:p>
        </w:tc>
        <w:tc>
          <w:tcPr>
            <w:tcW w:w="4174" w:type="dxa"/>
          </w:tcPr>
          <w:p>
            <w:pPr>
              <w:pStyle w:val="TableParagraph"/>
              <w:spacing w:before="46"/>
              <w:ind w:left="1289" w:right="357"/>
              <w:jc w:val="center"/>
              <w:rPr>
                <w:sz w:val="20"/>
              </w:rPr>
            </w:pPr>
            <w:r>
              <w:rPr>
                <w:spacing w:val="-2"/>
                <w:sz w:val="20"/>
              </w:rPr>
              <w:t>B05.031.001</w:t>
            </w:r>
          </w:p>
        </w:tc>
        <w:tc>
          <w:tcPr>
            <w:tcW w:w="2562" w:type="dxa"/>
          </w:tcPr>
          <w:p>
            <w:pPr>
              <w:pStyle w:val="TableParagraph"/>
              <w:spacing w:before="46"/>
              <w:ind w:left="440" w:right="479" w:hanging="20"/>
              <w:rPr>
                <w:sz w:val="20"/>
              </w:rPr>
            </w:pPr>
            <w:r>
              <w:rPr>
                <w:sz w:val="20"/>
              </w:rPr>
              <w:t>Возрастная</w:t>
            </w:r>
            <w:r>
              <w:rPr>
                <w:spacing w:val="-13"/>
                <w:sz w:val="20"/>
              </w:rPr>
              <w:t> </w:t>
            </w:r>
            <w:r>
              <w:rPr>
                <w:sz w:val="20"/>
              </w:rPr>
              <w:t>группа: от</w:t>
            </w:r>
            <w:r>
              <w:rPr>
                <w:spacing w:val="-3"/>
                <w:sz w:val="20"/>
              </w:rPr>
              <w:t> </w:t>
            </w:r>
            <w:r>
              <w:rPr>
                <w:sz w:val="20"/>
              </w:rPr>
              <w:t>91</w:t>
            </w:r>
            <w:r>
              <w:rPr>
                <w:spacing w:val="-1"/>
                <w:sz w:val="20"/>
              </w:rPr>
              <w:t> </w:t>
            </w:r>
            <w:r>
              <w:rPr>
                <w:sz w:val="20"/>
              </w:rPr>
              <w:t>дня</w:t>
            </w:r>
            <w:r>
              <w:rPr>
                <w:spacing w:val="-3"/>
                <w:sz w:val="20"/>
              </w:rPr>
              <w:t> </w:t>
            </w:r>
            <w:r>
              <w:rPr>
                <w:sz w:val="20"/>
              </w:rPr>
              <w:t>до</w:t>
            </w:r>
            <w:r>
              <w:rPr>
                <w:spacing w:val="-2"/>
                <w:sz w:val="20"/>
              </w:rPr>
              <w:t> </w:t>
            </w:r>
            <w:r>
              <w:rPr>
                <w:sz w:val="20"/>
              </w:rPr>
              <w:t>1</w:t>
            </w:r>
            <w:r>
              <w:rPr>
                <w:spacing w:val="-1"/>
                <w:sz w:val="20"/>
              </w:rPr>
              <w:t> </w:t>
            </w:r>
            <w:r>
              <w:rPr>
                <w:spacing w:val="-4"/>
                <w:sz w:val="20"/>
              </w:rPr>
              <w:t>года</w:t>
            </w:r>
          </w:p>
        </w:tc>
        <w:tc>
          <w:tcPr>
            <w:tcW w:w="837" w:type="dxa"/>
          </w:tcPr>
          <w:p>
            <w:pPr>
              <w:pStyle w:val="TableParagraph"/>
              <w:spacing w:before="46"/>
              <w:ind w:right="47"/>
              <w:jc w:val="right"/>
              <w:rPr>
                <w:sz w:val="20"/>
              </w:rPr>
            </w:pPr>
            <w:r>
              <w:rPr>
                <w:spacing w:val="-4"/>
                <w:sz w:val="20"/>
              </w:rPr>
              <w:t>1,50</w:t>
            </w:r>
          </w:p>
        </w:tc>
      </w:tr>
      <w:tr>
        <w:trPr>
          <w:trHeight w:val="1479" w:hRule="atLeast"/>
        </w:trPr>
        <w:tc>
          <w:tcPr>
            <w:tcW w:w="978" w:type="dxa"/>
          </w:tcPr>
          <w:p>
            <w:pPr>
              <w:pStyle w:val="TableParagraph"/>
              <w:spacing w:before="46"/>
              <w:ind w:left="50"/>
              <w:rPr>
                <w:sz w:val="20"/>
              </w:rPr>
            </w:pPr>
            <w:r>
              <w:rPr>
                <w:spacing w:val="-2"/>
                <w:sz w:val="20"/>
              </w:rPr>
              <w:t>ds37.010</w:t>
            </w:r>
          </w:p>
        </w:tc>
        <w:tc>
          <w:tcPr>
            <w:tcW w:w="696" w:type="dxa"/>
          </w:tcPr>
          <w:p>
            <w:pPr>
              <w:pStyle w:val="TableParagraph"/>
              <w:spacing w:before="46"/>
              <w:ind w:left="200"/>
              <w:rPr>
                <w:sz w:val="20"/>
              </w:rPr>
            </w:pPr>
            <w:r>
              <w:rPr>
                <w:spacing w:val="-5"/>
                <w:sz w:val="20"/>
              </w:rPr>
              <w:t>176</w:t>
            </w:r>
          </w:p>
        </w:tc>
        <w:tc>
          <w:tcPr>
            <w:tcW w:w="3555" w:type="dxa"/>
          </w:tcPr>
          <w:p>
            <w:pPr>
              <w:pStyle w:val="TableParagraph"/>
              <w:spacing w:before="46"/>
              <w:ind w:left="193" w:right="1182"/>
              <w:rPr>
                <w:sz w:val="20"/>
              </w:rPr>
            </w:pPr>
            <w:r>
              <w:rPr>
                <w:spacing w:val="-2"/>
                <w:sz w:val="20"/>
              </w:rPr>
              <w:t>Медицинская </w:t>
            </w:r>
            <w:r>
              <w:rPr>
                <w:sz w:val="20"/>
              </w:rPr>
              <w:t>реабилитация детей с нарушениями слуха без замены речевого процессора системы кохлеарной</w:t>
            </w:r>
            <w:r>
              <w:rPr>
                <w:spacing w:val="-13"/>
                <w:sz w:val="20"/>
              </w:rPr>
              <w:t> </w:t>
            </w:r>
            <w:r>
              <w:rPr>
                <w:sz w:val="20"/>
              </w:rPr>
              <w:t>имплантации</w:t>
            </w:r>
          </w:p>
        </w:tc>
        <w:tc>
          <w:tcPr>
            <w:tcW w:w="2492" w:type="dxa"/>
          </w:tcPr>
          <w:p>
            <w:pPr>
              <w:pStyle w:val="TableParagraph"/>
              <w:spacing w:before="46"/>
              <w:ind w:left="1131"/>
              <w:rPr>
                <w:sz w:val="20"/>
              </w:rPr>
            </w:pPr>
            <w:r>
              <w:rPr>
                <w:w w:val="99"/>
                <w:sz w:val="20"/>
              </w:rPr>
              <w:t>-</w:t>
            </w:r>
          </w:p>
        </w:tc>
        <w:tc>
          <w:tcPr>
            <w:tcW w:w="4174" w:type="dxa"/>
          </w:tcPr>
          <w:p>
            <w:pPr>
              <w:pStyle w:val="TableParagraph"/>
              <w:spacing w:before="46"/>
              <w:ind w:left="1289" w:right="359"/>
              <w:jc w:val="center"/>
              <w:rPr>
                <w:sz w:val="20"/>
              </w:rPr>
            </w:pPr>
            <w:r>
              <w:rPr>
                <w:sz w:val="20"/>
              </w:rPr>
              <w:t>B05.028.001,</w:t>
            </w:r>
            <w:r>
              <w:rPr>
                <w:spacing w:val="-9"/>
                <w:sz w:val="20"/>
              </w:rPr>
              <w:t> </w:t>
            </w:r>
            <w:r>
              <w:rPr>
                <w:spacing w:val="-2"/>
                <w:sz w:val="20"/>
              </w:rPr>
              <w:t>B05.046.001</w:t>
            </w:r>
          </w:p>
        </w:tc>
        <w:tc>
          <w:tcPr>
            <w:tcW w:w="2562" w:type="dxa"/>
          </w:tcPr>
          <w:p>
            <w:pPr>
              <w:pStyle w:val="TableParagraph"/>
              <w:spacing w:before="46"/>
              <w:ind w:left="419" w:right="484"/>
              <w:jc w:val="center"/>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p>
            <w:pPr>
              <w:pStyle w:val="TableParagraph"/>
              <w:spacing w:before="10"/>
              <w:rPr>
                <w:sz w:val="19"/>
              </w:rPr>
            </w:pPr>
          </w:p>
          <w:p>
            <w:pPr>
              <w:pStyle w:val="TableParagraph"/>
              <w:ind w:left="368" w:right="433" w:hanging="2"/>
              <w:jc w:val="center"/>
              <w:rPr>
                <w:sz w:val="20"/>
              </w:rPr>
            </w:pPr>
            <w:r>
              <w:rPr>
                <w:spacing w:val="-4"/>
                <w:sz w:val="20"/>
              </w:rPr>
              <w:t>Иной </w:t>
            </w:r>
            <w:r>
              <w:rPr>
                <w:spacing w:val="-2"/>
                <w:sz w:val="20"/>
              </w:rPr>
              <w:t>классификационный </w:t>
            </w:r>
            <w:r>
              <w:rPr>
                <w:sz w:val="20"/>
              </w:rPr>
              <w:t>критерий: rbs</w:t>
            </w:r>
          </w:p>
        </w:tc>
        <w:tc>
          <w:tcPr>
            <w:tcW w:w="837" w:type="dxa"/>
          </w:tcPr>
          <w:p>
            <w:pPr>
              <w:pStyle w:val="TableParagraph"/>
              <w:spacing w:before="46"/>
              <w:ind w:right="47"/>
              <w:jc w:val="right"/>
              <w:rPr>
                <w:sz w:val="20"/>
              </w:rPr>
            </w:pPr>
            <w:r>
              <w:rPr>
                <w:spacing w:val="-4"/>
                <w:sz w:val="20"/>
              </w:rPr>
              <w:t>1,80</w:t>
            </w:r>
          </w:p>
        </w:tc>
      </w:tr>
      <w:tr>
        <w:trPr>
          <w:trHeight w:val="1250" w:hRule="atLeast"/>
        </w:trPr>
        <w:tc>
          <w:tcPr>
            <w:tcW w:w="978" w:type="dxa"/>
          </w:tcPr>
          <w:p>
            <w:pPr>
              <w:pStyle w:val="TableParagraph"/>
              <w:spacing w:before="45"/>
              <w:ind w:left="50"/>
              <w:rPr>
                <w:sz w:val="20"/>
              </w:rPr>
            </w:pPr>
            <w:r>
              <w:rPr>
                <w:spacing w:val="-2"/>
                <w:sz w:val="20"/>
              </w:rPr>
              <w:t>ds37.011</w:t>
            </w:r>
          </w:p>
        </w:tc>
        <w:tc>
          <w:tcPr>
            <w:tcW w:w="696" w:type="dxa"/>
          </w:tcPr>
          <w:p>
            <w:pPr>
              <w:pStyle w:val="TableParagraph"/>
              <w:spacing w:before="45"/>
              <w:ind w:left="200"/>
              <w:rPr>
                <w:sz w:val="20"/>
              </w:rPr>
            </w:pPr>
            <w:r>
              <w:rPr>
                <w:spacing w:val="-5"/>
                <w:sz w:val="20"/>
              </w:rPr>
              <w:t>177</w:t>
            </w:r>
          </w:p>
        </w:tc>
        <w:tc>
          <w:tcPr>
            <w:tcW w:w="3555" w:type="dxa"/>
          </w:tcPr>
          <w:p>
            <w:pPr>
              <w:pStyle w:val="TableParagraph"/>
              <w:spacing w:before="45"/>
              <w:ind w:left="193" w:right="1516"/>
              <w:rPr>
                <w:sz w:val="20"/>
              </w:rPr>
            </w:pPr>
            <w:r>
              <w:rPr>
                <w:spacing w:val="-2"/>
                <w:sz w:val="20"/>
              </w:rPr>
              <w:t>Медицинская </w:t>
            </w:r>
            <w:r>
              <w:rPr>
                <w:sz w:val="20"/>
              </w:rPr>
              <w:t>реабилитация</w:t>
            </w:r>
            <w:r>
              <w:rPr>
                <w:spacing w:val="-13"/>
                <w:sz w:val="20"/>
              </w:rPr>
              <w:t> </w:t>
            </w:r>
            <w:r>
              <w:rPr>
                <w:sz w:val="20"/>
              </w:rPr>
              <w:t>детей</w:t>
            </w:r>
            <w:r>
              <w:rPr>
                <w:spacing w:val="-12"/>
                <w:sz w:val="20"/>
              </w:rPr>
              <w:t> </w:t>
            </w:r>
            <w:r>
              <w:rPr>
                <w:sz w:val="20"/>
              </w:rPr>
              <w:t>с </w:t>
            </w:r>
            <w:r>
              <w:rPr>
                <w:spacing w:val="-2"/>
                <w:sz w:val="20"/>
              </w:rPr>
              <w:t>поражениями </w:t>
            </w:r>
            <w:r>
              <w:rPr>
                <w:sz w:val="20"/>
              </w:rPr>
              <w:t>центральной</w:t>
            </w:r>
            <w:r>
              <w:rPr>
                <w:spacing w:val="-13"/>
                <w:sz w:val="20"/>
              </w:rPr>
              <w:t> </w:t>
            </w:r>
            <w:r>
              <w:rPr>
                <w:sz w:val="20"/>
              </w:rPr>
              <w:t>нервной </w:t>
            </w:r>
            <w:r>
              <w:rPr>
                <w:spacing w:val="-2"/>
                <w:sz w:val="20"/>
              </w:rPr>
              <w:t>системы</w:t>
            </w:r>
          </w:p>
        </w:tc>
        <w:tc>
          <w:tcPr>
            <w:tcW w:w="2492" w:type="dxa"/>
          </w:tcPr>
          <w:p>
            <w:pPr>
              <w:pStyle w:val="TableParagraph"/>
              <w:spacing w:before="45"/>
              <w:ind w:left="1131"/>
              <w:rPr>
                <w:sz w:val="20"/>
              </w:rPr>
            </w:pPr>
            <w:r>
              <w:rPr>
                <w:w w:val="99"/>
                <w:sz w:val="20"/>
              </w:rPr>
              <w:t>-</w:t>
            </w:r>
          </w:p>
        </w:tc>
        <w:tc>
          <w:tcPr>
            <w:tcW w:w="4174" w:type="dxa"/>
          </w:tcPr>
          <w:p>
            <w:pPr>
              <w:pStyle w:val="TableParagraph"/>
              <w:spacing w:before="45"/>
              <w:ind w:left="1289" w:right="362"/>
              <w:jc w:val="center"/>
              <w:rPr>
                <w:sz w:val="20"/>
              </w:rPr>
            </w:pPr>
            <w:r>
              <w:rPr>
                <w:w w:val="95"/>
                <w:sz w:val="20"/>
              </w:rPr>
              <w:t>B05.023.002.001,</w:t>
            </w:r>
            <w:r>
              <w:rPr>
                <w:spacing w:val="59"/>
                <w:sz w:val="20"/>
              </w:rPr>
              <w:t> </w:t>
            </w:r>
            <w:r>
              <w:rPr>
                <w:spacing w:val="-2"/>
                <w:sz w:val="20"/>
              </w:rPr>
              <w:t>B05.023.003</w:t>
            </w:r>
          </w:p>
        </w:tc>
        <w:tc>
          <w:tcPr>
            <w:tcW w:w="2562" w:type="dxa"/>
          </w:tcPr>
          <w:p>
            <w:pPr>
              <w:pStyle w:val="TableParagraph"/>
              <w:spacing w:before="45"/>
              <w:ind w:left="437" w:right="479"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5"/>
              <w:ind w:right="47"/>
              <w:jc w:val="right"/>
              <w:rPr>
                <w:sz w:val="20"/>
              </w:rPr>
            </w:pPr>
            <w:r>
              <w:rPr>
                <w:spacing w:val="-4"/>
                <w:sz w:val="20"/>
              </w:rPr>
              <w:t>2,75</w:t>
            </w:r>
          </w:p>
        </w:tc>
      </w:tr>
      <w:tr>
        <w:trPr>
          <w:trHeight w:val="1424" w:hRule="atLeast"/>
        </w:trPr>
        <w:tc>
          <w:tcPr>
            <w:tcW w:w="978" w:type="dxa"/>
          </w:tcPr>
          <w:p>
            <w:pPr>
              <w:pStyle w:val="TableParagraph"/>
              <w:spacing w:before="45"/>
              <w:ind w:left="50"/>
              <w:rPr>
                <w:sz w:val="20"/>
              </w:rPr>
            </w:pPr>
            <w:r>
              <w:rPr>
                <w:spacing w:val="-2"/>
                <w:sz w:val="20"/>
              </w:rPr>
              <w:t>ds37.012</w:t>
            </w:r>
          </w:p>
        </w:tc>
        <w:tc>
          <w:tcPr>
            <w:tcW w:w="696" w:type="dxa"/>
          </w:tcPr>
          <w:p>
            <w:pPr>
              <w:pStyle w:val="TableParagraph"/>
              <w:spacing w:before="45"/>
              <w:ind w:left="200"/>
              <w:rPr>
                <w:sz w:val="20"/>
              </w:rPr>
            </w:pPr>
            <w:r>
              <w:rPr>
                <w:spacing w:val="-5"/>
                <w:sz w:val="20"/>
              </w:rPr>
              <w:t>178</w:t>
            </w:r>
          </w:p>
        </w:tc>
        <w:tc>
          <w:tcPr>
            <w:tcW w:w="3555" w:type="dxa"/>
          </w:tcPr>
          <w:p>
            <w:pPr>
              <w:pStyle w:val="TableParagraph"/>
              <w:spacing w:before="45"/>
              <w:ind w:left="193" w:right="1122"/>
              <w:rPr>
                <w:sz w:val="20"/>
              </w:rPr>
            </w:pPr>
            <w:r>
              <w:rPr>
                <w:spacing w:val="-2"/>
                <w:sz w:val="20"/>
              </w:rPr>
              <w:t>Медицинская </w:t>
            </w:r>
            <w:r>
              <w:rPr>
                <w:sz w:val="20"/>
              </w:rPr>
              <w:t>реабилитация</w:t>
            </w:r>
            <w:r>
              <w:rPr>
                <w:spacing w:val="-13"/>
                <w:sz w:val="20"/>
              </w:rPr>
              <w:t> </w:t>
            </w:r>
            <w:r>
              <w:rPr>
                <w:sz w:val="20"/>
              </w:rPr>
              <w:t>детей</w:t>
            </w:r>
            <w:r>
              <w:rPr>
                <w:spacing w:val="-12"/>
                <w:sz w:val="20"/>
              </w:rPr>
              <w:t> </w:t>
            </w:r>
            <w:r>
              <w:rPr>
                <w:sz w:val="20"/>
              </w:rPr>
              <w:t>после хирургической</w:t>
            </w:r>
            <w:r>
              <w:rPr>
                <w:spacing w:val="-13"/>
                <w:sz w:val="20"/>
              </w:rPr>
              <w:t> </w:t>
            </w:r>
            <w:r>
              <w:rPr>
                <w:sz w:val="20"/>
              </w:rPr>
              <w:t>коррекции врожденных пороков</w:t>
            </w:r>
          </w:p>
          <w:p>
            <w:pPr>
              <w:pStyle w:val="TableParagraph"/>
              <w:spacing w:line="228" w:lineRule="exact"/>
              <w:ind w:left="193" w:right="1227"/>
              <w:rPr>
                <w:sz w:val="20"/>
              </w:rPr>
            </w:pPr>
            <w:r>
              <w:rPr>
                <w:sz w:val="20"/>
              </w:rPr>
              <w:t>развития</w:t>
            </w:r>
            <w:r>
              <w:rPr>
                <w:spacing w:val="-13"/>
                <w:sz w:val="20"/>
              </w:rPr>
              <w:t> </w:t>
            </w:r>
            <w:r>
              <w:rPr>
                <w:sz w:val="20"/>
              </w:rPr>
              <w:t>органов</w:t>
            </w:r>
            <w:r>
              <w:rPr>
                <w:spacing w:val="-12"/>
                <w:sz w:val="20"/>
              </w:rPr>
              <w:t> </w:t>
            </w:r>
            <w:r>
              <w:rPr>
                <w:sz w:val="20"/>
              </w:rPr>
              <w:t>и </w:t>
            </w:r>
            <w:r>
              <w:rPr>
                <w:spacing w:val="-2"/>
                <w:sz w:val="20"/>
              </w:rPr>
              <w:t>систем</w:t>
            </w:r>
          </w:p>
        </w:tc>
        <w:tc>
          <w:tcPr>
            <w:tcW w:w="2492" w:type="dxa"/>
          </w:tcPr>
          <w:p>
            <w:pPr>
              <w:pStyle w:val="TableParagraph"/>
              <w:spacing w:before="45"/>
              <w:ind w:left="1131"/>
              <w:rPr>
                <w:sz w:val="20"/>
              </w:rPr>
            </w:pPr>
            <w:r>
              <w:rPr>
                <w:w w:val="99"/>
                <w:sz w:val="20"/>
              </w:rPr>
              <w:t>-</w:t>
            </w:r>
          </w:p>
        </w:tc>
        <w:tc>
          <w:tcPr>
            <w:tcW w:w="4174" w:type="dxa"/>
          </w:tcPr>
          <w:p>
            <w:pPr>
              <w:pStyle w:val="TableParagraph"/>
              <w:spacing w:before="45"/>
              <w:ind w:left="1289" w:right="357"/>
              <w:jc w:val="center"/>
              <w:rPr>
                <w:sz w:val="20"/>
              </w:rPr>
            </w:pPr>
            <w:r>
              <w:rPr>
                <w:spacing w:val="-2"/>
                <w:sz w:val="20"/>
              </w:rPr>
              <w:t>B05.057.011</w:t>
            </w:r>
          </w:p>
        </w:tc>
        <w:tc>
          <w:tcPr>
            <w:tcW w:w="2562" w:type="dxa"/>
          </w:tcPr>
          <w:p>
            <w:pPr>
              <w:pStyle w:val="TableParagraph"/>
              <w:spacing w:before="45"/>
              <w:ind w:left="437" w:right="479"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5"/>
              <w:ind w:right="47"/>
              <w:jc w:val="right"/>
              <w:rPr>
                <w:sz w:val="20"/>
              </w:rPr>
            </w:pPr>
            <w:r>
              <w:rPr>
                <w:spacing w:val="-4"/>
                <w:sz w:val="20"/>
              </w:rPr>
              <w:t>2,35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27"/>
        <w:gridCol w:w="4843"/>
        <w:gridCol w:w="2483"/>
        <w:gridCol w:w="2931"/>
        <w:gridCol w:w="837"/>
      </w:tblGrid>
      <w:tr>
        <w:trPr>
          <w:trHeight w:val="964" w:hRule="atLeast"/>
        </w:trPr>
        <w:tc>
          <w:tcPr>
            <w:tcW w:w="978" w:type="dxa"/>
          </w:tcPr>
          <w:p>
            <w:pPr>
              <w:pStyle w:val="TableParagraph"/>
              <w:spacing w:line="221" w:lineRule="exact"/>
              <w:ind w:left="50"/>
              <w:rPr>
                <w:sz w:val="20"/>
              </w:rPr>
            </w:pPr>
            <w:r>
              <w:rPr>
                <w:spacing w:val="-2"/>
                <w:sz w:val="20"/>
              </w:rPr>
              <w:t>ds37.013</w:t>
            </w:r>
          </w:p>
        </w:tc>
        <w:tc>
          <w:tcPr>
            <w:tcW w:w="696" w:type="dxa"/>
          </w:tcPr>
          <w:p>
            <w:pPr>
              <w:pStyle w:val="TableParagraph"/>
              <w:spacing w:line="221" w:lineRule="exact"/>
              <w:ind w:left="200"/>
              <w:rPr>
                <w:sz w:val="20"/>
              </w:rPr>
            </w:pPr>
            <w:r>
              <w:rPr>
                <w:spacing w:val="-5"/>
                <w:sz w:val="20"/>
              </w:rPr>
              <w:t>179</w:t>
            </w:r>
          </w:p>
        </w:tc>
        <w:tc>
          <w:tcPr>
            <w:tcW w:w="2527" w:type="dxa"/>
          </w:tcPr>
          <w:p>
            <w:pPr>
              <w:pStyle w:val="TableParagraph"/>
              <w:ind w:left="193" w:right="37"/>
              <w:rPr>
                <w:sz w:val="20"/>
              </w:rPr>
            </w:pPr>
            <w:r>
              <w:rPr>
                <w:spacing w:val="-2"/>
                <w:sz w:val="20"/>
              </w:rPr>
              <w:t>Медицинская </w:t>
            </w:r>
            <w:r>
              <w:rPr>
                <w:sz w:val="20"/>
              </w:rPr>
              <w:t>реабилитация после </w:t>
            </w:r>
            <w:r>
              <w:rPr>
                <w:spacing w:val="-2"/>
                <w:w w:val="95"/>
                <w:sz w:val="20"/>
              </w:rPr>
              <w:t>онкоортопедических </w:t>
            </w:r>
            <w:r>
              <w:rPr>
                <w:spacing w:val="-2"/>
                <w:sz w:val="20"/>
              </w:rPr>
              <w:t>операций</w:t>
            </w:r>
          </w:p>
        </w:tc>
        <w:tc>
          <w:tcPr>
            <w:tcW w:w="4843" w:type="dxa"/>
          </w:tcPr>
          <w:p>
            <w:pPr>
              <w:pStyle w:val="TableParagraph"/>
              <w:spacing w:line="221" w:lineRule="exact"/>
              <w:ind w:left="251"/>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1660" w:right="236" w:hanging="1409"/>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C41.9, C79.5</w:t>
            </w:r>
          </w:p>
        </w:tc>
        <w:tc>
          <w:tcPr>
            <w:tcW w:w="2483" w:type="dxa"/>
          </w:tcPr>
          <w:p>
            <w:pPr>
              <w:pStyle w:val="TableParagraph"/>
              <w:spacing w:line="221" w:lineRule="exact"/>
              <w:ind w:left="705" w:right="725"/>
              <w:jc w:val="center"/>
              <w:rPr>
                <w:sz w:val="20"/>
              </w:rPr>
            </w:pPr>
            <w:r>
              <w:rPr>
                <w:spacing w:val="-2"/>
                <w:sz w:val="20"/>
              </w:rPr>
              <w:t>B05.027.001</w:t>
            </w:r>
          </w:p>
        </w:tc>
        <w:tc>
          <w:tcPr>
            <w:tcW w:w="2931" w:type="dxa"/>
          </w:tcPr>
          <w:p>
            <w:pPr>
              <w:pStyle w:val="TableParagraph"/>
              <w:spacing w:line="221" w:lineRule="exact"/>
              <w:ind w:right="1281"/>
              <w:jc w:val="right"/>
              <w:rPr>
                <w:sz w:val="20"/>
              </w:rPr>
            </w:pPr>
            <w:r>
              <w:rPr>
                <w:w w:val="99"/>
                <w:sz w:val="20"/>
              </w:rPr>
              <w:t>-</w:t>
            </w:r>
          </w:p>
        </w:tc>
        <w:tc>
          <w:tcPr>
            <w:tcW w:w="837" w:type="dxa"/>
          </w:tcPr>
          <w:p>
            <w:pPr>
              <w:pStyle w:val="TableParagraph"/>
              <w:spacing w:line="221" w:lineRule="exact"/>
              <w:ind w:right="48"/>
              <w:jc w:val="right"/>
              <w:rPr>
                <w:sz w:val="20"/>
              </w:rPr>
            </w:pPr>
            <w:r>
              <w:rPr>
                <w:spacing w:val="-4"/>
                <w:sz w:val="20"/>
              </w:rPr>
              <w:t>1,76</w:t>
            </w:r>
          </w:p>
        </w:tc>
      </w:tr>
      <w:tr>
        <w:trPr>
          <w:trHeight w:val="1020" w:hRule="atLeast"/>
        </w:trPr>
        <w:tc>
          <w:tcPr>
            <w:tcW w:w="978" w:type="dxa"/>
          </w:tcPr>
          <w:p>
            <w:pPr>
              <w:pStyle w:val="TableParagraph"/>
              <w:spacing w:before="46"/>
              <w:ind w:left="50"/>
              <w:rPr>
                <w:sz w:val="20"/>
              </w:rPr>
            </w:pPr>
            <w:r>
              <w:rPr>
                <w:spacing w:val="-2"/>
                <w:sz w:val="20"/>
              </w:rPr>
              <w:t>ds37.014</w:t>
            </w:r>
          </w:p>
        </w:tc>
        <w:tc>
          <w:tcPr>
            <w:tcW w:w="696" w:type="dxa"/>
          </w:tcPr>
          <w:p>
            <w:pPr>
              <w:pStyle w:val="TableParagraph"/>
              <w:spacing w:before="46"/>
              <w:ind w:left="200"/>
              <w:rPr>
                <w:sz w:val="20"/>
              </w:rPr>
            </w:pPr>
            <w:r>
              <w:rPr>
                <w:spacing w:val="-5"/>
                <w:sz w:val="20"/>
              </w:rPr>
              <w:t>180</w:t>
            </w:r>
          </w:p>
        </w:tc>
        <w:tc>
          <w:tcPr>
            <w:tcW w:w="2527" w:type="dxa"/>
          </w:tcPr>
          <w:p>
            <w:pPr>
              <w:pStyle w:val="TableParagraph"/>
              <w:spacing w:before="46"/>
              <w:ind w:left="193" w:right="37"/>
              <w:rPr>
                <w:sz w:val="20"/>
              </w:rPr>
            </w:pPr>
            <w:r>
              <w:rPr>
                <w:spacing w:val="-2"/>
                <w:sz w:val="20"/>
              </w:rPr>
              <w:t>Медицинская </w:t>
            </w:r>
            <w:r>
              <w:rPr>
                <w:sz w:val="20"/>
              </w:rPr>
              <w:t>реабилитация</w:t>
            </w:r>
            <w:r>
              <w:rPr>
                <w:spacing w:val="-13"/>
                <w:sz w:val="20"/>
              </w:rPr>
              <w:t> </w:t>
            </w:r>
            <w:r>
              <w:rPr>
                <w:sz w:val="20"/>
              </w:rPr>
              <w:t>по</w:t>
            </w:r>
            <w:r>
              <w:rPr>
                <w:spacing w:val="-12"/>
                <w:sz w:val="20"/>
              </w:rPr>
              <w:t> </w:t>
            </w:r>
            <w:r>
              <w:rPr>
                <w:sz w:val="20"/>
              </w:rPr>
              <w:t>поводу </w:t>
            </w:r>
            <w:r>
              <w:rPr>
                <w:spacing w:val="-2"/>
                <w:sz w:val="20"/>
              </w:rPr>
              <w:t>постмастэктомического </w:t>
            </w:r>
            <w:r>
              <w:rPr>
                <w:sz w:val="20"/>
              </w:rPr>
              <w:t>синдрома в онкологии</w:t>
            </w:r>
          </w:p>
        </w:tc>
        <w:tc>
          <w:tcPr>
            <w:tcW w:w="4843" w:type="dxa"/>
          </w:tcPr>
          <w:p>
            <w:pPr>
              <w:pStyle w:val="TableParagraph"/>
              <w:spacing w:before="46"/>
              <w:ind w:left="1367" w:right="236" w:hanging="1116"/>
              <w:rPr>
                <w:sz w:val="20"/>
              </w:rPr>
            </w:pPr>
            <w:r>
              <w:rPr>
                <w:sz w:val="20"/>
              </w:rPr>
              <w:t>C50,</w:t>
            </w:r>
            <w:r>
              <w:rPr>
                <w:spacing w:val="-7"/>
                <w:sz w:val="20"/>
              </w:rPr>
              <w:t> </w:t>
            </w:r>
            <w:r>
              <w:rPr>
                <w:sz w:val="20"/>
              </w:rPr>
              <w:t>C50.0,</w:t>
            </w:r>
            <w:r>
              <w:rPr>
                <w:spacing w:val="-7"/>
                <w:sz w:val="20"/>
              </w:rPr>
              <w:t> </w:t>
            </w:r>
            <w:r>
              <w:rPr>
                <w:sz w:val="20"/>
              </w:rPr>
              <w:t>C50.1,</w:t>
            </w:r>
            <w:r>
              <w:rPr>
                <w:spacing w:val="-7"/>
                <w:sz w:val="20"/>
              </w:rPr>
              <w:t> </w:t>
            </w:r>
            <w:r>
              <w:rPr>
                <w:sz w:val="20"/>
              </w:rPr>
              <w:t>C50.2,</w:t>
            </w:r>
            <w:r>
              <w:rPr>
                <w:spacing w:val="-7"/>
                <w:sz w:val="20"/>
              </w:rPr>
              <w:t> </w:t>
            </w:r>
            <w:r>
              <w:rPr>
                <w:sz w:val="20"/>
              </w:rPr>
              <w:t>C50.3,</w:t>
            </w:r>
            <w:r>
              <w:rPr>
                <w:spacing w:val="-7"/>
                <w:sz w:val="20"/>
              </w:rPr>
              <w:t> </w:t>
            </w:r>
            <w:r>
              <w:rPr>
                <w:sz w:val="20"/>
              </w:rPr>
              <w:t>C50.4,</w:t>
            </w:r>
            <w:r>
              <w:rPr>
                <w:spacing w:val="-7"/>
                <w:sz w:val="20"/>
              </w:rPr>
              <w:t> </w:t>
            </w:r>
            <w:r>
              <w:rPr>
                <w:sz w:val="20"/>
              </w:rPr>
              <w:t>C50.5, C50.6, C50.8, C50.9</w:t>
            </w:r>
          </w:p>
        </w:tc>
        <w:tc>
          <w:tcPr>
            <w:tcW w:w="2483" w:type="dxa"/>
          </w:tcPr>
          <w:p>
            <w:pPr>
              <w:pStyle w:val="TableParagraph"/>
              <w:spacing w:before="46"/>
              <w:ind w:left="705" w:right="725"/>
              <w:jc w:val="center"/>
              <w:rPr>
                <w:sz w:val="20"/>
              </w:rPr>
            </w:pPr>
            <w:r>
              <w:rPr>
                <w:spacing w:val="-2"/>
                <w:sz w:val="20"/>
              </w:rPr>
              <w:t>B05.027.001</w:t>
            </w:r>
          </w:p>
        </w:tc>
        <w:tc>
          <w:tcPr>
            <w:tcW w:w="2931" w:type="dxa"/>
          </w:tcPr>
          <w:p>
            <w:pPr>
              <w:pStyle w:val="TableParagraph"/>
              <w:spacing w:before="46"/>
              <w:ind w:right="1281"/>
              <w:jc w:val="right"/>
              <w:rPr>
                <w:sz w:val="20"/>
              </w:rPr>
            </w:pPr>
            <w:r>
              <w:rPr>
                <w:w w:val="99"/>
                <w:sz w:val="20"/>
              </w:rPr>
              <w:t>-</w:t>
            </w:r>
          </w:p>
        </w:tc>
        <w:tc>
          <w:tcPr>
            <w:tcW w:w="837" w:type="dxa"/>
          </w:tcPr>
          <w:p>
            <w:pPr>
              <w:pStyle w:val="TableParagraph"/>
              <w:spacing w:before="46"/>
              <w:ind w:right="48"/>
              <w:jc w:val="right"/>
              <w:rPr>
                <w:sz w:val="20"/>
              </w:rPr>
            </w:pPr>
            <w:r>
              <w:rPr>
                <w:spacing w:val="-4"/>
                <w:sz w:val="20"/>
              </w:rPr>
              <w:t>1,51</w:t>
            </w:r>
          </w:p>
        </w:tc>
      </w:tr>
      <w:tr>
        <w:trPr>
          <w:trHeight w:val="1479" w:hRule="atLeast"/>
        </w:trPr>
        <w:tc>
          <w:tcPr>
            <w:tcW w:w="978" w:type="dxa"/>
          </w:tcPr>
          <w:p>
            <w:pPr>
              <w:pStyle w:val="TableParagraph"/>
              <w:spacing w:before="46"/>
              <w:ind w:left="50"/>
              <w:rPr>
                <w:sz w:val="20"/>
              </w:rPr>
            </w:pPr>
            <w:r>
              <w:rPr>
                <w:spacing w:val="-2"/>
                <w:sz w:val="20"/>
              </w:rPr>
              <w:t>ds37.015</w:t>
            </w:r>
          </w:p>
        </w:tc>
        <w:tc>
          <w:tcPr>
            <w:tcW w:w="696" w:type="dxa"/>
          </w:tcPr>
          <w:p>
            <w:pPr>
              <w:pStyle w:val="TableParagraph"/>
              <w:spacing w:before="46"/>
              <w:ind w:left="200"/>
              <w:rPr>
                <w:sz w:val="20"/>
              </w:rPr>
            </w:pPr>
            <w:r>
              <w:rPr>
                <w:spacing w:val="-5"/>
                <w:sz w:val="20"/>
              </w:rPr>
              <w:t>181</w:t>
            </w:r>
          </w:p>
        </w:tc>
        <w:tc>
          <w:tcPr>
            <w:tcW w:w="2527" w:type="dxa"/>
          </w:tcPr>
          <w:p>
            <w:pPr>
              <w:pStyle w:val="TableParagraph"/>
              <w:spacing w:before="46"/>
              <w:ind w:left="193" w:right="526"/>
              <w:rPr>
                <w:sz w:val="20"/>
              </w:rPr>
            </w:pPr>
            <w:r>
              <w:rPr>
                <w:spacing w:val="-2"/>
                <w:sz w:val="20"/>
              </w:rPr>
              <w:t>Медицинская </w:t>
            </w:r>
            <w:r>
              <w:rPr>
                <w:sz w:val="20"/>
              </w:rPr>
              <w:t>реабилитация после </w:t>
            </w:r>
            <w:r>
              <w:rPr>
                <w:spacing w:val="-2"/>
                <w:sz w:val="20"/>
              </w:rPr>
              <w:t>перенесенной коронавирусной </w:t>
            </w:r>
            <w:r>
              <w:rPr>
                <w:sz w:val="20"/>
              </w:rPr>
              <w:t>инфекции</w:t>
            </w:r>
            <w:r>
              <w:rPr>
                <w:spacing w:val="-13"/>
                <w:sz w:val="20"/>
              </w:rPr>
              <w:t> </w:t>
            </w:r>
            <w:r>
              <w:rPr>
                <w:sz w:val="20"/>
              </w:rPr>
              <w:t>COVID-19 (2 балла по ШРМ)</w:t>
            </w:r>
          </w:p>
        </w:tc>
        <w:tc>
          <w:tcPr>
            <w:tcW w:w="4843" w:type="dxa"/>
          </w:tcPr>
          <w:p>
            <w:pPr>
              <w:pStyle w:val="TableParagraph"/>
              <w:spacing w:before="46"/>
              <w:ind w:left="2159"/>
              <w:rPr>
                <w:sz w:val="20"/>
              </w:rPr>
            </w:pPr>
            <w:r>
              <w:rPr>
                <w:w w:val="99"/>
                <w:sz w:val="20"/>
              </w:rPr>
              <w:t>-</w:t>
            </w:r>
          </w:p>
        </w:tc>
        <w:tc>
          <w:tcPr>
            <w:tcW w:w="2483" w:type="dxa"/>
          </w:tcPr>
          <w:p>
            <w:pPr>
              <w:pStyle w:val="TableParagraph"/>
              <w:spacing w:before="46"/>
              <w:ind w:right="19"/>
              <w:jc w:val="center"/>
              <w:rPr>
                <w:sz w:val="20"/>
              </w:rPr>
            </w:pPr>
            <w:r>
              <w:rPr>
                <w:w w:val="99"/>
                <w:sz w:val="20"/>
              </w:rPr>
              <w:t>-</w:t>
            </w:r>
          </w:p>
        </w:tc>
        <w:tc>
          <w:tcPr>
            <w:tcW w:w="2931" w:type="dxa"/>
          </w:tcPr>
          <w:p>
            <w:pPr>
              <w:pStyle w:val="TableParagraph"/>
              <w:spacing w:before="46"/>
              <w:ind w:left="736" w:right="434" w:hanging="2"/>
              <w:jc w:val="center"/>
              <w:rPr>
                <w:sz w:val="20"/>
              </w:rPr>
            </w:pPr>
            <w:r>
              <w:rPr>
                <w:spacing w:val="-4"/>
                <w:sz w:val="20"/>
              </w:rPr>
              <w:t>Иной </w:t>
            </w:r>
            <w:r>
              <w:rPr>
                <w:spacing w:val="-2"/>
                <w:sz w:val="20"/>
              </w:rPr>
              <w:t>классификационный </w:t>
            </w:r>
            <w:r>
              <w:rPr>
                <w:sz w:val="20"/>
              </w:rPr>
              <w:t>критерий: rb2cov</w:t>
            </w:r>
          </w:p>
        </w:tc>
        <w:tc>
          <w:tcPr>
            <w:tcW w:w="837" w:type="dxa"/>
          </w:tcPr>
          <w:p>
            <w:pPr>
              <w:pStyle w:val="TableParagraph"/>
              <w:spacing w:before="46"/>
              <w:ind w:right="48"/>
              <w:jc w:val="right"/>
              <w:rPr>
                <w:sz w:val="20"/>
              </w:rPr>
            </w:pPr>
            <w:r>
              <w:rPr>
                <w:spacing w:val="-4"/>
                <w:sz w:val="20"/>
              </w:rPr>
              <w:t>1,00</w:t>
            </w:r>
          </w:p>
        </w:tc>
      </w:tr>
      <w:tr>
        <w:trPr>
          <w:trHeight w:val="1427" w:hRule="atLeast"/>
        </w:trPr>
        <w:tc>
          <w:tcPr>
            <w:tcW w:w="978" w:type="dxa"/>
          </w:tcPr>
          <w:p>
            <w:pPr>
              <w:pStyle w:val="TableParagraph"/>
              <w:spacing w:before="45"/>
              <w:ind w:left="50"/>
              <w:rPr>
                <w:sz w:val="20"/>
              </w:rPr>
            </w:pPr>
            <w:r>
              <w:rPr>
                <w:spacing w:val="-2"/>
                <w:sz w:val="20"/>
              </w:rPr>
              <w:t>ds37.016</w:t>
            </w:r>
          </w:p>
        </w:tc>
        <w:tc>
          <w:tcPr>
            <w:tcW w:w="696" w:type="dxa"/>
          </w:tcPr>
          <w:p>
            <w:pPr>
              <w:pStyle w:val="TableParagraph"/>
              <w:spacing w:before="45"/>
              <w:ind w:left="200"/>
              <w:rPr>
                <w:sz w:val="20"/>
              </w:rPr>
            </w:pPr>
            <w:r>
              <w:rPr>
                <w:spacing w:val="-5"/>
                <w:sz w:val="20"/>
              </w:rPr>
              <w:t>182</w:t>
            </w:r>
          </w:p>
        </w:tc>
        <w:tc>
          <w:tcPr>
            <w:tcW w:w="2527" w:type="dxa"/>
          </w:tcPr>
          <w:p>
            <w:pPr>
              <w:pStyle w:val="TableParagraph"/>
              <w:spacing w:before="45"/>
              <w:ind w:left="193" w:right="37"/>
              <w:rPr>
                <w:sz w:val="20"/>
              </w:rPr>
            </w:pPr>
            <w:r>
              <w:rPr>
                <w:spacing w:val="-2"/>
                <w:sz w:val="20"/>
              </w:rPr>
              <w:t>Медицинская </w:t>
            </w:r>
            <w:r>
              <w:rPr>
                <w:sz w:val="20"/>
              </w:rPr>
              <w:t>реабилитация после </w:t>
            </w:r>
            <w:r>
              <w:rPr>
                <w:spacing w:val="-2"/>
                <w:sz w:val="20"/>
              </w:rPr>
              <w:t>перенесенной коронавирусной</w:t>
            </w:r>
          </w:p>
          <w:p>
            <w:pPr>
              <w:pStyle w:val="TableParagraph"/>
              <w:spacing w:line="230" w:lineRule="atLeast"/>
              <w:ind w:left="193" w:right="526"/>
              <w:rPr>
                <w:sz w:val="20"/>
              </w:rPr>
            </w:pPr>
            <w:r>
              <w:rPr>
                <w:sz w:val="20"/>
              </w:rPr>
              <w:t>инфекции</w:t>
            </w:r>
            <w:r>
              <w:rPr>
                <w:spacing w:val="-13"/>
                <w:sz w:val="20"/>
              </w:rPr>
              <w:t> </w:t>
            </w:r>
            <w:r>
              <w:rPr>
                <w:sz w:val="20"/>
              </w:rPr>
              <w:t>COVID-19 (3 балла по ШРМ)</w:t>
            </w:r>
          </w:p>
        </w:tc>
        <w:tc>
          <w:tcPr>
            <w:tcW w:w="4843" w:type="dxa"/>
          </w:tcPr>
          <w:p>
            <w:pPr>
              <w:pStyle w:val="TableParagraph"/>
              <w:spacing w:before="45"/>
              <w:ind w:left="2159"/>
              <w:rPr>
                <w:sz w:val="20"/>
              </w:rPr>
            </w:pPr>
            <w:r>
              <w:rPr>
                <w:w w:val="99"/>
                <w:sz w:val="20"/>
              </w:rPr>
              <w:t>-</w:t>
            </w:r>
          </w:p>
        </w:tc>
        <w:tc>
          <w:tcPr>
            <w:tcW w:w="2483" w:type="dxa"/>
          </w:tcPr>
          <w:p>
            <w:pPr>
              <w:pStyle w:val="TableParagraph"/>
              <w:spacing w:before="45"/>
              <w:ind w:right="19"/>
              <w:jc w:val="center"/>
              <w:rPr>
                <w:sz w:val="20"/>
              </w:rPr>
            </w:pPr>
            <w:r>
              <w:rPr>
                <w:w w:val="99"/>
                <w:sz w:val="20"/>
              </w:rPr>
              <w:t>-</w:t>
            </w:r>
          </w:p>
        </w:tc>
        <w:tc>
          <w:tcPr>
            <w:tcW w:w="2931" w:type="dxa"/>
          </w:tcPr>
          <w:p>
            <w:pPr>
              <w:pStyle w:val="TableParagraph"/>
              <w:spacing w:before="45"/>
              <w:ind w:left="736" w:right="434" w:hanging="2"/>
              <w:jc w:val="center"/>
              <w:rPr>
                <w:sz w:val="20"/>
              </w:rPr>
            </w:pPr>
            <w:r>
              <w:rPr>
                <w:spacing w:val="-4"/>
                <w:sz w:val="20"/>
              </w:rPr>
              <w:t>Иной </w:t>
            </w:r>
            <w:r>
              <w:rPr>
                <w:spacing w:val="-2"/>
                <w:sz w:val="20"/>
              </w:rPr>
              <w:t>классификационный </w:t>
            </w:r>
            <w:r>
              <w:rPr>
                <w:sz w:val="20"/>
              </w:rPr>
              <w:t>критерий: rb3cov</w:t>
            </w:r>
          </w:p>
        </w:tc>
        <w:tc>
          <w:tcPr>
            <w:tcW w:w="837" w:type="dxa"/>
          </w:tcPr>
          <w:p>
            <w:pPr>
              <w:pStyle w:val="TableParagraph"/>
              <w:spacing w:before="45"/>
              <w:ind w:right="48"/>
              <w:jc w:val="right"/>
              <w:rPr>
                <w:sz w:val="20"/>
              </w:rPr>
            </w:pPr>
            <w:r>
              <w:rPr>
                <w:spacing w:val="-4"/>
                <w:sz w:val="20"/>
              </w:rPr>
              <w:t>1,40</w:t>
            </w:r>
          </w:p>
        </w:tc>
      </w:tr>
    </w:tbl>
    <w:p>
      <w:pPr>
        <w:pStyle w:val="BodyText"/>
        <w:rPr>
          <w:sz w:val="20"/>
        </w:rPr>
      </w:pPr>
    </w:p>
    <w:p>
      <w:pPr>
        <w:pStyle w:val="BodyText"/>
        <w:spacing w:before="2"/>
      </w:pPr>
      <w:r>
        <w:rPr/>
        <w:pict>
          <v:shape style="position:absolute;margin-left:28.32pt;margin-top:17.438623pt;width:124.85pt;height:.1pt;mso-position-horizontal-relative:page;mso-position-vertical-relative:paragraph;z-index:-15721984;mso-wrap-distance-left:0;mso-wrap-distance-right:0" id="docshape19" coordorigin="566,349" coordsize="2497,0" path="m566,349l3063,349e" filled="false" stroked="true" strokeweight=".39840pt" strokecolor="#000000">
            <v:path arrowok="t"/>
            <v:stroke dashstyle="solid"/>
            <w10:wrap type="topAndBottom"/>
          </v:shape>
        </w:pict>
      </w:r>
    </w:p>
    <w:p>
      <w:pPr>
        <w:spacing w:line="249" w:lineRule="auto" w:before="130"/>
        <w:ind w:left="226" w:right="0" w:firstLine="0"/>
        <w:jc w:val="left"/>
        <w:rPr>
          <w:sz w:val="20"/>
        </w:rPr>
      </w:pPr>
      <w:r>
        <w:rPr>
          <w:sz w:val="20"/>
          <w:vertAlign w:val="superscript"/>
        </w:rPr>
        <w:t>*</w:t>
      </w:r>
      <w:r>
        <w:rPr>
          <w:spacing w:val="-1"/>
          <w:sz w:val="20"/>
          <w:vertAlign w:val="baseline"/>
        </w:rPr>
        <w:t> </w:t>
      </w:r>
      <w:r>
        <w:rPr>
          <w:sz w:val="20"/>
          <w:vertAlign w:val="baseline"/>
        </w:rPr>
        <w:t>Особенности</w:t>
      </w:r>
      <w:r>
        <w:rPr>
          <w:spacing w:val="31"/>
          <w:sz w:val="20"/>
          <w:vertAlign w:val="baseline"/>
        </w:rPr>
        <w:t> </w:t>
      </w:r>
      <w:r>
        <w:rPr>
          <w:sz w:val="20"/>
          <w:vertAlign w:val="baseline"/>
        </w:rPr>
        <w:t>отнесения</w:t>
      </w:r>
      <w:r>
        <w:rPr>
          <w:spacing w:val="29"/>
          <w:sz w:val="20"/>
          <w:vertAlign w:val="baseline"/>
        </w:rPr>
        <w:t> </w:t>
      </w:r>
      <w:r>
        <w:rPr>
          <w:sz w:val="20"/>
          <w:vertAlign w:val="baseline"/>
        </w:rPr>
        <w:t>случаев</w:t>
      </w:r>
      <w:r>
        <w:rPr>
          <w:spacing w:val="32"/>
          <w:sz w:val="20"/>
          <w:vertAlign w:val="baseline"/>
        </w:rPr>
        <w:t> </w:t>
      </w:r>
      <w:r>
        <w:rPr>
          <w:sz w:val="20"/>
          <w:vertAlign w:val="baseline"/>
        </w:rPr>
        <w:t>лечения</w:t>
      </w:r>
      <w:r>
        <w:rPr>
          <w:spacing w:val="32"/>
          <w:sz w:val="20"/>
          <w:vertAlign w:val="baseline"/>
        </w:rPr>
        <w:t> </w:t>
      </w:r>
      <w:r>
        <w:rPr>
          <w:sz w:val="20"/>
          <w:vertAlign w:val="baseline"/>
        </w:rPr>
        <w:t>к</w:t>
      </w:r>
      <w:r>
        <w:rPr>
          <w:spacing w:val="29"/>
          <w:sz w:val="20"/>
          <w:vertAlign w:val="baseline"/>
        </w:rPr>
        <w:t> </w:t>
      </w:r>
      <w:r>
        <w:rPr>
          <w:sz w:val="20"/>
          <w:vertAlign w:val="baseline"/>
        </w:rPr>
        <w:t>отдельным</w:t>
      </w:r>
      <w:r>
        <w:rPr>
          <w:spacing w:val="31"/>
          <w:sz w:val="20"/>
          <w:vertAlign w:val="baseline"/>
        </w:rPr>
        <w:t> </w:t>
      </w:r>
      <w:r>
        <w:rPr>
          <w:sz w:val="20"/>
          <w:vertAlign w:val="baseline"/>
        </w:rPr>
        <w:t>группам</w:t>
      </w:r>
      <w:r>
        <w:rPr>
          <w:spacing w:val="31"/>
          <w:sz w:val="20"/>
          <w:vertAlign w:val="baseline"/>
        </w:rPr>
        <w:t> </w:t>
      </w:r>
      <w:r>
        <w:rPr>
          <w:sz w:val="20"/>
          <w:vertAlign w:val="baseline"/>
        </w:rPr>
        <w:t>заболеваний</w:t>
      </w:r>
      <w:r>
        <w:rPr>
          <w:spacing w:val="31"/>
          <w:sz w:val="20"/>
          <w:vertAlign w:val="baseline"/>
        </w:rPr>
        <w:t> </w:t>
      </w:r>
      <w:r>
        <w:rPr>
          <w:sz w:val="20"/>
          <w:vertAlign w:val="baseline"/>
        </w:rPr>
        <w:t>и</w:t>
      </w:r>
      <w:r>
        <w:rPr>
          <w:spacing w:val="31"/>
          <w:sz w:val="20"/>
          <w:vertAlign w:val="baseline"/>
        </w:rPr>
        <w:t> </w:t>
      </w:r>
      <w:r>
        <w:rPr>
          <w:sz w:val="20"/>
          <w:vertAlign w:val="baseline"/>
        </w:rPr>
        <w:t>патологических</w:t>
      </w:r>
      <w:r>
        <w:rPr>
          <w:spacing w:val="29"/>
          <w:sz w:val="20"/>
          <w:vertAlign w:val="baseline"/>
        </w:rPr>
        <w:t> </w:t>
      </w:r>
      <w:r>
        <w:rPr>
          <w:sz w:val="20"/>
          <w:vertAlign w:val="baseline"/>
        </w:rPr>
        <w:t>состояний,</w:t>
      </w:r>
      <w:r>
        <w:rPr>
          <w:spacing w:val="30"/>
          <w:sz w:val="20"/>
          <w:vertAlign w:val="baseline"/>
        </w:rPr>
        <w:t> </w:t>
      </w:r>
      <w:r>
        <w:rPr>
          <w:sz w:val="20"/>
          <w:vertAlign w:val="baseline"/>
        </w:rPr>
        <w:t>а</w:t>
      </w:r>
      <w:r>
        <w:rPr>
          <w:spacing w:val="33"/>
          <w:sz w:val="20"/>
          <w:vertAlign w:val="baseline"/>
        </w:rPr>
        <w:t> </w:t>
      </w:r>
      <w:r>
        <w:rPr>
          <w:sz w:val="20"/>
          <w:vertAlign w:val="baseline"/>
        </w:rPr>
        <w:t>также</w:t>
      </w:r>
      <w:r>
        <w:rPr>
          <w:spacing w:val="30"/>
          <w:sz w:val="20"/>
          <w:vertAlign w:val="baseline"/>
        </w:rPr>
        <w:t> </w:t>
      </w:r>
      <w:r>
        <w:rPr>
          <w:sz w:val="20"/>
          <w:vertAlign w:val="baseline"/>
        </w:rPr>
        <w:t>описание</w:t>
      </w:r>
      <w:r>
        <w:rPr>
          <w:spacing w:val="33"/>
          <w:sz w:val="20"/>
          <w:vertAlign w:val="baseline"/>
        </w:rPr>
        <w:t> </w:t>
      </w:r>
      <w:r>
        <w:rPr>
          <w:sz w:val="20"/>
          <w:vertAlign w:val="baseline"/>
        </w:rPr>
        <w:t>иных</w:t>
      </w:r>
      <w:r>
        <w:rPr>
          <w:spacing w:val="31"/>
          <w:sz w:val="20"/>
          <w:vertAlign w:val="baseline"/>
        </w:rPr>
        <w:t> </w:t>
      </w:r>
      <w:r>
        <w:rPr>
          <w:sz w:val="20"/>
          <w:vertAlign w:val="baseline"/>
        </w:rPr>
        <w:t>классификационных</w:t>
      </w:r>
      <w:r>
        <w:rPr>
          <w:spacing w:val="32"/>
          <w:sz w:val="20"/>
          <w:vertAlign w:val="baseline"/>
        </w:rPr>
        <w:t> </w:t>
      </w:r>
      <w:r>
        <w:rPr>
          <w:sz w:val="20"/>
          <w:vertAlign w:val="baseline"/>
        </w:rPr>
        <w:t>критериев</w:t>
      </w:r>
      <w:r>
        <w:rPr>
          <w:spacing w:val="32"/>
          <w:sz w:val="20"/>
          <w:vertAlign w:val="baseline"/>
        </w:rPr>
        <w:t> </w:t>
      </w:r>
      <w:r>
        <w:rPr>
          <w:sz w:val="20"/>
          <w:vertAlign w:val="baseline"/>
        </w:rPr>
        <w:t>определяются Министерством здравоохранения Российской Федерации.</w:t>
      </w:r>
    </w:p>
    <w:p>
      <w:pPr>
        <w:spacing w:line="249" w:lineRule="auto" w:before="2"/>
        <w:ind w:left="226" w:right="0" w:firstLine="0"/>
        <w:jc w:val="left"/>
        <w:rPr>
          <w:sz w:val="20"/>
        </w:rPr>
      </w:pPr>
      <w:r>
        <w:rPr>
          <w:sz w:val="20"/>
          <w:vertAlign w:val="superscript"/>
        </w:rPr>
        <w:t>**</w:t>
      </w:r>
      <w:r>
        <w:rPr>
          <w:spacing w:val="-3"/>
          <w:sz w:val="20"/>
          <w:vertAlign w:val="baseline"/>
        </w:rPr>
        <w:t> </w:t>
      </w:r>
      <w:r>
        <w:rPr>
          <w:sz w:val="20"/>
          <w:vertAlign w:val="baseline"/>
        </w:rPr>
        <w:t>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spacing w:before="1"/>
        <w:ind w:left="226" w:right="0" w:firstLine="0"/>
        <w:jc w:val="left"/>
        <w:rPr>
          <w:sz w:val="20"/>
        </w:rPr>
      </w:pPr>
      <w:r>
        <w:rPr>
          <w:sz w:val="20"/>
        </w:rPr>
        <w:t>В</w:t>
      </w:r>
      <w:r>
        <w:rPr>
          <w:spacing w:val="-8"/>
          <w:sz w:val="20"/>
        </w:rPr>
        <w:t> </w:t>
      </w:r>
      <w:r>
        <w:rPr>
          <w:sz w:val="20"/>
        </w:rPr>
        <w:t>стационарных</w:t>
      </w:r>
      <w:r>
        <w:rPr>
          <w:spacing w:val="-6"/>
          <w:sz w:val="20"/>
        </w:rPr>
        <w:t> </w:t>
      </w:r>
      <w:r>
        <w:rPr>
          <w:spacing w:val="-2"/>
          <w:sz w:val="20"/>
        </w:rPr>
        <w:t>условиях:</w:t>
      </w:r>
    </w:p>
    <w:p>
      <w:pPr>
        <w:spacing w:before="11"/>
        <w:ind w:left="226" w:right="0" w:firstLine="0"/>
        <w:jc w:val="left"/>
        <w:rPr>
          <w:sz w:val="20"/>
        </w:rPr>
      </w:pPr>
      <w:r>
        <w:rPr>
          <w:sz w:val="20"/>
        </w:rPr>
        <w:t>Лечение</w:t>
      </w:r>
      <w:r>
        <w:rPr>
          <w:spacing w:val="-7"/>
          <w:sz w:val="20"/>
        </w:rPr>
        <w:t> </w:t>
      </w:r>
      <w:r>
        <w:rPr>
          <w:sz w:val="20"/>
        </w:rPr>
        <w:t>дерматозов</w:t>
      </w:r>
      <w:r>
        <w:rPr>
          <w:spacing w:val="-8"/>
          <w:sz w:val="20"/>
        </w:rPr>
        <w:t> </w:t>
      </w:r>
      <w:r>
        <w:rPr>
          <w:sz w:val="20"/>
        </w:rPr>
        <w:t>с</w:t>
      </w:r>
      <w:r>
        <w:rPr>
          <w:spacing w:val="-7"/>
          <w:sz w:val="20"/>
        </w:rPr>
        <w:t> </w:t>
      </w:r>
      <w:r>
        <w:rPr>
          <w:sz w:val="20"/>
        </w:rPr>
        <w:t>применением</w:t>
      </w:r>
      <w:r>
        <w:rPr>
          <w:spacing w:val="-6"/>
          <w:sz w:val="20"/>
        </w:rPr>
        <w:t> </w:t>
      </w:r>
      <w:r>
        <w:rPr>
          <w:sz w:val="20"/>
        </w:rPr>
        <w:t>наружной</w:t>
      </w:r>
      <w:r>
        <w:rPr>
          <w:spacing w:val="-8"/>
          <w:sz w:val="20"/>
        </w:rPr>
        <w:t> </w:t>
      </w:r>
      <w:r>
        <w:rPr>
          <w:sz w:val="20"/>
        </w:rPr>
        <w:t>терапии</w:t>
      </w:r>
      <w:r>
        <w:rPr>
          <w:spacing w:val="-4"/>
          <w:sz w:val="20"/>
        </w:rPr>
        <w:t> </w:t>
      </w:r>
      <w:r>
        <w:rPr>
          <w:sz w:val="20"/>
        </w:rPr>
        <w:t>-</w:t>
      </w:r>
      <w:r>
        <w:rPr>
          <w:spacing w:val="-6"/>
          <w:sz w:val="20"/>
        </w:rPr>
        <w:t> </w:t>
      </w:r>
      <w:r>
        <w:rPr>
          <w:spacing w:val="-2"/>
          <w:sz w:val="20"/>
        </w:rPr>
        <w:t>97,47%</w:t>
      </w:r>
    </w:p>
    <w:p>
      <w:pPr>
        <w:spacing w:line="249" w:lineRule="auto" w:before="10"/>
        <w:ind w:left="226" w:right="7471" w:firstLine="0"/>
        <w:jc w:val="left"/>
        <w:rPr>
          <w:sz w:val="20"/>
        </w:rPr>
      </w:pPr>
      <w:r>
        <w:rPr>
          <w:sz w:val="20"/>
        </w:rPr>
        <w:t>Лечение</w:t>
      </w:r>
      <w:r>
        <w:rPr>
          <w:spacing w:val="-4"/>
          <w:sz w:val="20"/>
        </w:rPr>
        <w:t> </w:t>
      </w:r>
      <w:r>
        <w:rPr>
          <w:sz w:val="20"/>
        </w:rPr>
        <w:t>дерматозов</w:t>
      </w:r>
      <w:r>
        <w:rPr>
          <w:spacing w:val="-5"/>
          <w:sz w:val="20"/>
        </w:rPr>
        <w:t> </w:t>
      </w:r>
      <w:r>
        <w:rPr>
          <w:sz w:val="20"/>
        </w:rPr>
        <w:t>с</w:t>
      </w:r>
      <w:r>
        <w:rPr>
          <w:spacing w:val="-4"/>
          <w:sz w:val="20"/>
        </w:rPr>
        <w:t> </w:t>
      </w:r>
      <w:r>
        <w:rPr>
          <w:sz w:val="20"/>
        </w:rPr>
        <w:t>применением</w:t>
      </w:r>
      <w:r>
        <w:rPr>
          <w:spacing w:val="-3"/>
          <w:sz w:val="20"/>
        </w:rPr>
        <w:t> </w:t>
      </w:r>
      <w:r>
        <w:rPr>
          <w:sz w:val="20"/>
        </w:rPr>
        <w:t>наружной</w:t>
      </w:r>
      <w:r>
        <w:rPr>
          <w:spacing w:val="-5"/>
          <w:sz w:val="20"/>
        </w:rPr>
        <w:t> </w:t>
      </w:r>
      <w:r>
        <w:rPr>
          <w:sz w:val="20"/>
        </w:rPr>
        <w:t>терапии,</w:t>
      </w:r>
      <w:r>
        <w:rPr>
          <w:spacing w:val="-2"/>
          <w:sz w:val="20"/>
        </w:rPr>
        <w:t> </w:t>
      </w:r>
      <w:r>
        <w:rPr>
          <w:sz w:val="20"/>
        </w:rPr>
        <w:t>физиотерапии,</w:t>
      </w:r>
      <w:r>
        <w:rPr>
          <w:spacing w:val="-4"/>
          <w:sz w:val="20"/>
        </w:rPr>
        <w:t> </w:t>
      </w:r>
      <w:r>
        <w:rPr>
          <w:sz w:val="20"/>
        </w:rPr>
        <w:t>плазмафереза -</w:t>
      </w:r>
      <w:r>
        <w:rPr>
          <w:spacing w:val="-6"/>
          <w:sz w:val="20"/>
        </w:rPr>
        <w:t> </w:t>
      </w:r>
      <w:r>
        <w:rPr>
          <w:sz w:val="20"/>
        </w:rPr>
        <w:t>98,49% Лечение дерматозов с применением наружной и системной терапии - 99,04%</w:t>
      </w:r>
    </w:p>
    <w:p>
      <w:pPr>
        <w:spacing w:line="249" w:lineRule="auto" w:before="2"/>
        <w:ind w:left="226" w:right="8631" w:firstLine="0"/>
        <w:jc w:val="left"/>
        <w:rPr>
          <w:sz w:val="20"/>
        </w:rPr>
      </w:pPr>
      <w:r>
        <w:rPr>
          <w:sz w:val="20"/>
        </w:rPr>
        <w:t>Лечение</w:t>
      </w:r>
      <w:r>
        <w:rPr>
          <w:spacing w:val="-3"/>
          <w:sz w:val="20"/>
        </w:rPr>
        <w:t> </w:t>
      </w:r>
      <w:r>
        <w:rPr>
          <w:sz w:val="20"/>
        </w:rPr>
        <w:t>дерматозов</w:t>
      </w:r>
      <w:r>
        <w:rPr>
          <w:spacing w:val="-4"/>
          <w:sz w:val="20"/>
        </w:rPr>
        <w:t> </w:t>
      </w:r>
      <w:r>
        <w:rPr>
          <w:sz w:val="20"/>
        </w:rPr>
        <w:t>с</w:t>
      </w:r>
      <w:r>
        <w:rPr>
          <w:spacing w:val="-3"/>
          <w:sz w:val="20"/>
        </w:rPr>
        <w:t> </w:t>
      </w:r>
      <w:r>
        <w:rPr>
          <w:sz w:val="20"/>
        </w:rPr>
        <w:t>применением</w:t>
      </w:r>
      <w:r>
        <w:rPr>
          <w:spacing w:val="-2"/>
          <w:sz w:val="20"/>
        </w:rPr>
        <w:t> </w:t>
      </w:r>
      <w:r>
        <w:rPr>
          <w:sz w:val="20"/>
        </w:rPr>
        <w:t>наружной</w:t>
      </w:r>
      <w:r>
        <w:rPr>
          <w:spacing w:val="-4"/>
          <w:sz w:val="20"/>
        </w:rPr>
        <w:t> </w:t>
      </w:r>
      <w:r>
        <w:rPr>
          <w:sz w:val="20"/>
        </w:rPr>
        <w:t>терапии</w:t>
      </w:r>
      <w:r>
        <w:rPr>
          <w:spacing w:val="-2"/>
          <w:sz w:val="20"/>
        </w:rPr>
        <w:t> </w:t>
      </w:r>
      <w:r>
        <w:rPr>
          <w:sz w:val="20"/>
        </w:rPr>
        <w:t>и</w:t>
      </w:r>
      <w:r>
        <w:rPr>
          <w:spacing w:val="-2"/>
          <w:sz w:val="20"/>
        </w:rPr>
        <w:t> </w:t>
      </w:r>
      <w:r>
        <w:rPr>
          <w:sz w:val="20"/>
        </w:rPr>
        <w:t>фототерапии</w:t>
      </w:r>
      <w:r>
        <w:rPr>
          <w:spacing w:val="-2"/>
          <w:sz w:val="20"/>
        </w:rPr>
        <w:t> </w:t>
      </w:r>
      <w:r>
        <w:rPr>
          <w:sz w:val="20"/>
        </w:rPr>
        <w:t>-</w:t>
      </w:r>
      <w:r>
        <w:rPr>
          <w:spacing w:val="-5"/>
          <w:sz w:val="20"/>
        </w:rPr>
        <w:t> </w:t>
      </w:r>
      <w:r>
        <w:rPr>
          <w:sz w:val="20"/>
        </w:rPr>
        <w:t>98% Коронавирусная инфекция COVID-19:</w:t>
      </w:r>
    </w:p>
    <w:p>
      <w:pPr>
        <w:spacing w:before="1"/>
        <w:ind w:left="226" w:right="0" w:firstLine="0"/>
        <w:jc w:val="left"/>
        <w:rPr>
          <w:sz w:val="20"/>
        </w:rPr>
      </w:pPr>
      <w:r>
        <w:rPr>
          <w:sz w:val="20"/>
        </w:rPr>
        <w:t>уровень</w:t>
      </w:r>
      <w:r>
        <w:rPr>
          <w:spacing w:val="-4"/>
          <w:sz w:val="20"/>
        </w:rPr>
        <w:t> </w:t>
      </w:r>
      <w:r>
        <w:rPr>
          <w:sz w:val="20"/>
        </w:rPr>
        <w:t>1</w:t>
      </w:r>
      <w:r>
        <w:rPr>
          <w:spacing w:val="-2"/>
          <w:sz w:val="20"/>
        </w:rPr>
        <w:t> </w:t>
      </w:r>
      <w:r>
        <w:rPr>
          <w:sz w:val="20"/>
        </w:rPr>
        <w:t>-</w:t>
      </w:r>
      <w:r>
        <w:rPr>
          <w:spacing w:val="-5"/>
          <w:sz w:val="20"/>
        </w:rPr>
        <w:t> </w:t>
      </w:r>
      <w:r>
        <w:rPr>
          <w:spacing w:val="-2"/>
          <w:sz w:val="20"/>
        </w:rPr>
        <w:t>93,88%</w:t>
      </w:r>
    </w:p>
    <w:p>
      <w:pPr>
        <w:spacing w:before="10"/>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66,53%</w:t>
      </w:r>
    </w:p>
    <w:p>
      <w:pPr>
        <w:spacing w:after="0"/>
        <w:jc w:val="left"/>
        <w:rPr>
          <w:sz w:val="20"/>
        </w:rPr>
        <w:sectPr>
          <w:pgSz w:w="16850" w:h="11910" w:orient="landscape"/>
          <w:pgMar w:header="753" w:footer="0" w:top="1060" w:bottom="280" w:left="340" w:right="340"/>
        </w:sectPr>
      </w:pPr>
    </w:p>
    <w:p>
      <w:pPr>
        <w:spacing w:before="74"/>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68,28%</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77,63%</w:t>
      </w:r>
    </w:p>
    <w:p>
      <w:pPr>
        <w:spacing w:line="249" w:lineRule="auto" w:before="10"/>
        <w:ind w:left="226" w:right="5973" w:firstLine="0"/>
        <w:jc w:val="left"/>
        <w:rPr>
          <w:sz w:val="20"/>
        </w:rPr>
      </w:pPr>
      <w:r>
        <w:rPr>
          <w:sz w:val="20"/>
        </w:rPr>
        <w:t>Лекарственная</w:t>
      </w:r>
      <w:r>
        <w:rPr>
          <w:spacing w:val="-6"/>
          <w:sz w:val="20"/>
        </w:rPr>
        <w:t> </w:t>
      </w:r>
      <w:r>
        <w:rPr>
          <w:sz w:val="20"/>
        </w:rPr>
        <w:t>терапия</w:t>
      </w:r>
      <w:r>
        <w:rPr>
          <w:spacing w:val="-3"/>
          <w:sz w:val="20"/>
        </w:rPr>
        <w:t> </w:t>
      </w:r>
      <w:r>
        <w:rPr>
          <w:sz w:val="20"/>
        </w:rPr>
        <w:t>при</w:t>
      </w:r>
      <w:r>
        <w:rPr>
          <w:spacing w:val="-4"/>
          <w:sz w:val="20"/>
        </w:rPr>
        <w:t> </w:t>
      </w:r>
      <w:r>
        <w:rPr>
          <w:sz w:val="20"/>
        </w:rPr>
        <w:t>злокачественных</w:t>
      </w:r>
      <w:r>
        <w:rPr>
          <w:spacing w:val="-3"/>
          <w:sz w:val="20"/>
        </w:rPr>
        <w:t> </w:t>
      </w:r>
      <w:r>
        <w:rPr>
          <w:sz w:val="20"/>
        </w:rPr>
        <w:t>новообразованиях</w:t>
      </w:r>
      <w:r>
        <w:rPr>
          <w:spacing w:val="-7"/>
          <w:sz w:val="20"/>
        </w:rPr>
        <w:t> </w:t>
      </w:r>
      <w:r>
        <w:rPr>
          <w:sz w:val="20"/>
        </w:rPr>
        <w:t>(кроме</w:t>
      </w:r>
      <w:r>
        <w:rPr>
          <w:spacing w:val="-5"/>
          <w:sz w:val="20"/>
        </w:rPr>
        <w:t> </w:t>
      </w:r>
      <w:r>
        <w:rPr>
          <w:sz w:val="20"/>
        </w:rPr>
        <w:t>лимфоидной</w:t>
      </w:r>
      <w:r>
        <w:rPr>
          <w:spacing w:val="-4"/>
          <w:sz w:val="20"/>
        </w:rPr>
        <w:t> </w:t>
      </w:r>
      <w:r>
        <w:rPr>
          <w:sz w:val="20"/>
        </w:rPr>
        <w:t>и</w:t>
      </w:r>
      <w:r>
        <w:rPr>
          <w:spacing w:val="-6"/>
          <w:sz w:val="20"/>
        </w:rPr>
        <w:t> </w:t>
      </w:r>
      <w:r>
        <w:rPr>
          <w:sz w:val="20"/>
        </w:rPr>
        <w:t>кроветворной</w:t>
      </w:r>
      <w:r>
        <w:rPr>
          <w:spacing w:val="-4"/>
          <w:sz w:val="20"/>
        </w:rPr>
        <w:t> </w:t>
      </w:r>
      <w:r>
        <w:rPr>
          <w:sz w:val="20"/>
        </w:rPr>
        <w:t>тканей): уровень 1 - 55,63%</w:t>
      </w:r>
    </w:p>
    <w:p>
      <w:pPr>
        <w:spacing w:before="2"/>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41,67%</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23,71%</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18,75%</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4"/>
          <w:sz w:val="20"/>
        </w:rPr>
        <w:t>32,5%</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4"/>
          <w:sz w:val="20"/>
        </w:rPr>
        <w:t>8,76%</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4"/>
          <w:sz w:val="20"/>
        </w:rPr>
        <w:t>7,11%</w:t>
      </w:r>
    </w:p>
    <w:p>
      <w:pPr>
        <w:spacing w:before="10"/>
        <w:ind w:left="226" w:right="0" w:firstLine="0"/>
        <w:jc w:val="left"/>
        <w:rPr>
          <w:sz w:val="20"/>
        </w:rPr>
      </w:pPr>
      <w:r>
        <w:rPr>
          <w:sz w:val="20"/>
        </w:rPr>
        <w:t>уровень</w:t>
      </w:r>
      <w:r>
        <w:rPr>
          <w:spacing w:val="-4"/>
          <w:sz w:val="20"/>
        </w:rPr>
        <w:t> </w:t>
      </w:r>
      <w:r>
        <w:rPr>
          <w:sz w:val="20"/>
        </w:rPr>
        <w:t>8</w:t>
      </w:r>
      <w:r>
        <w:rPr>
          <w:spacing w:val="-2"/>
          <w:sz w:val="20"/>
        </w:rPr>
        <w:t> </w:t>
      </w:r>
      <w:r>
        <w:rPr>
          <w:sz w:val="20"/>
        </w:rPr>
        <w:t>-</w:t>
      </w:r>
      <w:r>
        <w:rPr>
          <w:spacing w:val="-5"/>
          <w:sz w:val="20"/>
        </w:rPr>
        <w:t> </w:t>
      </w:r>
      <w:r>
        <w:rPr>
          <w:spacing w:val="-4"/>
          <w:sz w:val="20"/>
        </w:rPr>
        <w:t>7,77%</w:t>
      </w:r>
    </w:p>
    <w:p>
      <w:pPr>
        <w:spacing w:before="11"/>
        <w:ind w:left="226" w:right="0" w:firstLine="0"/>
        <w:jc w:val="left"/>
        <w:rPr>
          <w:sz w:val="20"/>
        </w:rPr>
      </w:pPr>
      <w:r>
        <w:rPr>
          <w:sz w:val="20"/>
        </w:rPr>
        <w:t>уровень</w:t>
      </w:r>
      <w:r>
        <w:rPr>
          <w:spacing w:val="-4"/>
          <w:sz w:val="20"/>
        </w:rPr>
        <w:t> </w:t>
      </w:r>
      <w:r>
        <w:rPr>
          <w:sz w:val="20"/>
        </w:rPr>
        <w:t>9</w:t>
      </w:r>
      <w:r>
        <w:rPr>
          <w:spacing w:val="-2"/>
          <w:sz w:val="20"/>
        </w:rPr>
        <w:t> </w:t>
      </w:r>
      <w:r>
        <w:rPr>
          <w:sz w:val="20"/>
        </w:rPr>
        <w:t>-</w:t>
      </w:r>
      <w:r>
        <w:rPr>
          <w:spacing w:val="-5"/>
          <w:sz w:val="20"/>
        </w:rPr>
        <w:t> </w:t>
      </w:r>
      <w:r>
        <w:rPr>
          <w:spacing w:val="-4"/>
          <w:sz w:val="20"/>
        </w:rPr>
        <w:t>5,84%</w:t>
      </w:r>
    </w:p>
    <w:p>
      <w:pPr>
        <w:spacing w:before="10"/>
        <w:ind w:left="226" w:right="0" w:firstLine="0"/>
        <w:jc w:val="left"/>
        <w:rPr>
          <w:sz w:val="20"/>
        </w:rPr>
      </w:pPr>
      <w:r>
        <w:rPr>
          <w:sz w:val="20"/>
        </w:rPr>
        <w:t>уровень</w:t>
      </w:r>
      <w:r>
        <w:rPr>
          <w:spacing w:val="-4"/>
          <w:sz w:val="20"/>
        </w:rPr>
        <w:t> </w:t>
      </w:r>
      <w:r>
        <w:rPr>
          <w:sz w:val="20"/>
        </w:rPr>
        <w:t>10</w:t>
      </w:r>
      <w:r>
        <w:rPr>
          <w:spacing w:val="-2"/>
          <w:sz w:val="20"/>
        </w:rPr>
        <w:t> </w:t>
      </w:r>
      <w:r>
        <w:rPr>
          <w:sz w:val="20"/>
        </w:rPr>
        <w:t>-</w:t>
      </w:r>
      <w:r>
        <w:rPr>
          <w:spacing w:val="-5"/>
          <w:sz w:val="20"/>
        </w:rPr>
        <w:t> </w:t>
      </w:r>
      <w:r>
        <w:rPr>
          <w:spacing w:val="-4"/>
          <w:sz w:val="20"/>
        </w:rPr>
        <w:t>5,79%</w:t>
      </w:r>
    </w:p>
    <w:p>
      <w:pPr>
        <w:spacing w:before="10"/>
        <w:ind w:left="226" w:right="0" w:firstLine="0"/>
        <w:jc w:val="left"/>
        <w:rPr>
          <w:sz w:val="20"/>
        </w:rPr>
      </w:pPr>
      <w:r>
        <w:rPr>
          <w:sz w:val="20"/>
        </w:rPr>
        <w:t>уровень</w:t>
      </w:r>
      <w:r>
        <w:rPr>
          <w:spacing w:val="-4"/>
          <w:sz w:val="20"/>
        </w:rPr>
        <w:t> </w:t>
      </w:r>
      <w:r>
        <w:rPr>
          <w:sz w:val="20"/>
        </w:rPr>
        <w:t>11</w:t>
      </w:r>
      <w:r>
        <w:rPr>
          <w:spacing w:val="-2"/>
          <w:sz w:val="20"/>
        </w:rPr>
        <w:t> </w:t>
      </w:r>
      <w:r>
        <w:rPr>
          <w:sz w:val="20"/>
        </w:rPr>
        <w:t>-</w:t>
      </w:r>
      <w:r>
        <w:rPr>
          <w:spacing w:val="-5"/>
          <w:sz w:val="20"/>
        </w:rPr>
        <w:t> </w:t>
      </w:r>
      <w:r>
        <w:rPr>
          <w:spacing w:val="-4"/>
          <w:sz w:val="20"/>
        </w:rPr>
        <w:t>7,27%</w:t>
      </w:r>
    </w:p>
    <w:p>
      <w:pPr>
        <w:spacing w:before="10"/>
        <w:ind w:left="226" w:right="0" w:firstLine="0"/>
        <w:jc w:val="left"/>
        <w:rPr>
          <w:sz w:val="20"/>
        </w:rPr>
      </w:pPr>
      <w:r>
        <w:rPr>
          <w:sz w:val="20"/>
        </w:rPr>
        <w:t>уровень</w:t>
      </w:r>
      <w:r>
        <w:rPr>
          <w:spacing w:val="-4"/>
          <w:sz w:val="20"/>
        </w:rPr>
        <w:t> </w:t>
      </w:r>
      <w:r>
        <w:rPr>
          <w:sz w:val="20"/>
        </w:rPr>
        <w:t>12</w:t>
      </w:r>
      <w:r>
        <w:rPr>
          <w:spacing w:val="-2"/>
          <w:sz w:val="20"/>
        </w:rPr>
        <w:t> </w:t>
      </w:r>
      <w:r>
        <w:rPr>
          <w:sz w:val="20"/>
        </w:rPr>
        <w:t>-</w:t>
      </w:r>
      <w:r>
        <w:rPr>
          <w:spacing w:val="-5"/>
          <w:sz w:val="20"/>
        </w:rPr>
        <w:t> </w:t>
      </w:r>
      <w:r>
        <w:rPr>
          <w:spacing w:val="-4"/>
          <w:sz w:val="20"/>
        </w:rPr>
        <w:t>5,9%</w:t>
      </w:r>
    </w:p>
    <w:p>
      <w:pPr>
        <w:spacing w:before="10"/>
        <w:ind w:left="226" w:right="0" w:firstLine="0"/>
        <w:jc w:val="left"/>
        <w:rPr>
          <w:sz w:val="20"/>
        </w:rPr>
      </w:pPr>
      <w:r>
        <w:rPr>
          <w:sz w:val="20"/>
        </w:rPr>
        <w:t>уровень</w:t>
      </w:r>
      <w:r>
        <w:rPr>
          <w:spacing w:val="-4"/>
          <w:sz w:val="20"/>
        </w:rPr>
        <w:t> </w:t>
      </w:r>
      <w:r>
        <w:rPr>
          <w:sz w:val="20"/>
        </w:rPr>
        <w:t>13</w:t>
      </w:r>
      <w:r>
        <w:rPr>
          <w:spacing w:val="-2"/>
          <w:sz w:val="20"/>
        </w:rPr>
        <w:t> </w:t>
      </w:r>
      <w:r>
        <w:rPr>
          <w:sz w:val="20"/>
        </w:rPr>
        <w:t>-</w:t>
      </w:r>
      <w:r>
        <w:rPr>
          <w:spacing w:val="-5"/>
          <w:sz w:val="20"/>
        </w:rPr>
        <w:t> </w:t>
      </w:r>
      <w:r>
        <w:rPr>
          <w:spacing w:val="-4"/>
          <w:sz w:val="20"/>
        </w:rPr>
        <w:t>3,32%</w:t>
      </w:r>
    </w:p>
    <w:p>
      <w:pPr>
        <w:spacing w:before="10"/>
        <w:ind w:left="226" w:right="0" w:firstLine="0"/>
        <w:jc w:val="left"/>
        <w:rPr>
          <w:sz w:val="20"/>
        </w:rPr>
      </w:pPr>
      <w:r>
        <w:rPr>
          <w:sz w:val="20"/>
        </w:rPr>
        <w:t>уровень</w:t>
      </w:r>
      <w:r>
        <w:rPr>
          <w:spacing w:val="-4"/>
          <w:sz w:val="20"/>
        </w:rPr>
        <w:t> </w:t>
      </w:r>
      <w:r>
        <w:rPr>
          <w:sz w:val="20"/>
        </w:rPr>
        <w:t>14</w:t>
      </w:r>
      <w:r>
        <w:rPr>
          <w:spacing w:val="-2"/>
          <w:sz w:val="20"/>
        </w:rPr>
        <w:t> </w:t>
      </w:r>
      <w:r>
        <w:rPr>
          <w:sz w:val="20"/>
        </w:rPr>
        <w:t>-</w:t>
      </w:r>
      <w:r>
        <w:rPr>
          <w:spacing w:val="-5"/>
          <w:sz w:val="20"/>
        </w:rPr>
        <w:t> </w:t>
      </w:r>
      <w:r>
        <w:rPr>
          <w:spacing w:val="-4"/>
          <w:sz w:val="20"/>
        </w:rPr>
        <w:t>2,15%</w:t>
      </w:r>
    </w:p>
    <w:p>
      <w:pPr>
        <w:spacing w:before="10"/>
        <w:ind w:left="226" w:right="0" w:firstLine="0"/>
        <w:jc w:val="left"/>
        <w:rPr>
          <w:sz w:val="20"/>
        </w:rPr>
      </w:pPr>
      <w:r>
        <w:rPr>
          <w:sz w:val="20"/>
        </w:rPr>
        <w:t>уровень</w:t>
      </w:r>
      <w:r>
        <w:rPr>
          <w:spacing w:val="-4"/>
          <w:sz w:val="20"/>
        </w:rPr>
        <w:t> </w:t>
      </w:r>
      <w:r>
        <w:rPr>
          <w:sz w:val="20"/>
        </w:rPr>
        <w:t>15</w:t>
      </w:r>
      <w:r>
        <w:rPr>
          <w:spacing w:val="-2"/>
          <w:sz w:val="20"/>
        </w:rPr>
        <w:t> </w:t>
      </w:r>
      <w:r>
        <w:rPr>
          <w:sz w:val="20"/>
        </w:rPr>
        <w:t>-</w:t>
      </w:r>
      <w:r>
        <w:rPr>
          <w:spacing w:val="-5"/>
          <w:sz w:val="20"/>
        </w:rPr>
        <w:t> </w:t>
      </w:r>
      <w:r>
        <w:rPr>
          <w:spacing w:val="-4"/>
          <w:sz w:val="20"/>
        </w:rPr>
        <w:t>1,55%</w:t>
      </w:r>
    </w:p>
    <w:p>
      <w:pPr>
        <w:spacing w:before="10"/>
        <w:ind w:left="226" w:right="0" w:firstLine="0"/>
        <w:jc w:val="left"/>
        <w:rPr>
          <w:sz w:val="20"/>
        </w:rPr>
      </w:pPr>
      <w:r>
        <w:rPr>
          <w:sz w:val="20"/>
        </w:rPr>
        <w:t>уровень</w:t>
      </w:r>
      <w:r>
        <w:rPr>
          <w:spacing w:val="-4"/>
          <w:sz w:val="20"/>
        </w:rPr>
        <w:t> </w:t>
      </w:r>
      <w:r>
        <w:rPr>
          <w:sz w:val="20"/>
        </w:rPr>
        <w:t>16</w:t>
      </w:r>
      <w:r>
        <w:rPr>
          <w:spacing w:val="-3"/>
          <w:sz w:val="20"/>
        </w:rPr>
        <w:t> </w:t>
      </w:r>
      <w:r>
        <w:rPr>
          <w:sz w:val="20"/>
        </w:rPr>
        <w:t>-</w:t>
      </w:r>
      <w:r>
        <w:rPr>
          <w:spacing w:val="-4"/>
          <w:sz w:val="20"/>
        </w:rPr>
        <w:t> </w:t>
      </w:r>
      <w:r>
        <w:rPr>
          <w:spacing w:val="-2"/>
          <w:sz w:val="20"/>
        </w:rPr>
        <w:t>1,19%</w:t>
      </w:r>
    </w:p>
    <w:p>
      <w:pPr>
        <w:spacing w:before="10"/>
        <w:ind w:left="226" w:right="0" w:firstLine="0"/>
        <w:jc w:val="left"/>
        <w:rPr>
          <w:sz w:val="20"/>
        </w:rPr>
      </w:pPr>
      <w:r>
        <w:rPr>
          <w:sz w:val="20"/>
        </w:rPr>
        <w:t>уровень</w:t>
      </w:r>
      <w:r>
        <w:rPr>
          <w:spacing w:val="-4"/>
          <w:sz w:val="20"/>
        </w:rPr>
        <w:t> </w:t>
      </w:r>
      <w:r>
        <w:rPr>
          <w:sz w:val="20"/>
        </w:rPr>
        <w:t>17</w:t>
      </w:r>
      <w:r>
        <w:rPr>
          <w:spacing w:val="-2"/>
          <w:sz w:val="20"/>
        </w:rPr>
        <w:t> </w:t>
      </w:r>
      <w:r>
        <w:rPr>
          <w:sz w:val="20"/>
        </w:rPr>
        <w:t>-</w:t>
      </w:r>
      <w:r>
        <w:rPr>
          <w:spacing w:val="-5"/>
          <w:sz w:val="20"/>
        </w:rPr>
        <w:t> </w:t>
      </w:r>
      <w:r>
        <w:rPr>
          <w:spacing w:val="-4"/>
          <w:sz w:val="20"/>
        </w:rPr>
        <w:t>0,69%</w:t>
      </w:r>
    </w:p>
    <w:p>
      <w:pPr>
        <w:spacing w:before="10"/>
        <w:ind w:left="226" w:right="0" w:firstLine="0"/>
        <w:jc w:val="left"/>
        <w:rPr>
          <w:sz w:val="20"/>
        </w:rPr>
      </w:pPr>
      <w:r>
        <w:rPr>
          <w:sz w:val="20"/>
        </w:rPr>
        <w:t>Лучевая</w:t>
      </w:r>
      <w:r>
        <w:rPr>
          <w:spacing w:val="-8"/>
          <w:sz w:val="20"/>
        </w:rPr>
        <w:t> </w:t>
      </w:r>
      <w:r>
        <w:rPr>
          <w:sz w:val="20"/>
        </w:rPr>
        <w:t>терапия</w:t>
      </w:r>
      <w:r>
        <w:rPr>
          <w:spacing w:val="-7"/>
          <w:sz w:val="20"/>
        </w:rPr>
        <w:t> </w:t>
      </w:r>
      <w:r>
        <w:rPr>
          <w:sz w:val="20"/>
        </w:rPr>
        <w:t>в</w:t>
      </w:r>
      <w:r>
        <w:rPr>
          <w:spacing w:val="-7"/>
          <w:sz w:val="20"/>
        </w:rPr>
        <w:t> </w:t>
      </w:r>
      <w:r>
        <w:rPr>
          <w:sz w:val="20"/>
        </w:rPr>
        <w:t>сочетании</w:t>
      </w:r>
      <w:r>
        <w:rPr>
          <w:spacing w:val="-7"/>
          <w:sz w:val="20"/>
        </w:rPr>
        <w:t> </w:t>
      </w:r>
      <w:r>
        <w:rPr>
          <w:sz w:val="20"/>
        </w:rPr>
        <w:t>с</w:t>
      </w:r>
      <w:r>
        <w:rPr>
          <w:spacing w:val="-6"/>
          <w:sz w:val="20"/>
        </w:rPr>
        <w:t> </w:t>
      </w:r>
      <w:r>
        <w:rPr>
          <w:sz w:val="20"/>
        </w:rPr>
        <w:t>лекарственной</w:t>
      </w:r>
      <w:r>
        <w:rPr>
          <w:spacing w:val="-7"/>
          <w:sz w:val="20"/>
        </w:rPr>
        <w:t> </w:t>
      </w:r>
      <w:r>
        <w:rPr>
          <w:spacing w:val="-2"/>
          <w:sz w:val="20"/>
        </w:rPr>
        <w:t>терапией:</w:t>
      </w:r>
    </w:p>
    <w:p>
      <w:pPr>
        <w:spacing w:before="10"/>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87,08%</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88,84%</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87,05%</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2"/>
          <w:sz w:val="20"/>
        </w:rPr>
        <w:t>88,49%</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2"/>
          <w:sz w:val="20"/>
        </w:rPr>
        <w:t>46,03%</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2"/>
          <w:sz w:val="20"/>
        </w:rPr>
        <w:t>26,76%</w:t>
      </w:r>
    </w:p>
    <w:p>
      <w:pPr>
        <w:spacing w:before="10"/>
        <w:ind w:left="226" w:right="0" w:firstLine="0"/>
        <w:jc w:val="left"/>
        <w:rPr>
          <w:sz w:val="20"/>
        </w:rPr>
      </w:pPr>
      <w:r>
        <w:rPr>
          <w:sz w:val="20"/>
        </w:rPr>
        <w:t>ЗНО</w:t>
      </w:r>
      <w:r>
        <w:rPr>
          <w:spacing w:val="-7"/>
          <w:sz w:val="20"/>
        </w:rPr>
        <w:t> </w:t>
      </w:r>
      <w:r>
        <w:rPr>
          <w:sz w:val="20"/>
        </w:rPr>
        <w:t>лимфоидной</w:t>
      </w:r>
      <w:r>
        <w:rPr>
          <w:spacing w:val="-6"/>
          <w:sz w:val="20"/>
        </w:rPr>
        <w:t> </w:t>
      </w:r>
      <w:r>
        <w:rPr>
          <w:sz w:val="20"/>
        </w:rPr>
        <w:t>и</w:t>
      </w:r>
      <w:r>
        <w:rPr>
          <w:spacing w:val="-7"/>
          <w:sz w:val="20"/>
        </w:rPr>
        <w:t> </w:t>
      </w:r>
      <w:r>
        <w:rPr>
          <w:sz w:val="20"/>
        </w:rPr>
        <w:t>кроветворной</w:t>
      </w:r>
      <w:r>
        <w:rPr>
          <w:spacing w:val="-7"/>
          <w:sz w:val="20"/>
        </w:rPr>
        <w:t> </w:t>
      </w:r>
      <w:r>
        <w:rPr>
          <w:sz w:val="20"/>
        </w:rPr>
        <w:t>тканей,</w:t>
      </w:r>
      <w:r>
        <w:rPr>
          <w:spacing w:val="-7"/>
          <w:sz w:val="20"/>
        </w:rPr>
        <w:t> </w:t>
      </w:r>
      <w:r>
        <w:rPr>
          <w:sz w:val="20"/>
        </w:rPr>
        <w:t>лекарственная</w:t>
      </w:r>
      <w:r>
        <w:rPr>
          <w:spacing w:val="-7"/>
          <w:sz w:val="20"/>
        </w:rPr>
        <w:t> </w:t>
      </w:r>
      <w:r>
        <w:rPr>
          <w:sz w:val="20"/>
        </w:rPr>
        <w:t>терапия,</w:t>
      </w:r>
      <w:r>
        <w:rPr>
          <w:spacing w:val="-6"/>
          <w:sz w:val="20"/>
        </w:rPr>
        <w:t> </w:t>
      </w:r>
      <w:r>
        <w:rPr>
          <w:sz w:val="20"/>
        </w:rPr>
        <w:t>взрослые</w:t>
      </w:r>
      <w:r>
        <w:rPr>
          <w:spacing w:val="-7"/>
          <w:sz w:val="20"/>
        </w:rPr>
        <w:t> </w:t>
      </w:r>
      <w:r>
        <w:rPr>
          <w:sz w:val="20"/>
        </w:rPr>
        <w:t>(уровень</w:t>
      </w:r>
      <w:r>
        <w:rPr>
          <w:spacing w:val="-6"/>
          <w:sz w:val="20"/>
        </w:rPr>
        <w:t> </w:t>
      </w:r>
      <w:r>
        <w:rPr>
          <w:sz w:val="20"/>
        </w:rPr>
        <w:t>1-3)</w:t>
      </w:r>
      <w:r>
        <w:rPr>
          <w:spacing w:val="-6"/>
          <w:sz w:val="20"/>
        </w:rPr>
        <w:t> </w:t>
      </w:r>
      <w:r>
        <w:rPr>
          <w:sz w:val="20"/>
        </w:rPr>
        <w:t>-</w:t>
      </w:r>
      <w:r>
        <w:rPr>
          <w:spacing w:val="-8"/>
          <w:sz w:val="20"/>
        </w:rPr>
        <w:t> </w:t>
      </w:r>
      <w:r>
        <w:rPr>
          <w:spacing w:val="-2"/>
          <w:sz w:val="20"/>
        </w:rPr>
        <w:t>75,89%</w:t>
      </w:r>
    </w:p>
    <w:p>
      <w:pPr>
        <w:spacing w:line="249" w:lineRule="auto" w:before="10"/>
        <w:ind w:left="226" w:right="4303" w:firstLine="0"/>
        <w:jc w:val="left"/>
        <w:rPr>
          <w:sz w:val="20"/>
        </w:rPr>
      </w:pPr>
      <w:r>
        <w:rPr>
          <w:sz w:val="20"/>
        </w:rPr>
        <w:t>ЗНО</w:t>
      </w:r>
      <w:r>
        <w:rPr>
          <w:spacing w:val="-3"/>
          <w:sz w:val="20"/>
        </w:rPr>
        <w:t> </w:t>
      </w:r>
      <w:r>
        <w:rPr>
          <w:sz w:val="20"/>
        </w:rPr>
        <w:t>лимфоидной</w:t>
      </w:r>
      <w:r>
        <w:rPr>
          <w:spacing w:val="-3"/>
          <w:sz w:val="20"/>
        </w:rPr>
        <w:t> </w:t>
      </w:r>
      <w:r>
        <w:rPr>
          <w:sz w:val="20"/>
        </w:rPr>
        <w:t>и</w:t>
      </w:r>
      <w:r>
        <w:rPr>
          <w:spacing w:val="-4"/>
          <w:sz w:val="20"/>
        </w:rPr>
        <w:t> </w:t>
      </w:r>
      <w:r>
        <w:rPr>
          <w:sz w:val="20"/>
        </w:rPr>
        <w:t>кроветворной</w:t>
      </w:r>
      <w:r>
        <w:rPr>
          <w:spacing w:val="-4"/>
          <w:sz w:val="20"/>
        </w:rPr>
        <w:t> </w:t>
      </w:r>
      <w:r>
        <w:rPr>
          <w:sz w:val="20"/>
        </w:rPr>
        <w:t>тканей,</w:t>
      </w:r>
      <w:r>
        <w:rPr>
          <w:spacing w:val="-3"/>
          <w:sz w:val="20"/>
        </w:rPr>
        <w:t> </w:t>
      </w:r>
      <w:r>
        <w:rPr>
          <w:sz w:val="20"/>
        </w:rPr>
        <w:t>лекарственная</w:t>
      </w:r>
      <w:r>
        <w:rPr>
          <w:spacing w:val="-4"/>
          <w:sz w:val="20"/>
        </w:rPr>
        <w:t> </w:t>
      </w:r>
      <w:r>
        <w:rPr>
          <w:sz w:val="20"/>
        </w:rPr>
        <w:t>терапия</w:t>
      </w:r>
      <w:r>
        <w:rPr>
          <w:spacing w:val="-4"/>
          <w:sz w:val="20"/>
        </w:rPr>
        <w:t> </w:t>
      </w:r>
      <w:r>
        <w:rPr>
          <w:sz w:val="20"/>
        </w:rPr>
        <w:t>с</w:t>
      </w:r>
      <w:r>
        <w:rPr>
          <w:spacing w:val="-3"/>
          <w:sz w:val="20"/>
        </w:rPr>
        <w:t> </w:t>
      </w:r>
      <w:r>
        <w:rPr>
          <w:sz w:val="20"/>
        </w:rPr>
        <w:t>применением</w:t>
      </w:r>
      <w:r>
        <w:rPr>
          <w:spacing w:val="-3"/>
          <w:sz w:val="20"/>
        </w:rPr>
        <w:t> </w:t>
      </w:r>
      <w:r>
        <w:rPr>
          <w:sz w:val="20"/>
        </w:rPr>
        <w:t>отдельных</w:t>
      </w:r>
      <w:r>
        <w:rPr>
          <w:spacing w:val="-2"/>
          <w:sz w:val="20"/>
        </w:rPr>
        <w:t> </w:t>
      </w:r>
      <w:r>
        <w:rPr>
          <w:sz w:val="20"/>
        </w:rPr>
        <w:t>препаратов</w:t>
      </w:r>
      <w:r>
        <w:rPr>
          <w:spacing w:val="-4"/>
          <w:sz w:val="20"/>
        </w:rPr>
        <w:t> </w:t>
      </w:r>
      <w:r>
        <w:rPr>
          <w:sz w:val="20"/>
        </w:rPr>
        <w:t>(по</w:t>
      </w:r>
      <w:r>
        <w:rPr>
          <w:spacing w:val="-3"/>
          <w:sz w:val="20"/>
        </w:rPr>
        <w:t> </w:t>
      </w:r>
      <w:r>
        <w:rPr>
          <w:sz w:val="20"/>
        </w:rPr>
        <w:t>перечню),</w:t>
      </w:r>
      <w:r>
        <w:rPr>
          <w:spacing w:val="-3"/>
          <w:sz w:val="20"/>
        </w:rPr>
        <w:t> </w:t>
      </w:r>
      <w:r>
        <w:rPr>
          <w:sz w:val="20"/>
        </w:rPr>
        <w:t>взрослые: уровень 1 - 28,29%</w:t>
      </w:r>
    </w:p>
    <w:p>
      <w:pPr>
        <w:spacing w:before="2"/>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46,99%</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57,29%</w:t>
      </w:r>
    </w:p>
    <w:p>
      <w:pPr>
        <w:spacing w:before="11"/>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4"/>
          <w:sz w:val="20"/>
        </w:rPr>
        <w:t>4,98%</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2"/>
          <w:sz w:val="20"/>
        </w:rPr>
        <w:t>15,77%</w:t>
      </w:r>
    </w:p>
    <w:p>
      <w:pPr>
        <w:spacing w:before="10"/>
        <w:ind w:left="226" w:right="0" w:firstLine="0"/>
        <w:jc w:val="left"/>
        <w:rPr>
          <w:sz w:val="20"/>
        </w:rPr>
      </w:pPr>
      <w:r>
        <w:rPr>
          <w:sz w:val="20"/>
        </w:rPr>
        <w:t>уровень</w:t>
      </w:r>
      <w:r>
        <w:rPr>
          <w:spacing w:val="-4"/>
          <w:sz w:val="20"/>
        </w:rPr>
        <w:t> </w:t>
      </w:r>
      <w:r>
        <w:rPr>
          <w:sz w:val="20"/>
        </w:rPr>
        <w:t>6</w:t>
      </w:r>
      <w:r>
        <w:rPr>
          <w:spacing w:val="-3"/>
          <w:sz w:val="20"/>
        </w:rPr>
        <w:t> </w:t>
      </w:r>
      <w:r>
        <w:rPr>
          <w:sz w:val="20"/>
        </w:rPr>
        <w:t>-</w:t>
      </w:r>
      <w:r>
        <w:rPr>
          <w:spacing w:val="-4"/>
          <w:sz w:val="20"/>
        </w:rPr>
        <w:t> </w:t>
      </w:r>
      <w:r>
        <w:rPr>
          <w:spacing w:val="-2"/>
          <w:sz w:val="20"/>
        </w:rPr>
        <w:t>24,83%</w:t>
      </w:r>
    </w:p>
    <w:p>
      <w:pPr>
        <w:spacing w:before="10"/>
        <w:ind w:left="226" w:right="0" w:firstLine="0"/>
        <w:jc w:val="left"/>
        <w:rPr>
          <w:sz w:val="20"/>
        </w:rPr>
      </w:pPr>
      <w:r>
        <w:rPr>
          <w:sz w:val="20"/>
        </w:rPr>
        <w:t>Замена</w:t>
      </w:r>
      <w:r>
        <w:rPr>
          <w:spacing w:val="-6"/>
          <w:sz w:val="20"/>
        </w:rPr>
        <w:t> </w:t>
      </w:r>
      <w:r>
        <w:rPr>
          <w:sz w:val="20"/>
        </w:rPr>
        <w:t>речевого</w:t>
      </w:r>
      <w:r>
        <w:rPr>
          <w:spacing w:val="-5"/>
          <w:sz w:val="20"/>
        </w:rPr>
        <w:t> </w:t>
      </w:r>
      <w:r>
        <w:rPr>
          <w:sz w:val="20"/>
        </w:rPr>
        <w:t>процессора</w:t>
      </w:r>
      <w:r>
        <w:rPr>
          <w:spacing w:val="-6"/>
          <w:sz w:val="20"/>
        </w:rPr>
        <w:t> </w:t>
      </w:r>
      <w:r>
        <w:rPr>
          <w:sz w:val="20"/>
        </w:rPr>
        <w:t>-</w:t>
      </w:r>
      <w:r>
        <w:rPr>
          <w:spacing w:val="-7"/>
          <w:sz w:val="20"/>
        </w:rPr>
        <w:t> </w:t>
      </w:r>
      <w:r>
        <w:rPr>
          <w:spacing w:val="-4"/>
          <w:sz w:val="20"/>
        </w:rPr>
        <w:t>0,74%</w:t>
      </w:r>
    </w:p>
    <w:p>
      <w:pPr>
        <w:spacing w:line="249" w:lineRule="auto" w:before="10"/>
        <w:ind w:left="226" w:right="6714" w:firstLine="0"/>
        <w:jc w:val="left"/>
        <w:rPr>
          <w:sz w:val="20"/>
        </w:rPr>
      </w:pPr>
      <w:r>
        <w:rPr>
          <w:sz w:val="20"/>
        </w:rPr>
        <w:t>Оказание услуг диализа (только для федеральных медицинских организаций) (уровень 1 - 3) - 30% Оказание услуг диализа (только для федеральных медицинских организаций) (уровень 4) - 6,61% Проведение</w:t>
      </w:r>
      <w:r>
        <w:rPr>
          <w:spacing w:val="-6"/>
          <w:sz w:val="20"/>
        </w:rPr>
        <w:t> </w:t>
      </w:r>
      <w:r>
        <w:rPr>
          <w:sz w:val="20"/>
        </w:rPr>
        <w:t>антимикробной</w:t>
      </w:r>
      <w:r>
        <w:rPr>
          <w:spacing w:val="-5"/>
          <w:sz w:val="20"/>
        </w:rPr>
        <w:t> </w:t>
      </w:r>
      <w:r>
        <w:rPr>
          <w:sz w:val="20"/>
        </w:rPr>
        <w:t>терапии</w:t>
      </w:r>
      <w:r>
        <w:rPr>
          <w:spacing w:val="-7"/>
          <w:sz w:val="20"/>
        </w:rPr>
        <w:t> </w:t>
      </w:r>
      <w:r>
        <w:rPr>
          <w:sz w:val="20"/>
        </w:rPr>
        <w:t>инфекций,</w:t>
      </w:r>
      <w:r>
        <w:rPr>
          <w:spacing w:val="-6"/>
          <w:sz w:val="20"/>
        </w:rPr>
        <w:t> </w:t>
      </w:r>
      <w:r>
        <w:rPr>
          <w:sz w:val="20"/>
        </w:rPr>
        <w:t>вызванных</w:t>
      </w:r>
      <w:r>
        <w:rPr>
          <w:spacing w:val="-7"/>
          <w:sz w:val="20"/>
        </w:rPr>
        <w:t> </w:t>
      </w:r>
      <w:r>
        <w:rPr>
          <w:sz w:val="20"/>
        </w:rPr>
        <w:t>полирезистентными</w:t>
      </w:r>
      <w:r>
        <w:rPr>
          <w:spacing w:val="-7"/>
          <w:sz w:val="20"/>
        </w:rPr>
        <w:t> </w:t>
      </w:r>
      <w:r>
        <w:rPr>
          <w:sz w:val="20"/>
        </w:rPr>
        <w:t>микроорганизмами: уровень 1 - 0%</w:t>
      </w:r>
    </w:p>
    <w:p>
      <w:pPr>
        <w:spacing w:after="0" w:line="249" w:lineRule="auto"/>
        <w:jc w:val="left"/>
        <w:rPr>
          <w:sz w:val="20"/>
        </w:rPr>
        <w:sectPr>
          <w:pgSz w:w="16850" w:h="11910" w:orient="landscape"/>
          <w:pgMar w:header="753" w:footer="0" w:top="1060" w:bottom="280" w:left="340" w:right="340"/>
        </w:sectPr>
      </w:pPr>
    </w:p>
    <w:p>
      <w:pPr>
        <w:spacing w:before="74"/>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7"/>
          <w:sz w:val="20"/>
        </w:rPr>
        <w:t>0%</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7"/>
          <w:sz w:val="20"/>
        </w:rPr>
        <w:t>0%</w:t>
      </w:r>
    </w:p>
    <w:p>
      <w:pPr>
        <w:spacing w:before="10"/>
        <w:ind w:left="226" w:right="0" w:firstLine="0"/>
        <w:jc w:val="left"/>
        <w:rPr>
          <w:sz w:val="20"/>
        </w:rPr>
      </w:pPr>
      <w:r>
        <w:rPr>
          <w:sz w:val="20"/>
        </w:rPr>
        <w:t>Проведение</w:t>
      </w:r>
      <w:r>
        <w:rPr>
          <w:spacing w:val="-9"/>
          <w:sz w:val="20"/>
        </w:rPr>
        <w:t> </w:t>
      </w:r>
      <w:r>
        <w:rPr>
          <w:sz w:val="20"/>
        </w:rPr>
        <w:t>иммунизации</w:t>
      </w:r>
      <w:r>
        <w:rPr>
          <w:spacing w:val="-12"/>
          <w:sz w:val="20"/>
        </w:rPr>
        <w:t> </w:t>
      </w:r>
      <w:r>
        <w:rPr>
          <w:sz w:val="20"/>
        </w:rPr>
        <w:t>против</w:t>
      </w:r>
      <w:r>
        <w:rPr>
          <w:spacing w:val="-11"/>
          <w:sz w:val="20"/>
        </w:rPr>
        <w:t> </w:t>
      </w:r>
      <w:r>
        <w:rPr>
          <w:sz w:val="20"/>
        </w:rPr>
        <w:t>респираторно-синцитиальной</w:t>
      </w:r>
      <w:r>
        <w:rPr>
          <w:spacing w:val="-12"/>
          <w:sz w:val="20"/>
        </w:rPr>
        <w:t> </w:t>
      </w:r>
      <w:r>
        <w:rPr>
          <w:sz w:val="20"/>
        </w:rPr>
        <w:t>вирусной</w:t>
      </w:r>
      <w:r>
        <w:rPr>
          <w:spacing w:val="-12"/>
          <w:sz w:val="20"/>
        </w:rPr>
        <w:t> </w:t>
      </w:r>
      <w:r>
        <w:rPr>
          <w:sz w:val="20"/>
        </w:rPr>
        <w:t>инфекции</w:t>
      </w:r>
      <w:r>
        <w:rPr>
          <w:spacing w:val="-8"/>
          <w:sz w:val="20"/>
        </w:rPr>
        <w:t> </w:t>
      </w:r>
      <w:r>
        <w:rPr>
          <w:sz w:val="20"/>
        </w:rPr>
        <w:t>-</w:t>
      </w:r>
      <w:r>
        <w:rPr>
          <w:spacing w:val="-12"/>
          <w:sz w:val="20"/>
        </w:rPr>
        <w:t> </w:t>
      </w:r>
      <w:r>
        <w:rPr>
          <w:spacing w:val="-4"/>
          <w:sz w:val="20"/>
        </w:rPr>
        <w:t>8,6%</w:t>
      </w:r>
    </w:p>
    <w:p>
      <w:pPr>
        <w:spacing w:line="249" w:lineRule="auto" w:before="10"/>
        <w:ind w:left="226" w:right="5973" w:firstLine="0"/>
        <w:jc w:val="left"/>
        <w:rPr>
          <w:sz w:val="20"/>
        </w:rPr>
      </w:pPr>
      <w:r>
        <w:rPr>
          <w:sz w:val="20"/>
        </w:rPr>
        <w:t>Лечение</w:t>
      </w:r>
      <w:r>
        <w:rPr>
          <w:spacing w:val="-4"/>
          <w:sz w:val="20"/>
        </w:rPr>
        <w:t> </w:t>
      </w:r>
      <w:r>
        <w:rPr>
          <w:sz w:val="20"/>
        </w:rPr>
        <w:t>с</w:t>
      </w:r>
      <w:r>
        <w:rPr>
          <w:spacing w:val="-4"/>
          <w:sz w:val="20"/>
        </w:rPr>
        <w:t> </w:t>
      </w:r>
      <w:r>
        <w:rPr>
          <w:sz w:val="20"/>
        </w:rPr>
        <w:t>применением</w:t>
      </w:r>
      <w:r>
        <w:rPr>
          <w:spacing w:val="-3"/>
          <w:sz w:val="20"/>
        </w:rPr>
        <w:t> </w:t>
      </w:r>
      <w:r>
        <w:rPr>
          <w:sz w:val="20"/>
        </w:rPr>
        <w:t>генно-инженерных</w:t>
      </w:r>
      <w:r>
        <w:rPr>
          <w:spacing w:val="-2"/>
          <w:sz w:val="20"/>
        </w:rPr>
        <w:t> </w:t>
      </w:r>
      <w:r>
        <w:rPr>
          <w:sz w:val="20"/>
        </w:rPr>
        <w:t>биологических</w:t>
      </w:r>
      <w:r>
        <w:rPr>
          <w:spacing w:val="-5"/>
          <w:sz w:val="20"/>
        </w:rPr>
        <w:t> </w:t>
      </w:r>
      <w:r>
        <w:rPr>
          <w:sz w:val="20"/>
        </w:rPr>
        <w:t>препаратов</w:t>
      </w:r>
      <w:r>
        <w:rPr>
          <w:spacing w:val="-5"/>
          <w:sz w:val="20"/>
        </w:rPr>
        <w:t> </w:t>
      </w:r>
      <w:r>
        <w:rPr>
          <w:sz w:val="20"/>
        </w:rPr>
        <w:t>и</w:t>
      </w:r>
      <w:r>
        <w:rPr>
          <w:spacing w:val="-5"/>
          <w:sz w:val="20"/>
        </w:rPr>
        <w:t> </w:t>
      </w:r>
      <w:r>
        <w:rPr>
          <w:sz w:val="20"/>
        </w:rPr>
        <w:t>селективных</w:t>
      </w:r>
      <w:r>
        <w:rPr>
          <w:spacing w:val="-5"/>
          <w:sz w:val="20"/>
        </w:rPr>
        <w:t> </w:t>
      </w:r>
      <w:r>
        <w:rPr>
          <w:sz w:val="20"/>
        </w:rPr>
        <w:t>иммунодепрессантов</w:t>
      </w:r>
      <w:r>
        <w:rPr>
          <w:spacing w:val="-5"/>
          <w:sz w:val="20"/>
        </w:rPr>
        <w:t> </w:t>
      </w:r>
      <w:r>
        <w:rPr>
          <w:sz w:val="20"/>
        </w:rPr>
        <w:t>: уровень 1 - 32,68%</w:t>
      </w:r>
    </w:p>
    <w:p>
      <w:pPr>
        <w:spacing w:before="2"/>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18,82%</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7"/>
          <w:sz w:val="20"/>
        </w:rPr>
        <w:t>6%</w:t>
      </w:r>
    </w:p>
    <w:p>
      <w:pPr>
        <w:spacing w:line="249" w:lineRule="auto" w:before="10"/>
        <w:ind w:left="226" w:right="8631" w:firstLine="0"/>
        <w:jc w:val="left"/>
        <w:rPr>
          <w:sz w:val="20"/>
        </w:rPr>
      </w:pPr>
      <w:r>
        <w:rPr>
          <w:sz w:val="20"/>
        </w:rPr>
        <w:t>Поздний</w:t>
      </w:r>
      <w:r>
        <w:rPr>
          <w:spacing w:val="-5"/>
          <w:sz w:val="20"/>
        </w:rPr>
        <w:t> </w:t>
      </w:r>
      <w:r>
        <w:rPr>
          <w:sz w:val="20"/>
        </w:rPr>
        <w:t>посттрансплантационный</w:t>
      </w:r>
      <w:r>
        <w:rPr>
          <w:spacing w:val="-3"/>
          <w:sz w:val="20"/>
        </w:rPr>
        <w:t> </w:t>
      </w:r>
      <w:r>
        <w:rPr>
          <w:sz w:val="20"/>
        </w:rPr>
        <w:t>период</w:t>
      </w:r>
      <w:r>
        <w:rPr>
          <w:spacing w:val="-3"/>
          <w:sz w:val="20"/>
        </w:rPr>
        <w:t> </w:t>
      </w:r>
      <w:r>
        <w:rPr>
          <w:sz w:val="20"/>
        </w:rPr>
        <w:t>после</w:t>
      </w:r>
      <w:r>
        <w:rPr>
          <w:spacing w:val="-5"/>
          <w:sz w:val="20"/>
        </w:rPr>
        <w:t> </w:t>
      </w:r>
      <w:r>
        <w:rPr>
          <w:sz w:val="20"/>
        </w:rPr>
        <w:t>пересадки</w:t>
      </w:r>
      <w:r>
        <w:rPr>
          <w:spacing w:val="-4"/>
          <w:sz w:val="20"/>
        </w:rPr>
        <w:t> </w:t>
      </w:r>
      <w:r>
        <w:rPr>
          <w:sz w:val="20"/>
        </w:rPr>
        <w:t>костного</w:t>
      </w:r>
      <w:r>
        <w:rPr>
          <w:spacing w:val="-4"/>
          <w:sz w:val="20"/>
        </w:rPr>
        <w:t> </w:t>
      </w:r>
      <w:r>
        <w:rPr>
          <w:sz w:val="20"/>
        </w:rPr>
        <w:t>мозга -</w:t>
      </w:r>
      <w:r>
        <w:rPr>
          <w:spacing w:val="-6"/>
          <w:sz w:val="20"/>
        </w:rPr>
        <w:t> </w:t>
      </w:r>
      <w:r>
        <w:rPr>
          <w:sz w:val="20"/>
        </w:rPr>
        <w:t>59,05% В условиях дневного стационара:</w:t>
      </w:r>
    </w:p>
    <w:p>
      <w:pPr>
        <w:spacing w:before="2"/>
        <w:ind w:left="226" w:right="0" w:firstLine="0"/>
        <w:jc w:val="left"/>
        <w:rPr>
          <w:sz w:val="20"/>
        </w:rPr>
      </w:pPr>
      <w:r>
        <w:rPr>
          <w:sz w:val="20"/>
        </w:rPr>
        <w:t>Лечение</w:t>
      </w:r>
      <w:r>
        <w:rPr>
          <w:spacing w:val="-8"/>
          <w:sz w:val="20"/>
        </w:rPr>
        <w:t> </w:t>
      </w:r>
      <w:r>
        <w:rPr>
          <w:sz w:val="20"/>
        </w:rPr>
        <w:t>дерматозов</w:t>
      </w:r>
      <w:r>
        <w:rPr>
          <w:spacing w:val="-8"/>
          <w:sz w:val="20"/>
        </w:rPr>
        <w:t> </w:t>
      </w:r>
      <w:r>
        <w:rPr>
          <w:sz w:val="20"/>
        </w:rPr>
        <w:t>с</w:t>
      </w:r>
      <w:r>
        <w:rPr>
          <w:spacing w:val="-7"/>
          <w:sz w:val="20"/>
        </w:rPr>
        <w:t> </w:t>
      </w:r>
      <w:r>
        <w:rPr>
          <w:sz w:val="20"/>
        </w:rPr>
        <w:t>применением</w:t>
      </w:r>
      <w:r>
        <w:rPr>
          <w:spacing w:val="-6"/>
          <w:sz w:val="20"/>
        </w:rPr>
        <w:t> </w:t>
      </w:r>
      <w:r>
        <w:rPr>
          <w:sz w:val="20"/>
        </w:rPr>
        <w:t>наружной</w:t>
      </w:r>
      <w:r>
        <w:rPr>
          <w:spacing w:val="-8"/>
          <w:sz w:val="20"/>
        </w:rPr>
        <w:t> </w:t>
      </w:r>
      <w:r>
        <w:rPr>
          <w:sz w:val="20"/>
        </w:rPr>
        <w:t>терапии</w:t>
      </w:r>
      <w:r>
        <w:rPr>
          <w:spacing w:val="-3"/>
          <w:sz w:val="20"/>
        </w:rPr>
        <w:t> </w:t>
      </w:r>
      <w:r>
        <w:rPr>
          <w:sz w:val="20"/>
        </w:rPr>
        <w:t>-</w:t>
      </w:r>
      <w:r>
        <w:rPr>
          <w:spacing w:val="-6"/>
          <w:sz w:val="20"/>
        </w:rPr>
        <w:t> </w:t>
      </w:r>
      <w:r>
        <w:rPr>
          <w:spacing w:val="-2"/>
          <w:sz w:val="20"/>
        </w:rPr>
        <w:t>97,44%</w:t>
      </w:r>
    </w:p>
    <w:p>
      <w:pPr>
        <w:spacing w:line="252" w:lineRule="auto" w:before="10"/>
        <w:ind w:left="226" w:right="7471" w:firstLine="0"/>
        <w:jc w:val="left"/>
        <w:rPr>
          <w:sz w:val="20"/>
        </w:rPr>
      </w:pPr>
      <w:r>
        <w:rPr>
          <w:sz w:val="20"/>
        </w:rPr>
        <w:t>Лечение</w:t>
      </w:r>
      <w:r>
        <w:rPr>
          <w:spacing w:val="-4"/>
          <w:sz w:val="20"/>
        </w:rPr>
        <w:t> </w:t>
      </w:r>
      <w:r>
        <w:rPr>
          <w:sz w:val="20"/>
        </w:rPr>
        <w:t>дерматозов</w:t>
      </w:r>
      <w:r>
        <w:rPr>
          <w:spacing w:val="-5"/>
          <w:sz w:val="20"/>
        </w:rPr>
        <w:t> </w:t>
      </w:r>
      <w:r>
        <w:rPr>
          <w:sz w:val="20"/>
        </w:rPr>
        <w:t>с</w:t>
      </w:r>
      <w:r>
        <w:rPr>
          <w:spacing w:val="-4"/>
          <w:sz w:val="20"/>
        </w:rPr>
        <w:t> </w:t>
      </w:r>
      <w:r>
        <w:rPr>
          <w:sz w:val="20"/>
        </w:rPr>
        <w:t>применением</w:t>
      </w:r>
      <w:r>
        <w:rPr>
          <w:spacing w:val="-3"/>
          <w:sz w:val="20"/>
        </w:rPr>
        <w:t> </w:t>
      </w:r>
      <w:r>
        <w:rPr>
          <w:sz w:val="20"/>
        </w:rPr>
        <w:t>наружной</w:t>
      </w:r>
      <w:r>
        <w:rPr>
          <w:spacing w:val="-5"/>
          <w:sz w:val="20"/>
        </w:rPr>
        <w:t> </w:t>
      </w:r>
      <w:r>
        <w:rPr>
          <w:sz w:val="20"/>
        </w:rPr>
        <w:t>терапии,</w:t>
      </w:r>
      <w:r>
        <w:rPr>
          <w:spacing w:val="-2"/>
          <w:sz w:val="20"/>
        </w:rPr>
        <w:t> </w:t>
      </w:r>
      <w:r>
        <w:rPr>
          <w:sz w:val="20"/>
        </w:rPr>
        <w:t>физиотерапии,</w:t>
      </w:r>
      <w:r>
        <w:rPr>
          <w:spacing w:val="-4"/>
          <w:sz w:val="20"/>
        </w:rPr>
        <w:t> </w:t>
      </w:r>
      <w:r>
        <w:rPr>
          <w:sz w:val="20"/>
        </w:rPr>
        <w:t>плазмафереза -</w:t>
      </w:r>
      <w:r>
        <w:rPr>
          <w:spacing w:val="-6"/>
          <w:sz w:val="20"/>
        </w:rPr>
        <w:t> </w:t>
      </w:r>
      <w:r>
        <w:rPr>
          <w:sz w:val="20"/>
        </w:rPr>
        <w:t>96,3% Лечение дерматозов с применением наружной и системной терапии - 98,27%</w:t>
      </w:r>
    </w:p>
    <w:p>
      <w:pPr>
        <w:spacing w:line="228" w:lineRule="exact" w:before="0"/>
        <w:ind w:left="226" w:right="0" w:firstLine="0"/>
        <w:jc w:val="left"/>
        <w:rPr>
          <w:sz w:val="20"/>
        </w:rPr>
      </w:pPr>
      <w:r>
        <w:rPr>
          <w:sz w:val="20"/>
        </w:rPr>
        <w:t>Лечение</w:t>
      </w:r>
      <w:r>
        <w:rPr>
          <w:spacing w:val="-8"/>
          <w:sz w:val="20"/>
        </w:rPr>
        <w:t> </w:t>
      </w:r>
      <w:r>
        <w:rPr>
          <w:sz w:val="20"/>
        </w:rPr>
        <w:t>дерматозов</w:t>
      </w:r>
      <w:r>
        <w:rPr>
          <w:spacing w:val="-7"/>
          <w:sz w:val="20"/>
        </w:rPr>
        <w:t> </w:t>
      </w:r>
      <w:r>
        <w:rPr>
          <w:sz w:val="20"/>
        </w:rPr>
        <w:t>с</w:t>
      </w:r>
      <w:r>
        <w:rPr>
          <w:spacing w:val="-8"/>
          <w:sz w:val="20"/>
        </w:rPr>
        <w:t> </w:t>
      </w:r>
      <w:r>
        <w:rPr>
          <w:sz w:val="20"/>
        </w:rPr>
        <w:t>применением</w:t>
      </w:r>
      <w:r>
        <w:rPr>
          <w:spacing w:val="-6"/>
          <w:sz w:val="20"/>
        </w:rPr>
        <w:t> </w:t>
      </w:r>
      <w:r>
        <w:rPr>
          <w:sz w:val="20"/>
        </w:rPr>
        <w:t>наружной</w:t>
      </w:r>
      <w:r>
        <w:rPr>
          <w:spacing w:val="-8"/>
          <w:sz w:val="20"/>
        </w:rPr>
        <w:t> </w:t>
      </w:r>
      <w:r>
        <w:rPr>
          <w:sz w:val="20"/>
        </w:rPr>
        <w:t>терапии</w:t>
      </w:r>
      <w:r>
        <w:rPr>
          <w:spacing w:val="-6"/>
          <w:sz w:val="20"/>
        </w:rPr>
        <w:t> </w:t>
      </w:r>
      <w:r>
        <w:rPr>
          <w:sz w:val="20"/>
        </w:rPr>
        <w:t>и</w:t>
      </w:r>
      <w:r>
        <w:rPr>
          <w:spacing w:val="-6"/>
          <w:sz w:val="20"/>
        </w:rPr>
        <w:t> </w:t>
      </w:r>
      <w:r>
        <w:rPr>
          <w:sz w:val="20"/>
        </w:rPr>
        <w:t>фототерапии</w:t>
      </w:r>
      <w:r>
        <w:rPr>
          <w:spacing w:val="-2"/>
          <w:sz w:val="20"/>
        </w:rPr>
        <w:t> </w:t>
      </w:r>
      <w:r>
        <w:rPr>
          <w:sz w:val="20"/>
        </w:rPr>
        <w:t>-</w:t>
      </w:r>
      <w:r>
        <w:rPr>
          <w:spacing w:val="-9"/>
          <w:sz w:val="20"/>
        </w:rPr>
        <w:t> </w:t>
      </w:r>
      <w:r>
        <w:rPr>
          <w:spacing w:val="-2"/>
          <w:sz w:val="20"/>
        </w:rPr>
        <w:t>98,2%</w:t>
      </w:r>
    </w:p>
    <w:p>
      <w:pPr>
        <w:spacing w:line="249" w:lineRule="auto" w:before="10"/>
        <w:ind w:left="226" w:right="5973" w:firstLine="0"/>
        <w:jc w:val="left"/>
        <w:rPr>
          <w:sz w:val="20"/>
        </w:rPr>
      </w:pPr>
      <w:r>
        <w:rPr>
          <w:sz w:val="20"/>
        </w:rPr>
        <w:t>Лекарственная</w:t>
      </w:r>
      <w:r>
        <w:rPr>
          <w:spacing w:val="-6"/>
          <w:sz w:val="20"/>
        </w:rPr>
        <w:t> </w:t>
      </w:r>
      <w:r>
        <w:rPr>
          <w:sz w:val="20"/>
        </w:rPr>
        <w:t>терапия</w:t>
      </w:r>
      <w:r>
        <w:rPr>
          <w:spacing w:val="-3"/>
          <w:sz w:val="20"/>
        </w:rPr>
        <w:t> </w:t>
      </w:r>
      <w:r>
        <w:rPr>
          <w:sz w:val="20"/>
        </w:rPr>
        <w:t>при</w:t>
      </w:r>
      <w:r>
        <w:rPr>
          <w:spacing w:val="-4"/>
          <w:sz w:val="20"/>
        </w:rPr>
        <w:t> </w:t>
      </w:r>
      <w:r>
        <w:rPr>
          <w:sz w:val="20"/>
        </w:rPr>
        <w:t>злокачественных</w:t>
      </w:r>
      <w:r>
        <w:rPr>
          <w:spacing w:val="-3"/>
          <w:sz w:val="20"/>
        </w:rPr>
        <w:t> </w:t>
      </w:r>
      <w:r>
        <w:rPr>
          <w:sz w:val="20"/>
        </w:rPr>
        <w:t>новообразованиях</w:t>
      </w:r>
      <w:r>
        <w:rPr>
          <w:spacing w:val="-7"/>
          <w:sz w:val="20"/>
        </w:rPr>
        <w:t> </w:t>
      </w:r>
      <w:r>
        <w:rPr>
          <w:sz w:val="20"/>
        </w:rPr>
        <w:t>(кроме</w:t>
      </w:r>
      <w:r>
        <w:rPr>
          <w:spacing w:val="-5"/>
          <w:sz w:val="20"/>
        </w:rPr>
        <w:t> </w:t>
      </w:r>
      <w:r>
        <w:rPr>
          <w:sz w:val="20"/>
        </w:rPr>
        <w:t>лимфоидной</w:t>
      </w:r>
      <w:r>
        <w:rPr>
          <w:spacing w:val="-4"/>
          <w:sz w:val="20"/>
        </w:rPr>
        <w:t> </w:t>
      </w:r>
      <w:r>
        <w:rPr>
          <w:sz w:val="20"/>
        </w:rPr>
        <w:t>и</w:t>
      </w:r>
      <w:r>
        <w:rPr>
          <w:spacing w:val="-6"/>
          <w:sz w:val="20"/>
        </w:rPr>
        <w:t> </w:t>
      </w:r>
      <w:r>
        <w:rPr>
          <w:sz w:val="20"/>
        </w:rPr>
        <w:t>кроветворной</w:t>
      </w:r>
      <w:r>
        <w:rPr>
          <w:spacing w:val="-4"/>
          <w:sz w:val="20"/>
        </w:rPr>
        <w:t> </w:t>
      </w:r>
      <w:r>
        <w:rPr>
          <w:sz w:val="20"/>
        </w:rPr>
        <w:t>тканей): уровень 1 - 19,12%</w:t>
      </w:r>
    </w:p>
    <w:p>
      <w:pPr>
        <w:spacing w:before="1"/>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4"/>
          <w:sz w:val="20"/>
        </w:rPr>
        <w:t>8,79%</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25,89%</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4"/>
          <w:sz w:val="20"/>
        </w:rPr>
        <w:t>23,5%</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4"/>
          <w:sz w:val="20"/>
        </w:rPr>
        <w:t>3,14%</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4"/>
          <w:sz w:val="20"/>
        </w:rPr>
        <w:t>2,04%</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4"/>
          <w:sz w:val="20"/>
        </w:rPr>
        <w:t>6,59%</w:t>
      </w:r>
    </w:p>
    <w:p>
      <w:pPr>
        <w:spacing w:before="11"/>
        <w:ind w:left="226" w:right="0" w:firstLine="0"/>
        <w:jc w:val="left"/>
        <w:rPr>
          <w:sz w:val="20"/>
        </w:rPr>
      </w:pPr>
      <w:r>
        <w:rPr>
          <w:sz w:val="20"/>
        </w:rPr>
        <w:t>уровень</w:t>
      </w:r>
      <w:r>
        <w:rPr>
          <w:spacing w:val="-4"/>
          <w:sz w:val="20"/>
        </w:rPr>
        <w:t> </w:t>
      </w:r>
      <w:r>
        <w:rPr>
          <w:sz w:val="20"/>
        </w:rPr>
        <w:t>8</w:t>
      </w:r>
      <w:r>
        <w:rPr>
          <w:spacing w:val="-2"/>
          <w:sz w:val="20"/>
        </w:rPr>
        <w:t> </w:t>
      </w:r>
      <w:r>
        <w:rPr>
          <w:sz w:val="20"/>
        </w:rPr>
        <w:t>-</w:t>
      </w:r>
      <w:r>
        <w:rPr>
          <w:spacing w:val="-5"/>
          <w:sz w:val="20"/>
        </w:rPr>
        <w:t> </w:t>
      </w:r>
      <w:r>
        <w:rPr>
          <w:spacing w:val="-2"/>
          <w:sz w:val="20"/>
        </w:rPr>
        <w:t>11,06%</w:t>
      </w:r>
    </w:p>
    <w:p>
      <w:pPr>
        <w:spacing w:before="10"/>
        <w:ind w:left="226" w:right="0" w:firstLine="0"/>
        <w:jc w:val="left"/>
        <w:rPr>
          <w:sz w:val="20"/>
        </w:rPr>
      </w:pPr>
      <w:r>
        <w:rPr>
          <w:sz w:val="20"/>
        </w:rPr>
        <w:t>уровень</w:t>
      </w:r>
      <w:r>
        <w:rPr>
          <w:spacing w:val="-4"/>
          <w:sz w:val="20"/>
        </w:rPr>
        <w:t> </w:t>
      </w:r>
      <w:r>
        <w:rPr>
          <w:sz w:val="20"/>
        </w:rPr>
        <w:t>9</w:t>
      </w:r>
      <w:r>
        <w:rPr>
          <w:spacing w:val="-2"/>
          <w:sz w:val="20"/>
        </w:rPr>
        <w:t> </w:t>
      </w:r>
      <w:r>
        <w:rPr>
          <w:sz w:val="20"/>
        </w:rPr>
        <w:t>-</w:t>
      </w:r>
      <w:r>
        <w:rPr>
          <w:spacing w:val="-5"/>
          <w:sz w:val="20"/>
        </w:rPr>
        <w:t> </w:t>
      </w:r>
      <w:r>
        <w:rPr>
          <w:spacing w:val="-2"/>
          <w:sz w:val="20"/>
        </w:rPr>
        <w:t>15,08%</w:t>
      </w:r>
    </w:p>
    <w:p>
      <w:pPr>
        <w:spacing w:before="10"/>
        <w:ind w:left="226" w:right="0" w:firstLine="0"/>
        <w:jc w:val="left"/>
        <w:rPr>
          <w:sz w:val="20"/>
        </w:rPr>
      </w:pPr>
      <w:r>
        <w:rPr>
          <w:sz w:val="20"/>
        </w:rPr>
        <w:t>уровень</w:t>
      </w:r>
      <w:r>
        <w:rPr>
          <w:spacing w:val="-4"/>
          <w:sz w:val="20"/>
        </w:rPr>
        <w:t> </w:t>
      </w:r>
      <w:r>
        <w:rPr>
          <w:sz w:val="20"/>
        </w:rPr>
        <w:t>10</w:t>
      </w:r>
      <w:r>
        <w:rPr>
          <w:spacing w:val="-2"/>
          <w:sz w:val="20"/>
        </w:rPr>
        <w:t> </w:t>
      </w:r>
      <w:r>
        <w:rPr>
          <w:sz w:val="20"/>
        </w:rPr>
        <w:t>-</w:t>
      </w:r>
      <w:r>
        <w:rPr>
          <w:spacing w:val="-5"/>
          <w:sz w:val="20"/>
        </w:rPr>
        <w:t> </w:t>
      </w:r>
      <w:r>
        <w:rPr>
          <w:spacing w:val="-2"/>
          <w:sz w:val="20"/>
        </w:rPr>
        <w:t>14,91%</w:t>
      </w:r>
    </w:p>
    <w:p>
      <w:pPr>
        <w:spacing w:before="10"/>
        <w:ind w:left="226" w:right="0" w:firstLine="0"/>
        <w:jc w:val="left"/>
        <w:rPr>
          <w:sz w:val="20"/>
        </w:rPr>
      </w:pPr>
      <w:r>
        <w:rPr>
          <w:sz w:val="20"/>
        </w:rPr>
        <w:t>уровень</w:t>
      </w:r>
      <w:r>
        <w:rPr>
          <w:spacing w:val="-4"/>
          <w:sz w:val="20"/>
        </w:rPr>
        <w:t> </w:t>
      </w:r>
      <w:r>
        <w:rPr>
          <w:sz w:val="20"/>
        </w:rPr>
        <w:t>11</w:t>
      </w:r>
      <w:r>
        <w:rPr>
          <w:spacing w:val="-2"/>
          <w:sz w:val="20"/>
        </w:rPr>
        <w:t> </w:t>
      </w:r>
      <w:r>
        <w:rPr>
          <w:sz w:val="20"/>
        </w:rPr>
        <w:t>-</w:t>
      </w:r>
      <w:r>
        <w:rPr>
          <w:spacing w:val="-5"/>
          <w:sz w:val="20"/>
        </w:rPr>
        <w:t> </w:t>
      </w:r>
      <w:r>
        <w:rPr>
          <w:spacing w:val="-2"/>
          <w:sz w:val="20"/>
        </w:rPr>
        <w:t>22,35%</w:t>
      </w:r>
    </w:p>
    <w:p>
      <w:pPr>
        <w:spacing w:before="10"/>
        <w:ind w:left="226" w:right="0" w:firstLine="0"/>
        <w:jc w:val="left"/>
        <w:rPr>
          <w:sz w:val="20"/>
        </w:rPr>
      </w:pPr>
      <w:r>
        <w:rPr>
          <w:sz w:val="20"/>
        </w:rPr>
        <w:t>уровень</w:t>
      </w:r>
      <w:r>
        <w:rPr>
          <w:spacing w:val="-4"/>
          <w:sz w:val="20"/>
        </w:rPr>
        <w:t> </w:t>
      </w:r>
      <w:r>
        <w:rPr>
          <w:sz w:val="20"/>
        </w:rPr>
        <w:t>12</w:t>
      </w:r>
      <w:r>
        <w:rPr>
          <w:spacing w:val="-2"/>
          <w:sz w:val="20"/>
        </w:rPr>
        <w:t> </w:t>
      </w:r>
      <w:r>
        <w:rPr>
          <w:sz w:val="20"/>
        </w:rPr>
        <w:t>-</w:t>
      </w:r>
      <w:r>
        <w:rPr>
          <w:spacing w:val="-5"/>
          <w:sz w:val="20"/>
        </w:rPr>
        <w:t> </w:t>
      </w:r>
      <w:r>
        <w:rPr>
          <w:spacing w:val="-4"/>
          <w:sz w:val="20"/>
        </w:rPr>
        <w:t>9,99%</w:t>
      </w:r>
    </w:p>
    <w:p>
      <w:pPr>
        <w:spacing w:before="10"/>
        <w:ind w:left="226" w:right="0" w:firstLine="0"/>
        <w:jc w:val="left"/>
        <w:rPr>
          <w:sz w:val="20"/>
        </w:rPr>
      </w:pPr>
      <w:r>
        <w:rPr>
          <w:sz w:val="20"/>
        </w:rPr>
        <w:t>уровень</w:t>
      </w:r>
      <w:r>
        <w:rPr>
          <w:spacing w:val="-4"/>
          <w:sz w:val="20"/>
        </w:rPr>
        <w:t> </w:t>
      </w:r>
      <w:r>
        <w:rPr>
          <w:sz w:val="20"/>
        </w:rPr>
        <w:t>13</w:t>
      </w:r>
      <w:r>
        <w:rPr>
          <w:spacing w:val="-2"/>
          <w:sz w:val="20"/>
        </w:rPr>
        <w:t> </w:t>
      </w:r>
      <w:r>
        <w:rPr>
          <w:sz w:val="20"/>
        </w:rPr>
        <w:t>-</w:t>
      </w:r>
      <w:r>
        <w:rPr>
          <w:spacing w:val="-5"/>
          <w:sz w:val="20"/>
        </w:rPr>
        <w:t> </w:t>
      </w:r>
      <w:r>
        <w:rPr>
          <w:spacing w:val="-4"/>
          <w:sz w:val="20"/>
        </w:rPr>
        <w:t>8,49%</w:t>
      </w:r>
    </w:p>
    <w:p>
      <w:pPr>
        <w:spacing w:before="10"/>
        <w:ind w:left="226" w:right="0" w:firstLine="0"/>
        <w:jc w:val="left"/>
        <w:rPr>
          <w:sz w:val="20"/>
        </w:rPr>
      </w:pPr>
      <w:r>
        <w:rPr>
          <w:sz w:val="20"/>
        </w:rPr>
        <w:t>уровень</w:t>
      </w:r>
      <w:r>
        <w:rPr>
          <w:spacing w:val="-4"/>
          <w:sz w:val="20"/>
        </w:rPr>
        <w:t> </w:t>
      </w:r>
      <w:r>
        <w:rPr>
          <w:sz w:val="20"/>
        </w:rPr>
        <w:t>14</w:t>
      </w:r>
      <w:r>
        <w:rPr>
          <w:spacing w:val="-2"/>
          <w:sz w:val="20"/>
        </w:rPr>
        <w:t> </w:t>
      </w:r>
      <w:r>
        <w:rPr>
          <w:sz w:val="20"/>
        </w:rPr>
        <w:t>-</w:t>
      </w:r>
      <w:r>
        <w:rPr>
          <w:spacing w:val="-5"/>
          <w:sz w:val="20"/>
        </w:rPr>
        <w:t> </w:t>
      </w:r>
      <w:r>
        <w:rPr>
          <w:spacing w:val="-4"/>
          <w:sz w:val="20"/>
        </w:rPr>
        <w:t>5,64%</w:t>
      </w:r>
    </w:p>
    <w:p>
      <w:pPr>
        <w:spacing w:before="10"/>
        <w:ind w:left="226" w:right="0" w:firstLine="0"/>
        <w:jc w:val="left"/>
        <w:rPr>
          <w:sz w:val="20"/>
        </w:rPr>
      </w:pPr>
      <w:r>
        <w:rPr>
          <w:sz w:val="20"/>
        </w:rPr>
        <w:t>уровень</w:t>
      </w:r>
      <w:r>
        <w:rPr>
          <w:spacing w:val="-4"/>
          <w:sz w:val="20"/>
        </w:rPr>
        <w:t> </w:t>
      </w:r>
      <w:r>
        <w:rPr>
          <w:sz w:val="20"/>
        </w:rPr>
        <w:t>15</w:t>
      </w:r>
      <w:r>
        <w:rPr>
          <w:spacing w:val="-2"/>
          <w:sz w:val="20"/>
        </w:rPr>
        <w:t> </w:t>
      </w:r>
      <w:r>
        <w:rPr>
          <w:sz w:val="20"/>
        </w:rPr>
        <w:t>-</w:t>
      </w:r>
      <w:r>
        <w:rPr>
          <w:spacing w:val="-5"/>
          <w:sz w:val="20"/>
        </w:rPr>
        <w:t> </w:t>
      </w:r>
      <w:r>
        <w:rPr>
          <w:spacing w:val="-4"/>
          <w:sz w:val="20"/>
        </w:rPr>
        <w:t>2,82%</w:t>
      </w:r>
    </w:p>
    <w:p>
      <w:pPr>
        <w:spacing w:before="10"/>
        <w:ind w:left="226" w:right="0" w:firstLine="0"/>
        <w:jc w:val="left"/>
        <w:rPr>
          <w:sz w:val="20"/>
        </w:rPr>
      </w:pPr>
      <w:r>
        <w:rPr>
          <w:sz w:val="20"/>
        </w:rPr>
        <w:t>уровень</w:t>
      </w:r>
      <w:r>
        <w:rPr>
          <w:spacing w:val="-4"/>
          <w:sz w:val="20"/>
        </w:rPr>
        <w:t> </w:t>
      </w:r>
      <w:r>
        <w:rPr>
          <w:sz w:val="20"/>
        </w:rPr>
        <w:t>16</w:t>
      </w:r>
      <w:r>
        <w:rPr>
          <w:spacing w:val="-2"/>
          <w:sz w:val="20"/>
        </w:rPr>
        <w:t> </w:t>
      </w:r>
      <w:r>
        <w:rPr>
          <w:sz w:val="20"/>
        </w:rPr>
        <w:t>-</w:t>
      </w:r>
      <w:r>
        <w:rPr>
          <w:spacing w:val="-5"/>
          <w:sz w:val="20"/>
        </w:rPr>
        <w:t> </w:t>
      </w:r>
      <w:r>
        <w:rPr>
          <w:spacing w:val="-4"/>
          <w:sz w:val="20"/>
        </w:rPr>
        <w:t>5,84%</w:t>
      </w:r>
    </w:p>
    <w:p>
      <w:pPr>
        <w:spacing w:before="10"/>
        <w:ind w:left="226" w:right="0" w:firstLine="0"/>
        <w:jc w:val="left"/>
        <w:rPr>
          <w:sz w:val="20"/>
        </w:rPr>
      </w:pPr>
      <w:r>
        <w:rPr>
          <w:sz w:val="20"/>
        </w:rPr>
        <w:t>уровень</w:t>
      </w:r>
      <w:r>
        <w:rPr>
          <w:spacing w:val="-4"/>
          <w:sz w:val="20"/>
        </w:rPr>
        <w:t> </w:t>
      </w:r>
      <w:r>
        <w:rPr>
          <w:sz w:val="20"/>
        </w:rPr>
        <w:t>17</w:t>
      </w:r>
      <w:r>
        <w:rPr>
          <w:spacing w:val="-2"/>
          <w:sz w:val="20"/>
        </w:rPr>
        <w:t> </w:t>
      </w:r>
      <w:r>
        <w:rPr>
          <w:sz w:val="20"/>
        </w:rPr>
        <w:t>-</w:t>
      </w:r>
      <w:r>
        <w:rPr>
          <w:spacing w:val="-5"/>
          <w:sz w:val="20"/>
        </w:rPr>
        <w:t> </w:t>
      </w:r>
      <w:r>
        <w:rPr>
          <w:spacing w:val="-4"/>
          <w:sz w:val="20"/>
        </w:rPr>
        <w:t>0,23%</w:t>
      </w:r>
    </w:p>
    <w:p>
      <w:pPr>
        <w:spacing w:before="10"/>
        <w:ind w:left="226" w:right="0" w:firstLine="0"/>
        <w:jc w:val="left"/>
        <w:rPr>
          <w:sz w:val="20"/>
        </w:rPr>
      </w:pPr>
      <w:r>
        <w:rPr>
          <w:sz w:val="20"/>
        </w:rPr>
        <w:t>Лучевая</w:t>
      </w:r>
      <w:r>
        <w:rPr>
          <w:spacing w:val="-8"/>
          <w:sz w:val="20"/>
        </w:rPr>
        <w:t> </w:t>
      </w:r>
      <w:r>
        <w:rPr>
          <w:sz w:val="20"/>
        </w:rPr>
        <w:t>терапия</w:t>
      </w:r>
      <w:r>
        <w:rPr>
          <w:spacing w:val="-7"/>
          <w:sz w:val="20"/>
        </w:rPr>
        <w:t> </w:t>
      </w:r>
      <w:r>
        <w:rPr>
          <w:sz w:val="20"/>
        </w:rPr>
        <w:t>в</w:t>
      </w:r>
      <w:r>
        <w:rPr>
          <w:spacing w:val="-7"/>
          <w:sz w:val="20"/>
        </w:rPr>
        <w:t> </w:t>
      </w:r>
      <w:r>
        <w:rPr>
          <w:sz w:val="20"/>
        </w:rPr>
        <w:t>сочетании</w:t>
      </w:r>
      <w:r>
        <w:rPr>
          <w:spacing w:val="-7"/>
          <w:sz w:val="20"/>
        </w:rPr>
        <w:t> </w:t>
      </w:r>
      <w:r>
        <w:rPr>
          <w:sz w:val="20"/>
        </w:rPr>
        <w:t>с</w:t>
      </w:r>
      <w:r>
        <w:rPr>
          <w:spacing w:val="-6"/>
          <w:sz w:val="20"/>
        </w:rPr>
        <w:t> </w:t>
      </w:r>
      <w:r>
        <w:rPr>
          <w:sz w:val="20"/>
        </w:rPr>
        <w:t>лекарственной</w:t>
      </w:r>
      <w:r>
        <w:rPr>
          <w:spacing w:val="-7"/>
          <w:sz w:val="20"/>
        </w:rPr>
        <w:t> </w:t>
      </w:r>
      <w:r>
        <w:rPr>
          <w:spacing w:val="-2"/>
          <w:sz w:val="20"/>
        </w:rPr>
        <w:t>терапией:</w:t>
      </w:r>
    </w:p>
    <w:p>
      <w:pPr>
        <w:spacing w:before="11"/>
        <w:ind w:left="226" w:right="0" w:firstLine="0"/>
        <w:jc w:val="left"/>
        <w:rPr>
          <w:sz w:val="20"/>
        </w:rPr>
      </w:pPr>
      <w:r>
        <w:rPr>
          <w:sz w:val="20"/>
        </w:rPr>
        <w:t>уровень</w:t>
      </w:r>
      <w:r>
        <w:rPr>
          <w:spacing w:val="-4"/>
          <w:sz w:val="20"/>
        </w:rPr>
        <w:t> </w:t>
      </w:r>
      <w:r>
        <w:rPr>
          <w:sz w:val="20"/>
        </w:rPr>
        <w:t>1</w:t>
      </w:r>
      <w:r>
        <w:rPr>
          <w:spacing w:val="-2"/>
          <w:sz w:val="20"/>
        </w:rPr>
        <w:t> </w:t>
      </w:r>
      <w:r>
        <w:rPr>
          <w:sz w:val="20"/>
        </w:rPr>
        <w:t>-</w:t>
      </w:r>
      <w:r>
        <w:rPr>
          <w:spacing w:val="-5"/>
          <w:sz w:val="20"/>
        </w:rPr>
        <w:t> </w:t>
      </w:r>
      <w:r>
        <w:rPr>
          <w:spacing w:val="-2"/>
          <w:sz w:val="20"/>
        </w:rPr>
        <w:t>78,38%</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82,64%</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31,86%</w:t>
      </w:r>
    </w:p>
    <w:p>
      <w:pPr>
        <w:spacing w:before="10"/>
        <w:ind w:left="226" w:right="0" w:firstLine="0"/>
        <w:jc w:val="left"/>
        <w:rPr>
          <w:sz w:val="20"/>
        </w:rPr>
      </w:pPr>
      <w:r>
        <w:rPr>
          <w:sz w:val="20"/>
        </w:rPr>
        <w:t>уровень</w:t>
      </w:r>
      <w:r>
        <w:rPr>
          <w:spacing w:val="-4"/>
          <w:sz w:val="20"/>
        </w:rPr>
        <w:t> </w:t>
      </w:r>
      <w:r>
        <w:rPr>
          <w:sz w:val="20"/>
        </w:rPr>
        <w:t>5</w:t>
      </w:r>
      <w:r>
        <w:rPr>
          <w:spacing w:val="-3"/>
          <w:sz w:val="20"/>
        </w:rPr>
        <w:t> </w:t>
      </w:r>
      <w:r>
        <w:rPr>
          <w:sz w:val="20"/>
        </w:rPr>
        <w:t>-</w:t>
      </w:r>
      <w:r>
        <w:rPr>
          <w:spacing w:val="-5"/>
          <w:sz w:val="20"/>
        </w:rPr>
        <w:t> </w:t>
      </w:r>
      <w:r>
        <w:rPr>
          <w:spacing w:val="-2"/>
          <w:sz w:val="20"/>
        </w:rPr>
        <w:t>16,69%</w:t>
      </w:r>
    </w:p>
    <w:p>
      <w:pPr>
        <w:spacing w:before="10"/>
        <w:ind w:left="226" w:right="0" w:firstLine="0"/>
        <w:jc w:val="left"/>
        <w:rPr>
          <w:sz w:val="20"/>
        </w:rPr>
      </w:pPr>
      <w:r>
        <w:rPr>
          <w:sz w:val="20"/>
        </w:rPr>
        <w:t>ЗНО</w:t>
      </w:r>
      <w:r>
        <w:rPr>
          <w:spacing w:val="-6"/>
          <w:sz w:val="20"/>
        </w:rPr>
        <w:t> </w:t>
      </w:r>
      <w:r>
        <w:rPr>
          <w:sz w:val="20"/>
        </w:rPr>
        <w:t>лимфоидной</w:t>
      </w:r>
      <w:r>
        <w:rPr>
          <w:spacing w:val="-5"/>
          <w:sz w:val="20"/>
        </w:rPr>
        <w:t> </w:t>
      </w:r>
      <w:r>
        <w:rPr>
          <w:sz w:val="20"/>
        </w:rPr>
        <w:t>и</w:t>
      </w:r>
      <w:r>
        <w:rPr>
          <w:spacing w:val="-7"/>
          <w:sz w:val="20"/>
        </w:rPr>
        <w:t> </w:t>
      </w:r>
      <w:r>
        <w:rPr>
          <w:sz w:val="20"/>
        </w:rPr>
        <w:t>кроветворной</w:t>
      </w:r>
      <w:r>
        <w:rPr>
          <w:spacing w:val="-7"/>
          <w:sz w:val="20"/>
        </w:rPr>
        <w:t> </w:t>
      </w:r>
      <w:r>
        <w:rPr>
          <w:sz w:val="20"/>
        </w:rPr>
        <w:t>тканей,</w:t>
      </w:r>
      <w:r>
        <w:rPr>
          <w:spacing w:val="-6"/>
          <w:sz w:val="20"/>
        </w:rPr>
        <w:t> </w:t>
      </w:r>
      <w:r>
        <w:rPr>
          <w:sz w:val="20"/>
        </w:rPr>
        <w:t>лекарственная</w:t>
      </w:r>
      <w:r>
        <w:rPr>
          <w:spacing w:val="-7"/>
          <w:sz w:val="20"/>
        </w:rPr>
        <w:t> </w:t>
      </w:r>
      <w:r>
        <w:rPr>
          <w:sz w:val="20"/>
        </w:rPr>
        <w:t>терапия,</w:t>
      </w:r>
      <w:r>
        <w:rPr>
          <w:spacing w:val="-6"/>
          <w:sz w:val="20"/>
        </w:rPr>
        <w:t> </w:t>
      </w:r>
      <w:r>
        <w:rPr>
          <w:sz w:val="20"/>
        </w:rPr>
        <w:t>взрослые</w:t>
      </w:r>
      <w:r>
        <w:rPr>
          <w:spacing w:val="-6"/>
          <w:sz w:val="20"/>
        </w:rPr>
        <w:t> </w:t>
      </w:r>
      <w:r>
        <w:rPr>
          <w:sz w:val="20"/>
        </w:rPr>
        <w:t>(уровень</w:t>
      </w:r>
      <w:r>
        <w:rPr>
          <w:spacing w:val="-6"/>
          <w:sz w:val="20"/>
        </w:rPr>
        <w:t> </w:t>
      </w:r>
      <w:r>
        <w:rPr>
          <w:sz w:val="20"/>
        </w:rPr>
        <w:t>1</w:t>
      </w:r>
      <w:r>
        <w:rPr>
          <w:spacing w:val="3"/>
          <w:sz w:val="20"/>
        </w:rPr>
        <w:t> </w:t>
      </w:r>
      <w:r>
        <w:rPr>
          <w:sz w:val="20"/>
        </w:rPr>
        <w:t>-</w:t>
      </w:r>
      <w:r>
        <w:rPr>
          <w:spacing w:val="-7"/>
          <w:sz w:val="20"/>
        </w:rPr>
        <w:t> </w:t>
      </w:r>
      <w:r>
        <w:rPr>
          <w:sz w:val="20"/>
        </w:rPr>
        <w:t>4)</w:t>
      </w:r>
      <w:r>
        <w:rPr>
          <w:spacing w:val="-5"/>
          <w:sz w:val="20"/>
        </w:rPr>
        <w:t> </w:t>
      </w:r>
      <w:r>
        <w:rPr>
          <w:sz w:val="20"/>
        </w:rPr>
        <w:t>-</w:t>
      </w:r>
      <w:r>
        <w:rPr>
          <w:spacing w:val="-8"/>
          <w:sz w:val="20"/>
        </w:rPr>
        <w:t> </w:t>
      </w:r>
      <w:r>
        <w:rPr>
          <w:spacing w:val="-2"/>
          <w:sz w:val="20"/>
        </w:rPr>
        <w:t>51,06%</w:t>
      </w:r>
    </w:p>
    <w:p>
      <w:pPr>
        <w:spacing w:line="249" w:lineRule="auto" w:before="10"/>
        <w:ind w:left="226" w:right="4303" w:firstLine="0"/>
        <w:jc w:val="left"/>
        <w:rPr>
          <w:sz w:val="20"/>
        </w:rPr>
      </w:pPr>
      <w:r>
        <w:rPr>
          <w:sz w:val="20"/>
        </w:rPr>
        <w:t>ЗНО</w:t>
      </w:r>
      <w:r>
        <w:rPr>
          <w:spacing w:val="-3"/>
          <w:sz w:val="20"/>
        </w:rPr>
        <w:t> </w:t>
      </w:r>
      <w:r>
        <w:rPr>
          <w:sz w:val="20"/>
        </w:rPr>
        <w:t>лимфоидной</w:t>
      </w:r>
      <w:r>
        <w:rPr>
          <w:spacing w:val="-3"/>
          <w:sz w:val="20"/>
        </w:rPr>
        <w:t> </w:t>
      </w:r>
      <w:r>
        <w:rPr>
          <w:sz w:val="20"/>
        </w:rPr>
        <w:t>и</w:t>
      </w:r>
      <w:r>
        <w:rPr>
          <w:spacing w:val="-4"/>
          <w:sz w:val="20"/>
        </w:rPr>
        <w:t> </w:t>
      </w:r>
      <w:r>
        <w:rPr>
          <w:sz w:val="20"/>
        </w:rPr>
        <w:t>кроветворной</w:t>
      </w:r>
      <w:r>
        <w:rPr>
          <w:spacing w:val="-4"/>
          <w:sz w:val="20"/>
        </w:rPr>
        <w:t> </w:t>
      </w:r>
      <w:r>
        <w:rPr>
          <w:sz w:val="20"/>
        </w:rPr>
        <w:t>тканей,</w:t>
      </w:r>
      <w:r>
        <w:rPr>
          <w:spacing w:val="-3"/>
          <w:sz w:val="20"/>
        </w:rPr>
        <w:t> </w:t>
      </w:r>
      <w:r>
        <w:rPr>
          <w:sz w:val="20"/>
        </w:rPr>
        <w:t>лекарственная</w:t>
      </w:r>
      <w:r>
        <w:rPr>
          <w:spacing w:val="-4"/>
          <w:sz w:val="20"/>
        </w:rPr>
        <w:t> </w:t>
      </w:r>
      <w:r>
        <w:rPr>
          <w:sz w:val="20"/>
        </w:rPr>
        <w:t>терапия</w:t>
      </w:r>
      <w:r>
        <w:rPr>
          <w:spacing w:val="-4"/>
          <w:sz w:val="20"/>
        </w:rPr>
        <w:t> </w:t>
      </w:r>
      <w:r>
        <w:rPr>
          <w:sz w:val="20"/>
        </w:rPr>
        <w:t>с</w:t>
      </w:r>
      <w:r>
        <w:rPr>
          <w:spacing w:val="-3"/>
          <w:sz w:val="20"/>
        </w:rPr>
        <w:t> </w:t>
      </w:r>
      <w:r>
        <w:rPr>
          <w:sz w:val="20"/>
        </w:rPr>
        <w:t>применением</w:t>
      </w:r>
      <w:r>
        <w:rPr>
          <w:spacing w:val="-3"/>
          <w:sz w:val="20"/>
        </w:rPr>
        <w:t> </w:t>
      </w:r>
      <w:r>
        <w:rPr>
          <w:sz w:val="20"/>
        </w:rPr>
        <w:t>отдельных</w:t>
      </w:r>
      <w:r>
        <w:rPr>
          <w:spacing w:val="-2"/>
          <w:sz w:val="20"/>
        </w:rPr>
        <w:t> </w:t>
      </w:r>
      <w:r>
        <w:rPr>
          <w:sz w:val="20"/>
        </w:rPr>
        <w:t>препаратов</w:t>
      </w:r>
      <w:r>
        <w:rPr>
          <w:spacing w:val="-4"/>
          <w:sz w:val="20"/>
        </w:rPr>
        <w:t> </w:t>
      </w:r>
      <w:r>
        <w:rPr>
          <w:sz w:val="20"/>
        </w:rPr>
        <w:t>(по</w:t>
      </w:r>
      <w:r>
        <w:rPr>
          <w:spacing w:val="-3"/>
          <w:sz w:val="20"/>
        </w:rPr>
        <w:t> </w:t>
      </w:r>
      <w:r>
        <w:rPr>
          <w:sz w:val="20"/>
        </w:rPr>
        <w:t>перечню),</w:t>
      </w:r>
      <w:r>
        <w:rPr>
          <w:spacing w:val="-3"/>
          <w:sz w:val="20"/>
        </w:rPr>
        <w:t> </w:t>
      </w:r>
      <w:r>
        <w:rPr>
          <w:sz w:val="20"/>
        </w:rPr>
        <w:t>взрослые: уровень 1 - 4,13%</w:t>
      </w:r>
    </w:p>
    <w:p>
      <w:pPr>
        <w:spacing w:before="1"/>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12,75%</w:t>
      </w:r>
    </w:p>
    <w:p>
      <w:pPr>
        <w:spacing w:after="0"/>
        <w:jc w:val="left"/>
        <w:rPr>
          <w:sz w:val="20"/>
        </w:rPr>
        <w:sectPr>
          <w:pgSz w:w="16850" w:h="11910" w:orient="landscape"/>
          <w:pgMar w:header="753" w:footer="0" w:top="1060" w:bottom="280" w:left="340" w:right="340"/>
        </w:sectPr>
      </w:pPr>
    </w:p>
    <w:p>
      <w:pPr>
        <w:spacing w:before="74"/>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22,53%</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31,49%</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4"/>
          <w:sz w:val="20"/>
        </w:rPr>
        <w:t>0,42%</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4"/>
          <w:sz w:val="20"/>
        </w:rPr>
        <w:t>1,56%</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4"/>
          <w:sz w:val="20"/>
        </w:rPr>
        <w:t>4,36%</w:t>
      </w:r>
    </w:p>
    <w:p>
      <w:pPr>
        <w:spacing w:before="10"/>
        <w:ind w:left="226" w:right="0" w:firstLine="0"/>
        <w:jc w:val="left"/>
        <w:rPr>
          <w:sz w:val="20"/>
        </w:rPr>
      </w:pPr>
      <w:r>
        <w:rPr>
          <w:sz w:val="20"/>
        </w:rPr>
        <w:t>уровень</w:t>
      </w:r>
      <w:r>
        <w:rPr>
          <w:spacing w:val="-4"/>
          <w:sz w:val="20"/>
        </w:rPr>
        <w:t> </w:t>
      </w:r>
      <w:r>
        <w:rPr>
          <w:sz w:val="20"/>
        </w:rPr>
        <w:t>8</w:t>
      </w:r>
      <w:r>
        <w:rPr>
          <w:spacing w:val="-2"/>
          <w:sz w:val="20"/>
        </w:rPr>
        <w:t> </w:t>
      </w:r>
      <w:r>
        <w:rPr>
          <w:sz w:val="20"/>
        </w:rPr>
        <w:t>-</w:t>
      </w:r>
      <w:r>
        <w:rPr>
          <w:spacing w:val="-5"/>
          <w:sz w:val="20"/>
        </w:rPr>
        <w:t> </w:t>
      </w:r>
      <w:r>
        <w:rPr>
          <w:spacing w:val="-4"/>
          <w:sz w:val="20"/>
        </w:rPr>
        <w:t>7,65%</w:t>
      </w:r>
    </w:p>
    <w:p>
      <w:pPr>
        <w:spacing w:before="10"/>
        <w:ind w:left="226" w:right="0" w:firstLine="0"/>
        <w:jc w:val="left"/>
        <w:rPr>
          <w:sz w:val="20"/>
        </w:rPr>
      </w:pPr>
      <w:r>
        <w:rPr>
          <w:sz w:val="20"/>
        </w:rPr>
        <w:t>Замена</w:t>
      </w:r>
      <w:r>
        <w:rPr>
          <w:spacing w:val="-6"/>
          <w:sz w:val="20"/>
        </w:rPr>
        <w:t> </w:t>
      </w:r>
      <w:r>
        <w:rPr>
          <w:sz w:val="20"/>
        </w:rPr>
        <w:t>речевого</w:t>
      </w:r>
      <w:r>
        <w:rPr>
          <w:spacing w:val="-5"/>
          <w:sz w:val="20"/>
        </w:rPr>
        <w:t> </w:t>
      </w:r>
      <w:r>
        <w:rPr>
          <w:sz w:val="20"/>
        </w:rPr>
        <w:t>процессора</w:t>
      </w:r>
      <w:r>
        <w:rPr>
          <w:spacing w:val="-6"/>
          <w:sz w:val="20"/>
        </w:rPr>
        <w:t> </w:t>
      </w:r>
      <w:r>
        <w:rPr>
          <w:sz w:val="20"/>
        </w:rPr>
        <w:t>-</w:t>
      </w:r>
      <w:r>
        <w:rPr>
          <w:spacing w:val="-7"/>
          <w:sz w:val="20"/>
        </w:rPr>
        <w:t> </w:t>
      </w:r>
      <w:r>
        <w:rPr>
          <w:spacing w:val="-4"/>
          <w:sz w:val="20"/>
        </w:rPr>
        <w:t>0,23%</w:t>
      </w:r>
    </w:p>
    <w:p>
      <w:pPr>
        <w:spacing w:line="249" w:lineRule="auto" w:before="10"/>
        <w:ind w:left="226" w:right="7471" w:firstLine="0"/>
        <w:jc w:val="left"/>
        <w:rPr>
          <w:sz w:val="20"/>
        </w:rPr>
      </w:pPr>
      <w:r>
        <w:rPr>
          <w:sz w:val="20"/>
        </w:rPr>
        <w:t>Оказание услуг диализа (только для федеральных медицинских организаций) - 30,00%. Проведение</w:t>
      </w:r>
      <w:r>
        <w:rPr>
          <w:spacing w:val="-2"/>
          <w:sz w:val="20"/>
        </w:rPr>
        <w:t> </w:t>
      </w:r>
      <w:r>
        <w:rPr>
          <w:sz w:val="20"/>
        </w:rPr>
        <w:t>иммунизации</w:t>
      </w:r>
      <w:r>
        <w:rPr>
          <w:spacing w:val="-6"/>
          <w:sz w:val="20"/>
        </w:rPr>
        <w:t> </w:t>
      </w:r>
      <w:r>
        <w:rPr>
          <w:sz w:val="20"/>
        </w:rPr>
        <w:t>против</w:t>
      </w:r>
      <w:r>
        <w:rPr>
          <w:spacing w:val="-6"/>
          <w:sz w:val="20"/>
        </w:rPr>
        <w:t> </w:t>
      </w:r>
      <w:r>
        <w:rPr>
          <w:sz w:val="20"/>
        </w:rPr>
        <w:t>респираторно-синцитиальной</w:t>
      </w:r>
      <w:r>
        <w:rPr>
          <w:spacing w:val="-6"/>
          <w:sz w:val="20"/>
        </w:rPr>
        <w:t> </w:t>
      </w:r>
      <w:r>
        <w:rPr>
          <w:sz w:val="20"/>
        </w:rPr>
        <w:t>вирусной</w:t>
      </w:r>
      <w:r>
        <w:rPr>
          <w:spacing w:val="-6"/>
          <w:sz w:val="20"/>
        </w:rPr>
        <w:t> </w:t>
      </w:r>
      <w:r>
        <w:rPr>
          <w:sz w:val="20"/>
        </w:rPr>
        <w:t>инфекции -</w:t>
      </w:r>
      <w:r>
        <w:rPr>
          <w:spacing w:val="-6"/>
          <w:sz w:val="20"/>
        </w:rPr>
        <w:t> </w:t>
      </w:r>
      <w:r>
        <w:rPr>
          <w:sz w:val="20"/>
        </w:rPr>
        <w:t>1,83%</w:t>
      </w:r>
    </w:p>
    <w:p>
      <w:pPr>
        <w:spacing w:before="2"/>
        <w:ind w:left="226" w:right="0" w:firstLine="0"/>
        <w:jc w:val="left"/>
        <w:rPr>
          <w:sz w:val="20"/>
        </w:rPr>
      </w:pPr>
      <w:r>
        <w:rPr>
          <w:sz w:val="20"/>
        </w:rPr>
        <w:t>Лечение</w:t>
      </w:r>
      <w:r>
        <w:rPr>
          <w:spacing w:val="-9"/>
          <w:sz w:val="20"/>
        </w:rPr>
        <w:t> </w:t>
      </w:r>
      <w:r>
        <w:rPr>
          <w:sz w:val="20"/>
        </w:rPr>
        <w:t>с</w:t>
      </w:r>
      <w:r>
        <w:rPr>
          <w:spacing w:val="-9"/>
          <w:sz w:val="20"/>
        </w:rPr>
        <w:t> </w:t>
      </w:r>
      <w:r>
        <w:rPr>
          <w:sz w:val="20"/>
        </w:rPr>
        <w:t>применением</w:t>
      </w:r>
      <w:r>
        <w:rPr>
          <w:spacing w:val="-7"/>
          <w:sz w:val="20"/>
        </w:rPr>
        <w:t> </w:t>
      </w:r>
      <w:r>
        <w:rPr>
          <w:sz w:val="20"/>
        </w:rPr>
        <w:t>генно-инженерных</w:t>
      </w:r>
      <w:r>
        <w:rPr>
          <w:spacing w:val="-7"/>
          <w:sz w:val="20"/>
        </w:rPr>
        <w:t> </w:t>
      </w:r>
      <w:r>
        <w:rPr>
          <w:sz w:val="20"/>
        </w:rPr>
        <w:t>биологических</w:t>
      </w:r>
      <w:r>
        <w:rPr>
          <w:spacing w:val="-10"/>
          <w:sz w:val="20"/>
        </w:rPr>
        <w:t> </w:t>
      </w:r>
      <w:r>
        <w:rPr>
          <w:sz w:val="20"/>
        </w:rPr>
        <w:t>препаратов</w:t>
      </w:r>
      <w:r>
        <w:rPr>
          <w:spacing w:val="-9"/>
          <w:sz w:val="20"/>
        </w:rPr>
        <w:t> </w:t>
      </w:r>
      <w:r>
        <w:rPr>
          <w:sz w:val="20"/>
        </w:rPr>
        <w:t>и</w:t>
      </w:r>
      <w:r>
        <w:rPr>
          <w:spacing w:val="-9"/>
          <w:sz w:val="20"/>
        </w:rPr>
        <w:t> </w:t>
      </w:r>
      <w:r>
        <w:rPr>
          <w:sz w:val="20"/>
        </w:rPr>
        <w:t>селективных</w:t>
      </w:r>
      <w:r>
        <w:rPr>
          <w:spacing w:val="-10"/>
          <w:sz w:val="20"/>
        </w:rPr>
        <w:t> </w:t>
      </w:r>
      <w:r>
        <w:rPr>
          <w:spacing w:val="-2"/>
          <w:sz w:val="20"/>
        </w:rPr>
        <w:t>иммунодепрессантов:</w:t>
      </w:r>
    </w:p>
    <w:p>
      <w:pPr>
        <w:spacing w:before="10"/>
        <w:ind w:left="226" w:right="0" w:firstLine="0"/>
        <w:jc w:val="left"/>
        <w:rPr>
          <w:sz w:val="20"/>
        </w:rPr>
      </w:pPr>
      <w:r>
        <w:rPr>
          <w:sz w:val="20"/>
        </w:rPr>
        <w:t>уровень</w:t>
      </w:r>
      <w:r>
        <w:rPr>
          <w:spacing w:val="-4"/>
          <w:sz w:val="20"/>
        </w:rPr>
        <w:t> </w:t>
      </w:r>
      <w:r>
        <w:rPr>
          <w:sz w:val="20"/>
        </w:rPr>
        <w:t>1</w:t>
      </w:r>
      <w:r>
        <w:rPr>
          <w:spacing w:val="-2"/>
          <w:sz w:val="20"/>
        </w:rPr>
        <w:t> </w:t>
      </w:r>
      <w:r>
        <w:rPr>
          <w:sz w:val="20"/>
        </w:rPr>
        <w:t>-</w:t>
      </w:r>
      <w:r>
        <w:rPr>
          <w:spacing w:val="-5"/>
          <w:sz w:val="20"/>
        </w:rPr>
        <w:t> </w:t>
      </w:r>
      <w:r>
        <w:rPr>
          <w:spacing w:val="-4"/>
          <w:sz w:val="20"/>
        </w:rPr>
        <w:t>5,85%</w:t>
      </w:r>
    </w:p>
    <w:p>
      <w:pPr>
        <w:spacing w:before="11"/>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4"/>
          <w:sz w:val="20"/>
        </w:rPr>
        <w:t>5,43%</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8,94%.</w:t>
      </w:r>
    </w:p>
    <w:p>
      <w:pPr>
        <w:spacing w:line="249" w:lineRule="auto" w:before="10"/>
        <w:ind w:left="226" w:right="203" w:firstLine="0"/>
        <w:jc w:val="left"/>
        <w:rPr>
          <w:sz w:val="20"/>
        </w:rPr>
      </w:pPr>
      <w:r>
        <w:rPr>
          <w:sz w:val="20"/>
          <w:vertAlign w:val="superscript"/>
        </w:rPr>
        <w:t>***</w:t>
      </w:r>
      <w:r>
        <w:rPr>
          <w:spacing w:val="-2"/>
          <w:sz w:val="20"/>
          <w:vertAlign w:val="baseline"/>
        </w:rPr>
        <w:t> </w:t>
      </w:r>
      <w:r>
        <w:rPr>
          <w:sz w:val="20"/>
          <w:vertAlign w:val="baseline"/>
        </w:rPr>
        <w:t>В</w:t>
      </w:r>
      <w:r>
        <w:rPr>
          <w:spacing w:val="-1"/>
          <w:sz w:val="20"/>
          <w:vertAlign w:val="baseline"/>
        </w:rPr>
        <w:t> </w:t>
      </w:r>
      <w:r>
        <w:rPr>
          <w:sz w:val="20"/>
          <w:vertAlign w:val="baseline"/>
        </w:rPr>
        <w:t>том</w:t>
      </w:r>
      <w:r>
        <w:rPr>
          <w:spacing w:val="-1"/>
          <w:sz w:val="20"/>
          <w:vertAlign w:val="baseline"/>
        </w:rPr>
        <w:t> </w:t>
      </w:r>
      <w:r>
        <w:rPr>
          <w:sz w:val="20"/>
          <w:vertAlign w:val="baseline"/>
        </w:rPr>
        <w:t>числе</w:t>
      </w:r>
      <w:r>
        <w:rPr>
          <w:spacing w:val="-2"/>
          <w:sz w:val="20"/>
          <w:vertAlign w:val="baseline"/>
        </w:rPr>
        <w:t> </w:t>
      </w:r>
      <w:r>
        <w:rPr>
          <w:sz w:val="20"/>
          <w:vertAlign w:val="baseline"/>
        </w:rPr>
        <w:t>для</w:t>
      </w:r>
      <w:r>
        <w:rPr>
          <w:spacing w:val="-3"/>
          <w:sz w:val="20"/>
          <w:vertAlign w:val="baseline"/>
        </w:rPr>
        <w:t> </w:t>
      </w:r>
      <w:r>
        <w:rPr>
          <w:sz w:val="20"/>
          <w:vertAlign w:val="baseline"/>
        </w:rPr>
        <w:t>случаев введения</w:t>
      </w:r>
      <w:r>
        <w:rPr>
          <w:spacing w:val="-3"/>
          <w:sz w:val="20"/>
          <w:vertAlign w:val="baseline"/>
        </w:rPr>
        <w:t> </w:t>
      </w:r>
      <w:r>
        <w:rPr>
          <w:sz w:val="20"/>
          <w:vertAlign w:val="baseline"/>
        </w:rPr>
        <w:t>медицинской</w:t>
      </w:r>
      <w:r>
        <w:rPr>
          <w:spacing w:val="-3"/>
          <w:sz w:val="20"/>
          <w:vertAlign w:val="baseline"/>
        </w:rPr>
        <w:t> </w:t>
      </w:r>
      <w:r>
        <w:rPr>
          <w:sz w:val="20"/>
          <w:vertAlign w:val="baseline"/>
        </w:rPr>
        <w:t>организацией</w:t>
      </w:r>
      <w:r>
        <w:rPr>
          <w:spacing w:val="-3"/>
          <w:sz w:val="20"/>
          <w:vertAlign w:val="baseline"/>
        </w:rPr>
        <w:t> </w:t>
      </w:r>
      <w:r>
        <w:rPr>
          <w:sz w:val="20"/>
          <w:vertAlign w:val="baseline"/>
        </w:rPr>
        <w:t>лекарственных</w:t>
      </w:r>
      <w:r>
        <w:rPr>
          <w:spacing w:val="-1"/>
          <w:sz w:val="20"/>
          <w:vertAlign w:val="baseline"/>
        </w:rPr>
        <w:t> </w:t>
      </w:r>
      <w:r>
        <w:rPr>
          <w:sz w:val="20"/>
          <w:vertAlign w:val="baseline"/>
        </w:rPr>
        <w:t>препаратов</w:t>
      </w:r>
      <w:r>
        <w:rPr>
          <w:spacing w:val="-3"/>
          <w:sz w:val="20"/>
          <w:vertAlign w:val="baseline"/>
        </w:rPr>
        <w:t> </w:t>
      </w:r>
      <w:r>
        <w:rPr>
          <w:sz w:val="20"/>
          <w:vertAlign w:val="baseline"/>
        </w:rPr>
        <w:t>предоставленных</w:t>
      </w:r>
      <w:r>
        <w:rPr>
          <w:spacing w:val="-3"/>
          <w:sz w:val="20"/>
          <w:vertAlign w:val="baseline"/>
        </w:rPr>
        <w:t> </w:t>
      </w:r>
      <w:r>
        <w:rPr>
          <w:sz w:val="20"/>
          <w:vertAlign w:val="baseline"/>
        </w:rPr>
        <w:t>пациентом</w:t>
      </w:r>
      <w:r>
        <w:rPr>
          <w:spacing w:val="-1"/>
          <w:sz w:val="20"/>
          <w:vertAlign w:val="baseline"/>
        </w:rPr>
        <w:t> </w:t>
      </w:r>
      <w:r>
        <w:rPr>
          <w:sz w:val="20"/>
          <w:vertAlign w:val="baseline"/>
        </w:rPr>
        <w:t>или</w:t>
      </w:r>
      <w:r>
        <w:rPr>
          <w:spacing w:val="-1"/>
          <w:sz w:val="20"/>
          <w:vertAlign w:val="baseline"/>
        </w:rPr>
        <w:t> </w:t>
      </w:r>
      <w:r>
        <w:rPr>
          <w:sz w:val="20"/>
          <w:vertAlign w:val="baseline"/>
        </w:rPr>
        <w:t>иной</w:t>
      </w:r>
      <w:r>
        <w:rPr>
          <w:spacing w:val="-3"/>
          <w:sz w:val="20"/>
          <w:vertAlign w:val="baseline"/>
        </w:rPr>
        <w:t> </w:t>
      </w:r>
      <w:r>
        <w:rPr>
          <w:sz w:val="20"/>
          <w:vertAlign w:val="baseline"/>
        </w:rPr>
        <w:t>организацией,</w:t>
      </w:r>
      <w:r>
        <w:rPr>
          <w:spacing w:val="-2"/>
          <w:sz w:val="20"/>
          <w:vertAlign w:val="baseline"/>
        </w:rPr>
        <w:t> </w:t>
      </w:r>
      <w:r>
        <w:rPr>
          <w:sz w:val="20"/>
          <w:vertAlign w:val="baseline"/>
        </w:rPr>
        <w:t>действующей</w:t>
      </w:r>
      <w:r>
        <w:rPr>
          <w:spacing w:val="-3"/>
          <w:sz w:val="20"/>
          <w:vertAlign w:val="baseline"/>
        </w:rPr>
        <w:t> </w:t>
      </w:r>
      <w:r>
        <w:rPr>
          <w:sz w:val="20"/>
          <w:vertAlign w:val="baseline"/>
        </w:rPr>
        <w:t>в интересах</w:t>
      </w:r>
      <w:r>
        <w:rPr>
          <w:spacing w:val="-3"/>
          <w:sz w:val="20"/>
          <w:vertAlign w:val="baseline"/>
        </w:rPr>
        <w:t> </w:t>
      </w:r>
      <w:r>
        <w:rPr>
          <w:sz w:val="20"/>
          <w:vertAlign w:val="baseline"/>
        </w:rPr>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shape style="position:absolute;margin-left:375.529999pt;margin-top:7.199512pt;width:91pt;height:.1pt;mso-position-horizontal-relative:page;mso-position-vertical-relative:paragraph;z-index:-15721472;mso-wrap-distance-left:0;mso-wrap-distance-right:0" id="docshape20" coordorigin="7511,144" coordsize="1820,0" path="m7511,144l9330,144e" filled="false" stroked="true" strokeweight=".5616pt" strokecolor="#000000">
            <v:path arrowok="t"/>
            <v:stroke dashstyle="solid"/>
            <w10:wrap type="topAndBottom"/>
          </v:shape>
        </w:pict>
      </w:r>
    </w:p>
    <w:p>
      <w:pPr>
        <w:spacing w:after="0"/>
        <w:rPr>
          <w:sz w:val="10"/>
        </w:rPr>
        <w:sectPr>
          <w:pgSz w:w="16850" w:h="11910" w:orient="landscape"/>
          <w:pgMar w:header="753" w:footer="0" w:top="1060" w:bottom="280" w:left="340" w:right="340"/>
        </w:sectPr>
      </w:pPr>
    </w:p>
    <w:p>
      <w:pPr>
        <w:pStyle w:val="BodyText"/>
        <w:spacing w:line="322" w:lineRule="exact" w:before="132"/>
        <w:ind w:left="4221" w:right="258"/>
        <w:jc w:val="center"/>
      </w:pPr>
      <w:r>
        <w:rPr/>
        <w:t>ПРИЛОЖЕНИЕ</w:t>
      </w:r>
      <w:r>
        <w:rPr>
          <w:spacing w:val="-6"/>
        </w:rPr>
        <w:t> </w:t>
      </w:r>
      <w:r>
        <w:rPr/>
        <w:t>№</w:t>
      </w:r>
      <w:r>
        <w:rPr>
          <w:spacing w:val="-6"/>
        </w:rPr>
        <w:t> </w:t>
      </w:r>
      <w:r>
        <w:rPr>
          <w:spacing w:val="-10"/>
        </w:rPr>
        <w:t>5</w:t>
      </w:r>
    </w:p>
    <w:p>
      <w:pPr>
        <w:pStyle w:val="BodyText"/>
        <w:ind w:left="4221" w:right="259"/>
        <w:jc w:val="center"/>
      </w:pPr>
      <w:r>
        <w:rPr/>
        <w:t>к</w:t>
      </w:r>
      <w:r>
        <w:rPr>
          <w:spacing w:val="-12"/>
        </w:rPr>
        <w:t> </w:t>
      </w:r>
      <w:r>
        <w:rPr/>
        <w:t>Программе</w:t>
      </w:r>
      <w:r>
        <w:rPr>
          <w:spacing w:val="-12"/>
        </w:rPr>
        <w:t> </w:t>
      </w:r>
      <w:r>
        <w:rPr/>
        <w:t>государственных</w:t>
      </w:r>
      <w:r>
        <w:rPr>
          <w:spacing w:val="-11"/>
        </w:rPr>
        <w:t> </w:t>
      </w:r>
      <w:r>
        <w:rPr/>
        <w:t>гарантий бесплатного оказания гражданам медицинской помощи на 2022 год</w:t>
      </w:r>
    </w:p>
    <w:p>
      <w:pPr>
        <w:pStyle w:val="BodyText"/>
        <w:spacing w:before="1"/>
        <w:ind w:left="4221" w:right="263"/>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rPr>
          <w:sz w:val="30"/>
        </w:rPr>
      </w:pPr>
    </w:p>
    <w:p>
      <w:pPr>
        <w:pStyle w:val="BodyText"/>
        <w:rPr>
          <w:sz w:val="33"/>
        </w:rPr>
      </w:pPr>
    </w:p>
    <w:p>
      <w:pPr>
        <w:pStyle w:val="Heading1"/>
      </w:pPr>
      <w:r>
        <w:rPr/>
        <w:t>ПРИМЕРНЫЙ</w:t>
      </w:r>
      <w:r>
        <w:rPr>
          <w:spacing w:val="-6"/>
        </w:rPr>
        <w:t> </w:t>
      </w:r>
      <w:r>
        <w:rPr>
          <w:spacing w:val="-2"/>
        </w:rPr>
        <w:t>ПЕРЕЧЕНЬ</w:t>
      </w:r>
    </w:p>
    <w:p>
      <w:pPr>
        <w:spacing w:line="322" w:lineRule="exact" w:before="121"/>
        <w:ind w:left="1111" w:right="1115" w:firstLine="0"/>
        <w:jc w:val="center"/>
        <w:rPr>
          <w:b/>
          <w:sz w:val="28"/>
        </w:rPr>
      </w:pPr>
      <w:r>
        <w:rPr>
          <w:b/>
          <w:sz w:val="28"/>
        </w:rPr>
        <w:t>заболеваний,</w:t>
      </w:r>
      <w:r>
        <w:rPr>
          <w:b/>
          <w:spacing w:val="-9"/>
          <w:sz w:val="28"/>
        </w:rPr>
        <w:t> </w:t>
      </w:r>
      <w:r>
        <w:rPr>
          <w:b/>
          <w:sz w:val="28"/>
        </w:rPr>
        <w:t>состояний</w:t>
      </w:r>
      <w:r>
        <w:rPr>
          <w:b/>
          <w:spacing w:val="-7"/>
          <w:sz w:val="28"/>
        </w:rPr>
        <w:t> </w:t>
      </w:r>
      <w:r>
        <w:rPr>
          <w:b/>
          <w:sz w:val="28"/>
        </w:rPr>
        <w:t>(групп</w:t>
      </w:r>
      <w:r>
        <w:rPr>
          <w:b/>
          <w:spacing w:val="-7"/>
          <w:sz w:val="28"/>
        </w:rPr>
        <w:t> </w:t>
      </w:r>
      <w:r>
        <w:rPr>
          <w:b/>
          <w:sz w:val="28"/>
        </w:rPr>
        <w:t>заболеваний,</w:t>
      </w:r>
      <w:r>
        <w:rPr>
          <w:b/>
          <w:spacing w:val="-7"/>
          <w:sz w:val="28"/>
        </w:rPr>
        <w:t> </w:t>
      </w:r>
      <w:r>
        <w:rPr>
          <w:b/>
          <w:spacing w:val="-2"/>
          <w:sz w:val="28"/>
        </w:rPr>
        <w:t>состояний)</w:t>
      </w:r>
    </w:p>
    <w:p>
      <w:pPr>
        <w:spacing w:before="0"/>
        <w:ind w:left="260" w:right="263" w:firstLine="0"/>
        <w:jc w:val="center"/>
        <w:rPr>
          <w:b/>
          <w:sz w:val="28"/>
        </w:rPr>
      </w:pPr>
      <w:r>
        <w:rPr>
          <w:b/>
          <w:sz w:val="28"/>
        </w:rPr>
        <w:t>с</w:t>
      </w:r>
      <w:r>
        <w:rPr>
          <w:b/>
          <w:spacing w:val="-5"/>
          <w:sz w:val="28"/>
        </w:rPr>
        <w:t> </w:t>
      </w:r>
      <w:r>
        <w:rPr>
          <w:b/>
          <w:sz w:val="28"/>
        </w:rPr>
        <w:t>оптимальной</w:t>
      </w:r>
      <w:r>
        <w:rPr>
          <w:b/>
          <w:spacing w:val="-4"/>
          <w:sz w:val="28"/>
        </w:rPr>
        <w:t> </w:t>
      </w:r>
      <w:r>
        <w:rPr>
          <w:b/>
          <w:sz w:val="28"/>
        </w:rPr>
        <w:t>длительностью</w:t>
      </w:r>
      <w:r>
        <w:rPr>
          <w:b/>
          <w:spacing w:val="-6"/>
          <w:sz w:val="28"/>
        </w:rPr>
        <w:t> </w:t>
      </w:r>
      <w:r>
        <w:rPr>
          <w:b/>
          <w:sz w:val="28"/>
        </w:rPr>
        <w:t>лечения</w:t>
      </w:r>
      <w:r>
        <w:rPr>
          <w:b/>
          <w:spacing w:val="-5"/>
          <w:sz w:val="28"/>
        </w:rPr>
        <w:t> </w:t>
      </w:r>
      <w:r>
        <w:rPr>
          <w:b/>
          <w:sz w:val="28"/>
        </w:rPr>
        <w:t>до</w:t>
      </w:r>
      <w:r>
        <w:rPr>
          <w:b/>
          <w:spacing w:val="-2"/>
          <w:sz w:val="28"/>
        </w:rPr>
        <w:t> </w:t>
      </w:r>
      <w:r>
        <w:rPr>
          <w:b/>
          <w:sz w:val="28"/>
        </w:rPr>
        <w:t>3</w:t>
      </w:r>
      <w:r>
        <w:rPr>
          <w:b/>
          <w:spacing w:val="-2"/>
          <w:sz w:val="28"/>
        </w:rPr>
        <w:t> </w:t>
      </w:r>
      <w:r>
        <w:rPr>
          <w:b/>
          <w:sz w:val="28"/>
        </w:rPr>
        <w:t>дней</w:t>
      </w:r>
      <w:r>
        <w:rPr>
          <w:b/>
          <w:spacing w:val="-4"/>
          <w:sz w:val="28"/>
        </w:rPr>
        <w:t> </w:t>
      </w:r>
      <w:r>
        <w:rPr>
          <w:b/>
          <w:spacing w:val="-2"/>
          <w:sz w:val="28"/>
        </w:rPr>
        <w:t>включительно</w:t>
      </w:r>
    </w:p>
    <w:p>
      <w:pPr>
        <w:pStyle w:val="BodyText"/>
        <w:rPr>
          <w:b/>
          <w:sz w:val="20"/>
        </w:rPr>
      </w:pPr>
    </w:p>
    <w:p>
      <w:pPr>
        <w:pStyle w:val="BodyText"/>
        <w:rPr>
          <w:b/>
          <w:sz w:val="20"/>
        </w:rPr>
      </w:pPr>
    </w:p>
    <w:p>
      <w:pPr>
        <w:pStyle w:val="BodyText"/>
        <w:spacing w:before="3"/>
        <w:rPr>
          <w:b/>
          <w:sz w:val="16"/>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3"/>
        <w:gridCol w:w="7876"/>
      </w:tblGrid>
      <w:tr>
        <w:trPr>
          <w:trHeight w:val="642" w:hRule="atLeast"/>
        </w:trPr>
        <w:tc>
          <w:tcPr>
            <w:tcW w:w="1243" w:type="dxa"/>
            <w:tcBorders>
              <w:top w:val="single" w:sz="4" w:space="0" w:color="000000"/>
              <w:bottom w:val="single" w:sz="4" w:space="0" w:color="000000"/>
              <w:right w:val="single" w:sz="4" w:space="0" w:color="000000"/>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top w:val="single" w:sz="4" w:space="0" w:color="000000"/>
              <w:left w:val="single" w:sz="4" w:space="0" w:color="000000"/>
              <w:bottom w:val="single" w:sz="4" w:space="0" w:color="000000"/>
            </w:tcBorders>
          </w:tcPr>
          <w:p>
            <w:pPr>
              <w:pStyle w:val="TableParagraph"/>
              <w:spacing w:before="153"/>
              <w:ind w:left="3051" w:right="3054"/>
              <w:jc w:val="center"/>
              <w:rPr>
                <w:sz w:val="28"/>
              </w:rPr>
            </w:pPr>
            <w:r>
              <w:rPr>
                <w:spacing w:val="-2"/>
                <w:sz w:val="28"/>
              </w:rPr>
              <w:t>Наименование</w:t>
            </w:r>
          </w:p>
        </w:tc>
      </w:tr>
      <w:tr>
        <w:trPr>
          <w:trHeight w:val="701" w:hRule="atLeast"/>
        </w:trPr>
        <w:tc>
          <w:tcPr>
            <w:tcW w:w="1243" w:type="dxa"/>
            <w:tcBorders>
              <w:top w:val="single" w:sz="4" w:space="0" w:color="000000"/>
            </w:tcBorders>
          </w:tcPr>
          <w:p>
            <w:pPr>
              <w:pStyle w:val="TableParagraph"/>
              <w:rPr>
                <w:sz w:val="28"/>
              </w:rPr>
            </w:pPr>
          </w:p>
        </w:tc>
        <w:tc>
          <w:tcPr>
            <w:tcW w:w="7876" w:type="dxa"/>
            <w:tcBorders>
              <w:top w:val="single" w:sz="4" w:space="0" w:color="000000"/>
            </w:tcBorders>
          </w:tcPr>
          <w:p>
            <w:pPr>
              <w:pStyle w:val="TableParagraph"/>
              <w:spacing w:before="3"/>
              <w:rPr>
                <w:b/>
                <w:sz w:val="27"/>
              </w:rPr>
            </w:pPr>
          </w:p>
          <w:p>
            <w:pPr>
              <w:pStyle w:val="TableParagraph"/>
              <w:spacing w:before="1"/>
              <w:ind w:left="2365" w:right="2370"/>
              <w:jc w:val="center"/>
              <w:rPr>
                <w:sz w:val="28"/>
              </w:rPr>
            </w:pPr>
            <w:r>
              <w:rPr>
                <w:sz w:val="28"/>
              </w:rPr>
              <w:t>В</w:t>
            </w:r>
            <w:r>
              <w:rPr>
                <w:spacing w:val="-5"/>
                <w:sz w:val="28"/>
              </w:rPr>
              <w:t> </w:t>
            </w:r>
            <w:r>
              <w:rPr>
                <w:sz w:val="28"/>
              </w:rPr>
              <w:t>стационарных</w:t>
            </w:r>
            <w:r>
              <w:rPr>
                <w:spacing w:val="-4"/>
                <w:sz w:val="28"/>
              </w:rPr>
              <w:t> </w:t>
            </w:r>
            <w:r>
              <w:rPr>
                <w:spacing w:val="-2"/>
                <w:sz w:val="28"/>
              </w:rPr>
              <w:t>условиях</w:t>
            </w:r>
          </w:p>
        </w:tc>
      </w:tr>
      <w:tr>
        <w:trPr>
          <w:trHeight w:val="442" w:hRule="atLeast"/>
        </w:trPr>
        <w:tc>
          <w:tcPr>
            <w:tcW w:w="1243" w:type="dxa"/>
          </w:tcPr>
          <w:p>
            <w:pPr>
              <w:pStyle w:val="TableParagraph"/>
              <w:spacing w:before="54"/>
              <w:ind w:left="432" w:right="432"/>
              <w:jc w:val="center"/>
              <w:rPr>
                <w:sz w:val="28"/>
              </w:rPr>
            </w:pPr>
            <w:r>
              <w:rPr>
                <w:spacing w:val="-5"/>
                <w:sz w:val="28"/>
              </w:rPr>
              <w:t>2.</w:t>
            </w:r>
          </w:p>
        </w:tc>
        <w:tc>
          <w:tcPr>
            <w:tcW w:w="7876" w:type="dxa"/>
          </w:tcPr>
          <w:p>
            <w:pPr>
              <w:pStyle w:val="TableParagraph"/>
              <w:spacing w:before="54"/>
              <w:ind w:left="105"/>
              <w:rPr>
                <w:sz w:val="28"/>
              </w:rPr>
            </w:pPr>
            <w:r>
              <w:rPr>
                <w:sz w:val="28"/>
              </w:rPr>
              <w:t>Осложнения,</w:t>
            </w:r>
            <w:r>
              <w:rPr>
                <w:spacing w:val="-4"/>
                <w:sz w:val="28"/>
              </w:rPr>
              <w:t> </w:t>
            </w:r>
            <w:r>
              <w:rPr>
                <w:sz w:val="28"/>
              </w:rPr>
              <w:t>связанные</w:t>
            </w:r>
            <w:r>
              <w:rPr>
                <w:spacing w:val="-4"/>
                <w:sz w:val="28"/>
              </w:rPr>
              <w:t> </w:t>
            </w:r>
            <w:r>
              <w:rPr>
                <w:sz w:val="28"/>
              </w:rPr>
              <w:t>с</w:t>
            </w:r>
            <w:r>
              <w:rPr>
                <w:spacing w:val="-7"/>
                <w:sz w:val="28"/>
              </w:rPr>
              <w:t> </w:t>
            </w:r>
            <w:r>
              <w:rPr>
                <w:spacing w:val="-2"/>
                <w:sz w:val="28"/>
              </w:rPr>
              <w:t>беременностью</w:t>
            </w:r>
          </w:p>
        </w:tc>
      </w:tr>
      <w:tr>
        <w:trPr>
          <w:trHeight w:val="442" w:hRule="atLeast"/>
        </w:trPr>
        <w:tc>
          <w:tcPr>
            <w:tcW w:w="1243" w:type="dxa"/>
          </w:tcPr>
          <w:p>
            <w:pPr>
              <w:pStyle w:val="TableParagraph"/>
              <w:spacing w:before="55"/>
              <w:ind w:left="432" w:right="432"/>
              <w:jc w:val="center"/>
              <w:rPr>
                <w:sz w:val="28"/>
              </w:rPr>
            </w:pPr>
            <w:r>
              <w:rPr>
                <w:spacing w:val="-5"/>
                <w:sz w:val="28"/>
              </w:rPr>
              <w:t>3.</w:t>
            </w:r>
          </w:p>
        </w:tc>
        <w:tc>
          <w:tcPr>
            <w:tcW w:w="7876" w:type="dxa"/>
          </w:tcPr>
          <w:p>
            <w:pPr>
              <w:pStyle w:val="TableParagraph"/>
              <w:spacing w:before="55"/>
              <w:ind w:left="105"/>
              <w:rPr>
                <w:sz w:val="28"/>
              </w:rPr>
            </w:pPr>
            <w:r>
              <w:rPr>
                <w:sz w:val="28"/>
              </w:rPr>
              <w:t>Беременность,</w:t>
            </w:r>
            <w:r>
              <w:rPr>
                <w:spacing w:val="-10"/>
                <w:sz w:val="28"/>
              </w:rPr>
              <w:t> </w:t>
            </w:r>
            <w:r>
              <w:rPr>
                <w:sz w:val="28"/>
              </w:rPr>
              <w:t>закончившаяся</w:t>
            </w:r>
            <w:r>
              <w:rPr>
                <w:spacing w:val="-8"/>
                <w:sz w:val="28"/>
              </w:rPr>
              <w:t> </w:t>
            </w:r>
            <w:r>
              <w:rPr>
                <w:sz w:val="28"/>
              </w:rPr>
              <w:t>абортивным</w:t>
            </w:r>
            <w:r>
              <w:rPr>
                <w:spacing w:val="-11"/>
                <w:sz w:val="28"/>
              </w:rPr>
              <w:t> </w:t>
            </w:r>
            <w:r>
              <w:rPr>
                <w:spacing w:val="-2"/>
                <w:sz w:val="28"/>
              </w:rPr>
              <w:t>исходом</w:t>
            </w:r>
          </w:p>
        </w:tc>
      </w:tr>
      <w:tr>
        <w:trPr>
          <w:trHeight w:val="441" w:hRule="atLeast"/>
        </w:trPr>
        <w:tc>
          <w:tcPr>
            <w:tcW w:w="1243" w:type="dxa"/>
          </w:tcPr>
          <w:p>
            <w:pPr>
              <w:pStyle w:val="TableParagraph"/>
              <w:spacing w:before="54"/>
              <w:ind w:left="432" w:right="432"/>
              <w:jc w:val="center"/>
              <w:rPr>
                <w:sz w:val="28"/>
              </w:rPr>
            </w:pPr>
            <w:r>
              <w:rPr>
                <w:spacing w:val="-5"/>
                <w:sz w:val="28"/>
              </w:rPr>
              <w:t>4.</w:t>
            </w:r>
          </w:p>
        </w:tc>
        <w:tc>
          <w:tcPr>
            <w:tcW w:w="7876" w:type="dxa"/>
          </w:tcPr>
          <w:p>
            <w:pPr>
              <w:pStyle w:val="TableParagraph"/>
              <w:spacing w:before="54"/>
              <w:ind w:left="105"/>
              <w:rPr>
                <w:sz w:val="28"/>
              </w:rPr>
            </w:pPr>
            <w:r>
              <w:rPr>
                <w:spacing w:val="-2"/>
                <w:sz w:val="28"/>
              </w:rPr>
              <w:t>Родоразрешение</w:t>
            </w:r>
          </w:p>
        </w:tc>
      </w:tr>
      <w:tr>
        <w:trPr>
          <w:trHeight w:val="441" w:hRule="atLeast"/>
        </w:trPr>
        <w:tc>
          <w:tcPr>
            <w:tcW w:w="1243" w:type="dxa"/>
          </w:tcPr>
          <w:p>
            <w:pPr>
              <w:pStyle w:val="TableParagraph"/>
              <w:spacing w:before="54"/>
              <w:ind w:left="432" w:right="432"/>
              <w:jc w:val="center"/>
              <w:rPr>
                <w:sz w:val="28"/>
              </w:rPr>
            </w:pPr>
            <w:r>
              <w:rPr>
                <w:spacing w:val="-5"/>
                <w:sz w:val="28"/>
              </w:rPr>
              <w:t>5.</w:t>
            </w:r>
          </w:p>
        </w:tc>
        <w:tc>
          <w:tcPr>
            <w:tcW w:w="7876" w:type="dxa"/>
          </w:tcPr>
          <w:p>
            <w:pPr>
              <w:pStyle w:val="TableParagraph"/>
              <w:spacing w:before="54"/>
              <w:ind w:left="105"/>
              <w:rPr>
                <w:sz w:val="28"/>
              </w:rPr>
            </w:pPr>
            <w:r>
              <w:rPr>
                <w:sz w:val="28"/>
              </w:rPr>
              <w:t>Кесарево</w:t>
            </w:r>
            <w:r>
              <w:rPr>
                <w:spacing w:val="-1"/>
                <w:sz w:val="28"/>
              </w:rPr>
              <w:t> </w:t>
            </w:r>
            <w:r>
              <w:rPr>
                <w:spacing w:val="-2"/>
                <w:sz w:val="28"/>
              </w:rPr>
              <w:t>сечение</w:t>
            </w:r>
          </w:p>
        </w:tc>
      </w:tr>
      <w:tr>
        <w:trPr>
          <w:trHeight w:val="441" w:hRule="atLeast"/>
        </w:trPr>
        <w:tc>
          <w:tcPr>
            <w:tcW w:w="1243" w:type="dxa"/>
          </w:tcPr>
          <w:p>
            <w:pPr>
              <w:pStyle w:val="TableParagraph"/>
              <w:spacing w:before="54"/>
              <w:ind w:left="435" w:right="432"/>
              <w:jc w:val="center"/>
              <w:rPr>
                <w:sz w:val="28"/>
              </w:rPr>
            </w:pPr>
            <w:r>
              <w:rPr>
                <w:spacing w:val="-5"/>
                <w:sz w:val="28"/>
              </w:rPr>
              <w:t>11.</w:t>
            </w:r>
          </w:p>
        </w:tc>
        <w:tc>
          <w:tcPr>
            <w:tcW w:w="7876" w:type="dxa"/>
          </w:tcPr>
          <w:p>
            <w:pPr>
              <w:pStyle w:val="TableParagraph"/>
              <w:spacing w:before="54"/>
              <w:ind w:left="105"/>
              <w:rPr>
                <w:sz w:val="28"/>
              </w:rPr>
            </w:pPr>
            <w:r>
              <w:rPr>
                <w:sz w:val="28"/>
              </w:rPr>
              <w:t>Операции</w:t>
            </w:r>
            <w:r>
              <w:rPr>
                <w:spacing w:val="-7"/>
                <w:sz w:val="28"/>
              </w:rPr>
              <w:t> </w:t>
            </w:r>
            <w:r>
              <w:rPr>
                <w:sz w:val="28"/>
              </w:rPr>
              <w:t>на</w:t>
            </w:r>
            <w:r>
              <w:rPr>
                <w:spacing w:val="-6"/>
                <w:sz w:val="28"/>
              </w:rPr>
              <w:t> </w:t>
            </w:r>
            <w:r>
              <w:rPr>
                <w:sz w:val="28"/>
              </w:rPr>
              <w:t>женских</w:t>
            </w:r>
            <w:r>
              <w:rPr>
                <w:spacing w:val="-9"/>
                <w:sz w:val="28"/>
              </w:rPr>
              <w:t> </w:t>
            </w:r>
            <w:r>
              <w:rPr>
                <w:sz w:val="28"/>
              </w:rPr>
              <w:t>половых</w:t>
            </w:r>
            <w:r>
              <w:rPr>
                <w:spacing w:val="-6"/>
                <w:sz w:val="28"/>
              </w:rPr>
              <w:t> </w:t>
            </w:r>
            <w:r>
              <w:rPr>
                <w:sz w:val="28"/>
              </w:rPr>
              <w:t>органах</w:t>
            </w:r>
            <w:r>
              <w:rPr>
                <w:spacing w:val="-7"/>
                <w:sz w:val="28"/>
              </w:rPr>
              <w:t> </w:t>
            </w:r>
            <w:r>
              <w:rPr>
                <w:sz w:val="28"/>
              </w:rPr>
              <w:t>(уровень</w:t>
            </w:r>
            <w:r>
              <w:rPr>
                <w:spacing w:val="-7"/>
                <w:sz w:val="28"/>
              </w:rPr>
              <w:t> </w:t>
            </w:r>
            <w:r>
              <w:rPr>
                <w:spacing w:val="-5"/>
                <w:sz w:val="28"/>
              </w:rPr>
              <w:t>1)</w:t>
            </w:r>
          </w:p>
        </w:tc>
      </w:tr>
      <w:tr>
        <w:trPr>
          <w:trHeight w:val="441" w:hRule="atLeast"/>
        </w:trPr>
        <w:tc>
          <w:tcPr>
            <w:tcW w:w="1243" w:type="dxa"/>
          </w:tcPr>
          <w:p>
            <w:pPr>
              <w:pStyle w:val="TableParagraph"/>
              <w:spacing w:before="54"/>
              <w:ind w:left="435" w:right="432"/>
              <w:jc w:val="center"/>
              <w:rPr>
                <w:sz w:val="28"/>
              </w:rPr>
            </w:pPr>
            <w:r>
              <w:rPr>
                <w:spacing w:val="-5"/>
                <w:sz w:val="28"/>
              </w:rPr>
              <w:t>12.</w:t>
            </w:r>
          </w:p>
        </w:tc>
        <w:tc>
          <w:tcPr>
            <w:tcW w:w="7876" w:type="dxa"/>
          </w:tcPr>
          <w:p>
            <w:pPr>
              <w:pStyle w:val="TableParagraph"/>
              <w:spacing w:before="54"/>
              <w:ind w:left="105"/>
              <w:rPr>
                <w:sz w:val="28"/>
              </w:rPr>
            </w:pPr>
            <w:r>
              <w:rPr>
                <w:sz w:val="28"/>
              </w:rPr>
              <w:t>Операции</w:t>
            </w:r>
            <w:r>
              <w:rPr>
                <w:spacing w:val="-7"/>
                <w:sz w:val="28"/>
              </w:rPr>
              <w:t> </w:t>
            </w:r>
            <w:r>
              <w:rPr>
                <w:sz w:val="28"/>
              </w:rPr>
              <w:t>на</w:t>
            </w:r>
            <w:r>
              <w:rPr>
                <w:spacing w:val="-6"/>
                <w:sz w:val="28"/>
              </w:rPr>
              <w:t> </w:t>
            </w:r>
            <w:r>
              <w:rPr>
                <w:sz w:val="28"/>
              </w:rPr>
              <w:t>женских</w:t>
            </w:r>
            <w:r>
              <w:rPr>
                <w:spacing w:val="-9"/>
                <w:sz w:val="28"/>
              </w:rPr>
              <w:t> </w:t>
            </w:r>
            <w:r>
              <w:rPr>
                <w:sz w:val="28"/>
              </w:rPr>
              <w:t>половых</w:t>
            </w:r>
            <w:r>
              <w:rPr>
                <w:spacing w:val="-6"/>
                <w:sz w:val="28"/>
              </w:rPr>
              <w:t> </w:t>
            </w:r>
            <w:r>
              <w:rPr>
                <w:sz w:val="28"/>
              </w:rPr>
              <w:t>органах</w:t>
            </w:r>
            <w:r>
              <w:rPr>
                <w:spacing w:val="-7"/>
                <w:sz w:val="28"/>
              </w:rPr>
              <w:t> </w:t>
            </w:r>
            <w:r>
              <w:rPr>
                <w:sz w:val="28"/>
              </w:rPr>
              <w:t>(уровень</w:t>
            </w:r>
            <w:r>
              <w:rPr>
                <w:spacing w:val="-7"/>
                <w:sz w:val="28"/>
              </w:rPr>
              <w:t> </w:t>
            </w:r>
            <w:r>
              <w:rPr>
                <w:spacing w:val="-5"/>
                <w:sz w:val="28"/>
              </w:rPr>
              <w:t>2)</w:t>
            </w:r>
          </w:p>
        </w:tc>
      </w:tr>
      <w:tr>
        <w:trPr>
          <w:trHeight w:val="442" w:hRule="atLeast"/>
        </w:trPr>
        <w:tc>
          <w:tcPr>
            <w:tcW w:w="1243" w:type="dxa"/>
          </w:tcPr>
          <w:p>
            <w:pPr>
              <w:pStyle w:val="TableParagraph"/>
              <w:spacing w:before="54"/>
              <w:ind w:left="435" w:right="432"/>
              <w:jc w:val="center"/>
              <w:rPr>
                <w:sz w:val="28"/>
              </w:rPr>
            </w:pPr>
            <w:r>
              <w:rPr>
                <w:spacing w:val="-5"/>
                <w:sz w:val="28"/>
              </w:rPr>
              <w:t>16.</w:t>
            </w:r>
          </w:p>
        </w:tc>
        <w:tc>
          <w:tcPr>
            <w:tcW w:w="7876" w:type="dxa"/>
          </w:tcPr>
          <w:p>
            <w:pPr>
              <w:pStyle w:val="TableParagraph"/>
              <w:spacing w:before="54"/>
              <w:ind w:left="105"/>
              <w:rPr>
                <w:sz w:val="28"/>
              </w:rPr>
            </w:pPr>
            <w:r>
              <w:rPr>
                <w:sz w:val="28"/>
              </w:rPr>
              <w:t>Ангионевротический</w:t>
            </w:r>
            <w:r>
              <w:rPr>
                <w:spacing w:val="-12"/>
                <w:sz w:val="28"/>
              </w:rPr>
              <w:t> </w:t>
            </w:r>
            <w:r>
              <w:rPr>
                <w:sz w:val="28"/>
              </w:rPr>
              <w:t>отек,</w:t>
            </w:r>
            <w:r>
              <w:rPr>
                <w:spacing w:val="-9"/>
                <w:sz w:val="28"/>
              </w:rPr>
              <w:t> </w:t>
            </w:r>
            <w:r>
              <w:rPr>
                <w:sz w:val="28"/>
              </w:rPr>
              <w:t>анафилактический</w:t>
            </w:r>
            <w:r>
              <w:rPr>
                <w:spacing w:val="-9"/>
                <w:sz w:val="28"/>
              </w:rPr>
              <w:t> </w:t>
            </w:r>
            <w:r>
              <w:rPr>
                <w:spacing w:val="-5"/>
                <w:sz w:val="28"/>
              </w:rPr>
              <w:t>шок</w:t>
            </w:r>
          </w:p>
        </w:tc>
      </w:tr>
      <w:tr>
        <w:trPr>
          <w:trHeight w:val="765" w:hRule="atLeast"/>
        </w:trPr>
        <w:tc>
          <w:tcPr>
            <w:tcW w:w="1243" w:type="dxa"/>
          </w:tcPr>
          <w:p>
            <w:pPr>
              <w:pStyle w:val="TableParagraph"/>
              <w:spacing w:before="55"/>
              <w:ind w:left="435" w:right="432"/>
              <w:jc w:val="center"/>
              <w:rPr>
                <w:sz w:val="28"/>
              </w:rPr>
            </w:pPr>
            <w:r>
              <w:rPr>
                <w:spacing w:val="-5"/>
                <w:sz w:val="28"/>
              </w:rPr>
              <w:t>28.</w:t>
            </w:r>
          </w:p>
        </w:tc>
        <w:tc>
          <w:tcPr>
            <w:tcW w:w="7876" w:type="dxa"/>
          </w:tcPr>
          <w:p>
            <w:pPr>
              <w:pStyle w:val="TableParagraph"/>
              <w:spacing w:before="55"/>
              <w:ind w:left="105"/>
              <w:rPr>
                <w:sz w:val="28"/>
              </w:rPr>
            </w:pPr>
            <w:r>
              <w:rPr>
                <w:sz w:val="28"/>
              </w:rPr>
              <w:t>Лекарственная</w:t>
            </w:r>
            <w:r>
              <w:rPr>
                <w:spacing w:val="-9"/>
                <w:sz w:val="28"/>
              </w:rPr>
              <w:t> </w:t>
            </w:r>
            <w:r>
              <w:rPr>
                <w:sz w:val="28"/>
              </w:rPr>
              <w:t>терапия</w:t>
            </w:r>
            <w:r>
              <w:rPr>
                <w:spacing w:val="-11"/>
                <w:sz w:val="28"/>
              </w:rPr>
              <w:t> </w:t>
            </w:r>
            <w:r>
              <w:rPr>
                <w:sz w:val="28"/>
              </w:rPr>
              <w:t>при</w:t>
            </w:r>
            <w:r>
              <w:rPr>
                <w:spacing w:val="-11"/>
                <w:sz w:val="28"/>
              </w:rPr>
              <w:t> </w:t>
            </w:r>
            <w:r>
              <w:rPr>
                <w:sz w:val="28"/>
              </w:rPr>
              <w:t>доброкачественных</w:t>
            </w:r>
            <w:r>
              <w:rPr>
                <w:spacing w:val="-8"/>
                <w:sz w:val="28"/>
              </w:rPr>
              <w:t> </w:t>
            </w:r>
            <w:r>
              <w:rPr>
                <w:sz w:val="28"/>
              </w:rPr>
              <w:t>заболеваниях крови и пузырном заносе</w:t>
            </w:r>
            <w:r>
              <w:rPr>
                <w:sz w:val="28"/>
                <w:vertAlign w:val="superscript"/>
              </w:rPr>
              <w:t>*</w:t>
            </w:r>
          </w:p>
        </w:tc>
      </w:tr>
      <w:tr>
        <w:trPr>
          <w:trHeight w:val="1064" w:hRule="atLeast"/>
        </w:trPr>
        <w:tc>
          <w:tcPr>
            <w:tcW w:w="1243" w:type="dxa"/>
          </w:tcPr>
          <w:p>
            <w:pPr>
              <w:pStyle w:val="TableParagraph"/>
              <w:spacing w:before="54"/>
              <w:ind w:left="435" w:right="432"/>
              <w:jc w:val="center"/>
              <w:rPr>
                <w:sz w:val="28"/>
              </w:rPr>
            </w:pPr>
            <w:r>
              <w:rPr>
                <w:spacing w:val="-5"/>
                <w:sz w:val="28"/>
              </w:rPr>
              <w:t>34.</w:t>
            </w:r>
          </w:p>
        </w:tc>
        <w:tc>
          <w:tcPr>
            <w:tcW w:w="7876" w:type="dxa"/>
          </w:tcPr>
          <w:p>
            <w:pPr>
              <w:pStyle w:val="TableParagraph"/>
              <w:spacing w:before="54"/>
              <w:ind w:left="105" w:right="200"/>
              <w:rPr>
                <w:sz w:val="28"/>
              </w:rPr>
            </w:pPr>
            <w:r>
              <w:rPr>
                <w:sz w:val="28"/>
              </w:rPr>
              <w:t>Лекарственная терапия при злокачественных новообразованиях</w:t>
            </w:r>
            <w:r>
              <w:rPr>
                <w:spacing w:val="-8"/>
                <w:sz w:val="28"/>
              </w:rPr>
              <w:t> </w:t>
            </w:r>
            <w:r>
              <w:rPr>
                <w:sz w:val="28"/>
              </w:rPr>
              <w:t>других</w:t>
            </w:r>
            <w:r>
              <w:rPr>
                <w:spacing w:val="-8"/>
                <w:sz w:val="28"/>
              </w:rPr>
              <w:t> </w:t>
            </w:r>
            <w:r>
              <w:rPr>
                <w:sz w:val="28"/>
              </w:rPr>
              <w:t>локализаций</w:t>
            </w:r>
            <w:r>
              <w:rPr>
                <w:spacing w:val="-9"/>
                <w:sz w:val="28"/>
              </w:rPr>
              <w:t> </w:t>
            </w:r>
            <w:r>
              <w:rPr>
                <w:sz w:val="28"/>
              </w:rPr>
              <w:t>(кроме</w:t>
            </w:r>
            <w:r>
              <w:rPr>
                <w:spacing w:val="-9"/>
                <w:sz w:val="28"/>
              </w:rPr>
              <w:t> </w:t>
            </w:r>
            <w:r>
              <w:rPr>
                <w:sz w:val="28"/>
              </w:rPr>
              <w:t>лимфоидной</w:t>
            </w:r>
            <w:r>
              <w:rPr>
                <w:spacing w:val="-11"/>
                <w:sz w:val="28"/>
              </w:rPr>
              <w:t> </w:t>
            </w:r>
            <w:r>
              <w:rPr>
                <w:sz w:val="28"/>
              </w:rPr>
              <w:t>и кроветворной тканей), дети</w:t>
            </w:r>
            <w:r>
              <w:rPr>
                <w:sz w:val="28"/>
                <w:vertAlign w:val="superscript"/>
              </w:rPr>
              <w:t>*</w:t>
            </w:r>
          </w:p>
        </w:tc>
      </w:tr>
      <w:tr>
        <w:trPr>
          <w:trHeight w:val="462" w:hRule="atLeast"/>
        </w:trPr>
        <w:tc>
          <w:tcPr>
            <w:tcW w:w="1243" w:type="dxa"/>
          </w:tcPr>
          <w:p>
            <w:pPr>
              <w:pStyle w:val="TableParagraph"/>
              <w:spacing w:before="74"/>
              <w:ind w:left="435" w:right="432"/>
              <w:jc w:val="center"/>
              <w:rPr>
                <w:sz w:val="28"/>
              </w:rPr>
            </w:pPr>
            <w:r>
              <w:rPr>
                <w:spacing w:val="-5"/>
                <w:sz w:val="28"/>
              </w:rPr>
              <w:t>35.</w:t>
            </w:r>
          </w:p>
        </w:tc>
        <w:tc>
          <w:tcPr>
            <w:tcW w:w="7876" w:type="dxa"/>
          </w:tcPr>
          <w:p>
            <w:pPr>
              <w:pStyle w:val="TableParagraph"/>
              <w:spacing w:before="74"/>
              <w:ind w:left="105"/>
              <w:rPr>
                <w:sz w:val="28"/>
              </w:rPr>
            </w:pPr>
            <w:r>
              <w:rPr>
                <w:sz w:val="28"/>
              </w:rPr>
              <w:t>Лекарственная</w:t>
            </w:r>
            <w:r>
              <w:rPr>
                <w:spacing w:val="-8"/>
                <w:sz w:val="28"/>
              </w:rPr>
              <w:t> </w:t>
            </w:r>
            <w:r>
              <w:rPr>
                <w:sz w:val="28"/>
              </w:rPr>
              <w:t>терапия</w:t>
            </w:r>
            <w:r>
              <w:rPr>
                <w:spacing w:val="-8"/>
                <w:sz w:val="28"/>
              </w:rPr>
              <w:t> </w:t>
            </w:r>
            <w:r>
              <w:rPr>
                <w:sz w:val="28"/>
              </w:rPr>
              <w:t>при</w:t>
            </w:r>
            <w:r>
              <w:rPr>
                <w:spacing w:val="-8"/>
                <w:sz w:val="28"/>
              </w:rPr>
              <w:t> </w:t>
            </w:r>
            <w:r>
              <w:rPr>
                <w:sz w:val="28"/>
              </w:rPr>
              <w:t>остром</w:t>
            </w:r>
            <w:r>
              <w:rPr>
                <w:spacing w:val="-5"/>
                <w:sz w:val="28"/>
              </w:rPr>
              <w:t> </w:t>
            </w:r>
            <w:r>
              <w:rPr>
                <w:sz w:val="28"/>
              </w:rPr>
              <w:t>лейкозе,</w:t>
            </w:r>
            <w:r>
              <w:rPr>
                <w:spacing w:val="-6"/>
                <w:sz w:val="28"/>
              </w:rPr>
              <w:t> </w:t>
            </w:r>
            <w:r>
              <w:rPr>
                <w:spacing w:val="-2"/>
                <w:sz w:val="28"/>
              </w:rPr>
              <w:t>дети</w:t>
            </w:r>
            <w:r>
              <w:rPr>
                <w:spacing w:val="-2"/>
                <w:sz w:val="28"/>
                <w:vertAlign w:val="superscript"/>
              </w:rPr>
              <w:t>*</w:t>
            </w:r>
          </w:p>
        </w:tc>
      </w:tr>
      <w:tr>
        <w:trPr>
          <w:trHeight w:val="764" w:hRule="atLeast"/>
        </w:trPr>
        <w:tc>
          <w:tcPr>
            <w:tcW w:w="1243" w:type="dxa"/>
          </w:tcPr>
          <w:p>
            <w:pPr>
              <w:pStyle w:val="TableParagraph"/>
              <w:spacing w:before="55"/>
              <w:ind w:left="435" w:right="432"/>
              <w:jc w:val="center"/>
              <w:rPr>
                <w:sz w:val="28"/>
              </w:rPr>
            </w:pPr>
            <w:r>
              <w:rPr>
                <w:spacing w:val="-5"/>
                <w:sz w:val="28"/>
              </w:rPr>
              <w:t>36.</w:t>
            </w:r>
          </w:p>
        </w:tc>
        <w:tc>
          <w:tcPr>
            <w:tcW w:w="7876" w:type="dxa"/>
          </w:tcPr>
          <w:p>
            <w:pPr>
              <w:pStyle w:val="TableParagraph"/>
              <w:spacing w:before="55"/>
              <w:ind w:left="105"/>
              <w:rPr>
                <w:sz w:val="28"/>
              </w:rPr>
            </w:pPr>
            <w:r>
              <w:rPr>
                <w:sz w:val="28"/>
              </w:rPr>
              <w:t>Лекарственная терапия при других злокачественных новообразованиях</w:t>
            </w:r>
            <w:r>
              <w:rPr>
                <w:spacing w:val="-6"/>
                <w:sz w:val="28"/>
              </w:rPr>
              <w:t> </w:t>
            </w:r>
            <w:r>
              <w:rPr>
                <w:sz w:val="28"/>
              </w:rPr>
              <w:t>лимфоидной</w:t>
            </w:r>
            <w:r>
              <w:rPr>
                <w:spacing w:val="-6"/>
                <w:sz w:val="28"/>
              </w:rPr>
              <w:t> </w:t>
            </w:r>
            <w:r>
              <w:rPr>
                <w:sz w:val="28"/>
              </w:rPr>
              <w:t>и</w:t>
            </w:r>
            <w:r>
              <w:rPr>
                <w:spacing w:val="-6"/>
                <w:sz w:val="28"/>
              </w:rPr>
              <w:t> </w:t>
            </w:r>
            <w:r>
              <w:rPr>
                <w:sz w:val="28"/>
              </w:rPr>
              <w:t>кроветворной</w:t>
            </w:r>
            <w:r>
              <w:rPr>
                <w:spacing w:val="-6"/>
                <w:sz w:val="28"/>
              </w:rPr>
              <w:t> </w:t>
            </w:r>
            <w:r>
              <w:rPr>
                <w:sz w:val="28"/>
              </w:rPr>
              <w:t>тканей,</w:t>
            </w:r>
            <w:r>
              <w:rPr>
                <w:spacing w:val="-7"/>
                <w:sz w:val="28"/>
              </w:rPr>
              <w:t> </w:t>
            </w:r>
            <w:r>
              <w:rPr>
                <w:sz w:val="28"/>
              </w:rPr>
              <w:t>дети</w:t>
            </w:r>
            <w:r>
              <w:rPr>
                <w:sz w:val="28"/>
                <w:vertAlign w:val="superscript"/>
              </w:rPr>
              <w:t>*</w:t>
            </w:r>
          </w:p>
        </w:tc>
      </w:tr>
      <w:tr>
        <w:trPr>
          <w:trHeight w:val="763" w:hRule="atLeast"/>
        </w:trPr>
        <w:tc>
          <w:tcPr>
            <w:tcW w:w="1243" w:type="dxa"/>
          </w:tcPr>
          <w:p>
            <w:pPr>
              <w:pStyle w:val="TableParagraph"/>
              <w:spacing w:before="54"/>
              <w:ind w:left="435" w:right="432"/>
              <w:jc w:val="center"/>
              <w:rPr>
                <w:sz w:val="28"/>
              </w:rPr>
            </w:pPr>
            <w:r>
              <w:rPr>
                <w:spacing w:val="-5"/>
                <w:sz w:val="28"/>
              </w:rPr>
              <w:t>67.</w:t>
            </w:r>
          </w:p>
        </w:tc>
        <w:tc>
          <w:tcPr>
            <w:tcW w:w="7876" w:type="dxa"/>
          </w:tcPr>
          <w:p>
            <w:pPr>
              <w:pStyle w:val="TableParagraph"/>
              <w:spacing w:before="54"/>
              <w:ind w:left="105"/>
              <w:rPr>
                <w:sz w:val="28"/>
              </w:rPr>
            </w:pPr>
            <w:r>
              <w:rPr>
                <w:sz w:val="28"/>
              </w:rPr>
              <w:t>Респираторные</w:t>
            </w:r>
            <w:r>
              <w:rPr>
                <w:spacing w:val="-10"/>
                <w:sz w:val="28"/>
              </w:rPr>
              <w:t> </w:t>
            </w:r>
            <w:r>
              <w:rPr>
                <w:sz w:val="28"/>
              </w:rPr>
              <w:t>инфекции</w:t>
            </w:r>
            <w:r>
              <w:rPr>
                <w:spacing w:val="-8"/>
                <w:sz w:val="28"/>
              </w:rPr>
              <w:t> </w:t>
            </w:r>
            <w:r>
              <w:rPr>
                <w:sz w:val="28"/>
              </w:rPr>
              <w:t>верхних</w:t>
            </w:r>
            <w:r>
              <w:rPr>
                <w:spacing w:val="-10"/>
                <w:sz w:val="28"/>
              </w:rPr>
              <w:t> </w:t>
            </w:r>
            <w:r>
              <w:rPr>
                <w:sz w:val="28"/>
              </w:rPr>
              <w:t>дыхательных</w:t>
            </w:r>
            <w:r>
              <w:rPr>
                <w:spacing w:val="-7"/>
                <w:sz w:val="28"/>
              </w:rPr>
              <w:t> </w:t>
            </w:r>
            <w:r>
              <w:rPr>
                <w:sz w:val="28"/>
              </w:rPr>
              <w:t>путей</w:t>
            </w:r>
            <w:r>
              <w:rPr>
                <w:spacing w:val="-8"/>
                <w:sz w:val="28"/>
              </w:rPr>
              <w:t> </w:t>
            </w:r>
            <w:r>
              <w:rPr>
                <w:sz w:val="28"/>
              </w:rPr>
              <w:t>с осложнениями, взрослые</w:t>
            </w:r>
          </w:p>
        </w:tc>
      </w:tr>
      <w:tr>
        <w:trPr>
          <w:trHeight w:val="441" w:hRule="atLeast"/>
        </w:trPr>
        <w:tc>
          <w:tcPr>
            <w:tcW w:w="1243" w:type="dxa"/>
          </w:tcPr>
          <w:p>
            <w:pPr>
              <w:pStyle w:val="TableParagraph"/>
              <w:spacing w:before="54"/>
              <w:ind w:left="435" w:right="432"/>
              <w:jc w:val="center"/>
              <w:rPr>
                <w:sz w:val="28"/>
              </w:rPr>
            </w:pPr>
            <w:r>
              <w:rPr>
                <w:spacing w:val="-5"/>
                <w:sz w:val="28"/>
              </w:rPr>
              <w:t>68.</w:t>
            </w:r>
          </w:p>
        </w:tc>
        <w:tc>
          <w:tcPr>
            <w:tcW w:w="7876" w:type="dxa"/>
          </w:tcPr>
          <w:p>
            <w:pPr>
              <w:pStyle w:val="TableParagraph"/>
              <w:spacing w:before="54"/>
              <w:ind w:left="105"/>
              <w:rPr>
                <w:sz w:val="28"/>
              </w:rPr>
            </w:pPr>
            <w:r>
              <w:rPr>
                <w:sz w:val="28"/>
              </w:rPr>
              <w:t>Респираторные</w:t>
            </w:r>
            <w:r>
              <w:rPr>
                <w:spacing w:val="-11"/>
                <w:sz w:val="28"/>
              </w:rPr>
              <w:t> </w:t>
            </w:r>
            <w:r>
              <w:rPr>
                <w:sz w:val="28"/>
              </w:rPr>
              <w:t>инфекции</w:t>
            </w:r>
            <w:r>
              <w:rPr>
                <w:spacing w:val="-8"/>
                <w:sz w:val="28"/>
              </w:rPr>
              <w:t> </w:t>
            </w:r>
            <w:r>
              <w:rPr>
                <w:sz w:val="28"/>
              </w:rPr>
              <w:t>верхних</w:t>
            </w:r>
            <w:r>
              <w:rPr>
                <w:spacing w:val="-11"/>
                <w:sz w:val="28"/>
              </w:rPr>
              <w:t> </w:t>
            </w:r>
            <w:r>
              <w:rPr>
                <w:sz w:val="28"/>
              </w:rPr>
              <w:t>дыхательных</w:t>
            </w:r>
            <w:r>
              <w:rPr>
                <w:spacing w:val="-7"/>
                <w:sz w:val="28"/>
              </w:rPr>
              <w:t> </w:t>
            </w:r>
            <w:r>
              <w:rPr>
                <w:sz w:val="28"/>
              </w:rPr>
              <w:t>путей,</w:t>
            </w:r>
            <w:r>
              <w:rPr>
                <w:spacing w:val="-8"/>
                <w:sz w:val="28"/>
              </w:rPr>
              <w:t> </w:t>
            </w:r>
            <w:r>
              <w:rPr>
                <w:spacing w:val="-4"/>
                <w:sz w:val="28"/>
              </w:rPr>
              <w:t>дети</w:t>
            </w:r>
          </w:p>
        </w:tc>
      </w:tr>
      <w:tr>
        <w:trPr>
          <w:trHeight w:val="376" w:hRule="atLeast"/>
        </w:trPr>
        <w:tc>
          <w:tcPr>
            <w:tcW w:w="1243" w:type="dxa"/>
          </w:tcPr>
          <w:p>
            <w:pPr>
              <w:pStyle w:val="TableParagraph"/>
              <w:spacing w:line="302" w:lineRule="exact" w:before="54"/>
              <w:ind w:left="435" w:right="432"/>
              <w:jc w:val="center"/>
              <w:rPr>
                <w:sz w:val="28"/>
              </w:rPr>
            </w:pPr>
            <w:r>
              <w:rPr>
                <w:spacing w:val="-5"/>
                <w:sz w:val="28"/>
              </w:rPr>
              <w:t>87.</w:t>
            </w:r>
          </w:p>
        </w:tc>
        <w:tc>
          <w:tcPr>
            <w:tcW w:w="7876" w:type="dxa"/>
          </w:tcPr>
          <w:p>
            <w:pPr>
              <w:pStyle w:val="TableParagraph"/>
              <w:spacing w:line="302" w:lineRule="exact" w:before="54"/>
              <w:ind w:left="105"/>
              <w:rPr>
                <w:sz w:val="28"/>
              </w:rPr>
            </w:pPr>
            <w:r>
              <w:rPr>
                <w:sz w:val="28"/>
              </w:rPr>
              <w:t>Операции</w:t>
            </w:r>
            <w:r>
              <w:rPr>
                <w:spacing w:val="-6"/>
                <w:sz w:val="28"/>
              </w:rPr>
              <w:t> </w:t>
            </w:r>
            <w:r>
              <w:rPr>
                <w:sz w:val="28"/>
              </w:rPr>
              <w:t>на</w:t>
            </w:r>
            <w:r>
              <w:rPr>
                <w:spacing w:val="-5"/>
                <w:sz w:val="28"/>
              </w:rPr>
              <w:t> </w:t>
            </w:r>
            <w:r>
              <w:rPr>
                <w:sz w:val="28"/>
              </w:rPr>
              <w:t>кишечнике</w:t>
            </w:r>
            <w:r>
              <w:rPr>
                <w:spacing w:val="-5"/>
                <w:sz w:val="28"/>
              </w:rPr>
              <w:t> </w:t>
            </w:r>
            <w:r>
              <w:rPr>
                <w:sz w:val="28"/>
              </w:rPr>
              <w:t>и</w:t>
            </w:r>
            <w:r>
              <w:rPr>
                <w:spacing w:val="-5"/>
                <w:sz w:val="28"/>
              </w:rPr>
              <w:t> </w:t>
            </w:r>
            <w:r>
              <w:rPr>
                <w:sz w:val="28"/>
              </w:rPr>
              <w:t>анальной</w:t>
            </w:r>
            <w:r>
              <w:rPr>
                <w:spacing w:val="-7"/>
                <w:sz w:val="28"/>
              </w:rPr>
              <w:t> </w:t>
            </w:r>
            <w:r>
              <w:rPr>
                <w:sz w:val="28"/>
              </w:rPr>
              <w:t>области</w:t>
            </w:r>
            <w:r>
              <w:rPr>
                <w:spacing w:val="-6"/>
                <w:sz w:val="28"/>
              </w:rPr>
              <w:t> </w:t>
            </w:r>
            <w:r>
              <w:rPr>
                <w:sz w:val="28"/>
              </w:rPr>
              <w:t>(уровень</w:t>
            </w:r>
            <w:r>
              <w:rPr>
                <w:spacing w:val="-5"/>
                <w:sz w:val="28"/>
              </w:rPr>
              <w:t> 2)</w:t>
            </w:r>
          </w:p>
        </w:tc>
      </w:tr>
    </w:tbl>
    <w:p>
      <w:pPr>
        <w:spacing w:after="0" w:line="302" w:lineRule="exact"/>
        <w:rPr>
          <w:sz w:val="28"/>
        </w:rPr>
        <w:sectPr>
          <w:headerReference w:type="default" r:id="rId539"/>
          <w:pgSz w:w="11910" w:h="16850"/>
          <w:pgMar w:header="0" w:footer="0" w:top="160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8"/>
      </w:tblGrid>
      <w:tr>
        <w:trPr>
          <w:trHeight w:val="697" w:hRule="atLeast"/>
        </w:trPr>
        <w:tc>
          <w:tcPr>
            <w:tcW w:w="782" w:type="dxa"/>
          </w:tcPr>
          <w:p>
            <w:pPr>
              <w:pStyle w:val="TableParagraph"/>
              <w:spacing w:line="311" w:lineRule="exact"/>
              <w:ind w:left="119"/>
              <w:rPr>
                <w:sz w:val="28"/>
              </w:rPr>
            </w:pPr>
            <w:r>
              <w:rPr>
                <w:spacing w:val="-5"/>
                <w:sz w:val="28"/>
              </w:rPr>
              <w:t>95.</w:t>
            </w:r>
          </w:p>
        </w:tc>
        <w:tc>
          <w:tcPr>
            <w:tcW w:w="7918" w:type="dxa"/>
          </w:tcPr>
          <w:p>
            <w:pPr>
              <w:pStyle w:val="TableParagraph"/>
              <w:ind w:left="239"/>
              <w:rPr>
                <w:sz w:val="28"/>
              </w:rPr>
            </w:pPr>
            <w:r>
              <w:rPr>
                <w:sz w:val="28"/>
              </w:rPr>
              <w:t>Неврологические</w:t>
            </w:r>
            <w:r>
              <w:rPr>
                <w:spacing w:val="-8"/>
                <w:sz w:val="28"/>
              </w:rPr>
              <w:t> </w:t>
            </w:r>
            <w:r>
              <w:rPr>
                <w:sz w:val="28"/>
              </w:rPr>
              <w:t>заболевания,</w:t>
            </w:r>
            <w:r>
              <w:rPr>
                <w:spacing w:val="-8"/>
                <w:sz w:val="28"/>
              </w:rPr>
              <w:t> </w:t>
            </w:r>
            <w:r>
              <w:rPr>
                <w:sz w:val="28"/>
              </w:rPr>
              <w:t>лечение</w:t>
            </w:r>
            <w:r>
              <w:rPr>
                <w:spacing w:val="-11"/>
                <w:sz w:val="28"/>
              </w:rPr>
              <w:t> </w:t>
            </w:r>
            <w:r>
              <w:rPr>
                <w:sz w:val="28"/>
              </w:rPr>
              <w:t>с</w:t>
            </w:r>
            <w:r>
              <w:rPr>
                <w:spacing w:val="-8"/>
                <w:sz w:val="28"/>
              </w:rPr>
              <w:t> </w:t>
            </w:r>
            <w:r>
              <w:rPr>
                <w:sz w:val="28"/>
              </w:rPr>
              <w:t>применением ботулотоксина (уровень 1)</w:t>
            </w:r>
            <w:r>
              <w:rPr>
                <w:sz w:val="28"/>
                <w:vertAlign w:val="superscript"/>
              </w:rPr>
              <w:t>*</w:t>
            </w:r>
          </w:p>
        </w:tc>
      </w:tr>
      <w:tr>
        <w:trPr>
          <w:trHeight w:val="763" w:hRule="atLeast"/>
        </w:trPr>
        <w:tc>
          <w:tcPr>
            <w:tcW w:w="782" w:type="dxa"/>
          </w:tcPr>
          <w:p>
            <w:pPr>
              <w:pStyle w:val="TableParagraph"/>
              <w:spacing w:before="54"/>
              <w:ind w:left="119"/>
              <w:rPr>
                <w:sz w:val="28"/>
              </w:rPr>
            </w:pPr>
            <w:r>
              <w:rPr>
                <w:spacing w:val="-5"/>
                <w:sz w:val="28"/>
              </w:rPr>
              <w:t>96.</w:t>
            </w:r>
          </w:p>
        </w:tc>
        <w:tc>
          <w:tcPr>
            <w:tcW w:w="7918" w:type="dxa"/>
          </w:tcPr>
          <w:p>
            <w:pPr>
              <w:pStyle w:val="TableParagraph"/>
              <w:spacing w:before="54"/>
              <w:ind w:left="239"/>
              <w:rPr>
                <w:sz w:val="28"/>
              </w:rPr>
            </w:pPr>
            <w:r>
              <w:rPr>
                <w:sz w:val="28"/>
              </w:rPr>
              <w:t>Неврологические</w:t>
            </w:r>
            <w:r>
              <w:rPr>
                <w:spacing w:val="-9"/>
                <w:sz w:val="28"/>
              </w:rPr>
              <w:t> </w:t>
            </w:r>
            <w:r>
              <w:rPr>
                <w:sz w:val="28"/>
              </w:rPr>
              <w:t>заболевания,</w:t>
            </w:r>
            <w:r>
              <w:rPr>
                <w:spacing w:val="-9"/>
                <w:sz w:val="28"/>
              </w:rPr>
              <w:t> </w:t>
            </w:r>
            <w:r>
              <w:rPr>
                <w:sz w:val="28"/>
              </w:rPr>
              <w:t>лечение</w:t>
            </w:r>
            <w:r>
              <w:rPr>
                <w:spacing w:val="-11"/>
                <w:sz w:val="28"/>
              </w:rPr>
              <w:t> </w:t>
            </w:r>
            <w:r>
              <w:rPr>
                <w:sz w:val="28"/>
              </w:rPr>
              <w:t>с</w:t>
            </w:r>
            <w:r>
              <w:rPr>
                <w:spacing w:val="-9"/>
                <w:sz w:val="28"/>
              </w:rPr>
              <w:t> </w:t>
            </w:r>
            <w:r>
              <w:rPr>
                <w:sz w:val="28"/>
              </w:rPr>
              <w:t>применением ботулотоксина (уровень 2)</w:t>
            </w:r>
            <w:r>
              <w:rPr>
                <w:sz w:val="28"/>
                <w:vertAlign w:val="superscript"/>
              </w:rPr>
              <w:t>*</w:t>
            </w:r>
          </w:p>
        </w:tc>
      </w:tr>
      <w:tr>
        <w:trPr>
          <w:trHeight w:val="441" w:hRule="atLeast"/>
        </w:trPr>
        <w:tc>
          <w:tcPr>
            <w:tcW w:w="782" w:type="dxa"/>
          </w:tcPr>
          <w:p>
            <w:pPr>
              <w:pStyle w:val="TableParagraph"/>
              <w:spacing w:before="54"/>
              <w:ind w:left="50"/>
              <w:rPr>
                <w:sz w:val="28"/>
              </w:rPr>
            </w:pPr>
            <w:r>
              <w:rPr>
                <w:spacing w:val="-4"/>
                <w:sz w:val="28"/>
              </w:rPr>
              <w:t>112.</w:t>
            </w:r>
          </w:p>
        </w:tc>
        <w:tc>
          <w:tcPr>
            <w:tcW w:w="7918" w:type="dxa"/>
          </w:tcPr>
          <w:p>
            <w:pPr>
              <w:pStyle w:val="TableParagraph"/>
              <w:spacing w:before="54"/>
              <w:ind w:left="239"/>
              <w:rPr>
                <w:sz w:val="28"/>
              </w:rPr>
            </w:pPr>
            <w:r>
              <w:rPr>
                <w:sz w:val="28"/>
              </w:rPr>
              <w:t>Сотрясение</w:t>
            </w:r>
            <w:r>
              <w:rPr>
                <w:spacing w:val="-10"/>
                <w:sz w:val="28"/>
              </w:rPr>
              <w:t> </w:t>
            </w:r>
            <w:r>
              <w:rPr>
                <w:sz w:val="28"/>
              </w:rPr>
              <w:t>головного</w:t>
            </w:r>
            <w:r>
              <w:rPr>
                <w:spacing w:val="-8"/>
                <w:sz w:val="28"/>
              </w:rPr>
              <w:t> </w:t>
            </w:r>
            <w:r>
              <w:rPr>
                <w:spacing w:val="-4"/>
                <w:sz w:val="28"/>
              </w:rPr>
              <w:t>мозга</w:t>
            </w:r>
          </w:p>
        </w:tc>
      </w:tr>
      <w:tr>
        <w:trPr>
          <w:trHeight w:val="766" w:hRule="atLeast"/>
        </w:trPr>
        <w:tc>
          <w:tcPr>
            <w:tcW w:w="782" w:type="dxa"/>
          </w:tcPr>
          <w:p>
            <w:pPr>
              <w:pStyle w:val="TableParagraph"/>
              <w:spacing w:before="54"/>
              <w:ind w:left="50"/>
              <w:rPr>
                <w:sz w:val="28"/>
              </w:rPr>
            </w:pPr>
            <w:r>
              <w:rPr>
                <w:spacing w:val="-4"/>
                <w:sz w:val="28"/>
              </w:rPr>
              <w:t>136.</w:t>
            </w:r>
          </w:p>
        </w:tc>
        <w:tc>
          <w:tcPr>
            <w:tcW w:w="7918" w:type="dxa"/>
          </w:tcPr>
          <w:p>
            <w:pPr>
              <w:pStyle w:val="TableParagraph"/>
              <w:spacing w:line="242" w:lineRule="auto" w:before="54"/>
              <w:ind w:left="239"/>
              <w:rPr>
                <w:sz w:val="28"/>
              </w:rPr>
            </w:pPr>
            <w:r>
              <w:rPr>
                <w:sz w:val="28"/>
              </w:rPr>
              <w:t>Операции</w:t>
            </w:r>
            <w:r>
              <w:rPr>
                <w:spacing w:val="-8"/>
                <w:sz w:val="28"/>
              </w:rPr>
              <w:t> </w:t>
            </w:r>
            <w:r>
              <w:rPr>
                <w:sz w:val="28"/>
              </w:rPr>
              <w:t>при</w:t>
            </w:r>
            <w:r>
              <w:rPr>
                <w:spacing w:val="-8"/>
                <w:sz w:val="28"/>
              </w:rPr>
              <w:t> </w:t>
            </w:r>
            <w:r>
              <w:rPr>
                <w:sz w:val="28"/>
              </w:rPr>
              <w:t>злокачественных</w:t>
            </w:r>
            <w:r>
              <w:rPr>
                <w:spacing w:val="-10"/>
                <w:sz w:val="28"/>
              </w:rPr>
              <w:t> </w:t>
            </w:r>
            <w:r>
              <w:rPr>
                <w:sz w:val="28"/>
              </w:rPr>
              <w:t>новообразованиях</w:t>
            </w:r>
            <w:r>
              <w:rPr>
                <w:spacing w:val="-7"/>
                <w:sz w:val="28"/>
              </w:rPr>
              <w:t> </w:t>
            </w:r>
            <w:r>
              <w:rPr>
                <w:sz w:val="28"/>
              </w:rPr>
              <w:t>почки</w:t>
            </w:r>
            <w:r>
              <w:rPr>
                <w:spacing w:val="-9"/>
                <w:sz w:val="28"/>
              </w:rPr>
              <w:t> </w:t>
            </w:r>
            <w:r>
              <w:rPr>
                <w:sz w:val="28"/>
              </w:rPr>
              <w:t>и мочевыделительной системы (уровень 2)</w:t>
            </w:r>
          </w:p>
        </w:tc>
      </w:tr>
      <w:tr>
        <w:trPr>
          <w:trHeight w:val="763" w:hRule="atLeast"/>
        </w:trPr>
        <w:tc>
          <w:tcPr>
            <w:tcW w:w="782" w:type="dxa"/>
          </w:tcPr>
          <w:p>
            <w:pPr>
              <w:pStyle w:val="TableParagraph"/>
              <w:spacing w:before="54"/>
              <w:ind w:left="50"/>
              <w:rPr>
                <w:sz w:val="28"/>
              </w:rPr>
            </w:pPr>
            <w:r>
              <w:rPr>
                <w:spacing w:val="-4"/>
                <w:sz w:val="28"/>
              </w:rPr>
              <w:t>157.</w:t>
            </w:r>
          </w:p>
        </w:tc>
        <w:tc>
          <w:tcPr>
            <w:tcW w:w="7918" w:type="dxa"/>
          </w:tcPr>
          <w:p>
            <w:pPr>
              <w:pStyle w:val="TableParagraph"/>
              <w:spacing w:before="54"/>
              <w:ind w:left="239"/>
              <w:rPr>
                <w:sz w:val="28"/>
              </w:rPr>
            </w:pPr>
            <w:r>
              <w:rPr>
                <w:sz w:val="28"/>
              </w:rPr>
              <w:t>Установка,</w:t>
            </w:r>
            <w:r>
              <w:rPr>
                <w:spacing w:val="-8"/>
                <w:sz w:val="28"/>
              </w:rPr>
              <w:t> </w:t>
            </w:r>
            <w:r>
              <w:rPr>
                <w:sz w:val="28"/>
              </w:rPr>
              <w:t>замена</w:t>
            </w:r>
            <w:r>
              <w:rPr>
                <w:spacing w:val="-9"/>
                <w:sz w:val="28"/>
              </w:rPr>
              <w:t> </w:t>
            </w:r>
            <w:r>
              <w:rPr>
                <w:sz w:val="28"/>
              </w:rPr>
              <w:t>порт-системы</w:t>
            </w:r>
            <w:r>
              <w:rPr>
                <w:spacing w:val="-6"/>
                <w:sz w:val="28"/>
              </w:rPr>
              <w:t> </w:t>
            </w:r>
            <w:r>
              <w:rPr>
                <w:sz w:val="28"/>
              </w:rPr>
              <w:t>(катетера)</w:t>
            </w:r>
            <w:r>
              <w:rPr>
                <w:spacing w:val="-6"/>
                <w:sz w:val="28"/>
              </w:rPr>
              <w:t> </w:t>
            </w:r>
            <w:r>
              <w:rPr>
                <w:sz w:val="28"/>
              </w:rPr>
              <w:t>для</w:t>
            </w:r>
            <w:r>
              <w:rPr>
                <w:spacing w:val="-6"/>
                <w:sz w:val="28"/>
              </w:rPr>
              <w:t> </w:t>
            </w:r>
            <w:r>
              <w:rPr>
                <w:sz w:val="28"/>
              </w:rPr>
              <w:t>лекарственной терапии злокачественных новообразований</w:t>
            </w:r>
          </w:p>
        </w:tc>
      </w:tr>
      <w:tr>
        <w:trPr>
          <w:trHeight w:val="1084" w:hRule="atLeast"/>
        </w:trPr>
        <w:tc>
          <w:tcPr>
            <w:tcW w:w="782" w:type="dxa"/>
          </w:tcPr>
          <w:p>
            <w:pPr>
              <w:pStyle w:val="TableParagraph"/>
              <w:spacing w:before="54"/>
              <w:ind w:left="50"/>
              <w:rPr>
                <w:sz w:val="28"/>
              </w:rPr>
            </w:pPr>
            <w:r>
              <w:rPr>
                <w:spacing w:val="-4"/>
                <w:sz w:val="28"/>
              </w:rPr>
              <w:t>158.</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159.</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2)</w:t>
            </w:r>
            <w:r>
              <w:rPr>
                <w:sz w:val="28"/>
                <w:vertAlign w:val="superscript"/>
              </w:rPr>
              <w:t>*</w:t>
            </w:r>
          </w:p>
        </w:tc>
      </w:tr>
      <w:tr>
        <w:trPr>
          <w:trHeight w:val="1084" w:hRule="atLeast"/>
        </w:trPr>
        <w:tc>
          <w:tcPr>
            <w:tcW w:w="782" w:type="dxa"/>
          </w:tcPr>
          <w:p>
            <w:pPr>
              <w:pStyle w:val="TableParagraph"/>
              <w:spacing w:before="54"/>
              <w:ind w:left="50"/>
              <w:rPr>
                <w:sz w:val="28"/>
              </w:rPr>
            </w:pPr>
            <w:r>
              <w:rPr>
                <w:spacing w:val="-4"/>
                <w:sz w:val="28"/>
              </w:rPr>
              <w:t>160.</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3)</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161.</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4)</w:t>
            </w:r>
            <w:r>
              <w:rPr>
                <w:sz w:val="28"/>
                <w:vertAlign w:val="superscript"/>
              </w:rPr>
              <w:t>*</w:t>
            </w:r>
          </w:p>
        </w:tc>
      </w:tr>
      <w:tr>
        <w:trPr>
          <w:trHeight w:val="1085" w:hRule="atLeast"/>
        </w:trPr>
        <w:tc>
          <w:tcPr>
            <w:tcW w:w="782" w:type="dxa"/>
          </w:tcPr>
          <w:p>
            <w:pPr>
              <w:pStyle w:val="TableParagraph"/>
              <w:spacing w:before="54"/>
              <w:ind w:left="50"/>
              <w:rPr>
                <w:sz w:val="28"/>
              </w:rPr>
            </w:pPr>
            <w:r>
              <w:rPr>
                <w:spacing w:val="-4"/>
                <w:sz w:val="28"/>
              </w:rPr>
              <w:t>162.</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5)</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163.</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6)</w:t>
            </w:r>
            <w:r>
              <w:rPr>
                <w:sz w:val="28"/>
                <w:vertAlign w:val="superscript"/>
              </w:rPr>
              <w:t>*</w:t>
            </w:r>
          </w:p>
        </w:tc>
      </w:tr>
      <w:tr>
        <w:trPr>
          <w:trHeight w:val="1084" w:hRule="atLeast"/>
        </w:trPr>
        <w:tc>
          <w:tcPr>
            <w:tcW w:w="782" w:type="dxa"/>
          </w:tcPr>
          <w:p>
            <w:pPr>
              <w:pStyle w:val="TableParagraph"/>
              <w:spacing w:before="54"/>
              <w:ind w:left="50"/>
              <w:rPr>
                <w:sz w:val="28"/>
              </w:rPr>
            </w:pPr>
            <w:r>
              <w:rPr>
                <w:spacing w:val="-4"/>
                <w:sz w:val="28"/>
              </w:rPr>
              <w:t>164.</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7)</w:t>
            </w:r>
            <w:r>
              <w:rPr>
                <w:sz w:val="28"/>
                <w:vertAlign w:val="superscript"/>
              </w:rPr>
              <w:t>*</w:t>
            </w:r>
          </w:p>
        </w:tc>
      </w:tr>
      <w:tr>
        <w:trPr>
          <w:trHeight w:val="1022" w:hRule="atLeast"/>
        </w:trPr>
        <w:tc>
          <w:tcPr>
            <w:tcW w:w="782" w:type="dxa"/>
          </w:tcPr>
          <w:p>
            <w:pPr>
              <w:pStyle w:val="TableParagraph"/>
              <w:spacing w:before="54"/>
              <w:ind w:left="50"/>
              <w:rPr>
                <w:sz w:val="28"/>
              </w:rPr>
            </w:pPr>
            <w:r>
              <w:rPr>
                <w:spacing w:val="-4"/>
                <w:sz w:val="28"/>
              </w:rPr>
              <w:t>165.</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w:t>
            </w:r>
          </w:p>
          <w:p>
            <w:pPr>
              <w:pStyle w:val="TableParagraph"/>
              <w:spacing w:line="302" w:lineRule="exact" w:before="2"/>
              <w:ind w:left="239"/>
              <w:rPr>
                <w:sz w:val="28"/>
              </w:rPr>
            </w:pPr>
            <w:r>
              <w:rPr>
                <w:sz w:val="28"/>
              </w:rPr>
              <w:t>взрослые</w:t>
            </w:r>
            <w:r>
              <w:rPr>
                <w:spacing w:val="-8"/>
                <w:sz w:val="28"/>
              </w:rPr>
              <w:t> </w:t>
            </w:r>
            <w:r>
              <w:rPr>
                <w:sz w:val="28"/>
              </w:rPr>
              <w:t>(уровень</w:t>
            </w:r>
            <w:r>
              <w:rPr>
                <w:spacing w:val="-8"/>
                <w:sz w:val="28"/>
              </w:rPr>
              <w:t> </w:t>
            </w:r>
            <w:r>
              <w:rPr>
                <w:spacing w:val="-5"/>
                <w:sz w:val="28"/>
              </w:rPr>
              <w:t>8)</w:t>
            </w:r>
            <w:r>
              <w:rPr>
                <w:spacing w:val="-5"/>
                <w:sz w:val="28"/>
                <w:vertAlign w:val="superscript"/>
              </w:rPr>
              <w:t>*</w:t>
            </w:r>
          </w:p>
        </w:tc>
      </w:tr>
    </w:tbl>
    <w:p>
      <w:pPr>
        <w:spacing w:after="0" w:line="302" w:lineRule="exact"/>
        <w:rPr>
          <w:sz w:val="28"/>
        </w:rPr>
        <w:sectPr>
          <w:headerReference w:type="default" r:id="rId540"/>
          <w:pgSz w:w="11910" w:h="16850"/>
          <w:pgMar w:header="753" w:footer="0" w:top="1340" w:bottom="280" w:left="1200" w:right="1360"/>
          <w:pgNumType w:start="2"/>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8"/>
      </w:tblGrid>
      <w:tr>
        <w:trPr>
          <w:trHeight w:val="1019" w:hRule="atLeast"/>
        </w:trPr>
        <w:tc>
          <w:tcPr>
            <w:tcW w:w="782" w:type="dxa"/>
          </w:tcPr>
          <w:p>
            <w:pPr>
              <w:pStyle w:val="TableParagraph"/>
              <w:spacing w:line="311" w:lineRule="exact"/>
              <w:ind w:left="50"/>
              <w:rPr>
                <w:sz w:val="28"/>
              </w:rPr>
            </w:pPr>
            <w:r>
              <w:rPr>
                <w:spacing w:val="-4"/>
                <w:sz w:val="28"/>
              </w:rPr>
              <w:t>166.</w:t>
            </w:r>
          </w:p>
        </w:tc>
        <w:tc>
          <w:tcPr>
            <w:tcW w:w="7918" w:type="dxa"/>
          </w:tcPr>
          <w:p>
            <w:pPr>
              <w:pStyle w:val="TableParagraph"/>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9)</w:t>
            </w:r>
            <w:r>
              <w:rPr>
                <w:sz w:val="28"/>
                <w:vertAlign w:val="superscript"/>
              </w:rPr>
              <w:t>*</w:t>
            </w:r>
          </w:p>
        </w:tc>
      </w:tr>
      <w:tr>
        <w:trPr>
          <w:trHeight w:val="1086" w:hRule="atLeast"/>
        </w:trPr>
        <w:tc>
          <w:tcPr>
            <w:tcW w:w="782" w:type="dxa"/>
          </w:tcPr>
          <w:p>
            <w:pPr>
              <w:pStyle w:val="TableParagraph"/>
              <w:spacing w:before="54"/>
              <w:ind w:left="50"/>
              <w:rPr>
                <w:sz w:val="28"/>
              </w:rPr>
            </w:pPr>
            <w:r>
              <w:rPr>
                <w:spacing w:val="-4"/>
                <w:sz w:val="28"/>
              </w:rPr>
              <w:t>167.</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10)</w:t>
            </w:r>
            <w:r>
              <w:rPr>
                <w:sz w:val="28"/>
                <w:vertAlign w:val="superscript"/>
              </w:rPr>
              <w:t>*</w:t>
            </w:r>
          </w:p>
        </w:tc>
      </w:tr>
      <w:tr>
        <w:trPr>
          <w:trHeight w:val="1086" w:hRule="atLeast"/>
        </w:trPr>
        <w:tc>
          <w:tcPr>
            <w:tcW w:w="782" w:type="dxa"/>
          </w:tcPr>
          <w:p>
            <w:pPr>
              <w:pStyle w:val="TableParagraph"/>
              <w:spacing w:before="55"/>
              <w:ind w:left="50"/>
              <w:rPr>
                <w:sz w:val="28"/>
              </w:rPr>
            </w:pPr>
            <w:r>
              <w:rPr>
                <w:spacing w:val="-4"/>
                <w:sz w:val="28"/>
              </w:rPr>
              <w:t>168.</w:t>
            </w:r>
          </w:p>
        </w:tc>
        <w:tc>
          <w:tcPr>
            <w:tcW w:w="7918" w:type="dxa"/>
          </w:tcPr>
          <w:p>
            <w:pPr>
              <w:pStyle w:val="TableParagraph"/>
              <w:spacing w:before="55"/>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11)</w:t>
            </w:r>
            <w:r>
              <w:rPr>
                <w:sz w:val="28"/>
                <w:vertAlign w:val="superscript"/>
              </w:rPr>
              <w:t>*</w:t>
            </w:r>
          </w:p>
        </w:tc>
      </w:tr>
      <w:tr>
        <w:trPr>
          <w:trHeight w:val="1084" w:hRule="atLeast"/>
        </w:trPr>
        <w:tc>
          <w:tcPr>
            <w:tcW w:w="782" w:type="dxa"/>
          </w:tcPr>
          <w:p>
            <w:pPr>
              <w:pStyle w:val="TableParagraph"/>
              <w:spacing w:before="54"/>
              <w:ind w:left="50"/>
              <w:rPr>
                <w:sz w:val="28"/>
              </w:rPr>
            </w:pPr>
            <w:r>
              <w:rPr>
                <w:spacing w:val="-4"/>
                <w:sz w:val="28"/>
              </w:rPr>
              <w:t>169.</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12)</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170.</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13)</w:t>
            </w:r>
            <w:r>
              <w:rPr>
                <w:sz w:val="28"/>
                <w:vertAlign w:val="superscript"/>
              </w:rPr>
              <w:t>*</w:t>
            </w:r>
          </w:p>
        </w:tc>
      </w:tr>
      <w:tr>
        <w:trPr>
          <w:trHeight w:val="1085" w:hRule="atLeast"/>
        </w:trPr>
        <w:tc>
          <w:tcPr>
            <w:tcW w:w="782" w:type="dxa"/>
          </w:tcPr>
          <w:p>
            <w:pPr>
              <w:pStyle w:val="TableParagraph"/>
              <w:spacing w:before="54"/>
              <w:ind w:left="50"/>
              <w:rPr>
                <w:sz w:val="28"/>
              </w:rPr>
            </w:pPr>
            <w:r>
              <w:rPr>
                <w:spacing w:val="-4"/>
                <w:sz w:val="28"/>
              </w:rPr>
              <w:t>171.</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14)</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172.</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15)</w:t>
            </w:r>
            <w:r>
              <w:rPr>
                <w:sz w:val="28"/>
                <w:vertAlign w:val="superscript"/>
              </w:rPr>
              <w:t>*</w:t>
            </w:r>
          </w:p>
        </w:tc>
      </w:tr>
      <w:tr>
        <w:trPr>
          <w:trHeight w:val="1085" w:hRule="atLeast"/>
        </w:trPr>
        <w:tc>
          <w:tcPr>
            <w:tcW w:w="782" w:type="dxa"/>
          </w:tcPr>
          <w:p>
            <w:pPr>
              <w:pStyle w:val="TableParagraph"/>
              <w:spacing w:before="54"/>
              <w:ind w:left="50"/>
              <w:rPr>
                <w:sz w:val="28"/>
              </w:rPr>
            </w:pPr>
            <w:r>
              <w:rPr>
                <w:spacing w:val="-4"/>
                <w:sz w:val="28"/>
              </w:rPr>
              <w:t>173.</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16)</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174.</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17)</w:t>
            </w:r>
            <w:r>
              <w:rPr>
                <w:sz w:val="28"/>
                <w:vertAlign w:val="superscript"/>
              </w:rPr>
              <w:t>*</w:t>
            </w:r>
          </w:p>
        </w:tc>
      </w:tr>
      <w:tr>
        <w:trPr>
          <w:trHeight w:val="441" w:hRule="atLeast"/>
        </w:trPr>
        <w:tc>
          <w:tcPr>
            <w:tcW w:w="782" w:type="dxa"/>
          </w:tcPr>
          <w:p>
            <w:pPr>
              <w:pStyle w:val="TableParagraph"/>
              <w:spacing w:before="54"/>
              <w:ind w:left="50"/>
              <w:rPr>
                <w:sz w:val="28"/>
              </w:rPr>
            </w:pPr>
            <w:r>
              <w:rPr>
                <w:spacing w:val="-4"/>
                <w:sz w:val="28"/>
              </w:rPr>
              <w:t>182.</w:t>
            </w:r>
          </w:p>
        </w:tc>
        <w:tc>
          <w:tcPr>
            <w:tcW w:w="7918" w:type="dxa"/>
          </w:tcPr>
          <w:p>
            <w:pPr>
              <w:pStyle w:val="TableParagraph"/>
              <w:spacing w:before="54"/>
              <w:ind w:left="239"/>
              <w:rPr>
                <w:sz w:val="28"/>
              </w:rPr>
            </w:pPr>
            <w:r>
              <w:rPr>
                <w:sz w:val="28"/>
              </w:rPr>
              <w:t>Лучевая</w:t>
            </w:r>
            <w:r>
              <w:rPr>
                <w:spacing w:val="-6"/>
                <w:sz w:val="28"/>
              </w:rPr>
              <w:t> </w:t>
            </w:r>
            <w:r>
              <w:rPr>
                <w:sz w:val="28"/>
              </w:rPr>
              <w:t>терапия</w:t>
            </w:r>
            <w:r>
              <w:rPr>
                <w:spacing w:val="-5"/>
                <w:sz w:val="28"/>
              </w:rPr>
              <w:t> </w:t>
            </w:r>
            <w:r>
              <w:rPr>
                <w:sz w:val="28"/>
              </w:rPr>
              <w:t>(уровень</w:t>
            </w:r>
            <w:r>
              <w:rPr>
                <w:spacing w:val="-8"/>
                <w:sz w:val="28"/>
              </w:rPr>
              <w:t> </w:t>
            </w:r>
            <w:r>
              <w:rPr>
                <w:spacing w:val="-5"/>
                <w:sz w:val="28"/>
              </w:rPr>
              <w:t>8)</w:t>
            </w:r>
          </w:p>
        </w:tc>
      </w:tr>
      <w:tr>
        <w:trPr>
          <w:trHeight w:val="763" w:hRule="atLeast"/>
        </w:trPr>
        <w:tc>
          <w:tcPr>
            <w:tcW w:w="782" w:type="dxa"/>
          </w:tcPr>
          <w:p>
            <w:pPr>
              <w:pStyle w:val="TableParagraph"/>
              <w:spacing w:before="54"/>
              <w:ind w:left="50"/>
              <w:rPr>
                <w:sz w:val="28"/>
              </w:rPr>
            </w:pPr>
            <w:r>
              <w:rPr>
                <w:spacing w:val="-4"/>
                <w:sz w:val="28"/>
              </w:rPr>
              <w:t>189.</w:t>
            </w:r>
          </w:p>
        </w:tc>
        <w:tc>
          <w:tcPr>
            <w:tcW w:w="7918" w:type="dxa"/>
          </w:tcPr>
          <w:p>
            <w:pPr>
              <w:pStyle w:val="TableParagraph"/>
              <w:spacing w:before="54"/>
              <w:ind w:left="239"/>
              <w:rPr>
                <w:sz w:val="28"/>
              </w:rPr>
            </w:pPr>
            <w:r>
              <w:rPr>
                <w:sz w:val="28"/>
              </w:rPr>
              <w:t>ЗНО</w:t>
            </w:r>
            <w:r>
              <w:rPr>
                <w:spacing w:val="-7"/>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6"/>
                <w:sz w:val="28"/>
              </w:rPr>
              <w:t> </w:t>
            </w:r>
            <w:r>
              <w:rPr>
                <w:sz w:val="28"/>
              </w:rPr>
              <w:t>тканей</w:t>
            </w:r>
            <w:r>
              <w:rPr>
                <w:spacing w:val="-6"/>
                <w:sz w:val="28"/>
              </w:rPr>
              <w:t> </w:t>
            </w:r>
            <w:r>
              <w:rPr>
                <w:sz w:val="28"/>
              </w:rPr>
              <w:t>без</w:t>
            </w:r>
            <w:r>
              <w:rPr>
                <w:spacing w:val="-6"/>
                <w:sz w:val="28"/>
              </w:rPr>
              <w:t> </w:t>
            </w:r>
            <w:r>
              <w:rPr>
                <w:sz w:val="28"/>
              </w:rPr>
              <w:t>специального противоопухолевого лечения (уровень 1)</w:t>
            </w:r>
          </w:p>
        </w:tc>
      </w:tr>
      <w:tr>
        <w:trPr>
          <w:trHeight w:val="764" w:hRule="atLeast"/>
        </w:trPr>
        <w:tc>
          <w:tcPr>
            <w:tcW w:w="782" w:type="dxa"/>
          </w:tcPr>
          <w:p>
            <w:pPr>
              <w:pStyle w:val="TableParagraph"/>
              <w:spacing w:before="54"/>
              <w:ind w:left="50"/>
              <w:rPr>
                <w:sz w:val="28"/>
              </w:rPr>
            </w:pPr>
            <w:r>
              <w:rPr>
                <w:spacing w:val="-4"/>
                <w:sz w:val="28"/>
              </w:rPr>
              <w:t>193.</w:t>
            </w:r>
          </w:p>
        </w:tc>
        <w:tc>
          <w:tcPr>
            <w:tcW w:w="7918" w:type="dxa"/>
          </w:tcPr>
          <w:p>
            <w:pPr>
              <w:pStyle w:val="TableParagraph"/>
              <w:spacing w:before="54"/>
              <w:ind w:left="239"/>
              <w:rPr>
                <w:sz w:val="28"/>
              </w:rPr>
            </w:pPr>
            <w:r>
              <w:rPr>
                <w:sz w:val="28"/>
              </w:rPr>
              <w:t>ЗНО</w:t>
            </w:r>
            <w:r>
              <w:rPr>
                <w:spacing w:val="-8"/>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7"/>
                <w:sz w:val="28"/>
              </w:rPr>
              <w:t> </w:t>
            </w:r>
            <w:r>
              <w:rPr>
                <w:sz w:val="28"/>
              </w:rPr>
              <w:t>тканей,</w:t>
            </w:r>
            <w:r>
              <w:rPr>
                <w:spacing w:val="-8"/>
                <w:sz w:val="28"/>
              </w:rPr>
              <w:t> </w:t>
            </w:r>
            <w:r>
              <w:rPr>
                <w:sz w:val="28"/>
              </w:rPr>
              <w:t>лекарственная терапия, взрослые (уровень 1)</w:t>
            </w:r>
          </w:p>
        </w:tc>
      </w:tr>
      <w:tr>
        <w:trPr>
          <w:trHeight w:val="1020" w:hRule="atLeast"/>
        </w:trPr>
        <w:tc>
          <w:tcPr>
            <w:tcW w:w="782" w:type="dxa"/>
          </w:tcPr>
          <w:p>
            <w:pPr>
              <w:pStyle w:val="TableParagraph"/>
              <w:spacing w:before="55"/>
              <w:ind w:left="50"/>
              <w:rPr>
                <w:sz w:val="28"/>
              </w:rPr>
            </w:pPr>
            <w:r>
              <w:rPr>
                <w:spacing w:val="-4"/>
                <w:sz w:val="28"/>
              </w:rPr>
              <w:t>196.</w:t>
            </w:r>
          </w:p>
        </w:tc>
        <w:tc>
          <w:tcPr>
            <w:tcW w:w="7918" w:type="dxa"/>
          </w:tcPr>
          <w:p>
            <w:pPr>
              <w:pStyle w:val="TableParagraph"/>
              <w:spacing w:line="322" w:lineRule="exact" w:before="34"/>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1)</w:t>
            </w:r>
          </w:p>
        </w:tc>
      </w:tr>
    </w:tbl>
    <w:p>
      <w:pPr>
        <w:spacing w:after="0" w:line="32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749"/>
      </w:tblGrid>
      <w:tr>
        <w:trPr>
          <w:trHeight w:val="1019" w:hRule="atLeast"/>
        </w:trPr>
        <w:tc>
          <w:tcPr>
            <w:tcW w:w="782" w:type="dxa"/>
          </w:tcPr>
          <w:p>
            <w:pPr>
              <w:pStyle w:val="TableParagraph"/>
              <w:spacing w:line="311" w:lineRule="exact"/>
              <w:ind w:left="50"/>
              <w:rPr>
                <w:sz w:val="28"/>
              </w:rPr>
            </w:pPr>
            <w:r>
              <w:rPr>
                <w:spacing w:val="-4"/>
                <w:sz w:val="28"/>
              </w:rPr>
              <w:t>199.</w:t>
            </w:r>
          </w:p>
        </w:tc>
        <w:tc>
          <w:tcPr>
            <w:tcW w:w="7749" w:type="dxa"/>
          </w:tcPr>
          <w:p>
            <w:pPr>
              <w:pStyle w:val="TableParagraph"/>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4)</w:t>
            </w:r>
          </w:p>
        </w:tc>
      </w:tr>
      <w:tr>
        <w:trPr>
          <w:trHeight w:val="763" w:hRule="atLeast"/>
        </w:trPr>
        <w:tc>
          <w:tcPr>
            <w:tcW w:w="782" w:type="dxa"/>
          </w:tcPr>
          <w:p>
            <w:pPr>
              <w:pStyle w:val="TableParagraph"/>
              <w:spacing w:before="54"/>
              <w:ind w:left="50"/>
              <w:rPr>
                <w:sz w:val="28"/>
              </w:rPr>
            </w:pPr>
            <w:r>
              <w:rPr>
                <w:spacing w:val="-4"/>
                <w:sz w:val="28"/>
              </w:rPr>
              <w:t>209.</w:t>
            </w:r>
          </w:p>
        </w:tc>
        <w:tc>
          <w:tcPr>
            <w:tcW w:w="7749" w:type="dxa"/>
          </w:tcPr>
          <w:p>
            <w:pPr>
              <w:pStyle w:val="TableParagraph"/>
              <w:spacing w:before="54"/>
              <w:ind w:left="239"/>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1)</w:t>
            </w:r>
          </w:p>
        </w:tc>
      </w:tr>
      <w:tr>
        <w:trPr>
          <w:trHeight w:val="766" w:hRule="atLeast"/>
        </w:trPr>
        <w:tc>
          <w:tcPr>
            <w:tcW w:w="782" w:type="dxa"/>
          </w:tcPr>
          <w:p>
            <w:pPr>
              <w:pStyle w:val="TableParagraph"/>
              <w:spacing w:before="54"/>
              <w:ind w:left="50"/>
              <w:rPr>
                <w:sz w:val="28"/>
              </w:rPr>
            </w:pPr>
            <w:r>
              <w:rPr>
                <w:spacing w:val="-4"/>
                <w:sz w:val="28"/>
              </w:rPr>
              <w:t>210.</w:t>
            </w:r>
          </w:p>
        </w:tc>
        <w:tc>
          <w:tcPr>
            <w:tcW w:w="7749" w:type="dxa"/>
          </w:tcPr>
          <w:p>
            <w:pPr>
              <w:pStyle w:val="TableParagraph"/>
              <w:spacing w:line="242" w:lineRule="auto" w:before="54"/>
              <w:ind w:left="239"/>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2)</w:t>
            </w:r>
          </w:p>
        </w:tc>
      </w:tr>
      <w:tr>
        <w:trPr>
          <w:trHeight w:val="441" w:hRule="atLeast"/>
        </w:trPr>
        <w:tc>
          <w:tcPr>
            <w:tcW w:w="782" w:type="dxa"/>
          </w:tcPr>
          <w:p>
            <w:pPr>
              <w:pStyle w:val="TableParagraph"/>
              <w:spacing w:before="54"/>
              <w:ind w:left="50"/>
              <w:rPr>
                <w:sz w:val="28"/>
              </w:rPr>
            </w:pPr>
            <w:r>
              <w:rPr>
                <w:spacing w:val="-4"/>
                <w:sz w:val="28"/>
              </w:rPr>
              <w:t>214.</w:t>
            </w:r>
          </w:p>
        </w:tc>
        <w:tc>
          <w:tcPr>
            <w:tcW w:w="7749" w:type="dxa"/>
          </w:tcPr>
          <w:p>
            <w:pPr>
              <w:pStyle w:val="TableParagraph"/>
              <w:spacing w:before="54"/>
              <w:ind w:left="239"/>
              <w:rPr>
                <w:sz w:val="28"/>
              </w:rPr>
            </w:pPr>
            <w:r>
              <w:rPr>
                <w:sz w:val="28"/>
              </w:rPr>
              <w:t>Замена</w:t>
            </w:r>
            <w:r>
              <w:rPr>
                <w:spacing w:val="-6"/>
                <w:sz w:val="28"/>
              </w:rPr>
              <w:t> </w:t>
            </w:r>
            <w:r>
              <w:rPr>
                <w:sz w:val="28"/>
              </w:rPr>
              <w:t>речевого</w:t>
            </w:r>
            <w:r>
              <w:rPr>
                <w:spacing w:val="-4"/>
                <w:sz w:val="28"/>
              </w:rPr>
              <w:t> </w:t>
            </w:r>
            <w:r>
              <w:rPr>
                <w:spacing w:val="-2"/>
                <w:sz w:val="28"/>
              </w:rPr>
              <w:t>процессора</w:t>
            </w:r>
          </w:p>
        </w:tc>
      </w:tr>
      <w:tr>
        <w:trPr>
          <w:trHeight w:val="441" w:hRule="atLeast"/>
        </w:trPr>
        <w:tc>
          <w:tcPr>
            <w:tcW w:w="782" w:type="dxa"/>
          </w:tcPr>
          <w:p>
            <w:pPr>
              <w:pStyle w:val="TableParagraph"/>
              <w:spacing w:before="54"/>
              <w:ind w:left="50"/>
              <w:rPr>
                <w:sz w:val="28"/>
              </w:rPr>
            </w:pPr>
            <w:r>
              <w:rPr>
                <w:spacing w:val="-4"/>
                <w:sz w:val="28"/>
              </w:rPr>
              <w:t>215.</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2"/>
                <w:sz w:val="28"/>
              </w:rPr>
              <w:t> </w:t>
            </w:r>
            <w:r>
              <w:rPr>
                <w:sz w:val="28"/>
              </w:rPr>
              <w:t>(уровень</w:t>
            </w:r>
            <w:r>
              <w:rPr>
                <w:spacing w:val="-6"/>
                <w:sz w:val="28"/>
              </w:rPr>
              <w:t> </w:t>
            </w:r>
            <w:r>
              <w:rPr>
                <w:spacing w:val="-5"/>
                <w:sz w:val="28"/>
              </w:rPr>
              <w:t>1)</w:t>
            </w:r>
          </w:p>
        </w:tc>
      </w:tr>
      <w:tr>
        <w:trPr>
          <w:trHeight w:val="441" w:hRule="atLeast"/>
        </w:trPr>
        <w:tc>
          <w:tcPr>
            <w:tcW w:w="782" w:type="dxa"/>
          </w:tcPr>
          <w:p>
            <w:pPr>
              <w:pStyle w:val="TableParagraph"/>
              <w:spacing w:before="54"/>
              <w:ind w:left="50"/>
              <w:rPr>
                <w:sz w:val="28"/>
              </w:rPr>
            </w:pPr>
            <w:r>
              <w:rPr>
                <w:spacing w:val="-4"/>
                <w:sz w:val="28"/>
              </w:rPr>
              <w:t>216.</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2)</w:t>
            </w:r>
          </w:p>
        </w:tc>
      </w:tr>
      <w:tr>
        <w:trPr>
          <w:trHeight w:val="441" w:hRule="atLeast"/>
        </w:trPr>
        <w:tc>
          <w:tcPr>
            <w:tcW w:w="782" w:type="dxa"/>
          </w:tcPr>
          <w:p>
            <w:pPr>
              <w:pStyle w:val="TableParagraph"/>
              <w:spacing w:before="54"/>
              <w:ind w:left="50"/>
              <w:rPr>
                <w:sz w:val="28"/>
              </w:rPr>
            </w:pPr>
            <w:r>
              <w:rPr>
                <w:spacing w:val="-4"/>
                <w:sz w:val="28"/>
              </w:rPr>
              <w:t>217.</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3)</w:t>
            </w:r>
          </w:p>
        </w:tc>
      </w:tr>
      <w:tr>
        <w:trPr>
          <w:trHeight w:val="441" w:hRule="atLeast"/>
        </w:trPr>
        <w:tc>
          <w:tcPr>
            <w:tcW w:w="782" w:type="dxa"/>
          </w:tcPr>
          <w:p>
            <w:pPr>
              <w:pStyle w:val="TableParagraph"/>
              <w:spacing w:before="54"/>
              <w:ind w:left="50"/>
              <w:rPr>
                <w:sz w:val="28"/>
              </w:rPr>
            </w:pPr>
            <w:r>
              <w:rPr>
                <w:spacing w:val="-4"/>
                <w:sz w:val="28"/>
              </w:rPr>
              <w:t>218.</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4)</w:t>
            </w:r>
          </w:p>
        </w:tc>
      </w:tr>
      <w:tr>
        <w:trPr>
          <w:trHeight w:val="442" w:hRule="atLeast"/>
        </w:trPr>
        <w:tc>
          <w:tcPr>
            <w:tcW w:w="782" w:type="dxa"/>
          </w:tcPr>
          <w:p>
            <w:pPr>
              <w:pStyle w:val="TableParagraph"/>
              <w:spacing w:before="54"/>
              <w:ind w:left="50"/>
              <w:rPr>
                <w:sz w:val="28"/>
              </w:rPr>
            </w:pPr>
            <w:r>
              <w:rPr>
                <w:spacing w:val="-4"/>
                <w:sz w:val="28"/>
              </w:rPr>
              <w:t>219.</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5)</w:t>
            </w:r>
          </w:p>
        </w:tc>
      </w:tr>
      <w:tr>
        <w:trPr>
          <w:trHeight w:val="442" w:hRule="atLeast"/>
        </w:trPr>
        <w:tc>
          <w:tcPr>
            <w:tcW w:w="782" w:type="dxa"/>
          </w:tcPr>
          <w:p>
            <w:pPr>
              <w:pStyle w:val="TableParagraph"/>
              <w:spacing w:before="55"/>
              <w:ind w:left="50"/>
              <w:rPr>
                <w:sz w:val="28"/>
              </w:rPr>
            </w:pPr>
            <w:r>
              <w:rPr>
                <w:spacing w:val="-4"/>
                <w:sz w:val="28"/>
              </w:rPr>
              <w:t>220.</w:t>
            </w:r>
          </w:p>
        </w:tc>
        <w:tc>
          <w:tcPr>
            <w:tcW w:w="7749" w:type="dxa"/>
          </w:tcPr>
          <w:p>
            <w:pPr>
              <w:pStyle w:val="TableParagraph"/>
              <w:spacing w:before="55"/>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6)</w:t>
            </w:r>
          </w:p>
        </w:tc>
      </w:tr>
      <w:tr>
        <w:trPr>
          <w:trHeight w:val="441" w:hRule="atLeast"/>
        </w:trPr>
        <w:tc>
          <w:tcPr>
            <w:tcW w:w="782" w:type="dxa"/>
          </w:tcPr>
          <w:p>
            <w:pPr>
              <w:pStyle w:val="TableParagraph"/>
              <w:spacing w:before="54"/>
              <w:ind w:left="50"/>
              <w:rPr>
                <w:sz w:val="28"/>
              </w:rPr>
            </w:pPr>
            <w:r>
              <w:rPr>
                <w:spacing w:val="-4"/>
                <w:sz w:val="28"/>
              </w:rPr>
              <w:t>240.</w:t>
            </w:r>
          </w:p>
        </w:tc>
        <w:tc>
          <w:tcPr>
            <w:tcW w:w="7749" w:type="dxa"/>
          </w:tcPr>
          <w:p>
            <w:pPr>
              <w:pStyle w:val="TableParagraph"/>
              <w:spacing w:before="54"/>
              <w:ind w:left="239"/>
              <w:rPr>
                <w:sz w:val="28"/>
              </w:rPr>
            </w:pPr>
            <w:r>
              <w:rPr>
                <w:sz w:val="28"/>
              </w:rPr>
              <w:t>Диагностическое</w:t>
            </w:r>
            <w:r>
              <w:rPr>
                <w:spacing w:val="-14"/>
                <w:sz w:val="28"/>
              </w:rPr>
              <w:t> </w:t>
            </w:r>
            <w:r>
              <w:rPr>
                <w:sz w:val="28"/>
              </w:rPr>
              <w:t>обследование</w:t>
            </w:r>
            <w:r>
              <w:rPr>
                <w:spacing w:val="-11"/>
                <w:sz w:val="28"/>
              </w:rPr>
              <w:t> </w:t>
            </w:r>
            <w:r>
              <w:rPr>
                <w:sz w:val="28"/>
              </w:rPr>
              <w:t>сердечно-сосудистой</w:t>
            </w:r>
            <w:r>
              <w:rPr>
                <w:spacing w:val="-11"/>
                <w:sz w:val="28"/>
              </w:rPr>
              <w:t> </w:t>
            </w:r>
            <w:r>
              <w:rPr>
                <w:spacing w:val="-2"/>
                <w:sz w:val="28"/>
              </w:rPr>
              <w:t>системы</w:t>
            </w:r>
          </w:p>
        </w:tc>
      </w:tr>
      <w:tr>
        <w:trPr>
          <w:trHeight w:val="441" w:hRule="atLeast"/>
        </w:trPr>
        <w:tc>
          <w:tcPr>
            <w:tcW w:w="782" w:type="dxa"/>
          </w:tcPr>
          <w:p>
            <w:pPr>
              <w:pStyle w:val="TableParagraph"/>
              <w:spacing w:before="54"/>
              <w:ind w:left="50"/>
              <w:rPr>
                <w:sz w:val="28"/>
              </w:rPr>
            </w:pPr>
            <w:r>
              <w:rPr>
                <w:spacing w:val="-4"/>
                <w:sz w:val="28"/>
              </w:rPr>
              <w:t>261.</w:t>
            </w:r>
          </w:p>
        </w:tc>
        <w:tc>
          <w:tcPr>
            <w:tcW w:w="7749" w:type="dxa"/>
          </w:tcPr>
          <w:p>
            <w:pPr>
              <w:pStyle w:val="TableParagraph"/>
              <w:spacing w:before="54"/>
              <w:ind w:left="239"/>
              <w:rPr>
                <w:sz w:val="28"/>
              </w:rPr>
            </w:pPr>
            <w:r>
              <w:rPr>
                <w:sz w:val="28"/>
              </w:rPr>
              <w:t>Отравления</w:t>
            </w:r>
            <w:r>
              <w:rPr>
                <w:spacing w:val="-9"/>
                <w:sz w:val="28"/>
              </w:rPr>
              <w:t> </w:t>
            </w:r>
            <w:r>
              <w:rPr>
                <w:sz w:val="28"/>
              </w:rPr>
              <w:t>и</w:t>
            </w:r>
            <w:r>
              <w:rPr>
                <w:spacing w:val="-9"/>
                <w:sz w:val="28"/>
              </w:rPr>
              <w:t> </w:t>
            </w:r>
            <w:r>
              <w:rPr>
                <w:sz w:val="28"/>
              </w:rPr>
              <w:t>другие</w:t>
            </w:r>
            <w:r>
              <w:rPr>
                <w:spacing w:val="-6"/>
                <w:sz w:val="28"/>
              </w:rPr>
              <w:t> </w:t>
            </w:r>
            <w:r>
              <w:rPr>
                <w:sz w:val="28"/>
              </w:rPr>
              <w:t>воздействия</w:t>
            </w:r>
            <w:r>
              <w:rPr>
                <w:spacing w:val="-6"/>
                <w:sz w:val="28"/>
              </w:rPr>
              <w:t> </w:t>
            </w:r>
            <w:r>
              <w:rPr>
                <w:sz w:val="28"/>
              </w:rPr>
              <w:t>внешних</w:t>
            </w:r>
            <w:r>
              <w:rPr>
                <w:spacing w:val="-5"/>
                <w:sz w:val="28"/>
              </w:rPr>
              <w:t> </w:t>
            </w:r>
            <w:r>
              <w:rPr>
                <w:spacing w:val="-2"/>
                <w:sz w:val="28"/>
              </w:rPr>
              <w:t>причин</w:t>
            </w:r>
          </w:p>
        </w:tc>
      </w:tr>
      <w:tr>
        <w:trPr>
          <w:trHeight w:val="441" w:hRule="atLeast"/>
        </w:trPr>
        <w:tc>
          <w:tcPr>
            <w:tcW w:w="782" w:type="dxa"/>
          </w:tcPr>
          <w:p>
            <w:pPr>
              <w:pStyle w:val="TableParagraph"/>
              <w:spacing w:before="54"/>
              <w:ind w:left="50"/>
              <w:rPr>
                <w:sz w:val="28"/>
              </w:rPr>
            </w:pPr>
            <w:r>
              <w:rPr>
                <w:spacing w:val="-4"/>
                <w:sz w:val="28"/>
              </w:rPr>
              <w:t>287.</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6"/>
                <w:sz w:val="28"/>
              </w:rPr>
              <w:t> </w:t>
            </w:r>
            <w:r>
              <w:rPr>
                <w:sz w:val="28"/>
              </w:rPr>
              <w:t>мужских</w:t>
            </w:r>
            <w:r>
              <w:rPr>
                <w:spacing w:val="-9"/>
                <w:sz w:val="28"/>
              </w:rPr>
              <w:t> </w:t>
            </w:r>
            <w:r>
              <w:rPr>
                <w:sz w:val="28"/>
              </w:rPr>
              <w:t>половых</w:t>
            </w:r>
            <w:r>
              <w:rPr>
                <w:spacing w:val="-6"/>
                <w:sz w:val="28"/>
              </w:rPr>
              <w:t> </w:t>
            </w:r>
            <w:r>
              <w:rPr>
                <w:sz w:val="28"/>
              </w:rPr>
              <w:t>органах,</w:t>
            </w:r>
            <w:r>
              <w:rPr>
                <w:spacing w:val="-7"/>
                <w:sz w:val="28"/>
              </w:rPr>
              <w:t> </w:t>
            </w:r>
            <w:r>
              <w:rPr>
                <w:sz w:val="28"/>
              </w:rPr>
              <w:t>взрослые</w:t>
            </w:r>
            <w:r>
              <w:rPr>
                <w:spacing w:val="-6"/>
                <w:sz w:val="28"/>
              </w:rPr>
              <w:t> </w:t>
            </w:r>
            <w:r>
              <w:rPr>
                <w:sz w:val="28"/>
              </w:rPr>
              <w:t>(уровень</w:t>
            </w:r>
            <w:r>
              <w:rPr>
                <w:spacing w:val="-10"/>
                <w:sz w:val="28"/>
              </w:rPr>
              <w:t> </w:t>
            </w:r>
            <w:r>
              <w:rPr>
                <w:spacing w:val="-5"/>
                <w:sz w:val="28"/>
              </w:rPr>
              <w:t>1)</w:t>
            </w:r>
          </w:p>
        </w:tc>
      </w:tr>
      <w:tr>
        <w:trPr>
          <w:trHeight w:val="764" w:hRule="atLeast"/>
        </w:trPr>
        <w:tc>
          <w:tcPr>
            <w:tcW w:w="782" w:type="dxa"/>
          </w:tcPr>
          <w:p>
            <w:pPr>
              <w:pStyle w:val="TableParagraph"/>
              <w:spacing w:before="54"/>
              <w:ind w:left="50"/>
              <w:rPr>
                <w:sz w:val="28"/>
              </w:rPr>
            </w:pPr>
            <w:r>
              <w:rPr>
                <w:spacing w:val="-4"/>
                <w:sz w:val="28"/>
              </w:rPr>
              <w:t>291.</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7"/>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1)</w:t>
            </w:r>
          </w:p>
        </w:tc>
      </w:tr>
      <w:tr>
        <w:trPr>
          <w:trHeight w:val="764" w:hRule="atLeast"/>
        </w:trPr>
        <w:tc>
          <w:tcPr>
            <w:tcW w:w="782" w:type="dxa"/>
          </w:tcPr>
          <w:p>
            <w:pPr>
              <w:pStyle w:val="TableParagraph"/>
              <w:spacing w:before="55"/>
              <w:ind w:left="50"/>
              <w:rPr>
                <w:sz w:val="28"/>
              </w:rPr>
            </w:pPr>
            <w:r>
              <w:rPr>
                <w:spacing w:val="-4"/>
                <w:sz w:val="28"/>
              </w:rPr>
              <w:t>292.</w:t>
            </w:r>
          </w:p>
        </w:tc>
        <w:tc>
          <w:tcPr>
            <w:tcW w:w="7749" w:type="dxa"/>
          </w:tcPr>
          <w:p>
            <w:pPr>
              <w:pStyle w:val="TableParagraph"/>
              <w:spacing w:before="55"/>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5"/>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2)</w:t>
            </w:r>
          </w:p>
        </w:tc>
      </w:tr>
      <w:tr>
        <w:trPr>
          <w:trHeight w:val="763" w:hRule="atLeast"/>
        </w:trPr>
        <w:tc>
          <w:tcPr>
            <w:tcW w:w="782" w:type="dxa"/>
          </w:tcPr>
          <w:p>
            <w:pPr>
              <w:pStyle w:val="TableParagraph"/>
              <w:spacing w:before="54"/>
              <w:ind w:left="50"/>
              <w:rPr>
                <w:sz w:val="28"/>
              </w:rPr>
            </w:pPr>
            <w:r>
              <w:rPr>
                <w:spacing w:val="-4"/>
                <w:sz w:val="28"/>
              </w:rPr>
              <w:t>293.</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7"/>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3)</w:t>
            </w:r>
          </w:p>
        </w:tc>
      </w:tr>
      <w:tr>
        <w:trPr>
          <w:trHeight w:val="764" w:hRule="atLeast"/>
        </w:trPr>
        <w:tc>
          <w:tcPr>
            <w:tcW w:w="782" w:type="dxa"/>
          </w:tcPr>
          <w:p>
            <w:pPr>
              <w:pStyle w:val="TableParagraph"/>
              <w:spacing w:before="54"/>
              <w:ind w:left="50"/>
              <w:rPr>
                <w:sz w:val="28"/>
              </w:rPr>
            </w:pPr>
            <w:r>
              <w:rPr>
                <w:spacing w:val="-4"/>
                <w:sz w:val="28"/>
              </w:rPr>
              <w:t>295.</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7"/>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5)</w:t>
            </w:r>
          </w:p>
        </w:tc>
      </w:tr>
      <w:tr>
        <w:trPr>
          <w:trHeight w:val="764" w:hRule="atLeast"/>
        </w:trPr>
        <w:tc>
          <w:tcPr>
            <w:tcW w:w="782" w:type="dxa"/>
          </w:tcPr>
          <w:p>
            <w:pPr>
              <w:pStyle w:val="TableParagraph"/>
              <w:spacing w:before="55"/>
              <w:ind w:left="50"/>
              <w:rPr>
                <w:sz w:val="28"/>
              </w:rPr>
            </w:pPr>
            <w:r>
              <w:rPr>
                <w:spacing w:val="-4"/>
                <w:sz w:val="28"/>
              </w:rPr>
              <w:t>313.</w:t>
            </w:r>
          </w:p>
        </w:tc>
        <w:tc>
          <w:tcPr>
            <w:tcW w:w="7749" w:type="dxa"/>
          </w:tcPr>
          <w:p>
            <w:pPr>
              <w:pStyle w:val="TableParagraph"/>
              <w:spacing w:before="55"/>
              <w:ind w:left="239"/>
              <w:rPr>
                <w:sz w:val="28"/>
              </w:rPr>
            </w:pPr>
            <w:r>
              <w:rPr>
                <w:sz w:val="28"/>
              </w:rPr>
              <w:t>Доброкачественные</w:t>
            </w:r>
            <w:r>
              <w:rPr>
                <w:spacing w:val="-11"/>
                <w:sz w:val="28"/>
              </w:rPr>
              <w:t> </w:t>
            </w:r>
            <w:r>
              <w:rPr>
                <w:sz w:val="28"/>
              </w:rPr>
              <w:t>новообразования,</w:t>
            </w:r>
            <w:r>
              <w:rPr>
                <w:spacing w:val="-9"/>
                <w:sz w:val="28"/>
              </w:rPr>
              <w:t> </w:t>
            </w:r>
            <w:r>
              <w:rPr>
                <w:sz w:val="28"/>
              </w:rPr>
              <w:t>новообразования</w:t>
            </w:r>
            <w:r>
              <w:rPr>
                <w:spacing w:val="-9"/>
                <w:sz w:val="28"/>
              </w:rPr>
              <w:t> </w:t>
            </w:r>
            <w:r>
              <w:rPr>
                <w:sz w:val="28"/>
              </w:rPr>
              <w:t>in</w:t>
            </w:r>
            <w:r>
              <w:rPr>
                <w:spacing w:val="-5"/>
                <w:sz w:val="28"/>
              </w:rPr>
              <w:t> </w:t>
            </w:r>
            <w:r>
              <w:rPr>
                <w:sz w:val="28"/>
              </w:rPr>
              <w:t>situ кожи, жировой ткани и другие болезни кожи</w:t>
            </w:r>
          </w:p>
        </w:tc>
      </w:tr>
      <w:tr>
        <w:trPr>
          <w:trHeight w:val="763" w:hRule="atLeast"/>
        </w:trPr>
        <w:tc>
          <w:tcPr>
            <w:tcW w:w="782" w:type="dxa"/>
          </w:tcPr>
          <w:p>
            <w:pPr>
              <w:pStyle w:val="TableParagraph"/>
              <w:spacing w:before="54"/>
              <w:ind w:left="50"/>
              <w:rPr>
                <w:sz w:val="28"/>
              </w:rPr>
            </w:pPr>
            <w:r>
              <w:rPr>
                <w:spacing w:val="-4"/>
                <w:sz w:val="28"/>
              </w:rPr>
              <w:t>317.</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желчном</w:t>
            </w:r>
            <w:r>
              <w:rPr>
                <w:spacing w:val="-7"/>
                <w:sz w:val="28"/>
              </w:rPr>
              <w:t> </w:t>
            </w:r>
            <w:r>
              <w:rPr>
                <w:sz w:val="28"/>
              </w:rPr>
              <w:t>пузыре</w:t>
            </w:r>
            <w:r>
              <w:rPr>
                <w:spacing w:val="-9"/>
                <w:sz w:val="28"/>
              </w:rPr>
              <w:t> </w:t>
            </w:r>
            <w:r>
              <w:rPr>
                <w:sz w:val="28"/>
              </w:rPr>
              <w:t>и</w:t>
            </w:r>
            <w:r>
              <w:rPr>
                <w:spacing w:val="-7"/>
                <w:sz w:val="28"/>
              </w:rPr>
              <w:t> </w:t>
            </w:r>
            <w:r>
              <w:rPr>
                <w:sz w:val="28"/>
              </w:rPr>
              <w:t>желчевыводящих</w:t>
            </w:r>
            <w:r>
              <w:rPr>
                <w:spacing w:val="-6"/>
                <w:sz w:val="28"/>
              </w:rPr>
              <w:t> </w:t>
            </w:r>
            <w:r>
              <w:rPr>
                <w:sz w:val="28"/>
              </w:rPr>
              <w:t>путях (уровень 2)</w:t>
            </w:r>
          </w:p>
        </w:tc>
      </w:tr>
      <w:tr>
        <w:trPr>
          <w:trHeight w:val="441" w:hRule="atLeast"/>
        </w:trPr>
        <w:tc>
          <w:tcPr>
            <w:tcW w:w="782" w:type="dxa"/>
          </w:tcPr>
          <w:p>
            <w:pPr>
              <w:pStyle w:val="TableParagraph"/>
              <w:spacing w:before="54"/>
              <w:ind w:left="50"/>
              <w:rPr>
                <w:sz w:val="28"/>
              </w:rPr>
            </w:pPr>
            <w:r>
              <w:rPr>
                <w:spacing w:val="-4"/>
                <w:sz w:val="28"/>
              </w:rPr>
              <w:t>327.</w:t>
            </w:r>
          </w:p>
        </w:tc>
        <w:tc>
          <w:tcPr>
            <w:tcW w:w="7749" w:type="dxa"/>
          </w:tcPr>
          <w:p>
            <w:pPr>
              <w:pStyle w:val="TableParagraph"/>
              <w:spacing w:before="54"/>
              <w:ind w:left="239"/>
              <w:rPr>
                <w:sz w:val="28"/>
              </w:rPr>
            </w:pPr>
            <w:r>
              <w:rPr>
                <w:sz w:val="28"/>
              </w:rPr>
              <w:t>Аппендэктомия,</w:t>
            </w:r>
            <w:r>
              <w:rPr>
                <w:spacing w:val="-8"/>
                <w:sz w:val="28"/>
              </w:rPr>
              <w:t> </w:t>
            </w:r>
            <w:r>
              <w:rPr>
                <w:sz w:val="28"/>
              </w:rPr>
              <w:t>взрослые</w:t>
            </w:r>
            <w:r>
              <w:rPr>
                <w:spacing w:val="-7"/>
                <w:sz w:val="28"/>
              </w:rPr>
              <w:t> </w:t>
            </w:r>
            <w:r>
              <w:rPr>
                <w:sz w:val="28"/>
              </w:rPr>
              <w:t>(уровень</w:t>
            </w:r>
            <w:r>
              <w:rPr>
                <w:spacing w:val="-8"/>
                <w:sz w:val="28"/>
              </w:rPr>
              <w:t> </w:t>
            </w:r>
            <w:r>
              <w:rPr>
                <w:spacing w:val="-5"/>
                <w:sz w:val="28"/>
              </w:rPr>
              <w:t>2)</w:t>
            </w:r>
          </w:p>
        </w:tc>
      </w:tr>
      <w:tr>
        <w:trPr>
          <w:trHeight w:val="441" w:hRule="atLeast"/>
        </w:trPr>
        <w:tc>
          <w:tcPr>
            <w:tcW w:w="782" w:type="dxa"/>
          </w:tcPr>
          <w:p>
            <w:pPr>
              <w:pStyle w:val="TableParagraph"/>
              <w:spacing w:before="54"/>
              <w:ind w:left="50"/>
              <w:rPr>
                <w:sz w:val="28"/>
              </w:rPr>
            </w:pPr>
            <w:r>
              <w:rPr>
                <w:spacing w:val="-4"/>
                <w:sz w:val="28"/>
              </w:rPr>
              <w:t>332.</w:t>
            </w:r>
          </w:p>
        </w:tc>
        <w:tc>
          <w:tcPr>
            <w:tcW w:w="7749" w:type="dxa"/>
          </w:tcPr>
          <w:p>
            <w:pPr>
              <w:pStyle w:val="TableParagraph"/>
              <w:spacing w:before="54"/>
              <w:ind w:left="239"/>
              <w:rPr>
                <w:sz w:val="28"/>
              </w:rPr>
            </w:pPr>
            <w:r>
              <w:rPr>
                <w:sz w:val="28"/>
              </w:rPr>
              <w:t>Другие</w:t>
            </w:r>
            <w:r>
              <w:rPr>
                <w:spacing w:val="-6"/>
                <w:sz w:val="28"/>
              </w:rPr>
              <w:t> </w:t>
            </w:r>
            <w:r>
              <w:rPr>
                <w:sz w:val="28"/>
              </w:rPr>
              <w:t>операции</w:t>
            </w:r>
            <w:r>
              <w:rPr>
                <w:spacing w:val="-9"/>
                <w:sz w:val="28"/>
              </w:rPr>
              <w:t> </w:t>
            </w:r>
            <w:r>
              <w:rPr>
                <w:sz w:val="28"/>
              </w:rPr>
              <w:t>на</w:t>
            </w:r>
            <w:r>
              <w:rPr>
                <w:spacing w:val="-7"/>
                <w:sz w:val="28"/>
              </w:rPr>
              <w:t> </w:t>
            </w:r>
            <w:r>
              <w:rPr>
                <w:sz w:val="28"/>
              </w:rPr>
              <w:t>органах</w:t>
            </w:r>
            <w:r>
              <w:rPr>
                <w:spacing w:val="-5"/>
                <w:sz w:val="28"/>
              </w:rPr>
              <w:t> </w:t>
            </w:r>
            <w:r>
              <w:rPr>
                <w:sz w:val="28"/>
              </w:rPr>
              <w:t>брюшной</w:t>
            </w:r>
            <w:r>
              <w:rPr>
                <w:spacing w:val="-6"/>
                <w:sz w:val="28"/>
              </w:rPr>
              <w:t> </w:t>
            </w:r>
            <w:r>
              <w:rPr>
                <w:sz w:val="28"/>
              </w:rPr>
              <w:t>полости</w:t>
            </w:r>
            <w:r>
              <w:rPr>
                <w:spacing w:val="-6"/>
                <w:sz w:val="28"/>
              </w:rPr>
              <w:t> </w:t>
            </w:r>
            <w:r>
              <w:rPr>
                <w:sz w:val="28"/>
              </w:rPr>
              <w:t>(уровень</w:t>
            </w:r>
            <w:r>
              <w:rPr>
                <w:spacing w:val="-6"/>
                <w:sz w:val="28"/>
              </w:rPr>
              <w:t> </w:t>
            </w:r>
            <w:r>
              <w:rPr>
                <w:spacing w:val="-5"/>
                <w:sz w:val="28"/>
              </w:rPr>
              <w:t>1)</w:t>
            </w:r>
          </w:p>
        </w:tc>
      </w:tr>
      <w:tr>
        <w:trPr>
          <w:trHeight w:val="376" w:hRule="atLeast"/>
        </w:trPr>
        <w:tc>
          <w:tcPr>
            <w:tcW w:w="782" w:type="dxa"/>
          </w:tcPr>
          <w:p>
            <w:pPr>
              <w:pStyle w:val="TableParagraph"/>
              <w:spacing w:line="302" w:lineRule="exact" w:before="54"/>
              <w:ind w:left="50"/>
              <w:rPr>
                <w:sz w:val="28"/>
              </w:rPr>
            </w:pPr>
            <w:r>
              <w:rPr>
                <w:spacing w:val="-4"/>
                <w:sz w:val="28"/>
              </w:rPr>
              <w:t>344.</w:t>
            </w:r>
          </w:p>
        </w:tc>
        <w:tc>
          <w:tcPr>
            <w:tcW w:w="7749" w:type="dxa"/>
          </w:tcPr>
          <w:p>
            <w:pPr>
              <w:pStyle w:val="TableParagraph"/>
              <w:spacing w:line="302" w:lineRule="exact" w:before="54"/>
              <w:ind w:left="239"/>
              <w:rPr>
                <w:sz w:val="28"/>
              </w:rPr>
            </w:pPr>
            <w:r>
              <w:rPr>
                <w:sz w:val="28"/>
              </w:rPr>
              <w:t>Операции</w:t>
            </w:r>
            <w:r>
              <w:rPr>
                <w:spacing w:val="-8"/>
                <w:sz w:val="28"/>
              </w:rPr>
              <w:t> </w:t>
            </w:r>
            <w:r>
              <w:rPr>
                <w:sz w:val="28"/>
              </w:rPr>
              <w:t>на</w:t>
            </w:r>
            <w:r>
              <w:rPr>
                <w:spacing w:val="-5"/>
                <w:sz w:val="28"/>
              </w:rPr>
              <w:t> </w:t>
            </w:r>
            <w:r>
              <w:rPr>
                <w:sz w:val="28"/>
              </w:rPr>
              <w:t>органах</w:t>
            </w:r>
            <w:r>
              <w:rPr>
                <w:spacing w:val="-5"/>
                <w:sz w:val="28"/>
              </w:rPr>
              <w:t> </w:t>
            </w:r>
            <w:r>
              <w:rPr>
                <w:sz w:val="28"/>
              </w:rPr>
              <w:t>полости</w:t>
            </w:r>
            <w:r>
              <w:rPr>
                <w:spacing w:val="-5"/>
                <w:sz w:val="28"/>
              </w:rPr>
              <w:t> </w:t>
            </w:r>
            <w:r>
              <w:rPr>
                <w:sz w:val="28"/>
              </w:rPr>
              <w:t>рта</w:t>
            </w:r>
            <w:r>
              <w:rPr>
                <w:spacing w:val="-2"/>
                <w:sz w:val="28"/>
              </w:rPr>
              <w:t> </w:t>
            </w:r>
            <w:r>
              <w:rPr>
                <w:sz w:val="28"/>
              </w:rPr>
              <w:t>(уровень</w:t>
            </w:r>
            <w:r>
              <w:rPr>
                <w:spacing w:val="-6"/>
                <w:sz w:val="28"/>
              </w:rPr>
              <w:t> </w:t>
            </w:r>
            <w:r>
              <w:rPr>
                <w:spacing w:val="-5"/>
                <w:sz w:val="28"/>
              </w:rPr>
              <w:t>1)</w:t>
            </w:r>
          </w:p>
        </w:tc>
      </w:tr>
    </w:tbl>
    <w:p>
      <w:pPr>
        <w:spacing w:after="0" w:line="30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5"/>
      </w:tblGrid>
      <w:tr>
        <w:trPr>
          <w:trHeight w:val="697" w:hRule="atLeast"/>
        </w:trPr>
        <w:tc>
          <w:tcPr>
            <w:tcW w:w="782" w:type="dxa"/>
          </w:tcPr>
          <w:p>
            <w:pPr>
              <w:pStyle w:val="TableParagraph"/>
              <w:spacing w:line="311" w:lineRule="exact"/>
              <w:ind w:left="50"/>
              <w:rPr>
                <w:sz w:val="28"/>
              </w:rPr>
            </w:pPr>
            <w:r>
              <w:rPr>
                <w:spacing w:val="-4"/>
                <w:sz w:val="28"/>
              </w:rPr>
              <w:t>357.</w:t>
            </w:r>
          </w:p>
        </w:tc>
        <w:tc>
          <w:tcPr>
            <w:tcW w:w="7915" w:type="dxa"/>
          </w:tcPr>
          <w:p>
            <w:pPr>
              <w:pStyle w:val="TableParagraph"/>
              <w:ind w:left="239"/>
              <w:rPr>
                <w:sz w:val="28"/>
              </w:rPr>
            </w:pPr>
            <w:r>
              <w:rPr>
                <w:sz w:val="28"/>
              </w:rPr>
              <w:t>Комплексное</w:t>
            </w:r>
            <w:r>
              <w:rPr>
                <w:spacing w:val="-9"/>
                <w:sz w:val="28"/>
              </w:rPr>
              <w:t> </w:t>
            </w:r>
            <w:r>
              <w:rPr>
                <w:sz w:val="28"/>
              </w:rPr>
              <w:t>лечение</w:t>
            </w:r>
            <w:r>
              <w:rPr>
                <w:spacing w:val="-9"/>
                <w:sz w:val="28"/>
              </w:rPr>
              <w:t> </w:t>
            </w:r>
            <w:r>
              <w:rPr>
                <w:sz w:val="28"/>
              </w:rPr>
              <w:t>с</w:t>
            </w:r>
            <w:r>
              <w:rPr>
                <w:spacing w:val="-9"/>
                <w:sz w:val="28"/>
              </w:rPr>
              <w:t> </w:t>
            </w:r>
            <w:r>
              <w:rPr>
                <w:sz w:val="28"/>
              </w:rPr>
              <w:t>применением</w:t>
            </w:r>
            <w:r>
              <w:rPr>
                <w:spacing w:val="-9"/>
                <w:sz w:val="28"/>
              </w:rPr>
              <w:t> </w:t>
            </w:r>
            <w:r>
              <w:rPr>
                <w:sz w:val="28"/>
              </w:rPr>
              <w:t>препаратов </w:t>
            </w:r>
            <w:r>
              <w:rPr>
                <w:spacing w:val="-2"/>
                <w:sz w:val="28"/>
              </w:rPr>
              <w:t>иммуноглобулина</w:t>
            </w:r>
            <w:r>
              <w:rPr>
                <w:spacing w:val="-2"/>
                <w:sz w:val="28"/>
                <w:vertAlign w:val="superscript"/>
              </w:rPr>
              <w:t>*</w:t>
            </w:r>
          </w:p>
        </w:tc>
      </w:tr>
      <w:tr>
        <w:trPr>
          <w:trHeight w:val="763" w:hRule="atLeast"/>
        </w:trPr>
        <w:tc>
          <w:tcPr>
            <w:tcW w:w="782" w:type="dxa"/>
          </w:tcPr>
          <w:p>
            <w:pPr>
              <w:pStyle w:val="TableParagraph"/>
              <w:spacing w:before="54"/>
              <w:ind w:left="50"/>
              <w:rPr>
                <w:sz w:val="28"/>
              </w:rPr>
            </w:pPr>
            <w:r>
              <w:rPr>
                <w:spacing w:val="-4"/>
                <w:sz w:val="28"/>
              </w:rPr>
              <w:t>360.</w:t>
            </w:r>
          </w:p>
        </w:tc>
        <w:tc>
          <w:tcPr>
            <w:tcW w:w="7915" w:type="dxa"/>
          </w:tcPr>
          <w:p>
            <w:pPr>
              <w:pStyle w:val="TableParagraph"/>
              <w:spacing w:before="54"/>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1)</w:t>
            </w:r>
          </w:p>
        </w:tc>
      </w:tr>
      <w:tr>
        <w:trPr>
          <w:trHeight w:val="764" w:hRule="atLeast"/>
        </w:trPr>
        <w:tc>
          <w:tcPr>
            <w:tcW w:w="782" w:type="dxa"/>
          </w:tcPr>
          <w:p>
            <w:pPr>
              <w:pStyle w:val="TableParagraph"/>
              <w:spacing w:before="54"/>
              <w:ind w:left="50"/>
              <w:rPr>
                <w:sz w:val="28"/>
              </w:rPr>
            </w:pPr>
            <w:r>
              <w:rPr>
                <w:spacing w:val="-4"/>
                <w:sz w:val="28"/>
              </w:rPr>
              <w:t>361.</w:t>
            </w:r>
          </w:p>
        </w:tc>
        <w:tc>
          <w:tcPr>
            <w:tcW w:w="7915" w:type="dxa"/>
          </w:tcPr>
          <w:p>
            <w:pPr>
              <w:pStyle w:val="TableParagraph"/>
              <w:spacing w:before="54"/>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2)</w:t>
            </w:r>
          </w:p>
        </w:tc>
      </w:tr>
      <w:tr>
        <w:trPr>
          <w:trHeight w:val="764" w:hRule="atLeast"/>
        </w:trPr>
        <w:tc>
          <w:tcPr>
            <w:tcW w:w="782" w:type="dxa"/>
          </w:tcPr>
          <w:p>
            <w:pPr>
              <w:pStyle w:val="TableParagraph"/>
              <w:spacing w:before="55"/>
              <w:ind w:left="50"/>
              <w:rPr>
                <w:sz w:val="28"/>
              </w:rPr>
            </w:pPr>
            <w:r>
              <w:rPr>
                <w:spacing w:val="-4"/>
                <w:sz w:val="28"/>
              </w:rPr>
              <w:t>362.</w:t>
            </w:r>
          </w:p>
        </w:tc>
        <w:tc>
          <w:tcPr>
            <w:tcW w:w="7915" w:type="dxa"/>
          </w:tcPr>
          <w:p>
            <w:pPr>
              <w:pStyle w:val="TableParagraph"/>
              <w:spacing w:before="55"/>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3)</w:t>
            </w:r>
          </w:p>
        </w:tc>
      </w:tr>
      <w:tr>
        <w:trPr>
          <w:trHeight w:val="763" w:hRule="atLeast"/>
        </w:trPr>
        <w:tc>
          <w:tcPr>
            <w:tcW w:w="782" w:type="dxa"/>
          </w:tcPr>
          <w:p>
            <w:pPr>
              <w:pStyle w:val="TableParagraph"/>
              <w:spacing w:before="54"/>
              <w:ind w:left="50"/>
              <w:rPr>
                <w:sz w:val="28"/>
              </w:rPr>
            </w:pPr>
            <w:r>
              <w:rPr>
                <w:spacing w:val="-4"/>
                <w:sz w:val="28"/>
              </w:rPr>
              <w:t>363.</w:t>
            </w:r>
          </w:p>
        </w:tc>
        <w:tc>
          <w:tcPr>
            <w:tcW w:w="7915" w:type="dxa"/>
          </w:tcPr>
          <w:p>
            <w:pPr>
              <w:pStyle w:val="TableParagraph"/>
              <w:spacing w:before="54"/>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4)</w:t>
            </w:r>
          </w:p>
        </w:tc>
      </w:tr>
      <w:tr>
        <w:trPr>
          <w:trHeight w:val="763" w:hRule="atLeast"/>
        </w:trPr>
        <w:tc>
          <w:tcPr>
            <w:tcW w:w="782" w:type="dxa"/>
          </w:tcPr>
          <w:p>
            <w:pPr>
              <w:pStyle w:val="TableParagraph"/>
              <w:spacing w:before="54"/>
              <w:ind w:left="50"/>
              <w:rPr>
                <w:sz w:val="28"/>
              </w:rPr>
            </w:pPr>
            <w:r>
              <w:rPr>
                <w:spacing w:val="-4"/>
                <w:sz w:val="28"/>
              </w:rPr>
              <w:t>366.</w:t>
            </w:r>
          </w:p>
        </w:tc>
        <w:tc>
          <w:tcPr>
            <w:tcW w:w="7915" w:type="dxa"/>
          </w:tcPr>
          <w:p>
            <w:pPr>
              <w:pStyle w:val="TableParagraph"/>
              <w:spacing w:before="54"/>
              <w:ind w:left="239"/>
              <w:rPr>
                <w:sz w:val="28"/>
              </w:rPr>
            </w:pPr>
            <w:r>
              <w:rPr>
                <w:sz w:val="28"/>
              </w:rPr>
              <w:t>Установка,</w:t>
            </w:r>
            <w:r>
              <w:rPr>
                <w:spacing w:val="-9"/>
                <w:sz w:val="28"/>
              </w:rPr>
              <w:t> </w:t>
            </w:r>
            <w:r>
              <w:rPr>
                <w:sz w:val="28"/>
              </w:rPr>
              <w:t>замена,</w:t>
            </w:r>
            <w:r>
              <w:rPr>
                <w:spacing w:val="-8"/>
                <w:sz w:val="28"/>
              </w:rPr>
              <w:t> </w:t>
            </w:r>
            <w:r>
              <w:rPr>
                <w:sz w:val="28"/>
              </w:rPr>
              <w:t>заправка</w:t>
            </w:r>
            <w:r>
              <w:rPr>
                <w:spacing w:val="-7"/>
                <w:sz w:val="28"/>
              </w:rPr>
              <w:t> </w:t>
            </w:r>
            <w:r>
              <w:rPr>
                <w:sz w:val="28"/>
              </w:rPr>
              <w:t>помп</w:t>
            </w:r>
            <w:r>
              <w:rPr>
                <w:spacing w:val="-7"/>
                <w:sz w:val="28"/>
              </w:rPr>
              <w:t> </w:t>
            </w:r>
            <w:r>
              <w:rPr>
                <w:sz w:val="28"/>
              </w:rPr>
              <w:t>для</w:t>
            </w:r>
            <w:r>
              <w:rPr>
                <w:spacing w:val="-7"/>
                <w:sz w:val="28"/>
              </w:rPr>
              <w:t> </w:t>
            </w:r>
            <w:r>
              <w:rPr>
                <w:sz w:val="28"/>
              </w:rPr>
              <w:t>лекарственных </w:t>
            </w:r>
            <w:r>
              <w:rPr>
                <w:spacing w:val="-2"/>
                <w:sz w:val="28"/>
              </w:rPr>
              <w:t>препаратов</w:t>
            </w:r>
          </w:p>
        </w:tc>
      </w:tr>
      <w:tr>
        <w:trPr>
          <w:trHeight w:val="442" w:hRule="atLeast"/>
        </w:trPr>
        <w:tc>
          <w:tcPr>
            <w:tcW w:w="782" w:type="dxa"/>
          </w:tcPr>
          <w:p>
            <w:pPr>
              <w:pStyle w:val="TableParagraph"/>
              <w:spacing w:before="54"/>
              <w:ind w:left="50"/>
              <w:rPr>
                <w:sz w:val="28"/>
              </w:rPr>
            </w:pPr>
            <w:r>
              <w:rPr>
                <w:spacing w:val="-4"/>
                <w:sz w:val="28"/>
              </w:rPr>
              <w:t>368.</w:t>
            </w:r>
          </w:p>
        </w:tc>
        <w:tc>
          <w:tcPr>
            <w:tcW w:w="7915" w:type="dxa"/>
          </w:tcPr>
          <w:p>
            <w:pPr>
              <w:pStyle w:val="TableParagraph"/>
              <w:spacing w:before="54"/>
              <w:ind w:left="239"/>
              <w:rPr>
                <w:sz w:val="28"/>
              </w:rPr>
            </w:pPr>
            <w:r>
              <w:rPr>
                <w:sz w:val="28"/>
              </w:rPr>
              <w:t>Реинфузия</w:t>
            </w:r>
            <w:r>
              <w:rPr>
                <w:spacing w:val="-8"/>
                <w:sz w:val="28"/>
              </w:rPr>
              <w:t> </w:t>
            </w:r>
            <w:r>
              <w:rPr>
                <w:spacing w:val="-2"/>
                <w:sz w:val="28"/>
              </w:rPr>
              <w:t>аутокрови</w:t>
            </w:r>
          </w:p>
        </w:tc>
      </w:tr>
      <w:tr>
        <w:trPr>
          <w:trHeight w:val="442" w:hRule="atLeast"/>
        </w:trPr>
        <w:tc>
          <w:tcPr>
            <w:tcW w:w="782" w:type="dxa"/>
          </w:tcPr>
          <w:p>
            <w:pPr>
              <w:pStyle w:val="TableParagraph"/>
              <w:spacing w:before="55"/>
              <w:ind w:left="50"/>
              <w:rPr>
                <w:sz w:val="28"/>
              </w:rPr>
            </w:pPr>
            <w:r>
              <w:rPr>
                <w:spacing w:val="-4"/>
                <w:sz w:val="28"/>
              </w:rPr>
              <w:t>369.</w:t>
            </w:r>
          </w:p>
        </w:tc>
        <w:tc>
          <w:tcPr>
            <w:tcW w:w="7915" w:type="dxa"/>
          </w:tcPr>
          <w:p>
            <w:pPr>
              <w:pStyle w:val="TableParagraph"/>
              <w:spacing w:before="55"/>
              <w:ind w:left="239"/>
              <w:rPr>
                <w:sz w:val="28"/>
              </w:rPr>
            </w:pPr>
            <w:r>
              <w:rPr>
                <w:sz w:val="28"/>
              </w:rPr>
              <w:t>Баллонная</w:t>
            </w:r>
            <w:r>
              <w:rPr>
                <w:spacing w:val="-12"/>
                <w:sz w:val="28"/>
              </w:rPr>
              <w:t> </w:t>
            </w:r>
            <w:r>
              <w:rPr>
                <w:sz w:val="28"/>
              </w:rPr>
              <w:t>внутриаортальная</w:t>
            </w:r>
            <w:r>
              <w:rPr>
                <w:spacing w:val="-11"/>
                <w:sz w:val="28"/>
              </w:rPr>
              <w:t> </w:t>
            </w:r>
            <w:r>
              <w:rPr>
                <w:spacing w:val="-2"/>
                <w:sz w:val="28"/>
              </w:rPr>
              <w:t>контрпульсация</w:t>
            </w:r>
          </w:p>
        </w:tc>
      </w:tr>
      <w:tr>
        <w:trPr>
          <w:trHeight w:val="441" w:hRule="atLeast"/>
        </w:trPr>
        <w:tc>
          <w:tcPr>
            <w:tcW w:w="782" w:type="dxa"/>
          </w:tcPr>
          <w:p>
            <w:pPr>
              <w:pStyle w:val="TableParagraph"/>
              <w:spacing w:before="54"/>
              <w:ind w:left="50"/>
              <w:rPr>
                <w:sz w:val="28"/>
              </w:rPr>
            </w:pPr>
            <w:r>
              <w:rPr>
                <w:spacing w:val="-4"/>
                <w:sz w:val="28"/>
              </w:rPr>
              <w:t>370.</w:t>
            </w:r>
          </w:p>
        </w:tc>
        <w:tc>
          <w:tcPr>
            <w:tcW w:w="7915" w:type="dxa"/>
          </w:tcPr>
          <w:p>
            <w:pPr>
              <w:pStyle w:val="TableParagraph"/>
              <w:spacing w:before="54"/>
              <w:ind w:left="239"/>
              <w:rPr>
                <w:sz w:val="28"/>
              </w:rPr>
            </w:pPr>
            <w:r>
              <w:rPr>
                <w:sz w:val="28"/>
              </w:rPr>
              <w:t>Экстракорпоральная</w:t>
            </w:r>
            <w:r>
              <w:rPr>
                <w:spacing w:val="-12"/>
                <w:sz w:val="28"/>
              </w:rPr>
              <w:t> </w:t>
            </w:r>
            <w:r>
              <w:rPr>
                <w:sz w:val="28"/>
              </w:rPr>
              <w:t>мембранная</w:t>
            </w:r>
            <w:r>
              <w:rPr>
                <w:spacing w:val="-12"/>
                <w:sz w:val="28"/>
              </w:rPr>
              <w:t> </w:t>
            </w:r>
            <w:r>
              <w:rPr>
                <w:spacing w:val="-2"/>
                <w:sz w:val="28"/>
              </w:rPr>
              <w:t>оксигенация</w:t>
            </w:r>
          </w:p>
        </w:tc>
      </w:tr>
      <w:tr>
        <w:trPr>
          <w:trHeight w:val="763" w:hRule="atLeast"/>
        </w:trPr>
        <w:tc>
          <w:tcPr>
            <w:tcW w:w="782" w:type="dxa"/>
          </w:tcPr>
          <w:p>
            <w:pPr>
              <w:pStyle w:val="TableParagraph"/>
              <w:spacing w:before="54"/>
              <w:ind w:left="50"/>
              <w:rPr>
                <w:sz w:val="28"/>
              </w:rPr>
            </w:pPr>
            <w:r>
              <w:rPr>
                <w:spacing w:val="-4"/>
                <w:sz w:val="28"/>
              </w:rPr>
              <w:t>371.</w:t>
            </w:r>
          </w:p>
        </w:tc>
        <w:tc>
          <w:tcPr>
            <w:tcW w:w="7915" w:type="dxa"/>
          </w:tcPr>
          <w:p>
            <w:pPr>
              <w:pStyle w:val="TableParagraph"/>
              <w:spacing w:before="54"/>
              <w:ind w:left="239" w:right="64"/>
              <w:rPr>
                <w:sz w:val="28"/>
              </w:rPr>
            </w:pPr>
            <w:r>
              <w:rPr>
                <w:sz w:val="28"/>
              </w:rPr>
              <w:t>Проведение</w:t>
            </w:r>
            <w:r>
              <w:rPr>
                <w:spacing w:val="-14"/>
                <w:sz w:val="28"/>
              </w:rPr>
              <w:t> </w:t>
            </w:r>
            <w:r>
              <w:rPr>
                <w:sz w:val="28"/>
              </w:rPr>
              <w:t>иммунизации</w:t>
            </w:r>
            <w:r>
              <w:rPr>
                <w:spacing w:val="-11"/>
                <w:sz w:val="28"/>
              </w:rPr>
              <w:t> </w:t>
            </w:r>
            <w:r>
              <w:rPr>
                <w:sz w:val="28"/>
              </w:rPr>
              <w:t>против</w:t>
            </w:r>
            <w:r>
              <w:rPr>
                <w:spacing w:val="-11"/>
                <w:sz w:val="28"/>
              </w:rPr>
              <w:t> </w:t>
            </w:r>
            <w:r>
              <w:rPr>
                <w:sz w:val="28"/>
              </w:rPr>
              <w:t>респираторно- синцитиальной вирусной инфекции</w:t>
            </w:r>
          </w:p>
        </w:tc>
      </w:tr>
      <w:tr>
        <w:trPr>
          <w:trHeight w:val="764" w:hRule="atLeast"/>
        </w:trPr>
        <w:tc>
          <w:tcPr>
            <w:tcW w:w="782" w:type="dxa"/>
          </w:tcPr>
          <w:p>
            <w:pPr>
              <w:pStyle w:val="TableParagraph"/>
              <w:spacing w:before="54"/>
              <w:ind w:left="50"/>
              <w:rPr>
                <w:sz w:val="28"/>
              </w:rPr>
            </w:pPr>
            <w:r>
              <w:rPr>
                <w:spacing w:val="-4"/>
                <w:sz w:val="28"/>
              </w:rPr>
              <w:t>376.</w:t>
            </w:r>
          </w:p>
        </w:tc>
        <w:tc>
          <w:tcPr>
            <w:tcW w:w="7915" w:type="dxa"/>
          </w:tcPr>
          <w:p>
            <w:pPr>
              <w:pStyle w:val="TableParagraph"/>
              <w:spacing w:before="5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1)</w:t>
            </w:r>
            <w:r>
              <w:rPr>
                <w:sz w:val="28"/>
                <w:vertAlign w:val="superscript"/>
              </w:rPr>
              <w:t>*</w:t>
            </w:r>
          </w:p>
        </w:tc>
      </w:tr>
      <w:tr>
        <w:trPr>
          <w:trHeight w:val="764" w:hRule="atLeast"/>
        </w:trPr>
        <w:tc>
          <w:tcPr>
            <w:tcW w:w="782" w:type="dxa"/>
          </w:tcPr>
          <w:p>
            <w:pPr>
              <w:pStyle w:val="TableParagraph"/>
              <w:spacing w:before="55"/>
              <w:ind w:left="50"/>
              <w:rPr>
                <w:sz w:val="28"/>
              </w:rPr>
            </w:pPr>
            <w:r>
              <w:rPr>
                <w:spacing w:val="-4"/>
                <w:sz w:val="28"/>
              </w:rPr>
              <w:t>377.</w:t>
            </w:r>
          </w:p>
        </w:tc>
        <w:tc>
          <w:tcPr>
            <w:tcW w:w="7915" w:type="dxa"/>
          </w:tcPr>
          <w:p>
            <w:pPr>
              <w:pStyle w:val="TableParagraph"/>
              <w:spacing w:before="55"/>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2)</w:t>
            </w:r>
            <w:r>
              <w:rPr>
                <w:sz w:val="28"/>
                <w:vertAlign w:val="superscript"/>
              </w:rPr>
              <w:t>*</w:t>
            </w:r>
          </w:p>
        </w:tc>
      </w:tr>
      <w:tr>
        <w:trPr>
          <w:trHeight w:val="763" w:hRule="atLeast"/>
        </w:trPr>
        <w:tc>
          <w:tcPr>
            <w:tcW w:w="782" w:type="dxa"/>
          </w:tcPr>
          <w:p>
            <w:pPr>
              <w:pStyle w:val="TableParagraph"/>
              <w:spacing w:before="54"/>
              <w:ind w:left="50"/>
              <w:rPr>
                <w:sz w:val="28"/>
              </w:rPr>
            </w:pPr>
            <w:r>
              <w:rPr>
                <w:spacing w:val="-4"/>
                <w:sz w:val="28"/>
              </w:rPr>
              <w:t>378.</w:t>
            </w:r>
          </w:p>
        </w:tc>
        <w:tc>
          <w:tcPr>
            <w:tcW w:w="7915" w:type="dxa"/>
          </w:tcPr>
          <w:p>
            <w:pPr>
              <w:pStyle w:val="TableParagraph"/>
              <w:spacing w:before="5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3)</w:t>
            </w:r>
            <w:r>
              <w:rPr>
                <w:sz w:val="28"/>
                <w:vertAlign w:val="superscript"/>
              </w:rPr>
              <w:t>*</w:t>
            </w:r>
          </w:p>
        </w:tc>
      </w:tr>
      <w:tr>
        <w:trPr>
          <w:trHeight w:val="441" w:hRule="atLeast"/>
        </w:trPr>
        <w:tc>
          <w:tcPr>
            <w:tcW w:w="782" w:type="dxa"/>
          </w:tcPr>
          <w:p>
            <w:pPr>
              <w:pStyle w:val="TableParagraph"/>
              <w:rPr>
                <w:sz w:val="28"/>
              </w:rPr>
            </w:pPr>
          </w:p>
        </w:tc>
        <w:tc>
          <w:tcPr>
            <w:tcW w:w="7915" w:type="dxa"/>
          </w:tcPr>
          <w:p>
            <w:pPr>
              <w:pStyle w:val="TableParagraph"/>
              <w:spacing w:before="54"/>
              <w:ind w:left="2095" w:right="1873"/>
              <w:jc w:val="center"/>
              <w:rPr>
                <w:sz w:val="28"/>
              </w:rPr>
            </w:pPr>
            <w:r>
              <w:rPr>
                <w:sz w:val="28"/>
              </w:rPr>
              <w:t>В</w:t>
            </w:r>
            <w:r>
              <w:rPr>
                <w:spacing w:val="-4"/>
                <w:sz w:val="28"/>
              </w:rPr>
              <w:t> </w:t>
            </w:r>
            <w:r>
              <w:rPr>
                <w:sz w:val="28"/>
              </w:rPr>
              <w:t>условиях</w:t>
            </w:r>
            <w:r>
              <w:rPr>
                <w:spacing w:val="-3"/>
                <w:sz w:val="28"/>
              </w:rPr>
              <w:t> </w:t>
            </w:r>
            <w:r>
              <w:rPr>
                <w:sz w:val="28"/>
              </w:rPr>
              <w:t>дневного</w:t>
            </w:r>
            <w:r>
              <w:rPr>
                <w:spacing w:val="-2"/>
                <w:sz w:val="28"/>
              </w:rPr>
              <w:t> стационара</w:t>
            </w:r>
          </w:p>
        </w:tc>
      </w:tr>
      <w:tr>
        <w:trPr>
          <w:trHeight w:val="442" w:hRule="atLeast"/>
        </w:trPr>
        <w:tc>
          <w:tcPr>
            <w:tcW w:w="782" w:type="dxa"/>
          </w:tcPr>
          <w:p>
            <w:pPr>
              <w:pStyle w:val="TableParagraph"/>
              <w:spacing w:before="54"/>
              <w:ind w:left="189"/>
              <w:rPr>
                <w:sz w:val="28"/>
              </w:rPr>
            </w:pPr>
            <w:r>
              <w:rPr>
                <w:spacing w:val="-5"/>
                <w:sz w:val="28"/>
              </w:rPr>
              <w:t>1.</w:t>
            </w:r>
          </w:p>
        </w:tc>
        <w:tc>
          <w:tcPr>
            <w:tcW w:w="7915" w:type="dxa"/>
          </w:tcPr>
          <w:p>
            <w:pPr>
              <w:pStyle w:val="TableParagraph"/>
              <w:spacing w:before="54"/>
              <w:ind w:left="239"/>
              <w:rPr>
                <w:sz w:val="28"/>
              </w:rPr>
            </w:pPr>
            <w:r>
              <w:rPr>
                <w:sz w:val="28"/>
              </w:rPr>
              <w:t>Осложнения</w:t>
            </w:r>
            <w:r>
              <w:rPr>
                <w:spacing w:val="-11"/>
                <w:sz w:val="28"/>
              </w:rPr>
              <w:t> </w:t>
            </w:r>
            <w:r>
              <w:rPr>
                <w:sz w:val="28"/>
              </w:rPr>
              <w:t>беременности,</w:t>
            </w:r>
            <w:r>
              <w:rPr>
                <w:spacing w:val="-10"/>
                <w:sz w:val="28"/>
              </w:rPr>
              <w:t> </w:t>
            </w:r>
            <w:r>
              <w:rPr>
                <w:sz w:val="28"/>
              </w:rPr>
              <w:t>родов,</w:t>
            </w:r>
            <w:r>
              <w:rPr>
                <w:spacing w:val="-10"/>
                <w:sz w:val="28"/>
              </w:rPr>
              <w:t> </w:t>
            </w:r>
            <w:r>
              <w:rPr>
                <w:sz w:val="28"/>
              </w:rPr>
              <w:t>послеродового</w:t>
            </w:r>
            <w:r>
              <w:rPr>
                <w:spacing w:val="-10"/>
                <w:sz w:val="28"/>
              </w:rPr>
              <w:t> </w:t>
            </w:r>
            <w:r>
              <w:rPr>
                <w:spacing w:val="-2"/>
                <w:sz w:val="28"/>
              </w:rPr>
              <w:t>периода</w:t>
            </w:r>
          </w:p>
        </w:tc>
      </w:tr>
      <w:tr>
        <w:trPr>
          <w:trHeight w:val="442" w:hRule="atLeast"/>
        </w:trPr>
        <w:tc>
          <w:tcPr>
            <w:tcW w:w="782" w:type="dxa"/>
          </w:tcPr>
          <w:p>
            <w:pPr>
              <w:pStyle w:val="TableParagraph"/>
              <w:spacing w:before="55"/>
              <w:ind w:left="189"/>
              <w:rPr>
                <w:sz w:val="28"/>
              </w:rPr>
            </w:pPr>
            <w:r>
              <w:rPr>
                <w:spacing w:val="-5"/>
                <w:sz w:val="28"/>
              </w:rPr>
              <w:t>5.</w:t>
            </w:r>
          </w:p>
        </w:tc>
        <w:tc>
          <w:tcPr>
            <w:tcW w:w="7915" w:type="dxa"/>
          </w:tcPr>
          <w:p>
            <w:pPr>
              <w:pStyle w:val="TableParagraph"/>
              <w:spacing w:before="55"/>
              <w:ind w:left="239"/>
              <w:rPr>
                <w:sz w:val="28"/>
              </w:rPr>
            </w:pPr>
            <w:r>
              <w:rPr>
                <w:sz w:val="28"/>
              </w:rPr>
              <w:t>Искусственное</w:t>
            </w:r>
            <w:r>
              <w:rPr>
                <w:spacing w:val="-11"/>
                <w:sz w:val="28"/>
              </w:rPr>
              <w:t> </w:t>
            </w:r>
            <w:r>
              <w:rPr>
                <w:sz w:val="28"/>
              </w:rPr>
              <w:t>прерывание</w:t>
            </w:r>
            <w:r>
              <w:rPr>
                <w:spacing w:val="-11"/>
                <w:sz w:val="28"/>
              </w:rPr>
              <w:t> </w:t>
            </w:r>
            <w:r>
              <w:rPr>
                <w:sz w:val="28"/>
              </w:rPr>
              <w:t>беременности</w:t>
            </w:r>
            <w:r>
              <w:rPr>
                <w:spacing w:val="-8"/>
                <w:sz w:val="28"/>
              </w:rPr>
              <w:t> </w:t>
            </w:r>
            <w:r>
              <w:rPr>
                <w:spacing w:val="-2"/>
                <w:sz w:val="28"/>
              </w:rPr>
              <w:t>(аборт)</w:t>
            </w:r>
          </w:p>
        </w:tc>
      </w:tr>
      <w:tr>
        <w:trPr>
          <w:trHeight w:val="441" w:hRule="atLeast"/>
        </w:trPr>
        <w:tc>
          <w:tcPr>
            <w:tcW w:w="782" w:type="dxa"/>
          </w:tcPr>
          <w:p>
            <w:pPr>
              <w:pStyle w:val="TableParagraph"/>
              <w:spacing w:before="54"/>
              <w:ind w:left="189"/>
              <w:rPr>
                <w:sz w:val="28"/>
              </w:rPr>
            </w:pPr>
            <w:r>
              <w:rPr>
                <w:spacing w:val="-5"/>
                <w:sz w:val="28"/>
              </w:rPr>
              <w:t>6.</w:t>
            </w:r>
          </w:p>
        </w:tc>
        <w:tc>
          <w:tcPr>
            <w:tcW w:w="7915" w:type="dxa"/>
          </w:tcPr>
          <w:p>
            <w:pPr>
              <w:pStyle w:val="TableParagraph"/>
              <w:spacing w:before="54"/>
              <w:ind w:left="239"/>
              <w:rPr>
                <w:sz w:val="28"/>
              </w:rPr>
            </w:pPr>
            <w:r>
              <w:rPr>
                <w:sz w:val="28"/>
              </w:rPr>
              <w:t>Аборт</w:t>
            </w:r>
            <w:r>
              <w:rPr>
                <w:spacing w:val="-5"/>
                <w:sz w:val="28"/>
              </w:rPr>
              <w:t> </w:t>
            </w:r>
            <w:r>
              <w:rPr>
                <w:spacing w:val="-2"/>
                <w:sz w:val="28"/>
              </w:rPr>
              <w:t>медикаментозный</w:t>
            </w:r>
          </w:p>
        </w:tc>
      </w:tr>
      <w:tr>
        <w:trPr>
          <w:trHeight w:val="441" w:hRule="atLeast"/>
        </w:trPr>
        <w:tc>
          <w:tcPr>
            <w:tcW w:w="782" w:type="dxa"/>
          </w:tcPr>
          <w:p>
            <w:pPr>
              <w:pStyle w:val="TableParagraph"/>
              <w:spacing w:before="54"/>
              <w:ind w:left="189"/>
              <w:rPr>
                <w:sz w:val="28"/>
              </w:rPr>
            </w:pPr>
            <w:r>
              <w:rPr>
                <w:spacing w:val="-5"/>
                <w:sz w:val="28"/>
              </w:rPr>
              <w:t>7.</w:t>
            </w:r>
          </w:p>
        </w:tc>
        <w:tc>
          <w:tcPr>
            <w:tcW w:w="7915" w:type="dxa"/>
          </w:tcPr>
          <w:p>
            <w:pPr>
              <w:pStyle w:val="TableParagraph"/>
              <w:spacing w:before="54"/>
              <w:ind w:left="239"/>
              <w:rPr>
                <w:sz w:val="28"/>
              </w:rPr>
            </w:pPr>
            <w:r>
              <w:rPr>
                <w:sz w:val="28"/>
              </w:rPr>
              <w:t>Экстракорпоральное</w:t>
            </w:r>
            <w:r>
              <w:rPr>
                <w:spacing w:val="-13"/>
                <w:sz w:val="28"/>
              </w:rPr>
              <w:t> </w:t>
            </w:r>
            <w:r>
              <w:rPr>
                <w:sz w:val="28"/>
              </w:rPr>
              <w:t>оплодотворение</w:t>
            </w:r>
            <w:r>
              <w:rPr>
                <w:spacing w:val="-13"/>
                <w:sz w:val="28"/>
              </w:rPr>
              <w:t> </w:t>
            </w:r>
            <w:r>
              <w:rPr>
                <w:sz w:val="28"/>
              </w:rPr>
              <w:t>(уровень</w:t>
            </w:r>
            <w:r>
              <w:rPr>
                <w:spacing w:val="-13"/>
                <w:sz w:val="28"/>
              </w:rPr>
              <w:t> </w:t>
            </w:r>
            <w:r>
              <w:rPr>
                <w:spacing w:val="-5"/>
                <w:sz w:val="28"/>
              </w:rPr>
              <w:t>1)</w:t>
            </w:r>
          </w:p>
        </w:tc>
      </w:tr>
      <w:tr>
        <w:trPr>
          <w:trHeight w:val="698" w:hRule="atLeast"/>
        </w:trPr>
        <w:tc>
          <w:tcPr>
            <w:tcW w:w="782" w:type="dxa"/>
          </w:tcPr>
          <w:p>
            <w:pPr>
              <w:pStyle w:val="TableParagraph"/>
              <w:spacing w:before="54"/>
              <w:ind w:left="119"/>
              <w:rPr>
                <w:sz w:val="28"/>
              </w:rPr>
            </w:pPr>
            <w:r>
              <w:rPr>
                <w:spacing w:val="-5"/>
                <w:sz w:val="28"/>
              </w:rPr>
              <w:t>15.</w:t>
            </w:r>
          </w:p>
        </w:tc>
        <w:tc>
          <w:tcPr>
            <w:tcW w:w="7915" w:type="dxa"/>
          </w:tcPr>
          <w:p>
            <w:pPr>
              <w:pStyle w:val="TableParagraph"/>
              <w:spacing w:line="320" w:lineRule="atLeast" w:before="34"/>
              <w:ind w:left="239"/>
              <w:rPr>
                <w:sz w:val="28"/>
              </w:rPr>
            </w:pPr>
            <w:r>
              <w:rPr>
                <w:sz w:val="28"/>
              </w:rPr>
              <w:t>Лекарственная</w:t>
            </w:r>
            <w:r>
              <w:rPr>
                <w:spacing w:val="-9"/>
                <w:sz w:val="28"/>
              </w:rPr>
              <w:t> </w:t>
            </w:r>
            <w:r>
              <w:rPr>
                <w:sz w:val="28"/>
              </w:rPr>
              <w:t>терапия</w:t>
            </w:r>
            <w:r>
              <w:rPr>
                <w:spacing w:val="-11"/>
                <w:sz w:val="28"/>
              </w:rPr>
              <w:t> </w:t>
            </w:r>
            <w:r>
              <w:rPr>
                <w:sz w:val="28"/>
              </w:rPr>
              <w:t>при</w:t>
            </w:r>
            <w:r>
              <w:rPr>
                <w:spacing w:val="-11"/>
                <w:sz w:val="28"/>
              </w:rPr>
              <w:t> </w:t>
            </w:r>
            <w:r>
              <w:rPr>
                <w:sz w:val="28"/>
              </w:rPr>
              <w:t>доброкачественных</w:t>
            </w:r>
            <w:r>
              <w:rPr>
                <w:spacing w:val="-8"/>
                <w:sz w:val="28"/>
              </w:rPr>
              <w:t> </w:t>
            </w:r>
            <w:r>
              <w:rPr>
                <w:sz w:val="28"/>
              </w:rPr>
              <w:t>заболеваниях крови и пузырном заносе</w:t>
            </w:r>
            <w:r>
              <w:rPr>
                <w:sz w:val="28"/>
                <w:vertAlign w:val="superscript"/>
              </w:rPr>
              <w:t>*</w:t>
            </w:r>
          </w:p>
        </w:tc>
      </w:tr>
    </w:tbl>
    <w:p>
      <w:pPr>
        <w:spacing w:after="0" w:line="320" w:lineRule="atLeas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7962"/>
      </w:tblGrid>
      <w:tr>
        <w:trPr>
          <w:trHeight w:val="999" w:hRule="atLeast"/>
        </w:trPr>
        <w:tc>
          <w:tcPr>
            <w:tcW w:w="678" w:type="dxa"/>
          </w:tcPr>
          <w:p>
            <w:pPr>
              <w:pStyle w:val="TableParagraph"/>
              <w:spacing w:line="311" w:lineRule="exact"/>
              <w:ind w:left="50"/>
              <w:rPr>
                <w:sz w:val="28"/>
              </w:rPr>
            </w:pPr>
            <w:r>
              <w:rPr>
                <w:spacing w:val="-5"/>
                <w:sz w:val="28"/>
              </w:rPr>
              <w:t>21.</w:t>
            </w:r>
          </w:p>
        </w:tc>
        <w:tc>
          <w:tcPr>
            <w:tcW w:w="7962" w:type="dxa"/>
          </w:tcPr>
          <w:p>
            <w:pPr>
              <w:pStyle w:val="TableParagraph"/>
              <w:ind w:left="274" w:right="117"/>
              <w:rPr>
                <w:sz w:val="28"/>
              </w:rPr>
            </w:pPr>
            <w:r>
              <w:rPr>
                <w:sz w:val="28"/>
              </w:rPr>
              <w:t>Лекарственная терапия при злокачественных новообразованиях</w:t>
            </w:r>
            <w:r>
              <w:rPr>
                <w:spacing w:val="-8"/>
                <w:sz w:val="28"/>
              </w:rPr>
              <w:t> </w:t>
            </w:r>
            <w:r>
              <w:rPr>
                <w:sz w:val="28"/>
              </w:rPr>
              <w:t>других</w:t>
            </w:r>
            <w:r>
              <w:rPr>
                <w:spacing w:val="-8"/>
                <w:sz w:val="28"/>
              </w:rPr>
              <w:t> </w:t>
            </w:r>
            <w:r>
              <w:rPr>
                <w:sz w:val="28"/>
              </w:rPr>
              <w:t>локализаций</w:t>
            </w:r>
            <w:r>
              <w:rPr>
                <w:spacing w:val="-9"/>
                <w:sz w:val="28"/>
              </w:rPr>
              <w:t> </w:t>
            </w:r>
            <w:r>
              <w:rPr>
                <w:sz w:val="28"/>
              </w:rPr>
              <w:t>(кроме</w:t>
            </w:r>
            <w:r>
              <w:rPr>
                <w:spacing w:val="-9"/>
                <w:sz w:val="28"/>
              </w:rPr>
              <w:t> </w:t>
            </w:r>
            <w:r>
              <w:rPr>
                <w:sz w:val="28"/>
              </w:rPr>
              <w:t>лимфоидной</w:t>
            </w:r>
            <w:r>
              <w:rPr>
                <w:spacing w:val="-11"/>
                <w:sz w:val="28"/>
              </w:rPr>
              <w:t> </w:t>
            </w:r>
            <w:r>
              <w:rPr>
                <w:sz w:val="28"/>
              </w:rPr>
              <w:t>и кроветворной тканей), дети</w:t>
            </w:r>
            <w:r>
              <w:rPr>
                <w:sz w:val="28"/>
                <w:vertAlign w:val="superscript"/>
              </w:rPr>
              <w:t>*</w:t>
            </w:r>
          </w:p>
        </w:tc>
      </w:tr>
      <w:tr>
        <w:trPr>
          <w:trHeight w:val="461" w:hRule="atLeast"/>
        </w:trPr>
        <w:tc>
          <w:tcPr>
            <w:tcW w:w="678" w:type="dxa"/>
          </w:tcPr>
          <w:p>
            <w:pPr>
              <w:pStyle w:val="TableParagraph"/>
              <w:spacing w:before="74"/>
              <w:ind w:left="50"/>
              <w:rPr>
                <w:sz w:val="28"/>
              </w:rPr>
            </w:pPr>
            <w:r>
              <w:rPr>
                <w:spacing w:val="-5"/>
                <w:sz w:val="28"/>
              </w:rPr>
              <w:t>22.</w:t>
            </w:r>
          </w:p>
        </w:tc>
        <w:tc>
          <w:tcPr>
            <w:tcW w:w="7962" w:type="dxa"/>
          </w:tcPr>
          <w:p>
            <w:pPr>
              <w:pStyle w:val="TableParagraph"/>
              <w:spacing w:before="74"/>
              <w:ind w:left="274"/>
              <w:rPr>
                <w:sz w:val="28"/>
              </w:rPr>
            </w:pPr>
            <w:r>
              <w:rPr>
                <w:sz w:val="28"/>
              </w:rPr>
              <w:t>Лекарственная</w:t>
            </w:r>
            <w:r>
              <w:rPr>
                <w:spacing w:val="-7"/>
                <w:sz w:val="28"/>
              </w:rPr>
              <w:t> </w:t>
            </w:r>
            <w:r>
              <w:rPr>
                <w:sz w:val="28"/>
              </w:rPr>
              <w:t>терапия</w:t>
            </w:r>
            <w:r>
              <w:rPr>
                <w:spacing w:val="-8"/>
                <w:sz w:val="28"/>
              </w:rPr>
              <w:t> </w:t>
            </w:r>
            <w:r>
              <w:rPr>
                <w:sz w:val="28"/>
              </w:rPr>
              <w:t>при</w:t>
            </w:r>
            <w:r>
              <w:rPr>
                <w:spacing w:val="-7"/>
                <w:sz w:val="28"/>
              </w:rPr>
              <w:t> </w:t>
            </w:r>
            <w:r>
              <w:rPr>
                <w:sz w:val="28"/>
              </w:rPr>
              <w:t>остром</w:t>
            </w:r>
            <w:r>
              <w:rPr>
                <w:spacing w:val="-5"/>
                <w:sz w:val="28"/>
              </w:rPr>
              <w:t> </w:t>
            </w:r>
            <w:r>
              <w:rPr>
                <w:sz w:val="28"/>
              </w:rPr>
              <w:t>лейкозе,</w:t>
            </w:r>
            <w:r>
              <w:rPr>
                <w:spacing w:val="-5"/>
                <w:sz w:val="28"/>
              </w:rPr>
              <w:t> </w:t>
            </w:r>
            <w:r>
              <w:rPr>
                <w:spacing w:val="-2"/>
                <w:sz w:val="28"/>
              </w:rPr>
              <w:t>дети</w:t>
            </w:r>
            <w:r>
              <w:rPr>
                <w:spacing w:val="-2"/>
                <w:sz w:val="28"/>
                <w:vertAlign w:val="superscript"/>
              </w:rPr>
              <w:t>*</w:t>
            </w:r>
          </w:p>
        </w:tc>
      </w:tr>
      <w:tr>
        <w:trPr>
          <w:trHeight w:val="764" w:hRule="atLeast"/>
        </w:trPr>
        <w:tc>
          <w:tcPr>
            <w:tcW w:w="678" w:type="dxa"/>
          </w:tcPr>
          <w:p>
            <w:pPr>
              <w:pStyle w:val="TableParagraph"/>
              <w:spacing w:before="54"/>
              <w:ind w:left="50"/>
              <w:rPr>
                <w:sz w:val="28"/>
              </w:rPr>
            </w:pPr>
            <w:r>
              <w:rPr>
                <w:spacing w:val="-5"/>
                <w:sz w:val="28"/>
              </w:rPr>
              <w:t>23.</w:t>
            </w:r>
          </w:p>
        </w:tc>
        <w:tc>
          <w:tcPr>
            <w:tcW w:w="7962" w:type="dxa"/>
          </w:tcPr>
          <w:p>
            <w:pPr>
              <w:pStyle w:val="TableParagraph"/>
              <w:spacing w:before="54"/>
              <w:ind w:left="274" w:right="117"/>
              <w:rPr>
                <w:sz w:val="28"/>
              </w:rPr>
            </w:pPr>
            <w:r>
              <w:rPr>
                <w:sz w:val="28"/>
              </w:rPr>
              <w:t>Лекарственная терапия при других злокачественных новообразованиях</w:t>
            </w:r>
            <w:r>
              <w:rPr>
                <w:spacing w:val="-6"/>
                <w:sz w:val="28"/>
              </w:rPr>
              <w:t> </w:t>
            </w:r>
            <w:r>
              <w:rPr>
                <w:sz w:val="28"/>
              </w:rPr>
              <w:t>лимфоидной</w:t>
            </w:r>
            <w:r>
              <w:rPr>
                <w:spacing w:val="-7"/>
                <w:sz w:val="28"/>
              </w:rPr>
              <w:t> </w:t>
            </w:r>
            <w:r>
              <w:rPr>
                <w:sz w:val="28"/>
              </w:rPr>
              <w:t>и</w:t>
            </w:r>
            <w:r>
              <w:rPr>
                <w:spacing w:val="-7"/>
                <w:sz w:val="28"/>
              </w:rPr>
              <w:t> </w:t>
            </w:r>
            <w:r>
              <w:rPr>
                <w:sz w:val="28"/>
              </w:rPr>
              <w:t>кроветворной</w:t>
            </w:r>
            <w:r>
              <w:rPr>
                <w:spacing w:val="-7"/>
                <w:sz w:val="28"/>
              </w:rPr>
              <w:t> </w:t>
            </w:r>
            <w:r>
              <w:rPr>
                <w:sz w:val="28"/>
              </w:rPr>
              <w:t>тканей,</w:t>
            </w:r>
            <w:r>
              <w:rPr>
                <w:spacing w:val="-8"/>
                <w:sz w:val="28"/>
              </w:rPr>
              <w:t> </w:t>
            </w:r>
            <w:r>
              <w:rPr>
                <w:sz w:val="28"/>
              </w:rPr>
              <w:t>дети</w:t>
            </w:r>
            <w:r>
              <w:rPr>
                <w:sz w:val="28"/>
                <w:vertAlign w:val="superscript"/>
              </w:rPr>
              <w:t>*</w:t>
            </w:r>
          </w:p>
        </w:tc>
      </w:tr>
      <w:tr>
        <w:trPr>
          <w:trHeight w:val="1407" w:hRule="atLeast"/>
        </w:trPr>
        <w:tc>
          <w:tcPr>
            <w:tcW w:w="678" w:type="dxa"/>
          </w:tcPr>
          <w:p>
            <w:pPr>
              <w:pStyle w:val="TableParagraph"/>
              <w:spacing w:before="55"/>
              <w:ind w:left="50"/>
              <w:rPr>
                <w:sz w:val="28"/>
              </w:rPr>
            </w:pPr>
            <w:r>
              <w:rPr>
                <w:spacing w:val="-5"/>
                <w:sz w:val="28"/>
              </w:rPr>
              <w:t>39.</w:t>
            </w:r>
          </w:p>
        </w:tc>
        <w:tc>
          <w:tcPr>
            <w:tcW w:w="7962" w:type="dxa"/>
          </w:tcPr>
          <w:p>
            <w:pPr>
              <w:pStyle w:val="TableParagraph"/>
              <w:spacing w:before="55"/>
              <w:ind w:left="274"/>
              <w:rPr>
                <w:sz w:val="28"/>
              </w:rPr>
            </w:pPr>
            <w:r>
              <w:rPr>
                <w:sz w:val="28"/>
              </w:rPr>
              <w:t>Лечение наследственных атерогенных нарушений липидного обмена</w:t>
            </w:r>
            <w:r>
              <w:rPr>
                <w:spacing w:val="-5"/>
                <w:sz w:val="28"/>
              </w:rPr>
              <w:t> </w:t>
            </w:r>
            <w:r>
              <w:rPr>
                <w:sz w:val="28"/>
              </w:rPr>
              <w:t>с</w:t>
            </w:r>
            <w:r>
              <w:rPr>
                <w:spacing w:val="-8"/>
                <w:sz w:val="28"/>
              </w:rPr>
              <w:t> </w:t>
            </w:r>
            <w:r>
              <w:rPr>
                <w:sz w:val="28"/>
              </w:rPr>
              <w:t>применением</w:t>
            </w:r>
            <w:r>
              <w:rPr>
                <w:spacing w:val="-5"/>
                <w:sz w:val="28"/>
              </w:rPr>
              <w:t> </w:t>
            </w:r>
            <w:r>
              <w:rPr>
                <w:sz w:val="28"/>
              </w:rPr>
              <w:t>методов</w:t>
            </w:r>
            <w:r>
              <w:rPr>
                <w:spacing w:val="-7"/>
                <w:sz w:val="28"/>
              </w:rPr>
              <w:t> </w:t>
            </w:r>
            <w:r>
              <w:rPr>
                <w:sz w:val="28"/>
              </w:rPr>
              <w:t>афереза</w:t>
            </w:r>
            <w:r>
              <w:rPr>
                <w:spacing w:val="-8"/>
                <w:sz w:val="28"/>
              </w:rPr>
              <w:t> </w:t>
            </w:r>
            <w:r>
              <w:rPr>
                <w:sz w:val="28"/>
              </w:rPr>
              <w:t>(липидная</w:t>
            </w:r>
            <w:r>
              <w:rPr>
                <w:spacing w:val="-7"/>
                <w:sz w:val="28"/>
              </w:rPr>
              <w:t> </w:t>
            </w:r>
            <w:r>
              <w:rPr>
                <w:sz w:val="28"/>
              </w:rPr>
              <w:t>фильтрация, афинная</w:t>
            </w:r>
            <w:r>
              <w:rPr>
                <w:spacing w:val="-5"/>
                <w:sz w:val="28"/>
              </w:rPr>
              <w:t> </w:t>
            </w:r>
            <w:r>
              <w:rPr>
                <w:sz w:val="28"/>
              </w:rPr>
              <w:t>и</w:t>
            </w:r>
            <w:r>
              <w:rPr>
                <w:spacing w:val="-8"/>
                <w:sz w:val="28"/>
              </w:rPr>
              <w:t> </w:t>
            </w:r>
            <w:r>
              <w:rPr>
                <w:sz w:val="28"/>
              </w:rPr>
              <w:t>иммуносорбция</w:t>
            </w:r>
            <w:r>
              <w:rPr>
                <w:spacing w:val="-5"/>
                <w:sz w:val="28"/>
              </w:rPr>
              <w:t> </w:t>
            </w:r>
            <w:r>
              <w:rPr>
                <w:sz w:val="28"/>
              </w:rPr>
              <w:t>липопротеидов)</w:t>
            </w:r>
            <w:r>
              <w:rPr>
                <w:spacing w:val="-7"/>
                <w:sz w:val="28"/>
              </w:rPr>
              <w:t> </w:t>
            </w:r>
            <w:r>
              <w:rPr>
                <w:sz w:val="28"/>
              </w:rPr>
              <w:t>в</w:t>
            </w:r>
            <w:r>
              <w:rPr>
                <w:spacing w:val="-7"/>
                <w:sz w:val="28"/>
              </w:rPr>
              <w:t> </w:t>
            </w:r>
            <w:r>
              <w:rPr>
                <w:sz w:val="28"/>
              </w:rPr>
              <w:t>случае</w:t>
            </w:r>
            <w:r>
              <w:rPr>
                <w:spacing w:val="-5"/>
                <w:sz w:val="28"/>
              </w:rPr>
              <w:t> </w:t>
            </w:r>
            <w:r>
              <w:rPr>
                <w:sz w:val="28"/>
              </w:rPr>
              <w:t>отсутствия эффективности базисной терапии</w:t>
            </w:r>
          </w:p>
        </w:tc>
      </w:tr>
      <w:tr>
        <w:trPr>
          <w:trHeight w:val="763" w:hRule="atLeast"/>
        </w:trPr>
        <w:tc>
          <w:tcPr>
            <w:tcW w:w="678" w:type="dxa"/>
          </w:tcPr>
          <w:p>
            <w:pPr>
              <w:pStyle w:val="TableParagraph"/>
              <w:spacing w:before="54"/>
              <w:ind w:left="50"/>
              <w:rPr>
                <w:sz w:val="28"/>
              </w:rPr>
            </w:pPr>
            <w:r>
              <w:rPr>
                <w:spacing w:val="-5"/>
                <w:sz w:val="28"/>
              </w:rPr>
              <w:t>43.</w:t>
            </w:r>
          </w:p>
        </w:tc>
        <w:tc>
          <w:tcPr>
            <w:tcW w:w="7962" w:type="dxa"/>
          </w:tcPr>
          <w:p>
            <w:pPr>
              <w:pStyle w:val="TableParagraph"/>
              <w:spacing w:before="54"/>
              <w:ind w:left="274" w:right="117"/>
              <w:rPr>
                <w:sz w:val="28"/>
              </w:rPr>
            </w:pPr>
            <w:r>
              <w:rPr>
                <w:sz w:val="28"/>
              </w:rPr>
              <w:t>Неврологические</w:t>
            </w:r>
            <w:r>
              <w:rPr>
                <w:spacing w:val="-9"/>
                <w:sz w:val="28"/>
              </w:rPr>
              <w:t> </w:t>
            </w:r>
            <w:r>
              <w:rPr>
                <w:sz w:val="28"/>
              </w:rPr>
              <w:t>заболевания,</w:t>
            </w:r>
            <w:r>
              <w:rPr>
                <w:spacing w:val="-9"/>
                <w:sz w:val="28"/>
              </w:rPr>
              <w:t> </w:t>
            </w:r>
            <w:r>
              <w:rPr>
                <w:sz w:val="28"/>
              </w:rPr>
              <w:t>лечение</w:t>
            </w:r>
            <w:r>
              <w:rPr>
                <w:spacing w:val="-12"/>
                <w:sz w:val="28"/>
              </w:rPr>
              <w:t> </w:t>
            </w:r>
            <w:r>
              <w:rPr>
                <w:sz w:val="28"/>
              </w:rPr>
              <w:t>с</w:t>
            </w:r>
            <w:r>
              <w:rPr>
                <w:spacing w:val="-9"/>
                <w:sz w:val="28"/>
              </w:rPr>
              <w:t> </w:t>
            </w:r>
            <w:r>
              <w:rPr>
                <w:sz w:val="28"/>
              </w:rPr>
              <w:t>применением ботулотоксина (уровень 1)</w:t>
            </w:r>
            <w:r>
              <w:rPr>
                <w:sz w:val="28"/>
                <w:vertAlign w:val="superscript"/>
              </w:rPr>
              <w:t>*</w:t>
            </w:r>
          </w:p>
        </w:tc>
      </w:tr>
      <w:tr>
        <w:trPr>
          <w:trHeight w:val="765" w:hRule="atLeast"/>
        </w:trPr>
        <w:tc>
          <w:tcPr>
            <w:tcW w:w="678" w:type="dxa"/>
          </w:tcPr>
          <w:p>
            <w:pPr>
              <w:pStyle w:val="TableParagraph"/>
              <w:spacing w:before="54"/>
              <w:ind w:left="50"/>
              <w:rPr>
                <w:sz w:val="28"/>
              </w:rPr>
            </w:pPr>
            <w:r>
              <w:rPr>
                <w:spacing w:val="-5"/>
                <w:sz w:val="28"/>
              </w:rPr>
              <w:t>44.</w:t>
            </w:r>
          </w:p>
        </w:tc>
        <w:tc>
          <w:tcPr>
            <w:tcW w:w="7962" w:type="dxa"/>
          </w:tcPr>
          <w:p>
            <w:pPr>
              <w:pStyle w:val="TableParagraph"/>
              <w:spacing w:line="242" w:lineRule="auto" w:before="54"/>
              <w:ind w:left="274" w:right="117"/>
              <w:rPr>
                <w:sz w:val="28"/>
              </w:rPr>
            </w:pPr>
            <w:r>
              <w:rPr>
                <w:sz w:val="28"/>
              </w:rPr>
              <w:t>Неврологические</w:t>
            </w:r>
            <w:r>
              <w:rPr>
                <w:spacing w:val="-9"/>
                <w:sz w:val="28"/>
              </w:rPr>
              <w:t> </w:t>
            </w:r>
            <w:r>
              <w:rPr>
                <w:sz w:val="28"/>
              </w:rPr>
              <w:t>заболевания,</w:t>
            </w:r>
            <w:r>
              <w:rPr>
                <w:spacing w:val="-9"/>
                <w:sz w:val="28"/>
              </w:rPr>
              <w:t> </w:t>
            </w:r>
            <w:r>
              <w:rPr>
                <w:sz w:val="28"/>
              </w:rPr>
              <w:t>лечение</w:t>
            </w:r>
            <w:r>
              <w:rPr>
                <w:spacing w:val="-11"/>
                <w:sz w:val="28"/>
              </w:rPr>
              <w:t> </w:t>
            </w:r>
            <w:r>
              <w:rPr>
                <w:sz w:val="28"/>
              </w:rPr>
              <w:t>с</w:t>
            </w:r>
            <w:r>
              <w:rPr>
                <w:spacing w:val="-9"/>
                <w:sz w:val="28"/>
              </w:rPr>
              <w:t> </w:t>
            </w:r>
            <w:r>
              <w:rPr>
                <w:sz w:val="28"/>
              </w:rPr>
              <w:t>применением ботулотоксина (уровень 2)</w:t>
            </w:r>
            <w:r>
              <w:rPr>
                <w:sz w:val="28"/>
                <w:vertAlign w:val="superscript"/>
              </w:rPr>
              <w:t>*</w:t>
            </w:r>
          </w:p>
        </w:tc>
      </w:tr>
      <w:tr>
        <w:trPr>
          <w:trHeight w:val="763" w:hRule="atLeast"/>
        </w:trPr>
        <w:tc>
          <w:tcPr>
            <w:tcW w:w="678" w:type="dxa"/>
          </w:tcPr>
          <w:p>
            <w:pPr>
              <w:pStyle w:val="TableParagraph"/>
              <w:spacing w:before="54"/>
              <w:ind w:left="50"/>
              <w:rPr>
                <w:sz w:val="28"/>
              </w:rPr>
            </w:pPr>
            <w:r>
              <w:rPr>
                <w:spacing w:val="-5"/>
                <w:sz w:val="28"/>
              </w:rPr>
              <w:t>54.</w:t>
            </w:r>
          </w:p>
        </w:tc>
        <w:tc>
          <w:tcPr>
            <w:tcW w:w="7962" w:type="dxa"/>
          </w:tcPr>
          <w:p>
            <w:pPr>
              <w:pStyle w:val="TableParagraph"/>
              <w:spacing w:before="54"/>
              <w:ind w:left="274" w:right="117"/>
              <w:rPr>
                <w:sz w:val="28"/>
              </w:rPr>
            </w:pPr>
            <w:r>
              <w:rPr>
                <w:sz w:val="28"/>
              </w:rPr>
              <w:t>Установка,</w:t>
            </w:r>
            <w:r>
              <w:rPr>
                <w:spacing w:val="-7"/>
                <w:sz w:val="28"/>
              </w:rPr>
              <w:t> </w:t>
            </w:r>
            <w:r>
              <w:rPr>
                <w:sz w:val="28"/>
              </w:rPr>
              <w:t>замена</w:t>
            </w:r>
            <w:r>
              <w:rPr>
                <w:spacing w:val="-10"/>
                <w:sz w:val="28"/>
              </w:rPr>
              <w:t> </w:t>
            </w:r>
            <w:r>
              <w:rPr>
                <w:sz w:val="28"/>
              </w:rPr>
              <w:t>порт-системы</w:t>
            </w:r>
            <w:r>
              <w:rPr>
                <w:spacing w:val="-7"/>
                <w:sz w:val="28"/>
              </w:rPr>
              <w:t> </w:t>
            </w:r>
            <w:r>
              <w:rPr>
                <w:sz w:val="28"/>
              </w:rPr>
              <w:t>(катетера)</w:t>
            </w:r>
            <w:r>
              <w:rPr>
                <w:spacing w:val="-7"/>
                <w:sz w:val="28"/>
              </w:rPr>
              <w:t> </w:t>
            </w:r>
            <w:r>
              <w:rPr>
                <w:sz w:val="28"/>
              </w:rPr>
              <w:t>для</w:t>
            </w:r>
            <w:r>
              <w:rPr>
                <w:spacing w:val="-7"/>
                <w:sz w:val="28"/>
              </w:rPr>
              <w:t> </w:t>
            </w:r>
            <w:r>
              <w:rPr>
                <w:sz w:val="28"/>
              </w:rPr>
              <w:t>лекарственной терапии злокачественных новообразований</w:t>
            </w:r>
          </w:p>
        </w:tc>
      </w:tr>
      <w:tr>
        <w:trPr>
          <w:trHeight w:val="1086" w:hRule="atLeast"/>
        </w:trPr>
        <w:tc>
          <w:tcPr>
            <w:tcW w:w="678" w:type="dxa"/>
          </w:tcPr>
          <w:p>
            <w:pPr>
              <w:pStyle w:val="TableParagraph"/>
              <w:spacing w:before="54"/>
              <w:ind w:left="50"/>
              <w:rPr>
                <w:sz w:val="28"/>
              </w:rPr>
            </w:pPr>
            <w:r>
              <w:rPr>
                <w:spacing w:val="-5"/>
                <w:sz w:val="28"/>
              </w:rPr>
              <w:t>55.</w:t>
            </w:r>
          </w:p>
        </w:tc>
        <w:tc>
          <w:tcPr>
            <w:tcW w:w="7962" w:type="dxa"/>
          </w:tcPr>
          <w:p>
            <w:pPr>
              <w:pStyle w:val="TableParagraph"/>
              <w:spacing w:before="54"/>
              <w:ind w:left="274"/>
              <w:rPr>
                <w:sz w:val="28"/>
              </w:rPr>
            </w:pPr>
            <w:r>
              <w:rPr>
                <w:sz w:val="28"/>
              </w:rPr>
              <w:t>Госпитализация в диагностических целях с постановкой (подтверждением)</w:t>
            </w:r>
            <w:r>
              <w:rPr>
                <w:spacing w:val="-13"/>
                <w:sz w:val="28"/>
              </w:rPr>
              <w:t> </w:t>
            </w:r>
            <w:r>
              <w:rPr>
                <w:sz w:val="28"/>
              </w:rPr>
              <w:t>диагноза</w:t>
            </w:r>
            <w:r>
              <w:rPr>
                <w:spacing w:val="-14"/>
                <w:sz w:val="28"/>
              </w:rPr>
              <w:t> </w:t>
            </w:r>
            <w:r>
              <w:rPr>
                <w:sz w:val="28"/>
              </w:rPr>
              <w:t>злокачественного</w:t>
            </w:r>
            <w:r>
              <w:rPr>
                <w:spacing w:val="-12"/>
                <w:sz w:val="28"/>
              </w:rPr>
              <w:t> </w:t>
            </w:r>
            <w:r>
              <w:rPr>
                <w:sz w:val="28"/>
              </w:rPr>
              <w:t>новообразования с использованием ПЭТ КТ</w:t>
            </w:r>
          </w:p>
        </w:tc>
      </w:tr>
      <w:tr>
        <w:trPr>
          <w:trHeight w:val="1085" w:hRule="atLeast"/>
        </w:trPr>
        <w:tc>
          <w:tcPr>
            <w:tcW w:w="678" w:type="dxa"/>
          </w:tcPr>
          <w:p>
            <w:pPr>
              <w:pStyle w:val="TableParagraph"/>
              <w:spacing w:before="55"/>
              <w:ind w:left="50"/>
              <w:rPr>
                <w:sz w:val="28"/>
              </w:rPr>
            </w:pPr>
            <w:r>
              <w:rPr>
                <w:spacing w:val="-5"/>
                <w:sz w:val="28"/>
              </w:rPr>
              <w:t>56.</w:t>
            </w:r>
          </w:p>
        </w:tc>
        <w:tc>
          <w:tcPr>
            <w:tcW w:w="7962" w:type="dxa"/>
          </w:tcPr>
          <w:p>
            <w:pPr>
              <w:pStyle w:val="TableParagraph"/>
              <w:spacing w:before="55"/>
              <w:ind w:left="274" w:right="117"/>
              <w:rPr>
                <w:sz w:val="28"/>
              </w:rPr>
            </w:pPr>
            <w:r>
              <w:rPr>
                <w:sz w:val="28"/>
              </w:rPr>
              <w:t>Госпитализация в диагностических целях с проведением биопсии и последующим проведением молекулярно- генетического</w:t>
            </w:r>
            <w:r>
              <w:rPr>
                <w:spacing w:val="-11"/>
                <w:sz w:val="28"/>
              </w:rPr>
              <w:t> </w:t>
            </w:r>
            <w:r>
              <w:rPr>
                <w:sz w:val="28"/>
              </w:rPr>
              <w:t>и</w:t>
            </w:r>
            <w:r>
              <w:rPr>
                <w:spacing w:val="-10"/>
                <w:sz w:val="28"/>
              </w:rPr>
              <w:t> </w:t>
            </w:r>
            <w:r>
              <w:rPr>
                <w:sz w:val="28"/>
              </w:rPr>
              <w:t>(или)</w:t>
            </w:r>
            <w:r>
              <w:rPr>
                <w:spacing w:val="-10"/>
                <w:sz w:val="28"/>
              </w:rPr>
              <w:t> </w:t>
            </w:r>
            <w:r>
              <w:rPr>
                <w:sz w:val="28"/>
              </w:rPr>
              <w:t>иммуногистохимического</w:t>
            </w:r>
            <w:r>
              <w:rPr>
                <w:spacing w:val="-9"/>
                <w:sz w:val="28"/>
              </w:rPr>
              <w:t> </w:t>
            </w:r>
            <w:r>
              <w:rPr>
                <w:sz w:val="28"/>
              </w:rPr>
              <w:t>исследования</w:t>
            </w:r>
          </w:p>
        </w:tc>
      </w:tr>
      <w:tr>
        <w:trPr>
          <w:trHeight w:val="1086" w:hRule="atLeast"/>
        </w:trPr>
        <w:tc>
          <w:tcPr>
            <w:tcW w:w="678" w:type="dxa"/>
          </w:tcPr>
          <w:p>
            <w:pPr>
              <w:pStyle w:val="TableParagraph"/>
              <w:spacing w:before="54"/>
              <w:ind w:left="50"/>
              <w:rPr>
                <w:sz w:val="28"/>
              </w:rPr>
            </w:pPr>
            <w:r>
              <w:rPr>
                <w:spacing w:val="-5"/>
                <w:sz w:val="28"/>
              </w:rPr>
              <w:t>57.</w:t>
            </w:r>
          </w:p>
        </w:tc>
        <w:tc>
          <w:tcPr>
            <w:tcW w:w="7962" w:type="dxa"/>
          </w:tcPr>
          <w:p>
            <w:pPr>
              <w:pStyle w:val="TableParagraph"/>
              <w:spacing w:before="54"/>
              <w:ind w:left="274" w:right="77"/>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w:t>
            </w:r>
            <w:r>
              <w:rPr>
                <w:sz w:val="28"/>
                <w:vertAlign w:val="superscript"/>
              </w:rPr>
              <w:t>*</w:t>
            </w:r>
          </w:p>
        </w:tc>
      </w:tr>
      <w:tr>
        <w:trPr>
          <w:trHeight w:val="1085" w:hRule="atLeast"/>
        </w:trPr>
        <w:tc>
          <w:tcPr>
            <w:tcW w:w="678" w:type="dxa"/>
          </w:tcPr>
          <w:p>
            <w:pPr>
              <w:pStyle w:val="TableParagraph"/>
              <w:spacing w:before="55"/>
              <w:ind w:left="50"/>
              <w:rPr>
                <w:sz w:val="28"/>
              </w:rPr>
            </w:pPr>
            <w:r>
              <w:rPr>
                <w:spacing w:val="-5"/>
                <w:sz w:val="28"/>
              </w:rPr>
              <w:t>58.</w:t>
            </w:r>
          </w:p>
        </w:tc>
        <w:tc>
          <w:tcPr>
            <w:tcW w:w="7962" w:type="dxa"/>
          </w:tcPr>
          <w:p>
            <w:pPr>
              <w:pStyle w:val="TableParagraph"/>
              <w:spacing w:before="55"/>
              <w:ind w:left="274" w:right="77"/>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2)</w:t>
            </w:r>
            <w:r>
              <w:rPr>
                <w:sz w:val="28"/>
                <w:vertAlign w:val="superscript"/>
              </w:rPr>
              <w:t>*</w:t>
            </w:r>
          </w:p>
        </w:tc>
      </w:tr>
      <w:tr>
        <w:trPr>
          <w:trHeight w:val="1085" w:hRule="atLeast"/>
        </w:trPr>
        <w:tc>
          <w:tcPr>
            <w:tcW w:w="678" w:type="dxa"/>
          </w:tcPr>
          <w:p>
            <w:pPr>
              <w:pStyle w:val="TableParagraph"/>
              <w:spacing w:before="54"/>
              <w:ind w:left="50"/>
              <w:rPr>
                <w:sz w:val="28"/>
              </w:rPr>
            </w:pPr>
            <w:r>
              <w:rPr>
                <w:spacing w:val="-5"/>
                <w:sz w:val="28"/>
              </w:rPr>
              <w:t>59.</w:t>
            </w:r>
          </w:p>
        </w:tc>
        <w:tc>
          <w:tcPr>
            <w:tcW w:w="7962" w:type="dxa"/>
          </w:tcPr>
          <w:p>
            <w:pPr>
              <w:pStyle w:val="TableParagraph"/>
              <w:spacing w:before="54"/>
              <w:ind w:left="274" w:right="77"/>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3)</w:t>
            </w:r>
            <w:r>
              <w:rPr>
                <w:sz w:val="28"/>
                <w:vertAlign w:val="superscript"/>
              </w:rPr>
              <w:t>*</w:t>
            </w:r>
          </w:p>
        </w:tc>
      </w:tr>
      <w:tr>
        <w:trPr>
          <w:trHeight w:val="1022" w:hRule="atLeast"/>
        </w:trPr>
        <w:tc>
          <w:tcPr>
            <w:tcW w:w="678" w:type="dxa"/>
          </w:tcPr>
          <w:p>
            <w:pPr>
              <w:pStyle w:val="TableParagraph"/>
              <w:spacing w:before="54"/>
              <w:ind w:left="50"/>
              <w:rPr>
                <w:sz w:val="28"/>
              </w:rPr>
            </w:pPr>
            <w:r>
              <w:rPr>
                <w:spacing w:val="-5"/>
                <w:sz w:val="28"/>
              </w:rPr>
              <w:t>60.</w:t>
            </w:r>
          </w:p>
        </w:tc>
        <w:tc>
          <w:tcPr>
            <w:tcW w:w="7962" w:type="dxa"/>
          </w:tcPr>
          <w:p>
            <w:pPr>
              <w:pStyle w:val="TableParagraph"/>
              <w:spacing w:before="54"/>
              <w:ind w:left="274"/>
              <w:rPr>
                <w:sz w:val="28"/>
              </w:rPr>
            </w:pPr>
            <w:r>
              <w:rPr>
                <w:sz w:val="28"/>
              </w:rPr>
              <w:t>Лекарственная</w:t>
            </w:r>
            <w:r>
              <w:rPr>
                <w:spacing w:val="-7"/>
                <w:sz w:val="28"/>
              </w:rPr>
              <w:t> </w:t>
            </w:r>
            <w:r>
              <w:rPr>
                <w:sz w:val="28"/>
              </w:rPr>
              <w:t>терапия</w:t>
            </w:r>
            <w:r>
              <w:rPr>
                <w:spacing w:val="-8"/>
                <w:sz w:val="28"/>
              </w:rPr>
              <w:t> </w:t>
            </w:r>
            <w:r>
              <w:rPr>
                <w:sz w:val="28"/>
              </w:rPr>
              <w:t>при</w:t>
            </w:r>
            <w:r>
              <w:rPr>
                <w:spacing w:val="-6"/>
                <w:sz w:val="28"/>
              </w:rPr>
              <w:t> </w:t>
            </w:r>
            <w:r>
              <w:rPr>
                <w:spacing w:val="-2"/>
                <w:sz w:val="28"/>
              </w:rPr>
              <w:t>злокачественных</w:t>
            </w:r>
          </w:p>
          <w:p>
            <w:pPr>
              <w:pStyle w:val="TableParagraph"/>
              <w:spacing w:line="322" w:lineRule="exact"/>
              <w:ind w:left="274"/>
              <w:rPr>
                <w:sz w:val="28"/>
              </w:rPr>
            </w:pP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4)</w:t>
            </w:r>
            <w:r>
              <w:rPr>
                <w:sz w:val="28"/>
                <w:vertAlign w:val="superscript"/>
              </w:rPr>
              <w:t>*</w:t>
            </w:r>
          </w:p>
        </w:tc>
      </w:tr>
    </w:tbl>
    <w:p>
      <w:pPr>
        <w:spacing w:after="0" w:line="32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7953"/>
      </w:tblGrid>
      <w:tr>
        <w:trPr>
          <w:trHeight w:val="1019" w:hRule="atLeast"/>
        </w:trPr>
        <w:tc>
          <w:tcPr>
            <w:tcW w:w="678" w:type="dxa"/>
          </w:tcPr>
          <w:p>
            <w:pPr>
              <w:pStyle w:val="TableParagraph"/>
              <w:spacing w:line="311" w:lineRule="exact"/>
              <w:ind w:left="50"/>
              <w:rPr>
                <w:sz w:val="28"/>
              </w:rPr>
            </w:pPr>
            <w:r>
              <w:rPr>
                <w:spacing w:val="-5"/>
                <w:sz w:val="28"/>
              </w:rPr>
              <w:t>61.</w:t>
            </w:r>
          </w:p>
        </w:tc>
        <w:tc>
          <w:tcPr>
            <w:tcW w:w="7953" w:type="dxa"/>
          </w:tcPr>
          <w:p>
            <w:pPr>
              <w:pStyle w:val="TableParagraph"/>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5)</w:t>
            </w:r>
            <w:r>
              <w:rPr>
                <w:sz w:val="28"/>
                <w:vertAlign w:val="superscript"/>
              </w:rPr>
              <w:t>*</w:t>
            </w:r>
          </w:p>
        </w:tc>
      </w:tr>
      <w:tr>
        <w:trPr>
          <w:trHeight w:val="1086" w:hRule="atLeast"/>
        </w:trPr>
        <w:tc>
          <w:tcPr>
            <w:tcW w:w="678" w:type="dxa"/>
          </w:tcPr>
          <w:p>
            <w:pPr>
              <w:pStyle w:val="TableParagraph"/>
              <w:spacing w:before="54"/>
              <w:ind w:left="50"/>
              <w:rPr>
                <w:sz w:val="28"/>
              </w:rPr>
            </w:pPr>
            <w:r>
              <w:rPr>
                <w:spacing w:val="-5"/>
                <w:sz w:val="28"/>
              </w:rPr>
              <w:t>62.</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6)</w:t>
            </w:r>
            <w:r>
              <w:rPr>
                <w:sz w:val="28"/>
                <w:vertAlign w:val="superscript"/>
              </w:rPr>
              <w:t>*</w:t>
            </w:r>
          </w:p>
        </w:tc>
      </w:tr>
      <w:tr>
        <w:trPr>
          <w:trHeight w:val="1086" w:hRule="atLeast"/>
        </w:trPr>
        <w:tc>
          <w:tcPr>
            <w:tcW w:w="678" w:type="dxa"/>
          </w:tcPr>
          <w:p>
            <w:pPr>
              <w:pStyle w:val="TableParagraph"/>
              <w:spacing w:before="55"/>
              <w:ind w:left="50"/>
              <w:rPr>
                <w:sz w:val="28"/>
              </w:rPr>
            </w:pPr>
            <w:r>
              <w:rPr>
                <w:spacing w:val="-5"/>
                <w:sz w:val="28"/>
              </w:rPr>
              <w:t>63.</w:t>
            </w:r>
          </w:p>
        </w:tc>
        <w:tc>
          <w:tcPr>
            <w:tcW w:w="7953" w:type="dxa"/>
          </w:tcPr>
          <w:p>
            <w:pPr>
              <w:pStyle w:val="TableParagraph"/>
              <w:spacing w:before="55"/>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7)</w:t>
            </w:r>
            <w:r>
              <w:rPr>
                <w:sz w:val="28"/>
                <w:vertAlign w:val="superscript"/>
              </w:rPr>
              <w:t>*</w:t>
            </w:r>
          </w:p>
        </w:tc>
      </w:tr>
      <w:tr>
        <w:trPr>
          <w:trHeight w:val="1084" w:hRule="atLeast"/>
        </w:trPr>
        <w:tc>
          <w:tcPr>
            <w:tcW w:w="678" w:type="dxa"/>
          </w:tcPr>
          <w:p>
            <w:pPr>
              <w:pStyle w:val="TableParagraph"/>
              <w:spacing w:before="54"/>
              <w:ind w:left="50"/>
              <w:rPr>
                <w:sz w:val="28"/>
              </w:rPr>
            </w:pPr>
            <w:r>
              <w:rPr>
                <w:spacing w:val="-5"/>
                <w:sz w:val="28"/>
              </w:rPr>
              <w:t>64.</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8)</w:t>
            </w:r>
            <w:r>
              <w:rPr>
                <w:sz w:val="28"/>
                <w:vertAlign w:val="superscript"/>
              </w:rPr>
              <w:t>*</w:t>
            </w:r>
          </w:p>
        </w:tc>
      </w:tr>
      <w:tr>
        <w:trPr>
          <w:trHeight w:val="1087" w:hRule="atLeast"/>
        </w:trPr>
        <w:tc>
          <w:tcPr>
            <w:tcW w:w="678" w:type="dxa"/>
          </w:tcPr>
          <w:p>
            <w:pPr>
              <w:pStyle w:val="TableParagraph"/>
              <w:spacing w:before="54"/>
              <w:ind w:left="50"/>
              <w:rPr>
                <w:sz w:val="28"/>
              </w:rPr>
            </w:pPr>
            <w:r>
              <w:rPr>
                <w:spacing w:val="-5"/>
                <w:sz w:val="28"/>
              </w:rPr>
              <w:t>65.</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9)</w:t>
            </w:r>
            <w:r>
              <w:rPr>
                <w:sz w:val="28"/>
                <w:vertAlign w:val="superscript"/>
              </w:rPr>
              <w:t>*</w:t>
            </w:r>
          </w:p>
        </w:tc>
      </w:tr>
      <w:tr>
        <w:trPr>
          <w:trHeight w:val="1085" w:hRule="atLeast"/>
        </w:trPr>
        <w:tc>
          <w:tcPr>
            <w:tcW w:w="678" w:type="dxa"/>
          </w:tcPr>
          <w:p>
            <w:pPr>
              <w:pStyle w:val="TableParagraph"/>
              <w:spacing w:before="54"/>
              <w:ind w:left="50"/>
              <w:rPr>
                <w:sz w:val="28"/>
              </w:rPr>
            </w:pPr>
            <w:r>
              <w:rPr>
                <w:spacing w:val="-5"/>
                <w:sz w:val="28"/>
              </w:rPr>
              <w:t>66.</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10)</w:t>
            </w:r>
            <w:r>
              <w:rPr>
                <w:sz w:val="28"/>
                <w:vertAlign w:val="superscript"/>
              </w:rPr>
              <w:t>*</w:t>
            </w:r>
          </w:p>
        </w:tc>
      </w:tr>
      <w:tr>
        <w:trPr>
          <w:trHeight w:val="1087" w:hRule="atLeast"/>
        </w:trPr>
        <w:tc>
          <w:tcPr>
            <w:tcW w:w="678" w:type="dxa"/>
          </w:tcPr>
          <w:p>
            <w:pPr>
              <w:pStyle w:val="TableParagraph"/>
              <w:spacing w:before="54"/>
              <w:ind w:left="50"/>
              <w:rPr>
                <w:sz w:val="28"/>
              </w:rPr>
            </w:pPr>
            <w:r>
              <w:rPr>
                <w:spacing w:val="-5"/>
                <w:sz w:val="28"/>
              </w:rPr>
              <w:t>67.</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11)</w:t>
            </w:r>
            <w:r>
              <w:rPr>
                <w:sz w:val="28"/>
                <w:vertAlign w:val="superscript"/>
              </w:rPr>
              <w:t>*</w:t>
            </w:r>
          </w:p>
        </w:tc>
      </w:tr>
      <w:tr>
        <w:trPr>
          <w:trHeight w:val="1085" w:hRule="atLeast"/>
        </w:trPr>
        <w:tc>
          <w:tcPr>
            <w:tcW w:w="678" w:type="dxa"/>
          </w:tcPr>
          <w:p>
            <w:pPr>
              <w:pStyle w:val="TableParagraph"/>
              <w:spacing w:before="54"/>
              <w:ind w:left="50"/>
              <w:rPr>
                <w:sz w:val="28"/>
              </w:rPr>
            </w:pPr>
            <w:r>
              <w:rPr>
                <w:spacing w:val="-5"/>
                <w:sz w:val="28"/>
              </w:rPr>
              <w:t>68.</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12)</w:t>
            </w:r>
            <w:r>
              <w:rPr>
                <w:sz w:val="28"/>
                <w:vertAlign w:val="superscript"/>
              </w:rPr>
              <w:t>*</w:t>
            </w:r>
          </w:p>
        </w:tc>
      </w:tr>
      <w:tr>
        <w:trPr>
          <w:trHeight w:val="1087" w:hRule="atLeast"/>
        </w:trPr>
        <w:tc>
          <w:tcPr>
            <w:tcW w:w="678" w:type="dxa"/>
          </w:tcPr>
          <w:p>
            <w:pPr>
              <w:pStyle w:val="TableParagraph"/>
              <w:spacing w:before="54"/>
              <w:ind w:left="50"/>
              <w:rPr>
                <w:sz w:val="28"/>
              </w:rPr>
            </w:pPr>
            <w:r>
              <w:rPr>
                <w:spacing w:val="-5"/>
                <w:sz w:val="28"/>
              </w:rPr>
              <w:t>69.</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13)</w:t>
            </w:r>
            <w:r>
              <w:rPr>
                <w:sz w:val="28"/>
                <w:vertAlign w:val="superscript"/>
              </w:rPr>
              <w:t>*</w:t>
            </w:r>
          </w:p>
        </w:tc>
      </w:tr>
      <w:tr>
        <w:trPr>
          <w:trHeight w:val="1084" w:hRule="atLeast"/>
        </w:trPr>
        <w:tc>
          <w:tcPr>
            <w:tcW w:w="678" w:type="dxa"/>
          </w:tcPr>
          <w:p>
            <w:pPr>
              <w:pStyle w:val="TableParagraph"/>
              <w:spacing w:before="54"/>
              <w:ind w:left="50"/>
              <w:rPr>
                <w:sz w:val="28"/>
              </w:rPr>
            </w:pPr>
            <w:r>
              <w:rPr>
                <w:spacing w:val="-5"/>
                <w:sz w:val="28"/>
              </w:rPr>
              <w:t>70.</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14)</w:t>
            </w:r>
            <w:r>
              <w:rPr>
                <w:sz w:val="28"/>
                <w:vertAlign w:val="superscript"/>
              </w:rPr>
              <w:t>*</w:t>
            </w:r>
          </w:p>
        </w:tc>
      </w:tr>
      <w:tr>
        <w:trPr>
          <w:trHeight w:val="1022" w:hRule="atLeast"/>
        </w:trPr>
        <w:tc>
          <w:tcPr>
            <w:tcW w:w="678" w:type="dxa"/>
          </w:tcPr>
          <w:p>
            <w:pPr>
              <w:pStyle w:val="TableParagraph"/>
              <w:spacing w:before="54"/>
              <w:ind w:left="50"/>
              <w:rPr>
                <w:sz w:val="28"/>
              </w:rPr>
            </w:pPr>
            <w:r>
              <w:rPr>
                <w:spacing w:val="-5"/>
                <w:sz w:val="28"/>
              </w:rPr>
              <w:t>71.</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w:t>
            </w:r>
          </w:p>
          <w:p>
            <w:pPr>
              <w:pStyle w:val="TableParagraph"/>
              <w:spacing w:line="302" w:lineRule="exact" w:before="2"/>
              <w:ind w:left="274"/>
              <w:rPr>
                <w:sz w:val="28"/>
              </w:rPr>
            </w:pPr>
            <w:r>
              <w:rPr>
                <w:sz w:val="28"/>
              </w:rPr>
              <w:t>взрослые</w:t>
            </w:r>
            <w:r>
              <w:rPr>
                <w:spacing w:val="-7"/>
                <w:sz w:val="28"/>
              </w:rPr>
              <w:t> </w:t>
            </w:r>
            <w:r>
              <w:rPr>
                <w:sz w:val="28"/>
              </w:rPr>
              <w:t>(уровень</w:t>
            </w:r>
            <w:r>
              <w:rPr>
                <w:spacing w:val="-8"/>
                <w:sz w:val="28"/>
              </w:rPr>
              <w:t> </w:t>
            </w:r>
            <w:r>
              <w:rPr>
                <w:spacing w:val="-4"/>
                <w:sz w:val="28"/>
              </w:rPr>
              <w:t>15)</w:t>
            </w:r>
            <w:r>
              <w:rPr>
                <w:spacing w:val="-4"/>
                <w:sz w:val="28"/>
                <w:vertAlign w:val="superscript"/>
              </w:rPr>
              <w:t>*</w:t>
            </w:r>
          </w:p>
        </w:tc>
      </w:tr>
    </w:tbl>
    <w:p>
      <w:pPr>
        <w:spacing w:after="0" w:line="30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8"/>
      </w:tblGrid>
      <w:tr>
        <w:trPr>
          <w:trHeight w:val="1019" w:hRule="atLeast"/>
        </w:trPr>
        <w:tc>
          <w:tcPr>
            <w:tcW w:w="782" w:type="dxa"/>
          </w:tcPr>
          <w:p>
            <w:pPr>
              <w:pStyle w:val="TableParagraph"/>
              <w:spacing w:line="311" w:lineRule="exact"/>
              <w:ind w:left="119"/>
              <w:rPr>
                <w:sz w:val="28"/>
              </w:rPr>
            </w:pPr>
            <w:r>
              <w:rPr>
                <w:spacing w:val="-5"/>
                <w:sz w:val="28"/>
              </w:rPr>
              <w:t>72.</w:t>
            </w:r>
          </w:p>
        </w:tc>
        <w:tc>
          <w:tcPr>
            <w:tcW w:w="7918" w:type="dxa"/>
          </w:tcPr>
          <w:p>
            <w:pPr>
              <w:pStyle w:val="TableParagraph"/>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16)</w:t>
            </w:r>
            <w:r>
              <w:rPr>
                <w:sz w:val="28"/>
                <w:vertAlign w:val="superscript"/>
              </w:rPr>
              <w:t>*</w:t>
            </w:r>
          </w:p>
        </w:tc>
      </w:tr>
      <w:tr>
        <w:trPr>
          <w:trHeight w:val="1086" w:hRule="atLeast"/>
        </w:trPr>
        <w:tc>
          <w:tcPr>
            <w:tcW w:w="782" w:type="dxa"/>
          </w:tcPr>
          <w:p>
            <w:pPr>
              <w:pStyle w:val="TableParagraph"/>
              <w:spacing w:before="54"/>
              <w:ind w:left="119"/>
              <w:rPr>
                <w:sz w:val="28"/>
              </w:rPr>
            </w:pPr>
            <w:r>
              <w:rPr>
                <w:spacing w:val="-5"/>
                <w:sz w:val="28"/>
              </w:rPr>
              <w:t>73.</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17)</w:t>
            </w:r>
            <w:r>
              <w:rPr>
                <w:sz w:val="28"/>
                <w:vertAlign w:val="superscript"/>
              </w:rPr>
              <w:t>*</w:t>
            </w:r>
          </w:p>
        </w:tc>
      </w:tr>
      <w:tr>
        <w:trPr>
          <w:trHeight w:val="443" w:hRule="atLeast"/>
        </w:trPr>
        <w:tc>
          <w:tcPr>
            <w:tcW w:w="782" w:type="dxa"/>
          </w:tcPr>
          <w:p>
            <w:pPr>
              <w:pStyle w:val="TableParagraph"/>
              <w:spacing w:before="55"/>
              <w:ind w:left="119"/>
              <w:rPr>
                <w:sz w:val="28"/>
              </w:rPr>
            </w:pPr>
            <w:r>
              <w:rPr>
                <w:spacing w:val="-5"/>
                <w:sz w:val="28"/>
              </w:rPr>
              <w:t>81.</w:t>
            </w:r>
          </w:p>
        </w:tc>
        <w:tc>
          <w:tcPr>
            <w:tcW w:w="7918" w:type="dxa"/>
          </w:tcPr>
          <w:p>
            <w:pPr>
              <w:pStyle w:val="TableParagraph"/>
              <w:spacing w:before="55"/>
              <w:ind w:left="239"/>
              <w:rPr>
                <w:sz w:val="28"/>
              </w:rPr>
            </w:pPr>
            <w:r>
              <w:rPr>
                <w:sz w:val="28"/>
              </w:rPr>
              <w:t>Лучевая</w:t>
            </w:r>
            <w:r>
              <w:rPr>
                <w:spacing w:val="-6"/>
                <w:sz w:val="28"/>
              </w:rPr>
              <w:t> </w:t>
            </w:r>
            <w:r>
              <w:rPr>
                <w:sz w:val="28"/>
              </w:rPr>
              <w:t>терапия</w:t>
            </w:r>
            <w:r>
              <w:rPr>
                <w:spacing w:val="-5"/>
                <w:sz w:val="28"/>
              </w:rPr>
              <w:t> </w:t>
            </w:r>
            <w:r>
              <w:rPr>
                <w:sz w:val="28"/>
              </w:rPr>
              <w:t>(уровень</w:t>
            </w:r>
            <w:r>
              <w:rPr>
                <w:spacing w:val="-8"/>
                <w:sz w:val="28"/>
              </w:rPr>
              <w:t> </w:t>
            </w:r>
            <w:r>
              <w:rPr>
                <w:spacing w:val="-5"/>
                <w:sz w:val="28"/>
              </w:rPr>
              <w:t>8)</w:t>
            </w:r>
          </w:p>
        </w:tc>
      </w:tr>
      <w:tr>
        <w:trPr>
          <w:trHeight w:val="763" w:hRule="atLeast"/>
        </w:trPr>
        <w:tc>
          <w:tcPr>
            <w:tcW w:w="782" w:type="dxa"/>
          </w:tcPr>
          <w:p>
            <w:pPr>
              <w:pStyle w:val="TableParagraph"/>
              <w:spacing w:before="54"/>
              <w:ind w:left="119"/>
              <w:rPr>
                <w:sz w:val="28"/>
              </w:rPr>
            </w:pPr>
            <w:r>
              <w:rPr>
                <w:spacing w:val="-5"/>
                <w:sz w:val="28"/>
              </w:rPr>
              <w:t>86.</w:t>
            </w:r>
          </w:p>
        </w:tc>
        <w:tc>
          <w:tcPr>
            <w:tcW w:w="7918" w:type="dxa"/>
          </w:tcPr>
          <w:p>
            <w:pPr>
              <w:pStyle w:val="TableParagraph"/>
              <w:spacing w:before="54"/>
              <w:ind w:left="239"/>
              <w:rPr>
                <w:sz w:val="28"/>
              </w:rPr>
            </w:pPr>
            <w:r>
              <w:rPr>
                <w:sz w:val="28"/>
              </w:rPr>
              <w:t>ЗНО</w:t>
            </w:r>
            <w:r>
              <w:rPr>
                <w:spacing w:val="-7"/>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6"/>
                <w:sz w:val="28"/>
              </w:rPr>
              <w:t> </w:t>
            </w:r>
            <w:r>
              <w:rPr>
                <w:sz w:val="28"/>
              </w:rPr>
              <w:t>тканей</w:t>
            </w:r>
            <w:r>
              <w:rPr>
                <w:spacing w:val="-6"/>
                <w:sz w:val="28"/>
              </w:rPr>
              <w:t> </w:t>
            </w:r>
            <w:r>
              <w:rPr>
                <w:sz w:val="28"/>
              </w:rPr>
              <w:t>без</w:t>
            </w:r>
            <w:r>
              <w:rPr>
                <w:spacing w:val="-6"/>
                <w:sz w:val="28"/>
              </w:rPr>
              <w:t> </w:t>
            </w:r>
            <w:r>
              <w:rPr>
                <w:sz w:val="28"/>
              </w:rPr>
              <w:t>специального противоопухолевого лечения (уровень 1)</w:t>
            </w:r>
          </w:p>
        </w:tc>
      </w:tr>
      <w:tr>
        <w:trPr>
          <w:trHeight w:val="763" w:hRule="atLeast"/>
        </w:trPr>
        <w:tc>
          <w:tcPr>
            <w:tcW w:w="782" w:type="dxa"/>
          </w:tcPr>
          <w:p>
            <w:pPr>
              <w:pStyle w:val="TableParagraph"/>
              <w:spacing w:before="54"/>
              <w:ind w:left="119"/>
              <w:rPr>
                <w:sz w:val="28"/>
              </w:rPr>
            </w:pPr>
            <w:r>
              <w:rPr>
                <w:spacing w:val="-5"/>
                <w:sz w:val="28"/>
              </w:rPr>
              <w:t>90.</w:t>
            </w:r>
          </w:p>
        </w:tc>
        <w:tc>
          <w:tcPr>
            <w:tcW w:w="7918" w:type="dxa"/>
          </w:tcPr>
          <w:p>
            <w:pPr>
              <w:pStyle w:val="TableParagraph"/>
              <w:spacing w:before="54"/>
              <w:ind w:left="239"/>
              <w:rPr>
                <w:sz w:val="28"/>
              </w:rPr>
            </w:pPr>
            <w:r>
              <w:rPr>
                <w:sz w:val="28"/>
              </w:rPr>
              <w:t>ЗНО</w:t>
            </w:r>
            <w:r>
              <w:rPr>
                <w:spacing w:val="-8"/>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7"/>
                <w:sz w:val="28"/>
              </w:rPr>
              <w:t> </w:t>
            </w:r>
            <w:r>
              <w:rPr>
                <w:sz w:val="28"/>
              </w:rPr>
              <w:t>тканей,</w:t>
            </w:r>
            <w:r>
              <w:rPr>
                <w:spacing w:val="-8"/>
                <w:sz w:val="28"/>
              </w:rPr>
              <w:t> </w:t>
            </w:r>
            <w:r>
              <w:rPr>
                <w:sz w:val="28"/>
              </w:rPr>
              <w:t>лекарственная терапия, взрослые (уровень 1)</w:t>
            </w:r>
          </w:p>
        </w:tc>
      </w:tr>
      <w:tr>
        <w:trPr>
          <w:trHeight w:val="1087" w:hRule="atLeast"/>
        </w:trPr>
        <w:tc>
          <w:tcPr>
            <w:tcW w:w="782" w:type="dxa"/>
          </w:tcPr>
          <w:p>
            <w:pPr>
              <w:pStyle w:val="TableParagraph"/>
              <w:spacing w:before="54"/>
              <w:ind w:left="119"/>
              <w:rPr>
                <w:sz w:val="28"/>
              </w:rPr>
            </w:pPr>
            <w:r>
              <w:rPr>
                <w:spacing w:val="-5"/>
                <w:sz w:val="28"/>
              </w:rPr>
              <w:t>94.</w:t>
            </w:r>
          </w:p>
        </w:tc>
        <w:tc>
          <w:tcPr>
            <w:tcW w:w="7918" w:type="dxa"/>
          </w:tcPr>
          <w:p>
            <w:pPr>
              <w:pStyle w:val="TableParagraph"/>
              <w:spacing w:before="54"/>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1)</w:t>
            </w:r>
          </w:p>
        </w:tc>
      </w:tr>
      <w:tr>
        <w:trPr>
          <w:trHeight w:val="1085" w:hRule="atLeast"/>
        </w:trPr>
        <w:tc>
          <w:tcPr>
            <w:tcW w:w="782" w:type="dxa"/>
          </w:tcPr>
          <w:p>
            <w:pPr>
              <w:pStyle w:val="TableParagraph"/>
              <w:spacing w:before="54"/>
              <w:ind w:left="119"/>
              <w:rPr>
                <w:sz w:val="28"/>
              </w:rPr>
            </w:pPr>
            <w:r>
              <w:rPr>
                <w:spacing w:val="-5"/>
                <w:sz w:val="28"/>
              </w:rPr>
              <w:t>98.</w:t>
            </w:r>
          </w:p>
        </w:tc>
        <w:tc>
          <w:tcPr>
            <w:tcW w:w="7918" w:type="dxa"/>
          </w:tcPr>
          <w:p>
            <w:pPr>
              <w:pStyle w:val="TableParagraph"/>
              <w:spacing w:before="54"/>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5)</w:t>
            </w:r>
          </w:p>
        </w:tc>
      </w:tr>
      <w:tr>
        <w:trPr>
          <w:trHeight w:val="764" w:hRule="atLeast"/>
        </w:trPr>
        <w:tc>
          <w:tcPr>
            <w:tcW w:w="782" w:type="dxa"/>
          </w:tcPr>
          <w:p>
            <w:pPr>
              <w:pStyle w:val="TableParagraph"/>
              <w:spacing w:before="54"/>
              <w:ind w:left="50"/>
              <w:rPr>
                <w:sz w:val="28"/>
              </w:rPr>
            </w:pPr>
            <w:r>
              <w:rPr>
                <w:spacing w:val="-4"/>
                <w:sz w:val="28"/>
              </w:rPr>
              <w:t>104.</w:t>
            </w:r>
          </w:p>
        </w:tc>
        <w:tc>
          <w:tcPr>
            <w:tcW w:w="7918" w:type="dxa"/>
          </w:tcPr>
          <w:p>
            <w:pPr>
              <w:pStyle w:val="TableParagraph"/>
              <w:spacing w:before="54"/>
              <w:ind w:left="239" w:right="75"/>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1)</w:t>
            </w:r>
          </w:p>
        </w:tc>
      </w:tr>
      <w:tr>
        <w:trPr>
          <w:trHeight w:val="764" w:hRule="atLeast"/>
        </w:trPr>
        <w:tc>
          <w:tcPr>
            <w:tcW w:w="782" w:type="dxa"/>
          </w:tcPr>
          <w:p>
            <w:pPr>
              <w:pStyle w:val="TableParagraph"/>
              <w:spacing w:before="55"/>
              <w:ind w:left="50"/>
              <w:rPr>
                <w:sz w:val="28"/>
              </w:rPr>
            </w:pPr>
            <w:r>
              <w:rPr>
                <w:spacing w:val="-4"/>
                <w:sz w:val="28"/>
              </w:rPr>
              <w:t>105.</w:t>
            </w:r>
          </w:p>
        </w:tc>
        <w:tc>
          <w:tcPr>
            <w:tcW w:w="7918" w:type="dxa"/>
          </w:tcPr>
          <w:p>
            <w:pPr>
              <w:pStyle w:val="TableParagraph"/>
              <w:spacing w:before="55"/>
              <w:ind w:left="239" w:right="75"/>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2)</w:t>
            </w:r>
          </w:p>
        </w:tc>
      </w:tr>
      <w:tr>
        <w:trPr>
          <w:trHeight w:val="441" w:hRule="atLeast"/>
        </w:trPr>
        <w:tc>
          <w:tcPr>
            <w:tcW w:w="782" w:type="dxa"/>
          </w:tcPr>
          <w:p>
            <w:pPr>
              <w:pStyle w:val="TableParagraph"/>
              <w:spacing w:before="54"/>
              <w:ind w:left="50"/>
              <w:rPr>
                <w:sz w:val="28"/>
              </w:rPr>
            </w:pPr>
            <w:r>
              <w:rPr>
                <w:spacing w:val="-4"/>
                <w:sz w:val="28"/>
              </w:rPr>
              <w:t>108.</w:t>
            </w:r>
          </w:p>
        </w:tc>
        <w:tc>
          <w:tcPr>
            <w:tcW w:w="7918" w:type="dxa"/>
          </w:tcPr>
          <w:p>
            <w:pPr>
              <w:pStyle w:val="TableParagraph"/>
              <w:spacing w:before="54"/>
              <w:ind w:left="239"/>
              <w:rPr>
                <w:sz w:val="28"/>
              </w:rPr>
            </w:pPr>
            <w:r>
              <w:rPr>
                <w:sz w:val="28"/>
              </w:rPr>
              <w:t>Замена</w:t>
            </w:r>
            <w:r>
              <w:rPr>
                <w:spacing w:val="-6"/>
                <w:sz w:val="28"/>
              </w:rPr>
              <w:t> </w:t>
            </w:r>
            <w:r>
              <w:rPr>
                <w:sz w:val="28"/>
              </w:rPr>
              <w:t>речевого</w:t>
            </w:r>
            <w:r>
              <w:rPr>
                <w:spacing w:val="-4"/>
                <w:sz w:val="28"/>
              </w:rPr>
              <w:t> </w:t>
            </w:r>
            <w:r>
              <w:rPr>
                <w:spacing w:val="-2"/>
                <w:sz w:val="28"/>
              </w:rPr>
              <w:t>процессора</w:t>
            </w:r>
          </w:p>
        </w:tc>
      </w:tr>
      <w:tr>
        <w:trPr>
          <w:trHeight w:val="441" w:hRule="atLeast"/>
        </w:trPr>
        <w:tc>
          <w:tcPr>
            <w:tcW w:w="782" w:type="dxa"/>
          </w:tcPr>
          <w:p>
            <w:pPr>
              <w:pStyle w:val="TableParagraph"/>
              <w:spacing w:before="54"/>
              <w:ind w:left="50"/>
              <w:rPr>
                <w:sz w:val="28"/>
              </w:rPr>
            </w:pPr>
            <w:r>
              <w:rPr>
                <w:spacing w:val="-4"/>
                <w:sz w:val="28"/>
              </w:rPr>
              <w:t>110.</w:t>
            </w:r>
          </w:p>
        </w:tc>
        <w:tc>
          <w:tcPr>
            <w:tcW w:w="7918" w:type="dxa"/>
          </w:tcPr>
          <w:p>
            <w:pPr>
              <w:pStyle w:val="TableParagraph"/>
              <w:spacing w:before="54"/>
              <w:ind w:left="239"/>
              <w:rPr>
                <w:sz w:val="28"/>
              </w:rPr>
            </w:pPr>
            <w:r>
              <w:rPr>
                <w:sz w:val="28"/>
              </w:rPr>
              <w:t>Операции</w:t>
            </w:r>
            <w:r>
              <w:rPr>
                <w:spacing w:val="-7"/>
                <w:sz w:val="28"/>
              </w:rPr>
              <w:t> </w:t>
            </w:r>
            <w:r>
              <w:rPr>
                <w:sz w:val="28"/>
              </w:rPr>
              <w:t>на</w:t>
            </w:r>
            <w:r>
              <w:rPr>
                <w:spacing w:val="-4"/>
                <w:sz w:val="28"/>
              </w:rPr>
              <w:t> </w:t>
            </w:r>
            <w:r>
              <w:rPr>
                <w:sz w:val="28"/>
              </w:rPr>
              <w:t>органе</w:t>
            </w:r>
            <w:r>
              <w:rPr>
                <w:spacing w:val="-6"/>
                <w:sz w:val="28"/>
              </w:rPr>
              <w:t> </w:t>
            </w:r>
            <w:r>
              <w:rPr>
                <w:sz w:val="28"/>
              </w:rPr>
              <w:t>зрения</w:t>
            </w:r>
            <w:r>
              <w:rPr>
                <w:spacing w:val="-4"/>
                <w:sz w:val="28"/>
              </w:rPr>
              <w:t> </w:t>
            </w:r>
            <w:r>
              <w:rPr>
                <w:sz w:val="28"/>
              </w:rPr>
              <w:t>(уровень</w:t>
            </w:r>
            <w:r>
              <w:rPr>
                <w:spacing w:val="-5"/>
                <w:sz w:val="28"/>
              </w:rPr>
              <w:t> 1)</w:t>
            </w:r>
          </w:p>
        </w:tc>
      </w:tr>
      <w:tr>
        <w:trPr>
          <w:trHeight w:val="441" w:hRule="atLeast"/>
        </w:trPr>
        <w:tc>
          <w:tcPr>
            <w:tcW w:w="782" w:type="dxa"/>
          </w:tcPr>
          <w:p>
            <w:pPr>
              <w:pStyle w:val="TableParagraph"/>
              <w:spacing w:before="54"/>
              <w:ind w:left="50"/>
              <w:rPr>
                <w:sz w:val="28"/>
              </w:rPr>
            </w:pPr>
            <w:r>
              <w:rPr>
                <w:spacing w:val="-4"/>
                <w:sz w:val="28"/>
              </w:rPr>
              <w:t>111.</w:t>
            </w:r>
          </w:p>
        </w:tc>
        <w:tc>
          <w:tcPr>
            <w:tcW w:w="7918"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2)</w:t>
            </w:r>
          </w:p>
        </w:tc>
      </w:tr>
      <w:tr>
        <w:trPr>
          <w:trHeight w:val="442" w:hRule="atLeast"/>
        </w:trPr>
        <w:tc>
          <w:tcPr>
            <w:tcW w:w="782" w:type="dxa"/>
          </w:tcPr>
          <w:p>
            <w:pPr>
              <w:pStyle w:val="TableParagraph"/>
              <w:spacing w:before="54"/>
              <w:ind w:left="50"/>
              <w:rPr>
                <w:sz w:val="28"/>
              </w:rPr>
            </w:pPr>
            <w:r>
              <w:rPr>
                <w:spacing w:val="-4"/>
                <w:sz w:val="28"/>
              </w:rPr>
              <w:t>112.</w:t>
            </w:r>
          </w:p>
        </w:tc>
        <w:tc>
          <w:tcPr>
            <w:tcW w:w="7918"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3)</w:t>
            </w:r>
          </w:p>
        </w:tc>
      </w:tr>
      <w:tr>
        <w:trPr>
          <w:trHeight w:val="442" w:hRule="atLeast"/>
        </w:trPr>
        <w:tc>
          <w:tcPr>
            <w:tcW w:w="782" w:type="dxa"/>
          </w:tcPr>
          <w:p>
            <w:pPr>
              <w:pStyle w:val="TableParagraph"/>
              <w:spacing w:before="55"/>
              <w:ind w:left="50"/>
              <w:rPr>
                <w:sz w:val="28"/>
              </w:rPr>
            </w:pPr>
            <w:r>
              <w:rPr>
                <w:spacing w:val="-4"/>
                <w:sz w:val="28"/>
              </w:rPr>
              <w:t>113.</w:t>
            </w:r>
          </w:p>
        </w:tc>
        <w:tc>
          <w:tcPr>
            <w:tcW w:w="7918" w:type="dxa"/>
          </w:tcPr>
          <w:p>
            <w:pPr>
              <w:pStyle w:val="TableParagraph"/>
              <w:spacing w:before="55"/>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4)</w:t>
            </w:r>
          </w:p>
        </w:tc>
      </w:tr>
      <w:tr>
        <w:trPr>
          <w:trHeight w:val="441" w:hRule="atLeast"/>
        </w:trPr>
        <w:tc>
          <w:tcPr>
            <w:tcW w:w="782" w:type="dxa"/>
          </w:tcPr>
          <w:p>
            <w:pPr>
              <w:pStyle w:val="TableParagraph"/>
              <w:spacing w:before="54"/>
              <w:ind w:left="50"/>
              <w:rPr>
                <w:sz w:val="28"/>
              </w:rPr>
            </w:pPr>
            <w:r>
              <w:rPr>
                <w:spacing w:val="-4"/>
                <w:sz w:val="28"/>
              </w:rPr>
              <w:t>114.</w:t>
            </w:r>
          </w:p>
        </w:tc>
        <w:tc>
          <w:tcPr>
            <w:tcW w:w="7918"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5)</w:t>
            </w:r>
          </w:p>
        </w:tc>
      </w:tr>
      <w:tr>
        <w:trPr>
          <w:trHeight w:val="441" w:hRule="atLeast"/>
        </w:trPr>
        <w:tc>
          <w:tcPr>
            <w:tcW w:w="782" w:type="dxa"/>
          </w:tcPr>
          <w:p>
            <w:pPr>
              <w:pStyle w:val="TableParagraph"/>
              <w:spacing w:before="54"/>
              <w:ind w:left="50"/>
              <w:rPr>
                <w:sz w:val="28"/>
              </w:rPr>
            </w:pPr>
            <w:r>
              <w:rPr>
                <w:spacing w:val="-4"/>
                <w:sz w:val="28"/>
              </w:rPr>
              <w:t>119.</w:t>
            </w:r>
          </w:p>
        </w:tc>
        <w:tc>
          <w:tcPr>
            <w:tcW w:w="7918" w:type="dxa"/>
          </w:tcPr>
          <w:p>
            <w:pPr>
              <w:pStyle w:val="TableParagraph"/>
              <w:spacing w:before="54"/>
              <w:ind w:left="239"/>
              <w:rPr>
                <w:sz w:val="28"/>
              </w:rPr>
            </w:pPr>
            <w:r>
              <w:rPr>
                <w:sz w:val="28"/>
              </w:rPr>
              <w:t>Диагностическое</w:t>
            </w:r>
            <w:r>
              <w:rPr>
                <w:spacing w:val="-14"/>
                <w:sz w:val="28"/>
              </w:rPr>
              <w:t> </w:t>
            </w:r>
            <w:r>
              <w:rPr>
                <w:sz w:val="28"/>
              </w:rPr>
              <w:t>обследование</w:t>
            </w:r>
            <w:r>
              <w:rPr>
                <w:spacing w:val="-11"/>
                <w:sz w:val="28"/>
              </w:rPr>
              <w:t> </w:t>
            </w:r>
            <w:r>
              <w:rPr>
                <w:sz w:val="28"/>
              </w:rPr>
              <w:t>сердечно-сосудистой</w:t>
            </w:r>
            <w:r>
              <w:rPr>
                <w:spacing w:val="-11"/>
                <w:sz w:val="28"/>
              </w:rPr>
              <w:t> </w:t>
            </w:r>
            <w:r>
              <w:rPr>
                <w:spacing w:val="-2"/>
                <w:sz w:val="28"/>
              </w:rPr>
              <w:t>системы</w:t>
            </w:r>
          </w:p>
        </w:tc>
      </w:tr>
      <w:tr>
        <w:trPr>
          <w:trHeight w:val="441" w:hRule="atLeast"/>
        </w:trPr>
        <w:tc>
          <w:tcPr>
            <w:tcW w:w="782" w:type="dxa"/>
          </w:tcPr>
          <w:p>
            <w:pPr>
              <w:pStyle w:val="TableParagraph"/>
              <w:spacing w:before="54"/>
              <w:ind w:left="50"/>
              <w:rPr>
                <w:sz w:val="28"/>
              </w:rPr>
            </w:pPr>
            <w:r>
              <w:rPr>
                <w:spacing w:val="-4"/>
                <w:sz w:val="28"/>
              </w:rPr>
              <w:t>123.</w:t>
            </w:r>
          </w:p>
        </w:tc>
        <w:tc>
          <w:tcPr>
            <w:tcW w:w="7918" w:type="dxa"/>
          </w:tcPr>
          <w:p>
            <w:pPr>
              <w:pStyle w:val="TableParagraph"/>
              <w:spacing w:before="54"/>
              <w:ind w:left="239"/>
              <w:rPr>
                <w:sz w:val="28"/>
              </w:rPr>
            </w:pPr>
            <w:r>
              <w:rPr>
                <w:sz w:val="28"/>
              </w:rPr>
              <w:t>Отравления</w:t>
            </w:r>
            <w:r>
              <w:rPr>
                <w:spacing w:val="-9"/>
                <w:sz w:val="28"/>
              </w:rPr>
              <w:t> </w:t>
            </w:r>
            <w:r>
              <w:rPr>
                <w:sz w:val="28"/>
              </w:rPr>
              <w:t>и</w:t>
            </w:r>
            <w:r>
              <w:rPr>
                <w:spacing w:val="-9"/>
                <w:sz w:val="28"/>
              </w:rPr>
              <w:t> </w:t>
            </w:r>
            <w:r>
              <w:rPr>
                <w:sz w:val="28"/>
              </w:rPr>
              <w:t>другие</w:t>
            </w:r>
            <w:r>
              <w:rPr>
                <w:spacing w:val="-6"/>
                <w:sz w:val="28"/>
              </w:rPr>
              <w:t> </w:t>
            </w:r>
            <w:r>
              <w:rPr>
                <w:sz w:val="28"/>
              </w:rPr>
              <w:t>воздействия</w:t>
            </w:r>
            <w:r>
              <w:rPr>
                <w:spacing w:val="-6"/>
                <w:sz w:val="28"/>
              </w:rPr>
              <w:t> </w:t>
            </w:r>
            <w:r>
              <w:rPr>
                <w:sz w:val="28"/>
              </w:rPr>
              <w:t>внешних</w:t>
            </w:r>
            <w:r>
              <w:rPr>
                <w:spacing w:val="-5"/>
                <w:sz w:val="28"/>
              </w:rPr>
              <w:t> </w:t>
            </w:r>
            <w:r>
              <w:rPr>
                <w:spacing w:val="-2"/>
                <w:sz w:val="28"/>
              </w:rPr>
              <w:t>причин</w:t>
            </w:r>
          </w:p>
        </w:tc>
      </w:tr>
      <w:tr>
        <w:trPr>
          <w:trHeight w:val="441" w:hRule="atLeast"/>
        </w:trPr>
        <w:tc>
          <w:tcPr>
            <w:tcW w:w="782" w:type="dxa"/>
          </w:tcPr>
          <w:p>
            <w:pPr>
              <w:pStyle w:val="TableParagraph"/>
              <w:spacing w:before="54"/>
              <w:ind w:left="50"/>
              <w:rPr>
                <w:sz w:val="28"/>
              </w:rPr>
            </w:pPr>
            <w:r>
              <w:rPr>
                <w:spacing w:val="-4"/>
                <w:sz w:val="28"/>
              </w:rPr>
              <w:t>151.</w:t>
            </w:r>
          </w:p>
        </w:tc>
        <w:tc>
          <w:tcPr>
            <w:tcW w:w="7918" w:type="dxa"/>
          </w:tcPr>
          <w:p>
            <w:pPr>
              <w:pStyle w:val="TableParagraph"/>
              <w:spacing w:before="54"/>
              <w:ind w:left="239"/>
              <w:rPr>
                <w:sz w:val="28"/>
              </w:rPr>
            </w:pPr>
            <w:r>
              <w:rPr>
                <w:sz w:val="28"/>
              </w:rPr>
              <w:t>Операции</w:t>
            </w:r>
            <w:r>
              <w:rPr>
                <w:spacing w:val="-6"/>
                <w:sz w:val="28"/>
              </w:rPr>
              <w:t> </w:t>
            </w:r>
            <w:r>
              <w:rPr>
                <w:sz w:val="28"/>
              </w:rPr>
              <w:t>на</w:t>
            </w:r>
            <w:r>
              <w:rPr>
                <w:spacing w:val="-5"/>
                <w:sz w:val="28"/>
              </w:rPr>
              <w:t> </w:t>
            </w:r>
            <w:r>
              <w:rPr>
                <w:sz w:val="28"/>
              </w:rPr>
              <w:t>органах</w:t>
            </w:r>
            <w:r>
              <w:rPr>
                <w:spacing w:val="-5"/>
                <w:sz w:val="28"/>
              </w:rPr>
              <w:t> </w:t>
            </w:r>
            <w:r>
              <w:rPr>
                <w:sz w:val="28"/>
              </w:rPr>
              <w:t>полости</w:t>
            </w:r>
            <w:r>
              <w:rPr>
                <w:spacing w:val="-6"/>
                <w:sz w:val="28"/>
              </w:rPr>
              <w:t> </w:t>
            </w:r>
            <w:r>
              <w:rPr>
                <w:sz w:val="28"/>
              </w:rPr>
              <w:t>рта</w:t>
            </w:r>
            <w:r>
              <w:rPr>
                <w:spacing w:val="-5"/>
                <w:sz w:val="28"/>
              </w:rPr>
              <w:t> </w:t>
            </w:r>
            <w:r>
              <w:rPr>
                <w:sz w:val="28"/>
              </w:rPr>
              <w:t>(уровень</w:t>
            </w:r>
            <w:r>
              <w:rPr>
                <w:spacing w:val="-6"/>
                <w:sz w:val="28"/>
              </w:rPr>
              <w:t> </w:t>
            </w:r>
            <w:r>
              <w:rPr>
                <w:spacing w:val="-5"/>
                <w:sz w:val="28"/>
              </w:rPr>
              <w:t>1)</w:t>
            </w:r>
          </w:p>
        </w:tc>
      </w:tr>
      <w:tr>
        <w:trPr>
          <w:trHeight w:val="697" w:hRule="atLeast"/>
        </w:trPr>
        <w:tc>
          <w:tcPr>
            <w:tcW w:w="782" w:type="dxa"/>
          </w:tcPr>
          <w:p>
            <w:pPr>
              <w:pStyle w:val="TableParagraph"/>
              <w:spacing w:before="54"/>
              <w:ind w:left="50"/>
              <w:rPr>
                <w:sz w:val="28"/>
              </w:rPr>
            </w:pPr>
            <w:r>
              <w:rPr>
                <w:spacing w:val="-4"/>
                <w:sz w:val="28"/>
              </w:rPr>
              <w:t>157.</w:t>
            </w:r>
          </w:p>
        </w:tc>
        <w:tc>
          <w:tcPr>
            <w:tcW w:w="7918" w:type="dxa"/>
          </w:tcPr>
          <w:p>
            <w:pPr>
              <w:pStyle w:val="TableParagraph"/>
              <w:spacing w:line="322" w:lineRule="exact" w:before="34"/>
              <w:ind w:left="239"/>
              <w:rPr>
                <w:sz w:val="28"/>
              </w:rPr>
            </w:pPr>
            <w:r>
              <w:rPr>
                <w:sz w:val="28"/>
              </w:rPr>
              <w:t>Комплексное</w:t>
            </w:r>
            <w:r>
              <w:rPr>
                <w:spacing w:val="-9"/>
                <w:sz w:val="28"/>
              </w:rPr>
              <w:t> </w:t>
            </w:r>
            <w:r>
              <w:rPr>
                <w:sz w:val="28"/>
              </w:rPr>
              <w:t>лечение</w:t>
            </w:r>
            <w:r>
              <w:rPr>
                <w:spacing w:val="-9"/>
                <w:sz w:val="28"/>
              </w:rPr>
              <w:t> </w:t>
            </w:r>
            <w:r>
              <w:rPr>
                <w:sz w:val="28"/>
              </w:rPr>
              <w:t>с</w:t>
            </w:r>
            <w:r>
              <w:rPr>
                <w:spacing w:val="-9"/>
                <w:sz w:val="28"/>
              </w:rPr>
              <w:t> </w:t>
            </w:r>
            <w:r>
              <w:rPr>
                <w:sz w:val="28"/>
              </w:rPr>
              <w:t>применением</w:t>
            </w:r>
            <w:r>
              <w:rPr>
                <w:spacing w:val="-9"/>
                <w:sz w:val="28"/>
              </w:rPr>
              <w:t> </w:t>
            </w:r>
            <w:r>
              <w:rPr>
                <w:sz w:val="28"/>
              </w:rPr>
              <w:t>препаратов </w:t>
            </w:r>
            <w:r>
              <w:rPr>
                <w:spacing w:val="-2"/>
                <w:sz w:val="28"/>
              </w:rPr>
              <w:t>иммуноглобулина</w:t>
            </w:r>
            <w:r>
              <w:rPr>
                <w:spacing w:val="-2"/>
                <w:sz w:val="28"/>
                <w:vertAlign w:val="superscript"/>
              </w:rPr>
              <w:t>*</w:t>
            </w:r>
          </w:p>
        </w:tc>
      </w:tr>
    </w:tbl>
    <w:p>
      <w:pPr>
        <w:spacing w:after="0" w:line="32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5"/>
      </w:tblGrid>
      <w:tr>
        <w:trPr>
          <w:trHeight w:val="697" w:hRule="atLeast"/>
        </w:trPr>
        <w:tc>
          <w:tcPr>
            <w:tcW w:w="782" w:type="dxa"/>
          </w:tcPr>
          <w:p>
            <w:pPr>
              <w:pStyle w:val="TableParagraph"/>
              <w:spacing w:line="311" w:lineRule="exact"/>
              <w:ind w:left="50"/>
              <w:rPr>
                <w:sz w:val="28"/>
              </w:rPr>
            </w:pPr>
            <w:r>
              <w:rPr>
                <w:spacing w:val="-4"/>
                <w:sz w:val="28"/>
              </w:rPr>
              <w:t>159.</w:t>
            </w:r>
          </w:p>
        </w:tc>
        <w:tc>
          <w:tcPr>
            <w:tcW w:w="7915" w:type="dxa"/>
          </w:tcPr>
          <w:p>
            <w:pPr>
              <w:pStyle w:val="TableParagraph"/>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w:t>
            </w:r>
            <w:r>
              <w:rPr>
                <w:spacing w:val="-2"/>
                <w:sz w:val="28"/>
              </w:rPr>
              <w:t>организаций)</w:t>
            </w:r>
          </w:p>
        </w:tc>
      </w:tr>
      <w:tr>
        <w:trPr>
          <w:trHeight w:val="763" w:hRule="atLeast"/>
        </w:trPr>
        <w:tc>
          <w:tcPr>
            <w:tcW w:w="782" w:type="dxa"/>
          </w:tcPr>
          <w:p>
            <w:pPr>
              <w:pStyle w:val="TableParagraph"/>
              <w:spacing w:before="54"/>
              <w:ind w:left="50"/>
              <w:rPr>
                <w:sz w:val="28"/>
              </w:rPr>
            </w:pPr>
            <w:r>
              <w:rPr>
                <w:spacing w:val="-4"/>
                <w:sz w:val="28"/>
              </w:rPr>
              <w:t>163.</w:t>
            </w:r>
          </w:p>
        </w:tc>
        <w:tc>
          <w:tcPr>
            <w:tcW w:w="7915" w:type="dxa"/>
          </w:tcPr>
          <w:p>
            <w:pPr>
              <w:pStyle w:val="TableParagraph"/>
              <w:spacing w:before="54"/>
              <w:ind w:left="239" w:right="64"/>
              <w:rPr>
                <w:sz w:val="28"/>
              </w:rPr>
            </w:pPr>
            <w:r>
              <w:rPr>
                <w:sz w:val="28"/>
              </w:rPr>
              <w:t>Проведение</w:t>
            </w:r>
            <w:r>
              <w:rPr>
                <w:spacing w:val="-12"/>
                <w:sz w:val="28"/>
              </w:rPr>
              <w:t> </w:t>
            </w:r>
            <w:r>
              <w:rPr>
                <w:sz w:val="28"/>
              </w:rPr>
              <w:t>иммунизации</w:t>
            </w:r>
            <w:r>
              <w:rPr>
                <w:spacing w:val="-12"/>
                <w:sz w:val="28"/>
              </w:rPr>
              <w:t> </w:t>
            </w:r>
            <w:r>
              <w:rPr>
                <w:sz w:val="28"/>
              </w:rPr>
              <w:t>против</w:t>
            </w:r>
            <w:r>
              <w:rPr>
                <w:spacing w:val="-12"/>
                <w:sz w:val="28"/>
              </w:rPr>
              <w:t> </w:t>
            </w:r>
            <w:r>
              <w:rPr>
                <w:sz w:val="28"/>
              </w:rPr>
              <w:t>респираторно- синцитиальной вирусной инфекции</w:t>
            </w:r>
          </w:p>
        </w:tc>
      </w:tr>
      <w:tr>
        <w:trPr>
          <w:trHeight w:val="764" w:hRule="atLeast"/>
        </w:trPr>
        <w:tc>
          <w:tcPr>
            <w:tcW w:w="782" w:type="dxa"/>
          </w:tcPr>
          <w:p>
            <w:pPr>
              <w:pStyle w:val="TableParagraph"/>
              <w:spacing w:before="54"/>
              <w:ind w:left="50"/>
              <w:rPr>
                <w:sz w:val="28"/>
              </w:rPr>
            </w:pPr>
            <w:r>
              <w:rPr>
                <w:spacing w:val="-4"/>
                <w:sz w:val="28"/>
              </w:rPr>
              <w:t>164.</w:t>
            </w:r>
          </w:p>
        </w:tc>
        <w:tc>
          <w:tcPr>
            <w:tcW w:w="7915" w:type="dxa"/>
          </w:tcPr>
          <w:p>
            <w:pPr>
              <w:pStyle w:val="TableParagraph"/>
              <w:spacing w:before="5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1)</w:t>
            </w:r>
            <w:r>
              <w:rPr>
                <w:sz w:val="28"/>
                <w:vertAlign w:val="superscript"/>
              </w:rPr>
              <w:t>*</w:t>
            </w:r>
          </w:p>
        </w:tc>
      </w:tr>
      <w:tr>
        <w:trPr>
          <w:trHeight w:val="764" w:hRule="atLeast"/>
        </w:trPr>
        <w:tc>
          <w:tcPr>
            <w:tcW w:w="782" w:type="dxa"/>
          </w:tcPr>
          <w:p>
            <w:pPr>
              <w:pStyle w:val="TableParagraph"/>
              <w:spacing w:before="55"/>
              <w:ind w:left="50"/>
              <w:rPr>
                <w:sz w:val="28"/>
              </w:rPr>
            </w:pPr>
            <w:r>
              <w:rPr>
                <w:spacing w:val="-4"/>
                <w:sz w:val="28"/>
              </w:rPr>
              <w:t>165.</w:t>
            </w:r>
          </w:p>
        </w:tc>
        <w:tc>
          <w:tcPr>
            <w:tcW w:w="7915" w:type="dxa"/>
          </w:tcPr>
          <w:p>
            <w:pPr>
              <w:pStyle w:val="TableParagraph"/>
              <w:spacing w:before="55"/>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2)</w:t>
            </w:r>
            <w:r>
              <w:rPr>
                <w:sz w:val="28"/>
                <w:vertAlign w:val="superscript"/>
              </w:rPr>
              <w:t>*</w:t>
            </w:r>
          </w:p>
        </w:tc>
      </w:tr>
      <w:tr>
        <w:trPr>
          <w:trHeight w:val="697" w:hRule="atLeast"/>
        </w:trPr>
        <w:tc>
          <w:tcPr>
            <w:tcW w:w="782" w:type="dxa"/>
          </w:tcPr>
          <w:p>
            <w:pPr>
              <w:pStyle w:val="TableParagraph"/>
              <w:spacing w:before="54"/>
              <w:ind w:left="50"/>
              <w:rPr>
                <w:sz w:val="28"/>
              </w:rPr>
            </w:pPr>
            <w:r>
              <w:rPr>
                <w:spacing w:val="-4"/>
                <w:sz w:val="28"/>
              </w:rPr>
              <w:t>166.</w:t>
            </w:r>
          </w:p>
        </w:tc>
        <w:tc>
          <w:tcPr>
            <w:tcW w:w="7915" w:type="dxa"/>
          </w:tcPr>
          <w:p>
            <w:pPr>
              <w:pStyle w:val="TableParagraph"/>
              <w:spacing w:line="322" w:lineRule="exact" w:before="3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3)</w:t>
            </w:r>
            <w:r>
              <w:rPr>
                <w:sz w:val="28"/>
                <w:vertAlign w:val="superscript"/>
              </w:rPr>
              <w:t>*</w:t>
            </w:r>
          </w:p>
        </w:tc>
      </w:tr>
    </w:tbl>
    <w:p>
      <w:pPr>
        <w:pStyle w:val="BodyText"/>
        <w:spacing w:before="1"/>
        <w:rPr>
          <w:b/>
          <w:sz w:val="17"/>
        </w:rPr>
      </w:pPr>
      <w:r>
        <w:rPr/>
        <w:pict>
          <v:shape style="position:absolute;margin-left:70.944pt;margin-top:11.043041pt;width:175.05pt;height:.1pt;mso-position-horizontal-relative:page;mso-position-vertical-relative:paragraph;z-index:-15720960;mso-wrap-distance-left:0;mso-wrap-distance-right:0" id="docshape22" coordorigin="1419,221" coordsize="3501,0" path="m1419,221l4920,221e" filled="false" stroked="true" strokeweight=".5616pt" strokecolor="#000000">
            <v:path arrowok="t"/>
            <v:stroke dashstyle="solid"/>
            <w10:wrap type="topAndBottom"/>
          </v:shape>
        </w:pict>
      </w:r>
    </w:p>
    <w:p>
      <w:pPr>
        <w:spacing w:line="249" w:lineRule="auto" w:before="148"/>
        <w:ind w:left="218" w:right="163" w:firstLine="0"/>
        <w:jc w:val="left"/>
        <w:rPr>
          <w:sz w:val="20"/>
        </w:rPr>
      </w:pPr>
      <w:r>
        <w:rPr>
          <w:sz w:val="20"/>
          <w:vertAlign w:val="superscript"/>
        </w:rPr>
        <w:t>*</w:t>
      </w:r>
      <w:r>
        <w:rPr>
          <w:spacing w:val="-2"/>
          <w:sz w:val="20"/>
          <w:vertAlign w:val="baseline"/>
        </w:rPr>
        <w:t> </w:t>
      </w:r>
      <w:r>
        <w:rPr>
          <w:sz w:val="20"/>
          <w:vertAlign w:val="baseline"/>
        </w:rPr>
        <w:t>При</w:t>
      </w:r>
      <w:r>
        <w:rPr>
          <w:spacing w:val="80"/>
          <w:sz w:val="20"/>
          <w:vertAlign w:val="baseline"/>
        </w:rPr>
        <w:t> </w:t>
      </w:r>
      <w:r>
        <w:rPr>
          <w:sz w:val="20"/>
          <w:vertAlign w:val="baseline"/>
        </w:rPr>
        <w:t>условии</w:t>
      </w:r>
      <w:r>
        <w:rPr>
          <w:spacing w:val="80"/>
          <w:sz w:val="20"/>
          <w:vertAlign w:val="baseline"/>
        </w:rPr>
        <w:t> </w:t>
      </w:r>
      <w:r>
        <w:rPr>
          <w:sz w:val="20"/>
          <w:vertAlign w:val="baseline"/>
        </w:rPr>
        <w:t>соблюдения</w:t>
      </w:r>
      <w:r>
        <w:rPr>
          <w:spacing w:val="80"/>
          <w:sz w:val="20"/>
          <w:vertAlign w:val="baseline"/>
        </w:rPr>
        <w:t> </w:t>
      </w:r>
      <w:r>
        <w:rPr>
          <w:sz w:val="20"/>
          <w:vertAlign w:val="baseline"/>
        </w:rPr>
        <w:t>режима</w:t>
      </w:r>
      <w:r>
        <w:rPr>
          <w:spacing w:val="80"/>
          <w:sz w:val="20"/>
          <w:vertAlign w:val="baseline"/>
        </w:rPr>
        <w:t> </w:t>
      </w:r>
      <w:r>
        <w:rPr>
          <w:sz w:val="20"/>
          <w:vertAlign w:val="baseline"/>
        </w:rPr>
        <w:t>введения</w:t>
      </w:r>
      <w:r>
        <w:rPr>
          <w:spacing w:val="80"/>
          <w:sz w:val="20"/>
          <w:vertAlign w:val="baseline"/>
        </w:rPr>
        <w:t> </w:t>
      </w:r>
      <w:r>
        <w:rPr>
          <w:sz w:val="20"/>
          <w:vertAlign w:val="baseline"/>
        </w:rPr>
        <w:t>лекарственных</w:t>
      </w:r>
      <w:r>
        <w:rPr>
          <w:spacing w:val="80"/>
          <w:sz w:val="20"/>
          <w:vertAlign w:val="baseline"/>
        </w:rPr>
        <w:t> </w:t>
      </w:r>
      <w:r>
        <w:rPr>
          <w:sz w:val="20"/>
          <w:vertAlign w:val="baseline"/>
        </w:rPr>
        <w:t>препаратов</w:t>
      </w:r>
      <w:r>
        <w:rPr>
          <w:spacing w:val="80"/>
          <w:sz w:val="20"/>
          <w:vertAlign w:val="baseline"/>
        </w:rPr>
        <w:t> </w:t>
      </w:r>
      <w:r>
        <w:rPr>
          <w:sz w:val="20"/>
          <w:vertAlign w:val="baseline"/>
        </w:rPr>
        <w:t>согласно</w:t>
      </w:r>
      <w:r>
        <w:rPr>
          <w:spacing w:val="80"/>
          <w:sz w:val="20"/>
          <w:vertAlign w:val="baseline"/>
        </w:rPr>
        <w:t> </w:t>
      </w:r>
      <w:r>
        <w:rPr>
          <w:sz w:val="20"/>
          <w:vertAlign w:val="baseline"/>
        </w:rPr>
        <w:t>инструкциям по применению лекарственных препаратов для медицинского применения.</w:t>
      </w:r>
    </w:p>
    <w:p>
      <w:pPr>
        <w:pStyle w:val="BodyText"/>
        <w:rPr>
          <w:sz w:val="20"/>
        </w:rPr>
      </w:pPr>
    </w:p>
    <w:p>
      <w:pPr>
        <w:pStyle w:val="BodyText"/>
        <w:rPr>
          <w:sz w:val="20"/>
        </w:rPr>
      </w:pPr>
    </w:p>
    <w:p>
      <w:pPr>
        <w:pStyle w:val="BodyText"/>
        <w:rPr>
          <w:sz w:val="20"/>
        </w:rPr>
      </w:pPr>
    </w:p>
    <w:p>
      <w:pPr>
        <w:pStyle w:val="BodyText"/>
        <w:spacing w:before="6"/>
        <w:rPr>
          <w:sz w:val="20"/>
        </w:rPr>
      </w:pPr>
      <w:r>
        <w:rPr/>
        <w:pict>
          <v:shape style="position:absolute;margin-left:247.970001pt;margin-top:13.004197pt;width:91pt;height:.1pt;mso-position-horizontal-relative:page;mso-position-vertical-relative:paragraph;z-index:-15720448;mso-wrap-distance-left:0;mso-wrap-distance-right:0" id="docshape23" coordorigin="4959,260" coordsize="1820,0" path="m4959,260l6779,260e" filled="false" stroked="true" strokeweight=".5616pt" strokecolor="#000000">
            <v:path arrowok="t"/>
            <v:stroke dashstyle="solid"/>
            <w10:wrap type="topAndBottom"/>
          </v:shape>
        </w:pict>
      </w:r>
    </w:p>
    <w:p>
      <w:pPr>
        <w:spacing w:after="0"/>
        <w:rPr>
          <w:sz w:val="20"/>
        </w:rPr>
        <w:sectPr>
          <w:pgSz w:w="11910" w:h="16850"/>
          <w:pgMar w:header="753" w:footer="0" w:top="1340" w:bottom="280" w:left="1200" w:right="1360"/>
        </w:sectPr>
      </w:pPr>
    </w:p>
    <w:p>
      <w:pPr>
        <w:pStyle w:val="BodyText"/>
        <w:spacing w:line="322" w:lineRule="exact" w:before="71"/>
        <w:ind w:left="4509" w:right="263"/>
        <w:jc w:val="center"/>
      </w:pPr>
      <w:r>
        <w:rPr/>
        <w:t>ПРИЛОЖЕНИЕ</w:t>
      </w:r>
      <w:r>
        <w:rPr>
          <w:spacing w:val="-6"/>
        </w:rPr>
        <w:t> </w:t>
      </w:r>
      <w:r>
        <w:rPr/>
        <w:t>№</w:t>
      </w:r>
      <w:r>
        <w:rPr>
          <w:spacing w:val="-6"/>
        </w:rPr>
        <w:t> </w:t>
      </w:r>
      <w:r>
        <w:rPr>
          <w:spacing w:val="-10"/>
        </w:rPr>
        <w:t>6</w:t>
      </w:r>
    </w:p>
    <w:p>
      <w:pPr>
        <w:pStyle w:val="BodyText"/>
        <w:ind w:left="4745" w:right="504" w:firstLine="1"/>
        <w:jc w:val="center"/>
      </w:pPr>
      <w:r>
        <w:rPr/>
        <w:t>к Программе государственных гарантий бесплатного оказания гражданам медицинской помощи на</w:t>
      </w:r>
      <w:r>
        <w:rPr>
          <w:spacing w:val="-6"/>
        </w:rPr>
        <w:t> </w:t>
      </w:r>
      <w:r>
        <w:rPr/>
        <w:t>2022</w:t>
      </w:r>
      <w:r>
        <w:rPr>
          <w:spacing w:val="-5"/>
        </w:rPr>
        <w:t> </w:t>
      </w:r>
      <w:r>
        <w:rPr/>
        <w:t>год</w:t>
      </w:r>
      <w:r>
        <w:rPr>
          <w:spacing w:val="-5"/>
        </w:rPr>
        <w:t> </w:t>
      </w:r>
      <w:r>
        <w:rPr/>
        <w:t>и</w:t>
      </w:r>
      <w:r>
        <w:rPr>
          <w:spacing w:val="-6"/>
        </w:rPr>
        <w:t> </w:t>
      </w:r>
      <w:r>
        <w:rPr/>
        <w:t>на</w:t>
      </w:r>
      <w:r>
        <w:rPr>
          <w:spacing w:val="-6"/>
        </w:rPr>
        <w:t> </w:t>
      </w:r>
      <w:r>
        <w:rPr/>
        <w:t>плановый</w:t>
      </w:r>
      <w:r>
        <w:rPr>
          <w:spacing w:val="-9"/>
        </w:rPr>
        <w:t> </w:t>
      </w:r>
      <w:r>
        <w:rPr/>
        <w:t>период 2023 и 2024 годов</w:t>
      </w:r>
    </w:p>
    <w:p>
      <w:pPr>
        <w:pStyle w:val="BodyText"/>
        <w:rPr>
          <w:sz w:val="30"/>
        </w:rPr>
      </w:pPr>
    </w:p>
    <w:p>
      <w:pPr>
        <w:pStyle w:val="BodyText"/>
        <w:rPr>
          <w:sz w:val="30"/>
        </w:rPr>
      </w:pPr>
    </w:p>
    <w:p>
      <w:pPr>
        <w:pStyle w:val="BodyText"/>
        <w:spacing w:before="4"/>
        <w:rPr>
          <w:sz w:val="24"/>
        </w:rPr>
      </w:pPr>
    </w:p>
    <w:p>
      <w:pPr>
        <w:pStyle w:val="Heading1"/>
      </w:pPr>
      <w:r>
        <w:rPr/>
        <w:t>П Е</w:t>
      </w:r>
      <w:r>
        <w:rPr>
          <w:spacing w:val="-2"/>
        </w:rPr>
        <w:t> </w:t>
      </w:r>
      <w:r>
        <w:rPr/>
        <w:t>Р</w:t>
      </w:r>
      <w:r>
        <w:rPr>
          <w:spacing w:val="-1"/>
        </w:rPr>
        <w:t> </w:t>
      </w:r>
      <w:r>
        <w:rPr/>
        <w:t>Е</w:t>
      </w:r>
      <w:r>
        <w:rPr>
          <w:spacing w:val="-2"/>
        </w:rPr>
        <w:t> </w:t>
      </w:r>
      <w:r>
        <w:rPr/>
        <w:t>Ч Е</w:t>
      </w:r>
      <w:r>
        <w:rPr>
          <w:spacing w:val="-1"/>
        </w:rPr>
        <w:t> </w:t>
      </w:r>
      <w:r>
        <w:rPr/>
        <w:t>Н </w:t>
      </w:r>
      <w:r>
        <w:rPr>
          <w:spacing w:val="-10"/>
        </w:rPr>
        <w:t>Ь</w:t>
      </w:r>
    </w:p>
    <w:p>
      <w:pPr>
        <w:spacing w:line="240" w:lineRule="auto" w:before="120"/>
        <w:ind w:left="563" w:right="566" w:firstLine="0"/>
        <w:jc w:val="center"/>
        <w:rPr>
          <w:b/>
          <w:sz w:val="28"/>
        </w:rPr>
      </w:pPr>
      <w:r>
        <w:rPr>
          <w:b/>
          <w:sz w:val="28"/>
        </w:rPr>
        <w:t>высокотехнологичной медицинской помощи с использованием ряда</w:t>
      </w:r>
      <w:r>
        <w:rPr>
          <w:b/>
          <w:spacing w:val="-4"/>
          <w:sz w:val="28"/>
        </w:rPr>
        <w:t> </w:t>
      </w:r>
      <w:r>
        <w:rPr>
          <w:b/>
          <w:sz w:val="28"/>
        </w:rPr>
        <w:t>уникальных</w:t>
      </w:r>
      <w:r>
        <w:rPr>
          <w:b/>
          <w:spacing w:val="-7"/>
          <w:sz w:val="28"/>
        </w:rPr>
        <w:t> </w:t>
      </w:r>
      <w:r>
        <w:rPr>
          <w:b/>
          <w:sz w:val="28"/>
        </w:rPr>
        <w:t>методов</w:t>
      </w:r>
      <w:r>
        <w:rPr>
          <w:b/>
          <w:spacing w:val="-5"/>
          <w:sz w:val="28"/>
        </w:rPr>
        <w:t> </w:t>
      </w:r>
      <w:r>
        <w:rPr>
          <w:b/>
          <w:sz w:val="28"/>
        </w:rPr>
        <w:t>лечения,</w:t>
      </w:r>
      <w:r>
        <w:rPr>
          <w:b/>
          <w:spacing w:val="-6"/>
          <w:sz w:val="28"/>
        </w:rPr>
        <w:t> </w:t>
      </w:r>
      <w:r>
        <w:rPr>
          <w:b/>
          <w:sz w:val="28"/>
        </w:rPr>
        <w:t>применяемых</w:t>
      </w:r>
      <w:r>
        <w:rPr>
          <w:b/>
          <w:spacing w:val="-4"/>
          <w:sz w:val="28"/>
        </w:rPr>
        <w:t> </w:t>
      </w:r>
      <w:r>
        <w:rPr>
          <w:b/>
          <w:sz w:val="28"/>
        </w:rPr>
        <w:t>при</w:t>
      </w:r>
      <w:r>
        <w:rPr>
          <w:b/>
          <w:spacing w:val="-5"/>
          <w:sz w:val="28"/>
        </w:rPr>
        <w:t> </w:t>
      </w:r>
      <w:r>
        <w:rPr>
          <w:b/>
          <w:sz w:val="28"/>
        </w:rPr>
        <w:t>сердечно- сосудистой хирургии и трансплантации органов</w:t>
      </w:r>
    </w:p>
    <w:p>
      <w:pPr>
        <w:pStyle w:val="BodyText"/>
        <w:rPr>
          <w:b/>
          <w:sz w:val="30"/>
        </w:rPr>
      </w:pPr>
    </w:p>
    <w:p>
      <w:pPr>
        <w:pStyle w:val="BodyText"/>
        <w:spacing w:before="11"/>
        <w:rPr>
          <w:b/>
        </w:rPr>
      </w:pPr>
    </w:p>
    <w:p>
      <w:pPr>
        <w:pStyle w:val="ListParagraph"/>
        <w:numPr>
          <w:ilvl w:val="0"/>
          <w:numId w:val="22"/>
        </w:numPr>
        <w:tabs>
          <w:tab w:pos="1215" w:val="left" w:leader="none"/>
        </w:tabs>
        <w:spacing w:line="240" w:lineRule="auto" w:before="0" w:after="0"/>
        <w:ind w:left="1214" w:right="0" w:hanging="289"/>
        <w:jc w:val="both"/>
        <w:rPr>
          <w:sz w:val="28"/>
        </w:rPr>
      </w:pPr>
      <w:r>
        <w:rPr>
          <w:sz w:val="28"/>
        </w:rPr>
        <w:t>Одномоментная</w:t>
      </w:r>
      <w:r>
        <w:rPr>
          <w:spacing w:val="-7"/>
          <w:sz w:val="28"/>
        </w:rPr>
        <w:t> </w:t>
      </w:r>
      <w:r>
        <w:rPr>
          <w:sz w:val="28"/>
        </w:rPr>
        <w:t>замена</w:t>
      </w:r>
      <w:r>
        <w:rPr>
          <w:spacing w:val="-7"/>
          <w:sz w:val="28"/>
        </w:rPr>
        <w:t> </w:t>
      </w:r>
      <w:r>
        <w:rPr>
          <w:sz w:val="28"/>
        </w:rPr>
        <w:t>всей</w:t>
      </w:r>
      <w:r>
        <w:rPr>
          <w:spacing w:val="-6"/>
          <w:sz w:val="28"/>
        </w:rPr>
        <w:t> </w:t>
      </w:r>
      <w:r>
        <w:rPr>
          <w:spacing w:val="-2"/>
          <w:sz w:val="28"/>
        </w:rPr>
        <w:t>аорты.</w:t>
      </w:r>
    </w:p>
    <w:p>
      <w:pPr>
        <w:pStyle w:val="ListParagraph"/>
        <w:numPr>
          <w:ilvl w:val="0"/>
          <w:numId w:val="22"/>
        </w:numPr>
        <w:tabs>
          <w:tab w:pos="1215" w:val="left" w:leader="none"/>
        </w:tabs>
        <w:spacing w:line="268" w:lineRule="auto" w:before="38" w:after="0"/>
        <w:ind w:left="218" w:right="223" w:firstLine="707"/>
        <w:jc w:val="both"/>
        <w:rPr>
          <w:sz w:val="28"/>
        </w:rPr>
      </w:pPr>
      <w:r>
        <w:rPr>
          <w:sz w:val="28"/>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p>
      <w:pPr>
        <w:pStyle w:val="ListParagraph"/>
        <w:numPr>
          <w:ilvl w:val="0"/>
          <w:numId w:val="22"/>
        </w:numPr>
        <w:tabs>
          <w:tab w:pos="1215" w:val="left" w:leader="none"/>
        </w:tabs>
        <w:spacing w:line="268" w:lineRule="auto" w:before="0" w:after="0"/>
        <w:ind w:left="218" w:right="223" w:firstLine="707"/>
        <w:jc w:val="both"/>
        <w:rPr>
          <w:sz w:val="28"/>
        </w:rPr>
      </w:pPr>
      <w:r>
        <w:rPr>
          <w:sz w:val="28"/>
        </w:rPr>
        <w:t>Открытое протезирование дуги аорты с реконструкцией всех брахицефальных ветвей.</w:t>
      </w:r>
    </w:p>
    <w:p>
      <w:pPr>
        <w:pStyle w:val="ListParagraph"/>
        <w:numPr>
          <w:ilvl w:val="0"/>
          <w:numId w:val="22"/>
        </w:numPr>
        <w:tabs>
          <w:tab w:pos="1215" w:val="left" w:leader="none"/>
        </w:tabs>
        <w:spacing w:line="321" w:lineRule="exact" w:before="0" w:after="0"/>
        <w:ind w:left="1214" w:right="0" w:hanging="289"/>
        <w:jc w:val="both"/>
        <w:rPr>
          <w:sz w:val="28"/>
        </w:rPr>
      </w:pPr>
      <w:r>
        <w:rPr>
          <w:sz w:val="28"/>
        </w:rPr>
        <w:t>Малоинвазивная</w:t>
      </w:r>
      <w:r>
        <w:rPr>
          <w:spacing w:val="-12"/>
          <w:sz w:val="28"/>
        </w:rPr>
        <w:t> </w:t>
      </w:r>
      <w:r>
        <w:rPr>
          <w:sz w:val="28"/>
        </w:rPr>
        <w:t>хирургия</w:t>
      </w:r>
      <w:r>
        <w:rPr>
          <w:spacing w:val="-12"/>
          <w:sz w:val="28"/>
        </w:rPr>
        <w:t> </w:t>
      </w:r>
      <w:r>
        <w:rPr>
          <w:sz w:val="28"/>
        </w:rPr>
        <w:t>грудной</w:t>
      </w:r>
      <w:r>
        <w:rPr>
          <w:spacing w:val="-11"/>
          <w:sz w:val="28"/>
        </w:rPr>
        <w:t> </w:t>
      </w:r>
      <w:r>
        <w:rPr>
          <w:spacing w:val="-2"/>
          <w:sz w:val="28"/>
        </w:rPr>
        <w:t>аорты.</w:t>
      </w:r>
    </w:p>
    <w:p>
      <w:pPr>
        <w:pStyle w:val="ListParagraph"/>
        <w:numPr>
          <w:ilvl w:val="0"/>
          <w:numId w:val="22"/>
        </w:numPr>
        <w:tabs>
          <w:tab w:pos="1215" w:val="left" w:leader="none"/>
        </w:tabs>
        <w:spacing w:line="268" w:lineRule="auto" w:before="37" w:after="0"/>
        <w:ind w:left="218" w:right="222" w:firstLine="707"/>
        <w:jc w:val="both"/>
        <w:rPr>
          <w:sz w:val="28"/>
        </w:rPr>
      </w:pPr>
      <w:r>
        <w:rPr>
          <w:sz w:val="28"/>
        </w:rPr>
        <w:t>Эндоваскулярное протезирование аорты с сохранением</w:t>
      </w:r>
      <w:r>
        <w:rPr>
          <w:spacing w:val="40"/>
          <w:sz w:val="28"/>
        </w:rPr>
        <w:t> </w:t>
      </w:r>
      <w:r>
        <w:rPr>
          <w:sz w:val="28"/>
        </w:rPr>
        <w:t>кровотока по ветвям дуги аорты путем создания фенестрации.</w:t>
      </w:r>
    </w:p>
    <w:p>
      <w:pPr>
        <w:pStyle w:val="ListParagraph"/>
        <w:numPr>
          <w:ilvl w:val="0"/>
          <w:numId w:val="22"/>
        </w:numPr>
        <w:tabs>
          <w:tab w:pos="1215" w:val="left" w:leader="none"/>
        </w:tabs>
        <w:spacing w:line="268" w:lineRule="auto" w:before="0" w:after="0"/>
        <w:ind w:left="218" w:right="227" w:firstLine="707"/>
        <w:jc w:val="both"/>
        <w:rPr>
          <w:sz w:val="28"/>
        </w:rPr>
      </w:pPr>
      <w:r>
        <w:rPr>
          <w:sz w:val="28"/>
        </w:rPr>
        <w:t>Эндоваскулярное</w:t>
      </w:r>
      <w:r>
        <w:rPr>
          <w:spacing w:val="-2"/>
          <w:sz w:val="28"/>
        </w:rPr>
        <w:t> </w:t>
      </w:r>
      <w:r>
        <w:rPr>
          <w:sz w:val="28"/>
        </w:rPr>
        <w:t>протезирование</w:t>
      </w:r>
      <w:r>
        <w:rPr>
          <w:spacing w:val="-2"/>
          <w:sz w:val="28"/>
        </w:rPr>
        <w:t> </w:t>
      </w:r>
      <w:r>
        <w:rPr>
          <w:sz w:val="28"/>
        </w:rPr>
        <w:t>брюшной</w:t>
      </w:r>
      <w:r>
        <w:rPr>
          <w:spacing w:val="-1"/>
          <w:sz w:val="28"/>
        </w:rPr>
        <w:t> </w:t>
      </w:r>
      <w:r>
        <w:rPr>
          <w:sz w:val="28"/>
        </w:rPr>
        <w:t>аорты</w:t>
      </w:r>
      <w:r>
        <w:rPr>
          <w:spacing w:val="-2"/>
          <w:sz w:val="28"/>
        </w:rPr>
        <w:t> </w:t>
      </w:r>
      <w:r>
        <w:rPr>
          <w:sz w:val="28"/>
        </w:rPr>
        <w:t>с</w:t>
      </w:r>
      <w:r>
        <w:rPr>
          <w:spacing w:val="-1"/>
          <w:sz w:val="28"/>
        </w:rPr>
        <w:t> </w:t>
      </w:r>
      <w:r>
        <w:rPr>
          <w:sz w:val="28"/>
        </w:rPr>
        <w:t>сохранением кровотока по висцеральным артериям с имплантацией</w:t>
      </w:r>
      <w:r>
        <w:rPr>
          <w:spacing w:val="40"/>
          <w:sz w:val="28"/>
        </w:rPr>
        <w:t> </w:t>
      </w:r>
      <w:r>
        <w:rPr>
          <w:sz w:val="28"/>
        </w:rPr>
        <w:t>фенестрированного стент-графта.</w:t>
      </w:r>
    </w:p>
    <w:p>
      <w:pPr>
        <w:pStyle w:val="ListParagraph"/>
        <w:numPr>
          <w:ilvl w:val="0"/>
          <w:numId w:val="22"/>
        </w:numPr>
        <w:tabs>
          <w:tab w:pos="1215" w:val="left" w:leader="none"/>
        </w:tabs>
        <w:spacing w:line="321" w:lineRule="exact" w:before="0" w:after="0"/>
        <w:ind w:left="1214" w:right="0" w:hanging="289"/>
        <w:jc w:val="both"/>
        <w:rPr>
          <w:sz w:val="28"/>
        </w:rPr>
      </w:pPr>
      <w:r>
        <w:rPr>
          <w:sz w:val="28"/>
        </w:rPr>
        <w:t>Трансплантация</w:t>
      </w:r>
      <w:r>
        <w:rPr>
          <w:spacing w:val="-8"/>
          <w:sz w:val="28"/>
        </w:rPr>
        <w:t> </w:t>
      </w:r>
      <w:r>
        <w:rPr>
          <w:sz w:val="28"/>
        </w:rPr>
        <w:t>комплекса</w:t>
      </w:r>
      <w:r>
        <w:rPr>
          <w:spacing w:val="-8"/>
          <w:sz w:val="28"/>
        </w:rPr>
        <w:t> </w:t>
      </w:r>
      <w:r>
        <w:rPr>
          <w:sz w:val="28"/>
        </w:rPr>
        <w:t>органов</w:t>
      </w:r>
      <w:r>
        <w:rPr>
          <w:spacing w:val="-7"/>
          <w:sz w:val="28"/>
        </w:rPr>
        <w:t> </w:t>
      </w:r>
      <w:r>
        <w:rPr>
          <w:sz w:val="28"/>
        </w:rPr>
        <w:t>в</w:t>
      </w:r>
      <w:r>
        <w:rPr>
          <w:spacing w:val="-7"/>
          <w:sz w:val="28"/>
        </w:rPr>
        <w:t> </w:t>
      </w:r>
      <w:r>
        <w:rPr>
          <w:sz w:val="28"/>
        </w:rPr>
        <w:t>различных</w:t>
      </w:r>
      <w:r>
        <w:rPr>
          <w:spacing w:val="-4"/>
          <w:sz w:val="28"/>
        </w:rPr>
        <w:t> </w:t>
      </w:r>
      <w:r>
        <w:rPr>
          <w:spacing w:val="-2"/>
          <w:sz w:val="28"/>
        </w:rPr>
        <w:t>сочетаниях.</w:t>
      </w:r>
    </w:p>
    <w:p>
      <w:pPr>
        <w:pStyle w:val="ListParagraph"/>
        <w:numPr>
          <w:ilvl w:val="0"/>
          <w:numId w:val="22"/>
        </w:numPr>
        <w:tabs>
          <w:tab w:pos="1215" w:val="left" w:leader="none"/>
        </w:tabs>
        <w:spacing w:line="268" w:lineRule="auto" w:before="37" w:after="0"/>
        <w:ind w:left="218" w:right="228" w:firstLine="707"/>
        <w:jc w:val="both"/>
        <w:rPr>
          <w:sz w:val="28"/>
        </w:rPr>
      </w:pPr>
      <w:r>
        <w:rPr>
          <w:sz w:val="28"/>
        </w:rPr>
        <w:t>Трансплантация легких с использованием перфузионных </w:t>
      </w:r>
      <w:r>
        <w:rPr>
          <w:spacing w:val="-2"/>
          <w:sz w:val="28"/>
        </w:rPr>
        <w:t>технологий.</w:t>
      </w:r>
    </w:p>
    <w:p>
      <w:pPr>
        <w:pStyle w:val="BodyText"/>
        <w:rPr>
          <w:sz w:val="20"/>
        </w:rPr>
      </w:pPr>
    </w:p>
    <w:p>
      <w:pPr>
        <w:pStyle w:val="BodyText"/>
        <w:rPr>
          <w:sz w:val="20"/>
        </w:rPr>
      </w:pPr>
    </w:p>
    <w:p>
      <w:pPr>
        <w:pStyle w:val="BodyText"/>
        <w:rPr>
          <w:sz w:val="20"/>
        </w:rPr>
      </w:pPr>
    </w:p>
    <w:p>
      <w:pPr>
        <w:pStyle w:val="BodyText"/>
        <w:spacing w:before="2"/>
        <w:rPr>
          <w:sz w:val="21"/>
        </w:rPr>
      </w:pPr>
      <w:r>
        <w:rPr/>
        <w:pict>
          <v:shape style="position:absolute;margin-left:247.970001pt;margin-top:13.373975pt;width:91pt;height:.1pt;mso-position-horizontal-relative:page;mso-position-vertical-relative:paragraph;z-index:-15719936;mso-wrap-distance-left:0;mso-wrap-distance-right:0" id="docshape24" coordorigin="4959,267" coordsize="1820,0" path="m4959,267l6779,267e" filled="false" stroked="true" strokeweight=".5616pt" strokecolor="#000000">
            <v:path arrowok="t"/>
            <v:stroke dashstyle="solid"/>
            <w10:wrap type="topAndBottom"/>
          </v:shape>
        </w:pict>
      </w:r>
    </w:p>
    <w:p>
      <w:pPr>
        <w:spacing w:after="0"/>
        <w:rPr>
          <w:sz w:val="21"/>
        </w:rPr>
        <w:sectPr>
          <w:headerReference w:type="default" r:id="rId541"/>
          <w:pgSz w:w="11910" w:h="16850"/>
          <w:pgMar w:header="0" w:footer="0" w:top="1340" w:bottom="280" w:left="1200" w:right="1360"/>
        </w:sectPr>
      </w:pPr>
    </w:p>
    <w:p>
      <w:pPr>
        <w:pStyle w:val="BodyText"/>
        <w:spacing w:before="139"/>
        <w:ind w:left="11058" w:right="284"/>
        <w:jc w:val="center"/>
      </w:pPr>
      <w:r>
        <w:rPr/>
        <w:t>ПРИЛОЖЕНИЕ</w:t>
      </w:r>
      <w:r>
        <w:rPr>
          <w:spacing w:val="-6"/>
        </w:rPr>
        <w:t> </w:t>
      </w:r>
      <w:r>
        <w:rPr/>
        <w:t>№</w:t>
      </w:r>
      <w:r>
        <w:rPr>
          <w:spacing w:val="-6"/>
        </w:rPr>
        <w:t> </w:t>
      </w:r>
      <w:r>
        <w:rPr>
          <w:spacing w:val="-10"/>
        </w:rPr>
        <w:t>7</w:t>
      </w:r>
    </w:p>
    <w:p>
      <w:pPr>
        <w:pStyle w:val="BodyText"/>
        <w:spacing w:before="3"/>
        <w:ind w:left="11058" w:right="285"/>
        <w:jc w:val="center"/>
      </w:pPr>
      <w:r>
        <w:rPr/>
        <w:t>к</w:t>
      </w:r>
      <w:r>
        <w:rPr>
          <w:spacing w:val="-11"/>
        </w:rPr>
        <w:t> </w:t>
      </w:r>
      <w:r>
        <w:rPr/>
        <w:t>Программе</w:t>
      </w:r>
      <w:r>
        <w:rPr>
          <w:spacing w:val="-11"/>
        </w:rPr>
        <w:t> </w:t>
      </w:r>
      <w:r>
        <w:rPr/>
        <w:t>государственных</w:t>
      </w:r>
      <w:r>
        <w:rPr>
          <w:spacing w:val="-10"/>
        </w:rPr>
        <w:t> </w:t>
      </w:r>
      <w:r>
        <w:rPr/>
        <w:t>гарантий бесплатного оказания гражданам медицинской помощи на 2022 год</w:t>
      </w:r>
    </w:p>
    <w:p>
      <w:pPr>
        <w:pStyle w:val="BodyText"/>
        <w:spacing w:line="321" w:lineRule="exact"/>
        <w:ind w:left="11039" w:right="266"/>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spacing w:before="1"/>
        <w:rPr>
          <w:sz w:val="42"/>
        </w:rPr>
      </w:pPr>
    </w:p>
    <w:p>
      <w:pPr>
        <w:pStyle w:val="Heading1"/>
        <w:ind w:left="285" w:right="285"/>
      </w:pPr>
      <w:r>
        <w:rPr/>
        <w:t>СРЕДНИЕ</w:t>
      </w:r>
      <w:r>
        <w:rPr>
          <w:spacing w:val="-6"/>
        </w:rPr>
        <w:t> </w:t>
      </w:r>
      <w:r>
        <w:rPr>
          <w:spacing w:val="-2"/>
        </w:rPr>
        <w:t>НОРМАТИВЫ</w:t>
      </w:r>
    </w:p>
    <w:p>
      <w:pPr>
        <w:spacing w:before="120"/>
        <w:ind w:left="0" w:right="0" w:firstLine="0"/>
        <w:jc w:val="center"/>
        <w:rPr>
          <w:b/>
          <w:sz w:val="28"/>
        </w:rPr>
      </w:pPr>
      <w:r>
        <w:rPr>
          <w:b/>
          <w:sz w:val="28"/>
        </w:rPr>
        <w:t>объема</w:t>
      </w:r>
      <w:r>
        <w:rPr>
          <w:b/>
          <w:spacing w:val="-6"/>
          <w:sz w:val="28"/>
        </w:rPr>
        <w:t> </w:t>
      </w:r>
      <w:r>
        <w:rPr>
          <w:b/>
          <w:sz w:val="28"/>
        </w:rPr>
        <w:t>оказания</w:t>
      </w:r>
      <w:r>
        <w:rPr>
          <w:b/>
          <w:spacing w:val="-6"/>
          <w:sz w:val="28"/>
        </w:rPr>
        <w:t> </w:t>
      </w:r>
      <w:r>
        <w:rPr>
          <w:b/>
          <w:sz w:val="28"/>
        </w:rPr>
        <w:t>и</w:t>
      </w:r>
      <w:r>
        <w:rPr>
          <w:b/>
          <w:spacing w:val="-5"/>
          <w:sz w:val="28"/>
        </w:rPr>
        <w:t> </w:t>
      </w:r>
      <w:r>
        <w:rPr>
          <w:b/>
          <w:sz w:val="28"/>
        </w:rPr>
        <w:t>средние</w:t>
      </w:r>
      <w:r>
        <w:rPr>
          <w:b/>
          <w:spacing w:val="-4"/>
          <w:sz w:val="28"/>
        </w:rPr>
        <w:t> </w:t>
      </w:r>
      <w:r>
        <w:rPr>
          <w:b/>
          <w:sz w:val="28"/>
        </w:rPr>
        <w:t>нормативы</w:t>
      </w:r>
      <w:r>
        <w:rPr>
          <w:b/>
          <w:spacing w:val="-6"/>
          <w:sz w:val="28"/>
        </w:rPr>
        <w:t> </w:t>
      </w:r>
      <w:r>
        <w:rPr>
          <w:b/>
          <w:sz w:val="28"/>
        </w:rPr>
        <w:t>финансовых</w:t>
      </w:r>
      <w:r>
        <w:rPr>
          <w:b/>
          <w:spacing w:val="-3"/>
          <w:sz w:val="28"/>
        </w:rPr>
        <w:t> </w:t>
      </w:r>
      <w:r>
        <w:rPr>
          <w:b/>
          <w:sz w:val="28"/>
        </w:rPr>
        <w:t>затрат</w:t>
      </w:r>
      <w:r>
        <w:rPr>
          <w:b/>
          <w:spacing w:val="-2"/>
          <w:sz w:val="28"/>
        </w:rPr>
        <w:t> </w:t>
      </w:r>
      <w:r>
        <w:rPr>
          <w:b/>
          <w:sz w:val="28"/>
        </w:rPr>
        <w:t>на</w:t>
      </w:r>
      <w:r>
        <w:rPr>
          <w:b/>
          <w:spacing w:val="-3"/>
          <w:sz w:val="28"/>
        </w:rPr>
        <w:t> </w:t>
      </w:r>
      <w:r>
        <w:rPr>
          <w:b/>
          <w:sz w:val="28"/>
        </w:rPr>
        <w:t>единицу</w:t>
      </w:r>
      <w:r>
        <w:rPr>
          <w:b/>
          <w:spacing w:val="-3"/>
          <w:sz w:val="28"/>
        </w:rPr>
        <w:t> </w:t>
      </w:r>
      <w:r>
        <w:rPr>
          <w:b/>
          <w:sz w:val="28"/>
        </w:rPr>
        <w:t>объема</w:t>
      </w:r>
      <w:r>
        <w:rPr>
          <w:b/>
          <w:spacing w:val="-7"/>
          <w:sz w:val="28"/>
        </w:rPr>
        <w:t> </w:t>
      </w:r>
      <w:r>
        <w:rPr>
          <w:b/>
          <w:sz w:val="28"/>
        </w:rPr>
        <w:t>медицинской</w:t>
      </w:r>
      <w:r>
        <w:rPr>
          <w:b/>
          <w:spacing w:val="-5"/>
          <w:sz w:val="28"/>
        </w:rPr>
        <w:t> </w:t>
      </w:r>
      <w:r>
        <w:rPr>
          <w:b/>
          <w:sz w:val="28"/>
        </w:rPr>
        <w:t>помощи</w:t>
      </w:r>
      <w:r>
        <w:rPr>
          <w:b/>
          <w:spacing w:val="-5"/>
          <w:sz w:val="28"/>
        </w:rPr>
        <w:t> </w:t>
      </w:r>
      <w:r>
        <w:rPr>
          <w:b/>
          <w:sz w:val="28"/>
        </w:rPr>
        <w:t>на</w:t>
      </w:r>
      <w:r>
        <w:rPr>
          <w:b/>
          <w:spacing w:val="-3"/>
          <w:sz w:val="28"/>
        </w:rPr>
        <w:t> </w:t>
      </w:r>
      <w:r>
        <w:rPr>
          <w:b/>
          <w:sz w:val="28"/>
        </w:rPr>
        <w:t>2022</w:t>
      </w:r>
      <w:r>
        <w:rPr>
          <w:b/>
          <w:spacing w:val="-3"/>
          <w:sz w:val="28"/>
        </w:rPr>
        <w:t> </w:t>
      </w:r>
      <w:r>
        <w:rPr>
          <w:b/>
          <w:sz w:val="28"/>
        </w:rPr>
        <w:t>-</w:t>
      </w:r>
      <w:r>
        <w:rPr>
          <w:b/>
          <w:spacing w:val="-5"/>
          <w:sz w:val="28"/>
        </w:rPr>
        <w:t> </w:t>
      </w:r>
      <w:r>
        <w:rPr>
          <w:b/>
          <w:sz w:val="28"/>
        </w:rPr>
        <w:t>2024</w:t>
      </w:r>
      <w:r>
        <w:rPr>
          <w:b/>
          <w:spacing w:val="-3"/>
          <w:sz w:val="28"/>
        </w:rPr>
        <w:t> </w:t>
      </w:r>
      <w:r>
        <w:rPr>
          <w:b/>
          <w:spacing w:val="-4"/>
          <w:sz w:val="28"/>
        </w:rPr>
        <w:t>годы</w:t>
      </w:r>
    </w:p>
    <w:p>
      <w:pPr>
        <w:pStyle w:val="BodyText"/>
        <w:spacing w:before="3"/>
        <w:rPr>
          <w:b/>
          <w:sz w:val="2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8"/>
        <w:gridCol w:w="1407"/>
        <w:gridCol w:w="1704"/>
        <w:gridCol w:w="1457"/>
        <w:gridCol w:w="1953"/>
        <w:gridCol w:w="1411"/>
        <w:gridCol w:w="1778"/>
      </w:tblGrid>
      <w:tr>
        <w:trPr>
          <w:trHeight w:val="251" w:hRule="atLeast"/>
        </w:trPr>
        <w:tc>
          <w:tcPr>
            <w:tcW w:w="4364" w:type="dxa"/>
            <w:vMerge w:val="restart"/>
            <w:tcBorders>
              <w:left w:val="nil"/>
            </w:tcBorders>
          </w:tcPr>
          <w:p>
            <w:pPr>
              <w:pStyle w:val="TableParagraph"/>
              <w:rPr>
                <w:b/>
                <w:sz w:val="24"/>
              </w:rPr>
            </w:pPr>
          </w:p>
          <w:p>
            <w:pPr>
              <w:pStyle w:val="TableParagraph"/>
              <w:rPr>
                <w:b/>
                <w:sz w:val="24"/>
              </w:rPr>
            </w:pPr>
          </w:p>
          <w:p>
            <w:pPr>
              <w:pStyle w:val="TableParagraph"/>
              <w:spacing w:before="205"/>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8" w:type="dxa"/>
            <w:vMerge w:val="restart"/>
          </w:tcPr>
          <w:p>
            <w:pPr>
              <w:pStyle w:val="TableParagraph"/>
              <w:rPr>
                <w:b/>
                <w:sz w:val="24"/>
              </w:rPr>
            </w:pPr>
          </w:p>
          <w:p>
            <w:pPr>
              <w:pStyle w:val="TableParagraph"/>
              <w:spacing w:before="8"/>
              <w:rPr>
                <w:b/>
                <w:sz w:val="30"/>
              </w:rPr>
            </w:pPr>
          </w:p>
          <w:p>
            <w:pPr>
              <w:pStyle w:val="TableParagraph"/>
              <w:ind w:left="424" w:right="423" w:hanging="4"/>
              <w:jc w:val="center"/>
              <w:rPr>
                <w:sz w:val="22"/>
              </w:rPr>
            </w:pPr>
            <w:r>
              <w:rPr>
                <w:spacing w:val="-2"/>
                <w:sz w:val="22"/>
              </w:rPr>
              <w:t>Единица измерения</w:t>
            </w:r>
          </w:p>
          <w:p>
            <w:pPr>
              <w:pStyle w:val="TableParagraph"/>
              <w:spacing w:before="1"/>
              <w:ind w:left="81" w:right="81"/>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1" w:type="dxa"/>
            <w:gridSpan w:val="2"/>
          </w:tcPr>
          <w:p>
            <w:pPr>
              <w:pStyle w:val="TableParagraph"/>
              <w:spacing w:line="232" w:lineRule="exact"/>
              <w:ind w:left="1134" w:right="1134"/>
              <w:jc w:val="center"/>
              <w:rPr>
                <w:sz w:val="22"/>
              </w:rPr>
            </w:pPr>
            <w:r>
              <w:rPr>
                <w:sz w:val="22"/>
              </w:rPr>
              <w:t>2022 </w:t>
            </w:r>
            <w:r>
              <w:rPr>
                <w:spacing w:val="-5"/>
                <w:sz w:val="22"/>
              </w:rPr>
              <w:t>год</w:t>
            </w:r>
          </w:p>
        </w:tc>
        <w:tc>
          <w:tcPr>
            <w:tcW w:w="3410" w:type="dxa"/>
            <w:gridSpan w:val="2"/>
          </w:tcPr>
          <w:p>
            <w:pPr>
              <w:pStyle w:val="TableParagraph"/>
              <w:spacing w:line="232" w:lineRule="exact"/>
              <w:ind w:left="1282" w:right="1282"/>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2" w:lineRule="exact"/>
              <w:ind w:left="1175" w:right="1173"/>
              <w:jc w:val="center"/>
              <w:rPr>
                <w:sz w:val="22"/>
              </w:rPr>
            </w:pPr>
            <w:r>
              <w:rPr>
                <w:sz w:val="22"/>
              </w:rPr>
              <w:t>2024 </w:t>
            </w:r>
            <w:r>
              <w:rPr>
                <w:spacing w:val="-5"/>
                <w:sz w:val="22"/>
              </w:rPr>
              <w:t>год</w:t>
            </w:r>
          </w:p>
        </w:tc>
      </w:tr>
      <w:tr>
        <w:trPr>
          <w:trHeight w:val="1771" w:hRule="atLeast"/>
        </w:trPr>
        <w:tc>
          <w:tcPr>
            <w:tcW w:w="4364" w:type="dxa"/>
            <w:vMerge/>
            <w:tcBorders>
              <w:top w:val="nil"/>
              <w:left w:val="nil"/>
            </w:tcBorders>
          </w:tcPr>
          <w:p>
            <w:pPr>
              <w:rPr>
                <w:sz w:val="2"/>
                <w:szCs w:val="2"/>
              </w:rPr>
            </w:pPr>
          </w:p>
        </w:tc>
        <w:tc>
          <w:tcPr>
            <w:tcW w:w="1848" w:type="dxa"/>
            <w:vMerge/>
            <w:tcBorders>
              <w:top w:val="nil"/>
            </w:tcBorders>
          </w:tcPr>
          <w:p>
            <w:pPr>
              <w:rPr>
                <w:sz w:val="2"/>
                <w:szCs w:val="2"/>
              </w:rPr>
            </w:pPr>
          </w:p>
        </w:tc>
        <w:tc>
          <w:tcPr>
            <w:tcW w:w="1407" w:type="dxa"/>
          </w:tcPr>
          <w:p>
            <w:pPr>
              <w:pStyle w:val="TableParagraph"/>
              <w:spacing w:before="6"/>
              <w:rPr>
                <w:b/>
                <w:sz w:val="21"/>
              </w:rPr>
            </w:pPr>
          </w:p>
          <w:p>
            <w:pPr>
              <w:pStyle w:val="TableParagraph"/>
              <w:ind w:left="67" w:right="72" w:firstLine="1"/>
              <w:jc w:val="center"/>
              <w:rPr>
                <w:sz w:val="22"/>
              </w:rPr>
            </w:pPr>
            <w:r>
              <w:rPr>
                <w:spacing w:val="-2"/>
                <w:sz w:val="22"/>
              </w:rPr>
              <w:t>Средние нормативы объема медицинской помощи</w:t>
            </w:r>
          </w:p>
        </w:tc>
        <w:tc>
          <w:tcPr>
            <w:tcW w:w="1704" w:type="dxa"/>
          </w:tcPr>
          <w:p>
            <w:pPr>
              <w:pStyle w:val="TableParagraph"/>
              <w:ind w:left="86" w:right="87"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 </w:t>
            </w:r>
            <w:r>
              <w:rPr>
                <w:spacing w:val="-2"/>
                <w:sz w:val="22"/>
              </w:rPr>
              <w:t>медицинской</w:t>
            </w:r>
          </w:p>
          <w:p>
            <w:pPr>
              <w:pStyle w:val="TableParagraph"/>
              <w:spacing w:line="238" w:lineRule="exact"/>
              <w:ind w:left="207" w:right="207"/>
              <w:jc w:val="center"/>
              <w:rPr>
                <w:sz w:val="22"/>
              </w:rPr>
            </w:pPr>
            <w:r>
              <w:rPr>
                <w:sz w:val="22"/>
              </w:rPr>
              <w:t>помощи,</w:t>
            </w:r>
            <w:r>
              <w:rPr>
                <w:spacing w:val="-6"/>
                <w:sz w:val="22"/>
              </w:rPr>
              <w:t> </w:t>
            </w:r>
            <w:r>
              <w:rPr>
                <w:spacing w:val="-4"/>
                <w:sz w:val="22"/>
              </w:rPr>
              <w:t>руб.</w:t>
            </w:r>
          </w:p>
        </w:tc>
        <w:tc>
          <w:tcPr>
            <w:tcW w:w="1457" w:type="dxa"/>
          </w:tcPr>
          <w:p>
            <w:pPr>
              <w:pStyle w:val="TableParagraph"/>
              <w:spacing w:before="6"/>
              <w:rPr>
                <w:b/>
                <w:sz w:val="21"/>
              </w:rPr>
            </w:pPr>
          </w:p>
          <w:p>
            <w:pPr>
              <w:pStyle w:val="TableParagraph"/>
              <w:ind w:left="95" w:right="93"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69" w:right="66"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b/>
                <w:sz w:val="21"/>
              </w:rPr>
            </w:pPr>
          </w:p>
          <w:p>
            <w:pPr>
              <w:pStyle w:val="TableParagraph"/>
              <w:ind w:left="72" w:right="70"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6" w:right="121"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 </w:t>
            </w:r>
            <w:r>
              <w:rPr>
                <w:spacing w:val="-2"/>
                <w:sz w:val="22"/>
              </w:rPr>
              <w:t>медицинской</w:t>
            </w:r>
          </w:p>
          <w:p>
            <w:pPr>
              <w:pStyle w:val="TableParagraph"/>
              <w:spacing w:line="238" w:lineRule="exact"/>
              <w:ind w:left="249" w:right="244"/>
              <w:jc w:val="center"/>
              <w:rPr>
                <w:sz w:val="22"/>
              </w:rPr>
            </w:pPr>
            <w:r>
              <w:rPr>
                <w:sz w:val="22"/>
              </w:rPr>
              <w:t>помощи,</w:t>
            </w:r>
            <w:r>
              <w:rPr>
                <w:spacing w:val="-6"/>
                <w:sz w:val="22"/>
              </w:rPr>
              <w:t> </w:t>
            </w:r>
            <w:r>
              <w:rPr>
                <w:spacing w:val="-4"/>
                <w:sz w:val="22"/>
              </w:rPr>
              <w:t>руб.</w:t>
            </w:r>
          </w:p>
        </w:tc>
      </w:tr>
    </w:tbl>
    <w:p>
      <w:pPr>
        <w:pStyle w:val="ListParagraph"/>
        <w:numPr>
          <w:ilvl w:val="1"/>
          <w:numId w:val="22"/>
        </w:numPr>
        <w:tabs>
          <w:tab w:pos="5179" w:val="left" w:leader="none"/>
        </w:tabs>
        <w:spacing w:line="240" w:lineRule="auto" w:before="248" w:after="0"/>
        <w:ind w:left="5178" w:right="0" w:hanging="181"/>
        <w:jc w:val="left"/>
        <w:rPr>
          <w:sz w:val="22"/>
        </w:rPr>
      </w:pPr>
      <w:r>
        <w:rPr/>
        <w:pict>
          <v:shape style="position:absolute;margin-left:22.940001pt;margin-top:28.431639pt;width:772.2pt;height:181.95pt;mso-position-horizontal-relative:page;mso-position-vertical-relative:paragraph;z-index:15737856" type="#_x0000_t202" id="docshape2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4"/>
                    <w:gridCol w:w="2239"/>
                    <w:gridCol w:w="1332"/>
                    <w:gridCol w:w="1624"/>
                    <w:gridCol w:w="1616"/>
                    <w:gridCol w:w="1695"/>
                    <w:gridCol w:w="1611"/>
                    <w:gridCol w:w="1234"/>
                  </w:tblGrid>
                  <w:tr>
                    <w:trPr>
                      <w:trHeight w:val="279" w:hRule="atLeast"/>
                    </w:trPr>
                    <w:tc>
                      <w:tcPr>
                        <w:tcW w:w="6333" w:type="dxa"/>
                        <w:gridSpan w:val="2"/>
                      </w:tcPr>
                      <w:p>
                        <w:pPr>
                          <w:pStyle w:val="TableParagraph"/>
                          <w:tabs>
                            <w:tab w:pos="5249" w:val="left" w:leader="none"/>
                          </w:tabs>
                          <w:spacing w:line="244" w:lineRule="exact"/>
                          <w:ind w:left="50"/>
                          <w:rPr>
                            <w:sz w:val="22"/>
                          </w:rPr>
                        </w:pPr>
                        <w:r>
                          <w:rPr>
                            <w:sz w:val="22"/>
                          </w:rPr>
                          <w:t>1.</w:t>
                        </w:r>
                        <w:r>
                          <w:rPr>
                            <w:spacing w:val="-6"/>
                            <w:sz w:val="22"/>
                          </w:rPr>
                          <w:t> </w:t>
                        </w:r>
                        <w:r>
                          <w:rPr>
                            <w:sz w:val="22"/>
                          </w:rPr>
                          <w:t>Первичная</w:t>
                        </w:r>
                        <w:r>
                          <w:rPr>
                            <w:spacing w:val="-6"/>
                            <w:sz w:val="22"/>
                          </w:rPr>
                          <w:t> </w:t>
                        </w:r>
                        <w:r>
                          <w:rPr>
                            <w:sz w:val="22"/>
                          </w:rPr>
                          <w:t>медико-санитарная</w:t>
                        </w:r>
                        <w:r>
                          <w:rPr>
                            <w:spacing w:val="-6"/>
                            <w:sz w:val="22"/>
                          </w:rPr>
                          <w:t> </w:t>
                        </w:r>
                        <w:r>
                          <w:rPr>
                            <w:spacing w:val="-2"/>
                            <w:sz w:val="22"/>
                          </w:rPr>
                          <w:t>помощь</w:t>
                        </w:r>
                        <w:r>
                          <w:rPr>
                            <w:sz w:val="22"/>
                          </w:rPr>
                          <w:tab/>
                        </w:r>
                        <w:r>
                          <w:rPr>
                            <w:spacing w:val="-10"/>
                            <w:sz w:val="22"/>
                          </w:rPr>
                          <w:t>-</w:t>
                        </w:r>
                      </w:p>
                    </w:tc>
                    <w:tc>
                      <w:tcPr>
                        <w:tcW w:w="1332" w:type="dxa"/>
                      </w:tcPr>
                      <w:p>
                        <w:pPr>
                          <w:pStyle w:val="TableParagraph"/>
                          <w:spacing w:line="244" w:lineRule="exact"/>
                          <w:ind w:right="174"/>
                          <w:jc w:val="center"/>
                          <w:rPr>
                            <w:sz w:val="22"/>
                          </w:rPr>
                        </w:pPr>
                        <w:r>
                          <w:rPr>
                            <w:w w:val="100"/>
                            <w:sz w:val="22"/>
                          </w:rPr>
                          <w:t>-</w:t>
                        </w:r>
                      </w:p>
                    </w:tc>
                    <w:tc>
                      <w:tcPr>
                        <w:tcW w:w="1624" w:type="dxa"/>
                      </w:tcPr>
                      <w:p>
                        <w:pPr>
                          <w:pStyle w:val="TableParagraph"/>
                          <w:spacing w:line="244" w:lineRule="exact"/>
                          <w:ind w:right="14"/>
                          <w:jc w:val="center"/>
                          <w:rPr>
                            <w:sz w:val="22"/>
                          </w:rPr>
                        </w:pPr>
                        <w:r>
                          <w:rPr>
                            <w:w w:val="100"/>
                            <w:sz w:val="22"/>
                          </w:rPr>
                          <w:t>-</w:t>
                        </w:r>
                      </w:p>
                    </w:tc>
                    <w:tc>
                      <w:tcPr>
                        <w:tcW w:w="1616" w:type="dxa"/>
                      </w:tcPr>
                      <w:p>
                        <w:pPr>
                          <w:pStyle w:val="TableParagraph"/>
                          <w:spacing w:line="244" w:lineRule="exact"/>
                          <w:ind w:right="90"/>
                          <w:jc w:val="center"/>
                          <w:rPr>
                            <w:sz w:val="22"/>
                          </w:rPr>
                        </w:pPr>
                        <w:r>
                          <w:rPr>
                            <w:w w:val="100"/>
                            <w:sz w:val="22"/>
                          </w:rPr>
                          <w:t>-</w:t>
                        </w:r>
                      </w:p>
                    </w:tc>
                    <w:tc>
                      <w:tcPr>
                        <w:tcW w:w="1695" w:type="dxa"/>
                      </w:tcPr>
                      <w:p>
                        <w:pPr>
                          <w:pStyle w:val="TableParagraph"/>
                          <w:spacing w:line="244" w:lineRule="exact"/>
                          <w:ind w:left="10"/>
                          <w:jc w:val="center"/>
                          <w:rPr>
                            <w:sz w:val="22"/>
                          </w:rPr>
                        </w:pPr>
                        <w:r>
                          <w:rPr>
                            <w:w w:val="100"/>
                            <w:sz w:val="22"/>
                          </w:rPr>
                          <w:t>-</w:t>
                        </w:r>
                      </w:p>
                    </w:tc>
                    <w:tc>
                      <w:tcPr>
                        <w:tcW w:w="1611" w:type="dxa"/>
                      </w:tcPr>
                      <w:p>
                        <w:pPr>
                          <w:pStyle w:val="TableParagraph"/>
                          <w:spacing w:line="244" w:lineRule="exact"/>
                          <w:ind w:left="64"/>
                          <w:jc w:val="center"/>
                          <w:rPr>
                            <w:sz w:val="22"/>
                          </w:rPr>
                        </w:pPr>
                        <w:r>
                          <w:rPr>
                            <w:w w:val="100"/>
                            <w:sz w:val="22"/>
                          </w:rPr>
                          <w:t>-</w:t>
                        </w:r>
                      </w:p>
                    </w:tc>
                    <w:tc>
                      <w:tcPr>
                        <w:tcW w:w="1234" w:type="dxa"/>
                      </w:tcPr>
                      <w:p>
                        <w:pPr>
                          <w:pStyle w:val="TableParagraph"/>
                          <w:spacing w:line="244" w:lineRule="exact"/>
                          <w:ind w:left="786"/>
                          <w:rPr>
                            <w:sz w:val="22"/>
                          </w:rPr>
                        </w:pPr>
                        <w:r>
                          <w:rPr>
                            <w:w w:val="100"/>
                            <w:sz w:val="22"/>
                          </w:rPr>
                          <w:t>-</w:t>
                        </w:r>
                      </w:p>
                    </w:tc>
                  </w:tr>
                  <w:tr>
                    <w:trPr>
                      <w:trHeight w:val="469" w:hRule="atLeast"/>
                    </w:trPr>
                    <w:tc>
                      <w:tcPr>
                        <w:tcW w:w="6333" w:type="dxa"/>
                        <w:gridSpan w:val="2"/>
                      </w:tcPr>
                      <w:p>
                        <w:pPr>
                          <w:pStyle w:val="TableParagraph"/>
                          <w:tabs>
                            <w:tab w:pos="5249" w:val="left" w:leader="none"/>
                          </w:tabs>
                          <w:spacing w:before="26"/>
                          <w:ind w:left="474"/>
                          <w:rPr>
                            <w:sz w:val="22"/>
                          </w:rPr>
                        </w:pPr>
                        <w:r>
                          <w:rPr>
                            <w:sz w:val="22"/>
                          </w:rPr>
                          <w:t>в</w:t>
                        </w:r>
                        <w:r>
                          <w:rPr>
                            <w:spacing w:val="-6"/>
                            <w:sz w:val="22"/>
                          </w:rPr>
                          <w:t> </w:t>
                        </w:r>
                        <w:r>
                          <w:rPr>
                            <w:sz w:val="22"/>
                          </w:rPr>
                          <w:t>амбулаторных</w:t>
                        </w:r>
                        <w:r>
                          <w:rPr>
                            <w:spacing w:val="-5"/>
                            <w:sz w:val="22"/>
                          </w:rPr>
                          <w:t> </w:t>
                        </w:r>
                        <w:r>
                          <w:rPr>
                            <w:spacing w:val="-2"/>
                            <w:sz w:val="22"/>
                          </w:rPr>
                          <w:t>условиях:</w:t>
                        </w:r>
                        <w:r>
                          <w:rPr>
                            <w:sz w:val="22"/>
                          </w:rPr>
                          <w:tab/>
                        </w:r>
                        <w:r>
                          <w:rPr>
                            <w:spacing w:val="-10"/>
                            <w:sz w:val="22"/>
                          </w:rPr>
                          <w:t>-</w:t>
                        </w:r>
                      </w:p>
                    </w:tc>
                    <w:tc>
                      <w:tcPr>
                        <w:tcW w:w="1332" w:type="dxa"/>
                      </w:tcPr>
                      <w:p>
                        <w:pPr>
                          <w:pStyle w:val="TableParagraph"/>
                          <w:spacing w:before="26"/>
                          <w:ind w:right="174"/>
                          <w:jc w:val="center"/>
                          <w:rPr>
                            <w:sz w:val="22"/>
                          </w:rPr>
                        </w:pPr>
                        <w:r>
                          <w:rPr>
                            <w:w w:val="100"/>
                            <w:sz w:val="22"/>
                          </w:rPr>
                          <w:t>-</w:t>
                        </w:r>
                      </w:p>
                    </w:tc>
                    <w:tc>
                      <w:tcPr>
                        <w:tcW w:w="1624" w:type="dxa"/>
                      </w:tcPr>
                      <w:p>
                        <w:pPr>
                          <w:pStyle w:val="TableParagraph"/>
                          <w:spacing w:before="26"/>
                          <w:ind w:right="14"/>
                          <w:jc w:val="center"/>
                          <w:rPr>
                            <w:sz w:val="22"/>
                          </w:rPr>
                        </w:pPr>
                        <w:r>
                          <w:rPr>
                            <w:w w:val="100"/>
                            <w:sz w:val="22"/>
                          </w:rPr>
                          <w:t>-</w:t>
                        </w:r>
                      </w:p>
                    </w:tc>
                    <w:tc>
                      <w:tcPr>
                        <w:tcW w:w="1616" w:type="dxa"/>
                      </w:tcPr>
                      <w:p>
                        <w:pPr>
                          <w:pStyle w:val="TableParagraph"/>
                          <w:spacing w:before="26"/>
                          <w:ind w:right="90"/>
                          <w:jc w:val="center"/>
                          <w:rPr>
                            <w:sz w:val="22"/>
                          </w:rPr>
                        </w:pPr>
                        <w:r>
                          <w:rPr>
                            <w:w w:val="100"/>
                            <w:sz w:val="22"/>
                          </w:rPr>
                          <w:t>-</w:t>
                        </w:r>
                      </w:p>
                    </w:tc>
                    <w:tc>
                      <w:tcPr>
                        <w:tcW w:w="1695" w:type="dxa"/>
                      </w:tcPr>
                      <w:p>
                        <w:pPr>
                          <w:pStyle w:val="TableParagraph"/>
                          <w:spacing w:before="26"/>
                          <w:ind w:left="10"/>
                          <w:jc w:val="center"/>
                          <w:rPr>
                            <w:sz w:val="22"/>
                          </w:rPr>
                        </w:pPr>
                        <w:r>
                          <w:rPr>
                            <w:w w:val="100"/>
                            <w:sz w:val="22"/>
                          </w:rPr>
                          <w:t>-</w:t>
                        </w:r>
                      </w:p>
                    </w:tc>
                    <w:tc>
                      <w:tcPr>
                        <w:tcW w:w="1611" w:type="dxa"/>
                      </w:tcPr>
                      <w:p>
                        <w:pPr>
                          <w:pStyle w:val="TableParagraph"/>
                          <w:spacing w:before="26"/>
                          <w:ind w:left="64"/>
                          <w:jc w:val="center"/>
                          <w:rPr>
                            <w:sz w:val="22"/>
                          </w:rPr>
                        </w:pPr>
                        <w:r>
                          <w:rPr>
                            <w:w w:val="100"/>
                            <w:sz w:val="22"/>
                          </w:rPr>
                          <w:t>-</w:t>
                        </w:r>
                      </w:p>
                    </w:tc>
                    <w:tc>
                      <w:tcPr>
                        <w:tcW w:w="1234" w:type="dxa"/>
                      </w:tcPr>
                      <w:p>
                        <w:pPr>
                          <w:pStyle w:val="TableParagraph"/>
                          <w:spacing w:before="26"/>
                          <w:ind w:left="786"/>
                          <w:rPr>
                            <w:sz w:val="22"/>
                          </w:rPr>
                        </w:pPr>
                        <w:r>
                          <w:rPr>
                            <w:w w:val="100"/>
                            <w:sz w:val="22"/>
                          </w:rPr>
                          <w:t>-</w:t>
                        </w:r>
                      </w:p>
                    </w:tc>
                  </w:tr>
                  <w:tr>
                    <w:trPr>
                      <w:trHeight w:val="595" w:hRule="atLeast"/>
                    </w:trPr>
                    <w:tc>
                      <w:tcPr>
                        <w:tcW w:w="6333" w:type="dxa"/>
                        <w:gridSpan w:val="2"/>
                      </w:tcPr>
                      <w:p>
                        <w:pPr>
                          <w:pStyle w:val="TableParagraph"/>
                          <w:tabs>
                            <w:tab w:pos="4764" w:val="left" w:leader="none"/>
                          </w:tabs>
                          <w:spacing w:line="250" w:lineRule="atLeast" w:before="161"/>
                          <w:ind w:left="750" w:right="520" w:firstLine="9"/>
                          <w:rPr>
                            <w:sz w:val="22"/>
                          </w:rPr>
                        </w:pPr>
                        <w:r>
                          <w:rPr>
                            <w:sz w:val="22"/>
                          </w:rPr>
                          <w:t>с профилактической и иными</w:t>
                          <w:tab/>
                        </w:r>
                        <w:r>
                          <w:rPr>
                            <w:spacing w:val="-2"/>
                            <w:sz w:val="22"/>
                          </w:rPr>
                          <w:t>посещений целями</w:t>
                        </w:r>
                        <w:r>
                          <w:rPr>
                            <w:spacing w:val="-2"/>
                            <w:sz w:val="22"/>
                            <w:vertAlign w:val="superscript"/>
                          </w:rPr>
                          <w:t>2</w:t>
                        </w:r>
                      </w:p>
                    </w:tc>
                    <w:tc>
                      <w:tcPr>
                        <w:tcW w:w="1332" w:type="dxa"/>
                      </w:tcPr>
                      <w:p>
                        <w:pPr>
                          <w:pStyle w:val="TableParagraph"/>
                          <w:spacing w:before="181"/>
                          <w:ind w:right="557"/>
                          <w:jc w:val="right"/>
                          <w:rPr>
                            <w:sz w:val="22"/>
                          </w:rPr>
                        </w:pPr>
                        <w:r>
                          <w:rPr>
                            <w:spacing w:val="-4"/>
                            <w:sz w:val="22"/>
                          </w:rPr>
                          <w:t>0,73</w:t>
                        </w:r>
                      </w:p>
                    </w:tc>
                    <w:tc>
                      <w:tcPr>
                        <w:tcW w:w="1624" w:type="dxa"/>
                      </w:tcPr>
                      <w:p>
                        <w:pPr>
                          <w:pStyle w:val="TableParagraph"/>
                          <w:spacing w:before="181"/>
                          <w:ind w:left="545" w:right="553"/>
                          <w:jc w:val="center"/>
                          <w:rPr>
                            <w:sz w:val="22"/>
                          </w:rPr>
                        </w:pPr>
                        <w:r>
                          <w:rPr>
                            <w:spacing w:val="-2"/>
                            <w:sz w:val="22"/>
                          </w:rPr>
                          <w:t>493,1</w:t>
                        </w:r>
                      </w:p>
                    </w:tc>
                    <w:tc>
                      <w:tcPr>
                        <w:tcW w:w="1616" w:type="dxa"/>
                      </w:tcPr>
                      <w:p>
                        <w:pPr>
                          <w:pStyle w:val="TableParagraph"/>
                          <w:spacing w:before="181"/>
                          <w:ind w:left="568"/>
                          <w:rPr>
                            <w:sz w:val="22"/>
                          </w:rPr>
                        </w:pPr>
                        <w:r>
                          <w:rPr>
                            <w:spacing w:val="-4"/>
                            <w:sz w:val="22"/>
                          </w:rPr>
                          <w:t>0,73</w:t>
                        </w:r>
                      </w:p>
                    </w:tc>
                    <w:tc>
                      <w:tcPr>
                        <w:tcW w:w="1695" w:type="dxa"/>
                      </w:tcPr>
                      <w:p>
                        <w:pPr>
                          <w:pStyle w:val="TableParagraph"/>
                          <w:spacing w:before="181"/>
                          <w:ind w:left="536" w:right="525"/>
                          <w:jc w:val="center"/>
                          <w:rPr>
                            <w:sz w:val="22"/>
                          </w:rPr>
                        </w:pPr>
                        <w:r>
                          <w:rPr>
                            <w:spacing w:val="-2"/>
                            <w:sz w:val="22"/>
                          </w:rPr>
                          <w:t>512,8</w:t>
                        </w:r>
                      </w:p>
                    </w:tc>
                    <w:tc>
                      <w:tcPr>
                        <w:tcW w:w="1611" w:type="dxa"/>
                      </w:tcPr>
                      <w:p>
                        <w:pPr>
                          <w:pStyle w:val="TableParagraph"/>
                          <w:spacing w:before="181"/>
                          <w:ind w:left="523" w:right="454"/>
                          <w:jc w:val="center"/>
                          <w:rPr>
                            <w:sz w:val="22"/>
                          </w:rPr>
                        </w:pPr>
                        <w:r>
                          <w:rPr>
                            <w:spacing w:val="-4"/>
                            <w:sz w:val="22"/>
                          </w:rPr>
                          <w:t>0,73</w:t>
                        </w:r>
                      </w:p>
                    </w:tc>
                    <w:tc>
                      <w:tcPr>
                        <w:tcW w:w="1234" w:type="dxa"/>
                      </w:tcPr>
                      <w:p>
                        <w:pPr>
                          <w:pStyle w:val="TableParagraph"/>
                          <w:spacing w:before="181"/>
                          <w:ind w:right="160"/>
                          <w:jc w:val="right"/>
                          <w:rPr>
                            <w:sz w:val="22"/>
                          </w:rPr>
                        </w:pPr>
                        <w:r>
                          <w:rPr>
                            <w:spacing w:val="-2"/>
                            <w:sz w:val="22"/>
                          </w:rPr>
                          <w:t>533,3</w:t>
                        </w:r>
                      </w:p>
                    </w:tc>
                  </w:tr>
                  <w:tr>
                    <w:trPr>
                      <w:trHeight w:val="494" w:hRule="atLeast"/>
                    </w:trPr>
                    <w:tc>
                      <w:tcPr>
                        <w:tcW w:w="6333" w:type="dxa"/>
                        <w:gridSpan w:val="2"/>
                      </w:tcPr>
                      <w:p>
                        <w:pPr>
                          <w:pStyle w:val="TableParagraph"/>
                          <w:tabs>
                            <w:tab w:pos="4762" w:val="left" w:leader="none"/>
                          </w:tabs>
                          <w:spacing w:line="250" w:lineRule="atLeast" w:before="60"/>
                          <w:ind w:left="750" w:right="517" w:firstLine="9"/>
                          <w:rPr>
                            <w:sz w:val="22"/>
                          </w:rPr>
                        </w:pPr>
                        <w:r>
                          <w:rPr>
                            <w:sz w:val="22"/>
                          </w:rPr>
                          <w:t>в связи с заболеваниями -</w:t>
                          <w:tab/>
                        </w:r>
                        <w:r>
                          <w:rPr>
                            <w:spacing w:val="-2"/>
                            <w:sz w:val="22"/>
                          </w:rPr>
                          <w:t>обращений обращений</w:t>
                        </w:r>
                        <w:r>
                          <w:rPr>
                            <w:spacing w:val="-2"/>
                            <w:sz w:val="22"/>
                            <w:vertAlign w:val="superscript"/>
                          </w:rPr>
                          <w:t>3</w:t>
                        </w:r>
                      </w:p>
                    </w:tc>
                    <w:tc>
                      <w:tcPr>
                        <w:tcW w:w="1332" w:type="dxa"/>
                      </w:tcPr>
                      <w:p>
                        <w:pPr>
                          <w:pStyle w:val="TableParagraph"/>
                          <w:spacing w:before="80"/>
                          <w:ind w:right="500"/>
                          <w:jc w:val="right"/>
                          <w:rPr>
                            <w:sz w:val="22"/>
                          </w:rPr>
                        </w:pPr>
                        <w:r>
                          <w:rPr>
                            <w:spacing w:val="-2"/>
                            <w:sz w:val="22"/>
                          </w:rPr>
                          <w:t>0,144</w:t>
                        </w:r>
                      </w:p>
                    </w:tc>
                    <w:tc>
                      <w:tcPr>
                        <w:tcW w:w="1624" w:type="dxa"/>
                      </w:tcPr>
                      <w:p>
                        <w:pPr>
                          <w:pStyle w:val="TableParagraph"/>
                          <w:spacing w:before="80"/>
                          <w:ind w:left="503"/>
                          <w:rPr>
                            <w:sz w:val="22"/>
                          </w:rPr>
                        </w:pPr>
                        <w:r>
                          <w:rPr>
                            <w:spacing w:val="-2"/>
                            <w:sz w:val="22"/>
                          </w:rPr>
                          <w:t>1429,9</w:t>
                        </w:r>
                      </w:p>
                    </w:tc>
                    <w:tc>
                      <w:tcPr>
                        <w:tcW w:w="1616" w:type="dxa"/>
                      </w:tcPr>
                      <w:p>
                        <w:pPr>
                          <w:pStyle w:val="TableParagraph"/>
                          <w:spacing w:before="80"/>
                          <w:ind w:left="513"/>
                          <w:rPr>
                            <w:sz w:val="22"/>
                          </w:rPr>
                        </w:pPr>
                        <w:r>
                          <w:rPr>
                            <w:spacing w:val="-2"/>
                            <w:sz w:val="22"/>
                          </w:rPr>
                          <w:t>0,144</w:t>
                        </w:r>
                      </w:p>
                    </w:tc>
                    <w:tc>
                      <w:tcPr>
                        <w:tcW w:w="1695" w:type="dxa"/>
                      </w:tcPr>
                      <w:p>
                        <w:pPr>
                          <w:pStyle w:val="TableParagraph"/>
                          <w:spacing w:before="80"/>
                          <w:ind w:left="536" w:right="525"/>
                          <w:jc w:val="center"/>
                          <w:rPr>
                            <w:sz w:val="22"/>
                          </w:rPr>
                        </w:pPr>
                        <w:r>
                          <w:rPr>
                            <w:spacing w:val="-2"/>
                            <w:sz w:val="22"/>
                          </w:rPr>
                          <w:t>1487,1</w:t>
                        </w:r>
                      </w:p>
                    </w:tc>
                    <w:tc>
                      <w:tcPr>
                        <w:tcW w:w="1611" w:type="dxa"/>
                      </w:tcPr>
                      <w:p>
                        <w:pPr>
                          <w:pStyle w:val="TableParagraph"/>
                          <w:spacing w:before="80"/>
                          <w:ind w:left="523" w:right="454"/>
                          <w:jc w:val="center"/>
                          <w:rPr>
                            <w:sz w:val="22"/>
                          </w:rPr>
                        </w:pPr>
                        <w:r>
                          <w:rPr>
                            <w:spacing w:val="-2"/>
                            <w:sz w:val="22"/>
                          </w:rPr>
                          <w:t>0,144</w:t>
                        </w:r>
                      </w:p>
                    </w:tc>
                    <w:tc>
                      <w:tcPr>
                        <w:tcW w:w="1234" w:type="dxa"/>
                      </w:tcPr>
                      <w:p>
                        <w:pPr>
                          <w:pStyle w:val="TableParagraph"/>
                          <w:spacing w:before="80"/>
                          <w:ind w:right="106"/>
                          <w:jc w:val="right"/>
                          <w:rPr>
                            <w:sz w:val="22"/>
                          </w:rPr>
                        </w:pPr>
                        <w:r>
                          <w:rPr>
                            <w:spacing w:val="-2"/>
                            <w:sz w:val="22"/>
                          </w:rPr>
                          <w:t>1546,6</w:t>
                        </w:r>
                      </w:p>
                    </w:tc>
                  </w:tr>
                  <w:tr>
                    <w:trPr>
                      <w:trHeight w:val="1093" w:hRule="atLeast"/>
                    </w:trPr>
                    <w:tc>
                      <w:tcPr>
                        <w:tcW w:w="6333" w:type="dxa"/>
                        <w:gridSpan w:val="2"/>
                      </w:tcPr>
                      <w:p>
                        <w:pPr>
                          <w:pStyle w:val="TableParagraph"/>
                          <w:tabs>
                            <w:tab w:pos="4519" w:val="left" w:leader="none"/>
                          </w:tabs>
                          <w:spacing w:before="81"/>
                          <w:ind w:left="270" w:right="274" w:hanging="221"/>
                          <w:rPr>
                            <w:sz w:val="22"/>
                          </w:rPr>
                        </w:pPr>
                        <w:r>
                          <w:rPr>
                            <w:sz w:val="22"/>
                          </w:rPr>
                          <w:t>2. В условиях дневных стационаров</w:t>
                          <w:tab/>
                          <w:t>случаев</w:t>
                        </w:r>
                        <w:r>
                          <w:rPr>
                            <w:spacing w:val="-14"/>
                            <w:sz w:val="22"/>
                          </w:rPr>
                          <w:t> </w:t>
                        </w:r>
                        <w:r>
                          <w:rPr>
                            <w:sz w:val="22"/>
                          </w:rPr>
                          <w:t>лечения (первичная медико-санитарная помощь,</w:t>
                        </w:r>
                      </w:p>
                      <w:p>
                        <w:pPr>
                          <w:pStyle w:val="TableParagraph"/>
                          <w:spacing w:line="252" w:lineRule="exact"/>
                          <w:ind w:left="326" w:right="2788"/>
                          <w:rPr>
                            <w:sz w:val="22"/>
                          </w:rPr>
                        </w:pPr>
                        <w:r>
                          <w:rPr>
                            <w:sz w:val="22"/>
                          </w:rPr>
                          <w:t>специализированная</w:t>
                        </w:r>
                        <w:r>
                          <w:rPr>
                            <w:spacing w:val="-14"/>
                            <w:sz w:val="22"/>
                          </w:rPr>
                          <w:t> </w:t>
                        </w:r>
                        <w:r>
                          <w:rPr>
                            <w:sz w:val="22"/>
                          </w:rPr>
                          <w:t>медицинская </w:t>
                        </w:r>
                        <w:r>
                          <w:rPr>
                            <w:spacing w:val="-2"/>
                            <w:sz w:val="22"/>
                          </w:rPr>
                          <w:t>помощь)</w:t>
                        </w:r>
                        <w:r>
                          <w:rPr>
                            <w:spacing w:val="-2"/>
                            <w:sz w:val="22"/>
                            <w:vertAlign w:val="superscript"/>
                          </w:rPr>
                          <w:t>4</w:t>
                        </w:r>
                      </w:p>
                    </w:tc>
                    <w:tc>
                      <w:tcPr>
                        <w:tcW w:w="1332" w:type="dxa"/>
                      </w:tcPr>
                      <w:p>
                        <w:pPr>
                          <w:pStyle w:val="TableParagraph"/>
                          <w:spacing w:before="81"/>
                          <w:ind w:right="500"/>
                          <w:jc w:val="right"/>
                          <w:rPr>
                            <w:sz w:val="22"/>
                          </w:rPr>
                        </w:pPr>
                        <w:r>
                          <w:rPr>
                            <w:spacing w:val="-2"/>
                            <w:sz w:val="22"/>
                          </w:rPr>
                          <w:t>0,004</w:t>
                        </w:r>
                      </w:p>
                    </w:tc>
                    <w:tc>
                      <w:tcPr>
                        <w:tcW w:w="1624" w:type="dxa"/>
                      </w:tcPr>
                      <w:p>
                        <w:pPr>
                          <w:pStyle w:val="TableParagraph"/>
                          <w:spacing w:before="81"/>
                          <w:ind w:left="448"/>
                          <w:rPr>
                            <w:sz w:val="22"/>
                          </w:rPr>
                        </w:pPr>
                        <w:r>
                          <w:rPr>
                            <w:spacing w:val="-2"/>
                            <w:sz w:val="22"/>
                          </w:rPr>
                          <w:t>14603,9</w:t>
                        </w:r>
                      </w:p>
                    </w:tc>
                    <w:tc>
                      <w:tcPr>
                        <w:tcW w:w="1616" w:type="dxa"/>
                      </w:tcPr>
                      <w:p>
                        <w:pPr>
                          <w:pStyle w:val="TableParagraph"/>
                          <w:spacing w:before="81"/>
                          <w:ind w:left="513"/>
                          <w:rPr>
                            <w:sz w:val="22"/>
                          </w:rPr>
                        </w:pPr>
                        <w:r>
                          <w:rPr>
                            <w:spacing w:val="-2"/>
                            <w:sz w:val="22"/>
                          </w:rPr>
                          <w:t>0,004</w:t>
                        </w:r>
                      </w:p>
                    </w:tc>
                    <w:tc>
                      <w:tcPr>
                        <w:tcW w:w="1695" w:type="dxa"/>
                      </w:tcPr>
                      <w:p>
                        <w:pPr>
                          <w:pStyle w:val="TableParagraph"/>
                          <w:spacing w:before="81"/>
                          <w:ind w:left="536" w:right="523"/>
                          <w:jc w:val="center"/>
                          <w:rPr>
                            <w:sz w:val="22"/>
                          </w:rPr>
                        </w:pPr>
                        <w:r>
                          <w:rPr>
                            <w:spacing w:val="-2"/>
                            <w:sz w:val="22"/>
                          </w:rPr>
                          <w:t>15188</w:t>
                        </w:r>
                      </w:p>
                    </w:tc>
                    <w:tc>
                      <w:tcPr>
                        <w:tcW w:w="1611" w:type="dxa"/>
                      </w:tcPr>
                      <w:p>
                        <w:pPr>
                          <w:pStyle w:val="TableParagraph"/>
                          <w:spacing w:before="81"/>
                          <w:ind w:left="523" w:right="454"/>
                          <w:jc w:val="center"/>
                          <w:rPr>
                            <w:sz w:val="22"/>
                          </w:rPr>
                        </w:pPr>
                        <w:r>
                          <w:rPr>
                            <w:spacing w:val="-2"/>
                            <w:sz w:val="22"/>
                          </w:rPr>
                          <w:t>0,004</w:t>
                        </w:r>
                      </w:p>
                    </w:tc>
                    <w:tc>
                      <w:tcPr>
                        <w:tcW w:w="1234" w:type="dxa"/>
                      </w:tcPr>
                      <w:p>
                        <w:pPr>
                          <w:pStyle w:val="TableParagraph"/>
                          <w:spacing w:before="81"/>
                          <w:ind w:right="49"/>
                          <w:jc w:val="right"/>
                          <w:rPr>
                            <w:sz w:val="22"/>
                          </w:rPr>
                        </w:pPr>
                        <w:r>
                          <w:rPr>
                            <w:spacing w:val="-2"/>
                            <w:sz w:val="22"/>
                          </w:rPr>
                          <w:t>15795,6</w:t>
                        </w:r>
                      </w:p>
                    </w:tc>
                  </w:tr>
                  <w:tr>
                    <w:trPr>
                      <w:trHeight w:val="566" w:hRule="atLeast"/>
                    </w:trPr>
                    <w:tc>
                      <w:tcPr>
                        <w:tcW w:w="4094" w:type="dxa"/>
                      </w:tcPr>
                      <w:p>
                        <w:pPr>
                          <w:pStyle w:val="TableParagraph"/>
                          <w:spacing w:line="252" w:lineRule="exact" w:before="42"/>
                          <w:ind w:left="270" w:right="422" w:hanging="221"/>
                          <w:rPr>
                            <w:sz w:val="22"/>
                          </w:rPr>
                        </w:pPr>
                        <w:r>
                          <w:rPr>
                            <w:sz w:val="22"/>
                          </w:rPr>
                          <w:t>3. Специализированная, в том числе высокотехнологичная,</w:t>
                        </w:r>
                        <w:r>
                          <w:rPr>
                            <w:spacing w:val="-14"/>
                            <w:sz w:val="22"/>
                          </w:rPr>
                          <w:t> </w:t>
                        </w:r>
                        <w:r>
                          <w:rPr>
                            <w:sz w:val="22"/>
                          </w:rPr>
                          <w:t>медицинская</w:t>
                        </w:r>
                      </w:p>
                    </w:tc>
                    <w:tc>
                      <w:tcPr>
                        <w:tcW w:w="2239" w:type="dxa"/>
                      </w:tcPr>
                      <w:p>
                        <w:pPr>
                          <w:pStyle w:val="TableParagraph"/>
                          <w:spacing w:line="252" w:lineRule="exact" w:before="42"/>
                          <w:ind w:left="445" w:firstLine="384"/>
                          <w:rPr>
                            <w:sz w:val="22"/>
                          </w:rPr>
                        </w:pPr>
                        <w:r>
                          <w:rPr>
                            <w:spacing w:val="-2"/>
                            <w:sz w:val="22"/>
                          </w:rPr>
                          <w:t>случаев госпитализации</w:t>
                        </w:r>
                      </w:p>
                    </w:tc>
                    <w:tc>
                      <w:tcPr>
                        <w:tcW w:w="1332" w:type="dxa"/>
                      </w:tcPr>
                      <w:p>
                        <w:pPr>
                          <w:pStyle w:val="TableParagraph"/>
                          <w:spacing w:before="61"/>
                          <w:ind w:right="445"/>
                          <w:jc w:val="right"/>
                          <w:rPr>
                            <w:sz w:val="22"/>
                          </w:rPr>
                        </w:pPr>
                        <w:r>
                          <w:rPr>
                            <w:spacing w:val="-2"/>
                            <w:sz w:val="22"/>
                          </w:rPr>
                          <w:t>0,0146</w:t>
                        </w:r>
                      </w:p>
                    </w:tc>
                    <w:tc>
                      <w:tcPr>
                        <w:tcW w:w="1624" w:type="dxa"/>
                      </w:tcPr>
                      <w:p>
                        <w:pPr>
                          <w:pStyle w:val="TableParagraph"/>
                          <w:spacing w:before="61"/>
                          <w:ind w:left="448"/>
                          <w:rPr>
                            <w:sz w:val="22"/>
                          </w:rPr>
                        </w:pPr>
                        <w:r>
                          <w:rPr>
                            <w:spacing w:val="-2"/>
                            <w:sz w:val="22"/>
                          </w:rPr>
                          <w:t>84587,5</w:t>
                        </w:r>
                      </w:p>
                    </w:tc>
                    <w:tc>
                      <w:tcPr>
                        <w:tcW w:w="1616" w:type="dxa"/>
                      </w:tcPr>
                      <w:p>
                        <w:pPr>
                          <w:pStyle w:val="TableParagraph"/>
                          <w:spacing w:before="61"/>
                          <w:ind w:left="458"/>
                          <w:rPr>
                            <w:sz w:val="22"/>
                          </w:rPr>
                        </w:pPr>
                        <w:r>
                          <w:rPr>
                            <w:spacing w:val="-2"/>
                            <w:sz w:val="22"/>
                          </w:rPr>
                          <w:t>0,0146</w:t>
                        </w:r>
                      </w:p>
                    </w:tc>
                    <w:tc>
                      <w:tcPr>
                        <w:tcW w:w="1695" w:type="dxa"/>
                      </w:tcPr>
                      <w:p>
                        <w:pPr>
                          <w:pStyle w:val="TableParagraph"/>
                          <w:spacing w:before="61"/>
                          <w:ind w:left="536" w:right="523"/>
                          <w:jc w:val="center"/>
                          <w:rPr>
                            <w:sz w:val="22"/>
                          </w:rPr>
                        </w:pPr>
                        <w:r>
                          <w:rPr>
                            <w:spacing w:val="-2"/>
                            <w:sz w:val="22"/>
                          </w:rPr>
                          <w:t>87971</w:t>
                        </w:r>
                      </w:p>
                    </w:tc>
                    <w:tc>
                      <w:tcPr>
                        <w:tcW w:w="1611" w:type="dxa"/>
                      </w:tcPr>
                      <w:p>
                        <w:pPr>
                          <w:pStyle w:val="TableParagraph"/>
                          <w:spacing w:before="61"/>
                          <w:ind w:left="523" w:right="454"/>
                          <w:jc w:val="center"/>
                          <w:rPr>
                            <w:sz w:val="22"/>
                          </w:rPr>
                        </w:pPr>
                        <w:r>
                          <w:rPr>
                            <w:spacing w:val="-2"/>
                            <w:sz w:val="22"/>
                          </w:rPr>
                          <w:t>0,0146</w:t>
                        </w:r>
                      </w:p>
                    </w:tc>
                    <w:tc>
                      <w:tcPr>
                        <w:tcW w:w="1234" w:type="dxa"/>
                      </w:tcPr>
                      <w:p>
                        <w:pPr>
                          <w:pStyle w:val="TableParagraph"/>
                          <w:spacing w:before="61"/>
                          <w:ind w:right="49"/>
                          <w:jc w:val="right"/>
                          <w:rPr>
                            <w:sz w:val="22"/>
                          </w:rPr>
                        </w:pPr>
                        <w:r>
                          <w:rPr>
                            <w:spacing w:val="-2"/>
                            <w:sz w:val="22"/>
                          </w:rPr>
                          <w:t>91489,8</w:t>
                        </w:r>
                      </w:p>
                    </w:tc>
                  </w:tr>
                </w:tbl>
                <w:p>
                  <w:pPr>
                    <w:pStyle w:val="BodyText"/>
                  </w:pPr>
                </w:p>
              </w:txbxContent>
            </v:textbox>
            <w10:wrap type="none"/>
          </v:shape>
        </w:pict>
      </w:r>
      <w:r>
        <w:rPr>
          <w:sz w:val="22"/>
        </w:rPr>
        <w:t>За</w:t>
      </w:r>
      <w:r>
        <w:rPr>
          <w:spacing w:val="-7"/>
          <w:sz w:val="22"/>
        </w:rPr>
        <w:t> </w:t>
      </w:r>
      <w:r>
        <w:rPr>
          <w:sz w:val="22"/>
        </w:rPr>
        <w:t>счет</w:t>
      </w:r>
      <w:r>
        <w:rPr>
          <w:spacing w:val="-4"/>
          <w:sz w:val="22"/>
        </w:rPr>
        <w:t> </w:t>
      </w:r>
      <w:r>
        <w:rPr>
          <w:sz w:val="22"/>
        </w:rPr>
        <w:t>бюджетных</w:t>
      </w:r>
      <w:r>
        <w:rPr>
          <w:spacing w:val="-6"/>
          <w:sz w:val="22"/>
        </w:rPr>
        <w:t> </w:t>
      </w:r>
      <w:r>
        <w:rPr>
          <w:sz w:val="22"/>
        </w:rPr>
        <w:t>ассигнований</w:t>
      </w:r>
      <w:r>
        <w:rPr>
          <w:spacing w:val="-4"/>
          <w:sz w:val="22"/>
        </w:rPr>
        <w:t> </w:t>
      </w:r>
      <w:r>
        <w:rPr>
          <w:sz w:val="22"/>
        </w:rPr>
        <w:t>соответствующих</w:t>
      </w:r>
      <w:r>
        <w:rPr>
          <w:spacing w:val="-4"/>
          <w:sz w:val="22"/>
        </w:rPr>
        <w:t> </w:t>
      </w:r>
      <w:r>
        <w:rPr>
          <w:spacing w:val="-2"/>
          <w:sz w:val="22"/>
        </w:rPr>
        <w:t>бюджетов</w:t>
      </w:r>
      <w:r>
        <w:rPr>
          <w:spacing w:val="-2"/>
          <w:sz w:val="22"/>
          <w:vertAlign w:val="superscript"/>
        </w:rPr>
        <w:t>1</w:t>
      </w:r>
    </w:p>
    <w:p>
      <w:pPr>
        <w:pStyle w:val="BodyText"/>
        <w:rPr>
          <w:sz w:val="26"/>
        </w:rPr>
      </w:pPr>
    </w:p>
    <w:p>
      <w:pPr>
        <w:pStyle w:val="BodyText"/>
        <w:spacing w:before="7"/>
        <w:rPr>
          <w:sz w:val="33"/>
        </w:rPr>
      </w:pPr>
    </w:p>
    <w:p>
      <w:pPr>
        <w:spacing w:before="0"/>
        <w:ind w:left="879" w:right="0" w:firstLine="0"/>
        <w:jc w:val="left"/>
        <w:rPr>
          <w:sz w:val="22"/>
        </w:rPr>
      </w:pPr>
      <w:r>
        <w:rPr>
          <w:sz w:val="22"/>
        </w:rPr>
        <w:t>в</w:t>
      </w:r>
      <w:r>
        <w:rPr>
          <w:spacing w:val="-2"/>
          <w:sz w:val="22"/>
        </w:rPr>
        <w:t> </w:t>
      </w:r>
      <w:r>
        <w:rPr>
          <w:sz w:val="22"/>
        </w:rPr>
        <w:t>том </w:t>
      </w:r>
      <w:r>
        <w:rPr>
          <w:spacing w:val="-2"/>
          <w:sz w:val="22"/>
        </w:rPr>
        <w:t>числе:</w:t>
      </w:r>
    </w:p>
    <w:p>
      <w:pPr>
        <w:spacing w:after="0"/>
        <w:jc w:val="left"/>
        <w:rPr>
          <w:sz w:val="22"/>
        </w:rPr>
        <w:sectPr>
          <w:headerReference w:type="default" r:id="rId542"/>
          <w:pgSz w:w="16850" w:h="11910" w:orient="landscape"/>
          <w:pgMar w:header="0" w:footer="0" w:top="110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7"/>
        <w:gridCol w:w="1834"/>
        <w:gridCol w:w="1410"/>
        <w:gridCol w:w="1595"/>
        <w:gridCol w:w="1587"/>
        <w:gridCol w:w="1749"/>
        <w:gridCol w:w="1582"/>
        <w:gridCol w:w="1180"/>
      </w:tblGrid>
      <w:tr>
        <w:trPr>
          <w:trHeight w:val="530" w:hRule="atLeast"/>
        </w:trPr>
        <w:tc>
          <w:tcPr>
            <w:tcW w:w="4447" w:type="dxa"/>
          </w:tcPr>
          <w:p>
            <w:pPr>
              <w:pStyle w:val="TableParagraph"/>
              <w:ind w:left="270"/>
              <w:rPr>
                <w:sz w:val="22"/>
              </w:rPr>
            </w:pPr>
            <w:r>
              <w:rPr>
                <w:sz w:val="22"/>
              </w:rPr>
              <w:t>помощь</w:t>
            </w:r>
            <w:r>
              <w:rPr>
                <w:spacing w:val="-12"/>
                <w:sz w:val="22"/>
              </w:rPr>
              <w:t> </w:t>
            </w:r>
            <w:r>
              <w:rPr>
                <w:sz w:val="22"/>
              </w:rPr>
              <w:t>в</w:t>
            </w:r>
            <w:r>
              <w:rPr>
                <w:spacing w:val="-12"/>
                <w:sz w:val="22"/>
              </w:rPr>
              <w:t> </w:t>
            </w:r>
            <w:r>
              <w:rPr>
                <w:sz w:val="22"/>
              </w:rPr>
              <w:t>условиях</w:t>
            </w:r>
            <w:r>
              <w:rPr>
                <w:spacing w:val="-12"/>
                <w:sz w:val="22"/>
              </w:rPr>
              <w:t> </w:t>
            </w:r>
            <w:r>
              <w:rPr>
                <w:sz w:val="22"/>
              </w:rPr>
              <w:t>круглосуточного </w:t>
            </w:r>
            <w:r>
              <w:rPr>
                <w:spacing w:val="-2"/>
                <w:sz w:val="22"/>
              </w:rPr>
              <w:t>стационара</w:t>
            </w:r>
          </w:p>
        </w:tc>
        <w:tc>
          <w:tcPr>
            <w:tcW w:w="1834" w:type="dxa"/>
          </w:tcPr>
          <w:p>
            <w:pPr>
              <w:pStyle w:val="TableParagraph"/>
              <w:rPr>
                <w:sz w:val="22"/>
              </w:rPr>
            </w:pPr>
          </w:p>
        </w:tc>
        <w:tc>
          <w:tcPr>
            <w:tcW w:w="1410" w:type="dxa"/>
          </w:tcPr>
          <w:p>
            <w:pPr>
              <w:pStyle w:val="TableParagraph"/>
              <w:rPr>
                <w:sz w:val="22"/>
              </w:rPr>
            </w:pPr>
          </w:p>
        </w:tc>
        <w:tc>
          <w:tcPr>
            <w:tcW w:w="1595" w:type="dxa"/>
          </w:tcPr>
          <w:p>
            <w:pPr>
              <w:pStyle w:val="TableParagraph"/>
              <w:rPr>
                <w:sz w:val="22"/>
              </w:rPr>
            </w:pPr>
          </w:p>
        </w:tc>
        <w:tc>
          <w:tcPr>
            <w:tcW w:w="1587" w:type="dxa"/>
          </w:tcPr>
          <w:p>
            <w:pPr>
              <w:pStyle w:val="TableParagraph"/>
              <w:rPr>
                <w:sz w:val="22"/>
              </w:rPr>
            </w:pPr>
          </w:p>
        </w:tc>
        <w:tc>
          <w:tcPr>
            <w:tcW w:w="1749" w:type="dxa"/>
          </w:tcPr>
          <w:p>
            <w:pPr>
              <w:pStyle w:val="TableParagraph"/>
              <w:rPr>
                <w:sz w:val="22"/>
              </w:rPr>
            </w:pPr>
          </w:p>
        </w:tc>
        <w:tc>
          <w:tcPr>
            <w:tcW w:w="1582" w:type="dxa"/>
          </w:tcPr>
          <w:p>
            <w:pPr>
              <w:pStyle w:val="TableParagraph"/>
              <w:rPr>
                <w:sz w:val="22"/>
              </w:rPr>
            </w:pPr>
          </w:p>
        </w:tc>
        <w:tc>
          <w:tcPr>
            <w:tcW w:w="1180" w:type="dxa"/>
          </w:tcPr>
          <w:p>
            <w:pPr>
              <w:pStyle w:val="TableParagraph"/>
              <w:rPr>
                <w:sz w:val="22"/>
              </w:rPr>
            </w:pPr>
          </w:p>
        </w:tc>
      </w:tr>
      <w:tr>
        <w:trPr>
          <w:trHeight w:val="322" w:hRule="atLeast"/>
        </w:trPr>
        <w:tc>
          <w:tcPr>
            <w:tcW w:w="4447" w:type="dxa"/>
          </w:tcPr>
          <w:p>
            <w:pPr>
              <w:pStyle w:val="TableParagraph"/>
              <w:spacing w:before="25"/>
              <w:ind w:left="50"/>
              <w:rPr>
                <w:sz w:val="22"/>
              </w:rPr>
            </w:pPr>
            <w:r>
              <w:rPr>
                <w:sz w:val="22"/>
              </w:rPr>
              <w:t>4.</w:t>
            </w:r>
            <w:r>
              <w:rPr>
                <w:spacing w:val="-7"/>
                <w:sz w:val="22"/>
              </w:rPr>
              <w:t> </w:t>
            </w:r>
            <w:r>
              <w:rPr>
                <w:sz w:val="22"/>
              </w:rPr>
              <w:t>Паллиативная</w:t>
            </w:r>
            <w:r>
              <w:rPr>
                <w:spacing w:val="-7"/>
                <w:sz w:val="22"/>
              </w:rPr>
              <w:t> </w:t>
            </w:r>
            <w:r>
              <w:rPr>
                <w:sz w:val="22"/>
              </w:rPr>
              <w:t>медицинская</w:t>
            </w:r>
            <w:r>
              <w:rPr>
                <w:spacing w:val="-7"/>
                <w:sz w:val="22"/>
              </w:rPr>
              <w:t> </w:t>
            </w:r>
            <w:r>
              <w:rPr>
                <w:spacing w:val="-2"/>
                <w:sz w:val="22"/>
              </w:rPr>
              <w:t>помощь</w:t>
            </w:r>
          </w:p>
        </w:tc>
        <w:tc>
          <w:tcPr>
            <w:tcW w:w="1834" w:type="dxa"/>
          </w:tcPr>
          <w:p>
            <w:pPr>
              <w:pStyle w:val="TableParagraph"/>
              <w:spacing w:before="25"/>
              <w:ind w:right="153"/>
              <w:jc w:val="center"/>
              <w:rPr>
                <w:sz w:val="22"/>
              </w:rPr>
            </w:pPr>
            <w:r>
              <w:rPr>
                <w:w w:val="100"/>
                <w:sz w:val="22"/>
              </w:rPr>
              <w:t>-</w:t>
            </w:r>
          </w:p>
        </w:tc>
        <w:tc>
          <w:tcPr>
            <w:tcW w:w="1410" w:type="dxa"/>
          </w:tcPr>
          <w:p>
            <w:pPr>
              <w:pStyle w:val="TableParagraph"/>
              <w:spacing w:before="25"/>
              <w:ind w:right="148"/>
              <w:jc w:val="center"/>
              <w:rPr>
                <w:sz w:val="22"/>
              </w:rPr>
            </w:pPr>
            <w:r>
              <w:rPr>
                <w:w w:val="100"/>
                <w:sz w:val="22"/>
              </w:rPr>
              <w:t>-</w:t>
            </w:r>
          </w:p>
        </w:tc>
        <w:tc>
          <w:tcPr>
            <w:tcW w:w="1595" w:type="dxa"/>
          </w:tcPr>
          <w:p>
            <w:pPr>
              <w:pStyle w:val="TableParagraph"/>
              <w:spacing w:before="25"/>
              <w:ind w:right="37"/>
              <w:jc w:val="center"/>
              <w:rPr>
                <w:sz w:val="22"/>
              </w:rPr>
            </w:pPr>
            <w:r>
              <w:rPr>
                <w:w w:val="100"/>
                <w:sz w:val="22"/>
              </w:rPr>
              <w:t>-</w:t>
            </w:r>
          </w:p>
        </w:tc>
        <w:tc>
          <w:tcPr>
            <w:tcW w:w="1587" w:type="dxa"/>
          </w:tcPr>
          <w:p>
            <w:pPr>
              <w:pStyle w:val="TableParagraph"/>
              <w:spacing w:before="25"/>
              <w:ind w:right="55"/>
              <w:jc w:val="center"/>
              <w:rPr>
                <w:sz w:val="22"/>
              </w:rPr>
            </w:pPr>
            <w:r>
              <w:rPr>
                <w:w w:val="100"/>
                <w:sz w:val="22"/>
              </w:rPr>
              <w:t>-</w:t>
            </w:r>
          </w:p>
        </w:tc>
        <w:tc>
          <w:tcPr>
            <w:tcW w:w="1749" w:type="dxa"/>
          </w:tcPr>
          <w:p>
            <w:pPr>
              <w:pStyle w:val="TableParagraph"/>
              <w:spacing w:before="25"/>
              <w:ind w:left="20"/>
              <w:jc w:val="center"/>
              <w:rPr>
                <w:sz w:val="22"/>
              </w:rPr>
            </w:pPr>
            <w:r>
              <w:rPr>
                <w:w w:val="100"/>
                <w:sz w:val="22"/>
              </w:rPr>
              <w:t>-</w:t>
            </w:r>
          </w:p>
        </w:tc>
        <w:tc>
          <w:tcPr>
            <w:tcW w:w="1582" w:type="dxa"/>
          </w:tcPr>
          <w:p>
            <w:pPr>
              <w:pStyle w:val="TableParagraph"/>
              <w:spacing w:before="25"/>
              <w:ind w:left="49"/>
              <w:jc w:val="center"/>
              <w:rPr>
                <w:sz w:val="22"/>
              </w:rPr>
            </w:pPr>
            <w:r>
              <w:rPr>
                <w:w w:val="100"/>
                <w:sz w:val="22"/>
              </w:rPr>
              <w:t>-</w:t>
            </w:r>
          </w:p>
        </w:tc>
        <w:tc>
          <w:tcPr>
            <w:tcW w:w="1180" w:type="dxa"/>
          </w:tcPr>
          <w:p>
            <w:pPr>
              <w:pStyle w:val="TableParagraph"/>
              <w:spacing w:before="25"/>
              <w:ind w:right="311"/>
              <w:jc w:val="right"/>
              <w:rPr>
                <w:sz w:val="22"/>
              </w:rPr>
            </w:pPr>
            <w:r>
              <w:rPr>
                <w:w w:val="100"/>
                <w:sz w:val="22"/>
              </w:rPr>
              <w:t>-</w:t>
            </w:r>
          </w:p>
        </w:tc>
      </w:tr>
      <w:tr>
        <w:trPr>
          <w:trHeight w:val="840" w:hRule="atLeast"/>
        </w:trPr>
        <w:tc>
          <w:tcPr>
            <w:tcW w:w="4447" w:type="dxa"/>
          </w:tcPr>
          <w:p>
            <w:pPr>
              <w:pStyle w:val="TableParagraph"/>
              <w:spacing w:before="36"/>
              <w:ind w:left="484" w:hanging="10"/>
              <w:rPr>
                <w:sz w:val="22"/>
              </w:rPr>
            </w:pPr>
            <w:r>
              <w:rPr>
                <w:sz w:val="22"/>
              </w:rPr>
              <w:t>первичная</w:t>
            </w:r>
            <w:r>
              <w:rPr>
                <w:spacing w:val="-3"/>
                <w:sz w:val="22"/>
              </w:rPr>
              <w:t> </w:t>
            </w:r>
            <w:r>
              <w:rPr>
                <w:sz w:val="22"/>
              </w:rPr>
              <w:t>медицинская</w:t>
            </w:r>
            <w:r>
              <w:rPr>
                <w:spacing w:val="-2"/>
                <w:sz w:val="22"/>
              </w:rPr>
              <w:t> </w:t>
            </w:r>
            <w:r>
              <w:rPr>
                <w:sz w:val="22"/>
              </w:rPr>
              <w:t>помощь,</w:t>
            </w:r>
            <w:r>
              <w:rPr>
                <w:spacing w:val="-2"/>
                <w:sz w:val="22"/>
              </w:rPr>
              <w:t> </w:t>
            </w:r>
            <w:r>
              <w:rPr>
                <w:sz w:val="22"/>
              </w:rPr>
              <w:t>в</w:t>
            </w:r>
            <w:r>
              <w:rPr>
                <w:spacing w:val="-3"/>
                <w:sz w:val="22"/>
              </w:rPr>
              <w:t> </w:t>
            </w:r>
            <w:r>
              <w:rPr>
                <w:sz w:val="22"/>
              </w:rPr>
              <w:t>том числе</w:t>
            </w:r>
            <w:r>
              <w:rPr>
                <w:spacing w:val="-4"/>
                <w:sz w:val="22"/>
              </w:rPr>
              <w:t> </w:t>
            </w:r>
            <w:r>
              <w:rPr>
                <w:sz w:val="22"/>
              </w:rPr>
              <w:t>доврачебная</w:t>
            </w:r>
            <w:r>
              <w:rPr>
                <w:spacing w:val="-5"/>
                <w:sz w:val="22"/>
              </w:rPr>
              <w:t> </w:t>
            </w:r>
            <w:r>
              <w:rPr>
                <w:sz w:val="22"/>
              </w:rPr>
              <w:t>и</w:t>
            </w:r>
            <w:r>
              <w:rPr>
                <w:spacing w:val="-4"/>
                <w:sz w:val="22"/>
              </w:rPr>
              <w:t> </w:t>
            </w:r>
            <w:r>
              <w:rPr>
                <w:sz w:val="22"/>
              </w:rPr>
              <w:t>врачебная</w:t>
            </w:r>
            <w:r>
              <w:rPr>
                <w:sz w:val="22"/>
                <w:vertAlign w:val="superscript"/>
              </w:rPr>
              <w:t>5</w:t>
            </w:r>
            <w:r>
              <w:rPr>
                <w:spacing w:val="-4"/>
                <w:sz w:val="22"/>
                <w:vertAlign w:val="baseline"/>
              </w:rPr>
              <w:t> </w:t>
            </w:r>
            <w:r>
              <w:rPr>
                <w:sz w:val="22"/>
                <w:vertAlign w:val="baseline"/>
              </w:rPr>
              <w:t>-</w:t>
            </w:r>
            <w:r>
              <w:rPr>
                <w:spacing w:val="-8"/>
                <w:sz w:val="22"/>
                <w:vertAlign w:val="baseline"/>
              </w:rPr>
              <w:t> </w:t>
            </w:r>
            <w:r>
              <w:rPr>
                <w:spacing w:val="-2"/>
                <w:sz w:val="22"/>
                <w:vertAlign w:val="baseline"/>
              </w:rPr>
              <w:t>всего</w:t>
            </w:r>
          </w:p>
          <w:p>
            <w:pPr>
              <w:pStyle w:val="TableParagraph"/>
              <w:ind w:left="760"/>
              <w:rPr>
                <w:sz w:val="22"/>
              </w:rPr>
            </w:pPr>
            <w:r>
              <w:rPr>
                <w:sz w:val="22"/>
              </w:rPr>
              <w:t>в</w:t>
            </w:r>
            <w:r>
              <w:rPr>
                <w:spacing w:val="-1"/>
                <w:sz w:val="22"/>
              </w:rPr>
              <w:t> </w:t>
            </w:r>
            <w:r>
              <w:rPr>
                <w:sz w:val="22"/>
              </w:rPr>
              <w:t>том</w:t>
            </w:r>
            <w:r>
              <w:rPr>
                <w:spacing w:val="-1"/>
                <w:sz w:val="22"/>
              </w:rPr>
              <w:t> </w:t>
            </w:r>
            <w:r>
              <w:rPr>
                <w:spacing w:val="-2"/>
                <w:sz w:val="22"/>
              </w:rPr>
              <w:t>числе:</w:t>
            </w:r>
          </w:p>
        </w:tc>
        <w:tc>
          <w:tcPr>
            <w:tcW w:w="1834" w:type="dxa"/>
          </w:tcPr>
          <w:p>
            <w:pPr>
              <w:pStyle w:val="TableParagraph"/>
              <w:spacing w:before="36"/>
              <w:ind w:left="299" w:right="449"/>
              <w:jc w:val="center"/>
              <w:rPr>
                <w:sz w:val="22"/>
              </w:rPr>
            </w:pPr>
            <w:r>
              <w:rPr>
                <w:spacing w:val="-2"/>
                <w:sz w:val="22"/>
              </w:rPr>
              <w:t>посещений</w:t>
            </w:r>
          </w:p>
        </w:tc>
        <w:tc>
          <w:tcPr>
            <w:tcW w:w="1410" w:type="dxa"/>
          </w:tcPr>
          <w:p>
            <w:pPr>
              <w:pStyle w:val="TableParagraph"/>
              <w:spacing w:before="36"/>
              <w:ind w:right="526"/>
              <w:jc w:val="right"/>
              <w:rPr>
                <w:sz w:val="22"/>
              </w:rPr>
            </w:pPr>
            <w:r>
              <w:rPr>
                <w:spacing w:val="-2"/>
                <w:sz w:val="22"/>
              </w:rPr>
              <w:t>0,028</w:t>
            </w:r>
          </w:p>
        </w:tc>
        <w:tc>
          <w:tcPr>
            <w:tcW w:w="1595" w:type="dxa"/>
          </w:tcPr>
          <w:p>
            <w:pPr>
              <w:pStyle w:val="TableParagraph"/>
              <w:spacing w:before="36"/>
              <w:ind w:right="37"/>
              <w:jc w:val="center"/>
              <w:rPr>
                <w:sz w:val="22"/>
              </w:rPr>
            </w:pPr>
            <w:r>
              <w:rPr>
                <w:w w:val="100"/>
                <w:sz w:val="22"/>
              </w:rPr>
              <w:t>-</w:t>
            </w:r>
          </w:p>
        </w:tc>
        <w:tc>
          <w:tcPr>
            <w:tcW w:w="1587" w:type="dxa"/>
          </w:tcPr>
          <w:p>
            <w:pPr>
              <w:pStyle w:val="TableParagraph"/>
              <w:spacing w:before="36"/>
              <w:ind w:left="250" w:right="306"/>
              <w:jc w:val="center"/>
              <w:rPr>
                <w:sz w:val="22"/>
              </w:rPr>
            </w:pPr>
            <w:r>
              <w:rPr>
                <w:spacing w:val="-4"/>
                <w:sz w:val="22"/>
              </w:rPr>
              <w:t>0,03</w:t>
            </w:r>
          </w:p>
        </w:tc>
        <w:tc>
          <w:tcPr>
            <w:tcW w:w="1749" w:type="dxa"/>
          </w:tcPr>
          <w:p>
            <w:pPr>
              <w:pStyle w:val="TableParagraph"/>
              <w:spacing w:before="36"/>
              <w:ind w:left="20"/>
              <w:jc w:val="center"/>
              <w:rPr>
                <w:sz w:val="22"/>
              </w:rPr>
            </w:pPr>
            <w:r>
              <w:rPr>
                <w:w w:val="100"/>
                <w:sz w:val="22"/>
              </w:rPr>
              <w:t>-</w:t>
            </w:r>
          </w:p>
        </w:tc>
        <w:tc>
          <w:tcPr>
            <w:tcW w:w="1582" w:type="dxa"/>
          </w:tcPr>
          <w:p>
            <w:pPr>
              <w:pStyle w:val="TableParagraph"/>
              <w:spacing w:before="36"/>
              <w:ind w:left="555" w:right="501"/>
              <w:jc w:val="center"/>
              <w:rPr>
                <w:sz w:val="22"/>
              </w:rPr>
            </w:pPr>
            <w:r>
              <w:rPr>
                <w:spacing w:val="-4"/>
                <w:sz w:val="22"/>
              </w:rPr>
              <w:t>0,03</w:t>
            </w:r>
          </w:p>
        </w:tc>
        <w:tc>
          <w:tcPr>
            <w:tcW w:w="1180" w:type="dxa"/>
          </w:tcPr>
          <w:p>
            <w:pPr>
              <w:pStyle w:val="TableParagraph"/>
              <w:spacing w:before="36"/>
              <w:ind w:right="311"/>
              <w:jc w:val="right"/>
              <w:rPr>
                <w:sz w:val="22"/>
              </w:rPr>
            </w:pPr>
            <w:r>
              <w:rPr>
                <w:w w:val="100"/>
                <w:sz w:val="22"/>
              </w:rPr>
              <w:t>-</w:t>
            </w:r>
          </w:p>
        </w:tc>
      </w:tr>
      <w:tr>
        <w:trPr>
          <w:trHeight w:val="1092" w:hRule="atLeast"/>
        </w:trPr>
        <w:tc>
          <w:tcPr>
            <w:tcW w:w="4447" w:type="dxa"/>
          </w:tcPr>
          <w:p>
            <w:pPr>
              <w:pStyle w:val="TableParagraph"/>
              <w:spacing w:before="36"/>
              <w:ind w:left="765" w:hanging="5"/>
              <w:rPr>
                <w:sz w:val="22"/>
              </w:rPr>
            </w:pPr>
            <w:r>
              <w:rPr>
                <w:sz w:val="22"/>
              </w:rPr>
              <w:t>посещение по паллиативной медицинской помощи без учета посещений</w:t>
            </w:r>
            <w:r>
              <w:rPr>
                <w:spacing w:val="-11"/>
                <w:sz w:val="22"/>
              </w:rPr>
              <w:t> </w:t>
            </w:r>
            <w:r>
              <w:rPr>
                <w:sz w:val="22"/>
              </w:rPr>
              <w:t>на</w:t>
            </w:r>
            <w:r>
              <w:rPr>
                <w:spacing w:val="-12"/>
                <w:sz w:val="22"/>
              </w:rPr>
              <w:t> </w:t>
            </w:r>
            <w:r>
              <w:rPr>
                <w:sz w:val="22"/>
              </w:rPr>
              <w:t>дому</w:t>
            </w:r>
            <w:r>
              <w:rPr>
                <w:spacing w:val="-14"/>
                <w:sz w:val="22"/>
              </w:rPr>
              <w:t> </w:t>
            </w:r>
            <w:r>
              <w:rPr>
                <w:sz w:val="22"/>
              </w:rPr>
              <w:t>патронажными </w:t>
            </w:r>
            <w:r>
              <w:rPr>
                <w:spacing w:val="-2"/>
                <w:sz w:val="22"/>
              </w:rPr>
              <w:t>бригадами</w:t>
            </w:r>
          </w:p>
        </w:tc>
        <w:tc>
          <w:tcPr>
            <w:tcW w:w="1834" w:type="dxa"/>
          </w:tcPr>
          <w:p>
            <w:pPr>
              <w:pStyle w:val="TableParagraph"/>
              <w:spacing w:before="36"/>
              <w:ind w:left="299" w:right="449"/>
              <w:jc w:val="center"/>
              <w:rPr>
                <w:sz w:val="22"/>
              </w:rPr>
            </w:pPr>
            <w:r>
              <w:rPr>
                <w:spacing w:val="-2"/>
                <w:sz w:val="22"/>
              </w:rPr>
              <w:t>посещений</w:t>
            </w:r>
          </w:p>
        </w:tc>
        <w:tc>
          <w:tcPr>
            <w:tcW w:w="1410" w:type="dxa"/>
          </w:tcPr>
          <w:p>
            <w:pPr>
              <w:pStyle w:val="TableParagraph"/>
              <w:spacing w:before="36"/>
              <w:ind w:right="471"/>
              <w:jc w:val="right"/>
              <w:rPr>
                <w:sz w:val="22"/>
              </w:rPr>
            </w:pPr>
            <w:r>
              <w:rPr>
                <w:spacing w:val="-2"/>
                <w:sz w:val="22"/>
              </w:rPr>
              <w:t>0,0208</w:t>
            </w:r>
          </w:p>
        </w:tc>
        <w:tc>
          <w:tcPr>
            <w:tcW w:w="1595" w:type="dxa"/>
          </w:tcPr>
          <w:p>
            <w:pPr>
              <w:pStyle w:val="TableParagraph"/>
              <w:spacing w:before="36"/>
              <w:ind w:right="563"/>
              <w:jc w:val="right"/>
              <w:rPr>
                <w:sz w:val="22"/>
              </w:rPr>
            </w:pPr>
            <w:r>
              <w:rPr>
                <w:spacing w:val="-2"/>
                <w:sz w:val="22"/>
              </w:rPr>
              <w:t>443,2</w:t>
            </w:r>
          </w:p>
        </w:tc>
        <w:tc>
          <w:tcPr>
            <w:tcW w:w="1587" w:type="dxa"/>
          </w:tcPr>
          <w:p>
            <w:pPr>
              <w:pStyle w:val="TableParagraph"/>
              <w:spacing w:before="36"/>
              <w:ind w:left="250" w:right="306"/>
              <w:jc w:val="center"/>
              <w:rPr>
                <w:sz w:val="22"/>
              </w:rPr>
            </w:pPr>
            <w:r>
              <w:rPr>
                <w:spacing w:val="-2"/>
                <w:sz w:val="22"/>
              </w:rPr>
              <w:t>0,022</w:t>
            </w:r>
          </w:p>
        </w:tc>
        <w:tc>
          <w:tcPr>
            <w:tcW w:w="1749" w:type="dxa"/>
          </w:tcPr>
          <w:p>
            <w:pPr>
              <w:pStyle w:val="TableParagraph"/>
              <w:spacing w:before="36"/>
              <w:ind w:left="565" w:right="547"/>
              <w:jc w:val="center"/>
              <w:rPr>
                <w:sz w:val="22"/>
              </w:rPr>
            </w:pPr>
            <w:r>
              <w:rPr>
                <w:spacing w:val="-5"/>
                <w:sz w:val="22"/>
              </w:rPr>
              <w:t>461</w:t>
            </w:r>
          </w:p>
        </w:tc>
        <w:tc>
          <w:tcPr>
            <w:tcW w:w="1582" w:type="dxa"/>
          </w:tcPr>
          <w:p>
            <w:pPr>
              <w:pStyle w:val="TableParagraph"/>
              <w:spacing w:before="36"/>
              <w:ind w:left="555" w:right="501"/>
              <w:jc w:val="center"/>
              <w:rPr>
                <w:sz w:val="22"/>
              </w:rPr>
            </w:pPr>
            <w:r>
              <w:rPr>
                <w:spacing w:val="-2"/>
                <w:sz w:val="22"/>
              </w:rPr>
              <w:t>0,022</w:t>
            </w:r>
          </w:p>
        </w:tc>
        <w:tc>
          <w:tcPr>
            <w:tcW w:w="1180" w:type="dxa"/>
          </w:tcPr>
          <w:p>
            <w:pPr>
              <w:pStyle w:val="TableParagraph"/>
              <w:spacing w:before="36"/>
              <w:ind w:right="99"/>
              <w:jc w:val="right"/>
              <w:rPr>
                <w:sz w:val="22"/>
              </w:rPr>
            </w:pPr>
            <w:r>
              <w:rPr>
                <w:spacing w:val="-2"/>
                <w:sz w:val="22"/>
              </w:rPr>
              <w:t>479,4</w:t>
            </w:r>
          </w:p>
        </w:tc>
      </w:tr>
      <w:tr>
        <w:trPr>
          <w:trHeight w:val="585" w:hRule="atLeast"/>
        </w:trPr>
        <w:tc>
          <w:tcPr>
            <w:tcW w:w="4447" w:type="dxa"/>
          </w:tcPr>
          <w:p>
            <w:pPr>
              <w:pStyle w:val="TableParagraph"/>
              <w:spacing w:before="36"/>
              <w:ind w:left="750" w:firstLine="9"/>
              <w:rPr>
                <w:sz w:val="22"/>
              </w:rPr>
            </w:pPr>
            <w:r>
              <w:rPr>
                <w:sz w:val="22"/>
              </w:rPr>
              <w:t>посещения</w:t>
            </w:r>
            <w:r>
              <w:rPr>
                <w:spacing w:val="-11"/>
                <w:sz w:val="22"/>
              </w:rPr>
              <w:t> </w:t>
            </w:r>
            <w:r>
              <w:rPr>
                <w:sz w:val="22"/>
              </w:rPr>
              <w:t>на</w:t>
            </w:r>
            <w:r>
              <w:rPr>
                <w:spacing w:val="-13"/>
                <w:sz w:val="22"/>
              </w:rPr>
              <w:t> </w:t>
            </w:r>
            <w:r>
              <w:rPr>
                <w:sz w:val="22"/>
              </w:rPr>
              <w:t>дому</w:t>
            </w:r>
            <w:r>
              <w:rPr>
                <w:spacing w:val="-13"/>
                <w:sz w:val="22"/>
              </w:rPr>
              <w:t> </w:t>
            </w:r>
            <w:r>
              <w:rPr>
                <w:sz w:val="22"/>
              </w:rPr>
              <w:t>выездными патронажными бригадами</w:t>
            </w:r>
          </w:p>
        </w:tc>
        <w:tc>
          <w:tcPr>
            <w:tcW w:w="1834" w:type="dxa"/>
          </w:tcPr>
          <w:p>
            <w:pPr>
              <w:pStyle w:val="TableParagraph"/>
              <w:spacing w:before="36"/>
              <w:ind w:left="299" w:right="449"/>
              <w:jc w:val="center"/>
              <w:rPr>
                <w:sz w:val="22"/>
              </w:rPr>
            </w:pPr>
            <w:r>
              <w:rPr>
                <w:spacing w:val="-2"/>
                <w:sz w:val="22"/>
              </w:rPr>
              <w:t>посещений</w:t>
            </w:r>
          </w:p>
        </w:tc>
        <w:tc>
          <w:tcPr>
            <w:tcW w:w="1410" w:type="dxa"/>
          </w:tcPr>
          <w:p>
            <w:pPr>
              <w:pStyle w:val="TableParagraph"/>
              <w:spacing w:before="36"/>
              <w:ind w:right="471"/>
              <w:jc w:val="right"/>
              <w:rPr>
                <w:sz w:val="22"/>
              </w:rPr>
            </w:pPr>
            <w:r>
              <w:rPr>
                <w:spacing w:val="-2"/>
                <w:sz w:val="22"/>
              </w:rPr>
              <w:t>0,0072</w:t>
            </w:r>
          </w:p>
        </w:tc>
        <w:tc>
          <w:tcPr>
            <w:tcW w:w="1595" w:type="dxa"/>
          </w:tcPr>
          <w:p>
            <w:pPr>
              <w:pStyle w:val="TableParagraph"/>
              <w:spacing w:before="36"/>
              <w:ind w:right="508"/>
              <w:jc w:val="right"/>
              <w:rPr>
                <w:sz w:val="22"/>
              </w:rPr>
            </w:pPr>
            <w:r>
              <w:rPr>
                <w:spacing w:val="-2"/>
                <w:sz w:val="22"/>
              </w:rPr>
              <w:t>2216,4</w:t>
            </w:r>
          </w:p>
        </w:tc>
        <w:tc>
          <w:tcPr>
            <w:tcW w:w="1587" w:type="dxa"/>
          </w:tcPr>
          <w:p>
            <w:pPr>
              <w:pStyle w:val="TableParagraph"/>
              <w:spacing w:before="36"/>
              <w:ind w:left="250" w:right="306"/>
              <w:jc w:val="center"/>
              <w:rPr>
                <w:sz w:val="22"/>
              </w:rPr>
            </w:pPr>
            <w:r>
              <w:rPr>
                <w:spacing w:val="-2"/>
                <w:sz w:val="22"/>
              </w:rPr>
              <w:t>0,008</w:t>
            </w:r>
          </w:p>
        </w:tc>
        <w:tc>
          <w:tcPr>
            <w:tcW w:w="1749" w:type="dxa"/>
          </w:tcPr>
          <w:p>
            <w:pPr>
              <w:pStyle w:val="TableParagraph"/>
              <w:spacing w:before="36"/>
              <w:ind w:left="568" w:right="547"/>
              <w:jc w:val="center"/>
              <w:rPr>
                <w:sz w:val="22"/>
              </w:rPr>
            </w:pPr>
            <w:r>
              <w:rPr>
                <w:spacing w:val="-2"/>
                <w:sz w:val="22"/>
              </w:rPr>
              <w:t>2305,1</w:t>
            </w:r>
          </w:p>
        </w:tc>
        <w:tc>
          <w:tcPr>
            <w:tcW w:w="1582" w:type="dxa"/>
          </w:tcPr>
          <w:p>
            <w:pPr>
              <w:pStyle w:val="TableParagraph"/>
              <w:spacing w:before="36"/>
              <w:ind w:left="555" w:right="501"/>
              <w:jc w:val="center"/>
              <w:rPr>
                <w:sz w:val="22"/>
              </w:rPr>
            </w:pPr>
            <w:r>
              <w:rPr>
                <w:spacing w:val="-2"/>
                <w:sz w:val="22"/>
              </w:rPr>
              <w:t>0,008</w:t>
            </w:r>
          </w:p>
        </w:tc>
        <w:tc>
          <w:tcPr>
            <w:tcW w:w="1180" w:type="dxa"/>
          </w:tcPr>
          <w:p>
            <w:pPr>
              <w:pStyle w:val="TableParagraph"/>
              <w:spacing w:before="36"/>
              <w:ind w:right="45"/>
              <w:jc w:val="right"/>
              <w:rPr>
                <w:sz w:val="22"/>
              </w:rPr>
            </w:pPr>
            <w:r>
              <w:rPr>
                <w:spacing w:val="-2"/>
                <w:sz w:val="22"/>
              </w:rPr>
              <w:t>2397,3</w:t>
            </w:r>
          </w:p>
        </w:tc>
      </w:tr>
      <w:tr>
        <w:trPr>
          <w:trHeight w:val="1052" w:hRule="atLeast"/>
        </w:trPr>
        <w:tc>
          <w:tcPr>
            <w:tcW w:w="4447" w:type="dxa"/>
          </w:tcPr>
          <w:p>
            <w:pPr>
              <w:pStyle w:val="TableParagraph"/>
              <w:spacing w:before="36"/>
              <w:ind w:left="484" w:hanging="10"/>
              <w:rPr>
                <w:sz w:val="22"/>
              </w:rPr>
            </w:pPr>
            <w:r>
              <w:rPr>
                <w:sz w:val="22"/>
              </w:rPr>
              <w:t>паллиативная медицинская помощь в стационарных</w:t>
            </w:r>
            <w:r>
              <w:rPr>
                <w:spacing w:val="-11"/>
                <w:sz w:val="22"/>
              </w:rPr>
              <w:t> </w:t>
            </w:r>
            <w:r>
              <w:rPr>
                <w:sz w:val="22"/>
              </w:rPr>
              <w:t>условиях</w:t>
            </w:r>
            <w:r>
              <w:rPr>
                <w:spacing w:val="-11"/>
                <w:sz w:val="22"/>
              </w:rPr>
              <w:t> </w:t>
            </w:r>
            <w:r>
              <w:rPr>
                <w:sz w:val="22"/>
              </w:rPr>
              <w:t>(включая</w:t>
            </w:r>
            <w:r>
              <w:rPr>
                <w:spacing w:val="-14"/>
                <w:sz w:val="22"/>
              </w:rPr>
              <w:t> </w:t>
            </w:r>
            <w:r>
              <w:rPr>
                <w:sz w:val="22"/>
              </w:rPr>
              <w:t>койки паллиативной медицинской помощи и</w:t>
            </w:r>
          </w:p>
          <w:p>
            <w:pPr>
              <w:pStyle w:val="TableParagraph"/>
              <w:spacing w:line="238" w:lineRule="exact"/>
              <w:ind w:left="484"/>
              <w:rPr>
                <w:sz w:val="22"/>
              </w:rPr>
            </w:pPr>
            <w:r>
              <w:rPr>
                <w:sz w:val="22"/>
              </w:rPr>
              <w:t>койки</w:t>
            </w:r>
            <w:r>
              <w:rPr>
                <w:spacing w:val="-7"/>
                <w:sz w:val="22"/>
              </w:rPr>
              <w:t> </w:t>
            </w:r>
            <w:r>
              <w:rPr>
                <w:sz w:val="22"/>
              </w:rPr>
              <w:t>сестринского</w:t>
            </w:r>
            <w:r>
              <w:rPr>
                <w:spacing w:val="-7"/>
                <w:sz w:val="22"/>
              </w:rPr>
              <w:t> </w:t>
            </w:r>
            <w:r>
              <w:rPr>
                <w:spacing w:val="-2"/>
                <w:sz w:val="22"/>
              </w:rPr>
              <w:t>ухода)</w:t>
            </w:r>
          </w:p>
        </w:tc>
        <w:tc>
          <w:tcPr>
            <w:tcW w:w="1834" w:type="dxa"/>
          </w:tcPr>
          <w:p>
            <w:pPr>
              <w:pStyle w:val="TableParagraph"/>
              <w:spacing w:before="36"/>
              <w:ind w:left="299" w:right="453"/>
              <w:jc w:val="center"/>
              <w:rPr>
                <w:sz w:val="22"/>
              </w:rPr>
            </w:pPr>
            <w:r>
              <w:rPr>
                <w:spacing w:val="-2"/>
                <w:sz w:val="22"/>
              </w:rPr>
              <w:t>койко-</w:t>
            </w:r>
            <w:r>
              <w:rPr>
                <w:spacing w:val="-4"/>
                <w:sz w:val="22"/>
              </w:rPr>
              <w:t>дней</w:t>
            </w:r>
          </w:p>
        </w:tc>
        <w:tc>
          <w:tcPr>
            <w:tcW w:w="1410" w:type="dxa"/>
          </w:tcPr>
          <w:p>
            <w:pPr>
              <w:pStyle w:val="TableParagraph"/>
              <w:spacing w:before="36"/>
              <w:ind w:right="526"/>
              <w:jc w:val="right"/>
              <w:rPr>
                <w:sz w:val="22"/>
              </w:rPr>
            </w:pPr>
            <w:r>
              <w:rPr>
                <w:spacing w:val="-2"/>
                <w:sz w:val="22"/>
              </w:rPr>
              <w:t>0,092</w:t>
            </w:r>
          </w:p>
        </w:tc>
        <w:tc>
          <w:tcPr>
            <w:tcW w:w="1595" w:type="dxa"/>
          </w:tcPr>
          <w:p>
            <w:pPr>
              <w:pStyle w:val="TableParagraph"/>
              <w:spacing w:before="36"/>
              <w:ind w:right="508"/>
              <w:jc w:val="right"/>
              <w:rPr>
                <w:sz w:val="22"/>
              </w:rPr>
            </w:pPr>
            <w:r>
              <w:rPr>
                <w:spacing w:val="-2"/>
                <w:sz w:val="22"/>
              </w:rPr>
              <w:t>2620,6</w:t>
            </w:r>
          </w:p>
        </w:tc>
        <w:tc>
          <w:tcPr>
            <w:tcW w:w="1587" w:type="dxa"/>
          </w:tcPr>
          <w:p>
            <w:pPr>
              <w:pStyle w:val="TableParagraph"/>
              <w:spacing w:before="36"/>
              <w:ind w:left="250" w:right="306"/>
              <w:jc w:val="center"/>
              <w:rPr>
                <w:sz w:val="22"/>
              </w:rPr>
            </w:pPr>
            <w:r>
              <w:rPr>
                <w:spacing w:val="-2"/>
                <w:sz w:val="22"/>
              </w:rPr>
              <w:t>0,092</w:t>
            </w:r>
          </w:p>
        </w:tc>
        <w:tc>
          <w:tcPr>
            <w:tcW w:w="1749" w:type="dxa"/>
          </w:tcPr>
          <w:p>
            <w:pPr>
              <w:pStyle w:val="TableParagraph"/>
              <w:spacing w:before="36"/>
              <w:ind w:left="568" w:right="547"/>
              <w:jc w:val="center"/>
              <w:rPr>
                <w:sz w:val="22"/>
              </w:rPr>
            </w:pPr>
            <w:r>
              <w:rPr>
                <w:spacing w:val="-2"/>
                <w:sz w:val="22"/>
              </w:rPr>
              <w:t>2725,4</w:t>
            </w:r>
          </w:p>
        </w:tc>
        <w:tc>
          <w:tcPr>
            <w:tcW w:w="1582" w:type="dxa"/>
          </w:tcPr>
          <w:p>
            <w:pPr>
              <w:pStyle w:val="TableParagraph"/>
              <w:spacing w:before="36"/>
              <w:ind w:left="555" w:right="501"/>
              <w:jc w:val="center"/>
              <w:rPr>
                <w:sz w:val="22"/>
              </w:rPr>
            </w:pPr>
            <w:r>
              <w:rPr>
                <w:spacing w:val="-2"/>
                <w:sz w:val="22"/>
              </w:rPr>
              <w:t>0,092</w:t>
            </w:r>
          </w:p>
        </w:tc>
        <w:tc>
          <w:tcPr>
            <w:tcW w:w="1180" w:type="dxa"/>
          </w:tcPr>
          <w:p>
            <w:pPr>
              <w:pStyle w:val="TableParagraph"/>
              <w:spacing w:before="36"/>
              <w:ind w:right="45"/>
              <w:jc w:val="right"/>
              <w:rPr>
                <w:sz w:val="22"/>
              </w:rPr>
            </w:pPr>
            <w:r>
              <w:rPr>
                <w:spacing w:val="-2"/>
                <w:sz w:val="22"/>
              </w:rPr>
              <w:t>2834,4</w:t>
            </w:r>
          </w:p>
        </w:tc>
      </w:tr>
      <w:tr>
        <w:trPr>
          <w:trHeight w:val="313" w:hRule="atLeast"/>
        </w:trPr>
        <w:tc>
          <w:tcPr>
            <w:tcW w:w="15384" w:type="dxa"/>
            <w:gridSpan w:val="8"/>
          </w:tcPr>
          <w:p>
            <w:pPr>
              <w:pStyle w:val="TableParagraph"/>
              <w:spacing w:line="249" w:lineRule="exact"/>
              <w:ind w:left="4445"/>
              <w:rPr>
                <w:sz w:val="22"/>
              </w:rPr>
            </w:pPr>
            <w:r>
              <w:rPr>
                <w:sz w:val="22"/>
              </w:rPr>
              <w:t>II.</w:t>
            </w:r>
            <w:r>
              <w:rPr>
                <w:spacing w:val="-7"/>
                <w:sz w:val="22"/>
              </w:rPr>
              <w:t> </w:t>
            </w:r>
            <w:r>
              <w:rPr>
                <w:sz w:val="22"/>
              </w:rPr>
              <w:t>В</w:t>
            </w:r>
            <w:r>
              <w:rPr>
                <w:spacing w:val="-6"/>
                <w:sz w:val="22"/>
              </w:rPr>
              <w:t> </w:t>
            </w:r>
            <w:r>
              <w:rPr>
                <w:sz w:val="22"/>
              </w:rPr>
              <w:t>рамках</w:t>
            </w:r>
            <w:r>
              <w:rPr>
                <w:spacing w:val="-5"/>
                <w:sz w:val="22"/>
              </w:rPr>
              <w:t> </w:t>
            </w:r>
            <w:r>
              <w:rPr>
                <w:sz w:val="22"/>
              </w:rPr>
              <w:t>базовой</w:t>
            </w:r>
            <w:r>
              <w:rPr>
                <w:spacing w:val="-4"/>
                <w:sz w:val="22"/>
              </w:rPr>
              <w:t> </w:t>
            </w:r>
            <w:r>
              <w:rPr>
                <w:sz w:val="22"/>
              </w:rPr>
              <w:t>программы</w:t>
            </w:r>
            <w:r>
              <w:rPr>
                <w:spacing w:val="-5"/>
                <w:sz w:val="22"/>
              </w:rPr>
              <w:t> </w:t>
            </w:r>
            <w:r>
              <w:rPr>
                <w:sz w:val="22"/>
              </w:rPr>
              <w:t>обязательного</w:t>
            </w:r>
            <w:r>
              <w:rPr>
                <w:spacing w:val="-5"/>
                <w:sz w:val="22"/>
              </w:rPr>
              <w:t> </w:t>
            </w:r>
            <w:r>
              <w:rPr>
                <w:sz w:val="22"/>
              </w:rPr>
              <w:t>медицинского</w:t>
            </w:r>
            <w:r>
              <w:rPr>
                <w:spacing w:val="-7"/>
                <w:sz w:val="22"/>
              </w:rPr>
              <w:t> </w:t>
            </w:r>
            <w:r>
              <w:rPr>
                <w:spacing w:val="-2"/>
                <w:sz w:val="22"/>
              </w:rPr>
              <w:t>страхования</w:t>
            </w:r>
          </w:p>
        </w:tc>
      </w:tr>
      <w:tr>
        <w:trPr>
          <w:trHeight w:val="858" w:hRule="atLeast"/>
        </w:trPr>
        <w:tc>
          <w:tcPr>
            <w:tcW w:w="4447" w:type="dxa"/>
          </w:tcPr>
          <w:p>
            <w:pPr>
              <w:pStyle w:val="TableParagraph"/>
              <w:spacing w:before="55"/>
              <w:ind w:left="328" w:right="845" w:hanging="221"/>
              <w:rPr>
                <w:sz w:val="22"/>
              </w:rPr>
            </w:pPr>
            <w:r>
              <w:rPr>
                <w:sz w:val="22"/>
              </w:rPr>
              <w:t>1. Скорая, в том числе скорая специализированная,</w:t>
            </w:r>
            <w:r>
              <w:rPr>
                <w:spacing w:val="-14"/>
                <w:sz w:val="22"/>
              </w:rPr>
              <w:t> </w:t>
            </w:r>
            <w:r>
              <w:rPr>
                <w:sz w:val="22"/>
              </w:rPr>
              <w:t>медицинская </w:t>
            </w:r>
            <w:r>
              <w:rPr>
                <w:spacing w:val="-2"/>
                <w:sz w:val="22"/>
              </w:rPr>
              <w:t>помощь</w:t>
            </w:r>
          </w:p>
        </w:tc>
        <w:tc>
          <w:tcPr>
            <w:tcW w:w="1834" w:type="dxa"/>
          </w:tcPr>
          <w:p>
            <w:pPr>
              <w:pStyle w:val="TableParagraph"/>
              <w:spacing w:before="55"/>
              <w:ind w:left="299" w:right="450"/>
              <w:jc w:val="center"/>
              <w:rPr>
                <w:sz w:val="22"/>
              </w:rPr>
            </w:pPr>
            <w:r>
              <w:rPr>
                <w:spacing w:val="-2"/>
                <w:sz w:val="22"/>
              </w:rPr>
              <w:t>вызовов</w:t>
            </w:r>
          </w:p>
        </w:tc>
        <w:tc>
          <w:tcPr>
            <w:tcW w:w="1410" w:type="dxa"/>
          </w:tcPr>
          <w:p>
            <w:pPr>
              <w:pStyle w:val="TableParagraph"/>
              <w:spacing w:before="55"/>
              <w:ind w:right="583"/>
              <w:jc w:val="right"/>
              <w:rPr>
                <w:sz w:val="22"/>
              </w:rPr>
            </w:pPr>
            <w:r>
              <w:rPr>
                <w:spacing w:val="-4"/>
                <w:sz w:val="22"/>
              </w:rPr>
              <w:t>0,29</w:t>
            </w:r>
          </w:p>
        </w:tc>
        <w:tc>
          <w:tcPr>
            <w:tcW w:w="1595" w:type="dxa"/>
          </w:tcPr>
          <w:p>
            <w:pPr>
              <w:pStyle w:val="TableParagraph"/>
              <w:spacing w:before="55"/>
              <w:ind w:right="508"/>
              <w:jc w:val="right"/>
              <w:rPr>
                <w:sz w:val="22"/>
              </w:rPr>
            </w:pPr>
            <w:r>
              <w:rPr>
                <w:spacing w:val="-2"/>
                <w:sz w:val="22"/>
              </w:rPr>
              <w:t>2884,7</w:t>
            </w:r>
          </w:p>
        </w:tc>
        <w:tc>
          <w:tcPr>
            <w:tcW w:w="1587" w:type="dxa"/>
          </w:tcPr>
          <w:p>
            <w:pPr>
              <w:pStyle w:val="TableParagraph"/>
              <w:spacing w:before="55"/>
              <w:ind w:left="256" w:right="306"/>
              <w:jc w:val="center"/>
              <w:rPr>
                <w:sz w:val="22"/>
              </w:rPr>
            </w:pPr>
            <w:r>
              <w:rPr>
                <w:spacing w:val="-4"/>
                <w:sz w:val="22"/>
              </w:rPr>
              <w:t>0,29</w:t>
            </w:r>
          </w:p>
        </w:tc>
        <w:tc>
          <w:tcPr>
            <w:tcW w:w="1749" w:type="dxa"/>
          </w:tcPr>
          <w:p>
            <w:pPr>
              <w:pStyle w:val="TableParagraph"/>
              <w:spacing w:before="55"/>
              <w:ind w:left="568" w:right="547"/>
              <w:jc w:val="center"/>
              <w:rPr>
                <w:sz w:val="22"/>
              </w:rPr>
            </w:pPr>
            <w:r>
              <w:rPr>
                <w:spacing w:val="-2"/>
                <w:sz w:val="22"/>
              </w:rPr>
              <w:t>3057,6</w:t>
            </w:r>
          </w:p>
        </w:tc>
        <w:tc>
          <w:tcPr>
            <w:tcW w:w="1582" w:type="dxa"/>
          </w:tcPr>
          <w:p>
            <w:pPr>
              <w:pStyle w:val="TableParagraph"/>
              <w:spacing w:before="55"/>
              <w:ind w:left="555" w:right="501"/>
              <w:jc w:val="center"/>
              <w:rPr>
                <w:sz w:val="22"/>
              </w:rPr>
            </w:pPr>
            <w:r>
              <w:rPr>
                <w:spacing w:val="-4"/>
                <w:sz w:val="22"/>
              </w:rPr>
              <w:t>0,29</w:t>
            </w:r>
          </w:p>
        </w:tc>
        <w:tc>
          <w:tcPr>
            <w:tcW w:w="1180" w:type="dxa"/>
          </w:tcPr>
          <w:p>
            <w:pPr>
              <w:pStyle w:val="TableParagraph"/>
              <w:spacing w:before="55"/>
              <w:ind w:right="41"/>
              <w:jc w:val="right"/>
              <w:rPr>
                <w:sz w:val="22"/>
              </w:rPr>
            </w:pPr>
            <w:r>
              <w:rPr>
                <w:spacing w:val="-2"/>
                <w:sz w:val="22"/>
              </w:rPr>
              <w:t>3243,3</w:t>
            </w:r>
          </w:p>
        </w:tc>
      </w:tr>
      <w:tr>
        <w:trPr>
          <w:trHeight w:val="332" w:hRule="atLeast"/>
        </w:trPr>
        <w:tc>
          <w:tcPr>
            <w:tcW w:w="4447" w:type="dxa"/>
          </w:tcPr>
          <w:p>
            <w:pPr>
              <w:pStyle w:val="TableParagraph"/>
              <w:spacing w:before="34"/>
              <w:ind w:left="107"/>
              <w:rPr>
                <w:sz w:val="22"/>
              </w:rPr>
            </w:pPr>
            <w:r>
              <w:rPr>
                <w:sz w:val="22"/>
              </w:rPr>
              <w:t>2.</w:t>
            </w:r>
            <w:r>
              <w:rPr>
                <w:spacing w:val="-6"/>
                <w:sz w:val="22"/>
              </w:rPr>
              <w:t> </w:t>
            </w:r>
            <w:r>
              <w:rPr>
                <w:sz w:val="22"/>
              </w:rPr>
              <w:t>Первичная</w:t>
            </w:r>
            <w:r>
              <w:rPr>
                <w:spacing w:val="-6"/>
                <w:sz w:val="22"/>
              </w:rPr>
              <w:t> </w:t>
            </w:r>
            <w:r>
              <w:rPr>
                <w:sz w:val="22"/>
              </w:rPr>
              <w:t>медико-санитарная</w:t>
            </w:r>
            <w:r>
              <w:rPr>
                <w:spacing w:val="-6"/>
                <w:sz w:val="22"/>
              </w:rPr>
              <w:t> </w:t>
            </w:r>
            <w:r>
              <w:rPr>
                <w:spacing w:val="-2"/>
                <w:sz w:val="22"/>
              </w:rPr>
              <w:t>помощь</w:t>
            </w:r>
          </w:p>
        </w:tc>
        <w:tc>
          <w:tcPr>
            <w:tcW w:w="1834" w:type="dxa"/>
          </w:tcPr>
          <w:p>
            <w:pPr>
              <w:pStyle w:val="TableParagraph"/>
              <w:spacing w:before="34"/>
              <w:ind w:right="153"/>
              <w:jc w:val="center"/>
              <w:rPr>
                <w:sz w:val="22"/>
              </w:rPr>
            </w:pPr>
            <w:r>
              <w:rPr>
                <w:w w:val="100"/>
                <w:sz w:val="22"/>
              </w:rPr>
              <w:t>-</w:t>
            </w:r>
          </w:p>
        </w:tc>
        <w:tc>
          <w:tcPr>
            <w:tcW w:w="1410" w:type="dxa"/>
          </w:tcPr>
          <w:p>
            <w:pPr>
              <w:pStyle w:val="TableParagraph"/>
              <w:spacing w:before="34"/>
              <w:ind w:right="143"/>
              <w:jc w:val="center"/>
              <w:rPr>
                <w:sz w:val="22"/>
              </w:rPr>
            </w:pPr>
            <w:r>
              <w:rPr>
                <w:w w:val="100"/>
                <w:sz w:val="22"/>
              </w:rPr>
              <w:t>-</w:t>
            </w:r>
          </w:p>
        </w:tc>
        <w:tc>
          <w:tcPr>
            <w:tcW w:w="1595" w:type="dxa"/>
          </w:tcPr>
          <w:p>
            <w:pPr>
              <w:pStyle w:val="TableParagraph"/>
              <w:spacing w:before="34"/>
              <w:ind w:right="37"/>
              <w:jc w:val="center"/>
              <w:rPr>
                <w:sz w:val="22"/>
              </w:rPr>
            </w:pPr>
            <w:r>
              <w:rPr>
                <w:w w:val="100"/>
                <w:sz w:val="22"/>
              </w:rPr>
              <w:t>-</w:t>
            </w:r>
          </w:p>
        </w:tc>
        <w:tc>
          <w:tcPr>
            <w:tcW w:w="1587" w:type="dxa"/>
          </w:tcPr>
          <w:p>
            <w:pPr>
              <w:pStyle w:val="TableParagraph"/>
              <w:spacing w:before="34"/>
              <w:ind w:right="55"/>
              <w:jc w:val="center"/>
              <w:rPr>
                <w:sz w:val="22"/>
              </w:rPr>
            </w:pPr>
            <w:r>
              <w:rPr>
                <w:w w:val="100"/>
                <w:sz w:val="22"/>
              </w:rPr>
              <w:t>-</w:t>
            </w:r>
          </w:p>
        </w:tc>
        <w:tc>
          <w:tcPr>
            <w:tcW w:w="1749" w:type="dxa"/>
          </w:tcPr>
          <w:p>
            <w:pPr>
              <w:pStyle w:val="TableParagraph"/>
              <w:spacing w:before="34"/>
              <w:ind w:left="20"/>
              <w:jc w:val="center"/>
              <w:rPr>
                <w:sz w:val="22"/>
              </w:rPr>
            </w:pPr>
            <w:r>
              <w:rPr>
                <w:w w:val="100"/>
                <w:sz w:val="22"/>
              </w:rPr>
              <w:t>-</w:t>
            </w:r>
          </w:p>
        </w:tc>
        <w:tc>
          <w:tcPr>
            <w:tcW w:w="1582" w:type="dxa"/>
          </w:tcPr>
          <w:p>
            <w:pPr>
              <w:pStyle w:val="TableParagraph"/>
              <w:spacing w:before="34"/>
              <w:ind w:left="49"/>
              <w:jc w:val="center"/>
              <w:rPr>
                <w:sz w:val="22"/>
              </w:rPr>
            </w:pPr>
            <w:r>
              <w:rPr>
                <w:w w:val="100"/>
                <w:sz w:val="22"/>
              </w:rPr>
              <w:t>-</w:t>
            </w:r>
          </w:p>
        </w:tc>
        <w:tc>
          <w:tcPr>
            <w:tcW w:w="1180" w:type="dxa"/>
          </w:tcPr>
          <w:p>
            <w:pPr>
              <w:pStyle w:val="TableParagraph"/>
              <w:spacing w:before="34"/>
              <w:ind w:right="311"/>
              <w:jc w:val="right"/>
              <w:rPr>
                <w:sz w:val="22"/>
              </w:rPr>
            </w:pPr>
            <w:r>
              <w:rPr>
                <w:w w:val="100"/>
                <w:sz w:val="22"/>
              </w:rPr>
              <w:t>-</w:t>
            </w:r>
          </w:p>
        </w:tc>
      </w:tr>
      <w:tr>
        <w:trPr>
          <w:trHeight w:val="626" w:hRule="atLeast"/>
        </w:trPr>
        <w:tc>
          <w:tcPr>
            <w:tcW w:w="4447" w:type="dxa"/>
          </w:tcPr>
          <w:p>
            <w:pPr>
              <w:pStyle w:val="TableParagraph"/>
              <w:spacing w:before="36"/>
              <w:ind w:left="532"/>
              <w:rPr>
                <w:sz w:val="22"/>
              </w:rPr>
            </w:pPr>
            <w:r>
              <w:rPr>
                <w:sz w:val="22"/>
              </w:rPr>
              <w:t>в</w:t>
            </w:r>
            <w:r>
              <w:rPr>
                <w:spacing w:val="-6"/>
                <w:sz w:val="22"/>
              </w:rPr>
              <w:t> </w:t>
            </w:r>
            <w:r>
              <w:rPr>
                <w:sz w:val="22"/>
              </w:rPr>
              <w:t>амбулаторных</w:t>
            </w:r>
            <w:r>
              <w:rPr>
                <w:spacing w:val="-5"/>
                <w:sz w:val="22"/>
              </w:rPr>
              <w:t> </w:t>
            </w:r>
            <w:r>
              <w:rPr>
                <w:spacing w:val="-2"/>
                <w:sz w:val="22"/>
              </w:rPr>
              <w:t>условиях:</w:t>
            </w:r>
          </w:p>
          <w:p>
            <w:pPr>
              <w:pStyle w:val="TableParagraph"/>
              <w:spacing w:line="237" w:lineRule="exact" w:before="80"/>
              <w:ind w:left="815"/>
              <w:rPr>
                <w:sz w:val="22"/>
              </w:rPr>
            </w:pPr>
            <w:r>
              <w:rPr>
                <w:sz w:val="22"/>
              </w:rPr>
              <w:t>в</w:t>
            </w:r>
            <w:r>
              <w:rPr>
                <w:spacing w:val="-1"/>
                <w:sz w:val="22"/>
              </w:rPr>
              <w:t> </w:t>
            </w:r>
            <w:r>
              <w:rPr>
                <w:sz w:val="22"/>
              </w:rPr>
              <w:t>том</w:t>
            </w:r>
            <w:r>
              <w:rPr>
                <w:spacing w:val="-1"/>
                <w:sz w:val="22"/>
              </w:rPr>
              <w:t> </w:t>
            </w:r>
            <w:r>
              <w:rPr>
                <w:spacing w:val="-2"/>
                <w:sz w:val="22"/>
              </w:rPr>
              <w:t>числе</w:t>
            </w:r>
          </w:p>
        </w:tc>
        <w:tc>
          <w:tcPr>
            <w:tcW w:w="1834" w:type="dxa"/>
          </w:tcPr>
          <w:p>
            <w:pPr>
              <w:pStyle w:val="TableParagraph"/>
              <w:spacing w:before="36"/>
              <w:ind w:right="153"/>
              <w:jc w:val="center"/>
              <w:rPr>
                <w:sz w:val="22"/>
              </w:rPr>
            </w:pPr>
            <w:r>
              <w:rPr>
                <w:w w:val="100"/>
                <w:sz w:val="22"/>
              </w:rPr>
              <w:t>-</w:t>
            </w:r>
          </w:p>
        </w:tc>
        <w:tc>
          <w:tcPr>
            <w:tcW w:w="1410" w:type="dxa"/>
          </w:tcPr>
          <w:p>
            <w:pPr>
              <w:pStyle w:val="TableParagraph"/>
              <w:spacing w:before="36"/>
              <w:ind w:right="143"/>
              <w:jc w:val="center"/>
              <w:rPr>
                <w:sz w:val="22"/>
              </w:rPr>
            </w:pPr>
            <w:r>
              <w:rPr>
                <w:w w:val="100"/>
                <w:sz w:val="22"/>
              </w:rPr>
              <w:t>-</w:t>
            </w:r>
          </w:p>
        </w:tc>
        <w:tc>
          <w:tcPr>
            <w:tcW w:w="1595" w:type="dxa"/>
          </w:tcPr>
          <w:p>
            <w:pPr>
              <w:pStyle w:val="TableParagraph"/>
              <w:spacing w:before="36"/>
              <w:ind w:right="37"/>
              <w:jc w:val="center"/>
              <w:rPr>
                <w:sz w:val="22"/>
              </w:rPr>
            </w:pPr>
            <w:r>
              <w:rPr>
                <w:w w:val="100"/>
                <w:sz w:val="22"/>
              </w:rPr>
              <w:t>-</w:t>
            </w:r>
          </w:p>
        </w:tc>
        <w:tc>
          <w:tcPr>
            <w:tcW w:w="1587" w:type="dxa"/>
          </w:tcPr>
          <w:p>
            <w:pPr>
              <w:pStyle w:val="TableParagraph"/>
              <w:spacing w:before="36"/>
              <w:ind w:right="55"/>
              <w:jc w:val="center"/>
              <w:rPr>
                <w:sz w:val="22"/>
              </w:rPr>
            </w:pPr>
            <w:r>
              <w:rPr>
                <w:w w:val="100"/>
                <w:sz w:val="22"/>
              </w:rPr>
              <w:t>-</w:t>
            </w:r>
          </w:p>
        </w:tc>
        <w:tc>
          <w:tcPr>
            <w:tcW w:w="1749" w:type="dxa"/>
          </w:tcPr>
          <w:p>
            <w:pPr>
              <w:pStyle w:val="TableParagraph"/>
              <w:spacing w:before="36"/>
              <w:ind w:left="20"/>
              <w:jc w:val="center"/>
              <w:rPr>
                <w:sz w:val="22"/>
              </w:rPr>
            </w:pPr>
            <w:r>
              <w:rPr>
                <w:w w:val="100"/>
                <w:sz w:val="22"/>
              </w:rPr>
              <w:t>-</w:t>
            </w:r>
          </w:p>
        </w:tc>
        <w:tc>
          <w:tcPr>
            <w:tcW w:w="1582" w:type="dxa"/>
          </w:tcPr>
          <w:p>
            <w:pPr>
              <w:pStyle w:val="TableParagraph"/>
              <w:spacing w:before="36"/>
              <w:ind w:left="49"/>
              <w:jc w:val="center"/>
              <w:rPr>
                <w:sz w:val="22"/>
              </w:rPr>
            </w:pPr>
            <w:r>
              <w:rPr>
                <w:w w:val="100"/>
                <w:sz w:val="22"/>
              </w:rPr>
              <w:t>-</w:t>
            </w:r>
          </w:p>
        </w:tc>
        <w:tc>
          <w:tcPr>
            <w:tcW w:w="1180" w:type="dxa"/>
          </w:tcPr>
          <w:p>
            <w:pPr>
              <w:pStyle w:val="TableParagraph"/>
              <w:spacing w:before="36"/>
              <w:ind w:right="311"/>
              <w:jc w:val="right"/>
              <w:rPr>
                <w:sz w:val="22"/>
              </w:rPr>
            </w:pPr>
            <w:r>
              <w:rPr>
                <w:w w:val="100"/>
                <w:sz w:val="22"/>
              </w:rPr>
              <w:t>-</w:t>
            </w:r>
          </w:p>
        </w:tc>
      </w:tr>
      <w:tr>
        <w:trPr>
          <w:trHeight w:val="754" w:hRule="atLeast"/>
        </w:trPr>
        <w:tc>
          <w:tcPr>
            <w:tcW w:w="4447" w:type="dxa"/>
          </w:tcPr>
          <w:p>
            <w:pPr>
              <w:pStyle w:val="TableParagraph"/>
              <w:spacing w:line="242" w:lineRule="auto"/>
              <w:ind w:left="825" w:right="414" w:hanging="10"/>
              <w:rPr>
                <w:sz w:val="22"/>
              </w:rPr>
            </w:pPr>
            <w:r>
              <w:rPr>
                <w:sz w:val="22"/>
              </w:rPr>
              <w:t>посещения</w:t>
            </w:r>
            <w:r>
              <w:rPr>
                <w:spacing w:val="-14"/>
                <w:sz w:val="22"/>
              </w:rPr>
              <w:t> </w:t>
            </w:r>
            <w:r>
              <w:rPr>
                <w:sz w:val="22"/>
              </w:rPr>
              <w:t>с</w:t>
            </w:r>
            <w:r>
              <w:rPr>
                <w:spacing w:val="-14"/>
                <w:sz w:val="22"/>
              </w:rPr>
              <w:t> </w:t>
            </w:r>
            <w:r>
              <w:rPr>
                <w:sz w:val="22"/>
              </w:rPr>
              <w:t>профилактическими и иными целями</w:t>
            </w:r>
            <w:r>
              <w:rPr>
                <w:sz w:val="22"/>
                <w:vertAlign w:val="superscript"/>
              </w:rPr>
              <w:t>6</w:t>
            </w:r>
            <w:r>
              <w:rPr>
                <w:spacing w:val="40"/>
                <w:sz w:val="22"/>
                <w:vertAlign w:val="baseline"/>
              </w:rPr>
              <w:t> </w:t>
            </w:r>
            <w:r>
              <w:rPr>
                <w:sz w:val="22"/>
                <w:vertAlign w:val="baseline"/>
              </w:rPr>
              <w:t>- всего</w:t>
            </w:r>
          </w:p>
          <w:p>
            <w:pPr>
              <w:pStyle w:val="TableParagraph"/>
              <w:spacing w:line="229" w:lineRule="exact"/>
              <w:ind w:left="1092"/>
              <w:rPr>
                <w:sz w:val="22"/>
              </w:rPr>
            </w:pPr>
            <w:r>
              <w:rPr>
                <w:sz w:val="22"/>
              </w:rPr>
              <w:t>из</w:t>
            </w:r>
            <w:r>
              <w:rPr>
                <w:spacing w:val="-2"/>
                <w:sz w:val="22"/>
              </w:rPr>
              <w:t> </w:t>
            </w:r>
            <w:r>
              <w:rPr>
                <w:spacing w:val="-4"/>
                <w:sz w:val="22"/>
              </w:rPr>
              <w:t>них:</w:t>
            </w:r>
          </w:p>
        </w:tc>
        <w:tc>
          <w:tcPr>
            <w:tcW w:w="1834" w:type="dxa"/>
          </w:tcPr>
          <w:p>
            <w:pPr>
              <w:pStyle w:val="TableParagraph"/>
              <w:spacing w:line="248" w:lineRule="exact"/>
              <w:ind w:left="171" w:firstLine="146"/>
              <w:rPr>
                <w:sz w:val="22"/>
              </w:rPr>
            </w:pPr>
            <w:r>
              <w:rPr>
                <w:spacing w:val="-2"/>
                <w:sz w:val="22"/>
              </w:rPr>
              <w:t>посещений</w:t>
            </w:r>
          </w:p>
          <w:p>
            <w:pPr>
              <w:pStyle w:val="TableParagraph"/>
              <w:spacing w:line="252" w:lineRule="exact"/>
              <w:ind w:left="281" w:hanging="111"/>
              <w:rPr>
                <w:sz w:val="22"/>
              </w:rPr>
            </w:pPr>
            <w:r>
              <w:rPr>
                <w:spacing w:val="-2"/>
                <w:sz w:val="22"/>
              </w:rPr>
              <w:t>(комплексных посещений)</w:t>
            </w:r>
          </w:p>
        </w:tc>
        <w:tc>
          <w:tcPr>
            <w:tcW w:w="1410" w:type="dxa"/>
          </w:tcPr>
          <w:p>
            <w:pPr>
              <w:pStyle w:val="TableParagraph"/>
              <w:spacing w:line="248" w:lineRule="exact"/>
              <w:ind w:right="583"/>
              <w:jc w:val="right"/>
              <w:rPr>
                <w:sz w:val="22"/>
              </w:rPr>
            </w:pPr>
            <w:r>
              <w:rPr>
                <w:spacing w:val="-4"/>
                <w:sz w:val="22"/>
              </w:rPr>
              <w:t>2,93</w:t>
            </w:r>
          </w:p>
        </w:tc>
        <w:tc>
          <w:tcPr>
            <w:tcW w:w="1595" w:type="dxa"/>
          </w:tcPr>
          <w:p>
            <w:pPr>
              <w:pStyle w:val="TableParagraph"/>
              <w:spacing w:line="248" w:lineRule="exact"/>
              <w:ind w:right="563"/>
              <w:jc w:val="right"/>
              <w:rPr>
                <w:sz w:val="22"/>
              </w:rPr>
            </w:pPr>
            <w:r>
              <w:rPr>
                <w:spacing w:val="-2"/>
                <w:sz w:val="22"/>
              </w:rPr>
              <w:t>679,8</w:t>
            </w:r>
          </w:p>
        </w:tc>
        <w:tc>
          <w:tcPr>
            <w:tcW w:w="1587" w:type="dxa"/>
          </w:tcPr>
          <w:p>
            <w:pPr>
              <w:pStyle w:val="TableParagraph"/>
              <w:spacing w:line="248" w:lineRule="exact"/>
              <w:ind w:left="256" w:right="306"/>
              <w:jc w:val="center"/>
              <w:rPr>
                <w:sz w:val="22"/>
              </w:rPr>
            </w:pPr>
            <w:r>
              <w:rPr>
                <w:spacing w:val="-4"/>
                <w:sz w:val="22"/>
              </w:rPr>
              <w:t>2,93</w:t>
            </w:r>
          </w:p>
        </w:tc>
        <w:tc>
          <w:tcPr>
            <w:tcW w:w="1749" w:type="dxa"/>
          </w:tcPr>
          <w:p>
            <w:pPr>
              <w:pStyle w:val="TableParagraph"/>
              <w:spacing w:line="248" w:lineRule="exact"/>
              <w:ind w:left="568" w:right="547"/>
              <w:jc w:val="center"/>
              <w:rPr>
                <w:sz w:val="22"/>
              </w:rPr>
            </w:pPr>
            <w:r>
              <w:rPr>
                <w:spacing w:val="-2"/>
                <w:sz w:val="22"/>
              </w:rPr>
              <w:t>703,8</w:t>
            </w:r>
          </w:p>
        </w:tc>
        <w:tc>
          <w:tcPr>
            <w:tcW w:w="1582" w:type="dxa"/>
          </w:tcPr>
          <w:p>
            <w:pPr>
              <w:pStyle w:val="TableParagraph"/>
              <w:spacing w:line="248" w:lineRule="exact"/>
              <w:ind w:left="555" w:right="501"/>
              <w:jc w:val="center"/>
              <w:rPr>
                <w:sz w:val="22"/>
              </w:rPr>
            </w:pPr>
            <w:r>
              <w:rPr>
                <w:spacing w:val="-4"/>
                <w:sz w:val="22"/>
              </w:rPr>
              <w:t>2,93</w:t>
            </w:r>
          </w:p>
        </w:tc>
        <w:tc>
          <w:tcPr>
            <w:tcW w:w="1180" w:type="dxa"/>
          </w:tcPr>
          <w:p>
            <w:pPr>
              <w:pStyle w:val="TableParagraph"/>
              <w:spacing w:line="248" w:lineRule="exact"/>
              <w:ind w:right="96"/>
              <w:jc w:val="right"/>
              <w:rPr>
                <w:sz w:val="22"/>
              </w:rPr>
            </w:pPr>
            <w:r>
              <w:rPr>
                <w:spacing w:val="-2"/>
                <w:sz w:val="22"/>
              </w:rPr>
              <w:t>746,6</w:t>
            </w:r>
          </w:p>
        </w:tc>
      </w:tr>
    </w:tbl>
    <w:p>
      <w:pPr>
        <w:spacing w:after="0" w:line="248" w:lineRule="exact"/>
        <w:jc w:val="right"/>
        <w:rPr>
          <w:sz w:val="22"/>
        </w:rPr>
        <w:sectPr>
          <w:headerReference w:type="default" r:id="rId543"/>
          <w:pgSz w:w="16850" w:h="11910" w:orient="landscape"/>
          <w:pgMar w:header="751" w:footer="0" w:top="1060" w:bottom="280" w:left="340" w:right="340"/>
          <w:pgNumType w:start="2"/>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1"/>
        <w:gridCol w:w="1811"/>
        <w:gridCol w:w="1474"/>
        <w:gridCol w:w="1514"/>
        <w:gridCol w:w="1698"/>
        <w:gridCol w:w="1638"/>
        <w:gridCol w:w="1694"/>
        <w:gridCol w:w="1124"/>
      </w:tblGrid>
      <w:tr>
        <w:trPr>
          <w:trHeight w:val="793" w:hRule="atLeast"/>
        </w:trPr>
        <w:tc>
          <w:tcPr>
            <w:tcW w:w="3951" w:type="dxa"/>
          </w:tcPr>
          <w:p>
            <w:pPr>
              <w:pStyle w:val="TableParagraph"/>
              <w:ind w:left="616" w:right="255"/>
              <w:rPr>
                <w:sz w:val="22"/>
              </w:rPr>
            </w:pPr>
            <w:r>
              <w:rPr>
                <w:sz w:val="22"/>
              </w:rPr>
              <w:t>для проведения профилактических</w:t>
            </w:r>
            <w:r>
              <w:rPr>
                <w:spacing w:val="-14"/>
                <w:sz w:val="22"/>
              </w:rPr>
              <w:t> </w:t>
            </w:r>
            <w:r>
              <w:rPr>
                <w:sz w:val="22"/>
              </w:rPr>
              <w:t>медицинских </w:t>
            </w:r>
            <w:r>
              <w:rPr>
                <w:spacing w:val="-2"/>
                <w:sz w:val="22"/>
              </w:rPr>
              <w:t>осмотров</w:t>
            </w:r>
          </w:p>
        </w:tc>
        <w:tc>
          <w:tcPr>
            <w:tcW w:w="1811" w:type="dxa"/>
          </w:tcPr>
          <w:p>
            <w:pPr>
              <w:pStyle w:val="TableParagraph"/>
              <w:ind w:left="331" w:hanging="111"/>
              <w:rPr>
                <w:sz w:val="22"/>
              </w:rPr>
            </w:pPr>
            <w:r>
              <w:rPr>
                <w:spacing w:val="-2"/>
                <w:sz w:val="22"/>
              </w:rPr>
              <w:t>комплексных посещений</w:t>
            </w:r>
          </w:p>
        </w:tc>
        <w:tc>
          <w:tcPr>
            <w:tcW w:w="1474" w:type="dxa"/>
          </w:tcPr>
          <w:p>
            <w:pPr>
              <w:pStyle w:val="TableParagraph"/>
              <w:spacing w:line="244" w:lineRule="exact"/>
              <w:ind w:left="420"/>
              <w:rPr>
                <w:sz w:val="22"/>
              </w:rPr>
            </w:pPr>
            <w:r>
              <w:rPr>
                <w:spacing w:val="-2"/>
                <w:sz w:val="22"/>
              </w:rPr>
              <w:t>0,272</w:t>
            </w:r>
          </w:p>
        </w:tc>
        <w:tc>
          <w:tcPr>
            <w:tcW w:w="1514" w:type="dxa"/>
          </w:tcPr>
          <w:p>
            <w:pPr>
              <w:pStyle w:val="TableParagraph"/>
              <w:spacing w:line="244" w:lineRule="exact"/>
              <w:ind w:left="383" w:right="388"/>
              <w:jc w:val="center"/>
              <w:rPr>
                <w:sz w:val="22"/>
              </w:rPr>
            </w:pPr>
            <w:r>
              <w:rPr>
                <w:spacing w:val="-2"/>
                <w:sz w:val="22"/>
              </w:rPr>
              <w:t>2015,9</w:t>
            </w:r>
          </w:p>
        </w:tc>
        <w:tc>
          <w:tcPr>
            <w:tcW w:w="1698" w:type="dxa"/>
          </w:tcPr>
          <w:p>
            <w:pPr>
              <w:pStyle w:val="TableParagraph"/>
              <w:spacing w:line="244" w:lineRule="exact"/>
              <w:ind w:right="626"/>
              <w:jc w:val="right"/>
              <w:rPr>
                <w:sz w:val="22"/>
              </w:rPr>
            </w:pPr>
            <w:r>
              <w:rPr>
                <w:spacing w:val="-2"/>
                <w:sz w:val="22"/>
              </w:rPr>
              <w:t>0,272</w:t>
            </w:r>
          </w:p>
        </w:tc>
        <w:tc>
          <w:tcPr>
            <w:tcW w:w="1638" w:type="dxa"/>
          </w:tcPr>
          <w:p>
            <w:pPr>
              <w:pStyle w:val="TableParagraph"/>
              <w:spacing w:line="244" w:lineRule="exact"/>
              <w:ind w:left="455" w:right="438"/>
              <w:jc w:val="center"/>
              <w:rPr>
                <w:sz w:val="22"/>
              </w:rPr>
            </w:pPr>
            <w:r>
              <w:rPr>
                <w:spacing w:val="-2"/>
                <w:sz w:val="22"/>
              </w:rPr>
              <w:t>2136,4</w:t>
            </w:r>
          </w:p>
        </w:tc>
        <w:tc>
          <w:tcPr>
            <w:tcW w:w="1694" w:type="dxa"/>
          </w:tcPr>
          <w:p>
            <w:pPr>
              <w:pStyle w:val="TableParagraph"/>
              <w:spacing w:line="244" w:lineRule="exact"/>
              <w:ind w:left="207" w:right="157"/>
              <w:jc w:val="center"/>
              <w:rPr>
                <w:sz w:val="22"/>
              </w:rPr>
            </w:pPr>
            <w:r>
              <w:rPr>
                <w:spacing w:val="-2"/>
                <w:sz w:val="22"/>
              </w:rPr>
              <w:t>0,272</w:t>
            </w:r>
          </w:p>
        </w:tc>
        <w:tc>
          <w:tcPr>
            <w:tcW w:w="1124" w:type="dxa"/>
          </w:tcPr>
          <w:p>
            <w:pPr>
              <w:pStyle w:val="TableParagraph"/>
              <w:spacing w:line="244" w:lineRule="exact"/>
              <w:ind w:right="45"/>
              <w:jc w:val="right"/>
              <w:rPr>
                <w:sz w:val="22"/>
              </w:rPr>
            </w:pPr>
            <w:r>
              <w:rPr>
                <w:spacing w:val="-2"/>
                <w:sz w:val="22"/>
              </w:rPr>
              <w:t>2265,8</w:t>
            </w:r>
          </w:p>
        </w:tc>
      </w:tr>
      <w:tr>
        <w:trPr>
          <w:trHeight w:val="879" w:hRule="atLeast"/>
        </w:trPr>
        <w:tc>
          <w:tcPr>
            <w:tcW w:w="3951" w:type="dxa"/>
          </w:tcPr>
          <w:p>
            <w:pPr>
              <w:pStyle w:val="TableParagraph"/>
              <w:spacing w:before="36"/>
              <w:ind w:left="616" w:right="475"/>
              <w:rPr>
                <w:sz w:val="22"/>
              </w:rPr>
            </w:pPr>
            <w:r>
              <w:rPr>
                <w:sz w:val="22"/>
              </w:rPr>
              <w:t>для проведения диспансеризации</w:t>
            </w:r>
            <w:r>
              <w:rPr>
                <w:spacing w:val="-14"/>
                <w:sz w:val="22"/>
              </w:rPr>
              <w:t> </w:t>
            </w:r>
            <w:r>
              <w:rPr>
                <w:sz w:val="22"/>
              </w:rPr>
              <w:t>-</w:t>
            </w:r>
            <w:r>
              <w:rPr>
                <w:spacing w:val="-14"/>
                <w:sz w:val="22"/>
              </w:rPr>
              <w:t> </w:t>
            </w:r>
            <w:r>
              <w:rPr>
                <w:sz w:val="22"/>
              </w:rPr>
              <w:t>всего</w:t>
            </w:r>
          </w:p>
          <w:p>
            <w:pPr>
              <w:pStyle w:val="TableParagraph"/>
              <w:spacing w:line="238" w:lineRule="exact" w:before="79"/>
              <w:ind w:left="902"/>
              <w:rPr>
                <w:sz w:val="22"/>
              </w:rPr>
            </w:pPr>
            <w:r>
              <w:rPr>
                <w:sz w:val="22"/>
              </w:rPr>
              <w:t>в</w:t>
            </w:r>
            <w:r>
              <w:rPr>
                <w:spacing w:val="-1"/>
                <w:sz w:val="22"/>
              </w:rPr>
              <w:t> </w:t>
            </w:r>
            <w:r>
              <w:rPr>
                <w:sz w:val="22"/>
              </w:rPr>
              <w:t>том</w:t>
            </w:r>
            <w:r>
              <w:rPr>
                <w:spacing w:val="-1"/>
                <w:sz w:val="22"/>
              </w:rPr>
              <w:t> </w:t>
            </w:r>
            <w:r>
              <w:rPr>
                <w:spacing w:val="-2"/>
                <w:sz w:val="22"/>
              </w:rPr>
              <w:t>числе:</w:t>
            </w:r>
          </w:p>
        </w:tc>
        <w:tc>
          <w:tcPr>
            <w:tcW w:w="1811" w:type="dxa"/>
          </w:tcPr>
          <w:p>
            <w:pPr>
              <w:pStyle w:val="TableParagraph"/>
              <w:spacing w:before="36"/>
              <w:ind w:left="331" w:hanging="111"/>
              <w:rPr>
                <w:sz w:val="22"/>
              </w:rPr>
            </w:pPr>
            <w:r>
              <w:rPr>
                <w:spacing w:val="-2"/>
                <w:sz w:val="22"/>
              </w:rPr>
              <w:t>комплексных посещений</w:t>
            </w:r>
          </w:p>
        </w:tc>
        <w:tc>
          <w:tcPr>
            <w:tcW w:w="1474" w:type="dxa"/>
          </w:tcPr>
          <w:p>
            <w:pPr>
              <w:pStyle w:val="TableParagraph"/>
              <w:spacing w:before="36"/>
              <w:ind w:left="420"/>
              <w:rPr>
                <w:sz w:val="22"/>
              </w:rPr>
            </w:pPr>
            <w:r>
              <w:rPr>
                <w:spacing w:val="-2"/>
                <w:sz w:val="22"/>
              </w:rPr>
              <w:t>0,263</w:t>
            </w:r>
          </w:p>
        </w:tc>
        <w:tc>
          <w:tcPr>
            <w:tcW w:w="1514" w:type="dxa"/>
          </w:tcPr>
          <w:p>
            <w:pPr>
              <w:pStyle w:val="TableParagraph"/>
              <w:spacing w:before="36"/>
              <w:ind w:left="383" w:right="388"/>
              <w:jc w:val="center"/>
              <w:rPr>
                <w:sz w:val="22"/>
              </w:rPr>
            </w:pPr>
            <w:r>
              <w:rPr>
                <w:spacing w:val="-2"/>
                <w:sz w:val="22"/>
              </w:rPr>
              <w:t>2492,5</w:t>
            </w:r>
          </w:p>
        </w:tc>
        <w:tc>
          <w:tcPr>
            <w:tcW w:w="1698" w:type="dxa"/>
          </w:tcPr>
          <w:p>
            <w:pPr>
              <w:pStyle w:val="TableParagraph"/>
              <w:spacing w:before="36"/>
              <w:ind w:right="626"/>
              <w:jc w:val="right"/>
              <w:rPr>
                <w:sz w:val="22"/>
              </w:rPr>
            </w:pPr>
            <w:r>
              <w:rPr>
                <w:spacing w:val="-2"/>
                <w:sz w:val="22"/>
              </w:rPr>
              <w:t>0,263</w:t>
            </w:r>
          </w:p>
        </w:tc>
        <w:tc>
          <w:tcPr>
            <w:tcW w:w="1638" w:type="dxa"/>
          </w:tcPr>
          <w:p>
            <w:pPr>
              <w:pStyle w:val="TableParagraph"/>
              <w:spacing w:before="36"/>
              <w:ind w:left="455" w:right="438"/>
              <w:jc w:val="center"/>
              <w:rPr>
                <w:sz w:val="22"/>
              </w:rPr>
            </w:pPr>
            <w:r>
              <w:rPr>
                <w:spacing w:val="-2"/>
                <w:sz w:val="22"/>
              </w:rPr>
              <w:t>2455,8</w:t>
            </w:r>
          </w:p>
        </w:tc>
        <w:tc>
          <w:tcPr>
            <w:tcW w:w="1694" w:type="dxa"/>
          </w:tcPr>
          <w:p>
            <w:pPr>
              <w:pStyle w:val="TableParagraph"/>
              <w:spacing w:before="36"/>
              <w:ind w:left="207" w:right="157"/>
              <w:jc w:val="center"/>
              <w:rPr>
                <w:sz w:val="22"/>
              </w:rPr>
            </w:pPr>
            <w:r>
              <w:rPr>
                <w:spacing w:val="-2"/>
                <w:sz w:val="22"/>
              </w:rPr>
              <w:t>0,263</w:t>
            </w:r>
          </w:p>
        </w:tc>
        <w:tc>
          <w:tcPr>
            <w:tcW w:w="1124" w:type="dxa"/>
          </w:tcPr>
          <w:p>
            <w:pPr>
              <w:pStyle w:val="TableParagraph"/>
              <w:spacing w:before="36"/>
              <w:ind w:right="45"/>
              <w:jc w:val="right"/>
              <w:rPr>
                <w:sz w:val="22"/>
              </w:rPr>
            </w:pPr>
            <w:r>
              <w:rPr>
                <w:spacing w:val="-2"/>
                <w:sz w:val="22"/>
              </w:rPr>
              <w:t>2604,6</w:t>
            </w:r>
          </w:p>
        </w:tc>
      </w:tr>
      <w:tr>
        <w:trPr>
          <w:trHeight w:val="545" w:hRule="atLeast"/>
        </w:trPr>
        <w:tc>
          <w:tcPr>
            <w:tcW w:w="3951" w:type="dxa"/>
          </w:tcPr>
          <w:p>
            <w:pPr>
              <w:pStyle w:val="TableParagraph"/>
              <w:ind w:left="892" w:right="255" w:firstLine="9"/>
              <w:rPr>
                <w:sz w:val="22"/>
              </w:rPr>
            </w:pPr>
            <w:r>
              <w:rPr>
                <w:sz w:val="22"/>
              </w:rPr>
              <w:t>для</w:t>
            </w:r>
            <w:r>
              <w:rPr>
                <w:spacing w:val="-14"/>
                <w:sz w:val="22"/>
              </w:rPr>
              <w:t> </w:t>
            </w:r>
            <w:r>
              <w:rPr>
                <w:sz w:val="22"/>
              </w:rPr>
              <w:t>проведения</w:t>
            </w:r>
            <w:r>
              <w:rPr>
                <w:spacing w:val="-14"/>
                <w:sz w:val="22"/>
              </w:rPr>
              <w:t> </w:t>
            </w:r>
            <w:r>
              <w:rPr>
                <w:sz w:val="22"/>
              </w:rPr>
              <w:t>углубленной </w:t>
            </w:r>
            <w:r>
              <w:rPr>
                <w:spacing w:val="-2"/>
                <w:sz w:val="22"/>
              </w:rPr>
              <w:t>диспансеризации</w:t>
            </w:r>
          </w:p>
        </w:tc>
        <w:tc>
          <w:tcPr>
            <w:tcW w:w="1811" w:type="dxa"/>
          </w:tcPr>
          <w:p>
            <w:pPr>
              <w:pStyle w:val="TableParagraph"/>
              <w:ind w:left="331" w:hanging="111"/>
              <w:rPr>
                <w:sz w:val="22"/>
              </w:rPr>
            </w:pPr>
            <w:r>
              <w:rPr>
                <w:spacing w:val="-2"/>
                <w:sz w:val="22"/>
              </w:rPr>
              <w:t>комплексных посещений</w:t>
            </w:r>
          </w:p>
        </w:tc>
        <w:tc>
          <w:tcPr>
            <w:tcW w:w="1474" w:type="dxa"/>
          </w:tcPr>
          <w:p>
            <w:pPr>
              <w:pStyle w:val="TableParagraph"/>
              <w:spacing w:line="249" w:lineRule="exact"/>
              <w:ind w:right="134"/>
              <w:jc w:val="center"/>
              <w:rPr>
                <w:sz w:val="22"/>
              </w:rPr>
            </w:pPr>
            <w:r>
              <w:rPr>
                <w:w w:val="100"/>
                <w:sz w:val="22"/>
              </w:rPr>
              <w:t>-</w:t>
            </w:r>
          </w:p>
        </w:tc>
        <w:tc>
          <w:tcPr>
            <w:tcW w:w="1514" w:type="dxa"/>
          </w:tcPr>
          <w:p>
            <w:pPr>
              <w:pStyle w:val="TableParagraph"/>
              <w:spacing w:line="249" w:lineRule="exact"/>
              <w:ind w:left="383" w:right="388"/>
              <w:jc w:val="center"/>
              <w:rPr>
                <w:sz w:val="22"/>
              </w:rPr>
            </w:pPr>
            <w:r>
              <w:rPr>
                <w:spacing w:val="-2"/>
                <w:sz w:val="22"/>
              </w:rPr>
              <w:t>1017,5</w:t>
            </w:r>
          </w:p>
        </w:tc>
        <w:tc>
          <w:tcPr>
            <w:tcW w:w="1698" w:type="dxa"/>
          </w:tcPr>
          <w:p>
            <w:pPr>
              <w:pStyle w:val="TableParagraph"/>
              <w:spacing w:line="249" w:lineRule="exact"/>
              <w:ind w:right="59"/>
              <w:jc w:val="center"/>
              <w:rPr>
                <w:sz w:val="22"/>
              </w:rPr>
            </w:pPr>
            <w:r>
              <w:rPr>
                <w:w w:val="100"/>
                <w:sz w:val="22"/>
              </w:rPr>
              <w:t>-</w:t>
            </w:r>
          </w:p>
        </w:tc>
        <w:tc>
          <w:tcPr>
            <w:tcW w:w="1638" w:type="dxa"/>
          </w:tcPr>
          <w:p>
            <w:pPr>
              <w:pStyle w:val="TableParagraph"/>
              <w:spacing w:line="249" w:lineRule="exact"/>
              <w:ind w:left="16"/>
              <w:jc w:val="center"/>
              <w:rPr>
                <w:sz w:val="22"/>
              </w:rPr>
            </w:pPr>
            <w:r>
              <w:rPr>
                <w:w w:val="100"/>
                <w:sz w:val="22"/>
              </w:rPr>
              <w:t>-</w:t>
            </w:r>
          </w:p>
        </w:tc>
        <w:tc>
          <w:tcPr>
            <w:tcW w:w="1694" w:type="dxa"/>
          </w:tcPr>
          <w:p>
            <w:pPr>
              <w:pStyle w:val="TableParagraph"/>
              <w:spacing w:line="249" w:lineRule="exact"/>
              <w:ind w:left="44"/>
              <w:jc w:val="center"/>
              <w:rPr>
                <w:sz w:val="22"/>
              </w:rPr>
            </w:pPr>
            <w:r>
              <w:rPr>
                <w:w w:val="100"/>
                <w:sz w:val="22"/>
              </w:rPr>
              <w:t>-</w:t>
            </w:r>
          </w:p>
        </w:tc>
        <w:tc>
          <w:tcPr>
            <w:tcW w:w="1124" w:type="dxa"/>
          </w:tcPr>
          <w:p>
            <w:pPr>
              <w:pStyle w:val="TableParagraph"/>
              <w:spacing w:line="249" w:lineRule="exact"/>
              <w:ind w:left="734"/>
              <w:rPr>
                <w:sz w:val="22"/>
              </w:rPr>
            </w:pPr>
            <w:r>
              <w:rPr>
                <w:w w:val="100"/>
                <w:sz w:val="22"/>
              </w:rPr>
              <w:t>-</w:t>
            </w:r>
          </w:p>
        </w:tc>
      </w:tr>
      <w:tr>
        <w:trPr>
          <w:trHeight w:val="333" w:hRule="atLeast"/>
        </w:trPr>
        <w:tc>
          <w:tcPr>
            <w:tcW w:w="3951" w:type="dxa"/>
          </w:tcPr>
          <w:p>
            <w:pPr>
              <w:pStyle w:val="TableParagraph"/>
              <w:spacing w:before="36"/>
              <w:ind w:right="324"/>
              <w:jc w:val="right"/>
              <w:rPr>
                <w:sz w:val="22"/>
              </w:rPr>
            </w:pPr>
            <w:r>
              <w:rPr>
                <w:sz w:val="22"/>
              </w:rPr>
              <w:t>для</w:t>
            </w:r>
            <w:r>
              <w:rPr>
                <w:spacing w:val="-3"/>
                <w:sz w:val="22"/>
              </w:rPr>
              <w:t> </w:t>
            </w:r>
            <w:r>
              <w:rPr>
                <w:sz w:val="22"/>
              </w:rPr>
              <w:t>посещений</w:t>
            </w:r>
            <w:r>
              <w:rPr>
                <w:spacing w:val="-3"/>
                <w:sz w:val="22"/>
              </w:rPr>
              <w:t> </w:t>
            </w:r>
            <w:r>
              <w:rPr>
                <w:sz w:val="22"/>
              </w:rPr>
              <w:t>с</w:t>
            </w:r>
            <w:r>
              <w:rPr>
                <w:spacing w:val="-2"/>
                <w:sz w:val="22"/>
              </w:rPr>
              <w:t> </w:t>
            </w:r>
            <w:r>
              <w:rPr>
                <w:sz w:val="22"/>
              </w:rPr>
              <w:t>иными</w:t>
            </w:r>
            <w:r>
              <w:rPr>
                <w:spacing w:val="-3"/>
                <w:sz w:val="22"/>
              </w:rPr>
              <w:t> </w:t>
            </w:r>
            <w:r>
              <w:rPr>
                <w:spacing w:val="-2"/>
                <w:sz w:val="22"/>
              </w:rPr>
              <w:t>целями</w:t>
            </w:r>
          </w:p>
        </w:tc>
        <w:tc>
          <w:tcPr>
            <w:tcW w:w="1811" w:type="dxa"/>
          </w:tcPr>
          <w:p>
            <w:pPr>
              <w:pStyle w:val="TableParagraph"/>
              <w:spacing w:before="36"/>
              <w:ind w:left="40" w:right="140"/>
              <w:jc w:val="center"/>
              <w:rPr>
                <w:sz w:val="22"/>
              </w:rPr>
            </w:pPr>
            <w:r>
              <w:rPr>
                <w:spacing w:val="-2"/>
                <w:sz w:val="22"/>
              </w:rPr>
              <w:t>посещений</w:t>
            </w:r>
          </w:p>
        </w:tc>
        <w:tc>
          <w:tcPr>
            <w:tcW w:w="1474" w:type="dxa"/>
          </w:tcPr>
          <w:p>
            <w:pPr>
              <w:pStyle w:val="TableParagraph"/>
              <w:spacing w:before="36"/>
              <w:ind w:left="420"/>
              <w:rPr>
                <w:sz w:val="22"/>
              </w:rPr>
            </w:pPr>
            <w:r>
              <w:rPr>
                <w:spacing w:val="-2"/>
                <w:sz w:val="22"/>
              </w:rPr>
              <w:t>2,395</w:t>
            </w:r>
          </w:p>
        </w:tc>
        <w:tc>
          <w:tcPr>
            <w:tcW w:w="1514" w:type="dxa"/>
          </w:tcPr>
          <w:p>
            <w:pPr>
              <w:pStyle w:val="TableParagraph"/>
              <w:spacing w:before="36"/>
              <w:ind w:left="383" w:right="390"/>
              <w:jc w:val="center"/>
              <w:rPr>
                <w:sz w:val="22"/>
              </w:rPr>
            </w:pPr>
            <w:r>
              <w:rPr>
                <w:spacing w:val="-5"/>
                <w:sz w:val="22"/>
              </w:rPr>
              <w:t>329</w:t>
            </w:r>
          </w:p>
        </w:tc>
        <w:tc>
          <w:tcPr>
            <w:tcW w:w="1698" w:type="dxa"/>
          </w:tcPr>
          <w:p>
            <w:pPr>
              <w:pStyle w:val="TableParagraph"/>
              <w:spacing w:before="36"/>
              <w:ind w:right="626"/>
              <w:jc w:val="right"/>
              <w:rPr>
                <w:sz w:val="22"/>
              </w:rPr>
            </w:pPr>
            <w:r>
              <w:rPr>
                <w:spacing w:val="-2"/>
                <w:sz w:val="22"/>
              </w:rPr>
              <w:t>2,395</w:t>
            </w:r>
          </w:p>
        </w:tc>
        <w:tc>
          <w:tcPr>
            <w:tcW w:w="1638" w:type="dxa"/>
          </w:tcPr>
          <w:p>
            <w:pPr>
              <w:pStyle w:val="TableParagraph"/>
              <w:spacing w:before="36"/>
              <w:ind w:left="455" w:right="438"/>
              <w:jc w:val="center"/>
              <w:rPr>
                <w:sz w:val="22"/>
              </w:rPr>
            </w:pPr>
            <w:r>
              <w:rPr>
                <w:spacing w:val="-2"/>
                <w:sz w:val="22"/>
              </w:rPr>
              <w:t>348,7</w:t>
            </w:r>
          </w:p>
        </w:tc>
        <w:tc>
          <w:tcPr>
            <w:tcW w:w="1694" w:type="dxa"/>
          </w:tcPr>
          <w:p>
            <w:pPr>
              <w:pStyle w:val="TableParagraph"/>
              <w:spacing w:before="36"/>
              <w:ind w:left="207" w:right="157"/>
              <w:jc w:val="center"/>
              <w:rPr>
                <w:sz w:val="22"/>
              </w:rPr>
            </w:pPr>
            <w:r>
              <w:rPr>
                <w:spacing w:val="-2"/>
                <w:sz w:val="22"/>
              </w:rPr>
              <w:t>2,395</w:t>
            </w:r>
          </w:p>
        </w:tc>
        <w:tc>
          <w:tcPr>
            <w:tcW w:w="1124" w:type="dxa"/>
          </w:tcPr>
          <w:p>
            <w:pPr>
              <w:pStyle w:val="TableParagraph"/>
              <w:spacing w:before="36"/>
              <w:ind w:right="99"/>
              <w:jc w:val="right"/>
              <w:rPr>
                <w:sz w:val="22"/>
              </w:rPr>
            </w:pPr>
            <w:r>
              <w:rPr>
                <w:spacing w:val="-2"/>
                <w:sz w:val="22"/>
              </w:rPr>
              <w:t>369,8</w:t>
            </w:r>
          </w:p>
        </w:tc>
      </w:tr>
      <w:tr>
        <w:trPr>
          <w:trHeight w:val="318" w:hRule="atLeast"/>
        </w:trPr>
        <w:tc>
          <w:tcPr>
            <w:tcW w:w="3951" w:type="dxa"/>
          </w:tcPr>
          <w:p>
            <w:pPr>
              <w:pStyle w:val="TableParagraph"/>
              <w:spacing w:before="36"/>
              <w:ind w:left="50"/>
              <w:rPr>
                <w:sz w:val="22"/>
              </w:rPr>
            </w:pPr>
            <w:r>
              <w:rPr>
                <w:sz w:val="22"/>
              </w:rPr>
              <w:t>в</w:t>
            </w:r>
            <w:r>
              <w:rPr>
                <w:spacing w:val="-8"/>
                <w:sz w:val="22"/>
              </w:rPr>
              <w:t> </w:t>
            </w:r>
            <w:r>
              <w:rPr>
                <w:sz w:val="22"/>
              </w:rPr>
              <w:t>неотложной</w:t>
            </w:r>
            <w:r>
              <w:rPr>
                <w:spacing w:val="-7"/>
                <w:sz w:val="22"/>
              </w:rPr>
              <w:t> </w:t>
            </w:r>
            <w:r>
              <w:rPr>
                <w:spacing w:val="-4"/>
                <w:sz w:val="22"/>
              </w:rPr>
              <w:t>форме</w:t>
            </w:r>
          </w:p>
        </w:tc>
        <w:tc>
          <w:tcPr>
            <w:tcW w:w="1811" w:type="dxa"/>
          </w:tcPr>
          <w:p>
            <w:pPr>
              <w:pStyle w:val="TableParagraph"/>
              <w:spacing w:before="36"/>
              <w:ind w:left="40" w:right="140"/>
              <w:jc w:val="center"/>
              <w:rPr>
                <w:sz w:val="22"/>
              </w:rPr>
            </w:pPr>
            <w:r>
              <w:rPr>
                <w:spacing w:val="-2"/>
                <w:sz w:val="22"/>
              </w:rPr>
              <w:t>посещений</w:t>
            </w:r>
          </w:p>
        </w:tc>
        <w:tc>
          <w:tcPr>
            <w:tcW w:w="1474" w:type="dxa"/>
          </w:tcPr>
          <w:p>
            <w:pPr>
              <w:pStyle w:val="TableParagraph"/>
              <w:spacing w:before="36"/>
              <w:ind w:left="476"/>
              <w:rPr>
                <w:sz w:val="22"/>
              </w:rPr>
            </w:pPr>
            <w:r>
              <w:rPr>
                <w:spacing w:val="-4"/>
                <w:sz w:val="22"/>
              </w:rPr>
              <w:t>0,54</w:t>
            </w:r>
          </w:p>
        </w:tc>
        <w:tc>
          <w:tcPr>
            <w:tcW w:w="1514" w:type="dxa"/>
          </w:tcPr>
          <w:p>
            <w:pPr>
              <w:pStyle w:val="TableParagraph"/>
              <w:spacing w:before="36"/>
              <w:ind w:left="383" w:right="388"/>
              <w:jc w:val="center"/>
              <w:rPr>
                <w:sz w:val="22"/>
              </w:rPr>
            </w:pPr>
            <w:r>
              <w:rPr>
                <w:spacing w:val="-2"/>
                <w:sz w:val="22"/>
              </w:rPr>
              <w:t>713,7</w:t>
            </w:r>
          </w:p>
        </w:tc>
        <w:tc>
          <w:tcPr>
            <w:tcW w:w="1698" w:type="dxa"/>
          </w:tcPr>
          <w:p>
            <w:pPr>
              <w:pStyle w:val="TableParagraph"/>
              <w:spacing w:before="36"/>
              <w:ind w:left="396" w:right="451"/>
              <w:jc w:val="center"/>
              <w:rPr>
                <w:sz w:val="22"/>
              </w:rPr>
            </w:pPr>
            <w:r>
              <w:rPr>
                <w:spacing w:val="-4"/>
                <w:sz w:val="22"/>
              </w:rPr>
              <w:t>0,54</w:t>
            </w:r>
          </w:p>
        </w:tc>
        <w:tc>
          <w:tcPr>
            <w:tcW w:w="1638" w:type="dxa"/>
          </w:tcPr>
          <w:p>
            <w:pPr>
              <w:pStyle w:val="TableParagraph"/>
              <w:spacing w:before="36"/>
              <w:ind w:left="455" w:right="438"/>
              <w:jc w:val="center"/>
              <w:rPr>
                <w:sz w:val="22"/>
              </w:rPr>
            </w:pPr>
            <w:r>
              <w:rPr>
                <w:spacing w:val="-2"/>
                <w:sz w:val="22"/>
              </w:rPr>
              <w:t>756,4</w:t>
            </w:r>
          </w:p>
        </w:tc>
        <w:tc>
          <w:tcPr>
            <w:tcW w:w="1694" w:type="dxa"/>
          </w:tcPr>
          <w:p>
            <w:pPr>
              <w:pStyle w:val="TableParagraph"/>
              <w:spacing w:before="36"/>
              <w:ind w:left="207" w:right="157"/>
              <w:jc w:val="center"/>
              <w:rPr>
                <w:sz w:val="22"/>
              </w:rPr>
            </w:pPr>
            <w:r>
              <w:rPr>
                <w:spacing w:val="-4"/>
                <w:sz w:val="22"/>
              </w:rPr>
              <w:t>0,54</w:t>
            </w:r>
          </w:p>
        </w:tc>
        <w:tc>
          <w:tcPr>
            <w:tcW w:w="1124" w:type="dxa"/>
          </w:tcPr>
          <w:p>
            <w:pPr>
              <w:pStyle w:val="TableParagraph"/>
              <w:spacing w:before="36"/>
              <w:ind w:right="99"/>
              <w:jc w:val="right"/>
              <w:rPr>
                <w:sz w:val="22"/>
              </w:rPr>
            </w:pPr>
            <w:r>
              <w:rPr>
                <w:spacing w:val="-2"/>
                <w:sz w:val="22"/>
              </w:rPr>
              <w:t>802,2</w:t>
            </w:r>
          </w:p>
        </w:tc>
      </w:tr>
      <w:tr>
        <w:trPr>
          <w:trHeight w:val="1571" w:hRule="atLeast"/>
        </w:trPr>
        <w:tc>
          <w:tcPr>
            <w:tcW w:w="3951" w:type="dxa"/>
          </w:tcPr>
          <w:p>
            <w:pPr>
              <w:pStyle w:val="TableParagraph"/>
              <w:spacing w:before="49"/>
              <w:ind w:left="66" w:hanging="17"/>
              <w:rPr>
                <w:sz w:val="22"/>
              </w:rPr>
            </w:pPr>
            <w:r>
              <w:rPr>
                <w:sz w:val="22"/>
              </w:rPr>
              <w:t>в</w:t>
            </w:r>
            <w:r>
              <w:rPr>
                <w:spacing w:val="-10"/>
                <w:sz w:val="22"/>
              </w:rPr>
              <w:t> </w:t>
            </w:r>
            <w:r>
              <w:rPr>
                <w:sz w:val="22"/>
              </w:rPr>
              <w:t>связи</w:t>
            </w:r>
            <w:r>
              <w:rPr>
                <w:spacing w:val="-6"/>
                <w:sz w:val="22"/>
              </w:rPr>
              <w:t> </w:t>
            </w:r>
            <w:r>
              <w:rPr>
                <w:sz w:val="22"/>
              </w:rPr>
              <w:t>с</w:t>
            </w:r>
            <w:r>
              <w:rPr>
                <w:spacing w:val="-6"/>
                <w:sz w:val="22"/>
              </w:rPr>
              <w:t> </w:t>
            </w:r>
            <w:r>
              <w:rPr>
                <w:sz w:val="22"/>
              </w:rPr>
              <w:t>заболеваниями</w:t>
            </w:r>
            <w:r>
              <w:rPr>
                <w:spacing w:val="-7"/>
                <w:sz w:val="22"/>
              </w:rPr>
              <w:t> </w:t>
            </w:r>
            <w:r>
              <w:rPr>
                <w:sz w:val="22"/>
              </w:rPr>
              <w:t>-</w:t>
            </w:r>
            <w:r>
              <w:rPr>
                <w:spacing w:val="-8"/>
                <w:sz w:val="22"/>
              </w:rPr>
              <w:t> </w:t>
            </w:r>
            <w:r>
              <w:rPr>
                <w:sz w:val="22"/>
              </w:rPr>
              <w:t>обращений</w:t>
            </w:r>
            <w:r>
              <w:rPr>
                <w:sz w:val="22"/>
                <w:vertAlign w:val="superscript"/>
              </w:rPr>
              <w:t>2</w:t>
            </w:r>
            <w:r>
              <w:rPr>
                <w:spacing w:val="-19"/>
                <w:sz w:val="22"/>
                <w:vertAlign w:val="baseline"/>
              </w:rPr>
              <w:t> </w:t>
            </w:r>
            <w:r>
              <w:rPr>
                <w:sz w:val="22"/>
                <w:vertAlign w:val="baseline"/>
              </w:rPr>
              <w:t>- </w:t>
            </w:r>
            <w:r>
              <w:rPr>
                <w:spacing w:val="-2"/>
                <w:sz w:val="22"/>
                <w:vertAlign w:val="baseline"/>
              </w:rPr>
              <w:t>всего</w:t>
            </w:r>
          </w:p>
          <w:p>
            <w:pPr>
              <w:pStyle w:val="TableParagraph"/>
              <w:ind w:left="333"/>
              <w:rPr>
                <w:sz w:val="22"/>
              </w:rPr>
            </w:pPr>
            <w:r>
              <w:rPr>
                <w:sz w:val="22"/>
              </w:rPr>
              <w:t>из</w:t>
            </w:r>
            <w:r>
              <w:rPr>
                <w:spacing w:val="-3"/>
                <w:sz w:val="22"/>
              </w:rPr>
              <w:t> </w:t>
            </w:r>
            <w:r>
              <w:rPr>
                <w:spacing w:val="-4"/>
                <w:sz w:val="22"/>
              </w:rPr>
              <w:t>них:</w:t>
            </w:r>
          </w:p>
          <w:p>
            <w:pPr>
              <w:pStyle w:val="TableParagraph"/>
              <w:spacing w:line="252" w:lineRule="exact"/>
              <w:ind w:left="342" w:right="475" w:hanging="10"/>
              <w:rPr>
                <w:sz w:val="22"/>
              </w:rPr>
            </w:pPr>
            <w:r>
              <w:rPr>
                <w:sz w:val="22"/>
              </w:rPr>
              <w:t>проведение отдельных диагностических</w:t>
            </w:r>
            <w:r>
              <w:rPr>
                <w:spacing w:val="-14"/>
                <w:sz w:val="22"/>
              </w:rPr>
              <w:t> </w:t>
            </w:r>
            <w:r>
              <w:rPr>
                <w:sz w:val="22"/>
              </w:rPr>
              <w:t>(лабораторных) </w:t>
            </w:r>
            <w:r>
              <w:rPr>
                <w:spacing w:val="-2"/>
                <w:sz w:val="22"/>
              </w:rPr>
              <w:t>исследований:</w:t>
            </w:r>
          </w:p>
        </w:tc>
        <w:tc>
          <w:tcPr>
            <w:tcW w:w="1811" w:type="dxa"/>
          </w:tcPr>
          <w:p>
            <w:pPr>
              <w:pStyle w:val="TableParagraph"/>
              <w:spacing w:before="49"/>
              <w:ind w:right="99"/>
              <w:jc w:val="center"/>
              <w:rPr>
                <w:sz w:val="22"/>
              </w:rPr>
            </w:pPr>
            <w:r>
              <w:rPr>
                <w:spacing w:val="-2"/>
                <w:sz w:val="22"/>
              </w:rPr>
              <w:t>обращений</w:t>
            </w:r>
          </w:p>
        </w:tc>
        <w:tc>
          <w:tcPr>
            <w:tcW w:w="1474" w:type="dxa"/>
          </w:tcPr>
          <w:p>
            <w:pPr>
              <w:pStyle w:val="TableParagraph"/>
              <w:spacing w:before="49"/>
              <w:ind w:left="365"/>
              <w:rPr>
                <w:sz w:val="22"/>
              </w:rPr>
            </w:pPr>
            <w:r>
              <w:rPr>
                <w:spacing w:val="-2"/>
                <w:sz w:val="22"/>
              </w:rPr>
              <w:t>1,7877</w:t>
            </w:r>
          </w:p>
        </w:tc>
        <w:tc>
          <w:tcPr>
            <w:tcW w:w="1514" w:type="dxa"/>
          </w:tcPr>
          <w:p>
            <w:pPr>
              <w:pStyle w:val="TableParagraph"/>
              <w:spacing w:before="49"/>
              <w:ind w:left="383" w:right="388"/>
              <w:jc w:val="center"/>
              <w:rPr>
                <w:sz w:val="22"/>
              </w:rPr>
            </w:pPr>
            <w:r>
              <w:rPr>
                <w:spacing w:val="-2"/>
                <w:sz w:val="22"/>
              </w:rPr>
              <w:t>1599,8</w:t>
            </w:r>
          </w:p>
        </w:tc>
        <w:tc>
          <w:tcPr>
            <w:tcW w:w="1698" w:type="dxa"/>
          </w:tcPr>
          <w:p>
            <w:pPr>
              <w:pStyle w:val="TableParagraph"/>
              <w:spacing w:before="49"/>
              <w:ind w:right="571"/>
              <w:jc w:val="right"/>
              <w:rPr>
                <w:sz w:val="22"/>
              </w:rPr>
            </w:pPr>
            <w:r>
              <w:rPr>
                <w:spacing w:val="-2"/>
                <w:sz w:val="22"/>
              </w:rPr>
              <w:t>1,7877</w:t>
            </w:r>
          </w:p>
        </w:tc>
        <w:tc>
          <w:tcPr>
            <w:tcW w:w="1638" w:type="dxa"/>
          </w:tcPr>
          <w:p>
            <w:pPr>
              <w:pStyle w:val="TableParagraph"/>
              <w:spacing w:before="49"/>
              <w:ind w:left="455" w:right="438"/>
              <w:jc w:val="center"/>
              <w:rPr>
                <w:sz w:val="22"/>
              </w:rPr>
            </w:pPr>
            <w:r>
              <w:rPr>
                <w:spacing w:val="-2"/>
                <w:sz w:val="22"/>
              </w:rPr>
              <w:t>1695,4</w:t>
            </w:r>
          </w:p>
        </w:tc>
        <w:tc>
          <w:tcPr>
            <w:tcW w:w="1694" w:type="dxa"/>
          </w:tcPr>
          <w:p>
            <w:pPr>
              <w:pStyle w:val="TableParagraph"/>
              <w:spacing w:before="49"/>
              <w:ind w:left="207" w:right="157"/>
              <w:jc w:val="center"/>
              <w:rPr>
                <w:sz w:val="22"/>
              </w:rPr>
            </w:pPr>
            <w:r>
              <w:rPr>
                <w:spacing w:val="-2"/>
                <w:sz w:val="22"/>
              </w:rPr>
              <w:t>1,7877</w:t>
            </w:r>
          </w:p>
        </w:tc>
        <w:tc>
          <w:tcPr>
            <w:tcW w:w="1124" w:type="dxa"/>
          </w:tcPr>
          <w:p>
            <w:pPr>
              <w:pStyle w:val="TableParagraph"/>
              <w:spacing w:before="49"/>
              <w:ind w:right="45"/>
              <w:jc w:val="right"/>
              <w:rPr>
                <w:sz w:val="22"/>
              </w:rPr>
            </w:pPr>
            <w:r>
              <w:rPr>
                <w:spacing w:val="-2"/>
                <w:sz w:val="22"/>
              </w:rPr>
              <w:t>1798,1</w:t>
            </w:r>
          </w:p>
        </w:tc>
      </w:tr>
      <w:tr>
        <w:trPr>
          <w:trHeight w:val="293" w:hRule="atLeast"/>
        </w:trPr>
        <w:tc>
          <w:tcPr>
            <w:tcW w:w="3951" w:type="dxa"/>
          </w:tcPr>
          <w:p>
            <w:pPr>
              <w:pStyle w:val="TableParagraph"/>
              <w:spacing w:line="249" w:lineRule="exact"/>
              <w:ind w:left="333"/>
              <w:rPr>
                <w:sz w:val="22"/>
              </w:rPr>
            </w:pPr>
            <w:r>
              <w:rPr>
                <w:sz w:val="22"/>
              </w:rPr>
              <w:t>компьютерная</w:t>
            </w:r>
            <w:r>
              <w:rPr>
                <w:spacing w:val="-6"/>
                <w:sz w:val="22"/>
              </w:rPr>
              <w:t> </w:t>
            </w:r>
            <w:r>
              <w:rPr>
                <w:spacing w:val="-2"/>
                <w:sz w:val="22"/>
              </w:rPr>
              <w:t>томография</w:t>
            </w:r>
          </w:p>
        </w:tc>
        <w:tc>
          <w:tcPr>
            <w:tcW w:w="1811" w:type="dxa"/>
          </w:tcPr>
          <w:p>
            <w:pPr>
              <w:pStyle w:val="TableParagraph"/>
              <w:spacing w:line="249" w:lineRule="exact"/>
              <w:ind w:left="40" w:right="142"/>
              <w:jc w:val="center"/>
              <w:rPr>
                <w:sz w:val="22"/>
              </w:rPr>
            </w:pPr>
            <w:r>
              <w:rPr>
                <w:spacing w:val="-2"/>
                <w:sz w:val="22"/>
              </w:rPr>
              <w:t>исследований</w:t>
            </w:r>
          </w:p>
        </w:tc>
        <w:tc>
          <w:tcPr>
            <w:tcW w:w="1474" w:type="dxa"/>
          </w:tcPr>
          <w:p>
            <w:pPr>
              <w:pStyle w:val="TableParagraph"/>
              <w:spacing w:line="249" w:lineRule="exact"/>
              <w:ind w:left="310"/>
              <w:rPr>
                <w:sz w:val="22"/>
              </w:rPr>
            </w:pPr>
            <w:r>
              <w:rPr>
                <w:spacing w:val="-2"/>
                <w:sz w:val="22"/>
              </w:rPr>
              <w:t>0,04632</w:t>
            </w:r>
          </w:p>
        </w:tc>
        <w:tc>
          <w:tcPr>
            <w:tcW w:w="1514" w:type="dxa"/>
          </w:tcPr>
          <w:p>
            <w:pPr>
              <w:pStyle w:val="TableParagraph"/>
              <w:spacing w:line="249" w:lineRule="exact"/>
              <w:ind w:left="383" w:right="390"/>
              <w:jc w:val="center"/>
              <w:rPr>
                <w:sz w:val="22"/>
              </w:rPr>
            </w:pPr>
            <w:r>
              <w:rPr>
                <w:spacing w:val="-4"/>
                <w:sz w:val="22"/>
              </w:rPr>
              <w:t>2542</w:t>
            </w:r>
          </w:p>
        </w:tc>
        <w:tc>
          <w:tcPr>
            <w:tcW w:w="1698" w:type="dxa"/>
          </w:tcPr>
          <w:p>
            <w:pPr>
              <w:pStyle w:val="TableParagraph"/>
              <w:spacing w:line="249" w:lineRule="exact"/>
              <w:ind w:right="516"/>
              <w:jc w:val="right"/>
              <w:rPr>
                <w:sz w:val="22"/>
              </w:rPr>
            </w:pPr>
            <w:r>
              <w:rPr>
                <w:spacing w:val="-2"/>
                <w:sz w:val="22"/>
              </w:rPr>
              <w:t>0,04632</w:t>
            </w:r>
          </w:p>
        </w:tc>
        <w:tc>
          <w:tcPr>
            <w:tcW w:w="1638" w:type="dxa"/>
          </w:tcPr>
          <w:p>
            <w:pPr>
              <w:pStyle w:val="TableParagraph"/>
              <w:spacing w:line="249" w:lineRule="exact"/>
              <w:ind w:left="455" w:right="436"/>
              <w:jc w:val="center"/>
              <w:rPr>
                <w:sz w:val="22"/>
              </w:rPr>
            </w:pPr>
            <w:r>
              <w:rPr>
                <w:spacing w:val="-4"/>
                <w:sz w:val="22"/>
              </w:rPr>
              <w:t>2694</w:t>
            </w:r>
          </w:p>
        </w:tc>
        <w:tc>
          <w:tcPr>
            <w:tcW w:w="1694" w:type="dxa"/>
          </w:tcPr>
          <w:p>
            <w:pPr>
              <w:pStyle w:val="TableParagraph"/>
              <w:spacing w:line="249" w:lineRule="exact"/>
              <w:ind w:left="207" w:right="157"/>
              <w:jc w:val="center"/>
              <w:rPr>
                <w:sz w:val="22"/>
              </w:rPr>
            </w:pPr>
            <w:r>
              <w:rPr>
                <w:spacing w:val="-2"/>
                <w:sz w:val="22"/>
              </w:rPr>
              <w:t>0,04632</w:t>
            </w:r>
          </w:p>
        </w:tc>
        <w:tc>
          <w:tcPr>
            <w:tcW w:w="1124" w:type="dxa"/>
          </w:tcPr>
          <w:p>
            <w:pPr>
              <w:pStyle w:val="TableParagraph"/>
              <w:spacing w:line="249" w:lineRule="exact"/>
              <w:ind w:right="45"/>
              <w:jc w:val="right"/>
              <w:rPr>
                <w:sz w:val="22"/>
              </w:rPr>
            </w:pPr>
            <w:r>
              <w:rPr>
                <w:spacing w:val="-2"/>
                <w:sz w:val="22"/>
              </w:rPr>
              <w:t>2857,2</w:t>
            </w:r>
          </w:p>
        </w:tc>
      </w:tr>
      <w:tr>
        <w:trPr>
          <w:trHeight w:val="332" w:hRule="atLeast"/>
        </w:trPr>
        <w:tc>
          <w:tcPr>
            <w:tcW w:w="3951" w:type="dxa"/>
          </w:tcPr>
          <w:p>
            <w:pPr>
              <w:pStyle w:val="TableParagraph"/>
              <w:spacing w:before="36"/>
              <w:ind w:right="331"/>
              <w:jc w:val="right"/>
              <w:rPr>
                <w:sz w:val="22"/>
              </w:rPr>
            </w:pPr>
            <w:r>
              <w:rPr>
                <w:sz w:val="22"/>
              </w:rPr>
              <w:t>магнитно-резонансная</w:t>
            </w:r>
            <w:r>
              <w:rPr>
                <w:spacing w:val="-10"/>
                <w:sz w:val="22"/>
              </w:rPr>
              <w:t> </w:t>
            </w:r>
            <w:r>
              <w:rPr>
                <w:spacing w:val="-2"/>
                <w:sz w:val="22"/>
              </w:rPr>
              <w:t>томография</w:t>
            </w:r>
          </w:p>
        </w:tc>
        <w:tc>
          <w:tcPr>
            <w:tcW w:w="1811" w:type="dxa"/>
          </w:tcPr>
          <w:p>
            <w:pPr>
              <w:pStyle w:val="TableParagraph"/>
              <w:spacing w:before="36"/>
              <w:ind w:left="40" w:right="142"/>
              <w:jc w:val="center"/>
              <w:rPr>
                <w:sz w:val="22"/>
              </w:rPr>
            </w:pPr>
            <w:r>
              <w:rPr>
                <w:spacing w:val="-2"/>
                <w:sz w:val="22"/>
              </w:rPr>
              <w:t>исследований</w:t>
            </w:r>
          </w:p>
        </w:tc>
        <w:tc>
          <w:tcPr>
            <w:tcW w:w="1474" w:type="dxa"/>
          </w:tcPr>
          <w:p>
            <w:pPr>
              <w:pStyle w:val="TableParagraph"/>
              <w:spacing w:before="36"/>
              <w:ind w:left="310"/>
              <w:rPr>
                <w:sz w:val="22"/>
              </w:rPr>
            </w:pPr>
            <w:r>
              <w:rPr>
                <w:spacing w:val="-2"/>
                <w:sz w:val="22"/>
              </w:rPr>
              <w:t>0,02634</w:t>
            </w:r>
          </w:p>
        </w:tc>
        <w:tc>
          <w:tcPr>
            <w:tcW w:w="1514" w:type="dxa"/>
          </w:tcPr>
          <w:p>
            <w:pPr>
              <w:pStyle w:val="TableParagraph"/>
              <w:spacing w:before="36"/>
              <w:ind w:left="383" w:right="390"/>
              <w:jc w:val="center"/>
              <w:rPr>
                <w:sz w:val="22"/>
              </w:rPr>
            </w:pPr>
            <w:r>
              <w:rPr>
                <w:spacing w:val="-4"/>
                <w:sz w:val="22"/>
              </w:rPr>
              <w:t>3575</w:t>
            </w:r>
          </w:p>
        </w:tc>
        <w:tc>
          <w:tcPr>
            <w:tcW w:w="1698" w:type="dxa"/>
          </w:tcPr>
          <w:p>
            <w:pPr>
              <w:pStyle w:val="TableParagraph"/>
              <w:spacing w:before="36"/>
              <w:ind w:right="516"/>
              <w:jc w:val="right"/>
              <w:rPr>
                <w:sz w:val="22"/>
              </w:rPr>
            </w:pPr>
            <w:r>
              <w:rPr>
                <w:spacing w:val="-2"/>
                <w:sz w:val="22"/>
              </w:rPr>
              <w:t>0,02634</w:t>
            </w:r>
          </w:p>
        </w:tc>
        <w:tc>
          <w:tcPr>
            <w:tcW w:w="1638" w:type="dxa"/>
          </w:tcPr>
          <w:p>
            <w:pPr>
              <w:pStyle w:val="TableParagraph"/>
              <w:spacing w:before="36"/>
              <w:ind w:left="455" w:right="438"/>
              <w:jc w:val="center"/>
              <w:rPr>
                <w:sz w:val="22"/>
              </w:rPr>
            </w:pPr>
            <w:r>
              <w:rPr>
                <w:spacing w:val="-2"/>
                <w:sz w:val="22"/>
              </w:rPr>
              <w:t>3788,7</w:t>
            </w:r>
          </w:p>
        </w:tc>
        <w:tc>
          <w:tcPr>
            <w:tcW w:w="1694" w:type="dxa"/>
          </w:tcPr>
          <w:p>
            <w:pPr>
              <w:pStyle w:val="TableParagraph"/>
              <w:spacing w:before="36"/>
              <w:ind w:left="207" w:right="157"/>
              <w:jc w:val="center"/>
              <w:rPr>
                <w:sz w:val="22"/>
              </w:rPr>
            </w:pPr>
            <w:r>
              <w:rPr>
                <w:spacing w:val="-2"/>
                <w:sz w:val="22"/>
              </w:rPr>
              <w:t>0,02634</w:t>
            </w:r>
          </w:p>
        </w:tc>
        <w:tc>
          <w:tcPr>
            <w:tcW w:w="1124" w:type="dxa"/>
          </w:tcPr>
          <w:p>
            <w:pPr>
              <w:pStyle w:val="TableParagraph"/>
              <w:spacing w:before="36"/>
              <w:ind w:right="45"/>
              <w:jc w:val="right"/>
              <w:rPr>
                <w:sz w:val="22"/>
              </w:rPr>
            </w:pPr>
            <w:r>
              <w:rPr>
                <w:spacing w:val="-2"/>
                <w:sz w:val="22"/>
              </w:rPr>
              <w:t>4018,2</w:t>
            </w:r>
          </w:p>
        </w:tc>
      </w:tr>
      <w:tr>
        <w:trPr>
          <w:trHeight w:val="586" w:hRule="atLeast"/>
        </w:trPr>
        <w:tc>
          <w:tcPr>
            <w:tcW w:w="3951" w:type="dxa"/>
          </w:tcPr>
          <w:p>
            <w:pPr>
              <w:pStyle w:val="TableParagraph"/>
              <w:spacing w:line="242" w:lineRule="auto" w:before="34"/>
              <w:ind w:left="342" w:right="763" w:hanging="10"/>
              <w:rPr>
                <w:sz w:val="22"/>
              </w:rPr>
            </w:pPr>
            <w:r>
              <w:rPr>
                <w:sz w:val="22"/>
              </w:rPr>
              <w:t>ультразвуковое исследование </w:t>
            </w:r>
            <w:r>
              <w:rPr>
                <w:spacing w:val="-2"/>
                <w:sz w:val="22"/>
              </w:rPr>
              <w:t>сердечно-сосудистой</w:t>
            </w:r>
            <w:r>
              <w:rPr>
                <w:spacing w:val="24"/>
                <w:sz w:val="22"/>
              </w:rPr>
              <w:t> </w:t>
            </w:r>
            <w:r>
              <w:rPr>
                <w:spacing w:val="-2"/>
                <w:sz w:val="22"/>
              </w:rPr>
              <w:t>системы</w:t>
            </w:r>
          </w:p>
        </w:tc>
        <w:tc>
          <w:tcPr>
            <w:tcW w:w="1811" w:type="dxa"/>
          </w:tcPr>
          <w:p>
            <w:pPr>
              <w:pStyle w:val="TableParagraph"/>
              <w:spacing w:before="34"/>
              <w:ind w:left="40" w:right="142"/>
              <w:jc w:val="center"/>
              <w:rPr>
                <w:sz w:val="22"/>
              </w:rPr>
            </w:pPr>
            <w:r>
              <w:rPr>
                <w:spacing w:val="-2"/>
                <w:sz w:val="22"/>
              </w:rPr>
              <w:t>исследований</w:t>
            </w:r>
          </w:p>
        </w:tc>
        <w:tc>
          <w:tcPr>
            <w:tcW w:w="1474" w:type="dxa"/>
          </w:tcPr>
          <w:p>
            <w:pPr>
              <w:pStyle w:val="TableParagraph"/>
              <w:spacing w:before="34"/>
              <w:ind w:left="310"/>
              <w:rPr>
                <w:sz w:val="22"/>
              </w:rPr>
            </w:pPr>
            <w:r>
              <w:rPr>
                <w:spacing w:val="-2"/>
                <w:sz w:val="22"/>
              </w:rPr>
              <w:t>0,08286</w:t>
            </w:r>
          </w:p>
        </w:tc>
        <w:tc>
          <w:tcPr>
            <w:tcW w:w="1514" w:type="dxa"/>
          </w:tcPr>
          <w:p>
            <w:pPr>
              <w:pStyle w:val="TableParagraph"/>
              <w:spacing w:before="34"/>
              <w:ind w:left="383" w:right="388"/>
              <w:jc w:val="center"/>
              <w:rPr>
                <w:sz w:val="22"/>
              </w:rPr>
            </w:pPr>
            <w:r>
              <w:rPr>
                <w:spacing w:val="-2"/>
                <w:sz w:val="22"/>
              </w:rPr>
              <w:t>492,1</w:t>
            </w:r>
          </w:p>
        </w:tc>
        <w:tc>
          <w:tcPr>
            <w:tcW w:w="1698" w:type="dxa"/>
          </w:tcPr>
          <w:p>
            <w:pPr>
              <w:pStyle w:val="TableParagraph"/>
              <w:spacing w:before="34"/>
              <w:ind w:right="516"/>
              <w:jc w:val="right"/>
              <w:rPr>
                <w:sz w:val="22"/>
              </w:rPr>
            </w:pPr>
            <w:r>
              <w:rPr>
                <w:spacing w:val="-2"/>
                <w:sz w:val="22"/>
              </w:rPr>
              <w:t>0,08286</w:t>
            </w:r>
          </w:p>
        </w:tc>
        <w:tc>
          <w:tcPr>
            <w:tcW w:w="1638" w:type="dxa"/>
          </w:tcPr>
          <w:p>
            <w:pPr>
              <w:pStyle w:val="TableParagraph"/>
              <w:spacing w:before="34"/>
              <w:ind w:left="455" w:right="438"/>
              <w:jc w:val="center"/>
              <w:rPr>
                <w:sz w:val="22"/>
              </w:rPr>
            </w:pPr>
            <w:r>
              <w:rPr>
                <w:spacing w:val="-2"/>
                <w:sz w:val="22"/>
              </w:rPr>
              <w:t>521,5</w:t>
            </w:r>
          </w:p>
        </w:tc>
        <w:tc>
          <w:tcPr>
            <w:tcW w:w="1694" w:type="dxa"/>
          </w:tcPr>
          <w:p>
            <w:pPr>
              <w:pStyle w:val="TableParagraph"/>
              <w:spacing w:before="34"/>
              <w:ind w:left="207" w:right="157"/>
              <w:jc w:val="center"/>
              <w:rPr>
                <w:sz w:val="22"/>
              </w:rPr>
            </w:pPr>
            <w:r>
              <w:rPr>
                <w:spacing w:val="-2"/>
                <w:sz w:val="22"/>
              </w:rPr>
              <w:t>0,08286</w:t>
            </w:r>
          </w:p>
        </w:tc>
        <w:tc>
          <w:tcPr>
            <w:tcW w:w="1124" w:type="dxa"/>
          </w:tcPr>
          <w:p>
            <w:pPr>
              <w:pStyle w:val="TableParagraph"/>
              <w:spacing w:before="34"/>
              <w:ind w:right="99"/>
              <w:jc w:val="right"/>
              <w:rPr>
                <w:sz w:val="22"/>
              </w:rPr>
            </w:pPr>
            <w:r>
              <w:rPr>
                <w:spacing w:val="-2"/>
                <w:sz w:val="22"/>
              </w:rPr>
              <w:t>553,1</w:t>
            </w:r>
          </w:p>
        </w:tc>
      </w:tr>
      <w:tr>
        <w:trPr>
          <w:trHeight w:val="586" w:hRule="atLeast"/>
        </w:trPr>
        <w:tc>
          <w:tcPr>
            <w:tcW w:w="3951" w:type="dxa"/>
          </w:tcPr>
          <w:p>
            <w:pPr>
              <w:pStyle w:val="TableParagraph"/>
              <w:spacing w:before="34"/>
              <w:ind w:left="342" w:right="376" w:hanging="10"/>
              <w:rPr>
                <w:sz w:val="22"/>
              </w:rPr>
            </w:pPr>
            <w:r>
              <w:rPr>
                <w:sz w:val="22"/>
              </w:rPr>
              <w:t>эндоскопическое</w:t>
            </w:r>
            <w:r>
              <w:rPr>
                <w:spacing w:val="-14"/>
                <w:sz w:val="22"/>
              </w:rPr>
              <w:t> </w:t>
            </w:r>
            <w:r>
              <w:rPr>
                <w:sz w:val="22"/>
              </w:rPr>
              <w:t>диагностическое </w:t>
            </w:r>
            <w:r>
              <w:rPr>
                <w:spacing w:val="-2"/>
                <w:sz w:val="22"/>
              </w:rPr>
              <w:t>исследование</w:t>
            </w:r>
          </w:p>
        </w:tc>
        <w:tc>
          <w:tcPr>
            <w:tcW w:w="1811" w:type="dxa"/>
          </w:tcPr>
          <w:p>
            <w:pPr>
              <w:pStyle w:val="TableParagraph"/>
              <w:spacing w:before="34"/>
              <w:ind w:left="40" w:right="142"/>
              <w:jc w:val="center"/>
              <w:rPr>
                <w:sz w:val="22"/>
              </w:rPr>
            </w:pPr>
            <w:r>
              <w:rPr>
                <w:spacing w:val="-2"/>
                <w:sz w:val="22"/>
              </w:rPr>
              <w:t>исследований</w:t>
            </w:r>
          </w:p>
        </w:tc>
        <w:tc>
          <w:tcPr>
            <w:tcW w:w="1474" w:type="dxa"/>
          </w:tcPr>
          <w:p>
            <w:pPr>
              <w:pStyle w:val="TableParagraph"/>
              <w:spacing w:before="34"/>
              <w:ind w:left="310"/>
              <w:rPr>
                <w:sz w:val="22"/>
              </w:rPr>
            </w:pPr>
            <w:r>
              <w:rPr>
                <w:spacing w:val="-2"/>
                <w:sz w:val="22"/>
              </w:rPr>
              <w:t>0,02994</w:t>
            </w:r>
          </w:p>
        </w:tc>
        <w:tc>
          <w:tcPr>
            <w:tcW w:w="1514" w:type="dxa"/>
          </w:tcPr>
          <w:p>
            <w:pPr>
              <w:pStyle w:val="TableParagraph"/>
              <w:spacing w:before="34"/>
              <w:ind w:left="383" w:right="388"/>
              <w:jc w:val="center"/>
              <w:rPr>
                <w:sz w:val="22"/>
              </w:rPr>
            </w:pPr>
            <w:r>
              <w:rPr>
                <w:spacing w:val="-2"/>
                <w:sz w:val="22"/>
              </w:rPr>
              <w:t>923,3</w:t>
            </w:r>
          </w:p>
        </w:tc>
        <w:tc>
          <w:tcPr>
            <w:tcW w:w="1698" w:type="dxa"/>
          </w:tcPr>
          <w:p>
            <w:pPr>
              <w:pStyle w:val="TableParagraph"/>
              <w:spacing w:before="34"/>
              <w:ind w:right="516"/>
              <w:jc w:val="right"/>
              <w:rPr>
                <w:sz w:val="22"/>
              </w:rPr>
            </w:pPr>
            <w:r>
              <w:rPr>
                <w:spacing w:val="-2"/>
                <w:sz w:val="22"/>
              </w:rPr>
              <w:t>0,02994</w:t>
            </w:r>
          </w:p>
        </w:tc>
        <w:tc>
          <w:tcPr>
            <w:tcW w:w="1638" w:type="dxa"/>
          </w:tcPr>
          <w:p>
            <w:pPr>
              <w:pStyle w:val="TableParagraph"/>
              <w:spacing w:before="34"/>
              <w:ind w:left="455" w:right="438"/>
              <w:jc w:val="center"/>
              <w:rPr>
                <w:sz w:val="22"/>
              </w:rPr>
            </w:pPr>
            <w:r>
              <w:rPr>
                <w:spacing w:val="-2"/>
                <w:sz w:val="22"/>
              </w:rPr>
              <w:t>978,5</w:t>
            </w:r>
          </w:p>
        </w:tc>
        <w:tc>
          <w:tcPr>
            <w:tcW w:w="1694" w:type="dxa"/>
          </w:tcPr>
          <w:p>
            <w:pPr>
              <w:pStyle w:val="TableParagraph"/>
              <w:spacing w:before="34"/>
              <w:ind w:left="207" w:right="157"/>
              <w:jc w:val="center"/>
              <w:rPr>
                <w:sz w:val="22"/>
              </w:rPr>
            </w:pPr>
            <w:r>
              <w:rPr>
                <w:spacing w:val="-2"/>
                <w:sz w:val="22"/>
              </w:rPr>
              <w:t>0,02994</w:t>
            </w:r>
          </w:p>
        </w:tc>
        <w:tc>
          <w:tcPr>
            <w:tcW w:w="1124" w:type="dxa"/>
          </w:tcPr>
          <w:p>
            <w:pPr>
              <w:pStyle w:val="TableParagraph"/>
              <w:spacing w:before="34"/>
              <w:ind w:right="45"/>
              <w:jc w:val="right"/>
              <w:rPr>
                <w:sz w:val="22"/>
              </w:rPr>
            </w:pPr>
            <w:r>
              <w:rPr>
                <w:spacing w:val="-2"/>
                <w:sz w:val="22"/>
              </w:rPr>
              <w:t>1037,8</w:t>
            </w:r>
          </w:p>
        </w:tc>
      </w:tr>
      <w:tr>
        <w:trPr>
          <w:trHeight w:val="793" w:hRule="atLeast"/>
        </w:trPr>
        <w:tc>
          <w:tcPr>
            <w:tcW w:w="3951" w:type="dxa"/>
          </w:tcPr>
          <w:p>
            <w:pPr>
              <w:pStyle w:val="TableParagraph"/>
              <w:spacing w:line="252" w:lineRule="exact" w:before="17"/>
              <w:ind w:left="342" w:right="255" w:hanging="10"/>
              <w:rPr>
                <w:sz w:val="22"/>
              </w:rPr>
            </w:pPr>
            <w:r>
              <w:rPr>
                <w:spacing w:val="-2"/>
                <w:sz w:val="22"/>
              </w:rPr>
              <w:t>молекулярно-генетическое </w:t>
            </w:r>
            <w:r>
              <w:rPr>
                <w:sz w:val="22"/>
              </w:rPr>
              <w:t>исследование</w:t>
            </w:r>
            <w:r>
              <w:rPr>
                <w:spacing w:val="-13"/>
                <w:sz w:val="22"/>
              </w:rPr>
              <w:t> </w:t>
            </w:r>
            <w:r>
              <w:rPr>
                <w:sz w:val="22"/>
              </w:rPr>
              <w:t>с</w:t>
            </w:r>
            <w:r>
              <w:rPr>
                <w:spacing w:val="-13"/>
                <w:sz w:val="22"/>
              </w:rPr>
              <w:t> </w:t>
            </w:r>
            <w:r>
              <w:rPr>
                <w:sz w:val="22"/>
              </w:rPr>
              <w:t>целью</w:t>
            </w:r>
            <w:r>
              <w:rPr>
                <w:spacing w:val="-13"/>
                <w:sz w:val="22"/>
              </w:rPr>
              <w:t> </w:t>
            </w:r>
            <w:r>
              <w:rPr>
                <w:sz w:val="22"/>
              </w:rPr>
              <w:t>диагностики онкологических заболеваний</w:t>
            </w:r>
          </w:p>
        </w:tc>
        <w:tc>
          <w:tcPr>
            <w:tcW w:w="1811" w:type="dxa"/>
          </w:tcPr>
          <w:p>
            <w:pPr>
              <w:pStyle w:val="TableParagraph"/>
              <w:spacing w:before="36"/>
              <w:ind w:right="99"/>
              <w:jc w:val="center"/>
              <w:rPr>
                <w:sz w:val="22"/>
              </w:rPr>
            </w:pPr>
            <w:r>
              <w:rPr>
                <w:spacing w:val="-2"/>
                <w:sz w:val="22"/>
              </w:rPr>
              <w:t>исследования</w:t>
            </w:r>
          </w:p>
        </w:tc>
        <w:tc>
          <w:tcPr>
            <w:tcW w:w="1474" w:type="dxa"/>
          </w:tcPr>
          <w:p>
            <w:pPr>
              <w:pStyle w:val="TableParagraph"/>
              <w:spacing w:before="36"/>
              <w:ind w:left="310"/>
              <w:rPr>
                <w:sz w:val="22"/>
              </w:rPr>
            </w:pPr>
            <w:r>
              <w:rPr>
                <w:spacing w:val="-2"/>
                <w:sz w:val="22"/>
              </w:rPr>
              <w:t>0,00092</w:t>
            </w:r>
          </w:p>
        </w:tc>
        <w:tc>
          <w:tcPr>
            <w:tcW w:w="1514" w:type="dxa"/>
          </w:tcPr>
          <w:p>
            <w:pPr>
              <w:pStyle w:val="TableParagraph"/>
              <w:spacing w:before="36"/>
              <w:ind w:left="383" w:right="388"/>
              <w:jc w:val="center"/>
              <w:rPr>
                <w:sz w:val="22"/>
              </w:rPr>
            </w:pPr>
            <w:r>
              <w:rPr>
                <w:spacing w:val="-2"/>
                <w:sz w:val="22"/>
              </w:rPr>
              <w:t>8174,2</w:t>
            </w:r>
          </w:p>
        </w:tc>
        <w:tc>
          <w:tcPr>
            <w:tcW w:w="1698" w:type="dxa"/>
          </w:tcPr>
          <w:p>
            <w:pPr>
              <w:pStyle w:val="TableParagraph"/>
              <w:spacing w:before="36"/>
              <w:ind w:right="516"/>
              <w:jc w:val="right"/>
              <w:rPr>
                <w:sz w:val="22"/>
              </w:rPr>
            </w:pPr>
            <w:r>
              <w:rPr>
                <w:spacing w:val="-2"/>
                <w:sz w:val="22"/>
              </w:rPr>
              <w:t>0,00092</w:t>
            </w:r>
          </w:p>
        </w:tc>
        <w:tc>
          <w:tcPr>
            <w:tcW w:w="1638" w:type="dxa"/>
          </w:tcPr>
          <w:p>
            <w:pPr>
              <w:pStyle w:val="TableParagraph"/>
              <w:spacing w:before="36"/>
              <w:ind w:left="455" w:right="438"/>
              <w:jc w:val="center"/>
              <w:rPr>
                <w:sz w:val="22"/>
              </w:rPr>
            </w:pPr>
            <w:r>
              <w:rPr>
                <w:spacing w:val="-2"/>
                <w:sz w:val="22"/>
              </w:rPr>
              <w:t>8662,9</w:t>
            </w:r>
          </w:p>
        </w:tc>
        <w:tc>
          <w:tcPr>
            <w:tcW w:w="1694" w:type="dxa"/>
          </w:tcPr>
          <w:p>
            <w:pPr>
              <w:pStyle w:val="TableParagraph"/>
              <w:spacing w:before="36"/>
              <w:ind w:left="207" w:right="157"/>
              <w:jc w:val="center"/>
              <w:rPr>
                <w:sz w:val="22"/>
              </w:rPr>
            </w:pPr>
            <w:r>
              <w:rPr>
                <w:spacing w:val="-2"/>
                <w:sz w:val="22"/>
              </w:rPr>
              <w:t>0,00092</w:t>
            </w:r>
          </w:p>
        </w:tc>
        <w:tc>
          <w:tcPr>
            <w:tcW w:w="1124" w:type="dxa"/>
          </w:tcPr>
          <w:p>
            <w:pPr>
              <w:pStyle w:val="TableParagraph"/>
              <w:spacing w:before="36"/>
              <w:ind w:right="45"/>
              <w:jc w:val="right"/>
              <w:rPr>
                <w:sz w:val="22"/>
              </w:rPr>
            </w:pPr>
            <w:r>
              <w:rPr>
                <w:spacing w:val="-2"/>
                <w:sz w:val="22"/>
              </w:rPr>
              <w:t>9187,7</w:t>
            </w:r>
          </w:p>
        </w:tc>
      </w:tr>
    </w:tbl>
    <w:p>
      <w:pPr>
        <w:spacing w:after="0"/>
        <w:jc w:val="right"/>
        <w:rPr>
          <w:sz w:val="22"/>
        </w:rPr>
        <w:sectPr>
          <w:pgSz w:w="16850" w:h="11910" w:orient="landscape"/>
          <w:pgMar w:header="751" w:footer="0" w:top="106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7"/>
        <w:gridCol w:w="1913"/>
        <w:gridCol w:w="1442"/>
        <w:gridCol w:w="1514"/>
        <w:gridCol w:w="1698"/>
        <w:gridCol w:w="1638"/>
        <w:gridCol w:w="1694"/>
        <w:gridCol w:w="1179"/>
      </w:tblGrid>
      <w:tr>
        <w:trPr>
          <w:trHeight w:val="1806" w:hRule="atLeast"/>
        </w:trPr>
        <w:tc>
          <w:tcPr>
            <w:tcW w:w="4307" w:type="dxa"/>
          </w:tcPr>
          <w:p>
            <w:pPr>
              <w:pStyle w:val="TableParagraph"/>
              <w:ind w:left="758" w:right="95"/>
              <w:rPr>
                <w:sz w:val="22"/>
              </w:rPr>
            </w:pPr>
            <w:r>
              <w:rPr>
                <w:spacing w:val="-2"/>
                <w:sz w:val="22"/>
              </w:rPr>
              <w:t>патологоанатомическое </w:t>
            </w:r>
            <w:r>
              <w:rPr>
                <w:sz w:val="22"/>
              </w:rPr>
              <w:t>исследование биопсийного (операционного)</w:t>
            </w:r>
            <w:r>
              <w:rPr>
                <w:spacing w:val="-12"/>
                <w:sz w:val="22"/>
              </w:rPr>
              <w:t> </w:t>
            </w:r>
            <w:r>
              <w:rPr>
                <w:sz w:val="22"/>
              </w:rPr>
              <w:t>материала</w:t>
            </w:r>
            <w:r>
              <w:rPr>
                <w:spacing w:val="-10"/>
                <w:sz w:val="22"/>
              </w:rPr>
              <w:t> </w:t>
            </w:r>
            <w:r>
              <w:rPr>
                <w:sz w:val="22"/>
              </w:rPr>
              <w:t>с</w:t>
            </w:r>
            <w:r>
              <w:rPr>
                <w:spacing w:val="-10"/>
                <w:sz w:val="22"/>
              </w:rPr>
              <w:t> </w:t>
            </w:r>
            <w:r>
              <w:rPr>
                <w:sz w:val="22"/>
              </w:rPr>
              <w:t>целью диагностики онкологических заболеваний и подбора противоопухолевой лекарственной </w:t>
            </w:r>
            <w:r>
              <w:rPr>
                <w:spacing w:val="-2"/>
                <w:sz w:val="22"/>
              </w:rPr>
              <w:t>терапии</w:t>
            </w:r>
          </w:p>
        </w:tc>
        <w:tc>
          <w:tcPr>
            <w:tcW w:w="1913" w:type="dxa"/>
          </w:tcPr>
          <w:p>
            <w:pPr>
              <w:pStyle w:val="TableParagraph"/>
              <w:spacing w:line="244" w:lineRule="exact"/>
              <w:ind w:left="146" w:right="210"/>
              <w:jc w:val="center"/>
              <w:rPr>
                <w:sz w:val="22"/>
              </w:rPr>
            </w:pPr>
            <w:r>
              <w:rPr>
                <w:spacing w:val="-2"/>
                <w:sz w:val="22"/>
              </w:rPr>
              <w:t>исследования</w:t>
            </w:r>
          </w:p>
        </w:tc>
        <w:tc>
          <w:tcPr>
            <w:tcW w:w="1442" w:type="dxa"/>
          </w:tcPr>
          <w:p>
            <w:pPr>
              <w:pStyle w:val="TableParagraph"/>
              <w:spacing w:line="244" w:lineRule="exact"/>
              <w:ind w:right="446"/>
              <w:jc w:val="right"/>
              <w:rPr>
                <w:sz w:val="22"/>
              </w:rPr>
            </w:pPr>
            <w:r>
              <w:rPr>
                <w:spacing w:val="-2"/>
                <w:sz w:val="22"/>
              </w:rPr>
              <w:t>0,01321</w:t>
            </w:r>
          </w:p>
        </w:tc>
        <w:tc>
          <w:tcPr>
            <w:tcW w:w="1514" w:type="dxa"/>
          </w:tcPr>
          <w:p>
            <w:pPr>
              <w:pStyle w:val="TableParagraph"/>
              <w:spacing w:line="244" w:lineRule="exact"/>
              <w:ind w:left="383" w:right="390"/>
              <w:jc w:val="center"/>
              <w:rPr>
                <w:sz w:val="22"/>
              </w:rPr>
            </w:pPr>
            <w:r>
              <w:rPr>
                <w:spacing w:val="-2"/>
                <w:sz w:val="22"/>
              </w:rPr>
              <w:t>2021,3</w:t>
            </w:r>
          </w:p>
        </w:tc>
        <w:tc>
          <w:tcPr>
            <w:tcW w:w="1698" w:type="dxa"/>
          </w:tcPr>
          <w:p>
            <w:pPr>
              <w:pStyle w:val="TableParagraph"/>
              <w:spacing w:line="244" w:lineRule="exact"/>
              <w:ind w:left="396" w:right="452"/>
              <w:jc w:val="center"/>
              <w:rPr>
                <w:sz w:val="22"/>
              </w:rPr>
            </w:pPr>
            <w:r>
              <w:rPr>
                <w:spacing w:val="-2"/>
                <w:sz w:val="22"/>
              </w:rPr>
              <w:t>0,01321</w:t>
            </w:r>
          </w:p>
        </w:tc>
        <w:tc>
          <w:tcPr>
            <w:tcW w:w="1638" w:type="dxa"/>
          </w:tcPr>
          <w:p>
            <w:pPr>
              <w:pStyle w:val="TableParagraph"/>
              <w:spacing w:line="244" w:lineRule="exact"/>
              <w:ind w:left="455" w:right="441"/>
              <w:jc w:val="center"/>
              <w:rPr>
                <w:sz w:val="22"/>
              </w:rPr>
            </w:pPr>
            <w:r>
              <w:rPr>
                <w:spacing w:val="-2"/>
                <w:sz w:val="22"/>
              </w:rPr>
              <w:t>2142,1</w:t>
            </w:r>
          </w:p>
        </w:tc>
        <w:tc>
          <w:tcPr>
            <w:tcW w:w="1694" w:type="dxa"/>
          </w:tcPr>
          <w:p>
            <w:pPr>
              <w:pStyle w:val="TableParagraph"/>
              <w:spacing w:line="244" w:lineRule="exact"/>
              <w:ind w:left="207" w:right="160"/>
              <w:jc w:val="center"/>
              <w:rPr>
                <w:sz w:val="22"/>
              </w:rPr>
            </w:pPr>
            <w:r>
              <w:rPr>
                <w:spacing w:val="-2"/>
                <w:sz w:val="22"/>
              </w:rPr>
              <w:t>0,01321</w:t>
            </w:r>
          </w:p>
        </w:tc>
        <w:tc>
          <w:tcPr>
            <w:tcW w:w="1179" w:type="dxa"/>
          </w:tcPr>
          <w:p>
            <w:pPr>
              <w:pStyle w:val="TableParagraph"/>
              <w:spacing w:line="244" w:lineRule="exact"/>
              <w:ind w:left="469"/>
              <w:rPr>
                <w:sz w:val="22"/>
              </w:rPr>
            </w:pPr>
            <w:r>
              <w:rPr>
                <w:spacing w:val="-2"/>
                <w:sz w:val="22"/>
              </w:rPr>
              <w:t>2271,9</w:t>
            </w:r>
          </w:p>
        </w:tc>
      </w:tr>
      <w:tr>
        <w:trPr>
          <w:trHeight w:val="838" w:hRule="atLeast"/>
        </w:trPr>
        <w:tc>
          <w:tcPr>
            <w:tcW w:w="4307" w:type="dxa"/>
          </w:tcPr>
          <w:p>
            <w:pPr>
              <w:pStyle w:val="TableParagraph"/>
              <w:spacing w:before="36"/>
              <w:ind w:left="758" w:right="351"/>
              <w:rPr>
                <w:sz w:val="22"/>
              </w:rPr>
            </w:pPr>
            <w:r>
              <w:rPr>
                <w:sz w:val="22"/>
              </w:rPr>
              <w:t>тестирование</w:t>
            </w:r>
            <w:r>
              <w:rPr>
                <w:spacing w:val="-14"/>
                <w:sz w:val="22"/>
              </w:rPr>
              <w:t> </w:t>
            </w:r>
            <w:r>
              <w:rPr>
                <w:sz w:val="22"/>
              </w:rPr>
              <w:t>на</w:t>
            </w:r>
            <w:r>
              <w:rPr>
                <w:spacing w:val="-13"/>
                <w:sz w:val="22"/>
              </w:rPr>
              <w:t> </w:t>
            </w:r>
            <w:r>
              <w:rPr>
                <w:sz w:val="22"/>
              </w:rPr>
              <w:t>выявление</w:t>
            </w:r>
            <w:r>
              <w:rPr>
                <w:spacing w:val="-14"/>
                <w:sz w:val="22"/>
              </w:rPr>
              <w:t> </w:t>
            </w:r>
            <w:r>
              <w:rPr>
                <w:sz w:val="22"/>
              </w:rPr>
              <w:t>новой коронавирусной инфекции </w:t>
            </w:r>
            <w:r>
              <w:rPr>
                <w:spacing w:val="-2"/>
                <w:sz w:val="22"/>
              </w:rPr>
              <w:t>(COVID-19)</w:t>
            </w:r>
          </w:p>
        </w:tc>
        <w:tc>
          <w:tcPr>
            <w:tcW w:w="1913" w:type="dxa"/>
          </w:tcPr>
          <w:p>
            <w:pPr>
              <w:pStyle w:val="TableParagraph"/>
              <w:spacing w:before="36"/>
              <w:ind w:left="144" w:right="210"/>
              <w:jc w:val="center"/>
              <w:rPr>
                <w:sz w:val="22"/>
              </w:rPr>
            </w:pPr>
            <w:r>
              <w:rPr>
                <w:spacing w:val="-2"/>
                <w:sz w:val="22"/>
              </w:rPr>
              <w:t>исследований</w:t>
            </w:r>
          </w:p>
        </w:tc>
        <w:tc>
          <w:tcPr>
            <w:tcW w:w="1442" w:type="dxa"/>
          </w:tcPr>
          <w:p>
            <w:pPr>
              <w:pStyle w:val="TableParagraph"/>
              <w:spacing w:before="36"/>
              <w:ind w:right="446"/>
              <w:jc w:val="right"/>
              <w:rPr>
                <w:sz w:val="22"/>
              </w:rPr>
            </w:pPr>
            <w:r>
              <w:rPr>
                <w:spacing w:val="-2"/>
                <w:sz w:val="22"/>
              </w:rPr>
              <w:t>0,12838</w:t>
            </w:r>
          </w:p>
        </w:tc>
        <w:tc>
          <w:tcPr>
            <w:tcW w:w="1514" w:type="dxa"/>
          </w:tcPr>
          <w:p>
            <w:pPr>
              <w:pStyle w:val="TableParagraph"/>
              <w:spacing w:before="36"/>
              <w:ind w:left="383" w:right="390"/>
              <w:jc w:val="center"/>
              <w:rPr>
                <w:sz w:val="22"/>
              </w:rPr>
            </w:pPr>
            <w:r>
              <w:rPr>
                <w:spacing w:val="-2"/>
                <w:sz w:val="22"/>
              </w:rPr>
              <w:t>600,5</w:t>
            </w:r>
          </w:p>
        </w:tc>
        <w:tc>
          <w:tcPr>
            <w:tcW w:w="1698" w:type="dxa"/>
          </w:tcPr>
          <w:p>
            <w:pPr>
              <w:pStyle w:val="TableParagraph"/>
              <w:spacing w:before="36"/>
              <w:ind w:left="396" w:right="452"/>
              <w:jc w:val="center"/>
              <w:rPr>
                <w:sz w:val="22"/>
              </w:rPr>
            </w:pPr>
            <w:r>
              <w:rPr>
                <w:spacing w:val="-2"/>
                <w:sz w:val="22"/>
              </w:rPr>
              <w:t>0,08987</w:t>
            </w:r>
          </w:p>
        </w:tc>
        <w:tc>
          <w:tcPr>
            <w:tcW w:w="1638" w:type="dxa"/>
          </w:tcPr>
          <w:p>
            <w:pPr>
              <w:pStyle w:val="TableParagraph"/>
              <w:spacing w:before="36"/>
              <w:ind w:left="455" w:right="441"/>
              <w:jc w:val="center"/>
              <w:rPr>
                <w:sz w:val="22"/>
              </w:rPr>
            </w:pPr>
            <w:r>
              <w:rPr>
                <w:spacing w:val="-2"/>
                <w:sz w:val="22"/>
              </w:rPr>
              <w:t>636,4</w:t>
            </w:r>
          </w:p>
        </w:tc>
        <w:tc>
          <w:tcPr>
            <w:tcW w:w="1694" w:type="dxa"/>
          </w:tcPr>
          <w:p>
            <w:pPr>
              <w:pStyle w:val="TableParagraph"/>
              <w:spacing w:before="36"/>
              <w:ind w:left="207" w:right="160"/>
              <w:jc w:val="center"/>
              <w:rPr>
                <w:sz w:val="22"/>
              </w:rPr>
            </w:pPr>
            <w:r>
              <w:rPr>
                <w:spacing w:val="-2"/>
                <w:sz w:val="22"/>
              </w:rPr>
              <w:t>0,07189</w:t>
            </w:r>
          </w:p>
        </w:tc>
        <w:tc>
          <w:tcPr>
            <w:tcW w:w="1179" w:type="dxa"/>
          </w:tcPr>
          <w:p>
            <w:pPr>
              <w:pStyle w:val="TableParagraph"/>
              <w:spacing w:before="36"/>
              <w:ind w:left="606"/>
              <w:rPr>
                <w:sz w:val="22"/>
              </w:rPr>
            </w:pPr>
            <w:r>
              <w:rPr>
                <w:spacing w:val="-5"/>
                <w:sz w:val="22"/>
              </w:rPr>
              <w:t>675</w:t>
            </w:r>
          </w:p>
        </w:tc>
      </w:tr>
      <w:tr>
        <w:trPr>
          <w:trHeight w:val="1092" w:hRule="atLeast"/>
        </w:trPr>
        <w:tc>
          <w:tcPr>
            <w:tcW w:w="4307" w:type="dxa"/>
          </w:tcPr>
          <w:p>
            <w:pPr>
              <w:pStyle w:val="TableParagraph"/>
              <w:spacing w:before="34"/>
              <w:ind w:left="491" w:right="351" w:hanging="17"/>
              <w:rPr>
                <w:sz w:val="22"/>
              </w:rPr>
            </w:pPr>
            <w:r>
              <w:rPr>
                <w:sz w:val="22"/>
              </w:rPr>
              <w:t>обращение по заболеванию при оказании</w:t>
            </w:r>
            <w:r>
              <w:rPr>
                <w:spacing w:val="-12"/>
                <w:sz w:val="22"/>
              </w:rPr>
              <w:t> </w:t>
            </w:r>
            <w:r>
              <w:rPr>
                <w:sz w:val="22"/>
              </w:rPr>
              <w:t>медицинской</w:t>
            </w:r>
            <w:r>
              <w:rPr>
                <w:spacing w:val="-12"/>
                <w:sz w:val="22"/>
              </w:rPr>
              <w:t> </w:t>
            </w:r>
            <w:r>
              <w:rPr>
                <w:sz w:val="22"/>
              </w:rPr>
              <w:t>помощи</w:t>
            </w:r>
            <w:r>
              <w:rPr>
                <w:spacing w:val="-13"/>
                <w:sz w:val="22"/>
              </w:rPr>
              <w:t> </w:t>
            </w:r>
            <w:r>
              <w:rPr>
                <w:sz w:val="22"/>
              </w:rPr>
              <w:t>по профилю "Медицинская </w:t>
            </w:r>
            <w:r>
              <w:rPr>
                <w:spacing w:val="-2"/>
                <w:sz w:val="22"/>
              </w:rPr>
              <w:t>реабилитация"</w:t>
            </w:r>
          </w:p>
        </w:tc>
        <w:tc>
          <w:tcPr>
            <w:tcW w:w="1913" w:type="dxa"/>
          </w:tcPr>
          <w:p>
            <w:pPr>
              <w:pStyle w:val="TableParagraph"/>
              <w:spacing w:before="34"/>
              <w:ind w:left="400" w:hanging="111"/>
              <w:rPr>
                <w:sz w:val="22"/>
              </w:rPr>
            </w:pPr>
            <w:r>
              <w:rPr>
                <w:spacing w:val="-2"/>
                <w:sz w:val="22"/>
              </w:rPr>
              <w:t>комплексных посещений</w:t>
            </w:r>
          </w:p>
        </w:tc>
        <w:tc>
          <w:tcPr>
            <w:tcW w:w="1442" w:type="dxa"/>
          </w:tcPr>
          <w:p>
            <w:pPr>
              <w:pStyle w:val="TableParagraph"/>
              <w:spacing w:before="34"/>
              <w:ind w:right="446"/>
              <w:jc w:val="right"/>
              <w:rPr>
                <w:sz w:val="22"/>
              </w:rPr>
            </w:pPr>
            <w:r>
              <w:rPr>
                <w:spacing w:val="-2"/>
                <w:sz w:val="22"/>
              </w:rPr>
              <w:t>0,00287</w:t>
            </w:r>
          </w:p>
        </w:tc>
        <w:tc>
          <w:tcPr>
            <w:tcW w:w="1514" w:type="dxa"/>
          </w:tcPr>
          <w:p>
            <w:pPr>
              <w:pStyle w:val="TableParagraph"/>
              <w:spacing w:before="34"/>
              <w:ind w:left="383" w:right="390"/>
              <w:jc w:val="center"/>
              <w:rPr>
                <w:sz w:val="22"/>
              </w:rPr>
            </w:pPr>
            <w:r>
              <w:rPr>
                <w:spacing w:val="-2"/>
                <w:sz w:val="22"/>
              </w:rPr>
              <w:t>18438,4</w:t>
            </w:r>
          </w:p>
        </w:tc>
        <w:tc>
          <w:tcPr>
            <w:tcW w:w="1698" w:type="dxa"/>
          </w:tcPr>
          <w:p>
            <w:pPr>
              <w:pStyle w:val="TableParagraph"/>
              <w:spacing w:before="34"/>
              <w:ind w:left="396" w:right="452"/>
              <w:jc w:val="center"/>
              <w:rPr>
                <w:sz w:val="22"/>
              </w:rPr>
            </w:pPr>
            <w:r>
              <w:rPr>
                <w:spacing w:val="-2"/>
                <w:sz w:val="22"/>
              </w:rPr>
              <w:t>0,00294</w:t>
            </w:r>
          </w:p>
        </w:tc>
        <w:tc>
          <w:tcPr>
            <w:tcW w:w="1638" w:type="dxa"/>
          </w:tcPr>
          <w:p>
            <w:pPr>
              <w:pStyle w:val="TableParagraph"/>
              <w:spacing w:before="34"/>
              <w:ind w:left="455" w:right="441"/>
              <w:jc w:val="center"/>
              <w:rPr>
                <w:sz w:val="22"/>
              </w:rPr>
            </w:pPr>
            <w:r>
              <w:rPr>
                <w:spacing w:val="-2"/>
                <w:sz w:val="22"/>
              </w:rPr>
              <w:t>19555,4</w:t>
            </w:r>
          </w:p>
        </w:tc>
        <w:tc>
          <w:tcPr>
            <w:tcW w:w="1694" w:type="dxa"/>
          </w:tcPr>
          <w:p>
            <w:pPr>
              <w:pStyle w:val="TableParagraph"/>
              <w:spacing w:before="34"/>
              <w:ind w:left="207" w:right="160"/>
              <w:jc w:val="center"/>
              <w:rPr>
                <w:sz w:val="22"/>
              </w:rPr>
            </w:pPr>
            <w:r>
              <w:rPr>
                <w:spacing w:val="-2"/>
                <w:sz w:val="22"/>
              </w:rPr>
              <w:t>0,00294</w:t>
            </w:r>
          </w:p>
        </w:tc>
        <w:tc>
          <w:tcPr>
            <w:tcW w:w="1179" w:type="dxa"/>
          </w:tcPr>
          <w:p>
            <w:pPr>
              <w:pStyle w:val="TableParagraph"/>
              <w:spacing w:before="34"/>
              <w:ind w:left="414"/>
              <w:rPr>
                <w:sz w:val="22"/>
              </w:rPr>
            </w:pPr>
            <w:r>
              <w:rPr>
                <w:spacing w:val="-2"/>
                <w:sz w:val="22"/>
              </w:rPr>
              <w:t>19555,4</w:t>
            </w:r>
          </w:p>
        </w:tc>
      </w:tr>
      <w:tr>
        <w:trPr>
          <w:trHeight w:val="1384" w:hRule="atLeast"/>
        </w:trPr>
        <w:tc>
          <w:tcPr>
            <w:tcW w:w="4307" w:type="dxa"/>
          </w:tcPr>
          <w:p>
            <w:pPr>
              <w:pStyle w:val="TableParagraph"/>
              <w:spacing w:before="34"/>
              <w:ind w:left="270" w:right="95" w:hanging="221"/>
              <w:rPr>
                <w:sz w:val="22"/>
              </w:rPr>
            </w:pPr>
            <w:r>
              <w:rPr>
                <w:sz w:val="22"/>
              </w:rPr>
              <w:t>3. В условиях дневных стационаров (первичная</w:t>
            </w:r>
            <w:r>
              <w:rPr>
                <w:spacing w:val="-14"/>
                <w:sz w:val="22"/>
              </w:rPr>
              <w:t> </w:t>
            </w:r>
            <w:r>
              <w:rPr>
                <w:sz w:val="22"/>
              </w:rPr>
              <w:t>медико-санитарная</w:t>
            </w:r>
            <w:r>
              <w:rPr>
                <w:spacing w:val="-14"/>
                <w:sz w:val="22"/>
              </w:rPr>
              <w:t> </w:t>
            </w:r>
            <w:r>
              <w:rPr>
                <w:sz w:val="22"/>
              </w:rPr>
              <w:t>помощь, специализированная медицинская помощь) - всего</w:t>
            </w:r>
          </w:p>
          <w:p>
            <w:pPr>
              <w:pStyle w:val="TableParagraph"/>
              <w:spacing w:line="238" w:lineRule="exact" w:before="80"/>
              <w:ind w:left="474"/>
              <w:rPr>
                <w:sz w:val="22"/>
              </w:rPr>
            </w:pPr>
            <w:r>
              <w:rPr>
                <w:sz w:val="22"/>
              </w:rPr>
              <w:t>в</w:t>
            </w:r>
            <w:r>
              <w:rPr>
                <w:spacing w:val="-1"/>
                <w:sz w:val="22"/>
              </w:rPr>
              <w:t> </w:t>
            </w:r>
            <w:r>
              <w:rPr>
                <w:sz w:val="22"/>
              </w:rPr>
              <w:t>том</w:t>
            </w:r>
            <w:r>
              <w:rPr>
                <w:spacing w:val="-1"/>
                <w:sz w:val="22"/>
              </w:rPr>
              <w:t> </w:t>
            </w:r>
            <w:r>
              <w:rPr>
                <w:spacing w:val="-2"/>
                <w:sz w:val="22"/>
              </w:rPr>
              <w:t>числе:</w:t>
            </w:r>
          </w:p>
        </w:tc>
        <w:tc>
          <w:tcPr>
            <w:tcW w:w="1913" w:type="dxa"/>
          </w:tcPr>
          <w:p>
            <w:pPr>
              <w:pStyle w:val="TableParagraph"/>
              <w:spacing w:before="34"/>
              <w:ind w:left="146" w:right="210"/>
              <w:jc w:val="center"/>
              <w:rPr>
                <w:sz w:val="22"/>
              </w:rPr>
            </w:pPr>
            <w:r>
              <w:rPr>
                <w:sz w:val="22"/>
              </w:rPr>
              <w:t>случаев</w:t>
            </w:r>
            <w:r>
              <w:rPr>
                <w:spacing w:val="-4"/>
                <w:sz w:val="22"/>
              </w:rPr>
              <w:t> </w:t>
            </w:r>
            <w:r>
              <w:rPr>
                <w:spacing w:val="-2"/>
                <w:sz w:val="22"/>
              </w:rPr>
              <w:t>лечения</w:t>
            </w:r>
          </w:p>
        </w:tc>
        <w:tc>
          <w:tcPr>
            <w:tcW w:w="1442" w:type="dxa"/>
          </w:tcPr>
          <w:p>
            <w:pPr>
              <w:pStyle w:val="TableParagraph"/>
              <w:spacing w:before="34"/>
              <w:ind w:right="389"/>
              <w:jc w:val="right"/>
              <w:rPr>
                <w:sz w:val="22"/>
              </w:rPr>
            </w:pPr>
            <w:r>
              <w:rPr>
                <w:spacing w:val="-2"/>
                <w:sz w:val="22"/>
              </w:rPr>
              <w:t>0,070943</w:t>
            </w:r>
          </w:p>
        </w:tc>
        <w:tc>
          <w:tcPr>
            <w:tcW w:w="1514" w:type="dxa"/>
          </w:tcPr>
          <w:p>
            <w:pPr>
              <w:pStyle w:val="TableParagraph"/>
              <w:spacing w:before="34"/>
              <w:ind w:left="383" w:right="390"/>
              <w:jc w:val="center"/>
              <w:rPr>
                <w:sz w:val="22"/>
              </w:rPr>
            </w:pPr>
            <w:r>
              <w:rPr>
                <w:spacing w:val="-2"/>
                <w:sz w:val="22"/>
              </w:rPr>
              <w:t>23885,9</w:t>
            </w:r>
          </w:p>
        </w:tc>
        <w:tc>
          <w:tcPr>
            <w:tcW w:w="1698" w:type="dxa"/>
          </w:tcPr>
          <w:p>
            <w:pPr>
              <w:pStyle w:val="TableParagraph"/>
              <w:spacing w:before="34"/>
              <w:ind w:left="396" w:right="452"/>
              <w:jc w:val="center"/>
              <w:rPr>
                <w:sz w:val="22"/>
              </w:rPr>
            </w:pPr>
            <w:r>
              <w:rPr>
                <w:spacing w:val="-2"/>
                <w:sz w:val="22"/>
              </w:rPr>
              <w:t>0,070957</w:t>
            </w:r>
          </w:p>
        </w:tc>
        <w:tc>
          <w:tcPr>
            <w:tcW w:w="1638" w:type="dxa"/>
          </w:tcPr>
          <w:p>
            <w:pPr>
              <w:pStyle w:val="TableParagraph"/>
              <w:spacing w:before="34"/>
              <w:ind w:left="455" w:right="441"/>
              <w:jc w:val="center"/>
              <w:rPr>
                <w:sz w:val="22"/>
              </w:rPr>
            </w:pPr>
            <w:r>
              <w:rPr>
                <w:spacing w:val="-2"/>
                <w:sz w:val="22"/>
              </w:rPr>
              <w:t>25032,8</w:t>
            </w:r>
          </w:p>
        </w:tc>
        <w:tc>
          <w:tcPr>
            <w:tcW w:w="1694" w:type="dxa"/>
          </w:tcPr>
          <w:p>
            <w:pPr>
              <w:pStyle w:val="TableParagraph"/>
              <w:spacing w:before="34"/>
              <w:ind w:left="207" w:right="160"/>
              <w:jc w:val="center"/>
              <w:rPr>
                <w:sz w:val="22"/>
              </w:rPr>
            </w:pPr>
            <w:r>
              <w:rPr>
                <w:spacing w:val="-2"/>
                <w:sz w:val="22"/>
              </w:rPr>
              <w:t>0,070971</w:t>
            </w:r>
          </w:p>
        </w:tc>
        <w:tc>
          <w:tcPr>
            <w:tcW w:w="1179" w:type="dxa"/>
          </w:tcPr>
          <w:p>
            <w:pPr>
              <w:pStyle w:val="TableParagraph"/>
              <w:spacing w:before="34"/>
              <w:ind w:left="414"/>
              <w:rPr>
                <w:sz w:val="22"/>
              </w:rPr>
            </w:pPr>
            <w:r>
              <w:rPr>
                <w:spacing w:val="-2"/>
                <w:sz w:val="22"/>
              </w:rPr>
              <w:t>26534,3</w:t>
            </w:r>
          </w:p>
        </w:tc>
      </w:tr>
      <w:tr>
        <w:trPr>
          <w:trHeight w:val="799" w:hRule="atLeast"/>
        </w:trPr>
        <w:tc>
          <w:tcPr>
            <w:tcW w:w="4307" w:type="dxa"/>
          </w:tcPr>
          <w:p>
            <w:pPr>
              <w:pStyle w:val="TableParagraph"/>
              <w:ind w:left="491" w:right="95" w:hanging="17"/>
              <w:rPr>
                <w:sz w:val="22"/>
              </w:rPr>
            </w:pPr>
            <w:r>
              <w:rPr>
                <w:sz w:val="22"/>
              </w:rPr>
              <w:t>для</w:t>
            </w:r>
            <w:r>
              <w:rPr>
                <w:spacing w:val="-12"/>
                <w:sz w:val="22"/>
              </w:rPr>
              <w:t> </w:t>
            </w:r>
            <w:r>
              <w:rPr>
                <w:sz w:val="22"/>
              </w:rPr>
              <w:t>оказания</w:t>
            </w:r>
            <w:r>
              <w:rPr>
                <w:spacing w:val="-13"/>
                <w:sz w:val="22"/>
              </w:rPr>
              <w:t> </w:t>
            </w:r>
            <w:r>
              <w:rPr>
                <w:sz w:val="22"/>
              </w:rPr>
              <w:t>медицинской</w:t>
            </w:r>
            <w:r>
              <w:rPr>
                <w:spacing w:val="-12"/>
                <w:sz w:val="22"/>
              </w:rPr>
              <w:t> </w:t>
            </w:r>
            <w:r>
              <w:rPr>
                <w:sz w:val="22"/>
              </w:rPr>
              <w:t>помощи федеральными медицинскими </w:t>
            </w:r>
            <w:r>
              <w:rPr>
                <w:spacing w:val="-2"/>
                <w:sz w:val="22"/>
              </w:rPr>
              <w:t>организациями</w:t>
            </w:r>
          </w:p>
        </w:tc>
        <w:tc>
          <w:tcPr>
            <w:tcW w:w="1913" w:type="dxa"/>
          </w:tcPr>
          <w:p>
            <w:pPr>
              <w:pStyle w:val="TableParagraph"/>
              <w:spacing w:line="249" w:lineRule="exact"/>
              <w:ind w:left="146" w:right="210"/>
              <w:jc w:val="center"/>
              <w:rPr>
                <w:sz w:val="22"/>
              </w:rPr>
            </w:pPr>
            <w:r>
              <w:rPr>
                <w:sz w:val="22"/>
              </w:rPr>
              <w:t>случаев</w:t>
            </w:r>
            <w:r>
              <w:rPr>
                <w:spacing w:val="-4"/>
                <w:sz w:val="22"/>
              </w:rPr>
              <w:t> </w:t>
            </w:r>
            <w:r>
              <w:rPr>
                <w:spacing w:val="-2"/>
                <w:sz w:val="22"/>
              </w:rPr>
              <w:t>лечения</w:t>
            </w:r>
          </w:p>
        </w:tc>
        <w:tc>
          <w:tcPr>
            <w:tcW w:w="1442" w:type="dxa"/>
          </w:tcPr>
          <w:p>
            <w:pPr>
              <w:pStyle w:val="TableParagraph"/>
              <w:spacing w:line="249" w:lineRule="exact"/>
              <w:ind w:right="389"/>
              <w:jc w:val="right"/>
              <w:rPr>
                <w:sz w:val="22"/>
              </w:rPr>
            </w:pPr>
            <w:r>
              <w:rPr>
                <w:spacing w:val="-2"/>
                <w:sz w:val="22"/>
              </w:rPr>
              <w:t>0,002352</w:t>
            </w:r>
          </w:p>
        </w:tc>
        <w:tc>
          <w:tcPr>
            <w:tcW w:w="1514" w:type="dxa"/>
          </w:tcPr>
          <w:p>
            <w:pPr>
              <w:pStyle w:val="TableParagraph"/>
              <w:spacing w:line="249" w:lineRule="exact"/>
              <w:ind w:left="383" w:right="390"/>
              <w:jc w:val="center"/>
              <w:rPr>
                <w:sz w:val="22"/>
              </w:rPr>
            </w:pPr>
            <w:r>
              <w:rPr>
                <w:spacing w:val="-2"/>
                <w:sz w:val="22"/>
              </w:rPr>
              <w:t>44102,9</w:t>
            </w:r>
          </w:p>
        </w:tc>
        <w:tc>
          <w:tcPr>
            <w:tcW w:w="1698" w:type="dxa"/>
          </w:tcPr>
          <w:p>
            <w:pPr>
              <w:pStyle w:val="TableParagraph"/>
              <w:spacing w:line="249" w:lineRule="exact"/>
              <w:ind w:left="396" w:right="452"/>
              <w:jc w:val="center"/>
              <w:rPr>
                <w:sz w:val="22"/>
              </w:rPr>
            </w:pPr>
            <w:r>
              <w:rPr>
                <w:spacing w:val="-2"/>
                <w:sz w:val="22"/>
              </w:rPr>
              <w:t>0,002352</w:t>
            </w:r>
          </w:p>
        </w:tc>
        <w:tc>
          <w:tcPr>
            <w:tcW w:w="1638" w:type="dxa"/>
          </w:tcPr>
          <w:p>
            <w:pPr>
              <w:pStyle w:val="TableParagraph"/>
              <w:spacing w:line="249" w:lineRule="exact"/>
              <w:ind w:left="455" w:right="441"/>
              <w:jc w:val="center"/>
              <w:rPr>
                <w:sz w:val="22"/>
              </w:rPr>
            </w:pPr>
            <w:r>
              <w:rPr>
                <w:spacing w:val="-2"/>
                <w:sz w:val="22"/>
              </w:rPr>
              <w:t>46166,5</w:t>
            </w:r>
          </w:p>
        </w:tc>
        <w:tc>
          <w:tcPr>
            <w:tcW w:w="1694" w:type="dxa"/>
          </w:tcPr>
          <w:p>
            <w:pPr>
              <w:pStyle w:val="TableParagraph"/>
              <w:spacing w:line="249" w:lineRule="exact"/>
              <w:ind w:left="207" w:right="160"/>
              <w:jc w:val="center"/>
              <w:rPr>
                <w:sz w:val="22"/>
              </w:rPr>
            </w:pPr>
            <w:r>
              <w:rPr>
                <w:spacing w:val="-2"/>
                <w:sz w:val="22"/>
              </w:rPr>
              <w:t>0,002352</w:t>
            </w:r>
          </w:p>
        </w:tc>
        <w:tc>
          <w:tcPr>
            <w:tcW w:w="1179" w:type="dxa"/>
          </w:tcPr>
          <w:p>
            <w:pPr>
              <w:pStyle w:val="TableParagraph"/>
              <w:spacing w:line="249" w:lineRule="exact"/>
              <w:ind w:left="414"/>
              <w:rPr>
                <w:sz w:val="22"/>
              </w:rPr>
            </w:pPr>
            <w:r>
              <w:rPr>
                <w:spacing w:val="-2"/>
                <w:sz w:val="22"/>
              </w:rPr>
              <w:t>48396,4</w:t>
            </w:r>
          </w:p>
        </w:tc>
      </w:tr>
      <w:tr>
        <w:trPr>
          <w:trHeight w:val="1048" w:hRule="atLeast"/>
        </w:trPr>
        <w:tc>
          <w:tcPr>
            <w:tcW w:w="4307" w:type="dxa"/>
          </w:tcPr>
          <w:p>
            <w:pPr>
              <w:pStyle w:val="TableParagraph"/>
              <w:spacing w:before="34"/>
              <w:ind w:left="491" w:right="95" w:hanging="17"/>
              <w:rPr>
                <w:sz w:val="22"/>
              </w:rPr>
            </w:pPr>
            <w:r>
              <w:rPr>
                <w:sz w:val="22"/>
              </w:rPr>
              <w:t>для</w:t>
            </w:r>
            <w:r>
              <w:rPr>
                <w:spacing w:val="-12"/>
                <w:sz w:val="22"/>
              </w:rPr>
              <w:t> </w:t>
            </w:r>
            <w:r>
              <w:rPr>
                <w:sz w:val="22"/>
              </w:rPr>
              <w:t>оказания</w:t>
            </w:r>
            <w:r>
              <w:rPr>
                <w:spacing w:val="-13"/>
                <w:sz w:val="22"/>
              </w:rPr>
              <w:t> </w:t>
            </w:r>
            <w:r>
              <w:rPr>
                <w:sz w:val="22"/>
              </w:rPr>
              <w:t>медицинской</w:t>
            </w:r>
            <w:r>
              <w:rPr>
                <w:spacing w:val="-12"/>
                <w:sz w:val="22"/>
              </w:rPr>
              <w:t> </w:t>
            </w:r>
            <w:r>
              <w:rPr>
                <w:sz w:val="22"/>
              </w:rPr>
              <w:t>помощи медицинскими организациями</w:t>
            </w:r>
          </w:p>
          <w:p>
            <w:pPr>
              <w:pStyle w:val="TableParagraph"/>
              <w:spacing w:line="254" w:lineRule="exact"/>
              <w:ind w:left="491" w:right="95"/>
              <w:rPr>
                <w:sz w:val="22"/>
              </w:rPr>
            </w:pPr>
            <w:r>
              <w:rPr>
                <w:sz w:val="22"/>
              </w:rPr>
              <w:t>(за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913" w:type="dxa"/>
          </w:tcPr>
          <w:p>
            <w:pPr>
              <w:pStyle w:val="TableParagraph"/>
              <w:spacing w:before="34"/>
              <w:ind w:left="145" w:right="210"/>
              <w:jc w:val="center"/>
              <w:rPr>
                <w:sz w:val="22"/>
              </w:rPr>
            </w:pPr>
            <w:r>
              <w:rPr>
                <w:sz w:val="22"/>
              </w:rPr>
              <w:t>случай</w:t>
            </w:r>
            <w:r>
              <w:rPr>
                <w:spacing w:val="-3"/>
                <w:sz w:val="22"/>
              </w:rPr>
              <w:t> </w:t>
            </w:r>
            <w:r>
              <w:rPr>
                <w:spacing w:val="-2"/>
                <w:sz w:val="22"/>
              </w:rPr>
              <w:t>лечения</w:t>
            </w:r>
          </w:p>
        </w:tc>
        <w:tc>
          <w:tcPr>
            <w:tcW w:w="1442" w:type="dxa"/>
          </w:tcPr>
          <w:p>
            <w:pPr>
              <w:pStyle w:val="TableParagraph"/>
              <w:spacing w:before="34"/>
              <w:ind w:right="389"/>
              <w:jc w:val="right"/>
              <w:rPr>
                <w:sz w:val="22"/>
              </w:rPr>
            </w:pPr>
            <w:r>
              <w:rPr>
                <w:spacing w:val="-2"/>
                <w:sz w:val="22"/>
              </w:rPr>
              <w:t>0,068591</w:t>
            </w:r>
          </w:p>
        </w:tc>
        <w:tc>
          <w:tcPr>
            <w:tcW w:w="1514" w:type="dxa"/>
          </w:tcPr>
          <w:p>
            <w:pPr>
              <w:pStyle w:val="TableParagraph"/>
              <w:spacing w:before="34"/>
              <w:ind w:left="383" w:right="390"/>
              <w:jc w:val="center"/>
              <w:rPr>
                <w:sz w:val="22"/>
              </w:rPr>
            </w:pPr>
            <w:r>
              <w:rPr>
                <w:spacing w:val="-2"/>
                <w:sz w:val="22"/>
              </w:rPr>
              <w:t>23192,7</w:t>
            </w:r>
          </w:p>
        </w:tc>
        <w:tc>
          <w:tcPr>
            <w:tcW w:w="1698" w:type="dxa"/>
          </w:tcPr>
          <w:p>
            <w:pPr>
              <w:pStyle w:val="TableParagraph"/>
              <w:spacing w:before="34"/>
              <w:ind w:left="396" w:right="452"/>
              <w:jc w:val="center"/>
              <w:rPr>
                <w:sz w:val="22"/>
              </w:rPr>
            </w:pPr>
            <w:r>
              <w:rPr>
                <w:spacing w:val="-2"/>
                <w:sz w:val="22"/>
              </w:rPr>
              <w:t>0,068605</w:t>
            </w:r>
          </w:p>
        </w:tc>
        <w:tc>
          <w:tcPr>
            <w:tcW w:w="1638" w:type="dxa"/>
          </w:tcPr>
          <w:p>
            <w:pPr>
              <w:pStyle w:val="TableParagraph"/>
              <w:spacing w:before="34"/>
              <w:ind w:left="455" w:right="441"/>
              <w:jc w:val="center"/>
              <w:rPr>
                <w:sz w:val="22"/>
              </w:rPr>
            </w:pPr>
            <w:r>
              <w:rPr>
                <w:spacing w:val="-2"/>
                <w:sz w:val="22"/>
              </w:rPr>
              <w:t>24308,3</w:t>
            </w:r>
          </w:p>
        </w:tc>
        <w:tc>
          <w:tcPr>
            <w:tcW w:w="1694" w:type="dxa"/>
          </w:tcPr>
          <w:p>
            <w:pPr>
              <w:pStyle w:val="TableParagraph"/>
              <w:spacing w:before="34"/>
              <w:ind w:left="207" w:right="160"/>
              <w:jc w:val="center"/>
              <w:rPr>
                <w:sz w:val="22"/>
              </w:rPr>
            </w:pPr>
            <w:r>
              <w:rPr>
                <w:spacing w:val="-2"/>
                <w:sz w:val="22"/>
              </w:rPr>
              <w:t>0,068619</w:t>
            </w:r>
          </w:p>
        </w:tc>
        <w:tc>
          <w:tcPr>
            <w:tcW w:w="1179" w:type="dxa"/>
          </w:tcPr>
          <w:p>
            <w:pPr>
              <w:pStyle w:val="TableParagraph"/>
              <w:spacing w:before="34"/>
              <w:ind w:left="414"/>
              <w:rPr>
                <w:sz w:val="22"/>
              </w:rPr>
            </w:pPr>
            <w:r>
              <w:rPr>
                <w:spacing w:val="-2"/>
                <w:sz w:val="22"/>
              </w:rPr>
              <w:t>25784,9</w:t>
            </w:r>
          </w:p>
        </w:tc>
      </w:tr>
    </w:tbl>
    <w:p>
      <w:pPr>
        <w:spacing w:after="0"/>
        <w:rPr>
          <w:sz w:val="22"/>
        </w:rPr>
        <w:sectPr>
          <w:pgSz w:w="16850" w:h="11910" w:orient="landscape"/>
          <w:pgMar w:header="751" w:footer="0" w:top="106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1"/>
        <w:gridCol w:w="1940"/>
        <w:gridCol w:w="1415"/>
        <w:gridCol w:w="1570"/>
        <w:gridCol w:w="1643"/>
        <w:gridCol w:w="1693"/>
        <w:gridCol w:w="1639"/>
        <w:gridCol w:w="1262"/>
      </w:tblGrid>
      <w:tr>
        <w:trPr>
          <w:trHeight w:val="833" w:hRule="atLeast"/>
        </w:trPr>
        <w:tc>
          <w:tcPr>
            <w:tcW w:w="4281" w:type="dxa"/>
          </w:tcPr>
          <w:p>
            <w:pPr>
              <w:pStyle w:val="TableParagraph"/>
              <w:ind w:left="491" w:hanging="17"/>
              <w:rPr>
                <w:sz w:val="22"/>
              </w:rPr>
            </w:pPr>
            <w:r>
              <w:rPr>
                <w:sz w:val="22"/>
              </w:rPr>
              <w:t>для</w:t>
            </w:r>
            <w:r>
              <w:rPr>
                <w:spacing w:val="-9"/>
                <w:sz w:val="22"/>
              </w:rPr>
              <w:t> </w:t>
            </w:r>
            <w:r>
              <w:rPr>
                <w:sz w:val="22"/>
              </w:rPr>
              <w:t>оказания</w:t>
            </w:r>
            <w:r>
              <w:rPr>
                <w:spacing w:val="-10"/>
                <w:sz w:val="22"/>
              </w:rPr>
              <w:t> </w:t>
            </w:r>
            <w:r>
              <w:rPr>
                <w:sz w:val="22"/>
              </w:rPr>
              <w:t>медицинской</w:t>
            </w:r>
            <w:r>
              <w:rPr>
                <w:spacing w:val="-9"/>
                <w:sz w:val="22"/>
              </w:rPr>
              <w:t> </w:t>
            </w:r>
            <w:r>
              <w:rPr>
                <w:sz w:val="22"/>
              </w:rPr>
              <w:t>помощи</w:t>
            </w:r>
            <w:r>
              <w:rPr>
                <w:spacing w:val="-9"/>
                <w:sz w:val="22"/>
              </w:rPr>
              <w:t> </w:t>
            </w:r>
            <w:r>
              <w:rPr>
                <w:sz w:val="22"/>
              </w:rPr>
              <w:t>по профилю "онкология" - всего</w:t>
            </w:r>
          </w:p>
          <w:p>
            <w:pPr>
              <w:pStyle w:val="TableParagraph"/>
              <w:spacing w:line="238" w:lineRule="exact" w:before="69"/>
              <w:ind w:left="758"/>
              <w:rPr>
                <w:sz w:val="22"/>
              </w:rPr>
            </w:pPr>
            <w:r>
              <w:rPr>
                <w:sz w:val="22"/>
              </w:rPr>
              <w:t>в</w:t>
            </w:r>
            <w:r>
              <w:rPr>
                <w:spacing w:val="-1"/>
                <w:sz w:val="22"/>
              </w:rPr>
              <w:t> </w:t>
            </w:r>
            <w:r>
              <w:rPr>
                <w:sz w:val="22"/>
              </w:rPr>
              <w:t>том</w:t>
            </w:r>
            <w:r>
              <w:rPr>
                <w:spacing w:val="-1"/>
                <w:sz w:val="22"/>
              </w:rPr>
              <w:t> </w:t>
            </w:r>
            <w:r>
              <w:rPr>
                <w:spacing w:val="-2"/>
                <w:sz w:val="22"/>
              </w:rPr>
              <w:t>числе:</w:t>
            </w:r>
          </w:p>
        </w:tc>
        <w:tc>
          <w:tcPr>
            <w:tcW w:w="1940" w:type="dxa"/>
          </w:tcPr>
          <w:p>
            <w:pPr>
              <w:pStyle w:val="TableParagraph"/>
              <w:spacing w:line="244" w:lineRule="exact"/>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line="244" w:lineRule="exact"/>
              <w:ind w:left="221"/>
              <w:rPr>
                <w:sz w:val="22"/>
              </w:rPr>
            </w:pPr>
            <w:r>
              <w:rPr>
                <w:spacing w:val="-2"/>
                <w:sz w:val="22"/>
              </w:rPr>
              <w:t>0,009388</w:t>
            </w:r>
          </w:p>
        </w:tc>
        <w:tc>
          <w:tcPr>
            <w:tcW w:w="1570" w:type="dxa"/>
          </w:tcPr>
          <w:p>
            <w:pPr>
              <w:pStyle w:val="TableParagraph"/>
              <w:spacing w:line="244" w:lineRule="exact"/>
              <w:ind w:right="432"/>
              <w:jc w:val="right"/>
              <w:rPr>
                <w:sz w:val="22"/>
              </w:rPr>
            </w:pPr>
            <w:r>
              <w:rPr>
                <w:spacing w:val="-2"/>
                <w:sz w:val="22"/>
              </w:rPr>
              <w:t>79186,3</w:t>
            </w:r>
          </w:p>
        </w:tc>
        <w:tc>
          <w:tcPr>
            <w:tcW w:w="1643" w:type="dxa"/>
          </w:tcPr>
          <w:p>
            <w:pPr>
              <w:pStyle w:val="TableParagraph"/>
              <w:spacing w:line="244" w:lineRule="exact"/>
              <w:ind w:left="375"/>
              <w:rPr>
                <w:sz w:val="22"/>
              </w:rPr>
            </w:pPr>
            <w:r>
              <w:rPr>
                <w:spacing w:val="-2"/>
                <w:sz w:val="22"/>
              </w:rPr>
              <w:t>0,009388</w:t>
            </w:r>
          </w:p>
        </w:tc>
        <w:tc>
          <w:tcPr>
            <w:tcW w:w="1693" w:type="dxa"/>
          </w:tcPr>
          <w:p>
            <w:pPr>
              <w:pStyle w:val="TableParagraph"/>
              <w:spacing w:line="244" w:lineRule="exact"/>
              <w:ind w:left="426" w:right="417"/>
              <w:jc w:val="center"/>
              <w:rPr>
                <w:sz w:val="22"/>
              </w:rPr>
            </w:pPr>
            <w:r>
              <w:rPr>
                <w:spacing w:val="-2"/>
                <w:sz w:val="22"/>
              </w:rPr>
              <w:t>83066,1</w:t>
            </w:r>
          </w:p>
        </w:tc>
        <w:tc>
          <w:tcPr>
            <w:tcW w:w="1639" w:type="dxa"/>
          </w:tcPr>
          <w:p>
            <w:pPr>
              <w:pStyle w:val="TableParagraph"/>
              <w:spacing w:line="244" w:lineRule="exact"/>
              <w:ind w:right="382"/>
              <w:jc w:val="right"/>
              <w:rPr>
                <w:sz w:val="22"/>
              </w:rPr>
            </w:pPr>
            <w:r>
              <w:rPr>
                <w:spacing w:val="-2"/>
                <w:sz w:val="22"/>
              </w:rPr>
              <w:t>0,009388</w:t>
            </w:r>
          </w:p>
        </w:tc>
        <w:tc>
          <w:tcPr>
            <w:tcW w:w="1262" w:type="dxa"/>
          </w:tcPr>
          <w:p>
            <w:pPr>
              <w:pStyle w:val="TableParagraph"/>
              <w:spacing w:line="244" w:lineRule="exact"/>
              <w:ind w:right="104"/>
              <w:jc w:val="right"/>
              <w:rPr>
                <w:sz w:val="22"/>
              </w:rPr>
            </w:pPr>
            <w:r>
              <w:rPr>
                <w:spacing w:val="-2"/>
                <w:sz w:val="22"/>
              </w:rPr>
              <w:t>87165,8</w:t>
            </w:r>
          </w:p>
        </w:tc>
      </w:tr>
      <w:tr>
        <w:trPr>
          <w:trHeight w:val="547" w:hRule="atLeast"/>
        </w:trPr>
        <w:tc>
          <w:tcPr>
            <w:tcW w:w="4281" w:type="dxa"/>
          </w:tcPr>
          <w:p>
            <w:pPr>
              <w:pStyle w:val="TableParagraph"/>
              <w:spacing w:line="242" w:lineRule="auto"/>
              <w:ind w:left="767" w:right="674" w:hanging="10"/>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940" w:type="dxa"/>
          </w:tcPr>
          <w:p>
            <w:pPr>
              <w:pStyle w:val="TableParagraph"/>
              <w:spacing w:line="249" w:lineRule="exact"/>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line="249" w:lineRule="exact"/>
              <w:ind w:left="221"/>
              <w:rPr>
                <w:sz w:val="22"/>
              </w:rPr>
            </w:pPr>
            <w:r>
              <w:rPr>
                <w:spacing w:val="-2"/>
                <w:sz w:val="22"/>
              </w:rPr>
              <w:t>0,000381</w:t>
            </w:r>
          </w:p>
        </w:tc>
        <w:tc>
          <w:tcPr>
            <w:tcW w:w="1570" w:type="dxa"/>
          </w:tcPr>
          <w:p>
            <w:pPr>
              <w:pStyle w:val="TableParagraph"/>
              <w:spacing w:line="249" w:lineRule="exact"/>
              <w:ind w:right="432"/>
              <w:jc w:val="right"/>
              <w:rPr>
                <w:sz w:val="22"/>
              </w:rPr>
            </w:pPr>
            <w:r>
              <w:rPr>
                <w:spacing w:val="-2"/>
                <w:sz w:val="22"/>
              </w:rPr>
              <w:t>79186,3</w:t>
            </w:r>
          </w:p>
        </w:tc>
        <w:tc>
          <w:tcPr>
            <w:tcW w:w="1643" w:type="dxa"/>
          </w:tcPr>
          <w:p>
            <w:pPr>
              <w:pStyle w:val="TableParagraph"/>
              <w:spacing w:line="249" w:lineRule="exact"/>
              <w:ind w:left="375"/>
              <w:rPr>
                <w:sz w:val="22"/>
              </w:rPr>
            </w:pPr>
            <w:r>
              <w:rPr>
                <w:spacing w:val="-2"/>
                <w:sz w:val="22"/>
              </w:rPr>
              <w:t>0,000381</w:t>
            </w:r>
          </w:p>
        </w:tc>
        <w:tc>
          <w:tcPr>
            <w:tcW w:w="1693" w:type="dxa"/>
          </w:tcPr>
          <w:p>
            <w:pPr>
              <w:pStyle w:val="TableParagraph"/>
              <w:spacing w:line="249" w:lineRule="exact"/>
              <w:ind w:left="426" w:right="417"/>
              <w:jc w:val="center"/>
              <w:rPr>
                <w:sz w:val="22"/>
              </w:rPr>
            </w:pPr>
            <w:r>
              <w:rPr>
                <w:spacing w:val="-2"/>
                <w:sz w:val="22"/>
              </w:rPr>
              <w:t>83066,1</w:t>
            </w:r>
          </w:p>
        </w:tc>
        <w:tc>
          <w:tcPr>
            <w:tcW w:w="1639" w:type="dxa"/>
          </w:tcPr>
          <w:p>
            <w:pPr>
              <w:pStyle w:val="TableParagraph"/>
              <w:spacing w:line="249" w:lineRule="exact"/>
              <w:ind w:right="382"/>
              <w:jc w:val="right"/>
              <w:rPr>
                <w:sz w:val="22"/>
              </w:rPr>
            </w:pPr>
            <w:r>
              <w:rPr>
                <w:spacing w:val="-2"/>
                <w:sz w:val="22"/>
              </w:rPr>
              <w:t>0,000381</w:t>
            </w:r>
          </w:p>
        </w:tc>
        <w:tc>
          <w:tcPr>
            <w:tcW w:w="1262" w:type="dxa"/>
          </w:tcPr>
          <w:p>
            <w:pPr>
              <w:pStyle w:val="TableParagraph"/>
              <w:spacing w:line="249" w:lineRule="exact"/>
              <w:ind w:right="104"/>
              <w:jc w:val="right"/>
              <w:rPr>
                <w:sz w:val="22"/>
              </w:rPr>
            </w:pPr>
            <w:r>
              <w:rPr>
                <w:spacing w:val="-2"/>
                <w:sz w:val="22"/>
              </w:rPr>
              <w:t>87165,8</w:t>
            </w:r>
          </w:p>
        </w:tc>
      </w:tr>
      <w:tr>
        <w:trPr>
          <w:trHeight w:val="838" w:hRule="atLeast"/>
        </w:trPr>
        <w:tc>
          <w:tcPr>
            <w:tcW w:w="4281" w:type="dxa"/>
          </w:tcPr>
          <w:p>
            <w:pPr>
              <w:pStyle w:val="TableParagraph"/>
              <w:spacing w:before="34"/>
              <w:ind w:left="750" w:right="639" w:firstLine="7"/>
              <w:jc w:val="both"/>
              <w:rPr>
                <w:sz w:val="22"/>
              </w:rPr>
            </w:pPr>
            <w:r>
              <w:rPr>
                <w:sz w:val="22"/>
              </w:rPr>
              <w:t>медицинскими</w:t>
            </w:r>
            <w:r>
              <w:rPr>
                <w:spacing w:val="-14"/>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940" w:type="dxa"/>
          </w:tcPr>
          <w:p>
            <w:pPr>
              <w:pStyle w:val="TableParagraph"/>
              <w:spacing w:before="34"/>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4"/>
              <w:ind w:left="221"/>
              <w:rPr>
                <w:sz w:val="22"/>
              </w:rPr>
            </w:pPr>
            <w:r>
              <w:rPr>
                <w:spacing w:val="-2"/>
                <w:sz w:val="22"/>
              </w:rPr>
              <w:t>0,009007</w:t>
            </w:r>
          </w:p>
        </w:tc>
        <w:tc>
          <w:tcPr>
            <w:tcW w:w="1570" w:type="dxa"/>
          </w:tcPr>
          <w:p>
            <w:pPr>
              <w:pStyle w:val="TableParagraph"/>
              <w:spacing w:before="34"/>
              <w:ind w:right="432"/>
              <w:jc w:val="right"/>
              <w:rPr>
                <w:sz w:val="22"/>
              </w:rPr>
            </w:pPr>
            <w:r>
              <w:rPr>
                <w:spacing w:val="-2"/>
                <w:sz w:val="22"/>
              </w:rPr>
              <w:t>79186,3</w:t>
            </w:r>
          </w:p>
        </w:tc>
        <w:tc>
          <w:tcPr>
            <w:tcW w:w="1643" w:type="dxa"/>
          </w:tcPr>
          <w:p>
            <w:pPr>
              <w:pStyle w:val="TableParagraph"/>
              <w:spacing w:before="34"/>
              <w:ind w:left="375"/>
              <w:rPr>
                <w:sz w:val="22"/>
              </w:rPr>
            </w:pPr>
            <w:r>
              <w:rPr>
                <w:spacing w:val="-2"/>
                <w:sz w:val="22"/>
              </w:rPr>
              <w:t>0,009007</w:t>
            </w:r>
          </w:p>
        </w:tc>
        <w:tc>
          <w:tcPr>
            <w:tcW w:w="1693" w:type="dxa"/>
          </w:tcPr>
          <w:p>
            <w:pPr>
              <w:pStyle w:val="TableParagraph"/>
              <w:spacing w:before="34"/>
              <w:ind w:left="426" w:right="417"/>
              <w:jc w:val="center"/>
              <w:rPr>
                <w:sz w:val="22"/>
              </w:rPr>
            </w:pPr>
            <w:r>
              <w:rPr>
                <w:spacing w:val="-2"/>
                <w:sz w:val="22"/>
              </w:rPr>
              <w:t>83066,1</w:t>
            </w:r>
          </w:p>
        </w:tc>
        <w:tc>
          <w:tcPr>
            <w:tcW w:w="1639" w:type="dxa"/>
          </w:tcPr>
          <w:p>
            <w:pPr>
              <w:pStyle w:val="TableParagraph"/>
              <w:spacing w:before="34"/>
              <w:ind w:right="382"/>
              <w:jc w:val="right"/>
              <w:rPr>
                <w:sz w:val="22"/>
              </w:rPr>
            </w:pPr>
            <w:r>
              <w:rPr>
                <w:spacing w:val="-2"/>
                <w:sz w:val="22"/>
              </w:rPr>
              <w:t>0,009007</w:t>
            </w:r>
          </w:p>
        </w:tc>
        <w:tc>
          <w:tcPr>
            <w:tcW w:w="1262" w:type="dxa"/>
          </w:tcPr>
          <w:p>
            <w:pPr>
              <w:pStyle w:val="TableParagraph"/>
              <w:spacing w:before="34"/>
              <w:ind w:right="104"/>
              <w:jc w:val="right"/>
              <w:rPr>
                <w:sz w:val="22"/>
              </w:rPr>
            </w:pPr>
            <w:r>
              <w:rPr>
                <w:spacing w:val="-2"/>
                <w:sz w:val="22"/>
              </w:rPr>
              <w:t>87165,8</w:t>
            </w:r>
          </w:p>
        </w:tc>
      </w:tr>
      <w:tr>
        <w:trPr>
          <w:trHeight w:val="1092" w:hRule="atLeast"/>
        </w:trPr>
        <w:tc>
          <w:tcPr>
            <w:tcW w:w="4281" w:type="dxa"/>
          </w:tcPr>
          <w:p>
            <w:pPr>
              <w:pStyle w:val="TableParagraph"/>
              <w:spacing w:before="36"/>
              <w:ind w:left="491" w:right="178" w:hanging="17"/>
              <w:rPr>
                <w:sz w:val="22"/>
              </w:rPr>
            </w:pPr>
            <w:r>
              <w:rPr>
                <w:sz w:val="22"/>
              </w:rPr>
              <w:t>для</w:t>
            </w:r>
            <w:r>
              <w:rPr>
                <w:spacing w:val="-12"/>
                <w:sz w:val="22"/>
              </w:rPr>
              <w:t> </w:t>
            </w:r>
            <w:r>
              <w:rPr>
                <w:sz w:val="22"/>
              </w:rPr>
              <w:t>оказания</w:t>
            </w:r>
            <w:r>
              <w:rPr>
                <w:spacing w:val="-13"/>
                <w:sz w:val="22"/>
              </w:rPr>
              <w:t> </w:t>
            </w:r>
            <w:r>
              <w:rPr>
                <w:sz w:val="22"/>
              </w:rPr>
              <w:t>медицинской</w:t>
            </w:r>
            <w:r>
              <w:rPr>
                <w:spacing w:val="-12"/>
                <w:sz w:val="22"/>
              </w:rPr>
              <w:t> </w:t>
            </w:r>
            <w:r>
              <w:rPr>
                <w:sz w:val="22"/>
              </w:rPr>
              <w:t>помощи при экстракорпоральном оплодотворении - всего</w:t>
            </w:r>
          </w:p>
          <w:p>
            <w:pPr>
              <w:pStyle w:val="TableParagraph"/>
              <w:ind w:left="758"/>
              <w:rPr>
                <w:sz w:val="22"/>
              </w:rPr>
            </w:pPr>
            <w:r>
              <w:rPr>
                <w:sz w:val="22"/>
              </w:rPr>
              <w:t>в</w:t>
            </w:r>
            <w:r>
              <w:rPr>
                <w:spacing w:val="-1"/>
                <w:sz w:val="22"/>
              </w:rPr>
              <w:t> </w:t>
            </w:r>
            <w:r>
              <w:rPr>
                <w:sz w:val="22"/>
              </w:rPr>
              <w:t>том</w:t>
            </w:r>
            <w:r>
              <w:rPr>
                <w:spacing w:val="-1"/>
                <w:sz w:val="22"/>
              </w:rPr>
              <w:t> </w:t>
            </w:r>
            <w:r>
              <w:rPr>
                <w:spacing w:val="-2"/>
                <w:sz w:val="22"/>
              </w:rPr>
              <w:t>числе:</w:t>
            </w:r>
          </w:p>
        </w:tc>
        <w:tc>
          <w:tcPr>
            <w:tcW w:w="1940" w:type="dxa"/>
          </w:tcPr>
          <w:p>
            <w:pPr>
              <w:pStyle w:val="TableParagraph"/>
              <w:spacing w:before="36"/>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6"/>
              <w:ind w:left="221"/>
              <w:rPr>
                <w:sz w:val="22"/>
              </w:rPr>
            </w:pPr>
            <w:r>
              <w:rPr>
                <w:spacing w:val="-2"/>
                <w:sz w:val="22"/>
              </w:rPr>
              <w:t>0,000522</w:t>
            </w:r>
          </w:p>
        </w:tc>
        <w:tc>
          <w:tcPr>
            <w:tcW w:w="1570" w:type="dxa"/>
          </w:tcPr>
          <w:p>
            <w:pPr>
              <w:pStyle w:val="TableParagraph"/>
              <w:spacing w:before="36"/>
              <w:ind w:right="375"/>
              <w:jc w:val="right"/>
              <w:rPr>
                <w:sz w:val="22"/>
              </w:rPr>
            </w:pPr>
            <w:r>
              <w:rPr>
                <w:spacing w:val="-2"/>
                <w:sz w:val="22"/>
              </w:rPr>
              <w:t>127809,8</w:t>
            </w:r>
          </w:p>
        </w:tc>
        <w:tc>
          <w:tcPr>
            <w:tcW w:w="1643" w:type="dxa"/>
          </w:tcPr>
          <w:p>
            <w:pPr>
              <w:pStyle w:val="TableParagraph"/>
              <w:spacing w:before="36"/>
              <w:ind w:left="375"/>
              <w:rPr>
                <w:sz w:val="22"/>
              </w:rPr>
            </w:pPr>
            <w:r>
              <w:rPr>
                <w:spacing w:val="-2"/>
                <w:sz w:val="22"/>
              </w:rPr>
              <w:t>0,000536</w:t>
            </w:r>
          </w:p>
        </w:tc>
        <w:tc>
          <w:tcPr>
            <w:tcW w:w="1693" w:type="dxa"/>
          </w:tcPr>
          <w:p>
            <w:pPr>
              <w:pStyle w:val="TableParagraph"/>
              <w:spacing w:before="36"/>
              <w:ind w:left="426" w:right="417"/>
              <w:jc w:val="center"/>
              <w:rPr>
                <w:sz w:val="22"/>
              </w:rPr>
            </w:pPr>
            <w:r>
              <w:rPr>
                <w:spacing w:val="-2"/>
                <w:sz w:val="22"/>
              </w:rPr>
              <w:t>127729,3</w:t>
            </w:r>
          </w:p>
        </w:tc>
        <w:tc>
          <w:tcPr>
            <w:tcW w:w="1639" w:type="dxa"/>
          </w:tcPr>
          <w:p>
            <w:pPr>
              <w:pStyle w:val="TableParagraph"/>
              <w:spacing w:before="36"/>
              <w:ind w:right="382"/>
              <w:jc w:val="right"/>
              <w:rPr>
                <w:sz w:val="22"/>
              </w:rPr>
            </w:pPr>
            <w:r>
              <w:rPr>
                <w:spacing w:val="-2"/>
                <w:sz w:val="22"/>
              </w:rPr>
              <w:t>0,000550</w:t>
            </w:r>
          </w:p>
        </w:tc>
        <w:tc>
          <w:tcPr>
            <w:tcW w:w="1262" w:type="dxa"/>
          </w:tcPr>
          <w:p>
            <w:pPr>
              <w:pStyle w:val="TableParagraph"/>
              <w:spacing w:before="36"/>
              <w:ind w:right="47"/>
              <w:jc w:val="right"/>
              <w:rPr>
                <w:sz w:val="22"/>
              </w:rPr>
            </w:pPr>
            <w:r>
              <w:rPr>
                <w:spacing w:val="-2"/>
                <w:sz w:val="22"/>
              </w:rPr>
              <w:t>127652,9</w:t>
            </w:r>
          </w:p>
        </w:tc>
      </w:tr>
      <w:tr>
        <w:trPr>
          <w:trHeight w:val="585" w:hRule="atLeast"/>
        </w:trPr>
        <w:tc>
          <w:tcPr>
            <w:tcW w:w="4281" w:type="dxa"/>
          </w:tcPr>
          <w:p>
            <w:pPr>
              <w:pStyle w:val="TableParagraph"/>
              <w:spacing w:before="36"/>
              <w:ind w:left="767" w:right="674" w:hanging="10"/>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940" w:type="dxa"/>
          </w:tcPr>
          <w:p>
            <w:pPr>
              <w:pStyle w:val="TableParagraph"/>
              <w:spacing w:before="36"/>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6"/>
              <w:ind w:left="221"/>
              <w:rPr>
                <w:sz w:val="22"/>
              </w:rPr>
            </w:pPr>
            <w:r>
              <w:rPr>
                <w:spacing w:val="-2"/>
                <w:sz w:val="22"/>
              </w:rPr>
              <w:t>0,000059</w:t>
            </w:r>
          </w:p>
        </w:tc>
        <w:tc>
          <w:tcPr>
            <w:tcW w:w="1570" w:type="dxa"/>
          </w:tcPr>
          <w:p>
            <w:pPr>
              <w:pStyle w:val="TableParagraph"/>
              <w:spacing w:before="36"/>
              <w:ind w:right="375"/>
              <w:jc w:val="right"/>
              <w:rPr>
                <w:sz w:val="22"/>
              </w:rPr>
            </w:pPr>
            <w:r>
              <w:rPr>
                <w:spacing w:val="-2"/>
                <w:sz w:val="22"/>
              </w:rPr>
              <w:t>151989,9</w:t>
            </w:r>
          </w:p>
        </w:tc>
        <w:tc>
          <w:tcPr>
            <w:tcW w:w="1643" w:type="dxa"/>
          </w:tcPr>
          <w:p>
            <w:pPr>
              <w:pStyle w:val="TableParagraph"/>
              <w:spacing w:before="36"/>
              <w:ind w:left="375"/>
              <w:rPr>
                <w:sz w:val="22"/>
              </w:rPr>
            </w:pPr>
            <w:r>
              <w:rPr>
                <w:spacing w:val="-2"/>
                <w:sz w:val="22"/>
              </w:rPr>
              <w:t>0,000059</w:t>
            </w:r>
          </w:p>
        </w:tc>
        <w:tc>
          <w:tcPr>
            <w:tcW w:w="1693" w:type="dxa"/>
          </w:tcPr>
          <w:p>
            <w:pPr>
              <w:pStyle w:val="TableParagraph"/>
              <w:spacing w:before="36"/>
              <w:ind w:left="426" w:right="417"/>
              <w:jc w:val="center"/>
              <w:rPr>
                <w:sz w:val="22"/>
              </w:rPr>
            </w:pPr>
            <w:r>
              <w:rPr>
                <w:spacing w:val="-2"/>
                <w:sz w:val="22"/>
              </w:rPr>
              <w:t>151989,9</w:t>
            </w:r>
          </w:p>
        </w:tc>
        <w:tc>
          <w:tcPr>
            <w:tcW w:w="1639" w:type="dxa"/>
          </w:tcPr>
          <w:p>
            <w:pPr>
              <w:pStyle w:val="TableParagraph"/>
              <w:spacing w:before="36"/>
              <w:ind w:right="382"/>
              <w:jc w:val="right"/>
              <w:rPr>
                <w:sz w:val="22"/>
              </w:rPr>
            </w:pPr>
            <w:r>
              <w:rPr>
                <w:spacing w:val="-2"/>
                <w:sz w:val="22"/>
              </w:rPr>
              <w:t>0,000059</w:t>
            </w:r>
          </w:p>
        </w:tc>
        <w:tc>
          <w:tcPr>
            <w:tcW w:w="1262" w:type="dxa"/>
          </w:tcPr>
          <w:p>
            <w:pPr>
              <w:pStyle w:val="TableParagraph"/>
              <w:spacing w:before="36"/>
              <w:ind w:right="47"/>
              <w:jc w:val="right"/>
              <w:rPr>
                <w:sz w:val="22"/>
              </w:rPr>
            </w:pPr>
            <w:r>
              <w:rPr>
                <w:spacing w:val="-2"/>
                <w:sz w:val="22"/>
              </w:rPr>
              <w:t>151989,9</w:t>
            </w:r>
          </w:p>
        </w:tc>
      </w:tr>
      <w:tr>
        <w:trPr>
          <w:trHeight w:val="840" w:hRule="atLeast"/>
        </w:trPr>
        <w:tc>
          <w:tcPr>
            <w:tcW w:w="4281" w:type="dxa"/>
          </w:tcPr>
          <w:p>
            <w:pPr>
              <w:pStyle w:val="TableParagraph"/>
              <w:spacing w:before="36"/>
              <w:ind w:left="750" w:right="639" w:firstLine="7"/>
              <w:jc w:val="both"/>
              <w:rPr>
                <w:sz w:val="22"/>
              </w:rPr>
            </w:pPr>
            <w:r>
              <w:rPr>
                <w:sz w:val="22"/>
              </w:rPr>
              <w:t>медицинскими</w:t>
            </w:r>
            <w:r>
              <w:rPr>
                <w:spacing w:val="-14"/>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940" w:type="dxa"/>
          </w:tcPr>
          <w:p>
            <w:pPr>
              <w:pStyle w:val="TableParagraph"/>
              <w:spacing w:before="36"/>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6"/>
              <w:ind w:left="221"/>
              <w:rPr>
                <w:sz w:val="22"/>
              </w:rPr>
            </w:pPr>
            <w:r>
              <w:rPr>
                <w:spacing w:val="-2"/>
                <w:sz w:val="22"/>
              </w:rPr>
              <w:t>0,000463</w:t>
            </w:r>
          </w:p>
        </w:tc>
        <w:tc>
          <w:tcPr>
            <w:tcW w:w="1570" w:type="dxa"/>
          </w:tcPr>
          <w:p>
            <w:pPr>
              <w:pStyle w:val="TableParagraph"/>
              <w:spacing w:before="36"/>
              <w:ind w:right="375"/>
              <w:jc w:val="right"/>
              <w:rPr>
                <w:sz w:val="22"/>
              </w:rPr>
            </w:pPr>
            <w:r>
              <w:rPr>
                <w:spacing w:val="-2"/>
                <w:sz w:val="22"/>
              </w:rPr>
              <w:t>124728,5</w:t>
            </w:r>
          </w:p>
        </w:tc>
        <w:tc>
          <w:tcPr>
            <w:tcW w:w="1643" w:type="dxa"/>
          </w:tcPr>
          <w:p>
            <w:pPr>
              <w:pStyle w:val="TableParagraph"/>
              <w:spacing w:before="36"/>
              <w:ind w:left="375"/>
              <w:rPr>
                <w:sz w:val="22"/>
              </w:rPr>
            </w:pPr>
            <w:r>
              <w:rPr>
                <w:spacing w:val="-2"/>
                <w:sz w:val="22"/>
              </w:rPr>
              <w:t>0,000477</w:t>
            </w:r>
          </w:p>
        </w:tc>
        <w:tc>
          <w:tcPr>
            <w:tcW w:w="1693" w:type="dxa"/>
          </w:tcPr>
          <w:p>
            <w:pPr>
              <w:pStyle w:val="TableParagraph"/>
              <w:spacing w:before="36"/>
              <w:ind w:left="426" w:right="417"/>
              <w:jc w:val="center"/>
              <w:rPr>
                <w:sz w:val="22"/>
              </w:rPr>
            </w:pPr>
            <w:r>
              <w:rPr>
                <w:spacing w:val="-2"/>
                <w:sz w:val="22"/>
              </w:rPr>
              <w:t>124728,5</w:t>
            </w:r>
          </w:p>
        </w:tc>
        <w:tc>
          <w:tcPr>
            <w:tcW w:w="1639" w:type="dxa"/>
          </w:tcPr>
          <w:p>
            <w:pPr>
              <w:pStyle w:val="TableParagraph"/>
              <w:spacing w:before="36"/>
              <w:ind w:right="382"/>
              <w:jc w:val="right"/>
              <w:rPr>
                <w:sz w:val="22"/>
              </w:rPr>
            </w:pPr>
            <w:r>
              <w:rPr>
                <w:spacing w:val="-2"/>
                <w:sz w:val="22"/>
              </w:rPr>
              <w:t>0,000491</w:t>
            </w:r>
          </w:p>
        </w:tc>
        <w:tc>
          <w:tcPr>
            <w:tcW w:w="1262" w:type="dxa"/>
          </w:tcPr>
          <w:p>
            <w:pPr>
              <w:pStyle w:val="TableParagraph"/>
              <w:spacing w:before="36"/>
              <w:ind w:right="47"/>
              <w:jc w:val="right"/>
              <w:rPr>
                <w:sz w:val="22"/>
              </w:rPr>
            </w:pPr>
            <w:r>
              <w:rPr>
                <w:spacing w:val="-2"/>
                <w:sz w:val="22"/>
              </w:rPr>
              <w:t>124728,5</w:t>
            </w:r>
          </w:p>
        </w:tc>
      </w:tr>
      <w:tr>
        <w:trPr>
          <w:trHeight w:val="1384" w:hRule="atLeast"/>
        </w:trPr>
        <w:tc>
          <w:tcPr>
            <w:tcW w:w="4281" w:type="dxa"/>
          </w:tcPr>
          <w:p>
            <w:pPr>
              <w:pStyle w:val="TableParagraph"/>
              <w:spacing w:before="36"/>
              <w:ind w:left="270" w:hanging="221"/>
              <w:rPr>
                <w:sz w:val="22"/>
              </w:rPr>
            </w:pPr>
            <w:r>
              <w:rPr>
                <w:sz w:val="22"/>
              </w:rPr>
              <w:t>4. Специализированная, в том числе высокотехнологичная, медицинская помощь</w:t>
            </w:r>
            <w:r>
              <w:rPr>
                <w:spacing w:val="-12"/>
                <w:sz w:val="22"/>
              </w:rPr>
              <w:t> </w:t>
            </w:r>
            <w:r>
              <w:rPr>
                <w:sz w:val="22"/>
              </w:rPr>
              <w:t>в</w:t>
            </w:r>
            <w:r>
              <w:rPr>
                <w:spacing w:val="-12"/>
                <w:sz w:val="22"/>
              </w:rPr>
              <w:t> </w:t>
            </w:r>
            <w:r>
              <w:rPr>
                <w:sz w:val="22"/>
              </w:rPr>
              <w:t>условиях</w:t>
            </w:r>
            <w:r>
              <w:rPr>
                <w:spacing w:val="-12"/>
                <w:sz w:val="22"/>
              </w:rPr>
              <w:t> </w:t>
            </w:r>
            <w:r>
              <w:rPr>
                <w:sz w:val="22"/>
              </w:rPr>
              <w:t>круглосуточного стационара</w:t>
            </w:r>
            <w:r>
              <w:rPr>
                <w:sz w:val="22"/>
                <w:vertAlign w:val="superscript"/>
              </w:rPr>
              <w:t>7</w:t>
            </w:r>
            <w:r>
              <w:rPr>
                <w:sz w:val="22"/>
                <w:vertAlign w:val="baseline"/>
              </w:rPr>
              <w:t> - всего</w:t>
            </w:r>
          </w:p>
          <w:p>
            <w:pPr>
              <w:pStyle w:val="TableParagraph"/>
              <w:spacing w:line="238" w:lineRule="exact" w:before="78"/>
              <w:ind w:left="474"/>
              <w:rPr>
                <w:sz w:val="22"/>
              </w:rPr>
            </w:pPr>
            <w:r>
              <w:rPr>
                <w:sz w:val="22"/>
              </w:rPr>
              <w:t>в</w:t>
            </w:r>
            <w:r>
              <w:rPr>
                <w:spacing w:val="-1"/>
                <w:sz w:val="22"/>
              </w:rPr>
              <w:t> </w:t>
            </w:r>
            <w:r>
              <w:rPr>
                <w:sz w:val="22"/>
              </w:rPr>
              <w:t>том</w:t>
            </w:r>
            <w:r>
              <w:rPr>
                <w:spacing w:val="-1"/>
                <w:sz w:val="22"/>
              </w:rPr>
              <w:t> </w:t>
            </w:r>
            <w:r>
              <w:rPr>
                <w:spacing w:val="-2"/>
                <w:sz w:val="22"/>
              </w:rPr>
              <w:t>числе:</w:t>
            </w:r>
          </w:p>
        </w:tc>
        <w:tc>
          <w:tcPr>
            <w:tcW w:w="1940" w:type="dxa"/>
          </w:tcPr>
          <w:p>
            <w:pPr>
              <w:pStyle w:val="TableParagraph"/>
              <w:spacing w:before="36"/>
              <w:ind w:left="202" w:firstLine="381"/>
              <w:rPr>
                <w:sz w:val="22"/>
              </w:rPr>
            </w:pPr>
            <w:r>
              <w:rPr>
                <w:spacing w:val="-2"/>
                <w:sz w:val="22"/>
              </w:rPr>
              <w:t>случаев госпитализации</w:t>
            </w:r>
          </w:p>
        </w:tc>
        <w:tc>
          <w:tcPr>
            <w:tcW w:w="1415" w:type="dxa"/>
          </w:tcPr>
          <w:p>
            <w:pPr>
              <w:pStyle w:val="TableParagraph"/>
              <w:spacing w:before="36"/>
              <w:ind w:left="221"/>
              <w:rPr>
                <w:sz w:val="22"/>
              </w:rPr>
            </w:pPr>
            <w:r>
              <w:rPr>
                <w:spacing w:val="-2"/>
                <w:sz w:val="22"/>
              </w:rPr>
              <w:t>0,177535</w:t>
            </w:r>
          </w:p>
        </w:tc>
        <w:tc>
          <w:tcPr>
            <w:tcW w:w="1570" w:type="dxa"/>
          </w:tcPr>
          <w:p>
            <w:pPr>
              <w:pStyle w:val="TableParagraph"/>
              <w:spacing w:before="36"/>
              <w:ind w:left="501"/>
              <w:rPr>
                <w:sz w:val="22"/>
              </w:rPr>
            </w:pPr>
            <w:r>
              <w:rPr>
                <w:spacing w:val="-2"/>
                <w:sz w:val="22"/>
              </w:rPr>
              <w:t>39385</w:t>
            </w:r>
          </w:p>
        </w:tc>
        <w:tc>
          <w:tcPr>
            <w:tcW w:w="1643" w:type="dxa"/>
          </w:tcPr>
          <w:p>
            <w:pPr>
              <w:pStyle w:val="TableParagraph"/>
              <w:spacing w:before="36"/>
              <w:ind w:left="375"/>
              <w:rPr>
                <w:sz w:val="22"/>
              </w:rPr>
            </w:pPr>
            <w:r>
              <w:rPr>
                <w:spacing w:val="-2"/>
                <w:sz w:val="22"/>
              </w:rPr>
              <w:t>0,177541</w:t>
            </w:r>
          </w:p>
        </w:tc>
        <w:tc>
          <w:tcPr>
            <w:tcW w:w="1693" w:type="dxa"/>
          </w:tcPr>
          <w:p>
            <w:pPr>
              <w:pStyle w:val="TableParagraph"/>
              <w:spacing w:before="36"/>
              <w:ind w:left="426" w:right="417"/>
              <w:jc w:val="center"/>
              <w:rPr>
                <w:sz w:val="22"/>
              </w:rPr>
            </w:pPr>
            <w:r>
              <w:rPr>
                <w:spacing w:val="-2"/>
                <w:sz w:val="22"/>
              </w:rPr>
              <w:t>41692,7</w:t>
            </w:r>
          </w:p>
        </w:tc>
        <w:tc>
          <w:tcPr>
            <w:tcW w:w="1639" w:type="dxa"/>
          </w:tcPr>
          <w:p>
            <w:pPr>
              <w:pStyle w:val="TableParagraph"/>
              <w:spacing w:before="36"/>
              <w:ind w:right="382"/>
              <w:jc w:val="right"/>
              <w:rPr>
                <w:sz w:val="22"/>
              </w:rPr>
            </w:pPr>
            <w:r>
              <w:rPr>
                <w:spacing w:val="-2"/>
                <w:sz w:val="22"/>
              </w:rPr>
              <w:t>0,177555</w:t>
            </w:r>
          </w:p>
        </w:tc>
        <w:tc>
          <w:tcPr>
            <w:tcW w:w="1262" w:type="dxa"/>
          </w:tcPr>
          <w:p>
            <w:pPr>
              <w:pStyle w:val="TableParagraph"/>
              <w:spacing w:before="36"/>
              <w:ind w:right="104"/>
              <w:jc w:val="right"/>
              <w:rPr>
                <w:sz w:val="22"/>
              </w:rPr>
            </w:pPr>
            <w:r>
              <w:rPr>
                <w:spacing w:val="-2"/>
                <w:sz w:val="22"/>
              </w:rPr>
              <w:t>44117,3</w:t>
            </w:r>
          </w:p>
        </w:tc>
      </w:tr>
      <w:tr>
        <w:trPr>
          <w:trHeight w:val="501" w:hRule="atLeast"/>
        </w:trPr>
        <w:tc>
          <w:tcPr>
            <w:tcW w:w="4281" w:type="dxa"/>
          </w:tcPr>
          <w:p>
            <w:pPr>
              <w:pStyle w:val="TableParagraph"/>
              <w:spacing w:line="252" w:lineRule="exact"/>
              <w:ind w:left="491" w:right="957" w:hanging="17"/>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940" w:type="dxa"/>
          </w:tcPr>
          <w:p>
            <w:pPr>
              <w:pStyle w:val="TableParagraph"/>
              <w:spacing w:line="252" w:lineRule="exact"/>
              <w:ind w:left="202" w:firstLine="381"/>
              <w:rPr>
                <w:sz w:val="22"/>
              </w:rPr>
            </w:pPr>
            <w:r>
              <w:rPr>
                <w:spacing w:val="-2"/>
                <w:sz w:val="22"/>
              </w:rPr>
              <w:t>случаев госпитализации</w:t>
            </w:r>
          </w:p>
        </w:tc>
        <w:tc>
          <w:tcPr>
            <w:tcW w:w="1415" w:type="dxa"/>
          </w:tcPr>
          <w:p>
            <w:pPr>
              <w:pStyle w:val="TableParagraph"/>
              <w:spacing w:line="249" w:lineRule="exact"/>
              <w:ind w:left="221"/>
              <w:rPr>
                <w:sz w:val="22"/>
              </w:rPr>
            </w:pPr>
            <w:r>
              <w:rPr>
                <w:spacing w:val="-2"/>
                <w:sz w:val="22"/>
              </w:rPr>
              <w:t>0,011199</w:t>
            </w:r>
          </w:p>
        </w:tc>
        <w:tc>
          <w:tcPr>
            <w:tcW w:w="1570" w:type="dxa"/>
          </w:tcPr>
          <w:p>
            <w:pPr>
              <w:pStyle w:val="TableParagraph"/>
              <w:spacing w:line="249" w:lineRule="exact"/>
              <w:ind w:left="501"/>
              <w:rPr>
                <w:sz w:val="22"/>
              </w:rPr>
            </w:pPr>
            <w:r>
              <w:rPr>
                <w:spacing w:val="-2"/>
                <w:sz w:val="22"/>
              </w:rPr>
              <w:t>70119</w:t>
            </w:r>
          </w:p>
        </w:tc>
        <w:tc>
          <w:tcPr>
            <w:tcW w:w="1643" w:type="dxa"/>
          </w:tcPr>
          <w:p>
            <w:pPr>
              <w:pStyle w:val="TableParagraph"/>
              <w:spacing w:line="249" w:lineRule="exact"/>
              <w:ind w:left="375"/>
              <w:rPr>
                <w:sz w:val="22"/>
              </w:rPr>
            </w:pPr>
            <w:r>
              <w:rPr>
                <w:spacing w:val="-2"/>
                <w:sz w:val="22"/>
              </w:rPr>
              <w:t>0,011199</w:t>
            </w:r>
          </w:p>
        </w:tc>
        <w:tc>
          <w:tcPr>
            <w:tcW w:w="1693" w:type="dxa"/>
          </w:tcPr>
          <w:p>
            <w:pPr>
              <w:pStyle w:val="TableParagraph"/>
              <w:spacing w:line="249" w:lineRule="exact"/>
              <w:ind w:left="426" w:right="417"/>
              <w:jc w:val="center"/>
              <w:rPr>
                <w:sz w:val="22"/>
              </w:rPr>
            </w:pPr>
            <w:r>
              <w:rPr>
                <w:spacing w:val="-2"/>
                <w:sz w:val="22"/>
              </w:rPr>
              <w:t>74053,6</w:t>
            </w:r>
          </w:p>
        </w:tc>
        <w:tc>
          <w:tcPr>
            <w:tcW w:w="1639" w:type="dxa"/>
          </w:tcPr>
          <w:p>
            <w:pPr>
              <w:pStyle w:val="TableParagraph"/>
              <w:spacing w:line="249" w:lineRule="exact"/>
              <w:ind w:right="382"/>
              <w:jc w:val="right"/>
              <w:rPr>
                <w:sz w:val="22"/>
              </w:rPr>
            </w:pPr>
            <w:r>
              <w:rPr>
                <w:spacing w:val="-2"/>
                <w:sz w:val="22"/>
              </w:rPr>
              <w:t>0,011199</w:t>
            </w:r>
          </w:p>
        </w:tc>
        <w:tc>
          <w:tcPr>
            <w:tcW w:w="1262" w:type="dxa"/>
          </w:tcPr>
          <w:p>
            <w:pPr>
              <w:pStyle w:val="TableParagraph"/>
              <w:spacing w:line="249" w:lineRule="exact"/>
              <w:ind w:right="104"/>
              <w:jc w:val="right"/>
              <w:rPr>
                <w:sz w:val="22"/>
              </w:rPr>
            </w:pPr>
            <w:r>
              <w:rPr>
                <w:spacing w:val="-2"/>
                <w:sz w:val="22"/>
              </w:rPr>
              <w:t>78524,3</w:t>
            </w:r>
          </w:p>
        </w:tc>
      </w:tr>
    </w:tbl>
    <w:p>
      <w:pPr>
        <w:spacing w:after="0" w:line="249" w:lineRule="exact"/>
        <w:jc w:val="right"/>
        <w:rPr>
          <w:sz w:val="22"/>
        </w:rPr>
        <w:sectPr>
          <w:pgSz w:w="16850" w:h="11910" w:orient="landscape"/>
          <w:pgMar w:header="751" w:footer="0" w:top="106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0"/>
        <w:gridCol w:w="1873"/>
        <w:gridCol w:w="1424"/>
        <w:gridCol w:w="1569"/>
        <w:gridCol w:w="1642"/>
        <w:gridCol w:w="1692"/>
        <w:gridCol w:w="1638"/>
        <w:gridCol w:w="1260"/>
      </w:tblGrid>
      <w:tr>
        <w:trPr>
          <w:trHeight w:val="793" w:hRule="atLeast"/>
        </w:trPr>
        <w:tc>
          <w:tcPr>
            <w:tcW w:w="3980" w:type="dxa"/>
          </w:tcPr>
          <w:p>
            <w:pPr>
              <w:pStyle w:val="TableParagraph"/>
              <w:ind w:left="133" w:right="958" w:hanging="17"/>
              <w:jc w:val="both"/>
              <w:rPr>
                <w:sz w:val="22"/>
              </w:rPr>
            </w:pPr>
            <w:r>
              <w:rPr>
                <w:sz w:val="22"/>
              </w:rPr>
              <w:t>медицинскими</w:t>
            </w:r>
            <w:r>
              <w:rPr>
                <w:spacing w:val="-10"/>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873" w:type="dxa"/>
          </w:tcPr>
          <w:p>
            <w:pPr>
              <w:pStyle w:val="TableParagraph"/>
              <w:ind w:left="146" w:firstLine="381"/>
              <w:rPr>
                <w:sz w:val="22"/>
              </w:rPr>
            </w:pPr>
            <w:r>
              <w:rPr>
                <w:spacing w:val="-2"/>
                <w:sz w:val="22"/>
              </w:rPr>
              <w:t>случаев госпитализации</w:t>
            </w:r>
          </w:p>
        </w:tc>
        <w:tc>
          <w:tcPr>
            <w:tcW w:w="1424" w:type="dxa"/>
          </w:tcPr>
          <w:p>
            <w:pPr>
              <w:pStyle w:val="TableParagraph"/>
              <w:spacing w:line="244" w:lineRule="exact"/>
              <w:ind w:left="231"/>
              <w:rPr>
                <w:sz w:val="22"/>
              </w:rPr>
            </w:pPr>
            <w:r>
              <w:rPr>
                <w:spacing w:val="-2"/>
                <w:sz w:val="22"/>
              </w:rPr>
              <w:t>0,166336</w:t>
            </w:r>
          </w:p>
        </w:tc>
        <w:tc>
          <w:tcPr>
            <w:tcW w:w="1569" w:type="dxa"/>
          </w:tcPr>
          <w:p>
            <w:pPr>
              <w:pStyle w:val="TableParagraph"/>
              <w:spacing w:line="244" w:lineRule="exact"/>
              <w:ind w:left="502"/>
              <w:rPr>
                <w:sz w:val="22"/>
              </w:rPr>
            </w:pPr>
            <w:r>
              <w:rPr>
                <w:spacing w:val="-2"/>
                <w:sz w:val="22"/>
              </w:rPr>
              <w:t>37316</w:t>
            </w:r>
          </w:p>
        </w:tc>
        <w:tc>
          <w:tcPr>
            <w:tcW w:w="1642" w:type="dxa"/>
          </w:tcPr>
          <w:p>
            <w:pPr>
              <w:pStyle w:val="TableParagraph"/>
              <w:spacing w:line="244" w:lineRule="exact"/>
              <w:ind w:left="378"/>
              <w:rPr>
                <w:sz w:val="22"/>
              </w:rPr>
            </w:pPr>
            <w:r>
              <w:rPr>
                <w:spacing w:val="-2"/>
                <w:sz w:val="22"/>
              </w:rPr>
              <w:t>0,166342</w:t>
            </w:r>
          </w:p>
        </w:tc>
        <w:tc>
          <w:tcPr>
            <w:tcW w:w="1692" w:type="dxa"/>
          </w:tcPr>
          <w:p>
            <w:pPr>
              <w:pStyle w:val="TableParagraph"/>
              <w:spacing w:line="244" w:lineRule="exact"/>
              <w:ind w:left="430" w:right="410"/>
              <w:jc w:val="center"/>
              <w:rPr>
                <w:sz w:val="22"/>
              </w:rPr>
            </w:pPr>
            <w:r>
              <w:rPr>
                <w:spacing w:val="-2"/>
                <w:sz w:val="22"/>
              </w:rPr>
              <w:t>39514</w:t>
            </w:r>
          </w:p>
        </w:tc>
        <w:tc>
          <w:tcPr>
            <w:tcW w:w="1638" w:type="dxa"/>
          </w:tcPr>
          <w:p>
            <w:pPr>
              <w:pStyle w:val="TableParagraph"/>
              <w:spacing w:line="244" w:lineRule="exact"/>
              <w:ind w:right="376"/>
              <w:jc w:val="right"/>
              <w:rPr>
                <w:sz w:val="22"/>
              </w:rPr>
            </w:pPr>
            <w:r>
              <w:rPr>
                <w:spacing w:val="-2"/>
                <w:sz w:val="22"/>
              </w:rPr>
              <w:t>0,166356</w:t>
            </w:r>
          </w:p>
        </w:tc>
        <w:tc>
          <w:tcPr>
            <w:tcW w:w="1260" w:type="dxa"/>
          </w:tcPr>
          <w:p>
            <w:pPr>
              <w:pStyle w:val="TableParagraph"/>
              <w:spacing w:line="244" w:lineRule="exact"/>
              <w:ind w:right="179"/>
              <w:jc w:val="right"/>
              <w:rPr>
                <w:sz w:val="22"/>
              </w:rPr>
            </w:pPr>
            <w:r>
              <w:rPr>
                <w:spacing w:val="-2"/>
                <w:sz w:val="22"/>
              </w:rPr>
              <w:t>41801</w:t>
            </w:r>
          </w:p>
        </w:tc>
      </w:tr>
      <w:tr>
        <w:trPr>
          <w:trHeight w:val="799" w:hRule="atLeast"/>
        </w:trPr>
        <w:tc>
          <w:tcPr>
            <w:tcW w:w="3980" w:type="dxa"/>
          </w:tcPr>
          <w:p>
            <w:pPr>
              <w:pStyle w:val="TableParagraph"/>
              <w:spacing w:before="36"/>
              <w:ind w:left="78" w:firstLine="38"/>
              <w:rPr>
                <w:sz w:val="22"/>
              </w:rPr>
            </w:pPr>
            <w:r>
              <w:rPr>
                <w:sz w:val="22"/>
              </w:rPr>
              <w:t>для</w:t>
            </w:r>
            <w:r>
              <w:rPr>
                <w:spacing w:val="-7"/>
                <w:sz w:val="22"/>
              </w:rPr>
              <w:t> </w:t>
            </w:r>
            <w:r>
              <w:rPr>
                <w:sz w:val="22"/>
              </w:rPr>
              <w:t>оказания</w:t>
            </w:r>
            <w:r>
              <w:rPr>
                <w:spacing w:val="-8"/>
                <w:sz w:val="22"/>
              </w:rPr>
              <w:t> </w:t>
            </w:r>
            <w:r>
              <w:rPr>
                <w:sz w:val="22"/>
              </w:rPr>
              <w:t>медицинской</w:t>
            </w:r>
            <w:r>
              <w:rPr>
                <w:spacing w:val="-7"/>
                <w:sz w:val="22"/>
              </w:rPr>
              <w:t> </w:t>
            </w:r>
            <w:r>
              <w:rPr>
                <w:sz w:val="22"/>
              </w:rPr>
              <w:t>помощи</w:t>
            </w:r>
            <w:r>
              <w:rPr>
                <w:spacing w:val="40"/>
                <w:sz w:val="22"/>
              </w:rPr>
              <w:t> </w:t>
            </w:r>
            <w:r>
              <w:rPr>
                <w:sz w:val="22"/>
              </w:rPr>
              <w:t>по профилю "онкология" - всего</w:t>
            </w:r>
          </w:p>
          <w:p>
            <w:pPr>
              <w:pStyle w:val="TableParagraph"/>
              <w:spacing w:line="237" w:lineRule="exact"/>
              <w:ind w:left="400"/>
              <w:rPr>
                <w:sz w:val="22"/>
              </w:rPr>
            </w:pPr>
            <w:r>
              <w:rPr>
                <w:sz w:val="22"/>
              </w:rPr>
              <w:t>в</w:t>
            </w:r>
            <w:r>
              <w:rPr>
                <w:spacing w:val="-1"/>
                <w:sz w:val="22"/>
              </w:rPr>
              <w:t> </w:t>
            </w:r>
            <w:r>
              <w:rPr>
                <w:sz w:val="22"/>
              </w:rPr>
              <w:t>том</w:t>
            </w:r>
            <w:r>
              <w:rPr>
                <w:spacing w:val="-1"/>
                <w:sz w:val="22"/>
              </w:rPr>
              <w:t> </w:t>
            </w:r>
            <w:r>
              <w:rPr>
                <w:spacing w:val="-2"/>
                <w:sz w:val="22"/>
              </w:rPr>
              <w:t>числе:</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0,010582</w:t>
            </w:r>
          </w:p>
        </w:tc>
        <w:tc>
          <w:tcPr>
            <w:tcW w:w="1569" w:type="dxa"/>
          </w:tcPr>
          <w:p>
            <w:pPr>
              <w:pStyle w:val="TableParagraph"/>
              <w:spacing w:before="36"/>
              <w:ind w:right="457"/>
              <w:jc w:val="right"/>
              <w:rPr>
                <w:sz w:val="22"/>
              </w:rPr>
            </w:pPr>
            <w:r>
              <w:rPr>
                <w:spacing w:val="-2"/>
                <w:sz w:val="22"/>
              </w:rPr>
              <w:t>102276</w:t>
            </w:r>
          </w:p>
        </w:tc>
        <w:tc>
          <w:tcPr>
            <w:tcW w:w="1642" w:type="dxa"/>
          </w:tcPr>
          <w:p>
            <w:pPr>
              <w:pStyle w:val="TableParagraph"/>
              <w:spacing w:before="36"/>
              <w:ind w:left="378"/>
              <w:rPr>
                <w:sz w:val="22"/>
              </w:rPr>
            </w:pPr>
            <w:r>
              <w:rPr>
                <w:spacing w:val="-2"/>
                <w:sz w:val="22"/>
              </w:rPr>
              <w:t>0,010582</w:t>
            </w:r>
          </w:p>
        </w:tc>
        <w:tc>
          <w:tcPr>
            <w:tcW w:w="1692" w:type="dxa"/>
          </w:tcPr>
          <w:p>
            <w:pPr>
              <w:pStyle w:val="TableParagraph"/>
              <w:spacing w:before="36"/>
              <w:ind w:left="430" w:right="413"/>
              <w:jc w:val="center"/>
              <w:rPr>
                <w:sz w:val="22"/>
              </w:rPr>
            </w:pPr>
            <w:r>
              <w:rPr>
                <w:spacing w:val="-2"/>
                <w:sz w:val="22"/>
              </w:rPr>
              <w:t>107923,1</w:t>
            </w:r>
          </w:p>
        </w:tc>
        <w:tc>
          <w:tcPr>
            <w:tcW w:w="1638" w:type="dxa"/>
          </w:tcPr>
          <w:p>
            <w:pPr>
              <w:pStyle w:val="TableParagraph"/>
              <w:spacing w:before="36"/>
              <w:ind w:right="376"/>
              <w:jc w:val="right"/>
              <w:rPr>
                <w:sz w:val="22"/>
              </w:rPr>
            </w:pPr>
            <w:r>
              <w:rPr>
                <w:spacing w:val="-2"/>
                <w:sz w:val="22"/>
              </w:rPr>
              <w:t>0,010582</w:t>
            </w:r>
          </w:p>
        </w:tc>
        <w:tc>
          <w:tcPr>
            <w:tcW w:w="1260" w:type="dxa"/>
          </w:tcPr>
          <w:p>
            <w:pPr>
              <w:pStyle w:val="TableParagraph"/>
              <w:spacing w:before="36"/>
              <w:ind w:right="40"/>
              <w:jc w:val="right"/>
              <w:rPr>
                <w:sz w:val="22"/>
              </w:rPr>
            </w:pPr>
            <w:r>
              <w:rPr>
                <w:spacing w:val="-2"/>
                <w:sz w:val="22"/>
              </w:rPr>
              <w:t>113947,7</w:t>
            </w:r>
          </w:p>
        </w:tc>
      </w:tr>
      <w:tr>
        <w:trPr>
          <w:trHeight w:val="547" w:hRule="atLeast"/>
        </w:trPr>
        <w:tc>
          <w:tcPr>
            <w:tcW w:w="3980" w:type="dxa"/>
          </w:tcPr>
          <w:p>
            <w:pPr>
              <w:pStyle w:val="TableParagraph"/>
              <w:spacing w:line="242" w:lineRule="auto"/>
              <w:ind w:left="410" w:right="730" w:hanging="10"/>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873" w:type="dxa"/>
          </w:tcPr>
          <w:p>
            <w:pPr>
              <w:pStyle w:val="TableParagraph"/>
              <w:spacing w:line="242" w:lineRule="auto"/>
              <w:ind w:left="146" w:firstLine="381"/>
              <w:rPr>
                <w:sz w:val="22"/>
              </w:rPr>
            </w:pPr>
            <w:r>
              <w:rPr>
                <w:spacing w:val="-2"/>
                <w:sz w:val="22"/>
              </w:rPr>
              <w:t>случаев госпитализации</w:t>
            </w:r>
          </w:p>
        </w:tc>
        <w:tc>
          <w:tcPr>
            <w:tcW w:w="1424" w:type="dxa"/>
          </w:tcPr>
          <w:p>
            <w:pPr>
              <w:pStyle w:val="TableParagraph"/>
              <w:spacing w:line="248" w:lineRule="exact"/>
              <w:ind w:left="231"/>
              <w:rPr>
                <w:sz w:val="22"/>
              </w:rPr>
            </w:pPr>
            <w:r>
              <w:rPr>
                <w:spacing w:val="-2"/>
                <w:sz w:val="22"/>
              </w:rPr>
              <w:t>0,001094</w:t>
            </w:r>
          </w:p>
        </w:tc>
        <w:tc>
          <w:tcPr>
            <w:tcW w:w="1569" w:type="dxa"/>
          </w:tcPr>
          <w:p>
            <w:pPr>
              <w:pStyle w:val="TableParagraph"/>
              <w:spacing w:line="248" w:lineRule="exact"/>
              <w:ind w:right="373"/>
              <w:jc w:val="right"/>
              <w:rPr>
                <w:sz w:val="22"/>
              </w:rPr>
            </w:pPr>
            <w:r>
              <w:rPr>
                <w:spacing w:val="-2"/>
                <w:sz w:val="22"/>
              </w:rPr>
              <w:t>111173,1</w:t>
            </w:r>
          </w:p>
        </w:tc>
        <w:tc>
          <w:tcPr>
            <w:tcW w:w="1642" w:type="dxa"/>
          </w:tcPr>
          <w:p>
            <w:pPr>
              <w:pStyle w:val="TableParagraph"/>
              <w:spacing w:line="248" w:lineRule="exact"/>
              <w:ind w:left="378"/>
              <w:rPr>
                <w:sz w:val="22"/>
              </w:rPr>
            </w:pPr>
            <w:r>
              <w:rPr>
                <w:spacing w:val="-2"/>
                <w:sz w:val="22"/>
              </w:rPr>
              <w:t>0,001094</w:t>
            </w:r>
          </w:p>
        </w:tc>
        <w:tc>
          <w:tcPr>
            <w:tcW w:w="1692" w:type="dxa"/>
          </w:tcPr>
          <w:p>
            <w:pPr>
              <w:pStyle w:val="TableParagraph"/>
              <w:spacing w:line="248" w:lineRule="exact"/>
              <w:ind w:left="430" w:right="413"/>
              <w:jc w:val="center"/>
              <w:rPr>
                <w:sz w:val="22"/>
              </w:rPr>
            </w:pPr>
            <w:r>
              <w:rPr>
                <w:spacing w:val="-2"/>
                <w:sz w:val="22"/>
              </w:rPr>
              <w:t>117311,6</w:t>
            </w:r>
          </w:p>
        </w:tc>
        <w:tc>
          <w:tcPr>
            <w:tcW w:w="1638" w:type="dxa"/>
          </w:tcPr>
          <w:p>
            <w:pPr>
              <w:pStyle w:val="TableParagraph"/>
              <w:spacing w:line="248" w:lineRule="exact"/>
              <w:ind w:right="376"/>
              <w:jc w:val="right"/>
              <w:rPr>
                <w:sz w:val="22"/>
              </w:rPr>
            </w:pPr>
            <w:r>
              <w:rPr>
                <w:spacing w:val="-2"/>
                <w:sz w:val="22"/>
              </w:rPr>
              <w:t>0,001094</w:t>
            </w:r>
          </w:p>
        </w:tc>
        <w:tc>
          <w:tcPr>
            <w:tcW w:w="1260" w:type="dxa"/>
          </w:tcPr>
          <w:p>
            <w:pPr>
              <w:pStyle w:val="TableParagraph"/>
              <w:spacing w:line="248" w:lineRule="exact"/>
              <w:ind w:right="40"/>
              <w:jc w:val="right"/>
              <w:rPr>
                <w:sz w:val="22"/>
              </w:rPr>
            </w:pPr>
            <w:r>
              <w:rPr>
                <w:spacing w:val="-2"/>
                <w:sz w:val="22"/>
              </w:rPr>
              <w:t>123860,3</w:t>
            </w:r>
          </w:p>
        </w:tc>
      </w:tr>
      <w:tr>
        <w:trPr>
          <w:trHeight w:val="837" w:hRule="atLeast"/>
        </w:trPr>
        <w:tc>
          <w:tcPr>
            <w:tcW w:w="3980" w:type="dxa"/>
          </w:tcPr>
          <w:p>
            <w:pPr>
              <w:pStyle w:val="TableParagraph"/>
              <w:spacing w:before="36"/>
              <w:ind w:left="400" w:right="688"/>
              <w:jc w:val="both"/>
              <w:rPr>
                <w:sz w:val="22"/>
              </w:rPr>
            </w:pPr>
            <w:r>
              <w:rPr>
                <w:sz w:val="22"/>
              </w:rPr>
              <w:t>медицинскими</w:t>
            </w:r>
            <w:r>
              <w:rPr>
                <w:spacing w:val="-14"/>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0,009488</w:t>
            </w:r>
          </w:p>
        </w:tc>
        <w:tc>
          <w:tcPr>
            <w:tcW w:w="1569" w:type="dxa"/>
          </w:tcPr>
          <w:p>
            <w:pPr>
              <w:pStyle w:val="TableParagraph"/>
              <w:spacing w:before="36"/>
              <w:ind w:right="373"/>
              <w:jc w:val="right"/>
              <w:rPr>
                <w:sz w:val="22"/>
              </w:rPr>
            </w:pPr>
            <w:r>
              <w:rPr>
                <w:spacing w:val="-2"/>
                <w:sz w:val="22"/>
              </w:rPr>
              <w:t>101250,1</w:t>
            </w:r>
          </w:p>
        </w:tc>
        <w:tc>
          <w:tcPr>
            <w:tcW w:w="1642" w:type="dxa"/>
          </w:tcPr>
          <w:p>
            <w:pPr>
              <w:pStyle w:val="TableParagraph"/>
              <w:spacing w:before="36"/>
              <w:ind w:left="378"/>
              <w:rPr>
                <w:sz w:val="22"/>
              </w:rPr>
            </w:pPr>
            <w:r>
              <w:rPr>
                <w:spacing w:val="-2"/>
                <w:sz w:val="22"/>
              </w:rPr>
              <w:t>0,009488</w:t>
            </w:r>
          </w:p>
        </w:tc>
        <w:tc>
          <w:tcPr>
            <w:tcW w:w="1692" w:type="dxa"/>
          </w:tcPr>
          <w:p>
            <w:pPr>
              <w:pStyle w:val="TableParagraph"/>
              <w:spacing w:before="36"/>
              <w:ind w:left="430" w:right="413"/>
              <w:jc w:val="center"/>
              <w:rPr>
                <w:sz w:val="22"/>
              </w:rPr>
            </w:pPr>
            <w:r>
              <w:rPr>
                <w:spacing w:val="-2"/>
                <w:sz w:val="22"/>
              </w:rPr>
              <w:t>106840,6</w:t>
            </w:r>
          </w:p>
        </w:tc>
        <w:tc>
          <w:tcPr>
            <w:tcW w:w="1638" w:type="dxa"/>
          </w:tcPr>
          <w:p>
            <w:pPr>
              <w:pStyle w:val="TableParagraph"/>
              <w:spacing w:before="36"/>
              <w:ind w:right="376"/>
              <w:jc w:val="right"/>
              <w:rPr>
                <w:sz w:val="22"/>
              </w:rPr>
            </w:pPr>
            <w:r>
              <w:rPr>
                <w:spacing w:val="-2"/>
                <w:sz w:val="22"/>
              </w:rPr>
              <w:t>0,009488</w:t>
            </w:r>
          </w:p>
        </w:tc>
        <w:tc>
          <w:tcPr>
            <w:tcW w:w="1260" w:type="dxa"/>
          </w:tcPr>
          <w:p>
            <w:pPr>
              <w:pStyle w:val="TableParagraph"/>
              <w:spacing w:before="36"/>
              <w:ind w:right="40"/>
              <w:jc w:val="right"/>
              <w:rPr>
                <w:sz w:val="22"/>
              </w:rPr>
            </w:pPr>
            <w:r>
              <w:rPr>
                <w:spacing w:val="-2"/>
                <w:sz w:val="22"/>
              </w:rPr>
              <w:t>112804,8</w:t>
            </w:r>
          </w:p>
        </w:tc>
      </w:tr>
      <w:tr>
        <w:trPr>
          <w:trHeight w:val="1558" w:hRule="atLeast"/>
        </w:trPr>
        <w:tc>
          <w:tcPr>
            <w:tcW w:w="3980" w:type="dxa"/>
          </w:tcPr>
          <w:p>
            <w:pPr>
              <w:pStyle w:val="TableParagraph"/>
              <w:spacing w:before="36"/>
              <w:ind w:left="50" w:firstLine="67"/>
              <w:rPr>
                <w:sz w:val="22"/>
              </w:rPr>
            </w:pPr>
            <w:r>
              <w:rPr>
                <w:sz w:val="22"/>
              </w:rPr>
              <w:t>для медицинской реабилитации в специализированных медицинских организациях и реабилитационных отделениях</w:t>
            </w:r>
            <w:r>
              <w:rPr>
                <w:spacing w:val="-5"/>
                <w:sz w:val="22"/>
              </w:rPr>
              <w:t> </w:t>
            </w:r>
            <w:r>
              <w:rPr>
                <w:sz w:val="22"/>
              </w:rPr>
              <w:t>медицинских</w:t>
            </w:r>
            <w:r>
              <w:rPr>
                <w:spacing w:val="-5"/>
                <w:sz w:val="22"/>
              </w:rPr>
              <w:t> </w:t>
            </w:r>
            <w:r>
              <w:rPr>
                <w:sz w:val="22"/>
              </w:rPr>
              <w:t>организаций</w:t>
            </w:r>
            <w:r>
              <w:rPr>
                <w:sz w:val="22"/>
                <w:vertAlign w:val="superscript"/>
              </w:rPr>
              <w:t>8</w:t>
            </w:r>
            <w:r>
              <w:rPr>
                <w:sz w:val="22"/>
                <w:vertAlign w:val="baseline"/>
              </w:rPr>
              <w:t>- </w:t>
            </w:r>
            <w:r>
              <w:rPr>
                <w:spacing w:val="-2"/>
                <w:sz w:val="22"/>
                <w:vertAlign w:val="baseline"/>
              </w:rPr>
              <w:t>всего</w:t>
            </w:r>
          </w:p>
          <w:p>
            <w:pPr>
              <w:pStyle w:val="TableParagraph"/>
              <w:spacing w:line="238" w:lineRule="exact"/>
              <w:ind w:left="400"/>
              <w:rPr>
                <w:sz w:val="22"/>
              </w:rPr>
            </w:pPr>
            <w:r>
              <w:rPr>
                <w:sz w:val="22"/>
              </w:rPr>
              <w:t>в</w:t>
            </w:r>
            <w:r>
              <w:rPr>
                <w:spacing w:val="-1"/>
                <w:sz w:val="22"/>
              </w:rPr>
              <w:t> </w:t>
            </w:r>
            <w:r>
              <w:rPr>
                <w:sz w:val="22"/>
              </w:rPr>
              <w:t>том</w:t>
            </w:r>
            <w:r>
              <w:rPr>
                <w:spacing w:val="-1"/>
                <w:sz w:val="22"/>
              </w:rPr>
              <w:t> </w:t>
            </w:r>
            <w:r>
              <w:rPr>
                <w:spacing w:val="-2"/>
                <w:sz w:val="22"/>
              </w:rPr>
              <w:t>числе:</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0,005403</w:t>
            </w:r>
          </w:p>
        </w:tc>
        <w:tc>
          <w:tcPr>
            <w:tcW w:w="1569" w:type="dxa"/>
          </w:tcPr>
          <w:p>
            <w:pPr>
              <w:pStyle w:val="TableParagraph"/>
              <w:spacing w:before="36"/>
              <w:ind w:right="428"/>
              <w:jc w:val="right"/>
              <w:rPr>
                <w:sz w:val="22"/>
              </w:rPr>
            </w:pPr>
            <w:r>
              <w:rPr>
                <w:spacing w:val="-2"/>
                <w:sz w:val="22"/>
              </w:rPr>
              <w:t>42288,7</w:t>
            </w:r>
          </w:p>
        </w:tc>
        <w:tc>
          <w:tcPr>
            <w:tcW w:w="1642" w:type="dxa"/>
          </w:tcPr>
          <w:p>
            <w:pPr>
              <w:pStyle w:val="TableParagraph"/>
              <w:spacing w:before="36"/>
              <w:ind w:left="378"/>
              <w:rPr>
                <w:sz w:val="22"/>
              </w:rPr>
            </w:pPr>
            <w:r>
              <w:rPr>
                <w:spacing w:val="-2"/>
                <w:sz w:val="22"/>
              </w:rPr>
              <w:t>0,005403</w:t>
            </w:r>
          </w:p>
        </w:tc>
        <w:tc>
          <w:tcPr>
            <w:tcW w:w="1692" w:type="dxa"/>
          </w:tcPr>
          <w:p>
            <w:pPr>
              <w:pStyle w:val="TableParagraph"/>
              <w:spacing w:before="36"/>
              <w:ind w:left="430" w:right="413"/>
              <w:jc w:val="center"/>
              <w:rPr>
                <w:sz w:val="22"/>
              </w:rPr>
            </w:pPr>
            <w:r>
              <w:rPr>
                <w:spacing w:val="-2"/>
                <w:sz w:val="22"/>
              </w:rPr>
              <w:t>44623,6</w:t>
            </w:r>
          </w:p>
        </w:tc>
        <w:tc>
          <w:tcPr>
            <w:tcW w:w="1638" w:type="dxa"/>
          </w:tcPr>
          <w:p>
            <w:pPr>
              <w:pStyle w:val="TableParagraph"/>
              <w:spacing w:before="36"/>
              <w:ind w:right="376"/>
              <w:jc w:val="right"/>
              <w:rPr>
                <w:sz w:val="22"/>
              </w:rPr>
            </w:pPr>
            <w:r>
              <w:rPr>
                <w:spacing w:val="-2"/>
                <w:sz w:val="22"/>
              </w:rPr>
              <w:t>0,005403</w:t>
            </w:r>
          </w:p>
        </w:tc>
        <w:tc>
          <w:tcPr>
            <w:tcW w:w="1260" w:type="dxa"/>
          </w:tcPr>
          <w:p>
            <w:pPr>
              <w:pStyle w:val="TableParagraph"/>
              <w:spacing w:before="36"/>
              <w:ind w:right="95"/>
              <w:jc w:val="right"/>
              <w:rPr>
                <w:sz w:val="22"/>
              </w:rPr>
            </w:pPr>
            <w:r>
              <w:rPr>
                <w:spacing w:val="-2"/>
                <w:sz w:val="22"/>
              </w:rPr>
              <w:t>47114,6</w:t>
            </w:r>
          </w:p>
        </w:tc>
      </w:tr>
      <w:tr>
        <w:trPr>
          <w:trHeight w:val="545" w:hRule="atLeast"/>
        </w:trPr>
        <w:tc>
          <w:tcPr>
            <w:tcW w:w="3980" w:type="dxa"/>
          </w:tcPr>
          <w:p>
            <w:pPr>
              <w:pStyle w:val="TableParagraph"/>
              <w:ind w:left="410" w:right="688" w:hanging="10"/>
              <w:rPr>
                <w:sz w:val="22"/>
              </w:rPr>
            </w:pPr>
            <w:r>
              <w:rPr>
                <w:sz w:val="22"/>
              </w:rPr>
              <w:t>оказываемой федеральными медицинскими</w:t>
            </w:r>
            <w:r>
              <w:rPr>
                <w:spacing w:val="-14"/>
                <w:sz w:val="22"/>
              </w:rPr>
              <w:t> </w:t>
            </w:r>
            <w:r>
              <w:rPr>
                <w:sz w:val="22"/>
              </w:rPr>
              <w:t>организациями</w:t>
            </w:r>
          </w:p>
        </w:tc>
        <w:tc>
          <w:tcPr>
            <w:tcW w:w="1873" w:type="dxa"/>
          </w:tcPr>
          <w:p>
            <w:pPr>
              <w:pStyle w:val="TableParagraph"/>
              <w:ind w:left="146" w:firstLine="381"/>
              <w:rPr>
                <w:sz w:val="22"/>
              </w:rPr>
            </w:pPr>
            <w:r>
              <w:rPr>
                <w:spacing w:val="-2"/>
                <w:sz w:val="22"/>
              </w:rPr>
              <w:t>случаев госпитализации</w:t>
            </w:r>
          </w:p>
        </w:tc>
        <w:tc>
          <w:tcPr>
            <w:tcW w:w="1424" w:type="dxa"/>
          </w:tcPr>
          <w:p>
            <w:pPr>
              <w:pStyle w:val="TableParagraph"/>
              <w:spacing w:line="249" w:lineRule="exact"/>
              <w:ind w:left="231"/>
              <w:rPr>
                <w:sz w:val="22"/>
              </w:rPr>
            </w:pPr>
            <w:r>
              <w:rPr>
                <w:spacing w:val="-2"/>
                <w:sz w:val="22"/>
              </w:rPr>
              <w:t>0,000960</w:t>
            </w:r>
          </w:p>
        </w:tc>
        <w:tc>
          <w:tcPr>
            <w:tcW w:w="1569" w:type="dxa"/>
          </w:tcPr>
          <w:p>
            <w:pPr>
              <w:pStyle w:val="TableParagraph"/>
              <w:spacing w:line="249" w:lineRule="exact"/>
              <w:ind w:left="502"/>
              <w:rPr>
                <w:sz w:val="22"/>
              </w:rPr>
            </w:pPr>
            <w:r>
              <w:rPr>
                <w:spacing w:val="-2"/>
                <w:sz w:val="22"/>
              </w:rPr>
              <w:t>59071</w:t>
            </w:r>
          </w:p>
        </w:tc>
        <w:tc>
          <w:tcPr>
            <w:tcW w:w="1642" w:type="dxa"/>
          </w:tcPr>
          <w:p>
            <w:pPr>
              <w:pStyle w:val="TableParagraph"/>
              <w:spacing w:line="249" w:lineRule="exact"/>
              <w:ind w:left="378"/>
              <w:rPr>
                <w:sz w:val="22"/>
              </w:rPr>
            </w:pPr>
            <w:r>
              <w:rPr>
                <w:spacing w:val="-2"/>
                <w:sz w:val="22"/>
              </w:rPr>
              <w:t>0,000960</w:t>
            </w:r>
          </w:p>
        </w:tc>
        <w:tc>
          <w:tcPr>
            <w:tcW w:w="1692" w:type="dxa"/>
          </w:tcPr>
          <w:p>
            <w:pPr>
              <w:pStyle w:val="TableParagraph"/>
              <w:spacing w:line="249" w:lineRule="exact"/>
              <w:ind w:left="430" w:right="413"/>
              <w:jc w:val="center"/>
              <w:rPr>
                <w:sz w:val="22"/>
              </w:rPr>
            </w:pPr>
            <w:r>
              <w:rPr>
                <w:spacing w:val="-2"/>
                <w:sz w:val="22"/>
              </w:rPr>
              <w:t>62332,6</w:t>
            </w:r>
          </w:p>
        </w:tc>
        <w:tc>
          <w:tcPr>
            <w:tcW w:w="1638" w:type="dxa"/>
          </w:tcPr>
          <w:p>
            <w:pPr>
              <w:pStyle w:val="TableParagraph"/>
              <w:spacing w:line="249" w:lineRule="exact"/>
              <w:ind w:right="376"/>
              <w:jc w:val="right"/>
              <w:rPr>
                <w:sz w:val="22"/>
              </w:rPr>
            </w:pPr>
            <w:r>
              <w:rPr>
                <w:spacing w:val="-2"/>
                <w:sz w:val="22"/>
              </w:rPr>
              <w:t>0,000960</w:t>
            </w:r>
          </w:p>
        </w:tc>
        <w:tc>
          <w:tcPr>
            <w:tcW w:w="1260" w:type="dxa"/>
          </w:tcPr>
          <w:p>
            <w:pPr>
              <w:pStyle w:val="TableParagraph"/>
              <w:spacing w:line="249" w:lineRule="exact"/>
              <w:ind w:right="95"/>
              <w:jc w:val="right"/>
              <w:rPr>
                <w:sz w:val="22"/>
              </w:rPr>
            </w:pPr>
            <w:r>
              <w:rPr>
                <w:spacing w:val="-2"/>
                <w:sz w:val="22"/>
              </w:rPr>
              <w:t>65812,2</w:t>
            </w:r>
          </w:p>
        </w:tc>
      </w:tr>
      <w:tr>
        <w:trPr>
          <w:trHeight w:val="1048" w:hRule="atLeast"/>
        </w:trPr>
        <w:tc>
          <w:tcPr>
            <w:tcW w:w="3980" w:type="dxa"/>
          </w:tcPr>
          <w:p>
            <w:pPr>
              <w:pStyle w:val="TableParagraph"/>
              <w:spacing w:before="36"/>
              <w:ind w:left="407" w:hanging="8"/>
              <w:rPr>
                <w:sz w:val="22"/>
              </w:rPr>
            </w:pPr>
            <w:r>
              <w:rPr>
                <w:sz w:val="22"/>
              </w:rPr>
              <w:t>оказываемой медицинскими организациями</w:t>
            </w:r>
            <w:r>
              <w:rPr>
                <w:spacing w:val="-14"/>
                <w:sz w:val="22"/>
              </w:rPr>
              <w:t> </w:t>
            </w:r>
            <w:r>
              <w:rPr>
                <w:sz w:val="22"/>
              </w:rPr>
              <w:t>(за</w:t>
            </w:r>
            <w:r>
              <w:rPr>
                <w:spacing w:val="-14"/>
                <w:sz w:val="22"/>
              </w:rPr>
              <w:t> </w:t>
            </w:r>
            <w:r>
              <w:rPr>
                <w:sz w:val="22"/>
              </w:rPr>
              <w:t>исключением</w:t>
            </w:r>
          </w:p>
          <w:p>
            <w:pPr>
              <w:pStyle w:val="TableParagraph"/>
              <w:spacing w:line="252" w:lineRule="exact"/>
              <w:ind w:left="410" w:right="1016" w:hanging="3"/>
              <w:rPr>
                <w:sz w:val="22"/>
              </w:rPr>
            </w:pPr>
            <w:r>
              <w:rPr>
                <w:sz w:val="22"/>
              </w:rPr>
              <w:t>федеральных</w:t>
            </w:r>
            <w:r>
              <w:rPr>
                <w:spacing w:val="-14"/>
                <w:sz w:val="22"/>
              </w:rPr>
              <w:t> </w:t>
            </w:r>
            <w:r>
              <w:rPr>
                <w:sz w:val="22"/>
              </w:rPr>
              <w:t>медицинских </w:t>
            </w:r>
            <w:r>
              <w:rPr>
                <w:spacing w:val="-2"/>
                <w:sz w:val="22"/>
              </w:rPr>
              <w:t>организаций)</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0,004443</w:t>
            </w:r>
          </w:p>
        </w:tc>
        <w:tc>
          <w:tcPr>
            <w:tcW w:w="1569" w:type="dxa"/>
          </w:tcPr>
          <w:p>
            <w:pPr>
              <w:pStyle w:val="TableParagraph"/>
              <w:spacing w:before="36"/>
              <w:ind w:right="428"/>
              <w:jc w:val="right"/>
              <w:rPr>
                <w:sz w:val="22"/>
              </w:rPr>
            </w:pPr>
            <w:r>
              <w:rPr>
                <w:spacing w:val="-2"/>
                <w:sz w:val="22"/>
              </w:rPr>
              <w:t>38662,5</w:t>
            </w:r>
          </w:p>
        </w:tc>
        <w:tc>
          <w:tcPr>
            <w:tcW w:w="1642" w:type="dxa"/>
          </w:tcPr>
          <w:p>
            <w:pPr>
              <w:pStyle w:val="TableParagraph"/>
              <w:spacing w:before="36"/>
              <w:ind w:left="378"/>
              <w:rPr>
                <w:sz w:val="22"/>
              </w:rPr>
            </w:pPr>
            <w:r>
              <w:rPr>
                <w:spacing w:val="-2"/>
                <w:sz w:val="22"/>
              </w:rPr>
              <w:t>0,004443</w:t>
            </w:r>
          </w:p>
        </w:tc>
        <w:tc>
          <w:tcPr>
            <w:tcW w:w="1692" w:type="dxa"/>
          </w:tcPr>
          <w:p>
            <w:pPr>
              <w:pStyle w:val="TableParagraph"/>
              <w:spacing w:before="36"/>
              <w:ind w:left="430" w:right="413"/>
              <w:jc w:val="center"/>
              <w:rPr>
                <w:sz w:val="22"/>
              </w:rPr>
            </w:pPr>
            <w:r>
              <w:rPr>
                <w:spacing w:val="-2"/>
                <w:sz w:val="22"/>
              </w:rPr>
              <w:t>40797,2</w:t>
            </w:r>
          </w:p>
        </w:tc>
        <w:tc>
          <w:tcPr>
            <w:tcW w:w="1638" w:type="dxa"/>
          </w:tcPr>
          <w:p>
            <w:pPr>
              <w:pStyle w:val="TableParagraph"/>
              <w:spacing w:before="36"/>
              <w:ind w:right="376"/>
              <w:jc w:val="right"/>
              <w:rPr>
                <w:sz w:val="22"/>
              </w:rPr>
            </w:pPr>
            <w:r>
              <w:rPr>
                <w:spacing w:val="-2"/>
                <w:sz w:val="22"/>
              </w:rPr>
              <w:t>0,004443</w:t>
            </w:r>
          </w:p>
        </w:tc>
        <w:tc>
          <w:tcPr>
            <w:tcW w:w="1260" w:type="dxa"/>
          </w:tcPr>
          <w:p>
            <w:pPr>
              <w:pStyle w:val="TableParagraph"/>
              <w:spacing w:before="36"/>
              <w:ind w:right="95"/>
              <w:jc w:val="right"/>
              <w:rPr>
                <w:sz w:val="22"/>
              </w:rPr>
            </w:pPr>
            <w:r>
              <w:rPr>
                <w:spacing w:val="-2"/>
                <w:sz w:val="22"/>
              </w:rPr>
              <w:t>43074,6</w:t>
            </w:r>
          </w:p>
        </w:tc>
      </w:tr>
    </w:tbl>
    <w:p>
      <w:pPr>
        <w:pStyle w:val="BodyText"/>
        <w:rPr>
          <w:sz w:val="20"/>
        </w:rPr>
      </w:pPr>
    </w:p>
    <w:p>
      <w:pPr>
        <w:pStyle w:val="BodyText"/>
        <w:spacing w:before="1"/>
        <w:rPr>
          <w:sz w:val="23"/>
        </w:rPr>
      </w:pPr>
      <w:r>
        <w:rPr/>
        <w:pict>
          <v:shape style="position:absolute;margin-left:28.32pt;margin-top:14.473877pt;width:126.05pt;height:.1pt;mso-position-horizontal-relative:page;mso-position-vertical-relative:paragraph;z-index:-15718912;mso-wrap-distance-left:0;mso-wrap-distance-right:0" id="docshape27" coordorigin="566,289" coordsize="2521,0" path="m566,289l3087,289e" filled="false" stroked="true" strokeweight=".5616pt" strokecolor="#000000">
            <v:path arrowok="t"/>
            <v:stroke dashstyle="solid"/>
            <w10:wrap type="topAndBottom"/>
          </v:shape>
        </w:pict>
      </w:r>
    </w:p>
    <w:p>
      <w:pPr>
        <w:spacing w:line="249" w:lineRule="auto" w:before="12"/>
        <w:ind w:left="226" w:right="0" w:firstLine="0"/>
        <w:jc w:val="left"/>
        <w:rPr>
          <w:sz w:val="20"/>
        </w:rPr>
      </w:pPr>
      <w:r>
        <w:rPr>
          <w:sz w:val="20"/>
          <w:vertAlign w:val="superscript"/>
        </w:rPr>
        <w:t>1</w:t>
      </w:r>
      <w:r>
        <w:rPr>
          <w:spacing w:val="22"/>
          <w:sz w:val="20"/>
          <w:vertAlign w:val="baseline"/>
        </w:rPr>
        <w:t> </w:t>
      </w:r>
      <w:r>
        <w:rPr>
          <w:sz w:val="20"/>
          <w:vertAlign w:val="baseline"/>
        </w:rPr>
        <w:t>Средние</w:t>
      </w:r>
      <w:r>
        <w:rPr>
          <w:spacing w:val="24"/>
          <w:sz w:val="20"/>
          <w:vertAlign w:val="baseline"/>
        </w:rPr>
        <w:t> </w:t>
      </w:r>
      <w:r>
        <w:rPr>
          <w:sz w:val="20"/>
          <w:vertAlign w:val="baseline"/>
        </w:rPr>
        <w:t>нормативы</w:t>
      </w:r>
      <w:r>
        <w:rPr>
          <w:spacing w:val="23"/>
          <w:sz w:val="20"/>
          <w:vertAlign w:val="baseline"/>
        </w:rPr>
        <w:t> </w:t>
      </w:r>
      <w:r>
        <w:rPr>
          <w:sz w:val="20"/>
          <w:vertAlign w:val="baseline"/>
        </w:rPr>
        <w:t>объема</w:t>
      </w:r>
      <w:r>
        <w:rPr>
          <w:spacing w:val="22"/>
          <w:sz w:val="20"/>
          <w:vertAlign w:val="baseline"/>
        </w:rPr>
        <w:t> </w:t>
      </w:r>
      <w:r>
        <w:rPr>
          <w:sz w:val="20"/>
          <w:vertAlign w:val="baseline"/>
        </w:rPr>
        <w:t>оказания</w:t>
      </w:r>
      <w:r>
        <w:rPr>
          <w:spacing w:val="24"/>
          <w:sz w:val="20"/>
          <w:vertAlign w:val="baseline"/>
        </w:rPr>
        <w:t> </w:t>
      </w:r>
      <w:r>
        <w:rPr>
          <w:sz w:val="20"/>
          <w:vertAlign w:val="baseline"/>
        </w:rPr>
        <w:t>и</w:t>
      </w:r>
      <w:r>
        <w:rPr>
          <w:spacing w:val="21"/>
          <w:sz w:val="20"/>
          <w:vertAlign w:val="baseline"/>
        </w:rPr>
        <w:t> </w:t>
      </w:r>
      <w:r>
        <w:rPr>
          <w:sz w:val="20"/>
          <w:vertAlign w:val="baseline"/>
        </w:rPr>
        <w:t>средние</w:t>
      </w:r>
      <w:r>
        <w:rPr>
          <w:spacing w:val="24"/>
          <w:sz w:val="20"/>
          <w:vertAlign w:val="baseline"/>
        </w:rPr>
        <w:t> </w:t>
      </w:r>
      <w:r>
        <w:rPr>
          <w:sz w:val="20"/>
          <w:vertAlign w:val="baseline"/>
        </w:rPr>
        <w:t>нормативы</w:t>
      </w:r>
      <w:r>
        <w:rPr>
          <w:spacing w:val="22"/>
          <w:sz w:val="20"/>
          <w:vertAlign w:val="baseline"/>
        </w:rPr>
        <w:t> </w:t>
      </w:r>
      <w:r>
        <w:rPr>
          <w:sz w:val="20"/>
          <w:vertAlign w:val="baseline"/>
        </w:rPr>
        <w:t>финансовых</w:t>
      </w:r>
      <w:r>
        <w:rPr>
          <w:spacing w:val="20"/>
          <w:sz w:val="20"/>
          <w:vertAlign w:val="baseline"/>
        </w:rPr>
        <w:t> </w:t>
      </w:r>
      <w:r>
        <w:rPr>
          <w:sz w:val="20"/>
          <w:vertAlign w:val="baseline"/>
        </w:rPr>
        <w:t>затрат</w:t>
      </w:r>
      <w:r>
        <w:rPr>
          <w:spacing w:val="24"/>
          <w:sz w:val="20"/>
          <w:vertAlign w:val="baseline"/>
        </w:rPr>
        <w:t> </w:t>
      </w:r>
      <w:r>
        <w:rPr>
          <w:sz w:val="20"/>
          <w:vertAlign w:val="baseline"/>
        </w:rPr>
        <w:t>на</w:t>
      </w:r>
      <w:r>
        <w:rPr>
          <w:spacing w:val="22"/>
          <w:sz w:val="20"/>
          <w:vertAlign w:val="baseline"/>
        </w:rPr>
        <w:t> </w:t>
      </w:r>
      <w:r>
        <w:rPr>
          <w:sz w:val="20"/>
          <w:vertAlign w:val="baseline"/>
        </w:rPr>
        <w:t>единицу</w:t>
      </w:r>
      <w:r>
        <w:rPr>
          <w:spacing w:val="20"/>
          <w:sz w:val="20"/>
          <w:vertAlign w:val="baseline"/>
        </w:rPr>
        <w:t> </w:t>
      </w:r>
      <w:r>
        <w:rPr>
          <w:sz w:val="20"/>
          <w:vertAlign w:val="baseline"/>
        </w:rPr>
        <w:t>объема</w:t>
      </w:r>
      <w:r>
        <w:rPr>
          <w:spacing w:val="22"/>
          <w:sz w:val="20"/>
          <w:vertAlign w:val="baseline"/>
        </w:rPr>
        <w:t> </w:t>
      </w:r>
      <w:r>
        <w:rPr>
          <w:sz w:val="20"/>
          <w:vertAlign w:val="baseline"/>
        </w:rPr>
        <w:t>медицинской</w:t>
      </w:r>
      <w:r>
        <w:rPr>
          <w:spacing w:val="23"/>
          <w:sz w:val="20"/>
          <w:vertAlign w:val="baseline"/>
        </w:rPr>
        <w:t> </w:t>
      </w:r>
      <w:r>
        <w:rPr>
          <w:sz w:val="20"/>
          <w:vertAlign w:val="baseline"/>
        </w:rPr>
        <w:t>помощи</w:t>
      </w:r>
      <w:r>
        <w:rPr>
          <w:spacing w:val="21"/>
          <w:sz w:val="20"/>
          <w:vertAlign w:val="baseline"/>
        </w:rPr>
        <w:t> </w:t>
      </w:r>
      <w:r>
        <w:rPr>
          <w:sz w:val="20"/>
          <w:vertAlign w:val="baseline"/>
        </w:rPr>
        <w:t>за</w:t>
      </w:r>
      <w:r>
        <w:rPr>
          <w:spacing w:val="22"/>
          <w:sz w:val="20"/>
          <w:vertAlign w:val="baseline"/>
        </w:rPr>
        <w:t> </w:t>
      </w:r>
      <w:r>
        <w:rPr>
          <w:sz w:val="20"/>
          <w:vertAlign w:val="baseline"/>
        </w:rPr>
        <w:t>счет</w:t>
      </w:r>
      <w:r>
        <w:rPr>
          <w:spacing w:val="26"/>
          <w:sz w:val="20"/>
          <w:vertAlign w:val="baseline"/>
        </w:rPr>
        <w:t> </w:t>
      </w:r>
      <w:r>
        <w:rPr>
          <w:sz w:val="20"/>
          <w:vertAlign w:val="baseline"/>
        </w:rPr>
        <w:t>бюджетных</w:t>
      </w:r>
      <w:r>
        <w:rPr>
          <w:spacing w:val="21"/>
          <w:sz w:val="20"/>
          <w:vertAlign w:val="baseline"/>
        </w:rPr>
        <w:t> </w:t>
      </w:r>
      <w:r>
        <w:rPr>
          <w:sz w:val="20"/>
          <w:vertAlign w:val="baseline"/>
        </w:rPr>
        <w:t>ассигнований</w:t>
      </w:r>
      <w:r>
        <w:rPr>
          <w:spacing w:val="23"/>
          <w:sz w:val="20"/>
          <w:vertAlign w:val="baseline"/>
        </w:rPr>
        <w:t> </w:t>
      </w:r>
      <w:r>
        <w:rPr>
          <w:sz w:val="20"/>
          <w:vertAlign w:val="baseline"/>
        </w:rPr>
        <w:t>бюджетов</w:t>
      </w:r>
      <w:r>
        <w:rPr>
          <w:spacing w:val="21"/>
          <w:sz w:val="20"/>
          <w:vertAlign w:val="baseline"/>
        </w:rPr>
        <w:t> </w:t>
      </w:r>
      <w:r>
        <w:rPr>
          <w:sz w:val="20"/>
          <w:vertAlign w:val="baseline"/>
        </w:rPr>
        <w:t>субъектов Российской</w:t>
      </w:r>
      <w:r>
        <w:rPr>
          <w:spacing w:val="4"/>
          <w:sz w:val="20"/>
          <w:vertAlign w:val="baseline"/>
        </w:rPr>
        <w:t> </w:t>
      </w:r>
      <w:r>
        <w:rPr>
          <w:sz w:val="20"/>
          <w:vertAlign w:val="baseline"/>
        </w:rPr>
        <w:t>Федерации</w:t>
      </w:r>
      <w:r>
        <w:rPr>
          <w:spacing w:val="6"/>
          <w:sz w:val="20"/>
          <w:vertAlign w:val="baseline"/>
        </w:rPr>
        <w:t> </w:t>
      </w:r>
      <w:r>
        <w:rPr>
          <w:sz w:val="20"/>
          <w:vertAlign w:val="baseline"/>
        </w:rPr>
        <w:t>и</w:t>
      </w:r>
      <w:r>
        <w:rPr>
          <w:spacing w:val="5"/>
          <w:sz w:val="20"/>
          <w:vertAlign w:val="baseline"/>
        </w:rPr>
        <w:t> </w:t>
      </w:r>
      <w:r>
        <w:rPr>
          <w:sz w:val="20"/>
          <w:vertAlign w:val="baseline"/>
        </w:rPr>
        <w:t>местных</w:t>
      </w:r>
      <w:r>
        <w:rPr>
          <w:spacing w:val="3"/>
          <w:sz w:val="20"/>
          <w:vertAlign w:val="baseline"/>
        </w:rPr>
        <w:t> </w:t>
      </w:r>
      <w:r>
        <w:rPr>
          <w:sz w:val="20"/>
          <w:vertAlign w:val="baseline"/>
        </w:rPr>
        <w:t>бюджетов</w:t>
      </w:r>
      <w:r>
        <w:rPr>
          <w:spacing w:val="5"/>
          <w:sz w:val="20"/>
          <w:vertAlign w:val="baseline"/>
        </w:rPr>
        <w:t> </w:t>
      </w:r>
      <w:r>
        <w:rPr>
          <w:sz w:val="20"/>
          <w:vertAlign w:val="baseline"/>
        </w:rPr>
        <w:t>(в</w:t>
      </w:r>
      <w:r>
        <w:rPr>
          <w:spacing w:val="6"/>
          <w:sz w:val="20"/>
          <w:vertAlign w:val="baseline"/>
        </w:rPr>
        <w:t> </w:t>
      </w:r>
      <w:r>
        <w:rPr>
          <w:sz w:val="20"/>
          <w:vertAlign w:val="baseline"/>
        </w:rPr>
        <w:t>случае</w:t>
      </w:r>
      <w:r>
        <w:rPr>
          <w:spacing w:val="8"/>
          <w:sz w:val="20"/>
          <w:vertAlign w:val="baseline"/>
        </w:rPr>
        <w:t> </w:t>
      </w:r>
      <w:r>
        <w:rPr>
          <w:sz w:val="20"/>
          <w:vertAlign w:val="baseline"/>
        </w:rPr>
        <w:t>передачи</w:t>
      </w:r>
      <w:r>
        <w:rPr>
          <w:spacing w:val="4"/>
          <w:sz w:val="20"/>
          <w:vertAlign w:val="baseline"/>
        </w:rPr>
        <w:t> </w:t>
      </w:r>
      <w:r>
        <w:rPr>
          <w:sz w:val="20"/>
          <w:vertAlign w:val="baseline"/>
        </w:rPr>
        <w:t>органами</w:t>
      </w:r>
      <w:r>
        <w:rPr>
          <w:spacing w:val="5"/>
          <w:sz w:val="20"/>
          <w:vertAlign w:val="baseline"/>
        </w:rPr>
        <w:t> </w:t>
      </w:r>
      <w:r>
        <w:rPr>
          <w:sz w:val="20"/>
          <w:vertAlign w:val="baseline"/>
        </w:rPr>
        <w:t>государственной</w:t>
      </w:r>
      <w:r>
        <w:rPr>
          <w:spacing w:val="6"/>
          <w:sz w:val="20"/>
          <w:vertAlign w:val="baseline"/>
        </w:rPr>
        <w:t> </w:t>
      </w:r>
      <w:r>
        <w:rPr>
          <w:sz w:val="20"/>
          <w:vertAlign w:val="baseline"/>
        </w:rPr>
        <w:t>власти</w:t>
      </w:r>
      <w:r>
        <w:rPr>
          <w:spacing w:val="6"/>
          <w:sz w:val="20"/>
          <w:vertAlign w:val="baseline"/>
        </w:rPr>
        <w:t> </w:t>
      </w:r>
      <w:r>
        <w:rPr>
          <w:sz w:val="20"/>
          <w:vertAlign w:val="baseline"/>
        </w:rPr>
        <w:t>субъектов</w:t>
      </w:r>
      <w:r>
        <w:rPr>
          <w:spacing w:val="7"/>
          <w:sz w:val="20"/>
          <w:vertAlign w:val="baseline"/>
        </w:rPr>
        <w:t> </w:t>
      </w:r>
      <w:r>
        <w:rPr>
          <w:sz w:val="20"/>
          <w:vertAlign w:val="baseline"/>
        </w:rPr>
        <w:t>Российской</w:t>
      </w:r>
      <w:r>
        <w:rPr>
          <w:spacing w:val="5"/>
          <w:sz w:val="20"/>
          <w:vertAlign w:val="baseline"/>
        </w:rPr>
        <w:t> </w:t>
      </w:r>
      <w:r>
        <w:rPr>
          <w:sz w:val="20"/>
          <w:vertAlign w:val="baseline"/>
        </w:rPr>
        <w:t>Федерации</w:t>
      </w:r>
      <w:r>
        <w:rPr>
          <w:spacing w:val="4"/>
          <w:sz w:val="20"/>
          <w:vertAlign w:val="baseline"/>
        </w:rPr>
        <w:t> </w:t>
      </w:r>
      <w:r>
        <w:rPr>
          <w:sz w:val="20"/>
          <w:vertAlign w:val="baseline"/>
        </w:rPr>
        <w:t>соответствующих</w:t>
      </w:r>
      <w:r>
        <w:rPr>
          <w:spacing w:val="6"/>
          <w:sz w:val="20"/>
          <w:vertAlign w:val="baseline"/>
        </w:rPr>
        <w:t> </w:t>
      </w:r>
      <w:r>
        <w:rPr>
          <w:sz w:val="20"/>
          <w:vertAlign w:val="baseline"/>
        </w:rPr>
        <w:t>полномочий</w:t>
      </w:r>
      <w:r>
        <w:rPr>
          <w:spacing w:val="5"/>
          <w:sz w:val="20"/>
          <w:vertAlign w:val="baseline"/>
        </w:rPr>
        <w:t> </w:t>
      </w:r>
      <w:r>
        <w:rPr>
          <w:sz w:val="20"/>
          <w:vertAlign w:val="baseline"/>
        </w:rPr>
        <w:t>в</w:t>
      </w:r>
      <w:r>
        <w:rPr>
          <w:spacing w:val="6"/>
          <w:sz w:val="20"/>
          <w:vertAlign w:val="baseline"/>
        </w:rPr>
        <w:t> </w:t>
      </w:r>
      <w:r>
        <w:rPr>
          <w:sz w:val="20"/>
          <w:vertAlign w:val="baseline"/>
        </w:rPr>
        <w:t>сфере</w:t>
      </w:r>
      <w:r>
        <w:rPr>
          <w:spacing w:val="5"/>
          <w:sz w:val="20"/>
          <w:vertAlign w:val="baseline"/>
        </w:rPr>
        <w:t> </w:t>
      </w:r>
      <w:r>
        <w:rPr>
          <w:spacing w:val="-2"/>
          <w:sz w:val="20"/>
          <w:vertAlign w:val="baseline"/>
        </w:rPr>
        <w:t>охраны</w:t>
      </w:r>
    </w:p>
    <w:p>
      <w:pPr>
        <w:spacing w:after="0" w:line="249" w:lineRule="auto"/>
        <w:jc w:val="left"/>
        <w:rPr>
          <w:sz w:val="20"/>
        </w:rPr>
        <w:sectPr>
          <w:pgSz w:w="16850" w:h="11910" w:orient="landscape"/>
          <w:pgMar w:header="751" w:footer="0" w:top="1060" w:bottom="280" w:left="340" w:right="340"/>
        </w:sectPr>
      </w:pPr>
    </w:p>
    <w:p>
      <w:pPr>
        <w:spacing w:line="249" w:lineRule="auto" w:before="77"/>
        <w:ind w:left="226" w:right="222" w:firstLine="0"/>
        <w:jc w:val="both"/>
        <w:rPr>
          <w:sz w:val="20"/>
        </w:rPr>
      </w:pPr>
      <w:r>
        <w:rPr>
          <w:sz w:val="20"/>
        </w:rPr>
        <w:t>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w:t>
      </w:r>
      <w:r>
        <w:rPr>
          <w:spacing w:val="40"/>
          <w:sz w:val="20"/>
        </w:rPr>
        <w:t> </w:t>
      </w:r>
      <w:r>
        <w:rPr>
          <w:sz w:val="20"/>
        </w:rPr>
        <w:t>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pPr>
        <w:spacing w:line="249" w:lineRule="auto" w:before="4"/>
        <w:ind w:left="226" w:right="228" w:firstLine="0"/>
        <w:jc w:val="both"/>
        <w:rPr>
          <w:sz w:val="20"/>
        </w:rPr>
      </w:pPr>
      <w:r>
        <w:rPr>
          <w:sz w:val="20"/>
          <w:vertAlign w:val="superscript"/>
        </w:rPr>
        <w:t>2</w:t>
      </w:r>
      <w:r>
        <w:rPr>
          <w:spacing w:val="-13"/>
          <w:sz w:val="20"/>
          <w:vertAlign w:val="baseline"/>
        </w:rPr>
        <w:t> </w:t>
      </w:r>
      <w:r>
        <w:rPr>
          <w:sz w:val="20"/>
          <w:vertAlign w:val="baseline"/>
        </w:rPr>
        <w:t>Включая</w:t>
      </w:r>
      <w:r>
        <w:rPr>
          <w:spacing w:val="-6"/>
          <w:sz w:val="20"/>
          <w:vertAlign w:val="baseline"/>
        </w:rPr>
        <w:t> </w:t>
      </w:r>
      <w:r>
        <w:rPr>
          <w:sz w:val="20"/>
          <w:vertAlign w:val="baseline"/>
        </w:rPr>
        <w:t>посещения,</w:t>
      </w:r>
      <w:r>
        <w:rPr>
          <w:spacing w:val="-1"/>
          <w:sz w:val="20"/>
          <w:vertAlign w:val="baseline"/>
        </w:rPr>
        <w:t> </w:t>
      </w:r>
      <w:r>
        <w:rPr>
          <w:sz w:val="20"/>
          <w:vertAlign w:val="baseline"/>
        </w:rPr>
        <w:t>связанные с профилактическими мероприятиями,</w:t>
      </w:r>
      <w:r>
        <w:rPr>
          <w:spacing w:val="-1"/>
          <w:sz w:val="20"/>
          <w:vertAlign w:val="baseline"/>
        </w:rPr>
        <w:t> </w:t>
      </w:r>
      <w:r>
        <w:rPr>
          <w:sz w:val="20"/>
          <w:vertAlign w:val="baseline"/>
        </w:rPr>
        <w:t>в</w:t>
      </w:r>
      <w:r>
        <w:rPr>
          <w:spacing w:val="-1"/>
          <w:sz w:val="20"/>
          <w:vertAlign w:val="baseline"/>
        </w:rPr>
        <w:t> </w:t>
      </w:r>
      <w:r>
        <w:rPr>
          <w:sz w:val="20"/>
          <w:vertAlign w:val="baseline"/>
        </w:rPr>
        <w:t>том числе при</w:t>
      </w:r>
      <w:r>
        <w:rPr>
          <w:spacing w:val="-2"/>
          <w:sz w:val="20"/>
          <w:vertAlign w:val="baseline"/>
        </w:rPr>
        <w:t> </w:t>
      </w:r>
      <w:r>
        <w:rPr>
          <w:sz w:val="20"/>
          <w:vertAlign w:val="baseline"/>
        </w:rPr>
        <w:t>проведении</w:t>
      </w:r>
      <w:r>
        <w:rPr>
          <w:spacing w:val="-2"/>
          <w:sz w:val="20"/>
          <w:vertAlign w:val="baseline"/>
        </w:rPr>
        <w:t> </w:t>
      </w:r>
      <w:r>
        <w:rPr>
          <w:sz w:val="20"/>
          <w:vertAlign w:val="baseline"/>
        </w:rPr>
        <w:t>профилактических</w:t>
      </w:r>
      <w:r>
        <w:rPr>
          <w:spacing w:val="-2"/>
          <w:sz w:val="20"/>
          <w:vertAlign w:val="baseline"/>
        </w:rPr>
        <w:t> </w:t>
      </w:r>
      <w:r>
        <w:rPr>
          <w:sz w:val="20"/>
          <w:vertAlign w:val="baseline"/>
        </w:rPr>
        <w:t>медицинских</w:t>
      </w:r>
      <w:r>
        <w:rPr>
          <w:spacing w:val="-2"/>
          <w:sz w:val="20"/>
          <w:vertAlign w:val="baseline"/>
        </w:rPr>
        <w:t> </w:t>
      </w:r>
      <w:r>
        <w:rPr>
          <w:sz w:val="20"/>
          <w:vertAlign w:val="baseline"/>
        </w:rPr>
        <w:t>осмотров</w:t>
      </w:r>
      <w:r>
        <w:rPr>
          <w:spacing w:val="-1"/>
          <w:sz w:val="20"/>
          <w:vertAlign w:val="baseline"/>
        </w:rPr>
        <w:t> </w:t>
      </w:r>
      <w:r>
        <w:rPr>
          <w:sz w:val="20"/>
          <w:vertAlign w:val="baseline"/>
        </w:rPr>
        <w:t>обучающихся</w:t>
      </w:r>
      <w:r>
        <w:rPr>
          <w:spacing w:val="-1"/>
          <w:sz w:val="20"/>
          <w:vertAlign w:val="baseline"/>
        </w:rPr>
        <w:t> </w:t>
      </w:r>
      <w:r>
        <w:rPr>
          <w:sz w:val="20"/>
          <w:vertAlign w:val="baseline"/>
        </w:rPr>
        <w:t>в</w:t>
      </w:r>
      <w:r>
        <w:rPr>
          <w:spacing w:val="-1"/>
          <w:sz w:val="20"/>
          <w:vertAlign w:val="baseline"/>
        </w:rPr>
        <w:t> </w:t>
      </w:r>
      <w:r>
        <w:rPr>
          <w:sz w:val="20"/>
          <w:vertAlign w:val="baseline"/>
        </w:rPr>
        <w:t>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spacing w:before="2"/>
        <w:ind w:left="226" w:right="0" w:firstLine="0"/>
        <w:jc w:val="left"/>
        <w:rPr>
          <w:sz w:val="20"/>
        </w:rPr>
      </w:pPr>
      <w:r>
        <w:rPr>
          <w:sz w:val="20"/>
          <w:vertAlign w:val="superscript"/>
        </w:rPr>
        <w:t>3</w:t>
      </w:r>
      <w:r>
        <w:rPr>
          <w:spacing w:val="-17"/>
          <w:sz w:val="20"/>
          <w:vertAlign w:val="baseline"/>
        </w:rPr>
        <w:t> </w:t>
      </w:r>
      <w:r>
        <w:rPr>
          <w:sz w:val="20"/>
          <w:vertAlign w:val="baseline"/>
        </w:rPr>
        <w:t>Законченных</w:t>
      </w:r>
      <w:r>
        <w:rPr>
          <w:spacing w:val="-13"/>
          <w:sz w:val="20"/>
          <w:vertAlign w:val="baseline"/>
        </w:rPr>
        <w:t> </w:t>
      </w:r>
      <w:r>
        <w:rPr>
          <w:sz w:val="20"/>
          <w:vertAlign w:val="baseline"/>
        </w:rPr>
        <w:t>случаев</w:t>
      </w:r>
      <w:r>
        <w:rPr>
          <w:spacing w:val="-4"/>
          <w:sz w:val="20"/>
          <w:vertAlign w:val="baseline"/>
        </w:rPr>
        <w:t> </w:t>
      </w:r>
      <w:r>
        <w:rPr>
          <w:sz w:val="20"/>
          <w:vertAlign w:val="baseline"/>
        </w:rPr>
        <w:t>лечения</w:t>
      </w:r>
      <w:r>
        <w:rPr>
          <w:spacing w:val="-7"/>
          <w:sz w:val="20"/>
          <w:vertAlign w:val="baseline"/>
        </w:rPr>
        <w:t> </w:t>
      </w:r>
      <w:r>
        <w:rPr>
          <w:sz w:val="20"/>
          <w:vertAlign w:val="baseline"/>
        </w:rPr>
        <w:t>заболевания</w:t>
      </w:r>
      <w:r>
        <w:rPr>
          <w:spacing w:val="-8"/>
          <w:sz w:val="20"/>
          <w:vertAlign w:val="baseline"/>
        </w:rPr>
        <w:t> </w:t>
      </w:r>
      <w:r>
        <w:rPr>
          <w:sz w:val="20"/>
          <w:vertAlign w:val="baseline"/>
        </w:rPr>
        <w:t>в</w:t>
      </w:r>
      <w:r>
        <w:rPr>
          <w:spacing w:val="-8"/>
          <w:sz w:val="20"/>
          <w:vertAlign w:val="baseline"/>
        </w:rPr>
        <w:t> </w:t>
      </w:r>
      <w:r>
        <w:rPr>
          <w:sz w:val="20"/>
          <w:vertAlign w:val="baseline"/>
        </w:rPr>
        <w:t>амбулаторных</w:t>
      </w:r>
      <w:r>
        <w:rPr>
          <w:spacing w:val="-6"/>
          <w:sz w:val="20"/>
          <w:vertAlign w:val="baseline"/>
        </w:rPr>
        <w:t> </w:t>
      </w:r>
      <w:r>
        <w:rPr>
          <w:sz w:val="20"/>
          <w:vertAlign w:val="baseline"/>
        </w:rPr>
        <w:t>условиях</w:t>
      </w:r>
      <w:r>
        <w:rPr>
          <w:spacing w:val="-7"/>
          <w:sz w:val="20"/>
          <w:vertAlign w:val="baseline"/>
        </w:rPr>
        <w:t> </w:t>
      </w:r>
      <w:r>
        <w:rPr>
          <w:sz w:val="20"/>
          <w:vertAlign w:val="baseline"/>
        </w:rPr>
        <w:t>с</w:t>
      </w:r>
      <w:r>
        <w:rPr>
          <w:spacing w:val="-7"/>
          <w:sz w:val="20"/>
          <w:vertAlign w:val="baseline"/>
        </w:rPr>
        <w:t> </w:t>
      </w:r>
      <w:r>
        <w:rPr>
          <w:sz w:val="20"/>
          <w:vertAlign w:val="baseline"/>
        </w:rPr>
        <w:t>кратностью</w:t>
      </w:r>
      <w:r>
        <w:rPr>
          <w:spacing w:val="-7"/>
          <w:sz w:val="20"/>
          <w:vertAlign w:val="baseline"/>
        </w:rPr>
        <w:t> </w:t>
      </w:r>
      <w:r>
        <w:rPr>
          <w:sz w:val="20"/>
          <w:vertAlign w:val="baseline"/>
        </w:rPr>
        <w:t>посещений</w:t>
      </w:r>
      <w:r>
        <w:rPr>
          <w:spacing w:val="-7"/>
          <w:sz w:val="20"/>
          <w:vertAlign w:val="baseline"/>
        </w:rPr>
        <w:t> </w:t>
      </w:r>
      <w:r>
        <w:rPr>
          <w:sz w:val="20"/>
          <w:vertAlign w:val="baseline"/>
        </w:rPr>
        <w:t>по</w:t>
      </w:r>
      <w:r>
        <w:rPr>
          <w:spacing w:val="-6"/>
          <w:sz w:val="20"/>
          <w:vertAlign w:val="baseline"/>
        </w:rPr>
        <w:t> </w:t>
      </w:r>
      <w:r>
        <w:rPr>
          <w:sz w:val="20"/>
          <w:vertAlign w:val="baseline"/>
        </w:rPr>
        <w:t>поводу</w:t>
      </w:r>
      <w:r>
        <w:rPr>
          <w:spacing w:val="-10"/>
          <w:sz w:val="20"/>
          <w:vertAlign w:val="baseline"/>
        </w:rPr>
        <w:t> </w:t>
      </w:r>
      <w:r>
        <w:rPr>
          <w:sz w:val="20"/>
          <w:vertAlign w:val="baseline"/>
        </w:rPr>
        <w:t>одного</w:t>
      </w:r>
      <w:r>
        <w:rPr>
          <w:spacing w:val="-6"/>
          <w:sz w:val="20"/>
          <w:vertAlign w:val="baseline"/>
        </w:rPr>
        <w:t> </w:t>
      </w:r>
      <w:r>
        <w:rPr>
          <w:sz w:val="20"/>
          <w:vertAlign w:val="baseline"/>
        </w:rPr>
        <w:t>заболевания</w:t>
      </w:r>
      <w:r>
        <w:rPr>
          <w:spacing w:val="-8"/>
          <w:sz w:val="20"/>
          <w:vertAlign w:val="baseline"/>
        </w:rPr>
        <w:t> </w:t>
      </w:r>
      <w:r>
        <w:rPr>
          <w:sz w:val="20"/>
          <w:vertAlign w:val="baseline"/>
        </w:rPr>
        <w:t>не</w:t>
      </w:r>
      <w:r>
        <w:rPr>
          <w:spacing w:val="-7"/>
          <w:sz w:val="20"/>
          <w:vertAlign w:val="baseline"/>
        </w:rPr>
        <w:t> </w:t>
      </w:r>
      <w:r>
        <w:rPr>
          <w:sz w:val="20"/>
          <w:vertAlign w:val="baseline"/>
        </w:rPr>
        <w:t>менее</w:t>
      </w:r>
      <w:r>
        <w:rPr>
          <w:spacing w:val="-7"/>
          <w:sz w:val="20"/>
          <w:vertAlign w:val="baseline"/>
        </w:rPr>
        <w:t> </w:t>
      </w:r>
      <w:r>
        <w:rPr>
          <w:spacing w:val="-5"/>
          <w:sz w:val="20"/>
          <w:vertAlign w:val="baseline"/>
        </w:rPr>
        <w:t>2.</w:t>
      </w:r>
    </w:p>
    <w:p>
      <w:pPr>
        <w:spacing w:before="10"/>
        <w:ind w:left="226" w:right="0" w:firstLine="0"/>
        <w:jc w:val="left"/>
        <w:rPr>
          <w:sz w:val="20"/>
        </w:rPr>
      </w:pPr>
      <w:r>
        <w:rPr>
          <w:sz w:val="20"/>
          <w:vertAlign w:val="superscript"/>
        </w:rPr>
        <w:t>4</w:t>
      </w:r>
      <w:r>
        <w:rPr>
          <w:spacing w:val="-17"/>
          <w:sz w:val="20"/>
          <w:vertAlign w:val="baseline"/>
        </w:rPr>
        <w:t> </w:t>
      </w:r>
      <w:r>
        <w:rPr>
          <w:sz w:val="20"/>
          <w:vertAlign w:val="baseline"/>
        </w:rPr>
        <w:t>Включая</w:t>
      </w:r>
      <w:r>
        <w:rPr>
          <w:spacing w:val="-13"/>
          <w:sz w:val="20"/>
          <w:vertAlign w:val="baseline"/>
        </w:rPr>
        <w:t> </w:t>
      </w:r>
      <w:r>
        <w:rPr>
          <w:sz w:val="20"/>
          <w:vertAlign w:val="baseline"/>
        </w:rPr>
        <w:t>случаи</w:t>
      </w:r>
      <w:r>
        <w:rPr>
          <w:spacing w:val="-9"/>
          <w:sz w:val="20"/>
          <w:vertAlign w:val="baseline"/>
        </w:rPr>
        <w:t> </w:t>
      </w:r>
      <w:r>
        <w:rPr>
          <w:sz w:val="20"/>
          <w:vertAlign w:val="baseline"/>
        </w:rPr>
        <w:t>оказания</w:t>
      </w:r>
      <w:r>
        <w:rPr>
          <w:spacing w:val="-6"/>
          <w:sz w:val="20"/>
          <w:vertAlign w:val="baseline"/>
        </w:rPr>
        <w:t> </w:t>
      </w:r>
      <w:r>
        <w:rPr>
          <w:sz w:val="20"/>
          <w:vertAlign w:val="baseline"/>
        </w:rPr>
        <w:t>паллиативной</w:t>
      </w:r>
      <w:r>
        <w:rPr>
          <w:spacing w:val="-8"/>
          <w:sz w:val="20"/>
          <w:vertAlign w:val="baseline"/>
        </w:rPr>
        <w:t> </w:t>
      </w:r>
      <w:r>
        <w:rPr>
          <w:sz w:val="20"/>
          <w:vertAlign w:val="baseline"/>
        </w:rPr>
        <w:t>медицинской</w:t>
      </w:r>
      <w:r>
        <w:rPr>
          <w:spacing w:val="-7"/>
          <w:sz w:val="20"/>
          <w:vertAlign w:val="baseline"/>
        </w:rPr>
        <w:t> </w:t>
      </w:r>
      <w:r>
        <w:rPr>
          <w:sz w:val="20"/>
          <w:vertAlign w:val="baseline"/>
        </w:rPr>
        <w:t>помощи</w:t>
      </w:r>
      <w:r>
        <w:rPr>
          <w:spacing w:val="-8"/>
          <w:sz w:val="20"/>
          <w:vertAlign w:val="baseline"/>
        </w:rPr>
        <w:t> </w:t>
      </w:r>
      <w:r>
        <w:rPr>
          <w:sz w:val="20"/>
          <w:vertAlign w:val="baseline"/>
        </w:rPr>
        <w:t>в</w:t>
      </w:r>
      <w:r>
        <w:rPr>
          <w:spacing w:val="-6"/>
          <w:sz w:val="20"/>
          <w:vertAlign w:val="baseline"/>
        </w:rPr>
        <w:t> </w:t>
      </w:r>
      <w:r>
        <w:rPr>
          <w:sz w:val="20"/>
          <w:vertAlign w:val="baseline"/>
        </w:rPr>
        <w:t>условиях</w:t>
      </w:r>
      <w:r>
        <w:rPr>
          <w:spacing w:val="-6"/>
          <w:sz w:val="20"/>
          <w:vertAlign w:val="baseline"/>
        </w:rPr>
        <w:t> </w:t>
      </w:r>
      <w:r>
        <w:rPr>
          <w:sz w:val="20"/>
          <w:vertAlign w:val="baseline"/>
        </w:rPr>
        <w:t>дневного</w:t>
      </w:r>
      <w:r>
        <w:rPr>
          <w:spacing w:val="-7"/>
          <w:sz w:val="20"/>
          <w:vertAlign w:val="baseline"/>
        </w:rPr>
        <w:t> </w:t>
      </w:r>
      <w:r>
        <w:rPr>
          <w:spacing w:val="-2"/>
          <w:sz w:val="20"/>
          <w:vertAlign w:val="baseline"/>
        </w:rPr>
        <w:t>стационара.</w:t>
      </w:r>
    </w:p>
    <w:p>
      <w:pPr>
        <w:spacing w:before="10"/>
        <w:ind w:left="226" w:right="0" w:firstLine="0"/>
        <w:jc w:val="left"/>
        <w:rPr>
          <w:sz w:val="20"/>
        </w:rPr>
      </w:pPr>
      <w:r>
        <w:rPr>
          <w:sz w:val="20"/>
          <w:vertAlign w:val="superscript"/>
        </w:rPr>
        <w:t>5</w:t>
      </w:r>
      <w:r>
        <w:rPr>
          <w:spacing w:val="-17"/>
          <w:sz w:val="20"/>
          <w:vertAlign w:val="baseline"/>
        </w:rPr>
        <w:t> </w:t>
      </w:r>
      <w:r>
        <w:rPr>
          <w:sz w:val="20"/>
          <w:vertAlign w:val="baseline"/>
        </w:rPr>
        <w:t>Включены</w:t>
      </w:r>
      <w:r>
        <w:rPr>
          <w:spacing w:val="-12"/>
          <w:sz w:val="20"/>
          <w:vertAlign w:val="baseline"/>
        </w:rPr>
        <w:t> </w:t>
      </w:r>
      <w:r>
        <w:rPr>
          <w:sz w:val="20"/>
          <w:vertAlign w:val="baseline"/>
        </w:rPr>
        <w:t>в</w:t>
      </w:r>
      <w:r>
        <w:rPr>
          <w:spacing w:val="-6"/>
          <w:sz w:val="20"/>
          <w:vertAlign w:val="baseline"/>
        </w:rPr>
        <w:t> </w:t>
      </w:r>
      <w:r>
        <w:rPr>
          <w:sz w:val="20"/>
          <w:vertAlign w:val="baseline"/>
        </w:rPr>
        <w:t>норматив</w:t>
      </w:r>
      <w:r>
        <w:rPr>
          <w:spacing w:val="-8"/>
          <w:sz w:val="20"/>
          <w:vertAlign w:val="baseline"/>
        </w:rPr>
        <w:t> </w:t>
      </w:r>
      <w:r>
        <w:rPr>
          <w:sz w:val="20"/>
          <w:vertAlign w:val="baseline"/>
        </w:rPr>
        <w:t>объема</w:t>
      </w:r>
      <w:r>
        <w:rPr>
          <w:spacing w:val="-7"/>
          <w:sz w:val="20"/>
          <w:vertAlign w:val="baseline"/>
        </w:rPr>
        <w:t> </w:t>
      </w:r>
      <w:r>
        <w:rPr>
          <w:sz w:val="20"/>
          <w:vertAlign w:val="baseline"/>
        </w:rPr>
        <w:t>первичной</w:t>
      </w:r>
      <w:r>
        <w:rPr>
          <w:spacing w:val="-8"/>
          <w:sz w:val="20"/>
          <w:vertAlign w:val="baseline"/>
        </w:rPr>
        <w:t> </w:t>
      </w:r>
      <w:r>
        <w:rPr>
          <w:sz w:val="20"/>
          <w:vertAlign w:val="baseline"/>
        </w:rPr>
        <w:t>медико-санитарной</w:t>
      </w:r>
      <w:r>
        <w:rPr>
          <w:spacing w:val="-7"/>
          <w:sz w:val="20"/>
          <w:vertAlign w:val="baseline"/>
        </w:rPr>
        <w:t> </w:t>
      </w:r>
      <w:r>
        <w:rPr>
          <w:sz w:val="20"/>
          <w:vertAlign w:val="baseline"/>
        </w:rPr>
        <w:t>помощи</w:t>
      </w:r>
      <w:r>
        <w:rPr>
          <w:spacing w:val="-8"/>
          <w:sz w:val="20"/>
          <w:vertAlign w:val="baseline"/>
        </w:rPr>
        <w:t> </w:t>
      </w:r>
      <w:r>
        <w:rPr>
          <w:sz w:val="20"/>
          <w:vertAlign w:val="baseline"/>
        </w:rPr>
        <w:t>в</w:t>
      </w:r>
      <w:r>
        <w:rPr>
          <w:spacing w:val="-8"/>
          <w:sz w:val="20"/>
          <w:vertAlign w:val="baseline"/>
        </w:rPr>
        <w:t> </w:t>
      </w:r>
      <w:r>
        <w:rPr>
          <w:sz w:val="20"/>
          <w:vertAlign w:val="baseline"/>
        </w:rPr>
        <w:t>амбулаторных</w:t>
      </w:r>
      <w:r>
        <w:rPr>
          <w:spacing w:val="-5"/>
          <w:sz w:val="20"/>
          <w:vertAlign w:val="baseline"/>
        </w:rPr>
        <w:t> </w:t>
      </w:r>
      <w:r>
        <w:rPr>
          <w:spacing w:val="-2"/>
          <w:sz w:val="20"/>
          <w:vertAlign w:val="baseline"/>
        </w:rPr>
        <w:t>условиях.</w:t>
      </w:r>
    </w:p>
    <w:p>
      <w:pPr>
        <w:spacing w:line="249" w:lineRule="auto" w:before="11"/>
        <w:ind w:left="226" w:right="225" w:firstLine="0"/>
        <w:jc w:val="both"/>
        <w:rPr>
          <w:sz w:val="20"/>
        </w:rPr>
      </w:pPr>
      <w:r>
        <w:rPr>
          <w:sz w:val="20"/>
          <w:vertAlign w:val="superscript"/>
        </w:rPr>
        <w:t>6</w:t>
      </w:r>
      <w:r>
        <w:rPr>
          <w:spacing w:val="-13"/>
          <w:sz w:val="20"/>
          <w:vertAlign w:val="baseline"/>
        </w:rPr>
        <w:t> </w:t>
      </w:r>
      <w:r>
        <w:rPr>
          <w:sz w:val="20"/>
          <w:vertAlign w:val="baseline"/>
        </w:rPr>
        <w:t>Включая</w:t>
      </w:r>
      <w:r>
        <w:rPr>
          <w:spacing w:val="-2"/>
          <w:sz w:val="20"/>
          <w:vertAlign w:val="baseline"/>
        </w:rPr>
        <w:t> </w:t>
      </w:r>
      <w:r>
        <w:rPr>
          <w:sz w:val="20"/>
          <w:vertAlign w:val="baseline"/>
        </w:rPr>
        <w:t>посещения, связанные с профилактическими мероприятиями, в том числе посещения центров здоровья, посещения среднего медицинского персонала и</w:t>
      </w:r>
      <w:r>
        <w:rPr>
          <w:spacing w:val="-1"/>
          <w:sz w:val="20"/>
          <w:vertAlign w:val="baseline"/>
        </w:rPr>
        <w:t> </w:t>
      </w:r>
      <w:r>
        <w:rPr>
          <w:sz w:val="20"/>
          <w:vertAlign w:val="baseline"/>
        </w:rPr>
        <w:t>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spacing w:line="220" w:lineRule="exact" w:before="0"/>
        <w:ind w:left="226" w:right="0" w:firstLine="0"/>
        <w:jc w:val="both"/>
        <w:rPr>
          <w:sz w:val="20"/>
        </w:rPr>
      </w:pPr>
      <w:r>
        <w:rPr>
          <w:sz w:val="20"/>
          <w:vertAlign w:val="superscript"/>
        </w:rPr>
        <w:t>7</w:t>
      </w:r>
      <w:r>
        <w:rPr>
          <w:spacing w:val="18"/>
          <w:sz w:val="20"/>
          <w:vertAlign w:val="baseline"/>
        </w:rPr>
        <w:t> </w:t>
      </w:r>
      <w:r>
        <w:rPr>
          <w:sz w:val="20"/>
          <w:vertAlign w:val="baseline"/>
        </w:rPr>
        <w:t>Оплата</w:t>
      </w:r>
      <w:r>
        <w:rPr>
          <w:spacing w:val="33"/>
          <w:sz w:val="20"/>
          <w:vertAlign w:val="baseline"/>
        </w:rPr>
        <w:t> </w:t>
      </w:r>
      <w:r>
        <w:rPr>
          <w:sz w:val="20"/>
          <w:vertAlign w:val="baseline"/>
        </w:rPr>
        <w:t>специализированной</w:t>
      </w:r>
      <w:r>
        <w:rPr>
          <w:spacing w:val="32"/>
          <w:sz w:val="20"/>
          <w:vertAlign w:val="baseline"/>
        </w:rPr>
        <w:t> </w:t>
      </w:r>
      <w:r>
        <w:rPr>
          <w:sz w:val="20"/>
          <w:vertAlign w:val="baseline"/>
        </w:rPr>
        <w:t>медицинской</w:t>
      </w:r>
      <w:r>
        <w:rPr>
          <w:spacing w:val="34"/>
          <w:sz w:val="20"/>
          <w:vertAlign w:val="baseline"/>
        </w:rPr>
        <w:t> </w:t>
      </w:r>
      <w:r>
        <w:rPr>
          <w:sz w:val="20"/>
          <w:vertAlign w:val="baseline"/>
        </w:rPr>
        <w:t>помощи</w:t>
      </w:r>
      <w:r>
        <w:rPr>
          <w:spacing w:val="33"/>
          <w:sz w:val="20"/>
          <w:vertAlign w:val="baseline"/>
        </w:rPr>
        <w:t> </w:t>
      </w:r>
      <w:r>
        <w:rPr>
          <w:sz w:val="20"/>
          <w:vertAlign w:val="baseline"/>
        </w:rPr>
        <w:t>пациентам</w:t>
      </w:r>
      <w:r>
        <w:rPr>
          <w:spacing w:val="34"/>
          <w:sz w:val="20"/>
          <w:vertAlign w:val="baseline"/>
        </w:rPr>
        <w:t> </w:t>
      </w:r>
      <w:r>
        <w:rPr>
          <w:sz w:val="20"/>
          <w:vertAlign w:val="baseline"/>
        </w:rPr>
        <w:t>с</w:t>
      </w:r>
      <w:r>
        <w:rPr>
          <w:spacing w:val="33"/>
          <w:sz w:val="20"/>
          <w:vertAlign w:val="baseline"/>
        </w:rPr>
        <w:t> </w:t>
      </w:r>
      <w:r>
        <w:rPr>
          <w:sz w:val="20"/>
          <w:vertAlign w:val="baseline"/>
        </w:rPr>
        <w:t>новой</w:t>
      </w:r>
      <w:r>
        <w:rPr>
          <w:spacing w:val="34"/>
          <w:sz w:val="20"/>
          <w:vertAlign w:val="baseline"/>
        </w:rPr>
        <w:t> </w:t>
      </w:r>
      <w:r>
        <w:rPr>
          <w:sz w:val="20"/>
          <w:vertAlign w:val="baseline"/>
        </w:rPr>
        <w:t>коронавирусной</w:t>
      </w:r>
      <w:r>
        <w:rPr>
          <w:spacing w:val="32"/>
          <w:sz w:val="20"/>
          <w:vertAlign w:val="baseline"/>
        </w:rPr>
        <w:t> </w:t>
      </w:r>
      <w:r>
        <w:rPr>
          <w:sz w:val="20"/>
          <w:vertAlign w:val="baseline"/>
        </w:rPr>
        <w:t>инфекцией</w:t>
      </w:r>
      <w:r>
        <w:rPr>
          <w:spacing w:val="33"/>
          <w:sz w:val="20"/>
          <w:vertAlign w:val="baseline"/>
        </w:rPr>
        <w:t> </w:t>
      </w:r>
      <w:r>
        <w:rPr>
          <w:sz w:val="20"/>
          <w:vertAlign w:val="baseline"/>
        </w:rPr>
        <w:t>(COVID-19)</w:t>
      </w:r>
      <w:r>
        <w:rPr>
          <w:spacing w:val="34"/>
          <w:sz w:val="20"/>
          <w:vertAlign w:val="baseline"/>
        </w:rPr>
        <w:t> </w:t>
      </w:r>
      <w:r>
        <w:rPr>
          <w:sz w:val="20"/>
          <w:vertAlign w:val="baseline"/>
        </w:rPr>
        <w:t>осуществляется</w:t>
      </w:r>
      <w:r>
        <w:rPr>
          <w:spacing w:val="33"/>
          <w:sz w:val="20"/>
          <w:vertAlign w:val="baseline"/>
        </w:rPr>
        <w:t> </w:t>
      </w:r>
      <w:r>
        <w:rPr>
          <w:sz w:val="20"/>
          <w:vertAlign w:val="baseline"/>
        </w:rPr>
        <w:t>по</w:t>
      </w:r>
      <w:r>
        <w:rPr>
          <w:spacing w:val="37"/>
          <w:sz w:val="20"/>
          <w:vertAlign w:val="baseline"/>
        </w:rPr>
        <w:t> </w:t>
      </w:r>
      <w:r>
        <w:rPr>
          <w:sz w:val="20"/>
          <w:vertAlign w:val="baseline"/>
        </w:rPr>
        <w:t>соответствующим</w:t>
      </w:r>
      <w:r>
        <w:rPr>
          <w:spacing w:val="36"/>
          <w:sz w:val="20"/>
          <w:vertAlign w:val="baseline"/>
        </w:rPr>
        <w:t> </w:t>
      </w:r>
      <w:r>
        <w:rPr>
          <w:sz w:val="20"/>
          <w:vertAlign w:val="baseline"/>
        </w:rPr>
        <w:t>клинико-</w:t>
      </w:r>
      <w:r>
        <w:rPr>
          <w:spacing w:val="-2"/>
          <w:sz w:val="20"/>
          <w:vertAlign w:val="baseline"/>
        </w:rPr>
        <w:t>статистическим</w:t>
      </w:r>
    </w:p>
    <w:p>
      <w:pPr>
        <w:spacing w:before="0"/>
        <w:ind w:left="226" w:right="230" w:firstLine="0"/>
        <w:jc w:val="both"/>
        <w:rPr>
          <w:i/>
          <w:sz w:val="20"/>
        </w:rPr>
      </w:pPr>
      <w:r>
        <w:rPr>
          <w:sz w:val="20"/>
        </w:rPr>
        <w:t>группам, при этом рекомендуемая стоимость одного случая госпитализации на 2022</w:t>
      </w:r>
      <w:r>
        <w:rPr>
          <w:spacing w:val="29"/>
          <w:sz w:val="20"/>
        </w:rPr>
        <w:t> </w:t>
      </w:r>
      <w:r>
        <w:rPr>
          <w:sz w:val="20"/>
        </w:rPr>
        <w:t>год составляет 116200 рублей в среднем (без учета коэффициента дифференциации) и может</w:t>
      </w:r>
      <w:r>
        <w:rPr>
          <w:spacing w:val="40"/>
          <w:sz w:val="20"/>
        </w:rPr>
        <w:t> </w:t>
      </w:r>
      <w:r>
        <w:rPr>
          <w:sz w:val="20"/>
        </w:rPr>
        <w:t>быть скорректирована с учетом распределения пациентов по степени тяжести течения болезни</w:t>
      </w:r>
      <w:r>
        <w:rPr>
          <w:i/>
          <w:sz w:val="20"/>
        </w:rPr>
        <w:t>.</w:t>
      </w:r>
    </w:p>
    <w:p>
      <w:pPr>
        <w:spacing w:before="13"/>
        <w:ind w:left="226" w:right="0" w:firstLine="0"/>
        <w:jc w:val="both"/>
        <w:rPr>
          <w:sz w:val="20"/>
        </w:rPr>
      </w:pPr>
      <w:r>
        <w:rPr>
          <w:sz w:val="20"/>
          <w:vertAlign w:val="superscript"/>
        </w:rPr>
        <w:t>8</w:t>
      </w:r>
      <w:r>
        <w:rPr>
          <w:spacing w:val="-17"/>
          <w:sz w:val="20"/>
          <w:vertAlign w:val="baseline"/>
        </w:rPr>
        <w:t> </w:t>
      </w:r>
      <w:r>
        <w:rPr>
          <w:sz w:val="20"/>
          <w:vertAlign w:val="baseline"/>
        </w:rPr>
        <w:t>Нормативы</w:t>
      </w:r>
      <w:r>
        <w:rPr>
          <w:spacing w:val="-9"/>
          <w:sz w:val="20"/>
          <w:vertAlign w:val="baseline"/>
        </w:rPr>
        <w:t> </w:t>
      </w:r>
      <w:r>
        <w:rPr>
          <w:sz w:val="20"/>
          <w:vertAlign w:val="baseline"/>
        </w:rPr>
        <w:t>объема</w:t>
      </w:r>
      <w:r>
        <w:rPr>
          <w:spacing w:val="-6"/>
          <w:sz w:val="20"/>
          <w:vertAlign w:val="baseline"/>
        </w:rPr>
        <w:t> </w:t>
      </w:r>
      <w:r>
        <w:rPr>
          <w:sz w:val="20"/>
          <w:vertAlign w:val="baseline"/>
        </w:rPr>
        <w:t>включают</w:t>
      </w:r>
      <w:r>
        <w:rPr>
          <w:spacing w:val="-6"/>
          <w:sz w:val="20"/>
          <w:vertAlign w:val="baseline"/>
        </w:rPr>
        <w:t> </w:t>
      </w:r>
      <w:r>
        <w:rPr>
          <w:sz w:val="20"/>
          <w:vertAlign w:val="baseline"/>
        </w:rPr>
        <w:t>не</w:t>
      </w:r>
      <w:r>
        <w:rPr>
          <w:spacing w:val="-6"/>
          <w:sz w:val="20"/>
          <w:vertAlign w:val="baseline"/>
        </w:rPr>
        <w:t> </w:t>
      </w:r>
      <w:r>
        <w:rPr>
          <w:sz w:val="20"/>
          <w:vertAlign w:val="baseline"/>
        </w:rPr>
        <w:t>менее</w:t>
      </w:r>
      <w:r>
        <w:rPr>
          <w:spacing w:val="-5"/>
          <w:sz w:val="20"/>
          <w:vertAlign w:val="baseline"/>
        </w:rPr>
        <w:t> </w:t>
      </w:r>
      <w:r>
        <w:rPr>
          <w:sz w:val="20"/>
          <w:vertAlign w:val="baseline"/>
        </w:rPr>
        <w:t>25</w:t>
      </w:r>
      <w:r>
        <w:rPr>
          <w:spacing w:val="-4"/>
          <w:sz w:val="20"/>
          <w:vertAlign w:val="baseline"/>
        </w:rPr>
        <w:t> </w:t>
      </w:r>
      <w:r>
        <w:rPr>
          <w:sz w:val="20"/>
          <w:vertAlign w:val="baseline"/>
        </w:rPr>
        <w:t>процентов</w:t>
      </w:r>
      <w:r>
        <w:rPr>
          <w:spacing w:val="-7"/>
          <w:sz w:val="20"/>
          <w:vertAlign w:val="baseline"/>
        </w:rPr>
        <w:t> </w:t>
      </w:r>
      <w:r>
        <w:rPr>
          <w:sz w:val="20"/>
          <w:vertAlign w:val="baseline"/>
        </w:rPr>
        <w:t>для</w:t>
      </w:r>
      <w:r>
        <w:rPr>
          <w:spacing w:val="-6"/>
          <w:sz w:val="20"/>
          <w:vertAlign w:val="baseline"/>
        </w:rPr>
        <w:t> </w:t>
      </w:r>
      <w:r>
        <w:rPr>
          <w:sz w:val="20"/>
          <w:vertAlign w:val="baseline"/>
        </w:rPr>
        <w:t>медицинской</w:t>
      </w:r>
      <w:r>
        <w:rPr>
          <w:spacing w:val="-6"/>
          <w:sz w:val="20"/>
          <w:vertAlign w:val="baseline"/>
        </w:rPr>
        <w:t> </w:t>
      </w:r>
      <w:r>
        <w:rPr>
          <w:sz w:val="20"/>
          <w:vertAlign w:val="baseline"/>
        </w:rPr>
        <w:t>реабилитации</w:t>
      </w:r>
      <w:r>
        <w:rPr>
          <w:spacing w:val="-7"/>
          <w:sz w:val="20"/>
          <w:vertAlign w:val="baseline"/>
        </w:rPr>
        <w:t> </w:t>
      </w:r>
      <w:r>
        <w:rPr>
          <w:sz w:val="20"/>
          <w:vertAlign w:val="baseline"/>
        </w:rPr>
        <w:t>детей</w:t>
      </w:r>
      <w:r>
        <w:rPr>
          <w:spacing w:val="-3"/>
          <w:sz w:val="20"/>
          <w:vertAlign w:val="baseline"/>
        </w:rPr>
        <w:t> </w:t>
      </w:r>
      <w:r>
        <w:rPr>
          <w:sz w:val="20"/>
          <w:vertAlign w:val="baseline"/>
        </w:rPr>
        <w:t>в</w:t>
      </w:r>
      <w:r>
        <w:rPr>
          <w:spacing w:val="-7"/>
          <w:sz w:val="20"/>
          <w:vertAlign w:val="baseline"/>
        </w:rPr>
        <w:t> </w:t>
      </w:r>
      <w:r>
        <w:rPr>
          <w:sz w:val="20"/>
          <w:vertAlign w:val="baseline"/>
        </w:rPr>
        <w:t>возрасте</w:t>
      </w:r>
      <w:r>
        <w:rPr>
          <w:spacing w:val="-5"/>
          <w:sz w:val="20"/>
          <w:vertAlign w:val="baseline"/>
        </w:rPr>
        <w:t> </w:t>
      </w:r>
      <w:r>
        <w:rPr>
          <w:sz w:val="20"/>
          <w:vertAlign w:val="baseline"/>
        </w:rPr>
        <w:t>0</w:t>
      </w:r>
      <w:r>
        <w:rPr>
          <w:spacing w:val="2"/>
          <w:sz w:val="20"/>
          <w:vertAlign w:val="baseline"/>
        </w:rPr>
        <w:t> </w:t>
      </w:r>
      <w:r>
        <w:rPr>
          <w:sz w:val="20"/>
          <w:vertAlign w:val="baseline"/>
        </w:rPr>
        <w:t>-</w:t>
      </w:r>
      <w:r>
        <w:rPr>
          <w:spacing w:val="-7"/>
          <w:sz w:val="20"/>
          <w:vertAlign w:val="baseline"/>
        </w:rPr>
        <w:t> </w:t>
      </w:r>
      <w:r>
        <w:rPr>
          <w:sz w:val="20"/>
          <w:vertAlign w:val="baseline"/>
        </w:rPr>
        <w:t>17</w:t>
      </w:r>
      <w:r>
        <w:rPr>
          <w:spacing w:val="-5"/>
          <w:sz w:val="20"/>
          <w:vertAlign w:val="baseline"/>
        </w:rPr>
        <w:t> </w:t>
      </w:r>
      <w:r>
        <w:rPr>
          <w:sz w:val="20"/>
          <w:vertAlign w:val="baseline"/>
        </w:rPr>
        <w:t>лет</w:t>
      </w:r>
      <w:r>
        <w:rPr>
          <w:spacing w:val="-6"/>
          <w:sz w:val="20"/>
          <w:vertAlign w:val="baseline"/>
        </w:rPr>
        <w:t> </w:t>
      </w:r>
      <w:r>
        <w:rPr>
          <w:sz w:val="20"/>
          <w:vertAlign w:val="baseline"/>
        </w:rPr>
        <w:t>с</w:t>
      </w:r>
      <w:r>
        <w:rPr>
          <w:spacing w:val="-3"/>
          <w:sz w:val="20"/>
          <w:vertAlign w:val="baseline"/>
        </w:rPr>
        <w:t> </w:t>
      </w:r>
      <w:r>
        <w:rPr>
          <w:sz w:val="20"/>
          <w:vertAlign w:val="baseline"/>
        </w:rPr>
        <w:t>учетом</w:t>
      </w:r>
      <w:r>
        <w:rPr>
          <w:spacing w:val="-4"/>
          <w:sz w:val="20"/>
          <w:vertAlign w:val="baseline"/>
        </w:rPr>
        <w:t> </w:t>
      </w:r>
      <w:r>
        <w:rPr>
          <w:sz w:val="20"/>
          <w:vertAlign w:val="baseline"/>
        </w:rPr>
        <w:t>реальной</w:t>
      </w:r>
      <w:r>
        <w:rPr>
          <w:spacing w:val="-5"/>
          <w:sz w:val="20"/>
          <w:vertAlign w:val="baseline"/>
        </w:rPr>
        <w:t> </w:t>
      </w:r>
      <w:r>
        <w:rPr>
          <w:spacing w:val="-2"/>
          <w:sz w:val="20"/>
          <w:vertAlign w:val="baseline"/>
        </w:rPr>
        <w:t>потребности.</w:t>
      </w:r>
    </w:p>
    <w:p>
      <w:pPr>
        <w:pStyle w:val="BodyText"/>
        <w:rPr>
          <w:sz w:val="20"/>
        </w:rPr>
      </w:pPr>
    </w:p>
    <w:p>
      <w:pPr>
        <w:pStyle w:val="BodyText"/>
        <w:rPr>
          <w:sz w:val="20"/>
        </w:rPr>
      </w:pPr>
    </w:p>
    <w:p>
      <w:pPr>
        <w:pStyle w:val="BodyText"/>
        <w:spacing w:before="2"/>
        <w:rPr>
          <w:sz w:val="13"/>
        </w:rPr>
      </w:pPr>
      <w:r>
        <w:rPr/>
        <w:pict>
          <v:shape style="position:absolute;margin-left:375.529999pt;margin-top:8.774365pt;width:91pt;height:.1pt;mso-position-horizontal-relative:page;mso-position-vertical-relative:paragraph;z-index:-15718400;mso-wrap-distance-left:0;mso-wrap-distance-right:0" id="docshape28" coordorigin="7511,175" coordsize="1820,0" path="m7511,175l9330,175e" filled="false" stroked="true" strokeweight=".5616pt" strokecolor="#000000">
            <v:path arrowok="t"/>
            <v:stroke dashstyle="solid"/>
            <w10:wrap type="topAndBottom"/>
          </v:shape>
        </w:pict>
      </w:r>
    </w:p>
    <w:sectPr>
      <w:pgSz w:w="16850" w:h="11910" w:orient="landscape"/>
      <w:pgMar w:header="751" w:footer="0" w:top="1060" w:bottom="2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170013pt;margin-top:36.648746pt;width:14.05pt;height:17.55pt;mso-position-horizontal-relative:page;mso-position-vertical-relative:page;z-index:-79651840"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589996pt;margin-top:36.648777pt;width:28.05pt;height:17.55pt;mso-position-horizontal-relative:page;mso-position-vertical-relative:page;z-index:-79649792" type="#_x0000_t202" id="docshape18"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100</w:t>
                </w:r>
                <w:r>
                  <w:rPr>
                    <w:spacing w:val="-5"/>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970001pt;margin-top:36.648746pt;width:14.05pt;height:17.55pt;mso-position-horizontal-relative:page;mso-position-vertical-relative:page;z-index:-79649280" type="#_x0000_t202" id="docshape2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549988pt;margin-top:36.528778pt;width:14.05pt;height:17.55pt;mso-position-horizontal-relative:page;mso-position-vertical-relative:page;z-index:-79648768" type="#_x0000_t202" id="docshape26"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690002pt;margin-top:36.648746pt;width:21.2pt;height:17.55pt;mso-position-horizontal-relative:page;mso-position-vertical-relative:page;z-index:-79651328" type="#_x0000_t202" id="docshape2"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589996pt;margin-top:36.648777pt;width:28.05pt;height:17.55pt;mso-position-horizontal-relative:page;mso-position-vertical-relative:page;z-index:-79650816" type="#_x0000_t202" id="docshape4"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100</w:t>
                </w:r>
                <w:r>
                  <w:rPr>
                    <w:spacing w:val="-5"/>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90009pt;margin-top:36.528748pt;width:14.05pt;height:17.55pt;mso-position-horizontal-relative:page;mso-position-vertical-relative:page;z-index:-79650304" type="#_x0000_t202" id="docshape10"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2" w:hanging="516"/>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7" w:hanging="516"/>
      </w:pPr>
      <w:rPr>
        <w:rFonts w:hint="default"/>
        <w:lang w:val="ru-RU" w:eastAsia="en-US" w:bidi="ar-SA"/>
      </w:rPr>
    </w:lvl>
    <w:lvl w:ilvl="2">
      <w:start w:val="0"/>
      <w:numFmt w:val="bullet"/>
      <w:lvlText w:val="•"/>
      <w:lvlJc w:val="left"/>
      <w:pPr>
        <w:ind w:left="1454" w:hanging="516"/>
      </w:pPr>
      <w:rPr>
        <w:rFonts w:hint="default"/>
        <w:lang w:val="ru-RU" w:eastAsia="en-US" w:bidi="ar-SA"/>
      </w:rPr>
    </w:lvl>
    <w:lvl w:ilvl="3">
      <w:start w:val="0"/>
      <w:numFmt w:val="bullet"/>
      <w:lvlText w:val="•"/>
      <w:lvlJc w:val="left"/>
      <w:pPr>
        <w:ind w:left="1711" w:hanging="516"/>
      </w:pPr>
      <w:rPr>
        <w:rFonts w:hint="default"/>
        <w:lang w:val="ru-RU" w:eastAsia="en-US" w:bidi="ar-SA"/>
      </w:rPr>
    </w:lvl>
    <w:lvl w:ilvl="4">
      <w:start w:val="0"/>
      <w:numFmt w:val="bullet"/>
      <w:lvlText w:val="•"/>
      <w:lvlJc w:val="left"/>
      <w:pPr>
        <w:ind w:left="1969" w:hanging="516"/>
      </w:pPr>
      <w:rPr>
        <w:rFonts w:hint="default"/>
        <w:lang w:val="ru-RU" w:eastAsia="en-US" w:bidi="ar-SA"/>
      </w:rPr>
    </w:lvl>
    <w:lvl w:ilvl="5">
      <w:start w:val="0"/>
      <w:numFmt w:val="bullet"/>
      <w:lvlText w:val="•"/>
      <w:lvlJc w:val="left"/>
      <w:pPr>
        <w:ind w:left="2226" w:hanging="516"/>
      </w:pPr>
      <w:rPr>
        <w:rFonts w:hint="default"/>
        <w:lang w:val="ru-RU" w:eastAsia="en-US" w:bidi="ar-SA"/>
      </w:rPr>
    </w:lvl>
    <w:lvl w:ilvl="6">
      <w:start w:val="0"/>
      <w:numFmt w:val="bullet"/>
      <w:lvlText w:val="•"/>
      <w:lvlJc w:val="left"/>
      <w:pPr>
        <w:ind w:left="2483" w:hanging="516"/>
      </w:pPr>
      <w:rPr>
        <w:rFonts w:hint="default"/>
        <w:lang w:val="ru-RU" w:eastAsia="en-US" w:bidi="ar-SA"/>
      </w:rPr>
    </w:lvl>
    <w:lvl w:ilvl="7">
      <w:start w:val="0"/>
      <w:numFmt w:val="bullet"/>
      <w:lvlText w:val="•"/>
      <w:lvlJc w:val="left"/>
      <w:pPr>
        <w:ind w:left="2740" w:hanging="516"/>
      </w:pPr>
      <w:rPr>
        <w:rFonts w:hint="default"/>
        <w:lang w:val="ru-RU" w:eastAsia="en-US" w:bidi="ar-SA"/>
      </w:rPr>
    </w:lvl>
    <w:lvl w:ilvl="8">
      <w:start w:val="0"/>
      <w:numFmt w:val="bullet"/>
      <w:lvlText w:val="•"/>
      <w:lvlJc w:val="left"/>
      <w:pPr>
        <w:ind w:left="2998" w:hanging="516"/>
      </w:pPr>
      <w:rPr>
        <w:rFonts w:hint="default"/>
        <w:lang w:val="ru-RU" w:eastAsia="en-US" w:bidi="ar-SA"/>
      </w:rPr>
    </w:lvl>
  </w:abstractNum>
  <w:abstractNum w:abstractNumId="1">
    <w:multiLevelType w:val="hybridMultilevel"/>
    <w:lvl w:ilvl="0">
      <w:start w:val="1"/>
      <w:numFmt w:val="decimal"/>
      <w:lvlText w:val="%1."/>
      <w:lvlJc w:val="left"/>
      <w:pPr>
        <w:ind w:left="980" w:hanging="540"/>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1" w:hanging="540"/>
      </w:pPr>
      <w:rPr>
        <w:rFonts w:hint="default"/>
        <w:lang w:val="ru-RU" w:eastAsia="en-US" w:bidi="ar-SA"/>
      </w:rPr>
    </w:lvl>
    <w:lvl w:ilvl="2">
      <w:start w:val="0"/>
      <w:numFmt w:val="bullet"/>
      <w:lvlText w:val="•"/>
      <w:lvlJc w:val="left"/>
      <w:pPr>
        <w:ind w:left="1523" w:hanging="540"/>
      </w:pPr>
      <w:rPr>
        <w:rFonts w:hint="default"/>
        <w:lang w:val="ru-RU" w:eastAsia="en-US" w:bidi="ar-SA"/>
      </w:rPr>
    </w:lvl>
    <w:lvl w:ilvl="3">
      <w:start w:val="0"/>
      <w:numFmt w:val="bullet"/>
      <w:lvlText w:val="•"/>
      <w:lvlJc w:val="left"/>
      <w:pPr>
        <w:ind w:left="1794" w:hanging="540"/>
      </w:pPr>
      <w:rPr>
        <w:rFonts w:hint="default"/>
        <w:lang w:val="ru-RU" w:eastAsia="en-US" w:bidi="ar-SA"/>
      </w:rPr>
    </w:lvl>
    <w:lvl w:ilvl="4">
      <w:start w:val="0"/>
      <w:numFmt w:val="bullet"/>
      <w:lvlText w:val="•"/>
      <w:lvlJc w:val="left"/>
      <w:pPr>
        <w:ind w:left="2066" w:hanging="540"/>
      </w:pPr>
      <w:rPr>
        <w:rFonts w:hint="default"/>
        <w:lang w:val="ru-RU" w:eastAsia="en-US" w:bidi="ar-SA"/>
      </w:rPr>
    </w:lvl>
    <w:lvl w:ilvl="5">
      <w:start w:val="0"/>
      <w:numFmt w:val="bullet"/>
      <w:lvlText w:val="•"/>
      <w:lvlJc w:val="left"/>
      <w:pPr>
        <w:ind w:left="2337" w:hanging="540"/>
      </w:pPr>
      <w:rPr>
        <w:rFonts w:hint="default"/>
        <w:lang w:val="ru-RU" w:eastAsia="en-US" w:bidi="ar-SA"/>
      </w:rPr>
    </w:lvl>
    <w:lvl w:ilvl="6">
      <w:start w:val="0"/>
      <w:numFmt w:val="bullet"/>
      <w:lvlText w:val="•"/>
      <w:lvlJc w:val="left"/>
      <w:pPr>
        <w:ind w:left="2609" w:hanging="540"/>
      </w:pPr>
      <w:rPr>
        <w:rFonts w:hint="default"/>
        <w:lang w:val="ru-RU" w:eastAsia="en-US" w:bidi="ar-SA"/>
      </w:rPr>
    </w:lvl>
    <w:lvl w:ilvl="7">
      <w:start w:val="0"/>
      <w:numFmt w:val="bullet"/>
      <w:lvlText w:val="•"/>
      <w:lvlJc w:val="left"/>
      <w:pPr>
        <w:ind w:left="2880" w:hanging="540"/>
      </w:pPr>
      <w:rPr>
        <w:rFonts w:hint="default"/>
        <w:lang w:val="ru-RU" w:eastAsia="en-US" w:bidi="ar-SA"/>
      </w:rPr>
    </w:lvl>
    <w:lvl w:ilvl="8">
      <w:start w:val="0"/>
      <w:numFmt w:val="bullet"/>
      <w:lvlText w:val="•"/>
      <w:lvlJc w:val="left"/>
      <w:pPr>
        <w:ind w:left="3152" w:hanging="540"/>
      </w:pPr>
      <w:rPr>
        <w:rFonts w:hint="default"/>
        <w:lang w:val="ru-RU" w:eastAsia="en-US" w:bidi="ar-SA"/>
      </w:rPr>
    </w:lvl>
  </w:abstractNum>
  <w:abstractNum w:abstractNumId="21">
    <w:multiLevelType w:val="hybridMultilevel"/>
    <w:lvl w:ilvl="0">
      <w:start w:val="1"/>
      <w:numFmt w:val="decimal"/>
      <w:lvlText w:val="%1."/>
      <w:lvlJc w:val="left"/>
      <w:pPr>
        <w:ind w:left="1214" w:hanging="288"/>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upperRoman"/>
      <w:lvlText w:val="%2."/>
      <w:lvlJc w:val="left"/>
      <w:pPr>
        <w:ind w:left="5178" w:hanging="180"/>
        <w:jc w:val="left"/>
      </w:pPr>
      <w:rPr>
        <w:rFonts w:hint="default" w:ascii="Times New Roman" w:hAnsi="Times New Roman" w:eastAsia="Times New Roman" w:cs="Times New Roman"/>
        <w:b w:val="0"/>
        <w:bCs w:val="0"/>
        <w:i w:val="0"/>
        <w:iCs w:val="0"/>
        <w:spacing w:val="-4"/>
        <w:w w:val="100"/>
        <w:sz w:val="22"/>
        <w:szCs w:val="22"/>
        <w:lang w:val="ru-RU" w:eastAsia="en-US" w:bidi="ar-SA"/>
      </w:rPr>
    </w:lvl>
    <w:lvl w:ilvl="2">
      <w:start w:val="0"/>
      <w:numFmt w:val="bullet"/>
      <w:lvlText w:val="•"/>
      <w:lvlJc w:val="left"/>
      <w:pPr>
        <w:ind w:left="5642" w:hanging="180"/>
      </w:pPr>
      <w:rPr>
        <w:rFonts w:hint="default"/>
        <w:lang w:val="ru-RU" w:eastAsia="en-US" w:bidi="ar-SA"/>
      </w:rPr>
    </w:lvl>
    <w:lvl w:ilvl="3">
      <w:start w:val="0"/>
      <w:numFmt w:val="bullet"/>
      <w:lvlText w:val="•"/>
      <w:lvlJc w:val="left"/>
      <w:pPr>
        <w:ind w:left="6105" w:hanging="180"/>
      </w:pPr>
      <w:rPr>
        <w:rFonts w:hint="default"/>
        <w:lang w:val="ru-RU" w:eastAsia="en-US" w:bidi="ar-SA"/>
      </w:rPr>
    </w:lvl>
    <w:lvl w:ilvl="4">
      <w:start w:val="0"/>
      <w:numFmt w:val="bullet"/>
      <w:lvlText w:val="•"/>
      <w:lvlJc w:val="left"/>
      <w:pPr>
        <w:ind w:left="6568" w:hanging="180"/>
      </w:pPr>
      <w:rPr>
        <w:rFonts w:hint="default"/>
        <w:lang w:val="ru-RU" w:eastAsia="en-US" w:bidi="ar-SA"/>
      </w:rPr>
    </w:lvl>
    <w:lvl w:ilvl="5">
      <w:start w:val="0"/>
      <w:numFmt w:val="bullet"/>
      <w:lvlText w:val="•"/>
      <w:lvlJc w:val="left"/>
      <w:pPr>
        <w:ind w:left="7031" w:hanging="180"/>
      </w:pPr>
      <w:rPr>
        <w:rFonts w:hint="default"/>
        <w:lang w:val="ru-RU" w:eastAsia="en-US" w:bidi="ar-SA"/>
      </w:rPr>
    </w:lvl>
    <w:lvl w:ilvl="6">
      <w:start w:val="0"/>
      <w:numFmt w:val="bullet"/>
      <w:lvlText w:val="•"/>
      <w:lvlJc w:val="left"/>
      <w:pPr>
        <w:ind w:left="7494" w:hanging="180"/>
      </w:pPr>
      <w:rPr>
        <w:rFonts w:hint="default"/>
        <w:lang w:val="ru-RU" w:eastAsia="en-US" w:bidi="ar-SA"/>
      </w:rPr>
    </w:lvl>
    <w:lvl w:ilvl="7">
      <w:start w:val="0"/>
      <w:numFmt w:val="bullet"/>
      <w:lvlText w:val="•"/>
      <w:lvlJc w:val="left"/>
      <w:pPr>
        <w:ind w:left="7957" w:hanging="180"/>
      </w:pPr>
      <w:rPr>
        <w:rFonts w:hint="default"/>
        <w:lang w:val="ru-RU" w:eastAsia="en-US" w:bidi="ar-SA"/>
      </w:rPr>
    </w:lvl>
    <w:lvl w:ilvl="8">
      <w:start w:val="0"/>
      <w:numFmt w:val="bullet"/>
      <w:lvlText w:val="•"/>
      <w:lvlJc w:val="left"/>
      <w:pPr>
        <w:ind w:left="8420" w:hanging="180"/>
      </w:pPr>
      <w:rPr>
        <w:rFonts w:hint="default"/>
        <w:lang w:val="ru-RU" w:eastAsia="en-US" w:bidi="ar-SA"/>
      </w:rPr>
    </w:lvl>
  </w:abstractNum>
  <w:abstractNum w:abstractNumId="20">
    <w:multiLevelType w:val="hybridMultilevel"/>
    <w:lvl w:ilvl="0">
      <w:start w:val="376"/>
      <w:numFmt w:val="decimal"/>
      <w:lvlText w:val="%1"/>
      <w:lvlJc w:val="left"/>
      <w:pPr>
        <w:ind w:left="158" w:hanging="492"/>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492"/>
      </w:pPr>
      <w:rPr>
        <w:rFonts w:hint="default"/>
        <w:lang w:val="ru-RU" w:eastAsia="en-US" w:bidi="ar-SA"/>
      </w:rPr>
    </w:lvl>
    <w:lvl w:ilvl="2">
      <w:start w:val="0"/>
      <w:numFmt w:val="bullet"/>
      <w:lvlText w:val="•"/>
      <w:lvlJc w:val="left"/>
      <w:pPr>
        <w:ind w:left="2005" w:hanging="492"/>
      </w:pPr>
      <w:rPr>
        <w:rFonts w:hint="default"/>
        <w:lang w:val="ru-RU" w:eastAsia="en-US" w:bidi="ar-SA"/>
      </w:rPr>
    </w:lvl>
    <w:lvl w:ilvl="3">
      <w:start w:val="0"/>
      <w:numFmt w:val="bullet"/>
      <w:lvlText w:val="•"/>
      <w:lvlJc w:val="left"/>
      <w:pPr>
        <w:ind w:left="2927" w:hanging="492"/>
      </w:pPr>
      <w:rPr>
        <w:rFonts w:hint="default"/>
        <w:lang w:val="ru-RU" w:eastAsia="en-US" w:bidi="ar-SA"/>
      </w:rPr>
    </w:lvl>
    <w:lvl w:ilvl="4">
      <w:start w:val="0"/>
      <w:numFmt w:val="bullet"/>
      <w:lvlText w:val="•"/>
      <w:lvlJc w:val="left"/>
      <w:pPr>
        <w:ind w:left="3850" w:hanging="492"/>
      </w:pPr>
      <w:rPr>
        <w:rFonts w:hint="default"/>
        <w:lang w:val="ru-RU" w:eastAsia="en-US" w:bidi="ar-SA"/>
      </w:rPr>
    </w:lvl>
    <w:lvl w:ilvl="5">
      <w:start w:val="0"/>
      <w:numFmt w:val="bullet"/>
      <w:lvlText w:val="•"/>
      <w:lvlJc w:val="left"/>
      <w:pPr>
        <w:ind w:left="4773" w:hanging="492"/>
      </w:pPr>
      <w:rPr>
        <w:rFonts w:hint="default"/>
        <w:lang w:val="ru-RU" w:eastAsia="en-US" w:bidi="ar-SA"/>
      </w:rPr>
    </w:lvl>
    <w:lvl w:ilvl="6">
      <w:start w:val="0"/>
      <w:numFmt w:val="bullet"/>
      <w:lvlText w:val="•"/>
      <w:lvlJc w:val="left"/>
      <w:pPr>
        <w:ind w:left="5695" w:hanging="492"/>
      </w:pPr>
      <w:rPr>
        <w:rFonts w:hint="default"/>
        <w:lang w:val="ru-RU" w:eastAsia="en-US" w:bidi="ar-SA"/>
      </w:rPr>
    </w:lvl>
    <w:lvl w:ilvl="7">
      <w:start w:val="0"/>
      <w:numFmt w:val="bullet"/>
      <w:lvlText w:val="•"/>
      <w:lvlJc w:val="left"/>
      <w:pPr>
        <w:ind w:left="6618" w:hanging="492"/>
      </w:pPr>
      <w:rPr>
        <w:rFonts w:hint="default"/>
        <w:lang w:val="ru-RU" w:eastAsia="en-US" w:bidi="ar-SA"/>
      </w:rPr>
    </w:lvl>
    <w:lvl w:ilvl="8">
      <w:start w:val="0"/>
      <w:numFmt w:val="bullet"/>
      <w:lvlText w:val="•"/>
      <w:lvlJc w:val="left"/>
      <w:pPr>
        <w:ind w:left="7541" w:hanging="492"/>
      </w:pPr>
      <w:rPr>
        <w:rFonts w:hint="default"/>
        <w:lang w:val="ru-RU" w:eastAsia="en-US" w:bidi="ar-SA"/>
      </w:rPr>
    </w:lvl>
  </w:abstractNum>
  <w:abstractNum w:abstractNumId="19">
    <w:multiLevelType w:val="hybridMultilevel"/>
    <w:lvl w:ilvl="0">
      <w:start w:val="368"/>
      <w:numFmt w:val="decimal"/>
      <w:lvlText w:val="%1"/>
      <w:lvlJc w:val="left"/>
      <w:pPr>
        <w:ind w:left="1358" w:hanging="492"/>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2162" w:hanging="492"/>
      </w:pPr>
      <w:rPr>
        <w:rFonts w:hint="default"/>
        <w:lang w:val="ru-RU" w:eastAsia="en-US" w:bidi="ar-SA"/>
      </w:rPr>
    </w:lvl>
    <w:lvl w:ilvl="2">
      <w:start w:val="0"/>
      <w:numFmt w:val="bullet"/>
      <w:lvlText w:val="•"/>
      <w:lvlJc w:val="left"/>
      <w:pPr>
        <w:ind w:left="2965" w:hanging="492"/>
      </w:pPr>
      <w:rPr>
        <w:rFonts w:hint="default"/>
        <w:lang w:val="ru-RU" w:eastAsia="en-US" w:bidi="ar-SA"/>
      </w:rPr>
    </w:lvl>
    <w:lvl w:ilvl="3">
      <w:start w:val="0"/>
      <w:numFmt w:val="bullet"/>
      <w:lvlText w:val="•"/>
      <w:lvlJc w:val="left"/>
      <w:pPr>
        <w:ind w:left="3767" w:hanging="492"/>
      </w:pPr>
      <w:rPr>
        <w:rFonts w:hint="default"/>
        <w:lang w:val="ru-RU" w:eastAsia="en-US" w:bidi="ar-SA"/>
      </w:rPr>
    </w:lvl>
    <w:lvl w:ilvl="4">
      <w:start w:val="0"/>
      <w:numFmt w:val="bullet"/>
      <w:lvlText w:val="•"/>
      <w:lvlJc w:val="left"/>
      <w:pPr>
        <w:ind w:left="4570" w:hanging="492"/>
      </w:pPr>
      <w:rPr>
        <w:rFonts w:hint="default"/>
        <w:lang w:val="ru-RU" w:eastAsia="en-US" w:bidi="ar-SA"/>
      </w:rPr>
    </w:lvl>
    <w:lvl w:ilvl="5">
      <w:start w:val="0"/>
      <w:numFmt w:val="bullet"/>
      <w:lvlText w:val="•"/>
      <w:lvlJc w:val="left"/>
      <w:pPr>
        <w:ind w:left="5373" w:hanging="492"/>
      </w:pPr>
      <w:rPr>
        <w:rFonts w:hint="default"/>
        <w:lang w:val="ru-RU" w:eastAsia="en-US" w:bidi="ar-SA"/>
      </w:rPr>
    </w:lvl>
    <w:lvl w:ilvl="6">
      <w:start w:val="0"/>
      <w:numFmt w:val="bullet"/>
      <w:lvlText w:val="•"/>
      <w:lvlJc w:val="left"/>
      <w:pPr>
        <w:ind w:left="6175" w:hanging="492"/>
      </w:pPr>
      <w:rPr>
        <w:rFonts w:hint="default"/>
        <w:lang w:val="ru-RU" w:eastAsia="en-US" w:bidi="ar-SA"/>
      </w:rPr>
    </w:lvl>
    <w:lvl w:ilvl="7">
      <w:start w:val="0"/>
      <w:numFmt w:val="bullet"/>
      <w:lvlText w:val="•"/>
      <w:lvlJc w:val="left"/>
      <w:pPr>
        <w:ind w:left="6978" w:hanging="492"/>
      </w:pPr>
      <w:rPr>
        <w:rFonts w:hint="default"/>
        <w:lang w:val="ru-RU" w:eastAsia="en-US" w:bidi="ar-SA"/>
      </w:rPr>
    </w:lvl>
    <w:lvl w:ilvl="8">
      <w:start w:val="0"/>
      <w:numFmt w:val="bullet"/>
      <w:lvlText w:val="•"/>
      <w:lvlJc w:val="left"/>
      <w:pPr>
        <w:ind w:left="7781" w:hanging="492"/>
      </w:pPr>
      <w:rPr>
        <w:rFonts w:hint="default"/>
        <w:lang w:val="ru-RU" w:eastAsia="en-US" w:bidi="ar-SA"/>
      </w:rPr>
    </w:lvl>
  </w:abstractNum>
  <w:abstractNum w:abstractNumId="18">
    <w:multiLevelType w:val="hybridMultilevel"/>
    <w:lvl w:ilvl="0">
      <w:start w:val="289"/>
      <w:numFmt w:val="decimal"/>
      <w:lvlText w:val="%1"/>
      <w:lvlJc w:val="left"/>
      <w:pPr>
        <w:ind w:left="158" w:hanging="603"/>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603"/>
      </w:pPr>
      <w:rPr>
        <w:rFonts w:hint="default"/>
        <w:lang w:val="ru-RU" w:eastAsia="en-US" w:bidi="ar-SA"/>
      </w:rPr>
    </w:lvl>
    <w:lvl w:ilvl="2">
      <w:start w:val="0"/>
      <w:numFmt w:val="bullet"/>
      <w:lvlText w:val="•"/>
      <w:lvlJc w:val="left"/>
      <w:pPr>
        <w:ind w:left="2005" w:hanging="603"/>
      </w:pPr>
      <w:rPr>
        <w:rFonts w:hint="default"/>
        <w:lang w:val="ru-RU" w:eastAsia="en-US" w:bidi="ar-SA"/>
      </w:rPr>
    </w:lvl>
    <w:lvl w:ilvl="3">
      <w:start w:val="0"/>
      <w:numFmt w:val="bullet"/>
      <w:lvlText w:val="•"/>
      <w:lvlJc w:val="left"/>
      <w:pPr>
        <w:ind w:left="2927" w:hanging="603"/>
      </w:pPr>
      <w:rPr>
        <w:rFonts w:hint="default"/>
        <w:lang w:val="ru-RU" w:eastAsia="en-US" w:bidi="ar-SA"/>
      </w:rPr>
    </w:lvl>
    <w:lvl w:ilvl="4">
      <w:start w:val="0"/>
      <w:numFmt w:val="bullet"/>
      <w:lvlText w:val="•"/>
      <w:lvlJc w:val="left"/>
      <w:pPr>
        <w:ind w:left="3850" w:hanging="603"/>
      </w:pPr>
      <w:rPr>
        <w:rFonts w:hint="default"/>
        <w:lang w:val="ru-RU" w:eastAsia="en-US" w:bidi="ar-SA"/>
      </w:rPr>
    </w:lvl>
    <w:lvl w:ilvl="5">
      <w:start w:val="0"/>
      <w:numFmt w:val="bullet"/>
      <w:lvlText w:val="•"/>
      <w:lvlJc w:val="left"/>
      <w:pPr>
        <w:ind w:left="4773" w:hanging="603"/>
      </w:pPr>
      <w:rPr>
        <w:rFonts w:hint="default"/>
        <w:lang w:val="ru-RU" w:eastAsia="en-US" w:bidi="ar-SA"/>
      </w:rPr>
    </w:lvl>
    <w:lvl w:ilvl="6">
      <w:start w:val="0"/>
      <w:numFmt w:val="bullet"/>
      <w:lvlText w:val="•"/>
      <w:lvlJc w:val="left"/>
      <w:pPr>
        <w:ind w:left="5695" w:hanging="603"/>
      </w:pPr>
      <w:rPr>
        <w:rFonts w:hint="default"/>
        <w:lang w:val="ru-RU" w:eastAsia="en-US" w:bidi="ar-SA"/>
      </w:rPr>
    </w:lvl>
    <w:lvl w:ilvl="7">
      <w:start w:val="0"/>
      <w:numFmt w:val="bullet"/>
      <w:lvlText w:val="•"/>
      <w:lvlJc w:val="left"/>
      <w:pPr>
        <w:ind w:left="6618" w:hanging="603"/>
      </w:pPr>
      <w:rPr>
        <w:rFonts w:hint="default"/>
        <w:lang w:val="ru-RU" w:eastAsia="en-US" w:bidi="ar-SA"/>
      </w:rPr>
    </w:lvl>
    <w:lvl w:ilvl="8">
      <w:start w:val="0"/>
      <w:numFmt w:val="bullet"/>
      <w:lvlText w:val="•"/>
      <w:lvlJc w:val="left"/>
      <w:pPr>
        <w:ind w:left="7541" w:hanging="603"/>
      </w:pPr>
      <w:rPr>
        <w:rFonts w:hint="default"/>
        <w:lang w:val="ru-RU" w:eastAsia="en-US" w:bidi="ar-SA"/>
      </w:rPr>
    </w:lvl>
  </w:abstractNum>
  <w:abstractNum w:abstractNumId="17">
    <w:multiLevelType w:val="hybridMultilevel"/>
    <w:lvl w:ilvl="0">
      <w:start w:val="280"/>
      <w:numFmt w:val="decimal"/>
      <w:lvlText w:val="%1"/>
      <w:lvlJc w:val="left"/>
      <w:pPr>
        <w:ind w:left="158" w:hanging="586"/>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586"/>
      </w:pPr>
      <w:rPr>
        <w:rFonts w:hint="default"/>
        <w:lang w:val="ru-RU" w:eastAsia="en-US" w:bidi="ar-SA"/>
      </w:rPr>
    </w:lvl>
    <w:lvl w:ilvl="2">
      <w:start w:val="0"/>
      <w:numFmt w:val="bullet"/>
      <w:lvlText w:val="•"/>
      <w:lvlJc w:val="left"/>
      <w:pPr>
        <w:ind w:left="2005" w:hanging="586"/>
      </w:pPr>
      <w:rPr>
        <w:rFonts w:hint="default"/>
        <w:lang w:val="ru-RU" w:eastAsia="en-US" w:bidi="ar-SA"/>
      </w:rPr>
    </w:lvl>
    <w:lvl w:ilvl="3">
      <w:start w:val="0"/>
      <w:numFmt w:val="bullet"/>
      <w:lvlText w:val="•"/>
      <w:lvlJc w:val="left"/>
      <w:pPr>
        <w:ind w:left="2927" w:hanging="586"/>
      </w:pPr>
      <w:rPr>
        <w:rFonts w:hint="default"/>
        <w:lang w:val="ru-RU" w:eastAsia="en-US" w:bidi="ar-SA"/>
      </w:rPr>
    </w:lvl>
    <w:lvl w:ilvl="4">
      <w:start w:val="0"/>
      <w:numFmt w:val="bullet"/>
      <w:lvlText w:val="•"/>
      <w:lvlJc w:val="left"/>
      <w:pPr>
        <w:ind w:left="3850" w:hanging="586"/>
      </w:pPr>
      <w:rPr>
        <w:rFonts w:hint="default"/>
        <w:lang w:val="ru-RU" w:eastAsia="en-US" w:bidi="ar-SA"/>
      </w:rPr>
    </w:lvl>
    <w:lvl w:ilvl="5">
      <w:start w:val="0"/>
      <w:numFmt w:val="bullet"/>
      <w:lvlText w:val="•"/>
      <w:lvlJc w:val="left"/>
      <w:pPr>
        <w:ind w:left="4773" w:hanging="586"/>
      </w:pPr>
      <w:rPr>
        <w:rFonts w:hint="default"/>
        <w:lang w:val="ru-RU" w:eastAsia="en-US" w:bidi="ar-SA"/>
      </w:rPr>
    </w:lvl>
    <w:lvl w:ilvl="6">
      <w:start w:val="0"/>
      <w:numFmt w:val="bullet"/>
      <w:lvlText w:val="•"/>
      <w:lvlJc w:val="left"/>
      <w:pPr>
        <w:ind w:left="5695" w:hanging="586"/>
      </w:pPr>
      <w:rPr>
        <w:rFonts w:hint="default"/>
        <w:lang w:val="ru-RU" w:eastAsia="en-US" w:bidi="ar-SA"/>
      </w:rPr>
    </w:lvl>
    <w:lvl w:ilvl="7">
      <w:start w:val="0"/>
      <w:numFmt w:val="bullet"/>
      <w:lvlText w:val="•"/>
      <w:lvlJc w:val="left"/>
      <w:pPr>
        <w:ind w:left="6618" w:hanging="586"/>
      </w:pPr>
      <w:rPr>
        <w:rFonts w:hint="default"/>
        <w:lang w:val="ru-RU" w:eastAsia="en-US" w:bidi="ar-SA"/>
      </w:rPr>
    </w:lvl>
    <w:lvl w:ilvl="8">
      <w:start w:val="0"/>
      <w:numFmt w:val="bullet"/>
      <w:lvlText w:val="•"/>
      <w:lvlJc w:val="left"/>
      <w:pPr>
        <w:ind w:left="7541" w:hanging="586"/>
      </w:pPr>
      <w:rPr>
        <w:rFonts w:hint="default"/>
        <w:lang w:val="ru-RU" w:eastAsia="en-US" w:bidi="ar-SA"/>
      </w:rPr>
    </w:lvl>
  </w:abstractNum>
  <w:abstractNum w:abstractNumId="16">
    <w:multiLevelType w:val="hybridMultilevel"/>
    <w:lvl w:ilvl="0">
      <w:start w:val="267"/>
      <w:numFmt w:val="decimal"/>
      <w:lvlText w:val="%1"/>
      <w:lvlJc w:val="left"/>
      <w:pPr>
        <w:ind w:left="158" w:hanging="552"/>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552"/>
      </w:pPr>
      <w:rPr>
        <w:rFonts w:hint="default"/>
        <w:lang w:val="ru-RU" w:eastAsia="en-US" w:bidi="ar-SA"/>
      </w:rPr>
    </w:lvl>
    <w:lvl w:ilvl="2">
      <w:start w:val="0"/>
      <w:numFmt w:val="bullet"/>
      <w:lvlText w:val="•"/>
      <w:lvlJc w:val="left"/>
      <w:pPr>
        <w:ind w:left="2005" w:hanging="552"/>
      </w:pPr>
      <w:rPr>
        <w:rFonts w:hint="default"/>
        <w:lang w:val="ru-RU" w:eastAsia="en-US" w:bidi="ar-SA"/>
      </w:rPr>
    </w:lvl>
    <w:lvl w:ilvl="3">
      <w:start w:val="0"/>
      <w:numFmt w:val="bullet"/>
      <w:lvlText w:val="•"/>
      <w:lvlJc w:val="left"/>
      <w:pPr>
        <w:ind w:left="2927" w:hanging="552"/>
      </w:pPr>
      <w:rPr>
        <w:rFonts w:hint="default"/>
        <w:lang w:val="ru-RU" w:eastAsia="en-US" w:bidi="ar-SA"/>
      </w:rPr>
    </w:lvl>
    <w:lvl w:ilvl="4">
      <w:start w:val="0"/>
      <w:numFmt w:val="bullet"/>
      <w:lvlText w:val="•"/>
      <w:lvlJc w:val="left"/>
      <w:pPr>
        <w:ind w:left="3850" w:hanging="552"/>
      </w:pPr>
      <w:rPr>
        <w:rFonts w:hint="default"/>
        <w:lang w:val="ru-RU" w:eastAsia="en-US" w:bidi="ar-SA"/>
      </w:rPr>
    </w:lvl>
    <w:lvl w:ilvl="5">
      <w:start w:val="0"/>
      <w:numFmt w:val="bullet"/>
      <w:lvlText w:val="•"/>
      <w:lvlJc w:val="left"/>
      <w:pPr>
        <w:ind w:left="4773" w:hanging="552"/>
      </w:pPr>
      <w:rPr>
        <w:rFonts w:hint="default"/>
        <w:lang w:val="ru-RU" w:eastAsia="en-US" w:bidi="ar-SA"/>
      </w:rPr>
    </w:lvl>
    <w:lvl w:ilvl="6">
      <w:start w:val="0"/>
      <w:numFmt w:val="bullet"/>
      <w:lvlText w:val="•"/>
      <w:lvlJc w:val="left"/>
      <w:pPr>
        <w:ind w:left="5695" w:hanging="552"/>
      </w:pPr>
      <w:rPr>
        <w:rFonts w:hint="default"/>
        <w:lang w:val="ru-RU" w:eastAsia="en-US" w:bidi="ar-SA"/>
      </w:rPr>
    </w:lvl>
    <w:lvl w:ilvl="7">
      <w:start w:val="0"/>
      <w:numFmt w:val="bullet"/>
      <w:lvlText w:val="•"/>
      <w:lvlJc w:val="left"/>
      <w:pPr>
        <w:ind w:left="6618" w:hanging="552"/>
      </w:pPr>
      <w:rPr>
        <w:rFonts w:hint="default"/>
        <w:lang w:val="ru-RU" w:eastAsia="en-US" w:bidi="ar-SA"/>
      </w:rPr>
    </w:lvl>
    <w:lvl w:ilvl="8">
      <w:start w:val="0"/>
      <w:numFmt w:val="bullet"/>
      <w:lvlText w:val="•"/>
      <w:lvlJc w:val="left"/>
      <w:pPr>
        <w:ind w:left="7541" w:hanging="552"/>
      </w:pPr>
      <w:rPr>
        <w:rFonts w:hint="default"/>
        <w:lang w:val="ru-RU" w:eastAsia="en-US" w:bidi="ar-SA"/>
      </w:rPr>
    </w:lvl>
  </w:abstractNum>
  <w:abstractNum w:abstractNumId="15">
    <w:multiLevelType w:val="hybridMultilevel"/>
    <w:lvl w:ilvl="0">
      <w:start w:val="117"/>
      <w:numFmt w:val="decimal"/>
      <w:lvlText w:val="%1"/>
      <w:lvlJc w:val="left"/>
      <w:pPr>
        <w:ind w:left="158" w:hanging="668"/>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668"/>
      </w:pPr>
      <w:rPr>
        <w:rFonts w:hint="default"/>
        <w:lang w:val="ru-RU" w:eastAsia="en-US" w:bidi="ar-SA"/>
      </w:rPr>
    </w:lvl>
    <w:lvl w:ilvl="2">
      <w:start w:val="0"/>
      <w:numFmt w:val="bullet"/>
      <w:lvlText w:val="•"/>
      <w:lvlJc w:val="left"/>
      <w:pPr>
        <w:ind w:left="2005" w:hanging="668"/>
      </w:pPr>
      <w:rPr>
        <w:rFonts w:hint="default"/>
        <w:lang w:val="ru-RU" w:eastAsia="en-US" w:bidi="ar-SA"/>
      </w:rPr>
    </w:lvl>
    <w:lvl w:ilvl="3">
      <w:start w:val="0"/>
      <w:numFmt w:val="bullet"/>
      <w:lvlText w:val="•"/>
      <w:lvlJc w:val="left"/>
      <w:pPr>
        <w:ind w:left="2927" w:hanging="668"/>
      </w:pPr>
      <w:rPr>
        <w:rFonts w:hint="default"/>
        <w:lang w:val="ru-RU" w:eastAsia="en-US" w:bidi="ar-SA"/>
      </w:rPr>
    </w:lvl>
    <w:lvl w:ilvl="4">
      <w:start w:val="0"/>
      <w:numFmt w:val="bullet"/>
      <w:lvlText w:val="•"/>
      <w:lvlJc w:val="left"/>
      <w:pPr>
        <w:ind w:left="3850" w:hanging="668"/>
      </w:pPr>
      <w:rPr>
        <w:rFonts w:hint="default"/>
        <w:lang w:val="ru-RU" w:eastAsia="en-US" w:bidi="ar-SA"/>
      </w:rPr>
    </w:lvl>
    <w:lvl w:ilvl="5">
      <w:start w:val="0"/>
      <w:numFmt w:val="bullet"/>
      <w:lvlText w:val="•"/>
      <w:lvlJc w:val="left"/>
      <w:pPr>
        <w:ind w:left="4773" w:hanging="668"/>
      </w:pPr>
      <w:rPr>
        <w:rFonts w:hint="default"/>
        <w:lang w:val="ru-RU" w:eastAsia="en-US" w:bidi="ar-SA"/>
      </w:rPr>
    </w:lvl>
    <w:lvl w:ilvl="6">
      <w:start w:val="0"/>
      <w:numFmt w:val="bullet"/>
      <w:lvlText w:val="•"/>
      <w:lvlJc w:val="left"/>
      <w:pPr>
        <w:ind w:left="5695" w:hanging="668"/>
      </w:pPr>
      <w:rPr>
        <w:rFonts w:hint="default"/>
        <w:lang w:val="ru-RU" w:eastAsia="en-US" w:bidi="ar-SA"/>
      </w:rPr>
    </w:lvl>
    <w:lvl w:ilvl="7">
      <w:start w:val="0"/>
      <w:numFmt w:val="bullet"/>
      <w:lvlText w:val="•"/>
      <w:lvlJc w:val="left"/>
      <w:pPr>
        <w:ind w:left="6618" w:hanging="668"/>
      </w:pPr>
      <w:rPr>
        <w:rFonts w:hint="default"/>
        <w:lang w:val="ru-RU" w:eastAsia="en-US" w:bidi="ar-SA"/>
      </w:rPr>
    </w:lvl>
    <w:lvl w:ilvl="8">
      <w:start w:val="0"/>
      <w:numFmt w:val="bullet"/>
      <w:lvlText w:val="•"/>
      <w:lvlJc w:val="left"/>
      <w:pPr>
        <w:ind w:left="7541" w:hanging="668"/>
      </w:pPr>
      <w:rPr>
        <w:rFonts w:hint="default"/>
        <w:lang w:val="ru-RU" w:eastAsia="en-US" w:bidi="ar-SA"/>
      </w:rPr>
    </w:lvl>
  </w:abstractNum>
  <w:abstractNum w:abstractNumId="14">
    <w:multiLevelType w:val="hybridMultilevel"/>
    <w:lvl w:ilvl="0">
      <w:start w:val="45"/>
      <w:numFmt w:val="decimal"/>
      <w:lvlText w:val="%1"/>
      <w:lvlJc w:val="left"/>
      <w:pPr>
        <w:ind w:left="158" w:hanging="389"/>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082" w:hanging="389"/>
      </w:pPr>
      <w:rPr>
        <w:rFonts w:hint="default"/>
        <w:lang w:val="ru-RU" w:eastAsia="en-US" w:bidi="ar-SA"/>
      </w:rPr>
    </w:lvl>
    <w:lvl w:ilvl="2">
      <w:start w:val="0"/>
      <w:numFmt w:val="bullet"/>
      <w:lvlText w:val="•"/>
      <w:lvlJc w:val="left"/>
      <w:pPr>
        <w:ind w:left="2005" w:hanging="389"/>
      </w:pPr>
      <w:rPr>
        <w:rFonts w:hint="default"/>
        <w:lang w:val="ru-RU" w:eastAsia="en-US" w:bidi="ar-SA"/>
      </w:rPr>
    </w:lvl>
    <w:lvl w:ilvl="3">
      <w:start w:val="0"/>
      <w:numFmt w:val="bullet"/>
      <w:lvlText w:val="•"/>
      <w:lvlJc w:val="left"/>
      <w:pPr>
        <w:ind w:left="2927" w:hanging="389"/>
      </w:pPr>
      <w:rPr>
        <w:rFonts w:hint="default"/>
        <w:lang w:val="ru-RU" w:eastAsia="en-US" w:bidi="ar-SA"/>
      </w:rPr>
    </w:lvl>
    <w:lvl w:ilvl="4">
      <w:start w:val="0"/>
      <w:numFmt w:val="bullet"/>
      <w:lvlText w:val="•"/>
      <w:lvlJc w:val="left"/>
      <w:pPr>
        <w:ind w:left="3850" w:hanging="389"/>
      </w:pPr>
      <w:rPr>
        <w:rFonts w:hint="default"/>
        <w:lang w:val="ru-RU" w:eastAsia="en-US" w:bidi="ar-SA"/>
      </w:rPr>
    </w:lvl>
    <w:lvl w:ilvl="5">
      <w:start w:val="0"/>
      <w:numFmt w:val="bullet"/>
      <w:lvlText w:val="•"/>
      <w:lvlJc w:val="left"/>
      <w:pPr>
        <w:ind w:left="4773" w:hanging="389"/>
      </w:pPr>
      <w:rPr>
        <w:rFonts w:hint="default"/>
        <w:lang w:val="ru-RU" w:eastAsia="en-US" w:bidi="ar-SA"/>
      </w:rPr>
    </w:lvl>
    <w:lvl w:ilvl="6">
      <w:start w:val="0"/>
      <w:numFmt w:val="bullet"/>
      <w:lvlText w:val="•"/>
      <w:lvlJc w:val="left"/>
      <w:pPr>
        <w:ind w:left="5695" w:hanging="389"/>
      </w:pPr>
      <w:rPr>
        <w:rFonts w:hint="default"/>
        <w:lang w:val="ru-RU" w:eastAsia="en-US" w:bidi="ar-SA"/>
      </w:rPr>
    </w:lvl>
    <w:lvl w:ilvl="7">
      <w:start w:val="0"/>
      <w:numFmt w:val="bullet"/>
      <w:lvlText w:val="•"/>
      <w:lvlJc w:val="left"/>
      <w:pPr>
        <w:ind w:left="6618" w:hanging="389"/>
      </w:pPr>
      <w:rPr>
        <w:rFonts w:hint="default"/>
        <w:lang w:val="ru-RU" w:eastAsia="en-US" w:bidi="ar-SA"/>
      </w:rPr>
    </w:lvl>
    <w:lvl w:ilvl="8">
      <w:start w:val="0"/>
      <w:numFmt w:val="bullet"/>
      <w:lvlText w:val="•"/>
      <w:lvlJc w:val="left"/>
      <w:pPr>
        <w:ind w:left="7541" w:hanging="389"/>
      </w:pPr>
      <w:rPr>
        <w:rFonts w:hint="default"/>
        <w:lang w:val="ru-RU" w:eastAsia="en-US" w:bidi="ar-SA"/>
      </w:rPr>
    </w:lvl>
  </w:abstractNum>
  <w:abstractNum w:abstractNumId="13">
    <w:multiLevelType w:val="hybridMultilevel"/>
    <w:lvl w:ilvl="0">
      <w:start w:val="0"/>
      <w:numFmt w:val="bullet"/>
      <w:lvlText w:val="-"/>
      <w:lvlJc w:val="left"/>
      <w:pPr>
        <w:ind w:left="573" w:hanging="272"/>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292" w:hanging="272"/>
      </w:pPr>
      <w:rPr>
        <w:rFonts w:hint="default"/>
        <w:lang w:val="ru-RU" w:eastAsia="en-US" w:bidi="ar-SA"/>
      </w:rPr>
    </w:lvl>
    <w:lvl w:ilvl="2">
      <w:start w:val="0"/>
      <w:numFmt w:val="bullet"/>
      <w:lvlText w:val="•"/>
      <w:lvlJc w:val="left"/>
      <w:pPr>
        <w:ind w:left="2004" w:hanging="272"/>
      </w:pPr>
      <w:rPr>
        <w:rFonts w:hint="default"/>
        <w:lang w:val="ru-RU" w:eastAsia="en-US" w:bidi="ar-SA"/>
      </w:rPr>
    </w:lvl>
    <w:lvl w:ilvl="3">
      <w:start w:val="0"/>
      <w:numFmt w:val="bullet"/>
      <w:lvlText w:val="•"/>
      <w:lvlJc w:val="left"/>
      <w:pPr>
        <w:ind w:left="2716" w:hanging="272"/>
      </w:pPr>
      <w:rPr>
        <w:rFonts w:hint="default"/>
        <w:lang w:val="ru-RU" w:eastAsia="en-US" w:bidi="ar-SA"/>
      </w:rPr>
    </w:lvl>
    <w:lvl w:ilvl="4">
      <w:start w:val="0"/>
      <w:numFmt w:val="bullet"/>
      <w:lvlText w:val="•"/>
      <w:lvlJc w:val="left"/>
      <w:pPr>
        <w:ind w:left="3429" w:hanging="272"/>
      </w:pPr>
      <w:rPr>
        <w:rFonts w:hint="default"/>
        <w:lang w:val="ru-RU" w:eastAsia="en-US" w:bidi="ar-SA"/>
      </w:rPr>
    </w:lvl>
    <w:lvl w:ilvl="5">
      <w:start w:val="0"/>
      <w:numFmt w:val="bullet"/>
      <w:lvlText w:val="•"/>
      <w:lvlJc w:val="left"/>
      <w:pPr>
        <w:ind w:left="4141" w:hanging="272"/>
      </w:pPr>
      <w:rPr>
        <w:rFonts w:hint="default"/>
        <w:lang w:val="ru-RU" w:eastAsia="en-US" w:bidi="ar-SA"/>
      </w:rPr>
    </w:lvl>
    <w:lvl w:ilvl="6">
      <w:start w:val="0"/>
      <w:numFmt w:val="bullet"/>
      <w:lvlText w:val="•"/>
      <w:lvlJc w:val="left"/>
      <w:pPr>
        <w:ind w:left="4853" w:hanging="272"/>
      </w:pPr>
      <w:rPr>
        <w:rFonts w:hint="default"/>
        <w:lang w:val="ru-RU" w:eastAsia="en-US" w:bidi="ar-SA"/>
      </w:rPr>
    </w:lvl>
    <w:lvl w:ilvl="7">
      <w:start w:val="0"/>
      <w:numFmt w:val="bullet"/>
      <w:lvlText w:val="•"/>
      <w:lvlJc w:val="left"/>
      <w:pPr>
        <w:ind w:left="5566" w:hanging="272"/>
      </w:pPr>
      <w:rPr>
        <w:rFonts w:hint="default"/>
        <w:lang w:val="ru-RU" w:eastAsia="en-US" w:bidi="ar-SA"/>
      </w:rPr>
    </w:lvl>
    <w:lvl w:ilvl="8">
      <w:start w:val="0"/>
      <w:numFmt w:val="bullet"/>
      <w:lvlText w:val="•"/>
      <w:lvlJc w:val="left"/>
      <w:pPr>
        <w:ind w:left="6278" w:hanging="272"/>
      </w:pPr>
      <w:rPr>
        <w:rFonts w:hint="default"/>
        <w:lang w:val="ru-RU" w:eastAsia="en-US" w:bidi="ar-SA"/>
      </w:rPr>
    </w:lvl>
  </w:abstractNum>
  <w:abstractNum w:abstractNumId="12">
    <w:multiLevelType w:val="hybridMultilevel"/>
    <w:lvl w:ilvl="0">
      <w:start w:val="0"/>
      <w:numFmt w:val="bullet"/>
      <w:lvlText w:val=""/>
      <w:lvlJc w:val="left"/>
      <w:pPr>
        <w:ind w:left="255" w:hanging="199"/>
      </w:pPr>
      <w:rPr>
        <w:rFonts w:hint="default" w:ascii="Symbol" w:hAnsi="Symbol" w:eastAsia="Symbol" w:cs="Symbol"/>
        <w:b w:val="0"/>
        <w:bCs w:val="0"/>
        <w:i w:val="0"/>
        <w:iCs w:val="0"/>
        <w:w w:val="101"/>
        <w:sz w:val="28"/>
        <w:szCs w:val="28"/>
        <w:lang w:val="ru-RU" w:eastAsia="en-US" w:bidi="ar-SA"/>
      </w:rPr>
    </w:lvl>
    <w:lvl w:ilvl="1">
      <w:start w:val="0"/>
      <w:numFmt w:val="bullet"/>
      <w:lvlText w:val=""/>
      <w:lvlJc w:val="left"/>
      <w:pPr>
        <w:ind w:left="2661" w:hanging="213"/>
      </w:pPr>
      <w:rPr>
        <w:rFonts w:hint="default" w:ascii="Symbol" w:hAnsi="Symbol" w:eastAsia="Symbol" w:cs="Symbol"/>
        <w:b w:val="0"/>
        <w:bCs w:val="0"/>
        <w:i w:val="0"/>
        <w:iCs w:val="0"/>
        <w:w w:val="101"/>
        <w:sz w:val="28"/>
        <w:szCs w:val="28"/>
        <w:lang w:val="ru-RU" w:eastAsia="en-US" w:bidi="ar-SA"/>
      </w:rPr>
    </w:lvl>
    <w:lvl w:ilvl="2">
      <w:start w:val="0"/>
      <w:numFmt w:val="bullet"/>
      <w:lvlText w:val="•"/>
      <w:lvlJc w:val="left"/>
      <w:pPr>
        <w:ind w:left="2708" w:hanging="213"/>
      </w:pPr>
      <w:rPr>
        <w:rFonts w:hint="default"/>
        <w:lang w:val="ru-RU" w:eastAsia="en-US" w:bidi="ar-SA"/>
      </w:rPr>
    </w:lvl>
    <w:lvl w:ilvl="3">
      <w:start w:val="0"/>
      <w:numFmt w:val="bullet"/>
      <w:lvlText w:val="•"/>
      <w:lvlJc w:val="left"/>
      <w:pPr>
        <w:ind w:left="2757" w:hanging="213"/>
      </w:pPr>
      <w:rPr>
        <w:rFonts w:hint="default"/>
        <w:lang w:val="ru-RU" w:eastAsia="en-US" w:bidi="ar-SA"/>
      </w:rPr>
    </w:lvl>
    <w:lvl w:ilvl="4">
      <w:start w:val="0"/>
      <w:numFmt w:val="bullet"/>
      <w:lvlText w:val="•"/>
      <w:lvlJc w:val="left"/>
      <w:pPr>
        <w:ind w:left="2805" w:hanging="213"/>
      </w:pPr>
      <w:rPr>
        <w:rFonts w:hint="default"/>
        <w:lang w:val="ru-RU" w:eastAsia="en-US" w:bidi="ar-SA"/>
      </w:rPr>
    </w:lvl>
    <w:lvl w:ilvl="5">
      <w:start w:val="0"/>
      <w:numFmt w:val="bullet"/>
      <w:lvlText w:val="•"/>
      <w:lvlJc w:val="left"/>
      <w:pPr>
        <w:ind w:left="2854" w:hanging="213"/>
      </w:pPr>
      <w:rPr>
        <w:rFonts w:hint="default"/>
        <w:lang w:val="ru-RU" w:eastAsia="en-US" w:bidi="ar-SA"/>
      </w:rPr>
    </w:lvl>
    <w:lvl w:ilvl="6">
      <w:start w:val="0"/>
      <w:numFmt w:val="bullet"/>
      <w:lvlText w:val="•"/>
      <w:lvlJc w:val="left"/>
      <w:pPr>
        <w:ind w:left="2902" w:hanging="213"/>
      </w:pPr>
      <w:rPr>
        <w:rFonts w:hint="default"/>
        <w:lang w:val="ru-RU" w:eastAsia="en-US" w:bidi="ar-SA"/>
      </w:rPr>
    </w:lvl>
    <w:lvl w:ilvl="7">
      <w:start w:val="0"/>
      <w:numFmt w:val="bullet"/>
      <w:lvlText w:val="•"/>
      <w:lvlJc w:val="left"/>
      <w:pPr>
        <w:ind w:left="2951" w:hanging="213"/>
      </w:pPr>
      <w:rPr>
        <w:rFonts w:hint="default"/>
        <w:lang w:val="ru-RU" w:eastAsia="en-US" w:bidi="ar-SA"/>
      </w:rPr>
    </w:lvl>
    <w:lvl w:ilvl="8">
      <w:start w:val="0"/>
      <w:numFmt w:val="bullet"/>
      <w:lvlText w:val="•"/>
      <w:lvlJc w:val="left"/>
      <w:pPr>
        <w:ind w:left="3000" w:hanging="213"/>
      </w:pPr>
      <w:rPr>
        <w:rFonts w:hint="default"/>
        <w:lang w:val="ru-RU" w:eastAsia="en-US" w:bidi="ar-SA"/>
      </w:rPr>
    </w:lvl>
  </w:abstractNum>
  <w:abstractNum w:abstractNumId="11">
    <w:multiLevelType w:val="hybridMultilevel"/>
    <w:lvl w:ilvl="0">
      <w:start w:val="1"/>
      <w:numFmt w:val="decimal"/>
      <w:lvlText w:val="%1."/>
      <w:lvlJc w:val="left"/>
      <w:pPr>
        <w:ind w:left="15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082" w:hanging="281"/>
      </w:pPr>
      <w:rPr>
        <w:rFonts w:hint="default"/>
        <w:lang w:val="ru-RU" w:eastAsia="en-US" w:bidi="ar-SA"/>
      </w:rPr>
    </w:lvl>
    <w:lvl w:ilvl="2">
      <w:start w:val="0"/>
      <w:numFmt w:val="bullet"/>
      <w:lvlText w:val="•"/>
      <w:lvlJc w:val="left"/>
      <w:pPr>
        <w:ind w:left="2005" w:hanging="281"/>
      </w:pPr>
      <w:rPr>
        <w:rFonts w:hint="default"/>
        <w:lang w:val="ru-RU" w:eastAsia="en-US" w:bidi="ar-SA"/>
      </w:rPr>
    </w:lvl>
    <w:lvl w:ilvl="3">
      <w:start w:val="0"/>
      <w:numFmt w:val="bullet"/>
      <w:lvlText w:val="•"/>
      <w:lvlJc w:val="left"/>
      <w:pPr>
        <w:ind w:left="2927" w:hanging="281"/>
      </w:pPr>
      <w:rPr>
        <w:rFonts w:hint="default"/>
        <w:lang w:val="ru-RU" w:eastAsia="en-US" w:bidi="ar-SA"/>
      </w:rPr>
    </w:lvl>
    <w:lvl w:ilvl="4">
      <w:start w:val="0"/>
      <w:numFmt w:val="bullet"/>
      <w:lvlText w:val="•"/>
      <w:lvlJc w:val="left"/>
      <w:pPr>
        <w:ind w:left="3850" w:hanging="281"/>
      </w:pPr>
      <w:rPr>
        <w:rFonts w:hint="default"/>
        <w:lang w:val="ru-RU" w:eastAsia="en-US" w:bidi="ar-SA"/>
      </w:rPr>
    </w:lvl>
    <w:lvl w:ilvl="5">
      <w:start w:val="0"/>
      <w:numFmt w:val="bullet"/>
      <w:lvlText w:val="•"/>
      <w:lvlJc w:val="left"/>
      <w:pPr>
        <w:ind w:left="4773" w:hanging="281"/>
      </w:pPr>
      <w:rPr>
        <w:rFonts w:hint="default"/>
        <w:lang w:val="ru-RU" w:eastAsia="en-US" w:bidi="ar-SA"/>
      </w:rPr>
    </w:lvl>
    <w:lvl w:ilvl="6">
      <w:start w:val="0"/>
      <w:numFmt w:val="bullet"/>
      <w:lvlText w:val="•"/>
      <w:lvlJc w:val="left"/>
      <w:pPr>
        <w:ind w:left="5695" w:hanging="281"/>
      </w:pPr>
      <w:rPr>
        <w:rFonts w:hint="default"/>
        <w:lang w:val="ru-RU" w:eastAsia="en-US" w:bidi="ar-SA"/>
      </w:rPr>
    </w:lvl>
    <w:lvl w:ilvl="7">
      <w:start w:val="0"/>
      <w:numFmt w:val="bullet"/>
      <w:lvlText w:val="•"/>
      <w:lvlJc w:val="left"/>
      <w:pPr>
        <w:ind w:left="6618" w:hanging="281"/>
      </w:pPr>
      <w:rPr>
        <w:rFonts w:hint="default"/>
        <w:lang w:val="ru-RU" w:eastAsia="en-US" w:bidi="ar-SA"/>
      </w:rPr>
    </w:lvl>
    <w:lvl w:ilvl="8">
      <w:start w:val="0"/>
      <w:numFmt w:val="bullet"/>
      <w:lvlText w:val="•"/>
      <w:lvlJc w:val="left"/>
      <w:pPr>
        <w:ind w:left="7541" w:hanging="281"/>
      </w:pPr>
      <w:rPr>
        <w:rFonts w:hint="default"/>
        <w:lang w:val="ru-RU" w:eastAsia="en-US" w:bidi="ar-SA"/>
      </w:rPr>
    </w:lvl>
  </w:abstractNum>
  <w:abstractNum w:abstractNumId="10">
    <w:multiLevelType w:val="hybridMultilevel"/>
    <w:lvl w:ilvl="0">
      <w:start w:val="81"/>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1"/>
      <w:numFmt w:val="decimal"/>
      <w:lvlText w:val="%2."/>
      <w:lvlJc w:val="left"/>
      <w:pPr>
        <w:ind w:left="15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2">
      <w:start w:val="0"/>
      <w:numFmt w:val="bullet"/>
      <w:lvlText w:val="•"/>
      <w:lvlJc w:val="left"/>
      <w:pPr>
        <w:ind w:left="1126" w:hanging="281"/>
      </w:pPr>
      <w:rPr>
        <w:rFonts w:hint="default"/>
        <w:lang w:val="ru-RU" w:eastAsia="en-US" w:bidi="ar-SA"/>
      </w:rPr>
    </w:lvl>
    <w:lvl w:ilvl="3">
      <w:start w:val="0"/>
      <w:numFmt w:val="bullet"/>
      <w:lvlText w:val="•"/>
      <w:lvlJc w:val="left"/>
      <w:pPr>
        <w:ind w:left="1313" w:hanging="281"/>
      </w:pPr>
      <w:rPr>
        <w:rFonts w:hint="default"/>
        <w:lang w:val="ru-RU" w:eastAsia="en-US" w:bidi="ar-SA"/>
      </w:rPr>
    </w:lvl>
    <w:lvl w:ilvl="4">
      <w:start w:val="0"/>
      <w:numFmt w:val="bullet"/>
      <w:lvlText w:val="•"/>
      <w:lvlJc w:val="left"/>
      <w:pPr>
        <w:ind w:left="1500" w:hanging="281"/>
      </w:pPr>
      <w:rPr>
        <w:rFonts w:hint="default"/>
        <w:lang w:val="ru-RU" w:eastAsia="en-US" w:bidi="ar-SA"/>
      </w:rPr>
    </w:lvl>
    <w:lvl w:ilvl="5">
      <w:start w:val="0"/>
      <w:numFmt w:val="bullet"/>
      <w:lvlText w:val="•"/>
      <w:lvlJc w:val="left"/>
      <w:pPr>
        <w:ind w:left="1686" w:hanging="281"/>
      </w:pPr>
      <w:rPr>
        <w:rFonts w:hint="default"/>
        <w:lang w:val="ru-RU" w:eastAsia="en-US" w:bidi="ar-SA"/>
      </w:rPr>
    </w:lvl>
    <w:lvl w:ilvl="6">
      <w:start w:val="0"/>
      <w:numFmt w:val="bullet"/>
      <w:lvlText w:val="•"/>
      <w:lvlJc w:val="left"/>
      <w:pPr>
        <w:ind w:left="1873" w:hanging="281"/>
      </w:pPr>
      <w:rPr>
        <w:rFonts w:hint="default"/>
        <w:lang w:val="ru-RU" w:eastAsia="en-US" w:bidi="ar-SA"/>
      </w:rPr>
    </w:lvl>
    <w:lvl w:ilvl="7">
      <w:start w:val="0"/>
      <w:numFmt w:val="bullet"/>
      <w:lvlText w:val="•"/>
      <w:lvlJc w:val="left"/>
      <w:pPr>
        <w:ind w:left="2060" w:hanging="281"/>
      </w:pPr>
      <w:rPr>
        <w:rFonts w:hint="default"/>
        <w:lang w:val="ru-RU" w:eastAsia="en-US" w:bidi="ar-SA"/>
      </w:rPr>
    </w:lvl>
    <w:lvl w:ilvl="8">
      <w:start w:val="0"/>
      <w:numFmt w:val="bullet"/>
      <w:lvlText w:val="•"/>
      <w:lvlJc w:val="left"/>
      <w:pPr>
        <w:ind w:left="2246" w:hanging="281"/>
      </w:pPr>
      <w:rPr>
        <w:rFonts w:hint="default"/>
        <w:lang w:val="ru-RU" w:eastAsia="en-US" w:bidi="ar-SA"/>
      </w:rPr>
    </w:lvl>
  </w:abstractNum>
  <w:abstractNum w:abstractNumId="9">
    <w:multiLevelType w:val="hybridMultilevel"/>
    <w:lvl w:ilvl="0">
      <w:start w:val="66"/>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4" w:hanging="564"/>
      </w:pPr>
      <w:rPr>
        <w:rFonts w:hint="default"/>
        <w:lang w:val="ru-RU" w:eastAsia="en-US" w:bidi="ar-SA"/>
      </w:rPr>
    </w:lvl>
    <w:lvl w:ilvl="2">
      <w:start w:val="0"/>
      <w:numFmt w:val="bullet"/>
      <w:lvlText w:val="•"/>
      <w:lvlJc w:val="left"/>
      <w:pPr>
        <w:ind w:left="1449" w:hanging="564"/>
      </w:pPr>
      <w:rPr>
        <w:rFonts w:hint="default"/>
        <w:lang w:val="ru-RU" w:eastAsia="en-US" w:bidi="ar-SA"/>
      </w:rPr>
    </w:lvl>
    <w:lvl w:ilvl="3">
      <w:start w:val="0"/>
      <w:numFmt w:val="bullet"/>
      <w:lvlText w:val="•"/>
      <w:lvlJc w:val="left"/>
      <w:pPr>
        <w:ind w:left="1704" w:hanging="564"/>
      </w:pPr>
      <w:rPr>
        <w:rFonts w:hint="default"/>
        <w:lang w:val="ru-RU" w:eastAsia="en-US" w:bidi="ar-SA"/>
      </w:rPr>
    </w:lvl>
    <w:lvl w:ilvl="4">
      <w:start w:val="0"/>
      <w:numFmt w:val="bullet"/>
      <w:lvlText w:val="•"/>
      <w:lvlJc w:val="left"/>
      <w:pPr>
        <w:ind w:left="1959" w:hanging="564"/>
      </w:pPr>
      <w:rPr>
        <w:rFonts w:hint="default"/>
        <w:lang w:val="ru-RU" w:eastAsia="en-US" w:bidi="ar-SA"/>
      </w:rPr>
    </w:lvl>
    <w:lvl w:ilvl="5">
      <w:start w:val="0"/>
      <w:numFmt w:val="bullet"/>
      <w:lvlText w:val="•"/>
      <w:lvlJc w:val="left"/>
      <w:pPr>
        <w:ind w:left="2213" w:hanging="564"/>
      </w:pPr>
      <w:rPr>
        <w:rFonts w:hint="default"/>
        <w:lang w:val="ru-RU" w:eastAsia="en-US" w:bidi="ar-SA"/>
      </w:rPr>
    </w:lvl>
    <w:lvl w:ilvl="6">
      <w:start w:val="0"/>
      <w:numFmt w:val="bullet"/>
      <w:lvlText w:val="•"/>
      <w:lvlJc w:val="left"/>
      <w:pPr>
        <w:ind w:left="2468" w:hanging="564"/>
      </w:pPr>
      <w:rPr>
        <w:rFonts w:hint="default"/>
        <w:lang w:val="ru-RU" w:eastAsia="en-US" w:bidi="ar-SA"/>
      </w:rPr>
    </w:lvl>
    <w:lvl w:ilvl="7">
      <w:start w:val="0"/>
      <w:numFmt w:val="bullet"/>
      <w:lvlText w:val="•"/>
      <w:lvlJc w:val="left"/>
      <w:pPr>
        <w:ind w:left="2723" w:hanging="564"/>
      </w:pPr>
      <w:rPr>
        <w:rFonts w:hint="default"/>
        <w:lang w:val="ru-RU" w:eastAsia="en-US" w:bidi="ar-SA"/>
      </w:rPr>
    </w:lvl>
    <w:lvl w:ilvl="8">
      <w:start w:val="0"/>
      <w:numFmt w:val="bullet"/>
      <w:lvlText w:val="•"/>
      <w:lvlJc w:val="left"/>
      <w:pPr>
        <w:ind w:left="2978" w:hanging="564"/>
      </w:pPr>
      <w:rPr>
        <w:rFonts w:hint="default"/>
        <w:lang w:val="ru-RU" w:eastAsia="en-US" w:bidi="ar-SA"/>
      </w:rPr>
    </w:lvl>
  </w:abstractNum>
  <w:abstractNum w:abstractNumId="8">
    <w:multiLevelType w:val="hybridMultilevel"/>
    <w:lvl w:ilvl="0">
      <w:start w:val="63"/>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4" w:hanging="564"/>
      </w:pPr>
      <w:rPr>
        <w:rFonts w:hint="default"/>
        <w:lang w:val="ru-RU" w:eastAsia="en-US" w:bidi="ar-SA"/>
      </w:rPr>
    </w:lvl>
    <w:lvl w:ilvl="2">
      <w:start w:val="0"/>
      <w:numFmt w:val="bullet"/>
      <w:lvlText w:val="•"/>
      <w:lvlJc w:val="left"/>
      <w:pPr>
        <w:ind w:left="1449" w:hanging="564"/>
      </w:pPr>
      <w:rPr>
        <w:rFonts w:hint="default"/>
        <w:lang w:val="ru-RU" w:eastAsia="en-US" w:bidi="ar-SA"/>
      </w:rPr>
    </w:lvl>
    <w:lvl w:ilvl="3">
      <w:start w:val="0"/>
      <w:numFmt w:val="bullet"/>
      <w:lvlText w:val="•"/>
      <w:lvlJc w:val="left"/>
      <w:pPr>
        <w:ind w:left="1704" w:hanging="564"/>
      </w:pPr>
      <w:rPr>
        <w:rFonts w:hint="default"/>
        <w:lang w:val="ru-RU" w:eastAsia="en-US" w:bidi="ar-SA"/>
      </w:rPr>
    </w:lvl>
    <w:lvl w:ilvl="4">
      <w:start w:val="0"/>
      <w:numFmt w:val="bullet"/>
      <w:lvlText w:val="•"/>
      <w:lvlJc w:val="left"/>
      <w:pPr>
        <w:ind w:left="1959" w:hanging="564"/>
      </w:pPr>
      <w:rPr>
        <w:rFonts w:hint="default"/>
        <w:lang w:val="ru-RU" w:eastAsia="en-US" w:bidi="ar-SA"/>
      </w:rPr>
    </w:lvl>
    <w:lvl w:ilvl="5">
      <w:start w:val="0"/>
      <w:numFmt w:val="bullet"/>
      <w:lvlText w:val="•"/>
      <w:lvlJc w:val="left"/>
      <w:pPr>
        <w:ind w:left="2214" w:hanging="564"/>
      </w:pPr>
      <w:rPr>
        <w:rFonts w:hint="default"/>
        <w:lang w:val="ru-RU" w:eastAsia="en-US" w:bidi="ar-SA"/>
      </w:rPr>
    </w:lvl>
    <w:lvl w:ilvl="6">
      <w:start w:val="0"/>
      <w:numFmt w:val="bullet"/>
      <w:lvlText w:val="•"/>
      <w:lvlJc w:val="left"/>
      <w:pPr>
        <w:ind w:left="2469" w:hanging="564"/>
      </w:pPr>
      <w:rPr>
        <w:rFonts w:hint="default"/>
        <w:lang w:val="ru-RU" w:eastAsia="en-US" w:bidi="ar-SA"/>
      </w:rPr>
    </w:lvl>
    <w:lvl w:ilvl="7">
      <w:start w:val="0"/>
      <w:numFmt w:val="bullet"/>
      <w:lvlText w:val="•"/>
      <w:lvlJc w:val="left"/>
      <w:pPr>
        <w:ind w:left="2723" w:hanging="564"/>
      </w:pPr>
      <w:rPr>
        <w:rFonts w:hint="default"/>
        <w:lang w:val="ru-RU" w:eastAsia="en-US" w:bidi="ar-SA"/>
      </w:rPr>
    </w:lvl>
    <w:lvl w:ilvl="8">
      <w:start w:val="0"/>
      <w:numFmt w:val="bullet"/>
      <w:lvlText w:val="•"/>
      <w:lvlJc w:val="left"/>
      <w:pPr>
        <w:ind w:left="2978" w:hanging="564"/>
      </w:pPr>
      <w:rPr>
        <w:rFonts w:hint="default"/>
        <w:lang w:val="ru-RU" w:eastAsia="en-US" w:bidi="ar-SA"/>
      </w:rPr>
    </w:lvl>
  </w:abstractNum>
  <w:abstractNum w:abstractNumId="7">
    <w:multiLevelType w:val="hybridMultilevel"/>
    <w:lvl w:ilvl="0">
      <w:start w:val="49"/>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2" w:hanging="564"/>
      </w:pPr>
      <w:rPr>
        <w:rFonts w:hint="default"/>
        <w:lang w:val="ru-RU" w:eastAsia="en-US" w:bidi="ar-SA"/>
      </w:rPr>
    </w:lvl>
    <w:lvl w:ilvl="2">
      <w:start w:val="0"/>
      <w:numFmt w:val="bullet"/>
      <w:lvlText w:val="•"/>
      <w:lvlJc w:val="left"/>
      <w:pPr>
        <w:ind w:left="1444" w:hanging="564"/>
      </w:pPr>
      <w:rPr>
        <w:rFonts w:hint="default"/>
        <w:lang w:val="ru-RU" w:eastAsia="en-US" w:bidi="ar-SA"/>
      </w:rPr>
    </w:lvl>
    <w:lvl w:ilvl="3">
      <w:start w:val="0"/>
      <w:numFmt w:val="bullet"/>
      <w:lvlText w:val="•"/>
      <w:lvlJc w:val="left"/>
      <w:pPr>
        <w:ind w:left="1696" w:hanging="564"/>
      </w:pPr>
      <w:rPr>
        <w:rFonts w:hint="default"/>
        <w:lang w:val="ru-RU" w:eastAsia="en-US" w:bidi="ar-SA"/>
      </w:rPr>
    </w:lvl>
    <w:lvl w:ilvl="4">
      <w:start w:val="0"/>
      <w:numFmt w:val="bullet"/>
      <w:lvlText w:val="•"/>
      <w:lvlJc w:val="left"/>
      <w:pPr>
        <w:ind w:left="1948" w:hanging="564"/>
      </w:pPr>
      <w:rPr>
        <w:rFonts w:hint="default"/>
        <w:lang w:val="ru-RU" w:eastAsia="en-US" w:bidi="ar-SA"/>
      </w:rPr>
    </w:lvl>
    <w:lvl w:ilvl="5">
      <w:start w:val="0"/>
      <w:numFmt w:val="bullet"/>
      <w:lvlText w:val="•"/>
      <w:lvlJc w:val="left"/>
      <w:pPr>
        <w:ind w:left="2201" w:hanging="564"/>
      </w:pPr>
      <w:rPr>
        <w:rFonts w:hint="default"/>
        <w:lang w:val="ru-RU" w:eastAsia="en-US" w:bidi="ar-SA"/>
      </w:rPr>
    </w:lvl>
    <w:lvl w:ilvl="6">
      <w:start w:val="0"/>
      <w:numFmt w:val="bullet"/>
      <w:lvlText w:val="•"/>
      <w:lvlJc w:val="left"/>
      <w:pPr>
        <w:ind w:left="2453" w:hanging="564"/>
      </w:pPr>
      <w:rPr>
        <w:rFonts w:hint="default"/>
        <w:lang w:val="ru-RU" w:eastAsia="en-US" w:bidi="ar-SA"/>
      </w:rPr>
    </w:lvl>
    <w:lvl w:ilvl="7">
      <w:start w:val="0"/>
      <w:numFmt w:val="bullet"/>
      <w:lvlText w:val="•"/>
      <w:lvlJc w:val="left"/>
      <w:pPr>
        <w:ind w:left="2705" w:hanging="564"/>
      </w:pPr>
      <w:rPr>
        <w:rFonts w:hint="default"/>
        <w:lang w:val="ru-RU" w:eastAsia="en-US" w:bidi="ar-SA"/>
      </w:rPr>
    </w:lvl>
    <w:lvl w:ilvl="8">
      <w:start w:val="0"/>
      <w:numFmt w:val="bullet"/>
      <w:lvlText w:val="•"/>
      <w:lvlJc w:val="left"/>
      <w:pPr>
        <w:ind w:left="2957" w:hanging="564"/>
      </w:pPr>
      <w:rPr>
        <w:rFonts w:hint="default"/>
        <w:lang w:val="ru-RU" w:eastAsia="en-US" w:bidi="ar-SA"/>
      </w:rPr>
    </w:lvl>
  </w:abstractNum>
  <w:abstractNum w:abstractNumId="6">
    <w:multiLevelType w:val="hybridMultilevel"/>
    <w:lvl w:ilvl="0">
      <w:start w:val="42"/>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4" w:hanging="564"/>
      </w:pPr>
      <w:rPr>
        <w:rFonts w:hint="default"/>
        <w:lang w:val="ru-RU" w:eastAsia="en-US" w:bidi="ar-SA"/>
      </w:rPr>
    </w:lvl>
    <w:lvl w:ilvl="2">
      <w:start w:val="0"/>
      <w:numFmt w:val="bullet"/>
      <w:lvlText w:val="•"/>
      <w:lvlJc w:val="left"/>
      <w:pPr>
        <w:ind w:left="1448" w:hanging="564"/>
      </w:pPr>
      <w:rPr>
        <w:rFonts w:hint="default"/>
        <w:lang w:val="ru-RU" w:eastAsia="en-US" w:bidi="ar-SA"/>
      </w:rPr>
    </w:lvl>
    <w:lvl w:ilvl="3">
      <w:start w:val="0"/>
      <w:numFmt w:val="bullet"/>
      <w:lvlText w:val="•"/>
      <w:lvlJc w:val="left"/>
      <w:pPr>
        <w:ind w:left="1702" w:hanging="564"/>
      </w:pPr>
      <w:rPr>
        <w:rFonts w:hint="default"/>
        <w:lang w:val="ru-RU" w:eastAsia="en-US" w:bidi="ar-SA"/>
      </w:rPr>
    </w:lvl>
    <w:lvl w:ilvl="4">
      <w:start w:val="0"/>
      <w:numFmt w:val="bullet"/>
      <w:lvlText w:val="•"/>
      <w:lvlJc w:val="left"/>
      <w:pPr>
        <w:ind w:left="1956" w:hanging="564"/>
      </w:pPr>
      <w:rPr>
        <w:rFonts w:hint="default"/>
        <w:lang w:val="ru-RU" w:eastAsia="en-US" w:bidi="ar-SA"/>
      </w:rPr>
    </w:lvl>
    <w:lvl w:ilvl="5">
      <w:start w:val="0"/>
      <w:numFmt w:val="bullet"/>
      <w:lvlText w:val="•"/>
      <w:lvlJc w:val="left"/>
      <w:pPr>
        <w:ind w:left="2210" w:hanging="564"/>
      </w:pPr>
      <w:rPr>
        <w:rFonts w:hint="default"/>
        <w:lang w:val="ru-RU" w:eastAsia="en-US" w:bidi="ar-SA"/>
      </w:rPr>
    </w:lvl>
    <w:lvl w:ilvl="6">
      <w:start w:val="0"/>
      <w:numFmt w:val="bullet"/>
      <w:lvlText w:val="•"/>
      <w:lvlJc w:val="left"/>
      <w:pPr>
        <w:ind w:left="2464" w:hanging="564"/>
      </w:pPr>
      <w:rPr>
        <w:rFonts w:hint="default"/>
        <w:lang w:val="ru-RU" w:eastAsia="en-US" w:bidi="ar-SA"/>
      </w:rPr>
    </w:lvl>
    <w:lvl w:ilvl="7">
      <w:start w:val="0"/>
      <w:numFmt w:val="bullet"/>
      <w:lvlText w:val="•"/>
      <w:lvlJc w:val="left"/>
      <w:pPr>
        <w:ind w:left="2718" w:hanging="564"/>
      </w:pPr>
      <w:rPr>
        <w:rFonts w:hint="default"/>
        <w:lang w:val="ru-RU" w:eastAsia="en-US" w:bidi="ar-SA"/>
      </w:rPr>
    </w:lvl>
    <w:lvl w:ilvl="8">
      <w:start w:val="0"/>
      <w:numFmt w:val="bullet"/>
      <w:lvlText w:val="•"/>
      <w:lvlJc w:val="left"/>
      <w:pPr>
        <w:ind w:left="2972" w:hanging="564"/>
      </w:pPr>
      <w:rPr>
        <w:rFonts w:hint="default"/>
        <w:lang w:val="ru-RU" w:eastAsia="en-US" w:bidi="ar-SA"/>
      </w:rPr>
    </w:lvl>
  </w:abstractNum>
  <w:abstractNum w:abstractNumId="5">
    <w:multiLevelType w:val="hybridMultilevel"/>
    <w:lvl w:ilvl="0">
      <w:start w:val="17"/>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7" w:hanging="564"/>
      </w:pPr>
      <w:rPr>
        <w:rFonts w:hint="default"/>
        <w:lang w:val="ru-RU" w:eastAsia="en-US" w:bidi="ar-SA"/>
      </w:rPr>
    </w:lvl>
    <w:lvl w:ilvl="2">
      <w:start w:val="0"/>
      <w:numFmt w:val="bullet"/>
      <w:lvlText w:val="•"/>
      <w:lvlJc w:val="left"/>
      <w:pPr>
        <w:ind w:left="1454" w:hanging="564"/>
      </w:pPr>
      <w:rPr>
        <w:rFonts w:hint="default"/>
        <w:lang w:val="ru-RU" w:eastAsia="en-US" w:bidi="ar-SA"/>
      </w:rPr>
    </w:lvl>
    <w:lvl w:ilvl="3">
      <w:start w:val="0"/>
      <w:numFmt w:val="bullet"/>
      <w:lvlText w:val="•"/>
      <w:lvlJc w:val="left"/>
      <w:pPr>
        <w:ind w:left="1711" w:hanging="564"/>
      </w:pPr>
      <w:rPr>
        <w:rFonts w:hint="default"/>
        <w:lang w:val="ru-RU" w:eastAsia="en-US" w:bidi="ar-SA"/>
      </w:rPr>
    </w:lvl>
    <w:lvl w:ilvl="4">
      <w:start w:val="0"/>
      <w:numFmt w:val="bullet"/>
      <w:lvlText w:val="•"/>
      <w:lvlJc w:val="left"/>
      <w:pPr>
        <w:ind w:left="1968" w:hanging="564"/>
      </w:pPr>
      <w:rPr>
        <w:rFonts w:hint="default"/>
        <w:lang w:val="ru-RU" w:eastAsia="en-US" w:bidi="ar-SA"/>
      </w:rPr>
    </w:lvl>
    <w:lvl w:ilvl="5">
      <w:start w:val="0"/>
      <w:numFmt w:val="bullet"/>
      <w:lvlText w:val="•"/>
      <w:lvlJc w:val="left"/>
      <w:pPr>
        <w:ind w:left="2225" w:hanging="564"/>
      </w:pPr>
      <w:rPr>
        <w:rFonts w:hint="default"/>
        <w:lang w:val="ru-RU" w:eastAsia="en-US" w:bidi="ar-SA"/>
      </w:rPr>
    </w:lvl>
    <w:lvl w:ilvl="6">
      <w:start w:val="0"/>
      <w:numFmt w:val="bullet"/>
      <w:lvlText w:val="•"/>
      <w:lvlJc w:val="left"/>
      <w:pPr>
        <w:ind w:left="2483" w:hanging="564"/>
      </w:pPr>
      <w:rPr>
        <w:rFonts w:hint="default"/>
        <w:lang w:val="ru-RU" w:eastAsia="en-US" w:bidi="ar-SA"/>
      </w:rPr>
    </w:lvl>
    <w:lvl w:ilvl="7">
      <w:start w:val="0"/>
      <w:numFmt w:val="bullet"/>
      <w:lvlText w:val="•"/>
      <w:lvlJc w:val="left"/>
      <w:pPr>
        <w:ind w:left="2740" w:hanging="564"/>
      </w:pPr>
      <w:rPr>
        <w:rFonts w:hint="default"/>
        <w:lang w:val="ru-RU" w:eastAsia="en-US" w:bidi="ar-SA"/>
      </w:rPr>
    </w:lvl>
    <w:lvl w:ilvl="8">
      <w:start w:val="0"/>
      <w:numFmt w:val="bullet"/>
      <w:lvlText w:val="•"/>
      <w:lvlJc w:val="left"/>
      <w:pPr>
        <w:ind w:left="2997" w:hanging="564"/>
      </w:pPr>
      <w:rPr>
        <w:rFonts w:hint="default"/>
        <w:lang w:val="ru-RU" w:eastAsia="en-US" w:bidi="ar-SA"/>
      </w:rPr>
    </w:lvl>
  </w:abstractNum>
  <w:abstractNum w:abstractNumId="3">
    <w:multiLevelType w:val="hybridMultilevel"/>
    <w:lvl w:ilvl="0">
      <w:start w:val="27"/>
      <w:numFmt w:val="decimal"/>
      <w:lvlText w:val="%1."/>
      <w:lvlJc w:val="left"/>
      <w:pPr>
        <w:ind w:left="980" w:hanging="591"/>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6" w:hanging="591"/>
      </w:pPr>
      <w:rPr>
        <w:rFonts w:hint="default"/>
        <w:lang w:val="ru-RU" w:eastAsia="en-US" w:bidi="ar-SA"/>
      </w:rPr>
    </w:lvl>
    <w:lvl w:ilvl="2">
      <w:start w:val="0"/>
      <w:numFmt w:val="bullet"/>
      <w:lvlText w:val="•"/>
      <w:lvlJc w:val="left"/>
      <w:pPr>
        <w:ind w:left="1533" w:hanging="591"/>
      </w:pPr>
      <w:rPr>
        <w:rFonts w:hint="default"/>
        <w:lang w:val="ru-RU" w:eastAsia="en-US" w:bidi="ar-SA"/>
      </w:rPr>
    </w:lvl>
    <w:lvl w:ilvl="3">
      <w:start w:val="0"/>
      <w:numFmt w:val="bullet"/>
      <w:lvlText w:val="•"/>
      <w:lvlJc w:val="left"/>
      <w:pPr>
        <w:ind w:left="1809" w:hanging="591"/>
      </w:pPr>
      <w:rPr>
        <w:rFonts w:hint="default"/>
        <w:lang w:val="ru-RU" w:eastAsia="en-US" w:bidi="ar-SA"/>
      </w:rPr>
    </w:lvl>
    <w:lvl w:ilvl="4">
      <w:start w:val="0"/>
      <w:numFmt w:val="bullet"/>
      <w:lvlText w:val="•"/>
      <w:lvlJc w:val="left"/>
      <w:pPr>
        <w:ind w:left="2086" w:hanging="591"/>
      </w:pPr>
      <w:rPr>
        <w:rFonts w:hint="default"/>
        <w:lang w:val="ru-RU" w:eastAsia="en-US" w:bidi="ar-SA"/>
      </w:rPr>
    </w:lvl>
    <w:lvl w:ilvl="5">
      <w:start w:val="0"/>
      <w:numFmt w:val="bullet"/>
      <w:lvlText w:val="•"/>
      <w:lvlJc w:val="left"/>
      <w:pPr>
        <w:ind w:left="2362" w:hanging="591"/>
      </w:pPr>
      <w:rPr>
        <w:rFonts w:hint="default"/>
        <w:lang w:val="ru-RU" w:eastAsia="en-US" w:bidi="ar-SA"/>
      </w:rPr>
    </w:lvl>
    <w:lvl w:ilvl="6">
      <w:start w:val="0"/>
      <w:numFmt w:val="bullet"/>
      <w:lvlText w:val="•"/>
      <w:lvlJc w:val="left"/>
      <w:pPr>
        <w:ind w:left="2639" w:hanging="591"/>
      </w:pPr>
      <w:rPr>
        <w:rFonts w:hint="default"/>
        <w:lang w:val="ru-RU" w:eastAsia="en-US" w:bidi="ar-SA"/>
      </w:rPr>
    </w:lvl>
    <w:lvl w:ilvl="7">
      <w:start w:val="0"/>
      <w:numFmt w:val="bullet"/>
      <w:lvlText w:val="•"/>
      <w:lvlJc w:val="left"/>
      <w:pPr>
        <w:ind w:left="2916" w:hanging="591"/>
      </w:pPr>
      <w:rPr>
        <w:rFonts w:hint="default"/>
        <w:lang w:val="ru-RU" w:eastAsia="en-US" w:bidi="ar-SA"/>
      </w:rPr>
    </w:lvl>
    <w:lvl w:ilvl="8">
      <w:start w:val="0"/>
      <w:numFmt w:val="bullet"/>
      <w:lvlText w:val="•"/>
      <w:lvlJc w:val="left"/>
      <w:pPr>
        <w:ind w:left="3192" w:hanging="591"/>
      </w:pPr>
      <w:rPr>
        <w:rFonts w:hint="default"/>
        <w:lang w:val="ru-RU" w:eastAsia="en-US" w:bidi="ar-SA"/>
      </w:rPr>
    </w:lvl>
  </w:abstractNum>
  <w:abstractNum w:abstractNumId="2">
    <w:multiLevelType w:val="hybridMultilevel"/>
    <w:lvl w:ilvl="0">
      <w:start w:val="7"/>
      <w:numFmt w:val="decimal"/>
      <w:lvlText w:val="%1."/>
      <w:lvlJc w:val="left"/>
      <w:pPr>
        <w:ind w:left="980" w:hanging="540"/>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4" w:hanging="540"/>
      </w:pPr>
      <w:rPr>
        <w:rFonts w:hint="default"/>
        <w:lang w:val="ru-RU" w:eastAsia="en-US" w:bidi="ar-SA"/>
      </w:rPr>
    </w:lvl>
    <w:lvl w:ilvl="2">
      <w:start w:val="0"/>
      <w:numFmt w:val="bullet"/>
      <w:lvlText w:val="•"/>
      <w:lvlJc w:val="left"/>
      <w:pPr>
        <w:ind w:left="1529" w:hanging="540"/>
      </w:pPr>
      <w:rPr>
        <w:rFonts w:hint="default"/>
        <w:lang w:val="ru-RU" w:eastAsia="en-US" w:bidi="ar-SA"/>
      </w:rPr>
    </w:lvl>
    <w:lvl w:ilvl="3">
      <w:start w:val="0"/>
      <w:numFmt w:val="bullet"/>
      <w:lvlText w:val="•"/>
      <w:lvlJc w:val="left"/>
      <w:pPr>
        <w:ind w:left="1804" w:hanging="540"/>
      </w:pPr>
      <w:rPr>
        <w:rFonts w:hint="default"/>
        <w:lang w:val="ru-RU" w:eastAsia="en-US" w:bidi="ar-SA"/>
      </w:rPr>
    </w:lvl>
    <w:lvl w:ilvl="4">
      <w:start w:val="0"/>
      <w:numFmt w:val="bullet"/>
      <w:lvlText w:val="•"/>
      <w:lvlJc w:val="left"/>
      <w:pPr>
        <w:ind w:left="2079" w:hanging="540"/>
      </w:pPr>
      <w:rPr>
        <w:rFonts w:hint="default"/>
        <w:lang w:val="ru-RU" w:eastAsia="en-US" w:bidi="ar-SA"/>
      </w:rPr>
    </w:lvl>
    <w:lvl w:ilvl="5">
      <w:start w:val="0"/>
      <w:numFmt w:val="bullet"/>
      <w:lvlText w:val="•"/>
      <w:lvlJc w:val="left"/>
      <w:pPr>
        <w:ind w:left="2354" w:hanging="540"/>
      </w:pPr>
      <w:rPr>
        <w:rFonts w:hint="default"/>
        <w:lang w:val="ru-RU" w:eastAsia="en-US" w:bidi="ar-SA"/>
      </w:rPr>
    </w:lvl>
    <w:lvl w:ilvl="6">
      <w:start w:val="0"/>
      <w:numFmt w:val="bullet"/>
      <w:lvlText w:val="•"/>
      <w:lvlJc w:val="left"/>
      <w:pPr>
        <w:ind w:left="2629" w:hanging="540"/>
      </w:pPr>
      <w:rPr>
        <w:rFonts w:hint="default"/>
        <w:lang w:val="ru-RU" w:eastAsia="en-US" w:bidi="ar-SA"/>
      </w:rPr>
    </w:lvl>
    <w:lvl w:ilvl="7">
      <w:start w:val="0"/>
      <w:numFmt w:val="bullet"/>
      <w:lvlText w:val="•"/>
      <w:lvlJc w:val="left"/>
      <w:pPr>
        <w:ind w:left="2904" w:hanging="540"/>
      </w:pPr>
      <w:rPr>
        <w:rFonts w:hint="default"/>
        <w:lang w:val="ru-RU" w:eastAsia="en-US" w:bidi="ar-SA"/>
      </w:rPr>
    </w:lvl>
    <w:lvl w:ilvl="8">
      <w:start w:val="0"/>
      <w:numFmt w:val="bullet"/>
      <w:lvlText w:val="•"/>
      <w:lvlJc w:val="left"/>
      <w:pPr>
        <w:ind w:left="3179" w:hanging="540"/>
      </w:pPr>
      <w:rPr>
        <w:rFonts w:hint="default"/>
        <w:lang w:val="ru-RU" w:eastAsia="en-US" w:bidi="ar-SA"/>
      </w:rPr>
    </w:lvl>
  </w:abstractNum>
  <w:abstractNum w:abstractNumId="0">
    <w:multiLevelType w:val="hybridMultilevel"/>
    <w:lvl w:ilvl="0">
      <w:start w:val="1"/>
      <w:numFmt w:val="decimal"/>
      <w:lvlText w:val="%1."/>
      <w:lvlJc w:val="left"/>
      <w:pPr>
        <w:ind w:left="11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upperRoman"/>
      <w:lvlText w:val="%2."/>
      <w:lvlJc w:val="left"/>
      <w:pPr>
        <w:ind w:left="3661" w:hanging="233"/>
        <w:jc w:val="right"/>
      </w:pPr>
      <w:rPr>
        <w:rFonts w:hint="default" w:ascii="Times New Roman" w:hAnsi="Times New Roman" w:eastAsia="Times New Roman" w:cs="Times New Roman"/>
        <w:b w:val="0"/>
        <w:bCs w:val="0"/>
        <w:i w:val="0"/>
        <w:iCs w:val="0"/>
        <w:w w:val="100"/>
        <w:sz w:val="28"/>
        <w:szCs w:val="28"/>
        <w:lang w:val="ru-RU" w:eastAsia="en-US" w:bidi="ar-SA"/>
      </w:rPr>
    </w:lvl>
    <w:lvl w:ilvl="2">
      <w:start w:val="0"/>
      <w:numFmt w:val="bullet"/>
      <w:lvlText w:val="•"/>
      <w:lvlJc w:val="left"/>
      <w:pPr>
        <w:ind w:left="4287" w:hanging="233"/>
      </w:pPr>
      <w:rPr>
        <w:rFonts w:hint="default"/>
        <w:lang w:val="ru-RU" w:eastAsia="en-US" w:bidi="ar-SA"/>
      </w:rPr>
    </w:lvl>
    <w:lvl w:ilvl="3">
      <w:start w:val="0"/>
      <w:numFmt w:val="bullet"/>
      <w:lvlText w:val="•"/>
      <w:lvlJc w:val="left"/>
      <w:pPr>
        <w:ind w:left="4914" w:hanging="233"/>
      </w:pPr>
      <w:rPr>
        <w:rFonts w:hint="default"/>
        <w:lang w:val="ru-RU" w:eastAsia="en-US" w:bidi="ar-SA"/>
      </w:rPr>
    </w:lvl>
    <w:lvl w:ilvl="4">
      <w:start w:val="0"/>
      <w:numFmt w:val="bullet"/>
      <w:lvlText w:val="•"/>
      <w:lvlJc w:val="left"/>
      <w:pPr>
        <w:ind w:left="5542" w:hanging="233"/>
      </w:pPr>
      <w:rPr>
        <w:rFonts w:hint="default"/>
        <w:lang w:val="ru-RU" w:eastAsia="en-US" w:bidi="ar-SA"/>
      </w:rPr>
    </w:lvl>
    <w:lvl w:ilvl="5">
      <w:start w:val="0"/>
      <w:numFmt w:val="bullet"/>
      <w:lvlText w:val="•"/>
      <w:lvlJc w:val="left"/>
      <w:pPr>
        <w:ind w:left="6169" w:hanging="233"/>
      </w:pPr>
      <w:rPr>
        <w:rFonts w:hint="default"/>
        <w:lang w:val="ru-RU" w:eastAsia="en-US" w:bidi="ar-SA"/>
      </w:rPr>
    </w:lvl>
    <w:lvl w:ilvl="6">
      <w:start w:val="0"/>
      <w:numFmt w:val="bullet"/>
      <w:lvlText w:val="•"/>
      <w:lvlJc w:val="left"/>
      <w:pPr>
        <w:ind w:left="6796" w:hanging="233"/>
      </w:pPr>
      <w:rPr>
        <w:rFonts w:hint="default"/>
        <w:lang w:val="ru-RU" w:eastAsia="en-US" w:bidi="ar-SA"/>
      </w:rPr>
    </w:lvl>
    <w:lvl w:ilvl="7">
      <w:start w:val="0"/>
      <w:numFmt w:val="bullet"/>
      <w:lvlText w:val="•"/>
      <w:lvlJc w:val="left"/>
      <w:pPr>
        <w:ind w:left="7424" w:hanging="233"/>
      </w:pPr>
      <w:rPr>
        <w:rFonts w:hint="default"/>
        <w:lang w:val="ru-RU" w:eastAsia="en-US" w:bidi="ar-SA"/>
      </w:rPr>
    </w:lvl>
    <w:lvl w:ilvl="8">
      <w:start w:val="0"/>
      <w:numFmt w:val="bullet"/>
      <w:lvlText w:val="•"/>
      <w:lvlJc w:val="left"/>
      <w:pPr>
        <w:ind w:left="8051" w:hanging="233"/>
      </w:pPr>
      <w:rPr>
        <w:rFonts w:hint="default"/>
        <w:lang w:val="ru-RU" w:eastAsia="en-US" w:bidi="ar-SA"/>
      </w:rPr>
    </w:lvl>
  </w:abstractNum>
  <w:num w:numId="5">
    <w:abstractNumId w:val="4"/>
  </w:num>
  <w:num w:numId="2">
    <w:abstractNumId w:val="1"/>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261" w:right="263"/>
      <w:jc w:val="center"/>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spacing w:before="85"/>
      <w:ind w:left="282" w:right="261"/>
      <w:jc w:val="center"/>
    </w:pPr>
    <w:rPr>
      <w:rFonts w:ascii="Times New Roman" w:hAnsi="Times New Roman" w:eastAsia="Times New Roman" w:cs="Times New Roman"/>
      <w:b/>
      <w:bCs/>
      <w:sz w:val="36"/>
      <w:szCs w:val="36"/>
      <w:lang w:val="ru-RU" w:eastAsia="en-US" w:bidi="ar-SA"/>
    </w:rPr>
  </w:style>
  <w:style w:styleId="ListParagraph" w:type="paragraph">
    <w:name w:val="List Paragraph"/>
    <w:basedOn w:val="Normal"/>
    <w:uiPriority w:val="1"/>
    <w:qFormat/>
    <w:pPr>
      <w:ind w:left="158" w:firstLine="707"/>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consultantplus://offline/ref%3D67E5947FC935A5A38A2C1C2E5DD18C72AEB77C027CCDF62C8659584BBC150F8C7F73AA1F7CCC6C40B5617AB04D191C87F66FDC375567BFC2w7BFJ" TargetMode="External"/><Relationship Id="rId12" Type="http://schemas.openxmlformats.org/officeDocument/2006/relationships/hyperlink" Target="consultantplus://offline/ref%3D67E5947FC935A5A38A2C1C2E5DD18C72AEB77C027CCDF62C8659584BBC150F8C7F73AA1F7BC9654FB7617AB04D191C87F66FDC375567BFC2w7BFJ" TargetMode="External"/><Relationship Id="rId13" Type="http://schemas.openxmlformats.org/officeDocument/2006/relationships/hyperlink" Target="consultantplus://offline/ref%3D67E5947FC935A5A38A2C1C2E5DD18C72AEB77C027CCDF62C8659584BBC150F8C7F73AA1F7BCF6C4EB3617AB04D191C87F66FDC375567BFC2w7BFJ" TargetMode="External"/><Relationship Id="rId14" Type="http://schemas.openxmlformats.org/officeDocument/2006/relationships/hyperlink" Target="consultantplus://offline/ref%3D67E5947FC935A5A38A2C1C2E5DD18C72AEB77C027CCDF62C8659584BBC150F8C7F73AA1F7BCF6C4EB2617AB04D191C87F66FDC375567BFC2w7BFJ" TargetMode="External"/><Relationship Id="rId15" Type="http://schemas.openxmlformats.org/officeDocument/2006/relationships/hyperlink" Target="consultantplus://offline/ref%3D67E5947FC935A5A38A2C1C2E5DD18C72AEB77C027CCDF62C8659584BBC150F8C7F73AA1F7BCF6C4EB1617AB04D191C87F66FDC375567BFC2w7BFJ" TargetMode="External"/><Relationship Id="rId16" Type="http://schemas.openxmlformats.org/officeDocument/2006/relationships/hyperlink" Target="consultantplus://offline/ref%3D67E5947FC935A5A38A2C1C2E5DD18C72AEB77C027CCDF62C8659584BBC150F8C7F73AA1F7BC9654BB0617AB04D191C87F66FDC375567BFC2w7BFJ" TargetMode="External"/><Relationship Id="rId17" Type="http://schemas.openxmlformats.org/officeDocument/2006/relationships/hyperlink" Target="consultantplus://offline/ref%3D67E5947FC935A5A38A2C1C2E5DD18C72AEB77C027CCDF62C8659584BBC150F8C7F73AA1F7BC9654CB2617AB04D191C87F66FDC375567BFC2w7BFJ" TargetMode="External"/><Relationship Id="rId18" Type="http://schemas.openxmlformats.org/officeDocument/2006/relationships/hyperlink" Target="consultantplus://offline/ref%3D67E5947FC935A5A38A2C1C2E5DD18C72AEB77C027CCDF62C8659584BBC150F8C7F73AA1F7BC26149B6617AB04D191C87F66FDC375567BFC2w7BFJ" TargetMode="External"/><Relationship Id="rId19" Type="http://schemas.openxmlformats.org/officeDocument/2006/relationships/hyperlink" Target="consultantplus://offline/ref%3D67E5947FC935A5A38A2C1C2E5DD18C72AEB77C027CCDF62C8659584BBC150F8C7F73AA1F7BC26149B5617AB04D191C87F66FDC375567BFC2w7BFJ" TargetMode="External"/><Relationship Id="rId20" Type="http://schemas.openxmlformats.org/officeDocument/2006/relationships/hyperlink" Target="consultantplus://offline/ref%3D67E5947FC935A5A38A2C1C2E5DD18C72AEB77C027CCDF62C8659584BBC150F8C7F73AA1F7BC26149BB617AB04D191C87F66FDC375567BFC2w7BFJ" TargetMode="External"/><Relationship Id="rId21" Type="http://schemas.openxmlformats.org/officeDocument/2006/relationships/hyperlink" Target="consultantplus://offline/ref%3D67E5947FC935A5A38A2C1C2E5DD18C72AEB77C027CCDF62C8659584BBC150F8C7F73AA1F7BC26141B3617AB04D191C87F66FDC375567BFC2w7BFJ" TargetMode="External"/><Relationship Id="rId22" Type="http://schemas.openxmlformats.org/officeDocument/2006/relationships/hyperlink" Target="consultantplus://offline/ref%3D67E5947FC935A5A38A2C1C2E5DD18C72AEB77C027CCDF62C8659584BBC150F8C7F73AA1F7BC9654DB4617AB04D191C87F66FDC375567BFC2w7BFJ" TargetMode="External"/><Relationship Id="rId23" Type="http://schemas.openxmlformats.org/officeDocument/2006/relationships/hyperlink" Target="consultantplus://offline/ref%3D67E5947FC935A5A38A2C1C2E5DD18C72AEB77C027CCDF62C8659584BBC150F8C7F73AA1F7ACC664FB7617AB04D191C87F66FDC375567BFC2w7BFJ" TargetMode="External"/><Relationship Id="rId24" Type="http://schemas.openxmlformats.org/officeDocument/2006/relationships/hyperlink" Target="consultantplus://offline/ref%3D67E5947FC935A5A38A2C1C2E5DD18C72AEB77C027CCDF62C8659584BBC150F8C7F73AA1F7ACC664FB6617AB04D191C87F66FDC375567BFC2w7BFJ" TargetMode="External"/><Relationship Id="rId25" Type="http://schemas.openxmlformats.org/officeDocument/2006/relationships/hyperlink" Target="consultantplus://offline/ref%3D67E5947FC935A5A38A2C1C2E5DD18C72AEB77C027CCDF62C8659584BBC150F8C7F73AA1F7BC86C41B2617AB04D191C87F66FDC375567BFC2w7BFJ" TargetMode="External"/><Relationship Id="rId26" Type="http://schemas.openxmlformats.org/officeDocument/2006/relationships/hyperlink" Target="consultantplus://offline/ref%3D67E5947FC935A5A38A2C1C2E5DD18C72AEB77C027CCDF62C8659584BBC150F8C7F73AA1F7FC3664EB0617AB04D191C87F66FDC375567BFC2w7BFJ" TargetMode="External"/><Relationship Id="rId27" Type="http://schemas.openxmlformats.org/officeDocument/2006/relationships/hyperlink" Target="consultantplus://offline/ref%3D67E5947FC935A5A38A2C1C2E5DD18C72AEB77C027CCDF62C8659584BBC150F8C7F73AA1F7BC86C4DB4617AB04D191C87F66FDC375567BFC2w7BFJ" TargetMode="External"/><Relationship Id="rId28" Type="http://schemas.openxmlformats.org/officeDocument/2006/relationships/hyperlink" Target="consultantplus://offline/ref%3D67E5947FC935A5A38A2C1C2E5DD18C72AEB77C027CCDF62C8659584BBC150F8C7F73AA1F7BC86C4DBA617AB04D191C87F66FDC375567BFC2w7BFJ" TargetMode="External"/><Relationship Id="rId29" Type="http://schemas.openxmlformats.org/officeDocument/2006/relationships/hyperlink" Target="consultantplus://offline/ref%3D67E5947FC935A5A38A2C1C2E5DD18C72AEB77C027CCDF62C8659584BBC150F8C7F73AA1F7BC86C4CBA617AB04D191C87F66FDC375567BFC2w7BFJ" TargetMode="External"/><Relationship Id="rId30" Type="http://schemas.openxmlformats.org/officeDocument/2006/relationships/hyperlink" Target="consultantplus://offline/ref%3D67E5947FC935A5A38A2C1C2E5DD18C72AEB77C027CCDF62C8659584BBC150F8C7F73AA1F7BC96540B3617AB04D191C87F66FDC375567BFC2w7BFJ" TargetMode="External"/><Relationship Id="rId31" Type="http://schemas.openxmlformats.org/officeDocument/2006/relationships/hyperlink" Target="consultantplus://offline/ref%3D67E5947FC935A5A38A2C1C2E5DD18C72AEB77C027CCDF62C8659584BBC150F8C7F73AA1F7BC96449B2617AB04D191C87F66FDC375567BFC2w7BFJ" TargetMode="External"/><Relationship Id="rId32" Type="http://schemas.openxmlformats.org/officeDocument/2006/relationships/hyperlink" Target="consultantplus://offline/ref%3D67E5947FC935A5A38A2C1C2E5DD18C72AEB77C027CCDF62C8659584BBC150F8C7F73AA1F7CCC654EB6617AB04D191C87F66FDC375567BFC2w7BFJ" TargetMode="External"/><Relationship Id="rId33" Type="http://schemas.openxmlformats.org/officeDocument/2006/relationships/hyperlink" Target="consultantplus://offline/ref%3D67E5947FC935A5A38A2C1C2E5DD18C72AEB77C027CCDF62C8659584BBC150F8C7F73AA1F7CCC6541B2617AB04D191C87F66FDC375567BFC2w7BFJ" TargetMode="External"/><Relationship Id="rId34" Type="http://schemas.openxmlformats.org/officeDocument/2006/relationships/hyperlink" Target="consultantplus://offline/ref%3D67E5947FC935A5A38A2C1C2E5DD18C72AEB77C027CCDF62C8659584BBC150F8C7F73AA1F7CCC6541B1617AB04D191C87F66FDC375567BFC2w7BFJ" TargetMode="External"/><Relationship Id="rId35" Type="http://schemas.openxmlformats.org/officeDocument/2006/relationships/hyperlink" Target="consultantplus://offline/ref%3D67E5947FC935A5A38A2C1C2E5DD18C72AEB77C027CCDF62C8659584BBC150F8C7F73AA1F7CCC6541B7617AB04D191C87F66FDC375567BFC2w7BFJ" TargetMode="External"/><Relationship Id="rId36" Type="http://schemas.openxmlformats.org/officeDocument/2006/relationships/hyperlink" Target="consultantplus://offline/ref%3D67E5947FC935A5A38A2C1C2E5DD18C72AEB77C027CCDF62C8659584BBC150F8C7F73AA1F7CCC6541B6617AB04D191C87F66FDC375567BFC2w7BFJ" TargetMode="External"/><Relationship Id="rId37" Type="http://schemas.openxmlformats.org/officeDocument/2006/relationships/hyperlink" Target="consultantplus://offline/ref%3D67E5947FC935A5A38A2C1C2E5DD18C72AEB77C027CCDF62C8659584BBC150F8C7F73AA1F7CCC6541B5617AB04D191C87F66FDC375567BFC2w7BFJ" TargetMode="External"/><Relationship Id="rId38" Type="http://schemas.openxmlformats.org/officeDocument/2006/relationships/hyperlink" Target="consultantplus://offline/ref%3D67E5947FC935A5A38A2C1C2E5DD18C72AEB77C027CCDF62C8659584BBC150F8C7F73AA1F7CCC6541B4617AB04D191C87F66FDC375567BFC2w7BFJ" TargetMode="External"/><Relationship Id="rId39" Type="http://schemas.openxmlformats.org/officeDocument/2006/relationships/hyperlink" Target="consultantplus://offline/ref%3D67E5947FC935A5A38A2C1C2E5DD18C72AEB77C027CCDF62C8659584BBC150F8C7F73AA1F7CCC6541BB617AB04D191C87F66FDC375567BFC2w7BFJ" TargetMode="External"/><Relationship Id="rId40" Type="http://schemas.openxmlformats.org/officeDocument/2006/relationships/hyperlink" Target="consultantplus://offline/ref%3D67E5947FC935A5A38A2C1C2E5DD18C72AEB77C027CCDF62C8659584BBC150F8C7F73AA1F7CCC6541BA617AB04D191C87F66FDC375567BFC2w7BFJ" TargetMode="External"/><Relationship Id="rId41" Type="http://schemas.openxmlformats.org/officeDocument/2006/relationships/hyperlink" Target="consultantplus://offline/ref%3D67E5947FC935A5A38A2C1C2E5DD18C72AEB77C027CCDF62C8659584BBC150F8C7F73AA1F7CCC6540B2617AB04D191C87F66FDC375567BFC2w7BFJ" TargetMode="External"/><Relationship Id="rId42" Type="http://schemas.openxmlformats.org/officeDocument/2006/relationships/hyperlink" Target="consultantplus://offline/ref%3D67E5947FC935A5A38A2C1C2E5DD18C72AEB77C027CCDF62C8659584BBC150F8C7F73AA1F7CCC6540B0617AB04D191C87F66FDC375567BFC2w7BFJ" TargetMode="External"/><Relationship Id="rId43" Type="http://schemas.openxmlformats.org/officeDocument/2006/relationships/hyperlink" Target="consultantplus://offline/ref%3D67E5947FC935A5A38A2C1C2E5DD18C72AEB77C027CCDF62C8659584BBC150F8C7F73AA1F7CCC6540B7617AB04D191C87F66FDC375567BFC2w7BFJ" TargetMode="External"/><Relationship Id="rId44" Type="http://schemas.openxmlformats.org/officeDocument/2006/relationships/hyperlink" Target="consultantplus://offline/ref%3D67E5947FC935A5A38A2C1C2E5DD18C72AEB77C027CCDF62C8659584BBC150F8C7F73AA1F7CCC6540B4617AB04D191C87F66FDC375567BFC2w7BFJ" TargetMode="External"/><Relationship Id="rId45" Type="http://schemas.openxmlformats.org/officeDocument/2006/relationships/hyperlink" Target="consultantplus://offline/ref%3D67E5947FC935A5A38A2C1C2E5DD18C72AEB77C027CCDF62C8659584BBC150F8C7F73AA1F7CCC6540BB617AB04D191C87F66FDC375567BFC2w7BFJ" TargetMode="External"/><Relationship Id="rId46" Type="http://schemas.openxmlformats.org/officeDocument/2006/relationships/hyperlink" Target="consultantplus://offline/ref%3D67E5947FC935A5A38A2C1C2E5DD18C72AEB77C027CCDF62C8659584BBC150F8C7F73AA1F7CCC6449B3617AB04D191C87F66FDC375567BFC2w7BFJ" TargetMode="External"/><Relationship Id="rId47" Type="http://schemas.openxmlformats.org/officeDocument/2006/relationships/hyperlink" Target="consultantplus://offline/ref%3D67E5947FC935A5A38A2C1C2E5DD18C72AEB77C027CCDF62C8659584BBC150F8C7F73AA1F7CCC6449B0617AB04D191C87F66FDC375567BFC2w7BFJ" TargetMode="External"/><Relationship Id="rId48" Type="http://schemas.openxmlformats.org/officeDocument/2006/relationships/hyperlink" Target="consultantplus://offline/ref%3D67E5947FC935A5A38A2C1C2E5DD18C72AEB77C027CCDF62C8659584BBC150F8C7F73AA1F7FCB634EB0617AB04D191C87F66FDC375567BFC2w7BFJ" TargetMode="External"/><Relationship Id="rId49" Type="http://schemas.openxmlformats.org/officeDocument/2006/relationships/hyperlink" Target="consultantplus://offline/ref%3D67E5947FC935A5A38A2C1C2E5DD18C72AEB77C027CCDF62C8659584BBC150F8C7F73AA1F7CCC6449B6617AB04D191C87F66FDC375567BFC2w7BFJ" TargetMode="External"/><Relationship Id="rId50" Type="http://schemas.openxmlformats.org/officeDocument/2006/relationships/hyperlink" Target="consultantplus://offline/ref%3D67E5947FC935A5A38A2C1C2E5DD18C72AEB77C027CCDF62C8659584BBC150F8C7F73AA1F7CCC6448B2617AB04D191C87F66FDC375567BFC2w7BFJ" TargetMode="External"/><Relationship Id="rId51" Type="http://schemas.openxmlformats.org/officeDocument/2006/relationships/hyperlink" Target="consultantplus://offline/ref%3D67E5947FC935A5A38A2C1C2E5DD18C72AEB77C027CCDF62C8659584BBC150F8C7F73AA1F7CCC6749B4617AB04D191C87F66FDC375567BFC2w7BFJ" TargetMode="External"/><Relationship Id="rId52" Type="http://schemas.openxmlformats.org/officeDocument/2006/relationships/hyperlink" Target="consultantplus://offline/ref%3D67E5947FC935A5A38A2C1C2E5DD18C72AEB77C027CCDF62C8659584BBC150F8C7F73AA1F7CCC6748B7617AB04D191C87F66FDC375567BFC2w7BFJ" TargetMode="External"/><Relationship Id="rId53" Type="http://schemas.openxmlformats.org/officeDocument/2006/relationships/hyperlink" Target="consultantplus://offline/ref%3D67E5947FC935A5A38A2C1C2E5DD18C72AEB77C027CCDF62C8659584BBC150F8C7F73AA1F7CCC674BB3617AB04D191C87F66FDC375567BFC2w7BFJ" TargetMode="External"/><Relationship Id="rId54" Type="http://schemas.openxmlformats.org/officeDocument/2006/relationships/hyperlink" Target="consultantplus://offline/ref%3D67E5947FC935A5A38A2C1C2E5DD18C72AEB77C027CCDF62C8659584BBC150F8C7F73AA1F7CCC674BB2617AB04D191C87F66FDC375567BFC2w7BFJ" TargetMode="External"/><Relationship Id="rId55" Type="http://schemas.openxmlformats.org/officeDocument/2006/relationships/hyperlink" Target="consultantplus://offline/ref%3D67E5947FC935A5A38A2C1C2E5DD18C72AEB77C027CCDF62C8659584BBC150F8C7F73AA1F7CCC674BB1617AB04D191C87F66FDC375567BFC2w7BFJ" TargetMode="External"/><Relationship Id="rId56" Type="http://schemas.openxmlformats.org/officeDocument/2006/relationships/hyperlink" Target="consultantplus://offline/ref%3D67E5947FC935A5A38A2C1C2E5DD18C72AEB77C027CCDF62C8659584BBC150F8C7F73AA1F7CCC674BB0617AB04D191C87F66FDC375567BFC2w7BFJ" TargetMode="External"/><Relationship Id="rId57" Type="http://schemas.openxmlformats.org/officeDocument/2006/relationships/hyperlink" Target="consultantplus://offline/ref%3D67E5947FC935A5A38A2C1C2E5DD18C72AEB77C027CCDF62C8659584BBC150F8C7F73AA1F7CCC674BB7617AB04D191C87F66FDC375567BFC2w7BFJ" TargetMode="External"/><Relationship Id="rId58" Type="http://schemas.openxmlformats.org/officeDocument/2006/relationships/hyperlink" Target="consultantplus://offline/ref%3D67E5947FC935A5A38A2C1C2E5DD18C72AEB77C027CCDF62C8659584BBC150F8C7F73AA1F7CCC674BB5617AB04D191C87F66FDC375567BFC2w7BFJ" TargetMode="External"/><Relationship Id="rId59" Type="http://schemas.openxmlformats.org/officeDocument/2006/relationships/hyperlink" Target="consultantplus://offline/ref%3D67E5947FC935A5A38A2C1C2E5DD18C72AEB77C027CCDF62C8659584BBC150F8C7F73AA1F7CCC674BB4617AB04D191C87F66FDC375567BFC2w7BFJ" TargetMode="External"/><Relationship Id="rId60" Type="http://schemas.openxmlformats.org/officeDocument/2006/relationships/hyperlink" Target="consultantplus://offline/ref%3D67E5947FC935A5A38A2C1C2E5DD18C72AEB77C027CCDF62C8659584BBC150F8C7F73AA1F7CCC674BBB617AB04D191C87F66FDC375567BFC2w7BFJ" TargetMode="External"/><Relationship Id="rId61" Type="http://schemas.openxmlformats.org/officeDocument/2006/relationships/hyperlink" Target="consultantplus://offline/ref%3D67E5947FC935A5A38A2C1C2E5DD18C72AEB77C027CCDF62C8659584BBC150F8C7F73AA1F7CCC674AB6617AB04D191C87F66FDC375567BFC2w7BFJ" TargetMode="External"/><Relationship Id="rId62" Type="http://schemas.openxmlformats.org/officeDocument/2006/relationships/hyperlink" Target="consultantplus://offline/ref%3D67E5947FC935A5A38A2C1C2E5DD18C72AEB77C027CCDF62C8659584BBC150F8C7F73AA1F7CCC674AB5617AB04D191C87F66FDC375567BFC2w7BFJ" TargetMode="External"/><Relationship Id="rId63" Type="http://schemas.openxmlformats.org/officeDocument/2006/relationships/hyperlink" Target="consultantplus://offline/ref%3D67E5947FC935A5A38A2C1C2E5DD18C72AEB77C027CCDF62C8659584BBC150F8C7F73AA1F7CCC674AB4617AB04D191C87F66FDC375567BFC2w7BFJ" TargetMode="External"/><Relationship Id="rId64" Type="http://schemas.openxmlformats.org/officeDocument/2006/relationships/hyperlink" Target="consultantplus://offline/ref%3D67E5947FC935A5A38A2C1C2E5DD18C72AEB77C027CCDF62C8659584BBC150F8C7F73AA1F7CCC674ABA617AB04D191C87F66FDC375567BFC2w7BFJ" TargetMode="External"/><Relationship Id="rId65" Type="http://schemas.openxmlformats.org/officeDocument/2006/relationships/hyperlink" Target="consultantplus://offline/ref%3D67E5947FC935A5A38A2C1C2E5DD18C72AEB77C027CCDF62C8659584BBC150F8C7F73AA1F7FCB6D4DB0617AB04D191C87F66FDC375567BFC2w7BFJ" TargetMode="External"/><Relationship Id="rId66" Type="http://schemas.openxmlformats.org/officeDocument/2006/relationships/hyperlink" Target="consultantplus://offline/ref%3D67E5947FC935A5A38A2C1C2E5DD18C72AEB77C027CCDF62C8659584BBC150F8C7F73AA1F7FCB6C4BB2617AB04D191C87F66FDC375567BFC2w7BFJ" TargetMode="External"/><Relationship Id="rId67" Type="http://schemas.openxmlformats.org/officeDocument/2006/relationships/hyperlink" Target="consultantplus://offline/ref%3D67E5947FC935A5A38A2C1C2E5DD18C72AEB77C027CCDF62C8659584BBC150F8C7F73AA1F7FCB6C4DB7617AB04D191C87F66FDC375567BFC2w7BFJ" TargetMode="External"/><Relationship Id="rId68" Type="http://schemas.openxmlformats.org/officeDocument/2006/relationships/hyperlink" Target="consultantplus://offline/ref%3D67E5947FC935A5A38A2C1C2E5DD18C72AEB77C027CCDF62C8659584BBC150F8C7F73AA1F7FC8654BB6617AB04D191C87F66FDC375567BFC2w7BFJ" TargetMode="External"/><Relationship Id="rId69" Type="http://schemas.openxmlformats.org/officeDocument/2006/relationships/hyperlink" Target="consultantplus://offline/ref%3D67E5947FC935A5A38A2C1C2E5DD18C72AEB77C027CCDF62C8659584BBC150F8C7F73AA1F7FC86440B1617AB04D191C87F66FDC375567BFC2w7BFJ" TargetMode="External"/><Relationship Id="rId70" Type="http://schemas.openxmlformats.org/officeDocument/2006/relationships/hyperlink" Target="consultantplus://offline/ref%3D67E5947FC935A5A38A2C1C2E5DD18C72AEB77C027CCDF62C8659584BBC150F8C7F73AA1F7FC8674DBB617AB04D191C87F66FDC375567BFC2w7BFJ" TargetMode="External"/><Relationship Id="rId71" Type="http://schemas.openxmlformats.org/officeDocument/2006/relationships/hyperlink" Target="consultantplus://offline/ref%3D67E5947FC935A5A38A2C1C2E5DD18C72AEB77C027CCDF62C8659584BBC150F8C7F73AA1F7FCB6340B0617AB04D191C87F66FDC375567BFC2w7BFJ" TargetMode="External"/><Relationship Id="rId72" Type="http://schemas.openxmlformats.org/officeDocument/2006/relationships/hyperlink" Target="consultantplus://offline/ref%3D67E5947FC935A5A38A2C1C2E5DD18C72AEB77C027CCDF62C8659584BBC150F8C7F73AA1F7FCB6249B4617AB04D191C87F66FDC375567BFC2w7BFJ" TargetMode="External"/><Relationship Id="rId73" Type="http://schemas.openxmlformats.org/officeDocument/2006/relationships/hyperlink" Target="consultantplus://offline/ref%3D67E5947FC935A5A38A2C1C2E5DD18C72AEB77C027CCDF62C8659584BBC150F8C7F73AA1F7FCB6248BB617AB04D191C87F66FDC375567BFC2w7BFJ" TargetMode="External"/><Relationship Id="rId74" Type="http://schemas.openxmlformats.org/officeDocument/2006/relationships/hyperlink" Target="consultantplus://offline/ref%3D67E5947FC935A5A38A2C1C2E5DD18C72AEB77C027CCDF62C8659584BBC150F8C7F73AA1F7FCB624BB4617AB04D191C87F66FDC375567BFC2w7BFJ" TargetMode="External"/><Relationship Id="rId75" Type="http://schemas.openxmlformats.org/officeDocument/2006/relationships/hyperlink" Target="consultantplus://offline/ref%3D67E5947FC935A5A38A2C1C2E5DD18C72AEB77C027CCDF62C8659584BBC150F8C7F73AA1F7FCB624DB3617AB04D191C87F66FDC375567BFC2w7BFJ" TargetMode="External"/><Relationship Id="rId76" Type="http://schemas.openxmlformats.org/officeDocument/2006/relationships/hyperlink" Target="consultantplus://offline/ref%3D67E5947FC935A5A38A2C1C2E5DD18C72AEB77C027CCDF62C8659584BBC150F8C7F73AA1F7FCB624DB1617AB04D191C87F66FDC375567BFC2w7BFJ" TargetMode="External"/><Relationship Id="rId77" Type="http://schemas.openxmlformats.org/officeDocument/2006/relationships/hyperlink" Target="consultantplus://offline/ref%3D67E5947FC935A5A38A2C1C2E5DD18C72AEB77C027CCDF62C8659584BBC150F8C7F73AA1F7FCB634AB1617AB04D191C87F66FDC375567BFC2w7BFJ" TargetMode="External"/><Relationship Id="rId78" Type="http://schemas.openxmlformats.org/officeDocument/2006/relationships/hyperlink" Target="consultantplus://offline/ref%3D67E5947FC935A5A38A2C1C2E5DD18C72AEB77C027CCDF62C8659584BBC150F8C7F73AA1F7CCC6640BB617AB04D191C87F66FDC375567BFC2w7BFJ" TargetMode="External"/><Relationship Id="rId79" Type="http://schemas.openxmlformats.org/officeDocument/2006/relationships/hyperlink" Target="consultantplus://offline/ref%3D67E5947FC935A5A38A2C1C2E5DD18C72AEB77C027CCDF62C8659584BBC150F8C7F73AA1F7FCB624CB5617AB04D191C87F66FDC375567BFC2w7BFJ" TargetMode="External"/><Relationship Id="rId80" Type="http://schemas.openxmlformats.org/officeDocument/2006/relationships/hyperlink" Target="consultantplus://offline/ref%3D67E5947FC935A5A38A2C1C2E5DD18C72AEB77C027CCDF62C8659584BBC150F8C7F73AA1F7FCB624FBB617AB04D191C87F66FDC375567BFC2w7BFJ" TargetMode="External"/><Relationship Id="rId81" Type="http://schemas.openxmlformats.org/officeDocument/2006/relationships/hyperlink" Target="consultantplus://offline/ref%3D67E5947FC935A5A38A2C1C2E5DD18C72AEB77C027CCDF62C8659584BBC150F8C7F73AA1F7FCB624FBA617AB04D191C87F66FDC375567BFC2w7BFJ" TargetMode="External"/><Relationship Id="rId82" Type="http://schemas.openxmlformats.org/officeDocument/2006/relationships/hyperlink" Target="consultantplus://offline/ref%3D67E5947FC935A5A38A2C1C2E5DD18C72AEB77C027CCDF62C8659584BBC150F8C7F73AA1F7FCB6D4DB7617AB04D191C87F66FDC375567BFC2w7BFJ" TargetMode="External"/><Relationship Id="rId83" Type="http://schemas.openxmlformats.org/officeDocument/2006/relationships/hyperlink" Target="consultantplus://offline/ref%3D67E5947FC935A5A38A2C1C2E5DD18C72AEB77C027CCDF62C8659584BBC150F8C7F73AA1F7FCB6D4CB1617AB04D191C87F66FDC375567BFC2w7BFJ" TargetMode="External"/><Relationship Id="rId84" Type="http://schemas.openxmlformats.org/officeDocument/2006/relationships/hyperlink" Target="consultantplus://offline/ref%3D67E5947FC935A5A38A2C1C2E5DD18C72AEB77C027CCDF62C8659584BBC150F8C7F73AA1F7CCC654FB1617AB04D191C87F66FDC375567BFC2w7BFJ" TargetMode="External"/><Relationship Id="rId85" Type="http://schemas.openxmlformats.org/officeDocument/2006/relationships/hyperlink" Target="consultantplus://offline/ref%3D67E5947FC935A5A38A2C1C2E5DD18C72AEB77C027CCDF62C8659584BBC150F8C7F73AA1F7CCC674CB1617AB04D191C87F66FDC375567BFC2w7BFJ" TargetMode="External"/><Relationship Id="rId86" Type="http://schemas.openxmlformats.org/officeDocument/2006/relationships/hyperlink" Target="consultantplus://offline/ref%3D67E5947FC935A5A38A2C1C2E5DD18C72AEB77C027CCDF62C8659584BBC150F8C7F73AA1F7CCC674CB0617AB04D191C87F66FDC375567BFC2w7BFJ" TargetMode="External"/><Relationship Id="rId87" Type="http://schemas.openxmlformats.org/officeDocument/2006/relationships/hyperlink" Target="consultantplus://offline/ref%3D67E5947FC935A5A38A2C1C2E5DD18C72AEB77C027CCDF62C8659584BBC150F8C7F73AA1F7CCC634DB6617AB04D191C87F66FDC375567BFC2w7BFJ" TargetMode="External"/><Relationship Id="rId88" Type="http://schemas.openxmlformats.org/officeDocument/2006/relationships/hyperlink" Target="consultantplus://offline/ref%3D67E5947FC935A5A38A2C1C2E5DD18C72AEB77C027CCDF62C8659584BBC150F8C7F73AA1F7CCC674CB7617AB04D191C87F66FDC375567BFC2w7BFJ" TargetMode="External"/><Relationship Id="rId89" Type="http://schemas.openxmlformats.org/officeDocument/2006/relationships/hyperlink" Target="consultantplus://offline/ref%3D67E5947FC935A5A38A2C1C2E5DD18C72AEB77C027CCDF62C8659584BBC150F8C7F73AA1F7CCC674CB6617AB04D191C87F66FDC375567BFC2w7BFJ" TargetMode="External"/><Relationship Id="rId90" Type="http://schemas.openxmlformats.org/officeDocument/2006/relationships/hyperlink" Target="consultantplus://offline/ref%3D67E5947FC935A5A38A2C1C2E5DD18C72AEB77C027CCDF62C8659584BBC150F8C7F73AA1F7FCB6C4EB1617AB04D191C87F66FDC375567BFC2w7BFJ" TargetMode="External"/><Relationship Id="rId91" Type="http://schemas.openxmlformats.org/officeDocument/2006/relationships/hyperlink" Target="consultantplus://offline/ref%3D67E5947FC935A5A38A2C1C2E5DD18C72AEB77C027CCDF62C8659584BBC150F8C7F73AA1F7CCC634DB4617AB04D191C87F66FDC375567BFC2w7BFJ" TargetMode="External"/><Relationship Id="rId92" Type="http://schemas.openxmlformats.org/officeDocument/2006/relationships/hyperlink" Target="consultantplus://offline/ref%3D67E5947FC935A5A38A2C1C2E5DD18C72AEB77C027CCDF62C8659584BBC150F8C7F73AA1F7CCC674EB3617AB04D191C87F66FDC375567BFC2w7BFJ" TargetMode="External"/><Relationship Id="rId93" Type="http://schemas.openxmlformats.org/officeDocument/2006/relationships/hyperlink" Target="consultantplus://offline/ref%3D67E5947FC935A5A38A2C1C2E5DD18C72AEB77C027CCDF62C8659584BBC150F8C7F73AA1F7CCC674EB2617AB04D191C87F66FDC375567BFC2w7BFJ" TargetMode="External"/><Relationship Id="rId94" Type="http://schemas.openxmlformats.org/officeDocument/2006/relationships/hyperlink" Target="consultantplus://offline/ref%3D67E5947FC935A5A38A2C1C2E5DD18C72AEB77C027CCDF62C8659584BBC150F8C7F73AA1F7CCC674EB1617AB04D191C87F66FDC375567BFC2w7BFJ" TargetMode="External"/><Relationship Id="rId95" Type="http://schemas.openxmlformats.org/officeDocument/2006/relationships/hyperlink" Target="consultantplus://offline/ref%3D67E5947FC935A5A38A2C1C2E5DD18C72AEB77C027CCDF62C8659584BBC150F8C7F73AA1F7CCC674EB0617AB04D191C87F66FDC375567BFC2w7BFJ" TargetMode="External"/><Relationship Id="rId96" Type="http://schemas.openxmlformats.org/officeDocument/2006/relationships/hyperlink" Target="consultantplus://offline/ref%3D67E5947FC935A5A38A2C1C2E5DD18C72AEB77C027CCDF62C8659584BBC150F8C7F73AA1F7CCC674EB7617AB04D191C87F66FDC375567BFC2w7BFJ" TargetMode="External"/><Relationship Id="rId97" Type="http://schemas.openxmlformats.org/officeDocument/2006/relationships/hyperlink" Target="consultantplus://offline/ref%3D67E5947FC935A5A38A2C1C2E5DD18C72AEB77C027CCDF62C8659584BBC150F8C7F73AA1F7CCC674EB5617AB04D191C87F66FDC375567BFC2w7BFJ" TargetMode="External"/><Relationship Id="rId98" Type="http://schemas.openxmlformats.org/officeDocument/2006/relationships/hyperlink" Target="consultantplus://offline/ref%3D67E5947FC935A5A38A2C1C2E5DD18C72AEB77C027CCDF62C8659584BBC150F8C7F73AA1F7CCC6649B3617AB04D191C87F66FDC375567BFC2w7BFJ" TargetMode="External"/><Relationship Id="rId99" Type="http://schemas.openxmlformats.org/officeDocument/2006/relationships/hyperlink" Target="consultantplus://offline/ref%3D67E5947FC935A5A38A2C1C2E5DD18C72AEB77C027CCDF62C8659584BBC150F8C7F73AA1F7CCC6649B1617AB04D191C87F66FDC375567BFC2w7BFJ" TargetMode="External"/><Relationship Id="rId100" Type="http://schemas.openxmlformats.org/officeDocument/2006/relationships/hyperlink" Target="consultantplus://offline/ref%3D67E5947FC935A5A38A2C1C2E5DD18C72AEB77C027CCDF62C8659584BBC150F8C7F73AA1F7CCC6649B0617AB04D191C87F66FDC375567BFC2w7BFJ" TargetMode="External"/><Relationship Id="rId101" Type="http://schemas.openxmlformats.org/officeDocument/2006/relationships/hyperlink" Target="consultantplus://offline/ref%3D67E5947FC935A5A38A2C1C2E5DD18C72AEB77C027CCDF62C8659584BBC150F8C7F73AA1F7CCC6649B7617AB04D191C87F66FDC375567BFC2w7BFJ" TargetMode="External"/><Relationship Id="rId102" Type="http://schemas.openxmlformats.org/officeDocument/2006/relationships/hyperlink" Target="consultantplus://offline/ref%3D67E5947FC935A5A38A2C1C2E5DD18C72AEB77C027CCDF62C8659584BBC150F8C7F73AA1F7CCC6649B5617AB04D191C87F66FDC375567BFC2w7BFJ" TargetMode="External"/><Relationship Id="rId103" Type="http://schemas.openxmlformats.org/officeDocument/2006/relationships/hyperlink" Target="consultantplus://offline/ref%3D67E5947FC935A5A38A2C1C2E5DD18C72AEB77C027CCDF62C8659584BBC150F8C7F73AA1F7CCC634FBA617AB04D191C87F66FDC375567BFC2w7BFJ" TargetMode="External"/><Relationship Id="rId104" Type="http://schemas.openxmlformats.org/officeDocument/2006/relationships/hyperlink" Target="consultantplus://offline/ref%3D67E5947FC935A5A38A2C1C2E5DD18C72AEB77C027CCDF62C8659584BBC150F8C7F73AA1F7CCC664BB3617AB04D191C87F66FDC375567BFC2w7BFJ" TargetMode="External"/><Relationship Id="rId105" Type="http://schemas.openxmlformats.org/officeDocument/2006/relationships/hyperlink" Target="consultantplus://offline/ref%3D67E5947FC935A5A38A2C1C2E5DD18C72AEB77C027CCDF62C8659584BBC150F8C7F73AA1F7FC86548B6617AB04D191C87F66FDC375567BFC2w7BFJ" TargetMode="External"/><Relationship Id="rId106" Type="http://schemas.openxmlformats.org/officeDocument/2006/relationships/hyperlink" Target="consultantplus://offline/ref%3D67E5947FC935A5A38A2C1C2E5DD18C72AEB77C027CCDF62C8659584BBC150F8C7F73AA1F7CCC614BBB617AB04D191C87F66FDC375567BFC2w7BFJ" TargetMode="External"/><Relationship Id="rId107" Type="http://schemas.openxmlformats.org/officeDocument/2006/relationships/hyperlink" Target="consultantplus://offline/ref%3D67E5947FC935A5A38A2C1C2E5DD18C72AEB77C027CCDF62C8659584BBC150F8C7F73AA1F7CCC614AB3617AB04D191C87F66FDC375567BFC2w7BFJ" TargetMode="External"/><Relationship Id="rId108" Type="http://schemas.openxmlformats.org/officeDocument/2006/relationships/hyperlink" Target="consultantplus://offline/ref%3D67E5947FC935A5A38A2C1C2E5DD18C72AEB77C027CCDF62C8659584BBC150F8C7F73AA1F7CCC614AB1617AB04D191C87F66FDC375567BFC2w7BFJ" TargetMode="External"/><Relationship Id="rId109" Type="http://schemas.openxmlformats.org/officeDocument/2006/relationships/hyperlink" Target="consultantplus://offline/ref%3D67E5947FC935A5A38A2C1C2E5DD18C72AEB77C027CCDF62C8659584BBC150F8C7F73AA1F7CCC614ABA617AB04D191C87F66FDC375567BFC2w7BFJ" TargetMode="External"/><Relationship Id="rId110" Type="http://schemas.openxmlformats.org/officeDocument/2006/relationships/hyperlink" Target="consultantplus://offline/ref%3D67E5947FC935A5A38A2C1C2E5DD18C72AEB77C027CCDF62C8659584BBC150F8C7F73AA1F7CCC614DB3617AB04D191C87F66FDC375567BFC2w7BFJ" TargetMode="External"/><Relationship Id="rId111" Type="http://schemas.openxmlformats.org/officeDocument/2006/relationships/hyperlink" Target="consultantplus://offline/ref%3D67E5947FC935A5A38A2C1C2E5DD18C72AEB77C027CCDF62C8659584BBC150F8C7F73AA1F7CCC6641B3617AB04D191C87F66FDC375567BFC2w7BFJ" TargetMode="External"/><Relationship Id="rId112" Type="http://schemas.openxmlformats.org/officeDocument/2006/relationships/hyperlink" Target="consultantplus://offline/ref%3D67E5947FC935A5A38A2C1C2E5DD18C72AEB77C027CCDF62C8659584BBC150F8C7F73AA1F7CCC6641B1617AB04D191C87F66FDC375567BFC2w7BFJ" TargetMode="External"/><Relationship Id="rId113" Type="http://schemas.openxmlformats.org/officeDocument/2006/relationships/hyperlink" Target="consultantplus://offline/ref%3D67E5947FC935A5A38A2C1C2E5DD18C72AEB77C027CCDF62C8659584BBC150F8C7F73AA1F7CCC6641B7617AB04D191C87F66FDC375567BFC2w7BFJ" TargetMode="External"/><Relationship Id="rId114" Type="http://schemas.openxmlformats.org/officeDocument/2006/relationships/hyperlink" Target="consultantplus://offline/ref%3D67E5947FC935A5A38A2C1C2E5DD18C72AEB77C027CCDF62C8659584BBC150F8C7F73AA1F7CCC6641B5617AB04D191C87F66FDC375567BFC2w7BFJ" TargetMode="External"/><Relationship Id="rId115" Type="http://schemas.openxmlformats.org/officeDocument/2006/relationships/hyperlink" Target="consultantplus://offline/ref%3D67E5947FC935A5A38A2C1C2E5DD18C72AEB77C027CCDF62C8659584BBC150F8C7F73AA1F7FC8654EB1617AB04D191C87F66FDC375567BFC2w7BFJ" TargetMode="External"/><Relationship Id="rId116" Type="http://schemas.openxmlformats.org/officeDocument/2006/relationships/hyperlink" Target="consultantplus://offline/ref%3D67E5947FC935A5A38A2C1C2E5DD18C72AEB77C027CCDF62C8659584BBC150F8C7F73AA1F7FC86540B5617AB04D191C87F66FDC375567BFC2w7BFJ" TargetMode="External"/><Relationship Id="rId117" Type="http://schemas.openxmlformats.org/officeDocument/2006/relationships/hyperlink" Target="consultantplus://offline/ref%3D67E5947FC935A5A38A2C1C2E5DD18C72AEB77C027CCDF62C8659584BBC150F8C7F73AA1F7FC86449B1617AB04D191C87F66FDC375567BFC2w7BFJ" TargetMode="External"/><Relationship Id="rId118" Type="http://schemas.openxmlformats.org/officeDocument/2006/relationships/hyperlink" Target="consultantplus://offline/ref%3D67E5947FC935A5A38A2C1C2E5DD18C72AEB77C027CCDF62C8659584BBC150F8C7F73AA1F7FC86448B1617AB04D191C87F66FDC375567BFC2w7BFJ" TargetMode="External"/><Relationship Id="rId119" Type="http://schemas.openxmlformats.org/officeDocument/2006/relationships/hyperlink" Target="consultantplus://offline/ref%3D67E5947FC935A5A38A2C1C2E5DD18C72AEB77C027CCDF62C8659584BBC150F8C7F73AA1F7CCC6141B6617AB04D191C87F66FDC375567BFC2w7BFJ" TargetMode="External"/><Relationship Id="rId120" Type="http://schemas.openxmlformats.org/officeDocument/2006/relationships/hyperlink" Target="consultantplus://offline/ref%3D67E5947FC935A5A38A2C1C2E5DD18C72AEB77C027CCDF62C8659584BBC150F8C7F73AA1F7FC8644AB7617AB04D191C87F66FDC375567BFC2w7BFJ" TargetMode="External"/><Relationship Id="rId121" Type="http://schemas.openxmlformats.org/officeDocument/2006/relationships/hyperlink" Target="consultantplus://offline/ref%3D67E5947FC935A5A38A2C1C2E5DD18C72AEB77C027CCDF62C8659584BBC150F8C7F73AA1F7FC8644DB2617AB04D191C87F66FDC375567BFC2w7BFJ" TargetMode="External"/><Relationship Id="rId122" Type="http://schemas.openxmlformats.org/officeDocument/2006/relationships/hyperlink" Target="consultantplus://offline/ref%3D67E5947FC935A5A38A2C1C2E5DD18C72AEB77C027CCDF62C8659584BBC150F8C7F73AA1F7FC8644DB1617AB04D191C87F66FDC375567BFC2w7BFJ" TargetMode="External"/><Relationship Id="rId123" Type="http://schemas.openxmlformats.org/officeDocument/2006/relationships/hyperlink" Target="consultantplus://offline/ref%3D67E5947FC935A5A38A2C1C2E5DD18C72AEB77C027CCDF62C8659584BBC150F8C7F73AA1F7FC8644CB4617AB04D191C87F66FDC375567BFC2w7BFJ" TargetMode="External"/><Relationship Id="rId124" Type="http://schemas.openxmlformats.org/officeDocument/2006/relationships/hyperlink" Target="consultantplus://offline/ref%3D67E5947FC935A5A38A2C1C2E5DD18C72AEB77C027CCDF62C8659584BBC150F8C7F73AA1F7FC8644FB6617AB04D191C87F66FDC375567BFC2w7BFJ" TargetMode="External"/><Relationship Id="rId125" Type="http://schemas.openxmlformats.org/officeDocument/2006/relationships/hyperlink" Target="consultantplus://offline/ref%3D67E5947FC935A5A38A2C1C2E5DD18C72AEB77C027CCDF62C8659584BBC150F8C7F73AA1F7FC8674DBA617AB04D191C87F66FDC375567BFC2w7BFJ" TargetMode="External"/><Relationship Id="rId126" Type="http://schemas.openxmlformats.org/officeDocument/2006/relationships/hyperlink" Target="consultantplus://offline/ref%3D67E5947FC935A5A38A2C1C2E5DD18C72AEB77C027CCDF62C8659584BBC150F8C7F73AA1F7FC86649BB617AB04D191C87F66FDC375567BFC2w7BFJ" TargetMode="External"/><Relationship Id="rId127" Type="http://schemas.openxmlformats.org/officeDocument/2006/relationships/hyperlink" Target="consultantplus://offline/ref%3D67E5947FC935A5A38A2C1C2E5DD18C72AEB77C027CCDF62C8659584BBC150F8C7F73AA1F7FCB6D4CB0617AB04D191C87F66FDC375567BFC2w7BFJ" TargetMode="External"/><Relationship Id="rId128" Type="http://schemas.openxmlformats.org/officeDocument/2006/relationships/hyperlink" Target="consultantplus://offline/ref%3D67E5947FC935A5A38A2C1C2E5DD18C72AEB77C027CCDF62C8659584BBC150F8C7F73AA1F7FCB6D4FB7617AB04D191C87F66FDC375567BFC2w7BFJ" TargetMode="External"/><Relationship Id="rId129" Type="http://schemas.openxmlformats.org/officeDocument/2006/relationships/hyperlink" Target="consultantplus://offline/ref%3D67E5947FC935A5A38A2C1C2E5DD18C72AEB77C027CCDF62C8659584BBC150F8C7F73AA1F7FCB624EB4617AB04D191C87F66FDC375567BFC2w7BFJ" TargetMode="External"/><Relationship Id="rId130" Type="http://schemas.openxmlformats.org/officeDocument/2006/relationships/hyperlink" Target="consultantplus://offline/ref%3D67E5947FC935A5A38A2C1C2E5DD18C72AEB77C027CCDF62C8659584BBC150F8C7F73AA1F7FCB6D4EBA617AB04D191C87F66FDC375567BFC2w7BFJ" TargetMode="External"/><Relationship Id="rId131" Type="http://schemas.openxmlformats.org/officeDocument/2006/relationships/hyperlink" Target="consultantplus://offline/ref%3D67E5947FC935A5A38A2C1C2E5DD18C72AEB77C027CCDF62C8659584BBC150F8C7F73AA1F7FCB6D41BA617AB04D191C87F66FDC375567BFC2w7BFJ" TargetMode="External"/><Relationship Id="rId132" Type="http://schemas.openxmlformats.org/officeDocument/2006/relationships/hyperlink" Target="consultantplus://offline/ref%3D67E5947FC935A5A38A2C1C2E5DD18C72AEB77C027CCDF62C8659584BBC150F8C7F73AA1F7FC8664CB2617AB04D191C87F66FDC375567BFC2w7BFJ" TargetMode="External"/><Relationship Id="rId133" Type="http://schemas.openxmlformats.org/officeDocument/2006/relationships/hyperlink" Target="consultantplus://offline/ref%3D67E5947FC935A5A38A2C1C2E5DD18C72AEB77C027CCDF62C8659584BBC150F8C7F73AA1F7FC86148B5617AB04D191C87F66FDC375567BFC2w7BFJ" TargetMode="External"/><Relationship Id="rId134" Type="http://schemas.openxmlformats.org/officeDocument/2006/relationships/hyperlink" Target="consultantplus://offline/ref%3D67E5947FC935A5A38A2C1C2E5DD18C72AEB77C027CCDF62C8659584BBC150F8C7F73AA1F7CCC624DBA617AB04D191C87F66FDC375567BFC2w7BFJ" TargetMode="External"/><Relationship Id="rId135" Type="http://schemas.openxmlformats.org/officeDocument/2006/relationships/hyperlink" Target="consultantplus://offline/ref%3D67E5947FC935A5A38A2C1C2E5DD18C72AEB77C027CCDF62C8659584BBC150F8C7F73AA1F7CCC624CB5617AB04D191C87F66FDC375567BFC2w7BFJ" TargetMode="External"/><Relationship Id="rId136" Type="http://schemas.openxmlformats.org/officeDocument/2006/relationships/hyperlink" Target="consultantplus://offline/ref%3D67E5947FC935A5A38A2C1C2E5DD18C72AEB77C027CCDF62C8659584BBC150F8C7F73AA1F7CCC624CBB617AB04D191C87F66FDC375567BFC2w7BFJ" TargetMode="External"/><Relationship Id="rId137" Type="http://schemas.openxmlformats.org/officeDocument/2006/relationships/hyperlink" Target="consultantplus://offline/ref%3D67E5947FC935A5A38A2C1C2E5DD18C72AEB77C027CCDF62C8659584BBC150F8C7F73AA1F7FC8614AB4617AB04D191C87F66FDC375567BFC2w7BFJ" TargetMode="External"/><Relationship Id="rId138" Type="http://schemas.openxmlformats.org/officeDocument/2006/relationships/hyperlink" Target="consultantplus://offline/ref%3D67E5947FC935A5A38A2C1C2E5DD18C72AEB77C027CCDF62C8659584BBC150F8C7F73AA1F7FC8614CB7617AB04D191C87F66FDC375567BFC2w7BFJ" TargetMode="External"/><Relationship Id="rId139" Type="http://schemas.openxmlformats.org/officeDocument/2006/relationships/hyperlink" Target="consultantplus://offline/ref%3D67E5947FC935A5A38A2C1C2E5DD18C72AEB77C027CCDF62C8659584BBC150F8C7F73AA1F7CCC6240B2617AB04D191C87F66FDC375567BFC2w7BFJ" TargetMode="External"/><Relationship Id="rId140" Type="http://schemas.openxmlformats.org/officeDocument/2006/relationships/hyperlink" Target="consultantplus://offline/ref%3D67E5947FC935A5A38A2C1C2E5DD18C72AEB77C027CCDF62C8659584BBC150F8C7F73AA1F7CCC6240B0617AB04D191C87F66FDC375567BFC2w7BFJ" TargetMode="External"/><Relationship Id="rId141" Type="http://schemas.openxmlformats.org/officeDocument/2006/relationships/hyperlink" Target="consultantplus://offline/ref%3D67E5947FC935A5A38A2C1C2E5DD18C72AEB77C027CCDF62C8659584BBC150F8C7F73AA1F7CCC6240B4617AB04D191C87F66FDC375567BFC2w7BFJ" TargetMode="External"/><Relationship Id="rId142" Type="http://schemas.openxmlformats.org/officeDocument/2006/relationships/hyperlink" Target="consultantplus://offline/ref%3D67E5947FC935A5A38A2C1C2E5DD18C72AEB77C027CCDF62C8659584BBC150F8C7F73AA1F7FC8614EBA617AB04D191C87F66FDC375567BFC2w7BFJ" TargetMode="External"/><Relationship Id="rId143" Type="http://schemas.openxmlformats.org/officeDocument/2006/relationships/hyperlink" Target="consultantplus://offline/ref%3D67E5947FC935A5A38A2C1C2E5DD18C72AEB77C027CCDF62C8659584BBC150F8C7F73AA1F7CCC6D48BA617AB04D191C87F66FDC375567BFC2w7BFJ" TargetMode="External"/><Relationship Id="rId144" Type="http://schemas.openxmlformats.org/officeDocument/2006/relationships/hyperlink" Target="consultantplus://offline/ref%3D67E5947FC935A5A38A2C1C2E5DD18C72AEB77C027CCDF62C8659584BBC150F8C7F73AA1F7FCB604EB7617AB04D191C87F66FDC375567BFC2w7BFJ" TargetMode="External"/><Relationship Id="rId145" Type="http://schemas.openxmlformats.org/officeDocument/2006/relationships/hyperlink" Target="consultantplus://offline/ref%3D67E5947FC935A5A38A2C1C2E5DD18C72AEB77C027CCDF62C8659584BBC150F8C7F73AA1F7FCB6341B7617AB04D191C87F66FDC375567BFC2w7BFJ" TargetMode="External"/><Relationship Id="rId146" Type="http://schemas.openxmlformats.org/officeDocument/2006/relationships/hyperlink" Target="consultantplus://offline/ref%3D67E5947FC935A5A38A2C1C2E5DD18C72AEB77C027CCDF62C8659584BBC150F8C7F73AA1F7FCB624DB0617AB04D191C87F66FDC375567BFC2w7BFJ" TargetMode="External"/><Relationship Id="rId147" Type="http://schemas.openxmlformats.org/officeDocument/2006/relationships/hyperlink" Target="consultantplus://offline/ref%3D67E5947FC935A5A38A2C1C2E5DD18C72AEB77C027CCDF62C8659584BBC150F8C7F73AA1F7FCB6241B4617AB04D191C87F66FDC375567BFC2w7BFJ" TargetMode="External"/><Relationship Id="rId148" Type="http://schemas.openxmlformats.org/officeDocument/2006/relationships/hyperlink" Target="consultantplus://offline/ref%3D67E5947FC935A5A38A2C1C2E5DD18C72AEB77C027CCDF62C8659584BBC150F8C7F73AA1F7FCB6D49B5617AB04D191C87F66FDC375567BFC2w7BFJ" TargetMode="External"/><Relationship Id="rId149" Type="http://schemas.openxmlformats.org/officeDocument/2006/relationships/hyperlink" Target="consultantplus://offline/ref%3D67E5947FC935A5A38A2C1C2E5DD18C72AEB77C027CCDF62C8659584BBC150F8C7F73AA1F7FCB6D4BBA617AB04D191C87F66FDC375567BFC2w7BFJ" TargetMode="External"/><Relationship Id="rId150" Type="http://schemas.openxmlformats.org/officeDocument/2006/relationships/hyperlink" Target="consultantplus://offline/ref%3D67E5947FC935A5A38A2C1C2E5DD18C72AEB77C027CCDF62C8659584BBC150F8C7F73AA1F7FCB6C41B5617AB04D191C87F66FDC375567BFC2w7BFJ" TargetMode="External"/><Relationship Id="rId151" Type="http://schemas.openxmlformats.org/officeDocument/2006/relationships/hyperlink" Target="consultantplus://offline/ref%3D67E5947FC935A5A38A2C1C2E5DD18C72AEB77C027CCDF62C8659584BBC150F8C7F73AA1F7FCB6C40B5617AB04D191C87F66FDC375567BFC2w7BFJ" TargetMode="External"/><Relationship Id="rId152" Type="http://schemas.openxmlformats.org/officeDocument/2006/relationships/hyperlink" Target="consultantplus://offline/ref%3D67E5947FC935A5A38A2C1C2E5DD18C72AEB77C027CCDF62C8659584BBC150F8C7F73AA1F7FC86541BB617AB04D191C87F66FDC375567BFC2w7BFJ" TargetMode="External"/><Relationship Id="rId153" Type="http://schemas.openxmlformats.org/officeDocument/2006/relationships/hyperlink" Target="consultantplus://offline/ref%3D67E5947FC935A5A38A2C1C2E5DD18C72AEB77C027CCDF62C8659584BBC150F8C7F73AA1F7FC8644BB7617AB04D191C87F66FDC375567BFC2w7BFJ" TargetMode="External"/><Relationship Id="rId154" Type="http://schemas.openxmlformats.org/officeDocument/2006/relationships/hyperlink" Target="consultantplus://offline/ref%3D67E5947FC935A5A38A2C1C2E5DD18C72AEB77C027CCDF62C8659584BBC150F8C7F73AA1F7FC8644DB5617AB04D191C87F66FDC375567BFC2w7BFJ" TargetMode="External"/><Relationship Id="rId155" Type="http://schemas.openxmlformats.org/officeDocument/2006/relationships/hyperlink" Target="consultantplus://offline/ref%3D67E5947FC935A5A38A2C1C2E5DD18C72AEB77C027CCDF62C8659584BBC150F8C7F73AA1F7FC8644FB1617AB04D191C87F66FDC375567BFC2w7BFJ" TargetMode="External"/><Relationship Id="rId156" Type="http://schemas.openxmlformats.org/officeDocument/2006/relationships/hyperlink" Target="consultantplus://offline/ref%3D67E5947FC935A5A38A2C1C2E5DD18C72AEB77C027CCDF62C8659584BBC150F8C7F73AA1F7FC8644FB0617AB04D191C87F66FDC375567BFC2w7BFJ" TargetMode="External"/><Relationship Id="rId157" Type="http://schemas.openxmlformats.org/officeDocument/2006/relationships/hyperlink" Target="consultantplus://offline/ref%3D67E5947FC935A5A38A2C1C2E5DD18C72AEB77C027CCDF62C8659584BBC150F8C7F73AA1F7FC8644EB4617AB04D191C87F66FDC375567BFC2w7BFJ" TargetMode="External"/><Relationship Id="rId158" Type="http://schemas.openxmlformats.org/officeDocument/2006/relationships/hyperlink" Target="consultantplus://offline/ref%3D67E5947FC935A5A38A2C1C2E5DD18C72AEB77C027CCDF62C8659584BBC150F8C7F73AA1F7FC86748B0617AB04D191C87F66FDC375567BFC2w7BFJ" TargetMode="External"/><Relationship Id="rId159" Type="http://schemas.openxmlformats.org/officeDocument/2006/relationships/hyperlink" Target="consultantplus://offline/ref%3D67E5947FC935A5A38A2C1C2E5DD18C72AEB77C027CCDF62C8659584BBC150F8C7F73AA1F7FC8674BBA617AB04D191C87F66FDC375567BFC2w7BFJ" TargetMode="External"/><Relationship Id="rId160" Type="http://schemas.openxmlformats.org/officeDocument/2006/relationships/hyperlink" Target="consultantplus://offline/ref%3D67E5947FC935A5A38A2C1C2E5DD18C72AEB77C027CCDF62C8659584BBC150F8C7F73AA1F7FC8674CB0617AB04D191C87F66FDC375567BFC2w7BFJ" TargetMode="External"/><Relationship Id="rId161" Type="http://schemas.openxmlformats.org/officeDocument/2006/relationships/hyperlink" Target="consultantplus://offline/ref%3D67E5947FC935A5A38A2C1C2E5DD18C72AEB77C027CCDF62C8659584BBC150F8C7F73AA1F7FC8674EB5617AB04D191C87F66FDC375567BFC2w7BFJ" TargetMode="External"/><Relationship Id="rId162" Type="http://schemas.openxmlformats.org/officeDocument/2006/relationships/hyperlink" Target="consultantplus://offline/ref%3D67E5947FC935A5A38A2C1C2E5DD18C72AEB77C027CCDF62C8659584BBC150F8C7F73AA1F7FC86740B7617AB04D191C87F66FDC375567BFC2w7BFJ" TargetMode="External"/><Relationship Id="rId163" Type="http://schemas.openxmlformats.org/officeDocument/2006/relationships/hyperlink" Target="consultantplus://offline/ref%3D67E5947FC935A5A38A2C1C2E5DD18C72AEB77C027CCDF62C8659584BBC150F8C7F73AA1F7FC8664BB6617AB04D191C87F66FDC375567BFC2w7BFJ" TargetMode="External"/><Relationship Id="rId164" Type="http://schemas.openxmlformats.org/officeDocument/2006/relationships/hyperlink" Target="consultantplus://offline/ref%3D67E5947FC935A5A38A2C1C2E5DD18C72AEB77C027CCDF62C8659584BBC150F8C7F73AA1F7FCB6D4BB2617AB04D191C87F66FDC375567BFC2w7BFJ" TargetMode="External"/><Relationship Id="rId165" Type="http://schemas.openxmlformats.org/officeDocument/2006/relationships/hyperlink" Target="consultantplus://offline/ref%3D67E5947FC935A5A38A2C1C2E5DD18C72AEB77C027CCDF62C8659584BBC150F8C7F73AA1F7FC86448B3617AB04D191C87F66FDC375567BFC2w7BFJ" TargetMode="External"/><Relationship Id="rId166" Type="http://schemas.openxmlformats.org/officeDocument/2006/relationships/hyperlink" Target="consultantplus://offline/ref%3D67E5947FC935A5A38A2C1C2E5DD18C72AEB77C027CCDF62C8659584BBC150F8C7F73AA1F7FC86540B6617AB04D191C87F66FDC375567BFC2w7BFJ" TargetMode="External"/><Relationship Id="rId167" Type="http://schemas.openxmlformats.org/officeDocument/2006/relationships/hyperlink" Target="consultantplus://offline/ref%3D67E5947FC935A5A38A2C1C2E5DD18C72AEB77C027CCDF62C8659584BBC150F8C7F73AA1F7FC86448B0617AB04D191C87F66FDC375567BFC2w7BFJ" TargetMode="External"/><Relationship Id="rId168" Type="http://schemas.openxmlformats.org/officeDocument/2006/relationships/hyperlink" Target="consultantplus://offline/ref%3D67E5947FC935A5A38A2C1C2E5DD18C72AEB77C027CCDF62C8659584BBC150F8C7F73AA1F7FC86749BA617AB04D191C87F66FDC375567BFC2w7BFJ" TargetMode="External"/><Relationship Id="rId169" Type="http://schemas.openxmlformats.org/officeDocument/2006/relationships/hyperlink" Target="consultantplus://offline/ref%3D67E5947FC935A5A38A2C1C2E5DD18C72AEB77C027CCDF62C8659584BBC150F8C7F73AA1F7CCC6349B1617AB04D191C87F66FDC375567BFC2w7BFJ" TargetMode="External"/><Relationship Id="rId170" Type="http://schemas.openxmlformats.org/officeDocument/2006/relationships/hyperlink" Target="consultantplus://offline/ref%3D67E5947FC935A5A38A2C1C2E5DD18C72AEB77C027CCDF62C8659584BBC150F8C7F73AA1F7CCC6349B7617AB04D191C87F66FDC375567BFC2w7BFJ" TargetMode="External"/><Relationship Id="rId171" Type="http://schemas.openxmlformats.org/officeDocument/2006/relationships/hyperlink" Target="consultantplus://offline/ref%3D67E5947FC935A5A38A2C1C2E5DD18C72AEB77C027CCDF62C8659584BBC150F8C7F73AA1F7CCC634FB6617AB04D191C87F66FDC375567BFC2w7BFJ" TargetMode="External"/><Relationship Id="rId172" Type="http://schemas.openxmlformats.org/officeDocument/2006/relationships/hyperlink" Target="consultantplus://offline/ref%3D67E5947FC935A5A38A2C1C2E5DD18C72AEB77C027CCDF62C8659584BBC150F8C7F73AA1F7CCC634FB4617AB04D191C87F66FDC375567BFC2w7BFJ" TargetMode="External"/><Relationship Id="rId173" Type="http://schemas.openxmlformats.org/officeDocument/2006/relationships/hyperlink" Target="consultantplus://offline/ref%3D67E5947FC935A5A38A2C1C2E5DD18C72AEB77C027CCDF62C8659584BBC150F8C7F73AA1F7FC8664FB3617AB04D191C87F66FDC375567BFC2w7BFJ" TargetMode="External"/><Relationship Id="rId174" Type="http://schemas.openxmlformats.org/officeDocument/2006/relationships/hyperlink" Target="consultantplus://offline/ref%3D67E5947FC935A5A38A2C1C2E5DD18C72AEB77C027CCDF62C8659584BBC150F8C7F73AA1F7FC8664EB2617AB04D191C87F66FDC375567BFC2w7BFJ" TargetMode="External"/><Relationship Id="rId175" Type="http://schemas.openxmlformats.org/officeDocument/2006/relationships/hyperlink" Target="consultantplus://offline/ref%3D67E5947FC935A5A38A2C1C2E5DD18C72AEB77C027CCDF62C8659584BBC150F8C7F73AA1F7FC86641B7617AB04D191C87F66FDC375567BFC2w7BFJ" TargetMode="External"/><Relationship Id="rId176" Type="http://schemas.openxmlformats.org/officeDocument/2006/relationships/hyperlink" Target="consultantplus://offline/ref%3D67E5947FC935A5A38A2C1C2E5DD18C72AEB77C027CCDF62C8659584BBC150F8C7F73AA1F7FC86640B5617AB04D191C87F66FDC375567BFC2w7BFJ" TargetMode="External"/><Relationship Id="rId177" Type="http://schemas.openxmlformats.org/officeDocument/2006/relationships/hyperlink" Target="consultantplus://offline/ref%3D67E5947FC935A5A38A2C1C2E5DD18C72AEB77C027CCDF62C8659584BBC150F8C7F73AA1F7BCA6340B3617AB04D191C87F66FDC375567BFC2w7BFJ" TargetMode="External"/><Relationship Id="rId178" Type="http://schemas.openxmlformats.org/officeDocument/2006/relationships/hyperlink" Target="consultantplus://offline/ref%3D67E5947FC935A5A38A2C1C2E5DD18C72AEB77C027CCDF62C8659584BBC150F8C7F73AA1F7BCA6340B2617AB04D191C87F66FDC375567BFC2w7BFJ" TargetMode="External"/><Relationship Id="rId179" Type="http://schemas.openxmlformats.org/officeDocument/2006/relationships/hyperlink" Target="consultantplus://offline/ref%3D67E5947FC935A5A38A2C1C2E5DD18C72AEB77C027CCDF62C8659584BBC150F8C7F73AA1F7ECF654EB2617AB04D191C87F66FDC375567BFC2w7BFJ" TargetMode="External"/><Relationship Id="rId180" Type="http://schemas.openxmlformats.org/officeDocument/2006/relationships/hyperlink" Target="consultantplus://offline/ref%3D67E5947FC935A5A38A2C1C2E5DD18C72AEB77C027CCDF62C8659584BBC150F8C7F73AA1F7BCA624CB3617AB04D191C87F66FDC375567BFC2w7BFJ" TargetMode="External"/><Relationship Id="rId181" Type="http://schemas.openxmlformats.org/officeDocument/2006/relationships/hyperlink" Target="consultantplus://offline/ref%3D67E5947FC935A5A38A2C1C2E5DD18C72AEB77C027CCDF62C8659584BBC150F8C7F73AA1F7BCA624CB1617AB04D191C87F66FDC375567BFC2w7BFJ" TargetMode="External"/><Relationship Id="rId182" Type="http://schemas.openxmlformats.org/officeDocument/2006/relationships/hyperlink" Target="consultantplus://offline/ref%3D67E5947FC935A5A38A2C1C2E5DD18C72AEB77C027CCDF62C8659584BBC150F8C7F73AA1F7BCA624CB5617AB04D191C87F66FDC375567BFC2w7BFJ" TargetMode="External"/><Relationship Id="rId183" Type="http://schemas.openxmlformats.org/officeDocument/2006/relationships/hyperlink" Target="consultantplus://offline/ref%3D67E5947FC935A5A38A2C1C2E5DD18C72AEB77C027CCDF62C8659584BBC150F8C7F73AA1F7BCA624AB7617AB04D191C87F66FDC375567BFC2w7BFJ" TargetMode="External"/><Relationship Id="rId184" Type="http://schemas.openxmlformats.org/officeDocument/2006/relationships/hyperlink" Target="consultantplus://offline/ref%3D67E5947FC935A5A38A2C1C2E5DD18C72AEB77C027CCDF62C8659584BBC150F8C7F73AA1F7BCA624AB5617AB04D191C87F66FDC375567BFC2w7BFJ" TargetMode="External"/><Relationship Id="rId185" Type="http://schemas.openxmlformats.org/officeDocument/2006/relationships/hyperlink" Target="consultantplus://offline/ref%3D67E5947FC935A5A38A2C1C2E5DD18C72AEB77C027CCDF62C8659584BBC150F8C7F73AA1F7BCA624AB4617AB04D191C87F66FDC375567BFC2w7BFJ" TargetMode="External"/><Relationship Id="rId186" Type="http://schemas.openxmlformats.org/officeDocument/2006/relationships/hyperlink" Target="consultantplus://offline/ref%3D67E5947FC935A5A38A2C1C2E5DD18C72AEB77C027CCDF62C8659584BBC150F8C7F73AA1F7FCC6C4DBA617AB04D191C87F66FDC375567BFC2w7BFJ" TargetMode="External"/><Relationship Id="rId187" Type="http://schemas.openxmlformats.org/officeDocument/2006/relationships/hyperlink" Target="consultantplus://offline/ref%3D67E5947FC935A5A38A2C1C2E5DD18C72AEB77C027CCDF62C8659584BBC150F8C7F73AA1F7BCA624FB3617AB04D191C87F66FDC375567BFC2w7BFJ" TargetMode="External"/><Relationship Id="rId188" Type="http://schemas.openxmlformats.org/officeDocument/2006/relationships/hyperlink" Target="consultantplus://offline/ref%3D67E5947FC935A5A38A2C1C2E5DD18C72AEB77C027CCDF62C8659584BBC150F8C7F73AA1F7BCA624FB2617AB04D191C87F66FDC375567BFC2w7BFJ" TargetMode="External"/><Relationship Id="rId189" Type="http://schemas.openxmlformats.org/officeDocument/2006/relationships/hyperlink" Target="consultantplus://offline/ref%3D67E5947FC935A5A38A2C1C2E5DD18C72AEB77C027CCDF62C8659584BBC150F8C7F73AA1F7BCA624FB1617AB04D191C87F66FDC375567BFC2w7BFJ" TargetMode="External"/><Relationship Id="rId190" Type="http://schemas.openxmlformats.org/officeDocument/2006/relationships/hyperlink" Target="consultantplus://offline/ref%3D67E5947FC935A5A38A2C1C2E5DD18C72AEB77C027CCDF62C8659584BBC150F8C7F73AA1F7BC86541B7617AB04D191C87F66FDC375567BFC2w7BFJ" TargetMode="External"/><Relationship Id="rId191" Type="http://schemas.openxmlformats.org/officeDocument/2006/relationships/hyperlink" Target="consultantplus://offline/ref%3D67E5947FC935A5A38A2C1C2E5DD18C72AEB77C027CCDF62C8659584BBC150F8C7F73AA1F7BC8644DBA617AB04D191C87F66FDC375567BFC2w7BFJ" TargetMode="External"/><Relationship Id="rId192" Type="http://schemas.openxmlformats.org/officeDocument/2006/relationships/hyperlink" Target="consultantplus://offline/ref%3D67E5947FC935A5A38A2C1C2E5DD18C72AEB77C027CCDF62C8659584BBC150F8C7F73AA1F7CCD654AB5617AB04D191C87F66FDC375567BFC2w7BFJ" TargetMode="External"/><Relationship Id="rId193" Type="http://schemas.openxmlformats.org/officeDocument/2006/relationships/hyperlink" Target="consultantplus://offline/ref%3D67E5947FC935A5A38A2C1C2E5DD18C72AEB77C027CCDF62C8659584BBC150F8C7F73AA1F7CCD654DB3617AB04D191C87F66FDC375567BFC2w7BFJ" TargetMode="External"/><Relationship Id="rId194" Type="http://schemas.openxmlformats.org/officeDocument/2006/relationships/hyperlink" Target="consultantplus://offline/ref%3D67E5947FC935A5A38A2C1C2E5DD18C72AEB77C027CCDF62C8659584BBC150F8C7F73AA1F7BC8644ABA617AB04D191C87F66FDC375567BFC2w7BFJ" TargetMode="External"/><Relationship Id="rId195" Type="http://schemas.openxmlformats.org/officeDocument/2006/relationships/hyperlink" Target="consultantplus://offline/ref%3D67E5947FC935A5A38A2C1C2E5DD18C72AEB77C027CCDF62C8659584BBC150F8C7F73AA1F7BC8644DB0617AB04D191C87F66FDC375567BFC2w7BFJ" TargetMode="External"/><Relationship Id="rId196" Type="http://schemas.openxmlformats.org/officeDocument/2006/relationships/hyperlink" Target="consultantplus://offline/ref%3D67E5947FC935A5A38A2C1C2E5DD18C72AEB77C027CCDF62C8659584BBC150F8C7F73AA1F7BC36148B3617AB04D191C87F66FDC375567BFC2w7BFJ" TargetMode="External"/><Relationship Id="rId197" Type="http://schemas.openxmlformats.org/officeDocument/2006/relationships/hyperlink" Target="consultantplus://offline/ref%3D67E5947FC935A5A38A2C1C2E5DD18C72AEB77C027CCDF62C8659584BBC150F8C7F73AA1F7BC36148B2617AB04D191C87F66FDC375567BFC2w7BFJ" TargetMode="External"/><Relationship Id="rId198" Type="http://schemas.openxmlformats.org/officeDocument/2006/relationships/hyperlink" Target="consultantplus://offline/ref%3D67E5947FC935A5A38A2C1C2E5DD18C72AEB77C027CCDF62C8659584BBC150F8C7F73AA1F7AC9654DB2617AB04D191C87F66FDC375567BFC2w7BFJ" TargetMode="External"/><Relationship Id="rId199" Type="http://schemas.openxmlformats.org/officeDocument/2006/relationships/hyperlink" Target="consultantplus://offline/ref%3D67E5947FC935A5A38A2C1C2E5DD18C72AEB77C027CCDF62C8659584BBC150F8C7F73AA1F7AC9654DB0617AB04D191C87F66FDC375567BFC2w7BFJ" TargetMode="External"/><Relationship Id="rId200" Type="http://schemas.openxmlformats.org/officeDocument/2006/relationships/hyperlink" Target="consultantplus://offline/ref%3D67E5947FC935A5A38A2C1C2E5DD18C72AEB77C027CCDF62C8659584BBC150F8C7F73AA1F7CCD6548BA617AB04D191C87F66FDC375567BFC2w7BFJ" TargetMode="External"/><Relationship Id="rId201" Type="http://schemas.openxmlformats.org/officeDocument/2006/relationships/hyperlink" Target="consultantplus://offline/ref%3D67E5947FC935A5A38A2C1C2E5DD18C72AEB77C027CCDF62C8659584BBC150F8C7F73AA1F7BCA664EB4617AB04D191C87F66FDC375567BFC2w7BFJ" TargetMode="External"/><Relationship Id="rId202" Type="http://schemas.openxmlformats.org/officeDocument/2006/relationships/hyperlink" Target="consultantplus://offline/ref%3D67E5947FC935A5A38A2C1C2E5DD18C72AEB77C027CCDF62C8659584BBC150F8C7F73AA1F7BCA6641B5617AB04D191C87F66FDC375567BFC2w7BFJ" TargetMode="External"/><Relationship Id="rId203" Type="http://schemas.openxmlformats.org/officeDocument/2006/relationships/hyperlink" Target="consultantplus://offline/ref%3D67E5947FC935A5A38A2C1C2E5DD18C72AEB77C027CCDF62C8659584BBC150F8C7F73AA1F7BCA6141B2617AB04D191C87F66FDC375567BFC2w7BFJ" TargetMode="External"/><Relationship Id="rId204" Type="http://schemas.openxmlformats.org/officeDocument/2006/relationships/hyperlink" Target="consultantplus://offline/ref%3D67E5947FC935A5A38A2C1C2E5DD18C72AEB77C027CCDF62C8659584BBC150F8C7F73AA1F7BCA6141BA617AB04D191C87F66FDC375567BFC2w7BFJ" TargetMode="External"/><Relationship Id="rId205" Type="http://schemas.openxmlformats.org/officeDocument/2006/relationships/hyperlink" Target="consultantplus://offline/ref%3D67E5947FC935A5A38A2C1C2E5DD18C72AEB77C027CCDF62C8659584BBC150F8C7F73AA1F7BC26541B5617AB04D191C87F66FDC375567BFC2w7BFJ" TargetMode="External"/><Relationship Id="rId206" Type="http://schemas.openxmlformats.org/officeDocument/2006/relationships/hyperlink" Target="consultantplus://offline/ref%3D67E5947FC935A5A38A2C1C2E5DD18C72AEB77C027CCDF62C8659584BBC150F8C7F73AA1F7BCA664EB2617AB04D191C87F66FDC375567BFC2w7BFJ" TargetMode="External"/><Relationship Id="rId207" Type="http://schemas.openxmlformats.org/officeDocument/2006/relationships/hyperlink" Target="consultantplus://offline/ref%3D67E5947FC935A5A38A2C1C2E5DD18C72AEB77C027CCDF62C8659584BBC150F8C7F73AA1F7BCA664EB6617AB04D191C87F66FDC375567BFC2w7BFJ" TargetMode="External"/><Relationship Id="rId208" Type="http://schemas.openxmlformats.org/officeDocument/2006/relationships/hyperlink" Target="consultantplus://offline/ref%3D67E5947FC935A5A38A2C1C2E5DD18C72AEB77C027CCDF62C8659584BBC150F8C7F73AA1F7BCA6640B7617AB04D191C87F66FDC375567BFC2w7BFJ" TargetMode="External"/><Relationship Id="rId209" Type="http://schemas.openxmlformats.org/officeDocument/2006/relationships/hyperlink" Target="consultantplus://offline/ref%3D67E5947FC935A5A38A2C1C2E5DD18C72AEB77C027CCDF62C8659584BBC150F8C7F73AA1F7FCC6049B7617AB04D191C87F66FDC375567BFC2w7BFJ" TargetMode="External"/><Relationship Id="rId210" Type="http://schemas.openxmlformats.org/officeDocument/2006/relationships/hyperlink" Target="consultantplus://offline/ref%3D67E5947FC935A5A38A2C1C2E5DD18C72AEB77C027CCDF62C8659584BBC150F8C7F73AA1F7BCA6149BB617AB04D191C87F66FDC375567BFC2w7BFJ" TargetMode="External"/><Relationship Id="rId211" Type="http://schemas.openxmlformats.org/officeDocument/2006/relationships/hyperlink" Target="consultantplus://offline/ref%3D67E5947FC935A5A38A2C1C2E5DD18C72AEB77C027CCDF62C8659584BBC150F8C7F73AA1F7BCA6148B0617AB04D191C87F66FDC375567BFC2w7BFJ" TargetMode="External"/><Relationship Id="rId212" Type="http://schemas.openxmlformats.org/officeDocument/2006/relationships/hyperlink" Target="consultantplus://offline/ref%3D67E5947FC935A5A38A2C1C2E5DD18C72AEB77C027CCDF62C8659584BBC150F8C7F73AA1F7BCA6148BA617AB04D191C87F66FDC375567BFC2w7BFJ" TargetMode="External"/><Relationship Id="rId213" Type="http://schemas.openxmlformats.org/officeDocument/2006/relationships/hyperlink" Target="consultantplus://offline/ref%3D67E5947FC935A5A38A2C1C2E5DD18C72AEB77C027CCDF62C8659584BBC150F8C7F73AA1F7BCA614BB5617AB04D191C87F66FDC375567BFC2w7BFJ" TargetMode="External"/><Relationship Id="rId214" Type="http://schemas.openxmlformats.org/officeDocument/2006/relationships/hyperlink" Target="consultantplus://offline/ref%3D67E5947FC935A5A38A2C1C2E5DD18C72AEB77C027CCDF62C8659584BBC150F8C7F73AA1F7BCA614AB3617AB04D191C87F66FDC375567BFC2w7BFJ" TargetMode="External"/><Relationship Id="rId215" Type="http://schemas.openxmlformats.org/officeDocument/2006/relationships/hyperlink" Target="consultantplus://offline/ref%3D67E5947FC935A5A38A2C1C2E5DD18C72AEB77C027CCDF62C8659584BBC150F8C7F73AA1F7BCA614DB6617AB04D191C87F66FDC375567BFC2w7BFJ" TargetMode="External"/><Relationship Id="rId216" Type="http://schemas.openxmlformats.org/officeDocument/2006/relationships/hyperlink" Target="consultantplus://offline/ref%3D67E5947FC935A5A38A2C1C2E5DD18C72AEB77C027CCDF62C8659584BBC150F8C7F73AA1F7BCA614CB3617AB04D191C87F66FDC375567BFC2w7BFJ" TargetMode="External"/><Relationship Id="rId217" Type="http://schemas.openxmlformats.org/officeDocument/2006/relationships/hyperlink" Target="consultantplus://offline/ref%3D67E5947FC935A5A38A2C1C2E5DD18C72AEB77C027CCDF62C8659584BBC150F8C7F73AA1F7BCA614CB6617AB04D191C87F66FDC375567BFC2w7BFJ" TargetMode="External"/><Relationship Id="rId218" Type="http://schemas.openxmlformats.org/officeDocument/2006/relationships/hyperlink" Target="consultantplus://offline/ref%3D67E5947FC935A5A38A2C1C2E5DD18C72AEB77C027CCDF62C8659584BBC150F8C7F73AA1F7BCA614FB1617AB04D191C87F66FDC375567BFC2w7BFJ" TargetMode="External"/><Relationship Id="rId219" Type="http://schemas.openxmlformats.org/officeDocument/2006/relationships/hyperlink" Target="consultantplus://offline/ref%3D67E5947FC935A5A38A2C1C2E5DD18C72AEB77C027CCDF62C8659584BBC150F8C7F73AA1F7BCA614EB1617AB04D191C87F66FDC375567BFC2w7BFJ" TargetMode="External"/><Relationship Id="rId220" Type="http://schemas.openxmlformats.org/officeDocument/2006/relationships/hyperlink" Target="consultantplus://offline/ref%3D67E5947FC935A5A38A2C1C2E5DD18C72AEB77C027CCDF62C8659584BBC150F8C7F73AA1F7BCA6140BA617AB04D191C87F66FDC375567BFC2w7BFJ" TargetMode="External"/><Relationship Id="rId221" Type="http://schemas.openxmlformats.org/officeDocument/2006/relationships/hyperlink" Target="consultantplus://offline/ref%3D67E5947FC935A5A38A2C1C2E5DD18C72AEB77C027CCDF62C8659584BBC150F8C7F73AA1F7BCA6049B2617AB04D191C87F66FDC375567BFC2w7BFJ" TargetMode="External"/><Relationship Id="rId222" Type="http://schemas.openxmlformats.org/officeDocument/2006/relationships/hyperlink" Target="consultantplus://offline/ref%3D67E5947FC935A5A38A2C1C2E5DD18C72AEB77C027CCDF62C8659584BBC150F8C7F73AA1F7BCA6049BB617AB04D191C87F66FDC375567BFC2w7BFJ" TargetMode="External"/><Relationship Id="rId223" Type="http://schemas.openxmlformats.org/officeDocument/2006/relationships/hyperlink" Target="consultantplus://offline/ref%3D67E5947FC935A5A38A2C1C2E5DD18C72AEB77C027CCDF62C8659584BBC150F8C7F73AA1F7BCA6049BA617AB04D191C87F66FDC375567BFC2w7BFJ" TargetMode="External"/><Relationship Id="rId224" Type="http://schemas.openxmlformats.org/officeDocument/2006/relationships/hyperlink" Target="consultantplus://offline/ref%3D67E5947FC935A5A38A2C1C2E5DD18C72AEB77C027CCDF62C8659584BBC150F8C7F73AA1F7BCA6748B6617AB04D191C87F66FDC375567BFC2w7BFJ" TargetMode="External"/><Relationship Id="rId225" Type="http://schemas.openxmlformats.org/officeDocument/2006/relationships/hyperlink" Target="consultantplus://offline/ref%3D67E5947FC935A5A38A2C1C2E5DD18C72AEB77C027CCDF62C8659584BBC150F8C7F73AA1F7BCA674BB3617AB04D191C87F66FDC375567BFC2w7BFJ" TargetMode="External"/><Relationship Id="rId226" Type="http://schemas.openxmlformats.org/officeDocument/2006/relationships/hyperlink" Target="consultantplus://offline/ref%3D67E5947FC935A5A38A2C1C2E5DD18C72AEB77C027CCDF62C8659584BBC150F8C7F73AA1F7BCA674ABA617AB04D191C87F66FDC375567BFC2w7BFJ" TargetMode="External"/><Relationship Id="rId227" Type="http://schemas.openxmlformats.org/officeDocument/2006/relationships/hyperlink" Target="consultantplus://offline/ref%3D67E5947FC935A5A38A2C1C2E5DD18C72AEB77C027CCDF62C8659584BBC150F8C7F73AA1F7BCA674DB5617AB04D191C87F66FDC375567BFC2w7BFJ" TargetMode="External"/><Relationship Id="rId228" Type="http://schemas.openxmlformats.org/officeDocument/2006/relationships/hyperlink" Target="consultantplus://offline/ref%3D67E5947FC935A5A38A2C1C2E5DD18C72AEB77C027CCDF62C8659584BBC150F8C7F73AA1F7BCA674CB3617AB04D191C87F66FDC375567BFC2w7BFJ" TargetMode="External"/><Relationship Id="rId229" Type="http://schemas.openxmlformats.org/officeDocument/2006/relationships/hyperlink" Target="consultantplus://offline/ref%3D67E5947FC935A5A38A2C1C2E5DD18C72AEB77C027CCDF62C8659584BBC150F8C7F73AA1F7BCA674CB6617AB04D191C87F66FDC375567BFC2w7BFJ" TargetMode="External"/><Relationship Id="rId230" Type="http://schemas.openxmlformats.org/officeDocument/2006/relationships/hyperlink" Target="consultantplus://offline/ref%3D67E5947FC935A5A38A2C1C2E5DD18C72AEB77C027CCDF62C8659584BBC150F8C7F73AA1F7BCA6741B1617AB04D191C87F66FDC375567BFC2w7BFJ" TargetMode="External"/><Relationship Id="rId231" Type="http://schemas.openxmlformats.org/officeDocument/2006/relationships/hyperlink" Target="consultantplus://offline/ref%3D67E5947FC935A5A38A2C1C2E5DD18C72AEB77C027CCDF62C8659584BBC150F8C7F73AA1F7BCA664CB6617AB04D191C87F66FDC375567BFC2w7BFJ" TargetMode="External"/><Relationship Id="rId232" Type="http://schemas.openxmlformats.org/officeDocument/2006/relationships/hyperlink" Target="consultantplus://offline/ref%3D67E5947FC935A5A38A2C1C2E5DD18C72AEB77C027CCDF62C8659584BBC150F8C7F73AA1F7BCA6640B6617AB04D191C87F66FDC375567BFC2w7BFJ" TargetMode="External"/><Relationship Id="rId233" Type="http://schemas.openxmlformats.org/officeDocument/2006/relationships/hyperlink" Target="consultantplus://offline/ref%3D67E5947FC935A5A38A2C1C2E5DD18C72AEB77C027CCDF62C8659584BBC150F8C7F73AA1F7BCA6641BB617AB04D191C87F66FDC375567BFC2w7BFJ" TargetMode="External"/><Relationship Id="rId234" Type="http://schemas.openxmlformats.org/officeDocument/2006/relationships/hyperlink" Target="consultantplus://offline/ref%3D67E5947FC935A5A38A2C1C2E5DD18C72AEB77C027CCDF62C8659584BBC150F8C7F73AA1F7BCA6141B0617AB04D191C87F66FDC375567BFC2w7BFJ" TargetMode="External"/><Relationship Id="rId235" Type="http://schemas.openxmlformats.org/officeDocument/2006/relationships/hyperlink" Target="consultantplus://offline/ref%3D67E5947FC935A5A38A2C1C2E5DD18C72AEB77C027CCDF62C8659584BBC150F8C7F73AA1F7ACA6548BA617AB04D191C87F66FDC375567BFC2w7BFJ" TargetMode="External"/><Relationship Id="rId236" Type="http://schemas.openxmlformats.org/officeDocument/2006/relationships/hyperlink" Target="consultantplus://offline/ref%3D67E5947FC935A5A38A2C1C2E5DD18C72AEB77C027CCDF62C8659584BBC150F8C7F73AA1F7ACA654BB1617AB04D191C87F66FDC375567BFC2w7BFJ" TargetMode="External"/><Relationship Id="rId237" Type="http://schemas.openxmlformats.org/officeDocument/2006/relationships/hyperlink" Target="consultantplus://offline/ref%3D67E5947FC935A5A38A2C1C2E5DD18C72AEB77C027CCDF62C8659584BBC150F8C7F73AA1F7ACA6541BA617AB04D191C87F66FDC375567BFC2w7BFJ" TargetMode="External"/><Relationship Id="rId238" Type="http://schemas.openxmlformats.org/officeDocument/2006/relationships/hyperlink" Target="consultantplus://offline/ref%3D67E5947FC935A5A38A2C1C2E5DD18C72AEB77C027CCDF62C8659584BBC150F8C7F73AA1F7ACA6540B6617AB04D191C87F66FDC375567BFC2w7BFJ" TargetMode="External"/><Relationship Id="rId239" Type="http://schemas.openxmlformats.org/officeDocument/2006/relationships/hyperlink" Target="consultantplus://offline/ref%3D67E5947FC935A5A38A2C1C2E5DD18C72AEB77C027CCDF62C8659584BBC150F8C7F73AA1F7ACA6449B4617AB04D191C87F66FDC375567BFC2w7BFJ" TargetMode="External"/><Relationship Id="rId240" Type="http://schemas.openxmlformats.org/officeDocument/2006/relationships/hyperlink" Target="consultantplus://offline/ref%3D67E5947FC935A5A38A2C1C2E5DD18C72AEB77C027CCDF62C8659584BBC150F8C7F73AA1F7ACA644AB3617AB04D191C87F66FDC375567BFC2w7BFJ" TargetMode="External"/><Relationship Id="rId241" Type="http://schemas.openxmlformats.org/officeDocument/2006/relationships/hyperlink" Target="consultantplus://offline/ref%3D67E5947FC935A5A38A2C1C2E5DD18C72AEB77C027CCDF62C8659584BBC150F8C7F73AA1F7ACB6D4DB1617AB04D191C87F66FDC375567BFC2w7BFJ" TargetMode="External"/><Relationship Id="rId242" Type="http://schemas.openxmlformats.org/officeDocument/2006/relationships/hyperlink" Target="consultantplus://offline/ref%3D67E5947FC935A5A38A2C1C2E5DD18C72AEB77C027CCDF62C8659584BBC150F8C7F73AA1F7ACB6D4CB5617AB04D191C87F66FDC375567BFC2w7BFJ" TargetMode="External"/><Relationship Id="rId243" Type="http://schemas.openxmlformats.org/officeDocument/2006/relationships/hyperlink" Target="consultantplus://offline/ref%3D67E5947FC935A5A38A2C1C2E5DD18C72AEB77C027CCDF62C8659584BBC150F8C7F73AA1F7BCA6048BB617AB04D191C87F66FDC375567BFC2w7BFJ" TargetMode="External"/><Relationship Id="rId244" Type="http://schemas.openxmlformats.org/officeDocument/2006/relationships/hyperlink" Target="consultantplus://offline/ref%3D67E5947FC935A5A38A2C1C2E5DD18C72AEB77C027CCDF62C8659584BBC150F8C7F73AA1F7AC86C4BB6617AB04D191C87F66FDC375567BFC2w7BFJ" TargetMode="External"/><Relationship Id="rId245" Type="http://schemas.openxmlformats.org/officeDocument/2006/relationships/hyperlink" Target="consultantplus://offline/ref%3D67E5947FC935A5A38A2C1C2E5DD18C72AEB77C027CCDF62C8659584BBC150F8C7F73AA1F7AC86C4BB4617AB04D191C87F66FDC375567BFC2w7BFJ" TargetMode="External"/><Relationship Id="rId246" Type="http://schemas.openxmlformats.org/officeDocument/2006/relationships/hyperlink" Target="consultantplus://offline/ref%3D67E5947FC935A5A38A2C1C2E5DD18C72AEB77C027CCDF62C8659584BBC150F8C7F73AA1F7AC96541B4617AB04D191C87F66FDC375567BFC2w7BFJ" TargetMode="External"/><Relationship Id="rId247" Type="http://schemas.openxmlformats.org/officeDocument/2006/relationships/hyperlink" Target="consultantplus://offline/ref%3D67E5947FC935A5A38A2C1C2E5DD18C72AEB77C027CCDF62C8659584BBC150F8C7F73AA1F7AC96540BB617AB04D191C87F66FDC375567BFC2w7BFJ" TargetMode="External"/><Relationship Id="rId248" Type="http://schemas.openxmlformats.org/officeDocument/2006/relationships/hyperlink" Target="consultantplus://offline/ref%3D67E5947FC935A5A38A2C1C2E5DD18C72AEB77C027CCDF62C8659584BBC150F8C7F73AA1F7CCC6648B0617AB04D191C87F66FDC375567BFC2w7BFJ" TargetMode="External"/><Relationship Id="rId249" Type="http://schemas.openxmlformats.org/officeDocument/2006/relationships/hyperlink" Target="consultantplus://offline/ref%3D67E5947FC935A5A38A2C1C2E5DD18C72AEB77C027CCDF62C8659584BBC150F8C7F73AA1F7CCC664AB4617AB04D191C87F66FDC375567BFC2w7BFJ" TargetMode="External"/><Relationship Id="rId250" Type="http://schemas.openxmlformats.org/officeDocument/2006/relationships/hyperlink" Target="consultantplus://offline/ref%3D67E5947FC935A5A38A2C1C2E5DD18C72AEB77C027CCDF62C8659584BBC150F8C7F73AA1F7CCC6041B1617AB04D191C87F66FDC375567BFC2w7BFJ" TargetMode="External"/><Relationship Id="rId251" Type="http://schemas.openxmlformats.org/officeDocument/2006/relationships/hyperlink" Target="consultantplus://offline/ref%3D67E5947FC935A5A38A2C1C2E5DD18C72AEB77C027CCDF62C8659584BBC150F8C7F73AA1F7CCD674FBB617AB04D191C87F66FDC375567BFC2w7BFJ" TargetMode="External"/><Relationship Id="rId252" Type="http://schemas.openxmlformats.org/officeDocument/2006/relationships/hyperlink" Target="consultantplus://offline/ref%3D67E5947FC935A5A38A2C1C2E5DD18C72AEB77C027CCDF62C8659584BBC150F8C7F73AA1F7CCD674FBA617AB04D191C87F66FDC375567BFC2w7BFJ" TargetMode="External"/><Relationship Id="rId253" Type="http://schemas.openxmlformats.org/officeDocument/2006/relationships/hyperlink" Target="consultantplus://offline/ref%3D67E5947FC935A5A38A2C1C2E5DD18C72AEB77C027CCDF62C8659584BBC150F8C7F73AA1F7BC2654DBA617AB04D191C87F66FDC375567BFC2w7BFJ" TargetMode="External"/><Relationship Id="rId254" Type="http://schemas.openxmlformats.org/officeDocument/2006/relationships/hyperlink" Target="consultantplus://offline/ref%3D67E5947FC935A5A38A2C1C2E5DD18C72AEB77C027CCDF62C8659584BBC150F8C7F73AA1F7BC2654CB3617AB04D191C87F66FDC375567BFC2w7BFJ" TargetMode="External"/><Relationship Id="rId255" Type="http://schemas.openxmlformats.org/officeDocument/2006/relationships/hyperlink" Target="consultantplus://offline/ref%3D67E5947FC935A5A38A2C1C2E5DD18C72AEB77C027CCDF62C8659584BBC150F8C7F73AA1F7BC2654CB1617AB04D191C87F66FDC375567BFC2w7BFJ" TargetMode="External"/><Relationship Id="rId256" Type="http://schemas.openxmlformats.org/officeDocument/2006/relationships/hyperlink" Target="consultantplus://offline/ref%3D67E5947FC935A5A38A2C1C2E5DD18C72AEB77C027CCDF62C8659584BBC150F8C7F73AA1F7BCA664EBB617AB04D191C87F66FDC375567BFC2w7BFJ" TargetMode="External"/><Relationship Id="rId257" Type="http://schemas.openxmlformats.org/officeDocument/2006/relationships/hyperlink" Target="consultantplus://offline/ref%3D67E5947FC935A5A38A2C1C2E5DD18C72AEB77C027CCDF62C8659584BBC150F8C7F73AA1F7BCA6641B2617AB04D191C87F66FDC375567BFC2w7BFJ" TargetMode="External"/><Relationship Id="rId258" Type="http://schemas.openxmlformats.org/officeDocument/2006/relationships/hyperlink" Target="consultantplus://offline/ref%3D67E5947FC935A5A38A2C1C2E5DD18C72AEB77C027CCDF62C8659584BBC150F8C7F73AA1F7BCA614AB6617AB04D191C87F66FDC375567BFC2w7BFJ" TargetMode="External"/><Relationship Id="rId259" Type="http://schemas.openxmlformats.org/officeDocument/2006/relationships/hyperlink" Target="consultantplus://offline/ref%3D67E5947FC935A5A38A2C1C2E5DD18C72AEB77C027CCDF62C8659584BBC150F8C7F73AA1F7BCA614CB7617AB04D191C87F66FDC375567BFC2w7BFJ" TargetMode="External"/><Relationship Id="rId260" Type="http://schemas.openxmlformats.org/officeDocument/2006/relationships/hyperlink" Target="consultantplus://offline/ref%3D67E5947FC935A5A38A2C1C2E5DD18C72AEB77C027CCDF62C8659584BBC150F8C7F73AA1F7BCA6141B7617AB04D191C87F66FDC375567BFC2w7BFJ" TargetMode="External"/><Relationship Id="rId261" Type="http://schemas.openxmlformats.org/officeDocument/2006/relationships/hyperlink" Target="consultantplus://offline/ref%3D67E5947FC935A5A38A2C1C2E5DD18C72AEB77C027CCDF62C8659584BBC150F8C7F73AA1F7BCA6141B5617AB04D191C87F66FDC375567BFC2w7BFJ" TargetMode="External"/><Relationship Id="rId262" Type="http://schemas.openxmlformats.org/officeDocument/2006/relationships/hyperlink" Target="consultantplus://offline/ref%3D67E5947FC935A5A38A2C1C2E5DD18C72AEB77C027CCDF62C8659584BBC150F8C7F73AA1F7BCA604CBA617AB04D191C87F66FDC375567BFC2w7BFJ" TargetMode="External"/><Relationship Id="rId263" Type="http://schemas.openxmlformats.org/officeDocument/2006/relationships/hyperlink" Target="consultantplus://offline/ref%3D67E5947FC935A5A38A2C1C2E5DD18C72AEB77C027CCDF62C8659584BBC150F8C7F73AA1F7BC2654DB1617AB04D191C87F66FDC375567BFC2w7BFJ" TargetMode="External"/><Relationship Id="rId264" Type="http://schemas.openxmlformats.org/officeDocument/2006/relationships/hyperlink" Target="consultantplus://offline/ref%3D67E5947FC935A5A38A2C1C2E5DD18C72AEB77C027CCDF62C8659584BBC150F8C7F73AA1F7BC2654DB0617AB04D191C87F66FDC375567BFC2w7BFJ" TargetMode="External"/><Relationship Id="rId265" Type="http://schemas.openxmlformats.org/officeDocument/2006/relationships/hyperlink" Target="consultantplus://offline/ref%3D67E5947FC935A5A38A2C1C2E5DD18C72AEB77C027CCDF62C8659584BBC150F8C7F73AA1F7BC2654DB5617AB04D191C87F66FDC375567BFC2w7BFJ" TargetMode="External"/><Relationship Id="rId266" Type="http://schemas.openxmlformats.org/officeDocument/2006/relationships/hyperlink" Target="consultantplus://offline/ref%3D67E5947FC935A5A38A2C1C2E5DD18C72AEB77C027CCDF62C8659584BBC150F8C7F73AA1F7BC2654CB2617AB04D191C87F66FDC375567BFC2w7BFJ" TargetMode="External"/><Relationship Id="rId267" Type="http://schemas.openxmlformats.org/officeDocument/2006/relationships/hyperlink" Target="consultantplus://offline/ref%3D67E5947FC935A5A38A2C1C2E5DD18C72AEB77C027CCDF62C8659584BBC150F8C7F73AA1F7BC2654CB4617AB04D191C87F66FDC375567BFC2w7BFJ" TargetMode="External"/><Relationship Id="rId268" Type="http://schemas.openxmlformats.org/officeDocument/2006/relationships/hyperlink" Target="consultantplus://offline/ref%3D67E5947FC935A5A38A2C1C2E5DD18C72AEB77C027CCDF62C8659584BBC150F8C7F73AA1F7BC2654CBB617AB04D191C87F66FDC375567BFC2w7BFJ" TargetMode="External"/><Relationship Id="rId269" Type="http://schemas.openxmlformats.org/officeDocument/2006/relationships/hyperlink" Target="consultantplus://offline/ref%3D67E5947FC935A5A38A2C1C2E5DD18C72AEB77C027CCDF62C8659584BBC150F8C7F73AA1F7BC2654FB3617AB04D191C87F66FDC375567BFC2w7BFJ" TargetMode="External"/><Relationship Id="rId270" Type="http://schemas.openxmlformats.org/officeDocument/2006/relationships/hyperlink" Target="consultantplus://offline/ref%3D67E5947FC935A5A38A2C1C2E5DD18C72AEB77C027CCDF62C8659584BBC150F8C7F73AA1F7BC2654FB2617AB04D191C87F66FDC375567BFC2w7BFJ" TargetMode="External"/><Relationship Id="rId271" Type="http://schemas.openxmlformats.org/officeDocument/2006/relationships/hyperlink" Target="consultantplus://offline/ref%3D67E5947FC935A5A38A2C1C2E5DD18C72AEB77C027CCDF62C8659584BBC150F8C7F73AA1F7BC2654FB1617AB04D191C87F66FDC375567BFC2w7BFJ" TargetMode="External"/><Relationship Id="rId272" Type="http://schemas.openxmlformats.org/officeDocument/2006/relationships/hyperlink" Target="consultantplus://offline/ref%3D67E5947FC935A5A38A2C1C2E5DD18C72AEB77C027CCDF62C8659584BBC150F8C7F73AA1F7BC2654FB6617AB04D191C87F66FDC375567BFC2w7BFJ" TargetMode="External"/><Relationship Id="rId273" Type="http://schemas.openxmlformats.org/officeDocument/2006/relationships/hyperlink" Target="consultantplus://offline/ref%3D67E5947FC935A5A38A2C1C2E5DD18C72AEB77C027CCDF62C8659584BBC150F8C7F73AA1F7BC2654FBB617AB04D191C87F66FDC375567BFC2w7BFJ" TargetMode="External"/><Relationship Id="rId274" Type="http://schemas.openxmlformats.org/officeDocument/2006/relationships/hyperlink" Target="consultantplus://offline/ref%3D67E5947FC935A5A38A2C1C2E5DD18C72AEB77C027CCDF62C8659584BBC150F8C7F73AA1F7BC2654FBA617AB04D191C87F66FDC375567BFC2w7BFJ" TargetMode="External"/><Relationship Id="rId275" Type="http://schemas.openxmlformats.org/officeDocument/2006/relationships/hyperlink" Target="consultantplus://offline/ref%3D67E5947FC935A5A38A2C1C2E5DD18C72AEB77C027CCDF62C8659584BBC150F8C7F73AA1F7BC2654EB2617AB04D191C87F66FDC375567BFC2w7BFJ" TargetMode="External"/><Relationship Id="rId276" Type="http://schemas.openxmlformats.org/officeDocument/2006/relationships/hyperlink" Target="consultantplus://offline/ref%3D67E5947FC935A5A38A2C1C2E5DD18C72AEB77C027CCDF62C8659584BBC150F8C7F73AA1F7BC2654EB6617AB04D191C87F66FDC375567BFC2w7BFJ" TargetMode="External"/><Relationship Id="rId277" Type="http://schemas.openxmlformats.org/officeDocument/2006/relationships/hyperlink" Target="consultantplus://offline/ref%3D67E5947FC935A5A38A2C1C2E5DD18C72AEB77C027CCDF62C8659584BBC150F8C7F73AA1F7BC2654EB5617AB04D191C87F66FDC375567BFC2w7BFJ" TargetMode="External"/><Relationship Id="rId278" Type="http://schemas.openxmlformats.org/officeDocument/2006/relationships/hyperlink" Target="consultantplus://offline/ref%3D67E5947FC935A5A38A2C1C2E5DD18C72AEB77C027CCDF62C8659584BBC150F8C7F73AA1F7BC2654EBB617AB04D191C87F66FDC375567BFC2w7BFJ" TargetMode="External"/><Relationship Id="rId279" Type="http://schemas.openxmlformats.org/officeDocument/2006/relationships/hyperlink" Target="consultantplus://offline/ref%3D67E5947FC935A5A38A2C1C2E5DD18C72AEB77C027CCDF62C8659584BBC150F8C7F73AA1F7BCA674DB6617AB04D191C87F66FDC375567BFC2w7BFJ" TargetMode="External"/><Relationship Id="rId280" Type="http://schemas.openxmlformats.org/officeDocument/2006/relationships/hyperlink" Target="consultantplus://offline/ref%3D67E5947FC935A5A38A2C1C2E5DD18C72AEB77C027CCDF62C8659584BBC150F8C7F73AA1F7BCA674CB0617AB04D191C87F66FDC375567BFC2w7BFJ" TargetMode="External"/><Relationship Id="rId281" Type="http://schemas.openxmlformats.org/officeDocument/2006/relationships/hyperlink" Target="consultantplus://offline/ref%3D67E5947FC935A5A38A2C1C2E5DD18C72AEB77C027CCDF62C8659584BBC150F8C7F73AA1F7CC26049BA617AB04D191C87F66FDC375567BFC2w7BFJ" TargetMode="External"/><Relationship Id="rId282" Type="http://schemas.openxmlformats.org/officeDocument/2006/relationships/hyperlink" Target="consultantplus://offline/ref%3D67E5947FC935A5A38A2C1C2E5DD18C72AEB77C027CCDF62C8659584BBC150F8C7F73AA1F7BC9664FBB617AB04D191C87F66FDC375567BFC2w7BFJ" TargetMode="External"/><Relationship Id="rId283" Type="http://schemas.openxmlformats.org/officeDocument/2006/relationships/hyperlink" Target="consultantplus://offline/ref%3D67E5947FC935A5A38A2C1C2E5DD18C72AEB77C027CCDF62C8659584BBC150F8C7F73AA1F7BC9664EB5617AB04D191C87F66FDC375567BFC2w7BFJ" TargetMode="External"/><Relationship Id="rId284" Type="http://schemas.openxmlformats.org/officeDocument/2006/relationships/hyperlink" Target="consultantplus://offline/ref%3D67E5947FC935A5A38A2C1C2E5DD18C72AEB77C027CCDF62C8659584BBC150F8C7F73AA1F7BC96641B2617AB04D191C87F66FDC375567BFC2w7BFJ" TargetMode="External"/><Relationship Id="rId285" Type="http://schemas.openxmlformats.org/officeDocument/2006/relationships/hyperlink" Target="consultantplus://offline/ref%3D67E5947FC935A5A38A2C1C2E5DD18C72AEB77C027CCDF62C8659584BBC150F8C7F73AA1F7BC96641B1617AB04D191C87F66FDC375567BFC2w7BFJ" TargetMode="External"/><Relationship Id="rId286" Type="http://schemas.openxmlformats.org/officeDocument/2006/relationships/hyperlink" Target="consultantplus://offline/ref%3D67E5947FC935A5A38A2C1C2E5DD18C72AEB77C027CCDF62C8659584BBC150F8C7F73AA1F7BC9644AB7617AB04D191C87F66FDC375567BFC2w7BFJ" TargetMode="External"/><Relationship Id="rId287" Type="http://schemas.openxmlformats.org/officeDocument/2006/relationships/hyperlink" Target="consultantplus://offline/ref%3D67E5947FC935A5A38A2C1C2E5DD18C72AEB77C027CCDF62C8659584BBC150F8C7F73AA1F7FCE6740B6617AB04D191C87F66FDC375567BFC2w7BFJ" TargetMode="External"/><Relationship Id="rId288" Type="http://schemas.openxmlformats.org/officeDocument/2006/relationships/hyperlink" Target="consultantplus://offline/ref%3D67E5947FC935A5A38A2C1C2E5DD18C72AEB77C027CCDF62C8659584BBC150F8C7F73AA1F7CC2614DB1617AB04D191C87F66FDC375567BFC2w7BFJ" TargetMode="External"/><Relationship Id="rId289" Type="http://schemas.openxmlformats.org/officeDocument/2006/relationships/hyperlink" Target="consultantplus://offline/ref%3D67E5947FC935A5A38A2C1C2E5DD18C72AEB77C027CCDF62C8659584BBC150F8C7F73AA1F7CC2614CBA617AB04D191C87F66FDC375567BFC2w7BFJ" TargetMode="External"/><Relationship Id="rId290" Type="http://schemas.openxmlformats.org/officeDocument/2006/relationships/hyperlink" Target="consultantplus://offline/ref%3D67E5947FC935A5A38A2C1C2E5DD18C72AEB77C027CCDF62C8659584BBC150F8C7F73AA1F7ECB6748B2617AB04D191C87F66FDC375567BFC2w7BFJ" TargetMode="External"/><Relationship Id="rId291" Type="http://schemas.openxmlformats.org/officeDocument/2006/relationships/hyperlink" Target="consultantplus://offline/ref%3D67E5947FC935A5A38A2C1C2E5DD18C72AEB77C027CCDF62C8659584BBC150F8C7F73AA1F7EC86448B1617AB04D191C87F66FDC375567BFC2w7BFJ" TargetMode="External"/><Relationship Id="rId292" Type="http://schemas.openxmlformats.org/officeDocument/2006/relationships/hyperlink" Target="consultantplus://offline/ref%3D67E5947FC935A5A38A2C1C2E5DD18C72AEB77C027CCDF62C8659584BBC150F8C7F73AA1F7EC8644DB3617AB04D191C87F66FDC375567BFC2w7BFJ" TargetMode="External"/><Relationship Id="rId293" Type="http://schemas.openxmlformats.org/officeDocument/2006/relationships/hyperlink" Target="consultantplus://offline/ref%3D67E5947FC935A5A38A2C1C2E5DD18C72AEB77C027CCDF62C8659584BBC150F8C7F73AA1F7EC8664BB1617AB04D191C87F66FDC375567BFC2w7BFJ" TargetMode="External"/><Relationship Id="rId294" Type="http://schemas.openxmlformats.org/officeDocument/2006/relationships/hyperlink" Target="consultantplus://offline/ref%3D67E5947FC935A5A38A2C1C2E5DD18C72AEB77C027CCDF62C8659584BBC150F8C7F73AA1F7BCB6541B2617AB04D191C87F66FDC375567BFC2w7BFJ" TargetMode="External"/><Relationship Id="rId295" Type="http://schemas.openxmlformats.org/officeDocument/2006/relationships/hyperlink" Target="consultantplus://offline/ref%3D67E5947FC935A5A38A2C1C2E5DD18C72AEB77C027CCDF62C8659584BBC150F8C7F73AA1F7BCB6541B0617AB04D191C87F66FDC375567BFC2w7BFJ" TargetMode="External"/><Relationship Id="rId296" Type="http://schemas.openxmlformats.org/officeDocument/2006/relationships/hyperlink" Target="consultantplus://offline/ref%3D67E5947FC935A5A38A2C1C2E5DD18C72AEB77C027CCDF62C8659584BBC150F8C7F73AA1F7BCB6540B1617AB04D191C87F66FDC375567BFC2w7BFJ" TargetMode="External"/><Relationship Id="rId297" Type="http://schemas.openxmlformats.org/officeDocument/2006/relationships/hyperlink" Target="consultantplus://offline/ref%3D67E5947FC935A5A38A2C1C2E5DD18C72AEB77C027CCDF62C8659584BBC150F8C7F73AA1F7BCB6540B6617AB04D191C87F66FDC375567BFC2w7BFJ" TargetMode="External"/><Relationship Id="rId298" Type="http://schemas.openxmlformats.org/officeDocument/2006/relationships/hyperlink" Target="consultantplus://offline/ref%3D67E5947FC935A5A38A2C1C2E5DD18C72AEB77C027CCDF62C8659584BBC150F8C7F73AA1F7BCB6449B1617AB04D191C87F66FDC375567BFC2w7BFJ" TargetMode="External"/><Relationship Id="rId299" Type="http://schemas.openxmlformats.org/officeDocument/2006/relationships/hyperlink" Target="consultantplus://offline/ref%3D67E5947FC935A5A38A2C1C2E5DD18C72AEB77C027CCDF62C8659584BBC150F8C7F73AA1F7BCB6449B0617AB04D191C87F66FDC375567BFC2w7BFJ" TargetMode="External"/><Relationship Id="rId300" Type="http://schemas.openxmlformats.org/officeDocument/2006/relationships/hyperlink" Target="consultantplus://offline/ref%3D67E5947FC935A5A38A2C1C2E5DD18C72AEB77C027CCDF62C8659584BBC150F8C7F73AA1F7BCB6448BA617AB04D191C87F66FDC375567BFC2w7BFJ" TargetMode="External"/><Relationship Id="rId301" Type="http://schemas.openxmlformats.org/officeDocument/2006/relationships/hyperlink" Target="consultantplus://offline/ref%3D67E5947FC935A5A38A2C1C2E5DD18C72AEB77C027CCDF62C8659584BBC150F8C7F73AA1F7BCB644BB3617AB04D191C87F66FDC375567BFC2w7BFJ" TargetMode="External"/><Relationship Id="rId302" Type="http://schemas.openxmlformats.org/officeDocument/2006/relationships/hyperlink" Target="consultantplus://offline/ref%3D67E5947FC935A5A38A2C1C2E5DD18C72AEB77C027CCDF62C8659584BBC150F8C7F73AA1F7BCB644AB3617AB04D191C87F66FDC375567BFC2w7BFJ" TargetMode="External"/><Relationship Id="rId303" Type="http://schemas.openxmlformats.org/officeDocument/2006/relationships/hyperlink" Target="consultantplus://offline/ref%3D67E5947FC935A5A38A2C1C2E5DD18C72AEB77C027CCDF62C8659584BBC150F8C7F73AA1F7BCB644AB0617AB04D191C87F66FDC375567BFC2w7BFJ" TargetMode="External"/><Relationship Id="rId304" Type="http://schemas.openxmlformats.org/officeDocument/2006/relationships/hyperlink" Target="consultantplus://offline/ref%3D67E5947FC935A5A38A2C1C2E5DD18C72AEB77C027CCDF62C8659584BBC150F8C7F73AA1F7BCB644DB0617AB04D191C87F66FDC375567BFC2w7BFJ" TargetMode="External"/><Relationship Id="rId305" Type="http://schemas.openxmlformats.org/officeDocument/2006/relationships/hyperlink" Target="consultantplus://offline/ref%3D67E5947FC935A5A38A2C1C2E5DD18C72AEB77C027CCDF62C8659584BBC150F8C7F73AA1F7BCB644DB7617AB04D191C87F66FDC375567BFC2w7BFJ" TargetMode="External"/><Relationship Id="rId306" Type="http://schemas.openxmlformats.org/officeDocument/2006/relationships/hyperlink" Target="consultantplus://offline/ref%3D67E5947FC935A5A38A2C1C2E5DD18C72AEB77C027CCDF62C8659584BBC150F8C7F73AA1F7BCB644CB3617AB04D191C87F66FDC375567BFC2w7BFJ" TargetMode="External"/><Relationship Id="rId307" Type="http://schemas.openxmlformats.org/officeDocument/2006/relationships/hyperlink" Target="consultantplus://offline/ref%3D67E5947FC935A5A38A2C1C2E5DD18C72AEB77C027CCDF62C8659584BBC150F8C7F73AA1F7BCB644CB2617AB04D191C87F66FDC375567BFC2w7BFJ" TargetMode="External"/><Relationship Id="rId308" Type="http://schemas.openxmlformats.org/officeDocument/2006/relationships/hyperlink" Target="consultantplus://offline/ref%3D67E5947FC935A5A38A2C1C2E5DD18C72AEB77C027CCDF62C8659584BBC150F8C7F73AA1F7BCB644CB0617AB04D191C87F66FDC375567BFC2w7BFJ" TargetMode="External"/><Relationship Id="rId309" Type="http://schemas.openxmlformats.org/officeDocument/2006/relationships/hyperlink" Target="consultantplus://offline/ref%3D67E5947FC935A5A38A2C1C2E5DD18C72AEB77C027CCDF62C8659584BBC150F8C7F73AA1F7FCD614AB0617AB04D191C87F66FDC375567BFC2w7BFJ" TargetMode="External"/><Relationship Id="rId310" Type="http://schemas.openxmlformats.org/officeDocument/2006/relationships/hyperlink" Target="consultantplus://offline/ref%3D67E5947FC935A5A38A2C1C2E5DD18C72AEB77C027CCDF62C8659584BBC150F8C7F73AA1F7BCB674BBA617AB04D191C87F66FDC375567BFC2w7BFJ" TargetMode="External"/><Relationship Id="rId311" Type="http://schemas.openxmlformats.org/officeDocument/2006/relationships/hyperlink" Target="consultantplus://offline/ref%3D67E5947FC935A5A38A2C1C2E5DD18C72AEB77C027CCDF62C8659584BBC150F8C7F73AA1F7BCB674DB0617AB04D191C87F66FDC375567BFC2w7BFJ" TargetMode="External"/><Relationship Id="rId312" Type="http://schemas.openxmlformats.org/officeDocument/2006/relationships/hyperlink" Target="consultantplus://offline/ref%3D67E5947FC935A5A38A2C1C2E5DD18C72AEB77C027CCDF62C8659584BBC150F8C7F73AA1F7BCB674DB7617AB04D191C87F66FDC375567BFC2w7BFJ" TargetMode="External"/><Relationship Id="rId313" Type="http://schemas.openxmlformats.org/officeDocument/2006/relationships/hyperlink" Target="consultantplus://offline/ref%3D67E5947FC935A5A38A2C1C2E5DD18C72AEB77C027CCDF62C8659584BBC150F8C7F73AA1F7BCB674FBA617AB04D191C87F66FDC375567BFC2w7BFJ" TargetMode="External"/><Relationship Id="rId314" Type="http://schemas.openxmlformats.org/officeDocument/2006/relationships/hyperlink" Target="consultantplus://offline/ref%3D67E5947FC935A5A38A2C1C2E5DD18C72AEB77C027CCDF62C8659584BBC150F8C7F73AA1F7BCB674EB3617AB04D191C87F66FDC375567BFC2w7BFJ" TargetMode="External"/><Relationship Id="rId315" Type="http://schemas.openxmlformats.org/officeDocument/2006/relationships/hyperlink" Target="consultantplus://offline/ref%3D67E5947FC935A5A38A2C1C2E5DD18C72AEB77C027CCDF62C8659584BBC150F8C7F73AA1F7BCB674EB2617AB04D191C87F66FDC375567BFC2w7BFJ" TargetMode="External"/><Relationship Id="rId316" Type="http://schemas.openxmlformats.org/officeDocument/2006/relationships/hyperlink" Target="consultantplus://offline/ref%3D67E5947FC935A5A38A2C1C2E5DD18C72AEB77C027CCDF62C8659584BBC150F8C7F73AA1F7BCB674EB1617AB04D191C87F66FDC375567BFC2w7BFJ" TargetMode="External"/><Relationship Id="rId317" Type="http://schemas.openxmlformats.org/officeDocument/2006/relationships/hyperlink" Target="consultantplus://offline/ref%3D67E5947FC935A5A38A2C1C2E5DD18C72AEB77C027CCDF62C8659584BBC150F8C7F73AA1F7FCD6049BA617AB04D191C87F66FDC375567BFC2w7BFJ" TargetMode="External"/><Relationship Id="rId318" Type="http://schemas.openxmlformats.org/officeDocument/2006/relationships/hyperlink" Target="consultantplus://offline/ref%3D67E5947FC935A5A38A2C1C2E5DD18C72AEB77C027CCDF62C8659584BBC150F8C7F73AA1F7BCB6741B2617AB04D191C87F66FDC375567BFC2w7BFJ" TargetMode="External"/><Relationship Id="rId319" Type="http://schemas.openxmlformats.org/officeDocument/2006/relationships/hyperlink" Target="consultantplus://offline/ref%3D67E5947FC935A5A38A2C1C2E5DD18C72AEB77C027CCDF62C8659584BBC150F8C7F73AA1F7BCB6741B6617AB04D191C87F66FDC375567BFC2w7BFJ" TargetMode="External"/><Relationship Id="rId320" Type="http://schemas.openxmlformats.org/officeDocument/2006/relationships/hyperlink" Target="consultantplus://offline/ref%3D67E5947FC935A5A38A2C1C2E5DD18C72AEB77C027CCDF62C8659584BBC150F8C7F73AA1F7BCB6741B4617AB04D191C87F66FDC375567BFC2w7BFJ" TargetMode="External"/><Relationship Id="rId321" Type="http://schemas.openxmlformats.org/officeDocument/2006/relationships/hyperlink" Target="consultantplus://offline/ref%3D67E5947FC935A5A38A2C1C2E5DD18C72AEB77C027CCDF62C8659584BBC150F8C7F73AA1F7BCB6741BB617AB04D191C87F66FDC375567BFC2w7BFJ" TargetMode="External"/><Relationship Id="rId322" Type="http://schemas.openxmlformats.org/officeDocument/2006/relationships/hyperlink" Target="consultantplus://offline/ref%3D67E5947FC935A5A38A2C1C2E5DD18C72AEB77C027CCDF62C8659584BBC150F8C7F73AA1F7BCB6648B4617AB04D191C87F66FDC375567BFC2w7BFJ" TargetMode="External"/><Relationship Id="rId323" Type="http://schemas.openxmlformats.org/officeDocument/2006/relationships/hyperlink" Target="consultantplus://offline/ref%3D67E5947FC935A5A38A2C1C2E5DD18C72AEB77C027CCDF62C8659584BBC150F8C7F73AA1F7BC2644DBB617AB04D191C87F66FDC375567BFC2w7BFJ" TargetMode="External"/><Relationship Id="rId324" Type="http://schemas.openxmlformats.org/officeDocument/2006/relationships/hyperlink" Target="consultantplus://offline/ref%3D67E5947FC935A5A38A2C1C2E5DD18C72AEB77C027CCDF62C8659584BBC150F8C7F73AA1F7BC2644FB4617AB04D191C87F66FDC375567BFC2w7BFJ" TargetMode="External"/><Relationship Id="rId325" Type="http://schemas.openxmlformats.org/officeDocument/2006/relationships/hyperlink" Target="consultantplus://offline/ref%3D67E5947FC935A5A38A2C1C2E5DD18C72AEB77C027CCDF62C8659584BBC150F8C7F73AA1F7BC2644EB1617AB04D191C87F66FDC375567BFC2w7BFJ" TargetMode="External"/><Relationship Id="rId326" Type="http://schemas.openxmlformats.org/officeDocument/2006/relationships/hyperlink" Target="consultantplus://offline/ref%3D67E5947FC935A5A38A2C1C2E5DD18C72AEB77C027CCDF62C8659584BBC150F8C7F73AA1F7BC2644EB0617AB04D191C87F66FDC375567BFC2w7BFJ" TargetMode="External"/><Relationship Id="rId327" Type="http://schemas.openxmlformats.org/officeDocument/2006/relationships/hyperlink" Target="consultantplus://offline/ref%3D67E5947FC935A5A38A2C1C2E5DD18C72AEB77C027CCDF62C8659584BBC150F8C7F73AA1F7BC2644EB7617AB04D191C87F66FDC375567BFC2w7BFJ" TargetMode="External"/><Relationship Id="rId328" Type="http://schemas.openxmlformats.org/officeDocument/2006/relationships/hyperlink" Target="consultantplus://offline/ref%3D67E5947FC935A5A38A2C1C2E5DD18C72AEB77C027CCDF62C8659584BBC150F8C7F73AA1F7BC26440B1617AB04D191C87F66FDC375567BFC2w7BFJ" TargetMode="External"/><Relationship Id="rId329" Type="http://schemas.openxmlformats.org/officeDocument/2006/relationships/hyperlink" Target="consultantplus://offline/ref%3D67E5947FC935A5A38A2C1C2E5DD18C72AEB77C027CCDF62C8659584BBC150F8C7F73AA1F7BC26440B4617AB04D191C87F66FDC375567BFC2w7BFJ" TargetMode="External"/><Relationship Id="rId330" Type="http://schemas.openxmlformats.org/officeDocument/2006/relationships/hyperlink" Target="consultantplus://offline/ref%3D67E5947FC935A5A38A2C1C2E5DD18C72AEB77C027CCDF62C8659584BBC150F8C7F73AA1F7BC26440BA617AB04D191C87F66FDC375567BFC2w7BFJ" TargetMode="External"/><Relationship Id="rId331" Type="http://schemas.openxmlformats.org/officeDocument/2006/relationships/hyperlink" Target="consultantplus://offline/ref%3D67E5947FC935A5A38A2C1C2E5DD18C72AEB77C027CCDF62C8659584BBC150F8C7F73AA1F7BCE674CBA617AB04D191C87F66FDC375567BFC2w7BFJ" TargetMode="External"/><Relationship Id="rId332" Type="http://schemas.openxmlformats.org/officeDocument/2006/relationships/hyperlink" Target="consultantplus://offline/ref%3D67E5947FC935A5A38A2C1C2E5DD18C72AEB77C027CCDF62C8659584BBC150F8C7F73AA1F7BCE674FB3617AB04D191C87F66FDC375567BFC2w7BFJ" TargetMode="External"/><Relationship Id="rId333" Type="http://schemas.openxmlformats.org/officeDocument/2006/relationships/hyperlink" Target="consultantplus://offline/ref%3D67E5947FC935A5A38A2C1C2E5DD18C72AEB77C027CCDF62C8659584BBC150F8C7F73AA1F7BCE674FB2617AB04D191C87F66FDC375567BFC2w7BFJ" TargetMode="External"/><Relationship Id="rId334" Type="http://schemas.openxmlformats.org/officeDocument/2006/relationships/hyperlink" Target="consultantplus://offline/ref%3D67E5947FC935A5A38A2C1C2E5DD18C72AEB77C027CCDF62C8659584BBC150F8C7F73AA1F7BCE674FB1617AB04D191C87F66FDC375567BFC2w7BFJ" TargetMode="External"/><Relationship Id="rId335" Type="http://schemas.openxmlformats.org/officeDocument/2006/relationships/hyperlink" Target="consultantplus://offline/ref%3D67E5947FC935A5A38A2C1C2E5DD18C72AEB77C027CCDF62C8659584BBC150F8C7F73AA1F7BCE674FB7617AB04D191C87F66FDC375567BFC2w7BFJ" TargetMode="External"/><Relationship Id="rId336" Type="http://schemas.openxmlformats.org/officeDocument/2006/relationships/hyperlink" Target="consultantplus://offline/ref%3D67E5947FC935A5A38A2C1C2E5DD18C72AEB77C027CCDF62C8659584BBC150F8C7F73AA1F7BCE674FB5617AB04D191C87F66FDC375567BFC2w7BFJ" TargetMode="External"/><Relationship Id="rId337" Type="http://schemas.openxmlformats.org/officeDocument/2006/relationships/hyperlink" Target="consultantplus://offline/ref%3D67E5947FC935A5A38A2C1C2E5DD18C72AEB77C027CCDF62C8659584BBC150F8C7F73AA1F7BCE674FB4617AB04D191C87F66FDC375567BFC2w7BFJ" TargetMode="External"/><Relationship Id="rId338" Type="http://schemas.openxmlformats.org/officeDocument/2006/relationships/hyperlink" Target="consultantplus://offline/ref%3D67E5947FC935A5A38A2C1C2E5DD18C72AEB77C027CCDF62C8659584BBC150F8C7F73AA1F7BCE674EB2617AB04D191C87F66FDC375567BFC2w7BFJ" TargetMode="External"/><Relationship Id="rId339" Type="http://schemas.openxmlformats.org/officeDocument/2006/relationships/hyperlink" Target="consultantplus://offline/ref%3D67E5947FC935A5A38A2C1C2E5DD18C72AEB77C027CCDF62C8659584BBC150F8C7F73AA1F7BCE674EB0617AB04D191C87F66FDC375567BFC2w7BFJ" TargetMode="External"/><Relationship Id="rId340" Type="http://schemas.openxmlformats.org/officeDocument/2006/relationships/hyperlink" Target="consultantplus://offline/ref%3D67E5947FC935A5A38A2C1C2E5DD18C72AEB77C027CCDF62C8659584BBC150F8C7F73AA1F7ECA6D4CB5617AB04D191C87F66FDC375567BFC2w7BFJ" TargetMode="External"/><Relationship Id="rId341" Type="http://schemas.openxmlformats.org/officeDocument/2006/relationships/hyperlink" Target="consultantplus://offline/ref%3D67E5947FC935A5A38A2C1C2E5DD18C72AEB77C027CCDF62C8659584BBC150F8C7F73AA1F7ECB664ABB617AB04D191C87F66FDC375567BFC2w7BFJ" TargetMode="External"/><Relationship Id="rId342" Type="http://schemas.openxmlformats.org/officeDocument/2006/relationships/hyperlink" Target="consultantplus://offline/ref%3D67E5947FC935A5A38A2C1C2E5DD18C72AEB77C027CCDF62C8659584BBC150F8C7F73AA1F7ECB6440BA617AB04D191C87F66FDC375567BFC2w7BFJ" TargetMode="External"/><Relationship Id="rId343" Type="http://schemas.openxmlformats.org/officeDocument/2006/relationships/hyperlink" Target="consultantplus://offline/ref%3D67E5947FC935A5A38A2C1C2E5DD18C72AEB77C027CCDF62C8659584BBC150F8C7F73AA1F7BCE6741B3617AB04D191C87F66FDC375567BFC2w7BFJ" TargetMode="External"/><Relationship Id="rId344" Type="http://schemas.openxmlformats.org/officeDocument/2006/relationships/hyperlink" Target="consultantplus://offline/ref%3D67E5947FC935A5A38A2C1C2E5DD18C72AEB77C027CCDF62C8659584BBC150F8C7F73AA1F7BCA6C41BA617AB04D191C87F66FDC375567BFC2w7BFJ" TargetMode="External"/><Relationship Id="rId345" Type="http://schemas.openxmlformats.org/officeDocument/2006/relationships/hyperlink" Target="consultantplus://offline/ref%3D67E5947FC935A5A38A2C1C2E5DD18C72AEB77C027CCDF62C8659584BBC150F8C7F73AA1F7BCB6549B6617AB04D191C87F66FDC375567BFC2w7BFJ" TargetMode="External"/><Relationship Id="rId346" Type="http://schemas.openxmlformats.org/officeDocument/2006/relationships/hyperlink" Target="consultantplus://offline/ref%3D67E5947FC935A5A38A2C1C2E5DD18C72AEB77C027CCDF62C8659584BBC150F8C7F73AA1F7BCB6549B4617AB04D191C87F66FDC375567BFC2w7BFJ" TargetMode="External"/><Relationship Id="rId347" Type="http://schemas.openxmlformats.org/officeDocument/2006/relationships/hyperlink" Target="consultantplus://offline/ref%3D67E5947FC935A5A38A2C1C2E5DD18C72AEB77C027CCDF62C8659584BBC150F8C7F73AA1F7BCB6549BB617AB04D191C87F66FDC375567BFC2w7BFJ" TargetMode="External"/><Relationship Id="rId348" Type="http://schemas.openxmlformats.org/officeDocument/2006/relationships/hyperlink" Target="consultantplus://offline/ref%3D67E5947FC935A5A38A2C1C2E5DD18C72AEB77C027CCDF62C8659584BBC150F8C7F73AA1F7BCB6548B3617AB04D191C87F66FDC375567BFC2w7BFJ" TargetMode="External"/><Relationship Id="rId349" Type="http://schemas.openxmlformats.org/officeDocument/2006/relationships/hyperlink" Target="consultantplus://offline/ref%3D67E5947FC935A5A38A2C1C2E5DD18C72AEB77C027CCDF62C8659584BBC150F8C7F73AA1F7BCB6548B0617AB04D191C87F66FDC375567BFC2w7BFJ" TargetMode="External"/><Relationship Id="rId350" Type="http://schemas.openxmlformats.org/officeDocument/2006/relationships/hyperlink" Target="consultantplus://offline/ref%3D67E5947FC935A5A38A2C1C2E5DD18C72AEB77C027CCDF62C8659584BBC150F8C7F73AA1F7FCD674BB2617AB04D191C87F66FDC375567BFC2w7BFJ" TargetMode="External"/><Relationship Id="rId351" Type="http://schemas.openxmlformats.org/officeDocument/2006/relationships/hyperlink" Target="consultantplus://offline/ref%3D67E5947FC935A5A38A2C1C2E5DD18C72AEB77C027CCDF62C8659584BBC150F8C7F73AA1F7BCB6548B1617AB04D191C87F66FDC375567BFC2w7BFJ" TargetMode="External"/><Relationship Id="rId352" Type="http://schemas.openxmlformats.org/officeDocument/2006/relationships/hyperlink" Target="consultantplus://offline/ref%3D67E5947FC935A5A38A2C1C2E5DD18C72AEB77C027CCDF62C8659584BBC150F8C7F73AA1F7BCA6C40B3617AB04D191C87F66FDC375567BFC2w7BFJ" TargetMode="External"/><Relationship Id="rId353" Type="http://schemas.openxmlformats.org/officeDocument/2006/relationships/hyperlink" Target="consultantplus://offline/ref%3D67E5947FC935A5A38A2C1C2E5DD18C72AEB77C027CCDF62C8659584BBC150F8C7F73AA1F7BCA6C40B2617AB04D191C87F66FDC375567BFC2w7BFJ" TargetMode="External"/><Relationship Id="rId354" Type="http://schemas.openxmlformats.org/officeDocument/2006/relationships/hyperlink" Target="consultantplus://offline/ref%3D67E5947FC935A5A38A2C1C2E5DD18C72AEB77C027CCDF62C8659584BBC150F8C7F73AA1F7FCD674FB5617AB04D191C87F66FDC375567BFC2w7BFJ" TargetMode="External"/><Relationship Id="rId355" Type="http://schemas.openxmlformats.org/officeDocument/2006/relationships/hyperlink" Target="consultantplus://offline/ref%3D67E5947FC935A5A38A2C1C2E5DD18C72AEB77C027CCDF62C8659584BBC150F8C7F73AA1F7BCB674BBB617AB04D191C87F66FDC375567BFC2w7BFJ" TargetMode="External"/><Relationship Id="rId356" Type="http://schemas.openxmlformats.org/officeDocument/2006/relationships/hyperlink" Target="consultantplus://offline/ref%3D67E5947FC935A5A38A2C1C2E5DD18C72AEB77C027CCDF62C8659584BBC150F8C7F73AA1F7BCB674ABB617AB04D191C87F66FDC375567BFC2w7BFJ" TargetMode="External"/><Relationship Id="rId357" Type="http://schemas.openxmlformats.org/officeDocument/2006/relationships/hyperlink" Target="consultantplus://offline/ref%3D67E5947FC935A5A38A2C1C2E5DD18C72AEB77C027CCDF62C8659584BBC150F8C7F73AA1F7BCB674ABA617AB04D191C87F66FDC375567BFC2w7BFJ" TargetMode="External"/><Relationship Id="rId358" Type="http://schemas.openxmlformats.org/officeDocument/2006/relationships/hyperlink" Target="consultantplus://offline/ref%3D67E5947FC935A5A38A2C1C2E5DD18C72AEB77C027CCDF62C8659584BBC150F8C7F73AA1F7BCB674CB0617AB04D191C87F66FDC375567BFC2w7BFJ" TargetMode="External"/><Relationship Id="rId359" Type="http://schemas.openxmlformats.org/officeDocument/2006/relationships/hyperlink" Target="consultantplus://offline/ref%3D67E5947FC935A5A38A2C1C2E5DD18C72AEB77C027CCDF62C8659584BBC150F8C7F73AA1F7BC2644FB2617AB04D191C87F66FDC375567BFC2w7BFJ" TargetMode="External"/><Relationship Id="rId360" Type="http://schemas.openxmlformats.org/officeDocument/2006/relationships/hyperlink" Target="consultantplus://offline/ref%3D67E5947FC935A5A38A2C1C2E5DD18C72AEB77C027CCDF62C8659584BBC150F8C7F73AA1F7BC26440B0617AB04D191C87F66FDC375567BFC2w7BFJ" TargetMode="External"/><Relationship Id="rId361" Type="http://schemas.openxmlformats.org/officeDocument/2006/relationships/hyperlink" Target="consultantplus://offline/ref%3D67E5947FC935A5A38A2C1C2E5DD18C72AEB77C027CCDF62C8659584BBC150F8C7F73AA1F7FCD6440B7617AB04D191C87F66FDC375567BFC2w7BFJ" TargetMode="External"/><Relationship Id="rId362" Type="http://schemas.openxmlformats.org/officeDocument/2006/relationships/hyperlink" Target="consultantplus://offline/ref%3D67E5947FC935A5A38A2C1C2E5DD18C72AEB77C027CCDF62C8659584BBC150F8C7F73AA1F7FCD6440BA617AB04D191C87F66FDC375567BFC2w7BFJ" TargetMode="External"/><Relationship Id="rId363" Type="http://schemas.openxmlformats.org/officeDocument/2006/relationships/hyperlink" Target="consultantplus://offline/ref%3D67E5947FC935A5A38A2C1C2E5DD18C72AEB77C027CCDF62C8659584BBC150F8C7F73AA1F7BCB654DB5617AB04D191C87F66FDC375567BFC2w7BFJ" TargetMode="External"/><Relationship Id="rId364" Type="http://schemas.openxmlformats.org/officeDocument/2006/relationships/hyperlink" Target="consultantplus://offline/ref%3D67E5947FC935A5A38A2C1C2E5DD18C72AEB77C027CCDF62C8659584BBC150F8C7F73AA1F7FCD6641B7617AB04D191C87F66FDC375567BFC2w7BFJ" TargetMode="External"/><Relationship Id="rId365" Type="http://schemas.openxmlformats.org/officeDocument/2006/relationships/hyperlink" Target="consultantplus://offline/ref%3D67E5947FC935A5A38A2C1C2E5DD18C72AEB77C027CCDF62C8659584BBC150F8C7F73AA1F7FCD614CB3617AB04D191C87F66FDC375567BFC2w7BFJ" TargetMode="External"/><Relationship Id="rId366" Type="http://schemas.openxmlformats.org/officeDocument/2006/relationships/hyperlink" Target="consultantplus://offline/ref%3D67E5947FC935A5A38A2C1C2E5DD18C72AEB77C027CCDF62C8659584BBC150F8C7F73AA1F7FCB664AB6617AB04D191C87F66FDC375567BFC2w7BFJ" TargetMode="External"/><Relationship Id="rId367" Type="http://schemas.openxmlformats.org/officeDocument/2006/relationships/hyperlink" Target="consultantplus://offline/ref%3D67E5947FC935A5A38A2C1C2E5DD18C72AEB77C027CCDF62C8659584BBC150F8C7F73AA1F7FC8624CB7617AB04D191C87F66FDC375567BFC2w7BFJ" TargetMode="External"/><Relationship Id="rId368" Type="http://schemas.openxmlformats.org/officeDocument/2006/relationships/hyperlink" Target="consultantplus://offline/ref%3D67E5947FC935A5A38A2C1C2E5DD18C72AEB77C027CCDF62C8659584BBC150F8C7F73AA1F7FC86240BB617AB04D191C87F66FDC375567BFC2w7BFJ" TargetMode="External"/><Relationship Id="rId369" Type="http://schemas.openxmlformats.org/officeDocument/2006/relationships/hyperlink" Target="consultantplus://offline/ref%3D67E5947FC935A5A38A2C1C2E5DD18C72AEB77C027CCDF62C8659584BBC150F8C7F73AA1F7ECB6D40B7617AB04D191C87F66FDC375567BFC2w7BFJ" TargetMode="External"/><Relationship Id="rId370" Type="http://schemas.openxmlformats.org/officeDocument/2006/relationships/hyperlink" Target="consultantplus://offline/ref%3D67E5947FC935A5A38A2C1C2E5DD18C72AEB77C027CCDF62C8659584BBC150F8C7F73AA1F7ECB6740B6617AB04D191C87F66FDC375567BFC2w7BFJ" TargetMode="External"/><Relationship Id="rId371" Type="http://schemas.openxmlformats.org/officeDocument/2006/relationships/hyperlink" Target="consultantplus://offline/ref%3D67E5947FC935A5A38A2C1C2E5DD18C72AEB77C027CCDF62C8659584BBC150F8C7F73AA1F7ECB6649B3617AB04D191C87F66FDC375567BFC2w7BFJ" TargetMode="External"/><Relationship Id="rId372" Type="http://schemas.openxmlformats.org/officeDocument/2006/relationships/hyperlink" Target="consultantplus://offline/ref%3D67E5947FC935A5A38A2C1C2E5DD18C72AEB77C027CCDF62C8659584BBC150F8C7F73AA1F7ECB664DB0617AB04D191C87F66FDC375567BFC2w7BFJ" TargetMode="External"/><Relationship Id="rId373" Type="http://schemas.openxmlformats.org/officeDocument/2006/relationships/hyperlink" Target="consultantplus://offline/ref%3D67E5947FC935A5A38A2C1C2E5DD18C72AEB77C027CCDF62C8659584BBC150F8C7F73AA1F7ECB664FB7617AB04D191C87F66FDC375567BFC2w7BFJ" TargetMode="External"/><Relationship Id="rId374" Type="http://schemas.openxmlformats.org/officeDocument/2006/relationships/hyperlink" Target="consultantplus://offline/ref%3D67E5947FC935A5A38A2C1C2E5DD18C72AEB77C027CCDF62C8659584BBC150F8C7F73AA1F7ECB6640BB617AB04D191C87F66FDC375567BFC2w7BFJ" TargetMode="External"/><Relationship Id="rId375" Type="http://schemas.openxmlformats.org/officeDocument/2006/relationships/hyperlink" Target="consultantplus://offline/ref%3D67E5947FC935A5A38A2C1C2E5DD18C72AEB77C027CCDF62C8659584BBC150F8C7F73AA1F7ECB6148B5617AB04D191C87F66FDC375567BFC2w7BFJ" TargetMode="External"/><Relationship Id="rId376" Type="http://schemas.openxmlformats.org/officeDocument/2006/relationships/hyperlink" Target="consultantplus://offline/ref%3D67E5947FC935A5A38A2C1C2E5DD18C72AEB77C027CCDF62C8659584BBC150F8C7F73AA1F7ECB614BBA617AB04D191C87F66FDC375567BFC2w7BFJ" TargetMode="External"/><Relationship Id="rId377" Type="http://schemas.openxmlformats.org/officeDocument/2006/relationships/hyperlink" Target="consultantplus://offline/ref%3D67E5947FC935A5A38A2C1C2E5DD18C72AEB77C027CCDF62C8659584BBC150F8C7F73AA1F7ECB6C4DB1617AB04D191C87F66FDC375567BFC2w7BFJ" TargetMode="External"/><Relationship Id="rId378" Type="http://schemas.openxmlformats.org/officeDocument/2006/relationships/hyperlink" Target="consultantplus://offline/ref%3D67E5947FC935A5A38A2C1C2E5DD18C72AEB77C027CCDF62C8659584BBC150F8C7F73AA1F7ECB6C4CB6617AB04D191C87F66FDC375567BFC2w7BFJ" TargetMode="External"/><Relationship Id="rId379" Type="http://schemas.openxmlformats.org/officeDocument/2006/relationships/hyperlink" Target="consultantplus://offline/ref%3D67E5947FC935A5A38A2C1C2E5DD18C72AEB77C027CCDF62C8659584BBC150F8C7F73AA1F7ECB6C4EB7617AB04D191C87F66FDC375567BFC2w7BFJ" TargetMode="External"/><Relationship Id="rId380" Type="http://schemas.openxmlformats.org/officeDocument/2006/relationships/hyperlink" Target="consultantplus://offline/ref%3D67E5947FC935A5A38A2C1C2E5DD18C72AEB77C027CCDF62C8659584BBC150F8C7F73AA1F7BC2624DB7617AB04D191C87F66FDC375567BFC2w7BFJ" TargetMode="External"/><Relationship Id="rId381" Type="http://schemas.openxmlformats.org/officeDocument/2006/relationships/hyperlink" Target="consultantplus://offline/ref%3D67E5947FC935A5A38A2C1C2E5DD18C72AEB77C027CCDF62C8659584BBC150F8C7F73AA1F7ECA624FBB617AB04D191C87F66FDC375567BFC2w7BFJ" TargetMode="External"/><Relationship Id="rId382" Type="http://schemas.openxmlformats.org/officeDocument/2006/relationships/hyperlink" Target="consultantplus://offline/ref%3D67E5947FC935A5A38A2C1C2E5DD18C72AEB77C027CCDF62C8659584BBC150F8C7F73AA1F7ECA624EB6617AB04D191C87F66FDC375567BFC2w7BFJ" TargetMode="External"/><Relationship Id="rId383" Type="http://schemas.openxmlformats.org/officeDocument/2006/relationships/hyperlink" Target="consultantplus://offline/ref%3D67E5947FC935A5A38A2C1C2E5DD18C72AEB77C027CCDF62C8659584BBC150F8C7F73AA1F7BCE674DB0617AB04D191C87F66FDC375567BFC2w7BFJ" TargetMode="External"/><Relationship Id="rId384" Type="http://schemas.openxmlformats.org/officeDocument/2006/relationships/hyperlink" Target="consultantplus://offline/ref%3D67E5947FC935A5A38A2C1C2E5DD18C72AEB77C027CCDF62C8659584BBC150F8C7F73AA1F7BCE664AB3617AB04D191C87F66FDC375567BFC2w7BFJ" TargetMode="External"/><Relationship Id="rId385" Type="http://schemas.openxmlformats.org/officeDocument/2006/relationships/hyperlink" Target="consultantplus://offline/ref%3D67E5947FC935A5A38A2C1C2E5DD18C72AEB77C027CCDF62C8659584BBC150F8C7F73AA1F7ECA6C4EB7617AB04D191C87F66FDC375567BFC2w7BFJ" TargetMode="External"/><Relationship Id="rId386" Type="http://schemas.openxmlformats.org/officeDocument/2006/relationships/hyperlink" Target="consultantplus://offline/ref%3D67E5947FC935A5A38A2C1C2E5DD18C72AEB77C027CCDF62C8659584BBC150F8C7F73AA1F7BCE604DB1617AB04D191C87F66FDC375567BFC2w7BFJ" TargetMode="External"/><Relationship Id="rId387" Type="http://schemas.openxmlformats.org/officeDocument/2006/relationships/hyperlink" Target="consultantplus://offline/ref%3D67E5947FC935A5A38A2C1C2E5DD18C72AEB77C027CCDF62C8659584BBC150F8C7F73AA1F7ACC614DBA617AB04D191C87F66FDC375567BFC2w7BFJ" TargetMode="External"/><Relationship Id="rId388" Type="http://schemas.openxmlformats.org/officeDocument/2006/relationships/hyperlink" Target="consultantplus://offline/ref%3D67E5947FC935A5A38A2C1C2E5DD18C72AEB77C027CCDF62C8659584BBC150F8C7F73AA1F7BCA654DB4617AB04D191C87F66FDC375567BFC2w7BFJ" TargetMode="External"/><Relationship Id="rId389" Type="http://schemas.openxmlformats.org/officeDocument/2006/relationships/hyperlink" Target="consultantplus://offline/ref%3D67E5947FC935A5A38A2C1C2E5DD18C72AEB77C027CCDF62C8659584BBC150F8C7F73AA1F7BCA654DBB617AB04D191C87F66FDC375567BFC2w7BFJ" TargetMode="External"/><Relationship Id="rId390" Type="http://schemas.openxmlformats.org/officeDocument/2006/relationships/hyperlink" Target="consultantplus://offline/ref%3D67E5947FC935A5A38A2C1C2E5DD18C72AEB77C027CCDF62C8659584BBC150F8C7F73AA1F7BCE614CB0617AB04D191C87F66FDC375567BFC2w7BFJ" TargetMode="External"/><Relationship Id="rId391" Type="http://schemas.openxmlformats.org/officeDocument/2006/relationships/hyperlink" Target="consultantplus://offline/ref%3D67E5947FC935A5A38A2C1C2E5DD18C72AEB77C027CCDF62C8659584BBC150F8C7F73AA1F7BCE614FB0617AB04D191C87F66FDC375567BFC2w7BFJ" TargetMode="External"/><Relationship Id="rId392" Type="http://schemas.openxmlformats.org/officeDocument/2006/relationships/hyperlink" Target="consultantplus://offline/ref%3D67E5947FC935A5A38A2C1C2E5DD18C72AEB77C027CCDF62C8659584BBC150F8C7F73AA1F7BCE614FB6617AB04D191C87F66FDC375567BFC2w7BFJ" TargetMode="External"/><Relationship Id="rId393" Type="http://schemas.openxmlformats.org/officeDocument/2006/relationships/hyperlink" Target="consultantplus://offline/ref%3D67E5947FC935A5A38A2C1C2E5DD18C72AEB77C027CCDF62C8659584BBC150F8C7F73AA1F7BCE614FBB617AB04D191C87F66FDC375567BFC2w7BFJ" TargetMode="External"/><Relationship Id="rId394" Type="http://schemas.openxmlformats.org/officeDocument/2006/relationships/hyperlink" Target="consultantplus://offline/ref%3D67E5947FC935A5A38A2C1C2E5DD18C72AEB77C027CCDF62C8659584BBC150F8C7F73AA1F7BCE614EBB617AB04D191C87F66FDC375567BFC2w7BFJ" TargetMode="External"/><Relationship Id="rId395" Type="http://schemas.openxmlformats.org/officeDocument/2006/relationships/hyperlink" Target="consultantplus://offline/ref%3D67E5947FC935A5A38A2C1C2E5DD18C72AEB77C027CCDF62C8659584BBC150F8C7F73AA1F7BC2634DB1617AB04D191C87F66FDC375567BFC2w7BFJ" TargetMode="External"/><Relationship Id="rId396" Type="http://schemas.openxmlformats.org/officeDocument/2006/relationships/hyperlink" Target="consultantplus://offline/ref%3D67E5947FC935A5A38A2C1C2E5DD18C72AEB77C027CCDF62C8659584BBC150F8C7F73AA1F7BC26341B1617AB04D191C87F66FDC375567BFC2w7BFJ" TargetMode="External"/><Relationship Id="rId397" Type="http://schemas.openxmlformats.org/officeDocument/2006/relationships/hyperlink" Target="consultantplus://offline/ref%3D67E5947FC935A5A38A2C1C2E5DD18C72AEB77C027CCDF62C8659584BBC150F8C7F73AA1F7BC26341B0617AB04D191C87F66FDC375567BFC2w7BFJ" TargetMode="External"/><Relationship Id="rId398" Type="http://schemas.openxmlformats.org/officeDocument/2006/relationships/hyperlink" Target="consultantplus://offline/ref%3D67E5947FC935A5A38A2C1C2E5DD18C72AEB77C027CCDF62C8659584BBC150F8C7F73AA1F7BC26341B6617AB04D191C87F66FDC375567BFC2w7BFJ" TargetMode="External"/><Relationship Id="rId399" Type="http://schemas.openxmlformats.org/officeDocument/2006/relationships/hyperlink" Target="consultantplus://offline/ref%3D67E5947FC935A5A38A2C1C2E5DD18C72AEB77C027CCDF62C8659584BBC150F8C7F73AA1F7BC26341B4617AB04D191C87F66FDC375567BFC2w7BFJ" TargetMode="External"/><Relationship Id="rId400" Type="http://schemas.openxmlformats.org/officeDocument/2006/relationships/hyperlink" Target="consultantplus://offline/ref%3D67E5947FC935A5A38A2C1C2E5DD18C72AEB77C027CCDF62C8659584BBC150F8C7F73AA1F7BC26249B5617AB04D191C87F66FDC375567BFC2w7BFJ" TargetMode="External"/><Relationship Id="rId401" Type="http://schemas.openxmlformats.org/officeDocument/2006/relationships/hyperlink" Target="consultantplus://offline/ref%3D67E5947FC935A5A38A2C1C2E5DD18C72AEB77C027CCDF62C8659584BBC150F8C7F73AA1F7BC26249BA617AB04D191C87F66FDC375567BFC2w7BFJ" TargetMode="External"/><Relationship Id="rId402" Type="http://schemas.openxmlformats.org/officeDocument/2006/relationships/hyperlink" Target="consultantplus://offline/ref%3D67E5947FC935A5A38A2C1C2E5DD18C72AEB77C027CCDF62C8659584BBC150F8C7F73AA1F7BC26248B3617AB04D191C87F66FDC375567BFC2w7BFJ" TargetMode="External"/><Relationship Id="rId403" Type="http://schemas.openxmlformats.org/officeDocument/2006/relationships/hyperlink" Target="consultantplus://offline/ref%3D67E5947FC935A5A38A2C1C2E5DD18C72AEB77C027CCDF62C8659584BBC150F8C7F73AA1F7BC2624FB4617AB04D191C87F66FDC375567BFC2w7BFJ" TargetMode="External"/><Relationship Id="rId404" Type="http://schemas.openxmlformats.org/officeDocument/2006/relationships/hyperlink" Target="consultantplus://offline/ref%3D67E5947FC935A5A38A2C1C2E5DD18C72AEB77C027CCDF62C8659584BBC150F8C7F73AA1F7BC26D40B3617AB04D191C87F66FDC375567BFC2w7BFJ" TargetMode="External"/><Relationship Id="rId405" Type="http://schemas.openxmlformats.org/officeDocument/2006/relationships/hyperlink" Target="consultantplus://offline/ref%3D67E5947FC935A5A38A2C1C2E5DD18C72AEB77C027CCDF62C8659584BBC150F8C7F73AA1F7CC36348B6617AB04D191C87F66FDC375567BFC2w7BFJ" TargetMode="External"/><Relationship Id="rId406" Type="http://schemas.openxmlformats.org/officeDocument/2006/relationships/hyperlink" Target="consultantplus://offline/ref%3D67E5947FC935A5A38A2C1C2E5DD18C72AEB77C027CCDF62C8659584BBC150F8C7F73AA1F7CC3634BB3617AB04D191C87F66FDC375567BFC2w7BFJ" TargetMode="External"/><Relationship Id="rId407" Type="http://schemas.openxmlformats.org/officeDocument/2006/relationships/hyperlink" Target="consultantplus://offline/ref%3D67E5947FC935A5A38A2C1C2E5DD18C72AEB77C027CCDF62C8659584BBC150F8C7F73AA1F7BCA654CB1617AB04D191C87F66FDC375567BFC2w7BFJ" TargetMode="External"/><Relationship Id="rId408" Type="http://schemas.openxmlformats.org/officeDocument/2006/relationships/hyperlink" Target="consultantplus://offline/ref%3D67E5947FC935A5A38A2C1C2E5DD18C72AEB77C027CCDF62C8659584BBC150F8C7F73AA1F7ECD6C48BA617AB04D191C87F66FDC375567BFC2w7BFJ" TargetMode="External"/><Relationship Id="rId409" Type="http://schemas.openxmlformats.org/officeDocument/2006/relationships/hyperlink" Target="consultantplus://offline/ref%3D67E5947FC935A5A38A2C1C2E5DD18C72AEB77C027CCDF62C8659584BBC150F8C7F73AA1F7ECD6C4AB4617AB04D191C87F66FDC375567BFC2w7BFJ" TargetMode="External"/><Relationship Id="rId410" Type="http://schemas.openxmlformats.org/officeDocument/2006/relationships/hyperlink" Target="consultantplus://offline/ref%3D67E5947FC935A5A38A2C1C2E5DD18C72AEB77C027CCDF62C8659584BBC150F8C7F73AA1F7ECD6C4CB0617AB04D191C87F66FDC375567BFC2w7BFJ" TargetMode="External"/><Relationship Id="rId411" Type="http://schemas.openxmlformats.org/officeDocument/2006/relationships/hyperlink" Target="consultantplus://offline/ref%3D67E5947FC935A5A38A2C1C2E5DD18C72AEB77C027CCDF62C8659584BBC150F8C7F73AA1F7ECD6C40B0617AB04D191C87F66FDC375567BFC2w7BFJ" TargetMode="External"/><Relationship Id="rId412" Type="http://schemas.openxmlformats.org/officeDocument/2006/relationships/hyperlink" Target="consultantplus://offline/ref%3D67E5947FC935A5A38A2C1C2E5DD18C72AEB77C027CCDF62C8659584BBC150F8C7F73AA1F7BCE6148BA617AB04D191C87F66FDC375567BFC2w7BFJ" TargetMode="External"/><Relationship Id="rId413" Type="http://schemas.openxmlformats.org/officeDocument/2006/relationships/hyperlink" Target="consultantplus://offline/ref%3D67E5947FC935A5A38A2C1C2E5DD18C72AEB77C027CCDF62C8659584BBC150F8C7F73AA1F7BCE614AB6617AB04D191C87F66FDC375567BFC2w7BFJ" TargetMode="External"/><Relationship Id="rId414" Type="http://schemas.openxmlformats.org/officeDocument/2006/relationships/hyperlink" Target="consultantplus://offline/ref%3D67E5947FC935A5A38A2C1C2E5DD18C72AEB77C027CCDF62C8659584BBC150F8C7F73AA1F7BCE614DB1617AB04D191C87F66FDC375567BFC2w7BFJ" TargetMode="External"/><Relationship Id="rId415" Type="http://schemas.openxmlformats.org/officeDocument/2006/relationships/hyperlink" Target="consultantplus://offline/ref%3D67E5947FC935A5A38A2C1C2E5DD18C72AEB77C027CCDF62C8659584BBC150F8C7F73AA1F7BC26548B3617AB04D191C87F66FDC375567BFC2w7BFJ" TargetMode="External"/><Relationship Id="rId416" Type="http://schemas.openxmlformats.org/officeDocument/2006/relationships/hyperlink" Target="consultantplus://offline/ref%3D67E5947FC935A5A38A2C1C2E5DD18C72AEB77C027CCDF62C8659584BBC150F8C7F73AA1F7BC26349B4617AB04D191C87F66FDC375567BFC2w7BFJ" TargetMode="External"/><Relationship Id="rId417" Type="http://schemas.openxmlformats.org/officeDocument/2006/relationships/hyperlink" Target="consultantplus://offline/ref%3D67E5947FC935A5A38A2C1C2E5DD18C72AEB77C027CCDF62C8659584BBC150F8C7F73AA1F7BC26348B1617AB04D191C87F66FDC375567BFC2w7BFJ" TargetMode="External"/><Relationship Id="rId418" Type="http://schemas.openxmlformats.org/officeDocument/2006/relationships/hyperlink" Target="consultantplus://offline/ref%3D67E5947FC935A5A38A2C1C2E5DD18C72AEB77C027CCDF62C8659584BBC150F8C7F73AA1F7BC26348B6617AB04D191C87F66FDC375567BFC2w7BFJ" TargetMode="External"/><Relationship Id="rId419" Type="http://schemas.openxmlformats.org/officeDocument/2006/relationships/hyperlink" Target="consultantplus://offline/ref%3D67E5947FC935A5A38A2C1C2E5DD18C72AEB77C027CCDF62C8659584BBC150F8C7F73AA1F7BC2634DB0617AB04D191C87F66FDC375567BFC2w7BFJ" TargetMode="External"/><Relationship Id="rId420" Type="http://schemas.openxmlformats.org/officeDocument/2006/relationships/hyperlink" Target="consultantplus://offline/ref%3D67E5947FC935A5A38A2C1C2E5DD18C72AEB77C027CCDF62C8659584BBC150F8C7F73AA1F7ACA6C4DB3617AB04D191C87F66FDC375567BFC2w7BFJ" TargetMode="External"/><Relationship Id="rId421" Type="http://schemas.openxmlformats.org/officeDocument/2006/relationships/hyperlink" Target="consultantplus://offline/ref%3D67E5947FC935A5A38A2C1C2E5DD18C72AEB77C027CCDF62C8659584BBC150F8C7F73AA1F7ACA6C4DB7617AB04D191C87F66FDC375567BFC2w7BFJ" TargetMode="External"/><Relationship Id="rId422" Type="http://schemas.openxmlformats.org/officeDocument/2006/relationships/hyperlink" Target="consultantplus://offline/ref%3D67E5947FC935A5A38A2C1C2E5DD18C72AEB77C027CCDF62C8659584BBC150F8C7F73AA1F7EC2674CB5617AB04D191C87F66FDC375567BFC2w7BFJ" TargetMode="External"/><Relationship Id="rId423" Type="http://schemas.openxmlformats.org/officeDocument/2006/relationships/hyperlink" Target="consultantplus://offline/ref%3D67E5947FC935A5A38A2C1C2E5DD18C72AEB77C027CCDF62C8659584BBC150F8C7F73AA1F7EC2674FB6617AB04D191C87F66FDC375567BFC2w7BFJ" TargetMode="External"/><Relationship Id="rId424" Type="http://schemas.openxmlformats.org/officeDocument/2006/relationships/hyperlink" Target="consultantplus://offline/ref%3D67E5947FC935A5A38A2C1C2E5DD18C72AEB77C027CCDF62C8659584BBC150F8C7F73AA1F7EC2664BB6617AB04D191C87F66FDC375567BFC2w7BFJ" TargetMode="External"/><Relationship Id="rId425" Type="http://schemas.openxmlformats.org/officeDocument/2006/relationships/hyperlink" Target="consultantplus://offline/ref%3D67E5947FC935A5A38A2C1C2E5DD18C72AEB77C027CCDF62C8659584BBC150F8C7F73AA1F7EC2664ABA617AB04D191C87F66FDC375567BFC2w7BFJ" TargetMode="External"/><Relationship Id="rId426" Type="http://schemas.openxmlformats.org/officeDocument/2006/relationships/hyperlink" Target="consultantplus://offline/ref%3D67E5947FC935A5A38A2C1C2E5DD18C72AEB77C027CCDF62C8659584BBC150F8C7F73AA1F7ECD6D41B5617AB04D191C87F66FDC375567BFC2w7BFJ" TargetMode="External"/><Relationship Id="rId427" Type="http://schemas.openxmlformats.org/officeDocument/2006/relationships/hyperlink" Target="consultantplus://offline/ref%3D67E5947FC935A5A38A2C1C2E5DD18C72AEB77C027CCDF62C8659584BBC150F8C7F73AA1F7ECD6C49B6617AB04D191C87F66FDC375567BFC2w7BFJ" TargetMode="External"/><Relationship Id="rId428" Type="http://schemas.openxmlformats.org/officeDocument/2006/relationships/hyperlink" Target="consultantplus://offline/ref%3D67E5947FC935A5A38A2C1C2E5DD18C72AEB77C027CCDF62C8659584BBC150F8C7F73AA1F7ECD6C4FBB617AB04D191C87F66FDC375567BFC2w7BFJ" TargetMode="External"/><Relationship Id="rId429" Type="http://schemas.openxmlformats.org/officeDocument/2006/relationships/hyperlink" Target="consultantplus://offline/ref%3D67E5947FC935A5A38A2C1C2E5DD18C72AEB77C027CCDF62C8659584BBC150F8C7F73AA1F7ECD6C4EBA617AB04D191C87F66FDC375567BFC2w7BFJ" TargetMode="External"/><Relationship Id="rId430" Type="http://schemas.openxmlformats.org/officeDocument/2006/relationships/hyperlink" Target="consultantplus://offline/ref%3D67E5947FC935A5A38A2C1C2E5DD18C72AEB77C027CCDF62C8659584BBC150F8C7F73AA1F7BCF664FBB617AB04D191C87F66FDC375567BFC2w7BFJ" TargetMode="External"/><Relationship Id="rId431" Type="http://schemas.openxmlformats.org/officeDocument/2006/relationships/hyperlink" Target="consultantplus://offline/ref%3D67E5947FC935A5A38A2C1C2E5DD18C72AEB77C027CCDF62C8659584BBC150F8C7F73AA1F7BCE614EB1617AB04D191C87F66FDC375567BFC2w7BFJ" TargetMode="External"/><Relationship Id="rId432" Type="http://schemas.openxmlformats.org/officeDocument/2006/relationships/hyperlink" Target="consultantplus://offline/ref%3D67E5947FC935A5A38A2C1C2E5DD18C72AEB77C027CCDF62C8659584BBC150F8C7F73AA1F7BCF6648B4617AB04D191C87F66FDC375567BFC2w7BFJ" TargetMode="External"/><Relationship Id="rId433" Type="http://schemas.openxmlformats.org/officeDocument/2006/relationships/hyperlink" Target="consultantplus://offline/ref%3D67E5947FC935A5A38A2C1C2E5DD18C72AEB77C027CCDF62C8659584BBC150F8C7F73AA1F7BCE614EB5617AB04D191C87F66FDC375567BFC2w7BFJ" TargetMode="External"/><Relationship Id="rId434" Type="http://schemas.openxmlformats.org/officeDocument/2006/relationships/hyperlink" Target="consultantplus://offline/ref%3D67E5947FC935A5A38A2C1C2E5DD18C72AEB77C027CCDF62C8659584BBC150F8C7F73AA1F7ECF634DB3617AB04D191C87F66FDC375567BFC2w7BFJ" TargetMode="External"/><Relationship Id="rId435" Type="http://schemas.openxmlformats.org/officeDocument/2006/relationships/hyperlink" Target="consultantplus://offline/ref%3D67E5947FC935A5A38A2C1C2E5DD18C72AEB77C027CCDF62C8659584BBC150F8C7F73AA1F7ECF6D4BB2617AB04D191C87F66FDC375567BFC2w7BFJ" TargetMode="External"/><Relationship Id="rId436" Type="http://schemas.openxmlformats.org/officeDocument/2006/relationships/hyperlink" Target="consultantplus://offline/ref%3D67E5947FC935A5A38A2C1C2E5DD18C72AEB77C027CCDF62C8659584BBC150F8C7F73AA1F7ECB6D4FBA617AB04D191C87F66FDC375567BFC2w7BFJ" TargetMode="External"/><Relationship Id="rId437" Type="http://schemas.openxmlformats.org/officeDocument/2006/relationships/hyperlink" Target="consultantplus://offline/ref%3D67E5947FC935A5A38A2C1C2E5DD18C72AEB77C027CCDF62C8659584BBC150F8C7F73AA1F7BCE604FB7617AB04D191C87F66FDC375567BFC2w7BFJ" TargetMode="External"/><Relationship Id="rId438" Type="http://schemas.openxmlformats.org/officeDocument/2006/relationships/hyperlink" Target="consultantplus://offline/ref%3D67E5947FC935A5A38A2C1C2E5DD18C72AEB77C027CCDF62C8659584BBC150F8C7F73AA1F7ECB6C4AB1617AB04D191C87F66FDC375567BFC2w7BFJ" TargetMode="External"/><Relationship Id="rId439" Type="http://schemas.openxmlformats.org/officeDocument/2006/relationships/hyperlink" Target="consultantplus://offline/ref%3D67E5947FC935A5A38A2C1C2E5DD18C72AEB77C027CCDF62C8659584BBC150F8C7F73AA1F7BCF664BBB617AB04D191C87F66FDC375567BFC2w7BFJ" TargetMode="External"/><Relationship Id="rId440" Type="http://schemas.openxmlformats.org/officeDocument/2006/relationships/hyperlink" Target="consultantplus://offline/ref%3D67E5947FC935A5A38A2C1C2E5DD18C72AEB77C027CCDF62C8659584BBC150F8C7F73AA1F7BC26040B7617AB04D191C87F66FDC375567BFC2w7BFJ" TargetMode="External"/><Relationship Id="rId441" Type="http://schemas.openxmlformats.org/officeDocument/2006/relationships/hyperlink" Target="consultantplus://offline/ref%3D67E5947FC935A5A38A2C1C2E5DD18C72AEB77C027CCDF62C8659584BBC150F8C7F73AA1F7BC26040B6617AB04D191C87F66FDC375567BFC2w7BFJ" TargetMode="External"/><Relationship Id="rId442" Type="http://schemas.openxmlformats.org/officeDocument/2006/relationships/hyperlink" Target="consultantplus://offline/ref%3D67E5947FC935A5A38A2C1C2E5DD18C72AEB77C027CCDF62C8659584BBC150F8C7F73AA1F7BC26040B4617AB04D191C87F66FDC375567BFC2w7BFJ" TargetMode="External"/><Relationship Id="rId443" Type="http://schemas.openxmlformats.org/officeDocument/2006/relationships/hyperlink" Target="consultantplus://offline/ref%3D67E5947FC935A5A38A2C1C2E5DD18C72AEB77C027CCDF62C8659584BBC150F8C7F73AA1F7BC26040BB617AB04D191C87F66FDC375567BFC2w7BFJ" TargetMode="External"/><Relationship Id="rId444" Type="http://schemas.openxmlformats.org/officeDocument/2006/relationships/hyperlink" Target="consultantplus://offline/ref%3D67E5947FC935A5A38A2C1C2E5DD18C72AEB77C027CCDF62C8659584BBC150F8C7F73AA1F7BC26349B2617AB04D191C87F66FDC375567BFC2w7BFJ" TargetMode="External"/><Relationship Id="rId445" Type="http://schemas.openxmlformats.org/officeDocument/2006/relationships/hyperlink" Target="consultantplus://offline/ref%3D67E5947FC935A5A38A2C1C2E5DD18C72AEB77C027CCDF62C8659584BBC150F8C7F73AA1F7BCE6641B5617AB04D191C87F66FDC375567BFC2w7BFJ" TargetMode="External"/><Relationship Id="rId446" Type="http://schemas.openxmlformats.org/officeDocument/2006/relationships/hyperlink" Target="consultantplus://offline/ref%3D67E5947FC935A5A38A2C1C2E5DD18C72AEB77C027CCDF62C8659584BBC150F8C7F73AA1F7BCE6641B4617AB04D191C87F66FDC375567BFC2w7BFJ" TargetMode="External"/><Relationship Id="rId447" Type="http://schemas.openxmlformats.org/officeDocument/2006/relationships/hyperlink" Target="consultantplus://offline/ref%3D67E5947FC935A5A38A2C1C2E5DD18C72AEB77C027CCDF62C8659584BBC150F8C7F73AA1F7CCE6D41B2617AB04D191C87F66FDC375567BFC2w7BFJ" TargetMode="External"/><Relationship Id="rId448" Type="http://schemas.openxmlformats.org/officeDocument/2006/relationships/hyperlink" Target="consultantplus://offline/ref%3D67E5947FC935A5A38A2C1C2E5DD18C72AEB77C027CCDF62C8659584BBC150F8C7F73AA1F7ACA6748B5617AB04D191C87F66FDC375567BFC2w7BFJ" TargetMode="External"/><Relationship Id="rId449" Type="http://schemas.openxmlformats.org/officeDocument/2006/relationships/hyperlink" Target="consultantplus://offline/ref%3D67E5947FC935A5A38A2C1C2E5DD18C72AEB77C027CCDF62C8659584BBC150F8C7F73AA1F7ACA6748B4617AB04D191C87F66FDC375567BFC2w7BFJ" TargetMode="External"/><Relationship Id="rId450" Type="http://schemas.openxmlformats.org/officeDocument/2006/relationships/hyperlink" Target="consultantplus://offline/ref%3D67E5947FC935A5A38A2C1C2E5DD18C72AEB77C027CCDF62C8659584BBC150F8C7F73AA1F7ECD614CB4617AB04D191C87F66FDC375567BFC2w7BFJ" TargetMode="External"/><Relationship Id="rId451" Type="http://schemas.openxmlformats.org/officeDocument/2006/relationships/hyperlink" Target="consultantplus://offline/ref%3D67E5947FC935A5A38A2C1C2E5DD18C72AEB77C027CCDF62C8659584BBC150F8C7F73AA1F7ECD614EB1617AB04D191C87F66FDC375567BFC2w7BFJ" TargetMode="External"/><Relationship Id="rId452" Type="http://schemas.openxmlformats.org/officeDocument/2006/relationships/hyperlink" Target="consultantplus://offline/ref%3D67E5947FC935A5A38A2C1C2E5DD18C72AEB77C027CCDF62C8659584BBC150F8C7F73AA1F7ECD6140B5617AB04D191C87F66FDC375567BFC2w7BFJ" TargetMode="External"/><Relationship Id="rId453" Type="http://schemas.openxmlformats.org/officeDocument/2006/relationships/hyperlink" Target="consultantplus://offline/ref%3D67E5947FC935A5A38A2C1C2E5DD18C72AEB77C027CCDF62C8659584BBC150F8C7F73AA1F7ACA6648B4617AB04D191C87F66FDC375567BFC2w7BFJ" TargetMode="External"/><Relationship Id="rId454" Type="http://schemas.openxmlformats.org/officeDocument/2006/relationships/hyperlink" Target="consultantplus://offline/ref%3D67E5947FC935A5A38A2C1C2E5DD18C72AEB77C027CCDF62C8659584BBC150F8C7F73AA1F7ACA6648BB617AB04D191C87F66FDC375567BFC2w7BFJ" TargetMode="External"/><Relationship Id="rId455" Type="http://schemas.openxmlformats.org/officeDocument/2006/relationships/hyperlink" Target="consultantplus://offline/ref%3D67E5947FC935A5A38A2C1C2E5DD18C72AEB77C027CCDF62C8659584BBC150F8C7F73AA1F7ECD604EB1617AB04D191C87F66FDC375567BFC2w7BFJ" TargetMode="External"/><Relationship Id="rId456" Type="http://schemas.openxmlformats.org/officeDocument/2006/relationships/hyperlink" Target="consultantplus://offline/ref%3D67E5947FC935A5A38A2C1C2E5DD18C72AEB77C027CCDF62C8659584BBC150F8C7F73AA1F7ECD6041BA617AB04D191C87F66FDC375567BFC2w7BFJ" TargetMode="External"/><Relationship Id="rId457" Type="http://schemas.openxmlformats.org/officeDocument/2006/relationships/hyperlink" Target="consultantplus://offline/ref%3D67E5947FC935A5A38A2C1C2E5DD18C72AEB77C027CCDF62C8659584BBC150F8C7F73AA1F7ACA614EB1617AB04D191C87F66FDC375567BFC2w7BFJ" TargetMode="External"/><Relationship Id="rId458" Type="http://schemas.openxmlformats.org/officeDocument/2006/relationships/hyperlink" Target="consultantplus://offline/ref%3D67E5947FC935A5A38A2C1C2E5DD18C72AEB77C027CCDF62C8659584BBC150F8C7F73AA1F7ACA614EB0617AB04D191C87F66FDC375567BFC2w7BFJ" TargetMode="External"/><Relationship Id="rId459" Type="http://schemas.openxmlformats.org/officeDocument/2006/relationships/hyperlink" Target="consultantplus://offline/ref%3D67E5947FC935A5A38A2C1C2E5DD18C72AEB77C027CCDF62C8659584BBC150F8C7F73AA1F7ECD624DB0617AB04D191C87F66FDC375567BFC2w7BFJ" TargetMode="External"/><Relationship Id="rId460" Type="http://schemas.openxmlformats.org/officeDocument/2006/relationships/hyperlink" Target="consultantplus://offline/ref%3D67E5947FC935A5A38A2C1C2E5DD18C72AEB77C027CCDF62C8659584BBC150F8C7F73AA1F7ECD624FB4617AB04D191C87F66FDC375567BFC2w7BFJ" TargetMode="External"/><Relationship Id="rId461" Type="http://schemas.openxmlformats.org/officeDocument/2006/relationships/hyperlink" Target="consultantplus://offline/ref%3D67E5947FC935A5A38A2C1C2E5DD18C72AEB77C027CCDF62C8659584BBC150F8C7F73AA1F7EC26D4CB1617AB04D191C87F66FDC375567BFC2w7BFJ" TargetMode="External"/><Relationship Id="rId462" Type="http://schemas.openxmlformats.org/officeDocument/2006/relationships/hyperlink" Target="consultantplus://offline/ref%3D67E5947FC935A5A38A2C1C2E5DD18C72AEB77C027CCDF62C8659584BBC150F8C7F73AA1F7EC26D4FB0617AB04D191C87F66FDC375567BFC2w7BFJ" TargetMode="External"/><Relationship Id="rId463" Type="http://schemas.openxmlformats.org/officeDocument/2006/relationships/hyperlink" Target="consultantplus://offline/ref%3D67E5947FC935A5A38A2C1C2E5DD18C72AEB77C027CCDF62C8659584BBC150F8C7F73AA1F7DCA664EB7617AB04D191C87F66FDC375567BFC2w7BFJ" TargetMode="External"/><Relationship Id="rId464" Type="http://schemas.openxmlformats.org/officeDocument/2006/relationships/hyperlink" Target="consultantplus://offline/ref%3D67E5947FC935A5A38A2C1C2E5DD18C72AEB77C027CCDF62C8659584BBC150F8C7F73AA1F7DCA6048B3617AB04D191C87F66FDC375567BFC2w7BFJ" TargetMode="External"/><Relationship Id="rId465" Type="http://schemas.openxmlformats.org/officeDocument/2006/relationships/hyperlink" Target="consultantplus://offline/ref%3D67E5947FC935A5A38A2C1C2E5DD18C72AEB77C027CCDF62C8659584BBC150F8C7F73AA1F7ECB624FB6617AB04D191C87F66FDC375567BFC2w7BFJ" TargetMode="External"/><Relationship Id="rId466" Type="http://schemas.openxmlformats.org/officeDocument/2006/relationships/hyperlink" Target="consultantplus://offline/ref%3D67E5947FC935A5A38A2C1C2E5DD18C72AEB77C027CCDF62C8659584BBC150F8C7F73AA1F7ECB6241B7617AB04D191C87F66FDC375567BFC2w7BFJ" TargetMode="External"/><Relationship Id="rId467" Type="http://schemas.openxmlformats.org/officeDocument/2006/relationships/hyperlink" Target="consultantplus://offline/ref%3D67E5947FC935A5A38A2C1C2E5DD18C72AEB77C027CCDF62C8659584BBC150F8C7F73AA1F7ECB6240BB617AB04D191C87F66FDC375567BFC2w7BFJ" TargetMode="External"/><Relationship Id="rId468" Type="http://schemas.openxmlformats.org/officeDocument/2006/relationships/hyperlink" Target="consultantplus://offline/ref%3D67E5947FC935A5A38A2C1C2E5DD18C72AEB77C027CCDF62C8659584BBC150F8C7F73AA1F7ECB6D4ABA617AB04D191C87F66FDC375567BFC2w7BFJ" TargetMode="External"/><Relationship Id="rId469" Type="http://schemas.openxmlformats.org/officeDocument/2006/relationships/hyperlink" Target="consultantplus://offline/ref%3D67E5947FC935A5A38A2C1C2E5DD18C72AEB77C027CCDF62C8659584BBC150F8C7F73AA1F7ECB6D41B6617AB04D191C87F66FDC375567BFC2w7BFJ" TargetMode="External"/><Relationship Id="rId470" Type="http://schemas.openxmlformats.org/officeDocument/2006/relationships/hyperlink" Target="consultantplus://offline/ref%3D67E5947FC935A5A38A2C1C2E5DD18C72AEB77C027CCDF62C8659584BBC150F8C7F73AA1F7EC86549B7617AB04D191C87F66FDC375567BFC2w7BFJ" TargetMode="External"/><Relationship Id="rId471" Type="http://schemas.openxmlformats.org/officeDocument/2006/relationships/hyperlink" Target="consultantplus://offline/ref%3D67E5947FC935A5A38A2C1C2E5DD18C72AEB77C027CCDF62C8659584BBC150F8C7F73AA1F7EC8654BB4617AB04D191C87F66FDC375567BFC2w7BFJ" TargetMode="External"/><Relationship Id="rId472" Type="http://schemas.openxmlformats.org/officeDocument/2006/relationships/hyperlink" Target="consultantplus://offline/ref%3D67E5947FC935A5A38A2C1C2E5DD18C72AEB77C027CCDF62C8659584BBC150F8C7F73AA1F7ECF634CB6617AB04D191C87F66FDC375567BFC2w7BFJ" TargetMode="External"/><Relationship Id="rId473" Type="http://schemas.openxmlformats.org/officeDocument/2006/relationships/hyperlink" Target="consultantplus://offline/ref%3D67E5947FC935A5A38A2C1C2E5DD18C72AEB77C027CCDF62C8659584BBC150F8C7F73AA1F7BC2624ABA617AB04D191C87F66FDC375567BFC2w7BFJ" TargetMode="External"/><Relationship Id="rId474" Type="http://schemas.openxmlformats.org/officeDocument/2006/relationships/hyperlink" Target="consultantplus://offline/ref%3D67E5947FC935A5A38A2C1C2E5DD18C72AEB77C027CCDF62C8659584BBC150F8C7F73AA1F7BC2624DB0617AB04D191C87F66FDC375567BFC2w7BFJ" TargetMode="External"/><Relationship Id="rId475" Type="http://schemas.openxmlformats.org/officeDocument/2006/relationships/hyperlink" Target="consultantplus://offline/ref%3D67E5947FC935A5A38A2C1C2E5DD18C72AEB77C027CCDF62C8659584BBC150F8C7F73AA1F7BC2624DBA617AB04D191C87F66FDC375567BFC2w7BFJ" TargetMode="External"/><Relationship Id="rId476" Type="http://schemas.openxmlformats.org/officeDocument/2006/relationships/hyperlink" Target="consultantplus://offline/ref%3D67E5947FC935A5A38A2C1C2E5DD18C72AEB77C027CCDF62C8659584BBC150F8C7F73AA1F7ECF6D49B5617AB04D191C87F66FDC375567BFC2w7BFJ" TargetMode="External"/><Relationship Id="rId477" Type="http://schemas.openxmlformats.org/officeDocument/2006/relationships/hyperlink" Target="consultantplus://offline/ref%3D67E5947FC935A5A38A2C1C2E5DD18C72AEB77C027CCDF62C8659584BBC150F8C7F73AA1F7BC2624DBB617AB04D191C87F66FDC375567BFC2w7BFJ" TargetMode="External"/><Relationship Id="rId478" Type="http://schemas.openxmlformats.org/officeDocument/2006/relationships/hyperlink" Target="consultantplus://offline/ref%3D67E5947FC935A5A38A2C1C2E5DD18C72AEB77C027CCDF62C8659584BBC150F8C7F73AA1F7ACA6C4FB0617AB04D191C87F66FDC375567BFC2w7BFJ" TargetMode="External"/><Relationship Id="rId479" Type="http://schemas.openxmlformats.org/officeDocument/2006/relationships/hyperlink" Target="consultantplus://offline/ref%3D67E5947FC935A5A38A2C1C2E5DD18C72AEB77C027CCDF62C8659584BBC150F8C7F73AA1F7BCF644FBA617AB04D191C87F66FDC375567BFC2w7BFJ" TargetMode="External"/><Relationship Id="rId480" Type="http://schemas.openxmlformats.org/officeDocument/2006/relationships/hyperlink" Target="consultantplus://offline/ref%3D67E5947FC935A5A38A2C1C2E5DD18C72AEB77C027CCDF62C8659584BBC150F8C7F73AA1F7BCE6641B6617AB04D191C87F66FDC375567BFC2w7BFJ" TargetMode="External"/><Relationship Id="rId481" Type="http://schemas.openxmlformats.org/officeDocument/2006/relationships/hyperlink" Target="consultantplus://offline/ref%3D67E5947FC935A5A38A2C1C2E5DD18C72AEB77C027CCDF62C8659584BBC150F8C7F73AA1F7ECA6C4FB7617AB04D191C87F66FDC375567BFC2w7BFJ" TargetMode="External"/><Relationship Id="rId482" Type="http://schemas.openxmlformats.org/officeDocument/2006/relationships/hyperlink" Target="consultantplus://offline/ref%3D67E5947FC935A5A38A2C1C2E5DD18C72AEB77C027CCDF62C8659584BBC150F8C7F73AA1F7BCE6641BB617AB04D191C87F66FDC375567BFC2w7BFJ" TargetMode="External"/><Relationship Id="rId483" Type="http://schemas.openxmlformats.org/officeDocument/2006/relationships/hyperlink" Target="consultantplus://offline/ref%3D67E5947FC935A5A38A2C1C2E5DD18C72AEB77C027CCDF62C8659584BBC150F8C7F73AA1F7BCE6641BA617AB04D191C87F66FDC375567BFC2w7BFJ" TargetMode="External"/><Relationship Id="rId484" Type="http://schemas.openxmlformats.org/officeDocument/2006/relationships/hyperlink" Target="consultantplus://offline/ref%3D67E5947FC935A5A38A2C1C2E5DD18C72AEB77C027CCDF62C8659584BBC150F8C7F73AA1F7ECB674FB6617AB04D191C87F66FDC375567BFC2w7BFJ" TargetMode="External"/><Relationship Id="rId485" Type="http://schemas.openxmlformats.org/officeDocument/2006/relationships/hyperlink" Target="consultantplus://offline/ref%3D67E5947FC935A5A38A2C1C2E5DD18C72AEB77C027CCDF62C8659584BBC150F8C7F73AA1F7ECB674EBB617AB04D191C87F66FDC375567BFC2w7BFJ" TargetMode="External"/><Relationship Id="rId486" Type="http://schemas.openxmlformats.org/officeDocument/2006/relationships/hyperlink" Target="consultantplus://offline/ref%3D67E5947FC935A5A38A2C1C2E5DD18C72AEB77C027CCDF62C8659584BBC150F8C7F73AA1F7ECF6241B0617AB04D191C87F66FDC375567BFC2w7BFJ" TargetMode="External"/><Relationship Id="rId487" Type="http://schemas.openxmlformats.org/officeDocument/2006/relationships/hyperlink" Target="consultantplus://offline/ref%3D67E5947FC935A5A38A2C1C2E5DD18C72AEB77C027CCDF62C8659584BBC150F8C7F73AA1F7BC2624FB7617AB04D191C87F66FDC375567BFC2w7BFJ" TargetMode="External"/><Relationship Id="rId488" Type="http://schemas.openxmlformats.org/officeDocument/2006/relationships/hyperlink" Target="consultantplus://offline/ref%3D67E5947FC935A5A38A2C1C2E5DD18C72AEB77C027CCDF62C8659584BBC150F8C7F73AA1F7ECF6C4BB3617AB04D191C87F66FDC375567BFC2w7BFJ" TargetMode="External"/><Relationship Id="rId489" Type="http://schemas.openxmlformats.org/officeDocument/2006/relationships/hyperlink" Target="consultantplus://offline/ref%3D67E5947FC935A5A38A2C1C2E5DD18C72AEB77C027CCDF62C8659584BBC150F8C7F73AA1F7ECF6C4DB1617AB04D191C87F66FDC375567BFC2w7BFJ" TargetMode="External"/><Relationship Id="rId490" Type="http://schemas.openxmlformats.org/officeDocument/2006/relationships/hyperlink" Target="consultantplus://offline/ref%3D67E5947FC935A5A38A2C1C2E5DD18C72AEB77C027CCDF62C8659584BBC150F8C7F73AA1F7BCF6049B4617AB04D191C87F66FDC375567BFC2w7BFJ" TargetMode="External"/><Relationship Id="rId491" Type="http://schemas.openxmlformats.org/officeDocument/2006/relationships/hyperlink" Target="consultantplus://offline/ref%3D67E5947FC935A5A38A2C1C2E5DD18C72AEB77C027CCDF62C8659584BBC150F8C7F73AA1F7BCF6048B3617AB04D191C87F66FDC375567BFC2w7BFJ" TargetMode="External"/><Relationship Id="rId492" Type="http://schemas.openxmlformats.org/officeDocument/2006/relationships/hyperlink" Target="consultantplus://offline/ref%3D67E5947FC935A5A38A2C1C2E5DD18C72AEB77C027CCDF62C8659584BBC150F8C7F73AA1F7BCF6048B0617AB04D191C87F66FDC375567BFC2w7BFJ" TargetMode="External"/><Relationship Id="rId493" Type="http://schemas.openxmlformats.org/officeDocument/2006/relationships/hyperlink" Target="consultantplus://offline/ref%3D67E5947FC935A5A38A2C1C2E5DD18C72AEB77C027CCDF62C8659584BBC150F8C7F73AA1F7EC8614DBA617AB04D191C87F66FDC375567BFC2w7BFJ" TargetMode="External"/><Relationship Id="rId494" Type="http://schemas.openxmlformats.org/officeDocument/2006/relationships/hyperlink" Target="consultantplus://offline/ref%3D67E5947FC935A5A38A2C1C2E5DD18C72AEB77C027CCDF62C8659584BBC150F8C7F73AA1F7ECF604BB3617AB04D191C87F66FDC375567BFC2w7BFJ" TargetMode="External"/><Relationship Id="rId495" Type="http://schemas.openxmlformats.org/officeDocument/2006/relationships/hyperlink" Target="consultantplus://offline/ref%3D67E5947FC935A5A38A2C1C2E5DD18C72AEB77C027CCDF62C8659584BBC150F8C7F73AA1F7BC2604EB5617AB04D191C87F66FDC375567BFC2w7BFJ" TargetMode="External"/><Relationship Id="rId496" Type="http://schemas.openxmlformats.org/officeDocument/2006/relationships/hyperlink" Target="consultantplus://offline/ref%3D67E5947FC935A5A38A2C1C2E5DD18C72AEB77C027CCDF62C8659584BBC150F8C7F73AA1F7BC2604EBB617AB04D191C87F66FDC375567BFC2w7BFJ" TargetMode="External"/><Relationship Id="rId497" Type="http://schemas.openxmlformats.org/officeDocument/2006/relationships/hyperlink" Target="consultantplus://offline/ref%3D67E5947FC935A5A38A2C1C2E5DD18C72AEB77C027CCDF62C8659584BBC150F8C7F73AA1F7BC2604CB4617AB04D191C87F66FDC375567BFC2w7BFJ" TargetMode="External"/><Relationship Id="rId498" Type="http://schemas.openxmlformats.org/officeDocument/2006/relationships/hyperlink" Target="consultantplus://offline/ref%3D67E5947FC935A5A38A2C1C2E5DD18C72AEB77C027CCDF62C8659584BBC150F8C7F73AA1F7BC2604CBB617AB04D191C87F66FDC375567BFC2w7BFJ" TargetMode="External"/><Relationship Id="rId499" Type="http://schemas.openxmlformats.org/officeDocument/2006/relationships/hyperlink" Target="consultantplus://offline/ref%3D67E5947FC935A5A38A2C1C2E5DD18C72AEB77C027CCDF62C8659584BBC150F8C7F73AA1F7BC2604FB3617AB04D191C87F66FDC375567BFC2w7BFJ" TargetMode="External"/><Relationship Id="rId500" Type="http://schemas.openxmlformats.org/officeDocument/2006/relationships/hyperlink" Target="consultantplus://offline/ref%3D67E5947FC935A5A38A2C1C2E5DD18C72AEB77C027CCDF62C8659584BBC150F8C7F73AA1F7BC2604FB6617AB04D191C87F66FDC375567BFC2w7BFJ" TargetMode="External"/><Relationship Id="rId501" Type="http://schemas.openxmlformats.org/officeDocument/2006/relationships/hyperlink" Target="consultantplus://offline/ref%3D67E5947FC935A5A38A2C1C2E5DD18C72AEB77C027CCDF62C8659584BBC150F8C7F73AA1F7BCF6C4FBA617AB04D191C87F66FDC375567BFC2w7BFJ" TargetMode="External"/><Relationship Id="rId502" Type="http://schemas.openxmlformats.org/officeDocument/2006/relationships/hyperlink" Target="consultantplus://offline/ref%3D67E5947FC935A5A38A2C1C2E5DD18C72AEB77C027CCDF62C8659584BBC150F8C7F73AA1F7BCF6C4EB7617AB04D191C87F66FDC375567BFC2w7BFJ" TargetMode="External"/><Relationship Id="rId503" Type="http://schemas.openxmlformats.org/officeDocument/2006/relationships/hyperlink" Target="consultantplus://offline/ref%3D67E5947FC935A5A38A2C1C2E5DD18C72AEB77C027CCDF62C8659584BBC150F8C7F73AA1F7BCF6C4FBB617AB04D191C87F66FDC375567BFC2w7BFJ" TargetMode="External"/><Relationship Id="rId504" Type="http://schemas.openxmlformats.org/officeDocument/2006/relationships/hyperlink" Target="consultantplus://offline/ref%3D67E5947FC935A5A38A2C1C2E5DD18C72AEB77C027CCDF62C8659584BBC150F8C7F73AA1F7BCF6249B3617AB04D191C87F66FDC375567BFC2w7BFJ" TargetMode="External"/><Relationship Id="rId505" Type="http://schemas.openxmlformats.org/officeDocument/2006/relationships/hyperlink" Target="consultantplus://offline/ref%3D67E5947FC935A5A38A2C1C2E5DD18C72AEB77C027CCDF62C8659584BBC150F8C7F73AA1F7BCF6248B1617AB04D191C87F66FDC375567BFC2w7BFJ" TargetMode="External"/><Relationship Id="rId506" Type="http://schemas.openxmlformats.org/officeDocument/2006/relationships/hyperlink" Target="consultantplus://offline/ref%3D67E5947FC935A5A38A2C1C2E5DD18C72AEB77C027CCDF62C8659584BBC150F8C7F73AA1F7BCF634DB7617AB04D191C87F66FDC375567BFC2w7BFJ" TargetMode="External"/><Relationship Id="rId507" Type="http://schemas.openxmlformats.org/officeDocument/2006/relationships/hyperlink" Target="consultantplus://offline/ref%3D67E5947FC935A5A38A2C1C2E5DD18C72AEB77C027CCDF62C8659584BBC150F8C7F73AA1F7BC2604DB4617AB04D191C87F66FDC375567BFC2w7BFJ" TargetMode="External"/><Relationship Id="rId508" Type="http://schemas.openxmlformats.org/officeDocument/2006/relationships/hyperlink" Target="consultantplus://offline/ref%3D67E5947FC935A5A38A2C1C2E5DD18C72AEB77C027CCDF62C8659584BBC150F8C7F73AA1F7EC8664DB0617AB04D191C87F66FDC375567BFC2w7BFJ" TargetMode="External"/><Relationship Id="rId509" Type="http://schemas.openxmlformats.org/officeDocument/2006/relationships/hyperlink" Target="consultantplus://offline/ref%3D67E5947FC935A5A38A2C1C2E5DD18C72AEB77C027CCDF62C8659584BBC150F8C7F73AA1F7BCB6249B6617AB04D191C87F66FDC375567BFC2w7BFJ" TargetMode="External"/><Relationship Id="rId510" Type="http://schemas.openxmlformats.org/officeDocument/2006/relationships/hyperlink" Target="consultantplus://offline/ref%3D67E5947FC935A5A38A2C1C2E5DD18C72AEB77C027CCDF62C8659584BBC150F8C7F73AA1F7BCF6040B4617AB04D191C87F66FDC375567BFC2w7BFJ" TargetMode="External"/><Relationship Id="rId511" Type="http://schemas.openxmlformats.org/officeDocument/2006/relationships/hyperlink" Target="consultantplus://offline/ref%3D67E5947FC935A5A38A2C1C2E5DD18C72AEB77C027CCDF62C8659584BBC150F8C7F73AA1F7BCF6040B6617AB04D191C87F66FDC375567BFC2w7BFJ" TargetMode="External"/><Relationship Id="rId512" Type="http://schemas.openxmlformats.org/officeDocument/2006/relationships/hyperlink" Target="consultantplus://offline/ref%3D67E5947FC935A5A38A2C1C2E5DD18C72AEB77C027CCDF62C8659584BBC150F8C7F73AA1F7ECC6148BB617AB04D191C87F66FDC375567BFC2w7BFJ" TargetMode="External"/><Relationship Id="rId513" Type="http://schemas.openxmlformats.org/officeDocument/2006/relationships/hyperlink" Target="consultantplus://offline/ref%3D67E5947FC935A5A38A2C1C2E5DD18C72AEB77C027CCDF62C8659584BBC150F8C7F73AA1F7BCF6341BA617AB04D191C87F66FDC375567BFC2w7BFJ" TargetMode="External"/><Relationship Id="rId514" Type="http://schemas.openxmlformats.org/officeDocument/2006/relationships/hyperlink" Target="consultantplus://offline/ref%3D67E5947FC935A5A38A2C1C2E5DD18C72AEB77C027CCDF62C8659584BBC150F8C7F73AA1F7BC2664BB0617AB04D191C87F66FDC375567BFC2w7BFJ" TargetMode="External"/><Relationship Id="rId515" Type="http://schemas.openxmlformats.org/officeDocument/2006/relationships/hyperlink" Target="consultantplus://offline/ref%3D67E5947FC935A5A38A2C1C2E5DD18C72AEB77C027CCDF62C8659584BBC150F8C7F73AA1F7ECA634AB7617AB04D191C87F66FDC375567BFC2w7BFJ" TargetMode="External"/><Relationship Id="rId516" Type="http://schemas.openxmlformats.org/officeDocument/2006/relationships/hyperlink" Target="consultantplus://offline/ref%3D67E5947FC935A5A38A2C1C2E5DD18C72AEB77C027CCDF62C8659584BBC150F8C7F73AA1F7BCF6648B6617AB04D191C87F66FDC375567BFC2w7BFJ" TargetMode="External"/><Relationship Id="rId517" Type="http://schemas.openxmlformats.org/officeDocument/2006/relationships/hyperlink" Target="consultantplus://offline/ref%3D67E5947FC935A5A38A2C1C2E5DD18C72AEB77C027CCDF62C8659584BBC150F8C7F73AA1F7BC26649B6617AB04D191C87F66FDC375567BFC2w7BFJ" TargetMode="External"/><Relationship Id="rId518" Type="http://schemas.openxmlformats.org/officeDocument/2006/relationships/hyperlink" Target="consultantplus://offline/ref%3D67E5947FC935A5A38A2C1C2E5DD18C72AEB77C027CCDF62C8659584BBC150F8C7F73AA1F7BC26649B7617AB04D191C87F66FDC375567BFC2w7BFJ" TargetMode="External"/><Relationship Id="rId519" Type="http://schemas.openxmlformats.org/officeDocument/2006/relationships/hyperlink" Target="consultantplus://offline/ref%3D67E5947FC935A5A38A2C1C2E5DD18C72AEB77C027CCDF62C8659584BBC150F8C7F73AA1F7ECF664DB6617AB04D191C87F66FDC375567BFC2w7BFJ" TargetMode="External"/><Relationship Id="rId520" Type="http://schemas.openxmlformats.org/officeDocument/2006/relationships/hyperlink" Target="consultantplus://offline/ref%3D67E5947FC935A5A38A2C1C2E5DD18C72AEB77C027CCDF62C8659584BBC150F8C7F73AA1F7ECF6540B7617AB04D191C87F66FDC375567BFC2w7BFJ" TargetMode="External"/><Relationship Id="rId521" Type="http://schemas.openxmlformats.org/officeDocument/2006/relationships/hyperlink" Target="consultantplus://offline/ref%3D67E5947FC935A5A38A2C1C2E5DD18C72AEB77C027CCDF62C8659584BBC150F8C7F73AA1F7ECF674CB5617AB04D191C87F66FDC375567BFC2w7BFJ" TargetMode="External"/><Relationship Id="rId522" Type="http://schemas.openxmlformats.org/officeDocument/2006/relationships/hyperlink" Target="consultantplus://offline/ref%3D67E5947FC935A5A38A2C1C2E5DD18C72AEB77C027CCDF62C8659584BBC150F8C7F73AA1F7BC86040B4617AB04D191C87F66FDC375567BFC2w7BFJ" TargetMode="External"/><Relationship Id="rId523" Type="http://schemas.openxmlformats.org/officeDocument/2006/relationships/hyperlink" Target="consultantplus://offline/ref%3D67E5947FC935A5A38A2C1C2E5DD18C72AEB77C027CCDF62C8659584BBC150F8C7F73AA1F7BC86349B2617AB04D191C87F66FDC375567BFC2w7BFJ" TargetMode="External"/><Relationship Id="rId524" Type="http://schemas.openxmlformats.org/officeDocument/2006/relationships/hyperlink" Target="consultantplus://offline/ref%3D67E5947FC935A5A38A2C1C2E5DD18C72AEB77C027CCDF62C8659584BBC150F8C7F73AA1F7BC86349B1617AB04D191C87F66FDC375567BFC2w7BFJ" TargetMode="External"/><Relationship Id="rId525" Type="http://schemas.openxmlformats.org/officeDocument/2006/relationships/hyperlink" Target="consultantplus://offline/ref%3D67E5947FC935A5A38A2C1C2E5DD18C72AEB77C027CCDF62C8659584BBC150F8C7F73AA1F7BC26D41B0617AB04D191C87F66FDC375567BFC2w7BFJ" TargetMode="External"/><Relationship Id="rId526" Type="http://schemas.openxmlformats.org/officeDocument/2006/relationships/hyperlink" Target="consultantplus://offline/ref%3D67E5947FC935A5A38A2C1C2E5DD18C72AEB77C027CCDF62C8659584BBC150F8C7F73AA1F7BC2644BB0617AB04D191C87F66FDC375567BFC2w7BFJ" TargetMode="External"/><Relationship Id="rId527" Type="http://schemas.openxmlformats.org/officeDocument/2006/relationships/hyperlink" Target="consultantplus://offline/ref%3D67E5947FC935A5A38A2C1C2E5DD18C72AEB77C027CCDF62C8659584BBC150F8C7F73AA1F7CCC6C41B5617AB04D191C87F66FDC375567BFC2w7BFJ" TargetMode="External"/><Relationship Id="rId528" Type="http://schemas.openxmlformats.org/officeDocument/2006/relationships/hyperlink" Target="consultantplus://offline/ref%3D67E5947FC935A5A38A2C1C2E5DD18C72AEB77C027CCDF62C8659584BBC150F8C7F73AA1F7CCC6C41BB617AB04D191C87F66FDC375567BFC2w7BFJ" TargetMode="External"/><Relationship Id="rId529" Type="http://schemas.openxmlformats.org/officeDocument/2006/relationships/hyperlink" Target="consultantplus://offline/ref%3D67E5947FC935A5A38A2C1C2E5DD18C72AEB77C027CCDF62C8659584BBC150F8C7F73AA1F7CCD654FB0617AB04D191C87F66FDC375567BFC2w7BFJ" TargetMode="External"/><Relationship Id="rId530" Type="http://schemas.openxmlformats.org/officeDocument/2006/relationships/hyperlink" Target="consultantplus://offline/ref%3D67E5947FC935A5A38A2C1C2E5DD18C72AEB77C027CCDF62C8659584BBC150F8C7F73AA1F7CCD654FB6617AB04D191C87F66FDC375567BFC2w7BFJ" TargetMode="External"/><Relationship Id="rId531" Type="http://schemas.openxmlformats.org/officeDocument/2006/relationships/hyperlink" Target="consultantplus://offline/ref%3D67E5947FC935A5A38A2C1C2E5DD18C72AEB77C027CCDF62C8659584BBC150F8C7F73AA1F7CC26448B6617AB04D191C87F66FDC375567BFC2w7BFJ" TargetMode="External"/><Relationship Id="rId532" Type="http://schemas.openxmlformats.org/officeDocument/2006/relationships/header" Target="header6.xml"/><Relationship Id="rId533" Type="http://schemas.openxmlformats.org/officeDocument/2006/relationships/header" Target="header7.xml"/><Relationship Id="rId534" Type="http://schemas.openxmlformats.org/officeDocument/2006/relationships/header" Target="header8.xml"/><Relationship Id="rId535" Type="http://schemas.openxmlformats.org/officeDocument/2006/relationships/header" Target="header9.xml"/><Relationship Id="rId536" Type="http://schemas.openxmlformats.org/officeDocument/2006/relationships/hyperlink" Target="consultantplus://offline/ref%3D66118A7CEE72432E0919FE8126FA2B12598CAA179FD3512F9D4934EC226FCF5EBBAA8A553A978F9610EE6C1E9A41E3C7805187E697DF1961K5x0Q" TargetMode="External"/><Relationship Id="rId537" Type="http://schemas.openxmlformats.org/officeDocument/2006/relationships/header" Target="header10.xml"/><Relationship Id="rId538" Type="http://schemas.openxmlformats.org/officeDocument/2006/relationships/header" Target="header11.xml"/><Relationship Id="rId539" Type="http://schemas.openxmlformats.org/officeDocument/2006/relationships/header" Target="header12.xml"/><Relationship Id="rId540" Type="http://schemas.openxmlformats.org/officeDocument/2006/relationships/header" Target="header13.xml"/><Relationship Id="rId541" Type="http://schemas.openxmlformats.org/officeDocument/2006/relationships/header" Target="header14.xml"/><Relationship Id="rId542" Type="http://schemas.openxmlformats.org/officeDocument/2006/relationships/header" Target="header15.xml"/><Relationship Id="rId543" Type="http://schemas.openxmlformats.org/officeDocument/2006/relationships/header" Target="header16.xml"/><Relationship Id="rId5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dc:subject>О Программе государственных гарантий бесплатного оказания гражданам медицинской помощи на 2022 год и на плановый период 2023 и 2024 годов</dc:subject>
  <dcterms:created xsi:type="dcterms:W3CDTF">2022-05-08T05:33:44Z</dcterms:created>
  <dcterms:modified xsi:type="dcterms:W3CDTF">2022-05-08T05:33:44Z</dcterms:modified>
</cp:coreProperties>
</file>

<file path=docProps/custom.xml><?xml version="1.0" encoding="utf-8"?>
<Properties xmlns="http://schemas.openxmlformats.org/officeDocument/2006/custom-properties" xmlns:vt="http://schemas.openxmlformats.org/officeDocument/2006/docPropsVTypes"/>
</file>